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header124.xml" ContentType="application/vnd.openxmlformats-officedocument.wordprocessingml.head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133.xml" ContentType="application/vnd.openxmlformats-officedocument.wordprocessingml.footer+xml"/>
  <Override PartName="/word/header13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39.xml" ContentType="application/vnd.openxmlformats-officedocument.wordprocessingml.footer+xml"/>
  <Override PartName="/word/header139.xml" ContentType="application/vnd.openxmlformats-officedocument.wordprocessingml.head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footer145.xml" ContentType="application/vnd.openxmlformats-officedocument.wordprocessingml.footer+xml"/>
  <Override PartName="/word/header145.xml" ContentType="application/vnd.openxmlformats-officedocument.wordprocessingml.head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footer148.xml" ContentType="application/vnd.openxmlformats-officedocument.wordprocessingml.footer+xml"/>
  <Override PartName="/word/header148.xml" ContentType="application/vnd.openxmlformats-officedocument.wordprocessingml.header+xml"/>
  <Override PartName="/word/footer149.xml" ContentType="application/vnd.openxmlformats-officedocument.wordprocessingml.footer+xml"/>
  <Override PartName="/word/header149.xml" ContentType="application/vnd.openxmlformats-officedocument.wordprocessingml.header+xml"/>
  <Override PartName="/word/footer150.xml" ContentType="application/vnd.openxmlformats-officedocument.wordprocessingml.footer+xml"/>
  <Override PartName="/word/header15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152.xml" ContentType="application/vnd.openxmlformats-officedocument.wordprocessingml.footer+xml"/>
  <Override PartName="/word/header15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154.xml" ContentType="application/vnd.openxmlformats-officedocument.wordprocessingml.footer+xml"/>
  <Override PartName="/word/header15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footer158.xml" ContentType="application/vnd.openxmlformats-officedocument.wordprocessingml.footer+xml"/>
  <Override PartName="/word/header15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161.xml" ContentType="application/vnd.openxmlformats-officedocument.wordprocessingml.footer+xml"/>
  <Override PartName="/word/header161.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footer163.xml" ContentType="application/vnd.openxmlformats-officedocument.wordprocessingml.footer+xml"/>
  <Override PartName="/word/header163.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67.xml" ContentType="application/vnd.openxmlformats-officedocument.wordprocessingml.footer+xml"/>
  <Override PartName="/word/header167.xml" ContentType="application/vnd.openxmlformats-officedocument.wordprocessingml.header+xml"/>
  <Override PartName="/word/footer168.xml" ContentType="application/vnd.openxmlformats-officedocument.wordprocessingml.footer+xml"/>
  <Override PartName="/word/header168.xml" ContentType="application/vnd.openxmlformats-officedocument.wordprocessingml.header+xml"/>
  <Override PartName="/word/footer169.xml" ContentType="application/vnd.openxmlformats-officedocument.wordprocessingml.footer+xml"/>
  <Override PartName="/word/header169.xml" ContentType="application/vnd.openxmlformats-officedocument.wordprocessingml.header+xml"/>
  <Override PartName="/word/footer170.xml" ContentType="application/vnd.openxmlformats-officedocument.wordprocessingml.footer+xml"/>
  <Override PartName="/word/header170.xml" ContentType="application/vnd.openxmlformats-officedocument.wordprocessingml.header+xml"/>
  <Override PartName="/word/footer171.xml" ContentType="application/vnd.openxmlformats-officedocument.wordprocessingml.footer+xml"/>
  <Override PartName="/word/header171.xml" ContentType="application/vnd.openxmlformats-officedocument.wordprocessingml.header+xml"/>
  <Override PartName="/word/footer172.xml" ContentType="application/vnd.openxmlformats-officedocument.wordprocessingml.footer+xml"/>
  <Override PartName="/word/header172.xml" ContentType="application/vnd.openxmlformats-officedocument.wordprocessingml.header+xml"/>
  <Override PartName="/word/footer173.xml" ContentType="application/vnd.openxmlformats-officedocument.wordprocessingml.footer+xml"/>
  <Override PartName="/word/header17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footer175.xml" ContentType="application/vnd.openxmlformats-officedocument.wordprocessingml.footer+xml"/>
  <Override PartName="/word/header175.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footer177.xml" ContentType="application/vnd.openxmlformats-officedocument.wordprocessingml.footer+xml"/>
  <Override PartName="/word/header177.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179.xml" ContentType="application/vnd.openxmlformats-officedocument.wordprocessingml.footer+xml"/>
  <Override PartName="/word/header179.xml" ContentType="application/vnd.openxmlformats-officedocument.wordprocessingml.header+xml"/>
  <Override PartName="/word/footer180.xml" ContentType="application/vnd.openxmlformats-officedocument.wordprocessingml.footer+xml"/>
  <Override PartName="/word/header180.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182.xml" ContentType="application/vnd.openxmlformats-officedocument.wordprocessingml.footer+xml"/>
  <Override PartName="/word/header18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footer184.xml" ContentType="application/vnd.openxmlformats-officedocument.wordprocessingml.footer+xml"/>
  <Override PartName="/word/header184.xml" ContentType="application/vnd.openxmlformats-officedocument.wordprocessingml.header+xml"/>
  <Override PartName="/word/footer185.xml" ContentType="application/vnd.openxmlformats-officedocument.wordprocessingml.footer+xml"/>
  <Override PartName="/word/header185.xml" ContentType="application/vnd.openxmlformats-officedocument.wordprocessingml.header+xml"/>
  <Override PartName="/word/footer186.xml" ContentType="application/vnd.openxmlformats-officedocument.wordprocessingml.footer+xml"/>
  <Override PartName="/word/header186.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footer188.xml" ContentType="application/vnd.openxmlformats-officedocument.wordprocessingml.footer+xml"/>
  <Override PartName="/word/header188.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footer191.xml" ContentType="application/vnd.openxmlformats-officedocument.wordprocessingml.footer+xml"/>
  <Override PartName="/word/header191.xml" ContentType="application/vnd.openxmlformats-officedocument.wordprocessingml.header+xml"/>
  <Override PartName="/word/footer192.xml" ContentType="application/vnd.openxmlformats-officedocument.wordprocessingml.footer+xml"/>
  <Override PartName="/word/header192.xml" ContentType="application/vnd.openxmlformats-officedocument.wordprocessingml.header+xml"/>
  <Override PartName="/word/footer193.xml" ContentType="application/vnd.openxmlformats-officedocument.wordprocessingml.footer+xml"/>
  <Override PartName="/word/header193.xml" ContentType="application/vnd.openxmlformats-officedocument.wordprocessingml.header+xml"/>
  <Override PartName="/word/footer194.xml" ContentType="application/vnd.openxmlformats-officedocument.wordprocessingml.footer+xml"/>
  <Override PartName="/word/header194.xml" ContentType="application/vnd.openxmlformats-officedocument.wordprocessingml.header+xml"/>
  <Override PartName="/word/footer195.xml" ContentType="application/vnd.openxmlformats-officedocument.wordprocessingml.footer+xml"/>
  <Override PartName="/word/header195.xml" ContentType="application/vnd.openxmlformats-officedocument.wordprocessingml.header+xml"/>
  <Override PartName="/word/footer196.xml" ContentType="application/vnd.openxmlformats-officedocument.wordprocessingml.footer+xml"/>
  <Override PartName="/word/header196.xml" ContentType="application/vnd.openxmlformats-officedocument.wordprocessingml.header+xml"/>
  <Override PartName="/word/footer197.xml" ContentType="application/vnd.openxmlformats-officedocument.wordprocessingml.footer+xml"/>
  <Override PartName="/word/header197.xml" ContentType="application/vnd.openxmlformats-officedocument.wordprocessingml.header+xml"/>
  <Override PartName="/word/footer198.xml" ContentType="application/vnd.openxmlformats-officedocument.wordprocessingml.footer+xml"/>
  <Override PartName="/word/header198.xml" ContentType="application/vnd.openxmlformats-officedocument.wordprocessingml.header+xml"/>
  <Override PartName="/word/footer199.xml" ContentType="application/vnd.openxmlformats-officedocument.wordprocessingml.footer+xml"/>
  <Override PartName="/word/header199.xml" ContentType="application/vnd.openxmlformats-officedocument.wordprocessingml.header+xml"/>
  <Override PartName="/word/footer200.xml" ContentType="application/vnd.openxmlformats-officedocument.wordprocessingml.footer+xml"/>
  <Override PartName="/word/header200.xml" ContentType="application/vnd.openxmlformats-officedocument.wordprocessingml.header+xml"/>
  <Override PartName="/word/footer201.xml" ContentType="application/vnd.openxmlformats-officedocument.wordprocessingml.footer+xml"/>
  <Override PartName="/word/header201.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203.xml" ContentType="application/vnd.openxmlformats-officedocument.wordprocessingml.footer+xml"/>
  <Override PartName="/word/header203.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footer205.xml" ContentType="application/vnd.openxmlformats-officedocument.wordprocessingml.footer+xml"/>
  <Override PartName="/word/header205.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07.xml" ContentType="application/vnd.openxmlformats-officedocument.wordprocessingml.footer+xml"/>
  <Override PartName="/word/header207.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09.xml" ContentType="application/vnd.openxmlformats-officedocument.wordprocessingml.footer+xml"/>
  <Override PartName="/word/header209.xml" ContentType="application/vnd.openxmlformats-officedocument.wordprocessingml.header+xml"/>
  <Override PartName="/word/footer210.xml" ContentType="application/vnd.openxmlformats-officedocument.wordprocessingml.footer+xml"/>
  <Override PartName="/word/header210.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212.xml" ContentType="application/vnd.openxmlformats-officedocument.wordprocessingml.footer+xml"/>
  <Override PartName="/word/header212.xml" ContentType="application/vnd.openxmlformats-officedocument.wordprocessingml.header+xml"/>
  <Override PartName="/word/footer213.xml" ContentType="application/vnd.openxmlformats-officedocument.wordprocessingml.footer+xml"/>
  <Override PartName="/word/header213.xml" ContentType="application/vnd.openxmlformats-officedocument.wordprocessingml.header+xml"/>
  <Override PartName="/word/footer214.xml" ContentType="application/vnd.openxmlformats-officedocument.wordprocessingml.footer+xml"/>
  <Override PartName="/word/header214.xml" ContentType="application/vnd.openxmlformats-officedocument.wordprocessingml.header+xml"/>
  <Override PartName="/word/footer215.xml" ContentType="application/vnd.openxmlformats-officedocument.wordprocessingml.footer+xml"/>
  <Override PartName="/word/header215.xml" ContentType="application/vnd.openxmlformats-officedocument.wordprocessingml.header+xml"/>
  <Override PartName="/word/footer216.xml" ContentType="application/vnd.openxmlformats-officedocument.wordprocessingml.footer+xml"/>
  <Override PartName="/word/header216.xml" ContentType="application/vnd.openxmlformats-officedocument.wordprocessingml.header+xml"/>
  <Override PartName="/word/footer217.xml" ContentType="application/vnd.openxmlformats-officedocument.wordprocessingml.footer+xml"/>
  <Override PartName="/word/header217.xml" ContentType="application/vnd.openxmlformats-officedocument.wordprocessingml.header+xml"/>
  <Override PartName="/word/footer2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8"/>
        <w:ind w:left="0" w:right="440" w:firstLine="0"/>
        <w:jc w:val="right"/>
        <w:rPr>
          <w:b/>
          <w:sz w:val="19"/>
        </w:rPr>
      </w:pPr>
      <w:r>
        <w:rPr>
          <w:b/>
          <w:sz w:val="19"/>
          <w:u w:val="single"/>
        </w:rPr>
        <w:t>REPORTABLE</w:t>
      </w:r>
    </w:p>
    <w:p>
      <w:pPr>
        <w:pStyle w:val="BodyText"/>
        <w:rPr>
          <w:b/>
          <w:sz w:val="20"/>
        </w:rPr>
      </w:pPr>
    </w:p>
    <w:p>
      <w:pPr>
        <w:pStyle w:val="BodyText"/>
        <w:rPr>
          <w:b/>
          <w:sz w:val="20"/>
        </w:rPr>
      </w:pPr>
    </w:p>
    <w:p>
      <w:pPr>
        <w:pStyle w:val="BodyText"/>
        <w:rPr>
          <w:b/>
          <w:sz w:val="20"/>
        </w:rPr>
      </w:pPr>
    </w:p>
    <w:p>
      <w:pPr>
        <w:pStyle w:val="BodyText"/>
        <w:spacing w:before="5"/>
        <w:rPr>
          <w:b/>
          <w:sz w:val="19"/>
        </w:rPr>
      </w:pPr>
    </w:p>
    <w:p>
      <w:pPr>
        <w:pStyle w:val="Heading5"/>
        <w:spacing w:line="417" w:lineRule="auto" w:before="92"/>
        <w:ind w:left="2771" w:right="2705" w:firstLine="0"/>
        <w:jc w:val="center"/>
      </w:pPr>
      <w:r>
        <w:rPr>
          <w:color w:val="212121"/>
        </w:rPr>
        <w:t>IN THE SUPREME COURT OF INDIA CIVIL APPELLATE JURISDICTION</w:t>
      </w:r>
    </w:p>
    <w:p>
      <w:pPr>
        <w:spacing w:before="72"/>
        <w:ind w:left="2771" w:right="2711" w:firstLine="0"/>
        <w:jc w:val="center"/>
        <w:rPr>
          <w:b/>
          <w:sz w:val="25"/>
        </w:rPr>
      </w:pPr>
      <w:r>
        <w:rPr>
          <w:b/>
          <w:color w:val="212121"/>
          <w:sz w:val="25"/>
          <w:u w:val="thick" w:color="212121"/>
        </w:rPr>
        <w:t>Civil Appeal Nos 10866-10867 of 2010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2"/>
        </w:rPr>
      </w:pPr>
    </w:p>
    <w:p>
      <w:pPr>
        <w:tabs>
          <w:tab w:pos="7701" w:val="left" w:leader="none"/>
        </w:tabs>
        <w:spacing w:before="91"/>
        <w:ind w:left="500" w:right="0" w:firstLine="0"/>
        <w:jc w:val="left"/>
        <w:rPr>
          <w:b/>
          <w:sz w:val="25"/>
        </w:rPr>
      </w:pPr>
      <w:r>
        <w:rPr>
          <w:b/>
          <w:color w:val="212121"/>
          <w:sz w:val="25"/>
        </w:rPr>
        <w:t>M Siddiq (D)</w:t>
      </w:r>
      <w:r>
        <w:rPr>
          <w:b/>
          <w:color w:val="212121"/>
          <w:spacing w:val="-4"/>
          <w:sz w:val="25"/>
        </w:rPr>
        <w:t> </w:t>
      </w:r>
      <w:r>
        <w:rPr>
          <w:b/>
          <w:color w:val="212121"/>
          <w:sz w:val="25"/>
        </w:rPr>
        <w:t>Thr</w:t>
      </w:r>
      <w:r>
        <w:rPr>
          <w:b/>
          <w:color w:val="212121"/>
          <w:spacing w:val="-3"/>
          <w:sz w:val="25"/>
        </w:rPr>
        <w:t> </w:t>
      </w:r>
      <w:r>
        <w:rPr>
          <w:b/>
          <w:color w:val="212121"/>
          <w:sz w:val="25"/>
        </w:rPr>
        <w:t>Lrs</w:t>
        <w:tab/>
        <w:t>…Appellants</w:t>
      </w:r>
    </w:p>
    <w:p>
      <w:pPr>
        <w:pStyle w:val="BodyText"/>
        <w:rPr>
          <w:b/>
          <w:sz w:val="28"/>
        </w:rPr>
      </w:pPr>
    </w:p>
    <w:p>
      <w:pPr>
        <w:pStyle w:val="BodyText"/>
        <w:spacing w:before="6"/>
        <w:rPr>
          <w:b/>
          <w:sz w:val="40"/>
        </w:rPr>
      </w:pPr>
    </w:p>
    <w:p>
      <w:pPr>
        <w:spacing w:before="0"/>
        <w:ind w:left="2645" w:right="2711" w:firstLine="0"/>
        <w:jc w:val="center"/>
        <w:rPr>
          <w:b/>
          <w:sz w:val="25"/>
        </w:rPr>
      </w:pPr>
      <w:r>
        <w:rPr>
          <w:b/>
          <w:color w:val="212121"/>
          <w:sz w:val="25"/>
        </w:rPr>
        <w:t>Versus</w:t>
      </w:r>
    </w:p>
    <w:p>
      <w:pPr>
        <w:pStyle w:val="BodyText"/>
        <w:rPr>
          <w:b/>
          <w:sz w:val="28"/>
        </w:rPr>
      </w:pPr>
    </w:p>
    <w:p>
      <w:pPr>
        <w:pStyle w:val="BodyText"/>
        <w:rPr>
          <w:b/>
          <w:sz w:val="34"/>
        </w:rPr>
      </w:pPr>
    </w:p>
    <w:p>
      <w:pPr>
        <w:tabs>
          <w:tab w:pos="7100" w:val="left" w:leader="none"/>
        </w:tabs>
        <w:spacing w:before="1"/>
        <w:ind w:left="0" w:right="29" w:firstLine="0"/>
        <w:jc w:val="center"/>
        <w:rPr>
          <w:b/>
          <w:sz w:val="25"/>
        </w:rPr>
      </w:pPr>
      <w:r>
        <w:rPr>
          <w:b/>
          <w:color w:val="212121"/>
          <w:sz w:val="25"/>
        </w:rPr>
        <w:t>Mahant Suresh Das</w:t>
      </w:r>
      <w:r>
        <w:rPr>
          <w:b/>
          <w:color w:val="212121"/>
          <w:spacing w:val="-4"/>
          <w:sz w:val="25"/>
        </w:rPr>
        <w:t> </w:t>
      </w:r>
      <w:r>
        <w:rPr>
          <w:b/>
          <w:color w:val="212121"/>
          <w:sz w:val="25"/>
        </w:rPr>
        <w:t>&amp;</w:t>
      </w:r>
      <w:r>
        <w:rPr>
          <w:b/>
          <w:color w:val="212121"/>
          <w:spacing w:val="-2"/>
          <w:sz w:val="25"/>
        </w:rPr>
        <w:t> </w:t>
      </w:r>
      <w:r>
        <w:rPr>
          <w:b/>
          <w:color w:val="212121"/>
          <w:sz w:val="25"/>
        </w:rPr>
        <w:t>Ors</w:t>
        <w:tab/>
        <w:t>…Respondents</w:t>
      </w:r>
    </w:p>
    <w:p>
      <w:pPr>
        <w:pStyle w:val="BodyText"/>
        <w:rPr>
          <w:b/>
          <w:sz w:val="28"/>
        </w:rPr>
      </w:pPr>
    </w:p>
    <w:p>
      <w:pPr>
        <w:pStyle w:val="BodyText"/>
        <w:rPr>
          <w:b/>
          <w:sz w:val="28"/>
        </w:rPr>
      </w:pPr>
    </w:p>
    <w:p>
      <w:pPr>
        <w:pStyle w:val="BodyText"/>
        <w:rPr>
          <w:b/>
          <w:sz w:val="28"/>
        </w:rPr>
      </w:pPr>
    </w:p>
    <w:p>
      <w:pPr>
        <w:spacing w:before="247"/>
        <w:ind w:left="2768" w:right="2711" w:firstLine="0"/>
        <w:jc w:val="center"/>
        <w:rPr>
          <w:b/>
          <w:sz w:val="25"/>
        </w:rPr>
      </w:pPr>
      <w:r>
        <w:rPr>
          <w:b/>
          <w:color w:val="212121"/>
          <w:sz w:val="25"/>
        </w:rPr>
        <w:t>WITH</w:t>
      </w:r>
    </w:p>
    <w:p>
      <w:pPr>
        <w:pStyle w:val="BodyText"/>
        <w:spacing w:before="1"/>
        <w:rPr>
          <w:b/>
          <w:sz w:val="40"/>
        </w:rPr>
      </w:pPr>
    </w:p>
    <w:p>
      <w:pPr>
        <w:spacing w:line="417" w:lineRule="auto" w:before="0"/>
        <w:ind w:left="3081" w:right="3018" w:firstLine="0"/>
        <w:jc w:val="center"/>
        <w:rPr>
          <w:b/>
          <w:sz w:val="25"/>
        </w:rPr>
      </w:pPr>
      <w:r>
        <w:rPr>
          <w:b/>
          <w:color w:val="212121"/>
          <w:sz w:val="25"/>
        </w:rPr>
        <w:t>Civil Appeal Nos</w:t>
      </w:r>
      <w:r>
        <w:rPr>
          <w:b/>
          <w:color w:val="212121"/>
          <w:spacing w:val="-9"/>
          <w:sz w:val="25"/>
        </w:rPr>
        <w:t> </w:t>
      </w:r>
      <w:r>
        <w:rPr>
          <w:b/>
          <w:color w:val="212121"/>
          <w:sz w:val="25"/>
        </w:rPr>
        <w:t>4768-4771/2011 WITH</w:t>
      </w:r>
    </w:p>
    <w:p>
      <w:pPr>
        <w:spacing w:line="420" w:lineRule="auto" w:before="250"/>
        <w:ind w:left="3435" w:right="3376" w:firstLine="0"/>
        <w:jc w:val="center"/>
        <w:rPr>
          <w:b/>
          <w:sz w:val="25"/>
        </w:rPr>
      </w:pPr>
      <w:r>
        <w:rPr>
          <w:b/>
          <w:color w:val="212121"/>
          <w:sz w:val="25"/>
        </w:rPr>
        <w:t>Civil Appeal No</w:t>
      </w:r>
      <w:r>
        <w:rPr>
          <w:b/>
          <w:color w:val="212121"/>
          <w:spacing w:val="-17"/>
          <w:sz w:val="25"/>
        </w:rPr>
        <w:t> </w:t>
      </w:r>
      <w:r>
        <w:rPr>
          <w:b/>
          <w:color w:val="212121"/>
          <w:sz w:val="25"/>
        </w:rPr>
        <w:t>2636/2011 WITH</w:t>
      </w:r>
    </w:p>
    <w:p>
      <w:pPr>
        <w:spacing w:line="417" w:lineRule="auto" w:before="245"/>
        <w:ind w:left="3469" w:right="3342" w:firstLine="0"/>
        <w:jc w:val="center"/>
        <w:rPr>
          <w:b/>
          <w:sz w:val="25"/>
        </w:rPr>
      </w:pPr>
      <w:r>
        <w:rPr>
          <w:b/>
          <w:color w:val="212121"/>
          <w:sz w:val="25"/>
        </w:rPr>
        <w:t>Civil Appeal No</w:t>
      </w:r>
      <w:r>
        <w:rPr>
          <w:b/>
          <w:color w:val="212121"/>
          <w:spacing w:val="-18"/>
          <w:sz w:val="25"/>
        </w:rPr>
        <w:t> </w:t>
      </w:r>
      <w:r>
        <w:rPr>
          <w:b/>
          <w:color w:val="212121"/>
          <w:sz w:val="25"/>
        </w:rPr>
        <w:t>821/2011 WITH</w:t>
      </w:r>
    </w:p>
    <w:p>
      <w:pPr>
        <w:spacing w:line="417" w:lineRule="auto" w:before="250"/>
        <w:ind w:left="3469" w:right="3342" w:firstLine="0"/>
        <w:jc w:val="center"/>
        <w:rPr>
          <w:b/>
          <w:sz w:val="25"/>
        </w:rPr>
      </w:pPr>
      <w:r>
        <w:rPr/>
        <w:pict>
          <v:group style="position:absolute;margin-left:52pt;margin-top:26.930063pt;width:46pt;height:36pt;mso-position-horizontal-relative:page;mso-position-vertical-relative:paragraph;z-index:15729152" coordorigin="1040,539" coordsize="920,720">
            <v:shape style="position:absolute;left:1276;top:603;width:417;height:611" coordorigin="1277,603" coordsize="417,611" path="m1677,702l1486,702,1514,706,1540,719,1560,745,1568,785,1564,810,1554,831,1538,851,1516,869,1470,907,1444,944,1433,986,1430,1039,1541,1039,1544,1001,1553,975,1569,955,1592,936,1635,902,1667,867,1687,828,1694,782,1677,702xm1479,603l1409,613,1343,647,1295,707,1277,800,1396,800,1396,799,1401,767,1414,736,1441,712,1486,702,1677,702,1676,700,1633,648,1576,619,1521,606,1479,603xm1549,1096l1427,1096,1427,1214,1549,1214,1549,1096xe" filled="true" fillcolor="#000000" stroked="false">
              <v:path arrowok="t"/>
              <v:fill type="solid"/>
            </v:shape>
            <v:shape style="position:absolute;left:1258;top:584;width:417;height:611" coordorigin="1258,584" coordsize="417,611" path="m1658,684l1468,684,1495,688,1522,701,1541,726,1549,767,1545,791,1535,813,1519,832,1497,850,1451,889,1425,926,1414,968,1411,1021,1522,1021,1525,983,1534,956,1550,936,1573,918,1617,884,1648,849,1668,810,1675,763,1658,684xm1460,584l1390,595,1325,628,1277,689,1258,781,1377,781,1377,780,1382,748,1396,717,1422,693,1468,684,1658,684,1657,681,1614,629,1558,600,1502,587,1460,584xm1530,1077l1408,1077,1408,1195,1530,1195,1530,1077xe" filled="true" fillcolor="#ffff66" stroked="false">
              <v:path arrowok="t"/>
              <v:fill type="solid"/>
            </v:shape>
            <v:shape style="position:absolute;left:1258;top:584;width:417;height:611" coordorigin="1258,584" coordsize="417,611" path="m1411,1021l1414,968,1425,926,1451,889,1497,850,1519,832,1535,813,1545,791,1549,767,1541,726,1522,701,1495,688,1468,684,1422,693,1396,717,1382,748,1377,780,1377,781,1258,781,1277,689,1325,628,1390,595,1460,584,1502,587,1558,600,1614,629,1657,681,1675,763,1668,810,1648,849,1617,884,1573,918,1550,936,1534,956,1525,983,1522,1021,1411,1021xm1408,1077l1530,1077,1530,1195,1408,1195,1408,1077xe" filled="false" stroked="true" strokeweight=".0432pt" strokecolor="#707070">
              <v:path arrowok="t"/>
              <v:stroke dashstyle="solid"/>
            </v:shape>
            <v:shape style="position:absolute;left:1040;top:538;width:920;height:720" type="#_x0000_t202" filled="false" stroked="false">
              <v:textbox inset="0,0,0,0">
                <w:txbxContent>
                  <w:p>
                    <w:pPr>
                      <w:spacing w:before="0"/>
                      <w:ind w:left="0" w:right="0" w:firstLine="0"/>
                      <w:jc w:val="left"/>
                      <w:rPr>
                        <w:sz w:val="9"/>
                      </w:rPr>
                    </w:pPr>
                    <w:r>
                      <w:rPr>
                        <w:w w:val="105"/>
                        <w:sz w:val="9"/>
                      </w:rPr>
                      <w:t>Signature Not </w:t>
                    </w:r>
                    <w:r>
                      <w:rPr>
                        <w:spacing w:val="-3"/>
                        <w:w w:val="105"/>
                        <w:sz w:val="9"/>
                      </w:rPr>
                      <w:t>Verified</w:t>
                    </w:r>
                  </w:p>
                  <w:p>
                    <w:pPr>
                      <w:spacing w:line="240" w:lineRule="auto" w:before="6"/>
                      <w:rPr>
                        <w:sz w:val="12"/>
                      </w:rPr>
                    </w:pPr>
                  </w:p>
                  <w:p>
                    <w:pPr>
                      <w:spacing w:line="218" w:lineRule="auto" w:before="0"/>
                      <w:ind w:left="0" w:right="161" w:firstLine="0"/>
                      <w:jc w:val="both"/>
                      <w:rPr>
                        <w:sz w:val="9"/>
                      </w:rPr>
                    </w:pPr>
                    <w:r>
                      <w:rPr>
                        <w:w w:val="105"/>
                        <w:sz w:val="9"/>
                      </w:rPr>
                      <w:t>Digitally signed </w:t>
                    </w:r>
                    <w:r>
                      <w:rPr>
                        <w:spacing w:val="-9"/>
                        <w:w w:val="105"/>
                        <w:sz w:val="9"/>
                      </w:rPr>
                      <w:t>by </w:t>
                    </w:r>
                    <w:r>
                      <w:rPr>
                        <w:w w:val="105"/>
                        <w:sz w:val="9"/>
                      </w:rPr>
                      <w:t>CHETAN </w:t>
                    </w:r>
                    <w:r>
                      <w:rPr>
                        <w:spacing w:val="-3"/>
                        <w:w w:val="105"/>
                        <w:sz w:val="9"/>
                      </w:rPr>
                      <w:t>KUMAR </w:t>
                    </w:r>
                    <w:r>
                      <w:rPr>
                        <w:w w:val="105"/>
                        <w:sz w:val="9"/>
                      </w:rPr>
                      <w:t>Date: 2019.11.09</w:t>
                    </w:r>
                  </w:p>
                  <w:p>
                    <w:pPr>
                      <w:spacing w:line="90" w:lineRule="exact" w:before="0"/>
                      <w:ind w:left="0" w:right="0" w:firstLine="0"/>
                      <w:jc w:val="left"/>
                      <w:rPr>
                        <w:sz w:val="9"/>
                      </w:rPr>
                    </w:pPr>
                    <w:r>
                      <w:rPr>
                        <w:w w:val="105"/>
                        <w:sz w:val="9"/>
                      </w:rPr>
                      <w:t>11:47:46 IST</w:t>
                    </w:r>
                  </w:p>
                  <w:p>
                    <w:pPr>
                      <w:spacing w:line="99" w:lineRule="exact" w:before="0"/>
                      <w:ind w:left="0" w:right="0" w:firstLine="0"/>
                      <w:jc w:val="left"/>
                      <w:rPr>
                        <w:sz w:val="9"/>
                      </w:rPr>
                    </w:pPr>
                    <w:r>
                      <w:rPr>
                        <w:w w:val="105"/>
                        <w:sz w:val="9"/>
                      </w:rPr>
                      <w:t>Reason:</w:t>
                    </w:r>
                  </w:p>
                </w:txbxContent>
              </v:textbox>
              <w10:wrap type="none"/>
            </v:shape>
            <w10:wrap type="none"/>
          </v:group>
        </w:pict>
      </w:r>
      <w:r>
        <w:rPr>
          <w:b/>
          <w:color w:val="212121"/>
          <w:sz w:val="25"/>
        </w:rPr>
        <w:t>Civil Appeal No</w:t>
      </w:r>
      <w:r>
        <w:rPr>
          <w:b/>
          <w:color w:val="212121"/>
          <w:spacing w:val="-17"/>
          <w:sz w:val="25"/>
        </w:rPr>
        <w:t> </w:t>
      </w:r>
      <w:r>
        <w:rPr>
          <w:b/>
          <w:color w:val="212121"/>
          <w:sz w:val="25"/>
        </w:rPr>
        <w:t>4739/2011 WITH</w:t>
      </w:r>
    </w:p>
    <w:p>
      <w:pPr>
        <w:spacing w:before="250"/>
        <w:ind w:left="2771" w:right="2644" w:firstLine="0"/>
        <w:jc w:val="center"/>
        <w:rPr>
          <w:b/>
          <w:sz w:val="25"/>
        </w:rPr>
      </w:pPr>
      <w:r>
        <w:rPr>
          <w:b/>
          <w:color w:val="212121"/>
          <w:sz w:val="25"/>
        </w:rPr>
        <w:t>Civil Appeal Nos 4905-4908/2011</w:t>
      </w:r>
    </w:p>
    <w:p>
      <w:pPr>
        <w:spacing w:after="0"/>
        <w:jc w:val="center"/>
        <w:rPr>
          <w:sz w:val="25"/>
        </w:rPr>
        <w:sectPr>
          <w:footerReference w:type="default" r:id="rId5"/>
          <w:type w:val="continuous"/>
          <w:pgSz w:w="11910" w:h="16840"/>
          <w:pgMar w:footer="1014" w:top="1340" w:bottom="1200" w:left="940" w:right="1000"/>
          <w:pgNumType w:start="1"/>
        </w:sectPr>
      </w:pPr>
    </w:p>
    <w:p>
      <w:pPr>
        <w:spacing w:before="69"/>
        <w:ind w:left="2768" w:right="2711" w:firstLine="0"/>
        <w:jc w:val="center"/>
        <w:rPr>
          <w:b/>
          <w:sz w:val="25"/>
        </w:rPr>
      </w:pPr>
      <w:r>
        <w:rPr>
          <w:b/>
          <w:color w:val="212121"/>
          <w:sz w:val="25"/>
        </w:rPr>
        <w:t>WITH</w:t>
      </w:r>
    </w:p>
    <w:p>
      <w:pPr>
        <w:pStyle w:val="BodyText"/>
        <w:spacing w:before="1"/>
        <w:rPr>
          <w:b/>
          <w:sz w:val="40"/>
        </w:rPr>
      </w:pPr>
    </w:p>
    <w:p>
      <w:pPr>
        <w:spacing w:line="417" w:lineRule="auto" w:before="0"/>
        <w:ind w:left="3435" w:right="3376" w:firstLine="0"/>
        <w:jc w:val="center"/>
        <w:rPr>
          <w:b/>
          <w:sz w:val="25"/>
        </w:rPr>
      </w:pPr>
      <w:r>
        <w:rPr>
          <w:b/>
          <w:color w:val="212121"/>
          <w:sz w:val="25"/>
        </w:rPr>
        <w:t>Civil Appeal No</w:t>
      </w:r>
      <w:r>
        <w:rPr>
          <w:b/>
          <w:color w:val="212121"/>
          <w:spacing w:val="-17"/>
          <w:sz w:val="25"/>
        </w:rPr>
        <w:t> </w:t>
      </w:r>
      <w:r>
        <w:rPr>
          <w:b/>
          <w:color w:val="212121"/>
          <w:sz w:val="25"/>
        </w:rPr>
        <w:t>2215/2011 WITH</w:t>
      </w:r>
    </w:p>
    <w:p>
      <w:pPr>
        <w:spacing w:line="417" w:lineRule="auto" w:before="250"/>
        <w:ind w:left="3469" w:right="3342" w:firstLine="0"/>
        <w:jc w:val="center"/>
        <w:rPr>
          <w:b/>
          <w:sz w:val="25"/>
        </w:rPr>
      </w:pPr>
      <w:r>
        <w:rPr>
          <w:b/>
          <w:color w:val="212121"/>
          <w:sz w:val="25"/>
        </w:rPr>
        <w:t>Civil Appeal No</w:t>
      </w:r>
      <w:r>
        <w:rPr>
          <w:b/>
          <w:color w:val="212121"/>
          <w:spacing w:val="-17"/>
          <w:sz w:val="25"/>
        </w:rPr>
        <w:t> </w:t>
      </w:r>
      <w:r>
        <w:rPr>
          <w:b/>
          <w:color w:val="212121"/>
          <w:sz w:val="25"/>
        </w:rPr>
        <w:t>4740/2011 WITH</w:t>
      </w:r>
    </w:p>
    <w:p>
      <w:pPr>
        <w:spacing w:line="417" w:lineRule="auto" w:before="251"/>
        <w:ind w:left="3469" w:right="3342" w:firstLine="0"/>
        <w:jc w:val="center"/>
        <w:rPr>
          <w:b/>
          <w:sz w:val="25"/>
        </w:rPr>
      </w:pPr>
      <w:r>
        <w:rPr>
          <w:b/>
          <w:color w:val="212121"/>
          <w:sz w:val="25"/>
        </w:rPr>
        <w:t>Civil Appeal No</w:t>
      </w:r>
      <w:r>
        <w:rPr>
          <w:b/>
          <w:color w:val="212121"/>
          <w:spacing w:val="-17"/>
          <w:sz w:val="25"/>
        </w:rPr>
        <w:t> </w:t>
      </w:r>
      <w:r>
        <w:rPr>
          <w:b/>
          <w:color w:val="212121"/>
          <w:sz w:val="25"/>
        </w:rPr>
        <w:t>2894/2011 WITH</w:t>
      </w:r>
    </w:p>
    <w:p>
      <w:pPr>
        <w:spacing w:line="417" w:lineRule="auto" w:before="250"/>
        <w:ind w:left="3435" w:right="3376" w:firstLine="0"/>
        <w:jc w:val="center"/>
        <w:rPr>
          <w:b/>
          <w:sz w:val="25"/>
        </w:rPr>
      </w:pPr>
      <w:r>
        <w:rPr>
          <w:b/>
          <w:color w:val="212121"/>
          <w:sz w:val="25"/>
        </w:rPr>
        <w:t>Civil Appeal No</w:t>
      </w:r>
      <w:r>
        <w:rPr>
          <w:b/>
          <w:color w:val="212121"/>
          <w:spacing w:val="-17"/>
          <w:sz w:val="25"/>
        </w:rPr>
        <w:t> </w:t>
      </w:r>
      <w:r>
        <w:rPr>
          <w:b/>
          <w:color w:val="212121"/>
          <w:sz w:val="25"/>
        </w:rPr>
        <w:t>6965/2011 WITH</w:t>
      </w:r>
    </w:p>
    <w:p>
      <w:pPr>
        <w:spacing w:line="417" w:lineRule="auto" w:before="250"/>
        <w:ind w:left="3435" w:right="3376" w:firstLine="0"/>
        <w:jc w:val="center"/>
        <w:rPr>
          <w:b/>
          <w:sz w:val="25"/>
        </w:rPr>
      </w:pPr>
      <w:r>
        <w:rPr>
          <w:b/>
          <w:color w:val="212121"/>
          <w:sz w:val="25"/>
        </w:rPr>
        <w:t>Civil Appeal No</w:t>
      </w:r>
      <w:r>
        <w:rPr>
          <w:b/>
          <w:color w:val="212121"/>
          <w:spacing w:val="-17"/>
          <w:sz w:val="25"/>
        </w:rPr>
        <w:t> </w:t>
      </w:r>
      <w:r>
        <w:rPr>
          <w:b/>
          <w:color w:val="212121"/>
          <w:sz w:val="25"/>
        </w:rPr>
        <w:t>4192/2011 WITH</w:t>
      </w:r>
    </w:p>
    <w:p>
      <w:pPr>
        <w:spacing w:line="417" w:lineRule="auto" w:before="250"/>
        <w:ind w:left="3435" w:right="3376" w:firstLine="0"/>
        <w:jc w:val="center"/>
        <w:rPr>
          <w:b/>
          <w:sz w:val="25"/>
        </w:rPr>
      </w:pPr>
      <w:r>
        <w:rPr>
          <w:b/>
          <w:color w:val="212121"/>
          <w:sz w:val="25"/>
        </w:rPr>
        <w:t>Civil Appeal No</w:t>
      </w:r>
      <w:r>
        <w:rPr>
          <w:b/>
          <w:color w:val="212121"/>
          <w:spacing w:val="-17"/>
          <w:sz w:val="25"/>
        </w:rPr>
        <w:t> </w:t>
      </w:r>
      <w:r>
        <w:rPr>
          <w:b/>
          <w:color w:val="212121"/>
          <w:sz w:val="25"/>
        </w:rPr>
        <w:t>5498/2011 WITH</w:t>
      </w:r>
    </w:p>
    <w:p>
      <w:pPr>
        <w:spacing w:before="248"/>
        <w:ind w:left="2768" w:right="2711" w:firstLine="0"/>
        <w:jc w:val="center"/>
        <w:rPr>
          <w:b/>
          <w:sz w:val="25"/>
        </w:rPr>
      </w:pPr>
      <w:r>
        <w:rPr>
          <w:b/>
          <w:color w:val="212121"/>
          <w:sz w:val="25"/>
        </w:rPr>
        <w:t>Civil Appeal No 7226/2011</w:t>
      </w:r>
    </w:p>
    <w:p>
      <w:pPr>
        <w:pStyle w:val="BodyText"/>
        <w:rPr>
          <w:b/>
          <w:sz w:val="28"/>
        </w:rPr>
      </w:pPr>
    </w:p>
    <w:p>
      <w:pPr>
        <w:pStyle w:val="BodyText"/>
        <w:rPr>
          <w:b/>
          <w:sz w:val="34"/>
        </w:rPr>
      </w:pPr>
    </w:p>
    <w:p>
      <w:pPr>
        <w:spacing w:before="0"/>
        <w:ind w:left="2765" w:right="2711" w:firstLine="0"/>
        <w:jc w:val="center"/>
        <w:rPr>
          <w:b/>
          <w:sz w:val="25"/>
        </w:rPr>
      </w:pPr>
      <w:r>
        <w:rPr>
          <w:b/>
          <w:color w:val="212121"/>
          <w:sz w:val="25"/>
        </w:rPr>
        <w:t>AND WITH</w:t>
      </w:r>
    </w:p>
    <w:p>
      <w:pPr>
        <w:pStyle w:val="BodyText"/>
        <w:spacing w:before="4"/>
        <w:rPr>
          <w:b/>
          <w:sz w:val="40"/>
        </w:rPr>
      </w:pPr>
    </w:p>
    <w:p>
      <w:pPr>
        <w:spacing w:before="0"/>
        <w:ind w:left="2768" w:right="2711" w:firstLine="0"/>
        <w:jc w:val="center"/>
        <w:rPr>
          <w:b/>
          <w:sz w:val="25"/>
        </w:rPr>
      </w:pPr>
      <w:r>
        <w:rPr>
          <w:b/>
          <w:color w:val="212121"/>
          <w:sz w:val="25"/>
        </w:rPr>
        <w:t>Civil Appeal No 8096/2011</w:t>
      </w:r>
    </w:p>
    <w:p>
      <w:pPr>
        <w:spacing w:after="0"/>
        <w:jc w:val="center"/>
        <w:rPr>
          <w:sz w:val="25"/>
        </w:rPr>
        <w:sectPr>
          <w:pgSz w:w="11910" w:h="16840"/>
          <w:pgMar w:header="0" w:footer="1014" w:top="1560" w:bottom="1200" w:left="940" w:right="1000"/>
        </w:sectPr>
      </w:pPr>
    </w:p>
    <w:p>
      <w:pPr>
        <w:spacing w:before="78"/>
        <w:ind w:left="2765" w:right="2711" w:firstLine="0"/>
        <w:jc w:val="center"/>
        <w:rPr>
          <w:b/>
          <w:sz w:val="26"/>
        </w:rPr>
      </w:pPr>
      <w:r>
        <w:rPr>
          <w:b/>
          <w:sz w:val="26"/>
          <w:u w:val="thick"/>
        </w:rPr>
        <w:t>J U D G M E N T</w:t>
      </w:r>
    </w:p>
    <w:p>
      <w:pPr>
        <w:pStyle w:val="BodyText"/>
        <w:rPr>
          <w:b/>
          <w:sz w:val="20"/>
        </w:rPr>
      </w:pPr>
    </w:p>
    <w:p>
      <w:pPr>
        <w:pStyle w:val="BodyText"/>
        <w:rPr>
          <w:b/>
          <w:sz w:val="20"/>
        </w:rPr>
      </w:pPr>
    </w:p>
    <w:p>
      <w:pPr>
        <w:pStyle w:val="BodyText"/>
        <w:rPr>
          <w:b/>
          <w:sz w:val="20"/>
        </w:rPr>
      </w:pPr>
    </w:p>
    <w:p>
      <w:pPr>
        <w:spacing w:before="206"/>
        <w:ind w:left="2770" w:right="2711" w:firstLine="0"/>
        <w:jc w:val="center"/>
        <w:rPr>
          <w:b/>
          <w:sz w:val="26"/>
        </w:rPr>
      </w:pPr>
      <w:r>
        <w:rPr>
          <w:b/>
          <w:sz w:val="26"/>
        </w:rPr>
        <w:t>INDEX</w:t>
      </w:r>
    </w:p>
    <w:p>
      <w:pPr>
        <w:pStyle w:val="BodyText"/>
        <w:rPr>
          <w:b/>
          <w:sz w:val="28"/>
        </w:rPr>
      </w:pPr>
    </w:p>
    <w:p>
      <w:pPr>
        <w:pStyle w:val="BodyText"/>
        <w:rPr>
          <w:b/>
          <w:sz w:val="28"/>
        </w:rPr>
      </w:pPr>
    </w:p>
    <w:p>
      <w:pPr>
        <w:pStyle w:val="ListParagraph"/>
        <w:numPr>
          <w:ilvl w:val="0"/>
          <w:numId w:val="1"/>
        </w:numPr>
        <w:tabs>
          <w:tab w:pos="1076" w:val="left" w:leader="none"/>
          <w:tab w:pos="1077" w:val="left" w:leader="none"/>
        </w:tabs>
        <w:spacing w:line="240" w:lineRule="auto" w:before="209" w:after="0"/>
        <w:ind w:left="1076" w:right="0" w:hanging="505"/>
        <w:jc w:val="left"/>
        <w:rPr>
          <w:sz w:val="25"/>
        </w:rPr>
      </w:pPr>
      <w:r>
        <w:rPr>
          <w:sz w:val="25"/>
        </w:rPr>
        <w:t>Introduction</w:t>
      </w:r>
    </w:p>
    <w:p>
      <w:pPr>
        <w:pStyle w:val="BodyText"/>
        <w:rPr>
          <w:sz w:val="23"/>
        </w:rPr>
      </w:pPr>
    </w:p>
    <w:p>
      <w:pPr>
        <w:pStyle w:val="ListParagraph"/>
        <w:numPr>
          <w:ilvl w:val="0"/>
          <w:numId w:val="1"/>
        </w:numPr>
        <w:tabs>
          <w:tab w:pos="1076" w:val="left" w:leader="none"/>
          <w:tab w:pos="1077" w:val="left" w:leader="none"/>
        </w:tabs>
        <w:spacing w:line="240" w:lineRule="auto" w:before="0" w:after="0"/>
        <w:ind w:left="1076" w:right="0" w:hanging="505"/>
        <w:jc w:val="left"/>
        <w:rPr>
          <w:sz w:val="25"/>
        </w:rPr>
      </w:pPr>
      <w:r>
        <w:rPr>
          <w:sz w:val="25"/>
        </w:rPr>
        <w:t>An overview of the</w:t>
      </w:r>
      <w:r>
        <w:rPr>
          <w:spacing w:val="-4"/>
          <w:sz w:val="25"/>
        </w:rPr>
        <w:t> </w:t>
      </w:r>
      <w:r>
        <w:rPr>
          <w:sz w:val="25"/>
        </w:rPr>
        <w:t>suits</w:t>
      </w:r>
    </w:p>
    <w:p>
      <w:pPr>
        <w:pStyle w:val="BodyText"/>
        <w:spacing w:before="10"/>
        <w:rPr>
          <w:sz w:val="22"/>
        </w:rPr>
      </w:pPr>
    </w:p>
    <w:p>
      <w:pPr>
        <w:pStyle w:val="ListParagraph"/>
        <w:numPr>
          <w:ilvl w:val="0"/>
          <w:numId w:val="1"/>
        </w:numPr>
        <w:tabs>
          <w:tab w:pos="1076" w:val="left" w:leader="none"/>
          <w:tab w:pos="1077" w:val="left" w:leader="none"/>
        </w:tabs>
        <w:spacing w:line="240" w:lineRule="auto" w:before="0" w:after="0"/>
        <w:ind w:left="1076" w:right="0" w:hanging="505"/>
        <w:jc w:val="left"/>
        <w:rPr>
          <w:sz w:val="25"/>
        </w:rPr>
      </w:pPr>
      <w:r>
        <w:rPr>
          <w:sz w:val="25"/>
        </w:rPr>
        <w:t>Evidence: a bird‘s eye</w:t>
      </w:r>
      <w:r>
        <w:rPr>
          <w:spacing w:val="-1"/>
          <w:sz w:val="25"/>
        </w:rPr>
        <w:t> </w:t>
      </w:r>
      <w:r>
        <w:rPr>
          <w:sz w:val="25"/>
        </w:rPr>
        <w:t>view</w:t>
      </w:r>
    </w:p>
    <w:p>
      <w:pPr>
        <w:pStyle w:val="BodyText"/>
        <w:spacing w:before="6"/>
        <w:rPr>
          <w:sz w:val="22"/>
        </w:rPr>
      </w:pPr>
    </w:p>
    <w:p>
      <w:pPr>
        <w:pStyle w:val="ListParagraph"/>
        <w:numPr>
          <w:ilvl w:val="0"/>
          <w:numId w:val="1"/>
        </w:numPr>
        <w:tabs>
          <w:tab w:pos="1076" w:val="left" w:leader="none"/>
          <w:tab w:pos="1077" w:val="left" w:leader="none"/>
        </w:tabs>
        <w:spacing w:line="240" w:lineRule="auto" w:before="1" w:after="0"/>
        <w:ind w:left="1076" w:right="0" w:hanging="505"/>
        <w:jc w:val="left"/>
        <w:rPr>
          <w:sz w:val="25"/>
        </w:rPr>
      </w:pPr>
      <w:r>
        <w:rPr>
          <w:sz w:val="25"/>
        </w:rPr>
        <w:t>The aftermath of</w:t>
      </w:r>
      <w:r>
        <w:rPr>
          <w:spacing w:val="-3"/>
          <w:sz w:val="25"/>
        </w:rPr>
        <w:t> </w:t>
      </w:r>
      <w:r>
        <w:rPr>
          <w:sz w:val="25"/>
        </w:rPr>
        <w:t>1856-7</w:t>
      </w:r>
    </w:p>
    <w:p>
      <w:pPr>
        <w:pStyle w:val="ListParagraph"/>
        <w:numPr>
          <w:ilvl w:val="1"/>
          <w:numId w:val="1"/>
        </w:numPr>
        <w:tabs>
          <w:tab w:pos="1940" w:val="left" w:leader="none"/>
          <w:tab w:pos="1941" w:val="left" w:leader="none"/>
        </w:tabs>
        <w:spacing w:line="240" w:lineRule="auto" w:before="182" w:after="0"/>
        <w:ind w:left="1940" w:right="0" w:hanging="875"/>
        <w:jc w:val="left"/>
        <w:rPr>
          <w:sz w:val="25"/>
        </w:rPr>
      </w:pPr>
      <w:r>
        <w:rPr>
          <w:sz w:val="25"/>
        </w:rPr>
        <w:t>Response to the</w:t>
      </w:r>
      <w:r>
        <w:rPr>
          <w:spacing w:val="-2"/>
          <w:sz w:val="25"/>
        </w:rPr>
        <w:t> </w:t>
      </w:r>
      <w:r>
        <w:rPr>
          <w:sz w:val="25"/>
        </w:rPr>
        <w:t>wall</w:t>
      </w:r>
    </w:p>
    <w:p>
      <w:pPr>
        <w:pStyle w:val="ListParagraph"/>
        <w:numPr>
          <w:ilvl w:val="1"/>
          <w:numId w:val="1"/>
        </w:numPr>
        <w:tabs>
          <w:tab w:pos="1940" w:val="left" w:leader="none"/>
          <w:tab w:pos="1941" w:val="left" w:leader="none"/>
        </w:tabs>
        <w:spacing w:line="240" w:lineRule="auto" w:before="186" w:after="0"/>
        <w:ind w:left="1940" w:right="0" w:hanging="880"/>
        <w:jc w:val="left"/>
        <w:rPr>
          <w:sz w:val="25"/>
        </w:rPr>
      </w:pPr>
      <w:r>
        <w:rPr>
          <w:sz w:val="25"/>
        </w:rPr>
        <w:t>Period between</w:t>
      </w:r>
      <w:r>
        <w:rPr>
          <w:spacing w:val="-2"/>
          <w:sz w:val="25"/>
        </w:rPr>
        <w:t> </w:t>
      </w:r>
      <w:r>
        <w:rPr>
          <w:sz w:val="25"/>
        </w:rPr>
        <w:t>1934-1949</w:t>
      </w:r>
    </w:p>
    <w:p>
      <w:pPr>
        <w:pStyle w:val="BodyText"/>
        <w:spacing w:before="9"/>
        <w:rPr>
          <w:sz w:val="22"/>
        </w:rPr>
      </w:pPr>
    </w:p>
    <w:p>
      <w:pPr>
        <w:pStyle w:val="ListParagraph"/>
        <w:numPr>
          <w:ilvl w:val="0"/>
          <w:numId w:val="1"/>
        </w:numPr>
        <w:tabs>
          <w:tab w:pos="1076" w:val="left" w:leader="none"/>
          <w:tab w:pos="1077" w:val="left" w:leader="none"/>
        </w:tabs>
        <w:spacing w:line="240" w:lineRule="auto" w:before="0" w:after="0"/>
        <w:ind w:left="1076" w:right="0" w:hanging="505"/>
        <w:jc w:val="left"/>
        <w:rPr>
          <w:sz w:val="25"/>
        </w:rPr>
      </w:pPr>
      <w:r>
        <w:rPr>
          <w:sz w:val="25"/>
        </w:rPr>
        <w:t>Proceedings under Section</w:t>
      </w:r>
      <w:r>
        <w:rPr>
          <w:spacing w:val="-1"/>
          <w:sz w:val="25"/>
        </w:rPr>
        <w:t> </w:t>
      </w:r>
      <w:r>
        <w:rPr>
          <w:sz w:val="25"/>
        </w:rPr>
        <w:t>145</w:t>
      </w:r>
    </w:p>
    <w:p>
      <w:pPr>
        <w:pStyle w:val="BodyText"/>
        <w:rPr>
          <w:sz w:val="23"/>
        </w:rPr>
      </w:pPr>
    </w:p>
    <w:p>
      <w:pPr>
        <w:pStyle w:val="ListParagraph"/>
        <w:numPr>
          <w:ilvl w:val="0"/>
          <w:numId w:val="1"/>
        </w:numPr>
        <w:tabs>
          <w:tab w:pos="1076" w:val="left" w:leader="none"/>
          <w:tab w:pos="1077" w:val="left" w:leader="none"/>
        </w:tabs>
        <w:spacing w:line="240" w:lineRule="auto" w:before="0" w:after="0"/>
        <w:ind w:left="1076" w:right="0" w:hanging="505"/>
        <w:jc w:val="left"/>
        <w:rPr>
          <w:sz w:val="25"/>
        </w:rPr>
      </w:pPr>
      <w:r>
        <w:rPr>
          <w:sz w:val="25"/>
        </w:rPr>
        <w:t>Points for</w:t>
      </w:r>
      <w:r>
        <w:rPr>
          <w:spacing w:val="-2"/>
          <w:sz w:val="25"/>
        </w:rPr>
        <w:t> </w:t>
      </w:r>
      <w:r>
        <w:rPr>
          <w:sz w:val="25"/>
        </w:rPr>
        <w:t>determination</w:t>
      </w:r>
    </w:p>
    <w:p>
      <w:pPr>
        <w:pStyle w:val="BodyText"/>
        <w:spacing w:before="9"/>
        <w:rPr>
          <w:sz w:val="22"/>
        </w:rPr>
      </w:pPr>
    </w:p>
    <w:p>
      <w:pPr>
        <w:pStyle w:val="ListParagraph"/>
        <w:numPr>
          <w:ilvl w:val="0"/>
          <w:numId w:val="1"/>
        </w:numPr>
        <w:tabs>
          <w:tab w:pos="1076" w:val="left" w:leader="none"/>
          <w:tab w:pos="1077" w:val="left" w:leader="none"/>
        </w:tabs>
        <w:spacing w:line="240" w:lineRule="auto" w:before="0" w:after="0"/>
        <w:ind w:left="1076" w:right="0" w:hanging="505"/>
        <w:jc w:val="left"/>
        <w:rPr>
          <w:sz w:val="25"/>
        </w:rPr>
      </w:pPr>
      <w:r>
        <w:rPr>
          <w:sz w:val="25"/>
        </w:rPr>
        <w:t>The three</w:t>
      </w:r>
      <w:r>
        <w:rPr>
          <w:spacing w:val="-1"/>
          <w:sz w:val="25"/>
        </w:rPr>
        <w:t> </w:t>
      </w:r>
      <w:r>
        <w:rPr>
          <w:sz w:val="25"/>
        </w:rPr>
        <w:t>inscriptions</w:t>
      </w:r>
    </w:p>
    <w:p>
      <w:pPr>
        <w:pStyle w:val="BodyText"/>
        <w:spacing w:before="9"/>
        <w:rPr>
          <w:sz w:val="22"/>
        </w:rPr>
      </w:pPr>
    </w:p>
    <w:p>
      <w:pPr>
        <w:pStyle w:val="ListParagraph"/>
        <w:numPr>
          <w:ilvl w:val="0"/>
          <w:numId w:val="1"/>
        </w:numPr>
        <w:tabs>
          <w:tab w:pos="1076" w:val="left" w:leader="none"/>
          <w:tab w:pos="1077" w:val="left" w:leader="none"/>
        </w:tabs>
        <w:spacing w:line="240" w:lineRule="auto" w:before="1" w:after="0"/>
        <w:ind w:left="1076" w:right="0" w:hanging="505"/>
        <w:jc w:val="left"/>
        <w:rPr>
          <w:sz w:val="25"/>
        </w:rPr>
      </w:pPr>
      <w:r>
        <w:rPr>
          <w:sz w:val="25"/>
        </w:rPr>
        <w:t>Judicial review and characteristics of a mosque in Islamic</w:t>
      </w:r>
      <w:r>
        <w:rPr>
          <w:spacing w:val="-10"/>
          <w:sz w:val="25"/>
        </w:rPr>
        <w:t> </w:t>
      </w:r>
      <w:r>
        <w:rPr>
          <w:sz w:val="25"/>
        </w:rPr>
        <w:t>law</w:t>
      </w:r>
    </w:p>
    <w:p>
      <w:pPr>
        <w:pStyle w:val="BodyText"/>
        <w:spacing w:before="9"/>
        <w:rPr>
          <w:sz w:val="22"/>
        </w:rPr>
      </w:pPr>
    </w:p>
    <w:p>
      <w:pPr>
        <w:pStyle w:val="ListParagraph"/>
        <w:numPr>
          <w:ilvl w:val="0"/>
          <w:numId w:val="1"/>
        </w:numPr>
        <w:tabs>
          <w:tab w:pos="1076" w:val="left" w:leader="none"/>
          <w:tab w:pos="1077" w:val="left" w:leader="none"/>
        </w:tabs>
        <w:spacing w:line="240" w:lineRule="auto" w:before="0" w:after="0"/>
        <w:ind w:left="1076" w:right="0" w:hanging="505"/>
        <w:jc w:val="left"/>
        <w:rPr>
          <w:sz w:val="25"/>
        </w:rPr>
      </w:pPr>
      <w:r>
        <w:rPr>
          <w:sz w:val="25"/>
        </w:rPr>
        <w:t>Places of Worship</w:t>
      </w:r>
      <w:r>
        <w:rPr>
          <w:spacing w:val="-5"/>
          <w:sz w:val="25"/>
        </w:rPr>
        <w:t> </w:t>
      </w:r>
      <w:r>
        <w:rPr>
          <w:sz w:val="25"/>
        </w:rPr>
        <w:t>Act</w:t>
      </w:r>
    </w:p>
    <w:p>
      <w:pPr>
        <w:pStyle w:val="BodyText"/>
        <w:spacing w:before="9"/>
        <w:rPr>
          <w:sz w:val="22"/>
        </w:rPr>
      </w:pPr>
    </w:p>
    <w:p>
      <w:pPr>
        <w:pStyle w:val="ListParagraph"/>
        <w:numPr>
          <w:ilvl w:val="0"/>
          <w:numId w:val="1"/>
        </w:numPr>
        <w:tabs>
          <w:tab w:pos="1076" w:val="left" w:leader="none"/>
          <w:tab w:pos="1077" w:val="left" w:leader="none"/>
        </w:tabs>
        <w:spacing w:line="240" w:lineRule="auto" w:before="0" w:after="0"/>
        <w:ind w:left="1076" w:right="0" w:hanging="505"/>
        <w:jc w:val="left"/>
        <w:rPr>
          <w:sz w:val="25"/>
        </w:rPr>
      </w:pPr>
      <w:r>
        <w:rPr>
          <w:sz w:val="25"/>
        </w:rPr>
        <w:t>Juristic</w:t>
      </w:r>
      <w:r>
        <w:rPr>
          <w:spacing w:val="-2"/>
          <w:sz w:val="25"/>
        </w:rPr>
        <w:t> </w:t>
      </w:r>
      <w:r>
        <w:rPr>
          <w:sz w:val="25"/>
        </w:rPr>
        <w:t>personality</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Development of the</w:t>
      </w:r>
      <w:r>
        <w:rPr>
          <w:spacing w:val="-4"/>
          <w:sz w:val="25"/>
        </w:rPr>
        <w:t> </w:t>
      </w:r>
      <w:r>
        <w:rPr>
          <w:sz w:val="25"/>
        </w:rPr>
        <w:t>law</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Idols and juristic</w:t>
      </w:r>
      <w:r>
        <w:rPr>
          <w:spacing w:val="-2"/>
          <w:sz w:val="25"/>
        </w:rPr>
        <w:t> </w:t>
      </w:r>
      <w:r>
        <w:rPr>
          <w:sz w:val="25"/>
        </w:rPr>
        <w:t>personality</w:t>
      </w:r>
    </w:p>
    <w:p>
      <w:pPr>
        <w:pStyle w:val="ListParagraph"/>
        <w:numPr>
          <w:ilvl w:val="1"/>
          <w:numId w:val="1"/>
        </w:numPr>
        <w:tabs>
          <w:tab w:pos="1940" w:val="left" w:leader="none"/>
          <w:tab w:pos="1941" w:val="left" w:leader="none"/>
        </w:tabs>
        <w:spacing w:line="240" w:lineRule="auto" w:before="180" w:after="0"/>
        <w:ind w:left="1940" w:right="0" w:hanging="875"/>
        <w:jc w:val="left"/>
        <w:rPr>
          <w:sz w:val="25"/>
        </w:rPr>
      </w:pPr>
      <w:r>
        <w:rPr>
          <w:sz w:val="25"/>
        </w:rPr>
        <w:t>Juristic personality of the first</w:t>
      </w:r>
      <w:r>
        <w:rPr>
          <w:spacing w:val="-4"/>
          <w:sz w:val="25"/>
        </w:rPr>
        <w:t> </w:t>
      </w:r>
      <w:r>
        <w:rPr>
          <w:sz w:val="25"/>
        </w:rPr>
        <w:t>plaintiff</w:t>
      </w:r>
    </w:p>
    <w:p>
      <w:pPr>
        <w:pStyle w:val="ListParagraph"/>
        <w:numPr>
          <w:ilvl w:val="1"/>
          <w:numId w:val="1"/>
        </w:numPr>
        <w:tabs>
          <w:tab w:pos="1940" w:val="left" w:leader="none"/>
          <w:tab w:pos="1941" w:val="left" w:leader="none"/>
        </w:tabs>
        <w:spacing w:line="240" w:lineRule="auto" w:before="186" w:after="0"/>
        <w:ind w:left="1940" w:right="0" w:hanging="880"/>
        <w:jc w:val="left"/>
        <w:rPr>
          <w:sz w:val="25"/>
        </w:rPr>
      </w:pPr>
      <w:r>
        <w:rPr>
          <w:sz w:val="25"/>
        </w:rPr>
        <w:t>Juristic personality of the second</w:t>
      </w:r>
      <w:r>
        <w:rPr>
          <w:spacing w:val="-3"/>
          <w:sz w:val="25"/>
        </w:rPr>
        <w:t> </w:t>
      </w:r>
      <w:r>
        <w:rPr>
          <w:sz w:val="25"/>
        </w:rPr>
        <w:t>plaintiff</w:t>
      </w:r>
    </w:p>
    <w:p>
      <w:pPr>
        <w:pStyle w:val="BodyText"/>
        <w:rPr>
          <w:sz w:val="23"/>
        </w:rPr>
      </w:pPr>
    </w:p>
    <w:p>
      <w:pPr>
        <w:pStyle w:val="ListParagraph"/>
        <w:numPr>
          <w:ilvl w:val="0"/>
          <w:numId w:val="1"/>
        </w:numPr>
        <w:tabs>
          <w:tab w:pos="1076" w:val="left" w:leader="none"/>
          <w:tab w:pos="1077" w:val="left" w:leader="none"/>
        </w:tabs>
        <w:spacing w:line="240" w:lineRule="auto" w:before="0" w:after="0"/>
        <w:ind w:left="1076" w:right="0" w:hanging="505"/>
        <w:jc w:val="left"/>
        <w:rPr>
          <w:sz w:val="25"/>
        </w:rPr>
      </w:pPr>
      <w:r>
        <w:rPr>
          <w:sz w:val="25"/>
        </w:rPr>
        <w:t>Analysis of the</w:t>
      </w:r>
      <w:r>
        <w:rPr>
          <w:spacing w:val="-2"/>
          <w:sz w:val="25"/>
        </w:rPr>
        <w:t> </w:t>
      </w:r>
      <w:r>
        <w:rPr>
          <w:sz w:val="25"/>
        </w:rPr>
        <w:t>suits</w:t>
      </w:r>
    </w:p>
    <w:p>
      <w:pPr>
        <w:pStyle w:val="BodyText"/>
        <w:spacing w:before="7"/>
        <w:rPr>
          <w:sz w:val="22"/>
        </w:rPr>
      </w:pPr>
    </w:p>
    <w:p>
      <w:pPr>
        <w:pStyle w:val="ListParagraph"/>
        <w:numPr>
          <w:ilvl w:val="0"/>
          <w:numId w:val="1"/>
        </w:numPr>
        <w:tabs>
          <w:tab w:pos="1066" w:val="left" w:leader="none"/>
          <w:tab w:pos="1067" w:val="left" w:leader="none"/>
        </w:tabs>
        <w:spacing w:line="240" w:lineRule="auto" w:before="0" w:after="0"/>
        <w:ind w:left="1066" w:right="0" w:hanging="500"/>
        <w:jc w:val="left"/>
        <w:rPr>
          <w:sz w:val="25"/>
        </w:rPr>
      </w:pPr>
      <w:r>
        <w:rPr>
          <w:sz w:val="25"/>
        </w:rPr>
        <w:t>Suit 1: Gopal Singh</w:t>
      </w:r>
      <w:r>
        <w:rPr>
          <w:spacing w:val="-45"/>
          <w:sz w:val="25"/>
        </w:rPr>
        <w:t> </w:t>
      </w:r>
      <w:r>
        <w:rPr>
          <w:sz w:val="25"/>
        </w:rPr>
        <w:t>Visharad</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Pleadings</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Issues and findings of the High</w:t>
      </w:r>
      <w:r>
        <w:rPr>
          <w:spacing w:val="-6"/>
          <w:sz w:val="25"/>
        </w:rPr>
        <w:t> </w:t>
      </w:r>
      <w:r>
        <w:rPr>
          <w:sz w:val="25"/>
        </w:rPr>
        <w:t>Court</w:t>
      </w:r>
    </w:p>
    <w:p>
      <w:pPr>
        <w:pStyle w:val="ListParagraph"/>
        <w:numPr>
          <w:ilvl w:val="1"/>
          <w:numId w:val="1"/>
        </w:numPr>
        <w:tabs>
          <w:tab w:pos="1940" w:val="left" w:leader="none"/>
          <w:tab w:pos="1941" w:val="left" w:leader="none"/>
        </w:tabs>
        <w:spacing w:line="240" w:lineRule="auto" w:before="185" w:after="0"/>
        <w:ind w:left="1940" w:right="0" w:hanging="880"/>
        <w:jc w:val="left"/>
        <w:rPr>
          <w:sz w:val="25"/>
        </w:rPr>
      </w:pPr>
      <w:r>
        <w:rPr>
          <w:sz w:val="25"/>
        </w:rPr>
        <w:t>Analysis</w:t>
      </w:r>
    </w:p>
    <w:p>
      <w:pPr>
        <w:pStyle w:val="BodyText"/>
        <w:spacing w:before="7"/>
        <w:rPr>
          <w:sz w:val="22"/>
        </w:rPr>
      </w:pPr>
    </w:p>
    <w:p>
      <w:pPr>
        <w:pStyle w:val="ListParagraph"/>
        <w:numPr>
          <w:ilvl w:val="0"/>
          <w:numId w:val="1"/>
        </w:numPr>
        <w:tabs>
          <w:tab w:pos="1066" w:val="left" w:leader="none"/>
          <w:tab w:pos="1067" w:val="left" w:leader="none"/>
        </w:tabs>
        <w:spacing w:line="240" w:lineRule="auto" w:before="0" w:after="0"/>
        <w:ind w:left="1066" w:right="0" w:hanging="500"/>
        <w:jc w:val="left"/>
        <w:rPr>
          <w:sz w:val="25"/>
        </w:rPr>
      </w:pPr>
      <w:r>
        <w:rPr>
          <w:sz w:val="25"/>
        </w:rPr>
        <w:t>Suit 3: Nirmohi</w:t>
      </w:r>
      <w:r>
        <w:rPr>
          <w:spacing w:val="-46"/>
          <w:sz w:val="25"/>
        </w:rPr>
        <w:t> </w:t>
      </w:r>
      <w:r>
        <w:rPr>
          <w:sz w:val="25"/>
        </w:rPr>
        <w:t>Akhara</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Pleadings</w:t>
      </w:r>
    </w:p>
    <w:p>
      <w:pPr>
        <w:spacing w:after="0" w:line="240" w:lineRule="auto"/>
        <w:jc w:val="left"/>
        <w:rPr>
          <w:sz w:val="25"/>
        </w:rPr>
        <w:sectPr>
          <w:pgSz w:w="11910" w:h="16840"/>
          <w:pgMar w:header="0" w:footer="1014" w:top="1340" w:bottom="1200" w:left="940" w:right="1000"/>
        </w:sectPr>
      </w:pPr>
    </w:p>
    <w:p>
      <w:pPr>
        <w:pStyle w:val="ListParagraph"/>
        <w:numPr>
          <w:ilvl w:val="1"/>
          <w:numId w:val="1"/>
        </w:numPr>
        <w:tabs>
          <w:tab w:pos="1940" w:val="left" w:leader="none"/>
          <w:tab w:pos="1941" w:val="left" w:leader="none"/>
        </w:tabs>
        <w:spacing w:line="240" w:lineRule="auto" w:before="78" w:after="0"/>
        <w:ind w:left="1940" w:right="0" w:hanging="875"/>
        <w:jc w:val="left"/>
        <w:rPr>
          <w:sz w:val="25"/>
        </w:rPr>
      </w:pPr>
      <w:r>
        <w:rPr>
          <w:sz w:val="25"/>
        </w:rPr>
        <w:t>Conflict between Suit 3 and Suit</w:t>
      </w:r>
      <w:r>
        <w:rPr>
          <w:spacing w:val="-3"/>
          <w:sz w:val="25"/>
        </w:rPr>
        <w:t> </w:t>
      </w:r>
      <w:r>
        <w:rPr>
          <w:sz w:val="25"/>
        </w:rPr>
        <w:t>5</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Issues and findings of the High</w:t>
      </w:r>
      <w:r>
        <w:rPr>
          <w:spacing w:val="-6"/>
          <w:sz w:val="25"/>
        </w:rPr>
        <w:t> </w:t>
      </w:r>
      <w:r>
        <w:rPr>
          <w:sz w:val="25"/>
        </w:rPr>
        <w:t>Court</w:t>
      </w:r>
    </w:p>
    <w:p>
      <w:pPr>
        <w:pStyle w:val="ListParagraph"/>
        <w:numPr>
          <w:ilvl w:val="1"/>
          <w:numId w:val="1"/>
        </w:numPr>
        <w:tabs>
          <w:tab w:pos="1940" w:val="left" w:leader="none"/>
          <w:tab w:pos="1941" w:val="left" w:leader="none"/>
        </w:tabs>
        <w:spacing w:line="240" w:lineRule="auto" w:before="182" w:after="0"/>
        <w:ind w:left="1940" w:right="0" w:hanging="875"/>
        <w:jc w:val="left"/>
        <w:rPr>
          <w:sz w:val="25"/>
        </w:rPr>
      </w:pPr>
      <w:r>
        <w:rPr>
          <w:sz w:val="25"/>
        </w:rPr>
        <w:t>Limitation in Suit</w:t>
      </w:r>
      <w:r>
        <w:rPr>
          <w:spacing w:val="-3"/>
          <w:sz w:val="25"/>
        </w:rPr>
        <w:t> </w:t>
      </w:r>
      <w:r>
        <w:rPr>
          <w:sz w:val="25"/>
        </w:rPr>
        <w:t>3</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Oral testimony of the Nirmohi</w:t>
      </w:r>
      <w:r>
        <w:rPr>
          <w:spacing w:val="-7"/>
          <w:sz w:val="25"/>
        </w:rPr>
        <w:t> </w:t>
      </w:r>
      <w:r>
        <w:rPr>
          <w:sz w:val="25"/>
        </w:rPr>
        <w:t>witnesses</w:t>
      </w:r>
    </w:p>
    <w:p>
      <w:pPr>
        <w:pStyle w:val="ListParagraph"/>
        <w:numPr>
          <w:ilvl w:val="1"/>
          <w:numId w:val="1"/>
        </w:numPr>
        <w:tabs>
          <w:tab w:pos="1940" w:val="left" w:leader="none"/>
          <w:tab w:pos="1941" w:val="left" w:leader="none"/>
        </w:tabs>
        <w:spacing w:line="393" w:lineRule="auto" w:before="183" w:after="0"/>
        <w:ind w:left="1940" w:right="1322" w:hanging="874"/>
        <w:jc w:val="left"/>
        <w:rPr>
          <w:sz w:val="25"/>
        </w:rPr>
      </w:pPr>
      <w:r>
        <w:rPr>
          <w:sz w:val="25"/>
        </w:rPr>
        <w:t>Nirmohi Akhara‘s claim to possession of the inner courtyard Documentary evidence in regard to the mosque</w:t>
      </w:r>
      <w:r>
        <w:rPr>
          <w:spacing w:val="-11"/>
          <w:sz w:val="25"/>
        </w:rPr>
        <w:t> </w:t>
      </w:r>
      <w:r>
        <w:rPr>
          <w:sz w:val="25"/>
        </w:rPr>
        <w:t>(1934-1949)</w:t>
      </w:r>
    </w:p>
    <w:p>
      <w:pPr>
        <w:pStyle w:val="ListParagraph"/>
        <w:numPr>
          <w:ilvl w:val="0"/>
          <w:numId w:val="1"/>
        </w:numPr>
        <w:tabs>
          <w:tab w:pos="1066" w:val="left" w:leader="none"/>
          <w:tab w:pos="1067" w:val="left" w:leader="none"/>
        </w:tabs>
        <w:spacing w:line="240" w:lineRule="auto" w:before="77" w:after="0"/>
        <w:ind w:left="1066" w:right="0" w:hanging="500"/>
        <w:jc w:val="left"/>
        <w:rPr>
          <w:sz w:val="25"/>
        </w:rPr>
      </w:pPr>
      <w:r>
        <w:rPr>
          <w:sz w:val="25"/>
        </w:rPr>
        <w:t>Suit 5:   The</w:t>
      </w:r>
      <w:r>
        <w:rPr>
          <w:spacing w:val="-48"/>
          <w:sz w:val="25"/>
        </w:rPr>
        <w:t> </w:t>
      </w:r>
      <w:r>
        <w:rPr>
          <w:sz w:val="25"/>
        </w:rPr>
        <w:t>deities</w:t>
      </w:r>
    </w:p>
    <w:p>
      <w:pPr>
        <w:pStyle w:val="ListParagraph"/>
        <w:numPr>
          <w:ilvl w:val="1"/>
          <w:numId w:val="1"/>
        </w:numPr>
        <w:tabs>
          <w:tab w:pos="1940" w:val="left" w:leader="none"/>
          <w:tab w:pos="1941" w:val="left" w:leader="none"/>
        </w:tabs>
        <w:spacing w:line="240" w:lineRule="auto" w:before="184" w:after="0"/>
        <w:ind w:left="1940" w:right="0" w:hanging="875"/>
        <w:jc w:val="left"/>
        <w:rPr>
          <w:sz w:val="25"/>
        </w:rPr>
      </w:pPr>
      <w:r>
        <w:rPr>
          <w:sz w:val="25"/>
        </w:rPr>
        <w:t>Array of</w:t>
      </w:r>
      <w:r>
        <w:rPr>
          <w:spacing w:val="-4"/>
          <w:sz w:val="25"/>
        </w:rPr>
        <w:t> </w:t>
      </w:r>
      <w:r>
        <w:rPr>
          <w:sz w:val="25"/>
        </w:rPr>
        <w:t>parties</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No contest by the State of Uttar</w:t>
      </w:r>
      <w:r>
        <w:rPr>
          <w:spacing w:val="-6"/>
          <w:sz w:val="25"/>
        </w:rPr>
        <w:t> </w:t>
      </w:r>
      <w:r>
        <w:rPr>
          <w:sz w:val="25"/>
        </w:rPr>
        <w:t>Pradesh</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Pleadings</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Written statements</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Issues and findings of the High</w:t>
      </w:r>
      <w:r>
        <w:rPr>
          <w:spacing w:val="-6"/>
          <w:sz w:val="25"/>
        </w:rPr>
        <w:t> </w:t>
      </w:r>
      <w:r>
        <w:rPr>
          <w:sz w:val="25"/>
        </w:rPr>
        <w:t>Court</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Shebaits: an exclusive right to</w:t>
      </w:r>
      <w:r>
        <w:rPr>
          <w:spacing w:val="-4"/>
          <w:sz w:val="25"/>
        </w:rPr>
        <w:t> </w:t>
      </w:r>
      <w:r>
        <w:rPr>
          <w:sz w:val="25"/>
        </w:rPr>
        <w:t>sue?</w:t>
      </w:r>
    </w:p>
    <w:p>
      <w:pPr>
        <w:pStyle w:val="BodyText"/>
        <w:spacing w:line="396" w:lineRule="auto" w:before="180"/>
        <w:ind w:left="1940" w:right="3049"/>
      </w:pPr>
      <w:r>
        <w:rPr/>
        <w:t>A suit by a worshipper or a person interested Nirmohi Akhara and shebaiti rights</w:t>
      </w:r>
    </w:p>
    <w:p>
      <w:pPr>
        <w:pStyle w:val="ListParagraph"/>
        <w:numPr>
          <w:ilvl w:val="1"/>
          <w:numId w:val="1"/>
        </w:numPr>
        <w:tabs>
          <w:tab w:pos="1940" w:val="left" w:leader="none"/>
          <w:tab w:pos="1941" w:val="left" w:leader="none"/>
        </w:tabs>
        <w:spacing w:line="240" w:lineRule="auto" w:before="74" w:after="0"/>
        <w:ind w:left="1940" w:right="0" w:hanging="875"/>
        <w:jc w:val="left"/>
        <w:rPr>
          <w:sz w:val="25"/>
        </w:rPr>
      </w:pPr>
      <w:r>
        <w:rPr>
          <w:sz w:val="25"/>
        </w:rPr>
        <w:t>Limitation in Suit</w:t>
      </w:r>
      <w:r>
        <w:rPr>
          <w:spacing w:val="-3"/>
          <w:sz w:val="25"/>
        </w:rPr>
        <w:t> </w:t>
      </w:r>
      <w:r>
        <w:rPr>
          <w:sz w:val="25"/>
        </w:rPr>
        <w:t>5</w:t>
      </w:r>
    </w:p>
    <w:p>
      <w:pPr>
        <w:pStyle w:val="BodyText"/>
        <w:spacing w:before="186"/>
        <w:ind w:left="1940"/>
      </w:pPr>
      <w:r>
        <w:rPr/>
        <w:t>The argument of perpetual minority</w:t>
      </w:r>
    </w:p>
    <w:p>
      <w:pPr>
        <w:pStyle w:val="BodyText"/>
        <w:spacing w:before="6"/>
        <w:rPr>
          <w:sz w:val="22"/>
        </w:rPr>
      </w:pPr>
    </w:p>
    <w:p>
      <w:pPr>
        <w:pStyle w:val="ListParagraph"/>
        <w:numPr>
          <w:ilvl w:val="1"/>
          <w:numId w:val="1"/>
        </w:numPr>
        <w:tabs>
          <w:tab w:pos="1940" w:val="left" w:leader="none"/>
          <w:tab w:pos="1941" w:val="left" w:leader="none"/>
        </w:tabs>
        <w:spacing w:line="240" w:lineRule="auto" w:before="0" w:after="0"/>
        <w:ind w:left="1940" w:right="0" w:hanging="875"/>
        <w:jc w:val="left"/>
        <w:rPr>
          <w:i/>
          <w:sz w:val="25"/>
        </w:rPr>
      </w:pPr>
      <w:r>
        <w:rPr>
          <w:sz w:val="25"/>
        </w:rPr>
        <w:t>The Suit of 1885 and </w:t>
      </w:r>
      <w:r>
        <w:rPr>
          <w:i/>
          <w:sz w:val="25"/>
        </w:rPr>
        <w:t>Res</w:t>
      </w:r>
      <w:r>
        <w:rPr>
          <w:i/>
          <w:spacing w:val="-3"/>
          <w:sz w:val="25"/>
        </w:rPr>
        <w:t> </w:t>
      </w:r>
      <w:r>
        <w:rPr>
          <w:i/>
          <w:sz w:val="25"/>
        </w:rPr>
        <w:t>Judicata</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Archaeological</w:t>
      </w:r>
      <w:r>
        <w:rPr>
          <w:spacing w:val="-2"/>
          <w:sz w:val="25"/>
        </w:rPr>
        <w:t> </w:t>
      </w:r>
      <w:r>
        <w:rPr>
          <w:sz w:val="25"/>
        </w:rPr>
        <w:t>report</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Nature and use of the disputed structure: oral</w:t>
      </w:r>
      <w:r>
        <w:rPr>
          <w:spacing w:val="-8"/>
          <w:sz w:val="25"/>
        </w:rPr>
        <w:t> </w:t>
      </w:r>
      <w:r>
        <w:rPr>
          <w:sz w:val="25"/>
        </w:rPr>
        <w:t>evidence</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Photographs of the disputed</w:t>
      </w:r>
      <w:r>
        <w:rPr>
          <w:spacing w:val="-4"/>
          <w:sz w:val="25"/>
        </w:rPr>
        <w:t> </w:t>
      </w:r>
      <w:r>
        <w:rPr>
          <w:sz w:val="25"/>
        </w:rPr>
        <w:t>structure</w:t>
      </w:r>
    </w:p>
    <w:p>
      <w:pPr>
        <w:pStyle w:val="ListParagraph"/>
        <w:numPr>
          <w:ilvl w:val="1"/>
          <w:numId w:val="1"/>
        </w:numPr>
        <w:tabs>
          <w:tab w:pos="1940" w:val="left" w:leader="none"/>
          <w:tab w:pos="1941" w:val="left" w:leader="none"/>
        </w:tabs>
        <w:spacing w:line="240" w:lineRule="auto" w:before="184" w:after="0"/>
        <w:ind w:left="1940" w:right="0" w:hanging="875"/>
        <w:jc w:val="left"/>
        <w:rPr>
          <w:sz w:val="25"/>
        </w:rPr>
      </w:pPr>
      <w:r>
        <w:rPr>
          <w:sz w:val="25"/>
        </w:rPr>
        <w:t>Vishnu Hari</w:t>
      </w:r>
      <w:r>
        <w:rPr>
          <w:spacing w:val="-2"/>
          <w:sz w:val="25"/>
        </w:rPr>
        <w:t> </w:t>
      </w:r>
      <w:r>
        <w:rPr>
          <w:sz w:val="25"/>
        </w:rPr>
        <w:t>inscriptions</w:t>
      </w:r>
    </w:p>
    <w:p>
      <w:pPr>
        <w:pStyle w:val="ListParagraph"/>
        <w:numPr>
          <w:ilvl w:val="1"/>
          <w:numId w:val="1"/>
        </w:numPr>
        <w:tabs>
          <w:tab w:pos="1940" w:val="left" w:leader="none"/>
          <w:tab w:pos="1941" w:val="left" w:leader="none"/>
        </w:tabs>
        <w:spacing w:line="393" w:lineRule="auto" w:before="180" w:after="0"/>
        <w:ind w:left="1940" w:right="4120" w:hanging="874"/>
        <w:jc w:val="left"/>
        <w:rPr>
          <w:sz w:val="25"/>
        </w:rPr>
      </w:pPr>
      <w:r>
        <w:rPr>
          <w:sz w:val="25"/>
        </w:rPr>
        <w:t>The polestar of faith and belief Travelogues, gazetteers and</w:t>
      </w:r>
      <w:r>
        <w:rPr>
          <w:spacing w:val="-10"/>
          <w:sz w:val="25"/>
        </w:rPr>
        <w:t> </w:t>
      </w:r>
      <w:r>
        <w:rPr>
          <w:sz w:val="25"/>
        </w:rPr>
        <w:t>books</w:t>
      </w:r>
    </w:p>
    <w:p>
      <w:pPr>
        <w:pStyle w:val="BodyText"/>
        <w:spacing w:line="285" w:lineRule="exact"/>
        <w:ind w:left="1938"/>
      </w:pPr>
      <w:r>
        <w:rPr/>
        <w:t>Evidentiary value of travelogues, gazetteers and books</w:t>
      </w:r>
    </w:p>
    <w:p>
      <w:pPr>
        <w:pStyle w:val="ListParagraph"/>
        <w:numPr>
          <w:ilvl w:val="1"/>
          <w:numId w:val="1"/>
        </w:numPr>
        <w:tabs>
          <w:tab w:pos="1940" w:val="left" w:leader="none"/>
          <w:tab w:pos="1941" w:val="left" w:leader="none"/>
        </w:tabs>
        <w:spacing w:line="240" w:lineRule="auto" w:before="185" w:after="0"/>
        <w:ind w:left="1940" w:right="0" w:hanging="880"/>
        <w:jc w:val="left"/>
        <w:rPr>
          <w:sz w:val="25"/>
        </w:rPr>
      </w:pPr>
      <w:r>
        <w:rPr>
          <w:sz w:val="25"/>
        </w:rPr>
        <w:t>Historian‘s report</w:t>
      </w:r>
    </w:p>
    <w:p>
      <w:pPr>
        <w:pStyle w:val="BodyText"/>
        <w:spacing w:before="9"/>
        <w:rPr>
          <w:sz w:val="22"/>
        </w:rPr>
      </w:pPr>
    </w:p>
    <w:p>
      <w:pPr>
        <w:pStyle w:val="ListParagraph"/>
        <w:numPr>
          <w:ilvl w:val="0"/>
          <w:numId w:val="1"/>
        </w:numPr>
        <w:tabs>
          <w:tab w:pos="1066" w:val="left" w:leader="none"/>
          <w:tab w:pos="1067" w:val="left" w:leader="none"/>
        </w:tabs>
        <w:spacing w:line="240" w:lineRule="auto" w:before="1" w:after="0"/>
        <w:ind w:left="1066" w:right="0" w:hanging="500"/>
        <w:jc w:val="left"/>
        <w:rPr>
          <w:sz w:val="25"/>
        </w:rPr>
      </w:pPr>
      <w:r>
        <w:rPr>
          <w:sz w:val="25"/>
        </w:rPr>
        <w:t>Suit 4: Sunni Central Waqf</w:t>
      </w:r>
      <w:r>
        <w:rPr>
          <w:spacing w:val="19"/>
          <w:sz w:val="25"/>
        </w:rPr>
        <w:t> </w:t>
      </w:r>
      <w:r>
        <w:rPr>
          <w:sz w:val="25"/>
        </w:rPr>
        <w:t>Board</w:t>
      </w:r>
    </w:p>
    <w:p>
      <w:pPr>
        <w:pStyle w:val="ListParagraph"/>
        <w:numPr>
          <w:ilvl w:val="1"/>
          <w:numId w:val="1"/>
        </w:numPr>
        <w:tabs>
          <w:tab w:pos="1940" w:val="left" w:leader="none"/>
          <w:tab w:pos="1941" w:val="left" w:leader="none"/>
        </w:tabs>
        <w:spacing w:line="240" w:lineRule="auto" w:before="180" w:after="0"/>
        <w:ind w:left="1940" w:right="0" w:hanging="875"/>
        <w:jc w:val="left"/>
        <w:rPr>
          <w:sz w:val="25"/>
        </w:rPr>
      </w:pPr>
      <w:r>
        <w:rPr>
          <w:sz w:val="25"/>
        </w:rPr>
        <w:t>Analysis of the</w:t>
      </w:r>
      <w:r>
        <w:rPr>
          <w:spacing w:val="-2"/>
          <w:sz w:val="25"/>
        </w:rPr>
        <w:t> </w:t>
      </w:r>
      <w:r>
        <w:rPr>
          <w:sz w:val="25"/>
        </w:rPr>
        <w:t>plaint</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Written</w:t>
      </w:r>
      <w:r>
        <w:rPr>
          <w:spacing w:val="-2"/>
          <w:sz w:val="25"/>
        </w:rPr>
        <w:t> </w:t>
      </w:r>
      <w:r>
        <w:rPr>
          <w:sz w:val="25"/>
        </w:rPr>
        <w:t>statements</w:t>
      </w:r>
    </w:p>
    <w:p>
      <w:pPr>
        <w:spacing w:after="0" w:line="240" w:lineRule="auto"/>
        <w:jc w:val="left"/>
        <w:rPr>
          <w:sz w:val="25"/>
        </w:rPr>
        <w:sectPr>
          <w:pgSz w:w="11910" w:h="16840"/>
          <w:pgMar w:header="0" w:footer="1014" w:top="1340" w:bottom="1200" w:left="940" w:right="1000"/>
        </w:sectPr>
      </w:pPr>
    </w:p>
    <w:p>
      <w:pPr>
        <w:pStyle w:val="ListParagraph"/>
        <w:numPr>
          <w:ilvl w:val="1"/>
          <w:numId w:val="1"/>
        </w:numPr>
        <w:tabs>
          <w:tab w:pos="1940" w:val="left" w:leader="none"/>
          <w:tab w:pos="1941" w:val="left" w:leader="none"/>
        </w:tabs>
        <w:spacing w:line="240" w:lineRule="auto" w:before="78" w:after="0"/>
        <w:ind w:left="1940" w:right="0" w:hanging="875"/>
        <w:jc w:val="left"/>
        <w:rPr>
          <w:sz w:val="25"/>
        </w:rPr>
      </w:pPr>
      <w:r>
        <w:rPr>
          <w:sz w:val="25"/>
        </w:rPr>
        <w:t>Issues and findings of the High</w:t>
      </w:r>
      <w:r>
        <w:rPr>
          <w:spacing w:val="-6"/>
          <w:sz w:val="25"/>
        </w:rPr>
        <w:t> </w:t>
      </w:r>
      <w:r>
        <w:rPr>
          <w:sz w:val="25"/>
        </w:rPr>
        <w:t>Court</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Limitation in Suit</w:t>
      </w:r>
      <w:r>
        <w:rPr>
          <w:spacing w:val="-3"/>
          <w:sz w:val="25"/>
        </w:rPr>
        <w:t> </w:t>
      </w:r>
      <w:r>
        <w:rPr>
          <w:sz w:val="25"/>
        </w:rPr>
        <w:t>4</w:t>
      </w:r>
    </w:p>
    <w:p>
      <w:pPr>
        <w:pStyle w:val="ListParagraph"/>
        <w:numPr>
          <w:ilvl w:val="1"/>
          <w:numId w:val="1"/>
        </w:numPr>
        <w:tabs>
          <w:tab w:pos="1940" w:val="left" w:leader="none"/>
          <w:tab w:pos="1941" w:val="left" w:leader="none"/>
        </w:tabs>
        <w:spacing w:line="240" w:lineRule="auto" w:before="182" w:after="0"/>
        <w:ind w:left="1940" w:right="0" w:hanging="875"/>
        <w:jc w:val="left"/>
        <w:rPr>
          <w:sz w:val="25"/>
        </w:rPr>
      </w:pPr>
      <w:r>
        <w:rPr>
          <w:sz w:val="25"/>
        </w:rPr>
        <w:t>Applicable legal regime and Justice, Equity and Good</w:t>
      </w:r>
      <w:r>
        <w:rPr>
          <w:spacing w:val="-11"/>
          <w:sz w:val="25"/>
        </w:rPr>
        <w:t> </w:t>
      </w:r>
      <w:r>
        <w:rPr>
          <w:sz w:val="25"/>
        </w:rPr>
        <w:t>Conscience</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Grants and</w:t>
      </w:r>
      <w:r>
        <w:rPr>
          <w:spacing w:val="-2"/>
          <w:sz w:val="25"/>
        </w:rPr>
        <w:t> </w:t>
      </w:r>
      <w:r>
        <w:rPr>
          <w:sz w:val="25"/>
        </w:rPr>
        <w:t>recognition</w:t>
      </w:r>
    </w:p>
    <w:p>
      <w:pPr>
        <w:pStyle w:val="ListParagraph"/>
        <w:numPr>
          <w:ilvl w:val="1"/>
          <w:numId w:val="1"/>
        </w:numPr>
        <w:tabs>
          <w:tab w:pos="1940" w:val="left" w:leader="none"/>
          <w:tab w:pos="1941" w:val="left" w:leader="none"/>
        </w:tabs>
        <w:spacing w:line="393" w:lineRule="auto" w:before="183" w:after="0"/>
        <w:ind w:left="1940" w:right="3496" w:hanging="874"/>
        <w:jc w:val="left"/>
        <w:rPr>
          <w:sz w:val="25"/>
        </w:rPr>
      </w:pPr>
      <w:r>
        <w:rPr>
          <w:sz w:val="25"/>
        </w:rPr>
        <w:t>Disputes and cases affirming possession Impact of Suit of</w:t>
      </w:r>
      <w:r>
        <w:rPr>
          <w:spacing w:val="-4"/>
          <w:sz w:val="25"/>
        </w:rPr>
        <w:t> </w:t>
      </w:r>
      <w:r>
        <w:rPr>
          <w:sz w:val="25"/>
        </w:rPr>
        <w:t>1885</w:t>
      </w:r>
    </w:p>
    <w:p>
      <w:pPr>
        <w:pStyle w:val="BodyText"/>
        <w:spacing w:line="285" w:lineRule="exact"/>
        <w:ind w:left="1940"/>
      </w:pPr>
      <w:r>
        <w:rPr/>
        <w:t>Incidents between 1934 and 1950</w:t>
      </w:r>
    </w:p>
    <w:p>
      <w:pPr>
        <w:pStyle w:val="ListParagraph"/>
        <w:numPr>
          <w:ilvl w:val="1"/>
          <w:numId w:val="1"/>
        </w:numPr>
        <w:tabs>
          <w:tab w:pos="1940" w:val="left" w:leader="none"/>
          <w:tab w:pos="1941" w:val="left" w:leader="none"/>
        </w:tabs>
        <w:spacing w:line="240" w:lineRule="auto" w:before="184" w:after="0"/>
        <w:ind w:left="1940" w:right="0" w:hanging="875"/>
        <w:jc w:val="left"/>
        <w:rPr>
          <w:sz w:val="25"/>
        </w:rPr>
      </w:pPr>
      <w:r>
        <w:rPr>
          <w:sz w:val="25"/>
        </w:rPr>
        <w:t>Proof of</w:t>
      </w:r>
      <w:r>
        <w:rPr>
          <w:spacing w:val="-3"/>
          <w:sz w:val="25"/>
        </w:rPr>
        <w:t> </w:t>
      </w:r>
      <w:r>
        <w:rPr>
          <w:sz w:val="25"/>
        </w:rPr>
        <w:t>namaz</w:t>
      </w:r>
    </w:p>
    <w:p>
      <w:pPr>
        <w:pStyle w:val="ListParagraph"/>
        <w:numPr>
          <w:ilvl w:val="1"/>
          <w:numId w:val="1"/>
        </w:numPr>
        <w:tabs>
          <w:tab w:pos="1940" w:val="left" w:leader="none"/>
          <w:tab w:pos="1941" w:val="left" w:leader="none"/>
        </w:tabs>
        <w:spacing w:line="240" w:lineRule="auto" w:before="180" w:after="0"/>
        <w:ind w:left="1940" w:right="0" w:hanging="875"/>
        <w:jc w:val="left"/>
        <w:rPr>
          <w:sz w:val="25"/>
        </w:rPr>
      </w:pPr>
      <w:r>
        <w:rPr>
          <w:sz w:val="25"/>
        </w:rPr>
        <w:t>Placing of idols in</w:t>
      </w:r>
      <w:r>
        <w:rPr>
          <w:spacing w:val="-3"/>
          <w:sz w:val="25"/>
        </w:rPr>
        <w:t> </w:t>
      </w:r>
      <w:r>
        <w:rPr>
          <w:sz w:val="25"/>
        </w:rPr>
        <w:t>1949</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Nazul</w:t>
      </w:r>
      <w:r>
        <w:rPr>
          <w:spacing w:val="-2"/>
          <w:sz w:val="25"/>
        </w:rPr>
        <w:t> </w:t>
      </w:r>
      <w:r>
        <w:rPr>
          <w:sz w:val="25"/>
        </w:rPr>
        <w:t>land</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Waqf by</w:t>
      </w:r>
      <w:r>
        <w:rPr>
          <w:spacing w:val="-4"/>
          <w:sz w:val="25"/>
        </w:rPr>
        <w:t> </w:t>
      </w:r>
      <w:r>
        <w:rPr>
          <w:sz w:val="25"/>
        </w:rPr>
        <w:t>user</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Possession and adverse</w:t>
      </w:r>
      <w:r>
        <w:rPr>
          <w:spacing w:val="-3"/>
          <w:sz w:val="25"/>
        </w:rPr>
        <w:t> </w:t>
      </w:r>
      <w:r>
        <w:rPr>
          <w:sz w:val="25"/>
        </w:rPr>
        <w:t>possession</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Doctrine of the lost</w:t>
      </w:r>
      <w:r>
        <w:rPr>
          <w:spacing w:val="-1"/>
          <w:sz w:val="25"/>
        </w:rPr>
        <w:t> </w:t>
      </w:r>
      <w:r>
        <w:rPr>
          <w:sz w:val="25"/>
        </w:rPr>
        <w:t>grant</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The smokescreen of the disputed premises – the wall of</w:t>
      </w:r>
      <w:r>
        <w:rPr>
          <w:spacing w:val="-7"/>
          <w:sz w:val="25"/>
        </w:rPr>
        <w:t> </w:t>
      </w:r>
      <w:r>
        <w:rPr>
          <w:sz w:val="25"/>
        </w:rPr>
        <w:t>1858</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Analysis of evidence in Suit</w:t>
      </w:r>
      <w:r>
        <w:rPr>
          <w:spacing w:val="-5"/>
          <w:sz w:val="25"/>
        </w:rPr>
        <w:t> </w:t>
      </w:r>
      <w:r>
        <w:rPr>
          <w:sz w:val="25"/>
        </w:rPr>
        <w:t>4</w:t>
      </w:r>
    </w:p>
    <w:p>
      <w:pPr>
        <w:pStyle w:val="ListParagraph"/>
        <w:numPr>
          <w:ilvl w:val="1"/>
          <w:numId w:val="1"/>
        </w:numPr>
        <w:tabs>
          <w:tab w:pos="1937" w:val="left" w:leader="none"/>
          <w:tab w:pos="1938" w:val="left" w:leader="none"/>
        </w:tabs>
        <w:spacing w:line="240" w:lineRule="auto" w:before="183" w:after="0"/>
        <w:ind w:left="1938" w:right="0" w:hanging="872"/>
        <w:jc w:val="left"/>
        <w:rPr>
          <w:sz w:val="25"/>
        </w:rPr>
      </w:pPr>
      <w:r>
        <w:rPr>
          <w:sz w:val="25"/>
        </w:rPr>
        <w:t>The Muslim claim to possessory</w:t>
      </w:r>
      <w:r>
        <w:rPr>
          <w:spacing w:val="-4"/>
          <w:sz w:val="25"/>
        </w:rPr>
        <w:t> </w:t>
      </w:r>
      <w:r>
        <w:rPr>
          <w:sz w:val="25"/>
        </w:rPr>
        <w:t>title</w:t>
      </w:r>
    </w:p>
    <w:p>
      <w:pPr>
        <w:pStyle w:val="BodyText"/>
        <w:spacing w:before="1"/>
      </w:pPr>
    </w:p>
    <w:p>
      <w:pPr>
        <w:pStyle w:val="ListParagraph"/>
        <w:numPr>
          <w:ilvl w:val="0"/>
          <w:numId w:val="1"/>
        </w:numPr>
        <w:tabs>
          <w:tab w:pos="1066" w:val="left" w:leader="none"/>
          <w:tab w:pos="1067" w:val="left" w:leader="none"/>
        </w:tabs>
        <w:spacing w:line="240" w:lineRule="auto" w:before="0" w:after="0"/>
        <w:ind w:left="1066" w:right="0" w:hanging="500"/>
        <w:jc w:val="left"/>
        <w:rPr>
          <w:sz w:val="25"/>
        </w:rPr>
      </w:pPr>
      <w:r>
        <w:rPr>
          <w:sz w:val="25"/>
        </w:rPr>
        <w:t>Analysis on</w:t>
      </w:r>
      <w:r>
        <w:rPr>
          <w:spacing w:val="-2"/>
          <w:sz w:val="25"/>
        </w:rPr>
        <w:t> </w:t>
      </w:r>
      <w:r>
        <w:rPr>
          <w:sz w:val="25"/>
        </w:rPr>
        <w:t>title</w:t>
      </w:r>
    </w:p>
    <w:p>
      <w:pPr>
        <w:pStyle w:val="ListParagraph"/>
        <w:numPr>
          <w:ilvl w:val="1"/>
          <w:numId w:val="1"/>
        </w:numPr>
        <w:tabs>
          <w:tab w:pos="1940" w:val="left" w:leader="none"/>
          <w:tab w:pos="1941" w:val="left" w:leader="none"/>
        </w:tabs>
        <w:spacing w:line="240" w:lineRule="auto" w:before="181" w:after="0"/>
        <w:ind w:left="1940" w:right="0" w:hanging="875"/>
        <w:jc w:val="left"/>
        <w:rPr>
          <w:sz w:val="25"/>
        </w:rPr>
      </w:pPr>
      <w:r>
        <w:rPr>
          <w:sz w:val="25"/>
        </w:rPr>
        <w:t>Marshalling the evidence in Suit 4 and Suit</w:t>
      </w:r>
      <w:r>
        <w:rPr>
          <w:spacing w:val="-8"/>
          <w:sz w:val="25"/>
        </w:rPr>
        <w:t> </w:t>
      </w:r>
      <w:r>
        <w:rPr>
          <w:sz w:val="25"/>
        </w:rPr>
        <w:t>5</w:t>
      </w:r>
    </w:p>
    <w:p>
      <w:pPr>
        <w:pStyle w:val="ListParagraph"/>
        <w:numPr>
          <w:ilvl w:val="1"/>
          <w:numId w:val="1"/>
        </w:numPr>
        <w:tabs>
          <w:tab w:pos="1940" w:val="left" w:leader="none"/>
          <w:tab w:pos="1941" w:val="left" w:leader="none"/>
        </w:tabs>
        <w:spacing w:line="240" w:lineRule="auto" w:before="183" w:after="0"/>
        <w:ind w:left="1940" w:right="0" w:hanging="875"/>
        <w:jc w:val="left"/>
        <w:rPr>
          <w:sz w:val="25"/>
        </w:rPr>
      </w:pPr>
      <w:r>
        <w:rPr>
          <w:sz w:val="25"/>
        </w:rPr>
        <w:t>Conclusion on</w:t>
      </w:r>
      <w:r>
        <w:rPr>
          <w:spacing w:val="-1"/>
          <w:sz w:val="25"/>
        </w:rPr>
        <w:t> </w:t>
      </w:r>
      <w:r>
        <w:rPr>
          <w:sz w:val="25"/>
        </w:rPr>
        <w:t>title</w:t>
      </w:r>
    </w:p>
    <w:p>
      <w:pPr>
        <w:pStyle w:val="BodyText"/>
        <w:spacing w:before="1"/>
      </w:pPr>
    </w:p>
    <w:p>
      <w:pPr>
        <w:pStyle w:val="ListParagraph"/>
        <w:numPr>
          <w:ilvl w:val="0"/>
          <w:numId w:val="1"/>
        </w:numPr>
        <w:tabs>
          <w:tab w:pos="1066" w:val="left" w:leader="none"/>
          <w:tab w:pos="1067" w:val="left" w:leader="none"/>
        </w:tabs>
        <w:spacing w:line="240" w:lineRule="auto" w:before="0" w:after="0"/>
        <w:ind w:left="1066" w:right="0" w:hanging="500"/>
        <w:jc w:val="left"/>
        <w:rPr>
          <w:sz w:val="25"/>
        </w:rPr>
      </w:pPr>
      <w:r>
        <w:rPr>
          <w:sz w:val="25"/>
        </w:rPr>
        <w:t>Reliefs and</w:t>
      </w:r>
      <w:r>
        <w:rPr>
          <w:spacing w:val="-2"/>
          <w:sz w:val="25"/>
        </w:rPr>
        <w:t> </w:t>
      </w:r>
      <w:r>
        <w:rPr>
          <w:sz w:val="25"/>
        </w:rPr>
        <w:t>directions</w:t>
      </w:r>
    </w:p>
    <w:p>
      <w:pPr>
        <w:spacing w:after="0" w:line="240" w:lineRule="auto"/>
        <w:jc w:val="left"/>
        <w:rPr>
          <w:sz w:val="25"/>
        </w:rPr>
        <w:sectPr>
          <w:pgSz w:w="11910" w:h="16840"/>
          <w:pgMar w:header="0" w:footer="1014" w:top="1340" w:bottom="1200" w:left="940" w:right="1000"/>
        </w:sectPr>
      </w:pPr>
    </w:p>
    <w:p>
      <w:pPr>
        <w:pStyle w:val="Heading3"/>
        <w:numPr>
          <w:ilvl w:val="0"/>
          <w:numId w:val="2"/>
        </w:numPr>
        <w:tabs>
          <w:tab w:pos="928" w:val="left" w:leader="none"/>
        </w:tabs>
        <w:spacing w:line="240" w:lineRule="auto" w:before="124" w:after="0"/>
        <w:ind w:left="927" w:right="0" w:hanging="361"/>
        <w:jc w:val="both"/>
      </w:pPr>
      <w:r>
        <w:rPr/>
        <w:t>Introduction</w:t>
      </w:r>
    </w:p>
    <w:p>
      <w:pPr>
        <w:pStyle w:val="BodyText"/>
        <w:rPr>
          <w:b/>
          <w:sz w:val="28"/>
        </w:rPr>
      </w:pPr>
    </w:p>
    <w:p>
      <w:pPr>
        <w:pStyle w:val="ListParagraph"/>
        <w:numPr>
          <w:ilvl w:val="0"/>
          <w:numId w:val="3"/>
        </w:numPr>
        <w:tabs>
          <w:tab w:pos="1221" w:val="left" w:leader="none"/>
        </w:tabs>
        <w:spacing w:line="480" w:lineRule="auto" w:before="216" w:after="0"/>
        <w:ind w:left="500" w:right="435" w:firstLine="0"/>
        <w:jc w:val="both"/>
        <w:rPr>
          <w:color w:val="000009"/>
          <w:sz w:val="25"/>
        </w:rPr>
      </w:pPr>
      <w:r>
        <w:rPr>
          <w:color w:val="000009"/>
          <w:sz w:val="25"/>
        </w:rPr>
        <w:t>These first appeals centre around a dispute between two religious communities both of whom claim ownership over a piece of land admeasuring 1500 square yards in the town of Ayodhya. The disputed property is of immense significance to Hindus and Muslims. The Hindu community claims it as the birth- place of Lord Ram, an incarnation of Lord Vishnu. The Muslim community claims it as the site of the historic Babri Masjid built by the first Mughal Emperor, Babur. The lands of our country have witnessed invasions and dissensions. Yet they have assimilated into the idea of India everyone who sought their providence, whether they came as merchants, travellers or as conquerors. The history and culture of this country have been home to quests for truth, through the material, the political, and the spiritual. This Court is called upon to fulfil its adjudicatory function where it is claimed that two quests for the truth impinge on the freedoms of the other or violate the rule of</w:t>
      </w:r>
      <w:r>
        <w:rPr>
          <w:color w:val="000009"/>
          <w:spacing w:val="-1"/>
          <w:sz w:val="25"/>
        </w:rPr>
        <w:t> </w:t>
      </w:r>
      <w:r>
        <w:rPr>
          <w:color w:val="000009"/>
          <w:sz w:val="25"/>
        </w:rPr>
        <w:t>law.</w:t>
      </w:r>
    </w:p>
    <w:p>
      <w:pPr>
        <w:pStyle w:val="BodyText"/>
        <w:spacing w:before="1"/>
      </w:pPr>
    </w:p>
    <w:p>
      <w:pPr>
        <w:pStyle w:val="ListParagraph"/>
        <w:numPr>
          <w:ilvl w:val="0"/>
          <w:numId w:val="3"/>
        </w:numPr>
        <w:tabs>
          <w:tab w:pos="1221" w:val="left" w:leader="none"/>
        </w:tabs>
        <w:spacing w:line="480" w:lineRule="auto" w:before="0" w:after="0"/>
        <w:ind w:left="500" w:right="436" w:firstLine="0"/>
        <w:jc w:val="both"/>
        <w:rPr>
          <w:color w:val="000009"/>
          <w:sz w:val="25"/>
        </w:rPr>
      </w:pPr>
      <w:r>
        <w:rPr>
          <w:color w:val="000009"/>
          <w:sz w:val="25"/>
        </w:rPr>
        <w:t>This Court is tasked with the resolution of a dispute whose origins are as old as the idea of India itself. The events associated with the dispute have spanned the Mughal empire, colonial rule and the present constitutional regime. Constitutional values form the cornerstone of this nation and have facilitated the lawful resolution of the present title dispute through forty-one days of hearings before this Court. The dispute in these appeals arises out of four regular suits which were instituted between 1950 and 1989. Before the Allahabad High Court, voluminous evidence, both oral and documentary was led, resulting in three judgements running the course of 4304 pages. This judgement is placed</w:t>
      </w:r>
      <w:r>
        <w:rPr>
          <w:color w:val="000009"/>
          <w:spacing w:val="55"/>
          <w:sz w:val="25"/>
        </w:rPr>
        <w:t> </w:t>
      </w:r>
      <w:r>
        <w:rPr>
          <w:color w:val="000009"/>
          <w:sz w:val="25"/>
        </w:rPr>
        <w:t>in</w:t>
      </w:r>
    </w:p>
    <w:p>
      <w:pPr>
        <w:spacing w:after="0" w:line="480" w:lineRule="auto"/>
        <w:jc w:val="both"/>
        <w:rPr>
          <w:sz w:val="25"/>
        </w:rPr>
        <w:sectPr>
          <w:headerReference w:type="default" r:id="rId6"/>
          <w:footerReference w:type="default" r:id="rId7"/>
          <w:pgSz w:w="11910" w:h="16840"/>
          <w:pgMar w:header="721" w:footer="1014" w:top="1300" w:bottom="1200" w:left="940" w:right="1000"/>
          <w:pgNumType w:start="6"/>
        </w:sectPr>
      </w:pPr>
    </w:p>
    <w:p>
      <w:pPr>
        <w:pStyle w:val="BodyText"/>
        <w:spacing w:before="124"/>
        <w:ind w:left="500"/>
      </w:pPr>
      <w:r>
        <w:rPr>
          <w:color w:val="000009"/>
        </w:rPr>
        <w:t>challenge in the appeals.</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0" w:after="0"/>
        <w:ind w:left="500" w:right="433" w:firstLine="0"/>
        <w:jc w:val="both"/>
        <w:rPr>
          <w:color w:val="000009"/>
          <w:sz w:val="25"/>
        </w:rPr>
      </w:pPr>
      <w:r>
        <w:rPr>
          <w:color w:val="000009"/>
          <w:sz w:val="25"/>
        </w:rPr>
        <w:t>The disputed land forms part of the village of Kot Rama Chandra or, as it is otherwise called, Ramkot at Ayodhya, in Pargana Haveli Avadh, of Tehsil Sadar in the District of Faizabad. An old structure of a mosque existed at the site until 6 December 1992. The site has religious significance for the devotees of Lord  Ram, who believe that Lord Ram was born at the disputed site. For this reason, the Hindus refer to the disputed site as Ram Janmabhumi or Ram Janmasthan (i.e. birth-place of Lord Ram). The Hindus assert that there existed at the disputed site an ancient temple dedicated to Lord Ram, which was demolished upon the conquest of the Indian sub-continent by Mughal Emperor Babur. On the other hand, the Muslims contended that the mosque was built by or at the behest of Babur on vacant land. Though the significance of the site for the Hindus is not denied, it is the case of the Muslims that there exists no proprietary claim of the Hindus over the disputed</w:t>
      </w:r>
      <w:r>
        <w:rPr>
          <w:color w:val="000009"/>
          <w:spacing w:val="-3"/>
          <w:sz w:val="25"/>
        </w:rPr>
        <w:t> </w:t>
      </w:r>
      <w:r>
        <w:rPr>
          <w:color w:val="000009"/>
          <w:sz w:val="25"/>
        </w:rPr>
        <w:t>property.</w:t>
      </w:r>
    </w:p>
    <w:p>
      <w:pPr>
        <w:pStyle w:val="BodyText"/>
        <w:spacing w:before="1"/>
      </w:pPr>
    </w:p>
    <w:p>
      <w:pPr>
        <w:pStyle w:val="ListParagraph"/>
        <w:numPr>
          <w:ilvl w:val="0"/>
          <w:numId w:val="3"/>
        </w:numPr>
        <w:tabs>
          <w:tab w:pos="1221" w:val="left" w:leader="none"/>
        </w:tabs>
        <w:spacing w:line="480" w:lineRule="auto" w:before="0" w:after="0"/>
        <w:ind w:left="500" w:right="443" w:firstLine="0"/>
        <w:jc w:val="both"/>
        <w:rPr>
          <w:sz w:val="25"/>
        </w:rPr>
      </w:pPr>
      <w:r>
        <w:rPr>
          <w:sz w:val="25"/>
        </w:rPr>
        <w:t>A suit was instituted in 1950 before the Civil Judge at Faizabad by a Hindu worshipper, Gopal Singh Visharad seeking a declaration that according to his religion and custom, he is entitled to offer prayers at the main Janmabhumi temple near the</w:t>
      </w:r>
      <w:r>
        <w:rPr>
          <w:spacing w:val="-2"/>
          <w:sz w:val="25"/>
        </w:rPr>
        <w:t> </w:t>
      </w:r>
      <w:r>
        <w:rPr>
          <w:sz w:val="25"/>
        </w:rPr>
        <w:t>idols.</w:t>
      </w:r>
    </w:p>
    <w:p>
      <w:pPr>
        <w:pStyle w:val="BodyText"/>
      </w:pPr>
    </w:p>
    <w:p>
      <w:pPr>
        <w:pStyle w:val="ListParagraph"/>
        <w:numPr>
          <w:ilvl w:val="0"/>
          <w:numId w:val="3"/>
        </w:numPr>
        <w:tabs>
          <w:tab w:pos="1221" w:val="left" w:leader="none"/>
        </w:tabs>
        <w:spacing w:line="480" w:lineRule="auto" w:before="1" w:after="0"/>
        <w:ind w:left="500" w:right="436" w:firstLine="0"/>
        <w:jc w:val="both"/>
        <w:rPr>
          <w:color w:val="000009"/>
          <w:sz w:val="25"/>
        </w:rPr>
      </w:pPr>
      <w:r>
        <w:rPr>
          <w:color w:val="000009"/>
          <w:sz w:val="25"/>
        </w:rPr>
        <w:t>The Nirmohi Akhara represents a religious sect amongst the Hindus, known as the Ramanandi Bairagis. The Nirmohis claim that </w:t>
      </w:r>
      <w:r>
        <w:rPr>
          <w:sz w:val="25"/>
        </w:rPr>
        <w:t>they were, at all material times, in charge and management of the structure at the disputed site which according to them was a ‗temple‘ until </w:t>
      </w:r>
      <w:r>
        <w:rPr>
          <w:spacing w:val="2"/>
          <w:sz w:val="25"/>
        </w:rPr>
        <w:t>2</w:t>
      </w:r>
      <w:r>
        <w:rPr>
          <w:color w:val="000009"/>
          <w:spacing w:val="2"/>
          <w:sz w:val="25"/>
        </w:rPr>
        <w:t>9 </w:t>
      </w:r>
      <w:r>
        <w:rPr>
          <w:color w:val="000009"/>
          <w:sz w:val="25"/>
        </w:rPr>
        <w:t>December 1949, on which date an attachment was ordered under Section 145 of the Code of Criminal</w:t>
      </w:r>
      <w:r>
        <w:rPr>
          <w:color w:val="000009"/>
          <w:spacing w:val="36"/>
          <w:sz w:val="25"/>
        </w:rPr>
        <w:t> </w:t>
      </w:r>
      <w:r>
        <w:rPr>
          <w:color w:val="000009"/>
          <w:sz w:val="25"/>
        </w:rPr>
        <w:t>Procedure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3"/>
        <w:jc w:val="both"/>
      </w:pPr>
      <w:r>
        <w:rPr>
          <w:color w:val="000009"/>
        </w:rPr>
        <w:t>1898. In effect, they claim as shebaits in service of the deity, managing its affairs and receiving offerings from devotees. Theirs is a Suit of 1959 for the management and charge of ‗the temple‘.</w:t>
      </w:r>
    </w:p>
    <w:p>
      <w:pPr>
        <w:pStyle w:val="BodyText"/>
        <w:spacing w:before="7"/>
        <w:rPr>
          <w:sz w:val="24"/>
        </w:rPr>
      </w:pPr>
    </w:p>
    <w:p>
      <w:pPr>
        <w:pStyle w:val="ListParagraph"/>
        <w:numPr>
          <w:ilvl w:val="0"/>
          <w:numId w:val="3"/>
        </w:numPr>
        <w:tabs>
          <w:tab w:pos="1221" w:val="left" w:leader="none"/>
        </w:tabs>
        <w:spacing w:line="480" w:lineRule="auto" w:before="1" w:after="0"/>
        <w:ind w:left="500" w:right="432" w:firstLine="0"/>
        <w:jc w:val="both"/>
        <w:rPr>
          <w:sz w:val="25"/>
        </w:rPr>
      </w:pPr>
      <w:r>
        <w:rPr>
          <w:color w:val="000009"/>
          <w:w w:val="99"/>
          <w:sz w:val="25"/>
        </w:rPr>
        <w:t>T</w:t>
      </w:r>
      <w:r>
        <w:rPr>
          <w:color w:val="000009"/>
          <w:w w:val="99"/>
          <w:sz w:val="25"/>
        </w:rPr>
        <w:t>he</w:t>
      </w:r>
      <w:r>
        <w:rPr>
          <w:color w:val="000009"/>
          <w:sz w:val="25"/>
        </w:rPr>
        <w:t> </w:t>
      </w:r>
      <w:r>
        <w:rPr>
          <w:color w:val="000009"/>
          <w:spacing w:val="-22"/>
          <w:sz w:val="25"/>
        </w:rPr>
        <w:t> </w:t>
      </w:r>
      <w:r>
        <w:rPr>
          <w:color w:val="000009"/>
          <w:w w:val="99"/>
          <w:sz w:val="25"/>
        </w:rPr>
        <w:t>Uttar</w:t>
      </w:r>
      <w:r>
        <w:rPr>
          <w:color w:val="000009"/>
          <w:sz w:val="25"/>
        </w:rPr>
        <w:t> </w:t>
      </w:r>
      <w:r>
        <w:rPr>
          <w:color w:val="000009"/>
          <w:spacing w:val="-23"/>
          <w:sz w:val="25"/>
        </w:rPr>
        <w:t> </w:t>
      </w:r>
      <w:r>
        <w:rPr>
          <w:color w:val="000009"/>
          <w:spacing w:val="-1"/>
          <w:w w:val="99"/>
          <w:sz w:val="25"/>
        </w:rPr>
        <w:t>P</w:t>
      </w:r>
      <w:r>
        <w:rPr>
          <w:color w:val="000009"/>
          <w:w w:val="99"/>
          <w:sz w:val="25"/>
        </w:rPr>
        <w:t>r</w:t>
      </w:r>
      <w:r>
        <w:rPr>
          <w:color w:val="000009"/>
          <w:w w:val="99"/>
          <w:sz w:val="25"/>
        </w:rPr>
        <w:t>adesh</w:t>
      </w:r>
      <w:r>
        <w:rPr>
          <w:color w:val="000009"/>
          <w:sz w:val="25"/>
        </w:rPr>
        <w:t> </w:t>
      </w:r>
      <w:r>
        <w:rPr>
          <w:color w:val="000009"/>
          <w:spacing w:val="-22"/>
          <w:sz w:val="25"/>
        </w:rPr>
        <w:t> </w:t>
      </w:r>
      <w:r>
        <w:rPr>
          <w:color w:val="000009"/>
          <w:spacing w:val="-4"/>
          <w:w w:val="99"/>
          <w:sz w:val="25"/>
        </w:rPr>
        <w:t>S</w:t>
      </w:r>
      <w:r>
        <w:rPr>
          <w:color w:val="000009"/>
          <w:w w:val="99"/>
          <w:sz w:val="25"/>
        </w:rPr>
        <w:t>un</w:t>
      </w:r>
      <w:r>
        <w:rPr>
          <w:color w:val="000009"/>
          <w:w w:val="99"/>
          <w:sz w:val="25"/>
        </w:rPr>
        <w:t>ni</w:t>
      </w:r>
      <w:r>
        <w:rPr>
          <w:color w:val="000009"/>
          <w:sz w:val="25"/>
        </w:rPr>
        <w:t> </w:t>
      </w:r>
      <w:r>
        <w:rPr>
          <w:color w:val="000009"/>
          <w:spacing w:val="-22"/>
          <w:sz w:val="25"/>
        </w:rPr>
        <w:t> </w:t>
      </w:r>
      <w:r>
        <w:rPr>
          <w:color w:val="000009"/>
          <w:w w:val="99"/>
          <w:sz w:val="25"/>
        </w:rPr>
        <w:t>Cent</w:t>
      </w:r>
      <w:r>
        <w:rPr>
          <w:color w:val="000009"/>
          <w:w w:val="99"/>
          <w:sz w:val="25"/>
        </w:rPr>
        <w:t>r</w:t>
      </w:r>
      <w:r>
        <w:rPr>
          <w:color w:val="000009"/>
          <w:w w:val="99"/>
          <w:sz w:val="25"/>
        </w:rPr>
        <w:t>al</w:t>
      </w:r>
      <w:r>
        <w:rPr>
          <w:color w:val="000009"/>
          <w:sz w:val="25"/>
        </w:rPr>
        <w:t> </w:t>
      </w:r>
      <w:r>
        <w:rPr>
          <w:color w:val="000009"/>
          <w:spacing w:val="-22"/>
          <w:sz w:val="25"/>
        </w:rPr>
        <w:t> </w:t>
      </w:r>
      <w:r>
        <w:rPr>
          <w:color w:val="000009"/>
          <w:spacing w:val="-1"/>
          <w:w w:val="99"/>
          <w:sz w:val="25"/>
        </w:rPr>
        <w:t>B</w:t>
      </w:r>
      <w:r>
        <w:rPr>
          <w:color w:val="000009"/>
          <w:w w:val="99"/>
          <w:sz w:val="25"/>
        </w:rPr>
        <w:t>oa</w:t>
      </w:r>
      <w:r>
        <w:rPr>
          <w:color w:val="000009"/>
          <w:w w:val="99"/>
          <w:sz w:val="25"/>
        </w:rPr>
        <w:t>r</w:t>
      </w:r>
      <w:r>
        <w:rPr>
          <w:color w:val="000009"/>
          <w:w w:val="99"/>
          <w:sz w:val="25"/>
        </w:rPr>
        <w:t>d</w:t>
      </w:r>
      <w:r>
        <w:rPr>
          <w:color w:val="000009"/>
          <w:sz w:val="25"/>
        </w:rPr>
        <w:t> </w:t>
      </w:r>
      <w:r>
        <w:rPr>
          <w:color w:val="000009"/>
          <w:spacing w:val="-24"/>
          <w:sz w:val="25"/>
        </w:rPr>
        <w:t> </w:t>
      </w:r>
      <w:r>
        <w:rPr>
          <w:color w:val="000009"/>
          <w:spacing w:val="-2"/>
          <w:w w:val="99"/>
          <w:sz w:val="25"/>
        </w:rPr>
        <w:t>o</w:t>
      </w:r>
      <w:r>
        <w:rPr>
          <w:color w:val="000009"/>
          <w:w w:val="99"/>
          <w:sz w:val="25"/>
        </w:rPr>
        <w:t>f</w:t>
      </w:r>
      <w:r>
        <w:rPr>
          <w:color w:val="000009"/>
          <w:sz w:val="25"/>
        </w:rPr>
        <w:t> </w:t>
      </w:r>
      <w:r>
        <w:rPr>
          <w:color w:val="000009"/>
          <w:spacing w:val="-27"/>
          <w:sz w:val="25"/>
        </w:rPr>
        <w:t> </w:t>
      </w:r>
      <w:r>
        <w:rPr>
          <w:color w:val="000009"/>
          <w:spacing w:val="15"/>
          <w:w w:val="99"/>
          <w:sz w:val="25"/>
        </w:rPr>
        <w:t>W</w:t>
      </w:r>
      <w:r>
        <w:rPr>
          <w:color w:val="000009"/>
          <w:spacing w:val="-3"/>
          <w:w w:val="99"/>
          <w:sz w:val="25"/>
        </w:rPr>
        <w:t>a</w:t>
      </w:r>
      <w:r>
        <w:rPr>
          <w:color w:val="000009"/>
          <w:spacing w:val="-1"/>
          <w:w w:val="99"/>
          <w:sz w:val="25"/>
        </w:rPr>
        <w:t>q</w:t>
      </w:r>
      <w:r>
        <w:rPr>
          <w:color w:val="000009"/>
          <w:w w:val="99"/>
          <w:sz w:val="25"/>
        </w:rPr>
        <w:t>f</w:t>
      </w:r>
      <w:r>
        <w:rPr>
          <w:color w:val="000009"/>
          <w:sz w:val="25"/>
        </w:rPr>
        <w:t> </w:t>
      </w:r>
      <w:r>
        <w:rPr>
          <w:color w:val="000009"/>
          <w:spacing w:val="-24"/>
          <w:sz w:val="25"/>
        </w:rPr>
        <w:t> </w:t>
      </w:r>
      <w:r>
        <w:rPr>
          <w:color w:val="000009"/>
          <w:w w:val="99"/>
          <w:sz w:val="25"/>
        </w:rPr>
        <w:t>(</w:t>
      </w:r>
      <w:r>
        <w:rPr>
          <w:color w:val="000009"/>
          <w:spacing w:val="1"/>
          <w:w w:val="33"/>
          <w:sz w:val="25"/>
        </w:rPr>
        <w:t>―</w:t>
      </w:r>
      <w:r>
        <w:rPr>
          <w:b/>
          <w:color w:val="000009"/>
          <w:spacing w:val="-1"/>
          <w:w w:val="99"/>
          <w:sz w:val="25"/>
        </w:rPr>
        <w:t>S</w:t>
      </w:r>
      <w:r>
        <w:rPr>
          <w:b/>
          <w:color w:val="000009"/>
          <w:spacing w:val="-2"/>
          <w:w w:val="99"/>
          <w:sz w:val="25"/>
        </w:rPr>
        <w:t>u</w:t>
      </w:r>
      <w:r>
        <w:rPr>
          <w:b/>
          <w:color w:val="000009"/>
          <w:w w:val="99"/>
          <w:sz w:val="25"/>
        </w:rPr>
        <w:t>nni</w:t>
      </w:r>
      <w:r>
        <w:rPr>
          <w:b/>
          <w:color w:val="000009"/>
          <w:sz w:val="25"/>
        </w:rPr>
        <w:t> </w:t>
      </w:r>
      <w:r>
        <w:rPr>
          <w:b/>
          <w:color w:val="000009"/>
          <w:spacing w:val="-24"/>
          <w:sz w:val="25"/>
        </w:rPr>
        <w:t> </w:t>
      </w:r>
      <w:r>
        <w:rPr>
          <w:b/>
          <w:color w:val="000009"/>
          <w:w w:val="99"/>
          <w:sz w:val="25"/>
        </w:rPr>
        <w:t>Ce</w:t>
      </w:r>
      <w:r>
        <w:rPr>
          <w:b/>
          <w:color w:val="000009"/>
          <w:spacing w:val="1"/>
          <w:w w:val="99"/>
          <w:sz w:val="25"/>
        </w:rPr>
        <w:t>n</w:t>
      </w:r>
      <w:r>
        <w:rPr>
          <w:b/>
          <w:color w:val="000009"/>
          <w:spacing w:val="-2"/>
          <w:w w:val="99"/>
          <w:sz w:val="25"/>
        </w:rPr>
        <w:t>t</w:t>
      </w:r>
      <w:r>
        <w:rPr>
          <w:b/>
          <w:color w:val="000009"/>
          <w:spacing w:val="-1"/>
          <w:w w:val="99"/>
          <w:sz w:val="25"/>
        </w:rPr>
        <w:t>r</w:t>
      </w:r>
      <w:r>
        <w:rPr>
          <w:b/>
          <w:color w:val="000009"/>
          <w:w w:val="99"/>
          <w:sz w:val="25"/>
        </w:rPr>
        <w:t>al</w:t>
      </w:r>
      <w:r>
        <w:rPr>
          <w:b/>
          <w:color w:val="000009"/>
          <w:sz w:val="25"/>
        </w:rPr>
        <w:t> </w:t>
      </w:r>
      <w:r>
        <w:rPr>
          <w:b/>
          <w:color w:val="000009"/>
          <w:spacing w:val="-21"/>
          <w:sz w:val="25"/>
        </w:rPr>
        <w:t> </w:t>
      </w:r>
      <w:r>
        <w:rPr>
          <w:b/>
          <w:color w:val="000009"/>
          <w:w w:val="99"/>
          <w:sz w:val="25"/>
        </w:rPr>
        <w:t>Waqf </w:t>
      </w:r>
      <w:r>
        <w:rPr>
          <w:b/>
          <w:color w:val="000009"/>
          <w:sz w:val="25"/>
        </w:rPr>
        <w:t>Board</w:t>
      </w:r>
      <w:r>
        <w:rPr>
          <w:color w:val="000009"/>
          <w:sz w:val="25"/>
        </w:rPr>
        <w:t>‖) and other Muslim residents of Ayodhya instituted a suit in 1961 for a declaration of their title to the disputed site. According to them, the old structure was a mosque which was </w:t>
      </w:r>
      <w:r>
        <w:rPr>
          <w:sz w:val="25"/>
        </w:rPr>
        <w:t>built on the instructions of Emperor Babur </w:t>
      </w:r>
      <w:r>
        <w:rPr>
          <w:spacing w:val="3"/>
          <w:sz w:val="25"/>
        </w:rPr>
        <w:t>by </w:t>
      </w:r>
      <w:r>
        <w:rPr>
          <w:sz w:val="25"/>
        </w:rPr>
        <w:t>Mir Baqi who was the Commander of his forces, following the conquest of the sub- continent by the Mughal Emperor in the third decade of the sixteenth century.  The Muslims deny that the mosque was constructed on the site of a destroyed temple. According to them, prayers were uninterruptedly offered in the mosque until 23 December 1949 when a group of Hindus desecrated it by placing idols within the precincts of its three-domed structure with the intent to destroy, damage and defile the Islamic religious structure. The Sunni Central Waqf Board claims a declaration of title and, if found necessary, a decree for</w:t>
      </w:r>
      <w:r>
        <w:rPr>
          <w:spacing w:val="-17"/>
          <w:sz w:val="25"/>
        </w:rPr>
        <w:t> </w:t>
      </w:r>
      <w:r>
        <w:rPr>
          <w:sz w:val="25"/>
        </w:rPr>
        <w:t>possession.</w:t>
      </w:r>
    </w:p>
    <w:p>
      <w:pPr>
        <w:pStyle w:val="BodyText"/>
        <w:spacing w:before="4"/>
      </w:pPr>
    </w:p>
    <w:p>
      <w:pPr>
        <w:pStyle w:val="ListParagraph"/>
        <w:numPr>
          <w:ilvl w:val="0"/>
          <w:numId w:val="3"/>
        </w:numPr>
        <w:tabs>
          <w:tab w:pos="1221" w:val="left" w:leader="none"/>
        </w:tabs>
        <w:spacing w:line="480" w:lineRule="auto" w:before="0" w:after="0"/>
        <w:ind w:left="500" w:right="437" w:firstLine="0"/>
        <w:jc w:val="both"/>
        <w:rPr>
          <w:sz w:val="25"/>
        </w:rPr>
      </w:pPr>
      <w:r>
        <w:rPr>
          <w:color w:val="000009"/>
          <w:sz w:val="25"/>
        </w:rPr>
        <w:t>A suit was instituted in 1989 by a next friend on behalf of the deity </w:t>
      </w:r>
      <w:r>
        <w:rPr>
          <w:color w:val="000009"/>
          <w:w w:val="49"/>
          <w:sz w:val="25"/>
        </w:rPr>
        <w:t>(―</w:t>
      </w:r>
      <w:r>
        <w:rPr>
          <w:b/>
          <w:color w:val="000009"/>
          <w:w w:val="99"/>
          <w:sz w:val="25"/>
        </w:rPr>
        <w:t>Bha</w:t>
      </w:r>
      <w:r>
        <w:rPr>
          <w:b/>
          <w:color w:val="000009"/>
          <w:spacing w:val="-4"/>
          <w:w w:val="99"/>
          <w:sz w:val="25"/>
        </w:rPr>
        <w:t>g</w:t>
      </w:r>
      <w:r>
        <w:rPr>
          <w:b/>
          <w:color w:val="000009"/>
          <w:spacing w:val="4"/>
          <w:w w:val="99"/>
          <w:sz w:val="25"/>
        </w:rPr>
        <w:t>w</w:t>
      </w:r>
      <w:r>
        <w:rPr>
          <w:b/>
          <w:color w:val="000009"/>
          <w:spacing w:val="-2"/>
          <w:w w:val="99"/>
          <w:sz w:val="25"/>
        </w:rPr>
        <w:t>a</w:t>
      </w:r>
      <w:r>
        <w:rPr>
          <w:b/>
          <w:color w:val="000009"/>
          <w:w w:val="99"/>
          <w:sz w:val="25"/>
        </w:rPr>
        <w:t>n</w:t>
      </w:r>
      <w:r>
        <w:rPr>
          <w:b/>
          <w:color w:val="000009"/>
          <w:spacing w:val="5"/>
          <w:sz w:val="25"/>
        </w:rPr>
        <w:t> </w:t>
      </w:r>
      <w:r>
        <w:rPr>
          <w:b/>
          <w:color w:val="000009"/>
          <w:spacing w:val="-1"/>
          <w:w w:val="99"/>
          <w:sz w:val="25"/>
        </w:rPr>
        <w:t>S</w:t>
      </w:r>
      <w:r>
        <w:rPr>
          <w:b/>
          <w:color w:val="000009"/>
          <w:w w:val="99"/>
          <w:sz w:val="25"/>
        </w:rPr>
        <w:t>h</w:t>
      </w:r>
      <w:r>
        <w:rPr>
          <w:b/>
          <w:color w:val="000009"/>
          <w:spacing w:val="-1"/>
          <w:w w:val="99"/>
          <w:sz w:val="25"/>
        </w:rPr>
        <w:t>r</w:t>
      </w:r>
      <w:r>
        <w:rPr>
          <w:b/>
          <w:color w:val="000009"/>
          <w:w w:val="99"/>
          <w:sz w:val="25"/>
        </w:rPr>
        <w:t>i</w:t>
      </w:r>
      <w:r>
        <w:rPr>
          <w:b/>
          <w:color w:val="000009"/>
          <w:spacing w:val="4"/>
          <w:sz w:val="25"/>
        </w:rPr>
        <w:t> </w:t>
      </w:r>
      <w:r>
        <w:rPr>
          <w:b/>
          <w:color w:val="000009"/>
          <w:w w:val="99"/>
          <w:sz w:val="25"/>
        </w:rPr>
        <w:t>R</w:t>
      </w:r>
      <w:r>
        <w:rPr>
          <w:b/>
          <w:color w:val="000009"/>
          <w:spacing w:val="2"/>
          <w:w w:val="99"/>
          <w:sz w:val="25"/>
        </w:rPr>
        <w:t>a</w:t>
      </w:r>
      <w:r>
        <w:rPr>
          <w:b/>
          <w:color w:val="000009"/>
          <w:w w:val="99"/>
          <w:sz w:val="25"/>
        </w:rPr>
        <w:t>m</w:t>
      </w:r>
      <w:r>
        <w:rPr>
          <w:b/>
          <w:color w:val="000009"/>
          <w:spacing w:val="6"/>
          <w:sz w:val="25"/>
        </w:rPr>
        <w:t> </w:t>
      </w:r>
      <w:r>
        <w:rPr>
          <w:b/>
          <w:color w:val="000009"/>
          <w:spacing w:val="-1"/>
          <w:w w:val="99"/>
          <w:sz w:val="25"/>
        </w:rPr>
        <w:t>V</w:t>
      </w:r>
      <w:r>
        <w:rPr>
          <w:b/>
          <w:color w:val="000009"/>
          <w:w w:val="99"/>
          <w:sz w:val="25"/>
        </w:rPr>
        <w:t>i</w:t>
      </w:r>
      <w:r>
        <w:rPr>
          <w:b/>
          <w:color w:val="000009"/>
          <w:spacing w:val="-1"/>
          <w:w w:val="99"/>
          <w:sz w:val="25"/>
        </w:rPr>
        <w:t>r</w:t>
      </w:r>
      <w:r>
        <w:rPr>
          <w:b/>
          <w:color w:val="000009"/>
          <w:w w:val="99"/>
          <w:sz w:val="25"/>
        </w:rPr>
        <w:t>a</w:t>
      </w:r>
      <w:r>
        <w:rPr>
          <w:b/>
          <w:color w:val="000009"/>
          <w:spacing w:val="2"/>
          <w:w w:val="99"/>
          <w:sz w:val="25"/>
        </w:rPr>
        <w:t>j</w:t>
      </w:r>
      <w:r>
        <w:rPr>
          <w:b/>
          <w:color w:val="000009"/>
          <w:spacing w:val="-1"/>
          <w:w w:val="99"/>
          <w:sz w:val="25"/>
        </w:rPr>
        <w:t>m</w:t>
      </w:r>
      <w:r>
        <w:rPr>
          <w:b/>
          <w:color w:val="000009"/>
          <w:w w:val="99"/>
          <w:sz w:val="25"/>
        </w:rPr>
        <w:t>a</w:t>
      </w:r>
      <w:r>
        <w:rPr>
          <w:b/>
          <w:color w:val="000009"/>
          <w:spacing w:val="4"/>
          <w:w w:val="99"/>
          <w:sz w:val="25"/>
        </w:rPr>
        <w:t>n</w:t>
      </w:r>
      <w:r>
        <w:rPr>
          <w:color w:val="000009"/>
          <w:w w:val="80"/>
          <w:sz w:val="25"/>
        </w:rPr>
        <w:t>‖</w:t>
      </w:r>
      <w:r>
        <w:rPr>
          <w:color w:val="000009"/>
          <w:w w:val="99"/>
          <w:sz w:val="25"/>
        </w:rPr>
        <w:t>)</w:t>
      </w:r>
      <w:r>
        <w:rPr>
          <w:color w:val="000009"/>
          <w:spacing w:val="5"/>
          <w:sz w:val="25"/>
        </w:rPr>
        <w:t> </w:t>
      </w:r>
      <w:r>
        <w:rPr>
          <w:color w:val="000009"/>
          <w:spacing w:val="-1"/>
          <w:w w:val="99"/>
          <w:sz w:val="25"/>
        </w:rPr>
        <w:t>a</w:t>
      </w:r>
      <w:r>
        <w:rPr>
          <w:color w:val="000009"/>
          <w:w w:val="99"/>
          <w:sz w:val="25"/>
        </w:rPr>
        <w:t>nd</w:t>
      </w:r>
      <w:r>
        <w:rPr>
          <w:color w:val="000009"/>
          <w:spacing w:val="5"/>
          <w:sz w:val="25"/>
        </w:rPr>
        <w:t> </w:t>
      </w:r>
      <w:r>
        <w:rPr>
          <w:color w:val="000009"/>
          <w:w w:val="99"/>
          <w:sz w:val="25"/>
        </w:rPr>
        <w:t>the</w:t>
      </w:r>
      <w:r>
        <w:rPr>
          <w:color w:val="000009"/>
          <w:spacing w:val="5"/>
          <w:sz w:val="25"/>
        </w:rPr>
        <w:t> </w:t>
      </w:r>
      <w:r>
        <w:rPr>
          <w:color w:val="000009"/>
          <w:spacing w:val="-1"/>
          <w:w w:val="99"/>
          <w:sz w:val="25"/>
        </w:rPr>
        <w:t>bi</w:t>
      </w:r>
      <w:r>
        <w:rPr>
          <w:color w:val="000009"/>
          <w:w w:val="99"/>
          <w:sz w:val="25"/>
        </w:rPr>
        <w:t>rt</w:t>
      </w:r>
      <w:r>
        <w:rPr>
          <w:color w:val="000009"/>
          <w:spacing w:val="2"/>
          <w:w w:val="99"/>
          <w:sz w:val="25"/>
        </w:rPr>
        <w:t>h</w:t>
      </w:r>
      <w:r>
        <w:rPr>
          <w:color w:val="000009"/>
          <w:w w:val="99"/>
          <w:sz w:val="25"/>
        </w:rPr>
        <w:t>-</w:t>
      </w:r>
      <w:r>
        <w:rPr>
          <w:color w:val="000009"/>
          <w:spacing w:val="-1"/>
          <w:w w:val="99"/>
          <w:sz w:val="25"/>
        </w:rPr>
        <w:t>plac</w:t>
      </w:r>
      <w:r>
        <w:rPr>
          <w:color w:val="000009"/>
          <w:w w:val="99"/>
          <w:sz w:val="25"/>
        </w:rPr>
        <w:t>e</w:t>
      </w:r>
      <w:r>
        <w:rPr>
          <w:color w:val="000009"/>
          <w:spacing w:val="5"/>
          <w:sz w:val="25"/>
        </w:rPr>
        <w:t> </w:t>
      </w:r>
      <w:r>
        <w:rPr>
          <w:color w:val="000009"/>
          <w:spacing w:val="-1"/>
          <w:w w:val="99"/>
          <w:sz w:val="25"/>
        </w:rPr>
        <w:t>o</w:t>
      </w:r>
      <w:r>
        <w:rPr>
          <w:color w:val="000009"/>
          <w:w w:val="99"/>
          <w:sz w:val="25"/>
        </w:rPr>
        <w:t>f</w:t>
      </w:r>
      <w:r>
        <w:rPr>
          <w:color w:val="000009"/>
          <w:spacing w:val="5"/>
          <w:sz w:val="25"/>
        </w:rPr>
        <w:t> </w:t>
      </w:r>
      <w:r>
        <w:rPr>
          <w:color w:val="000009"/>
          <w:spacing w:val="-1"/>
          <w:w w:val="99"/>
          <w:sz w:val="25"/>
        </w:rPr>
        <w:t>L</w:t>
      </w:r>
      <w:r>
        <w:rPr>
          <w:color w:val="000009"/>
          <w:w w:val="99"/>
          <w:sz w:val="25"/>
        </w:rPr>
        <w:t>ord</w:t>
      </w:r>
      <w:r>
        <w:rPr>
          <w:color w:val="000009"/>
          <w:spacing w:val="5"/>
          <w:sz w:val="25"/>
        </w:rPr>
        <w:t> </w:t>
      </w:r>
      <w:r>
        <w:rPr>
          <w:color w:val="000009"/>
          <w:spacing w:val="1"/>
          <w:w w:val="99"/>
          <w:sz w:val="25"/>
        </w:rPr>
        <w:t>R</w:t>
      </w:r>
      <w:r>
        <w:rPr>
          <w:color w:val="000009"/>
          <w:spacing w:val="-1"/>
          <w:w w:val="99"/>
          <w:sz w:val="25"/>
        </w:rPr>
        <w:t>a</w:t>
      </w:r>
      <w:r>
        <w:rPr>
          <w:color w:val="000009"/>
          <w:w w:val="99"/>
          <w:sz w:val="25"/>
        </w:rPr>
        <w:t>m</w:t>
      </w:r>
      <w:r>
        <w:rPr>
          <w:color w:val="000009"/>
          <w:spacing w:val="5"/>
          <w:sz w:val="25"/>
        </w:rPr>
        <w:t> </w:t>
      </w:r>
      <w:r>
        <w:rPr>
          <w:color w:val="000009"/>
          <w:w w:val="99"/>
          <w:sz w:val="25"/>
        </w:rPr>
        <w:t>(</w:t>
      </w:r>
      <w:r>
        <w:rPr>
          <w:color w:val="000009"/>
          <w:spacing w:val="8"/>
          <w:w w:val="33"/>
          <w:sz w:val="25"/>
        </w:rPr>
        <w:t>―</w:t>
      </w:r>
      <w:r>
        <w:rPr>
          <w:b/>
          <w:color w:val="000009"/>
          <w:spacing w:val="-8"/>
          <w:w w:val="99"/>
          <w:sz w:val="25"/>
        </w:rPr>
        <w:t>A</w:t>
      </w:r>
      <w:r>
        <w:rPr>
          <w:b/>
          <w:color w:val="000009"/>
          <w:w w:val="99"/>
          <w:sz w:val="25"/>
        </w:rPr>
        <w:t>s</w:t>
      </w:r>
      <w:r>
        <w:rPr>
          <w:b/>
          <w:color w:val="000009"/>
          <w:spacing w:val="1"/>
          <w:w w:val="99"/>
          <w:sz w:val="25"/>
        </w:rPr>
        <w:t>t</w:t>
      </w:r>
      <w:r>
        <w:rPr>
          <w:b/>
          <w:color w:val="000009"/>
          <w:spacing w:val="1"/>
          <w:w w:val="99"/>
          <w:sz w:val="25"/>
        </w:rPr>
        <w:t>h</w:t>
      </w:r>
      <w:r>
        <w:rPr>
          <w:b/>
          <w:color w:val="000009"/>
          <w:w w:val="99"/>
          <w:sz w:val="25"/>
        </w:rPr>
        <w:t>an</w:t>
      </w:r>
      <w:r>
        <w:rPr>
          <w:b/>
          <w:color w:val="000009"/>
          <w:spacing w:val="5"/>
          <w:sz w:val="25"/>
        </w:rPr>
        <w:t> </w:t>
      </w:r>
      <w:r>
        <w:rPr>
          <w:b/>
          <w:color w:val="000009"/>
          <w:spacing w:val="-1"/>
          <w:w w:val="99"/>
          <w:sz w:val="25"/>
        </w:rPr>
        <w:t>S</w:t>
      </w:r>
      <w:r>
        <w:rPr>
          <w:b/>
          <w:color w:val="000009"/>
          <w:w w:val="99"/>
          <w:sz w:val="25"/>
        </w:rPr>
        <w:t>h</w:t>
      </w:r>
      <w:r>
        <w:rPr>
          <w:b/>
          <w:color w:val="000009"/>
          <w:spacing w:val="-1"/>
          <w:w w:val="99"/>
          <w:sz w:val="25"/>
        </w:rPr>
        <w:t>r</w:t>
      </w:r>
      <w:r>
        <w:rPr>
          <w:b/>
          <w:color w:val="000009"/>
          <w:w w:val="99"/>
          <w:sz w:val="25"/>
        </w:rPr>
        <w:t>i </w:t>
      </w:r>
      <w:r>
        <w:rPr>
          <w:b/>
          <w:color w:val="000009"/>
          <w:sz w:val="25"/>
        </w:rPr>
        <w:t>Ram Janmabhumi</w:t>
      </w:r>
      <w:r>
        <w:rPr>
          <w:color w:val="000009"/>
          <w:sz w:val="25"/>
        </w:rPr>
        <w:t>‖). The suit is founded on the claim that the law recognises both the idol and the birth-place as juridical entities. The claim is that the </w:t>
      </w:r>
      <w:r>
        <w:rPr>
          <w:sz w:val="25"/>
        </w:rPr>
        <w:t>place of birth is sanctified as an object of worship, personifying the divine spirit of Lord Ram. Hence, like the idol (which the law recognises as a juridical entity), the place of birth of the deity is claimed to be a legal person, or as it is described in legal</w:t>
      </w:r>
      <w:r>
        <w:rPr>
          <w:spacing w:val="15"/>
          <w:sz w:val="25"/>
        </w:rPr>
        <w:t> </w:t>
      </w:r>
      <w:r>
        <w:rPr>
          <w:sz w:val="25"/>
        </w:rPr>
        <w:t>parlance,</w:t>
      </w:r>
      <w:r>
        <w:rPr>
          <w:spacing w:val="15"/>
          <w:sz w:val="25"/>
        </w:rPr>
        <w:t> </w:t>
      </w:r>
      <w:r>
        <w:rPr>
          <w:sz w:val="25"/>
        </w:rPr>
        <w:t>to</w:t>
      </w:r>
      <w:r>
        <w:rPr>
          <w:spacing w:val="16"/>
          <w:sz w:val="25"/>
        </w:rPr>
        <w:t> </w:t>
      </w:r>
      <w:r>
        <w:rPr>
          <w:sz w:val="25"/>
        </w:rPr>
        <w:t>possess</w:t>
      </w:r>
      <w:r>
        <w:rPr>
          <w:spacing w:val="16"/>
          <w:sz w:val="25"/>
        </w:rPr>
        <w:t> </w:t>
      </w:r>
      <w:r>
        <w:rPr>
          <w:sz w:val="25"/>
        </w:rPr>
        <w:t>a</w:t>
      </w:r>
      <w:r>
        <w:rPr>
          <w:spacing w:val="16"/>
          <w:sz w:val="25"/>
        </w:rPr>
        <w:t> </w:t>
      </w:r>
      <w:r>
        <w:rPr>
          <w:sz w:val="25"/>
        </w:rPr>
        <w:t>juridical</w:t>
      </w:r>
      <w:r>
        <w:rPr>
          <w:spacing w:val="15"/>
          <w:sz w:val="25"/>
        </w:rPr>
        <w:t> </w:t>
      </w:r>
      <w:r>
        <w:rPr>
          <w:sz w:val="25"/>
        </w:rPr>
        <w:t>status.</w:t>
      </w:r>
      <w:r>
        <w:rPr>
          <w:spacing w:val="15"/>
          <w:sz w:val="25"/>
        </w:rPr>
        <w:t> </w:t>
      </w:r>
      <w:r>
        <w:rPr>
          <w:sz w:val="25"/>
        </w:rPr>
        <w:t>A</w:t>
      </w:r>
      <w:r>
        <w:rPr>
          <w:spacing w:val="14"/>
          <w:sz w:val="25"/>
        </w:rPr>
        <w:t> </w:t>
      </w:r>
      <w:r>
        <w:rPr>
          <w:sz w:val="25"/>
        </w:rPr>
        <w:t>declaration</w:t>
      </w:r>
      <w:r>
        <w:rPr>
          <w:spacing w:val="16"/>
          <w:sz w:val="25"/>
        </w:rPr>
        <w:t> </w:t>
      </w:r>
      <w:r>
        <w:rPr>
          <w:sz w:val="25"/>
        </w:rPr>
        <w:t>of</w:t>
      </w:r>
      <w:r>
        <w:rPr>
          <w:spacing w:val="17"/>
          <w:sz w:val="25"/>
        </w:rPr>
        <w:t> </w:t>
      </w:r>
      <w:r>
        <w:rPr>
          <w:sz w:val="25"/>
        </w:rPr>
        <w:t>title</w:t>
      </w:r>
      <w:r>
        <w:rPr>
          <w:spacing w:val="18"/>
          <w:sz w:val="25"/>
        </w:rPr>
        <w:t> </w:t>
      </w:r>
      <w:r>
        <w:rPr>
          <w:sz w:val="25"/>
        </w:rPr>
        <w:t>to</w:t>
      </w:r>
      <w:r>
        <w:rPr>
          <w:spacing w:val="16"/>
          <w:sz w:val="25"/>
        </w:rPr>
        <w:t> </w:t>
      </w:r>
      <w:r>
        <w:rPr>
          <w:sz w:val="25"/>
        </w:rPr>
        <w:t>the</w:t>
      </w:r>
      <w:r>
        <w:rPr>
          <w:spacing w:val="16"/>
          <w:sz w:val="25"/>
        </w:rPr>
        <w:t> </w:t>
      </w:r>
      <w:r>
        <w:rPr>
          <w:sz w:val="25"/>
        </w:rPr>
        <w:t>disputed</w:t>
      </w:r>
    </w:p>
    <w:p>
      <w:pPr>
        <w:spacing w:after="0" w:line="480" w:lineRule="auto"/>
        <w:jc w:val="both"/>
        <w:rPr>
          <w:sz w:val="25"/>
        </w:rPr>
        <w:sectPr>
          <w:pgSz w:w="11910" w:h="16840"/>
          <w:pgMar w:header="721" w:footer="1014" w:top="1300" w:bottom="1200" w:left="940" w:right="1000"/>
        </w:sectPr>
      </w:pPr>
    </w:p>
    <w:p>
      <w:pPr>
        <w:pStyle w:val="BodyText"/>
        <w:spacing w:before="124"/>
        <w:ind w:left="500"/>
      </w:pPr>
      <w:r>
        <w:rPr/>
        <w:t>site coupled with injunctive relief has been sought.</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T</w:t>
      </w:r>
      <w:r>
        <w:rPr>
          <w:color w:val="000009"/>
          <w:sz w:val="25"/>
        </w:rPr>
        <w:t>hese suits, together with a separate suit by Hindu worshippers were transferred by the Allahabad High Court to itself for trial from the civil court at Faizabad. </w:t>
      </w:r>
      <w:r>
        <w:rPr>
          <w:sz w:val="25"/>
        </w:rPr>
        <w:t>The High Court rendered a judgment in original proceedings arising  out of the four suits and </w:t>
      </w:r>
      <w:r>
        <w:rPr>
          <w:color w:val="000009"/>
          <w:sz w:val="25"/>
        </w:rPr>
        <w:t>these appeals arise out of the decision of a Full Bench dated </w:t>
      </w:r>
      <w:r>
        <w:rPr>
          <w:sz w:val="25"/>
        </w:rPr>
        <w:t>30 September 2010. The High Court held that the suits filed by the </w:t>
      </w:r>
      <w:r>
        <w:rPr>
          <w:color w:val="000009"/>
          <w:sz w:val="25"/>
        </w:rPr>
        <w:t>Sunni Central Waqf Board </w:t>
      </w:r>
      <w:r>
        <w:rPr>
          <w:sz w:val="25"/>
        </w:rPr>
        <w:t>and by Nirmohi Akhara were barred by limitation. Despite having held that those two suits were barred by time, the High Court held in a split 2:1 verdict that the Hindu and Muslim parties were joint holders of the disputed premises. Each of them was held entitled to one third of the disputed property. The Nirmohi Akhara was granted the remaining one third. A preliminary decree to that effect was passed in the suit brought by the idol and the birth-place of Lord Ram through the next</w:t>
      </w:r>
      <w:r>
        <w:rPr>
          <w:spacing w:val="-4"/>
          <w:sz w:val="25"/>
        </w:rPr>
        <w:t> </w:t>
      </w:r>
      <w:r>
        <w:rPr>
          <w:sz w:val="25"/>
        </w:rPr>
        <w:t>friend.</w:t>
      </w:r>
    </w:p>
    <w:p>
      <w:pPr>
        <w:pStyle w:val="BodyText"/>
        <w:spacing w:before="2"/>
      </w:pPr>
    </w:p>
    <w:p>
      <w:pPr>
        <w:pStyle w:val="ListParagraph"/>
        <w:numPr>
          <w:ilvl w:val="0"/>
          <w:numId w:val="3"/>
        </w:numPr>
        <w:tabs>
          <w:tab w:pos="1221" w:val="left" w:leader="none"/>
        </w:tabs>
        <w:spacing w:line="480" w:lineRule="auto" w:before="0" w:after="0"/>
        <w:ind w:left="500" w:right="436" w:firstLine="0"/>
        <w:jc w:val="both"/>
        <w:rPr>
          <w:sz w:val="25"/>
        </w:rPr>
      </w:pPr>
      <w:r>
        <w:rPr>
          <w:color w:val="000009"/>
          <w:sz w:val="25"/>
        </w:rPr>
        <w:t>Before deciding the </w:t>
      </w:r>
      <w:r>
        <w:rPr>
          <w:sz w:val="25"/>
        </w:rPr>
        <w:t>appeals, it is necessary to set out the significant events which have taken place in the chequered history of this litigation, which spans nearly seven</w:t>
      </w:r>
      <w:r>
        <w:rPr>
          <w:spacing w:val="-5"/>
          <w:sz w:val="25"/>
        </w:rPr>
        <w:t> </w:t>
      </w:r>
      <w:r>
        <w:rPr>
          <w:sz w:val="25"/>
        </w:rPr>
        <w:t>decades.</w:t>
      </w:r>
    </w:p>
    <w:p>
      <w:pPr>
        <w:pStyle w:val="BodyText"/>
      </w:pPr>
    </w:p>
    <w:p>
      <w:pPr>
        <w:pStyle w:val="ListParagraph"/>
        <w:numPr>
          <w:ilvl w:val="0"/>
          <w:numId w:val="3"/>
        </w:numPr>
        <w:tabs>
          <w:tab w:pos="1221" w:val="left" w:leader="none"/>
        </w:tabs>
        <w:spacing w:line="480" w:lineRule="auto" w:before="0" w:after="0"/>
        <w:ind w:left="500" w:right="436" w:firstLine="0"/>
        <w:jc w:val="both"/>
        <w:rPr>
          <w:color w:val="000009"/>
          <w:sz w:val="25"/>
        </w:rPr>
      </w:pPr>
      <w:r>
        <w:rPr>
          <w:color w:val="000009"/>
          <w:sz w:val="25"/>
        </w:rPr>
        <w:t>The disputed site has been a flash point of continued conflagration over decades. In 1856-57, riots broke out between Hindus and Muslims in the vicinity of the structure. The colonial government attempted to raise a buffer between the two communities to maintain law and order by set ting up a grill-brick wall having a height of six or seven feet. This would divide the premises into two parts: the inner portion which would be used by the Muslim community and the outer portion</w:t>
      </w:r>
      <w:r>
        <w:rPr>
          <w:color w:val="000009"/>
          <w:spacing w:val="34"/>
          <w:sz w:val="25"/>
        </w:rPr>
        <w:t> </w:t>
      </w:r>
      <w:r>
        <w:rPr>
          <w:color w:val="000009"/>
          <w:sz w:val="25"/>
        </w:rPr>
        <w:t>or</w:t>
      </w:r>
      <w:r>
        <w:rPr>
          <w:color w:val="000009"/>
          <w:spacing w:val="35"/>
          <w:sz w:val="25"/>
        </w:rPr>
        <w:t> </w:t>
      </w:r>
      <w:r>
        <w:rPr>
          <w:color w:val="000009"/>
          <w:sz w:val="25"/>
        </w:rPr>
        <w:t>courtyard,</w:t>
      </w:r>
      <w:r>
        <w:rPr>
          <w:color w:val="000009"/>
          <w:spacing w:val="35"/>
          <w:sz w:val="25"/>
        </w:rPr>
        <w:t> </w:t>
      </w:r>
      <w:r>
        <w:rPr>
          <w:color w:val="000009"/>
          <w:sz w:val="25"/>
        </w:rPr>
        <w:t>which</w:t>
      </w:r>
      <w:r>
        <w:rPr>
          <w:color w:val="000009"/>
          <w:spacing w:val="34"/>
          <w:sz w:val="25"/>
        </w:rPr>
        <w:t> </w:t>
      </w:r>
      <w:r>
        <w:rPr>
          <w:color w:val="000009"/>
          <w:sz w:val="25"/>
        </w:rPr>
        <w:t>would</w:t>
      </w:r>
      <w:r>
        <w:rPr>
          <w:color w:val="000009"/>
          <w:spacing w:val="34"/>
          <w:sz w:val="25"/>
        </w:rPr>
        <w:t> </w:t>
      </w:r>
      <w:r>
        <w:rPr>
          <w:color w:val="000009"/>
          <w:sz w:val="25"/>
        </w:rPr>
        <w:t>be</w:t>
      </w:r>
      <w:r>
        <w:rPr>
          <w:color w:val="000009"/>
          <w:spacing w:val="34"/>
          <w:sz w:val="25"/>
        </w:rPr>
        <w:t> </w:t>
      </w:r>
      <w:r>
        <w:rPr>
          <w:color w:val="000009"/>
          <w:sz w:val="25"/>
        </w:rPr>
        <w:t>used</w:t>
      </w:r>
      <w:r>
        <w:rPr>
          <w:color w:val="000009"/>
          <w:spacing w:val="36"/>
          <w:sz w:val="25"/>
        </w:rPr>
        <w:t> </w:t>
      </w:r>
      <w:r>
        <w:rPr>
          <w:color w:val="000009"/>
          <w:sz w:val="25"/>
        </w:rPr>
        <w:t>by</w:t>
      </w:r>
      <w:r>
        <w:rPr>
          <w:color w:val="000009"/>
          <w:spacing w:val="31"/>
          <w:sz w:val="25"/>
        </w:rPr>
        <w:t> </w:t>
      </w:r>
      <w:r>
        <w:rPr>
          <w:color w:val="000009"/>
          <w:sz w:val="25"/>
        </w:rPr>
        <w:t>the</w:t>
      </w:r>
      <w:r>
        <w:rPr>
          <w:color w:val="000009"/>
          <w:spacing w:val="37"/>
          <w:sz w:val="25"/>
        </w:rPr>
        <w:t> </w:t>
      </w:r>
      <w:r>
        <w:rPr>
          <w:color w:val="000009"/>
          <w:sz w:val="25"/>
        </w:rPr>
        <w:t>Hindu</w:t>
      </w:r>
      <w:r>
        <w:rPr>
          <w:color w:val="000009"/>
          <w:spacing w:val="34"/>
          <w:sz w:val="25"/>
        </w:rPr>
        <w:t> </w:t>
      </w:r>
      <w:r>
        <w:rPr>
          <w:color w:val="000009"/>
          <w:sz w:val="25"/>
        </w:rPr>
        <w:t>community.</w:t>
      </w:r>
      <w:r>
        <w:rPr>
          <w:color w:val="000009"/>
          <w:spacing w:val="34"/>
          <w:sz w:val="25"/>
        </w:rPr>
        <w:t> </w:t>
      </w:r>
      <w:r>
        <w:rPr>
          <w:color w:val="000009"/>
          <w:sz w:val="25"/>
        </w:rPr>
        <w:t>The</w:t>
      </w:r>
      <w:r>
        <w:rPr>
          <w:color w:val="000009"/>
          <w:spacing w:val="34"/>
          <w:sz w:val="25"/>
        </w:rPr>
        <w:t> </w:t>
      </w:r>
      <w:r>
        <w:rPr>
          <w:color w:val="000009"/>
          <w:sz w:val="25"/>
        </w:rPr>
        <w:t>outer</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color w:val="000009"/>
        </w:rPr>
        <w:t>courtyard has several structures of religious significance for the Hindus, such as the Sita Rasoi and a platform called the Ramchabutra. In 1877, another door was opened on the northern side of the outer courtyard by the colonial government, which was given to the Hindus to control and manage. The bifurcation, as the record shows, did not resolve the conflict and there were numerous attempts by one or other of the parties to exclude the other.</w:t>
      </w:r>
    </w:p>
    <w:p>
      <w:pPr>
        <w:pStyle w:val="BodyText"/>
      </w:pPr>
    </w:p>
    <w:p>
      <w:pPr>
        <w:pStyle w:val="ListParagraph"/>
        <w:numPr>
          <w:ilvl w:val="0"/>
          <w:numId w:val="3"/>
        </w:numPr>
        <w:tabs>
          <w:tab w:pos="1221" w:val="left" w:leader="none"/>
        </w:tabs>
        <w:spacing w:line="480" w:lineRule="auto" w:before="0" w:after="0"/>
        <w:ind w:left="500" w:right="436" w:firstLine="0"/>
        <w:jc w:val="both"/>
        <w:rPr>
          <w:color w:val="000009"/>
          <w:sz w:val="25"/>
        </w:rPr>
      </w:pPr>
      <w:r>
        <w:rPr>
          <w:color w:val="000009"/>
          <w:sz w:val="25"/>
        </w:rPr>
        <w:t>In </w:t>
      </w:r>
      <w:r>
        <w:rPr>
          <w:sz w:val="25"/>
        </w:rPr>
        <w:t>January </w:t>
      </w:r>
      <w:r>
        <w:rPr>
          <w:color w:val="000009"/>
          <w:sz w:val="25"/>
        </w:rPr>
        <w:t>1885, Mahant Raghubar Das, claiming to be the Mahant of </w:t>
      </w:r>
      <w:r>
        <w:rPr>
          <w:color w:val="000009"/>
          <w:w w:val="99"/>
          <w:sz w:val="25"/>
        </w:rPr>
        <w:t>Ram</w:t>
      </w:r>
      <w:r>
        <w:rPr>
          <w:color w:val="000009"/>
          <w:sz w:val="25"/>
        </w:rPr>
        <w:t> </w:t>
      </w:r>
      <w:r>
        <w:rPr>
          <w:color w:val="000009"/>
          <w:spacing w:val="20"/>
          <w:sz w:val="25"/>
        </w:rPr>
        <w:t> </w:t>
      </w:r>
      <w:r>
        <w:rPr>
          <w:color w:val="000009"/>
          <w:w w:val="99"/>
          <w:sz w:val="25"/>
        </w:rPr>
        <w:t>Jan</w:t>
      </w:r>
      <w:r>
        <w:rPr>
          <w:color w:val="000009"/>
          <w:w w:val="99"/>
          <w:sz w:val="25"/>
        </w:rPr>
        <w:t>masth</w:t>
      </w:r>
      <w:r>
        <w:rPr>
          <w:color w:val="000009"/>
          <w:w w:val="99"/>
          <w:sz w:val="25"/>
        </w:rPr>
        <w:t>an</w:t>
      </w:r>
      <w:r>
        <w:rPr>
          <w:color w:val="000009"/>
          <w:sz w:val="25"/>
        </w:rPr>
        <w:t> </w:t>
      </w:r>
      <w:r>
        <w:rPr>
          <w:color w:val="000009"/>
          <w:spacing w:val="21"/>
          <w:sz w:val="25"/>
        </w:rPr>
        <w:t> </w:t>
      </w:r>
      <w:r>
        <w:rPr>
          <w:color w:val="000009"/>
          <w:w w:val="99"/>
          <w:sz w:val="25"/>
        </w:rPr>
        <w:t>instituted</w:t>
      </w:r>
      <w:r>
        <w:rPr>
          <w:color w:val="000009"/>
          <w:sz w:val="25"/>
        </w:rPr>
        <w:t> </w:t>
      </w:r>
      <w:r>
        <w:rPr>
          <w:color w:val="000009"/>
          <w:spacing w:val="20"/>
          <w:sz w:val="25"/>
        </w:rPr>
        <w:t> </w:t>
      </w:r>
      <w:r>
        <w:rPr>
          <w:color w:val="000009"/>
          <w:w w:val="99"/>
          <w:sz w:val="25"/>
        </w:rPr>
        <w:t>a</w:t>
      </w:r>
      <w:r>
        <w:rPr>
          <w:color w:val="000009"/>
          <w:sz w:val="25"/>
        </w:rPr>
        <w:t> </w:t>
      </w:r>
      <w:r>
        <w:rPr>
          <w:color w:val="000009"/>
          <w:spacing w:val="19"/>
          <w:sz w:val="25"/>
        </w:rPr>
        <w:t> </w:t>
      </w:r>
      <w:r>
        <w:rPr>
          <w:color w:val="000009"/>
          <w:w w:val="99"/>
          <w:sz w:val="25"/>
        </w:rPr>
        <w:t>sui</w:t>
      </w:r>
      <w:r>
        <w:rPr>
          <w:color w:val="000009"/>
          <w:spacing w:val="2"/>
          <w:w w:val="99"/>
          <w:sz w:val="25"/>
        </w:rPr>
        <w:t>t</w:t>
      </w:r>
      <w:r>
        <w:rPr>
          <w:w w:val="101"/>
          <w:sz w:val="25"/>
          <w:vertAlign w:val="superscript"/>
        </w:rPr>
        <w:t>1</w:t>
      </w:r>
      <w:r>
        <w:rPr>
          <w:sz w:val="25"/>
          <w:vertAlign w:val="baseline"/>
        </w:rPr>
        <w:t> </w:t>
      </w:r>
      <w:r>
        <w:rPr>
          <w:spacing w:val="18"/>
          <w:sz w:val="25"/>
          <w:vertAlign w:val="baseline"/>
        </w:rPr>
        <w:t> </w:t>
      </w:r>
      <w:r>
        <w:rPr>
          <w:color w:val="000009"/>
          <w:w w:val="49"/>
          <w:sz w:val="25"/>
          <w:vertAlign w:val="baseline"/>
        </w:rPr>
        <w:t>(―</w:t>
      </w:r>
      <w:r>
        <w:rPr>
          <w:b/>
          <w:color w:val="000009"/>
          <w:spacing w:val="-1"/>
          <w:w w:val="99"/>
          <w:sz w:val="25"/>
          <w:vertAlign w:val="baseline"/>
        </w:rPr>
        <w:t>S</w:t>
      </w:r>
      <w:r>
        <w:rPr>
          <w:b/>
          <w:color w:val="000009"/>
          <w:w w:val="99"/>
          <w:sz w:val="25"/>
          <w:vertAlign w:val="baseline"/>
        </w:rPr>
        <w:t>uit</w:t>
      </w:r>
      <w:r>
        <w:rPr>
          <w:b/>
          <w:color w:val="000009"/>
          <w:sz w:val="25"/>
          <w:vertAlign w:val="baseline"/>
        </w:rPr>
        <w:t> </w:t>
      </w:r>
      <w:r>
        <w:rPr>
          <w:b/>
          <w:color w:val="000009"/>
          <w:spacing w:val="18"/>
          <w:sz w:val="25"/>
          <w:vertAlign w:val="baseline"/>
        </w:rPr>
        <w:t> </w:t>
      </w:r>
      <w:r>
        <w:rPr>
          <w:b/>
          <w:color w:val="000009"/>
          <w:w w:val="99"/>
          <w:sz w:val="25"/>
          <w:vertAlign w:val="baseline"/>
        </w:rPr>
        <w:t>of</w:t>
      </w:r>
      <w:r>
        <w:rPr>
          <w:b/>
          <w:color w:val="000009"/>
          <w:sz w:val="25"/>
          <w:vertAlign w:val="baseline"/>
        </w:rPr>
        <w:t> </w:t>
      </w:r>
      <w:r>
        <w:rPr>
          <w:b/>
          <w:color w:val="000009"/>
          <w:spacing w:val="20"/>
          <w:sz w:val="25"/>
          <w:vertAlign w:val="baseline"/>
        </w:rPr>
        <w:t> </w:t>
      </w:r>
      <w:r>
        <w:rPr>
          <w:b/>
          <w:color w:val="000009"/>
          <w:w w:val="99"/>
          <w:sz w:val="25"/>
          <w:vertAlign w:val="baseline"/>
        </w:rPr>
        <w:t>188</w:t>
      </w:r>
      <w:r>
        <w:rPr>
          <w:b/>
          <w:color w:val="000009"/>
          <w:spacing w:val="2"/>
          <w:w w:val="99"/>
          <w:sz w:val="25"/>
          <w:vertAlign w:val="baseline"/>
        </w:rPr>
        <w:t>5</w:t>
      </w:r>
      <w:r>
        <w:rPr>
          <w:color w:val="000009"/>
          <w:w w:val="80"/>
          <w:sz w:val="25"/>
          <w:vertAlign w:val="baseline"/>
        </w:rPr>
        <w:t>‖</w:t>
      </w:r>
      <w:r>
        <w:rPr>
          <w:color w:val="000009"/>
          <w:w w:val="99"/>
          <w:sz w:val="25"/>
          <w:vertAlign w:val="baseline"/>
        </w:rPr>
        <w:t>)</w:t>
      </w:r>
      <w:r>
        <w:rPr>
          <w:color w:val="000009"/>
          <w:sz w:val="25"/>
          <w:vertAlign w:val="baseline"/>
        </w:rPr>
        <w:t> </w:t>
      </w:r>
      <w:r>
        <w:rPr>
          <w:color w:val="000009"/>
          <w:spacing w:val="20"/>
          <w:sz w:val="25"/>
          <w:vertAlign w:val="baseline"/>
        </w:rPr>
        <w:t> </w:t>
      </w:r>
      <w:r>
        <w:rPr>
          <w:color w:val="000009"/>
          <w:spacing w:val="-1"/>
          <w:w w:val="99"/>
          <w:sz w:val="25"/>
          <w:vertAlign w:val="baseline"/>
        </w:rPr>
        <w:t>b</w:t>
      </w:r>
      <w:r>
        <w:rPr>
          <w:color w:val="000009"/>
          <w:w w:val="99"/>
          <w:sz w:val="25"/>
          <w:vertAlign w:val="baseline"/>
        </w:rPr>
        <w:t>e</w:t>
      </w:r>
      <w:r>
        <w:rPr>
          <w:color w:val="000009"/>
          <w:spacing w:val="-3"/>
          <w:w w:val="99"/>
          <w:sz w:val="25"/>
          <w:vertAlign w:val="baseline"/>
        </w:rPr>
        <w:t>f</w:t>
      </w:r>
      <w:r>
        <w:rPr>
          <w:color w:val="000009"/>
          <w:spacing w:val="-1"/>
          <w:w w:val="99"/>
          <w:sz w:val="25"/>
          <w:vertAlign w:val="baseline"/>
        </w:rPr>
        <w:t>o</w:t>
      </w:r>
      <w:r>
        <w:rPr>
          <w:color w:val="000009"/>
          <w:w w:val="99"/>
          <w:sz w:val="25"/>
          <w:vertAlign w:val="baseline"/>
        </w:rPr>
        <w:t>re</w:t>
      </w:r>
      <w:r>
        <w:rPr>
          <w:color w:val="000009"/>
          <w:sz w:val="25"/>
          <w:vertAlign w:val="baseline"/>
        </w:rPr>
        <w:t> </w:t>
      </w:r>
      <w:r>
        <w:rPr>
          <w:color w:val="000009"/>
          <w:spacing w:val="19"/>
          <w:sz w:val="25"/>
          <w:vertAlign w:val="baseline"/>
        </w:rPr>
        <w:t> </w:t>
      </w:r>
      <w:r>
        <w:rPr>
          <w:color w:val="000009"/>
          <w:spacing w:val="-3"/>
          <w:w w:val="99"/>
          <w:sz w:val="25"/>
          <w:vertAlign w:val="baseline"/>
        </w:rPr>
        <w:t>t</w:t>
      </w:r>
      <w:r>
        <w:rPr>
          <w:color w:val="000009"/>
          <w:spacing w:val="-1"/>
          <w:w w:val="99"/>
          <w:sz w:val="25"/>
          <w:vertAlign w:val="baseline"/>
        </w:rPr>
        <w:t>h</w:t>
      </w:r>
      <w:r>
        <w:rPr>
          <w:color w:val="000009"/>
          <w:w w:val="99"/>
          <w:sz w:val="25"/>
          <w:vertAlign w:val="baseline"/>
        </w:rPr>
        <w:t>e</w:t>
      </w:r>
      <w:r>
        <w:rPr>
          <w:color w:val="000009"/>
          <w:sz w:val="25"/>
          <w:vertAlign w:val="baseline"/>
        </w:rPr>
        <w:t> </w:t>
      </w:r>
      <w:r>
        <w:rPr>
          <w:color w:val="000009"/>
          <w:spacing w:val="19"/>
          <w:sz w:val="25"/>
          <w:vertAlign w:val="baseline"/>
        </w:rPr>
        <w:t> </w:t>
      </w:r>
      <w:r>
        <w:rPr>
          <w:color w:val="000009"/>
          <w:spacing w:val="-1"/>
          <w:w w:val="99"/>
          <w:sz w:val="25"/>
          <w:vertAlign w:val="baseline"/>
        </w:rPr>
        <w:t>Su</w:t>
      </w:r>
      <w:r>
        <w:rPr>
          <w:color w:val="000009"/>
          <w:spacing w:val="3"/>
          <w:w w:val="99"/>
          <w:sz w:val="25"/>
          <w:vertAlign w:val="baseline"/>
        </w:rPr>
        <w:t>b</w:t>
      </w:r>
      <w:r>
        <w:rPr>
          <w:color w:val="000009"/>
          <w:w w:val="99"/>
          <w:sz w:val="25"/>
          <w:vertAlign w:val="baseline"/>
        </w:rPr>
        <w:t>-</w:t>
      </w:r>
      <w:r>
        <w:rPr>
          <w:color w:val="000009"/>
          <w:w w:val="99"/>
          <w:sz w:val="25"/>
          <w:vertAlign w:val="baseline"/>
        </w:rPr>
        <w:t>Judge</w:t>
      </w:r>
      <w:r>
        <w:rPr>
          <w:color w:val="000009"/>
          <w:w w:val="99"/>
          <w:sz w:val="25"/>
          <w:vertAlign w:val="baseline"/>
        </w:rPr>
        <w:t>, </w:t>
      </w:r>
      <w:r>
        <w:rPr>
          <w:color w:val="000009"/>
          <w:sz w:val="25"/>
          <w:vertAlign w:val="baseline"/>
        </w:rPr>
        <w:t>Faizabad. The relief which he sought was permission to build a temple on the Ramchabutra situated in the outer courtyard, measuring seventeen feet by twenty-one feet. A sketch map was filed with the plaint. On 24 December 1885, the trial judge dismissed the suit, `noting that there was a possibility of riots breaking out between the two communities due to the proposed construction of a temple. The trial judge, however, observed that there could be </w:t>
      </w:r>
      <w:r>
        <w:rPr>
          <w:color w:val="000009"/>
          <w:spacing w:val="4"/>
          <w:sz w:val="25"/>
          <w:vertAlign w:val="baseline"/>
        </w:rPr>
        <w:t>no </w:t>
      </w:r>
      <w:r>
        <w:rPr>
          <w:color w:val="000009"/>
          <w:sz w:val="25"/>
          <w:vertAlign w:val="baseline"/>
        </w:rPr>
        <w:t>question or doubt regarding the possession and ownership of the Hindus over the Chabutra. On 18 March 1886, the District Judge dismissed the appeal against the judgment of the Trial Court</w:t>
      </w:r>
      <w:r>
        <w:rPr>
          <w:sz w:val="25"/>
          <w:vertAlign w:val="superscript"/>
        </w:rPr>
        <w:t>2</w:t>
      </w:r>
      <w:r>
        <w:rPr>
          <w:sz w:val="25"/>
          <w:vertAlign w:val="baseline"/>
        </w:rPr>
        <w:t> </w:t>
      </w:r>
      <w:r>
        <w:rPr>
          <w:color w:val="000009"/>
          <w:sz w:val="25"/>
          <w:vertAlign w:val="baseline"/>
        </w:rPr>
        <w:t>but struck off the observations relating to the ownership of Hindus of the Chabutra contained in the judgment of the Trial Court. On 1 November 1886, the Judicial Commissioner of Oudh dismissed the second appeal</w:t>
      </w:r>
      <w:r>
        <w:rPr>
          <w:sz w:val="25"/>
          <w:vertAlign w:val="superscript"/>
        </w:rPr>
        <w:t>3</w:t>
      </w:r>
      <w:r>
        <w:rPr>
          <w:color w:val="000009"/>
          <w:sz w:val="25"/>
          <w:vertAlign w:val="baseline"/>
        </w:rPr>
        <w:t>, noting that the Mahant had failed to present evidence of title to establish ownership of the Chabutra. </w:t>
      </w:r>
      <w:r>
        <w:rPr>
          <w:sz w:val="25"/>
          <w:vertAlign w:val="baseline"/>
        </w:rPr>
        <w:t>In 1934, there was yet another conflagration between the</w:t>
      </w:r>
      <w:r>
        <w:rPr>
          <w:spacing w:val="22"/>
          <w:sz w:val="25"/>
          <w:vertAlign w:val="baseline"/>
        </w:rPr>
        <w:t> </w:t>
      </w:r>
      <w:r>
        <w:rPr>
          <w:sz w:val="25"/>
          <w:vertAlign w:val="baseline"/>
        </w:rPr>
        <w:t>two</w:t>
      </w:r>
      <w:r>
        <w:rPr>
          <w:spacing w:val="22"/>
          <w:sz w:val="25"/>
          <w:vertAlign w:val="baseline"/>
        </w:rPr>
        <w:t> </w:t>
      </w:r>
      <w:r>
        <w:rPr>
          <w:sz w:val="25"/>
          <w:vertAlign w:val="baseline"/>
        </w:rPr>
        <w:t>communities.</w:t>
      </w:r>
      <w:r>
        <w:rPr>
          <w:spacing w:val="20"/>
          <w:sz w:val="25"/>
          <w:vertAlign w:val="baseline"/>
        </w:rPr>
        <w:t> </w:t>
      </w:r>
      <w:r>
        <w:rPr>
          <w:sz w:val="25"/>
          <w:vertAlign w:val="baseline"/>
        </w:rPr>
        <w:t>The</w:t>
      </w:r>
      <w:r>
        <w:rPr>
          <w:spacing w:val="22"/>
          <w:sz w:val="25"/>
          <w:vertAlign w:val="baseline"/>
        </w:rPr>
        <w:t> </w:t>
      </w:r>
      <w:r>
        <w:rPr>
          <w:sz w:val="25"/>
          <w:vertAlign w:val="baseline"/>
        </w:rPr>
        <w:t>domed</w:t>
      </w:r>
      <w:r>
        <w:rPr>
          <w:spacing w:val="22"/>
          <w:sz w:val="25"/>
          <w:vertAlign w:val="baseline"/>
        </w:rPr>
        <w:t> </w:t>
      </w:r>
      <w:r>
        <w:rPr>
          <w:sz w:val="25"/>
          <w:vertAlign w:val="baseline"/>
        </w:rPr>
        <w:t>structure</w:t>
      </w:r>
      <w:r>
        <w:rPr>
          <w:spacing w:val="19"/>
          <w:sz w:val="25"/>
          <w:vertAlign w:val="baseline"/>
        </w:rPr>
        <w:t> </w:t>
      </w:r>
      <w:r>
        <w:rPr>
          <w:sz w:val="25"/>
          <w:vertAlign w:val="baseline"/>
        </w:rPr>
        <w:t>of</w:t>
      </w:r>
      <w:r>
        <w:rPr>
          <w:spacing w:val="23"/>
          <w:sz w:val="25"/>
          <w:vertAlign w:val="baseline"/>
        </w:rPr>
        <w:t> </w:t>
      </w:r>
      <w:r>
        <w:rPr>
          <w:sz w:val="25"/>
          <w:vertAlign w:val="baseline"/>
        </w:rPr>
        <w:t>the</w:t>
      </w:r>
      <w:r>
        <w:rPr>
          <w:spacing w:val="22"/>
          <w:sz w:val="25"/>
          <w:vertAlign w:val="baseline"/>
        </w:rPr>
        <w:t> </w:t>
      </w:r>
      <w:r>
        <w:rPr>
          <w:sz w:val="25"/>
          <w:vertAlign w:val="baseline"/>
        </w:rPr>
        <w:t>mosque</w:t>
      </w:r>
      <w:r>
        <w:rPr>
          <w:spacing w:val="22"/>
          <w:sz w:val="25"/>
          <w:vertAlign w:val="baseline"/>
        </w:rPr>
        <w:t> </w:t>
      </w:r>
      <w:r>
        <w:rPr>
          <w:sz w:val="25"/>
          <w:vertAlign w:val="baseline"/>
        </w:rPr>
        <w:t>was</w:t>
      </w:r>
      <w:r>
        <w:rPr>
          <w:spacing w:val="20"/>
          <w:sz w:val="25"/>
          <w:vertAlign w:val="baseline"/>
        </w:rPr>
        <w:t> </w:t>
      </w:r>
      <w:r>
        <w:rPr>
          <w:sz w:val="25"/>
          <w:vertAlign w:val="baseline"/>
        </w:rPr>
        <w:t>damaged</w:t>
      </w:r>
      <w:r>
        <w:rPr>
          <w:spacing w:val="22"/>
          <w:sz w:val="25"/>
          <w:vertAlign w:val="baseline"/>
        </w:rPr>
        <w:t> </w:t>
      </w:r>
      <w:r>
        <w:rPr>
          <w:sz w:val="25"/>
          <w:vertAlign w:val="baseline"/>
        </w:rPr>
        <w:t>during</w:t>
      </w:r>
    </w:p>
    <w:p>
      <w:pPr>
        <w:pStyle w:val="BodyText"/>
        <w:spacing w:before="3"/>
        <w:rPr>
          <w:sz w:val="21"/>
        </w:rPr>
      </w:pPr>
      <w:r>
        <w:rPr/>
        <w:pict>
          <v:rect style="position:absolute;margin-left:72.024002pt;margin-top:14.17829pt;width:144.020pt;height:.60004pt;mso-position-horizontal-relative:page;mso-position-vertical-relative:paragraph;z-index:-15727616;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1</w:t>
      </w:r>
      <w:r>
        <w:rPr>
          <w:sz w:val="18"/>
          <w:vertAlign w:val="baseline"/>
        </w:rPr>
        <w:t> (OS No. 61/280 of</w:t>
      </w:r>
      <w:r>
        <w:rPr>
          <w:spacing w:val="-9"/>
          <w:sz w:val="18"/>
          <w:vertAlign w:val="baseline"/>
        </w:rPr>
        <w:t> </w:t>
      </w:r>
      <w:r>
        <w:rPr>
          <w:sz w:val="18"/>
          <w:vertAlign w:val="baseline"/>
        </w:rPr>
        <w:t>1885)</w:t>
      </w:r>
    </w:p>
    <w:p>
      <w:pPr>
        <w:spacing w:line="207" w:lineRule="exact" w:before="0"/>
        <w:ind w:left="500" w:right="0" w:firstLine="0"/>
        <w:jc w:val="left"/>
        <w:rPr>
          <w:sz w:val="18"/>
        </w:rPr>
      </w:pPr>
      <w:r>
        <w:rPr>
          <w:sz w:val="18"/>
          <w:vertAlign w:val="superscript"/>
        </w:rPr>
        <w:t>2</w:t>
      </w:r>
      <w:r>
        <w:rPr>
          <w:sz w:val="18"/>
          <w:vertAlign w:val="baseline"/>
        </w:rPr>
        <w:t> Civil Appeal No.</w:t>
      </w:r>
      <w:r>
        <w:rPr>
          <w:spacing w:val="-12"/>
          <w:sz w:val="18"/>
          <w:vertAlign w:val="baseline"/>
        </w:rPr>
        <w:t> </w:t>
      </w:r>
      <w:r>
        <w:rPr>
          <w:sz w:val="18"/>
          <w:vertAlign w:val="baseline"/>
        </w:rPr>
        <w:t>27/1885</w:t>
      </w:r>
    </w:p>
    <w:p>
      <w:pPr>
        <w:spacing w:before="1"/>
        <w:ind w:left="500" w:right="0" w:firstLine="0"/>
        <w:jc w:val="left"/>
        <w:rPr>
          <w:sz w:val="18"/>
        </w:rPr>
      </w:pPr>
      <w:r>
        <w:rPr>
          <w:sz w:val="18"/>
          <w:vertAlign w:val="superscript"/>
        </w:rPr>
        <w:t>3</w:t>
      </w:r>
      <w:r>
        <w:rPr>
          <w:sz w:val="18"/>
          <w:vertAlign w:val="baseline"/>
        </w:rPr>
        <w:t> No 27 of 1886</w:t>
      </w:r>
    </w:p>
    <w:p>
      <w:pPr>
        <w:spacing w:after="0"/>
        <w:jc w:val="left"/>
        <w:rPr>
          <w:sz w:val="18"/>
        </w:rPr>
        <w:sectPr>
          <w:pgSz w:w="11910" w:h="16840"/>
          <w:pgMar w:header="721" w:footer="1014" w:top="1300" w:bottom="1200" w:left="940" w:right="1000"/>
        </w:sectPr>
      </w:pPr>
    </w:p>
    <w:p>
      <w:pPr>
        <w:pStyle w:val="BodyText"/>
        <w:spacing w:line="480" w:lineRule="auto" w:before="124"/>
        <w:ind w:left="500" w:right="512"/>
      </w:pPr>
      <w:r>
        <w:rPr/>
        <w:t>the incident and was subsequently repaired at the cost of the colonial government.</w:t>
      </w:r>
    </w:p>
    <w:p>
      <w:pPr>
        <w:pStyle w:val="BodyText"/>
      </w:pPr>
    </w:p>
    <w:p>
      <w:pPr>
        <w:pStyle w:val="ListParagraph"/>
        <w:numPr>
          <w:ilvl w:val="0"/>
          <w:numId w:val="3"/>
        </w:numPr>
        <w:tabs>
          <w:tab w:pos="1221" w:val="left" w:leader="none"/>
        </w:tabs>
        <w:spacing w:line="480" w:lineRule="auto" w:before="0" w:after="0"/>
        <w:ind w:left="500" w:right="434" w:firstLine="0"/>
        <w:jc w:val="both"/>
        <w:rPr>
          <w:sz w:val="25"/>
        </w:rPr>
      </w:pPr>
      <w:r>
        <w:rPr/>
        <w:pict>
          <v:rect style="position:absolute;margin-left:72.024002pt;margin-top:547.724854pt;width:144.020pt;height:.599980pt;mso-position-horizontal-relative:page;mso-position-vertical-relative:paragraph;z-index:-15727104;mso-wrap-distance-left:0;mso-wrap-distance-right:0" filled="true" fillcolor="#000000" stroked="false">
            <v:fill type="solid"/>
            <w10:wrap type="topAndBottom"/>
          </v:rect>
        </w:pict>
      </w:r>
      <w:r>
        <w:rPr>
          <w:color w:val="000009"/>
          <w:sz w:val="25"/>
        </w:rPr>
        <w:t>The controversy entered </w:t>
      </w:r>
      <w:r>
        <w:rPr>
          <w:sz w:val="25"/>
        </w:rPr>
        <w:t>a new phase on the night intervening 22 and 23 December 1949, when the mosque was desecrated by a group of about fifty or sixty people who broke open its locks and placed idols of Lord Ram under the </w:t>
      </w:r>
      <w:r>
        <w:rPr>
          <w:w w:val="99"/>
          <w:sz w:val="25"/>
        </w:rPr>
        <w:t>centr</w:t>
      </w:r>
      <w:r>
        <w:rPr>
          <w:spacing w:val="-1"/>
          <w:w w:val="99"/>
          <w:sz w:val="25"/>
        </w:rPr>
        <w:t>a</w:t>
      </w:r>
      <w:r>
        <w:rPr>
          <w:w w:val="99"/>
          <w:sz w:val="25"/>
        </w:rPr>
        <w:t>l</w:t>
      </w:r>
      <w:r>
        <w:rPr>
          <w:spacing w:val="19"/>
          <w:sz w:val="25"/>
        </w:rPr>
        <w:t> </w:t>
      </w:r>
      <w:r>
        <w:rPr>
          <w:spacing w:val="-1"/>
          <w:w w:val="99"/>
          <w:sz w:val="25"/>
        </w:rPr>
        <w:t>d</w:t>
      </w:r>
      <w:r>
        <w:rPr>
          <w:w w:val="99"/>
          <w:sz w:val="25"/>
        </w:rPr>
        <w:t>om</w:t>
      </w:r>
      <w:r>
        <w:rPr>
          <w:spacing w:val="-1"/>
          <w:w w:val="99"/>
          <w:sz w:val="25"/>
        </w:rPr>
        <w:t>e</w:t>
      </w:r>
      <w:r>
        <w:rPr>
          <w:w w:val="99"/>
          <w:sz w:val="25"/>
        </w:rPr>
        <w:t>.</w:t>
      </w:r>
      <w:r>
        <w:rPr>
          <w:spacing w:val="19"/>
          <w:sz w:val="25"/>
        </w:rPr>
        <w:t> </w:t>
      </w:r>
      <w:r>
        <w:rPr>
          <w:w w:val="99"/>
          <w:sz w:val="25"/>
        </w:rPr>
        <w:t>A</w:t>
      </w:r>
      <w:r>
        <w:rPr>
          <w:spacing w:val="18"/>
          <w:sz w:val="25"/>
        </w:rPr>
        <w:t> </w:t>
      </w:r>
      <w:r>
        <w:rPr>
          <w:w w:val="99"/>
          <w:sz w:val="25"/>
        </w:rPr>
        <w:t>F</w:t>
      </w:r>
      <w:r>
        <w:rPr>
          <w:spacing w:val="-1"/>
          <w:w w:val="99"/>
          <w:sz w:val="25"/>
        </w:rPr>
        <w:t>irs</w:t>
      </w:r>
      <w:r>
        <w:rPr>
          <w:w w:val="99"/>
          <w:sz w:val="25"/>
        </w:rPr>
        <w:t>t</w:t>
      </w:r>
      <w:r>
        <w:rPr>
          <w:spacing w:val="17"/>
          <w:sz w:val="25"/>
        </w:rPr>
        <w:t> </w:t>
      </w:r>
      <w:r>
        <w:rPr>
          <w:w w:val="99"/>
          <w:sz w:val="25"/>
        </w:rPr>
        <w:t>Inf</w:t>
      </w:r>
      <w:r>
        <w:rPr>
          <w:spacing w:val="-1"/>
          <w:w w:val="99"/>
          <w:sz w:val="25"/>
        </w:rPr>
        <w:t>o</w:t>
      </w:r>
      <w:r>
        <w:rPr>
          <w:w w:val="99"/>
          <w:sz w:val="25"/>
        </w:rPr>
        <w:t>rm</w:t>
      </w:r>
      <w:r>
        <w:rPr>
          <w:spacing w:val="-1"/>
          <w:w w:val="99"/>
          <w:sz w:val="25"/>
        </w:rPr>
        <w:t>ati</w:t>
      </w:r>
      <w:r>
        <w:rPr>
          <w:w w:val="99"/>
          <w:sz w:val="25"/>
        </w:rPr>
        <w:t>on</w:t>
      </w:r>
      <w:r>
        <w:rPr>
          <w:spacing w:val="19"/>
          <w:sz w:val="25"/>
        </w:rPr>
        <w:t> </w:t>
      </w:r>
      <w:r>
        <w:rPr>
          <w:spacing w:val="-1"/>
          <w:w w:val="99"/>
          <w:sz w:val="25"/>
        </w:rPr>
        <w:t>Rep</w:t>
      </w:r>
      <w:r>
        <w:rPr>
          <w:w w:val="99"/>
          <w:sz w:val="25"/>
        </w:rPr>
        <w:t>ort</w:t>
      </w:r>
      <w:r>
        <w:rPr>
          <w:spacing w:val="16"/>
          <w:sz w:val="25"/>
        </w:rPr>
        <w:t> </w:t>
      </w:r>
      <w:r>
        <w:rPr>
          <w:w w:val="99"/>
          <w:sz w:val="25"/>
        </w:rPr>
        <w:t>(</w:t>
      </w:r>
      <w:r>
        <w:rPr>
          <w:spacing w:val="4"/>
          <w:w w:val="33"/>
          <w:sz w:val="25"/>
        </w:rPr>
        <w:t>―</w:t>
      </w:r>
      <w:r>
        <w:rPr>
          <w:b/>
          <w:w w:val="99"/>
          <w:sz w:val="25"/>
        </w:rPr>
        <w:t>F</w:t>
      </w:r>
      <w:r>
        <w:rPr>
          <w:b/>
          <w:w w:val="99"/>
          <w:sz w:val="25"/>
        </w:rPr>
        <w:t>IR</w:t>
      </w:r>
      <w:r>
        <w:rPr>
          <w:w w:val="80"/>
          <w:sz w:val="25"/>
        </w:rPr>
        <w:t>‖</w:t>
      </w:r>
      <w:r>
        <w:rPr>
          <w:w w:val="99"/>
          <w:sz w:val="25"/>
        </w:rPr>
        <w:t>)</w:t>
      </w:r>
      <w:r>
        <w:rPr>
          <w:spacing w:val="19"/>
          <w:sz w:val="25"/>
        </w:rPr>
        <w:t> </w:t>
      </w:r>
      <w:r>
        <w:rPr>
          <w:spacing w:val="-1"/>
          <w:w w:val="99"/>
          <w:sz w:val="25"/>
        </w:rPr>
        <w:t>wa</w:t>
      </w:r>
      <w:r>
        <w:rPr>
          <w:w w:val="99"/>
          <w:sz w:val="25"/>
        </w:rPr>
        <w:t>s</w:t>
      </w:r>
      <w:r>
        <w:rPr>
          <w:spacing w:val="19"/>
          <w:sz w:val="25"/>
        </w:rPr>
        <w:t> </w:t>
      </w:r>
      <w:r>
        <w:rPr>
          <w:w w:val="99"/>
          <w:sz w:val="25"/>
        </w:rPr>
        <w:t>r</w:t>
      </w:r>
      <w:r>
        <w:rPr>
          <w:spacing w:val="-1"/>
          <w:w w:val="99"/>
          <w:sz w:val="25"/>
        </w:rPr>
        <w:t>e</w:t>
      </w:r>
      <w:r>
        <w:rPr>
          <w:spacing w:val="1"/>
          <w:w w:val="99"/>
          <w:sz w:val="25"/>
        </w:rPr>
        <w:t>g</w:t>
      </w:r>
      <w:r>
        <w:rPr>
          <w:w w:val="99"/>
          <w:sz w:val="25"/>
        </w:rPr>
        <w:t>iste</w:t>
      </w:r>
      <w:r>
        <w:rPr>
          <w:spacing w:val="1"/>
          <w:w w:val="99"/>
          <w:sz w:val="25"/>
        </w:rPr>
        <w:t>r</w:t>
      </w:r>
      <w:r>
        <w:rPr>
          <w:w w:val="99"/>
          <w:sz w:val="25"/>
        </w:rPr>
        <w:t>ed</w:t>
      </w:r>
      <w:r>
        <w:rPr>
          <w:spacing w:val="19"/>
          <w:sz w:val="25"/>
        </w:rPr>
        <w:t> </w:t>
      </w:r>
      <w:r>
        <w:rPr>
          <w:spacing w:val="-3"/>
          <w:w w:val="99"/>
          <w:sz w:val="25"/>
        </w:rPr>
        <w:t>i</w:t>
      </w:r>
      <w:r>
        <w:rPr>
          <w:w w:val="99"/>
          <w:sz w:val="25"/>
        </w:rPr>
        <w:t>n</w:t>
      </w:r>
      <w:r>
        <w:rPr>
          <w:spacing w:val="19"/>
          <w:sz w:val="25"/>
        </w:rPr>
        <w:t> </w:t>
      </w:r>
      <w:r>
        <w:rPr>
          <w:w w:val="99"/>
          <w:sz w:val="25"/>
        </w:rPr>
        <w:t>r</w:t>
      </w:r>
      <w:r>
        <w:rPr>
          <w:w w:val="99"/>
          <w:sz w:val="25"/>
        </w:rPr>
        <w:t>elat</w:t>
      </w:r>
      <w:r>
        <w:rPr>
          <w:w w:val="99"/>
          <w:sz w:val="25"/>
        </w:rPr>
        <w:t>ion</w:t>
      </w:r>
      <w:r>
        <w:rPr>
          <w:spacing w:val="19"/>
          <w:sz w:val="25"/>
        </w:rPr>
        <w:t> </w:t>
      </w:r>
      <w:r>
        <w:rPr>
          <w:w w:val="99"/>
          <w:sz w:val="25"/>
        </w:rPr>
        <w:t>to</w:t>
      </w:r>
      <w:r>
        <w:rPr>
          <w:spacing w:val="19"/>
          <w:sz w:val="25"/>
        </w:rPr>
        <w:t> </w:t>
      </w:r>
      <w:r>
        <w:rPr>
          <w:w w:val="99"/>
          <w:sz w:val="25"/>
        </w:rPr>
        <w:t>the </w:t>
      </w:r>
      <w:r>
        <w:rPr>
          <w:sz w:val="25"/>
        </w:rPr>
        <w:t>incident. On 29 December 1949, the Additional City Magistrate, Faizabad-cum- Ayodhya issued a preliminary order under Section 145 of the Code of Criminal </w:t>
      </w:r>
      <w:r>
        <w:rPr>
          <w:spacing w:val="-1"/>
          <w:w w:val="99"/>
          <w:sz w:val="25"/>
        </w:rPr>
        <w:t>P</w:t>
      </w:r>
      <w:r>
        <w:rPr>
          <w:w w:val="99"/>
          <w:sz w:val="25"/>
        </w:rPr>
        <w:t>r</w:t>
      </w:r>
      <w:r>
        <w:rPr>
          <w:w w:val="99"/>
          <w:sz w:val="25"/>
        </w:rPr>
        <w:t>ocedu</w:t>
      </w:r>
      <w:r>
        <w:rPr>
          <w:w w:val="99"/>
          <w:sz w:val="25"/>
        </w:rPr>
        <w:t>r</w:t>
      </w:r>
      <w:r>
        <w:rPr>
          <w:w w:val="99"/>
          <w:sz w:val="25"/>
        </w:rPr>
        <w:t>e</w:t>
      </w:r>
      <w:r>
        <w:rPr>
          <w:sz w:val="25"/>
        </w:rPr>
        <w:t> </w:t>
      </w:r>
      <w:r>
        <w:rPr>
          <w:spacing w:val="-2"/>
          <w:sz w:val="25"/>
        </w:rPr>
        <w:t> </w:t>
      </w:r>
      <w:r>
        <w:rPr>
          <w:w w:val="99"/>
          <w:sz w:val="25"/>
        </w:rPr>
        <w:t>189</w:t>
      </w:r>
      <w:r>
        <w:rPr>
          <w:spacing w:val="-1"/>
          <w:w w:val="99"/>
          <w:sz w:val="25"/>
        </w:rPr>
        <w:t>8</w:t>
      </w:r>
      <w:r>
        <w:rPr>
          <w:w w:val="101"/>
          <w:sz w:val="25"/>
          <w:vertAlign w:val="superscript"/>
        </w:rPr>
        <w:t>4</w:t>
      </w:r>
      <w:r>
        <w:rPr>
          <w:sz w:val="25"/>
          <w:vertAlign w:val="baseline"/>
        </w:rPr>
        <w:t> </w:t>
      </w:r>
      <w:r>
        <w:rPr>
          <w:spacing w:val="-3"/>
          <w:sz w:val="25"/>
          <w:vertAlign w:val="baseline"/>
        </w:rPr>
        <w:t> </w:t>
      </w:r>
      <w:r>
        <w:rPr>
          <w:w w:val="49"/>
          <w:sz w:val="25"/>
          <w:vertAlign w:val="baseline"/>
        </w:rPr>
        <w:t>(―</w:t>
      </w:r>
      <w:r>
        <w:rPr>
          <w:b/>
          <w:w w:val="99"/>
          <w:sz w:val="25"/>
          <w:vertAlign w:val="baseline"/>
        </w:rPr>
        <w:t>C</w:t>
      </w:r>
      <w:r>
        <w:rPr>
          <w:b/>
          <w:spacing w:val="-2"/>
          <w:w w:val="99"/>
          <w:sz w:val="25"/>
          <w:vertAlign w:val="baseline"/>
        </w:rPr>
        <w:t>r</w:t>
      </w:r>
      <w:r>
        <w:rPr>
          <w:b/>
          <w:spacing w:val="-1"/>
          <w:w w:val="99"/>
          <w:sz w:val="25"/>
          <w:vertAlign w:val="baseline"/>
        </w:rPr>
        <w:t>P</w:t>
      </w:r>
      <w:r>
        <w:rPr>
          <w:b/>
          <w:w w:val="99"/>
          <w:sz w:val="25"/>
          <w:vertAlign w:val="baseline"/>
        </w:rPr>
        <w:t>C</w:t>
      </w:r>
      <w:r>
        <w:rPr>
          <w:b/>
          <w:sz w:val="25"/>
          <w:vertAlign w:val="baseline"/>
        </w:rPr>
        <w:t> </w:t>
      </w:r>
      <w:r>
        <w:rPr>
          <w:b/>
          <w:spacing w:val="-3"/>
          <w:sz w:val="25"/>
          <w:vertAlign w:val="baseline"/>
        </w:rPr>
        <w:t> </w:t>
      </w:r>
      <w:r>
        <w:rPr>
          <w:b/>
          <w:w w:val="99"/>
          <w:sz w:val="25"/>
          <w:vertAlign w:val="baseline"/>
        </w:rPr>
        <w:t>189</w:t>
      </w:r>
      <w:r>
        <w:rPr>
          <w:b/>
          <w:spacing w:val="2"/>
          <w:w w:val="99"/>
          <w:sz w:val="25"/>
          <w:vertAlign w:val="baseline"/>
        </w:rPr>
        <w:t>8</w:t>
      </w:r>
      <w:r>
        <w:rPr>
          <w:w w:val="80"/>
          <w:sz w:val="25"/>
          <w:vertAlign w:val="baseline"/>
        </w:rPr>
        <w:t>‖</w:t>
      </w:r>
      <w:r>
        <w:rPr>
          <w:w w:val="99"/>
          <w:sz w:val="25"/>
          <w:vertAlign w:val="baseline"/>
        </w:rPr>
        <w:t>),</w:t>
      </w:r>
      <w:r>
        <w:rPr>
          <w:sz w:val="25"/>
          <w:vertAlign w:val="baseline"/>
        </w:rPr>
        <w:t> </w:t>
      </w:r>
      <w:r>
        <w:rPr>
          <w:spacing w:val="-3"/>
          <w:sz w:val="25"/>
          <w:vertAlign w:val="baseline"/>
        </w:rPr>
        <w:t> </w:t>
      </w:r>
      <w:r>
        <w:rPr>
          <w:w w:val="99"/>
          <w:sz w:val="25"/>
          <w:vertAlign w:val="baseline"/>
        </w:rPr>
        <w:t>tr</w:t>
      </w:r>
      <w:r>
        <w:rPr>
          <w:spacing w:val="-1"/>
          <w:w w:val="99"/>
          <w:sz w:val="25"/>
          <w:vertAlign w:val="baseline"/>
        </w:rPr>
        <w:t>e</w:t>
      </w:r>
      <w:r>
        <w:rPr>
          <w:w w:val="99"/>
          <w:sz w:val="25"/>
          <w:vertAlign w:val="baseline"/>
        </w:rPr>
        <w:t>ating</w:t>
      </w:r>
      <w:r>
        <w:rPr>
          <w:sz w:val="25"/>
          <w:vertAlign w:val="baseline"/>
        </w:rPr>
        <w:t> </w:t>
      </w:r>
      <w:r>
        <w:rPr>
          <w:spacing w:val="-2"/>
          <w:sz w:val="25"/>
          <w:vertAlign w:val="baseline"/>
        </w:rPr>
        <w:t> </w:t>
      </w:r>
      <w:r>
        <w:rPr>
          <w:spacing w:val="-3"/>
          <w:w w:val="99"/>
          <w:sz w:val="25"/>
          <w:vertAlign w:val="baseline"/>
        </w:rPr>
        <w:t>t</w:t>
      </w:r>
      <w:r>
        <w:rPr>
          <w:spacing w:val="-1"/>
          <w:w w:val="99"/>
          <w:sz w:val="25"/>
          <w:vertAlign w:val="baseline"/>
        </w:rPr>
        <w:t>h</w:t>
      </w:r>
      <w:r>
        <w:rPr>
          <w:w w:val="99"/>
          <w:sz w:val="25"/>
          <w:vertAlign w:val="baseline"/>
        </w:rPr>
        <w:t>e</w:t>
      </w:r>
      <w:r>
        <w:rPr>
          <w:sz w:val="25"/>
          <w:vertAlign w:val="baseline"/>
        </w:rPr>
        <w:t> </w:t>
      </w:r>
      <w:r>
        <w:rPr>
          <w:spacing w:val="-2"/>
          <w:sz w:val="25"/>
          <w:vertAlign w:val="baseline"/>
        </w:rPr>
        <w:t> </w:t>
      </w:r>
      <w:r>
        <w:rPr>
          <w:w w:val="99"/>
          <w:sz w:val="25"/>
          <w:vertAlign w:val="baseline"/>
        </w:rPr>
        <w:t>situation</w:t>
      </w:r>
      <w:r>
        <w:rPr>
          <w:sz w:val="25"/>
          <w:vertAlign w:val="baseline"/>
        </w:rPr>
        <w:t> </w:t>
      </w:r>
      <w:r>
        <w:rPr>
          <w:spacing w:val="-2"/>
          <w:sz w:val="25"/>
          <w:vertAlign w:val="baseline"/>
        </w:rPr>
        <w:t> </w:t>
      </w:r>
      <w:r>
        <w:rPr>
          <w:w w:val="99"/>
          <w:sz w:val="25"/>
          <w:vertAlign w:val="baseline"/>
        </w:rPr>
        <w:t>to</w:t>
      </w:r>
      <w:r>
        <w:rPr>
          <w:sz w:val="25"/>
          <w:vertAlign w:val="baseline"/>
        </w:rPr>
        <w:t> </w:t>
      </w:r>
      <w:r>
        <w:rPr>
          <w:spacing w:val="-2"/>
          <w:sz w:val="25"/>
          <w:vertAlign w:val="baseline"/>
        </w:rPr>
        <w:t> </w:t>
      </w:r>
      <w:r>
        <w:rPr>
          <w:spacing w:val="-1"/>
          <w:w w:val="99"/>
          <w:sz w:val="25"/>
          <w:vertAlign w:val="baseline"/>
        </w:rPr>
        <w:t>b</w:t>
      </w:r>
      <w:r>
        <w:rPr>
          <w:w w:val="99"/>
          <w:sz w:val="25"/>
          <w:vertAlign w:val="baseline"/>
        </w:rPr>
        <w:t>e</w:t>
      </w:r>
      <w:r>
        <w:rPr>
          <w:sz w:val="25"/>
          <w:vertAlign w:val="baseline"/>
        </w:rPr>
        <w:t> </w:t>
      </w:r>
      <w:r>
        <w:rPr>
          <w:spacing w:val="-2"/>
          <w:sz w:val="25"/>
          <w:vertAlign w:val="baseline"/>
        </w:rPr>
        <w:t> </w:t>
      </w:r>
      <w:r>
        <w:rPr>
          <w:spacing w:val="-1"/>
          <w:w w:val="99"/>
          <w:sz w:val="25"/>
          <w:vertAlign w:val="baseline"/>
        </w:rPr>
        <w:t>o</w:t>
      </w:r>
      <w:r>
        <w:rPr>
          <w:w w:val="99"/>
          <w:sz w:val="25"/>
          <w:vertAlign w:val="baseline"/>
        </w:rPr>
        <w:t>f</w:t>
      </w:r>
      <w:r>
        <w:rPr>
          <w:sz w:val="25"/>
          <w:vertAlign w:val="baseline"/>
        </w:rPr>
        <w:t> </w:t>
      </w:r>
      <w:r>
        <w:rPr>
          <w:spacing w:val="-5"/>
          <w:sz w:val="25"/>
          <w:vertAlign w:val="baseline"/>
        </w:rPr>
        <w:t> </w:t>
      </w:r>
      <w:r>
        <w:rPr>
          <w:spacing w:val="-1"/>
          <w:w w:val="99"/>
          <w:sz w:val="25"/>
          <w:vertAlign w:val="baseline"/>
        </w:rPr>
        <w:t>a</w:t>
      </w:r>
      <w:r>
        <w:rPr>
          <w:w w:val="99"/>
          <w:sz w:val="25"/>
          <w:vertAlign w:val="baseline"/>
        </w:rPr>
        <w:t>n</w:t>
      </w:r>
      <w:r>
        <w:rPr>
          <w:sz w:val="25"/>
          <w:vertAlign w:val="baseline"/>
        </w:rPr>
        <w:t> </w:t>
      </w:r>
      <w:r>
        <w:rPr>
          <w:spacing w:val="-2"/>
          <w:sz w:val="25"/>
          <w:vertAlign w:val="baseline"/>
        </w:rPr>
        <w:t> </w:t>
      </w:r>
      <w:r>
        <w:rPr>
          <w:spacing w:val="-1"/>
          <w:w w:val="99"/>
          <w:sz w:val="25"/>
          <w:vertAlign w:val="baseline"/>
        </w:rPr>
        <w:t>e</w:t>
      </w:r>
      <w:r>
        <w:rPr>
          <w:w w:val="99"/>
          <w:sz w:val="25"/>
          <w:vertAlign w:val="baseline"/>
        </w:rPr>
        <w:t>m</w:t>
      </w:r>
      <w:r>
        <w:rPr>
          <w:spacing w:val="-1"/>
          <w:w w:val="99"/>
          <w:sz w:val="25"/>
          <w:vertAlign w:val="baseline"/>
        </w:rPr>
        <w:t>e</w:t>
      </w:r>
      <w:r>
        <w:rPr>
          <w:w w:val="99"/>
          <w:sz w:val="25"/>
          <w:vertAlign w:val="baseline"/>
        </w:rPr>
        <w:t>r</w:t>
      </w:r>
      <w:r>
        <w:rPr>
          <w:spacing w:val="-1"/>
          <w:w w:val="99"/>
          <w:sz w:val="25"/>
          <w:vertAlign w:val="baseline"/>
        </w:rPr>
        <w:t>g</w:t>
      </w:r>
      <w:r>
        <w:rPr>
          <w:w w:val="99"/>
          <w:sz w:val="25"/>
          <w:vertAlign w:val="baseline"/>
        </w:rPr>
        <w:t>e</w:t>
      </w:r>
      <w:r>
        <w:rPr>
          <w:spacing w:val="-1"/>
          <w:w w:val="99"/>
          <w:sz w:val="25"/>
          <w:vertAlign w:val="baseline"/>
        </w:rPr>
        <w:t>nt </w:t>
      </w:r>
      <w:r>
        <w:rPr>
          <w:sz w:val="25"/>
          <w:vertAlign w:val="baseline"/>
        </w:rPr>
        <w:t>nature. Simultaneously, an attachment order was issued and Priya Datt Ram, the Chairman of the Municipal Board of Faizabad was appointed as the receiver of the inner courtyard. On 5 January 1950, the receiver took charge of the inner courtyard and prepared an inventory of the attached properties. The Magistrate passed a preliminary order upon recording a satisfaction that the dispute between the two communities over their claims to worship and proprietorship over the structure would likely lead to a breach </w:t>
      </w:r>
      <w:r>
        <w:rPr>
          <w:spacing w:val="2"/>
          <w:sz w:val="25"/>
          <w:vertAlign w:val="baseline"/>
        </w:rPr>
        <w:t>of </w:t>
      </w:r>
      <w:r>
        <w:rPr>
          <w:sz w:val="25"/>
          <w:vertAlign w:val="baseline"/>
        </w:rPr>
        <w:t>peace. The stakeholders were allowed to file their written statements. Under the Magistrate‘s order, only two or three pujaris were permitted to go inside the place where the idols were kept, to perform religious ceremonies like bhog and puja. Members of the general public were restricted from entering and were only allowed darshan from beyond the grill-brick</w:t>
      </w:r>
      <w:r>
        <w:rPr>
          <w:spacing w:val="-2"/>
          <w:sz w:val="25"/>
          <w:vertAlign w:val="baseline"/>
        </w:rPr>
        <w:t> </w:t>
      </w:r>
      <w:r>
        <w:rPr>
          <w:sz w:val="25"/>
          <w:vertAlign w:val="baseline"/>
        </w:rPr>
        <w:t>wall.</w:t>
      </w:r>
    </w:p>
    <w:p>
      <w:pPr>
        <w:spacing w:line="207" w:lineRule="exact" w:before="80"/>
        <w:ind w:left="500" w:right="0" w:firstLine="0"/>
        <w:jc w:val="both"/>
        <w:rPr>
          <w:sz w:val="18"/>
        </w:rPr>
      </w:pPr>
      <w:r>
        <w:rPr>
          <w:sz w:val="18"/>
          <w:vertAlign w:val="superscript"/>
        </w:rPr>
        <w:t>4</w:t>
      </w:r>
      <w:r>
        <w:rPr>
          <w:sz w:val="18"/>
          <w:vertAlign w:val="baseline"/>
        </w:rPr>
        <w:t>―Section 145. Procedure where dispute concerning land, etc, is likely to cause breach of peace</w:t>
      </w:r>
    </w:p>
    <w:p>
      <w:pPr>
        <w:pStyle w:val="ListParagraph"/>
        <w:numPr>
          <w:ilvl w:val="0"/>
          <w:numId w:val="4"/>
        </w:numPr>
        <w:tabs>
          <w:tab w:pos="781" w:val="left" w:leader="none"/>
        </w:tabs>
        <w:spacing w:line="240" w:lineRule="auto" w:before="0" w:after="0"/>
        <w:ind w:left="500" w:right="443" w:firstLine="0"/>
        <w:jc w:val="both"/>
        <w:rPr>
          <w:sz w:val="18"/>
        </w:rPr>
      </w:pPr>
      <w:r>
        <w:rPr>
          <w:sz w:val="18"/>
        </w:rPr>
        <w:t>Whenever a District Magistrate, or an Executive Magistrate specially empowered by the Government in this behalf is satisfied from a police-report or other information that a dispute likely to cause a breach of the peace exists concerning any land or water of the boundaries thereof, within the local limits of his jurisdiction, he shall make</w:t>
      </w:r>
      <w:r>
        <w:rPr>
          <w:spacing w:val="-2"/>
          <w:sz w:val="18"/>
        </w:rPr>
        <w:t> </w:t>
      </w:r>
      <w:r>
        <w:rPr>
          <w:sz w:val="18"/>
        </w:rPr>
        <w:t>an</w:t>
      </w:r>
      <w:r>
        <w:rPr>
          <w:spacing w:val="-4"/>
          <w:sz w:val="18"/>
        </w:rPr>
        <w:t> </w:t>
      </w:r>
      <w:r>
        <w:rPr>
          <w:sz w:val="18"/>
        </w:rPr>
        <w:t>order</w:t>
      </w:r>
      <w:r>
        <w:rPr>
          <w:spacing w:val="-4"/>
          <w:sz w:val="18"/>
        </w:rPr>
        <w:t> </w:t>
      </w:r>
      <w:r>
        <w:rPr>
          <w:sz w:val="18"/>
        </w:rPr>
        <w:t>in</w:t>
      </w:r>
      <w:r>
        <w:rPr>
          <w:spacing w:val="-2"/>
          <w:sz w:val="18"/>
        </w:rPr>
        <w:t> </w:t>
      </w:r>
      <w:r>
        <w:rPr>
          <w:sz w:val="18"/>
        </w:rPr>
        <w:t>writing,</w:t>
      </w:r>
      <w:r>
        <w:rPr>
          <w:spacing w:val="-2"/>
          <w:sz w:val="18"/>
        </w:rPr>
        <w:t> </w:t>
      </w:r>
      <w:r>
        <w:rPr>
          <w:sz w:val="18"/>
        </w:rPr>
        <w:t>stating</w:t>
      </w:r>
      <w:r>
        <w:rPr>
          <w:spacing w:val="-2"/>
          <w:sz w:val="18"/>
        </w:rPr>
        <w:t> </w:t>
      </w:r>
      <w:r>
        <w:rPr>
          <w:sz w:val="18"/>
        </w:rPr>
        <w:t>the</w:t>
      </w:r>
      <w:r>
        <w:rPr>
          <w:spacing w:val="-4"/>
          <w:sz w:val="18"/>
        </w:rPr>
        <w:t> </w:t>
      </w:r>
      <w:r>
        <w:rPr>
          <w:sz w:val="18"/>
        </w:rPr>
        <w:t>grounds</w:t>
      </w:r>
      <w:r>
        <w:rPr>
          <w:spacing w:val="-3"/>
          <w:sz w:val="18"/>
        </w:rPr>
        <w:t> </w:t>
      </w:r>
      <w:r>
        <w:rPr>
          <w:sz w:val="18"/>
        </w:rPr>
        <w:t>of</w:t>
      </w:r>
      <w:r>
        <w:rPr>
          <w:spacing w:val="-2"/>
          <w:sz w:val="18"/>
        </w:rPr>
        <w:t> </w:t>
      </w:r>
      <w:r>
        <w:rPr>
          <w:sz w:val="18"/>
        </w:rPr>
        <w:t>his</w:t>
      </w:r>
      <w:r>
        <w:rPr>
          <w:spacing w:val="-3"/>
          <w:sz w:val="18"/>
        </w:rPr>
        <w:t> </w:t>
      </w:r>
      <w:r>
        <w:rPr>
          <w:sz w:val="18"/>
        </w:rPr>
        <w:t>being</w:t>
      </w:r>
      <w:r>
        <w:rPr>
          <w:spacing w:val="-2"/>
          <w:sz w:val="18"/>
        </w:rPr>
        <w:t> </w:t>
      </w:r>
      <w:r>
        <w:rPr>
          <w:sz w:val="18"/>
        </w:rPr>
        <w:t>so</w:t>
      </w:r>
      <w:r>
        <w:rPr>
          <w:spacing w:val="-2"/>
          <w:sz w:val="18"/>
        </w:rPr>
        <w:t> </w:t>
      </w:r>
      <w:r>
        <w:rPr>
          <w:sz w:val="18"/>
        </w:rPr>
        <w:t>satisfied,</w:t>
      </w:r>
      <w:r>
        <w:rPr>
          <w:spacing w:val="-1"/>
          <w:sz w:val="18"/>
        </w:rPr>
        <w:t> </w:t>
      </w:r>
      <w:r>
        <w:rPr>
          <w:sz w:val="18"/>
        </w:rPr>
        <w:t>and</w:t>
      </w:r>
      <w:r>
        <w:rPr>
          <w:spacing w:val="-2"/>
          <w:sz w:val="18"/>
        </w:rPr>
        <w:t> </w:t>
      </w:r>
      <w:r>
        <w:rPr>
          <w:sz w:val="18"/>
        </w:rPr>
        <w:t>requiring</w:t>
      </w:r>
      <w:r>
        <w:rPr>
          <w:spacing w:val="-2"/>
          <w:sz w:val="18"/>
        </w:rPr>
        <w:t> </w:t>
      </w:r>
      <w:r>
        <w:rPr>
          <w:sz w:val="18"/>
        </w:rPr>
        <w:t>the</w:t>
      </w:r>
      <w:r>
        <w:rPr>
          <w:spacing w:val="-2"/>
          <w:sz w:val="18"/>
        </w:rPr>
        <w:t> </w:t>
      </w:r>
      <w:r>
        <w:rPr>
          <w:sz w:val="18"/>
        </w:rPr>
        <w:t>parties</w:t>
      </w:r>
      <w:r>
        <w:rPr>
          <w:spacing w:val="-1"/>
          <w:sz w:val="18"/>
        </w:rPr>
        <w:t> </w:t>
      </w:r>
      <w:r>
        <w:rPr>
          <w:sz w:val="18"/>
        </w:rPr>
        <w:t>concerned</w:t>
      </w:r>
      <w:r>
        <w:rPr>
          <w:spacing w:val="-2"/>
          <w:sz w:val="18"/>
        </w:rPr>
        <w:t> </w:t>
      </w:r>
      <w:r>
        <w:rPr>
          <w:sz w:val="18"/>
        </w:rPr>
        <w:t>in</w:t>
      </w:r>
      <w:r>
        <w:rPr>
          <w:spacing w:val="-4"/>
          <w:sz w:val="18"/>
        </w:rPr>
        <w:t> </w:t>
      </w:r>
      <w:r>
        <w:rPr>
          <w:sz w:val="18"/>
        </w:rPr>
        <w:t>such dispute to attend his Court in person or by pleader, within a time to be fixed by such Magistrate, and to put in written</w:t>
      </w:r>
      <w:r>
        <w:rPr>
          <w:spacing w:val="-3"/>
          <w:sz w:val="18"/>
        </w:rPr>
        <w:t> </w:t>
      </w:r>
      <w:r>
        <w:rPr>
          <w:sz w:val="18"/>
        </w:rPr>
        <w:t>statements</w:t>
      </w:r>
      <w:r>
        <w:rPr>
          <w:spacing w:val="-4"/>
          <w:sz w:val="18"/>
        </w:rPr>
        <w:t> </w:t>
      </w:r>
      <w:r>
        <w:rPr>
          <w:sz w:val="18"/>
        </w:rPr>
        <w:t>of</w:t>
      </w:r>
      <w:r>
        <w:rPr>
          <w:spacing w:val="-3"/>
          <w:sz w:val="18"/>
        </w:rPr>
        <w:t> </w:t>
      </w:r>
      <w:r>
        <w:rPr>
          <w:sz w:val="18"/>
        </w:rPr>
        <w:t>their</w:t>
      </w:r>
      <w:r>
        <w:rPr>
          <w:spacing w:val="-3"/>
          <w:sz w:val="18"/>
        </w:rPr>
        <w:t> </w:t>
      </w:r>
      <w:r>
        <w:rPr>
          <w:sz w:val="18"/>
        </w:rPr>
        <w:t>respective</w:t>
      </w:r>
      <w:r>
        <w:rPr>
          <w:spacing w:val="-3"/>
          <w:sz w:val="18"/>
        </w:rPr>
        <w:t> </w:t>
      </w:r>
      <w:r>
        <w:rPr>
          <w:sz w:val="18"/>
        </w:rPr>
        <w:t>claims</w:t>
      </w:r>
      <w:r>
        <w:rPr>
          <w:spacing w:val="-2"/>
          <w:sz w:val="18"/>
        </w:rPr>
        <w:t> </w:t>
      </w:r>
      <w:r>
        <w:rPr>
          <w:sz w:val="18"/>
        </w:rPr>
        <w:t>as</w:t>
      </w:r>
      <w:r>
        <w:rPr>
          <w:spacing w:val="-2"/>
          <w:sz w:val="18"/>
        </w:rPr>
        <w:t> </w:t>
      </w:r>
      <w:r>
        <w:rPr>
          <w:sz w:val="18"/>
        </w:rPr>
        <w:t>respects</w:t>
      </w:r>
      <w:r>
        <w:rPr>
          <w:spacing w:val="-2"/>
          <w:sz w:val="18"/>
        </w:rPr>
        <w:t> </w:t>
      </w:r>
      <w:r>
        <w:rPr>
          <w:sz w:val="18"/>
        </w:rPr>
        <w:t>the</w:t>
      </w:r>
      <w:r>
        <w:rPr>
          <w:spacing w:val="-4"/>
          <w:sz w:val="18"/>
        </w:rPr>
        <w:t> </w:t>
      </w:r>
      <w:r>
        <w:rPr>
          <w:sz w:val="18"/>
        </w:rPr>
        <w:t>fact</w:t>
      </w:r>
      <w:r>
        <w:rPr>
          <w:spacing w:val="-5"/>
          <w:sz w:val="18"/>
        </w:rPr>
        <w:t> </w:t>
      </w:r>
      <w:r>
        <w:rPr>
          <w:sz w:val="18"/>
        </w:rPr>
        <w:t>of</w:t>
      </w:r>
      <w:r>
        <w:rPr>
          <w:spacing w:val="-3"/>
          <w:sz w:val="18"/>
        </w:rPr>
        <w:t> </w:t>
      </w:r>
      <w:r>
        <w:rPr>
          <w:sz w:val="18"/>
        </w:rPr>
        <w:t>actual</w:t>
      </w:r>
      <w:r>
        <w:rPr>
          <w:spacing w:val="-3"/>
          <w:sz w:val="18"/>
        </w:rPr>
        <w:t> </w:t>
      </w:r>
      <w:r>
        <w:rPr>
          <w:sz w:val="18"/>
        </w:rPr>
        <w:t>possession</w:t>
      </w:r>
      <w:r>
        <w:rPr>
          <w:spacing w:val="-3"/>
          <w:sz w:val="18"/>
        </w:rPr>
        <w:t> </w:t>
      </w:r>
      <w:r>
        <w:rPr>
          <w:sz w:val="18"/>
        </w:rPr>
        <w:t>of</w:t>
      </w:r>
      <w:r>
        <w:rPr>
          <w:spacing w:val="-5"/>
          <w:sz w:val="18"/>
        </w:rPr>
        <w:t> </w:t>
      </w:r>
      <w:r>
        <w:rPr>
          <w:sz w:val="18"/>
        </w:rPr>
        <w:t>the</w:t>
      </w:r>
      <w:r>
        <w:rPr>
          <w:spacing w:val="-3"/>
          <w:sz w:val="18"/>
        </w:rPr>
        <w:t> </w:t>
      </w:r>
      <w:r>
        <w:rPr>
          <w:sz w:val="18"/>
        </w:rPr>
        <w:t>subject</w:t>
      </w:r>
      <w:r>
        <w:rPr>
          <w:spacing w:val="-2"/>
          <w:sz w:val="18"/>
        </w:rPr>
        <w:t> </w:t>
      </w:r>
      <w:r>
        <w:rPr>
          <w:sz w:val="18"/>
        </w:rPr>
        <w:t>of</w:t>
      </w:r>
      <w:r>
        <w:rPr>
          <w:spacing w:val="-5"/>
          <w:sz w:val="18"/>
        </w:rPr>
        <w:t> </w:t>
      </w:r>
      <w:r>
        <w:rPr>
          <w:sz w:val="18"/>
        </w:rPr>
        <w:t>dispute…‖</w:t>
      </w:r>
    </w:p>
    <w:p>
      <w:pPr>
        <w:spacing w:after="0" w:line="240" w:lineRule="auto"/>
        <w:jc w:val="both"/>
        <w:rPr>
          <w:sz w:val="18"/>
        </w:rPr>
        <w:sectPr>
          <w:pgSz w:w="11910" w:h="16840"/>
          <w:pgMar w:header="721" w:footer="1014" w:top="1300" w:bottom="1200" w:left="940" w:right="1000"/>
        </w:sectPr>
      </w:pPr>
    </w:p>
    <w:p>
      <w:pPr>
        <w:pStyle w:val="BodyText"/>
        <w:spacing w:before="1"/>
        <w:rPr>
          <w:sz w:val="28"/>
        </w:rPr>
      </w:pPr>
    </w:p>
    <w:p>
      <w:pPr>
        <w:spacing w:before="91"/>
        <w:ind w:left="500" w:right="0" w:firstLine="0"/>
        <w:jc w:val="left"/>
        <w:rPr>
          <w:i/>
          <w:sz w:val="26"/>
        </w:rPr>
      </w:pPr>
      <w:r>
        <w:rPr>
          <w:i/>
          <w:color w:val="000009"/>
          <w:sz w:val="26"/>
        </w:rPr>
        <w:t>The institution of the suits</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On </w:t>
      </w:r>
      <w:r>
        <w:rPr>
          <w:color w:val="000009"/>
          <w:sz w:val="25"/>
        </w:rPr>
        <w:t>16 </w:t>
      </w:r>
      <w:r>
        <w:rPr>
          <w:sz w:val="25"/>
        </w:rPr>
        <w:t>January </w:t>
      </w:r>
      <w:r>
        <w:rPr>
          <w:color w:val="000009"/>
          <w:sz w:val="25"/>
        </w:rPr>
        <w:t>1950</w:t>
      </w:r>
      <w:r>
        <w:rPr>
          <w:sz w:val="25"/>
        </w:rPr>
        <w:t>, a suit was instituted by a Hindu devotee, Gopal </w:t>
      </w:r>
      <w:r>
        <w:rPr>
          <w:spacing w:val="-1"/>
          <w:w w:val="99"/>
          <w:sz w:val="25"/>
        </w:rPr>
        <w:t>S</w:t>
      </w:r>
      <w:r>
        <w:rPr>
          <w:w w:val="99"/>
          <w:sz w:val="25"/>
        </w:rPr>
        <w:t>ingh</w:t>
      </w:r>
      <w:r>
        <w:rPr>
          <w:spacing w:val="34"/>
          <w:sz w:val="25"/>
        </w:rPr>
        <w:t> </w:t>
      </w:r>
      <w:r>
        <w:rPr>
          <w:spacing w:val="-1"/>
          <w:w w:val="99"/>
          <w:sz w:val="25"/>
        </w:rPr>
        <w:t>V</w:t>
      </w:r>
      <w:r>
        <w:rPr>
          <w:w w:val="99"/>
          <w:sz w:val="25"/>
        </w:rPr>
        <w:t>isha</w:t>
      </w:r>
      <w:r>
        <w:rPr>
          <w:spacing w:val="1"/>
          <w:w w:val="99"/>
          <w:sz w:val="25"/>
        </w:rPr>
        <w:t>r</w:t>
      </w:r>
      <w:r>
        <w:rPr>
          <w:w w:val="99"/>
          <w:sz w:val="25"/>
        </w:rPr>
        <w:t>a</w:t>
      </w:r>
      <w:r>
        <w:rPr>
          <w:spacing w:val="1"/>
          <w:w w:val="99"/>
          <w:sz w:val="25"/>
        </w:rPr>
        <w:t>d</w:t>
      </w:r>
      <w:r>
        <w:rPr>
          <w:spacing w:val="-1"/>
          <w:w w:val="101"/>
          <w:sz w:val="25"/>
          <w:vertAlign w:val="superscript"/>
        </w:rPr>
        <w:t>5</w:t>
      </w:r>
      <w:r>
        <w:rPr>
          <w:w w:val="99"/>
          <w:sz w:val="25"/>
          <w:vertAlign w:val="baseline"/>
        </w:rPr>
        <w:t>,</w:t>
      </w:r>
      <w:r>
        <w:rPr>
          <w:spacing w:val="33"/>
          <w:sz w:val="25"/>
          <w:vertAlign w:val="baseline"/>
        </w:rPr>
        <w:t> </w:t>
      </w:r>
      <w:r>
        <w:rPr>
          <w:w w:val="99"/>
          <w:sz w:val="25"/>
          <w:vertAlign w:val="baseline"/>
        </w:rPr>
        <w:t>(</w:t>
      </w:r>
      <w:r>
        <w:rPr>
          <w:spacing w:val="1"/>
          <w:w w:val="33"/>
          <w:sz w:val="25"/>
          <w:vertAlign w:val="baseline"/>
        </w:rPr>
        <w:t>―</w:t>
      </w:r>
      <w:r>
        <w:rPr>
          <w:b/>
          <w:spacing w:val="-1"/>
          <w:w w:val="99"/>
          <w:sz w:val="25"/>
          <w:vertAlign w:val="baseline"/>
        </w:rPr>
        <w:t>S</w:t>
      </w:r>
      <w:r>
        <w:rPr>
          <w:b/>
          <w:w w:val="99"/>
          <w:sz w:val="25"/>
          <w:vertAlign w:val="baseline"/>
        </w:rPr>
        <w:t>u</w:t>
      </w:r>
      <w:r>
        <w:rPr>
          <w:b/>
          <w:spacing w:val="-3"/>
          <w:w w:val="99"/>
          <w:sz w:val="25"/>
          <w:vertAlign w:val="baseline"/>
        </w:rPr>
        <w:t>i</w:t>
      </w:r>
      <w:r>
        <w:rPr>
          <w:b/>
          <w:w w:val="99"/>
          <w:sz w:val="25"/>
          <w:vertAlign w:val="baseline"/>
        </w:rPr>
        <w:t>t</w:t>
      </w:r>
      <w:r>
        <w:rPr>
          <w:b/>
          <w:spacing w:val="34"/>
          <w:sz w:val="25"/>
          <w:vertAlign w:val="baseline"/>
        </w:rPr>
        <w:t> </w:t>
      </w:r>
      <w:r>
        <w:rPr>
          <w:b/>
          <w:spacing w:val="2"/>
          <w:w w:val="99"/>
          <w:sz w:val="25"/>
          <w:vertAlign w:val="baseline"/>
        </w:rPr>
        <w:t>1</w:t>
      </w:r>
      <w:r>
        <w:rPr>
          <w:w w:val="80"/>
          <w:sz w:val="25"/>
          <w:vertAlign w:val="baseline"/>
        </w:rPr>
        <w:t>‖</w:t>
      </w:r>
      <w:r>
        <w:rPr>
          <w:w w:val="99"/>
          <w:sz w:val="25"/>
          <w:vertAlign w:val="baseline"/>
        </w:rPr>
        <w:t>)</w:t>
      </w:r>
      <w:r>
        <w:rPr>
          <w:spacing w:val="31"/>
          <w:sz w:val="25"/>
          <w:vertAlign w:val="baseline"/>
        </w:rPr>
        <w:t> </w:t>
      </w:r>
      <w:r>
        <w:rPr>
          <w:spacing w:val="-1"/>
          <w:w w:val="99"/>
          <w:sz w:val="25"/>
          <w:vertAlign w:val="baseline"/>
        </w:rPr>
        <w:t>b</w:t>
      </w:r>
      <w:r>
        <w:rPr>
          <w:w w:val="99"/>
          <w:sz w:val="25"/>
          <w:vertAlign w:val="baseline"/>
        </w:rPr>
        <w:t>ef</w:t>
      </w:r>
      <w:r>
        <w:rPr>
          <w:spacing w:val="-2"/>
          <w:w w:val="99"/>
          <w:sz w:val="25"/>
          <w:vertAlign w:val="baseline"/>
        </w:rPr>
        <w:t>o</w:t>
      </w:r>
      <w:r>
        <w:rPr>
          <w:w w:val="99"/>
          <w:sz w:val="25"/>
          <w:vertAlign w:val="baseline"/>
        </w:rPr>
        <w:t>re</w:t>
      </w:r>
      <w:r>
        <w:rPr>
          <w:spacing w:val="33"/>
          <w:sz w:val="25"/>
          <w:vertAlign w:val="baseline"/>
        </w:rPr>
        <w:t> </w:t>
      </w:r>
      <w:r>
        <w:rPr>
          <w:w w:val="99"/>
          <w:sz w:val="25"/>
          <w:vertAlign w:val="baseline"/>
        </w:rPr>
        <w:t>the</w:t>
      </w:r>
      <w:r>
        <w:rPr>
          <w:spacing w:val="33"/>
          <w:sz w:val="25"/>
          <w:vertAlign w:val="baseline"/>
        </w:rPr>
        <w:t> </w:t>
      </w:r>
      <w:r>
        <w:rPr>
          <w:w w:val="99"/>
          <w:sz w:val="25"/>
          <w:vertAlign w:val="baseline"/>
        </w:rPr>
        <w:t>Ci</w:t>
      </w:r>
      <w:r>
        <w:rPr>
          <w:spacing w:val="-3"/>
          <w:w w:val="99"/>
          <w:sz w:val="25"/>
          <w:vertAlign w:val="baseline"/>
        </w:rPr>
        <w:t>v</w:t>
      </w:r>
      <w:r>
        <w:rPr>
          <w:w w:val="99"/>
          <w:sz w:val="25"/>
          <w:vertAlign w:val="baseline"/>
        </w:rPr>
        <w:t>il</w:t>
      </w:r>
      <w:r>
        <w:rPr>
          <w:sz w:val="25"/>
          <w:vertAlign w:val="baseline"/>
        </w:rPr>
        <w:t> </w:t>
      </w:r>
      <w:r>
        <w:rPr>
          <w:spacing w:val="-35"/>
          <w:sz w:val="25"/>
          <w:vertAlign w:val="baseline"/>
        </w:rPr>
        <w:t> </w:t>
      </w:r>
      <w:r>
        <w:rPr>
          <w:w w:val="99"/>
          <w:sz w:val="25"/>
          <w:vertAlign w:val="baseline"/>
        </w:rPr>
        <w:t>Judge</w:t>
      </w:r>
      <w:r>
        <w:rPr>
          <w:spacing w:val="33"/>
          <w:sz w:val="25"/>
          <w:vertAlign w:val="baseline"/>
        </w:rPr>
        <w:t> </w:t>
      </w:r>
      <w:r>
        <w:rPr>
          <w:w w:val="99"/>
          <w:sz w:val="25"/>
          <w:vertAlign w:val="baseline"/>
        </w:rPr>
        <w:t>at</w:t>
      </w:r>
      <w:r>
        <w:rPr>
          <w:spacing w:val="31"/>
          <w:sz w:val="25"/>
          <w:vertAlign w:val="baseline"/>
        </w:rPr>
        <w:t> </w:t>
      </w:r>
      <w:r>
        <w:rPr>
          <w:w w:val="99"/>
          <w:sz w:val="25"/>
          <w:vertAlign w:val="baseline"/>
        </w:rPr>
        <w:t>F</w:t>
      </w:r>
      <w:r>
        <w:rPr>
          <w:w w:val="99"/>
          <w:sz w:val="25"/>
          <w:vertAlign w:val="baseline"/>
        </w:rPr>
        <w:t>aizabad</w:t>
      </w:r>
      <w:r>
        <w:rPr>
          <w:w w:val="99"/>
          <w:sz w:val="25"/>
          <w:vertAlign w:val="baseline"/>
        </w:rPr>
        <w:t>,</w:t>
      </w:r>
      <w:r>
        <w:rPr>
          <w:spacing w:val="33"/>
          <w:sz w:val="25"/>
          <w:vertAlign w:val="baseline"/>
        </w:rPr>
        <w:t> </w:t>
      </w:r>
      <w:r>
        <w:rPr>
          <w:spacing w:val="-2"/>
          <w:w w:val="99"/>
          <w:sz w:val="25"/>
          <w:vertAlign w:val="baseline"/>
        </w:rPr>
        <w:t>a</w:t>
      </w:r>
      <w:r>
        <w:rPr>
          <w:w w:val="99"/>
          <w:sz w:val="25"/>
          <w:vertAlign w:val="baseline"/>
        </w:rPr>
        <w:t>lleging</w:t>
      </w:r>
      <w:r>
        <w:rPr>
          <w:spacing w:val="34"/>
          <w:sz w:val="25"/>
          <w:vertAlign w:val="baseline"/>
        </w:rPr>
        <w:t> </w:t>
      </w:r>
      <w:r>
        <w:rPr>
          <w:w w:val="99"/>
          <w:sz w:val="25"/>
          <w:vertAlign w:val="baseline"/>
        </w:rPr>
        <w:t>tha</w:t>
      </w:r>
      <w:r>
        <w:rPr>
          <w:w w:val="99"/>
          <w:sz w:val="25"/>
          <w:vertAlign w:val="baseline"/>
        </w:rPr>
        <w:t>t</w:t>
      </w:r>
      <w:r>
        <w:rPr>
          <w:spacing w:val="33"/>
          <w:sz w:val="25"/>
          <w:vertAlign w:val="baseline"/>
        </w:rPr>
        <w:t> </w:t>
      </w:r>
      <w:r>
        <w:rPr>
          <w:spacing w:val="-2"/>
          <w:w w:val="99"/>
          <w:sz w:val="25"/>
          <w:vertAlign w:val="baseline"/>
        </w:rPr>
        <w:t>h</w:t>
      </w:r>
      <w:r>
        <w:rPr>
          <w:w w:val="99"/>
          <w:sz w:val="25"/>
          <w:vertAlign w:val="baseline"/>
        </w:rPr>
        <w:t>e </w:t>
      </w:r>
      <w:r>
        <w:rPr>
          <w:sz w:val="25"/>
          <w:vertAlign w:val="baseline"/>
        </w:rPr>
        <w:t>was being prevented by officials of the government from entering the inner courtyard of the disputed site to offer worship. A declaration was sought to allow the plaintiff to offer prayers in accordance with the rites and tenets of his religion </w:t>
      </w:r>
      <w:r>
        <w:rPr>
          <w:w w:val="49"/>
          <w:sz w:val="25"/>
          <w:vertAlign w:val="baseline"/>
        </w:rPr>
        <w:t>(―</w:t>
      </w:r>
      <w:r>
        <w:rPr>
          <w:b/>
          <w:i/>
          <w:spacing w:val="-1"/>
          <w:w w:val="99"/>
          <w:sz w:val="25"/>
          <w:vertAlign w:val="baseline"/>
        </w:rPr>
        <w:t>S</w:t>
      </w:r>
      <w:r>
        <w:rPr>
          <w:b/>
          <w:i/>
          <w:w w:val="99"/>
          <w:sz w:val="25"/>
          <w:vertAlign w:val="baseline"/>
        </w:rPr>
        <w:t>a</w:t>
      </w:r>
      <w:r>
        <w:rPr>
          <w:b/>
          <w:i/>
          <w:spacing w:val="1"/>
          <w:w w:val="99"/>
          <w:sz w:val="25"/>
          <w:vertAlign w:val="baseline"/>
        </w:rPr>
        <w:t>n</w:t>
      </w:r>
      <w:r>
        <w:rPr>
          <w:b/>
          <w:i/>
          <w:w w:val="99"/>
          <w:sz w:val="25"/>
          <w:vertAlign w:val="baseline"/>
        </w:rPr>
        <w:t>a</w:t>
      </w:r>
      <w:r>
        <w:rPr>
          <w:b/>
          <w:i/>
          <w:spacing w:val="1"/>
          <w:w w:val="99"/>
          <w:sz w:val="25"/>
          <w:vertAlign w:val="baseline"/>
        </w:rPr>
        <w:t>t</w:t>
      </w:r>
      <w:r>
        <w:rPr>
          <w:b/>
          <w:i/>
          <w:w w:val="99"/>
          <w:sz w:val="25"/>
          <w:vertAlign w:val="baseline"/>
        </w:rPr>
        <w:t>an</w:t>
      </w:r>
      <w:r>
        <w:rPr>
          <w:b/>
          <w:i/>
          <w:sz w:val="25"/>
          <w:vertAlign w:val="baseline"/>
        </w:rPr>
        <w:t> </w:t>
      </w:r>
      <w:r>
        <w:rPr>
          <w:b/>
          <w:i/>
          <w:spacing w:val="-29"/>
          <w:sz w:val="25"/>
          <w:vertAlign w:val="baseline"/>
        </w:rPr>
        <w:t> </w:t>
      </w:r>
      <w:r>
        <w:rPr>
          <w:b/>
          <w:i/>
          <w:spacing w:val="-1"/>
          <w:w w:val="99"/>
          <w:sz w:val="25"/>
          <w:vertAlign w:val="baseline"/>
        </w:rPr>
        <w:t>D</w:t>
      </w:r>
      <w:r>
        <w:rPr>
          <w:b/>
          <w:i/>
          <w:spacing w:val="-2"/>
          <w:w w:val="99"/>
          <w:sz w:val="25"/>
          <w:vertAlign w:val="baseline"/>
        </w:rPr>
        <w:t>h</w:t>
      </w:r>
      <w:r>
        <w:rPr>
          <w:b/>
          <w:i/>
          <w:w w:val="99"/>
          <w:sz w:val="25"/>
          <w:vertAlign w:val="baseline"/>
        </w:rPr>
        <w:t>ar</w:t>
      </w:r>
      <w:r>
        <w:rPr>
          <w:b/>
          <w:i/>
          <w:spacing w:val="-2"/>
          <w:w w:val="99"/>
          <w:sz w:val="25"/>
          <w:vertAlign w:val="baseline"/>
        </w:rPr>
        <w:t>m</w:t>
      </w:r>
      <w:r>
        <w:rPr>
          <w:w w:val="80"/>
          <w:sz w:val="25"/>
          <w:vertAlign w:val="baseline"/>
        </w:rPr>
        <w:t>‖</w:t>
      </w:r>
      <w:r>
        <w:rPr>
          <w:w w:val="99"/>
          <w:sz w:val="25"/>
          <w:vertAlign w:val="baseline"/>
        </w:rPr>
        <w:t>)</w:t>
      </w:r>
      <w:r>
        <w:rPr>
          <w:sz w:val="25"/>
          <w:vertAlign w:val="baseline"/>
        </w:rPr>
        <w:t> </w:t>
      </w:r>
      <w:r>
        <w:rPr>
          <w:spacing w:val="-31"/>
          <w:sz w:val="25"/>
          <w:vertAlign w:val="baseline"/>
        </w:rPr>
        <w:t> </w:t>
      </w:r>
      <w:r>
        <w:rPr>
          <w:spacing w:val="-1"/>
          <w:w w:val="99"/>
          <w:sz w:val="25"/>
          <w:vertAlign w:val="baseline"/>
        </w:rPr>
        <w:t>a</w:t>
      </w:r>
      <w:r>
        <w:rPr>
          <w:w w:val="99"/>
          <w:sz w:val="25"/>
          <w:vertAlign w:val="baseline"/>
        </w:rPr>
        <w:t>t</w:t>
      </w:r>
      <w:r>
        <w:rPr>
          <w:sz w:val="25"/>
          <w:vertAlign w:val="baseline"/>
        </w:rPr>
        <w:t> </w:t>
      </w:r>
      <w:r>
        <w:rPr>
          <w:spacing w:val="-31"/>
          <w:sz w:val="25"/>
          <w:vertAlign w:val="baseline"/>
        </w:rPr>
        <w:t> </w:t>
      </w:r>
      <w:r>
        <w:rPr>
          <w:w w:val="99"/>
          <w:sz w:val="25"/>
          <w:vertAlign w:val="baseline"/>
        </w:rPr>
        <w:t>the</w:t>
      </w:r>
      <w:r>
        <w:rPr>
          <w:sz w:val="25"/>
          <w:vertAlign w:val="baseline"/>
        </w:rPr>
        <w:t> </w:t>
      </w:r>
      <w:r>
        <w:rPr>
          <w:spacing w:val="-31"/>
          <w:sz w:val="25"/>
          <w:vertAlign w:val="baseline"/>
        </w:rPr>
        <w:t> </w:t>
      </w:r>
      <w:r>
        <w:rPr>
          <w:w w:val="33"/>
          <w:sz w:val="25"/>
          <w:vertAlign w:val="baseline"/>
        </w:rPr>
        <w:t>―</w:t>
      </w:r>
      <w:r>
        <w:rPr>
          <w:w w:val="99"/>
          <w:sz w:val="25"/>
          <w:vertAlign w:val="baseline"/>
        </w:rPr>
        <w:t>m</w:t>
      </w:r>
      <w:r>
        <w:rPr>
          <w:spacing w:val="-1"/>
          <w:w w:val="99"/>
          <w:sz w:val="25"/>
          <w:vertAlign w:val="baseline"/>
        </w:rPr>
        <w:t>ai</w:t>
      </w:r>
      <w:r>
        <w:rPr>
          <w:w w:val="99"/>
          <w:sz w:val="25"/>
          <w:vertAlign w:val="baseline"/>
        </w:rPr>
        <w:t>n</w:t>
      </w:r>
      <w:r>
        <w:rPr>
          <w:sz w:val="25"/>
          <w:vertAlign w:val="baseline"/>
        </w:rPr>
        <w:t> </w:t>
      </w:r>
      <w:r>
        <w:rPr>
          <w:spacing w:val="-31"/>
          <w:sz w:val="25"/>
          <w:vertAlign w:val="baseline"/>
        </w:rPr>
        <w:t> </w:t>
      </w:r>
      <w:r>
        <w:rPr>
          <w:w w:val="99"/>
          <w:sz w:val="25"/>
          <w:vertAlign w:val="baseline"/>
        </w:rPr>
        <w:t>Ja</w:t>
      </w:r>
      <w:r>
        <w:rPr>
          <w:spacing w:val="3"/>
          <w:w w:val="99"/>
          <w:sz w:val="25"/>
          <w:vertAlign w:val="baseline"/>
        </w:rPr>
        <w:t>n</w:t>
      </w:r>
      <w:r>
        <w:rPr>
          <w:w w:val="99"/>
          <w:sz w:val="25"/>
          <w:vertAlign w:val="baseline"/>
        </w:rPr>
        <w:t>m</w:t>
      </w:r>
      <w:r>
        <w:rPr>
          <w:w w:val="99"/>
          <w:sz w:val="25"/>
          <w:vertAlign w:val="baseline"/>
        </w:rPr>
        <w:t>a</w:t>
      </w:r>
      <w:r>
        <w:rPr>
          <w:spacing w:val="-1"/>
          <w:w w:val="99"/>
          <w:sz w:val="25"/>
          <w:vertAlign w:val="baseline"/>
        </w:rPr>
        <w:t>b</w:t>
      </w:r>
      <w:r>
        <w:rPr>
          <w:spacing w:val="-2"/>
          <w:w w:val="99"/>
          <w:sz w:val="25"/>
          <w:vertAlign w:val="baseline"/>
        </w:rPr>
        <w:t>h</w:t>
      </w:r>
      <w:r>
        <w:rPr>
          <w:spacing w:val="-1"/>
          <w:w w:val="99"/>
          <w:sz w:val="25"/>
          <w:vertAlign w:val="baseline"/>
        </w:rPr>
        <w:t>u</w:t>
      </w:r>
      <w:r>
        <w:rPr>
          <w:w w:val="99"/>
          <w:sz w:val="25"/>
          <w:vertAlign w:val="baseline"/>
        </w:rPr>
        <w:t>m</w:t>
      </w:r>
      <w:r>
        <w:rPr>
          <w:spacing w:val="-1"/>
          <w:w w:val="91"/>
          <w:sz w:val="25"/>
          <w:vertAlign w:val="baseline"/>
        </w:rPr>
        <w:t>i‖</w:t>
      </w:r>
      <w:r>
        <w:rPr>
          <w:w w:val="91"/>
          <w:sz w:val="25"/>
          <w:vertAlign w:val="baseline"/>
        </w:rPr>
        <w:t>,</w:t>
      </w:r>
      <w:r>
        <w:rPr>
          <w:sz w:val="25"/>
          <w:vertAlign w:val="baseline"/>
        </w:rPr>
        <w:t> </w:t>
      </w:r>
      <w:r>
        <w:rPr>
          <w:spacing w:val="-31"/>
          <w:sz w:val="25"/>
          <w:vertAlign w:val="baseline"/>
        </w:rPr>
        <w:t> </w:t>
      </w:r>
      <w:r>
        <w:rPr>
          <w:spacing w:val="-1"/>
          <w:w w:val="99"/>
          <w:sz w:val="25"/>
          <w:vertAlign w:val="baseline"/>
        </w:rPr>
        <w:t>n</w:t>
      </w:r>
      <w:r>
        <w:rPr>
          <w:w w:val="99"/>
          <w:sz w:val="25"/>
          <w:vertAlign w:val="baseline"/>
        </w:rPr>
        <w:t>e</w:t>
      </w:r>
      <w:r>
        <w:rPr>
          <w:spacing w:val="-1"/>
          <w:w w:val="99"/>
          <w:sz w:val="25"/>
          <w:vertAlign w:val="baseline"/>
        </w:rPr>
        <w:t>a</w:t>
      </w:r>
      <w:r>
        <w:rPr>
          <w:w w:val="99"/>
          <w:sz w:val="25"/>
          <w:vertAlign w:val="baseline"/>
        </w:rPr>
        <w:t>r</w:t>
      </w:r>
      <w:r>
        <w:rPr>
          <w:sz w:val="25"/>
          <w:vertAlign w:val="baseline"/>
        </w:rPr>
        <w:t> </w:t>
      </w:r>
      <w:r>
        <w:rPr>
          <w:spacing w:val="-31"/>
          <w:sz w:val="25"/>
          <w:vertAlign w:val="baseline"/>
        </w:rPr>
        <w:t> </w:t>
      </w:r>
      <w:r>
        <w:rPr>
          <w:w w:val="99"/>
          <w:sz w:val="25"/>
          <w:vertAlign w:val="baseline"/>
        </w:rPr>
        <w:t>the</w:t>
      </w:r>
      <w:r>
        <w:rPr>
          <w:sz w:val="25"/>
          <w:vertAlign w:val="baseline"/>
        </w:rPr>
        <w:t> </w:t>
      </w:r>
      <w:r>
        <w:rPr>
          <w:spacing w:val="-31"/>
          <w:sz w:val="25"/>
          <w:vertAlign w:val="baseline"/>
        </w:rPr>
        <w:t> </w:t>
      </w:r>
      <w:r>
        <w:rPr>
          <w:spacing w:val="-1"/>
          <w:w w:val="99"/>
          <w:sz w:val="25"/>
          <w:vertAlign w:val="baseline"/>
        </w:rPr>
        <w:t>idols</w:t>
      </w:r>
      <w:r>
        <w:rPr>
          <w:w w:val="99"/>
          <w:sz w:val="25"/>
          <w:vertAlign w:val="baseline"/>
        </w:rPr>
        <w:t>,</w:t>
      </w:r>
      <w:r>
        <w:rPr>
          <w:sz w:val="25"/>
          <w:vertAlign w:val="baseline"/>
        </w:rPr>
        <w:t> </w:t>
      </w:r>
      <w:r>
        <w:rPr>
          <w:spacing w:val="-33"/>
          <w:sz w:val="25"/>
          <w:vertAlign w:val="baseline"/>
        </w:rPr>
        <w:t> </w:t>
      </w:r>
      <w:r>
        <w:rPr>
          <w:spacing w:val="-1"/>
          <w:w w:val="99"/>
          <w:sz w:val="25"/>
          <w:vertAlign w:val="baseline"/>
        </w:rPr>
        <w:t>withi</w:t>
      </w:r>
      <w:r>
        <w:rPr>
          <w:w w:val="99"/>
          <w:sz w:val="25"/>
          <w:vertAlign w:val="baseline"/>
        </w:rPr>
        <w:t>n</w:t>
      </w:r>
      <w:r>
        <w:rPr>
          <w:sz w:val="25"/>
          <w:vertAlign w:val="baseline"/>
        </w:rPr>
        <w:t> </w:t>
      </w:r>
      <w:r>
        <w:rPr>
          <w:spacing w:val="-31"/>
          <w:sz w:val="25"/>
          <w:vertAlign w:val="baseline"/>
        </w:rPr>
        <w:t> </w:t>
      </w:r>
      <w:r>
        <w:rPr>
          <w:w w:val="99"/>
          <w:sz w:val="25"/>
          <w:vertAlign w:val="baseline"/>
        </w:rPr>
        <w:t>the</w:t>
      </w:r>
      <w:r>
        <w:rPr>
          <w:sz w:val="25"/>
          <w:vertAlign w:val="baseline"/>
        </w:rPr>
        <w:t> </w:t>
      </w:r>
      <w:r>
        <w:rPr>
          <w:spacing w:val="-31"/>
          <w:sz w:val="25"/>
          <w:vertAlign w:val="baseline"/>
        </w:rPr>
        <w:t> </w:t>
      </w:r>
      <w:r>
        <w:rPr>
          <w:spacing w:val="-1"/>
          <w:w w:val="99"/>
          <w:sz w:val="25"/>
          <w:vertAlign w:val="baseline"/>
        </w:rPr>
        <w:t>inn</w:t>
      </w:r>
      <w:r>
        <w:rPr>
          <w:w w:val="99"/>
          <w:sz w:val="25"/>
          <w:vertAlign w:val="baseline"/>
        </w:rPr>
        <w:t>er </w:t>
      </w:r>
      <w:r>
        <w:rPr>
          <w:sz w:val="25"/>
          <w:vertAlign w:val="baseline"/>
        </w:rPr>
        <w:t>courtyard, without hindrance. On the same date, an ad-interim injunction was issued in the suit. On 19 January 1950, the injunction was modified to prevent the idols from being removed from the disputed site and from causing interference in the performance of puja. On 3 March 1951, the Trial Court confirmed the </w:t>
      </w:r>
      <w:r>
        <w:rPr>
          <w:spacing w:val="3"/>
          <w:sz w:val="25"/>
          <w:vertAlign w:val="baseline"/>
        </w:rPr>
        <w:t>ad- </w:t>
      </w:r>
      <w:r>
        <w:rPr>
          <w:sz w:val="25"/>
          <w:vertAlign w:val="baseline"/>
        </w:rPr>
        <w:t>interim order, as modified. On 26 May 1955, the appeal</w:t>
      </w:r>
      <w:r>
        <w:rPr>
          <w:sz w:val="25"/>
          <w:vertAlign w:val="superscript"/>
        </w:rPr>
        <w:t>6</w:t>
      </w:r>
      <w:r>
        <w:rPr>
          <w:sz w:val="25"/>
          <w:vertAlign w:val="baseline"/>
        </w:rPr>
        <w:t> against the interim order was dismissed by the High Court of</w:t>
      </w:r>
      <w:r>
        <w:rPr>
          <w:spacing w:val="-6"/>
          <w:sz w:val="25"/>
          <w:vertAlign w:val="baseline"/>
        </w:rPr>
        <w:t> </w:t>
      </w:r>
      <w:r>
        <w:rPr>
          <w:sz w:val="25"/>
          <w:vertAlign w:val="baseline"/>
        </w:rPr>
        <w:t>Allahabad.</w:t>
      </w:r>
    </w:p>
    <w:p>
      <w:pPr>
        <w:pStyle w:val="BodyText"/>
      </w:pPr>
    </w:p>
    <w:p>
      <w:pPr>
        <w:pStyle w:val="ListParagraph"/>
        <w:numPr>
          <w:ilvl w:val="0"/>
          <w:numId w:val="3"/>
        </w:numPr>
        <w:tabs>
          <w:tab w:pos="1221" w:val="left" w:leader="none"/>
        </w:tabs>
        <w:spacing w:line="480" w:lineRule="auto" w:before="0" w:after="0"/>
        <w:ind w:left="500" w:right="442" w:firstLine="0"/>
        <w:jc w:val="both"/>
        <w:rPr>
          <w:color w:val="000009"/>
          <w:sz w:val="25"/>
        </w:rPr>
      </w:pPr>
      <w:r>
        <w:rPr>
          <w:color w:val="000009"/>
          <w:sz w:val="25"/>
        </w:rPr>
        <w:t>On </w:t>
      </w:r>
      <w:r>
        <w:rPr>
          <w:sz w:val="25"/>
        </w:rPr>
        <w:t>5 December 1950, another suit was instituted by Paramhans </w:t>
      </w:r>
      <w:r>
        <w:rPr>
          <w:w w:val="99"/>
          <w:sz w:val="25"/>
        </w:rPr>
        <w:t>Ramchand</w:t>
      </w:r>
      <w:r>
        <w:rPr>
          <w:w w:val="99"/>
          <w:sz w:val="25"/>
        </w:rPr>
        <w:t>r</w:t>
      </w:r>
      <w:r>
        <w:rPr>
          <w:w w:val="99"/>
          <w:sz w:val="25"/>
        </w:rPr>
        <w:t>a</w:t>
      </w:r>
      <w:r>
        <w:rPr>
          <w:sz w:val="25"/>
        </w:rPr>
        <w:t> </w:t>
      </w:r>
      <w:r>
        <w:rPr>
          <w:spacing w:val="-12"/>
          <w:sz w:val="25"/>
        </w:rPr>
        <w:t> </w:t>
      </w:r>
      <w:r>
        <w:rPr>
          <w:w w:val="99"/>
          <w:sz w:val="25"/>
        </w:rPr>
        <w:t>Da</w:t>
      </w:r>
      <w:r>
        <w:rPr>
          <w:spacing w:val="1"/>
          <w:w w:val="99"/>
          <w:sz w:val="25"/>
        </w:rPr>
        <w:t>s</w:t>
      </w:r>
      <w:r>
        <w:rPr>
          <w:w w:val="101"/>
          <w:sz w:val="25"/>
          <w:vertAlign w:val="superscript"/>
        </w:rPr>
        <w:t>7</w:t>
      </w:r>
      <w:r>
        <w:rPr>
          <w:sz w:val="25"/>
          <w:vertAlign w:val="baseline"/>
        </w:rPr>
        <w:t> </w:t>
      </w:r>
      <w:r>
        <w:rPr>
          <w:spacing w:val="-13"/>
          <w:sz w:val="25"/>
          <w:vertAlign w:val="baseline"/>
        </w:rPr>
        <w:t> </w:t>
      </w:r>
      <w:r>
        <w:rPr>
          <w:w w:val="49"/>
          <w:sz w:val="25"/>
          <w:vertAlign w:val="baseline"/>
        </w:rPr>
        <w:t>(</w:t>
      </w:r>
      <w:r>
        <w:rPr>
          <w:spacing w:val="1"/>
          <w:w w:val="49"/>
          <w:sz w:val="25"/>
          <w:vertAlign w:val="baseline"/>
        </w:rPr>
        <w:t>―</w:t>
      </w:r>
      <w:r>
        <w:rPr>
          <w:b/>
          <w:spacing w:val="-1"/>
          <w:w w:val="99"/>
          <w:sz w:val="25"/>
          <w:vertAlign w:val="baseline"/>
        </w:rPr>
        <w:t>S</w:t>
      </w:r>
      <w:r>
        <w:rPr>
          <w:b/>
          <w:w w:val="99"/>
          <w:sz w:val="25"/>
          <w:vertAlign w:val="baseline"/>
        </w:rPr>
        <w:t>uit</w:t>
      </w:r>
      <w:r>
        <w:rPr>
          <w:b/>
          <w:sz w:val="25"/>
          <w:vertAlign w:val="baseline"/>
        </w:rPr>
        <w:t> </w:t>
      </w:r>
      <w:r>
        <w:rPr>
          <w:b/>
          <w:spacing w:val="-12"/>
          <w:sz w:val="25"/>
          <w:vertAlign w:val="baseline"/>
        </w:rPr>
        <w:t> </w:t>
      </w:r>
      <w:r>
        <w:rPr>
          <w:b/>
          <w:spacing w:val="1"/>
          <w:w w:val="99"/>
          <w:sz w:val="25"/>
          <w:vertAlign w:val="baseline"/>
        </w:rPr>
        <w:t>2</w:t>
      </w:r>
      <w:r>
        <w:rPr>
          <w:w w:val="80"/>
          <w:sz w:val="25"/>
          <w:vertAlign w:val="baseline"/>
        </w:rPr>
        <w:t>‖</w:t>
      </w:r>
      <w:r>
        <w:rPr>
          <w:w w:val="99"/>
          <w:sz w:val="25"/>
          <w:vertAlign w:val="baseline"/>
        </w:rPr>
        <w:t>)</w:t>
      </w:r>
      <w:r>
        <w:rPr>
          <w:sz w:val="25"/>
          <w:vertAlign w:val="baseline"/>
        </w:rPr>
        <w:t> </w:t>
      </w:r>
      <w:r>
        <w:rPr>
          <w:spacing w:val="-12"/>
          <w:sz w:val="25"/>
          <w:vertAlign w:val="baseline"/>
        </w:rPr>
        <w:t> </w:t>
      </w:r>
      <w:r>
        <w:rPr>
          <w:spacing w:val="-1"/>
          <w:w w:val="99"/>
          <w:sz w:val="25"/>
          <w:vertAlign w:val="baseline"/>
        </w:rPr>
        <w:t>b</w:t>
      </w:r>
      <w:r>
        <w:rPr>
          <w:w w:val="99"/>
          <w:sz w:val="25"/>
          <w:vertAlign w:val="baseline"/>
        </w:rPr>
        <w:t>efo</w:t>
      </w:r>
      <w:r>
        <w:rPr>
          <w:spacing w:val="1"/>
          <w:w w:val="99"/>
          <w:sz w:val="25"/>
          <w:vertAlign w:val="baseline"/>
        </w:rPr>
        <w:t>r</w:t>
      </w:r>
      <w:r>
        <w:rPr>
          <w:w w:val="99"/>
          <w:sz w:val="25"/>
          <w:vertAlign w:val="baseline"/>
        </w:rPr>
        <w:t>e</w:t>
      </w:r>
      <w:r>
        <w:rPr>
          <w:sz w:val="25"/>
          <w:vertAlign w:val="baseline"/>
        </w:rPr>
        <w:t> </w:t>
      </w:r>
      <w:r>
        <w:rPr>
          <w:spacing w:val="-12"/>
          <w:sz w:val="25"/>
          <w:vertAlign w:val="baseline"/>
        </w:rPr>
        <w:t> </w:t>
      </w:r>
      <w:r>
        <w:rPr>
          <w:w w:val="99"/>
          <w:sz w:val="25"/>
          <w:vertAlign w:val="baseline"/>
        </w:rPr>
        <w:t>the</w:t>
      </w:r>
      <w:r>
        <w:rPr>
          <w:sz w:val="25"/>
          <w:vertAlign w:val="baseline"/>
        </w:rPr>
        <w:t> </w:t>
      </w:r>
      <w:r>
        <w:rPr>
          <w:spacing w:val="-12"/>
          <w:sz w:val="25"/>
          <w:vertAlign w:val="baseline"/>
        </w:rPr>
        <w:t> </w:t>
      </w:r>
      <w:r>
        <w:rPr>
          <w:spacing w:val="-1"/>
          <w:w w:val="99"/>
          <w:sz w:val="25"/>
          <w:vertAlign w:val="baseline"/>
        </w:rPr>
        <w:t>Civi</w:t>
      </w:r>
      <w:r>
        <w:rPr>
          <w:w w:val="99"/>
          <w:sz w:val="25"/>
          <w:vertAlign w:val="baseline"/>
        </w:rPr>
        <w:t>l</w:t>
      </w:r>
      <w:r>
        <w:rPr>
          <w:sz w:val="25"/>
          <w:vertAlign w:val="baseline"/>
        </w:rPr>
        <w:t> </w:t>
      </w:r>
      <w:r>
        <w:rPr>
          <w:spacing w:val="-13"/>
          <w:sz w:val="25"/>
          <w:vertAlign w:val="baseline"/>
        </w:rPr>
        <w:t> </w:t>
      </w:r>
      <w:r>
        <w:rPr>
          <w:w w:val="99"/>
          <w:sz w:val="25"/>
          <w:vertAlign w:val="baseline"/>
        </w:rPr>
        <w:t>Jud</w:t>
      </w:r>
      <w:r>
        <w:rPr>
          <w:spacing w:val="-1"/>
          <w:w w:val="99"/>
          <w:sz w:val="25"/>
          <w:vertAlign w:val="baseline"/>
        </w:rPr>
        <w:t>g</w:t>
      </w:r>
      <w:r>
        <w:rPr>
          <w:w w:val="99"/>
          <w:sz w:val="25"/>
          <w:vertAlign w:val="baseline"/>
        </w:rPr>
        <w:t>e,</w:t>
      </w:r>
      <w:r>
        <w:rPr>
          <w:sz w:val="25"/>
          <w:vertAlign w:val="baseline"/>
        </w:rPr>
        <w:t> </w:t>
      </w:r>
      <w:r>
        <w:rPr>
          <w:spacing w:val="-12"/>
          <w:sz w:val="25"/>
          <w:vertAlign w:val="baseline"/>
        </w:rPr>
        <w:t> </w:t>
      </w:r>
      <w:r>
        <w:rPr>
          <w:w w:val="99"/>
          <w:sz w:val="25"/>
          <w:vertAlign w:val="baseline"/>
        </w:rPr>
        <w:t>F</w:t>
      </w:r>
      <w:r>
        <w:rPr>
          <w:spacing w:val="-1"/>
          <w:w w:val="99"/>
          <w:sz w:val="25"/>
          <w:vertAlign w:val="baseline"/>
        </w:rPr>
        <w:t>aiza</w:t>
      </w:r>
      <w:r>
        <w:rPr>
          <w:w w:val="99"/>
          <w:sz w:val="25"/>
          <w:vertAlign w:val="baseline"/>
        </w:rPr>
        <w:t>b</w:t>
      </w:r>
      <w:r>
        <w:rPr>
          <w:spacing w:val="2"/>
          <w:w w:val="99"/>
          <w:sz w:val="25"/>
          <w:vertAlign w:val="baseline"/>
        </w:rPr>
        <w:t>a</w:t>
      </w:r>
      <w:r>
        <w:rPr>
          <w:w w:val="99"/>
          <w:sz w:val="25"/>
          <w:vertAlign w:val="baseline"/>
        </w:rPr>
        <w:t>d</w:t>
      </w:r>
      <w:r>
        <w:rPr>
          <w:sz w:val="25"/>
          <w:vertAlign w:val="baseline"/>
        </w:rPr>
        <w:t> </w:t>
      </w:r>
      <w:r>
        <w:rPr>
          <w:spacing w:val="-12"/>
          <w:sz w:val="25"/>
          <w:vertAlign w:val="baseline"/>
        </w:rPr>
        <w:t> </w:t>
      </w:r>
      <w:r>
        <w:rPr>
          <w:w w:val="99"/>
          <w:sz w:val="25"/>
          <w:vertAlign w:val="baseline"/>
        </w:rPr>
        <w:t>seeking</w:t>
      </w:r>
      <w:r>
        <w:rPr>
          <w:sz w:val="25"/>
          <w:vertAlign w:val="baseline"/>
        </w:rPr>
        <w:t> </w:t>
      </w:r>
      <w:r>
        <w:rPr>
          <w:spacing w:val="-12"/>
          <w:sz w:val="25"/>
          <w:vertAlign w:val="baseline"/>
        </w:rPr>
        <w:t> </w:t>
      </w:r>
      <w:r>
        <w:rPr>
          <w:w w:val="99"/>
          <w:sz w:val="25"/>
          <w:vertAlign w:val="baseline"/>
        </w:rPr>
        <w:t>r</w:t>
      </w:r>
      <w:r>
        <w:rPr>
          <w:spacing w:val="-1"/>
          <w:w w:val="99"/>
          <w:sz w:val="25"/>
          <w:vertAlign w:val="baseline"/>
        </w:rPr>
        <w:t>eliefs </w:t>
      </w:r>
      <w:r>
        <w:rPr>
          <w:sz w:val="25"/>
          <w:vertAlign w:val="baseline"/>
        </w:rPr>
        <w:t>similar to those in Suit 1</w:t>
      </w:r>
      <w:r>
        <w:rPr>
          <w:color w:val="000009"/>
          <w:sz w:val="25"/>
          <w:vertAlign w:val="baseline"/>
        </w:rPr>
        <w:t>. Suit 2 was subsequently withdrawn on 18 September 1990.</w:t>
      </w:r>
    </w:p>
    <w:p>
      <w:pPr>
        <w:pStyle w:val="BodyText"/>
      </w:pPr>
    </w:p>
    <w:p>
      <w:pPr>
        <w:pStyle w:val="ListParagraph"/>
        <w:numPr>
          <w:ilvl w:val="0"/>
          <w:numId w:val="3"/>
        </w:numPr>
        <w:tabs>
          <w:tab w:pos="1221" w:val="left" w:leader="none"/>
        </w:tabs>
        <w:spacing w:line="480" w:lineRule="auto" w:before="1" w:after="0"/>
        <w:ind w:left="500" w:right="437" w:firstLine="0"/>
        <w:jc w:val="both"/>
        <w:rPr>
          <w:sz w:val="25"/>
        </w:rPr>
      </w:pPr>
      <w:r>
        <w:rPr/>
        <w:pict>
          <v:rect style="position:absolute;margin-left:72.024002pt;margin-top:113.654808pt;width:144.020pt;height:.60004pt;mso-position-horizontal-relative:page;mso-position-vertical-relative:paragraph;z-index:15730688" filled="true" fillcolor="#000000" stroked="false">
            <v:fill type="solid"/>
            <w10:wrap type="none"/>
          </v:rect>
        </w:pict>
      </w:r>
      <w:r>
        <w:rPr>
          <w:sz w:val="25"/>
        </w:rPr>
        <w:t>On 1 April 1950, a Court Commissioner was appointed in Suit 1 to prepare a map of the disputed premises. On 25 June 1950, the </w:t>
      </w:r>
      <w:r>
        <w:rPr>
          <w:color w:val="000009"/>
          <w:sz w:val="25"/>
        </w:rPr>
        <w:t>Commissioner </w:t>
      </w:r>
      <w:r>
        <w:rPr>
          <w:sz w:val="25"/>
        </w:rPr>
        <w:t>submitted a report, together with two site plans of the disputed premises which were numbered</w:t>
      </w:r>
      <w:r>
        <w:rPr>
          <w:spacing w:val="46"/>
          <w:sz w:val="25"/>
        </w:rPr>
        <w:t> </w:t>
      </w:r>
      <w:r>
        <w:rPr>
          <w:sz w:val="25"/>
        </w:rPr>
        <w:t>as</w:t>
      </w:r>
      <w:r>
        <w:rPr>
          <w:spacing w:val="47"/>
          <w:sz w:val="25"/>
        </w:rPr>
        <w:t> </w:t>
      </w:r>
      <w:r>
        <w:rPr>
          <w:sz w:val="25"/>
        </w:rPr>
        <w:t>Plan</w:t>
      </w:r>
      <w:r>
        <w:rPr>
          <w:spacing w:val="47"/>
          <w:sz w:val="25"/>
        </w:rPr>
        <w:t> </w:t>
      </w:r>
      <w:r>
        <w:rPr>
          <w:sz w:val="25"/>
        </w:rPr>
        <w:t>nos</w:t>
      </w:r>
      <w:r>
        <w:rPr>
          <w:spacing w:val="50"/>
          <w:sz w:val="25"/>
        </w:rPr>
        <w:t> </w:t>
      </w:r>
      <w:r>
        <w:rPr>
          <w:sz w:val="25"/>
        </w:rPr>
        <w:t>1</w:t>
      </w:r>
      <w:r>
        <w:rPr>
          <w:spacing w:val="47"/>
          <w:sz w:val="25"/>
        </w:rPr>
        <w:t> </w:t>
      </w:r>
      <w:r>
        <w:rPr>
          <w:sz w:val="25"/>
        </w:rPr>
        <w:t>and</w:t>
      </w:r>
      <w:r>
        <w:rPr>
          <w:spacing w:val="46"/>
          <w:sz w:val="25"/>
        </w:rPr>
        <w:t> </w:t>
      </w:r>
      <w:r>
        <w:rPr>
          <w:sz w:val="25"/>
        </w:rPr>
        <w:t>2</w:t>
      </w:r>
      <w:r>
        <w:rPr>
          <w:spacing w:val="48"/>
          <w:sz w:val="25"/>
        </w:rPr>
        <w:t> </w:t>
      </w:r>
      <w:r>
        <w:rPr>
          <w:sz w:val="25"/>
        </w:rPr>
        <w:t>to</w:t>
      </w:r>
      <w:r>
        <w:rPr>
          <w:spacing w:val="47"/>
          <w:sz w:val="25"/>
        </w:rPr>
        <w:t> </w:t>
      </w:r>
      <w:r>
        <w:rPr>
          <w:sz w:val="25"/>
        </w:rPr>
        <w:t>the</w:t>
      </w:r>
      <w:r>
        <w:rPr>
          <w:spacing w:val="48"/>
          <w:sz w:val="25"/>
        </w:rPr>
        <w:t> </w:t>
      </w:r>
      <w:r>
        <w:rPr>
          <w:sz w:val="25"/>
        </w:rPr>
        <w:t>Trial</w:t>
      </w:r>
      <w:r>
        <w:rPr>
          <w:spacing w:val="47"/>
          <w:sz w:val="25"/>
        </w:rPr>
        <w:t> </w:t>
      </w:r>
      <w:r>
        <w:rPr>
          <w:sz w:val="25"/>
        </w:rPr>
        <w:t>Court.</w:t>
      </w:r>
      <w:r>
        <w:rPr>
          <w:spacing w:val="46"/>
          <w:sz w:val="25"/>
        </w:rPr>
        <w:t> </w:t>
      </w:r>
      <w:r>
        <w:rPr>
          <w:sz w:val="25"/>
        </w:rPr>
        <w:t>Both</w:t>
      </w:r>
      <w:r>
        <w:rPr>
          <w:spacing w:val="48"/>
          <w:sz w:val="25"/>
        </w:rPr>
        <w:t> </w:t>
      </w:r>
      <w:r>
        <w:rPr>
          <w:sz w:val="25"/>
        </w:rPr>
        <w:t>the</w:t>
      </w:r>
      <w:r>
        <w:rPr>
          <w:spacing w:val="48"/>
          <w:sz w:val="25"/>
        </w:rPr>
        <w:t> </w:t>
      </w:r>
      <w:r>
        <w:rPr>
          <w:sz w:val="25"/>
        </w:rPr>
        <w:t>report</w:t>
      </w:r>
      <w:r>
        <w:rPr>
          <w:spacing w:val="46"/>
          <w:sz w:val="25"/>
        </w:rPr>
        <w:t> </w:t>
      </w:r>
      <w:r>
        <w:rPr>
          <w:sz w:val="25"/>
        </w:rPr>
        <w:t>and</w:t>
      </w:r>
      <w:r>
        <w:rPr>
          <w:spacing w:val="47"/>
          <w:sz w:val="25"/>
        </w:rPr>
        <w:t> </w:t>
      </w:r>
      <w:r>
        <w:rPr>
          <w:sz w:val="25"/>
        </w:rPr>
        <w:t>maps</w:t>
      </w:r>
    </w:p>
    <w:p>
      <w:pPr>
        <w:spacing w:line="207" w:lineRule="exact" w:before="94"/>
        <w:ind w:left="500" w:right="0" w:firstLine="0"/>
        <w:jc w:val="left"/>
        <w:rPr>
          <w:sz w:val="18"/>
        </w:rPr>
      </w:pPr>
      <w:r>
        <w:rPr>
          <w:sz w:val="18"/>
          <w:vertAlign w:val="superscript"/>
        </w:rPr>
        <w:t>5</w:t>
      </w:r>
      <w:r>
        <w:rPr>
          <w:sz w:val="18"/>
          <w:vertAlign w:val="baseline"/>
        </w:rPr>
        <w:t> Regular Suit No 2 of 1950. Subsequently renumbered as Other Original Suit (OOS) No 1 of 1989.</w:t>
      </w:r>
    </w:p>
    <w:p>
      <w:pPr>
        <w:spacing w:line="207" w:lineRule="exact" w:before="0"/>
        <w:ind w:left="500" w:right="0" w:firstLine="0"/>
        <w:jc w:val="left"/>
        <w:rPr>
          <w:sz w:val="18"/>
        </w:rPr>
      </w:pPr>
      <w:r>
        <w:rPr>
          <w:sz w:val="18"/>
          <w:vertAlign w:val="superscript"/>
        </w:rPr>
        <w:t>6</w:t>
      </w:r>
      <w:r>
        <w:rPr>
          <w:sz w:val="18"/>
          <w:vertAlign w:val="baseline"/>
        </w:rPr>
        <w:t> FAFO No 154 of 1951</w:t>
      </w:r>
    </w:p>
    <w:p>
      <w:pPr>
        <w:spacing w:before="2"/>
        <w:ind w:left="500" w:right="0" w:firstLine="0"/>
        <w:jc w:val="left"/>
        <w:rPr>
          <w:sz w:val="18"/>
        </w:rPr>
      </w:pPr>
      <w:r>
        <w:rPr>
          <w:sz w:val="18"/>
          <w:vertAlign w:val="superscript"/>
        </w:rPr>
        <w:t>7</w:t>
      </w:r>
      <w:r>
        <w:rPr>
          <w:sz w:val="18"/>
          <w:vertAlign w:val="baseline"/>
        </w:rPr>
        <w:t> Regular Suit no 25 of 1950 (subsequently renumbered as Other Original Suit (OOS) No 2 of 1989)</w:t>
      </w:r>
    </w:p>
    <w:p>
      <w:pPr>
        <w:spacing w:after="0"/>
        <w:jc w:val="left"/>
        <w:rPr>
          <w:sz w:val="18"/>
        </w:rPr>
        <w:sectPr>
          <w:pgSz w:w="11910" w:h="16840"/>
          <w:pgMar w:header="721" w:footer="1014" w:top="1300" w:bottom="1200" w:left="940" w:right="1000"/>
        </w:sectPr>
      </w:pPr>
    </w:p>
    <w:p>
      <w:pPr>
        <w:pStyle w:val="BodyText"/>
        <w:spacing w:before="124"/>
        <w:ind w:left="500"/>
      </w:pPr>
      <w:r>
        <w:rPr/>
        <w:t>indicate the position at the site and are reproduced below:</w:t>
      </w:r>
    </w:p>
    <w:p>
      <w:pPr>
        <w:pStyle w:val="BodyText"/>
        <w:rPr>
          <w:sz w:val="28"/>
        </w:rPr>
      </w:pPr>
    </w:p>
    <w:p>
      <w:pPr>
        <w:pStyle w:val="Heading5"/>
        <w:spacing w:before="163"/>
        <w:ind w:left="2771" w:right="2711" w:firstLine="0"/>
        <w:jc w:val="center"/>
      </w:pPr>
      <w:r>
        <w:rPr/>
        <w:t>Report of the Commissioner</w:t>
      </w:r>
    </w:p>
    <w:p>
      <w:pPr>
        <w:pStyle w:val="BodyText"/>
        <w:spacing w:before="9"/>
        <w:rPr>
          <w:b/>
          <w:sz w:val="16"/>
        </w:rPr>
      </w:pPr>
    </w:p>
    <w:p>
      <w:pPr>
        <w:spacing w:after="0"/>
        <w:rPr>
          <w:sz w:val="16"/>
        </w:rPr>
        <w:sectPr>
          <w:pgSz w:w="11910" w:h="16840"/>
          <w:pgMar w:header="721" w:footer="1014" w:top="1300" w:bottom="1200" w:left="940" w:right="1000"/>
        </w:sectPr>
      </w:pPr>
    </w:p>
    <w:p>
      <w:pPr>
        <w:pStyle w:val="BodyText"/>
        <w:spacing w:before="5"/>
        <w:rPr>
          <w:b/>
          <w:sz w:val="32"/>
        </w:rPr>
      </w:pPr>
    </w:p>
    <w:p>
      <w:pPr>
        <w:spacing w:before="0"/>
        <w:ind w:left="0" w:right="0" w:firstLine="0"/>
        <w:jc w:val="right"/>
        <w:rPr>
          <w:sz w:val="21"/>
        </w:rPr>
      </w:pPr>
      <w:r>
        <w:rPr>
          <w:sz w:val="21"/>
        </w:rPr>
        <w:t>Sir,</w:t>
      </w:r>
    </w:p>
    <w:p>
      <w:pPr>
        <w:spacing w:before="95"/>
        <w:ind w:left="1882" w:right="0" w:firstLine="0"/>
        <w:jc w:val="left"/>
        <w:rPr>
          <w:sz w:val="21"/>
        </w:rPr>
      </w:pPr>
      <w:r>
        <w:rPr/>
        <w:br w:type="column"/>
      </w:r>
      <w:r>
        <w:rPr>
          <w:spacing w:val="-1"/>
          <w:w w:val="33"/>
          <w:sz w:val="21"/>
        </w:rPr>
        <w:t>―</w:t>
      </w:r>
      <w:r>
        <w:rPr>
          <w:w w:val="100"/>
          <w:sz w:val="21"/>
        </w:rPr>
        <w:t>R</w:t>
      </w:r>
      <w:r>
        <w:rPr>
          <w:spacing w:val="-2"/>
          <w:w w:val="100"/>
          <w:sz w:val="21"/>
        </w:rPr>
        <w:t>E</w:t>
      </w:r>
      <w:r>
        <w:rPr>
          <w:w w:val="100"/>
          <w:sz w:val="21"/>
        </w:rPr>
        <w:t>P</w:t>
      </w:r>
      <w:r>
        <w:rPr>
          <w:spacing w:val="-4"/>
          <w:w w:val="100"/>
          <w:sz w:val="21"/>
        </w:rPr>
        <w:t>O</w:t>
      </w:r>
      <w:r>
        <w:rPr>
          <w:w w:val="100"/>
          <w:sz w:val="21"/>
        </w:rPr>
        <w:t>R</w:t>
      </w:r>
      <w:r>
        <w:rPr>
          <w:w w:val="100"/>
          <w:sz w:val="21"/>
        </w:rPr>
        <w:t>T</w:t>
      </w:r>
    </w:p>
    <w:p>
      <w:pPr>
        <w:pStyle w:val="BodyText"/>
        <w:spacing w:before="4"/>
        <w:rPr>
          <w:sz w:val="27"/>
        </w:rPr>
      </w:pPr>
    </w:p>
    <w:p>
      <w:pPr>
        <w:spacing w:before="0"/>
        <w:ind w:left="362" w:right="0" w:firstLine="0"/>
        <w:jc w:val="left"/>
        <w:rPr>
          <w:sz w:val="21"/>
        </w:rPr>
      </w:pPr>
      <w:r>
        <w:rPr>
          <w:sz w:val="21"/>
        </w:rPr>
        <w:t>I was appointed a commissioner in the above case</w:t>
      </w:r>
    </w:p>
    <w:p>
      <w:pPr>
        <w:spacing w:after="0"/>
        <w:jc w:val="left"/>
        <w:rPr>
          <w:sz w:val="21"/>
        </w:rPr>
        <w:sectPr>
          <w:type w:val="continuous"/>
          <w:pgSz w:w="11910" w:h="16840"/>
          <w:pgMar w:top="1340" w:bottom="1200" w:left="940" w:right="1000"/>
          <w:cols w:num="2" w:equalWidth="0">
            <w:col w:w="2258" w:space="40"/>
            <w:col w:w="7672"/>
          </w:cols>
        </w:sectPr>
      </w:pPr>
    </w:p>
    <w:p>
      <w:pPr>
        <w:spacing w:line="276" w:lineRule="auto" w:before="37"/>
        <w:ind w:left="1940" w:right="2595" w:firstLine="0"/>
        <w:jc w:val="both"/>
        <w:rPr>
          <w:sz w:val="21"/>
        </w:rPr>
      </w:pPr>
      <w:r>
        <w:rPr>
          <w:sz w:val="21"/>
        </w:rPr>
        <w:t>to prepare a site plan of the locality and building in suit on scale. Accordingly, in compliance with the order of the court, I visited the locality on 16.4.50 and again on</w:t>
      </w:r>
    </w:p>
    <w:p>
      <w:pPr>
        <w:spacing w:line="276" w:lineRule="auto" w:before="0"/>
        <w:ind w:left="1940" w:right="2595" w:firstLine="0"/>
        <w:jc w:val="both"/>
        <w:rPr>
          <w:sz w:val="21"/>
        </w:rPr>
      </w:pPr>
      <w:r>
        <w:rPr>
          <w:sz w:val="21"/>
        </w:rPr>
        <w:t>30.4.50 after giving due notice to the counsel of the parties, and made necessary measurements on the spot. On the first day of my visit none of the parties were present, but on the second day defendant no. 1 was present with Shri Azimullah Khan and Shri Habib Ahmad Khan counsel. At about noon defendant no. 1 presented an application, attached herewith, when the measurement work had already finished.</w:t>
      </w:r>
    </w:p>
    <w:p>
      <w:pPr>
        <w:pStyle w:val="BodyText"/>
        <w:spacing w:before="1"/>
        <w:rPr>
          <w:sz w:val="24"/>
        </w:rPr>
      </w:pPr>
    </w:p>
    <w:p>
      <w:pPr>
        <w:spacing w:line="276" w:lineRule="auto" w:before="0"/>
        <w:ind w:left="1940" w:right="2598" w:firstLine="720"/>
        <w:jc w:val="both"/>
        <w:rPr>
          <w:sz w:val="21"/>
        </w:rPr>
      </w:pPr>
      <w:r>
        <w:rPr>
          <w:sz w:val="21"/>
        </w:rPr>
        <w:t>Plan No. I represents the building in suit shown by the figure ABCDEF on a larger scale than Plan no.II, which represents the building with its</w:t>
      </w:r>
      <w:r>
        <w:rPr>
          <w:spacing w:val="-12"/>
          <w:sz w:val="21"/>
        </w:rPr>
        <w:t> </w:t>
      </w:r>
      <w:r>
        <w:rPr>
          <w:sz w:val="21"/>
        </w:rPr>
        <w:t>locality.</w:t>
      </w:r>
    </w:p>
    <w:p>
      <w:pPr>
        <w:pStyle w:val="BodyText"/>
        <w:spacing w:before="3"/>
        <w:rPr>
          <w:sz w:val="24"/>
        </w:rPr>
      </w:pPr>
    </w:p>
    <w:p>
      <w:pPr>
        <w:spacing w:line="276" w:lineRule="auto" w:before="0"/>
        <w:ind w:left="1940" w:right="2593" w:firstLine="720"/>
        <w:jc w:val="both"/>
        <w:rPr>
          <w:sz w:val="21"/>
        </w:rPr>
      </w:pPr>
      <w:r>
        <w:rPr>
          <w:sz w:val="21"/>
        </w:rPr>
        <w:t>A perusal of Plan No.I would show that the building has got two gates, one on the east and the other </w:t>
      </w:r>
      <w:r>
        <w:rPr>
          <w:spacing w:val="-1"/>
          <w:w w:val="100"/>
          <w:sz w:val="21"/>
        </w:rPr>
        <w:t>o</w:t>
      </w:r>
      <w:r>
        <w:rPr>
          <w:w w:val="100"/>
          <w:sz w:val="21"/>
        </w:rPr>
        <w:t>n</w:t>
      </w:r>
      <w:r>
        <w:rPr>
          <w:spacing w:val="28"/>
          <w:sz w:val="21"/>
        </w:rPr>
        <w:t> </w:t>
      </w:r>
      <w:r>
        <w:rPr>
          <w:spacing w:val="-2"/>
          <w:w w:val="100"/>
          <w:sz w:val="21"/>
        </w:rPr>
        <w:t>t</w:t>
      </w:r>
      <w:r>
        <w:rPr>
          <w:spacing w:val="-1"/>
          <w:w w:val="100"/>
          <w:sz w:val="21"/>
        </w:rPr>
        <w:t>h</w:t>
      </w:r>
      <w:r>
        <w:rPr>
          <w:w w:val="100"/>
          <w:sz w:val="21"/>
        </w:rPr>
        <w:t>e</w:t>
      </w:r>
      <w:r>
        <w:rPr>
          <w:spacing w:val="28"/>
          <w:sz w:val="21"/>
        </w:rPr>
        <w:t> </w:t>
      </w:r>
      <w:r>
        <w:rPr>
          <w:spacing w:val="-3"/>
          <w:w w:val="100"/>
          <w:sz w:val="21"/>
        </w:rPr>
        <w:t>n</w:t>
      </w:r>
      <w:r>
        <w:rPr>
          <w:spacing w:val="-1"/>
          <w:w w:val="100"/>
          <w:sz w:val="21"/>
        </w:rPr>
        <w:t>or</w:t>
      </w:r>
      <w:r>
        <w:rPr>
          <w:spacing w:val="-2"/>
          <w:w w:val="100"/>
          <w:sz w:val="21"/>
        </w:rPr>
        <w:t>t</w:t>
      </w:r>
      <w:r>
        <w:rPr>
          <w:spacing w:val="-1"/>
          <w:w w:val="100"/>
          <w:sz w:val="21"/>
        </w:rPr>
        <w:t>h</w:t>
      </w:r>
      <w:r>
        <w:rPr>
          <w:w w:val="100"/>
          <w:sz w:val="21"/>
        </w:rPr>
        <w:t>,</w:t>
      </w:r>
      <w:r>
        <w:rPr>
          <w:spacing w:val="26"/>
          <w:sz w:val="21"/>
        </w:rPr>
        <w:t> </w:t>
      </w:r>
      <w:r>
        <w:rPr>
          <w:w w:val="100"/>
          <w:sz w:val="21"/>
        </w:rPr>
        <w:t>kno</w:t>
      </w:r>
      <w:r>
        <w:rPr>
          <w:spacing w:val="-1"/>
          <w:w w:val="100"/>
          <w:sz w:val="21"/>
        </w:rPr>
        <w:t>w</w:t>
      </w:r>
      <w:r>
        <w:rPr>
          <w:w w:val="100"/>
          <w:sz w:val="21"/>
        </w:rPr>
        <w:t>n</w:t>
      </w:r>
      <w:r>
        <w:rPr>
          <w:spacing w:val="25"/>
          <w:sz w:val="21"/>
        </w:rPr>
        <w:t> </w:t>
      </w:r>
      <w:r>
        <w:rPr>
          <w:spacing w:val="-1"/>
          <w:w w:val="100"/>
          <w:sz w:val="21"/>
        </w:rPr>
        <w:t>a</w:t>
      </w:r>
      <w:r>
        <w:rPr>
          <w:w w:val="100"/>
          <w:sz w:val="21"/>
        </w:rPr>
        <w:t>s</w:t>
      </w:r>
      <w:r>
        <w:rPr>
          <w:spacing w:val="27"/>
          <w:sz w:val="21"/>
        </w:rPr>
        <w:t> </w:t>
      </w:r>
      <w:r>
        <w:rPr>
          <w:spacing w:val="-4"/>
          <w:w w:val="33"/>
          <w:sz w:val="21"/>
        </w:rPr>
        <w:t>―</w:t>
      </w:r>
      <w:r>
        <w:rPr>
          <w:w w:val="100"/>
          <w:sz w:val="21"/>
        </w:rPr>
        <w:t>H</w:t>
      </w:r>
      <w:r>
        <w:rPr>
          <w:spacing w:val="-1"/>
          <w:w w:val="100"/>
          <w:sz w:val="21"/>
        </w:rPr>
        <w:t>a</w:t>
      </w:r>
      <w:r>
        <w:rPr>
          <w:spacing w:val="-3"/>
          <w:w w:val="100"/>
          <w:sz w:val="21"/>
        </w:rPr>
        <w:t>nu</w:t>
      </w:r>
      <w:r>
        <w:rPr>
          <w:spacing w:val="1"/>
          <w:w w:val="100"/>
          <w:sz w:val="21"/>
        </w:rPr>
        <w:t>m</w:t>
      </w:r>
      <w:r>
        <w:rPr>
          <w:spacing w:val="-1"/>
          <w:w w:val="100"/>
          <w:sz w:val="21"/>
        </w:rPr>
        <w:t>atd</w:t>
      </w:r>
      <w:r>
        <w:rPr>
          <w:spacing w:val="-2"/>
          <w:w w:val="100"/>
          <w:sz w:val="21"/>
        </w:rPr>
        <w:t>w</w:t>
      </w:r>
      <w:r>
        <w:rPr>
          <w:spacing w:val="-1"/>
          <w:w w:val="94"/>
          <w:sz w:val="21"/>
        </w:rPr>
        <w:t>ar</w:t>
      </w:r>
      <w:r>
        <w:rPr>
          <w:w w:val="94"/>
          <w:sz w:val="21"/>
        </w:rPr>
        <w:t>‖</w:t>
      </w:r>
      <w:r>
        <w:rPr>
          <w:spacing w:val="26"/>
          <w:sz w:val="21"/>
        </w:rPr>
        <w:t> </w:t>
      </w:r>
      <w:r>
        <w:rPr>
          <w:spacing w:val="-3"/>
          <w:w w:val="100"/>
          <w:sz w:val="21"/>
        </w:rPr>
        <w:t>a</w:t>
      </w:r>
      <w:r>
        <w:rPr>
          <w:spacing w:val="-1"/>
          <w:w w:val="100"/>
          <w:sz w:val="21"/>
        </w:rPr>
        <w:t>n</w:t>
      </w:r>
      <w:r>
        <w:rPr>
          <w:w w:val="100"/>
          <w:sz w:val="21"/>
        </w:rPr>
        <w:t>d</w:t>
      </w:r>
      <w:r>
        <w:rPr>
          <w:spacing w:val="28"/>
          <w:sz w:val="21"/>
        </w:rPr>
        <w:t> </w:t>
      </w:r>
      <w:r>
        <w:rPr>
          <w:spacing w:val="-4"/>
          <w:w w:val="33"/>
          <w:sz w:val="21"/>
        </w:rPr>
        <w:t>―</w:t>
      </w:r>
      <w:r>
        <w:rPr>
          <w:w w:val="100"/>
          <w:sz w:val="21"/>
        </w:rPr>
        <w:t>Si</w:t>
      </w:r>
      <w:r>
        <w:rPr>
          <w:spacing w:val="-3"/>
          <w:w w:val="100"/>
          <w:sz w:val="21"/>
        </w:rPr>
        <w:t>ng</w:t>
      </w:r>
      <w:r>
        <w:rPr>
          <w:spacing w:val="-1"/>
          <w:w w:val="100"/>
          <w:sz w:val="21"/>
        </w:rPr>
        <w:t>hdw</w:t>
      </w:r>
      <w:r>
        <w:rPr>
          <w:spacing w:val="-1"/>
          <w:w w:val="94"/>
          <w:sz w:val="21"/>
        </w:rPr>
        <w:t>ar‖ </w:t>
      </w:r>
      <w:r>
        <w:rPr>
          <w:spacing w:val="-1"/>
          <w:w w:val="100"/>
          <w:sz w:val="21"/>
        </w:rPr>
        <w:t>respec</w:t>
      </w:r>
      <w:r>
        <w:rPr>
          <w:spacing w:val="-3"/>
          <w:w w:val="100"/>
          <w:sz w:val="21"/>
        </w:rPr>
        <w:t>t</w:t>
      </w:r>
      <w:r>
        <w:rPr>
          <w:w w:val="100"/>
          <w:sz w:val="21"/>
        </w:rPr>
        <w:t>i</w:t>
      </w:r>
      <w:r>
        <w:rPr>
          <w:spacing w:val="-3"/>
          <w:w w:val="100"/>
          <w:sz w:val="21"/>
        </w:rPr>
        <w:t>v</w:t>
      </w:r>
      <w:r>
        <w:rPr>
          <w:spacing w:val="-1"/>
          <w:w w:val="100"/>
          <w:sz w:val="21"/>
        </w:rPr>
        <w:t>e</w:t>
      </w:r>
      <w:r>
        <w:rPr>
          <w:spacing w:val="1"/>
          <w:w w:val="100"/>
          <w:sz w:val="21"/>
        </w:rPr>
        <w:t>l</w:t>
      </w:r>
      <w:r>
        <w:rPr>
          <w:spacing w:val="-3"/>
          <w:w w:val="100"/>
          <w:sz w:val="21"/>
        </w:rPr>
        <w:t>y</w:t>
      </w:r>
      <w:r>
        <w:rPr>
          <w:w w:val="100"/>
          <w:sz w:val="21"/>
        </w:rPr>
        <w:t>.</w:t>
      </w:r>
      <w:r>
        <w:rPr>
          <w:sz w:val="21"/>
        </w:rPr>
        <w:t> </w:t>
      </w:r>
      <w:r>
        <w:rPr>
          <w:spacing w:val="4"/>
          <w:sz w:val="21"/>
        </w:rPr>
        <w:t> </w:t>
      </w:r>
      <w:r>
        <w:rPr>
          <w:w w:val="100"/>
          <w:sz w:val="21"/>
        </w:rPr>
        <w:t>The</w:t>
      </w:r>
      <w:r>
        <w:rPr>
          <w:sz w:val="21"/>
        </w:rPr>
        <w:t> </w:t>
      </w:r>
      <w:r>
        <w:rPr>
          <w:spacing w:val="5"/>
          <w:sz w:val="21"/>
        </w:rPr>
        <w:t> </w:t>
      </w:r>
      <w:r>
        <w:rPr>
          <w:spacing w:val="-4"/>
          <w:w w:val="33"/>
          <w:sz w:val="21"/>
        </w:rPr>
        <w:t>―</w:t>
      </w:r>
      <w:r>
        <w:rPr>
          <w:w w:val="100"/>
          <w:sz w:val="21"/>
        </w:rPr>
        <w:t>H</w:t>
      </w:r>
      <w:r>
        <w:rPr>
          <w:spacing w:val="-1"/>
          <w:w w:val="100"/>
          <w:sz w:val="21"/>
        </w:rPr>
        <w:t>a</w:t>
      </w:r>
      <w:r>
        <w:rPr>
          <w:spacing w:val="-3"/>
          <w:w w:val="100"/>
          <w:sz w:val="21"/>
        </w:rPr>
        <w:t>nu</w:t>
      </w:r>
      <w:r>
        <w:rPr>
          <w:spacing w:val="1"/>
          <w:w w:val="100"/>
          <w:sz w:val="21"/>
        </w:rPr>
        <w:t>m</w:t>
      </w:r>
      <w:r>
        <w:rPr>
          <w:spacing w:val="-1"/>
          <w:w w:val="100"/>
          <w:sz w:val="21"/>
        </w:rPr>
        <w:t>atd</w:t>
      </w:r>
      <w:r>
        <w:rPr>
          <w:spacing w:val="-4"/>
          <w:w w:val="100"/>
          <w:sz w:val="21"/>
        </w:rPr>
        <w:t>w</w:t>
      </w:r>
      <w:r>
        <w:rPr>
          <w:spacing w:val="-1"/>
          <w:w w:val="94"/>
          <w:sz w:val="21"/>
        </w:rPr>
        <w:t>ar</w:t>
      </w:r>
      <w:r>
        <w:rPr>
          <w:w w:val="94"/>
          <w:sz w:val="21"/>
        </w:rPr>
        <w:t>‖</w:t>
      </w:r>
      <w:r>
        <w:rPr>
          <w:sz w:val="21"/>
        </w:rPr>
        <w:t> </w:t>
      </w:r>
      <w:r>
        <w:rPr>
          <w:spacing w:val="4"/>
          <w:sz w:val="21"/>
        </w:rPr>
        <w:t> </w:t>
      </w:r>
      <w:r>
        <w:rPr>
          <w:w w:val="100"/>
          <w:sz w:val="21"/>
        </w:rPr>
        <w:t>is</w:t>
      </w:r>
      <w:r>
        <w:rPr>
          <w:sz w:val="21"/>
        </w:rPr>
        <w:t> </w:t>
      </w:r>
      <w:r>
        <w:rPr>
          <w:spacing w:val="5"/>
          <w:sz w:val="21"/>
        </w:rPr>
        <w:t> </w:t>
      </w:r>
      <w:r>
        <w:rPr>
          <w:spacing w:val="-2"/>
          <w:w w:val="100"/>
          <w:sz w:val="21"/>
        </w:rPr>
        <w:t>t</w:t>
      </w:r>
      <w:r>
        <w:rPr>
          <w:spacing w:val="-3"/>
          <w:w w:val="100"/>
          <w:sz w:val="21"/>
        </w:rPr>
        <w:t>h</w:t>
      </w:r>
      <w:r>
        <w:rPr>
          <w:w w:val="100"/>
          <w:sz w:val="21"/>
        </w:rPr>
        <w:t>e</w:t>
      </w:r>
      <w:r>
        <w:rPr>
          <w:sz w:val="21"/>
        </w:rPr>
        <w:t> </w:t>
      </w:r>
      <w:r>
        <w:rPr>
          <w:spacing w:val="3"/>
          <w:sz w:val="21"/>
        </w:rPr>
        <w:t> </w:t>
      </w:r>
      <w:r>
        <w:rPr>
          <w:spacing w:val="1"/>
          <w:w w:val="100"/>
          <w:sz w:val="21"/>
        </w:rPr>
        <w:t>m</w:t>
      </w:r>
      <w:r>
        <w:rPr>
          <w:spacing w:val="-3"/>
          <w:w w:val="100"/>
          <w:sz w:val="21"/>
        </w:rPr>
        <w:t>a</w:t>
      </w:r>
      <w:r>
        <w:rPr>
          <w:w w:val="100"/>
          <w:sz w:val="21"/>
        </w:rPr>
        <w:t>in</w:t>
      </w:r>
      <w:r>
        <w:rPr>
          <w:sz w:val="21"/>
        </w:rPr>
        <w:t> </w:t>
      </w:r>
      <w:r>
        <w:rPr>
          <w:spacing w:val="5"/>
          <w:sz w:val="21"/>
        </w:rPr>
        <w:t> </w:t>
      </w:r>
      <w:r>
        <w:rPr>
          <w:spacing w:val="-3"/>
          <w:w w:val="100"/>
          <w:sz w:val="21"/>
        </w:rPr>
        <w:t>e</w:t>
      </w:r>
      <w:r>
        <w:rPr>
          <w:spacing w:val="-1"/>
          <w:w w:val="100"/>
          <w:sz w:val="21"/>
        </w:rPr>
        <w:t>ntrance </w:t>
      </w:r>
      <w:r>
        <w:rPr>
          <w:sz w:val="21"/>
        </w:rPr>
        <w:t>gate to the building. At this gate there is a stone slab fixed </w:t>
      </w:r>
      <w:r>
        <w:rPr>
          <w:spacing w:val="-2"/>
          <w:w w:val="100"/>
          <w:sz w:val="21"/>
        </w:rPr>
        <w:t>t</w:t>
      </w:r>
      <w:r>
        <w:rPr>
          <w:w w:val="100"/>
          <w:sz w:val="21"/>
        </w:rPr>
        <w:t>o</w:t>
      </w:r>
      <w:r>
        <w:rPr>
          <w:sz w:val="21"/>
        </w:rPr>
        <w:t> </w:t>
      </w:r>
      <w:r>
        <w:rPr>
          <w:spacing w:val="5"/>
          <w:sz w:val="21"/>
        </w:rPr>
        <w:t> </w:t>
      </w:r>
      <w:r>
        <w:rPr>
          <w:spacing w:val="-2"/>
          <w:w w:val="100"/>
          <w:sz w:val="21"/>
        </w:rPr>
        <w:t>t</w:t>
      </w:r>
      <w:r>
        <w:rPr>
          <w:w w:val="100"/>
          <w:sz w:val="21"/>
        </w:rPr>
        <w:t>he</w:t>
      </w:r>
      <w:r>
        <w:rPr>
          <w:sz w:val="21"/>
        </w:rPr>
        <w:t> </w:t>
      </w:r>
      <w:r>
        <w:rPr>
          <w:spacing w:val="3"/>
          <w:sz w:val="21"/>
        </w:rPr>
        <w:t> </w:t>
      </w:r>
      <w:r>
        <w:rPr>
          <w:w w:val="100"/>
          <w:sz w:val="21"/>
        </w:rPr>
        <w:t>g</w:t>
      </w:r>
      <w:r>
        <w:rPr>
          <w:spacing w:val="-1"/>
          <w:w w:val="100"/>
          <w:sz w:val="21"/>
        </w:rPr>
        <w:t>rou</w:t>
      </w:r>
      <w:r>
        <w:rPr>
          <w:spacing w:val="-2"/>
          <w:w w:val="100"/>
          <w:sz w:val="21"/>
        </w:rPr>
        <w:t>n</w:t>
      </w:r>
      <w:r>
        <w:rPr>
          <w:w w:val="100"/>
          <w:sz w:val="21"/>
        </w:rPr>
        <w:t>d</w:t>
      </w:r>
      <w:r>
        <w:rPr>
          <w:sz w:val="21"/>
        </w:rPr>
        <w:t> </w:t>
      </w:r>
      <w:r>
        <w:rPr>
          <w:spacing w:val="5"/>
          <w:sz w:val="21"/>
        </w:rPr>
        <w:t> </w:t>
      </w:r>
      <w:r>
        <w:rPr>
          <w:spacing w:val="-3"/>
          <w:w w:val="100"/>
          <w:sz w:val="21"/>
        </w:rPr>
        <w:t>c</w:t>
      </w:r>
      <w:r>
        <w:rPr>
          <w:spacing w:val="-1"/>
          <w:w w:val="100"/>
          <w:sz w:val="21"/>
        </w:rPr>
        <w:t>ont</w:t>
      </w:r>
      <w:r>
        <w:rPr>
          <w:spacing w:val="-3"/>
          <w:w w:val="100"/>
          <w:sz w:val="21"/>
        </w:rPr>
        <w:t>a</w:t>
      </w:r>
      <w:r>
        <w:rPr>
          <w:w w:val="100"/>
          <w:sz w:val="21"/>
        </w:rPr>
        <w:t>i</w:t>
      </w:r>
      <w:r>
        <w:rPr>
          <w:spacing w:val="-3"/>
          <w:w w:val="100"/>
          <w:sz w:val="21"/>
        </w:rPr>
        <w:t>n</w:t>
      </w:r>
      <w:r>
        <w:rPr>
          <w:w w:val="100"/>
          <w:sz w:val="21"/>
        </w:rPr>
        <w:t>i</w:t>
      </w:r>
      <w:r>
        <w:rPr>
          <w:spacing w:val="-1"/>
          <w:w w:val="100"/>
          <w:sz w:val="21"/>
        </w:rPr>
        <w:t>n</w:t>
      </w:r>
      <w:r>
        <w:rPr>
          <w:w w:val="100"/>
          <w:sz w:val="21"/>
        </w:rPr>
        <w:t>g</w:t>
      </w:r>
      <w:r>
        <w:rPr>
          <w:sz w:val="21"/>
        </w:rPr>
        <w:t> </w:t>
      </w:r>
      <w:r>
        <w:rPr>
          <w:spacing w:val="3"/>
          <w:sz w:val="21"/>
        </w:rPr>
        <w:t> </w:t>
      </w:r>
      <w:r>
        <w:rPr>
          <w:spacing w:val="-2"/>
          <w:w w:val="100"/>
          <w:sz w:val="21"/>
        </w:rPr>
        <w:t>t</w:t>
      </w:r>
      <w:r>
        <w:rPr>
          <w:spacing w:val="-1"/>
          <w:w w:val="100"/>
          <w:sz w:val="21"/>
        </w:rPr>
        <w:t>h</w:t>
      </w:r>
      <w:r>
        <w:rPr>
          <w:w w:val="100"/>
          <w:sz w:val="21"/>
        </w:rPr>
        <w:t>e</w:t>
      </w:r>
      <w:r>
        <w:rPr>
          <w:sz w:val="21"/>
        </w:rPr>
        <w:t> </w:t>
      </w:r>
      <w:r>
        <w:rPr>
          <w:spacing w:val="3"/>
          <w:sz w:val="21"/>
        </w:rPr>
        <w:t> </w:t>
      </w:r>
      <w:r>
        <w:rPr>
          <w:w w:val="100"/>
          <w:sz w:val="21"/>
        </w:rPr>
        <w:t>i</w:t>
      </w:r>
      <w:r>
        <w:rPr>
          <w:spacing w:val="-1"/>
          <w:w w:val="100"/>
          <w:sz w:val="21"/>
        </w:rPr>
        <w:t>n</w:t>
      </w:r>
      <w:r>
        <w:rPr>
          <w:spacing w:val="-3"/>
          <w:w w:val="100"/>
          <w:sz w:val="21"/>
        </w:rPr>
        <w:t>s</w:t>
      </w:r>
      <w:r>
        <w:rPr>
          <w:w w:val="100"/>
          <w:sz w:val="21"/>
        </w:rPr>
        <w:t>c</w:t>
      </w:r>
      <w:r>
        <w:rPr>
          <w:spacing w:val="-1"/>
          <w:w w:val="100"/>
          <w:sz w:val="21"/>
        </w:rPr>
        <w:t>r</w:t>
      </w:r>
      <w:r>
        <w:rPr>
          <w:w w:val="100"/>
          <w:sz w:val="21"/>
        </w:rPr>
        <w:t>i</w:t>
      </w:r>
      <w:r>
        <w:rPr>
          <w:spacing w:val="-1"/>
          <w:w w:val="100"/>
          <w:sz w:val="21"/>
        </w:rPr>
        <w:t>p</w:t>
      </w:r>
      <w:r>
        <w:rPr>
          <w:spacing w:val="-4"/>
          <w:w w:val="100"/>
          <w:sz w:val="21"/>
        </w:rPr>
        <w:t>t</w:t>
      </w:r>
      <w:r>
        <w:rPr>
          <w:w w:val="100"/>
          <w:sz w:val="21"/>
        </w:rPr>
        <w:t>i</w:t>
      </w:r>
      <w:r>
        <w:rPr>
          <w:spacing w:val="-1"/>
          <w:w w:val="100"/>
          <w:sz w:val="21"/>
        </w:rPr>
        <w:t>o</w:t>
      </w:r>
      <w:r>
        <w:rPr>
          <w:w w:val="100"/>
          <w:sz w:val="21"/>
        </w:rPr>
        <w:t>n</w:t>
      </w:r>
      <w:r>
        <w:rPr>
          <w:sz w:val="21"/>
        </w:rPr>
        <w:t> </w:t>
      </w:r>
      <w:r>
        <w:rPr>
          <w:spacing w:val="3"/>
          <w:sz w:val="21"/>
        </w:rPr>
        <w:t> </w:t>
      </w:r>
      <w:r>
        <w:rPr>
          <w:spacing w:val="-1"/>
          <w:w w:val="33"/>
          <w:sz w:val="21"/>
        </w:rPr>
        <w:t>―</w:t>
      </w:r>
      <w:r>
        <w:rPr>
          <w:spacing w:val="3"/>
          <w:w w:val="100"/>
          <w:sz w:val="21"/>
        </w:rPr>
        <w:t>1</w:t>
      </w:r>
      <w:r>
        <w:rPr>
          <w:spacing w:val="-1"/>
          <w:w w:val="100"/>
          <w:sz w:val="21"/>
        </w:rPr>
        <w:t>-</w:t>
      </w:r>
      <w:r>
        <w:rPr>
          <w:spacing w:val="-2"/>
          <w:w w:val="100"/>
          <w:sz w:val="21"/>
        </w:rPr>
        <w:t>S</w:t>
      </w:r>
      <w:r>
        <w:rPr>
          <w:w w:val="100"/>
          <w:sz w:val="21"/>
        </w:rPr>
        <w:t>hri</w:t>
      </w:r>
      <w:r>
        <w:rPr>
          <w:sz w:val="21"/>
        </w:rPr>
        <w:t> </w:t>
      </w:r>
      <w:r>
        <w:rPr>
          <w:spacing w:val="3"/>
          <w:sz w:val="21"/>
        </w:rPr>
        <w:t> </w:t>
      </w:r>
      <w:r>
        <w:rPr>
          <w:w w:val="100"/>
          <w:sz w:val="21"/>
        </w:rPr>
        <w:t>Ja</w:t>
      </w:r>
      <w:r>
        <w:rPr>
          <w:spacing w:val="-3"/>
          <w:w w:val="100"/>
          <w:sz w:val="21"/>
        </w:rPr>
        <w:t>n</w:t>
      </w:r>
      <w:r>
        <w:rPr>
          <w:spacing w:val="-1"/>
          <w:w w:val="100"/>
          <w:sz w:val="21"/>
        </w:rPr>
        <w:t>m</w:t>
      </w:r>
      <w:r>
        <w:rPr>
          <w:w w:val="100"/>
          <w:sz w:val="21"/>
        </w:rPr>
        <w:t>a </w:t>
      </w:r>
      <w:r>
        <w:rPr>
          <w:sz w:val="21"/>
        </w:rPr>
        <w:t>Bhumi nitya yatra,‖ and a big coloured picture of Shri Hanumanji is placed at the top of the gate. The arch of this entrance gate, 10‘ in height, rests on two black kasauti stone pillars, each 4‘ high, marked a and b, </w:t>
      </w:r>
      <w:r>
        <w:rPr>
          <w:w w:val="100"/>
          <w:sz w:val="21"/>
        </w:rPr>
        <w:t>con</w:t>
      </w:r>
      <w:r>
        <w:rPr>
          <w:spacing w:val="-1"/>
          <w:w w:val="100"/>
          <w:sz w:val="21"/>
        </w:rPr>
        <w:t>ta</w:t>
      </w:r>
      <w:r>
        <w:rPr>
          <w:spacing w:val="-2"/>
          <w:w w:val="100"/>
          <w:sz w:val="21"/>
        </w:rPr>
        <w:t>i</w:t>
      </w:r>
      <w:r>
        <w:rPr>
          <w:spacing w:val="-1"/>
          <w:w w:val="100"/>
          <w:sz w:val="21"/>
        </w:rPr>
        <w:t>n</w:t>
      </w:r>
      <w:r>
        <w:rPr>
          <w:spacing w:val="-2"/>
          <w:w w:val="100"/>
          <w:sz w:val="21"/>
        </w:rPr>
        <w:t>i</w:t>
      </w:r>
      <w:r>
        <w:rPr>
          <w:spacing w:val="-1"/>
          <w:w w:val="100"/>
          <w:sz w:val="21"/>
        </w:rPr>
        <w:t>n</w:t>
      </w:r>
      <w:r>
        <w:rPr>
          <w:w w:val="100"/>
          <w:sz w:val="21"/>
        </w:rPr>
        <w:t>g</w:t>
      </w:r>
      <w:r>
        <w:rPr>
          <w:spacing w:val="8"/>
          <w:sz w:val="21"/>
        </w:rPr>
        <w:t> </w:t>
      </w:r>
      <w:r>
        <w:rPr>
          <w:spacing w:val="-2"/>
          <w:w w:val="100"/>
          <w:sz w:val="21"/>
        </w:rPr>
        <w:t>i</w:t>
      </w:r>
      <w:r>
        <w:rPr>
          <w:spacing w:val="-1"/>
          <w:w w:val="100"/>
          <w:sz w:val="21"/>
        </w:rPr>
        <w:t>mag</w:t>
      </w:r>
      <w:r>
        <w:rPr>
          <w:spacing w:val="-2"/>
          <w:w w:val="100"/>
          <w:sz w:val="21"/>
        </w:rPr>
        <w:t>e</w:t>
      </w:r>
      <w:r>
        <w:rPr>
          <w:w w:val="100"/>
          <w:sz w:val="21"/>
        </w:rPr>
        <w:t>s</w:t>
      </w:r>
      <w:r>
        <w:rPr>
          <w:spacing w:val="8"/>
          <w:sz w:val="21"/>
        </w:rPr>
        <w:t> </w:t>
      </w:r>
      <w:r>
        <w:rPr>
          <w:spacing w:val="-1"/>
          <w:w w:val="100"/>
          <w:sz w:val="21"/>
        </w:rPr>
        <w:t>o</w:t>
      </w:r>
      <w:r>
        <w:rPr>
          <w:w w:val="100"/>
          <w:sz w:val="21"/>
        </w:rPr>
        <w:t>f</w:t>
      </w:r>
      <w:r>
        <w:rPr>
          <w:spacing w:val="9"/>
          <w:sz w:val="21"/>
        </w:rPr>
        <w:t> </w:t>
      </w:r>
      <w:r>
        <w:rPr>
          <w:spacing w:val="-1"/>
          <w:w w:val="33"/>
          <w:sz w:val="21"/>
        </w:rPr>
        <w:t>―</w:t>
      </w:r>
      <w:r>
        <w:rPr>
          <w:w w:val="100"/>
          <w:sz w:val="21"/>
        </w:rPr>
        <w:t>J</w:t>
      </w:r>
      <w:r>
        <w:rPr>
          <w:spacing w:val="-3"/>
          <w:w w:val="100"/>
          <w:sz w:val="21"/>
        </w:rPr>
        <w:t>a</w:t>
      </w:r>
      <w:r>
        <w:rPr>
          <w:w w:val="100"/>
          <w:sz w:val="21"/>
        </w:rPr>
        <w:t>i</w:t>
      </w:r>
      <w:r>
        <w:rPr>
          <w:spacing w:val="7"/>
          <w:sz w:val="21"/>
        </w:rPr>
        <w:t> </w:t>
      </w:r>
      <w:r>
        <w:rPr>
          <w:spacing w:val="-1"/>
          <w:w w:val="100"/>
          <w:sz w:val="21"/>
        </w:rPr>
        <w:t>an</w:t>
      </w:r>
      <w:r>
        <w:rPr>
          <w:w w:val="100"/>
          <w:sz w:val="21"/>
        </w:rPr>
        <w:t>d</w:t>
      </w:r>
      <w:r>
        <w:rPr>
          <w:spacing w:val="9"/>
          <w:sz w:val="21"/>
        </w:rPr>
        <w:t> </w:t>
      </w:r>
      <w:r>
        <w:rPr>
          <w:spacing w:val="-2"/>
          <w:w w:val="100"/>
          <w:sz w:val="21"/>
        </w:rPr>
        <w:t>V</w:t>
      </w:r>
      <w:r>
        <w:rPr>
          <w:w w:val="100"/>
          <w:sz w:val="21"/>
        </w:rPr>
        <w:t>i</w:t>
      </w:r>
      <w:r>
        <w:rPr>
          <w:spacing w:val="-2"/>
          <w:w w:val="100"/>
          <w:sz w:val="21"/>
        </w:rPr>
        <w:t>j</w:t>
      </w:r>
      <w:r>
        <w:rPr>
          <w:spacing w:val="-1"/>
          <w:w w:val="100"/>
          <w:sz w:val="21"/>
        </w:rPr>
        <w:t>a</w:t>
      </w:r>
      <w:r>
        <w:rPr>
          <w:spacing w:val="1"/>
          <w:w w:val="100"/>
          <w:sz w:val="21"/>
        </w:rPr>
        <w:t>i</w:t>
      </w:r>
      <w:r>
        <w:rPr>
          <w:w w:val="81"/>
          <w:sz w:val="21"/>
        </w:rPr>
        <w:t>‖</w:t>
      </w:r>
      <w:r>
        <w:rPr>
          <w:spacing w:val="7"/>
          <w:sz w:val="21"/>
        </w:rPr>
        <w:t> </w:t>
      </w:r>
      <w:r>
        <w:rPr>
          <w:spacing w:val="-1"/>
          <w:w w:val="100"/>
          <w:sz w:val="21"/>
        </w:rPr>
        <w:t>re</w:t>
      </w:r>
      <w:r>
        <w:rPr>
          <w:spacing w:val="-3"/>
          <w:w w:val="100"/>
          <w:sz w:val="21"/>
        </w:rPr>
        <w:t>s</w:t>
      </w:r>
      <w:r>
        <w:rPr>
          <w:spacing w:val="-1"/>
          <w:w w:val="100"/>
          <w:sz w:val="21"/>
        </w:rPr>
        <w:t>pect</w:t>
      </w:r>
      <w:r>
        <w:rPr>
          <w:w w:val="100"/>
          <w:sz w:val="21"/>
        </w:rPr>
        <w:t>i</w:t>
      </w:r>
      <w:r>
        <w:rPr>
          <w:spacing w:val="-3"/>
          <w:w w:val="100"/>
          <w:sz w:val="21"/>
        </w:rPr>
        <w:t>ve</w:t>
      </w:r>
      <w:r>
        <w:rPr>
          <w:w w:val="100"/>
          <w:sz w:val="21"/>
        </w:rPr>
        <w:t>ly</w:t>
      </w:r>
      <w:r>
        <w:rPr>
          <w:spacing w:val="6"/>
          <w:sz w:val="21"/>
        </w:rPr>
        <w:t> </w:t>
      </w:r>
      <w:r>
        <w:rPr>
          <w:spacing w:val="-1"/>
          <w:w w:val="100"/>
          <w:sz w:val="21"/>
        </w:rPr>
        <w:t>engra</w:t>
      </w:r>
      <w:r>
        <w:rPr>
          <w:spacing w:val="-3"/>
          <w:w w:val="100"/>
          <w:sz w:val="21"/>
        </w:rPr>
        <w:t>v</w:t>
      </w:r>
      <w:r>
        <w:rPr>
          <w:spacing w:val="-1"/>
          <w:w w:val="100"/>
          <w:sz w:val="21"/>
        </w:rPr>
        <w:t>ed </w:t>
      </w:r>
      <w:r>
        <w:rPr>
          <w:sz w:val="21"/>
        </w:rPr>
        <w:t>thereon. To the south of this gate on the outer wall there </w:t>
      </w:r>
      <w:r>
        <w:rPr>
          <w:w w:val="100"/>
          <w:sz w:val="21"/>
        </w:rPr>
        <w:t>is</w:t>
      </w:r>
      <w:r>
        <w:rPr>
          <w:sz w:val="21"/>
        </w:rPr>
        <w:t>  </w:t>
      </w:r>
      <w:r>
        <w:rPr>
          <w:spacing w:val="-1"/>
          <w:w w:val="100"/>
          <w:sz w:val="21"/>
        </w:rPr>
        <w:t>e</w:t>
      </w:r>
      <w:r>
        <w:rPr>
          <w:spacing w:val="-3"/>
          <w:w w:val="100"/>
          <w:sz w:val="21"/>
        </w:rPr>
        <w:t>n</w:t>
      </w:r>
      <w:r>
        <w:rPr>
          <w:spacing w:val="-1"/>
          <w:w w:val="100"/>
          <w:sz w:val="21"/>
        </w:rPr>
        <w:t>gra</w:t>
      </w:r>
      <w:r>
        <w:rPr>
          <w:spacing w:val="-3"/>
          <w:w w:val="100"/>
          <w:sz w:val="21"/>
        </w:rPr>
        <w:t>v</w:t>
      </w:r>
      <w:r>
        <w:rPr>
          <w:spacing w:val="-1"/>
          <w:w w:val="100"/>
          <w:sz w:val="21"/>
        </w:rPr>
        <w:t>e</w:t>
      </w:r>
      <w:r>
        <w:rPr>
          <w:w w:val="100"/>
          <w:sz w:val="21"/>
        </w:rPr>
        <w:t>d</w:t>
      </w:r>
      <w:r>
        <w:rPr>
          <w:sz w:val="21"/>
        </w:rPr>
        <w:t>  </w:t>
      </w:r>
      <w:r>
        <w:rPr>
          <w:w w:val="100"/>
          <w:sz w:val="21"/>
        </w:rPr>
        <w:t>a</w:t>
      </w:r>
      <w:r>
        <w:rPr>
          <w:sz w:val="21"/>
        </w:rPr>
        <w:t>  </w:t>
      </w:r>
      <w:r>
        <w:rPr>
          <w:w w:val="100"/>
          <w:sz w:val="21"/>
        </w:rPr>
        <w:t>s</w:t>
      </w:r>
      <w:r>
        <w:rPr>
          <w:spacing w:val="-2"/>
          <w:w w:val="100"/>
          <w:sz w:val="21"/>
        </w:rPr>
        <w:t>t</w:t>
      </w:r>
      <w:r>
        <w:rPr>
          <w:spacing w:val="-3"/>
          <w:w w:val="100"/>
          <w:sz w:val="21"/>
        </w:rPr>
        <w:t>o</w:t>
      </w:r>
      <w:r>
        <w:rPr>
          <w:spacing w:val="-1"/>
          <w:w w:val="100"/>
          <w:sz w:val="21"/>
        </w:rPr>
        <w:t>n</w:t>
      </w:r>
      <w:r>
        <w:rPr>
          <w:w w:val="100"/>
          <w:sz w:val="21"/>
        </w:rPr>
        <w:t>e</w:t>
      </w:r>
      <w:r>
        <w:rPr>
          <w:sz w:val="21"/>
        </w:rPr>
        <w:t>  </w:t>
      </w:r>
      <w:r>
        <w:rPr>
          <w:spacing w:val="-2"/>
          <w:w w:val="100"/>
          <w:sz w:val="21"/>
        </w:rPr>
        <w:t>i</w:t>
      </w:r>
      <w:r>
        <w:rPr>
          <w:spacing w:val="-4"/>
          <w:w w:val="100"/>
          <w:sz w:val="21"/>
        </w:rPr>
        <w:t>m</w:t>
      </w:r>
      <w:r>
        <w:rPr>
          <w:spacing w:val="-1"/>
          <w:w w:val="100"/>
          <w:sz w:val="21"/>
        </w:rPr>
        <w:t>age</w:t>
      </w:r>
      <w:r>
        <w:rPr>
          <w:w w:val="100"/>
          <w:sz w:val="21"/>
        </w:rPr>
        <w:t>,</w:t>
      </w:r>
      <w:r>
        <w:rPr>
          <w:sz w:val="21"/>
        </w:rPr>
        <w:t>  </w:t>
      </w:r>
      <w:r>
        <w:rPr>
          <w:spacing w:val="-3"/>
          <w:w w:val="100"/>
          <w:sz w:val="21"/>
        </w:rPr>
        <w:t>5</w:t>
      </w:r>
      <w:r>
        <w:rPr>
          <w:w w:val="100"/>
          <w:sz w:val="21"/>
        </w:rPr>
        <w:t>‘</w:t>
      </w:r>
      <w:r>
        <w:rPr>
          <w:sz w:val="21"/>
        </w:rPr>
        <w:t> </w:t>
      </w:r>
      <w:r>
        <w:rPr>
          <w:spacing w:val="1"/>
          <w:sz w:val="21"/>
        </w:rPr>
        <w:t> </w:t>
      </w:r>
      <w:r>
        <w:rPr>
          <w:w w:val="100"/>
          <w:sz w:val="21"/>
        </w:rPr>
        <w:t>l</w:t>
      </w:r>
      <w:r>
        <w:rPr>
          <w:spacing w:val="-3"/>
          <w:w w:val="100"/>
          <w:sz w:val="21"/>
        </w:rPr>
        <w:t>o</w:t>
      </w:r>
      <w:r>
        <w:rPr>
          <w:spacing w:val="-1"/>
          <w:w w:val="100"/>
          <w:sz w:val="21"/>
        </w:rPr>
        <w:t>ng</w:t>
      </w:r>
      <w:r>
        <w:rPr>
          <w:w w:val="100"/>
          <w:sz w:val="21"/>
        </w:rPr>
        <w:t>,</w:t>
      </w:r>
      <w:r>
        <w:rPr>
          <w:sz w:val="21"/>
        </w:rPr>
        <w:t> </w:t>
      </w:r>
      <w:r>
        <w:rPr>
          <w:spacing w:val="-3"/>
          <w:sz w:val="21"/>
        </w:rPr>
        <w:t> </w:t>
      </w:r>
      <w:r>
        <w:rPr>
          <w:spacing w:val="2"/>
          <w:w w:val="100"/>
          <w:sz w:val="21"/>
        </w:rPr>
        <w:t>k</w:t>
      </w:r>
      <w:r>
        <w:rPr>
          <w:spacing w:val="-3"/>
          <w:w w:val="100"/>
          <w:sz w:val="21"/>
        </w:rPr>
        <w:t>n</w:t>
      </w:r>
      <w:r>
        <w:rPr>
          <w:spacing w:val="-1"/>
          <w:w w:val="100"/>
          <w:sz w:val="21"/>
        </w:rPr>
        <w:t>o</w:t>
      </w:r>
      <w:r>
        <w:rPr>
          <w:spacing w:val="-2"/>
          <w:w w:val="100"/>
          <w:sz w:val="21"/>
        </w:rPr>
        <w:t>w</w:t>
      </w:r>
      <w:r>
        <w:rPr>
          <w:w w:val="100"/>
          <w:sz w:val="21"/>
        </w:rPr>
        <w:t>n</w:t>
      </w:r>
      <w:r>
        <w:rPr>
          <w:sz w:val="21"/>
        </w:rPr>
        <w:t>  </w:t>
      </w:r>
      <w:r>
        <w:rPr>
          <w:spacing w:val="-1"/>
          <w:w w:val="100"/>
          <w:sz w:val="21"/>
        </w:rPr>
        <w:t>a</w:t>
      </w:r>
      <w:r>
        <w:rPr>
          <w:w w:val="100"/>
          <w:sz w:val="21"/>
        </w:rPr>
        <w:t>s</w:t>
      </w:r>
      <w:r>
        <w:rPr>
          <w:sz w:val="21"/>
        </w:rPr>
        <w:t> </w:t>
      </w:r>
      <w:r>
        <w:rPr>
          <w:spacing w:val="-2"/>
          <w:sz w:val="21"/>
        </w:rPr>
        <w:t> </w:t>
      </w:r>
      <w:r>
        <w:rPr>
          <w:spacing w:val="-1"/>
          <w:w w:val="33"/>
          <w:sz w:val="21"/>
        </w:rPr>
        <w:t>―</w:t>
      </w:r>
      <w:r>
        <w:rPr>
          <w:w w:val="100"/>
          <w:sz w:val="21"/>
        </w:rPr>
        <w:t>V</w:t>
      </w:r>
      <w:r>
        <w:rPr>
          <w:spacing w:val="-1"/>
          <w:w w:val="100"/>
          <w:sz w:val="21"/>
        </w:rPr>
        <w:t>arah </w:t>
      </w:r>
      <w:r>
        <w:rPr>
          <w:sz w:val="21"/>
        </w:rPr>
        <w:t>Bhagwan.‖</w:t>
      </w:r>
    </w:p>
    <w:p>
      <w:pPr>
        <w:spacing w:line="276" w:lineRule="auto" w:before="1"/>
        <w:ind w:left="1940" w:right="2599" w:firstLine="0"/>
        <w:jc w:val="both"/>
        <w:rPr>
          <w:sz w:val="21"/>
        </w:rPr>
      </w:pPr>
      <w:r>
        <w:rPr>
          <w:w w:val="100"/>
          <w:sz w:val="21"/>
        </w:rPr>
        <w:t>The</w:t>
      </w:r>
      <w:r>
        <w:rPr>
          <w:sz w:val="21"/>
        </w:rPr>
        <w:t> </w:t>
      </w:r>
      <w:r>
        <w:rPr>
          <w:w w:val="100"/>
          <w:sz w:val="21"/>
        </w:rPr>
        <w:t>northern</w:t>
      </w:r>
      <w:r>
        <w:rPr>
          <w:sz w:val="21"/>
        </w:rPr>
        <w:t> </w:t>
      </w:r>
      <w:r>
        <w:rPr>
          <w:w w:val="100"/>
          <w:sz w:val="21"/>
        </w:rPr>
        <w:t>gate,</w:t>
      </w:r>
      <w:r>
        <w:rPr>
          <w:sz w:val="21"/>
        </w:rPr>
        <w:t> </w:t>
      </w:r>
      <w:r>
        <w:rPr>
          <w:w w:val="100"/>
          <w:sz w:val="21"/>
        </w:rPr>
        <w:t>known</w:t>
      </w:r>
      <w:r>
        <w:rPr>
          <w:sz w:val="21"/>
        </w:rPr>
        <w:t> </w:t>
      </w:r>
      <w:r>
        <w:rPr>
          <w:w w:val="100"/>
          <w:sz w:val="21"/>
        </w:rPr>
        <w:t>as</w:t>
      </w:r>
      <w:r>
        <w:rPr>
          <w:sz w:val="21"/>
        </w:rPr>
        <w:t> </w:t>
      </w:r>
      <w:r>
        <w:rPr>
          <w:w w:val="33"/>
          <w:sz w:val="21"/>
        </w:rPr>
        <w:t>―</w:t>
      </w:r>
      <w:r>
        <w:rPr>
          <w:w w:val="100"/>
          <w:sz w:val="21"/>
        </w:rPr>
        <w:t>Singhdwar,</w:t>
      </w:r>
      <w:r>
        <w:rPr>
          <w:w w:val="81"/>
          <w:sz w:val="21"/>
        </w:rPr>
        <w:t>‖</w:t>
      </w:r>
      <w:r>
        <w:rPr>
          <w:sz w:val="21"/>
        </w:rPr>
        <w:t> </w:t>
      </w:r>
      <w:r>
        <w:rPr>
          <w:w w:val="100"/>
          <w:sz w:val="21"/>
        </w:rPr>
        <w:t>19‘</w:t>
      </w:r>
      <w:r>
        <w:rPr>
          <w:w w:val="92"/>
          <w:sz w:val="21"/>
        </w:rPr>
        <w:t>6‖</w:t>
      </w:r>
      <w:r>
        <w:rPr>
          <w:sz w:val="21"/>
        </w:rPr>
        <w:t> </w:t>
      </w:r>
      <w:r>
        <w:rPr>
          <w:w w:val="100"/>
          <w:sz w:val="21"/>
        </w:rPr>
        <w:t>in</w:t>
      </w:r>
      <w:r>
        <w:rPr>
          <w:sz w:val="21"/>
        </w:rPr>
        <w:t> </w:t>
      </w:r>
      <w:r>
        <w:rPr>
          <w:w w:val="100"/>
          <w:sz w:val="21"/>
        </w:rPr>
        <w:t>height, </w:t>
      </w:r>
      <w:r>
        <w:rPr>
          <w:sz w:val="21"/>
        </w:rPr>
        <w:t>has got at its top images of Garura in the middle and two lions one on each side.</w:t>
      </w:r>
    </w:p>
    <w:p>
      <w:pPr>
        <w:pStyle w:val="BodyText"/>
        <w:spacing w:before="2"/>
        <w:rPr>
          <w:sz w:val="24"/>
        </w:rPr>
      </w:pPr>
    </w:p>
    <w:p>
      <w:pPr>
        <w:spacing w:line="276" w:lineRule="auto" w:before="0"/>
        <w:ind w:left="1940" w:right="2596" w:firstLine="0"/>
        <w:jc w:val="both"/>
        <w:rPr>
          <w:sz w:val="21"/>
        </w:rPr>
      </w:pPr>
      <w:r>
        <w:rPr>
          <w:sz w:val="21"/>
        </w:rPr>
        <w:t>On entering the main gate there is pucca floor on the eastern and northern side of the inner building, marked by letters GHJKL DGB on the north of the eastern floor there is a neem tree, and to the south of it there is the bhandara (kitchen). Further south there is a raised pucca platform, </w:t>
      </w:r>
      <w:r>
        <w:rPr>
          <w:w w:val="100"/>
          <w:sz w:val="21"/>
        </w:rPr>
        <w:t>17‘</w:t>
      </w:r>
      <w:r>
        <w:rPr>
          <w:sz w:val="21"/>
        </w:rPr>
        <w:t> </w:t>
      </w:r>
      <w:r>
        <w:rPr>
          <w:w w:val="100"/>
          <w:sz w:val="21"/>
        </w:rPr>
        <w:t>x</w:t>
      </w:r>
      <w:r>
        <w:rPr>
          <w:sz w:val="21"/>
        </w:rPr>
        <w:t> </w:t>
      </w:r>
      <w:r>
        <w:rPr>
          <w:w w:val="100"/>
          <w:sz w:val="21"/>
        </w:rPr>
        <w:t>21‘</w:t>
      </w:r>
      <w:r>
        <w:rPr>
          <w:sz w:val="21"/>
        </w:rPr>
        <w:t> </w:t>
      </w:r>
      <w:r>
        <w:rPr>
          <w:w w:val="100"/>
          <w:sz w:val="21"/>
        </w:rPr>
        <w:t>and</w:t>
      </w:r>
      <w:r>
        <w:rPr>
          <w:sz w:val="21"/>
        </w:rPr>
        <w:t> </w:t>
      </w:r>
      <w:r>
        <w:rPr>
          <w:w w:val="100"/>
          <w:sz w:val="21"/>
        </w:rPr>
        <w:t>4‘</w:t>
      </w:r>
      <w:r>
        <w:rPr>
          <w:sz w:val="21"/>
        </w:rPr>
        <w:t> </w:t>
      </w:r>
      <w:r>
        <w:rPr>
          <w:w w:val="100"/>
          <w:sz w:val="21"/>
        </w:rPr>
        <w:t>high,</w:t>
      </w:r>
      <w:r>
        <w:rPr>
          <w:sz w:val="21"/>
        </w:rPr>
        <w:t> </w:t>
      </w:r>
      <w:r>
        <w:rPr>
          <w:w w:val="100"/>
          <w:sz w:val="21"/>
        </w:rPr>
        <w:t>known</w:t>
      </w:r>
      <w:r>
        <w:rPr>
          <w:sz w:val="21"/>
        </w:rPr>
        <w:t> </w:t>
      </w:r>
      <w:r>
        <w:rPr>
          <w:w w:val="100"/>
          <w:sz w:val="21"/>
        </w:rPr>
        <w:t>as</w:t>
      </w:r>
      <w:r>
        <w:rPr>
          <w:sz w:val="21"/>
        </w:rPr>
        <w:t> </w:t>
      </w:r>
      <w:r>
        <w:rPr>
          <w:w w:val="33"/>
          <w:sz w:val="21"/>
        </w:rPr>
        <w:t>―</w:t>
      </w:r>
      <w:r>
        <w:rPr>
          <w:w w:val="100"/>
          <w:sz w:val="21"/>
        </w:rPr>
        <w:t>Ram</w:t>
      </w:r>
      <w:r>
        <w:rPr>
          <w:sz w:val="21"/>
        </w:rPr>
        <w:t> </w:t>
      </w:r>
      <w:r>
        <w:rPr>
          <w:w w:val="100"/>
          <w:sz w:val="21"/>
        </w:rPr>
        <w:t>Chabutra,</w:t>
      </w:r>
      <w:r>
        <w:rPr>
          <w:w w:val="81"/>
          <w:sz w:val="21"/>
        </w:rPr>
        <w:t>‖</w:t>
      </w:r>
      <w:r>
        <w:rPr>
          <w:sz w:val="21"/>
        </w:rPr>
        <w:t> </w:t>
      </w:r>
      <w:r>
        <w:rPr>
          <w:w w:val="100"/>
          <w:sz w:val="21"/>
        </w:rPr>
        <w:t>on</w:t>
      </w:r>
      <w:r>
        <w:rPr>
          <w:sz w:val="21"/>
        </w:rPr>
        <w:t> </w:t>
      </w:r>
      <w:r>
        <w:rPr>
          <w:w w:val="100"/>
          <w:sz w:val="21"/>
        </w:rPr>
        <w:t>which </w:t>
      </w:r>
      <w:r>
        <w:rPr>
          <w:sz w:val="21"/>
        </w:rPr>
        <w:t>stands a small temple having idols of Ram and Janki installed therein. At the south-eastern corner E there is a</w:t>
      </w:r>
    </w:p>
    <w:p>
      <w:pPr>
        <w:spacing w:after="0" w:line="276" w:lineRule="auto"/>
        <w:jc w:val="both"/>
        <w:rPr>
          <w:sz w:val="21"/>
        </w:rPr>
        <w:sectPr>
          <w:type w:val="continuous"/>
          <w:pgSz w:w="11910" w:h="16840"/>
          <w:pgMar w:top="1340" w:bottom="1200" w:left="940" w:right="1000"/>
        </w:sectPr>
      </w:pPr>
    </w:p>
    <w:p>
      <w:pPr>
        <w:spacing w:line="276" w:lineRule="auto" w:before="122"/>
        <w:ind w:left="1940" w:right="2595" w:firstLine="0"/>
        <w:jc w:val="both"/>
        <w:rPr>
          <w:sz w:val="21"/>
        </w:rPr>
      </w:pPr>
      <w:r>
        <w:rPr>
          <w:sz w:val="21"/>
        </w:rPr>
        <w:t>joint neem-pipal tree, surrounded by a semi-circular pucca platform, on which are installed marble idols of Panchmukhi Mahadev, Parbati, Ganesh and Nandi.</w:t>
      </w:r>
    </w:p>
    <w:p>
      <w:pPr>
        <w:pStyle w:val="BodyText"/>
        <w:spacing w:before="3"/>
        <w:rPr>
          <w:sz w:val="24"/>
        </w:rPr>
      </w:pPr>
    </w:p>
    <w:p>
      <w:pPr>
        <w:spacing w:line="276" w:lineRule="auto" w:before="0"/>
        <w:ind w:left="1940" w:right="2596" w:firstLine="0"/>
        <w:jc w:val="both"/>
        <w:rPr>
          <w:sz w:val="21"/>
        </w:rPr>
      </w:pPr>
      <w:r>
        <w:rPr>
          <w:sz w:val="21"/>
        </w:rPr>
        <w:t>On the northern floor there is a pucca platform, 8‘ x 9‘, </w:t>
      </w:r>
      <w:r>
        <w:rPr>
          <w:w w:val="100"/>
          <w:sz w:val="21"/>
        </w:rPr>
        <w:t>called</w:t>
      </w:r>
      <w:r>
        <w:rPr>
          <w:sz w:val="21"/>
        </w:rPr>
        <w:t>  </w:t>
      </w:r>
      <w:r>
        <w:rPr>
          <w:w w:val="33"/>
          <w:sz w:val="21"/>
        </w:rPr>
        <w:t>―</w:t>
      </w:r>
      <w:r>
        <w:rPr>
          <w:w w:val="100"/>
          <w:sz w:val="21"/>
        </w:rPr>
        <w:t>Sita</w:t>
      </w:r>
      <w:r>
        <w:rPr>
          <w:sz w:val="21"/>
        </w:rPr>
        <w:t>  </w:t>
      </w:r>
      <w:r>
        <w:rPr>
          <w:w w:val="100"/>
          <w:sz w:val="21"/>
        </w:rPr>
        <w:t>Rasoi.</w:t>
      </w:r>
      <w:r>
        <w:rPr>
          <w:w w:val="81"/>
          <w:sz w:val="21"/>
        </w:rPr>
        <w:t>‖</w:t>
      </w:r>
      <w:r>
        <w:rPr>
          <w:sz w:val="21"/>
        </w:rPr>
        <w:t>  </w:t>
      </w:r>
      <w:r>
        <w:rPr>
          <w:w w:val="100"/>
          <w:sz w:val="21"/>
        </w:rPr>
        <w:t>O</w:t>
      </w:r>
      <w:r>
        <w:rPr>
          <w:w w:val="100"/>
          <w:sz w:val="21"/>
        </w:rPr>
        <w:t>n</w:t>
      </w:r>
      <w:r>
        <w:rPr>
          <w:sz w:val="21"/>
        </w:rPr>
        <w:t>  </w:t>
      </w:r>
      <w:r>
        <w:rPr>
          <w:w w:val="100"/>
          <w:sz w:val="21"/>
        </w:rPr>
        <w:t>t</w:t>
      </w:r>
      <w:r>
        <w:rPr>
          <w:w w:val="100"/>
          <w:sz w:val="21"/>
        </w:rPr>
        <w:t>hi</w:t>
      </w:r>
      <w:r>
        <w:rPr>
          <w:w w:val="100"/>
          <w:sz w:val="21"/>
        </w:rPr>
        <w:t>s</w:t>
      </w:r>
      <w:r>
        <w:rPr>
          <w:sz w:val="21"/>
        </w:rPr>
        <w:t>  </w:t>
      </w:r>
      <w:r>
        <w:rPr>
          <w:w w:val="100"/>
          <w:sz w:val="21"/>
        </w:rPr>
        <w:t>pl</w:t>
      </w:r>
      <w:r>
        <w:rPr>
          <w:w w:val="100"/>
          <w:sz w:val="21"/>
        </w:rPr>
        <w:t>at</w:t>
      </w:r>
      <w:r>
        <w:rPr>
          <w:w w:val="100"/>
          <w:sz w:val="21"/>
        </w:rPr>
        <w:t>f</w:t>
      </w:r>
      <w:r>
        <w:rPr>
          <w:w w:val="100"/>
          <w:sz w:val="21"/>
        </w:rPr>
        <w:t>or</w:t>
      </w:r>
      <w:r>
        <w:rPr>
          <w:w w:val="100"/>
          <w:sz w:val="21"/>
        </w:rPr>
        <w:t>m</w:t>
      </w:r>
      <w:r>
        <w:rPr>
          <w:sz w:val="21"/>
        </w:rPr>
        <w:t>  </w:t>
      </w:r>
      <w:r>
        <w:rPr>
          <w:w w:val="100"/>
          <w:sz w:val="21"/>
        </w:rPr>
        <w:t>t</w:t>
      </w:r>
      <w:r>
        <w:rPr>
          <w:w w:val="100"/>
          <w:sz w:val="21"/>
        </w:rPr>
        <w:t>here</w:t>
      </w:r>
      <w:r>
        <w:rPr>
          <w:sz w:val="21"/>
        </w:rPr>
        <w:t>  </w:t>
      </w:r>
      <w:r>
        <w:rPr>
          <w:w w:val="100"/>
          <w:sz w:val="21"/>
        </w:rPr>
        <w:t>i</w:t>
      </w:r>
      <w:r>
        <w:rPr>
          <w:w w:val="100"/>
          <w:sz w:val="21"/>
        </w:rPr>
        <w:t>s</w:t>
      </w:r>
      <w:r>
        <w:rPr>
          <w:sz w:val="21"/>
        </w:rPr>
        <w:t>  </w:t>
      </w:r>
      <w:r>
        <w:rPr>
          <w:w w:val="100"/>
          <w:sz w:val="21"/>
        </w:rPr>
        <w:t>a</w:t>
      </w:r>
      <w:r>
        <w:rPr>
          <w:sz w:val="21"/>
        </w:rPr>
        <w:t>  </w:t>
      </w:r>
      <w:r>
        <w:rPr>
          <w:w w:val="100"/>
          <w:sz w:val="21"/>
        </w:rPr>
        <w:t>pucc</w:t>
      </w:r>
      <w:r>
        <w:rPr>
          <w:w w:val="100"/>
          <w:sz w:val="21"/>
        </w:rPr>
        <w:t>a </w:t>
      </w:r>
      <w:r>
        <w:rPr>
          <w:sz w:val="21"/>
        </w:rPr>
        <w:t>chulha with chauka and belna, made of marble, affixed by its side. To the east of the chulha there are four pairs of marble foot prints of Ram, Lakshman, Bharat &amp; Shatrunghna.</w:t>
      </w:r>
    </w:p>
    <w:p>
      <w:pPr>
        <w:pStyle w:val="BodyText"/>
        <w:spacing w:before="1"/>
        <w:rPr>
          <w:sz w:val="24"/>
        </w:rPr>
      </w:pPr>
    </w:p>
    <w:p>
      <w:pPr>
        <w:spacing w:line="276" w:lineRule="auto" w:before="1"/>
        <w:ind w:left="1940" w:right="2595" w:firstLine="0"/>
        <w:jc w:val="both"/>
        <w:rPr>
          <w:sz w:val="21"/>
        </w:rPr>
      </w:pPr>
      <w:r>
        <w:rPr>
          <w:sz w:val="21"/>
        </w:rPr>
        <w:t>The pucca courtyard in front of the inner (main) building is enclosed by walls NHJK intercepted by iron bars with two iron bar gates at O and P as shown in the Plan no.I. At the southern end of this Courtyard there are 14 stairs leading to the roof of the building, and to the south of the stairs there is a raised pucca platform 2‘ high, having a urinal marked U at its south-west corner. There are three arched gates, X,Y and Z leading to the main building, which is divided into three portions, having arches at Q and R. There is a chhajja (projected roof) above the arch Y. 31.</w:t>
      </w:r>
    </w:p>
    <w:p>
      <w:pPr>
        <w:pStyle w:val="BodyText"/>
        <w:spacing w:before="2"/>
        <w:rPr>
          <w:sz w:val="24"/>
        </w:rPr>
      </w:pPr>
    </w:p>
    <w:p>
      <w:pPr>
        <w:spacing w:line="276" w:lineRule="auto" w:before="0"/>
        <w:ind w:left="1940" w:right="2593" w:firstLine="0"/>
        <w:jc w:val="both"/>
        <w:rPr>
          <w:sz w:val="21"/>
        </w:rPr>
      </w:pPr>
      <w:r>
        <w:rPr>
          <w:sz w:val="21"/>
        </w:rPr>
        <w:t>The three arches, Y, Q and R are supported on 12 black kasauti stone pillars, each 6‘ high, marked with letters c to n in Plan no. I. The pillars e to m have carvings of kamal flowers thereon. The pillar contains the image of Shankar Bhagwan in Tandava nritya form and another disfigured image engraved thereon. The pillar J contained the  carved image of Hanumanji. The pillar N has got the image of Lord Krishna engraved thereon other pillars have also got carvings of images which are</w:t>
      </w:r>
      <w:r>
        <w:rPr>
          <w:spacing w:val="-7"/>
          <w:sz w:val="21"/>
        </w:rPr>
        <w:t> </w:t>
      </w:r>
      <w:r>
        <w:rPr>
          <w:sz w:val="21"/>
        </w:rPr>
        <w:t>effaced.</w:t>
      </w:r>
    </w:p>
    <w:p>
      <w:pPr>
        <w:pStyle w:val="BodyText"/>
        <w:spacing w:before="2"/>
        <w:rPr>
          <w:sz w:val="24"/>
        </w:rPr>
      </w:pPr>
    </w:p>
    <w:p>
      <w:pPr>
        <w:spacing w:line="276" w:lineRule="auto" w:before="0"/>
        <w:ind w:left="1940" w:right="2593" w:firstLine="0"/>
        <w:jc w:val="both"/>
        <w:rPr>
          <w:sz w:val="21"/>
        </w:rPr>
      </w:pPr>
      <w:r>
        <w:rPr>
          <w:sz w:val="21"/>
        </w:rPr>
        <w:t>In the central portion of the building at the north-western corner, there is a pucca platform with two stairs, on which is installed the idol of Bal Ram (infant Ram).</w:t>
      </w:r>
    </w:p>
    <w:p>
      <w:pPr>
        <w:pStyle w:val="BodyText"/>
        <w:spacing w:before="3"/>
        <w:rPr>
          <w:sz w:val="24"/>
        </w:rPr>
      </w:pPr>
    </w:p>
    <w:p>
      <w:pPr>
        <w:spacing w:line="276" w:lineRule="auto" w:before="0"/>
        <w:ind w:left="1940" w:right="2595" w:firstLine="0"/>
        <w:jc w:val="both"/>
        <w:rPr>
          <w:sz w:val="21"/>
        </w:rPr>
      </w:pPr>
      <w:r>
        <w:rPr>
          <w:sz w:val="21"/>
        </w:rPr>
        <w:t>At the top of the three portions of the building there are three round domes, as shown separately in Plan no.I, each on an octagonal base. There are no towers, nor is there any ghusalkhana or well in the</w:t>
      </w:r>
      <w:r>
        <w:rPr>
          <w:spacing w:val="-12"/>
          <w:sz w:val="21"/>
        </w:rPr>
        <w:t> </w:t>
      </w:r>
      <w:r>
        <w:rPr>
          <w:sz w:val="21"/>
        </w:rPr>
        <w:t>building.</w:t>
      </w:r>
    </w:p>
    <w:p>
      <w:pPr>
        <w:pStyle w:val="BodyText"/>
        <w:rPr>
          <w:sz w:val="24"/>
        </w:rPr>
      </w:pPr>
    </w:p>
    <w:p>
      <w:pPr>
        <w:spacing w:line="276" w:lineRule="auto" w:before="0"/>
        <w:ind w:left="1940" w:right="2599" w:firstLine="0"/>
        <w:jc w:val="both"/>
        <w:rPr>
          <w:sz w:val="21"/>
        </w:rPr>
      </w:pPr>
      <w:r>
        <w:rPr>
          <w:sz w:val="21"/>
        </w:rPr>
        <w:t>Around the building there is a pucca path known as parikrama, as shown in yellow in Plan Nos.I &amp; II. On the west of the parikrama, the land is about 20‘ low, while the pucca road on the northern side is about 18‘ low.</w:t>
      </w:r>
    </w:p>
    <w:p>
      <w:pPr>
        <w:spacing w:line="276" w:lineRule="auto" w:before="1"/>
        <w:ind w:left="1940" w:right="2598" w:firstLine="0"/>
        <w:jc w:val="both"/>
        <w:rPr>
          <w:sz w:val="21"/>
        </w:rPr>
      </w:pPr>
      <w:r>
        <w:rPr>
          <w:sz w:val="21"/>
        </w:rPr>
        <w:t>Other structures found on the locality have been shown in Plan no.II at their proper places.</w:t>
      </w:r>
    </w:p>
    <w:p>
      <w:pPr>
        <w:pStyle w:val="BodyText"/>
        <w:spacing w:before="2"/>
        <w:rPr>
          <w:sz w:val="24"/>
        </w:rPr>
      </w:pPr>
    </w:p>
    <w:p>
      <w:pPr>
        <w:spacing w:line="276" w:lineRule="auto" w:before="0"/>
        <w:ind w:left="1940" w:right="2599" w:firstLine="0"/>
        <w:jc w:val="both"/>
        <w:rPr>
          <w:sz w:val="21"/>
        </w:rPr>
      </w:pPr>
      <w:r>
        <w:rPr>
          <w:sz w:val="21"/>
        </w:rPr>
        <w:t>The land shown by letters S and T is covered by huts and dhunis of sadhus. Adjacent to and south of the land</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595" w:firstLine="0"/>
        <w:jc w:val="both"/>
        <w:rPr>
          <w:sz w:val="21"/>
        </w:rPr>
      </w:pPr>
      <w:r>
        <w:rPr>
          <w:sz w:val="21"/>
        </w:rPr>
        <w:t>shown by letter T, there is a raised platform, bounded by walls, 4‘ 6‖ high, with a passage towards west, known as</w:t>
      </w:r>
    </w:p>
    <w:p>
      <w:pPr>
        <w:spacing w:line="241" w:lineRule="exact" w:before="0"/>
        <w:ind w:left="1940" w:right="0" w:firstLine="0"/>
        <w:jc w:val="both"/>
        <w:rPr>
          <w:sz w:val="21"/>
        </w:rPr>
      </w:pPr>
      <w:r>
        <w:rPr>
          <w:spacing w:val="-1"/>
          <w:w w:val="33"/>
          <w:sz w:val="21"/>
        </w:rPr>
        <w:t>―</w:t>
      </w:r>
      <w:r>
        <w:rPr>
          <w:w w:val="100"/>
          <w:sz w:val="21"/>
        </w:rPr>
        <w:t>sha</w:t>
      </w:r>
      <w:r>
        <w:rPr>
          <w:spacing w:val="-2"/>
          <w:w w:val="100"/>
          <w:sz w:val="21"/>
        </w:rPr>
        <w:t>n</w:t>
      </w:r>
      <w:r>
        <w:rPr>
          <w:w w:val="100"/>
          <w:sz w:val="21"/>
        </w:rPr>
        <w:t>kar</w:t>
      </w:r>
      <w:r>
        <w:rPr>
          <w:spacing w:val="-2"/>
          <w:sz w:val="21"/>
        </w:rPr>
        <w:t> </w:t>
      </w:r>
      <w:r>
        <w:rPr>
          <w:w w:val="100"/>
          <w:sz w:val="21"/>
        </w:rPr>
        <w:t>cha</w:t>
      </w:r>
      <w:r>
        <w:rPr>
          <w:spacing w:val="-2"/>
          <w:w w:val="100"/>
          <w:sz w:val="21"/>
        </w:rPr>
        <w:t>b</w:t>
      </w:r>
      <w:r>
        <w:rPr>
          <w:spacing w:val="-1"/>
          <w:w w:val="100"/>
          <w:sz w:val="21"/>
        </w:rPr>
        <w:t>utra.</w:t>
      </w:r>
      <w:r>
        <w:rPr>
          <w:w w:val="81"/>
          <w:sz w:val="21"/>
        </w:rPr>
        <w:t>‖</w:t>
      </w:r>
    </w:p>
    <w:p>
      <w:pPr>
        <w:spacing w:line="276" w:lineRule="auto" w:before="37"/>
        <w:ind w:left="1940" w:right="2593" w:firstLine="0"/>
        <w:jc w:val="both"/>
        <w:rPr>
          <w:sz w:val="21"/>
        </w:rPr>
      </w:pPr>
      <w:r>
        <w:rPr>
          <w:w w:val="100"/>
          <w:sz w:val="21"/>
        </w:rPr>
        <w:t>The</w:t>
      </w:r>
      <w:r>
        <w:rPr>
          <w:sz w:val="21"/>
        </w:rPr>
        <w:t> </w:t>
      </w:r>
      <w:r>
        <w:rPr>
          <w:w w:val="100"/>
          <w:sz w:val="21"/>
        </w:rPr>
        <w:t>pucca</w:t>
      </w:r>
      <w:r>
        <w:rPr>
          <w:sz w:val="21"/>
        </w:rPr>
        <w:t> </w:t>
      </w:r>
      <w:r>
        <w:rPr>
          <w:w w:val="100"/>
          <w:sz w:val="21"/>
        </w:rPr>
        <w:t>well,</w:t>
      </w:r>
      <w:r>
        <w:rPr>
          <w:sz w:val="21"/>
        </w:rPr>
        <w:t> </w:t>
      </w:r>
      <w:r>
        <w:rPr>
          <w:w w:val="100"/>
          <w:sz w:val="21"/>
        </w:rPr>
        <w:t>known</w:t>
      </w:r>
      <w:r>
        <w:rPr>
          <w:sz w:val="21"/>
        </w:rPr>
        <w:t> </w:t>
      </w:r>
      <w:r>
        <w:rPr>
          <w:w w:val="100"/>
          <w:sz w:val="21"/>
        </w:rPr>
        <w:t>as</w:t>
      </w:r>
      <w:r>
        <w:rPr>
          <w:sz w:val="21"/>
        </w:rPr>
        <w:t> </w:t>
      </w:r>
      <w:r>
        <w:rPr>
          <w:w w:val="33"/>
          <w:sz w:val="21"/>
        </w:rPr>
        <w:t>―</w:t>
      </w:r>
      <w:r>
        <w:rPr>
          <w:w w:val="100"/>
          <w:sz w:val="21"/>
        </w:rPr>
        <w:t>Sita</w:t>
      </w:r>
      <w:r>
        <w:rPr>
          <w:sz w:val="21"/>
        </w:rPr>
        <w:t> </w:t>
      </w:r>
      <w:r>
        <w:rPr>
          <w:w w:val="97"/>
          <w:sz w:val="21"/>
        </w:rPr>
        <w:t>koop‖</w:t>
      </w:r>
      <w:r>
        <w:rPr>
          <w:sz w:val="21"/>
        </w:rPr>
        <w:t> </w:t>
      </w:r>
      <w:r>
        <w:rPr>
          <w:w w:val="100"/>
          <w:sz w:val="21"/>
        </w:rPr>
        <w:t>has</w:t>
      </w:r>
      <w:r>
        <w:rPr>
          <w:sz w:val="21"/>
        </w:rPr>
        <w:t> </w:t>
      </w:r>
      <w:r>
        <w:rPr>
          <w:w w:val="100"/>
          <w:sz w:val="21"/>
        </w:rPr>
        <w:t>got</w:t>
      </w:r>
      <w:r>
        <w:rPr>
          <w:sz w:val="21"/>
        </w:rPr>
        <w:t> </w:t>
      </w:r>
      <w:r>
        <w:rPr>
          <w:w w:val="100"/>
          <w:sz w:val="21"/>
        </w:rPr>
        <w:t>a</w:t>
      </w:r>
      <w:r>
        <w:rPr>
          <w:sz w:val="21"/>
        </w:rPr>
        <w:t> </w:t>
      </w:r>
      <w:r>
        <w:rPr>
          <w:w w:val="100"/>
          <w:sz w:val="21"/>
        </w:rPr>
        <w:t>tin</w:t>
      </w:r>
      <w:r>
        <w:rPr>
          <w:sz w:val="21"/>
        </w:rPr>
        <w:t> </w:t>
      </w:r>
      <w:r>
        <w:rPr>
          <w:w w:val="100"/>
          <w:sz w:val="21"/>
        </w:rPr>
        <w:t>shed </w:t>
      </w:r>
      <w:r>
        <w:rPr>
          <w:sz w:val="21"/>
        </w:rPr>
        <w:t>over it, and a stone slab is fixed close to it with the </w:t>
      </w:r>
      <w:r>
        <w:rPr>
          <w:w w:val="100"/>
          <w:sz w:val="21"/>
        </w:rPr>
        <w:t>inscription</w:t>
      </w:r>
      <w:r>
        <w:rPr>
          <w:sz w:val="21"/>
        </w:rPr>
        <w:t> </w:t>
      </w:r>
      <w:r>
        <w:rPr>
          <w:w w:val="33"/>
          <w:sz w:val="21"/>
        </w:rPr>
        <w:t>―</w:t>
      </w:r>
      <w:r>
        <w:rPr>
          <w:w w:val="100"/>
          <w:sz w:val="21"/>
        </w:rPr>
        <w:t>3-Sita</w:t>
      </w:r>
      <w:r>
        <w:rPr>
          <w:sz w:val="21"/>
        </w:rPr>
        <w:t> </w:t>
      </w:r>
      <w:r>
        <w:rPr>
          <w:w w:val="100"/>
          <w:sz w:val="21"/>
        </w:rPr>
        <w:t>koo</w:t>
      </w:r>
      <w:r>
        <w:rPr>
          <w:w w:val="94"/>
          <w:sz w:val="21"/>
        </w:rPr>
        <w:t>p‖.</w:t>
      </w:r>
      <w:r>
        <w:rPr>
          <w:sz w:val="21"/>
        </w:rPr>
        <w:t> </w:t>
      </w:r>
      <w:r>
        <w:rPr>
          <w:w w:val="100"/>
          <w:sz w:val="21"/>
        </w:rPr>
        <w:t>To</w:t>
      </w:r>
      <w:r>
        <w:rPr>
          <w:sz w:val="21"/>
        </w:rPr>
        <w:t> </w:t>
      </w:r>
      <w:r>
        <w:rPr>
          <w:w w:val="100"/>
          <w:sz w:val="21"/>
        </w:rPr>
        <w:t>the</w:t>
      </w:r>
      <w:r>
        <w:rPr>
          <w:sz w:val="21"/>
        </w:rPr>
        <w:t> </w:t>
      </w:r>
      <w:r>
        <w:rPr>
          <w:w w:val="100"/>
          <w:sz w:val="21"/>
        </w:rPr>
        <w:t>south</w:t>
      </w:r>
      <w:r>
        <w:rPr>
          <w:sz w:val="21"/>
        </w:rPr>
        <w:t>  </w:t>
      </w:r>
      <w:r>
        <w:rPr>
          <w:w w:val="100"/>
          <w:sz w:val="21"/>
        </w:rPr>
        <w:t>-</w:t>
      </w:r>
      <w:r>
        <w:rPr>
          <w:sz w:val="21"/>
        </w:rPr>
        <w:t> </w:t>
      </w:r>
      <w:r>
        <w:rPr>
          <w:w w:val="100"/>
          <w:sz w:val="21"/>
        </w:rPr>
        <w:t>we</w:t>
      </w:r>
      <w:r>
        <w:rPr>
          <w:w w:val="100"/>
          <w:sz w:val="21"/>
        </w:rPr>
        <w:t>st</w:t>
      </w:r>
      <w:r>
        <w:rPr>
          <w:sz w:val="21"/>
        </w:rPr>
        <w:t> </w:t>
      </w:r>
      <w:r>
        <w:rPr>
          <w:w w:val="100"/>
          <w:sz w:val="21"/>
        </w:rPr>
        <w:t>of</w:t>
      </w:r>
      <w:r>
        <w:rPr>
          <w:sz w:val="21"/>
        </w:rPr>
        <w:t> </w:t>
      </w:r>
      <w:r>
        <w:rPr>
          <w:w w:val="100"/>
          <w:sz w:val="21"/>
        </w:rPr>
        <w:t>t</w:t>
      </w:r>
      <w:r>
        <w:rPr>
          <w:w w:val="100"/>
          <w:sz w:val="21"/>
        </w:rPr>
        <w:t>h</w:t>
      </w:r>
      <w:r>
        <w:rPr>
          <w:w w:val="100"/>
          <w:sz w:val="21"/>
        </w:rPr>
        <w:t>i</w:t>
      </w:r>
      <w:r>
        <w:rPr>
          <w:w w:val="100"/>
          <w:sz w:val="21"/>
        </w:rPr>
        <w:t>s</w:t>
      </w:r>
      <w:r>
        <w:rPr>
          <w:sz w:val="21"/>
        </w:rPr>
        <w:t> </w:t>
      </w:r>
      <w:r>
        <w:rPr>
          <w:w w:val="100"/>
          <w:sz w:val="21"/>
        </w:rPr>
        <w:t>we</w:t>
      </w:r>
      <w:r>
        <w:rPr>
          <w:w w:val="100"/>
          <w:sz w:val="21"/>
        </w:rPr>
        <w:t>ll </w:t>
      </w:r>
      <w:r>
        <w:rPr>
          <w:sz w:val="21"/>
        </w:rPr>
        <w:t>there is another stone slab fixed into the ground with the </w:t>
      </w:r>
      <w:r>
        <w:rPr>
          <w:w w:val="100"/>
          <w:sz w:val="21"/>
        </w:rPr>
        <w:t>inscription</w:t>
      </w:r>
      <w:r>
        <w:rPr>
          <w:sz w:val="21"/>
        </w:rPr>
        <w:t> </w:t>
      </w:r>
      <w:r>
        <w:rPr>
          <w:w w:val="33"/>
          <w:sz w:val="21"/>
        </w:rPr>
        <w:t>―</w:t>
      </w:r>
      <w:r>
        <w:rPr>
          <w:w w:val="100"/>
          <w:sz w:val="21"/>
        </w:rPr>
        <w:t>4-Sumitra</w:t>
      </w:r>
      <w:r>
        <w:rPr>
          <w:sz w:val="21"/>
        </w:rPr>
        <w:t> </w:t>
      </w:r>
      <w:r>
        <w:rPr>
          <w:w w:val="100"/>
          <w:sz w:val="21"/>
        </w:rPr>
        <w:t>Bhaw</w:t>
      </w:r>
      <w:r>
        <w:rPr>
          <w:w w:val="96"/>
          <w:sz w:val="21"/>
        </w:rPr>
        <w:t>an‖.</w:t>
      </w:r>
      <w:r>
        <w:rPr>
          <w:sz w:val="21"/>
        </w:rPr>
        <w:t> </w:t>
      </w:r>
      <w:r>
        <w:rPr>
          <w:w w:val="100"/>
          <w:sz w:val="21"/>
        </w:rPr>
        <w:t>On</w:t>
      </w:r>
      <w:r>
        <w:rPr>
          <w:sz w:val="21"/>
        </w:rPr>
        <w:t> </w:t>
      </w:r>
      <w:r>
        <w:rPr>
          <w:w w:val="100"/>
          <w:sz w:val="21"/>
        </w:rPr>
        <w:t>the</w:t>
      </w:r>
      <w:r>
        <w:rPr>
          <w:sz w:val="21"/>
        </w:rPr>
        <w:t> </w:t>
      </w:r>
      <w:r>
        <w:rPr>
          <w:w w:val="100"/>
          <w:sz w:val="21"/>
        </w:rPr>
        <w:t>raised</w:t>
      </w:r>
      <w:r>
        <w:rPr>
          <w:sz w:val="21"/>
        </w:rPr>
        <w:t> </w:t>
      </w:r>
      <w:r>
        <w:rPr>
          <w:w w:val="100"/>
          <w:sz w:val="21"/>
        </w:rPr>
        <w:t>platform</w:t>
      </w:r>
      <w:r>
        <w:rPr>
          <w:sz w:val="21"/>
        </w:rPr>
        <w:t> </w:t>
      </w:r>
      <w:r>
        <w:rPr>
          <w:w w:val="100"/>
          <w:sz w:val="21"/>
        </w:rPr>
        <w:t>of </w:t>
      </w:r>
      <w:r>
        <w:rPr>
          <w:sz w:val="21"/>
        </w:rPr>
        <w:t>Sumitra Bhawan there is a stone slab fixed to the ground, marked, carved with the image of Shesh nag.</w:t>
      </w:r>
    </w:p>
    <w:p>
      <w:pPr>
        <w:pStyle w:val="BodyText"/>
        <w:spacing w:before="3"/>
        <w:rPr>
          <w:sz w:val="24"/>
        </w:rPr>
      </w:pPr>
    </w:p>
    <w:p>
      <w:pPr>
        <w:spacing w:line="276" w:lineRule="auto" w:before="0"/>
        <w:ind w:left="1940" w:right="2598" w:firstLine="0"/>
        <w:jc w:val="both"/>
        <w:rPr>
          <w:sz w:val="21"/>
        </w:rPr>
      </w:pPr>
      <w:r>
        <w:rPr>
          <w:sz w:val="21"/>
        </w:rPr>
        <w:t>The names of the various samadhis and other structures as noted in Plan No. II were given by sadhus and others present on the spot.</w:t>
      </w:r>
    </w:p>
    <w:p>
      <w:pPr>
        <w:pStyle w:val="BodyText"/>
        <w:spacing w:before="2"/>
        <w:rPr>
          <w:sz w:val="24"/>
        </w:rPr>
      </w:pPr>
    </w:p>
    <w:p>
      <w:pPr>
        <w:spacing w:line="276" w:lineRule="auto" w:before="0"/>
        <w:ind w:left="1940" w:right="2597" w:firstLine="0"/>
        <w:jc w:val="both"/>
        <w:rPr>
          <w:sz w:val="21"/>
        </w:rPr>
      </w:pPr>
      <w:r>
        <w:rPr>
          <w:sz w:val="21"/>
        </w:rPr>
        <w:t>Plans nos.I and II, which form part of this report, two notices given to parties counsel and the application presented by defendant no.1 are attached herewith.</w:t>
      </w:r>
    </w:p>
    <w:p>
      <w:pPr>
        <w:pStyle w:val="BodyText"/>
        <w:rPr>
          <w:sz w:val="20"/>
        </w:rPr>
      </w:pPr>
    </w:p>
    <w:p>
      <w:pPr>
        <w:pStyle w:val="BodyText"/>
        <w:rPr>
          <w:sz w:val="20"/>
        </w:rPr>
      </w:pPr>
    </w:p>
    <w:p>
      <w:pPr>
        <w:spacing w:after="0"/>
        <w:rPr>
          <w:sz w:val="20"/>
        </w:rPr>
        <w:sectPr>
          <w:pgSz w:w="11910" w:h="16840"/>
          <w:pgMar w:header="721" w:footer="1014" w:top="1300" w:bottom="1200" w:left="940" w:right="1000"/>
        </w:sectPr>
      </w:pPr>
    </w:p>
    <w:p>
      <w:pPr>
        <w:pStyle w:val="BodyText"/>
        <w:rPr>
          <w:sz w:val="24"/>
        </w:rPr>
      </w:pPr>
    </w:p>
    <w:p>
      <w:pPr>
        <w:pStyle w:val="BodyText"/>
        <w:rPr>
          <w:sz w:val="24"/>
        </w:rPr>
      </w:pPr>
    </w:p>
    <w:p>
      <w:pPr>
        <w:pStyle w:val="BodyText"/>
        <w:rPr>
          <w:sz w:val="24"/>
        </w:rPr>
      </w:pPr>
    </w:p>
    <w:p>
      <w:pPr>
        <w:pStyle w:val="BodyText"/>
        <w:spacing w:before="10"/>
        <w:rPr>
          <w:sz w:val="32"/>
        </w:rPr>
      </w:pPr>
    </w:p>
    <w:p>
      <w:pPr>
        <w:spacing w:line="276" w:lineRule="auto" w:before="0"/>
        <w:ind w:left="1940" w:right="-18" w:firstLine="0"/>
        <w:jc w:val="left"/>
        <w:rPr>
          <w:sz w:val="21"/>
        </w:rPr>
      </w:pPr>
      <w:r>
        <w:rPr>
          <w:sz w:val="21"/>
        </w:rPr>
        <w:t>Faizabad. Pleader</w:t>
      </w:r>
    </w:p>
    <w:p>
      <w:pPr>
        <w:spacing w:before="95"/>
        <w:ind w:left="0" w:right="2593" w:firstLine="0"/>
        <w:jc w:val="right"/>
        <w:rPr>
          <w:sz w:val="21"/>
        </w:rPr>
      </w:pPr>
      <w:r>
        <w:rPr/>
        <w:br w:type="column"/>
      </w:r>
      <w:r>
        <w:rPr>
          <w:sz w:val="21"/>
        </w:rPr>
        <w:t>I have the honour to</w:t>
      </w:r>
      <w:r>
        <w:rPr>
          <w:spacing w:val="-4"/>
          <w:sz w:val="21"/>
        </w:rPr>
        <w:t> </w:t>
      </w:r>
      <w:r>
        <w:rPr>
          <w:sz w:val="21"/>
        </w:rPr>
        <w:t>be,</w:t>
      </w:r>
    </w:p>
    <w:p>
      <w:pPr>
        <w:spacing w:line="276" w:lineRule="auto" w:before="36"/>
        <w:ind w:left="1837" w:right="2593" w:firstLine="2311"/>
        <w:jc w:val="right"/>
        <w:rPr>
          <w:sz w:val="21"/>
        </w:rPr>
      </w:pPr>
      <w:r>
        <w:rPr>
          <w:spacing w:val="-1"/>
          <w:sz w:val="21"/>
        </w:rPr>
        <w:t>Sir, </w:t>
      </w:r>
      <w:r>
        <w:rPr>
          <w:sz w:val="21"/>
        </w:rPr>
        <w:t>                         Your most obedient</w:t>
      </w:r>
      <w:r>
        <w:rPr>
          <w:spacing w:val="-6"/>
          <w:sz w:val="21"/>
        </w:rPr>
        <w:t> </w:t>
      </w:r>
      <w:r>
        <w:rPr>
          <w:sz w:val="21"/>
        </w:rPr>
        <w:t>servant,</w:t>
      </w:r>
    </w:p>
    <w:p>
      <w:pPr>
        <w:spacing w:line="240" w:lineRule="exact" w:before="0"/>
        <w:ind w:left="0" w:right="2596" w:firstLine="0"/>
        <w:jc w:val="right"/>
        <w:rPr>
          <w:sz w:val="21"/>
        </w:rPr>
      </w:pPr>
      <w:r>
        <w:rPr>
          <w:sz w:val="21"/>
        </w:rPr>
        <w:t>Shiva Shankar</w:t>
      </w:r>
      <w:r>
        <w:rPr>
          <w:spacing w:val="-5"/>
          <w:sz w:val="21"/>
        </w:rPr>
        <w:t> </w:t>
      </w:r>
      <w:r>
        <w:rPr>
          <w:sz w:val="21"/>
        </w:rPr>
        <w:t>Lal,</w:t>
      </w:r>
    </w:p>
    <w:p>
      <w:pPr>
        <w:spacing w:after="0" w:line="240" w:lineRule="exact"/>
        <w:jc w:val="right"/>
        <w:rPr>
          <w:sz w:val="21"/>
        </w:rPr>
        <w:sectPr>
          <w:type w:val="continuous"/>
          <w:pgSz w:w="11910" w:h="16840"/>
          <w:pgMar w:top="1340" w:bottom="1200" w:left="940" w:right="1000"/>
          <w:cols w:num="2" w:equalWidth="0">
            <w:col w:w="2865" w:space="40"/>
            <w:col w:w="7065"/>
          </w:cols>
        </w:sectPr>
      </w:pPr>
    </w:p>
    <w:p>
      <w:pPr>
        <w:tabs>
          <w:tab w:pos="6374" w:val="left" w:leader="none"/>
        </w:tabs>
        <w:spacing w:line="241" w:lineRule="exact" w:before="0"/>
        <w:ind w:left="1940" w:right="0" w:firstLine="0"/>
        <w:jc w:val="left"/>
        <w:rPr>
          <w:sz w:val="21"/>
        </w:rPr>
      </w:pPr>
      <w:r>
        <w:rPr>
          <w:sz w:val="21"/>
        </w:rPr>
        <w:t>25.5.50</w:t>
        <w:tab/>
        <w:t>Commissioner.‖</w:t>
      </w:r>
    </w:p>
    <w:p>
      <w:pPr>
        <w:spacing w:after="0" w:line="241" w:lineRule="exact"/>
        <w:jc w:val="left"/>
        <w:rPr>
          <w:sz w:val="21"/>
        </w:rPr>
        <w:sectPr>
          <w:type w:val="continuous"/>
          <w:pgSz w:w="11910" w:h="16840"/>
          <w:pgMar w:top="1340" w:bottom="1200" w:left="940" w:right="1000"/>
        </w:sectPr>
      </w:pPr>
    </w:p>
    <w:p>
      <w:pPr>
        <w:pStyle w:val="Heading5"/>
        <w:spacing w:before="121"/>
        <w:ind w:left="2770" w:right="2711" w:firstLine="0"/>
        <w:jc w:val="center"/>
      </w:pPr>
      <w:r>
        <w:rPr/>
        <w:t>Site map (Plan I)</w:t>
      </w:r>
    </w:p>
    <w:p>
      <w:pPr>
        <w:pStyle w:val="BodyText"/>
        <w:rPr>
          <w:b/>
          <w:sz w:val="20"/>
        </w:rPr>
      </w:pPr>
    </w:p>
    <w:p>
      <w:pPr>
        <w:pStyle w:val="BodyText"/>
        <w:spacing w:before="7"/>
        <w:rPr>
          <w:b/>
          <w:sz w:val="14"/>
        </w:rPr>
      </w:pPr>
      <w:r>
        <w:rPr/>
        <w:drawing>
          <wp:anchor distT="0" distB="0" distL="0" distR="0" allowOverlap="1" layoutInCell="1" locked="0" behindDoc="0" simplePos="0" relativeHeight="5">
            <wp:simplePos x="0" y="0"/>
            <wp:positionH relativeFrom="page">
              <wp:posOffset>914400</wp:posOffset>
            </wp:positionH>
            <wp:positionV relativeFrom="paragraph">
              <wp:posOffset>131897</wp:posOffset>
            </wp:positionV>
            <wp:extent cx="4947883" cy="767715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4947883" cy="7677150"/>
                    </a:xfrm>
                    <a:prstGeom prst="rect">
                      <a:avLst/>
                    </a:prstGeom>
                  </pic:spPr>
                </pic:pic>
              </a:graphicData>
            </a:graphic>
          </wp:anchor>
        </w:drawing>
      </w:r>
    </w:p>
    <w:p>
      <w:pPr>
        <w:spacing w:after="0"/>
        <w:rPr>
          <w:sz w:val="14"/>
        </w:rPr>
        <w:sectPr>
          <w:pgSz w:w="11910" w:h="16840"/>
          <w:pgMar w:header="721" w:footer="1014" w:top="1300" w:bottom="1200" w:left="940" w:right="1000"/>
        </w:sectPr>
      </w:pPr>
    </w:p>
    <w:p>
      <w:pPr>
        <w:spacing w:before="121"/>
        <w:ind w:left="2771" w:right="2710" w:firstLine="0"/>
        <w:jc w:val="center"/>
        <w:rPr>
          <w:b/>
          <w:sz w:val="25"/>
        </w:rPr>
      </w:pPr>
      <w:r>
        <w:rPr>
          <w:b/>
          <w:sz w:val="25"/>
        </w:rPr>
        <w:t>Site map (Plan II)</w:t>
      </w:r>
    </w:p>
    <w:p>
      <w:pPr>
        <w:pStyle w:val="BodyText"/>
        <w:rPr>
          <w:b/>
          <w:sz w:val="20"/>
        </w:rPr>
      </w:pPr>
    </w:p>
    <w:p>
      <w:pPr>
        <w:pStyle w:val="BodyText"/>
        <w:spacing w:before="7"/>
        <w:rPr>
          <w:b/>
          <w:sz w:val="14"/>
        </w:rPr>
      </w:pPr>
      <w:r>
        <w:rPr/>
        <w:drawing>
          <wp:anchor distT="0" distB="0" distL="0" distR="0" allowOverlap="1" layoutInCell="1" locked="0" behindDoc="0" simplePos="0" relativeHeight="6">
            <wp:simplePos x="0" y="0"/>
            <wp:positionH relativeFrom="page">
              <wp:posOffset>914400</wp:posOffset>
            </wp:positionH>
            <wp:positionV relativeFrom="paragraph">
              <wp:posOffset>131897</wp:posOffset>
            </wp:positionV>
            <wp:extent cx="5937757" cy="774382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5937757" cy="7743825"/>
                    </a:xfrm>
                    <a:prstGeom prst="rect">
                      <a:avLst/>
                    </a:prstGeom>
                  </pic:spPr>
                </pic:pic>
              </a:graphicData>
            </a:graphic>
          </wp:anchor>
        </w:drawing>
      </w:r>
    </w:p>
    <w:p>
      <w:pPr>
        <w:spacing w:after="0"/>
        <w:rPr>
          <w:sz w:val="14"/>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7" w:firstLine="0"/>
        <w:jc w:val="both"/>
        <w:rPr>
          <w:sz w:val="25"/>
        </w:rPr>
      </w:pPr>
      <w:r>
        <w:rPr>
          <w:sz w:val="25"/>
        </w:rPr>
        <w:t>On 17 December 1959, Nirmohi Akhara instituted a suit</w:t>
      </w:r>
      <w:r>
        <w:rPr>
          <w:sz w:val="25"/>
          <w:vertAlign w:val="superscript"/>
        </w:rPr>
        <w:t>8</w:t>
      </w:r>
      <w:r>
        <w:rPr>
          <w:sz w:val="25"/>
          <w:vertAlign w:val="baseline"/>
        </w:rPr>
        <w:t> through its </w:t>
      </w:r>
      <w:r>
        <w:rPr>
          <w:spacing w:val="-2"/>
          <w:w w:val="99"/>
          <w:sz w:val="25"/>
          <w:vertAlign w:val="baseline"/>
        </w:rPr>
        <w:t>M</w:t>
      </w:r>
      <w:r>
        <w:rPr>
          <w:spacing w:val="-1"/>
          <w:w w:val="99"/>
          <w:sz w:val="25"/>
          <w:vertAlign w:val="baseline"/>
        </w:rPr>
        <w:t>a</w:t>
      </w:r>
      <w:r>
        <w:rPr>
          <w:w w:val="99"/>
          <w:sz w:val="25"/>
          <w:vertAlign w:val="baseline"/>
        </w:rPr>
        <w:t>h</w:t>
      </w:r>
      <w:r>
        <w:rPr>
          <w:spacing w:val="-1"/>
          <w:w w:val="99"/>
          <w:sz w:val="25"/>
          <w:vertAlign w:val="baseline"/>
        </w:rPr>
        <w:t>a</w:t>
      </w:r>
      <w:r>
        <w:rPr>
          <w:w w:val="99"/>
          <w:sz w:val="25"/>
          <w:vertAlign w:val="baseline"/>
        </w:rPr>
        <w:t>nt</w:t>
      </w:r>
      <w:r>
        <w:rPr>
          <w:spacing w:val="28"/>
          <w:sz w:val="25"/>
          <w:vertAlign w:val="baseline"/>
        </w:rPr>
        <w:t> </w:t>
      </w:r>
      <w:r>
        <w:rPr>
          <w:w w:val="99"/>
          <w:sz w:val="25"/>
          <w:vertAlign w:val="baseline"/>
        </w:rPr>
        <w:t>(</w:t>
      </w:r>
      <w:r>
        <w:rPr>
          <w:spacing w:val="1"/>
          <w:w w:val="33"/>
          <w:sz w:val="25"/>
          <w:vertAlign w:val="baseline"/>
        </w:rPr>
        <w:t>―</w:t>
      </w:r>
      <w:r>
        <w:rPr>
          <w:b/>
          <w:spacing w:val="-1"/>
          <w:w w:val="99"/>
          <w:sz w:val="25"/>
          <w:vertAlign w:val="baseline"/>
        </w:rPr>
        <w:t>S</w:t>
      </w:r>
      <w:r>
        <w:rPr>
          <w:b/>
          <w:w w:val="99"/>
          <w:sz w:val="25"/>
          <w:vertAlign w:val="baseline"/>
        </w:rPr>
        <w:t>uit</w:t>
      </w:r>
      <w:r>
        <w:rPr>
          <w:b/>
          <w:spacing w:val="29"/>
          <w:sz w:val="25"/>
          <w:vertAlign w:val="baseline"/>
        </w:rPr>
        <w:t> </w:t>
      </w:r>
      <w:r>
        <w:rPr>
          <w:b/>
          <w:spacing w:val="1"/>
          <w:w w:val="99"/>
          <w:sz w:val="25"/>
          <w:vertAlign w:val="baseline"/>
        </w:rPr>
        <w:t>3</w:t>
      </w:r>
      <w:r>
        <w:rPr>
          <w:w w:val="80"/>
          <w:sz w:val="25"/>
          <w:vertAlign w:val="baseline"/>
        </w:rPr>
        <w:t>‖</w:t>
      </w:r>
      <w:r>
        <w:rPr>
          <w:w w:val="99"/>
          <w:sz w:val="25"/>
          <w:vertAlign w:val="baseline"/>
        </w:rPr>
        <w:t>)</w:t>
      </w:r>
      <w:r>
        <w:rPr>
          <w:spacing w:val="29"/>
          <w:sz w:val="25"/>
          <w:vertAlign w:val="baseline"/>
        </w:rPr>
        <w:t> </w:t>
      </w:r>
      <w:r>
        <w:rPr>
          <w:spacing w:val="-1"/>
          <w:w w:val="99"/>
          <w:sz w:val="25"/>
          <w:vertAlign w:val="baseline"/>
        </w:rPr>
        <w:t>b</w:t>
      </w:r>
      <w:r>
        <w:rPr>
          <w:w w:val="99"/>
          <w:sz w:val="25"/>
          <w:vertAlign w:val="baseline"/>
        </w:rPr>
        <w:t>efo</w:t>
      </w:r>
      <w:r>
        <w:rPr>
          <w:spacing w:val="1"/>
          <w:w w:val="99"/>
          <w:sz w:val="25"/>
          <w:vertAlign w:val="baseline"/>
        </w:rPr>
        <w:t>r</w:t>
      </w:r>
      <w:r>
        <w:rPr>
          <w:w w:val="99"/>
          <w:sz w:val="25"/>
          <w:vertAlign w:val="baseline"/>
        </w:rPr>
        <w:t>e</w:t>
      </w:r>
      <w:r>
        <w:rPr>
          <w:spacing w:val="29"/>
          <w:sz w:val="25"/>
          <w:vertAlign w:val="baseline"/>
        </w:rPr>
        <w:t> </w:t>
      </w:r>
      <w:r>
        <w:rPr>
          <w:w w:val="99"/>
          <w:sz w:val="25"/>
          <w:vertAlign w:val="baseline"/>
        </w:rPr>
        <w:t>the</w:t>
      </w:r>
      <w:r>
        <w:rPr>
          <w:spacing w:val="29"/>
          <w:sz w:val="25"/>
          <w:vertAlign w:val="baseline"/>
        </w:rPr>
        <w:t> </w:t>
      </w:r>
      <w:r>
        <w:rPr>
          <w:spacing w:val="-1"/>
          <w:w w:val="99"/>
          <w:sz w:val="25"/>
          <w:vertAlign w:val="baseline"/>
        </w:rPr>
        <w:t>Civi</w:t>
      </w:r>
      <w:r>
        <w:rPr>
          <w:w w:val="99"/>
          <w:sz w:val="25"/>
          <w:vertAlign w:val="baseline"/>
        </w:rPr>
        <w:t>l</w:t>
      </w:r>
      <w:r>
        <w:rPr>
          <w:spacing w:val="27"/>
          <w:sz w:val="25"/>
          <w:vertAlign w:val="baseline"/>
        </w:rPr>
        <w:t> </w:t>
      </w:r>
      <w:r>
        <w:rPr>
          <w:w w:val="99"/>
          <w:sz w:val="25"/>
          <w:vertAlign w:val="baseline"/>
        </w:rPr>
        <w:t>Jud</w:t>
      </w:r>
      <w:r>
        <w:rPr>
          <w:spacing w:val="-1"/>
          <w:w w:val="99"/>
          <w:sz w:val="25"/>
          <w:vertAlign w:val="baseline"/>
        </w:rPr>
        <w:t>g</w:t>
      </w:r>
      <w:r>
        <w:rPr>
          <w:w w:val="99"/>
          <w:sz w:val="25"/>
          <w:vertAlign w:val="baseline"/>
        </w:rPr>
        <w:t>e</w:t>
      </w:r>
      <w:r>
        <w:rPr>
          <w:spacing w:val="29"/>
          <w:sz w:val="25"/>
          <w:vertAlign w:val="baseline"/>
        </w:rPr>
        <w:t> </w:t>
      </w:r>
      <w:r>
        <w:rPr>
          <w:spacing w:val="2"/>
          <w:w w:val="99"/>
          <w:sz w:val="25"/>
          <w:vertAlign w:val="baseline"/>
        </w:rPr>
        <w:t>a</w:t>
      </w:r>
      <w:r>
        <w:rPr>
          <w:w w:val="99"/>
          <w:sz w:val="25"/>
          <w:vertAlign w:val="baseline"/>
        </w:rPr>
        <w:t>t</w:t>
      </w:r>
      <w:r>
        <w:rPr>
          <w:spacing w:val="28"/>
          <w:sz w:val="25"/>
          <w:vertAlign w:val="baseline"/>
        </w:rPr>
        <w:t> </w:t>
      </w:r>
      <w:r>
        <w:rPr>
          <w:w w:val="99"/>
          <w:sz w:val="25"/>
          <w:vertAlign w:val="baseline"/>
        </w:rPr>
        <w:t>F</w:t>
      </w:r>
      <w:r>
        <w:rPr>
          <w:spacing w:val="-1"/>
          <w:w w:val="99"/>
          <w:sz w:val="25"/>
          <w:vertAlign w:val="baseline"/>
        </w:rPr>
        <w:t>aiza</w:t>
      </w:r>
      <w:r>
        <w:rPr>
          <w:w w:val="99"/>
          <w:sz w:val="25"/>
          <w:vertAlign w:val="baseline"/>
        </w:rPr>
        <w:t>b</w:t>
      </w:r>
      <w:r>
        <w:rPr>
          <w:spacing w:val="-1"/>
          <w:w w:val="99"/>
          <w:sz w:val="25"/>
          <w:vertAlign w:val="baseline"/>
        </w:rPr>
        <w:t>a</w:t>
      </w:r>
      <w:r>
        <w:rPr>
          <w:w w:val="99"/>
          <w:sz w:val="25"/>
          <w:vertAlign w:val="baseline"/>
        </w:rPr>
        <w:t>d</w:t>
      </w:r>
      <w:r>
        <w:rPr>
          <w:spacing w:val="29"/>
          <w:sz w:val="25"/>
          <w:vertAlign w:val="baseline"/>
        </w:rPr>
        <w:t> </w:t>
      </w:r>
      <w:r>
        <w:rPr>
          <w:w w:val="99"/>
          <w:sz w:val="25"/>
          <w:vertAlign w:val="baseline"/>
        </w:rPr>
        <w:t>claim</w:t>
      </w:r>
      <w:r>
        <w:rPr>
          <w:spacing w:val="-1"/>
          <w:w w:val="99"/>
          <w:sz w:val="25"/>
          <w:vertAlign w:val="baseline"/>
        </w:rPr>
        <w:t>in</w:t>
      </w:r>
      <w:r>
        <w:rPr>
          <w:w w:val="99"/>
          <w:sz w:val="25"/>
          <w:vertAlign w:val="baseline"/>
        </w:rPr>
        <w:t>g</w:t>
      </w:r>
      <w:r>
        <w:rPr>
          <w:spacing w:val="29"/>
          <w:sz w:val="25"/>
          <w:vertAlign w:val="baseline"/>
        </w:rPr>
        <w:t> </w:t>
      </w:r>
      <w:r>
        <w:rPr>
          <w:w w:val="99"/>
          <w:sz w:val="25"/>
          <w:vertAlign w:val="baseline"/>
        </w:rPr>
        <w:t>that</w:t>
      </w:r>
      <w:r>
        <w:rPr>
          <w:spacing w:val="28"/>
          <w:sz w:val="25"/>
          <w:vertAlign w:val="baseline"/>
        </w:rPr>
        <w:t> </w:t>
      </w:r>
      <w:r>
        <w:rPr>
          <w:spacing w:val="-1"/>
          <w:w w:val="99"/>
          <w:sz w:val="25"/>
          <w:vertAlign w:val="baseline"/>
        </w:rPr>
        <w:t>it</w:t>
      </w:r>
      <w:r>
        <w:rPr>
          <w:w w:val="99"/>
          <w:sz w:val="25"/>
          <w:vertAlign w:val="baseline"/>
        </w:rPr>
        <w:t>s</w:t>
      </w:r>
      <w:r>
        <w:rPr>
          <w:spacing w:val="28"/>
          <w:sz w:val="25"/>
          <w:vertAlign w:val="baseline"/>
        </w:rPr>
        <w:t> </w:t>
      </w:r>
      <w:r>
        <w:rPr>
          <w:w w:val="33"/>
          <w:sz w:val="25"/>
          <w:vertAlign w:val="baseline"/>
        </w:rPr>
        <w:t>―</w:t>
      </w:r>
      <w:r>
        <w:rPr>
          <w:spacing w:val="-1"/>
          <w:w w:val="99"/>
          <w:sz w:val="25"/>
          <w:vertAlign w:val="baseline"/>
        </w:rPr>
        <w:t>a</w:t>
      </w:r>
      <w:r>
        <w:rPr>
          <w:w w:val="99"/>
          <w:sz w:val="25"/>
          <w:vertAlign w:val="baseline"/>
        </w:rPr>
        <w:t>bsolute </w:t>
      </w:r>
      <w:r>
        <w:rPr>
          <w:sz w:val="25"/>
          <w:vertAlign w:val="baseline"/>
        </w:rPr>
        <w:t>right‖ of managing the </w:t>
      </w:r>
      <w:r>
        <w:rPr>
          <w:color w:val="000009"/>
          <w:sz w:val="25"/>
          <w:vertAlign w:val="baseline"/>
        </w:rPr>
        <w:t>affairs </w:t>
      </w:r>
      <w:r>
        <w:rPr>
          <w:sz w:val="25"/>
          <w:vertAlign w:val="baseline"/>
        </w:rPr>
        <w:t>of the Janmasthan and the temple had been impacted by the Magistrate‘s order of attachment and by the appointment of a receiver under Section 145. A decree was sought to hand over the management and charge of the temple to the plaintiff in Suit</w:t>
      </w:r>
      <w:r>
        <w:rPr>
          <w:spacing w:val="-6"/>
          <w:sz w:val="25"/>
          <w:vertAlign w:val="baseline"/>
        </w:rPr>
        <w:t> </w:t>
      </w:r>
      <w:r>
        <w:rPr>
          <w:sz w:val="25"/>
          <w:vertAlign w:val="baseline"/>
        </w:rPr>
        <w:t>3.</w:t>
      </w:r>
    </w:p>
    <w:p>
      <w:pPr>
        <w:pStyle w:val="BodyText"/>
      </w:pPr>
    </w:p>
    <w:p>
      <w:pPr>
        <w:pStyle w:val="ListParagraph"/>
        <w:numPr>
          <w:ilvl w:val="0"/>
          <w:numId w:val="3"/>
        </w:numPr>
        <w:tabs>
          <w:tab w:pos="1221" w:val="left" w:leader="none"/>
        </w:tabs>
        <w:spacing w:line="480" w:lineRule="auto" w:before="0" w:after="0"/>
        <w:ind w:left="500" w:right="438" w:firstLine="0"/>
        <w:jc w:val="both"/>
        <w:rPr>
          <w:sz w:val="25"/>
        </w:rPr>
      </w:pPr>
      <w:r>
        <w:rPr>
          <w:sz w:val="25"/>
        </w:rPr>
        <w:t>On 18 December 1961, the </w:t>
      </w:r>
      <w:r>
        <w:rPr>
          <w:color w:val="000009"/>
          <w:sz w:val="25"/>
        </w:rPr>
        <w:t>Sunni Central Waqf Board </w:t>
      </w:r>
      <w:r>
        <w:rPr>
          <w:sz w:val="25"/>
        </w:rPr>
        <w:t>and nine Muslim </w:t>
      </w:r>
      <w:r>
        <w:rPr>
          <w:w w:val="99"/>
          <w:sz w:val="25"/>
        </w:rPr>
        <w:t>r</w:t>
      </w:r>
      <w:r>
        <w:rPr>
          <w:w w:val="99"/>
          <w:sz w:val="25"/>
        </w:rPr>
        <w:t>eside</w:t>
      </w:r>
      <w:r>
        <w:rPr>
          <w:w w:val="99"/>
          <w:sz w:val="25"/>
        </w:rPr>
        <w:t>nts</w:t>
      </w:r>
      <w:r>
        <w:rPr>
          <w:sz w:val="25"/>
        </w:rPr>
        <w:t> </w:t>
      </w:r>
      <w:r>
        <w:rPr>
          <w:spacing w:val="-33"/>
          <w:sz w:val="25"/>
        </w:rPr>
        <w:t> </w:t>
      </w:r>
      <w:r>
        <w:rPr>
          <w:w w:val="99"/>
          <w:sz w:val="25"/>
        </w:rPr>
        <w:t>of</w:t>
      </w:r>
      <w:r>
        <w:rPr>
          <w:sz w:val="25"/>
        </w:rPr>
        <w:t> </w:t>
      </w:r>
      <w:r>
        <w:rPr>
          <w:spacing w:val="-33"/>
          <w:sz w:val="25"/>
        </w:rPr>
        <w:t> </w:t>
      </w:r>
      <w:r>
        <w:rPr>
          <w:spacing w:val="-1"/>
          <w:w w:val="99"/>
          <w:sz w:val="25"/>
        </w:rPr>
        <w:t>A</w:t>
      </w:r>
      <w:r>
        <w:rPr>
          <w:spacing w:val="-3"/>
          <w:w w:val="99"/>
          <w:sz w:val="25"/>
        </w:rPr>
        <w:t>y</w:t>
      </w:r>
      <w:r>
        <w:rPr>
          <w:w w:val="99"/>
          <w:sz w:val="25"/>
        </w:rPr>
        <w:t>od</w:t>
      </w:r>
      <w:r>
        <w:rPr>
          <w:w w:val="99"/>
          <w:sz w:val="25"/>
        </w:rPr>
        <w:t>h</w:t>
      </w:r>
      <w:r>
        <w:rPr>
          <w:spacing w:val="-2"/>
          <w:w w:val="99"/>
          <w:sz w:val="25"/>
        </w:rPr>
        <w:t>y</w:t>
      </w:r>
      <w:r>
        <w:rPr>
          <w:w w:val="99"/>
          <w:sz w:val="25"/>
        </w:rPr>
        <w:t>a</w:t>
      </w:r>
      <w:r>
        <w:rPr>
          <w:sz w:val="25"/>
        </w:rPr>
        <w:t> </w:t>
      </w:r>
      <w:r>
        <w:rPr>
          <w:spacing w:val="-32"/>
          <w:sz w:val="25"/>
        </w:rPr>
        <w:t> </w:t>
      </w:r>
      <w:r>
        <w:rPr>
          <w:w w:val="99"/>
          <w:sz w:val="25"/>
        </w:rPr>
        <w:t>filed</w:t>
      </w:r>
      <w:r>
        <w:rPr>
          <w:sz w:val="25"/>
        </w:rPr>
        <w:t> </w:t>
      </w:r>
      <w:r>
        <w:rPr>
          <w:spacing w:val="-33"/>
          <w:sz w:val="25"/>
        </w:rPr>
        <w:t> </w:t>
      </w:r>
      <w:r>
        <w:rPr>
          <w:w w:val="99"/>
          <w:sz w:val="25"/>
        </w:rPr>
        <w:t>a</w:t>
      </w:r>
      <w:r>
        <w:rPr>
          <w:sz w:val="25"/>
        </w:rPr>
        <w:t> </w:t>
      </w:r>
      <w:r>
        <w:rPr>
          <w:spacing w:val="-34"/>
          <w:sz w:val="25"/>
        </w:rPr>
        <w:t> </w:t>
      </w:r>
      <w:r>
        <w:rPr>
          <w:w w:val="99"/>
          <w:sz w:val="25"/>
        </w:rPr>
        <w:t>suit</w:t>
      </w:r>
      <w:r>
        <w:rPr>
          <w:w w:val="101"/>
          <w:sz w:val="25"/>
          <w:vertAlign w:val="superscript"/>
        </w:rPr>
        <w:t>9</w:t>
      </w:r>
      <w:r>
        <w:rPr>
          <w:sz w:val="25"/>
          <w:vertAlign w:val="baseline"/>
        </w:rPr>
        <w:t> </w:t>
      </w:r>
      <w:r>
        <w:rPr>
          <w:spacing w:val="-34"/>
          <w:sz w:val="25"/>
          <w:vertAlign w:val="baseline"/>
        </w:rPr>
        <w:t> </w:t>
      </w:r>
      <w:r>
        <w:rPr>
          <w:w w:val="49"/>
          <w:sz w:val="25"/>
          <w:vertAlign w:val="baseline"/>
        </w:rPr>
        <w:t>(―</w:t>
      </w:r>
      <w:r>
        <w:rPr>
          <w:b/>
          <w:spacing w:val="-1"/>
          <w:w w:val="99"/>
          <w:sz w:val="25"/>
          <w:vertAlign w:val="baseline"/>
        </w:rPr>
        <w:t>S</w:t>
      </w:r>
      <w:r>
        <w:rPr>
          <w:b/>
          <w:w w:val="99"/>
          <w:sz w:val="25"/>
          <w:vertAlign w:val="baseline"/>
        </w:rPr>
        <w:t>uit</w:t>
      </w:r>
      <w:r>
        <w:rPr>
          <w:b/>
          <w:sz w:val="25"/>
          <w:vertAlign w:val="baseline"/>
        </w:rPr>
        <w:t> </w:t>
      </w:r>
      <w:r>
        <w:rPr>
          <w:b/>
          <w:spacing w:val="-33"/>
          <w:sz w:val="25"/>
          <w:vertAlign w:val="baseline"/>
        </w:rPr>
        <w:t> </w:t>
      </w:r>
      <w:r>
        <w:rPr>
          <w:b/>
          <w:spacing w:val="-1"/>
          <w:w w:val="99"/>
          <w:sz w:val="25"/>
          <w:vertAlign w:val="baseline"/>
        </w:rPr>
        <w:t>4</w:t>
      </w:r>
      <w:r>
        <w:rPr>
          <w:w w:val="80"/>
          <w:sz w:val="25"/>
          <w:vertAlign w:val="baseline"/>
        </w:rPr>
        <w:t>‖</w:t>
      </w:r>
      <w:r>
        <w:rPr>
          <w:w w:val="99"/>
          <w:sz w:val="25"/>
          <w:vertAlign w:val="baseline"/>
        </w:rPr>
        <w:t>)</w:t>
      </w:r>
      <w:r>
        <w:rPr>
          <w:spacing w:val="34"/>
          <w:sz w:val="25"/>
          <w:vertAlign w:val="baseline"/>
        </w:rPr>
        <w:t> </w:t>
      </w:r>
      <w:r>
        <w:rPr>
          <w:spacing w:val="-1"/>
          <w:w w:val="99"/>
          <w:sz w:val="25"/>
          <w:vertAlign w:val="baseline"/>
        </w:rPr>
        <w:t>b</w:t>
      </w:r>
      <w:r>
        <w:rPr>
          <w:w w:val="99"/>
          <w:sz w:val="25"/>
          <w:vertAlign w:val="baseline"/>
        </w:rPr>
        <w:t>efo</w:t>
      </w:r>
      <w:r>
        <w:rPr>
          <w:spacing w:val="1"/>
          <w:w w:val="99"/>
          <w:sz w:val="25"/>
          <w:vertAlign w:val="baseline"/>
        </w:rPr>
        <w:t>r</w:t>
      </w:r>
      <w:r>
        <w:rPr>
          <w:w w:val="99"/>
          <w:sz w:val="25"/>
          <w:vertAlign w:val="baseline"/>
        </w:rPr>
        <w:t>e</w:t>
      </w:r>
      <w:r>
        <w:rPr>
          <w:sz w:val="25"/>
          <w:vertAlign w:val="baseline"/>
        </w:rPr>
        <w:t> </w:t>
      </w:r>
      <w:r>
        <w:rPr>
          <w:spacing w:val="-34"/>
          <w:sz w:val="25"/>
          <w:vertAlign w:val="baseline"/>
        </w:rPr>
        <w:t> </w:t>
      </w:r>
      <w:r>
        <w:rPr>
          <w:w w:val="99"/>
          <w:sz w:val="25"/>
          <w:vertAlign w:val="baseline"/>
        </w:rPr>
        <w:t>the</w:t>
      </w:r>
      <w:r>
        <w:rPr>
          <w:spacing w:val="34"/>
          <w:sz w:val="25"/>
          <w:vertAlign w:val="baseline"/>
        </w:rPr>
        <w:t> </w:t>
      </w:r>
      <w:r>
        <w:rPr>
          <w:spacing w:val="-1"/>
          <w:w w:val="99"/>
          <w:sz w:val="25"/>
          <w:vertAlign w:val="baseline"/>
        </w:rPr>
        <w:t>Ci</w:t>
      </w:r>
      <w:r>
        <w:rPr>
          <w:spacing w:val="-3"/>
          <w:w w:val="99"/>
          <w:sz w:val="25"/>
          <w:vertAlign w:val="baseline"/>
        </w:rPr>
        <w:t>v</w:t>
      </w:r>
      <w:r>
        <w:rPr>
          <w:spacing w:val="-1"/>
          <w:w w:val="99"/>
          <w:sz w:val="25"/>
          <w:vertAlign w:val="baseline"/>
        </w:rPr>
        <w:t>i</w:t>
      </w:r>
      <w:r>
        <w:rPr>
          <w:w w:val="99"/>
          <w:sz w:val="25"/>
          <w:vertAlign w:val="baseline"/>
        </w:rPr>
        <w:t>l</w:t>
      </w:r>
      <w:r>
        <w:rPr>
          <w:sz w:val="25"/>
          <w:vertAlign w:val="baseline"/>
        </w:rPr>
        <w:t> </w:t>
      </w:r>
      <w:r>
        <w:rPr>
          <w:spacing w:val="-35"/>
          <w:sz w:val="25"/>
          <w:vertAlign w:val="baseline"/>
        </w:rPr>
        <w:t> </w:t>
      </w:r>
      <w:r>
        <w:rPr>
          <w:w w:val="99"/>
          <w:sz w:val="25"/>
          <w:vertAlign w:val="baseline"/>
        </w:rPr>
        <w:t>Ju</w:t>
      </w:r>
      <w:r>
        <w:rPr>
          <w:spacing w:val="3"/>
          <w:w w:val="99"/>
          <w:sz w:val="25"/>
          <w:vertAlign w:val="baseline"/>
        </w:rPr>
        <w:t>d</w:t>
      </w:r>
      <w:r>
        <w:rPr>
          <w:spacing w:val="-1"/>
          <w:w w:val="99"/>
          <w:sz w:val="25"/>
          <w:vertAlign w:val="baseline"/>
        </w:rPr>
        <w:t>g</w:t>
      </w:r>
      <w:r>
        <w:rPr>
          <w:w w:val="99"/>
          <w:sz w:val="25"/>
          <w:vertAlign w:val="baseline"/>
        </w:rPr>
        <w:t>e</w:t>
      </w:r>
      <w:r>
        <w:rPr>
          <w:sz w:val="25"/>
          <w:vertAlign w:val="baseline"/>
        </w:rPr>
        <w:t> </w:t>
      </w:r>
      <w:r>
        <w:rPr>
          <w:spacing w:val="-34"/>
          <w:sz w:val="25"/>
          <w:vertAlign w:val="baseline"/>
        </w:rPr>
        <w:t> </w:t>
      </w:r>
      <w:r>
        <w:rPr>
          <w:spacing w:val="-1"/>
          <w:w w:val="99"/>
          <w:sz w:val="25"/>
          <w:vertAlign w:val="baseline"/>
        </w:rPr>
        <w:t>a</w:t>
      </w:r>
      <w:r>
        <w:rPr>
          <w:w w:val="99"/>
          <w:sz w:val="25"/>
          <w:vertAlign w:val="baseline"/>
        </w:rPr>
        <w:t>t</w:t>
      </w:r>
      <w:r>
        <w:rPr>
          <w:sz w:val="25"/>
          <w:vertAlign w:val="baseline"/>
        </w:rPr>
        <w:t> </w:t>
      </w:r>
      <w:r>
        <w:rPr>
          <w:spacing w:val="-33"/>
          <w:sz w:val="25"/>
          <w:vertAlign w:val="baseline"/>
        </w:rPr>
        <w:t> </w:t>
      </w:r>
      <w:r>
        <w:rPr>
          <w:w w:val="99"/>
          <w:sz w:val="25"/>
          <w:vertAlign w:val="baseline"/>
        </w:rPr>
        <w:t>F</w:t>
      </w:r>
      <w:r>
        <w:rPr>
          <w:spacing w:val="-1"/>
          <w:w w:val="99"/>
          <w:sz w:val="25"/>
          <w:vertAlign w:val="baseline"/>
        </w:rPr>
        <w:t>aiza</w:t>
      </w:r>
      <w:r>
        <w:rPr>
          <w:w w:val="99"/>
          <w:sz w:val="25"/>
          <w:vertAlign w:val="baseline"/>
        </w:rPr>
        <w:t>b</w:t>
      </w:r>
      <w:r>
        <w:rPr>
          <w:spacing w:val="-1"/>
          <w:w w:val="99"/>
          <w:sz w:val="25"/>
          <w:vertAlign w:val="baseline"/>
        </w:rPr>
        <w:t>ad </w:t>
      </w:r>
      <w:r>
        <w:rPr>
          <w:sz w:val="25"/>
          <w:vertAlign w:val="baseline"/>
        </w:rPr>
        <w:t>seeking a declaration that the entire disputed site of the Babri Masjid was a public mosque and for the delivery of possession upon removal of the</w:t>
      </w:r>
      <w:r>
        <w:rPr>
          <w:spacing w:val="-12"/>
          <w:sz w:val="25"/>
          <w:vertAlign w:val="baseline"/>
        </w:rPr>
        <w:t> </w:t>
      </w:r>
      <w:r>
        <w:rPr>
          <w:sz w:val="25"/>
          <w:vertAlign w:val="baseline"/>
        </w:rPr>
        <w:t>idols.</w:t>
      </w:r>
    </w:p>
    <w:p>
      <w:pPr>
        <w:pStyle w:val="BodyText"/>
      </w:pPr>
    </w:p>
    <w:p>
      <w:pPr>
        <w:pStyle w:val="ListParagraph"/>
        <w:numPr>
          <w:ilvl w:val="0"/>
          <w:numId w:val="3"/>
        </w:numPr>
        <w:tabs>
          <w:tab w:pos="1221" w:val="left" w:leader="none"/>
        </w:tabs>
        <w:spacing w:line="482" w:lineRule="auto" w:before="0" w:after="0"/>
        <w:ind w:left="500" w:right="444" w:firstLine="0"/>
        <w:jc w:val="both"/>
        <w:rPr>
          <w:sz w:val="25"/>
        </w:rPr>
      </w:pPr>
      <w:r>
        <w:rPr>
          <w:sz w:val="25"/>
        </w:rPr>
        <w:t>On 6 </w:t>
      </w:r>
      <w:r>
        <w:rPr>
          <w:color w:val="000009"/>
          <w:sz w:val="25"/>
        </w:rPr>
        <w:t>January </w:t>
      </w:r>
      <w:r>
        <w:rPr>
          <w:sz w:val="25"/>
        </w:rPr>
        <w:t>1964, the trial of </w:t>
      </w:r>
      <w:r>
        <w:rPr>
          <w:color w:val="000009"/>
          <w:sz w:val="25"/>
        </w:rPr>
        <w:t>Suits </w:t>
      </w:r>
      <w:r>
        <w:rPr>
          <w:sz w:val="25"/>
        </w:rPr>
        <w:t>1, 3 and 4 was consolidated and Suit 4 was made the leading</w:t>
      </w:r>
      <w:r>
        <w:rPr>
          <w:spacing w:val="-4"/>
          <w:sz w:val="25"/>
        </w:rPr>
        <w:t> </w:t>
      </w:r>
      <w:r>
        <w:rPr>
          <w:sz w:val="25"/>
        </w:rPr>
        <w:t>case.</w:t>
      </w:r>
    </w:p>
    <w:p>
      <w:pPr>
        <w:pStyle w:val="BodyText"/>
        <w:spacing w:before="6"/>
        <w:rPr>
          <w:sz w:val="24"/>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On 25 </w:t>
      </w:r>
      <w:r>
        <w:rPr>
          <w:color w:val="000009"/>
          <w:sz w:val="25"/>
        </w:rPr>
        <w:t>January </w:t>
      </w:r>
      <w:r>
        <w:rPr>
          <w:sz w:val="25"/>
        </w:rPr>
        <w:t>1986, an application was filed by one Umesh Chandra before the Trial Court for breaking open the locks placed on the grill-brick wall and for allowing the public to perform darshan within the inner courtyard. On 1 February 1986, the District </w:t>
      </w:r>
      <w:r>
        <w:rPr>
          <w:color w:val="000009"/>
          <w:sz w:val="25"/>
        </w:rPr>
        <w:t>Judge </w:t>
      </w:r>
      <w:r>
        <w:rPr>
          <w:sz w:val="25"/>
        </w:rPr>
        <w:t>issued directions to open the locks and to provide access to devotees for darshan inside the structure. In a Writ Petition</w:t>
      </w:r>
      <w:r>
        <w:rPr>
          <w:sz w:val="25"/>
          <w:vertAlign w:val="superscript"/>
        </w:rPr>
        <w:t>10</w:t>
      </w:r>
      <w:r>
        <w:rPr>
          <w:sz w:val="25"/>
          <w:vertAlign w:val="baseline"/>
        </w:rPr>
        <w:t> filed before the High Court challenging the above order, an interim order was passed on 3 February 1986 directing that until further orders, the nature of the property as it existed shall not be</w:t>
      </w:r>
      <w:r>
        <w:rPr>
          <w:spacing w:val="-4"/>
          <w:sz w:val="25"/>
          <w:vertAlign w:val="baseline"/>
        </w:rPr>
        <w:t> </w:t>
      </w:r>
      <w:r>
        <w:rPr>
          <w:sz w:val="25"/>
          <w:vertAlign w:val="baseline"/>
        </w:rPr>
        <w:t>altered.</w:t>
      </w:r>
    </w:p>
    <w:p>
      <w:pPr>
        <w:pStyle w:val="BodyText"/>
        <w:rPr>
          <w:sz w:val="20"/>
        </w:rPr>
      </w:pPr>
    </w:p>
    <w:p>
      <w:pPr>
        <w:pStyle w:val="BodyText"/>
        <w:rPr>
          <w:sz w:val="20"/>
        </w:rPr>
      </w:pPr>
    </w:p>
    <w:p>
      <w:pPr>
        <w:pStyle w:val="BodyText"/>
        <w:rPr>
          <w:sz w:val="20"/>
        </w:rPr>
      </w:pPr>
    </w:p>
    <w:p>
      <w:pPr>
        <w:pStyle w:val="BodyText"/>
        <w:spacing w:before="2"/>
        <w:rPr>
          <w:sz w:val="11"/>
        </w:rPr>
      </w:pPr>
      <w:r>
        <w:rPr/>
        <w:pict>
          <v:rect style="position:absolute;margin-left:72.024002pt;margin-top:8.416254pt;width:144.020pt;height:.60004pt;mso-position-horizontal-relative:page;mso-position-vertical-relative:paragraph;z-index:-15725056;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8</w:t>
      </w:r>
      <w:r>
        <w:rPr>
          <w:sz w:val="18"/>
          <w:vertAlign w:val="baseline"/>
        </w:rPr>
        <w:t> Regular Suit No 26 of 1959 (subsequently renumbered as OOS No. 3 of 1989)</w:t>
      </w:r>
    </w:p>
    <w:p>
      <w:pPr>
        <w:spacing w:line="207" w:lineRule="exact" w:before="0"/>
        <w:ind w:left="500" w:right="0" w:firstLine="0"/>
        <w:jc w:val="left"/>
        <w:rPr>
          <w:sz w:val="18"/>
        </w:rPr>
      </w:pPr>
      <w:r>
        <w:rPr>
          <w:sz w:val="18"/>
          <w:vertAlign w:val="superscript"/>
        </w:rPr>
        <w:t>9</w:t>
      </w:r>
      <w:r>
        <w:rPr>
          <w:sz w:val="18"/>
          <w:vertAlign w:val="baseline"/>
        </w:rPr>
        <w:t> Regular Suit No. 12 of 1961 (subsequently renumbered as OOS No. 4 of 1989)</w:t>
      </w:r>
    </w:p>
    <w:p>
      <w:pPr>
        <w:spacing w:before="1"/>
        <w:ind w:left="500" w:right="0" w:firstLine="0"/>
        <w:jc w:val="left"/>
        <w:rPr>
          <w:sz w:val="18"/>
        </w:rPr>
      </w:pPr>
      <w:r>
        <w:rPr>
          <w:sz w:val="18"/>
          <w:vertAlign w:val="superscript"/>
        </w:rPr>
        <w:t>10</w:t>
      </w:r>
      <w:r>
        <w:rPr>
          <w:sz w:val="18"/>
          <w:vertAlign w:val="baseline"/>
        </w:rPr>
        <w:t>Civil Misc. Writ No. 746 of 1986</w:t>
      </w:r>
    </w:p>
    <w:p>
      <w:pPr>
        <w:spacing w:after="0"/>
        <w:jc w:val="left"/>
        <w:rPr>
          <w:sz w:val="18"/>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1" w:after="0"/>
        <w:ind w:left="500" w:right="434" w:firstLine="0"/>
        <w:jc w:val="both"/>
        <w:rPr>
          <w:sz w:val="25"/>
        </w:rPr>
      </w:pPr>
      <w:r>
        <w:rPr>
          <w:w w:val="99"/>
          <w:sz w:val="25"/>
        </w:rPr>
        <w:t>On</w:t>
      </w:r>
      <w:r>
        <w:rPr>
          <w:sz w:val="25"/>
        </w:rPr>
        <w:t> </w:t>
      </w:r>
      <w:r>
        <w:rPr>
          <w:spacing w:val="-24"/>
          <w:sz w:val="25"/>
        </w:rPr>
        <w:t> </w:t>
      </w:r>
      <w:r>
        <w:rPr>
          <w:w w:val="99"/>
          <w:sz w:val="25"/>
        </w:rPr>
        <w:t>1</w:t>
      </w:r>
      <w:r>
        <w:rPr>
          <w:sz w:val="25"/>
        </w:rPr>
        <w:t> </w:t>
      </w:r>
      <w:r>
        <w:rPr>
          <w:spacing w:val="-24"/>
          <w:sz w:val="25"/>
        </w:rPr>
        <w:t> </w:t>
      </w:r>
      <w:r>
        <w:rPr>
          <w:color w:val="000009"/>
          <w:w w:val="99"/>
          <w:sz w:val="25"/>
        </w:rPr>
        <w:t>July</w:t>
      </w:r>
      <w:r>
        <w:rPr>
          <w:color w:val="000009"/>
          <w:sz w:val="25"/>
        </w:rPr>
        <w:t> </w:t>
      </w:r>
      <w:r>
        <w:rPr>
          <w:color w:val="000009"/>
          <w:spacing w:val="-26"/>
          <w:sz w:val="25"/>
        </w:rPr>
        <w:t> </w:t>
      </w:r>
      <w:r>
        <w:rPr>
          <w:w w:val="99"/>
          <w:sz w:val="25"/>
        </w:rPr>
        <w:t>1989</w:t>
      </w:r>
      <w:r>
        <w:rPr>
          <w:w w:val="99"/>
          <w:sz w:val="25"/>
        </w:rPr>
        <w:t>,</w:t>
      </w:r>
      <w:r>
        <w:rPr>
          <w:sz w:val="25"/>
        </w:rPr>
        <w:t> </w:t>
      </w:r>
      <w:r>
        <w:rPr>
          <w:spacing w:val="-24"/>
          <w:sz w:val="25"/>
        </w:rPr>
        <w:t> </w:t>
      </w:r>
      <w:r>
        <w:rPr>
          <w:w w:val="99"/>
          <w:sz w:val="25"/>
        </w:rPr>
        <w:t>a</w:t>
      </w:r>
      <w:r>
        <w:rPr>
          <w:sz w:val="25"/>
        </w:rPr>
        <w:t> </w:t>
      </w:r>
      <w:r>
        <w:rPr>
          <w:spacing w:val="-22"/>
          <w:sz w:val="25"/>
        </w:rPr>
        <w:t> </w:t>
      </w:r>
      <w:r>
        <w:rPr>
          <w:spacing w:val="1"/>
          <w:w w:val="99"/>
          <w:sz w:val="25"/>
        </w:rPr>
        <w:t>S</w:t>
      </w:r>
      <w:r>
        <w:rPr>
          <w:w w:val="99"/>
          <w:sz w:val="25"/>
        </w:rPr>
        <w:t>ui</w:t>
      </w:r>
      <w:r>
        <w:rPr>
          <w:spacing w:val="2"/>
          <w:w w:val="99"/>
          <w:sz w:val="25"/>
        </w:rPr>
        <w:t>t</w:t>
      </w:r>
      <w:r>
        <w:rPr>
          <w:spacing w:val="-1"/>
          <w:w w:val="101"/>
          <w:sz w:val="25"/>
          <w:vertAlign w:val="superscript"/>
        </w:rPr>
        <w:t>1</w:t>
      </w:r>
      <w:r>
        <w:rPr>
          <w:w w:val="101"/>
          <w:sz w:val="25"/>
          <w:vertAlign w:val="superscript"/>
        </w:rPr>
        <w:t>1</w:t>
      </w:r>
      <w:r>
        <w:rPr>
          <w:sz w:val="25"/>
          <w:vertAlign w:val="baseline"/>
        </w:rPr>
        <w:t> </w:t>
      </w:r>
      <w:r>
        <w:rPr>
          <w:spacing w:val="-25"/>
          <w:sz w:val="25"/>
          <w:vertAlign w:val="baseline"/>
        </w:rPr>
        <w:t> </w:t>
      </w:r>
      <w:r>
        <w:rPr>
          <w:w w:val="49"/>
          <w:sz w:val="25"/>
          <w:vertAlign w:val="baseline"/>
        </w:rPr>
        <w:t>(―</w:t>
      </w:r>
      <w:r>
        <w:rPr>
          <w:b/>
          <w:spacing w:val="-1"/>
          <w:w w:val="99"/>
          <w:sz w:val="25"/>
          <w:vertAlign w:val="baseline"/>
        </w:rPr>
        <w:t>S</w:t>
      </w:r>
      <w:r>
        <w:rPr>
          <w:b/>
          <w:w w:val="99"/>
          <w:sz w:val="25"/>
          <w:vertAlign w:val="baseline"/>
        </w:rPr>
        <w:t>uit</w:t>
      </w:r>
      <w:r>
        <w:rPr>
          <w:b/>
          <w:sz w:val="25"/>
          <w:vertAlign w:val="baseline"/>
        </w:rPr>
        <w:t> </w:t>
      </w:r>
      <w:r>
        <w:rPr>
          <w:b/>
          <w:spacing w:val="-24"/>
          <w:sz w:val="25"/>
          <w:vertAlign w:val="baseline"/>
        </w:rPr>
        <w:t> </w:t>
      </w:r>
      <w:r>
        <w:rPr>
          <w:b/>
          <w:spacing w:val="1"/>
          <w:w w:val="99"/>
          <w:sz w:val="25"/>
          <w:vertAlign w:val="baseline"/>
        </w:rPr>
        <w:t>5</w:t>
      </w:r>
      <w:r>
        <w:rPr>
          <w:w w:val="80"/>
          <w:sz w:val="25"/>
          <w:vertAlign w:val="baseline"/>
        </w:rPr>
        <w:t>‖</w:t>
      </w:r>
      <w:r>
        <w:rPr>
          <w:w w:val="99"/>
          <w:sz w:val="25"/>
          <w:vertAlign w:val="baseline"/>
        </w:rPr>
        <w:t>)</w:t>
      </w:r>
      <w:r>
        <w:rPr>
          <w:sz w:val="25"/>
          <w:vertAlign w:val="baseline"/>
        </w:rPr>
        <w:t> </w:t>
      </w:r>
      <w:r>
        <w:rPr>
          <w:spacing w:val="-24"/>
          <w:sz w:val="25"/>
          <w:vertAlign w:val="baseline"/>
        </w:rPr>
        <w:t> </w:t>
      </w:r>
      <w:r>
        <w:rPr>
          <w:spacing w:val="-1"/>
          <w:w w:val="99"/>
          <w:sz w:val="25"/>
          <w:vertAlign w:val="baseline"/>
        </w:rPr>
        <w:t>wa</w:t>
      </w:r>
      <w:r>
        <w:rPr>
          <w:w w:val="99"/>
          <w:sz w:val="25"/>
          <w:vertAlign w:val="baseline"/>
        </w:rPr>
        <w:t>s</w:t>
      </w:r>
      <w:r>
        <w:rPr>
          <w:sz w:val="25"/>
          <w:vertAlign w:val="baseline"/>
        </w:rPr>
        <w:t> </w:t>
      </w:r>
      <w:r>
        <w:rPr>
          <w:spacing w:val="-24"/>
          <w:sz w:val="25"/>
          <w:vertAlign w:val="baseline"/>
        </w:rPr>
        <w:t> </w:t>
      </w:r>
      <w:r>
        <w:rPr>
          <w:spacing w:val="-1"/>
          <w:w w:val="99"/>
          <w:sz w:val="25"/>
          <w:vertAlign w:val="baseline"/>
        </w:rPr>
        <w:t>b</w:t>
      </w:r>
      <w:r>
        <w:rPr>
          <w:spacing w:val="-2"/>
          <w:w w:val="99"/>
          <w:sz w:val="25"/>
          <w:vertAlign w:val="baseline"/>
        </w:rPr>
        <w:t>r</w:t>
      </w:r>
      <w:r>
        <w:rPr>
          <w:spacing w:val="-1"/>
          <w:w w:val="99"/>
          <w:sz w:val="25"/>
          <w:vertAlign w:val="baseline"/>
        </w:rPr>
        <w:t>o</w:t>
      </w:r>
      <w:r>
        <w:rPr>
          <w:w w:val="99"/>
          <w:sz w:val="25"/>
          <w:vertAlign w:val="baseline"/>
        </w:rPr>
        <w:t>u</w:t>
      </w:r>
      <w:r>
        <w:rPr>
          <w:spacing w:val="-1"/>
          <w:w w:val="99"/>
          <w:sz w:val="25"/>
          <w:vertAlign w:val="baseline"/>
        </w:rPr>
        <w:t>g</w:t>
      </w:r>
      <w:r>
        <w:rPr>
          <w:w w:val="99"/>
          <w:sz w:val="25"/>
          <w:vertAlign w:val="baseline"/>
        </w:rPr>
        <w:t>ht</w:t>
      </w:r>
      <w:r>
        <w:rPr>
          <w:sz w:val="25"/>
          <w:vertAlign w:val="baseline"/>
        </w:rPr>
        <w:t> </w:t>
      </w:r>
      <w:r>
        <w:rPr>
          <w:spacing w:val="-24"/>
          <w:sz w:val="25"/>
          <w:vertAlign w:val="baseline"/>
        </w:rPr>
        <w:t> </w:t>
      </w:r>
      <w:r>
        <w:rPr>
          <w:spacing w:val="-1"/>
          <w:w w:val="99"/>
          <w:sz w:val="25"/>
          <w:vertAlign w:val="baseline"/>
        </w:rPr>
        <w:t>b</w:t>
      </w:r>
      <w:r>
        <w:rPr>
          <w:w w:val="99"/>
          <w:sz w:val="25"/>
          <w:vertAlign w:val="baseline"/>
        </w:rPr>
        <w:t>efo</w:t>
      </w:r>
      <w:r>
        <w:rPr>
          <w:spacing w:val="1"/>
          <w:w w:val="99"/>
          <w:sz w:val="25"/>
          <w:vertAlign w:val="baseline"/>
        </w:rPr>
        <w:t>r</w:t>
      </w:r>
      <w:r>
        <w:rPr>
          <w:w w:val="99"/>
          <w:sz w:val="25"/>
          <w:vertAlign w:val="baseline"/>
        </w:rPr>
        <w:t>e</w:t>
      </w:r>
      <w:r>
        <w:rPr>
          <w:sz w:val="25"/>
          <w:vertAlign w:val="baseline"/>
        </w:rPr>
        <w:t> </w:t>
      </w:r>
      <w:r>
        <w:rPr>
          <w:spacing w:val="-24"/>
          <w:sz w:val="25"/>
          <w:vertAlign w:val="baseline"/>
        </w:rPr>
        <w:t> </w:t>
      </w:r>
      <w:r>
        <w:rPr>
          <w:w w:val="99"/>
          <w:sz w:val="25"/>
          <w:vertAlign w:val="baseline"/>
        </w:rPr>
        <w:t>the</w:t>
      </w:r>
      <w:r>
        <w:rPr>
          <w:sz w:val="25"/>
          <w:vertAlign w:val="baseline"/>
        </w:rPr>
        <w:t> </w:t>
      </w:r>
      <w:r>
        <w:rPr>
          <w:spacing w:val="-24"/>
          <w:sz w:val="25"/>
          <w:vertAlign w:val="baseline"/>
        </w:rPr>
        <w:t> </w:t>
      </w:r>
      <w:r>
        <w:rPr>
          <w:spacing w:val="-1"/>
          <w:w w:val="99"/>
          <w:sz w:val="25"/>
          <w:vertAlign w:val="baseline"/>
        </w:rPr>
        <w:t>Ci</w:t>
      </w:r>
      <w:r>
        <w:rPr>
          <w:spacing w:val="-3"/>
          <w:w w:val="99"/>
          <w:sz w:val="25"/>
          <w:vertAlign w:val="baseline"/>
        </w:rPr>
        <w:t>v</w:t>
      </w:r>
      <w:r>
        <w:rPr>
          <w:spacing w:val="1"/>
          <w:w w:val="99"/>
          <w:sz w:val="25"/>
          <w:vertAlign w:val="baseline"/>
        </w:rPr>
        <w:t>i</w:t>
      </w:r>
      <w:r>
        <w:rPr>
          <w:w w:val="99"/>
          <w:sz w:val="25"/>
          <w:vertAlign w:val="baseline"/>
        </w:rPr>
        <w:t>l</w:t>
      </w:r>
      <w:r>
        <w:rPr>
          <w:sz w:val="25"/>
          <w:vertAlign w:val="baseline"/>
        </w:rPr>
        <w:t> </w:t>
      </w:r>
      <w:r>
        <w:rPr>
          <w:spacing w:val="-25"/>
          <w:sz w:val="25"/>
          <w:vertAlign w:val="baseline"/>
        </w:rPr>
        <w:t> </w:t>
      </w:r>
      <w:r>
        <w:rPr>
          <w:w w:val="99"/>
          <w:sz w:val="25"/>
          <w:vertAlign w:val="baseline"/>
        </w:rPr>
        <w:t>Jud</w:t>
      </w:r>
      <w:r>
        <w:rPr>
          <w:spacing w:val="-1"/>
          <w:w w:val="99"/>
          <w:sz w:val="25"/>
          <w:vertAlign w:val="baseline"/>
        </w:rPr>
        <w:t>g</w:t>
      </w:r>
      <w:r>
        <w:rPr>
          <w:w w:val="99"/>
          <w:sz w:val="25"/>
          <w:vertAlign w:val="baseline"/>
        </w:rPr>
        <w:t>e, F</w:t>
      </w:r>
      <w:r>
        <w:rPr>
          <w:spacing w:val="-1"/>
          <w:w w:val="99"/>
          <w:sz w:val="25"/>
          <w:vertAlign w:val="baseline"/>
        </w:rPr>
        <w:t>aiza</w:t>
      </w:r>
      <w:r>
        <w:rPr>
          <w:w w:val="99"/>
          <w:sz w:val="25"/>
          <w:vertAlign w:val="baseline"/>
        </w:rPr>
        <w:t>b</w:t>
      </w:r>
      <w:r>
        <w:rPr>
          <w:spacing w:val="-1"/>
          <w:w w:val="99"/>
          <w:sz w:val="25"/>
          <w:vertAlign w:val="baseline"/>
        </w:rPr>
        <w:t>a</w:t>
      </w:r>
      <w:r>
        <w:rPr>
          <w:w w:val="99"/>
          <w:sz w:val="25"/>
          <w:vertAlign w:val="baseline"/>
        </w:rPr>
        <w:t>d</w:t>
      </w:r>
      <w:r>
        <w:rPr>
          <w:sz w:val="25"/>
          <w:vertAlign w:val="baseline"/>
        </w:rPr>
        <w:t>  </w:t>
      </w:r>
      <w:r>
        <w:rPr>
          <w:spacing w:val="-1"/>
          <w:w w:val="99"/>
          <w:sz w:val="25"/>
          <w:vertAlign w:val="baseline"/>
        </w:rPr>
        <w:t>b</w:t>
      </w:r>
      <w:r>
        <w:rPr>
          <w:w w:val="99"/>
          <w:sz w:val="25"/>
          <w:vertAlign w:val="baseline"/>
        </w:rPr>
        <w:t>y</w:t>
      </w:r>
      <w:r>
        <w:rPr>
          <w:sz w:val="25"/>
          <w:vertAlign w:val="baseline"/>
        </w:rPr>
        <w:t> </w:t>
      </w:r>
      <w:r>
        <w:rPr>
          <w:spacing w:val="-2"/>
          <w:sz w:val="25"/>
          <w:vertAlign w:val="baseline"/>
        </w:rPr>
        <w:t> </w:t>
      </w:r>
      <w:r>
        <w:rPr>
          <w:w w:val="99"/>
          <w:sz w:val="25"/>
          <w:vertAlign w:val="baseline"/>
        </w:rPr>
        <w:t>the</w:t>
      </w:r>
      <w:r>
        <w:rPr>
          <w:sz w:val="25"/>
          <w:vertAlign w:val="baseline"/>
        </w:rPr>
        <w:t>  </w:t>
      </w:r>
      <w:r>
        <w:rPr>
          <w:spacing w:val="-1"/>
          <w:w w:val="99"/>
          <w:sz w:val="25"/>
          <w:vertAlign w:val="baseline"/>
        </w:rPr>
        <w:t>d</w:t>
      </w:r>
      <w:r>
        <w:rPr>
          <w:w w:val="99"/>
          <w:sz w:val="25"/>
          <w:vertAlign w:val="baseline"/>
        </w:rPr>
        <w:t>e</w:t>
      </w:r>
      <w:r>
        <w:rPr>
          <w:spacing w:val="1"/>
          <w:w w:val="99"/>
          <w:sz w:val="25"/>
          <w:vertAlign w:val="baseline"/>
        </w:rPr>
        <w:t>i</w:t>
      </w:r>
      <w:r>
        <w:rPr>
          <w:w w:val="99"/>
          <w:sz w:val="25"/>
          <w:vertAlign w:val="baseline"/>
        </w:rPr>
        <w:t>ty</w:t>
      </w:r>
      <w:r>
        <w:rPr>
          <w:sz w:val="25"/>
          <w:vertAlign w:val="baseline"/>
        </w:rPr>
        <w:t> </w:t>
      </w:r>
      <w:r>
        <w:rPr>
          <w:spacing w:val="-3"/>
          <w:sz w:val="25"/>
          <w:vertAlign w:val="baseline"/>
        </w:rPr>
        <w:t> </w:t>
      </w:r>
      <w:r>
        <w:rPr>
          <w:w w:val="99"/>
          <w:sz w:val="25"/>
          <w:vertAlign w:val="baseline"/>
        </w:rPr>
        <w:t>(</w:t>
      </w:r>
      <w:r>
        <w:rPr>
          <w:spacing w:val="4"/>
          <w:w w:val="33"/>
          <w:sz w:val="25"/>
          <w:vertAlign w:val="baseline"/>
        </w:rPr>
        <w:t>―</w:t>
      </w:r>
      <w:r>
        <w:rPr>
          <w:b/>
          <w:w w:val="99"/>
          <w:sz w:val="25"/>
          <w:vertAlign w:val="baseline"/>
        </w:rPr>
        <w:t>Bha</w:t>
      </w:r>
      <w:r>
        <w:rPr>
          <w:b/>
          <w:spacing w:val="-1"/>
          <w:w w:val="99"/>
          <w:sz w:val="25"/>
          <w:vertAlign w:val="baseline"/>
        </w:rPr>
        <w:t>g</w:t>
      </w:r>
      <w:r>
        <w:rPr>
          <w:b/>
          <w:spacing w:val="4"/>
          <w:w w:val="99"/>
          <w:sz w:val="25"/>
          <w:vertAlign w:val="baseline"/>
        </w:rPr>
        <w:t>w</w:t>
      </w:r>
      <w:r>
        <w:rPr>
          <w:b/>
          <w:w w:val="99"/>
          <w:sz w:val="25"/>
          <w:vertAlign w:val="baseline"/>
        </w:rPr>
        <w:t>an</w:t>
      </w:r>
      <w:r>
        <w:rPr>
          <w:b/>
          <w:sz w:val="25"/>
          <w:vertAlign w:val="baseline"/>
        </w:rPr>
        <w:t> </w:t>
      </w:r>
      <w:r>
        <w:rPr>
          <w:b/>
          <w:spacing w:val="1"/>
          <w:sz w:val="25"/>
          <w:vertAlign w:val="baseline"/>
        </w:rPr>
        <w:t> </w:t>
      </w:r>
      <w:r>
        <w:rPr>
          <w:b/>
          <w:spacing w:val="-1"/>
          <w:w w:val="99"/>
          <w:sz w:val="25"/>
          <w:vertAlign w:val="baseline"/>
        </w:rPr>
        <w:t>S</w:t>
      </w:r>
      <w:r>
        <w:rPr>
          <w:b/>
          <w:w w:val="99"/>
          <w:sz w:val="25"/>
          <w:vertAlign w:val="baseline"/>
        </w:rPr>
        <w:t>h</w:t>
      </w:r>
      <w:r>
        <w:rPr>
          <w:b/>
          <w:spacing w:val="-1"/>
          <w:w w:val="99"/>
          <w:sz w:val="25"/>
          <w:vertAlign w:val="baseline"/>
        </w:rPr>
        <w:t>r</w:t>
      </w:r>
      <w:r>
        <w:rPr>
          <w:b/>
          <w:w w:val="99"/>
          <w:sz w:val="25"/>
          <w:vertAlign w:val="baseline"/>
        </w:rPr>
        <w:t>i</w:t>
      </w:r>
      <w:r>
        <w:rPr>
          <w:b/>
          <w:sz w:val="25"/>
          <w:vertAlign w:val="baseline"/>
        </w:rPr>
        <w:t>  </w:t>
      </w:r>
      <w:r>
        <w:rPr>
          <w:b/>
          <w:w w:val="99"/>
          <w:sz w:val="25"/>
          <w:vertAlign w:val="baseline"/>
        </w:rPr>
        <w:t>Ram</w:t>
      </w:r>
      <w:r>
        <w:rPr>
          <w:b/>
          <w:sz w:val="25"/>
          <w:vertAlign w:val="baseline"/>
        </w:rPr>
        <w:t> </w:t>
      </w:r>
      <w:r>
        <w:rPr>
          <w:b/>
          <w:spacing w:val="1"/>
          <w:sz w:val="25"/>
          <w:vertAlign w:val="baseline"/>
        </w:rPr>
        <w:t> </w:t>
      </w:r>
      <w:r>
        <w:rPr>
          <w:b/>
          <w:spacing w:val="-1"/>
          <w:w w:val="99"/>
          <w:sz w:val="25"/>
          <w:vertAlign w:val="baseline"/>
        </w:rPr>
        <w:t>V</w:t>
      </w:r>
      <w:r>
        <w:rPr>
          <w:b/>
          <w:w w:val="99"/>
          <w:sz w:val="25"/>
          <w:vertAlign w:val="baseline"/>
        </w:rPr>
        <w:t>i</w:t>
      </w:r>
      <w:r>
        <w:rPr>
          <w:b/>
          <w:spacing w:val="-1"/>
          <w:w w:val="99"/>
          <w:sz w:val="25"/>
          <w:vertAlign w:val="baseline"/>
        </w:rPr>
        <w:t>r</w:t>
      </w:r>
      <w:r>
        <w:rPr>
          <w:b/>
          <w:w w:val="99"/>
          <w:sz w:val="25"/>
          <w:vertAlign w:val="baseline"/>
        </w:rPr>
        <w:t>a</w:t>
      </w:r>
      <w:r>
        <w:rPr>
          <w:b/>
          <w:spacing w:val="2"/>
          <w:w w:val="99"/>
          <w:sz w:val="25"/>
          <w:vertAlign w:val="baseline"/>
        </w:rPr>
        <w:t>j</w:t>
      </w:r>
      <w:r>
        <w:rPr>
          <w:b/>
          <w:spacing w:val="-1"/>
          <w:w w:val="99"/>
          <w:sz w:val="25"/>
          <w:vertAlign w:val="baseline"/>
        </w:rPr>
        <w:t>m</w:t>
      </w:r>
      <w:r>
        <w:rPr>
          <w:b/>
          <w:w w:val="99"/>
          <w:sz w:val="25"/>
          <w:vertAlign w:val="baseline"/>
        </w:rPr>
        <w:t>a</w:t>
      </w:r>
      <w:r>
        <w:rPr>
          <w:b/>
          <w:spacing w:val="4"/>
          <w:w w:val="99"/>
          <w:sz w:val="25"/>
          <w:vertAlign w:val="baseline"/>
        </w:rPr>
        <w:t>n</w:t>
      </w:r>
      <w:r>
        <w:rPr>
          <w:w w:val="80"/>
          <w:sz w:val="25"/>
          <w:vertAlign w:val="baseline"/>
        </w:rPr>
        <w:t>‖</w:t>
      </w:r>
      <w:r>
        <w:rPr>
          <w:w w:val="99"/>
          <w:sz w:val="25"/>
          <w:vertAlign w:val="baseline"/>
        </w:rPr>
        <w:t>)</w:t>
      </w:r>
      <w:r>
        <w:rPr>
          <w:sz w:val="25"/>
          <w:vertAlign w:val="baseline"/>
        </w:rPr>
        <w:t>  </w:t>
      </w:r>
      <w:r>
        <w:rPr>
          <w:spacing w:val="-1"/>
          <w:w w:val="99"/>
          <w:sz w:val="25"/>
          <w:vertAlign w:val="baseline"/>
        </w:rPr>
        <w:t>a</w:t>
      </w:r>
      <w:r>
        <w:rPr>
          <w:w w:val="99"/>
          <w:sz w:val="25"/>
          <w:vertAlign w:val="baseline"/>
        </w:rPr>
        <w:t>nd</w:t>
      </w:r>
      <w:r>
        <w:rPr>
          <w:sz w:val="25"/>
          <w:vertAlign w:val="baseline"/>
        </w:rPr>
        <w:t>  </w:t>
      </w:r>
      <w:r>
        <w:rPr>
          <w:w w:val="99"/>
          <w:sz w:val="25"/>
          <w:vertAlign w:val="baseline"/>
        </w:rPr>
        <w:t>the</w:t>
      </w:r>
      <w:r>
        <w:rPr>
          <w:sz w:val="25"/>
          <w:vertAlign w:val="baseline"/>
        </w:rPr>
        <w:t>  </w:t>
      </w:r>
      <w:r>
        <w:rPr>
          <w:spacing w:val="-1"/>
          <w:w w:val="99"/>
          <w:sz w:val="25"/>
          <w:vertAlign w:val="baseline"/>
        </w:rPr>
        <w:t>bi</w:t>
      </w:r>
      <w:r>
        <w:rPr>
          <w:w w:val="99"/>
          <w:sz w:val="25"/>
          <w:vertAlign w:val="baseline"/>
        </w:rPr>
        <w:t>rt</w:t>
      </w:r>
      <w:r>
        <w:rPr>
          <w:spacing w:val="3"/>
          <w:w w:val="99"/>
          <w:sz w:val="25"/>
          <w:vertAlign w:val="baseline"/>
        </w:rPr>
        <w:t>h</w:t>
      </w:r>
      <w:r>
        <w:rPr>
          <w:w w:val="99"/>
          <w:sz w:val="25"/>
          <w:vertAlign w:val="baseline"/>
        </w:rPr>
        <w:t>-</w:t>
      </w:r>
      <w:r>
        <w:rPr>
          <w:w w:val="99"/>
          <w:sz w:val="25"/>
          <w:vertAlign w:val="baseline"/>
        </w:rPr>
        <w:t>place </w:t>
      </w:r>
      <w:r>
        <w:rPr>
          <w:w w:val="49"/>
          <w:sz w:val="25"/>
          <w:vertAlign w:val="baseline"/>
        </w:rPr>
        <w:t>(</w:t>
      </w:r>
      <w:r>
        <w:rPr>
          <w:spacing w:val="5"/>
          <w:w w:val="49"/>
          <w:sz w:val="25"/>
          <w:vertAlign w:val="baseline"/>
        </w:rPr>
        <w:t>―</w:t>
      </w:r>
      <w:r>
        <w:rPr>
          <w:b/>
          <w:spacing w:val="-8"/>
          <w:w w:val="99"/>
          <w:sz w:val="25"/>
          <w:vertAlign w:val="baseline"/>
        </w:rPr>
        <w:t>A</w:t>
      </w:r>
      <w:r>
        <w:rPr>
          <w:b/>
          <w:w w:val="99"/>
          <w:sz w:val="25"/>
          <w:vertAlign w:val="baseline"/>
        </w:rPr>
        <w:t>s</w:t>
      </w:r>
      <w:r>
        <w:rPr>
          <w:b/>
          <w:spacing w:val="1"/>
          <w:w w:val="99"/>
          <w:sz w:val="25"/>
          <w:vertAlign w:val="baseline"/>
        </w:rPr>
        <w:t>t</w:t>
      </w:r>
      <w:r>
        <w:rPr>
          <w:b/>
          <w:w w:val="99"/>
          <w:sz w:val="25"/>
          <w:vertAlign w:val="baseline"/>
        </w:rPr>
        <w:t>h</w:t>
      </w:r>
      <w:r>
        <w:rPr>
          <w:b/>
          <w:w w:val="99"/>
          <w:sz w:val="25"/>
          <w:vertAlign w:val="baseline"/>
        </w:rPr>
        <w:t>an</w:t>
      </w:r>
      <w:r>
        <w:rPr>
          <w:b/>
          <w:sz w:val="25"/>
          <w:vertAlign w:val="baseline"/>
        </w:rPr>
        <w:t> </w:t>
      </w:r>
      <w:r>
        <w:rPr>
          <w:b/>
          <w:spacing w:val="1"/>
          <w:sz w:val="25"/>
          <w:vertAlign w:val="baseline"/>
        </w:rPr>
        <w:t> </w:t>
      </w:r>
      <w:r>
        <w:rPr>
          <w:b/>
          <w:spacing w:val="-1"/>
          <w:w w:val="99"/>
          <w:sz w:val="25"/>
          <w:vertAlign w:val="baseline"/>
        </w:rPr>
        <w:t>S</w:t>
      </w:r>
      <w:r>
        <w:rPr>
          <w:b/>
          <w:w w:val="99"/>
          <w:sz w:val="25"/>
          <w:vertAlign w:val="baseline"/>
        </w:rPr>
        <w:t>h</w:t>
      </w:r>
      <w:r>
        <w:rPr>
          <w:b/>
          <w:spacing w:val="-1"/>
          <w:w w:val="99"/>
          <w:sz w:val="25"/>
          <w:vertAlign w:val="baseline"/>
        </w:rPr>
        <w:t>r</w:t>
      </w:r>
      <w:r>
        <w:rPr>
          <w:b/>
          <w:w w:val="99"/>
          <w:sz w:val="25"/>
          <w:vertAlign w:val="baseline"/>
        </w:rPr>
        <w:t>i</w:t>
      </w:r>
      <w:r>
        <w:rPr>
          <w:b/>
          <w:sz w:val="25"/>
          <w:vertAlign w:val="baseline"/>
        </w:rPr>
        <w:t>  </w:t>
      </w:r>
      <w:r>
        <w:rPr>
          <w:b/>
          <w:w w:val="99"/>
          <w:sz w:val="25"/>
          <w:vertAlign w:val="baseline"/>
        </w:rPr>
        <w:t>Ram</w:t>
      </w:r>
      <w:r>
        <w:rPr>
          <w:b/>
          <w:sz w:val="25"/>
          <w:vertAlign w:val="baseline"/>
        </w:rPr>
        <w:t> </w:t>
      </w:r>
      <w:r>
        <w:rPr>
          <w:b/>
          <w:spacing w:val="4"/>
          <w:sz w:val="25"/>
          <w:vertAlign w:val="baseline"/>
        </w:rPr>
        <w:t> </w:t>
      </w:r>
      <w:r>
        <w:rPr>
          <w:b/>
          <w:color w:val="000009"/>
          <w:w w:val="99"/>
          <w:sz w:val="25"/>
          <w:vertAlign w:val="baseline"/>
        </w:rPr>
        <w:t>Ja</w:t>
      </w:r>
      <w:r>
        <w:rPr>
          <w:b/>
          <w:color w:val="000009"/>
          <w:w w:val="99"/>
          <w:sz w:val="25"/>
          <w:vertAlign w:val="baseline"/>
        </w:rPr>
        <w:t>n</w:t>
      </w:r>
      <w:r>
        <w:rPr>
          <w:b/>
          <w:color w:val="000009"/>
          <w:w w:val="99"/>
          <w:sz w:val="25"/>
          <w:vertAlign w:val="baseline"/>
        </w:rPr>
        <w:t>am</w:t>
      </w:r>
      <w:r>
        <w:rPr>
          <w:b/>
          <w:color w:val="000009"/>
          <w:sz w:val="25"/>
          <w:vertAlign w:val="baseline"/>
        </w:rPr>
        <w:t>  </w:t>
      </w:r>
      <w:r>
        <w:rPr>
          <w:b/>
          <w:w w:val="99"/>
          <w:sz w:val="25"/>
          <w:vertAlign w:val="baseline"/>
        </w:rPr>
        <w:t>Bh</w:t>
      </w:r>
      <w:r>
        <w:rPr>
          <w:b/>
          <w:w w:val="99"/>
          <w:sz w:val="25"/>
          <w:vertAlign w:val="baseline"/>
        </w:rPr>
        <w:t>u</w:t>
      </w:r>
      <w:r>
        <w:rPr>
          <w:b/>
          <w:spacing w:val="-1"/>
          <w:w w:val="99"/>
          <w:sz w:val="25"/>
          <w:vertAlign w:val="baseline"/>
        </w:rPr>
        <w:t>m</w:t>
      </w:r>
      <w:r>
        <w:rPr>
          <w:b/>
          <w:w w:val="99"/>
          <w:sz w:val="25"/>
          <w:vertAlign w:val="baseline"/>
        </w:rPr>
        <w:t>i,</w:t>
      </w:r>
      <w:r>
        <w:rPr>
          <w:b/>
          <w:sz w:val="25"/>
          <w:vertAlign w:val="baseline"/>
        </w:rPr>
        <w:t> </w:t>
      </w:r>
      <w:r>
        <w:rPr>
          <w:b/>
          <w:spacing w:val="5"/>
          <w:sz w:val="25"/>
          <w:vertAlign w:val="baseline"/>
        </w:rPr>
        <w:t> </w:t>
      </w:r>
      <w:r>
        <w:rPr>
          <w:b/>
          <w:spacing w:val="-3"/>
          <w:w w:val="99"/>
          <w:sz w:val="25"/>
          <w:vertAlign w:val="baseline"/>
        </w:rPr>
        <w:t>A</w:t>
      </w:r>
      <w:r>
        <w:rPr>
          <w:b/>
          <w:w w:val="99"/>
          <w:sz w:val="25"/>
          <w:vertAlign w:val="baseline"/>
        </w:rPr>
        <w:t>y</w:t>
      </w:r>
      <w:r>
        <w:rPr>
          <w:b/>
          <w:spacing w:val="1"/>
          <w:w w:val="99"/>
          <w:sz w:val="25"/>
          <w:vertAlign w:val="baseline"/>
        </w:rPr>
        <w:t>o</w:t>
      </w:r>
      <w:r>
        <w:rPr>
          <w:b/>
          <w:w w:val="99"/>
          <w:sz w:val="25"/>
          <w:vertAlign w:val="baseline"/>
        </w:rPr>
        <w:t>d</w:t>
      </w:r>
      <w:r>
        <w:rPr>
          <w:b/>
          <w:spacing w:val="3"/>
          <w:w w:val="99"/>
          <w:sz w:val="25"/>
          <w:vertAlign w:val="baseline"/>
        </w:rPr>
        <w:t>h</w:t>
      </w:r>
      <w:r>
        <w:rPr>
          <w:b/>
          <w:spacing w:val="-7"/>
          <w:w w:val="99"/>
          <w:sz w:val="25"/>
          <w:vertAlign w:val="baseline"/>
        </w:rPr>
        <w:t>y</w:t>
      </w:r>
      <w:r>
        <w:rPr>
          <w:b/>
          <w:spacing w:val="2"/>
          <w:w w:val="99"/>
          <w:sz w:val="25"/>
          <w:vertAlign w:val="baseline"/>
        </w:rPr>
        <w:t>a</w:t>
      </w:r>
      <w:r>
        <w:rPr>
          <w:w w:val="80"/>
          <w:sz w:val="25"/>
          <w:vertAlign w:val="baseline"/>
        </w:rPr>
        <w:t>‖</w:t>
      </w:r>
      <w:r>
        <w:rPr>
          <w:w w:val="99"/>
          <w:sz w:val="25"/>
          <w:vertAlign w:val="baseline"/>
        </w:rPr>
        <w:t>),</w:t>
      </w:r>
      <w:r>
        <w:rPr>
          <w:sz w:val="25"/>
          <w:vertAlign w:val="baseline"/>
        </w:rPr>
        <w:t>  </w:t>
      </w:r>
      <w:r>
        <w:rPr>
          <w:w w:val="99"/>
          <w:sz w:val="25"/>
          <w:vertAlign w:val="baseline"/>
        </w:rPr>
        <w:t>th</w:t>
      </w:r>
      <w:r>
        <w:rPr>
          <w:spacing w:val="1"/>
          <w:w w:val="99"/>
          <w:sz w:val="25"/>
          <w:vertAlign w:val="baseline"/>
        </w:rPr>
        <w:t>r</w:t>
      </w:r>
      <w:r>
        <w:rPr>
          <w:spacing w:val="-1"/>
          <w:w w:val="99"/>
          <w:sz w:val="25"/>
          <w:vertAlign w:val="baseline"/>
        </w:rPr>
        <w:t>o</w:t>
      </w:r>
      <w:r>
        <w:rPr>
          <w:w w:val="99"/>
          <w:sz w:val="25"/>
          <w:vertAlign w:val="baseline"/>
        </w:rPr>
        <w:t>u</w:t>
      </w:r>
      <w:r>
        <w:rPr>
          <w:spacing w:val="-1"/>
          <w:w w:val="99"/>
          <w:sz w:val="25"/>
          <w:vertAlign w:val="baseline"/>
        </w:rPr>
        <w:t>g</w:t>
      </w:r>
      <w:r>
        <w:rPr>
          <w:w w:val="99"/>
          <w:sz w:val="25"/>
          <w:vertAlign w:val="baseline"/>
        </w:rPr>
        <w:t>h</w:t>
      </w:r>
      <w:r>
        <w:rPr>
          <w:sz w:val="25"/>
          <w:vertAlign w:val="baseline"/>
        </w:rPr>
        <w:t> </w:t>
      </w:r>
      <w:r>
        <w:rPr>
          <w:spacing w:val="1"/>
          <w:sz w:val="25"/>
          <w:vertAlign w:val="baseline"/>
        </w:rPr>
        <w:t> </w:t>
      </w:r>
      <w:r>
        <w:rPr>
          <w:w w:val="99"/>
          <w:sz w:val="25"/>
          <w:vertAlign w:val="baseline"/>
        </w:rPr>
        <w:t>a</w:t>
      </w:r>
      <w:r>
        <w:rPr>
          <w:sz w:val="25"/>
          <w:vertAlign w:val="baseline"/>
        </w:rPr>
        <w:t>  </w:t>
      </w:r>
      <w:r>
        <w:rPr>
          <w:w w:val="99"/>
          <w:sz w:val="25"/>
          <w:vertAlign w:val="baseline"/>
        </w:rPr>
        <w:t>ne</w:t>
      </w:r>
      <w:r>
        <w:rPr>
          <w:spacing w:val="-3"/>
          <w:w w:val="99"/>
          <w:sz w:val="25"/>
          <w:vertAlign w:val="baseline"/>
        </w:rPr>
        <w:t>x</w:t>
      </w:r>
      <w:r>
        <w:rPr>
          <w:w w:val="99"/>
          <w:sz w:val="25"/>
          <w:vertAlign w:val="baseline"/>
        </w:rPr>
        <w:t>t</w:t>
      </w:r>
      <w:r>
        <w:rPr>
          <w:sz w:val="25"/>
          <w:vertAlign w:val="baseline"/>
        </w:rPr>
        <w:t>  </w:t>
      </w:r>
      <w:r>
        <w:rPr>
          <w:w w:val="99"/>
          <w:sz w:val="25"/>
          <w:vertAlign w:val="baseline"/>
        </w:rPr>
        <w:t>fr</w:t>
      </w:r>
      <w:r>
        <w:rPr>
          <w:w w:val="99"/>
          <w:sz w:val="25"/>
          <w:vertAlign w:val="baseline"/>
        </w:rPr>
        <w:t>iend</w:t>
      </w:r>
      <w:r>
        <w:rPr>
          <w:sz w:val="25"/>
          <w:vertAlign w:val="baseline"/>
        </w:rPr>
        <w:t>  </w:t>
      </w:r>
      <w:r>
        <w:rPr>
          <w:w w:val="99"/>
          <w:sz w:val="25"/>
          <w:vertAlign w:val="baseline"/>
        </w:rPr>
        <w:t>for</w:t>
      </w:r>
      <w:r>
        <w:rPr>
          <w:sz w:val="25"/>
          <w:vertAlign w:val="baseline"/>
        </w:rPr>
        <w:t> </w:t>
      </w:r>
      <w:r>
        <w:rPr>
          <w:spacing w:val="1"/>
          <w:sz w:val="25"/>
          <w:vertAlign w:val="baseline"/>
        </w:rPr>
        <w:t> </w:t>
      </w:r>
      <w:r>
        <w:rPr>
          <w:w w:val="99"/>
          <w:sz w:val="25"/>
          <w:vertAlign w:val="baseline"/>
        </w:rPr>
        <w:t>a </w:t>
      </w:r>
      <w:r>
        <w:rPr>
          <w:sz w:val="25"/>
          <w:vertAlign w:val="baseline"/>
        </w:rPr>
        <w:t>declaration of title to the disputed premises and to restrain the defendants from interfering with or raising any objection to the construction of a temple. Suit 5 was tried with the other</w:t>
      </w:r>
      <w:r>
        <w:rPr>
          <w:spacing w:val="-3"/>
          <w:sz w:val="25"/>
          <w:vertAlign w:val="baseline"/>
        </w:rPr>
        <w:t> </w:t>
      </w:r>
      <w:r>
        <w:rPr>
          <w:sz w:val="25"/>
          <w:vertAlign w:val="baseline"/>
        </w:rPr>
        <w:t>suits.</w:t>
      </w:r>
    </w:p>
    <w:p>
      <w:pPr>
        <w:pStyle w:val="BodyText"/>
        <w:spacing w:before="3"/>
      </w:pPr>
    </w:p>
    <w:p>
      <w:pPr>
        <w:pStyle w:val="ListParagraph"/>
        <w:numPr>
          <w:ilvl w:val="0"/>
          <w:numId w:val="3"/>
        </w:numPr>
        <w:tabs>
          <w:tab w:pos="1221" w:val="left" w:leader="none"/>
        </w:tabs>
        <w:spacing w:line="480" w:lineRule="auto" w:before="0" w:after="0"/>
        <w:ind w:left="500" w:right="437" w:firstLine="0"/>
        <w:jc w:val="both"/>
        <w:rPr>
          <w:sz w:val="25"/>
        </w:rPr>
      </w:pPr>
      <w:r>
        <w:rPr>
          <w:sz w:val="25"/>
        </w:rPr>
        <w:t>On 10 July 1989, all suits were transferred to the High Court of Judicature at Allahabad. On 21 July 1989, a three judge Bench was constituted by the Chief Justice of the High Court for the trial of the suits. On an application by the State  of Uttar Pradesh, the High Court passed an interim order on 14 August 1989, directing the parties to maintain </w:t>
      </w:r>
      <w:r>
        <w:rPr>
          <w:i/>
          <w:sz w:val="25"/>
        </w:rPr>
        <w:t>status quo </w:t>
      </w:r>
      <w:r>
        <w:rPr>
          <w:sz w:val="25"/>
        </w:rPr>
        <w:t>with respect to the property in</w:t>
      </w:r>
      <w:r>
        <w:rPr>
          <w:spacing w:val="-21"/>
          <w:sz w:val="25"/>
        </w:rPr>
        <w:t> </w:t>
      </w:r>
      <w:r>
        <w:rPr>
          <w:sz w:val="25"/>
        </w:rPr>
        <w:t>dispute.</w:t>
      </w:r>
    </w:p>
    <w:p>
      <w:pPr>
        <w:pStyle w:val="BodyText"/>
        <w:spacing w:before="1"/>
      </w:pPr>
    </w:p>
    <w:p>
      <w:pPr>
        <w:pStyle w:val="ListParagraph"/>
        <w:numPr>
          <w:ilvl w:val="0"/>
          <w:numId w:val="3"/>
        </w:numPr>
        <w:tabs>
          <w:tab w:pos="1221" w:val="left" w:leader="none"/>
        </w:tabs>
        <w:spacing w:line="480" w:lineRule="auto" w:before="0" w:after="0"/>
        <w:ind w:left="500" w:right="433" w:firstLine="0"/>
        <w:jc w:val="both"/>
        <w:rPr>
          <w:sz w:val="25"/>
        </w:rPr>
      </w:pPr>
      <w:r>
        <w:rPr>
          <w:sz w:val="25"/>
        </w:rPr>
        <w:t>During the pendency of the proceedings, the State of Uttar Pradesh acquired an </w:t>
      </w:r>
      <w:r>
        <w:rPr>
          <w:color w:val="000009"/>
          <w:sz w:val="25"/>
        </w:rPr>
        <w:t>area </w:t>
      </w:r>
      <w:r>
        <w:rPr>
          <w:sz w:val="25"/>
        </w:rPr>
        <w:t>of 2.77 acres comprising of the disputed premises and certain adjoining areas. This was effected by notifications </w:t>
      </w:r>
      <w:r>
        <w:rPr>
          <w:color w:val="000009"/>
          <w:sz w:val="25"/>
        </w:rPr>
        <w:t>dated </w:t>
      </w:r>
      <w:r>
        <w:rPr>
          <w:sz w:val="25"/>
        </w:rPr>
        <w:t>7 October 1991 and 10 October 1991 under Sections 4(1), 6 and 17(4) of the Land Acquisition Act 1894 </w:t>
      </w:r>
      <w:r>
        <w:rPr>
          <w:w w:val="49"/>
          <w:sz w:val="25"/>
        </w:rPr>
        <w:t>(―</w:t>
      </w:r>
      <w:r>
        <w:rPr>
          <w:b/>
          <w:w w:val="99"/>
          <w:sz w:val="25"/>
        </w:rPr>
        <w:t>L</w:t>
      </w:r>
      <w:r>
        <w:rPr>
          <w:b/>
          <w:w w:val="99"/>
          <w:sz w:val="25"/>
        </w:rPr>
        <w:t>a</w:t>
      </w:r>
      <w:r>
        <w:rPr>
          <w:b/>
          <w:spacing w:val="-1"/>
          <w:w w:val="99"/>
          <w:sz w:val="25"/>
        </w:rPr>
        <w:t>n</w:t>
      </w:r>
      <w:r>
        <w:rPr>
          <w:b/>
          <w:w w:val="99"/>
          <w:sz w:val="25"/>
        </w:rPr>
        <w:t>d</w:t>
      </w:r>
      <w:r>
        <w:rPr>
          <w:b/>
          <w:sz w:val="25"/>
        </w:rPr>
        <w:t> </w:t>
      </w:r>
      <w:r>
        <w:rPr>
          <w:b/>
          <w:spacing w:val="-24"/>
          <w:sz w:val="25"/>
        </w:rPr>
        <w:t> </w:t>
      </w:r>
      <w:r>
        <w:rPr>
          <w:b/>
          <w:spacing w:val="-10"/>
          <w:w w:val="99"/>
          <w:sz w:val="25"/>
        </w:rPr>
        <w:t>A</w:t>
      </w:r>
      <w:r>
        <w:rPr>
          <w:b/>
          <w:w w:val="99"/>
          <w:sz w:val="25"/>
        </w:rPr>
        <w:t>c</w:t>
      </w:r>
      <w:r>
        <w:rPr>
          <w:b/>
          <w:spacing w:val="1"/>
          <w:w w:val="99"/>
          <w:sz w:val="25"/>
        </w:rPr>
        <w:t>q</w:t>
      </w:r>
      <w:r>
        <w:rPr>
          <w:b/>
          <w:w w:val="99"/>
          <w:sz w:val="25"/>
        </w:rPr>
        <w:t>u</w:t>
      </w:r>
      <w:r>
        <w:rPr>
          <w:b/>
          <w:w w:val="99"/>
          <w:sz w:val="25"/>
        </w:rPr>
        <w:t>isi</w:t>
      </w:r>
      <w:r>
        <w:rPr>
          <w:b/>
          <w:w w:val="99"/>
          <w:sz w:val="25"/>
        </w:rPr>
        <w:t>ti</w:t>
      </w:r>
      <w:r>
        <w:rPr>
          <w:b/>
          <w:spacing w:val="1"/>
          <w:w w:val="99"/>
          <w:sz w:val="25"/>
        </w:rPr>
        <w:t>o</w:t>
      </w:r>
      <w:r>
        <w:rPr>
          <w:b/>
          <w:w w:val="99"/>
          <w:sz w:val="25"/>
        </w:rPr>
        <w:t>n</w:t>
      </w:r>
      <w:r>
        <w:rPr>
          <w:b/>
          <w:sz w:val="25"/>
        </w:rPr>
        <w:t> </w:t>
      </w:r>
      <w:r>
        <w:rPr>
          <w:b/>
          <w:spacing w:val="-29"/>
          <w:sz w:val="25"/>
        </w:rPr>
        <w:t> </w:t>
      </w:r>
      <w:r>
        <w:rPr>
          <w:b/>
          <w:spacing w:val="-5"/>
          <w:w w:val="99"/>
          <w:sz w:val="25"/>
        </w:rPr>
        <w:t>A</w:t>
      </w:r>
      <w:r>
        <w:rPr>
          <w:b/>
          <w:spacing w:val="2"/>
          <w:w w:val="99"/>
          <w:sz w:val="25"/>
        </w:rPr>
        <w:t>c</w:t>
      </w:r>
      <w:r>
        <w:rPr>
          <w:b/>
          <w:spacing w:val="4"/>
          <w:w w:val="99"/>
          <w:sz w:val="25"/>
        </w:rPr>
        <w:t>t</w:t>
      </w:r>
      <w:r>
        <w:rPr>
          <w:w w:val="80"/>
          <w:sz w:val="25"/>
        </w:rPr>
        <w:t>‖</w:t>
      </w:r>
      <w:r>
        <w:rPr>
          <w:w w:val="99"/>
          <w:sz w:val="25"/>
        </w:rPr>
        <w:t>).</w:t>
      </w:r>
      <w:r>
        <w:rPr>
          <w:sz w:val="25"/>
        </w:rPr>
        <w:t> </w:t>
      </w:r>
      <w:r>
        <w:rPr>
          <w:spacing w:val="-29"/>
          <w:sz w:val="25"/>
        </w:rPr>
        <w:t> </w:t>
      </w:r>
      <w:r>
        <w:rPr>
          <w:w w:val="99"/>
          <w:sz w:val="25"/>
        </w:rPr>
        <w:t>T</w:t>
      </w:r>
      <w:r>
        <w:rPr>
          <w:spacing w:val="-1"/>
          <w:w w:val="99"/>
          <w:sz w:val="25"/>
        </w:rPr>
        <w:t>h</w:t>
      </w:r>
      <w:r>
        <w:rPr>
          <w:w w:val="99"/>
          <w:sz w:val="25"/>
        </w:rPr>
        <w:t>e</w:t>
      </w:r>
      <w:r>
        <w:rPr>
          <w:sz w:val="25"/>
        </w:rPr>
        <w:t> </w:t>
      </w:r>
      <w:r>
        <w:rPr>
          <w:spacing w:val="-29"/>
          <w:sz w:val="25"/>
        </w:rPr>
        <w:t> </w:t>
      </w:r>
      <w:r>
        <w:rPr>
          <w:spacing w:val="-1"/>
          <w:w w:val="99"/>
          <w:sz w:val="25"/>
        </w:rPr>
        <w:t>ac</w:t>
      </w:r>
      <w:r>
        <w:rPr>
          <w:w w:val="99"/>
          <w:sz w:val="25"/>
        </w:rPr>
        <w:t>q</w:t>
      </w:r>
      <w:r>
        <w:rPr>
          <w:spacing w:val="-1"/>
          <w:w w:val="99"/>
          <w:sz w:val="25"/>
        </w:rPr>
        <w:t>uisitio</w:t>
      </w:r>
      <w:r>
        <w:rPr>
          <w:w w:val="99"/>
          <w:sz w:val="25"/>
        </w:rPr>
        <w:t>n</w:t>
      </w:r>
      <w:r>
        <w:rPr>
          <w:sz w:val="25"/>
        </w:rPr>
        <w:t> </w:t>
      </w:r>
      <w:r>
        <w:rPr>
          <w:spacing w:val="-29"/>
          <w:sz w:val="25"/>
        </w:rPr>
        <w:t> </w:t>
      </w:r>
      <w:r>
        <w:rPr>
          <w:spacing w:val="-1"/>
          <w:w w:val="99"/>
          <w:sz w:val="25"/>
        </w:rPr>
        <w:t>wa</w:t>
      </w:r>
      <w:r>
        <w:rPr>
          <w:w w:val="99"/>
          <w:sz w:val="25"/>
        </w:rPr>
        <w:t>s</w:t>
      </w:r>
      <w:r>
        <w:rPr>
          <w:sz w:val="25"/>
        </w:rPr>
        <w:t> </w:t>
      </w:r>
      <w:r>
        <w:rPr>
          <w:spacing w:val="-29"/>
          <w:sz w:val="25"/>
        </w:rPr>
        <w:t> </w:t>
      </w:r>
      <w:r>
        <w:rPr>
          <w:w w:val="99"/>
          <w:sz w:val="25"/>
        </w:rPr>
        <w:t>for</w:t>
      </w:r>
      <w:r>
        <w:rPr>
          <w:sz w:val="25"/>
        </w:rPr>
        <w:t> </w:t>
      </w:r>
      <w:r>
        <w:rPr>
          <w:spacing w:val="-28"/>
          <w:sz w:val="25"/>
        </w:rPr>
        <w:t> </w:t>
      </w:r>
      <w:r>
        <w:rPr>
          <w:spacing w:val="-1"/>
          <w:w w:val="84"/>
          <w:sz w:val="25"/>
        </w:rPr>
        <w:t>‗de</w:t>
      </w:r>
      <w:r>
        <w:rPr>
          <w:spacing w:val="-2"/>
          <w:w w:val="84"/>
          <w:sz w:val="25"/>
        </w:rPr>
        <w:t>v</w:t>
      </w:r>
      <w:r>
        <w:rPr>
          <w:spacing w:val="-1"/>
          <w:w w:val="99"/>
          <w:sz w:val="25"/>
        </w:rPr>
        <w:t>elo</w:t>
      </w:r>
      <w:r>
        <w:rPr>
          <w:w w:val="99"/>
          <w:sz w:val="25"/>
        </w:rPr>
        <w:t>p</w:t>
      </w:r>
      <w:r>
        <w:rPr>
          <w:spacing w:val="3"/>
          <w:w w:val="99"/>
          <w:sz w:val="25"/>
        </w:rPr>
        <w:t>m</w:t>
      </w:r>
      <w:r>
        <w:rPr>
          <w:spacing w:val="-1"/>
          <w:w w:val="99"/>
          <w:sz w:val="25"/>
        </w:rPr>
        <w:t>e</w:t>
      </w:r>
      <w:r>
        <w:rPr>
          <w:w w:val="99"/>
          <w:sz w:val="25"/>
        </w:rPr>
        <w:t>nt</w:t>
      </w:r>
      <w:r>
        <w:rPr>
          <w:sz w:val="25"/>
        </w:rPr>
        <w:t> </w:t>
      </w:r>
      <w:r>
        <w:rPr>
          <w:spacing w:val="-29"/>
          <w:sz w:val="25"/>
        </w:rPr>
        <w:t> </w:t>
      </w:r>
      <w:r>
        <w:rPr>
          <w:spacing w:val="-1"/>
          <w:w w:val="99"/>
          <w:sz w:val="25"/>
        </w:rPr>
        <w:t>a</w:t>
      </w:r>
      <w:r>
        <w:rPr>
          <w:w w:val="99"/>
          <w:sz w:val="25"/>
        </w:rPr>
        <w:t>nd</w:t>
      </w:r>
      <w:r>
        <w:rPr>
          <w:sz w:val="25"/>
        </w:rPr>
        <w:t> </w:t>
      </w:r>
      <w:r>
        <w:rPr>
          <w:spacing w:val="-29"/>
          <w:sz w:val="25"/>
        </w:rPr>
        <w:t> </w:t>
      </w:r>
      <w:r>
        <w:rPr>
          <w:spacing w:val="-1"/>
          <w:w w:val="99"/>
          <w:sz w:val="25"/>
        </w:rPr>
        <w:t>p</w:t>
      </w:r>
      <w:r>
        <w:rPr>
          <w:w w:val="99"/>
          <w:sz w:val="25"/>
        </w:rPr>
        <w:t>r</w:t>
      </w:r>
      <w:r>
        <w:rPr>
          <w:spacing w:val="-1"/>
          <w:w w:val="99"/>
          <w:sz w:val="25"/>
        </w:rPr>
        <w:t>o</w:t>
      </w:r>
      <w:r>
        <w:rPr>
          <w:spacing w:val="-3"/>
          <w:w w:val="99"/>
          <w:sz w:val="25"/>
        </w:rPr>
        <w:t>v</w:t>
      </w:r>
      <w:r>
        <w:rPr>
          <w:spacing w:val="-1"/>
          <w:w w:val="99"/>
          <w:sz w:val="25"/>
        </w:rPr>
        <w:t>iding </w:t>
      </w:r>
      <w:r>
        <w:rPr>
          <w:sz w:val="25"/>
        </w:rPr>
        <w:t>amenities to pilgrims in Ayodhya‘. A Writ Petition was filed before the High Court challenging the acquisition. By a judgment and order dated 11 December 1992, the acquisition was set</w:t>
      </w:r>
      <w:r>
        <w:rPr>
          <w:spacing w:val="-3"/>
          <w:sz w:val="25"/>
        </w:rPr>
        <w:t> </w:t>
      </w:r>
      <w:r>
        <w:rPr>
          <w:sz w:val="25"/>
        </w:rPr>
        <w:t>aside.</w:t>
      </w:r>
    </w:p>
    <w:p>
      <w:pPr>
        <w:pStyle w:val="BodyText"/>
      </w:pPr>
    </w:p>
    <w:p>
      <w:pPr>
        <w:pStyle w:val="ListParagraph"/>
        <w:numPr>
          <w:ilvl w:val="0"/>
          <w:numId w:val="3"/>
        </w:numPr>
        <w:tabs>
          <w:tab w:pos="1221" w:val="left" w:leader="none"/>
        </w:tabs>
        <w:spacing w:line="480" w:lineRule="auto" w:before="0" w:after="0"/>
        <w:ind w:left="500" w:right="445" w:firstLine="0"/>
        <w:jc w:val="both"/>
        <w:rPr>
          <w:sz w:val="25"/>
        </w:rPr>
      </w:pPr>
      <w:r>
        <w:rPr/>
        <w:pict>
          <v:rect style="position:absolute;margin-left:72.024002pt;margin-top:92.384872pt;width:144.020pt;height:.599980pt;mso-position-horizontal-relative:page;mso-position-vertical-relative:paragraph;z-index:-15724544;mso-wrap-distance-left:0;mso-wrap-distance-right:0" filled="true" fillcolor="#000000" stroked="false">
            <v:fill type="solid"/>
            <w10:wrap type="topAndBottom"/>
          </v:rect>
        </w:pict>
      </w:r>
      <w:r>
        <w:rPr>
          <w:sz w:val="25"/>
        </w:rPr>
        <w:t>A </w:t>
      </w:r>
      <w:r>
        <w:rPr>
          <w:color w:val="000009"/>
          <w:sz w:val="25"/>
        </w:rPr>
        <w:t>substantial </w:t>
      </w:r>
      <w:r>
        <w:rPr>
          <w:sz w:val="25"/>
        </w:rPr>
        <w:t>change took place in the position at the site on 6 December 1992. A large crowd destroyed the mosque, boundary wall, and Ramchabutra. A makeshift</w:t>
      </w:r>
      <w:r>
        <w:rPr>
          <w:spacing w:val="13"/>
          <w:sz w:val="25"/>
        </w:rPr>
        <w:t> </w:t>
      </w:r>
      <w:r>
        <w:rPr>
          <w:sz w:val="25"/>
        </w:rPr>
        <w:t>structure</w:t>
      </w:r>
      <w:r>
        <w:rPr>
          <w:spacing w:val="13"/>
          <w:sz w:val="25"/>
        </w:rPr>
        <w:t> </w:t>
      </w:r>
      <w:r>
        <w:rPr>
          <w:sz w:val="25"/>
        </w:rPr>
        <w:t>of</w:t>
      </w:r>
      <w:r>
        <w:rPr>
          <w:spacing w:val="13"/>
          <w:sz w:val="25"/>
        </w:rPr>
        <w:t> </w:t>
      </w:r>
      <w:r>
        <w:rPr>
          <w:sz w:val="25"/>
        </w:rPr>
        <w:t>a</w:t>
      </w:r>
      <w:r>
        <w:rPr>
          <w:spacing w:val="14"/>
          <w:sz w:val="25"/>
        </w:rPr>
        <w:t> </w:t>
      </w:r>
      <w:r>
        <w:rPr>
          <w:sz w:val="25"/>
        </w:rPr>
        <w:t>temple</w:t>
      </w:r>
      <w:r>
        <w:rPr>
          <w:spacing w:val="13"/>
          <w:sz w:val="25"/>
        </w:rPr>
        <w:t> </w:t>
      </w:r>
      <w:r>
        <w:rPr>
          <w:sz w:val="25"/>
        </w:rPr>
        <w:t>was</w:t>
      </w:r>
      <w:r>
        <w:rPr>
          <w:spacing w:val="15"/>
          <w:sz w:val="25"/>
        </w:rPr>
        <w:t> </w:t>
      </w:r>
      <w:r>
        <w:rPr>
          <w:sz w:val="25"/>
        </w:rPr>
        <w:t>constructed</w:t>
      </w:r>
      <w:r>
        <w:rPr>
          <w:spacing w:val="13"/>
          <w:sz w:val="25"/>
        </w:rPr>
        <w:t> </w:t>
      </w:r>
      <w:r>
        <w:rPr>
          <w:sz w:val="25"/>
        </w:rPr>
        <w:t>at</w:t>
      </w:r>
      <w:r>
        <w:rPr>
          <w:spacing w:val="14"/>
          <w:sz w:val="25"/>
        </w:rPr>
        <w:t> </w:t>
      </w:r>
      <w:r>
        <w:rPr>
          <w:sz w:val="25"/>
        </w:rPr>
        <w:t>the</w:t>
      </w:r>
      <w:r>
        <w:rPr>
          <w:spacing w:val="14"/>
          <w:sz w:val="25"/>
        </w:rPr>
        <w:t> </w:t>
      </w:r>
      <w:r>
        <w:rPr>
          <w:sz w:val="25"/>
        </w:rPr>
        <w:t>place</w:t>
      </w:r>
      <w:r>
        <w:rPr>
          <w:spacing w:val="14"/>
          <w:sz w:val="25"/>
        </w:rPr>
        <w:t> </w:t>
      </w:r>
      <w:r>
        <w:rPr>
          <w:sz w:val="25"/>
        </w:rPr>
        <w:t>under</w:t>
      </w:r>
      <w:r>
        <w:rPr>
          <w:spacing w:val="15"/>
          <w:sz w:val="25"/>
        </w:rPr>
        <w:t> </w:t>
      </w:r>
      <w:r>
        <w:rPr>
          <w:sz w:val="25"/>
        </w:rPr>
        <w:t>the</w:t>
      </w:r>
      <w:r>
        <w:rPr>
          <w:spacing w:val="14"/>
          <w:sz w:val="25"/>
        </w:rPr>
        <w:t> </w:t>
      </w:r>
      <w:r>
        <w:rPr>
          <w:sz w:val="25"/>
        </w:rPr>
        <w:t>erstwhile</w:t>
      </w:r>
    </w:p>
    <w:p>
      <w:pPr>
        <w:spacing w:before="80"/>
        <w:ind w:left="500" w:right="0" w:firstLine="0"/>
        <w:jc w:val="left"/>
        <w:rPr>
          <w:sz w:val="18"/>
        </w:rPr>
      </w:pPr>
      <w:r>
        <w:rPr>
          <w:sz w:val="18"/>
          <w:vertAlign w:val="superscript"/>
        </w:rPr>
        <w:t>11</w:t>
      </w:r>
      <w:r>
        <w:rPr>
          <w:sz w:val="18"/>
          <w:vertAlign w:val="baseline"/>
        </w:rPr>
        <w:t> Regular Suit No. 236 of 1989 (subsequently renumbered as OOS No. 5 of 1989)</w:t>
      </w:r>
    </w:p>
    <w:p>
      <w:pPr>
        <w:spacing w:after="0"/>
        <w:jc w:val="left"/>
        <w:rPr>
          <w:sz w:val="18"/>
        </w:rPr>
        <w:sectPr>
          <w:pgSz w:w="11910" w:h="16840"/>
          <w:pgMar w:header="721" w:footer="1014" w:top="1300" w:bottom="1200" w:left="940" w:right="1000"/>
        </w:sectPr>
      </w:pPr>
    </w:p>
    <w:p>
      <w:pPr>
        <w:pStyle w:val="BodyText"/>
        <w:spacing w:before="124"/>
        <w:ind w:left="500"/>
      </w:pPr>
      <w:r>
        <w:rPr/>
        <w:t>central dome. The idols were placed there.</w:t>
      </w:r>
    </w:p>
    <w:p>
      <w:pPr>
        <w:pStyle w:val="BodyText"/>
        <w:rPr>
          <w:sz w:val="28"/>
        </w:rPr>
      </w:pPr>
    </w:p>
    <w:p>
      <w:pPr>
        <w:pStyle w:val="BodyText"/>
        <w:rPr>
          <w:sz w:val="28"/>
        </w:rPr>
      </w:pPr>
    </w:p>
    <w:p>
      <w:pPr>
        <w:pStyle w:val="Heading4"/>
        <w:spacing w:before="220"/>
        <w:jc w:val="left"/>
        <w:rPr>
          <w:i/>
        </w:rPr>
      </w:pPr>
      <w:r>
        <w:rPr>
          <w:i/>
        </w:rPr>
        <w:t>Acquisition by the Central Government and Ismail Faruqui‘s case</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The Central Government acquired an area of about 68 acres, including the premises in </w:t>
      </w:r>
      <w:r>
        <w:rPr>
          <w:color w:val="000009"/>
          <w:sz w:val="25"/>
        </w:rPr>
        <w:t>dispute</w:t>
      </w:r>
      <w:r>
        <w:rPr>
          <w:sz w:val="25"/>
        </w:rPr>
        <w:t>, by a legislation called the Acquisition of Certain Area at </w:t>
      </w:r>
      <w:r>
        <w:rPr>
          <w:spacing w:val="1"/>
          <w:w w:val="99"/>
          <w:sz w:val="25"/>
        </w:rPr>
        <w:t>A</w:t>
      </w:r>
      <w:r>
        <w:rPr>
          <w:spacing w:val="-3"/>
          <w:w w:val="99"/>
          <w:sz w:val="25"/>
        </w:rPr>
        <w:t>y</w:t>
      </w:r>
      <w:r>
        <w:rPr>
          <w:spacing w:val="-1"/>
          <w:w w:val="99"/>
          <w:sz w:val="25"/>
        </w:rPr>
        <w:t>o</w:t>
      </w:r>
      <w:r>
        <w:rPr>
          <w:w w:val="99"/>
          <w:sz w:val="25"/>
        </w:rPr>
        <w:t>d</w:t>
      </w:r>
      <w:r>
        <w:rPr>
          <w:spacing w:val="-1"/>
          <w:w w:val="99"/>
          <w:sz w:val="25"/>
        </w:rPr>
        <w:t>h</w:t>
      </w:r>
      <w:r>
        <w:rPr>
          <w:spacing w:val="-3"/>
          <w:w w:val="99"/>
          <w:sz w:val="25"/>
        </w:rPr>
        <w:t>y</w:t>
      </w:r>
      <w:r>
        <w:rPr>
          <w:w w:val="99"/>
          <w:sz w:val="25"/>
        </w:rPr>
        <w:t>a</w:t>
      </w:r>
      <w:r>
        <w:rPr>
          <w:sz w:val="25"/>
        </w:rPr>
        <w:t> </w:t>
      </w:r>
      <w:r>
        <w:rPr>
          <w:spacing w:val="33"/>
          <w:sz w:val="25"/>
        </w:rPr>
        <w:t> </w:t>
      </w:r>
      <w:r>
        <w:rPr>
          <w:spacing w:val="-1"/>
          <w:w w:val="99"/>
          <w:sz w:val="25"/>
        </w:rPr>
        <w:t>A</w:t>
      </w:r>
      <w:r>
        <w:rPr>
          <w:w w:val="99"/>
          <w:sz w:val="25"/>
        </w:rPr>
        <w:t>ct</w:t>
      </w:r>
      <w:r>
        <w:rPr>
          <w:sz w:val="25"/>
        </w:rPr>
        <w:t> </w:t>
      </w:r>
      <w:r>
        <w:rPr>
          <w:spacing w:val="31"/>
          <w:sz w:val="25"/>
        </w:rPr>
        <w:t> </w:t>
      </w:r>
      <w:r>
        <w:rPr>
          <w:spacing w:val="-1"/>
          <w:w w:val="99"/>
          <w:sz w:val="25"/>
        </w:rPr>
        <w:t>1</w:t>
      </w:r>
      <w:r>
        <w:rPr>
          <w:w w:val="99"/>
          <w:sz w:val="25"/>
        </w:rPr>
        <w:t>9</w:t>
      </w:r>
      <w:r>
        <w:rPr>
          <w:spacing w:val="-1"/>
          <w:w w:val="99"/>
          <w:sz w:val="25"/>
        </w:rPr>
        <w:t>9</w:t>
      </w:r>
      <w:r>
        <w:rPr>
          <w:w w:val="99"/>
          <w:sz w:val="25"/>
        </w:rPr>
        <w:t>3</w:t>
      </w:r>
      <w:r>
        <w:rPr>
          <w:sz w:val="25"/>
        </w:rPr>
        <w:t> </w:t>
      </w:r>
      <w:r>
        <w:rPr>
          <w:spacing w:val="34"/>
          <w:sz w:val="25"/>
        </w:rPr>
        <w:t> </w:t>
      </w:r>
      <w:r>
        <w:rPr>
          <w:w w:val="99"/>
          <w:sz w:val="25"/>
        </w:rPr>
        <w:t>(</w:t>
      </w:r>
      <w:r>
        <w:rPr>
          <w:spacing w:val="8"/>
          <w:w w:val="33"/>
          <w:sz w:val="25"/>
        </w:rPr>
        <w:t>―</w:t>
      </w:r>
      <w:r>
        <w:rPr>
          <w:b/>
          <w:spacing w:val="-5"/>
          <w:w w:val="99"/>
          <w:sz w:val="25"/>
        </w:rPr>
        <w:t>Ay</w:t>
      </w:r>
      <w:r>
        <w:rPr>
          <w:b/>
          <w:w w:val="99"/>
          <w:sz w:val="25"/>
        </w:rPr>
        <w:t>od</w:t>
      </w:r>
      <w:r>
        <w:rPr>
          <w:b/>
          <w:spacing w:val="3"/>
          <w:w w:val="99"/>
          <w:sz w:val="25"/>
        </w:rPr>
        <w:t>h</w:t>
      </w:r>
      <w:r>
        <w:rPr>
          <w:b/>
          <w:spacing w:val="-5"/>
          <w:w w:val="99"/>
          <w:sz w:val="25"/>
        </w:rPr>
        <w:t>y</w:t>
      </w:r>
      <w:r>
        <w:rPr>
          <w:b/>
          <w:w w:val="99"/>
          <w:sz w:val="25"/>
        </w:rPr>
        <w:t>a</w:t>
      </w:r>
      <w:r>
        <w:rPr>
          <w:b/>
          <w:sz w:val="25"/>
        </w:rPr>
        <w:t>  </w:t>
      </w:r>
      <w:r>
        <w:rPr>
          <w:b/>
          <w:spacing w:val="-30"/>
          <w:sz w:val="25"/>
        </w:rPr>
        <w:t> </w:t>
      </w:r>
      <w:r>
        <w:rPr>
          <w:b/>
          <w:spacing w:val="-8"/>
          <w:w w:val="99"/>
          <w:sz w:val="25"/>
        </w:rPr>
        <w:t>A</w:t>
      </w:r>
      <w:r>
        <w:rPr>
          <w:b/>
          <w:w w:val="99"/>
          <w:sz w:val="25"/>
        </w:rPr>
        <w:t>c</w:t>
      </w:r>
      <w:r>
        <w:rPr>
          <w:b/>
          <w:spacing w:val="1"/>
          <w:w w:val="99"/>
          <w:sz w:val="25"/>
        </w:rPr>
        <w:t>q</w:t>
      </w:r>
      <w:r>
        <w:rPr>
          <w:b/>
          <w:w w:val="99"/>
          <w:sz w:val="25"/>
        </w:rPr>
        <w:t>u</w:t>
      </w:r>
      <w:r>
        <w:rPr>
          <w:b/>
          <w:w w:val="99"/>
          <w:sz w:val="25"/>
        </w:rPr>
        <w:t>isi</w:t>
      </w:r>
      <w:r>
        <w:rPr>
          <w:b/>
          <w:w w:val="99"/>
          <w:sz w:val="25"/>
        </w:rPr>
        <w:t>ti</w:t>
      </w:r>
      <w:r>
        <w:rPr>
          <w:b/>
          <w:spacing w:val="1"/>
          <w:w w:val="99"/>
          <w:sz w:val="25"/>
        </w:rPr>
        <w:t>o</w:t>
      </w:r>
      <w:r>
        <w:rPr>
          <w:b/>
          <w:w w:val="99"/>
          <w:sz w:val="25"/>
        </w:rPr>
        <w:t>n</w:t>
      </w:r>
      <w:r>
        <w:rPr>
          <w:b/>
          <w:sz w:val="25"/>
        </w:rPr>
        <w:t>  </w:t>
      </w:r>
      <w:r>
        <w:rPr>
          <w:b/>
          <w:spacing w:val="-33"/>
          <w:sz w:val="25"/>
        </w:rPr>
        <w:t> </w:t>
      </w:r>
      <w:r>
        <w:rPr>
          <w:b/>
          <w:spacing w:val="-8"/>
          <w:w w:val="99"/>
          <w:sz w:val="25"/>
        </w:rPr>
        <w:t>A</w:t>
      </w:r>
      <w:r>
        <w:rPr>
          <w:b/>
          <w:w w:val="99"/>
          <w:sz w:val="25"/>
        </w:rPr>
        <w:t>ct</w:t>
      </w:r>
      <w:r>
        <w:rPr>
          <w:b/>
          <w:sz w:val="25"/>
        </w:rPr>
        <w:t> </w:t>
      </w:r>
      <w:r>
        <w:rPr>
          <w:b/>
          <w:spacing w:val="32"/>
          <w:sz w:val="25"/>
        </w:rPr>
        <w:t> </w:t>
      </w:r>
      <w:r>
        <w:rPr>
          <w:b/>
          <w:w w:val="99"/>
          <w:sz w:val="25"/>
        </w:rPr>
        <w:t>1993</w:t>
      </w:r>
      <w:r>
        <w:rPr>
          <w:w w:val="80"/>
          <w:sz w:val="25"/>
        </w:rPr>
        <w:t>‖</w:t>
      </w:r>
      <w:r>
        <w:rPr>
          <w:w w:val="99"/>
          <w:sz w:val="25"/>
        </w:rPr>
        <w:t>).</w:t>
      </w:r>
      <w:r>
        <w:rPr>
          <w:sz w:val="25"/>
        </w:rPr>
        <w:t> </w:t>
      </w:r>
      <w:r>
        <w:rPr>
          <w:spacing w:val="31"/>
          <w:sz w:val="25"/>
        </w:rPr>
        <w:t> </w:t>
      </w:r>
      <w:r>
        <w:rPr>
          <w:spacing w:val="-1"/>
          <w:w w:val="99"/>
          <w:sz w:val="25"/>
        </w:rPr>
        <w:t>Se</w:t>
      </w:r>
      <w:r>
        <w:rPr>
          <w:spacing w:val="2"/>
          <w:w w:val="99"/>
          <w:sz w:val="25"/>
        </w:rPr>
        <w:t>c</w:t>
      </w:r>
      <w:r>
        <w:rPr>
          <w:w w:val="99"/>
          <w:sz w:val="25"/>
        </w:rPr>
        <w:t>tions</w:t>
      </w:r>
      <w:r>
        <w:rPr>
          <w:sz w:val="25"/>
        </w:rPr>
        <w:t> </w:t>
      </w:r>
      <w:r>
        <w:rPr>
          <w:spacing w:val="31"/>
          <w:sz w:val="25"/>
        </w:rPr>
        <w:t> </w:t>
      </w:r>
      <w:r>
        <w:rPr>
          <w:w w:val="99"/>
          <w:sz w:val="25"/>
        </w:rPr>
        <w:t>3</w:t>
      </w:r>
      <w:r>
        <w:rPr>
          <w:sz w:val="25"/>
        </w:rPr>
        <w:t> </w:t>
      </w:r>
      <w:r>
        <w:rPr>
          <w:spacing w:val="31"/>
          <w:sz w:val="25"/>
        </w:rPr>
        <w:t> </w:t>
      </w:r>
      <w:r>
        <w:rPr>
          <w:spacing w:val="-1"/>
          <w:w w:val="99"/>
          <w:sz w:val="25"/>
        </w:rPr>
        <w:t>a</w:t>
      </w:r>
      <w:r>
        <w:rPr>
          <w:w w:val="99"/>
          <w:sz w:val="25"/>
        </w:rPr>
        <w:t>nd</w:t>
      </w:r>
      <w:r>
        <w:rPr>
          <w:sz w:val="25"/>
        </w:rPr>
        <w:t> </w:t>
      </w:r>
      <w:r>
        <w:rPr>
          <w:spacing w:val="31"/>
          <w:sz w:val="25"/>
        </w:rPr>
        <w:t> </w:t>
      </w:r>
      <w:r>
        <w:rPr>
          <w:w w:val="99"/>
          <w:sz w:val="25"/>
        </w:rPr>
        <w:t>4 </w:t>
      </w:r>
      <w:r>
        <w:rPr>
          <w:sz w:val="25"/>
        </w:rPr>
        <w:t>envisaged the abatement of all suits which were pending before the High Court. Simultaneously, the President of India made a reference to this Court under </w:t>
      </w:r>
      <w:r>
        <w:rPr>
          <w:spacing w:val="-1"/>
          <w:w w:val="99"/>
          <w:sz w:val="25"/>
        </w:rPr>
        <w:t>A</w:t>
      </w:r>
      <w:r>
        <w:rPr>
          <w:w w:val="99"/>
          <w:sz w:val="25"/>
        </w:rPr>
        <w:t>rticle</w:t>
      </w:r>
      <w:r>
        <w:rPr>
          <w:spacing w:val="19"/>
          <w:sz w:val="25"/>
        </w:rPr>
        <w:t> </w:t>
      </w:r>
      <w:r>
        <w:rPr>
          <w:spacing w:val="-1"/>
          <w:w w:val="99"/>
          <w:sz w:val="25"/>
        </w:rPr>
        <w:t>1</w:t>
      </w:r>
      <w:r>
        <w:rPr>
          <w:w w:val="99"/>
          <w:sz w:val="25"/>
        </w:rPr>
        <w:t>43</w:t>
      </w:r>
      <w:r>
        <w:rPr>
          <w:spacing w:val="19"/>
          <w:sz w:val="25"/>
        </w:rPr>
        <w:t> </w:t>
      </w:r>
      <w:r>
        <w:rPr>
          <w:spacing w:val="-1"/>
          <w:w w:val="99"/>
          <w:sz w:val="25"/>
        </w:rPr>
        <w:t>o</w:t>
      </w:r>
      <w:r>
        <w:rPr>
          <w:w w:val="99"/>
          <w:sz w:val="25"/>
        </w:rPr>
        <w:t>f</w:t>
      </w:r>
      <w:r>
        <w:rPr>
          <w:spacing w:val="19"/>
          <w:sz w:val="25"/>
        </w:rPr>
        <w:t> </w:t>
      </w:r>
      <w:r>
        <w:rPr>
          <w:w w:val="99"/>
          <w:sz w:val="25"/>
        </w:rPr>
        <w:t>the</w:t>
      </w:r>
      <w:r>
        <w:rPr>
          <w:spacing w:val="22"/>
          <w:sz w:val="25"/>
        </w:rPr>
        <w:t> </w:t>
      </w:r>
      <w:r>
        <w:rPr>
          <w:spacing w:val="-1"/>
          <w:w w:val="99"/>
          <w:sz w:val="25"/>
        </w:rPr>
        <w:t>C</w:t>
      </w:r>
      <w:r>
        <w:rPr>
          <w:spacing w:val="2"/>
          <w:w w:val="99"/>
          <w:sz w:val="25"/>
        </w:rPr>
        <w:t>o</w:t>
      </w:r>
      <w:r>
        <w:rPr>
          <w:spacing w:val="-1"/>
          <w:w w:val="99"/>
          <w:sz w:val="25"/>
        </w:rPr>
        <w:t>nstit</w:t>
      </w:r>
      <w:r>
        <w:rPr>
          <w:w w:val="99"/>
          <w:sz w:val="25"/>
        </w:rPr>
        <w:t>ution.</w:t>
      </w:r>
      <w:r>
        <w:rPr>
          <w:spacing w:val="19"/>
          <w:sz w:val="25"/>
        </w:rPr>
        <w:t> </w:t>
      </w:r>
      <w:r>
        <w:rPr>
          <w:w w:val="99"/>
          <w:sz w:val="25"/>
        </w:rPr>
        <w:t>T</w:t>
      </w:r>
      <w:r>
        <w:rPr>
          <w:spacing w:val="-1"/>
          <w:w w:val="99"/>
          <w:sz w:val="25"/>
        </w:rPr>
        <w:t>h</w:t>
      </w:r>
      <w:r>
        <w:rPr>
          <w:w w:val="99"/>
          <w:sz w:val="25"/>
        </w:rPr>
        <w:t>e</w:t>
      </w:r>
      <w:r>
        <w:rPr>
          <w:spacing w:val="19"/>
          <w:sz w:val="25"/>
        </w:rPr>
        <w:t> </w:t>
      </w:r>
      <w:r>
        <w:rPr>
          <w:w w:val="99"/>
          <w:sz w:val="25"/>
        </w:rPr>
        <w:t>r</w:t>
      </w:r>
      <w:r>
        <w:rPr>
          <w:spacing w:val="-1"/>
          <w:w w:val="99"/>
          <w:sz w:val="25"/>
        </w:rPr>
        <w:t>ef</w:t>
      </w:r>
      <w:r>
        <w:rPr>
          <w:w w:val="99"/>
          <w:sz w:val="25"/>
        </w:rPr>
        <w:t>er</w:t>
      </w:r>
      <w:r>
        <w:rPr>
          <w:spacing w:val="-3"/>
          <w:w w:val="99"/>
          <w:sz w:val="25"/>
        </w:rPr>
        <w:t>e</w:t>
      </w:r>
      <w:r>
        <w:rPr>
          <w:spacing w:val="-1"/>
          <w:w w:val="99"/>
          <w:sz w:val="25"/>
        </w:rPr>
        <w:t>nc</w:t>
      </w:r>
      <w:r>
        <w:rPr>
          <w:w w:val="99"/>
          <w:sz w:val="25"/>
        </w:rPr>
        <w:t>e</w:t>
      </w:r>
      <w:r>
        <w:rPr>
          <w:spacing w:val="19"/>
          <w:sz w:val="25"/>
        </w:rPr>
        <w:t> </w:t>
      </w:r>
      <w:r>
        <w:rPr>
          <w:spacing w:val="-1"/>
          <w:w w:val="99"/>
          <w:sz w:val="25"/>
        </w:rPr>
        <w:t>wa</w:t>
      </w:r>
      <w:r>
        <w:rPr>
          <w:w w:val="99"/>
          <w:sz w:val="25"/>
        </w:rPr>
        <w:t>s</w:t>
      </w:r>
      <w:r>
        <w:rPr>
          <w:spacing w:val="19"/>
          <w:sz w:val="25"/>
        </w:rPr>
        <w:t> </w:t>
      </w:r>
      <w:r>
        <w:rPr>
          <w:spacing w:val="-1"/>
          <w:w w:val="99"/>
          <w:sz w:val="25"/>
        </w:rPr>
        <w:t>o</w:t>
      </w:r>
      <w:r>
        <w:rPr>
          <w:w w:val="99"/>
          <w:sz w:val="25"/>
        </w:rPr>
        <w:t>n</w:t>
      </w:r>
      <w:r>
        <w:rPr>
          <w:spacing w:val="19"/>
          <w:sz w:val="25"/>
        </w:rPr>
        <w:t> </w:t>
      </w:r>
      <w:r>
        <w:rPr>
          <w:spacing w:val="7"/>
          <w:w w:val="33"/>
          <w:sz w:val="25"/>
        </w:rPr>
        <w:t>―</w:t>
      </w:r>
      <w:r>
        <w:rPr>
          <w:i/>
          <w:w w:val="99"/>
          <w:sz w:val="25"/>
        </w:rPr>
        <w:t>(</w:t>
      </w:r>
      <w:r>
        <w:rPr>
          <w:i/>
          <w:w w:val="99"/>
          <w:sz w:val="25"/>
        </w:rPr>
        <w:t>w)hether</w:t>
      </w:r>
      <w:r>
        <w:rPr>
          <w:i/>
          <w:spacing w:val="21"/>
          <w:sz w:val="25"/>
        </w:rPr>
        <w:t> </w:t>
      </w:r>
      <w:r>
        <w:rPr>
          <w:i/>
          <w:w w:val="99"/>
          <w:sz w:val="25"/>
        </w:rPr>
        <w:t>a</w:t>
      </w:r>
      <w:r>
        <w:rPr>
          <w:i/>
          <w:spacing w:val="19"/>
          <w:sz w:val="25"/>
        </w:rPr>
        <w:t> </w:t>
      </w:r>
      <w:r>
        <w:rPr>
          <w:i/>
          <w:w w:val="99"/>
          <w:sz w:val="25"/>
        </w:rPr>
        <w:t>Hindu</w:t>
      </w:r>
      <w:r>
        <w:rPr>
          <w:i/>
          <w:spacing w:val="19"/>
          <w:sz w:val="25"/>
        </w:rPr>
        <w:t> </w:t>
      </w:r>
      <w:r>
        <w:rPr>
          <w:i/>
          <w:w w:val="99"/>
          <w:sz w:val="25"/>
        </w:rPr>
        <w:t>t</w:t>
      </w:r>
      <w:r>
        <w:rPr>
          <w:i/>
          <w:spacing w:val="2"/>
          <w:w w:val="99"/>
          <w:sz w:val="25"/>
        </w:rPr>
        <w:t>e</w:t>
      </w:r>
      <w:r>
        <w:rPr>
          <w:i/>
          <w:spacing w:val="-2"/>
          <w:w w:val="99"/>
          <w:sz w:val="25"/>
        </w:rPr>
        <w:t>m</w:t>
      </w:r>
      <w:r>
        <w:rPr>
          <w:i/>
          <w:w w:val="99"/>
          <w:sz w:val="25"/>
        </w:rPr>
        <w:t>ple</w:t>
      </w:r>
      <w:r>
        <w:rPr>
          <w:i/>
          <w:w w:val="99"/>
          <w:sz w:val="25"/>
        </w:rPr>
        <w:t> </w:t>
      </w:r>
      <w:r>
        <w:rPr>
          <w:i/>
          <w:sz w:val="25"/>
        </w:rPr>
        <w:t>or any Hindu religious structure existed prior to the construction of the Ram Janam Bhoomi and Babari Masjid (including the premises of the inner and outer courtyards on such structure) in the area on which the structure</w:t>
      </w:r>
      <w:r>
        <w:rPr>
          <w:i/>
          <w:spacing w:val="-32"/>
          <w:sz w:val="25"/>
        </w:rPr>
        <w:t> </w:t>
      </w:r>
      <w:r>
        <w:rPr>
          <w:i/>
          <w:sz w:val="25"/>
        </w:rPr>
        <w:t>stands…‖</w:t>
      </w:r>
      <w:r>
        <w:rPr>
          <w:sz w:val="25"/>
        </w:rPr>
        <w:t>.</w:t>
      </w:r>
    </w:p>
    <w:p>
      <w:pPr>
        <w:pStyle w:val="BodyText"/>
        <w:spacing w:before="2"/>
      </w:pPr>
    </w:p>
    <w:p>
      <w:pPr>
        <w:pStyle w:val="ListParagraph"/>
        <w:numPr>
          <w:ilvl w:val="0"/>
          <w:numId w:val="3"/>
        </w:numPr>
        <w:tabs>
          <w:tab w:pos="1221" w:val="left" w:leader="none"/>
        </w:tabs>
        <w:spacing w:line="480" w:lineRule="auto" w:before="0" w:after="0"/>
        <w:ind w:left="500" w:right="436" w:firstLine="0"/>
        <w:jc w:val="both"/>
        <w:rPr>
          <w:sz w:val="25"/>
        </w:rPr>
      </w:pPr>
      <w:r>
        <w:rPr>
          <w:sz w:val="25"/>
        </w:rPr>
        <w:t>Writ petitions were filed before the High Court of Allahabad and this Court challenging the </w:t>
      </w:r>
      <w:r>
        <w:rPr>
          <w:color w:val="000009"/>
          <w:sz w:val="25"/>
        </w:rPr>
        <w:t>validity </w:t>
      </w:r>
      <w:r>
        <w:rPr>
          <w:sz w:val="25"/>
        </w:rPr>
        <w:t>of the Act of 1993. All the petitions and the reference by the President were heard together and decided by a judgment dated 24 October 1994. The decision of a Constitution Bench of this Court, titled </w:t>
      </w:r>
      <w:r>
        <w:rPr>
          <w:b/>
          <w:sz w:val="25"/>
        </w:rPr>
        <w:t>Dr M Ismail Faruqui </w:t>
      </w:r>
      <w:r>
        <w:rPr>
          <w:sz w:val="25"/>
        </w:rPr>
        <w:t>v </w:t>
      </w:r>
      <w:r>
        <w:rPr>
          <w:b/>
          <w:sz w:val="25"/>
        </w:rPr>
        <w:t>Union of India</w:t>
      </w:r>
      <w:r>
        <w:rPr>
          <w:sz w:val="25"/>
          <w:vertAlign w:val="superscript"/>
        </w:rPr>
        <w:t>12</w:t>
      </w:r>
      <w:r>
        <w:rPr>
          <w:sz w:val="25"/>
          <w:vertAlign w:val="baseline"/>
        </w:rPr>
        <w:t> held Section 4(3), which provided for the abatement of all pending suits as unconstitutional. The rest of the Act of 1993 was held to be valid. The Constitution Bench declined to answer the Presidential reference and, as a result, all pending suits and proceedings in relation to the disputed premises stood revived. The Central Government was appointed as a statutory receiver for the maintenance of </w:t>
      </w:r>
      <w:r>
        <w:rPr>
          <w:i/>
          <w:sz w:val="25"/>
          <w:vertAlign w:val="baseline"/>
        </w:rPr>
        <w:t>status quo </w:t>
      </w:r>
      <w:r>
        <w:rPr>
          <w:sz w:val="25"/>
          <w:vertAlign w:val="baseline"/>
        </w:rPr>
        <w:t>and to hand over the disputed area in terms of</w:t>
      </w:r>
      <w:r>
        <w:rPr>
          <w:spacing w:val="59"/>
          <w:sz w:val="25"/>
          <w:vertAlign w:val="baseline"/>
        </w:rPr>
        <w:t> </w:t>
      </w:r>
      <w:r>
        <w:rPr>
          <w:sz w:val="25"/>
          <w:vertAlign w:val="baseline"/>
        </w:rPr>
        <w:t>the</w:t>
      </w:r>
    </w:p>
    <w:p>
      <w:pPr>
        <w:pStyle w:val="BodyText"/>
        <w:rPr>
          <w:sz w:val="20"/>
        </w:rPr>
      </w:pPr>
    </w:p>
    <w:p>
      <w:pPr>
        <w:pStyle w:val="BodyText"/>
        <w:spacing w:before="3"/>
        <w:rPr>
          <w:sz w:val="10"/>
        </w:rPr>
      </w:pPr>
      <w:r>
        <w:rPr/>
        <w:pict>
          <v:rect style="position:absolute;margin-left:72.024002pt;margin-top:7.884668pt;width:144.020pt;height:.599980pt;mso-position-horizontal-relative:page;mso-position-vertical-relative:paragraph;z-index:-1572403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12</w:t>
      </w:r>
      <w:r>
        <w:rPr>
          <w:sz w:val="18"/>
          <w:vertAlign w:val="baseline"/>
        </w:rPr>
        <w:t> (1994) 6 SCC 360</w:t>
      </w:r>
    </w:p>
    <w:p>
      <w:pPr>
        <w:spacing w:after="0"/>
        <w:jc w:val="left"/>
        <w:rPr>
          <w:sz w:val="18"/>
        </w:rPr>
        <w:sectPr>
          <w:headerReference w:type="default" r:id="rId10"/>
          <w:footerReference w:type="default" r:id="rId11"/>
          <w:pgSz w:w="11910" w:h="16840"/>
          <w:pgMar w:header="721" w:footer="1014" w:top="1300" w:bottom="1200" w:left="940" w:right="1000"/>
          <w:pgNumType w:start="20"/>
        </w:sectPr>
      </w:pPr>
    </w:p>
    <w:p>
      <w:pPr>
        <w:pStyle w:val="BodyText"/>
        <w:spacing w:line="480" w:lineRule="auto" w:before="124"/>
        <w:ind w:left="500" w:right="512"/>
      </w:pPr>
      <w:r>
        <w:rPr/>
        <w:t>adjudication to be made in the suits. The conclusions arrived at by the Constitution Bench are extracted below:</w:t>
      </w:r>
    </w:p>
    <w:p>
      <w:pPr>
        <w:pStyle w:val="BodyText"/>
        <w:spacing w:before="10"/>
        <w:rPr>
          <w:sz w:val="24"/>
        </w:rPr>
      </w:pPr>
    </w:p>
    <w:p>
      <w:pPr>
        <w:spacing w:before="0"/>
        <w:ind w:left="1940" w:right="0" w:firstLine="0"/>
        <w:jc w:val="both"/>
        <w:rPr>
          <w:sz w:val="21"/>
        </w:rPr>
      </w:pPr>
      <w:r>
        <w:rPr>
          <w:spacing w:val="-1"/>
          <w:w w:val="33"/>
          <w:sz w:val="21"/>
        </w:rPr>
        <w:t>―</w:t>
      </w:r>
      <w:r>
        <w:rPr>
          <w:spacing w:val="-1"/>
          <w:w w:val="100"/>
          <w:sz w:val="21"/>
        </w:rPr>
        <w:t>96.</w:t>
      </w:r>
      <w:r>
        <w:rPr>
          <w:rFonts w:ascii="Times New Roman" w:hAnsi="Times New Roman"/>
          <w:w w:val="100"/>
          <w:sz w:val="21"/>
        </w:rPr>
        <w:t> </w:t>
      </w:r>
      <w:r>
        <w:rPr>
          <w:rFonts w:ascii="Times New Roman" w:hAnsi="Times New Roman"/>
          <w:sz w:val="21"/>
        </w:rPr>
        <w:t>    </w:t>
      </w:r>
      <w:r>
        <w:rPr>
          <w:rFonts w:ascii="Times New Roman" w:hAnsi="Times New Roman"/>
          <w:spacing w:val="-19"/>
          <w:sz w:val="21"/>
        </w:rPr>
        <w:t> </w:t>
      </w:r>
      <w:r>
        <w:rPr>
          <w:spacing w:val="-1"/>
          <w:w w:val="100"/>
          <w:sz w:val="21"/>
        </w:rPr>
        <w:t>(1)</w:t>
      </w:r>
      <w:r>
        <w:rPr>
          <w:spacing w:val="-2"/>
          <w:w w:val="100"/>
          <w:sz w:val="21"/>
        </w:rPr>
        <w:t>(</w:t>
      </w:r>
      <w:r>
        <w:rPr>
          <w:spacing w:val="-1"/>
          <w:w w:val="100"/>
          <w:sz w:val="21"/>
        </w:rPr>
        <w:t>a</w:t>
      </w:r>
      <w:r>
        <w:rPr>
          <w:w w:val="100"/>
          <w:sz w:val="21"/>
        </w:rPr>
        <w:t>)</w:t>
      </w:r>
      <w:r>
        <w:rPr>
          <w:spacing w:val="3"/>
          <w:sz w:val="21"/>
        </w:rPr>
        <w:t> </w:t>
      </w:r>
      <w:r>
        <w:rPr>
          <w:w w:val="100"/>
          <w:sz w:val="21"/>
        </w:rPr>
        <w:t>S</w:t>
      </w:r>
      <w:r>
        <w:rPr>
          <w:spacing w:val="-3"/>
          <w:w w:val="100"/>
          <w:sz w:val="21"/>
        </w:rPr>
        <w:t>u</w:t>
      </w:r>
      <w:r>
        <w:rPr>
          <w:spacing w:val="1"/>
          <w:w w:val="100"/>
          <w:sz w:val="21"/>
        </w:rPr>
        <w:t>b</w:t>
      </w:r>
      <w:r>
        <w:rPr>
          <w:spacing w:val="-1"/>
          <w:w w:val="100"/>
          <w:sz w:val="21"/>
        </w:rPr>
        <w:t>-</w:t>
      </w:r>
      <w:r>
        <w:rPr>
          <w:w w:val="100"/>
          <w:sz w:val="21"/>
        </w:rPr>
        <w:t>sec</w:t>
      </w:r>
      <w:r>
        <w:rPr>
          <w:spacing w:val="-1"/>
          <w:w w:val="100"/>
          <w:sz w:val="21"/>
        </w:rPr>
        <w:t>t</w:t>
      </w:r>
      <w:r>
        <w:rPr>
          <w:spacing w:val="-2"/>
          <w:w w:val="100"/>
          <w:sz w:val="21"/>
        </w:rPr>
        <w:t>i</w:t>
      </w:r>
      <w:r>
        <w:rPr>
          <w:w w:val="100"/>
          <w:sz w:val="21"/>
        </w:rPr>
        <w:t>on</w:t>
      </w:r>
      <w:r>
        <w:rPr>
          <w:spacing w:val="1"/>
          <w:sz w:val="21"/>
        </w:rPr>
        <w:t> </w:t>
      </w:r>
      <w:r>
        <w:rPr>
          <w:spacing w:val="-1"/>
          <w:w w:val="100"/>
          <w:sz w:val="21"/>
        </w:rPr>
        <w:t>(</w:t>
      </w:r>
      <w:r>
        <w:rPr>
          <w:w w:val="100"/>
          <w:sz w:val="21"/>
        </w:rPr>
        <w:t>3)</w:t>
      </w:r>
      <w:r>
        <w:rPr>
          <w:spacing w:val="3"/>
          <w:sz w:val="21"/>
        </w:rPr>
        <w:t> </w:t>
      </w:r>
      <w:r>
        <w:rPr>
          <w:w w:val="100"/>
          <w:sz w:val="21"/>
        </w:rPr>
        <w:t>of</w:t>
      </w:r>
      <w:r>
        <w:rPr>
          <w:spacing w:val="2"/>
          <w:sz w:val="21"/>
        </w:rPr>
        <w:t> </w:t>
      </w:r>
      <w:r>
        <w:rPr>
          <w:spacing w:val="-2"/>
          <w:w w:val="100"/>
          <w:sz w:val="21"/>
        </w:rPr>
        <w:t>S</w:t>
      </w:r>
      <w:r>
        <w:rPr>
          <w:w w:val="100"/>
          <w:sz w:val="21"/>
        </w:rPr>
        <w:t>ec</w:t>
      </w:r>
      <w:r>
        <w:rPr>
          <w:spacing w:val="-1"/>
          <w:w w:val="100"/>
          <w:sz w:val="21"/>
        </w:rPr>
        <w:t>t</w:t>
      </w:r>
      <w:r>
        <w:rPr>
          <w:w w:val="100"/>
          <w:sz w:val="21"/>
        </w:rPr>
        <w:t>i</w:t>
      </w:r>
      <w:r>
        <w:rPr>
          <w:spacing w:val="-3"/>
          <w:w w:val="100"/>
          <w:sz w:val="21"/>
        </w:rPr>
        <w:t>o</w:t>
      </w:r>
      <w:r>
        <w:rPr>
          <w:w w:val="100"/>
          <w:sz w:val="21"/>
        </w:rPr>
        <w:t>n</w:t>
      </w:r>
      <w:r>
        <w:rPr>
          <w:spacing w:val="3"/>
          <w:sz w:val="21"/>
        </w:rPr>
        <w:t> </w:t>
      </w:r>
      <w:r>
        <w:rPr>
          <w:w w:val="100"/>
          <w:sz w:val="21"/>
        </w:rPr>
        <w:t>4</w:t>
      </w:r>
      <w:r>
        <w:rPr>
          <w:spacing w:val="1"/>
          <w:sz w:val="21"/>
        </w:rPr>
        <w:t> </w:t>
      </w:r>
      <w:r>
        <w:rPr>
          <w:spacing w:val="-3"/>
          <w:w w:val="100"/>
          <w:sz w:val="21"/>
        </w:rPr>
        <w:t>o</w:t>
      </w:r>
      <w:r>
        <w:rPr>
          <w:w w:val="100"/>
          <w:sz w:val="21"/>
        </w:rPr>
        <w:t>f</w:t>
      </w:r>
      <w:r>
        <w:rPr>
          <w:spacing w:val="4"/>
          <w:sz w:val="21"/>
        </w:rPr>
        <w:t> </w:t>
      </w:r>
      <w:r>
        <w:rPr>
          <w:spacing w:val="-2"/>
          <w:w w:val="100"/>
          <w:sz w:val="21"/>
        </w:rPr>
        <w:t>t</w:t>
      </w:r>
      <w:r>
        <w:rPr>
          <w:w w:val="100"/>
          <w:sz w:val="21"/>
        </w:rPr>
        <w:t>he</w:t>
      </w:r>
      <w:r>
        <w:rPr>
          <w:spacing w:val="1"/>
          <w:sz w:val="21"/>
        </w:rPr>
        <w:t> </w:t>
      </w:r>
      <w:r>
        <w:rPr>
          <w:w w:val="100"/>
          <w:sz w:val="21"/>
        </w:rPr>
        <w:t>A</w:t>
      </w:r>
      <w:r>
        <w:rPr>
          <w:w w:val="100"/>
          <w:sz w:val="21"/>
        </w:rPr>
        <w:t>ct</w:t>
      </w:r>
      <w:r>
        <w:rPr>
          <w:sz w:val="21"/>
        </w:rPr>
        <w:t> </w:t>
      </w:r>
      <w:r>
        <w:rPr>
          <w:w w:val="100"/>
          <w:sz w:val="21"/>
        </w:rPr>
        <w:t>abates</w:t>
      </w:r>
      <w:r>
        <w:rPr>
          <w:spacing w:val="1"/>
          <w:sz w:val="21"/>
        </w:rPr>
        <w:t> </w:t>
      </w:r>
      <w:r>
        <w:rPr>
          <w:spacing w:val="-3"/>
          <w:w w:val="100"/>
          <w:sz w:val="21"/>
        </w:rPr>
        <w:t>a</w:t>
      </w:r>
      <w:r>
        <w:rPr>
          <w:spacing w:val="-2"/>
          <w:w w:val="100"/>
          <w:sz w:val="21"/>
        </w:rPr>
        <w:t>l</w:t>
      </w:r>
      <w:r>
        <w:rPr>
          <w:w w:val="100"/>
          <w:sz w:val="21"/>
        </w:rPr>
        <w:t>l</w:t>
      </w:r>
    </w:p>
    <w:p>
      <w:pPr>
        <w:spacing w:line="276" w:lineRule="auto" w:before="37"/>
        <w:ind w:left="1940" w:right="2260" w:firstLine="0"/>
        <w:jc w:val="both"/>
        <w:rPr>
          <w:sz w:val="21"/>
        </w:rPr>
      </w:pPr>
      <w:r>
        <w:rPr>
          <w:sz w:val="21"/>
        </w:rPr>
        <w:t>pending suits and legal proceedings without providing for an alternative dispute resolution mechanism for resolution of the disputes between the parties thereto. This is an extinction of the judicial remedy for resolution of the dispute amounting to negation of rule of law. Sub-section (3) of Section 4 of the Act is, therefore, unconstitutional and invalid.</w:t>
      </w:r>
    </w:p>
    <w:p>
      <w:pPr>
        <w:pStyle w:val="BodyText"/>
        <w:spacing w:before="3"/>
        <w:rPr>
          <w:sz w:val="24"/>
        </w:rPr>
      </w:pPr>
    </w:p>
    <w:p>
      <w:pPr>
        <w:spacing w:line="276" w:lineRule="auto" w:before="0"/>
        <w:ind w:left="1940" w:right="2259" w:firstLine="0"/>
        <w:jc w:val="both"/>
        <w:rPr>
          <w:sz w:val="21"/>
        </w:rPr>
      </w:pPr>
      <w:r>
        <w:rPr>
          <w:sz w:val="21"/>
        </w:rPr>
        <w:t>(1)(b) The remaining provisions of the Act do not suffer from any invalidity on the construction made thereof by us. Sub- section (3) of Section 4 of the Act is severable from the remaining Act. Accordingly, the challenge to the constitutional validity of the remaining Act, except for sub-section (3)  of Sec. 4, is</w:t>
      </w:r>
      <w:r>
        <w:rPr>
          <w:spacing w:val="-5"/>
          <w:sz w:val="21"/>
        </w:rPr>
        <w:t> </w:t>
      </w:r>
      <w:r>
        <w:rPr>
          <w:sz w:val="21"/>
        </w:rPr>
        <w:t>rejected.</w:t>
      </w:r>
    </w:p>
    <w:p>
      <w:pPr>
        <w:pStyle w:val="BodyText"/>
        <w:spacing w:before="1"/>
        <w:rPr>
          <w:sz w:val="24"/>
        </w:rPr>
      </w:pPr>
    </w:p>
    <w:p>
      <w:pPr>
        <w:pStyle w:val="ListParagraph"/>
        <w:numPr>
          <w:ilvl w:val="0"/>
          <w:numId w:val="4"/>
        </w:numPr>
        <w:tabs>
          <w:tab w:pos="2284" w:val="left" w:leader="none"/>
        </w:tabs>
        <w:spacing w:line="276" w:lineRule="auto" w:before="1" w:after="0"/>
        <w:ind w:left="1940" w:right="2262" w:firstLine="0"/>
        <w:jc w:val="both"/>
        <w:rPr>
          <w:sz w:val="21"/>
        </w:rPr>
      </w:pPr>
      <w:r>
        <w:rPr>
          <w:sz w:val="21"/>
        </w:rPr>
        <w:t>Irrespective of the status of a mosque under the Muslim law applicable in the Islamic countries, the status of a mosque under the Mahomedan Law applicable in secular India is the same and equal to that of any other place of worship of any religion; and it does not enjoy any greater immunity from acquisition in exercise of the sovereign or prerogative power of the State, than that of the places of worship of the other religions.</w:t>
      </w:r>
    </w:p>
    <w:p>
      <w:pPr>
        <w:pStyle w:val="BodyText"/>
        <w:spacing w:before="1"/>
        <w:rPr>
          <w:sz w:val="24"/>
        </w:rPr>
      </w:pPr>
    </w:p>
    <w:p>
      <w:pPr>
        <w:pStyle w:val="ListParagraph"/>
        <w:numPr>
          <w:ilvl w:val="0"/>
          <w:numId w:val="4"/>
        </w:numPr>
        <w:tabs>
          <w:tab w:pos="2291" w:val="left" w:leader="none"/>
        </w:tabs>
        <w:spacing w:line="276" w:lineRule="auto" w:before="0" w:after="0"/>
        <w:ind w:left="1940" w:right="2260" w:firstLine="0"/>
        <w:jc w:val="both"/>
        <w:rPr>
          <w:sz w:val="21"/>
        </w:rPr>
      </w:pPr>
      <w:r>
        <w:rPr>
          <w:sz w:val="21"/>
        </w:rPr>
        <w:t>The pending suits and other proceedings relating to the disputed area within which the structure (including the premises of the inner and outer courtyards of such structure), commonly known as the Ram Janma Bhumi - Babri Masjid, stood, stand revived for adjudication of the dispute therein, together with the interim orders made, except to the extent the interim orders stand modified by the provisions of Section 7 of the</w:t>
      </w:r>
      <w:r>
        <w:rPr>
          <w:spacing w:val="-3"/>
          <w:sz w:val="21"/>
        </w:rPr>
        <w:t> </w:t>
      </w:r>
      <w:r>
        <w:rPr>
          <w:sz w:val="21"/>
        </w:rPr>
        <w:t>Act.</w:t>
      </w:r>
    </w:p>
    <w:p>
      <w:pPr>
        <w:pStyle w:val="BodyText"/>
        <w:spacing w:before="1"/>
        <w:rPr>
          <w:sz w:val="24"/>
        </w:rPr>
      </w:pPr>
    </w:p>
    <w:p>
      <w:pPr>
        <w:pStyle w:val="ListParagraph"/>
        <w:numPr>
          <w:ilvl w:val="0"/>
          <w:numId w:val="4"/>
        </w:numPr>
        <w:tabs>
          <w:tab w:pos="2325" w:val="left" w:leader="none"/>
        </w:tabs>
        <w:spacing w:line="276" w:lineRule="auto" w:before="0" w:after="0"/>
        <w:ind w:left="1940" w:right="2261" w:firstLine="0"/>
        <w:jc w:val="both"/>
        <w:rPr>
          <w:sz w:val="21"/>
        </w:rPr>
      </w:pPr>
      <w:r>
        <w:rPr>
          <w:sz w:val="21"/>
        </w:rPr>
        <w:t>The vesting of the said disputed area in the Central Government by virtue of Section 3 of the Act is limited, as a statutory receiver with the duty for its management and administration according to Section 7 requiring maintenance of status quo therein under sub-section (2) of Section 7 of the Act. The duty of the Central Government as the statutory receiver is to handover the disputed area in accordance with Section 6 of the Act, in terms of the adjudication made in the suits for implementation of the final decision therein. This is the purpose for which the disputed area has been so acquired.</w:t>
      </w:r>
    </w:p>
    <w:p>
      <w:pPr>
        <w:spacing w:after="0" w:line="276" w:lineRule="auto"/>
        <w:jc w:val="both"/>
        <w:rPr>
          <w:sz w:val="21"/>
        </w:rPr>
        <w:sectPr>
          <w:pgSz w:w="11910" w:h="16840"/>
          <w:pgMar w:header="721" w:footer="1014" w:top="1300" w:bottom="1200" w:left="940" w:right="1000"/>
        </w:sectPr>
      </w:pPr>
    </w:p>
    <w:p>
      <w:pPr>
        <w:pStyle w:val="ListParagraph"/>
        <w:numPr>
          <w:ilvl w:val="0"/>
          <w:numId w:val="4"/>
        </w:numPr>
        <w:tabs>
          <w:tab w:pos="2260" w:val="left" w:leader="none"/>
        </w:tabs>
        <w:spacing w:line="276" w:lineRule="auto" w:before="122" w:after="0"/>
        <w:ind w:left="1940" w:right="2266" w:firstLine="0"/>
        <w:jc w:val="both"/>
        <w:rPr>
          <w:sz w:val="21"/>
        </w:rPr>
      </w:pPr>
      <w:r>
        <w:rPr>
          <w:sz w:val="21"/>
        </w:rPr>
        <w:t>The power of the courts in making further interim orders in the suits is limited to, and circumscribed by, the area outside the ambit of Section 7 of the</w:t>
      </w:r>
      <w:r>
        <w:rPr>
          <w:spacing w:val="-7"/>
          <w:sz w:val="21"/>
        </w:rPr>
        <w:t> </w:t>
      </w:r>
      <w:r>
        <w:rPr>
          <w:sz w:val="21"/>
        </w:rPr>
        <w:t>Act.</w:t>
      </w:r>
    </w:p>
    <w:p>
      <w:pPr>
        <w:pStyle w:val="BodyText"/>
        <w:spacing w:before="3"/>
        <w:rPr>
          <w:sz w:val="24"/>
        </w:rPr>
      </w:pPr>
    </w:p>
    <w:p>
      <w:pPr>
        <w:pStyle w:val="ListParagraph"/>
        <w:numPr>
          <w:ilvl w:val="0"/>
          <w:numId w:val="4"/>
        </w:numPr>
        <w:tabs>
          <w:tab w:pos="2274" w:val="left" w:leader="none"/>
        </w:tabs>
        <w:spacing w:line="276" w:lineRule="auto" w:before="0" w:after="0"/>
        <w:ind w:left="1940" w:right="2260" w:firstLine="0"/>
        <w:jc w:val="both"/>
        <w:rPr>
          <w:sz w:val="21"/>
        </w:rPr>
      </w:pPr>
      <w:r>
        <w:rPr>
          <w:sz w:val="21"/>
        </w:rPr>
        <w:t>The vesting of the adjacent area, other than the disputed area, acquired by the Act in the Central Government by virtue of Section 3 of the Act is absolute with the power of management and administration thereof in accordance with sub-section (1) of Section 7 of the Act, till its further vesting in any authority or other body or trustees of any trust in accordance with Section 6 of the Act. The further vesting of the adjacent area, other than the disputed area, in accordance with Sec. 6 of the Act has to be made at the time and in the manner indicated, in view of the purpose of its acquisition.</w:t>
      </w:r>
    </w:p>
    <w:p>
      <w:pPr>
        <w:pStyle w:val="BodyText"/>
        <w:spacing w:before="1"/>
        <w:rPr>
          <w:sz w:val="24"/>
        </w:rPr>
      </w:pPr>
    </w:p>
    <w:p>
      <w:pPr>
        <w:pStyle w:val="ListParagraph"/>
        <w:numPr>
          <w:ilvl w:val="0"/>
          <w:numId w:val="4"/>
        </w:numPr>
        <w:tabs>
          <w:tab w:pos="2257" w:val="left" w:leader="none"/>
        </w:tabs>
        <w:spacing w:line="276" w:lineRule="auto" w:before="0" w:after="0"/>
        <w:ind w:left="1940" w:right="2265" w:firstLine="0"/>
        <w:jc w:val="both"/>
        <w:rPr>
          <w:sz w:val="21"/>
        </w:rPr>
      </w:pPr>
      <w:r>
        <w:rPr>
          <w:sz w:val="21"/>
        </w:rPr>
        <w:t>The meaning of the word "vest" in Section 3 and Section 6 of the Act has to be so understood in the different</w:t>
      </w:r>
      <w:r>
        <w:rPr>
          <w:spacing w:val="-15"/>
          <w:sz w:val="21"/>
        </w:rPr>
        <w:t> </w:t>
      </w:r>
      <w:r>
        <w:rPr>
          <w:sz w:val="21"/>
        </w:rPr>
        <w:t>contexts.</w:t>
      </w:r>
    </w:p>
    <w:p>
      <w:pPr>
        <w:pStyle w:val="BodyText"/>
        <w:spacing w:before="1"/>
        <w:rPr>
          <w:sz w:val="24"/>
        </w:rPr>
      </w:pPr>
    </w:p>
    <w:p>
      <w:pPr>
        <w:pStyle w:val="ListParagraph"/>
        <w:numPr>
          <w:ilvl w:val="0"/>
          <w:numId w:val="4"/>
        </w:numPr>
        <w:tabs>
          <w:tab w:pos="2257" w:val="left" w:leader="none"/>
        </w:tabs>
        <w:spacing w:line="276" w:lineRule="auto" w:before="0" w:after="0"/>
        <w:ind w:left="1940" w:right="2261" w:firstLine="0"/>
        <w:jc w:val="both"/>
        <w:rPr>
          <w:sz w:val="21"/>
        </w:rPr>
      </w:pPr>
      <w:r>
        <w:rPr>
          <w:sz w:val="21"/>
        </w:rPr>
        <w:t>Section 8 of the Act is meant for payment of compensation to owners of the property vesting absolutely in the Central Government, the title to which is not in dispute being in excess of the disputed area which alone is the subject matter of the revived suits. It does not apply to the disputed  area, title to which has to be adjudicated in the suits and in respect of which the Central Government is merely the statutory receiver as indicated, with the duty to restore it to the owner  in terms of the adjudication made in the</w:t>
      </w:r>
      <w:r>
        <w:rPr>
          <w:spacing w:val="-10"/>
          <w:sz w:val="21"/>
        </w:rPr>
        <w:t> </w:t>
      </w:r>
      <w:r>
        <w:rPr>
          <w:sz w:val="21"/>
        </w:rPr>
        <w:t>suits.</w:t>
      </w:r>
    </w:p>
    <w:p>
      <w:pPr>
        <w:pStyle w:val="BodyText"/>
        <w:spacing w:before="4"/>
        <w:rPr>
          <w:sz w:val="24"/>
        </w:rPr>
      </w:pPr>
    </w:p>
    <w:p>
      <w:pPr>
        <w:pStyle w:val="ListParagraph"/>
        <w:numPr>
          <w:ilvl w:val="0"/>
          <w:numId w:val="4"/>
        </w:numPr>
        <w:tabs>
          <w:tab w:pos="2291" w:val="left" w:leader="none"/>
        </w:tabs>
        <w:spacing w:line="276" w:lineRule="auto" w:before="1" w:after="0"/>
        <w:ind w:left="1940" w:right="2261" w:firstLine="0"/>
        <w:jc w:val="both"/>
        <w:rPr>
          <w:sz w:val="21"/>
        </w:rPr>
      </w:pPr>
      <w:r>
        <w:rPr>
          <w:sz w:val="21"/>
        </w:rPr>
        <w:t>The challenge to acquisition of any part of the adjacent area on the ground that it is unnecessary for achieving the professed objective of settling the long standing dispute cannot be examined at this stage. However, the area found to be superfluous on the exact area needed for the purpose being determined on adjudication of the dispute, must be restored to the undisputed</w:t>
      </w:r>
      <w:r>
        <w:rPr>
          <w:spacing w:val="-6"/>
          <w:sz w:val="21"/>
        </w:rPr>
        <w:t> </w:t>
      </w:r>
      <w:r>
        <w:rPr>
          <w:sz w:val="21"/>
        </w:rPr>
        <w:t>owners.</w:t>
      </w:r>
    </w:p>
    <w:p>
      <w:pPr>
        <w:pStyle w:val="BodyText"/>
        <w:rPr>
          <w:sz w:val="24"/>
        </w:rPr>
      </w:pPr>
    </w:p>
    <w:p>
      <w:pPr>
        <w:pStyle w:val="ListParagraph"/>
        <w:numPr>
          <w:ilvl w:val="0"/>
          <w:numId w:val="4"/>
        </w:numPr>
        <w:tabs>
          <w:tab w:pos="2399" w:val="left" w:leader="none"/>
        </w:tabs>
        <w:spacing w:line="276" w:lineRule="auto" w:before="0" w:after="0"/>
        <w:ind w:left="1940" w:right="2264" w:firstLine="0"/>
        <w:jc w:val="both"/>
        <w:rPr>
          <w:sz w:val="21"/>
        </w:rPr>
      </w:pPr>
      <w:r>
        <w:rPr>
          <w:sz w:val="21"/>
        </w:rPr>
        <w:t>Rejection of the challenge by the undisputed owners to acquisition of some religious properties in the vicinity of the disputed area, at this stage is with the liberty granted to them to renew their challenge, if necessary at a later appropriate stage, in cases of continued retention by Central Government of their property in excess of the exact area determined to be needed on adjudication of the</w:t>
      </w:r>
      <w:r>
        <w:rPr>
          <w:spacing w:val="-7"/>
          <w:sz w:val="21"/>
        </w:rPr>
        <w:t> </w:t>
      </w:r>
      <w:r>
        <w:rPr>
          <w:sz w:val="21"/>
        </w:rPr>
        <w:t>dispute.</w:t>
      </w:r>
    </w:p>
    <w:p>
      <w:pPr>
        <w:pStyle w:val="BodyText"/>
        <w:spacing w:before="3"/>
        <w:rPr>
          <w:sz w:val="24"/>
        </w:rPr>
      </w:pPr>
    </w:p>
    <w:p>
      <w:pPr>
        <w:pStyle w:val="ListParagraph"/>
        <w:numPr>
          <w:ilvl w:val="0"/>
          <w:numId w:val="4"/>
        </w:numPr>
        <w:tabs>
          <w:tab w:pos="2440" w:val="left" w:leader="none"/>
        </w:tabs>
        <w:spacing w:line="276" w:lineRule="auto" w:before="0" w:after="0"/>
        <w:ind w:left="1940" w:right="2263" w:firstLine="0"/>
        <w:jc w:val="both"/>
        <w:rPr>
          <w:sz w:val="21"/>
        </w:rPr>
      </w:pPr>
      <w:r>
        <w:rPr>
          <w:sz w:val="21"/>
        </w:rPr>
        <w:t>Consequently, the Special Reference No. 1 of 1993 made by the President of India under Art. 143(1) of the Constitution of India is superfluous and unnecessary and does not require to be answered. For this reason, we very respectfully decline to answer it and return the</w:t>
      </w:r>
      <w:r>
        <w:rPr>
          <w:spacing w:val="-13"/>
          <w:sz w:val="21"/>
        </w:rPr>
        <w:t> </w:t>
      </w:r>
      <w:r>
        <w:rPr>
          <w:sz w:val="21"/>
        </w:rPr>
        <w:t>same.</w:t>
      </w:r>
    </w:p>
    <w:p>
      <w:pPr>
        <w:spacing w:after="0" w:line="276" w:lineRule="auto"/>
        <w:jc w:val="both"/>
        <w:rPr>
          <w:sz w:val="21"/>
        </w:rPr>
        <w:sectPr>
          <w:pgSz w:w="11910" w:h="16840"/>
          <w:pgMar w:header="721" w:footer="1014" w:top="1300" w:bottom="1200" w:left="940" w:right="1000"/>
        </w:sectPr>
      </w:pPr>
    </w:p>
    <w:p>
      <w:pPr>
        <w:pStyle w:val="BodyText"/>
        <w:spacing w:before="8"/>
        <w:rPr>
          <w:sz w:val="26"/>
        </w:rPr>
      </w:pPr>
    </w:p>
    <w:p>
      <w:pPr>
        <w:pStyle w:val="ListParagraph"/>
        <w:numPr>
          <w:ilvl w:val="0"/>
          <w:numId w:val="4"/>
        </w:numPr>
        <w:tabs>
          <w:tab w:pos="2385" w:val="left" w:leader="none"/>
        </w:tabs>
        <w:spacing w:line="276" w:lineRule="auto" w:before="94" w:after="0"/>
        <w:ind w:left="1940" w:right="2265" w:firstLine="0"/>
        <w:jc w:val="both"/>
        <w:rPr>
          <w:sz w:val="21"/>
        </w:rPr>
      </w:pPr>
      <w:r>
        <w:rPr>
          <w:sz w:val="21"/>
        </w:rPr>
        <w:t>The questions relating to the constitutional validity of the said Act and maintainability of the Special Reference are decided in these</w:t>
      </w:r>
      <w:r>
        <w:rPr>
          <w:spacing w:val="-7"/>
          <w:sz w:val="21"/>
        </w:rPr>
        <w:t> </w:t>
      </w:r>
      <w:r>
        <w:rPr>
          <w:sz w:val="21"/>
        </w:rPr>
        <w:t>terms.‖</w:t>
      </w:r>
    </w:p>
    <w:p>
      <w:pPr>
        <w:pStyle w:val="BodyText"/>
        <w:rPr>
          <w:sz w:val="24"/>
        </w:rPr>
      </w:pPr>
    </w:p>
    <w:p>
      <w:pPr>
        <w:pStyle w:val="BodyText"/>
        <w:spacing w:before="2"/>
        <w:rPr>
          <w:sz w:val="26"/>
        </w:rPr>
      </w:pPr>
    </w:p>
    <w:p>
      <w:pPr>
        <w:pStyle w:val="Heading4"/>
        <w:rPr>
          <w:i/>
        </w:rPr>
      </w:pPr>
      <w:r>
        <w:rPr>
          <w:i/>
        </w:rPr>
        <w:t>The proceedings before the High Court</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The recording of oral evidence before the High Court commenced on 24 July 1996. D</w:t>
      </w:r>
      <w:r>
        <w:rPr>
          <w:color w:val="000009"/>
          <w:sz w:val="25"/>
        </w:rPr>
        <w:t>uring </w:t>
      </w:r>
      <w:r>
        <w:rPr>
          <w:sz w:val="25"/>
        </w:rPr>
        <w:t>the course of the hearings, the High Court issued directions on </w:t>
      </w:r>
      <w:r>
        <w:rPr>
          <w:spacing w:val="-1"/>
          <w:w w:val="99"/>
          <w:sz w:val="25"/>
        </w:rPr>
        <w:t>2</w:t>
      </w:r>
      <w:r>
        <w:rPr>
          <w:w w:val="99"/>
          <w:sz w:val="25"/>
        </w:rPr>
        <w:t>3</w:t>
      </w:r>
      <w:r>
        <w:rPr>
          <w:sz w:val="25"/>
        </w:rPr>
        <w:t> </w:t>
      </w:r>
      <w:r>
        <w:rPr>
          <w:spacing w:val="-17"/>
          <w:sz w:val="25"/>
        </w:rPr>
        <w:t> </w:t>
      </w:r>
      <w:r>
        <w:rPr>
          <w:w w:val="99"/>
          <w:sz w:val="25"/>
        </w:rPr>
        <w:t>Octo</w:t>
      </w:r>
      <w:r>
        <w:rPr>
          <w:spacing w:val="-1"/>
          <w:w w:val="99"/>
          <w:sz w:val="25"/>
        </w:rPr>
        <w:t>b</w:t>
      </w:r>
      <w:r>
        <w:rPr>
          <w:w w:val="99"/>
          <w:sz w:val="25"/>
        </w:rPr>
        <w:t>er</w:t>
      </w:r>
      <w:r>
        <w:rPr>
          <w:sz w:val="25"/>
        </w:rPr>
        <w:t> </w:t>
      </w:r>
      <w:r>
        <w:rPr>
          <w:spacing w:val="-17"/>
          <w:sz w:val="25"/>
        </w:rPr>
        <w:t> </w:t>
      </w:r>
      <w:r>
        <w:rPr>
          <w:spacing w:val="-3"/>
          <w:w w:val="99"/>
          <w:sz w:val="25"/>
        </w:rPr>
        <w:t>2</w:t>
      </w:r>
      <w:r>
        <w:rPr>
          <w:spacing w:val="-1"/>
          <w:w w:val="99"/>
          <w:sz w:val="25"/>
        </w:rPr>
        <w:t>0</w:t>
      </w:r>
      <w:r>
        <w:rPr>
          <w:w w:val="99"/>
          <w:sz w:val="25"/>
        </w:rPr>
        <w:t>02</w:t>
      </w:r>
      <w:r>
        <w:rPr>
          <w:sz w:val="25"/>
        </w:rPr>
        <w:t> </w:t>
      </w:r>
      <w:r>
        <w:rPr>
          <w:spacing w:val="-17"/>
          <w:sz w:val="25"/>
        </w:rPr>
        <w:t> </w:t>
      </w:r>
      <w:r>
        <w:rPr>
          <w:w w:val="99"/>
          <w:sz w:val="25"/>
        </w:rPr>
        <w:t>to</w:t>
      </w:r>
      <w:r>
        <w:rPr>
          <w:sz w:val="25"/>
        </w:rPr>
        <w:t> </w:t>
      </w:r>
      <w:r>
        <w:rPr>
          <w:spacing w:val="-21"/>
          <w:sz w:val="25"/>
        </w:rPr>
        <w:t> </w:t>
      </w:r>
      <w:r>
        <w:rPr>
          <w:w w:val="99"/>
          <w:sz w:val="25"/>
        </w:rPr>
        <w:t>the</w:t>
      </w:r>
      <w:r>
        <w:rPr>
          <w:sz w:val="25"/>
        </w:rPr>
        <w:t> </w:t>
      </w:r>
      <w:r>
        <w:rPr>
          <w:spacing w:val="-17"/>
          <w:sz w:val="25"/>
        </w:rPr>
        <w:t> </w:t>
      </w:r>
      <w:r>
        <w:rPr>
          <w:spacing w:val="-1"/>
          <w:w w:val="99"/>
          <w:sz w:val="25"/>
        </w:rPr>
        <w:t>A</w:t>
      </w:r>
      <w:r>
        <w:rPr>
          <w:w w:val="99"/>
          <w:sz w:val="25"/>
        </w:rPr>
        <w:t>rcha</w:t>
      </w:r>
      <w:r>
        <w:rPr>
          <w:spacing w:val="-1"/>
          <w:w w:val="99"/>
          <w:sz w:val="25"/>
        </w:rPr>
        <w:t>e</w:t>
      </w:r>
      <w:r>
        <w:rPr>
          <w:w w:val="99"/>
          <w:sz w:val="25"/>
        </w:rPr>
        <w:t>o</w:t>
      </w:r>
      <w:r>
        <w:rPr>
          <w:spacing w:val="-1"/>
          <w:w w:val="99"/>
          <w:sz w:val="25"/>
        </w:rPr>
        <w:t>logic</w:t>
      </w:r>
      <w:r>
        <w:rPr>
          <w:w w:val="99"/>
          <w:sz w:val="25"/>
        </w:rPr>
        <w:t>al</w:t>
      </w:r>
      <w:r>
        <w:rPr>
          <w:sz w:val="25"/>
        </w:rPr>
        <w:t> </w:t>
      </w:r>
      <w:r>
        <w:rPr>
          <w:spacing w:val="-17"/>
          <w:sz w:val="25"/>
        </w:rPr>
        <w:t> </w:t>
      </w:r>
      <w:r>
        <w:rPr>
          <w:spacing w:val="-1"/>
          <w:w w:val="99"/>
          <w:sz w:val="25"/>
        </w:rPr>
        <w:t>Su</w:t>
      </w:r>
      <w:r>
        <w:rPr>
          <w:w w:val="99"/>
          <w:sz w:val="25"/>
        </w:rPr>
        <w:t>r</w:t>
      </w:r>
      <w:r>
        <w:rPr>
          <w:spacing w:val="-3"/>
          <w:w w:val="99"/>
          <w:sz w:val="25"/>
        </w:rPr>
        <w:t>v</w:t>
      </w:r>
      <w:r>
        <w:rPr>
          <w:spacing w:val="2"/>
          <w:w w:val="99"/>
          <w:sz w:val="25"/>
        </w:rPr>
        <w:t>e</w:t>
      </w:r>
      <w:r>
        <w:rPr>
          <w:w w:val="99"/>
          <w:sz w:val="25"/>
        </w:rPr>
        <w:t>y</w:t>
      </w:r>
      <w:r>
        <w:rPr>
          <w:sz w:val="25"/>
        </w:rPr>
        <w:t> </w:t>
      </w:r>
      <w:r>
        <w:rPr>
          <w:spacing w:val="-20"/>
          <w:sz w:val="25"/>
        </w:rPr>
        <w:t> </w:t>
      </w:r>
      <w:r>
        <w:rPr>
          <w:spacing w:val="-1"/>
          <w:w w:val="99"/>
          <w:sz w:val="25"/>
        </w:rPr>
        <w:t>o</w:t>
      </w:r>
      <w:r>
        <w:rPr>
          <w:w w:val="99"/>
          <w:sz w:val="25"/>
        </w:rPr>
        <w:t>f</w:t>
      </w:r>
      <w:r>
        <w:rPr>
          <w:sz w:val="25"/>
        </w:rPr>
        <w:t> </w:t>
      </w:r>
      <w:r>
        <w:rPr>
          <w:spacing w:val="-17"/>
          <w:sz w:val="25"/>
        </w:rPr>
        <w:t> </w:t>
      </w:r>
      <w:r>
        <w:rPr>
          <w:w w:val="99"/>
          <w:sz w:val="25"/>
        </w:rPr>
        <w:t>Ind</w:t>
      </w:r>
      <w:r>
        <w:rPr>
          <w:spacing w:val="-1"/>
          <w:w w:val="99"/>
          <w:sz w:val="25"/>
        </w:rPr>
        <w:t>i</w:t>
      </w:r>
      <w:r>
        <w:rPr>
          <w:w w:val="99"/>
          <w:sz w:val="25"/>
        </w:rPr>
        <w:t>a</w:t>
      </w:r>
      <w:r>
        <w:rPr>
          <w:sz w:val="25"/>
        </w:rPr>
        <w:t> </w:t>
      </w:r>
      <w:r>
        <w:rPr>
          <w:spacing w:val="-17"/>
          <w:sz w:val="25"/>
        </w:rPr>
        <w:t> </w:t>
      </w:r>
      <w:r>
        <w:rPr>
          <w:w w:val="99"/>
          <w:sz w:val="25"/>
        </w:rPr>
        <w:t>(</w:t>
      </w:r>
      <w:r>
        <w:rPr>
          <w:spacing w:val="11"/>
          <w:w w:val="33"/>
          <w:sz w:val="25"/>
        </w:rPr>
        <w:t>―</w:t>
      </w:r>
      <w:r>
        <w:rPr>
          <w:b/>
          <w:spacing w:val="-8"/>
          <w:w w:val="99"/>
          <w:sz w:val="25"/>
        </w:rPr>
        <w:t>A</w:t>
      </w:r>
      <w:r>
        <w:rPr>
          <w:b/>
          <w:spacing w:val="-1"/>
          <w:w w:val="99"/>
          <w:sz w:val="25"/>
        </w:rPr>
        <w:t>S</w:t>
      </w:r>
      <w:r>
        <w:rPr>
          <w:b/>
          <w:w w:val="99"/>
          <w:sz w:val="25"/>
        </w:rPr>
        <w:t>I</w:t>
      </w:r>
      <w:r>
        <w:rPr>
          <w:spacing w:val="3"/>
          <w:w w:val="80"/>
          <w:sz w:val="25"/>
        </w:rPr>
        <w:t>‖</w:t>
      </w:r>
      <w:r>
        <w:rPr>
          <w:w w:val="99"/>
          <w:sz w:val="25"/>
        </w:rPr>
        <w:t>)</w:t>
      </w:r>
      <w:r>
        <w:rPr>
          <w:sz w:val="25"/>
        </w:rPr>
        <w:t> </w:t>
      </w:r>
      <w:r>
        <w:rPr>
          <w:spacing w:val="-17"/>
          <w:sz w:val="25"/>
        </w:rPr>
        <w:t> </w:t>
      </w:r>
      <w:r>
        <w:rPr>
          <w:w w:val="99"/>
          <w:sz w:val="25"/>
        </w:rPr>
        <w:t>to</w:t>
      </w:r>
      <w:r>
        <w:rPr>
          <w:sz w:val="25"/>
        </w:rPr>
        <w:t> </w:t>
      </w:r>
      <w:r>
        <w:rPr>
          <w:spacing w:val="-17"/>
          <w:sz w:val="25"/>
        </w:rPr>
        <w:t> </w:t>
      </w:r>
      <w:r>
        <w:rPr>
          <w:w w:val="99"/>
          <w:sz w:val="25"/>
        </w:rPr>
        <w:t>c</w:t>
      </w:r>
      <w:r>
        <w:rPr>
          <w:spacing w:val="-2"/>
          <w:w w:val="99"/>
          <w:sz w:val="25"/>
        </w:rPr>
        <w:t>a</w:t>
      </w:r>
      <w:r>
        <w:rPr>
          <w:w w:val="99"/>
          <w:sz w:val="25"/>
        </w:rPr>
        <w:t>rry</w:t>
      </w:r>
      <w:r>
        <w:rPr>
          <w:sz w:val="25"/>
        </w:rPr>
        <w:t> </w:t>
      </w:r>
      <w:r>
        <w:rPr>
          <w:spacing w:val="-20"/>
          <w:sz w:val="25"/>
        </w:rPr>
        <w:t> </w:t>
      </w:r>
      <w:r>
        <w:rPr>
          <w:spacing w:val="-1"/>
          <w:w w:val="99"/>
          <w:sz w:val="25"/>
        </w:rPr>
        <w:t>o</w:t>
      </w:r>
      <w:r>
        <w:rPr>
          <w:w w:val="99"/>
          <w:sz w:val="25"/>
        </w:rPr>
        <w:t>ut</w:t>
      </w:r>
      <w:r>
        <w:rPr>
          <w:sz w:val="25"/>
        </w:rPr>
        <w:t> </w:t>
      </w:r>
      <w:r>
        <w:rPr>
          <w:spacing w:val="-17"/>
          <w:sz w:val="25"/>
        </w:rPr>
        <w:t> </w:t>
      </w:r>
      <w:r>
        <w:rPr>
          <w:w w:val="99"/>
          <w:sz w:val="25"/>
        </w:rPr>
        <w:t>a </w:t>
      </w:r>
      <w:r>
        <w:rPr>
          <w:sz w:val="25"/>
        </w:rPr>
        <w:t>scientific investigation and have the disputed site surveyed by Ground </w:t>
      </w:r>
      <w:r>
        <w:rPr>
          <w:spacing w:val="-1"/>
          <w:w w:val="99"/>
          <w:sz w:val="25"/>
        </w:rPr>
        <w:t>P</w:t>
      </w:r>
      <w:r>
        <w:rPr>
          <w:w w:val="99"/>
          <w:sz w:val="25"/>
        </w:rPr>
        <w:t>en</w:t>
      </w:r>
      <w:r>
        <w:rPr>
          <w:w w:val="99"/>
          <w:sz w:val="25"/>
        </w:rPr>
        <w:t>et</w:t>
      </w:r>
      <w:r>
        <w:rPr>
          <w:spacing w:val="1"/>
          <w:w w:val="99"/>
          <w:sz w:val="25"/>
        </w:rPr>
        <w:t>r</w:t>
      </w:r>
      <w:r>
        <w:rPr>
          <w:w w:val="99"/>
          <w:sz w:val="25"/>
        </w:rPr>
        <w:t>ating</w:t>
      </w:r>
      <w:r>
        <w:rPr>
          <w:sz w:val="25"/>
        </w:rPr>
        <w:t> </w:t>
      </w:r>
      <w:r>
        <w:rPr>
          <w:spacing w:val="-17"/>
          <w:sz w:val="25"/>
        </w:rPr>
        <w:t> </w:t>
      </w:r>
      <w:r>
        <w:rPr>
          <w:w w:val="99"/>
          <w:sz w:val="25"/>
        </w:rPr>
        <w:t>T</w:t>
      </w:r>
      <w:r>
        <w:rPr>
          <w:w w:val="99"/>
          <w:sz w:val="25"/>
        </w:rPr>
        <w:t>echno</w:t>
      </w:r>
      <w:r>
        <w:rPr>
          <w:w w:val="99"/>
          <w:sz w:val="25"/>
        </w:rPr>
        <w:t>l</w:t>
      </w:r>
      <w:r>
        <w:rPr>
          <w:spacing w:val="-3"/>
          <w:w w:val="99"/>
          <w:sz w:val="25"/>
        </w:rPr>
        <w:t>o</w:t>
      </w:r>
      <w:r>
        <w:rPr>
          <w:w w:val="99"/>
          <w:sz w:val="25"/>
        </w:rPr>
        <w:t>gy</w:t>
      </w:r>
      <w:r>
        <w:rPr>
          <w:sz w:val="25"/>
        </w:rPr>
        <w:t> </w:t>
      </w:r>
      <w:r>
        <w:rPr>
          <w:spacing w:val="-19"/>
          <w:sz w:val="25"/>
        </w:rPr>
        <w:t> </w:t>
      </w:r>
      <w:r>
        <w:rPr>
          <w:w w:val="99"/>
          <w:sz w:val="25"/>
        </w:rPr>
        <w:t>or</w:t>
      </w:r>
      <w:r>
        <w:rPr>
          <w:sz w:val="25"/>
        </w:rPr>
        <w:t> </w:t>
      </w:r>
      <w:r>
        <w:rPr>
          <w:spacing w:val="-16"/>
          <w:sz w:val="25"/>
        </w:rPr>
        <w:t> </w:t>
      </w:r>
      <w:r>
        <w:rPr>
          <w:w w:val="99"/>
          <w:sz w:val="25"/>
        </w:rPr>
        <w:t>Ge</w:t>
      </w:r>
      <w:r>
        <w:rPr>
          <w:spacing w:val="5"/>
          <w:w w:val="99"/>
          <w:sz w:val="25"/>
        </w:rPr>
        <w:t>o</w:t>
      </w:r>
      <w:r>
        <w:rPr>
          <w:w w:val="99"/>
          <w:sz w:val="25"/>
        </w:rPr>
        <w:t>-</w:t>
      </w:r>
      <w:r>
        <w:rPr>
          <w:spacing w:val="-1"/>
          <w:w w:val="99"/>
          <w:sz w:val="25"/>
        </w:rPr>
        <w:t>Radi</w:t>
      </w:r>
      <w:r>
        <w:rPr>
          <w:w w:val="99"/>
          <w:sz w:val="25"/>
        </w:rPr>
        <w:t>o</w:t>
      </w:r>
      <w:r>
        <w:rPr>
          <w:spacing w:val="-1"/>
          <w:w w:val="99"/>
          <w:sz w:val="25"/>
        </w:rPr>
        <w:t>log</w:t>
      </w:r>
      <w:r>
        <w:rPr>
          <w:w w:val="99"/>
          <w:sz w:val="25"/>
        </w:rPr>
        <w:t>y</w:t>
      </w:r>
      <w:r>
        <w:rPr>
          <w:sz w:val="25"/>
        </w:rPr>
        <w:t> </w:t>
      </w:r>
      <w:r>
        <w:rPr>
          <w:spacing w:val="-17"/>
          <w:sz w:val="25"/>
        </w:rPr>
        <w:t> </w:t>
      </w:r>
      <w:r>
        <w:rPr>
          <w:w w:val="99"/>
          <w:sz w:val="25"/>
        </w:rPr>
        <w:t>(</w:t>
      </w:r>
      <w:r>
        <w:rPr>
          <w:spacing w:val="2"/>
          <w:w w:val="33"/>
          <w:sz w:val="25"/>
        </w:rPr>
        <w:t>―</w:t>
      </w:r>
      <w:r>
        <w:rPr>
          <w:b/>
          <w:w w:val="99"/>
          <w:sz w:val="25"/>
        </w:rPr>
        <w:t>GP</w:t>
      </w:r>
      <w:r>
        <w:rPr>
          <w:b/>
          <w:spacing w:val="-1"/>
          <w:w w:val="99"/>
          <w:sz w:val="25"/>
        </w:rPr>
        <w:t>R</w:t>
      </w:r>
      <w:r>
        <w:rPr>
          <w:w w:val="80"/>
          <w:sz w:val="25"/>
        </w:rPr>
        <w:t>‖</w:t>
      </w:r>
      <w:r>
        <w:rPr>
          <w:w w:val="99"/>
          <w:sz w:val="25"/>
        </w:rPr>
        <w:t>).</w:t>
      </w:r>
      <w:r>
        <w:rPr>
          <w:sz w:val="25"/>
        </w:rPr>
        <w:t> </w:t>
      </w:r>
      <w:r>
        <w:rPr>
          <w:spacing w:val="-19"/>
          <w:sz w:val="25"/>
        </w:rPr>
        <w:t> </w:t>
      </w:r>
      <w:r>
        <w:rPr>
          <w:w w:val="99"/>
          <w:sz w:val="25"/>
        </w:rPr>
        <w:t>T</w:t>
      </w:r>
      <w:r>
        <w:rPr>
          <w:spacing w:val="-1"/>
          <w:w w:val="99"/>
          <w:sz w:val="25"/>
        </w:rPr>
        <w:t>h</w:t>
      </w:r>
      <w:r>
        <w:rPr>
          <w:w w:val="99"/>
          <w:sz w:val="25"/>
        </w:rPr>
        <w:t>e</w:t>
      </w:r>
      <w:r>
        <w:rPr>
          <w:sz w:val="25"/>
        </w:rPr>
        <w:t> </w:t>
      </w:r>
      <w:r>
        <w:rPr>
          <w:spacing w:val="-17"/>
          <w:sz w:val="25"/>
        </w:rPr>
        <w:t> </w:t>
      </w:r>
      <w:r>
        <w:rPr>
          <w:w w:val="99"/>
          <w:sz w:val="25"/>
        </w:rPr>
        <w:t>GPR</w:t>
      </w:r>
      <w:r>
        <w:rPr>
          <w:sz w:val="25"/>
        </w:rPr>
        <w:t> </w:t>
      </w:r>
      <w:r>
        <w:rPr>
          <w:spacing w:val="-21"/>
          <w:sz w:val="25"/>
        </w:rPr>
        <w:t> </w:t>
      </w:r>
      <w:r>
        <w:rPr>
          <w:w w:val="99"/>
          <w:sz w:val="25"/>
        </w:rPr>
        <w:t>r</w:t>
      </w:r>
      <w:r>
        <w:rPr>
          <w:spacing w:val="-1"/>
          <w:w w:val="99"/>
          <w:sz w:val="25"/>
        </w:rPr>
        <w:t>e</w:t>
      </w:r>
      <w:r>
        <w:rPr>
          <w:w w:val="99"/>
          <w:sz w:val="25"/>
        </w:rPr>
        <w:t>p</w:t>
      </w:r>
      <w:r>
        <w:rPr>
          <w:spacing w:val="-1"/>
          <w:w w:val="99"/>
          <w:sz w:val="25"/>
        </w:rPr>
        <w:t>o</w:t>
      </w:r>
      <w:r>
        <w:rPr>
          <w:w w:val="99"/>
          <w:sz w:val="25"/>
        </w:rPr>
        <w:t>rt</w:t>
      </w:r>
      <w:r>
        <w:rPr>
          <w:sz w:val="25"/>
        </w:rPr>
        <w:t> </w:t>
      </w:r>
      <w:r>
        <w:rPr>
          <w:spacing w:val="-17"/>
          <w:sz w:val="25"/>
        </w:rPr>
        <w:t> </w:t>
      </w:r>
      <w:r>
        <w:rPr>
          <w:spacing w:val="-1"/>
          <w:w w:val="99"/>
          <w:sz w:val="25"/>
        </w:rPr>
        <w:t>d</w:t>
      </w:r>
      <w:r>
        <w:rPr>
          <w:spacing w:val="-2"/>
          <w:w w:val="99"/>
          <w:sz w:val="25"/>
        </w:rPr>
        <w:t>a</w:t>
      </w:r>
      <w:r>
        <w:rPr>
          <w:w w:val="99"/>
          <w:sz w:val="25"/>
        </w:rPr>
        <w:t>ted</w:t>
      </w:r>
      <w:r>
        <w:rPr>
          <w:sz w:val="25"/>
        </w:rPr>
        <w:t> </w:t>
      </w:r>
      <w:r>
        <w:rPr>
          <w:spacing w:val="-17"/>
          <w:sz w:val="25"/>
        </w:rPr>
        <w:t> </w:t>
      </w:r>
      <w:r>
        <w:rPr>
          <w:spacing w:val="-3"/>
          <w:w w:val="99"/>
          <w:sz w:val="25"/>
        </w:rPr>
        <w:t>1</w:t>
      </w:r>
      <w:r>
        <w:rPr>
          <w:w w:val="99"/>
          <w:sz w:val="25"/>
        </w:rPr>
        <w:t>7 F</w:t>
      </w:r>
      <w:r>
        <w:rPr>
          <w:spacing w:val="-1"/>
          <w:w w:val="99"/>
          <w:sz w:val="25"/>
        </w:rPr>
        <w:t>e</w:t>
      </w:r>
      <w:r>
        <w:rPr>
          <w:w w:val="99"/>
          <w:sz w:val="25"/>
        </w:rPr>
        <w:t>br</w:t>
      </w:r>
      <w:r>
        <w:rPr>
          <w:spacing w:val="-1"/>
          <w:w w:val="99"/>
          <w:sz w:val="25"/>
        </w:rPr>
        <w:t>u</w:t>
      </w:r>
      <w:r>
        <w:rPr>
          <w:w w:val="99"/>
          <w:sz w:val="25"/>
        </w:rPr>
        <w:t>ary</w:t>
      </w:r>
      <w:r>
        <w:rPr>
          <w:spacing w:val="11"/>
          <w:sz w:val="25"/>
        </w:rPr>
        <w:t> </w:t>
      </w:r>
      <w:r>
        <w:rPr>
          <w:spacing w:val="-1"/>
          <w:w w:val="99"/>
          <w:sz w:val="25"/>
        </w:rPr>
        <w:t>2</w:t>
      </w:r>
      <w:r>
        <w:rPr>
          <w:w w:val="99"/>
          <w:sz w:val="25"/>
        </w:rPr>
        <w:t>0</w:t>
      </w:r>
      <w:r>
        <w:rPr>
          <w:spacing w:val="-1"/>
          <w:w w:val="99"/>
          <w:sz w:val="25"/>
        </w:rPr>
        <w:t>0</w:t>
      </w:r>
      <w:r>
        <w:rPr>
          <w:w w:val="99"/>
          <w:sz w:val="25"/>
        </w:rPr>
        <w:t>3</w:t>
      </w:r>
      <w:r>
        <w:rPr>
          <w:spacing w:val="14"/>
          <w:sz w:val="25"/>
        </w:rPr>
        <w:t> </w:t>
      </w:r>
      <w:r>
        <w:rPr>
          <w:spacing w:val="-1"/>
          <w:w w:val="99"/>
          <w:sz w:val="25"/>
        </w:rPr>
        <w:t>indic</w:t>
      </w:r>
      <w:r>
        <w:rPr>
          <w:w w:val="99"/>
          <w:sz w:val="25"/>
        </w:rPr>
        <w:t>ated</w:t>
      </w:r>
      <w:r>
        <w:rPr>
          <w:spacing w:val="15"/>
          <w:sz w:val="25"/>
        </w:rPr>
        <w:t> </w:t>
      </w:r>
      <w:r>
        <w:rPr>
          <w:w w:val="99"/>
          <w:sz w:val="25"/>
        </w:rPr>
        <w:t>a</w:t>
      </w:r>
      <w:r>
        <w:rPr>
          <w:spacing w:val="14"/>
          <w:sz w:val="25"/>
        </w:rPr>
        <w:t> </w:t>
      </w:r>
      <w:r>
        <w:rPr>
          <w:spacing w:val="-3"/>
          <w:w w:val="99"/>
          <w:sz w:val="25"/>
        </w:rPr>
        <w:t>v</w:t>
      </w:r>
      <w:r>
        <w:rPr>
          <w:spacing w:val="-1"/>
          <w:w w:val="99"/>
          <w:sz w:val="25"/>
        </w:rPr>
        <w:t>a</w:t>
      </w:r>
      <w:r>
        <w:rPr>
          <w:w w:val="99"/>
          <w:sz w:val="25"/>
        </w:rPr>
        <w:t>r</w:t>
      </w:r>
      <w:r>
        <w:rPr>
          <w:spacing w:val="-1"/>
          <w:w w:val="99"/>
          <w:sz w:val="25"/>
        </w:rPr>
        <w:t>ie</w:t>
      </w:r>
      <w:r>
        <w:rPr>
          <w:spacing w:val="2"/>
          <w:w w:val="99"/>
          <w:sz w:val="25"/>
        </w:rPr>
        <w:t>t</w:t>
      </w:r>
      <w:r>
        <w:rPr>
          <w:w w:val="99"/>
          <w:sz w:val="25"/>
        </w:rPr>
        <w:t>y</w:t>
      </w:r>
      <w:r>
        <w:rPr>
          <w:spacing w:val="11"/>
          <w:sz w:val="25"/>
        </w:rPr>
        <w:t> </w:t>
      </w:r>
      <w:r>
        <w:rPr>
          <w:spacing w:val="-1"/>
          <w:w w:val="99"/>
          <w:sz w:val="25"/>
        </w:rPr>
        <w:t>o</w:t>
      </w:r>
      <w:r>
        <w:rPr>
          <w:w w:val="99"/>
          <w:sz w:val="25"/>
        </w:rPr>
        <w:t>f</w:t>
      </w:r>
      <w:r>
        <w:rPr>
          <w:spacing w:val="14"/>
          <w:sz w:val="25"/>
        </w:rPr>
        <w:t> </w:t>
      </w:r>
      <w:r>
        <w:rPr>
          <w:w w:val="33"/>
          <w:sz w:val="25"/>
        </w:rPr>
        <w:t>―</w:t>
      </w:r>
      <w:r>
        <w:rPr>
          <w:spacing w:val="-1"/>
          <w:w w:val="99"/>
          <w:sz w:val="25"/>
        </w:rPr>
        <w:t>a</w:t>
      </w:r>
      <w:r>
        <w:rPr>
          <w:w w:val="99"/>
          <w:sz w:val="25"/>
        </w:rPr>
        <w:t>n</w:t>
      </w:r>
      <w:r>
        <w:rPr>
          <w:spacing w:val="-1"/>
          <w:w w:val="99"/>
          <w:sz w:val="25"/>
        </w:rPr>
        <w:t>o</w:t>
      </w:r>
      <w:r>
        <w:rPr>
          <w:w w:val="99"/>
          <w:sz w:val="25"/>
        </w:rPr>
        <w:t>m</w:t>
      </w:r>
      <w:r>
        <w:rPr>
          <w:spacing w:val="-1"/>
          <w:w w:val="96"/>
          <w:sz w:val="25"/>
        </w:rPr>
        <w:t>alies</w:t>
      </w:r>
      <w:r>
        <w:rPr>
          <w:w w:val="96"/>
          <w:sz w:val="25"/>
        </w:rPr>
        <w:t>‖</w:t>
      </w:r>
      <w:r>
        <w:rPr>
          <w:spacing w:val="15"/>
          <w:sz w:val="25"/>
        </w:rPr>
        <w:t> </w:t>
      </w:r>
      <w:r>
        <w:rPr>
          <w:spacing w:val="-1"/>
          <w:w w:val="99"/>
          <w:sz w:val="25"/>
        </w:rPr>
        <w:t>whic</w:t>
      </w:r>
      <w:r>
        <w:rPr>
          <w:w w:val="99"/>
          <w:sz w:val="25"/>
        </w:rPr>
        <w:t>h</w:t>
      </w:r>
      <w:r>
        <w:rPr>
          <w:spacing w:val="14"/>
          <w:sz w:val="25"/>
        </w:rPr>
        <w:t> </w:t>
      </w:r>
      <w:r>
        <w:rPr>
          <w:w w:val="99"/>
          <w:sz w:val="25"/>
        </w:rPr>
        <w:t>cou</w:t>
      </w:r>
      <w:r>
        <w:rPr>
          <w:spacing w:val="-1"/>
          <w:w w:val="99"/>
          <w:sz w:val="25"/>
        </w:rPr>
        <w:t>l</w:t>
      </w:r>
      <w:r>
        <w:rPr>
          <w:w w:val="99"/>
          <w:sz w:val="25"/>
        </w:rPr>
        <w:t>d</w:t>
      </w:r>
      <w:r>
        <w:rPr>
          <w:spacing w:val="14"/>
          <w:sz w:val="25"/>
        </w:rPr>
        <w:t> </w:t>
      </w:r>
      <w:r>
        <w:rPr>
          <w:spacing w:val="-1"/>
          <w:w w:val="99"/>
          <w:sz w:val="25"/>
        </w:rPr>
        <w:t>b</w:t>
      </w:r>
      <w:r>
        <w:rPr>
          <w:w w:val="99"/>
          <w:sz w:val="25"/>
        </w:rPr>
        <w:t>e</w:t>
      </w:r>
      <w:r>
        <w:rPr>
          <w:spacing w:val="14"/>
          <w:sz w:val="25"/>
        </w:rPr>
        <w:t> </w:t>
      </w:r>
      <w:r>
        <w:rPr>
          <w:spacing w:val="-1"/>
          <w:w w:val="99"/>
          <w:sz w:val="25"/>
        </w:rPr>
        <w:t>ass</w:t>
      </w:r>
      <w:r>
        <w:rPr>
          <w:w w:val="99"/>
          <w:sz w:val="25"/>
        </w:rPr>
        <w:t>ociated</w:t>
      </w:r>
      <w:r>
        <w:rPr>
          <w:spacing w:val="14"/>
          <w:sz w:val="25"/>
        </w:rPr>
        <w:t> </w:t>
      </w:r>
      <w:r>
        <w:rPr>
          <w:spacing w:val="-1"/>
          <w:w w:val="99"/>
          <w:sz w:val="25"/>
        </w:rPr>
        <w:t>with</w:t>
      </w:r>
    </w:p>
    <w:p>
      <w:pPr>
        <w:pStyle w:val="BodyText"/>
        <w:spacing w:line="480" w:lineRule="auto" w:before="2"/>
        <w:ind w:left="500" w:right="438"/>
        <w:jc w:val="both"/>
      </w:pPr>
      <w:r>
        <w:rPr>
          <w:w w:val="33"/>
        </w:rPr>
        <w:t>―</w:t>
      </w:r>
      <w:r>
        <w:rPr>
          <w:spacing w:val="-1"/>
          <w:w w:val="99"/>
        </w:rPr>
        <w:t>a</w:t>
      </w:r>
      <w:r>
        <w:rPr>
          <w:w w:val="99"/>
        </w:rPr>
        <w:t>ncient</w:t>
      </w:r>
      <w:r>
        <w:rPr>
          <w:spacing w:val="2"/>
        </w:rPr>
        <w:t> </w:t>
      </w:r>
      <w:r>
        <w:rPr>
          <w:spacing w:val="-1"/>
          <w:w w:val="99"/>
        </w:rPr>
        <w:t>a</w:t>
      </w:r>
      <w:r>
        <w:rPr>
          <w:w w:val="99"/>
        </w:rPr>
        <w:t>nd</w:t>
      </w:r>
      <w:r>
        <w:rPr>
          <w:spacing w:val="2"/>
        </w:rPr>
        <w:t> </w:t>
      </w:r>
      <w:r>
        <w:rPr>
          <w:w w:val="99"/>
        </w:rPr>
        <w:t>conte</w:t>
      </w:r>
      <w:r>
        <w:rPr>
          <w:spacing w:val="1"/>
          <w:w w:val="99"/>
        </w:rPr>
        <w:t>m</w:t>
      </w:r>
      <w:r>
        <w:rPr>
          <w:spacing w:val="-3"/>
          <w:w w:val="99"/>
        </w:rPr>
        <w:t>p</w:t>
      </w:r>
      <w:r>
        <w:rPr>
          <w:spacing w:val="-1"/>
          <w:w w:val="99"/>
        </w:rPr>
        <w:t>o</w:t>
      </w:r>
      <w:r>
        <w:rPr>
          <w:w w:val="99"/>
        </w:rPr>
        <w:t>r</w:t>
      </w:r>
      <w:r>
        <w:rPr>
          <w:spacing w:val="-1"/>
          <w:w w:val="99"/>
        </w:rPr>
        <w:t>a</w:t>
      </w:r>
      <w:r>
        <w:rPr>
          <w:w w:val="99"/>
        </w:rPr>
        <w:t>n</w:t>
      </w:r>
      <w:r>
        <w:rPr>
          <w:spacing w:val="-1"/>
          <w:w w:val="99"/>
        </w:rPr>
        <w:t>e</w:t>
      </w:r>
      <w:r>
        <w:rPr>
          <w:w w:val="99"/>
        </w:rPr>
        <w:t>o</w:t>
      </w:r>
      <w:r>
        <w:rPr>
          <w:spacing w:val="-1"/>
          <w:w w:val="99"/>
        </w:rPr>
        <w:t>u</w:t>
      </w:r>
      <w:r>
        <w:rPr>
          <w:w w:val="99"/>
        </w:rPr>
        <w:t>s</w:t>
      </w:r>
      <w:r>
        <w:rPr>
          <w:spacing w:val="2"/>
        </w:rPr>
        <w:t> </w:t>
      </w:r>
      <w:r>
        <w:rPr>
          <w:w w:val="99"/>
        </w:rPr>
        <w:t>str</w:t>
      </w:r>
      <w:r>
        <w:rPr>
          <w:spacing w:val="-1"/>
          <w:w w:val="99"/>
        </w:rPr>
        <w:t>uct</w:t>
      </w:r>
      <w:r>
        <w:rPr>
          <w:w w:val="99"/>
        </w:rPr>
        <w:t>ur</w:t>
      </w:r>
      <w:r>
        <w:rPr>
          <w:spacing w:val="-1"/>
          <w:w w:val="99"/>
        </w:rPr>
        <w:t>e</w:t>
      </w:r>
      <w:r>
        <w:rPr>
          <w:spacing w:val="-3"/>
          <w:w w:val="99"/>
        </w:rPr>
        <w:t>s</w:t>
      </w:r>
      <w:r>
        <w:rPr>
          <w:w w:val="80"/>
        </w:rPr>
        <w:t>‖</w:t>
      </w:r>
      <w:r>
        <w:rPr/>
        <w:t> </w:t>
      </w:r>
      <w:r>
        <w:rPr>
          <w:w w:val="99"/>
        </w:rPr>
        <w:t>such</w:t>
      </w:r>
      <w:r>
        <w:rPr>
          <w:spacing w:val="2"/>
        </w:rPr>
        <w:t> </w:t>
      </w:r>
      <w:r>
        <w:rPr>
          <w:spacing w:val="-1"/>
          <w:w w:val="99"/>
        </w:rPr>
        <w:t>a</w:t>
      </w:r>
      <w:r>
        <w:rPr>
          <w:w w:val="99"/>
        </w:rPr>
        <w:t>s</w:t>
      </w:r>
      <w:r>
        <w:rPr>
          <w:spacing w:val="2"/>
        </w:rPr>
        <w:t> </w:t>
      </w:r>
      <w:r>
        <w:rPr>
          <w:spacing w:val="-1"/>
          <w:w w:val="99"/>
        </w:rPr>
        <w:t>pilla</w:t>
      </w:r>
      <w:r>
        <w:rPr>
          <w:w w:val="99"/>
        </w:rPr>
        <w:t>rs,</w:t>
      </w:r>
      <w:r>
        <w:rPr>
          <w:spacing w:val="2"/>
        </w:rPr>
        <w:t> </w:t>
      </w:r>
      <w:r>
        <w:rPr>
          <w:w w:val="99"/>
        </w:rPr>
        <w:t>fou</w:t>
      </w:r>
      <w:r>
        <w:rPr>
          <w:spacing w:val="-1"/>
          <w:w w:val="99"/>
        </w:rPr>
        <w:t>n</w:t>
      </w:r>
      <w:r>
        <w:rPr>
          <w:w w:val="99"/>
        </w:rPr>
        <w:t>d</w:t>
      </w:r>
      <w:r>
        <w:rPr>
          <w:spacing w:val="-1"/>
          <w:w w:val="99"/>
        </w:rPr>
        <w:t>ati</w:t>
      </w:r>
      <w:r>
        <w:rPr>
          <w:w w:val="99"/>
        </w:rPr>
        <w:t>o</w:t>
      </w:r>
      <w:r>
        <w:rPr>
          <w:spacing w:val="-1"/>
          <w:w w:val="99"/>
        </w:rPr>
        <w:t>ns</w:t>
      </w:r>
      <w:r>
        <w:rPr>
          <w:w w:val="99"/>
        </w:rPr>
        <w:t>,</w:t>
      </w:r>
      <w:r>
        <w:rPr>
          <w:spacing w:val="2"/>
        </w:rPr>
        <w:t> </w:t>
      </w:r>
      <w:r>
        <w:rPr>
          <w:spacing w:val="-1"/>
          <w:w w:val="99"/>
        </w:rPr>
        <w:t>wal</w:t>
      </w:r>
      <w:r>
        <w:rPr>
          <w:w w:val="99"/>
        </w:rPr>
        <w:t>l</w:t>
      </w:r>
      <w:r>
        <w:rPr>
          <w:spacing w:val="2"/>
        </w:rPr>
        <w:t> </w:t>
      </w:r>
      <w:r>
        <w:rPr>
          <w:w w:val="99"/>
        </w:rPr>
        <w:t>slabs </w:t>
      </w:r>
      <w:r>
        <w:rPr/>
        <w:t>and flooring extending over a large portion of the disputed site. In order to facilitate a further analysis, the High Court directed the ASI on 5 March 2003 to undertake the excavation of the disputed site. A fourteen-member team was constituted, and a site plan was prepared indicating the number of trenches to be laid out and excavated. On 22 August 2003, the ASI submitted its final report. The High Court heard objections to the</w:t>
      </w:r>
      <w:r>
        <w:rPr>
          <w:spacing w:val="-7"/>
        </w:rPr>
        <w:t> </w:t>
      </w:r>
      <w:r>
        <w:rPr/>
        <w:t>report.</w:t>
      </w:r>
    </w:p>
    <w:p>
      <w:pPr>
        <w:pStyle w:val="BodyText"/>
        <w:spacing w:before="11"/>
        <w:rPr>
          <w:sz w:val="24"/>
        </w:rPr>
      </w:pPr>
    </w:p>
    <w:p>
      <w:pPr>
        <w:pStyle w:val="ListParagraph"/>
        <w:numPr>
          <w:ilvl w:val="0"/>
          <w:numId w:val="3"/>
        </w:numPr>
        <w:tabs>
          <w:tab w:pos="1221" w:val="left" w:leader="none"/>
        </w:tabs>
        <w:spacing w:line="480" w:lineRule="auto" w:before="0" w:after="0"/>
        <w:ind w:left="500" w:right="441" w:firstLine="0"/>
        <w:jc w:val="both"/>
        <w:rPr>
          <w:sz w:val="25"/>
        </w:rPr>
      </w:pPr>
      <w:r>
        <w:rPr>
          <w:sz w:val="25"/>
        </w:rPr>
        <w:t>Evidence, both oral and documentary, was recorded before the High Court. As one of the judges, Justice Sudhir Agarwal noted, the High Court had before it 533 exhibits and depositions of 87 witnesses traversing 13,990 pages. Besides this, counsel relied on over a thousand reference books in Sanskrit, Hindi, Urdu, Persian, Turkish, French and English, ranging from subjects as diverse as history, culture, archaeology and religion. The High Court ensured</w:t>
      </w:r>
      <w:r>
        <w:rPr>
          <w:spacing w:val="13"/>
          <w:sz w:val="25"/>
        </w:rPr>
        <w:t> </w:t>
      </w:r>
      <w:r>
        <w:rPr>
          <w:sz w:val="25"/>
        </w:rPr>
        <w:t>that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the innumerable archaeological artefacts were kept in the record room. It received dozens of CDs and other records which the three judges of the High Court have</w:t>
      </w:r>
      <w:r>
        <w:rPr>
          <w:spacing w:val="-3"/>
        </w:rPr>
        <w:t> </w:t>
      </w:r>
      <w:r>
        <w:rPr/>
        <w:t>marshalled.</w:t>
      </w:r>
    </w:p>
    <w:p>
      <w:pPr>
        <w:pStyle w:val="BodyText"/>
        <w:spacing w:before="1"/>
      </w:pPr>
    </w:p>
    <w:p>
      <w:pPr>
        <w:pStyle w:val="Heading4"/>
        <w:rPr>
          <w:i/>
        </w:rPr>
      </w:pPr>
      <w:r>
        <w:rPr>
          <w:i/>
        </w:rPr>
        <w:t>The decision of the High Court</w:t>
      </w:r>
    </w:p>
    <w:p>
      <w:pPr>
        <w:pStyle w:val="BodyText"/>
        <w:rPr>
          <w:i/>
          <w:sz w:val="28"/>
        </w:rPr>
      </w:pPr>
    </w:p>
    <w:p>
      <w:pPr>
        <w:pStyle w:val="BodyText"/>
        <w:spacing w:before="11"/>
        <w:rPr>
          <w:i/>
          <w:sz w:val="21"/>
        </w:rPr>
      </w:pPr>
    </w:p>
    <w:p>
      <w:pPr>
        <w:pStyle w:val="ListParagraph"/>
        <w:numPr>
          <w:ilvl w:val="0"/>
          <w:numId w:val="3"/>
        </w:numPr>
        <w:tabs>
          <w:tab w:pos="1221" w:val="left" w:leader="none"/>
        </w:tabs>
        <w:spacing w:line="480" w:lineRule="auto" w:before="0" w:after="0"/>
        <w:ind w:left="500" w:right="442" w:firstLine="0"/>
        <w:jc w:val="both"/>
        <w:rPr>
          <w:sz w:val="25"/>
        </w:rPr>
      </w:pPr>
      <w:r>
        <w:rPr>
          <w:sz w:val="25"/>
        </w:rPr>
        <w:t>On 30 September 2010, the Full Bench of the High Court comprising of Justice S U </w:t>
      </w:r>
      <w:r>
        <w:rPr>
          <w:color w:val="000009"/>
          <w:sz w:val="25"/>
        </w:rPr>
        <w:t>Khan</w:t>
      </w:r>
      <w:r>
        <w:rPr>
          <w:sz w:val="25"/>
        </w:rPr>
        <w:t>, </w:t>
      </w:r>
      <w:r>
        <w:rPr>
          <w:color w:val="000009"/>
          <w:sz w:val="25"/>
        </w:rPr>
        <w:t>Justice </w:t>
      </w:r>
      <w:r>
        <w:rPr>
          <w:sz w:val="25"/>
        </w:rPr>
        <w:t>Sudhir Agarwal and Justice D V Sharma delivered the judgment,</w:t>
      </w:r>
      <w:r>
        <w:rPr>
          <w:spacing w:val="13"/>
          <w:sz w:val="25"/>
        </w:rPr>
        <w:t> </w:t>
      </w:r>
      <w:r>
        <w:rPr>
          <w:sz w:val="25"/>
        </w:rPr>
        <w:t>which</w:t>
      </w:r>
      <w:r>
        <w:rPr>
          <w:spacing w:val="13"/>
          <w:sz w:val="25"/>
        </w:rPr>
        <w:t> </w:t>
      </w:r>
      <w:r>
        <w:rPr>
          <w:sz w:val="25"/>
        </w:rPr>
        <w:t>is</w:t>
      </w:r>
      <w:r>
        <w:rPr>
          <w:spacing w:val="13"/>
          <w:sz w:val="25"/>
        </w:rPr>
        <w:t> </w:t>
      </w:r>
      <w:r>
        <w:rPr>
          <w:sz w:val="25"/>
        </w:rPr>
        <w:t>in</w:t>
      </w:r>
      <w:r>
        <w:rPr>
          <w:spacing w:val="13"/>
          <w:sz w:val="25"/>
        </w:rPr>
        <w:t> </w:t>
      </w:r>
      <w:r>
        <w:rPr>
          <w:sz w:val="25"/>
        </w:rPr>
        <w:t>appeal.</w:t>
      </w:r>
      <w:r>
        <w:rPr>
          <w:spacing w:val="13"/>
          <w:sz w:val="25"/>
        </w:rPr>
        <w:t> </w:t>
      </w:r>
      <w:r>
        <w:rPr>
          <w:sz w:val="25"/>
        </w:rPr>
        <w:t>Justice</w:t>
      </w:r>
      <w:r>
        <w:rPr>
          <w:spacing w:val="13"/>
          <w:sz w:val="25"/>
        </w:rPr>
        <w:t> </w:t>
      </w:r>
      <w:r>
        <w:rPr>
          <w:sz w:val="25"/>
        </w:rPr>
        <w:t>S</w:t>
      </w:r>
      <w:r>
        <w:rPr>
          <w:spacing w:val="12"/>
          <w:sz w:val="25"/>
        </w:rPr>
        <w:t> </w:t>
      </w:r>
      <w:r>
        <w:rPr>
          <w:sz w:val="25"/>
        </w:rPr>
        <w:t>U</w:t>
      </w:r>
      <w:r>
        <w:rPr>
          <w:spacing w:val="13"/>
          <w:sz w:val="25"/>
        </w:rPr>
        <w:t> </w:t>
      </w:r>
      <w:r>
        <w:rPr>
          <w:sz w:val="25"/>
        </w:rPr>
        <w:t>Khan</w:t>
      </w:r>
      <w:r>
        <w:rPr>
          <w:spacing w:val="13"/>
          <w:sz w:val="25"/>
        </w:rPr>
        <w:t> </w:t>
      </w:r>
      <w:r>
        <w:rPr>
          <w:sz w:val="25"/>
        </w:rPr>
        <w:t>and</w:t>
      </w:r>
      <w:r>
        <w:rPr>
          <w:spacing w:val="13"/>
          <w:sz w:val="25"/>
        </w:rPr>
        <w:t> </w:t>
      </w:r>
      <w:r>
        <w:rPr>
          <w:sz w:val="25"/>
        </w:rPr>
        <w:t>Justice</w:t>
      </w:r>
      <w:r>
        <w:rPr>
          <w:spacing w:val="13"/>
          <w:sz w:val="25"/>
        </w:rPr>
        <w:t> </w:t>
      </w:r>
      <w:r>
        <w:rPr>
          <w:sz w:val="25"/>
        </w:rPr>
        <w:t>Sudhir</w:t>
      </w:r>
      <w:r>
        <w:rPr>
          <w:spacing w:val="14"/>
          <w:sz w:val="25"/>
        </w:rPr>
        <w:t> </w:t>
      </w:r>
      <w:r>
        <w:rPr>
          <w:sz w:val="25"/>
        </w:rPr>
        <w:t>Agarwal</w:t>
      </w:r>
      <w:r>
        <w:rPr>
          <w:spacing w:val="13"/>
          <w:sz w:val="25"/>
        </w:rPr>
        <w:t> </w:t>
      </w:r>
      <w:r>
        <w:rPr>
          <w:sz w:val="25"/>
        </w:rPr>
        <w:t>held</w:t>
      </w:r>
    </w:p>
    <w:p>
      <w:pPr>
        <w:pStyle w:val="BodyText"/>
        <w:spacing w:line="480" w:lineRule="auto"/>
        <w:ind w:left="500" w:right="436"/>
        <w:jc w:val="both"/>
      </w:pPr>
      <w:r>
        <w:rPr>
          <w:w w:val="33"/>
        </w:rPr>
        <w:t>―</w:t>
      </w:r>
      <w:r>
        <w:rPr>
          <w:spacing w:val="-1"/>
          <w:w w:val="99"/>
        </w:rPr>
        <w:t>al</w:t>
      </w:r>
      <w:r>
        <w:rPr>
          <w:w w:val="99"/>
        </w:rPr>
        <w:t>l</w:t>
      </w:r>
      <w:r>
        <w:rPr/>
        <w:t> </w:t>
      </w:r>
      <w:r>
        <w:rPr>
          <w:spacing w:val="-34"/>
        </w:rPr>
        <w:t> </w:t>
      </w:r>
      <w:r>
        <w:rPr>
          <w:w w:val="99"/>
        </w:rPr>
        <w:t>the</w:t>
      </w:r>
      <w:r>
        <w:rPr/>
        <w:t> </w:t>
      </w:r>
      <w:r>
        <w:rPr>
          <w:spacing w:val="-33"/>
        </w:rPr>
        <w:t> </w:t>
      </w:r>
      <w:r>
        <w:rPr>
          <w:w w:val="99"/>
        </w:rPr>
        <w:t>th</w:t>
      </w:r>
      <w:r>
        <w:rPr>
          <w:spacing w:val="1"/>
          <w:w w:val="99"/>
        </w:rPr>
        <w:t>r</w:t>
      </w:r>
      <w:r>
        <w:rPr>
          <w:spacing w:val="-1"/>
          <w:w w:val="99"/>
        </w:rPr>
        <w:t>e</w:t>
      </w:r>
      <w:r>
        <w:rPr>
          <w:w w:val="99"/>
        </w:rPr>
        <w:t>e</w:t>
      </w:r>
      <w:r>
        <w:rPr/>
        <w:t> </w:t>
      </w:r>
      <w:r>
        <w:rPr>
          <w:spacing w:val="-34"/>
        </w:rPr>
        <w:t> </w:t>
      </w:r>
      <w:r>
        <w:rPr>
          <w:w w:val="99"/>
        </w:rPr>
        <w:t>sets</w:t>
      </w:r>
      <w:r>
        <w:rPr/>
        <w:t> </w:t>
      </w:r>
      <w:r>
        <w:rPr>
          <w:spacing w:val="-33"/>
        </w:rPr>
        <w:t> </w:t>
      </w:r>
      <w:r>
        <w:rPr>
          <w:spacing w:val="-1"/>
          <w:w w:val="99"/>
        </w:rPr>
        <w:t>o</w:t>
      </w:r>
      <w:r>
        <w:rPr>
          <w:w w:val="99"/>
        </w:rPr>
        <w:t>f</w:t>
      </w:r>
      <w:r>
        <w:rPr/>
        <w:t> </w:t>
      </w:r>
      <w:r>
        <w:rPr>
          <w:spacing w:val="-29"/>
        </w:rPr>
        <w:t> </w:t>
      </w:r>
      <w:r>
        <w:rPr>
          <w:spacing w:val="-1"/>
          <w:w w:val="99"/>
        </w:rPr>
        <w:t>p</w:t>
      </w:r>
      <w:r>
        <w:rPr>
          <w:w w:val="99"/>
        </w:rPr>
        <w:t>ar</w:t>
      </w:r>
      <w:r>
        <w:rPr>
          <w:w w:val="95"/>
        </w:rPr>
        <w:t>ties‖</w:t>
      </w:r>
      <w:r>
        <w:rPr/>
        <w:t> </w:t>
      </w:r>
      <w:r>
        <w:rPr>
          <w:spacing w:val="-29"/>
        </w:rPr>
        <w:t> </w:t>
      </w:r>
      <w:r>
        <w:rPr>
          <w:w w:val="99"/>
        </w:rPr>
        <w:t>–</w:t>
      </w:r>
      <w:r>
        <w:rPr/>
        <w:t> </w:t>
      </w:r>
      <w:r>
        <w:rPr>
          <w:spacing w:val="-31"/>
        </w:rPr>
        <w:t> </w:t>
      </w:r>
      <w:r>
        <w:rPr>
          <w:spacing w:val="-4"/>
          <w:w w:val="99"/>
        </w:rPr>
        <w:t>M</w:t>
      </w:r>
      <w:r>
        <w:rPr>
          <w:w w:val="99"/>
        </w:rPr>
        <w:t>uslim</w:t>
      </w:r>
      <w:r>
        <w:rPr>
          <w:w w:val="99"/>
        </w:rPr>
        <w:t>s,</w:t>
      </w:r>
      <w:r>
        <w:rPr/>
        <w:t> </w:t>
      </w:r>
      <w:r>
        <w:rPr>
          <w:spacing w:val="-29"/>
        </w:rPr>
        <w:t> </w:t>
      </w:r>
      <w:r>
        <w:rPr>
          <w:w w:val="99"/>
        </w:rPr>
        <w:t>Hindu</w:t>
      </w:r>
      <w:r>
        <w:rPr>
          <w:w w:val="99"/>
        </w:rPr>
        <w:t>s</w:t>
      </w:r>
      <w:r>
        <w:rPr/>
        <w:t> </w:t>
      </w:r>
      <w:r>
        <w:rPr>
          <w:spacing w:val="-34"/>
        </w:rPr>
        <w:t> </w:t>
      </w:r>
      <w:r>
        <w:rPr>
          <w:w w:val="99"/>
        </w:rPr>
        <w:t>and</w:t>
      </w:r>
      <w:r>
        <w:rPr/>
        <w:t> </w:t>
      </w:r>
      <w:r>
        <w:rPr>
          <w:spacing w:val="-34"/>
        </w:rPr>
        <w:t> </w:t>
      </w:r>
      <w:r>
        <w:rPr>
          <w:w w:val="99"/>
        </w:rPr>
        <w:t>Nir</w:t>
      </w:r>
      <w:r>
        <w:rPr>
          <w:spacing w:val="1"/>
          <w:w w:val="99"/>
        </w:rPr>
        <w:t>m</w:t>
      </w:r>
      <w:r>
        <w:rPr>
          <w:w w:val="99"/>
        </w:rPr>
        <w:t>oh</w:t>
      </w:r>
      <w:r>
        <w:rPr>
          <w:w w:val="99"/>
        </w:rPr>
        <w:t>i</w:t>
      </w:r>
      <w:r>
        <w:rPr/>
        <w:t> </w:t>
      </w:r>
      <w:r>
        <w:rPr>
          <w:spacing w:val="-32"/>
        </w:rPr>
        <w:t> </w:t>
      </w:r>
      <w:r>
        <w:rPr>
          <w:spacing w:val="-1"/>
          <w:w w:val="99"/>
        </w:rPr>
        <w:t>A</w:t>
      </w:r>
      <w:r>
        <w:rPr>
          <w:w w:val="99"/>
        </w:rPr>
        <w:t>kha</w:t>
      </w:r>
      <w:r>
        <w:rPr>
          <w:w w:val="99"/>
        </w:rPr>
        <w:t>r</w:t>
      </w:r>
      <w:r>
        <w:rPr>
          <w:w w:val="99"/>
        </w:rPr>
        <w:t>a</w:t>
      </w:r>
      <w:r>
        <w:rPr/>
        <w:t> </w:t>
      </w:r>
      <w:r>
        <w:rPr>
          <w:spacing w:val="-29"/>
        </w:rPr>
        <w:t> </w:t>
      </w:r>
      <w:r>
        <w:rPr>
          <w:w w:val="99"/>
        </w:rPr>
        <w:t>-</w:t>
      </w:r>
      <w:r>
        <w:rPr/>
        <w:t> </w:t>
      </w:r>
      <w:r>
        <w:rPr>
          <w:spacing w:val="-33"/>
        </w:rPr>
        <w:t> </w:t>
      </w:r>
      <w:r>
        <w:rPr>
          <w:w w:val="99"/>
        </w:rPr>
        <w:t>as</w:t>
      </w:r>
      <w:r>
        <w:rPr/>
        <w:t> </w:t>
      </w:r>
      <w:r>
        <w:rPr>
          <w:spacing w:val="-34"/>
        </w:rPr>
        <w:t> </w:t>
      </w:r>
      <w:r>
        <w:rPr>
          <w:w w:val="99"/>
        </w:rPr>
        <w:t>j</w:t>
      </w:r>
      <w:r>
        <w:rPr>
          <w:spacing w:val="2"/>
          <w:w w:val="99"/>
        </w:rPr>
        <w:t>o</w:t>
      </w:r>
      <w:r>
        <w:rPr>
          <w:w w:val="99"/>
        </w:rPr>
        <w:t>int </w:t>
      </w:r>
      <w:r>
        <w:rPr/>
        <w:t>holders of the disputed premises and allotted a one third share to each of them in a preliminary decree. Justice S U Khan held</w:t>
      </w:r>
      <w:r>
        <w:rPr>
          <w:spacing w:val="-11"/>
        </w:rPr>
        <w:t> </w:t>
      </w:r>
      <w:r>
        <w:rPr/>
        <w:t>thus:</w:t>
      </w:r>
    </w:p>
    <w:p>
      <w:pPr>
        <w:spacing w:line="276" w:lineRule="auto" w:before="0"/>
        <w:ind w:left="1940" w:right="2262" w:firstLine="0"/>
        <w:jc w:val="both"/>
        <w:rPr>
          <w:sz w:val="21"/>
        </w:rPr>
      </w:pPr>
      <w:r>
        <w:rPr>
          <w:w w:val="33"/>
          <w:sz w:val="21"/>
        </w:rPr>
        <w:t>―</w:t>
      </w:r>
      <w:r>
        <w:rPr>
          <w:w w:val="100"/>
          <w:sz w:val="21"/>
        </w:rPr>
        <w:t>Accordingly,</w:t>
      </w:r>
      <w:r>
        <w:rPr>
          <w:sz w:val="21"/>
        </w:rPr>
        <w:t> </w:t>
      </w:r>
      <w:r>
        <w:rPr>
          <w:w w:val="100"/>
          <w:sz w:val="21"/>
        </w:rPr>
        <w:t>all</w:t>
      </w:r>
      <w:r>
        <w:rPr>
          <w:sz w:val="21"/>
        </w:rPr>
        <w:t> </w:t>
      </w:r>
      <w:r>
        <w:rPr>
          <w:w w:val="100"/>
          <w:sz w:val="21"/>
        </w:rPr>
        <w:t>the</w:t>
      </w:r>
      <w:r>
        <w:rPr>
          <w:sz w:val="21"/>
        </w:rPr>
        <w:t> </w:t>
      </w:r>
      <w:r>
        <w:rPr>
          <w:w w:val="100"/>
          <w:sz w:val="21"/>
        </w:rPr>
        <w:t>three</w:t>
      </w:r>
      <w:r>
        <w:rPr>
          <w:sz w:val="21"/>
        </w:rPr>
        <w:t> </w:t>
      </w:r>
      <w:r>
        <w:rPr>
          <w:w w:val="100"/>
          <w:sz w:val="21"/>
        </w:rPr>
        <w:t>sets</w:t>
      </w:r>
      <w:r>
        <w:rPr>
          <w:sz w:val="21"/>
        </w:rPr>
        <w:t> </w:t>
      </w:r>
      <w:r>
        <w:rPr>
          <w:w w:val="100"/>
          <w:sz w:val="21"/>
        </w:rPr>
        <w:t>of</w:t>
      </w:r>
      <w:r>
        <w:rPr>
          <w:sz w:val="21"/>
        </w:rPr>
        <w:t> </w:t>
      </w:r>
      <w:r>
        <w:rPr>
          <w:w w:val="100"/>
          <w:sz w:val="21"/>
        </w:rPr>
        <w:t>parties,</w:t>
      </w:r>
      <w:r>
        <w:rPr>
          <w:sz w:val="21"/>
        </w:rPr>
        <w:t> </w:t>
      </w:r>
      <w:r>
        <w:rPr>
          <w:w w:val="100"/>
          <w:sz w:val="21"/>
        </w:rPr>
        <w:t>i.e.</w:t>
      </w:r>
      <w:r>
        <w:rPr>
          <w:sz w:val="21"/>
        </w:rPr>
        <w:t> </w:t>
      </w:r>
      <w:r>
        <w:rPr>
          <w:w w:val="100"/>
          <w:sz w:val="21"/>
        </w:rPr>
        <w:t>Muslims,</w:t>
      </w:r>
      <w:r>
        <w:rPr>
          <w:sz w:val="21"/>
        </w:rPr>
        <w:t> </w:t>
      </w:r>
      <w:r>
        <w:rPr>
          <w:w w:val="100"/>
          <w:sz w:val="21"/>
        </w:rPr>
        <w:t>Hindus </w:t>
      </w:r>
      <w:r>
        <w:rPr>
          <w:sz w:val="21"/>
        </w:rPr>
        <w:t>and Nirmohi Akhara are declared joint title holders of the property/ premises in dispute as described by letters A B C D E F in the map Plan-I prepared by Sri Shiv Shanker Lal, Pleader/ Commissioner appointed by Court in Suit No.1 to the extent of one third share each for using and managing the same for worshipping. A preliminary decree to this effect is passed.</w:t>
      </w:r>
    </w:p>
    <w:p>
      <w:pPr>
        <w:pStyle w:val="BodyText"/>
        <w:rPr>
          <w:sz w:val="24"/>
        </w:rPr>
      </w:pPr>
    </w:p>
    <w:p>
      <w:pPr>
        <w:spacing w:line="276" w:lineRule="auto" w:before="0"/>
        <w:ind w:left="1940" w:right="2262" w:firstLine="0"/>
        <w:jc w:val="both"/>
        <w:rPr>
          <w:sz w:val="21"/>
        </w:rPr>
      </w:pPr>
      <w:r>
        <w:rPr>
          <w:sz w:val="21"/>
        </w:rPr>
        <w:t>However, it is further declared that the portion below the central dome where at present the idol is kept in makeshift temple will be allotted to Hindus in final decree.</w:t>
      </w:r>
    </w:p>
    <w:p>
      <w:pPr>
        <w:pStyle w:val="BodyText"/>
        <w:spacing w:before="3"/>
        <w:rPr>
          <w:sz w:val="24"/>
        </w:rPr>
      </w:pPr>
    </w:p>
    <w:p>
      <w:pPr>
        <w:spacing w:line="276" w:lineRule="auto" w:before="0"/>
        <w:ind w:left="1940" w:right="2266" w:firstLine="0"/>
        <w:jc w:val="both"/>
        <w:rPr>
          <w:sz w:val="21"/>
        </w:rPr>
      </w:pPr>
      <w:r>
        <w:rPr>
          <w:sz w:val="21"/>
        </w:rPr>
        <w:t>It is further directed that Nirmohi Akhara will be allotted share including that part which is shown by the words Ram Chabutra and Sita Rasoi in the said</w:t>
      </w:r>
      <w:r>
        <w:rPr>
          <w:spacing w:val="-7"/>
          <w:sz w:val="21"/>
        </w:rPr>
        <w:t> </w:t>
      </w:r>
      <w:r>
        <w:rPr>
          <w:sz w:val="21"/>
        </w:rPr>
        <w:t>map.</w:t>
      </w:r>
    </w:p>
    <w:p>
      <w:pPr>
        <w:pStyle w:val="BodyText"/>
        <w:spacing w:before="2"/>
        <w:rPr>
          <w:sz w:val="24"/>
        </w:rPr>
      </w:pPr>
    </w:p>
    <w:p>
      <w:pPr>
        <w:spacing w:line="276" w:lineRule="auto" w:before="0"/>
        <w:ind w:left="1940" w:right="2263" w:firstLine="0"/>
        <w:jc w:val="both"/>
        <w:rPr>
          <w:sz w:val="21"/>
        </w:rPr>
      </w:pPr>
      <w:r>
        <w:rPr>
          <w:sz w:val="21"/>
        </w:rPr>
        <w:t>It is further clarified that even though all the three parties are declared to have one third share each, however if while allotting exact portions some minor adjustment in the share is to be made then the same will be made and the adversely affected party may be compensated by allotting some portion of the adjoining land which has been acquired by the Central Government.</w:t>
      </w:r>
    </w:p>
    <w:p>
      <w:pPr>
        <w:pStyle w:val="BodyText"/>
        <w:spacing w:before="3"/>
        <w:rPr>
          <w:sz w:val="24"/>
        </w:rPr>
      </w:pPr>
    </w:p>
    <w:p>
      <w:pPr>
        <w:spacing w:line="273" w:lineRule="auto" w:before="0"/>
        <w:ind w:left="1940" w:right="2266" w:firstLine="0"/>
        <w:jc w:val="both"/>
        <w:rPr>
          <w:sz w:val="21"/>
        </w:rPr>
      </w:pPr>
      <w:r>
        <w:rPr>
          <w:sz w:val="21"/>
        </w:rPr>
        <w:t>The parties are at liberty to file their suggestions for actual partition by metes and bounds within three months.</w:t>
      </w:r>
    </w:p>
    <w:p>
      <w:pPr>
        <w:spacing w:after="0" w:line="273" w:lineRule="auto"/>
        <w:jc w:val="both"/>
        <w:rPr>
          <w:sz w:val="21"/>
        </w:rPr>
        <w:sectPr>
          <w:pgSz w:w="11910" w:h="16840"/>
          <w:pgMar w:header="721" w:footer="1014" w:top="1300" w:bottom="1200" w:left="940" w:right="1000"/>
        </w:sectPr>
      </w:pPr>
    </w:p>
    <w:p>
      <w:pPr>
        <w:pStyle w:val="BodyText"/>
        <w:spacing w:before="8"/>
        <w:rPr>
          <w:sz w:val="26"/>
        </w:rPr>
      </w:pPr>
    </w:p>
    <w:p>
      <w:pPr>
        <w:spacing w:line="276" w:lineRule="auto" w:before="94"/>
        <w:ind w:left="1940" w:right="2257" w:firstLine="0"/>
        <w:jc w:val="both"/>
        <w:rPr>
          <w:sz w:val="21"/>
        </w:rPr>
      </w:pPr>
      <w:r>
        <w:rPr>
          <w:sz w:val="21"/>
        </w:rPr>
        <w:t>List immediately after filing of any suggestion/ application for preparation of final decree after obtaining necessary instructions from Hon'ble the Chief Justice.</w:t>
      </w:r>
    </w:p>
    <w:p>
      <w:pPr>
        <w:pStyle w:val="BodyText"/>
        <w:spacing w:before="2"/>
        <w:rPr>
          <w:sz w:val="24"/>
        </w:rPr>
      </w:pPr>
    </w:p>
    <w:p>
      <w:pPr>
        <w:spacing w:line="276" w:lineRule="auto" w:before="0"/>
        <w:ind w:left="1940" w:right="2264" w:firstLine="0"/>
        <w:jc w:val="both"/>
        <w:rPr>
          <w:sz w:val="21"/>
        </w:rPr>
      </w:pPr>
      <w:r>
        <w:rPr>
          <w:sz w:val="21"/>
        </w:rPr>
        <w:t>Status quo as prevailing till date pursuant to Supreme Court judgment of Ismail Farooqui (1994(6) Sec 360) in all its minutest details shall be maintained for a period of three months unless this order is modified or vacated earlier.‖</w:t>
      </w:r>
    </w:p>
    <w:p>
      <w:pPr>
        <w:pStyle w:val="BodyText"/>
        <w:rPr>
          <w:sz w:val="24"/>
        </w:rPr>
      </w:pPr>
    </w:p>
    <w:p>
      <w:pPr>
        <w:pStyle w:val="BodyText"/>
        <w:rPr>
          <w:sz w:val="26"/>
        </w:rPr>
      </w:pPr>
    </w:p>
    <w:p>
      <w:pPr>
        <w:pStyle w:val="BodyText"/>
        <w:spacing w:line="480" w:lineRule="auto"/>
        <w:ind w:left="500" w:right="442"/>
        <w:jc w:val="both"/>
      </w:pPr>
      <w:r>
        <w:rPr>
          <w:color w:val="000009"/>
        </w:rPr>
        <w:t>Justice </w:t>
      </w:r>
      <w:r>
        <w:rPr/>
        <w:t>Sudhir </w:t>
      </w:r>
      <w:r>
        <w:rPr>
          <w:color w:val="000009"/>
        </w:rPr>
        <w:t>Agarwal </w:t>
      </w:r>
      <w:r>
        <w:rPr/>
        <w:t>partly decreed Suits 1 and 5. Suits 3 and 4 were dismissed as being barred by limitation. The learned judge concluded with the following</w:t>
      </w:r>
      <w:r>
        <w:rPr>
          <w:spacing w:val="-1"/>
        </w:rPr>
        <w:t> </w:t>
      </w:r>
      <w:r>
        <w:rPr/>
        <w:t>directions:</w:t>
      </w:r>
    </w:p>
    <w:p>
      <w:pPr>
        <w:pStyle w:val="BodyText"/>
        <w:rPr>
          <w:sz w:val="24"/>
        </w:rPr>
      </w:pPr>
    </w:p>
    <w:p>
      <w:pPr>
        <w:spacing w:before="1"/>
        <w:ind w:left="1940" w:right="0" w:firstLine="0"/>
        <w:jc w:val="left"/>
        <w:rPr>
          <w:sz w:val="21"/>
        </w:rPr>
      </w:pPr>
      <w:r>
        <w:rPr>
          <w:spacing w:val="-1"/>
          <w:w w:val="33"/>
          <w:sz w:val="21"/>
        </w:rPr>
        <w:t>―</w:t>
      </w:r>
      <w:r>
        <w:rPr>
          <w:spacing w:val="-1"/>
          <w:w w:val="100"/>
          <w:sz w:val="21"/>
        </w:rPr>
        <w:t>456</w:t>
      </w:r>
      <w:r>
        <w:rPr>
          <w:spacing w:val="-2"/>
          <w:w w:val="100"/>
          <w:sz w:val="21"/>
        </w:rPr>
        <w:t>6</w:t>
      </w:r>
      <w:r>
        <w:rPr>
          <w:w w:val="100"/>
          <w:sz w:val="21"/>
        </w:rPr>
        <w:t>…</w:t>
      </w:r>
    </w:p>
    <w:p>
      <w:pPr>
        <w:pStyle w:val="ListParagraph"/>
        <w:numPr>
          <w:ilvl w:val="1"/>
          <w:numId w:val="3"/>
        </w:numPr>
        <w:tabs>
          <w:tab w:pos="2197" w:val="left" w:leader="none"/>
        </w:tabs>
        <w:spacing w:line="276" w:lineRule="auto" w:before="37" w:after="0"/>
        <w:ind w:left="1940" w:right="2261" w:firstLine="0"/>
        <w:jc w:val="both"/>
        <w:rPr>
          <w:sz w:val="21"/>
        </w:rPr>
      </w:pPr>
      <w:r>
        <w:rPr>
          <w:sz w:val="21"/>
        </w:rPr>
        <w:t>It is declared that the area covered by the central dome of the three domed structure, i.e., the disputed structure being the deity of Bhagwan Ram Janamsthan and place of birth of Lord Rama as per faith and belief of the Hindus, belong to plaintiffs (Suit-5) and shall not be obstructed or interfered in any manner by the defendants. This area is shown by letters AA BB CC DD in Appendix 7 to this</w:t>
      </w:r>
      <w:r>
        <w:rPr>
          <w:spacing w:val="-15"/>
          <w:sz w:val="21"/>
        </w:rPr>
        <w:t> </w:t>
      </w:r>
      <w:r>
        <w:rPr>
          <w:sz w:val="21"/>
        </w:rPr>
        <w:t>judgment.</w:t>
      </w:r>
    </w:p>
    <w:p>
      <w:pPr>
        <w:pStyle w:val="BodyText"/>
        <w:spacing w:before="2"/>
        <w:rPr>
          <w:sz w:val="24"/>
        </w:rPr>
      </w:pPr>
    </w:p>
    <w:p>
      <w:pPr>
        <w:pStyle w:val="ListParagraph"/>
        <w:numPr>
          <w:ilvl w:val="1"/>
          <w:numId w:val="3"/>
        </w:numPr>
        <w:tabs>
          <w:tab w:pos="2240" w:val="left" w:leader="none"/>
        </w:tabs>
        <w:spacing w:line="276" w:lineRule="auto" w:before="0" w:after="0"/>
        <w:ind w:left="1940" w:right="2260" w:firstLine="0"/>
        <w:jc w:val="both"/>
        <w:rPr>
          <w:sz w:val="21"/>
        </w:rPr>
      </w:pPr>
      <w:r>
        <w:rPr>
          <w:sz w:val="21"/>
        </w:rPr>
        <w:t>The area within the inner courtyard denoted by letters B C D L K J H G in Appendix 7 (excluding (i) above) belong to members of both the communities, i.e., Hindus  (here plaintiffs, Suit-5) and Muslims since it was being used by both since decades and centuries. It is, however, made clear that for the purpose of share of plaintiffs, Suit-5 under this direction the area which is covered by (i) above shall also be included.</w:t>
      </w:r>
    </w:p>
    <w:p>
      <w:pPr>
        <w:pStyle w:val="BodyText"/>
        <w:spacing w:before="2"/>
        <w:rPr>
          <w:sz w:val="24"/>
        </w:rPr>
      </w:pPr>
    </w:p>
    <w:p>
      <w:pPr>
        <w:pStyle w:val="ListParagraph"/>
        <w:numPr>
          <w:ilvl w:val="1"/>
          <w:numId w:val="3"/>
        </w:numPr>
        <w:tabs>
          <w:tab w:pos="2382" w:val="left" w:leader="none"/>
        </w:tabs>
        <w:spacing w:line="276" w:lineRule="auto" w:before="0" w:after="0"/>
        <w:ind w:left="1940" w:right="2265" w:firstLine="0"/>
        <w:jc w:val="both"/>
        <w:rPr>
          <w:sz w:val="21"/>
        </w:rPr>
      </w:pPr>
      <w:r>
        <w:rPr>
          <w:sz w:val="21"/>
        </w:rPr>
        <w:t>The area covered by the structures, namely, Ram Chabutra, (EE FF GG HH in Appendix 7) Sita Rasoi (MM NN OO</w:t>
      </w:r>
      <w:r>
        <w:rPr>
          <w:spacing w:val="10"/>
          <w:sz w:val="21"/>
        </w:rPr>
        <w:t> </w:t>
      </w:r>
      <w:r>
        <w:rPr>
          <w:sz w:val="21"/>
        </w:rPr>
        <w:t>PP</w:t>
      </w:r>
      <w:r>
        <w:rPr>
          <w:spacing w:val="9"/>
          <w:sz w:val="21"/>
        </w:rPr>
        <w:t> </w:t>
      </w:r>
      <w:r>
        <w:rPr>
          <w:sz w:val="21"/>
        </w:rPr>
        <w:t>in</w:t>
      </w:r>
      <w:r>
        <w:rPr>
          <w:spacing w:val="8"/>
          <w:sz w:val="21"/>
        </w:rPr>
        <w:t> </w:t>
      </w:r>
      <w:r>
        <w:rPr>
          <w:sz w:val="21"/>
        </w:rPr>
        <w:t>Appendix</w:t>
      </w:r>
      <w:r>
        <w:rPr>
          <w:spacing w:val="8"/>
          <w:sz w:val="21"/>
        </w:rPr>
        <w:t> </w:t>
      </w:r>
      <w:r>
        <w:rPr>
          <w:sz w:val="21"/>
        </w:rPr>
        <w:t>7)</w:t>
      </w:r>
      <w:r>
        <w:rPr>
          <w:spacing w:val="10"/>
          <w:sz w:val="21"/>
        </w:rPr>
        <w:t> </w:t>
      </w:r>
      <w:r>
        <w:rPr>
          <w:sz w:val="21"/>
        </w:rPr>
        <w:t>and</w:t>
      </w:r>
      <w:r>
        <w:rPr>
          <w:spacing w:val="11"/>
          <w:sz w:val="21"/>
        </w:rPr>
        <w:t> </w:t>
      </w:r>
      <w:r>
        <w:rPr>
          <w:sz w:val="21"/>
        </w:rPr>
        <w:t>Bhandar</w:t>
      </w:r>
      <w:r>
        <w:rPr>
          <w:spacing w:val="10"/>
          <w:sz w:val="21"/>
        </w:rPr>
        <w:t> </w:t>
      </w:r>
      <w:r>
        <w:rPr>
          <w:sz w:val="21"/>
        </w:rPr>
        <w:t>(II</w:t>
      </w:r>
      <w:r>
        <w:rPr>
          <w:spacing w:val="10"/>
          <w:sz w:val="21"/>
        </w:rPr>
        <w:t> </w:t>
      </w:r>
      <w:r>
        <w:rPr>
          <w:sz w:val="21"/>
        </w:rPr>
        <w:t>JJ</w:t>
      </w:r>
      <w:r>
        <w:rPr>
          <w:spacing w:val="11"/>
          <w:sz w:val="21"/>
        </w:rPr>
        <w:t> </w:t>
      </w:r>
      <w:r>
        <w:rPr>
          <w:sz w:val="21"/>
        </w:rPr>
        <w:t>KK</w:t>
      </w:r>
      <w:r>
        <w:rPr>
          <w:spacing w:val="11"/>
          <w:sz w:val="21"/>
        </w:rPr>
        <w:t> </w:t>
      </w:r>
      <w:r>
        <w:rPr>
          <w:sz w:val="21"/>
        </w:rPr>
        <w:t>LL</w:t>
      </w:r>
      <w:r>
        <w:rPr>
          <w:spacing w:val="9"/>
          <w:sz w:val="21"/>
        </w:rPr>
        <w:t> </w:t>
      </w:r>
      <w:r>
        <w:rPr>
          <w:sz w:val="21"/>
        </w:rPr>
        <w:t>in</w:t>
      </w:r>
      <w:r>
        <w:rPr>
          <w:spacing w:val="8"/>
          <w:sz w:val="21"/>
        </w:rPr>
        <w:t> </w:t>
      </w:r>
      <w:r>
        <w:rPr>
          <w:sz w:val="21"/>
        </w:rPr>
        <w:t>Appendix</w:t>
      </w:r>
    </w:p>
    <w:p>
      <w:pPr>
        <w:spacing w:line="276" w:lineRule="auto" w:before="0"/>
        <w:ind w:left="1940" w:right="2263" w:firstLine="0"/>
        <w:jc w:val="both"/>
        <w:rPr>
          <w:sz w:val="21"/>
        </w:rPr>
      </w:pPr>
      <w:r>
        <w:rPr>
          <w:sz w:val="21"/>
        </w:rPr>
        <w:t>7) in the outer courtyard is declared in the share of Nirmohi Akhara (defendant no. 3) and they shall be entitled to possession thereof in the absence of any person with better title.</w:t>
      </w:r>
    </w:p>
    <w:p>
      <w:pPr>
        <w:pStyle w:val="BodyText"/>
        <w:spacing w:before="2"/>
        <w:rPr>
          <w:sz w:val="24"/>
        </w:rPr>
      </w:pPr>
    </w:p>
    <w:p>
      <w:pPr>
        <w:pStyle w:val="ListParagraph"/>
        <w:numPr>
          <w:ilvl w:val="1"/>
          <w:numId w:val="3"/>
        </w:numPr>
        <w:tabs>
          <w:tab w:pos="2289" w:val="left" w:leader="none"/>
        </w:tabs>
        <w:spacing w:line="276" w:lineRule="auto" w:before="0" w:after="0"/>
        <w:ind w:left="1940" w:right="2261" w:firstLine="0"/>
        <w:jc w:val="both"/>
        <w:rPr>
          <w:sz w:val="21"/>
        </w:rPr>
      </w:pPr>
      <w:r>
        <w:rPr>
          <w:sz w:val="21"/>
        </w:rPr>
        <w:t>The open area within the outer courtyard (A G H J K L E F in Appendix 7) (except that covered by (iii) above) shall be shared by Nirmohi Akhara (defendant no. 3) and plaintiffs (Suit-5) since it has been generally used by the Hindu people for worship at both</w:t>
      </w:r>
      <w:r>
        <w:rPr>
          <w:spacing w:val="-6"/>
          <w:sz w:val="21"/>
        </w:rPr>
        <w:t> </w:t>
      </w:r>
      <w:r>
        <w:rPr>
          <w:sz w:val="21"/>
        </w:rPr>
        <w:t>places.</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3" w:firstLine="0"/>
        <w:jc w:val="both"/>
        <w:rPr>
          <w:sz w:val="21"/>
        </w:rPr>
      </w:pPr>
      <w:r>
        <w:rPr>
          <w:sz w:val="21"/>
        </w:rPr>
        <w:t>(iv-a) It is however made clear that the share of muslim parties shall not be less than one third (1/3) of the total area of the premises and if necessary it may be given some area of outer courtyard. It is also made clear that while making partition by metes and bounds, if some minor adjustments are to be made with respect to the share of different parties, the affected party may be compensated by allotting the requisite land from the area which is under acquisition of the Government of</w:t>
      </w:r>
      <w:r>
        <w:rPr>
          <w:spacing w:val="-3"/>
          <w:sz w:val="21"/>
        </w:rPr>
        <w:t> </w:t>
      </w:r>
      <w:r>
        <w:rPr>
          <w:sz w:val="21"/>
        </w:rPr>
        <w:t>India.</w:t>
      </w:r>
    </w:p>
    <w:p>
      <w:pPr>
        <w:pStyle w:val="BodyText"/>
        <w:spacing w:before="2"/>
        <w:rPr>
          <w:sz w:val="24"/>
        </w:rPr>
      </w:pPr>
    </w:p>
    <w:p>
      <w:pPr>
        <w:pStyle w:val="ListParagraph"/>
        <w:numPr>
          <w:ilvl w:val="1"/>
          <w:numId w:val="3"/>
        </w:numPr>
        <w:tabs>
          <w:tab w:pos="2263" w:val="left" w:leader="none"/>
        </w:tabs>
        <w:spacing w:line="276" w:lineRule="auto" w:before="0" w:after="0"/>
        <w:ind w:left="1940" w:right="2262" w:firstLine="0"/>
        <w:jc w:val="both"/>
        <w:rPr>
          <w:sz w:val="21"/>
        </w:rPr>
      </w:pPr>
      <w:r>
        <w:rPr>
          <w:sz w:val="21"/>
        </w:rPr>
        <w:t>The land which is available with the Government of India acquired under Ayodhya Act 1993 for providing it to the parties who are successful in the suit for better enjoyment of the property shall be made available to the above concerned parties in such manner so that all the three parties may utilise the area to which they are entitled to, by having separate entry for egress and ingress of the people without disturbing each others rights. For this purpose the concerned parties may approach the Government of India who shall act in accordance with the above directions and also as contained in the judgement of Apex Court in Dr. Ismail Farooqi</w:t>
      </w:r>
      <w:r>
        <w:rPr>
          <w:spacing w:val="-18"/>
          <w:sz w:val="21"/>
        </w:rPr>
        <w:t> </w:t>
      </w:r>
      <w:r>
        <w:rPr>
          <w:sz w:val="21"/>
        </w:rPr>
        <w:t>(Supra).</w:t>
      </w:r>
    </w:p>
    <w:p>
      <w:pPr>
        <w:pStyle w:val="BodyText"/>
        <w:spacing w:before="4"/>
        <w:rPr>
          <w:sz w:val="24"/>
        </w:rPr>
      </w:pPr>
    </w:p>
    <w:p>
      <w:pPr>
        <w:pStyle w:val="ListParagraph"/>
        <w:numPr>
          <w:ilvl w:val="1"/>
          <w:numId w:val="3"/>
        </w:numPr>
        <w:tabs>
          <w:tab w:pos="2310" w:val="left" w:leader="none"/>
        </w:tabs>
        <w:spacing w:line="276" w:lineRule="auto" w:before="0" w:after="0"/>
        <w:ind w:left="1940" w:right="2260" w:firstLine="0"/>
        <w:jc w:val="both"/>
        <w:rPr>
          <w:sz w:val="21"/>
        </w:rPr>
      </w:pPr>
      <w:r>
        <w:rPr>
          <w:sz w:val="21"/>
        </w:rPr>
        <w:t>A decree, partly preliminary and partly final, to the effect as said above (i to v) is passed. Suit-5 is decreed in part to the above extent. The parties are at liberty to file their suggestions for actual partition of the property in dispute in the manner as directed above by metes and bounds by submitting an application to this effect to the Officer on Special Duty, Ayodhya Bench at Lucknow or the Registrar, Lucknow Bench, Lucknow, as the case may</w:t>
      </w:r>
      <w:r>
        <w:rPr>
          <w:spacing w:val="-14"/>
          <w:sz w:val="21"/>
        </w:rPr>
        <w:t> </w:t>
      </w:r>
      <w:r>
        <w:rPr>
          <w:sz w:val="21"/>
        </w:rPr>
        <w:t>be.</w:t>
      </w:r>
    </w:p>
    <w:p>
      <w:pPr>
        <w:pStyle w:val="BodyText"/>
        <w:spacing w:before="1"/>
        <w:rPr>
          <w:sz w:val="24"/>
        </w:rPr>
      </w:pPr>
    </w:p>
    <w:p>
      <w:pPr>
        <w:pStyle w:val="ListParagraph"/>
        <w:numPr>
          <w:ilvl w:val="1"/>
          <w:numId w:val="3"/>
        </w:numPr>
        <w:tabs>
          <w:tab w:pos="2449" w:val="left" w:leader="none"/>
        </w:tabs>
        <w:spacing w:line="276" w:lineRule="auto" w:before="0" w:after="0"/>
        <w:ind w:left="1940" w:right="2264" w:firstLine="0"/>
        <w:jc w:val="both"/>
        <w:rPr>
          <w:sz w:val="21"/>
        </w:rPr>
      </w:pPr>
      <w:r>
        <w:rPr>
          <w:sz w:val="21"/>
        </w:rPr>
        <w:t>For a period of three months or unless directed otherwise, whichever is earlier, the parties shall maintain status quo as on today in respect of property in</w:t>
      </w:r>
      <w:r>
        <w:rPr>
          <w:spacing w:val="-36"/>
          <w:sz w:val="21"/>
        </w:rPr>
        <w:t> </w:t>
      </w:r>
      <w:r>
        <w:rPr>
          <w:sz w:val="21"/>
        </w:rPr>
        <w:t>dispute.‖</w:t>
      </w:r>
    </w:p>
    <w:p>
      <w:pPr>
        <w:pStyle w:val="BodyText"/>
        <w:rPr>
          <w:sz w:val="24"/>
        </w:rPr>
      </w:pPr>
    </w:p>
    <w:p>
      <w:pPr>
        <w:pStyle w:val="BodyText"/>
        <w:spacing w:before="2"/>
        <w:rPr>
          <w:sz w:val="26"/>
        </w:rPr>
      </w:pPr>
    </w:p>
    <w:p>
      <w:pPr>
        <w:pStyle w:val="BodyText"/>
        <w:spacing w:line="480" w:lineRule="auto"/>
        <w:ind w:left="500" w:right="512"/>
      </w:pPr>
      <w:r>
        <w:rPr/>
        <w:t>Justice D V Sharma </w:t>
      </w:r>
      <w:r>
        <w:rPr>
          <w:color w:val="000009"/>
        </w:rPr>
        <w:t>decreed </w:t>
      </w:r>
      <w:r>
        <w:rPr/>
        <w:t>Suit 5 in its entirety. Suits 3 and 4 were dismissed as being barred by limitation. Justice D V Sharma</w:t>
      </w:r>
      <w:r>
        <w:rPr>
          <w:spacing w:val="-11"/>
        </w:rPr>
        <w:t> </w:t>
      </w:r>
      <w:r>
        <w:rPr/>
        <w:t>concluded:</w:t>
      </w:r>
    </w:p>
    <w:p>
      <w:pPr>
        <w:spacing w:line="276" w:lineRule="auto" w:before="0"/>
        <w:ind w:left="1940" w:right="2263" w:firstLine="0"/>
        <w:jc w:val="both"/>
        <w:rPr>
          <w:sz w:val="21"/>
        </w:rPr>
      </w:pPr>
      <w:r>
        <w:rPr>
          <w:spacing w:val="-1"/>
          <w:w w:val="33"/>
          <w:sz w:val="21"/>
        </w:rPr>
        <w:t>―</w:t>
      </w:r>
      <w:r>
        <w:rPr>
          <w:w w:val="100"/>
          <w:sz w:val="21"/>
        </w:rPr>
        <w:t>Pl</w:t>
      </w:r>
      <w:r>
        <w:rPr>
          <w:spacing w:val="-3"/>
          <w:w w:val="100"/>
          <w:sz w:val="21"/>
        </w:rPr>
        <w:t>a</w:t>
      </w:r>
      <w:r>
        <w:rPr>
          <w:w w:val="100"/>
          <w:sz w:val="21"/>
        </w:rPr>
        <w:t>i</w:t>
      </w:r>
      <w:r>
        <w:rPr>
          <w:spacing w:val="-1"/>
          <w:w w:val="100"/>
          <w:sz w:val="21"/>
        </w:rPr>
        <w:t>n</w:t>
      </w:r>
      <w:r>
        <w:rPr>
          <w:spacing w:val="-4"/>
          <w:w w:val="100"/>
          <w:sz w:val="21"/>
        </w:rPr>
        <w:t>t</w:t>
      </w:r>
      <w:r>
        <w:rPr>
          <w:w w:val="100"/>
          <w:sz w:val="21"/>
        </w:rPr>
        <w:t>i</w:t>
      </w:r>
      <w:r>
        <w:rPr>
          <w:spacing w:val="-2"/>
          <w:w w:val="100"/>
          <w:sz w:val="21"/>
        </w:rPr>
        <w:t>f</w:t>
      </w:r>
      <w:r>
        <w:rPr>
          <w:spacing w:val="1"/>
          <w:w w:val="100"/>
          <w:sz w:val="21"/>
        </w:rPr>
        <w:t>f</w:t>
      </w:r>
      <w:r>
        <w:rPr>
          <w:spacing w:val="-2"/>
          <w:w w:val="100"/>
          <w:sz w:val="21"/>
        </w:rPr>
        <w:t>‘</w:t>
      </w:r>
      <w:r>
        <w:rPr>
          <w:w w:val="100"/>
          <w:sz w:val="21"/>
        </w:rPr>
        <w:t>s</w:t>
      </w:r>
      <w:r>
        <w:rPr>
          <w:sz w:val="21"/>
        </w:rPr>
        <w:t> </w:t>
      </w:r>
      <w:r>
        <w:rPr>
          <w:spacing w:val="-12"/>
          <w:sz w:val="21"/>
        </w:rPr>
        <w:t> </w:t>
      </w:r>
      <w:r>
        <w:rPr>
          <w:spacing w:val="-3"/>
          <w:w w:val="100"/>
          <w:sz w:val="21"/>
        </w:rPr>
        <w:t>s</w:t>
      </w:r>
      <w:r>
        <w:rPr>
          <w:spacing w:val="-1"/>
          <w:w w:val="100"/>
          <w:sz w:val="21"/>
        </w:rPr>
        <w:t>u</w:t>
      </w:r>
      <w:r>
        <w:rPr>
          <w:spacing w:val="1"/>
          <w:w w:val="100"/>
          <w:sz w:val="21"/>
        </w:rPr>
        <w:t>i</w:t>
      </w:r>
      <w:r>
        <w:rPr>
          <w:w w:val="100"/>
          <w:sz w:val="21"/>
        </w:rPr>
        <w:t>t</w:t>
      </w:r>
      <w:r>
        <w:rPr>
          <w:sz w:val="21"/>
        </w:rPr>
        <w:t> </w:t>
      </w:r>
      <w:r>
        <w:rPr>
          <w:spacing w:val="-15"/>
          <w:sz w:val="21"/>
        </w:rPr>
        <w:t> </w:t>
      </w:r>
      <w:r>
        <w:rPr>
          <w:w w:val="100"/>
          <w:sz w:val="21"/>
        </w:rPr>
        <w:t>is</w:t>
      </w:r>
      <w:r>
        <w:rPr>
          <w:sz w:val="21"/>
        </w:rPr>
        <w:t> </w:t>
      </w:r>
      <w:r>
        <w:rPr>
          <w:spacing w:val="-14"/>
          <w:sz w:val="21"/>
        </w:rPr>
        <w:t> </w:t>
      </w:r>
      <w:r>
        <w:rPr>
          <w:spacing w:val="-1"/>
          <w:w w:val="100"/>
          <w:sz w:val="21"/>
        </w:rPr>
        <w:t>d</w:t>
      </w:r>
      <w:r>
        <w:rPr>
          <w:spacing w:val="-3"/>
          <w:w w:val="100"/>
          <w:sz w:val="21"/>
        </w:rPr>
        <w:t>e</w:t>
      </w:r>
      <w:r>
        <w:rPr>
          <w:w w:val="100"/>
          <w:sz w:val="21"/>
        </w:rPr>
        <w:t>c</w:t>
      </w:r>
      <w:r>
        <w:rPr>
          <w:spacing w:val="-1"/>
          <w:w w:val="100"/>
          <w:sz w:val="21"/>
        </w:rPr>
        <w:t>re</w:t>
      </w:r>
      <w:r>
        <w:rPr>
          <w:spacing w:val="-3"/>
          <w:w w:val="100"/>
          <w:sz w:val="21"/>
        </w:rPr>
        <w:t>e</w:t>
      </w:r>
      <w:r>
        <w:rPr>
          <w:w w:val="100"/>
          <w:sz w:val="21"/>
        </w:rPr>
        <w:t>d</w:t>
      </w:r>
      <w:r>
        <w:rPr>
          <w:sz w:val="21"/>
        </w:rPr>
        <w:t> </w:t>
      </w:r>
      <w:r>
        <w:rPr>
          <w:spacing w:val="-12"/>
          <w:sz w:val="21"/>
        </w:rPr>
        <w:t> </w:t>
      </w:r>
      <w:r>
        <w:rPr>
          <w:spacing w:val="-1"/>
          <w:w w:val="100"/>
          <w:sz w:val="21"/>
        </w:rPr>
        <w:t>bu</w:t>
      </w:r>
      <w:r>
        <w:rPr>
          <w:w w:val="100"/>
          <w:sz w:val="21"/>
        </w:rPr>
        <w:t>t</w:t>
      </w:r>
      <w:r>
        <w:rPr>
          <w:sz w:val="21"/>
        </w:rPr>
        <w:t> </w:t>
      </w:r>
      <w:r>
        <w:rPr>
          <w:spacing w:val="-15"/>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14"/>
          <w:sz w:val="21"/>
        </w:rPr>
        <w:t> </w:t>
      </w:r>
      <w:r>
        <w:rPr>
          <w:spacing w:val="-1"/>
          <w:w w:val="100"/>
          <w:sz w:val="21"/>
        </w:rPr>
        <w:t>eas</w:t>
      </w:r>
      <w:r>
        <w:rPr>
          <w:w w:val="100"/>
          <w:sz w:val="21"/>
        </w:rPr>
        <w:t>y</w:t>
      </w:r>
      <w:r>
        <w:rPr>
          <w:sz w:val="21"/>
        </w:rPr>
        <w:t> </w:t>
      </w:r>
      <w:r>
        <w:rPr>
          <w:spacing w:val="-14"/>
          <w:sz w:val="21"/>
        </w:rPr>
        <w:t> </w:t>
      </w:r>
      <w:r>
        <w:rPr>
          <w:spacing w:val="-3"/>
          <w:w w:val="100"/>
          <w:sz w:val="21"/>
        </w:rPr>
        <w:t>c</w:t>
      </w:r>
      <w:r>
        <w:rPr>
          <w:spacing w:val="-1"/>
          <w:w w:val="100"/>
          <w:sz w:val="21"/>
        </w:rPr>
        <w:t>ost</w:t>
      </w:r>
      <w:r>
        <w:rPr>
          <w:w w:val="100"/>
          <w:sz w:val="21"/>
        </w:rPr>
        <w:t>s.</w:t>
      </w:r>
      <w:r>
        <w:rPr>
          <w:sz w:val="21"/>
        </w:rPr>
        <w:t> </w:t>
      </w:r>
      <w:r>
        <w:rPr>
          <w:spacing w:val="-13"/>
          <w:sz w:val="21"/>
        </w:rPr>
        <w:t> </w:t>
      </w:r>
      <w:r>
        <w:rPr>
          <w:spacing w:val="-2"/>
          <w:w w:val="100"/>
          <w:sz w:val="21"/>
        </w:rPr>
        <w:t>I</w:t>
      </w:r>
      <w:r>
        <w:rPr>
          <w:w w:val="100"/>
          <w:sz w:val="21"/>
        </w:rPr>
        <w:t>t</w:t>
      </w:r>
      <w:r>
        <w:rPr>
          <w:sz w:val="21"/>
        </w:rPr>
        <w:t> </w:t>
      </w:r>
      <w:r>
        <w:rPr>
          <w:spacing w:val="-13"/>
          <w:sz w:val="21"/>
        </w:rPr>
        <w:t> </w:t>
      </w:r>
      <w:r>
        <w:rPr>
          <w:w w:val="100"/>
          <w:sz w:val="21"/>
        </w:rPr>
        <w:t>is</w:t>
      </w:r>
      <w:r>
        <w:rPr>
          <w:sz w:val="21"/>
        </w:rPr>
        <w:t> </w:t>
      </w:r>
      <w:r>
        <w:rPr>
          <w:spacing w:val="-14"/>
          <w:sz w:val="21"/>
        </w:rPr>
        <w:t> </w:t>
      </w:r>
      <w:r>
        <w:rPr>
          <w:spacing w:val="-1"/>
          <w:w w:val="100"/>
          <w:sz w:val="21"/>
        </w:rPr>
        <w:t>he</w:t>
      </w:r>
      <w:r>
        <w:rPr>
          <w:spacing w:val="-3"/>
          <w:w w:val="100"/>
          <w:sz w:val="21"/>
        </w:rPr>
        <w:t>r</w:t>
      </w:r>
      <w:r>
        <w:rPr>
          <w:spacing w:val="-1"/>
          <w:w w:val="100"/>
          <w:sz w:val="21"/>
        </w:rPr>
        <w:t>eby </w:t>
      </w:r>
      <w:r>
        <w:rPr>
          <w:sz w:val="21"/>
        </w:rPr>
        <w:t>declared that the entire premises of Sri Ram Janm Bhumi at Ayodhya as described and delineated in annexure Nos. 1 and 2 of the plaint belong to the plaintiff Nos. 1 and 2, the deities. The defendants are permanently restrained from interfering with, or raising any objection to, or placing any obstruction in the construction of the temple at Ram Janm Bhumi Ayodhya at the site, referred to in the</w:t>
      </w:r>
      <w:r>
        <w:rPr>
          <w:spacing w:val="-14"/>
          <w:sz w:val="21"/>
        </w:rPr>
        <w:t> </w:t>
      </w:r>
      <w:r>
        <w:rPr>
          <w:sz w:val="21"/>
        </w:rPr>
        <w:t>plaint.‖</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512"/>
      </w:pPr>
      <w:r>
        <w:rPr/>
        <w:t>The parties preferred multiple Civil Appeals and Special Leave Petitions before this Court against the judgment of the High Court.</w:t>
      </w:r>
    </w:p>
    <w:p>
      <w:pPr>
        <w:pStyle w:val="BodyText"/>
        <w:spacing w:before="2"/>
      </w:pPr>
    </w:p>
    <w:p>
      <w:pPr>
        <w:pStyle w:val="Heading4"/>
        <w:jc w:val="left"/>
        <w:rPr>
          <w:i/>
        </w:rPr>
      </w:pPr>
      <w:r>
        <w:rPr>
          <w:i/>
        </w:rPr>
        <w:t>Proceedings before this Court</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On 9 May 2011, a two judge Bench of this Court admitted several appeals and stayed the operation of the judgment and decree of the Allahabad High Court. During the pendency of the appeals, parties were directed to maintain </w:t>
      </w:r>
      <w:r>
        <w:rPr>
          <w:i/>
          <w:sz w:val="25"/>
        </w:rPr>
        <w:t>status quo </w:t>
      </w:r>
      <w:r>
        <w:rPr>
          <w:sz w:val="25"/>
        </w:rPr>
        <w:t>with respect to the disputed premises in accordance with the directions issued in </w:t>
      </w:r>
      <w:r>
        <w:rPr>
          <w:b/>
          <w:sz w:val="25"/>
        </w:rPr>
        <w:t>Ismail Faruqui</w:t>
      </w:r>
      <w:r>
        <w:rPr>
          <w:sz w:val="25"/>
        </w:rPr>
        <w:t>. The Registry of this Court was directed to provide parties electronic copies of the digitised</w:t>
      </w:r>
      <w:r>
        <w:rPr>
          <w:spacing w:val="-7"/>
          <w:sz w:val="25"/>
        </w:rPr>
        <w:t> </w:t>
      </w:r>
      <w:r>
        <w:rPr>
          <w:sz w:val="25"/>
        </w:rPr>
        <w:t>records.</w:t>
      </w:r>
    </w:p>
    <w:p>
      <w:pPr>
        <w:pStyle w:val="BodyText"/>
      </w:pPr>
    </w:p>
    <w:p>
      <w:pPr>
        <w:pStyle w:val="ListParagraph"/>
        <w:numPr>
          <w:ilvl w:val="0"/>
          <w:numId w:val="3"/>
        </w:numPr>
        <w:tabs>
          <w:tab w:pos="1221" w:val="left" w:leader="none"/>
        </w:tabs>
        <w:spacing w:line="480" w:lineRule="auto" w:before="1" w:after="0"/>
        <w:ind w:left="500" w:right="440" w:firstLine="0"/>
        <w:jc w:val="both"/>
        <w:rPr>
          <w:sz w:val="25"/>
        </w:rPr>
      </w:pPr>
      <w:r>
        <w:rPr>
          <w:sz w:val="25"/>
        </w:rPr>
        <w:t>On 10 </w:t>
      </w:r>
      <w:r>
        <w:rPr>
          <w:color w:val="000009"/>
          <w:sz w:val="25"/>
        </w:rPr>
        <w:t>September </w:t>
      </w:r>
      <w:r>
        <w:rPr>
          <w:sz w:val="25"/>
        </w:rPr>
        <w:t>2013, 24 February 2014, 31 October 2015 and 11 August 2017, this Court issued directions for summoning the digital record of the evidence and pleadings from the Allahabad High Court and for furnishing translated copies to the parties. On 10 August 2015, a three judge Bench of this Court allowed the Commissioner, </w:t>
      </w:r>
      <w:r>
        <w:rPr>
          <w:color w:val="000009"/>
          <w:sz w:val="25"/>
        </w:rPr>
        <w:t>Faizabad </w:t>
      </w:r>
      <w:r>
        <w:rPr>
          <w:sz w:val="25"/>
        </w:rPr>
        <w:t>Division to replace the old and worn out </w:t>
      </w:r>
      <w:r>
        <w:rPr>
          <w:color w:val="000009"/>
          <w:sz w:val="25"/>
        </w:rPr>
        <w:t>tarpaulin </w:t>
      </w:r>
      <w:r>
        <w:rPr>
          <w:sz w:val="25"/>
        </w:rPr>
        <w:t>sheets over the makeshift structure under which the idols were placed with new sheets of the same size and</w:t>
      </w:r>
      <w:r>
        <w:rPr>
          <w:spacing w:val="-7"/>
          <w:sz w:val="25"/>
        </w:rPr>
        <w:t> </w:t>
      </w:r>
      <w:r>
        <w:rPr>
          <w:sz w:val="25"/>
        </w:rPr>
        <w:t>quality.</w:t>
      </w:r>
    </w:p>
    <w:p>
      <w:pPr>
        <w:pStyle w:val="BodyText"/>
        <w:spacing w:before="1"/>
      </w:pPr>
    </w:p>
    <w:p>
      <w:pPr>
        <w:pStyle w:val="ListParagraph"/>
        <w:numPr>
          <w:ilvl w:val="0"/>
          <w:numId w:val="3"/>
        </w:numPr>
        <w:tabs>
          <w:tab w:pos="1221" w:val="left" w:leader="none"/>
        </w:tabs>
        <w:spacing w:line="480" w:lineRule="auto" w:before="0" w:after="0"/>
        <w:ind w:left="500" w:right="434" w:firstLine="0"/>
        <w:jc w:val="both"/>
        <w:rPr>
          <w:b/>
          <w:sz w:val="25"/>
        </w:rPr>
      </w:pPr>
      <w:r>
        <w:rPr>
          <w:sz w:val="25"/>
        </w:rPr>
        <w:t>On 5 December 2017, a three judge Bench of this Court rejected the plea that the appeals against the impugned judgement be referred to a larger Bench in view of certain observations of the Constitution Bench in </w:t>
      </w:r>
      <w:r>
        <w:rPr>
          <w:b/>
          <w:sz w:val="25"/>
        </w:rPr>
        <w:t>Ismail Faruqui</w:t>
      </w:r>
      <w:r>
        <w:rPr>
          <w:sz w:val="25"/>
        </w:rPr>
        <w:t>. On 14 March 2018, a three judge Bench heard arguments on whether the judgment in </w:t>
      </w:r>
      <w:r>
        <w:rPr>
          <w:b/>
          <w:sz w:val="25"/>
        </w:rPr>
        <w:t>Ismail Faruqui </w:t>
      </w:r>
      <w:r>
        <w:rPr>
          <w:sz w:val="25"/>
        </w:rPr>
        <w:t>required reconsideration. On 27 September 2018, the three judge Bench</w:t>
      </w:r>
      <w:r>
        <w:rPr>
          <w:spacing w:val="18"/>
          <w:sz w:val="25"/>
        </w:rPr>
        <w:t> </w:t>
      </w:r>
      <w:r>
        <w:rPr>
          <w:sz w:val="25"/>
        </w:rPr>
        <w:t>of</w:t>
      </w:r>
      <w:r>
        <w:rPr>
          <w:spacing w:val="19"/>
          <w:sz w:val="25"/>
        </w:rPr>
        <w:t> </w:t>
      </w:r>
      <w:r>
        <w:rPr>
          <w:sz w:val="25"/>
        </w:rPr>
        <w:t>this</w:t>
      </w:r>
      <w:r>
        <w:rPr>
          <w:spacing w:val="18"/>
          <w:sz w:val="25"/>
        </w:rPr>
        <w:t> </w:t>
      </w:r>
      <w:r>
        <w:rPr>
          <w:sz w:val="25"/>
        </w:rPr>
        <w:t>Court</w:t>
      </w:r>
      <w:r>
        <w:rPr>
          <w:spacing w:val="19"/>
          <w:sz w:val="25"/>
        </w:rPr>
        <w:t> </w:t>
      </w:r>
      <w:r>
        <w:rPr>
          <w:sz w:val="25"/>
        </w:rPr>
        <w:t>by</w:t>
      </w:r>
      <w:r>
        <w:rPr>
          <w:spacing w:val="15"/>
          <w:sz w:val="25"/>
        </w:rPr>
        <w:t> </w:t>
      </w:r>
      <w:r>
        <w:rPr>
          <w:sz w:val="25"/>
        </w:rPr>
        <w:t>a</w:t>
      </w:r>
      <w:r>
        <w:rPr>
          <w:spacing w:val="21"/>
          <w:sz w:val="25"/>
        </w:rPr>
        <w:t> </w:t>
      </w:r>
      <w:r>
        <w:rPr>
          <w:sz w:val="25"/>
        </w:rPr>
        <w:t>majority</w:t>
      </w:r>
      <w:r>
        <w:rPr>
          <w:spacing w:val="15"/>
          <w:sz w:val="25"/>
        </w:rPr>
        <w:t> </w:t>
      </w:r>
      <w:r>
        <w:rPr>
          <w:sz w:val="25"/>
        </w:rPr>
        <w:t>of</w:t>
      </w:r>
      <w:r>
        <w:rPr>
          <w:spacing w:val="21"/>
          <w:sz w:val="25"/>
        </w:rPr>
        <w:t> </w:t>
      </w:r>
      <w:r>
        <w:rPr>
          <w:sz w:val="25"/>
        </w:rPr>
        <w:t>2:1</w:t>
      </w:r>
      <w:r>
        <w:rPr>
          <w:spacing w:val="18"/>
          <w:sz w:val="25"/>
        </w:rPr>
        <w:t> </w:t>
      </w:r>
      <w:r>
        <w:rPr>
          <w:sz w:val="25"/>
        </w:rPr>
        <w:t>declined</w:t>
      </w:r>
      <w:r>
        <w:rPr>
          <w:spacing w:val="19"/>
          <w:sz w:val="25"/>
        </w:rPr>
        <w:t> </w:t>
      </w:r>
      <w:r>
        <w:rPr>
          <w:sz w:val="25"/>
        </w:rPr>
        <w:t>to</w:t>
      </w:r>
      <w:r>
        <w:rPr>
          <w:spacing w:val="18"/>
          <w:sz w:val="25"/>
        </w:rPr>
        <w:t> </w:t>
      </w:r>
      <w:r>
        <w:rPr>
          <w:sz w:val="25"/>
        </w:rPr>
        <w:t>refer</w:t>
      </w:r>
      <w:r>
        <w:rPr>
          <w:spacing w:val="19"/>
          <w:sz w:val="25"/>
        </w:rPr>
        <w:t> </w:t>
      </w:r>
      <w:r>
        <w:rPr>
          <w:sz w:val="25"/>
        </w:rPr>
        <w:t>the</w:t>
      </w:r>
      <w:r>
        <w:rPr>
          <w:spacing w:val="18"/>
          <w:sz w:val="25"/>
        </w:rPr>
        <w:t> </w:t>
      </w:r>
      <w:r>
        <w:rPr>
          <w:sz w:val="25"/>
        </w:rPr>
        <w:t>judgment</w:t>
      </w:r>
      <w:r>
        <w:rPr>
          <w:spacing w:val="19"/>
          <w:sz w:val="25"/>
        </w:rPr>
        <w:t> </w:t>
      </w:r>
      <w:r>
        <w:rPr>
          <w:sz w:val="25"/>
        </w:rPr>
        <w:t>in</w:t>
      </w:r>
      <w:r>
        <w:rPr>
          <w:spacing w:val="28"/>
          <w:sz w:val="25"/>
        </w:rPr>
        <w:t> </w:t>
      </w:r>
      <w:r>
        <w:rPr>
          <w:b/>
          <w:sz w:val="25"/>
        </w:rPr>
        <w:t>Ismail</w:t>
      </w:r>
    </w:p>
    <w:p>
      <w:pPr>
        <w:spacing w:after="0" w:line="480" w:lineRule="auto"/>
        <w:jc w:val="both"/>
        <w:rPr>
          <w:sz w:val="25"/>
        </w:rPr>
        <w:sectPr>
          <w:pgSz w:w="11910" w:h="16840"/>
          <w:pgMar w:header="721" w:footer="1014" w:top="1300" w:bottom="1200" w:left="940" w:right="1000"/>
        </w:sectPr>
      </w:pPr>
    </w:p>
    <w:p>
      <w:pPr>
        <w:pStyle w:val="BodyText"/>
        <w:spacing w:line="482" w:lineRule="auto" w:before="121"/>
        <w:ind w:left="500" w:right="512"/>
      </w:pPr>
      <w:r>
        <w:rPr>
          <w:b/>
        </w:rPr>
        <w:t>Faruqui </w:t>
      </w:r>
      <w:r>
        <w:rPr/>
        <w:t>for reconsideration and listed the appeals against the impugned judgement for hearing.</w:t>
      </w:r>
    </w:p>
    <w:p>
      <w:pPr>
        <w:pStyle w:val="BodyText"/>
        <w:rPr>
          <w:sz w:val="28"/>
        </w:rPr>
      </w:pPr>
    </w:p>
    <w:p>
      <w:pPr>
        <w:pStyle w:val="ListParagraph"/>
        <w:numPr>
          <w:ilvl w:val="0"/>
          <w:numId w:val="3"/>
        </w:numPr>
        <w:tabs>
          <w:tab w:pos="1221" w:val="left" w:leader="none"/>
        </w:tabs>
        <w:spacing w:line="480" w:lineRule="auto" w:before="251" w:after="0"/>
        <w:ind w:left="500" w:right="436" w:firstLine="0"/>
        <w:jc w:val="both"/>
        <w:rPr>
          <w:sz w:val="25"/>
        </w:rPr>
      </w:pPr>
      <w:r>
        <w:rPr>
          <w:sz w:val="25"/>
        </w:rPr>
        <w:t>By an administrative order dated 8 January 2019 made pursuant to the provisions of Order VI Rule 1 of the Supreme Court Rules, 2013, the Chief Justice of India constituted a five judge Bench to hear the appeals. On 10 January 2019, the Registry was </w:t>
      </w:r>
      <w:r>
        <w:rPr>
          <w:color w:val="000009"/>
          <w:sz w:val="25"/>
        </w:rPr>
        <w:t>directed </w:t>
      </w:r>
      <w:r>
        <w:rPr>
          <w:sz w:val="25"/>
        </w:rPr>
        <w:t>to inspect the records and if required, engage official translators. On 26 February 2019, this Court referred the parties  to a Court appointed and monitored mediation to explore the possibility of bringing about a permanent solution to the issues raised in the appeals. On 8 March 2019, a panel of mediators comprising of (i) Justice Fakkir Mohamed Ibrahim Kalifulla, a former Judge of this Court; (ii) Sri Sri Ravi Shankar; and (iii) Mr Sriram Panchu, Senior Advocate was constituted. Time granted to the mediators to complete the mediation proceedings was extended on 10 May 2019. Since no settlement had been reached, on 2 August 2019, the hearing of the appeals was directed to commence from 6 August 2019. During the course of hearing, a report was submitted by the panel of mediators that some of the parties desired to settle the dispute. This Court by its order dated 18 September 2019 observed that while the hearings will proceed, if any parties desired to settle the dispute, it was open for them to move the mediators and place a settlement, if it was arrived at, before this Court. Final arguments were concluded in the batch of appeals on 16 October 2019. On the same day, the mediation panel submitted </w:t>
      </w:r>
      <w:r>
        <w:rPr>
          <w:w w:val="99"/>
          <w:sz w:val="25"/>
        </w:rPr>
        <w:t>a</w:t>
      </w:r>
      <w:r>
        <w:rPr>
          <w:spacing w:val="12"/>
          <w:sz w:val="25"/>
        </w:rPr>
        <w:t> </w:t>
      </w:r>
      <w:r>
        <w:rPr>
          <w:w w:val="99"/>
          <w:sz w:val="25"/>
        </w:rPr>
        <w:t>r</w:t>
      </w:r>
      <w:r>
        <w:rPr>
          <w:spacing w:val="-1"/>
          <w:w w:val="99"/>
          <w:sz w:val="25"/>
        </w:rPr>
        <w:t>e</w:t>
      </w:r>
      <w:r>
        <w:rPr>
          <w:w w:val="99"/>
          <w:sz w:val="25"/>
        </w:rPr>
        <w:t>p</w:t>
      </w:r>
      <w:r>
        <w:rPr>
          <w:spacing w:val="-1"/>
          <w:w w:val="99"/>
          <w:sz w:val="25"/>
        </w:rPr>
        <w:t>o</w:t>
      </w:r>
      <w:r>
        <w:rPr>
          <w:w w:val="99"/>
          <w:sz w:val="25"/>
        </w:rPr>
        <w:t>rt</w:t>
      </w:r>
      <w:r>
        <w:rPr>
          <w:spacing w:val="12"/>
          <w:sz w:val="25"/>
        </w:rPr>
        <w:t> </w:t>
      </w:r>
      <w:r>
        <w:rPr>
          <w:w w:val="99"/>
          <w:sz w:val="25"/>
        </w:rPr>
        <w:t>titled</w:t>
      </w:r>
      <w:r>
        <w:rPr>
          <w:spacing w:val="12"/>
          <w:sz w:val="25"/>
        </w:rPr>
        <w:t> </w:t>
      </w:r>
      <w:r>
        <w:rPr>
          <w:w w:val="33"/>
          <w:sz w:val="25"/>
        </w:rPr>
        <w:t>―</w:t>
      </w:r>
      <w:r>
        <w:rPr>
          <w:w w:val="99"/>
          <w:sz w:val="25"/>
        </w:rPr>
        <w:t>F</w:t>
      </w:r>
      <w:r>
        <w:rPr>
          <w:spacing w:val="-1"/>
          <w:w w:val="99"/>
          <w:sz w:val="25"/>
        </w:rPr>
        <w:t>ina</w:t>
      </w:r>
      <w:r>
        <w:rPr>
          <w:w w:val="99"/>
          <w:sz w:val="25"/>
        </w:rPr>
        <w:t>l</w:t>
      </w:r>
      <w:r>
        <w:rPr>
          <w:spacing w:val="12"/>
          <w:sz w:val="25"/>
        </w:rPr>
        <w:t> </w:t>
      </w:r>
      <w:r>
        <w:rPr>
          <w:spacing w:val="-3"/>
          <w:w w:val="99"/>
          <w:sz w:val="25"/>
        </w:rPr>
        <w:t>R</w:t>
      </w:r>
      <w:r>
        <w:rPr>
          <w:spacing w:val="-1"/>
          <w:w w:val="99"/>
          <w:sz w:val="25"/>
        </w:rPr>
        <w:t>e</w:t>
      </w:r>
      <w:r>
        <w:rPr>
          <w:w w:val="99"/>
          <w:sz w:val="25"/>
        </w:rPr>
        <w:t>p</w:t>
      </w:r>
      <w:r>
        <w:rPr>
          <w:spacing w:val="-1"/>
          <w:w w:val="99"/>
          <w:sz w:val="25"/>
        </w:rPr>
        <w:t>o</w:t>
      </w:r>
      <w:r>
        <w:rPr>
          <w:w w:val="99"/>
          <w:sz w:val="25"/>
        </w:rPr>
        <w:t>rt</w:t>
      </w:r>
      <w:r>
        <w:rPr>
          <w:spacing w:val="12"/>
          <w:sz w:val="25"/>
        </w:rPr>
        <w:t> </w:t>
      </w:r>
      <w:r>
        <w:rPr>
          <w:spacing w:val="-1"/>
          <w:w w:val="99"/>
          <w:sz w:val="25"/>
        </w:rPr>
        <w:t>o</w:t>
      </w:r>
      <w:r>
        <w:rPr>
          <w:w w:val="99"/>
          <w:sz w:val="25"/>
        </w:rPr>
        <w:t>f</w:t>
      </w:r>
      <w:r>
        <w:rPr>
          <w:spacing w:val="12"/>
          <w:sz w:val="25"/>
        </w:rPr>
        <w:t> </w:t>
      </w:r>
      <w:r>
        <w:rPr>
          <w:w w:val="99"/>
          <w:sz w:val="25"/>
        </w:rPr>
        <w:t>the</w:t>
      </w:r>
      <w:r>
        <w:rPr>
          <w:spacing w:val="12"/>
          <w:sz w:val="25"/>
        </w:rPr>
        <w:t> </w:t>
      </w:r>
      <w:r>
        <w:rPr>
          <w:spacing w:val="-1"/>
          <w:w w:val="99"/>
          <w:sz w:val="25"/>
        </w:rPr>
        <w:t>Co</w:t>
      </w:r>
      <w:r>
        <w:rPr>
          <w:w w:val="99"/>
          <w:sz w:val="25"/>
        </w:rPr>
        <w:t>mm</w:t>
      </w:r>
      <w:r>
        <w:rPr>
          <w:spacing w:val="-1"/>
          <w:w w:val="99"/>
          <w:sz w:val="25"/>
        </w:rPr>
        <w:t>itt</w:t>
      </w:r>
      <w:r>
        <w:rPr>
          <w:spacing w:val="-2"/>
          <w:w w:val="99"/>
          <w:sz w:val="25"/>
        </w:rPr>
        <w:t>e</w:t>
      </w:r>
      <w:r>
        <w:rPr>
          <w:spacing w:val="-1"/>
          <w:w w:val="91"/>
          <w:sz w:val="25"/>
        </w:rPr>
        <w:t>e</w:t>
      </w:r>
      <w:r>
        <w:rPr>
          <w:w w:val="91"/>
          <w:sz w:val="25"/>
        </w:rPr>
        <w:t>‖</w:t>
      </w:r>
      <w:r>
        <w:rPr>
          <w:spacing w:val="12"/>
          <w:sz w:val="25"/>
        </w:rPr>
        <w:t> </w:t>
      </w:r>
      <w:r>
        <w:rPr>
          <w:w w:val="99"/>
          <w:sz w:val="25"/>
        </w:rPr>
        <w:t>stat</w:t>
      </w:r>
      <w:r>
        <w:rPr>
          <w:spacing w:val="-1"/>
          <w:w w:val="99"/>
          <w:sz w:val="25"/>
        </w:rPr>
        <w:t>in</w:t>
      </w:r>
      <w:r>
        <w:rPr>
          <w:w w:val="99"/>
          <w:sz w:val="25"/>
        </w:rPr>
        <w:t>g</w:t>
      </w:r>
      <w:r>
        <w:rPr>
          <w:spacing w:val="12"/>
          <w:sz w:val="25"/>
        </w:rPr>
        <w:t> </w:t>
      </w:r>
      <w:r>
        <w:rPr>
          <w:w w:val="99"/>
          <w:sz w:val="25"/>
        </w:rPr>
        <w:t>that</w:t>
      </w:r>
      <w:r>
        <w:rPr>
          <w:spacing w:val="12"/>
          <w:sz w:val="25"/>
        </w:rPr>
        <w:t> </w:t>
      </w:r>
      <w:r>
        <w:rPr>
          <w:w w:val="99"/>
          <w:sz w:val="25"/>
        </w:rPr>
        <w:t>a</w:t>
      </w:r>
      <w:r>
        <w:rPr>
          <w:spacing w:val="12"/>
          <w:sz w:val="25"/>
        </w:rPr>
        <w:t> </w:t>
      </w:r>
      <w:r>
        <w:rPr>
          <w:w w:val="99"/>
          <w:sz w:val="25"/>
        </w:rPr>
        <w:t>sett</w:t>
      </w:r>
      <w:r>
        <w:rPr>
          <w:spacing w:val="-1"/>
          <w:w w:val="99"/>
          <w:sz w:val="25"/>
        </w:rPr>
        <w:t>le</w:t>
      </w:r>
      <w:r>
        <w:rPr>
          <w:w w:val="99"/>
          <w:sz w:val="25"/>
        </w:rPr>
        <w:t>m</w:t>
      </w:r>
      <w:r>
        <w:rPr>
          <w:spacing w:val="-1"/>
          <w:w w:val="99"/>
          <w:sz w:val="25"/>
        </w:rPr>
        <w:t>e</w:t>
      </w:r>
      <w:r>
        <w:rPr>
          <w:w w:val="99"/>
          <w:sz w:val="25"/>
        </w:rPr>
        <w:t>nt</w:t>
      </w:r>
      <w:r>
        <w:rPr>
          <w:spacing w:val="12"/>
          <w:sz w:val="25"/>
        </w:rPr>
        <w:t> </w:t>
      </w:r>
      <w:r>
        <w:rPr>
          <w:spacing w:val="-1"/>
          <w:w w:val="99"/>
          <w:sz w:val="25"/>
        </w:rPr>
        <w:t>h</w:t>
      </w:r>
      <w:r>
        <w:rPr>
          <w:w w:val="99"/>
          <w:sz w:val="25"/>
        </w:rPr>
        <w:t>ad</w:t>
      </w:r>
      <w:r>
        <w:rPr>
          <w:spacing w:val="12"/>
          <w:sz w:val="25"/>
        </w:rPr>
        <w:t> </w:t>
      </w:r>
      <w:r>
        <w:rPr>
          <w:spacing w:val="-1"/>
          <w:w w:val="99"/>
          <w:sz w:val="25"/>
        </w:rPr>
        <w:t>b</w:t>
      </w:r>
      <w:r>
        <w:rPr>
          <w:w w:val="99"/>
          <w:sz w:val="25"/>
        </w:rPr>
        <w:t>e</w:t>
      </w:r>
      <w:r>
        <w:rPr>
          <w:spacing w:val="-1"/>
          <w:w w:val="99"/>
          <w:sz w:val="25"/>
        </w:rPr>
        <w:t>en </w:t>
      </w:r>
      <w:r>
        <w:rPr>
          <w:sz w:val="25"/>
        </w:rPr>
        <w:t>arrived</w:t>
      </w:r>
      <w:r>
        <w:rPr>
          <w:spacing w:val="51"/>
          <w:sz w:val="25"/>
        </w:rPr>
        <w:t> </w:t>
      </w:r>
      <w:r>
        <w:rPr>
          <w:sz w:val="25"/>
        </w:rPr>
        <w:t>at</w:t>
      </w:r>
      <w:r>
        <w:rPr>
          <w:spacing w:val="51"/>
          <w:sz w:val="25"/>
        </w:rPr>
        <w:t> </w:t>
      </w:r>
      <w:r>
        <w:rPr>
          <w:sz w:val="25"/>
        </w:rPr>
        <w:t>by</w:t>
      </w:r>
      <w:r>
        <w:rPr>
          <w:spacing w:val="49"/>
          <w:sz w:val="25"/>
        </w:rPr>
        <w:t> </w:t>
      </w:r>
      <w:r>
        <w:rPr>
          <w:sz w:val="25"/>
        </w:rPr>
        <w:t>some</w:t>
      </w:r>
      <w:r>
        <w:rPr>
          <w:spacing w:val="49"/>
          <w:sz w:val="25"/>
        </w:rPr>
        <w:t> </w:t>
      </w:r>
      <w:r>
        <w:rPr>
          <w:sz w:val="25"/>
        </w:rPr>
        <w:t>of</w:t>
      </w:r>
      <w:r>
        <w:rPr>
          <w:spacing w:val="51"/>
          <w:sz w:val="25"/>
        </w:rPr>
        <w:t> </w:t>
      </w:r>
      <w:r>
        <w:rPr>
          <w:sz w:val="25"/>
        </w:rPr>
        <w:t>the</w:t>
      </w:r>
      <w:r>
        <w:rPr>
          <w:spacing w:val="51"/>
          <w:sz w:val="25"/>
        </w:rPr>
        <w:t> </w:t>
      </w:r>
      <w:r>
        <w:rPr>
          <w:sz w:val="25"/>
        </w:rPr>
        <w:t>parties</w:t>
      </w:r>
      <w:r>
        <w:rPr>
          <w:spacing w:val="51"/>
          <w:sz w:val="25"/>
        </w:rPr>
        <w:t> </w:t>
      </w:r>
      <w:r>
        <w:rPr>
          <w:sz w:val="25"/>
        </w:rPr>
        <w:t>to</w:t>
      </w:r>
      <w:r>
        <w:rPr>
          <w:spacing w:val="49"/>
          <w:sz w:val="25"/>
        </w:rPr>
        <w:t> </w:t>
      </w:r>
      <w:r>
        <w:rPr>
          <w:sz w:val="25"/>
        </w:rPr>
        <w:t>the</w:t>
      </w:r>
      <w:r>
        <w:rPr>
          <w:spacing w:val="49"/>
          <w:sz w:val="25"/>
        </w:rPr>
        <w:t> </w:t>
      </w:r>
      <w:r>
        <w:rPr>
          <w:sz w:val="25"/>
        </w:rPr>
        <w:t>present</w:t>
      </w:r>
      <w:r>
        <w:rPr>
          <w:spacing w:val="51"/>
          <w:sz w:val="25"/>
        </w:rPr>
        <w:t> </w:t>
      </w:r>
      <w:r>
        <w:rPr>
          <w:sz w:val="25"/>
        </w:rPr>
        <w:t>dispute.</w:t>
      </w:r>
      <w:r>
        <w:rPr>
          <w:spacing w:val="51"/>
          <w:sz w:val="25"/>
        </w:rPr>
        <w:t> </w:t>
      </w:r>
      <w:r>
        <w:rPr>
          <w:sz w:val="25"/>
        </w:rPr>
        <w:t>The</w:t>
      </w:r>
      <w:r>
        <w:rPr>
          <w:spacing w:val="51"/>
          <w:sz w:val="25"/>
        </w:rPr>
        <w:t> </w:t>
      </w:r>
      <w:r>
        <w:rPr>
          <w:sz w:val="25"/>
        </w:rPr>
        <w:t>settlement</w:t>
      </w:r>
      <w:r>
        <w:rPr>
          <w:spacing w:val="51"/>
          <w:sz w:val="25"/>
        </w:rPr>
        <w:t> </w:t>
      </w:r>
      <w:r>
        <w:rPr>
          <w:sz w:val="25"/>
        </w:rPr>
        <w:t>was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t>signed by Mr Zufar Ahmad Faruqi, Chairman of the Sunni Central Waqf Board. Though under the settlement, the Sunni Central Waqf Board agreed to relinquish all its rights, interests and claims over the disputed land, this was subject to the fulfilment of certain conditions stipulated. The settlement agreement received by this Court from the mediation panel has not been agreed to or signed by all the parties to the present dispute. Moreover, it is only conditional on certain stipulations being fulfilled. Hence, the settlement cannot be treated to be a binding or concluded agreement between the parties to the dispute. </w:t>
      </w:r>
      <w:r>
        <w:rPr>
          <w:spacing w:val="2"/>
        </w:rPr>
        <w:t>We, </w:t>
      </w:r>
      <w:r>
        <w:rPr/>
        <w:t>however, record our appreciation of the earnest efforts made by the members of the mediation panel in embarking on the task entrusted by this Court. In bringing together the disputants on a common platform for a free and frank dialogue, the mediators have performed a function which needs to be commended. </w:t>
      </w:r>
      <w:r>
        <w:rPr>
          <w:spacing w:val="4"/>
        </w:rPr>
        <w:t>We </w:t>
      </w:r>
      <w:r>
        <w:rPr/>
        <w:t>also express our appreciation of the parties who earnestly made an effort to pursue the mediation</w:t>
      </w:r>
      <w:r>
        <w:rPr>
          <w:spacing w:val="-1"/>
        </w:rPr>
        <w:t> </w:t>
      </w:r>
      <w:r>
        <w:rPr/>
        <w:t>proceedings.</w:t>
      </w:r>
    </w:p>
    <w:p>
      <w:pPr>
        <w:pStyle w:val="BodyText"/>
        <w:spacing w:before="6"/>
        <w:rPr>
          <w:sz w:val="35"/>
        </w:rPr>
      </w:pPr>
    </w:p>
    <w:p>
      <w:pPr>
        <w:pStyle w:val="Heading3"/>
        <w:numPr>
          <w:ilvl w:val="0"/>
          <w:numId w:val="2"/>
        </w:numPr>
        <w:tabs>
          <w:tab w:pos="928" w:val="left" w:leader="none"/>
        </w:tabs>
        <w:spacing w:line="240" w:lineRule="auto" w:before="1" w:after="0"/>
        <w:ind w:left="927" w:right="0" w:hanging="361"/>
        <w:jc w:val="both"/>
      </w:pPr>
      <w:r>
        <w:rPr>
          <w:spacing w:val="-3"/>
        </w:rPr>
        <w:t>An </w:t>
      </w:r>
      <w:r>
        <w:rPr/>
        <w:t>overview of the</w:t>
      </w:r>
      <w:r>
        <w:rPr>
          <w:spacing w:val="9"/>
        </w:rPr>
        <w:t> </w:t>
      </w:r>
      <w:r>
        <w:rPr/>
        <w:t>suits</w:t>
      </w:r>
    </w:p>
    <w:p>
      <w:pPr>
        <w:pStyle w:val="BodyText"/>
        <w:rPr>
          <w:b/>
          <w:sz w:val="28"/>
        </w:rPr>
      </w:pPr>
    </w:p>
    <w:p>
      <w:pPr>
        <w:pStyle w:val="BodyText"/>
        <w:rPr>
          <w:b/>
          <w:sz w:val="28"/>
        </w:rPr>
      </w:pPr>
    </w:p>
    <w:p>
      <w:pPr>
        <w:pStyle w:val="ListParagraph"/>
        <w:numPr>
          <w:ilvl w:val="0"/>
          <w:numId w:val="3"/>
        </w:numPr>
        <w:tabs>
          <w:tab w:pos="1221" w:val="left" w:leader="none"/>
        </w:tabs>
        <w:spacing w:line="480" w:lineRule="auto" w:before="182" w:after="0"/>
        <w:ind w:left="500" w:right="439" w:firstLine="0"/>
        <w:jc w:val="both"/>
        <w:rPr>
          <w:sz w:val="25"/>
        </w:rPr>
      </w:pPr>
      <w:r>
        <w:rPr>
          <w:sz w:val="25"/>
        </w:rPr>
        <w:t>Before examining the various contentions of the parties before this Court, we first record the procedural history, substantive claims and reliefs prayed for in the pleadings of the three Suits before this</w:t>
      </w:r>
      <w:r>
        <w:rPr>
          <w:spacing w:val="-6"/>
          <w:sz w:val="25"/>
        </w:rPr>
        <w:t> </w:t>
      </w:r>
      <w:r>
        <w:rPr>
          <w:sz w:val="25"/>
        </w:rPr>
        <w:t>Court.</w:t>
      </w:r>
    </w:p>
    <w:p>
      <w:pPr>
        <w:pStyle w:val="BodyText"/>
      </w:pPr>
    </w:p>
    <w:p>
      <w:pPr>
        <w:pStyle w:val="Heading3"/>
        <w:ind w:left="500" w:firstLine="0"/>
      </w:pPr>
      <w:r>
        <w:rPr/>
        <w:t>Suit 1 - OOS No 1 of 1989 (Regular Suit 2 of 1950)</w:t>
      </w:r>
    </w:p>
    <w:p>
      <w:pPr>
        <w:pStyle w:val="BodyText"/>
        <w:spacing w:before="10"/>
        <w:rPr>
          <w:b/>
          <w:sz w:val="38"/>
        </w:rPr>
      </w:pPr>
    </w:p>
    <w:p>
      <w:pPr>
        <w:pStyle w:val="ListParagraph"/>
        <w:numPr>
          <w:ilvl w:val="0"/>
          <w:numId w:val="3"/>
        </w:numPr>
        <w:tabs>
          <w:tab w:pos="1221" w:val="left" w:leader="none"/>
        </w:tabs>
        <w:spacing w:line="480" w:lineRule="auto" w:before="0" w:after="0"/>
        <w:ind w:left="500" w:right="442" w:firstLine="0"/>
        <w:jc w:val="both"/>
        <w:rPr>
          <w:sz w:val="25"/>
        </w:rPr>
      </w:pPr>
      <w:r>
        <w:rPr>
          <w:sz w:val="25"/>
        </w:rPr>
        <w:t>The suit was instituted on 13 January 1950 by Gopal Singh Visharad, a </w:t>
      </w:r>
      <w:r>
        <w:rPr>
          <w:w w:val="99"/>
          <w:sz w:val="25"/>
        </w:rPr>
        <w:t>r</w:t>
      </w:r>
      <w:r>
        <w:rPr>
          <w:spacing w:val="-1"/>
          <w:w w:val="99"/>
          <w:sz w:val="25"/>
        </w:rPr>
        <w:t>esid</w:t>
      </w:r>
      <w:r>
        <w:rPr>
          <w:w w:val="99"/>
          <w:sz w:val="25"/>
        </w:rPr>
        <w:t>e</w:t>
      </w:r>
      <w:r>
        <w:rPr>
          <w:spacing w:val="-1"/>
          <w:w w:val="99"/>
          <w:sz w:val="25"/>
        </w:rPr>
        <w:t>n</w:t>
      </w:r>
      <w:r>
        <w:rPr>
          <w:w w:val="99"/>
          <w:sz w:val="25"/>
        </w:rPr>
        <w:t>t</w:t>
      </w:r>
      <w:r>
        <w:rPr>
          <w:sz w:val="25"/>
        </w:rPr>
        <w:t> </w:t>
      </w:r>
      <w:r>
        <w:rPr>
          <w:spacing w:val="-1"/>
          <w:w w:val="99"/>
          <w:sz w:val="25"/>
        </w:rPr>
        <w:t>o</w:t>
      </w:r>
      <w:r>
        <w:rPr>
          <w:w w:val="99"/>
          <w:sz w:val="25"/>
        </w:rPr>
        <w:t>f</w:t>
      </w:r>
      <w:r>
        <w:rPr>
          <w:sz w:val="25"/>
        </w:rPr>
        <w:t> </w:t>
      </w:r>
      <w:r>
        <w:rPr>
          <w:spacing w:val="-1"/>
          <w:w w:val="99"/>
          <w:sz w:val="25"/>
        </w:rPr>
        <w:t>A</w:t>
      </w:r>
      <w:r>
        <w:rPr>
          <w:spacing w:val="-3"/>
          <w:w w:val="99"/>
          <w:sz w:val="25"/>
        </w:rPr>
        <w:t>y</w:t>
      </w:r>
      <w:r>
        <w:rPr>
          <w:spacing w:val="-1"/>
          <w:w w:val="99"/>
          <w:sz w:val="25"/>
        </w:rPr>
        <w:t>o</w:t>
      </w:r>
      <w:r>
        <w:rPr>
          <w:w w:val="99"/>
          <w:sz w:val="25"/>
        </w:rPr>
        <w:t>d</w:t>
      </w:r>
      <w:r>
        <w:rPr>
          <w:spacing w:val="2"/>
          <w:w w:val="99"/>
          <w:sz w:val="25"/>
        </w:rPr>
        <w:t>h</w:t>
      </w:r>
      <w:r>
        <w:rPr>
          <w:spacing w:val="-3"/>
          <w:w w:val="99"/>
          <w:sz w:val="25"/>
        </w:rPr>
        <w:t>y</w:t>
      </w:r>
      <w:r>
        <w:rPr>
          <w:w w:val="99"/>
          <w:sz w:val="25"/>
        </w:rPr>
        <w:t>a</w:t>
      </w:r>
      <w:r>
        <w:rPr>
          <w:spacing w:val="-1"/>
          <w:sz w:val="25"/>
        </w:rPr>
        <w:t> </w:t>
      </w:r>
      <w:r>
        <w:rPr>
          <w:spacing w:val="2"/>
          <w:w w:val="99"/>
          <w:sz w:val="25"/>
        </w:rPr>
        <w:t>i</w:t>
      </w:r>
      <w:r>
        <w:rPr>
          <w:w w:val="99"/>
          <w:sz w:val="25"/>
        </w:rPr>
        <w:t>n</w:t>
      </w:r>
      <w:r>
        <w:rPr>
          <w:spacing w:val="-1"/>
          <w:sz w:val="25"/>
        </w:rPr>
        <w:t> </w:t>
      </w:r>
      <w:r>
        <w:rPr>
          <w:w w:val="99"/>
          <w:sz w:val="25"/>
        </w:rPr>
        <w:t>h</w:t>
      </w:r>
      <w:r>
        <w:rPr>
          <w:spacing w:val="-1"/>
          <w:w w:val="99"/>
          <w:sz w:val="25"/>
        </w:rPr>
        <w:t>i</w:t>
      </w:r>
      <w:r>
        <w:rPr>
          <w:w w:val="99"/>
          <w:sz w:val="25"/>
        </w:rPr>
        <w:t>s</w:t>
      </w:r>
      <w:r>
        <w:rPr>
          <w:spacing w:val="-1"/>
          <w:sz w:val="25"/>
        </w:rPr>
        <w:t> </w:t>
      </w:r>
      <w:r>
        <w:rPr>
          <w:w w:val="99"/>
          <w:sz w:val="25"/>
        </w:rPr>
        <w:t>cap</w:t>
      </w:r>
      <w:r>
        <w:rPr>
          <w:spacing w:val="-1"/>
          <w:w w:val="99"/>
          <w:sz w:val="25"/>
        </w:rPr>
        <w:t>acit</w:t>
      </w:r>
      <w:r>
        <w:rPr>
          <w:w w:val="99"/>
          <w:sz w:val="25"/>
        </w:rPr>
        <w:t>y</w:t>
      </w:r>
      <w:r>
        <w:rPr>
          <w:spacing w:val="-3"/>
          <w:sz w:val="25"/>
        </w:rPr>
        <w:t> </w:t>
      </w:r>
      <w:r>
        <w:rPr>
          <w:spacing w:val="-1"/>
          <w:w w:val="99"/>
          <w:sz w:val="25"/>
        </w:rPr>
        <w:t>a</w:t>
      </w:r>
      <w:r>
        <w:rPr>
          <w:w w:val="99"/>
          <w:sz w:val="25"/>
        </w:rPr>
        <w:t>s</w:t>
      </w:r>
      <w:r>
        <w:rPr>
          <w:sz w:val="25"/>
        </w:rPr>
        <w:t> </w:t>
      </w:r>
      <w:r>
        <w:rPr>
          <w:w w:val="99"/>
          <w:sz w:val="25"/>
        </w:rPr>
        <w:t>a</w:t>
      </w:r>
      <w:r>
        <w:rPr>
          <w:spacing w:val="-1"/>
          <w:sz w:val="25"/>
        </w:rPr>
        <w:t> </w:t>
      </w:r>
      <w:r>
        <w:rPr>
          <w:spacing w:val="1"/>
          <w:w w:val="33"/>
          <w:sz w:val="25"/>
        </w:rPr>
        <w:t>―</w:t>
      </w:r>
      <w:r>
        <w:rPr>
          <w:w w:val="99"/>
          <w:sz w:val="25"/>
        </w:rPr>
        <w:t>f</w:t>
      </w:r>
      <w:r>
        <w:rPr>
          <w:spacing w:val="2"/>
          <w:w w:val="99"/>
          <w:sz w:val="25"/>
        </w:rPr>
        <w:t>o</w:t>
      </w:r>
      <w:r>
        <w:rPr>
          <w:spacing w:val="-1"/>
          <w:w w:val="99"/>
          <w:sz w:val="25"/>
        </w:rPr>
        <w:t>llowe</w:t>
      </w:r>
      <w:r>
        <w:rPr>
          <w:w w:val="99"/>
          <w:sz w:val="25"/>
        </w:rPr>
        <w:t>r</w:t>
      </w:r>
      <w:r>
        <w:rPr>
          <w:sz w:val="25"/>
        </w:rPr>
        <w:t> </w:t>
      </w:r>
      <w:r>
        <w:rPr>
          <w:spacing w:val="-1"/>
          <w:w w:val="99"/>
          <w:sz w:val="25"/>
        </w:rPr>
        <w:t>o</w:t>
      </w:r>
      <w:r>
        <w:rPr>
          <w:w w:val="99"/>
          <w:sz w:val="25"/>
        </w:rPr>
        <w:t>f</w:t>
      </w:r>
      <w:r>
        <w:rPr>
          <w:spacing w:val="7"/>
          <w:sz w:val="25"/>
        </w:rPr>
        <w:t> </w:t>
      </w:r>
      <w:r>
        <w:rPr>
          <w:i/>
          <w:spacing w:val="-1"/>
          <w:w w:val="99"/>
          <w:sz w:val="25"/>
        </w:rPr>
        <w:t>S</w:t>
      </w:r>
      <w:r>
        <w:rPr>
          <w:i/>
          <w:w w:val="99"/>
          <w:sz w:val="25"/>
        </w:rPr>
        <w:t>anatan</w:t>
      </w:r>
      <w:r>
        <w:rPr>
          <w:i/>
          <w:spacing w:val="-1"/>
          <w:sz w:val="25"/>
        </w:rPr>
        <w:t> </w:t>
      </w:r>
      <w:r>
        <w:rPr>
          <w:i/>
          <w:w w:val="99"/>
          <w:sz w:val="25"/>
        </w:rPr>
        <w:t>Dha</w:t>
      </w:r>
      <w:r>
        <w:rPr>
          <w:i/>
          <w:spacing w:val="1"/>
          <w:w w:val="99"/>
          <w:sz w:val="25"/>
        </w:rPr>
        <w:t>r</w:t>
      </w:r>
      <w:r>
        <w:rPr>
          <w:i/>
          <w:spacing w:val="-2"/>
          <w:w w:val="99"/>
          <w:sz w:val="25"/>
        </w:rPr>
        <w:t>m</w:t>
      </w:r>
      <w:r>
        <w:rPr>
          <w:w w:val="80"/>
          <w:sz w:val="25"/>
        </w:rPr>
        <w:t>‖</w:t>
      </w:r>
      <w:r>
        <w:rPr>
          <w:sz w:val="25"/>
        </w:rPr>
        <w:t> </w:t>
      </w:r>
      <w:r>
        <w:rPr>
          <w:w w:val="99"/>
          <w:sz w:val="25"/>
        </w:rPr>
        <w:t>seeking:</w:t>
      </w:r>
    </w:p>
    <w:p>
      <w:pPr>
        <w:spacing w:after="0" w:line="480" w:lineRule="auto"/>
        <w:jc w:val="both"/>
        <w:rPr>
          <w:sz w:val="25"/>
        </w:rPr>
        <w:sectPr>
          <w:headerReference w:type="default" r:id="rId12"/>
          <w:footerReference w:type="default" r:id="rId13"/>
          <w:pgSz w:w="11910" w:h="16840"/>
          <w:pgMar w:header="721" w:footer="1014" w:top="1300" w:bottom="1200" w:left="940" w:right="1000"/>
          <w:pgNumType w:start="29"/>
        </w:sectPr>
      </w:pPr>
    </w:p>
    <w:p>
      <w:pPr>
        <w:pStyle w:val="ListParagraph"/>
        <w:numPr>
          <w:ilvl w:val="0"/>
          <w:numId w:val="5"/>
        </w:numPr>
        <w:tabs>
          <w:tab w:pos="1221" w:val="left" w:leader="none"/>
        </w:tabs>
        <w:spacing w:line="480" w:lineRule="auto" w:before="124" w:after="0"/>
        <w:ind w:left="1220" w:right="436" w:hanging="720"/>
        <w:jc w:val="both"/>
        <w:rPr>
          <w:sz w:val="25"/>
        </w:rPr>
      </w:pPr>
      <w:r>
        <w:rPr>
          <w:sz w:val="25"/>
        </w:rPr>
        <w:t>A declaration of his entitlement to worship and seek the darshan of Lord </w:t>
      </w:r>
      <w:r>
        <w:rPr>
          <w:w w:val="99"/>
          <w:sz w:val="25"/>
        </w:rPr>
        <w:t>Ram</w:t>
      </w:r>
      <w:r>
        <w:rPr>
          <w:w w:val="99"/>
          <w:sz w:val="25"/>
        </w:rPr>
        <w:t>,</w:t>
      </w:r>
      <w:r>
        <w:rPr>
          <w:sz w:val="25"/>
        </w:rPr>
        <w:t> </w:t>
      </w:r>
      <w:r>
        <w:rPr>
          <w:spacing w:val="27"/>
          <w:sz w:val="25"/>
        </w:rPr>
        <w:t> </w:t>
      </w:r>
      <w:r>
        <w:rPr>
          <w:w w:val="33"/>
          <w:sz w:val="25"/>
        </w:rPr>
        <w:t>―</w:t>
      </w:r>
      <w:r>
        <w:rPr>
          <w:w w:val="99"/>
          <w:sz w:val="25"/>
        </w:rPr>
        <w:t>acco</w:t>
      </w:r>
      <w:r>
        <w:rPr>
          <w:w w:val="99"/>
          <w:sz w:val="25"/>
        </w:rPr>
        <w:t>r</w:t>
      </w:r>
      <w:r>
        <w:rPr>
          <w:w w:val="99"/>
          <w:sz w:val="25"/>
        </w:rPr>
        <w:t>ding</w:t>
      </w:r>
      <w:r>
        <w:rPr>
          <w:sz w:val="25"/>
        </w:rPr>
        <w:t> </w:t>
      </w:r>
      <w:r>
        <w:rPr>
          <w:spacing w:val="27"/>
          <w:sz w:val="25"/>
        </w:rPr>
        <w:t> </w:t>
      </w:r>
      <w:r>
        <w:rPr>
          <w:spacing w:val="-3"/>
          <w:w w:val="99"/>
          <w:sz w:val="25"/>
        </w:rPr>
        <w:t>t</w:t>
      </w:r>
      <w:r>
        <w:rPr>
          <w:w w:val="99"/>
          <w:sz w:val="25"/>
        </w:rPr>
        <w:t>o</w:t>
      </w:r>
      <w:r>
        <w:rPr>
          <w:sz w:val="25"/>
        </w:rPr>
        <w:t> </w:t>
      </w:r>
      <w:r>
        <w:rPr>
          <w:spacing w:val="24"/>
          <w:sz w:val="25"/>
        </w:rPr>
        <w:t> </w:t>
      </w:r>
      <w:r>
        <w:rPr>
          <w:w w:val="99"/>
          <w:sz w:val="25"/>
        </w:rPr>
        <w:t>r</w:t>
      </w:r>
      <w:r>
        <w:rPr>
          <w:w w:val="99"/>
          <w:sz w:val="25"/>
        </w:rPr>
        <w:t>eligion</w:t>
      </w:r>
      <w:r>
        <w:rPr>
          <w:sz w:val="25"/>
        </w:rPr>
        <w:t> </w:t>
      </w:r>
      <w:r>
        <w:rPr>
          <w:spacing w:val="27"/>
          <w:sz w:val="25"/>
        </w:rPr>
        <w:t> </w:t>
      </w:r>
      <w:r>
        <w:rPr>
          <w:w w:val="99"/>
          <w:sz w:val="25"/>
        </w:rPr>
        <w:t>and</w:t>
      </w:r>
      <w:r>
        <w:rPr>
          <w:sz w:val="25"/>
        </w:rPr>
        <w:t> </w:t>
      </w:r>
      <w:r>
        <w:rPr>
          <w:spacing w:val="26"/>
          <w:sz w:val="25"/>
        </w:rPr>
        <w:t> </w:t>
      </w:r>
      <w:r>
        <w:rPr>
          <w:w w:val="99"/>
          <w:sz w:val="25"/>
        </w:rPr>
        <w:t>cust</w:t>
      </w:r>
      <w:r>
        <w:rPr>
          <w:spacing w:val="-2"/>
          <w:w w:val="99"/>
          <w:sz w:val="25"/>
        </w:rPr>
        <w:t>o</w:t>
      </w:r>
      <w:r>
        <w:rPr>
          <w:spacing w:val="4"/>
          <w:w w:val="99"/>
          <w:sz w:val="25"/>
        </w:rPr>
        <w:t>m</w:t>
      </w:r>
      <w:r>
        <w:rPr>
          <w:w w:val="80"/>
          <w:sz w:val="25"/>
        </w:rPr>
        <w:t>‖</w:t>
      </w:r>
      <w:r>
        <w:rPr>
          <w:sz w:val="25"/>
        </w:rPr>
        <w:t> </w:t>
      </w:r>
      <w:r>
        <w:rPr>
          <w:spacing w:val="27"/>
          <w:sz w:val="25"/>
        </w:rPr>
        <w:t> </w:t>
      </w:r>
      <w:r>
        <w:rPr>
          <w:w w:val="99"/>
          <w:sz w:val="25"/>
        </w:rPr>
        <w:t>at</w:t>
      </w:r>
      <w:r>
        <w:rPr>
          <w:sz w:val="25"/>
        </w:rPr>
        <w:t> </w:t>
      </w:r>
      <w:r>
        <w:rPr>
          <w:spacing w:val="27"/>
          <w:sz w:val="25"/>
        </w:rPr>
        <w:t> </w:t>
      </w:r>
      <w:r>
        <w:rPr>
          <w:w w:val="99"/>
          <w:sz w:val="25"/>
        </w:rPr>
        <w:t>the</w:t>
      </w:r>
      <w:r>
        <w:rPr>
          <w:sz w:val="25"/>
        </w:rPr>
        <w:t> </w:t>
      </w:r>
      <w:r>
        <w:rPr>
          <w:spacing w:val="25"/>
          <w:sz w:val="25"/>
        </w:rPr>
        <w:t> </w:t>
      </w:r>
      <w:r>
        <w:rPr>
          <w:w w:val="99"/>
          <w:sz w:val="25"/>
        </w:rPr>
        <w:t>Jan</w:t>
      </w:r>
      <w:r>
        <w:rPr>
          <w:w w:val="99"/>
          <w:sz w:val="25"/>
        </w:rPr>
        <w:t>m</w:t>
      </w:r>
      <w:r>
        <w:rPr>
          <w:w w:val="99"/>
          <w:sz w:val="25"/>
        </w:rPr>
        <w:t>ab</w:t>
      </w:r>
      <w:r>
        <w:rPr>
          <w:spacing w:val="-2"/>
          <w:w w:val="99"/>
          <w:sz w:val="25"/>
        </w:rPr>
        <w:t>h</w:t>
      </w:r>
      <w:r>
        <w:rPr>
          <w:w w:val="99"/>
          <w:sz w:val="25"/>
        </w:rPr>
        <w:t>u</w:t>
      </w:r>
      <w:r>
        <w:rPr>
          <w:spacing w:val="1"/>
          <w:w w:val="99"/>
          <w:sz w:val="25"/>
        </w:rPr>
        <w:t>m</w:t>
      </w:r>
      <w:r>
        <w:rPr>
          <w:w w:val="99"/>
          <w:sz w:val="25"/>
        </w:rPr>
        <w:t>i</w:t>
      </w:r>
      <w:r>
        <w:rPr>
          <w:sz w:val="25"/>
        </w:rPr>
        <w:t> </w:t>
      </w:r>
      <w:r>
        <w:rPr>
          <w:spacing w:val="26"/>
          <w:sz w:val="25"/>
        </w:rPr>
        <w:t> </w:t>
      </w:r>
      <w:r>
        <w:rPr>
          <w:w w:val="99"/>
          <w:sz w:val="25"/>
        </w:rPr>
        <w:t>te</w:t>
      </w:r>
      <w:r>
        <w:rPr>
          <w:spacing w:val="1"/>
          <w:w w:val="99"/>
          <w:sz w:val="25"/>
        </w:rPr>
        <w:t>m</w:t>
      </w:r>
      <w:r>
        <w:rPr>
          <w:w w:val="99"/>
          <w:sz w:val="25"/>
        </w:rPr>
        <w:t>ple </w:t>
      </w:r>
      <w:r>
        <w:rPr>
          <w:sz w:val="25"/>
        </w:rPr>
        <w:t>without hindrance;</w:t>
      </w:r>
      <w:r>
        <w:rPr>
          <w:spacing w:val="-2"/>
          <w:sz w:val="25"/>
        </w:rPr>
        <w:t> </w:t>
      </w:r>
      <w:r>
        <w:rPr>
          <w:sz w:val="25"/>
        </w:rPr>
        <w:t>and</w:t>
      </w:r>
    </w:p>
    <w:p>
      <w:pPr>
        <w:pStyle w:val="ListParagraph"/>
        <w:numPr>
          <w:ilvl w:val="0"/>
          <w:numId w:val="5"/>
        </w:numPr>
        <w:tabs>
          <w:tab w:pos="1221" w:val="left" w:leader="none"/>
        </w:tabs>
        <w:spacing w:line="480" w:lineRule="auto" w:before="0" w:after="0"/>
        <w:ind w:left="1220" w:right="434" w:hanging="720"/>
        <w:jc w:val="both"/>
        <w:rPr>
          <w:sz w:val="25"/>
        </w:rPr>
      </w:pPr>
      <w:r>
        <w:rPr>
          <w:sz w:val="25"/>
        </w:rPr>
        <w:t>A permanent and perpetual injunction restraining defendant nos 1 to 10 from removing the idols of the deity and other idols from the place where they were installed; from closing the way leading to the idols; or interfering in worship and</w:t>
      </w:r>
      <w:r>
        <w:rPr>
          <w:spacing w:val="-3"/>
          <w:sz w:val="25"/>
        </w:rPr>
        <w:t> </w:t>
      </w:r>
      <w:r>
        <w:rPr>
          <w:sz w:val="25"/>
        </w:rPr>
        <w:t>darshan.</w:t>
      </w:r>
    </w:p>
    <w:p>
      <w:pPr>
        <w:pStyle w:val="BodyText"/>
        <w:spacing w:before="1"/>
      </w:pPr>
    </w:p>
    <w:p>
      <w:pPr>
        <w:pStyle w:val="BodyText"/>
        <w:spacing w:line="480" w:lineRule="auto"/>
        <w:ind w:left="500" w:right="436"/>
        <w:jc w:val="both"/>
      </w:pPr>
      <w:r>
        <w:rPr/>
        <w:t>Defendant nos 1 to 5 are Muslim residents of Ayodhya; defendant no 6 is the State of Uttar Pradesh; defendant no 7 is the Deputy Commissioner of Faizabad; defendant no 8 is the Additional City Magistrate, Faizabad; defendant no 9 is the Superintendent of Police, Faizabad; defendant no 10 is the </w:t>
      </w:r>
      <w:r>
        <w:rPr>
          <w:color w:val="000009"/>
        </w:rPr>
        <w:t>Sunni Central Waqf Board and d</w:t>
      </w:r>
      <w:r>
        <w:rPr/>
        <w:t>efendant no 11 is the Nirmohi Akhara.</w:t>
      </w:r>
    </w:p>
    <w:p>
      <w:pPr>
        <w:pStyle w:val="BodyText"/>
        <w:spacing w:before="10"/>
        <w:rPr>
          <w:sz w:val="24"/>
        </w:rPr>
      </w:pPr>
    </w:p>
    <w:p>
      <w:pPr>
        <w:pStyle w:val="BodyText"/>
        <w:spacing w:line="480" w:lineRule="auto"/>
        <w:ind w:left="500" w:right="441"/>
        <w:jc w:val="both"/>
      </w:pPr>
      <w:r>
        <w:rPr/>
        <w:t>The case of the plaintiff in Suit 1 is that, as a resident of Ayodhya, he was </w:t>
      </w:r>
      <w:r>
        <w:rPr>
          <w:w w:val="99"/>
        </w:rPr>
        <w:t>worshipp</w:t>
      </w:r>
      <w:r>
        <w:rPr>
          <w:w w:val="99"/>
        </w:rPr>
        <w:t>ing</w:t>
      </w:r>
      <w:r>
        <w:rPr>
          <w:spacing w:val="14"/>
        </w:rPr>
        <w:t> </w:t>
      </w:r>
      <w:r>
        <w:rPr>
          <w:w w:val="99"/>
        </w:rPr>
        <w:t>the</w:t>
      </w:r>
      <w:r>
        <w:rPr>
          <w:spacing w:val="15"/>
        </w:rPr>
        <w:t> </w:t>
      </w:r>
      <w:r>
        <w:rPr>
          <w:w w:val="99"/>
        </w:rPr>
        <w:t>idol</w:t>
      </w:r>
      <w:r>
        <w:rPr>
          <w:spacing w:val="17"/>
        </w:rPr>
        <w:t> </w:t>
      </w:r>
      <w:r>
        <w:rPr>
          <w:w w:val="99"/>
        </w:rPr>
        <w:t>of</w:t>
      </w:r>
      <w:r>
        <w:rPr>
          <w:spacing w:val="14"/>
        </w:rPr>
        <w:t> </w:t>
      </w:r>
      <w:r>
        <w:rPr>
          <w:w w:val="99"/>
        </w:rPr>
        <w:t>L</w:t>
      </w:r>
      <w:r>
        <w:rPr>
          <w:spacing w:val="3"/>
          <w:w w:val="99"/>
        </w:rPr>
        <w:t>o</w:t>
      </w:r>
      <w:r>
        <w:rPr>
          <w:w w:val="99"/>
        </w:rPr>
        <w:t>r</w:t>
      </w:r>
      <w:r>
        <w:rPr>
          <w:w w:val="99"/>
        </w:rPr>
        <w:t>d</w:t>
      </w:r>
      <w:r>
        <w:rPr>
          <w:spacing w:val="14"/>
        </w:rPr>
        <w:t> </w:t>
      </w:r>
      <w:r>
        <w:rPr>
          <w:w w:val="99"/>
        </w:rPr>
        <w:t>Ram</w:t>
      </w:r>
      <w:r>
        <w:rPr>
          <w:spacing w:val="15"/>
        </w:rPr>
        <w:t> </w:t>
      </w:r>
      <w:r>
        <w:rPr>
          <w:w w:val="99"/>
        </w:rPr>
        <w:t>and</w:t>
      </w:r>
      <w:r>
        <w:rPr>
          <w:spacing w:val="16"/>
        </w:rPr>
        <w:t> </w:t>
      </w:r>
      <w:r>
        <w:rPr>
          <w:i/>
          <w:w w:val="99"/>
        </w:rPr>
        <w:t>Ch</w:t>
      </w:r>
      <w:r>
        <w:rPr>
          <w:i/>
          <w:spacing w:val="2"/>
          <w:w w:val="99"/>
        </w:rPr>
        <w:t>a</w:t>
      </w:r>
      <w:r>
        <w:rPr>
          <w:i/>
          <w:w w:val="99"/>
        </w:rPr>
        <w:t>r</w:t>
      </w:r>
      <w:r>
        <w:rPr>
          <w:i/>
          <w:w w:val="99"/>
        </w:rPr>
        <w:t>an</w:t>
      </w:r>
      <w:r>
        <w:rPr>
          <w:i/>
          <w:spacing w:val="14"/>
        </w:rPr>
        <w:t> </w:t>
      </w:r>
      <w:r>
        <w:rPr>
          <w:i/>
          <w:spacing w:val="-1"/>
          <w:w w:val="99"/>
        </w:rPr>
        <w:t>P</w:t>
      </w:r>
      <w:r>
        <w:rPr>
          <w:i/>
          <w:w w:val="99"/>
        </w:rPr>
        <w:t>aduka</w:t>
      </w:r>
      <w:r>
        <w:rPr>
          <w:i/>
          <w:spacing w:val="17"/>
        </w:rPr>
        <w:t> </w:t>
      </w:r>
      <w:r>
        <w:rPr>
          <w:w w:val="99"/>
        </w:rPr>
        <w:t>(foot</w:t>
      </w:r>
      <w:r>
        <w:rPr>
          <w:spacing w:val="14"/>
        </w:rPr>
        <w:t> </w:t>
      </w:r>
      <w:r>
        <w:rPr>
          <w:spacing w:val="-1"/>
          <w:w w:val="99"/>
        </w:rPr>
        <w:t>im</w:t>
      </w:r>
      <w:r>
        <w:rPr>
          <w:w w:val="99"/>
        </w:rPr>
        <w:t>pr</w:t>
      </w:r>
      <w:r>
        <w:rPr>
          <w:spacing w:val="-1"/>
          <w:w w:val="99"/>
        </w:rPr>
        <w:t>essio</w:t>
      </w:r>
      <w:r>
        <w:rPr>
          <w:w w:val="99"/>
        </w:rPr>
        <w:t>ns)</w:t>
      </w:r>
      <w:r>
        <w:rPr>
          <w:spacing w:val="15"/>
        </w:rPr>
        <w:t> </w:t>
      </w:r>
      <w:r>
        <w:rPr>
          <w:w w:val="33"/>
        </w:rPr>
        <w:t>―</w:t>
      </w:r>
      <w:r>
        <w:rPr>
          <w:spacing w:val="-1"/>
          <w:w w:val="99"/>
        </w:rPr>
        <w:t>i</w:t>
      </w:r>
      <w:r>
        <w:rPr>
          <w:w w:val="99"/>
        </w:rPr>
        <w:t>n</w:t>
      </w:r>
      <w:r>
        <w:rPr>
          <w:spacing w:val="14"/>
        </w:rPr>
        <w:t> </w:t>
      </w:r>
      <w:r>
        <w:rPr>
          <w:w w:val="99"/>
        </w:rPr>
        <w:t>that </w:t>
      </w:r>
      <w:r>
        <w:rPr/>
        <w:t>place</w:t>
      </w:r>
      <w:r>
        <w:rPr>
          <w:spacing w:val="-10"/>
        </w:rPr>
        <w:t> </w:t>
      </w:r>
      <w:r>
        <w:rPr/>
        <w:t>of</w:t>
      </w:r>
      <w:r>
        <w:rPr>
          <w:spacing w:val="-10"/>
        </w:rPr>
        <w:t> </w:t>
      </w:r>
      <w:r>
        <w:rPr/>
        <w:t>Janambhumi‖.</w:t>
      </w:r>
      <w:r>
        <w:rPr>
          <w:spacing w:val="-10"/>
        </w:rPr>
        <w:t> </w:t>
      </w:r>
      <w:r>
        <w:rPr/>
        <w:t>The</w:t>
      </w:r>
      <w:r>
        <w:rPr>
          <w:spacing w:val="-10"/>
        </w:rPr>
        <w:t> </w:t>
      </w:r>
      <w:r>
        <w:rPr/>
        <w:t>boundaries</w:t>
      </w:r>
      <w:r>
        <w:rPr>
          <w:spacing w:val="-9"/>
        </w:rPr>
        <w:t> </w:t>
      </w:r>
      <w:r>
        <w:rPr/>
        <w:t>of</w:t>
      </w:r>
      <w:r>
        <w:rPr>
          <w:spacing w:val="-10"/>
        </w:rPr>
        <w:t> </w:t>
      </w:r>
      <w:r>
        <w:rPr/>
        <w:t>the</w:t>
      </w:r>
      <w:r>
        <w:rPr>
          <w:spacing w:val="-10"/>
        </w:rPr>
        <w:t> </w:t>
      </w:r>
      <w:r>
        <w:rPr/>
        <w:t>‗disputed</w:t>
      </w:r>
      <w:r>
        <w:rPr>
          <w:spacing w:val="-10"/>
        </w:rPr>
        <w:t> </w:t>
      </w:r>
      <w:r>
        <w:rPr/>
        <w:t>place‘</w:t>
      </w:r>
      <w:r>
        <w:rPr>
          <w:spacing w:val="-9"/>
        </w:rPr>
        <w:t> </w:t>
      </w:r>
      <w:r>
        <w:rPr/>
        <w:t>as</w:t>
      </w:r>
      <w:r>
        <w:rPr>
          <w:spacing w:val="-9"/>
        </w:rPr>
        <w:t> </w:t>
      </w:r>
      <w:r>
        <w:rPr/>
        <w:t>described</w:t>
      </w:r>
      <w:r>
        <w:rPr>
          <w:spacing w:val="-9"/>
        </w:rPr>
        <w:t> </w:t>
      </w:r>
      <w:r>
        <w:rPr/>
        <w:t>in</w:t>
      </w:r>
      <w:r>
        <w:rPr>
          <w:spacing w:val="-10"/>
        </w:rPr>
        <w:t> </w:t>
      </w:r>
      <w:r>
        <w:rPr/>
        <w:t>the plaint are as</w:t>
      </w:r>
      <w:r>
        <w:rPr>
          <w:spacing w:val="-4"/>
        </w:rPr>
        <w:t> </w:t>
      </w:r>
      <w:r>
        <w:rPr/>
        <w:t>follows:</w:t>
      </w:r>
    </w:p>
    <w:p>
      <w:pPr>
        <w:spacing w:before="1"/>
        <w:ind w:left="1940" w:right="0" w:firstLine="0"/>
        <w:jc w:val="left"/>
        <w:rPr>
          <w:sz w:val="21"/>
        </w:rPr>
      </w:pPr>
      <w:r>
        <w:rPr>
          <w:spacing w:val="-1"/>
          <w:w w:val="33"/>
          <w:sz w:val="21"/>
        </w:rPr>
        <w:t>―</w:t>
      </w:r>
      <w:r>
        <w:rPr>
          <w:w w:val="100"/>
          <w:sz w:val="21"/>
        </w:rPr>
        <w:t>Di</w:t>
      </w:r>
      <w:r>
        <w:rPr>
          <w:spacing w:val="-3"/>
          <w:w w:val="100"/>
          <w:sz w:val="21"/>
        </w:rPr>
        <w:t>s</w:t>
      </w:r>
      <w:r>
        <w:rPr>
          <w:spacing w:val="-1"/>
          <w:w w:val="100"/>
          <w:sz w:val="21"/>
        </w:rPr>
        <w:t>pute</w:t>
      </w:r>
      <w:r>
        <w:rPr>
          <w:w w:val="100"/>
          <w:sz w:val="21"/>
        </w:rPr>
        <w:t>d</w:t>
      </w:r>
      <w:r>
        <w:rPr>
          <w:spacing w:val="-3"/>
          <w:sz w:val="21"/>
        </w:rPr>
        <w:t> </w:t>
      </w:r>
      <w:r>
        <w:rPr>
          <w:spacing w:val="-1"/>
          <w:w w:val="100"/>
          <w:sz w:val="21"/>
        </w:rPr>
        <w:t>p</w:t>
      </w:r>
      <w:r>
        <w:rPr>
          <w:spacing w:val="1"/>
          <w:w w:val="100"/>
          <w:sz w:val="21"/>
        </w:rPr>
        <w:t>l</w:t>
      </w:r>
      <w:r>
        <w:rPr>
          <w:spacing w:val="-3"/>
          <w:w w:val="100"/>
          <w:sz w:val="21"/>
        </w:rPr>
        <w:t>a</w:t>
      </w:r>
      <w:r>
        <w:rPr>
          <w:w w:val="100"/>
          <w:sz w:val="21"/>
        </w:rPr>
        <w:t>ce:</w:t>
      </w:r>
    </w:p>
    <w:p>
      <w:pPr>
        <w:pStyle w:val="BodyText"/>
        <w:spacing w:before="3"/>
        <w:rPr>
          <w:sz w:val="27"/>
        </w:rPr>
      </w:pPr>
    </w:p>
    <w:p>
      <w:pPr>
        <w:spacing w:line="276" w:lineRule="auto" w:before="0"/>
        <w:ind w:left="2660" w:right="2346" w:firstLine="0"/>
        <w:jc w:val="left"/>
        <w:rPr>
          <w:sz w:val="21"/>
        </w:rPr>
      </w:pPr>
      <w:r>
        <w:rPr>
          <w:sz w:val="21"/>
        </w:rPr>
        <w:t>East: Store and Chabutra of Ram Janam Bhumi West:</w:t>
      </w:r>
      <w:r>
        <w:rPr>
          <w:spacing w:val="55"/>
          <w:sz w:val="21"/>
        </w:rPr>
        <w:t> </w:t>
      </w:r>
      <w:r>
        <w:rPr>
          <w:sz w:val="21"/>
        </w:rPr>
        <w:t>Parti</w:t>
      </w:r>
    </w:p>
    <w:p>
      <w:pPr>
        <w:spacing w:line="276" w:lineRule="auto" w:before="0"/>
        <w:ind w:left="2660" w:right="5702" w:firstLine="0"/>
        <w:jc w:val="left"/>
        <w:rPr>
          <w:sz w:val="21"/>
        </w:rPr>
      </w:pPr>
      <w:r>
        <w:rPr>
          <w:sz w:val="21"/>
        </w:rPr>
        <w:t>North: Sita Rasoi South: Parti.‖</w:t>
      </w:r>
    </w:p>
    <w:p>
      <w:pPr>
        <w:pStyle w:val="BodyText"/>
        <w:spacing w:before="11"/>
        <w:rPr>
          <w:sz w:val="28"/>
        </w:rPr>
      </w:pPr>
    </w:p>
    <w:p>
      <w:pPr>
        <w:pStyle w:val="BodyText"/>
        <w:spacing w:line="480" w:lineRule="auto"/>
        <w:ind w:left="500" w:right="438"/>
        <w:jc w:val="both"/>
      </w:pPr>
      <w:r>
        <w:rPr/>
        <w:t>The cause of action for Suit 1 is stated to have arisen on 14 January 1950, when the employees of the government are alleged to have unlawfully prevented the </w:t>
      </w:r>
      <w:r>
        <w:rPr>
          <w:w w:val="99"/>
        </w:rPr>
        <w:t>plaintiff</w:t>
      </w:r>
      <w:r>
        <w:rPr/>
        <w:t> </w:t>
      </w:r>
      <w:r>
        <w:rPr>
          <w:w w:val="33"/>
        </w:rPr>
        <w:t>―</w:t>
      </w:r>
      <w:r>
        <w:rPr>
          <w:w w:val="99"/>
        </w:rPr>
        <w:t>from</w:t>
      </w:r>
      <w:r>
        <w:rPr/>
        <w:t> </w:t>
      </w:r>
      <w:r>
        <w:rPr>
          <w:w w:val="99"/>
        </w:rPr>
        <w:t>going</w:t>
      </w:r>
      <w:r>
        <w:rPr/>
        <w:t> </w:t>
      </w:r>
      <w:r>
        <w:rPr>
          <w:w w:val="99"/>
        </w:rPr>
        <w:t>inside</w:t>
      </w:r>
      <w:r>
        <w:rPr/>
        <w:t> </w:t>
      </w:r>
      <w:r>
        <w:rPr>
          <w:w w:val="99"/>
        </w:rPr>
        <w:t>the</w:t>
      </w:r>
      <w:r>
        <w:rPr/>
        <w:t> </w:t>
      </w:r>
      <w:r>
        <w:rPr>
          <w:w w:val="99"/>
        </w:rPr>
        <w:t>place</w:t>
      </w:r>
      <w:r>
        <w:rPr>
          <w:w w:val="80"/>
        </w:rPr>
        <w:t>‖</w:t>
      </w:r>
      <w:r>
        <w:rPr/>
        <w:t> </w:t>
      </w:r>
      <w:r>
        <w:rPr>
          <w:w w:val="99"/>
        </w:rPr>
        <w:t>and</w:t>
      </w:r>
      <w:r>
        <w:rPr/>
        <w:t> </w:t>
      </w:r>
      <w:r>
        <w:rPr>
          <w:w w:val="99"/>
        </w:rPr>
        <w:t>exercising</w:t>
      </w:r>
      <w:r>
        <w:rPr/>
        <w:t> </w:t>
      </w:r>
      <w:r>
        <w:rPr>
          <w:w w:val="99"/>
        </w:rPr>
        <w:t>his</w:t>
      </w:r>
      <w:r>
        <w:rPr/>
        <w:t> </w:t>
      </w:r>
      <w:r>
        <w:rPr>
          <w:w w:val="99"/>
        </w:rPr>
        <w:t>right</w:t>
      </w:r>
      <w:r>
        <w:rPr/>
        <w:t> </w:t>
      </w:r>
      <w:r>
        <w:rPr>
          <w:w w:val="99"/>
        </w:rPr>
        <w:t>of</w:t>
      </w:r>
      <w:r>
        <w:rPr/>
        <w:t> </w:t>
      </w:r>
      <w:r>
        <w:rPr>
          <w:w w:val="99"/>
        </w:rPr>
        <w:t>worship.</w:t>
      </w:r>
      <w:r>
        <w:rPr/>
        <w:t> </w:t>
      </w:r>
      <w:r>
        <w:rPr>
          <w:w w:val="99"/>
        </w:rPr>
        <w:t>It</w:t>
      </w:r>
      <w:r>
        <w:rPr/>
        <w:t> </w:t>
      </w:r>
      <w:r>
        <w:rPr>
          <w:w w:val="99"/>
        </w:rPr>
        <w:t>w</w:t>
      </w:r>
      <w:r>
        <w:rPr>
          <w:w w:val="99"/>
        </w:rPr>
        <w:t>as </w:t>
      </w:r>
      <w:r>
        <w:rPr>
          <w:w w:val="99"/>
        </w:rPr>
        <w:t>alleged</w:t>
      </w:r>
      <w:r>
        <w:rPr/>
        <w:t> </w:t>
      </w:r>
      <w:r>
        <w:rPr>
          <w:w w:val="99"/>
        </w:rPr>
        <w:t>that</w:t>
      </w:r>
      <w:r>
        <w:rPr/>
        <w:t> </w:t>
      </w:r>
      <w:r>
        <w:rPr>
          <w:w w:val="99"/>
        </w:rPr>
        <w:t>the</w:t>
      </w:r>
      <w:r>
        <w:rPr/>
        <w:t> </w:t>
      </w:r>
      <w:r>
        <w:rPr>
          <w:w w:val="33"/>
        </w:rPr>
        <w:t>―</w:t>
      </w:r>
      <w:r>
        <w:rPr>
          <w:w w:val="99"/>
        </w:rPr>
        <w:t>Stat</w:t>
      </w:r>
      <w:r>
        <w:rPr>
          <w:w w:val="91"/>
        </w:rPr>
        <w:t>e‖</w:t>
      </w:r>
      <w:r>
        <w:rPr/>
        <w:t> </w:t>
      </w:r>
      <w:r>
        <w:rPr>
          <w:w w:val="99"/>
        </w:rPr>
        <w:t>adopted</w:t>
      </w:r>
      <w:r>
        <w:rPr/>
        <w:t> </w:t>
      </w:r>
      <w:r>
        <w:rPr>
          <w:w w:val="99"/>
        </w:rPr>
        <w:t>this</w:t>
      </w:r>
      <w:r>
        <w:rPr/>
        <w:t> </w:t>
      </w:r>
      <w:r>
        <w:rPr>
          <w:w w:val="99"/>
        </w:rPr>
        <w:t>action</w:t>
      </w:r>
      <w:r>
        <w:rPr/>
        <w:t> </w:t>
      </w:r>
      <w:r>
        <w:rPr>
          <w:w w:val="99"/>
        </w:rPr>
        <w:t>at</w:t>
      </w:r>
      <w:r>
        <w:rPr/>
        <w:t> </w:t>
      </w:r>
      <w:r>
        <w:rPr>
          <w:w w:val="99"/>
        </w:rPr>
        <w:t>the</w:t>
      </w:r>
      <w:r>
        <w:rPr/>
        <w:t> </w:t>
      </w:r>
      <w:r>
        <w:rPr>
          <w:w w:val="99"/>
        </w:rPr>
        <w:t>behest</w:t>
      </w:r>
      <w:r>
        <w:rPr/>
        <w:t> </w:t>
      </w:r>
      <w:r>
        <w:rPr>
          <w:w w:val="99"/>
        </w:rPr>
        <w:t>of</w:t>
      </w:r>
      <w:r>
        <w:rPr/>
        <w:t> </w:t>
      </w:r>
      <w:r>
        <w:rPr>
          <w:w w:val="99"/>
        </w:rPr>
        <w:t>the</w:t>
      </w:r>
      <w:r>
        <w:rPr/>
        <w:t> </w:t>
      </w:r>
      <w:r>
        <w:rPr>
          <w:w w:val="99"/>
        </w:rPr>
        <w:t>Muslim</w:t>
      </w:r>
      <w:r>
        <w:rPr/>
        <w:t> </w:t>
      </w:r>
      <w:r>
        <w:rPr>
          <w:w w:val="99"/>
        </w:rPr>
        <w:t>residents</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5"/>
        <w:jc w:val="both"/>
      </w:pPr>
      <w:r>
        <w:rPr/>
        <w:t>represented by defendant nos 1 to 5, as a result of which the Hindus were stated </w:t>
      </w:r>
      <w:r>
        <w:rPr>
          <w:w w:val="99"/>
        </w:rPr>
        <w:t>to</w:t>
      </w:r>
      <w:r>
        <w:rPr/>
        <w:t> </w:t>
      </w:r>
      <w:r>
        <w:rPr>
          <w:w w:val="99"/>
        </w:rPr>
        <w:t>been</w:t>
      </w:r>
      <w:r>
        <w:rPr/>
        <w:t> </w:t>
      </w:r>
      <w:r>
        <w:rPr>
          <w:w w:val="99"/>
        </w:rPr>
        <w:t>deprived</w:t>
      </w:r>
      <w:r>
        <w:rPr/>
        <w:t> </w:t>
      </w:r>
      <w:r>
        <w:rPr>
          <w:w w:val="99"/>
        </w:rPr>
        <w:t>of</w:t>
      </w:r>
      <w:r>
        <w:rPr/>
        <w:t> </w:t>
      </w:r>
      <w:r>
        <w:rPr>
          <w:w w:val="99"/>
        </w:rPr>
        <w:t>their</w:t>
      </w:r>
      <w:r>
        <w:rPr/>
        <w:t> </w:t>
      </w:r>
      <w:r>
        <w:rPr>
          <w:w w:val="33"/>
        </w:rPr>
        <w:t>―</w:t>
      </w:r>
      <w:r>
        <w:rPr>
          <w:w w:val="99"/>
        </w:rPr>
        <w:t>legitimate</w:t>
      </w:r>
      <w:r>
        <w:rPr/>
        <w:t> </w:t>
      </w:r>
      <w:r>
        <w:rPr>
          <w:w w:val="99"/>
        </w:rPr>
        <w:t>right</w:t>
      </w:r>
      <w:r>
        <w:rPr/>
        <w:t> </w:t>
      </w:r>
      <w:r>
        <w:rPr>
          <w:w w:val="99"/>
        </w:rPr>
        <w:t>of</w:t>
      </w:r>
      <w:r>
        <w:rPr/>
        <w:t> </w:t>
      </w:r>
      <w:r>
        <w:rPr>
          <w:w w:val="99"/>
        </w:rPr>
        <w:t>wor</w:t>
      </w:r>
      <w:r>
        <w:rPr>
          <w:w w:val="96"/>
        </w:rPr>
        <w:t>ship‖</w:t>
      </w:r>
      <w:r>
        <w:rPr>
          <w:w w:val="99"/>
        </w:rPr>
        <w:t>.</w:t>
      </w:r>
      <w:r>
        <w:rPr/>
        <w:t> </w:t>
      </w:r>
      <w:r>
        <w:rPr>
          <w:w w:val="99"/>
        </w:rPr>
        <w:t>The</w:t>
      </w:r>
      <w:r>
        <w:rPr/>
        <w:t> </w:t>
      </w:r>
      <w:r>
        <w:rPr>
          <w:w w:val="99"/>
        </w:rPr>
        <w:t>plaintiff</w:t>
      </w:r>
      <w:r>
        <w:rPr/>
        <w:t> </w:t>
      </w:r>
      <w:r>
        <w:rPr>
          <w:w w:val="99"/>
        </w:rPr>
        <w:t>apprehended </w:t>
      </w:r>
      <w:r>
        <w:rPr/>
        <w:t>that the idols, including the idol of Lord Ram, would be removed. These actions </w:t>
      </w:r>
      <w:r>
        <w:rPr>
          <w:w w:val="99"/>
        </w:rPr>
        <w:t>were</w:t>
      </w:r>
      <w:r>
        <w:rPr/>
        <w:t> </w:t>
      </w:r>
      <w:r>
        <w:rPr>
          <w:w w:val="99"/>
        </w:rPr>
        <w:t>alleged</w:t>
      </w:r>
      <w:r>
        <w:rPr/>
        <w:t> </w:t>
      </w:r>
      <w:r>
        <w:rPr>
          <w:w w:val="99"/>
        </w:rPr>
        <w:t>to</w:t>
      </w:r>
      <w:r>
        <w:rPr/>
        <w:t> </w:t>
      </w:r>
      <w:r>
        <w:rPr>
          <w:w w:val="99"/>
        </w:rPr>
        <w:t>constitute</w:t>
      </w:r>
      <w:r>
        <w:rPr/>
        <w:t> </w:t>
      </w:r>
      <w:r>
        <w:rPr>
          <w:w w:val="99"/>
        </w:rPr>
        <w:t>a</w:t>
      </w:r>
      <w:r>
        <w:rPr/>
        <w:t> </w:t>
      </w:r>
      <w:r>
        <w:rPr>
          <w:w w:val="33"/>
        </w:rPr>
        <w:t>―</w:t>
      </w:r>
      <w:r>
        <w:rPr>
          <w:w w:val="99"/>
        </w:rPr>
        <w:t>direct</w:t>
      </w:r>
      <w:r>
        <w:rPr/>
        <w:t> </w:t>
      </w:r>
      <w:r>
        <w:rPr>
          <w:w w:val="99"/>
        </w:rPr>
        <w:t>attack</w:t>
      </w:r>
      <w:r>
        <w:rPr/>
        <w:t> </w:t>
      </w:r>
      <w:r>
        <w:rPr>
          <w:w w:val="99"/>
        </w:rPr>
        <w:t>on</w:t>
      </w:r>
      <w:r>
        <w:rPr/>
        <w:t> </w:t>
      </w:r>
      <w:r>
        <w:rPr>
          <w:w w:val="99"/>
        </w:rPr>
        <w:t>the</w:t>
      </w:r>
      <w:r>
        <w:rPr/>
        <w:t> </w:t>
      </w:r>
      <w:r>
        <w:rPr>
          <w:w w:val="99"/>
        </w:rPr>
        <w:t>right</w:t>
      </w:r>
      <w:r>
        <w:rPr/>
        <w:t> </w:t>
      </w:r>
      <w:r>
        <w:rPr>
          <w:w w:val="99"/>
        </w:rPr>
        <w:t>and</w:t>
      </w:r>
      <w:r>
        <w:rPr/>
        <w:t> </w:t>
      </w:r>
      <w:r>
        <w:rPr>
          <w:w w:val="99"/>
        </w:rPr>
        <w:t>title</w:t>
      </w:r>
      <w:r>
        <w:rPr/>
        <w:t> </w:t>
      </w:r>
      <w:r>
        <w:rPr>
          <w:w w:val="99"/>
        </w:rPr>
        <w:t>of</w:t>
      </w:r>
      <w:r>
        <w:rPr/>
        <w:t> </w:t>
      </w:r>
      <w:r>
        <w:rPr>
          <w:w w:val="99"/>
        </w:rPr>
        <w:t>the</w:t>
      </w:r>
      <w:r>
        <w:rPr/>
        <w:t> </w:t>
      </w:r>
      <w:r>
        <w:rPr>
          <w:w w:val="99"/>
        </w:rPr>
        <w:t>plain</w:t>
      </w:r>
      <w:r>
        <w:rPr>
          <w:w w:val="94"/>
        </w:rPr>
        <w:t>tiff‖</w:t>
      </w:r>
      <w:r>
        <w:rPr/>
        <w:t> </w:t>
      </w:r>
      <w:r>
        <w:rPr>
          <w:w w:val="99"/>
        </w:rPr>
        <w:t>and were</w:t>
      </w:r>
      <w:r>
        <w:rPr/>
        <w:t> </w:t>
      </w:r>
      <w:r>
        <w:rPr>
          <w:w w:val="99"/>
        </w:rPr>
        <w:t>stated</w:t>
      </w:r>
      <w:r>
        <w:rPr/>
        <w:t> </w:t>
      </w:r>
      <w:r>
        <w:rPr>
          <w:w w:val="99"/>
        </w:rPr>
        <w:t>to</w:t>
      </w:r>
      <w:r>
        <w:rPr/>
        <w:t> </w:t>
      </w:r>
      <w:r>
        <w:rPr>
          <w:w w:val="99"/>
        </w:rPr>
        <w:t>be</w:t>
      </w:r>
      <w:r>
        <w:rPr/>
        <w:t> </w:t>
      </w:r>
      <w:r>
        <w:rPr>
          <w:w w:val="99"/>
        </w:rPr>
        <w:t>an</w:t>
      </w:r>
      <w:r>
        <w:rPr/>
        <w:t> </w:t>
      </w:r>
      <w:r>
        <w:rPr>
          <w:w w:val="33"/>
        </w:rPr>
        <w:t>―</w:t>
      </w:r>
      <w:r>
        <w:rPr>
          <w:w w:val="99"/>
        </w:rPr>
        <w:t>oppressive</w:t>
      </w:r>
      <w:r>
        <w:rPr/>
        <w:t> </w:t>
      </w:r>
      <w:r>
        <w:rPr>
          <w:w w:val="99"/>
        </w:rPr>
        <w:t>a</w:t>
      </w:r>
      <w:r>
        <w:rPr>
          <w:w w:val="93"/>
        </w:rPr>
        <w:t>ct‖</w:t>
      </w:r>
      <w:r>
        <w:rPr>
          <w:w w:val="99"/>
        </w:rPr>
        <w:t>,</w:t>
      </w:r>
      <w:r>
        <w:rPr/>
        <w:t> </w:t>
      </w:r>
      <w:r>
        <w:rPr>
          <w:w w:val="99"/>
        </w:rPr>
        <w:t>contrary</w:t>
      </w:r>
      <w:r>
        <w:rPr/>
        <w:t> </w:t>
      </w:r>
      <w:r>
        <w:rPr>
          <w:w w:val="99"/>
        </w:rPr>
        <w:t>to</w:t>
      </w:r>
      <w:r>
        <w:rPr/>
        <w:t> </w:t>
      </w:r>
      <w:r>
        <w:rPr>
          <w:w w:val="99"/>
        </w:rPr>
        <w:t>law.</w:t>
      </w:r>
    </w:p>
    <w:p>
      <w:pPr>
        <w:pStyle w:val="ListParagraph"/>
        <w:numPr>
          <w:ilvl w:val="0"/>
          <w:numId w:val="3"/>
        </w:numPr>
        <w:tabs>
          <w:tab w:pos="1221" w:val="left" w:leader="none"/>
        </w:tabs>
        <w:spacing w:line="482" w:lineRule="auto" w:before="240" w:after="0"/>
        <w:ind w:left="500" w:right="447" w:firstLine="0"/>
        <w:jc w:val="both"/>
        <w:rPr>
          <w:sz w:val="25"/>
        </w:rPr>
      </w:pPr>
      <w:r>
        <w:rPr>
          <w:sz w:val="25"/>
        </w:rPr>
        <w:t>Denying the allegations contained in the plaint, defendant nos 1 to 5 stated in their written statements</w:t>
      </w:r>
      <w:r>
        <w:rPr>
          <w:spacing w:val="-3"/>
          <w:sz w:val="25"/>
        </w:rPr>
        <w:t> </w:t>
      </w:r>
      <w:r>
        <w:rPr>
          <w:sz w:val="25"/>
        </w:rPr>
        <w:t>that:</w:t>
      </w:r>
    </w:p>
    <w:p>
      <w:pPr>
        <w:pStyle w:val="ListParagraph"/>
        <w:numPr>
          <w:ilvl w:val="0"/>
          <w:numId w:val="6"/>
        </w:numPr>
        <w:tabs>
          <w:tab w:pos="1221" w:val="left" w:leader="none"/>
        </w:tabs>
        <w:spacing w:line="480" w:lineRule="auto" w:before="0" w:after="0"/>
        <w:ind w:left="1220" w:right="434" w:hanging="720"/>
        <w:jc w:val="both"/>
        <w:rPr>
          <w:sz w:val="25"/>
        </w:rPr>
      </w:pPr>
      <w:r>
        <w:rPr>
          <w:sz w:val="25"/>
        </w:rPr>
        <w:t>The property in respect of which the case has been instituted is not Janmabhumi but a mosque constructed by Emperor Babur. The </w:t>
      </w:r>
      <w:r>
        <w:rPr>
          <w:color w:val="000009"/>
          <w:sz w:val="25"/>
        </w:rPr>
        <w:t>mosque was </w:t>
      </w:r>
      <w:r>
        <w:rPr>
          <w:sz w:val="25"/>
        </w:rPr>
        <w:t>built in 1528 on the instructions of Emperor Babur by Mir Baqi, who was the Commander of Babur‘s forces, following the conquest of the sub- continent by the Mughal</w:t>
      </w:r>
      <w:r>
        <w:rPr>
          <w:spacing w:val="-3"/>
          <w:sz w:val="25"/>
        </w:rPr>
        <w:t> </w:t>
      </w:r>
      <w:r>
        <w:rPr>
          <w:sz w:val="25"/>
        </w:rPr>
        <w:t>emperor;</w:t>
      </w:r>
    </w:p>
    <w:p>
      <w:pPr>
        <w:pStyle w:val="ListParagraph"/>
        <w:numPr>
          <w:ilvl w:val="0"/>
          <w:numId w:val="6"/>
        </w:numPr>
        <w:tabs>
          <w:tab w:pos="1221" w:val="left" w:leader="none"/>
        </w:tabs>
        <w:spacing w:line="480" w:lineRule="auto" w:before="0" w:after="0"/>
        <w:ind w:left="1220" w:right="442" w:hanging="720"/>
        <w:jc w:val="both"/>
        <w:rPr>
          <w:sz w:val="25"/>
        </w:rPr>
      </w:pPr>
      <w:r>
        <w:rPr>
          <w:sz w:val="25"/>
        </w:rPr>
        <w:t>The mosque was dedicated as a waqf for Muslims, who have a right to worship there. Emperor Babur laid out annual grants for the maintenance and expenditure of the mosque, which were continued and enhanced by the Nawab of Awadh and the British</w:t>
      </w:r>
      <w:r>
        <w:rPr>
          <w:spacing w:val="-4"/>
          <w:sz w:val="25"/>
        </w:rPr>
        <w:t> </w:t>
      </w:r>
      <w:r>
        <w:rPr>
          <w:sz w:val="25"/>
        </w:rPr>
        <w:t>Government;</w:t>
      </w:r>
    </w:p>
    <w:p>
      <w:pPr>
        <w:pStyle w:val="ListParagraph"/>
        <w:numPr>
          <w:ilvl w:val="0"/>
          <w:numId w:val="6"/>
        </w:numPr>
        <w:tabs>
          <w:tab w:pos="1221" w:val="left" w:leader="none"/>
        </w:tabs>
        <w:spacing w:line="480" w:lineRule="auto" w:before="0" w:after="0"/>
        <w:ind w:left="1220" w:right="437" w:hanging="720"/>
        <w:jc w:val="both"/>
        <w:rPr>
          <w:sz w:val="25"/>
        </w:rPr>
      </w:pPr>
      <w:r>
        <w:rPr>
          <w:sz w:val="25"/>
        </w:rPr>
        <w:t>The Suit of 1885 was a suit for declaration of ownership by Mahant Raghubar Das only in respect of the Ramchabutra and hence the claim that the entire building represented the Janmasthan was baseless. As a </w:t>
      </w:r>
      <w:r>
        <w:rPr>
          <w:w w:val="99"/>
          <w:sz w:val="25"/>
        </w:rPr>
        <w:t>consequence</w:t>
      </w:r>
      <w:r>
        <w:rPr>
          <w:spacing w:val="9"/>
          <w:sz w:val="25"/>
        </w:rPr>
        <w:t> </w:t>
      </w:r>
      <w:r>
        <w:rPr>
          <w:w w:val="99"/>
          <w:sz w:val="25"/>
        </w:rPr>
        <w:t>of</w:t>
      </w:r>
      <w:r>
        <w:rPr>
          <w:spacing w:val="10"/>
          <w:sz w:val="25"/>
        </w:rPr>
        <w:t> </w:t>
      </w:r>
      <w:r>
        <w:rPr>
          <w:w w:val="99"/>
          <w:sz w:val="25"/>
        </w:rPr>
        <w:t>the</w:t>
      </w:r>
      <w:r>
        <w:rPr>
          <w:spacing w:val="10"/>
          <w:sz w:val="25"/>
        </w:rPr>
        <w:t> </w:t>
      </w:r>
      <w:r>
        <w:rPr>
          <w:w w:val="99"/>
          <w:sz w:val="25"/>
        </w:rPr>
        <w:t>dismissal</w:t>
      </w:r>
      <w:r>
        <w:rPr>
          <w:spacing w:val="9"/>
          <w:sz w:val="25"/>
        </w:rPr>
        <w:t> </w:t>
      </w:r>
      <w:r>
        <w:rPr>
          <w:w w:val="99"/>
          <w:sz w:val="25"/>
        </w:rPr>
        <w:t>of</w:t>
      </w:r>
      <w:r>
        <w:rPr>
          <w:spacing w:val="10"/>
          <w:sz w:val="25"/>
        </w:rPr>
        <w:t> </w:t>
      </w:r>
      <w:r>
        <w:rPr>
          <w:spacing w:val="4"/>
          <w:w w:val="99"/>
          <w:sz w:val="25"/>
        </w:rPr>
        <w:t>t</w:t>
      </w:r>
      <w:r>
        <w:rPr>
          <w:w w:val="99"/>
          <w:sz w:val="25"/>
        </w:rPr>
        <w:t>he</w:t>
      </w:r>
      <w:r>
        <w:rPr>
          <w:spacing w:val="10"/>
          <w:sz w:val="25"/>
        </w:rPr>
        <w:t> </w:t>
      </w:r>
      <w:r>
        <w:rPr>
          <w:spacing w:val="-1"/>
          <w:w w:val="99"/>
          <w:sz w:val="25"/>
        </w:rPr>
        <w:t>S</w:t>
      </w:r>
      <w:r>
        <w:rPr>
          <w:w w:val="99"/>
          <w:sz w:val="25"/>
        </w:rPr>
        <w:t>uit</w:t>
      </w:r>
      <w:r>
        <w:rPr>
          <w:spacing w:val="10"/>
          <w:sz w:val="25"/>
        </w:rPr>
        <w:t> </w:t>
      </w:r>
      <w:r>
        <w:rPr>
          <w:spacing w:val="2"/>
          <w:w w:val="99"/>
          <w:sz w:val="25"/>
        </w:rPr>
        <w:t>o</w:t>
      </w:r>
      <w:r>
        <w:rPr>
          <w:w w:val="99"/>
          <w:sz w:val="25"/>
        </w:rPr>
        <w:t>n</w:t>
      </w:r>
      <w:r>
        <w:rPr>
          <w:spacing w:val="9"/>
          <w:sz w:val="25"/>
        </w:rPr>
        <w:t> </w:t>
      </w:r>
      <w:r>
        <w:rPr>
          <w:w w:val="99"/>
          <w:sz w:val="25"/>
        </w:rPr>
        <w:t>24</w:t>
      </w:r>
      <w:r>
        <w:rPr>
          <w:spacing w:val="9"/>
          <w:sz w:val="25"/>
        </w:rPr>
        <w:t> </w:t>
      </w:r>
      <w:r>
        <w:rPr>
          <w:w w:val="99"/>
          <w:sz w:val="25"/>
        </w:rPr>
        <w:t>Dece</w:t>
      </w:r>
      <w:r>
        <w:rPr>
          <w:spacing w:val="1"/>
          <w:w w:val="99"/>
          <w:sz w:val="25"/>
        </w:rPr>
        <w:t>m</w:t>
      </w:r>
      <w:r>
        <w:rPr>
          <w:w w:val="99"/>
          <w:sz w:val="25"/>
        </w:rPr>
        <w:t>be</w:t>
      </w:r>
      <w:r>
        <w:rPr>
          <w:w w:val="99"/>
          <w:sz w:val="25"/>
        </w:rPr>
        <w:t>r</w:t>
      </w:r>
      <w:r>
        <w:rPr>
          <w:spacing w:val="10"/>
          <w:sz w:val="25"/>
        </w:rPr>
        <w:t> </w:t>
      </w:r>
      <w:r>
        <w:rPr>
          <w:w w:val="99"/>
          <w:sz w:val="25"/>
        </w:rPr>
        <w:t>1885</w:t>
      </w:r>
      <w:r>
        <w:rPr>
          <w:w w:val="99"/>
          <w:sz w:val="25"/>
        </w:rPr>
        <w:t>,</w:t>
      </w:r>
      <w:r>
        <w:rPr>
          <w:spacing w:val="11"/>
          <w:sz w:val="25"/>
        </w:rPr>
        <w:t> </w:t>
      </w:r>
      <w:r>
        <w:rPr>
          <w:w w:val="33"/>
          <w:sz w:val="25"/>
        </w:rPr>
        <w:t>―</w:t>
      </w:r>
      <w:r>
        <w:rPr>
          <w:w w:val="99"/>
          <w:sz w:val="25"/>
        </w:rPr>
        <w:t>the</w:t>
      </w:r>
      <w:r>
        <w:rPr>
          <w:spacing w:val="10"/>
          <w:sz w:val="25"/>
        </w:rPr>
        <w:t> </w:t>
      </w:r>
      <w:r>
        <w:rPr>
          <w:w w:val="99"/>
          <w:sz w:val="25"/>
        </w:rPr>
        <w:t>case </w:t>
      </w:r>
      <w:r>
        <w:rPr>
          <w:sz w:val="25"/>
        </w:rPr>
        <w:t>respecting the Chabutra was not</w:t>
      </w:r>
      <w:r>
        <w:rPr>
          <w:spacing w:val="-8"/>
          <w:sz w:val="25"/>
        </w:rPr>
        <w:t> </w:t>
      </w:r>
      <w:r>
        <w:rPr>
          <w:sz w:val="25"/>
        </w:rPr>
        <w:t>entertained‖;</w:t>
      </w:r>
    </w:p>
    <w:p>
      <w:pPr>
        <w:pStyle w:val="ListParagraph"/>
        <w:numPr>
          <w:ilvl w:val="0"/>
          <w:numId w:val="6"/>
        </w:numPr>
        <w:tabs>
          <w:tab w:pos="1221" w:val="left" w:leader="none"/>
        </w:tabs>
        <w:spacing w:line="480" w:lineRule="auto" w:before="0" w:after="0"/>
        <w:ind w:left="1220" w:right="440" w:hanging="720"/>
        <w:jc w:val="both"/>
        <w:rPr>
          <w:sz w:val="25"/>
        </w:rPr>
      </w:pPr>
      <w:r>
        <w:rPr>
          <w:sz w:val="25"/>
        </w:rPr>
        <w:t>The Chief Commissioner Waqf appointed under the U.P. Muslim Waqf Act 1936 had held the mosque to be a Sunni</w:t>
      </w:r>
      <w:r>
        <w:rPr>
          <w:spacing w:val="-4"/>
          <w:sz w:val="25"/>
        </w:rPr>
        <w:t> </w:t>
      </w:r>
      <w:r>
        <w:rPr>
          <w:sz w:val="25"/>
        </w:rPr>
        <w:t>Waqf;</w:t>
      </w:r>
    </w:p>
    <w:p>
      <w:pPr>
        <w:spacing w:after="0" w:line="480" w:lineRule="auto"/>
        <w:jc w:val="both"/>
        <w:rPr>
          <w:sz w:val="25"/>
        </w:rPr>
        <w:sectPr>
          <w:pgSz w:w="11910" w:h="16840"/>
          <w:pgMar w:header="721" w:footer="1014" w:top="1300" w:bottom="1200" w:left="940" w:right="1000"/>
        </w:sectPr>
      </w:pPr>
    </w:p>
    <w:p>
      <w:pPr>
        <w:pStyle w:val="ListParagraph"/>
        <w:numPr>
          <w:ilvl w:val="0"/>
          <w:numId w:val="6"/>
        </w:numPr>
        <w:tabs>
          <w:tab w:pos="1221" w:val="left" w:leader="none"/>
        </w:tabs>
        <w:spacing w:line="480" w:lineRule="auto" w:before="124" w:after="0"/>
        <w:ind w:left="1220" w:right="439" w:hanging="720"/>
        <w:jc w:val="both"/>
        <w:rPr>
          <w:sz w:val="25"/>
        </w:rPr>
      </w:pPr>
      <w:r>
        <w:rPr>
          <w:sz w:val="25"/>
        </w:rPr>
        <w:t>Muslims have always been in possession of the mosque. This position </w:t>
      </w:r>
      <w:r>
        <w:rPr>
          <w:spacing w:val="-1"/>
          <w:w w:val="99"/>
          <w:sz w:val="25"/>
        </w:rPr>
        <w:t>b</w:t>
      </w:r>
      <w:r>
        <w:rPr>
          <w:w w:val="99"/>
          <w:sz w:val="25"/>
        </w:rPr>
        <w:t>e</w:t>
      </w:r>
      <w:r>
        <w:rPr>
          <w:spacing w:val="-1"/>
          <w:w w:val="99"/>
          <w:sz w:val="25"/>
        </w:rPr>
        <w:t>g</w:t>
      </w:r>
      <w:r>
        <w:rPr>
          <w:w w:val="99"/>
          <w:sz w:val="25"/>
        </w:rPr>
        <w:t>an</w:t>
      </w:r>
      <w:r>
        <w:rPr>
          <w:spacing w:val="-1"/>
          <w:sz w:val="25"/>
        </w:rPr>
        <w:t> </w:t>
      </w:r>
      <w:r>
        <w:rPr>
          <w:spacing w:val="-1"/>
          <w:w w:val="99"/>
          <w:sz w:val="25"/>
        </w:rPr>
        <w:t>i</w:t>
      </w:r>
      <w:r>
        <w:rPr>
          <w:w w:val="99"/>
          <w:sz w:val="25"/>
        </w:rPr>
        <w:t>n</w:t>
      </w:r>
      <w:r>
        <w:rPr>
          <w:sz w:val="25"/>
        </w:rPr>
        <w:t> </w:t>
      </w:r>
      <w:r>
        <w:rPr>
          <w:spacing w:val="-1"/>
          <w:w w:val="99"/>
          <w:sz w:val="25"/>
        </w:rPr>
        <w:t>1</w:t>
      </w:r>
      <w:r>
        <w:rPr>
          <w:w w:val="99"/>
          <w:sz w:val="25"/>
        </w:rPr>
        <w:t>5</w:t>
      </w:r>
      <w:r>
        <w:rPr>
          <w:spacing w:val="-1"/>
          <w:w w:val="99"/>
          <w:sz w:val="25"/>
        </w:rPr>
        <w:t>2</w:t>
      </w:r>
      <w:r>
        <w:rPr>
          <w:w w:val="99"/>
          <w:sz w:val="25"/>
        </w:rPr>
        <w:t>8</w:t>
      </w:r>
      <w:r>
        <w:rPr>
          <w:sz w:val="25"/>
        </w:rPr>
        <w:t> </w:t>
      </w:r>
      <w:r>
        <w:rPr>
          <w:spacing w:val="-1"/>
          <w:w w:val="99"/>
          <w:sz w:val="25"/>
        </w:rPr>
        <w:t>a</w:t>
      </w:r>
      <w:r>
        <w:rPr>
          <w:w w:val="99"/>
          <w:sz w:val="25"/>
        </w:rPr>
        <w:t>nd</w:t>
      </w:r>
      <w:r>
        <w:rPr>
          <w:spacing w:val="-1"/>
          <w:sz w:val="25"/>
        </w:rPr>
        <w:t> </w:t>
      </w:r>
      <w:r>
        <w:rPr>
          <w:w w:val="99"/>
          <w:sz w:val="25"/>
        </w:rPr>
        <w:t>c</w:t>
      </w:r>
      <w:r>
        <w:rPr>
          <w:spacing w:val="3"/>
          <w:w w:val="99"/>
          <w:sz w:val="25"/>
        </w:rPr>
        <w:t>o</w:t>
      </w:r>
      <w:r>
        <w:rPr>
          <w:spacing w:val="-1"/>
          <w:w w:val="99"/>
          <w:sz w:val="25"/>
        </w:rPr>
        <w:t>nti</w:t>
      </w:r>
      <w:r>
        <w:rPr>
          <w:w w:val="99"/>
          <w:sz w:val="25"/>
        </w:rPr>
        <w:t>n</w:t>
      </w:r>
      <w:r>
        <w:rPr>
          <w:spacing w:val="-1"/>
          <w:w w:val="99"/>
          <w:sz w:val="25"/>
        </w:rPr>
        <w:t>u</w:t>
      </w:r>
      <w:r>
        <w:rPr>
          <w:w w:val="99"/>
          <w:sz w:val="25"/>
        </w:rPr>
        <w:t>ed</w:t>
      </w:r>
      <w:r>
        <w:rPr>
          <w:spacing w:val="-1"/>
          <w:sz w:val="25"/>
        </w:rPr>
        <w:t> </w:t>
      </w:r>
      <w:r>
        <w:rPr>
          <w:w w:val="99"/>
          <w:sz w:val="25"/>
        </w:rPr>
        <w:t>t</w:t>
      </w:r>
      <w:r>
        <w:rPr>
          <w:spacing w:val="-1"/>
          <w:w w:val="99"/>
          <w:sz w:val="25"/>
        </w:rPr>
        <w:t>h</w:t>
      </w:r>
      <w:r>
        <w:rPr>
          <w:w w:val="99"/>
          <w:sz w:val="25"/>
        </w:rPr>
        <w:t>er</w:t>
      </w:r>
      <w:r>
        <w:rPr>
          <w:spacing w:val="-1"/>
          <w:w w:val="99"/>
          <w:sz w:val="25"/>
        </w:rPr>
        <w:t>e</w:t>
      </w:r>
      <w:r>
        <w:rPr>
          <w:w w:val="99"/>
          <w:sz w:val="25"/>
        </w:rPr>
        <w:t>after,</w:t>
      </w:r>
      <w:r>
        <w:rPr>
          <w:sz w:val="25"/>
        </w:rPr>
        <w:t> </w:t>
      </w:r>
      <w:r>
        <w:rPr>
          <w:w w:val="99"/>
          <w:sz w:val="25"/>
        </w:rPr>
        <w:t>a</w:t>
      </w:r>
      <w:r>
        <w:rPr>
          <w:spacing w:val="-3"/>
          <w:w w:val="99"/>
          <w:sz w:val="25"/>
        </w:rPr>
        <w:t>n</w:t>
      </w:r>
      <w:r>
        <w:rPr>
          <w:w w:val="99"/>
          <w:sz w:val="25"/>
        </w:rPr>
        <w:t>d</w:t>
      </w:r>
      <w:r>
        <w:rPr>
          <w:spacing w:val="-1"/>
          <w:sz w:val="25"/>
        </w:rPr>
        <w:t> </w:t>
      </w:r>
      <w:r>
        <w:rPr>
          <w:w w:val="99"/>
          <w:sz w:val="25"/>
        </w:rPr>
        <w:t>co</w:t>
      </w:r>
      <w:r>
        <w:rPr>
          <w:spacing w:val="-1"/>
          <w:w w:val="99"/>
          <w:sz w:val="25"/>
        </w:rPr>
        <w:t>ns</w:t>
      </w:r>
      <w:r>
        <w:rPr>
          <w:w w:val="99"/>
          <w:sz w:val="25"/>
        </w:rPr>
        <w:t>e</w:t>
      </w:r>
      <w:r>
        <w:rPr>
          <w:spacing w:val="-1"/>
          <w:w w:val="99"/>
          <w:sz w:val="25"/>
        </w:rPr>
        <w:t>q</w:t>
      </w:r>
      <w:r>
        <w:rPr>
          <w:w w:val="99"/>
          <w:sz w:val="25"/>
        </w:rPr>
        <w:t>u</w:t>
      </w:r>
      <w:r>
        <w:rPr>
          <w:spacing w:val="-1"/>
          <w:w w:val="99"/>
          <w:sz w:val="25"/>
        </w:rPr>
        <w:t>e</w:t>
      </w:r>
      <w:r>
        <w:rPr>
          <w:w w:val="99"/>
          <w:sz w:val="25"/>
        </w:rPr>
        <w:t>ntl</w:t>
      </w:r>
      <w:r>
        <w:rPr>
          <w:spacing w:val="-3"/>
          <w:w w:val="99"/>
          <w:sz w:val="25"/>
        </w:rPr>
        <w:t>y</w:t>
      </w:r>
      <w:r>
        <w:rPr>
          <w:w w:val="99"/>
          <w:sz w:val="25"/>
        </w:rPr>
        <w:t>,</w:t>
      </w:r>
      <w:r>
        <w:rPr>
          <w:sz w:val="25"/>
        </w:rPr>
        <w:t> </w:t>
      </w:r>
      <w:r>
        <w:rPr>
          <w:spacing w:val="3"/>
          <w:w w:val="33"/>
          <w:sz w:val="25"/>
        </w:rPr>
        <w:t>―</w:t>
      </w:r>
      <w:r>
        <w:rPr>
          <w:spacing w:val="-2"/>
          <w:w w:val="99"/>
          <w:sz w:val="25"/>
        </w:rPr>
        <w:t>M</w:t>
      </w:r>
      <w:r>
        <w:rPr>
          <w:spacing w:val="-1"/>
          <w:w w:val="99"/>
          <w:sz w:val="25"/>
        </w:rPr>
        <w:t>us</w:t>
      </w:r>
      <w:r>
        <w:rPr>
          <w:spacing w:val="2"/>
          <w:w w:val="99"/>
          <w:sz w:val="25"/>
        </w:rPr>
        <w:t>l</w:t>
      </w:r>
      <w:r>
        <w:rPr>
          <w:spacing w:val="-1"/>
          <w:w w:val="99"/>
          <w:sz w:val="25"/>
        </w:rPr>
        <w:t>im</w:t>
      </w:r>
      <w:r>
        <w:rPr>
          <w:w w:val="99"/>
          <w:sz w:val="25"/>
        </w:rPr>
        <w:t>s</w:t>
      </w:r>
      <w:r>
        <w:rPr>
          <w:sz w:val="25"/>
        </w:rPr>
        <w:t> </w:t>
      </w:r>
      <w:r>
        <w:rPr>
          <w:spacing w:val="-1"/>
          <w:w w:val="99"/>
          <w:sz w:val="25"/>
        </w:rPr>
        <w:t>a</w:t>
      </w:r>
      <w:r>
        <w:rPr>
          <w:w w:val="99"/>
          <w:sz w:val="25"/>
        </w:rPr>
        <w:t>re</w:t>
      </w:r>
      <w:r>
        <w:rPr>
          <w:spacing w:val="-1"/>
          <w:sz w:val="25"/>
        </w:rPr>
        <w:t> </w:t>
      </w:r>
      <w:r>
        <w:rPr>
          <w:spacing w:val="-1"/>
          <w:w w:val="99"/>
          <w:sz w:val="25"/>
        </w:rPr>
        <w:t>in </w:t>
      </w:r>
      <w:r>
        <w:rPr>
          <w:sz w:val="25"/>
        </w:rPr>
        <w:t>possession of that property … by way of an adverse</w:t>
      </w:r>
      <w:r>
        <w:rPr>
          <w:spacing w:val="-26"/>
          <w:sz w:val="25"/>
        </w:rPr>
        <w:t> </w:t>
      </w:r>
      <w:r>
        <w:rPr>
          <w:sz w:val="25"/>
        </w:rPr>
        <w:t>possession‖;</w:t>
      </w:r>
    </w:p>
    <w:p>
      <w:pPr>
        <w:pStyle w:val="ListParagraph"/>
        <w:numPr>
          <w:ilvl w:val="0"/>
          <w:numId w:val="6"/>
        </w:numPr>
        <w:tabs>
          <w:tab w:pos="1221" w:val="left" w:leader="none"/>
        </w:tabs>
        <w:spacing w:line="480" w:lineRule="auto" w:before="0" w:after="0"/>
        <w:ind w:left="1220" w:right="436" w:hanging="720"/>
        <w:jc w:val="both"/>
        <w:rPr>
          <w:sz w:val="25"/>
        </w:rPr>
      </w:pPr>
      <w:r>
        <w:rPr>
          <w:sz w:val="25"/>
        </w:rPr>
        <w:t>Namaz had been offered at Babri Masjid until 16 December 1949 at which point there were no idols under the central dome. </w:t>
      </w:r>
      <w:r>
        <w:rPr>
          <w:spacing w:val="3"/>
          <w:sz w:val="25"/>
        </w:rPr>
        <w:t>If </w:t>
      </w:r>
      <w:r>
        <w:rPr>
          <w:sz w:val="25"/>
        </w:rPr>
        <w:t>any person had placed </w:t>
      </w:r>
      <w:r>
        <w:rPr>
          <w:w w:val="99"/>
          <w:sz w:val="25"/>
        </w:rPr>
        <w:t>an</w:t>
      </w:r>
      <w:r>
        <w:rPr>
          <w:w w:val="99"/>
          <w:sz w:val="25"/>
        </w:rPr>
        <w:t>y</w:t>
      </w:r>
      <w:r>
        <w:rPr>
          <w:spacing w:val="14"/>
          <w:sz w:val="25"/>
        </w:rPr>
        <w:t> </w:t>
      </w:r>
      <w:r>
        <w:rPr>
          <w:w w:val="99"/>
          <w:sz w:val="25"/>
        </w:rPr>
        <w:t>idol</w:t>
      </w:r>
      <w:r>
        <w:rPr>
          <w:spacing w:val="14"/>
          <w:sz w:val="25"/>
        </w:rPr>
        <w:t> </w:t>
      </w:r>
      <w:r>
        <w:rPr>
          <w:w w:val="99"/>
          <w:sz w:val="25"/>
        </w:rPr>
        <w:t>inside</w:t>
      </w:r>
      <w:r>
        <w:rPr>
          <w:spacing w:val="17"/>
          <w:sz w:val="25"/>
        </w:rPr>
        <w:t> </w:t>
      </w:r>
      <w:r>
        <w:rPr>
          <w:w w:val="99"/>
          <w:sz w:val="25"/>
        </w:rPr>
        <w:t>the</w:t>
      </w:r>
      <w:r>
        <w:rPr>
          <w:spacing w:val="15"/>
          <w:sz w:val="25"/>
        </w:rPr>
        <w:t> </w:t>
      </w:r>
      <w:r>
        <w:rPr>
          <w:spacing w:val="3"/>
          <w:w w:val="99"/>
          <w:sz w:val="25"/>
        </w:rPr>
        <w:t>m</w:t>
      </w:r>
      <w:r>
        <w:rPr>
          <w:w w:val="99"/>
          <w:sz w:val="25"/>
        </w:rPr>
        <w:t>osque</w:t>
      </w:r>
      <w:r>
        <w:rPr>
          <w:spacing w:val="14"/>
          <w:sz w:val="25"/>
        </w:rPr>
        <w:t> </w:t>
      </w:r>
      <w:r>
        <w:rPr>
          <w:w w:val="99"/>
          <w:sz w:val="25"/>
        </w:rPr>
        <w:t>with</w:t>
      </w:r>
      <w:r>
        <w:rPr>
          <w:spacing w:val="14"/>
          <w:sz w:val="25"/>
        </w:rPr>
        <w:t> </w:t>
      </w:r>
      <w:r>
        <w:rPr>
          <w:w w:val="99"/>
          <w:sz w:val="25"/>
        </w:rPr>
        <w:t>a</w:t>
      </w:r>
      <w:r>
        <w:rPr>
          <w:spacing w:val="21"/>
          <w:sz w:val="25"/>
        </w:rPr>
        <w:t> </w:t>
      </w:r>
      <w:r>
        <w:rPr>
          <w:i/>
          <w:spacing w:val="-2"/>
          <w:w w:val="99"/>
          <w:sz w:val="25"/>
        </w:rPr>
        <w:t>m</w:t>
      </w:r>
      <w:r>
        <w:rPr>
          <w:i/>
          <w:w w:val="99"/>
          <w:sz w:val="25"/>
        </w:rPr>
        <w:t>ala</w:t>
      </w:r>
      <w:r>
        <w:rPr>
          <w:i/>
          <w:spacing w:val="17"/>
          <w:sz w:val="25"/>
        </w:rPr>
        <w:t> </w:t>
      </w:r>
      <w:r>
        <w:rPr>
          <w:i/>
          <w:w w:val="99"/>
          <w:sz w:val="25"/>
        </w:rPr>
        <w:t>fi</w:t>
      </w:r>
      <w:r>
        <w:rPr>
          <w:i/>
          <w:spacing w:val="2"/>
          <w:w w:val="99"/>
          <w:sz w:val="25"/>
        </w:rPr>
        <w:t>d</w:t>
      </w:r>
      <w:r>
        <w:rPr>
          <w:i/>
          <w:w w:val="99"/>
          <w:sz w:val="25"/>
        </w:rPr>
        <w:t>e</w:t>
      </w:r>
      <w:r>
        <w:rPr>
          <w:i/>
          <w:spacing w:val="16"/>
          <w:sz w:val="25"/>
        </w:rPr>
        <w:t> </w:t>
      </w:r>
      <w:r>
        <w:rPr>
          <w:w w:val="99"/>
          <w:sz w:val="25"/>
        </w:rPr>
        <w:t>inte</w:t>
      </w:r>
      <w:r>
        <w:rPr>
          <w:w w:val="99"/>
          <w:sz w:val="25"/>
        </w:rPr>
        <w:t>nt</w:t>
      </w:r>
      <w:r>
        <w:rPr>
          <w:w w:val="99"/>
          <w:sz w:val="25"/>
        </w:rPr>
        <w:t>,</w:t>
      </w:r>
      <w:r>
        <w:rPr>
          <w:spacing w:val="14"/>
          <w:sz w:val="25"/>
        </w:rPr>
        <w:t> </w:t>
      </w:r>
      <w:r>
        <w:rPr>
          <w:w w:val="33"/>
          <w:sz w:val="25"/>
        </w:rPr>
        <w:t>―</w:t>
      </w:r>
      <w:r>
        <w:rPr>
          <w:w w:val="99"/>
          <w:sz w:val="25"/>
        </w:rPr>
        <w:t>the</w:t>
      </w:r>
      <w:r>
        <w:rPr>
          <w:spacing w:val="15"/>
          <w:sz w:val="25"/>
        </w:rPr>
        <w:t> </w:t>
      </w:r>
      <w:r>
        <w:rPr>
          <w:spacing w:val="-1"/>
          <w:w w:val="99"/>
          <w:sz w:val="25"/>
        </w:rPr>
        <w:t>d</w:t>
      </w:r>
      <w:r>
        <w:rPr>
          <w:w w:val="99"/>
          <w:sz w:val="25"/>
        </w:rPr>
        <w:t>e</w:t>
      </w:r>
      <w:r>
        <w:rPr>
          <w:spacing w:val="-1"/>
          <w:w w:val="99"/>
          <w:sz w:val="25"/>
        </w:rPr>
        <w:t>g</w:t>
      </w:r>
      <w:r>
        <w:rPr>
          <w:w w:val="99"/>
          <w:sz w:val="25"/>
        </w:rPr>
        <w:t>r</w:t>
      </w:r>
      <w:r>
        <w:rPr>
          <w:spacing w:val="-1"/>
          <w:w w:val="99"/>
          <w:sz w:val="25"/>
        </w:rPr>
        <w:t>a</w:t>
      </w:r>
      <w:r>
        <w:rPr>
          <w:w w:val="99"/>
          <w:sz w:val="25"/>
        </w:rPr>
        <w:t>d</w:t>
      </w:r>
      <w:r>
        <w:rPr>
          <w:spacing w:val="-1"/>
          <w:w w:val="99"/>
          <w:sz w:val="25"/>
        </w:rPr>
        <w:t>a</w:t>
      </w:r>
      <w:r>
        <w:rPr>
          <w:spacing w:val="2"/>
          <w:w w:val="99"/>
          <w:sz w:val="25"/>
        </w:rPr>
        <w:t>t</w:t>
      </w:r>
      <w:r>
        <w:rPr>
          <w:w w:val="99"/>
          <w:sz w:val="25"/>
        </w:rPr>
        <w:t>ion</w:t>
      </w:r>
      <w:r>
        <w:rPr>
          <w:spacing w:val="14"/>
          <w:sz w:val="25"/>
        </w:rPr>
        <w:t> </w:t>
      </w:r>
      <w:r>
        <w:rPr>
          <w:w w:val="99"/>
          <w:sz w:val="25"/>
        </w:rPr>
        <w:t>of</w:t>
      </w:r>
      <w:r>
        <w:rPr>
          <w:spacing w:val="14"/>
          <w:sz w:val="25"/>
        </w:rPr>
        <w:t> </w:t>
      </w:r>
      <w:r>
        <w:rPr>
          <w:w w:val="99"/>
          <w:sz w:val="25"/>
        </w:rPr>
        <w:t>the </w:t>
      </w:r>
      <w:r>
        <w:rPr>
          <w:sz w:val="25"/>
        </w:rPr>
        <w:t>mosque is evident and the accused persons are liable to be</w:t>
      </w:r>
      <w:r>
        <w:rPr>
          <w:spacing w:val="-47"/>
          <w:sz w:val="25"/>
        </w:rPr>
        <w:t> </w:t>
      </w:r>
      <w:r>
        <w:rPr>
          <w:sz w:val="25"/>
        </w:rPr>
        <w:t>prosecuted‖;</w:t>
      </w:r>
    </w:p>
    <w:p>
      <w:pPr>
        <w:pStyle w:val="ListParagraph"/>
        <w:numPr>
          <w:ilvl w:val="0"/>
          <w:numId w:val="6"/>
        </w:numPr>
        <w:tabs>
          <w:tab w:pos="1221" w:val="left" w:leader="none"/>
        </w:tabs>
        <w:spacing w:line="480" w:lineRule="auto" w:before="0" w:after="0"/>
        <w:ind w:left="1220" w:right="444" w:hanging="720"/>
        <w:jc w:val="both"/>
        <w:rPr>
          <w:sz w:val="25"/>
        </w:rPr>
      </w:pPr>
      <w:r>
        <w:rPr>
          <w:sz w:val="25"/>
        </w:rPr>
        <w:t>Any attempt of the plaintiff or any other person to enter the mosque to offer worship or for darshan would violate the law. Proceedings under Section 145 of the CrPC 1898 had been initiated;</w:t>
      </w:r>
      <w:r>
        <w:rPr>
          <w:spacing w:val="-7"/>
          <w:sz w:val="25"/>
        </w:rPr>
        <w:t> </w:t>
      </w:r>
      <w:r>
        <w:rPr>
          <w:sz w:val="25"/>
        </w:rPr>
        <w:t>and</w:t>
      </w:r>
    </w:p>
    <w:p>
      <w:pPr>
        <w:pStyle w:val="ListParagraph"/>
        <w:numPr>
          <w:ilvl w:val="0"/>
          <w:numId w:val="6"/>
        </w:numPr>
        <w:tabs>
          <w:tab w:pos="1221" w:val="left" w:leader="none"/>
        </w:tabs>
        <w:spacing w:line="480" w:lineRule="auto" w:before="1" w:after="0"/>
        <w:ind w:left="1220" w:right="444" w:hanging="720"/>
        <w:jc w:val="both"/>
        <w:rPr>
          <w:sz w:val="25"/>
        </w:rPr>
      </w:pPr>
      <w:r>
        <w:rPr>
          <w:sz w:val="25"/>
        </w:rPr>
        <w:t>The present suit claiming Babri Masjid as the place of the Janmasthan is without basis as there exists, for quite long, another temple with idols of Lord Ram and others, which is the actual place of the Janmasthan of Lord Ram.</w:t>
      </w:r>
    </w:p>
    <w:p>
      <w:pPr>
        <w:pStyle w:val="BodyText"/>
      </w:pPr>
    </w:p>
    <w:p>
      <w:pPr>
        <w:pStyle w:val="BodyText"/>
        <w:ind w:left="500"/>
        <w:jc w:val="both"/>
      </w:pPr>
      <w:r>
        <w:rPr/>
        <w:t>A written statement was filed by the defendant no 6, the State, submitting that:</w:t>
      </w:r>
    </w:p>
    <w:p>
      <w:pPr>
        <w:pStyle w:val="BodyText"/>
        <w:spacing w:before="10"/>
        <w:rPr>
          <w:sz w:val="24"/>
        </w:rPr>
      </w:pPr>
    </w:p>
    <w:p>
      <w:pPr>
        <w:pStyle w:val="ListParagraph"/>
        <w:numPr>
          <w:ilvl w:val="0"/>
          <w:numId w:val="7"/>
        </w:numPr>
        <w:tabs>
          <w:tab w:pos="1221" w:val="left" w:leader="none"/>
        </w:tabs>
        <w:spacing w:line="480" w:lineRule="auto" w:before="1" w:after="0"/>
        <w:ind w:left="1220" w:right="442" w:hanging="720"/>
        <w:jc w:val="both"/>
        <w:rPr>
          <w:sz w:val="25"/>
        </w:rPr>
      </w:pPr>
      <w:r>
        <w:rPr>
          <w:sz w:val="25"/>
        </w:rPr>
        <w:t>The property in suit known as Babri Masjid has been used as a mosque for the purpose of worship by Muslims for a long period and has not been used as a temple of Lord</w:t>
      </w:r>
      <w:r>
        <w:rPr>
          <w:spacing w:val="-4"/>
          <w:sz w:val="25"/>
        </w:rPr>
        <w:t> </w:t>
      </w:r>
      <w:r>
        <w:rPr>
          <w:sz w:val="25"/>
        </w:rPr>
        <w:t>Ram;</w:t>
      </w:r>
    </w:p>
    <w:p>
      <w:pPr>
        <w:pStyle w:val="ListParagraph"/>
        <w:numPr>
          <w:ilvl w:val="0"/>
          <w:numId w:val="7"/>
        </w:numPr>
        <w:tabs>
          <w:tab w:pos="1221" w:val="left" w:leader="none"/>
        </w:tabs>
        <w:spacing w:line="480" w:lineRule="auto" w:before="1" w:after="0"/>
        <w:ind w:left="1220" w:right="434" w:hanging="720"/>
        <w:jc w:val="both"/>
        <w:rPr>
          <w:sz w:val="25"/>
        </w:rPr>
      </w:pPr>
      <w:r>
        <w:rPr>
          <w:sz w:val="25"/>
        </w:rPr>
        <w:t>On the night of 22 December 1949, the idols of Lord Ram were surreptitiously placed inside the mosque imperilling public peace and tranquillity. On 23 December 1949, the City Magistrate passed an order under Section 144 of CrPC 1898 which was followed by an order of the same date passed by the Additional City Magistrate under Section</w:t>
      </w:r>
      <w:r>
        <w:rPr>
          <w:spacing w:val="7"/>
          <w:sz w:val="25"/>
        </w:rPr>
        <w:t> </w:t>
      </w:r>
      <w:r>
        <w:rPr>
          <w:sz w:val="25"/>
        </w:rPr>
        <w:t>145</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512"/>
      </w:pPr>
      <w:r>
        <w:rPr/>
        <w:t>attaching the disputed property. These orders were passed to maintain public peace; and</w:t>
      </w:r>
    </w:p>
    <w:p>
      <w:pPr>
        <w:pStyle w:val="ListParagraph"/>
        <w:numPr>
          <w:ilvl w:val="0"/>
          <w:numId w:val="7"/>
        </w:numPr>
        <w:tabs>
          <w:tab w:pos="1221" w:val="left" w:leader="none"/>
        </w:tabs>
        <w:spacing w:line="480" w:lineRule="auto" w:before="0" w:after="0"/>
        <w:ind w:left="1220" w:right="446" w:hanging="720"/>
        <w:jc w:val="both"/>
        <w:rPr>
          <w:sz w:val="25"/>
        </w:rPr>
      </w:pPr>
      <w:r>
        <w:rPr>
          <w:sz w:val="25"/>
        </w:rPr>
        <w:t>The City Magistrate appointed Shri Priya Datt Ram, Chairman, Municipal Board, Faizabad-cum-Ayodhya as a receiver of the</w:t>
      </w:r>
      <w:r>
        <w:rPr>
          <w:spacing w:val="-6"/>
          <w:sz w:val="25"/>
        </w:rPr>
        <w:t> </w:t>
      </w:r>
      <w:r>
        <w:rPr>
          <w:sz w:val="25"/>
        </w:rPr>
        <w:t>property.</w:t>
      </w:r>
    </w:p>
    <w:p>
      <w:pPr>
        <w:pStyle w:val="BodyText"/>
        <w:spacing w:before="11"/>
        <w:rPr>
          <w:sz w:val="24"/>
        </w:rPr>
      </w:pPr>
    </w:p>
    <w:p>
      <w:pPr>
        <w:pStyle w:val="BodyText"/>
        <w:spacing w:line="480" w:lineRule="auto"/>
        <w:ind w:left="500" w:right="512"/>
      </w:pPr>
      <w:r>
        <w:rPr/>
        <w:t>Similar written statements were filed by defendant no 8, the Additional City Magistrate and defendant no 9, the Superintendent of Police.</w:t>
      </w:r>
    </w:p>
    <w:p>
      <w:pPr>
        <w:pStyle w:val="BodyText"/>
        <w:spacing w:before="1"/>
      </w:pPr>
    </w:p>
    <w:p>
      <w:pPr>
        <w:pStyle w:val="BodyText"/>
        <w:ind w:left="500"/>
      </w:pPr>
      <w:r>
        <w:rPr/>
        <w:t>Defendant no 10, the </w:t>
      </w:r>
      <w:r>
        <w:rPr>
          <w:color w:val="000009"/>
        </w:rPr>
        <w:t>Sunni Central Waqf Board </w:t>
      </w:r>
      <w:r>
        <w:rPr/>
        <w:t>filed its written statement stating:</w:t>
      </w:r>
    </w:p>
    <w:p>
      <w:pPr>
        <w:pStyle w:val="BodyText"/>
        <w:spacing w:before="1"/>
      </w:pPr>
    </w:p>
    <w:p>
      <w:pPr>
        <w:pStyle w:val="ListParagraph"/>
        <w:numPr>
          <w:ilvl w:val="0"/>
          <w:numId w:val="8"/>
        </w:numPr>
        <w:tabs>
          <w:tab w:pos="1221" w:val="left" w:leader="none"/>
        </w:tabs>
        <w:spacing w:line="480" w:lineRule="auto" w:before="0" w:after="0"/>
        <w:ind w:left="1220" w:right="442" w:hanging="720"/>
        <w:jc w:val="both"/>
        <w:rPr>
          <w:sz w:val="25"/>
        </w:rPr>
      </w:pPr>
      <w:r>
        <w:rPr>
          <w:sz w:val="25"/>
        </w:rPr>
        <w:t>The building in dispute is not the Janmasthan of Lord Ram and no idols were ever installed in</w:t>
      </w:r>
      <w:r>
        <w:rPr>
          <w:spacing w:val="-1"/>
          <w:sz w:val="25"/>
        </w:rPr>
        <w:t> </w:t>
      </w:r>
      <w:r>
        <w:rPr>
          <w:sz w:val="25"/>
        </w:rPr>
        <w:t>it;</w:t>
      </w:r>
    </w:p>
    <w:p>
      <w:pPr>
        <w:pStyle w:val="ListParagraph"/>
        <w:numPr>
          <w:ilvl w:val="0"/>
          <w:numId w:val="8"/>
        </w:numPr>
        <w:tabs>
          <w:tab w:pos="1221" w:val="left" w:leader="none"/>
        </w:tabs>
        <w:spacing w:line="480" w:lineRule="auto" w:before="0" w:after="0"/>
        <w:ind w:left="1220" w:right="438" w:hanging="720"/>
        <w:jc w:val="both"/>
        <w:rPr>
          <w:sz w:val="25"/>
        </w:rPr>
      </w:pPr>
      <w:r>
        <w:rPr>
          <w:sz w:val="25"/>
        </w:rPr>
        <w:t>The property in the suit was a mosque known as the Babri mosque constructed during the regime of Emperor Babur who had laid out annual grants for its maintenance and expenditure and they were continued and enhanced by the Nawab of Awadh and the British</w:t>
      </w:r>
      <w:r>
        <w:rPr>
          <w:spacing w:val="-11"/>
          <w:sz w:val="25"/>
        </w:rPr>
        <w:t> </w:t>
      </w:r>
      <w:r>
        <w:rPr>
          <w:sz w:val="25"/>
        </w:rPr>
        <w:t>Government;</w:t>
      </w:r>
    </w:p>
    <w:p>
      <w:pPr>
        <w:pStyle w:val="ListParagraph"/>
        <w:numPr>
          <w:ilvl w:val="0"/>
          <w:numId w:val="8"/>
        </w:numPr>
        <w:tabs>
          <w:tab w:pos="1221" w:val="left" w:leader="none"/>
        </w:tabs>
        <w:spacing w:line="480" w:lineRule="auto" w:before="0" w:after="0"/>
        <w:ind w:left="1220" w:right="441" w:hanging="720"/>
        <w:jc w:val="both"/>
        <w:rPr>
          <w:sz w:val="25"/>
        </w:rPr>
      </w:pPr>
      <w:r>
        <w:rPr>
          <w:sz w:val="25"/>
        </w:rPr>
        <w:t>On the night of 22-23 December 1949, the idols were surreptitiously brought into the</w:t>
      </w:r>
      <w:r>
        <w:rPr>
          <w:spacing w:val="-3"/>
          <w:sz w:val="25"/>
        </w:rPr>
        <w:t> </w:t>
      </w:r>
      <w:r>
        <w:rPr>
          <w:sz w:val="25"/>
        </w:rPr>
        <w:t>mosque;</w:t>
      </w:r>
    </w:p>
    <w:p>
      <w:pPr>
        <w:pStyle w:val="ListParagraph"/>
        <w:numPr>
          <w:ilvl w:val="0"/>
          <w:numId w:val="8"/>
        </w:numPr>
        <w:tabs>
          <w:tab w:pos="1221" w:val="left" w:leader="none"/>
        </w:tabs>
        <w:spacing w:line="480" w:lineRule="auto" w:before="0" w:after="0"/>
        <w:ind w:left="1220" w:right="434" w:hanging="720"/>
        <w:jc w:val="both"/>
        <w:rPr>
          <w:sz w:val="25"/>
        </w:rPr>
      </w:pPr>
      <w:r>
        <w:rPr>
          <w:sz w:val="25"/>
        </w:rPr>
        <w:t>The Muslims alone had remained in possession of the mosque from 1528 up to the date of the attachment of the mosque under Section 145 on 29 December 1949. They had regularly offered prayers up to 21 December 1949 and Friday prayers up to 16 December</w:t>
      </w:r>
      <w:r>
        <w:rPr>
          <w:spacing w:val="-6"/>
          <w:sz w:val="25"/>
        </w:rPr>
        <w:t> </w:t>
      </w:r>
      <w:r>
        <w:rPr>
          <w:sz w:val="25"/>
        </w:rPr>
        <w:t>1949;</w:t>
      </w:r>
    </w:p>
    <w:p>
      <w:pPr>
        <w:pStyle w:val="ListParagraph"/>
        <w:numPr>
          <w:ilvl w:val="0"/>
          <w:numId w:val="8"/>
        </w:numPr>
        <w:tabs>
          <w:tab w:pos="1221" w:val="left" w:leader="none"/>
        </w:tabs>
        <w:spacing w:line="240" w:lineRule="auto" w:before="0" w:after="0"/>
        <w:ind w:left="1220" w:right="0" w:hanging="721"/>
        <w:jc w:val="both"/>
        <w:rPr>
          <w:sz w:val="25"/>
        </w:rPr>
      </w:pPr>
      <w:r>
        <w:rPr>
          <w:sz w:val="25"/>
        </w:rPr>
        <w:t>The mosque had the character of a waqf and its ownership vested in</w:t>
      </w:r>
      <w:r>
        <w:rPr>
          <w:spacing w:val="-5"/>
          <w:sz w:val="25"/>
        </w:rPr>
        <w:t> </w:t>
      </w:r>
      <w:r>
        <w:rPr>
          <w:sz w:val="25"/>
        </w:rPr>
        <w:t>God;</w:t>
      </w:r>
    </w:p>
    <w:p>
      <w:pPr>
        <w:pStyle w:val="BodyText"/>
      </w:pPr>
    </w:p>
    <w:p>
      <w:pPr>
        <w:pStyle w:val="ListParagraph"/>
        <w:numPr>
          <w:ilvl w:val="0"/>
          <w:numId w:val="8"/>
        </w:numPr>
        <w:tabs>
          <w:tab w:pos="1221" w:val="left" w:leader="none"/>
        </w:tabs>
        <w:spacing w:line="480" w:lineRule="auto" w:before="0" w:after="0"/>
        <w:ind w:left="1220" w:right="437" w:hanging="720"/>
        <w:jc w:val="both"/>
        <w:rPr>
          <w:sz w:val="25"/>
        </w:rPr>
      </w:pPr>
      <w:r>
        <w:rPr>
          <w:sz w:val="25"/>
        </w:rPr>
        <w:t>The plaintiff was estopped from claiming the mosque as the Janmabhumi of Lord Ram as the claim in the Suit of 1885 instituted by Mahant Raghubar Das (described</w:t>
      </w:r>
      <w:r>
        <w:rPr>
          <w:spacing w:val="17"/>
          <w:sz w:val="25"/>
        </w:rPr>
        <w:t> </w:t>
      </w:r>
      <w:r>
        <w:rPr>
          <w:sz w:val="25"/>
        </w:rPr>
        <w:t>to be the plaintiff‘s predecessor) had been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512"/>
      </w:pPr>
      <w:r>
        <w:rPr/>
        <w:t>confined only to the Ramchabutra measuring seventeen by twenty-one  feet outside the mosque;</w:t>
      </w:r>
      <w:r>
        <w:rPr>
          <w:spacing w:val="-4"/>
        </w:rPr>
        <w:t> </w:t>
      </w:r>
      <w:r>
        <w:rPr/>
        <w:t>and</w:t>
      </w:r>
    </w:p>
    <w:p>
      <w:pPr>
        <w:pStyle w:val="ListParagraph"/>
        <w:numPr>
          <w:ilvl w:val="0"/>
          <w:numId w:val="8"/>
        </w:numPr>
        <w:tabs>
          <w:tab w:pos="1220" w:val="left" w:leader="none"/>
          <w:tab w:pos="1221" w:val="left" w:leader="none"/>
        </w:tabs>
        <w:spacing w:line="480" w:lineRule="auto" w:before="0" w:after="0"/>
        <w:ind w:left="1220" w:right="446" w:hanging="720"/>
        <w:jc w:val="left"/>
        <w:rPr>
          <w:sz w:val="25"/>
        </w:rPr>
      </w:pPr>
      <w:r>
        <w:rPr>
          <w:sz w:val="25"/>
        </w:rPr>
        <w:t>There already existed a Ram Janmasthan Mandir, a short distance away from Babri</w:t>
      </w:r>
      <w:r>
        <w:rPr>
          <w:spacing w:val="-2"/>
          <w:sz w:val="25"/>
        </w:rPr>
        <w:t> </w:t>
      </w:r>
      <w:r>
        <w:rPr>
          <w:sz w:val="25"/>
        </w:rPr>
        <w:t>Masjid.</w:t>
      </w:r>
    </w:p>
    <w:p>
      <w:pPr>
        <w:pStyle w:val="BodyText"/>
        <w:spacing w:before="11"/>
        <w:rPr>
          <w:sz w:val="24"/>
        </w:rPr>
      </w:pPr>
    </w:p>
    <w:p>
      <w:pPr>
        <w:pStyle w:val="BodyText"/>
        <w:spacing w:line="480" w:lineRule="auto"/>
        <w:ind w:left="500" w:right="440"/>
        <w:jc w:val="both"/>
      </w:pPr>
      <w:r>
        <w:rPr/>
        <w:t>In the plaintiff‘s replication to the written statement of defendant nos 1 to 5, it was averred that the disputed site has never been used as a mosque since 1934. It </w:t>
      </w:r>
      <w:r>
        <w:rPr>
          <w:spacing w:val="-1"/>
          <w:w w:val="99"/>
        </w:rPr>
        <w:t>wa</w:t>
      </w:r>
      <w:r>
        <w:rPr>
          <w:w w:val="99"/>
        </w:rPr>
        <w:t>s</w:t>
      </w:r>
      <w:r>
        <w:rPr/>
        <w:t> </w:t>
      </w:r>
      <w:r>
        <w:rPr>
          <w:spacing w:val="-24"/>
        </w:rPr>
        <w:t> </w:t>
      </w:r>
      <w:r>
        <w:rPr>
          <w:w w:val="99"/>
        </w:rPr>
        <w:t>fu</w:t>
      </w:r>
      <w:r>
        <w:rPr>
          <w:spacing w:val="1"/>
          <w:w w:val="99"/>
        </w:rPr>
        <w:t>r</w:t>
      </w:r>
      <w:r>
        <w:rPr>
          <w:w w:val="99"/>
        </w:rPr>
        <w:t>ther</w:t>
      </w:r>
      <w:r>
        <w:rPr/>
        <w:t> </w:t>
      </w:r>
      <w:r>
        <w:rPr>
          <w:spacing w:val="-24"/>
        </w:rPr>
        <w:t> </w:t>
      </w:r>
      <w:r>
        <w:rPr>
          <w:w w:val="99"/>
        </w:rPr>
        <w:t>stat</w:t>
      </w:r>
      <w:r>
        <w:rPr>
          <w:spacing w:val="-1"/>
          <w:w w:val="99"/>
        </w:rPr>
        <w:t>e</w:t>
      </w:r>
      <w:r>
        <w:rPr>
          <w:w w:val="99"/>
        </w:rPr>
        <w:t>d</w:t>
      </w:r>
      <w:r>
        <w:rPr/>
        <w:t> </w:t>
      </w:r>
      <w:r>
        <w:rPr>
          <w:spacing w:val="-24"/>
        </w:rPr>
        <w:t> </w:t>
      </w:r>
      <w:r>
        <w:rPr>
          <w:w w:val="99"/>
        </w:rPr>
        <w:t>t</w:t>
      </w:r>
      <w:r>
        <w:rPr>
          <w:spacing w:val="-2"/>
          <w:w w:val="99"/>
        </w:rPr>
        <w:t>h</w:t>
      </w:r>
      <w:r>
        <w:rPr>
          <w:spacing w:val="-1"/>
          <w:w w:val="99"/>
        </w:rPr>
        <w:t>a</w:t>
      </w:r>
      <w:r>
        <w:rPr>
          <w:w w:val="99"/>
        </w:rPr>
        <w:t>t</w:t>
      </w:r>
      <w:r>
        <w:rPr/>
        <w:t> </w:t>
      </w:r>
      <w:r>
        <w:rPr>
          <w:spacing w:val="-24"/>
        </w:rPr>
        <w:t> </w:t>
      </w:r>
      <w:r>
        <w:rPr>
          <w:spacing w:val="-1"/>
          <w:w w:val="99"/>
        </w:rPr>
        <w:t>i</w:t>
      </w:r>
      <w:r>
        <w:rPr>
          <w:w w:val="99"/>
        </w:rPr>
        <w:t>t</w:t>
      </w:r>
      <w:r>
        <w:rPr/>
        <w:t> </w:t>
      </w:r>
      <w:r>
        <w:rPr>
          <w:spacing w:val="-24"/>
        </w:rPr>
        <w:t> </w:t>
      </w:r>
      <w:r>
        <w:rPr>
          <w:spacing w:val="-1"/>
          <w:w w:val="99"/>
        </w:rPr>
        <w:t>wa</w:t>
      </w:r>
      <w:r>
        <w:rPr>
          <w:w w:val="99"/>
        </w:rPr>
        <w:t>s</w:t>
      </w:r>
      <w:r>
        <w:rPr/>
        <w:t> </w:t>
      </w:r>
      <w:r>
        <w:rPr>
          <w:spacing w:val="-24"/>
        </w:rPr>
        <w:t> </w:t>
      </w:r>
      <w:r>
        <w:rPr>
          <w:w w:val="33"/>
        </w:rPr>
        <w:t>―</w:t>
      </w:r>
      <w:r>
        <w:rPr>
          <w:w w:val="99"/>
        </w:rPr>
        <w:t>co</w:t>
      </w:r>
      <w:r>
        <w:rPr>
          <w:spacing w:val="1"/>
          <w:w w:val="99"/>
        </w:rPr>
        <w:t>m</w:t>
      </w:r>
      <w:r>
        <w:rPr>
          <w:w w:val="99"/>
        </w:rPr>
        <w:t>m</w:t>
      </w:r>
      <w:r>
        <w:rPr>
          <w:spacing w:val="-1"/>
          <w:w w:val="99"/>
        </w:rPr>
        <w:t>o</w:t>
      </w:r>
      <w:r>
        <w:rPr>
          <w:w w:val="99"/>
        </w:rPr>
        <w:t>n</w:t>
      </w:r>
      <w:r>
        <w:rPr/>
        <w:t> </w:t>
      </w:r>
      <w:r>
        <w:rPr>
          <w:spacing w:val="-24"/>
        </w:rPr>
        <w:t> </w:t>
      </w:r>
      <w:r>
        <w:rPr>
          <w:w w:val="99"/>
        </w:rPr>
        <w:t>kno</w:t>
      </w:r>
      <w:r>
        <w:rPr>
          <w:spacing w:val="-1"/>
          <w:w w:val="99"/>
        </w:rPr>
        <w:t>wled</w:t>
      </w:r>
      <w:r>
        <w:rPr>
          <w:w w:val="99"/>
        </w:rPr>
        <w:t>g</w:t>
      </w:r>
      <w:r>
        <w:rPr>
          <w:spacing w:val="-1"/>
          <w:w w:val="91"/>
        </w:rPr>
        <w:t>e</w:t>
      </w:r>
      <w:r>
        <w:rPr>
          <w:w w:val="91"/>
        </w:rPr>
        <w:t>‖</w:t>
      </w:r>
      <w:r>
        <w:rPr/>
        <w:t> </w:t>
      </w:r>
      <w:r>
        <w:rPr>
          <w:spacing w:val="-23"/>
        </w:rPr>
        <w:t> </w:t>
      </w:r>
      <w:r>
        <w:rPr>
          <w:w w:val="99"/>
        </w:rPr>
        <w:t>that</w:t>
      </w:r>
      <w:r>
        <w:rPr/>
        <w:t> </w:t>
      </w:r>
      <w:r>
        <w:rPr>
          <w:spacing w:val="-24"/>
        </w:rPr>
        <w:t> </w:t>
      </w:r>
      <w:r>
        <w:rPr>
          <w:spacing w:val="-1"/>
          <w:w w:val="99"/>
        </w:rPr>
        <w:t>Hind</w:t>
      </w:r>
      <w:r>
        <w:rPr>
          <w:w w:val="99"/>
        </w:rPr>
        <w:t>us</w:t>
      </w:r>
      <w:r>
        <w:rPr/>
        <w:t> </w:t>
      </w:r>
      <w:r>
        <w:rPr>
          <w:spacing w:val="-24"/>
        </w:rPr>
        <w:t> </w:t>
      </w:r>
      <w:r>
        <w:rPr>
          <w:spacing w:val="-1"/>
          <w:w w:val="99"/>
        </w:rPr>
        <w:t>h</w:t>
      </w:r>
      <w:r>
        <w:rPr>
          <w:w w:val="99"/>
        </w:rPr>
        <w:t>a</w:t>
      </w:r>
      <w:r>
        <w:rPr>
          <w:spacing w:val="-3"/>
          <w:w w:val="99"/>
        </w:rPr>
        <w:t>v</w:t>
      </w:r>
      <w:r>
        <w:rPr>
          <w:w w:val="99"/>
        </w:rPr>
        <w:t>e</w:t>
      </w:r>
      <w:r>
        <w:rPr/>
        <w:t> </w:t>
      </w:r>
      <w:r>
        <w:rPr>
          <w:spacing w:val="-24"/>
        </w:rPr>
        <w:t> </w:t>
      </w:r>
      <w:r>
        <w:rPr>
          <w:spacing w:val="-1"/>
          <w:w w:val="99"/>
        </w:rPr>
        <w:t>b</w:t>
      </w:r>
      <w:r>
        <w:rPr>
          <w:w w:val="99"/>
        </w:rPr>
        <w:t>e</w:t>
      </w:r>
      <w:r>
        <w:rPr>
          <w:spacing w:val="-1"/>
          <w:w w:val="99"/>
        </w:rPr>
        <w:t>e</w:t>
      </w:r>
      <w:r>
        <w:rPr>
          <w:w w:val="99"/>
        </w:rPr>
        <w:t>n</w:t>
      </w:r>
      <w:r>
        <w:rPr/>
        <w:t> </w:t>
      </w:r>
      <w:r>
        <w:rPr>
          <w:spacing w:val="-24"/>
        </w:rPr>
        <w:t> </w:t>
      </w:r>
      <w:r>
        <w:rPr>
          <w:spacing w:val="-1"/>
          <w:w w:val="99"/>
        </w:rPr>
        <w:t>in </w:t>
      </w:r>
      <w:r>
        <w:rPr/>
        <w:t>continuous possession by virtue of which the claim of the defendants has</w:t>
      </w:r>
      <w:r>
        <w:rPr>
          <w:spacing w:val="-15"/>
        </w:rPr>
        <w:t> </w:t>
      </w:r>
      <w:r>
        <w:rPr/>
        <w:t>ceased.</w:t>
      </w:r>
    </w:p>
    <w:p>
      <w:pPr>
        <w:pStyle w:val="BodyText"/>
        <w:spacing w:before="1"/>
      </w:pPr>
    </w:p>
    <w:p>
      <w:pPr>
        <w:pStyle w:val="Heading3"/>
        <w:ind w:left="500" w:firstLine="0"/>
      </w:pPr>
      <w:r>
        <w:rPr/>
        <w:t>Suit 3 - OOS no 3 of 1989 (Regular Suit no 26 of 1959)</w:t>
      </w:r>
    </w:p>
    <w:p>
      <w:pPr>
        <w:pStyle w:val="BodyText"/>
        <w:spacing w:before="10"/>
        <w:rPr>
          <w:b/>
          <w:sz w:val="38"/>
        </w:rPr>
      </w:pPr>
    </w:p>
    <w:p>
      <w:pPr>
        <w:pStyle w:val="ListParagraph"/>
        <w:numPr>
          <w:ilvl w:val="0"/>
          <w:numId w:val="3"/>
        </w:numPr>
        <w:tabs>
          <w:tab w:pos="1221" w:val="left" w:leader="none"/>
        </w:tabs>
        <w:spacing w:line="480" w:lineRule="auto" w:before="0" w:after="0"/>
        <w:ind w:left="500" w:right="440" w:firstLine="0"/>
        <w:jc w:val="both"/>
        <w:rPr>
          <w:sz w:val="25"/>
        </w:rPr>
      </w:pPr>
      <w:r>
        <w:rPr>
          <w:sz w:val="25"/>
        </w:rPr>
        <w:t>The suit was instituted on 17 December 1959 by Nirmohi Akhara through Mahant Jagat Das seeking a decree for the removal of the receiver from the management and charge of the Janmabhumi temple and for delivering it to the plaintiff.</w:t>
      </w:r>
    </w:p>
    <w:p>
      <w:pPr>
        <w:pStyle w:val="BodyText"/>
        <w:spacing w:before="3"/>
      </w:pPr>
    </w:p>
    <w:p>
      <w:pPr>
        <w:pStyle w:val="BodyText"/>
        <w:spacing w:line="480" w:lineRule="auto"/>
        <w:ind w:left="500" w:right="441"/>
        <w:jc w:val="both"/>
      </w:pPr>
      <w:r>
        <w:rPr/>
        <w:t>Defendant no 1 in Suit 3 is the receiver; defendant no 2 is the State of Uttar Pradesh; defendant no 3 is the Deputy Commissioner, Faizabad; defendant no 4 is the City Magistrate, Faizabad; defendant no 5 is the Superintendent of Police, Faizabad; defendant nos 6 to 8 are Muslim residents of Ayodhya; defendant no 9 is the </w:t>
      </w:r>
      <w:r>
        <w:rPr>
          <w:color w:val="000009"/>
        </w:rPr>
        <w:t>Sunni Central Waqf Board and d</w:t>
      </w:r>
      <w:r>
        <w:rPr/>
        <w:t>efendant no 10 is Umesh Chandra Pandey.</w:t>
      </w:r>
    </w:p>
    <w:p>
      <w:pPr>
        <w:pStyle w:val="BodyText"/>
      </w:pPr>
    </w:p>
    <w:p>
      <w:pPr>
        <w:pStyle w:val="BodyText"/>
        <w:spacing w:line="480" w:lineRule="auto"/>
        <w:ind w:left="500" w:right="434"/>
        <w:jc w:val="both"/>
      </w:pPr>
      <w:r>
        <w:rPr/>
        <w:t>The cause of action is stated to have arisen on 5 January 1950 when the management and charge of the Janmabhumi temple was taken away by the City Magistrate and entrusted to the receiver. Nirmohi Akhara pleaded that:</w:t>
      </w:r>
    </w:p>
    <w:p>
      <w:pPr>
        <w:spacing w:after="0" w:line="480" w:lineRule="auto"/>
        <w:jc w:val="both"/>
        <w:sectPr>
          <w:pgSz w:w="11910" w:h="16840"/>
          <w:pgMar w:header="721" w:footer="1014" w:top="1300" w:bottom="1200" w:left="940" w:right="1000"/>
        </w:sectPr>
      </w:pPr>
    </w:p>
    <w:p>
      <w:pPr>
        <w:pStyle w:val="ListParagraph"/>
        <w:numPr>
          <w:ilvl w:val="0"/>
          <w:numId w:val="9"/>
        </w:numPr>
        <w:tabs>
          <w:tab w:pos="1221" w:val="left" w:leader="none"/>
        </w:tabs>
        <w:spacing w:line="480" w:lineRule="auto" w:before="124" w:after="0"/>
        <w:ind w:left="1220" w:right="434" w:hanging="720"/>
        <w:jc w:val="both"/>
        <w:rPr>
          <w:sz w:val="25"/>
        </w:rPr>
      </w:pPr>
      <w:r>
        <w:rPr>
          <w:w w:val="99"/>
          <w:sz w:val="25"/>
        </w:rPr>
        <w:t>T</w:t>
      </w:r>
      <w:r>
        <w:rPr>
          <w:w w:val="99"/>
          <w:sz w:val="25"/>
        </w:rPr>
        <w:t>he</w:t>
      </w:r>
      <w:r>
        <w:rPr>
          <w:w w:val="99"/>
          <w:sz w:val="25"/>
        </w:rPr>
        <w:t>r</w:t>
      </w:r>
      <w:r>
        <w:rPr>
          <w:w w:val="99"/>
          <w:sz w:val="25"/>
        </w:rPr>
        <w:t>e</w:t>
      </w:r>
      <w:r>
        <w:rPr>
          <w:sz w:val="25"/>
        </w:rPr>
        <w:t>  </w:t>
      </w:r>
      <w:r>
        <w:rPr>
          <w:w w:val="99"/>
          <w:sz w:val="25"/>
        </w:rPr>
        <w:t>e</w:t>
      </w:r>
      <w:r>
        <w:rPr>
          <w:spacing w:val="-2"/>
          <w:w w:val="99"/>
          <w:sz w:val="25"/>
        </w:rPr>
        <w:t>x</w:t>
      </w:r>
      <w:r>
        <w:rPr>
          <w:w w:val="99"/>
          <w:sz w:val="25"/>
        </w:rPr>
        <w:t>ists</w:t>
      </w:r>
      <w:r>
        <w:rPr>
          <w:sz w:val="25"/>
        </w:rPr>
        <w:t>  </w:t>
      </w:r>
      <w:r>
        <w:rPr>
          <w:w w:val="99"/>
          <w:sz w:val="25"/>
        </w:rPr>
        <w:t>in</w:t>
      </w:r>
      <w:r>
        <w:rPr>
          <w:sz w:val="25"/>
        </w:rPr>
        <w:t>  </w:t>
      </w:r>
      <w:r>
        <w:rPr>
          <w:spacing w:val="-1"/>
          <w:w w:val="99"/>
          <w:sz w:val="25"/>
        </w:rPr>
        <w:t>A</w:t>
      </w:r>
      <w:r>
        <w:rPr>
          <w:spacing w:val="-3"/>
          <w:w w:val="99"/>
          <w:sz w:val="25"/>
        </w:rPr>
        <w:t>y</w:t>
      </w:r>
      <w:r>
        <w:rPr>
          <w:spacing w:val="2"/>
          <w:w w:val="99"/>
          <w:sz w:val="25"/>
        </w:rPr>
        <w:t>o</w:t>
      </w:r>
      <w:r>
        <w:rPr>
          <w:w w:val="99"/>
          <w:sz w:val="25"/>
        </w:rPr>
        <w:t>dh</w:t>
      </w:r>
      <w:r>
        <w:rPr>
          <w:spacing w:val="-3"/>
          <w:w w:val="99"/>
          <w:sz w:val="25"/>
        </w:rPr>
        <w:t>y</w:t>
      </w:r>
      <w:r>
        <w:rPr>
          <w:w w:val="99"/>
          <w:sz w:val="25"/>
        </w:rPr>
        <w:t>a</w:t>
      </w:r>
      <w:r>
        <w:rPr>
          <w:sz w:val="25"/>
        </w:rPr>
        <w:t> </w:t>
      </w:r>
      <w:r>
        <w:rPr>
          <w:spacing w:val="3"/>
          <w:sz w:val="25"/>
        </w:rPr>
        <w:t> </w:t>
      </w:r>
      <w:r>
        <w:rPr>
          <w:w w:val="33"/>
          <w:sz w:val="25"/>
        </w:rPr>
        <w:t>―</w:t>
      </w:r>
      <w:r>
        <w:rPr>
          <w:w w:val="99"/>
          <w:sz w:val="25"/>
        </w:rPr>
        <w:t>since</w:t>
      </w:r>
      <w:r>
        <w:rPr>
          <w:sz w:val="25"/>
        </w:rPr>
        <w:t>  </w:t>
      </w:r>
      <w:r>
        <w:rPr>
          <w:w w:val="99"/>
          <w:sz w:val="25"/>
        </w:rPr>
        <w:t>the</w:t>
      </w:r>
      <w:r>
        <w:rPr>
          <w:sz w:val="25"/>
        </w:rPr>
        <w:t>  </w:t>
      </w:r>
      <w:r>
        <w:rPr>
          <w:w w:val="99"/>
          <w:sz w:val="25"/>
        </w:rPr>
        <w:t>da</w:t>
      </w:r>
      <w:r>
        <w:rPr>
          <w:w w:val="99"/>
          <w:sz w:val="25"/>
        </w:rPr>
        <w:t>ys</w:t>
      </w:r>
      <w:r>
        <w:rPr>
          <w:sz w:val="25"/>
        </w:rPr>
        <w:t>  </w:t>
      </w:r>
      <w:r>
        <w:rPr>
          <w:w w:val="99"/>
          <w:sz w:val="25"/>
        </w:rPr>
        <w:t>of</w:t>
      </w:r>
      <w:r>
        <w:rPr>
          <w:sz w:val="25"/>
        </w:rPr>
        <w:t>  </w:t>
      </w:r>
      <w:r>
        <w:rPr>
          <w:spacing w:val="-3"/>
          <w:w w:val="99"/>
          <w:sz w:val="25"/>
        </w:rPr>
        <w:t>y</w:t>
      </w:r>
      <w:r>
        <w:rPr>
          <w:w w:val="99"/>
          <w:sz w:val="25"/>
        </w:rPr>
        <w:t>o</w:t>
      </w:r>
      <w:r>
        <w:rPr>
          <w:spacing w:val="1"/>
          <w:w w:val="99"/>
          <w:sz w:val="25"/>
        </w:rPr>
        <w:t>r</w:t>
      </w:r>
      <w:r>
        <w:rPr>
          <w:spacing w:val="2"/>
          <w:w w:val="99"/>
          <w:sz w:val="25"/>
        </w:rPr>
        <w:t>e</w:t>
      </w:r>
      <w:r>
        <w:rPr>
          <w:w w:val="80"/>
          <w:sz w:val="25"/>
        </w:rPr>
        <w:t>‖</w:t>
      </w:r>
      <w:r>
        <w:rPr>
          <w:sz w:val="25"/>
        </w:rPr>
        <w:t> </w:t>
      </w:r>
      <w:r>
        <w:rPr>
          <w:spacing w:val="1"/>
          <w:sz w:val="25"/>
        </w:rPr>
        <w:t> </w:t>
      </w:r>
      <w:r>
        <w:rPr>
          <w:w w:val="99"/>
          <w:sz w:val="25"/>
        </w:rPr>
        <w:t>an</w:t>
      </w:r>
      <w:r>
        <w:rPr>
          <w:sz w:val="25"/>
        </w:rPr>
        <w:t>  </w:t>
      </w:r>
      <w:r>
        <w:rPr>
          <w:w w:val="99"/>
          <w:sz w:val="25"/>
        </w:rPr>
        <w:t>anci</w:t>
      </w:r>
      <w:r>
        <w:rPr>
          <w:spacing w:val="-3"/>
          <w:w w:val="99"/>
          <w:sz w:val="25"/>
        </w:rPr>
        <w:t>e</w:t>
      </w:r>
      <w:r>
        <w:rPr>
          <w:w w:val="99"/>
          <w:sz w:val="25"/>
        </w:rPr>
        <w:t>nt</w:t>
      </w:r>
      <w:r>
        <w:rPr>
          <w:sz w:val="25"/>
        </w:rPr>
        <w:t>  </w:t>
      </w:r>
      <w:r>
        <w:rPr>
          <w:spacing w:val="-4"/>
          <w:w w:val="99"/>
          <w:sz w:val="25"/>
        </w:rPr>
        <w:t>M</w:t>
      </w:r>
      <w:r>
        <w:rPr>
          <w:w w:val="99"/>
          <w:sz w:val="25"/>
        </w:rPr>
        <w:t>ath</w:t>
      </w:r>
      <w:r>
        <w:rPr>
          <w:sz w:val="25"/>
        </w:rPr>
        <w:t>  </w:t>
      </w:r>
      <w:r>
        <w:rPr>
          <w:w w:val="99"/>
          <w:sz w:val="25"/>
        </w:rPr>
        <w:t>or </w:t>
      </w:r>
      <w:r>
        <w:rPr>
          <w:sz w:val="25"/>
        </w:rPr>
        <w:t>Akhara of Ramanandi Bairagis called the Nirmohis. This is a religious establishment of a public</w:t>
      </w:r>
      <w:r>
        <w:rPr>
          <w:spacing w:val="-4"/>
          <w:sz w:val="25"/>
        </w:rPr>
        <w:t> </w:t>
      </w:r>
      <w:r>
        <w:rPr>
          <w:sz w:val="25"/>
        </w:rPr>
        <w:t>character;</w:t>
      </w:r>
    </w:p>
    <w:p>
      <w:pPr>
        <w:pStyle w:val="ListParagraph"/>
        <w:numPr>
          <w:ilvl w:val="0"/>
          <w:numId w:val="9"/>
        </w:numPr>
        <w:tabs>
          <w:tab w:pos="1221" w:val="left" w:leader="none"/>
        </w:tabs>
        <w:spacing w:line="480" w:lineRule="auto" w:before="0" w:after="0"/>
        <w:ind w:left="1220" w:right="434" w:hanging="720"/>
        <w:jc w:val="both"/>
        <w:rPr>
          <w:sz w:val="25"/>
        </w:rPr>
      </w:pPr>
      <w:r>
        <w:rPr>
          <w:sz w:val="25"/>
        </w:rPr>
        <w:t>The Janmasthan, commonly known as Janmabhumi, is the birth-place of Lord Ram and belongs to and has always been managed by Nirmohi Akhara;</w:t>
      </w:r>
    </w:p>
    <w:p>
      <w:pPr>
        <w:pStyle w:val="ListParagraph"/>
        <w:numPr>
          <w:ilvl w:val="0"/>
          <w:numId w:val="9"/>
        </w:numPr>
        <w:tabs>
          <w:tab w:pos="1221" w:val="left" w:leader="none"/>
        </w:tabs>
        <w:spacing w:line="480" w:lineRule="auto" w:before="0" w:after="0"/>
        <w:ind w:left="1220" w:right="439" w:hanging="720"/>
        <w:jc w:val="both"/>
        <w:rPr>
          <w:sz w:val="25"/>
        </w:rPr>
      </w:pPr>
      <w:r>
        <w:rPr>
          <w:sz w:val="25"/>
        </w:rPr>
        <w:t>The Janmasthan is of ancient antiquity lying within the boundaries shown by the letters A B C D in the sketch map appended to the plaint within </w:t>
      </w:r>
      <w:r>
        <w:rPr>
          <w:w w:val="99"/>
          <w:sz w:val="25"/>
        </w:rPr>
        <w:t>which</w:t>
      </w:r>
      <w:r>
        <w:rPr>
          <w:spacing w:val="12"/>
          <w:sz w:val="25"/>
        </w:rPr>
        <w:t> </w:t>
      </w:r>
      <w:r>
        <w:rPr>
          <w:w w:val="99"/>
          <w:sz w:val="25"/>
        </w:rPr>
        <w:t>stands</w:t>
      </w:r>
      <w:r>
        <w:rPr>
          <w:spacing w:val="13"/>
          <w:sz w:val="25"/>
        </w:rPr>
        <w:t> </w:t>
      </w:r>
      <w:r>
        <w:rPr>
          <w:w w:val="99"/>
          <w:sz w:val="25"/>
        </w:rPr>
        <w:t>the</w:t>
      </w:r>
      <w:r>
        <w:rPr>
          <w:spacing w:val="13"/>
          <w:sz w:val="25"/>
        </w:rPr>
        <w:t> </w:t>
      </w:r>
      <w:r>
        <w:rPr>
          <w:w w:val="33"/>
          <w:sz w:val="25"/>
        </w:rPr>
        <w:t>―</w:t>
      </w:r>
      <w:r>
        <w:rPr>
          <w:w w:val="99"/>
          <w:sz w:val="25"/>
        </w:rPr>
        <w:t>t</w:t>
      </w:r>
      <w:r>
        <w:rPr>
          <w:spacing w:val="-2"/>
          <w:w w:val="99"/>
          <w:sz w:val="25"/>
        </w:rPr>
        <w:t>e</w:t>
      </w:r>
      <w:r>
        <w:rPr>
          <w:w w:val="99"/>
          <w:sz w:val="25"/>
        </w:rPr>
        <w:t>m</w:t>
      </w:r>
      <w:r>
        <w:rPr>
          <w:spacing w:val="-1"/>
          <w:w w:val="99"/>
          <w:sz w:val="25"/>
        </w:rPr>
        <w:t>pl</w:t>
      </w:r>
      <w:r>
        <w:rPr>
          <w:w w:val="99"/>
          <w:sz w:val="25"/>
        </w:rPr>
        <w:t>e</w:t>
      </w:r>
      <w:r>
        <w:rPr>
          <w:spacing w:val="12"/>
          <w:sz w:val="25"/>
        </w:rPr>
        <w:t> </w:t>
      </w:r>
      <w:r>
        <w:rPr>
          <w:spacing w:val="-1"/>
          <w:w w:val="99"/>
          <w:sz w:val="25"/>
        </w:rPr>
        <w:t>b</w:t>
      </w:r>
      <w:r>
        <w:rPr>
          <w:w w:val="99"/>
          <w:sz w:val="25"/>
        </w:rPr>
        <w:t>u</w:t>
      </w:r>
      <w:r>
        <w:rPr>
          <w:spacing w:val="-1"/>
          <w:w w:val="96"/>
          <w:sz w:val="25"/>
        </w:rPr>
        <w:t>ilding</w:t>
      </w:r>
      <w:r>
        <w:rPr>
          <w:w w:val="96"/>
          <w:sz w:val="25"/>
        </w:rPr>
        <w:t>‖</w:t>
      </w:r>
      <w:r>
        <w:rPr>
          <w:spacing w:val="13"/>
          <w:sz w:val="25"/>
        </w:rPr>
        <w:t> </w:t>
      </w:r>
      <w:r>
        <w:rPr>
          <w:w w:val="99"/>
          <w:sz w:val="25"/>
        </w:rPr>
        <w:t>m</w:t>
      </w:r>
      <w:r>
        <w:rPr>
          <w:spacing w:val="-1"/>
          <w:w w:val="99"/>
          <w:sz w:val="25"/>
        </w:rPr>
        <w:t>a</w:t>
      </w:r>
      <w:r>
        <w:rPr>
          <w:w w:val="99"/>
          <w:sz w:val="25"/>
        </w:rPr>
        <w:t>rk</w:t>
      </w:r>
      <w:r>
        <w:rPr>
          <w:spacing w:val="-2"/>
          <w:w w:val="99"/>
          <w:sz w:val="25"/>
        </w:rPr>
        <w:t>e</w:t>
      </w:r>
      <w:r>
        <w:rPr>
          <w:w w:val="99"/>
          <w:sz w:val="25"/>
        </w:rPr>
        <w:t>d</w:t>
      </w:r>
      <w:r>
        <w:rPr>
          <w:spacing w:val="12"/>
          <w:sz w:val="25"/>
        </w:rPr>
        <w:t> </w:t>
      </w:r>
      <w:r>
        <w:rPr>
          <w:spacing w:val="-1"/>
          <w:w w:val="99"/>
          <w:sz w:val="25"/>
        </w:rPr>
        <w:t>b</w:t>
      </w:r>
      <w:r>
        <w:rPr>
          <w:w w:val="99"/>
          <w:sz w:val="25"/>
        </w:rPr>
        <w:t>y</w:t>
      </w:r>
      <w:r>
        <w:rPr>
          <w:spacing w:val="9"/>
          <w:sz w:val="25"/>
        </w:rPr>
        <w:t> </w:t>
      </w:r>
      <w:r>
        <w:rPr>
          <w:w w:val="99"/>
          <w:sz w:val="25"/>
        </w:rPr>
        <w:t>the</w:t>
      </w:r>
      <w:r>
        <w:rPr>
          <w:spacing w:val="12"/>
          <w:sz w:val="25"/>
        </w:rPr>
        <w:t> </w:t>
      </w:r>
      <w:r>
        <w:rPr>
          <w:spacing w:val="-1"/>
          <w:w w:val="99"/>
          <w:sz w:val="25"/>
        </w:rPr>
        <w:t>lett</w:t>
      </w:r>
      <w:r>
        <w:rPr>
          <w:w w:val="99"/>
          <w:sz w:val="25"/>
        </w:rPr>
        <w:t>ers</w:t>
      </w:r>
      <w:r>
        <w:rPr>
          <w:spacing w:val="11"/>
          <w:sz w:val="25"/>
        </w:rPr>
        <w:t> </w:t>
      </w:r>
      <w:r>
        <w:rPr>
          <w:w w:val="99"/>
          <w:sz w:val="25"/>
        </w:rPr>
        <w:t>E</w:t>
      </w:r>
      <w:r>
        <w:rPr>
          <w:spacing w:val="10"/>
          <w:sz w:val="25"/>
        </w:rPr>
        <w:t> </w:t>
      </w:r>
      <w:r>
        <w:rPr>
          <w:w w:val="99"/>
          <w:sz w:val="25"/>
        </w:rPr>
        <w:t>F</w:t>
      </w:r>
      <w:r>
        <w:rPr>
          <w:spacing w:val="12"/>
          <w:sz w:val="25"/>
        </w:rPr>
        <w:t> </w:t>
      </w:r>
      <w:r>
        <w:rPr>
          <w:w w:val="99"/>
          <w:sz w:val="25"/>
        </w:rPr>
        <w:t>G</w:t>
      </w:r>
      <w:r>
        <w:rPr>
          <w:spacing w:val="12"/>
          <w:sz w:val="25"/>
        </w:rPr>
        <w:t> </w:t>
      </w:r>
      <w:r>
        <w:rPr>
          <w:w w:val="99"/>
          <w:sz w:val="25"/>
        </w:rPr>
        <w:t>K</w:t>
      </w:r>
      <w:r>
        <w:rPr>
          <w:spacing w:val="10"/>
          <w:sz w:val="25"/>
        </w:rPr>
        <w:t> </w:t>
      </w:r>
      <w:r>
        <w:rPr>
          <w:w w:val="99"/>
          <w:sz w:val="25"/>
        </w:rPr>
        <w:t>P</w:t>
      </w:r>
      <w:r>
        <w:rPr>
          <w:spacing w:val="10"/>
          <w:sz w:val="25"/>
        </w:rPr>
        <w:t> </w:t>
      </w:r>
      <w:r>
        <w:rPr>
          <w:w w:val="99"/>
          <w:sz w:val="25"/>
        </w:rPr>
        <w:t>N</w:t>
      </w:r>
      <w:r>
        <w:rPr>
          <w:spacing w:val="14"/>
          <w:sz w:val="25"/>
        </w:rPr>
        <w:t> </w:t>
      </w:r>
      <w:r>
        <w:rPr>
          <w:w w:val="99"/>
          <w:sz w:val="25"/>
        </w:rPr>
        <w:t>M</w:t>
      </w:r>
      <w:r>
        <w:rPr>
          <w:spacing w:val="10"/>
          <w:sz w:val="25"/>
        </w:rPr>
        <w:t> </w:t>
      </w:r>
      <w:r>
        <w:rPr>
          <w:w w:val="99"/>
          <w:sz w:val="25"/>
        </w:rPr>
        <w:t>L</w:t>
      </w:r>
    </w:p>
    <w:p>
      <w:pPr>
        <w:pStyle w:val="BodyText"/>
        <w:spacing w:line="480" w:lineRule="auto"/>
        <w:ind w:left="1220" w:right="434"/>
        <w:jc w:val="both"/>
      </w:pPr>
      <w:r>
        <w:rPr/>
        <w:t>E. The building denoted by the letters E F G H I J K L E is the main Janmabhumi temple, where the idols of Lord Ram with Lakshman, Hanuman and Saligram have been installed. The temple building has been in the possession of Nirmohi Akhara and only Hindus have been allowed to enter the temple and make offerings such as money, sweets, flowers and fruits. Nirmohi Akhara has been receiving these offerings through its pujaris;</w:t>
      </w:r>
    </w:p>
    <w:p>
      <w:pPr>
        <w:pStyle w:val="ListParagraph"/>
        <w:numPr>
          <w:ilvl w:val="0"/>
          <w:numId w:val="9"/>
        </w:numPr>
        <w:tabs>
          <w:tab w:pos="1221" w:val="left" w:leader="none"/>
        </w:tabs>
        <w:spacing w:line="480" w:lineRule="auto" w:before="1" w:after="0"/>
        <w:ind w:left="1220" w:right="438" w:hanging="720"/>
        <w:jc w:val="both"/>
        <w:rPr>
          <w:sz w:val="25"/>
        </w:rPr>
      </w:pPr>
      <w:r>
        <w:rPr>
          <w:sz w:val="25"/>
        </w:rPr>
        <w:t>Nirmohi Akhara is a Panchayati Math of the Ramanandi sect of Bairagis which is a religious denomination. The customs of Nirmohi Akhara have been reduced to writing by a registered deed dated 19 March</w:t>
      </w:r>
      <w:r>
        <w:rPr>
          <w:spacing w:val="-11"/>
          <w:sz w:val="25"/>
        </w:rPr>
        <w:t> </w:t>
      </w:r>
      <w:r>
        <w:rPr>
          <w:sz w:val="25"/>
        </w:rPr>
        <w:t>1949;</w:t>
      </w:r>
    </w:p>
    <w:p>
      <w:pPr>
        <w:pStyle w:val="ListParagraph"/>
        <w:numPr>
          <w:ilvl w:val="0"/>
          <w:numId w:val="9"/>
        </w:numPr>
        <w:tabs>
          <w:tab w:pos="1221" w:val="left" w:leader="none"/>
        </w:tabs>
        <w:spacing w:line="240" w:lineRule="auto" w:before="1" w:after="0"/>
        <w:ind w:left="1220" w:right="0" w:hanging="721"/>
        <w:jc w:val="both"/>
        <w:rPr>
          <w:sz w:val="25"/>
        </w:rPr>
      </w:pPr>
      <w:r>
        <w:rPr>
          <w:sz w:val="25"/>
        </w:rPr>
        <w:t>Nirmohi Akhara owns and manages several</w:t>
      </w:r>
      <w:r>
        <w:rPr>
          <w:spacing w:val="-7"/>
          <w:sz w:val="25"/>
        </w:rPr>
        <w:t> </w:t>
      </w:r>
      <w:r>
        <w:rPr>
          <w:sz w:val="25"/>
        </w:rPr>
        <w:t>temples;</w:t>
      </w:r>
    </w:p>
    <w:p>
      <w:pPr>
        <w:pStyle w:val="BodyText"/>
        <w:spacing w:before="10"/>
        <w:rPr>
          <w:sz w:val="24"/>
        </w:rPr>
      </w:pPr>
    </w:p>
    <w:p>
      <w:pPr>
        <w:pStyle w:val="ListParagraph"/>
        <w:numPr>
          <w:ilvl w:val="0"/>
          <w:numId w:val="9"/>
        </w:numPr>
        <w:tabs>
          <w:tab w:pos="1221" w:val="left" w:leader="none"/>
        </w:tabs>
        <w:spacing w:line="480" w:lineRule="auto" w:before="0" w:after="0"/>
        <w:ind w:left="1220" w:right="443" w:hanging="720"/>
        <w:jc w:val="both"/>
        <w:rPr>
          <w:sz w:val="25"/>
        </w:rPr>
      </w:pPr>
      <w:r>
        <w:rPr>
          <w:sz w:val="25"/>
        </w:rPr>
        <w:t>No Mohammedan has been allowed to enter the temple building since 1934; and</w:t>
      </w:r>
    </w:p>
    <w:p>
      <w:pPr>
        <w:pStyle w:val="ListParagraph"/>
        <w:numPr>
          <w:ilvl w:val="0"/>
          <w:numId w:val="9"/>
        </w:numPr>
        <w:tabs>
          <w:tab w:pos="1221" w:val="left" w:leader="none"/>
        </w:tabs>
        <w:spacing w:line="482" w:lineRule="auto" w:before="0" w:after="0"/>
        <w:ind w:left="1220" w:right="439" w:hanging="720"/>
        <w:jc w:val="both"/>
        <w:rPr>
          <w:sz w:val="25"/>
        </w:rPr>
      </w:pPr>
      <w:r>
        <w:rPr>
          <w:sz w:val="25"/>
        </w:rPr>
        <w:t>Acting under the provisions of Section 145 of the CrPC 1898, the City Magistrate placed the main temple and all the articles in it under</w:t>
      </w:r>
      <w:r>
        <w:rPr>
          <w:spacing w:val="38"/>
          <w:sz w:val="25"/>
        </w:rPr>
        <w:t> </w:t>
      </w:r>
      <w:r>
        <w:rPr>
          <w:sz w:val="25"/>
        </w:rPr>
        <w:t>the</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1220" w:right="436"/>
        <w:jc w:val="both"/>
      </w:pPr>
      <w:r>
        <w:rPr/>
        <w:t>charge of the first defendant as receiver on 5 January 1950. As a consequence, the plaintiffs have been wrongfully deprived of the management and charge of the</w:t>
      </w:r>
      <w:r>
        <w:rPr>
          <w:spacing w:val="-3"/>
        </w:rPr>
        <w:t> </w:t>
      </w:r>
      <w:r>
        <w:rPr/>
        <w:t>temple.</w:t>
      </w:r>
    </w:p>
    <w:p>
      <w:pPr>
        <w:pStyle w:val="BodyText"/>
        <w:spacing w:before="10"/>
        <w:rPr>
          <w:sz w:val="24"/>
        </w:rPr>
      </w:pPr>
    </w:p>
    <w:p>
      <w:pPr>
        <w:pStyle w:val="ListParagraph"/>
        <w:numPr>
          <w:ilvl w:val="0"/>
          <w:numId w:val="3"/>
        </w:numPr>
        <w:tabs>
          <w:tab w:pos="1221" w:val="left" w:leader="none"/>
        </w:tabs>
        <w:spacing w:line="480" w:lineRule="auto" w:before="0" w:after="0"/>
        <w:ind w:left="500" w:right="441" w:firstLine="0"/>
        <w:jc w:val="both"/>
        <w:rPr>
          <w:sz w:val="25"/>
        </w:rPr>
      </w:pPr>
      <w:r>
        <w:rPr>
          <w:sz w:val="25"/>
        </w:rPr>
        <w:t>In the written statement filed on behalf of defendant nos 6 to 8, Muslim residents of Ayodhya, it was stated that Babri Masjid was constructed by Emperor Babur in 1528 and has been constituted as a waqf, entitling Muslims to offer prayers. Moreover, it was submitted</w:t>
      </w:r>
      <w:r>
        <w:rPr>
          <w:spacing w:val="-5"/>
          <w:sz w:val="25"/>
        </w:rPr>
        <w:t> </w:t>
      </w:r>
      <w:r>
        <w:rPr>
          <w:sz w:val="25"/>
        </w:rPr>
        <w:t>that:</w:t>
      </w:r>
    </w:p>
    <w:p>
      <w:pPr>
        <w:pStyle w:val="BodyText"/>
        <w:spacing w:before="3"/>
      </w:pPr>
    </w:p>
    <w:p>
      <w:pPr>
        <w:pStyle w:val="ListParagraph"/>
        <w:numPr>
          <w:ilvl w:val="0"/>
          <w:numId w:val="10"/>
        </w:numPr>
        <w:tabs>
          <w:tab w:pos="1221" w:val="left" w:leader="none"/>
        </w:tabs>
        <w:spacing w:line="480" w:lineRule="auto" w:before="0" w:after="0"/>
        <w:ind w:left="1220" w:right="440" w:hanging="720"/>
        <w:jc w:val="both"/>
        <w:rPr>
          <w:sz w:val="25"/>
        </w:rPr>
      </w:pPr>
      <w:r>
        <w:rPr>
          <w:sz w:val="25"/>
        </w:rPr>
        <w:t>The Suit of 1885 by Raghubar Mahant Das was confined to Ramchabutra and has been dismissed by the Sub-Judge,</w:t>
      </w:r>
      <w:r>
        <w:rPr>
          <w:spacing w:val="-10"/>
          <w:sz w:val="25"/>
        </w:rPr>
        <w:t> </w:t>
      </w:r>
      <w:r>
        <w:rPr>
          <w:sz w:val="25"/>
        </w:rPr>
        <w:t>Faizabad;</w:t>
      </w:r>
    </w:p>
    <w:p>
      <w:pPr>
        <w:pStyle w:val="ListParagraph"/>
        <w:numPr>
          <w:ilvl w:val="0"/>
          <w:numId w:val="10"/>
        </w:numPr>
        <w:tabs>
          <w:tab w:pos="1221" w:val="left" w:leader="none"/>
        </w:tabs>
        <w:spacing w:line="480" w:lineRule="auto" w:before="0" w:after="0"/>
        <w:ind w:left="1220" w:right="442" w:hanging="720"/>
        <w:jc w:val="both"/>
        <w:rPr>
          <w:sz w:val="25"/>
        </w:rPr>
      </w:pPr>
      <w:r>
        <w:rPr>
          <w:sz w:val="25"/>
        </w:rPr>
        <w:t>The property of the mosque was constituted as a waqf under the U.P. Muslim Waqf Act</w:t>
      </w:r>
      <w:r>
        <w:rPr>
          <w:spacing w:val="-6"/>
          <w:sz w:val="25"/>
        </w:rPr>
        <w:t> </w:t>
      </w:r>
      <w:r>
        <w:rPr>
          <w:sz w:val="25"/>
        </w:rPr>
        <w:t>1936;</w:t>
      </w:r>
    </w:p>
    <w:p>
      <w:pPr>
        <w:pStyle w:val="ListParagraph"/>
        <w:numPr>
          <w:ilvl w:val="0"/>
          <w:numId w:val="10"/>
        </w:numPr>
        <w:tabs>
          <w:tab w:pos="1221" w:val="left" w:leader="none"/>
        </w:tabs>
        <w:spacing w:line="480" w:lineRule="auto" w:before="0" w:after="0"/>
        <w:ind w:left="1220" w:right="437" w:hanging="720"/>
        <w:jc w:val="both"/>
        <w:rPr>
          <w:sz w:val="25"/>
        </w:rPr>
      </w:pPr>
      <w:r>
        <w:rPr>
          <w:sz w:val="25"/>
        </w:rPr>
        <w:t>Muslims have been in continuous possession of the mosque since 1528 as a consequence of which all the rights of the plaintiffs have been extinguished;</w:t>
      </w:r>
    </w:p>
    <w:p>
      <w:pPr>
        <w:pStyle w:val="ListParagraph"/>
        <w:numPr>
          <w:ilvl w:val="0"/>
          <w:numId w:val="10"/>
        </w:numPr>
        <w:tabs>
          <w:tab w:pos="1221" w:val="left" w:leader="none"/>
        </w:tabs>
        <w:spacing w:line="480" w:lineRule="auto" w:before="0" w:after="0"/>
        <w:ind w:left="1220" w:right="446" w:hanging="720"/>
        <w:jc w:val="both"/>
        <w:rPr>
          <w:sz w:val="25"/>
        </w:rPr>
      </w:pPr>
      <w:r>
        <w:rPr>
          <w:sz w:val="25"/>
        </w:rPr>
        <w:t>On the eastern and northern sides of the mosque, there are Muslim graves;</w:t>
      </w:r>
    </w:p>
    <w:p>
      <w:pPr>
        <w:pStyle w:val="ListParagraph"/>
        <w:numPr>
          <w:ilvl w:val="0"/>
          <w:numId w:val="10"/>
        </w:numPr>
        <w:tabs>
          <w:tab w:pos="1221" w:val="left" w:leader="none"/>
        </w:tabs>
        <w:spacing w:line="480" w:lineRule="auto" w:before="1" w:after="0"/>
        <w:ind w:left="1220" w:right="437" w:hanging="720"/>
        <w:jc w:val="both"/>
        <w:rPr>
          <w:sz w:val="25"/>
        </w:rPr>
      </w:pPr>
      <w:r>
        <w:rPr>
          <w:sz w:val="25"/>
        </w:rPr>
        <w:t>Namaz was continuously offered in the property until 16 December 1949 and the character of the mosque will not stand altered if an idol has been installed surreptitiously;</w:t>
      </w:r>
      <w:r>
        <w:rPr>
          <w:spacing w:val="-3"/>
          <w:sz w:val="25"/>
        </w:rPr>
        <w:t> </w:t>
      </w:r>
      <w:r>
        <w:rPr>
          <w:sz w:val="25"/>
        </w:rPr>
        <w:t>and</w:t>
      </w:r>
    </w:p>
    <w:p>
      <w:pPr>
        <w:pStyle w:val="ListParagraph"/>
        <w:numPr>
          <w:ilvl w:val="0"/>
          <w:numId w:val="10"/>
        </w:numPr>
        <w:tabs>
          <w:tab w:pos="1221" w:val="left" w:leader="none"/>
        </w:tabs>
        <w:spacing w:line="480" w:lineRule="auto" w:before="0" w:after="0"/>
        <w:ind w:left="1220" w:right="445" w:hanging="720"/>
        <w:jc w:val="both"/>
        <w:rPr>
          <w:sz w:val="25"/>
        </w:rPr>
      </w:pPr>
      <w:r>
        <w:rPr>
          <w:sz w:val="25"/>
        </w:rPr>
        <w:t>There is another temple at Ayodhya which is known as the Janmasthan temple of Lord Ram which has been in existence for a long</w:t>
      </w:r>
      <w:r>
        <w:rPr>
          <w:spacing w:val="-7"/>
          <w:sz w:val="25"/>
        </w:rPr>
        <w:t> </w:t>
      </w:r>
      <w:r>
        <w:rPr>
          <w:sz w:val="25"/>
        </w:rPr>
        <w:t>time.</w:t>
      </w:r>
    </w:p>
    <w:p>
      <w:pPr>
        <w:spacing w:after="0" w:line="480" w:lineRule="auto"/>
        <w:jc w:val="both"/>
        <w:rPr>
          <w:sz w:val="25"/>
        </w:rPr>
        <w:sectPr>
          <w:pgSz w:w="11910" w:h="16840"/>
          <w:pgMar w:header="721" w:footer="1014" w:top="1300" w:bottom="1200" w:left="940" w:right="1000"/>
        </w:sectPr>
      </w:pPr>
    </w:p>
    <w:p>
      <w:pPr>
        <w:pStyle w:val="BodyText"/>
        <w:spacing w:before="124"/>
        <w:ind w:left="500"/>
        <w:jc w:val="both"/>
      </w:pPr>
      <w:r>
        <w:rPr/>
        <w:t>The plaint was amended to incorporate the averment that on 6 December 1992</w:t>
      </w:r>
    </w:p>
    <w:p>
      <w:pPr>
        <w:pStyle w:val="BodyText"/>
      </w:pPr>
    </w:p>
    <w:p>
      <w:pPr>
        <w:pStyle w:val="BodyText"/>
        <w:spacing w:line="480" w:lineRule="auto" w:before="1"/>
        <w:ind w:left="500" w:right="446"/>
        <w:jc w:val="both"/>
      </w:pPr>
      <w:r>
        <w:rPr>
          <w:w w:val="33"/>
        </w:rPr>
        <w:t>―</w:t>
      </w:r>
      <w:r>
        <w:rPr>
          <w:w w:val="99"/>
        </w:rPr>
        <w:t>the</w:t>
      </w:r>
      <w:r>
        <w:rPr/>
        <w:t> </w:t>
      </w:r>
      <w:r>
        <w:rPr>
          <w:w w:val="99"/>
        </w:rPr>
        <w:t>main</w:t>
      </w:r>
      <w:r>
        <w:rPr/>
        <w:t> </w:t>
      </w:r>
      <w:r>
        <w:rPr>
          <w:w w:val="99"/>
        </w:rPr>
        <w:t>temple</w:t>
      </w:r>
      <w:r>
        <w:rPr/>
        <w:t> </w:t>
      </w:r>
      <w:r>
        <w:rPr>
          <w:w w:val="99"/>
        </w:rPr>
        <w:t>was</w:t>
      </w:r>
      <w:r>
        <w:rPr/>
        <w:t> </w:t>
      </w:r>
      <w:r>
        <w:rPr>
          <w:w w:val="99"/>
        </w:rPr>
        <w:t>demolished</w:t>
      </w:r>
      <w:r>
        <w:rPr/>
        <w:t> </w:t>
      </w:r>
      <w:r>
        <w:rPr>
          <w:w w:val="99"/>
        </w:rPr>
        <w:t>by</w:t>
      </w:r>
      <w:r>
        <w:rPr/>
        <w:t> </w:t>
      </w:r>
      <w:r>
        <w:rPr>
          <w:w w:val="99"/>
        </w:rPr>
        <w:t>some</w:t>
      </w:r>
      <w:r>
        <w:rPr/>
        <w:t> </w:t>
      </w:r>
      <w:r>
        <w:rPr>
          <w:w w:val="99"/>
        </w:rPr>
        <w:t>miscreants</w:t>
      </w:r>
      <w:r>
        <w:rPr/>
        <w:t> </w:t>
      </w:r>
      <w:r>
        <w:rPr>
          <w:w w:val="99"/>
        </w:rPr>
        <w:t>who</w:t>
      </w:r>
      <w:r>
        <w:rPr/>
        <w:t> </w:t>
      </w:r>
      <w:r>
        <w:rPr>
          <w:w w:val="99"/>
        </w:rPr>
        <w:t>had</w:t>
      </w:r>
      <w:r>
        <w:rPr/>
        <w:t> </w:t>
      </w:r>
      <w:r>
        <w:rPr>
          <w:w w:val="99"/>
        </w:rPr>
        <w:t>no</w:t>
      </w:r>
      <w:r>
        <w:rPr/>
        <w:t> </w:t>
      </w:r>
      <w:r>
        <w:rPr>
          <w:w w:val="99"/>
        </w:rPr>
        <w:t>religion,</w:t>
      </w:r>
      <w:r>
        <w:rPr/>
        <w:t> </w:t>
      </w:r>
      <w:r>
        <w:rPr>
          <w:w w:val="99"/>
        </w:rPr>
        <w:t>caste </w:t>
      </w:r>
      <w:r>
        <w:rPr/>
        <w:t>or creed‖.</w:t>
      </w:r>
    </w:p>
    <w:p>
      <w:pPr>
        <w:pStyle w:val="BodyText"/>
        <w:spacing w:before="9"/>
        <w:rPr>
          <w:sz w:val="24"/>
        </w:rPr>
      </w:pPr>
    </w:p>
    <w:p>
      <w:pPr>
        <w:pStyle w:val="BodyText"/>
        <w:spacing w:line="480" w:lineRule="auto"/>
        <w:ind w:left="500" w:right="442"/>
        <w:jc w:val="both"/>
      </w:pPr>
      <w:r>
        <w:rPr/>
        <w:t>In the replication filed by Nirmohi Akhara to the joint written statement of defendant nos 6 to 8, the existence of a separate Janmasthan temple was denied. It was stated that the Janmasthan temple is situated to the North of the Janmabhumi</w:t>
      </w:r>
      <w:r>
        <w:rPr>
          <w:spacing w:val="-2"/>
        </w:rPr>
        <w:t> </w:t>
      </w:r>
      <w:r>
        <w:rPr/>
        <w:t>temple.</w:t>
      </w:r>
    </w:p>
    <w:p>
      <w:pPr>
        <w:pStyle w:val="BodyText"/>
        <w:spacing w:before="3"/>
      </w:pPr>
    </w:p>
    <w:p>
      <w:pPr>
        <w:pStyle w:val="BodyText"/>
        <w:spacing w:line="480" w:lineRule="auto"/>
        <w:ind w:left="500" w:right="439"/>
        <w:jc w:val="both"/>
      </w:pPr>
      <w:r>
        <w:rPr/>
        <w:t>A written statement was filed in the suit by Defendant no 9, the </w:t>
      </w:r>
      <w:r>
        <w:rPr>
          <w:color w:val="000009"/>
        </w:rPr>
        <w:t>Sunni Central Waqf Board </w:t>
      </w:r>
      <w:r>
        <w:rPr/>
        <w:t>denying the allegations.</w:t>
      </w:r>
    </w:p>
    <w:p>
      <w:pPr>
        <w:pStyle w:val="BodyText"/>
        <w:spacing w:before="9"/>
        <w:rPr>
          <w:sz w:val="24"/>
        </w:rPr>
      </w:pPr>
    </w:p>
    <w:p>
      <w:pPr>
        <w:pStyle w:val="BodyText"/>
        <w:spacing w:line="482" w:lineRule="auto"/>
        <w:ind w:left="500" w:right="448"/>
        <w:jc w:val="both"/>
      </w:pPr>
      <w:r>
        <w:rPr/>
        <w:t>In the written statement filed by defendant no 10, Umesh Chandra Pandey, it was submitted:</w:t>
      </w:r>
    </w:p>
    <w:p>
      <w:pPr>
        <w:pStyle w:val="ListParagraph"/>
        <w:numPr>
          <w:ilvl w:val="0"/>
          <w:numId w:val="11"/>
        </w:numPr>
        <w:tabs>
          <w:tab w:pos="1221" w:val="left" w:leader="none"/>
        </w:tabs>
        <w:spacing w:line="480" w:lineRule="auto" w:before="0" w:after="0"/>
        <w:ind w:left="1220" w:right="442" w:hanging="720"/>
        <w:jc w:val="both"/>
        <w:rPr>
          <w:sz w:val="25"/>
        </w:rPr>
      </w:pPr>
      <w:r>
        <w:rPr>
          <w:w w:val="99"/>
          <w:sz w:val="25"/>
        </w:rPr>
        <w:t>T</w:t>
      </w:r>
      <w:r>
        <w:rPr>
          <w:w w:val="99"/>
          <w:sz w:val="25"/>
        </w:rPr>
        <w:t>he</w:t>
      </w:r>
      <w:r>
        <w:rPr>
          <w:spacing w:val="31"/>
          <w:sz w:val="25"/>
        </w:rPr>
        <w:t> </w:t>
      </w:r>
      <w:r>
        <w:rPr>
          <w:w w:val="99"/>
          <w:sz w:val="25"/>
        </w:rPr>
        <w:t>Jan</w:t>
      </w:r>
      <w:r>
        <w:rPr>
          <w:w w:val="99"/>
          <w:sz w:val="25"/>
        </w:rPr>
        <w:t>masth</w:t>
      </w:r>
      <w:r>
        <w:rPr>
          <w:w w:val="99"/>
          <w:sz w:val="25"/>
        </w:rPr>
        <w:t>an</w:t>
      </w:r>
      <w:r>
        <w:rPr>
          <w:spacing w:val="31"/>
          <w:sz w:val="25"/>
        </w:rPr>
        <w:t> </w:t>
      </w:r>
      <w:r>
        <w:rPr>
          <w:w w:val="99"/>
          <w:sz w:val="25"/>
        </w:rPr>
        <w:t>is</w:t>
      </w:r>
      <w:r>
        <w:rPr>
          <w:spacing w:val="30"/>
          <w:sz w:val="25"/>
        </w:rPr>
        <w:t> </w:t>
      </w:r>
      <w:r>
        <w:rPr>
          <w:w w:val="99"/>
          <w:sz w:val="25"/>
        </w:rPr>
        <w:t>a</w:t>
      </w:r>
      <w:r>
        <w:rPr>
          <w:sz w:val="25"/>
        </w:rPr>
        <w:t> </w:t>
      </w:r>
      <w:r>
        <w:rPr>
          <w:spacing w:val="-35"/>
          <w:sz w:val="25"/>
        </w:rPr>
        <w:t> </w:t>
      </w:r>
      <w:r>
        <w:rPr>
          <w:w w:val="33"/>
          <w:sz w:val="25"/>
        </w:rPr>
        <w:t>―</w:t>
      </w:r>
      <w:r>
        <w:rPr>
          <w:w w:val="99"/>
          <w:sz w:val="25"/>
        </w:rPr>
        <w:t>holy</w:t>
      </w:r>
      <w:r>
        <w:rPr>
          <w:spacing w:val="28"/>
          <w:sz w:val="25"/>
        </w:rPr>
        <w:t> </w:t>
      </w:r>
      <w:r>
        <w:rPr>
          <w:w w:val="99"/>
          <w:sz w:val="25"/>
        </w:rPr>
        <w:t>place</w:t>
      </w:r>
      <w:r>
        <w:rPr>
          <w:spacing w:val="31"/>
          <w:sz w:val="25"/>
        </w:rPr>
        <w:t> </w:t>
      </w:r>
      <w:r>
        <w:rPr>
          <w:w w:val="99"/>
          <w:sz w:val="25"/>
        </w:rPr>
        <w:t>of</w:t>
      </w:r>
      <w:r>
        <w:rPr>
          <w:spacing w:val="34"/>
          <w:sz w:val="25"/>
        </w:rPr>
        <w:t> </w:t>
      </w:r>
      <w:r>
        <w:rPr>
          <w:w w:val="99"/>
          <w:sz w:val="25"/>
        </w:rPr>
        <w:t>worshi</w:t>
      </w:r>
      <w:r>
        <w:rPr>
          <w:spacing w:val="2"/>
          <w:w w:val="99"/>
          <w:sz w:val="25"/>
        </w:rPr>
        <w:t>p</w:t>
      </w:r>
      <w:r>
        <w:rPr>
          <w:w w:val="80"/>
          <w:sz w:val="25"/>
        </w:rPr>
        <w:t>‖</w:t>
      </w:r>
      <w:r>
        <w:rPr>
          <w:spacing w:val="32"/>
          <w:sz w:val="25"/>
        </w:rPr>
        <w:t> </w:t>
      </w:r>
      <w:r>
        <w:rPr>
          <w:w w:val="99"/>
          <w:sz w:val="25"/>
        </w:rPr>
        <w:t>and</w:t>
      </w:r>
      <w:r>
        <w:rPr>
          <w:spacing w:val="31"/>
          <w:sz w:val="25"/>
        </w:rPr>
        <w:t> </w:t>
      </w:r>
      <w:r>
        <w:rPr>
          <w:w w:val="99"/>
          <w:sz w:val="25"/>
        </w:rPr>
        <w:t>belong</w:t>
      </w:r>
      <w:r>
        <w:rPr>
          <w:w w:val="99"/>
          <w:sz w:val="25"/>
        </w:rPr>
        <w:t>s</w:t>
      </w:r>
      <w:r>
        <w:rPr>
          <w:spacing w:val="31"/>
          <w:sz w:val="25"/>
        </w:rPr>
        <w:t> </w:t>
      </w:r>
      <w:r>
        <w:rPr>
          <w:w w:val="99"/>
          <w:sz w:val="25"/>
        </w:rPr>
        <w:t>to</w:t>
      </w:r>
      <w:r>
        <w:rPr>
          <w:spacing w:val="31"/>
          <w:sz w:val="25"/>
        </w:rPr>
        <w:t> </w:t>
      </w:r>
      <w:r>
        <w:rPr>
          <w:w w:val="99"/>
          <w:sz w:val="25"/>
        </w:rPr>
        <w:t>the</w:t>
      </w:r>
      <w:r>
        <w:rPr>
          <w:spacing w:val="31"/>
          <w:sz w:val="25"/>
        </w:rPr>
        <w:t> </w:t>
      </w:r>
      <w:r>
        <w:rPr>
          <w:w w:val="99"/>
          <w:sz w:val="25"/>
        </w:rPr>
        <w:t>de</w:t>
      </w:r>
      <w:r>
        <w:rPr>
          <w:w w:val="99"/>
          <w:sz w:val="25"/>
        </w:rPr>
        <w:t>ity</w:t>
      </w:r>
      <w:r>
        <w:rPr>
          <w:spacing w:val="28"/>
          <w:sz w:val="25"/>
        </w:rPr>
        <w:t> </w:t>
      </w:r>
      <w:r>
        <w:rPr>
          <w:w w:val="99"/>
          <w:sz w:val="25"/>
        </w:rPr>
        <w:t>of </w:t>
      </w:r>
      <w:r>
        <w:rPr>
          <w:sz w:val="25"/>
        </w:rPr>
        <w:t>Shri Ram Lalla Virajman for a long period of time. The temple is possessed and owned by the deity. Lord Ram is the principal deity of Ram Janmabhumi;</w:t>
      </w:r>
    </w:p>
    <w:p>
      <w:pPr>
        <w:pStyle w:val="ListParagraph"/>
        <w:numPr>
          <w:ilvl w:val="0"/>
          <w:numId w:val="11"/>
        </w:numPr>
        <w:tabs>
          <w:tab w:pos="1220" w:val="left" w:leader="none"/>
          <w:tab w:pos="1221" w:val="left" w:leader="none"/>
        </w:tabs>
        <w:spacing w:line="287" w:lineRule="exact" w:before="0" w:after="0"/>
        <w:ind w:left="1220" w:right="0" w:hanging="721"/>
        <w:jc w:val="left"/>
        <w:rPr>
          <w:sz w:val="25"/>
        </w:rPr>
      </w:pPr>
      <w:r>
        <w:rPr>
          <w:sz w:val="25"/>
        </w:rPr>
        <w:t>Nirmohi Akhara has never managed the</w:t>
      </w:r>
      <w:r>
        <w:rPr>
          <w:spacing w:val="-6"/>
          <w:sz w:val="25"/>
        </w:rPr>
        <w:t> </w:t>
      </w:r>
      <w:r>
        <w:rPr>
          <w:sz w:val="25"/>
        </w:rPr>
        <w:t>Janmasthan;</w:t>
      </w:r>
    </w:p>
    <w:p>
      <w:pPr>
        <w:pStyle w:val="BodyText"/>
        <w:spacing w:before="7"/>
        <w:rPr>
          <w:sz w:val="24"/>
        </w:rPr>
      </w:pPr>
    </w:p>
    <w:p>
      <w:pPr>
        <w:pStyle w:val="ListParagraph"/>
        <w:numPr>
          <w:ilvl w:val="0"/>
          <w:numId w:val="11"/>
        </w:numPr>
        <w:tabs>
          <w:tab w:pos="1221" w:val="left" w:leader="none"/>
        </w:tabs>
        <w:spacing w:line="480" w:lineRule="auto" w:before="1" w:after="0"/>
        <w:ind w:left="1220" w:right="441" w:hanging="720"/>
        <w:jc w:val="both"/>
        <w:rPr>
          <w:sz w:val="25"/>
        </w:rPr>
      </w:pPr>
      <w:r>
        <w:rPr>
          <w:sz w:val="25"/>
        </w:rPr>
        <w:t>In 1857, the British Government attempted to divide the building by creating an inner enclosure and describing the boundary within it as a </w:t>
      </w:r>
      <w:r>
        <w:rPr>
          <w:w w:val="99"/>
          <w:sz w:val="25"/>
        </w:rPr>
        <w:t>m</w:t>
      </w:r>
      <w:r>
        <w:rPr>
          <w:w w:val="99"/>
          <w:sz w:val="25"/>
        </w:rPr>
        <w:t>osque</w:t>
      </w:r>
      <w:r>
        <w:rPr>
          <w:sz w:val="25"/>
        </w:rPr>
        <w:t> </w:t>
      </w:r>
      <w:r>
        <w:rPr>
          <w:w w:val="99"/>
          <w:sz w:val="25"/>
        </w:rPr>
        <w:t>bu</w:t>
      </w:r>
      <w:r>
        <w:rPr>
          <w:w w:val="99"/>
          <w:sz w:val="25"/>
        </w:rPr>
        <w:t>t</w:t>
      </w:r>
      <w:r>
        <w:rPr>
          <w:spacing w:val="-1"/>
          <w:sz w:val="25"/>
        </w:rPr>
        <w:t> </w:t>
      </w:r>
      <w:r>
        <w:rPr>
          <w:w w:val="99"/>
          <w:sz w:val="25"/>
        </w:rPr>
        <w:t>no</w:t>
      </w:r>
      <w:r>
        <w:rPr>
          <w:spacing w:val="2"/>
          <w:sz w:val="25"/>
        </w:rPr>
        <w:t> </w:t>
      </w:r>
      <w:r>
        <w:rPr>
          <w:w w:val="33"/>
          <w:sz w:val="25"/>
        </w:rPr>
        <w:t>―</w:t>
      </w:r>
      <w:r>
        <w:rPr>
          <w:spacing w:val="-3"/>
          <w:w w:val="99"/>
          <w:sz w:val="25"/>
        </w:rPr>
        <w:t>t</w:t>
      </w:r>
      <w:r>
        <w:rPr>
          <w:w w:val="99"/>
          <w:sz w:val="25"/>
        </w:rPr>
        <w:t>r</w:t>
      </w:r>
      <w:r>
        <w:rPr>
          <w:w w:val="99"/>
          <w:sz w:val="25"/>
        </w:rPr>
        <w:t>ue</w:t>
      </w:r>
      <w:r>
        <w:rPr>
          <w:spacing w:val="-2"/>
          <w:sz w:val="25"/>
        </w:rPr>
        <w:t> </w:t>
      </w:r>
      <w:r>
        <w:rPr>
          <w:spacing w:val="-2"/>
          <w:w w:val="99"/>
          <w:sz w:val="25"/>
        </w:rPr>
        <w:t>M</w:t>
      </w:r>
      <w:r>
        <w:rPr>
          <w:w w:val="99"/>
          <w:sz w:val="25"/>
        </w:rPr>
        <w:t>usli</w:t>
      </w:r>
      <w:r>
        <w:rPr>
          <w:spacing w:val="1"/>
          <w:w w:val="99"/>
          <w:sz w:val="25"/>
        </w:rPr>
        <w:t>m</w:t>
      </w:r>
      <w:r>
        <w:rPr>
          <w:w w:val="80"/>
          <w:sz w:val="25"/>
        </w:rPr>
        <w:t>‖</w:t>
      </w:r>
      <w:r>
        <w:rPr>
          <w:spacing w:val="1"/>
          <w:sz w:val="25"/>
        </w:rPr>
        <w:t> </w:t>
      </w:r>
      <w:r>
        <w:rPr>
          <w:w w:val="99"/>
          <w:sz w:val="25"/>
        </w:rPr>
        <w:t>cou</w:t>
      </w:r>
      <w:r>
        <w:rPr>
          <w:w w:val="99"/>
          <w:sz w:val="25"/>
        </w:rPr>
        <w:t>ld</w:t>
      </w:r>
      <w:r>
        <w:rPr>
          <w:spacing w:val="-1"/>
          <w:sz w:val="25"/>
        </w:rPr>
        <w:t> </w:t>
      </w:r>
      <w:r>
        <w:rPr>
          <w:w w:val="99"/>
          <w:sz w:val="25"/>
        </w:rPr>
        <w:t>h</w:t>
      </w:r>
      <w:r>
        <w:rPr>
          <w:w w:val="99"/>
          <w:sz w:val="25"/>
        </w:rPr>
        <w:t>a</w:t>
      </w:r>
      <w:r>
        <w:rPr>
          <w:spacing w:val="-2"/>
          <w:w w:val="99"/>
          <w:sz w:val="25"/>
        </w:rPr>
        <w:t>v</w:t>
      </w:r>
      <w:r>
        <w:rPr>
          <w:w w:val="99"/>
          <w:sz w:val="25"/>
        </w:rPr>
        <w:t>e</w:t>
      </w:r>
      <w:r>
        <w:rPr>
          <w:spacing w:val="-1"/>
          <w:sz w:val="25"/>
        </w:rPr>
        <w:t> </w:t>
      </w:r>
      <w:r>
        <w:rPr>
          <w:w w:val="99"/>
          <w:sz w:val="25"/>
        </w:rPr>
        <w:t>o</w:t>
      </w:r>
      <w:r>
        <w:rPr>
          <w:spacing w:val="2"/>
          <w:w w:val="99"/>
          <w:sz w:val="25"/>
        </w:rPr>
        <w:t>f</w:t>
      </w:r>
      <w:r>
        <w:rPr>
          <w:w w:val="99"/>
          <w:sz w:val="25"/>
        </w:rPr>
        <w:t>fe</w:t>
      </w:r>
      <w:r>
        <w:rPr>
          <w:spacing w:val="1"/>
          <w:w w:val="99"/>
          <w:sz w:val="25"/>
        </w:rPr>
        <w:t>r</w:t>
      </w:r>
      <w:r>
        <w:rPr>
          <w:w w:val="99"/>
          <w:sz w:val="25"/>
        </w:rPr>
        <w:t>ed</w:t>
      </w:r>
      <w:r>
        <w:rPr>
          <w:sz w:val="25"/>
        </w:rPr>
        <w:t> </w:t>
      </w:r>
      <w:r>
        <w:rPr>
          <w:w w:val="99"/>
          <w:sz w:val="25"/>
        </w:rPr>
        <w:t>p</w:t>
      </w:r>
      <w:r>
        <w:rPr>
          <w:spacing w:val="1"/>
          <w:w w:val="99"/>
          <w:sz w:val="25"/>
        </w:rPr>
        <w:t>r</w:t>
      </w:r>
      <w:r>
        <w:rPr>
          <w:w w:val="99"/>
          <w:sz w:val="25"/>
        </w:rPr>
        <w:t>a</w:t>
      </w:r>
      <w:r>
        <w:rPr>
          <w:spacing w:val="-2"/>
          <w:w w:val="99"/>
          <w:sz w:val="25"/>
        </w:rPr>
        <w:t>y</w:t>
      </w:r>
      <w:r>
        <w:rPr>
          <w:w w:val="99"/>
          <w:sz w:val="25"/>
        </w:rPr>
        <w:t>e</w:t>
      </w:r>
      <w:r>
        <w:rPr>
          <w:spacing w:val="1"/>
          <w:w w:val="99"/>
          <w:sz w:val="25"/>
        </w:rPr>
        <w:t>r</w:t>
      </w:r>
      <w:r>
        <w:rPr>
          <w:w w:val="99"/>
          <w:sz w:val="25"/>
        </w:rPr>
        <w:t>s</w:t>
      </w:r>
      <w:r>
        <w:rPr>
          <w:spacing w:val="-1"/>
          <w:sz w:val="25"/>
        </w:rPr>
        <w:t> </w:t>
      </w:r>
      <w:r>
        <w:rPr>
          <w:w w:val="99"/>
          <w:sz w:val="25"/>
        </w:rPr>
        <w:t>th</w:t>
      </w:r>
      <w:r>
        <w:rPr>
          <w:w w:val="99"/>
          <w:sz w:val="25"/>
        </w:rPr>
        <w:t>e</w:t>
      </w:r>
      <w:r>
        <w:rPr>
          <w:spacing w:val="1"/>
          <w:w w:val="99"/>
          <w:sz w:val="25"/>
        </w:rPr>
        <w:t>r</w:t>
      </w:r>
      <w:r>
        <w:rPr>
          <w:w w:val="99"/>
          <w:sz w:val="25"/>
        </w:rPr>
        <w:t>e;</w:t>
      </w:r>
    </w:p>
    <w:p>
      <w:pPr>
        <w:pStyle w:val="ListParagraph"/>
        <w:numPr>
          <w:ilvl w:val="0"/>
          <w:numId w:val="11"/>
        </w:numPr>
        <w:tabs>
          <w:tab w:pos="1221" w:val="left" w:leader="none"/>
        </w:tabs>
        <w:spacing w:line="480" w:lineRule="auto" w:before="0" w:after="0"/>
        <w:ind w:left="1220" w:right="435" w:hanging="720"/>
        <w:jc w:val="both"/>
        <w:rPr>
          <w:sz w:val="25"/>
        </w:rPr>
      </w:pPr>
      <w:r>
        <w:rPr>
          <w:sz w:val="25"/>
        </w:rPr>
        <w:t>The presence of Kasauti pillars and the carvings of Gods and Goddess on </w:t>
      </w:r>
      <w:r>
        <w:rPr>
          <w:w w:val="99"/>
          <w:sz w:val="25"/>
        </w:rPr>
        <w:t>the</w:t>
      </w:r>
      <w:r>
        <w:rPr>
          <w:spacing w:val="10"/>
          <w:sz w:val="25"/>
        </w:rPr>
        <w:t> </w:t>
      </w:r>
      <w:r>
        <w:rPr>
          <w:w w:val="99"/>
          <w:sz w:val="25"/>
        </w:rPr>
        <w:t>pillar</w:t>
      </w:r>
      <w:r>
        <w:rPr>
          <w:w w:val="99"/>
          <w:sz w:val="25"/>
        </w:rPr>
        <w:t>s</w:t>
      </w:r>
      <w:r>
        <w:rPr>
          <w:spacing w:val="9"/>
          <w:sz w:val="25"/>
        </w:rPr>
        <w:t> </w:t>
      </w:r>
      <w:r>
        <w:rPr>
          <w:w w:val="99"/>
          <w:sz w:val="25"/>
        </w:rPr>
        <w:t>indica</w:t>
      </w:r>
      <w:r>
        <w:rPr>
          <w:w w:val="99"/>
          <w:sz w:val="25"/>
        </w:rPr>
        <w:t>ted</w:t>
      </w:r>
      <w:r>
        <w:rPr>
          <w:spacing w:val="7"/>
          <w:sz w:val="25"/>
        </w:rPr>
        <w:t> </w:t>
      </w:r>
      <w:r>
        <w:rPr>
          <w:w w:val="99"/>
          <w:sz w:val="25"/>
        </w:rPr>
        <w:t>t</w:t>
      </w:r>
      <w:r>
        <w:rPr>
          <w:spacing w:val="-2"/>
          <w:w w:val="99"/>
          <w:sz w:val="25"/>
        </w:rPr>
        <w:t>h</w:t>
      </w:r>
      <w:r>
        <w:rPr>
          <w:w w:val="99"/>
          <w:sz w:val="25"/>
        </w:rPr>
        <w:t>at</w:t>
      </w:r>
      <w:r>
        <w:rPr>
          <w:spacing w:val="10"/>
          <w:sz w:val="25"/>
        </w:rPr>
        <w:t> </w:t>
      </w:r>
      <w:r>
        <w:rPr>
          <w:w w:val="99"/>
          <w:sz w:val="25"/>
        </w:rPr>
        <w:t>the</w:t>
      </w:r>
      <w:r>
        <w:rPr>
          <w:spacing w:val="10"/>
          <w:sz w:val="25"/>
        </w:rPr>
        <w:t> </w:t>
      </w:r>
      <w:r>
        <w:rPr>
          <w:w w:val="99"/>
          <w:sz w:val="25"/>
        </w:rPr>
        <w:t>place</w:t>
      </w:r>
      <w:r>
        <w:rPr>
          <w:spacing w:val="8"/>
          <w:sz w:val="25"/>
        </w:rPr>
        <w:t> </w:t>
      </w:r>
      <w:r>
        <w:rPr>
          <w:w w:val="99"/>
          <w:sz w:val="25"/>
        </w:rPr>
        <w:t>cou</w:t>
      </w:r>
      <w:r>
        <w:rPr>
          <w:w w:val="99"/>
          <w:sz w:val="25"/>
        </w:rPr>
        <w:t>ld</w:t>
      </w:r>
      <w:r>
        <w:rPr>
          <w:spacing w:val="9"/>
          <w:sz w:val="25"/>
        </w:rPr>
        <w:t> </w:t>
      </w:r>
      <w:r>
        <w:rPr>
          <w:w w:val="99"/>
          <w:sz w:val="25"/>
        </w:rPr>
        <w:t>no</w:t>
      </w:r>
      <w:r>
        <w:rPr>
          <w:w w:val="99"/>
          <w:sz w:val="25"/>
        </w:rPr>
        <w:t>t</w:t>
      </w:r>
      <w:r>
        <w:rPr>
          <w:spacing w:val="7"/>
          <w:sz w:val="25"/>
        </w:rPr>
        <w:t> </w:t>
      </w:r>
      <w:r>
        <w:rPr>
          <w:w w:val="99"/>
          <w:sz w:val="25"/>
        </w:rPr>
        <w:t>be</w:t>
      </w:r>
      <w:r>
        <w:rPr>
          <w:spacing w:val="9"/>
          <w:sz w:val="25"/>
        </w:rPr>
        <w:t> </w:t>
      </w:r>
      <w:r>
        <w:rPr>
          <w:w w:val="99"/>
          <w:sz w:val="25"/>
        </w:rPr>
        <w:t>used</w:t>
      </w:r>
      <w:r>
        <w:rPr>
          <w:spacing w:val="7"/>
          <w:sz w:val="25"/>
        </w:rPr>
        <w:t> </w:t>
      </w:r>
      <w:r>
        <w:rPr>
          <w:w w:val="99"/>
          <w:sz w:val="25"/>
        </w:rPr>
        <w:t>by</w:t>
      </w:r>
      <w:r>
        <w:rPr>
          <w:spacing w:val="7"/>
          <w:sz w:val="25"/>
        </w:rPr>
        <w:t> </w:t>
      </w:r>
      <w:r>
        <w:rPr>
          <w:w w:val="99"/>
          <w:sz w:val="25"/>
        </w:rPr>
        <w:t>a</w:t>
      </w:r>
      <w:r>
        <w:rPr>
          <w:spacing w:val="17"/>
          <w:sz w:val="25"/>
        </w:rPr>
        <w:t> </w:t>
      </w:r>
      <w:r>
        <w:rPr>
          <w:w w:val="33"/>
          <w:sz w:val="25"/>
        </w:rPr>
        <w:t>―</w:t>
      </w:r>
      <w:r>
        <w:rPr>
          <w:w w:val="99"/>
          <w:sz w:val="25"/>
        </w:rPr>
        <w:t>t</w:t>
      </w:r>
      <w:r>
        <w:rPr>
          <w:w w:val="99"/>
          <w:sz w:val="25"/>
        </w:rPr>
        <w:t>r</w:t>
      </w:r>
      <w:r>
        <w:rPr>
          <w:w w:val="99"/>
          <w:sz w:val="25"/>
        </w:rPr>
        <w:t>ue</w:t>
      </w:r>
      <w:r>
        <w:rPr>
          <w:spacing w:val="7"/>
          <w:sz w:val="25"/>
        </w:rPr>
        <w:t> </w:t>
      </w:r>
      <w:r>
        <w:rPr>
          <w:spacing w:val="-2"/>
          <w:w w:val="99"/>
          <w:sz w:val="25"/>
        </w:rPr>
        <w:t>M</w:t>
      </w:r>
      <w:r>
        <w:rPr>
          <w:w w:val="99"/>
          <w:sz w:val="25"/>
        </w:rPr>
        <w:t>usli</w:t>
      </w:r>
      <w:r>
        <w:rPr>
          <w:spacing w:val="1"/>
          <w:w w:val="99"/>
          <w:sz w:val="25"/>
        </w:rPr>
        <w:t>m</w:t>
      </w:r>
      <w:r>
        <w:rPr>
          <w:w w:val="80"/>
          <w:sz w:val="25"/>
        </w:rPr>
        <w:t>‖</w:t>
      </w:r>
      <w:r>
        <w:rPr>
          <w:spacing w:val="10"/>
          <w:sz w:val="25"/>
        </w:rPr>
        <w:t> </w:t>
      </w:r>
      <w:r>
        <w:rPr>
          <w:w w:val="99"/>
          <w:sz w:val="25"/>
        </w:rPr>
        <w:t>for </w:t>
      </w:r>
      <w:r>
        <w:rPr>
          <w:sz w:val="25"/>
        </w:rPr>
        <w:t>offering</w:t>
      </w:r>
      <w:r>
        <w:rPr>
          <w:spacing w:val="-1"/>
          <w:sz w:val="25"/>
        </w:rPr>
        <w:t> </w:t>
      </w:r>
      <w:r>
        <w:rPr>
          <w:sz w:val="25"/>
        </w:rPr>
        <w:t>prayers;</w:t>
      </w:r>
    </w:p>
    <w:p>
      <w:pPr>
        <w:spacing w:after="0" w:line="480" w:lineRule="auto"/>
        <w:jc w:val="both"/>
        <w:rPr>
          <w:sz w:val="25"/>
        </w:rPr>
        <w:sectPr>
          <w:pgSz w:w="11910" w:h="16840"/>
          <w:pgMar w:header="721" w:footer="1014" w:top="1300" w:bottom="1200" w:left="940" w:right="1000"/>
        </w:sectPr>
      </w:pPr>
    </w:p>
    <w:p>
      <w:pPr>
        <w:pStyle w:val="ListParagraph"/>
        <w:numPr>
          <w:ilvl w:val="0"/>
          <w:numId w:val="11"/>
        </w:numPr>
        <w:tabs>
          <w:tab w:pos="1221" w:val="left" w:leader="none"/>
        </w:tabs>
        <w:spacing w:line="480" w:lineRule="auto" w:before="124" w:after="0"/>
        <w:ind w:left="1220" w:right="443" w:hanging="720"/>
        <w:jc w:val="both"/>
        <w:rPr>
          <w:sz w:val="25"/>
        </w:rPr>
      </w:pPr>
      <w:r>
        <w:rPr>
          <w:sz w:val="25"/>
        </w:rPr>
        <w:t>The place was virtually landlocked by a Hindu temple in which worship of the deity took</w:t>
      </w:r>
      <w:r>
        <w:rPr>
          <w:spacing w:val="-5"/>
          <w:sz w:val="25"/>
        </w:rPr>
        <w:t> </w:t>
      </w:r>
      <w:r>
        <w:rPr>
          <w:sz w:val="25"/>
        </w:rPr>
        <w:t>place;</w:t>
      </w:r>
    </w:p>
    <w:p>
      <w:pPr>
        <w:pStyle w:val="ListParagraph"/>
        <w:numPr>
          <w:ilvl w:val="0"/>
          <w:numId w:val="11"/>
        </w:numPr>
        <w:tabs>
          <w:tab w:pos="1221" w:val="left" w:leader="none"/>
        </w:tabs>
        <w:spacing w:line="480" w:lineRule="auto" w:before="0" w:after="0"/>
        <w:ind w:left="1220" w:right="438" w:hanging="720"/>
        <w:jc w:val="both"/>
        <w:rPr>
          <w:sz w:val="25"/>
        </w:rPr>
      </w:pPr>
      <w:r>
        <w:rPr>
          <w:sz w:val="25"/>
        </w:rPr>
        <w:t>The Suit of the Nirmohi Akhara was barred by limitation having been instituted in 1959, though the cause of action arose on 5 January 1950; and</w:t>
      </w:r>
    </w:p>
    <w:p>
      <w:pPr>
        <w:pStyle w:val="ListParagraph"/>
        <w:numPr>
          <w:ilvl w:val="0"/>
          <w:numId w:val="11"/>
        </w:numPr>
        <w:tabs>
          <w:tab w:pos="1221" w:val="left" w:leader="none"/>
        </w:tabs>
        <w:spacing w:line="480" w:lineRule="auto" w:before="0" w:after="0"/>
        <w:ind w:left="1220" w:right="444" w:hanging="720"/>
        <w:jc w:val="both"/>
        <w:rPr>
          <w:sz w:val="25"/>
        </w:rPr>
      </w:pPr>
      <w:r>
        <w:rPr>
          <w:sz w:val="25"/>
        </w:rPr>
        <w:t>Nirmohi Akhara did not join the proceedings under Section 145 nor did they file a revision against the order passed by the Additional City Magistrate.</w:t>
      </w:r>
    </w:p>
    <w:p>
      <w:pPr>
        <w:pStyle w:val="BodyText"/>
        <w:spacing w:before="11"/>
        <w:rPr>
          <w:sz w:val="24"/>
        </w:rPr>
      </w:pPr>
    </w:p>
    <w:p>
      <w:pPr>
        <w:pStyle w:val="BodyText"/>
        <w:spacing w:line="480" w:lineRule="auto"/>
        <w:ind w:left="500" w:right="434"/>
        <w:jc w:val="both"/>
      </w:pPr>
      <w:r>
        <w:rPr/>
        <w:t>In the replication filed by Nirmohi Akhara to the written statement of defendant no 10, there was a detailed account of the founding of the denomination. Following the tradition of Shankaracharya since the seventh century CE, the practice of setting up Maths was followed by Ramanujacharya and later, by Ramanand. Ramanand founded a sect of Vaishnavs known as ‗Ramats‘, who worship Lord Ram. The spiritual preceptors of the Ramanandi sect of Bairagis established three ‗annis‘ namely, the (i) Nirmohi; (ii) Digamber; and (iii) Nirwani Akharas. These Akharas are Panchayati Maths. Nirmohi Akhara owns the Ram Janmasthan temple which is associated with the birth-place of Lord Ram. The outer enclosure was owned and managed by Nirmohi Akhara until the proceedings under Section 145 were</w:t>
      </w:r>
      <w:r>
        <w:rPr>
          <w:spacing w:val="-3"/>
        </w:rPr>
        <w:t> </w:t>
      </w:r>
      <w:r>
        <w:rPr/>
        <w:t>instituted.</w:t>
      </w:r>
    </w:p>
    <w:p>
      <w:pPr>
        <w:pStyle w:val="BodyText"/>
        <w:spacing w:before="1"/>
      </w:pPr>
    </w:p>
    <w:p>
      <w:pPr>
        <w:pStyle w:val="Heading3"/>
        <w:ind w:left="500" w:firstLine="0"/>
      </w:pPr>
      <w:r>
        <w:rPr/>
        <w:t>Suit 4 - OOS 4 of 1989 (Regular Suit no 12 of 1961)</w:t>
      </w:r>
    </w:p>
    <w:p>
      <w:pPr>
        <w:pStyle w:val="BodyText"/>
        <w:rPr>
          <w:b/>
          <w:sz w:val="28"/>
        </w:rPr>
      </w:pPr>
    </w:p>
    <w:p>
      <w:pPr>
        <w:pStyle w:val="BodyText"/>
        <w:rPr>
          <w:b/>
          <w:sz w:val="23"/>
        </w:rPr>
      </w:pPr>
    </w:p>
    <w:p>
      <w:pPr>
        <w:pStyle w:val="ListParagraph"/>
        <w:numPr>
          <w:ilvl w:val="0"/>
          <w:numId w:val="3"/>
        </w:numPr>
        <w:tabs>
          <w:tab w:pos="1221" w:val="left" w:leader="none"/>
        </w:tabs>
        <w:spacing w:line="480" w:lineRule="auto" w:before="0" w:after="0"/>
        <w:ind w:left="500" w:right="441" w:firstLine="0"/>
        <w:jc w:val="both"/>
        <w:rPr>
          <w:sz w:val="25"/>
        </w:rPr>
      </w:pPr>
      <w:r>
        <w:rPr>
          <w:sz w:val="25"/>
        </w:rPr>
        <w:t>Suit 4 was instituted on 18 December 1961 by the Sunni Central Waqf Board and nine Muslim residents of Ayodhya. It has been averred that the suit has</w:t>
      </w:r>
      <w:r>
        <w:rPr>
          <w:spacing w:val="36"/>
          <w:sz w:val="25"/>
        </w:rPr>
        <w:t> </w:t>
      </w:r>
      <w:r>
        <w:rPr>
          <w:sz w:val="25"/>
        </w:rPr>
        <w:t>been</w:t>
      </w:r>
      <w:r>
        <w:rPr>
          <w:spacing w:val="37"/>
          <w:sz w:val="25"/>
        </w:rPr>
        <w:t> </w:t>
      </w:r>
      <w:r>
        <w:rPr>
          <w:sz w:val="25"/>
        </w:rPr>
        <w:t>instituted</w:t>
      </w:r>
      <w:r>
        <w:rPr>
          <w:spacing w:val="35"/>
          <w:sz w:val="25"/>
        </w:rPr>
        <w:t> </w:t>
      </w:r>
      <w:r>
        <w:rPr>
          <w:sz w:val="25"/>
        </w:rPr>
        <w:t>on</w:t>
      </w:r>
      <w:r>
        <w:rPr>
          <w:spacing w:val="37"/>
          <w:sz w:val="25"/>
        </w:rPr>
        <w:t> </w:t>
      </w:r>
      <w:r>
        <w:rPr>
          <w:sz w:val="25"/>
        </w:rPr>
        <w:t>behalf</w:t>
      </w:r>
      <w:r>
        <w:rPr>
          <w:spacing w:val="36"/>
          <w:sz w:val="25"/>
        </w:rPr>
        <w:t> </w:t>
      </w:r>
      <w:r>
        <w:rPr>
          <w:sz w:val="25"/>
        </w:rPr>
        <w:t>of</w:t>
      </w:r>
      <w:r>
        <w:rPr>
          <w:spacing w:val="35"/>
          <w:sz w:val="25"/>
        </w:rPr>
        <w:t> </w:t>
      </w:r>
      <w:r>
        <w:rPr>
          <w:sz w:val="25"/>
        </w:rPr>
        <w:t>the</w:t>
      </w:r>
      <w:r>
        <w:rPr>
          <w:spacing w:val="37"/>
          <w:sz w:val="25"/>
        </w:rPr>
        <w:t> </w:t>
      </w:r>
      <w:r>
        <w:rPr>
          <w:sz w:val="25"/>
        </w:rPr>
        <w:t>entire</w:t>
      </w:r>
      <w:r>
        <w:rPr>
          <w:spacing w:val="34"/>
          <w:sz w:val="25"/>
        </w:rPr>
        <w:t> </w:t>
      </w:r>
      <w:r>
        <w:rPr>
          <w:sz w:val="25"/>
        </w:rPr>
        <w:t>Muslim</w:t>
      </w:r>
      <w:r>
        <w:rPr>
          <w:spacing w:val="37"/>
          <w:sz w:val="25"/>
        </w:rPr>
        <w:t> </w:t>
      </w:r>
      <w:r>
        <w:rPr>
          <w:sz w:val="25"/>
        </w:rPr>
        <w:t>community</w:t>
      </w:r>
      <w:r>
        <w:rPr>
          <w:spacing w:val="35"/>
          <w:sz w:val="25"/>
        </w:rPr>
        <w:t> </w:t>
      </w:r>
      <w:r>
        <w:rPr>
          <w:sz w:val="25"/>
        </w:rPr>
        <w:t>together</w:t>
      </w:r>
      <w:r>
        <w:rPr>
          <w:spacing w:val="37"/>
          <w:sz w:val="25"/>
        </w:rPr>
        <w:t> </w:t>
      </w:r>
      <w:r>
        <w:rPr>
          <w:sz w:val="25"/>
        </w:rPr>
        <w:t>with</w:t>
      </w:r>
      <w:r>
        <w:rPr>
          <w:spacing w:val="37"/>
          <w:sz w:val="25"/>
        </w:rPr>
        <w:t> </w:t>
      </w:r>
      <w:r>
        <w:rPr>
          <w:sz w:val="25"/>
        </w:rPr>
        <w:t>an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application under Order I Rule 8 of the CPC. As amended, the following reliefs have been sought in the plaint:</w:t>
      </w:r>
    </w:p>
    <w:p>
      <w:pPr>
        <w:spacing w:line="276" w:lineRule="auto" w:before="0"/>
        <w:ind w:left="1940" w:right="2260" w:firstLine="0"/>
        <w:jc w:val="both"/>
        <w:rPr>
          <w:sz w:val="21"/>
        </w:rPr>
      </w:pPr>
      <w:r>
        <w:rPr>
          <w:w w:val="33"/>
          <w:sz w:val="21"/>
        </w:rPr>
        <w:t>―</w:t>
      </w:r>
      <w:r>
        <w:rPr>
          <w:w w:val="100"/>
          <w:sz w:val="21"/>
        </w:rPr>
        <w:t>(a)</w:t>
      </w:r>
      <w:r>
        <w:rPr>
          <w:sz w:val="21"/>
        </w:rPr>
        <w:t>       </w:t>
      </w:r>
      <w:r>
        <w:rPr>
          <w:w w:val="100"/>
          <w:sz w:val="21"/>
        </w:rPr>
        <w:t>A</w:t>
      </w:r>
      <w:r>
        <w:rPr>
          <w:sz w:val="21"/>
        </w:rPr>
        <w:t> </w:t>
      </w:r>
      <w:r>
        <w:rPr>
          <w:w w:val="100"/>
          <w:sz w:val="21"/>
        </w:rPr>
        <w:t>dec</w:t>
      </w:r>
      <w:r>
        <w:rPr>
          <w:w w:val="100"/>
          <w:sz w:val="21"/>
        </w:rPr>
        <w:t>l</w:t>
      </w:r>
      <w:r>
        <w:rPr>
          <w:w w:val="100"/>
          <w:sz w:val="21"/>
        </w:rPr>
        <w:t>arat</w:t>
      </w:r>
      <w:r>
        <w:rPr>
          <w:w w:val="100"/>
          <w:sz w:val="21"/>
        </w:rPr>
        <w:t>i</w:t>
      </w:r>
      <w:r>
        <w:rPr>
          <w:w w:val="100"/>
          <w:sz w:val="21"/>
        </w:rPr>
        <w:t>on</w:t>
      </w:r>
      <w:r>
        <w:rPr>
          <w:sz w:val="21"/>
        </w:rPr>
        <w:t> </w:t>
      </w:r>
      <w:r>
        <w:rPr>
          <w:w w:val="100"/>
          <w:sz w:val="21"/>
        </w:rPr>
        <w:t>t</w:t>
      </w:r>
      <w:r>
        <w:rPr>
          <w:w w:val="100"/>
          <w:sz w:val="21"/>
        </w:rPr>
        <w:t>o</w:t>
      </w:r>
      <w:r>
        <w:rPr>
          <w:sz w:val="21"/>
        </w:rPr>
        <w:t> </w:t>
      </w:r>
      <w:r>
        <w:rPr>
          <w:w w:val="100"/>
          <w:sz w:val="21"/>
        </w:rPr>
        <w:t>t</w:t>
      </w:r>
      <w:r>
        <w:rPr>
          <w:w w:val="100"/>
          <w:sz w:val="21"/>
        </w:rPr>
        <w:t>he</w:t>
      </w:r>
      <w:r>
        <w:rPr>
          <w:sz w:val="21"/>
        </w:rPr>
        <w:t> </w:t>
      </w:r>
      <w:r>
        <w:rPr>
          <w:w w:val="100"/>
          <w:sz w:val="21"/>
        </w:rPr>
        <w:t>e</w:t>
      </w:r>
      <w:r>
        <w:rPr>
          <w:w w:val="100"/>
          <w:sz w:val="21"/>
        </w:rPr>
        <w:t>ff</w:t>
      </w:r>
      <w:r>
        <w:rPr>
          <w:w w:val="100"/>
          <w:sz w:val="21"/>
        </w:rPr>
        <w:t>ec</w:t>
      </w:r>
      <w:r>
        <w:rPr>
          <w:w w:val="100"/>
          <w:sz w:val="21"/>
        </w:rPr>
        <w:t>t</w:t>
      </w:r>
      <w:r>
        <w:rPr>
          <w:sz w:val="21"/>
        </w:rPr>
        <w:t> </w:t>
      </w:r>
      <w:r>
        <w:rPr>
          <w:w w:val="100"/>
          <w:sz w:val="21"/>
        </w:rPr>
        <w:t>t</w:t>
      </w:r>
      <w:r>
        <w:rPr>
          <w:w w:val="100"/>
          <w:sz w:val="21"/>
        </w:rPr>
        <w:t>hat</w:t>
      </w:r>
      <w:r>
        <w:rPr>
          <w:sz w:val="21"/>
        </w:rPr>
        <w:t> </w:t>
      </w:r>
      <w:r>
        <w:rPr>
          <w:w w:val="100"/>
          <w:sz w:val="21"/>
        </w:rPr>
        <w:t>t</w:t>
      </w:r>
      <w:r>
        <w:rPr>
          <w:w w:val="100"/>
          <w:sz w:val="21"/>
        </w:rPr>
        <w:t>he</w:t>
      </w:r>
      <w:r>
        <w:rPr>
          <w:sz w:val="21"/>
        </w:rPr>
        <w:t> </w:t>
      </w:r>
      <w:r>
        <w:rPr>
          <w:w w:val="100"/>
          <w:sz w:val="21"/>
        </w:rPr>
        <w:t>proper</w:t>
      </w:r>
      <w:r>
        <w:rPr>
          <w:w w:val="100"/>
          <w:sz w:val="21"/>
        </w:rPr>
        <w:t>t</w:t>
      </w:r>
      <w:r>
        <w:rPr>
          <w:w w:val="100"/>
          <w:sz w:val="21"/>
        </w:rPr>
        <w:t>y</w:t>
      </w:r>
      <w:r>
        <w:rPr>
          <w:sz w:val="21"/>
        </w:rPr>
        <w:t> </w:t>
      </w:r>
      <w:r>
        <w:rPr>
          <w:w w:val="100"/>
          <w:sz w:val="21"/>
        </w:rPr>
        <w:t>i</w:t>
      </w:r>
      <w:r>
        <w:rPr>
          <w:w w:val="100"/>
          <w:sz w:val="21"/>
        </w:rPr>
        <w:t>ndi</w:t>
      </w:r>
      <w:r>
        <w:rPr>
          <w:w w:val="100"/>
          <w:sz w:val="21"/>
        </w:rPr>
        <w:t>cat</w:t>
      </w:r>
      <w:r>
        <w:rPr>
          <w:w w:val="100"/>
          <w:sz w:val="21"/>
        </w:rPr>
        <w:t>ed </w:t>
      </w:r>
      <w:r>
        <w:rPr>
          <w:sz w:val="21"/>
        </w:rPr>
        <w:t>by letters A B C D in the sketch map attached to the plaint is </w:t>
      </w:r>
      <w:r>
        <w:rPr>
          <w:w w:val="100"/>
          <w:sz w:val="21"/>
        </w:rPr>
        <w:t>public</w:t>
      </w:r>
      <w:r>
        <w:rPr>
          <w:sz w:val="21"/>
        </w:rPr>
        <w:t> </w:t>
      </w:r>
      <w:r>
        <w:rPr>
          <w:w w:val="100"/>
          <w:sz w:val="21"/>
        </w:rPr>
        <w:t>mosque</w:t>
      </w:r>
      <w:r>
        <w:rPr>
          <w:sz w:val="21"/>
        </w:rPr>
        <w:t> </w:t>
      </w:r>
      <w:r>
        <w:rPr>
          <w:w w:val="100"/>
          <w:sz w:val="21"/>
        </w:rPr>
        <w:t>commonly</w:t>
      </w:r>
      <w:r>
        <w:rPr>
          <w:sz w:val="21"/>
        </w:rPr>
        <w:t> </w:t>
      </w:r>
      <w:r>
        <w:rPr>
          <w:w w:val="100"/>
          <w:sz w:val="21"/>
        </w:rPr>
        <w:t>known</w:t>
      </w:r>
      <w:r>
        <w:rPr>
          <w:sz w:val="21"/>
        </w:rPr>
        <w:t> </w:t>
      </w:r>
      <w:r>
        <w:rPr>
          <w:w w:val="100"/>
          <w:sz w:val="21"/>
        </w:rPr>
        <w:t>as</w:t>
      </w:r>
      <w:r>
        <w:rPr>
          <w:sz w:val="21"/>
        </w:rPr>
        <w:t> </w:t>
      </w:r>
      <w:r>
        <w:rPr>
          <w:w w:val="40"/>
          <w:sz w:val="21"/>
        </w:rPr>
        <w:t>‗</w:t>
      </w:r>
      <w:r>
        <w:rPr>
          <w:w w:val="100"/>
          <w:sz w:val="21"/>
        </w:rPr>
        <w:t>Babari</w:t>
      </w:r>
      <w:r>
        <w:rPr>
          <w:sz w:val="21"/>
        </w:rPr>
        <w:t> </w:t>
      </w:r>
      <w:r>
        <w:rPr>
          <w:w w:val="100"/>
          <w:sz w:val="21"/>
        </w:rPr>
        <w:t>Masjid‘</w:t>
      </w:r>
      <w:r>
        <w:rPr>
          <w:sz w:val="21"/>
        </w:rPr>
        <w:t> </w:t>
      </w:r>
      <w:r>
        <w:rPr>
          <w:w w:val="100"/>
          <w:sz w:val="21"/>
        </w:rPr>
        <w:t>and</w:t>
      </w:r>
      <w:r>
        <w:rPr>
          <w:sz w:val="21"/>
        </w:rPr>
        <w:t> </w:t>
      </w:r>
      <w:r>
        <w:rPr>
          <w:w w:val="100"/>
          <w:sz w:val="21"/>
        </w:rPr>
        <w:t>that </w:t>
      </w:r>
      <w:r>
        <w:rPr>
          <w:sz w:val="21"/>
        </w:rPr>
        <w:t>the land adjoining the mosque shown in the sketch map by letters E F G H is a public Muslim graveyard as specified in para 2 of the plaint may be decreed.</w:t>
      </w:r>
    </w:p>
    <w:p>
      <w:pPr>
        <w:spacing w:line="276" w:lineRule="auto" w:before="0"/>
        <w:ind w:left="1940" w:right="2261" w:firstLine="0"/>
        <w:jc w:val="both"/>
        <w:rPr>
          <w:sz w:val="21"/>
        </w:rPr>
      </w:pPr>
      <w:r>
        <w:rPr>
          <w:sz w:val="21"/>
        </w:rPr>
        <w:t>(b) That in case in the opinion of the Court delivery of possession is deemed to be the proper remedy, a decree for delivery of possession of the mosque and graveyard in suit by removal of the idols and other articles which the Hindus may have placed in the mosque as objects of their worship be passed in plaintiff‘s favour, against the defendants.</w:t>
      </w:r>
    </w:p>
    <w:p>
      <w:pPr>
        <w:spacing w:line="276" w:lineRule="auto" w:before="199"/>
        <w:ind w:left="1940" w:right="2265" w:firstLine="0"/>
        <w:jc w:val="both"/>
        <w:rPr>
          <w:sz w:val="21"/>
        </w:rPr>
      </w:pPr>
      <w:r>
        <w:rPr>
          <w:sz w:val="21"/>
        </w:rPr>
        <w:t>(bb) That the statutory Receiver be commanded to hand over </w:t>
      </w:r>
      <w:r>
        <w:rPr>
          <w:w w:val="100"/>
          <w:sz w:val="21"/>
        </w:rPr>
        <w:t>the</w:t>
      </w:r>
      <w:r>
        <w:rPr>
          <w:sz w:val="21"/>
        </w:rPr>
        <w:t> </w:t>
      </w:r>
      <w:r>
        <w:rPr>
          <w:w w:val="100"/>
          <w:sz w:val="21"/>
        </w:rPr>
        <w:t>property</w:t>
      </w:r>
      <w:r>
        <w:rPr>
          <w:sz w:val="21"/>
        </w:rPr>
        <w:t> </w:t>
      </w:r>
      <w:r>
        <w:rPr>
          <w:w w:val="100"/>
          <w:sz w:val="21"/>
        </w:rPr>
        <w:t>in</w:t>
      </w:r>
      <w:r>
        <w:rPr>
          <w:sz w:val="21"/>
        </w:rPr>
        <w:t> </w:t>
      </w:r>
      <w:r>
        <w:rPr>
          <w:w w:val="100"/>
          <w:sz w:val="21"/>
        </w:rPr>
        <w:t>dispute</w:t>
      </w:r>
      <w:r>
        <w:rPr>
          <w:sz w:val="21"/>
        </w:rPr>
        <w:t> </w:t>
      </w:r>
      <w:r>
        <w:rPr>
          <w:w w:val="100"/>
          <w:sz w:val="21"/>
        </w:rPr>
        <w:t>described</w:t>
      </w:r>
      <w:r>
        <w:rPr>
          <w:sz w:val="21"/>
        </w:rPr>
        <w:t> </w:t>
      </w:r>
      <w:r>
        <w:rPr>
          <w:w w:val="100"/>
          <w:sz w:val="21"/>
        </w:rPr>
        <w:t>in</w:t>
      </w:r>
      <w:r>
        <w:rPr>
          <w:sz w:val="21"/>
        </w:rPr>
        <w:t> </w:t>
      </w:r>
      <w:r>
        <w:rPr>
          <w:w w:val="100"/>
          <w:sz w:val="21"/>
        </w:rPr>
        <w:t>Schedule</w:t>
      </w:r>
      <w:r>
        <w:rPr>
          <w:sz w:val="21"/>
        </w:rPr>
        <w:t> </w:t>
      </w:r>
      <w:r>
        <w:rPr>
          <w:w w:val="40"/>
          <w:sz w:val="21"/>
        </w:rPr>
        <w:t>‗</w:t>
      </w:r>
      <w:r>
        <w:rPr>
          <w:w w:val="100"/>
          <w:sz w:val="21"/>
        </w:rPr>
        <w:t>A‘</w:t>
      </w:r>
      <w:r>
        <w:rPr>
          <w:sz w:val="21"/>
        </w:rPr>
        <w:t> </w:t>
      </w:r>
      <w:r>
        <w:rPr>
          <w:w w:val="100"/>
          <w:sz w:val="21"/>
        </w:rPr>
        <w:t>of</w:t>
      </w:r>
      <w:r>
        <w:rPr>
          <w:sz w:val="21"/>
        </w:rPr>
        <w:t> </w:t>
      </w:r>
      <w:r>
        <w:rPr>
          <w:w w:val="100"/>
          <w:sz w:val="21"/>
        </w:rPr>
        <w:t>the</w:t>
      </w:r>
      <w:r>
        <w:rPr>
          <w:sz w:val="21"/>
        </w:rPr>
        <w:t> </w:t>
      </w:r>
      <w:r>
        <w:rPr>
          <w:w w:val="100"/>
          <w:sz w:val="21"/>
        </w:rPr>
        <w:t>Plaint </w:t>
      </w:r>
      <w:r>
        <w:rPr>
          <w:sz w:val="21"/>
        </w:rPr>
        <w:t>by removing the unauthorized structures erected thereon.‖</w:t>
      </w:r>
    </w:p>
    <w:p>
      <w:pPr>
        <w:pStyle w:val="BodyText"/>
        <w:rPr>
          <w:sz w:val="24"/>
        </w:rPr>
      </w:pPr>
    </w:p>
    <w:p>
      <w:pPr>
        <w:pStyle w:val="BodyText"/>
        <w:rPr>
          <w:sz w:val="24"/>
        </w:rPr>
      </w:pPr>
    </w:p>
    <w:p>
      <w:pPr>
        <w:pStyle w:val="BodyText"/>
        <w:rPr>
          <w:sz w:val="27"/>
        </w:rPr>
      </w:pPr>
    </w:p>
    <w:p>
      <w:pPr>
        <w:pStyle w:val="BodyText"/>
        <w:spacing w:line="482" w:lineRule="auto"/>
        <w:ind w:left="500" w:right="436"/>
        <w:jc w:val="both"/>
      </w:pPr>
      <w:r>
        <w:rPr/>
        <w:t>[Note : Prayer (bb) was inserted by an amendment to the plaint pursuant to the order of the High Court dated 25 May 1995].</w:t>
      </w:r>
    </w:p>
    <w:p>
      <w:pPr>
        <w:pStyle w:val="BodyText"/>
        <w:spacing w:before="6"/>
        <w:rPr>
          <w:sz w:val="24"/>
        </w:rPr>
      </w:pPr>
    </w:p>
    <w:p>
      <w:pPr>
        <w:pStyle w:val="BodyText"/>
        <w:spacing w:line="480" w:lineRule="auto"/>
        <w:ind w:left="500" w:right="436"/>
        <w:jc w:val="both"/>
      </w:pPr>
      <w:r>
        <w:rPr/>
        <w:t>Defendant no 1 in Suit 4 is Gopal Singh Visharad; defendant no 2 is Ram Chander Dass Param Hans; defendant no 3 is Nirmohi Akhara; defendant no 4 is Mahant Raghunath Das; defendant no 5 is the State of U.P.; defendant no 6 is the Collector, Faizabad; defendant no 7 is the City Magistrate, Faizabad; defendant no 8 is the Superintendent of Police of Faizabad; defendant no 9 is Priyadutt Ram; defendant no 10 is the President, Akhil Bharat Hindu Mahasabha; defendant no 13 is Dharam Das; defendant no 17 is Ramesh Chandra Tripathi; and defendant no 20 is Madan Mohan</w:t>
      </w:r>
      <w:r>
        <w:rPr>
          <w:spacing w:val="-2"/>
        </w:rPr>
        <w:t> </w:t>
      </w:r>
      <w:r>
        <w:rPr/>
        <w:t>Gupta.</w:t>
      </w:r>
    </w:p>
    <w:p>
      <w:pPr>
        <w:pStyle w:val="BodyText"/>
        <w:spacing w:before="3"/>
      </w:pPr>
    </w:p>
    <w:p>
      <w:pPr>
        <w:pStyle w:val="BodyText"/>
        <w:spacing w:line="480" w:lineRule="auto"/>
        <w:ind w:left="500" w:right="436"/>
        <w:jc w:val="both"/>
      </w:pPr>
      <w:r>
        <w:rPr/>
        <w:t>The suit is based on the averment that in Ayodhya, there is an ancient historic mosque known commonly as Babri Masjid which was constructed by Babur more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4"/>
        <w:jc w:val="both"/>
      </w:pPr>
      <w:r>
        <w:rPr/>
        <w:t>than 433 years ago following his conquest of India and the occupation of its territories. It has been averred that the mosque was built for the use of the Muslims in general as a place of worship and for the performance of religious ceremonies. The main construction of the mosque is depicted by the letters A B  C D on the plan annexed to the plaint. Adjoining the land is a graveyard. According to the plaintiffs, both the mosque and the graveyard vest in the Almighty and since the construction of the mosque, it has been used by the Muslims for offering prayers while the graveyard has been used for burial. The plaint alleged that outside the main building of the mosque, Hindu worship was being conducted at a Chabutra admeasuring 17x21 feet on which there was a small wooden structure in the form of a</w:t>
      </w:r>
      <w:r>
        <w:rPr>
          <w:spacing w:val="-6"/>
        </w:rPr>
        <w:t> </w:t>
      </w:r>
      <w:r>
        <w:rPr/>
        <w:t>tent.</w:t>
      </w:r>
    </w:p>
    <w:p>
      <w:pPr>
        <w:pStyle w:val="BodyText"/>
      </w:pPr>
    </w:p>
    <w:p>
      <w:pPr>
        <w:pStyle w:val="BodyText"/>
        <w:spacing w:line="480" w:lineRule="auto" w:before="1"/>
        <w:ind w:left="500" w:right="434"/>
        <w:jc w:val="both"/>
      </w:pPr>
      <w:r>
        <w:rPr/>
        <w:t>The plaint contains a recital of the Suit of 1885 by Mahant Raghubhar Das for permission to construct a temple on the Chabutra which was dismissed. The plaintiffs in Suit 4 contend that the Mahant sued on behalf of himself, the Janmasthan and all persons interested in it, and the decision operates as </w:t>
      </w:r>
      <w:r>
        <w:rPr>
          <w:i/>
        </w:rPr>
        <w:t>res </w:t>
      </w:r>
      <w:r>
        <w:rPr>
          <w:i/>
        </w:rPr>
        <w:t>judicata </w:t>
      </w:r>
      <w:r>
        <w:rPr/>
        <w:t>as the matter directly and substantially in issue was the existence of the Babri Masjid, and the rights of the Hindus to construct a temple on the land adjoining the mosque.</w:t>
      </w:r>
    </w:p>
    <w:p>
      <w:pPr>
        <w:pStyle w:val="BodyText"/>
        <w:spacing w:before="1"/>
      </w:pPr>
    </w:p>
    <w:p>
      <w:pPr>
        <w:pStyle w:val="BodyText"/>
        <w:spacing w:line="480" w:lineRule="auto"/>
        <w:ind w:left="500" w:right="438"/>
        <w:jc w:val="both"/>
      </w:pPr>
      <w:r>
        <w:rPr/>
        <w:t>According to the plaintiffs, assuming without admitting that there existed a Hindu temple as alleged by the defendants on the site of which the mosque was built 433 years ago by Emperor Babur, the Muslims by virtue of their long exclusive and continuous possession commencing from the construction of the mosque and</w:t>
      </w:r>
      <w:r>
        <w:rPr>
          <w:spacing w:val="11"/>
        </w:rPr>
        <w:t> </w:t>
      </w:r>
      <w:r>
        <w:rPr/>
        <w:t>ensuing</w:t>
      </w:r>
      <w:r>
        <w:rPr>
          <w:spacing w:val="11"/>
        </w:rPr>
        <w:t> </w:t>
      </w:r>
      <w:r>
        <w:rPr/>
        <w:t>until</w:t>
      </w:r>
      <w:r>
        <w:rPr>
          <w:spacing w:val="10"/>
        </w:rPr>
        <w:t> </w:t>
      </w:r>
      <w:r>
        <w:rPr/>
        <w:t>its</w:t>
      </w:r>
      <w:r>
        <w:rPr>
          <w:spacing w:val="15"/>
        </w:rPr>
        <w:t> </w:t>
      </w:r>
      <w:r>
        <w:rPr/>
        <w:t>desecration</w:t>
      </w:r>
      <w:r>
        <w:rPr>
          <w:spacing w:val="11"/>
        </w:rPr>
        <w:t> </w:t>
      </w:r>
      <w:r>
        <w:rPr/>
        <w:t>perfected</w:t>
      </w:r>
      <w:r>
        <w:rPr>
          <w:spacing w:val="9"/>
        </w:rPr>
        <w:t> </w:t>
      </w:r>
      <w:r>
        <w:rPr/>
        <w:t>their</w:t>
      </w:r>
      <w:r>
        <w:rPr>
          <w:spacing w:val="11"/>
        </w:rPr>
        <w:t> </w:t>
      </w:r>
      <w:r>
        <w:rPr/>
        <w:t>title</w:t>
      </w:r>
      <w:r>
        <w:rPr>
          <w:spacing w:val="11"/>
        </w:rPr>
        <w:t> </w:t>
      </w:r>
      <w:r>
        <w:rPr/>
        <w:t>by</w:t>
      </w:r>
      <w:r>
        <w:rPr>
          <w:spacing w:val="10"/>
        </w:rPr>
        <w:t> </w:t>
      </w:r>
      <w:r>
        <w:rPr/>
        <w:t>adverse</w:t>
      </w:r>
      <w:r>
        <w:rPr>
          <w:spacing w:val="21"/>
        </w:rPr>
        <w:t> </w:t>
      </w:r>
      <w:r>
        <w:rPr/>
        <w:t>possession.</w:t>
      </w:r>
      <w:r>
        <w:rPr>
          <w:spacing w:val="11"/>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plaint then proceeds to make a reference to the proceedings under Section 145 of CrPC 1898. As a result of the order of injunction in Suit 2 of 1950, Hindus have been permitted to perform puja of the idols placed within the mosque but Muslims have been prevented from</w:t>
      </w:r>
      <w:r>
        <w:rPr>
          <w:spacing w:val="-1"/>
        </w:rPr>
        <w:t> </w:t>
      </w:r>
      <w:r>
        <w:rPr/>
        <w:t>entering.</w:t>
      </w:r>
    </w:p>
    <w:p>
      <w:pPr>
        <w:pStyle w:val="BodyText"/>
        <w:rPr>
          <w:sz w:val="28"/>
        </w:rPr>
      </w:pPr>
    </w:p>
    <w:p>
      <w:pPr>
        <w:pStyle w:val="BodyText"/>
        <w:rPr>
          <w:sz w:val="22"/>
        </w:rPr>
      </w:pPr>
    </w:p>
    <w:p>
      <w:pPr>
        <w:pStyle w:val="BodyText"/>
        <w:spacing w:line="480" w:lineRule="auto"/>
        <w:ind w:left="500" w:right="436"/>
        <w:jc w:val="both"/>
      </w:pPr>
      <w:r>
        <w:rPr/>
        <w:t>According to the plaintiffs, the cause of action for the suit arose on 23 December 1949 when the Hindus are alleged to have wrongfully entered the mosque and desecrated it by placing idols inside the mosque. The injuries are claimed to be continuing in nature. As against the state, the cause of action is alleged to have arisen on 29 December 1949 when the property was attached by the City Magistrate who handed over possession to the receiver. The receiver assumed charge on 5 January 1950.</w:t>
      </w:r>
    </w:p>
    <w:p>
      <w:pPr>
        <w:pStyle w:val="BodyText"/>
        <w:spacing w:before="1"/>
      </w:pPr>
    </w:p>
    <w:p>
      <w:pPr>
        <w:pStyle w:val="BodyText"/>
        <w:spacing w:line="480" w:lineRule="auto" w:before="1"/>
        <w:ind w:left="500" w:right="444"/>
        <w:jc w:val="both"/>
      </w:pPr>
      <w:r>
        <w:rPr/>
        <w:t>The reliefs which have been claimed in the suit are based on the above averments. Essentially, the case of the plaintiffs proceeds on the plea that</w:t>
      </w:r>
    </w:p>
    <w:p>
      <w:pPr>
        <w:pStyle w:val="ListParagraph"/>
        <w:numPr>
          <w:ilvl w:val="0"/>
          <w:numId w:val="12"/>
        </w:numPr>
        <w:tabs>
          <w:tab w:pos="1221" w:val="left" w:leader="none"/>
        </w:tabs>
        <w:spacing w:line="480" w:lineRule="auto" w:before="0" w:after="0"/>
        <w:ind w:left="1220" w:right="441" w:hanging="720"/>
        <w:jc w:val="both"/>
        <w:rPr>
          <w:sz w:val="25"/>
        </w:rPr>
      </w:pPr>
      <w:r>
        <w:rPr>
          <w:sz w:val="25"/>
        </w:rPr>
        <w:t>The mosque was constructed by Babur 433 years prior to the suit as a place of public worship and has been continuously used by Muslims for offering prayers;</w:t>
      </w:r>
      <w:r>
        <w:rPr>
          <w:spacing w:val="-2"/>
          <w:sz w:val="25"/>
        </w:rPr>
        <w:t> </w:t>
      </w:r>
      <w:r>
        <w:rPr>
          <w:sz w:val="25"/>
        </w:rPr>
        <w:t>and</w:t>
      </w:r>
    </w:p>
    <w:p>
      <w:pPr>
        <w:pStyle w:val="ListParagraph"/>
        <w:numPr>
          <w:ilvl w:val="0"/>
          <w:numId w:val="12"/>
        </w:numPr>
        <w:tabs>
          <w:tab w:pos="1221" w:val="left" w:leader="none"/>
        </w:tabs>
        <w:spacing w:line="480" w:lineRule="auto" w:before="0" w:after="0"/>
        <w:ind w:left="1220" w:right="440" w:hanging="720"/>
        <w:jc w:val="both"/>
        <w:rPr>
          <w:sz w:val="25"/>
        </w:rPr>
      </w:pPr>
      <w:r>
        <w:rPr>
          <w:sz w:val="25"/>
        </w:rPr>
        <w:t>Even assuming that there was an underlying temple which was  demolished to give way for the construction of the mosque, the Muslims have perfected their title by adverse possession. On this foundation, the plaintiffs claim a declaration of title and, in the event that such a prayer is required, a decree for</w:t>
      </w:r>
      <w:r>
        <w:rPr>
          <w:spacing w:val="-6"/>
          <w:sz w:val="25"/>
        </w:rPr>
        <w:t> </w:t>
      </w:r>
      <w:r>
        <w:rPr>
          <w:sz w:val="25"/>
        </w:rPr>
        <w:t>possession.</w:t>
      </w:r>
    </w:p>
    <w:p>
      <w:pPr>
        <w:spacing w:after="0" w:line="480" w:lineRule="auto"/>
        <w:jc w:val="both"/>
        <w:rPr>
          <w:sz w:val="25"/>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4" w:firstLine="0"/>
        <w:jc w:val="both"/>
        <w:rPr>
          <w:sz w:val="25"/>
        </w:rPr>
      </w:pPr>
      <w:r>
        <w:rPr>
          <w:sz w:val="25"/>
        </w:rPr>
        <w:t>In the written statement filed by Gopal Singh Visharad, the first defendant (who is also the plaintiff in Suit 1), it has been stated that if the Muslims were in possession of the mosque, it ceased in 1934. The Hindus claim to be in possession after 1934 and their possession is stated to have ripened into  adverse possession. According to the written statement, no prayers were offered in the mosque since 1934. Moreover, no individual Hindu or Mahant can be said to represent the entire Hindu community. Hindu puja is stated to be continuing inside the structure, which is described as a temple since 1934 and admittedly since January 1950, following the order of the City Magistrate. In an additional written statement, a plea has been taken that the UP Muslim Waqf Act 1936 is </w:t>
      </w:r>
      <w:r>
        <w:rPr>
          <w:i/>
          <w:sz w:val="25"/>
        </w:rPr>
        <w:t>ultra vires</w:t>
      </w:r>
      <w:r>
        <w:rPr>
          <w:sz w:val="25"/>
        </w:rPr>
        <w:t>. It has been averred that any determination under the Act cannot operate to decide a question of title against non-Muslims. In a subsequent written statement, it has been stated that Hindus have worshipped the site of the Janmabhumi since time immemorial; the Muslims were never in possession of the Janmabhumi temple and, if they were in possession, it ceased in 1934. The suit is alleged to be barred by</w:t>
      </w:r>
      <w:r>
        <w:rPr>
          <w:spacing w:val="-8"/>
          <w:sz w:val="25"/>
        </w:rPr>
        <w:t> </w:t>
      </w:r>
      <w:r>
        <w:rPr>
          <w:sz w:val="25"/>
        </w:rPr>
        <w:t>limitation.</w:t>
      </w:r>
    </w:p>
    <w:p>
      <w:pPr>
        <w:pStyle w:val="BodyText"/>
        <w:spacing w:before="1"/>
      </w:pPr>
    </w:p>
    <w:p>
      <w:pPr>
        <w:pStyle w:val="BodyText"/>
        <w:spacing w:line="480" w:lineRule="auto"/>
        <w:ind w:left="500" w:right="447"/>
        <w:jc w:val="both"/>
      </w:pPr>
      <w:r>
        <w:rPr/>
        <w:t>As regards the Suit of 1885, it has been submitted that the plaintiff was not suing in a representative capacity and was only pursuing his personal interest.</w:t>
      </w:r>
    </w:p>
    <w:p>
      <w:pPr>
        <w:pStyle w:val="BodyText"/>
        <w:rPr>
          <w:sz w:val="28"/>
        </w:rPr>
      </w:pPr>
    </w:p>
    <w:p>
      <w:pPr>
        <w:pStyle w:val="BodyText"/>
        <w:spacing w:line="480" w:lineRule="auto" w:before="242"/>
        <w:ind w:left="500" w:right="435"/>
        <w:jc w:val="both"/>
      </w:pPr>
      <w:r>
        <w:rPr/>
        <w:t>The written statement of Nirmohi Akhara denies the existence of a mosque. Nirmohi Akhara states that it was unaware of any suit filed by Mahant Raghubar Das. According to it, a mosque never existed at the site and hence there was no occasion for the Muslim community to offer prayers till 23 December 1949. It is urged that what the property described as Babri mosque is and has always been</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9"/>
        <w:jc w:val="both"/>
      </w:pPr>
      <w:r>
        <w:rPr/>
        <w:t>a temple of Janmabhumi with idols of Hindu Gods installed within. According to the written statement, the temple on Ramchabutra had been judicially recognised in the Suit of 1885. It was urged that the Janmabhumi temple was always in the possession of Nirmohi Akhara and none else but the Hindus were allowed to enter and offer worship. The offerings are stated to have been received by the representative of Nirmohi Akhara. After the attachment, only the pujaris of Nirmohi Akhara are claimed to have been offering puja to the idols in the temple. The written statement contains a denial of Muslim worship in the structure at least since 1934 and it is urged that Suit 4 is barred by limitation. In the additional written statement, Nirmohi Akhara has denied that the findings in the Suit of 1885 operate as </w:t>
      </w:r>
      <w:r>
        <w:rPr>
          <w:i/>
        </w:rPr>
        <w:t>res judicata. </w:t>
      </w:r>
      <w:r>
        <w:rPr/>
        <w:t>There is a denial of the allegation that the Muslims have perfected their title by adverse</w:t>
      </w:r>
      <w:r>
        <w:rPr>
          <w:spacing w:val="-5"/>
        </w:rPr>
        <w:t> </w:t>
      </w:r>
      <w:r>
        <w:rPr/>
        <w:t>possession.</w:t>
      </w:r>
    </w:p>
    <w:p>
      <w:pPr>
        <w:pStyle w:val="BodyText"/>
        <w:spacing w:before="1"/>
      </w:pPr>
    </w:p>
    <w:p>
      <w:pPr>
        <w:pStyle w:val="BodyText"/>
        <w:spacing w:line="480" w:lineRule="auto" w:before="1"/>
        <w:ind w:left="500" w:right="444"/>
        <w:jc w:val="both"/>
      </w:pPr>
      <w:r>
        <w:rPr/>
        <w:t>The State of Uttar Pradesh filed its written statement to the effect that the government is not interested in the property in dispute and does not propose to contest the suit.</w:t>
      </w:r>
    </w:p>
    <w:p>
      <w:pPr>
        <w:pStyle w:val="BodyText"/>
        <w:spacing w:before="10"/>
        <w:rPr>
          <w:sz w:val="24"/>
        </w:rPr>
      </w:pPr>
    </w:p>
    <w:p>
      <w:pPr>
        <w:pStyle w:val="BodyText"/>
        <w:spacing w:line="480" w:lineRule="auto"/>
        <w:ind w:left="500" w:right="438"/>
        <w:jc w:val="both"/>
      </w:pPr>
      <w:r>
        <w:rPr/>
        <w:t>In the written statement filed on behalf of the tenth defendant, Akhil Bhartiya Hindu Mahasabha, it has been averred that upon India regaining independence, there is a revival of the original Hindu law as a result of which the plaintiffs cannot claim any legal or constitutional right. In an additional written statement, the tenth defendant denies the incident of 22 December 1949 and claims that the idols were in existence at the place in question from time immemorial. According to the written statement, the site is the birth-place of Lord Ram and no mosque could have been constructed at the birth-place.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0"/>
        <w:jc w:val="both"/>
      </w:pPr>
      <w:r>
        <w:rPr/>
        <w:t>The written statement by Abhiram Das and by Dharam Das, who claims to be his chela, questions the validity of the construction of a mosque at the site of Ram Janmabhumi. According to the written statement, the site is landlocked and surrounded by places of Hindu worship and hence such a building cannot be a valid mosque in Muslim law. The written statement contains a denial of a valid waqf on the ground that a waqf cannot be based on adverse possession. According to the written statement, at Ram Janmabhumi there was an ancient temple tracing back to the rule of Vikramaditya which was demolished by Mir Baqi. It has been averred that Ram Janmabhumi is indestructible as the deity is divine and immortal. In spite of the construction of the mosque, it has been submitted, the area has continued to be in the possession of the deities and no one could enter the three domed structure except after passing through Hindu places of worship. The written statements filed by the other Hindu defendants broadly follow similar lines. Replications were filed to the written statements of the Hindu</w:t>
      </w:r>
      <w:r>
        <w:rPr>
          <w:spacing w:val="-1"/>
        </w:rPr>
        <w:t> </w:t>
      </w:r>
      <w:r>
        <w:rPr/>
        <w:t>parties.</w:t>
      </w:r>
    </w:p>
    <w:p>
      <w:pPr>
        <w:pStyle w:val="BodyText"/>
        <w:rPr>
          <w:sz w:val="28"/>
        </w:rPr>
      </w:pPr>
    </w:p>
    <w:p>
      <w:pPr>
        <w:pStyle w:val="BodyText"/>
        <w:spacing w:before="1"/>
        <w:rPr>
          <w:sz w:val="22"/>
        </w:rPr>
      </w:pPr>
    </w:p>
    <w:p>
      <w:pPr>
        <w:pStyle w:val="Heading3"/>
        <w:ind w:left="500" w:firstLine="0"/>
      </w:pPr>
      <w:r>
        <w:rPr/>
        <w:t>Suit 5 – OOS no 5 of 1989 (Regular Suit no 236 of 1989)</w:t>
      </w:r>
    </w:p>
    <w:p>
      <w:pPr>
        <w:pStyle w:val="BodyText"/>
        <w:rPr>
          <w:b/>
          <w:sz w:val="28"/>
        </w:rPr>
      </w:pPr>
    </w:p>
    <w:p>
      <w:pPr>
        <w:pStyle w:val="BodyText"/>
        <w:rPr>
          <w:b/>
          <w:sz w:val="23"/>
        </w:rPr>
      </w:pPr>
    </w:p>
    <w:p>
      <w:pPr>
        <w:pStyle w:val="ListParagraph"/>
        <w:numPr>
          <w:ilvl w:val="0"/>
          <w:numId w:val="3"/>
        </w:numPr>
        <w:tabs>
          <w:tab w:pos="1220" w:val="left" w:leader="none"/>
          <w:tab w:pos="1221" w:val="left" w:leader="none"/>
        </w:tabs>
        <w:spacing w:line="240" w:lineRule="auto" w:before="0" w:after="0"/>
        <w:ind w:left="1220" w:right="0" w:hanging="721"/>
        <w:jc w:val="left"/>
        <w:rPr>
          <w:sz w:val="25"/>
        </w:rPr>
      </w:pPr>
      <w:r>
        <w:rPr>
          <w:sz w:val="25"/>
        </w:rPr>
        <w:t>The suit was instituted on 1 July 1989 claiming the following</w:t>
      </w:r>
      <w:r>
        <w:rPr>
          <w:spacing w:val="-9"/>
          <w:sz w:val="25"/>
        </w:rPr>
        <w:t> </w:t>
      </w:r>
      <w:r>
        <w:rPr>
          <w:sz w:val="25"/>
        </w:rPr>
        <w:t>reliefs:</w:t>
      </w:r>
    </w:p>
    <w:p>
      <w:pPr>
        <w:pStyle w:val="BodyText"/>
        <w:spacing w:before="9"/>
        <w:rPr>
          <w:sz w:val="24"/>
        </w:rPr>
      </w:pPr>
    </w:p>
    <w:p>
      <w:pPr>
        <w:spacing w:line="276" w:lineRule="auto" w:before="1"/>
        <w:ind w:left="1940" w:right="2265" w:firstLine="0"/>
        <w:jc w:val="both"/>
        <w:rPr>
          <w:sz w:val="21"/>
        </w:rPr>
      </w:pPr>
      <w:r>
        <w:rPr>
          <w:spacing w:val="-1"/>
          <w:w w:val="33"/>
          <w:sz w:val="21"/>
        </w:rPr>
        <w:t>―</w:t>
      </w:r>
      <w:r>
        <w:rPr>
          <w:spacing w:val="-1"/>
          <w:w w:val="100"/>
          <w:sz w:val="21"/>
        </w:rPr>
        <w:t>(</w:t>
      </w:r>
      <w:r>
        <w:rPr>
          <w:w w:val="100"/>
          <w:sz w:val="21"/>
        </w:rPr>
        <w:t>A)</w:t>
      </w:r>
      <w:r>
        <w:rPr>
          <w:sz w:val="21"/>
        </w:rPr>
        <w:t> </w:t>
      </w:r>
      <w:r>
        <w:rPr>
          <w:w w:val="100"/>
          <w:sz w:val="21"/>
        </w:rPr>
        <w:t>A</w:t>
      </w:r>
      <w:r>
        <w:rPr>
          <w:spacing w:val="1"/>
          <w:sz w:val="21"/>
        </w:rPr>
        <w:t> </w:t>
      </w:r>
      <w:r>
        <w:rPr>
          <w:spacing w:val="-1"/>
          <w:w w:val="100"/>
          <w:sz w:val="21"/>
        </w:rPr>
        <w:t>d</w:t>
      </w:r>
      <w:r>
        <w:rPr>
          <w:spacing w:val="-3"/>
          <w:w w:val="100"/>
          <w:sz w:val="21"/>
        </w:rPr>
        <w:t>e</w:t>
      </w:r>
      <w:r>
        <w:rPr>
          <w:w w:val="100"/>
          <w:sz w:val="21"/>
        </w:rPr>
        <w:t>c</w:t>
      </w:r>
      <w:r>
        <w:rPr>
          <w:spacing w:val="-2"/>
          <w:w w:val="100"/>
          <w:sz w:val="21"/>
        </w:rPr>
        <w:t>l</w:t>
      </w:r>
      <w:r>
        <w:rPr>
          <w:spacing w:val="-1"/>
          <w:w w:val="100"/>
          <w:sz w:val="21"/>
        </w:rPr>
        <w:t>ara</w:t>
      </w:r>
      <w:r>
        <w:rPr>
          <w:spacing w:val="-2"/>
          <w:w w:val="100"/>
          <w:sz w:val="21"/>
        </w:rPr>
        <w:t>t</w:t>
      </w:r>
      <w:r>
        <w:rPr>
          <w:w w:val="100"/>
          <w:sz w:val="21"/>
        </w:rPr>
        <w:t>i</w:t>
      </w:r>
      <w:r>
        <w:rPr>
          <w:spacing w:val="-3"/>
          <w:w w:val="100"/>
          <w:sz w:val="21"/>
        </w:rPr>
        <w:t>o</w:t>
      </w:r>
      <w:r>
        <w:rPr>
          <w:w w:val="100"/>
          <w:sz w:val="21"/>
        </w:rPr>
        <w:t>n</w:t>
      </w:r>
      <w:r>
        <w:rPr>
          <w:spacing w:val="1"/>
          <w:sz w:val="21"/>
        </w:rPr>
        <w:t> </w:t>
      </w:r>
      <w:r>
        <w:rPr>
          <w:spacing w:val="-2"/>
          <w:w w:val="100"/>
          <w:sz w:val="21"/>
        </w:rPr>
        <w:t>t</w:t>
      </w:r>
      <w:r>
        <w:rPr>
          <w:spacing w:val="-1"/>
          <w:w w:val="100"/>
          <w:sz w:val="21"/>
        </w:rPr>
        <w:t>ha</w:t>
      </w:r>
      <w:r>
        <w:rPr>
          <w:w w:val="100"/>
          <w:sz w:val="21"/>
        </w:rPr>
        <w:t>t</w:t>
      </w:r>
      <w:r>
        <w:rPr>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ent</w:t>
      </w:r>
      <w:r>
        <w:rPr>
          <w:w w:val="100"/>
          <w:sz w:val="21"/>
        </w:rPr>
        <w:t>i</w:t>
      </w:r>
      <w:r>
        <w:rPr>
          <w:spacing w:val="-1"/>
          <w:w w:val="100"/>
          <w:sz w:val="21"/>
        </w:rPr>
        <w:t>r</w:t>
      </w:r>
      <w:r>
        <w:rPr>
          <w:w w:val="100"/>
          <w:sz w:val="21"/>
        </w:rPr>
        <w:t>e</w:t>
      </w:r>
      <w:r>
        <w:rPr>
          <w:spacing w:val="1"/>
          <w:sz w:val="21"/>
        </w:rPr>
        <w:t> </w:t>
      </w:r>
      <w:r>
        <w:rPr>
          <w:spacing w:val="-1"/>
          <w:w w:val="100"/>
          <w:sz w:val="21"/>
        </w:rPr>
        <w:t>p</w:t>
      </w:r>
      <w:r>
        <w:rPr>
          <w:spacing w:val="-3"/>
          <w:w w:val="100"/>
          <w:sz w:val="21"/>
        </w:rPr>
        <w:t>re</w:t>
      </w:r>
      <w:r>
        <w:rPr>
          <w:spacing w:val="1"/>
          <w:w w:val="100"/>
          <w:sz w:val="21"/>
        </w:rPr>
        <w:t>m</w:t>
      </w:r>
      <w:r>
        <w:rPr>
          <w:w w:val="100"/>
          <w:sz w:val="21"/>
        </w:rPr>
        <w:t>i</w:t>
      </w:r>
      <w:r>
        <w:rPr>
          <w:spacing w:val="-3"/>
          <w:w w:val="100"/>
          <w:sz w:val="21"/>
        </w:rPr>
        <w:t>s</w:t>
      </w:r>
      <w:r>
        <w:rPr>
          <w:spacing w:val="-1"/>
          <w:w w:val="100"/>
          <w:sz w:val="21"/>
        </w:rPr>
        <w:t>e</w:t>
      </w:r>
      <w:r>
        <w:rPr>
          <w:w w:val="100"/>
          <w:sz w:val="21"/>
        </w:rPr>
        <w:t>s</w:t>
      </w:r>
      <w:r>
        <w:rPr>
          <w:spacing w:val="1"/>
          <w:sz w:val="21"/>
        </w:rPr>
        <w:t> </w:t>
      </w:r>
      <w:r>
        <w:rPr>
          <w:spacing w:val="-3"/>
          <w:w w:val="100"/>
          <w:sz w:val="21"/>
        </w:rPr>
        <w:t>o</w:t>
      </w:r>
      <w:r>
        <w:rPr>
          <w:w w:val="100"/>
          <w:sz w:val="21"/>
        </w:rPr>
        <w:t>f</w:t>
      </w:r>
      <w:r>
        <w:rPr>
          <w:sz w:val="21"/>
        </w:rPr>
        <w:t> </w:t>
      </w:r>
      <w:r>
        <w:rPr>
          <w:w w:val="100"/>
          <w:sz w:val="21"/>
        </w:rPr>
        <w:t>S</w:t>
      </w:r>
      <w:r>
        <w:rPr>
          <w:spacing w:val="-1"/>
          <w:w w:val="100"/>
          <w:sz w:val="21"/>
        </w:rPr>
        <w:t>r</w:t>
      </w:r>
      <w:r>
        <w:rPr>
          <w:w w:val="100"/>
          <w:sz w:val="21"/>
        </w:rPr>
        <w:t>i</w:t>
      </w:r>
      <w:r>
        <w:rPr>
          <w:sz w:val="21"/>
        </w:rPr>
        <w:t> </w:t>
      </w:r>
      <w:r>
        <w:rPr>
          <w:w w:val="100"/>
          <w:sz w:val="21"/>
        </w:rPr>
        <w:t>R</w:t>
      </w:r>
      <w:r>
        <w:rPr>
          <w:spacing w:val="-3"/>
          <w:w w:val="100"/>
          <w:sz w:val="21"/>
        </w:rPr>
        <w:t>a</w:t>
      </w:r>
      <w:r>
        <w:rPr>
          <w:spacing w:val="1"/>
          <w:w w:val="100"/>
          <w:sz w:val="21"/>
        </w:rPr>
        <w:t>m</w:t>
      </w:r>
      <w:r>
        <w:rPr>
          <w:w w:val="100"/>
          <w:sz w:val="21"/>
        </w:rPr>
        <w:t>a</w:t>
      </w:r>
      <w:r>
        <w:rPr>
          <w:spacing w:val="-1"/>
          <w:sz w:val="21"/>
        </w:rPr>
        <w:t> </w:t>
      </w:r>
      <w:r>
        <w:rPr>
          <w:w w:val="100"/>
          <w:sz w:val="21"/>
        </w:rPr>
        <w:t>Ja</w:t>
      </w:r>
      <w:r>
        <w:rPr>
          <w:spacing w:val="-3"/>
          <w:w w:val="100"/>
          <w:sz w:val="21"/>
        </w:rPr>
        <w:t>n</w:t>
      </w:r>
      <w:r>
        <w:rPr>
          <w:spacing w:val="-1"/>
          <w:w w:val="100"/>
          <w:sz w:val="21"/>
        </w:rPr>
        <w:t>m</w:t>
      </w:r>
      <w:r>
        <w:rPr>
          <w:w w:val="100"/>
          <w:sz w:val="21"/>
        </w:rPr>
        <w:t>a </w:t>
      </w:r>
      <w:r>
        <w:rPr>
          <w:sz w:val="21"/>
        </w:rPr>
        <w:t>Bhumi at Ayodhya, as described and delineated in Annexure I, II and III belongs to the plaintiff</w:t>
      </w:r>
      <w:r>
        <w:rPr>
          <w:spacing w:val="-9"/>
          <w:sz w:val="21"/>
        </w:rPr>
        <w:t> </w:t>
      </w:r>
      <w:r>
        <w:rPr>
          <w:sz w:val="21"/>
        </w:rPr>
        <w:t>Deities.</w:t>
      </w:r>
    </w:p>
    <w:p>
      <w:pPr>
        <w:pStyle w:val="BodyText"/>
        <w:spacing w:before="2"/>
        <w:rPr>
          <w:sz w:val="24"/>
        </w:rPr>
      </w:pPr>
    </w:p>
    <w:p>
      <w:pPr>
        <w:pStyle w:val="ListParagraph"/>
        <w:numPr>
          <w:ilvl w:val="0"/>
          <w:numId w:val="13"/>
        </w:numPr>
        <w:tabs>
          <w:tab w:pos="2303" w:val="left" w:leader="none"/>
        </w:tabs>
        <w:spacing w:line="276" w:lineRule="auto" w:before="0" w:after="0"/>
        <w:ind w:left="1940" w:right="2261" w:firstLine="0"/>
        <w:jc w:val="both"/>
        <w:rPr>
          <w:sz w:val="21"/>
        </w:rPr>
      </w:pPr>
      <w:r>
        <w:rPr>
          <w:sz w:val="21"/>
        </w:rPr>
        <w:t>A perpetual injunction against the Defendants prohibiting them from interfering with, or raising any objection to, or placing any obstruction in the construction of the new Temple building at Sri Rama Janma Bhumi, Ayodhya, after demolishing and removing the existing buildings and structures etc., situate thereat, in so far as it may be necessary or expedient to do so for the said</w:t>
      </w:r>
      <w:r>
        <w:rPr>
          <w:spacing w:val="-28"/>
          <w:sz w:val="21"/>
        </w:rPr>
        <w:t> </w:t>
      </w:r>
      <w:r>
        <w:rPr>
          <w:sz w:val="21"/>
        </w:rPr>
        <w:t>purpose.‖</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7"/>
        <w:jc w:val="both"/>
      </w:pPr>
      <w:r>
        <w:rPr>
          <w:w w:val="99"/>
        </w:rPr>
        <w:t>T</w:t>
      </w:r>
      <w:r>
        <w:rPr>
          <w:w w:val="99"/>
        </w:rPr>
        <w:t>his</w:t>
      </w:r>
      <w:r>
        <w:rPr/>
        <w:t> </w:t>
      </w:r>
      <w:r>
        <w:rPr>
          <w:w w:val="99"/>
        </w:rPr>
        <w:t>suit</w:t>
      </w:r>
      <w:r>
        <w:rPr/>
        <w:t> </w:t>
      </w:r>
      <w:r>
        <w:rPr>
          <w:w w:val="99"/>
        </w:rPr>
        <w:t>has</w:t>
      </w:r>
      <w:r>
        <w:rPr/>
        <w:t> </w:t>
      </w:r>
      <w:r>
        <w:rPr>
          <w:w w:val="99"/>
        </w:rPr>
        <w:t>been</w:t>
      </w:r>
      <w:r>
        <w:rPr/>
        <w:t> </w:t>
      </w:r>
      <w:r>
        <w:rPr>
          <w:w w:val="99"/>
        </w:rPr>
        <w:t>instituted</w:t>
      </w:r>
      <w:r>
        <w:rPr/>
        <w:t> </w:t>
      </w:r>
      <w:r>
        <w:rPr>
          <w:w w:val="99"/>
        </w:rPr>
        <w:t>in</w:t>
      </w:r>
      <w:r>
        <w:rPr/>
        <w:t> </w:t>
      </w:r>
      <w:r>
        <w:rPr>
          <w:w w:val="99"/>
        </w:rPr>
        <w:t>the</w:t>
      </w:r>
      <w:r>
        <w:rPr/>
        <w:t> </w:t>
      </w:r>
      <w:r>
        <w:rPr>
          <w:w w:val="99"/>
        </w:rPr>
        <w:t>name</w:t>
      </w:r>
      <w:r>
        <w:rPr/>
        <w:t> </w:t>
      </w:r>
      <w:r>
        <w:rPr>
          <w:w w:val="99"/>
        </w:rPr>
        <w:t>of</w:t>
      </w:r>
      <w:r>
        <w:rPr/>
        <w:t> </w:t>
      </w:r>
      <w:r>
        <w:rPr>
          <w:w w:val="33"/>
        </w:rPr>
        <w:t>―</w:t>
      </w:r>
      <w:r>
        <w:rPr>
          <w:w w:val="99"/>
        </w:rPr>
        <w:t>Bhagwan</w:t>
      </w:r>
      <w:r>
        <w:rPr/>
        <w:t> </w:t>
      </w:r>
      <w:r>
        <w:rPr>
          <w:w w:val="99"/>
        </w:rPr>
        <w:t>Sri</w:t>
      </w:r>
      <w:r>
        <w:rPr/>
        <w:t> </w:t>
      </w:r>
      <w:r>
        <w:rPr>
          <w:w w:val="99"/>
        </w:rPr>
        <w:t>Ram</w:t>
      </w:r>
      <w:r>
        <w:rPr/>
        <w:t> </w:t>
      </w:r>
      <w:r>
        <w:rPr>
          <w:w w:val="99"/>
        </w:rPr>
        <w:t>Virajman</w:t>
      </w:r>
      <w:r>
        <w:rPr/>
        <w:t> </w:t>
      </w:r>
      <w:r>
        <w:rPr>
          <w:w w:val="99"/>
        </w:rPr>
        <w:t>at</w:t>
      </w:r>
      <w:r>
        <w:rPr/>
        <w:t> </w:t>
      </w:r>
      <w:r>
        <w:rPr>
          <w:w w:val="99"/>
        </w:rPr>
        <w:t>Sri </w:t>
      </w:r>
      <w:r>
        <w:rPr/>
        <w:t>Ram Janmabhumi, Ayodhya also called Bhagwan Sri Ram Lalla Virajman‖. The </w:t>
      </w:r>
      <w:r>
        <w:rPr>
          <w:w w:val="99"/>
        </w:rPr>
        <w:t>deity</w:t>
      </w:r>
      <w:r>
        <w:rPr/>
        <w:t> </w:t>
      </w:r>
      <w:r>
        <w:rPr>
          <w:w w:val="99"/>
        </w:rPr>
        <w:t>so</w:t>
      </w:r>
      <w:r>
        <w:rPr/>
        <w:t> </w:t>
      </w:r>
      <w:r>
        <w:rPr>
          <w:w w:val="99"/>
        </w:rPr>
        <w:t>described</w:t>
      </w:r>
      <w:r>
        <w:rPr/>
        <w:t> </w:t>
      </w:r>
      <w:r>
        <w:rPr>
          <w:w w:val="99"/>
        </w:rPr>
        <w:t>is</w:t>
      </w:r>
      <w:r>
        <w:rPr/>
        <w:t> </w:t>
      </w:r>
      <w:r>
        <w:rPr>
          <w:w w:val="99"/>
        </w:rPr>
        <w:t>the</w:t>
      </w:r>
      <w:r>
        <w:rPr/>
        <w:t> </w:t>
      </w:r>
      <w:r>
        <w:rPr>
          <w:w w:val="99"/>
        </w:rPr>
        <w:t>first</w:t>
      </w:r>
      <w:r>
        <w:rPr/>
        <w:t> </w:t>
      </w:r>
      <w:r>
        <w:rPr>
          <w:w w:val="99"/>
        </w:rPr>
        <w:t>plaintiff.</w:t>
      </w:r>
      <w:r>
        <w:rPr/>
        <w:t> </w:t>
      </w:r>
      <w:r>
        <w:rPr>
          <w:w w:val="99"/>
        </w:rPr>
        <w:t>The</w:t>
      </w:r>
      <w:r>
        <w:rPr/>
        <w:t> </w:t>
      </w:r>
      <w:r>
        <w:rPr>
          <w:w w:val="99"/>
        </w:rPr>
        <w:t>second</w:t>
      </w:r>
      <w:r>
        <w:rPr/>
        <w:t> </w:t>
      </w:r>
      <w:r>
        <w:rPr>
          <w:w w:val="99"/>
        </w:rPr>
        <w:t>plaintiff</w:t>
      </w:r>
      <w:r>
        <w:rPr/>
        <w:t> </w:t>
      </w:r>
      <w:r>
        <w:rPr>
          <w:w w:val="99"/>
        </w:rPr>
        <w:t>is</w:t>
      </w:r>
      <w:r>
        <w:rPr/>
        <w:t> </w:t>
      </w:r>
      <w:r>
        <w:rPr>
          <w:w w:val="99"/>
        </w:rPr>
        <w:t>described</w:t>
      </w:r>
      <w:r>
        <w:rPr/>
        <w:t> </w:t>
      </w:r>
      <w:r>
        <w:rPr>
          <w:w w:val="99"/>
        </w:rPr>
        <w:t>as</w:t>
      </w:r>
      <w:r>
        <w:rPr/>
        <w:t> </w:t>
      </w:r>
      <w:r>
        <w:rPr>
          <w:w w:val="33"/>
        </w:rPr>
        <w:t>―</w:t>
      </w:r>
      <w:r>
        <w:rPr>
          <w:w w:val="99"/>
        </w:rPr>
        <w:t>Asthan </w:t>
      </w:r>
      <w:r>
        <w:rPr/>
        <w:t>Sri Rama Janambhumi, Ayodhya‖. Both the plaintiffs were represented by Sri Deoki Nandan Agrawala, a former judge of the Allahabad High Court as next friend. The next friend of the first and second plaintiffs is impleaded as the third plaintiff.</w:t>
      </w:r>
    </w:p>
    <w:p>
      <w:pPr>
        <w:pStyle w:val="BodyText"/>
        <w:spacing w:before="1"/>
      </w:pPr>
    </w:p>
    <w:p>
      <w:pPr>
        <w:pStyle w:val="BodyText"/>
        <w:ind w:left="500"/>
        <w:jc w:val="both"/>
      </w:pPr>
      <w:r>
        <w:rPr/>
        <w:t>The defendants to the suit include:</w:t>
      </w:r>
    </w:p>
    <w:p>
      <w:pPr>
        <w:pStyle w:val="BodyText"/>
        <w:spacing w:before="10"/>
        <w:rPr>
          <w:sz w:val="24"/>
        </w:rPr>
      </w:pPr>
    </w:p>
    <w:p>
      <w:pPr>
        <w:pStyle w:val="ListParagraph"/>
        <w:numPr>
          <w:ilvl w:val="0"/>
          <w:numId w:val="14"/>
        </w:numPr>
        <w:tabs>
          <w:tab w:pos="1220" w:val="left" w:leader="none"/>
          <w:tab w:pos="1221" w:val="left" w:leader="none"/>
        </w:tabs>
        <w:spacing w:line="240" w:lineRule="auto" w:before="0" w:after="0"/>
        <w:ind w:left="1220" w:right="0" w:hanging="721"/>
        <w:jc w:val="left"/>
        <w:rPr>
          <w:sz w:val="25"/>
        </w:rPr>
      </w:pPr>
      <w:r>
        <w:rPr>
          <w:sz w:val="25"/>
        </w:rPr>
        <w:t>Nirmohi Akhara which is the Plaintiff in Suit</w:t>
      </w:r>
      <w:r>
        <w:rPr>
          <w:spacing w:val="-1"/>
          <w:sz w:val="25"/>
        </w:rPr>
        <w:t> </w:t>
      </w:r>
      <w:r>
        <w:rPr>
          <w:sz w:val="25"/>
        </w:rPr>
        <w:t>3;</w:t>
      </w:r>
    </w:p>
    <w:p>
      <w:pPr>
        <w:pStyle w:val="BodyText"/>
        <w:spacing w:before="1"/>
      </w:pPr>
    </w:p>
    <w:p>
      <w:pPr>
        <w:pStyle w:val="ListParagraph"/>
        <w:numPr>
          <w:ilvl w:val="0"/>
          <w:numId w:val="14"/>
        </w:numPr>
        <w:tabs>
          <w:tab w:pos="1220" w:val="left" w:leader="none"/>
          <w:tab w:pos="1221" w:val="left" w:leader="none"/>
        </w:tabs>
        <w:spacing w:line="240" w:lineRule="auto" w:before="0" w:after="0"/>
        <w:ind w:left="1220" w:right="0" w:hanging="721"/>
        <w:jc w:val="left"/>
        <w:rPr>
          <w:sz w:val="25"/>
        </w:rPr>
      </w:pPr>
      <w:r>
        <w:rPr>
          <w:color w:val="000009"/>
          <w:sz w:val="25"/>
        </w:rPr>
        <w:t>Sunni </w:t>
      </w:r>
      <w:r>
        <w:rPr>
          <w:sz w:val="25"/>
        </w:rPr>
        <w:t>Central </w:t>
      </w:r>
      <w:r>
        <w:rPr>
          <w:color w:val="000009"/>
          <w:sz w:val="25"/>
        </w:rPr>
        <w:t>Waqf Board</w:t>
      </w:r>
      <w:r>
        <w:rPr>
          <w:sz w:val="25"/>
        </w:rPr>
        <w:t>, the Plaintiff in Suit</w:t>
      </w:r>
      <w:r>
        <w:rPr>
          <w:spacing w:val="-9"/>
          <w:sz w:val="25"/>
        </w:rPr>
        <w:t> </w:t>
      </w:r>
      <w:r>
        <w:rPr>
          <w:sz w:val="25"/>
        </w:rPr>
        <w:t>4;</w:t>
      </w:r>
    </w:p>
    <w:p>
      <w:pPr>
        <w:pStyle w:val="BodyText"/>
        <w:spacing w:before="10"/>
        <w:rPr>
          <w:sz w:val="24"/>
        </w:rPr>
      </w:pPr>
    </w:p>
    <w:p>
      <w:pPr>
        <w:pStyle w:val="ListParagraph"/>
        <w:numPr>
          <w:ilvl w:val="0"/>
          <w:numId w:val="14"/>
        </w:numPr>
        <w:tabs>
          <w:tab w:pos="1220" w:val="left" w:leader="none"/>
          <w:tab w:pos="1221" w:val="left" w:leader="none"/>
        </w:tabs>
        <w:spacing w:line="240" w:lineRule="auto" w:before="0" w:after="0"/>
        <w:ind w:left="1220" w:right="0" w:hanging="721"/>
        <w:jc w:val="left"/>
        <w:rPr>
          <w:sz w:val="25"/>
        </w:rPr>
      </w:pPr>
      <w:r>
        <w:rPr>
          <w:sz w:val="25"/>
        </w:rPr>
        <w:t>Hindu and Muslim residents of Ayodhya; and</w:t>
      </w:r>
    </w:p>
    <w:p>
      <w:pPr>
        <w:pStyle w:val="BodyText"/>
        <w:spacing w:before="1"/>
      </w:pPr>
    </w:p>
    <w:p>
      <w:pPr>
        <w:pStyle w:val="ListParagraph"/>
        <w:numPr>
          <w:ilvl w:val="0"/>
          <w:numId w:val="14"/>
        </w:numPr>
        <w:tabs>
          <w:tab w:pos="1221" w:val="left" w:leader="none"/>
        </w:tabs>
        <w:spacing w:line="480" w:lineRule="auto" w:before="1" w:after="0"/>
        <w:ind w:left="1220" w:right="442" w:hanging="720"/>
        <w:jc w:val="both"/>
        <w:rPr>
          <w:sz w:val="25"/>
        </w:rPr>
      </w:pPr>
      <w:r>
        <w:rPr>
          <w:sz w:val="25"/>
        </w:rPr>
        <w:t>The State of Uttar Pradesh, the Collector and Senior Superintendent of Police.</w:t>
      </w:r>
    </w:p>
    <w:p>
      <w:pPr>
        <w:pStyle w:val="BodyText"/>
      </w:pPr>
    </w:p>
    <w:p>
      <w:pPr>
        <w:pStyle w:val="BodyText"/>
        <w:spacing w:line="480" w:lineRule="auto"/>
        <w:ind w:left="500" w:right="437"/>
        <w:jc w:val="both"/>
      </w:pPr>
      <w:r>
        <w:rPr/>
        <w:t>Several other Hindu entities including the All India Hindu Mahasabha and a Trust described as the Sri Ram Janmabhumi Trust, are parties to the Suit as is the  Shia Central Board of</w:t>
      </w:r>
      <w:r>
        <w:rPr>
          <w:spacing w:val="-7"/>
        </w:rPr>
        <w:t> </w:t>
      </w:r>
      <w:r>
        <w:rPr/>
        <w:t>Waqfs.</w:t>
      </w:r>
    </w:p>
    <w:p>
      <w:pPr>
        <w:pStyle w:val="BodyText"/>
        <w:spacing w:before="11"/>
        <w:rPr>
          <w:sz w:val="24"/>
        </w:rPr>
      </w:pPr>
    </w:p>
    <w:p>
      <w:pPr>
        <w:pStyle w:val="BodyText"/>
        <w:ind w:left="500"/>
        <w:jc w:val="both"/>
      </w:pPr>
      <w:r>
        <w:rPr/>
        <w:t>The principal averments in Suit 5 are that:</w:t>
      </w:r>
    </w:p>
    <w:p>
      <w:pPr>
        <w:pStyle w:val="BodyText"/>
        <w:spacing w:before="1"/>
      </w:pPr>
    </w:p>
    <w:p>
      <w:pPr>
        <w:pStyle w:val="ListParagraph"/>
        <w:numPr>
          <w:ilvl w:val="0"/>
          <w:numId w:val="15"/>
        </w:numPr>
        <w:tabs>
          <w:tab w:pos="1221" w:val="left" w:leader="none"/>
        </w:tabs>
        <w:spacing w:line="480" w:lineRule="auto" w:before="0" w:after="0"/>
        <w:ind w:left="1220" w:right="437" w:hanging="720"/>
        <w:jc w:val="both"/>
        <w:rPr>
          <w:sz w:val="25"/>
        </w:rPr>
      </w:pPr>
      <w:r>
        <w:rPr>
          <w:sz w:val="25"/>
        </w:rPr>
        <w:t>The first and second plaintiffs are juridical persons: Lord Ram is the presiding deity of the place and the place is itself a symbol of</w:t>
      </w:r>
      <w:r>
        <w:rPr>
          <w:spacing w:val="-11"/>
          <w:sz w:val="25"/>
        </w:rPr>
        <w:t> </w:t>
      </w:r>
      <w:r>
        <w:rPr>
          <w:sz w:val="25"/>
        </w:rPr>
        <w:t>worship;</w:t>
      </w:r>
    </w:p>
    <w:p>
      <w:pPr>
        <w:pStyle w:val="ListParagraph"/>
        <w:numPr>
          <w:ilvl w:val="0"/>
          <w:numId w:val="15"/>
        </w:numPr>
        <w:tabs>
          <w:tab w:pos="1221" w:val="left" w:leader="none"/>
        </w:tabs>
        <w:spacing w:line="480" w:lineRule="auto" w:before="0" w:after="0"/>
        <w:ind w:left="1220" w:right="438" w:hanging="720"/>
        <w:jc w:val="both"/>
        <w:rPr>
          <w:sz w:val="25"/>
        </w:rPr>
      </w:pPr>
      <w:r>
        <w:rPr>
          <w:sz w:val="25"/>
        </w:rPr>
        <w:t>The identification of Ram Janmabhumi, for the purpose of the plaint is based on the site plans of the building, premises and adjacent area prepared by Sri Shiv Shankar Lal, who was appointed as Commissioner by the Civil Judge at Faizabad in Suit 1 of</w:t>
      </w:r>
      <w:r>
        <w:rPr>
          <w:spacing w:val="-3"/>
          <w:sz w:val="25"/>
        </w:rPr>
        <w:t> </w:t>
      </w:r>
      <w:r>
        <w:rPr>
          <w:sz w:val="25"/>
        </w:rPr>
        <w:t>1950;</w:t>
      </w:r>
    </w:p>
    <w:p>
      <w:pPr>
        <w:spacing w:after="0" w:line="480" w:lineRule="auto"/>
        <w:jc w:val="both"/>
        <w:rPr>
          <w:sz w:val="25"/>
        </w:rPr>
        <w:sectPr>
          <w:pgSz w:w="11910" w:h="16840"/>
          <w:pgMar w:header="721" w:footer="1014" w:top="1300" w:bottom="1200" w:left="940" w:right="1000"/>
        </w:sectPr>
      </w:pPr>
    </w:p>
    <w:p>
      <w:pPr>
        <w:pStyle w:val="ListParagraph"/>
        <w:numPr>
          <w:ilvl w:val="0"/>
          <w:numId w:val="15"/>
        </w:numPr>
        <w:tabs>
          <w:tab w:pos="1221" w:val="left" w:leader="none"/>
        </w:tabs>
        <w:spacing w:line="480" w:lineRule="auto" w:before="124" w:after="0"/>
        <w:ind w:left="1220" w:right="436" w:hanging="720"/>
        <w:jc w:val="both"/>
        <w:rPr>
          <w:sz w:val="25"/>
        </w:rPr>
      </w:pPr>
      <w:r>
        <w:rPr>
          <w:sz w:val="25"/>
        </w:rPr>
        <w:t>The plaint contains a reference to the earlier suits instituted before the Civil Court and that the religious ceremonies for attending to the deities have been looked after by the receiver appointed in the proceedings under Section 145. Although seva and puja of the deity have been conducted, darshan for the devotees is allowed only from behind a</w:t>
      </w:r>
      <w:r>
        <w:rPr>
          <w:spacing w:val="-12"/>
          <w:sz w:val="25"/>
        </w:rPr>
        <w:t> </w:t>
      </w:r>
      <w:r>
        <w:rPr>
          <w:sz w:val="25"/>
        </w:rPr>
        <w:t>barrier;</w:t>
      </w:r>
    </w:p>
    <w:p>
      <w:pPr>
        <w:pStyle w:val="ListParagraph"/>
        <w:numPr>
          <w:ilvl w:val="0"/>
          <w:numId w:val="15"/>
        </w:numPr>
        <w:tabs>
          <w:tab w:pos="1221" w:val="left" w:leader="none"/>
        </w:tabs>
        <w:spacing w:line="480" w:lineRule="auto" w:before="0" w:after="0"/>
        <w:ind w:left="1220" w:right="435" w:hanging="720"/>
        <w:jc w:val="both"/>
        <w:rPr>
          <w:sz w:val="25"/>
        </w:rPr>
      </w:pPr>
      <w:r>
        <w:rPr>
          <w:sz w:val="25"/>
        </w:rPr>
        <w:t>Alleging that offerings to the deity have been misappropriated, it has been </w:t>
      </w:r>
      <w:r>
        <w:rPr>
          <w:w w:val="99"/>
          <w:sz w:val="25"/>
        </w:rPr>
        <w:t>stat</w:t>
      </w:r>
      <w:r>
        <w:rPr>
          <w:w w:val="99"/>
          <w:sz w:val="25"/>
        </w:rPr>
        <w:t>ed</w:t>
      </w:r>
      <w:r>
        <w:rPr>
          <w:spacing w:val="26"/>
          <w:sz w:val="25"/>
        </w:rPr>
        <w:t> </w:t>
      </w:r>
      <w:r>
        <w:rPr>
          <w:w w:val="99"/>
          <w:sz w:val="25"/>
        </w:rPr>
        <w:t>tha</w:t>
      </w:r>
      <w:r>
        <w:rPr>
          <w:w w:val="99"/>
          <w:sz w:val="25"/>
        </w:rPr>
        <w:t>t</w:t>
      </w:r>
      <w:r>
        <w:rPr>
          <w:spacing w:val="26"/>
          <w:sz w:val="25"/>
        </w:rPr>
        <w:t> </w:t>
      </w:r>
      <w:r>
        <w:rPr>
          <w:w w:val="99"/>
          <w:sz w:val="25"/>
        </w:rPr>
        <w:t>the</w:t>
      </w:r>
      <w:r>
        <w:rPr>
          <w:spacing w:val="29"/>
          <w:sz w:val="25"/>
        </w:rPr>
        <w:t> </w:t>
      </w:r>
      <w:r>
        <w:rPr>
          <w:w w:val="99"/>
          <w:sz w:val="25"/>
        </w:rPr>
        <w:t>de</w:t>
      </w:r>
      <w:r>
        <w:rPr>
          <w:spacing w:val="-3"/>
          <w:w w:val="99"/>
          <w:sz w:val="25"/>
        </w:rPr>
        <w:t>v</w:t>
      </w:r>
      <w:r>
        <w:rPr>
          <w:w w:val="99"/>
          <w:sz w:val="25"/>
        </w:rPr>
        <w:t>ote</w:t>
      </w:r>
      <w:r>
        <w:rPr>
          <w:w w:val="99"/>
          <w:sz w:val="25"/>
        </w:rPr>
        <w:t>es</w:t>
      </w:r>
      <w:r>
        <w:rPr>
          <w:spacing w:val="27"/>
          <w:sz w:val="25"/>
        </w:rPr>
        <w:t> </w:t>
      </w:r>
      <w:r>
        <w:rPr>
          <w:spacing w:val="-1"/>
          <w:w w:val="99"/>
          <w:sz w:val="25"/>
        </w:rPr>
        <w:t>d</w:t>
      </w:r>
      <w:r>
        <w:rPr>
          <w:w w:val="99"/>
          <w:sz w:val="25"/>
        </w:rPr>
        <w:t>esired</w:t>
      </w:r>
      <w:r>
        <w:rPr>
          <w:spacing w:val="26"/>
          <w:sz w:val="25"/>
        </w:rPr>
        <w:t> </w:t>
      </w:r>
      <w:r>
        <w:rPr>
          <w:w w:val="99"/>
          <w:sz w:val="25"/>
        </w:rPr>
        <w:t>to</w:t>
      </w:r>
      <w:r>
        <w:rPr>
          <w:spacing w:val="26"/>
          <w:sz w:val="25"/>
        </w:rPr>
        <w:t> </w:t>
      </w:r>
      <w:r>
        <w:rPr>
          <w:spacing w:val="-1"/>
          <w:w w:val="99"/>
          <w:sz w:val="25"/>
        </w:rPr>
        <w:t>h</w:t>
      </w:r>
      <w:r>
        <w:rPr>
          <w:w w:val="99"/>
          <w:sz w:val="25"/>
        </w:rPr>
        <w:t>a</w:t>
      </w:r>
      <w:r>
        <w:rPr>
          <w:spacing w:val="-3"/>
          <w:w w:val="99"/>
          <w:sz w:val="25"/>
        </w:rPr>
        <w:t>v</w:t>
      </w:r>
      <w:r>
        <w:rPr>
          <w:w w:val="99"/>
          <w:sz w:val="25"/>
        </w:rPr>
        <w:t>e</w:t>
      </w:r>
      <w:r>
        <w:rPr>
          <w:spacing w:val="26"/>
          <w:sz w:val="25"/>
        </w:rPr>
        <w:t> </w:t>
      </w:r>
      <w:r>
        <w:rPr>
          <w:w w:val="99"/>
          <w:sz w:val="25"/>
        </w:rPr>
        <w:t>a</w:t>
      </w:r>
      <w:r>
        <w:rPr>
          <w:spacing w:val="26"/>
          <w:sz w:val="25"/>
        </w:rPr>
        <w:t> </w:t>
      </w:r>
      <w:r>
        <w:rPr>
          <w:spacing w:val="-1"/>
          <w:w w:val="99"/>
          <w:sz w:val="25"/>
        </w:rPr>
        <w:t>n</w:t>
      </w:r>
      <w:r>
        <w:rPr>
          <w:w w:val="99"/>
          <w:sz w:val="25"/>
        </w:rPr>
        <w:t>ew</w:t>
      </w:r>
      <w:r>
        <w:rPr>
          <w:spacing w:val="26"/>
          <w:sz w:val="25"/>
        </w:rPr>
        <w:t> </w:t>
      </w:r>
      <w:r>
        <w:rPr>
          <w:w w:val="99"/>
          <w:sz w:val="25"/>
        </w:rPr>
        <w:t>te</w:t>
      </w:r>
      <w:r>
        <w:rPr>
          <w:spacing w:val="1"/>
          <w:w w:val="99"/>
          <w:sz w:val="25"/>
        </w:rPr>
        <w:t>m</w:t>
      </w:r>
      <w:r>
        <w:rPr>
          <w:spacing w:val="-1"/>
          <w:w w:val="99"/>
          <w:sz w:val="25"/>
        </w:rPr>
        <w:t>pl</w:t>
      </w:r>
      <w:r>
        <w:rPr>
          <w:w w:val="99"/>
          <w:sz w:val="25"/>
        </w:rPr>
        <w:t>e</w:t>
      </w:r>
      <w:r>
        <w:rPr>
          <w:spacing w:val="26"/>
          <w:sz w:val="25"/>
        </w:rPr>
        <w:t> </w:t>
      </w:r>
      <w:r>
        <w:rPr>
          <w:w w:val="99"/>
          <w:sz w:val="25"/>
        </w:rPr>
        <w:t>constr</w:t>
      </w:r>
      <w:r>
        <w:rPr>
          <w:spacing w:val="-3"/>
          <w:w w:val="99"/>
          <w:sz w:val="25"/>
        </w:rPr>
        <w:t>u</w:t>
      </w:r>
      <w:r>
        <w:rPr>
          <w:w w:val="99"/>
          <w:sz w:val="25"/>
        </w:rPr>
        <w:t>cted</w:t>
      </w:r>
      <w:r>
        <w:rPr>
          <w:spacing w:val="27"/>
          <w:sz w:val="25"/>
        </w:rPr>
        <w:t> </w:t>
      </w:r>
      <w:r>
        <w:rPr>
          <w:w w:val="33"/>
          <w:sz w:val="25"/>
        </w:rPr>
        <w:t>―</w:t>
      </w:r>
      <w:r>
        <w:rPr>
          <w:spacing w:val="-1"/>
          <w:w w:val="99"/>
          <w:sz w:val="25"/>
        </w:rPr>
        <w:t>af</w:t>
      </w:r>
      <w:r>
        <w:rPr>
          <w:w w:val="99"/>
          <w:sz w:val="25"/>
        </w:rPr>
        <w:t>t</w:t>
      </w:r>
      <w:r>
        <w:rPr>
          <w:spacing w:val="-3"/>
          <w:w w:val="99"/>
          <w:sz w:val="25"/>
        </w:rPr>
        <w:t>e</w:t>
      </w:r>
      <w:r>
        <w:rPr>
          <w:w w:val="99"/>
          <w:sz w:val="25"/>
        </w:rPr>
        <w:t>r </w:t>
      </w:r>
      <w:r>
        <w:rPr>
          <w:sz w:val="25"/>
        </w:rPr>
        <w:t>removing the old structure at Sri Ram Janmabhumi at Ayodhya‖. A Deed</w:t>
      </w:r>
      <w:r>
        <w:rPr>
          <w:spacing w:val="-37"/>
          <w:sz w:val="25"/>
        </w:rPr>
        <w:t> </w:t>
      </w:r>
      <w:r>
        <w:rPr>
          <w:sz w:val="25"/>
        </w:rPr>
        <w:t>of Trust was constituted on 18 December 1985 for the purpose of managing the estate and affairs of the Janmabhumi;</w:t>
      </w:r>
    </w:p>
    <w:p>
      <w:pPr>
        <w:pStyle w:val="ListParagraph"/>
        <w:numPr>
          <w:ilvl w:val="0"/>
          <w:numId w:val="15"/>
        </w:numPr>
        <w:tabs>
          <w:tab w:pos="1221" w:val="left" w:leader="none"/>
        </w:tabs>
        <w:spacing w:line="480" w:lineRule="auto" w:before="1" w:after="0"/>
        <w:ind w:left="1220" w:right="435" w:hanging="720"/>
        <w:jc w:val="both"/>
        <w:rPr>
          <w:sz w:val="25"/>
        </w:rPr>
      </w:pPr>
      <w:r>
        <w:rPr>
          <w:sz w:val="25"/>
        </w:rPr>
        <w:t>Though both the presiding deity of Lord Ram and Ram Janmabhumi are claimed to be juridical persons with a distinct personality, neither of them was impleaded as a party to the earlier suits. As a consequence, the decrees passed in those suits will not bind the</w:t>
      </w:r>
      <w:r>
        <w:rPr>
          <w:spacing w:val="-8"/>
          <w:sz w:val="25"/>
        </w:rPr>
        <w:t> </w:t>
      </w:r>
      <w:r>
        <w:rPr>
          <w:sz w:val="25"/>
        </w:rPr>
        <w:t>deities;</w:t>
      </w:r>
    </w:p>
    <w:p>
      <w:pPr>
        <w:pStyle w:val="ListParagraph"/>
        <w:numPr>
          <w:ilvl w:val="0"/>
          <w:numId w:val="15"/>
        </w:numPr>
        <w:tabs>
          <w:tab w:pos="1221" w:val="left" w:leader="none"/>
        </w:tabs>
        <w:spacing w:line="480" w:lineRule="auto" w:before="0" w:after="0"/>
        <w:ind w:left="1220" w:right="436" w:hanging="720"/>
        <w:jc w:val="both"/>
        <w:rPr>
          <w:sz w:val="25"/>
        </w:rPr>
      </w:pPr>
      <w:r>
        <w:rPr>
          <w:sz w:val="25"/>
        </w:rPr>
        <w:t>Public records establish that Lord Ram was born and manifested himself in human form as an incarnation of Vishnu at the premises in</w:t>
      </w:r>
      <w:r>
        <w:rPr>
          <w:spacing w:val="-11"/>
          <w:sz w:val="25"/>
        </w:rPr>
        <w:t> </w:t>
      </w:r>
      <w:r>
        <w:rPr>
          <w:sz w:val="25"/>
        </w:rPr>
        <w:t>dispute;</w:t>
      </w:r>
    </w:p>
    <w:p>
      <w:pPr>
        <w:pStyle w:val="ListParagraph"/>
        <w:numPr>
          <w:ilvl w:val="0"/>
          <w:numId w:val="15"/>
        </w:numPr>
        <w:tabs>
          <w:tab w:pos="1221" w:val="left" w:leader="none"/>
        </w:tabs>
        <w:spacing w:line="480" w:lineRule="auto" w:before="0" w:after="0"/>
        <w:ind w:left="1220" w:right="439" w:hanging="720"/>
        <w:jc w:val="both"/>
        <w:rPr>
          <w:sz w:val="25"/>
        </w:rPr>
      </w:pPr>
      <w:r>
        <w:rPr>
          <w:sz w:val="25"/>
        </w:rPr>
        <w:t>The place itself – Ram Janmasthan - is an object of worship since it personifies the divine spirit worshipped in the form of Lord Ram. Both the deity and the place of birth thus possess a juridical character. Hindus worship the spirit of the divine and not its material form in the shape of an idol. This spirit which is worshipped is indestructible. Representing this spirit, Ram Janmabhumi </w:t>
      </w:r>
      <w:r>
        <w:rPr>
          <w:b/>
          <w:sz w:val="25"/>
        </w:rPr>
        <w:t>as a place </w:t>
      </w:r>
      <w:r>
        <w:rPr>
          <w:sz w:val="25"/>
        </w:rPr>
        <w:t>is worshipped as a deity and is hence a juridical</w:t>
      </w:r>
      <w:r>
        <w:rPr>
          <w:spacing w:val="-3"/>
          <w:sz w:val="25"/>
        </w:rPr>
        <w:t> </w:t>
      </w:r>
      <w:r>
        <w:rPr>
          <w:sz w:val="25"/>
        </w:rPr>
        <w:t>person;</w:t>
      </w:r>
    </w:p>
    <w:p>
      <w:pPr>
        <w:spacing w:after="0" w:line="480" w:lineRule="auto"/>
        <w:jc w:val="both"/>
        <w:rPr>
          <w:sz w:val="25"/>
        </w:rPr>
        <w:sectPr>
          <w:pgSz w:w="11910" w:h="16840"/>
          <w:pgMar w:header="721" w:footer="1014" w:top="1300" w:bottom="1200" w:left="940" w:right="1000"/>
        </w:sectPr>
      </w:pPr>
    </w:p>
    <w:p>
      <w:pPr>
        <w:pStyle w:val="ListParagraph"/>
        <w:numPr>
          <w:ilvl w:val="0"/>
          <w:numId w:val="15"/>
        </w:numPr>
        <w:tabs>
          <w:tab w:pos="1221" w:val="left" w:leader="none"/>
        </w:tabs>
        <w:spacing w:line="480" w:lineRule="auto" w:before="124" w:after="0"/>
        <w:ind w:left="1220" w:right="446" w:hanging="720"/>
        <w:jc w:val="both"/>
        <w:rPr>
          <w:sz w:val="25"/>
        </w:rPr>
      </w:pPr>
      <w:r>
        <w:rPr>
          <w:w w:val="99"/>
          <w:sz w:val="25"/>
        </w:rPr>
        <w:t>T</w:t>
      </w:r>
      <w:r>
        <w:rPr>
          <w:spacing w:val="-1"/>
          <w:w w:val="99"/>
          <w:sz w:val="25"/>
        </w:rPr>
        <w:t>h</w:t>
      </w:r>
      <w:r>
        <w:rPr>
          <w:w w:val="99"/>
          <w:sz w:val="25"/>
        </w:rPr>
        <w:t>e</w:t>
      </w:r>
      <w:r>
        <w:rPr>
          <w:spacing w:val="7"/>
          <w:sz w:val="25"/>
        </w:rPr>
        <w:t> </w:t>
      </w:r>
      <w:r>
        <w:rPr>
          <w:spacing w:val="-1"/>
          <w:w w:val="99"/>
          <w:sz w:val="25"/>
        </w:rPr>
        <w:t>act</w:t>
      </w:r>
      <w:r>
        <w:rPr>
          <w:w w:val="99"/>
          <w:sz w:val="25"/>
        </w:rPr>
        <w:t>u</w:t>
      </w:r>
      <w:r>
        <w:rPr>
          <w:spacing w:val="-1"/>
          <w:w w:val="99"/>
          <w:sz w:val="25"/>
        </w:rPr>
        <w:t>a</w:t>
      </w:r>
      <w:r>
        <w:rPr>
          <w:w w:val="99"/>
          <w:sz w:val="25"/>
        </w:rPr>
        <w:t>l</w:t>
      </w:r>
      <w:r>
        <w:rPr>
          <w:spacing w:val="7"/>
          <w:sz w:val="25"/>
        </w:rPr>
        <w:t> </w:t>
      </w:r>
      <w:r>
        <w:rPr>
          <w:spacing w:val="-1"/>
          <w:w w:val="99"/>
          <w:sz w:val="25"/>
        </w:rPr>
        <w:t>a</w:t>
      </w:r>
      <w:r>
        <w:rPr>
          <w:w w:val="99"/>
          <w:sz w:val="25"/>
        </w:rPr>
        <w:t>nd</w:t>
      </w:r>
      <w:r>
        <w:rPr>
          <w:spacing w:val="7"/>
          <w:sz w:val="25"/>
        </w:rPr>
        <w:t> </w:t>
      </w:r>
      <w:r>
        <w:rPr>
          <w:w w:val="99"/>
          <w:sz w:val="25"/>
        </w:rPr>
        <w:t>conti</w:t>
      </w:r>
      <w:r>
        <w:rPr>
          <w:spacing w:val="-2"/>
          <w:w w:val="99"/>
          <w:sz w:val="25"/>
        </w:rPr>
        <w:t>n</w:t>
      </w:r>
      <w:r>
        <w:rPr>
          <w:spacing w:val="-1"/>
          <w:w w:val="99"/>
          <w:sz w:val="25"/>
        </w:rPr>
        <w:t>u</w:t>
      </w:r>
      <w:r>
        <w:rPr>
          <w:w w:val="99"/>
          <w:sz w:val="25"/>
        </w:rPr>
        <w:t>o</w:t>
      </w:r>
      <w:r>
        <w:rPr>
          <w:spacing w:val="-1"/>
          <w:w w:val="99"/>
          <w:sz w:val="25"/>
        </w:rPr>
        <w:t>u</w:t>
      </w:r>
      <w:r>
        <w:rPr>
          <w:w w:val="99"/>
          <w:sz w:val="25"/>
        </w:rPr>
        <w:t>s</w:t>
      </w:r>
      <w:r>
        <w:rPr>
          <w:spacing w:val="7"/>
          <w:sz w:val="25"/>
        </w:rPr>
        <w:t> </w:t>
      </w:r>
      <w:r>
        <w:rPr>
          <w:spacing w:val="-1"/>
          <w:w w:val="99"/>
          <w:sz w:val="25"/>
        </w:rPr>
        <w:t>p</w:t>
      </w:r>
      <w:r>
        <w:rPr>
          <w:w w:val="99"/>
          <w:sz w:val="25"/>
        </w:rPr>
        <w:t>erfo</w:t>
      </w:r>
      <w:r>
        <w:rPr>
          <w:spacing w:val="1"/>
          <w:w w:val="99"/>
          <w:sz w:val="25"/>
        </w:rPr>
        <w:t>r</w:t>
      </w:r>
      <w:r>
        <w:rPr>
          <w:w w:val="99"/>
          <w:sz w:val="25"/>
        </w:rPr>
        <w:t>m</w:t>
      </w:r>
      <w:r>
        <w:rPr>
          <w:spacing w:val="-1"/>
          <w:w w:val="99"/>
          <w:sz w:val="25"/>
        </w:rPr>
        <w:t>a</w:t>
      </w:r>
      <w:r>
        <w:rPr>
          <w:w w:val="99"/>
          <w:sz w:val="25"/>
        </w:rPr>
        <w:t>nce</w:t>
      </w:r>
      <w:r>
        <w:rPr>
          <w:spacing w:val="7"/>
          <w:sz w:val="25"/>
        </w:rPr>
        <w:t> </w:t>
      </w:r>
      <w:r>
        <w:rPr>
          <w:spacing w:val="-3"/>
          <w:w w:val="99"/>
          <w:sz w:val="25"/>
        </w:rPr>
        <w:t>o</w:t>
      </w:r>
      <w:r>
        <w:rPr>
          <w:w w:val="99"/>
          <w:sz w:val="25"/>
        </w:rPr>
        <w:t>f</w:t>
      </w:r>
      <w:r>
        <w:rPr>
          <w:spacing w:val="5"/>
          <w:sz w:val="25"/>
        </w:rPr>
        <w:t> </w:t>
      </w:r>
      <w:r>
        <w:rPr>
          <w:spacing w:val="-1"/>
          <w:w w:val="99"/>
          <w:sz w:val="25"/>
        </w:rPr>
        <w:t>p</w:t>
      </w:r>
      <w:r>
        <w:rPr>
          <w:w w:val="99"/>
          <w:sz w:val="25"/>
        </w:rPr>
        <w:t>u</w:t>
      </w:r>
      <w:r>
        <w:rPr>
          <w:spacing w:val="-1"/>
          <w:w w:val="99"/>
          <w:sz w:val="25"/>
        </w:rPr>
        <w:t>j</w:t>
      </w:r>
      <w:r>
        <w:rPr>
          <w:w w:val="99"/>
          <w:sz w:val="25"/>
        </w:rPr>
        <w:t>a</w:t>
      </w:r>
      <w:r>
        <w:rPr>
          <w:spacing w:val="7"/>
          <w:sz w:val="25"/>
        </w:rPr>
        <w:t> </w:t>
      </w:r>
      <w:r>
        <w:rPr>
          <w:spacing w:val="-1"/>
          <w:w w:val="99"/>
          <w:sz w:val="25"/>
        </w:rPr>
        <w:t>o</w:t>
      </w:r>
      <w:r>
        <w:rPr>
          <w:w w:val="99"/>
          <w:sz w:val="25"/>
        </w:rPr>
        <w:t>f</w:t>
      </w:r>
      <w:r>
        <w:rPr>
          <w:spacing w:val="7"/>
          <w:sz w:val="25"/>
        </w:rPr>
        <w:t> </w:t>
      </w:r>
      <w:r>
        <w:rPr>
          <w:w w:val="33"/>
          <w:sz w:val="25"/>
        </w:rPr>
        <w:t>―</w:t>
      </w:r>
      <w:r>
        <w:rPr>
          <w:spacing w:val="-1"/>
          <w:w w:val="99"/>
          <w:sz w:val="25"/>
        </w:rPr>
        <w:t>a</w:t>
      </w:r>
      <w:r>
        <w:rPr>
          <w:w w:val="99"/>
          <w:sz w:val="25"/>
        </w:rPr>
        <w:t>n</w:t>
      </w:r>
      <w:r>
        <w:rPr>
          <w:spacing w:val="7"/>
          <w:sz w:val="25"/>
        </w:rPr>
        <w:t> </w:t>
      </w:r>
      <w:r>
        <w:rPr>
          <w:spacing w:val="-1"/>
          <w:w w:val="99"/>
          <w:sz w:val="25"/>
        </w:rPr>
        <w:t>im</w:t>
      </w:r>
      <w:r>
        <w:rPr>
          <w:spacing w:val="1"/>
          <w:w w:val="99"/>
          <w:sz w:val="25"/>
        </w:rPr>
        <w:t>m</w:t>
      </w:r>
      <w:r>
        <w:rPr>
          <w:spacing w:val="-1"/>
          <w:w w:val="99"/>
          <w:sz w:val="25"/>
        </w:rPr>
        <w:t>o</w:t>
      </w:r>
      <w:r>
        <w:rPr>
          <w:spacing w:val="-3"/>
          <w:w w:val="99"/>
          <w:sz w:val="25"/>
        </w:rPr>
        <w:t>v</w:t>
      </w:r>
      <w:r>
        <w:rPr>
          <w:spacing w:val="-1"/>
          <w:w w:val="99"/>
          <w:sz w:val="25"/>
        </w:rPr>
        <w:t>a</w:t>
      </w:r>
      <w:r>
        <w:rPr>
          <w:w w:val="99"/>
          <w:sz w:val="25"/>
        </w:rPr>
        <w:t>b</w:t>
      </w:r>
      <w:r>
        <w:rPr>
          <w:spacing w:val="-1"/>
          <w:w w:val="99"/>
          <w:sz w:val="25"/>
        </w:rPr>
        <w:t>l</w:t>
      </w:r>
      <w:r>
        <w:rPr>
          <w:w w:val="99"/>
          <w:sz w:val="25"/>
        </w:rPr>
        <w:t>e</w:t>
      </w:r>
      <w:r>
        <w:rPr>
          <w:spacing w:val="7"/>
          <w:sz w:val="25"/>
        </w:rPr>
        <w:t> </w:t>
      </w:r>
      <w:r>
        <w:rPr>
          <w:spacing w:val="-1"/>
          <w:w w:val="99"/>
          <w:sz w:val="25"/>
        </w:rPr>
        <w:t>d</w:t>
      </w:r>
      <w:r>
        <w:rPr>
          <w:w w:val="99"/>
          <w:sz w:val="25"/>
        </w:rPr>
        <w:t>e</w:t>
      </w:r>
      <w:r>
        <w:rPr>
          <w:spacing w:val="-1"/>
          <w:w w:val="99"/>
          <w:sz w:val="25"/>
        </w:rPr>
        <w:t>it</w:t>
      </w:r>
      <w:r>
        <w:rPr>
          <w:spacing w:val="-3"/>
          <w:w w:val="99"/>
          <w:sz w:val="25"/>
        </w:rPr>
        <w:t>y</w:t>
      </w:r>
      <w:r>
        <w:rPr>
          <w:w w:val="80"/>
          <w:sz w:val="25"/>
        </w:rPr>
        <w:t>‖</w:t>
      </w:r>
      <w:r>
        <w:rPr>
          <w:spacing w:val="7"/>
          <w:sz w:val="25"/>
        </w:rPr>
        <w:t> </w:t>
      </w:r>
      <w:r>
        <w:rPr>
          <w:spacing w:val="2"/>
          <w:w w:val="99"/>
          <w:sz w:val="25"/>
        </w:rPr>
        <w:t>b</w:t>
      </w:r>
      <w:r>
        <w:rPr>
          <w:w w:val="99"/>
          <w:sz w:val="25"/>
        </w:rPr>
        <w:t>y </w:t>
      </w:r>
      <w:r>
        <w:rPr>
          <w:sz w:val="25"/>
        </w:rPr>
        <w:t>its devotees is not essential for its existence since the deity represented by the land is</w:t>
      </w:r>
      <w:r>
        <w:rPr>
          <w:spacing w:val="-3"/>
          <w:sz w:val="25"/>
        </w:rPr>
        <w:t> </w:t>
      </w:r>
      <w:r>
        <w:rPr>
          <w:sz w:val="25"/>
        </w:rPr>
        <w:t>indestructible;</w:t>
      </w:r>
    </w:p>
    <w:p>
      <w:pPr>
        <w:pStyle w:val="ListParagraph"/>
        <w:numPr>
          <w:ilvl w:val="0"/>
          <w:numId w:val="15"/>
        </w:numPr>
        <w:tabs>
          <w:tab w:pos="1221" w:val="left" w:leader="none"/>
        </w:tabs>
        <w:spacing w:line="480" w:lineRule="auto" w:before="0" w:after="0"/>
        <w:ind w:left="1220" w:right="436" w:hanging="720"/>
        <w:jc w:val="both"/>
        <w:rPr>
          <w:sz w:val="25"/>
        </w:rPr>
      </w:pPr>
      <w:r>
        <w:rPr>
          <w:sz w:val="25"/>
        </w:rPr>
        <w:t>There was an ancient temple during the reign of Vikramaditya at Ram Janmabhumi. The temple was partly destroyed and an attempt was made to raise a mosque by Mir Baqi, a Commander of Emperor Babur. Most of the material utilised to construct the mosque was obtained from the temple including its Kasauti pillars with Hindu Gods and Goddesses carved on them;</w:t>
      </w:r>
    </w:p>
    <w:p>
      <w:pPr>
        <w:pStyle w:val="ListParagraph"/>
        <w:numPr>
          <w:ilvl w:val="0"/>
          <w:numId w:val="15"/>
        </w:numPr>
        <w:tabs>
          <w:tab w:pos="1221" w:val="left" w:leader="none"/>
        </w:tabs>
        <w:spacing w:line="480" w:lineRule="auto" w:before="0" w:after="0"/>
        <w:ind w:left="1220" w:right="436" w:hanging="720"/>
        <w:jc w:val="both"/>
        <w:rPr>
          <w:sz w:val="25"/>
        </w:rPr>
      </w:pPr>
      <w:r>
        <w:rPr>
          <w:sz w:val="25"/>
        </w:rPr>
        <w:t>The 1928 edition of the Faizabad Gazetteer records that during the course of his conquest in 1528, Babur destroyed the ancient temple and on its site a mosque was built. In 1855, there was a dispute between Hindus and Muslims. The gazetteer records that after the dispute, an outer enclosure was placed in front of the mosque as a consequence of which access to the inner courtyard was prohibited to the Hindus. As a result, they made their offerings on a platform in the outer</w:t>
      </w:r>
      <w:r>
        <w:rPr>
          <w:spacing w:val="-4"/>
          <w:sz w:val="25"/>
        </w:rPr>
        <w:t> </w:t>
      </w:r>
      <w:r>
        <w:rPr>
          <w:sz w:val="25"/>
        </w:rPr>
        <w:t>courtyard;</w:t>
      </w:r>
    </w:p>
    <w:p>
      <w:pPr>
        <w:pStyle w:val="ListParagraph"/>
        <w:numPr>
          <w:ilvl w:val="0"/>
          <w:numId w:val="15"/>
        </w:numPr>
        <w:tabs>
          <w:tab w:pos="1221" w:val="left" w:leader="none"/>
        </w:tabs>
        <w:spacing w:line="482" w:lineRule="auto" w:before="1" w:after="0"/>
        <w:ind w:left="1220" w:right="443" w:hanging="720"/>
        <w:jc w:val="both"/>
        <w:rPr>
          <w:sz w:val="25"/>
        </w:rPr>
      </w:pPr>
      <w:r>
        <w:rPr>
          <w:sz w:val="25"/>
        </w:rPr>
        <w:t>The place belongs to the deities and no valid waqf was ever created or could have been</w:t>
      </w:r>
      <w:r>
        <w:rPr>
          <w:spacing w:val="-4"/>
          <w:sz w:val="25"/>
        </w:rPr>
        <w:t> </w:t>
      </w:r>
      <w:r>
        <w:rPr>
          <w:sz w:val="25"/>
        </w:rPr>
        <w:t>created;</w:t>
      </w:r>
    </w:p>
    <w:p>
      <w:pPr>
        <w:pStyle w:val="ListParagraph"/>
        <w:numPr>
          <w:ilvl w:val="0"/>
          <w:numId w:val="15"/>
        </w:numPr>
        <w:tabs>
          <w:tab w:pos="1221" w:val="left" w:leader="none"/>
        </w:tabs>
        <w:spacing w:line="480" w:lineRule="auto" w:before="0" w:after="0"/>
        <w:ind w:left="1220" w:right="436" w:hanging="720"/>
        <w:jc w:val="both"/>
        <w:rPr>
          <w:sz w:val="25"/>
        </w:rPr>
      </w:pPr>
      <w:r>
        <w:rPr>
          <w:sz w:val="25"/>
        </w:rPr>
        <w:t>The structure which was raised upon the destruction of the ancient temple, utilising the material of the temple does not constitute a mosque. Despite the construction of the mosque, Ram Janmabhumi did not cease to be in possession of the deity which has continued to be worshipped by devotees through various</w:t>
      </w:r>
      <w:r>
        <w:rPr>
          <w:spacing w:val="-1"/>
          <w:sz w:val="25"/>
        </w:rPr>
        <w:t> </w:t>
      </w:r>
      <w:r>
        <w:rPr>
          <w:sz w:val="25"/>
        </w:rPr>
        <w:t>symbols;</w:t>
      </w:r>
    </w:p>
    <w:p>
      <w:pPr>
        <w:spacing w:after="0" w:line="480" w:lineRule="auto"/>
        <w:jc w:val="both"/>
        <w:rPr>
          <w:sz w:val="25"/>
        </w:rPr>
        <w:sectPr>
          <w:pgSz w:w="11910" w:h="16840"/>
          <w:pgMar w:header="721" w:footer="1014" w:top="1300" w:bottom="1200" w:left="940" w:right="1000"/>
        </w:sectPr>
      </w:pPr>
    </w:p>
    <w:p>
      <w:pPr>
        <w:pStyle w:val="ListParagraph"/>
        <w:numPr>
          <w:ilvl w:val="0"/>
          <w:numId w:val="15"/>
        </w:numPr>
        <w:tabs>
          <w:tab w:pos="1221" w:val="left" w:leader="none"/>
        </w:tabs>
        <w:spacing w:line="480" w:lineRule="auto" w:before="124" w:after="0"/>
        <w:ind w:left="1220" w:right="437" w:hanging="720"/>
        <w:jc w:val="both"/>
        <w:rPr>
          <w:sz w:val="25"/>
        </w:rPr>
      </w:pPr>
      <w:r>
        <w:rPr>
          <w:sz w:val="25"/>
        </w:rPr>
        <w:t>The building of the mosque could be accessed only by passing through the adjoining places of Hindu worship. Hence, at Ram Janmabhumi, the worship of the deities has continued through the</w:t>
      </w:r>
      <w:r>
        <w:rPr>
          <w:spacing w:val="-7"/>
          <w:sz w:val="25"/>
        </w:rPr>
        <w:t> </w:t>
      </w:r>
      <w:r>
        <w:rPr>
          <w:sz w:val="25"/>
        </w:rPr>
        <w:t>ages;</w:t>
      </w:r>
    </w:p>
    <w:p>
      <w:pPr>
        <w:pStyle w:val="ListParagraph"/>
        <w:numPr>
          <w:ilvl w:val="0"/>
          <w:numId w:val="15"/>
        </w:numPr>
        <w:tabs>
          <w:tab w:pos="1221" w:val="left" w:leader="none"/>
        </w:tabs>
        <w:spacing w:line="480" w:lineRule="auto" w:before="0" w:after="0"/>
        <w:ind w:left="1220" w:right="434" w:hanging="720"/>
        <w:jc w:val="both"/>
        <w:rPr>
          <w:sz w:val="25"/>
        </w:rPr>
      </w:pPr>
      <w:r>
        <w:rPr>
          <w:sz w:val="25"/>
        </w:rPr>
        <w:t>No prayers have been offered in the mosque after 1934. During the night intervening 22-23 December 1949, idols of Lord Ram were installed with due ceremony under the central dome. At that stage, acting on an FIR, proceedings were initiated by the Additional City Magistrate under Section 145 of the CrPC and a preliminary order was passed on 29 December 1949. A receiver was appointed, in spite of which the possession of the plaintiff deities was not</w:t>
      </w:r>
      <w:r>
        <w:rPr>
          <w:spacing w:val="-1"/>
          <w:sz w:val="25"/>
        </w:rPr>
        <w:t> </w:t>
      </w:r>
      <w:r>
        <w:rPr>
          <w:sz w:val="25"/>
        </w:rPr>
        <w:t>disturbed;</w:t>
      </w:r>
    </w:p>
    <w:p>
      <w:pPr>
        <w:pStyle w:val="ListParagraph"/>
        <w:numPr>
          <w:ilvl w:val="0"/>
          <w:numId w:val="15"/>
        </w:numPr>
        <w:tabs>
          <w:tab w:pos="1221" w:val="left" w:leader="none"/>
        </w:tabs>
        <w:spacing w:line="480" w:lineRule="auto" w:before="1" w:after="0"/>
        <w:ind w:left="1220" w:right="442" w:hanging="720"/>
        <w:jc w:val="both"/>
        <w:rPr>
          <w:sz w:val="25"/>
        </w:rPr>
      </w:pPr>
      <w:r>
        <w:rPr>
          <w:sz w:val="25"/>
        </w:rPr>
        <w:t>The plaintiffs, were not a party to any prior litigation and are hence not bound by the outcome of the previous proceedings;</w:t>
      </w:r>
      <w:r>
        <w:rPr>
          <w:spacing w:val="-11"/>
          <w:sz w:val="25"/>
        </w:rPr>
        <w:t> </w:t>
      </w:r>
      <w:r>
        <w:rPr>
          <w:sz w:val="25"/>
        </w:rPr>
        <w:t>and</w:t>
      </w:r>
    </w:p>
    <w:p>
      <w:pPr>
        <w:pStyle w:val="ListParagraph"/>
        <w:numPr>
          <w:ilvl w:val="0"/>
          <w:numId w:val="15"/>
        </w:numPr>
        <w:tabs>
          <w:tab w:pos="1221" w:val="left" w:leader="none"/>
        </w:tabs>
        <w:spacing w:line="480" w:lineRule="auto" w:before="0" w:after="0"/>
        <w:ind w:left="1220" w:right="436" w:hanging="720"/>
        <w:jc w:val="both"/>
        <w:rPr>
          <w:sz w:val="25"/>
        </w:rPr>
      </w:pPr>
      <w:r>
        <w:rPr>
          <w:sz w:val="25"/>
        </w:rPr>
        <w:t>The Ram Janmabhumi at Ayodhya which contains, besides the presiding deity, other idols and deities along with its appertaining properties constitutes one integral complex with a single identity. The claim of the Muslims is confined to the area enclosed within the inner boundary wall, erected after the annexation of Oudh by the</w:t>
      </w:r>
      <w:r>
        <w:rPr>
          <w:spacing w:val="-7"/>
          <w:sz w:val="25"/>
        </w:rPr>
        <w:t> </w:t>
      </w:r>
      <w:r>
        <w:rPr>
          <w:sz w:val="25"/>
        </w:rPr>
        <w:t>British.</w:t>
      </w:r>
    </w:p>
    <w:p>
      <w:pPr>
        <w:pStyle w:val="BodyText"/>
        <w:rPr>
          <w:sz w:val="28"/>
        </w:rPr>
      </w:pPr>
    </w:p>
    <w:p>
      <w:pPr>
        <w:pStyle w:val="BodyText"/>
        <w:rPr>
          <w:sz w:val="22"/>
        </w:rPr>
      </w:pPr>
    </w:p>
    <w:p>
      <w:pPr>
        <w:pStyle w:val="BodyText"/>
        <w:spacing w:line="480" w:lineRule="auto"/>
        <w:ind w:left="500" w:right="434"/>
        <w:jc w:val="both"/>
      </w:pPr>
      <w:r>
        <w:rPr/>
        <w:t>The plaint contains a description of the demolition of the structure of the mosque on 6 December 1992 and the developments which have taken place thereafter including the promulgation of an Ordinance and subsequently, a law enacted by the Parliament for acquisition of the land.</w:t>
      </w:r>
    </w:p>
    <w:p>
      <w:pPr>
        <w:spacing w:after="0" w:line="480" w:lineRule="auto"/>
        <w:jc w:val="both"/>
        <w:sectPr>
          <w:pgSz w:w="11910" w:h="16840"/>
          <w:pgMar w:header="721" w:footer="1014" w:top="1300" w:bottom="1200" w:left="940" w:right="1000"/>
        </w:sectPr>
      </w:pPr>
    </w:p>
    <w:p>
      <w:pPr>
        <w:pStyle w:val="ListParagraph"/>
        <w:numPr>
          <w:ilvl w:val="0"/>
          <w:numId w:val="3"/>
        </w:numPr>
        <w:tabs>
          <w:tab w:pos="1220" w:val="left" w:leader="none"/>
          <w:tab w:pos="1221" w:val="left" w:leader="none"/>
        </w:tabs>
        <w:spacing w:line="240" w:lineRule="auto" w:before="124" w:after="0"/>
        <w:ind w:left="1220" w:right="0" w:hanging="721"/>
        <w:jc w:val="left"/>
        <w:rPr>
          <w:sz w:val="25"/>
        </w:rPr>
      </w:pPr>
      <w:r>
        <w:rPr>
          <w:sz w:val="25"/>
        </w:rPr>
        <w:t>In the written statement filed by Nirmohi Akhara, it has been stated</w:t>
      </w:r>
      <w:r>
        <w:rPr>
          <w:spacing w:val="-13"/>
          <w:sz w:val="25"/>
        </w:rPr>
        <w:t> </w:t>
      </w:r>
      <w:r>
        <w:rPr>
          <w:sz w:val="25"/>
        </w:rPr>
        <w:t>that:</w:t>
      </w:r>
    </w:p>
    <w:p>
      <w:pPr>
        <w:pStyle w:val="BodyText"/>
      </w:pPr>
    </w:p>
    <w:p>
      <w:pPr>
        <w:pStyle w:val="ListParagraph"/>
        <w:numPr>
          <w:ilvl w:val="1"/>
          <w:numId w:val="3"/>
        </w:numPr>
        <w:tabs>
          <w:tab w:pos="1312" w:val="left" w:leader="none"/>
        </w:tabs>
        <w:spacing w:line="480" w:lineRule="auto" w:before="1" w:after="0"/>
        <w:ind w:left="1311" w:right="441" w:hanging="720"/>
        <w:jc w:val="both"/>
        <w:rPr>
          <w:sz w:val="25"/>
        </w:rPr>
      </w:pPr>
      <w:r>
        <w:rPr>
          <w:sz w:val="25"/>
        </w:rPr>
        <w:t>The idol of Lord Ram has been installed not at Ram Janmabhumi but in the Ram Janmabhumi temple. Nirmohi Akhara has instituted a suit seeking charge and management of Ram Janmabhumi</w:t>
      </w:r>
      <w:r>
        <w:rPr>
          <w:spacing w:val="-10"/>
          <w:sz w:val="25"/>
        </w:rPr>
        <w:t> </w:t>
      </w:r>
      <w:r>
        <w:rPr>
          <w:sz w:val="25"/>
        </w:rPr>
        <w:t>temple;</w:t>
      </w:r>
    </w:p>
    <w:p>
      <w:pPr>
        <w:pStyle w:val="ListParagraph"/>
        <w:numPr>
          <w:ilvl w:val="1"/>
          <w:numId w:val="3"/>
        </w:numPr>
        <w:tabs>
          <w:tab w:pos="1312" w:val="left" w:leader="none"/>
        </w:tabs>
        <w:spacing w:line="480" w:lineRule="auto" w:before="0" w:after="0"/>
        <w:ind w:left="1311" w:right="435" w:hanging="720"/>
        <w:jc w:val="both"/>
        <w:rPr>
          <w:sz w:val="25"/>
        </w:rPr>
      </w:pPr>
      <w:r>
        <w:rPr>
          <w:sz w:val="25"/>
        </w:rPr>
        <w:t>While the birth-place of Lord Ram is not in dispute, it is the Ram Janmabhumi temple which is in dispute. The Muslims claim it to be a mosque while Nirmohi Akhara claims it to be a temple under its charge </w:t>
      </w:r>
      <w:r>
        <w:rPr>
          <w:spacing w:val="-1"/>
          <w:w w:val="99"/>
          <w:sz w:val="25"/>
        </w:rPr>
        <w:t>a</w:t>
      </w:r>
      <w:r>
        <w:rPr>
          <w:w w:val="99"/>
          <w:sz w:val="25"/>
        </w:rPr>
        <w:t>nd</w:t>
      </w:r>
      <w:r>
        <w:rPr>
          <w:spacing w:val="31"/>
          <w:sz w:val="25"/>
        </w:rPr>
        <w:t> </w:t>
      </w:r>
      <w:r>
        <w:rPr>
          <w:w w:val="99"/>
          <w:sz w:val="25"/>
        </w:rPr>
        <w:t>m</w:t>
      </w:r>
      <w:r>
        <w:rPr>
          <w:spacing w:val="-1"/>
          <w:w w:val="99"/>
          <w:sz w:val="25"/>
        </w:rPr>
        <w:t>a</w:t>
      </w:r>
      <w:r>
        <w:rPr>
          <w:w w:val="99"/>
          <w:sz w:val="25"/>
        </w:rPr>
        <w:t>n</w:t>
      </w:r>
      <w:r>
        <w:rPr>
          <w:spacing w:val="-1"/>
          <w:w w:val="99"/>
          <w:sz w:val="25"/>
        </w:rPr>
        <w:t>a</w:t>
      </w:r>
      <w:r>
        <w:rPr>
          <w:w w:val="99"/>
          <w:sz w:val="25"/>
        </w:rPr>
        <w:t>g</w:t>
      </w:r>
      <w:r>
        <w:rPr>
          <w:spacing w:val="-1"/>
          <w:w w:val="99"/>
          <w:sz w:val="25"/>
        </w:rPr>
        <w:t>e</w:t>
      </w:r>
      <w:r>
        <w:rPr>
          <w:w w:val="99"/>
          <w:sz w:val="25"/>
        </w:rPr>
        <w:t>m</w:t>
      </w:r>
      <w:r>
        <w:rPr>
          <w:spacing w:val="-1"/>
          <w:w w:val="99"/>
          <w:sz w:val="25"/>
        </w:rPr>
        <w:t>e</w:t>
      </w:r>
      <w:r>
        <w:rPr>
          <w:w w:val="99"/>
          <w:sz w:val="25"/>
        </w:rPr>
        <w:t>nt.</w:t>
      </w:r>
      <w:r>
        <w:rPr>
          <w:spacing w:val="31"/>
          <w:sz w:val="25"/>
        </w:rPr>
        <w:t> </w:t>
      </w:r>
      <w:r>
        <w:rPr>
          <w:spacing w:val="-3"/>
          <w:w w:val="99"/>
          <w:sz w:val="25"/>
        </w:rPr>
        <w:t>R</w:t>
      </w:r>
      <w:r>
        <w:rPr>
          <w:spacing w:val="-1"/>
          <w:w w:val="99"/>
          <w:sz w:val="25"/>
        </w:rPr>
        <w:t>a</w:t>
      </w:r>
      <w:r>
        <w:rPr>
          <w:w w:val="99"/>
          <w:sz w:val="25"/>
        </w:rPr>
        <w:t>m</w:t>
      </w:r>
      <w:r>
        <w:rPr>
          <w:spacing w:val="32"/>
          <w:sz w:val="25"/>
        </w:rPr>
        <w:t> </w:t>
      </w:r>
      <w:r>
        <w:rPr>
          <w:w w:val="99"/>
          <w:sz w:val="25"/>
        </w:rPr>
        <w:t>Janm</w:t>
      </w:r>
      <w:r>
        <w:rPr>
          <w:spacing w:val="-1"/>
          <w:w w:val="99"/>
          <w:sz w:val="25"/>
        </w:rPr>
        <w:t>a</w:t>
      </w:r>
      <w:r>
        <w:rPr>
          <w:w w:val="99"/>
          <w:sz w:val="25"/>
        </w:rPr>
        <w:t>b</w:t>
      </w:r>
      <w:r>
        <w:rPr>
          <w:spacing w:val="-1"/>
          <w:w w:val="99"/>
          <w:sz w:val="25"/>
        </w:rPr>
        <w:t>h</w:t>
      </w:r>
      <w:r>
        <w:rPr>
          <w:w w:val="99"/>
          <w:sz w:val="25"/>
        </w:rPr>
        <w:t>umi</w:t>
      </w:r>
      <w:r>
        <w:rPr>
          <w:spacing w:val="30"/>
          <w:sz w:val="25"/>
        </w:rPr>
        <w:t> </w:t>
      </w:r>
      <w:r>
        <w:rPr>
          <w:w w:val="99"/>
          <w:sz w:val="25"/>
        </w:rPr>
        <w:t>te</w:t>
      </w:r>
      <w:r>
        <w:rPr>
          <w:spacing w:val="-1"/>
          <w:w w:val="99"/>
          <w:sz w:val="25"/>
        </w:rPr>
        <w:t>mpl</w:t>
      </w:r>
      <w:r>
        <w:rPr>
          <w:w w:val="99"/>
          <w:sz w:val="25"/>
        </w:rPr>
        <w:t>e</w:t>
      </w:r>
      <w:r>
        <w:rPr>
          <w:spacing w:val="31"/>
          <w:sz w:val="25"/>
        </w:rPr>
        <w:t> </w:t>
      </w:r>
      <w:r>
        <w:rPr>
          <w:spacing w:val="-1"/>
          <w:w w:val="99"/>
          <w:sz w:val="25"/>
        </w:rPr>
        <w:t>i</w:t>
      </w:r>
      <w:r>
        <w:rPr>
          <w:w w:val="99"/>
          <w:sz w:val="25"/>
        </w:rPr>
        <w:t>s</w:t>
      </w:r>
      <w:r>
        <w:rPr>
          <w:spacing w:val="30"/>
          <w:sz w:val="25"/>
        </w:rPr>
        <w:t> </w:t>
      </w:r>
      <w:r>
        <w:rPr>
          <w:w w:val="99"/>
          <w:sz w:val="25"/>
        </w:rPr>
        <w:t>situated</w:t>
      </w:r>
      <w:r>
        <w:rPr>
          <w:spacing w:val="31"/>
          <w:sz w:val="25"/>
        </w:rPr>
        <w:t> </w:t>
      </w:r>
      <w:r>
        <w:rPr>
          <w:spacing w:val="-1"/>
          <w:w w:val="99"/>
          <w:sz w:val="25"/>
        </w:rPr>
        <w:t>a</w:t>
      </w:r>
      <w:r>
        <w:rPr>
          <w:w w:val="99"/>
          <w:sz w:val="25"/>
        </w:rPr>
        <w:t>t</w:t>
      </w:r>
      <w:r>
        <w:rPr>
          <w:spacing w:val="31"/>
          <w:sz w:val="25"/>
        </w:rPr>
        <w:t> </w:t>
      </w:r>
      <w:r>
        <w:rPr>
          <w:w w:val="33"/>
          <w:sz w:val="25"/>
        </w:rPr>
        <w:t>―</w:t>
      </w:r>
      <w:r>
        <w:rPr>
          <w:spacing w:val="-1"/>
          <w:w w:val="99"/>
          <w:sz w:val="25"/>
        </w:rPr>
        <w:t>A</w:t>
      </w:r>
      <w:r>
        <w:rPr>
          <w:w w:val="99"/>
          <w:sz w:val="25"/>
        </w:rPr>
        <w:t>sthan</w:t>
      </w:r>
      <w:r>
        <w:rPr>
          <w:spacing w:val="31"/>
          <w:sz w:val="25"/>
        </w:rPr>
        <w:t> </w:t>
      </w:r>
      <w:r>
        <w:rPr>
          <w:spacing w:val="-1"/>
          <w:w w:val="99"/>
          <w:sz w:val="25"/>
        </w:rPr>
        <w:t>Ram </w:t>
      </w:r>
      <w:r>
        <w:rPr>
          <w:sz w:val="25"/>
        </w:rPr>
        <w:t>Janmabhumi‖ (the birth-place of Lord Ram), Mohalla Ram Kot at Ayodhya;</w:t>
      </w:r>
    </w:p>
    <w:p>
      <w:pPr>
        <w:pStyle w:val="ListParagraph"/>
        <w:numPr>
          <w:ilvl w:val="1"/>
          <w:numId w:val="3"/>
        </w:numPr>
        <w:tabs>
          <w:tab w:pos="1312" w:val="left" w:leader="none"/>
        </w:tabs>
        <w:spacing w:line="480" w:lineRule="auto" w:before="0" w:after="0"/>
        <w:ind w:left="1311" w:right="441" w:hanging="720"/>
        <w:jc w:val="both"/>
        <w:rPr>
          <w:sz w:val="25"/>
        </w:rPr>
      </w:pPr>
      <w:r>
        <w:rPr>
          <w:sz w:val="25"/>
        </w:rPr>
        <w:t>Nirmohi Akhara is the Shebait of the idol of Lord Ram installed in the temple in dispute and has the exclusive right to repair and reconstruct the temple, if necessary;</w:t>
      </w:r>
      <w:r>
        <w:rPr>
          <w:spacing w:val="-3"/>
          <w:sz w:val="25"/>
        </w:rPr>
        <w:t> </w:t>
      </w:r>
      <w:r>
        <w:rPr>
          <w:sz w:val="25"/>
        </w:rPr>
        <w:t>and</w:t>
      </w:r>
    </w:p>
    <w:p>
      <w:pPr>
        <w:pStyle w:val="ListParagraph"/>
        <w:numPr>
          <w:ilvl w:val="1"/>
          <w:numId w:val="3"/>
        </w:numPr>
        <w:tabs>
          <w:tab w:pos="1312" w:val="left" w:leader="none"/>
        </w:tabs>
        <w:spacing w:line="480" w:lineRule="auto" w:before="0" w:after="0"/>
        <w:ind w:left="1311" w:right="437" w:hanging="720"/>
        <w:jc w:val="both"/>
        <w:rPr>
          <w:sz w:val="25"/>
        </w:rPr>
      </w:pPr>
      <w:r>
        <w:rPr>
          <w:w w:val="33"/>
          <w:sz w:val="25"/>
        </w:rPr>
        <w:t>―</w:t>
      </w:r>
      <w:r>
        <w:rPr>
          <w:spacing w:val="-1"/>
          <w:w w:val="99"/>
          <w:sz w:val="25"/>
        </w:rPr>
        <w:t>Ra</w:t>
      </w:r>
      <w:r>
        <w:rPr>
          <w:w w:val="99"/>
          <w:sz w:val="25"/>
        </w:rPr>
        <w:t>m</w:t>
      </w:r>
      <w:r>
        <w:rPr>
          <w:spacing w:val="5"/>
          <w:sz w:val="25"/>
        </w:rPr>
        <w:t> </w:t>
      </w:r>
      <w:r>
        <w:rPr>
          <w:w w:val="99"/>
          <w:sz w:val="25"/>
        </w:rPr>
        <w:t>Janm</w:t>
      </w:r>
      <w:r>
        <w:rPr>
          <w:spacing w:val="-1"/>
          <w:w w:val="99"/>
          <w:sz w:val="25"/>
        </w:rPr>
        <w:t>a</w:t>
      </w:r>
      <w:r>
        <w:rPr>
          <w:w w:val="99"/>
          <w:sz w:val="25"/>
        </w:rPr>
        <w:t>b</w:t>
      </w:r>
      <w:r>
        <w:rPr>
          <w:spacing w:val="-1"/>
          <w:w w:val="99"/>
          <w:sz w:val="25"/>
        </w:rPr>
        <w:t>h</w:t>
      </w:r>
      <w:r>
        <w:rPr>
          <w:spacing w:val="-2"/>
          <w:w w:val="99"/>
          <w:sz w:val="25"/>
        </w:rPr>
        <w:t>u</w:t>
      </w:r>
      <w:r>
        <w:rPr>
          <w:w w:val="99"/>
          <w:sz w:val="25"/>
        </w:rPr>
        <w:t>mi</w:t>
      </w:r>
      <w:r>
        <w:rPr>
          <w:spacing w:val="4"/>
          <w:sz w:val="25"/>
        </w:rPr>
        <w:t> </w:t>
      </w:r>
      <w:r>
        <w:rPr>
          <w:spacing w:val="-1"/>
          <w:w w:val="99"/>
          <w:sz w:val="25"/>
        </w:rPr>
        <w:t>A</w:t>
      </w:r>
      <w:r>
        <w:rPr>
          <w:w w:val="99"/>
          <w:sz w:val="25"/>
        </w:rPr>
        <w:t>stha</w:t>
      </w:r>
      <w:r>
        <w:rPr>
          <w:spacing w:val="-1"/>
          <w:w w:val="91"/>
          <w:sz w:val="25"/>
        </w:rPr>
        <w:t>n</w:t>
      </w:r>
      <w:r>
        <w:rPr>
          <w:w w:val="91"/>
          <w:sz w:val="25"/>
        </w:rPr>
        <w:t>‖</w:t>
      </w:r>
      <w:r>
        <w:rPr>
          <w:spacing w:val="5"/>
          <w:sz w:val="25"/>
        </w:rPr>
        <w:t> </w:t>
      </w:r>
      <w:r>
        <w:rPr>
          <w:spacing w:val="-1"/>
          <w:w w:val="99"/>
          <w:sz w:val="25"/>
        </w:rPr>
        <w:t>i</w:t>
      </w:r>
      <w:r>
        <w:rPr>
          <w:w w:val="99"/>
          <w:sz w:val="25"/>
        </w:rPr>
        <w:t>s</w:t>
      </w:r>
      <w:r>
        <w:rPr>
          <w:spacing w:val="4"/>
          <w:sz w:val="25"/>
        </w:rPr>
        <w:t> </w:t>
      </w:r>
      <w:r>
        <w:rPr>
          <w:spacing w:val="-1"/>
          <w:w w:val="99"/>
          <w:sz w:val="25"/>
        </w:rPr>
        <w:t>n</w:t>
      </w:r>
      <w:r>
        <w:rPr>
          <w:w w:val="99"/>
          <w:sz w:val="25"/>
        </w:rPr>
        <w:t>ot</w:t>
      </w:r>
      <w:r>
        <w:rPr>
          <w:spacing w:val="2"/>
          <w:sz w:val="25"/>
        </w:rPr>
        <w:t> </w:t>
      </w:r>
      <w:r>
        <w:rPr>
          <w:w w:val="99"/>
          <w:sz w:val="25"/>
        </w:rPr>
        <w:t>a</w:t>
      </w:r>
      <w:r>
        <w:rPr>
          <w:spacing w:val="5"/>
          <w:sz w:val="25"/>
        </w:rPr>
        <w:t> </w:t>
      </w:r>
      <w:r>
        <w:rPr>
          <w:spacing w:val="-1"/>
          <w:w w:val="99"/>
          <w:sz w:val="25"/>
        </w:rPr>
        <w:t>j</w:t>
      </w:r>
      <w:r>
        <w:rPr>
          <w:spacing w:val="-3"/>
          <w:w w:val="99"/>
          <w:sz w:val="25"/>
        </w:rPr>
        <w:t>u</w:t>
      </w:r>
      <w:r>
        <w:rPr>
          <w:w w:val="99"/>
          <w:sz w:val="25"/>
        </w:rPr>
        <w:t>r</w:t>
      </w:r>
      <w:r>
        <w:rPr>
          <w:spacing w:val="-1"/>
          <w:w w:val="99"/>
          <w:sz w:val="25"/>
        </w:rPr>
        <w:t>idica</w:t>
      </w:r>
      <w:r>
        <w:rPr>
          <w:w w:val="99"/>
          <w:sz w:val="25"/>
        </w:rPr>
        <w:t>l</w:t>
      </w:r>
      <w:r>
        <w:rPr>
          <w:spacing w:val="10"/>
          <w:sz w:val="25"/>
        </w:rPr>
        <w:t> </w:t>
      </w:r>
      <w:r>
        <w:rPr>
          <w:w w:val="99"/>
          <w:sz w:val="25"/>
        </w:rPr>
        <w:t>pe</w:t>
      </w:r>
      <w:r>
        <w:rPr>
          <w:w w:val="99"/>
          <w:sz w:val="25"/>
        </w:rPr>
        <w:t>r</w:t>
      </w:r>
      <w:r>
        <w:rPr>
          <w:w w:val="99"/>
          <w:sz w:val="25"/>
        </w:rPr>
        <w:t>son</w:t>
      </w:r>
      <w:r>
        <w:rPr>
          <w:w w:val="99"/>
          <w:sz w:val="25"/>
        </w:rPr>
        <w:t>.</w:t>
      </w:r>
      <w:r>
        <w:rPr>
          <w:spacing w:val="2"/>
          <w:sz w:val="25"/>
        </w:rPr>
        <w:t> </w:t>
      </w:r>
      <w:r>
        <w:rPr>
          <w:w w:val="99"/>
          <w:sz w:val="25"/>
        </w:rPr>
        <w:t>T</w:t>
      </w:r>
      <w:r>
        <w:rPr>
          <w:w w:val="99"/>
          <w:sz w:val="25"/>
        </w:rPr>
        <w:t>he</w:t>
      </w:r>
      <w:r>
        <w:rPr>
          <w:spacing w:val="5"/>
          <w:sz w:val="25"/>
        </w:rPr>
        <w:t> </w:t>
      </w:r>
      <w:r>
        <w:rPr>
          <w:w w:val="99"/>
          <w:sz w:val="25"/>
        </w:rPr>
        <w:t>plain</w:t>
      </w:r>
      <w:r>
        <w:rPr>
          <w:w w:val="99"/>
          <w:sz w:val="25"/>
        </w:rPr>
        <w:t>tif</w:t>
      </w:r>
      <w:r>
        <w:rPr>
          <w:spacing w:val="-2"/>
          <w:w w:val="99"/>
          <w:sz w:val="25"/>
        </w:rPr>
        <w:t>f</w:t>
      </w:r>
      <w:r>
        <w:rPr>
          <w:w w:val="99"/>
          <w:sz w:val="25"/>
        </w:rPr>
        <w:t>s</w:t>
      </w:r>
      <w:r>
        <w:rPr>
          <w:spacing w:val="4"/>
          <w:sz w:val="25"/>
        </w:rPr>
        <w:t> </w:t>
      </w:r>
      <w:r>
        <w:rPr>
          <w:w w:val="99"/>
          <w:sz w:val="25"/>
        </w:rPr>
        <w:t>of</w:t>
      </w:r>
      <w:r>
        <w:rPr>
          <w:spacing w:val="5"/>
          <w:sz w:val="25"/>
        </w:rPr>
        <w:t> </w:t>
      </w:r>
      <w:r>
        <w:rPr>
          <w:w w:val="99"/>
          <w:sz w:val="25"/>
        </w:rPr>
        <w:t>suit</w:t>
      </w:r>
      <w:r>
        <w:rPr>
          <w:sz w:val="25"/>
        </w:rPr>
        <w:t> </w:t>
      </w:r>
      <w:r>
        <w:rPr>
          <w:w w:val="99"/>
          <w:sz w:val="25"/>
        </w:rPr>
        <w:t>5 </w:t>
      </w:r>
      <w:r>
        <w:rPr>
          <w:sz w:val="25"/>
        </w:rPr>
        <w:t>have no real title to sue. The entire premises belong to Nirmohi Akhara, the answering defendant. Hence, according to the written statement the plaintiffs have no right to seek a</w:t>
      </w:r>
      <w:r>
        <w:rPr>
          <w:spacing w:val="-6"/>
          <w:sz w:val="25"/>
        </w:rPr>
        <w:t> </w:t>
      </w:r>
      <w:r>
        <w:rPr>
          <w:sz w:val="25"/>
        </w:rPr>
        <w:t>declaration.</w:t>
      </w:r>
    </w:p>
    <w:p>
      <w:pPr>
        <w:pStyle w:val="BodyText"/>
        <w:spacing w:before="11"/>
        <w:rPr>
          <w:sz w:val="24"/>
        </w:rPr>
      </w:pPr>
    </w:p>
    <w:p>
      <w:pPr>
        <w:pStyle w:val="BodyText"/>
        <w:ind w:left="500"/>
      </w:pPr>
      <w:r>
        <w:rPr/>
        <w:t>According to the written statement of the </w:t>
      </w:r>
      <w:r>
        <w:rPr>
          <w:color w:val="000009"/>
        </w:rPr>
        <w:t>Sunni Central Waqf Board</w:t>
      </w:r>
      <w:r>
        <w:rPr/>
        <w:t>:</w:t>
      </w:r>
    </w:p>
    <w:p>
      <w:pPr>
        <w:pStyle w:val="BodyText"/>
        <w:spacing w:before="1"/>
      </w:pPr>
    </w:p>
    <w:p>
      <w:pPr>
        <w:pStyle w:val="ListParagraph"/>
        <w:numPr>
          <w:ilvl w:val="0"/>
          <w:numId w:val="16"/>
        </w:numPr>
        <w:tabs>
          <w:tab w:pos="1220" w:val="left" w:leader="none"/>
          <w:tab w:pos="1221" w:val="left" w:leader="none"/>
        </w:tabs>
        <w:spacing w:line="240" w:lineRule="auto" w:before="0" w:after="0"/>
        <w:ind w:left="1220" w:right="0" w:hanging="721"/>
        <w:jc w:val="left"/>
        <w:rPr>
          <w:sz w:val="25"/>
        </w:rPr>
      </w:pPr>
      <w:r>
        <w:rPr>
          <w:sz w:val="25"/>
        </w:rPr>
        <w:t>Neither the first nor the second plaintiffs are juridical</w:t>
      </w:r>
      <w:r>
        <w:rPr>
          <w:spacing w:val="-9"/>
          <w:sz w:val="25"/>
        </w:rPr>
        <w:t> </w:t>
      </w:r>
      <w:r>
        <w:rPr>
          <w:sz w:val="25"/>
        </w:rPr>
        <w:t>persons;</w:t>
      </w:r>
    </w:p>
    <w:p>
      <w:pPr>
        <w:pStyle w:val="BodyText"/>
        <w:spacing w:before="10"/>
        <w:rPr>
          <w:sz w:val="24"/>
        </w:rPr>
      </w:pPr>
    </w:p>
    <w:p>
      <w:pPr>
        <w:pStyle w:val="ListParagraph"/>
        <w:numPr>
          <w:ilvl w:val="0"/>
          <w:numId w:val="16"/>
        </w:numPr>
        <w:tabs>
          <w:tab w:pos="1220" w:val="left" w:leader="none"/>
          <w:tab w:pos="1221" w:val="left" w:leader="none"/>
        </w:tabs>
        <w:spacing w:line="240" w:lineRule="auto" w:before="0" w:after="0"/>
        <w:ind w:left="1220" w:right="0" w:hanging="721"/>
        <w:jc w:val="left"/>
        <w:rPr>
          <w:sz w:val="25"/>
        </w:rPr>
      </w:pPr>
      <w:r>
        <w:rPr>
          <w:sz w:val="25"/>
        </w:rPr>
        <w:t>There is no presiding deity of Lord Ram at the place in</w:t>
      </w:r>
      <w:r>
        <w:rPr>
          <w:spacing w:val="-11"/>
          <w:sz w:val="25"/>
        </w:rPr>
        <w:t> </w:t>
      </w:r>
      <w:r>
        <w:rPr>
          <w:sz w:val="25"/>
        </w:rPr>
        <w:t>dispute;</w:t>
      </w:r>
    </w:p>
    <w:p>
      <w:pPr>
        <w:pStyle w:val="BodyText"/>
        <w:spacing w:before="1"/>
      </w:pPr>
    </w:p>
    <w:p>
      <w:pPr>
        <w:pStyle w:val="ListParagraph"/>
        <w:numPr>
          <w:ilvl w:val="0"/>
          <w:numId w:val="16"/>
        </w:numPr>
        <w:tabs>
          <w:tab w:pos="1221" w:val="left" w:leader="none"/>
        </w:tabs>
        <w:spacing w:line="480" w:lineRule="auto" w:before="0" w:after="0"/>
        <w:ind w:left="1220" w:right="432" w:hanging="720"/>
        <w:jc w:val="both"/>
        <w:rPr>
          <w:sz w:val="25"/>
        </w:rPr>
      </w:pPr>
      <w:r>
        <w:rPr>
          <w:sz w:val="25"/>
        </w:rPr>
        <w:t>The idols were surreptitiously placed inside the mosque on the night of </w:t>
      </w:r>
      <w:r>
        <w:rPr>
          <w:spacing w:val="3"/>
          <w:sz w:val="25"/>
        </w:rPr>
        <w:t>22- </w:t>
      </w:r>
      <w:r>
        <w:rPr>
          <w:sz w:val="25"/>
        </w:rPr>
        <w:t>23 December 1949. There is neither any presiding deity nor a</w:t>
      </w:r>
      <w:r>
        <w:rPr>
          <w:spacing w:val="-21"/>
          <w:sz w:val="25"/>
        </w:rPr>
        <w:t> </w:t>
      </w:r>
      <w:r>
        <w:rPr>
          <w:sz w:val="25"/>
        </w:rPr>
        <w:t>Janmasthan;</w:t>
      </w:r>
    </w:p>
    <w:p>
      <w:pPr>
        <w:pStyle w:val="ListParagraph"/>
        <w:numPr>
          <w:ilvl w:val="0"/>
          <w:numId w:val="16"/>
        </w:numPr>
        <w:tabs>
          <w:tab w:pos="1221" w:val="left" w:leader="none"/>
        </w:tabs>
        <w:spacing w:line="482" w:lineRule="auto" w:before="0" w:after="0"/>
        <w:ind w:left="1220" w:right="439" w:hanging="720"/>
        <w:jc w:val="both"/>
        <w:rPr>
          <w:sz w:val="25"/>
        </w:rPr>
      </w:pPr>
      <w:r>
        <w:rPr>
          <w:sz w:val="25"/>
        </w:rPr>
        <w:t>The Suit of 1885 was instituted by Mahant Raghubar Das in his capacity  as</w:t>
      </w:r>
      <w:r>
        <w:rPr>
          <w:spacing w:val="15"/>
          <w:sz w:val="25"/>
        </w:rPr>
        <w:t> </w:t>
      </w:r>
      <w:r>
        <w:rPr>
          <w:sz w:val="25"/>
        </w:rPr>
        <w:t>Mahant</w:t>
      </w:r>
      <w:r>
        <w:rPr>
          <w:spacing w:val="13"/>
          <w:sz w:val="25"/>
        </w:rPr>
        <w:t> </w:t>
      </w:r>
      <w:r>
        <w:rPr>
          <w:sz w:val="25"/>
        </w:rPr>
        <w:t>of</w:t>
      </w:r>
      <w:r>
        <w:rPr>
          <w:spacing w:val="12"/>
          <w:sz w:val="25"/>
        </w:rPr>
        <w:t> </w:t>
      </w:r>
      <w:r>
        <w:rPr>
          <w:sz w:val="25"/>
        </w:rPr>
        <w:t>the</w:t>
      </w:r>
      <w:r>
        <w:rPr>
          <w:spacing w:val="14"/>
          <w:sz w:val="25"/>
        </w:rPr>
        <w:t> </w:t>
      </w:r>
      <w:r>
        <w:rPr>
          <w:sz w:val="25"/>
        </w:rPr>
        <w:t>Janmasthan</w:t>
      </w:r>
      <w:r>
        <w:rPr>
          <w:spacing w:val="13"/>
          <w:sz w:val="25"/>
        </w:rPr>
        <w:t> </w:t>
      </w:r>
      <w:r>
        <w:rPr>
          <w:sz w:val="25"/>
        </w:rPr>
        <w:t>of</w:t>
      </w:r>
      <w:r>
        <w:rPr>
          <w:spacing w:val="12"/>
          <w:sz w:val="25"/>
        </w:rPr>
        <w:t> </w:t>
      </w:r>
      <w:r>
        <w:rPr>
          <w:sz w:val="25"/>
        </w:rPr>
        <w:t>Ayodhya</w:t>
      </w:r>
      <w:r>
        <w:rPr>
          <w:spacing w:val="16"/>
          <w:sz w:val="25"/>
        </w:rPr>
        <w:t> </w:t>
      </w:r>
      <w:r>
        <w:rPr>
          <w:sz w:val="25"/>
        </w:rPr>
        <w:t>seeking</w:t>
      </w:r>
      <w:r>
        <w:rPr>
          <w:spacing w:val="13"/>
          <w:sz w:val="25"/>
        </w:rPr>
        <w:t> </w:t>
      </w:r>
      <w:r>
        <w:rPr>
          <w:sz w:val="25"/>
        </w:rPr>
        <w:t>permission</w:t>
      </w:r>
      <w:r>
        <w:rPr>
          <w:spacing w:val="12"/>
          <w:sz w:val="25"/>
        </w:rPr>
        <w:t> </w:t>
      </w:r>
      <w:r>
        <w:rPr>
          <w:sz w:val="25"/>
        </w:rPr>
        <w:t>to</w:t>
      </w:r>
      <w:r>
        <w:rPr>
          <w:spacing w:val="13"/>
          <w:sz w:val="25"/>
        </w:rPr>
        <w:t> </w:t>
      </w:r>
      <w:r>
        <w:rPr>
          <w:sz w:val="25"/>
        </w:rPr>
        <w:t>establish</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1220" w:right="435"/>
        <w:jc w:val="both"/>
      </w:pPr>
      <w:r>
        <w:rPr/>
        <w:t>a temple over a platform or Chabutra. The mosque was depicted in the site plan on the western side of the Chabutra. The suit was instituted on behalf of other Mahants and Hindus of Ayodhya and Faizabad. The suit was dismissed. The first and second appeals were also rejected. Since the claim in the earlier suit was confined only to the Chabutra admeasuring seventeen by twenty-one feet outside the mosque, the claim in the present suit is barred;</w:t>
      </w:r>
    </w:p>
    <w:p>
      <w:pPr>
        <w:pStyle w:val="ListParagraph"/>
        <w:numPr>
          <w:ilvl w:val="0"/>
          <w:numId w:val="16"/>
        </w:numPr>
        <w:tabs>
          <w:tab w:pos="1221" w:val="left" w:leader="none"/>
        </w:tabs>
        <w:spacing w:line="480" w:lineRule="auto" w:before="0" w:after="0"/>
        <w:ind w:left="1220" w:right="441" w:hanging="720"/>
        <w:jc w:val="both"/>
        <w:rPr>
          <w:sz w:val="25"/>
        </w:rPr>
      </w:pPr>
      <w:r>
        <w:rPr>
          <w:sz w:val="25"/>
        </w:rPr>
        <w:t>There exists another temple known as the Janmasthan temple situated at a distance of less than one hundred yards from Babri</w:t>
      </w:r>
      <w:r>
        <w:rPr>
          <w:spacing w:val="-11"/>
          <w:sz w:val="25"/>
        </w:rPr>
        <w:t> </w:t>
      </w:r>
      <w:r>
        <w:rPr>
          <w:sz w:val="25"/>
        </w:rPr>
        <w:t>Masjid;</w:t>
      </w:r>
    </w:p>
    <w:p>
      <w:pPr>
        <w:pStyle w:val="ListParagraph"/>
        <w:numPr>
          <w:ilvl w:val="0"/>
          <w:numId w:val="16"/>
        </w:numPr>
        <w:tabs>
          <w:tab w:pos="1221" w:val="left" w:leader="none"/>
        </w:tabs>
        <w:spacing w:line="480" w:lineRule="auto" w:before="0" w:after="0"/>
        <w:ind w:left="1220" w:right="444" w:hanging="720"/>
        <w:jc w:val="both"/>
        <w:rPr>
          <w:sz w:val="25"/>
        </w:rPr>
      </w:pPr>
      <w:r>
        <w:rPr>
          <w:sz w:val="25"/>
        </w:rPr>
        <w:t>The mosque was not constructed on the site of an existing temple or upon its</w:t>
      </w:r>
      <w:r>
        <w:rPr>
          <w:spacing w:val="-2"/>
          <w:sz w:val="25"/>
        </w:rPr>
        <w:t> </w:t>
      </w:r>
      <w:r>
        <w:rPr>
          <w:sz w:val="25"/>
        </w:rPr>
        <w:t>destruction;</w:t>
      </w:r>
    </w:p>
    <w:p>
      <w:pPr>
        <w:pStyle w:val="ListParagraph"/>
        <w:numPr>
          <w:ilvl w:val="0"/>
          <w:numId w:val="16"/>
        </w:numPr>
        <w:tabs>
          <w:tab w:pos="1221" w:val="left" w:leader="none"/>
        </w:tabs>
        <w:spacing w:line="480" w:lineRule="auto" w:before="0" w:after="0"/>
        <w:ind w:left="1220" w:right="437" w:hanging="720"/>
        <w:jc w:val="both"/>
        <w:rPr>
          <w:sz w:val="25"/>
        </w:rPr>
      </w:pPr>
      <w:r>
        <w:rPr>
          <w:sz w:val="25"/>
        </w:rPr>
        <w:t>During the regime of Emperor Babur the land belonged to the State and the mosque was constructed on vacant land which did not belong to any person;</w:t>
      </w:r>
    </w:p>
    <w:p>
      <w:pPr>
        <w:pStyle w:val="ListParagraph"/>
        <w:numPr>
          <w:ilvl w:val="0"/>
          <w:numId w:val="16"/>
        </w:numPr>
        <w:tabs>
          <w:tab w:pos="1221" w:val="left" w:leader="none"/>
        </w:tabs>
        <w:spacing w:line="480" w:lineRule="auto" w:before="1" w:after="0"/>
        <w:ind w:left="1220" w:right="436" w:hanging="720"/>
        <w:jc w:val="both"/>
        <w:rPr>
          <w:sz w:val="25"/>
        </w:rPr>
      </w:pPr>
      <w:r>
        <w:rPr>
          <w:sz w:val="25"/>
        </w:rPr>
        <w:t>The structure has always been used as a mosque ever since its construction during the regime of Emperor Babur, who was a Sunni Muslim;</w:t>
      </w:r>
    </w:p>
    <w:p>
      <w:pPr>
        <w:pStyle w:val="ListParagraph"/>
        <w:numPr>
          <w:ilvl w:val="0"/>
          <w:numId w:val="16"/>
        </w:numPr>
        <w:tabs>
          <w:tab w:pos="1221" w:val="left" w:leader="none"/>
        </w:tabs>
        <w:spacing w:line="480" w:lineRule="auto" w:before="1" w:after="0"/>
        <w:ind w:left="1220" w:right="437" w:hanging="720"/>
        <w:jc w:val="both"/>
        <w:rPr>
          <w:sz w:val="25"/>
        </w:rPr>
      </w:pPr>
      <w:r>
        <w:rPr>
          <w:sz w:val="25"/>
        </w:rPr>
        <w:t>The possession of Muslims was uninterrupted and continuous since the construction of the mosque, until 22 December 1949. Therefore, any alleged right to the contrary is deemed to have been extinguished by adverse</w:t>
      </w:r>
      <w:r>
        <w:rPr>
          <w:spacing w:val="-2"/>
          <w:sz w:val="25"/>
        </w:rPr>
        <w:t> </w:t>
      </w:r>
      <w:r>
        <w:rPr>
          <w:sz w:val="25"/>
        </w:rPr>
        <w:t>possession;</w:t>
      </w:r>
    </w:p>
    <w:p>
      <w:pPr>
        <w:pStyle w:val="ListParagraph"/>
        <w:numPr>
          <w:ilvl w:val="0"/>
          <w:numId w:val="16"/>
        </w:numPr>
        <w:tabs>
          <w:tab w:pos="1221" w:val="left" w:leader="none"/>
        </w:tabs>
        <w:spacing w:line="480" w:lineRule="auto" w:before="0" w:after="0"/>
        <w:ind w:left="1220" w:right="437" w:hanging="720"/>
        <w:jc w:val="both"/>
        <w:rPr>
          <w:sz w:val="25"/>
        </w:rPr>
      </w:pPr>
      <w:r>
        <w:rPr>
          <w:sz w:val="25"/>
        </w:rPr>
        <w:t>Prayers were offered in the mosque five times every day, regularly until 22 December 1949 and Friday prayers were offered until 16 December</w:t>
      </w:r>
      <w:r>
        <w:rPr>
          <w:spacing w:val="-18"/>
          <w:sz w:val="25"/>
        </w:rPr>
        <w:t> </w:t>
      </w:r>
      <w:r>
        <w:rPr>
          <w:sz w:val="25"/>
        </w:rPr>
        <w:t>1949;</w:t>
      </w:r>
    </w:p>
    <w:p>
      <w:pPr>
        <w:spacing w:after="0" w:line="480" w:lineRule="auto"/>
        <w:jc w:val="both"/>
        <w:rPr>
          <w:sz w:val="25"/>
        </w:rPr>
        <w:sectPr>
          <w:pgSz w:w="11910" w:h="16840"/>
          <w:pgMar w:header="721" w:footer="1014" w:top="1300" w:bottom="1200" w:left="940" w:right="1000"/>
        </w:sectPr>
      </w:pPr>
    </w:p>
    <w:p>
      <w:pPr>
        <w:pStyle w:val="ListParagraph"/>
        <w:numPr>
          <w:ilvl w:val="0"/>
          <w:numId w:val="16"/>
        </w:numPr>
        <w:tabs>
          <w:tab w:pos="1221" w:val="left" w:leader="none"/>
        </w:tabs>
        <w:spacing w:line="480" w:lineRule="auto" w:before="124" w:after="0"/>
        <w:ind w:left="1220" w:right="437" w:hanging="720"/>
        <w:jc w:val="both"/>
        <w:rPr>
          <w:sz w:val="25"/>
        </w:rPr>
      </w:pPr>
      <w:r>
        <w:rPr>
          <w:sz w:val="25"/>
        </w:rPr>
        <w:t>On 22-23 December 1949, some Bairagis forcibly entered into the mosque and placed an idol below the central dome. This came to the knowledge of Muslims who attended the mosque for prayers on 23 December 1949 after which proceedings were initiated under Section 145 of the CrPC 1898. The possession of the building has remained with the receiver from 5 January 1950;</w:t>
      </w:r>
    </w:p>
    <w:p>
      <w:pPr>
        <w:pStyle w:val="ListParagraph"/>
        <w:numPr>
          <w:ilvl w:val="0"/>
          <w:numId w:val="16"/>
        </w:numPr>
        <w:tabs>
          <w:tab w:pos="1221" w:val="left" w:leader="none"/>
        </w:tabs>
        <w:spacing w:line="480" w:lineRule="auto" w:before="0" w:after="0"/>
        <w:ind w:left="1220" w:right="435" w:hanging="720"/>
        <w:jc w:val="both"/>
        <w:rPr>
          <w:sz w:val="25"/>
        </w:rPr>
      </w:pPr>
      <w:r>
        <w:rPr>
          <w:sz w:val="25"/>
        </w:rPr>
        <w:t>The third plaintiff in Suit 5 could have got himself impleaded as a party to the suit instituted by the Sunni Central Waqf Board. Having failed to do so the third plaintiff cannot maintain Suit 5 as the next friend of the</w:t>
      </w:r>
      <w:r>
        <w:rPr>
          <w:spacing w:val="-15"/>
          <w:sz w:val="25"/>
        </w:rPr>
        <w:t> </w:t>
      </w:r>
      <w:r>
        <w:rPr>
          <w:sz w:val="25"/>
        </w:rPr>
        <w:t>deities;</w:t>
      </w:r>
    </w:p>
    <w:p>
      <w:pPr>
        <w:pStyle w:val="ListParagraph"/>
        <w:numPr>
          <w:ilvl w:val="0"/>
          <w:numId w:val="16"/>
        </w:numPr>
        <w:tabs>
          <w:tab w:pos="1221" w:val="left" w:leader="none"/>
        </w:tabs>
        <w:spacing w:line="480" w:lineRule="auto" w:before="0" w:after="0"/>
        <w:ind w:left="1220" w:right="441" w:hanging="720"/>
        <w:jc w:val="both"/>
        <w:rPr>
          <w:sz w:val="25"/>
        </w:rPr>
      </w:pPr>
      <w:r>
        <w:rPr>
          <w:sz w:val="25"/>
        </w:rPr>
        <w:t>The third plaintiff has never been associated with the management and puja of the idols and cannot claim himself to be the next friend of Lord Ram;</w:t>
      </w:r>
    </w:p>
    <w:p>
      <w:pPr>
        <w:pStyle w:val="ListParagraph"/>
        <w:numPr>
          <w:ilvl w:val="0"/>
          <w:numId w:val="16"/>
        </w:numPr>
        <w:tabs>
          <w:tab w:pos="1221" w:val="left" w:leader="none"/>
        </w:tabs>
        <w:spacing w:line="480" w:lineRule="auto" w:before="1" w:after="0"/>
        <w:ind w:left="1220" w:right="439" w:hanging="720"/>
        <w:jc w:val="both"/>
        <w:rPr>
          <w:sz w:val="25"/>
        </w:rPr>
      </w:pPr>
      <w:r>
        <w:rPr>
          <w:sz w:val="25"/>
        </w:rPr>
        <w:t>There is no presiding deity as represented by the first plaintiff and it is </w:t>
      </w:r>
      <w:r>
        <w:rPr>
          <w:w w:val="99"/>
          <w:sz w:val="25"/>
        </w:rPr>
        <w:t>inco</w:t>
      </w:r>
      <w:r>
        <w:rPr>
          <w:spacing w:val="1"/>
          <w:w w:val="99"/>
          <w:sz w:val="25"/>
        </w:rPr>
        <w:t>r</w:t>
      </w:r>
      <w:r>
        <w:rPr>
          <w:w w:val="99"/>
          <w:sz w:val="25"/>
        </w:rPr>
        <w:t>rect</w:t>
      </w:r>
      <w:r>
        <w:rPr>
          <w:spacing w:val="2"/>
          <w:sz w:val="25"/>
        </w:rPr>
        <w:t> </w:t>
      </w:r>
      <w:r>
        <w:rPr>
          <w:w w:val="99"/>
          <w:sz w:val="25"/>
        </w:rPr>
        <w:t>to</w:t>
      </w:r>
      <w:r>
        <w:rPr>
          <w:spacing w:val="2"/>
          <w:sz w:val="25"/>
        </w:rPr>
        <w:t> </w:t>
      </w:r>
      <w:r>
        <w:rPr>
          <w:w w:val="99"/>
          <w:sz w:val="25"/>
        </w:rPr>
        <w:t>say</w:t>
      </w:r>
      <w:r>
        <w:rPr>
          <w:sz w:val="25"/>
        </w:rPr>
        <w:t> </w:t>
      </w:r>
      <w:r>
        <w:rPr>
          <w:w w:val="99"/>
          <w:sz w:val="25"/>
        </w:rPr>
        <w:t>tha</w:t>
      </w:r>
      <w:r>
        <w:rPr>
          <w:w w:val="99"/>
          <w:sz w:val="25"/>
        </w:rPr>
        <w:t>t</w:t>
      </w:r>
      <w:r>
        <w:rPr>
          <w:spacing w:val="2"/>
          <w:sz w:val="25"/>
        </w:rPr>
        <w:t> </w:t>
      </w:r>
      <w:r>
        <w:rPr>
          <w:w w:val="99"/>
          <w:sz w:val="25"/>
        </w:rPr>
        <w:t>the</w:t>
      </w:r>
      <w:r>
        <w:rPr>
          <w:spacing w:val="2"/>
          <w:sz w:val="25"/>
        </w:rPr>
        <w:t> </w:t>
      </w:r>
      <w:r>
        <w:rPr>
          <w:w w:val="99"/>
          <w:sz w:val="25"/>
        </w:rPr>
        <w:t>foo</w:t>
      </w:r>
      <w:r>
        <w:rPr>
          <w:w w:val="99"/>
          <w:sz w:val="25"/>
        </w:rPr>
        <w:t>tste</w:t>
      </w:r>
      <w:r>
        <w:rPr>
          <w:w w:val="99"/>
          <w:sz w:val="25"/>
        </w:rPr>
        <w:t>ps</w:t>
      </w:r>
      <w:r>
        <w:rPr>
          <w:spacing w:val="2"/>
          <w:sz w:val="25"/>
        </w:rPr>
        <w:t> </w:t>
      </w:r>
      <w:r>
        <w:rPr>
          <w:spacing w:val="5"/>
          <w:w w:val="99"/>
          <w:sz w:val="25"/>
        </w:rPr>
        <w:t>(</w:t>
      </w:r>
      <w:r>
        <w:rPr>
          <w:w w:val="33"/>
          <w:sz w:val="25"/>
        </w:rPr>
        <w:t>―</w:t>
      </w:r>
      <w:r>
        <w:rPr>
          <w:i/>
          <w:w w:val="99"/>
          <w:sz w:val="25"/>
        </w:rPr>
        <w:t>cha</w:t>
      </w:r>
      <w:r>
        <w:rPr>
          <w:i/>
          <w:w w:val="99"/>
          <w:sz w:val="25"/>
        </w:rPr>
        <w:t>r</w:t>
      </w:r>
      <w:r>
        <w:rPr>
          <w:i/>
          <w:spacing w:val="-2"/>
          <w:w w:val="99"/>
          <w:sz w:val="25"/>
        </w:rPr>
        <w:t>a</w:t>
      </w:r>
      <w:r>
        <w:rPr>
          <w:i/>
          <w:spacing w:val="1"/>
          <w:w w:val="99"/>
          <w:sz w:val="25"/>
        </w:rPr>
        <w:t>n</w:t>
      </w:r>
      <w:r>
        <w:rPr>
          <w:spacing w:val="-2"/>
          <w:w w:val="89"/>
          <w:sz w:val="25"/>
        </w:rPr>
        <w:t>‖</w:t>
      </w:r>
      <w:r>
        <w:rPr>
          <w:w w:val="89"/>
          <w:sz w:val="25"/>
        </w:rPr>
        <w:t>)</w:t>
      </w:r>
      <w:r>
        <w:rPr>
          <w:spacing w:val="3"/>
          <w:sz w:val="25"/>
        </w:rPr>
        <w:t> </w:t>
      </w:r>
      <w:r>
        <w:rPr>
          <w:w w:val="99"/>
          <w:sz w:val="25"/>
        </w:rPr>
        <w:t>and</w:t>
      </w:r>
      <w:r>
        <w:rPr>
          <w:spacing w:val="2"/>
          <w:sz w:val="25"/>
        </w:rPr>
        <w:t> </w:t>
      </w:r>
      <w:r>
        <w:rPr>
          <w:w w:val="99"/>
          <w:sz w:val="25"/>
        </w:rPr>
        <w:t>other</w:t>
      </w:r>
      <w:r>
        <w:rPr>
          <w:spacing w:val="3"/>
          <w:sz w:val="25"/>
        </w:rPr>
        <w:t> </w:t>
      </w:r>
      <w:r>
        <w:rPr>
          <w:w w:val="99"/>
          <w:sz w:val="25"/>
        </w:rPr>
        <w:t>st</w:t>
      </w:r>
      <w:r>
        <w:rPr>
          <w:spacing w:val="-2"/>
          <w:w w:val="99"/>
          <w:sz w:val="25"/>
        </w:rPr>
        <w:t>r</w:t>
      </w:r>
      <w:r>
        <w:rPr>
          <w:w w:val="99"/>
          <w:sz w:val="25"/>
        </w:rPr>
        <w:t>uctures</w:t>
      </w:r>
      <w:r>
        <w:rPr>
          <w:spacing w:val="-1"/>
          <w:sz w:val="25"/>
        </w:rPr>
        <w:t> </w:t>
      </w:r>
      <w:r>
        <w:rPr>
          <w:w w:val="99"/>
          <w:sz w:val="25"/>
        </w:rPr>
        <w:t>constitu</w:t>
      </w:r>
      <w:r>
        <w:rPr>
          <w:w w:val="99"/>
          <w:sz w:val="25"/>
        </w:rPr>
        <w:t>te </w:t>
      </w:r>
      <w:r>
        <w:rPr>
          <w:sz w:val="25"/>
        </w:rPr>
        <w:t>one integral complex with a single</w:t>
      </w:r>
      <w:r>
        <w:rPr>
          <w:spacing w:val="-3"/>
          <w:sz w:val="25"/>
        </w:rPr>
        <w:t> </w:t>
      </w:r>
      <w:r>
        <w:rPr>
          <w:sz w:val="25"/>
        </w:rPr>
        <w:t>identity;</w:t>
      </w:r>
    </w:p>
    <w:p>
      <w:pPr>
        <w:pStyle w:val="ListParagraph"/>
        <w:numPr>
          <w:ilvl w:val="0"/>
          <w:numId w:val="16"/>
        </w:numPr>
        <w:tabs>
          <w:tab w:pos="1221" w:val="left" w:leader="none"/>
        </w:tabs>
        <w:spacing w:line="480" w:lineRule="auto" w:before="0" w:after="0"/>
        <w:ind w:left="1220" w:right="446" w:hanging="720"/>
        <w:jc w:val="both"/>
        <w:rPr>
          <w:sz w:val="25"/>
        </w:rPr>
      </w:pPr>
      <w:r>
        <w:rPr>
          <w:sz w:val="25"/>
        </w:rPr>
        <w:t>The concept of a mosque envisages that the entire area below as well as above the land remains dedicated to God. Hence, it is not merely the structure of the mosque alone but also the land on which it stands which is dedicated to the Almighty,</w:t>
      </w:r>
      <w:r>
        <w:rPr>
          <w:spacing w:val="-3"/>
          <w:sz w:val="25"/>
        </w:rPr>
        <w:t> </w:t>
      </w:r>
      <w:r>
        <w:rPr>
          <w:sz w:val="25"/>
        </w:rPr>
        <w:t>Allah;</w:t>
      </w:r>
    </w:p>
    <w:p>
      <w:pPr>
        <w:pStyle w:val="ListParagraph"/>
        <w:numPr>
          <w:ilvl w:val="0"/>
          <w:numId w:val="16"/>
        </w:numPr>
        <w:tabs>
          <w:tab w:pos="1221" w:val="left" w:leader="none"/>
        </w:tabs>
        <w:spacing w:line="480" w:lineRule="auto" w:before="1" w:after="0"/>
        <w:ind w:left="1220" w:right="443" w:hanging="720"/>
        <w:jc w:val="both"/>
        <w:rPr>
          <w:sz w:val="25"/>
        </w:rPr>
      </w:pPr>
      <w:r>
        <w:rPr>
          <w:sz w:val="25"/>
        </w:rPr>
        <w:t>The site in question has no connection with the place of birth of Lord Ram </w:t>
      </w:r>
      <w:r>
        <w:rPr>
          <w:w w:val="99"/>
          <w:sz w:val="25"/>
        </w:rPr>
        <w:t>and</w:t>
      </w:r>
      <w:r>
        <w:rPr>
          <w:spacing w:val="-1"/>
          <w:sz w:val="25"/>
        </w:rPr>
        <w:t> </w:t>
      </w:r>
      <w:r>
        <w:rPr>
          <w:w w:val="99"/>
          <w:sz w:val="25"/>
        </w:rPr>
        <w:t>h</w:t>
      </w:r>
      <w:r>
        <w:rPr>
          <w:w w:val="99"/>
          <w:sz w:val="25"/>
        </w:rPr>
        <w:t>as</w:t>
      </w:r>
      <w:r>
        <w:rPr>
          <w:spacing w:val="-1"/>
          <w:sz w:val="25"/>
        </w:rPr>
        <w:t> </w:t>
      </w:r>
      <w:r>
        <w:rPr>
          <w:w w:val="99"/>
          <w:sz w:val="25"/>
        </w:rPr>
        <w:t>no</w:t>
      </w:r>
      <w:r>
        <w:rPr>
          <w:spacing w:val="-1"/>
          <w:sz w:val="25"/>
        </w:rPr>
        <w:t> </w:t>
      </w:r>
      <w:r>
        <w:rPr>
          <w:w w:val="99"/>
          <w:sz w:val="25"/>
        </w:rPr>
        <w:t>significan</w:t>
      </w:r>
      <w:r>
        <w:rPr>
          <w:w w:val="99"/>
          <w:sz w:val="25"/>
        </w:rPr>
        <w:t>ce</w:t>
      </w:r>
      <w:r>
        <w:rPr>
          <w:spacing w:val="-1"/>
          <w:sz w:val="25"/>
        </w:rPr>
        <w:t> </w:t>
      </w:r>
      <w:r>
        <w:rPr>
          <w:w w:val="99"/>
          <w:sz w:val="25"/>
        </w:rPr>
        <w:t>t</w:t>
      </w:r>
      <w:r>
        <w:rPr>
          <w:w w:val="99"/>
          <w:sz w:val="25"/>
        </w:rPr>
        <w:t>o</w:t>
      </w:r>
      <w:r>
        <w:rPr>
          <w:spacing w:val="-1"/>
          <w:sz w:val="25"/>
        </w:rPr>
        <w:t> </w:t>
      </w:r>
      <w:r>
        <w:rPr>
          <w:w w:val="99"/>
          <w:sz w:val="25"/>
        </w:rPr>
        <w:t>t</w:t>
      </w:r>
      <w:r>
        <w:rPr>
          <w:w w:val="99"/>
          <w:sz w:val="25"/>
        </w:rPr>
        <w:t>he</w:t>
      </w:r>
      <w:r>
        <w:rPr>
          <w:sz w:val="25"/>
        </w:rPr>
        <w:t> </w:t>
      </w:r>
      <w:r>
        <w:rPr>
          <w:w w:val="99"/>
          <w:sz w:val="25"/>
        </w:rPr>
        <w:t>alleged</w:t>
      </w:r>
      <w:r>
        <w:rPr>
          <w:spacing w:val="4"/>
          <w:sz w:val="25"/>
        </w:rPr>
        <w:t> </w:t>
      </w:r>
      <w:r>
        <w:rPr>
          <w:w w:val="33"/>
          <w:sz w:val="25"/>
        </w:rPr>
        <w:t>―</w:t>
      </w:r>
      <w:r>
        <w:rPr>
          <w:spacing w:val="-1"/>
          <w:w w:val="99"/>
          <w:sz w:val="25"/>
        </w:rPr>
        <w:t>A</w:t>
      </w:r>
      <w:r>
        <w:rPr>
          <w:w w:val="99"/>
          <w:sz w:val="25"/>
        </w:rPr>
        <w:t>stha</w:t>
      </w:r>
      <w:r>
        <w:rPr>
          <w:w w:val="99"/>
          <w:sz w:val="25"/>
        </w:rPr>
        <w:t>n</w:t>
      </w:r>
      <w:r>
        <w:rPr>
          <w:w w:val="80"/>
          <w:sz w:val="25"/>
        </w:rPr>
        <w:t>‖</w:t>
      </w:r>
      <w:r>
        <w:rPr>
          <w:spacing w:val="1"/>
          <w:sz w:val="25"/>
        </w:rPr>
        <w:t> </w:t>
      </w:r>
      <w:r>
        <w:rPr>
          <w:w w:val="99"/>
          <w:sz w:val="25"/>
        </w:rPr>
        <w:t>of</w:t>
      </w:r>
      <w:r>
        <w:rPr>
          <w:sz w:val="25"/>
        </w:rPr>
        <w:t> </w:t>
      </w:r>
      <w:r>
        <w:rPr>
          <w:w w:val="99"/>
          <w:sz w:val="25"/>
        </w:rPr>
        <w:t>Ram</w:t>
      </w:r>
      <w:r>
        <w:rPr>
          <w:sz w:val="25"/>
        </w:rPr>
        <w:t> </w:t>
      </w:r>
      <w:r>
        <w:rPr>
          <w:w w:val="99"/>
          <w:sz w:val="25"/>
        </w:rPr>
        <w:t>Ja</w:t>
      </w:r>
      <w:r>
        <w:rPr>
          <w:spacing w:val="1"/>
          <w:w w:val="99"/>
          <w:sz w:val="25"/>
        </w:rPr>
        <w:t>n</w:t>
      </w:r>
      <w:r>
        <w:rPr>
          <w:w w:val="99"/>
          <w:sz w:val="25"/>
        </w:rPr>
        <w:t>m</w:t>
      </w:r>
      <w:r>
        <w:rPr>
          <w:spacing w:val="1"/>
          <w:w w:val="99"/>
          <w:sz w:val="25"/>
        </w:rPr>
        <w:t>a</w:t>
      </w:r>
      <w:r>
        <w:rPr>
          <w:spacing w:val="-2"/>
          <w:w w:val="99"/>
          <w:sz w:val="25"/>
        </w:rPr>
        <w:t>b</w:t>
      </w:r>
      <w:r>
        <w:rPr>
          <w:w w:val="99"/>
          <w:sz w:val="25"/>
        </w:rPr>
        <w:t>hu</w:t>
      </w:r>
      <w:r>
        <w:rPr>
          <w:w w:val="99"/>
          <w:sz w:val="25"/>
        </w:rPr>
        <w:t>mi;</w:t>
      </w:r>
    </w:p>
    <w:p>
      <w:pPr>
        <w:pStyle w:val="ListParagraph"/>
        <w:numPr>
          <w:ilvl w:val="0"/>
          <w:numId w:val="16"/>
        </w:numPr>
        <w:tabs>
          <w:tab w:pos="1221" w:val="left" w:leader="none"/>
        </w:tabs>
        <w:spacing w:line="480" w:lineRule="auto" w:before="0" w:after="0"/>
        <w:ind w:left="1220" w:right="444" w:hanging="720"/>
        <w:jc w:val="both"/>
        <w:rPr>
          <w:sz w:val="25"/>
        </w:rPr>
      </w:pPr>
      <w:r>
        <w:rPr>
          <w:sz w:val="25"/>
        </w:rPr>
        <w:t>The cause of action for the suit is deemed to have accrued in December 1949</w:t>
      </w:r>
      <w:r>
        <w:rPr>
          <w:spacing w:val="10"/>
          <w:sz w:val="25"/>
        </w:rPr>
        <w:t> </w:t>
      </w:r>
      <w:r>
        <w:rPr>
          <w:sz w:val="25"/>
        </w:rPr>
        <w:t>when</w:t>
      </w:r>
      <w:r>
        <w:rPr>
          <w:spacing w:val="11"/>
          <w:sz w:val="25"/>
        </w:rPr>
        <w:t> </w:t>
      </w:r>
      <w:r>
        <w:rPr>
          <w:sz w:val="25"/>
        </w:rPr>
        <w:t>the</w:t>
      </w:r>
      <w:r>
        <w:rPr>
          <w:spacing w:val="10"/>
          <w:sz w:val="25"/>
        </w:rPr>
        <w:t> </w:t>
      </w:r>
      <w:r>
        <w:rPr>
          <w:sz w:val="25"/>
        </w:rPr>
        <w:t>property</w:t>
      </w:r>
      <w:r>
        <w:rPr>
          <w:spacing w:val="8"/>
          <w:sz w:val="25"/>
        </w:rPr>
        <w:t> </w:t>
      </w:r>
      <w:r>
        <w:rPr>
          <w:sz w:val="25"/>
        </w:rPr>
        <w:t>was</w:t>
      </w:r>
      <w:r>
        <w:rPr>
          <w:spacing w:val="10"/>
          <w:sz w:val="25"/>
        </w:rPr>
        <w:t> </w:t>
      </w:r>
      <w:r>
        <w:rPr>
          <w:sz w:val="25"/>
        </w:rPr>
        <w:t>attached</w:t>
      </w:r>
      <w:r>
        <w:rPr>
          <w:spacing w:val="11"/>
          <w:sz w:val="25"/>
        </w:rPr>
        <w:t> </w:t>
      </w:r>
      <w:r>
        <w:rPr>
          <w:sz w:val="25"/>
        </w:rPr>
        <w:t>and</w:t>
      </w:r>
      <w:r>
        <w:rPr>
          <w:spacing w:val="10"/>
          <w:sz w:val="25"/>
        </w:rPr>
        <w:t> </w:t>
      </w:r>
      <w:r>
        <w:rPr>
          <w:sz w:val="25"/>
        </w:rPr>
        <w:t>when</w:t>
      </w:r>
      <w:r>
        <w:rPr>
          <w:spacing w:val="11"/>
          <w:sz w:val="25"/>
        </w:rPr>
        <w:t> </w:t>
      </w:r>
      <w:r>
        <w:rPr>
          <w:sz w:val="25"/>
        </w:rPr>
        <w:t>the</w:t>
      </w:r>
      <w:r>
        <w:rPr>
          <w:spacing w:val="13"/>
          <w:sz w:val="25"/>
        </w:rPr>
        <w:t> </w:t>
      </w:r>
      <w:r>
        <w:rPr>
          <w:sz w:val="25"/>
        </w:rPr>
        <w:t>Muslims</w:t>
      </w:r>
      <w:r>
        <w:rPr>
          <w:spacing w:val="10"/>
          <w:sz w:val="25"/>
        </w:rPr>
        <w:t> </w:t>
      </w:r>
      <w:r>
        <w:rPr>
          <w:sz w:val="25"/>
        </w:rPr>
        <w:t>categorically</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8"/>
        <w:jc w:val="both"/>
      </w:pPr>
      <w:r>
        <w:rPr/>
        <w:t>denied the claim of the Hindus to perform puja in the mosque. Hence, the suit is barred by limitation;</w:t>
      </w:r>
    </w:p>
    <w:p>
      <w:pPr>
        <w:pStyle w:val="ListParagraph"/>
        <w:numPr>
          <w:ilvl w:val="0"/>
          <w:numId w:val="16"/>
        </w:numPr>
        <w:tabs>
          <w:tab w:pos="1221" w:val="left" w:leader="none"/>
        </w:tabs>
        <w:spacing w:line="480" w:lineRule="auto" w:before="0" w:after="0"/>
        <w:ind w:left="1220" w:right="435" w:hanging="720"/>
        <w:jc w:val="both"/>
        <w:rPr>
          <w:sz w:val="25"/>
        </w:rPr>
      </w:pPr>
      <w:r>
        <w:rPr>
          <w:sz w:val="25"/>
        </w:rPr>
        <w:t>The subject matter of the suit is property registered as a waqf which is maintained by the Sunni Central Waqf Board under Section 30 of the U P Muslim Waqf Act 1960, shown as such in the revenue records;</w:t>
      </w:r>
      <w:r>
        <w:rPr>
          <w:spacing w:val="-11"/>
          <w:sz w:val="25"/>
        </w:rPr>
        <w:t> </w:t>
      </w:r>
      <w:r>
        <w:rPr>
          <w:sz w:val="25"/>
        </w:rPr>
        <w:t>and</w:t>
      </w:r>
    </w:p>
    <w:p>
      <w:pPr>
        <w:pStyle w:val="ListParagraph"/>
        <w:numPr>
          <w:ilvl w:val="0"/>
          <w:numId w:val="16"/>
        </w:numPr>
        <w:tabs>
          <w:tab w:pos="1221" w:val="left" w:leader="none"/>
        </w:tabs>
        <w:spacing w:line="480" w:lineRule="auto" w:before="0" w:after="0"/>
        <w:ind w:left="1220" w:right="436" w:hanging="720"/>
        <w:jc w:val="both"/>
        <w:rPr>
          <w:sz w:val="25"/>
        </w:rPr>
      </w:pPr>
      <w:r>
        <w:rPr>
          <w:sz w:val="25"/>
        </w:rPr>
        <w:t>Archaeological experts seem to indicate that there appears to be no sign of human habitation predating to 700 B.C. nor is there any evidence that a fort, palace or old temple existed at the site of Babri</w:t>
      </w:r>
      <w:r>
        <w:rPr>
          <w:spacing w:val="-3"/>
          <w:sz w:val="25"/>
        </w:rPr>
        <w:t> </w:t>
      </w:r>
      <w:r>
        <w:rPr>
          <w:sz w:val="25"/>
        </w:rPr>
        <w:t>Masjid.</w:t>
      </w:r>
    </w:p>
    <w:p>
      <w:pPr>
        <w:pStyle w:val="BodyText"/>
        <w:spacing w:before="11"/>
        <w:rPr>
          <w:sz w:val="24"/>
        </w:rPr>
      </w:pPr>
    </w:p>
    <w:p>
      <w:pPr>
        <w:pStyle w:val="BodyText"/>
        <w:spacing w:line="480" w:lineRule="auto"/>
        <w:ind w:left="500" w:right="445"/>
        <w:jc w:val="both"/>
      </w:pPr>
      <w:r>
        <w:rPr/>
        <w:t>In the written statement filed on behalf of defendant no 5 who is a Muslim resident of Ayodhya, it has been submitted</w:t>
      </w:r>
      <w:r>
        <w:rPr>
          <w:spacing w:val="-2"/>
        </w:rPr>
        <w:t> </w:t>
      </w:r>
      <w:r>
        <w:rPr/>
        <w:t>that:</w:t>
      </w:r>
    </w:p>
    <w:p>
      <w:pPr>
        <w:pStyle w:val="ListParagraph"/>
        <w:numPr>
          <w:ilvl w:val="0"/>
          <w:numId w:val="17"/>
        </w:numPr>
        <w:tabs>
          <w:tab w:pos="1221" w:val="left" w:leader="none"/>
        </w:tabs>
        <w:spacing w:line="480" w:lineRule="auto" w:before="0" w:after="0"/>
        <w:ind w:left="1220" w:right="442" w:hanging="720"/>
        <w:jc w:val="both"/>
        <w:rPr>
          <w:sz w:val="25"/>
        </w:rPr>
      </w:pPr>
      <w:r>
        <w:rPr>
          <w:sz w:val="25"/>
        </w:rPr>
        <w:t>The premises have always been a mosque since the construction in the sixteenth century and have been used only for the purposes of offering namaz;</w:t>
      </w:r>
    </w:p>
    <w:p>
      <w:pPr>
        <w:pStyle w:val="ListParagraph"/>
        <w:numPr>
          <w:ilvl w:val="0"/>
          <w:numId w:val="17"/>
        </w:numPr>
        <w:tabs>
          <w:tab w:pos="1221" w:val="left" w:leader="none"/>
        </w:tabs>
        <w:spacing w:line="480" w:lineRule="auto" w:before="1" w:after="0"/>
        <w:ind w:left="1220" w:right="436" w:hanging="720"/>
        <w:jc w:val="both"/>
        <w:rPr>
          <w:sz w:val="25"/>
        </w:rPr>
      </w:pPr>
      <w:r>
        <w:rPr>
          <w:sz w:val="25"/>
        </w:rPr>
        <w:t>The existence of Kasauti pillars is denied. No one else except the Muslims worshipped in Babri Masjid. Namaz was offered in the mosque since its construction until 22 December</w:t>
      </w:r>
      <w:r>
        <w:rPr>
          <w:spacing w:val="-5"/>
          <w:sz w:val="25"/>
        </w:rPr>
        <w:t> </w:t>
      </w:r>
      <w:r>
        <w:rPr>
          <w:sz w:val="25"/>
        </w:rPr>
        <w:t>1949;</w:t>
      </w:r>
    </w:p>
    <w:p>
      <w:pPr>
        <w:pStyle w:val="ListParagraph"/>
        <w:numPr>
          <w:ilvl w:val="0"/>
          <w:numId w:val="17"/>
        </w:numPr>
        <w:tabs>
          <w:tab w:pos="1221" w:val="left" w:leader="none"/>
        </w:tabs>
        <w:spacing w:line="480" w:lineRule="auto" w:before="1" w:after="0"/>
        <w:ind w:left="1220" w:right="442" w:hanging="720"/>
        <w:jc w:val="both"/>
        <w:rPr>
          <w:sz w:val="25"/>
        </w:rPr>
      </w:pPr>
      <w:r>
        <w:rPr>
          <w:sz w:val="25"/>
        </w:rPr>
        <w:t>Babri Masjid was not constructed on the site of a temple which was demolished at the behest of Emperor</w:t>
      </w:r>
      <w:r>
        <w:rPr>
          <w:spacing w:val="-7"/>
          <w:sz w:val="25"/>
        </w:rPr>
        <w:t> </w:t>
      </w:r>
      <w:r>
        <w:rPr>
          <w:sz w:val="25"/>
        </w:rPr>
        <w:t>Babur;</w:t>
      </w:r>
    </w:p>
    <w:p>
      <w:pPr>
        <w:pStyle w:val="ListParagraph"/>
        <w:numPr>
          <w:ilvl w:val="0"/>
          <w:numId w:val="18"/>
        </w:numPr>
        <w:tabs>
          <w:tab w:pos="1221" w:val="left" w:leader="none"/>
        </w:tabs>
        <w:spacing w:line="480" w:lineRule="auto" w:before="0" w:after="0"/>
        <w:ind w:left="1220" w:right="446" w:hanging="720"/>
        <w:jc w:val="both"/>
        <w:rPr>
          <w:sz w:val="25"/>
        </w:rPr>
      </w:pPr>
      <w:r>
        <w:rPr>
          <w:sz w:val="25"/>
        </w:rPr>
        <w:t>The Ram Janmasthan Mandir which exists in Ayodhya is distinct and separate from the premises in question;</w:t>
      </w:r>
      <w:r>
        <w:rPr>
          <w:spacing w:val="-4"/>
          <w:sz w:val="25"/>
        </w:rPr>
        <w:t> </w:t>
      </w:r>
      <w:r>
        <w:rPr>
          <w:sz w:val="25"/>
        </w:rPr>
        <w:t>and</w:t>
      </w:r>
    </w:p>
    <w:p>
      <w:pPr>
        <w:pStyle w:val="ListParagraph"/>
        <w:numPr>
          <w:ilvl w:val="0"/>
          <w:numId w:val="18"/>
        </w:numPr>
        <w:tabs>
          <w:tab w:pos="1220" w:val="left" w:leader="none"/>
          <w:tab w:pos="1221" w:val="left" w:leader="none"/>
        </w:tabs>
        <w:spacing w:line="287" w:lineRule="exact" w:before="0" w:after="0"/>
        <w:ind w:left="1220" w:right="0" w:hanging="721"/>
        <w:jc w:val="left"/>
        <w:rPr>
          <w:i/>
          <w:sz w:val="25"/>
        </w:rPr>
      </w:pPr>
      <w:r>
        <w:rPr>
          <w:sz w:val="25"/>
        </w:rPr>
        <w:t>The findings in the Suit of 1885 operate as </w:t>
      </w:r>
      <w:r>
        <w:rPr>
          <w:i/>
          <w:sz w:val="25"/>
        </w:rPr>
        <w:t>res</w:t>
      </w:r>
      <w:r>
        <w:rPr>
          <w:i/>
          <w:spacing w:val="-6"/>
          <w:sz w:val="25"/>
        </w:rPr>
        <w:t> </w:t>
      </w:r>
      <w:r>
        <w:rPr>
          <w:i/>
          <w:sz w:val="25"/>
        </w:rPr>
        <w:t>judicata.</w:t>
      </w:r>
    </w:p>
    <w:p>
      <w:pPr>
        <w:pStyle w:val="BodyText"/>
        <w:rPr>
          <w:i/>
          <w:sz w:val="28"/>
        </w:rPr>
      </w:pPr>
    </w:p>
    <w:p>
      <w:pPr>
        <w:pStyle w:val="BodyText"/>
        <w:rPr>
          <w:i/>
          <w:sz w:val="28"/>
        </w:rPr>
      </w:pPr>
    </w:p>
    <w:p>
      <w:pPr>
        <w:pStyle w:val="BodyText"/>
        <w:spacing w:line="482" w:lineRule="auto" w:before="218"/>
        <w:ind w:left="500" w:right="443"/>
        <w:jc w:val="both"/>
      </w:pPr>
      <w:r>
        <w:rPr/>
        <w:t>An additional written statement was filed on behalf of defendant nos 4 and 5 in order to deal with the amendments to the plaint consequent upon the demolition</w:t>
      </w:r>
    </w:p>
    <w:p>
      <w:pPr>
        <w:spacing w:after="0" w:line="482" w:lineRule="auto"/>
        <w:jc w:val="both"/>
        <w:sectPr>
          <w:pgSz w:w="11910" w:h="16840"/>
          <w:pgMar w:header="721" w:footer="1014" w:top="1300" w:bottom="1200" w:left="940" w:right="1000"/>
        </w:sectPr>
      </w:pPr>
    </w:p>
    <w:p>
      <w:pPr>
        <w:pStyle w:val="BodyText"/>
        <w:spacing w:before="124"/>
        <w:ind w:left="500"/>
        <w:jc w:val="both"/>
      </w:pPr>
      <w:r>
        <w:rPr/>
        <w:t>of the Babri Masjid on 6 December 1992.</w:t>
      </w:r>
    </w:p>
    <w:p>
      <w:pPr>
        <w:pStyle w:val="BodyText"/>
        <w:rPr>
          <w:sz w:val="28"/>
        </w:rPr>
      </w:pPr>
    </w:p>
    <w:p>
      <w:pPr>
        <w:pStyle w:val="BodyText"/>
        <w:spacing w:before="10"/>
        <w:rPr>
          <w:sz w:val="21"/>
        </w:rPr>
      </w:pPr>
    </w:p>
    <w:p>
      <w:pPr>
        <w:pStyle w:val="BodyText"/>
        <w:spacing w:line="480" w:lineRule="auto"/>
        <w:ind w:left="500" w:right="437"/>
        <w:jc w:val="both"/>
      </w:pPr>
      <w:r>
        <w:rPr/>
        <w:t>The written statement of defendant no 6, a Muslim resident of Ayodhya, adopts the written statement of defendant no 5. The written statement of defendant no 11, the President of the All India Hindu Mahasabha, has submitted to a decree in terms as sought in the plaint. The written statements filed by the Hindu and Muslim defendants follow broadly the same respective lines.</w:t>
      </w:r>
    </w:p>
    <w:p>
      <w:pPr>
        <w:pStyle w:val="BodyText"/>
        <w:spacing w:before="2"/>
      </w:pPr>
    </w:p>
    <w:p>
      <w:pPr>
        <w:pStyle w:val="ListParagraph"/>
        <w:numPr>
          <w:ilvl w:val="0"/>
          <w:numId w:val="3"/>
        </w:numPr>
        <w:tabs>
          <w:tab w:pos="1220" w:val="left" w:leader="none"/>
          <w:tab w:pos="1221" w:val="left" w:leader="none"/>
        </w:tabs>
        <w:spacing w:line="480" w:lineRule="auto" w:before="0" w:after="0"/>
        <w:ind w:left="500" w:right="445" w:firstLine="0"/>
        <w:jc w:val="left"/>
        <w:rPr>
          <w:sz w:val="25"/>
        </w:rPr>
      </w:pPr>
      <w:r>
        <w:rPr>
          <w:sz w:val="25"/>
        </w:rPr>
        <w:t>A written statement has been filed by defendant no 24, Prince Anjum Qader stating</w:t>
      </w:r>
      <w:r>
        <w:rPr>
          <w:spacing w:val="-1"/>
          <w:sz w:val="25"/>
        </w:rPr>
        <w:t> </w:t>
      </w:r>
      <w:r>
        <w:rPr>
          <w:sz w:val="25"/>
        </w:rPr>
        <w:t>thus:</w:t>
      </w:r>
    </w:p>
    <w:p>
      <w:pPr>
        <w:spacing w:line="276" w:lineRule="auto" w:before="0"/>
        <w:ind w:left="1940" w:right="2346" w:firstLine="0"/>
        <w:jc w:val="left"/>
        <w:rPr>
          <w:sz w:val="21"/>
        </w:rPr>
      </w:pPr>
      <w:r>
        <w:rPr>
          <w:w w:val="33"/>
          <w:sz w:val="21"/>
        </w:rPr>
        <w:t>―</w:t>
      </w:r>
      <w:r>
        <w:rPr>
          <w:w w:val="100"/>
          <w:sz w:val="21"/>
        </w:rPr>
        <w:t>(a)</w:t>
      </w:r>
      <w:r>
        <w:rPr>
          <w:sz w:val="21"/>
        </w:rPr>
        <w:t> </w:t>
      </w:r>
      <w:r>
        <w:rPr>
          <w:w w:val="100"/>
          <w:sz w:val="21"/>
        </w:rPr>
        <w:t>The</w:t>
      </w:r>
      <w:r>
        <w:rPr>
          <w:sz w:val="21"/>
        </w:rPr>
        <w:t> </w:t>
      </w:r>
      <w:r>
        <w:rPr>
          <w:w w:val="100"/>
          <w:sz w:val="21"/>
        </w:rPr>
        <w:t>spot</w:t>
      </w:r>
      <w:r>
        <w:rPr>
          <w:sz w:val="21"/>
        </w:rPr>
        <w:t> </w:t>
      </w:r>
      <w:r>
        <w:rPr>
          <w:w w:val="100"/>
          <w:sz w:val="21"/>
        </w:rPr>
        <w:t>being</w:t>
      </w:r>
      <w:r>
        <w:rPr>
          <w:sz w:val="21"/>
        </w:rPr>
        <w:t> </w:t>
      </w:r>
      <w:r>
        <w:rPr>
          <w:w w:val="100"/>
          <w:sz w:val="21"/>
        </w:rPr>
        <w:t>presently</w:t>
      </w:r>
      <w:r>
        <w:rPr>
          <w:sz w:val="21"/>
        </w:rPr>
        <w:t> </w:t>
      </w:r>
      <w:r>
        <w:rPr>
          <w:w w:val="100"/>
          <w:sz w:val="21"/>
        </w:rPr>
        <w:t>claimed</w:t>
      </w:r>
      <w:r>
        <w:rPr>
          <w:sz w:val="21"/>
        </w:rPr>
        <w:t> </w:t>
      </w:r>
      <w:r>
        <w:rPr>
          <w:w w:val="100"/>
          <w:sz w:val="21"/>
        </w:rPr>
        <w:t>by</w:t>
      </w:r>
      <w:r>
        <w:rPr>
          <w:sz w:val="21"/>
        </w:rPr>
        <w:t> </w:t>
      </w:r>
      <w:r>
        <w:rPr>
          <w:w w:val="100"/>
          <w:sz w:val="21"/>
        </w:rPr>
        <w:t>the</w:t>
      </w:r>
      <w:r>
        <w:rPr>
          <w:sz w:val="21"/>
        </w:rPr>
        <w:t> </w:t>
      </w:r>
      <w:r>
        <w:rPr>
          <w:w w:val="100"/>
          <w:sz w:val="21"/>
        </w:rPr>
        <w:t>plaintiff</w:t>
      </w:r>
      <w:r>
        <w:rPr>
          <w:sz w:val="21"/>
        </w:rPr>
        <w:t> </w:t>
      </w:r>
      <w:r>
        <w:rPr>
          <w:w w:val="100"/>
          <w:sz w:val="21"/>
        </w:rPr>
        <w:t>is</w:t>
      </w:r>
      <w:r>
        <w:rPr>
          <w:sz w:val="21"/>
        </w:rPr>
        <w:t> </w:t>
      </w:r>
      <w:r>
        <w:rPr>
          <w:w w:val="100"/>
          <w:sz w:val="21"/>
        </w:rPr>
        <w:t>being </w:t>
      </w:r>
      <w:r>
        <w:rPr>
          <w:sz w:val="21"/>
        </w:rPr>
        <w:t>made known as Ram Janam Bhoomi only since 22.12.1949.</w:t>
      </w:r>
    </w:p>
    <w:p>
      <w:pPr>
        <w:pStyle w:val="BodyText"/>
        <w:rPr>
          <w:sz w:val="24"/>
        </w:rPr>
      </w:pPr>
    </w:p>
    <w:p>
      <w:pPr>
        <w:pStyle w:val="ListParagraph"/>
        <w:numPr>
          <w:ilvl w:val="0"/>
          <w:numId w:val="19"/>
        </w:numPr>
        <w:tabs>
          <w:tab w:pos="2298" w:val="left" w:leader="none"/>
        </w:tabs>
        <w:spacing w:line="276" w:lineRule="auto" w:before="0" w:after="0"/>
        <w:ind w:left="1940" w:right="2262" w:firstLine="0"/>
        <w:jc w:val="both"/>
        <w:rPr>
          <w:sz w:val="21"/>
        </w:rPr>
      </w:pPr>
      <w:r>
        <w:rPr>
          <w:sz w:val="21"/>
        </w:rPr>
        <w:t>The Ram Chabutra, in the court-yard outside the Babri Masjid structure, is being known as Ram Janam Bhoomi only since</w:t>
      </w:r>
      <w:r>
        <w:rPr>
          <w:spacing w:val="-1"/>
          <w:sz w:val="21"/>
        </w:rPr>
        <w:t> </w:t>
      </w:r>
      <w:r>
        <w:rPr>
          <w:sz w:val="21"/>
        </w:rPr>
        <w:t>1885.</w:t>
      </w:r>
    </w:p>
    <w:p>
      <w:pPr>
        <w:pStyle w:val="BodyText"/>
        <w:spacing w:before="2"/>
        <w:rPr>
          <w:sz w:val="24"/>
        </w:rPr>
      </w:pPr>
    </w:p>
    <w:p>
      <w:pPr>
        <w:pStyle w:val="ListParagraph"/>
        <w:numPr>
          <w:ilvl w:val="0"/>
          <w:numId w:val="19"/>
        </w:numPr>
        <w:tabs>
          <w:tab w:pos="2323" w:val="left" w:leader="none"/>
        </w:tabs>
        <w:spacing w:line="276" w:lineRule="auto" w:before="1" w:after="0"/>
        <w:ind w:left="1940" w:right="2263" w:firstLine="0"/>
        <w:jc w:val="both"/>
        <w:rPr>
          <w:sz w:val="21"/>
        </w:rPr>
      </w:pPr>
      <w:r>
        <w:rPr>
          <w:sz w:val="21"/>
        </w:rPr>
        <w:t>The Janamsthan site Rasoi Mandir, facing the Babri Masjid across the street, is traditionally known as Ramjanambhumi since time</w:t>
      </w:r>
      <w:r>
        <w:rPr>
          <w:spacing w:val="-6"/>
          <w:sz w:val="21"/>
        </w:rPr>
        <w:t> </w:t>
      </w:r>
      <w:r>
        <w:rPr>
          <w:sz w:val="21"/>
        </w:rPr>
        <w:t>immemorial.‖</w:t>
      </w:r>
    </w:p>
    <w:p>
      <w:pPr>
        <w:pStyle w:val="BodyText"/>
        <w:rPr>
          <w:sz w:val="24"/>
        </w:rPr>
      </w:pPr>
    </w:p>
    <w:p>
      <w:pPr>
        <w:pStyle w:val="BodyText"/>
        <w:spacing w:before="1"/>
        <w:rPr>
          <w:sz w:val="21"/>
        </w:rPr>
      </w:pPr>
    </w:p>
    <w:p>
      <w:pPr>
        <w:pStyle w:val="BodyText"/>
        <w:ind w:left="500"/>
        <w:jc w:val="both"/>
      </w:pPr>
      <w:r>
        <w:rPr/>
        <w:t>According to defendant no 24:</w:t>
      </w:r>
    </w:p>
    <w:p>
      <w:pPr>
        <w:pStyle w:val="BodyText"/>
        <w:spacing w:before="1"/>
      </w:pPr>
    </w:p>
    <w:p>
      <w:pPr>
        <w:pStyle w:val="ListParagraph"/>
        <w:numPr>
          <w:ilvl w:val="1"/>
          <w:numId w:val="3"/>
        </w:numPr>
        <w:tabs>
          <w:tab w:pos="1941" w:val="left" w:leader="none"/>
        </w:tabs>
        <w:spacing w:line="480" w:lineRule="auto" w:before="0" w:after="0"/>
        <w:ind w:left="1940" w:right="439" w:hanging="720"/>
        <w:jc w:val="both"/>
        <w:rPr>
          <w:sz w:val="25"/>
        </w:rPr>
      </w:pPr>
      <w:r>
        <w:rPr>
          <w:sz w:val="25"/>
        </w:rPr>
        <w:t>In 1855, a spot outside the structure of Babri Masjid in a corner of the courtyard was claimed as the Janmasthan. At that stage, an area admeasuring seventeen by twenty-one feet was partitioned by naming it as</w:t>
      </w:r>
      <w:r>
        <w:rPr>
          <w:spacing w:val="-2"/>
          <w:sz w:val="25"/>
        </w:rPr>
        <w:t> </w:t>
      </w:r>
      <w:r>
        <w:rPr>
          <w:sz w:val="25"/>
        </w:rPr>
        <w:t>Ramchabutra;</w:t>
      </w:r>
    </w:p>
    <w:p>
      <w:pPr>
        <w:pStyle w:val="ListParagraph"/>
        <w:numPr>
          <w:ilvl w:val="1"/>
          <w:numId w:val="3"/>
        </w:numPr>
        <w:tabs>
          <w:tab w:pos="1941" w:val="left" w:leader="none"/>
        </w:tabs>
        <w:spacing w:line="480" w:lineRule="auto" w:before="0" w:after="0"/>
        <w:ind w:left="1940" w:right="439" w:hanging="720"/>
        <w:jc w:val="both"/>
        <w:rPr>
          <w:sz w:val="25"/>
        </w:rPr>
      </w:pPr>
      <w:r>
        <w:rPr>
          <w:sz w:val="25"/>
        </w:rPr>
        <w:t>On 22 December 1949, the Janmasthan claim was shifted from Ramchabutra to a place inside the mosque beneath the main dome of the Babri</w:t>
      </w:r>
      <w:r>
        <w:rPr>
          <w:spacing w:val="-2"/>
          <w:sz w:val="25"/>
        </w:rPr>
        <w:t> </w:t>
      </w:r>
      <w:r>
        <w:rPr>
          <w:sz w:val="25"/>
        </w:rPr>
        <w:t>Masjid;</w:t>
      </w:r>
    </w:p>
    <w:p>
      <w:pPr>
        <w:spacing w:after="0" w:line="480" w:lineRule="auto"/>
        <w:jc w:val="both"/>
        <w:rPr>
          <w:sz w:val="25"/>
        </w:rPr>
        <w:sectPr>
          <w:pgSz w:w="11910" w:h="16840"/>
          <w:pgMar w:header="721" w:footer="1014" w:top="1300" w:bottom="1200" w:left="940" w:right="1000"/>
        </w:sectPr>
      </w:pPr>
    </w:p>
    <w:p>
      <w:pPr>
        <w:pStyle w:val="ListParagraph"/>
        <w:numPr>
          <w:ilvl w:val="1"/>
          <w:numId w:val="3"/>
        </w:numPr>
        <w:tabs>
          <w:tab w:pos="1941" w:val="left" w:leader="none"/>
        </w:tabs>
        <w:spacing w:line="480" w:lineRule="auto" w:before="124" w:after="0"/>
        <w:ind w:left="1940" w:right="444" w:hanging="720"/>
        <w:jc w:val="both"/>
        <w:rPr>
          <w:sz w:val="25"/>
        </w:rPr>
      </w:pPr>
      <w:r>
        <w:rPr>
          <w:spacing w:val="-1"/>
          <w:w w:val="99"/>
          <w:sz w:val="25"/>
        </w:rPr>
        <w:t>P</w:t>
      </w:r>
      <w:r>
        <w:rPr>
          <w:w w:val="99"/>
          <w:sz w:val="25"/>
        </w:rPr>
        <w:t>r</w:t>
      </w:r>
      <w:r>
        <w:rPr>
          <w:spacing w:val="-1"/>
          <w:w w:val="99"/>
          <w:sz w:val="25"/>
        </w:rPr>
        <w:t>io</w:t>
      </w:r>
      <w:r>
        <w:rPr>
          <w:w w:val="99"/>
          <w:sz w:val="25"/>
        </w:rPr>
        <w:t>r</w:t>
      </w:r>
      <w:r>
        <w:rPr>
          <w:sz w:val="25"/>
        </w:rPr>
        <w:t> </w:t>
      </w:r>
      <w:r>
        <w:rPr>
          <w:spacing w:val="34"/>
          <w:sz w:val="25"/>
        </w:rPr>
        <w:t> </w:t>
      </w:r>
      <w:r>
        <w:rPr>
          <w:w w:val="99"/>
          <w:sz w:val="25"/>
        </w:rPr>
        <w:t>to</w:t>
      </w:r>
      <w:r>
        <w:rPr>
          <w:sz w:val="25"/>
        </w:rPr>
        <w:t> </w:t>
      </w:r>
      <w:r>
        <w:rPr>
          <w:spacing w:val="34"/>
          <w:sz w:val="25"/>
        </w:rPr>
        <w:t> </w:t>
      </w:r>
      <w:r>
        <w:rPr>
          <w:spacing w:val="-1"/>
          <w:w w:val="99"/>
          <w:sz w:val="25"/>
        </w:rPr>
        <w:t>1</w:t>
      </w:r>
      <w:r>
        <w:rPr>
          <w:w w:val="99"/>
          <w:sz w:val="25"/>
        </w:rPr>
        <w:t>8</w:t>
      </w:r>
      <w:r>
        <w:rPr>
          <w:spacing w:val="-1"/>
          <w:w w:val="99"/>
          <w:sz w:val="25"/>
        </w:rPr>
        <w:t>5</w:t>
      </w:r>
      <w:r>
        <w:rPr>
          <w:w w:val="99"/>
          <w:sz w:val="25"/>
        </w:rPr>
        <w:t>5,</w:t>
      </w:r>
      <w:r>
        <w:rPr>
          <w:sz w:val="25"/>
        </w:rPr>
        <w:t> </w:t>
      </w:r>
      <w:r>
        <w:rPr>
          <w:spacing w:val="33"/>
          <w:sz w:val="25"/>
        </w:rPr>
        <w:t> </w:t>
      </w:r>
      <w:r>
        <w:rPr>
          <w:w w:val="33"/>
          <w:sz w:val="25"/>
        </w:rPr>
        <w:t>―</w:t>
      </w:r>
      <w:r>
        <w:rPr>
          <w:w w:val="99"/>
          <w:sz w:val="25"/>
        </w:rPr>
        <w:t>the</w:t>
      </w:r>
      <w:r>
        <w:rPr>
          <w:sz w:val="25"/>
        </w:rPr>
        <w:t> </w:t>
      </w:r>
      <w:r>
        <w:rPr>
          <w:spacing w:val="32"/>
          <w:sz w:val="25"/>
        </w:rPr>
        <w:t> </w:t>
      </w:r>
      <w:r>
        <w:rPr>
          <w:spacing w:val="-1"/>
          <w:w w:val="99"/>
          <w:sz w:val="25"/>
        </w:rPr>
        <w:t>u</w:t>
      </w:r>
      <w:r>
        <w:rPr>
          <w:w w:val="99"/>
          <w:sz w:val="25"/>
        </w:rPr>
        <w:t>n</w:t>
      </w:r>
      <w:r>
        <w:rPr>
          <w:spacing w:val="-1"/>
          <w:w w:val="99"/>
          <w:sz w:val="25"/>
        </w:rPr>
        <w:t>disp</w:t>
      </w:r>
      <w:r>
        <w:rPr>
          <w:w w:val="99"/>
          <w:sz w:val="25"/>
        </w:rPr>
        <w:t>uted</w:t>
      </w:r>
      <w:r>
        <w:rPr>
          <w:sz w:val="25"/>
        </w:rPr>
        <w:t> </w:t>
      </w:r>
      <w:r>
        <w:rPr>
          <w:spacing w:val="34"/>
          <w:sz w:val="25"/>
        </w:rPr>
        <w:t> </w:t>
      </w:r>
      <w:r>
        <w:rPr>
          <w:spacing w:val="-1"/>
          <w:w w:val="99"/>
          <w:sz w:val="25"/>
        </w:rPr>
        <w:t>Ra</w:t>
      </w:r>
      <w:r>
        <w:rPr>
          <w:w w:val="99"/>
          <w:sz w:val="25"/>
        </w:rPr>
        <w:t>m</w:t>
      </w:r>
      <w:r>
        <w:rPr>
          <w:sz w:val="25"/>
        </w:rPr>
        <w:t> </w:t>
      </w:r>
      <w:r>
        <w:rPr>
          <w:spacing w:val="34"/>
          <w:sz w:val="25"/>
        </w:rPr>
        <w:t> </w:t>
      </w:r>
      <w:r>
        <w:rPr>
          <w:w w:val="99"/>
          <w:sz w:val="25"/>
        </w:rPr>
        <w:t>Janm</w:t>
      </w:r>
      <w:r>
        <w:rPr>
          <w:spacing w:val="-1"/>
          <w:w w:val="99"/>
          <w:sz w:val="25"/>
        </w:rPr>
        <w:t>ast</w:t>
      </w:r>
      <w:r>
        <w:rPr>
          <w:w w:val="99"/>
          <w:sz w:val="25"/>
        </w:rPr>
        <w:t>h</w:t>
      </w:r>
      <w:r>
        <w:rPr>
          <w:spacing w:val="-1"/>
          <w:w w:val="99"/>
          <w:sz w:val="25"/>
        </w:rPr>
        <w:t>a</w:t>
      </w:r>
      <w:r>
        <w:rPr>
          <w:w w:val="99"/>
          <w:sz w:val="25"/>
        </w:rPr>
        <w:t>n</w:t>
      </w:r>
      <w:r>
        <w:rPr>
          <w:sz w:val="25"/>
        </w:rPr>
        <w:t> </w:t>
      </w:r>
      <w:r>
        <w:rPr>
          <w:spacing w:val="34"/>
          <w:sz w:val="25"/>
        </w:rPr>
        <w:t> </w:t>
      </w:r>
      <w:r>
        <w:rPr>
          <w:spacing w:val="-1"/>
          <w:w w:val="99"/>
          <w:sz w:val="25"/>
        </w:rPr>
        <w:t>wa</w:t>
      </w:r>
      <w:r>
        <w:rPr>
          <w:w w:val="99"/>
          <w:sz w:val="25"/>
        </w:rPr>
        <w:t>s</w:t>
      </w:r>
      <w:r>
        <w:rPr>
          <w:sz w:val="25"/>
        </w:rPr>
        <w:t> </w:t>
      </w:r>
      <w:r>
        <w:rPr>
          <w:spacing w:val="33"/>
          <w:sz w:val="25"/>
        </w:rPr>
        <w:t> </w:t>
      </w:r>
      <w:r>
        <w:rPr>
          <w:w w:val="99"/>
          <w:sz w:val="25"/>
        </w:rPr>
        <w:t>the</w:t>
      </w:r>
      <w:r>
        <w:rPr>
          <w:sz w:val="25"/>
        </w:rPr>
        <w:t> </w:t>
      </w:r>
      <w:r>
        <w:rPr>
          <w:spacing w:val="32"/>
          <w:sz w:val="25"/>
        </w:rPr>
        <w:t> </w:t>
      </w:r>
      <w:r>
        <w:rPr>
          <w:spacing w:val="-1"/>
          <w:w w:val="99"/>
          <w:sz w:val="25"/>
        </w:rPr>
        <w:t>old </w:t>
      </w:r>
      <w:r>
        <w:rPr>
          <w:sz w:val="25"/>
        </w:rPr>
        <w:t>Janmasthan Sita Rasoi Mandir across the street on a mound facing the Babri</w:t>
      </w:r>
      <w:r>
        <w:rPr>
          <w:spacing w:val="1"/>
          <w:sz w:val="25"/>
        </w:rPr>
        <w:t> </w:t>
      </w:r>
      <w:r>
        <w:rPr>
          <w:sz w:val="25"/>
        </w:rPr>
        <w:t>Masjid‖;</w:t>
      </w:r>
    </w:p>
    <w:p>
      <w:pPr>
        <w:pStyle w:val="ListParagraph"/>
        <w:numPr>
          <w:ilvl w:val="1"/>
          <w:numId w:val="3"/>
        </w:numPr>
        <w:tabs>
          <w:tab w:pos="1941" w:val="left" w:leader="none"/>
        </w:tabs>
        <w:spacing w:line="480" w:lineRule="auto" w:before="0" w:after="0"/>
        <w:ind w:left="1940" w:right="446" w:hanging="720"/>
        <w:jc w:val="both"/>
        <w:rPr>
          <w:sz w:val="25"/>
        </w:rPr>
      </w:pPr>
      <w:r>
        <w:rPr>
          <w:sz w:val="25"/>
        </w:rPr>
        <w:t>According to defendant no 24, the following three sites are now believed to be probable places of the birth of Lord Ram,</w:t>
      </w:r>
      <w:r>
        <w:rPr>
          <w:spacing w:val="-14"/>
          <w:sz w:val="25"/>
        </w:rPr>
        <w:t> </w:t>
      </w:r>
      <w:r>
        <w:rPr>
          <w:sz w:val="25"/>
        </w:rPr>
        <w:t>namely:</w:t>
      </w:r>
    </w:p>
    <w:p>
      <w:pPr>
        <w:pStyle w:val="ListParagraph"/>
        <w:numPr>
          <w:ilvl w:val="2"/>
          <w:numId w:val="3"/>
        </w:numPr>
        <w:tabs>
          <w:tab w:pos="2660" w:val="left" w:leader="none"/>
          <w:tab w:pos="2661" w:val="left" w:leader="none"/>
        </w:tabs>
        <w:spacing w:line="287" w:lineRule="exact" w:before="0" w:after="0"/>
        <w:ind w:left="2660" w:right="0" w:hanging="721"/>
        <w:jc w:val="left"/>
        <w:rPr>
          <w:sz w:val="25"/>
        </w:rPr>
      </w:pPr>
      <w:r>
        <w:rPr>
          <w:sz w:val="25"/>
        </w:rPr>
        <w:t>Inside the Babri Masjid beneath the main dome since</w:t>
      </w:r>
      <w:r>
        <w:rPr>
          <w:spacing w:val="-9"/>
          <w:sz w:val="25"/>
        </w:rPr>
        <w:t> </w:t>
      </w:r>
      <w:r>
        <w:rPr>
          <w:sz w:val="25"/>
        </w:rPr>
        <w:t>1949;</w:t>
      </w:r>
    </w:p>
    <w:p>
      <w:pPr>
        <w:pStyle w:val="BodyText"/>
        <w:spacing w:before="11"/>
        <w:rPr>
          <w:sz w:val="24"/>
        </w:rPr>
      </w:pPr>
    </w:p>
    <w:p>
      <w:pPr>
        <w:pStyle w:val="ListParagraph"/>
        <w:numPr>
          <w:ilvl w:val="2"/>
          <w:numId w:val="3"/>
        </w:numPr>
        <w:tabs>
          <w:tab w:pos="2661" w:val="left" w:leader="none"/>
        </w:tabs>
        <w:spacing w:line="480" w:lineRule="auto" w:before="0" w:after="0"/>
        <w:ind w:left="2660" w:right="439" w:hanging="720"/>
        <w:jc w:val="both"/>
        <w:rPr>
          <w:sz w:val="25"/>
        </w:rPr>
      </w:pPr>
      <w:r>
        <w:rPr>
          <w:sz w:val="25"/>
        </w:rPr>
        <w:t>At Ramchabutra in the courtyard of the Babri Masjid since 1855;</w:t>
      </w:r>
      <w:r>
        <w:rPr>
          <w:spacing w:val="-2"/>
          <w:sz w:val="25"/>
        </w:rPr>
        <w:t> </w:t>
      </w:r>
      <w:r>
        <w:rPr>
          <w:sz w:val="25"/>
        </w:rPr>
        <w:t>and</w:t>
      </w:r>
    </w:p>
    <w:p>
      <w:pPr>
        <w:pStyle w:val="ListParagraph"/>
        <w:numPr>
          <w:ilvl w:val="2"/>
          <w:numId w:val="3"/>
        </w:numPr>
        <w:tabs>
          <w:tab w:pos="2661" w:val="left" w:leader="none"/>
        </w:tabs>
        <w:spacing w:line="480" w:lineRule="auto" w:before="2" w:after="0"/>
        <w:ind w:left="2660" w:right="441" w:hanging="720"/>
        <w:jc w:val="both"/>
        <w:rPr>
          <w:sz w:val="25"/>
        </w:rPr>
      </w:pPr>
      <w:r>
        <w:rPr>
          <w:sz w:val="25"/>
        </w:rPr>
        <w:t>At the old Ram Janmasthan Mandir where Sita Rasoi is also situated.</w:t>
      </w:r>
    </w:p>
    <w:p>
      <w:pPr>
        <w:pStyle w:val="ListParagraph"/>
        <w:numPr>
          <w:ilvl w:val="1"/>
          <w:numId w:val="3"/>
        </w:numPr>
        <w:tabs>
          <w:tab w:pos="1941" w:val="left" w:leader="none"/>
        </w:tabs>
        <w:spacing w:line="480" w:lineRule="auto" w:before="0" w:after="0"/>
        <w:ind w:left="1940" w:right="437" w:hanging="720"/>
        <w:jc w:val="both"/>
        <w:rPr>
          <w:sz w:val="25"/>
        </w:rPr>
      </w:pPr>
      <w:r>
        <w:rPr>
          <w:sz w:val="25"/>
        </w:rPr>
        <w:t>While the 1928 edition of the Faizabad Gazetteer published by the British Government contains a narration of Emperor Babur halting at Ayodhya for a week, destroying the ancient temple and building the Babri Masjid with the materials of the destroyed temple, it is a fact of history that Babur never came to Ayodhya. The Babur-Nama, a memoir of Emperor Babur has made no mention of visiting Ayodhya, destroying the temple or of building a mosque. Defendant no 24 states</w:t>
      </w:r>
      <w:r>
        <w:rPr>
          <w:spacing w:val="-2"/>
          <w:sz w:val="25"/>
        </w:rPr>
        <w:t> </w:t>
      </w:r>
      <w:r>
        <w:rPr>
          <w:sz w:val="25"/>
        </w:rPr>
        <w:t>that:</w:t>
      </w:r>
    </w:p>
    <w:p>
      <w:pPr>
        <w:spacing w:line="276" w:lineRule="auto" w:before="0"/>
        <w:ind w:left="3381" w:right="1541" w:firstLine="0"/>
        <w:jc w:val="both"/>
        <w:rPr>
          <w:sz w:val="21"/>
        </w:rPr>
      </w:pPr>
      <w:r>
        <w:rPr>
          <w:spacing w:val="-1"/>
          <w:w w:val="33"/>
          <w:sz w:val="21"/>
        </w:rPr>
        <w:t>―</w:t>
      </w:r>
      <w:r>
        <w:rPr>
          <w:w w:val="100"/>
          <w:sz w:val="21"/>
        </w:rPr>
        <w:t>H</w:t>
      </w:r>
      <w:r>
        <w:rPr>
          <w:spacing w:val="-1"/>
          <w:w w:val="100"/>
          <w:sz w:val="21"/>
        </w:rPr>
        <w:t>o</w:t>
      </w:r>
      <w:r>
        <w:rPr>
          <w:spacing w:val="-2"/>
          <w:w w:val="100"/>
          <w:sz w:val="21"/>
        </w:rPr>
        <w:t>w</w:t>
      </w:r>
      <w:r>
        <w:rPr>
          <w:spacing w:val="-1"/>
          <w:w w:val="100"/>
          <w:sz w:val="21"/>
        </w:rPr>
        <w:t>e</w:t>
      </w:r>
      <w:r>
        <w:rPr>
          <w:spacing w:val="-3"/>
          <w:w w:val="100"/>
          <w:sz w:val="21"/>
        </w:rPr>
        <w:t>v</w:t>
      </w:r>
      <w:r>
        <w:rPr>
          <w:spacing w:val="-1"/>
          <w:w w:val="100"/>
          <w:sz w:val="21"/>
        </w:rPr>
        <w:t>er</w:t>
      </w:r>
      <w:r>
        <w:rPr>
          <w:w w:val="100"/>
          <w:sz w:val="21"/>
        </w:rPr>
        <w:t>,</w:t>
      </w:r>
      <w:r>
        <w:rPr>
          <w:sz w:val="21"/>
        </w:rPr>
        <w:t>  </w:t>
      </w:r>
      <w:r>
        <w:rPr>
          <w:spacing w:val="7"/>
          <w:sz w:val="21"/>
        </w:rPr>
        <w:t> </w:t>
      </w:r>
      <w:r>
        <w:rPr>
          <w:spacing w:val="-1"/>
          <w:w w:val="100"/>
          <w:sz w:val="21"/>
        </w:rPr>
        <w:t>a</w:t>
      </w:r>
      <w:r>
        <w:rPr>
          <w:spacing w:val="1"/>
          <w:w w:val="100"/>
          <w:sz w:val="21"/>
        </w:rPr>
        <w:t>f</w:t>
      </w:r>
      <w:r>
        <w:rPr>
          <w:spacing w:val="-2"/>
          <w:w w:val="100"/>
          <w:sz w:val="21"/>
        </w:rPr>
        <w:t>t</w:t>
      </w:r>
      <w:r>
        <w:rPr>
          <w:spacing w:val="-1"/>
          <w:w w:val="100"/>
          <w:sz w:val="21"/>
        </w:rPr>
        <w:t>e</w:t>
      </w:r>
      <w:r>
        <w:rPr>
          <w:w w:val="100"/>
          <w:sz w:val="21"/>
        </w:rPr>
        <w:t>r</w:t>
      </w:r>
      <w:r>
        <w:rPr>
          <w:sz w:val="21"/>
        </w:rPr>
        <w:t>  </w:t>
      </w:r>
      <w:r>
        <w:rPr>
          <w:spacing w:val="8"/>
          <w:sz w:val="21"/>
        </w:rPr>
        <w:t> </w:t>
      </w:r>
      <w:r>
        <w:rPr>
          <w:spacing w:val="-3"/>
          <w:w w:val="100"/>
          <w:sz w:val="21"/>
        </w:rPr>
        <w:t>a</w:t>
      </w:r>
      <w:r>
        <w:rPr>
          <w:w w:val="100"/>
          <w:sz w:val="21"/>
        </w:rPr>
        <w:t>ll</w:t>
      </w:r>
      <w:r>
        <w:rPr>
          <w:sz w:val="21"/>
        </w:rPr>
        <w:t>  </w:t>
      </w:r>
      <w:r>
        <w:rPr>
          <w:spacing w:val="8"/>
          <w:sz w:val="21"/>
        </w:rPr>
        <w:t> </w:t>
      </w:r>
      <w:r>
        <w:rPr>
          <w:w w:val="100"/>
          <w:sz w:val="21"/>
        </w:rPr>
        <w:t>sa</w:t>
      </w:r>
      <w:r>
        <w:rPr>
          <w:spacing w:val="-2"/>
          <w:w w:val="100"/>
          <w:sz w:val="21"/>
        </w:rPr>
        <w:t>i</w:t>
      </w:r>
      <w:r>
        <w:rPr>
          <w:w w:val="100"/>
          <w:sz w:val="21"/>
        </w:rPr>
        <w:t>d</w:t>
      </w:r>
      <w:r>
        <w:rPr>
          <w:sz w:val="21"/>
        </w:rPr>
        <w:t>  </w:t>
      </w:r>
      <w:r>
        <w:rPr>
          <w:spacing w:val="9"/>
          <w:sz w:val="21"/>
        </w:rPr>
        <w:t> </w:t>
      </w:r>
      <w:r>
        <w:rPr>
          <w:spacing w:val="-1"/>
          <w:w w:val="100"/>
          <w:sz w:val="21"/>
        </w:rPr>
        <w:t>an</w:t>
      </w:r>
      <w:r>
        <w:rPr>
          <w:w w:val="100"/>
          <w:sz w:val="21"/>
        </w:rPr>
        <w:t>d</w:t>
      </w:r>
      <w:r>
        <w:rPr>
          <w:sz w:val="21"/>
        </w:rPr>
        <w:t>  </w:t>
      </w:r>
      <w:r>
        <w:rPr>
          <w:spacing w:val="9"/>
          <w:sz w:val="21"/>
        </w:rPr>
        <w:t> </w:t>
      </w:r>
      <w:r>
        <w:rPr>
          <w:spacing w:val="-3"/>
          <w:w w:val="100"/>
          <w:sz w:val="21"/>
        </w:rPr>
        <w:t>d</w:t>
      </w:r>
      <w:r>
        <w:rPr>
          <w:spacing w:val="-1"/>
          <w:w w:val="100"/>
          <w:sz w:val="21"/>
        </w:rPr>
        <w:t>one</w:t>
      </w:r>
      <w:r>
        <w:rPr>
          <w:w w:val="100"/>
          <w:sz w:val="21"/>
        </w:rPr>
        <w:t>,</w:t>
      </w:r>
      <w:r>
        <w:rPr>
          <w:sz w:val="21"/>
        </w:rPr>
        <w:t>  </w:t>
      </w:r>
      <w:r>
        <w:rPr>
          <w:spacing w:val="6"/>
          <w:sz w:val="21"/>
        </w:rPr>
        <w:t> </w:t>
      </w:r>
      <w:r>
        <w:rPr>
          <w:w w:val="100"/>
          <w:sz w:val="21"/>
        </w:rPr>
        <w:t>it</w:t>
      </w:r>
      <w:r>
        <w:rPr>
          <w:sz w:val="21"/>
        </w:rPr>
        <w:t>  </w:t>
      </w:r>
      <w:r>
        <w:rPr>
          <w:spacing w:val="8"/>
          <w:sz w:val="21"/>
        </w:rPr>
        <w:t> </w:t>
      </w:r>
      <w:r>
        <w:rPr>
          <w:w w:val="100"/>
          <w:sz w:val="21"/>
        </w:rPr>
        <w:t>is</w:t>
      </w:r>
      <w:r>
        <w:rPr>
          <w:sz w:val="21"/>
        </w:rPr>
        <w:t>  </w:t>
      </w:r>
      <w:r>
        <w:rPr>
          <w:spacing w:val="7"/>
          <w:sz w:val="21"/>
        </w:rPr>
        <w:t> </w:t>
      </w:r>
      <w:r>
        <w:rPr>
          <w:spacing w:val="-1"/>
          <w:w w:val="100"/>
          <w:sz w:val="21"/>
        </w:rPr>
        <w:t>most </w:t>
      </w:r>
      <w:r>
        <w:rPr>
          <w:sz w:val="21"/>
        </w:rPr>
        <w:t>respectfully submitted that if only this claim is proved that a Mandir was demolished and Babri Masjid was built on the Mandir land, this defendant and all other Muslims will gladly demolish and shift the mosque, and</w:t>
      </w:r>
      <w:r>
        <w:rPr>
          <w:spacing w:val="-5"/>
          <w:sz w:val="21"/>
        </w:rPr>
        <w:t> </w:t>
      </w:r>
      <w:r>
        <w:rPr>
          <w:sz w:val="21"/>
        </w:rPr>
        <w:t>return</w:t>
      </w:r>
      <w:r>
        <w:rPr>
          <w:spacing w:val="-5"/>
          <w:sz w:val="21"/>
        </w:rPr>
        <w:t> </w:t>
      </w:r>
      <w:r>
        <w:rPr>
          <w:sz w:val="21"/>
        </w:rPr>
        <w:t>the</w:t>
      </w:r>
      <w:r>
        <w:rPr>
          <w:spacing w:val="-5"/>
          <w:sz w:val="21"/>
        </w:rPr>
        <w:t> </w:t>
      </w:r>
      <w:r>
        <w:rPr>
          <w:sz w:val="21"/>
        </w:rPr>
        <w:t>land</w:t>
      </w:r>
      <w:r>
        <w:rPr>
          <w:spacing w:val="-7"/>
          <w:sz w:val="21"/>
        </w:rPr>
        <w:t> </w:t>
      </w:r>
      <w:r>
        <w:rPr>
          <w:sz w:val="21"/>
        </w:rPr>
        <w:t>for</w:t>
      </w:r>
      <w:r>
        <w:rPr>
          <w:spacing w:val="-6"/>
          <w:sz w:val="21"/>
        </w:rPr>
        <w:t> </w:t>
      </w:r>
      <w:r>
        <w:rPr>
          <w:sz w:val="21"/>
        </w:rPr>
        <w:t>building</w:t>
      </w:r>
      <w:r>
        <w:rPr>
          <w:spacing w:val="-5"/>
          <w:sz w:val="21"/>
        </w:rPr>
        <w:t> </w:t>
      </w:r>
      <w:r>
        <w:rPr>
          <w:sz w:val="21"/>
        </w:rPr>
        <w:t>of</w:t>
      </w:r>
      <w:r>
        <w:rPr>
          <w:spacing w:val="-4"/>
          <w:sz w:val="21"/>
        </w:rPr>
        <w:t> </w:t>
      </w:r>
      <w:r>
        <w:rPr>
          <w:sz w:val="21"/>
        </w:rPr>
        <w:t>the</w:t>
      </w:r>
      <w:r>
        <w:rPr>
          <w:spacing w:val="-5"/>
          <w:sz w:val="21"/>
        </w:rPr>
        <w:t> </w:t>
      </w:r>
      <w:r>
        <w:rPr>
          <w:sz w:val="21"/>
        </w:rPr>
        <w:t>Mandir</w:t>
      </w:r>
      <w:r>
        <w:rPr>
          <w:spacing w:val="-6"/>
          <w:sz w:val="21"/>
        </w:rPr>
        <w:t> </w:t>
      </w:r>
      <w:r>
        <w:rPr>
          <w:sz w:val="21"/>
        </w:rPr>
        <w:t>thereon.‖</w:t>
      </w:r>
    </w:p>
    <w:p>
      <w:pPr>
        <w:pStyle w:val="BodyText"/>
        <w:rPr>
          <w:sz w:val="24"/>
        </w:rPr>
      </w:pPr>
    </w:p>
    <w:p>
      <w:pPr>
        <w:pStyle w:val="BodyText"/>
        <w:spacing w:before="6"/>
        <w:rPr>
          <w:sz w:val="28"/>
        </w:rPr>
      </w:pPr>
    </w:p>
    <w:p>
      <w:pPr>
        <w:pStyle w:val="ListParagraph"/>
        <w:numPr>
          <w:ilvl w:val="1"/>
          <w:numId w:val="3"/>
        </w:numPr>
        <w:tabs>
          <w:tab w:pos="1941" w:val="left" w:leader="none"/>
        </w:tabs>
        <w:spacing w:line="480" w:lineRule="auto" w:before="0" w:after="0"/>
        <w:ind w:left="1940" w:right="436" w:hanging="720"/>
        <w:jc w:val="both"/>
        <w:rPr>
          <w:sz w:val="25"/>
        </w:rPr>
      </w:pPr>
      <w:r>
        <w:rPr>
          <w:sz w:val="25"/>
        </w:rPr>
        <w:t>Babri Masjid was built by Mir Baqi on vacant land and not on the ruins</w:t>
      </w:r>
      <w:r>
        <w:rPr>
          <w:spacing w:val="35"/>
          <w:sz w:val="25"/>
        </w:rPr>
        <w:t> </w:t>
      </w:r>
      <w:r>
        <w:rPr>
          <w:sz w:val="25"/>
        </w:rPr>
        <w:t>of</w:t>
      </w:r>
      <w:r>
        <w:rPr>
          <w:spacing w:val="35"/>
          <w:sz w:val="25"/>
        </w:rPr>
        <w:t> </w:t>
      </w:r>
      <w:r>
        <w:rPr>
          <w:sz w:val="25"/>
        </w:rPr>
        <w:t>a</w:t>
      </w:r>
      <w:r>
        <w:rPr>
          <w:spacing w:val="34"/>
          <w:sz w:val="25"/>
        </w:rPr>
        <w:t> </w:t>
      </w:r>
      <w:r>
        <w:rPr>
          <w:sz w:val="25"/>
        </w:rPr>
        <w:t>pre-existing</w:t>
      </w:r>
      <w:r>
        <w:rPr>
          <w:spacing w:val="35"/>
          <w:sz w:val="25"/>
        </w:rPr>
        <w:t> </w:t>
      </w:r>
      <w:r>
        <w:rPr>
          <w:sz w:val="25"/>
        </w:rPr>
        <w:t>temple.</w:t>
      </w:r>
      <w:r>
        <w:rPr>
          <w:spacing w:val="34"/>
          <w:sz w:val="25"/>
        </w:rPr>
        <w:t> </w:t>
      </w:r>
      <w:r>
        <w:rPr>
          <w:sz w:val="25"/>
        </w:rPr>
        <w:t>Since</w:t>
      </w:r>
      <w:r>
        <w:rPr>
          <w:spacing w:val="37"/>
          <w:sz w:val="25"/>
        </w:rPr>
        <w:t> </w:t>
      </w:r>
      <w:r>
        <w:rPr>
          <w:sz w:val="25"/>
        </w:rPr>
        <w:t>Mir</w:t>
      </w:r>
      <w:r>
        <w:rPr>
          <w:spacing w:val="37"/>
          <w:sz w:val="25"/>
        </w:rPr>
        <w:t> </w:t>
      </w:r>
      <w:r>
        <w:rPr>
          <w:sz w:val="25"/>
        </w:rPr>
        <w:t>Baqi</w:t>
      </w:r>
      <w:r>
        <w:rPr>
          <w:spacing w:val="38"/>
          <w:sz w:val="25"/>
        </w:rPr>
        <w:t> </w:t>
      </w:r>
      <w:r>
        <w:rPr>
          <w:sz w:val="25"/>
        </w:rPr>
        <w:t>was</w:t>
      </w:r>
      <w:r>
        <w:rPr>
          <w:spacing w:val="34"/>
          <w:sz w:val="25"/>
        </w:rPr>
        <w:t> </w:t>
      </w:r>
      <w:r>
        <w:rPr>
          <w:sz w:val="25"/>
        </w:rPr>
        <w:t>a</w:t>
      </w:r>
      <w:r>
        <w:rPr>
          <w:spacing w:val="37"/>
          <w:sz w:val="25"/>
        </w:rPr>
        <w:t> </w:t>
      </w:r>
      <w:r>
        <w:rPr>
          <w:sz w:val="25"/>
        </w:rPr>
        <w:t>Shia</w:t>
      </w:r>
      <w:r>
        <w:rPr>
          <w:spacing w:val="37"/>
          <w:sz w:val="25"/>
        </w:rPr>
        <w:t> </w:t>
      </w:r>
      <w:r>
        <w:rPr>
          <w:sz w:val="25"/>
        </w:rPr>
        <w:t>Muslim,</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940" w:right="439"/>
        <w:jc w:val="both"/>
      </w:pPr>
      <w:r>
        <w:rPr/>
        <w:t>the ‗mutawalliship‘ devolved upon his descendants since inception in 1528 without a break. However, both Shias and Sunnis offered namaz in Babri Masjid. The Sunni Muslims were permitted by the Shia mutawalli to perform their own daily Jamaat in the Masjid since 1925, when the Shia population in Ayodhya dwindled. The Sunni Imam of Babri Masjid led the last namaz on 22 December 1949.</w:t>
      </w:r>
    </w:p>
    <w:p>
      <w:pPr>
        <w:pStyle w:val="BodyText"/>
      </w:pPr>
    </w:p>
    <w:p>
      <w:pPr>
        <w:pStyle w:val="BodyText"/>
        <w:ind w:left="500"/>
      </w:pPr>
      <w:r>
        <w:rPr/>
        <w:t>The written statement of defendant no 25 states that:</w:t>
      </w:r>
    </w:p>
    <w:p>
      <w:pPr>
        <w:pStyle w:val="BodyText"/>
        <w:rPr>
          <w:sz w:val="28"/>
        </w:rPr>
      </w:pPr>
    </w:p>
    <w:p>
      <w:pPr>
        <w:pStyle w:val="BodyText"/>
        <w:spacing w:before="1"/>
        <w:rPr>
          <w:sz w:val="22"/>
        </w:rPr>
      </w:pPr>
    </w:p>
    <w:p>
      <w:pPr>
        <w:pStyle w:val="ListParagraph"/>
        <w:numPr>
          <w:ilvl w:val="0"/>
          <w:numId w:val="20"/>
        </w:numPr>
        <w:tabs>
          <w:tab w:pos="1941" w:val="left" w:leader="none"/>
        </w:tabs>
        <w:spacing w:line="480" w:lineRule="auto" w:before="0" w:after="0"/>
        <w:ind w:left="1940" w:right="438" w:hanging="720"/>
        <w:jc w:val="both"/>
        <w:rPr>
          <w:sz w:val="25"/>
        </w:rPr>
      </w:pPr>
      <w:r>
        <w:rPr>
          <w:sz w:val="25"/>
        </w:rPr>
        <w:t>Babri Masjid has always been in use as a mosque in which the namaz was offered since its construction, until 22 December 1949; and</w:t>
      </w:r>
    </w:p>
    <w:p>
      <w:pPr>
        <w:pStyle w:val="ListParagraph"/>
        <w:numPr>
          <w:ilvl w:val="0"/>
          <w:numId w:val="20"/>
        </w:numPr>
        <w:tabs>
          <w:tab w:pos="1941" w:val="left" w:leader="none"/>
        </w:tabs>
        <w:spacing w:line="480" w:lineRule="auto" w:before="0" w:after="0"/>
        <w:ind w:left="1940" w:right="438" w:hanging="720"/>
        <w:jc w:val="both"/>
        <w:rPr>
          <w:sz w:val="25"/>
        </w:rPr>
      </w:pPr>
      <w:r>
        <w:rPr>
          <w:sz w:val="25"/>
        </w:rPr>
        <w:t>On the night between 22-23 December 1949, some persons illegally trespassed into the mosque as a result of which an FIR was lodged and proceedings under Section 145 were initiated. A receiver was appointed and the </w:t>
      </w:r>
      <w:r>
        <w:rPr>
          <w:i/>
          <w:sz w:val="25"/>
        </w:rPr>
        <w:t>status quo </w:t>
      </w:r>
      <w:r>
        <w:rPr>
          <w:sz w:val="25"/>
        </w:rPr>
        <w:t>was directed to be continued during the pendency of the civil suits before the Civil</w:t>
      </w:r>
      <w:r>
        <w:rPr>
          <w:spacing w:val="-10"/>
          <w:sz w:val="25"/>
        </w:rPr>
        <w:t> </w:t>
      </w:r>
      <w:r>
        <w:rPr>
          <w:sz w:val="25"/>
        </w:rPr>
        <w:t>Court.</w:t>
      </w:r>
    </w:p>
    <w:p>
      <w:pPr>
        <w:pStyle w:val="BodyText"/>
        <w:rPr>
          <w:sz w:val="28"/>
        </w:rPr>
      </w:pPr>
    </w:p>
    <w:p>
      <w:pPr>
        <w:pStyle w:val="BodyText"/>
        <w:spacing w:before="4"/>
        <w:rPr>
          <w:sz w:val="22"/>
        </w:rPr>
      </w:pPr>
    </w:p>
    <w:p>
      <w:pPr>
        <w:pStyle w:val="Heading4"/>
        <w:jc w:val="left"/>
        <w:rPr>
          <w:i/>
        </w:rPr>
      </w:pPr>
      <w:r>
        <w:rPr>
          <w:i/>
        </w:rPr>
        <w:t>Heads of issues in the Suits</w:t>
      </w:r>
    </w:p>
    <w:p>
      <w:pPr>
        <w:pStyle w:val="BodyText"/>
        <w:rPr>
          <w:i/>
          <w:sz w:val="28"/>
        </w:rPr>
      </w:pPr>
    </w:p>
    <w:p>
      <w:pPr>
        <w:pStyle w:val="BodyText"/>
        <w:spacing w:before="6"/>
        <w:rPr>
          <w:i/>
          <w:sz w:val="22"/>
        </w:rPr>
      </w:pPr>
    </w:p>
    <w:p>
      <w:pPr>
        <w:pStyle w:val="ListParagraph"/>
        <w:numPr>
          <w:ilvl w:val="0"/>
          <w:numId w:val="3"/>
        </w:numPr>
        <w:tabs>
          <w:tab w:pos="1220" w:val="left" w:leader="none"/>
          <w:tab w:pos="1221" w:val="left" w:leader="none"/>
        </w:tabs>
        <w:spacing w:line="480" w:lineRule="auto" w:before="0" w:after="0"/>
        <w:ind w:left="500" w:right="441" w:firstLine="0"/>
        <w:jc w:val="left"/>
        <w:rPr>
          <w:sz w:val="25"/>
        </w:rPr>
      </w:pPr>
      <w:r>
        <w:rPr>
          <w:sz w:val="25"/>
        </w:rPr>
        <w:t>Justice Sudhir Agarwal observed that the issues in the four suits can be broadly classified under the following heads</w:t>
      </w:r>
      <w:r>
        <w:rPr>
          <w:spacing w:val="-8"/>
          <w:sz w:val="25"/>
        </w:rPr>
        <w:t> </w:t>
      </w:r>
      <w:r>
        <w:rPr>
          <w:sz w:val="25"/>
        </w:rPr>
        <w:t>:</w:t>
      </w:r>
    </w:p>
    <w:p>
      <w:pPr>
        <w:spacing w:before="2"/>
        <w:ind w:left="2718" w:right="0" w:firstLine="0"/>
        <w:jc w:val="left"/>
        <w:rPr>
          <w:sz w:val="21"/>
        </w:rPr>
      </w:pPr>
      <w:r>
        <w:rPr>
          <w:spacing w:val="-1"/>
          <w:w w:val="33"/>
          <w:sz w:val="21"/>
        </w:rPr>
        <w:t>―</w:t>
      </w:r>
      <w:r>
        <w:rPr>
          <w:spacing w:val="-1"/>
          <w:w w:val="100"/>
          <w:sz w:val="21"/>
        </w:rPr>
        <w:t>(</w:t>
      </w:r>
      <w:r>
        <w:rPr>
          <w:w w:val="100"/>
          <w:sz w:val="21"/>
        </w:rPr>
        <w:t>A)</w:t>
      </w:r>
      <w:r>
        <w:rPr>
          <w:spacing w:val="-2"/>
          <w:sz w:val="21"/>
        </w:rPr>
        <w:t> </w:t>
      </w:r>
      <w:r>
        <w:rPr>
          <w:w w:val="100"/>
          <w:sz w:val="21"/>
        </w:rPr>
        <w:t>N</w:t>
      </w:r>
      <w:r>
        <w:rPr>
          <w:spacing w:val="-1"/>
          <w:w w:val="100"/>
          <w:sz w:val="21"/>
        </w:rPr>
        <w:t>ot</w:t>
      </w:r>
      <w:r>
        <w:rPr>
          <w:w w:val="100"/>
          <w:sz w:val="21"/>
        </w:rPr>
        <w:t>i</w:t>
      </w:r>
      <w:r>
        <w:rPr>
          <w:spacing w:val="-3"/>
          <w:w w:val="100"/>
          <w:sz w:val="21"/>
        </w:rPr>
        <w:t>c</w:t>
      </w:r>
      <w:r>
        <w:rPr>
          <w:w w:val="100"/>
          <w:sz w:val="21"/>
        </w:rPr>
        <w:t>e</w:t>
      </w:r>
      <w:r>
        <w:rPr>
          <w:spacing w:val="-1"/>
          <w:sz w:val="21"/>
        </w:rPr>
        <w:t> </w:t>
      </w:r>
      <w:r>
        <w:rPr>
          <w:spacing w:val="-1"/>
          <w:w w:val="100"/>
          <w:sz w:val="21"/>
        </w:rPr>
        <w:t>un</w:t>
      </w:r>
      <w:r>
        <w:rPr>
          <w:spacing w:val="-2"/>
          <w:w w:val="100"/>
          <w:sz w:val="21"/>
        </w:rPr>
        <w:t>d</w:t>
      </w:r>
      <w:r>
        <w:rPr>
          <w:spacing w:val="-1"/>
          <w:w w:val="100"/>
          <w:sz w:val="21"/>
        </w:rPr>
        <w:t>e</w:t>
      </w:r>
      <w:r>
        <w:rPr>
          <w:w w:val="100"/>
          <w:sz w:val="21"/>
        </w:rPr>
        <w:t>r</w:t>
      </w:r>
      <w:r>
        <w:rPr>
          <w:spacing w:val="-2"/>
          <w:sz w:val="21"/>
        </w:rPr>
        <w:t> </w:t>
      </w:r>
      <w:r>
        <w:rPr>
          <w:w w:val="100"/>
          <w:sz w:val="21"/>
        </w:rPr>
        <w:t>S</w:t>
      </w:r>
      <w:r>
        <w:rPr>
          <w:spacing w:val="-1"/>
          <w:w w:val="100"/>
          <w:sz w:val="21"/>
        </w:rPr>
        <w:t>ec</w:t>
      </w:r>
      <w:r>
        <w:rPr>
          <w:spacing w:val="-4"/>
          <w:w w:val="100"/>
          <w:sz w:val="21"/>
        </w:rPr>
        <w:t>t</w:t>
      </w:r>
      <w:r>
        <w:rPr>
          <w:w w:val="100"/>
          <w:sz w:val="21"/>
        </w:rPr>
        <w:t>i</w:t>
      </w:r>
      <w:r>
        <w:rPr>
          <w:spacing w:val="-1"/>
          <w:w w:val="100"/>
          <w:sz w:val="21"/>
        </w:rPr>
        <w:t>o</w:t>
      </w:r>
      <w:r>
        <w:rPr>
          <w:w w:val="100"/>
          <w:sz w:val="21"/>
        </w:rPr>
        <w:t>n</w:t>
      </w:r>
      <w:r>
        <w:rPr>
          <w:spacing w:val="-3"/>
          <w:sz w:val="21"/>
        </w:rPr>
        <w:t> </w:t>
      </w:r>
      <w:r>
        <w:rPr>
          <w:spacing w:val="-1"/>
          <w:w w:val="100"/>
          <w:sz w:val="21"/>
        </w:rPr>
        <w:t>8</w:t>
      </w:r>
      <w:r>
        <w:rPr>
          <w:w w:val="100"/>
          <w:sz w:val="21"/>
        </w:rPr>
        <w:t>0</w:t>
      </w:r>
      <w:r>
        <w:rPr>
          <w:spacing w:val="-1"/>
          <w:sz w:val="21"/>
        </w:rPr>
        <w:t> </w:t>
      </w:r>
      <w:r>
        <w:rPr>
          <w:w w:val="100"/>
          <w:sz w:val="21"/>
        </w:rPr>
        <w:t>C</w:t>
      </w:r>
      <w:r>
        <w:rPr>
          <w:spacing w:val="-2"/>
          <w:w w:val="100"/>
          <w:sz w:val="21"/>
        </w:rPr>
        <w:t>.</w:t>
      </w:r>
      <w:r>
        <w:rPr>
          <w:w w:val="100"/>
          <w:sz w:val="21"/>
        </w:rPr>
        <w:t>P</w:t>
      </w:r>
      <w:r>
        <w:rPr>
          <w:spacing w:val="-4"/>
          <w:w w:val="100"/>
          <w:sz w:val="21"/>
        </w:rPr>
        <w:t>.</w:t>
      </w:r>
      <w:r>
        <w:rPr>
          <w:w w:val="100"/>
          <w:sz w:val="21"/>
        </w:rPr>
        <w:t>C.</w:t>
      </w:r>
    </w:p>
    <w:p>
      <w:pPr>
        <w:pStyle w:val="ListParagraph"/>
        <w:numPr>
          <w:ilvl w:val="1"/>
          <w:numId w:val="13"/>
        </w:numPr>
        <w:tabs>
          <w:tab w:pos="3057" w:val="left" w:leader="none"/>
        </w:tabs>
        <w:spacing w:line="240" w:lineRule="auto" w:before="34" w:after="0"/>
        <w:ind w:left="3056" w:right="0" w:hanging="339"/>
        <w:jc w:val="left"/>
        <w:rPr>
          <w:sz w:val="21"/>
        </w:rPr>
      </w:pPr>
      <w:r>
        <w:rPr>
          <w:sz w:val="21"/>
        </w:rPr>
        <w:t>Religious</w:t>
      </w:r>
      <w:r>
        <w:rPr>
          <w:spacing w:val="-2"/>
          <w:sz w:val="21"/>
        </w:rPr>
        <w:t> </w:t>
      </w:r>
      <w:r>
        <w:rPr>
          <w:sz w:val="21"/>
        </w:rPr>
        <w:t>denomination</w:t>
      </w:r>
    </w:p>
    <w:p>
      <w:pPr>
        <w:pStyle w:val="ListParagraph"/>
        <w:numPr>
          <w:ilvl w:val="1"/>
          <w:numId w:val="13"/>
        </w:numPr>
        <w:tabs>
          <w:tab w:pos="3069" w:val="left" w:leader="none"/>
        </w:tabs>
        <w:spacing w:line="240" w:lineRule="auto" w:before="37" w:after="0"/>
        <w:ind w:left="3069" w:right="0" w:hanging="351"/>
        <w:jc w:val="left"/>
        <w:rPr>
          <w:sz w:val="21"/>
        </w:rPr>
      </w:pPr>
      <w:r>
        <w:rPr>
          <w:i/>
          <w:sz w:val="21"/>
        </w:rPr>
        <w:t>Res judicata, </w:t>
      </w:r>
      <w:r>
        <w:rPr>
          <w:sz w:val="21"/>
        </w:rPr>
        <w:t>waiver and</w:t>
      </w:r>
      <w:r>
        <w:rPr>
          <w:spacing w:val="-9"/>
          <w:sz w:val="21"/>
        </w:rPr>
        <w:t> </w:t>
      </w:r>
      <w:r>
        <w:rPr>
          <w:sz w:val="21"/>
        </w:rPr>
        <w:t>estoppel</w:t>
      </w:r>
    </w:p>
    <w:p>
      <w:pPr>
        <w:pStyle w:val="ListParagraph"/>
        <w:numPr>
          <w:ilvl w:val="1"/>
          <w:numId w:val="13"/>
        </w:numPr>
        <w:tabs>
          <w:tab w:pos="3006" w:val="left" w:leader="none"/>
        </w:tabs>
        <w:spacing w:line="240" w:lineRule="auto" w:before="37" w:after="0"/>
        <w:ind w:left="3005" w:right="0" w:hanging="346"/>
        <w:jc w:val="left"/>
        <w:rPr>
          <w:sz w:val="21"/>
        </w:rPr>
      </w:pPr>
      <w:r>
        <w:rPr>
          <w:sz w:val="21"/>
        </w:rPr>
        <w:t>Waqf Act 13 of 1936</w:t>
      </w:r>
      <w:r>
        <w:rPr>
          <w:spacing w:val="-3"/>
          <w:sz w:val="21"/>
        </w:rPr>
        <w:t> </w:t>
      </w:r>
      <w:r>
        <w:rPr>
          <w:sz w:val="21"/>
        </w:rPr>
        <w:t>etc.</w:t>
      </w:r>
    </w:p>
    <w:p>
      <w:pPr>
        <w:pStyle w:val="ListParagraph"/>
        <w:numPr>
          <w:ilvl w:val="1"/>
          <w:numId w:val="13"/>
        </w:numPr>
        <w:tabs>
          <w:tab w:pos="2999" w:val="left" w:leader="none"/>
        </w:tabs>
        <w:spacing w:line="276" w:lineRule="auto" w:before="35" w:after="0"/>
        <w:ind w:left="2660" w:right="532" w:firstLine="0"/>
        <w:jc w:val="left"/>
        <w:rPr>
          <w:sz w:val="21"/>
        </w:rPr>
      </w:pPr>
      <w:r>
        <w:rPr>
          <w:sz w:val="21"/>
        </w:rPr>
        <w:t>Miscellaneous issues like representative nature of suit, Trust, Section 91 C.P.C., non joinder of parties, valuation/ insufficient Court fee/under valuation and special</w:t>
      </w:r>
      <w:r>
        <w:rPr>
          <w:spacing w:val="-2"/>
          <w:sz w:val="21"/>
        </w:rPr>
        <w:t> </w:t>
      </w:r>
      <w:r>
        <w:rPr>
          <w:sz w:val="21"/>
        </w:rPr>
        <w:t>costs.</w:t>
      </w:r>
    </w:p>
    <w:p>
      <w:pPr>
        <w:spacing w:after="0" w:line="276" w:lineRule="auto"/>
        <w:jc w:val="left"/>
        <w:rPr>
          <w:sz w:val="21"/>
        </w:rPr>
        <w:sectPr>
          <w:pgSz w:w="11910" w:h="16840"/>
          <w:pgMar w:header="721" w:footer="1014" w:top="1300" w:bottom="1200" w:left="940" w:right="1000"/>
        </w:sectPr>
      </w:pPr>
    </w:p>
    <w:p>
      <w:pPr>
        <w:pStyle w:val="ListParagraph"/>
        <w:numPr>
          <w:ilvl w:val="1"/>
          <w:numId w:val="13"/>
        </w:numPr>
        <w:tabs>
          <w:tab w:pos="2987" w:val="left" w:leader="none"/>
        </w:tabs>
        <w:spacing w:line="240" w:lineRule="auto" w:before="122" w:after="0"/>
        <w:ind w:left="2986" w:right="0" w:hanging="327"/>
        <w:jc w:val="left"/>
        <w:rPr>
          <w:sz w:val="21"/>
        </w:rPr>
      </w:pPr>
      <w:r>
        <w:rPr>
          <w:sz w:val="21"/>
        </w:rPr>
        <w:t>Person and period- who and when constructed the disputed</w:t>
      </w:r>
      <w:r>
        <w:rPr>
          <w:spacing w:val="-11"/>
          <w:sz w:val="21"/>
        </w:rPr>
        <w:t> </w:t>
      </w:r>
      <w:r>
        <w:rPr>
          <w:sz w:val="21"/>
        </w:rPr>
        <w:t>building</w:t>
      </w:r>
    </w:p>
    <w:p>
      <w:pPr>
        <w:pStyle w:val="ListParagraph"/>
        <w:numPr>
          <w:ilvl w:val="1"/>
          <w:numId w:val="13"/>
        </w:numPr>
        <w:tabs>
          <w:tab w:pos="3021" w:val="left" w:leader="none"/>
        </w:tabs>
        <w:spacing w:line="240" w:lineRule="auto" w:before="38" w:after="0"/>
        <w:ind w:left="3020" w:right="0" w:hanging="361"/>
        <w:jc w:val="left"/>
        <w:rPr>
          <w:sz w:val="21"/>
        </w:rPr>
      </w:pPr>
      <w:r>
        <w:rPr>
          <w:sz w:val="21"/>
        </w:rPr>
        <w:t>Deities, their status, rights</w:t>
      </w:r>
      <w:r>
        <w:rPr>
          <w:spacing w:val="-7"/>
          <w:sz w:val="21"/>
        </w:rPr>
        <w:t> </w:t>
      </w:r>
      <w:r>
        <w:rPr>
          <w:sz w:val="21"/>
        </w:rPr>
        <w:t>etc.</w:t>
      </w:r>
    </w:p>
    <w:p>
      <w:pPr>
        <w:pStyle w:val="ListParagraph"/>
        <w:numPr>
          <w:ilvl w:val="1"/>
          <w:numId w:val="13"/>
        </w:numPr>
        <w:tabs>
          <w:tab w:pos="3011" w:val="left" w:leader="none"/>
        </w:tabs>
        <w:spacing w:line="240" w:lineRule="auto" w:before="34" w:after="0"/>
        <w:ind w:left="3010" w:right="0" w:hanging="351"/>
        <w:jc w:val="left"/>
        <w:rPr>
          <w:sz w:val="21"/>
        </w:rPr>
      </w:pPr>
      <w:r>
        <w:rPr>
          <w:sz w:val="21"/>
        </w:rPr>
        <w:t>Limitation</w:t>
      </w:r>
    </w:p>
    <w:p>
      <w:pPr>
        <w:pStyle w:val="ListParagraph"/>
        <w:numPr>
          <w:ilvl w:val="1"/>
          <w:numId w:val="13"/>
        </w:numPr>
        <w:tabs>
          <w:tab w:pos="2916" w:val="left" w:leader="none"/>
        </w:tabs>
        <w:spacing w:line="240" w:lineRule="auto" w:before="37" w:after="0"/>
        <w:ind w:left="2915" w:right="0" w:hanging="256"/>
        <w:jc w:val="left"/>
        <w:rPr>
          <w:sz w:val="21"/>
        </w:rPr>
      </w:pPr>
      <w:r>
        <w:rPr>
          <w:sz w:val="21"/>
        </w:rPr>
        <w:t>Possession/adverse</w:t>
      </w:r>
      <w:r>
        <w:rPr>
          <w:spacing w:val="-3"/>
          <w:sz w:val="21"/>
        </w:rPr>
        <w:t> </w:t>
      </w:r>
      <w:r>
        <w:rPr>
          <w:sz w:val="21"/>
        </w:rPr>
        <w:t>possession</w:t>
      </w:r>
    </w:p>
    <w:p>
      <w:pPr>
        <w:pStyle w:val="ListParagraph"/>
        <w:numPr>
          <w:ilvl w:val="1"/>
          <w:numId w:val="13"/>
        </w:numPr>
        <w:tabs>
          <w:tab w:pos="2964" w:val="left" w:leader="none"/>
        </w:tabs>
        <w:spacing w:line="240" w:lineRule="auto" w:before="37" w:after="0"/>
        <w:ind w:left="2963" w:right="0" w:hanging="304"/>
        <w:jc w:val="left"/>
        <w:rPr>
          <w:sz w:val="21"/>
        </w:rPr>
      </w:pPr>
      <w:r>
        <w:rPr>
          <w:sz w:val="21"/>
        </w:rPr>
        <w:t>Site as birthplace, existence of temple and demolition if</w:t>
      </w:r>
      <w:r>
        <w:rPr>
          <w:spacing w:val="-10"/>
          <w:sz w:val="21"/>
        </w:rPr>
        <w:t> </w:t>
      </w:r>
      <w:r>
        <w:rPr>
          <w:sz w:val="21"/>
        </w:rPr>
        <w:t>any.</w:t>
      </w:r>
    </w:p>
    <w:p>
      <w:pPr>
        <w:pStyle w:val="ListParagraph"/>
        <w:numPr>
          <w:ilvl w:val="1"/>
          <w:numId w:val="13"/>
        </w:numPr>
        <w:tabs>
          <w:tab w:pos="2999" w:val="left" w:leader="none"/>
        </w:tabs>
        <w:spacing w:line="240" w:lineRule="auto" w:before="37" w:after="0"/>
        <w:ind w:left="2998" w:right="0" w:hanging="339"/>
        <w:jc w:val="left"/>
        <w:rPr>
          <w:sz w:val="21"/>
        </w:rPr>
      </w:pPr>
      <w:r>
        <w:rPr>
          <w:sz w:val="21"/>
        </w:rPr>
        <w:t>Character of</w:t>
      </w:r>
      <w:r>
        <w:rPr>
          <w:spacing w:val="-3"/>
          <w:sz w:val="21"/>
        </w:rPr>
        <w:t> </w:t>
      </w:r>
      <w:r>
        <w:rPr>
          <w:sz w:val="21"/>
        </w:rPr>
        <w:t>Mosque</w:t>
      </w:r>
    </w:p>
    <w:p>
      <w:pPr>
        <w:pStyle w:val="ListParagraph"/>
        <w:numPr>
          <w:ilvl w:val="1"/>
          <w:numId w:val="13"/>
        </w:numPr>
        <w:tabs>
          <w:tab w:pos="2975" w:val="left" w:leader="none"/>
        </w:tabs>
        <w:spacing w:line="240" w:lineRule="auto" w:before="34" w:after="0"/>
        <w:ind w:left="2974" w:right="0" w:hanging="315"/>
        <w:jc w:val="left"/>
        <w:rPr>
          <w:sz w:val="21"/>
        </w:rPr>
      </w:pPr>
      <w:r>
        <w:rPr>
          <w:sz w:val="21"/>
        </w:rPr>
        <w:t>Identity of the</w:t>
      </w:r>
      <w:r>
        <w:rPr>
          <w:spacing w:val="-5"/>
          <w:sz w:val="21"/>
        </w:rPr>
        <w:t> </w:t>
      </w:r>
      <w:r>
        <w:rPr>
          <w:sz w:val="21"/>
        </w:rPr>
        <w:t>property</w:t>
      </w:r>
    </w:p>
    <w:p>
      <w:pPr>
        <w:pStyle w:val="ListParagraph"/>
        <w:numPr>
          <w:ilvl w:val="1"/>
          <w:numId w:val="13"/>
        </w:numPr>
        <w:tabs>
          <w:tab w:pos="3033" w:val="left" w:leader="none"/>
        </w:tabs>
        <w:spacing w:line="240" w:lineRule="auto" w:before="37" w:after="0"/>
        <w:ind w:left="3032" w:right="0" w:hanging="373"/>
        <w:jc w:val="left"/>
        <w:rPr>
          <w:sz w:val="21"/>
        </w:rPr>
      </w:pPr>
      <w:r>
        <w:rPr>
          <w:sz w:val="21"/>
        </w:rPr>
        <w:t>Bar of Specific Relief</w:t>
      </w:r>
      <w:r>
        <w:rPr>
          <w:spacing w:val="-8"/>
          <w:sz w:val="21"/>
        </w:rPr>
        <w:t> </w:t>
      </w:r>
      <w:r>
        <w:rPr>
          <w:sz w:val="21"/>
        </w:rPr>
        <w:t>Act</w:t>
      </w:r>
    </w:p>
    <w:p>
      <w:pPr>
        <w:pStyle w:val="ListParagraph"/>
        <w:numPr>
          <w:ilvl w:val="1"/>
          <w:numId w:val="13"/>
        </w:numPr>
        <w:tabs>
          <w:tab w:pos="3011" w:val="left" w:leader="none"/>
        </w:tabs>
        <w:spacing w:line="240" w:lineRule="auto" w:before="37" w:after="0"/>
        <w:ind w:left="3010" w:right="0" w:hanging="351"/>
        <w:jc w:val="left"/>
        <w:rPr>
          <w:sz w:val="21"/>
        </w:rPr>
      </w:pPr>
      <w:r>
        <w:rPr>
          <w:sz w:val="21"/>
        </w:rPr>
        <w:t>Others, if</w:t>
      </w:r>
      <w:r>
        <w:rPr>
          <w:spacing w:val="-4"/>
          <w:sz w:val="21"/>
        </w:rPr>
        <w:t> </w:t>
      </w:r>
      <w:r>
        <w:rPr>
          <w:sz w:val="21"/>
        </w:rPr>
        <w:t>any.‖</w:t>
      </w:r>
    </w:p>
    <w:p>
      <w:pPr>
        <w:pStyle w:val="BodyText"/>
        <w:rPr>
          <w:sz w:val="24"/>
        </w:rPr>
      </w:pPr>
    </w:p>
    <w:p>
      <w:pPr>
        <w:pStyle w:val="BodyText"/>
        <w:rPr>
          <w:sz w:val="24"/>
        </w:rPr>
      </w:pPr>
    </w:p>
    <w:p>
      <w:pPr>
        <w:pStyle w:val="BodyText"/>
        <w:rPr>
          <w:sz w:val="24"/>
        </w:rPr>
      </w:pPr>
    </w:p>
    <w:p>
      <w:pPr>
        <w:pStyle w:val="Heading3"/>
        <w:numPr>
          <w:ilvl w:val="0"/>
          <w:numId w:val="2"/>
        </w:numPr>
        <w:tabs>
          <w:tab w:pos="1221" w:val="left" w:leader="none"/>
        </w:tabs>
        <w:spacing w:line="240" w:lineRule="auto" w:before="164" w:after="0"/>
        <w:ind w:left="1220" w:right="0" w:hanging="721"/>
        <w:jc w:val="both"/>
      </w:pPr>
      <w:r>
        <w:rPr/>
        <w:t>Evidence: a bird‘s eye</w:t>
      </w:r>
      <w:r>
        <w:rPr>
          <w:spacing w:val="3"/>
        </w:rPr>
        <w:t> </w:t>
      </w:r>
      <w:r>
        <w:rPr/>
        <w:t>view</w:t>
      </w:r>
    </w:p>
    <w:p>
      <w:pPr>
        <w:pStyle w:val="BodyText"/>
        <w:rPr>
          <w:b/>
          <w:sz w:val="28"/>
        </w:rPr>
      </w:pPr>
    </w:p>
    <w:p>
      <w:pPr>
        <w:pStyle w:val="ListParagraph"/>
        <w:numPr>
          <w:ilvl w:val="0"/>
          <w:numId w:val="3"/>
        </w:numPr>
        <w:tabs>
          <w:tab w:pos="1221" w:val="left" w:leader="none"/>
        </w:tabs>
        <w:spacing w:line="480" w:lineRule="auto" w:before="216" w:after="0"/>
        <w:ind w:left="500" w:right="438" w:firstLine="0"/>
        <w:jc w:val="both"/>
        <w:rPr>
          <w:sz w:val="25"/>
        </w:rPr>
      </w:pPr>
      <w:r>
        <w:rPr>
          <w:sz w:val="25"/>
        </w:rPr>
        <w:t>A wealth of material emerged before the court during the course of the  trial. The judgment of Justice Sudhir Agarwal in the High Court copiously tabulates the documentary evidence</w:t>
      </w:r>
      <w:r>
        <w:rPr>
          <w:sz w:val="25"/>
          <w:vertAlign w:val="superscript"/>
        </w:rPr>
        <w:t>13</w:t>
      </w:r>
      <w:r>
        <w:rPr>
          <w:sz w:val="25"/>
          <w:vertAlign w:val="baseline"/>
        </w:rPr>
        <w:t>. The documentary exhibits of the parties during the course of trial comprised of 533 exhibits of which a brief categorisation is:</w:t>
      </w:r>
    </w:p>
    <w:p>
      <w:pPr>
        <w:pStyle w:val="BodyText"/>
        <w:rPr>
          <w:sz w:val="20"/>
        </w:rPr>
      </w:pPr>
    </w:p>
    <w:p>
      <w:pPr>
        <w:pStyle w:val="BodyText"/>
        <w:rPr>
          <w:sz w:val="20"/>
        </w:rPr>
      </w:pPr>
    </w:p>
    <w:p>
      <w:pPr>
        <w:pStyle w:val="BodyText"/>
        <w:spacing w:before="4" w:after="1"/>
        <w:rPr>
          <w:sz w:val="10"/>
        </w:rPr>
      </w:pPr>
    </w:p>
    <w:tbl>
      <w:tblPr>
        <w:tblW w:w="0" w:type="auto"/>
        <w:jc w:val="left"/>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4"/>
        <w:gridCol w:w="2904"/>
        <w:gridCol w:w="1294"/>
      </w:tblGrid>
      <w:tr>
        <w:trPr>
          <w:trHeight w:val="361" w:hRule="atLeast"/>
        </w:trPr>
        <w:tc>
          <w:tcPr>
            <w:tcW w:w="2534" w:type="dxa"/>
          </w:tcPr>
          <w:p>
            <w:pPr>
              <w:pStyle w:val="TableParagraph"/>
              <w:tabs>
                <w:tab w:pos="2118" w:val="left" w:leader="none"/>
              </w:tabs>
              <w:spacing w:line="236" w:lineRule="exact"/>
              <w:ind w:left="50"/>
              <w:rPr>
                <w:sz w:val="20"/>
              </w:rPr>
            </w:pPr>
            <w:r>
              <w:rPr>
                <w:sz w:val="21"/>
              </w:rPr>
              <w:t>1.</w:t>
            </w:r>
            <w:r>
              <w:rPr>
                <w:spacing w:val="-4"/>
                <w:sz w:val="21"/>
              </w:rPr>
              <w:t> </w:t>
            </w:r>
            <w:r>
              <w:rPr>
                <w:sz w:val="20"/>
              </w:rPr>
              <w:t>Plaintiffs</w:t>
            </w:r>
            <w:r>
              <w:rPr>
                <w:spacing w:val="-1"/>
                <w:sz w:val="20"/>
              </w:rPr>
              <w:t> </w:t>
            </w:r>
            <w:r>
              <w:rPr>
                <w:sz w:val="20"/>
              </w:rPr>
              <w:t>(Suit-1)</w:t>
              <w:tab/>
              <w:t>–</w:t>
            </w:r>
          </w:p>
        </w:tc>
        <w:tc>
          <w:tcPr>
            <w:tcW w:w="2904" w:type="dxa"/>
          </w:tcPr>
          <w:p>
            <w:pPr>
              <w:pStyle w:val="TableParagraph"/>
              <w:spacing w:before="3"/>
              <w:ind w:left="305"/>
              <w:rPr>
                <w:sz w:val="20"/>
              </w:rPr>
            </w:pPr>
            <w:r>
              <w:rPr>
                <w:sz w:val="20"/>
              </w:rPr>
              <w:t>Exhibits No. 1 to 34</w:t>
            </w:r>
          </w:p>
        </w:tc>
        <w:tc>
          <w:tcPr>
            <w:tcW w:w="1294" w:type="dxa"/>
          </w:tcPr>
          <w:p>
            <w:pPr>
              <w:pStyle w:val="TableParagraph"/>
              <w:spacing w:before="3"/>
              <w:ind w:left="281"/>
              <w:rPr>
                <w:sz w:val="20"/>
              </w:rPr>
            </w:pPr>
            <w:r>
              <w:rPr>
                <w:sz w:val="20"/>
              </w:rPr>
              <w:t>(Total 34)</w:t>
            </w:r>
          </w:p>
        </w:tc>
      </w:tr>
      <w:tr>
        <w:trPr>
          <w:trHeight w:val="466" w:hRule="atLeast"/>
        </w:trPr>
        <w:tc>
          <w:tcPr>
            <w:tcW w:w="2534" w:type="dxa"/>
          </w:tcPr>
          <w:p>
            <w:pPr>
              <w:pStyle w:val="TableParagraph"/>
              <w:tabs>
                <w:tab w:pos="2118" w:val="left" w:leader="none"/>
              </w:tabs>
              <w:spacing w:before="117"/>
              <w:ind w:left="50"/>
              <w:rPr>
                <w:sz w:val="20"/>
              </w:rPr>
            </w:pPr>
            <w:r>
              <w:rPr>
                <w:sz w:val="20"/>
              </w:rPr>
              <w:t>2.</w:t>
            </w:r>
            <w:r>
              <w:rPr>
                <w:spacing w:val="-3"/>
                <w:sz w:val="20"/>
              </w:rPr>
              <w:t> </w:t>
            </w:r>
            <w:r>
              <w:rPr>
                <w:sz w:val="20"/>
              </w:rPr>
              <w:t>Plaintiffs</w:t>
            </w:r>
            <w:r>
              <w:rPr>
                <w:spacing w:val="-1"/>
                <w:sz w:val="20"/>
              </w:rPr>
              <w:t> </w:t>
            </w:r>
            <w:r>
              <w:rPr>
                <w:sz w:val="20"/>
              </w:rPr>
              <w:t>(Suit-3)</w:t>
              <w:tab/>
              <w:t>–</w:t>
            </w:r>
          </w:p>
        </w:tc>
        <w:tc>
          <w:tcPr>
            <w:tcW w:w="2904" w:type="dxa"/>
          </w:tcPr>
          <w:p>
            <w:pPr>
              <w:pStyle w:val="TableParagraph"/>
              <w:spacing w:before="117"/>
              <w:ind w:left="305"/>
              <w:rPr>
                <w:sz w:val="20"/>
              </w:rPr>
            </w:pPr>
            <w:r>
              <w:rPr>
                <w:sz w:val="20"/>
              </w:rPr>
              <w:t>Exhibits No. 1 to 21</w:t>
            </w:r>
          </w:p>
        </w:tc>
        <w:tc>
          <w:tcPr>
            <w:tcW w:w="1294" w:type="dxa"/>
          </w:tcPr>
          <w:p>
            <w:pPr>
              <w:pStyle w:val="TableParagraph"/>
              <w:spacing w:before="117"/>
              <w:ind w:left="281"/>
              <w:rPr>
                <w:sz w:val="20"/>
              </w:rPr>
            </w:pPr>
            <w:r>
              <w:rPr>
                <w:sz w:val="20"/>
              </w:rPr>
              <w:t>(Total 21)</w:t>
            </w:r>
          </w:p>
        </w:tc>
      </w:tr>
      <w:tr>
        <w:trPr>
          <w:trHeight w:val="460" w:hRule="atLeast"/>
        </w:trPr>
        <w:tc>
          <w:tcPr>
            <w:tcW w:w="2534" w:type="dxa"/>
          </w:tcPr>
          <w:p>
            <w:pPr>
              <w:pStyle w:val="TableParagraph"/>
              <w:tabs>
                <w:tab w:pos="2118" w:val="left" w:leader="none"/>
              </w:tabs>
              <w:spacing w:before="112"/>
              <w:ind w:left="50"/>
              <w:rPr>
                <w:sz w:val="20"/>
              </w:rPr>
            </w:pPr>
            <w:r>
              <w:rPr>
                <w:sz w:val="20"/>
              </w:rPr>
              <w:t>3.</w:t>
            </w:r>
            <w:r>
              <w:rPr>
                <w:spacing w:val="-3"/>
                <w:sz w:val="20"/>
              </w:rPr>
              <w:t> </w:t>
            </w:r>
            <w:r>
              <w:rPr>
                <w:sz w:val="20"/>
              </w:rPr>
              <w:t>Plaintiffs</w:t>
            </w:r>
            <w:r>
              <w:rPr>
                <w:spacing w:val="-1"/>
                <w:sz w:val="20"/>
              </w:rPr>
              <w:t> </w:t>
            </w:r>
            <w:r>
              <w:rPr>
                <w:sz w:val="20"/>
              </w:rPr>
              <w:t>(Suit-4)</w:t>
              <w:tab/>
              <w:t>–</w:t>
            </w:r>
          </w:p>
        </w:tc>
        <w:tc>
          <w:tcPr>
            <w:tcW w:w="2904" w:type="dxa"/>
          </w:tcPr>
          <w:p>
            <w:pPr>
              <w:pStyle w:val="TableParagraph"/>
              <w:spacing w:before="112"/>
              <w:ind w:left="305"/>
              <w:rPr>
                <w:sz w:val="20"/>
              </w:rPr>
            </w:pPr>
            <w:r>
              <w:rPr>
                <w:sz w:val="20"/>
              </w:rPr>
              <w:t>Exhibits No. 1 to 128</w:t>
            </w:r>
          </w:p>
        </w:tc>
        <w:tc>
          <w:tcPr>
            <w:tcW w:w="1294" w:type="dxa"/>
          </w:tcPr>
          <w:p>
            <w:pPr>
              <w:pStyle w:val="TableParagraph"/>
              <w:spacing w:before="112"/>
              <w:ind w:left="281"/>
              <w:rPr>
                <w:sz w:val="20"/>
              </w:rPr>
            </w:pPr>
            <w:r>
              <w:rPr>
                <w:sz w:val="20"/>
              </w:rPr>
              <w:t>(Total 128)</w:t>
            </w:r>
          </w:p>
        </w:tc>
      </w:tr>
      <w:tr>
        <w:trPr>
          <w:trHeight w:val="459" w:hRule="atLeast"/>
        </w:trPr>
        <w:tc>
          <w:tcPr>
            <w:tcW w:w="2534" w:type="dxa"/>
          </w:tcPr>
          <w:p>
            <w:pPr>
              <w:pStyle w:val="TableParagraph"/>
              <w:tabs>
                <w:tab w:pos="2118" w:val="left" w:leader="none"/>
              </w:tabs>
              <w:spacing w:before="112"/>
              <w:ind w:left="50"/>
              <w:rPr>
                <w:sz w:val="20"/>
              </w:rPr>
            </w:pPr>
            <w:r>
              <w:rPr>
                <w:sz w:val="20"/>
              </w:rPr>
              <w:t>4.</w:t>
            </w:r>
            <w:r>
              <w:rPr>
                <w:spacing w:val="-3"/>
                <w:sz w:val="20"/>
              </w:rPr>
              <w:t> </w:t>
            </w:r>
            <w:r>
              <w:rPr>
                <w:sz w:val="20"/>
              </w:rPr>
              <w:t>Plaintiffs</w:t>
            </w:r>
            <w:r>
              <w:rPr>
                <w:spacing w:val="-1"/>
                <w:sz w:val="20"/>
              </w:rPr>
              <w:t> </w:t>
            </w:r>
            <w:r>
              <w:rPr>
                <w:sz w:val="20"/>
              </w:rPr>
              <w:t>(Suit-5)</w:t>
              <w:tab/>
              <w:t>–</w:t>
            </w:r>
          </w:p>
        </w:tc>
        <w:tc>
          <w:tcPr>
            <w:tcW w:w="2904" w:type="dxa"/>
          </w:tcPr>
          <w:p>
            <w:pPr>
              <w:pStyle w:val="TableParagraph"/>
              <w:spacing w:before="112"/>
              <w:ind w:left="305"/>
              <w:rPr>
                <w:sz w:val="20"/>
              </w:rPr>
            </w:pPr>
            <w:r>
              <w:rPr>
                <w:sz w:val="20"/>
              </w:rPr>
              <w:t>Exhibits No. 1 to 132</w:t>
            </w:r>
          </w:p>
        </w:tc>
        <w:tc>
          <w:tcPr>
            <w:tcW w:w="1294" w:type="dxa"/>
          </w:tcPr>
          <w:p>
            <w:pPr>
              <w:pStyle w:val="TableParagraph"/>
              <w:spacing w:before="112"/>
              <w:ind w:left="281"/>
              <w:rPr>
                <w:sz w:val="20"/>
              </w:rPr>
            </w:pPr>
            <w:r>
              <w:rPr>
                <w:sz w:val="20"/>
              </w:rPr>
              <w:t>(Total 132)</w:t>
            </w:r>
          </w:p>
        </w:tc>
      </w:tr>
      <w:tr>
        <w:trPr>
          <w:trHeight w:val="459" w:hRule="atLeast"/>
        </w:trPr>
        <w:tc>
          <w:tcPr>
            <w:tcW w:w="2534" w:type="dxa"/>
          </w:tcPr>
          <w:p>
            <w:pPr>
              <w:pStyle w:val="TableParagraph"/>
              <w:spacing w:before="110"/>
              <w:ind w:left="50"/>
              <w:rPr>
                <w:sz w:val="20"/>
              </w:rPr>
            </w:pPr>
            <w:r>
              <w:rPr>
                <w:sz w:val="20"/>
              </w:rPr>
              <w:t>5. Defendants (Suit-1) –</w:t>
            </w:r>
          </w:p>
        </w:tc>
        <w:tc>
          <w:tcPr>
            <w:tcW w:w="2904" w:type="dxa"/>
          </w:tcPr>
          <w:p>
            <w:pPr>
              <w:pStyle w:val="TableParagraph"/>
              <w:spacing w:before="110"/>
              <w:ind w:left="305"/>
              <w:rPr>
                <w:sz w:val="20"/>
              </w:rPr>
            </w:pPr>
            <w:r>
              <w:rPr>
                <w:sz w:val="20"/>
              </w:rPr>
              <w:t>Exhibits No. A1 to A72</w:t>
            </w:r>
          </w:p>
        </w:tc>
        <w:tc>
          <w:tcPr>
            <w:tcW w:w="1294" w:type="dxa"/>
          </w:tcPr>
          <w:p>
            <w:pPr>
              <w:pStyle w:val="TableParagraph"/>
              <w:spacing w:before="110"/>
              <w:ind w:left="281"/>
              <w:rPr>
                <w:sz w:val="20"/>
              </w:rPr>
            </w:pPr>
            <w:r>
              <w:rPr>
                <w:sz w:val="20"/>
              </w:rPr>
              <w:t>(Total 73)</w:t>
            </w:r>
          </w:p>
        </w:tc>
      </w:tr>
      <w:tr>
        <w:trPr>
          <w:trHeight w:val="461" w:hRule="atLeast"/>
        </w:trPr>
        <w:tc>
          <w:tcPr>
            <w:tcW w:w="2534" w:type="dxa"/>
          </w:tcPr>
          <w:p>
            <w:pPr>
              <w:pStyle w:val="TableParagraph"/>
              <w:spacing w:before="112"/>
              <w:ind w:left="50"/>
              <w:rPr>
                <w:sz w:val="20"/>
              </w:rPr>
            </w:pPr>
            <w:r>
              <w:rPr>
                <w:sz w:val="20"/>
              </w:rPr>
              <w:t>6. Defendants (Suit-4) –</w:t>
            </w:r>
          </w:p>
        </w:tc>
        <w:tc>
          <w:tcPr>
            <w:tcW w:w="2904" w:type="dxa"/>
          </w:tcPr>
          <w:p>
            <w:pPr>
              <w:pStyle w:val="TableParagraph"/>
              <w:spacing w:before="112"/>
              <w:ind w:left="305"/>
              <w:rPr>
                <w:sz w:val="20"/>
              </w:rPr>
            </w:pPr>
            <w:r>
              <w:rPr>
                <w:sz w:val="20"/>
              </w:rPr>
              <w:t>(i) Exhibits No. A1 to A16</w:t>
            </w:r>
          </w:p>
        </w:tc>
        <w:tc>
          <w:tcPr>
            <w:tcW w:w="1294" w:type="dxa"/>
          </w:tcPr>
          <w:p>
            <w:pPr>
              <w:pStyle w:val="TableParagraph"/>
              <w:spacing w:before="112"/>
              <w:ind w:left="281"/>
              <w:rPr>
                <w:sz w:val="20"/>
              </w:rPr>
            </w:pPr>
            <w:r>
              <w:rPr>
                <w:sz w:val="20"/>
              </w:rPr>
              <w:t>(Total 16)</w:t>
            </w:r>
          </w:p>
        </w:tc>
      </w:tr>
      <w:tr>
        <w:trPr>
          <w:trHeight w:val="459" w:hRule="atLeast"/>
        </w:trPr>
        <w:tc>
          <w:tcPr>
            <w:tcW w:w="2534" w:type="dxa"/>
          </w:tcPr>
          <w:p>
            <w:pPr>
              <w:pStyle w:val="TableParagraph"/>
              <w:ind w:left="0"/>
              <w:rPr>
                <w:rFonts w:ascii="Times New Roman"/>
                <w:sz w:val="20"/>
              </w:rPr>
            </w:pPr>
          </w:p>
        </w:tc>
        <w:tc>
          <w:tcPr>
            <w:tcW w:w="2904" w:type="dxa"/>
          </w:tcPr>
          <w:p>
            <w:pPr>
              <w:pStyle w:val="TableParagraph"/>
              <w:spacing w:before="112"/>
              <w:ind w:left="305"/>
              <w:rPr>
                <w:sz w:val="20"/>
              </w:rPr>
            </w:pPr>
            <w:r>
              <w:rPr>
                <w:sz w:val="20"/>
              </w:rPr>
              <w:t>(ii) Exhibits No. M1 to M7</w:t>
            </w:r>
          </w:p>
        </w:tc>
        <w:tc>
          <w:tcPr>
            <w:tcW w:w="1294" w:type="dxa"/>
          </w:tcPr>
          <w:p>
            <w:pPr>
              <w:pStyle w:val="TableParagraph"/>
              <w:spacing w:before="112"/>
              <w:ind w:left="281"/>
              <w:rPr>
                <w:sz w:val="20"/>
              </w:rPr>
            </w:pPr>
            <w:r>
              <w:rPr>
                <w:sz w:val="20"/>
              </w:rPr>
              <w:t>(Total 7)</w:t>
            </w:r>
          </w:p>
        </w:tc>
      </w:tr>
      <w:tr>
        <w:trPr>
          <w:trHeight w:val="459" w:hRule="atLeast"/>
        </w:trPr>
        <w:tc>
          <w:tcPr>
            <w:tcW w:w="2534" w:type="dxa"/>
          </w:tcPr>
          <w:p>
            <w:pPr>
              <w:pStyle w:val="TableParagraph"/>
              <w:ind w:left="0"/>
              <w:rPr>
                <w:rFonts w:ascii="Times New Roman"/>
                <w:sz w:val="20"/>
              </w:rPr>
            </w:pPr>
          </w:p>
        </w:tc>
        <w:tc>
          <w:tcPr>
            <w:tcW w:w="2904" w:type="dxa"/>
          </w:tcPr>
          <w:p>
            <w:pPr>
              <w:pStyle w:val="TableParagraph"/>
              <w:spacing w:before="110"/>
              <w:ind w:left="305"/>
              <w:rPr>
                <w:sz w:val="20"/>
              </w:rPr>
            </w:pPr>
            <w:r>
              <w:rPr>
                <w:sz w:val="20"/>
              </w:rPr>
              <w:t>(iii) Exhibits No. B1 to B16</w:t>
            </w:r>
          </w:p>
        </w:tc>
        <w:tc>
          <w:tcPr>
            <w:tcW w:w="1294" w:type="dxa"/>
          </w:tcPr>
          <w:p>
            <w:pPr>
              <w:pStyle w:val="TableParagraph"/>
              <w:spacing w:before="110"/>
              <w:ind w:left="281"/>
              <w:rPr>
                <w:sz w:val="20"/>
              </w:rPr>
            </w:pPr>
            <w:r>
              <w:rPr>
                <w:sz w:val="20"/>
              </w:rPr>
              <w:t>(Total 16)</w:t>
            </w:r>
          </w:p>
        </w:tc>
      </w:tr>
      <w:tr>
        <w:trPr>
          <w:trHeight w:val="459" w:hRule="atLeast"/>
        </w:trPr>
        <w:tc>
          <w:tcPr>
            <w:tcW w:w="2534" w:type="dxa"/>
          </w:tcPr>
          <w:p>
            <w:pPr>
              <w:pStyle w:val="TableParagraph"/>
              <w:ind w:left="0"/>
              <w:rPr>
                <w:rFonts w:ascii="Times New Roman"/>
                <w:sz w:val="20"/>
              </w:rPr>
            </w:pPr>
          </w:p>
        </w:tc>
        <w:tc>
          <w:tcPr>
            <w:tcW w:w="2904" w:type="dxa"/>
          </w:tcPr>
          <w:p>
            <w:pPr>
              <w:pStyle w:val="TableParagraph"/>
              <w:spacing w:before="112"/>
              <w:ind w:left="305"/>
              <w:rPr>
                <w:sz w:val="20"/>
              </w:rPr>
            </w:pPr>
            <w:r>
              <w:rPr>
                <w:sz w:val="20"/>
              </w:rPr>
              <w:t>(iv) Exhibits No. J1 to J31</w:t>
            </w:r>
          </w:p>
        </w:tc>
        <w:tc>
          <w:tcPr>
            <w:tcW w:w="1294" w:type="dxa"/>
          </w:tcPr>
          <w:p>
            <w:pPr>
              <w:pStyle w:val="TableParagraph"/>
              <w:spacing w:before="112"/>
              <w:ind w:left="281"/>
              <w:rPr>
                <w:sz w:val="20"/>
              </w:rPr>
            </w:pPr>
            <w:r>
              <w:rPr>
                <w:sz w:val="20"/>
              </w:rPr>
              <w:t>(Total 32)</w:t>
            </w:r>
          </w:p>
        </w:tc>
      </w:tr>
      <w:tr>
        <w:trPr>
          <w:trHeight w:val="459" w:hRule="atLeast"/>
        </w:trPr>
        <w:tc>
          <w:tcPr>
            <w:tcW w:w="2534" w:type="dxa"/>
          </w:tcPr>
          <w:p>
            <w:pPr>
              <w:pStyle w:val="TableParagraph"/>
              <w:ind w:left="0"/>
              <w:rPr>
                <w:rFonts w:ascii="Times New Roman"/>
                <w:sz w:val="20"/>
              </w:rPr>
            </w:pPr>
          </w:p>
        </w:tc>
        <w:tc>
          <w:tcPr>
            <w:tcW w:w="2904" w:type="dxa"/>
          </w:tcPr>
          <w:p>
            <w:pPr>
              <w:pStyle w:val="TableParagraph"/>
              <w:spacing w:before="110"/>
              <w:ind w:left="305"/>
              <w:rPr>
                <w:sz w:val="20"/>
              </w:rPr>
            </w:pPr>
            <w:r>
              <w:rPr>
                <w:sz w:val="20"/>
              </w:rPr>
              <w:t>(v) Exhibits No. T1-T6</w:t>
            </w:r>
          </w:p>
        </w:tc>
        <w:tc>
          <w:tcPr>
            <w:tcW w:w="1294" w:type="dxa"/>
          </w:tcPr>
          <w:p>
            <w:pPr>
              <w:pStyle w:val="TableParagraph"/>
              <w:spacing w:before="110"/>
              <w:ind w:left="281"/>
              <w:rPr>
                <w:sz w:val="20"/>
              </w:rPr>
            </w:pPr>
            <w:r>
              <w:rPr>
                <w:sz w:val="20"/>
              </w:rPr>
              <w:t>(Total 6)</w:t>
            </w:r>
          </w:p>
        </w:tc>
      </w:tr>
      <w:tr>
        <w:trPr>
          <w:trHeight w:val="460" w:hRule="atLeast"/>
        </w:trPr>
        <w:tc>
          <w:tcPr>
            <w:tcW w:w="2534" w:type="dxa"/>
          </w:tcPr>
          <w:p>
            <w:pPr>
              <w:pStyle w:val="TableParagraph"/>
              <w:ind w:left="0"/>
              <w:rPr>
                <w:rFonts w:ascii="Times New Roman"/>
                <w:sz w:val="20"/>
              </w:rPr>
            </w:pPr>
          </w:p>
        </w:tc>
        <w:tc>
          <w:tcPr>
            <w:tcW w:w="2904" w:type="dxa"/>
          </w:tcPr>
          <w:p>
            <w:pPr>
              <w:pStyle w:val="TableParagraph"/>
              <w:spacing w:before="112"/>
              <w:ind w:left="305"/>
              <w:rPr>
                <w:sz w:val="20"/>
              </w:rPr>
            </w:pPr>
            <w:r>
              <w:rPr>
                <w:sz w:val="20"/>
              </w:rPr>
              <w:t>(vi) Exhibit No. V1</w:t>
            </w:r>
          </w:p>
        </w:tc>
        <w:tc>
          <w:tcPr>
            <w:tcW w:w="1294" w:type="dxa"/>
          </w:tcPr>
          <w:p>
            <w:pPr>
              <w:pStyle w:val="TableParagraph"/>
              <w:spacing w:before="112"/>
              <w:ind w:left="281"/>
              <w:rPr>
                <w:sz w:val="20"/>
              </w:rPr>
            </w:pPr>
            <w:r>
              <w:rPr>
                <w:sz w:val="20"/>
              </w:rPr>
              <w:t>(Total 1)</w:t>
            </w:r>
          </w:p>
        </w:tc>
      </w:tr>
      <w:tr>
        <w:trPr>
          <w:trHeight w:val="341" w:hRule="atLeast"/>
        </w:trPr>
        <w:tc>
          <w:tcPr>
            <w:tcW w:w="2534" w:type="dxa"/>
          </w:tcPr>
          <w:p>
            <w:pPr>
              <w:pStyle w:val="TableParagraph"/>
              <w:ind w:left="0"/>
              <w:rPr>
                <w:rFonts w:ascii="Times New Roman"/>
                <w:sz w:val="20"/>
              </w:rPr>
            </w:pPr>
          </w:p>
        </w:tc>
        <w:tc>
          <w:tcPr>
            <w:tcW w:w="2904" w:type="dxa"/>
          </w:tcPr>
          <w:p>
            <w:pPr>
              <w:pStyle w:val="TableParagraph"/>
              <w:spacing w:line="210" w:lineRule="exact" w:before="112"/>
              <w:ind w:left="305"/>
              <w:rPr>
                <w:sz w:val="20"/>
              </w:rPr>
            </w:pPr>
            <w:r>
              <w:rPr>
                <w:sz w:val="20"/>
              </w:rPr>
              <w:t>(vii) Exhibits No. Q1 to Q6</w:t>
            </w:r>
          </w:p>
        </w:tc>
        <w:tc>
          <w:tcPr>
            <w:tcW w:w="1294" w:type="dxa"/>
          </w:tcPr>
          <w:p>
            <w:pPr>
              <w:pStyle w:val="TableParagraph"/>
              <w:spacing w:line="210" w:lineRule="exact" w:before="112"/>
              <w:ind w:left="281"/>
              <w:rPr>
                <w:sz w:val="20"/>
              </w:rPr>
            </w:pPr>
            <w:r>
              <w:rPr>
                <w:sz w:val="20"/>
              </w:rPr>
              <w:t>(Total 6)</w:t>
            </w:r>
          </w:p>
        </w:tc>
      </w:tr>
    </w:tbl>
    <w:p>
      <w:pPr>
        <w:pStyle w:val="BodyText"/>
        <w:rPr>
          <w:sz w:val="20"/>
        </w:rPr>
      </w:pPr>
    </w:p>
    <w:p>
      <w:pPr>
        <w:pStyle w:val="BodyText"/>
        <w:rPr>
          <w:sz w:val="27"/>
        </w:rPr>
      </w:pPr>
      <w:r>
        <w:rPr/>
        <w:pict>
          <v:rect style="position:absolute;margin-left:72.024002pt;margin-top:17.490332pt;width:144.020pt;height:.599980pt;mso-position-horizontal-relative:page;mso-position-vertical-relative:paragraph;z-index:-1572352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13</w:t>
      </w:r>
      <w:r>
        <w:rPr>
          <w:sz w:val="18"/>
          <w:vertAlign w:val="baseline"/>
        </w:rPr>
        <w:t> 2010 (ADJ), Vol. I, pages 624-662</w:t>
      </w:r>
    </w:p>
    <w:p>
      <w:pPr>
        <w:spacing w:after="0"/>
        <w:jc w:val="left"/>
        <w:rPr>
          <w:sz w:val="18"/>
        </w:rPr>
        <w:sectPr>
          <w:headerReference w:type="default" r:id="rId14"/>
          <w:footerReference w:type="default" r:id="rId15"/>
          <w:pgSz w:w="11910" w:h="16840"/>
          <w:pgMar w:header="721" w:footer="1014" w:top="1300" w:bottom="1200" w:left="940" w:right="1000"/>
          <w:pgNumType w:start="56"/>
        </w:sectPr>
      </w:pPr>
    </w:p>
    <w:p>
      <w:pPr>
        <w:pStyle w:val="BodyText"/>
        <w:spacing w:before="5"/>
        <w:rPr>
          <w:sz w:val="11"/>
        </w:rPr>
      </w:pPr>
    </w:p>
    <w:tbl>
      <w:tblPr>
        <w:tblW w:w="0" w:type="auto"/>
        <w:jc w:val="left"/>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6"/>
        <w:gridCol w:w="2923"/>
        <w:gridCol w:w="1195"/>
      </w:tblGrid>
      <w:tr>
        <w:trPr>
          <w:trHeight w:val="341" w:hRule="atLeast"/>
        </w:trPr>
        <w:tc>
          <w:tcPr>
            <w:tcW w:w="2506" w:type="dxa"/>
          </w:tcPr>
          <w:p>
            <w:pPr>
              <w:pStyle w:val="TableParagraph"/>
              <w:spacing w:line="223" w:lineRule="exact"/>
              <w:ind w:left="50"/>
              <w:rPr>
                <w:sz w:val="20"/>
              </w:rPr>
            </w:pPr>
            <w:r>
              <w:rPr>
                <w:sz w:val="20"/>
              </w:rPr>
              <w:t>7. Defendants (Suit-5) –</w:t>
            </w:r>
          </w:p>
        </w:tc>
        <w:tc>
          <w:tcPr>
            <w:tcW w:w="2923" w:type="dxa"/>
          </w:tcPr>
          <w:p>
            <w:pPr>
              <w:pStyle w:val="TableParagraph"/>
              <w:spacing w:line="223" w:lineRule="exact"/>
              <w:ind w:left="333"/>
              <w:rPr>
                <w:sz w:val="20"/>
              </w:rPr>
            </w:pPr>
            <w:r>
              <w:rPr>
                <w:sz w:val="20"/>
              </w:rPr>
              <w:t>(i) Exhibits No. C1 to C11</w:t>
            </w:r>
          </w:p>
        </w:tc>
        <w:tc>
          <w:tcPr>
            <w:tcW w:w="1195" w:type="dxa"/>
          </w:tcPr>
          <w:p>
            <w:pPr>
              <w:pStyle w:val="TableParagraph"/>
              <w:spacing w:line="223" w:lineRule="exact"/>
              <w:ind w:left="0" w:right="48"/>
              <w:jc w:val="right"/>
              <w:rPr>
                <w:sz w:val="20"/>
              </w:rPr>
            </w:pPr>
            <w:r>
              <w:rPr>
                <w:sz w:val="20"/>
              </w:rPr>
              <w:t>(Total 11)</w:t>
            </w:r>
          </w:p>
        </w:tc>
      </w:tr>
      <w:tr>
        <w:trPr>
          <w:trHeight w:val="459" w:hRule="atLeast"/>
        </w:trPr>
        <w:tc>
          <w:tcPr>
            <w:tcW w:w="2506" w:type="dxa"/>
          </w:tcPr>
          <w:p>
            <w:pPr>
              <w:pStyle w:val="TableParagraph"/>
              <w:ind w:left="0"/>
              <w:rPr>
                <w:rFonts w:ascii="Times New Roman"/>
                <w:sz w:val="22"/>
              </w:rPr>
            </w:pPr>
          </w:p>
        </w:tc>
        <w:tc>
          <w:tcPr>
            <w:tcW w:w="2923" w:type="dxa"/>
          </w:tcPr>
          <w:p>
            <w:pPr>
              <w:pStyle w:val="TableParagraph"/>
              <w:spacing w:before="112"/>
              <w:ind w:left="333"/>
              <w:rPr>
                <w:sz w:val="20"/>
              </w:rPr>
            </w:pPr>
            <w:r>
              <w:rPr>
                <w:sz w:val="20"/>
              </w:rPr>
              <w:t>(ii) Exhibits No. D1 to D38</w:t>
            </w:r>
          </w:p>
        </w:tc>
        <w:tc>
          <w:tcPr>
            <w:tcW w:w="1195" w:type="dxa"/>
          </w:tcPr>
          <w:p>
            <w:pPr>
              <w:pStyle w:val="TableParagraph"/>
              <w:spacing w:before="112"/>
              <w:ind w:left="0" w:right="48"/>
              <w:jc w:val="right"/>
              <w:rPr>
                <w:sz w:val="20"/>
              </w:rPr>
            </w:pPr>
            <w:r>
              <w:rPr>
                <w:sz w:val="20"/>
              </w:rPr>
              <w:t>(Total 38)</w:t>
            </w:r>
          </w:p>
        </w:tc>
      </w:tr>
      <w:tr>
        <w:trPr>
          <w:trHeight w:val="340" w:hRule="atLeast"/>
        </w:trPr>
        <w:tc>
          <w:tcPr>
            <w:tcW w:w="2506" w:type="dxa"/>
          </w:tcPr>
          <w:p>
            <w:pPr>
              <w:pStyle w:val="TableParagraph"/>
              <w:ind w:left="0"/>
              <w:rPr>
                <w:rFonts w:ascii="Times New Roman"/>
                <w:sz w:val="22"/>
              </w:rPr>
            </w:pPr>
          </w:p>
        </w:tc>
        <w:tc>
          <w:tcPr>
            <w:tcW w:w="2923" w:type="dxa"/>
          </w:tcPr>
          <w:p>
            <w:pPr>
              <w:pStyle w:val="TableParagraph"/>
              <w:spacing w:line="210" w:lineRule="exact" w:before="110"/>
              <w:ind w:left="333"/>
              <w:rPr>
                <w:sz w:val="20"/>
              </w:rPr>
            </w:pPr>
            <w:r>
              <w:rPr>
                <w:sz w:val="20"/>
              </w:rPr>
              <w:t>(iii) Exhibits No. E1 to E8</w:t>
            </w:r>
          </w:p>
        </w:tc>
        <w:tc>
          <w:tcPr>
            <w:tcW w:w="1195" w:type="dxa"/>
          </w:tcPr>
          <w:p>
            <w:pPr>
              <w:pStyle w:val="TableParagraph"/>
              <w:spacing w:line="210" w:lineRule="exact" w:before="110"/>
              <w:ind w:left="0" w:right="48"/>
              <w:jc w:val="right"/>
              <w:rPr>
                <w:sz w:val="20"/>
              </w:rPr>
            </w:pPr>
            <w:r>
              <w:rPr>
                <w:sz w:val="20"/>
              </w:rPr>
              <w:t>(Total 12)</w:t>
            </w:r>
          </w:p>
        </w:tc>
      </w:tr>
    </w:tbl>
    <w:p>
      <w:pPr>
        <w:pStyle w:val="BodyText"/>
        <w:rPr>
          <w:sz w:val="20"/>
        </w:rPr>
      </w:pPr>
    </w:p>
    <w:p>
      <w:pPr>
        <w:pStyle w:val="BodyText"/>
        <w:spacing w:before="10"/>
        <w:rPr>
          <w:sz w:val="14"/>
        </w:rPr>
      </w:pPr>
      <w:r>
        <w:rPr/>
        <w:pict>
          <v:rect style="position:absolute;margin-left:240.770004pt;margin-top:10.510312pt;width:171.02pt;height:.72pt;mso-position-horizontal-relative:page;mso-position-vertical-relative:paragraph;z-index:-15723008;mso-wrap-distance-left:0;mso-wrap-distance-right:0" filled="true" fillcolor="#000000" stroked="false">
            <v:fill type="solid"/>
            <w10:wrap type="topAndBottom"/>
          </v:rect>
        </w:pict>
      </w:r>
    </w:p>
    <w:p>
      <w:pPr>
        <w:pStyle w:val="BodyText"/>
        <w:rPr>
          <w:sz w:val="10"/>
        </w:rPr>
      </w:pPr>
    </w:p>
    <w:p>
      <w:pPr>
        <w:spacing w:before="93"/>
        <w:ind w:left="5164" w:right="0" w:firstLine="0"/>
        <w:jc w:val="left"/>
        <w:rPr>
          <w:sz w:val="20"/>
        </w:rPr>
      </w:pPr>
      <w:r>
        <w:rPr>
          <w:sz w:val="20"/>
        </w:rPr>
        <w:t>Grand Total -</w:t>
      </w:r>
      <w:r>
        <w:rPr>
          <w:spacing w:val="55"/>
          <w:sz w:val="20"/>
        </w:rPr>
        <w:t> </w:t>
      </w:r>
      <w:r>
        <w:rPr>
          <w:sz w:val="20"/>
        </w:rPr>
        <w:t>533</w:t>
      </w:r>
    </w:p>
    <w:p>
      <w:pPr>
        <w:pStyle w:val="BodyText"/>
        <w:rPr>
          <w:sz w:val="20"/>
        </w:rPr>
      </w:pPr>
    </w:p>
    <w:p>
      <w:pPr>
        <w:pStyle w:val="BodyText"/>
        <w:spacing w:before="227"/>
        <w:ind w:left="500"/>
      </w:pPr>
      <w:r>
        <w:rPr/>
        <w:t>These exhibits broadly comprise of :</w:t>
      </w:r>
    </w:p>
    <w:p>
      <w:pPr>
        <w:pStyle w:val="BodyText"/>
        <w:spacing w:before="1"/>
      </w:pPr>
    </w:p>
    <w:p>
      <w:pPr>
        <w:pStyle w:val="ListParagraph"/>
        <w:numPr>
          <w:ilvl w:val="1"/>
          <w:numId w:val="3"/>
        </w:numPr>
        <w:tabs>
          <w:tab w:pos="1940" w:val="left" w:leader="none"/>
          <w:tab w:pos="1941" w:val="left" w:leader="none"/>
        </w:tabs>
        <w:spacing w:line="240" w:lineRule="auto" w:before="1" w:after="0"/>
        <w:ind w:left="1940" w:right="0" w:hanging="721"/>
        <w:jc w:val="left"/>
        <w:rPr>
          <w:sz w:val="25"/>
        </w:rPr>
      </w:pPr>
      <w:r>
        <w:rPr>
          <w:sz w:val="25"/>
        </w:rPr>
        <w:t>Religious</w:t>
      </w:r>
      <w:r>
        <w:rPr>
          <w:spacing w:val="-2"/>
          <w:sz w:val="25"/>
        </w:rPr>
        <w:t> </w:t>
      </w:r>
      <w:r>
        <w:rPr>
          <w:sz w:val="25"/>
        </w:rPr>
        <w:t>texts;</w:t>
      </w:r>
    </w:p>
    <w:p>
      <w:pPr>
        <w:pStyle w:val="BodyText"/>
        <w:spacing w:before="10"/>
        <w:rPr>
          <w:sz w:val="24"/>
        </w:rPr>
      </w:pPr>
    </w:p>
    <w:p>
      <w:pPr>
        <w:pStyle w:val="ListParagraph"/>
        <w:numPr>
          <w:ilvl w:val="1"/>
          <w:numId w:val="3"/>
        </w:numPr>
        <w:tabs>
          <w:tab w:pos="1940" w:val="left" w:leader="none"/>
          <w:tab w:pos="1941" w:val="left" w:leader="none"/>
        </w:tabs>
        <w:spacing w:line="240" w:lineRule="auto" w:before="0" w:after="0"/>
        <w:ind w:left="1940" w:right="0" w:hanging="721"/>
        <w:jc w:val="left"/>
        <w:rPr>
          <w:sz w:val="25"/>
        </w:rPr>
      </w:pPr>
      <w:r>
        <w:rPr>
          <w:sz w:val="25"/>
        </w:rPr>
        <w:t>Travelogues;</w:t>
      </w:r>
    </w:p>
    <w:p>
      <w:pPr>
        <w:pStyle w:val="BodyText"/>
        <w:spacing w:before="1"/>
      </w:pPr>
    </w:p>
    <w:p>
      <w:pPr>
        <w:pStyle w:val="ListParagraph"/>
        <w:numPr>
          <w:ilvl w:val="1"/>
          <w:numId w:val="3"/>
        </w:numPr>
        <w:tabs>
          <w:tab w:pos="1940" w:val="left" w:leader="none"/>
          <w:tab w:pos="1941" w:val="left" w:leader="none"/>
        </w:tabs>
        <w:spacing w:line="240" w:lineRule="auto" w:before="0" w:after="0"/>
        <w:ind w:left="1940" w:right="0" w:hanging="721"/>
        <w:jc w:val="left"/>
        <w:rPr>
          <w:sz w:val="25"/>
        </w:rPr>
      </w:pPr>
      <w:r>
        <w:rPr>
          <w:sz w:val="25"/>
        </w:rPr>
        <w:t>Gazetteers;</w:t>
      </w:r>
    </w:p>
    <w:p>
      <w:pPr>
        <w:pStyle w:val="BodyText"/>
        <w:spacing w:before="10"/>
        <w:rPr>
          <w:sz w:val="24"/>
        </w:rPr>
      </w:pPr>
    </w:p>
    <w:p>
      <w:pPr>
        <w:pStyle w:val="ListParagraph"/>
        <w:numPr>
          <w:ilvl w:val="1"/>
          <w:numId w:val="3"/>
        </w:numPr>
        <w:tabs>
          <w:tab w:pos="1940" w:val="left" w:leader="none"/>
          <w:tab w:pos="1941" w:val="left" w:leader="none"/>
        </w:tabs>
        <w:spacing w:line="240" w:lineRule="auto" w:before="0" w:after="0"/>
        <w:ind w:left="1940" w:right="0" w:hanging="721"/>
        <w:jc w:val="left"/>
        <w:rPr>
          <w:sz w:val="25"/>
        </w:rPr>
      </w:pPr>
      <w:r>
        <w:rPr>
          <w:sz w:val="25"/>
        </w:rPr>
        <w:t>Translations of inscriptions on</w:t>
      </w:r>
      <w:r>
        <w:rPr>
          <w:spacing w:val="-3"/>
          <w:sz w:val="25"/>
        </w:rPr>
        <w:t> </w:t>
      </w:r>
      <w:r>
        <w:rPr>
          <w:sz w:val="25"/>
        </w:rPr>
        <w:t>pillars;</w:t>
      </w:r>
    </w:p>
    <w:p>
      <w:pPr>
        <w:pStyle w:val="BodyText"/>
        <w:spacing w:before="1"/>
      </w:pPr>
    </w:p>
    <w:p>
      <w:pPr>
        <w:pStyle w:val="ListParagraph"/>
        <w:numPr>
          <w:ilvl w:val="1"/>
          <w:numId w:val="3"/>
        </w:numPr>
        <w:tabs>
          <w:tab w:pos="1940" w:val="left" w:leader="none"/>
          <w:tab w:pos="1941" w:val="left" w:leader="none"/>
        </w:tabs>
        <w:spacing w:line="240" w:lineRule="auto" w:before="0" w:after="0"/>
        <w:ind w:left="1940" w:right="0" w:hanging="721"/>
        <w:jc w:val="left"/>
        <w:rPr>
          <w:sz w:val="25"/>
        </w:rPr>
      </w:pPr>
      <w:r>
        <w:rPr>
          <w:sz w:val="25"/>
        </w:rPr>
        <w:t>Reports of Archaeological</w:t>
      </w:r>
      <w:r>
        <w:rPr>
          <w:spacing w:val="-4"/>
          <w:sz w:val="25"/>
        </w:rPr>
        <w:t> </w:t>
      </w:r>
      <w:r>
        <w:rPr>
          <w:sz w:val="25"/>
        </w:rPr>
        <w:t>excavation;</w:t>
      </w:r>
    </w:p>
    <w:p>
      <w:pPr>
        <w:pStyle w:val="BodyText"/>
        <w:spacing w:before="10"/>
        <w:rPr>
          <w:sz w:val="24"/>
        </w:rPr>
      </w:pPr>
    </w:p>
    <w:p>
      <w:pPr>
        <w:pStyle w:val="ListParagraph"/>
        <w:numPr>
          <w:ilvl w:val="1"/>
          <w:numId w:val="3"/>
        </w:numPr>
        <w:tabs>
          <w:tab w:pos="1940" w:val="left" w:leader="none"/>
          <w:tab w:pos="1941" w:val="left" w:leader="none"/>
        </w:tabs>
        <w:spacing w:line="240" w:lineRule="auto" w:before="1" w:after="0"/>
        <w:ind w:left="1940" w:right="0" w:hanging="721"/>
        <w:jc w:val="left"/>
        <w:rPr>
          <w:sz w:val="25"/>
        </w:rPr>
      </w:pPr>
      <w:r>
        <w:rPr>
          <w:sz w:val="25"/>
        </w:rPr>
        <w:t>Photographs prior to demolition;</w:t>
      </w:r>
      <w:r>
        <w:rPr>
          <w:spacing w:val="-5"/>
          <w:sz w:val="25"/>
        </w:rPr>
        <w:t> </w:t>
      </w:r>
      <w:r>
        <w:rPr>
          <w:sz w:val="25"/>
        </w:rPr>
        <w:t>and</w:t>
      </w:r>
    </w:p>
    <w:p>
      <w:pPr>
        <w:pStyle w:val="BodyText"/>
        <w:spacing w:before="1"/>
      </w:pPr>
    </w:p>
    <w:p>
      <w:pPr>
        <w:pStyle w:val="ListParagraph"/>
        <w:numPr>
          <w:ilvl w:val="1"/>
          <w:numId w:val="3"/>
        </w:numPr>
        <w:tabs>
          <w:tab w:pos="1940" w:val="left" w:leader="none"/>
          <w:tab w:pos="1941" w:val="left" w:leader="none"/>
        </w:tabs>
        <w:spacing w:line="240" w:lineRule="auto" w:before="0" w:after="0"/>
        <w:ind w:left="1940" w:right="0" w:hanging="721"/>
        <w:jc w:val="left"/>
        <w:rPr>
          <w:sz w:val="25"/>
        </w:rPr>
      </w:pPr>
      <w:r>
        <w:rPr>
          <w:sz w:val="25"/>
        </w:rPr>
        <w:t>Details of artefacts found at the disputed</w:t>
      </w:r>
      <w:r>
        <w:rPr>
          <w:spacing w:val="-5"/>
          <w:sz w:val="25"/>
        </w:rPr>
        <w:t> </w:t>
      </w:r>
      <w:r>
        <w:rPr>
          <w:sz w:val="25"/>
        </w:rPr>
        <w:t>site.</w:t>
      </w:r>
    </w:p>
    <w:p>
      <w:pPr>
        <w:pStyle w:val="BodyText"/>
        <w:rPr>
          <w:sz w:val="28"/>
        </w:rPr>
      </w:pPr>
    </w:p>
    <w:p>
      <w:pPr>
        <w:pStyle w:val="BodyText"/>
        <w:rPr>
          <w:sz w:val="28"/>
        </w:rPr>
      </w:pPr>
    </w:p>
    <w:p>
      <w:pPr>
        <w:pStyle w:val="BodyText"/>
        <w:spacing w:before="9"/>
        <w:rPr>
          <w:sz w:val="28"/>
        </w:rPr>
      </w:pPr>
    </w:p>
    <w:p>
      <w:pPr>
        <w:pStyle w:val="BodyText"/>
        <w:spacing w:line="480" w:lineRule="auto"/>
        <w:ind w:left="500" w:right="512"/>
      </w:pPr>
      <w:r>
        <w:rPr/>
        <w:t>The judgment of Justice Sudhir Agarwal in the High Court tabulates the oral evidence in the four suits under the following heads:</w:t>
      </w:r>
    </w:p>
    <w:p>
      <w:pPr>
        <w:pStyle w:val="BodyText"/>
        <w:spacing w:before="11"/>
        <w:rPr>
          <w:sz w:val="24"/>
        </w:rPr>
      </w:pPr>
    </w:p>
    <w:p>
      <w:pPr>
        <w:spacing w:line="360" w:lineRule="auto" w:before="0"/>
        <w:ind w:left="1940" w:right="2346" w:firstLine="0"/>
        <w:jc w:val="left"/>
        <w:rPr>
          <w:sz w:val="21"/>
        </w:rPr>
      </w:pPr>
      <w:r>
        <w:rPr>
          <w:w w:val="33"/>
          <w:sz w:val="21"/>
        </w:rPr>
        <w:t>―</w:t>
      </w:r>
      <w:r>
        <w:rPr>
          <w:b/>
          <w:w w:val="100"/>
          <w:sz w:val="21"/>
        </w:rPr>
        <w:t>274.</w:t>
      </w:r>
      <w:r>
        <w:rPr>
          <w:b/>
          <w:sz w:val="21"/>
        </w:rPr>
        <w:t> </w:t>
      </w:r>
      <w:r>
        <w:rPr>
          <w:b/>
          <w:w w:val="100"/>
          <w:sz w:val="21"/>
        </w:rPr>
        <w:t>(</w:t>
      </w:r>
      <w:r>
        <w:rPr>
          <w:b/>
          <w:w w:val="100"/>
          <w:sz w:val="21"/>
        </w:rPr>
        <w:t>1)</w:t>
      </w:r>
      <w:r>
        <w:rPr>
          <w:b/>
          <w:sz w:val="21"/>
        </w:rPr>
        <w:t> </w:t>
      </w:r>
      <w:r>
        <w:rPr>
          <w:b/>
          <w:w w:val="100"/>
          <w:sz w:val="21"/>
        </w:rPr>
        <w:t>O</w:t>
      </w:r>
      <w:r>
        <w:rPr>
          <w:b/>
          <w:w w:val="100"/>
          <w:sz w:val="21"/>
        </w:rPr>
        <w:t>ral</w:t>
      </w:r>
      <w:r>
        <w:rPr>
          <w:b/>
          <w:sz w:val="21"/>
        </w:rPr>
        <w:t> </w:t>
      </w:r>
      <w:r>
        <w:rPr>
          <w:b/>
          <w:w w:val="100"/>
          <w:sz w:val="21"/>
        </w:rPr>
        <w:t>D</w:t>
      </w:r>
      <w:r>
        <w:rPr>
          <w:b/>
          <w:w w:val="100"/>
          <w:sz w:val="21"/>
        </w:rPr>
        <w:t>epos</w:t>
      </w:r>
      <w:r>
        <w:rPr>
          <w:b/>
          <w:w w:val="100"/>
          <w:sz w:val="21"/>
        </w:rPr>
        <w:t>ition</w:t>
      </w:r>
      <w:r>
        <w:rPr>
          <w:b/>
          <w:w w:val="100"/>
          <w:sz w:val="21"/>
        </w:rPr>
        <w:t>s</w:t>
      </w:r>
      <w:r>
        <w:rPr>
          <w:b/>
          <w:sz w:val="21"/>
        </w:rPr>
        <w:t> </w:t>
      </w:r>
      <w:r>
        <w:rPr>
          <w:w w:val="100"/>
          <w:sz w:val="21"/>
        </w:rPr>
        <w:t>:</w:t>
      </w:r>
      <w:r>
        <w:rPr>
          <w:sz w:val="21"/>
        </w:rPr>
        <w:t> </w:t>
      </w:r>
      <w:r>
        <w:rPr>
          <w:w w:val="100"/>
          <w:sz w:val="21"/>
        </w:rPr>
        <w:t>Part</w:t>
      </w:r>
      <w:r>
        <w:rPr>
          <w:w w:val="100"/>
          <w:sz w:val="21"/>
        </w:rPr>
        <w:t>i</w:t>
      </w:r>
      <w:r>
        <w:rPr>
          <w:w w:val="100"/>
          <w:sz w:val="21"/>
        </w:rPr>
        <w:t>es</w:t>
      </w:r>
      <w:r>
        <w:rPr>
          <w:sz w:val="21"/>
        </w:rPr>
        <w:t> </w:t>
      </w:r>
      <w:r>
        <w:rPr>
          <w:w w:val="100"/>
          <w:sz w:val="21"/>
        </w:rPr>
        <w:t>t</w:t>
      </w:r>
      <w:r>
        <w:rPr>
          <w:w w:val="100"/>
          <w:sz w:val="21"/>
        </w:rPr>
        <w:t>o</w:t>
      </w:r>
      <w:r>
        <w:rPr>
          <w:sz w:val="21"/>
        </w:rPr>
        <w:t> </w:t>
      </w:r>
      <w:r>
        <w:rPr>
          <w:w w:val="100"/>
          <w:sz w:val="21"/>
        </w:rPr>
        <w:t>t</w:t>
      </w:r>
      <w:r>
        <w:rPr>
          <w:w w:val="100"/>
          <w:sz w:val="21"/>
        </w:rPr>
        <w:t>hese</w:t>
      </w:r>
      <w:r>
        <w:rPr>
          <w:sz w:val="21"/>
        </w:rPr>
        <w:t> </w:t>
      </w:r>
      <w:r>
        <w:rPr>
          <w:w w:val="100"/>
          <w:sz w:val="21"/>
        </w:rPr>
        <w:t>s</w:t>
      </w:r>
      <w:r>
        <w:rPr>
          <w:w w:val="100"/>
          <w:sz w:val="21"/>
        </w:rPr>
        <w:t>ui</w:t>
      </w:r>
      <w:r>
        <w:rPr>
          <w:w w:val="100"/>
          <w:sz w:val="21"/>
        </w:rPr>
        <w:t>t</w:t>
      </w:r>
      <w:r>
        <w:rPr>
          <w:w w:val="100"/>
          <w:sz w:val="21"/>
        </w:rPr>
        <w:t>s</w:t>
      </w:r>
      <w:r>
        <w:rPr>
          <w:sz w:val="21"/>
        </w:rPr>
        <w:t> </w:t>
      </w:r>
      <w:r>
        <w:rPr>
          <w:w w:val="100"/>
          <w:sz w:val="21"/>
        </w:rPr>
        <w:t>p</w:t>
      </w:r>
      <w:r>
        <w:rPr>
          <w:w w:val="100"/>
          <w:sz w:val="21"/>
        </w:rPr>
        <w:t>r</w:t>
      </w:r>
      <w:r>
        <w:rPr>
          <w:w w:val="100"/>
          <w:sz w:val="21"/>
        </w:rPr>
        <w:t>oduced </w:t>
      </w:r>
      <w:r>
        <w:rPr>
          <w:sz w:val="21"/>
        </w:rPr>
        <w:t>88 witnesses, who deposed on one or the other subject.</w:t>
      </w:r>
    </w:p>
    <w:p>
      <w:pPr>
        <w:spacing w:before="1"/>
        <w:ind w:left="1940" w:right="0" w:firstLine="0"/>
        <w:jc w:val="left"/>
        <w:rPr>
          <w:sz w:val="21"/>
        </w:rPr>
      </w:pPr>
      <w:r>
        <w:rPr>
          <w:sz w:val="21"/>
        </w:rPr>
        <w:t>Broadly, these witnesses are categorized as under:</w:t>
      </w:r>
    </w:p>
    <w:p>
      <w:pPr>
        <w:pStyle w:val="ListParagraph"/>
        <w:numPr>
          <w:ilvl w:val="0"/>
          <w:numId w:val="21"/>
        </w:numPr>
        <w:tabs>
          <w:tab w:pos="2409" w:val="left" w:leader="none"/>
        </w:tabs>
        <w:spacing w:line="240" w:lineRule="auto" w:before="121" w:after="0"/>
        <w:ind w:left="2408" w:right="0" w:hanging="469"/>
        <w:jc w:val="left"/>
        <w:rPr>
          <w:b/>
          <w:sz w:val="21"/>
        </w:rPr>
      </w:pPr>
      <w:r>
        <w:rPr>
          <w:b/>
          <w:sz w:val="21"/>
        </w:rPr>
        <w:t>(a) Witnesses produced in Suit-4 by Plaintiff</w:t>
      </w:r>
      <w:r>
        <w:rPr>
          <w:b/>
          <w:spacing w:val="-14"/>
          <w:sz w:val="21"/>
        </w:rPr>
        <w:t> </w:t>
      </w:r>
      <w:r>
        <w:rPr>
          <w:b/>
          <w:sz w:val="21"/>
        </w:rPr>
        <w:t>:</w:t>
      </w:r>
    </w:p>
    <w:p>
      <w:pPr>
        <w:pStyle w:val="ListParagraph"/>
        <w:numPr>
          <w:ilvl w:val="1"/>
          <w:numId w:val="21"/>
        </w:numPr>
        <w:tabs>
          <w:tab w:pos="3636" w:val="left" w:leader="none"/>
        </w:tabs>
        <w:spacing w:line="240" w:lineRule="auto" w:before="121" w:after="0"/>
        <w:ind w:left="3635" w:right="0" w:hanging="255"/>
        <w:jc w:val="left"/>
        <w:rPr>
          <w:b/>
          <w:sz w:val="21"/>
        </w:rPr>
      </w:pPr>
      <w:r>
        <w:rPr>
          <w:b/>
          <w:sz w:val="21"/>
        </w:rPr>
        <w:t>Witness of facts</w:t>
      </w:r>
      <w:r>
        <w:rPr>
          <w:b/>
          <w:spacing w:val="-6"/>
          <w:sz w:val="21"/>
        </w:rPr>
        <w:t> </w:t>
      </w:r>
      <w:r>
        <w:rPr>
          <w:b/>
          <w:sz w:val="21"/>
        </w:rPr>
        <w:t>:</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z w:val="21"/>
        </w:rPr>
        <w:t>P.W 1 Sri Mohd.</w:t>
      </w:r>
      <w:r>
        <w:rPr>
          <w:spacing w:val="-1"/>
          <w:sz w:val="21"/>
        </w:rPr>
        <w:t> </w:t>
      </w:r>
      <w:r>
        <w:rPr>
          <w:sz w:val="21"/>
        </w:rPr>
        <w:t>Hashim</w:t>
      </w:r>
    </w:p>
    <w:p>
      <w:pPr>
        <w:pStyle w:val="ListParagraph"/>
        <w:numPr>
          <w:ilvl w:val="0"/>
          <w:numId w:val="22"/>
        </w:numPr>
        <w:tabs>
          <w:tab w:pos="3380" w:val="left" w:leader="none"/>
          <w:tab w:pos="3381" w:val="left" w:leader="none"/>
        </w:tabs>
        <w:spacing w:line="240" w:lineRule="auto" w:before="118" w:after="0"/>
        <w:ind w:left="3381" w:right="0" w:hanging="721"/>
        <w:jc w:val="left"/>
        <w:rPr>
          <w:sz w:val="21"/>
        </w:rPr>
      </w:pPr>
      <w:r>
        <w:rPr>
          <w:spacing w:val="-3"/>
          <w:sz w:val="21"/>
        </w:rPr>
        <w:t>PW </w:t>
      </w:r>
      <w:r>
        <w:rPr>
          <w:sz w:val="21"/>
        </w:rPr>
        <w:t>2 Hazi Mahboob</w:t>
      </w:r>
      <w:r>
        <w:rPr>
          <w:spacing w:val="-1"/>
          <w:sz w:val="21"/>
        </w:rPr>
        <w:t> </w:t>
      </w:r>
      <w:r>
        <w:rPr>
          <w:sz w:val="21"/>
        </w:rPr>
        <w:t>Ahmed</w:t>
      </w:r>
    </w:p>
    <w:p>
      <w:pPr>
        <w:pStyle w:val="ListParagraph"/>
        <w:numPr>
          <w:ilvl w:val="0"/>
          <w:numId w:val="22"/>
        </w:numPr>
        <w:tabs>
          <w:tab w:pos="3380" w:val="left" w:leader="none"/>
          <w:tab w:pos="3381" w:val="left" w:leader="none"/>
        </w:tabs>
        <w:spacing w:line="240" w:lineRule="auto" w:before="121" w:after="0"/>
        <w:ind w:left="3381" w:right="0" w:hanging="663"/>
        <w:jc w:val="left"/>
        <w:rPr>
          <w:sz w:val="21"/>
        </w:rPr>
      </w:pPr>
      <w:r>
        <w:rPr>
          <w:spacing w:val="-3"/>
          <w:sz w:val="21"/>
        </w:rPr>
        <w:t>PW </w:t>
      </w:r>
      <w:r>
        <w:rPr>
          <w:sz w:val="21"/>
        </w:rPr>
        <w:t>3 Farooq</w:t>
      </w:r>
      <w:r>
        <w:rPr>
          <w:spacing w:val="1"/>
          <w:sz w:val="21"/>
        </w:rPr>
        <w:t> </w:t>
      </w:r>
      <w:r>
        <w:rPr>
          <w:sz w:val="21"/>
        </w:rPr>
        <w:t>Ahmad</w:t>
      </w:r>
    </w:p>
    <w:p>
      <w:pPr>
        <w:pStyle w:val="ListParagraph"/>
        <w:numPr>
          <w:ilvl w:val="0"/>
          <w:numId w:val="22"/>
        </w:numPr>
        <w:tabs>
          <w:tab w:pos="3380" w:val="left" w:leader="none"/>
          <w:tab w:pos="3381" w:val="left" w:leader="none"/>
        </w:tabs>
        <w:spacing w:line="240" w:lineRule="auto" w:before="121" w:after="0"/>
        <w:ind w:left="3381" w:right="0" w:hanging="663"/>
        <w:jc w:val="left"/>
        <w:rPr>
          <w:sz w:val="21"/>
        </w:rPr>
      </w:pPr>
      <w:r>
        <w:rPr>
          <w:spacing w:val="-3"/>
          <w:sz w:val="21"/>
        </w:rPr>
        <w:t>PW </w:t>
      </w:r>
      <w:r>
        <w:rPr>
          <w:sz w:val="21"/>
        </w:rPr>
        <w:t>4 Mohd.</w:t>
      </w:r>
      <w:r>
        <w:rPr>
          <w:spacing w:val="3"/>
          <w:sz w:val="21"/>
        </w:rPr>
        <w:t> </w:t>
      </w:r>
      <w:r>
        <w:rPr>
          <w:sz w:val="21"/>
        </w:rPr>
        <w:t>Yasin</w:t>
      </w:r>
    </w:p>
    <w:p>
      <w:pPr>
        <w:pStyle w:val="ListParagraph"/>
        <w:numPr>
          <w:ilvl w:val="0"/>
          <w:numId w:val="22"/>
        </w:numPr>
        <w:tabs>
          <w:tab w:pos="3380" w:val="left" w:leader="none"/>
          <w:tab w:pos="3381" w:val="left" w:leader="none"/>
        </w:tabs>
        <w:spacing w:line="240" w:lineRule="auto" w:before="121" w:after="0"/>
        <w:ind w:left="3381" w:right="0" w:hanging="663"/>
        <w:jc w:val="left"/>
        <w:rPr>
          <w:sz w:val="21"/>
        </w:rPr>
      </w:pPr>
      <w:r>
        <w:rPr>
          <w:spacing w:val="-3"/>
          <w:sz w:val="21"/>
        </w:rPr>
        <w:t>PW </w:t>
      </w:r>
      <w:r>
        <w:rPr>
          <w:sz w:val="21"/>
        </w:rPr>
        <w:t>5 Sri Abdul</w:t>
      </w:r>
      <w:r>
        <w:rPr>
          <w:spacing w:val="4"/>
          <w:sz w:val="21"/>
        </w:rPr>
        <w:t> </w:t>
      </w:r>
      <w:r>
        <w:rPr>
          <w:sz w:val="21"/>
        </w:rPr>
        <w:t>Rehman</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6 Mohd. Yunus</w:t>
      </w:r>
      <w:r>
        <w:rPr>
          <w:spacing w:val="2"/>
          <w:sz w:val="21"/>
        </w:rPr>
        <w:t> </w:t>
      </w:r>
      <w:r>
        <w:rPr>
          <w:sz w:val="21"/>
        </w:rPr>
        <w:t>Siddiqui</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7 Sri Hashmat Ullah</w:t>
      </w:r>
      <w:r>
        <w:rPr>
          <w:spacing w:val="1"/>
          <w:sz w:val="21"/>
        </w:rPr>
        <w:t> </w:t>
      </w:r>
      <w:r>
        <w:rPr>
          <w:sz w:val="21"/>
        </w:rPr>
        <w:t>Ansari</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8 Sri Abdul</w:t>
      </w:r>
      <w:r>
        <w:rPr>
          <w:spacing w:val="4"/>
          <w:sz w:val="21"/>
        </w:rPr>
        <w:t> </w:t>
      </w:r>
      <w:r>
        <w:rPr>
          <w:sz w:val="21"/>
        </w:rPr>
        <w:t>Aziz</w:t>
      </w:r>
    </w:p>
    <w:p>
      <w:pPr>
        <w:spacing w:after="0" w:line="240" w:lineRule="auto"/>
        <w:jc w:val="left"/>
        <w:rPr>
          <w:sz w:val="21"/>
        </w:rPr>
        <w:sectPr>
          <w:pgSz w:w="11910" w:h="16840"/>
          <w:pgMar w:header="721" w:footer="1014" w:top="1300" w:bottom="1200" w:left="940" w:right="1000"/>
        </w:sectPr>
      </w:pPr>
    </w:p>
    <w:p>
      <w:pPr>
        <w:pStyle w:val="ListParagraph"/>
        <w:numPr>
          <w:ilvl w:val="0"/>
          <w:numId w:val="22"/>
        </w:numPr>
        <w:tabs>
          <w:tab w:pos="3380" w:val="left" w:leader="none"/>
          <w:tab w:pos="3381" w:val="left" w:leader="none"/>
        </w:tabs>
        <w:spacing w:line="240" w:lineRule="auto" w:before="122" w:after="0"/>
        <w:ind w:left="3381" w:right="0" w:hanging="721"/>
        <w:jc w:val="left"/>
        <w:rPr>
          <w:sz w:val="21"/>
        </w:rPr>
      </w:pPr>
      <w:r>
        <w:rPr>
          <w:spacing w:val="-3"/>
          <w:sz w:val="21"/>
        </w:rPr>
        <w:t>PW </w:t>
      </w:r>
      <w:r>
        <w:rPr>
          <w:sz w:val="21"/>
        </w:rPr>
        <w:t>9 Syeed Akhlak</w:t>
      </w:r>
      <w:r>
        <w:rPr>
          <w:spacing w:val="2"/>
          <w:sz w:val="21"/>
        </w:rPr>
        <w:t> </w:t>
      </w:r>
      <w:r>
        <w:rPr>
          <w:sz w:val="21"/>
        </w:rPr>
        <w:t>Ahmad</w:t>
      </w:r>
    </w:p>
    <w:p>
      <w:pPr>
        <w:pStyle w:val="ListParagraph"/>
        <w:numPr>
          <w:ilvl w:val="0"/>
          <w:numId w:val="22"/>
        </w:numPr>
        <w:tabs>
          <w:tab w:pos="3438" w:val="left" w:leader="none"/>
          <w:tab w:pos="3439" w:val="left" w:leader="none"/>
        </w:tabs>
        <w:spacing w:line="240" w:lineRule="auto" w:before="122" w:after="0"/>
        <w:ind w:left="3438" w:right="0" w:hanging="779"/>
        <w:jc w:val="left"/>
        <w:rPr>
          <w:sz w:val="21"/>
        </w:rPr>
      </w:pPr>
      <w:r>
        <w:rPr>
          <w:spacing w:val="-3"/>
          <w:sz w:val="21"/>
        </w:rPr>
        <w:t>PW </w:t>
      </w:r>
      <w:r>
        <w:rPr>
          <w:sz w:val="21"/>
        </w:rPr>
        <w:t>10 Mohd.</w:t>
      </w:r>
      <w:r>
        <w:rPr>
          <w:spacing w:val="3"/>
          <w:sz w:val="21"/>
        </w:rPr>
        <w:t> </w:t>
      </w:r>
      <w:r>
        <w:rPr>
          <w:sz w:val="21"/>
        </w:rPr>
        <w:t>Idris</w:t>
      </w:r>
    </w:p>
    <w:p>
      <w:pPr>
        <w:pStyle w:val="ListParagraph"/>
        <w:numPr>
          <w:ilvl w:val="0"/>
          <w:numId w:val="22"/>
        </w:numPr>
        <w:tabs>
          <w:tab w:pos="3438" w:val="left" w:leader="none"/>
          <w:tab w:pos="3439" w:val="left" w:leader="none"/>
        </w:tabs>
        <w:spacing w:line="240" w:lineRule="auto" w:before="121" w:after="0"/>
        <w:ind w:left="3438" w:right="0" w:hanging="779"/>
        <w:jc w:val="left"/>
        <w:rPr>
          <w:sz w:val="21"/>
        </w:rPr>
      </w:pPr>
      <w:r>
        <w:rPr>
          <w:sz w:val="21"/>
        </w:rPr>
        <w:t>PW11 Mohd.</w:t>
      </w:r>
      <w:r>
        <w:rPr>
          <w:spacing w:val="-4"/>
          <w:sz w:val="21"/>
        </w:rPr>
        <w:t> </w:t>
      </w:r>
      <w:r>
        <w:rPr>
          <w:sz w:val="21"/>
        </w:rPr>
        <w:t>Burhanuddin</w:t>
      </w:r>
    </w:p>
    <w:p>
      <w:pPr>
        <w:pStyle w:val="ListParagraph"/>
        <w:numPr>
          <w:ilvl w:val="0"/>
          <w:numId w:val="22"/>
        </w:numPr>
        <w:tabs>
          <w:tab w:pos="3380" w:val="left" w:leader="none"/>
          <w:tab w:pos="3381" w:val="left" w:leader="none"/>
        </w:tabs>
        <w:spacing w:line="240" w:lineRule="auto" w:before="120" w:after="0"/>
        <w:ind w:left="3381" w:right="0" w:hanging="721"/>
        <w:jc w:val="left"/>
        <w:rPr>
          <w:sz w:val="21"/>
        </w:rPr>
      </w:pPr>
      <w:r>
        <w:rPr>
          <w:spacing w:val="-3"/>
          <w:sz w:val="21"/>
        </w:rPr>
        <w:t>PW </w:t>
      </w:r>
      <w:r>
        <w:rPr>
          <w:sz w:val="21"/>
        </w:rPr>
        <w:t>12 Ram Shanker</w:t>
      </w:r>
      <w:r>
        <w:rPr>
          <w:spacing w:val="-3"/>
          <w:sz w:val="21"/>
        </w:rPr>
        <w:t> </w:t>
      </w:r>
      <w:r>
        <w:rPr>
          <w:sz w:val="21"/>
        </w:rPr>
        <w:t>Upadhyay</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13 Suresh Chandra Mishra</w:t>
      </w:r>
    </w:p>
    <w:p>
      <w:pPr>
        <w:pStyle w:val="ListParagraph"/>
        <w:numPr>
          <w:ilvl w:val="0"/>
          <w:numId w:val="22"/>
        </w:numPr>
        <w:tabs>
          <w:tab w:pos="3438" w:val="left" w:leader="none"/>
          <w:tab w:pos="3439" w:val="left" w:leader="none"/>
        </w:tabs>
        <w:spacing w:line="240" w:lineRule="auto" w:before="121" w:after="0"/>
        <w:ind w:left="3438" w:right="0" w:hanging="779"/>
        <w:jc w:val="left"/>
        <w:rPr>
          <w:sz w:val="21"/>
        </w:rPr>
      </w:pPr>
      <w:r>
        <w:rPr>
          <w:spacing w:val="-3"/>
          <w:sz w:val="21"/>
        </w:rPr>
        <w:t>PW </w:t>
      </w:r>
      <w:r>
        <w:rPr>
          <w:sz w:val="21"/>
        </w:rPr>
        <w:t>14 Jalil</w:t>
      </w:r>
      <w:r>
        <w:rPr>
          <w:spacing w:val="5"/>
          <w:sz w:val="21"/>
        </w:rPr>
        <w:t> </w:t>
      </w:r>
      <w:r>
        <w:rPr>
          <w:sz w:val="21"/>
        </w:rPr>
        <w:t>Ahmad</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21 Dr. M. Hashim</w:t>
      </w:r>
      <w:r>
        <w:rPr>
          <w:spacing w:val="-2"/>
          <w:sz w:val="21"/>
        </w:rPr>
        <w:t> </w:t>
      </w:r>
      <w:r>
        <w:rPr>
          <w:sz w:val="21"/>
        </w:rPr>
        <w:t>Qidwai</w:t>
      </w:r>
    </w:p>
    <w:p>
      <w:pPr>
        <w:pStyle w:val="ListParagraph"/>
        <w:numPr>
          <w:ilvl w:val="0"/>
          <w:numId w:val="22"/>
        </w:numPr>
        <w:tabs>
          <w:tab w:pos="3380" w:val="left" w:leader="none"/>
          <w:tab w:pos="3381" w:val="left" w:leader="none"/>
        </w:tabs>
        <w:spacing w:line="240" w:lineRule="auto" w:before="119" w:after="0"/>
        <w:ind w:left="3381" w:right="0" w:hanging="721"/>
        <w:jc w:val="left"/>
        <w:rPr>
          <w:sz w:val="21"/>
        </w:rPr>
      </w:pPr>
      <w:r>
        <w:rPr>
          <w:spacing w:val="-3"/>
          <w:sz w:val="21"/>
        </w:rPr>
        <w:t>PW </w:t>
      </w:r>
      <w:r>
        <w:rPr>
          <w:sz w:val="21"/>
        </w:rPr>
        <w:t>23 Mohd Qasim</w:t>
      </w:r>
      <w:r>
        <w:rPr>
          <w:spacing w:val="4"/>
          <w:sz w:val="21"/>
        </w:rPr>
        <w:t> </w:t>
      </w:r>
      <w:r>
        <w:rPr>
          <w:sz w:val="21"/>
        </w:rPr>
        <w:t>Ansari</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25 Mohd. Sibte</w:t>
      </w:r>
      <w:r>
        <w:rPr>
          <w:spacing w:val="-1"/>
          <w:sz w:val="21"/>
        </w:rPr>
        <w:t> </w:t>
      </w:r>
      <w:r>
        <w:rPr>
          <w:sz w:val="21"/>
        </w:rPr>
        <w:t>Naqvi</w:t>
      </w:r>
    </w:p>
    <w:p>
      <w:pPr>
        <w:pStyle w:val="BodyText"/>
        <w:spacing w:before="7"/>
        <w:rPr>
          <w:sz w:val="31"/>
        </w:rPr>
      </w:pPr>
    </w:p>
    <w:p>
      <w:pPr>
        <w:pStyle w:val="ListParagraph"/>
        <w:numPr>
          <w:ilvl w:val="1"/>
          <w:numId w:val="21"/>
        </w:numPr>
        <w:tabs>
          <w:tab w:pos="3694" w:val="left" w:leader="none"/>
        </w:tabs>
        <w:spacing w:line="240" w:lineRule="auto" w:before="0" w:after="0"/>
        <w:ind w:left="3693" w:right="0" w:hanging="313"/>
        <w:jc w:val="left"/>
        <w:rPr>
          <w:b/>
          <w:sz w:val="21"/>
        </w:rPr>
      </w:pPr>
      <w:r>
        <w:rPr>
          <w:b/>
          <w:sz w:val="21"/>
        </w:rPr>
        <w:t>Expert Witnesses</w:t>
      </w:r>
      <w:r>
        <w:rPr>
          <w:b/>
          <w:spacing w:val="-2"/>
          <w:sz w:val="21"/>
        </w:rPr>
        <w:t> </w:t>
      </w:r>
      <w:r>
        <w:rPr>
          <w:b/>
          <w:sz w:val="21"/>
        </w:rPr>
        <w:t>(Historians)</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15 Sushil</w:t>
      </w:r>
      <w:r>
        <w:rPr>
          <w:spacing w:val="3"/>
          <w:sz w:val="21"/>
        </w:rPr>
        <w:t> </w:t>
      </w:r>
      <w:r>
        <w:rPr>
          <w:sz w:val="21"/>
        </w:rPr>
        <w:t>Srivastava</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18 Prof. Suvira Jaiswal</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20 Prof. Shirin Musavi</w:t>
      </w:r>
    </w:p>
    <w:p>
      <w:pPr>
        <w:pStyle w:val="BodyText"/>
        <w:spacing w:before="4"/>
        <w:rPr>
          <w:sz w:val="31"/>
        </w:rPr>
      </w:pPr>
    </w:p>
    <w:p>
      <w:pPr>
        <w:pStyle w:val="ListParagraph"/>
        <w:numPr>
          <w:ilvl w:val="1"/>
          <w:numId w:val="21"/>
        </w:numPr>
        <w:tabs>
          <w:tab w:pos="3754" w:val="left" w:leader="none"/>
        </w:tabs>
        <w:spacing w:line="240" w:lineRule="auto" w:before="0" w:after="0"/>
        <w:ind w:left="3753" w:right="0" w:hanging="373"/>
        <w:jc w:val="left"/>
        <w:rPr>
          <w:b/>
          <w:sz w:val="21"/>
        </w:rPr>
      </w:pPr>
      <w:r>
        <w:rPr>
          <w:b/>
          <w:sz w:val="21"/>
        </w:rPr>
        <w:t>Expert Witnesses</w:t>
      </w:r>
      <w:r>
        <w:rPr>
          <w:b/>
          <w:spacing w:val="-3"/>
          <w:sz w:val="21"/>
        </w:rPr>
        <w:t> </w:t>
      </w:r>
      <w:r>
        <w:rPr>
          <w:b/>
          <w:sz w:val="21"/>
        </w:rPr>
        <w:t>(Archaeologists)</w:t>
      </w:r>
    </w:p>
    <w:p>
      <w:pPr>
        <w:pStyle w:val="ListParagraph"/>
        <w:numPr>
          <w:ilvl w:val="0"/>
          <w:numId w:val="22"/>
        </w:numPr>
        <w:tabs>
          <w:tab w:pos="3438" w:val="left" w:leader="none"/>
          <w:tab w:pos="3439" w:val="left" w:leader="none"/>
        </w:tabs>
        <w:spacing w:line="240" w:lineRule="auto" w:before="121" w:after="0"/>
        <w:ind w:left="3438" w:right="0" w:hanging="721"/>
        <w:jc w:val="left"/>
        <w:rPr>
          <w:sz w:val="21"/>
        </w:rPr>
      </w:pPr>
      <w:r>
        <w:rPr>
          <w:spacing w:val="-3"/>
          <w:sz w:val="21"/>
        </w:rPr>
        <w:t>PW </w:t>
      </w:r>
      <w:r>
        <w:rPr>
          <w:sz w:val="21"/>
        </w:rPr>
        <w:t>16 Prof. Suraj</w:t>
      </w:r>
      <w:r>
        <w:rPr>
          <w:spacing w:val="4"/>
          <w:sz w:val="21"/>
        </w:rPr>
        <w:t> </w:t>
      </w:r>
      <w:r>
        <w:rPr>
          <w:sz w:val="21"/>
        </w:rPr>
        <w:t>Bhan</w:t>
      </w:r>
    </w:p>
    <w:p>
      <w:pPr>
        <w:pStyle w:val="ListParagraph"/>
        <w:numPr>
          <w:ilvl w:val="0"/>
          <w:numId w:val="22"/>
        </w:numPr>
        <w:tabs>
          <w:tab w:pos="3438" w:val="left" w:leader="none"/>
          <w:tab w:pos="3439" w:val="left" w:leader="none"/>
        </w:tabs>
        <w:spacing w:line="240" w:lineRule="auto" w:before="121" w:after="0"/>
        <w:ind w:left="3438" w:right="0" w:hanging="779"/>
        <w:jc w:val="left"/>
        <w:rPr>
          <w:sz w:val="21"/>
        </w:rPr>
      </w:pPr>
      <w:r>
        <w:rPr>
          <w:spacing w:val="-3"/>
          <w:sz w:val="21"/>
        </w:rPr>
        <w:t>PW </w:t>
      </w:r>
      <w:r>
        <w:rPr>
          <w:sz w:val="21"/>
        </w:rPr>
        <w:t>24 Prof. D.</w:t>
      </w:r>
      <w:r>
        <w:rPr>
          <w:spacing w:val="3"/>
          <w:sz w:val="21"/>
        </w:rPr>
        <w:t> </w:t>
      </w:r>
      <w:r>
        <w:rPr>
          <w:sz w:val="21"/>
        </w:rPr>
        <w:t>Mandal</w:t>
      </w:r>
    </w:p>
    <w:p>
      <w:pPr>
        <w:pStyle w:val="ListParagraph"/>
        <w:numPr>
          <w:ilvl w:val="0"/>
          <w:numId w:val="22"/>
        </w:numPr>
        <w:tabs>
          <w:tab w:pos="3438" w:val="left" w:leader="none"/>
          <w:tab w:pos="3439" w:val="left" w:leader="none"/>
        </w:tabs>
        <w:spacing w:line="240" w:lineRule="auto" w:before="121" w:after="0"/>
        <w:ind w:left="3438" w:right="0" w:hanging="779"/>
        <w:jc w:val="left"/>
        <w:rPr>
          <w:sz w:val="21"/>
        </w:rPr>
      </w:pPr>
      <w:r>
        <w:rPr>
          <w:spacing w:val="-3"/>
          <w:sz w:val="21"/>
        </w:rPr>
        <w:t>PW </w:t>
      </w:r>
      <w:r>
        <w:rPr>
          <w:sz w:val="21"/>
        </w:rPr>
        <w:t>27 Dr. Shereen F.</w:t>
      </w:r>
      <w:r>
        <w:rPr>
          <w:spacing w:val="-2"/>
          <w:sz w:val="21"/>
        </w:rPr>
        <w:t> </w:t>
      </w:r>
      <w:r>
        <w:rPr>
          <w:sz w:val="21"/>
        </w:rPr>
        <w:t>Ratnagar</w:t>
      </w:r>
    </w:p>
    <w:p>
      <w:pPr>
        <w:pStyle w:val="ListParagraph"/>
        <w:numPr>
          <w:ilvl w:val="0"/>
          <w:numId w:val="22"/>
        </w:numPr>
        <w:tabs>
          <w:tab w:pos="3438" w:val="left" w:leader="none"/>
          <w:tab w:pos="3439" w:val="left" w:leader="none"/>
        </w:tabs>
        <w:spacing w:line="240" w:lineRule="auto" w:before="121" w:after="0"/>
        <w:ind w:left="3438" w:right="0" w:hanging="779"/>
        <w:jc w:val="left"/>
        <w:rPr>
          <w:sz w:val="21"/>
        </w:rPr>
      </w:pPr>
      <w:r>
        <w:rPr>
          <w:spacing w:val="-3"/>
          <w:sz w:val="21"/>
        </w:rPr>
        <w:t>PW </w:t>
      </w:r>
      <w:r>
        <w:rPr>
          <w:sz w:val="21"/>
        </w:rPr>
        <w:t>28 Dr. Sita Ram</w:t>
      </w:r>
      <w:r>
        <w:rPr>
          <w:spacing w:val="-3"/>
          <w:sz w:val="21"/>
        </w:rPr>
        <w:t> </w:t>
      </w:r>
      <w:r>
        <w:rPr>
          <w:sz w:val="21"/>
        </w:rPr>
        <w:t>Roy</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29 Dr. Jaya Menon</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30 Dr. R. C.</w:t>
      </w:r>
      <w:r>
        <w:rPr>
          <w:spacing w:val="-3"/>
          <w:sz w:val="21"/>
        </w:rPr>
        <w:t> </w:t>
      </w:r>
      <w:r>
        <w:rPr>
          <w:sz w:val="21"/>
        </w:rPr>
        <w:t>Thakran</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31 Dr. Ashok</w:t>
      </w:r>
      <w:r>
        <w:rPr>
          <w:spacing w:val="2"/>
          <w:sz w:val="21"/>
        </w:rPr>
        <w:t> </w:t>
      </w:r>
      <w:r>
        <w:rPr>
          <w:sz w:val="21"/>
        </w:rPr>
        <w:t>Datta</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32 Dr. Supriya Verma</w:t>
      </w:r>
    </w:p>
    <w:p>
      <w:pPr>
        <w:pStyle w:val="BodyText"/>
        <w:spacing w:before="4"/>
        <w:rPr>
          <w:sz w:val="31"/>
        </w:rPr>
      </w:pPr>
    </w:p>
    <w:p>
      <w:pPr>
        <w:pStyle w:val="ListParagraph"/>
        <w:numPr>
          <w:ilvl w:val="1"/>
          <w:numId w:val="21"/>
        </w:numPr>
        <w:tabs>
          <w:tab w:pos="3777" w:val="left" w:leader="none"/>
        </w:tabs>
        <w:spacing w:line="240" w:lineRule="auto" w:before="1" w:after="0"/>
        <w:ind w:left="3776" w:right="0" w:hanging="396"/>
        <w:jc w:val="left"/>
        <w:rPr>
          <w:b/>
          <w:sz w:val="21"/>
        </w:rPr>
      </w:pPr>
      <w:r>
        <w:rPr>
          <w:b/>
          <w:sz w:val="21"/>
        </w:rPr>
        <w:t>Private</w:t>
      </w:r>
      <w:r>
        <w:rPr>
          <w:b/>
          <w:spacing w:val="-3"/>
          <w:sz w:val="21"/>
        </w:rPr>
        <w:t> </w:t>
      </w:r>
      <w:r>
        <w:rPr>
          <w:b/>
          <w:sz w:val="21"/>
        </w:rPr>
        <w:t>Commissioner</w:t>
      </w:r>
    </w:p>
    <w:p>
      <w:pPr>
        <w:pStyle w:val="ListParagraph"/>
        <w:numPr>
          <w:ilvl w:val="0"/>
          <w:numId w:val="22"/>
        </w:numPr>
        <w:tabs>
          <w:tab w:pos="3380" w:val="left" w:leader="none"/>
          <w:tab w:pos="3381" w:val="left" w:leader="none"/>
        </w:tabs>
        <w:spacing w:line="240" w:lineRule="auto" w:before="120" w:after="0"/>
        <w:ind w:left="3381" w:right="0" w:hanging="721"/>
        <w:jc w:val="left"/>
        <w:rPr>
          <w:sz w:val="21"/>
        </w:rPr>
      </w:pPr>
      <w:r>
        <w:rPr>
          <w:spacing w:val="-3"/>
          <w:sz w:val="21"/>
        </w:rPr>
        <w:t>PW </w:t>
      </w:r>
      <w:r>
        <w:rPr>
          <w:sz w:val="21"/>
        </w:rPr>
        <w:t>17 Zafar Ali</w:t>
      </w:r>
      <w:r>
        <w:rPr>
          <w:spacing w:val="-2"/>
          <w:sz w:val="21"/>
        </w:rPr>
        <w:t> </w:t>
      </w:r>
      <w:r>
        <w:rPr>
          <w:sz w:val="21"/>
        </w:rPr>
        <w:t>Siddiqui</w:t>
      </w:r>
    </w:p>
    <w:p>
      <w:pPr>
        <w:pStyle w:val="BodyText"/>
        <w:spacing w:before="7"/>
        <w:rPr>
          <w:sz w:val="31"/>
        </w:rPr>
      </w:pPr>
    </w:p>
    <w:p>
      <w:pPr>
        <w:pStyle w:val="ListParagraph"/>
        <w:numPr>
          <w:ilvl w:val="1"/>
          <w:numId w:val="21"/>
        </w:numPr>
        <w:tabs>
          <w:tab w:pos="3698" w:val="left" w:leader="none"/>
        </w:tabs>
        <w:spacing w:line="240" w:lineRule="auto" w:before="0" w:after="0"/>
        <w:ind w:left="3697" w:right="0" w:hanging="339"/>
        <w:jc w:val="left"/>
        <w:rPr>
          <w:b/>
          <w:sz w:val="21"/>
        </w:rPr>
      </w:pPr>
      <w:r>
        <w:rPr>
          <w:b/>
          <w:sz w:val="21"/>
        </w:rPr>
        <w:t>Expert Witnesses (Religious</w:t>
      </w:r>
      <w:r>
        <w:rPr>
          <w:b/>
          <w:spacing w:val="-3"/>
          <w:sz w:val="21"/>
        </w:rPr>
        <w:t> </w:t>
      </w:r>
      <w:r>
        <w:rPr>
          <w:b/>
          <w:sz w:val="21"/>
        </w:rPr>
        <w:t>matters)</w:t>
      </w:r>
    </w:p>
    <w:p>
      <w:pPr>
        <w:pStyle w:val="ListParagraph"/>
        <w:numPr>
          <w:ilvl w:val="0"/>
          <w:numId w:val="22"/>
        </w:numPr>
        <w:tabs>
          <w:tab w:pos="3380" w:val="left" w:leader="none"/>
          <w:tab w:pos="3381" w:val="left" w:leader="none"/>
        </w:tabs>
        <w:spacing w:line="240" w:lineRule="auto" w:before="122" w:after="0"/>
        <w:ind w:left="3381" w:right="0" w:hanging="721"/>
        <w:jc w:val="left"/>
        <w:rPr>
          <w:sz w:val="21"/>
        </w:rPr>
      </w:pPr>
      <w:r>
        <w:rPr>
          <w:spacing w:val="-3"/>
          <w:sz w:val="21"/>
        </w:rPr>
        <w:t>PW </w:t>
      </w:r>
      <w:r>
        <w:rPr>
          <w:sz w:val="21"/>
        </w:rPr>
        <w:t>19 Maulana Atiq</w:t>
      </w:r>
      <w:r>
        <w:rPr>
          <w:spacing w:val="-2"/>
          <w:sz w:val="21"/>
        </w:rPr>
        <w:t> </w:t>
      </w:r>
      <w:r>
        <w:rPr>
          <w:sz w:val="21"/>
        </w:rPr>
        <w:t>Ahmad</w:t>
      </w:r>
    </w:p>
    <w:p>
      <w:pPr>
        <w:pStyle w:val="ListParagraph"/>
        <w:numPr>
          <w:ilvl w:val="0"/>
          <w:numId w:val="22"/>
        </w:numPr>
        <w:tabs>
          <w:tab w:pos="3380" w:val="left" w:leader="none"/>
          <w:tab w:pos="3381" w:val="left" w:leader="none"/>
        </w:tabs>
        <w:spacing w:line="240" w:lineRule="auto" w:before="121" w:after="0"/>
        <w:ind w:left="3381" w:right="0" w:hanging="721"/>
        <w:jc w:val="left"/>
        <w:rPr>
          <w:sz w:val="21"/>
        </w:rPr>
      </w:pPr>
      <w:r>
        <w:rPr>
          <w:spacing w:val="-3"/>
          <w:sz w:val="21"/>
        </w:rPr>
        <w:t>PW </w:t>
      </w:r>
      <w:r>
        <w:rPr>
          <w:sz w:val="21"/>
        </w:rPr>
        <w:t>22 Mohd. Khalid</w:t>
      </w:r>
      <w:r>
        <w:rPr>
          <w:spacing w:val="-1"/>
          <w:sz w:val="21"/>
        </w:rPr>
        <w:t> </w:t>
      </w:r>
      <w:r>
        <w:rPr>
          <w:sz w:val="21"/>
        </w:rPr>
        <w:t>Naqui</w:t>
      </w:r>
    </w:p>
    <w:p>
      <w:pPr>
        <w:pStyle w:val="ListParagraph"/>
        <w:numPr>
          <w:ilvl w:val="0"/>
          <w:numId w:val="22"/>
        </w:numPr>
        <w:tabs>
          <w:tab w:pos="3380" w:val="left" w:leader="none"/>
          <w:tab w:pos="3381" w:val="left" w:leader="none"/>
        </w:tabs>
        <w:spacing w:line="240" w:lineRule="auto" w:before="118" w:after="0"/>
        <w:ind w:left="3381" w:right="0" w:hanging="721"/>
        <w:jc w:val="left"/>
        <w:rPr>
          <w:sz w:val="21"/>
        </w:rPr>
      </w:pPr>
      <w:r>
        <w:rPr>
          <w:spacing w:val="-3"/>
          <w:sz w:val="21"/>
        </w:rPr>
        <w:t>PW </w:t>
      </w:r>
      <w:r>
        <w:rPr>
          <w:sz w:val="21"/>
        </w:rPr>
        <w:t>26 Kalbe</w:t>
      </w:r>
      <w:r>
        <w:rPr>
          <w:spacing w:val="2"/>
          <w:sz w:val="21"/>
        </w:rPr>
        <w:t> </w:t>
      </w:r>
      <w:r>
        <w:rPr>
          <w:sz w:val="21"/>
        </w:rPr>
        <w:t>Jawed</w:t>
      </w:r>
    </w:p>
    <w:p>
      <w:pPr>
        <w:pStyle w:val="BodyText"/>
        <w:spacing w:before="7"/>
        <w:rPr>
          <w:sz w:val="31"/>
        </w:rPr>
      </w:pPr>
    </w:p>
    <w:p>
      <w:pPr>
        <w:pStyle w:val="ListParagraph"/>
        <w:numPr>
          <w:ilvl w:val="0"/>
          <w:numId w:val="21"/>
        </w:numPr>
        <w:tabs>
          <w:tab w:pos="2409" w:val="left" w:leader="none"/>
        </w:tabs>
        <w:spacing w:line="240" w:lineRule="auto" w:before="0" w:after="0"/>
        <w:ind w:left="2408" w:right="0" w:hanging="469"/>
        <w:jc w:val="left"/>
        <w:rPr>
          <w:b/>
          <w:sz w:val="21"/>
        </w:rPr>
      </w:pPr>
      <w:r>
        <w:rPr>
          <w:b/>
          <w:sz w:val="21"/>
        </w:rPr>
        <w:t>(b) Witnesses produced in Suit-5 by Plaintiff</w:t>
      </w:r>
      <w:r>
        <w:rPr>
          <w:b/>
          <w:spacing w:val="-13"/>
          <w:sz w:val="21"/>
        </w:rPr>
        <w:t> </w:t>
      </w:r>
      <w:r>
        <w:rPr>
          <w:b/>
          <w:sz w:val="21"/>
        </w:rPr>
        <w:t>:</w:t>
      </w:r>
    </w:p>
    <w:p>
      <w:pPr>
        <w:pStyle w:val="BodyText"/>
        <w:spacing w:before="7"/>
        <w:rPr>
          <w:b/>
          <w:sz w:val="31"/>
        </w:rPr>
      </w:pPr>
    </w:p>
    <w:p>
      <w:pPr>
        <w:pStyle w:val="ListParagraph"/>
        <w:numPr>
          <w:ilvl w:val="1"/>
          <w:numId w:val="21"/>
        </w:numPr>
        <w:tabs>
          <w:tab w:pos="3636" w:val="left" w:leader="none"/>
        </w:tabs>
        <w:spacing w:line="240" w:lineRule="auto" w:before="0" w:after="0"/>
        <w:ind w:left="3635" w:right="0" w:hanging="255"/>
        <w:jc w:val="left"/>
        <w:rPr>
          <w:b/>
          <w:sz w:val="21"/>
        </w:rPr>
      </w:pPr>
      <w:r>
        <w:rPr>
          <w:b/>
          <w:sz w:val="21"/>
        </w:rPr>
        <w:t>Witness of facts</w:t>
      </w:r>
      <w:r>
        <w:rPr>
          <w:b/>
          <w:spacing w:val="-6"/>
          <w:sz w:val="21"/>
        </w:rPr>
        <w:t> </w:t>
      </w:r>
      <w:r>
        <w:rPr>
          <w:b/>
          <w:sz w:val="21"/>
        </w:rPr>
        <w:t>:</w:t>
      </w:r>
    </w:p>
    <w:p>
      <w:pPr>
        <w:pStyle w:val="ListParagraph"/>
        <w:numPr>
          <w:ilvl w:val="0"/>
          <w:numId w:val="23"/>
        </w:numPr>
        <w:tabs>
          <w:tab w:pos="3380" w:val="left" w:leader="none"/>
          <w:tab w:pos="3381" w:val="left" w:leader="none"/>
        </w:tabs>
        <w:spacing w:line="360" w:lineRule="auto" w:before="118" w:after="0"/>
        <w:ind w:left="3381" w:right="2649" w:hanging="721"/>
        <w:jc w:val="left"/>
        <w:rPr>
          <w:sz w:val="21"/>
        </w:rPr>
      </w:pPr>
      <w:r>
        <w:rPr>
          <w:spacing w:val="-3"/>
          <w:sz w:val="21"/>
        </w:rPr>
        <w:t>OPW </w:t>
      </w:r>
      <w:r>
        <w:rPr>
          <w:sz w:val="21"/>
        </w:rPr>
        <w:t>1 Mahant Paramhans Ram Chandra Das</w:t>
      </w:r>
    </w:p>
    <w:p>
      <w:pPr>
        <w:pStyle w:val="ListParagraph"/>
        <w:numPr>
          <w:ilvl w:val="0"/>
          <w:numId w:val="23"/>
        </w:numPr>
        <w:tabs>
          <w:tab w:pos="3380" w:val="left" w:leader="none"/>
          <w:tab w:pos="3381" w:val="left" w:leader="none"/>
        </w:tabs>
        <w:spacing w:line="240" w:lineRule="auto" w:before="1" w:after="0"/>
        <w:ind w:left="3381" w:right="0" w:hanging="721"/>
        <w:jc w:val="left"/>
        <w:rPr>
          <w:sz w:val="21"/>
        </w:rPr>
      </w:pPr>
      <w:r>
        <w:rPr>
          <w:spacing w:val="-3"/>
          <w:sz w:val="21"/>
        </w:rPr>
        <w:t>OPW </w:t>
      </w:r>
      <w:r>
        <w:rPr>
          <w:sz w:val="21"/>
        </w:rPr>
        <w:t>2 Sri D.N.</w:t>
      </w:r>
      <w:r>
        <w:rPr>
          <w:spacing w:val="3"/>
          <w:sz w:val="21"/>
        </w:rPr>
        <w:t> </w:t>
      </w:r>
      <w:r>
        <w:rPr>
          <w:sz w:val="21"/>
        </w:rPr>
        <w:t>Agarwal</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4 Harihar Prasad</w:t>
      </w:r>
      <w:r>
        <w:rPr>
          <w:spacing w:val="2"/>
          <w:sz w:val="21"/>
        </w:rPr>
        <w:t> </w:t>
      </w:r>
      <w:r>
        <w:rPr>
          <w:sz w:val="21"/>
        </w:rPr>
        <w:t>Tewari</w:t>
      </w:r>
    </w:p>
    <w:p>
      <w:pPr>
        <w:spacing w:after="0" w:line="240" w:lineRule="auto"/>
        <w:jc w:val="left"/>
        <w:rPr>
          <w:sz w:val="21"/>
        </w:rPr>
        <w:sectPr>
          <w:pgSz w:w="11910" w:h="16840"/>
          <w:pgMar w:header="721" w:footer="1014" w:top="1300" w:bottom="1200" w:left="940" w:right="1000"/>
        </w:sectPr>
      </w:pPr>
    </w:p>
    <w:p>
      <w:pPr>
        <w:pStyle w:val="ListParagraph"/>
        <w:numPr>
          <w:ilvl w:val="0"/>
          <w:numId w:val="23"/>
        </w:numPr>
        <w:tabs>
          <w:tab w:pos="3380" w:val="left" w:leader="none"/>
          <w:tab w:pos="3381" w:val="left" w:leader="none"/>
        </w:tabs>
        <w:spacing w:line="240" w:lineRule="auto" w:before="122" w:after="0"/>
        <w:ind w:left="3381" w:right="0" w:hanging="721"/>
        <w:jc w:val="left"/>
        <w:rPr>
          <w:sz w:val="21"/>
        </w:rPr>
      </w:pPr>
      <w:r>
        <w:rPr>
          <w:spacing w:val="-3"/>
          <w:sz w:val="21"/>
        </w:rPr>
        <w:t>OPW </w:t>
      </w:r>
      <w:r>
        <w:rPr>
          <w:sz w:val="21"/>
        </w:rPr>
        <w:t>5 Ram Nath Mishra alias Banarsi</w:t>
      </w:r>
      <w:r>
        <w:rPr>
          <w:spacing w:val="-1"/>
          <w:sz w:val="21"/>
        </w:rPr>
        <w:t> </w:t>
      </w:r>
      <w:r>
        <w:rPr>
          <w:sz w:val="21"/>
        </w:rPr>
        <w:t>Panda</w:t>
      </w:r>
    </w:p>
    <w:p>
      <w:pPr>
        <w:pStyle w:val="ListParagraph"/>
        <w:numPr>
          <w:ilvl w:val="0"/>
          <w:numId w:val="23"/>
        </w:numPr>
        <w:tabs>
          <w:tab w:pos="3380" w:val="left" w:leader="none"/>
          <w:tab w:pos="3381" w:val="left" w:leader="none"/>
        </w:tabs>
        <w:spacing w:line="240" w:lineRule="auto" w:before="122" w:after="0"/>
        <w:ind w:left="3381" w:right="0" w:hanging="721"/>
        <w:jc w:val="left"/>
        <w:rPr>
          <w:sz w:val="21"/>
        </w:rPr>
      </w:pPr>
      <w:r>
        <w:rPr>
          <w:spacing w:val="-3"/>
          <w:sz w:val="21"/>
        </w:rPr>
        <w:t>OPW </w:t>
      </w:r>
      <w:r>
        <w:rPr>
          <w:sz w:val="21"/>
        </w:rPr>
        <w:t>6 Hausila Prasad</w:t>
      </w:r>
      <w:r>
        <w:rPr>
          <w:spacing w:val="1"/>
          <w:sz w:val="21"/>
        </w:rPr>
        <w:t> </w:t>
      </w:r>
      <w:r>
        <w:rPr>
          <w:sz w:val="21"/>
        </w:rPr>
        <w:t>Tripathit</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7 Sri Ram Surat</w:t>
      </w:r>
      <w:r>
        <w:rPr>
          <w:spacing w:val="2"/>
          <w:sz w:val="21"/>
        </w:rPr>
        <w:t> </w:t>
      </w:r>
      <w:r>
        <w:rPr>
          <w:sz w:val="21"/>
        </w:rPr>
        <w:t>Tewari</w:t>
      </w:r>
    </w:p>
    <w:p>
      <w:pPr>
        <w:pStyle w:val="ListParagraph"/>
        <w:numPr>
          <w:ilvl w:val="0"/>
          <w:numId w:val="23"/>
        </w:numPr>
        <w:tabs>
          <w:tab w:pos="3380" w:val="left" w:leader="none"/>
          <w:tab w:pos="3381" w:val="left" w:leader="none"/>
        </w:tabs>
        <w:spacing w:line="240" w:lineRule="auto" w:before="120" w:after="0"/>
        <w:ind w:left="3381" w:right="0" w:hanging="721"/>
        <w:jc w:val="left"/>
        <w:rPr>
          <w:sz w:val="21"/>
        </w:rPr>
      </w:pPr>
      <w:r>
        <w:rPr>
          <w:spacing w:val="-3"/>
          <w:sz w:val="21"/>
        </w:rPr>
        <w:t>OPW </w:t>
      </w:r>
      <w:r>
        <w:rPr>
          <w:sz w:val="21"/>
        </w:rPr>
        <w:t>8 Ashok Chandra</w:t>
      </w:r>
      <w:r>
        <w:rPr>
          <w:spacing w:val="-1"/>
          <w:sz w:val="21"/>
        </w:rPr>
        <w:t> </w:t>
      </w:r>
      <w:r>
        <w:rPr>
          <w:sz w:val="21"/>
        </w:rPr>
        <w:t>Chatterjee</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12 Kaushal Kishor</w:t>
      </w:r>
      <w:r>
        <w:rPr>
          <w:spacing w:val="1"/>
          <w:sz w:val="21"/>
        </w:rPr>
        <w:t> </w:t>
      </w:r>
      <w:r>
        <w:rPr>
          <w:sz w:val="21"/>
        </w:rPr>
        <w:t>Misra</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13 Narad</w:t>
      </w:r>
      <w:r>
        <w:rPr>
          <w:spacing w:val="2"/>
          <w:sz w:val="21"/>
        </w:rPr>
        <w:t> </w:t>
      </w:r>
      <w:r>
        <w:rPr>
          <w:sz w:val="21"/>
        </w:rPr>
        <w:t>Saran</w:t>
      </w:r>
    </w:p>
    <w:p>
      <w:pPr>
        <w:pStyle w:val="BodyText"/>
        <w:spacing w:before="5"/>
        <w:rPr>
          <w:sz w:val="31"/>
        </w:rPr>
      </w:pPr>
    </w:p>
    <w:p>
      <w:pPr>
        <w:pStyle w:val="ListParagraph"/>
        <w:numPr>
          <w:ilvl w:val="1"/>
          <w:numId w:val="21"/>
        </w:numPr>
        <w:tabs>
          <w:tab w:pos="3694" w:val="left" w:leader="none"/>
        </w:tabs>
        <w:spacing w:line="240" w:lineRule="auto" w:before="0" w:after="0"/>
        <w:ind w:left="3693" w:right="0" w:hanging="313"/>
        <w:jc w:val="left"/>
        <w:rPr>
          <w:b/>
          <w:sz w:val="21"/>
        </w:rPr>
      </w:pPr>
      <w:r>
        <w:rPr>
          <w:b/>
          <w:sz w:val="21"/>
        </w:rPr>
        <w:t>Expert Witnesses</w:t>
      </w:r>
      <w:r>
        <w:rPr>
          <w:b/>
          <w:spacing w:val="-3"/>
          <w:sz w:val="21"/>
        </w:rPr>
        <w:t> </w:t>
      </w:r>
      <w:r>
        <w:rPr>
          <w:b/>
          <w:sz w:val="21"/>
        </w:rPr>
        <w:t>(Archaeologists)</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3 Dr. S.P.</w:t>
      </w:r>
      <w:r>
        <w:rPr>
          <w:spacing w:val="1"/>
          <w:sz w:val="21"/>
        </w:rPr>
        <w:t> </w:t>
      </w:r>
      <w:r>
        <w:rPr>
          <w:sz w:val="21"/>
        </w:rPr>
        <w:t>Gupta</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14 Dr. Rakesh</w:t>
      </w:r>
      <w:r>
        <w:rPr>
          <w:spacing w:val="5"/>
          <w:sz w:val="21"/>
        </w:rPr>
        <w:t> </w:t>
      </w:r>
      <w:r>
        <w:rPr>
          <w:sz w:val="21"/>
        </w:rPr>
        <w:t>Tewari</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17 Dr. R.</w:t>
      </w:r>
      <w:r>
        <w:rPr>
          <w:spacing w:val="5"/>
          <w:sz w:val="21"/>
        </w:rPr>
        <w:t> </w:t>
      </w:r>
      <w:r>
        <w:rPr>
          <w:sz w:val="21"/>
        </w:rPr>
        <w:t>Nagaswami</w:t>
      </w:r>
    </w:p>
    <w:p>
      <w:pPr>
        <w:pStyle w:val="ListParagraph"/>
        <w:numPr>
          <w:ilvl w:val="0"/>
          <w:numId w:val="23"/>
        </w:numPr>
        <w:tabs>
          <w:tab w:pos="3438" w:val="left" w:leader="none"/>
          <w:tab w:pos="3439" w:val="left" w:leader="none"/>
        </w:tabs>
        <w:spacing w:line="240" w:lineRule="auto" w:before="121" w:after="0"/>
        <w:ind w:left="3438" w:right="0" w:hanging="779"/>
        <w:jc w:val="left"/>
        <w:rPr>
          <w:sz w:val="21"/>
        </w:rPr>
      </w:pPr>
      <w:r>
        <w:rPr>
          <w:spacing w:val="-3"/>
          <w:sz w:val="21"/>
        </w:rPr>
        <w:t>OPW </w:t>
      </w:r>
      <w:r>
        <w:rPr>
          <w:sz w:val="21"/>
        </w:rPr>
        <w:t>18 Sri Arun Kumar</w:t>
      </w:r>
      <w:r>
        <w:rPr>
          <w:spacing w:val="2"/>
          <w:sz w:val="21"/>
        </w:rPr>
        <w:t> </w:t>
      </w:r>
      <w:r>
        <w:rPr>
          <w:sz w:val="21"/>
        </w:rPr>
        <w:t>Sharma</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19 Sri Rakesh Dutta</w:t>
      </w:r>
      <w:r>
        <w:rPr>
          <w:spacing w:val="-8"/>
          <w:sz w:val="21"/>
        </w:rPr>
        <w:t> </w:t>
      </w:r>
      <w:r>
        <w:rPr>
          <w:sz w:val="21"/>
        </w:rPr>
        <w:t>Trivedi</w:t>
      </w:r>
    </w:p>
    <w:p>
      <w:pPr>
        <w:pStyle w:val="BodyText"/>
        <w:spacing w:before="4"/>
        <w:rPr>
          <w:sz w:val="31"/>
        </w:rPr>
      </w:pPr>
    </w:p>
    <w:p>
      <w:pPr>
        <w:pStyle w:val="ListParagraph"/>
        <w:numPr>
          <w:ilvl w:val="1"/>
          <w:numId w:val="21"/>
        </w:numPr>
        <w:tabs>
          <w:tab w:pos="3754" w:val="left" w:leader="none"/>
        </w:tabs>
        <w:spacing w:line="240" w:lineRule="auto" w:before="0" w:after="0"/>
        <w:ind w:left="3753" w:right="0" w:hanging="373"/>
        <w:jc w:val="left"/>
        <w:rPr>
          <w:b/>
          <w:sz w:val="21"/>
        </w:rPr>
      </w:pPr>
      <w:r>
        <w:rPr>
          <w:b/>
          <w:sz w:val="21"/>
        </w:rPr>
        <w:t>Expert Witness (Epigraphist and</w:t>
      </w:r>
      <w:r>
        <w:rPr>
          <w:b/>
          <w:spacing w:val="-4"/>
          <w:sz w:val="21"/>
        </w:rPr>
        <w:t> </w:t>
      </w:r>
      <w:r>
        <w:rPr>
          <w:b/>
          <w:sz w:val="21"/>
        </w:rPr>
        <w:t>Historian)</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9 Dr. T.P.</w:t>
      </w:r>
      <w:r>
        <w:rPr>
          <w:spacing w:val="1"/>
          <w:sz w:val="21"/>
        </w:rPr>
        <w:t> </w:t>
      </w:r>
      <w:r>
        <w:rPr>
          <w:sz w:val="21"/>
        </w:rPr>
        <w:t>Verma</w:t>
      </w:r>
    </w:p>
    <w:p>
      <w:pPr>
        <w:pStyle w:val="BodyText"/>
        <w:spacing w:before="7"/>
        <w:rPr>
          <w:sz w:val="31"/>
        </w:rPr>
      </w:pPr>
    </w:p>
    <w:p>
      <w:pPr>
        <w:pStyle w:val="ListParagraph"/>
        <w:numPr>
          <w:ilvl w:val="1"/>
          <w:numId w:val="21"/>
        </w:numPr>
        <w:tabs>
          <w:tab w:pos="3777" w:val="left" w:leader="none"/>
        </w:tabs>
        <w:spacing w:line="240" w:lineRule="auto" w:before="0" w:after="0"/>
        <w:ind w:left="3776" w:right="0" w:hanging="396"/>
        <w:jc w:val="left"/>
        <w:rPr>
          <w:b/>
          <w:sz w:val="21"/>
        </w:rPr>
      </w:pPr>
      <w:r>
        <w:rPr>
          <w:b/>
          <w:sz w:val="21"/>
        </w:rPr>
        <w:t>Expert Witnesses</w:t>
      </w:r>
      <w:r>
        <w:rPr>
          <w:b/>
          <w:spacing w:val="-2"/>
          <w:sz w:val="21"/>
        </w:rPr>
        <w:t> </w:t>
      </w:r>
      <w:r>
        <w:rPr>
          <w:b/>
          <w:sz w:val="21"/>
        </w:rPr>
        <w:t>(Epigraphist)</w:t>
      </w:r>
    </w:p>
    <w:p>
      <w:pPr>
        <w:pStyle w:val="ListParagraph"/>
        <w:numPr>
          <w:ilvl w:val="0"/>
          <w:numId w:val="23"/>
        </w:numPr>
        <w:tabs>
          <w:tab w:pos="3438" w:val="left" w:leader="none"/>
          <w:tab w:pos="3439" w:val="left" w:leader="none"/>
        </w:tabs>
        <w:spacing w:line="240" w:lineRule="auto" w:before="121" w:after="0"/>
        <w:ind w:left="3438" w:right="0" w:hanging="779"/>
        <w:jc w:val="left"/>
        <w:rPr>
          <w:sz w:val="21"/>
        </w:rPr>
      </w:pPr>
      <w:r>
        <w:rPr>
          <w:spacing w:val="-3"/>
          <w:sz w:val="21"/>
        </w:rPr>
        <w:t>OPW </w:t>
      </w:r>
      <w:r>
        <w:rPr>
          <w:sz w:val="21"/>
        </w:rPr>
        <w:t>10 Dr. Voluvyl Vyasarayasastri</w:t>
      </w:r>
      <w:r>
        <w:rPr>
          <w:spacing w:val="-2"/>
          <w:sz w:val="21"/>
        </w:rPr>
        <w:t> </w:t>
      </w:r>
      <w:r>
        <w:rPr>
          <w:sz w:val="21"/>
        </w:rPr>
        <w:t>Ramesh</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15 Dr. M.N.</w:t>
      </w:r>
      <w:r>
        <w:rPr>
          <w:spacing w:val="-1"/>
          <w:sz w:val="21"/>
        </w:rPr>
        <w:t> </w:t>
      </w:r>
      <w:r>
        <w:rPr>
          <w:sz w:val="21"/>
        </w:rPr>
        <w:t>Katti</w:t>
      </w:r>
    </w:p>
    <w:p>
      <w:pPr>
        <w:pStyle w:val="BodyText"/>
        <w:rPr>
          <w:sz w:val="24"/>
        </w:rPr>
      </w:pPr>
    </w:p>
    <w:p>
      <w:pPr>
        <w:pStyle w:val="BodyText"/>
        <w:rPr>
          <w:sz w:val="24"/>
        </w:rPr>
      </w:pPr>
    </w:p>
    <w:p>
      <w:pPr>
        <w:pStyle w:val="BodyText"/>
        <w:rPr>
          <w:sz w:val="24"/>
        </w:rPr>
      </w:pPr>
    </w:p>
    <w:p>
      <w:pPr>
        <w:pStyle w:val="BodyText"/>
        <w:spacing w:before="10"/>
        <w:rPr>
          <w:sz w:val="32"/>
        </w:rPr>
      </w:pPr>
    </w:p>
    <w:p>
      <w:pPr>
        <w:pStyle w:val="ListParagraph"/>
        <w:numPr>
          <w:ilvl w:val="1"/>
          <w:numId w:val="21"/>
        </w:numPr>
        <w:tabs>
          <w:tab w:pos="3720" w:val="left" w:leader="none"/>
        </w:tabs>
        <w:spacing w:line="240" w:lineRule="auto" w:before="0" w:after="0"/>
        <w:ind w:left="3719" w:right="0" w:hanging="339"/>
        <w:jc w:val="left"/>
        <w:rPr>
          <w:b/>
          <w:sz w:val="21"/>
        </w:rPr>
      </w:pPr>
      <w:r>
        <w:rPr>
          <w:b/>
          <w:sz w:val="21"/>
        </w:rPr>
        <w:t>Expert Witnesses</w:t>
      </w:r>
      <w:r>
        <w:rPr>
          <w:b/>
          <w:spacing w:val="-4"/>
          <w:sz w:val="21"/>
        </w:rPr>
        <w:t> </w:t>
      </w:r>
      <w:r>
        <w:rPr>
          <w:b/>
          <w:sz w:val="21"/>
        </w:rPr>
        <w:t>(Historians)</w:t>
      </w:r>
    </w:p>
    <w:p>
      <w:pPr>
        <w:pStyle w:val="ListParagraph"/>
        <w:numPr>
          <w:ilvl w:val="0"/>
          <w:numId w:val="23"/>
        </w:numPr>
        <w:tabs>
          <w:tab w:pos="3380" w:val="left" w:leader="none"/>
          <w:tab w:pos="3381" w:val="left" w:leader="none"/>
        </w:tabs>
        <w:spacing w:line="240" w:lineRule="auto" w:before="121" w:after="0"/>
        <w:ind w:left="3381" w:right="0" w:hanging="721"/>
        <w:jc w:val="left"/>
        <w:rPr>
          <w:sz w:val="21"/>
        </w:rPr>
      </w:pPr>
      <w:r>
        <w:rPr>
          <w:spacing w:val="-3"/>
          <w:sz w:val="21"/>
        </w:rPr>
        <w:t>OPW </w:t>
      </w:r>
      <w:r>
        <w:rPr>
          <w:sz w:val="21"/>
        </w:rPr>
        <w:t>11 Dr. Satish Chandra</w:t>
      </w:r>
      <w:r>
        <w:rPr>
          <w:spacing w:val="-1"/>
          <w:sz w:val="21"/>
        </w:rPr>
        <w:t> </w:t>
      </w:r>
      <w:r>
        <w:rPr>
          <w:sz w:val="21"/>
        </w:rPr>
        <w:t>Mittal</w:t>
      </w:r>
    </w:p>
    <w:p>
      <w:pPr>
        <w:pStyle w:val="BodyText"/>
        <w:rPr>
          <w:sz w:val="24"/>
        </w:rPr>
      </w:pPr>
    </w:p>
    <w:p>
      <w:pPr>
        <w:pStyle w:val="ListParagraph"/>
        <w:numPr>
          <w:ilvl w:val="1"/>
          <w:numId w:val="21"/>
        </w:numPr>
        <w:tabs>
          <w:tab w:pos="3777" w:val="left" w:leader="none"/>
        </w:tabs>
        <w:spacing w:line="240" w:lineRule="auto" w:before="207" w:after="0"/>
        <w:ind w:left="3776" w:right="0" w:hanging="396"/>
        <w:jc w:val="left"/>
        <w:rPr>
          <w:b/>
          <w:sz w:val="21"/>
        </w:rPr>
      </w:pPr>
      <w:r>
        <w:rPr>
          <w:b/>
          <w:sz w:val="21"/>
        </w:rPr>
        <w:t>Expert Witnesses (Religious</w:t>
      </w:r>
      <w:r>
        <w:rPr>
          <w:b/>
          <w:spacing w:val="-2"/>
          <w:sz w:val="21"/>
        </w:rPr>
        <w:t> </w:t>
      </w:r>
      <w:r>
        <w:rPr>
          <w:b/>
          <w:sz w:val="21"/>
        </w:rPr>
        <w:t>matters)</w:t>
      </w:r>
    </w:p>
    <w:p>
      <w:pPr>
        <w:pStyle w:val="ListParagraph"/>
        <w:numPr>
          <w:ilvl w:val="0"/>
          <w:numId w:val="23"/>
        </w:numPr>
        <w:tabs>
          <w:tab w:pos="3380" w:val="left" w:leader="none"/>
          <w:tab w:pos="3381" w:val="left" w:leader="none"/>
        </w:tabs>
        <w:spacing w:line="360" w:lineRule="auto" w:before="121" w:after="0"/>
        <w:ind w:left="3381" w:right="2904" w:hanging="721"/>
        <w:jc w:val="left"/>
        <w:rPr>
          <w:sz w:val="21"/>
        </w:rPr>
      </w:pPr>
      <w:r>
        <w:rPr>
          <w:spacing w:val="-3"/>
          <w:sz w:val="21"/>
        </w:rPr>
        <w:t>OPW </w:t>
      </w:r>
      <w:r>
        <w:rPr>
          <w:sz w:val="21"/>
        </w:rPr>
        <w:t>16 Jagadguru Ramanandacharya Swami Ram</w:t>
      </w:r>
      <w:r>
        <w:rPr>
          <w:spacing w:val="-5"/>
          <w:sz w:val="21"/>
        </w:rPr>
        <w:t> </w:t>
      </w:r>
      <w:r>
        <w:rPr>
          <w:sz w:val="21"/>
        </w:rPr>
        <w:t>Bhadracharya</w:t>
      </w:r>
    </w:p>
    <w:p>
      <w:pPr>
        <w:pStyle w:val="BodyText"/>
        <w:spacing w:before="7"/>
        <w:rPr>
          <w:sz w:val="31"/>
        </w:rPr>
      </w:pPr>
    </w:p>
    <w:p>
      <w:pPr>
        <w:pStyle w:val="ListParagraph"/>
        <w:numPr>
          <w:ilvl w:val="0"/>
          <w:numId w:val="21"/>
        </w:numPr>
        <w:tabs>
          <w:tab w:pos="2409" w:val="left" w:leader="none"/>
        </w:tabs>
        <w:spacing w:line="240" w:lineRule="auto" w:before="0" w:after="0"/>
        <w:ind w:left="2408" w:right="0" w:hanging="469"/>
        <w:jc w:val="left"/>
        <w:rPr>
          <w:b/>
          <w:sz w:val="21"/>
        </w:rPr>
      </w:pPr>
      <w:r>
        <w:rPr>
          <w:b/>
          <w:sz w:val="21"/>
        </w:rPr>
        <w:t>(c) Witnesses produced in Suit-1 by Plaintiff</w:t>
      </w:r>
      <w:r>
        <w:rPr>
          <w:b/>
          <w:spacing w:val="-14"/>
          <w:sz w:val="21"/>
        </w:rPr>
        <w:t> </w:t>
      </w:r>
      <w:r>
        <w:rPr>
          <w:b/>
          <w:sz w:val="21"/>
        </w:rPr>
        <w:t>:</w:t>
      </w:r>
    </w:p>
    <w:p>
      <w:pPr>
        <w:pStyle w:val="BodyText"/>
        <w:spacing w:before="5"/>
        <w:rPr>
          <w:b/>
          <w:sz w:val="31"/>
        </w:rPr>
      </w:pPr>
    </w:p>
    <w:p>
      <w:pPr>
        <w:pStyle w:val="ListParagraph"/>
        <w:numPr>
          <w:ilvl w:val="1"/>
          <w:numId w:val="21"/>
        </w:numPr>
        <w:tabs>
          <w:tab w:pos="3636" w:val="left" w:leader="none"/>
        </w:tabs>
        <w:spacing w:line="240" w:lineRule="auto" w:before="0" w:after="0"/>
        <w:ind w:left="3635" w:right="0" w:hanging="255"/>
        <w:jc w:val="left"/>
        <w:rPr>
          <w:b/>
          <w:sz w:val="21"/>
        </w:rPr>
      </w:pPr>
      <w:r>
        <w:rPr>
          <w:b/>
          <w:sz w:val="21"/>
        </w:rPr>
        <w:t>Witness of facts</w:t>
      </w:r>
      <w:r>
        <w:rPr>
          <w:b/>
          <w:spacing w:val="-6"/>
          <w:sz w:val="21"/>
        </w:rPr>
        <w:t> </w:t>
      </w:r>
      <w:r>
        <w:rPr>
          <w:b/>
          <w:sz w:val="21"/>
        </w:rPr>
        <w:t>:</w:t>
      </w:r>
    </w:p>
    <w:p>
      <w:pPr>
        <w:pStyle w:val="ListParagraph"/>
        <w:numPr>
          <w:ilvl w:val="0"/>
          <w:numId w:val="24"/>
        </w:numPr>
        <w:tabs>
          <w:tab w:pos="3380" w:val="left" w:leader="none"/>
          <w:tab w:pos="3381" w:val="left" w:leader="none"/>
        </w:tabs>
        <w:spacing w:line="240" w:lineRule="auto" w:before="121" w:after="0"/>
        <w:ind w:left="3381" w:right="0" w:hanging="721"/>
        <w:jc w:val="left"/>
        <w:rPr>
          <w:sz w:val="21"/>
        </w:rPr>
      </w:pPr>
      <w:r>
        <w:rPr>
          <w:sz w:val="21"/>
        </w:rPr>
        <w:t>DW 1/1 Sri Rajendra</w:t>
      </w:r>
      <w:r>
        <w:rPr>
          <w:spacing w:val="-3"/>
          <w:sz w:val="21"/>
        </w:rPr>
        <w:t> </w:t>
      </w:r>
      <w:r>
        <w:rPr>
          <w:sz w:val="21"/>
        </w:rPr>
        <w:t>Singh</w:t>
      </w:r>
    </w:p>
    <w:p>
      <w:pPr>
        <w:pStyle w:val="ListParagraph"/>
        <w:numPr>
          <w:ilvl w:val="0"/>
          <w:numId w:val="24"/>
        </w:numPr>
        <w:tabs>
          <w:tab w:pos="3380" w:val="left" w:leader="none"/>
          <w:tab w:pos="3381" w:val="left" w:leader="none"/>
        </w:tabs>
        <w:spacing w:line="240" w:lineRule="auto" w:before="121" w:after="0"/>
        <w:ind w:left="3381" w:right="0" w:hanging="721"/>
        <w:jc w:val="left"/>
        <w:rPr>
          <w:sz w:val="21"/>
        </w:rPr>
      </w:pPr>
      <w:r>
        <w:rPr>
          <w:sz w:val="21"/>
        </w:rPr>
        <w:t>DW 1/2 Sri Krishna Chandra</w:t>
      </w:r>
      <w:r>
        <w:rPr>
          <w:spacing w:val="-5"/>
          <w:sz w:val="21"/>
        </w:rPr>
        <w:t> </w:t>
      </w:r>
      <w:r>
        <w:rPr>
          <w:sz w:val="21"/>
        </w:rPr>
        <w:t>Singh</w:t>
      </w:r>
    </w:p>
    <w:p>
      <w:pPr>
        <w:pStyle w:val="ListParagraph"/>
        <w:numPr>
          <w:ilvl w:val="0"/>
          <w:numId w:val="24"/>
        </w:numPr>
        <w:tabs>
          <w:tab w:pos="3380" w:val="left" w:leader="none"/>
          <w:tab w:pos="3381" w:val="left" w:leader="none"/>
        </w:tabs>
        <w:spacing w:line="240" w:lineRule="auto" w:before="121" w:after="0"/>
        <w:ind w:left="3381" w:right="0" w:hanging="721"/>
        <w:jc w:val="left"/>
        <w:rPr>
          <w:sz w:val="21"/>
        </w:rPr>
      </w:pPr>
      <w:r>
        <w:rPr>
          <w:sz w:val="21"/>
        </w:rPr>
        <w:t>DW 1/3 Sri Sahdeo Prasad</w:t>
      </w:r>
      <w:r>
        <w:rPr>
          <w:spacing w:val="-4"/>
          <w:sz w:val="21"/>
        </w:rPr>
        <w:t> </w:t>
      </w:r>
      <w:r>
        <w:rPr>
          <w:sz w:val="21"/>
        </w:rPr>
        <w:t>Dubey</w:t>
      </w:r>
    </w:p>
    <w:p>
      <w:pPr>
        <w:pStyle w:val="BodyText"/>
        <w:rPr>
          <w:sz w:val="24"/>
        </w:rPr>
      </w:pPr>
    </w:p>
    <w:p>
      <w:pPr>
        <w:pStyle w:val="ListParagraph"/>
        <w:numPr>
          <w:ilvl w:val="0"/>
          <w:numId w:val="21"/>
        </w:numPr>
        <w:tabs>
          <w:tab w:pos="2409" w:val="left" w:leader="none"/>
        </w:tabs>
        <w:spacing w:line="240" w:lineRule="auto" w:before="207" w:after="0"/>
        <w:ind w:left="2408" w:right="0" w:hanging="469"/>
        <w:jc w:val="left"/>
        <w:rPr>
          <w:b/>
          <w:sz w:val="21"/>
        </w:rPr>
      </w:pPr>
      <w:r>
        <w:rPr>
          <w:b/>
          <w:sz w:val="21"/>
        </w:rPr>
        <w:t>(d) Witnesses produced in Suit-3 of 1989 by</w:t>
      </w:r>
      <w:r>
        <w:rPr>
          <w:b/>
          <w:spacing w:val="-14"/>
          <w:sz w:val="21"/>
        </w:rPr>
        <w:t> </w:t>
      </w:r>
      <w:r>
        <w:rPr>
          <w:b/>
          <w:sz w:val="21"/>
        </w:rPr>
        <w:t>Plaintiff:</w:t>
      </w:r>
    </w:p>
    <w:p>
      <w:pPr>
        <w:pStyle w:val="BodyText"/>
        <w:spacing w:before="7"/>
        <w:rPr>
          <w:b/>
          <w:sz w:val="31"/>
        </w:rPr>
      </w:pPr>
    </w:p>
    <w:p>
      <w:pPr>
        <w:pStyle w:val="ListParagraph"/>
        <w:numPr>
          <w:ilvl w:val="1"/>
          <w:numId w:val="21"/>
        </w:numPr>
        <w:tabs>
          <w:tab w:pos="3636" w:val="left" w:leader="none"/>
        </w:tabs>
        <w:spacing w:line="240" w:lineRule="auto" w:before="0" w:after="0"/>
        <w:ind w:left="3635" w:right="0" w:hanging="255"/>
        <w:jc w:val="left"/>
        <w:rPr>
          <w:b/>
          <w:sz w:val="21"/>
        </w:rPr>
      </w:pPr>
      <w:r>
        <w:rPr>
          <w:b/>
          <w:sz w:val="21"/>
        </w:rPr>
        <w:t>Witness of facts</w:t>
      </w:r>
      <w:r>
        <w:rPr>
          <w:b/>
          <w:spacing w:val="-6"/>
          <w:sz w:val="21"/>
        </w:rPr>
        <w:t> </w:t>
      </w:r>
      <w:r>
        <w:rPr>
          <w:b/>
          <w:sz w:val="21"/>
        </w:rPr>
        <w:t>:</w:t>
      </w:r>
    </w:p>
    <w:p>
      <w:pPr>
        <w:spacing w:after="0" w:line="240" w:lineRule="auto"/>
        <w:jc w:val="left"/>
        <w:rPr>
          <w:sz w:val="21"/>
        </w:rPr>
        <w:sectPr>
          <w:pgSz w:w="11910" w:h="16840"/>
          <w:pgMar w:header="721" w:footer="1014" w:top="1300" w:bottom="1200" w:left="940" w:right="1000"/>
        </w:sectPr>
      </w:pPr>
    </w:p>
    <w:p>
      <w:pPr>
        <w:pStyle w:val="ListParagraph"/>
        <w:numPr>
          <w:ilvl w:val="0"/>
          <w:numId w:val="25"/>
        </w:numPr>
        <w:tabs>
          <w:tab w:pos="3438" w:val="left" w:leader="none"/>
          <w:tab w:pos="3439" w:val="left" w:leader="none"/>
        </w:tabs>
        <w:spacing w:line="240" w:lineRule="auto" w:before="122" w:after="0"/>
        <w:ind w:left="3438" w:right="0" w:hanging="779"/>
        <w:jc w:val="left"/>
        <w:rPr>
          <w:sz w:val="21"/>
        </w:rPr>
      </w:pPr>
      <w:r>
        <w:rPr>
          <w:sz w:val="21"/>
        </w:rPr>
        <w:t>DW 3/1 Mahant Bhaskar</w:t>
      </w:r>
      <w:r>
        <w:rPr>
          <w:spacing w:val="-3"/>
          <w:sz w:val="21"/>
        </w:rPr>
        <w:t> </w:t>
      </w:r>
      <w:r>
        <w:rPr>
          <w:sz w:val="21"/>
        </w:rPr>
        <w:t>Das</w:t>
      </w:r>
    </w:p>
    <w:p>
      <w:pPr>
        <w:pStyle w:val="ListParagraph"/>
        <w:numPr>
          <w:ilvl w:val="0"/>
          <w:numId w:val="25"/>
        </w:numPr>
        <w:tabs>
          <w:tab w:pos="3438" w:val="left" w:leader="none"/>
          <w:tab w:pos="3439" w:val="left" w:leader="none"/>
        </w:tabs>
        <w:spacing w:line="240" w:lineRule="auto" w:before="122" w:after="0"/>
        <w:ind w:left="3438" w:right="0" w:hanging="779"/>
        <w:jc w:val="left"/>
        <w:rPr>
          <w:sz w:val="21"/>
        </w:rPr>
      </w:pPr>
      <w:r>
        <w:rPr>
          <w:sz w:val="21"/>
        </w:rPr>
        <w:t>DW 3/2 Sri Raja Ram</w:t>
      </w:r>
      <w:r>
        <w:rPr>
          <w:spacing w:val="-5"/>
          <w:sz w:val="21"/>
        </w:rPr>
        <w:t> </w:t>
      </w:r>
      <w:r>
        <w:rPr>
          <w:sz w:val="21"/>
        </w:rPr>
        <w:t>Pandey</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3/3 Sri Satya Narain</w:t>
      </w:r>
      <w:r>
        <w:rPr>
          <w:spacing w:val="-1"/>
          <w:sz w:val="21"/>
        </w:rPr>
        <w:t> </w:t>
      </w:r>
      <w:r>
        <w:rPr>
          <w:sz w:val="21"/>
        </w:rPr>
        <w:t>Tripathi</w:t>
      </w:r>
    </w:p>
    <w:p>
      <w:pPr>
        <w:pStyle w:val="ListParagraph"/>
        <w:numPr>
          <w:ilvl w:val="0"/>
          <w:numId w:val="25"/>
        </w:numPr>
        <w:tabs>
          <w:tab w:pos="3438" w:val="left" w:leader="none"/>
          <w:tab w:pos="3439" w:val="left" w:leader="none"/>
        </w:tabs>
        <w:spacing w:line="240" w:lineRule="auto" w:before="120" w:after="0"/>
        <w:ind w:left="3438" w:right="0" w:hanging="779"/>
        <w:jc w:val="left"/>
        <w:rPr>
          <w:sz w:val="21"/>
        </w:rPr>
      </w:pPr>
      <w:r>
        <w:rPr>
          <w:sz w:val="21"/>
        </w:rPr>
        <w:t>DW 3/4 Mahant Shiv Saran</w:t>
      </w:r>
      <w:r>
        <w:rPr>
          <w:spacing w:val="-6"/>
          <w:sz w:val="21"/>
        </w:rPr>
        <w:t> </w:t>
      </w:r>
      <w:r>
        <w:rPr>
          <w:sz w:val="21"/>
        </w:rPr>
        <w:t>Das</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3/5 Sri Raghunath Prasad</w:t>
      </w:r>
      <w:r>
        <w:rPr>
          <w:spacing w:val="-5"/>
          <w:sz w:val="21"/>
        </w:rPr>
        <w:t> </w:t>
      </w:r>
      <w:r>
        <w:rPr>
          <w:sz w:val="21"/>
        </w:rPr>
        <w:t>Pandey</w:t>
      </w:r>
    </w:p>
    <w:p>
      <w:pPr>
        <w:pStyle w:val="ListParagraph"/>
        <w:numPr>
          <w:ilvl w:val="0"/>
          <w:numId w:val="25"/>
        </w:numPr>
        <w:tabs>
          <w:tab w:pos="3438" w:val="left" w:leader="none"/>
          <w:tab w:pos="3439" w:val="left" w:leader="none"/>
        </w:tabs>
        <w:spacing w:line="240" w:lineRule="auto" w:before="121" w:after="0"/>
        <w:ind w:left="3438" w:right="0" w:hanging="721"/>
        <w:jc w:val="left"/>
        <w:rPr>
          <w:sz w:val="21"/>
        </w:rPr>
      </w:pPr>
      <w:r>
        <w:rPr>
          <w:sz w:val="21"/>
        </w:rPr>
        <w:t>DW 3/6 Sri Sita Ram Yadav</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3/7 Mahant Ramji</w:t>
      </w:r>
      <w:r>
        <w:rPr>
          <w:spacing w:val="-1"/>
          <w:sz w:val="21"/>
        </w:rPr>
        <w:t> </w:t>
      </w:r>
      <w:r>
        <w:rPr>
          <w:sz w:val="21"/>
        </w:rPr>
        <w:t>Das</w:t>
      </w:r>
    </w:p>
    <w:p>
      <w:pPr>
        <w:pStyle w:val="ListParagraph"/>
        <w:numPr>
          <w:ilvl w:val="0"/>
          <w:numId w:val="25"/>
        </w:numPr>
        <w:tabs>
          <w:tab w:pos="3438" w:val="left" w:leader="none"/>
          <w:tab w:pos="3439" w:val="left" w:leader="none"/>
        </w:tabs>
        <w:spacing w:line="240" w:lineRule="auto" w:before="119" w:after="0"/>
        <w:ind w:left="3438" w:right="0" w:hanging="719"/>
        <w:jc w:val="left"/>
        <w:rPr>
          <w:sz w:val="21"/>
        </w:rPr>
      </w:pPr>
      <w:r>
        <w:rPr>
          <w:sz w:val="21"/>
        </w:rPr>
        <w:t>DW 3/8 Pt. Shyam Sundar Mishra @ Barkau</w:t>
      </w:r>
      <w:r>
        <w:rPr>
          <w:spacing w:val="-8"/>
          <w:sz w:val="21"/>
        </w:rPr>
        <w:t> </w:t>
      </w:r>
      <w:r>
        <w:rPr>
          <w:sz w:val="21"/>
        </w:rPr>
        <w:t>Mahraj</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3/9 Sri Ram Ashrey</w:t>
      </w:r>
      <w:r>
        <w:rPr>
          <w:spacing w:val="-3"/>
          <w:sz w:val="21"/>
        </w:rPr>
        <w:t> </w:t>
      </w:r>
      <w:r>
        <w:rPr>
          <w:sz w:val="21"/>
        </w:rPr>
        <w:t>Yadav</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3/11 Sri Bhanu Pratap</w:t>
      </w:r>
      <w:r>
        <w:rPr>
          <w:spacing w:val="-3"/>
          <w:sz w:val="21"/>
        </w:rPr>
        <w:t> </w:t>
      </w:r>
      <w:r>
        <w:rPr>
          <w:sz w:val="21"/>
        </w:rPr>
        <w:t>Singh</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3/12 Sri Ram Akshaibar</w:t>
      </w:r>
      <w:r>
        <w:rPr>
          <w:spacing w:val="-6"/>
          <w:sz w:val="21"/>
        </w:rPr>
        <w:t> </w:t>
      </w:r>
      <w:r>
        <w:rPr>
          <w:sz w:val="21"/>
        </w:rPr>
        <w:t>Pandey</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3/13 Mahant Ram Subhag</w:t>
      </w:r>
      <w:r>
        <w:rPr>
          <w:spacing w:val="-6"/>
          <w:sz w:val="21"/>
        </w:rPr>
        <w:t> </w:t>
      </w:r>
      <w:r>
        <w:rPr>
          <w:sz w:val="21"/>
        </w:rPr>
        <w:t>Shashtri</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3/15 Narendra Bahadur</w:t>
      </w:r>
      <w:r>
        <w:rPr>
          <w:spacing w:val="-3"/>
          <w:sz w:val="21"/>
        </w:rPr>
        <w:t> </w:t>
      </w:r>
      <w:r>
        <w:rPr>
          <w:sz w:val="21"/>
        </w:rPr>
        <w:t>Singh</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3/16 Sri Shiv Bhikh</w:t>
      </w:r>
      <w:r>
        <w:rPr>
          <w:spacing w:val="-9"/>
          <w:sz w:val="21"/>
        </w:rPr>
        <w:t> </w:t>
      </w:r>
      <w:r>
        <w:rPr>
          <w:sz w:val="21"/>
        </w:rPr>
        <w:t>Singh</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3/17 Sri Mata Badal</w:t>
      </w:r>
      <w:r>
        <w:rPr>
          <w:spacing w:val="-4"/>
          <w:sz w:val="21"/>
        </w:rPr>
        <w:t> </w:t>
      </w:r>
      <w:r>
        <w:rPr>
          <w:sz w:val="21"/>
        </w:rPr>
        <w:t>Tewari</w:t>
      </w:r>
    </w:p>
    <w:p>
      <w:pPr>
        <w:pStyle w:val="ListParagraph"/>
        <w:numPr>
          <w:ilvl w:val="0"/>
          <w:numId w:val="25"/>
        </w:numPr>
        <w:tabs>
          <w:tab w:pos="3438" w:val="left" w:leader="none"/>
          <w:tab w:pos="3439" w:val="left" w:leader="none"/>
        </w:tabs>
        <w:spacing w:line="240" w:lineRule="auto" w:before="121" w:after="0"/>
        <w:ind w:left="3438" w:right="0" w:hanging="719"/>
        <w:jc w:val="left"/>
        <w:rPr>
          <w:sz w:val="21"/>
        </w:rPr>
      </w:pPr>
      <w:r>
        <w:rPr>
          <w:sz w:val="21"/>
        </w:rPr>
        <w:t>DW 3/18 Sri Acharya Mahant Bansidhar Das @ Uriya</w:t>
      </w:r>
      <w:r>
        <w:rPr>
          <w:spacing w:val="-14"/>
          <w:sz w:val="21"/>
        </w:rPr>
        <w:t> </w:t>
      </w:r>
      <w:r>
        <w:rPr>
          <w:sz w:val="21"/>
        </w:rPr>
        <w:t>Baba</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3/19 Sri Ram Milan</w:t>
      </w:r>
      <w:r>
        <w:rPr>
          <w:spacing w:val="-5"/>
          <w:sz w:val="21"/>
        </w:rPr>
        <w:t> </w:t>
      </w:r>
      <w:r>
        <w:rPr>
          <w:sz w:val="21"/>
        </w:rPr>
        <w:t>Singh</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3/20 Mahant Raja</w:t>
      </w:r>
      <w:r>
        <w:rPr>
          <w:spacing w:val="-4"/>
          <w:sz w:val="21"/>
        </w:rPr>
        <w:t> </w:t>
      </w:r>
      <w:r>
        <w:rPr>
          <w:sz w:val="21"/>
        </w:rPr>
        <w:t>Ramchandr-acharya</w:t>
      </w:r>
    </w:p>
    <w:p>
      <w:pPr>
        <w:pStyle w:val="BodyText"/>
        <w:spacing w:before="4"/>
        <w:rPr>
          <w:sz w:val="31"/>
        </w:rPr>
      </w:pPr>
    </w:p>
    <w:p>
      <w:pPr>
        <w:pStyle w:val="ListParagraph"/>
        <w:numPr>
          <w:ilvl w:val="1"/>
          <w:numId w:val="21"/>
        </w:numPr>
        <w:tabs>
          <w:tab w:pos="3694" w:val="left" w:leader="none"/>
        </w:tabs>
        <w:spacing w:line="240" w:lineRule="auto" w:before="0" w:after="0"/>
        <w:ind w:left="3693" w:right="0" w:hanging="313"/>
        <w:jc w:val="left"/>
        <w:rPr>
          <w:b/>
          <w:sz w:val="21"/>
        </w:rPr>
      </w:pPr>
      <w:r>
        <w:rPr>
          <w:b/>
          <w:sz w:val="21"/>
        </w:rPr>
        <w:t>Others</w:t>
      </w:r>
      <w:r>
        <w:rPr>
          <w:b/>
          <w:spacing w:val="-2"/>
          <w:sz w:val="21"/>
        </w:rPr>
        <w:t> </w:t>
      </w:r>
      <w:r>
        <w:rPr>
          <w:b/>
          <w:sz w:val="21"/>
        </w:rPr>
        <w:t>:</w:t>
      </w:r>
    </w:p>
    <w:p>
      <w:pPr>
        <w:pStyle w:val="ListParagraph"/>
        <w:numPr>
          <w:ilvl w:val="0"/>
          <w:numId w:val="25"/>
        </w:numPr>
        <w:tabs>
          <w:tab w:pos="3438" w:val="left" w:leader="none"/>
          <w:tab w:pos="3439" w:val="left" w:leader="none"/>
        </w:tabs>
        <w:spacing w:line="240" w:lineRule="auto" w:before="121" w:after="0"/>
        <w:ind w:left="3438" w:right="0" w:hanging="779"/>
        <w:jc w:val="left"/>
        <w:rPr>
          <w:sz w:val="21"/>
        </w:rPr>
      </w:pPr>
      <w:r>
        <w:rPr>
          <w:sz w:val="21"/>
        </w:rPr>
        <w:t>DW 3/10 Sri Pateshwari Dutt</w:t>
      </w:r>
      <w:r>
        <w:rPr>
          <w:spacing w:val="-5"/>
          <w:sz w:val="21"/>
        </w:rPr>
        <w:t> </w:t>
      </w:r>
      <w:r>
        <w:rPr>
          <w:sz w:val="21"/>
        </w:rPr>
        <w:t>Pandey</w:t>
      </w:r>
    </w:p>
    <w:p>
      <w:pPr>
        <w:pStyle w:val="ListParagraph"/>
        <w:numPr>
          <w:ilvl w:val="0"/>
          <w:numId w:val="25"/>
        </w:numPr>
        <w:tabs>
          <w:tab w:pos="3380" w:val="left" w:leader="none"/>
          <w:tab w:pos="3381" w:val="left" w:leader="none"/>
        </w:tabs>
        <w:spacing w:line="360" w:lineRule="auto" w:before="121" w:after="0"/>
        <w:ind w:left="3381" w:right="2777" w:hanging="721"/>
        <w:jc w:val="left"/>
        <w:rPr>
          <w:sz w:val="21"/>
        </w:rPr>
      </w:pPr>
      <w:r>
        <w:rPr>
          <w:sz w:val="21"/>
        </w:rPr>
        <w:t>DW 3/14 Jagad Guru Ramanandacharya Swami</w:t>
      </w:r>
      <w:r>
        <w:rPr>
          <w:spacing w:val="-4"/>
          <w:sz w:val="21"/>
        </w:rPr>
        <w:t> </w:t>
      </w:r>
      <w:r>
        <w:rPr>
          <w:sz w:val="21"/>
        </w:rPr>
        <w:t>Haryacharya</w:t>
      </w:r>
    </w:p>
    <w:p>
      <w:pPr>
        <w:pStyle w:val="BodyText"/>
        <w:spacing w:before="6"/>
        <w:rPr>
          <w:sz w:val="31"/>
        </w:rPr>
      </w:pPr>
    </w:p>
    <w:p>
      <w:pPr>
        <w:pStyle w:val="ListParagraph"/>
        <w:numPr>
          <w:ilvl w:val="0"/>
          <w:numId w:val="21"/>
        </w:numPr>
        <w:tabs>
          <w:tab w:pos="2409" w:val="left" w:leader="none"/>
        </w:tabs>
        <w:spacing w:line="240" w:lineRule="auto" w:before="1" w:after="0"/>
        <w:ind w:left="2408" w:right="0" w:hanging="469"/>
        <w:jc w:val="left"/>
        <w:rPr>
          <w:b/>
          <w:sz w:val="21"/>
        </w:rPr>
      </w:pPr>
      <w:r>
        <w:rPr>
          <w:b/>
          <w:sz w:val="21"/>
        </w:rPr>
        <w:t>(e) Witnesses produced by Defendant 2/1 in Suit-4</w:t>
      </w:r>
      <w:r>
        <w:rPr>
          <w:b/>
          <w:spacing w:val="-18"/>
          <w:sz w:val="21"/>
        </w:rPr>
        <w:t> </w:t>
      </w:r>
      <w:r>
        <w:rPr>
          <w:b/>
          <w:sz w:val="21"/>
        </w:rPr>
        <w:t>:</w:t>
      </w:r>
    </w:p>
    <w:p>
      <w:pPr>
        <w:pStyle w:val="BodyText"/>
        <w:rPr>
          <w:b/>
          <w:sz w:val="24"/>
        </w:rPr>
      </w:pPr>
    </w:p>
    <w:p>
      <w:pPr>
        <w:pStyle w:val="ListParagraph"/>
        <w:numPr>
          <w:ilvl w:val="1"/>
          <w:numId w:val="21"/>
        </w:numPr>
        <w:tabs>
          <w:tab w:pos="3636" w:val="left" w:leader="none"/>
        </w:tabs>
        <w:spacing w:line="240" w:lineRule="auto" w:before="207" w:after="0"/>
        <w:ind w:left="3635" w:right="0" w:hanging="255"/>
        <w:jc w:val="left"/>
        <w:rPr>
          <w:b/>
          <w:sz w:val="21"/>
        </w:rPr>
      </w:pPr>
      <w:r>
        <w:rPr>
          <w:b/>
          <w:sz w:val="21"/>
        </w:rPr>
        <w:t>Witness of facts</w:t>
      </w:r>
      <w:r>
        <w:rPr>
          <w:b/>
          <w:spacing w:val="-6"/>
          <w:sz w:val="21"/>
        </w:rPr>
        <w:t> </w:t>
      </w:r>
      <w:r>
        <w:rPr>
          <w:b/>
          <w:sz w:val="21"/>
        </w:rPr>
        <w:t>:</w:t>
      </w:r>
    </w:p>
    <w:p>
      <w:pPr>
        <w:pStyle w:val="ListParagraph"/>
        <w:numPr>
          <w:ilvl w:val="0"/>
          <w:numId w:val="26"/>
        </w:numPr>
        <w:tabs>
          <w:tab w:pos="3380" w:val="left" w:leader="none"/>
          <w:tab w:pos="3381" w:val="left" w:leader="none"/>
        </w:tabs>
        <w:spacing w:line="240" w:lineRule="auto" w:before="121" w:after="0"/>
        <w:ind w:left="3381" w:right="0" w:hanging="721"/>
        <w:jc w:val="left"/>
        <w:rPr>
          <w:sz w:val="21"/>
        </w:rPr>
      </w:pPr>
      <w:r>
        <w:rPr>
          <w:sz w:val="21"/>
        </w:rPr>
        <w:t>DW 2/1-3 Mahant Ram Vilas Das</w:t>
      </w:r>
      <w:r>
        <w:rPr>
          <w:spacing w:val="-5"/>
          <w:sz w:val="21"/>
        </w:rPr>
        <w:t> </w:t>
      </w:r>
      <w:r>
        <w:rPr>
          <w:sz w:val="21"/>
        </w:rPr>
        <w:t>Vedanti</w:t>
      </w:r>
    </w:p>
    <w:p>
      <w:pPr>
        <w:pStyle w:val="BodyText"/>
        <w:rPr>
          <w:sz w:val="24"/>
        </w:rPr>
      </w:pPr>
    </w:p>
    <w:p>
      <w:pPr>
        <w:pStyle w:val="ListParagraph"/>
        <w:numPr>
          <w:ilvl w:val="1"/>
          <w:numId w:val="21"/>
        </w:numPr>
        <w:tabs>
          <w:tab w:pos="3694" w:val="left" w:leader="none"/>
        </w:tabs>
        <w:spacing w:line="240" w:lineRule="auto" w:before="208" w:after="0"/>
        <w:ind w:left="3693" w:right="0" w:hanging="313"/>
        <w:jc w:val="left"/>
        <w:rPr>
          <w:b/>
          <w:sz w:val="21"/>
        </w:rPr>
      </w:pPr>
      <w:r>
        <w:rPr>
          <w:b/>
          <w:sz w:val="21"/>
        </w:rPr>
        <w:t>Others</w:t>
      </w:r>
      <w:r>
        <w:rPr>
          <w:b/>
          <w:spacing w:val="-2"/>
          <w:sz w:val="21"/>
        </w:rPr>
        <w:t> </w:t>
      </w:r>
      <w:r>
        <w:rPr>
          <w:b/>
          <w:sz w:val="21"/>
        </w:rPr>
        <w:t>:</w:t>
      </w:r>
    </w:p>
    <w:p>
      <w:pPr>
        <w:pStyle w:val="ListParagraph"/>
        <w:numPr>
          <w:ilvl w:val="0"/>
          <w:numId w:val="26"/>
        </w:numPr>
        <w:tabs>
          <w:tab w:pos="3380" w:val="left" w:leader="none"/>
          <w:tab w:pos="3381" w:val="left" w:leader="none"/>
        </w:tabs>
        <w:spacing w:line="240" w:lineRule="auto" w:before="118" w:after="0"/>
        <w:ind w:left="3381" w:right="0" w:hanging="721"/>
        <w:jc w:val="left"/>
        <w:rPr>
          <w:sz w:val="21"/>
        </w:rPr>
      </w:pPr>
      <w:r>
        <w:rPr>
          <w:sz w:val="21"/>
        </w:rPr>
        <w:t>DW 2/1-1 Sri</w:t>
      </w:r>
      <w:r>
        <w:rPr>
          <w:spacing w:val="-5"/>
          <w:sz w:val="21"/>
        </w:rPr>
        <w:t> </w:t>
      </w:r>
      <w:r>
        <w:rPr>
          <w:sz w:val="21"/>
        </w:rPr>
        <w:t>Rajendra.</w:t>
      </w:r>
    </w:p>
    <w:p>
      <w:pPr>
        <w:pStyle w:val="ListParagraph"/>
        <w:numPr>
          <w:ilvl w:val="0"/>
          <w:numId w:val="26"/>
        </w:numPr>
        <w:tabs>
          <w:tab w:pos="3380" w:val="left" w:leader="none"/>
          <w:tab w:pos="3381" w:val="left" w:leader="none"/>
        </w:tabs>
        <w:spacing w:line="240" w:lineRule="auto" w:before="121" w:after="0"/>
        <w:ind w:left="3381" w:right="0" w:hanging="721"/>
        <w:jc w:val="left"/>
        <w:rPr>
          <w:sz w:val="21"/>
        </w:rPr>
      </w:pPr>
      <w:r>
        <w:rPr>
          <w:sz w:val="21"/>
        </w:rPr>
        <w:t>DW 2/1-2 Sri Ram Saran</w:t>
      </w:r>
      <w:r>
        <w:rPr>
          <w:spacing w:val="-9"/>
          <w:sz w:val="21"/>
        </w:rPr>
        <w:t> </w:t>
      </w:r>
      <w:r>
        <w:rPr>
          <w:sz w:val="21"/>
        </w:rPr>
        <w:t>Srivastava</w:t>
      </w:r>
    </w:p>
    <w:p>
      <w:pPr>
        <w:pStyle w:val="BodyText"/>
        <w:spacing w:before="7"/>
        <w:rPr>
          <w:sz w:val="31"/>
        </w:rPr>
      </w:pPr>
    </w:p>
    <w:p>
      <w:pPr>
        <w:pStyle w:val="ListParagraph"/>
        <w:numPr>
          <w:ilvl w:val="0"/>
          <w:numId w:val="21"/>
        </w:numPr>
        <w:tabs>
          <w:tab w:pos="2409" w:val="left" w:leader="none"/>
        </w:tabs>
        <w:spacing w:line="240" w:lineRule="auto" w:before="0" w:after="0"/>
        <w:ind w:left="2408" w:right="0" w:hanging="469"/>
        <w:jc w:val="left"/>
        <w:rPr>
          <w:b/>
          <w:sz w:val="21"/>
        </w:rPr>
      </w:pPr>
      <w:r>
        <w:rPr>
          <w:b/>
          <w:sz w:val="21"/>
        </w:rPr>
        <w:t>(f) Witnesses produced by Defendant 13/1 in Suit-4</w:t>
      </w:r>
      <w:r>
        <w:rPr>
          <w:b/>
          <w:spacing w:val="-15"/>
          <w:sz w:val="21"/>
        </w:rPr>
        <w:t> </w:t>
      </w:r>
      <w:r>
        <w:rPr>
          <w:b/>
          <w:sz w:val="21"/>
        </w:rPr>
        <w:t>:</w:t>
      </w:r>
    </w:p>
    <w:p>
      <w:pPr>
        <w:pStyle w:val="ListParagraph"/>
        <w:numPr>
          <w:ilvl w:val="1"/>
          <w:numId w:val="21"/>
        </w:numPr>
        <w:tabs>
          <w:tab w:pos="3636" w:val="left" w:leader="none"/>
        </w:tabs>
        <w:spacing w:line="240" w:lineRule="auto" w:before="121" w:after="0"/>
        <w:ind w:left="3635" w:right="0" w:hanging="255"/>
        <w:jc w:val="left"/>
        <w:rPr>
          <w:b/>
          <w:sz w:val="21"/>
        </w:rPr>
      </w:pPr>
      <w:r>
        <w:rPr>
          <w:b/>
          <w:sz w:val="21"/>
        </w:rPr>
        <w:t>Expert Witness (Historians)</w:t>
      </w:r>
      <w:r>
        <w:rPr>
          <w:b/>
          <w:spacing w:val="-5"/>
          <w:sz w:val="21"/>
        </w:rPr>
        <w:t> </w:t>
      </w:r>
      <w:r>
        <w:rPr>
          <w:b/>
          <w:sz w:val="21"/>
        </w:rPr>
        <w:t>:</w:t>
      </w:r>
    </w:p>
    <w:p>
      <w:pPr>
        <w:pStyle w:val="ListParagraph"/>
        <w:numPr>
          <w:ilvl w:val="0"/>
          <w:numId w:val="27"/>
        </w:numPr>
        <w:tabs>
          <w:tab w:pos="3380" w:val="left" w:leader="none"/>
          <w:tab w:pos="3381" w:val="left" w:leader="none"/>
        </w:tabs>
        <w:spacing w:line="240" w:lineRule="auto" w:before="121" w:after="0"/>
        <w:ind w:left="3381" w:right="0" w:hanging="721"/>
        <w:jc w:val="left"/>
        <w:rPr>
          <w:sz w:val="21"/>
        </w:rPr>
      </w:pPr>
      <w:r>
        <w:rPr>
          <w:sz w:val="21"/>
        </w:rPr>
        <w:t>DW 13/1-3 Dr. Bishan</w:t>
      </w:r>
      <w:r>
        <w:rPr>
          <w:spacing w:val="-2"/>
          <w:sz w:val="21"/>
        </w:rPr>
        <w:t> </w:t>
      </w:r>
      <w:r>
        <w:rPr>
          <w:sz w:val="21"/>
        </w:rPr>
        <w:t>Bahadur</w:t>
      </w:r>
    </w:p>
    <w:p>
      <w:pPr>
        <w:pStyle w:val="BodyText"/>
        <w:spacing w:before="4"/>
        <w:rPr>
          <w:sz w:val="31"/>
        </w:rPr>
      </w:pPr>
    </w:p>
    <w:p>
      <w:pPr>
        <w:pStyle w:val="ListParagraph"/>
        <w:numPr>
          <w:ilvl w:val="1"/>
          <w:numId w:val="21"/>
        </w:numPr>
        <w:tabs>
          <w:tab w:pos="3694" w:val="left" w:leader="none"/>
        </w:tabs>
        <w:spacing w:line="240" w:lineRule="auto" w:before="0" w:after="0"/>
        <w:ind w:left="3693" w:right="0" w:hanging="313"/>
        <w:jc w:val="left"/>
        <w:rPr>
          <w:b/>
          <w:sz w:val="21"/>
        </w:rPr>
      </w:pPr>
      <w:r>
        <w:rPr>
          <w:b/>
          <w:sz w:val="21"/>
        </w:rPr>
        <w:t>Others</w:t>
      </w:r>
      <w:r>
        <w:rPr>
          <w:b/>
          <w:spacing w:val="-2"/>
          <w:sz w:val="21"/>
        </w:rPr>
        <w:t> </w:t>
      </w:r>
      <w:r>
        <w:rPr>
          <w:b/>
          <w:sz w:val="21"/>
        </w:rPr>
        <w:t>:</w:t>
      </w:r>
    </w:p>
    <w:p>
      <w:pPr>
        <w:pStyle w:val="ListParagraph"/>
        <w:numPr>
          <w:ilvl w:val="0"/>
          <w:numId w:val="27"/>
        </w:numPr>
        <w:tabs>
          <w:tab w:pos="3380" w:val="left" w:leader="none"/>
          <w:tab w:pos="3381" w:val="left" w:leader="none"/>
        </w:tabs>
        <w:spacing w:line="240" w:lineRule="auto" w:before="122" w:after="0"/>
        <w:ind w:left="3381" w:right="0" w:hanging="721"/>
        <w:jc w:val="left"/>
        <w:rPr>
          <w:sz w:val="21"/>
        </w:rPr>
      </w:pPr>
      <w:r>
        <w:rPr>
          <w:sz w:val="21"/>
        </w:rPr>
        <w:t>DW 13/1-1 Mahant Dharam</w:t>
      </w:r>
      <w:r>
        <w:rPr>
          <w:spacing w:val="-3"/>
          <w:sz w:val="21"/>
        </w:rPr>
        <w:t> </w:t>
      </w:r>
      <w:r>
        <w:rPr>
          <w:sz w:val="21"/>
        </w:rPr>
        <w:t>Das</w:t>
      </w:r>
    </w:p>
    <w:p>
      <w:pPr>
        <w:spacing w:after="0" w:line="240" w:lineRule="auto"/>
        <w:jc w:val="left"/>
        <w:rPr>
          <w:sz w:val="21"/>
        </w:rPr>
        <w:sectPr>
          <w:pgSz w:w="11910" w:h="16840"/>
          <w:pgMar w:header="721" w:footer="1014" w:top="1300" w:bottom="1200" w:left="940" w:right="1000"/>
        </w:sectPr>
      </w:pPr>
    </w:p>
    <w:p>
      <w:pPr>
        <w:pStyle w:val="ListParagraph"/>
        <w:numPr>
          <w:ilvl w:val="0"/>
          <w:numId w:val="27"/>
        </w:numPr>
        <w:tabs>
          <w:tab w:pos="720" w:val="left" w:leader="none"/>
          <w:tab w:pos="3381" w:val="left" w:leader="none"/>
        </w:tabs>
        <w:spacing w:line="240" w:lineRule="auto" w:before="122" w:after="0"/>
        <w:ind w:left="3381" w:right="2379" w:hanging="3381"/>
        <w:jc w:val="right"/>
        <w:rPr>
          <w:sz w:val="21"/>
        </w:rPr>
      </w:pPr>
      <w:r>
        <w:rPr>
          <w:sz w:val="21"/>
        </w:rPr>
        <w:t>DW 13/1-2 Mahant Awadh Bihari Das</w:t>
      </w:r>
      <w:r>
        <w:rPr>
          <w:spacing w:val="-11"/>
          <w:sz w:val="21"/>
        </w:rPr>
        <w:t> </w:t>
      </w:r>
      <w:r>
        <w:rPr>
          <w:sz w:val="21"/>
        </w:rPr>
        <w:t>Pathak</w:t>
      </w:r>
    </w:p>
    <w:p>
      <w:pPr>
        <w:pStyle w:val="BodyText"/>
        <w:rPr>
          <w:sz w:val="24"/>
        </w:rPr>
      </w:pPr>
    </w:p>
    <w:p>
      <w:pPr>
        <w:pStyle w:val="ListParagraph"/>
        <w:numPr>
          <w:ilvl w:val="0"/>
          <w:numId w:val="21"/>
        </w:numPr>
        <w:tabs>
          <w:tab w:pos="2409" w:val="left" w:leader="none"/>
        </w:tabs>
        <w:spacing w:line="240" w:lineRule="auto" w:before="208" w:after="0"/>
        <w:ind w:left="2408" w:right="2478" w:hanging="2409"/>
        <w:jc w:val="right"/>
        <w:rPr>
          <w:b/>
          <w:sz w:val="21"/>
        </w:rPr>
      </w:pPr>
      <w:r>
        <w:rPr>
          <w:b/>
          <w:sz w:val="21"/>
        </w:rPr>
        <w:t>(g) Witnesses produced by Defendant 17 in Suit-4</w:t>
      </w:r>
      <w:r>
        <w:rPr>
          <w:b/>
          <w:spacing w:val="-12"/>
          <w:sz w:val="21"/>
        </w:rPr>
        <w:t> </w:t>
      </w:r>
      <w:r>
        <w:rPr>
          <w:b/>
          <w:sz w:val="21"/>
        </w:rPr>
        <w:t>:</w:t>
      </w:r>
    </w:p>
    <w:p>
      <w:pPr>
        <w:pStyle w:val="ListParagraph"/>
        <w:numPr>
          <w:ilvl w:val="1"/>
          <w:numId w:val="21"/>
        </w:numPr>
        <w:tabs>
          <w:tab w:pos="3636" w:val="left" w:leader="none"/>
        </w:tabs>
        <w:spacing w:line="240" w:lineRule="auto" w:before="121" w:after="0"/>
        <w:ind w:left="3635" w:right="0" w:hanging="255"/>
        <w:jc w:val="left"/>
        <w:rPr>
          <w:b/>
          <w:sz w:val="21"/>
        </w:rPr>
      </w:pPr>
      <w:r>
        <w:rPr>
          <w:b/>
          <w:sz w:val="21"/>
        </w:rPr>
        <w:t>Witness of facts</w:t>
      </w:r>
      <w:r>
        <w:rPr>
          <w:b/>
          <w:spacing w:val="-6"/>
          <w:sz w:val="21"/>
        </w:rPr>
        <w:t> </w:t>
      </w:r>
      <w:r>
        <w:rPr>
          <w:b/>
          <w:sz w:val="21"/>
        </w:rPr>
        <w:t>:</w:t>
      </w:r>
    </w:p>
    <w:p>
      <w:pPr>
        <w:tabs>
          <w:tab w:pos="3438" w:val="left" w:leader="none"/>
        </w:tabs>
        <w:spacing w:before="121"/>
        <w:ind w:left="2718" w:right="0" w:firstLine="0"/>
        <w:jc w:val="left"/>
        <w:rPr>
          <w:sz w:val="21"/>
        </w:rPr>
      </w:pPr>
      <w:r>
        <w:rPr>
          <w:sz w:val="21"/>
        </w:rPr>
        <w:t>1.</w:t>
        <w:tab/>
        <w:t>DW 17/1 Sri Ramesh Chandra</w:t>
      </w:r>
      <w:r>
        <w:rPr>
          <w:spacing w:val="-7"/>
          <w:sz w:val="21"/>
        </w:rPr>
        <w:t> </w:t>
      </w:r>
      <w:r>
        <w:rPr>
          <w:sz w:val="21"/>
        </w:rPr>
        <w:t>Tripathi</w:t>
      </w:r>
    </w:p>
    <w:p>
      <w:pPr>
        <w:pStyle w:val="BodyText"/>
        <w:rPr>
          <w:sz w:val="24"/>
        </w:rPr>
      </w:pPr>
    </w:p>
    <w:p>
      <w:pPr>
        <w:pStyle w:val="ListParagraph"/>
        <w:numPr>
          <w:ilvl w:val="0"/>
          <w:numId w:val="21"/>
        </w:numPr>
        <w:tabs>
          <w:tab w:pos="2409" w:val="left" w:leader="none"/>
        </w:tabs>
        <w:spacing w:line="240" w:lineRule="auto" w:before="207" w:after="0"/>
        <w:ind w:left="2408" w:right="2478" w:hanging="2409"/>
        <w:jc w:val="right"/>
        <w:rPr>
          <w:b/>
          <w:sz w:val="21"/>
        </w:rPr>
      </w:pPr>
      <w:r>
        <w:rPr>
          <w:b/>
          <w:sz w:val="21"/>
        </w:rPr>
        <w:t>(h) Witnesses produced by Defendant 20 in Suit-4</w:t>
      </w:r>
      <w:r>
        <w:rPr>
          <w:b/>
          <w:spacing w:val="-12"/>
          <w:sz w:val="21"/>
        </w:rPr>
        <w:t> </w:t>
      </w:r>
      <w:r>
        <w:rPr>
          <w:b/>
          <w:sz w:val="21"/>
        </w:rPr>
        <w:t>:</w:t>
      </w:r>
    </w:p>
    <w:p>
      <w:pPr>
        <w:pStyle w:val="BodyText"/>
        <w:spacing w:before="4"/>
        <w:rPr>
          <w:b/>
          <w:sz w:val="31"/>
        </w:rPr>
      </w:pPr>
    </w:p>
    <w:p>
      <w:pPr>
        <w:pStyle w:val="ListParagraph"/>
        <w:numPr>
          <w:ilvl w:val="1"/>
          <w:numId w:val="21"/>
        </w:numPr>
        <w:tabs>
          <w:tab w:pos="3636" w:val="left" w:leader="none"/>
        </w:tabs>
        <w:spacing w:line="240" w:lineRule="auto" w:before="1" w:after="0"/>
        <w:ind w:left="3635" w:right="0" w:hanging="255"/>
        <w:jc w:val="left"/>
        <w:rPr>
          <w:b/>
          <w:sz w:val="21"/>
        </w:rPr>
      </w:pPr>
      <w:r>
        <w:rPr>
          <w:b/>
          <w:sz w:val="21"/>
        </w:rPr>
        <w:t>Witness of facts</w:t>
      </w:r>
      <w:r>
        <w:rPr>
          <w:b/>
          <w:spacing w:val="-6"/>
          <w:sz w:val="21"/>
        </w:rPr>
        <w:t> </w:t>
      </w:r>
      <w:r>
        <w:rPr>
          <w:b/>
          <w:sz w:val="21"/>
        </w:rPr>
        <w:t>:</w:t>
      </w:r>
    </w:p>
    <w:p>
      <w:pPr>
        <w:pStyle w:val="ListParagraph"/>
        <w:numPr>
          <w:ilvl w:val="0"/>
          <w:numId w:val="28"/>
        </w:numPr>
        <w:tabs>
          <w:tab w:pos="3380" w:val="left" w:leader="none"/>
          <w:tab w:pos="3381" w:val="left" w:leader="none"/>
        </w:tabs>
        <w:spacing w:line="240" w:lineRule="auto" w:before="121" w:after="0"/>
        <w:ind w:left="3381" w:right="0" w:hanging="721"/>
        <w:jc w:val="left"/>
        <w:rPr>
          <w:sz w:val="21"/>
        </w:rPr>
      </w:pPr>
      <w:r>
        <w:rPr>
          <w:sz w:val="21"/>
        </w:rPr>
        <w:t>DW 20/1 Sri Shashi Kant</w:t>
      </w:r>
      <w:r>
        <w:rPr>
          <w:spacing w:val="-10"/>
          <w:sz w:val="21"/>
        </w:rPr>
        <w:t> </w:t>
      </w:r>
      <w:r>
        <w:rPr>
          <w:sz w:val="21"/>
        </w:rPr>
        <w:t>Rungta</w:t>
      </w:r>
    </w:p>
    <w:p>
      <w:pPr>
        <w:pStyle w:val="ListParagraph"/>
        <w:numPr>
          <w:ilvl w:val="0"/>
          <w:numId w:val="28"/>
        </w:numPr>
        <w:tabs>
          <w:tab w:pos="3380" w:val="left" w:leader="none"/>
          <w:tab w:pos="3381" w:val="left" w:leader="none"/>
        </w:tabs>
        <w:spacing w:line="240" w:lineRule="auto" w:before="121" w:after="0"/>
        <w:ind w:left="3381" w:right="0" w:hanging="721"/>
        <w:jc w:val="left"/>
        <w:rPr>
          <w:sz w:val="21"/>
        </w:rPr>
      </w:pPr>
      <w:r>
        <w:rPr>
          <w:sz w:val="21"/>
        </w:rPr>
        <w:t>DW 20/4 Sri M.M.</w:t>
      </w:r>
      <w:r>
        <w:rPr>
          <w:spacing w:val="-1"/>
          <w:sz w:val="21"/>
        </w:rPr>
        <w:t> </w:t>
      </w:r>
      <w:r>
        <w:rPr>
          <w:sz w:val="21"/>
        </w:rPr>
        <w:t>Gupta</w:t>
      </w:r>
    </w:p>
    <w:p>
      <w:pPr>
        <w:pStyle w:val="BodyText"/>
        <w:rPr>
          <w:sz w:val="24"/>
        </w:rPr>
      </w:pPr>
    </w:p>
    <w:p>
      <w:pPr>
        <w:pStyle w:val="ListParagraph"/>
        <w:numPr>
          <w:ilvl w:val="1"/>
          <w:numId w:val="21"/>
        </w:numPr>
        <w:tabs>
          <w:tab w:pos="3694" w:val="left" w:leader="none"/>
        </w:tabs>
        <w:spacing w:line="240" w:lineRule="auto" w:before="207" w:after="0"/>
        <w:ind w:left="3693" w:right="0" w:hanging="313"/>
        <w:jc w:val="left"/>
        <w:rPr>
          <w:b/>
          <w:sz w:val="21"/>
        </w:rPr>
      </w:pPr>
      <w:r>
        <w:rPr>
          <w:b/>
          <w:sz w:val="21"/>
        </w:rPr>
        <w:t>Expert Witnesses (Religious</w:t>
      </w:r>
      <w:r>
        <w:rPr>
          <w:b/>
          <w:spacing w:val="-3"/>
          <w:sz w:val="21"/>
        </w:rPr>
        <w:t> </w:t>
      </w:r>
      <w:r>
        <w:rPr>
          <w:b/>
          <w:sz w:val="21"/>
        </w:rPr>
        <w:t>matters)</w:t>
      </w:r>
    </w:p>
    <w:p>
      <w:pPr>
        <w:pStyle w:val="ListParagraph"/>
        <w:numPr>
          <w:ilvl w:val="0"/>
          <w:numId w:val="28"/>
        </w:numPr>
        <w:tabs>
          <w:tab w:pos="3380" w:val="left" w:leader="none"/>
          <w:tab w:pos="3381" w:val="left" w:leader="none"/>
        </w:tabs>
        <w:spacing w:line="360" w:lineRule="auto" w:before="121" w:after="0"/>
        <w:ind w:left="3381" w:right="2954" w:hanging="721"/>
        <w:jc w:val="left"/>
        <w:rPr>
          <w:sz w:val="21"/>
        </w:rPr>
      </w:pPr>
      <w:r>
        <w:rPr>
          <w:sz w:val="21"/>
        </w:rPr>
        <w:t>DW 20/2 Swami Avimukteshwaran and Saraswati</w:t>
      </w:r>
    </w:p>
    <w:p>
      <w:pPr>
        <w:pStyle w:val="ListParagraph"/>
        <w:numPr>
          <w:ilvl w:val="0"/>
          <w:numId w:val="28"/>
        </w:numPr>
        <w:tabs>
          <w:tab w:pos="3380" w:val="left" w:leader="none"/>
          <w:tab w:pos="3381" w:val="left" w:leader="none"/>
        </w:tabs>
        <w:spacing w:line="240" w:lineRule="auto" w:before="1" w:after="0"/>
        <w:ind w:left="3381" w:right="0" w:hanging="721"/>
        <w:jc w:val="left"/>
        <w:rPr>
          <w:sz w:val="21"/>
        </w:rPr>
      </w:pPr>
      <w:r>
        <w:rPr>
          <w:sz w:val="21"/>
        </w:rPr>
        <w:t>DW 20/3 Bramchari Ram</w:t>
      </w:r>
      <w:r>
        <w:rPr>
          <w:spacing w:val="-1"/>
          <w:sz w:val="21"/>
        </w:rPr>
        <w:t> </w:t>
      </w:r>
      <w:r>
        <w:rPr>
          <w:sz w:val="21"/>
        </w:rPr>
        <w:t>Rakshanand</w:t>
      </w:r>
    </w:p>
    <w:p>
      <w:pPr>
        <w:pStyle w:val="BodyText"/>
        <w:spacing w:before="4"/>
        <w:rPr>
          <w:sz w:val="31"/>
        </w:rPr>
      </w:pPr>
    </w:p>
    <w:p>
      <w:pPr>
        <w:pStyle w:val="ListParagraph"/>
        <w:numPr>
          <w:ilvl w:val="1"/>
          <w:numId w:val="21"/>
        </w:numPr>
        <w:tabs>
          <w:tab w:pos="3754" w:val="left" w:leader="none"/>
        </w:tabs>
        <w:spacing w:line="240" w:lineRule="auto" w:before="0" w:after="0"/>
        <w:ind w:left="3753" w:right="0" w:hanging="373"/>
        <w:jc w:val="left"/>
        <w:rPr>
          <w:b/>
          <w:sz w:val="21"/>
        </w:rPr>
      </w:pPr>
      <w:r>
        <w:rPr>
          <w:b/>
          <w:sz w:val="21"/>
        </w:rPr>
        <w:t>Expert Witness</w:t>
      </w:r>
      <w:r>
        <w:rPr>
          <w:b/>
          <w:spacing w:val="-3"/>
          <w:sz w:val="21"/>
        </w:rPr>
        <w:t> </w:t>
      </w:r>
      <w:r>
        <w:rPr>
          <w:b/>
          <w:sz w:val="21"/>
        </w:rPr>
        <w:t>(Archaeologist)</w:t>
      </w:r>
    </w:p>
    <w:p>
      <w:pPr>
        <w:pStyle w:val="ListParagraph"/>
        <w:numPr>
          <w:ilvl w:val="0"/>
          <w:numId w:val="28"/>
        </w:numPr>
        <w:tabs>
          <w:tab w:pos="3380" w:val="left" w:leader="none"/>
          <w:tab w:pos="3381" w:val="left" w:leader="none"/>
        </w:tabs>
        <w:spacing w:line="240" w:lineRule="auto" w:before="121" w:after="0"/>
        <w:ind w:left="3381" w:right="0" w:hanging="721"/>
        <w:jc w:val="left"/>
        <w:rPr>
          <w:sz w:val="21"/>
        </w:rPr>
      </w:pPr>
      <w:r>
        <w:rPr>
          <w:sz w:val="21"/>
        </w:rPr>
        <w:t>DW 20/5 Sri Jayanti Prasad</w:t>
      </w:r>
      <w:r>
        <w:rPr>
          <w:spacing w:val="-1"/>
          <w:sz w:val="21"/>
        </w:rPr>
        <w:t> </w:t>
      </w:r>
      <w:r>
        <w:rPr>
          <w:sz w:val="21"/>
        </w:rPr>
        <w:t>Srivastava</w:t>
      </w:r>
    </w:p>
    <w:p>
      <w:pPr>
        <w:pStyle w:val="BodyText"/>
        <w:rPr>
          <w:sz w:val="24"/>
        </w:rPr>
      </w:pPr>
    </w:p>
    <w:p>
      <w:pPr>
        <w:pStyle w:val="BodyText"/>
        <w:rPr>
          <w:sz w:val="24"/>
        </w:rPr>
      </w:pPr>
    </w:p>
    <w:p>
      <w:pPr>
        <w:pStyle w:val="BodyText"/>
        <w:rPr>
          <w:sz w:val="24"/>
        </w:rPr>
      </w:pPr>
    </w:p>
    <w:p>
      <w:pPr>
        <w:pStyle w:val="BodyText"/>
        <w:spacing w:before="1"/>
        <w:rPr>
          <w:sz w:val="33"/>
        </w:rPr>
      </w:pPr>
    </w:p>
    <w:p>
      <w:pPr>
        <w:pStyle w:val="ListParagraph"/>
        <w:numPr>
          <w:ilvl w:val="0"/>
          <w:numId w:val="21"/>
        </w:numPr>
        <w:tabs>
          <w:tab w:pos="2409" w:val="left" w:leader="none"/>
        </w:tabs>
        <w:spacing w:line="240" w:lineRule="auto" w:before="0" w:after="0"/>
        <w:ind w:left="2408" w:right="0" w:hanging="469"/>
        <w:jc w:val="left"/>
        <w:rPr>
          <w:b/>
          <w:sz w:val="21"/>
        </w:rPr>
      </w:pPr>
      <w:r>
        <w:rPr>
          <w:b/>
          <w:sz w:val="21"/>
        </w:rPr>
        <w:t>(i) Witnesses produced by Defendant 6/1 in Suit-3</w:t>
      </w:r>
      <w:r>
        <w:rPr>
          <w:b/>
          <w:spacing w:val="-12"/>
          <w:sz w:val="21"/>
        </w:rPr>
        <w:t> </w:t>
      </w:r>
      <w:r>
        <w:rPr>
          <w:b/>
          <w:sz w:val="21"/>
        </w:rPr>
        <w:t>:</w:t>
      </w:r>
    </w:p>
    <w:p>
      <w:pPr>
        <w:pStyle w:val="BodyText"/>
        <w:spacing w:before="4"/>
        <w:rPr>
          <w:b/>
          <w:sz w:val="31"/>
        </w:rPr>
      </w:pPr>
    </w:p>
    <w:p>
      <w:pPr>
        <w:pStyle w:val="ListParagraph"/>
        <w:numPr>
          <w:ilvl w:val="1"/>
          <w:numId w:val="21"/>
        </w:numPr>
        <w:tabs>
          <w:tab w:pos="3636" w:val="left" w:leader="none"/>
        </w:tabs>
        <w:spacing w:line="240" w:lineRule="auto" w:before="1" w:after="0"/>
        <w:ind w:left="3635" w:right="0" w:hanging="255"/>
        <w:jc w:val="left"/>
        <w:rPr>
          <w:b/>
          <w:sz w:val="21"/>
        </w:rPr>
      </w:pPr>
      <w:r>
        <w:rPr>
          <w:b/>
          <w:sz w:val="21"/>
        </w:rPr>
        <w:t>Expert Witness (Archaeologist)</w:t>
      </w:r>
      <w:r>
        <w:rPr>
          <w:b/>
          <w:spacing w:val="-5"/>
          <w:sz w:val="21"/>
        </w:rPr>
        <w:t> </w:t>
      </w:r>
      <w:r>
        <w:rPr>
          <w:b/>
          <w:sz w:val="21"/>
        </w:rPr>
        <w:t>:</w:t>
      </w:r>
    </w:p>
    <w:p>
      <w:pPr>
        <w:pStyle w:val="ListParagraph"/>
        <w:numPr>
          <w:ilvl w:val="0"/>
          <w:numId w:val="29"/>
        </w:numPr>
        <w:tabs>
          <w:tab w:pos="3380" w:val="left" w:leader="none"/>
          <w:tab w:pos="3381" w:val="left" w:leader="none"/>
        </w:tabs>
        <w:spacing w:line="240" w:lineRule="auto" w:before="121" w:after="0"/>
        <w:ind w:left="3381" w:right="0" w:hanging="663"/>
        <w:jc w:val="left"/>
        <w:rPr>
          <w:sz w:val="21"/>
        </w:rPr>
      </w:pPr>
      <w:r>
        <w:rPr>
          <w:sz w:val="21"/>
        </w:rPr>
        <w:t>DW 6/1-2 Sri Mohd.</w:t>
      </w:r>
      <w:r>
        <w:rPr>
          <w:spacing w:val="-4"/>
          <w:sz w:val="21"/>
        </w:rPr>
        <w:t> </w:t>
      </w:r>
      <w:r>
        <w:rPr>
          <w:sz w:val="21"/>
        </w:rPr>
        <w:t>Abid</w:t>
      </w:r>
    </w:p>
    <w:p>
      <w:pPr>
        <w:pStyle w:val="BodyText"/>
        <w:spacing w:before="6"/>
        <w:rPr>
          <w:sz w:val="31"/>
        </w:rPr>
      </w:pPr>
    </w:p>
    <w:p>
      <w:pPr>
        <w:pStyle w:val="ListParagraph"/>
        <w:numPr>
          <w:ilvl w:val="1"/>
          <w:numId w:val="21"/>
        </w:numPr>
        <w:tabs>
          <w:tab w:pos="3754" w:val="left" w:leader="none"/>
        </w:tabs>
        <w:spacing w:line="240" w:lineRule="auto" w:before="0" w:after="0"/>
        <w:ind w:left="3753" w:right="0" w:hanging="316"/>
        <w:jc w:val="left"/>
        <w:rPr>
          <w:b/>
          <w:sz w:val="21"/>
        </w:rPr>
      </w:pPr>
      <w:r>
        <w:rPr>
          <w:b/>
          <w:sz w:val="21"/>
        </w:rPr>
        <w:t>Others</w:t>
      </w:r>
      <w:r>
        <w:rPr>
          <w:b/>
          <w:spacing w:val="-2"/>
          <w:sz w:val="21"/>
        </w:rPr>
        <w:t> </w:t>
      </w:r>
      <w:r>
        <w:rPr>
          <w:b/>
          <w:sz w:val="21"/>
        </w:rPr>
        <w:t>:</w:t>
      </w:r>
    </w:p>
    <w:p>
      <w:pPr>
        <w:pStyle w:val="ListParagraph"/>
        <w:numPr>
          <w:ilvl w:val="0"/>
          <w:numId w:val="29"/>
        </w:numPr>
        <w:tabs>
          <w:tab w:pos="3380" w:val="left" w:leader="none"/>
          <w:tab w:pos="3381" w:val="left" w:leader="none"/>
        </w:tabs>
        <w:spacing w:line="240" w:lineRule="auto" w:before="121" w:after="0"/>
        <w:ind w:left="3381" w:right="0" w:hanging="721"/>
        <w:jc w:val="left"/>
        <w:rPr>
          <w:sz w:val="21"/>
        </w:rPr>
      </w:pPr>
      <w:r>
        <w:rPr>
          <w:sz w:val="21"/>
        </w:rPr>
        <w:t>DW 6/1-1 Sri Haji Mahboob</w:t>
      </w:r>
      <w:r>
        <w:rPr>
          <w:spacing w:val="-8"/>
          <w:sz w:val="21"/>
        </w:rPr>
        <w:t> </w:t>
      </w:r>
      <w:r>
        <w:rPr>
          <w:sz w:val="21"/>
        </w:rPr>
        <w:t>Ahmad.‖</w:t>
      </w:r>
    </w:p>
    <w:p>
      <w:pPr>
        <w:pStyle w:val="BodyText"/>
        <w:rPr>
          <w:sz w:val="24"/>
        </w:rPr>
      </w:pPr>
    </w:p>
    <w:p>
      <w:pPr>
        <w:pStyle w:val="BodyText"/>
        <w:rPr>
          <w:sz w:val="24"/>
        </w:rPr>
      </w:pPr>
    </w:p>
    <w:p>
      <w:pPr>
        <w:pStyle w:val="BodyText"/>
        <w:spacing w:before="8"/>
      </w:pPr>
    </w:p>
    <w:p>
      <w:pPr>
        <w:pStyle w:val="Heading4"/>
        <w:jc w:val="left"/>
        <w:rPr>
          <w:i/>
        </w:rPr>
      </w:pPr>
      <w:r>
        <w:rPr>
          <w:i/>
        </w:rPr>
        <w:t>Statements under Order X Rule 2 CPC</w:t>
      </w:r>
    </w:p>
    <w:p>
      <w:pPr>
        <w:pStyle w:val="BodyText"/>
        <w:rPr>
          <w:i/>
          <w:sz w:val="28"/>
        </w:rPr>
      </w:pPr>
    </w:p>
    <w:p>
      <w:pPr>
        <w:pStyle w:val="ListParagraph"/>
        <w:numPr>
          <w:ilvl w:val="0"/>
          <w:numId w:val="3"/>
        </w:numPr>
        <w:tabs>
          <w:tab w:pos="1221" w:val="left" w:leader="none"/>
        </w:tabs>
        <w:spacing w:line="480" w:lineRule="auto" w:before="164" w:after="0"/>
        <w:ind w:left="500" w:right="443" w:firstLine="0"/>
        <w:jc w:val="both"/>
        <w:rPr>
          <w:sz w:val="25"/>
        </w:rPr>
      </w:pPr>
      <w:r>
        <w:rPr>
          <w:sz w:val="25"/>
        </w:rPr>
        <w:t>During the course of the hearing of the suit, the Trial Court recorded the statements of parties and their pleaders under the provisions of Order X Rule 2 of </w:t>
      </w:r>
      <w:r>
        <w:rPr>
          <w:w w:val="99"/>
          <w:sz w:val="25"/>
        </w:rPr>
        <w:t>the</w:t>
      </w:r>
      <w:r>
        <w:rPr>
          <w:sz w:val="25"/>
        </w:rPr>
        <w:t> </w:t>
      </w:r>
      <w:r>
        <w:rPr>
          <w:w w:val="99"/>
          <w:sz w:val="25"/>
        </w:rPr>
        <w:t>Code</w:t>
      </w:r>
      <w:r>
        <w:rPr>
          <w:spacing w:val="-1"/>
          <w:sz w:val="25"/>
        </w:rPr>
        <w:t> </w:t>
      </w:r>
      <w:r>
        <w:rPr>
          <w:w w:val="99"/>
          <w:sz w:val="25"/>
        </w:rPr>
        <w:t>o</w:t>
      </w:r>
      <w:r>
        <w:rPr>
          <w:w w:val="99"/>
          <w:sz w:val="25"/>
        </w:rPr>
        <w:t>f</w:t>
      </w:r>
      <w:r>
        <w:rPr>
          <w:spacing w:val="-1"/>
          <w:sz w:val="25"/>
        </w:rPr>
        <w:t> </w:t>
      </w:r>
      <w:r>
        <w:rPr>
          <w:w w:val="99"/>
          <w:sz w:val="25"/>
        </w:rPr>
        <w:t>Ci</w:t>
      </w:r>
      <w:r>
        <w:rPr>
          <w:spacing w:val="-3"/>
          <w:w w:val="99"/>
          <w:sz w:val="25"/>
        </w:rPr>
        <w:t>v</w:t>
      </w:r>
      <w:r>
        <w:rPr>
          <w:w w:val="99"/>
          <w:sz w:val="25"/>
        </w:rPr>
        <w:t>il</w:t>
      </w:r>
      <w:r>
        <w:rPr>
          <w:spacing w:val="1"/>
          <w:sz w:val="25"/>
        </w:rPr>
        <w:t> </w:t>
      </w:r>
      <w:r>
        <w:rPr>
          <w:spacing w:val="-1"/>
          <w:w w:val="99"/>
          <w:sz w:val="25"/>
        </w:rPr>
        <w:t>P</w:t>
      </w:r>
      <w:r>
        <w:rPr>
          <w:w w:val="99"/>
          <w:sz w:val="25"/>
        </w:rPr>
        <w:t>r</w:t>
      </w:r>
      <w:r>
        <w:rPr>
          <w:w w:val="99"/>
          <w:sz w:val="25"/>
        </w:rPr>
        <w:t>ocedu</w:t>
      </w:r>
      <w:r>
        <w:rPr>
          <w:w w:val="99"/>
          <w:sz w:val="25"/>
        </w:rPr>
        <w:t>r</w:t>
      </w:r>
      <w:r>
        <w:rPr>
          <w:w w:val="99"/>
          <w:sz w:val="25"/>
        </w:rPr>
        <w:t>e</w:t>
      </w:r>
      <w:r>
        <w:rPr>
          <w:spacing w:val="-1"/>
          <w:sz w:val="25"/>
        </w:rPr>
        <w:t> </w:t>
      </w:r>
      <w:r>
        <w:rPr>
          <w:w w:val="99"/>
          <w:sz w:val="25"/>
        </w:rPr>
        <w:t>190</w:t>
      </w:r>
      <w:r>
        <w:rPr>
          <w:spacing w:val="1"/>
          <w:w w:val="99"/>
          <w:sz w:val="25"/>
        </w:rPr>
        <w:t>8</w:t>
      </w:r>
      <w:r>
        <w:rPr>
          <w:spacing w:val="-1"/>
          <w:w w:val="101"/>
          <w:sz w:val="25"/>
          <w:vertAlign w:val="superscript"/>
        </w:rPr>
        <w:t>1</w:t>
      </w:r>
      <w:r>
        <w:rPr>
          <w:w w:val="101"/>
          <w:sz w:val="25"/>
          <w:vertAlign w:val="superscript"/>
        </w:rPr>
        <w:t>4</w:t>
      </w:r>
      <w:r>
        <w:rPr>
          <w:spacing w:val="-1"/>
          <w:sz w:val="25"/>
          <w:vertAlign w:val="baseline"/>
        </w:rPr>
        <w:t> </w:t>
      </w:r>
      <w:r>
        <w:rPr>
          <w:w w:val="49"/>
          <w:sz w:val="25"/>
          <w:vertAlign w:val="baseline"/>
        </w:rPr>
        <w:t>(―</w:t>
      </w:r>
      <w:r>
        <w:rPr>
          <w:b/>
          <w:w w:val="99"/>
          <w:sz w:val="25"/>
          <w:vertAlign w:val="baseline"/>
        </w:rPr>
        <w:t>C</w:t>
      </w:r>
      <w:r>
        <w:rPr>
          <w:b/>
          <w:spacing w:val="-1"/>
          <w:w w:val="99"/>
          <w:sz w:val="25"/>
          <w:vertAlign w:val="baseline"/>
        </w:rPr>
        <w:t>P</w:t>
      </w:r>
      <w:r>
        <w:rPr>
          <w:b/>
          <w:spacing w:val="-1"/>
          <w:w w:val="99"/>
          <w:sz w:val="25"/>
          <w:vertAlign w:val="baseline"/>
        </w:rPr>
        <w:t>C</w:t>
      </w:r>
      <w:r>
        <w:rPr>
          <w:w w:val="92"/>
          <w:sz w:val="25"/>
          <w:vertAlign w:val="baseline"/>
        </w:rPr>
        <w:t>‖).</w:t>
      </w:r>
    </w:p>
    <w:p>
      <w:pPr>
        <w:pStyle w:val="BodyText"/>
        <w:spacing w:before="5"/>
        <w:rPr>
          <w:sz w:val="29"/>
        </w:rPr>
      </w:pPr>
      <w:r>
        <w:rPr/>
        <w:pict>
          <v:rect style="position:absolute;margin-left:72.024002pt;margin-top:18.87715pt;width:144.020pt;height:.599980pt;mso-position-horizontal-relative:page;mso-position-vertical-relative:paragraph;z-index:-1572249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14</w:t>
      </w:r>
      <w:r>
        <w:rPr>
          <w:sz w:val="18"/>
          <w:vertAlign w:val="baseline"/>
        </w:rPr>
        <w:t>2. Oral examination of party, or companion of party- (1) At the first hearing of the suit, the Court-</w:t>
      </w:r>
    </w:p>
    <w:p>
      <w:pPr>
        <w:spacing w:after="0"/>
        <w:jc w:val="left"/>
        <w:rPr>
          <w:sz w:val="18"/>
        </w:rPr>
        <w:sectPr>
          <w:pgSz w:w="11910" w:h="16840"/>
          <w:pgMar w:header="721" w:footer="1014" w:top="1300" w:bottom="1200" w:left="940" w:right="1000"/>
        </w:sectPr>
      </w:pPr>
    </w:p>
    <w:p>
      <w:pPr>
        <w:pStyle w:val="BodyText"/>
        <w:spacing w:before="124"/>
        <w:ind w:left="500"/>
        <w:jc w:val="both"/>
      </w:pPr>
      <w:r>
        <w:rPr/>
        <w:t>On 8 August 1962, it was stated on behalf of the </w:t>
      </w:r>
      <w:r>
        <w:rPr>
          <w:color w:val="000009"/>
        </w:rPr>
        <w:t>Sunni Central Waqf Board </w:t>
      </w:r>
      <w:r>
        <w:rPr/>
        <w:t>that:</w:t>
      </w:r>
    </w:p>
    <w:p>
      <w:pPr>
        <w:pStyle w:val="BodyText"/>
      </w:pPr>
    </w:p>
    <w:p>
      <w:pPr>
        <w:spacing w:line="276" w:lineRule="auto" w:before="0"/>
        <w:ind w:left="1940" w:right="2265" w:firstLine="0"/>
        <w:jc w:val="both"/>
        <w:rPr>
          <w:sz w:val="21"/>
        </w:rPr>
      </w:pPr>
      <w:r>
        <w:rPr>
          <w:spacing w:val="-1"/>
          <w:w w:val="33"/>
          <w:sz w:val="21"/>
        </w:rPr>
        <w:t>―</w:t>
      </w:r>
      <w:r>
        <w:rPr>
          <w:spacing w:val="-2"/>
          <w:w w:val="100"/>
          <w:sz w:val="21"/>
        </w:rPr>
        <w:t>t</w:t>
      </w:r>
      <w:r>
        <w:rPr>
          <w:spacing w:val="-1"/>
          <w:w w:val="100"/>
          <w:sz w:val="21"/>
        </w:rPr>
        <w:t>h</w:t>
      </w:r>
      <w:r>
        <w:rPr>
          <w:w w:val="100"/>
          <w:sz w:val="21"/>
        </w:rPr>
        <w:t>e</w:t>
      </w:r>
      <w:r>
        <w:rPr>
          <w:spacing w:val="4"/>
          <w:sz w:val="21"/>
        </w:rPr>
        <w:t> </w:t>
      </w:r>
      <w:r>
        <w:rPr>
          <w:spacing w:val="-1"/>
          <w:w w:val="100"/>
          <w:sz w:val="21"/>
        </w:rPr>
        <w:t>proper</w:t>
      </w:r>
      <w:r>
        <w:rPr>
          <w:spacing w:val="-2"/>
          <w:w w:val="100"/>
          <w:sz w:val="21"/>
        </w:rPr>
        <w:t>t</w:t>
      </w:r>
      <w:r>
        <w:rPr>
          <w:w w:val="100"/>
          <w:sz w:val="21"/>
        </w:rPr>
        <w:t>y</w:t>
      </w:r>
      <w:r>
        <w:rPr>
          <w:spacing w:val="1"/>
          <w:sz w:val="21"/>
        </w:rPr>
        <w:t> </w:t>
      </w:r>
      <w:r>
        <w:rPr>
          <w:w w:val="100"/>
          <w:sz w:val="21"/>
        </w:rPr>
        <w:t>in</w:t>
      </w:r>
      <w:r>
        <w:rPr>
          <w:spacing w:val="3"/>
          <w:sz w:val="21"/>
        </w:rPr>
        <w:t> </w:t>
      </w:r>
      <w:r>
        <w:rPr>
          <w:w w:val="100"/>
          <w:sz w:val="21"/>
        </w:rPr>
        <w:t>su</w:t>
      </w:r>
      <w:r>
        <w:rPr>
          <w:spacing w:val="1"/>
          <w:w w:val="100"/>
          <w:sz w:val="21"/>
        </w:rPr>
        <w:t>i</w:t>
      </w:r>
      <w:r>
        <w:rPr>
          <w:w w:val="100"/>
          <w:sz w:val="21"/>
        </w:rPr>
        <w:t>t</w:t>
      </w:r>
      <w:r>
        <w:rPr>
          <w:spacing w:val="2"/>
          <w:sz w:val="21"/>
        </w:rPr>
        <w:t> </w:t>
      </w:r>
      <w:r>
        <w:rPr>
          <w:w w:val="100"/>
          <w:sz w:val="21"/>
        </w:rPr>
        <w:t>is</w:t>
      </w:r>
      <w:r>
        <w:rPr>
          <w:spacing w:val="3"/>
          <w:sz w:val="21"/>
        </w:rPr>
        <w:t> </w:t>
      </w:r>
      <w:r>
        <w:rPr>
          <w:spacing w:val="-2"/>
          <w:w w:val="100"/>
          <w:sz w:val="21"/>
        </w:rPr>
        <w:t>t</w:t>
      </w:r>
      <w:r>
        <w:rPr>
          <w:spacing w:val="-1"/>
          <w:w w:val="100"/>
          <w:sz w:val="21"/>
        </w:rPr>
        <w:t>h</w:t>
      </w:r>
      <w:r>
        <w:rPr>
          <w:w w:val="100"/>
          <w:sz w:val="21"/>
        </w:rPr>
        <w:t>e</w:t>
      </w:r>
      <w:r>
        <w:rPr>
          <w:spacing w:val="4"/>
          <w:sz w:val="21"/>
        </w:rPr>
        <w:t> </w:t>
      </w:r>
      <w:r>
        <w:rPr>
          <w:spacing w:val="-1"/>
          <w:w w:val="100"/>
          <w:sz w:val="21"/>
        </w:rPr>
        <w:t>proper</w:t>
      </w:r>
      <w:r>
        <w:rPr>
          <w:spacing w:val="-2"/>
          <w:w w:val="100"/>
          <w:sz w:val="21"/>
        </w:rPr>
        <w:t>t</w:t>
      </w:r>
      <w:r>
        <w:rPr>
          <w:w w:val="100"/>
          <w:sz w:val="21"/>
        </w:rPr>
        <w:t>y</w:t>
      </w:r>
      <w:r>
        <w:rPr>
          <w:spacing w:val="1"/>
          <w:sz w:val="21"/>
        </w:rPr>
        <w:t> </w:t>
      </w:r>
      <w:r>
        <w:rPr>
          <w:spacing w:val="-1"/>
          <w:w w:val="100"/>
          <w:sz w:val="21"/>
        </w:rPr>
        <w:t>ded</w:t>
      </w:r>
      <w:r>
        <w:rPr>
          <w:spacing w:val="1"/>
          <w:w w:val="100"/>
          <w:sz w:val="21"/>
        </w:rPr>
        <w:t>i</w:t>
      </w:r>
      <w:r>
        <w:rPr>
          <w:spacing w:val="-3"/>
          <w:w w:val="100"/>
          <w:sz w:val="21"/>
        </w:rPr>
        <w:t>c</w:t>
      </w:r>
      <w:r>
        <w:rPr>
          <w:spacing w:val="-1"/>
          <w:w w:val="100"/>
          <w:sz w:val="21"/>
        </w:rPr>
        <w:t>ate</w:t>
      </w:r>
      <w:r>
        <w:rPr>
          <w:w w:val="100"/>
          <w:sz w:val="21"/>
        </w:rPr>
        <w:t>d</w:t>
      </w:r>
      <w:r>
        <w:rPr>
          <w:spacing w:val="4"/>
          <w:sz w:val="21"/>
        </w:rPr>
        <w:t> </w:t>
      </w:r>
      <w:r>
        <w:rPr>
          <w:spacing w:val="-2"/>
          <w:w w:val="100"/>
          <w:sz w:val="21"/>
        </w:rPr>
        <w:t>t</w:t>
      </w:r>
      <w:r>
        <w:rPr>
          <w:w w:val="100"/>
          <w:sz w:val="21"/>
        </w:rPr>
        <w:t>o</w:t>
      </w:r>
      <w:r>
        <w:rPr>
          <w:spacing w:val="3"/>
          <w:sz w:val="21"/>
        </w:rPr>
        <w:t> </w:t>
      </w:r>
      <w:r>
        <w:rPr>
          <w:w w:val="100"/>
          <w:sz w:val="21"/>
        </w:rPr>
        <w:t>A</w:t>
      </w:r>
      <w:r>
        <w:rPr>
          <w:spacing w:val="-2"/>
          <w:w w:val="100"/>
          <w:sz w:val="21"/>
        </w:rPr>
        <w:t>l</w:t>
      </w:r>
      <w:r>
        <w:rPr>
          <w:spacing w:val="-1"/>
          <w:w w:val="100"/>
          <w:sz w:val="21"/>
        </w:rPr>
        <w:t>m</w:t>
      </w:r>
      <w:r>
        <w:rPr>
          <w:spacing w:val="-2"/>
          <w:w w:val="100"/>
          <w:sz w:val="21"/>
        </w:rPr>
        <w:t>i</w:t>
      </w:r>
      <w:r>
        <w:rPr>
          <w:spacing w:val="-1"/>
          <w:w w:val="100"/>
          <w:sz w:val="21"/>
        </w:rPr>
        <w:t>ght</w:t>
      </w:r>
      <w:r>
        <w:rPr>
          <w:w w:val="100"/>
          <w:sz w:val="21"/>
        </w:rPr>
        <w:t>y</w:t>
      </w:r>
      <w:r>
        <w:rPr>
          <w:spacing w:val="1"/>
          <w:sz w:val="21"/>
        </w:rPr>
        <w:t> </w:t>
      </w:r>
      <w:r>
        <w:rPr>
          <w:spacing w:val="-2"/>
          <w:w w:val="100"/>
          <w:sz w:val="21"/>
        </w:rPr>
        <w:t>G</w:t>
      </w:r>
      <w:r>
        <w:rPr>
          <w:spacing w:val="-1"/>
          <w:w w:val="100"/>
          <w:sz w:val="21"/>
        </w:rPr>
        <w:t>od </w:t>
      </w:r>
      <w:r>
        <w:rPr>
          <w:sz w:val="21"/>
        </w:rPr>
        <w:t>and is a mosque for the use of the entire Muslim community at</w:t>
      </w:r>
      <w:r>
        <w:rPr>
          <w:spacing w:val="-3"/>
          <w:sz w:val="21"/>
        </w:rPr>
        <w:t> </w:t>
      </w:r>
      <w:r>
        <w:rPr>
          <w:sz w:val="21"/>
        </w:rPr>
        <w:t>large…‖</w:t>
      </w:r>
    </w:p>
    <w:p>
      <w:pPr>
        <w:pStyle w:val="BodyText"/>
        <w:rPr>
          <w:sz w:val="24"/>
        </w:rPr>
      </w:pPr>
    </w:p>
    <w:p>
      <w:pPr>
        <w:pStyle w:val="BodyText"/>
        <w:spacing w:before="10"/>
      </w:pPr>
    </w:p>
    <w:p>
      <w:pPr>
        <w:pStyle w:val="BodyText"/>
        <w:spacing w:line="480" w:lineRule="auto"/>
        <w:ind w:left="500" w:right="437"/>
        <w:jc w:val="both"/>
      </w:pPr>
      <w:r>
        <w:rPr/>
        <w:t>On 28 August 1963, it was stated by the Sunni Central Waqf Board that in the alternative even if the defendants had any right in the property, it stood extinguished by a lapse of time and the plaintiff (</w:t>
      </w:r>
      <w:r>
        <w:rPr>
          <w:color w:val="000009"/>
        </w:rPr>
        <w:t>Sunni Central Waqf Board</w:t>
      </w:r>
      <w:r>
        <w:rPr/>
        <w:t>) had acquired title by adverse possession.</w:t>
      </w:r>
    </w:p>
    <w:p>
      <w:pPr>
        <w:pStyle w:val="BodyText"/>
        <w:rPr>
          <w:sz w:val="28"/>
        </w:rPr>
      </w:pPr>
    </w:p>
    <w:p>
      <w:pPr>
        <w:pStyle w:val="BodyText"/>
        <w:spacing w:before="1"/>
        <w:rPr>
          <w:sz w:val="22"/>
        </w:rPr>
      </w:pPr>
    </w:p>
    <w:p>
      <w:pPr>
        <w:pStyle w:val="BodyText"/>
        <w:spacing w:line="480" w:lineRule="auto" w:before="1"/>
        <w:ind w:left="500" w:right="434"/>
        <w:jc w:val="both"/>
      </w:pPr>
      <w:r>
        <w:rPr/>
        <w:t>On 11 January 1996, the statement of Mr Zafaryab Jilani, learned Senior Counsel appearing for the Sunni Central Waqf Board was recorded to the effect that:</w:t>
      </w:r>
    </w:p>
    <w:p>
      <w:pPr>
        <w:spacing w:line="276" w:lineRule="auto" w:before="0"/>
        <w:ind w:left="1940" w:right="2264" w:firstLine="0"/>
        <w:jc w:val="both"/>
        <w:rPr>
          <w:sz w:val="21"/>
        </w:rPr>
      </w:pPr>
      <w:r>
        <w:rPr>
          <w:spacing w:val="-1"/>
          <w:w w:val="33"/>
          <w:sz w:val="21"/>
        </w:rPr>
        <w:t>―</w:t>
      </w:r>
      <w:r>
        <w:rPr>
          <w:w w:val="100"/>
          <w:sz w:val="21"/>
        </w:rPr>
        <w:t>Th</w:t>
      </w:r>
      <w:r>
        <w:rPr>
          <w:spacing w:val="-1"/>
          <w:w w:val="100"/>
          <w:sz w:val="21"/>
        </w:rPr>
        <w:t>a</w:t>
      </w:r>
      <w:r>
        <w:rPr>
          <w:w w:val="100"/>
          <w:sz w:val="21"/>
        </w:rPr>
        <w:t>t</w:t>
      </w:r>
      <w:r>
        <w:rPr>
          <w:spacing w:val="10"/>
          <w:sz w:val="21"/>
        </w:rPr>
        <w:t> </w:t>
      </w:r>
      <w:r>
        <w:rPr>
          <w:spacing w:val="-2"/>
          <w:w w:val="100"/>
          <w:sz w:val="21"/>
        </w:rPr>
        <w:t>t</w:t>
      </w:r>
      <w:r>
        <w:rPr>
          <w:spacing w:val="-1"/>
          <w:w w:val="100"/>
          <w:sz w:val="21"/>
        </w:rPr>
        <w:t>h</w:t>
      </w:r>
      <w:r>
        <w:rPr>
          <w:w w:val="100"/>
          <w:sz w:val="21"/>
        </w:rPr>
        <w:t>e</w:t>
      </w:r>
      <w:r>
        <w:rPr>
          <w:spacing w:val="8"/>
          <w:sz w:val="21"/>
        </w:rPr>
        <w:t> </w:t>
      </w:r>
      <w:r>
        <w:rPr>
          <w:spacing w:val="1"/>
          <w:w w:val="100"/>
          <w:sz w:val="21"/>
        </w:rPr>
        <w:t>m</w:t>
      </w:r>
      <w:r>
        <w:rPr>
          <w:spacing w:val="-1"/>
          <w:w w:val="100"/>
          <w:sz w:val="21"/>
        </w:rPr>
        <w:t>os</w:t>
      </w:r>
      <w:r>
        <w:rPr>
          <w:spacing w:val="-3"/>
          <w:w w:val="100"/>
          <w:sz w:val="21"/>
        </w:rPr>
        <w:t>q</w:t>
      </w:r>
      <w:r>
        <w:rPr>
          <w:spacing w:val="-1"/>
          <w:w w:val="100"/>
          <w:sz w:val="21"/>
        </w:rPr>
        <w:t>u</w:t>
      </w:r>
      <w:r>
        <w:rPr>
          <w:w w:val="100"/>
          <w:sz w:val="21"/>
        </w:rPr>
        <w:t>e</w:t>
      </w:r>
      <w:r>
        <w:rPr>
          <w:spacing w:val="11"/>
          <w:sz w:val="21"/>
        </w:rPr>
        <w:t> </w:t>
      </w:r>
      <w:r>
        <w:rPr>
          <w:spacing w:val="-2"/>
          <w:w w:val="100"/>
          <w:sz w:val="21"/>
        </w:rPr>
        <w:t>w</w:t>
      </w:r>
      <w:r>
        <w:rPr>
          <w:spacing w:val="-1"/>
          <w:w w:val="100"/>
          <w:sz w:val="21"/>
        </w:rPr>
        <w:t>a</w:t>
      </w:r>
      <w:r>
        <w:rPr>
          <w:w w:val="100"/>
          <w:sz w:val="21"/>
        </w:rPr>
        <w:t>s</w:t>
      </w:r>
      <w:r>
        <w:rPr>
          <w:spacing w:val="11"/>
          <w:sz w:val="21"/>
        </w:rPr>
        <w:t> </w:t>
      </w:r>
      <w:r>
        <w:rPr>
          <w:spacing w:val="-3"/>
          <w:w w:val="100"/>
          <w:sz w:val="21"/>
        </w:rPr>
        <w:t>s</w:t>
      </w:r>
      <w:r>
        <w:rPr>
          <w:w w:val="100"/>
          <w:sz w:val="21"/>
        </w:rPr>
        <w:t>i</w:t>
      </w:r>
      <w:r>
        <w:rPr>
          <w:spacing w:val="-2"/>
          <w:w w:val="100"/>
          <w:sz w:val="21"/>
        </w:rPr>
        <w:t>t</w:t>
      </w:r>
      <w:r>
        <w:rPr>
          <w:spacing w:val="-1"/>
          <w:w w:val="100"/>
          <w:sz w:val="21"/>
        </w:rPr>
        <w:t>uat</w:t>
      </w:r>
      <w:r>
        <w:rPr>
          <w:w w:val="100"/>
          <w:sz w:val="21"/>
        </w:rPr>
        <w:t>e</w:t>
      </w:r>
      <w:r>
        <w:rPr>
          <w:spacing w:val="11"/>
          <w:sz w:val="21"/>
        </w:rPr>
        <w:t> </w:t>
      </w:r>
      <w:r>
        <w:rPr>
          <w:spacing w:val="-1"/>
          <w:w w:val="100"/>
          <w:sz w:val="21"/>
        </w:rPr>
        <w:t>o</w:t>
      </w:r>
      <w:r>
        <w:rPr>
          <w:w w:val="100"/>
          <w:sz w:val="21"/>
        </w:rPr>
        <w:t>n</w:t>
      </w:r>
      <w:r>
        <w:rPr>
          <w:spacing w:val="11"/>
          <w:sz w:val="21"/>
        </w:rPr>
        <w:t> </w:t>
      </w:r>
      <w:r>
        <w:rPr>
          <w:w w:val="100"/>
          <w:sz w:val="21"/>
        </w:rPr>
        <w:t>a</w:t>
      </w:r>
      <w:r>
        <w:rPr>
          <w:spacing w:val="11"/>
          <w:sz w:val="21"/>
        </w:rPr>
        <w:t> </w:t>
      </w:r>
      <w:r>
        <w:rPr>
          <w:spacing w:val="-2"/>
          <w:w w:val="100"/>
          <w:sz w:val="21"/>
        </w:rPr>
        <w:t>N</w:t>
      </w:r>
      <w:r>
        <w:rPr>
          <w:spacing w:val="-1"/>
          <w:w w:val="100"/>
          <w:sz w:val="21"/>
        </w:rPr>
        <w:t>a</w:t>
      </w:r>
      <w:r>
        <w:rPr>
          <w:spacing w:val="-3"/>
          <w:w w:val="100"/>
          <w:sz w:val="21"/>
        </w:rPr>
        <w:t>z</w:t>
      </w:r>
      <w:r>
        <w:rPr>
          <w:spacing w:val="-1"/>
          <w:w w:val="100"/>
          <w:sz w:val="21"/>
        </w:rPr>
        <w:t>u</w:t>
      </w:r>
      <w:r>
        <w:rPr>
          <w:w w:val="100"/>
          <w:sz w:val="21"/>
        </w:rPr>
        <w:t>l</w:t>
      </w:r>
      <w:r>
        <w:rPr>
          <w:spacing w:val="12"/>
          <w:sz w:val="21"/>
        </w:rPr>
        <w:t> </w:t>
      </w:r>
      <w:r>
        <w:rPr>
          <w:spacing w:val="-2"/>
          <w:w w:val="100"/>
          <w:sz w:val="21"/>
        </w:rPr>
        <w:t>P</w:t>
      </w:r>
      <w:r>
        <w:rPr>
          <w:w w:val="100"/>
          <w:sz w:val="21"/>
        </w:rPr>
        <w:t>l</w:t>
      </w:r>
      <w:r>
        <w:rPr>
          <w:spacing w:val="-1"/>
          <w:w w:val="100"/>
          <w:sz w:val="21"/>
        </w:rPr>
        <w:t>o</w:t>
      </w:r>
      <w:r>
        <w:rPr>
          <w:w w:val="100"/>
          <w:sz w:val="21"/>
        </w:rPr>
        <w:t>t</w:t>
      </w:r>
      <w:r>
        <w:rPr>
          <w:spacing w:val="10"/>
          <w:sz w:val="21"/>
        </w:rPr>
        <w:t> </w:t>
      </w:r>
      <w:r>
        <w:rPr>
          <w:spacing w:val="-2"/>
          <w:w w:val="100"/>
          <w:sz w:val="21"/>
        </w:rPr>
        <w:t>N</w:t>
      </w:r>
      <w:r>
        <w:rPr>
          <w:spacing w:val="-1"/>
          <w:w w:val="100"/>
          <w:sz w:val="21"/>
        </w:rPr>
        <w:t>o</w:t>
      </w:r>
      <w:r>
        <w:rPr>
          <w:w w:val="100"/>
          <w:sz w:val="21"/>
        </w:rPr>
        <w:t>.</w:t>
      </w:r>
      <w:r>
        <w:rPr>
          <w:spacing w:val="10"/>
          <w:sz w:val="21"/>
        </w:rPr>
        <w:t> </w:t>
      </w:r>
      <w:r>
        <w:rPr>
          <w:spacing w:val="-1"/>
          <w:w w:val="100"/>
          <w:sz w:val="21"/>
        </w:rPr>
        <w:t>58</w:t>
      </w:r>
      <w:r>
        <w:rPr>
          <w:w w:val="100"/>
          <w:sz w:val="21"/>
        </w:rPr>
        <w:t>3</w:t>
      </w:r>
      <w:r>
        <w:rPr>
          <w:spacing w:val="11"/>
          <w:sz w:val="21"/>
        </w:rPr>
        <w:t> </w:t>
      </w:r>
      <w:r>
        <w:rPr>
          <w:spacing w:val="-3"/>
          <w:w w:val="100"/>
          <w:sz w:val="21"/>
        </w:rPr>
        <w:t>o</w:t>
      </w:r>
      <w:r>
        <w:rPr>
          <w:w w:val="100"/>
          <w:sz w:val="21"/>
        </w:rPr>
        <w:t>f</w:t>
      </w:r>
      <w:r>
        <w:rPr>
          <w:spacing w:val="12"/>
          <w:sz w:val="21"/>
        </w:rPr>
        <w:t> </w:t>
      </w:r>
      <w:r>
        <w:rPr>
          <w:spacing w:val="-2"/>
          <w:w w:val="100"/>
          <w:sz w:val="21"/>
        </w:rPr>
        <w:t>t</w:t>
      </w:r>
      <w:r>
        <w:rPr>
          <w:spacing w:val="-1"/>
          <w:w w:val="100"/>
          <w:sz w:val="21"/>
        </w:rPr>
        <w:t>he </w:t>
      </w:r>
      <w:r>
        <w:rPr>
          <w:sz w:val="21"/>
        </w:rPr>
        <w:t>Khasra of 1931 of Mohalla Kot Ramchandra known as Ramkot at</w:t>
      </w:r>
      <w:r>
        <w:rPr>
          <w:spacing w:val="-5"/>
          <w:sz w:val="21"/>
        </w:rPr>
        <w:t> </w:t>
      </w:r>
      <w:r>
        <w:rPr>
          <w:sz w:val="21"/>
        </w:rPr>
        <w:t>Ayodhya.‖</w:t>
      </w:r>
    </w:p>
    <w:p>
      <w:pPr>
        <w:pStyle w:val="BodyText"/>
        <w:rPr>
          <w:sz w:val="24"/>
        </w:rPr>
      </w:pPr>
    </w:p>
    <w:p>
      <w:pPr>
        <w:pStyle w:val="BodyText"/>
        <w:rPr>
          <w:sz w:val="24"/>
        </w:rPr>
      </w:pPr>
    </w:p>
    <w:p>
      <w:pPr>
        <w:pStyle w:val="BodyText"/>
        <w:spacing w:line="480" w:lineRule="auto" w:before="167"/>
        <w:ind w:left="500" w:right="441"/>
        <w:jc w:val="both"/>
      </w:pPr>
      <w:r>
        <w:rPr/>
        <w:t>On 22 April 2009, the following statement of Mr Zafaryab Jilani, learned Senior Counsel was recorded under Order X Rule 2 of the CPC:</w:t>
      </w:r>
    </w:p>
    <w:p>
      <w:pPr>
        <w:spacing w:line="276" w:lineRule="auto" w:before="0"/>
        <w:ind w:left="1940" w:right="2264" w:firstLine="0"/>
        <w:jc w:val="both"/>
        <w:rPr>
          <w:sz w:val="21"/>
        </w:rPr>
      </w:pPr>
      <w:r>
        <w:rPr>
          <w:spacing w:val="-1"/>
          <w:w w:val="33"/>
          <w:sz w:val="21"/>
        </w:rPr>
        <w:t>―</w:t>
      </w:r>
      <w:r>
        <w:rPr>
          <w:w w:val="100"/>
          <w:sz w:val="21"/>
        </w:rPr>
        <w:t>For</w:t>
      </w:r>
      <w:r>
        <w:rPr>
          <w:sz w:val="21"/>
        </w:rPr>
        <w:t> </w:t>
      </w:r>
      <w:r>
        <w:rPr>
          <w:spacing w:val="-24"/>
          <w:sz w:val="21"/>
        </w:rPr>
        <w:t> </w:t>
      </w:r>
      <w:r>
        <w:rPr>
          <w:spacing w:val="-2"/>
          <w:w w:val="100"/>
          <w:sz w:val="21"/>
        </w:rPr>
        <w:t>t</w:t>
      </w:r>
      <w:r>
        <w:rPr>
          <w:spacing w:val="-1"/>
          <w:w w:val="100"/>
          <w:sz w:val="21"/>
        </w:rPr>
        <w:t>h</w:t>
      </w:r>
      <w:r>
        <w:rPr>
          <w:w w:val="100"/>
          <w:sz w:val="21"/>
        </w:rPr>
        <w:t>e</w:t>
      </w:r>
      <w:r>
        <w:rPr>
          <w:sz w:val="21"/>
        </w:rPr>
        <w:t> </w:t>
      </w:r>
      <w:r>
        <w:rPr>
          <w:spacing w:val="-26"/>
          <w:sz w:val="21"/>
        </w:rPr>
        <w:t> </w:t>
      </w:r>
      <w:r>
        <w:rPr>
          <w:spacing w:val="-1"/>
          <w:w w:val="100"/>
          <w:sz w:val="21"/>
        </w:rPr>
        <w:t>pu</w:t>
      </w:r>
      <w:r>
        <w:rPr>
          <w:spacing w:val="-3"/>
          <w:w w:val="100"/>
          <w:sz w:val="21"/>
        </w:rPr>
        <w:t>r</w:t>
      </w:r>
      <w:r>
        <w:rPr>
          <w:spacing w:val="-1"/>
          <w:w w:val="100"/>
          <w:sz w:val="21"/>
        </w:rPr>
        <w:t>pos</w:t>
      </w:r>
      <w:r>
        <w:rPr>
          <w:w w:val="100"/>
          <w:sz w:val="21"/>
        </w:rPr>
        <w:t>e</w:t>
      </w:r>
      <w:r>
        <w:rPr>
          <w:sz w:val="21"/>
        </w:rPr>
        <w:t> </w:t>
      </w:r>
      <w:r>
        <w:rPr>
          <w:spacing w:val="-26"/>
          <w:sz w:val="21"/>
        </w:rPr>
        <w:t> </w:t>
      </w:r>
      <w:r>
        <w:rPr>
          <w:spacing w:val="-3"/>
          <w:w w:val="100"/>
          <w:sz w:val="21"/>
        </w:rPr>
        <w:t>o</w:t>
      </w:r>
      <w:r>
        <w:rPr>
          <w:w w:val="100"/>
          <w:sz w:val="21"/>
        </w:rPr>
        <w:t>f</w:t>
      </w:r>
      <w:r>
        <w:rPr>
          <w:sz w:val="21"/>
        </w:rPr>
        <w:t> </w:t>
      </w:r>
      <w:r>
        <w:rPr>
          <w:spacing w:val="-23"/>
          <w:sz w:val="21"/>
        </w:rPr>
        <w:t> </w:t>
      </w:r>
      <w:r>
        <w:rPr>
          <w:spacing w:val="-2"/>
          <w:w w:val="100"/>
          <w:sz w:val="21"/>
        </w:rPr>
        <w:t>t</w:t>
      </w:r>
      <w:r>
        <w:rPr>
          <w:spacing w:val="-3"/>
          <w:w w:val="100"/>
          <w:sz w:val="21"/>
        </w:rPr>
        <w:t>h</w:t>
      </w:r>
      <w:r>
        <w:rPr>
          <w:w w:val="100"/>
          <w:sz w:val="21"/>
        </w:rPr>
        <w:t>is</w:t>
      </w:r>
      <w:r>
        <w:rPr>
          <w:sz w:val="21"/>
        </w:rPr>
        <w:t> </w:t>
      </w:r>
      <w:r>
        <w:rPr>
          <w:spacing w:val="-26"/>
          <w:sz w:val="21"/>
        </w:rPr>
        <w:t> </w:t>
      </w:r>
      <w:r>
        <w:rPr>
          <w:w w:val="100"/>
          <w:sz w:val="21"/>
        </w:rPr>
        <w:t>case</w:t>
      </w:r>
      <w:r>
        <w:rPr>
          <w:sz w:val="21"/>
        </w:rPr>
        <w:t> </w:t>
      </w:r>
      <w:r>
        <w:rPr>
          <w:spacing w:val="-26"/>
          <w:sz w:val="21"/>
        </w:rPr>
        <w:t> </w:t>
      </w:r>
      <w:r>
        <w:rPr>
          <w:spacing w:val="-2"/>
          <w:w w:val="100"/>
          <w:sz w:val="21"/>
        </w:rPr>
        <w:t>t</w:t>
      </w:r>
      <w:r>
        <w:rPr>
          <w:spacing w:val="-1"/>
          <w:w w:val="100"/>
          <w:sz w:val="21"/>
        </w:rPr>
        <w:t>her</w:t>
      </w:r>
      <w:r>
        <w:rPr>
          <w:w w:val="100"/>
          <w:sz w:val="21"/>
        </w:rPr>
        <w:t>e</w:t>
      </w:r>
      <w:r>
        <w:rPr>
          <w:sz w:val="21"/>
        </w:rPr>
        <w:t> </w:t>
      </w:r>
      <w:r>
        <w:rPr>
          <w:spacing w:val="-26"/>
          <w:sz w:val="21"/>
        </w:rPr>
        <w:t> </w:t>
      </w:r>
      <w:r>
        <w:rPr>
          <w:w w:val="100"/>
          <w:sz w:val="21"/>
        </w:rPr>
        <w:t>is</w:t>
      </w:r>
      <w:r>
        <w:rPr>
          <w:sz w:val="21"/>
        </w:rPr>
        <w:t> </w:t>
      </w:r>
      <w:r>
        <w:rPr>
          <w:spacing w:val="-26"/>
          <w:sz w:val="21"/>
        </w:rPr>
        <w:t> </w:t>
      </w:r>
      <w:r>
        <w:rPr>
          <w:spacing w:val="-1"/>
          <w:w w:val="100"/>
          <w:sz w:val="21"/>
        </w:rPr>
        <w:t>n</w:t>
      </w:r>
      <w:r>
        <w:rPr>
          <w:w w:val="100"/>
          <w:sz w:val="21"/>
        </w:rPr>
        <w:t>o</w:t>
      </w:r>
      <w:r>
        <w:rPr>
          <w:sz w:val="21"/>
        </w:rPr>
        <w:t> </w:t>
      </w:r>
      <w:r>
        <w:rPr>
          <w:spacing w:val="-26"/>
          <w:sz w:val="21"/>
        </w:rPr>
        <w:t> </w:t>
      </w:r>
      <w:r>
        <w:rPr>
          <w:spacing w:val="-1"/>
          <w:w w:val="100"/>
          <w:sz w:val="21"/>
        </w:rPr>
        <w:t>d</w:t>
      </w:r>
      <w:r>
        <w:rPr>
          <w:spacing w:val="-2"/>
          <w:w w:val="100"/>
          <w:sz w:val="21"/>
        </w:rPr>
        <w:t>i</w:t>
      </w:r>
      <w:r>
        <w:rPr>
          <w:w w:val="100"/>
          <w:sz w:val="21"/>
        </w:rPr>
        <w:t>spu</w:t>
      </w:r>
      <w:r>
        <w:rPr>
          <w:spacing w:val="-1"/>
          <w:w w:val="100"/>
          <w:sz w:val="21"/>
        </w:rPr>
        <w:t>t</w:t>
      </w:r>
      <w:r>
        <w:rPr>
          <w:w w:val="100"/>
          <w:sz w:val="21"/>
        </w:rPr>
        <w:t>e</w:t>
      </w:r>
      <w:r>
        <w:rPr>
          <w:sz w:val="21"/>
        </w:rPr>
        <w:t> </w:t>
      </w:r>
      <w:r>
        <w:rPr>
          <w:spacing w:val="-29"/>
          <w:sz w:val="21"/>
        </w:rPr>
        <w:t> </w:t>
      </w:r>
      <w:r>
        <w:rPr>
          <w:spacing w:val="-1"/>
          <w:w w:val="100"/>
          <w:sz w:val="21"/>
        </w:rPr>
        <w:t>abo</w:t>
      </w:r>
      <w:r>
        <w:rPr>
          <w:w w:val="100"/>
          <w:sz w:val="21"/>
        </w:rPr>
        <w:t>ut</w:t>
      </w:r>
      <w:r>
        <w:rPr>
          <w:sz w:val="21"/>
        </w:rPr>
        <w:t> </w:t>
      </w:r>
      <w:r>
        <w:rPr>
          <w:spacing w:val="-25"/>
          <w:sz w:val="21"/>
        </w:rPr>
        <w:t> </w:t>
      </w:r>
      <w:r>
        <w:rPr>
          <w:spacing w:val="-2"/>
          <w:w w:val="100"/>
          <w:sz w:val="21"/>
        </w:rPr>
        <w:t>t</w:t>
      </w:r>
      <w:r>
        <w:rPr>
          <w:spacing w:val="-3"/>
          <w:w w:val="100"/>
          <w:sz w:val="21"/>
        </w:rPr>
        <w:t>h</w:t>
      </w:r>
      <w:r>
        <w:rPr>
          <w:w w:val="100"/>
          <w:sz w:val="21"/>
        </w:rPr>
        <w:t>e </w:t>
      </w:r>
      <w:r>
        <w:rPr>
          <w:sz w:val="21"/>
        </w:rPr>
        <w:t>faith of Hindu devotees of Lord Rama regarding the birth of Lord Rama at Ayodhya as described in Balmiki Ramayana or as existing today. It is, however, disputed and denied that the site of Babri Masjid was the place of birth of Lord Rama. It is also denied that there was any Ram Janam Bhoomi Temple at the site of Babri Masjid at any time</w:t>
      </w:r>
      <w:r>
        <w:rPr>
          <w:spacing w:val="-13"/>
          <w:sz w:val="21"/>
        </w:rPr>
        <w:t> </w:t>
      </w:r>
      <w:r>
        <w:rPr>
          <w:sz w:val="21"/>
        </w:rPr>
        <w:t>whatsoever.</w:t>
      </w:r>
    </w:p>
    <w:p>
      <w:pPr>
        <w:spacing w:line="276" w:lineRule="auto" w:before="0"/>
        <w:ind w:left="1940" w:right="2262" w:firstLine="0"/>
        <w:jc w:val="both"/>
        <w:rPr>
          <w:sz w:val="21"/>
        </w:rPr>
      </w:pPr>
      <w:r>
        <w:rPr>
          <w:sz w:val="21"/>
        </w:rPr>
        <w:t>The existence of Nirmohi Akhara from the second half of Nineteenth Century onwards is also not disputed. It is however, denied and disputed that Nirmohi Akhara was in</w:t>
      </w:r>
    </w:p>
    <w:p>
      <w:pPr>
        <w:pStyle w:val="BodyText"/>
        <w:spacing w:before="5"/>
        <w:rPr>
          <w:sz w:val="21"/>
        </w:rPr>
      </w:pPr>
      <w:r>
        <w:rPr/>
        <w:pict>
          <v:rect style="position:absolute;margin-left:72.024002pt;margin-top:14.281376pt;width:451.39pt;height:.60004pt;mso-position-horizontal-relative:page;mso-position-vertical-relative:paragraph;z-index:-15721984;mso-wrap-distance-left:0;mso-wrap-distance-right:0" filled="true" fillcolor="#000000" stroked="false">
            <v:fill type="solid"/>
            <w10:wrap type="topAndBottom"/>
          </v:rect>
        </w:pict>
      </w:r>
    </w:p>
    <w:p>
      <w:pPr>
        <w:pStyle w:val="ListParagraph"/>
        <w:numPr>
          <w:ilvl w:val="0"/>
          <w:numId w:val="30"/>
        </w:numPr>
        <w:tabs>
          <w:tab w:pos="1194" w:val="left" w:leader="none"/>
        </w:tabs>
        <w:spacing w:line="240" w:lineRule="auto" w:before="78" w:after="0"/>
        <w:ind w:left="500" w:right="450" w:firstLine="412"/>
        <w:jc w:val="both"/>
        <w:rPr>
          <w:sz w:val="18"/>
        </w:rPr>
      </w:pPr>
      <w:r>
        <w:rPr>
          <w:sz w:val="18"/>
        </w:rPr>
        <w:t>shall, with a view to elucidating matters in controversy in the suit, examine, orally such of the parties to the suit appearing in person or present in Court, as it deems fit;</w:t>
      </w:r>
      <w:r>
        <w:rPr>
          <w:spacing w:val="-14"/>
          <w:sz w:val="18"/>
        </w:rPr>
        <w:t> </w:t>
      </w:r>
      <w:r>
        <w:rPr>
          <w:sz w:val="18"/>
        </w:rPr>
        <w:t>and</w:t>
      </w:r>
    </w:p>
    <w:p>
      <w:pPr>
        <w:pStyle w:val="ListParagraph"/>
        <w:numPr>
          <w:ilvl w:val="0"/>
          <w:numId w:val="30"/>
        </w:numPr>
        <w:tabs>
          <w:tab w:pos="1194" w:val="left" w:leader="none"/>
        </w:tabs>
        <w:spacing w:line="240" w:lineRule="auto" w:before="1" w:after="0"/>
        <w:ind w:left="500" w:right="448" w:firstLine="412"/>
        <w:jc w:val="both"/>
        <w:rPr>
          <w:sz w:val="18"/>
        </w:rPr>
      </w:pPr>
      <w:r>
        <w:rPr>
          <w:sz w:val="18"/>
        </w:rPr>
        <w:t>may orally examine any person, able to answer any material question relating to the suit, by whom any party appearing in person or present in Court or his pleader is</w:t>
      </w:r>
      <w:r>
        <w:rPr>
          <w:spacing w:val="-8"/>
          <w:sz w:val="18"/>
        </w:rPr>
        <w:t> </w:t>
      </w:r>
      <w:r>
        <w:rPr>
          <w:sz w:val="18"/>
        </w:rPr>
        <w:t>accompanied.</w:t>
      </w:r>
    </w:p>
    <w:p>
      <w:pPr>
        <w:pStyle w:val="ListParagraph"/>
        <w:numPr>
          <w:ilvl w:val="0"/>
          <w:numId w:val="31"/>
        </w:numPr>
        <w:tabs>
          <w:tab w:pos="779" w:val="left" w:leader="none"/>
        </w:tabs>
        <w:spacing w:line="240" w:lineRule="auto" w:before="0" w:after="0"/>
        <w:ind w:left="500" w:right="438" w:firstLine="0"/>
        <w:jc w:val="both"/>
        <w:rPr>
          <w:sz w:val="18"/>
        </w:rPr>
      </w:pPr>
      <w:r>
        <w:rPr>
          <w:sz w:val="18"/>
        </w:rPr>
        <w:t>At any subsequent hearing, the Court may orally examine any party appearing in person or present in Court, or any person, able to answer any material question relating to the suit, by whom such party or his pleader is accompanied.</w:t>
      </w:r>
    </w:p>
    <w:p>
      <w:pPr>
        <w:pStyle w:val="ListParagraph"/>
        <w:numPr>
          <w:ilvl w:val="0"/>
          <w:numId w:val="31"/>
        </w:numPr>
        <w:tabs>
          <w:tab w:pos="796" w:val="left" w:leader="none"/>
        </w:tabs>
        <w:spacing w:line="240" w:lineRule="auto" w:before="0" w:after="0"/>
        <w:ind w:left="500" w:right="435" w:firstLine="0"/>
        <w:jc w:val="both"/>
        <w:rPr>
          <w:sz w:val="18"/>
        </w:rPr>
      </w:pPr>
      <w:r>
        <w:rPr>
          <w:sz w:val="18"/>
        </w:rPr>
        <w:t>The Court may, if it thinks fit, put in the course of an examination under this rule questions suggested by either</w:t>
      </w:r>
      <w:r>
        <w:rPr>
          <w:spacing w:val="-3"/>
          <w:sz w:val="18"/>
        </w:rPr>
        <w:t> </w:t>
      </w:r>
      <w:r>
        <w:rPr>
          <w:sz w:val="18"/>
        </w:rPr>
        <w:t>party.</w:t>
      </w:r>
    </w:p>
    <w:p>
      <w:pPr>
        <w:spacing w:after="0" w:line="240" w:lineRule="auto"/>
        <w:jc w:val="both"/>
        <w:rPr>
          <w:sz w:val="18"/>
        </w:rPr>
        <w:sectPr>
          <w:pgSz w:w="11910" w:h="16840"/>
          <w:pgMar w:header="721" w:footer="1014" w:top="1300" w:bottom="1200" w:left="940" w:right="1000"/>
        </w:sectPr>
      </w:pPr>
    </w:p>
    <w:p>
      <w:pPr>
        <w:spacing w:line="276" w:lineRule="auto" w:before="122"/>
        <w:ind w:left="1940" w:right="2262" w:firstLine="0"/>
        <w:jc w:val="both"/>
        <w:rPr>
          <w:sz w:val="21"/>
        </w:rPr>
      </w:pPr>
      <w:r>
        <w:rPr>
          <w:sz w:val="21"/>
        </w:rPr>
        <w:t>existence and specially in Ayodhya in 16</w:t>
      </w:r>
      <w:r>
        <w:rPr>
          <w:sz w:val="21"/>
          <w:vertAlign w:val="superscript"/>
        </w:rPr>
        <w:t>th</w:t>
      </w:r>
      <w:r>
        <w:rPr>
          <w:sz w:val="21"/>
          <w:vertAlign w:val="baseline"/>
        </w:rPr>
        <w:t> Century A.D. or in 1528 A.D. and it is also denied that any idols were there in  the building of the Babri Masjid up to 22</w:t>
      </w:r>
      <w:r>
        <w:rPr>
          <w:sz w:val="21"/>
          <w:vertAlign w:val="superscript"/>
        </w:rPr>
        <w:t>nd</w:t>
      </w:r>
      <w:r>
        <w:rPr>
          <w:sz w:val="21"/>
          <w:vertAlign w:val="baseline"/>
        </w:rPr>
        <w:t> December,</w:t>
      </w:r>
      <w:r>
        <w:rPr>
          <w:spacing w:val="-33"/>
          <w:sz w:val="21"/>
          <w:vertAlign w:val="baseline"/>
        </w:rPr>
        <w:t> </w:t>
      </w:r>
      <w:r>
        <w:rPr>
          <w:sz w:val="21"/>
          <w:vertAlign w:val="baseline"/>
        </w:rPr>
        <w:t>1949.‖</w:t>
      </w:r>
    </w:p>
    <w:p>
      <w:pPr>
        <w:pStyle w:val="BodyText"/>
        <w:rPr>
          <w:sz w:val="26"/>
        </w:rPr>
      </w:pPr>
    </w:p>
    <w:p>
      <w:pPr>
        <w:pStyle w:val="BodyText"/>
        <w:spacing w:before="6"/>
        <w:rPr>
          <w:sz w:val="22"/>
        </w:rPr>
      </w:pPr>
    </w:p>
    <w:p>
      <w:pPr>
        <w:pStyle w:val="BodyText"/>
        <w:spacing w:line="480" w:lineRule="auto"/>
        <w:ind w:left="500" w:right="435"/>
        <w:jc w:val="both"/>
      </w:pPr>
      <w:r>
        <w:rPr/>
        <w:t>Similar statements were made on behalf of other counsel representing the Muslim parties. There is, in other words, no dispute before this Court in regard to the faith and belief of the Hindus that the birth of Lord Ram is ascribed to have taken place at Ayodhya, as described in Valmiki‘s Ramayan. What is being disputed is whether the disputed site below the central dome of the Babri Masjid is the place of birth of Lord Ram. The Muslim parties have expressly denied the existence of a Ram Janmabhumi temple at the site of Babri Masjid. With this background, it becomes necessary to advert to the salient aspects of the documentary evidence which has emerged on the</w:t>
      </w:r>
      <w:r>
        <w:rPr>
          <w:spacing w:val="-10"/>
        </w:rPr>
        <w:t> </w:t>
      </w:r>
      <w:r>
        <w:rPr/>
        <w:t>record.</w:t>
      </w:r>
    </w:p>
    <w:p>
      <w:pPr>
        <w:pStyle w:val="BodyText"/>
        <w:spacing w:before="4"/>
        <w:rPr>
          <w:sz w:val="35"/>
        </w:rPr>
      </w:pPr>
    </w:p>
    <w:p>
      <w:pPr>
        <w:pStyle w:val="Heading3"/>
        <w:numPr>
          <w:ilvl w:val="0"/>
          <w:numId w:val="2"/>
        </w:numPr>
        <w:tabs>
          <w:tab w:pos="1220" w:val="left" w:leader="none"/>
          <w:tab w:pos="1221" w:val="left" w:leader="none"/>
        </w:tabs>
        <w:spacing w:line="240" w:lineRule="auto" w:before="0" w:after="0"/>
        <w:ind w:left="1220" w:right="0" w:hanging="721"/>
        <w:jc w:val="left"/>
      </w:pPr>
      <w:r>
        <w:rPr/>
        <w:t>The aftermath of</w:t>
      </w:r>
      <w:r>
        <w:rPr>
          <w:spacing w:val="-2"/>
        </w:rPr>
        <w:t> </w:t>
      </w:r>
      <w:r>
        <w:rPr/>
        <w:t>1856-7</w:t>
      </w:r>
    </w:p>
    <w:p>
      <w:pPr>
        <w:pStyle w:val="BodyText"/>
        <w:rPr>
          <w:b/>
          <w:sz w:val="28"/>
        </w:rPr>
      </w:pPr>
    </w:p>
    <w:p>
      <w:pPr>
        <w:pStyle w:val="ListParagraph"/>
        <w:numPr>
          <w:ilvl w:val="1"/>
          <w:numId w:val="2"/>
        </w:numPr>
        <w:tabs>
          <w:tab w:pos="1220" w:val="left" w:leader="none"/>
          <w:tab w:pos="1221" w:val="left" w:leader="none"/>
        </w:tabs>
        <w:spacing w:line="240" w:lineRule="auto" w:before="219" w:after="0"/>
        <w:ind w:left="1220" w:right="0" w:hanging="721"/>
        <w:jc w:val="left"/>
        <w:rPr>
          <w:b/>
          <w:sz w:val="26"/>
        </w:rPr>
      </w:pPr>
      <w:r>
        <w:rPr>
          <w:b/>
          <w:sz w:val="26"/>
        </w:rPr>
        <w:t>Response to the</w:t>
      </w:r>
      <w:r>
        <w:rPr>
          <w:b/>
          <w:spacing w:val="-4"/>
          <w:sz w:val="26"/>
        </w:rPr>
        <w:t> </w:t>
      </w:r>
      <w:r>
        <w:rPr>
          <w:b/>
          <w:sz w:val="26"/>
        </w:rPr>
        <w:t>wall</w:t>
      </w:r>
    </w:p>
    <w:p>
      <w:pPr>
        <w:pStyle w:val="BodyText"/>
        <w:rPr>
          <w:b/>
          <w:sz w:val="28"/>
        </w:rPr>
      </w:pPr>
    </w:p>
    <w:p>
      <w:pPr>
        <w:pStyle w:val="ListParagraph"/>
        <w:numPr>
          <w:ilvl w:val="0"/>
          <w:numId w:val="3"/>
        </w:numPr>
        <w:tabs>
          <w:tab w:pos="1221" w:val="left" w:leader="none"/>
        </w:tabs>
        <w:spacing w:line="480" w:lineRule="auto" w:before="217" w:after="0"/>
        <w:ind w:left="500" w:right="437" w:firstLine="0"/>
        <w:jc w:val="both"/>
        <w:rPr>
          <w:sz w:val="25"/>
        </w:rPr>
      </w:pPr>
      <w:r>
        <w:rPr>
          <w:sz w:val="25"/>
        </w:rPr>
        <w:t>In 1856-7, a communal riot took place. Historical accounts indicate that the conflagration had its focus at Hanumangarhi and the Babri mosque. Some of those accounts indicate that prior to the incident, Muslims and Hindus alike had access to the area of the mosque for the purpose of worship. The incident was proximate in time with the transfer of power to the colonial government. The incident led to the setting up of a railing made of a grill-brick wall outside the mosque. The object of this would have been to maintain peace and due order at the site. The railing provided the genesis of the bifurcation of the inner courtyard (in</w:t>
      </w:r>
      <w:r>
        <w:rPr>
          <w:spacing w:val="58"/>
          <w:sz w:val="25"/>
        </w:rPr>
        <w:t> </w:t>
      </w:r>
      <w:r>
        <w:rPr>
          <w:sz w:val="25"/>
        </w:rPr>
        <w:t>which</w:t>
      </w:r>
      <w:r>
        <w:rPr>
          <w:spacing w:val="58"/>
          <w:sz w:val="25"/>
        </w:rPr>
        <w:t> </w:t>
      </w:r>
      <w:r>
        <w:rPr>
          <w:sz w:val="25"/>
        </w:rPr>
        <w:t>the</w:t>
      </w:r>
      <w:r>
        <w:rPr>
          <w:spacing w:val="59"/>
          <w:sz w:val="25"/>
        </w:rPr>
        <w:t> </w:t>
      </w:r>
      <w:r>
        <w:rPr>
          <w:sz w:val="25"/>
        </w:rPr>
        <w:t>structure</w:t>
      </w:r>
      <w:r>
        <w:rPr>
          <w:spacing w:val="58"/>
          <w:sz w:val="25"/>
        </w:rPr>
        <w:t> </w:t>
      </w:r>
      <w:r>
        <w:rPr>
          <w:sz w:val="25"/>
        </w:rPr>
        <w:t>of</w:t>
      </w:r>
      <w:r>
        <w:rPr>
          <w:spacing w:val="60"/>
          <w:sz w:val="25"/>
        </w:rPr>
        <w:t> </w:t>
      </w:r>
      <w:r>
        <w:rPr>
          <w:sz w:val="25"/>
        </w:rPr>
        <w:t>the</w:t>
      </w:r>
      <w:r>
        <w:rPr>
          <w:spacing w:val="59"/>
          <w:sz w:val="25"/>
        </w:rPr>
        <w:t> </w:t>
      </w:r>
      <w:r>
        <w:rPr>
          <w:sz w:val="25"/>
        </w:rPr>
        <w:t>mosque</w:t>
      </w:r>
      <w:r>
        <w:rPr>
          <w:spacing w:val="58"/>
          <w:sz w:val="25"/>
        </w:rPr>
        <w:t> </w:t>
      </w:r>
      <w:r>
        <w:rPr>
          <w:sz w:val="25"/>
        </w:rPr>
        <w:t>was</w:t>
      </w:r>
      <w:r>
        <w:rPr>
          <w:spacing w:val="58"/>
          <w:sz w:val="25"/>
        </w:rPr>
        <w:t> </w:t>
      </w:r>
      <w:r>
        <w:rPr>
          <w:sz w:val="25"/>
        </w:rPr>
        <w:t>situated)</w:t>
      </w:r>
      <w:r>
        <w:rPr>
          <w:spacing w:val="60"/>
          <w:sz w:val="25"/>
        </w:rPr>
        <w:t> </w:t>
      </w:r>
      <w:r>
        <w:rPr>
          <w:sz w:val="25"/>
        </w:rPr>
        <w:t>and</w:t>
      </w:r>
      <w:r>
        <w:rPr>
          <w:spacing w:val="58"/>
          <w:sz w:val="25"/>
        </w:rPr>
        <w:t> </w:t>
      </w:r>
      <w:r>
        <w:rPr>
          <w:sz w:val="25"/>
        </w:rPr>
        <w:t>the</w:t>
      </w:r>
      <w:r>
        <w:rPr>
          <w:spacing w:val="59"/>
          <w:sz w:val="25"/>
        </w:rPr>
        <w:t> </w:t>
      </w:r>
      <w:r>
        <w:rPr>
          <w:sz w:val="25"/>
        </w:rPr>
        <w:t>outer</w:t>
      </w:r>
      <w:r>
        <w:rPr>
          <w:spacing w:val="59"/>
          <w:sz w:val="25"/>
        </w:rPr>
        <w:t> </w:t>
      </w:r>
      <w:r>
        <w:rPr>
          <w:sz w:val="25"/>
        </w:rPr>
        <w:t>courtyard</w:t>
      </w:r>
    </w:p>
    <w:p>
      <w:pPr>
        <w:spacing w:after="0" w:line="480" w:lineRule="auto"/>
        <w:jc w:val="both"/>
        <w:rPr>
          <w:sz w:val="25"/>
        </w:rPr>
        <w:sectPr>
          <w:headerReference w:type="default" r:id="rId16"/>
          <w:footerReference w:type="default" r:id="rId17"/>
          <w:pgSz w:w="11910" w:h="16840"/>
          <w:pgMar w:header="721" w:footer="1014" w:top="1300" w:bottom="1200" w:left="940" w:right="1000"/>
          <w:pgNumType w:start="63"/>
        </w:sectPr>
      </w:pPr>
    </w:p>
    <w:p>
      <w:pPr>
        <w:pStyle w:val="BodyText"/>
        <w:spacing w:line="480" w:lineRule="auto" w:before="124"/>
        <w:ind w:left="500" w:right="440"/>
        <w:jc w:val="both"/>
      </w:pPr>
      <w:r>
        <w:rPr/>
        <w:t>comprising the remaining area. The setting up of the railing was not a determination of proprietary rights over the inner and outer courtyards, the measure having been adopted to maintain peace between the two communities. This section of the judgment traces the documentary evidence on the aftermath of 1856-7 at the disputed site, the continuing skirmishes in the inner and outer courtyards, the proceedings between various disputants and the claim to worship by the Hindus in the inner courtyard. The evidence is as</w:t>
      </w:r>
      <w:r>
        <w:rPr>
          <w:spacing w:val="-13"/>
        </w:rPr>
        <w:t> </w:t>
      </w:r>
      <w:r>
        <w:rPr/>
        <w:t>follows:</w:t>
      </w:r>
    </w:p>
    <w:p>
      <w:pPr>
        <w:pStyle w:val="ListParagraph"/>
        <w:numPr>
          <w:ilvl w:val="0"/>
          <w:numId w:val="32"/>
        </w:numPr>
        <w:tabs>
          <w:tab w:pos="1221" w:val="left" w:leader="none"/>
        </w:tabs>
        <w:spacing w:line="480" w:lineRule="auto" w:before="0" w:after="0"/>
        <w:ind w:left="1220" w:right="442" w:hanging="720"/>
        <w:jc w:val="both"/>
        <w:rPr>
          <w:sz w:val="25"/>
        </w:rPr>
      </w:pPr>
      <w:r>
        <w:rPr>
          <w:sz w:val="25"/>
        </w:rPr>
        <w:t>On 28 November 1858 a report was submitted by Sheetal Dubey who was the Thanedar, Oudh</w:t>
      </w:r>
      <w:r>
        <w:rPr>
          <w:sz w:val="25"/>
          <w:vertAlign w:val="superscript"/>
        </w:rPr>
        <w:t>15</w:t>
      </w:r>
      <w:r>
        <w:rPr>
          <w:sz w:val="25"/>
          <w:vertAlign w:val="baseline"/>
        </w:rPr>
        <w:t>. The report spoke of an incident during which Hawan and Puja was organised inside the mosque by a Nihang Sikh who had erected a religious symbol. The report</w:t>
      </w:r>
      <w:r>
        <w:rPr>
          <w:spacing w:val="-9"/>
          <w:sz w:val="25"/>
          <w:vertAlign w:val="baseline"/>
        </w:rPr>
        <w:t> </w:t>
      </w:r>
      <w:r>
        <w:rPr>
          <w:sz w:val="25"/>
          <w:vertAlign w:val="baseline"/>
        </w:rPr>
        <w:t>states:</w:t>
      </w:r>
    </w:p>
    <w:p>
      <w:pPr>
        <w:spacing w:line="276" w:lineRule="auto" w:before="200"/>
        <w:ind w:left="1940" w:right="2262" w:firstLine="0"/>
        <w:jc w:val="both"/>
        <w:rPr>
          <w:sz w:val="21"/>
        </w:rPr>
      </w:pPr>
      <w:r>
        <w:rPr>
          <w:spacing w:val="-1"/>
          <w:w w:val="33"/>
          <w:sz w:val="21"/>
        </w:rPr>
        <w:t>―</w:t>
      </w:r>
      <w:r>
        <w:rPr>
          <w:w w:val="100"/>
          <w:sz w:val="21"/>
        </w:rPr>
        <w:t>To</w:t>
      </w:r>
      <w:r>
        <w:rPr>
          <w:w w:val="100"/>
          <w:sz w:val="21"/>
        </w:rPr>
        <w:t>day</w:t>
      </w:r>
      <w:r>
        <w:rPr>
          <w:sz w:val="21"/>
        </w:rPr>
        <w:t> </w:t>
      </w:r>
      <w:r>
        <w:rPr>
          <w:spacing w:val="-13"/>
          <w:sz w:val="21"/>
        </w:rPr>
        <w:t> </w:t>
      </w:r>
      <w:r>
        <w:rPr>
          <w:spacing w:val="-1"/>
          <w:w w:val="100"/>
          <w:sz w:val="21"/>
        </w:rPr>
        <w:t>Mr</w:t>
      </w:r>
      <w:r>
        <w:rPr>
          <w:w w:val="100"/>
          <w:sz w:val="21"/>
        </w:rPr>
        <w:t>.</w:t>
      </w:r>
      <w:r>
        <w:rPr>
          <w:sz w:val="21"/>
        </w:rPr>
        <w:t> </w:t>
      </w:r>
      <w:r>
        <w:rPr>
          <w:spacing w:val="-13"/>
          <w:sz w:val="21"/>
        </w:rPr>
        <w:t> </w:t>
      </w:r>
      <w:r>
        <w:rPr>
          <w:spacing w:val="-2"/>
          <w:w w:val="100"/>
          <w:sz w:val="21"/>
        </w:rPr>
        <w:t>N</w:t>
      </w:r>
      <w:r>
        <w:rPr>
          <w:w w:val="100"/>
          <w:sz w:val="21"/>
        </w:rPr>
        <w:t>i</w:t>
      </w:r>
      <w:r>
        <w:rPr>
          <w:w w:val="100"/>
          <w:sz w:val="21"/>
        </w:rPr>
        <w:t>h</w:t>
      </w:r>
      <w:r>
        <w:rPr>
          <w:spacing w:val="-3"/>
          <w:w w:val="100"/>
          <w:sz w:val="21"/>
        </w:rPr>
        <w:t>a</w:t>
      </w:r>
      <w:r>
        <w:rPr>
          <w:w w:val="100"/>
          <w:sz w:val="21"/>
        </w:rPr>
        <w:t>ng</w:t>
      </w:r>
      <w:r>
        <w:rPr>
          <w:sz w:val="21"/>
        </w:rPr>
        <w:t> </w:t>
      </w:r>
      <w:r>
        <w:rPr>
          <w:spacing w:val="-11"/>
          <w:sz w:val="21"/>
        </w:rPr>
        <w:t> </w:t>
      </w:r>
      <w:r>
        <w:rPr>
          <w:spacing w:val="-2"/>
          <w:w w:val="100"/>
          <w:sz w:val="21"/>
        </w:rPr>
        <w:t>S</w:t>
      </w:r>
      <w:r>
        <w:rPr>
          <w:w w:val="100"/>
          <w:sz w:val="21"/>
        </w:rPr>
        <w:t>i</w:t>
      </w:r>
      <w:r>
        <w:rPr>
          <w:spacing w:val="-3"/>
          <w:w w:val="100"/>
          <w:sz w:val="21"/>
        </w:rPr>
        <w:t>ng</w:t>
      </w:r>
      <w:r>
        <w:rPr>
          <w:w w:val="100"/>
          <w:sz w:val="21"/>
        </w:rPr>
        <w:t>h</w:t>
      </w:r>
      <w:r>
        <w:rPr>
          <w:sz w:val="21"/>
        </w:rPr>
        <w:t> </w:t>
      </w:r>
      <w:r>
        <w:rPr>
          <w:spacing w:val="-12"/>
          <w:sz w:val="21"/>
        </w:rPr>
        <w:t> </w:t>
      </w:r>
      <w:r>
        <w:rPr>
          <w:w w:val="100"/>
          <w:sz w:val="21"/>
        </w:rPr>
        <w:t>Fa</w:t>
      </w:r>
      <w:r>
        <w:rPr>
          <w:spacing w:val="-3"/>
          <w:w w:val="100"/>
          <w:sz w:val="21"/>
        </w:rPr>
        <w:t>q</w:t>
      </w:r>
      <w:r>
        <w:rPr>
          <w:w w:val="100"/>
          <w:sz w:val="21"/>
        </w:rPr>
        <w:t>i</w:t>
      </w:r>
      <w:r>
        <w:rPr>
          <w:w w:val="100"/>
          <w:sz w:val="21"/>
        </w:rPr>
        <w:t>r</w:t>
      </w:r>
      <w:r>
        <w:rPr>
          <w:sz w:val="21"/>
        </w:rPr>
        <w:t> </w:t>
      </w:r>
      <w:r>
        <w:rPr>
          <w:spacing w:val="-15"/>
          <w:sz w:val="21"/>
        </w:rPr>
        <w:t> </w:t>
      </w:r>
      <w:r>
        <w:rPr>
          <w:w w:val="100"/>
          <w:sz w:val="21"/>
        </w:rPr>
        <w:t>K</w:t>
      </w:r>
      <w:r>
        <w:rPr>
          <w:w w:val="100"/>
          <w:sz w:val="21"/>
        </w:rPr>
        <w:t>h</w:t>
      </w:r>
      <w:r>
        <w:rPr>
          <w:spacing w:val="-3"/>
          <w:w w:val="100"/>
          <w:sz w:val="21"/>
        </w:rPr>
        <w:t>a</w:t>
      </w:r>
      <w:r>
        <w:rPr>
          <w:w w:val="100"/>
          <w:sz w:val="21"/>
        </w:rPr>
        <w:t>l</w:t>
      </w:r>
      <w:r>
        <w:rPr>
          <w:w w:val="100"/>
          <w:sz w:val="21"/>
        </w:rPr>
        <w:t>sa</w:t>
      </w:r>
      <w:r>
        <w:rPr>
          <w:sz w:val="21"/>
        </w:rPr>
        <w:t> </w:t>
      </w:r>
      <w:r>
        <w:rPr>
          <w:spacing w:val="-12"/>
          <w:sz w:val="21"/>
        </w:rPr>
        <w:t> </w:t>
      </w:r>
      <w:r>
        <w:rPr>
          <w:spacing w:val="-1"/>
          <w:w w:val="100"/>
          <w:sz w:val="21"/>
        </w:rPr>
        <w:t>r</w:t>
      </w:r>
      <w:r>
        <w:rPr>
          <w:spacing w:val="-3"/>
          <w:w w:val="100"/>
          <w:sz w:val="21"/>
        </w:rPr>
        <w:t>e</w:t>
      </w:r>
      <w:r>
        <w:rPr>
          <w:w w:val="100"/>
          <w:sz w:val="21"/>
        </w:rPr>
        <w:t>s</w:t>
      </w:r>
      <w:r>
        <w:rPr>
          <w:spacing w:val="-2"/>
          <w:w w:val="100"/>
          <w:sz w:val="21"/>
        </w:rPr>
        <w:t>i</w:t>
      </w:r>
      <w:r>
        <w:rPr>
          <w:w w:val="100"/>
          <w:sz w:val="21"/>
        </w:rPr>
        <w:t>dent</w:t>
      </w:r>
      <w:r>
        <w:rPr>
          <w:sz w:val="21"/>
        </w:rPr>
        <w:t> </w:t>
      </w:r>
      <w:r>
        <w:rPr>
          <w:spacing w:val="-15"/>
          <w:sz w:val="21"/>
        </w:rPr>
        <w:t> </w:t>
      </w:r>
      <w:r>
        <w:rPr>
          <w:w w:val="100"/>
          <w:sz w:val="21"/>
        </w:rPr>
        <w:t>of</w:t>
      </w:r>
      <w:r>
        <w:rPr>
          <w:sz w:val="21"/>
        </w:rPr>
        <w:t> </w:t>
      </w:r>
      <w:r>
        <w:rPr>
          <w:spacing w:val="-13"/>
          <w:sz w:val="21"/>
        </w:rPr>
        <w:t> </w:t>
      </w:r>
      <w:r>
        <w:rPr>
          <w:w w:val="100"/>
          <w:sz w:val="21"/>
        </w:rPr>
        <w:t>P</w:t>
      </w:r>
      <w:r>
        <w:rPr>
          <w:w w:val="100"/>
          <w:sz w:val="21"/>
        </w:rPr>
        <w:t>u</w:t>
      </w:r>
      <w:r>
        <w:rPr>
          <w:spacing w:val="-3"/>
          <w:w w:val="100"/>
          <w:sz w:val="21"/>
        </w:rPr>
        <w:t>n</w:t>
      </w:r>
      <w:r>
        <w:rPr>
          <w:w w:val="100"/>
          <w:sz w:val="21"/>
        </w:rPr>
        <w:t>j</w:t>
      </w:r>
      <w:r>
        <w:rPr>
          <w:spacing w:val="-3"/>
          <w:w w:val="100"/>
          <w:sz w:val="21"/>
        </w:rPr>
        <w:t>a</w:t>
      </w:r>
      <w:r>
        <w:rPr>
          <w:w w:val="100"/>
          <w:sz w:val="21"/>
        </w:rPr>
        <w:t>b, </w:t>
      </w:r>
      <w:r>
        <w:rPr>
          <w:sz w:val="21"/>
        </w:rPr>
        <w:t>organized Hawan and Puja of Guru Gobind Singh and erected a symbol of Sri Bhagwan, within the premises of the Masjid. At the time of pitching the symbol, 25 sikhs were posted</w:t>
      </w:r>
      <w:r>
        <w:rPr>
          <w:spacing w:val="35"/>
          <w:sz w:val="21"/>
        </w:rPr>
        <w:t> </w:t>
      </w:r>
      <w:r>
        <w:rPr>
          <w:sz w:val="21"/>
        </w:rPr>
        <w:t>there</w:t>
      </w:r>
      <w:r>
        <w:rPr>
          <w:spacing w:val="34"/>
          <w:sz w:val="21"/>
        </w:rPr>
        <w:t> </w:t>
      </w:r>
      <w:r>
        <w:rPr>
          <w:sz w:val="21"/>
        </w:rPr>
        <w:t>for</w:t>
      </w:r>
      <w:r>
        <w:rPr>
          <w:spacing w:val="34"/>
          <w:sz w:val="21"/>
        </w:rPr>
        <w:t> </w:t>
      </w:r>
      <w:r>
        <w:rPr>
          <w:sz w:val="21"/>
        </w:rPr>
        <w:t>security.</w:t>
      </w:r>
      <w:r>
        <w:rPr>
          <w:spacing w:val="35"/>
          <w:sz w:val="21"/>
        </w:rPr>
        <w:t> </w:t>
      </w:r>
      <w:r>
        <w:rPr>
          <w:sz w:val="21"/>
        </w:rPr>
        <w:t>Deemed</w:t>
      </w:r>
      <w:r>
        <w:rPr>
          <w:spacing w:val="35"/>
          <w:sz w:val="21"/>
        </w:rPr>
        <w:t> </w:t>
      </w:r>
      <w:r>
        <w:rPr>
          <w:sz w:val="21"/>
        </w:rPr>
        <w:t>necessary</w:t>
      </w:r>
      <w:r>
        <w:rPr>
          <w:spacing w:val="31"/>
          <w:sz w:val="21"/>
        </w:rPr>
        <w:t> </w:t>
      </w:r>
      <w:r>
        <w:rPr>
          <w:sz w:val="21"/>
        </w:rPr>
        <w:t>so</w:t>
      </w:r>
      <w:r>
        <w:rPr>
          <w:spacing w:val="34"/>
          <w:sz w:val="21"/>
        </w:rPr>
        <w:t> </w:t>
      </w:r>
      <w:r>
        <w:rPr>
          <w:sz w:val="21"/>
        </w:rPr>
        <w:t>requested.</w:t>
      </w:r>
    </w:p>
    <w:p>
      <w:pPr>
        <w:spacing w:line="241" w:lineRule="exact" w:before="0"/>
        <w:ind w:left="1940" w:right="0" w:firstLine="0"/>
        <w:jc w:val="both"/>
        <w:rPr>
          <w:sz w:val="21"/>
        </w:rPr>
      </w:pPr>
      <w:r>
        <w:rPr>
          <w:sz w:val="21"/>
        </w:rPr>
        <w:t>May your regime progress. Pleasure.‖</w:t>
      </w:r>
    </w:p>
    <w:p>
      <w:pPr>
        <w:pStyle w:val="BodyText"/>
        <w:rPr>
          <w:sz w:val="24"/>
        </w:rPr>
      </w:pPr>
    </w:p>
    <w:p>
      <w:pPr>
        <w:pStyle w:val="BodyText"/>
        <w:spacing w:before="3"/>
        <w:rPr>
          <w:sz w:val="21"/>
        </w:rPr>
      </w:pPr>
    </w:p>
    <w:p>
      <w:pPr>
        <w:pStyle w:val="ListParagraph"/>
        <w:numPr>
          <w:ilvl w:val="0"/>
          <w:numId w:val="32"/>
        </w:numPr>
        <w:tabs>
          <w:tab w:pos="1221" w:val="left" w:leader="none"/>
        </w:tabs>
        <w:spacing w:line="480" w:lineRule="auto" w:before="0" w:after="0"/>
        <w:ind w:left="1220" w:right="442" w:hanging="720"/>
        <w:jc w:val="both"/>
        <w:rPr>
          <w:sz w:val="25"/>
        </w:rPr>
      </w:pPr>
      <w:r>
        <w:rPr>
          <w:sz w:val="25"/>
        </w:rPr>
        <w:t>An application was submitted by Syed Mohammad Khateeb, Muazzim of the Masjid</w:t>
      </w:r>
      <w:r>
        <w:rPr>
          <w:sz w:val="25"/>
          <w:vertAlign w:val="superscript"/>
        </w:rPr>
        <w:t>16</w:t>
      </w:r>
      <w:r>
        <w:rPr>
          <w:sz w:val="25"/>
          <w:vertAlign w:val="baseline"/>
        </w:rPr>
        <w:t>. The subject of the application was the report of the Thanedar Oudh. The application stated that ‗Mahant Nihang Singh Faqir‘ was </w:t>
      </w:r>
      <w:r>
        <w:rPr>
          <w:w w:val="99"/>
          <w:sz w:val="25"/>
          <w:vertAlign w:val="baseline"/>
        </w:rPr>
        <w:t>cr</w:t>
      </w:r>
      <w:r>
        <w:rPr>
          <w:spacing w:val="-1"/>
          <w:w w:val="99"/>
          <w:sz w:val="25"/>
          <w:vertAlign w:val="baseline"/>
        </w:rPr>
        <w:t>e</w:t>
      </w:r>
      <w:r>
        <w:rPr>
          <w:w w:val="99"/>
          <w:sz w:val="25"/>
          <w:vertAlign w:val="baseline"/>
        </w:rPr>
        <w:t>ating</w:t>
      </w:r>
      <w:r>
        <w:rPr>
          <w:spacing w:val="19"/>
          <w:sz w:val="25"/>
          <w:vertAlign w:val="baseline"/>
        </w:rPr>
        <w:t> </w:t>
      </w:r>
      <w:r>
        <w:rPr>
          <w:w w:val="99"/>
          <w:sz w:val="25"/>
          <w:vertAlign w:val="baseline"/>
        </w:rPr>
        <w:t>a</w:t>
      </w:r>
      <w:r>
        <w:rPr>
          <w:spacing w:val="19"/>
          <w:sz w:val="25"/>
          <w:vertAlign w:val="baseline"/>
        </w:rPr>
        <w:t> </w:t>
      </w:r>
      <w:r>
        <w:rPr>
          <w:w w:val="99"/>
          <w:sz w:val="25"/>
          <w:vertAlign w:val="baseline"/>
        </w:rPr>
        <w:t>r</w:t>
      </w:r>
      <w:r>
        <w:rPr>
          <w:spacing w:val="-1"/>
          <w:w w:val="99"/>
          <w:sz w:val="25"/>
          <w:vertAlign w:val="baseline"/>
        </w:rPr>
        <w:t>io</w:t>
      </w:r>
      <w:r>
        <w:rPr>
          <w:w w:val="99"/>
          <w:sz w:val="25"/>
          <w:vertAlign w:val="baseline"/>
        </w:rPr>
        <w:t>t</w:t>
      </w:r>
      <w:r>
        <w:rPr>
          <w:spacing w:val="19"/>
          <w:sz w:val="25"/>
          <w:vertAlign w:val="baseline"/>
        </w:rPr>
        <w:t> </w:t>
      </w:r>
      <w:r>
        <w:rPr>
          <w:spacing w:val="-1"/>
          <w:w w:val="99"/>
          <w:sz w:val="25"/>
          <w:vertAlign w:val="baseline"/>
        </w:rPr>
        <w:t>o</w:t>
      </w:r>
      <w:r>
        <w:rPr>
          <w:w w:val="99"/>
          <w:sz w:val="25"/>
          <w:vertAlign w:val="baseline"/>
        </w:rPr>
        <w:t>n</w:t>
      </w:r>
      <w:r>
        <w:rPr>
          <w:spacing w:val="19"/>
          <w:sz w:val="25"/>
          <w:vertAlign w:val="baseline"/>
        </w:rPr>
        <w:t> </w:t>
      </w:r>
      <w:r>
        <w:rPr>
          <w:w w:val="33"/>
          <w:sz w:val="25"/>
          <w:vertAlign w:val="baseline"/>
        </w:rPr>
        <w:t>―</w:t>
      </w:r>
      <w:r>
        <w:rPr>
          <w:w w:val="99"/>
          <w:sz w:val="25"/>
          <w:vertAlign w:val="baseline"/>
        </w:rPr>
        <w:t>Jan</w:t>
      </w:r>
      <w:r>
        <w:rPr>
          <w:spacing w:val="-1"/>
          <w:w w:val="99"/>
          <w:sz w:val="25"/>
          <w:vertAlign w:val="baseline"/>
        </w:rPr>
        <w:t>a</w:t>
      </w:r>
      <w:r>
        <w:rPr>
          <w:w w:val="99"/>
          <w:sz w:val="25"/>
          <w:vertAlign w:val="baseline"/>
        </w:rPr>
        <w:t>m</w:t>
      </w:r>
      <w:r>
        <w:rPr>
          <w:spacing w:val="20"/>
          <w:sz w:val="25"/>
          <w:vertAlign w:val="baseline"/>
        </w:rPr>
        <w:t> </w:t>
      </w:r>
      <w:r>
        <w:rPr>
          <w:spacing w:val="-1"/>
          <w:w w:val="99"/>
          <w:sz w:val="25"/>
          <w:vertAlign w:val="baseline"/>
        </w:rPr>
        <w:t>S</w:t>
      </w:r>
      <w:r>
        <w:rPr>
          <w:w w:val="99"/>
          <w:sz w:val="25"/>
          <w:vertAlign w:val="baseline"/>
        </w:rPr>
        <w:t>than</w:t>
      </w:r>
      <w:r>
        <w:rPr>
          <w:spacing w:val="21"/>
          <w:sz w:val="25"/>
          <w:vertAlign w:val="baseline"/>
        </w:rPr>
        <w:t> </w:t>
      </w:r>
      <w:r>
        <w:rPr>
          <w:spacing w:val="-4"/>
          <w:w w:val="99"/>
          <w:sz w:val="25"/>
          <w:vertAlign w:val="baseline"/>
        </w:rPr>
        <w:t>M</w:t>
      </w:r>
      <w:r>
        <w:rPr>
          <w:spacing w:val="-1"/>
          <w:w w:val="99"/>
          <w:sz w:val="25"/>
          <w:vertAlign w:val="baseline"/>
        </w:rPr>
        <w:t>asji</w:t>
      </w:r>
      <w:r>
        <w:rPr>
          <w:w w:val="99"/>
          <w:sz w:val="25"/>
          <w:vertAlign w:val="baseline"/>
        </w:rPr>
        <w:t>d</w:t>
      </w:r>
      <w:r>
        <w:rPr>
          <w:spacing w:val="21"/>
          <w:sz w:val="25"/>
          <w:vertAlign w:val="baseline"/>
        </w:rPr>
        <w:t> </w:t>
      </w:r>
      <w:r>
        <w:rPr>
          <w:w w:val="99"/>
          <w:sz w:val="25"/>
          <w:vertAlign w:val="baseline"/>
        </w:rPr>
        <w:t>si</w:t>
      </w:r>
      <w:r>
        <w:rPr>
          <w:spacing w:val="2"/>
          <w:w w:val="99"/>
          <w:sz w:val="25"/>
          <w:vertAlign w:val="baseline"/>
        </w:rPr>
        <w:t>t</w:t>
      </w:r>
      <w:r>
        <w:rPr>
          <w:spacing w:val="-1"/>
          <w:w w:val="99"/>
          <w:sz w:val="25"/>
          <w:vertAlign w:val="baseline"/>
        </w:rPr>
        <w:t>u</w:t>
      </w:r>
      <w:r>
        <w:rPr>
          <w:w w:val="99"/>
          <w:sz w:val="25"/>
          <w:vertAlign w:val="baseline"/>
        </w:rPr>
        <w:t>ated</w:t>
      </w:r>
      <w:r>
        <w:rPr>
          <w:spacing w:val="19"/>
          <w:sz w:val="25"/>
          <w:vertAlign w:val="baseline"/>
        </w:rPr>
        <w:t> </w:t>
      </w:r>
      <w:r>
        <w:rPr>
          <w:spacing w:val="-1"/>
          <w:w w:val="99"/>
          <w:sz w:val="25"/>
          <w:vertAlign w:val="baseline"/>
        </w:rPr>
        <w:t>i</w:t>
      </w:r>
      <w:r>
        <w:rPr>
          <w:w w:val="99"/>
          <w:sz w:val="25"/>
          <w:vertAlign w:val="baseline"/>
        </w:rPr>
        <w:t>n</w:t>
      </w:r>
      <w:r>
        <w:rPr>
          <w:spacing w:val="19"/>
          <w:sz w:val="25"/>
          <w:vertAlign w:val="baseline"/>
        </w:rPr>
        <w:t> </w:t>
      </w:r>
      <w:r>
        <w:rPr>
          <w:w w:val="99"/>
          <w:sz w:val="25"/>
          <w:vertAlign w:val="baseline"/>
        </w:rPr>
        <w:t>Oud</w:t>
      </w:r>
      <w:r>
        <w:rPr>
          <w:spacing w:val="-1"/>
          <w:w w:val="91"/>
          <w:sz w:val="25"/>
          <w:vertAlign w:val="baseline"/>
        </w:rPr>
        <w:t>h</w:t>
      </w:r>
      <w:r>
        <w:rPr>
          <w:w w:val="91"/>
          <w:sz w:val="25"/>
          <w:vertAlign w:val="baseline"/>
        </w:rPr>
        <w:t>‖</w:t>
      </w:r>
      <w:r>
        <w:rPr>
          <w:w w:val="99"/>
          <w:sz w:val="25"/>
          <w:vertAlign w:val="baseline"/>
        </w:rPr>
        <w:t>.</w:t>
      </w:r>
      <w:r>
        <w:rPr>
          <w:spacing w:val="19"/>
          <w:sz w:val="25"/>
          <w:vertAlign w:val="baseline"/>
        </w:rPr>
        <w:t> </w:t>
      </w:r>
      <w:r>
        <w:rPr>
          <w:w w:val="99"/>
          <w:sz w:val="25"/>
          <w:vertAlign w:val="baseline"/>
        </w:rPr>
        <w:t>T</w:t>
      </w:r>
      <w:r>
        <w:rPr>
          <w:spacing w:val="-1"/>
          <w:w w:val="99"/>
          <w:sz w:val="25"/>
          <w:vertAlign w:val="baseline"/>
        </w:rPr>
        <w:t>h</w:t>
      </w:r>
      <w:r>
        <w:rPr>
          <w:w w:val="99"/>
          <w:sz w:val="25"/>
          <w:vertAlign w:val="baseline"/>
        </w:rPr>
        <w:t>e</w:t>
      </w:r>
      <w:r>
        <w:rPr>
          <w:spacing w:val="19"/>
          <w:sz w:val="25"/>
          <w:vertAlign w:val="baseline"/>
        </w:rPr>
        <w:t> </w:t>
      </w:r>
      <w:r>
        <w:rPr>
          <w:spacing w:val="-1"/>
          <w:w w:val="99"/>
          <w:sz w:val="25"/>
          <w:vertAlign w:val="baseline"/>
        </w:rPr>
        <w:t>a</w:t>
      </w:r>
      <w:r>
        <w:rPr>
          <w:w w:val="99"/>
          <w:sz w:val="25"/>
          <w:vertAlign w:val="baseline"/>
        </w:rPr>
        <w:t>p</w:t>
      </w:r>
      <w:r>
        <w:rPr>
          <w:spacing w:val="-1"/>
          <w:w w:val="99"/>
          <w:sz w:val="25"/>
          <w:vertAlign w:val="baseline"/>
        </w:rPr>
        <w:t>plicati</w:t>
      </w:r>
      <w:r>
        <w:rPr>
          <w:w w:val="99"/>
          <w:sz w:val="25"/>
          <w:vertAlign w:val="baseline"/>
        </w:rPr>
        <w:t>on </w:t>
      </w:r>
      <w:r>
        <w:rPr>
          <w:sz w:val="25"/>
          <w:vertAlign w:val="baseline"/>
        </w:rPr>
        <w:t>stated:</w:t>
      </w:r>
    </w:p>
    <w:p>
      <w:pPr>
        <w:spacing w:line="276" w:lineRule="auto" w:before="200"/>
        <w:ind w:left="1940" w:right="2261" w:firstLine="0"/>
        <w:jc w:val="both"/>
        <w:rPr>
          <w:sz w:val="21"/>
        </w:rPr>
      </w:pPr>
      <w:r>
        <w:rPr>
          <w:spacing w:val="-1"/>
          <w:w w:val="33"/>
          <w:sz w:val="21"/>
        </w:rPr>
        <w:t>―</w:t>
      </w:r>
      <w:r>
        <w:rPr>
          <w:w w:val="100"/>
          <w:sz w:val="21"/>
        </w:rPr>
        <w:t>N</w:t>
      </w:r>
      <w:r>
        <w:rPr>
          <w:spacing w:val="-1"/>
          <w:w w:val="100"/>
          <w:sz w:val="21"/>
        </w:rPr>
        <w:t>ea</w:t>
      </w:r>
      <w:r>
        <w:rPr>
          <w:w w:val="100"/>
          <w:sz w:val="21"/>
        </w:rPr>
        <w:t>r</w:t>
      </w:r>
      <w:r>
        <w:rPr>
          <w:sz w:val="21"/>
        </w:rPr>
        <w:t> </w:t>
      </w:r>
      <w:r>
        <w:rPr>
          <w:spacing w:val="-12"/>
          <w:sz w:val="21"/>
        </w:rPr>
        <w:t> </w:t>
      </w:r>
      <w:r>
        <w:rPr>
          <w:spacing w:val="-1"/>
          <w:w w:val="100"/>
          <w:sz w:val="21"/>
        </w:rPr>
        <w:t>M</w:t>
      </w:r>
      <w:r>
        <w:rPr>
          <w:w w:val="100"/>
          <w:sz w:val="21"/>
        </w:rPr>
        <w:t>ehr</w:t>
      </w:r>
      <w:r>
        <w:rPr>
          <w:spacing w:val="-3"/>
          <w:w w:val="100"/>
          <w:sz w:val="21"/>
        </w:rPr>
        <w:t>a</w:t>
      </w:r>
      <w:r>
        <w:rPr>
          <w:w w:val="100"/>
          <w:sz w:val="21"/>
        </w:rPr>
        <w:t>b</w:t>
      </w:r>
      <w:r>
        <w:rPr>
          <w:sz w:val="21"/>
        </w:rPr>
        <w:t> </w:t>
      </w:r>
      <w:r>
        <w:rPr>
          <w:spacing w:val="-9"/>
          <w:sz w:val="21"/>
        </w:rPr>
        <w:t> </w:t>
      </w:r>
      <w:r>
        <w:rPr>
          <w:spacing w:val="-3"/>
          <w:w w:val="100"/>
          <w:sz w:val="21"/>
        </w:rPr>
        <w:t>a</w:t>
      </w:r>
      <w:r>
        <w:rPr>
          <w:w w:val="100"/>
          <w:sz w:val="21"/>
        </w:rPr>
        <w:t>nd</w:t>
      </w:r>
      <w:r>
        <w:rPr>
          <w:sz w:val="21"/>
        </w:rPr>
        <w:t> </w:t>
      </w:r>
      <w:r>
        <w:rPr>
          <w:spacing w:val="-12"/>
          <w:sz w:val="21"/>
        </w:rPr>
        <w:t> </w:t>
      </w:r>
      <w:r>
        <w:rPr>
          <w:spacing w:val="-1"/>
          <w:w w:val="100"/>
          <w:sz w:val="21"/>
        </w:rPr>
        <w:t>M</w:t>
      </w:r>
      <w:r>
        <w:rPr>
          <w:spacing w:val="-2"/>
          <w:w w:val="100"/>
          <w:sz w:val="21"/>
        </w:rPr>
        <w:t>i</w:t>
      </w:r>
      <w:r>
        <w:rPr>
          <w:spacing w:val="-1"/>
          <w:w w:val="100"/>
          <w:sz w:val="21"/>
        </w:rPr>
        <w:t>m</w:t>
      </w:r>
      <w:r>
        <w:rPr>
          <w:spacing w:val="-3"/>
          <w:w w:val="100"/>
          <w:sz w:val="21"/>
        </w:rPr>
        <w:t>b</w:t>
      </w:r>
      <w:r>
        <w:rPr>
          <w:w w:val="100"/>
          <w:sz w:val="21"/>
        </w:rPr>
        <w:t>er,</w:t>
      </w:r>
      <w:r>
        <w:rPr>
          <w:sz w:val="21"/>
        </w:rPr>
        <w:t> </w:t>
      </w:r>
      <w:r>
        <w:rPr>
          <w:spacing w:val="-11"/>
          <w:sz w:val="21"/>
        </w:rPr>
        <w:t> </w:t>
      </w:r>
      <w:r>
        <w:rPr>
          <w:w w:val="100"/>
          <w:sz w:val="21"/>
        </w:rPr>
        <w:t>he</w:t>
      </w:r>
      <w:r>
        <w:rPr>
          <w:sz w:val="21"/>
        </w:rPr>
        <w:t> </w:t>
      </w:r>
      <w:r>
        <w:rPr>
          <w:spacing w:val="-11"/>
          <w:sz w:val="21"/>
        </w:rPr>
        <w:t> </w:t>
      </w:r>
      <w:r>
        <w:rPr>
          <w:w w:val="100"/>
          <w:sz w:val="21"/>
        </w:rPr>
        <w:t>has</w:t>
      </w:r>
      <w:r>
        <w:rPr>
          <w:sz w:val="21"/>
        </w:rPr>
        <w:t> </w:t>
      </w:r>
      <w:r>
        <w:rPr>
          <w:spacing w:val="-11"/>
          <w:sz w:val="21"/>
        </w:rPr>
        <w:t> </w:t>
      </w:r>
      <w:r>
        <w:rPr>
          <w:w w:val="100"/>
          <w:sz w:val="21"/>
        </w:rPr>
        <w:t>co</w:t>
      </w:r>
      <w:r>
        <w:rPr>
          <w:spacing w:val="-3"/>
          <w:w w:val="100"/>
          <w:sz w:val="21"/>
        </w:rPr>
        <w:t>n</w:t>
      </w:r>
      <w:r>
        <w:rPr>
          <w:w w:val="100"/>
          <w:sz w:val="21"/>
        </w:rPr>
        <w:t>s</w:t>
      </w:r>
      <w:r>
        <w:rPr>
          <w:spacing w:val="-2"/>
          <w:w w:val="100"/>
          <w:sz w:val="21"/>
        </w:rPr>
        <w:t>t</w:t>
      </w:r>
      <w:r>
        <w:rPr>
          <w:spacing w:val="-1"/>
          <w:w w:val="100"/>
          <w:sz w:val="21"/>
        </w:rPr>
        <w:t>r</w:t>
      </w:r>
      <w:r>
        <w:rPr>
          <w:w w:val="100"/>
          <w:sz w:val="21"/>
        </w:rPr>
        <w:t>u</w:t>
      </w:r>
      <w:r>
        <w:rPr>
          <w:spacing w:val="1"/>
          <w:w w:val="100"/>
          <w:sz w:val="21"/>
        </w:rPr>
        <w:t>c</w:t>
      </w:r>
      <w:r>
        <w:rPr>
          <w:spacing w:val="-2"/>
          <w:w w:val="100"/>
          <w:sz w:val="21"/>
        </w:rPr>
        <w:t>t</w:t>
      </w:r>
      <w:r>
        <w:rPr>
          <w:w w:val="100"/>
          <w:sz w:val="21"/>
        </w:rPr>
        <w:t>ed,</w:t>
      </w:r>
      <w:r>
        <w:rPr>
          <w:sz w:val="21"/>
        </w:rPr>
        <w:t> </w:t>
      </w:r>
      <w:r>
        <w:rPr>
          <w:spacing w:val="-13"/>
          <w:sz w:val="21"/>
        </w:rPr>
        <w:t> </w:t>
      </w:r>
      <w:r>
        <w:rPr>
          <w:spacing w:val="-2"/>
          <w:w w:val="100"/>
          <w:sz w:val="21"/>
        </w:rPr>
        <w:t>i</w:t>
      </w:r>
      <w:r>
        <w:rPr>
          <w:w w:val="100"/>
          <w:sz w:val="21"/>
        </w:rPr>
        <w:t>ns</w:t>
      </w:r>
      <w:r>
        <w:rPr>
          <w:spacing w:val="1"/>
          <w:w w:val="100"/>
          <w:sz w:val="21"/>
        </w:rPr>
        <w:t>i</w:t>
      </w:r>
      <w:r>
        <w:rPr>
          <w:spacing w:val="-3"/>
          <w:w w:val="100"/>
          <w:sz w:val="21"/>
        </w:rPr>
        <w:t>d</w:t>
      </w:r>
      <w:r>
        <w:rPr>
          <w:w w:val="100"/>
          <w:sz w:val="21"/>
        </w:rPr>
        <w:t>e</w:t>
      </w:r>
      <w:r>
        <w:rPr>
          <w:sz w:val="21"/>
        </w:rPr>
        <w:t> </w:t>
      </w:r>
      <w:r>
        <w:rPr>
          <w:spacing w:val="-9"/>
          <w:sz w:val="21"/>
        </w:rPr>
        <w:t> </w:t>
      </w:r>
      <w:r>
        <w:rPr>
          <w:spacing w:val="-2"/>
          <w:w w:val="100"/>
          <w:sz w:val="21"/>
        </w:rPr>
        <w:t>t</w:t>
      </w:r>
      <w:r>
        <w:rPr>
          <w:w w:val="100"/>
          <w:sz w:val="21"/>
        </w:rPr>
        <w:t>he </w:t>
      </w:r>
      <w:r>
        <w:rPr>
          <w:sz w:val="21"/>
        </w:rPr>
        <w:t>case, an earth Chabutra measuring about four fingers by filling it with Kankars (concrete). Lighting arrangement has been made…and after raising the height of Chabutra about 1</w:t>
      </w:r>
      <w:r>
        <w:rPr>
          <w:sz w:val="21"/>
          <w:vertAlign w:val="superscript"/>
        </w:rPr>
        <w:t>1/4</w:t>
      </w:r>
      <w:r>
        <w:rPr>
          <w:spacing w:val="14"/>
          <w:sz w:val="21"/>
          <w:vertAlign w:val="baseline"/>
        </w:rPr>
        <w:t> </w:t>
      </w:r>
      <w:r>
        <w:rPr>
          <w:sz w:val="21"/>
          <w:vertAlign w:val="baseline"/>
        </w:rPr>
        <w:t>yards</w:t>
      </w:r>
      <w:r>
        <w:rPr>
          <w:spacing w:val="14"/>
          <w:sz w:val="21"/>
          <w:vertAlign w:val="baseline"/>
        </w:rPr>
        <w:t> </w:t>
      </w:r>
      <w:r>
        <w:rPr>
          <w:sz w:val="21"/>
          <w:vertAlign w:val="baseline"/>
        </w:rPr>
        <w:t>a</w:t>
      </w:r>
      <w:r>
        <w:rPr>
          <w:spacing w:val="15"/>
          <w:sz w:val="21"/>
          <w:vertAlign w:val="baseline"/>
        </w:rPr>
        <w:t> </w:t>
      </w:r>
      <w:r>
        <w:rPr>
          <w:sz w:val="21"/>
          <w:vertAlign w:val="baseline"/>
        </w:rPr>
        <w:t>picture</w:t>
      </w:r>
      <w:r>
        <w:rPr>
          <w:spacing w:val="12"/>
          <w:sz w:val="21"/>
          <w:vertAlign w:val="baseline"/>
        </w:rPr>
        <w:t> </w:t>
      </w:r>
      <w:r>
        <w:rPr>
          <w:sz w:val="21"/>
          <w:vertAlign w:val="baseline"/>
        </w:rPr>
        <w:t>of</w:t>
      </w:r>
      <w:r>
        <w:rPr>
          <w:spacing w:val="16"/>
          <w:sz w:val="21"/>
          <w:vertAlign w:val="baseline"/>
        </w:rPr>
        <w:t> </w:t>
      </w:r>
      <w:r>
        <w:rPr>
          <w:sz w:val="21"/>
          <w:vertAlign w:val="baseline"/>
        </w:rPr>
        <w:t>idol</w:t>
      </w:r>
      <w:r>
        <w:rPr>
          <w:spacing w:val="13"/>
          <w:sz w:val="21"/>
          <w:vertAlign w:val="baseline"/>
        </w:rPr>
        <w:t> </w:t>
      </w:r>
      <w:r>
        <w:rPr>
          <w:sz w:val="21"/>
          <w:vertAlign w:val="baseline"/>
        </w:rPr>
        <w:t>has</w:t>
      </w:r>
      <w:r>
        <w:rPr>
          <w:spacing w:val="12"/>
          <w:sz w:val="21"/>
          <w:vertAlign w:val="baseline"/>
        </w:rPr>
        <w:t> </w:t>
      </w:r>
      <w:r>
        <w:rPr>
          <w:sz w:val="21"/>
          <w:vertAlign w:val="baseline"/>
        </w:rPr>
        <w:t>been</w:t>
      </w:r>
      <w:r>
        <w:rPr>
          <w:spacing w:val="15"/>
          <w:sz w:val="21"/>
          <w:vertAlign w:val="baseline"/>
        </w:rPr>
        <w:t> </w:t>
      </w:r>
      <w:r>
        <w:rPr>
          <w:sz w:val="21"/>
          <w:vertAlign w:val="baseline"/>
        </w:rPr>
        <w:t>placed</w:t>
      </w:r>
      <w:r>
        <w:rPr>
          <w:spacing w:val="16"/>
          <w:sz w:val="21"/>
          <w:vertAlign w:val="baseline"/>
        </w:rPr>
        <w:t> </w:t>
      </w:r>
      <w:r>
        <w:rPr>
          <w:sz w:val="21"/>
          <w:vertAlign w:val="baseline"/>
        </w:rPr>
        <w:t>and</w:t>
      </w:r>
      <w:r>
        <w:rPr>
          <w:spacing w:val="12"/>
          <w:sz w:val="21"/>
          <w:vertAlign w:val="baseline"/>
        </w:rPr>
        <w:t> </w:t>
      </w:r>
      <w:r>
        <w:rPr>
          <w:sz w:val="21"/>
          <w:vertAlign w:val="baseline"/>
        </w:rPr>
        <w:t>after</w:t>
      </w:r>
      <w:r>
        <w:rPr>
          <w:spacing w:val="14"/>
          <w:sz w:val="21"/>
          <w:vertAlign w:val="baseline"/>
        </w:rPr>
        <w:t> </w:t>
      </w:r>
      <w:r>
        <w:rPr>
          <w:sz w:val="21"/>
          <w:vertAlign w:val="baseline"/>
        </w:rPr>
        <w:t>digging</w:t>
      </w:r>
    </w:p>
    <w:p>
      <w:pPr>
        <w:pStyle w:val="BodyText"/>
        <w:spacing w:before="11"/>
        <w:rPr>
          <w:sz w:val="21"/>
        </w:rPr>
      </w:pPr>
      <w:r>
        <w:rPr/>
        <w:pict>
          <v:rect style="position:absolute;margin-left:72.024002pt;margin-top:14.595345pt;width:144.020pt;height:.599980pt;mso-position-horizontal-relative:page;mso-position-vertical-relative:paragraph;z-index:-1572147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15</w:t>
      </w:r>
      <w:r>
        <w:rPr>
          <w:sz w:val="18"/>
          <w:vertAlign w:val="baseline"/>
        </w:rPr>
        <w:t> Exhibit</w:t>
      </w:r>
      <w:r>
        <w:rPr>
          <w:spacing w:val="-8"/>
          <w:sz w:val="18"/>
          <w:vertAlign w:val="baseline"/>
        </w:rPr>
        <w:t> </w:t>
      </w:r>
      <w:r>
        <w:rPr>
          <w:sz w:val="18"/>
          <w:vertAlign w:val="baseline"/>
        </w:rPr>
        <w:t>19</w:t>
      </w:r>
    </w:p>
    <w:p>
      <w:pPr>
        <w:spacing w:before="2"/>
        <w:ind w:left="500" w:right="0" w:firstLine="0"/>
        <w:jc w:val="left"/>
        <w:rPr>
          <w:sz w:val="18"/>
        </w:rPr>
      </w:pPr>
      <w:r>
        <w:rPr>
          <w:sz w:val="18"/>
          <w:vertAlign w:val="superscript"/>
        </w:rPr>
        <w:t>16</w:t>
      </w:r>
      <w:r>
        <w:rPr>
          <w:sz w:val="18"/>
          <w:vertAlign w:val="baseline"/>
        </w:rPr>
        <w:t> Exhibit</w:t>
      </w:r>
      <w:r>
        <w:rPr>
          <w:spacing w:val="-8"/>
          <w:sz w:val="18"/>
          <w:vertAlign w:val="baseline"/>
        </w:rPr>
        <w:t> </w:t>
      </w:r>
      <w:r>
        <w:rPr>
          <w:sz w:val="18"/>
          <w:vertAlign w:val="baseline"/>
        </w:rPr>
        <w:t>20</w:t>
      </w:r>
    </w:p>
    <w:p>
      <w:pPr>
        <w:spacing w:after="0"/>
        <w:jc w:val="left"/>
        <w:rPr>
          <w:sz w:val="18"/>
        </w:rPr>
        <w:sectPr>
          <w:pgSz w:w="11910" w:h="16840"/>
          <w:pgMar w:header="721" w:footer="1014" w:top="1300" w:bottom="1200" w:left="940" w:right="1000"/>
        </w:sectPr>
      </w:pPr>
    </w:p>
    <w:p>
      <w:pPr>
        <w:spacing w:line="276" w:lineRule="auto" w:before="122"/>
        <w:ind w:left="1940" w:right="2261" w:firstLine="0"/>
        <w:jc w:val="both"/>
        <w:rPr>
          <w:sz w:val="21"/>
        </w:rPr>
      </w:pPr>
      <w:r>
        <w:rPr>
          <w:sz w:val="21"/>
        </w:rPr>
        <w:t>a pit near it, the Munder wall has been made Pucca. Fire has been lit there for light and Puja and Hom is continuing there. </w:t>
      </w:r>
      <w:r>
        <w:rPr>
          <w:spacing w:val="-2"/>
          <w:w w:val="100"/>
          <w:sz w:val="21"/>
        </w:rPr>
        <w:t>I</w:t>
      </w:r>
      <w:r>
        <w:rPr>
          <w:w w:val="100"/>
          <w:sz w:val="21"/>
        </w:rPr>
        <w:t>n</w:t>
      </w:r>
      <w:r>
        <w:rPr>
          <w:spacing w:val="6"/>
          <w:sz w:val="21"/>
        </w:rPr>
        <w:t> </w:t>
      </w:r>
      <w:r>
        <w:rPr>
          <w:spacing w:val="-2"/>
          <w:w w:val="100"/>
          <w:sz w:val="21"/>
        </w:rPr>
        <w:t>w</w:t>
      </w:r>
      <w:r>
        <w:rPr>
          <w:spacing w:val="-1"/>
          <w:w w:val="100"/>
          <w:sz w:val="21"/>
        </w:rPr>
        <w:t>hol</w:t>
      </w:r>
      <w:r>
        <w:rPr>
          <w:w w:val="100"/>
          <w:sz w:val="21"/>
        </w:rPr>
        <w:t>e</w:t>
      </w:r>
      <w:r>
        <w:rPr>
          <w:spacing w:val="6"/>
          <w:sz w:val="21"/>
        </w:rPr>
        <w:t> </w:t>
      </w:r>
      <w:r>
        <w:rPr>
          <w:spacing w:val="-3"/>
          <w:w w:val="100"/>
          <w:sz w:val="21"/>
        </w:rPr>
        <w:t>o</w:t>
      </w:r>
      <w:r>
        <w:rPr>
          <w:w w:val="100"/>
          <w:sz w:val="21"/>
        </w:rPr>
        <w:t>f</w:t>
      </w:r>
      <w:r>
        <w:rPr>
          <w:spacing w:val="7"/>
          <w:sz w:val="21"/>
        </w:rPr>
        <w:t> </w:t>
      </w:r>
      <w:r>
        <w:rPr>
          <w:spacing w:val="-2"/>
          <w:w w:val="100"/>
          <w:sz w:val="21"/>
        </w:rPr>
        <w:t>t</w:t>
      </w:r>
      <w:r>
        <w:rPr>
          <w:spacing w:val="-3"/>
          <w:w w:val="100"/>
          <w:sz w:val="21"/>
        </w:rPr>
        <w:t>h</w:t>
      </w:r>
      <w:r>
        <w:rPr>
          <w:w w:val="100"/>
          <w:sz w:val="21"/>
        </w:rPr>
        <w:t>is</w:t>
      </w:r>
      <w:r>
        <w:rPr>
          <w:spacing w:val="6"/>
          <w:sz w:val="21"/>
        </w:rPr>
        <w:t> </w:t>
      </w:r>
      <w:r>
        <w:rPr>
          <w:spacing w:val="-4"/>
          <w:w w:val="100"/>
          <w:sz w:val="21"/>
        </w:rPr>
        <w:t>M</w:t>
      </w:r>
      <w:r>
        <w:rPr>
          <w:spacing w:val="-1"/>
          <w:w w:val="100"/>
          <w:sz w:val="21"/>
        </w:rPr>
        <w:t>as</w:t>
      </w:r>
      <w:r>
        <w:rPr>
          <w:spacing w:val="-2"/>
          <w:w w:val="100"/>
          <w:sz w:val="21"/>
        </w:rPr>
        <w:t>j</w:t>
      </w:r>
      <w:r>
        <w:rPr>
          <w:w w:val="100"/>
          <w:sz w:val="21"/>
        </w:rPr>
        <w:t>id</w:t>
      </w:r>
      <w:r>
        <w:rPr>
          <w:spacing w:val="3"/>
          <w:sz w:val="21"/>
        </w:rPr>
        <w:t> </w:t>
      </w:r>
      <w:r>
        <w:rPr>
          <w:spacing w:val="-2"/>
          <w:w w:val="40"/>
          <w:sz w:val="21"/>
        </w:rPr>
        <w:t>‗</w:t>
      </w:r>
      <w:r>
        <w:rPr>
          <w:spacing w:val="-2"/>
          <w:w w:val="100"/>
          <w:sz w:val="21"/>
        </w:rPr>
        <w:t>R</w:t>
      </w:r>
      <w:r>
        <w:rPr>
          <w:spacing w:val="-1"/>
          <w:w w:val="100"/>
          <w:sz w:val="21"/>
        </w:rPr>
        <w:t>a</w:t>
      </w:r>
      <w:r>
        <w:rPr>
          <w:w w:val="100"/>
          <w:sz w:val="21"/>
        </w:rPr>
        <w:t>m</w:t>
      </w:r>
      <w:r>
        <w:rPr>
          <w:spacing w:val="5"/>
          <w:sz w:val="21"/>
        </w:rPr>
        <w:t> </w:t>
      </w:r>
      <w:r>
        <w:rPr>
          <w:spacing w:val="-2"/>
          <w:w w:val="100"/>
          <w:sz w:val="21"/>
        </w:rPr>
        <w:t>R</w:t>
      </w:r>
      <w:r>
        <w:rPr>
          <w:spacing w:val="-3"/>
          <w:w w:val="100"/>
          <w:sz w:val="21"/>
        </w:rPr>
        <w:t>a</w:t>
      </w:r>
      <w:r>
        <w:rPr>
          <w:spacing w:val="1"/>
          <w:w w:val="100"/>
          <w:sz w:val="21"/>
        </w:rPr>
        <w:t>m</w:t>
      </w:r>
      <w:r>
        <w:rPr>
          <w:w w:val="100"/>
          <w:sz w:val="21"/>
        </w:rPr>
        <w:t>‘</w:t>
      </w:r>
      <w:r>
        <w:rPr>
          <w:spacing w:val="4"/>
          <w:sz w:val="21"/>
        </w:rPr>
        <w:t> </w:t>
      </w:r>
      <w:r>
        <w:rPr>
          <w:spacing w:val="-1"/>
          <w:w w:val="100"/>
          <w:sz w:val="21"/>
        </w:rPr>
        <w:t>h</w:t>
      </w:r>
      <w:r>
        <w:rPr>
          <w:spacing w:val="-3"/>
          <w:w w:val="100"/>
          <w:sz w:val="21"/>
        </w:rPr>
        <w:t>a</w:t>
      </w:r>
      <w:r>
        <w:rPr>
          <w:w w:val="100"/>
          <w:sz w:val="21"/>
        </w:rPr>
        <w:t>s</w:t>
      </w:r>
      <w:r>
        <w:rPr>
          <w:spacing w:val="6"/>
          <w:sz w:val="21"/>
        </w:rPr>
        <w:t> </w:t>
      </w:r>
      <w:r>
        <w:rPr>
          <w:spacing w:val="-3"/>
          <w:w w:val="100"/>
          <w:sz w:val="21"/>
        </w:rPr>
        <w:t>b</w:t>
      </w:r>
      <w:r>
        <w:rPr>
          <w:spacing w:val="-1"/>
          <w:w w:val="100"/>
          <w:sz w:val="21"/>
        </w:rPr>
        <w:t>ee</w:t>
      </w:r>
      <w:r>
        <w:rPr>
          <w:w w:val="100"/>
          <w:sz w:val="21"/>
        </w:rPr>
        <w:t>n</w:t>
      </w:r>
      <w:r>
        <w:rPr>
          <w:spacing w:val="4"/>
          <w:sz w:val="21"/>
        </w:rPr>
        <w:t> </w:t>
      </w:r>
      <w:r>
        <w:rPr>
          <w:spacing w:val="-2"/>
          <w:w w:val="100"/>
          <w:sz w:val="21"/>
        </w:rPr>
        <w:t>w</w:t>
      </w:r>
      <w:r>
        <w:rPr>
          <w:spacing w:val="-1"/>
          <w:w w:val="100"/>
          <w:sz w:val="21"/>
        </w:rPr>
        <w:t>r</w:t>
      </w:r>
      <w:r>
        <w:rPr>
          <w:w w:val="100"/>
          <w:sz w:val="21"/>
        </w:rPr>
        <w:t>i</w:t>
      </w:r>
      <w:r>
        <w:rPr>
          <w:spacing w:val="-2"/>
          <w:w w:val="100"/>
          <w:sz w:val="21"/>
        </w:rPr>
        <w:t>tt</w:t>
      </w:r>
      <w:r>
        <w:rPr>
          <w:spacing w:val="-1"/>
          <w:w w:val="100"/>
          <w:sz w:val="21"/>
        </w:rPr>
        <w:t>e</w:t>
      </w:r>
      <w:r>
        <w:rPr>
          <w:w w:val="100"/>
          <w:sz w:val="21"/>
        </w:rPr>
        <w:t>n</w:t>
      </w:r>
      <w:r>
        <w:rPr>
          <w:spacing w:val="6"/>
          <w:sz w:val="21"/>
        </w:rPr>
        <w:t> </w:t>
      </w:r>
      <w:r>
        <w:rPr>
          <w:spacing w:val="-2"/>
          <w:w w:val="100"/>
          <w:sz w:val="21"/>
        </w:rPr>
        <w:t>w</w:t>
      </w:r>
      <w:r>
        <w:rPr>
          <w:w w:val="100"/>
          <w:sz w:val="21"/>
        </w:rPr>
        <w:t>i</w:t>
      </w:r>
      <w:r>
        <w:rPr>
          <w:spacing w:val="-2"/>
          <w:w w:val="100"/>
          <w:sz w:val="21"/>
        </w:rPr>
        <w:t>t</w:t>
      </w:r>
      <w:r>
        <w:rPr>
          <w:w w:val="100"/>
          <w:sz w:val="21"/>
        </w:rPr>
        <w:t>h</w:t>
      </w:r>
      <w:r>
        <w:rPr>
          <w:spacing w:val="6"/>
          <w:sz w:val="21"/>
        </w:rPr>
        <w:t> </w:t>
      </w:r>
      <w:r>
        <w:rPr>
          <w:spacing w:val="-3"/>
          <w:w w:val="100"/>
          <w:sz w:val="21"/>
        </w:rPr>
        <w:t>c</w:t>
      </w:r>
      <w:r>
        <w:rPr>
          <w:spacing w:val="-1"/>
          <w:w w:val="100"/>
          <w:sz w:val="21"/>
        </w:rPr>
        <w:t>o</w:t>
      </w:r>
      <w:r>
        <w:rPr>
          <w:spacing w:val="-3"/>
          <w:w w:val="100"/>
          <w:sz w:val="21"/>
        </w:rPr>
        <w:t>a</w:t>
      </w:r>
      <w:r>
        <w:rPr>
          <w:w w:val="100"/>
          <w:sz w:val="21"/>
        </w:rPr>
        <w:t>l. </w:t>
      </w:r>
      <w:r>
        <w:rPr>
          <w:sz w:val="21"/>
        </w:rPr>
        <w:t>Kindly, do justice. It is an open tyranny and high handedness of the Hindus on Muslims and not that of Hindus. Previously the symbol of Janamsthan had been there for hundreds of years and Hindus did Puja. Because of conspiracy of Shiv Ghulam Thandedar Oudh Government, the Bairagis </w:t>
      </w:r>
      <w:r>
        <w:rPr>
          <w:w w:val="100"/>
          <w:sz w:val="21"/>
        </w:rPr>
        <w:t>cons</w:t>
      </w:r>
      <w:r>
        <w:rPr>
          <w:spacing w:val="-1"/>
          <w:w w:val="100"/>
          <w:sz w:val="21"/>
        </w:rPr>
        <w:t>tr</w:t>
      </w:r>
      <w:r>
        <w:rPr>
          <w:w w:val="100"/>
          <w:sz w:val="21"/>
        </w:rPr>
        <w:t>uc</w:t>
      </w:r>
      <w:r>
        <w:rPr>
          <w:spacing w:val="-1"/>
          <w:w w:val="100"/>
          <w:sz w:val="21"/>
        </w:rPr>
        <w:t>t</w:t>
      </w:r>
      <w:r>
        <w:rPr>
          <w:spacing w:val="-3"/>
          <w:w w:val="100"/>
          <w:sz w:val="21"/>
        </w:rPr>
        <w:t>e</w:t>
      </w:r>
      <w:r>
        <w:rPr>
          <w:w w:val="100"/>
          <w:sz w:val="21"/>
        </w:rPr>
        <w:t>d</w:t>
      </w:r>
      <w:r>
        <w:rPr>
          <w:spacing w:val="8"/>
          <w:sz w:val="21"/>
        </w:rPr>
        <w:t> </w:t>
      </w:r>
      <w:r>
        <w:rPr>
          <w:w w:val="100"/>
          <w:sz w:val="21"/>
        </w:rPr>
        <w:t>o</w:t>
      </w:r>
      <w:r>
        <w:rPr>
          <w:spacing w:val="-3"/>
          <w:w w:val="100"/>
          <w:sz w:val="21"/>
        </w:rPr>
        <w:t>v</w:t>
      </w:r>
      <w:r>
        <w:rPr>
          <w:w w:val="100"/>
          <w:sz w:val="21"/>
        </w:rPr>
        <w:t>er</w:t>
      </w:r>
      <w:r>
        <w:rPr>
          <w:spacing w:val="-3"/>
          <w:w w:val="100"/>
          <w:sz w:val="21"/>
        </w:rPr>
        <w:t>n</w:t>
      </w:r>
      <w:r>
        <w:rPr>
          <w:w w:val="100"/>
          <w:sz w:val="21"/>
        </w:rPr>
        <w:t>i</w:t>
      </w:r>
      <w:r>
        <w:rPr>
          <w:w w:val="100"/>
          <w:sz w:val="21"/>
        </w:rPr>
        <w:t>ght</w:t>
      </w:r>
      <w:r>
        <w:rPr>
          <w:spacing w:val="7"/>
          <w:sz w:val="21"/>
        </w:rPr>
        <w:t> </w:t>
      </w:r>
      <w:r>
        <w:rPr>
          <w:w w:val="100"/>
          <w:sz w:val="21"/>
        </w:rPr>
        <w:t>a</w:t>
      </w:r>
      <w:r>
        <w:rPr>
          <w:spacing w:val="6"/>
          <w:sz w:val="21"/>
        </w:rPr>
        <w:t> </w:t>
      </w:r>
      <w:r>
        <w:rPr>
          <w:spacing w:val="-2"/>
          <w:w w:val="100"/>
          <w:sz w:val="21"/>
        </w:rPr>
        <w:t>C</w:t>
      </w:r>
      <w:r>
        <w:rPr>
          <w:w w:val="100"/>
          <w:sz w:val="21"/>
        </w:rPr>
        <w:t>habu</w:t>
      </w:r>
      <w:r>
        <w:rPr>
          <w:spacing w:val="-2"/>
          <w:w w:val="100"/>
          <w:sz w:val="21"/>
        </w:rPr>
        <w:t>t</w:t>
      </w:r>
      <w:r>
        <w:rPr>
          <w:spacing w:val="-1"/>
          <w:w w:val="100"/>
          <w:sz w:val="21"/>
        </w:rPr>
        <w:t>r</w:t>
      </w:r>
      <w:r>
        <w:rPr>
          <w:w w:val="100"/>
          <w:sz w:val="21"/>
        </w:rPr>
        <w:t>a</w:t>
      </w:r>
      <w:r>
        <w:rPr>
          <w:spacing w:val="6"/>
          <w:sz w:val="21"/>
        </w:rPr>
        <w:t> </w:t>
      </w:r>
      <w:r>
        <w:rPr>
          <w:w w:val="100"/>
          <w:sz w:val="21"/>
        </w:rPr>
        <w:t>up</w:t>
      </w:r>
      <w:r>
        <w:rPr>
          <w:spacing w:val="9"/>
          <w:sz w:val="21"/>
        </w:rPr>
        <w:t> </w:t>
      </w:r>
      <w:r>
        <w:rPr>
          <w:spacing w:val="-2"/>
          <w:w w:val="100"/>
          <w:sz w:val="21"/>
        </w:rPr>
        <w:t>t</w:t>
      </w:r>
      <w:r>
        <w:rPr>
          <w:w w:val="100"/>
          <w:sz w:val="21"/>
        </w:rPr>
        <w:t>o</w:t>
      </w:r>
      <w:r>
        <w:rPr>
          <w:spacing w:val="6"/>
          <w:sz w:val="21"/>
        </w:rPr>
        <w:t> </w:t>
      </w:r>
      <w:r>
        <w:rPr>
          <w:w w:val="100"/>
          <w:sz w:val="21"/>
        </w:rPr>
        <w:t>h</w:t>
      </w:r>
      <w:r>
        <w:rPr>
          <w:spacing w:val="-3"/>
          <w:w w:val="100"/>
          <w:sz w:val="21"/>
        </w:rPr>
        <w:t>e</w:t>
      </w:r>
      <w:r>
        <w:rPr>
          <w:w w:val="100"/>
          <w:sz w:val="21"/>
        </w:rPr>
        <w:t>i</w:t>
      </w:r>
      <w:r>
        <w:rPr>
          <w:w w:val="100"/>
          <w:sz w:val="21"/>
        </w:rPr>
        <w:t>ght</w:t>
      </w:r>
      <w:r>
        <w:rPr>
          <w:spacing w:val="5"/>
          <w:sz w:val="21"/>
        </w:rPr>
        <w:t> </w:t>
      </w:r>
      <w:r>
        <w:rPr>
          <w:spacing w:val="3"/>
          <w:w w:val="100"/>
          <w:sz w:val="21"/>
        </w:rPr>
        <w:t>o</w:t>
      </w:r>
      <w:r>
        <w:rPr>
          <w:w w:val="100"/>
          <w:sz w:val="21"/>
        </w:rPr>
        <w:t>f</w:t>
      </w:r>
      <w:r>
        <w:rPr>
          <w:spacing w:val="7"/>
          <w:sz w:val="21"/>
        </w:rPr>
        <w:t> </w:t>
      </w:r>
      <w:r>
        <w:rPr>
          <w:spacing w:val="-1"/>
          <w:w w:val="100"/>
          <w:sz w:val="21"/>
        </w:rPr>
        <w:t>o</w:t>
      </w:r>
      <w:r>
        <w:rPr>
          <w:spacing w:val="-3"/>
          <w:w w:val="100"/>
          <w:sz w:val="21"/>
        </w:rPr>
        <w:t>n</w:t>
      </w:r>
      <w:r>
        <w:rPr>
          <w:w w:val="100"/>
          <w:sz w:val="21"/>
        </w:rPr>
        <w:t>e</w:t>
      </w:r>
      <w:r>
        <w:rPr>
          <w:spacing w:val="8"/>
          <w:sz w:val="21"/>
        </w:rPr>
        <w:t> </w:t>
      </w:r>
      <w:r>
        <w:rPr>
          <w:spacing w:val="-2"/>
          <w:w w:val="40"/>
          <w:sz w:val="21"/>
        </w:rPr>
        <w:t>‗</w:t>
      </w:r>
      <w:r>
        <w:rPr>
          <w:w w:val="100"/>
          <w:sz w:val="21"/>
        </w:rPr>
        <w:t>B</w:t>
      </w:r>
      <w:r>
        <w:rPr>
          <w:spacing w:val="-3"/>
          <w:w w:val="100"/>
          <w:sz w:val="21"/>
        </w:rPr>
        <w:t>a</w:t>
      </w:r>
      <w:r>
        <w:rPr>
          <w:w w:val="100"/>
          <w:sz w:val="21"/>
        </w:rPr>
        <w:t>li</w:t>
      </w:r>
      <w:r>
        <w:rPr>
          <w:spacing w:val="-3"/>
          <w:w w:val="100"/>
          <w:sz w:val="21"/>
        </w:rPr>
        <w:t>s</w:t>
      </w:r>
      <w:r>
        <w:rPr>
          <w:spacing w:val="-1"/>
          <w:w w:val="100"/>
          <w:sz w:val="21"/>
        </w:rPr>
        <w:t>h</w:t>
      </w:r>
      <w:r>
        <w:rPr>
          <w:spacing w:val="-4"/>
          <w:w w:val="100"/>
          <w:sz w:val="21"/>
        </w:rPr>
        <w:t>t</w:t>
      </w:r>
      <w:r>
        <w:rPr>
          <w:w w:val="100"/>
          <w:sz w:val="21"/>
        </w:rPr>
        <w:t>‘ </w:t>
      </w:r>
      <w:r>
        <w:rPr>
          <w:sz w:val="21"/>
        </w:rPr>
        <w:t>until the orders of injunction were issued. At that time the Deputy Commissioner suspended the Thanedar and fine was imposed on Bairagis. Now the Chabootra has been raised to about 1</w:t>
      </w:r>
      <w:r>
        <w:rPr>
          <w:sz w:val="21"/>
          <w:vertAlign w:val="superscript"/>
        </w:rPr>
        <w:t>1/4</w:t>
      </w:r>
      <w:r>
        <w:rPr>
          <w:sz w:val="21"/>
          <w:vertAlign w:val="baseline"/>
        </w:rPr>
        <w:t> yards. Thus sheer high-handedness has been proved. Therefore, it is requested that Murtaza Khan Kotwal City may be ordered that he himself visit the spot and inspect the new constructions and get them demolished (sic) and  oust the Hindus from there; the symbol and the idol may be removed from there and writing on the walls be</w:t>
      </w:r>
      <w:r>
        <w:rPr>
          <w:spacing w:val="-24"/>
          <w:sz w:val="21"/>
          <w:vertAlign w:val="baseline"/>
        </w:rPr>
        <w:t> </w:t>
      </w:r>
      <w:r>
        <w:rPr>
          <w:sz w:val="21"/>
          <w:vertAlign w:val="baseline"/>
        </w:rPr>
        <w:t>washed.‖</w:t>
      </w:r>
    </w:p>
    <w:p>
      <w:pPr>
        <w:pStyle w:val="BodyText"/>
        <w:rPr>
          <w:sz w:val="24"/>
        </w:rPr>
      </w:pPr>
    </w:p>
    <w:p>
      <w:pPr>
        <w:pStyle w:val="BodyText"/>
        <w:spacing w:before="1"/>
        <w:rPr>
          <w:sz w:val="26"/>
        </w:rPr>
      </w:pPr>
    </w:p>
    <w:p>
      <w:pPr>
        <w:pStyle w:val="BodyText"/>
        <w:spacing w:line="480" w:lineRule="auto"/>
        <w:ind w:left="500" w:right="460"/>
        <w:jc w:val="both"/>
      </w:pPr>
      <w:r>
        <w:rPr/>
        <w:t>The contents of the application indicate that by this time a platform had been constructed inside the mosque in which an idol had been placed. A fire had been lit and arrangements were made for puja. Evidently, the railing did not prevent access to the inner courtyard or to the precincts of the mosque.</w:t>
      </w:r>
    </w:p>
    <w:p>
      <w:pPr>
        <w:pStyle w:val="ListParagraph"/>
        <w:numPr>
          <w:ilvl w:val="0"/>
          <w:numId w:val="32"/>
        </w:numPr>
        <w:tabs>
          <w:tab w:pos="1221" w:val="left" w:leader="none"/>
        </w:tabs>
        <w:spacing w:line="480" w:lineRule="auto" w:before="3" w:after="0"/>
        <w:ind w:left="1220" w:right="441" w:hanging="720"/>
        <w:jc w:val="both"/>
        <w:rPr>
          <w:sz w:val="25"/>
        </w:rPr>
      </w:pPr>
      <w:r>
        <w:rPr>
          <w:w w:val="99"/>
          <w:sz w:val="25"/>
        </w:rPr>
        <w:t>A</w:t>
      </w:r>
      <w:r>
        <w:rPr>
          <w:sz w:val="25"/>
        </w:rPr>
        <w:t> </w:t>
      </w:r>
      <w:r>
        <w:rPr>
          <w:spacing w:val="20"/>
          <w:sz w:val="25"/>
        </w:rPr>
        <w:t> </w:t>
      </w:r>
      <w:r>
        <w:rPr>
          <w:w w:val="99"/>
          <w:sz w:val="25"/>
        </w:rPr>
        <w:t>r</w:t>
      </w:r>
      <w:r>
        <w:rPr>
          <w:spacing w:val="-1"/>
          <w:w w:val="99"/>
          <w:sz w:val="25"/>
        </w:rPr>
        <w:t>e</w:t>
      </w:r>
      <w:r>
        <w:rPr>
          <w:w w:val="99"/>
          <w:sz w:val="25"/>
        </w:rPr>
        <w:t>p</w:t>
      </w:r>
      <w:r>
        <w:rPr>
          <w:spacing w:val="-1"/>
          <w:w w:val="99"/>
          <w:sz w:val="25"/>
        </w:rPr>
        <w:t>o</w:t>
      </w:r>
      <w:r>
        <w:rPr>
          <w:w w:val="99"/>
          <w:sz w:val="25"/>
        </w:rPr>
        <w:t>rt</w:t>
      </w:r>
      <w:r>
        <w:rPr>
          <w:sz w:val="25"/>
        </w:rPr>
        <w:t> </w:t>
      </w:r>
      <w:r>
        <w:rPr>
          <w:spacing w:val="21"/>
          <w:sz w:val="25"/>
        </w:rPr>
        <w:t> </w:t>
      </w:r>
      <w:r>
        <w:rPr>
          <w:spacing w:val="-1"/>
          <w:w w:val="99"/>
          <w:sz w:val="25"/>
        </w:rPr>
        <w:t>wa</w:t>
      </w:r>
      <w:r>
        <w:rPr>
          <w:w w:val="99"/>
          <w:sz w:val="25"/>
        </w:rPr>
        <w:t>s</w:t>
      </w:r>
      <w:r>
        <w:rPr>
          <w:sz w:val="25"/>
        </w:rPr>
        <w:t> </w:t>
      </w:r>
      <w:r>
        <w:rPr>
          <w:spacing w:val="21"/>
          <w:sz w:val="25"/>
        </w:rPr>
        <w:t> </w:t>
      </w:r>
      <w:r>
        <w:rPr>
          <w:w w:val="99"/>
          <w:sz w:val="25"/>
        </w:rPr>
        <w:t>subm</w:t>
      </w:r>
      <w:r>
        <w:rPr>
          <w:spacing w:val="-1"/>
          <w:w w:val="99"/>
          <w:sz w:val="25"/>
        </w:rPr>
        <w:t>itte</w:t>
      </w:r>
      <w:r>
        <w:rPr>
          <w:w w:val="99"/>
          <w:sz w:val="25"/>
        </w:rPr>
        <w:t>d</w:t>
      </w:r>
      <w:r>
        <w:rPr>
          <w:sz w:val="25"/>
        </w:rPr>
        <w:t> </w:t>
      </w:r>
      <w:r>
        <w:rPr>
          <w:spacing w:val="22"/>
          <w:sz w:val="25"/>
        </w:rPr>
        <w:t> </w:t>
      </w:r>
      <w:r>
        <w:rPr>
          <w:spacing w:val="-1"/>
          <w:w w:val="99"/>
          <w:sz w:val="25"/>
        </w:rPr>
        <w:t>b</w:t>
      </w:r>
      <w:r>
        <w:rPr>
          <w:w w:val="99"/>
          <w:sz w:val="25"/>
        </w:rPr>
        <w:t>y</w:t>
      </w:r>
      <w:r>
        <w:rPr>
          <w:sz w:val="25"/>
        </w:rPr>
        <w:t> </w:t>
      </w:r>
      <w:r>
        <w:rPr>
          <w:spacing w:val="19"/>
          <w:sz w:val="25"/>
        </w:rPr>
        <w:t> </w:t>
      </w:r>
      <w:r>
        <w:rPr>
          <w:w w:val="99"/>
          <w:sz w:val="25"/>
        </w:rPr>
        <w:t>the</w:t>
      </w:r>
      <w:r>
        <w:rPr>
          <w:sz w:val="25"/>
        </w:rPr>
        <w:t> </w:t>
      </w:r>
      <w:r>
        <w:rPr>
          <w:spacing w:val="22"/>
          <w:sz w:val="25"/>
        </w:rPr>
        <w:t> </w:t>
      </w:r>
      <w:r>
        <w:rPr>
          <w:w w:val="99"/>
          <w:sz w:val="25"/>
        </w:rPr>
        <w:t>T</w:t>
      </w:r>
      <w:r>
        <w:rPr>
          <w:spacing w:val="-1"/>
          <w:w w:val="99"/>
          <w:sz w:val="25"/>
        </w:rPr>
        <w:t>h</w:t>
      </w:r>
      <w:r>
        <w:rPr>
          <w:w w:val="99"/>
          <w:sz w:val="25"/>
        </w:rPr>
        <w:t>a</w:t>
      </w:r>
      <w:r>
        <w:rPr>
          <w:spacing w:val="-1"/>
          <w:w w:val="99"/>
          <w:sz w:val="25"/>
        </w:rPr>
        <w:t>n</w:t>
      </w:r>
      <w:r>
        <w:rPr>
          <w:w w:val="99"/>
          <w:sz w:val="25"/>
        </w:rPr>
        <w:t>e</w:t>
      </w:r>
      <w:r>
        <w:rPr>
          <w:spacing w:val="2"/>
          <w:w w:val="99"/>
          <w:sz w:val="25"/>
        </w:rPr>
        <w:t>d</w:t>
      </w:r>
      <w:r>
        <w:rPr>
          <w:spacing w:val="-1"/>
          <w:w w:val="99"/>
          <w:sz w:val="25"/>
        </w:rPr>
        <w:t>a</w:t>
      </w:r>
      <w:r>
        <w:rPr>
          <w:w w:val="99"/>
          <w:sz w:val="25"/>
        </w:rPr>
        <w:t>r</w:t>
      </w:r>
      <w:r>
        <w:rPr>
          <w:sz w:val="25"/>
        </w:rPr>
        <w:t> </w:t>
      </w:r>
      <w:r>
        <w:rPr>
          <w:spacing w:val="22"/>
          <w:sz w:val="25"/>
        </w:rPr>
        <w:t> </w:t>
      </w:r>
      <w:r>
        <w:rPr>
          <w:spacing w:val="-1"/>
          <w:w w:val="99"/>
          <w:sz w:val="25"/>
        </w:rPr>
        <w:t>o</w:t>
      </w:r>
      <w:r>
        <w:rPr>
          <w:w w:val="99"/>
          <w:sz w:val="25"/>
        </w:rPr>
        <w:t>n</w:t>
      </w:r>
      <w:r>
        <w:rPr>
          <w:sz w:val="25"/>
        </w:rPr>
        <w:t> </w:t>
      </w:r>
      <w:r>
        <w:rPr>
          <w:spacing w:val="22"/>
          <w:sz w:val="25"/>
        </w:rPr>
        <w:t> </w:t>
      </w:r>
      <w:r>
        <w:rPr>
          <w:w w:val="99"/>
          <w:sz w:val="25"/>
        </w:rPr>
        <w:t>1</w:t>
      </w:r>
      <w:r>
        <w:rPr>
          <w:sz w:val="25"/>
        </w:rPr>
        <w:t> </w:t>
      </w:r>
      <w:r>
        <w:rPr>
          <w:spacing w:val="22"/>
          <w:sz w:val="25"/>
        </w:rPr>
        <w:t> </w:t>
      </w:r>
      <w:r>
        <w:rPr>
          <w:spacing w:val="-1"/>
          <w:w w:val="99"/>
          <w:sz w:val="25"/>
        </w:rPr>
        <w:t>Dece</w:t>
      </w:r>
      <w:r>
        <w:rPr>
          <w:spacing w:val="1"/>
          <w:w w:val="99"/>
          <w:sz w:val="25"/>
        </w:rPr>
        <w:t>m</w:t>
      </w:r>
      <w:r>
        <w:rPr>
          <w:spacing w:val="-1"/>
          <w:w w:val="99"/>
          <w:sz w:val="25"/>
        </w:rPr>
        <w:t>b</w:t>
      </w:r>
      <w:r>
        <w:rPr>
          <w:w w:val="99"/>
          <w:sz w:val="25"/>
        </w:rPr>
        <w:t>er</w:t>
      </w:r>
      <w:r>
        <w:rPr>
          <w:sz w:val="25"/>
        </w:rPr>
        <w:t> </w:t>
      </w:r>
      <w:r>
        <w:rPr>
          <w:spacing w:val="22"/>
          <w:sz w:val="25"/>
        </w:rPr>
        <w:t> </w:t>
      </w:r>
      <w:r>
        <w:rPr>
          <w:spacing w:val="-1"/>
          <w:w w:val="99"/>
          <w:sz w:val="25"/>
        </w:rPr>
        <w:t>1</w:t>
      </w:r>
      <w:r>
        <w:rPr>
          <w:w w:val="99"/>
          <w:sz w:val="25"/>
        </w:rPr>
        <w:t>8</w:t>
      </w:r>
      <w:r>
        <w:rPr>
          <w:spacing w:val="-1"/>
          <w:w w:val="99"/>
          <w:sz w:val="25"/>
        </w:rPr>
        <w:t>5</w:t>
      </w:r>
      <w:r>
        <w:rPr>
          <w:w w:val="99"/>
          <w:sz w:val="25"/>
        </w:rPr>
        <w:t>8</w:t>
      </w:r>
      <w:r>
        <w:rPr>
          <w:sz w:val="25"/>
        </w:rPr>
        <w:t> </w:t>
      </w:r>
      <w:r>
        <w:rPr>
          <w:spacing w:val="22"/>
          <w:sz w:val="25"/>
        </w:rPr>
        <w:t> </w:t>
      </w:r>
      <w:r>
        <w:rPr>
          <w:w w:val="33"/>
          <w:sz w:val="25"/>
        </w:rPr>
        <w:t>―</w:t>
      </w:r>
      <w:r>
        <w:rPr>
          <w:w w:val="99"/>
          <w:sz w:val="25"/>
        </w:rPr>
        <w:t>for </w:t>
      </w:r>
      <w:r>
        <w:rPr>
          <w:sz w:val="25"/>
        </w:rPr>
        <w:t>summoning Nihang Singh Faqir who is residing within the Masjid Janam </w:t>
      </w:r>
      <w:r>
        <w:rPr>
          <w:spacing w:val="-1"/>
          <w:w w:val="99"/>
          <w:sz w:val="25"/>
        </w:rPr>
        <w:t>S</w:t>
      </w:r>
      <w:r>
        <w:rPr>
          <w:w w:val="99"/>
          <w:sz w:val="25"/>
        </w:rPr>
        <w:t>tha</w:t>
      </w:r>
      <w:r>
        <w:rPr>
          <w:w w:val="99"/>
          <w:sz w:val="25"/>
        </w:rPr>
        <w:t>n</w:t>
      </w:r>
      <w:r>
        <w:rPr>
          <w:spacing w:val="-1"/>
          <w:w w:val="101"/>
          <w:sz w:val="25"/>
          <w:vertAlign w:val="superscript"/>
        </w:rPr>
        <w:t>17</w:t>
      </w:r>
      <w:r>
        <w:rPr>
          <w:w w:val="99"/>
          <w:sz w:val="25"/>
          <w:vertAlign w:val="baseline"/>
        </w:rPr>
        <w:t>.</w:t>
      </w:r>
      <w:r>
        <w:rPr>
          <w:spacing w:val="2"/>
          <w:sz w:val="25"/>
          <w:vertAlign w:val="baseline"/>
        </w:rPr>
        <w:t> </w:t>
      </w:r>
      <w:r>
        <w:rPr>
          <w:w w:val="99"/>
          <w:sz w:val="25"/>
          <w:vertAlign w:val="baseline"/>
        </w:rPr>
        <w:t>T</w:t>
      </w:r>
      <w:r>
        <w:rPr>
          <w:w w:val="99"/>
          <w:sz w:val="25"/>
          <w:vertAlign w:val="baseline"/>
        </w:rPr>
        <w:t>he</w:t>
      </w:r>
      <w:r>
        <w:rPr>
          <w:spacing w:val="2"/>
          <w:sz w:val="25"/>
          <w:vertAlign w:val="baseline"/>
        </w:rPr>
        <w:t> </w:t>
      </w:r>
      <w:r>
        <w:rPr>
          <w:w w:val="99"/>
          <w:sz w:val="25"/>
          <w:vertAlign w:val="baseline"/>
        </w:rPr>
        <w:t>r</w:t>
      </w:r>
      <w:r>
        <w:rPr>
          <w:w w:val="99"/>
          <w:sz w:val="25"/>
          <w:vertAlign w:val="baseline"/>
        </w:rPr>
        <w:t>epo</w:t>
      </w:r>
      <w:r>
        <w:rPr>
          <w:spacing w:val="1"/>
          <w:w w:val="99"/>
          <w:sz w:val="25"/>
          <w:vertAlign w:val="baseline"/>
        </w:rPr>
        <w:t>r</w:t>
      </w:r>
      <w:r>
        <w:rPr>
          <w:w w:val="99"/>
          <w:sz w:val="25"/>
          <w:vertAlign w:val="baseline"/>
        </w:rPr>
        <w:t>t</w:t>
      </w:r>
      <w:r>
        <w:rPr>
          <w:spacing w:val="2"/>
          <w:sz w:val="25"/>
          <w:vertAlign w:val="baseline"/>
        </w:rPr>
        <w:t> </w:t>
      </w:r>
      <w:r>
        <w:rPr>
          <w:w w:val="99"/>
          <w:sz w:val="25"/>
          <w:vertAlign w:val="baseline"/>
        </w:rPr>
        <w:t>sta</w:t>
      </w:r>
      <w:r>
        <w:rPr>
          <w:spacing w:val="-2"/>
          <w:w w:val="99"/>
          <w:sz w:val="25"/>
          <w:vertAlign w:val="baseline"/>
        </w:rPr>
        <w:t>t</w:t>
      </w:r>
      <w:r>
        <w:rPr>
          <w:w w:val="99"/>
          <w:sz w:val="25"/>
          <w:vertAlign w:val="baseline"/>
        </w:rPr>
        <w:t>ed</w:t>
      </w:r>
      <w:r>
        <w:rPr>
          <w:spacing w:val="2"/>
          <w:sz w:val="25"/>
          <w:vertAlign w:val="baseline"/>
        </w:rPr>
        <w:t> </w:t>
      </w:r>
      <w:r>
        <w:rPr>
          <w:w w:val="99"/>
          <w:sz w:val="25"/>
          <w:vertAlign w:val="baseline"/>
        </w:rPr>
        <w:t>tha</w:t>
      </w:r>
      <w:r>
        <w:rPr>
          <w:w w:val="99"/>
          <w:sz w:val="25"/>
          <w:vertAlign w:val="baseline"/>
        </w:rPr>
        <w:t>t</w:t>
      </w:r>
      <w:r>
        <w:rPr>
          <w:spacing w:val="2"/>
          <w:sz w:val="25"/>
          <w:vertAlign w:val="baseline"/>
        </w:rPr>
        <w:t> </w:t>
      </w:r>
      <w:r>
        <w:rPr>
          <w:w w:val="99"/>
          <w:sz w:val="25"/>
          <w:vertAlign w:val="baseline"/>
        </w:rPr>
        <w:t>he</w:t>
      </w:r>
      <w:r>
        <w:rPr>
          <w:spacing w:val="2"/>
          <w:sz w:val="25"/>
          <w:vertAlign w:val="baseline"/>
        </w:rPr>
        <w:t> </w:t>
      </w:r>
      <w:r>
        <w:rPr>
          <w:w w:val="99"/>
          <w:sz w:val="25"/>
          <w:vertAlign w:val="baseline"/>
        </w:rPr>
        <w:t>had</w:t>
      </w:r>
      <w:r>
        <w:rPr>
          <w:spacing w:val="2"/>
          <w:sz w:val="25"/>
          <w:vertAlign w:val="baseline"/>
        </w:rPr>
        <w:t> </w:t>
      </w:r>
      <w:r>
        <w:rPr>
          <w:w w:val="99"/>
          <w:sz w:val="25"/>
          <w:vertAlign w:val="baseline"/>
        </w:rPr>
        <w:t>t</w:t>
      </w:r>
      <w:r>
        <w:rPr>
          <w:spacing w:val="6"/>
          <w:w w:val="99"/>
          <w:sz w:val="25"/>
          <w:vertAlign w:val="baseline"/>
        </w:rPr>
        <w:t>a</w:t>
      </w:r>
      <w:r>
        <w:rPr>
          <w:w w:val="99"/>
          <w:sz w:val="25"/>
          <w:vertAlign w:val="baseline"/>
        </w:rPr>
        <w:t>ken</w:t>
      </w:r>
      <w:r>
        <w:rPr>
          <w:spacing w:val="2"/>
          <w:sz w:val="25"/>
          <w:vertAlign w:val="baseline"/>
        </w:rPr>
        <w:t> </w:t>
      </w:r>
      <w:r>
        <w:rPr>
          <w:w w:val="99"/>
          <w:sz w:val="25"/>
          <w:vertAlign w:val="baseline"/>
        </w:rPr>
        <w:t>a</w:t>
      </w:r>
      <w:r>
        <w:rPr>
          <w:spacing w:val="2"/>
          <w:sz w:val="25"/>
          <w:vertAlign w:val="baseline"/>
        </w:rPr>
        <w:t> </w:t>
      </w:r>
      <w:r>
        <w:rPr>
          <w:w w:val="99"/>
          <w:sz w:val="25"/>
          <w:vertAlign w:val="baseline"/>
        </w:rPr>
        <w:t>su</w:t>
      </w:r>
      <w:r>
        <w:rPr>
          <w:spacing w:val="1"/>
          <w:w w:val="99"/>
          <w:sz w:val="25"/>
          <w:vertAlign w:val="baseline"/>
        </w:rPr>
        <w:t>m</w:t>
      </w:r>
      <w:r>
        <w:rPr>
          <w:w w:val="99"/>
          <w:sz w:val="25"/>
          <w:vertAlign w:val="baseline"/>
        </w:rPr>
        <w:t>m</w:t>
      </w:r>
      <w:r>
        <w:rPr>
          <w:spacing w:val="-1"/>
          <w:w w:val="99"/>
          <w:sz w:val="25"/>
          <w:vertAlign w:val="baseline"/>
        </w:rPr>
        <w:t>o</w:t>
      </w:r>
      <w:r>
        <w:rPr>
          <w:w w:val="99"/>
          <w:sz w:val="25"/>
          <w:vertAlign w:val="baseline"/>
        </w:rPr>
        <w:t>ns</w:t>
      </w:r>
      <w:r>
        <w:rPr>
          <w:spacing w:val="2"/>
          <w:sz w:val="25"/>
          <w:vertAlign w:val="baseline"/>
        </w:rPr>
        <w:t> </w:t>
      </w:r>
      <w:r>
        <w:rPr>
          <w:w w:val="33"/>
          <w:sz w:val="25"/>
          <w:vertAlign w:val="baseline"/>
        </w:rPr>
        <w:t>―</w:t>
      </w:r>
      <w:r>
        <w:rPr>
          <w:w w:val="99"/>
          <w:sz w:val="25"/>
          <w:vertAlign w:val="baseline"/>
        </w:rPr>
        <w:t>to</w:t>
      </w:r>
      <w:r>
        <w:rPr>
          <w:spacing w:val="3"/>
          <w:sz w:val="25"/>
          <w:vertAlign w:val="baseline"/>
        </w:rPr>
        <w:t> </w:t>
      </w:r>
      <w:r>
        <w:rPr>
          <w:w w:val="99"/>
          <w:sz w:val="25"/>
          <w:vertAlign w:val="baseline"/>
        </w:rPr>
        <w:t>the</w:t>
      </w:r>
      <w:r>
        <w:rPr>
          <w:spacing w:val="2"/>
          <w:sz w:val="25"/>
          <w:vertAlign w:val="baseline"/>
        </w:rPr>
        <w:t> </w:t>
      </w:r>
      <w:r>
        <w:rPr>
          <w:w w:val="99"/>
          <w:sz w:val="25"/>
          <w:vertAlign w:val="baseline"/>
        </w:rPr>
        <w:t>said</w:t>
      </w:r>
      <w:r>
        <w:rPr>
          <w:spacing w:val="2"/>
          <w:sz w:val="25"/>
          <w:vertAlign w:val="baseline"/>
        </w:rPr>
        <w:t> </w:t>
      </w:r>
      <w:r>
        <w:rPr>
          <w:w w:val="99"/>
          <w:sz w:val="25"/>
          <w:vertAlign w:val="baseline"/>
        </w:rPr>
        <w:t>F</w:t>
      </w:r>
      <w:r>
        <w:rPr>
          <w:spacing w:val="-1"/>
          <w:w w:val="99"/>
          <w:sz w:val="25"/>
          <w:vertAlign w:val="baseline"/>
        </w:rPr>
        <w:t>a</w:t>
      </w:r>
      <w:r>
        <w:rPr>
          <w:w w:val="99"/>
          <w:sz w:val="25"/>
          <w:vertAlign w:val="baseline"/>
        </w:rPr>
        <w:t>q</w:t>
      </w:r>
      <w:r>
        <w:rPr>
          <w:spacing w:val="-1"/>
          <w:w w:val="91"/>
          <w:sz w:val="25"/>
          <w:vertAlign w:val="baseline"/>
        </w:rPr>
        <w:t>ir‖ </w:t>
      </w:r>
      <w:r>
        <w:rPr>
          <w:spacing w:val="-1"/>
          <w:w w:val="99"/>
          <w:sz w:val="25"/>
          <w:vertAlign w:val="baseline"/>
        </w:rPr>
        <w:t>a</w:t>
      </w:r>
      <w:r>
        <w:rPr>
          <w:w w:val="99"/>
          <w:sz w:val="25"/>
          <w:vertAlign w:val="baseline"/>
        </w:rPr>
        <w:t>nd</w:t>
      </w:r>
      <w:r>
        <w:rPr>
          <w:spacing w:val="-1"/>
          <w:sz w:val="25"/>
          <w:vertAlign w:val="baseline"/>
        </w:rPr>
        <w:t> </w:t>
      </w:r>
      <w:r>
        <w:rPr>
          <w:w w:val="99"/>
          <w:sz w:val="25"/>
          <w:vertAlign w:val="baseline"/>
        </w:rPr>
        <w:t>he</w:t>
      </w:r>
      <w:r>
        <w:rPr>
          <w:spacing w:val="-1"/>
          <w:sz w:val="25"/>
          <w:vertAlign w:val="baseline"/>
        </w:rPr>
        <w:t> </w:t>
      </w:r>
      <w:r>
        <w:rPr>
          <w:spacing w:val="-1"/>
          <w:w w:val="99"/>
          <w:sz w:val="25"/>
          <w:vertAlign w:val="baseline"/>
        </w:rPr>
        <w:t>w</w:t>
      </w:r>
      <w:r>
        <w:rPr>
          <w:w w:val="99"/>
          <w:sz w:val="25"/>
          <w:vertAlign w:val="baseline"/>
        </w:rPr>
        <w:t>as</w:t>
      </w:r>
      <w:r>
        <w:rPr>
          <w:spacing w:val="-1"/>
          <w:sz w:val="25"/>
          <w:vertAlign w:val="baseline"/>
        </w:rPr>
        <w:t> </w:t>
      </w:r>
      <w:r>
        <w:rPr>
          <w:spacing w:val="-1"/>
          <w:w w:val="99"/>
          <w:sz w:val="25"/>
          <w:vertAlign w:val="baseline"/>
        </w:rPr>
        <w:t>a</w:t>
      </w:r>
      <w:r>
        <w:rPr>
          <w:w w:val="99"/>
          <w:sz w:val="25"/>
          <w:vertAlign w:val="baseline"/>
        </w:rPr>
        <w:t>dm</w:t>
      </w:r>
      <w:r>
        <w:rPr>
          <w:spacing w:val="-1"/>
          <w:w w:val="99"/>
          <w:sz w:val="25"/>
          <w:vertAlign w:val="baseline"/>
        </w:rPr>
        <w:t>o</w:t>
      </w:r>
      <w:r>
        <w:rPr>
          <w:w w:val="99"/>
          <w:sz w:val="25"/>
          <w:vertAlign w:val="baseline"/>
        </w:rPr>
        <w:t>n</w:t>
      </w:r>
      <w:r>
        <w:rPr>
          <w:spacing w:val="-1"/>
          <w:w w:val="99"/>
          <w:sz w:val="25"/>
          <w:vertAlign w:val="baseline"/>
        </w:rPr>
        <w:t>ishe</w:t>
      </w:r>
      <w:r>
        <w:rPr>
          <w:w w:val="99"/>
          <w:sz w:val="25"/>
          <w:vertAlign w:val="baseline"/>
        </w:rPr>
        <w:t>d,</w:t>
      </w:r>
      <w:r>
        <w:rPr>
          <w:sz w:val="25"/>
          <w:vertAlign w:val="baseline"/>
        </w:rPr>
        <w:t> </w:t>
      </w:r>
      <w:r>
        <w:rPr>
          <w:spacing w:val="-1"/>
          <w:w w:val="99"/>
          <w:sz w:val="25"/>
          <w:vertAlign w:val="baseline"/>
        </w:rPr>
        <w:t>i</w:t>
      </w:r>
      <w:r>
        <w:rPr>
          <w:w w:val="99"/>
          <w:sz w:val="25"/>
          <w:vertAlign w:val="baseline"/>
        </w:rPr>
        <w:t>n</w:t>
      </w:r>
      <w:r>
        <w:rPr>
          <w:sz w:val="25"/>
          <w:vertAlign w:val="baseline"/>
        </w:rPr>
        <w:t> </w:t>
      </w:r>
      <w:r>
        <w:rPr>
          <w:w w:val="99"/>
          <w:sz w:val="25"/>
          <w:vertAlign w:val="baseline"/>
        </w:rPr>
        <w:t>spite</w:t>
      </w:r>
      <w:r>
        <w:rPr>
          <w:sz w:val="25"/>
          <w:vertAlign w:val="baseline"/>
        </w:rPr>
        <w:t> </w:t>
      </w:r>
      <w:r>
        <w:rPr>
          <w:spacing w:val="-1"/>
          <w:w w:val="99"/>
          <w:sz w:val="25"/>
          <w:vertAlign w:val="baseline"/>
        </w:rPr>
        <w:t>o</w:t>
      </w:r>
      <w:r>
        <w:rPr>
          <w:w w:val="99"/>
          <w:sz w:val="25"/>
          <w:vertAlign w:val="baseline"/>
        </w:rPr>
        <w:t>f</w:t>
      </w:r>
      <w:r>
        <w:rPr>
          <w:sz w:val="25"/>
          <w:vertAlign w:val="baseline"/>
        </w:rPr>
        <w:t> </w:t>
      </w:r>
      <w:r>
        <w:rPr>
          <w:spacing w:val="-1"/>
          <w:w w:val="99"/>
          <w:sz w:val="25"/>
          <w:vertAlign w:val="baseline"/>
        </w:rPr>
        <w:t>whic</w:t>
      </w:r>
      <w:r>
        <w:rPr>
          <w:w w:val="99"/>
          <w:sz w:val="25"/>
          <w:vertAlign w:val="baseline"/>
        </w:rPr>
        <w:t>h</w:t>
      </w:r>
      <w:r>
        <w:rPr>
          <w:sz w:val="25"/>
          <w:vertAlign w:val="baseline"/>
        </w:rPr>
        <w:t> </w:t>
      </w:r>
      <w:r>
        <w:rPr>
          <w:spacing w:val="2"/>
          <w:w w:val="99"/>
          <w:sz w:val="25"/>
          <w:vertAlign w:val="baseline"/>
        </w:rPr>
        <w:t>h</w:t>
      </w:r>
      <w:r>
        <w:rPr>
          <w:w w:val="99"/>
          <w:sz w:val="25"/>
          <w:vertAlign w:val="baseline"/>
        </w:rPr>
        <w:t>e</w:t>
      </w:r>
      <w:r>
        <w:rPr>
          <w:spacing w:val="-1"/>
          <w:sz w:val="25"/>
          <w:vertAlign w:val="baseline"/>
        </w:rPr>
        <w:t> </w:t>
      </w:r>
      <w:r>
        <w:rPr>
          <w:w w:val="99"/>
          <w:sz w:val="25"/>
          <w:vertAlign w:val="baseline"/>
        </w:rPr>
        <w:t>co</w:t>
      </w:r>
      <w:r>
        <w:rPr>
          <w:spacing w:val="-1"/>
          <w:w w:val="99"/>
          <w:sz w:val="25"/>
          <w:vertAlign w:val="baseline"/>
        </w:rPr>
        <w:t>nti</w:t>
      </w:r>
      <w:r>
        <w:rPr>
          <w:w w:val="99"/>
          <w:sz w:val="25"/>
          <w:vertAlign w:val="baseline"/>
        </w:rPr>
        <w:t>n</w:t>
      </w:r>
      <w:r>
        <w:rPr>
          <w:spacing w:val="-1"/>
          <w:w w:val="99"/>
          <w:sz w:val="25"/>
          <w:vertAlign w:val="baseline"/>
        </w:rPr>
        <w:t>u</w:t>
      </w:r>
      <w:r>
        <w:rPr>
          <w:w w:val="99"/>
          <w:sz w:val="25"/>
          <w:vertAlign w:val="baseline"/>
        </w:rPr>
        <w:t>ed</w:t>
      </w:r>
      <w:r>
        <w:rPr>
          <w:spacing w:val="-1"/>
          <w:sz w:val="25"/>
          <w:vertAlign w:val="baseline"/>
        </w:rPr>
        <w:t> </w:t>
      </w:r>
      <w:r>
        <w:rPr>
          <w:w w:val="99"/>
          <w:sz w:val="25"/>
          <w:vertAlign w:val="baseline"/>
        </w:rPr>
        <w:t>to</w:t>
      </w:r>
      <w:r>
        <w:rPr>
          <w:spacing w:val="-1"/>
          <w:sz w:val="25"/>
          <w:vertAlign w:val="baseline"/>
        </w:rPr>
        <w:t> </w:t>
      </w:r>
      <w:r>
        <w:rPr>
          <w:spacing w:val="-1"/>
          <w:w w:val="99"/>
          <w:sz w:val="25"/>
          <w:vertAlign w:val="baseline"/>
        </w:rPr>
        <w:t>i</w:t>
      </w:r>
      <w:r>
        <w:rPr>
          <w:w w:val="99"/>
          <w:sz w:val="25"/>
          <w:vertAlign w:val="baseline"/>
        </w:rPr>
        <w:t>nsist</w:t>
      </w:r>
      <w:r>
        <w:rPr>
          <w:spacing w:val="-1"/>
          <w:sz w:val="25"/>
          <w:vertAlign w:val="baseline"/>
        </w:rPr>
        <w:t> </w:t>
      </w:r>
      <w:r>
        <w:rPr>
          <w:spacing w:val="2"/>
          <w:w w:val="99"/>
          <w:sz w:val="25"/>
          <w:vertAlign w:val="baseline"/>
        </w:rPr>
        <w:t>t</w:t>
      </w:r>
      <w:r>
        <w:rPr>
          <w:spacing w:val="-1"/>
          <w:w w:val="99"/>
          <w:sz w:val="25"/>
          <w:vertAlign w:val="baseline"/>
        </w:rPr>
        <w:t>h</w:t>
      </w:r>
      <w:r>
        <w:rPr>
          <w:w w:val="99"/>
          <w:sz w:val="25"/>
          <w:vertAlign w:val="baseline"/>
        </w:rPr>
        <w:t>at</w:t>
      </w:r>
      <w:r>
        <w:rPr>
          <w:sz w:val="25"/>
          <w:vertAlign w:val="baseline"/>
        </w:rPr>
        <w:t> </w:t>
      </w:r>
      <w:r>
        <w:rPr>
          <w:spacing w:val="1"/>
          <w:w w:val="33"/>
          <w:sz w:val="25"/>
          <w:vertAlign w:val="baseline"/>
        </w:rPr>
        <w:t>―</w:t>
      </w:r>
      <w:r>
        <w:rPr>
          <w:spacing w:val="-1"/>
          <w:w w:val="99"/>
          <w:sz w:val="25"/>
          <w:vertAlign w:val="baseline"/>
        </w:rPr>
        <w:t>e</w:t>
      </w:r>
      <w:r>
        <w:rPr>
          <w:spacing w:val="-3"/>
          <w:w w:val="99"/>
          <w:sz w:val="25"/>
          <w:vertAlign w:val="baseline"/>
        </w:rPr>
        <w:t>v</w:t>
      </w:r>
      <w:r>
        <w:rPr>
          <w:spacing w:val="-1"/>
          <w:w w:val="99"/>
          <w:sz w:val="25"/>
          <w:vertAlign w:val="baseline"/>
        </w:rPr>
        <w:t>e</w:t>
      </w:r>
      <w:r>
        <w:rPr>
          <w:spacing w:val="3"/>
          <w:w w:val="99"/>
          <w:sz w:val="25"/>
          <w:vertAlign w:val="baseline"/>
        </w:rPr>
        <w:t>r</w:t>
      </w:r>
      <w:r>
        <w:rPr>
          <w:w w:val="99"/>
          <w:sz w:val="25"/>
          <w:vertAlign w:val="baseline"/>
        </w:rPr>
        <w:t>y </w:t>
      </w:r>
      <w:r>
        <w:rPr>
          <w:sz w:val="25"/>
          <w:vertAlign w:val="baseline"/>
        </w:rPr>
        <w:t>place belonged to</w:t>
      </w:r>
      <w:r>
        <w:rPr>
          <w:spacing w:val="-2"/>
          <w:sz w:val="25"/>
          <w:vertAlign w:val="baseline"/>
        </w:rPr>
        <w:t> </w:t>
      </w:r>
      <w:r>
        <w:rPr>
          <w:sz w:val="25"/>
          <w:vertAlign w:val="baseline"/>
        </w:rPr>
        <w:t>Nirankar‖;</w:t>
      </w:r>
    </w:p>
    <w:p>
      <w:pPr>
        <w:pStyle w:val="ListParagraph"/>
        <w:numPr>
          <w:ilvl w:val="0"/>
          <w:numId w:val="32"/>
        </w:numPr>
        <w:tabs>
          <w:tab w:pos="1221" w:val="left" w:leader="none"/>
        </w:tabs>
        <w:spacing w:line="480" w:lineRule="auto" w:before="0" w:after="0"/>
        <w:ind w:left="1220" w:right="450" w:hanging="720"/>
        <w:jc w:val="both"/>
        <w:rPr>
          <w:sz w:val="25"/>
        </w:rPr>
      </w:pPr>
      <w:r>
        <w:rPr>
          <w:sz w:val="25"/>
        </w:rPr>
        <w:t>A report was submitted by the Thanedar on 6 December 1858 indicating service of the</w:t>
      </w:r>
      <w:r>
        <w:rPr>
          <w:spacing w:val="-4"/>
          <w:sz w:val="25"/>
        </w:rPr>
        <w:t> </w:t>
      </w:r>
      <w:r>
        <w:rPr>
          <w:sz w:val="25"/>
        </w:rPr>
        <w:t>summons</w:t>
      </w:r>
      <w:r>
        <w:rPr>
          <w:sz w:val="25"/>
          <w:vertAlign w:val="superscript"/>
        </w:rPr>
        <w:t>18</w:t>
      </w:r>
      <w:r>
        <w:rPr>
          <w:sz w:val="25"/>
          <w:vertAlign w:val="baseline"/>
        </w:rPr>
        <w:t>;</w:t>
      </w:r>
    </w:p>
    <w:p>
      <w:pPr>
        <w:pStyle w:val="ListParagraph"/>
        <w:numPr>
          <w:ilvl w:val="0"/>
          <w:numId w:val="32"/>
        </w:numPr>
        <w:tabs>
          <w:tab w:pos="1221" w:val="left" w:leader="none"/>
        </w:tabs>
        <w:spacing w:line="480" w:lineRule="auto" w:before="0" w:after="0"/>
        <w:ind w:left="1220" w:right="441" w:hanging="720"/>
        <w:jc w:val="both"/>
        <w:rPr>
          <w:sz w:val="25"/>
        </w:rPr>
      </w:pPr>
      <w:r>
        <w:rPr>
          <w:sz w:val="25"/>
        </w:rPr>
        <w:t>There was an application dated 9 April 1860 of Mohammadi Shah, resident of</w:t>
      </w:r>
      <w:r>
        <w:rPr>
          <w:spacing w:val="56"/>
          <w:sz w:val="25"/>
        </w:rPr>
        <w:t> </w:t>
      </w:r>
      <w:r>
        <w:rPr>
          <w:sz w:val="25"/>
        </w:rPr>
        <w:t>Mohalla</w:t>
      </w:r>
      <w:r>
        <w:rPr>
          <w:spacing w:val="56"/>
          <w:sz w:val="25"/>
        </w:rPr>
        <w:t> </w:t>
      </w:r>
      <w:r>
        <w:rPr>
          <w:sz w:val="25"/>
        </w:rPr>
        <w:t>Ramkot</w:t>
      </w:r>
      <w:r>
        <w:rPr>
          <w:spacing w:val="55"/>
          <w:sz w:val="25"/>
        </w:rPr>
        <w:t> </w:t>
      </w:r>
      <w:r>
        <w:rPr>
          <w:sz w:val="25"/>
        </w:rPr>
        <w:t>seeking</w:t>
      </w:r>
      <w:r>
        <w:rPr>
          <w:spacing w:val="54"/>
          <w:sz w:val="25"/>
        </w:rPr>
        <w:t> </w:t>
      </w:r>
      <w:r>
        <w:rPr>
          <w:sz w:val="25"/>
        </w:rPr>
        <w:t>a</w:t>
      </w:r>
      <w:r>
        <w:rPr>
          <w:spacing w:val="54"/>
          <w:sz w:val="25"/>
        </w:rPr>
        <w:t> </w:t>
      </w:r>
      <w:r>
        <w:rPr>
          <w:sz w:val="25"/>
        </w:rPr>
        <w:t>postponement</w:t>
      </w:r>
      <w:r>
        <w:rPr>
          <w:spacing w:val="54"/>
          <w:sz w:val="25"/>
        </w:rPr>
        <w:t> </w:t>
      </w:r>
      <w:r>
        <w:rPr>
          <w:sz w:val="25"/>
        </w:rPr>
        <w:t>of</w:t>
      </w:r>
      <w:r>
        <w:rPr>
          <w:spacing w:val="54"/>
          <w:sz w:val="25"/>
        </w:rPr>
        <w:t> </w:t>
      </w:r>
      <w:r>
        <w:rPr>
          <w:sz w:val="25"/>
        </w:rPr>
        <w:t>the</w:t>
      </w:r>
      <w:r>
        <w:rPr>
          <w:spacing w:val="55"/>
          <w:sz w:val="25"/>
        </w:rPr>
        <w:t> </w:t>
      </w:r>
      <w:r>
        <w:rPr>
          <w:sz w:val="25"/>
        </w:rPr>
        <w:t>grant</w:t>
      </w:r>
      <w:r>
        <w:rPr>
          <w:spacing w:val="53"/>
          <w:sz w:val="25"/>
        </w:rPr>
        <w:t> </w:t>
      </w:r>
      <w:r>
        <w:rPr>
          <w:sz w:val="25"/>
        </w:rPr>
        <w:t>of</w:t>
      </w:r>
      <w:r>
        <w:rPr>
          <w:spacing w:val="54"/>
          <w:sz w:val="25"/>
        </w:rPr>
        <w:t> </w:t>
      </w:r>
      <w:r>
        <w:rPr>
          <w:sz w:val="25"/>
        </w:rPr>
        <w:t>a</w:t>
      </w:r>
      <w:r>
        <w:rPr>
          <w:spacing w:val="57"/>
          <w:sz w:val="25"/>
        </w:rPr>
        <w:t> </w:t>
      </w:r>
      <w:r>
        <w:rPr>
          <w:sz w:val="25"/>
        </w:rPr>
        <w:t>lease</w:t>
      </w:r>
      <w:r>
        <w:rPr>
          <w:spacing w:val="54"/>
          <w:sz w:val="25"/>
        </w:rPr>
        <w:t> </w:t>
      </w:r>
      <w:r>
        <w:rPr>
          <w:sz w:val="25"/>
        </w:rPr>
        <w:t>in</w:t>
      </w:r>
    </w:p>
    <w:p>
      <w:pPr>
        <w:spacing w:after="0" w:line="480" w:lineRule="auto"/>
        <w:jc w:val="both"/>
        <w:rPr>
          <w:sz w:val="25"/>
        </w:rPr>
        <w:sectPr>
          <w:headerReference w:type="default" r:id="rId18"/>
          <w:footerReference w:type="default" r:id="rId19"/>
          <w:pgSz w:w="11910" w:h="16840"/>
          <w:pgMar w:header="721" w:footer="1773" w:top="1300" w:bottom="1960" w:left="940" w:right="1000"/>
          <w:pgNumType w:start="65"/>
        </w:sectPr>
      </w:pPr>
    </w:p>
    <w:p>
      <w:pPr>
        <w:pStyle w:val="BodyText"/>
        <w:spacing w:line="480" w:lineRule="auto" w:before="124"/>
        <w:ind w:left="1220" w:right="444"/>
        <w:jc w:val="both"/>
      </w:pPr>
      <w:r>
        <w:rPr/>
        <w:t>respect of village Ramkot until a decision was taken on whether the land is Nazul land</w:t>
      </w:r>
      <w:r>
        <w:rPr>
          <w:vertAlign w:val="superscript"/>
        </w:rPr>
        <w:t>19</w:t>
      </w:r>
      <w:r>
        <w:rPr>
          <w:vertAlign w:val="baseline"/>
        </w:rPr>
        <w:t>;</w:t>
      </w:r>
    </w:p>
    <w:p>
      <w:pPr>
        <w:pStyle w:val="ListParagraph"/>
        <w:numPr>
          <w:ilvl w:val="0"/>
          <w:numId w:val="32"/>
        </w:numPr>
        <w:tabs>
          <w:tab w:pos="1221" w:val="left" w:leader="none"/>
        </w:tabs>
        <w:spacing w:line="480" w:lineRule="auto" w:before="0" w:after="0"/>
        <w:ind w:left="1220" w:right="436" w:hanging="720"/>
        <w:jc w:val="both"/>
        <w:rPr>
          <w:sz w:val="25"/>
        </w:rPr>
      </w:pPr>
      <w:r>
        <w:rPr>
          <w:sz w:val="25"/>
        </w:rPr>
        <w:t>On 5 November 1860, an application was made to </w:t>
      </w:r>
      <w:r>
        <w:rPr>
          <w:spacing w:val="2"/>
          <w:sz w:val="25"/>
        </w:rPr>
        <w:t>the </w:t>
      </w:r>
      <w:r>
        <w:rPr>
          <w:sz w:val="25"/>
        </w:rPr>
        <w:t>Deputy Commissioner for the removal of the Chabutra which had been </w:t>
      </w:r>
      <w:r>
        <w:rPr>
          <w:w w:val="99"/>
          <w:sz w:val="25"/>
        </w:rPr>
        <w:t>constr</w:t>
      </w:r>
      <w:r>
        <w:rPr>
          <w:spacing w:val="-1"/>
          <w:w w:val="99"/>
          <w:sz w:val="25"/>
        </w:rPr>
        <w:t>uct</w:t>
      </w:r>
      <w:r>
        <w:rPr>
          <w:w w:val="99"/>
          <w:sz w:val="25"/>
        </w:rPr>
        <w:t>ed</w:t>
      </w:r>
      <w:r>
        <w:rPr>
          <w:spacing w:val="19"/>
          <w:sz w:val="25"/>
        </w:rPr>
        <w:t> </w:t>
      </w:r>
      <w:r>
        <w:rPr>
          <w:w w:val="33"/>
          <w:sz w:val="25"/>
        </w:rPr>
        <w:t>―</w:t>
      </w:r>
      <w:r>
        <w:rPr>
          <w:spacing w:val="-1"/>
          <w:w w:val="99"/>
          <w:sz w:val="25"/>
        </w:rPr>
        <w:t>withi</w:t>
      </w:r>
      <w:r>
        <w:rPr>
          <w:w w:val="99"/>
          <w:sz w:val="25"/>
        </w:rPr>
        <w:t>n</w:t>
      </w:r>
      <w:r>
        <w:rPr>
          <w:spacing w:val="19"/>
          <w:sz w:val="25"/>
        </w:rPr>
        <w:t> </w:t>
      </w:r>
      <w:r>
        <w:rPr>
          <w:spacing w:val="-4"/>
          <w:w w:val="99"/>
          <w:sz w:val="25"/>
        </w:rPr>
        <w:t>B</w:t>
      </w:r>
      <w:r>
        <w:rPr>
          <w:spacing w:val="-1"/>
          <w:w w:val="99"/>
          <w:sz w:val="25"/>
        </w:rPr>
        <w:t>a</w:t>
      </w:r>
      <w:r>
        <w:rPr>
          <w:w w:val="99"/>
          <w:sz w:val="25"/>
        </w:rPr>
        <w:t>bri</w:t>
      </w:r>
      <w:r>
        <w:rPr>
          <w:spacing w:val="18"/>
          <w:sz w:val="25"/>
        </w:rPr>
        <w:t> </w:t>
      </w:r>
      <w:r>
        <w:rPr>
          <w:spacing w:val="-4"/>
          <w:w w:val="99"/>
          <w:sz w:val="25"/>
        </w:rPr>
        <w:t>M</w:t>
      </w:r>
      <w:r>
        <w:rPr>
          <w:spacing w:val="-1"/>
          <w:w w:val="99"/>
          <w:sz w:val="25"/>
        </w:rPr>
        <w:t>asji</w:t>
      </w:r>
      <w:r>
        <w:rPr>
          <w:w w:val="99"/>
          <w:sz w:val="25"/>
        </w:rPr>
        <w:t>d</w:t>
      </w:r>
      <w:r>
        <w:rPr>
          <w:spacing w:val="19"/>
          <w:sz w:val="25"/>
        </w:rPr>
        <w:t> </w:t>
      </w:r>
      <w:r>
        <w:rPr>
          <w:w w:val="99"/>
          <w:sz w:val="25"/>
        </w:rPr>
        <w:t>Oud</w:t>
      </w:r>
      <w:r>
        <w:rPr>
          <w:spacing w:val="-1"/>
          <w:w w:val="91"/>
          <w:sz w:val="25"/>
        </w:rPr>
        <w:t>h</w:t>
      </w:r>
      <w:r>
        <w:rPr>
          <w:spacing w:val="6"/>
          <w:w w:val="91"/>
          <w:sz w:val="25"/>
        </w:rPr>
        <w:t>‖</w:t>
      </w:r>
      <w:r>
        <w:rPr>
          <w:spacing w:val="-1"/>
          <w:w w:val="101"/>
          <w:sz w:val="25"/>
          <w:vertAlign w:val="superscript"/>
        </w:rPr>
        <w:t>20</w:t>
      </w:r>
      <w:r>
        <w:rPr>
          <w:w w:val="99"/>
          <w:sz w:val="25"/>
          <w:vertAlign w:val="baseline"/>
        </w:rPr>
        <w:t>.</w:t>
      </w:r>
      <w:r>
        <w:rPr>
          <w:spacing w:val="19"/>
          <w:sz w:val="25"/>
          <w:vertAlign w:val="baseline"/>
        </w:rPr>
        <w:t> </w:t>
      </w:r>
      <w:r>
        <w:rPr>
          <w:w w:val="99"/>
          <w:sz w:val="25"/>
          <w:vertAlign w:val="baseline"/>
        </w:rPr>
        <w:t>T</w:t>
      </w:r>
      <w:r>
        <w:rPr>
          <w:w w:val="99"/>
          <w:sz w:val="25"/>
          <w:vertAlign w:val="baseline"/>
        </w:rPr>
        <w:t>he</w:t>
      </w:r>
      <w:r>
        <w:rPr>
          <w:spacing w:val="19"/>
          <w:sz w:val="25"/>
          <w:vertAlign w:val="baseline"/>
        </w:rPr>
        <w:t> </w:t>
      </w:r>
      <w:r>
        <w:rPr>
          <w:w w:val="99"/>
          <w:sz w:val="25"/>
          <w:vertAlign w:val="baseline"/>
        </w:rPr>
        <w:t>g</w:t>
      </w:r>
      <w:r>
        <w:rPr>
          <w:spacing w:val="1"/>
          <w:w w:val="99"/>
          <w:sz w:val="25"/>
          <w:vertAlign w:val="baseline"/>
        </w:rPr>
        <w:t>r</w:t>
      </w:r>
      <w:r>
        <w:rPr>
          <w:w w:val="99"/>
          <w:sz w:val="25"/>
          <w:vertAlign w:val="baseline"/>
        </w:rPr>
        <w:t>ie</w:t>
      </w:r>
      <w:r>
        <w:rPr>
          <w:spacing w:val="-3"/>
          <w:w w:val="99"/>
          <w:sz w:val="25"/>
          <w:vertAlign w:val="baseline"/>
        </w:rPr>
        <w:t>v</w:t>
      </w:r>
      <w:r>
        <w:rPr>
          <w:w w:val="99"/>
          <w:sz w:val="25"/>
          <w:vertAlign w:val="baseline"/>
        </w:rPr>
        <w:t>ance</w:t>
      </w:r>
      <w:r>
        <w:rPr>
          <w:spacing w:val="19"/>
          <w:sz w:val="25"/>
          <w:vertAlign w:val="baseline"/>
        </w:rPr>
        <w:t> </w:t>
      </w:r>
      <w:r>
        <w:rPr>
          <w:w w:val="99"/>
          <w:sz w:val="25"/>
          <w:vertAlign w:val="baseline"/>
        </w:rPr>
        <w:t>in</w:t>
      </w:r>
      <w:r>
        <w:rPr>
          <w:spacing w:val="19"/>
          <w:sz w:val="25"/>
          <w:vertAlign w:val="baseline"/>
        </w:rPr>
        <w:t> </w:t>
      </w:r>
      <w:r>
        <w:rPr>
          <w:w w:val="99"/>
          <w:sz w:val="25"/>
          <w:vertAlign w:val="baseline"/>
        </w:rPr>
        <w:t>the</w:t>
      </w:r>
      <w:r>
        <w:rPr>
          <w:spacing w:val="19"/>
          <w:sz w:val="25"/>
          <w:vertAlign w:val="baseline"/>
        </w:rPr>
        <w:t> </w:t>
      </w:r>
      <w:r>
        <w:rPr>
          <w:spacing w:val="-2"/>
          <w:w w:val="99"/>
          <w:sz w:val="25"/>
          <w:vertAlign w:val="baseline"/>
        </w:rPr>
        <w:t>a</w:t>
      </w:r>
      <w:r>
        <w:rPr>
          <w:w w:val="99"/>
          <w:sz w:val="25"/>
          <w:vertAlign w:val="baseline"/>
        </w:rPr>
        <w:t>pplication </w:t>
      </w:r>
      <w:r>
        <w:rPr>
          <w:sz w:val="25"/>
          <w:vertAlign w:val="baseline"/>
        </w:rPr>
        <w:t>and the relief sought is indicated in this</w:t>
      </w:r>
      <w:r>
        <w:rPr>
          <w:spacing w:val="-7"/>
          <w:sz w:val="25"/>
          <w:vertAlign w:val="baseline"/>
        </w:rPr>
        <w:t> </w:t>
      </w:r>
      <w:r>
        <w:rPr>
          <w:sz w:val="25"/>
          <w:vertAlign w:val="baseline"/>
        </w:rPr>
        <w:t>extract:</w:t>
      </w:r>
    </w:p>
    <w:p>
      <w:pPr>
        <w:spacing w:line="276" w:lineRule="auto" w:before="200"/>
        <w:ind w:left="1940" w:right="2263" w:firstLine="0"/>
        <w:jc w:val="both"/>
        <w:rPr>
          <w:sz w:val="21"/>
        </w:rPr>
      </w:pPr>
      <w:r>
        <w:rPr>
          <w:spacing w:val="-1"/>
          <w:w w:val="33"/>
          <w:sz w:val="21"/>
        </w:rPr>
        <w:t>―</w:t>
      </w:r>
      <w:r>
        <w:rPr>
          <w:w w:val="100"/>
          <w:sz w:val="21"/>
        </w:rPr>
        <w:t>B</w:t>
      </w:r>
      <w:r>
        <w:rPr>
          <w:spacing w:val="-1"/>
          <w:w w:val="100"/>
          <w:sz w:val="21"/>
        </w:rPr>
        <w:t>e</w:t>
      </w:r>
      <w:r>
        <w:rPr>
          <w:spacing w:val="-3"/>
          <w:w w:val="100"/>
          <w:sz w:val="21"/>
        </w:rPr>
        <w:t>s</w:t>
      </w:r>
      <w:r>
        <w:rPr>
          <w:w w:val="100"/>
          <w:sz w:val="21"/>
        </w:rPr>
        <w:t>i</w:t>
      </w:r>
      <w:r>
        <w:rPr>
          <w:spacing w:val="-1"/>
          <w:w w:val="100"/>
          <w:sz w:val="21"/>
        </w:rPr>
        <w:t>d</w:t>
      </w:r>
      <w:r>
        <w:rPr>
          <w:spacing w:val="-3"/>
          <w:w w:val="100"/>
          <w:sz w:val="21"/>
        </w:rPr>
        <w:t>e</w:t>
      </w:r>
      <w:r>
        <w:rPr>
          <w:w w:val="100"/>
          <w:sz w:val="21"/>
        </w:rPr>
        <w:t>s,</w:t>
      </w:r>
      <w:r>
        <w:rPr>
          <w:sz w:val="21"/>
        </w:rPr>
        <w:t> </w:t>
      </w:r>
      <w:r>
        <w:rPr>
          <w:spacing w:val="-2"/>
          <w:w w:val="100"/>
          <w:sz w:val="21"/>
        </w:rPr>
        <w:t>w</w:t>
      </w:r>
      <w:r>
        <w:rPr>
          <w:spacing w:val="-1"/>
          <w:w w:val="100"/>
          <w:sz w:val="21"/>
        </w:rPr>
        <w:t>he</w:t>
      </w:r>
      <w:r>
        <w:rPr>
          <w:w w:val="100"/>
          <w:sz w:val="21"/>
        </w:rPr>
        <w:t>n</w:t>
      </w:r>
      <w:r>
        <w:rPr>
          <w:sz w:val="21"/>
        </w:rPr>
        <w:t> </w:t>
      </w:r>
      <w:r>
        <w:rPr>
          <w:spacing w:val="-2"/>
          <w:w w:val="100"/>
          <w:sz w:val="21"/>
        </w:rPr>
        <w:t>t</w:t>
      </w:r>
      <w:r>
        <w:rPr>
          <w:spacing w:val="-1"/>
          <w:w w:val="100"/>
          <w:sz w:val="21"/>
        </w:rPr>
        <w:t>h</w:t>
      </w:r>
      <w:r>
        <w:rPr>
          <w:w w:val="100"/>
          <w:sz w:val="21"/>
        </w:rPr>
        <w:t>e</w:t>
      </w:r>
      <w:r>
        <w:rPr>
          <w:sz w:val="21"/>
        </w:rPr>
        <w:t> </w:t>
      </w:r>
      <w:r>
        <w:rPr>
          <w:spacing w:val="-1"/>
          <w:w w:val="100"/>
          <w:sz w:val="21"/>
        </w:rPr>
        <w:t>M</w:t>
      </w:r>
      <w:r>
        <w:rPr>
          <w:spacing w:val="-3"/>
          <w:w w:val="100"/>
          <w:sz w:val="21"/>
        </w:rPr>
        <w:t>o</w:t>
      </w:r>
      <w:r>
        <w:rPr>
          <w:spacing w:val="-1"/>
          <w:w w:val="100"/>
          <w:sz w:val="21"/>
        </w:rPr>
        <w:t>a</w:t>
      </w:r>
      <w:r>
        <w:rPr>
          <w:spacing w:val="-3"/>
          <w:w w:val="100"/>
          <w:sz w:val="21"/>
        </w:rPr>
        <w:t>zz</w:t>
      </w:r>
      <w:r>
        <w:rPr>
          <w:w w:val="100"/>
          <w:sz w:val="21"/>
        </w:rPr>
        <w:t>in</w:t>
      </w:r>
      <w:r>
        <w:rPr>
          <w:sz w:val="21"/>
        </w:rPr>
        <w:t> </w:t>
      </w:r>
      <w:r>
        <w:rPr>
          <w:spacing w:val="-1"/>
          <w:w w:val="100"/>
          <w:sz w:val="21"/>
        </w:rPr>
        <w:t>rec</w:t>
      </w:r>
      <w:r>
        <w:rPr>
          <w:spacing w:val="1"/>
          <w:w w:val="100"/>
          <w:sz w:val="21"/>
        </w:rPr>
        <w:t>i</w:t>
      </w:r>
      <w:r>
        <w:rPr>
          <w:spacing w:val="-2"/>
          <w:w w:val="100"/>
          <w:sz w:val="21"/>
        </w:rPr>
        <w:t>t</w:t>
      </w:r>
      <w:r>
        <w:rPr>
          <w:spacing w:val="-1"/>
          <w:w w:val="100"/>
          <w:sz w:val="21"/>
        </w:rPr>
        <w:t>e</w:t>
      </w:r>
      <w:r>
        <w:rPr>
          <w:w w:val="100"/>
          <w:sz w:val="21"/>
        </w:rPr>
        <w:t>s</w:t>
      </w:r>
      <w:r>
        <w:rPr>
          <w:sz w:val="21"/>
        </w:rPr>
        <w:t> </w:t>
      </w:r>
      <w:r>
        <w:rPr>
          <w:w w:val="100"/>
          <w:sz w:val="21"/>
        </w:rPr>
        <w:t>A</w:t>
      </w:r>
      <w:r>
        <w:rPr>
          <w:spacing w:val="-3"/>
          <w:w w:val="100"/>
          <w:sz w:val="21"/>
        </w:rPr>
        <w:t>z</w:t>
      </w:r>
      <w:r>
        <w:rPr>
          <w:spacing w:val="-1"/>
          <w:w w:val="100"/>
          <w:sz w:val="21"/>
        </w:rPr>
        <w:t>aan</w:t>
      </w:r>
      <w:r>
        <w:rPr>
          <w:w w:val="100"/>
          <w:sz w:val="21"/>
        </w:rPr>
        <w:t>,</w:t>
      </w:r>
      <w:r>
        <w:rPr>
          <w:sz w:val="21"/>
        </w:rPr>
        <w:t> </w:t>
      </w:r>
      <w:r>
        <w:rPr>
          <w:spacing w:val="-2"/>
          <w:w w:val="100"/>
          <w:sz w:val="21"/>
        </w:rPr>
        <w:t>t</w:t>
      </w:r>
      <w:r>
        <w:rPr>
          <w:spacing w:val="-1"/>
          <w:w w:val="100"/>
          <w:sz w:val="21"/>
        </w:rPr>
        <w:t>h</w:t>
      </w:r>
      <w:r>
        <w:rPr>
          <w:w w:val="100"/>
          <w:sz w:val="21"/>
        </w:rPr>
        <w:t>e</w:t>
      </w:r>
      <w:r>
        <w:rPr>
          <w:sz w:val="21"/>
        </w:rPr>
        <w:t> </w:t>
      </w:r>
      <w:r>
        <w:rPr>
          <w:spacing w:val="-1"/>
          <w:w w:val="100"/>
          <w:sz w:val="21"/>
        </w:rPr>
        <w:t>o</w:t>
      </w:r>
      <w:r>
        <w:rPr>
          <w:spacing w:val="-3"/>
          <w:w w:val="100"/>
          <w:sz w:val="21"/>
        </w:rPr>
        <w:t>pp</w:t>
      </w:r>
      <w:r>
        <w:rPr>
          <w:spacing w:val="-1"/>
          <w:w w:val="100"/>
          <w:sz w:val="21"/>
        </w:rPr>
        <w:t>os</w:t>
      </w:r>
      <w:r>
        <w:rPr>
          <w:spacing w:val="1"/>
          <w:w w:val="100"/>
          <w:sz w:val="21"/>
        </w:rPr>
        <w:t>i</w:t>
      </w:r>
      <w:r>
        <w:rPr>
          <w:spacing w:val="-2"/>
          <w:w w:val="100"/>
          <w:sz w:val="21"/>
        </w:rPr>
        <w:t>t</w:t>
      </w:r>
      <w:r>
        <w:rPr>
          <w:w w:val="100"/>
          <w:sz w:val="21"/>
        </w:rPr>
        <w:t>e</w:t>
      </w:r>
      <w:r>
        <w:rPr>
          <w:sz w:val="21"/>
        </w:rPr>
        <w:t> </w:t>
      </w:r>
      <w:r>
        <w:rPr>
          <w:spacing w:val="-3"/>
          <w:w w:val="100"/>
          <w:sz w:val="21"/>
        </w:rPr>
        <w:t>p</w:t>
      </w:r>
      <w:r>
        <w:rPr>
          <w:spacing w:val="-1"/>
          <w:w w:val="100"/>
          <w:sz w:val="21"/>
        </w:rPr>
        <w:t>ar</w:t>
      </w:r>
      <w:r>
        <w:rPr>
          <w:spacing w:val="-2"/>
          <w:w w:val="100"/>
          <w:sz w:val="21"/>
        </w:rPr>
        <w:t>t</w:t>
      </w:r>
      <w:r>
        <w:rPr>
          <w:w w:val="100"/>
          <w:sz w:val="21"/>
        </w:rPr>
        <w:t>y </w:t>
      </w:r>
      <w:r>
        <w:rPr>
          <w:sz w:val="21"/>
        </w:rPr>
        <w:t>begins to blow conch (Shankh/Naqoos). This has never happened before. I would pray that your honour is the Judge for both the parties. The opposite party should be restrained from his unlawful act and after proper inquiry the newly constructed Chabootra which had never existed, may kindly be demolished and a bond be got executed from the opposite party to the effect that he will not unlawfully and illegally interfere in the Masjid property and will not blow conch (Shankh/Naqoos) at the time of Azaan.‖</w:t>
      </w:r>
    </w:p>
    <w:p>
      <w:pPr>
        <w:pStyle w:val="BodyText"/>
        <w:rPr>
          <w:sz w:val="24"/>
        </w:rPr>
      </w:pPr>
    </w:p>
    <w:p>
      <w:pPr>
        <w:pStyle w:val="ListParagraph"/>
        <w:numPr>
          <w:ilvl w:val="0"/>
          <w:numId w:val="32"/>
        </w:numPr>
        <w:tabs>
          <w:tab w:pos="1221" w:val="left" w:leader="none"/>
        </w:tabs>
        <w:spacing w:line="480" w:lineRule="auto" w:before="207" w:after="0"/>
        <w:ind w:left="1220" w:right="460" w:hanging="720"/>
        <w:jc w:val="both"/>
        <w:rPr>
          <w:sz w:val="25"/>
        </w:rPr>
      </w:pPr>
      <w:r>
        <w:rPr>
          <w:sz w:val="25"/>
        </w:rPr>
        <w:t>The application would indicate that the namaz was at the stage being performed in the mosque. The </w:t>
      </w:r>
      <w:r>
        <w:rPr>
          <w:i/>
          <w:sz w:val="25"/>
        </w:rPr>
        <w:t>Azaan </w:t>
      </w:r>
      <w:r>
        <w:rPr>
          <w:sz w:val="25"/>
        </w:rPr>
        <w:t>of the Moazzin was met with the blowing of conch shells by the Hindus. A contentious situation was arising. Eventually, the Nihang Sikh was evicted from the site and a record was maintained;</w:t>
      </w:r>
    </w:p>
    <w:p>
      <w:pPr>
        <w:pStyle w:val="ListParagraph"/>
        <w:numPr>
          <w:ilvl w:val="0"/>
          <w:numId w:val="32"/>
        </w:numPr>
        <w:tabs>
          <w:tab w:pos="1221" w:val="left" w:leader="none"/>
        </w:tabs>
        <w:spacing w:line="480" w:lineRule="auto" w:before="2" w:after="0"/>
        <w:ind w:left="1220" w:right="435" w:hanging="720"/>
        <w:jc w:val="both"/>
        <w:rPr>
          <w:sz w:val="25"/>
        </w:rPr>
      </w:pPr>
      <w:r>
        <w:rPr>
          <w:sz w:val="25"/>
        </w:rPr>
        <w:t>In or about 1877, another door to the outer courtyard was allowed to be opened by the administration on the northern site, in addition to the existing door on the east. The Deputy Commissioner declined to entertain a complaint against the opening made in the wall of the Janmasthan</w:t>
      </w:r>
      <w:r>
        <w:rPr>
          <w:sz w:val="25"/>
          <w:vertAlign w:val="superscript"/>
        </w:rPr>
        <w:t>21</w:t>
      </w:r>
      <w:r>
        <w:rPr>
          <w:sz w:val="25"/>
          <w:vertAlign w:val="baseline"/>
        </w:rPr>
        <w:t>. The order of the Deputy Commissioner</w:t>
      </w:r>
      <w:r>
        <w:rPr>
          <w:spacing w:val="-5"/>
          <w:sz w:val="25"/>
          <w:vertAlign w:val="baseline"/>
        </w:rPr>
        <w:t> </w:t>
      </w:r>
      <w:r>
        <w:rPr>
          <w:sz w:val="25"/>
          <w:vertAlign w:val="baseline"/>
        </w:rPr>
        <w:t>records:</w:t>
      </w:r>
    </w:p>
    <w:p>
      <w:pPr>
        <w:pStyle w:val="BodyText"/>
        <w:rPr>
          <w:sz w:val="20"/>
        </w:rPr>
      </w:pPr>
    </w:p>
    <w:p>
      <w:pPr>
        <w:pStyle w:val="BodyText"/>
        <w:spacing w:before="2"/>
      </w:pPr>
      <w:r>
        <w:rPr/>
        <w:pict>
          <v:rect style="position:absolute;margin-left:72.024002pt;margin-top:16.438862pt;width:144.020pt;height:.60004pt;mso-position-horizontal-relative:page;mso-position-vertical-relative:paragraph;z-index:-15720960;mso-wrap-distance-left:0;mso-wrap-distance-right:0" filled="true" fillcolor="#000000" stroked="false">
            <v:fill type="solid"/>
            <w10:wrap type="topAndBottom"/>
          </v:rect>
        </w:pict>
      </w:r>
    </w:p>
    <w:p>
      <w:pPr>
        <w:spacing w:before="81"/>
        <w:ind w:left="500" w:right="0" w:firstLine="0"/>
        <w:jc w:val="left"/>
        <w:rPr>
          <w:sz w:val="18"/>
        </w:rPr>
      </w:pPr>
      <w:r>
        <w:rPr>
          <w:sz w:val="18"/>
          <w:vertAlign w:val="superscript"/>
        </w:rPr>
        <w:t>19</w:t>
      </w:r>
      <w:r>
        <w:rPr>
          <w:sz w:val="18"/>
          <w:vertAlign w:val="baseline"/>
        </w:rPr>
        <w:t> Exhibit 23</w:t>
      </w:r>
    </w:p>
    <w:p>
      <w:pPr>
        <w:spacing w:after="0"/>
        <w:jc w:val="left"/>
        <w:rPr>
          <w:sz w:val="18"/>
        </w:rPr>
        <w:sectPr>
          <w:headerReference w:type="default" r:id="rId20"/>
          <w:footerReference w:type="default" r:id="rId21"/>
          <w:pgSz w:w="11910" w:h="16840"/>
          <w:pgMar w:header="721" w:footer="1573" w:top="1300" w:bottom="1760" w:left="940" w:right="1000"/>
          <w:pgNumType w:start="66"/>
        </w:sectPr>
      </w:pPr>
    </w:p>
    <w:p>
      <w:pPr>
        <w:spacing w:line="276" w:lineRule="auto" w:before="122"/>
        <w:ind w:left="1940" w:right="2262" w:firstLine="0"/>
        <w:jc w:val="both"/>
        <w:rPr>
          <w:sz w:val="21"/>
        </w:rPr>
      </w:pPr>
      <w:r>
        <w:rPr>
          <w:w w:val="33"/>
          <w:sz w:val="21"/>
        </w:rPr>
        <w:t>―</w:t>
      </w:r>
      <w:r>
        <w:rPr>
          <w:w w:val="100"/>
          <w:sz w:val="21"/>
        </w:rPr>
        <w:t>A</w:t>
      </w:r>
      <w:r>
        <w:rPr>
          <w:sz w:val="21"/>
        </w:rPr>
        <w:t>  </w:t>
      </w:r>
      <w:r>
        <w:rPr>
          <w:w w:val="100"/>
          <w:sz w:val="21"/>
        </w:rPr>
        <w:t>d</w:t>
      </w:r>
      <w:r>
        <w:rPr>
          <w:w w:val="100"/>
          <w:sz w:val="21"/>
        </w:rPr>
        <w:t>oorway</w:t>
      </w:r>
      <w:r>
        <w:rPr>
          <w:sz w:val="21"/>
        </w:rPr>
        <w:t>  </w:t>
      </w:r>
      <w:r>
        <w:rPr>
          <w:w w:val="100"/>
          <w:sz w:val="21"/>
        </w:rPr>
        <w:t>has</w:t>
      </w:r>
      <w:r>
        <w:rPr>
          <w:sz w:val="21"/>
        </w:rPr>
        <w:t>  </w:t>
      </w:r>
      <w:r>
        <w:rPr>
          <w:w w:val="100"/>
          <w:sz w:val="21"/>
        </w:rPr>
        <w:t>r</w:t>
      </w:r>
      <w:r>
        <w:rPr>
          <w:w w:val="100"/>
          <w:sz w:val="21"/>
        </w:rPr>
        <w:t>ecent</w:t>
      </w:r>
      <w:r>
        <w:rPr>
          <w:w w:val="100"/>
          <w:sz w:val="21"/>
        </w:rPr>
        <w:t>l</w:t>
      </w:r>
      <w:r>
        <w:rPr>
          <w:w w:val="100"/>
          <w:sz w:val="21"/>
        </w:rPr>
        <w:t>y</w:t>
      </w:r>
      <w:r>
        <w:rPr>
          <w:sz w:val="21"/>
        </w:rPr>
        <w:t>  </w:t>
      </w:r>
      <w:r>
        <w:rPr>
          <w:w w:val="100"/>
          <w:sz w:val="21"/>
        </w:rPr>
        <w:t>been</w:t>
      </w:r>
      <w:r>
        <w:rPr>
          <w:sz w:val="21"/>
        </w:rPr>
        <w:t>  </w:t>
      </w:r>
      <w:r>
        <w:rPr>
          <w:w w:val="100"/>
          <w:sz w:val="21"/>
        </w:rPr>
        <w:t>opened</w:t>
      </w:r>
      <w:r>
        <w:rPr>
          <w:sz w:val="21"/>
        </w:rPr>
        <w:t>  </w:t>
      </w:r>
      <w:r>
        <w:rPr>
          <w:w w:val="100"/>
          <w:sz w:val="21"/>
        </w:rPr>
        <w:t>i</w:t>
      </w:r>
      <w:r>
        <w:rPr>
          <w:w w:val="100"/>
          <w:sz w:val="21"/>
        </w:rPr>
        <w:t>n</w:t>
      </w:r>
      <w:r>
        <w:rPr>
          <w:sz w:val="21"/>
        </w:rPr>
        <w:t>  </w:t>
      </w:r>
      <w:r>
        <w:rPr>
          <w:w w:val="100"/>
          <w:sz w:val="21"/>
        </w:rPr>
        <w:t>t</w:t>
      </w:r>
      <w:r>
        <w:rPr>
          <w:w w:val="100"/>
          <w:sz w:val="21"/>
        </w:rPr>
        <w:t>he</w:t>
      </w:r>
      <w:r>
        <w:rPr>
          <w:sz w:val="21"/>
        </w:rPr>
        <w:t>  </w:t>
      </w:r>
      <w:r>
        <w:rPr>
          <w:w w:val="100"/>
          <w:sz w:val="21"/>
        </w:rPr>
        <w:t>w</w:t>
      </w:r>
      <w:r>
        <w:rPr>
          <w:w w:val="100"/>
          <w:sz w:val="21"/>
        </w:rPr>
        <w:t>al</w:t>
      </w:r>
      <w:r>
        <w:rPr>
          <w:w w:val="100"/>
          <w:sz w:val="21"/>
        </w:rPr>
        <w:t>l</w:t>
      </w:r>
      <w:r>
        <w:rPr>
          <w:sz w:val="21"/>
        </w:rPr>
        <w:t>  </w:t>
      </w:r>
      <w:r>
        <w:rPr>
          <w:w w:val="100"/>
          <w:sz w:val="21"/>
        </w:rPr>
        <w:t>of</w:t>
      </w:r>
      <w:r>
        <w:rPr>
          <w:sz w:val="21"/>
        </w:rPr>
        <w:t>  </w:t>
      </w:r>
      <w:r>
        <w:rPr>
          <w:w w:val="100"/>
          <w:sz w:val="21"/>
        </w:rPr>
        <w:t>t</w:t>
      </w:r>
      <w:r>
        <w:rPr>
          <w:w w:val="100"/>
          <w:sz w:val="21"/>
        </w:rPr>
        <w:t>he </w:t>
      </w:r>
      <w:r>
        <w:rPr>
          <w:sz w:val="21"/>
        </w:rPr>
        <w:t>Janum-Asthan not at all in Baber‘s mosque, but in the wall which in front is divided from the mosque by a railing. This opening was necessary to give a separate route on fair days to visitors to the Janum-Asthan. </w:t>
      </w:r>
      <w:r>
        <w:rPr>
          <w:b/>
          <w:sz w:val="21"/>
        </w:rPr>
        <w:t>There was one opening only, so the crush (sic rush) was very great and life was endangered. I marked out the spot for the opening myself so there is no need to depute any Europe officer. This petition is merely an attempt to annoy the Hindu by making it dependent on the pleasure of the mosque people to open or close the 2</w:t>
      </w:r>
      <w:r>
        <w:rPr>
          <w:b/>
          <w:sz w:val="21"/>
          <w:vertAlign w:val="superscript"/>
        </w:rPr>
        <w:t>nd</w:t>
      </w:r>
      <w:r>
        <w:rPr>
          <w:b/>
          <w:sz w:val="21"/>
          <w:vertAlign w:val="baseline"/>
        </w:rPr>
        <w:t> door in which the Mohammedans can have no interest</w:t>
      </w:r>
      <w:r>
        <w:rPr>
          <w:sz w:val="21"/>
          <w:vertAlign w:val="baseline"/>
        </w:rPr>
        <w:t>.‖</w:t>
      </w:r>
    </w:p>
    <w:p>
      <w:pPr>
        <w:spacing w:before="2"/>
        <w:ind w:left="5798" w:right="0" w:firstLine="0"/>
        <w:jc w:val="left"/>
        <w:rPr>
          <w:sz w:val="21"/>
        </w:rPr>
      </w:pPr>
      <w:r>
        <w:rPr>
          <w:sz w:val="21"/>
        </w:rPr>
        <w:t>(Emphasis supplied)</w:t>
      </w:r>
    </w:p>
    <w:p>
      <w:pPr>
        <w:pStyle w:val="BodyText"/>
        <w:rPr>
          <w:sz w:val="24"/>
        </w:rPr>
      </w:pPr>
    </w:p>
    <w:p>
      <w:pPr>
        <w:pStyle w:val="BodyText"/>
        <w:spacing w:before="5"/>
        <w:rPr>
          <w:sz w:val="24"/>
        </w:rPr>
      </w:pPr>
    </w:p>
    <w:p>
      <w:pPr>
        <w:pStyle w:val="BodyText"/>
        <w:spacing w:line="480" w:lineRule="auto"/>
        <w:ind w:left="1220"/>
      </w:pPr>
      <w:r>
        <w:rPr/>
        <w:t>This was accepted by the Commissioner while dismissing an appeal on 13 December 1877 holding:</w:t>
      </w:r>
    </w:p>
    <w:p>
      <w:pPr>
        <w:spacing w:line="276" w:lineRule="auto" w:before="0"/>
        <w:ind w:left="1940" w:right="2265" w:firstLine="0"/>
        <w:jc w:val="both"/>
        <w:rPr>
          <w:sz w:val="21"/>
        </w:rPr>
      </w:pPr>
      <w:r>
        <w:rPr>
          <w:spacing w:val="-1"/>
          <w:w w:val="33"/>
          <w:sz w:val="21"/>
        </w:rPr>
        <w:t>―</w:t>
      </w:r>
      <w:r>
        <w:rPr>
          <w:w w:val="100"/>
          <w:sz w:val="21"/>
        </w:rPr>
        <w:t>As</w:t>
      </w:r>
      <w:r>
        <w:rPr>
          <w:sz w:val="21"/>
        </w:rPr>
        <w:t>   </w:t>
      </w:r>
      <w:r>
        <w:rPr>
          <w:spacing w:val="-2"/>
          <w:w w:val="100"/>
          <w:sz w:val="21"/>
        </w:rPr>
        <w:t>t</w:t>
      </w:r>
      <w:r>
        <w:rPr>
          <w:spacing w:val="-1"/>
          <w:w w:val="100"/>
          <w:sz w:val="21"/>
        </w:rPr>
        <w:t>h</w:t>
      </w:r>
      <w:r>
        <w:rPr>
          <w:w w:val="100"/>
          <w:sz w:val="21"/>
        </w:rPr>
        <w:t>e</w:t>
      </w:r>
      <w:r>
        <w:rPr>
          <w:sz w:val="21"/>
        </w:rPr>
        <w:t>   </w:t>
      </w:r>
      <w:r>
        <w:rPr>
          <w:spacing w:val="-3"/>
          <w:w w:val="100"/>
          <w:sz w:val="21"/>
        </w:rPr>
        <w:t>d</w:t>
      </w:r>
      <w:r>
        <w:rPr>
          <w:spacing w:val="-1"/>
          <w:w w:val="100"/>
          <w:sz w:val="21"/>
        </w:rPr>
        <w:t>oo</w:t>
      </w:r>
      <w:r>
        <w:rPr>
          <w:w w:val="100"/>
          <w:sz w:val="21"/>
        </w:rPr>
        <w:t>r</w:t>
      </w:r>
      <w:r>
        <w:rPr>
          <w:sz w:val="21"/>
        </w:rPr>
        <w:t>   </w:t>
      </w:r>
      <w:r>
        <w:rPr>
          <w:spacing w:val="-2"/>
          <w:w w:val="100"/>
          <w:sz w:val="21"/>
        </w:rPr>
        <w:t>i</w:t>
      </w:r>
      <w:r>
        <w:rPr>
          <w:w w:val="100"/>
          <w:sz w:val="21"/>
        </w:rPr>
        <w:t>n</w:t>
      </w:r>
      <w:r>
        <w:rPr>
          <w:sz w:val="21"/>
        </w:rPr>
        <w:t>   </w:t>
      </w:r>
      <w:r>
        <w:rPr>
          <w:spacing w:val="-1"/>
          <w:w w:val="100"/>
          <w:sz w:val="21"/>
        </w:rPr>
        <w:t>qu</w:t>
      </w:r>
      <w:r>
        <w:rPr>
          <w:spacing w:val="-2"/>
          <w:w w:val="100"/>
          <w:sz w:val="21"/>
        </w:rPr>
        <w:t>e</w:t>
      </w:r>
      <w:r>
        <w:rPr>
          <w:w w:val="100"/>
          <w:sz w:val="21"/>
        </w:rPr>
        <w:t>s</w:t>
      </w:r>
      <w:r>
        <w:rPr>
          <w:spacing w:val="-2"/>
          <w:w w:val="100"/>
          <w:sz w:val="21"/>
        </w:rPr>
        <w:t>ti</w:t>
      </w:r>
      <w:r>
        <w:rPr>
          <w:spacing w:val="-1"/>
          <w:w w:val="100"/>
          <w:sz w:val="21"/>
        </w:rPr>
        <w:t>o</w:t>
      </w:r>
      <w:r>
        <w:rPr>
          <w:w w:val="100"/>
          <w:sz w:val="21"/>
        </w:rPr>
        <w:t>n</w:t>
      </w:r>
      <w:r>
        <w:rPr>
          <w:sz w:val="21"/>
        </w:rPr>
        <w:t>   </w:t>
      </w:r>
      <w:r>
        <w:rPr>
          <w:spacing w:val="-1"/>
          <w:w w:val="100"/>
          <w:sz w:val="21"/>
        </w:rPr>
        <w:t>ha</w:t>
      </w:r>
      <w:r>
        <w:rPr>
          <w:w w:val="100"/>
          <w:sz w:val="21"/>
        </w:rPr>
        <w:t>s</w:t>
      </w:r>
      <w:r>
        <w:rPr>
          <w:sz w:val="21"/>
        </w:rPr>
        <w:t>   </w:t>
      </w:r>
      <w:r>
        <w:rPr>
          <w:spacing w:val="-1"/>
          <w:w w:val="100"/>
          <w:sz w:val="21"/>
        </w:rPr>
        <w:t>op</w:t>
      </w:r>
      <w:r>
        <w:rPr>
          <w:spacing w:val="-2"/>
          <w:w w:val="100"/>
          <w:sz w:val="21"/>
        </w:rPr>
        <w:t>e</w:t>
      </w:r>
      <w:r>
        <w:rPr>
          <w:spacing w:val="-1"/>
          <w:w w:val="100"/>
          <w:sz w:val="21"/>
        </w:rPr>
        <w:t>ne</w:t>
      </w:r>
      <w:r>
        <w:rPr>
          <w:w w:val="100"/>
          <w:sz w:val="21"/>
        </w:rPr>
        <w:t>d</w:t>
      </w:r>
      <w:r>
        <w:rPr>
          <w:sz w:val="21"/>
        </w:rPr>
        <w:t>   </w:t>
      </w:r>
      <w:r>
        <w:rPr>
          <w:spacing w:val="-1"/>
          <w:w w:val="100"/>
          <w:sz w:val="21"/>
        </w:rPr>
        <w:t>b</w:t>
      </w:r>
      <w:r>
        <w:rPr>
          <w:w w:val="100"/>
          <w:sz w:val="21"/>
        </w:rPr>
        <w:t>y</w:t>
      </w:r>
      <w:r>
        <w:rPr>
          <w:sz w:val="21"/>
        </w:rPr>
        <w:t>   </w:t>
      </w:r>
      <w:r>
        <w:rPr>
          <w:spacing w:val="-2"/>
          <w:w w:val="100"/>
          <w:sz w:val="21"/>
        </w:rPr>
        <w:t>t</w:t>
      </w:r>
      <w:r>
        <w:rPr>
          <w:spacing w:val="-1"/>
          <w:w w:val="100"/>
          <w:sz w:val="21"/>
        </w:rPr>
        <w:t>h</w:t>
      </w:r>
      <w:r>
        <w:rPr>
          <w:w w:val="100"/>
          <w:sz w:val="21"/>
        </w:rPr>
        <w:t>e</w:t>
      </w:r>
      <w:r>
        <w:rPr>
          <w:sz w:val="21"/>
        </w:rPr>
        <w:t>   </w:t>
      </w:r>
      <w:r>
        <w:rPr>
          <w:w w:val="100"/>
          <w:sz w:val="21"/>
        </w:rPr>
        <w:t>D</w:t>
      </w:r>
      <w:r>
        <w:rPr>
          <w:spacing w:val="-3"/>
          <w:w w:val="100"/>
          <w:sz w:val="21"/>
        </w:rPr>
        <w:t>e</w:t>
      </w:r>
      <w:r>
        <w:rPr>
          <w:spacing w:val="-1"/>
          <w:w w:val="100"/>
          <w:sz w:val="21"/>
        </w:rPr>
        <w:t>put</w:t>
      </w:r>
      <w:r>
        <w:rPr>
          <w:w w:val="100"/>
          <w:sz w:val="21"/>
        </w:rPr>
        <w:t>y </w:t>
      </w:r>
      <w:r>
        <w:rPr>
          <w:sz w:val="21"/>
        </w:rPr>
        <w:t>Commissioner in the interests of the public safety, I decline to interfere. Appeal dismissed.‖</w:t>
      </w:r>
    </w:p>
    <w:p>
      <w:pPr>
        <w:pStyle w:val="BodyText"/>
        <w:rPr>
          <w:sz w:val="24"/>
        </w:rPr>
      </w:pPr>
    </w:p>
    <w:p>
      <w:pPr>
        <w:pStyle w:val="BodyText"/>
        <w:spacing w:before="9"/>
      </w:pPr>
    </w:p>
    <w:p>
      <w:pPr>
        <w:pStyle w:val="ListParagraph"/>
        <w:numPr>
          <w:ilvl w:val="0"/>
          <w:numId w:val="32"/>
        </w:numPr>
        <w:tabs>
          <w:tab w:pos="1221" w:val="left" w:leader="none"/>
        </w:tabs>
        <w:spacing w:line="480" w:lineRule="auto" w:before="1" w:after="0"/>
        <w:ind w:left="1220" w:right="435" w:hanging="720"/>
        <w:jc w:val="both"/>
        <w:rPr>
          <w:sz w:val="25"/>
        </w:rPr>
      </w:pPr>
      <w:r>
        <w:rPr/>
        <w:pict>
          <v:rect style="position:absolute;margin-left:72.024002pt;margin-top:347.464874pt;width:144.020pt;height:.599980pt;mso-position-horizontal-relative:page;mso-position-vertical-relative:paragraph;z-index:-15720448;mso-wrap-distance-left:0;mso-wrap-distance-right:0" filled="true" fillcolor="#000000" stroked="false">
            <v:fill type="solid"/>
            <w10:wrap type="topAndBottom"/>
          </v:rect>
        </w:pict>
      </w:r>
      <w:r>
        <w:rPr>
          <w:sz w:val="25"/>
        </w:rPr>
        <w:t>Justice Agarwal has alluded to the above documentary evidence including in particular, the application of the Moazzin dated 30 November 1858.</w:t>
      </w:r>
      <w:r>
        <w:rPr>
          <w:sz w:val="25"/>
          <w:vertAlign w:val="superscript"/>
        </w:rPr>
        <w:t>22</w:t>
      </w:r>
      <w:r>
        <w:rPr>
          <w:sz w:val="25"/>
          <w:vertAlign w:val="baseline"/>
        </w:rPr>
        <w:t> The application complained of the construction of a Chabutra near the </w:t>
      </w:r>
      <w:r>
        <w:rPr>
          <w:i/>
          <w:sz w:val="25"/>
          <w:vertAlign w:val="baseline"/>
        </w:rPr>
        <w:t>mihrab </w:t>
      </w:r>
      <w:r>
        <w:rPr>
          <w:sz w:val="25"/>
          <w:vertAlign w:val="baseline"/>
        </w:rPr>
        <w:t>and mimbar on which a picture of an idol had been placed. The complaint refers to the worship which was being conducted by lighting a fire and conducting a puja. The letter notes that previously the symbol of the Janmasthan was in existence for hundreds of years and Hindus had performed puja. Justice Agarwal has noted that the genuineness of this document has not been disputed by the plaintiff in the suit or of it having been written by a person whose identity was not disputed. The learned Judge held that the document contains admissions which prove that Hindus</w:t>
      </w:r>
      <w:r>
        <w:rPr>
          <w:spacing w:val="22"/>
          <w:sz w:val="25"/>
          <w:vertAlign w:val="baseline"/>
        </w:rPr>
        <w:t> </w:t>
      </w:r>
      <w:r>
        <w:rPr>
          <w:sz w:val="25"/>
          <w:vertAlign w:val="baseline"/>
        </w:rPr>
        <w:t>had</w:t>
      </w:r>
      <w:r>
        <w:rPr>
          <w:spacing w:val="22"/>
          <w:sz w:val="25"/>
          <w:vertAlign w:val="baseline"/>
        </w:rPr>
        <w:t> </w:t>
      </w:r>
      <w:r>
        <w:rPr>
          <w:sz w:val="25"/>
          <w:vertAlign w:val="baseline"/>
        </w:rPr>
        <w:t>continuously</w:t>
      </w:r>
      <w:r>
        <w:rPr>
          <w:spacing w:val="19"/>
          <w:sz w:val="25"/>
          <w:vertAlign w:val="baseline"/>
        </w:rPr>
        <w:t> </w:t>
      </w:r>
      <w:r>
        <w:rPr>
          <w:sz w:val="25"/>
          <w:vertAlign w:val="baseline"/>
        </w:rPr>
        <w:t>offered</w:t>
      </w:r>
      <w:r>
        <w:rPr>
          <w:spacing w:val="23"/>
          <w:sz w:val="25"/>
          <w:vertAlign w:val="baseline"/>
        </w:rPr>
        <w:t> </w:t>
      </w:r>
      <w:r>
        <w:rPr>
          <w:sz w:val="25"/>
          <w:vertAlign w:val="baseline"/>
        </w:rPr>
        <w:t>prayers</w:t>
      </w:r>
      <w:r>
        <w:rPr>
          <w:spacing w:val="22"/>
          <w:sz w:val="25"/>
          <w:vertAlign w:val="baseline"/>
        </w:rPr>
        <w:t> </w:t>
      </w:r>
      <w:r>
        <w:rPr>
          <w:sz w:val="25"/>
          <w:vertAlign w:val="baseline"/>
        </w:rPr>
        <w:t>inside</w:t>
      </w:r>
      <w:r>
        <w:rPr>
          <w:spacing w:val="22"/>
          <w:sz w:val="25"/>
          <w:vertAlign w:val="baseline"/>
        </w:rPr>
        <w:t> </w:t>
      </w:r>
      <w:r>
        <w:rPr>
          <w:sz w:val="25"/>
          <w:vertAlign w:val="baseline"/>
        </w:rPr>
        <w:t>the</w:t>
      </w:r>
      <w:r>
        <w:rPr>
          <w:spacing w:val="23"/>
          <w:sz w:val="25"/>
          <w:vertAlign w:val="baseline"/>
        </w:rPr>
        <w:t> </w:t>
      </w:r>
      <w:r>
        <w:rPr>
          <w:sz w:val="25"/>
          <w:vertAlign w:val="baseline"/>
        </w:rPr>
        <w:t>disputed</w:t>
      </w:r>
      <w:r>
        <w:rPr>
          <w:spacing w:val="22"/>
          <w:sz w:val="25"/>
          <w:vertAlign w:val="baseline"/>
        </w:rPr>
        <w:t> </w:t>
      </w:r>
      <w:r>
        <w:rPr>
          <w:sz w:val="25"/>
          <w:vertAlign w:val="baseline"/>
        </w:rPr>
        <w:t>building</w:t>
      </w:r>
    </w:p>
    <w:p>
      <w:pPr>
        <w:spacing w:before="80"/>
        <w:ind w:left="500" w:right="0" w:firstLine="0"/>
        <w:jc w:val="left"/>
        <w:rPr>
          <w:sz w:val="18"/>
        </w:rPr>
      </w:pPr>
      <w:r>
        <w:rPr>
          <w:sz w:val="18"/>
          <w:vertAlign w:val="superscript"/>
        </w:rPr>
        <w:t>22</w:t>
      </w:r>
      <w:r>
        <w:rPr>
          <w:sz w:val="18"/>
          <w:vertAlign w:val="baseline"/>
        </w:rPr>
        <w:t> Exhibit 20</w:t>
      </w:r>
    </w:p>
    <w:p>
      <w:pPr>
        <w:spacing w:after="0"/>
        <w:jc w:val="left"/>
        <w:rPr>
          <w:sz w:val="18"/>
        </w:rPr>
        <w:sectPr>
          <w:headerReference w:type="default" r:id="rId22"/>
          <w:footerReference w:type="default" r:id="rId23"/>
          <w:pgSz w:w="11910" w:h="16840"/>
          <w:pgMar w:header="721" w:footer="1014" w:top="1300" w:bottom="1200" w:left="940" w:right="1000"/>
        </w:sectPr>
      </w:pPr>
    </w:p>
    <w:p>
      <w:pPr>
        <w:pStyle w:val="BodyText"/>
        <w:spacing w:line="480" w:lineRule="auto" w:before="124"/>
        <w:ind w:left="1220" w:right="436"/>
        <w:jc w:val="both"/>
      </w:pPr>
      <w:r>
        <w:rPr/>
        <w:t>including the inner courtyard and at Ramchabutra and Sita Rasoi in the outer courtyard. However, during the course of the proceedings Mr Mohd. Nizamuddin Pasha, learned counsel for the plaintiffs in Suit 4 has challenged the translation of the exhibit;</w:t>
      </w:r>
    </w:p>
    <w:p>
      <w:pPr>
        <w:pStyle w:val="ListParagraph"/>
        <w:numPr>
          <w:ilvl w:val="0"/>
          <w:numId w:val="32"/>
        </w:numPr>
        <w:tabs>
          <w:tab w:pos="1221" w:val="left" w:leader="none"/>
        </w:tabs>
        <w:spacing w:line="480" w:lineRule="auto" w:before="0" w:after="0"/>
        <w:ind w:left="1220" w:right="436" w:hanging="720"/>
        <w:jc w:val="both"/>
        <w:rPr>
          <w:sz w:val="25"/>
        </w:rPr>
      </w:pPr>
      <w:r>
        <w:rPr>
          <w:sz w:val="25"/>
        </w:rPr>
        <w:t>Mohd Asghar instituted Suit 374/943 of 1882</w:t>
      </w:r>
      <w:r>
        <w:rPr>
          <w:sz w:val="25"/>
          <w:vertAlign w:val="superscript"/>
        </w:rPr>
        <w:t>23</w:t>
      </w:r>
      <w:r>
        <w:rPr>
          <w:sz w:val="25"/>
          <w:vertAlign w:val="baseline"/>
        </w:rPr>
        <w:t> against Raghubar Das, Mahant, Nirmohi Akhara claiming rent for use of the Chabutra and Takht near the door of Babri Masjid and for organizing the Kartik Mela on the occasion of Ram Navami in 1288 Fasli. The Sub-Judge, Faizabad dismissed the suit on 18 June</w:t>
      </w:r>
      <w:r>
        <w:rPr>
          <w:spacing w:val="-2"/>
          <w:sz w:val="25"/>
          <w:vertAlign w:val="baseline"/>
        </w:rPr>
        <w:t> </w:t>
      </w:r>
      <w:r>
        <w:rPr>
          <w:sz w:val="25"/>
          <w:vertAlign w:val="baseline"/>
        </w:rPr>
        <w:t>1883;</w:t>
      </w:r>
    </w:p>
    <w:p>
      <w:pPr>
        <w:pStyle w:val="ListParagraph"/>
        <w:numPr>
          <w:ilvl w:val="0"/>
          <w:numId w:val="32"/>
        </w:numPr>
        <w:tabs>
          <w:tab w:pos="1221" w:val="left" w:leader="none"/>
        </w:tabs>
        <w:spacing w:line="480" w:lineRule="auto" w:before="0" w:after="0"/>
        <w:ind w:left="1220" w:right="436" w:hanging="720"/>
        <w:jc w:val="both"/>
        <w:rPr>
          <w:sz w:val="25"/>
        </w:rPr>
      </w:pPr>
      <w:r>
        <w:rPr>
          <w:sz w:val="25"/>
        </w:rPr>
        <w:t>The construction of a railing in 1856-7 to provide a measure of separation between the inner and outer courtyards led to the construction of a platform by the Hindus in close proximity to the railing, in the outer courtyard. The platform, called Ramchabutra, became a place of worship for the</w:t>
      </w:r>
      <w:r>
        <w:rPr>
          <w:spacing w:val="-1"/>
          <w:sz w:val="25"/>
        </w:rPr>
        <w:t> </w:t>
      </w:r>
      <w:r>
        <w:rPr>
          <w:sz w:val="25"/>
        </w:rPr>
        <w:t>Hindus;</w:t>
      </w:r>
    </w:p>
    <w:p>
      <w:pPr>
        <w:pStyle w:val="ListParagraph"/>
        <w:numPr>
          <w:ilvl w:val="0"/>
          <w:numId w:val="32"/>
        </w:numPr>
        <w:tabs>
          <w:tab w:pos="1221" w:val="left" w:leader="none"/>
        </w:tabs>
        <w:spacing w:line="480" w:lineRule="auto" w:before="1" w:after="0"/>
        <w:ind w:left="1220" w:right="436" w:hanging="720"/>
        <w:jc w:val="both"/>
        <w:rPr>
          <w:sz w:val="25"/>
        </w:rPr>
      </w:pPr>
      <w:r>
        <w:rPr>
          <w:sz w:val="25"/>
        </w:rPr>
        <w:t>On 29 January 1885, a suit was instituted in the court of the Munsif, </w:t>
      </w:r>
      <w:r>
        <w:rPr>
          <w:spacing w:val="1"/>
          <w:w w:val="99"/>
          <w:sz w:val="25"/>
        </w:rPr>
        <w:t>F</w:t>
      </w:r>
      <w:r>
        <w:rPr>
          <w:spacing w:val="-1"/>
          <w:w w:val="99"/>
          <w:sz w:val="25"/>
        </w:rPr>
        <w:t>aiza</w:t>
      </w:r>
      <w:r>
        <w:rPr>
          <w:w w:val="99"/>
          <w:sz w:val="25"/>
        </w:rPr>
        <w:t>b</w:t>
      </w:r>
      <w:r>
        <w:rPr>
          <w:spacing w:val="-1"/>
          <w:w w:val="99"/>
          <w:sz w:val="25"/>
        </w:rPr>
        <w:t>a</w:t>
      </w:r>
      <w:r>
        <w:rPr>
          <w:w w:val="99"/>
          <w:sz w:val="25"/>
        </w:rPr>
        <w:t>d</w:t>
      </w:r>
      <w:r>
        <w:rPr>
          <w:sz w:val="25"/>
        </w:rPr>
        <w:t>  </w:t>
      </w:r>
      <w:r>
        <w:rPr>
          <w:spacing w:val="-26"/>
          <w:sz w:val="25"/>
        </w:rPr>
        <w:t> </w:t>
      </w:r>
      <w:r>
        <w:rPr>
          <w:spacing w:val="-1"/>
          <w:w w:val="99"/>
          <w:sz w:val="25"/>
        </w:rPr>
        <w:t>b</w:t>
      </w:r>
      <w:r>
        <w:rPr>
          <w:w w:val="99"/>
          <w:sz w:val="25"/>
        </w:rPr>
        <w:t>y</w:t>
      </w:r>
      <w:r>
        <w:rPr>
          <w:sz w:val="25"/>
        </w:rPr>
        <w:t>  </w:t>
      </w:r>
      <w:r>
        <w:rPr>
          <w:spacing w:val="-26"/>
          <w:sz w:val="25"/>
        </w:rPr>
        <w:t> </w:t>
      </w:r>
      <w:r>
        <w:rPr>
          <w:spacing w:val="-4"/>
          <w:w w:val="99"/>
          <w:sz w:val="25"/>
        </w:rPr>
        <w:t>M</w:t>
      </w:r>
      <w:r>
        <w:rPr>
          <w:spacing w:val="-1"/>
          <w:w w:val="99"/>
          <w:sz w:val="25"/>
        </w:rPr>
        <w:t>a</w:t>
      </w:r>
      <w:r>
        <w:rPr>
          <w:w w:val="99"/>
          <w:sz w:val="25"/>
        </w:rPr>
        <w:t>h</w:t>
      </w:r>
      <w:r>
        <w:rPr>
          <w:spacing w:val="-1"/>
          <w:w w:val="99"/>
          <w:sz w:val="25"/>
        </w:rPr>
        <w:t>a</w:t>
      </w:r>
      <w:r>
        <w:rPr>
          <w:spacing w:val="2"/>
          <w:w w:val="99"/>
          <w:sz w:val="25"/>
        </w:rPr>
        <w:t>n</w:t>
      </w:r>
      <w:r>
        <w:rPr>
          <w:w w:val="99"/>
          <w:sz w:val="25"/>
        </w:rPr>
        <w:t>t</w:t>
      </w:r>
      <w:r>
        <w:rPr>
          <w:sz w:val="25"/>
        </w:rPr>
        <w:t>  </w:t>
      </w:r>
      <w:r>
        <w:rPr>
          <w:spacing w:val="-26"/>
          <w:sz w:val="25"/>
        </w:rPr>
        <w:t> </w:t>
      </w:r>
      <w:r>
        <w:rPr>
          <w:spacing w:val="-1"/>
          <w:w w:val="99"/>
          <w:sz w:val="25"/>
        </w:rPr>
        <w:t>Rag</w:t>
      </w:r>
      <w:r>
        <w:rPr>
          <w:w w:val="99"/>
          <w:sz w:val="25"/>
        </w:rPr>
        <w:t>h</w:t>
      </w:r>
      <w:r>
        <w:rPr>
          <w:spacing w:val="-1"/>
          <w:w w:val="99"/>
          <w:sz w:val="25"/>
        </w:rPr>
        <w:t>u</w:t>
      </w:r>
      <w:r>
        <w:rPr>
          <w:w w:val="99"/>
          <w:sz w:val="25"/>
        </w:rPr>
        <w:t>b</w:t>
      </w:r>
      <w:r>
        <w:rPr>
          <w:spacing w:val="-1"/>
          <w:w w:val="99"/>
          <w:sz w:val="25"/>
        </w:rPr>
        <w:t>a</w:t>
      </w:r>
      <w:r>
        <w:rPr>
          <w:w w:val="99"/>
          <w:sz w:val="25"/>
        </w:rPr>
        <w:t>r</w:t>
      </w:r>
      <w:r>
        <w:rPr>
          <w:sz w:val="25"/>
        </w:rPr>
        <w:t>  </w:t>
      </w:r>
      <w:r>
        <w:rPr>
          <w:spacing w:val="-26"/>
          <w:sz w:val="25"/>
        </w:rPr>
        <w:t> </w:t>
      </w:r>
      <w:r>
        <w:rPr>
          <w:spacing w:val="-1"/>
          <w:w w:val="99"/>
          <w:sz w:val="25"/>
        </w:rPr>
        <w:t>Das</w:t>
      </w:r>
      <w:r>
        <w:rPr>
          <w:w w:val="99"/>
          <w:sz w:val="25"/>
        </w:rPr>
        <w:t>,</w:t>
      </w:r>
      <w:r>
        <w:rPr>
          <w:sz w:val="25"/>
        </w:rPr>
        <w:t>  </w:t>
      </w:r>
      <w:r>
        <w:rPr>
          <w:spacing w:val="-26"/>
          <w:sz w:val="25"/>
        </w:rPr>
        <w:t> </w:t>
      </w:r>
      <w:r>
        <w:rPr>
          <w:spacing w:val="-3"/>
          <w:w w:val="99"/>
          <w:sz w:val="25"/>
        </w:rPr>
        <w:t>d</w:t>
      </w:r>
      <w:r>
        <w:rPr>
          <w:spacing w:val="-1"/>
          <w:w w:val="99"/>
          <w:sz w:val="25"/>
        </w:rPr>
        <w:t>esc</w:t>
      </w:r>
      <w:r>
        <w:rPr>
          <w:w w:val="99"/>
          <w:sz w:val="25"/>
        </w:rPr>
        <w:t>r</w:t>
      </w:r>
      <w:r>
        <w:rPr>
          <w:spacing w:val="-1"/>
          <w:w w:val="99"/>
          <w:sz w:val="25"/>
        </w:rPr>
        <w:t>ibin</w:t>
      </w:r>
      <w:r>
        <w:rPr>
          <w:w w:val="99"/>
          <w:sz w:val="25"/>
        </w:rPr>
        <w:t>g</w:t>
      </w:r>
      <w:r>
        <w:rPr>
          <w:sz w:val="25"/>
        </w:rPr>
        <w:t>  </w:t>
      </w:r>
      <w:r>
        <w:rPr>
          <w:spacing w:val="-26"/>
          <w:sz w:val="25"/>
        </w:rPr>
        <w:t> </w:t>
      </w:r>
      <w:r>
        <w:rPr>
          <w:spacing w:val="-1"/>
          <w:w w:val="99"/>
          <w:sz w:val="25"/>
        </w:rPr>
        <w:t>hi</w:t>
      </w:r>
      <w:r>
        <w:rPr>
          <w:w w:val="99"/>
          <w:sz w:val="25"/>
        </w:rPr>
        <w:t>mself</w:t>
      </w:r>
      <w:r>
        <w:rPr>
          <w:sz w:val="25"/>
        </w:rPr>
        <w:t>  </w:t>
      </w:r>
      <w:r>
        <w:rPr>
          <w:spacing w:val="-26"/>
          <w:sz w:val="25"/>
        </w:rPr>
        <w:t> </w:t>
      </w:r>
      <w:r>
        <w:rPr>
          <w:spacing w:val="-1"/>
          <w:w w:val="99"/>
          <w:sz w:val="25"/>
        </w:rPr>
        <w:t>a</w:t>
      </w:r>
      <w:r>
        <w:rPr>
          <w:w w:val="99"/>
          <w:sz w:val="25"/>
        </w:rPr>
        <w:t>s</w:t>
      </w:r>
      <w:r>
        <w:rPr>
          <w:sz w:val="25"/>
        </w:rPr>
        <w:t>  </w:t>
      </w:r>
      <w:r>
        <w:rPr>
          <w:spacing w:val="-29"/>
          <w:sz w:val="25"/>
        </w:rPr>
        <w:t> </w:t>
      </w:r>
      <w:r>
        <w:rPr>
          <w:w w:val="33"/>
          <w:sz w:val="25"/>
        </w:rPr>
        <w:t>―</w:t>
      </w:r>
      <w:r>
        <w:rPr>
          <w:spacing w:val="-4"/>
          <w:w w:val="99"/>
          <w:sz w:val="25"/>
        </w:rPr>
        <w:t>M</w:t>
      </w:r>
      <w:r>
        <w:rPr>
          <w:spacing w:val="-1"/>
          <w:w w:val="99"/>
          <w:sz w:val="25"/>
        </w:rPr>
        <w:t>a</w:t>
      </w:r>
      <w:r>
        <w:rPr>
          <w:w w:val="99"/>
          <w:sz w:val="25"/>
        </w:rPr>
        <w:t>h</w:t>
      </w:r>
      <w:r>
        <w:rPr>
          <w:spacing w:val="-1"/>
          <w:w w:val="99"/>
          <w:sz w:val="25"/>
        </w:rPr>
        <w:t>a</w:t>
      </w:r>
      <w:r>
        <w:rPr>
          <w:w w:val="99"/>
          <w:sz w:val="25"/>
        </w:rPr>
        <w:t>nt </w:t>
      </w:r>
      <w:r>
        <w:rPr>
          <w:sz w:val="25"/>
        </w:rPr>
        <w:t>Janmasthan at Ayodhya‖. The sole defendant was the Secretary of State for India in Council</w:t>
      </w:r>
      <w:r>
        <w:rPr>
          <w:sz w:val="25"/>
          <w:vertAlign w:val="superscript"/>
        </w:rPr>
        <w:t>24</w:t>
      </w:r>
      <w:r>
        <w:rPr>
          <w:sz w:val="25"/>
          <w:vertAlign w:val="baseline"/>
        </w:rPr>
        <w:t>. The relief which was sought in the suit was an injunction restraining the defendant from obstructing the construction of a temple over the Chabutra admeasuring 17x21 feet. The plaint stated that the Janmasthan at Ayodhya is a place of religious importance and the plaintiff is a Mahant of the place. </w:t>
      </w:r>
      <w:r>
        <w:rPr>
          <w:i/>
          <w:sz w:val="25"/>
          <w:vertAlign w:val="baseline"/>
        </w:rPr>
        <w:t>Charan Paduka </w:t>
      </w:r>
      <w:r>
        <w:rPr>
          <w:sz w:val="25"/>
          <w:vertAlign w:val="baseline"/>
        </w:rPr>
        <w:t>was affixed on the Chabutra</w:t>
      </w:r>
      <w:r>
        <w:rPr>
          <w:spacing w:val="20"/>
          <w:sz w:val="25"/>
          <w:vertAlign w:val="baseline"/>
        </w:rPr>
        <w:t> </w:t>
      </w:r>
      <w:r>
        <w:rPr>
          <w:sz w:val="25"/>
          <w:vertAlign w:val="baseline"/>
        </w:rPr>
        <w:t>and</w:t>
      </w:r>
      <w:r>
        <w:rPr>
          <w:spacing w:val="21"/>
          <w:sz w:val="25"/>
          <w:vertAlign w:val="baseline"/>
        </w:rPr>
        <w:t> </w:t>
      </w:r>
      <w:r>
        <w:rPr>
          <w:sz w:val="25"/>
          <w:vertAlign w:val="baseline"/>
        </w:rPr>
        <w:t>a</w:t>
      </w:r>
      <w:r>
        <w:rPr>
          <w:spacing w:val="21"/>
          <w:sz w:val="25"/>
          <w:vertAlign w:val="baseline"/>
        </w:rPr>
        <w:t> </w:t>
      </w:r>
      <w:r>
        <w:rPr>
          <w:sz w:val="25"/>
          <w:vertAlign w:val="baseline"/>
        </w:rPr>
        <w:t>small</w:t>
      </w:r>
      <w:r>
        <w:rPr>
          <w:spacing w:val="22"/>
          <w:sz w:val="25"/>
          <w:vertAlign w:val="baseline"/>
        </w:rPr>
        <w:t> </w:t>
      </w:r>
      <w:r>
        <w:rPr>
          <w:sz w:val="25"/>
          <w:vertAlign w:val="baseline"/>
        </w:rPr>
        <w:t>temple</w:t>
      </w:r>
      <w:r>
        <w:rPr>
          <w:spacing w:val="22"/>
          <w:sz w:val="25"/>
          <w:vertAlign w:val="baseline"/>
        </w:rPr>
        <w:t> </w:t>
      </w:r>
      <w:r>
        <w:rPr>
          <w:sz w:val="25"/>
          <w:vertAlign w:val="baseline"/>
        </w:rPr>
        <w:t>built</w:t>
      </w:r>
      <w:r>
        <w:rPr>
          <w:spacing w:val="21"/>
          <w:sz w:val="25"/>
          <w:vertAlign w:val="baseline"/>
        </w:rPr>
        <w:t> </w:t>
      </w:r>
      <w:r>
        <w:rPr>
          <w:sz w:val="25"/>
          <w:vertAlign w:val="baseline"/>
        </w:rPr>
        <w:t>next</w:t>
      </w:r>
      <w:r>
        <w:rPr>
          <w:spacing w:val="22"/>
          <w:sz w:val="25"/>
          <w:vertAlign w:val="baseline"/>
        </w:rPr>
        <w:t> </w:t>
      </w:r>
      <w:r>
        <w:rPr>
          <w:sz w:val="25"/>
          <w:vertAlign w:val="baseline"/>
        </w:rPr>
        <w:t>to</w:t>
      </w:r>
      <w:r>
        <w:rPr>
          <w:spacing w:val="22"/>
          <w:sz w:val="25"/>
          <w:vertAlign w:val="baseline"/>
        </w:rPr>
        <w:t> </w:t>
      </w:r>
      <w:r>
        <w:rPr>
          <w:sz w:val="25"/>
          <w:vertAlign w:val="baseline"/>
        </w:rPr>
        <w:t>it</w:t>
      </w:r>
      <w:r>
        <w:rPr>
          <w:spacing w:val="21"/>
          <w:sz w:val="25"/>
          <w:vertAlign w:val="baseline"/>
        </w:rPr>
        <w:t> </w:t>
      </w:r>
      <w:r>
        <w:rPr>
          <w:sz w:val="25"/>
          <w:vertAlign w:val="baseline"/>
        </w:rPr>
        <w:t>was</w:t>
      </w:r>
      <w:r>
        <w:rPr>
          <w:spacing w:val="21"/>
          <w:sz w:val="25"/>
          <w:vertAlign w:val="baseline"/>
        </w:rPr>
        <w:t> </w:t>
      </w:r>
      <w:r>
        <w:rPr>
          <w:sz w:val="25"/>
          <w:vertAlign w:val="baseline"/>
        </w:rPr>
        <w:t>worshipped.</w:t>
      </w:r>
      <w:r>
        <w:rPr>
          <w:spacing w:val="20"/>
          <w:sz w:val="25"/>
          <w:vertAlign w:val="baseline"/>
        </w:rPr>
        <w:t> </w:t>
      </w:r>
      <w:r>
        <w:rPr>
          <w:sz w:val="25"/>
          <w:vertAlign w:val="baseline"/>
        </w:rPr>
        <w:t>The</w:t>
      </w:r>
      <w:r>
        <w:rPr>
          <w:spacing w:val="21"/>
          <w:sz w:val="25"/>
          <w:vertAlign w:val="baseline"/>
        </w:rPr>
        <w:t> </w:t>
      </w:r>
      <w:r>
        <w:rPr>
          <w:sz w:val="25"/>
          <w:vertAlign w:val="baseline"/>
        </w:rPr>
        <w:t>plaintiff</w:t>
      </w:r>
    </w:p>
    <w:p>
      <w:pPr>
        <w:pStyle w:val="BodyText"/>
        <w:spacing w:before="4"/>
        <w:rPr>
          <w:sz w:val="14"/>
        </w:rPr>
      </w:pPr>
      <w:r>
        <w:rPr/>
        <w:pict>
          <v:rect style="position:absolute;margin-left:72.024002pt;margin-top:10.214571pt;width:144.020pt;height:.599980pt;mso-position-horizontal-relative:page;mso-position-vertical-relative:paragraph;z-index:-15719936;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23</w:t>
      </w:r>
      <w:r>
        <w:rPr>
          <w:sz w:val="18"/>
          <w:vertAlign w:val="baseline"/>
        </w:rPr>
        <w:t> Exhibit 24</w:t>
      </w:r>
    </w:p>
    <w:p>
      <w:pPr>
        <w:spacing w:before="2"/>
        <w:ind w:left="500" w:right="0" w:firstLine="0"/>
        <w:jc w:val="left"/>
        <w:rPr>
          <w:sz w:val="18"/>
        </w:rPr>
      </w:pPr>
      <w:r>
        <w:rPr>
          <w:sz w:val="18"/>
          <w:vertAlign w:val="superscript"/>
        </w:rPr>
        <w:t>24</w:t>
      </w:r>
      <w:r>
        <w:rPr>
          <w:sz w:val="18"/>
          <w:vertAlign w:val="baseline"/>
        </w:rPr>
        <w:t> The certified copy of the plaint is Exhibit A-22 in Suit 1</w:t>
      </w:r>
    </w:p>
    <w:p>
      <w:pPr>
        <w:spacing w:after="0"/>
        <w:jc w:val="left"/>
        <w:rPr>
          <w:sz w:val="18"/>
        </w:rPr>
        <w:sectPr>
          <w:headerReference w:type="default" r:id="rId24"/>
          <w:footerReference w:type="default" r:id="rId25"/>
          <w:pgSz w:w="11910" w:h="16840"/>
          <w:pgMar w:header="721" w:footer="1014" w:top="1300" w:bottom="1200" w:left="940" w:right="1000"/>
          <w:pgNumType w:start="68"/>
        </w:sectPr>
      </w:pPr>
    </w:p>
    <w:p>
      <w:pPr>
        <w:pStyle w:val="BodyText"/>
        <w:spacing w:line="480" w:lineRule="auto" w:before="124"/>
        <w:ind w:left="1220" w:right="436"/>
        <w:jc w:val="both"/>
      </w:pPr>
      <w:r>
        <w:rPr/>
        <w:t>stated that in April 1883, the Deputy Commissioner, Faizabad acting on  the objection of the Muslims, obstructed the construction of a temple. A map was appended with the plaint showing the three domed structure </w:t>
      </w:r>
      <w:r>
        <w:rPr>
          <w:spacing w:val="-1"/>
          <w:w w:val="99"/>
        </w:rPr>
        <w:t>d</w:t>
      </w:r>
      <w:r>
        <w:rPr>
          <w:w w:val="99"/>
        </w:rPr>
        <w:t>escr</w:t>
      </w:r>
      <w:r>
        <w:rPr>
          <w:spacing w:val="-1"/>
          <w:w w:val="99"/>
        </w:rPr>
        <w:t>ibe</w:t>
      </w:r>
      <w:r>
        <w:rPr>
          <w:w w:val="99"/>
        </w:rPr>
        <w:t>d</w:t>
      </w:r>
      <w:r>
        <w:rPr>
          <w:spacing w:val="15"/>
        </w:rPr>
        <w:t> </w:t>
      </w:r>
      <w:r>
        <w:rPr>
          <w:spacing w:val="-1"/>
          <w:w w:val="99"/>
        </w:rPr>
        <w:t>a</w:t>
      </w:r>
      <w:r>
        <w:rPr>
          <w:w w:val="99"/>
        </w:rPr>
        <w:t>s</w:t>
      </w:r>
      <w:r>
        <w:rPr>
          <w:spacing w:val="14"/>
        </w:rPr>
        <w:t> </w:t>
      </w:r>
      <w:r>
        <w:rPr>
          <w:w w:val="33"/>
        </w:rPr>
        <w:t>―</w:t>
      </w:r>
      <w:r>
        <w:rPr>
          <w:spacing w:val="-4"/>
          <w:w w:val="99"/>
        </w:rPr>
        <w:t>M</w:t>
      </w:r>
      <w:r>
        <w:rPr>
          <w:spacing w:val="-1"/>
          <w:w w:val="99"/>
        </w:rPr>
        <w:t>a</w:t>
      </w:r>
      <w:r>
        <w:rPr>
          <w:spacing w:val="2"/>
          <w:w w:val="99"/>
        </w:rPr>
        <w:t>s</w:t>
      </w:r>
      <w:r>
        <w:rPr>
          <w:spacing w:val="-1"/>
          <w:w w:val="94"/>
        </w:rPr>
        <w:t>jid</w:t>
      </w:r>
      <w:r>
        <w:rPr>
          <w:w w:val="94"/>
        </w:rPr>
        <w:t>‖</w:t>
      </w:r>
      <w:r>
        <w:rPr>
          <w:spacing w:val="15"/>
        </w:rPr>
        <w:t> </w:t>
      </w:r>
      <w:r>
        <w:rPr>
          <w:spacing w:val="-1"/>
          <w:w w:val="99"/>
        </w:rPr>
        <w:t>withi</w:t>
      </w:r>
      <w:r>
        <w:rPr>
          <w:w w:val="99"/>
        </w:rPr>
        <w:t>n</w:t>
      </w:r>
      <w:r>
        <w:rPr>
          <w:spacing w:val="14"/>
        </w:rPr>
        <w:t> </w:t>
      </w:r>
      <w:r>
        <w:rPr>
          <w:w w:val="99"/>
        </w:rPr>
        <w:t>a</w:t>
      </w:r>
      <w:r>
        <w:rPr>
          <w:spacing w:val="14"/>
        </w:rPr>
        <w:t> </w:t>
      </w:r>
      <w:r>
        <w:rPr>
          <w:spacing w:val="-1"/>
          <w:w w:val="99"/>
        </w:rPr>
        <w:t>b</w:t>
      </w:r>
      <w:r>
        <w:rPr>
          <w:w w:val="99"/>
        </w:rPr>
        <w:t>o</w:t>
      </w:r>
      <w:r>
        <w:rPr>
          <w:spacing w:val="-1"/>
          <w:w w:val="99"/>
        </w:rPr>
        <w:t>u</w:t>
      </w:r>
      <w:r>
        <w:rPr>
          <w:w w:val="99"/>
        </w:rPr>
        <w:t>n</w:t>
      </w:r>
      <w:r>
        <w:rPr>
          <w:spacing w:val="-1"/>
          <w:w w:val="99"/>
        </w:rPr>
        <w:t>d</w:t>
      </w:r>
      <w:r>
        <w:rPr>
          <w:w w:val="99"/>
        </w:rPr>
        <w:t>ary</w:t>
      </w:r>
      <w:r>
        <w:rPr>
          <w:spacing w:val="11"/>
        </w:rPr>
        <w:t> </w:t>
      </w:r>
      <w:r>
        <w:rPr>
          <w:w w:val="99"/>
        </w:rPr>
        <w:t>r</w:t>
      </w:r>
      <w:r>
        <w:rPr>
          <w:spacing w:val="-1"/>
          <w:w w:val="99"/>
        </w:rPr>
        <w:t>a</w:t>
      </w:r>
      <w:r>
        <w:rPr>
          <w:spacing w:val="2"/>
          <w:w w:val="99"/>
        </w:rPr>
        <w:t>i</w:t>
      </w:r>
      <w:r>
        <w:rPr>
          <w:spacing w:val="-1"/>
          <w:w w:val="99"/>
        </w:rPr>
        <w:t>ling</w:t>
      </w:r>
      <w:r>
        <w:rPr>
          <w:w w:val="99"/>
        </w:rPr>
        <w:t>.</w:t>
      </w:r>
      <w:r>
        <w:rPr>
          <w:spacing w:val="14"/>
        </w:rPr>
        <w:t> </w:t>
      </w:r>
      <w:r>
        <w:rPr>
          <w:w w:val="99"/>
        </w:rPr>
        <w:t>T</w:t>
      </w:r>
      <w:r>
        <w:rPr>
          <w:spacing w:val="-1"/>
          <w:w w:val="99"/>
        </w:rPr>
        <w:t>h</w:t>
      </w:r>
      <w:r>
        <w:rPr>
          <w:w w:val="99"/>
        </w:rPr>
        <w:t>e</w:t>
      </w:r>
      <w:r>
        <w:rPr>
          <w:spacing w:val="14"/>
        </w:rPr>
        <w:t> </w:t>
      </w:r>
      <w:r>
        <w:rPr>
          <w:w w:val="99"/>
        </w:rPr>
        <w:t>m</w:t>
      </w:r>
      <w:r>
        <w:rPr>
          <w:spacing w:val="-1"/>
          <w:w w:val="99"/>
        </w:rPr>
        <w:t>a</w:t>
      </w:r>
      <w:r>
        <w:rPr>
          <w:w w:val="99"/>
        </w:rPr>
        <w:t>p</w:t>
      </w:r>
      <w:r>
        <w:rPr>
          <w:spacing w:val="14"/>
        </w:rPr>
        <w:t> </w:t>
      </w:r>
      <w:r>
        <w:rPr>
          <w:spacing w:val="-1"/>
          <w:w w:val="99"/>
        </w:rPr>
        <w:t>a</w:t>
      </w:r>
      <w:r>
        <w:rPr>
          <w:w w:val="99"/>
        </w:rPr>
        <w:t>p</w:t>
      </w:r>
      <w:r>
        <w:rPr>
          <w:spacing w:val="-1"/>
          <w:w w:val="99"/>
        </w:rPr>
        <w:t>p</w:t>
      </w:r>
      <w:r>
        <w:rPr>
          <w:w w:val="99"/>
        </w:rPr>
        <w:t>e</w:t>
      </w:r>
      <w:r>
        <w:rPr>
          <w:spacing w:val="-3"/>
          <w:w w:val="99"/>
        </w:rPr>
        <w:t>n</w:t>
      </w:r>
      <w:r>
        <w:rPr>
          <w:spacing w:val="-1"/>
          <w:w w:val="99"/>
        </w:rPr>
        <w:t>d</w:t>
      </w:r>
      <w:r>
        <w:rPr>
          <w:w w:val="99"/>
        </w:rPr>
        <w:t>ed</w:t>
      </w:r>
      <w:r>
        <w:rPr>
          <w:spacing w:val="14"/>
        </w:rPr>
        <w:t> </w:t>
      </w:r>
      <w:r>
        <w:rPr>
          <w:w w:val="99"/>
        </w:rPr>
        <w:t>to</w:t>
      </w:r>
      <w:r>
        <w:rPr>
          <w:spacing w:val="15"/>
        </w:rPr>
        <w:t> </w:t>
      </w:r>
      <w:r>
        <w:rPr>
          <w:w w:val="99"/>
        </w:rPr>
        <w:t>the </w:t>
      </w:r>
      <w:r>
        <w:rPr/>
        <w:t>plaint indicated two entrances to the outer courtyard on the Northern and Eastern sides. Mohd Asghar as Mutawalli of the mosque was impleaded  as second defendant to the suit. He filed a written statement on 22 December 1885 stating that Babur had created a waqf by constructing a Masjid and above the door, the word ‗Allah‘ was inscribed. Babur was also stated to have declared a grant for its maintenance. Mohd Asghar pleaded that no permission had been granted for the use of the land in the compound of the mosque. It was averred that there was no Chabutra from the date of the construction of the mosque until 1856 and it was only constructed in 1857. The prayer for the construction </w:t>
      </w:r>
      <w:r>
        <w:rPr>
          <w:spacing w:val="3"/>
        </w:rPr>
        <w:t>of </w:t>
      </w:r>
      <w:r>
        <w:rPr/>
        <w:t>a temple was opposed;</w:t>
      </w:r>
      <w:r>
        <w:rPr>
          <w:spacing w:val="-2"/>
        </w:rPr>
        <w:t> </w:t>
      </w:r>
      <w:r>
        <w:rPr/>
        <w:t>and</w:t>
      </w:r>
    </w:p>
    <w:p>
      <w:pPr>
        <w:pStyle w:val="BodyText"/>
        <w:spacing w:line="480" w:lineRule="auto"/>
        <w:ind w:left="1220" w:right="438"/>
        <w:jc w:val="both"/>
      </w:pPr>
      <w:r>
        <w:rPr/>
        <w:t>The above suit was dismissed by the Sub-Judge on 24 December 1885. The Trial Court held that:</w:t>
      </w:r>
    </w:p>
    <w:p>
      <w:pPr>
        <w:pStyle w:val="ListParagraph"/>
        <w:numPr>
          <w:ilvl w:val="1"/>
          <w:numId w:val="32"/>
        </w:numPr>
        <w:tabs>
          <w:tab w:pos="1941" w:val="left" w:leader="none"/>
        </w:tabs>
        <w:spacing w:line="480" w:lineRule="auto" w:before="2" w:after="0"/>
        <w:ind w:left="1940" w:right="441" w:hanging="720"/>
        <w:jc w:val="both"/>
        <w:rPr>
          <w:sz w:val="25"/>
        </w:rPr>
      </w:pPr>
      <w:r>
        <w:rPr>
          <w:sz w:val="25"/>
        </w:rPr>
        <w:t>The Chabutra was in possession of the plaintiff, which had not been disputed by the second</w:t>
      </w:r>
      <w:r>
        <w:rPr>
          <w:spacing w:val="-5"/>
          <w:sz w:val="25"/>
        </w:rPr>
        <w:t> </w:t>
      </w:r>
      <w:r>
        <w:rPr>
          <w:sz w:val="25"/>
        </w:rPr>
        <w:t>defendant;</w:t>
      </w:r>
    </w:p>
    <w:p>
      <w:pPr>
        <w:pStyle w:val="ListParagraph"/>
        <w:numPr>
          <w:ilvl w:val="1"/>
          <w:numId w:val="32"/>
        </w:numPr>
        <w:tabs>
          <w:tab w:pos="1941" w:val="left" w:leader="none"/>
        </w:tabs>
        <w:spacing w:line="480" w:lineRule="auto" w:before="0" w:after="0"/>
        <w:ind w:left="1940" w:right="441" w:hanging="720"/>
        <w:jc w:val="both"/>
        <w:rPr>
          <w:sz w:val="25"/>
        </w:rPr>
      </w:pPr>
      <w:r>
        <w:rPr>
          <w:sz w:val="25"/>
        </w:rPr>
        <w:t>The area was divided by a railing wall separating the domed structure from the outer courtyard where the Chabutra existed to prevent any dispute between Hindus and</w:t>
      </w:r>
      <w:r>
        <w:rPr>
          <w:spacing w:val="-5"/>
          <w:sz w:val="25"/>
        </w:rPr>
        <w:t> </w:t>
      </w:r>
      <w:r>
        <w:rPr>
          <w:sz w:val="25"/>
        </w:rPr>
        <w:t>Muslims;</w:t>
      </w:r>
    </w:p>
    <w:p>
      <w:pPr>
        <w:pStyle w:val="ListParagraph"/>
        <w:numPr>
          <w:ilvl w:val="1"/>
          <w:numId w:val="32"/>
        </w:numPr>
        <w:tabs>
          <w:tab w:pos="1941" w:val="left" w:leader="none"/>
        </w:tabs>
        <w:spacing w:line="482" w:lineRule="auto" w:before="0" w:after="0"/>
        <w:ind w:left="1940" w:right="442" w:hanging="720"/>
        <w:jc w:val="both"/>
        <w:rPr>
          <w:sz w:val="25"/>
        </w:rPr>
      </w:pPr>
      <w:r>
        <w:rPr>
          <w:sz w:val="25"/>
        </w:rPr>
        <w:t>The erection of a railing was necessitated due to the riot in 1885 between Hindus and</w:t>
      </w:r>
      <w:r>
        <w:rPr>
          <w:spacing w:val="-3"/>
          <w:sz w:val="25"/>
        </w:rPr>
        <w:t> </w:t>
      </w:r>
      <w:r>
        <w:rPr>
          <w:sz w:val="25"/>
        </w:rPr>
        <w:t>Muslims;</w:t>
      </w:r>
    </w:p>
    <w:p>
      <w:pPr>
        <w:spacing w:after="0" w:line="482" w:lineRule="auto"/>
        <w:jc w:val="both"/>
        <w:rPr>
          <w:sz w:val="25"/>
        </w:rPr>
        <w:sectPr>
          <w:pgSz w:w="11910" w:h="16840"/>
          <w:pgMar w:header="721" w:footer="1014" w:top="1300" w:bottom="1200" w:left="940" w:right="1000"/>
        </w:sectPr>
      </w:pPr>
    </w:p>
    <w:p>
      <w:pPr>
        <w:pStyle w:val="ListParagraph"/>
        <w:numPr>
          <w:ilvl w:val="1"/>
          <w:numId w:val="32"/>
        </w:numPr>
        <w:tabs>
          <w:tab w:pos="1941" w:val="left" w:leader="none"/>
        </w:tabs>
        <w:spacing w:line="480" w:lineRule="auto" w:before="124" w:after="0"/>
        <w:ind w:left="1940" w:right="445" w:hanging="720"/>
        <w:jc w:val="both"/>
        <w:rPr>
          <w:sz w:val="25"/>
        </w:rPr>
      </w:pPr>
      <w:r>
        <w:rPr>
          <w:sz w:val="25"/>
        </w:rPr>
        <w:t>The divide was made to so that Muslims could offer prayers inside and the Hindus</w:t>
      </w:r>
      <w:r>
        <w:rPr>
          <w:spacing w:val="-3"/>
          <w:sz w:val="25"/>
        </w:rPr>
        <w:t> </w:t>
      </w:r>
      <w:r>
        <w:rPr>
          <w:sz w:val="25"/>
        </w:rPr>
        <w:t>outside;</w:t>
      </w:r>
    </w:p>
    <w:p>
      <w:pPr>
        <w:pStyle w:val="ListParagraph"/>
        <w:numPr>
          <w:ilvl w:val="1"/>
          <w:numId w:val="32"/>
        </w:numPr>
        <w:tabs>
          <w:tab w:pos="1911" w:val="left" w:leader="none"/>
        </w:tabs>
        <w:spacing w:line="480" w:lineRule="auto" w:before="0" w:after="0"/>
        <w:ind w:left="1940" w:right="444" w:hanging="720"/>
        <w:jc w:val="both"/>
        <w:rPr>
          <w:sz w:val="25"/>
        </w:rPr>
      </w:pPr>
      <w:r>
        <w:rPr>
          <w:sz w:val="25"/>
        </w:rPr>
        <w:t>Since the area to visit the mosque and the temple was the same but the place where the Hindus offered worship was in their possession, there could be no dispute about their ownership;</w:t>
      </w:r>
      <w:r>
        <w:rPr>
          <w:spacing w:val="-3"/>
          <w:sz w:val="25"/>
        </w:rPr>
        <w:t> </w:t>
      </w:r>
      <w:r>
        <w:rPr>
          <w:sz w:val="25"/>
        </w:rPr>
        <w:t>and</w:t>
      </w:r>
    </w:p>
    <w:p>
      <w:pPr>
        <w:pStyle w:val="ListParagraph"/>
        <w:numPr>
          <w:ilvl w:val="1"/>
          <w:numId w:val="32"/>
        </w:numPr>
        <w:tabs>
          <w:tab w:pos="1941" w:val="left" w:leader="none"/>
        </w:tabs>
        <w:spacing w:line="480" w:lineRule="auto" w:before="0" w:after="0"/>
        <w:ind w:left="1940" w:right="441" w:hanging="720"/>
        <w:jc w:val="both"/>
        <w:rPr>
          <w:sz w:val="25"/>
        </w:rPr>
      </w:pPr>
      <w:r>
        <w:rPr>
          <w:sz w:val="25"/>
        </w:rPr>
        <w:t>Though the person who was the owner and in possession is entitled to make construction, grant of permission to construct a temple in such close proximity to a mosque may lead to a serious dispute between Hindus and Muslims and create a law and order problem. The suit was dismissed on this</w:t>
      </w:r>
      <w:r>
        <w:rPr>
          <w:spacing w:val="-5"/>
          <w:sz w:val="25"/>
        </w:rPr>
        <w:t> </w:t>
      </w:r>
      <w:r>
        <w:rPr>
          <w:sz w:val="25"/>
        </w:rPr>
        <w:t>ground.</w:t>
      </w:r>
    </w:p>
    <w:p>
      <w:pPr>
        <w:pStyle w:val="BodyText"/>
        <w:rPr>
          <w:sz w:val="28"/>
        </w:rPr>
      </w:pPr>
    </w:p>
    <w:p>
      <w:pPr>
        <w:pStyle w:val="BodyText"/>
        <w:spacing w:line="480" w:lineRule="auto" w:before="166"/>
        <w:ind w:left="500" w:right="437"/>
        <w:jc w:val="both"/>
      </w:pPr>
      <w:r>
        <w:rPr/>
        <w:t>Against the decree of the Trial Court, an appeal was filed by Mahant Raghubar Das while cross-objections were filed by Mohd Asghar. The District Judge by a judgment dated 18/26 March 1886 dismissed the appeal of the plaintiff. The </w:t>
      </w:r>
      <w:r>
        <w:rPr>
          <w:spacing w:val="-1"/>
          <w:w w:val="99"/>
        </w:rPr>
        <w:t>Distric</w:t>
      </w:r>
      <w:r>
        <w:rPr>
          <w:w w:val="99"/>
        </w:rPr>
        <w:t>t</w:t>
      </w:r>
      <w:r>
        <w:rPr/>
        <w:t> </w:t>
      </w:r>
      <w:r>
        <w:rPr>
          <w:spacing w:val="-24"/>
        </w:rPr>
        <w:t> </w:t>
      </w:r>
      <w:r>
        <w:rPr>
          <w:w w:val="99"/>
        </w:rPr>
        <w:t>Jud</w:t>
      </w:r>
      <w:r>
        <w:rPr>
          <w:spacing w:val="-1"/>
          <w:w w:val="99"/>
        </w:rPr>
        <w:t>g</w:t>
      </w:r>
      <w:r>
        <w:rPr>
          <w:w w:val="99"/>
        </w:rPr>
        <w:t>e</w:t>
      </w:r>
      <w:r>
        <w:rPr/>
        <w:t> </w:t>
      </w:r>
      <w:r>
        <w:rPr>
          <w:spacing w:val="-24"/>
        </w:rPr>
        <w:t> </w:t>
      </w:r>
      <w:r>
        <w:rPr>
          <w:spacing w:val="-1"/>
          <w:w w:val="99"/>
        </w:rPr>
        <w:t>h</w:t>
      </w:r>
      <w:r>
        <w:rPr>
          <w:w w:val="99"/>
        </w:rPr>
        <w:t>e</w:t>
      </w:r>
      <w:r>
        <w:rPr>
          <w:spacing w:val="-1"/>
          <w:w w:val="99"/>
        </w:rPr>
        <w:t>l</w:t>
      </w:r>
      <w:r>
        <w:rPr>
          <w:w w:val="99"/>
        </w:rPr>
        <w:t>d</w:t>
      </w:r>
      <w:r>
        <w:rPr/>
        <w:t> </w:t>
      </w:r>
      <w:r>
        <w:rPr>
          <w:spacing w:val="-24"/>
        </w:rPr>
        <w:t> </w:t>
      </w:r>
      <w:r>
        <w:rPr>
          <w:w w:val="99"/>
        </w:rPr>
        <w:t>that</w:t>
      </w:r>
      <w:r>
        <w:rPr/>
        <w:t> </w:t>
      </w:r>
      <w:r>
        <w:rPr>
          <w:spacing w:val="-24"/>
        </w:rPr>
        <w:t> </w:t>
      </w:r>
      <w:r>
        <w:rPr>
          <w:spacing w:val="-1"/>
          <w:w w:val="99"/>
        </w:rPr>
        <w:t>i</w:t>
      </w:r>
      <w:r>
        <w:rPr>
          <w:w w:val="99"/>
        </w:rPr>
        <w:t>t</w:t>
      </w:r>
      <w:r>
        <w:rPr/>
        <w:t> </w:t>
      </w:r>
      <w:r>
        <w:rPr>
          <w:spacing w:val="-24"/>
        </w:rPr>
        <w:t> </w:t>
      </w:r>
      <w:r>
        <w:rPr>
          <w:spacing w:val="-1"/>
          <w:w w:val="99"/>
        </w:rPr>
        <w:t>wa</w:t>
      </w:r>
      <w:r>
        <w:rPr>
          <w:w w:val="99"/>
        </w:rPr>
        <w:t>s</w:t>
      </w:r>
      <w:r>
        <w:rPr/>
        <w:t> </w:t>
      </w:r>
      <w:r>
        <w:rPr>
          <w:spacing w:val="-24"/>
        </w:rPr>
        <w:t> </w:t>
      </w:r>
      <w:r>
        <w:rPr>
          <w:w w:val="33"/>
        </w:rPr>
        <w:t>―</w:t>
      </w:r>
      <w:r>
        <w:rPr>
          <w:w w:val="99"/>
        </w:rPr>
        <w:t>m</w:t>
      </w:r>
      <w:r>
        <w:rPr>
          <w:spacing w:val="-1"/>
          <w:w w:val="99"/>
        </w:rPr>
        <w:t>os</w:t>
      </w:r>
      <w:r>
        <w:rPr>
          <w:w w:val="99"/>
        </w:rPr>
        <w:t>t</w:t>
      </w:r>
      <w:r>
        <w:rPr/>
        <w:t> </w:t>
      </w:r>
      <w:r>
        <w:rPr>
          <w:spacing w:val="-24"/>
        </w:rPr>
        <w:t> </w:t>
      </w:r>
      <w:r>
        <w:rPr>
          <w:spacing w:val="-1"/>
          <w:w w:val="99"/>
        </w:rPr>
        <w:t>u</w:t>
      </w:r>
      <w:r>
        <w:rPr>
          <w:w w:val="99"/>
        </w:rPr>
        <w:t>nfo</w:t>
      </w:r>
      <w:r>
        <w:rPr>
          <w:spacing w:val="1"/>
          <w:w w:val="99"/>
        </w:rPr>
        <w:t>r</w:t>
      </w:r>
      <w:r>
        <w:rPr>
          <w:w w:val="99"/>
        </w:rPr>
        <w:t>tun</w:t>
      </w:r>
      <w:r>
        <w:rPr>
          <w:spacing w:val="-1"/>
          <w:w w:val="99"/>
        </w:rPr>
        <w:t>at</w:t>
      </w:r>
      <w:r>
        <w:rPr>
          <w:w w:val="99"/>
        </w:rPr>
        <w:t>e</w:t>
      </w:r>
      <w:r>
        <w:rPr>
          <w:w w:val="80"/>
        </w:rPr>
        <w:t>‖</w:t>
      </w:r>
      <w:r>
        <w:rPr/>
        <w:t> </w:t>
      </w:r>
      <w:r>
        <w:rPr>
          <w:spacing w:val="-24"/>
        </w:rPr>
        <w:t> </w:t>
      </w:r>
      <w:r>
        <w:rPr>
          <w:w w:val="99"/>
        </w:rPr>
        <w:t>that</w:t>
      </w:r>
      <w:r>
        <w:rPr/>
        <w:t> </w:t>
      </w:r>
      <w:r>
        <w:rPr>
          <w:spacing w:val="-24"/>
        </w:rPr>
        <w:t> </w:t>
      </w:r>
      <w:r>
        <w:rPr>
          <w:w w:val="99"/>
        </w:rPr>
        <w:t>the</w:t>
      </w:r>
      <w:r>
        <w:rPr/>
        <w:t> </w:t>
      </w:r>
      <w:r>
        <w:rPr>
          <w:spacing w:val="-16"/>
        </w:rPr>
        <w:t> </w:t>
      </w:r>
      <w:r>
        <w:rPr>
          <w:spacing w:val="-4"/>
          <w:w w:val="99"/>
        </w:rPr>
        <w:t>M</w:t>
      </w:r>
      <w:r>
        <w:rPr>
          <w:w w:val="99"/>
        </w:rPr>
        <w:t>asjid</w:t>
      </w:r>
      <w:r>
        <w:rPr/>
        <w:t> </w:t>
      </w:r>
      <w:r>
        <w:rPr>
          <w:spacing w:val="-24"/>
        </w:rPr>
        <w:t> </w:t>
      </w:r>
      <w:r>
        <w:rPr>
          <w:w w:val="99"/>
        </w:rPr>
        <w:t>sho</w:t>
      </w:r>
      <w:r>
        <w:rPr>
          <w:w w:val="99"/>
        </w:rPr>
        <w:t>uld</w:t>
      </w:r>
      <w:r>
        <w:rPr/>
        <w:t> </w:t>
      </w:r>
      <w:r>
        <w:rPr>
          <w:spacing w:val="-24"/>
        </w:rPr>
        <w:t> </w:t>
      </w:r>
      <w:r>
        <w:rPr>
          <w:w w:val="99"/>
        </w:rPr>
        <w:t>ha</w:t>
      </w:r>
      <w:r>
        <w:rPr>
          <w:spacing w:val="-3"/>
          <w:w w:val="99"/>
        </w:rPr>
        <w:t>v</w:t>
      </w:r>
      <w:r>
        <w:rPr>
          <w:w w:val="99"/>
        </w:rPr>
        <w:t>e </w:t>
      </w:r>
      <w:r>
        <w:rPr/>
        <w:t>been built on the land especially held sacred by the Hindus but since the construction had been made 358 years earlier, it was too late in the day to reverse the process. The suit was dismissed on the ground that there was no injury which could give a right of action to the plaintiff. On the cross-objections of Mohd Asghar, the District Judge held that the finding of the Trial Court that the plaintiff was the owner of the land in dispute was redundant and should be expunged.</w:t>
      </w:r>
    </w:p>
    <w:p>
      <w:pPr>
        <w:pStyle w:val="BodyText"/>
        <w:spacing w:before="1"/>
      </w:pPr>
    </w:p>
    <w:p>
      <w:pPr>
        <w:pStyle w:val="BodyText"/>
        <w:spacing w:line="480" w:lineRule="auto"/>
        <w:ind w:left="500" w:right="436"/>
        <w:jc w:val="both"/>
      </w:pPr>
      <w:r>
        <w:rPr/>
        <w:t>The second appeal was dismissed by the Judicial Commissioner of Oudh on 1 November 1886 on the ground that (i) there was nothing on record to show that</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8"/>
        <w:jc w:val="both"/>
      </w:pPr>
      <w:r>
        <w:rPr/>
        <w:t>the plaintiff was the proprietor of the land in question; and (ii) it was inappropriate to allow the parties to disturb the </w:t>
      </w:r>
      <w:r>
        <w:rPr>
          <w:i/>
        </w:rPr>
        <w:t>status quo </w:t>
      </w:r>
      <w:r>
        <w:rPr/>
        <w:t>especially when a mosque had been in existence for nearly 350 years. The Judicial Commissioner held:</w:t>
      </w:r>
    </w:p>
    <w:p>
      <w:pPr>
        <w:spacing w:line="276" w:lineRule="auto" w:before="0"/>
        <w:ind w:left="1940" w:right="2264" w:firstLine="0"/>
        <w:jc w:val="both"/>
        <w:rPr>
          <w:sz w:val="21"/>
        </w:rPr>
      </w:pPr>
      <w:r>
        <w:rPr>
          <w:spacing w:val="-1"/>
          <w:w w:val="33"/>
          <w:sz w:val="21"/>
        </w:rPr>
        <w:t>―</w:t>
      </w:r>
      <w:r>
        <w:rPr>
          <w:w w:val="100"/>
          <w:sz w:val="21"/>
        </w:rPr>
        <w:t>The</w:t>
      </w:r>
      <w:r>
        <w:rPr>
          <w:sz w:val="21"/>
        </w:rPr>
        <w:t> </w:t>
      </w:r>
      <w:r>
        <w:rPr>
          <w:spacing w:val="-7"/>
          <w:sz w:val="21"/>
        </w:rPr>
        <w:t> </w:t>
      </w:r>
      <w:r>
        <w:rPr>
          <w:spacing w:val="1"/>
          <w:w w:val="100"/>
          <w:sz w:val="21"/>
        </w:rPr>
        <w:t>m</w:t>
      </w:r>
      <w:r>
        <w:rPr>
          <w:spacing w:val="-1"/>
          <w:w w:val="100"/>
          <w:sz w:val="21"/>
        </w:rPr>
        <w:t>at</w:t>
      </w:r>
      <w:r>
        <w:rPr>
          <w:spacing w:val="-2"/>
          <w:w w:val="100"/>
          <w:sz w:val="21"/>
        </w:rPr>
        <w:t>t</w:t>
      </w:r>
      <w:r>
        <w:rPr>
          <w:spacing w:val="-1"/>
          <w:w w:val="100"/>
          <w:sz w:val="21"/>
        </w:rPr>
        <w:t>e</w:t>
      </w:r>
      <w:r>
        <w:rPr>
          <w:w w:val="100"/>
          <w:sz w:val="21"/>
        </w:rPr>
        <w:t>r</w:t>
      </w:r>
      <w:r>
        <w:rPr>
          <w:sz w:val="21"/>
        </w:rPr>
        <w:t> </w:t>
      </w:r>
      <w:r>
        <w:rPr>
          <w:spacing w:val="-5"/>
          <w:sz w:val="21"/>
        </w:rPr>
        <w:t> </w:t>
      </w:r>
      <w:r>
        <w:rPr>
          <w:w w:val="100"/>
          <w:sz w:val="21"/>
        </w:rPr>
        <w:t>is</w:t>
      </w:r>
      <w:r>
        <w:rPr>
          <w:sz w:val="21"/>
        </w:rPr>
        <w:t> </w:t>
      </w:r>
      <w:r>
        <w:rPr>
          <w:spacing w:val="-5"/>
          <w:sz w:val="21"/>
        </w:rPr>
        <w:t> </w:t>
      </w:r>
      <w:r>
        <w:rPr>
          <w:w w:val="100"/>
          <w:sz w:val="21"/>
        </w:rPr>
        <w:t>s</w:t>
      </w:r>
      <w:r>
        <w:rPr>
          <w:spacing w:val="-2"/>
          <w:w w:val="100"/>
          <w:sz w:val="21"/>
        </w:rPr>
        <w:t>i</w:t>
      </w:r>
      <w:r>
        <w:rPr>
          <w:spacing w:val="-1"/>
          <w:w w:val="100"/>
          <w:sz w:val="21"/>
        </w:rPr>
        <w:t>mp</w:t>
      </w:r>
      <w:r>
        <w:rPr>
          <w:spacing w:val="1"/>
          <w:w w:val="100"/>
          <w:sz w:val="21"/>
        </w:rPr>
        <w:t>l</w:t>
      </w:r>
      <w:r>
        <w:rPr>
          <w:w w:val="100"/>
          <w:sz w:val="21"/>
        </w:rPr>
        <w:t>y</w:t>
      </w:r>
      <w:r>
        <w:rPr>
          <w:sz w:val="21"/>
        </w:rPr>
        <w:t> </w:t>
      </w:r>
      <w:r>
        <w:rPr>
          <w:spacing w:val="-7"/>
          <w:sz w:val="21"/>
        </w:rPr>
        <w:t> </w:t>
      </w:r>
      <w:r>
        <w:rPr>
          <w:spacing w:val="-2"/>
          <w:w w:val="100"/>
          <w:sz w:val="21"/>
        </w:rPr>
        <w:t>t</w:t>
      </w:r>
      <w:r>
        <w:rPr>
          <w:spacing w:val="-1"/>
          <w:w w:val="100"/>
          <w:sz w:val="21"/>
        </w:rPr>
        <w:t>ha</w:t>
      </w:r>
      <w:r>
        <w:rPr>
          <w:w w:val="100"/>
          <w:sz w:val="21"/>
        </w:rPr>
        <w:t>t</w:t>
      </w:r>
      <w:r>
        <w:rPr>
          <w:sz w:val="21"/>
        </w:rPr>
        <w:t> </w:t>
      </w:r>
      <w:r>
        <w:rPr>
          <w:spacing w:val="-5"/>
          <w:sz w:val="21"/>
        </w:rPr>
        <w:t> </w:t>
      </w:r>
      <w:r>
        <w:rPr>
          <w:spacing w:val="-2"/>
          <w:w w:val="100"/>
          <w:sz w:val="21"/>
        </w:rPr>
        <w:t>t</w:t>
      </w:r>
      <w:r>
        <w:rPr>
          <w:spacing w:val="-1"/>
          <w:w w:val="100"/>
          <w:sz w:val="21"/>
        </w:rPr>
        <w:t>h</w:t>
      </w:r>
      <w:r>
        <w:rPr>
          <w:w w:val="100"/>
          <w:sz w:val="21"/>
        </w:rPr>
        <w:t>e</w:t>
      </w:r>
      <w:r>
        <w:rPr>
          <w:sz w:val="21"/>
        </w:rPr>
        <w:t> </w:t>
      </w:r>
      <w:r>
        <w:rPr>
          <w:spacing w:val="-4"/>
          <w:sz w:val="21"/>
        </w:rPr>
        <w:t> </w:t>
      </w:r>
      <w:r>
        <w:rPr>
          <w:w w:val="100"/>
          <w:sz w:val="21"/>
        </w:rPr>
        <w:t>Hi</w:t>
      </w:r>
      <w:r>
        <w:rPr>
          <w:spacing w:val="-3"/>
          <w:w w:val="100"/>
          <w:sz w:val="21"/>
        </w:rPr>
        <w:t>n</w:t>
      </w:r>
      <w:r>
        <w:rPr>
          <w:spacing w:val="-1"/>
          <w:w w:val="100"/>
          <w:sz w:val="21"/>
        </w:rPr>
        <w:t>du</w:t>
      </w:r>
      <w:r>
        <w:rPr>
          <w:w w:val="100"/>
          <w:sz w:val="21"/>
        </w:rPr>
        <w:t>s</w:t>
      </w:r>
      <w:r>
        <w:rPr>
          <w:sz w:val="21"/>
        </w:rPr>
        <w:t> </w:t>
      </w:r>
      <w:r>
        <w:rPr>
          <w:spacing w:val="-4"/>
          <w:sz w:val="21"/>
        </w:rPr>
        <w:t> </w:t>
      </w:r>
      <w:r>
        <w:rPr>
          <w:spacing w:val="-3"/>
          <w:w w:val="100"/>
          <w:sz w:val="21"/>
        </w:rPr>
        <w:t>o</w:t>
      </w:r>
      <w:r>
        <w:rPr>
          <w:w w:val="100"/>
          <w:sz w:val="21"/>
        </w:rPr>
        <w:t>f</w:t>
      </w:r>
      <w:r>
        <w:rPr>
          <w:sz w:val="21"/>
        </w:rPr>
        <w:t> </w:t>
      </w:r>
      <w:r>
        <w:rPr>
          <w:spacing w:val="-4"/>
          <w:sz w:val="21"/>
        </w:rPr>
        <w:t> </w:t>
      </w:r>
      <w:r>
        <w:rPr>
          <w:spacing w:val="-2"/>
          <w:w w:val="100"/>
          <w:sz w:val="21"/>
        </w:rPr>
        <w:t>A</w:t>
      </w:r>
      <w:r>
        <w:rPr>
          <w:w w:val="100"/>
          <w:sz w:val="21"/>
        </w:rPr>
        <w:t>j</w:t>
      </w:r>
      <w:r>
        <w:rPr>
          <w:spacing w:val="-1"/>
          <w:w w:val="100"/>
          <w:sz w:val="21"/>
        </w:rPr>
        <w:t>o</w:t>
      </w:r>
      <w:r>
        <w:rPr>
          <w:spacing w:val="-3"/>
          <w:w w:val="100"/>
          <w:sz w:val="21"/>
        </w:rPr>
        <w:t>d</w:t>
      </w:r>
      <w:r>
        <w:rPr>
          <w:spacing w:val="-1"/>
          <w:w w:val="100"/>
          <w:sz w:val="21"/>
        </w:rPr>
        <w:t>h</w:t>
      </w:r>
      <w:r>
        <w:rPr>
          <w:spacing w:val="-3"/>
          <w:w w:val="100"/>
          <w:sz w:val="21"/>
        </w:rPr>
        <w:t>y</w:t>
      </w:r>
      <w:r>
        <w:rPr>
          <w:w w:val="100"/>
          <w:sz w:val="21"/>
        </w:rPr>
        <w:t>a</w:t>
      </w:r>
      <w:r>
        <w:rPr>
          <w:sz w:val="21"/>
        </w:rPr>
        <w:t> </w:t>
      </w:r>
      <w:r>
        <w:rPr>
          <w:spacing w:val="-4"/>
          <w:sz w:val="21"/>
        </w:rPr>
        <w:t> </w:t>
      </w:r>
      <w:r>
        <w:rPr>
          <w:spacing w:val="-2"/>
          <w:w w:val="100"/>
          <w:sz w:val="21"/>
        </w:rPr>
        <w:t>w</w:t>
      </w:r>
      <w:r>
        <w:rPr>
          <w:spacing w:val="-1"/>
          <w:w w:val="100"/>
          <w:sz w:val="21"/>
        </w:rPr>
        <w:t>an</w:t>
      </w:r>
      <w:r>
        <w:rPr>
          <w:w w:val="100"/>
          <w:sz w:val="21"/>
        </w:rPr>
        <w:t>t</w:t>
      </w:r>
      <w:r>
        <w:rPr>
          <w:sz w:val="21"/>
        </w:rPr>
        <w:t> </w:t>
      </w:r>
      <w:r>
        <w:rPr>
          <w:spacing w:val="-5"/>
          <w:sz w:val="21"/>
        </w:rPr>
        <w:t> </w:t>
      </w:r>
      <w:r>
        <w:rPr>
          <w:spacing w:val="-2"/>
          <w:w w:val="100"/>
          <w:sz w:val="21"/>
        </w:rPr>
        <w:t>t</w:t>
      </w:r>
      <w:r>
        <w:rPr>
          <w:w w:val="100"/>
          <w:sz w:val="21"/>
        </w:rPr>
        <w:t>o </w:t>
      </w:r>
      <w:r>
        <w:rPr>
          <w:sz w:val="21"/>
        </w:rPr>
        <w:t>create a new temple or marble baldacchino over the supposed holy spot in Ajodhya said to be the birthplace of Shri Ram Chandar. Now this spot is situated within the precinct</w:t>
      </w:r>
      <w:r>
        <w:rPr>
          <w:spacing w:val="16"/>
          <w:sz w:val="21"/>
        </w:rPr>
        <w:t> </w:t>
      </w:r>
      <w:r>
        <w:rPr>
          <w:sz w:val="21"/>
        </w:rPr>
        <w:t>of</w:t>
      </w:r>
      <w:r>
        <w:rPr>
          <w:spacing w:val="18"/>
          <w:sz w:val="21"/>
        </w:rPr>
        <w:t> </w:t>
      </w:r>
      <w:r>
        <w:rPr>
          <w:sz w:val="21"/>
        </w:rPr>
        <w:t>the</w:t>
      </w:r>
      <w:r>
        <w:rPr>
          <w:spacing w:val="16"/>
          <w:sz w:val="21"/>
        </w:rPr>
        <w:t> </w:t>
      </w:r>
      <w:r>
        <w:rPr>
          <w:sz w:val="21"/>
        </w:rPr>
        <w:t>grounds</w:t>
      </w:r>
      <w:r>
        <w:rPr>
          <w:spacing w:val="15"/>
          <w:sz w:val="21"/>
        </w:rPr>
        <w:t> </w:t>
      </w:r>
      <w:r>
        <w:rPr>
          <w:sz w:val="21"/>
        </w:rPr>
        <w:t>surrounding</w:t>
      </w:r>
      <w:r>
        <w:rPr>
          <w:spacing w:val="17"/>
          <w:sz w:val="21"/>
        </w:rPr>
        <w:t> </w:t>
      </w:r>
      <w:r>
        <w:rPr>
          <w:sz w:val="21"/>
        </w:rPr>
        <w:t>a</w:t>
      </w:r>
      <w:r>
        <w:rPr>
          <w:spacing w:val="16"/>
          <w:sz w:val="21"/>
        </w:rPr>
        <w:t> </w:t>
      </w:r>
      <w:r>
        <w:rPr>
          <w:sz w:val="21"/>
        </w:rPr>
        <w:t>mosque</w:t>
      </w:r>
      <w:r>
        <w:rPr>
          <w:spacing w:val="17"/>
          <w:sz w:val="21"/>
        </w:rPr>
        <w:t> </w:t>
      </w:r>
      <w:r>
        <w:rPr>
          <w:sz w:val="21"/>
        </w:rPr>
        <w:t>erected</w:t>
      </w:r>
      <w:r>
        <w:rPr>
          <w:spacing w:val="17"/>
          <w:sz w:val="21"/>
        </w:rPr>
        <w:t> </w:t>
      </w:r>
      <w:r>
        <w:rPr>
          <w:sz w:val="21"/>
        </w:rPr>
        <w:t>some</w:t>
      </w:r>
    </w:p>
    <w:p>
      <w:pPr>
        <w:spacing w:line="276" w:lineRule="auto" w:before="0"/>
        <w:ind w:left="1940" w:right="2262" w:firstLine="0"/>
        <w:jc w:val="both"/>
        <w:rPr>
          <w:sz w:val="21"/>
        </w:rPr>
      </w:pPr>
      <w:r>
        <w:rPr>
          <w:sz w:val="21"/>
        </w:rPr>
        <w:t>350 years ago owing to the bigotry and tyranny of the Emperor Babur, who purposely chose this holy  spot according to Hindu legend as the site of his</w:t>
      </w:r>
      <w:r>
        <w:rPr>
          <w:spacing w:val="-15"/>
          <w:sz w:val="21"/>
        </w:rPr>
        <w:t> </w:t>
      </w:r>
      <w:r>
        <w:rPr>
          <w:sz w:val="21"/>
        </w:rPr>
        <w:t>mosque.</w:t>
      </w:r>
    </w:p>
    <w:p>
      <w:pPr>
        <w:pStyle w:val="BodyText"/>
        <w:spacing w:before="1"/>
        <w:rPr>
          <w:sz w:val="24"/>
        </w:rPr>
      </w:pPr>
    </w:p>
    <w:p>
      <w:pPr>
        <w:spacing w:line="276" w:lineRule="auto" w:before="0"/>
        <w:ind w:left="1940" w:right="2265" w:firstLine="0"/>
        <w:jc w:val="both"/>
        <w:rPr>
          <w:sz w:val="21"/>
        </w:rPr>
      </w:pPr>
      <w:r>
        <w:rPr>
          <w:sz w:val="21"/>
        </w:rPr>
        <w:t>The Hindus seem to have got very limited rights of access to certain spots within the precincts adjoining the mosque and they have for a series of years been persistently trying to increase those rights and to erect buildings on two spots in the</w:t>
      </w:r>
      <w:r>
        <w:rPr>
          <w:spacing w:val="-2"/>
          <w:sz w:val="21"/>
        </w:rPr>
        <w:t> </w:t>
      </w:r>
      <w:r>
        <w:rPr>
          <w:sz w:val="21"/>
        </w:rPr>
        <w:t>enclosure:</w:t>
      </w:r>
    </w:p>
    <w:p>
      <w:pPr>
        <w:pStyle w:val="BodyText"/>
        <w:spacing w:before="1"/>
        <w:rPr>
          <w:sz w:val="24"/>
        </w:rPr>
      </w:pPr>
    </w:p>
    <w:p>
      <w:pPr>
        <w:pStyle w:val="ListParagraph"/>
        <w:numPr>
          <w:ilvl w:val="0"/>
          <w:numId w:val="33"/>
        </w:numPr>
        <w:tabs>
          <w:tab w:pos="2255" w:val="left" w:leader="none"/>
        </w:tabs>
        <w:spacing w:line="240" w:lineRule="auto" w:before="0" w:after="0"/>
        <w:ind w:left="2254" w:right="0" w:hanging="315"/>
        <w:jc w:val="left"/>
        <w:rPr>
          <w:sz w:val="21"/>
        </w:rPr>
      </w:pPr>
      <w:r>
        <w:rPr>
          <w:sz w:val="21"/>
        </w:rPr>
        <w:t>Sita ki</w:t>
      </w:r>
      <w:r>
        <w:rPr>
          <w:spacing w:val="-7"/>
          <w:sz w:val="21"/>
        </w:rPr>
        <w:t> </w:t>
      </w:r>
      <w:r>
        <w:rPr>
          <w:sz w:val="21"/>
        </w:rPr>
        <w:t>Rasoi</w:t>
      </w:r>
    </w:p>
    <w:p>
      <w:pPr>
        <w:pStyle w:val="BodyText"/>
        <w:spacing w:before="5"/>
        <w:rPr>
          <w:sz w:val="27"/>
        </w:rPr>
      </w:pPr>
    </w:p>
    <w:p>
      <w:pPr>
        <w:pStyle w:val="ListParagraph"/>
        <w:numPr>
          <w:ilvl w:val="0"/>
          <w:numId w:val="33"/>
        </w:numPr>
        <w:tabs>
          <w:tab w:pos="2255" w:val="left" w:leader="none"/>
        </w:tabs>
        <w:spacing w:line="240" w:lineRule="auto" w:before="0" w:after="0"/>
        <w:ind w:left="2254" w:right="0" w:hanging="315"/>
        <w:jc w:val="left"/>
        <w:rPr>
          <w:sz w:val="21"/>
        </w:rPr>
      </w:pPr>
      <w:r>
        <w:rPr>
          <w:sz w:val="21"/>
        </w:rPr>
        <w:t>Ram Chandar ki Janam</w:t>
      </w:r>
      <w:r>
        <w:rPr>
          <w:spacing w:val="-5"/>
          <w:sz w:val="21"/>
        </w:rPr>
        <w:t> </w:t>
      </w:r>
      <w:r>
        <w:rPr>
          <w:sz w:val="21"/>
        </w:rPr>
        <w:t>Bhumi.</w:t>
      </w:r>
    </w:p>
    <w:p>
      <w:pPr>
        <w:spacing w:line="276" w:lineRule="auto" w:before="35"/>
        <w:ind w:left="1940" w:right="2346" w:firstLine="0"/>
        <w:jc w:val="left"/>
        <w:rPr>
          <w:sz w:val="21"/>
        </w:rPr>
      </w:pPr>
      <w:r>
        <w:rPr>
          <w:sz w:val="21"/>
        </w:rPr>
        <w:t>The Executive authorities have persistently refused these encroachments and absolutely forbid any alteration of</w:t>
      </w:r>
      <w:r>
        <w:rPr>
          <w:spacing w:val="57"/>
          <w:sz w:val="21"/>
        </w:rPr>
        <w:t> </w:t>
      </w:r>
      <w:r>
        <w:rPr>
          <w:sz w:val="21"/>
        </w:rPr>
        <w:t>the</w:t>
      </w:r>
    </w:p>
    <w:p>
      <w:pPr>
        <w:spacing w:before="1"/>
        <w:ind w:left="1940" w:right="0" w:firstLine="0"/>
        <w:jc w:val="left"/>
        <w:rPr>
          <w:sz w:val="21"/>
        </w:rPr>
      </w:pPr>
      <w:r>
        <w:rPr>
          <w:w w:val="40"/>
          <w:sz w:val="21"/>
        </w:rPr>
        <w:t>‗</w:t>
      </w:r>
      <w:r>
        <w:rPr>
          <w:w w:val="100"/>
          <w:sz w:val="21"/>
        </w:rPr>
        <w:t>s</w:t>
      </w:r>
      <w:r>
        <w:rPr>
          <w:spacing w:val="-2"/>
          <w:w w:val="100"/>
          <w:sz w:val="21"/>
        </w:rPr>
        <w:t>t</w:t>
      </w:r>
      <w:r>
        <w:rPr>
          <w:spacing w:val="-1"/>
          <w:w w:val="100"/>
          <w:sz w:val="21"/>
        </w:rPr>
        <w:t>atu</w:t>
      </w:r>
      <w:r>
        <w:rPr>
          <w:w w:val="100"/>
          <w:sz w:val="21"/>
        </w:rPr>
        <w:t>s</w:t>
      </w:r>
      <w:r>
        <w:rPr>
          <w:spacing w:val="-1"/>
          <w:sz w:val="21"/>
        </w:rPr>
        <w:t> </w:t>
      </w:r>
      <w:r>
        <w:rPr>
          <w:spacing w:val="-1"/>
          <w:w w:val="100"/>
          <w:sz w:val="21"/>
        </w:rPr>
        <w:t>q</w:t>
      </w:r>
      <w:r>
        <w:rPr>
          <w:spacing w:val="-3"/>
          <w:w w:val="100"/>
          <w:sz w:val="21"/>
        </w:rPr>
        <w:t>u</w:t>
      </w:r>
      <w:r>
        <w:rPr>
          <w:spacing w:val="-1"/>
          <w:w w:val="100"/>
          <w:sz w:val="21"/>
        </w:rPr>
        <w:t>o</w:t>
      </w:r>
      <w:r>
        <w:rPr>
          <w:spacing w:val="1"/>
          <w:w w:val="100"/>
          <w:sz w:val="21"/>
        </w:rPr>
        <w:t>‘</w:t>
      </w:r>
      <w:r>
        <w:rPr>
          <w:w w:val="100"/>
          <w:sz w:val="21"/>
        </w:rPr>
        <w:t>.</w:t>
      </w:r>
    </w:p>
    <w:p>
      <w:pPr>
        <w:pStyle w:val="BodyText"/>
        <w:spacing w:before="2"/>
        <w:rPr>
          <w:sz w:val="27"/>
        </w:rPr>
      </w:pPr>
    </w:p>
    <w:p>
      <w:pPr>
        <w:spacing w:line="276" w:lineRule="auto" w:before="1"/>
        <w:ind w:left="1940" w:right="2263" w:firstLine="0"/>
        <w:jc w:val="both"/>
        <w:rPr>
          <w:sz w:val="21"/>
        </w:rPr>
      </w:pPr>
      <w:r>
        <w:rPr>
          <w:sz w:val="21"/>
        </w:rPr>
        <w:t>I think this is a very wise and proper procedure on their part and I am further of opinion that the Civil Courts have properly dismissed the Plaintiff‘s claim.‖</w:t>
      </w:r>
    </w:p>
    <w:p>
      <w:pPr>
        <w:pStyle w:val="BodyText"/>
        <w:rPr>
          <w:sz w:val="24"/>
        </w:rPr>
      </w:pPr>
    </w:p>
    <w:p>
      <w:pPr>
        <w:pStyle w:val="BodyText"/>
        <w:spacing w:line="480" w:lineRule="auto" w:before="209"/>
        <w:ind w:left="500" w:right="436"/>
        <w:jc w:val="both"/>
      </w:pPr>
      <w:r>
        <w:rPr/>
        <w:t>The issue as to whether the findings in the suit will operate as </w:t>
      </w:r>
      <w:r>
        <w:rPr>
          <w:i/>
        </w:rPr>
        <w:t>res judicata </w:t>
      </w:r>
      <w:r>
        <w:rPr/>
        <w:t>will be dealt with in a subsequent segment of the judgment.</w:t>
      </w:r>
    </w:p>
    <w:p>
      <w:pPr>
        <w:pStyle w:val="BodyText"/>
        <w:spacing w:before="1"/>
      </w:pPr>
    </w:p>
    <w:p>
      <w:pPr>
        <w:pStyle w:val="BodyText"/>
        <w:spacing w:line="480" w:lineRule="auto"/>
        <w:ind w:left="500" w:right="439"/>
        <w:jc w:val="both"/>
      </w:pPr>
      <w:r>
        <w:rPr/>
        <w:t>The conflagration which took place in 1855-56 resulted in a brick wall and railing being put up outside the mosque. This divided the courtyard into an inner portion which lay within the railing and the outer portion beyond it. Situated in the outer portion were places worshipped by the Hindus, among them being Ramchabutra and Sita Rasoi. Two entrance gates (on the north and east) provided access to the outer courtyard. Entry to the mosque was through the access points to the</w:t>
      </w:r>
    </w:p>
    <w:p>
      <w:pPr>
        <w:spacing w:after="0" w:line="480" w:lineRule="auto"/>
        <w:jc w:val="both"/>
        <w:sectPr>
          <w:pgSz w:w="11910" w:h="16840"/>
          <w:pgMar w:header="721" w:footer="1014" w:top="1300" w:bottom="1200" w:left="940" w:right="1000"/>
        </w:sectPr>
      </w:pPr>
    </w:p>
    <w:p>
      <w:pPr>
        <w:pStyle w:val="BodyText"/>
        <w:spacing w:before="124"/>
        <w:ind w:left="500"/>
        <w:jc w:val="both"/>
      </w:pPr>
      <w:r>
        <w:rPr/>
        <w:t>outer courtyard.</w:t>
      </w:r>
    </w:p>
    <w:p>
      <w:pPr>
        <w:pStyle w:val="BodyText"/>
        <w:spacing w:before="6"/>
        <w:rPr>
          <w:sz w:val="35"/>
        </w:rPr>
      </w:pPr>
    </w:p>
    <w:p>
      <w:pPr>
        <w:pStyle w:val="Heading3"/>
        <w:numPr>
          <w:ilvl w:val="1"/>
          <w:numId w:val="2"/>
        </w:numPr>
        <w:tabs>
          <w:tab w:pos="1220" w:val="left" w:leader="none"/>
          <w:tab w:pos="1221" w:val="left" w:leader="none"/>
        </w:tabs>
        <w:spacing w:line="240" w:lineRule="auto" w:before="0" w:after="0"/>
        <w:ind w:left="1220" w:right="0" w:hanging="721"/>
        <w:jc w:val="left"/>
      </w:pPr>
      <w:r>
        <w:rPr/>
        <w:t>Period between</w:t>
      </w:r>
      <w:r>
        <w:rPr>
          <w:spacing w:val="-3"/>
        </w:rPr>
        <w:t> </w:t>
      </w:r>
      <w:r>
        <w:rPr/>
        <w:t>1934-1949</w:t>
      </w:r>
    </w:p>
    <w:p>
      <w:pPr>
        <w:pStyle w:val="BodyText"/>
        <w:rPr>
          <w:b/>
          <w:sz w:val="28"/>
        </w:rPr>
      </w:pPr>
    </w:p>
    <w:p>
      <w:pPr>
        <w:pStyle w:val="BodyText"/>
        <w:rPr>
          <w:b/>
          <w:sz w:val="28"/>
        </w:rPr>
      </w:pPr>
    </w:p>
    <w:p>
      <w:pPr>
        <w:pStyle w:val="ListParagraph"/>
        <w:numPr>
          <w:ilvl w:val="0"/>
          <w:numId w:val="3"/>
        </w:numPr>
        <w:tabs>
          <w:tab w:pos="1221" w:val="left" w:leader="none"/>
        </w:tabs>
        <w:spacing w:line="480" w:lineRule="auto" w:before="180" w:after="0"/>
        <w:ind w:left="500" w:right="442" w:firstLine="0"/>
        <w:jc w:val="both"/>
        <w:rPr>
          <w:sz w:val="25"/>
        </w:rPr>
      </w:pPr>
      <w:r>
        <w:rPr>
          <w:sz w:val="25"/>
        </w:rPr>
        <w:t>In 1934, there was another communal incident in the course of which damage was sustained to the mosque which was subsequently restored. The documentary evidence which has been brought on record shows that</w:t>
      </w:r>
      <w:r>
        <w:rPr>
          <w:spacing w:val="-16"/>
          <w:sz w:val="25"/>
        </w:rPr>
        <w:t> </w:t>
      </w:r>
      <w:r>
        <w:rPr>
          <w:sz w:val="25"/>
        </w:rPr>
        <w:t>:</w:t>
      </w:r>
    </w:p>
    <w:p>
      <w:pPr>
        <w:pStyle w:val="ListParagraph"/>
        <w:numPr>
          <w:ilvl w:val="0"/>
          <w:numId w:val="34"/>
        </w:numPr>
        <w:tabs>
          <w:tab w:pos="1221" w:val="left" w:leader="none"/>
        </w:tabs>
        <w:spacing w:line="480" w:lineRule="auto" w:before="1" w:after="0"/>
        <w:ind w:left="1220" w:right="439" w:hanging="720"/>
        <w:jc w:val="both"/>
        <w:rPr>
          <w:sz w:val="25"/>
        </w:rPr>
      </w:pPr>
      <w:r>
        <w:rPr>
          <w:sz w:val="25"/>
        </w:rPr>
        <w:t>The colonial administration sanctioned the work of repair and renovation of the damaged structure of the</w:t>
      </w:r>
      <w:r>
        <w:rPr>
          <w:spacing w:val="-4"/>
          <w:sz w:val="25"/>
        </w:rPr>
        <w:t> </w:t>
      </w:r>
      <w:r>
        <w:rPr>
          <w:sz w:val="25"/>
        </w:rPr>
        <w:t>mosque;</w:t>
      </w:r>
    </w:p>
    <w:p>
      <w:pPr>
        <w:pStyle w:val="ListParagraph"/>
        <w:numPr>
          <w:ilvl w:val="0"/>
          <w:numId w:val="34"/>
        </w:numPr>
        <w:tabs>
          <w:tab w:pos="1221" w:val="left" w:leader="none"/>
        </w:tabs>
        <w:spacing w:line="480" w:lineRule="auto" w:before="0" w:after="0"/>
        <w:ind w:left="1220" w:right="444" w:hanging="720"/>
        <w:jc w:val="both"/>
        <w:rPr>
          <w:sz w:val="25"/>
        </w:rPr>
      </w:pPr>
      <w:r>
        <w:rPr>
          <w:sz w:val="25"/>
        </w:rPr>
        <w:t>A fine was imposed on the Hindus for the damage which was caused to the</w:t>
      </w:r>
      <w:r>
        <w:rPr>
          <w:spacing w:val="-1"/>
          <w:sz w:val="25"/>
        </w:rPr>
        <w:t> </w:t>
      </w:r>
      <w:r>
        <w:rPr>
          <w:sz w:val="25"/>
        </w:rPr>
        <w:t>mosque;</w:t>
      </w:r>
    </w:p>
    <w:p>
      <w:pPr>
        <w:pStyle w:val="ListParagraph"/>
        <w:numPr>
          <w:ilvl w:val="0"/>
          <w:numId w:val="34"/>
        </w:numPr>
        <w:tabs>
          <w:tab w:pos="1221" w:val="left" w:leader="none"/>
        </w:tabs>
        <w:spacing w:line="480" w:lineRule="auto" w:before="0" w:after="0"/>
        <w:ind w:left="1220" w:right="436" w:hanging="720"/>
        <w:jc w:val="both"/>
        <w:rPr>
          <w:sz w:val="25"/>
        </w:rPr>
      </w:pPr>
      <w:r>
        <w:rPr>
          <w:sz w:val="25"/>
        </w:rPr>
        <w:t>The work of restoration was entrusted to a Muslim contractor with whom there was an exchange of correspondence over the payment of unpaid bills and for verification of work</w:t>
      </w:r>
      <w:r>
        <w:rPr>
          <w:spacing w:val="-6"/>
          <w:sz w:val="25"/>
        </w:rPr>
        <w:t> </w:t>
      </w:r>
      <w:r>
        <w:rPr>
          <w:sz w:val="25"/>
        </w:rPr>
        <w:t>done;</w:t>
      </w:r>
    </w:p>
    <w:p>
      <w:pPr>
        <w:pStyle w:val="ListParagraph"/>
        <w:numPr>
          <w:ilvl w:val="0"/>
          <w:numId w:val="34"/>
        </w:numPr>
        <w:tabs>
          <w:tab w:pos="1221" w:val="left" w:leader="none"/>
        </w:tabs>
        <w:spacing w:line="480" w:lineRule="auto" w:before="1" w:after="0"/>
        <w:ind w:left="1220" w:right="444" w:hanging="720"/>
        <w:jc w:val="both"/>
        <w:rPr>
          <w:sz w:val="25"/>
        </w:rPr>
      </w:pPr>
      <w:r>
        <w:rPr>
          <w:sz w:val="25"/>
        </w:rPr>
        <w:t>This was a claim by the Pesh Imam of the mosque over the payment of the arrears of salary with the Mutawalli;</w:t>
      </w:r>
      <w:r>
        <w:rPr>
          <w:spacing w:val="-1"/>
          <w:sz w:val="25"/>
        </w:rPr>
        <w:t> </w:t>
      </w:r>
      <w:r>
        <w:rPr>
          <w:sz w:val="25"/>
        </w:rPr>
        <w:t>and</w:t>
      </w:r>
    </w:p>
    <w:p>
      <w:pPr>
        <w:pStyle w:val="ListParagraph"/>
        <w:numPr>
          <w:ilvl w:val="0"/>
          <w:numId w:val="34"/>
        </w:numPr>
        <w:tabs>
          <w:tab w:pos="1221" w:val="left" w:leader="none"/>
        </w:tabs>
        <w:spacing w:line="480" w:lineRule="auto" w:before="0" w:after="0"/>
        <w:ind w:left="1220" w:right="448" w:hanging="720"/>
        <w:jc w:val="both"/>
        <w:rPr>
          <w:sz w:val="25"/>
        </w:rPr>
      </w:pPr>
      <w:r>
        <w:rPr>
          <w:sz w:val="25"/>
        </w:rPr>
        <w:t>Upon the work of repair, the administration permitted arrangements to be made for commencement of</w:t>
      </w:r>
      <w:r>
        <w:rPr>
          <w:spacing w:val="-1"/>
          <w:sz w:val="25"/>
        </w:rPr>
        <w:t> </w:t>
      </w:r>
      <w:r>
        <w:rPr>
          <w:sz w:val="25"/>
        </w:rPr>
        <w:t>namaz.</w:t>
      </w:r>
    </w:p>
    <w:p>
      <w:pPr>
        <w:pStyle w:val="BodyText"/>
      </w:pPr>
    </w:p>
    <w:p>
      <w:pPr>
        <w:pStyle w:val="BodyText"/>
        <w:spacing w:line="480" w:lineRule="auto"/>
        <w:ind w:left="500" w:right="442"/>
        <w:jc w:val="both"/>
      </w:pPr>
      <w:r>
        <w:rPr/>
        <w:t>(In Suit 4, Dr Rajeev Dhavan and Mr Zafaryab Jilani have relied upon this documentary evidence as indicative of the status of the mosque and of the performance of namaz).</w:t>
      </w:r>
    </w:p>
    <w:p>
      <w:pPr>
        <w:pStyle w:val="BodyText"/>
        <w:spacing w:before="1"/>
      </w:pPr>
    </w:p>
    <w:p>
      <w:pPr>
        <w:pStyle w:val="ListParagraph"/>
        <w:numPr>
          <w:ilvl w:val="0"/>
          <w:numId w:val="3"/>
        </w:numPr>
        <w:tabs>
          <w:tab w:pos="1220" w:val="left" w:leader="none"/>
          <w:tab w:pos="1221" w:val="left" w:leader="none"/>
        </w:tabs>
        <w:spacing w:line="240" w:lineRule="auto" w:before="1" w:after="0"/>
        <w:ind w:left="1220" w:right="0" w:hanging="721"/>
        <w:jc w:val="left"/>
        <w:rPr>
          <w:sz w:val="25"/>
        </w:rPr>
      </w:pPr>
      <w:r>
        <w:rPr>
          <w:sz w:val="25"/>
        </w:rPr>
        <w:t>A</w:t>
      </w:r>
      <w:r>
        <w:rPr>
          <w:spacing w:val="21"/>
          <w:sz w:val="25"/>
        </w:rPr>
        <w:t> </w:t>
      </w:r>
      <w:r>
        <w:rPr>
          <w:sz w:val="25"/>
        </w:rPr>
        <w:t>series</w:t>
      </w:r>
      <w:r>
        <w:rPr>
          <w:spacing w:val="24"/>
          <w:sz w:val="25"/>
        </w:rPr>
        <w:t> </w:t>
      </w:r>
      <w:r>
        <w:rPr>
          <w:sz w:val="25"/>
        </w:rPr>
        <w:t>of</w:t>
      </w:r>
      <w:r>
        <w:rPr>
          <w:spacing w:val="24"/>
          <w:sz w:val="25"/>
        </w:rPr>
        <w:t> </w:t>
      </w:r>
      <w:r>
        <w:rPr>
          <w:sz w:val="25"/>
        </w:rPr>
        <w:t>incidents</w:t>
      </w:r>
      <w:r>
        <w:rPr>
          <w:spacing w:val="25"/>
          <w:sz w:val="25"/>
        </w:rPr>
        <w:t> </w:t>
      </w:r>
      <w:r>
        <w:rPr>
          <w:sz w:val="25"/>
        </w:rPr>
        <w:t>took</w:t>
      </w:r>
      <w:r>
        <w:rPr>
          <w:spacing w:val="23"/>
          <w:sz w:val="25"/>
        </w:rPr>
        <w:t> </w:t>
      </w:r>
      <w:r>
        <w:rPr>
          <w:sz w:val="25"/>
        </w:rPr>
        <w:t>place</w:t>
      </w:r>
      <w:r>
        <w:rPr>
          <w:spacing w:val="24"/>
          <w:sz w:val="25"/>
        </w:rPr>
        <w:t> </w:t>
      </w:r>
      <w:r>
        <w:rPr>
          <w:sz w:val="25"/>
        </w:rPr>
        <w:t>between</w:t>
      </w:r>
      <w:r>
        <w:rPr>
          <w:spacing w:val="25"/>
          <w:sz w:val="25"/>
        </w:rPr>
        <w:t> </w:t>
      </w:r>
      <w:r>
        <w:rPr>
          <w:sz w:val="25"/>
        </w:rPr>
        <w:t>March</w:t>
      </w:r>
      <w:r>
        <w:rPr>
          <w:spacing w:val="24"/>
          <w:sz w:val="25"/>
        </w:rPr>
        <w:t> </w:t>
      </w:r>
      <w:r>
        <w:rPr>
          <w:sz w:val="25"/>
        </w:rPr>
        <w:t>and</w:t>
      </w:r>
      <w:r>
        <w:rPr>
          <w:spacing w:val="24"/>
          <w:sz w:val="25"/>
        </w:rPr>
        <w:t> </w:t>
      </w:r>
      <w:r>
        <w:rPr>
          <w:sz w:val="25"/>
        </w:rPr>
        <w:t>December</w:t>
      </w:r>
      <w:r>
        <w:rPr>
          <w:spacing w:val="24"/>
          <w:sz w:val="25"/>
        </w:rPr>
        <w:t> </w:t>
      </w:r>
      <w:r>
        <w:rPr>
          <w:sz w:val="25"/>
        </w:rPr>
        <w:t>1949.</w:t>
      </w:r>
      <w:r>
        <w:rPr>
          <w:spacing w:val="23"/>
          <w:sz w:val="25"/>
        </w:rPr>
        <w:t> </w:t>
      </w:r>
      <w:r>
        <w:rPr>
          <w:sz w:val="25"/>
        </w:rPr>
        <w:t>On</w:t>
      </w:r>
    </w:p>
    <w:p>
      <w:pPr>
        <w:pStyle w:val="BodyText"/>
        <w:spacing w:before="10"/>
        <w:rPr>
          <w:sz w:val="24"/>
        </w:rPr>
      </w:pPr>
    </w:p>
    <w:p>
      <w:pPr>
        <w:pStyle w:val="BodyText"/>
        <w:ind w:left="500"/>
      </w:pPr>
      <w:r>
        <w:rPr/>
        <w:t>19 March 1949, a deed was executed by the Panches of Nirmohi Akhara</w:t>
      </w:r>
    </w:p>
    <w:p>
      <w:pPr>
        <w:spacing w:after="0"/>
        <w:sectPr>
          <w:pgSz w:w="11910" w:h="16840"/>
          <w:pgMar w:header="721" w:footer="1014" w:top="1300" w:bottom="1200" w:left="940" w:right="1000"/>
        </w:sectPr>
      </w:pPr>
    </w:p>
    <w:p>
      <w:pPr>
        <w:pStyle w:val="BodyText"/>
        <w:spacing w:line="480" w:lineRule="auto" w:before="124"/>
        <w:ind w:left="500" w:right="437"/>
        <w:jc w:val="both"/>
      </w:pPr>
      <w:r>
        <w:rPr/>
        <w:t>purportedly to reduce into writing the customs of the Akhara. This document</w:t>
      </w:r>
      <w:r>
        <w:rPr>
          <w:vertAlign w:val="superscript"/>
        </w:rPr>
        <w:t>25</w:t>
      </w:r>
      <w:r>
        <w:rPr>
          <w:vertAlign w:val="baseline"/>
        </w:rPr>
        <w:t> </w:t>
      </w:r>
      <w:r>
        <w:rPr>
          <w:spacing w:val="-1"/>
          <w:w w:val="99"/>
          <w:vertAlign w:val="baseline"/>
        </w:rPr>
        <w:t>inclu</w:t>
      </w:r>
      <w:r>
        <w:rPr>
          <w:w w:val="99"/>
          <w:vertAlign w:val="baseline"/>
        </w:rPr>
        <w:t>d</w:t>
      </w:r>
      <w:r>
        <w:rPr>
          <w:spacing w:val="-1"/>
          <w:w w:val="99"/>
          <w:vertAlign w:val="baseline"/>
        </w:rPr>
        <w:t>e</w:t>
      </w:r>
      <w:r>
        <w:rPr>
          <w:w w:val="99"/>
          <w:vertAlign w:val="baseline"/>
        </w:rPr>
        <w:t>d</w:t>
      </w:r>
      <w:r>
        <w:rPr>
          <w:vertAlign w:val="baseline"/>
        </w:rPr>
        <w:t> </w:t>
      </w:r>
      <w:r>
        <w:rPr>
          <w:spacing w:val="-12"/>
          <w:vertAlign w:val="baseline"/>
        </w:rPr>
        <w:t> </w:t>
      </w:r>
      <w:r>
        <w:rPr>
          <w:w w:val="99"/>
          <w:vertAlign w:val="baseline"/>
        </w:rPr>
        <w:t>the</w:t>
      </w:r>
      <w:r>
        <w:rPr>
          <w:vertAlign w:val="baseline"/>
        </w:rPr>
        <w:t> </w:t>
      </w:r>
      <w:r>
        <w:rPr>
          <w:spacing w:val="-12"/>
          <w:vertAlign w:val="baseline"/>
        </w:rPr>
        <w:t> </w:t>
      </w:r>
      <w:r>
        <w:rPr>
          <w:w w:val="99"/>
          <w:vertAlign w:val="baseline"/>
        </w:rPr>
        <w:t>following</w:t>
      </w:r>
      <w:r>
        <w:rPr>
          <w:vertAlign w:val="baseline"/>
        </w:rPr>
        <w:t> </w:t>
      </w:r>
      <w:r>
        <w:rPr>
          <w:spacing w:val="-12"/>
          <w:vertAlign w:val="baseline"/>
        </w:rPr>
        <w:t> </w:t>
      </w:r>
      <w:r>
        <w:rPr>
          <w:spacing w:val="-1"/>
          <w:w w:val="99"/>
          <w:vertAlign w:val="baseline"/>
        </w:rPr>
        <w:t>p</w:t>
      </w:r>
      <w:r>
        <w:rPr>
          <w:w w:val="99"/>
          <w:vertAlign w:val="baseline"/>
        </w:rPr>
        <w:t>r</w:t>
      </w:r>
      <w:r>
        <w:rPr>
          <w:spacing w:val="-1"/>
          <w:w w:val="99"/>
          <w:vertAlign w:val="baseline"/>
        </w:rPr>
        <w:t>o</w:t>
      </w:r>
      <w:r>
        <w:rPr>
          <w:spacing w:val="-3"/>
          <w:w w:val="99"/>
          <w:vertAlign w:val="baseline"/>
        </w:rPr>
        <w:t>v</w:t>
      </w:r>
      <w:r>
        <w:rPr>
          <w:spacing w:val="-1"/>
          <w:w w:val="99"/>
          <w:vertAlign w:val="baseline"/>
        </w:rPr>
        <w:t>isio</w:t>
      </w:r>
      <w:r>
        <w:rPr>
          <w:w w:val="99"/>
          <w:vertAlign w:val="baseline"/>
        </w:rPr>
        <w:t>n</w:t>
      </w:r>
      <w:r>
        <w:rPr>
          <w:vertAlign w:val="baseline"/>
        </w:rPr>
        <w:t> </w:t>
      </w:r>
      <w:r>
        <w:rPr>
          <w:spacing w:val="-12"/>
          <w:vertAlign w:val="baseline"/>
        </w:rPr>
        <w:t> </w:t>
      </w:r>
      <w:r>
        <w:rPr>
          <w:spacing w:val="-1"/>
          <w:w w:val="99"/>
          <w:vertAlign w:val="baseline"/>
        </w:rPr>
        <w:t>i</w:t>
      </w:r>
      <w:r>
        <w:rPr>
          <w:w w:val="99"/>
          <w:vertAlign w:val="baseline"/>
        </w:rPr>
        <w:t>n</w:t>
      </w:r>
      <w:r>
        <w:rPr>
          <w:vertAlign w:val="baseline"/>
        </w:rPr>
        <w:t> </w:t>
      </w:r>
      <w:r>
        <w:rPr>
          <w:spacing w:val="-12"/>
          <w:vertAlign w:val="baseline"/>
        </w:rPr>
        <w:t> </w:t>
      </w:r>
      <w:r>
        <w:rPr>
          <w:w w:val="99"/>
          <w:vertAlign w:val="baseline"/>
        </w:rPr>
        <w:t>r</w:t>
      </w:r>
      <w:r>
        <w:rPr>
          <w:spacing w:val="-1"/>
          <w:w w:val="99"/>
          <w:vertAlign w:val="baseline"/>
        </w:rPr>
        <w:t>e</w:t>
      </w:r>
      <w:r>
        <w:rPr>
          <w:w w:val="99"/>
          <w:vertAlign w:val="baseline"/>
        </w:rPr>
        <w:t>g</w:t>
      </w:r>
      <w:r>
        <w:rPr>
          <w:spacing w:val="-1"/>
          <w:w w:val="99"/>
          <w:vertAlign w:val="baseline"/>
        </w:rPr>
        <w:t>a</w:t>
      </w:r>
      <w:r>
        <w:rPr>
          <w:w w:val="99"/>
          <w:vertAlign w:val="baseline"/>
        </w:rPr>
        <w:t>rd</w:t>
      </w:r>
      <w:r>
        <w:rPr>
          <w:vertAlign w:val="baseline"/>
        </w:rPr>
        <w:t> </w:t>
      </w:r>
      <w:r>
        <w:rPr>
          <w:spacing w:val="-12"/>
          <w:vertAlign w:val="baseline"/>
        </w:rPr>
        <w:t> </w:t>
      </w:r>
      <w:r>
        <w:rPr>
          <w:w w:val="99"/>
          <w:vertAlign w:val="baseline"/>
        </w:rPr>
        <w:t>to</w:t>
      </w:r>
      <w:r>
        <w:rPr>
          <w:vertAlign w:val="baseline"/>
        </w:rPr>
        <w:t> </w:t>
      </w:r>
      <w:r>
        <w:rPr>
          <w:spacing w:val="-12"/>
          <w:vertAlign w:val="baseline"/>
        </w:rPr>
        <w:t> </w:t>
      </w:r>
      <w:r>
        <w:rPr>
          <w:w w:val="33"/>
          <w:vertAlign w:val="baseline"/>
        </w:rPr>
        <w:t>―</w:t>
      </w:r>
      <w:r>
        <w:rPr>
          <w:w w:val="99"/>
          <w:vertAlign w:val="baseline"/>
        </w:rPr>
        <w:t>the</w:t>
      </w:r>
      <w:r>
        <w:rPr>
          <w:vertAlign w:val="baseline"/>
        </w:rPr>
        <w:t> </w:t>
      </w:r>
      <w:r>
        <w:rPr>
          <w:spacing w:val="-12"/>
          <w:vertAlign w:val="baseline"/>
        </w:rPr>
        <w:t> </w:t>
      </w:r>
      <w:r>
        <w:rPr>
          <w:w w:val="99"/>
          <w:vertAlign w:val="baseline"/>
        </w:rPr>
        <w:t>te</w:t>
      </w:r>
      <w:r>
        <w:rPr>
          <w:spacing w:val="1"/>
          <w:w w:val="99"/>
          <w:vertAlign w:val="baseline"/>
        </w:rPr>
        <w:t>m</w:t>
      </w:r>
      <w:r>
        <w:rPr>
          <w:spacing w:val="-1"/>
          <w:w w:val="99"/>
          <w:vertAlign w:val="baseline"/>
        </w:rPr>
        <w:t>pl</w:t>
      </w:r>
      <w:r>
        <w:rPr>
          <w:w w:val="99"/>
          <w:vertAlign w:val="baseline"/>
        </w:rPr>
        <w:t>e</w:t>
      </w:r>
      <w:r>
        <w:rPr>
          <w:vertAlign w:val="baseline"/>
        </w:rPr>
        <w:t> </w:t>
      </w:r>
      <w:r>
        <w:rPr>
          <w:spacing w:val="-12"/>
          <w:vertAlign w:val="baseline"/>
        </w:rPr>
        <w:t> </w:t>
      </w:r>
      <w:r>
        <w:rPr>
          <w:spacing w:val="-1"/>
          <w:w w:val="99"/>
          <w:vertAlign w:val="baseline"/>
        </w:rPr>
        <w:t>o</w:t>
      </w:r>
      <w:r>
        <w:rPr>
          <w:w w:val="99"/>
          <w:vertAlign w:val="baseline"/>
        </w:rPr>
        <w:t>f</w:t>
      </w:r>
      <w:r>
        <w:rPr>
          <w:vertAlign w:val="baseline"/>
        </w:rPr>
        <w:t> </w:t>
      </w:r>
      <w:r>
        <w:rPr>
          <w:spacing w:val="-14"/>
          <w:vertAlign w:val="baseline"/>
        </w:rPr>
        <w:t> </w:t>
      </w:r>
      <w:r>
        <w:rPr>
          <w:w w:val="99"/>
          <w:vertAlign w:val="baseline"/>
        </w:rPr>
        <w:t>Janm</w:t>
      </w:r>
      <w:r>
        <w:rPr>
          <w:spacing w:val="-1"/>
          <w:w w:val="99"/>
          <w:vertAlign w:val="baseline"/>
        </w:rPr>
        <w:t>a</w:t>
      </w:r>
      <w:r>
        <w:rPr>
          <w:w w:val="99"/>
          <w:vertAlign w:val="baseline"/>
        </w:rPr>
        <w:t>b</w:t>
      </w:r>
      <w:r>
        <w:rPr>
          <w:spacing w:val="-1"/>
          <w:w w:val="99"/>
          <w:vertAlign w:val="baseline"/>
        </w:rPr>
        <w:t>h</w:t>
      </w:r>
      <w:r>
        <w:rPr>
          <w:w w:val="99"/>
          <w:vertAlign w:val="baseline"/>
        </w:rPr>
        <w:t>o</w:t>
      </w:r>
      <w:r>
        <w:rPr>
          <w:spacing w:val="-1"/>
          <w:w w:val="99"/>
          <w:vertAlign w:val="baseline"/>
        </w:rPr>
        <w:t>o</w:t>
      </w:r>
      <w:r>
        <w:rPr>
          <w:w w:val="99"/>
          <w:vertAlign w:val="baseline"/>
        </w:rPr>
        <w:t>m</w:t>
      </w:r>
      <w:r>
        <w:rPr>
          <w:spacing w:val="-1"/>
          <w:w w:val="87"/>
          <w:vertAlign w:val="baseline"/>
        </w:rPr>
        <w:t>i</w:t>
      </w:r>
      <w:r>
        <w:rPr>
          <w:w w:val="87"/>
          <w:vertAlign w:val="baseline"/>
        </w:rPr>
        <w:t>‖</w:t>
      </w:r>
      <w:r>
        <w:rPr>
          <w:vertAlign w:val="baseline"/>
        </w:rPr>
        <w:t> </w:t>
      </w:r>
      <w:r>
        <w:rPr>
          <w:spacing w:val="-12"/>
          <w:vertAlign w:val="baseline"/>
        </w:rPr>
        <w:t> </w:t>
      </w:r>
      <w:r>
        <w:rPr>
          <w:spacing w:val="-3"/>
          <w:w w:val="99"/>
          <w:vertAlign w:val="baseline"/>
        </w:rPr>
        <w:t>o</w:t>
      </w:r>
      <w:r>
        <w:rPr>
          <w:w w:val="99"/>
          <w:vertAlign w:val="baseline"/>
        </w:rPr>
        <w:t>f </w:t>
      </w:r>
      <w:r>
        <w:rPr>
          <w:vertAlign w:val="baseline"/>
        </w:rPr>
        <w:t>which the management was claimed to vest in the</w:t>
      </w:r>
      <w:r>
        <w:rPr>
          <w:spacing w:val="-6"/>
          <w:vertAlign w:val="baseline"/>
        </w:rPr>
        <w:t> </w:t>
      </w:r>
      <w:r>
        <w:rPr>
          <w:vertAlign w:val="baseline"/>
        </w:rPr>
        <w:t>Akhara:</w:t>
      </w:r>
    </w:p>
    <w:p>
      <w:pPr>
        <w:spacing w:line="276" w:lineRule="auto" w:before="0"/>
        <w:ind w:left="1940" w:right="2263" w:firstLine="0"/>
        <w:jc w:val="both"/>
        <w:rPr>
          <w:sz w:val="21"/>
        </w:rPr>
      </w:pPr>
      <w:r>
        <w:rPr>
          <w:spacing w:val="-1"/>
          <w:w w:val="33"/>
          <w:sz w:val="21"/>
        </w:rPr>
        <w:t>―</w:t>
      </w:r>
      <w:r>
        <w:rPr>
          <w:w w:val="100"/>
          <w:sz w:val="21"/>
        </w:rPr>
        <w:t>T</w:t>
      </w:r>
      <w:r>
        <w:rPr>
          <w:spacing w:val="-2"/>
          <w:w w:val="100"/>
          <w:sz w:val="21"/>
        </w:rPr>
        <w:t>e</w:t>
      </w:r>
      <w:r>
        <w:rPr>
          <w:spacing w:val="1"/>
          <w:w w:val="100"/>
          <w:sz w:val="21"/>
        </w:rPr>
        <w:t>m</w:t>
      </w:r>
      <w:r>
        <w:rPr>
          <w:spacing w:val="-3"/>
          <w:w w:val="100"/>
          <w:sz w:val="21"/>
        </w:rPr>
        <w:t>p</w:t>
      </w:r>
      <w:r>
        <w:rPr>
          <w:w w:val="100"/>
          <w:sz w:val="21"/>
        </w:rPr>
        <w:t>le</w:t>
      </w:r>
      <w:r>
        <w:rPr>
          <w:spacing w:val="13"/>
          <w:sz w:val="21"/>
        </w:rPr>
        <w:t> </w:t>
      </w:r>
      <w:r>
        <w:rPr>
          <w:spacing w:val="-3"/>
          <w:w w:val="100"/>
          <w:sz w:val="21"/>
        </w:rPr>
        <w:t>o</w:t>
      </w:r>
      <w:r>
        <w:rPr>
          <w:w w:val="100"/>
          <w:sz w:val="21"/>
        </w:rPr>
        <w:t>f</w:t>
      </w:r>
      <w:r>
        <w:rPr>
          <w:spacing w:val="14"/>
          <w:sz w:val="21"/>
        </w:rPr>
        <w:t> </w:t>
      </w:r>
      <w:r>
        <w:rPr>
          <w:w w:val="100"/>
          <w:sz w:val="21"/>
        </w:rPr>
        <w:t>Ja</w:t>
      </w:r>
      <w:r>
        <w:rPr>
          <w:spacing w:val="-3"/>
          <w:w w:val="100"/>
          <w:sz w:val="21"/>
        </w:rPr>
        <w:t>na</w:t>
      </w:r>
      <w:r>
        <w:rPr>
          <w:w w:val="100"/>
          <w:sz w:val="21"/>
        </w:rPr>
        <w:t>m</w:t>
      </w:r>
      <w:r>
        <w:rPr>
          <w:spacing w:val="14"/>
          <w:sz w:val="21"/>
        </w:rPr>
        <w:t> </w:t>
      </w:r>
      <w:r>
        <w:rPr>
          <w:w w:val="100"/>
          <w:sz w:val="21"/>
        </w:rPr>
        <w:t>B</w:t>
      </w:r>
      <w:r>
        <w:rPr>
          <w:spacing w:val="-3"/>
          <w:w w:val="100"/>
          <w:sz w:val="21"/>
        </w:rPr>
        <w:t>h</w:t>
      </w:r>
      <w:r>
        <w:rPr>
          <w:spacing w:val="-1"/>
          <w:w w:val="100"/>
          <w:sz w:val="21"/>
        </w:rPr>
        <w:t>o</w:t>
      </w:r>
      <w:r>
        <w:rPr>
          <w:spacing w:val="-3"/>
          <w:w w:val="100"/>
          <w:sz w:val="21"/>
        </w:rPr>
        <w:t>o</w:t>
      </w:r>
      <w:r>
        <w:rPr>
          <w:spacing w:val="-1"/>
          <w:w w:val="100"/>
          <w:sz w:val="21"/>
        </w:rPr>
        <w:t>m</w:t>
      </w:r>
      <w:r>
        <w:rPr>
          <w:w w:val="100"/>
          <w:sz w:val="21"/>
        </w:rPr>
        <w:t>i</w:t>
      </w:r>
      <w:r>
        <w:rPr>
          <w:spacing w:val="14"/>
          <w:sz w:val="21"/>
        </w:rPr>
        <w:t> </w:t>
      </w:r>
      <w:r>
        <w:rPr>
          <w:w w:val="100"/>
          <w:sz w:val="21"/>
        </w:rPr>
        <w:t>is</w:t>
      </w:r>
      <w:r>
        <w:rPr>
          <w:spacing w:val="13"/>
          <w:sz w:val="21"/>
        </w:rPr>
        <w:t> </w:t>
      </w:r>
      <w:r>
        <w:rPr>
          <w:w w:val="100"/>
          <w:sz w:val="21"/>
        </w:rPr>
        <w:t>si</w:t>
      </w:r>
      <w:r>
        <w:rPr>
          <w:spacing w:val="-4"/>
          <w:w w:val="100"/>
          <w:sz w:val="21"/>
        </w:rPr>
        <w:t>t</w:t>
      </w:r>
      <w:r>
        <w:rPr>
          <w:spacing w:val="-1"/>
          <w:w w:val="100"/>
          <w:sz w:val="21"/>
        </w:rPr>
        <w:t>uat</w:t>
      </w:r>
      <w:r>
        <w:rPr>
          <w:w w:val="100"/>
          <w:sz w:val="21"/>
        </w:rPr>
        <w:t>e</w:t>
      </w:r>
      <w:r>
        <w:rPr>
          <w:spacing w:val="13"/>
          <w:sz w:val="21"/>
        </w:rPr>
        <w:t> </w:t>
      </w:r>
      <w:r>
        <w:rPr>
          <w:w w:val="100"/>
          <w:sz w:val="21"/>
        </w:rPr>
        <w:t>in</w:t>
      </w:r>
      <w:r>
        <w:rPr>
          <w:spacing w:val="13"/>
          <w:sz w:val="21"/>
        </w:rPr>
        <w:t> </w:t>
      </w:r>
      <w:r>
        <w:rPr>
          <w:spacing w:val="-1"/>
          <w:w w:val="100"/>
          <w:sz w:val="21"/>
        </w:rPr>
        <w:t>M</w:t>
      </w:r>
      <w:r>
        <w:rPr>
          <w:spacing w:val="-3"/>
          <w:w w:val="100"/>
          <w:sz w:val="21"/>
        </w:rPr>
        <w:t>o</w:t>
      </w:r>
      <w:r>
        <w:rPr>
          <w:spacing w:val="-1"/>
          <w:w w:val="100"/>
          <w:sz w:val="21"/>
        </w:rPr>
        <w:t>h</w:t>
      </w:r>
      <w:r>
        <w:rPr>
          <w:spacing w:val="-3"/>
          <w:w w:val="100"/>
          <w:sz w:val="21"/>
        </w:rPr>
        <w:t>a</w:t>
      </w:r>
      <w:r>
        <w:rPr>
          <w:w w:val="100"/>
          <w:sz w:val="21"/>
        </w:rPr>
        <w:t>l</w:t>
      </w:r>
      <w:r>
        <w:rPr>
          <w:spacing w:val="-2"/>
          <w:w w:val="100"/>
          <w:sz w:val="21"/>
        </w:rPr>
        <w:t>l</w:t>
      </w:r>
      <w:r>
        <w:rPr>
          <w:w w:val="100"/>
          <w:sz w:val="21"/>
        </w:rPr>
        <w:t>a</w:t>
      </w:r>
      <w:r>
        <w:rPr>
          <w:spacing w:val="13"/>
          <w:sz w:val="21"/>
        </w:rPr>
        <w:t> </w:t>
      </w:r>
      <w:r>
        <w:rPr>
          <w:spacing w:val="-2"/>
          <w:w w:val="100"/>
          <w:sz w:val="21"/>
        </w:rPr>
        <w:t>R</w:t>
      </w:r>
      <w:r>
        <w:rPr>
          <w:spacing w:val="-1"/>
          <w:w w:val="100"/>
          <w:sz w:val="21"/>
        </w:rPr>
        <w:t>a</w:t>
      </w:r>
      <w:r>
        <w:rPr>
          <w:w w:val="100"/>
          <w:sz w:val="21"/>
        </w:rPr>
        <w:t>m</w:t>
      </w:r>
      <w:r>
        <w:rPr>
          <w:spacing w:val="15"/>
          <w:sz w:val="21"/>
        </w:rPr>
        <w:t> </w:t>
      </w:r>
      <w:r>
        <w:rPr>
          <w:spacing w:val="-2"/>
          <w:w w:val="100"/>
          <w:sz w:val="21"/>
        </w:rPr>
        <w:t>G</w:t>
      </w:r>
      <w:r>
        <w:rPr>
          <w:spacing w:val="-3"/>
          <w:w w:val="100"/>
          <w:sz w:val="21"/>
        </w:rPr>
        <w:t>h</w:t>
      </w:r>
      <w:r>
        <w:rPr>
          <w:spacing w:val="-1"/>
          <w:w w:val="100"/>
          <w:sz w:val="21"/>
        </w:rPr>
        <w:t>a</w:t>
      </w:r>
      <w:r>
        <w:rPr>
          <w:w w:val="100"/>
          <w:sz w:val="21"/>
        </w:rPr>
        <w:t>t</w:t>
      </w:r>
      <w:r>
        <w:rPr>
          <w:spacing w:val="12"/>
          <w:sz w:val="21"/>
        </w:rPr>
        <w:t> </w:t>
      </w:r>
      <w:r>
        <w:rPr>
          <w:spacing w:val="-1"/>
          <w:w w:val="100"/>
          <w:sz w:val="21"/>
        </w:rPr>
        <w:t>of </w:t>
      </w:r>
      <w:r>
        <w:rPr>
          <w:sz w:val="21"/>
        </w:rPr>
        <w:t>City, Ayodhya which is under the Baithak of this Akhara and its whole management is trust upon to this Akhara. It stands in name of Mahant of Akhara as Mahant and Manager. This is the best well reputed, moorty of worship temple of Ayodhya. Being the birthplace of Lord Rama, it is the main temple of Ayodhya. The deity of Shri Ram Lalaji is installed there and there are other deities</w:t>
      </w:r>
      <w:r>
        <w:rPr>
          <w:spacing w:val="-9"/>
          <w:sz w:val="21"/>
        </w:rPr>
        <w:t> </w:t>
      </w:r>
      <w:r>
        <w:rPr>
          <w:sz w:val="21"/>
        </w:rPr>
        <w:t>also.‖</w:t>
      </w:r>
    </w:p>
    <w:p>
      <w:pPr>
        <w:pStyle w:val="BodyText"/>
        <w:rPr>
          <w:sz w:val="24"/>
        </w:rPr>
      </w:pPr>
    </w:p>
    <w:p>
      <w:pPr>
        <w:pStyle w:val="BodyText"/>
        <w:rPr>
          <w:sz w:val="24"/>
        </w:rPr>
      </w:pPr>
    </w:p>
    <w:p>
      <w:pPr>
        <w:pStyle w:val="ListParagraph"/>
        <w:numPr>
          <w:ilvl w:val="0"/>
          <w:numId w:val="3"/>
        </w:numPr>
        <w:tabs>
          <w:tab w:pos="1221" w:val="left" w:leader="none"/>
        </w:tabs>
        <w:spacing w:line="480" w:lineRule="auto" w:before="172" w:after="0"/>
        <w:ind w:left="500" w:right="439" w:firstLine="0"/>
        <w:jc w:val="both"/>
        <w:rPr>
          <w:sz w:val="25"/>
        </w:rPr>
      </w:pPr>
      <w:r>
        <w:rPr>
          <w:sz w:val="25"/>
        </w:rPr>
        <w:t>During the course of his arguments, Dr Rajeev Dhavan, learned Senior Counsel for the plaintiffs in Suit 4 urged that the communications exchanged between the officials of the State of Uttar Pradesh demonstrate that they had prior information about a carefully planned course of action of placing idols inside the mosque which led to the desecration of the mosque. Despite this, it has been submitted, the administration took no steps to prevent such an incident from taking place. Hence, in this backdrop, it is necessary to set out the events that led to the incident which took place on 22-23 December</w:t>
      </w:r>
      <w:r>
        <w:rPr>
          <w:spacing w:val="-7"/>
          <w:sz w:val="25"/>
        </w:rPr>
        <w:t> </w:t>
      </w:r>
      <w:r>
        <w:rPr>
          <w:sz w:val="25"/>
        </w:rPr>
        <w:t>1949:</w:t>
      </w:r>
    </w:p>
    <w:p>
      <w:pPr>
        <w:pStyle w:val="ListParagraph"/>
        <w:numPr>
          <w:ilvl w:val="0"/>
          <w:numId w:val="35"/>
        </w:numPr>
        <w:tabs>
          <w:tab w:pos="1221" w:val="left" w:leader="none"/>
        </w:tabs>
        <w:spacing w:line="240" w:lineRule="auto" w:before="2" w:after="0"/>
        <w:ind w:left="1220" w:right="0" w:hanging="721"/>
        <w:jc w:val="both"/>
        <w:rPr>
          <w:sz w:val="25"/>
        </w:rPr>
      </w:pPr>
      <w:r>
        <w:rPr>
          <w:sz w:val="25"/>
        </w:rPr>
        <w:t>On 12 November 1949, a police picket was posted in the</w:t>
      </w:r>
      <w:r>
        <w:rPr>
          <w:spacing w:val="-8"/>
          <w:sz w:val="25"/>
        </w:rPr>
        <w:t> </w:t>
      </w:r>
      <w:r>
        <w:rPr>
          <w:sz w:val="25"/>
        </w:rPr>
        <w:t>area;</w:t>
      </w:r>
    </w:p>
    <w:p>
      <w:pPr>
        <w:pStyle w:val="BodyText"/>
        <w:spacing w:before="10"/>
        <w:rPr>
          <w:sz w:val="24"/>
        </w:rPr>
      </w:pPr>
    </w:p>
    <w:p>
      <w:pPr>
        <w:pStyle w:val="ListParagraph"/>
        <w:numPr>
          <w:ilvl w:val="0"/>
          <w:numId w:val="35"/>
        </w:numPr>
        <w:tabs>
          <w:tab w:pos="1221" w:val="left" w:leader="none"/>
        </w:tabs>
        <w:spacing w:line="480" w:lineRule="auto" w:before="0" w:after="0"/>
        <w:ind w:left="1220" w:right="446" w:hanging="720"/>
        <w:jc w:val="both"/>
        <w:rPr>
          <w:sz w:val="25"/>
        </w:rPr>
      </w:pPr>
      <w:r>
        <w:rPr>
          <w:sz w:val="25"/>
        </w:rPr>
        <w:t>On 29 November 1949, Kripal Singh who was the Superintendent of Police at Faizabad addressed a letter to K K Nayar, the Deputy Commissioner and District Magistrate, Faizabad</w:t>
      </w:r>
      <w:r>
        <w:rPr>
          <w:spacing w:val="-1"/>
          <w:sz w:val="25"/>
        </w:rPr>
        <w:t> </w:t>
      </w:r>
      <w:r>
        <w:rPr>
          <w:sz w:val="25"/>
        </w:rPr>
        <w:t>stating:</w:t>
      </w:r>
    </w:p>
    <w:p>
      <w:pPr>
        <w:spacing w:line="276" w:lineRule="auto" w:before="200"/>
        <w:ind w:left="1940" w:right="2258" w:firstLine="0"/>
        <w:jc w:val="both"/>
        <w:rPr>
          <w:sz w:val="21"/>
        </w:rPr>
      </w:pPr>
      <w:r>
        <w:rPr>
          <w:w w:val="33"/>
          <w:sz w:val="21"/>
        </w:rPr>
        <w:t>―</w:t>
      </w:r>
      <w:r>
        <w:rPr>
          <w:w w:val="100"/>
          <w:sz w:val="21"/>
        </w:rPr>
        <w:t>I</w:t>
      </w:r>
      <w:r>
        <w:rPr>
          <w:sz w:val="21"/>
        </w:rPr>
        <w:t> </w:t>
      </w:r>
      <w:r>
        <w:rPr>
          <w:w w:val="100"/>
          <w:sz w:val="21"/>
        </w:rPr>
        <w:t>visited</w:t>
      </w:r>
      <w:r>
        <w:rPr>
          <w:sz w:val="21"/>
        </w:rPr>
        <w:t> </w:t>
      </w:r>
      <w:r>
        <w:rPr>
          <w:w w:val="100"/>
          <w:sz w:val="21"/>
        </w:rPr>
        <w:t>the</w:t>
      </w:r>
      <w:r>
        <w:rPr>
          <w:sz w:val="21"/>
        </w:rPr>
        <w:t> </w:t>
      </w:r>
      <w:r>
        <w:rPr>
          <w:w w:val="100"/>
          <w:sz w:val="21"/>
        </w:rPr>
        <w:t>premises</w:t>
      </w:r>
      <w:r>
        <w:rPr>
          <w:sz w:val="21"/>
        </w:rPr>
        <w:t> </w:t>
      </w:r>
      <w:r>
        <w:rPr>
          <w:w w:val="100"/>
          <w:sz w:val="21"/>
        </w:rPr>
        <w:t>of</w:t>
      </w:r>
      <w:r>
        <w:rPr>
          <w:sz w:val="21"/>
        </w:rPr>
        <w:t> </w:t>
      </w:r>
      <w:r>
        <w:rPr>
          <w:w w:val="100"/>
          <w:sz w:val="21"/>
        </w:rPr>
        <w:t>Babri</w:t>
      </w:r>
      <w:r>
        <w:rPr>
          <w:sz w:val="21"/>
        </w:rPr>
        <w:t> </w:t>
      </w:r>
      <w:r>
        <w:rPr>
          <w:w w:val="100"/>
          <w:sz w:val="21"/>
        </w:rPr>
        <w:t>mosque</w:t>
      </w:r>
      <w:r>
        <w:rPr>
          <w:sz w:val="21"/>
        </w:rPr>
        <w:t> </w:t>
      </w:r>
      <w:r>
        <w:rPr>
          <w:w w:val="100"/>
          <w:sz w:val="21"/>
        </w:rPr>
        <w:t>and</w:t>
      </w:r>
      <w:r>
        <w:rPr>
          <w:sz w:val="21"/>
        </w:rPr>
        <w:t> </w:t>
      </w:r>
      <w:r>
        <w:rPr>
          <w:w w:val="100"/>
          <w:sz w:val="21"/>
        </w:rPr>
        <w:t>the</w:t>
      </w:r>
      <w:r>
        <w:rPr>
          <w:sz w:val="21"/>
        </w:rPr>
        <w:t> </w:t>
      </w:r>
      <w:r>
        <w:rPr>
          <w:w w:val="100"/>
          <w:sz w:val="21"/>
        </w:rPr>
        <w:t>Janm</w:t>
      </w:r>
      <w:r>
        <w:rPr>
          <w:sz w:val="21"/>
        </w:rPr>
        <w:t> </w:t>
      </w:r>
      <w:r>
        <w:rPr>
          <w:w w:val="100"/>
          <w:sz w:val="21"/>
        </w:rPr>
        <w:t>Asthan </w:t>
      </w:r>
      <w:r>
        <w:rPr>
          <w:sz w:val="21"/>
        </w:rPr>
        <w:t>in Ajodhya this evening. I noticed that </w:t>
      </w:r>
      <w:r>
        <w:rPr>
          <w:b/>
          <w:sz w:val="21"/>
        </w:rPr>
        <w:t>several ―Hawan Kunds‖ have been constructed all around the mosque</w:t>
      </w:r>
      <w:r>
        <w:rPr>
          <w:sz w:val="21"/>
        </w:rPr>
        <w:t>. Some of them have been built on old constructions already existing there.‖</w:t>
      </w:r>
    </w:p>
    <w:p>
      <w:pPr>
        <w:spacing w:before="1"/>
        <w:ind w:left="1940" w:right="0" w:firstLine="0"/>
        <w:jc w:val="left"/>
        <w:rPr>
          <w:sz w:val="21"/>
        </w:rPr>
      </w:pPr>
      <w:r>
        <w:rPr>
          <w:w w:val="100"/>
          <w:sz w:val="21"/>
        </w:rPr>
        <w:t>…</w:t>
      </w:r>
    </w:p>
    <w:p>
      <w:pPr>
        <w:pStyle w:val="BodyText"/>
        <w:spacing w:before="11"/>
        <w:rPr>
          <w:sz w:val="16"/>
        </w:rPr>
      </w:pPr>
      <w:r>
        <w:rPr/>
        <w:pict>
          <v:rect style="position:absolute;margin-left:72.024002pt;margin-top:11.71244pt;width:144.020pt;height:.599980pt;mso-position-horizontal-relative:page;mso-position-vertical-relative:paragraph;z-index:-1571942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25</w:t>
      </w:r>
      <w:r>
        <w:rPr>
          <w:sz w:val="18"/>
          <w:vertAlign w:val="baseline"/>
        </w:rPr>
        <w:t> Exhibit 1 in Suit 3</w:t>
      </w:r>
    </w:p>
    <w:p>
      <w:pPr>
        <w:spacing w:after="0"/>
        <w:jc w:val="left"/>
        <w:rPr>
          <w:sz w:val="18"/>
        </w:rPr>
        <w:sectPr>
          <w:pgSz w:w="11910" w:h="16840"/>
          <w:pgMar w:header="721" w:footer="1014" w:top="1300" w:bottom="1200" w:left="940" w:right="1000"/>
        </w:sectPr>
      </w:pPr>
    </w:p>
    <w:p>
      <w:pPr>
        <w:spacing w:line="276" w:lineRule="auto" w:before="122"/>
        <w:ind w:left="1940" w:right="2260" w:firstLine="0"/>
        <w:jc w:val="both"/>
        <w:rPr>
          <w:sz w:val="21"/>
        </w:rPr>
      </w:pPr>
      <w:r>
        <w:rPr>
          <w:sz w:val="21"/>
        </w:rPr>
        <w:t>I found bricks and lime also lying near the Janm Asthan. </w:t>
      </w:r>
      <w:r>
        <w:rPr>
          <w:b/>
          <w:sz w:val="21"/>
        </w:rPr>
        <w:t>They have a proposal to construct a very big Havan Kund where Kirtan and Yagna on Puranmashi will be  performed on a very large scale. Several thousand Hindus, Bairagis and Sadhus from outside will also participate. </w:t>
      </w:r>
      <w:r>
        <w:rPr>
          <w:sz w:val="21"/>
        </w:rPr>
        <w:t>They also intend to continue the present Kirtan till Puranmashi. </w:t>
      </w:r>
      <w:r>
        <w:rPr>
          <w:b/>
          <w:sz w:val="21"/>
        </w:rPr>
        <w:t>The plan appears to be to surround the mosque in such a way that entry for the Muslims will be very difficult and ultimately they might be forced to abandon the mosque. There is a strong rumour, that on puranmashi the Hindus will try to force entry into the mosque with the object of installing a</w:t>
      </w:r>
      <w:r>
        <w:rPr>
          <w:b/>
          <w:spacing w:val="-15"/>
          <w:sz w:val="21"/>
        </w:rPr>
        <w:t> </w:t>
      </w:r>
      <w:r>
        <w:rPr>
          <w:b/>
          <w:sz w:val="21"/>
        </w:rPr>
        <w:t>deity</w:t>
      </w:r>
      <w:r>
        <w:rPr>
          <w:sz w:val="21"/>
        </w:rPr>
        <w:t>.‖</w:t>
      </w:r>
    </w:p>
    <w:p>
      <w:pPr>
        <w:spacing w:before="2"/>
        <w:ind w:left="5795" w:right="0" w:firstLine="0"/>
        <w:jc w:val="both"/>
        <w:rPr>
          <w:sz w:val="21"/>
        </w:rPr>
      </w:pPr>
      <w:r>
        <w:rPr>
          <w:sz w:val="21"/>
        </w:rPr>
        <w:t>(Emphasis supplied)</w:t>
      </w:r>
    </w:p>
    <w:p>
      <w:pPr>
        <w:pStyle w:val="BodyText"/>
        <w:spacing w:before="2"/>
        <w:rPr>
          <w:sz w:val="24"/>
        </w:rPr>
      </w:pPr>
    </w:p>
    <w:p>
      <w:pPr>
        <w:pStyle w:val="ListParagraph"/>
        <w:numPr>
          <w:ilvl w:val="0"/>
          <w:numId w:val="35"/>
        </w:numPr>
        <w:tabs>
          <w:tab w:pos="1221" w:val="left" w:leader="none"/>
        </w:tabs>
        <w:spacing w:line="480" w:lineRule="auto" w:before="0" w:after="0"/>
        <w:ind w:left="1220" w:right="438" w:hanging="720"/>
        <w:jc w:val="both"/>
        <w:rPr>
          <w:sz w:val="25"/>
        </w:rPr>
      </w:pPr>
      <w:r>
        <w:rPr>
          <w:sz w:val="25"/>
        </w:rPr>
        <w:t>On 10 December 1949, Mohd Ibrahim who was the Waqf Inspector submitted a report to the secretary of the Masjid stating that Muslims were being prevented from offering namaz Isha (the namaz at night) at the mosque, due to the fear of Hindus and Sikhs and there was an apprehension of danger to the</w:t>
      </w:r>
      <w:r>
        <w:rPr>
          <w:spacing w:val="1"/>
          <w:sz w:val="25"/>
        </w:rPr>
        <w:t> </w:t>
      </w:r>
      <w:r>
        <w:rPr>
          <w:sz w:val="25"/>
        </w:rPr>
        <w:t>mosque:</w:t>
      </w:r>
    </w:p>
    <w:p>
      <w:pPr>
        <w:spacing w:line="276" w:lineRule="auto" w:before="199"/>
        <w:ind w:left="1940" w:right="2261" w:firstLine="0"/>
        <w:jc w:val="both"/>
        <w:rPr>
          <w:sz w:val="21"/>
        </w:rPr>
      </w:pPr>
      <w:r>
        <w:rPr>
          <w:spacing w:val="-1"/>
          <w:w w:val="33"/>
          <w:sz w:val="21"/>
        </w:rPr>
        <w:t>―</w:t>
      </w:r>
      <w:r>
        <w:rPr>
          <w:spacing w:val="-2"/>
          <w:w w:val="100"/>
          <w:sz w:val="21"/>
        </w:rPr>
        <w:t>O</w:t>
      </w:r>
      <w:r>
        <w:rPr>
          <w:w w:val="100"/>
          <w:sz w:val="21"/>
        </w:rPr>
        <w:t>n</w:t>
      </w:r>
      <w:r>
        <w:rPr>
          <w:sz w:val="21"/>
        </w:rPr>
        <w:t>  </w:t>
      </w:r>
      <w:r>
        <w:rPr>
          <w:spacing w:val="-17"/>
          <w:sz w:val="21"/>
        </w:rPr>
        <w:t> </w:t>
      </w:r>
      <w:r>
        <w:rPr>
          <w:w w:val="100"/>
          <w:sz w:val="21"/>
        </w:rPr>
        <w:t>i</w:t>
      </w:r>
      <w:r>
        <w:rPr>
          <w:spacing w:val="-1"/>
          <w:w w:val="100"/>
          <w:sz w:val="21"/>
        </w:rPr>
        <w:t>n</w:t>
      </w:r>
      <w:r>
        <w:rPr>
          <w:spacing w:val="-3"/>
          <w:w w:val="100"/>
          <w:sz w:val="21"/>
        </w:rPr>
        <w:t>v</w:t>
      </w:r>
      <w:r>
        <w:rPr>
          <w:spacing w:val="-1"/>
          <w:w w:val="100"/>
          <w:sz w:val="21"/>
        </w:rPr>
        <w:t>est</w:t>
      </w:r>
      <w:r>
        <w:rPr>
          <w:w w:val="100"/>
          <w:sz w:val="21"/>
        </w:rPr>
        <w:t>i</w:t>
      </w:r>
      <w:r>
        <w:rPr>
          <w:spacing w:val="-3"/>
          <w:w w:val="100"/>
          <w:sz w:val="21"/>
        </w:rPr>
        <w:t>g</w:t>
      </w:r>
      <w:r>
        <w:rPr>
          <w:spacing w:val="-1"/>
          <w:w w:val="100"/>
          <w:sz w:val="21"/>
        </w:rPr>
        <w:t>at</w:t>
      </w:r>
      <w:r>
        <w:rPr>
          <w:w w:val="100"/>
          <w:sz w:val="21"/>
        </w:rPr>
        <w:t>i</w:t>
      </w:r>
      <w:r>
        <w:rPr>
          <w:spacing w:val="-3"/>
          <w:w w:val="100"/>
          <w:sz w:val="21"/>
        </w:rPr>
        <w:t>o</w:t>
      </w:r>
      <w:r>
        <w:rPr>
          <w:w w:val="100"/>
          <w:sz w:val="21"/>
        </w:rPr>
        <w:t>n</w:t>
      </w:r>
      <w:r>
        <w:rPr>
          <w:sz w:val="21"/>
        </w:rPr>
        <w:t>  </w:t>
      </w:r>
      <w:r>
        <w:rPr>
          <w:spacing w:val="-17"/>
          <w:sz w:val="21"/>
        </w:rPr>
        <w:t> </w:t>
      </w:r>
      <w:r>
        <w:rPr>
          <w:spacing w:val="-2"/>
          <w:w w:val="100"/>
          <w:sz w:val="21"/>
        </w:rPr>
        <w:t>i</w:t>
      </w:r>
      <w:r>
        <w:rPr>
          <w:w w:val="100"/>
          <w:sz w:val="21"/>
        </w:rPr>
        <w:t>n</w:t>
      </w:r>
      <w:r>
        <w:rPr>
          <w:sz w:val="21"/>
        </w:rPr>
        <w:t>  </w:t>
      </w:r>
      <w:r>
        <w:rPr>
          <w:spacing w:val="-17"/>
          <w:sz w:val="21"/>
        </w:rPr>
        <w:t> </w:t>
      </w:r>
      <w:r>
        <w:rPr>
          <w:spacing w:val="-2"/>
          <w:w w:val="100"/>
          <w:sz w:val="21"/>
        </w:rPr>
        <w:t>F</w:t>
      </w:r>
      <w:r>
        <w:rPr>
          <w:spacing w:val="-1"/>
          <w:w w:val="100"/>
          <w:sz w:val="21"/>
        </w:rPr>
        <w:t>a</w:t>
      </w:r>
      <w:r>
        <w:rPr>
          <w:spacing w:val="-2"/>
          <w:w w:val="100"/>
          <w:sz w:val="21"/>
        </w:rPr>
        <w:t>i</w:t>
      </w:r>
      <w:r>
        <w:rPr>
          <w:spacing w:val="-3"/>
          <w:w w:val="100"/>
          <w:sz w:val="21"/>
        </w:rPr>
        <w:t>z</w:t>
      </w:r>
      <w:r>
        <w:rPr>
          <w:spacing w:val="-1"/>
          <w:w w:val="100"/>
          <w:sz w:val="21"/>
        </w:rPr>
        <w:t>aba</w:t>
      </w:r>
      <w:r>
        <w:rPr>
          <w:w w:val="100"/>
          <w:sz w:val="21"/>
        </w:rPr>
        <w:t>d</w:t>
      </w:r>
      <w:r>
        <w:rPr>
          <w:sz w:val="21"/>
        </w:rPr>
        <w:t>  </w:t>
      </w:r>
      <w:r>
        <w:rPr>
          <w:spacing w:val="-17"/>
          <w:sz w:val="21"/>
        </w:rPr>
        <w:t> </w:t>
      </w:r>
      <w:r>
        <w:rPr>
          <w:w w:val="100"/>
          <w:sz w:val="21"/>
        </w:rPr>
        <w:t>ci</w:t>
      </w:r>
      <w:r>
        <w:rPr>
          <w:spacing w:val="-2"/>
          <w:w w:val="100"/>
          <w:sz w:val="21"/>
        </w:rPr>
        <w:t>t</w:t>
      </w:r>
      <w:r>
        <w:rPr>
          <w:w w:val="100"/>
          <w:sz w:val="21"/>
        </w:rPr>
        <w:t>y</w:t>
      </w:r>
      <w:r>
        <w:rPr>
          <w:sz w:val="21"/>
        </w:rPr>
        <w:t>  </w:t>
      </w:r>
      <w:r>
        <w:rPr>
          <w:spacing w:val="-20"/>
          <w:sz w:val="21"/>
        </w:rPr>
        <w:t> </w:t>
      </w:r>
      <w:r>
        <w:rPr>
          <w:w w:val="100"/>
          <w:sz w:val="21"/>
        </w:rPr>
        <w:t>it</w:t>
      </w:r>
      <w:r>
        <w:rPr>
          <w:sz w:val="21"/>
        </w:rPr>
        <w:t>  </w:t>
      </w:r>
      <w:r>
        <w:rPr>
          <w:spacing w:val="-18"/>
          <w:sz w:val="21"/>
        </w:rPr>
        <w:t> </w:t>
      </w:r>
      <w:r>
        <w:rPr>
          <w:spacing w:val="-2"/>
          <w:w w:val="100"/>
          <w:sz w:val="21"/>
        </w:rPr>
        <w:t>w</w:t>
      </w:r>
      <w:r>
        <w:rPr>
          <w:spacing w:val="-1"/>
          <w:w w:val="100"/>
          <w:sz w:val="21"/>
        </w:rPr>
        <w:t>a</w:t>
      </w:r>
      <w:r>
        <w:rPr>
          <w:w w:val="100"/>
          <w:sz w:val="21"/>
        </w:rPr>
        <w:t>s</w:t>
      </w:r>
      <w:r>
        <w:rPr>
          <w:sz w:val="21"/>
        </w:rPr>
        <w:t>  </w:t>
      </w:r>
      <w:r>
        <w:rPr>
          <w:spacing w:val="-17"/>
          <w:sz w:val="21"/>
        </w:rPr>
        <w:t> </w:t>
      </w:r>
      <w:r>
        <w:rPr>
          <w:spacing w:val="-1"/>
          <w:w w:val="100"/>
          <w:sz w:val="21"/>
        </w:rPr>
        <w:t>re</w:t>
      </w:r>
      <w:r>
        <w:rPr>
          <w:spacing w:val="-3"/>
          <w:w w:val="100"/>
          <w:sz w:val="21"/>
        </w:rPr>
        <w:t>ve</w:t>
      </w:r>
      <w:r>
        <w:rPr>
          <w:spacing w:val="-1"/>
          <w:w w:val="100"/>
          <w:sz w:val="21"/>
        </w:rPr>
        <w:t>a</w:t>
      </w:r>
      <w:r>
        <w:rPr>
          <w:spacing w:val="1"/>
          <w:w w:val="100"/>
          <w:sz w:val="21"/>
        </w:rPr>
        <w:t>l</w:t>
      </w:r>
      <w:r>
        <w:rPr>
          <w:spacing w:val="-3"/>
          <w:w w:val="100"/>
          <w:sz w:val="21"/>
        </w:rPr>
        <w:t>e</w:t>
      </w:r>
      <w:r>
        <w:rPr>
          <w:w w:val="100"/>
          <w:sz w:val="21"/>
        </w:rPr>
        <w:t>d</w:t>
      </w:r>
      <w:r>
        <w:rPr>
          <w:sz w:val="21"/>
        </w:rPr>
        <w:t>  </w:t>
      </w:r>
      <w:r>
        <w:rPr>
          <w:spacing w:val="-17"/>
          <w:sz w:val="21"/>
        </w:rPr>
        <w:t> </w:t>
      </w:r>
      <w:r>
        <w:rPr>
          <w:spacing w:val="-2"/>
          <w:w w:val="100"/>
          <w:sz w:val="21"/>
        </w:rPr>
        <w:t>t</w:t>
      </w:r>
      <w:r>
        <w:rPr>
          <w:spacing w:val="-1"/>
          <w:w w:val="100"/>
          <w:sz w:val="21"/>
        </w:rPr>
        <w:t>hat </w:t>
      </w:r>
      <w:r>
        <w:rPr>
          <w:b/>
          <w:sz w:val="21"/>
        </w:rPr>
        <w:t>because of the fear of Hindus and Sikhs no one goes into the Masjid to pray Namaz Isha. If by chance any passenger stays in the Masjid he is being threatened and teased by the Hindus </w:t>
      </w:r>
      <w:r>
        <w:rPr>
          <w:sz w:val="21"/>
        </w:rPr>
        <w:t>... (sic)..... There are number of Numberdars ... (sic)..... if any Muslim into the Masjid, he is harassed and abused. I made on the spot enquires which reveal that </w:t>
      </w:r>
      <w:r>
        <w:rPr>
          <w:b/>
          <w:sz w:val="21"/>
        </w:rPr>
        <w:t>the said allegations are correct. Local people stated that the Masjid is in great danger because of Hindus </w:t>
      </w:r>
      <w:r>
        <w:rPr>
          <w:sz w:val="21"/>
        </w:rPr>
        <w:t>... (sic)..... </w:t>
      </w:r>
      <w:r>
        <w:rPr>
          <w:b/>
          <w:sz w:val="21"/>
        </w:rPr>
        <w:t>Before they try to damage the wall of the Masjid, it seems proper the Deputy Commissioner Faizabad may be accordingly informed , so that no Muslim, going into the Masjid may be teased. The Masjid is a Shahi monument and it should be</w:t>
      </w:r>
      <w:r>
        <w:rPr>
          <w:b/>
          <w:spacing w:val="-18"/>
          <w:sz w:val="21"/>
        </w:rPr>
        <w:t> </w:t>
      </w:r>
      <w:r>
        <w:rPr>
          <w:b/>
          <w:sz w:val="21"/>
        </w:rPr>
        <w:t>preserved</w:t>
      </w:r>
      <w:r>
        <w:rPr>
          <w:sz w:val="21"/>
        </w:rPr>
        <w:t>.‖</w:t>
      </w:r>
    </w:p>
    <w:p>
      <w:pPr>
        <w:spacing w:before="1"/>
        <w:ind w:left="5798" w:right="0" w:firstLine="0"/>
        <w:jc w:val="both"/>
        <w:rPr>
          <w:sz w:val="21"/>
        </w:rPr>
      </w:pPr>
      <w:r>
        <w:rPr>
          <w:sz w:val="21"/>
        </w:rPr>
        <w:t>(Emphasis supplied)</w:t>
      </w:r>
    </w:p>
    <w:p>
      <w:pPr>
        <w:pStyle w:val="BodyText"/>
        <w:spacing w:before="1"/>
        <w:rPr>
          <w:sz w:val="28"/>
        </w:rPr>
      </w:pPr>
    </w:p>
    <w:p>
      <w:pPr>
        <w:pStyle w:val="ListParagraph"/>
        <w:numPr>
          <w:ilvl w:val="0"/>
          <w:numId w:val="35"/>
        </w:numPr>
        <w:tabs>
          <w:tab w:pos="1221" w:val="left" w:leader="none"/>
        </w:tabs>
        <w:spacing w:line="480" w:lineRule="auto" w:before="1" w:after="0"/>
        <w:ind w:left="1220" w:right="442" w:hanging="720"/>
        <w:jc w:val="both"/>
        <w:rPr>
          <w:sz w:val="25"/>
        </w:rPr>
      </w:pPr>
      <w:r>
        <w:rPr>
          <w:sz w:val="25"/>
        </w:rPr>
        <w:t>On 16 December 1949, K K Nayyar addressed a communication to Govind Narayan who was Home Secretary to the Government of Uttar Pradesh, </w:t>
      </w:r>
      <w:r>
        <w:rPr>
          <w:w w:val="99"/>
          <w:sz w:val="25"/>
        </w:rPr>
        <w:t>stat</w:t>
      </w:r>
      <w:r>
        <w:rPr>
          <w:spacing w:val="-1"/>
          <w:w w:val="99"/>
          <w:sz w:val="25"/>
        </w:rPr>
        <w:t>in</w:t>
      </w:r>
      <w:r>
        <w:rPr>
          <w:w w:val="99"/>
          <w:sz w:val="25"/>
        </w:rPr>
        <w:t>g</w:t>
      </w:r>
      <w:r>
        <w:rPr>
          <w:spacing w:val="34"/>
          <w:sz w:val="25"/>
        </w:rPr>
        <w:t> </w:t>
      </w:r>
      <w:r>
        <w:rPr>
          <w:w w:val="99"/>
          <w:sz w:val="25"/>
        </w:rPr>
        <w:t>that</w:t>
      </w:r>
      <w:r>
        <w:rPr>
          <w:spacing w:val="33"/>
          <w:sz w:val="25"/>
        </w:rPr>
        <w:t> </w:t>
      </w:r>
      <w:r>
        <w:rPr>
          <w:w w:val="99"/>
          <w:sz w:val="25"/>
        </w:rPr>
        <w:t>there</w:t>
      </w:r>
      <w:r>
        <w:rPr>
          <w:spacing w:val="33"/>
          <w:sz w:val="25"/>
        </w:rPr>
        <w:t> </w:t>
      </w:r>
      <w:r>
        <w:rPr>
          <w:spacing w:val="-1"/>
          <w:w w:val="99"/>
          <w:sz w:val="25"/>
        </w:rPr>
        <w:t>wa</w:t>
      </w:r>
      <w:r>
        <w:rPr>
          <w:w w:val="99"/>
          <w:sz w:val="25"/>
        </w:rPr>
        <w:t>s</w:t>
      </w:r>
      <w:r>
        <w:rPr>
          <w:spacing w:val="33"/>
          <w:sz w:val="25"/>
        </w:rPr>
        <w:t> </w:t>
      </w:r>
      <w:r>
        <w:rPr>
          <w:w w:val="99"/>
          <w:sz w:val="25"/>
        </w:rPr>
        <w:t>a</w:t>
      </w:r>
      <w:r>
        <w:rPr>
          <w:spacing w:val="33"/>
          <w:sz w:val="25"/>
        </w:rPr>
        <w:t> </w:t>
      </w:r>
      <w:r>
        <w:rPr>
          <w:w w:val="33"/>
          <w:sz w:val="25"/>
        </w:rPr>
        <w:t>―</w:t>
      </w:r>
      <w:r>
        <w:rPr>
          <w:w w:val="99"/>
          <w:sz w:val="25"/>
        </w:rPr>
        <w:t>m</w:t>
      </w:r>
      <w:r>
        <w:rPr>
          <w:spacing w:val="-1"/>
          <w:w w:val="99"/>
          <w:sz w:val="25"/>
        </w:rPr>
        <w:t>a</w:t>
      </w:r>
      <w:r>
        <w:rPr>
          <w:w w:val="99"/>
          <w:sz w:val="25"/>
        </w:rPr>
        <w:t>g</w:t>
      </w:r>
      <w:r>
        <w:rPr>
          <w:spacing w:val="-1"/>
          <w:w w:val="99"/>
          <w:sz w:val="25"/>
        </w:rPr>
        <w:t>nifice</w:t>
      </w:r>
      <w:r>
        <w:rPr>
          <w:w w:val="99"/>
          <w:sz w:val="25"/>
        </w:rPr>
        <w:t>nt</w:t>
      </w:r>
      <w:r>
        <w:rPr>
          <w:spacing w:val="33"/>
          <w:sz w:val="25"/>
        </w:rPr>
        <w:t> </w:t>
      </w:r>
      <w:r>
        <w:rPr>
          <w:w w:val="99"/>
          <w:sz w:val="25"/>
        </w:rPr>
        <w:t>te</w:t>
      </w:r>
      <w:r>
        <w:rPr>
          <w:spacing w:val="1"/>
          <w:w w:val="99"/>
          <w:sz w:val="25"/>
        </w:rPr>
        <w:t>m</w:t>
      </w:r>
      <w:r>
        <w:rPr>
          <w:spacing w:val="-1"/>
          <w:w w:val="95"/>
          <w:sz w:val="25"/>
        </w:rPr>
        <w:t>ple</w:t>
      </w:r>
      <w:r>
        <w:rPr>
          <w:w w:val="95"/>
          <w:sz w:val="25"/>
        </w:rPr>
        <w:t>‖</w:t>
      </w:r>
      <w:r>
        <w:rPr>
          <w:spacing w:val="34"/>
          <w:sz w:val="25"/>
        </w:rPr>
        <w:t> </w:t>
      </w:r>
      <w:r>
        <w:rPr>
          <w:spacing w:val="-1"/>
          <w:w w:val="99"/>
          <w:sz w:val="25"/>
        </w:rPr>
        <w:t>a</w:t>
      </w:r>
      <w:r>
        <w:rPr>
          <w:w w:val="99"/>
          <w:sz w:val="25"/>
        </w:rPr>
        <w:t>t</w:t>
      </w:r>
      <w:r>
        <w:rPr>
          <w:spacing w:val="34"/>
          <w:sz w:val="25"/>
        </w:rPr>
        <w:t> </w:t>
      </w:r>
      <w:r>
        <w:rPr>
          <w:w w:val="99"/>
          <w:sz w:val="25"/>
        </w:rPr>
        <w:t>the</w:t>
      </w:r>
      <w:r>
        <w:rPr>
          <w:spacing w:val="34"/>
          <w:sz w:val="25"/>
        </w:rPr>
        <w:t> </w:t>
      </w:r>
      <w:r>
        <w:rPr>
          <w:w w:val="99"/>
          <w:sz w:val="25"/>
        </w:rPr>
        <w:t>site</w:t>
      </w:r>
      <w:r>
        <w:rPr>
          <w:spacing w:val="33"/>
          <w:sz w:val="25"/>
        </w:rPr>
        <w:t> </w:t>
      </w:r>
      <w:r>
        <w:rPr>
          <w:spacing w:val="-1"/>
          <w:w w:val="99"/>
          <w:sz w:val="25"/>
        </w:rPr>
        <w:t>whic</w:t>
      </w:r>
      <w:r>
        <w:rPr>
          <w:w w:val="99"/>
          <w:sz w:val="25"/>
        </w:rPr>
        <w:t>h</w:t>
      </w:r>
      <w:r>
        <w:rPr>
          <w:sz w:val="25"/>
        </w:rPr>
        <w:t> </w:t>
      </w:r>
      <w:r>
        <w:rPr>
          <w:spacing w:val="-34"/>
          <w:sz w:val="25"/>
        </w:rPr>
        <w:t> </w:t>
      </w:r>
      <w:r>
        <w:rPr>
          <w:spacing w:val="-1"/>
          <w:w w:val="99"/>
          <w:sz w:val="25"/>
        </w:rPr>
        <w:t>h</w:t>
      </w:r>
      <w:r>
        <w:rPr>
          <w:w w:val="99"/>
          <w:sz w:val="25"/>
        </w:rPr>
        <w:t>ad</w:t>
      </w:r>
      <w:r>
        <w:rPr>
          <w:spacing w:val="33"/>
          <w:sz w:val="25"/>
        </w:rPr>
        <w:t> </w:t>
      </w:r>
      <w:r>
        <w:rPr>
          <w:spacing w:val="-1"/>
          <w:w w:val="99"/>
          <w:sz w:val="25"/>
        </w:rPr>
        <w:t>b</w:t>
      </w:r>
      <w:r>
        <w:rPr>
          <w:w w:val="99"/>
          <w:sz w:val="25"/>
        </w:rPr>
        <w:t>e</w:t>
      </w:r>
      <w:r>
        <w:rPr>
          <w:spacing w:val="-1"/>
          <w:w w:val="99"/>
          <w:sz w:val="25"/>
        </w:rPr>
        <w:t>en </w:t>
      </w:r>
      <w:r>
        <w:rPr>
          <w:sz w:val="25"/>
        </w:rPr>
        <w:t>constructed by Vikramaditya, which was demolished by Babur for</w:t>
      </w:r>
      <w:r>
        <w:rPr>
          <w:spacing w:val="38"/>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38"/>
        <w:jc w:val="both"/>
      </w:pPr>
      <w:r>
        <w:rPr/>
        <w:t>construction of a mosque, known as Babri Masjid. The letter stated that building material of the temple was used in the construction of the mosque and that a long time had elapsed before Hindus were again restored to the possession of a site therein, at the corner of two walls. The letter recorded a reference to recent happenings and stated:</w:t>
      </w:r>
    </w:p>
    <w:p>
      <w:pPr>
        <w:spacing w:line="276" w:lineRule="auto" w:before="198"/>
        <w:ind w:left="1940" w:right="2259" w:firstLine="0"/>
        <w:jc w:val="both"/>
        <w:rPr>
          <w:sz w:val="21"/>
        </w:rPr>
      </w:pPr>
      <w:r>
        <w:rPr>
          <w:w w:val="33"/>
          <w:sz w:val="21"/>
        </w:rPr>
        <w:t>―</w:t>
      </w:r>
      <w:r>
        <w:rPr>
          <w:w w:val="100"/>
          <w:sz w:val="21"/>
        </w:rPr>
        <w:t>Some</w:t>
      </w:r>
      <w:r>
        <w:rPr>
          <w:sz w:val="21"/>
        </w:rPr>
        <w:t> </w:t>
      </w:r>
      <w:r>
        <w:rPr>
          <w:w w:val="100"/>
          <w:sz w:val="21"/>
        </w:rPr>
        <w:t>time</w:t>
      </w:r>
      <w:r>
        <w:rPr>
          <w:sz w:val="21"/>
        </w:rPr>
        <w:t> </w:t>
      </w:r>
      <w:r>
        <w:rPr>
          <w:w w:val="100"/>
          <w:sz w:val="21"/>
        </w:rPr>
        <w:t>this</w:t>
      </w:r>
      <w:r>
        <w:rPr>
          <w:sz w:val="21"/>
        </w:rPr>
        <w:t> </w:t>
      </w:r>
      <w:r>
        <w:rPr>
          <w:w w:val="100"/>
          <w:sz w:val="21"/>
        </w:rPr>
        <w:t>year</w:t>
      </w:r>
      <w:r>
        <w:rPr>
          <w:sz w:val="21"/>
        </w:rPr>
        <w:t> </w:t>
      </w:r>
      <w:r>
        <w:rPr>
          <w:w w:val="100"/>
          <w:sz w:val="21"/>
        </w:rPr>
        <w:t>probably</w:t>
      </w:r>
      <w:r>
        <w:rPr>
          <w:sz w:val="21"/>
        </w:rPr>
        <w:t> </w:t>
      </w:r>
      <w:r>
        <w:rPr>
          <w:w w:val="100"/>
          <w:sz w:val="21"/>
        </w:rPr>
        <w:t>in</w:t>
      </w:r>
      <w:r>
        <w:rPr>
          <w:sz w:val="21"/>
        </w:rPr>
        <w:t> </w:t>
      </w:r>
      <w:r>
        <w:rPr>
          <w:w w:val="100"/>
          <w:sz w:val="21"/>
        </w:rPr>
        <w:t>October</w:t>
      </w:r>
      <w:r>
        <w:rPr>
          <w:sz w:val="21"/>
        </w:rPr>
        <w:t> </w:t>
      </w:r>
      <w:r>
        <w:rPr>
          <w:w w:val="100"/>
          <w:sz w:val="21"/>
        </w:rPr>
        <w:t>or</w:t>
      </w:r>
      <w:r>
        <w:rPr>
          <w:sz w:val="21"/>
        </w:rPr>
        <w:t> </w:t>
      </w:r>
      <w:r>
        <w:rPr>
          <w:w w:val="100"/>
          <w:sz w:val="21"/>
        </w:rPr>
        <w:t>November</w:t>
      </w:r>
      <w:r>
        <w:rPr>
          <w:sz w:val="21"/>
        </w:rPr>
        <w:t> </w:t>
      </w:r>
      <w:r>
        <w:rPr>
          <w:w w:val="100"/>
          <w:sz w:val="21"/>
        </w:rPr>
        <w:t>some </w:t>
      </w:r>
      <w:r>
        <w:rPr>
          <w:sz w:val="21"/>
        </w:rPr>
        <w:t>grave-mounds were partially destroyed apparently by Bairagis who very keenly resent Muslim associations with this shrine. On 12.11.49 a police picket was posted at this place. The picket still continues in augmented strength.</w:t>
      </w:r>
    </w:p>
    <w:p>
      <w:pPr>
        <w:spacing w:line="276" w:lineRule="auto" w:before="2"/>
        <w:ind w:left="1940" w:right="2259" w:firstLine="0"/>
        <w:jc w:val="both"/>
        <w:rPr>
          <w:sz w:val="21"/>
        </w:rPr>
      </w:pPr>
      <w:r>
        <w:rPr>
          <w:sz w:val="21"/>
        </w:rPr>
        <w:t>There were since other attempts to destroy grave-mounds. Four persons were caught and cases are proceeding against them but for quite some time now there have been no attempts.</w:t>
      </w:r>
    </w:p>
    <w:p>
      <w:pPr>
        <w:spacing w:line="276" w:lineRule="auto" w:before="0"/>
        <w:ind w:left="1940" w:right="2261" w:firstLine="0"/>
        <w:jc w:val="both"/>
        <w:rPr>
          <w:sz w:val="21"/>
        </w:rPr>
      </w:pPr>
      <w:r>
        <w:rPr>
          <w:sz w:val="21"/>
        </w:rPr>
        <w:t>Muslims, mostly of Faizabad have been exaggerating these happenings and giving currency to the report that graves are being demolished systematically on a large scale. This is an entirely false canard inspired apparently by a desire to prevent Hindus from securing in this area possession or rights of a larger character than have so far been enjoyed. Muslim anxiety on this score was heightened by the recent Navami Ramayan Path, a devotional reading of Ramayan by thousands of Hindus for nine days at a stretch. This period covered a Friday on which Muslims who went to say their prayers at the mosque were escorted to and from safely by the</w:t>
      </w:r>
      <w:r>
        <w:rPr>
          <w:spacing w:val="-2"/>
          <w:sz w:val="21"/>
        </w:rPr>
        <w:t> </w:t>
      </w:r>
      <w:r>
        <w:rPr>
          <w:sz w:val="21"/>
        </w:rPr>
        <w:t>Police.</w:t>
      </w:r>
    </w:p>
    <w:p>
      <w:pPr>
        <w:pStyle w:val="BodyText"/>
        <w:spacing w:before="2"/>
        <w:rPr>
          <w:sz w:val="24"/>
        </w:rPr>
      </w:pPr>
    </w:p>
    <w:p>
      <w:pPr>
        <w:spacing w:line="276" w:lineRule="auto" w:before="0"/>
        <w:ind w:left="1940" w:right="2264" w:firstLine="0"/>
        <w:jc w:val="both"/>
        <w:rPr>
          <w:sz w:val="21"/>
        </w:rPr>
      </w:pPr>
      <w:r>
        <w:rPr>
          <w:sz w:val="21"/>
        </w:rPr>
        <w:t>As far as I have been able to understand the situation the Muslims of Ayodhya proper are far from agitated over this issue with the exception of one Anisur Rahman who frequently sends frantic messages giving the impression that the Babri Masjid and graves are in imminent danger of demolition.‖</w:t>
      </w:r>
    </w:p>
    <w:p>
      <w:pPr>
        <w:pStyle w:val="BodyText"/>
        <w:rPr>
          <w:sz w:val="24"/>
        </w:rPr>
      </w:pPr>
    </w:p>
    <w:p>
      <w:pPr>
        <w:pStyle w:val="BodyText"/>
        <w:rPr>
          <w:sz w:val="22"/>
        </w:rPr>
      </w:pPr>
    </w:p>
    <w:p>
      <w:pPr>
        <w:pStyle w:val="BodyText"/>
        <w:spacing w:line="480" w:lineRule="auto"/>
        <w:ind w:left="1220" w:right="441"/>
        <w:jc w:val="both"/>
      </w:pPr>
      <w:r>
        <w:rPr/>
        <w:t>Nayyar saw no apprehension of danger to the mosque in spite of the letter of the Superintendent of Police which contained specific reference to the plans which were afoot to enter the mosque and install idols within its precincts;</w:t>
      </w:r>
    </w:p>
    <w:p>
      <w:pPr>
        <w:spacing w:after="0" w:line="480" w:lineRule="auto"/>
        <w:jc w:val="both"/>
        <w:sectPr>
          <w:pgSz w:w="11910" w:h="16840"/>
          <w:pgMar w:header="721" w:footer="1014" w:top="1300" w:bottom="1200" w:left="940" w:right="1000"/>
        </w:sectPr>
      </w:pPr>
    </w:p>
    <w:p>
      <w:pPr>
        <w:pStyle w:val="ListParagraph"/>
        <w:numPr>
          <w:ilvl w:val="0"/>
          <w:numId w:val="35"/>
        </w:numPr>
        <w:tabs>
          <w:tab w:pos="1221" w:val="left" w:leader="none"/>
        </w:tabs>
        <w:spacing w:line="480" w:lineRule="auto" w:before="124" w:after="0"/>
        <w:ind w:left="1220" w:right="435" w:hanging="720"/>
        <w:jc w:val="both"/>
        <w:rPr>
          <w:sz w:val="25"/>
        </w:rPr>
      </w:pPr>
      <w:r>
        <w:rPr>
          <w:sz w:val="25"/>
        </w:rPr>
        <w:t>On the night between 22-23 December 1949, Hindu idols were surreptitiously placed inside Babri Masjid by a group of 50-60 persons. An FIR was lodged, complaining of the installation of idols inside the inner courtyard of the disputed site. The FIR, complaining of offences under Sections 147, 295, 448 of the Indian Penal Code was lodged at 7:00 pm  on 23 December 1949 by Ram Deo Dubey, Sub-Inspector in charge. The FIR recorded that on information received from Mata Prasad, Constable No. 7, the complainant had arrived at the disputed site at 7:00 am and learned that a crowd of 50 or 60 persons had broken the locks placed on the compound of the mosque and had placed the idols inside, besides inscribing the names of Hindu deities on the walls. Thereafter, 5000 people had gathered to perform Kirtan. It was alleged that Abhay Ram Das, Ram Shukul Das, Sheo Darshan Dass and about 50 or 60 persons had committed an act of trespass by entering the mosque and installing idols, thereby desecrating the</w:t>
      </w:r>
      <w:r>
        <w:rPr>
          <w:spacing w:val="-5"/>
          <w:sz w:val="25"/>
        </w:rPr>
        <w:t> </w:t>
      </w:r>
      <w:r>
        <w:rPr>
          <w:sz w:val="25"/>
        </w:rPr>
        <w:t>mosque.</w:t>
      </w:r>
    </w:p>
    <w:p>
      <w:pPr>
        <w:pStyle w:val="BodyText"/>
        <w:spacing w:line="480" w:lineRule="auto"/>
        <w:ind w:left="1220" w:right="436"/>
        <w:jc w:val="both"/>
      </w:pPr>
      <w:r>
        <w:rPr/>
        <w:t>The judgment of Justice S U Khan contains a reference to the report/diary of the District Magistrate stating that on 23 December 1949, the crowd was controlled by allowing two or three persons to offer bhog;</w:t>
      </w:r>
    </w:p>
    <w:p>
      <w:pPr>
        <w:pStyle w:val="ListParagraph"/>
        <w:numPr>
          <w:ilvl w:val="0"/>
          <w:numId w:val="35"/>
        </w:numPr>
        <w:tabs>
          <w:tab w:pos="1221" w:val="left" w:leader="none"/>
        </w:tabs>
        <w:spacing w:line="480" w:lineRule="auto" w:before="1" w:after="0"/>
        <w:ind w:left="1220" w:right="433" w:hanging="720"/>
        <w:jc w:val="both"/>
        <w:rPr>
          <w:sz w:val="25"/>
        </w:rPr>
      </w:pPr>
      <w:r>
        <w:rPr>
          <w:sz w:val="25"/>
        </w:rPr>
        <w:t>K K Nayyar opposed the direction of the state government to remove the idols, fearing a loss of life. On 25 December 1949, K K Nayar recorded that puja and bhog was offered as usual. In spite of the directions to remove </w:t>
      </w:r>
      <w:r>
        <w:rPr>
          <w:w w:val="99"/>
          <w:sz w:val="25"/>
        </w:rPr>
        <w:t>the</w:t>
      </w:r>
      <w:r>
        <w:rPr>
          <w:sz w:val="25"/>
        </w:rPr>
        <w:t> </w:t>
      </w:r>
      <w:r>
        <w:rPr>
          <w:spacing w:val="-17"/>
          <w:sz w:val="25"/>
        </w:rPr>
        <w:t> </w:t>
      </w:r>
      <w:r>
        <w:rPr>
          <w:spacing w:val="-1"/>
          <w:w w:val="99"/>
          <w:sz w:val="25"/>
        </w:rPr>
        <w:t>idols</w:t>
      </w:r>
      <w:r>
        <w:rPr>
          <w:w w:val="99"/>
          <w:sz w:val="25"/>
        </w:rPr>
        <w:t>,</w:t>
      </w:r>
      <w:r>
        <w:rPr>
          <w:sz w:val="25"/>
        </w:rPr>
        <w:t> </w:t>
      </w:r>
      <w:r>
        <w:rPr>
          <w:spacing w:val="-17"/>
          <w:sz w:val="25"/>
        </w:rPr>
        <w:t> </w:t>
      </w:r>
      <w:r>
        <w:rPr>
          <w:w w:val="99"/>
          <w:sz w:val="25"/>
        </w:rPr>
        <w:t>K</w:t>
      </w:r>
      <w:r>
        <w:rPr>
          <w:sz w:val="25"/>
        </w:rPr>
        <w:t> </w:t>
      </w:r>
      <w:r>
        <w:rPr>
          <w:spacing w:val="-18"/>
          <w:sz w:val="25"/>
        </w:rPr>
        <w:t> </w:t>
      </w:r>
      <w:r>
        <w:rPr>
          <w:w w:val="99"/>
          <w:sz w:val="25"/>
        </w:rPr>
        <w:t>K</w:t>
      </w:r>
      <w:r>
        <w:rPr>
          <w:sz w:val="25"/>
        </w:rPr>
        <w:t> </w:t>
      </w:r>
      <w:r>
        <w:rPr>
          <w:spacing w:val="-16"/>
          <w:sz w:val="25"/>
        </w:rPr>
        <w:t> </w:t>
      </w:r>
      <w:r>
        <w:rPr>
          <w:spacing w:val="-1"/>
          <w:w w:val="99"/>
          <w:sz w:val="25"/>
        </w:rPr>
        <w:t>N</w:t>
      </w:r>
      <w:r>
        <w:rPr>
          <w:spacing w:val="2"/>
          <w:w w:val="99"/>
          <w:sz w:val="25"/>
        </w:rPr>
        <w:t>a</w:t>
      </w:r>
      <w:r>
        <w:rPr>
          <w:spacing w:val="-3"/>
          <w:w w:val="99"/>
          <w:sz w:val="25"/>
        </w:rPr>
        <w:t>y</w:t>
      </w:r>
      <w:r>
        <w:rPr>
          <w:spacing w:val="-1"/>
          <w:w w:val="99"/>
          <w:sz w:val="25"/>
        </w:rPr>
        <w:t>a</w:t>
      </w:r>
      <w:r>
        <w:rPr>
          <w:w w:val="99"/>
          <w:sz w:val="25"/>
        </w:rPr>
        <w:t>r</w:t>
      </w:r>
      <w:r>
        <w:rPr>
          <w:sz w:val="25"/>
        </w:rPr>
        <w:t> </w:t>
      </w:r>
      <w:r>
        <w:rPr>
          <w:spacing w:val="-16"/>
          <w:sz w:val="25"/>
        </w:rPr>
        <w:t> </w:t>
      </w:r>
      <w:r>
        <w:rPr>
          <w:spacing w:val="-1"/>
          <w:w w:val="99"/>
          <w:sz w:val="25"/>
        </w:rPr>
        <w:t>d</w:t>
      </w:r>
      <w:r>
        <w:rPr>
          <w:w w:val="99"/>
          <w:sz w:val="25"/>
        </w:rPr>
        <w:t>eclined</w:t>
      </w:r>
      <w:r>
        <w:rPr>
          <w:sz w:val="25"/>
        </w:rPr>
        <w:t> </w:t>
      </w:r>
      <w:r>
        <w:rPr>
          <w:spacing w:val="-17"/>
          <w:sz w:val="25"/>
        </w:rPr>
        <w:t> </w:t>
      </w:r>
      <w:r>
        <w:rPr>
          <w:w w:val="99"/>
          <w:sz w:val="25"/>
        </w:rPr>
        <w:t>to</w:t>
      </w:r>
      <w:r>
        <w:rPr>
          <w:sz w:val="25"/>
        </w:rPr>
        <w:t> </w:t>
      </w:r>
      <w:r>
        <w:rPr>
          <w:spacing w:val="-17"/>
          <w:sz w:val="25"/>
        </w:rPr>
        <w:t> </w:t>
      </w:r>
      <w:r>
        <w:rPr>
          <w:spacing w:val="-1"/>
          <w:w w:val="99"/>
          <w:sz w:val="25"/>
        </w:rPr>
        <w:t>d</w:t>
      </w:r>
      <w:r>
        <w:rPr>
          <w:w w:val="99"/>
          <w:sz w:val="25"/>
        </w:rPr>
        <w:t>o</w:t>
      </w:r>
      <w:r>
        <w:rPr>
          <w:sz w:val="25"/>
        </w:rPr>
        <w:t> </w:t>
      </w:r>
      <w:r>
        <w:rPr>
          <w:spacing w:val="-17"/>
          <w:sz w:val="25"/>
        </w:rPr>
        <w:t> </w:t>
      </w:r>
      <w:r>
        <w:rPr>
          <w:w w:val="99"/>
          <w:sz w:val="25"/>
        </w:rPr>
        <w:t>so</w:t>
      </w:r>
      <w:r>
        <w:rPr>
          <w:sz w:val="25"/>
        </w:rPr>
        <w:t> </w:t>
      </w:r>
      <w:r>
        <w:rPr>
          <w:spacing w:val="-17"/>
          <w:sz w:val="25"/>
        </w:rPr>
        <w:t> </w:t>
      </w:r>
      <w:r>
        <w:rPr>
          <w:w w:val="99"/>
          <w:sz w:val="25"/>
        </w:rPr>
        <w:t>stat</w:t>
      </w:r>
      <w:r>
        <w:rPr>
          <w:spacing w:val="-1"/>
          <w:w w:val="99"/>
          <w:sz w:val="25"/>
        </w:rPr>
        <w:t>in</w:t>
      </w:r>
      <w:r>
        <w:rPr>
          <w:w w:val="99"/>
          <w:sz w:val="25"/>
        </w:rPr>
        <w:t>g</w:t>
      </w:r>
      <w:r>
        <w:rPr>
          <w:sz w:val="25"/>
        </w:rPr>
        <w:t> </w:t>
      </w:r>
      <w:r>
        <w:rPr>
          <w:spacing w:val="-17"/>
          <w:sz w:val="25"/>
        </w:rPr>
        <w:t> </w:t>
      </w:r>
      <w:r>
        <w:rPr>
          <w:w w:val="99"/>
          <w:sz w:val="25"/>
        </w:rPr>
        <w:t>that</w:t>
      </w:r>
      <w:r>
        <w:rPr>
          <w:sz w:val="25"/>
        </w:rPr>
        <w:t> </w:t>
      </w:r>
      <w:r>
        <w:rPr>
          <w:spacing w:val="-17"/>
          <w:sz w:val="25"/>
        </w:rPr>
        <w:t> </w:t>
      </w:r>
      <w:r>
        <w:rPr>
          <w:w w:val="33"/>
          <w:sz w:val="25"/>
        </w:rPr>
        <w:t>―</w:t>
      </w:r>
      <w:r>
        <w:rPr>
          <w:spacing w:val="-1"/>
          <w:w w:val="99"/>
          <w:sz w:val="25"/>
        </w:rPr>
        <w:t>i</w:t>
      </w:r>
      <w:r>
        <w:rPr>
          <w:w w:val="99"/>
          <w:sz w:val="25"/>
        </w:rPr>
        <w:t>f</w:t>
      </w:r>
      <w:r>
        <w:rPr>
          <w:sz w:val="25"/>
        </w:rPr>
        <w:t> </w:t>
      </w:r>
      <w:r>
        <w:rPr>
          <w:spacing w:val="-17"/>
          <w:sz w:val="25"/>
        </w:rPr>
        <w:t> </w:t>
      </w:r>
      <w:r>
        <w:rPr>
          <w:w w:val="99"/>
          <w:sz w:val="25"/>
        </w:rPr>
        <w:t>Go</w:t>
      </w:r>
      <w:r>
        <w:rPr>
          <w:spacing w:val="-2"/>
          <w:w w:val="99"/>
          <w:sz w:val="25"/>
        </w:rPr>
        <w:t>v</w:t>
      </w:r>
      <w:r>
        <w:rPr>
          <w:spacing w:val="-1"/>
          <w:w w:val="99"/>
          <w:sz w:val="25"/>
        </w:rPr>
        <w:t>e</w:t>
      </w:r>
      <w:r>
        <w:rPr>
          <w:w w:val="99"/>
          <w:sz w:val="25"/>
        </w:rPr>
        <w:t>r</w:t>
      </w:r>
      <w:r>
        <w:rPr>
          <w:spacing w:val="-1"/>
          <w:w w:val="99"/>
          <w:sz w:val="25"/>
        </w:rPr>
        <w:t>n</w:t>
      </w:r>
      <w:r>
        <w:rPr>
          <w:w w:val="99"/>
          <w:sz w:val="25"/>
        </w:rPr>
        <w:t>m</w:t>
      </w:r>
      <w:r>
        <w:rPr>
          <w:spacing w:val="-1"/>
          <w:w w:val="99"/>
          <w:sz w:val="25"/>
        </w:rPr>
        <w:t>e</w:t>
      </w:r>
      <w:r>
        <w:rPr>
          <w:w w:val="99"/>
          <w:sz w:val="25"/>
        </w:rPr>
        <w:t>nt</w:t>
      </w:r>
      <w:r>
        <w:rPr>
          <w:sz w:val="25"/>
        </w:rPr>
        <w:t> </w:t>
      </w:r>
      <w:r>
        <w:rPr>
          <w:spacing w:val="-17"/>
          <w:sz w:val="25"/>
        </w:rPr>
        <w:t> </w:t>
      </w:r>
      <w:r>
        <w:rPr>
          <w:w w:val="99"/>
          <w:sz w:val="25"/>
        </w:rPr>
        <w:t>still </w:t>
      </w:r>
      <w:r>
        <w:rPr>
          <w:sz w:val="25"/>
        </w:rPr>
        <w:t>insisted that removal should be carried out in the face of these facts, I would request to replace me by another</w:t>
      </w:r>
      <w:r>
        <w:rPr>
          <w:spacing w:val="-11"/>
          <w:sz w:val="25"/>
        </w:rPr>
        <w:t> </w:t>
      </w:r>
      <w:r>
        <w:rPr>
          <w:sz w:val="25"/>
        </w:rPr>
        <w:t>officer‖;</w:t>
      </w:r>
    </w:p>
    <w:p>
      <w:pPr>
        <w:spacing w:after="0" w:line="480" w:lineRule="auto"/>
        <w:jc w:val="both"/>
        <w:rPr>
          <w:sz w:val="25"/>
        </w:rPr>
        <w:sectPr>
          <w:pgSz w:w="11910" w:h="16840"/>
          <w:pgMar w:header="721" w:footer="1014" w:top="1300" w:bottom="1200" w:left="940" w:right="1000"/>
        </w:sectPr>
      </w:pPr>
    </w:p>
    <w:p>
      <w:pPr>
        <w:pStyle w:val="ListParagraph"/>
        <w:numPr>
          <w:ilvl w:val="0"/>
          <w:numId w:val="35"/>
        </w:numPr>
        <w:tabs>
          <w:tab w:pos="1221" w:val="left" w:leader="none"/>
        </w:tabs>
        <w:spacing w:line="480" w:lineRule="auto" w:before="124" w:after="0"/>
        <w:ind w:left="1220" w:right="442" w:hanging="720"/>
        <w:jc w:val="both"/>
        <w:rPr>
          <w:sz w:val="25"/>
        </w:rPr>
      </w:pPr>
      <w:r>
        <w:rPr>
          <w:sz w:val="25"/>
        </w:rPr>
        <w:t>K K Nayar addressed two letters on 26 and 27 December 1949 to Bhagwan Sahai, Chief Secretary, Government of U.P. stating that the </w:t>
      </w:r>
      <w:r>
        <w:rPr>
          <w:spacing w:val="-1"/>
          <w:w w:val="99"/>
          <w:sz w:val="25"/>
        </w:rPr>
        <w:t>incid</w:t>
      </w:r>
      <w:r>
        <w:rPr>
          <w:w w:val="99"/>
          <w:sz w:val="25"/>
        </w:rPr>
        <w:t>e</w:t>
      </w:r>
      <w:r>
        <w:rPr>
          <w:spacing w:val="-1"/>
          <w:w w:val="99"/>
          <w:sz w:val="25"/>
        </w:rPr>
        <w:t>n</w:t>
      </w:r>
      <w:r>
        <w:rPr>
          <w:w w:val="99"/>
          <w:sz w:val="25"/>
        </w:rPr>
        <w:t>t</w:t>
      </w:r>
      <w:r>
        <w:rPr>
          <w:sz w:val="25"/>
        </w:rPr>
        <w:t> </w:t>
      </w:r>
      <w:r>
        <w:rPr>
          <w:spacing w:val="-14"/>
          <w:sz w:val="25"/>
        </w:rPr>
        <w:t> </w:t>
      </w:r>
      <w:r>
        <w:rPr>
          <w:w w:val="99"/>
          <w:sz w:val="25"/>
        </w:rPr>
        <w:t>that</w:t>
      </w:r>
      <w:r>
        <w:rPr>
          <w:sz w:val="25"/>
        </w:rPr>
        <w:t> </w:t>
      </w:r>
      <w:r>
        <w:rPr>
          <w:spacing w:val="-15"/>
          <w:sz w:val="25"/>
        </w:rPr>
        <w:t> </w:t>
      </w:r>
      <w:r>
        <w:rPr>
          <w:w w:val="99"/>
          <w:sz w:val="25"/>
        </w:rPr>
        <w:t>took</w:t>
      </w:r>
      <w:r>
        <w:rPr>
          <w:sz w:val="25"/>
        </w:rPr>
        <w:t> </w:t>
      </w:r>
      <w:r>
        <w:rPr>
          <w:spacing w:val="-15"/>
          <w:sz w:val="25"/>
        </w:rPr>
        <w:t> </w:t>
      </w:r>
      <w:r>
        <w:rPr>
          <w:spacing w:val="-1"/>
          <w:w w:val="99"/>
          <w:sz w:val="25"/>
        </w:rPr>
        <w:t>plac</w:t>
      </w:r>
      <w:r>
        <w:rPr>
          <w:w w:val="99"/>
          <w:sz w:val="25"/>
        </w:rPr>
        <w:t>e</w:t>
      </w:r>
      <w:r>
        <w:rPr>
          <w:sz w:val="25"/>
        </w:rPr>
        <w:t> </w:t>
      </w:r>
      <w:r>
        <w:rPr>
          <w:spacing w:val="-14"/>
          <w:sz w:val="25"/>
        </w:rPr>
        <w:t> </w:t>
      </w:r>
      <w:r>
        <w:rPr>
          <w:spacing w:val="-1"/>
          <w:w w:val="99"/>
          <w:sz w:val="25"/>
        </w:rPr>
        <w:t>o</w:t>
      </w:r>
      <w:r>
        <w:rPr>
          <w:w w:val="99"/>
          <w:sz w:val="25"/>
        </w:rPr>
        <w:t>n</w:t>
      </w:r>
      <w:r>
        <w:rPr>
          <w:sz w:val="25"/>
        </w:rPr>
        <w:t> </w:t>
      </w:r>
      <w:r>
        <w:rPr>
          <w:spacing w:val="-14"/>
          <w:sz w:val="25"/>
        </w:rPr>
        <w:t> </w:t>
      </w:r>
      <w:r>
        <w:rPr>
          <w:spacing w:val="-1"/>
          <w:w w:val="99"/>
          <w:sz w:val="25"/>
        </w:rPr>
        <w:t>2</w:t>
      </w:r>
      <w:r>
        <w:rPr>
          <w:w w:val="99"/>
          <w:sz w:val="25"/>
        </w:rPr>
        <w:t>3</w:t>
      </w:r>
      <w:r>
        <w:rPr>
          <w:sz w:val="25"/>
        </w:rPr>
        <w:t> </w:t>
      </w:r>
      <w:r>
        <w:rPr>
          <w:spacing w:val="-14"/>
          <w:sz w:val="25"/>
        </w:rPr>
        <w:t> </w:t>
      </w:r>
      <w:r>
        <w:rPr>
          <w:spacing w:val="-1"/>
          <w:w w:val="99"/>
          <w:sz w:val="25"/>
        </w:rPr>
        <w:t>Dece</w:t>
      </w:r>
      <w:r>
        <w:rPr>
          <w:spacing w:val="1"/>
          <w:w w:val="99"/>
          <w:sz w:val="25"/>
        </w:rPr>
        <w:t>m</w:t>
      </w:r>
      <w:r>
        <w:rPr>
          <w:spacing w:val="-1"/>
          <w:w w:val="99"/>
          <w:sz w:val="25"/>
        </w:rPr>
        <w:t>b</w:t>
      </w:r>
      <w:r>
        <w:rPr>
          <w:spacing w:val="-2"/>
          <w:w w:val="99"/>
          <w:sz w:val="25"/>
        </w:rPr>
        <w:t>e</w:t>
      </w:r>
      <w:r>
        <w:rPr>
          <w:w w:val="99"/>
          <w:sz w:val="25"/>
        </w:rPr>
        <w:t>r</w:t>
      </w:r>
      <w:r>
        <w:rPr>
          <w:sz w:val="25"/>
        </w:rPr>
        <w:t> </w:t>
      </w:r>
      <w:r>
        <w:rPr>
          <w:spacing w:val="-14"/>
          <w:sz w:val="25"/>
        </w:rPr>
        <w:t> </w:t>
      </w:r>
      <w:r>
        <w:rPr>
          <w:spacing w:val="-1"/>
          <w:w w:val="99"/>
          <w:sz w:val="25"/>
        </w:rPr>
        <w:t>1</w:t>
      </w:r>
      <w:r>
        <w:rPr>
          <w:w w:val="99"/>
          <w:sz w:val="25"/>
        </w:rPr>
        <w:t>9</w:t>
      </w:r>
      <w:r>
        <w:rPr>
          <w:spacing w:val="-1"/>
          <w:w w:val="99"/>
          <w:sz w:val="25"/>
        </w:rPr>
        <w:t>4</w:t>
      </w:r>
      <w:r>
        <w:rPr>
          <w:w w:val="99"/>
          <w:sz w:val="25"/>
        </w:rPr>
        <w:t>9</w:t>
      </w:r>
      <w:r>
        <w:rPr>
          <w:sz w:val="25"/>
        </w:rPr>
        <w:t> </w:t>
      </w:r>
      <w:r>
        <w:rPr>
          <w:spacing w:val="-14"/>
          <w:sz w:val="25"/>
        </w:rPr>
        <w:t> </w:t>
      </w:r>
      <w:r>
        <w:rPr>
          <w:spacing w:val="-1"/>
          <w:w w:val="99"/>
          <w:sz w:val="25"/>
        </w:rPr>
        <w:t>wa</w:t>
      </w:r>
      <w:r>
        <w:rPr>
          <w:w w:val="99"/>
          <w:sz w:val="25"/>
        </w:rPr>
        <w:t>s</w:t>
      </w:r>
      <w:r>
        <w:rPr>
          <w:sz w:val="25"/>
        </w:rPr>
        <w:t> </w:t>
      </w:r>
      <w:r>
        <w:rPr>
          <w:spacing w:val="-15"/>
          <w:sz w:val="25"/>
        </w:rPr>
        <w:t> </w:t>
      </w:r>
      <w:r>
        <w:rPr>
          <w:w w:val="33"/>
          <w:sz w:val="25"/>
        </w:rPr>
        <w:t>―</w:t>
      </w:r>
      <w:r>
        <w:rPr>
          <w:spacing w:val="-1"/>
          <w:w w:val="99"/>
          <w:sz w:val="25"/>
        </w:rPr>
        <w:t>u</w:t>
      </w:r>
      <w:r>
        <w:rPr>
          <w:w w:val="99"/>
          <w:sz w:val="25"/>
        </w:rPr>
        <w:t>n</w:t>
      </w:r>
      <w:r>
        <w:rPr>
          <w:spacing w:val="-1"/>
          <w:w w:val="99"/>
          <w:sz w:val="25"/>
        </w:rPr>
        <w:t>p</w:t>
      </w:r>
      <w:r>
        <w:rPr>
          <w:w w:val="99"/>
          <w:sz w:val="25"/>
        </w:rPr>
        <w:t>r</w:t>
      </w:r>
      <w:r>
        <w:rPr>
          <w:spacing w:val="-3"/>
          <w:w w:val="99"/>
          <w:sz w:val="25"/>
        </w:rPr>
        <w:t>e</w:t>
      </w:r>
      <w:r>
        <w:rPr>
          <w:spacing w:val="-1"/>
          <w:w w:val="99"/>
          <w:sz w:val="25"/>
        </w:rPr>
        <w:t>dict</w:t>
      </w:r>
      <w:r>
        <w:rPr>
          <w:w w:val="99"/>
          <w:sz w:val="25"/>
        </w:rPr>
        <w:t>a</w:t>
      </w:r>
      <w:r>
        <w:rPr>
          <w:spacing w:val="-1"/>
          <w:w w:val="99"/>
          <w:sz w:val="25"/>
        </w:rPr>
        <w:t>bl</w:t>
      </w:r>
      <w:r>
        <w:rPr>
          <w:w w:val="99"/>
          <w:sz w:val="25"/>
        </w:rPr>
        <w:t>e</w:t>
      </w:r>
      <w:r>
        <w:rPr>
          <w:sz w:val="25"/>
        </w:rPr>
        <w:t> </w:t>
      </w:r>
      <w:r>
        <w:rPr>
          <w:spacing w:val="-14"/>
          <w:sz w:val="25"/>
        </w:rPr>
        <w:t> </w:t>
      </w:r>
      <w:r>
        <w:rPr>
          <w:spacing w:val="-1"/>
          <w:w w:val="99"/>
          <w:sz w:val="25"/>
        </w:rPr>
        <w:t>a</w:t>
      </w:r>
      <w:r>
        <w:rPr>
          <w:w w:val="99"/>
          <w:sz w:val="25"/>
        </w:rPr>
        <w:t>nd </w:t>
      </w:r>
      <w:r>
        <w:rPr>
          <w:sz w:val="25"/>
        </w:rPr>
        <w:t>irreversible‖ on the basis of the above narration of incidents. On the basis of the above documentary material, Dr Dhavan, learned Senior Counsel submitted</w:t>
      </w:r>
      <w:r>
        <w:rPr>
          <w:spacing w:val="-1"/>
          <w:sz w:val="25"/>
        </w:rPr>
        <w:t> </w:t>
      </w:r>
      <w:r>
        <w:rPr>
          <w:sz w:val="25"/>
        </w:rPr>
        <w:t>that:</w:t>
      </w:r>
    </w:p>
    <w:p>
      <w:pPr>
        <w:pStyle w:val="ListParagraph"/>
        <w:numPr>
          <w:ilvl w:val="1"/>
          <w:numId w:val="35"/>
        </w:numPr>
        <w:tabs>
          <w:tab w:pos="1940" w:val="left" w:leader="none"/>
          <w:tab w:pos="1941" w:val="left" w:leader="none"/>
        </w:tabs>
        <w:spacing w:line="287" w:lineRule="exact" w:before="0" w:after="0"/>
        <w:ind w:left="1940" w:right="0" w:hanging="721"/>
        <w:jc w:val="left"/>
        <w:rPr>
          <w:sz w:val="25"/>
        </w:rPr>
      </w:pPr>
      <w:r>
        <w:rPr>
          <w:sz w:val="25"/>
        </w:rPr>
        <w:t>There was a mosque at the disputed</w:t>
      </w:r>
      <w:r>
        <w:rPr>
          <w:spacing w:val="-6"/>
          <w:sz w:val="25"/>
        </w:rPr>
        <w:t> </w:t>
      </w:r>
      <w:r>
        <w:rPr>
          <w:sz w:val="25"/>
        </w:rPr>
        <w:t>site;</w:t>
      </w:r>
    </w:p>
    <w:p>
      <w:pPr>
        <w:pStyle w:val="BodyText"/>
      </w:pPr>
    </w:p>
    <w:p>
      <w:pPr>
        <w:pStyle w:val="ListParagraph"/>
        <w:numPr>
          <w:ilvl w:val="1"/>
          <w:numId w:val="35"/>
        </w:numPr>
        <w:tabs>
          <w:tab w:pos="1941" w:val="left" w:leader="none"/>
        </w:tabs>
        <w:spacing w:line="480" w:lineRule="auto" w:before="1" w:after="0"/>
        <w:ind w:left="1940" w:right="450" w:hanging="720"/>
        <w:jc w:val="both"/>
        <w:rPr>
          <w:sz w:val="25"/>
        </w:rPr>
      </w:pPr>
      <w:r>
        <w:rPr>
          <w:sz w:val="25"/>
        </w:rPr>
        <w:t>The state authorities acknowledged the structure as a mosque and consistently referred to it as a mosque in their internal communications;</w:t>
      </w:r>
    </w:p>
    <w:p>
      <w:pPr>
        <w:pStyle w:val="ListParagraph"/>
        <w:numPr>
          <w:ilvl w:val="1"/>
          <w:numId w:val="35"/>
        </w:numPr>
        <w:tabs>
          <w:tab w:pos="1941" w:val="left" w:leader="none"/>
        </w:tabs>
        <w:spacing w:line="480" w:lineRule="auto" w:before="0" w:after="0"/>
        <w:ind w:left="1940" w:right="456" w:hanging="720"/>
        <w:jc w:val="both"/>
        <w:rPr>
          <w:sz w:val="25"/>
        </w:rPr>
      </w:pPr>
      <w:r>
        <w:rPr>
          <w:sz w:val="25"/>
        </w:rPr>
        <w:t>From the report of the Waqf commissioner dated 10 December 1949, the following points</w:t>
      </w:r>
      <w:r>
        <w:rPr>
          <w:spacing w:val="-4"/>
          <w:sz w:val="25"/>
        </w:rPr>
        <w:t> </w:t>
      </w:r>
      <w:r>
        <w:rPr>
          <w:sz w:val="25"/>
        </w:rPr>
        <w:t>emerge:</w:t>
      </w:r>
    </w:p>
    <w:p>
      <w:pPr>
        <w:spacing w:line="273" w:lineRule="auto" w:before="0"/>
        <w:ind w:left="2660" w:right="2264" w:firstLine="0"/>
        <w:jc w:val="both"/>
        <w:rPr>
          <w:sz w:val="21"/>
        </w:rPr>
      </w:pPr>
      <w:r>
        <w:rPr>
          <w:w w:val="33"/>
          <w:sz w:val="21"/>
        </w:rPr>
        <w:t>―</w:t>
      </w:r>
      <w:r>
        <w:rPr>
          <w:w w:val="100"/>
          <w:sz w:val="21"/>
        </w:rPr>
        <w:t>(a)</w:t>
      </w:r>
      <w:r>
        <w:rPr>
          <w:sz w:val="21"/>
        </w:rPr>
        <w:t>       </w:t>
      </w:r>
      <w:r>
        <w:rPr>
          <w:w w:val="100"/>
          <w:sz w:val="21"/>
        </w:rPr>
        <w:t>Th</w:t>
      </w:r>
      <w:r>
        <w:rPr>
          <w:w w:val="100"/>
          <w:sz w:val="21"/>
        </w:rPr>
        <w:t>e</w:t>
      </w:r>
      <w:r>
        <w:rPr>
          <w:sz w:val="21"/>
        </w:rPr>
        <w:t>  </w:t>
      </w:r>
      <w:r>
        <w:rPr>
          <w:w w:val="100"/>
          <w:sz w:val="21"/>
        </w:rPr>
        <w:t>t</w:t>
      </w:r>
      <w:r>
        <w:rPr>
          <w:w w:val="100"/>
          <w:sz w:val="21"/>
        </w:rPr>
        <w:t>e</w:t>
      </w:r>
      <w:r>
        <w:rPr>
          <w:w w:val="100"/>
          <w:sz w:val="21"/>
        </w:rPr>
        <w:t>m</w:t>
      </w:r>
      <w:r>
        <w:rPr>
          <w:w w:val="100"/>
          <w:sz w:val="21"/>
        </w:rPr>
        <w:t>p</w:t>
      </w:r>
      <w:r>
        <w:rPr>
          <w:w w:val="100"/>
          <w:sz w:val="21"/>
        </w:rPr>
        <w:t>l</w:t>
      </w:r>
      <w:r>
        <w:rPr>
          <w:w w:val="100"/>
          <w:sz w:val="21"/>
        </w:rPr>
        <w:t>e</w:t>
      </w:r>
      <w:r>
        <w:rPr>
          <w:sz w:val="21"/>
        </w:rPr>
        <w:t>  </w:t>
      </w:r>
      <w:r>
        <w:rPr>
          <w:w w:val="100"/>
          <w:sz w:val="21"/>
        </w:rPr>
        <w:t>o</w:t>
      </w:r>
      <w:r>
        <w:rPr>
          <w:w w:val="100"/>
          <w:sz w:val="21"/>
        </w:rPr>
        <w:t>f</w:t>
      </w:r>
      <w:r>
        <w:rPr>
          <w:sz w:val="21"/>
        </w:rPr>
        <w:t>  </w:t>
      </w:r>
      <w:r>
        <w:rPr>
          <w:w w:val="100"/>
          <w:sz w:val="21"/>
        </w:rPr>
        <w:t>t</w:t>
      </w:r>
      <w:r>
        <w:rPr>
          <w:w w:val="100"/>
          <w:sz w:val="21"/>
        </w:rPr>
        <w:t>he</w:t>
      </w:r>
      <w:r>
        <w:rPr>
          <w:sz w:val="21"/>
        </w:rPr>
        <w:t>  </w:t>
      </w:r>
      <w:r>
        <w:rPr>
          <w:w w:val="100"/>
          <w:sz w:val="21"/>
        </w:rPr>
        <w:t>H</w:t>
      </w:r>
      <w:r>
        <w:rPr>
          <w:w w:val="100"/>
          <w:sz w:val="21"/>
        </w:rPr>
        <w:t>i</w:t>
      </w:r>
      <w:r>
        <w:rPr>
          <w:w w:val="100"/>
          <w:sz w:val="21"/>
        </w:rPr>
        <w:t>nd</w:t>
      </w:r>
      <w:r>
        <w:rPr>
          <w:w w:val="100"/>
          <w:sz w:val="21"/>
        </w:rPr>
        <w:t>us</w:t>
      </w:r>
      <w:r>
        <w:rPr>
          <w:sz w:val="21"/>
        </w:rPr>
        <w:t>  </w:t>
      </w:r>
      <w:r>
        <w:rPr>
          <w:w w:val="100"/>
          <w:sz w:val="21"/>
        </w:rPr>
        <w:t>was</w:t>
      </w:r>
      <w:r>
        <w:rPr>
          <w:sz w:val="21"/>
        </w:rPr>
        <w:t>  </w:t>
      </w:r>
      <w:r>
        <w:rPr>
          <w:w w:val="100"/>
          <w:sz w:val="21"/>
        </w:rPr>
        <w:t>out</w:t>
      </w:r>
      <w:r>
        <w:rPr>
          <w:w w:val="100"/>
          <w:sz w:val="21"/>
        </w:rPr>
        <w:t>side</w:t>
      </w:r>
      <w:r>
        <w:rPr>
          <w:sz w:val="21"/>
        </w:rPr>
        <w:t>  </w:t>
      </w:r>
      <w:r>
        <w:rPr>
          <w:w w:val="100"/>
          <w:sz w:val="21"/>
        </w:rPr>
        <w:t>t</w:t>
      </w:r>
      <w:r>
        <w:rPr>
          <w:w w:val="100"/>
          <w:sz w:val="21"/>
        </w:rPr>
        <w:t>he </w:t>
      </w:r>
      <w:r>
        <w:rPr>
          <w:sz w:val="21"/>
        </w:rPr>
        <w:t>courtyard</w:t>
      </w:r>
    </w:p>
    <w:p>
      <w:pPr>
        <w:spacing w:line="276" w:lineRule="auto" w:before="3"/>
        <w:ind w:left="2660" w:right="2262" w:firstLine="0"/>
        <w:jc w:val="both"/>
        <w:rPr>
          <w:sz w:val="21"/>
        </w:rPr>
      </w:pPr>
      <w:r>
        <w:rPr>
          <w:sz w:val="21"/>
        </w:rPr>
        <w:t>Namaz was being read in the Babri Mosque as it refers to the Muslim worshippers being harassed by the members of the Hindu Community;‖</w:t>
      </w:r>
    </w:p>
    <w:p>
      <w:pPr>
        <w:pStyle w:val="BodyText"/>
        <w:spacing w:before="3"/>
        <w:rPr>
          <w:sz w:val="24"/>
        </w:rPr>
      </w:pPr>
    </w:p>
    <w:p>
      <w:pPr>
        <w:pStyle w:val="ListParagraph"/>
        <w:numPr>
          <w:ilvl w:val="1"/>
          <w:numId w:val="35"/>
        </w:numPr>
        <w:tabs>
          <w:tab w:pos="1941" w:val="left" w:leader="none"/>
        </w:tabs>
        <w:spacing w:line="480" w:lineRule="auto" w:before="0" w:after="0"/>
        <w:ind w:left="1940" w:right="457" w:hanging="720"/>
        <w:jc w:val="both"/>
        <w:rPr>
          <w:sz w:val="25"/>
        </w:rPr>
      </w:pPr>
      <w:r>
        <w:rPr>
          <w:sz w:val="25"/>
        </w:rPr>
        <w:t>The state authorities acknowledged the threat posed by the members of the Hindu Community to the mosque and to the people going to</w:t>
      </w:r>
      <w:r>
        <w:rPr>
          <w:spacing w:val="-1"/>
          <w:sz w:val="25"/>
        </w:rPr>
        <w:t> </w:t>
      </w:r>
      <w:r>
        <w:rPr>
          <w:sz w:val="25"/>
        </w:rPr>
        <w:t>pray;</w:t>
      </w:r>
    </w:p>
    <w:p>
      <w:pPr>
        <w:pStyle w:val="ListParagraph"/>
        <w:numPr>
          <w:ilvl w:val="1"/>
          <w:numId w:val="35"/>
        </w:numPr>
        <w:tabs>
          <w:tab w:pos="1941" w:val="left" w:leader="none"/>
        </w:tabs>
        <w:spacing w:line="480" w:lineRule="auto" w:before="2" w:after="0"/>
        <w:ind w:left="1940" w:right="458" w:hanging="720"/>
        <w:jc w:val="both"/>
        <w:rPr>
          <w:sz w:val="25"/>
        </w:rPr>
      </w:pPr>
      <w:r>
        <w:rPr>
          <w:sz w:val="25"/>
        </w:rPr>
        <w:t>The state authorities could foresee the potential desecration / attack to the mosque and the worshippers, but took no steps to avert such an</w:t>
      </w:r>
      <w:r>
        <w:rPr>
          <w:spacing w:val="-1"/>
          <w:sz w:val="25"/>
        </w:rPr>
        <w:t> </w:t>
      </w:r>
      <w:r>
        <w:rPr>
          <w:sz w:val="25"/>
        </w:rPr>
        <w:t>incident;</w:t>
      </w:r>
    </w:p>
    <w:p>
      <w:pPr>
        <w:pStyle w:val="ListParagraph"/>
        <w:numPr>
          <w:ilvl w:val="1"/>
          <w:numId w:val="35"/>
        </w:numPr>
        <w:tabs>
          <w:tab w:pos="1941" w:val="left" w:leader="none"/>
        </w:tabs>
        <w:spacing w:line="480" w:lineRule="auto" w:before="0" w:after="0"/>
        <w:ind w:left="1940" w:right="454" w:hanging="720"/>
        <w:jc w:val="both"/>
        <w:rPr>
          <w:sz w:val="25"/>
        </w:rPr>
      </w:pPr>
      <w:r>
        <w:rPr>
          <w:sz w:val="25"/>
        </w:rPr>
        <w:t>From the internal communication of the officials of the state, it is clear that the desecration of the mosque was planned as the Superintendent of Police had informed the Deputy Commissioner</w:t>
      </w:r>
      <w:r>
        <w:rPr>
          <w:spacing w:val="11"/>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ListParagraph"/>
        <w:numPr>
          <w:ilvl w:val="1"/>
          <w:numId w:val="35"/>
        </w:numPr>
        <w:tabs>
          <w:tab w:pos="1941" w:val="left" w:leader="none"/>
        </w:tabs>
        <w:spacing w:line="480" w:lineRule="auto" w:before="124" w:after="0"/>
        <w:ind w:left="1940" w:right="458" w:hanging="720"/>
        <w:jc w:val="both"/>
        <w:rPr>
          <w:sz w:val="25"/>
        </w:rPr>
      </w:pPr>
      <w:r>
        <w:rPr>
          <w:sz w:val="25"/>
        </w:rPr>
        <w:t>the plan of the Hindus to force entry into the mosque with the intention of installing an</w:t>
      </w:r>
      <w:r>
        <w:rPr>
          <w:spacing w:val="-3"/>
          <w:sz w:val="25"/>
        </w:rPr>
        <w:t> </w:t>
      </w:r>
      <w:r>
        <w:rPr>
          <w:sz w:val="25"/>
        </w:rPr>
        <w:t>idol;</w:t>
      </w:r>
    </w:p>
    <w:p>
      <w:pPr>
        <w:pStyle w:val="ListParagraph"/>
        <w:numPr>
          <w:ilvl w:val="1"/>
          <w:numId w:val="35"/>
        </w:numPr>
        <w:tabs>
          <w:tab w:pos="1941" w:val="left" w:leader="none"/>
        </w:tabs>
        <w:spacing w:line="480" w:lineRule="auto" w:before="0" w:after="0"/>
        <w:ind w:left="1940" w:right="451" w:hanging="720"/>
        <w:jc w:val="both"/>
        <w:rPr>
          <w:sz w:val="25"/>
        </w:rPr>
      </w:pPr>
      <w:r>
        <w:rPr>
          <w:sz w:val="25"/>
        </w:rPr>
        <w:t>The desecration of December 22-23, 1949 was a planned attack, the</w:t>
      </w:r>
      <w:r>
        <w:rPr>
          <w:spacing w:val="-8"/>
          <w:sz w:val="25"/>
        </w:rPr>
        <w:t> </w:t>
      </w:r>
      <w:r>
        <w:rPr>
          <w:sz w:val="25"/>
        </w:rPr>
        <w:t>seeds</w:t>
      </w:r>
      <w:r>
        <w:rPr>
          <w:spacing w:val="-8"/>
          <w:sz w:val="25"/>
        </w:rPr>
        <w:t> </w:t>
      </w:r>
      <w:r>
        <w:rPr>
          <w:sz w:val="25"/>
        </w:rPr>
        <w:t>for</w:t>
      </w:r>
      <w:r>
        <w:rPr>
          <w:spacing w:val="-7"/>
          <w:sz w:val="25"/>
        </w:rPr>
        <w:t> </w:t>
      </w:r>
      <w:r>
        <w:rPr>
          <w:sz w:val="25"/>
        </w:rPr>
        <w:t>which</w:t>
      </w:r>
      <w:r>
        <w:rPr>
          <w:spacing w:val="-8"/>
          <w:sz w:val="25"/>
        </w:rPr>
        <w:t> </w:t>
      </w:r>
      <w:r>
        <w:rPr>
          <w:sz w:val="25"/>
        </w:rPr>
        <w:t>were</w:t>
      </w:r>
      <w:r>
        <w:rPr>
          <w:spacing w:val="-8"/>
          <w:sz w:val="25"/>
        </w:rPr>
        <w:t> </w:t>
      </w:r>
      <w:r>
        <w:rPr>
          <w:sz w:val="25"/>
        </w:rPr>
        <w:t>sown</w:t>
      </w:r>
      <w:r>
        <w:rPr>
          <w:spacing w:val="-8"/>
          <w:sz w:val="25"/>
        </w:rPr>
        <w:t> </w:t>
      </w:r>
      <w:r>
        <w:rPr>
          <w:sz w:val="25"/>
        </w:rPr>
        <w:t>with</w:t>
      </w:r>
      <w:r>
        <w:rPr>
          <w:spacing w:val="-8"/>
          <w:sz w:val="25"/>
        </w:rPr>
        <w:t> </w:t>
      </w:r>
      <w:r>
        <w:rPr>
          <w:sz w:val="25"/>
        </w:rPr>
        <w:t>the</w:t>
      </w:r>
      <w:r>
        <w:rPr>
          <w:spacing w:val="-7"/>
          <w:sz w:val="25"/>
        </w:rPr>
        <w:t> </w:t>
      </w:r>
      <w:r>
        <w:rPr>
          <w:sz w:val="25"/>
        </w:rPr>
        <w:t>‗customs</w:t>
      </w:r>
      <w:r>
        <w:rPr>
          <w:spacing w:val="-8"/>
          <w:sz w:val="25"/>
        </w:rPr>
        <w:t> </w:t>
      </w:r>
      <w:r>
        <w:rPr>
          <w:sz w:val="25"/>
        </w:rPr>
        <w:t>deed‘</w:t>
      </w:r>
      <w:r>
        <w:rPr>
          <w:spacing w:val="-8"/>
          <w:sz w:val="25"/>
        </w:rPr>
        <w:t> </w:t>
      </w:r>
      <w:r>
        <w:rPr>
          <w:sz w:val="25"/>
        </w:rPr>
        <w:t>dated</w:t>
      </w:r>
      <w:r>
        <w:rPr>
          <w:spacing w:val="-8"/>
          <w:sz w:val="25"/>
        </w:rPr>
        <w:t> </w:t>
      </w:r>
      <w:r>
        <w:rPr>
          <w:sz w:val="25"/>
        </w:rPr>
        <w:t>March 19, 1949 when the temple of Ram Janmabhumi was for the first time mentioned;</w:t>
      </w:r>
      <w:r>
        <w:rPr>
          <w:spacing w:val="-2"/>
          <w:sz w:val="25"/>
        </w:rPr>
        <w:t> </w:t>
      </w:r>
      <w:r>
        <w:rPr>
          <w:sz w:val="25"/>
        </w:rPr>
        <w:t>and</w:t>
      </w:r>
    </w:p>
    <w:p>
      <w:pPr>
        <w:pStyle w:val="ListParagraph"/>
        <w:numPr>
          <w:ilvl w:val="1"/>
          <w:numId w:val="35"/>
        </w:numPr>
        <w:tabs>
          <w:tab w:pos="1941" w:val="left" w:leader="none"/>
        </w:tabs>
        <w:spacing w:line="480" w:lineRule="auto" w:before="0" w:after="0"/>
        <w:ind w:left="1940" w:right="456" w:hanging="720"/>
        <w:jc w:val="both"/>
        <w:rPr>
          <w:sz w:val="25"/>
        </w:rPr>
      </w:pPr>
      <w:r>
        <w:rPr>
          <w:sz w:val="25"/>
        </w:rPr>
        <w:t>Officials of the state refused to thereafter remove the surreptitiously installed idols despite orders from the State Government, further confirming their alliance with the miscreants who desecrated the mosque.</w:t>
      </w:r>
    </w:p>
    <w:p>
      <w:pPr>
        <w:pStyle w:val="BodyText"/>
        <w:spacing w:before="4"/>
        <w:rPr>
          <w:sz w:val="35"/>
        </w:rPr>
      </w:pPr>
    </w:p>
    <w:p>
      <w:pPr>
        <w:pStyle w:val="Heading3"/>
        <w:numPr>
          <w:ilvl w:val="0"/>
          <w:numId w:val="2"/>
        </w:numPr>
        <w:tabs>
          <w:tab w:pos="1221" w:val="left" w:leader="none"/>
        </w:tabs>
        <w:spacing w:line="240" w:lineRule="auto" w:before="0" w:after="0"/>
        <w:ind w:left="1220" w:right="0" w:hanging="721"/>
        <w:jc w:val="both"/>
      </w:pPr>
      <w:r>
        <w:rPr/>
        <w:t>Proceedings under Section</w:t>
      </w:r>
      <w:r>
        <w:rPr>
          <w:spacing w:val="2"/>
        </w:rPr>
        <w:t> </w:t>
      </w:r>
      <w:r>
        <w:rPr/>
        <w:t>145</w:t>
      </w:r>
    </w:p>
    <w:p>
      <w:pPr>
        <w:pStyle w:val="BodyText"/>
        <w:rPr>
          <w:b/>
          <w:sz w:val="28"/>
        </w:rPr>
      </w:pPr>
    </w:p>
    <w:p>
      <w:pPr>
        <w:pStyle w:val="ListParagraph"/>
        <w:numPr>
          <w:ilvl w:val="0"/>
          <w:numId w:val="3"/>
        </w:numPr>
        <w:tabs>
          <w:tab w:pos="1221" w:val="left" w:leader="none"/>
        </w:tabs>
        <w:spacing w:line="480" w:lineRule="auto" w:before="220" w:after="0"/>
        <w:ind w:left="500" w:right="439" w:firstLine="0"/>
        <w:jc w:val="both"/>
        <w:rPr>
          <w:sz w:val="25"/>
        </w:rPr>
      </w:pPr>
      <w:r>
        <w:rPr>
          <w:sz w:val="25"/>
        </w:rPr>
        <w:t>On 29 December 1949, a preliminary order was issued under Section 145 of the CrPC 1898 by the Additional City Magistrate, Faizabad cum Ayodhya. Simultaneously, treating the situation as involving an emergency, an order of attachment was issued and the disputed site was directed to be entrusted to Sri Priya Datt Ram who was the Chairman of the Municipal Board. The order dated 29 December 1949 is extracted</w:t>
      </w:r>
      <w:r>
        <w:rPr>
          <w:spacing w:val="-5"/>
          <w:sz w:val="25"/>
        </w:rPr>
        <w:t> </w:t>
      </w:r>
      <w:r>
        <w:rPr>
          <w:sz w:val="25"/>
        </w:rPr>
        <w:t>below:</w:t>
      </w:r>
    </w:p>
    <w:p>
      <w:pPr>
        <w:spacing w:line="276" w:lineRule="auto" w:before="0"/>
        <w:ind w:left="1940" w:right="2258"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ere</w:t>
      </w:r>
      <w:r>
        <w:rPr>
          <w:spacing w:val="-3"/>
          <w:w w:val="100"/>
          <w:sz w:val="21"/>
        </w:rPr>
        <w:t>a</w:t>
      </w:r>
      <w:r>
        <w:rPr>
          <w:w w:val="100"/>
          <w:sz w:val="21"/>
        </w:rPr>
        <w:t>s</w:t>
      </w:r>
      <w:r>
        <w:rPr>
          <w:sz w:val="21"/>
        </w:rPr>
        <w:t> </w:t>
      </w:r>
      <w:r>
        <w:rPr>
          <w:spacing w:val="-14"/>
          <w:sz w:val="21"/>
        </w:rPr>
        <w:t> </w:t>
      </w:r>
      <w:r>
        <w:rPr>
          <w:spacing w:val="-2"/>
          <w:w w:val="100"/>
          <w:sz w:val="21"/>
        </w:rPr>
        <w:t>I</w:t>
      </w:r>
      <w:r>
        <w:rPr>
          <w:w w:val="100"/>
          <w:sz w:val="21"/>
        </w:rPr>
        <w:t>,</w:t>
      </w:r>
      <w:r>
        <w:rPr>
          <w:sz w:val="21"/>
        </w:rPr>
        <w:t> </w:t>
      </w:r>
      <w:r>
        <w:rPr>
          <w:spacing w:val="-15"/>
          <w:sz w:val="21"/>
        </w:rPr>
        <w:t> </w:t>
      </w:r>
      <w:r>
        <w:rPr>
          <w:spacing w:val="-1"/>
          <w:w w:val="100"/>
          <w:sz w:val="21"/>
        </w:rPr>
        <w:t>Ma</w:t>
      </w:r>
      <w:r>
        <w:rPr>
          <w:spacing w:val="-3"/>
          <w:w w:val="100"/>
          <w:sz w:val="21"/>
        </w:rPr>
        <w:t>r</w:t>
      </w:r>
      <w:r>
        <w:rPr>
          <w:spacing w:val="2"/>
          <w:w w:val="100"/>
          <w:sz w:val="21"/>
        </w:rPr>
        <w:t>k</w:t>
      </w:r>
      <w:r>
        <w:rPr>
          <w:spacing w:val="-3"/>
          <w:w w:val="100"/>
          <w:sz w:val="21"/>
        </w:rPr>
        <w:t>e</w:t>
      </w:r>
      <w:r>
        <w:rPr>
          <w:spacing w:val="-1"/>
          <w:w w:val="100"/>
          <w:sz w:val="21"/>
        </w:rPr>
        <w:t>nde</w:t>
      </w:r>
      <w:r>
        <w:rPr>
          <w:spacing w:val="-2"/>
          <w:w w:val="100"/>
          <w:sz w:val="21"/>
        </w:rPr>
        <w:t>y</w:t>
      </w:r>
      <w:r>
        <w:rPr>
          <w:w w:val="100"/>
          <w:sz w:val="21"/>
        </w:rPr>
        <w:t>a</w:t>
      </w:r>
      <w:r>
        <w:rPr>
          <w:sz w:val="21"/>
        </w:rPr>
        <w:t> </w:t>
      </w:r>
      <w:r>
        <w:rPr>
          <w:spacing w:val="-16"/>
          <w:sz w:val="21"/>
        </w:rPr>
        <w:t> </w:t>
      </w:r>
      <w:r>
        <w:rPr>
          <w:w w:val="100"/>
          <w:sz w:val="21"/>
        </w:rPr>
        <w:t>S</w:t>
      </w:r>
      <w:r>
        <w:rPr>
          <w:spacing w:val="-2"/>
          <w:w w:val="100"/>
          <w:sz w:val="21"/>
        </w:rPr>
        <w:t>i</w:t>
      </w:r>
      <w:r>
        <w:rPr>
          <w:spacing w:val="-1"/>
          <w:w w:val="100"/>
          <w:sz w:val="21"/>
        </w:rPr>
        <w:t>ngh</w:t>
      </w:r>
      <w:r>
        <w:rPr>
          <w:w w:val="100"/>
          <w:sz w:val="21"/>
        </w:rPr>
        <w:t>,</w:t>
      </w:r>
      <w:r>
        <w:rPr>
          <w:sz w:val="21"/>
        </w:rPr>
        <w:t> </w:t>
      </w:r>
      <w:r>
        <w:rPr>
          <w:spacing w:val="-17"/>
          <w:sz w:val="21"/>
        </w:rPr>
        <w:t> </w:t>
      </w:r>
      <w:r>
        <w:rPr>
          <w:spacing w:val="-1"/>
          <w:w w:val="100"/>
          <w:sz w:val="21"/>
        </w:rPr>
        <w:t>Ma</w:t>
      </w:r>
      <w:r>
        <w:rPr>
          <w:spacing w:val="-3"/>
          <w:w w:val="100"/>
          <w:sz w:val="21"/>
        </w:rPr>
        <w:t>g</w:t>
      </w:r>
      <w:r>
        <w:rPr>
          <w:w w:val="100"/>
          <w:sz w:val="21"/>
        </w:rPr>
        <w:t>is</w:t>
      </w:r>
      <w:r>
        <w:rPr>
          <w:spacing w:val="-2"/>
          <w:w w:val="100"/>
          <w:sz w:val="21"/>
        </w:rPr>
        <w:t>t</w:t>
      </w:r>
      <w:r>
        <w:rPr>
          <w:spacing w:val="-1"/>
          <w:w w:val="100"/>
          <w:sz w:val="21"/>
        </w:rPr>
        <w:t>rat</w:t>
      </w:r>
      <w:r>
        <w:rPr>
          <w:w w:val="100"/>
          <w:sz w:val="21"/>
        </w:rPr>
        <w:t>e</w:t>
      </w:r>
      <w:r>
        <w:rPr>
          <w:sz w:val="21"/>
        </w:rPr>
        <w:t> </w:t>
      </w:r>
      <w:r>
        <w:rPr>
          <w:spacing w:val="-17"/>
          <w:sz w:val="21"/>
        </w:rPr>
        <w:t> </w:t>
      </w:r>
      <w:r>
        <w:rPr>
          <w:w w:val="100"/>
          <w:sz w:val="21"/>
        </w:rPr>
        <w:t>F</w:t>
      </w:r>
      <w:r>
        <w:rPr>
          <w:spacing w:val="1"/>
          <w:w w:val="100"/>
          <w:sz w:val="21"/>
        </w:rPr>
        <w:t>i</w:t>
      </w:r>
      <w:r>
        <w:rPr>
          <w:spacing w:val="-1"/>
          <w:w w:val="100"/>
          <w:sz w:val="21"/>
        </w:rPr>
        <w:t>r</w:t>
      </w:r>
      <w:r>
        <w:rPr>
          <w:w w:val="100"/>
          <w:sz w:val="21"/>
        </w:rPr>
        <w:t>st</w:t>
      </w:r>
      <w:r>
        <w:rPr>
          <w:sz w:val="21"/>
        </w:rPr>
        <w:t> </w:t>
      </w:r>
      <w:r>
        <w:rPr>
          <w:spacing w:val="-18"/>
          <w:sz w:val="21"/>
        </w:rPr>
        <w:t> </w:t>
      </w:r>
      <w:r>
        <w:rPr>
          <w:w w:val="100"/>
          <w:sz w:val="21"/>
        </w:rPr>
        <w:t>C</w:t>
      </w:r>
      <w:r>
        <w:rPr>
          <w:spacing w:val="-2"/>
          <w:w w:val="100"/>
          <w:sz w:val="21"/>
        </w:rPr>
        <w:t>l</w:t>
      </w:r>
      <w:r>
        <w:rPr>
          <w:spacing w:val="-1"/>
          <w:w w:val="100"/>
          <w:sz w:val="21"/>
        </w:rPr>
        <w:t>as</w:t>
      </w:r>
      <w:r>
        <w:rPr>
          <w:w w:val="100"/>
          <w:sz w:val="21"/>
        </w:rPr>
        <w:t>s</w:t>
      </w:r>
      <w:r>
        <w:rPr>
          <w:sz w:val="21"/>
        </w:rPr>
        <w:t> </w:t>
      </w:r>
      <w:r>
        <w:rPr>
          <w:spacing w:val="-17"/>
          <w:sz w:val="21"/>
        </w:rPr>
        <w:t> </w:t>
      </w:r>
      <w:r>
        <w:rPr>
          <w:spacing w:val="-1"/>
          <w:w w:val="100"/>
          <w:sz w:val="21"/>
        </w:rPr>
        <w:t>a</w:t>
      </w:r>
      <w:r>
        <w:rPr>
          <w:spacing w:val="-3"/>
          <w:w w:val="100"/>
          <w:sz w:val="21"/>
        </w:rPr>
        <w:t>n</w:t>
      </w:r>
      <w:r>
        <w:rPr>
          <w:w w:val="100"/>
          <w:sz w:val="21"/>
        </w:rPr>
        <w:t>d </w:t>
      </w:r>
      <w:r>
        <w:rPr>
          <w:sz w:val="21"/>
        </w:rPr>
        <w:t>Additional City Magistrate, Faizabad-cum-Ayodhya, am fully satisfied from information received from Police sources and from other credible sources that a dispute between Hindus and Muslims in Ayodhya over the question of rights of proprietorship and worship in the building claimed variously as Babari Masjid and Janam Bhoomi Mandir, situate at Mohalla Ram Kot within the local limits of my jurisdiction, is likely to lead to a breach of the</w:t>
      </w:r>
      <w:r>
        <w:rPr>
          <w:spacing w:val="-9"/>
          <w:sz w:val="21"/>
        </w:rPr>
        <w:t> </w:t>
      </w:r>
      <w:r>
        <w:rPr>
          <w:sz w:val="21"/>
        </w:rPr>
        <w:t>peace.</w:t>
      </w:r>
    </w:p>
    <w:p>
      <w:pPr>
        <w:pStyle w:val="BodyText"/>
        <w:rPr>
          <w:sz w:val="24"/>
        </w:rPr>
      </w:pPr>
    </w:p>
    <w:p>
      <w:pPr>
        <w:spacing w:before="0"/>
        <w:ind w:left="1940" w:right="0" w:firstLine="0"/>
        <w:jc w:val="both"/>
        <w:rPr>
          <w:sz w:val="21"/>
        </w:rPr>
      </w:pPr>
      <w:r>
        <w:rPr>
          <w:sz w:val="21"/>
        </w:rPr>
        <w:t>I hereby direct the parties described below namely:</w:t>
      </w:r>
    </w:p>
    <w:p>
      <w:pPr>
        <w:spacing w:after="0"/>
        <w:jc w:val="both"/>
        <w:rPr>
          <w:sz w:val="21"/>
        </w:rPr>
        <w:sectPr>
          <w:headerReference w:type="default" r:id="rId26"/>
          <w:footerReference w:type="default" r:id="rId27"/>
          <w:pgSz w:w="11910" w:h="16840"/>
          <w:pgMar w:header="721" w:footer="1014" w:top="1300" w:bottom="1200" w:left="940" w:right="1000"/>
          <w:pgNumType w:start="78"/>
        </w:sectPr>
      </w:pPr>
    </w:p>
    <w:p>
      <w:pPr>
        <w:pStyle w:val="ListParagraph"/>
        <w:numPr>
          <w:ilvl w:val="0"/>
          <w:numId w:val="36"/>
        </w:numPr>
        <w:tabs>
          <w:tab w:pos="3002" w:val="left" w:leader="none"/>
        </w:tabs>
        <w:spacing w:line="276" w:lineRule="auto" w:before="122" w:after="0"/>
        <w:ind w:left="2660" w:right="2264" w:firstLine="0"/>
        <w:jc w:val="both"/>
        <w:rPr>
          <w:sz w:val="21"/>
        </w:rPr>
      </w:pPr>
      <w:r>
        <w:rPr>
          <w:sz w:val="21"/>
        </w:rPr>
        <w:t>Muslims who are </w:t>
      </w:r>
      <w:r>
        <w:rPr>
          <w:i/>
          <w:sz w:val="21"/>
        </w:rPr>
        <w:t>bona fide </w:t>
      </w:r>
      <w:r>
        <w:rPr>
          <w:sz w:val="21"/>
        </w:rPr>
        <w:t>residents of Ayodhya or who claim rights of proprietorship or worship in the property in</w:t>
      </w:r>
      <w:r>
        <w:rPr>
          <w:spacing w:val="-5"/>
          <w:sz w:val="21"/>
        </w:rPr>
        <w:t> </w:t>
      </w:r>
      <w:r>
        <w:rPr>
          <w:sz w:val="21"/>
        </w:rPr>
        <w:t>dispute;</w:t>
      </w:r>
    </w:p>
    <w:p>
      <w:pPr>
        <w:pStyle w:val="BodyText"/>
        <w:spacing w:before="3"/>
        <w:rPr>
          <w:sz w:val="24"/>
        </w:rPr>
      </w:pPr>
    </w:p>
    <w:p>
      <w:pPr>
        <w:pStyle w:val="ListParagraph"/>
        <w:numPr>
          <w:ilvl w:val="0"/>
          <w:numId w:val="36"/>
        </w:numPr>
        <w:tabs>
          <w:tab w:pos="2982" w:val="left" w:leader="none"/>
        </w:tabs>
        <w:spacing w:line="276" w:lineRule="auto" w:before="0" w:after="0"/>
        <w:ind w:left="2660" w:right="2263" w:firstLine="0"/>
        <w:jc w:val="both"/>
        <w:rPr>
          <w:sz w:val="21"/>
        </w:rPr>
      </w:pPr>
      <w:r>
        <w:rPr>
          <w:sz w:val="21"/>
        </w:rPr>
        <w:t>Hindus who are </w:t>
      </w:r>
      <w:r>
        <w:rPr>
          <w:i/>
          <w:sz w:val="21"/>
        </w:rPr>
        <w:t>bona fide </w:t>
      </w:r>
      <w:r>
        <w:rPr>
          <w:sz w:val="21"/>
        </w:rPr>
        <w:t>residents of Ahodhya or who claim rights of proprietorship or worship in the property in</w:t>
      </w:r>
      <w:r>
        <w:rPr>
          <w:spacing w:val="-5"/>
          <w:sz w:val="21"/>
        </w:rPr>
        <w:t> </w:t>
      </w:r>
      <w:r>
        <w:rPr>
          <w:sz w:val="21"/>
        </w:rPr>
        <w:t>dispute;</w:t>
      </w:r>
    </w:p>
    <w:p>
      <w:pPr>
        <w:pStyle w:val="BodyText"/>
        <w:spacing w:before="2"/>
        <w:rPr>
          <w:sz w:val="24"/>
        </w:rPr>
      </w:pPr>
    </w:p>
    <w:p>
      <w:pPr>
        <w:spacing w:line="276" w:lineRule="auto" w:before="0"/>
        <w:ind w:left="1940" w:right="2259" w:firstLine="0"/>
        <w:jc w:val="both"/>
        <w:rPr>
          <w:sz w:val="21"/>
        </w:rPr>
      </w:pPr>
      <w:r>
        <w:rPr>
          <w:sz w:val="21"/>
        </w:rPr>
        <w:t>to appear before me on 17th day of January at 11 A.M. at Ayodhya Police Station in person or by pleader and put in written statements of their respective claims with regard to the fact of actual possession of the subject of dispute.</w:t>
      </w:r>
    </w:p>
    <w:p>
      <w:pPr>
        <w:pStyle w:val="BodyText"/>
        <w:spacing w:before="1"/>
        <w:rPr>
          <w:sz w:val="24"/>
        </w:rPr>
      </w:pPr>
    </w:p>
    <w:p>
      <w:pPr>
        <w:spacing w:line="276" w:lineRule="auto" w:before="0"/>
        <w:ind w:left="1940" w:right="2265" w:firstLine="0"/>
        <w:jc w:val="both"/>
        <w:rPr>
          <w:sz w:val="21"/>
        </w:rPr>
      </w:pPr>
      <w:r>
        <w:rPr>
          <w:sz w:val="21"/>
        </w:rPr>
        <w:t>And the case being one of the emergency I hereby attach the said buildings pending decision.</w:t>
      </w:r>
    </w:p>
    <w:p>
      <w:pPr>
        <w:pStyle w:val="BodyText"/>
        <w:spacing w:before="1"/>
        <w:rPr>
          <w:sz w:val="24"/>
        </w:rPr>
      </w:pPr>
    </w:p>
    <w:p>
      <w:pPr>
        <w:spacing w:line="276" w:lineRule="auto" w:before="0"/>
        <w:ind w:left="1940" w:right="2262" w:firstLine="0"/>
        <w:jc w:val="both"/>
        <w:rPr>
          <w:sz w:val="21"/>
        </w:rPr>
      </w:pPr>
      <w:r>
        <w:rPr>
          <w:sz w:val="21"/>
        </w:rPr>
        <w:t>The attachment shall be carried out immediately by Station Officer, Ayodhya Police Station, who shall then put the attached properties in the charge of Sri Priya Datt Ram, Chairman Municipal Board, Faizabad-cum-Ayodhya who shall thereafter be the receiver thereof and shall arrange for the care of the property in dispute.</w:t>
      </w:r>
    </w:p>
    <w:p>
      <w:pPr>
        <w:pStyle w:val="BodyText"/>
        <w:spacing w:before="2"/>
        <w:rPr>
          <w:sz w:val="24"/>
        </w:rPr>
      </w:pPr>
    </w:p>
    <w:p>
      <w:pPr>
        <w:spacing w:line="276" w:lineRule="auto" w:before="0"/>
        <w:ind w:left="1940" w:right="2262" w:firstLine="0"/>
        <w:jc w:val="both"/>
        <w:rPr>
          <w:sz w:val="21"/>
        </w:rPr>
      </w:pPr>
      <w:r>
        <w:rPr>
          <w:sz w:val="21"/>
        </w:rPr>
        <w:t>The receiver shall submit for approval a scheme for management of the property in dispute during attachment, and the cost of management shall be defrayed by the parties to this dispute in such proportions as may be fixed from time to</w:t>
      </w:r>
      <w:r>
        <w:rPr>
          <w:spacing w:val="-1"/>
          <w:sz w:val="21"/>
        </w:rPr>
        <w:t> </w:t>
      </w:r>
      <w:r>
        <w:rPr>
          <w:sz w:val="21"/>
        </w:rPr>
        <w:t>time.</w:t>
      </w:r>
    </w:p>
    <w:p>
      <w:pPr>
        <w:spacing w:line="276" w:lineRule="auto" w:before="2"/>
        <w:ind w:left="1940" w:right="2265" w:firstLine="0"/>
        <w:jc w:val="both"/>
        <w:rPr>
          <w:sz w:val="21"/>
        </w:rPr>
      </w:pPr>
      <w:r>
        <w:rPr>
          <w:sz w:val="21"/>
        </w:rPr>
        <w:t>This order shall, in the absence of information regarding the actual names and addresses of the parties to dispute to be served by publication in:</w:t>
      </w:r>
    </w:p>
    <w:p>
      <w:pPr>
        <w:pStyle w:val="BodyText"/>
        <w:spacing w:before="2"/>
        <w:rPr>
          <w:sz w:val="24"/>
        </w:rPr>
      </w:pPr>
    </w:p>
    <w:p>
      <w:pPr>
        <w:pStyle w:val="ListParagraph"/>
        <w:numPr>
          <w:ilvl w:val="0"/>
          <w:numId w:val="37"/>
        </w:numPr>
        <w:tabs>
          <w:tab w:pos="2625" w:val="left" w:leader="none"/>
        </w:tabs>
        <w:spacing w:line="240" w:lineRule="auto" w:before="0" w:after="0"/>
        <w:ind w:left="2624" w:right="0" w:hanging="234"/>
        <w:jc w:val="left"/>
        <w:rPr>
          <w:sz w:val="21"/>
        </w:rPr>
      </w:pPr>
      <w:r>
        <w:rPr>
          <w:w w:val="100"/>
          <w:sz w:val="21"/>
        </w:rPr>
        <w:t>The</w:t>
      </w:r>
      <w:r>
        <w:rPr>
          <w:spacing w:val="-1"/>
          <w:sz w:val="21"/>
        </w:rPr>
        <w:t> </w:t>
      </w:r>
      <w:r>
        <w:rPr>
          <w:spacing w:val="-2"/>
          <w:w w:val="100"/>
          <w:sz w:val="21"/>
        </w:rPr>
        <w:t>E</w:t>
      </w:r>
      <w:r>
        <w:rPr>
          <w:spacing w:val="-1"/>
          <w:w w:val="100"/>
          <w:sz w:val="21"/>
        </w:rPr>
        <w:t>ngl</w:t>
      </w:r>
      <w:r>
        <w:rPr>
          <w:w w:val="100"/>
          <w:sz w:val="21"/>
        </w:rPr>
        <w:t>i</w:t>
      </w:r>
      <w:r>
        <w:rPr>
          <w:spacing w:val="-3"/>
          <w:w w:val="100"/>
          <w:sz w:val="21"/>
        </w:rPr>
        <w:t>s</w:t>
      </w:r>
      <w:r>
        <w:rPr>
          <w:w w:val="100"/>
          <w:sz w:val="21"/>
        </w:rPr>
        <w:t>h</w:t>
      </w:r>
      <w:r>
        <w:rPr>
          <w:spacing w:val="-1"/>
          <w:sz w:val="21"/>
        </w:rPr>
        <w:t> </w:t>
      </w:r>
      <w:r>
        <w:rPr>
          <w:w w:val="100"/>
          <w:sz w:val="21"/>
        </w:rPr>
        <w:t>D</w:t>
      </w:r>
      <w:r>
        <w:rPr>
          <w:spacing w:val="-3"/>
          <w:w w:val="100"/>
          <w:sz w:val="21"/>
        </w:rPr>
        <w:t>a</w:t>
      </w:r>
      <w:r>
        <w:rPr>
          <w:spacing w:val="-2"/>
          <w:w w:val="100"/>
          <w:sz w:val="21"/>
        </w:rPr>
        <w:t>i</w:t>
      </w:r>
      <w:r>
        <w:rPr>
          <w:w w:val="100"/>
          <w:sz w:val="21"/>
        </w:rPr>
        <w:t>l</w:t>
      </w:r>
      <w:r>
        <w:rPr>
          <w:spacing w:val="-3"/>
          <w:w w:val="100"/>
          <w:sz w:val="21"/>
        </w:rPr>
        <w:t>y</w:t>
      </w:r>
      <w:r>
        <w:rPr>
          <w:w w:val="100"/>
          <w:sz w:val="21"/>
        </w:rPr>
        <w:t>,</w:t>
      </w:r>
      <w:r>
        <w:rPr>
          <w:spacing w:val="-2"/>
          <w:sz w:val="21"/>
        </w:rPr>
        <w:t> </w:t>
      </w:r>
      <w:r>
        <w:rPr>
          <w:spacing w:val="-1"/>
          <w:w w:val="33"/>
          <w:sz w:val="21"/>
        </w:rPr>
        <w:t>―</w:t>
      </w:r>
      <w:r>
        <w:rPr>
          <w:w w:val="100"/>
          <w:sz w:val="21"/>
        </w:rPr>
        <w:t>The</w:t>
      </w:r>
      <w:r>
        <w:rPr>
          <w:spacing w:val="-1"/>
          <w:sz w:val="21"/>
        </w:rPr>
        <w:t> </w:t>
      </w:r>
      <w:r>
        <w:rPr>
          <w:spacing w:val="-1"/>
          <w:w w:val="100"/>
          <w:sz w:val="21"/>
        </w:rPr>
        <w:t>Lea</w:t>
      </w:r>
      <w:r>
        <w:rPr>
          <w:w w:val="100"/>
          <w:sz w:val="21"/>
        </w:rPr>
        <w:t>d</w:t>
      </w:r>
      <w:r>
        <w:rPr>
          <w:spacing w:val="-1"/>
          <w:w w:val="100"/>
          <w:sz w:val="21"/>
        </w:rPr>
        <w:t>e</w:t>
      </w:r>
      <w:r>
        <w:rPr>
          <w:spacing w:val="1"/>
          <w:w w:val="100"/>
          <w:sz w:val="21"/>
        </w:rPr>
        <w:t>r</w:t>
      </w:r>
      <w:r>
        <w:rPr>
          <w:w w:val="81"/>
          <w:sz w:val="21"/>
        </w:rPr>
        <w:t>‖</w:t>
      </w:r>
      <w:r>
        <w:rPr>
          <w:spacing w:val="-2"/>
          <w:sz w:val="21"/>
        </w:rPr>
        <w:t> </w:t>
      </w:r>
      <w:r>
        <w:rPr>
          <w:spacing w:val="-2"/>
          <w:w w:val="100"/>
          <w:sz w:val="21"/>
        </w:rPr>
        <w:t>Al</w:t>
      </w:r>
      <w:r>
        <w:rPr>
          <w:w w:val="100"/>
          <w:sz w:val="21"/>
        </w:rPr>
        <w:t>l</w:t>
      </w:r>
      <w:r>
        <w:rPr>
          <w:spacing w:val="-1"/>
          <w:w w:val="100"/>
          <w:sz w:val="21"/>
        </w:rPr>
        <w:t>a</w:t>
      </w:r>
      <w:r>
        <w:rPr>
          <w:spacing w:val="-3"/>
          <w:w w:val="100"/>
          <w:sz w:val="21"/>
        </w:rPr>
        <w:t>h</w:t>
      </w:r>
      <w:r>
        <w:rPr>
          <w:spacing w:val="-1"/>
          <w:w w:val="100"/>
          <w:sz w:val="21"/>
        </w:rPr>
        <w:t>ab</w:t>
      </w:r>
      <w:r>
        <w:rPr>
          <w:spacing w:val="-2"/>
          <w:w w:val="100"/>
          <w:sz w:val="21"/>
        </w:rPr>
        <w:t>a</w:t>
      </w:r>
      <w:r>
        <w:rPr>
          <w:spacing w:val="-1"/>
          <w:w w:val="100"/>
          <w:sz w:val="21"/>
        </w:rPr>
        <w:t>d,</w:t>
      </w:r>
    </w:p>
    <w:p>
      <w:pPr>
        <w:pStyle w:val="ListParagraph"/>
        <w:numPr>
          <w:ilvl w:val="0"/>
          <w:numId w:val="37"/>
        </w:numPr>
        <w:tabs>
          <w:tab w:pos="2625" w:val="left" w:leader="none"/>
        </w:tabs>
        <w:spacing w:line="240" w:lineRule="auto" w:before="34" w:after="0"/>
        <w:ind w:left="2624" w:right="0" w:hanging="234"/>
        <w:jc w:val="left"/>
        <w:rPr>
          <w:sz w:val="21"/>
        </w:rPr>
      </w:pPr>
      <w:r>
        <w:rPr>
          <w:w w:val="100"/>
          <w:sz w:val="21"/>
        </w:rPr>
        <w:t>The</w:t>
      </w:r>
      <w:r>
        <w:rPr>
          <w:spacing w:val="-1"/>
          <w:sz w:val="21"/>
        </w:rPr>
        <w:t> </w:t>
      </w:r>
      <w:r>
        <w:rPr>
          <w:w w:val="100"/>
          <w:sz w:val="21"/>
        </w:rPr>
        <w:t>U</w:t>
      </w:r>
      <w:r>
        <w:rPr>
          <w:spacing w:val="-4"/>
          <w:w w:val="100"/>
          <w:sz w:val="21"/>
        </w:rPr>
        <w:t>r</w:t>
      </w:r>
      <w:r>
        <w:rPr>
          <w:spacing w:val="-1"/>
          <w:w w:val="100"/>
          <w:sz w:val="21"/>
        </w:rPr>
        <w:t>d</w:t>
      </w:r>
      <w:r>
        <w:rPr>
          <w:w w:val="100"/>
          <w:sz w:val="21"/>
        </w:rPr>
        <w:t>u</w:t>
      </w:r>
      <w:r>
        <w:rPr>
          <w:spacing w:val="-6"/>
          <w:sz w:val="21"/>
        </w:rPr>
        <w:t> </w:t>
      </w:r>
      <w:r>
        <w:rPr>
          <w:spacing w:val="6"/>
          <w:w w:val="100"/>
          <w:sz w:val="21"/>
        </w:rPr>
        <w:t>W</w:t>
      </w:r>
      <w:r>
        <w:rPr>
          <w:spacing w:val="-3"/>
          <w:w w:val="100"/>
          <w:sz w:val="21"/>
        </w:rPr>
        <w:t>ee</w:t>
      </w:r>
      <w:r>
        <w:rPr>
          <w:w w:val="100"/>
          <w:sz w:val="21"/>
        </w:rPr>
        <w:t>kly</w:t>
      </w:r>
      <w:r>
        <w:rPr>
          <w:spacing w:val="-4"/>
          <w:sz w:val="21"/>
        </w:rPr>
        <w:t> </w:t>
      </w:r>
      <w:r>
        <w:rPr>
          <w:spacing w:val="-1"/>
          <w:w w:val="33"/>
          <w:sz w:val="21"/>
        </w:rPr>
        <w:t>―</w:t>
      </w:r>
      <w:r>
        <w:rPr>
          <w:spacing w:val="-2"/>
          <w:w w:val="100"/>
          <w:sz w:val="21"/>
        </w:rPr>
        <w:t>A</w:t>
      </w:r>
      <w:r>
        <w:rPr>
          <w:w w:val="100"/>
          <w:sz w:val="21"/>
        </w:rPr>
        <w:t>kh</w:t>
      </w:r>
      <w:r>
        <w:rPr>
          <w:spacing w:val="-1"/>
          <w:w w:val="100"/>
          <w:sz w:val="21"/>
        </w:rPr>
        <w:t>t</w:t>
      </w:r>
      <w:r>
        <w:rPr>
          <w:spacing w:val="-1"/>
          <w:w w:val="94"/>
          <w:sz w:val="21"/>
        </w:rPr>
        <w:t>ar</w:t>
      </w:r>
      <w:r>
        <w:rPr>
          <w:w w:val="94"/>
          <w:sz w:val="21"/>
        </w:rPr>
        <w:t>‖</w:t>
      </w:r>
      <w:r>
        <w:rPr>
          <w:spacing w:val="-2"/>
          <w:sz w:val="21"/>
        </w:rPr>
        <w:t> </w:t>
      </w:r>
      <w:r>
        <w:rPr>
          <w:w w:val="100"/>
          <w:sz w:val="21"/>
        </w:rPr>
        <w:t>Fai</w:t>
      </w:r>
      <w:r>
        <w:rPr>
          <w:spacing w:val="-3"/>
          <w:w w:val="100"/>
          <w:sz w:val="21"/>
        </w:rPr>
        <w:t>z</w:t>
      </w:r>
      <w:r>
        <w:rPr>
          <w:spacing w:val="-1"/>
          <w:w w:val="100"/>
          <w:sz w:val="21"/>
        </w:rPr>
        <w:t>ab</w:t>
      </w:r>
      <w:r>
        <w:rPr>
          <w:spacing w:val="-2"/>
          <w:w w:val="100"/>
          <w:sz w:val="21"/>
        </w:rPr>
        <w:t>a</w:t>
      </w:r>
      <w:r>
        <w:rPr>
          <w:w w:val="100"/>
          <w:sz w:val="21"/>
        </w:rPr>
        <w:t>d</w:t>
      </w:r>
    </w:p>
    <w:p>
      <w:pPr>
        <w:pStyle w:val="ListParagraph"/>
        <w:numPr>
          <w:ilvl w:val="0"/>
          <w:numId w:val="37"/>
        </w:numPr>
        <w:tabs>
          <w:tab w:pos="2625" w:val="left" w:leader="none"/>
        </w:tabs>
        <w:spacing w:line="240" w:lineRule="auto" w:before="37" w:after="0"/>
        <w:ind w:left="2624" w:right="0" w:hanging="234"/>
        <w:jc w:val="left"/>
        <w:rPr>
          <w:sz w:val="21"/>
        </w:rPr>
      </w:pPr>
      <w:r>
        <w:rPr>
          <w:w w:val="100"/>
          <w:sz w:val="21"/>
        </w:rPr>
        <w:t>The</w:t>
      </w:r>
      <w:r>
        <w:rPr>
          <w:spacing w:val="-1"/>
          <w:sz w:val="21"/>
        </w:rPr>
        <w:t> </w:t>
      </w:r>
      <w:r>
        <w:rPr>
          <w:spacing w:val="-2"/>
          <w:w w:val="100"/>
          <w:sz w:val="21"/>
        </w:rPr>
        <w:t>H</w:t>
      </w:r>
      <w:r>
        <w:rPr>
          <w:w w:val="100"/>
          <w:sz w:val="21"/>
        </w:rPr>
        <w:t>i</w:t>
      </w:r>
      <w:r>
        <w:rPr>
          <w:spacing w:val="-3"/>
          <w:w w:val="100"/>
          <w:sz w:val="21"/>
        </w:rPr>
        <w:t>n</w:t>
      </w:r>
      <w:r>
        <w:rPr>
          <w:spacing w:val="-1"/>
          <w:w w:val="100"/>
          <w:sz w:val="21"/>
        </w:rPr>
        <w:t>d</w:t>
      </w:r>
      <w:r>
        <w:rPr>
          <w:w w:val="100"/>
          <w:sz w:val="21"/>
        </w:rPr>
        <w:t>i</w:t>
      </w:r>
      <w:r>
        <w:rPr>
          <w:spacing w:val="-5"/>
          <w:sz w:val="21"/>
        </w:rPr>
        <w:t> </w:t>
      </w:r>
      <w:r>
        <w:rPr>
          <w:spacing w:val="4"/>
          <w:w w:val="100"/>
          <w:sz w:val="21"/>
        </w:rPr>
        <w:t>W</w:t>
      </w:r>
      <w:r>
        <w:rPr>
          <w:spacing w:val="-3"/>
          <w:w w:val="100"/>
          <w:sz w:val="21"/>
        </w:rPr>
        <w:t>ee</w:t>
      </w:r>
      <w:r>
        <w:rPr>
          <w:w w:val="100"/>
          <w:sz w:val="21"/>
        </w:rPr>
        <w:t>kly</w:t>
      </w:r>
      <w:r>
        <w:rPr>
          <w:spacing w:val="-4"/>
          <w:sz w:val="21"/>
        </w:rPr>
        <w:t> </w:t>
      </w:r>
      <w:r>
        <w:rPr>
          <w:spacing w:val="-1"/>
          <w:w w:val="33"/>
          <w:sz w:val="21"/>
        </w:rPr>
        <w:t>―</w:t>
      </w:r>
      <w:r>
        <w:rPr>
          <w:w w:val="100"/>
          <w:sz w:val="21"/>
        </w:rPr>
        <w:t>Vi</w:t>
      </w:r>
      <w:r>
        <w:rPr>
          <w:spacing w:val="-1"/>
          <w:w w:val="100"/>
          <w:sz w:val="21"/>
        </w:rPr>
        <w:t>r</w:t>
      </w:r>
      <w:r>
        <w:rPr>
          <w:spacing w:val="-3"/>
          <w:w w:val="100"/>
          <w:sz w:val="21"/>
        </w:rPr>
        <w:t>a</w:t>
      </w:r>
      <w:r>
        <w:rPr>
          <w:spacing w:val="2"/>
          <w:w w:val="100"/>
          <w:sz w:val="21"/>
        </w:rPr>
        <w:t>k</w:t>
      </w:r>
      <w:r>
        <w:rPr>
          <w:spacing w:val="-2"/>
          <w:w w:val="100"/>
          <w:sz w:val="21"/>
        </w:rPr>
        <w:t>t</w:t>
      </w:r>
      <w:r>
        <w:rPr>
          <w:spacing w:val="-1"/>
          <w:w w:val="92"/>
          <w:sz w:val="21"/>
        </w:rPr>
        <w:t>a</w:t>
      </w:r>
      <w:r>
        <w:rPr>
          <w:w w:val="92"/>
          <w:sz w:val="21"/>
        </w:rPr>
        <w:t>‖</w:t>
      </w:r>
      <w:r>
        <w:rPr>
          <w:spacing w:val="-2"/>
          <w:sz w:val="21"/>
        </w:rPr>
        <w:t> </w:t>
      </w:r>
      <w:r>
        <w:rPr>
          <w:w w:val="100"/>
          <w:sz w:val="21"/>
        </w:rPr>
        <w:t>A</w:t>
      </w:r>
      <w:r>
        <w:rPr>
          <w:spacing w:val="-3"/>
          <w:w w:val="100"/>
          <w:sz w:val="21"/>
        </w:rPr>
        <w:t>y</w:t>
      </w:r>
      <w:r>
        <w:rPr>
          <w:spacing w:val="-1"/>
          <w:w w:val="100"/>
          <w:sz w:val="21"/>
        </w:rPr>
        <w:t>o</w:t>
      </w:r>
      <w:r>
        <w:rPr>
          <w:spacing w:val="-3"/>
          <w:w w:val="100"/>
          <w:sz w:val="21"/>
        </w:rPr>
        <w:t>d</w:t>
      </w:r>
      <w:r>
        <w:rPr>
          <w:spacing w:val="-1"/>
          <w:w w:val="100"/>
          <w:sz w:val="21"/>
        </w:rPr>
        <w:t>h</w:t>
      </w:r>
      <w:r>
        <w:rPr>
          <w:spacing w:val="-3"/>
          <w:w w:val="100"/>
          <w:sz w:val="21"/>
        </w:rPr>
        <w:t>y</w:t>
      </w:r>
      <w:r>
        <w:rPr>
          <w:spacing w:val="-1"/>
          <w:w w:val="100"/>
          <w:sz w:val="21"/>
        </w:rPr>
        <w:t>a.</w:t>
      </w:r>
    </w:p>
    <w:p>
      <w:pPr>
        <w:pStyle w:val="BodyText"/>
        <w:spacing w:before="5"/>
        <w:rPr>
          <w:sz w:val="27"/>
        </w:rPr>
      </w:pPr>
    </w:p>
    <w:p>
      <w:pPr>
        <w:spacing w:line="276" w:lineRule="auto" w:before="1"/>
        <w:ind w:left="1940" w:right="2265" w:firstLine="0"/>
        <w:jc w:val="both"/>
        <w:rPr>
          <w:sz w:val="21"/>
        </w:rPr>
      </w:pPr>
      <w:r>
        <w:rPr>
          <w:sz w:val="21"/>
        </w:rPr>
        <w:t>Copies of this order shall also be affixed to the walls of the buildings in dispute and to the notice board at Ayodhya Police Station.</w:t>
      </w:r>
    </w:p>
    <w:p>
      <w:pPr>
        <w:pStyle w:val="BodyText"/>
        <w:spacing w:before="11"/>
        <w:rPr>
          <w:sz w:val="23"/>
        </w:rPr>
      </w:pPr>
    </w:p>
    <w:p>
      <w:pPr>
        <w:spacing w:line="276" w:lineRule="auto" w:before="0"/>
        <w:ind w:left="1940" w:right="2265" w:firstLine="0"/>
        <w:jc w:val="both"/>
        <w:rPr>
          <w:sz w:val="21"/>
        </w:rPr>
      </w:pPr>
      <w:r>
        <w:rPr>
          <w:sz w:val="21"/>
        </w:rPr>
        <w:t>Given under my hand and the seal of the court on this the twenty ninth day of December, 1949 at Ayodhya.‖</w:t>
      </w:r>
    </w:p>
    <w:p>
      <w:pPr>
        <w:pStyle w:val="BodyText"/>
        <w:rPr>
          <w:sz w:val="24"/>
        </w:rPr>
      </w:pPr>
    </w:p>
    <w:p>
      <w:pPr>
        <w:pStyle w:val="BodyText"/>
        <w:spacing w:before="4"/>
        <w:rPr>
          <w:sz w:val="24"/>
        </w:rPr>
      </w:pPr>
    </w:p>
    <w:p>
      <w:pPr>
        <w:pStyle w:val="ListParagraph"/>
        <w:numPr>
          <w:ilvl w:val="0"/>
          <w:numId w:val="3"/>
        </w:numPr>
        <w:tabs>
          <w:tab w:pos="1221" w:val="left" w:leader="none"/>
        </w:tabs>
        <w:spacing w:line="480" w:lineRule="auto" w:before="1" w:after="0"/>
        <w:ind w:left="500" w:right="444" w:firstLine="0"/>
        <w:jc w:val="both"/>
        <w:rPr>
          <w:sz w:val="25"/>
        </w:rPr>
      </w:pPr>
      <w:r>
        <w:rPr>
          <w:sz w:val="25"/>
        </w:rPr>
        <w:t>The receiver took charge on 5 January 1950 and made an inventory of the properties which had been attached. The last namaz which was offered in the mosque was on 16 December 1949. The receiver made an inventory of</w:t>
      </w:r>
      <w:r>
        <w:rPr>
          <w:spacing w:val="8"/>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before="124"/>
        <w:ind w:left="500"/>
      </w:pPr>
      <w:r>
        <w:rPr/>
        <w:t>following articles:</w:t>
      </w:r>
    </w:p>
    <w:p>
      <w:pPr>
        <w:pStyle w:val="BodyText"/>
      </w:pPr>
    </w:p>
    <w:p>
      <w:pPr>
        <w:spacing w:before="0"/>
        <w:ind w:left="1940" w:right="0" w:firstLine="0"/>
        <w:jc w:val="left"/>
        <w:rPr>
          <w:sz w:val="21"/>
        </w:rPr>
      </w:pPr>
      <w:r>
        <w:rPr>
          <w:spacing w:val="-1"/>
          <w:w w:val="33"/>
          <w:sz w:val="21"/>
        </w:rPr>
        <w:t>―</w:t>
      </w:r>
      <w:r>
        <w:rPr>
          <w:spacing w:val="-1"/>
          <w:w w:val="100"/>
          <w:sz w:val="21"/>
        </w:rPr>
        <w:t>1</w:t>
      </w:r>
      <w:r>
        <w:rPr>
          <w:w w:val="100"/>
          <w:sz w:val="21"/>
        </w:rPr>
        <w:t>.</w:t>
      </w:r>
      <w:r>
        <w:rPr>
          <w:spacing w:val="-2"/>
          <w:sz w:val="21"/>
        </w:rPr>
        <w:t> </w:t>
      </w:r>
      <w:r>
        <w:rPr>
          <w:spacing w:val="-2"/>
          <w:w w:val="100"/>
          <w:sz w:val="21"/>
        </w:rPr>
        <w:t>I</w:t>
      </w:r>
      <w:r>
        <w:rPr>
          <w:spacing w:val="-1"/>
          <w:w w:val="100"/>
          <w:sz w:val="21"/>
        </w:rPr>
        <w:t>do</w:t>
      </w:r>
      <w:r>
        <w:rPr>
          <w:spacing w:val="1"/>
          <w:w w:val="100"/>
          <w:sz w:val="21"/>
        </w:rPr>
        <w:t>l</w:t>
      </w:r>
      <w:r>
        <w:rPr>
          <w:w w:val="100"/>
          <w:sz w:val="21"/>
        </w:rPr>
        <w:t>s</w:t>
      </w:r>
      <w:r>
        <w:rPr>
          <w:spacing w:val="-1"/>
          <w:sz w:val="21"/>
        </w:rPr>
        <w:t> </w:t>
      </w:r>
      <w:r>
        <w:rPr>
          <w:spacing w:val="-1"/>
          <w:w w:val="100"/>
          <w:sz w:val="21"/>
        </w:rPr>
        <w:t>o</w:t>
      </w:r>
      <w:r>
        <w:rPr>
          <w:w w:val="100"/>
          <w:sz w:val="21"/>
        </w:rPr>
        <w:t>f</w:t>
      </w:r>
      <w:r>
        <w:rPr>
          <w:spacing w:val="-2"/>
          <w:sz w:val="21"/>
        </w:rPr>
        <w:t> </w:t>
      </w:r>
      <w:r>
        <w:rPr>
          <w:w w:val="100"/>
          <w:sz w:val="21"/>
        </w:rPr>
        <w:t>Th</w:t>
      </w:r>
      <w:r>
        <w:rPr>
          <w:spacing w:val="-3"/>
          <w:w w:val="100"/>
          <w:sz w:val="21"/>
        </w:rPr>
        <w:t>a</w:t>
      </w:r>
      <w:r>
        <w:rPr>
          <w:w w:val="100"/>
          <w:sz w:val="21"/>
        </w:rPr>
        <w:t>kur</w:t>
      </w:r>
      <w:r>
        <w:rPr>
          <w:spacing w:val="-2"/>
          <w:sz w:val="21"/>
        </w:rPr>
        <w:t> </w:t>
      </w:r>
      <w:r>
        <w:rPr>
          <w:w w:val="100"/>
          <w:sz w:val="21"/>
        </w:rPr>
        <w:t>Ji</w:t>
      </w:r>
    </w:p>
    <w:p>
      <w:pPr>
        <w:pStyle w:val="BodyText"/>
        <w:spacing w:before="10"/>
        <w:rPr>
          <w:sz w:val="20"/>
        </w:rPr>
      </w:pPr>
    </w:p>
    <w:p>
      <w:pPr>
        <w:spacing w:before="1"/>
        <w:ind w:left="1940" w:right="0" w:firstLine="0"/>
        <w:jc w:val="left"/>
        <w:rPr>
          <w:sz w:val="21"/>
        </w:rPr>
      </w:pPr>
      <w:r>
        <w:rPr>
          <w:sz w:val="21"/>
        </w:rPr>
        <w:t>1-(a) Two idols of Sri Ram Lala Ji, one big and another small.</w:t>
      </w:r>
    </w:p>
    <w:p>
      <w:pPr>
        <w:pStyle w:val="BodyText"/>
        <w:spacing w:before="10"/>
        <w:rPr>
          <w:sz w:val="20"/>
        </w:rPr>
      </w:pPr>
    </w:p>
    <w:p>
      <w:pPr>
        <w:spacing w:before="1"/>
        <w:ind w:left="1940" w:right="0" w:firstLine="0"/>
        <w:jc w:val="left"/>
        <w:rPr>
          <w:sz w:val="21"/>
        </w:rPr>
      </w:pPr>
      <w:r>
        <w:rPr>
          <w:sz w:val="21"/>
        </w:rPr>
        <w:t>(b) Six idols of Sri Shaligram</w:t>
      </w:r>
      <w:r>
        <w:rPr>
          <w:spacing w:val="-13"/>
          <w:sz w:val="21"/>
        </w:rPr>
        <w:t> </w:t>
      </w:r>
      <w:r>
        <w:rPr>
          <w:sz w:val="21"/>
        </w:rPr>
        <w:t>Ji.</w:t>
      </w:r>
    </w:p>
    <w:p>
      <w:pPr>
        <w:pStyle w:val="BodyText"/>
        <w:spacing w:before="10"/>
        <w:rPr>
          <w:sz w:val="20"/>
        </w:rPr>
      </w:pPr>
    </w:p>
    <w:p>
      <w:pPr>
        <w:spacing w:before="1"/>
        <w:ind w:left="1940" w:right="0" w:firstLine="0"/>
        <w:jc w:val="left"/>
        <w:rPr>
          <w:sz w:val="21"/>
        </w:rPr>
      </w:pPr>
      <w:r>
        <w:rPr>
          <w:sz w:val="21"/>
        </w:rPr>
        <w:t>2 . A two feet high silver</w:t>
      </w:r>
      <w:r>
        <w:rPr>
          <w:spacing w:val="-5"/>
          <w:sz w:val="21"/>
        </w:rPr>
        <w:t> </w:t>
      </w:r>
      <w:r>
        <w:rPr>
          <w:sz w:val="21"/>
        </w:rPr>
        <w:t>throne.</w:t>
      </w:r>
    </w:p>
    <w:p>
      <w:pPr>
        <w:pStyle w:val="BodyText"/>
        <w:spacing w:before="10"/>
        <w:rPr>
          <w:sz w:val="20"/>
        </w:rPr>
      </w:pPr>
    </w:p>
    <w:p>
      <w:pPr>
        <w:spacing w:before="0"/>
        <w:ind w:left="1940" w:right="0" w:firstLine="0"/>
        <w:jc w:val="left"/>
        <w:rPr>
          <w:sz w:val="21"/>
        </w:rPr>
      </w:pPr>
      <w:r>
        <w:rPr>
          <w:sz w:val="21"/>
        </w:rPr>
        <w:t>3. One idol of Hanuman Ji.</w:t>
      </w:r>
    </w:p>
    <w:p>
      <w:pPr>
        <w:pStyle w:val="BodyText"/>
        <w:spacing w:before="2"/>
        <w:rPr>
          <w:sz w:val="21"/>
        </w:rPr>
      </w:pPr>
    </w:p>
    <w:p>
      <w:pPr>
        <w:spacing w:before="0"/>
        <w:ind w:left="1940" w:right="0" w:firstLine="0"/>
        <w:jc w:val="left"/>
        <w:rPr>
          <w:sz w:val="21"/>
        </w:rPr>
      </w:pPr>
      <w:r>
        <w:rPr>
          <w:sz w:val="21"/>
        </w:rPr>
        <w:t>4 (a) One glass of German Silver.</w:t>
      </w:r>
    </w:p>
    <w:p>
      <w:pPr>
        <w:pStyle w:val="BodyText"/>
        <w:rPr>
          <w:sz w:val="21"/>
        </w:rPr>
      </w:pPr>
    </w:p>
    <w:p>
      <w:pPr>
        <w:pStyle w:val="ListParagraph"/>
        <w:numPr>
          <w:ilvl w:val="0"/>
          <w:numId w:val="38"/>
        </w:numPr>
        <w:tabs>
          <w:tab w:pos="2313" w:val="left" w:leader="none"/>
        </w:tabs>
        <w:spacing w:line="240" w:lineRule="auto" w:before="0" w:after="0"/>
        <w:ind w:left="2312" w:right="0" w:hanging="315"/>
        <w:jc w:val="left"/>
        <w:rPr>
          <w:sz w:val="21"/>
        </w:rPr>
      </w:pPr>
      <w:r>
        <w:rPr>
          <w:sz w:val="21"/>
        </w:rPr>
        <w:t>One small glass of</w:t>
      </w:r>
      <w:r>
        <w:rPr>
          <w:spacing w:val="-3"/>
          <w:sz w:val="21"/>
        </w:rPr>
        <w:t> </w:t>
      </w:r>
      <w:r>
        <w:rPr>
          <w:sz w:val="21"/>
        </w:rPr>
        <w:t>silver.</w:t>
      </w:r>
    </w:p>
    <w:p>
      <w:pPr>
        <w:pStyle w:val="BodyText"/>
        <w:rPr>
          <w:sz w:val="21"/>
        </w:rPr>
      </w:pPr>
    </w:p>
    <w:p>
      <w:pPr>
        <w:pStyle w:val="ListParagraph"/>
        <w:numPr>
          <w:ilvl w:val="0"/>
          <w:numId w:val="38"/>
        </w:numPr>
        <w:tabs>
          <w:tab w:pos="2301" w:val="left" w:leader="none"/>
        </w:tabs>
        <w:spacing w:line="240" w:lineRule="auto" w:before="0" w:after="0"/>
        <w:ind w:left="2300" w:right="0" w:hanging="303"/>
        <w:jc w:val="left"/>
        <w:rPr>
          <w:sz w:val="21"/>
        </w:rPr>
      </w:pPr>
      <w:r>
        <w:rPr>
          <w:sz w:val="21"/>
        </w:rPr>
        <w:t>One big glass of</w:t>
      </w:r>
      <w:r>
        <w:rPr>
          <w:spacing w:val="-4"/>
          <w:sz w:val="21"/>
        </w:rPr>
        <w:t> </w:t>
      </w:r>
      <w:r>
        <w:rPr>
          <w:sz w:val="21"/>
        </w:rPr>
        <w:t>silver</w:t>
      </w:r>
    </w:p>
    <w:p>
      <w:pPr>
        <w:pStyle w:val="BodyText"/>
        <w:spacing w:before="11"/>
        <w:rPr>
          <w:sz w:val="20"/>
        </w:rPr>
      </w:pPr>
    </w:p>
    <w:p>
      <w:pPr>
        <w:pStyle w:val="ListParagraph"/>
        <w:numPr>
          <w:ilvl w:val="0"/>
          <w:numId w:val="39"/>
        </w:numPr>
        <w:tabs>
          <w:tab w:pos="2231" w:val="left" w:leader="none"/>
        </w:tabs>
        <w:spacing w:line="240" w:lineRule="auto" w:before="0" w:after="0"/>
        <w:ind w:left="2230" w:right="0" w:hanging="233"/>
        <w:jc w:val="left"/>
        <w:rPr>
          <w:sz w:val="21"/>
        </w:rPr>
      </w:pPr>
      <w:r>
        <w:rPr>
          <w:sz w:val="21"/>
        </w:rPr>
        <w:t>One Garun</w:t>
      </w:r>
      <w:r>
        <w:rPr>
          <w:spacing w:val="-2"/>
          <w:sz w:val="21"/>
        </w:rPr>
        <w:t> </w:t>
      </w:r>
      <w:r>
        <w:rPr>
          <w:sz w:val="21"/>
        </w:rPr>
        <w:t>bell.</w:t>
      </w:r>
    </w:p>
    <w:p>
      <w:pPr>
        <w:pStyle w:val="BodyText"/>
        <w:spacing w:before="1"/>
        <w:rPr>
          <w:sz w:val="21"/>
        </w:rPr>
      </w:pPr>
    </w:p>
    <w:p>
      <w:pPr>
        <w:pStyle w:val="ListParagraph"/>
        <w:numPr>
          <w:ilvl w:val="0"/>
          <w:numId w:val="39"/>
        </w:numPr>
        <w:tabs>
          <w:tab w:pos="2174" w:val="left" w:leader="none"/>
        </w:tabs>
        <w:spacing w:line="240" w:lineRule="auto" w:before="1" w:after="0"/>
        <w:ind w:left="2173" w:right="0" w:hanging="234"/>
        <w:jc w:val="left"/>
        <w:rPr>
          <w:sz w:val="21"/>
        </w:rPr>
      </w:pPr>
      <w:r>
        <w:rPr>
          <w:sz w:val="21"/>
        </w:rPr>
        <w:t>One</w:t>
      </w:r>
      <w:r>
        <w:rPr>
          <w:spacing w:val="-1"/>
          <w:sz w:val="21"/>
        </w:rPr>
        <w:t> </w:t>
      </w:r>
      <w:r>
        <w:rPr>
          <w:sz w:val="21"/>
        </w:rPr>
        <w:t>incensory.</w:t>
      </w:r>
    </w:p>
    <w:p>
      <w:pPr>
        <w:pStyle w:val="BodyText"/>
        <w:spacing w:before="10"/>
        <w:rPr>
          <w:sz w:val="20"/>
        </w:rPr>
      </w:pPr>
    </w:p>
    <w:p>
      <w:pPr>
        <w:pStyle w:val="ListParagraph"/>
        <w:numPr>
          <w:ilvl w:val="0"/>
          <w:numId w:val="39"/>
        </w:numPr>
        <w:tabs>
          <w:tab w:pos="2174" w:val="left" w:leader="none"/>
        </w:tabs>
        <w:spacing w:line="240" w:lineRule="auto" w:before="1" w:after="0"/>
        <w:ind w:left="2173" w:right="0" w:hanging="234"/>
        <w:jc w:val="left"/>
        <w:rPr>
          <w:sz w:val="21"/>
        </w:rPr>
      </w:pPr>
      <w:r>
        <w:rPr>
          <w:sz w:val="21"/>
        </w:rPr>
        <w:t>One Arti</w:t>
      </w:r>
      <w:r>
        <w:rPr>
          <w:spacing w:val="-1"/>
          <w:sz w:val="21"/>
        </w:rPr>
        <w:t> </w:t>
      </w:r>
      <w:r>
        <w:rPr>
          <w:sz w:val="21"/>
        </w:rPr>
        <w:t>vessel.</w:t>
      </w:r>
    </w:p>
    <w:p>
      <w:pPr>
        <w:pStyle w:val="BodyText"/>
        <w:spacing w:before="10"/>
        <w:rPr>
          <w:sz w:val="20"/>
        </w:rPr>
      </w:pPr>
    </w:p>
    <w:p>
      <w:pPr>
        <w:pStyle w:val="ListParagraph"/>
        <w:numPr>
          <w:ilvl w:val="0"/>
          <w:numId w:val="39"/>
        </w:numPr>
        <w:tabs>
          <w:tab w:pos="2174" w:val="left" w:leader="none"/>
        </w:tabs>
        <w:spacing w:line="240" w:lineRule="auto" w:before="0" w:after="0"/>
        <w:ind w:left="2173" w:right="0" w:hanging="234"/>
        <w:jc w:val="left"/>
        <w:rPr>
          <w:sz w:val="21"/>
        </w:rPr>
      </w:pPr>
      <w:r>
        <w:rPr>
          <w:sz w:val="21"/>
        </w:rPr>
        <w:t>One lamp</w:t>
      </w:r>
      <w:r>
        <w:rPr>
          <w:spacing w:val="-4"/>
          <w:sz w:val="21"/>
        </w:rPr>
        <w:t> </w:t>
      </w:r>
      <w:r>
        <w:rPr>
          <w:sz w:val="21"/>
        </w:rPr>
        <w:t>stand</w:t>
      </w:r>
    </w:p>
    <w:p>
      <w:pPr>
        <w:pStyle w:val="BodyText"/>
        <w:rPr>
          <w:sz w:val="21"/>
        </w:rPr>
      </w:pPr>
    </w:p>
    <w:p>
      <w:pPr>
        <w:pStyle w:val="ListParagraph"/>
        <w:numPr>
          <w:ilvl w:val="0"/>
          <w:numId w:val="39"/>
        </w:numPr>
        <w:tabs>
          <w:tab w:pos="2174" w:val="left" w:leader="none"/>
        </w:tabs>
        <w:spacing w:line="240" w:lineRule="auto" w:before="0" w:after="0"/>
        <w:ind w:left="2173" w:right="0" w:hanging="234"/>
        <w:jc w:val="left"/>
        <w:rPr>
          <w:sz w:val="21"/>
        </w:rPr>
      </w:pPr>
      <w:r>
        <w:rPr>
          <w:spacing w:val="-1"/>
          <w:w w:val="33"/>
          <w:sz w:val="21"/>
        </w:rPr>
        <w:t>―</w:t>
      </w:r>
      <w:r>
        <w:rPr>
          <w:w w:val="100"/>
          <w:sz w:val="21"/>
        </w:rPr>
        <w:t>H</w:t>
      </w:r>
      <w:r>
        <w:rPr>
          <w:spacing w:val="-1"/>
          <w:w w:val="97"/>
          <w:sz w:val="21"/>
        </w:rPr>
        <w:t>usra</w:t>
      </w:r>
      <w:r>
        <w:rPr>
          <w:w w:val="97"/>
          <w:sz w:val="21"/>
        </w:rPr>
        <w:t>‖</w:t>
      </w:r>
      <w:r>
        <w:rPr>
          <w:spacing w:val="-2"/>
          <w:sz w:val="21"/>
        </w:rPr>
        <w:t> </w:t>
      </w:r>
      <w:r>
        <w:rPr>
          <w:spacing w:val="-1"/>
          <w:w w:val="100"/>
          <w:sz w:val="21"/>
        </w:rPr>
        <w:t>a</w:t>
      </w:r>
      <w:r>
        <w:rPr>
          <w:spacing w:val="-3"/>
          <w:w w:val="100"/>
          <w:sz w:val="21"/>
        </w:rPr>
        <w:t>n</w:t>
      </w:r>
      <w:r>
        <w:rPr>
          <w:w w:val="100"/>
          <w:sz w:val="21"/>
        </w:rPr>
        <w:t>d</w:t>
      </w:r>
      <w:r>
        <w:rPr>
          <w:spacing w:val="-1"/>
          <w:sz w:val="21"/>
        </w:rPr>
        <w:t> </w:t>
      </w:r>
      <w:r>
        <w:rPr>
          <w:spacing w:val="-1"/>
          <w:w w:val="100"/>
          <w:sz w:val="21"/>
        </w:rPr>
        <w:t>on</w:t>
      </w:r>
      <w:r>
        <w:rPr>
          <w:w w:val="100"/>
          <w:sz w:val="21"/>
        </w:rPr>
        <w:t>e</w:t>
      </w:r>
      <w:r>
        <w:rPr>
          <w:sz w:val="21"/>
        </w:rPr>
        <w:t> </w:t>
      </w:r>
      <w:r>
        <w:rPr>
          <w:spacing w:val="-3"/>
          <w:w w:val="100"/>
          <w:sz w:val="21"/>
        </w:rPr>
        <w:t>s</w:t>
      </w:r>
      <w:r>
        <w:rPr>
          <w:spacing w:val="-1"/>
          <w:w w:val="100"/>
          <w:sz w:val="21"/>
        </w:rPr>
        <w:t>an</w:t>
      </w:r>
      <w:r>
        <w:rPr>
          <w:spacing w:val="-2"/>
          <w:w w:val="100"/>
          <w:sz w:val="21"/>
        </w:rPr>
        <w:t>d</w:t>
      </w:r>
      <w:r>
        <w:rPr>
          <w:spacing w:val="-1"/>
          <w:w w:val="100"/>
          <w:sz w:val="21"/>
        </w:rPr>
        <w:t>a</w:t>
      </w:r>
      <w:r>
        <w:rPr>
          <w:spacing w:val="-2"/>
          <w:w w:val="100"/>
          <w:sz w:val="21"/>
        </w:rPr>
        <w:t>l</w:t>
      </w:r>
      <w:r>
        <w:rPr>
          <w:w w:val="100"/>
          <w:sz w:val="21"/>
        </w:rPr>
        <w:t>.</w:t>
      </w:r>
    </w:p>
    <w:p>
      <w:pPr>
        <w:pStyle w:val="BodyText"/>
        <w:spacing w:before="2"/>
        <w:rPr>
          <w:sz w:val="21"/>
        </w:rPr>
      </w:pPr>
    </w:p>
    <w:p>
      <w:pPr>
        <w:pStyle w:val="ListParagraph"/>
        <w:numPr>
          <w:ilvl w:val="0"/>
          <w:numId w:val="39"/>
        </w:numPr>
        <w:tabs>
          <w:tab w:pos="2291" w:val="left" w:leader="none"/>
        </w:tabs>
        <w:spacing w:line="240" w:lineRule="auto" w:before="0" w:after="0"/>
        <w:ind w:left="2290" w:right="0" w:hanging="351"/>
        <w:jc w:val="left"/>
        <w:rPr>
          <w:sz w:val="21"/>
        </w:rPr>
      </w:pPr>
      <w:r>
        <w:rPr>
          <w:sz w:val="21"/>
        </w:rPr>
        <w:t>Two big photographs of Ram</w:t>
      </w:r>
      <w:r>
        <w:rPr>
          <w:spacing w:val="-5"/>
          <w:sz w:val="21"/>
        </w:rPr>
        <w:t> </w:t>
      </w:r>
      <w:r>
        <w:rPr>
          <w:sz w:val="21"/>
        </w:rPr>
        <w:t>Janki.</w:t>
      </w:r>
    </w:p>
    <w:p>
      <w:pPr>
        <w:pStyle w:val="BodyText"/>
        <w:spacing w:before="11"/>
        <w:rPr>
          <w:sz w:val="20"/>
        </w:rPr>
      </w:pPr>
    </w:p>
    <w:p>
      <w:pPr>
        <w:pStyle w:val="ListParagraph"/>
        <w:numPr>
          <w:ilvl w:val="0"/>
          <w:numId w:val="39"/>
        </w:numPr>
        <w:tabs>
          <w:tab w:pos="2291" w:val="left" w:leader="none"/>
        </w:tabs>
        <w:spacing w:line="240" w:lineRule="auto" w:before="0" w:after="0"/>
        <w:ind w:left="2290" w:right="0" w:hanging="351"/>
        <w:jc w:val="left"/>
        <w:rPr>
          <w:sz w:val="21"/>
        </w:rPr>
      </w:pPr>
      <w:r>
        <w:rPr>
          <w:sz w:val="21"/>
        </w:rPr>
        <w:t>Four flower</w:t>
      </w:r>
      <w:r>
        <w:rPr>
          <w:spacing w:val="-4"/>
          <w:sz w:val="21"/>
        </w:rPr>
        <w:t> </w:t>
      </w:r>
      <w:r>
        <w:rPr>
          <w:sz w:val="21"/>
        </w:rPr>
        <w:t>pots.</w:t>
      </w:r>
    </w:p>
    <w:p>
      <w:pPr>
        <w:pStyle w:val="BodyText"/>
        <w:spacing w:before="11"/>
        <w:rPr>
          <w:sz w:val="20"/>
        </w:rPr>
      </w:pPr>
    </w:p>
    <w:p>
      <w:pPr>
        <w:pStyle w:val="ListParagraph"/>
        <w:numPr>
          <w:ilvl w:val="0"/>
          <w:numId w:val="39"/>
        </w:numPr>
        <w:tabs>
          <w:tab w:pos="2291" w:val="left" w:leader="none"/>
        </w:tabs>
        <w:spacing w:line="240" w:lineRule="auto" w:before="0" w:after="0"/>
        <w:ind w:left="2290" w:right="0" w:hanging="351"/>
        <w:jc w:val="left"/>
        <w:rPr>
          <w:sz w:val="21"/>
        </w:rPr>
      </w:pPr>
      <w:r>
        <w:rPr>
          <w:sz w:val="21"/>
        </w:rPr>
        <w:t>One (small) photograph of Badrinath</w:t>
      </w:r>
      <w:r>
        <w:rPr>
          <w:spacing w:val="-6"/>
          <w:sz w:val="21"/>
        </w:rPr>
        <w:t> </w:t>
      </w:r>
      <w:r>
        <w:rPr>
          <w:sz w:val="21"/>
        </w:rPr>
        <w:t>Ji.</w:t>
      </w:r>
    </w:p>
    <w:p>
      <w:pPr>
        <w:pStyle w:val="BodyText"/>
        <w:spacing w:before="11"/>
        <w:rPr>
          <w:sz w:val="20"/>
        </w:rPr>
      </w:pPr>
    </w:p>
    <w:p>
      <w:pPr>
        <w:pStyle w:val="ListParagraph"/>
        <w:numPr>
          <w:ilvl w:val="0"/>
          <w:numId w:val="39"/>
        </w:numPr>
        <w:tabs>
          <w:tab w:pos="2291" w:val="left" w:leader="none"/>
        </w:tabs>
        <w:spacing w:line="240" w:lineRule="auto" w:before="0" w:after="0"/>
        <w:ind w:left="2290" w:right="0" w:hanging="351"/>
        <w:jc w:val="left"/>
        <w:rPr>
          <w:sz w:val="21"/>
        </w:rPr>
      </w:pPr>
      <w:r>
        <w:rPr>
          <w:sz w:val="21"/>
        </w:rPr>
        <w:t>One small photograph of Ramchandra</w:t>
      </w:r>
      <w:r>
        <w:rPr>
          <w:spacing w:val="-6"/>
          <w:sz w:val="21"/>
        </w:rPr>
        <w:t> </w:t>
      </w:r>
      <w:r>
        <w:rPr>
          <w:sz w:val="21"/>
        </w:rPr>
        <w:t>Ji.</w:t>
      </w:r>
    </w:p>
    <w:p>
      <w:pPr>
        <w:pStyle w:val="BodyText"/>
        <w:spacing w:before="2"/>
        <w:rPr>
          <w:sz w:val="21"/>
        </w:rPr>
      </w:pPr>
    </w:p>
    <w:p>
      <w:pPr>
        <w:pStyle w:val="ListParagraph"/>
        <w:numPr>
          <w:ilvl w:val="0"/>
          <w:numId w:val="39"/>
        </w:numPr>
        <w:tabs>
          <w:tab w:pos="2291" w:val="left" w:leader="none"/>
        </w:tabs>
        <w:spacing w:line="240" w:lineRule="auto" w:before="0" w:after="0"/>
        <w:ind w:left="2290" w:right="0" w:hanging="351"/>
        <w:jc w:val="left"/>
        <w:rPr>
          <w:sz w:val="21"/>
        </w:rPr>
      </w:pPr>
      <w:r>
        <w:rPr>
          <w:sz w:val="21"/>
        </w:rPr>
        <w:t>Ornaments of</w:t>
      </w:r>
      <w:r>
        <w:rPr>
          <w:spacing w:val="-2"/>
          <w:sz w:val="21"/>
        </w:rPr>
        <w:t> </w:t>
      </w:r>
      <w:r>
        <w:rPr>
          <w:sz w:val="21"/>
        </w:rPr>
        <w:t>Deity</w:t>
      </w:r>
    </w:p>
    <w:p>
      <w:pPr>
        <w:pStyle w:val="BodyText"/>
        <w:spacing w:before="11"/>
        <w:rPr>
          <w:sz w:val="20"/>
        </w:rPr>
      </w:pPr>
    </w:p>
    <w:p>
      <w:pPr>
        <w:spacing w:before="0"/>
        <w:ind w:left="1940" w:right="3364" w:firstLine="0"/>
        <w:jc w:val="left"/>
        <w:rPr>
          <w:sz w:val="21"/>
        </w:rPr>
      </w:pPr>
      <w:r>
        <w:rPr>
          <w:sz w:val="21"/>
        </w:rPr>
        <w:t>Two caps of Ramlala and one cap of Hanuman Ji. And eight robes of Deity.</w:t>
      </w:r>
    </w:p>
    <w:p>
      <w:pPr>
        <w:pStyle w:val="BodyText"/>
        <w:spacing w:before="1"/>
        <w:rPr>
          <w:sz w:val="21"/>
        </w:rPr>
      </w:pPr>
    </w:p>
    <w:p>
      <w:pPr>
        <w:pStyle w:val="ListParagraph"/>
        <w:numPr>
          <w:ilvl w:val="0"/>
          <w:numId w:val="39"/>
        </w:numPr>
        <w:tabs>
          <w:tab w:pos="2389" w:val="left" w:leader="none"/>
        </w:tabs>
        <w:spacing w:line="240" w:lineRule="auto" w:before="0" w:after="0"/>
        <w:ind w:left="1940" w:right="2264" w:firstLine="0"/>
        <w:jc w:val="left"/>
        <w:rPr>
          <w:sz w:val="21"/>
        </w:rPr>
      </w:pPr>
      <w:r>
        <w:rPr>
          <w:sz w:val="21"/>
        </w:rPr>
        <w:t>Building- Three domed building with Courtyard and boundary wall, which is bounded as</w:t>
      </w:r>
      <w:r>
        <w:rPr>
          <w:spacing w:val="-10"/>
          <w:sz w:val="21"/>
        </w:rPr>
        <w:t> </w:t>
      </w:r>
      <w:r>
        <w:rPr>
          <w:sz w:val="21"/>
        </w:rPr>
        <w:t>under.</w:t>
      </w:r>
    </w:p>
    <w:p>
      <w:pPr>
        <w:pStyle w:val="BodyText"/>
        <w:spacing w:before="9"/>
        <w:rPr>
          <w:sz w:val="20"/>
        </w:rPr>
      </w:pPr>
    </w:p>
    <w:p>
      <w:pPr>
        <w:spacing w:before="0"/>
        <w:ind w:left="1940" w:right="2346" w:firstLine="0"/>
        <w:jc w:val="left"/>
        <w:rPr>
          <w:sz w:val="21"/>
        </w:rPr>
      </w:pPr>
      <w:r>
        <w:rPr>
          <w:sz w:val="21"/>
        </w:rPr>
        <w:t>North-Premises comprising Chhathi Courtyard and Nirmohi Akhara.</w:t>
      </w:r>
    </w:p>
    <w:p>
      <w:pPr>
        <w:spacing w:before="2"/>
        <w:ind w:left="1940" w:right="2264" w:firstLine="0"/>
        <w:jc w:val="left"/>
        <w:rPr>
          <w:sz w:val="21"/>
        </w:rPr>
      </w:pPr>
      <w:r>
        <w:rPr>
          <w:w w:val="100"/>
          <w:sz w:val="21"/>
        </w:rPr>
        <w:t>S</w:t>
      </w:r>
      <w:r>
        <w:rPr>
          <w:w w:val="100"/>
          <w:sz w:val="21"/>
        </w:rPr>
        <w:t>out</w:t>
      </w:r>
      <w:r>
        <w:rPr>
          <w:w w:val="100"/>
          <w:sz w:val="21"/>
        </w:rPr>
        <w:t>h</w:t>
      </w:r>
      <w:r>
        <w:rPr>
          <w:w w:val="100"/>
          <w:sz w:val="21"/>
        </w:rPr>
        <w:t>-Vacant</w:t>
      </w:r>
      <w:r>
        <w:rPr>
          <w:sz w:val="21"/>
        </w:rPr>
        <w:t> </w:t>
      </w:r>
      <w:r>
        <w:rPr>
          <w:w w:val="100"/>
          <w:sz w:val="21"/>
        </w:rPr>
        <w:t>land</w:t>
      </w:r>
      <w:r>
        <w:rPr>
          <w:sz w:val="21"/>
        </w:rPr>
        <w:t> </w:t>
      </w:r>
      <w:r>
        <w:rPr>
          <w:w w:val="100"/>
          <w:sz w:val="21"/>
        </w:rPr>
        <w:t>and</w:t>
      </w:r>
      <w:r>
        <w:rPr>
          <w:sz w:val="21"/>
        </w:rPr>
        <w:t> </w:t>
      </w:r>
      <w:r>
        <w:rPr>
          <w:w w:val="33"/>
          <w:sz w:val="21"/>
        </w:rPr>
        <w:t>―</w:t>
      </w:r>
      <w:r>
        <w:rPr>
          <w:w w:val="100"/>
          <w:sz w:val="21"/>
        </w:rPr>
        <w:t>Parikram</w:t>
      </w:r>
      <w:r>
        <w:rPr>
          <w:w w:val="92"/>
          <w:sz w:val="21"/>
        </w:rPr>
        <w:t>a‖</w:t>
      </w:r>
      <w:r>
        <w:rPr>
          <w:sz w:val="21"/>
        </w:rPr>
        <w:t> </w:t>
      </w:r>
      <w:r>
        <w:rPr>
          <w:w w:val="100"/>
          <w:sz w:val="21"/>
        </w:rPr>
        <w:t>(circumambulation</w:t>
      </w:r>
      <w:r>
        <w:rPr>
          <w:sz w:val="21"/>
        </w:rPr>
        <w:t> </w:t>
      </w:r>
      <w:r>
        <w:rPr>
          <w:w w:val="100"/>
          <w:sz w:val="21"/>
        </w:rPr>
        <w:t>path) East-</w:t>
      </w:r>
      <w:r>
        <w:rPr>
          <w:w w:val="40"/>
          <w:sz w:val="21"/>
        </w:rPr>
        <w:t>‗</w:t>
      </w:r>
      <w:r>
        <w:rPr>
          <w:w w:val="100"/>
          <w:sz w:val="21"/>
        </w:rPr>
        <w:t>Chabutara‘</w:t>
      </w:r>
      <w:r>
        <w:rPr>
          <w:sz w:val="21"/>
        </w:rPr>
        <w:t> </w:t>
      </w:r>
      <w:r>
        <w:rPr>
          <w:w w:val="100"/>
          <w:sz w:val="21"/>
        </w:rPr>
        <w:t>(platform)</w:t>
      </w:r>
      <w:r>
        <w:rPr>
          <w:sz w:val="21"/>
        </w:rPr>
        <w:t> </w:t>
      </w:r>
      <w:r>
        <w:rPr>
          <w:w w:val="100"/>
          <w:sz w:val="21"/>
        </w:rPr>
        <w:t>of</w:t>
      </w:r>
      <w:r>
        <w:rPr>
          <w:sz w:val="21"/>
        </w:rPr>
        <w:t> </w:t>
      </w:r>
      <w:r>
        <w:rPr>
          <w:w w:val="100"/>
          <w:sz w:val="21"/>
        </w:rPr>
        <w:t>Ram</w:t>
      </w:r>
      <w:r>
        <w:rPr>
          <w:sz w:val="21"/>
        </w:rPr>
        <w:t> </w:t>
      </w:r>
      <w:r>
        <w:rPr>
          <w:w w:val="100"/>
          <w:sz w:val="21"/>
        </w:rPr>
        <w:t>temple</w:t>
      </w:r>
      <w:r>
        <w:rPr>
          <w:sz w:val="21"/>
        </w:rPr>
        <w:t> </w:t>
      </w:r>
      <w:r>
        <w:rPr>
          <w:w w:val="100"/>
          <w:sz w:val="21"/>
        </w:rPr>
        <w:t>under</w:t>
      </w:r>
      <w:r>
        <w:rPr>
          <w:sz w:val="21"/>
        </w:rPr>
        <w:t> </w:t>
      </w:r>
      <w:r>
        <w:rPr>
          <w:w w:val="100"/>
          <w:sz w:val="21"/>
        </w:rPr>
        <w:t>possession </w:t>
      </w:r>
      <w:r>
        <w:rPr>
          <w:sz w:val="21"/>
        </w:rPr>
        <w:t>of Nirmohi Akhara, and Courtyard of temple premises.</w:t>
      </w:r>
    </w:p>
    <w:p>
      <w:pPr>
        <w:spacing w:before="0"/>
        <w:ind w:left="1940" w:right="0" w:firstLine="0"/>
        <w:jc w:val="left"/>
        <w:rPr>
          <w:sz w:val="21"/>
        </w:rPr>
      </w:pPr>
      <w:r>
        <w:rPr>
          <w:sz w:val="21"/>
        </w:rPr>
        <w:t>West-Parikrama‘ (circumambulation path)</w:t>
      </w:r>
    </w:p>
    <w:p>
      <w:pPr>
        <w:pStyle w:val="BodyText"/>
        <w:rPr>
          <w:sz w:val="21"/>
        </w:rPr>
      </w:pPr>
    </w:p>
    <w:p>
      <w:pPr>
        <w:pStyle w:val="ListParagraph"/>
        <w:numPr>
          <w:ilvl w:val="0"/>
          <w:numId w:val="39"/>
        </w:numPr>
        <w:tabs>
          <w:tab w:pos="2291" w:val="left" w:leader="none"/>
        </w:tabs>
        <w:spacing w:line="240" w:lineRule="auto" w:before="0" w:after="0"/>
        <w:ind w:left="2290" w:right="0" w:hanging="351"/>
        <w:jc w:val="left"/>
        <w:rPr>
          <w:sz w:val="21"/>
        </w:rPr>
      </w:pPr>
      <w:r>
        <w:rPr>
          <w:sz w:val="21"/>
        </w:rPr>
        <w:t>Small brass</w:t>
      </w:r>
      <w:r>
        <w:rPr>
          <w:spacing w:val="-2"/>
          <w:sz w:val="21"/>
        </w:rPr>
        <w:t> </w:t>
      </w:r>
      <w:r>
        <w:rPr>
          <w:sz w:val="21"/>
        </w:rPr>
        <w:t>glass</w:t>
      </w:r>
    </w:p>
    <w:p>
      <w:pPr>
        <w:pStyle w:val="BodyText"/>
        <w:spacing w:before="11"/>
        <w:rPr>
          <w:sz w:val="20"/>
        </w:rPr>
      </w:pPr>
    </w:p>
    <w:p>
      <w:pPr>
        <w:pStyle w:val="ListParagraph"/>
        <w:numPr>
          <w:ilvl w:val="0"/>
          <w:numId w:val="39"/>
        </w:numPr>
        <w:tabs>
          <w:tab w:pos="2291" w:val="left" w:leader="none"/>
        </w:tabs>
        <w:spacing w:line="240" w:lineRule="auto" w:before="0" w:after="0"/>
        <w:ind w:left="2290" w:right="0" w:hanging="351"/>
        <w:jc w:val="left"/>
        <w:rPr>
          <w:sz w:val="21"/>
        </w:rPr>
      </w:pPr>
      <w:r>
        <w:rPr>
          <w:spacing w:val="-2"/>
          <w:w w:val="100"/>
          <w:sz w:val="21"/>
        </w:rPr>
        <w:t>O</w:t>
      </w:r>
      <w:r>
        <w:rPr>
          <w:spacing w:val="-1"/>
          <w:w w:val="100"/>
          <w:sz w:val="21"/>
        </w:rPr>
        <w:t>n</w:t>
      </w:r>
      <w:r>
        <w:rPr>
          <w:w w:val="100"/>
          <w:sz w:val="21"/>
        </w:rPr>
        <w:t>e</w:t>
      </w:r>
      <w:r>
        <w:rPr>
          <w:spacing w:val="-1"/>
          <w:sz w:val="21"/>
        </w:rPr>
        <w:t> </w:t>
      </w:r>
      <w:r>
        <w:rPr>
          <w:spacing w:val="-1"/>
          <w:w w:val="100"/>
          <w:sz w:val="21"/>
        </w:rPr>
        <w:t>bow</w:t>
      </w:r>
      <w:r>
        <w:rPr>
          <w:w w:val="100"/>
          <w:sz w:val="21"/>
        </w:rPr>
        <w:t>l</w:t>
      </w:r>
      <w:r>
        <w:rPr>
          <w:sz w:val="21"/>
        </w:rPr>
        <w:t> </w:t>
      </w:r>
      <w:r>
        <w:rPr>
          <w:spacing w:val="-3"/>
          <w:w w:val="100"/>
          <w:sz w:val="21"/>
        </w:rPr>
        <w:t>o</w:t>
      </w:r>
      <w:r>
        <w:rPr>
          <w:w w:val="100"/>
          <w:sz w:val="21"/>
        </w:rPr>
        <w:t>f</w:t>
      </w:r>
      <w:r>
        <w:rPr>
          <w:sz w:val="21"/>
        </w:rPr>
        <w:t> </w:t>
      </w:r>
      <w:r>
        <w:rPr>
          <w:spacing w:val="-1"/>
          <w:w w:val="33"/>
          <w:sz w:val="21"/>
        </w:rPr>
        <w:t>―</w:t>
      </w:r>
      <w:r>
        <w:rPr>
          <w:spacing w:val="-2"/>
          <w:w w:val="100"/>
          <w:sz w:val="21"/>
        </w:rPr>
        <w:t>P</w:t>
      </w:r>
      <w:r>
        <w:rPr>
          <w:spacing w:val="-1"/>
          <w:w w:val="100"/>
          <w:sz w:val="21"/>
        </w:rPr>
        <w:t>ho</w:t>
      </w:r>
      <w:r>
        <w:rPr>
          <w:spacing w:val="-2"/>
          <w:w w:val="100"/>
          <w:sz w:val="21"/>
        </w:rPr>
        <w:t>o</w:t>
      </w:r>
      <w:r>
        <w:rPr>
          <w:w w:val="100"/>
          <w:sz w:val="21"/>
        </w:rPr>
        <w:t>l</w:t>
      </w:r>
      <w:r>
        <w:rPr>
          <w:w w:val="81"/>
          <w:sz w:val="21"/>
        </w:rPr>
        <w:t>‖</w:t>
      </w:r>
      <w:r>
        <w:rPr>
          <w:spacing w:val="-2"/>
          <w:sz w:val="21"/>
        </w:rPr>
        <w:t> </w:t>
      </w:r>
      <w:r>
        <w:rPr>
          <w:spacing w:val="-1"/>
          <w:w w:val="100"/>
          <w:sz w:val="21"/>
        </w:rPr>
        <w:t>(</w:t>
      </w:r>
      <w:r>
        <w:rPr>
          <w:spacing w:val="-3"/>
          <w:w w:val="100"/>
          <w:sz w:val="21"/>
        </w:rPr>
        <w:t>a</w:t>
      </w:r>
      <w:r>
        <w:rPr>
          <w:w w:val="100"/>
          <w:sz w:val="21"/>
        </w:rPr>
        <w:t>n</w:t>
      </w:r>
      <w:r>
        <w:rPr>
          <w:spacing w:val="-1"/>
          <w:sz w:val="21"/>
        </w:rPr>
        <w:t> </w:t>
      </w:r>
      <w:r>
        <w:rPr>
          <w:spacing w:val="-1"/>
          <w:w w:val="100"/>
          <w:sz w:val="21"/>
        </w:rPr>
        <w:t>a</w:t>
      </w:r>
      <w:r>
        <w:rPr>
          <w:spacing w:val="1"/>
          <w:w w:val="100"/>
          <w:sz w:val="21"/>
        </w:rPr>
        <w:t>l</w:t>
      </w:r>
      <w:r>
        <w:rPr>
          <w:spacing w:val="-2"/>
          <w:w w:val="100"/>
          <w:sz w:val="21"/>
        </w:rPr>
        <w:t>l</w:t>
      </w:r>
      <w:r>
        <w:rPr>
          <w:spacing w:val="-1"/>
          <w:w w:val="100"/>
          <w:sz w:val="21"/>
        </w:rPr>
        <w:t>o</w:t>
      </w:r>
      <w:r>
        <w:rPr>
          <w:spacing w:val="-3"/>
          <w:w w:val="100"/>
          <w:sz w:val="21"/>
        </w:rPr>
        <w:t>y</w:t>
      </w:r>
      <w:r>
        <w:rPr>
          <w:w w:val="100"/>
          <w:sz w:val="21"/>
        </w:rPr>
        <w:t>)</w:t>
      </w:r>
      <w:r>
        <w:rPr>
          <w:spacing w:val="-2"/>
          <w:sz w:val="21"/>
        </w:rPr>
        <w:t> </w:t>
      </w:r>
      <w:r>
        <w:rPr>
          <w:spacing w:val="1"/>
          <w:w w:val="100"/>
          <w:sz w:val="21"/>
        </w:rPr>
        <w:t>f</w:t>
      </w:r>
      <w:r>
        <w:rPr>
          <w:spacing w:val="-1"/>
          <w:w w:val="100"/>
          <w:sz w:val="21"/>
        </w:rPr>
        <w:t>o</w:t>
      </w:r>
      <w:r>
        <w:rPr>
          <w:w w:val="100"/>
          <w:sz w:val="21"/>
        </w:rPr>
        <w:t>r</w:t>
      </w:r>
      <w:r>
        <w:rPr>
          <w:spacing w:val="-2"/>
          <w:sz w:val="21"/>
        </w:rPr>
        <w:t> </w:t>
      </w:r>
      <w:r>
        <w:rPr>
          <w:w w:val="100"/>
          <w:sz w:val="21"/>
        </w:rPr>
        <w:t>san</w:t>
      </w:r>
      <w:r>
        <w:rPr>
          <w:spacing w:val="-2"/>
          <w:w w:val="100"/>
          <w:sz w:val="21"/>
        </w:rPr>
        <w:t>d</w:t>
      </w:r>
      <w:r>
        <w:rPr>
          <w:spacing w:val="-1"/>
          <w:w w:val="100"/>
          <w:sz w:val="21"/>
        </w:rPr>
        <w:t>a</w:t>
      </w:r>
      <w:r>
        <w:rPr>
          <w:spacing w:val="1"/>
          <w:w w:val="100"/>
          <w:sz w:val="21"/>
        </w:rPr>
        <w:t>l</w:t>
      </w:r>
      <w:r>
        <w:rPr>
          <w:w w:val="100"/>
          <w:sz w:val="21"/>
        </w:rPr>
        <w:t>.</w:t>
      </w:r>
    </w:p>
    <w:p>
      <w:pPr>
        <w:pStyle w:val="BodyText"/>
        <w:spacing w:before="11"/>
        <w:rPr>
          <w:sz w:val="20"/>
        </w:rPr>
      </w:pPr>
    </w:p>
    <w:p>
      <w:pPr>
        <w:pStyle w:val="ListParagraph"/>
        <w:numPr>
          <w:ilvl w:val="0"/>
          <w:numId w:val="39"/>
        </w:numPr>
        <w:tabs>
          <w:tab w:pos="2291" w:val="left" w:leader="none"/>
        </w:tabs>
        <w:spacing w:line="240" w:lineRule="auto" w:before="0" w:after="0"/>
        <w:ind w:left="2290" w:right="0" w:hanging="351"/>
        <w:jc w:val="left"/>
        <w:rPr>
          <w:sz w:val="21"/>
        </w:rPr>
      </w:pPr>
      <w:r>
        <w:rPr>
          <w:spacing w:val="-1"/>
          <w:w w:val="33"/>
          <w:sz w:val="21"/>
        </w:rPr>
        <w:t>―</w:t>
      </w:r>
      <w:r>
        <w:rPr>
          <w:w w:val="100"/>
          <w:sz w:val="21"/>
        </w:rPr>
        <w:t>P</w:t>
      </w:r>
      <w:r>
        <w:rPr>
          <w:spacing w:val="-1"/>
          <w:w w:val="100"/>
          <w:sz w:val="21"/>
        </w:rPr>
        <w:t>an</w:t>
      </w:r>
      <w:r>
        <w:rPr>
          <w:spacing w:val="-3"/>
          <w:w w:val="100"/>
          <w:sz w:val="21"/>
        </w:rPr>
        <w:t>c</w:t>
      </w:r>
      <w:r>
        <w:rPr>
          <w:w w:val="100"/>
          <w:sz w:val="21"/>
        </w:rPr>
        <w:t>h</w:t>
      </w:r>
      <w:r>
        <w:rPr>
          <w:spacing w:val="-1"/>
          <w:sz w:val="21"/>
        </w:rPr>
        <w:t> </w:t>
      </w:r>
      <w:r>
        <w:rPr>
          <w:w w:val="100"/>
          <w:sz w:val="21"/>
        </w:rPr>
        <w:t>P</w:t>
      </w:r>
      <w:r>
        <w:rPr>
          <w:spacing w:val="-3"/>
          <w:w w:val="100"/>
          <w:sz w:val="21"/>
        </w:rPr>
        <w:t>a</w:t>
      </w:r>
      <w:r>
        <w:rPr>
          <w:w w:val="91"/>
          <w:sz w:val="21"/>
        </w:rPr>
        <w:t>s‖</w:t>
      </w:r>
      <w:r>
        <w:rPr>
          <w:sz w:val="21"/>
        </w:rPr>
        <w:t> </w:t>
      </w:r>
      <w:r>
        <w:rPr>
          <w:spacing w:val="-2"/>
          <w:sz w:val="21"/>
        </w:rPr>
        <w:t> </w:t>
      </w:r>
      <w:r>
        <w:rPr>
          <w:spacing w:val="-1"/>
          <w:w w:val="100"/>
          <w:sz w:val="21"/>
        </w:rPr>
        <w:t>an</w:t>
      </w:r>
      <w:r>
        <w:rPr>
          <w:w w:val="100"/>
          <w:sz w:val="21"/>
        </w:rPr>
        <w:t>d</w:t>
      </w:r>
      <w:r>
        <w:rPr>
          <w:sz w:val="21"/>
        </w:rPr>
        <w:t> </w:t>
      </w:r>
      <w:r>
        <w:rPr>
          <w:spacing w:val="-1"/>
          <w:w w:val="100"/>
          <w:sz w:val="21"/>
        </w:rPr>
        <w:t>o</w:t>
      </w:r>
      <w:r>
        <w:rPr>
          <w:spacing w:val="-3"/>
          <w:w w:val="100"/>
          <w:sz w:val="21"/>
        </w:rPr>
        <w:t>n</w:t>
      </w:r>
      <w:r>
        <w:rPr>
          <w:w w:val="100"/>
          <w:sz w:val="21"/>
        </w:rPr>
        <w:t>e</w:t>
      </w:r>
      <w:r>
        <w:rPr>
          <w:spacing w:val="-1"/>
          <w:sz w:val="21"/>
        </w:rPr>
        <w:t> </w:t>
      </w:r>
      <w:r>
        <w:rPr>
          <w:spacing w:val="-1"/>
          <w:w w:val="100"/>
          <w:sz w:val="21"/>
        </w:rPr>
        <w:t>bras</w:t>
      </w:r>
      <w:r>
        <w:rPr>
          <w:w w:val="100"/>
          <w:sz w:val="21"/>
        </w:rPr>
        <w:t>s</w:t>
      </w:r>
      <w:r>
        <w:rPr>
          <w:spacing w:val="-2"/>
          <w:sz w:val="21"/>
        </w:rPr>
        <w:t> </w:t>
      </w:r>
      <w:r>
        <w:rPr>
          <w:spacing w:val="-3"/>
          <w:w w:val="100"/>
          <w:sz w:val="21"/>
        </w:rPr>
        <w:t>p</w:t>
      </w:r>
      <w:r>
        <w:rPr>
          <w:w w:val="100"/>
          <w:sz w:val="21"/>
        </w:rPr>
        <w:t>l</w:t>
      </w:r>
      <w:r>
        <w:rPr>
          <w:spacing w:val="-1"/>
          <w:w w:val="100"/>
          <w:sz w:val="21"/>
        </w:rPr>
        <w:t>ate.</w:t>
      </w:r>
    </w:p>
    <w:p>
      <w:pPr>
        <w:spacing w:after="0" w:line="240" w:lineRule="auto"/>
        <w:jc w:val="left"/>
        <w:rPr>
          <w:sz w:val="21"/>
        </w:rPr>
        <w:sectPr>
          <w:pgSz w:w="11910" w:h="16840"/>
          <w:pgMar w:header="721" w:footer="1014" w:top="1300" w:bottom="1200" w:left="940" w:right="1000"/>
        </w:sectPr>
      </w:pPr>
    </w:p>
    <w:p>
      <w:pPr>
        <w:pStyle w:val="ListParagraph"/>
        <w:numPr>
          <w:ilvl w:val="0"/>
          <w:numId w:val="39"/>
        </w:numPr>
        <w:tabs>
          <w:tab w:pos="2291" w:val="left" w:leader="none"/>
        </w:tabs>
        <w:spacing w:line="240" w:lineRule="auto" w:before="122" w:after="0"/>
        <w:ind w:left="2290" w:right="0" w:hanging="351"/>
        <w:jc w:val="left"/>
        <w:rPr>
          <w:sz w:val="21"/>
        </w:rPr>
      </w:pPr>
      <w:r>
        <w:rPr>
          <w:sz w:val="21"/>
        </w:rPr>
        <w:t>One small brass</w:t>
      </w:r>
      <w:r>
        <w:rPr>
          <w:spacing w:val="-3"/>
          <w:sz w:val="21"/>
        </w:rPr>
        <w:t> </w:t>
      </w:r>
      <w:r>
        <w:rPr>
          <w:sz w:val="21"/>
        </w:rPr>
        <w:t>plate.</w:t>
      </w:r>
    </w:p>
    <w:p>
      <w:pPr>
        <w:pStyle w:val="BodyText"/>
        <w:rPr>
          <w:sz w:val="21"/>
        </w:rPr>
      </w:pPr>
    </w:p>
    <w:p>
      <w:pPr>
        <w:pStyle w:val="ListParagraph"/>
        <w:numPr>
          <w:ilvl w:val="0"/>
          <w:numId w:val="39"/>
        </w:numPr>
        <w:tabs>
          <w:tab w:pos="2291" w:val="left" w:leader="none"/>
        </w:tabs>
        <w:spacing w:line="240" w:lineRule="auto" w:before="0" w:after="0"/>
        <w:ind w:left="2290" w:right="0" w:hanging="351"/>
        <w:jc w:val="left"/>
        <w:rPr>
          <w:sz w:val="21"/>
        </w:rPr>
      </w:pPr>
      <w:r>
        <w:rPr>
          <w:sz w:val="21"/>
        </w:rPr>
        <w:t>One small wooden</w:t>
      </w:r>
      <w:r>
        <w:rPr>
          <w:spacing w:val="-2"/>
          <w:sz w:val="21"/>
        </w:rPr>
        <w:t> </w:t>
      </w:r>
      <w:r>
        <w:rPr>
          <w:sz w:val="21"/>
        </w:rPr>
        <w:t>board.‖</w:t>
      </w:r>
    </w:p>
    <w:p>
      <w:pPr>
        <w:pStyle w:val="BodyText"/>
        <w:rPr>
          <w:sz w:val="21"/>
        </w:rPr>
      </w:pPr>
    </w:p>
    <w:p>
      <w:pPr>
        <w:pStyle w:val="BodyText"/>
        <w:spacing w:line="480" w:lineRule="auto"/>
        <w:ind w:left="500" w:right="438"/>
        <w:jc w:val="both"/>
      </w:pPr>
      <w:r>
        <w:rPr/>
        <w:t>In the course of the proceedings of the civil suit before the Trial Court at Faizabad, the pleader, Shiv Shankar Lal, was appointed as a Commissioner to prepare a site plan of the locality and building. The Commissioner submitted a report on 25 May 1950, annexing two site plans which were numbered as Plan nos 1 and 2 which have been referred above in the earlier part of the</w:t>
      </w:r>
      <w:r>
        <w:rPr>
          <w:spacing w:val="-24"/>
        </w:rPr>
        <w:t> </w:t>
      </w:r>
      <w:r>
        <w:rPr/>
        <w:t>judgment.</w:t>
      </w:r>
    </w:p>
    <w:p>
      <w:pPr>
        <w:pStyle w:val="BodyText"/>
        <w:spacing w:before="2"/>
      </w:pPr>
    </w:p>
    <w:p>
      <w:pPr>
        <w:pStyle w:val="ListParagraph"/>
        <w:numPr>
          <w:ilvl w:val="0"/>
          <w:numId w:val="3"/>
        </w:numPr>
        <w:tabs>
          <w:tab w:pos="1220" w:val="left" w:leader="none"/>
          <w:tab w:pos="1221" w:val="left" w:leader="none"/>
        </w:tabs>
        <w:spacing w:line="240" w:lineRule="auto" w:before="0" w:after="0"/>
        <w:ind w:left="1220" w:right="0" w:hanging="721"/>
        <w:jc w:val="left"/>
        <w:rPr>
          <w:sz w:val="25"/>
        </w:rPr>
      </w:pPr>
      <w:r>
        <w:rPr>
          <w:sz w:val="25"/>
        </w:rPr>
        <w:t>The salient features noticed in the Commissioner‘s report</w:t>
      </w:r>
      <w:r>
        <w:rPr>
          <w:spacing w:val="-10"/>
          <w:sz w:val="25"/>
        </w:rPr>
        <w:t> </w:t>
      </w:r>
      <w:r>
        <w:rPr>
          <w:sz w:val="25"/>
        </w:rPr>
        <w:t>are:</w:t>
      </w:r>
    </w:p>
    <w:p>
      <w:pPr>
        <w:pStyle w:val="BodyText"/>
        <w:spacing w:before="1"/>
      </w:pPr>
    </w:p>
    <w:p>
      <w:pPr>
        <w:pStyle w:val="ListParagraph"/>
        <w:numPr>
          <w:ilvl w:val="1"/>
          <w:numId w:val="3"/>
        </w:numPr>
        <w:tabs>
          <w:tab w:pos="1941" w:val="left" w:leader="none"/>
        </w:tabs>
        <w:spacing w:line="480" w:lineRule="auto" w:before="0" w:after="0"/>
        <w:ind w:left="1940" w:right="443" w:hanging="720"/>
        <w:jc w:val="both"/>
        <w:rPr>
          <w:sz w:val="25"/>
        </w:rPr>
      </w:pPr>
      <w:r>
        <w:rPr>
          <w:sz w:val="25"/>
        </w:rPr>
        <w:t>The existence of two entry gates to the disputed site, described as Hanumat Dwar and Singh Dwar;</w:t>
      </w:r>
    </w:p>
    <w:p>
      <w:pPr>
        <w:pStyle w:val="ListParagraph"/>
        <w:numPr>
          <w:ilvl w:val="1"/>
          <w:numId w:val="3"/>
        </w:numPr>
        <w:tabs>
          <w:tab w:pos="1941" w:val="left" w:leader="none"/>
        </w:tabs>
        <w:spacing w:line="480" w:lineRule="auto" w:before="0" w:after="0"/>
        <w:ind w:left="1940" w:right="445" w:hanging="720"/>
        <w:jc w:val="both"/>
        <w:rPr>
          <w:sz w:val="25"/>
        </w:rPr>
      </w:pPr>
      <w:r>
        <w:rPr>
          <w:sz w:val="25"/>
        </w:rPr>
        <w:t>The presence of two black Kasauti stone pillars at the entry point of Hanumat</w:t>
      </w:r>
      <w:r>
        <w:rPr>
          <w:spacing w:val="-10"/>
          <w:sz w:val="25"/>
        </w:rPr>
        <w:t> </w:t>
      </w:r>
      <w:r>
        <w:rPr>
          <w:sz w:val="25"/>
        </w:rPr>
        <w:t>Dwar</w:t>
      </w:r>
      <w:r>
        <w:rPr>
          <w:spacing w:val="-11"/>
          <w:sz w:val="25"/>
        </w:rPr>
        <w:t> </w:t>
      </w:r>
      <w:r>
        <w:rPr>
          <w:sz w:val="25"/>
        </w:rPr>
        <w:t>containing</w:t>
      </w:r>
      <w:r>
        <w:rPr>
          <w:spacing w:val="-11"/>
          <w:sz w:val="25"/>
        </w:rPr>
        <w:t> </w:t>
      </w:r>
      <w:r>
        <w:rPr>
          <w:sz w:val="25"/>
        </w:rPr>
        <w:t>engraved</w:t>
      </w:r>
      <w:r>
        <w:rPr>
          <w:spacing w:val="-10"/>
          <w:sz w:val="25"/>
        </w:rPr>
        <w:t> </w:t>
      </w:r>
      <w:r>
        <w:rPr>
          <w:sz w:val="25"/>
        </w:rPr>
        <w:t>images</w:t>
      </w:r>
      <w:r>
        <w:rPr>
          <w:spacing w:val="-12"/>
          <w:sz w:val="25"/>
        </w:rPr>
        <w:t> </w:t>
      </w:r>
      <w:r>
        <w:rPr>
          <w:sz w:val="25"/>
        </w:rPr>
        <w:t>of</w:t>
      </w:r>
      <w:r>
        <w:rPr>
          <w:spacing w:val="-11"/>
          <w:sz w:val="25"/>
        </w:rPr>
        <w:t> </w:t>
      </w:r>
      <w:r>
        <w:rPr>
          <w:sz w:val="25"/>
        </w:rPr>
        <w:t>‗Jai‘</w:t>
      </w:r>
      <w:r>
        <w:rPr>
          <w:spacing w:val="-11"/>
          <w:sz w:val="25"/>
        </w:rPr>
        <w:t> </w:t>
      </w:r>
      <w:r>
        <w:rPr>
          <w:sz w:val="25"/>
        </w:rPr>
        <w:t>and</w:t>
      </w:r>
      <w:r>
        <w:rPr>
          <w:spacing w:val="-11"/>
          <w:sz w:val="25"/>
        </w:rPr>
        <w:t> </w:t>
      </w:r>
      <w:r>
        <w:rPr>
          <w:sz w:val="25"/>
        </w:rPr>
        <w:t>‗Vijai‘;</w:t>
      </w:r>
    </w:p>
    <w:p>
      <w:pPr>
        <w:pStyle w:val="ListParagraph"/>
        <w:numPr>
          <w:ilvl w:val="1"/>
          <w:numId w:val="3"/>
        </w:numPr>
        <w:tabs>
          <w:tab w:pos="1941" w:val="left" w:leader="none"/>
        </w:tabs>
        <w:spacing w:line="480" w:lineRule="auto" w:before="0" w:after="0"/>
        <w:ind w:left="1940" w:right="441" w:hanging="720"/>
        <w:jc w:val="both"/>
        <w:rPr>
          <w:sz w:val="25"/>
        </w:rPr>
      </w:pPr>
      <w:r>
        <w:rPr>
          <w:sz w:val="25"/>
        </w:rPr>
        <w:t>The images of a ‗Garud‘ flanked by lions on either side above Singh Dwar;</w:t>
      </w:r>
    </w:p>
    <w:p>
      <w:pPr>
        <w:pStyle w:val="ListParagraph"/>
        <w:numPr>
          <w:ilvl w:val="1"/>
          <w:numId w:val="3"/>
        </w:numPr>
        <w:tabs>
          <w:tab w:pos="1941" w:val="left" w:leader="none"/>
        </w:tabs>
        <w:spacing w:line="480" w:lineRule="auto" w:before="0" w:after="0"/>
        <w:ind w:left="1940" w:right="448" w:hanging="720"/>
        <w:jc w:val="both"/>
        <w:rPr>
          <w:sz w:val="25"/>
        </w:rPr>
      </w:pPr>
      <w:r>
        <w:rPr>
          <w:sz w:val="25"/>
        </w:rPr>
        <w:t>An</w:t>
      </w:r>
      <w:r>
        <w:rPr>
          <w:spacing w:val="-7"/>
          <w:sz w:val="25"/>
        </w:rPr>
        <w:t> </w:t>
      </w:r>
      <w:r>
        <w:rPr>
          <w:sz w:val="25"/>
        </w:rPr>
        <w:t>engraved</w:t>
      </w:r>
      <w:r>
        <w:rPr>
          <w:spacing w:val="-6"/>
          <w:sz w:val="25"/>
        </w:rPr>
        <w:t> </w:t>
      </w:r>
      <w:r>
        <w:rPr>
          <w:sz w:val="25"/>
        </w:rPr>
        <w:t>stone</w:t>
      </w:r>
      <w:r>
        <w:rPr>
          <w:spacing w:val="-7"/>
          <w:sz w:val="25"/>
        </w:rPr>
        <w:t> </w:t>
      </w:r>
      <w:r>
        <w:rPr>
          <w:sz w:val="25"/>
        </w:rPr>
        <w:t>image</w:t>
      </w:r>
      <w:r>
        <w:rPr>
          <w:spacing w:val="-6"/>
          <w:sz w:val="25"/>
        </w:rPr>
        <w:t> </w:t>
      </w:r>
      <w:r>
        <w:rPr>
          <w:sz w:val="25"/>
        </w:rPr>
        <w:t>of</w:t>
      </w:r>
      <w:r>
        <w:rPr>
          <w:spacing w:val="-7"/>
          <w:sz w:val="25"/>
        </w:rPr>
        <w:t> </w:t>
      </w:r>
      <w:r>
        <w:rPr>
          <w:sz w:val="25"/>
        </w:rPr>
        <w:t>a</w:t>
      </w:r>
      <w:r>
        <w:rPr>
          <w:spacing w:val="-6"/>
          <w:sz w:val="25"/>
        </w:rPr>
        <w:t> </w:t>
      </w:r>
      <w:r>
        <w:rPr>
          <w:sz w:val="25"/>
        </w:rPr>
        <w:t>boar</w:t>
      </w:r>
      <w:r>
        <w:rPr>
          <w:spacing w:val="-6"/>
          <w:sz w:val="25"/>
        </w:rPr>
        <w:t> </w:t>
      </w:r>
      <w:r>
        <w:rPr>
          <w:sz w:val="25"/>
        </w:rPr>
        <w:t>(‗varah‘)</w:t>
      </w:r>
      <w:r>
        <w:rPr>
          <w:spacing w:val="-6"/>
          <w:sz w:val="25"/>
        </w:rPr>
        <w:t> </w:t>
      </w:r>
      <w:r>
        <w:rPr>
          <w:sz w:val="25"/>
        </w:rPr>
        <w:t>on</w:t>
      </w:r>
      <w:r>
        <w:rPr>
          <w:spacing w:val="-7"/>
          <w:sz w:val="25"/>
        </w:rPr>
        <w:t> </w:t>
      </w:r>
      <w:r>
        <w:rPr>
          <w:sz w:val="25"/>
        </w:rPr>
        <w:t>the</w:t>
      </w:r>
      <w:r>
        <w:rPr>
          <w:spacing w:val="-6"/>
          <w:sz w:val="25"/>
        </w:rPr>
        <w:t> </w:t>
      </w:r>
      <w:r>
        <w:rPr>
          <w:sz w:val="25"/>
        </w:rPr>
        <w:t>outer</w:t>
      </w:r>
      <w:r>
        <w:rPr>
          <w:spacing w:val="-6"/>
          <w:sz w:val="25"/>
        </w:rPr>
        <w:t> </w:t>
      </w:r>
      <w:r>
        <w:rPr>
          <w:sz w:val="25"/>
        </w:rPr>
        <w:t>wall,</w:t>
      </w:r>
      <w:r>
        <w:rPr>
          <w:spacing w:val="-6"/>
          <w:sz w:val="25"/>
        </w:rPr>
        <w:t> </w:t>
      </w:r>
      <w:r>
        <w:rPr>
          <w:sz w:val="25"/>
        </w:rPr>
        <w:t>to</w:t>
      </w:r>
      <w:r>
        <w:rPr>
          <w:spacing w:val="-6"/>
          <w:sz w:val="25"/>
        </w:rPr>
        <w:t> </w:t>
      </w:r>
      <w:r>
        <w:rPr>
          <w:sz w:val="25"/>
        </w:rPr>
        <w:t>the south of Hanumat</w:t>
      </w:r>
      <w:r>
        <w:rPr>
          <w:spacing w:val="1"/>
          <w:sz w:val="25"/>
        </w:rPr>
        <w:t> </w:t>
      </w:r>
      <w:r>
        <w:rPr>
          <w:sz w:val="25"/>
        </w:rPr>
        <w:t>Dwar;</w:t>
      </w:r>
    </w:p>
    <w:p>
      <w:pPr>
        <w:pStyle w:val="ListParagraph"/>
        <w:numPr>
          <w:ilvl w:val="1"/>
          <w:numId w:val="3"/>
        </w:numPr>
        <w:tabs>
          <w:tab w:pos="1941" w:val="left" w:leader="none"/>
        </w:tabs>
        <w:spacing w:line="482" w:lineRule="auto" w:before="0" w:after="0"/>
        <w:ind w:left="1940" w:right="444" w:hanging="720"/>
        <w:jc w:val="both"/>
        <w:rPr>
          <w:sz w:val="25"/>
        </w:rPr>
      </w:pPr>
      <w:r>
        <w:rPr>
          <w:sz w:val="25"/>
        </w:rPr>
        <w:t>Ramchabutra admeasuring 17 X 21 feet containing a small temple with idols of Lord Ram and</w:t>
      </w:r>
      <w:r>
        <w:rPr>
          <w:spacing w:val="-5"/>
          <w:sz w:val="25"/>
        </w:rPr>
        <w:t> </w:t>
      </w:r>
      <w:r>
        <w:rPr>
          <w:sz w:val="25"/>
        </w:rPr>
        <w:t>Janki;</w:t>
      </w:r>
    </w:p>
    <w:p>
      <w:pPr>
        <w:pStyle w:val="ListParagraph"/>
        <w:numPr>
          <w:ilvl w:val="1"/>
          <w:numId w:val="3"/>
        </w:numPr>
        <w:tabs>
          <w:tab w:pos="1941" w:val="left" w:leader="none"/>
        </w:tabs>
        <w:spacing w:line="480" w:lineRule="auto" w:before="0" w:after="0"/>
        <w:ind w:left="1940" w:right="437" w:hanging="720"/>
        <w:jc w:val="both"/>
        <w:rPr>
          <w:sz w:val="25"/>
        </w:rPr>
      </w:pPr>
      <w:r>
        <w:rPr>
          <w:sz w:val="25"/>
        </w:rPr>
        <w:t>On the south-eastern corner, a semi-circular platform attached to  the neem-pipal tree containing idols of Panchmukhi Mahadev, Parvati, Ganesh and</w:t>
      </w:r>
      <w:r>
        <w:rPr>
          <w:spacing w:val="1"/>
          <w:sz w:val="25"/>
        </w:rPr>
        <w:t> </w:t>
      </w:r>
      <w:r>
        <w:rPr>
          <w:sz w:val="25"/>
        </w:rPr>
        <w:t>Nandi;</w:t>
      </w:r>
    </w:p>
    <w:p>
      <w:pPr>
        <w:pStyle w:val="ListParagraph"/>
        <w:numPr>
          <w:ilvl w:val="1"/>
          <w:numId w:val="3"/>
        </w:numPr>
        <w:tabs>
          <w:tab w:pos="1941" w:val="left" w:leader="none"/>
        </w:tabs>
        <w:spacing w:line="480" w:lineRule="auto" w:before="0" w:after="0"/>
        <w:ind w:left="1940" w:right="443" w:hanging="720"/>
        <w:jc w:val="both"/>
        <w:rPr>
          <w:sz w:val="25"/>
        </w:rPr>
      </w:pPr>
      <w:r>
        <w:rPr>
          <w:sz w:val="25"/>
        </w:rPr>
        <w:t>The platform called Sita Rasoi containing the foot prints of Lord Ram, Lakshman, Bharat and</w:t>
      </w:r>
      <w:r>
        <w:rPr>
          <w:spacing w:val="-4"/>
          <w:sz w:val="25"/>
        </w:rPr>
        <w:t> </w:t>
      </w:r>
      <w:r>
        <w:rPr>
          <w:sz w:val="25"/>
        </w:rPr>
        <w:t>Shatrughan;</w:t>
      </w:r>
    </w:p>
    <w:p>
      <w:pPr>
        <w:pStyle w:val="ListParagraph"/>
        <w:numPr>
          <w:ilvl w:val="1"/>
          <w:numId w:val="3"/>
        </w:numPr>
        <w:tabs>
          <w:tab w:pos="1941" w:val="left" w:leader="none"/>
        </w:tabs>
        <w:spacing w:line="240" w:lineRule="auto" w:before="0" w:after="0"/>
        <w:ind w:left="1940" w:right="0" w:hanging="721"/>
        <w:jc w:val="both"/>
        <w:rPr>
          <w:sz w:val="25"/>
        </w:rPr>
      </w:pPr>
      <w:r>
        <w:rPr>
          <w:sz w:val="25"/>
        </w:rPr>
        <w:t>The railing separating the inner and outer</w:t>
      </w:r>
      <w:r>
        <w:rPr>
          <w:spacing w:val="27"/>
          <w:sz w:val="25"/>
        </w:rPr>
        <w:t> </w:t>
      </w:r>
      <w:r>
        <w:rPr>
          <w:sz w:val="25"/>
        </w:rPr>
        <w:t>courtyards;</w:t>
      </w:r>
    </w:p>
    <w:p>
      <w:pPr>
        <w:spacing w:after="0" w:line="240" w:lineRule="auto"/>
        <w:jc w:val="both"/>
        <w:rPr>
          <w:sz w:val="25"/>
        </w:rPr>
        <w:sectPr>
          <w:pgSz w:w="11910" w:h="16840"/>
          <w:pgMar w:header="721" w:footer="1014" w:top="1300" w:bottom="1200" w:left="940" w:right="1000"/>
        </w:sectPr>
      </w:pPr>
    </w:p>
    <w:p>
      <w:pPr>
        <w:pStyle w:val="ListParagraph"/>
        <w:numPr>
          <w:ilvl w:val="1"/>
          <w:numId w:val="3"/>
        </w:numPr>
        <w:tabs>
          <w:tab w:pos="1941" w:val="left" w:leader="none"/>
        </w:tabs>
        <w:spacing w:line="480" w:lineRule="auto" w:before="124" w:after="0"/>
        <w:ind w:left="1940" w:right="445" w:hanging="720"/>
        <w:jc w:val="both"/>
        <w:rPr>
          <w:sz w:val="25"/>
        </w:rPr>
      </w:pPr>
      <w:r>
        <w:rPr>
          <w:sz w:val="25"/>
        </w:rPr>
        <w:t>The presence of twelve black Kasauti stone pillars supporting the three arches of the mosque which contained carvings</w:t>
      </w:r>
      <w:r>
        <w:rPr>
          <w:spacing w:val="-7"/>
          <w:sz w:val="25"/>
        </w:rPr>
        <w:t> </w:t>
      </w:r>
      <w:r>
        <w:rPr>
          <w:sz w:val="25"/>
        </w:rPr>
        <w:t>of:</w:t>
      </w:r>
    </w:p>
    <w:p>
      <w:pPr>
        <w:pStyle w:val="ListParagraph"/>
        <w:numPr>
          <w:ilvl w:val="2"/>
          <w:numId w:val="3"/>
        </w:numPr>
        <w:tabs>
          <w:tab w:pos="2660" w:val="left" w:leader="none"/>
          <w:tab w:pos="2661" w:val="left" w:leader="none"/>
        </w:tabs>
        <w:spacing w:line="287" w:lineRule="exact" w:before="0" w:after="0"/>
        <w:ind w:left="2660" w:right="0" w:hanging="721"/>
        <w:jc w:val="left"/>
        <w:rPr>
          <w:sz w:val="25"/>
        </w:rPr>
      </w:pPr>
      <w:r>
        <w:rPr>
          <w:sz w:val="25"/>
        </w:rPr>
        <w:t>Lotus</w:t>
      </w:r>
      <w:r>
        <w:rPr>
          <w:spacing w:val="-1"/>
          <w:sz w:val="25"/>
        </w:rPr>
        <w:t> </w:t>
      </w:r>
      <w:r>
        <w:rPr>
          <w:sz w:val="25"/>
        </w:rPr>
        <w:t>flowers;</w:t>
      </w:r>
    </w:p>
    <w:p>
      <w:pPr>
        <w:pStyle w:val="BodyText"/>
      </w:pPr>
    </w:p>
    <w:p>
      <w:pPr>
        <w:pStyle w:val="ListParagraph"/>
        <w:numPr>
          <w:ilvl w:val="2"/>
          <w:numId w:val="3"/>
        </w:numPr>
        <w:tabs>
          <w:tab w:pos="2660" w:val="left" w:leader="none"/>
          <w:tab w:pos="2661" w:val="left" w:leader="none"/>
        </w:tabs>
        <w:spacing w:line="240" w:lineRule="auto" w:before="1" w:after="0"/>
        <w:ind w:left="2660" w:right="0" w:hanging="721"/>
        <w:jc w:val="left"/>
        <w:rPr>
          <w:sz w:val="25"/>
        </w:rPr>
      </w:pPr>
      <w:r>
        <w:rPr>
          <w:sz w:val="25"/>
        </w:rPr>
        <w:t>Tandava</w:t>
      </w:r>
      <w:r>
        <w:rPr>
          <w:spacing w:val="-2"/>
          <w:sz w:val="25"/>
        </w:rPr>
        <w:t> </w:t>
      </w:r>
      <w:r>
        <w:rPr>
          <w:sz w:val="25"/>
        </w:rPr>
        <w:t>nritya;</w:t>
      </w:r>
    </w:p>
    <w:p>
      <w:pPr>
        <w:pStyle w:val="BodyText"/>
        <w:spacing w:before="10"/>
        <w:rPr>
          <w:sz w:val="24"/>
        </w:rPr>
      </w:pPr>
    </w:p>
    <w:p>
      <w:pPr>
        <w:pStyle w:val="ListParagraph"/>
        <w:numPr>
          <w:ilvl w:val="2"/>
          <w:numId w:val="3"/>
        </w:numPr>
        <w:tabs>
          <w:tab w:pos="2660" w:val="left" w:leader="none"/>
          <w:tab w:pos="2661" w:val="left" w:leader="none"/>
        </w:tabs>
        <w:spacing w:line="240" w:lineRule="auto" w:before="0" w:after="0"/>
        <w:ind w:left="2660" w:right="0" w:hanging="721"/>
        <w:jc w:val="left"/>
        <w:rPr>
          <w:sz w:val="25"/>
        </w:rPr>
      </w:pPr>
      <w:r>
        <w:rPr>
          <w:sz w:val="25"/>
        </w:rPr>
        <w:t>Lord Hanuman;</w:t>
      </w:r>
      <w:r>
        <w:rPr>
          <w:spacing w:val="-3"/>
          <w:sz w:val="25"/>
        </w:rPr>
        <w:t> </w:t>
      </w:r>
      <w:r>
        <w:rPr>
          <w:sz w:val="25"/>
        </w:rPr>
        <w:t>and</w:t>
      </w:r>
    </w:p>
    <w:p>
      <w:pPr>
        <w:pStyle w:val="BodyText"/>
        <w:spacing w:before="1"/>
      </w:pPr>
    </w:p>
    <w:p>
      <w:pPr>
        <w:pStyle w:val="ListParagraph"/>
        <w:numPr>
          <w:ilvl w:val="2"/>
          <w:numId w:val="3"/>
        </w:numPr>
        <w:tabs>
          <w:tab w:pos="2660" w:val="left" w:leader="none"/>
          <w:tab w:pos="2661" w:val="left" w:leader="none"/>
        </w:tabs>
        <w:spacing w:line="240" w:lineRule="auto" w:before="0" w:after="0"/>
        <w:ind w:left="2660" w:right="0" w:hanging="721"/>
        <w:jc w:val="left"/>
        <w:rPr>
          <w:sz w:val="25"/>
        </w:rPr>
      </w:pPr>
      <w:r>
        <w:rPr>
          <w:sz w:val="25"/>
        </w:rPr>
        <w:t>Lord</w:t>
      </w:r>
      <w:r>
        <w:rPr>
          <w:spacing w:val="-2"/>
          <w:sz w:val="25"/>
        </w:rPr>
        <w:t> </w:t>
      </w:r>
      <w:r>
        <w:rPr>
          <w:sz w:val="25"/>
        </w:rPr>
        <w:t>Krishna.</w:t>
      </w:r>
    </w:p>
    <w:p>
      <w:pPr>
        <w:pStyle w:val="BodyText"/>
        <w:rPr>
          <w:sz w:val="28"/>
        </w:rPr>
      </w:pPr>
    </w:p>
    <w:p>
      <w:pPr>
        <w:pStyle w:val="BodyText"/>
        <w:spacing w:before="166"/>
        <w:ind w:left="1940"/>
      </w:pPr>
      <w:r>
        <w:rPr/>
        <w:t>(Carvings on the other pillars had been obliterated);</w:t>
      </w:r>
    </w:p>
    <w:p>
      <w:pPr>
        <w:pStyle w:val="BodyText"/>
        <w:spacing w:before="10"/>
        <w:rPr>
          <w:sz w:val="24"/>
        </w:rPr>
      </w:pPr>
    </w:p>
    <w:p>
      <w:pPr>
        <w:pStyle w:val="ListParagraph"/>
        <w:numPr>
          <w:ilvl w:val="1"/>
          <w:numId w:val="3"/>
        </w:numPr>
        <w:tabs>
          <w:tab w:pos="1941" w:val="left" w:leader="none"/>
        </w:tabs>
        <w:spacing w:line="480" w:lineRule="auto" w:before="0" w:after="0"/>
        <w:ind w:left="1940" w:right="443" w:hanging="720"/>
        <w:jc w:val="both"/>
        <w:rPr>
          <w:sz w:val="25"/>
        </w:rPr>
      </w:pPr>
      <w:r>
        <w:rPr>
          <w:sz w:val="25"/>
        </w:rPr>
        <w:t>The idol of infant Lord Ram placed on a platform with two steps in the central portion of the domed</w:t>
      </w:r>
      <w:r>
        <w:rPr>
          <w:spacing w:val="-3"/>
          <w:sz w:val="25"/>
        </w:rPr>
        <w:t> </w:t>
      </w:r>
      <w:r>
        <w:rPr>
          <w:sz w:val="25"/>
        </w:rPr>
        <w:t>structure;</w:t>
      </w:r>
    </w:p>
    <w:p>
      <w:pPr>
        <w:pStyle w:val="ListParagraph"/>
        <w:numPr>
          <w:ilvl w:val="1"/>
          <w:numId w:val="3"/>
        </w:numPr>
        <w:tabs>
          <w:tab w:pos="1940" w:val="left" w:leader="none"/>
          <w:tab w:pos="1941" w:val="left" w:leader="none"/>
        </w:tabs>
        <w:spacing w:line="287" w:lineRule="exact" w:before="0" w:after="0"/>
        <w:ind w:left="1940" w:right="0" w:hanging="721"/>
        <w:jc w:val="left"/>
        <w:rPr>
          <w:sz w:val="25"/>
        </w:rPr>
      </w:pPr>
      <w:r>
        <w:rPr>
          <w:sz w:val="25"/>
        </w:rPr>
        <w:t>A </w:t>
      </w:r>
      <w:r>
        <w:rPr>
          <w:i/>
          <w:sz w:val="25"/>
        </w:rPr>
        <w:t>parikrama </w:t>
      </w:r>
      <w:r>
        <w:rPr>
          <w:sz w:val="25"/>
        </w:rPr>
        <w:t>around the disputed structure;</w:t>
      </w:r>
      <w:r>
        <w:rPr>
          <w:spacing w:val="-4"/>
          <w:sz w:val="25"/>
        </w:rPr>
        <w:t> </w:t>
      </w:r>
      <w:r>
        <w:rPr>
          <w:sz w:val="25"/>
        </w:rPr>
        <w:t>and</w:t>
      </w:r>
    </w:p>
    <w:p>
      <w:pPr>
        <w:pStyle w:val="BodyText"/>
        <w:spacing w:before="1"/>
      </w:pPr>
    </w:p>
    <w:p>
      <w:pPr>
        <w:pStyle w:val="ListParagraph"/>
        <w:numPr>
          <w:ilvl w:val="1"/>
          <w:numId w:val="3"/>
        </w:numPr>
        <w:tabs>
          <w:tab w:pos="1941" w:val="left" w:leader="none"/>
        </w:tabs>
        <w:spacing w:line="482" w:lineRule="auto" w:before="0" w:after="0"/>
        <w:ind w:left="1940" w:right="436" w:hanging="720"/>
        <w:jc w:val="both"/>
        <w:rPr>
          <w:sz w:val="25"/>
        </w:rPr>
      </w:pPr>
      <w:r>
        <w:rPr>
          <w:sz w:val="25"/>
        </w:rPr>
        <w:t>The existence of structures surrounding the disputed site including huts of sadhus/bairagis and the wall called</w:t>
      </w:r>
      <w:r>
        <w:rPr>
          <w:spacing w:val="-28"/>
          <w:sz w:val="25"/>
        </w:rPr>
        <w:t> </w:t>
      </w:r>
      <w:r>
        <w:rPr>
          <w:sz w:val="25"/>
        </w:rPr>
        <w:t>‗sita-koop‘.</w:t>
      </w:r>
    </w:p>
    <w:p>
      <w:pPr>
        <w:pStyle w:val="BodyText"/>
        <w:rPr>
          <w:sz w:val="28"/>
        </w:rPr>
      </w:pPr>
    </w:p>
    <w:p>
      <w:pPr>
        <w:pStyle w:val="BodyText"/>
        <w:spacing w:before="4"/>
        <w:rPr>
          <w:sz w:val="24"/>
        </w:rPr>
      </w:pPr>
    </w:p>
    <w:p>
      <w:pPr>
        <w:pStyle w:val="Heading3"/>
        <w:numPr>
          <w:ilvl w:val="0"/>
          <w:numId w:val="2"/>
        </w:numPr>
        <w:tabs>
          <w:tab w:pos="1220" w:val="left" w:leader="none"/>
          <w:tab w:pos="1221" w:val="left" w:leader="none"/>
        </w:tabs>
        <w:spacing w:line="240" w:lineRule="auto" w:before="0" w:after="0"/>
        <w:ind w:left="1220" w:right="0" w:hanging="721"/>
        <w:jc w:val="left"/>
      </w:pPr>
      <w:r>
        <w:rPr/>
        <w:t>Points for</w:t>
      </w:r>
      <w:r>
        <w:rPr>
          <w:spacing w:val="-3"/>
        </w:rPr>
        <w:t> </w:t>
      </w:r>
      <w:r>
        <w:rPr/>
        <w:t>determination</w:t>
      </w:r>
    </w:p>
    <w:p>
      <w:pPr>
        <w:pStyle w:val="BodyText"/>
        <w:rPr>
          <w:b/>
          <w:sz w:val="28"/>
        </w:rPr>
      </w:pPr>
    </w:p>
    <w:p>
      <w:pPr>
        <w:pStyle w:val="BodyText"/>
        <w:spacing w:before="217"/>
        <w:ind w:left="500"/>
      </w:pPr>
      <w:r>
        <w:rPr/>
        <w:t>The following points for determination arise in these appeals:</w:t>
      </w:r>
    </w:p>
    <w:p>
      <w:pPr>
        <w:pStyle w:val="BodyText"/>
      </w:pPr>
    </w:p>
    <w:p>
      <w:pPr>
        <w:pStyle w:val="ListParagraph"/>
        <w:numPr>
          <w:ilvl w:val="0"/>
          <w:numId w:val="40"/>
        </w:numPr>
        <w:tabs>
          <w:tab w:pos="1580" w:val="left" w:leader="none"/>
          <w:tab w:pos="1581" w:val="left" w:leader="none"/>
        </w:tabs>
        <w:spacing w:line="240" w:lineRule="auto" w:before="1" w:after="0"/>
        <w:ind w:left="1580" w:right="0" w:hanging="721"/>
        <w:jc w:val="left"/>
        <w:rPr>
          <w:sz w:val="25"/>
        </w:rPr>
      </w:pPr>
      <w:r>
        <w:rPr>
          <w:sz w:val="25"/>
        </w:rPr>
        <w:t>Whether Suits 3, 4 and 5 or any of them are barred by</w:t>
      </w:r>
      <w:r>
        <w:rPr>
          <w:spacing w:val="-14"/>
          <w:sz w:val="25"/>
        </w:rPr>
        <w:t> </w:t>
      </w:r>
      <w:r>
        <w:rPr>
          <w:sz w:val="25"/>
        </w:rPr>
        <w:t>limitation</w:t>
      </w:r>
    </w:p>
    <w:p>
      <w:pPr>
        <w:pStyle w:val="BodyText"/>
        <w:spacing w:before="10"/>
        <w:rPr>
          <w:sz w:val="24"/>
        </w:rPr>
      </w:pPr>
    </w:p>
    <w:p>
      <w:pPr>
        <w:pStyle w:val="ListParagraph"/>
        <w:numPr>
          <w:ilvl w:val="0"/>
          <w:numId w:val="40"/>
        </w:numPr>
        <w:tabs>
          <w:tab w:pos="1580" w:val="left" w:leader="none"/>
          <w:tab w:pos="1581" w:val="left" w:leader="none"/>
        </w:tabs>
        <w:spacing w:line="240" w:lineRule="auto" w:before="0" w:after="0"/>
        <w:ind w:left="1580" w:right="0" w:hanging="721"/>
        <w:jc w:val="left"/>
        <w:rPr>
          <w:i/>
          <w:sz w:val="25"/>
        </w:rPr>
      </w:pPr>
      <w:r>
        <w:rPr>
          <w:sz w:val="25"/>
        </w:rPr>
        <w:t>Whether the decision in Suit 81/280 of 1885 will operate as </w:t>
      </w:r>
      <w:r>
        <w:rPr>
          <w:i/>
          <w:sz w:val="25"/>
        </w:rPr>
        <w:t>res</w:t>
      </w:r>
      <w:r>
        <w:rPr>
          <w:i/>
          <w:spacing w:val="4"/>
          <w:sz w:val="25"/>
        </w:rPr>
        <w:t> </w:t>
      </w:r>
      <w:r>
        <w:rPr>
          <w:i/>
          <w:sz w:val="25"/>
        </w:rPr>
        <w:t>judicata</w:t>
      </w:r>
    </w:p>
    <w:p>
      <w:pPr>
        <w:pStyle w:val="BodyText"/>
        <w:spacing w:before="1"/>
        <w:rPr>
          <w:i/>
        </w:rPr>
      </w:pPr>
    </w:p>
    <w:p>
      <w:pPr>
        <w:pStyle w:val="BodyText"/>
        <w:ind w:left="1580"/>
      </w:pPr>
      <w:r>
        <w:rPr/>
        <w:t>in Suits 1, 3 and 5;</w:t>
      </w:r>
    </w:p>
    <w:p>
      <w:pPr>
        <w:pStyle w:val="BodyText"/>
        <w:spacing w:before="10"/>
        <w:rPr>
          <w:sz w:val="38"/>
        </w:rPr>
      </w:pPr>
    </w:p>
    <w:p>
      <w:pPr>
        <w:pStyle w:val="ListParagraph"/>
        <w:numPr>
          <w:ilvl w:val="0"/>
          <w:numId w:val="40"/>
        </w:numPr>
        <w:tabs>
          <w:tab w:pos="1221" w:val="left" w:leader="none"/>
          <w:tab w:pos="1940" w:val="left" w:leader="none"/>
        </w:tabs>
        <w:spacing w:line="240" w:lineRule="auto" w:before="0" w:after="0"/>
        <w:ind w:left="1220" w:right="0" w:hanging="443"/>
        <w:jc w:val="left"/>
        <w:rPr>
          <w:sz w:val="25"/>
        </w:rPr>
      </w:pPr>
      <w:r>
        <w:rPr>
          <w:sz w:val="25"/>
        </w:rPr>
        <w:t>(a)</w:t>
        <w:tab/>
        <w:t>Whether a Hindu temple existed at the disputed</w:t>
      </w:r>
      <w:r>
        <w:rPr>
          <w:spacing w:val="-5"/>
          <w:sz w:val="25"/>
        </w:rPr>
        <w:t> </w:t>
      </w:r>
      <w:r>
        <w:rPr>
          <w:sz w:val="25"/>
        </w:rPr>
        <w:t>site;</w:t>
      </w:r>
    </w:p>
    <w:p>
      <w:pPr>
        <w:pStyle w:val="BodyText"/>
        <w:spacing w:before="10"/>
        <w:rPr>
          <w:sz w:val="38"/>
        </w:rPr>
      </w:pPr>
    </w:p>
    <w:p>
      <w:pPr>
        <w:pStyle w:val="ListParagraph"/>
        <w:numPr>
          <w:ilvl w:val="0"/>
          <w:numId w:val="41"/>
        </w:numPr>
        <w:tabs>
          <w:tab w:pos="1941" w:val="left" w:leader="none"/>
        </w:tabs>
        <w:spacing w:line="480" w:lineRule="auto" w:before="0" w:after="0"/>
        <w:ind w:left="1940" w:right="439" w:hanging="720"/>
        <w:jc w:val="both"/>
        <w:rPr>
          <w:sz w:val="25"/>
        </w:rPr>
      </w:pPr>
      <w:r>
        <w:rPr>
          <w:sz w:val="25"/>
        </w:rPr>
        <w:t>Whether the temple was demolished by Babur or at his behest by his commander Mir Baqi in 1528 for the construction of the Babri Masjid;</w:t>
      </w:r>
    </w:p>
    <w:p>
      <w:pPr>
        <w:spacing w:after="0" w:line="480" w:lineRule="auto"/>
        <w:jc w:val="both"/>
        <w:rPr>
          <w:sz w:val="25"/>
        </w:rPr>
        <w:sectPr>
          <w:headerReference w:type="default" r:id="rId28"/>
          <w:footerReference w:type="default" r:id="rId29"/>
          <w:pgSz w:w="11910" w:h="16840"/>
          <w:pgMar w:header="721" w:footer="1014" w:top="1300" w:bottom="1200" w:left="940" w:right="1000"/>
          <w:pgNumType w:start="82"/>
        </w:sectPr>
      </w:pPr>
    </w:p>
    <w:p>
      <w:pPr>
        <w:pStyle w:val="ListParagraph"/>
        <w:numPr>
          <w:ilvl w:val="0"/>
          <w:numId w:val="41"/>
        </w:numPr>
        <w:tabs>
          <w:tab w:pos="1941" w:val="left" w:leader="none"/>
        </w:tabs>
        <w:spacing w:line="480" w:lineRule="auto" w:before="124" w:after="0"/>
        <w:ind w:left="1940" w:right="440" w:hanging="720"/>
        <w:jc w:val="both"/>
        <w:rPr>
          <w:sz w:val="25"/>
        </w:rPr>
      </w:pPr>
      <w:r>
        <w:rPr>
          <w:sz w:val="25"/>
        </w:rPr>
        <w:t>Whether the mosque was constructed on the remains of and by using the materials of the temple;</w:t>
      </w:r>
      <w:r>
        <w:rPr>
          <w:spacing w:val="-5"/>
          <w:sz w:val="25"/>
        </w:rPr>
        <w:t> </w:t>
      </w:r>
      <w:r>
        <w:rPr>
          <w:sz w:val="25"/>
        </w:rPr>
        <w:t>and</w:t>
      </w:r>
    </w:p>
    <w:p>
      <w:pPr>
        <w:pStyle w:val="ListParagraph"/>
        <w:numPr>
          <w:ilvl w:val="0"/>
          <w:numId w:val="41"/>
        </w:numPr>
        <w:tabs>
          <w:tab w:pos="1941" w:val="left" w:leader="none"/>
        </w:tabs>
        <w:spacing w:line="480" w:lineRule="auto" w:before="0" w:after="0"/>
        <w:ind w:left="1940" w:right="444" w:hanging="720"/>
        <w:jc w:val="both"/>
        <w:rPr>
          <w:sz w:val="25"/>
        </w:rPr>
      </w:pPr>
      <w:r>
        <w:rPr>
          <w:sz w:val="25"/>
        </w:rPr>
        <w:t>What, if any are the legal consequences arising out of the determination on (a)(b) and (c)</w:t>
      </w:r>
      <w:r>
        <w:rPr>
          <w:spacing w:val="-2"/>
          <w:sz w:val="25"/>
        </w:rPr>
        <w:t> </w:t>
      </w:r>
      <w:r>
        <w:rPr>
          <w:sz w:val="25"/>
        </w:rPr>
        <w:t>above;</w:t>
      </w:r>
    </w:p>
    <w:p>
      <w:pPr>
        <w:pStyle w:val="ListParagraph"/>
        <w:numPr>
          <w:ilvl w:val="0"/>
          <w:numId w:val="40"/>
        </w:numPr>
        <w:tabs>
          <w:tab w:pos="1940" w:val="left" w:leader="none"/>
          <w:tab w:pos="1941" w:val="left" w:leader="none"/>
        </w:tabs>
        <w:spacing w:line="480" w:lineRule="auto" w:before="160" w:after="0"/>
        <w:ind w:left="1940" w:right="444" w:hanging="1169"/>
        <w:jc w:val="both"/>
        <w:rPr>
          <w:sz w:val="25"/>
        </w:rPr>
      </w:pPr>
      <w:r>
        <w:rPr>
          <w:sz w:val="25"/>
        </w:rPr>
        <w:t>Whether the suit property is according to the faith and belief of the Hindus since time immemorial the birth-place of Lord</w:t>
      </w:r>
      <w:r>
        <w:rPr>
          <w:spacing w:val="-10"/>
          <w:sz w:val="25"/>
        </w:rPr>
        <w:t> </w:t>
      </w:r>
      <w:r>
        <w:rPr>
          <w:sz w:val="25"/>
        </w:rPr>
        <w:t>Ram;</w:t>
      </w:r>
    </w:p>
    <w:p>
      <w:pPr>
        <w:pStyle w:val="ListParagraph"/>
        <w:numPr>
          <w:ilvl w:val="0"/>
          <w:numId w:val="40"/>
        </w:numPr>
        <w:tabs>
          <w:tab w:pos="1202" w:val="left" w:leader="none"/>
        </w:tabs>
        <w:spacing w:line="480" w:lineRule="auto" w:before="0" w:after="0"/>
        <w:ind w:left="1940" w:right="445" w:hanging="1169"/>
        <w:jc w:val="both"/>
        <w:rPr>
          <w:sz w:val="25"/>
        </w:rPr>
      </w:pPr>
      <w:r>
        <w:rPr>
          <w:sz w:val="25"/>
        </w:rPr>
        <w:t>(a) Whether the first and the second plaintiffs in Suit  5  are  juristic persons;</w:t>
      </w:r>
    </w:p>
    <w:p>
      <w:pPr>
        <w:pStyle w:val="BodyText"/>
        <w:spacing w:line="480" w:lineRule="auto"/>
        <w:ind w:left="1940" w:right="437" w:hanging="720"/>
        <w:jc w:val="both"/>
      </w:pPr>
      <w:r>
        <w:rPr/>
        <w:t>(b) Whether the third plaintiff was entitled to  represent the first and  second plaintiffs as next</w:t>
      </w:r>
      <w:r>
        <w:rPr>
          <w:spacing w:val="-3"/>
        </w:rPr>
        <w:t> </w:t>
      </w:r>
      <w:r>
        <w:rPr/>
        <w:t>friend;</w:t>
      </w:r>
    </w:p>
    <w:p>
      <w:pPr>
        <w:pStyle w:val="ListParagraph"/>
        <w:numPr>
          <w:ilvl w:val="0"/>
          <w:numId w:val="40"/>
        </w:numPr>
        <w:tabs>
          <w:tab w:pos="1187" w:val="left" w:leader="none"/>
        </w:tabs>
        <w:spacing w:line="480" w:lineRule="auto" w:before="0" w:after="0"/>
        <w:ind w:left="1940" w:right="444" w:hanging="1169"/>
        <w:jc w:val="both"/>
        <w:rPr>
          <w:sz w:val="25"/>
        </w:rPr>
      </w:pPr>
      <w:r>
        <w:rPr>
          <w:sz w:val="25"/>
        </w:rPr>
        <w:t>(a)   Whether Nirmohi Akhara has established its claim of being a shebait of the deity of Lord Ram in the disputed</w:t>
      </w:r>
      <w:r>
        <w:rPr>
          <w:spacing w:val="-9"/>
          <w:sz w:val="25"/>
        </w:rPr>
        <w:t> </w:t>
      </w:r>
      <w:r>
        <w:rPr>
          <w:sz w:val="25"/>
        </w:rPr>
        <w:t>premises;</w:t>
      </w:r>
    </w:p>
    <w:p>
      <w:pPr>
        <w:pStyle w:val="BodyText"/>
        <w:spacing w:line="480" w:lineRule="auto"/>
        <w:ind w:left="1940" w:right="438" w:hanging="720"/>
        <w:jc w:val="both"/>
      </w:pPr>
      <w:r>
        <w:rPr/>
        <w:t>(b) If (a) is in the affirmative, whether the objection of Nirmohi Akhara to the maintainability of Suit 5 is</w:t>
      </w:r>
      <w:r>
        <w:rPr>
          <w:spacing w:val="-2"/>
        </w:rPr>
        <w:t> </w:t>
      </w:r>
      <w:r>
        <w:rPr/>
        <w:t>valid;</w:t>
      </w:r>
    </w:p>
    <w:p>
      <w:pPr>
        <w:pStyle w:val="ListParagraph"/>
        <w:numPr>
          <w:ilvl w:val="0"/>
          <w:numId w:val="40"/>
        </w:numPr>
        <w:tabs>
          <w:tab w:pos="1940" w:val="left" w:leader="none"/>
          <w:tab w:pos="1941" w:val="left" w:leader="none"/>
        </w:tabs>
        <w:spacing w:line="480" w:lineRule="auto" w:before="2" w:after="0"/>
        <w:ind w:left="1940" w:right="444" w:hanging="1145"/>
        <w:jc w:val="both"/>
        <w:rPr>
          <w:sz w:val="25"/>
        </w:rPr>
      </w:pPr>
      <w:r>
        <w:rPr>
          <w:sz w:val="25"/>
        </w:rPr>
        <w:t>Whether during the intervening night of 22/23 December 1949, Hindu idols were installed under the Central dome of Babri Masjid as pleaded in the plaint in Suit</w:t>
      </w:r>
      <w:r>
        <w:rPr>
          <w:spacing w:val="-5"/>
          <w:sz w:val="25"/>
        </w:rPr>
        <w:t> </w:t>
      </w:r>
      <w:r>
        <w:rPr>
          <w:sz w:val="25"/>
        </w:rPr>
        <w:t>4;</w:t>
      </w:r>
    </w:p>
    <w:p>
      <w:pPr>
        <w:pStyle w:val="ListParagraph"/>
        <w:numPr>
          <w:ilvl w:val="0"/>
          <w:numId w:val="40"/>
        </w:numPr>
        <w:tabs>
          <w:tab w:pos="1304" w:val="left" w:leader="none"/>
        </w:tabs>
        <w:spacing w:line="480" w:lineRule="auto" w:before="0" w:after="0"/>
        <w:ind w:left="1940" w:right="441" w:hanging="1162"/>
        <w:jc w:val="both"/>
        <w:rPr>
          <w:sz w:val="25"/>
        </w:rPr>
      </w:pPr>
      <w:r>
        <w:rPr>
          <w:sz w:val="25"/>
        </w:rPr>
        <w:t>(a) Whether it is open to the Court to determine if the three domed structure which existed at the disputed site prior to 6 December 1992 was a mosque in accordance with Islamic</w:t>
      </w:r>
      <w:r>
        <w:rPr>
          <w:spacing w:val="-8"/>
          <w:sz w:val="25"/>
        </w:rPr>
        <w:t> </w:t>
      </w:r>
      <w:r>
        <w:rPr>
          <w:sz w:val="25"/>
        </w:rPr>
        <w:t>tenets;</w:t>
      </w:r>
    </w:p>
    <w:p>
      <w:pPr>
        <w:pStyle w:val="BodyText"/>
        <w:spacing w:line="480" w:lineRule="auto"/>
        <w:ind w:left="1940" w:right="442" w:hanging="675"/>
        <w:jc w:val="both"/>
      </w:pPr>
      <w:r>
        <w:rPr/>
        <w:t>(b) If the answer to (a) is in the affirmative, whether the three domed structure at the disputed site was constructed in accordance with Islamic tenets;</w:t>
      </w:r>
    </w:p>
    <w:p>
      <w:pPr>
        <w:spacing w:after="0" w:line="480" w:lineRule="auto"/>
        <w:jc w:val="both"/>
        <w:sectPr>
          <w:pgSz w:w="11910" w:h="16840"/>
          <w:pgMar w:header="721" w:footer="1014" w:top="1300" w:bottom="1200" w:left="940" w:right="1000"/>
        </w:sectPr>
      </w:pPr>
    </w:p>
    <w:p>
      <w:pPr>
        <w:pStyle w:val="ListParagraph"/>
        <w:numPr>
          <w:ilvl w:val="0"/>
          <w:numId w:val="40"/>
        </w:numPr>
        <w:tabs>
          <w:tab w:pos="1465" w:val="left" w:leader="none"/>
        </w:tabs>
        <w:spacing w:line="480" w:lineRule="auto" w:before="124" w:after="0"/>
        <w:ind w:left="1940" w:right="444" w:hanging="1169"/>
        <w:jc w:val="both"/>
        <w:rPr>
          <w:sz w:val="25"/>
        </w:rPr>
      </w:pPr>
      <w:r>
        <w:rPr>
          <w:sz w:val="25"/>
        </w:rPr>
        <w:t>(a) Whether there was a dedication of the three domed structure as a waqf at the time of its</w:t>
      </w:r>
      <w:r>
        <w:rPr>
          <w:spacing w:val="-5"/>
          <w:sz w:val="25"/>
        </w:rPr>
        <w:t> </w:t>
      </w:r>
      <w:r>
        <w:rPr>
          <w:sz w:val="25"/>
        </w:rPr>
        <w:t>construction;</w:t>
      </w:r>
    </w:p>
    <w:p>
      <w:pPr>
        <w:pStyle w:val="BodyText"/>
        <w:spacing w:line="480" w:lineRule="auto"/>
        <w:ind w:left="1940" w:right="436" w:hanging="449"/>
        <w:jc w:val="both"/>
      </w:pPr>
      <w:r>
        <w:rPr/>
        <w:t>(b) In the alternative to (a) above, whether there is a waqf  by public  user as claimed by the plaintiffs in Suit</w:t>
      </w:r>
      <w:r>
        <w:rPr>
          <w:spacing w:val="-8"/>
        </w:rPr>
        <w:t> </w:t>
      </w:r>
      <w:r>
        <w:rPr/>
        <w:t>4;</w:t>
      </w:r>
    </w:p>
    <w:p>
      <w:pPr>
        <w:pStyle w:val="ListParagraph"/>
        <w:numPr>
          <w:ilvl w:val="0"/>
          <w:numId w:val="40"/>
        </w:numPr>
        <w:tabs>
          <w:tab w:pos="1940" w:val="left" w:leader="none"/>
          <w:tab w:pos="1941" w:val="left" w:leader="none"/>
        </w:tabs>
        <w:spacing w:line="480" w:lineRule="auto" w:before="0" w:after="0"/>
        <w:ind w:left="1940" w:right="447" w:hanging="1092"/>
        <w:jc w:val="both"/>
        <w:rPr>
          <w:sz w:val="25"/>
        </w:rPr>
      </w:pPr>
      <w:r>
        <w:rPr>
          <w:sz w:val="25"/>
        </w:rPr>
        <w:t>Whether the plaintiffs in Suit 4 have established in the alternative their case of adverse</w:t>
      </w:r>
      <w:r>
        <w:rPr>
          <w:spacing w:val="-2"/>
          <w:sz w:val="25"/>
        </w:rPr>
        <w:t> </w:t>
      </w:r>
      <w:r>
        <w:rPr>
          <w:sz w:val="25"/>
        </w:rPr>
        <w:t>possession;</w:t>
      </w:r>
    </w:p>
    <w:p>
      <w:pPr>
        <w:pStyle w:val="ListParagraph"/>
        <w:numPr>
          <w:ilvl w:val="0"/>
          <w:numId w:val="40"/>
        </w:numPr>
        <w:tabs>
          <w:tab w:pos="1940" w:val="left" w:leader="none"/>
          <w:tab w:pos="1941" w:val="left" w:leader="none"/>
        </w:tabs>
        <w:spacing w:line="480" w:lineRule="auto" w:before="160" w:after="0"/>
        <w:ind w:left="1940" w:right="445" w:hanging="1080"/>
        <w:jc w:val="both"/>
        <w:rPr>
          <w:sz w:val="25"/>
        </w:rPr>
      </w:pPr>
      <w:r>
        <w:rPr>
          <w:sz w:val="25"/>
        </w:rPr>
        <w:t>Whether the Muslims and or the Hindus have established the claim of worship and a possessory title over the disputed</w:t>
      </w:r>
      <w:r>
        <w:rPr>
          <w:spacing w:val="-10"/>
          <w:sz w:val="25"/>
        </w:rPr>
        <w:t> </w:t>
      </w:r>
      <w:r>
        <w:rPr>
          <w:sz w:val="25"/>
        </w:rPr>
        <w:t>property;</w:t>
      </w:r>
    </w:p>
    <w:p>
      <w:pPr>
        <w:pStyle w:val="ListParagraph"/>
        <w:numPr>
          <w:ilvl w:val="0"/>
          <w:numId w:val="40"/>
        </w:numPr>
        <w:tabs>
          <w:tab w:pos="1941" w:val="left" w:leader="none"/>
        </w:tabs>
        <w:spacing w:line="480" w:lineRule="auto" w:before="0" w:after="0"/>
        <w:ind w:left="1940" w:right="441" w:hanging="1080"/>
        <w:jc w:val="both"/>
        <w:rPr>
          <w:sz w:val="25"/>
        </w:rPr>
      </w:pPr>
      <w:r>
        <w:rPr>
          <w:sz w:val="25"/>
        </w:rPr>
        <w:t>Whether the plaintiffs in Suit 4 have established their title to the disputed</w:t>
      </w:r>
      <w:r>
        <w:rPr>
          <w:spacing w:val="-1"/>
          <w:sz w:val="25"/>
        </w:rPr>
        <w:t> </w:t>
      </w:r>
      <w:r>
        <w:rPr>
          <w:sz w:val="25"/>
        </w:rPr>
        <w:t>property;</w:t>
      </w:r>
    </w:p>
    <w:p>
      <w:pPr>
        <w:pStyle w:val="ListParagraph"/>
        <w:numPr>
          <w:ilvl w:val="0"/>
          <w:numId w:val="40"/>
        </w:numPr>
        <w:tabs>
          <w:tab w:pos="1941" w:val="left" w:leader="none"/>
        </w:tabs>
        <w:spacing w:line="480" w:lineRule="auto" w:before="0" w:after="0"/>
        <w:ind w:left="1940" w:right="443" w:hanging="1080"/>
        <w:jc w:val="both"/>
        <w:rPr>
          <w:sz w:val="25"/>
        </w:rPr>
      </w:pPr>
      <w:r>
        <w:rPr>
          <w:sz w:val="25"/>
        </w:rPr>
        <w:t>Whether the plaintiff in Suit 5 have established their title to the disputed</w:t>
      </w:r>
      <w:r>
        <w:rPr>
          <w:spacing w:val="-1"/>
          <w:sz w:val="25"/>
        </w:rPr>
        <w:t> </w:t>
      </w:r>
      <w:r>
        <w:rPr>
          <w:sz w:val="25"/>
        </w:rPr>
        <w:t>property;</w:t>
      </w:r>
    </w:p>
    <w:p>
      <w:pPr>
        <w:pStyle w:val="ListParagraph"/>
        <w:numPr>
          <w:ilvl w:val="0"/>
          <w:numId w:val="40"/>
        </w:numPr>
        <w:tabs>
          <w:tab w:pos="1941" w:val="left" w:leader="none"/>
        </w:tabs>
        <w:spacing w:line="480" w:lineRule="auto" w:before="0" w:after="0"/>
        <w:ind w:left="1940" w:right="437" w:hanging="1080"/>
        <w:jc w:val="both"/>
        <w:rPr>
          <w:sz w:val="25"/>
        </w:rPr>
      </w:pPr>
      <w:r>
        <w:rPr>
          <w:sz w:val="25"/>
        </w:rPr>
        <w:t>Whether the High Court was justified in passing a preliminary  decree for a three way division of the disputed property in equal shares between the Nirmohi Akhara, the plaintiffs of Suit 4 and the plaintiffs of Suit</w:t>
      </w:r>
      <w:r>
        <w:rPr>
          <w:spacing w:val="-4"/>
          <w:sz w:val="25"/>
        </w:rPr>
        <w:t> </w:t>
      </w:r>
      <w:r>
        <w:rPr>
          <w:sz w:val="25"/>
        </w:rPr>
        <w:t>5;</w:t>
      </w:r>
    </w:p>
    <w:p>
      <w:pPr>
        <w:pStyle w:val="ListParagraph"/>
        <w:numPr>
          <w:ilvl w:val="0"/>
          <w:numId w:val="40"/>
        </w:numPr>
        <w:tabs>
          <w:tab w:pos="1941" w:val="left" w:leader="none"/>
        </w:tabs>
        <w:spacing w:line="480" w:lineRule="auto" w:before="1" w:after="0"/>
        <w:ind w:left="1940" w:right="440" w:hanging="1080"/>
        <w:jc w:val="both"/>
        <w:rPr>
          <w:sz w:val="25"/>
        </w:rPr>
      </w:pPr>
      <w:r>
        <w:rPr>
          <w:sz w:val="25"/>
        </w:rPr>
        <w:t>Whether the plaintiff in Suit 1 is entitled to the reliefs as claimed in the suit;</w:t>
      </w:r>
      <w:r>
        <w:rPr>
          <w:spacing w:val="1"/>
          <w:sz w:val="25"/>
        </w:rPr>
        <w:t> </w:t>
      </w:r>
      <w:r>
        <w:rPr>
          <w:sz w:val="25"/>
        </w:rPr>
        <w:t>and</w:t>
      </w:r>
    </w:p>
    <w:p>
      <w:pPr>
        <w:pStyle w:val="ListParagraph"/>
        <w:numPr>
          <w:ilvl w:val="0"/>
          <w:numId w:val="40"/>
        </w:numPr>
        <w:tabs>
          <w:tab w:pos="1941" w:val="left" w:leader="none"/>
        </w:tabs>
        <w:spacing w:line="240" w:lineRule="auto" w:before="1" w:after="0"/>
        <w:ind w:left="1940" w:right="0" w:hanging="1081"/>
        <w:jc w:val="both"/>
        <w:rPr>
          <w:sz w:val="25"/>
        </w:rPr>
      </w:pPr>
      <w:r>
        <w:rPr>
          <w:sz w:val="25"/>
        </w:rPr>
        <w:t>What, if any, relief ought to be granted in Suits 1, 3, 4 and</w:t>
      </w:r>
      <w:r>
        <w:rPr>
          <w:spacing w:val="-13"/>
          <w:sz w:val="25"/>
        </w:rPr>
        <w:t> </w:t>
      </w:r>
      <w:r>
        <w:rPr>
          <w:sz w:val="25"/>
        </w:rPr>
        <w:t>5</w:t>
      </w:r>
    </w:p>
    <w:p>
      <w:pPr>
        <w:pStyle w:val="BodyText"/>
        <w:rPr>
          <w:sz w:val="28"/>
        </w:rPr>
      </w:pPr>
    </w:p>
    <w:p>
      <w:pPr>
        <w:pStyle w:val="BodyText"/>
        <w:spacing w:before="4"/>
        <w:rPr>
          <w:sz w:val="38"/>
        </w:rPr>
      </w:pPr>
    </w:p>
    <w:p>
      <w:pPr>
        <w:pStyle w:val="BodyText"/>
        <w:spacing w:line="480" w:lineRule="auto"/>
        <w:ind w:left="500" w:right="442"/>
        <w:jc w:val="both"/>
      </w:pPr>
      <w:r>
        <w:rPr/>
        <w:t>These points will be analysed and dealt with in the course of this judgment. Before analysing the issues in the individual suits, it would be appropriate to discuss certain matters in dispute at the forefront, since they traverse the gamut of the entire</w:t>
      </w:r>
      <w:r>
        <w:rPr>
          <w:spacing w:val="-2"/>
        </w:rPr>
        <w:t> </w:t>
      </w:r>
      <w:r>
        <w:rPr/>
        <w:t>case.</w:t>
      </w:r>
    </w:p>
    <w:p>
      <w:pPr>
        <w:spacing w:after="0" w:line="480" w:lineRule="auto"/>
        <w:jc w:val="both"/>
        <w:sectPr>
          <w:pgSz w:w="11910" w:h="16840"/>
          <w:pgMar w:header="721" w:footer="1014" w:top="1300" w:bottom="1200" w:left="940" w:right="1000"/>
        </w:sectPr>
      </w:pPr>
    </w:p>
    <w:p>
      <w:pPr>
        <w:pStyle w:val="Heading3"/>
        <w:numPr>
          <w:ilvl w:val="0"/>
          <w:numId w:val="2"/>
        </w:numPr>
        <w:tabs>
          <w:tab w:pos="1221" w:val="left" w:leader="none"/>
        </w:tabs>
        <w:spacing w:line="240" w:lineRule="auto" w:before="124" w:after="0"/>
        <w:ind w:left="1220" w:right="0" w:hanging="721"/>
        <w:jc w:val="both"/>
      </w:pPr>
      <w:r>
        <w:rPr/>
        <w:t>The three</w:t>
      </w:r>
      <w:r>
        <w:rPr>
          <w:spacing w:val="-3"/>
        </w:rPr>
        <w:t> </w:t>
      </w:r>
      <w:r>
        <w:rPr/>
        <w:t>inscriptions</w:t>
      </w:r>
    </w:p>
    <w:p>
      <w:pPr>
        <w:pStyle w:val="BodyText"/>
        <w:rPr>
          <w:b/>
          <w:sz w:val="28"/>
        </w:rPr>
      </w:pPr>
    </w:p>
    <w:p>
      <w:pPr>
        <w:pStyle w:val="ListParagraph"/>
        <w:numPr>
          <w:ilvl w:val="0"/>
          <w:numId w:val="3"/>
        </w:numPr>
        <w:tabs>
          <w:tab w:pos="1221" w:val="left" w:leader="none"/>
        </w:tabs>
        <w:spacing w:line="480" w:lineRule="auto" w:before="216" w:after="0"/>
        <w:ind w:left="500" w:right="436" w:firstLine="0"/>
        <w:jc w:val="both"/>
        <w:rPr>
          <w:sz w:val="25"/>
        </w:rPr>
      </w:pPr>
      <w:r>
        <w:rPr>
          <w:sz w:val="25"/>
        </w:rPr>
        <w:t>The case of the </w:t>
      </w:r>
      <w:r>
        <w:rPr>
          <w:color w:val="000009"/>
          <w:sz w:val="25"/>
        </w:rPr>
        <w:t>Sunni Central Waqf Board </w:t>
      </w:r>
      <w:r>
        <w:rPr>
          <w:sz w:val="25"/>
        </w:rPr>
        <w:t>and other plaintiffs in Suit 4 is </w:t>
      </w:r>
      <w:r>
        <w:rPr>
          <w:w w:val="99"/>
          <w:sz w:val="25"/>
        </w:rPr>
        <w:t>tha</w:t>
      </w:r>
      <w:r>
        <w:rPr>
          <w:w w:val="99"/>
          <w:sz w:val="25"/>
        </w:rPr>
        <w:t>t</w:t>
      </w:r>
      <w:r>
        <w:rPr>
          <w:spacing w:val="26"/>
          <w:sz w:val="25"/>
        </w:rPr>
        <w:t> </w:t>
      </w:r>
      <w:r>
        <w:rPr>
          <w:w w:val="99"/>
          <w:sz w:val="25"/>
        </w:rPr>
        <w:t>in</w:t>
      </w:r>
      <w:r>
        <w:rPr>
          <w:spacing w:val="26"/>
          <w:sz w:val="25"/>
        </w:rPr>
        <w:t> </w:t>
      </w:r>
      <w:r>
        <w:rPr>
          <w:w w:val="99"/>
          <w:sz w:val="25"/>
        </w:rPr>
        <w:t>the</w:t>
      </w:r>
      <w:r>
        <w:rPr>
          <w:spacing w:val="27"/>
          <w:sz w:val="25"/>
        </w:rPr>
        <w:t> </w:t>
      </w:r>
      <w:r>
        <w:rPr>
          <w:w w:val="99"/>
          <w:sz w:val="25"/>
        </w:rPr>
        <w:t>town</w:t>
      </w:r>
      <w:r>
        <w:rPr>
          <w:spacing w:val="26"/>
          <w:sz w:val="25"/>
        </w:rPr>
        <w:t> </w:t>
      </w:r>
      <w:r>
        <w:rPr>
          <w:w w:val="99"/>
          <w:sz w:val="25"/>
        </w:rPr>
        <w:t>of</w:t>
      </w:r>
      <w:r>
        <w:rPr>
          <w:spacing w:val="29"/>
          <w:sz w:val="25"/>
        </w:rPr>
        <w:t> </w:t>
      </w:r>
      <w:r>
        <w:rPr>
          <w:spacing w:val="1"/>
          <w:w w:val="99"/>
          <w:sz w:val="25"/>
        </w:rPr>
        <w:t>A</w:t>
      </w:r>
      <w:r>
        <w:rPr>
          <w:spacing w:val="-3"/>
          <w:w w:val="99"/>
          <w:sz w:val="25"/>
        </w:rPr>
        <w:t>y</w:t>
      </w:r>
      <w:r>
        <w:rPr>
          <w:w w:val="99"/>
          <w:sz w:val="25"/>
        </w:rPr>
        <w:t>od</w:t>
      </w:r>
      <w:r>
        <w:rPr>
          <w:spacing w:val="2"/>
          <w:w w:val="99"/>
          <w:sz w:val="25"/>
        </w:rPr>
        <w:t>h</w:t>
      </w:r>
      <w:r>
        <w:rPr>
          <w:spacing w:val="-3"/>
          <w:w w:val="99"/>
          <w:sz w:val="25"/>
        </w:rPr>
        <w:t>y</w:t>
      </w:r>
      <w:r>
        <w:rPr>
          <w:w w:val="99"/>
          <w:sz w:val="25"/>
        </w:rPr>
        <w:t>a</w:t>
      </w:r>
      <w:r>
        <w:rPr>
          <w:spacing w:val="30"/>
          <w:sz w:val="25"/>
        </w:rPr>
        <w:t> </w:t>
      </w:r>
      <w:r>
        <w:rPr>
          <w:w w:val="33"/>
          <w:sz w:val="25"/>
        </w:rPr>
        <w:t>―</w:t>
      </w:r>
      <w:r>
        <w:rPr>
          <w:w w:val="99"/>
          <w:sz w:val="25"/>
        </w:rPr>
        <w:t>there</w:t>
      </w:r>
      <w:r>
        <w:rPr>
          <w:spacing w:val="26"/>
          <w:sz w:val="25"/>
        </w:rPr>
        <w:t> </w:t>
      </w:r>
      <w:r>
        <w:rPr>
          <w:spacing w:val="2"/>
          <w:w w:val="99"/>
          <w:sz w:val="25"/>
        </w:rPr>
        <w:t>e</w:t>
      </w:r>
      <w:r>
        <w:rPr>
          <w:spacing w:val="-3"/>
          <w:w w:val="99"/>
          <w:sz w:val="25"/>
        </w:rPr>
        <w:t>x</w:t>
      </w:r>
      <w:r>
        <w:rPr>
          <w:spacing w:val="-1"/>
          <w:w w:val="99"/>
          <w:sz w:val="25"/>
        </w:rPr>
        <w:t>ist</w:t>
      </w:r>
      <w:r>
        <w:rPr>
          <w:w w:val="99"/>
          <w:sz w:val="25"/>
        </w:rPr>
        <w:t>s</w:t>
      </w:r>
      <w:r>
        <w:rPr>
          <w:spacing w:val="28"/>
          <w:sz w:val="25"/>
        </w:rPr>
        <w:t> </w:t>
      </w:r>
      <w:r>
        <w:rPr>
          <w:spacing w:val="-1"/>
          <w:w w:val="99"/>
          <w:sz w:val="25"/>
        </w:rPr>
        <w:t>a</w:t>
      </w:r>
      <w:r>
        <w:rPr>
          <w:w w:val="99"/>
          <w:sz w:val="25"/>
        </w:rPr>
        <w:t>n</w:t>
      </w:r>
      <w:r>
        <w:rPr>
          <w:spacing w:val="26"/>
          <w:sz w:val="25"/>
        </w:rPr>
        <w:t> </w:t>
      </w:r>
      <w:r>
        <w:rPr>
          <w:spacing w:val="-1"/>
          <w:w w:val="99"/>
          <w:sz w:val="25"/>
        </w:rPr>
        <w:t>a</w:t>
      </w:r>
      <w:r>
        <w:rPr>
          <w:w w:val="99"/>
          <w:sz w:val="25"/>
        </w:rPr>
        <w:t>ncient</w:t>
      </w:r>
      <w:r>
        <w:rPr>
          <w:spacing w:val="26"/>
          <w:sz w:val="25"/>
        </w:rPr>
        <w:t> </w:t>
      </w:r>
      <w:r>
        <w:rPr>
          <w:spacing w:val="-1"/>
          <w:w w:val="99"/>
          <w:sz w:val="25"/>
        </w:rPr>
        <w:t>hist</w:t>
      </w:r>
      <w:r>
        <w:rPr>
          <w:w w:val="99"/>
          <w:sz w:val="25"/>
        </w:rPr>
        <w:t>or</w:t>
      </w:r>
      <w:r>
        <w:rPr>
          <w:spacing w:val="-1"/>
          <w:w w:val="99"/>
          <w:sz w:val="25"/>
        </w:rPr>
        <w:t>i</w:t>
      </w:r>
      <w:r>
        <w:rPr>
          <w:w w:val="99"/>
          <w:sz w:val="25"/>
        </w:rPr>
        <w:t>c</w:t>
      </w:r>
      <w:r>
        <w:rPr>
          <w:spacing w:val="26"/>
          <w:sz w:val="25"/>
        </w:rPr>
        <w:t> </w:t>
      </w:r>
      <w:r>
        <w:rPr>
          <w:w w:val="99"/>
          <w:sz w:val="25"/>
        </w:rPr>
        <w:t>m</w:t>
      </w:r>
      <w:r>
        <w:rPr>
          <w:spacing w:val="-1"/>
          <w:w w:val="99"/>
          <w:sz w:val="25"/>
        </w:rPr>
        <w:t>os</w:t>
      </w:r>
      <w:r>
        <w:rPr>
          <w:w w:val="99"/>
          <w:sz w:val="25"/>
        </w:rPr>
        <w:t>q</w:t>
      </w:r>
      <w:r>
        <w:rPr>
          <w:spacing w:val="-1"/>
          <w:w w:val="99"/>
          <w:sz w:val="25"/>
        </w:rPr>
        <w:t>u</w:t>
      </w:r>
      <w:r>
        <w:rPr>
          <w:w w:val="99"/>
          <w:sz w:val="25"/>
        </w:rPr>
        <w:t>e</w:t>
      </w:r>
      <w:r>
        <w:rPr>
          <w:spacing w:val="26"/>
          <w:sz w:val="25"/>
        </w:rPr>
        <w:t> </w:t>
      </w:r>
      <w:r>
        <w:rPr>
          <w:w w:val="99"/>
          <w:sz w:val="25"/>
        </w:rPr>
        <w:t>co</w:t>
      </w:r>
      <w:r>
        <w:rPr>
          <w:spacing w:val="1"/>
          <w:w w:val="99"/>
          <w:sz w:val="25"/>
        </w:rPr>
        <w:t>m</w:t>
      </w:r>
      <w:r>
        <w:rPr>
          <w:w w:val="99"/>
          <w:sz w:val="25"/>
        </w:rPr>
        <w:t>m</w:t>
      </w:r>
      <w:r>
        <w:rPr>
          <w:spacing w:val="-1"/>
          <w:w w:val="99"/>
          <w:sz w:val="25"/>
        </w:rPr>
        <w:t>o</w:t>
      </w:r>
      <w:r>
        <w:rPr>
          <w:w w:val="99"/>
          <w:sz w:val="25"/>
        </w:rPr>
        <w:t>n</w:t>
      </w:r>
      <w:r>
        <w:rPr>
          <w:spacing w:val="-1"/>
          <w:w w:val="99"/>
          <w:sz w:val="25"/>
        </w:rPr>
        <w:t>ly </w:t>
      </w:r>
      <w:r>
        <w:rPr>
          <w:sz w:val="25"/>
        </w:rPr>
        <w:t>known as Babri Masjid built by Emperor Babur more than 433 years ago, after his conquest of India and his occupation of the territories including the town of Ayodhya‖. The mosque, it has been pleaded, was for the use of Muslims in general as a place of worship and for the performance of religious ceremonies. </w:t>
      </w:r>
      <w:r>
        <w:rPr>
          <w:w w:val="99"/>
          <w:sz w:val="25"/>
        </w:rPr>
        <w:t>T</w:t>
      </w:r>
      <w:r>
        <w:rPr>
          <w:spacing w:val="-1"/>
          <w:w w:val="99"/>
          <w:sz w:val="25"/>
        </w:rPr>
        <w:t>h</w:t>
      </w:r>
      <w:r>
        <w:rPr>
          <w:w w:val="99"/>
          <w:sz w:val="25"/>
        </w:rPr>
        <w:t>e</w:t>
      </w:r>
      <w:r>
        <w:rPr>
          <w:spacing w:val="9"/>
          <w:sz w:val="25"/>
        </w:rPr>
        <w:t> </w:t>
      </w:r>
      <w:r>
        <w:rPr>
          <w:w w:val="99"/>
          <w:sz w:val="25"/>
        </w:rPr>
        <w:t>m</w:t>
      </w:r>
      <w:r>
        <w:rPr>
          <w:spacing w:val="-1"/>
          <w:w w:val="99"/>
          <w:sz w:val="25"/>
        </w:rPr>
        <w:t>os</w:t>
      </w:r>
      <w:r>
        <w:rPr>
          <w:w w:val="99"/>
          <w:sz w:val="25"/>
        </w:rPr>
        <w:t>q</w:t>
      </w:r>
      <w:r>
        <w:rPr>
          <w:spacing w:val="-1"/>
          <w:w w:val="99"/>
          <w:sz w:val="25"/>
        </w:rPr>
        <w:t>u</w:t>
      </w:r>
      <w:r>
        <w:rPr>
          <w:w w:val="99"/>
          <w:sz w:val="25"/>
        </w:rPr>
        <w:t>e</w:t>
      </w:r>
      <w:r>
        <w:rPr>
          <w:spacing w:val="9"/>
          <w:sz w:val="25"/>
        </w:rPr>
        <w:t> </w:t>
      </w:r>
      <w:r>
        <w:rPr>
          <w:spacing w:val="-1"/>
          <w:w w:val="99"/>
          <w:sz w:val="25"/>
        </w:rPr>
        <w:t>a</w:t>
      </w:r>
      <w:r>
        <w:rPr>
          <w:w w:val="99"/>
          <w:sz w:val="25"/>
        </w:rPr>
        <w:t>nd</w:t>
      </w:r>
      <w:r>
        <w:rPr>
          <w:spacing w:val="9"/>
          <w:sz w:val="25"/>
        </w:rPr>
        <w:t> </w:t>
      </w:r>
      <w:r>
        <w:rPr>
          <w:w w:val="99"/>
          <w:sz w:val="25"/>
        </w:rPr>
        <w:t>the</w:t>
      </w:r>
      <w:r>
        <w:rPr>
          <w:spacing w:val="7"/>
          <w:sz w:val="25"/>
        </w:rPr>
        <w:t> </w:t>
      </w:r>
      <w:r>
        <w:rPr>
          <w:spacing w:val="-1"/>
          <w:w w:val="99"/>
          <w:sz w:val="25"/>
        </w:rPr>
        <w:t>a</w:t>
      </w:r>
      <w:r>
        <w:rPr>
          <w:w w:val="99"/>
          <w:sz w:val="25"/>
        </w:rPr>
        <w:t>d</w:t>
      </w:r>
      <w:r>
        <w:rPr>
          <w:spacing w:val="-1"/>
          <w:w w:val="99"/>
          <w:sz w:val="25"/>
        </w:rPr>
        <w:t>joinin</w:t>
      </w:r>
      <w:r>
        <w:rPr>
          <w:w w:val="99"/>
          <w:sz w:val="25"/>
        </w:rPr>
        <w:t>g</w:t>
      </w:r>
      <w:r>
        <w:rPr>
          <w:spacing w:val="10"/>
          <w:sz w:val="25"/>
        </w:rPr>
        <w:t> </w:t>
      </w:r>
      <w:r>
        <w:rPr>
          <w:spacing w:val="-1"/>
          <w:w w:val="99"/>
          <w:sz w:val="25"/>
        </w:rPr>
        <w:t>g</w:t>
      </w:r>
      <w:r>
        <w:rPr>
          <w:w w:val="99"/>
          <w:sz w:val="25"/>
        </w:rPr>
        <w:t>r</w:t>
      </w:r>
      <w:r>
        <w:rPr>
          <w:spacing w:val="-1"/>
          <w:w w:val="99"/>
          <w:sz w:val="25"/>
        </w:rPr>
        <w:t>a</w:t>
      </w:r>
      <w:r>
        <w:rPr>
          <w:spacing w:val="-3"/>
          <w:w w:val="99"/>
          <w:sz w:val="25"/>
        </w:rPr>
        <w:t>v</w:t>
      </w:r>
      <w:r>
        <w:rPr>
          <w:spacing w:val="2"/>
          <w:w w:val="99"/>
          <w:sz w:val="25"/>
        </w:rPr>
        <w:t>e</w:t>
      </w:r>
      <w:r>
        <w:rPr>
          <w:spacing w:val="-3"/>
          <w:w w:val="99"/>
          <w:sz w:val="25"/>
        </w:rPr>
        <w:t>y</w:t>
      </w:r>
      <w:r>
        <w:rPr>
          <w:spacing w:val="-1"/>
          <w:w w:val="99"/>
          <w:sz w:val="25"/>
        </w:rPr>
        <w:t>a</w:t>
      </w:r>
      <w:r>
        <w:rPr>
          <w:w w:val="99"/>
          <w:sz w:val="25"/>
        </w:rPr>
        <w:t>rd</w:t>
      </w:r>
      <w:r>
        <w:rPr>
          <w:spacing w:val="9"/>
          <w:sz w:val="25"/>
        </w:rPr>
        <w:t> </w:t>
      </w:r>
      <w:r>
        <w:rPr>
          <w:spacing w:val="2"/>
          <w:w w:val="99"/>
          <w:sz w:val="25"/>
        </w:rPr>
        <w:t>a</w:t>
      </w:r>
      <w:r>
        <w:rPr>
          <w:w w:val="99"/>
          <w:sz w:val="25"/>
        </w:rPr>
        <w:t>re</w:t>
      </w:r>
      <w:r>
        <w:rPr>
          <w:spacing w:val="9"/>
          <w:sz w:val="25"/>
        </w:rPr>
        <w:t> </w:t>
      </w:r>
      <w:r>
        <w:rPr>
          <w:w w:val="99"/>
          <w:sz w:val="25"/>
        </w:rPr>
        <w:t>stat</w:t>
      </w:r>
      <w:r>
        <w:rPr>
          <w:spacing w:val="-1"/>
          <w:w w:val="99"/>
          <w:sz w:val="25"/>
        </w:rPr>
        <w:t>e</w:t>
      </w:r>
      <w:r>
        <w:rPr>
          <w:w w:val="99"/>
          <w:sz w:val="25"/>
        </w:rPr>
        <w:t>d</w:t>
      </w:r>
      <w:r>
        <w:rPr>
          <w:spacing w:val="9"/>
          <w:sz w:val="25"/>
        </w:rPr>
        <w:t> </w:t>
      </w:r>
      <w:r>
        <w:rPr>
          <w:w w:val="99"/>
          <w:sz w:val="25"/>
        </w:rPr>
        <w:t>to</w:t>
      </w:r>
      <w:r>
        <w:rPr>
          <w:spacing w:val="10"/>
          <w:sz w:val="25"/>
        </w:rPr>
        <w:t> </w:t>
      </w:r>
      <w:r>
        <w:rPr>
          <w:spacing w:val="-3"/>
          <w:w w:val="99"/>
          <w:sz w:val="25"/>
        </w:rPr>
        <w:t>v</w:t>
      </w:r>
      <w:r>
        <w:rPr>
          <w:spacing w:val="-1"/>
          <w:w w:val="99"/>
          <w:sz w:val="25"/>
        </w:rPr>
        <w:t>es</w:t>
      </w:r>
      <w:r>
        <w:rPr>
          <w:w w:val="99"/>
          <w:sz w:val="25"/>
        </w:rPr>
        <w:t>t</w:t>
      </w:r>
      <w:r>
        <w:rPr>
          <w:spacing w:val="10"/>
          <w:sz w:val="25"/>
        </w:rPr>
        <w:t> </w:t>
      </w:r>
      <w:r>
        <w:rPr>
          <w:w w:val="33"/>
          <w:sz w:val="25"/>
        </w:rPr>
        <w:t>―</w:t>
      </w:r>
      <w:r>
        <w:rPr>
          <w:spacing w:val="-1"/>
          <w:w w:val="99"/>
          <w:sz w:val="25"/>
        </w:rPr>
        <w:t>i</w:t>
      </w:r>
      <w:r>
        <w:rPr>
          <w:w w:val="99"/>
          <w:sz w:val="25"/>
        </w:rPr>
        <w:t>n</w:t>
      </w:r>
      <w:r>
        <w:rPr>
          <w:spacing w:val="9"/>
          <w:sz w:val="25"/>
        </w:rPr>
        <w:t> </w:t>
      </w:r>
      <w:r>
        <w:rPr>
          <w:w w:val="99"/>
          <w:sz w:val="25"/>
        </w:rPr>
        <w:t>t</w:t>
      </w:r>
      <w:r>
        <w:rPr>
          <w:spacing w:val="2"/>
          <w:w w:val="99"/>
          <w:sz w:val="25"/>
        </w:rPr>
        <w:t>h</w:t>
      </w:r>
      <w:r>
        <w:rPr>
          <w:w w:val="99"/>
          <w:sz w:val="25"/>
        </w:rPr>
        <w:t>e</w:t>
      </w:r>
      <w:r>
        <w:rPr>
          <w:spacing w:val="9"/>
          <w:sz w:val="25"/>
        </w:rPr>
        <w:t> </w:t>
      </w:r>
      <w:r>
        <w:rPr>
          <w:spacing w:val="-1"/>
          <w:w w:val="99"/>
          <w:sz w:val="25"/>
        </w:rPr>
        <w:t>Almi</w:t>
      </w:r>
      <w:r>
        <w:rPr>
          <w:w w:val="99"/>
          <w:sz w:val="25"/>
        </w:rPr>
        <w:t>g</w:t>
      </w:r>
      <w:r>
        <w:rPr>
          <w:spacing w:val="-1"/>
          <w:w w:val="99"/>
          <w:sz w:val="25"/>
        </w:rPr>
        <w:t>h</w:t>
      </w:r>
      <w:r>
        <w:rPr>
          <w:spacing w:val="2"/>
          <w:w w:val="99"/>
          <w:sz w:val="25"/>
        </w:rPr>
        <w:t>t</w:t>
      </w:r>
      <w:r>
        <w:rPr>
          <w:spacing w:val="-3"/>
          <w:w w:val="99"/>
          <w:sz w:val="25"/>
        </w:rPr>
        <w:t>y</w:t>
      </w:r>
      <w:r>
        <w:rPr>
          <w:w w:val="80"/>
          <w:sz w:val="25"/>
        </w:rPr>
        <w:t>‖</w:t>
      </w:r>
      <w:r>
        <w:rPr>
          <w:spacing w:val="10"/>
          <w:sz w:val="25"/>
        </w:rPr>
        <w:t> </w:t>
      </w:r>
      <w:r>
        <w:rPr>
          <w:spacing w:val="-1"/>
          <w:w w:val="99"/>
          <w:sz w:val="25"/>
        </w:rPr>
        <w:t>a</w:t>
      </w:r>
      <w:r>
        <w:rPr>
          <w:w w:val="99"/>
          <w:sz w:val="25"/>
        </w:rPr>
        <w:t>nd </w:t>
      </w:r>
      <w:r>
        <w:rPr>
          <w:sz w:val="25"/>
        </w:rPr>
        <w:t>the mosque since the time of its inscription is stated to have been </w:t>
      </w:r>
      <w:r>
        <w:rPr>
          <w:spacing w:val="2"/>
          <w:sz w:val="25"/>
        </w:rPr>
        <w:t>used </w:t>
      </w:r>
      <w:r>
        <w:rPr>
          <w:sz w:val="25"/>
        </w:rPr>
        <w:t>by Muslims for offering prayers. Thus, the plaintiffs have come forth with a positive case in regard to</w:t>
      </w:r>
      <w:r>
        <w:rPr>
          <w:spacing w:val="-4"/>
          <w:sz w:val="25"/>
        </w:rPr>
        <w:t> </w:t>
      </w:r>
      <w:r>
        <w:rPr>
          <w:sz w:val="25"/>
        </w:rPr>
        <w:t>the:</w:t>
      </w:r>
    </w:p>
    <w:p>
      <w:pPr>
        <w:pStyle w:val="ListParagraph"/>
        <w:numPr>
          <w:ilvl w:val="0"/>
          <w:numId w:val="42"/>
        </w:numPr>
        <w:tabs>
          <w:tab w:pos="1221" w:val="left" w:leader="none"/>
        </w:tabs>
        <w:spacing w:line="240" w:lineRule="auto" w:before="2" w:after="0"/>
        <w:ind w:left="1220" w:right="0" w:hanging="721"/>
        <w:jc w:val="both"/>
        <w:rPr>
          <w:sz w:val="25"/>
        </w:rPr>
      </w:pPr>
      <w:r>
        <w:rPr>
          <w:sz w:val="25"/>
        </w:rPr>
        <w:t>Existence of a</w:t>
      </w:r>
      <w:r>
        <w:rPr>
          <w:spacing w:val="-3"/>
          <w:sz w:val="25"/>
        </w:rPr>
        <w:t> </w:t>
      </w:r>
      <w:r>
        <w:rPr>
          <w:sz w:val="25"/>
        </w:rPr>
        <w:t>mosque;</w:t>
      </w:r>
    </w:p>
    <w:p>
      <w:pPr>
        <w:pStyle w:val="BodyText"/>
        <w:spacing w:before="10"/>
        <w:rPr>
          <w:sz w:val="24"/>
        </w:rPr>
      </w:pPr>
    </w:p>
    <w:p>
      <w:pPr>
        <w:pStyle w:val="ListParagraph"/>
        <w:numPr>
          <w:ilvl w:val="0"/>
          <w:numId w:val="42"/>
        </w:numPr>
        <w:tabs>
          <w:tab w:pos="1220" w:val="left" w:leader="none"/>
          <w:tab w:pos="1221" w:val="left" w:leader="none"/>
        </w:tabs>
        <w:spacing w:line="480" w:lineRule="auto" w:before="0" w:after="0"/>
        <w:ind w:left="1220" w:right="446" w:hanging="720"/>
        <w:jc w:val="left"/>
        <w:rPr>
          <w:sz w:val="25"/>
        </w:rPr>
      </w:pPr>
      <w:r>
        <w:rPr>
          <w:sz w:val="25"/>
        </w:rPr>
        <w:t>Construction of the mosque by Babur 433 years prior to the institution of the Suit in</w:t>
      </w:r>
      <w:r>
        <w:rPr>
          <w:spacing w:val="-1"/>
          <w:sz w:val="25"/>
        </w:rPr>
        <w:t> </w:t>
      </w:r>
      <w:r>
        <w:rPr>
          <w:sz w:val="25"/>
        </w:rPr>
        <w:t>1961;</w:t>
      </w:r>
    </w:p>
    <w:p>
      <w:pPr>
        <w:pStyle w:val="ListParagraph"/>
        <w:numPr>
          <w:ilvl w:val="0"/>
          <w:numId w:val="42"/>
        </w:numPr>
        <w:tabs>
          <w:tab w:pos="1220" w:val="left" w:leader="none"/>
          <w:tab w:pos="1221" w:val="left" w:leader="none"/>
        </w:tabs>
        <w:spacing w:line="480" w:lineRule="auto" w:before="0" w:after="0"/>
        <w:ind w:left="1220" w:right="440" w:hanging="720"/>
        <w:jc w:val="left"/>
        <w:rPr>
          <w:sz w:val="25"/>
        </w:rPr>
      </w:pPr>
      <w:r>
        <w:rPr>
          <w:sz w:val="25"/>
        </w:rPr>
        <w:t>Construction of the mosque as a place of worship and for religious ceremonies;</w:t>
      </w:r>
      <w:r>
        <w:rPr>
          <w:spacing w:val="-2"/>
          <w:sz w:val="25"/>
        </w:rPr>
        <w:t> </w:t>
      </w:r>
      <w:r>
        <w:rPr>
          <w:sz w:val="25"/>
        </w:rPr>
        <w:t>and</w:t>
      </w:r>
    </w:p>
    <w:p>
      <w:pPr>
        <w:pStyle w:val="ListParagraph"/>
        <w:numPr>
          <w:ilvl w:val="0"/>
          <w:numId w:val="42"/>
        </w:numPr>
        <w:tabs>
          <w:tab w:pos="1220" w:val="left" w:leader="none"/>
          <w:tab w:pos="1221" w:val="left" w:leader="none"/>
        </w:tabs>
        <w:spacing w:line="480" w:lineRule="auto" w:before="2" w:after="0"/>
        <w:ind w:left="1220" w:right="443" w:hanging="720"/>
        <w:jc w:val="left"/>
        <w:rPr>
          <w:sz w:val="25"/>
        </w:rPr>
      </w:pPr>
      <w:r>
        <w:rPr>
          <w:sz w:val="25"/>
        </w:rPr>
        <w:t>Use of the mosque since its construction for the purpose of offering prayers.</w:t>
      </w:r>
    </w:p>
    <w:p>
      <w:pPr>
        <w:pStyle w:val="BodyText"/>
        <w:spacing w:before="10"/>
        <w:rPr>
          <w:sz w:val="24"/>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Justice Sudhir Agarwal recorded in his judgment that it is accepted by the counsel appearing on behalf of the </w:t>
      </w:r>
      <w:r>
        <w:rPr>
          <w:color w:val="000009"/>
          <w:sz w:val="25"/>
        </w:rPr>
        <w:t>Sunni Central Waqf Board </w:t>
      </w:r>
      <w:r>
        <w:rPr>
          <w:sz w:val="25"/>
        </w:rPr>
        <w:t>that the </w:t>
      </w:r>
      <w:r>
        <w:rPr>
          <w:b/>
          <w:sz w:val="25"/>
        </w:rPr>
        <w:t>sole </w:t>
      </w:r>
      <w:r>
        <w:rPr>
          <w:sz w:val="25"/>
        </w:rPr>
        <w:t>basis for determining the date of the construction of the mosque and correlating it to Babur consists of the inscriptions stated to have been installed on the mosque as referred</w:t>
      </w:r>
      <w:r>
        <w:rPr>
          <w:spacing w:val="8"/>
          <w:sz w:val="25"/>
        </w:rPr>
        <w:t> </w:t>
      </w:r>
      <w:r>
        <w:rPr>
          <w:sz w:val="25"/>
        </w:rPr>
        <w:t>to</w:t>
      </w:r>
      <w:r>
        <w:rPr>
          <w:spacing w:val="8"/>
          <w:sz w:val="25"/>
        </w:rPr>
        <w:t> </w:t>
      </w:r>
      <w:r>
        <w:rPr>
          <w:sz w:val="25"/>
        </w:rPr>
        <w:t>in</w:t>
      </w:r>
      <w:r>
        <w:rPr>
          <w:spacing w:val="8"/>
          <w:sz w:val="25"/>
        </w:rPr>
        <w:t> </w:t>
      </w:r>
      <w:r>
        <w:rPr>
          <w:sz w:val="25"/>
        </w:rPr>
        <w:t>the</w:t>
      </w:r>
      <w:r>
        <w:rPr>
          <w:spacing w:val="10"/>
          <w:sz w:val="25"/>
        </w:rPr>
        <w:t> </w:t>
      </w:r>
      <w:r>
        <w:rPr>
          <w:sz w:val="25"/>
        </w:rPr>
        <w:t>gazetteers</w:t>
      </w:r>
      <w:r>
        <w:rPr>
          <w:spacing w:val="8"/>
          <w:sz w:val="25"/>
        </w:rPr>
        <w:t> </w:t>
      </w:r>
      <w:r>
        <w:rPr>
          <w:sz w:val="25"/>
        </w:rPr>
        <w:t>and</w:t>
      </w:r>
      <w:r>
        <w:rPr>
          <w:spacing w:val="8"/>
          <w:sz w:val="25"/>
        </w:rPr>
        <w:t> </w:t>
      </w:r>
      <w:r>
        <w:rPr>
          <w:sz w:val="25"/>
        </w:rPr>
        <w:t>other</w:t>
      </w:r>
      <w:r>
        <w:rPr>
          <w:spacing w:val="7"/>
          <w:sz w:val="25"/>
        </w:rPr>
        <w:t> </w:t>
      </w:r>
      <w:r>
        <w:rPr>
          <w:sz w:val="25"/>
        </w:rPr>
        <w:t>documents.</w:t>
      </w:r>
      <w:r>
        <w:rPr>
          <w:spacing w:val="8"/>
          <w:sz w:val="25"/>
        </w:rPr>
        <w:t> </w:t>
      </w:r>
      <w:r>
        <w:rPr>
          <w:sz w:val="25"/>
        </w:rPr>
        <w:t>In</w:t>
      </w:r>
      <w:r>
        <w:rPr>
          <w:spacing w:val="9"/>
          <w:sz w:val="25"/>
        </w:rPr>
        <w:t> </w:t>
      </w:r>
      <w:r>
        <w:rPr>
          <w:sz w:val="25"/>
        </w:rPr>
        <w:t>paragraph</w:t>
      </w:r>
      <w:r>
        <w:rPr>
          <w:spacing w:val="8"/>
          <w:sz w:val="25"/>
        </w:rPr>
        <w:t> </w:t>
      </w:r>
      <w:r>
        <w:rPr>
          <w:sz w:val="25"/>
        </w:rPr>
        <w:t>1435,</w:t>
      </w:r>
      <w:r>
        <w:rPr>
          <w:spacing w:val="8"/>
          <w:sz w:val="25"/>
        </w:rPr>
        <w:t> </w:t>
      </w:r>
      <w:r>
        <w:rPr>
          <w:sz w:val="25"/>
        </w:rPr>
        <w:t>the</w:t>
      </w:r>
    </w:p>
    <w:p>
      <w:pPr>
        <w:spacing w:after="0" w:line="480" w:lineRule="auto"/>
        <w:jc w:val="both"/>
        <w:rPr>
          <w:sz w:val="25"/>
        </w:rPr>
        <w:sectPr>
          <w:headerReference w:type="default" r:id="rId30"/>
          <w:footerReference w:type="default" r:id="rId31"/>
          <w:pgSz w:w="11910" w:h="16840"/>
          <w:pgMar w:header="721" w:footer="1014" w:top="1300" w:bottom="1200" w:left="940" w:right="1000"/>
          <w:pgNumType w:start="85"/>
        </w:sectPr>
      </w:pPr>
    </w:p>
    <w:p>
      <w:pPr>
        <w:pStyle w:val="BodyText"/>
        <w:spacing w:before="124"/>
        <w:ind w:left="500"/>
        <w:jc w:val="both"/>
      </w:pPr>
      <w:r>
        <w:rPr/>
        <w:t>learned Judge observed:</w:t>
      </w:r>
    </w:p>
    <w:p>
      <w:pPr>
        <w:pStyle w:val="BodyText"/>
      </w:pPr>
    </w:p>
    <w:p>
      <w:pPr>
        <w:spacing w:line="276" w:lineRule="auto" w:before="0"/>
        <w:ind w:left="1940" w:right="2261" w:firstLine="0"/>
        <w:jc w:val="both"/>
        <w:rPr>
          <w:sz w:val="21"/>
        </w:rPr>
      </w:pPr>
      <w:r>
        <w:rPr>
          <w:spacing w:val="-1"/>
          <w:w w:val="33"/>
          <w:sz w:val="21"/>
        </w:rPr>
        <w:t>―</w:t>
      </w:r>
      <w:r>
        <w:rPr>
          <w:w w:val="100"/>
          <w:sz w:val="21"/>
        </w:rPr>
        <w:t>B</w:t>
      </w:r>
      <w:r>
        <w:rPr>
          <w:spacing w:val="-1"/>
          <w:w w:val="100"/>
          <w:sz w:val="21"/>
        </w:rPr>
        <w:t>roa</w:t>
      </w:r>
      <w:r>
        <w:rPr>
          <w:spacing w:val="-2"/>
          <w:w w:val="100"/>
          <w:sz w:val="21"/>
        </w:rPr>
        <w:t>d</w:t>
      </w:r>
      <w:r>
        <w:rPr>
          <w:w w:val="100"/>
          <w:sz w:val="21"/>
        </w:rPr>
        <w:t>l</w:t>
      </w:r>
      <w:r>
        <w:rPr>
          <w:spacing w:val="-3"/>
          <w:w w:val="100"/>
          <w:sz w:val="21"/>
        </w:rPr>
        <w:t>y</w:t>
      </w:r>
      <w:r>
        <w:rPr>
          <w:w w:val="100"/>
          <w:sz w:val="21"/>
        </w:rPr>
        <w:t>,</w:t>
      </w:r>
      <w:r>
        <w:rPr>
          <w:spacing w:val="21"/>
          <w:sz w:val="21"/>
        </w:rPr>
        <w:t> </w:t>
      </w:r>
      <w:r>
        <w:rPr>
          <w:spacing w:val="-2"/>
          <w:w w:val="100"/>
          <w:sz w:val="21"/>
        </w:rPr>
        <w:t>w</w:t>
      </w:r>
      <w:r>
        <w:rPr>
          <w:w w:val="100"/>
          <w:sz w:val="21"/>
        </w:rPr>
        <w:t>e</w:t>
      </w:r>
      <w:r>
        <w:rPr>
          <w:spacing w:val="23"/>
          <w:sz w:val="21"/>
        </w:rPr>
        <w:t> </w:t>
      </w:r>
      <w:r>
        <w:rPr>
          <w:spacing w:val="1"/>
          <w:w w:val="100"/>
          <w:sz w:val="21"/>
        </w:rPr>
        <w:t>f</w:t>
      </w:r>
      <w:r>
        <w:rPr>
          <w:w w:val="100"/>
          <w:sz w:val="21"/>
        </w:rPr>
        <w:t>i</w:t>
      </w:r>
      <w:r>
        <w:rPr>
          <w:spacing w:val="-1"/>
          <w:w w:val="100"/>
          <w:sz w:val="21"/>
        </w:rPr>
        <w:t>n</w:t>
      </w:r>
      <w:r>
        <w:rPr>
          <w:w w:val="100"/>
          <w:sz w:val="21"/>
        </w:rPr>
        <w:t>d</w:t>
      </w:r>
      <w:r>
        <w:rPr>
          <w:spacing w:val="21"/>
          <w:sz w:val="21"/>
        </w:rPr>
        <w:t> </w:t>
      </w:r>
      <w:r>
        <w:rPr>
          <w:spacing w:val="-1"/>
          <w:w w:val="100"/>
          <w:sz w:val="21"/>
        </w:rPr>
        <w:t>an</w:t>
      </w:r>
      <w:r>
        <w:rPr>
          <w:w w:val="100"/>
          <w:sz w:val="21"/>
        </w:rPr>
        <w:t>d</w:t>
      </w:r>
      <w:r>
        <w:rPr>
          <w:spacing w:val="21"/>
          <w:sz w:val="21"/>
        </w:rPr>
        <w:t> </w:t>
      </w:r>
      <w:r>
        <w:rPr>
          <w:w w:val="100"/>
          <w:sz w:val="21"/>
        </w:rPr>
        <w:t>in</w:t>
      </w:r>
      <w:r>
        <w:rPr>
          <w:spacing w:val="23"/>
          <w:sz w:val="21"/>
        </w:rPr>
        <w:t> </w:t>
      </w:r>
      <w:r>
        <w:rPr>
          <w:spacing w:val="-2"/>
          <w:w w:val="100"/>
          <w:sz w:val="21"/>
        </w:rPr>
        <w:t>f</w:t>
      </w:r>
      <w:r>
        <w:rPr>
          <w:spacing w:val="-1"/>
          <w:w w:val="100"/>
          <w:sz w:val="21"/>
        </w:rPr>
        <w:t>ac</w:t>
      </w:r>
      <w:r>
        <w:rPr>
          <w:w w:val="100"/>
          <w:sz w:val="21"/>
        </w:rPr>
        <w:t>t</w:t>
      </w:r>
      <w:r>
        <w:rPr>
          <w:spacing w:val="22"/>
          <w:sz w:val="21"/>
        </w:rPr>
        <w:t> </w:t>
      </w:r>
      <w:r>
        <w:rPr>
          <w:w w:val="100"/>
          <w:sz w:val="21"/>
        </w:rPr>
        <w:t>it</w:t>
      </w:r>
      <w:r>
        <w:rPr>
          <w:spacing w:val="21"/>
          <w:sz w:val="21"/>
        </w:rPr>
        <w:t> </w:t>
      </w:r>
      <w:r>
        <w:rPr>
          <w:w w:val="100"/>
          <w:sz w:val="21"/>
        </w:rPr>
        <w:t>is</w:t>
      </w:r>
      <w:r>
        <w:rPr>
          <w:spacing w:val="22"/>
          <w:sz w:val="21"/>
        </w:rPr>
        <w:t> </w:t>
      </w:r>
      <w:r>
        <w:rPr>
          <w:spacing w:val="-1"/>
          <w:w w:val="100"/>
          <w:sz w:val="21"/>
        </w:rPr>
        <w:t>e</w:t>
      </w:r>
      <w:r>
        <w:rPr>
          <w:spacing w:val="-3"/>
          <w:w w:val="100"/>
          <w:sz w:val="21"/>
        </w:rPr>
        <w:t>v</w:t>
      </w:r>
      <w:r>
        <w:rPr>
          <w:spacing w:val="-1"/>
          <w:w w:val="100"/>
          <w:sz w:val="21"/>
        </w:rPr>
        <w:t>e</w:t>
      </w:r>
      <w:r>
        <w:rPr>
          <w:w w:val="100"/>
          <w:sz w:val="21"/>
        </w:rPr>
        <w:t>n</w:t>
      </w:r>
      <w:r>
        <w:rPr>
          <w:spacing w:val="23"/>
          <w:sz w:val="21"/>
        </w:rPr>
        <w:t> </w:t>
      </w:r>
      <w:r>
        <w:rPr>
          <w:spacing w:val="-1"/>
          <w:w w:val="100"/>
          <w:sz w:val="21"/>
        </w:rPr>
        <w:t>a</w:t>
      </w:r>
      <w:r>
        <w:rPr>
          <w:spacing w:val="-3"/>
          <w:w w:val="100"/>
          <w:sz w:val="21"/>
        </w:rPr>
        <w:t>d</w:t>
      </w:r>
      <w:r>
        <w:rPr>
          <w:spacing w:val="-1"/>
          <w:w w:val="100"/>
          <w:sz w:val="21"/>
        </w:rPr>
        <w:t>m</w:t>
      </w:r>
      <w:r>
        <w:rPr>
          <w:w w:val="100"/>
          <w:sz w:val="21"/>
        </w:rPr>
        <w:t>i</w:t>
      </w:r>
      <w:r>
        <w:rPr>
          <w:spacing w:val="-2"/>
          <w:w w:val="100"/>
          <w:sz w:val="21"/>
        </w:rPr>
        <w:t>tt</w:t>
      </w:r>
      <w:r>
        <w:rPr>
          <w:spacing w:val="-1"/>
          <w:w w:val="100"/>
          <w:sz w:val="21"/>
        </w:rPr>
        <w:t>e</w:t>
      </w:r>
      <w:r>
        <w:rPr>
          <w:w w:val="100"/>
          <w:sz w:val="21"/>
        </w:rPr>
        <w:t>d</w:t>
      </w:r>
      <w:r>
        <w:rPr>
          <w:spacing w:val="23"/>
          <w:sz w:val="21"/>
        </w:rPr>
        <w:t> </w:t>
      </w:r>
      <w:r>
        <w:rPr>
          <w:spacing w:val="-1"/>
          <w:w w:val="100"/>
          <w:sz w:val="21"/>
        </w:rPr>
        <w:t>b</w:t>
      </w:r>
      <w:r>
        <w:rPr>
          <w:w w:val="100"/>
          <w:sz w:val="21"/>
        </w:rPr>
        <w:t>y</w:t>
      </w:r>
      <w:r>
        <w:rPr>
          <w:spacing w:val="20"/>
          <w:sz w:val="21"/>
        </w:rPr>
        <w:t> </w:t>
      </w:r>
      <w:r>
        <w:rPr>
          <w:w w:val="100"/>
          <w:sz w:val="21"/>
        </w:rPr>
        <w:t>S</w:t>
      </w:r>
      <w:r>
        <w:rPr>
          <w:spacing w:val="-1"/>
          <w:w w:val="100"/>
          <w:sz w:val="21"/>
        </w:rPr>
        <w:t>r</w:t>
      </w:r>
      <w:r>
        <w:rPr>
          <w:w w:val="100"/>
          <w:sz w:val="21"/>
        </w:rPr>
        <w:t>i</w:t>
      </w:r>
      <w:r>
        <w:rPr>
          <w:spacing w:val="23"/>
          <w:sz w:val="21"/>
        </w:rPr>
        <w:t> </w:t>
      </w:r>
      <w:r>
        <w:rPr>
          <w:w w:val="100"/>
          <w:sz w:val="21"/>
        </w:rPr>
        <w:t>J</w:t>
      </w:r>
      <w:r>
        <w:rPr>
          <w:spacing w:val="-2"/>
          <w:w w:val="100"/>
          <w:sz w:val="21"/>
        </w:rPr>
        <w:t>i</w:t>
      </w:r>
      <w:r>
        <w:rPr>
          <w:w w:val="100"/>
          <w:sz w:val="21"/>
        </w:rPr>
        <w:t>l</w:t>
      </w:r>
      <w:r>
        <w:rPr>
          <w:spacing w:val="-3"/>
          <w:w w:val="100"/>
          <w:sz w:val="21"/>
        </w:rPr>
        <w:t>an</w:t>
      </w:r>
      <w:r>
        <w:rPr>
          <w:w w:val="100"/>
          <w:sz w:val="21"/>
        </w:rPr>
        <w:t>i </w:t>
      </w:r>
      <w:r>
        <w:rPr>
          <w:sz w:val="21"/>
        </w:rPr>
        <w:t>that the sole basis for determining the period of construction of the disputed building and to co-relate it with Emperor Babar is/are the inscription(s) said to be installed in the disputed building referred to in certain Gazetteers</w:t>
      </w:r>
      <w:r>
        <w:rPr>
          <w:spacing w:val="-14"/>
          <w:sz w:val="21"/>
        </w:rPr>
        <w:t> </w:t>
      </w:r>
      <w:r>
        <w:rPr>
          <w:sz w:val="21"/>
        </w:rPr>
        <w:t>etc.‖</w:t>
      </w:r>
    </w:p>
    <w:p>
      <w:pPr>
        <w:pStyle w:val="BodyText"/>
        <w:rPr>
          <w:sz w:val="24"/>
        </w:rPr>
      </w:pPr>
    </w:p>
    <w:p>
      <w:pPr>
        <w:pStyle w:val="BodyText"/>
        <w:rPr>
          <w:sz w:val="24"/>
        </w:rPr>
      </w:pPr>
    </w:p>
    <w:p>
      <w:pPr>
        <w:pStyle w:val="BodyText"/>
        <w:spacing w:line="480" w:lineRule="auto" w:before="167"/>
        <w:ind w:left="500" w:right="437"/>
        <w:jc w:val="both"/>
      </w:pPr>
      <w:r>
        <w:rPr/>
        <w:t>Now both before the High Court and during the course of the present proceedings, there has been a debate on whether the texts of the alleged inscriptions on the mosque have been proved. Mr P N Mishra, learned Counsel appearing on behalf of the Akhil Bharatiya Shri Ram Janmabhumi Punrudhar Samiti has questioned the authenticity of the inscriptions. He sought to cast doubt on whether the mosque was constructed in 1528 A.D. by or at the behest of Babur.</w:t>
      </w:r>
    </w:p>
    <w:p>
      <w:pPr>
        <w:pStyle w:val="BodyText"/>
        <w:rPr>
          <w:sz w:val="28"/>
        </w:rPr>
      </w:pPr>
    </w:p>
    <w:p>
      <w:pPr>
        <w:pStyle w:val="ListParagraph"/>
        <w:numPr>
          <w:ilvl w:val="0"/>
          <w:numId w:val="3"/>
        </w:numPr>
        <w:tabs>
          <w:tab w:pos="1221" w:val="left" w:leader="none"/>
        </w:tabs>
        <w:spacing w:line="480" w:lineRule="auto" w:before="251" w:after="0"/>
        <w:ind w:left="500" w:right="437" w:firstLine="0"/>
        <w:jc w:val="both"/>
        <w:rPr>
          <w:sz w:val="25"/>
        </w:rPr>
      </w:pPr>
      <w:r>
        <w:rPr>
          <w:w w:val="99"/>
          <w:sz w:val="25"/>
        </w:rPr>
        <w:t>T</w:t>
      </w:r>
      <w:r>
        <w:rPr>
          <w:w w:val="99"/>
          <w:sz w:val="25"/>
        </w:rPr>
        <w:t>he</w:t>
      </w:r>
      <w:r>
        <w:rPr>
          <w:sz w:val="25"/>
        </w:rPr>
        <w:t>  </w:t>
      </w:r>
      <w:r>
        <w:rPr>
          <w:w w:val="99"/>
          <w:sz w:val="25"/>
        </w:rPr>
        <w:t>fir</w:t>
      </w:r>
      <w:r>
        <w:rPr>
          <w:w w:val="99"/>
          <w:sz w:val="25"/>
        </w:rPr>
        <w:t>st</w:t>
      </w:r>
      <w:r>
        <w:rPr>
          <w:sz w:val="25"/>
        </w:rPr>
        <w:t>  </w:t>
      </w:r>
      <w:r>
        <w:rPr>
          <w:w w:val="99"/>
          <w:sz w:val="25"/>
        </w:rPr>
        <w:t>do</w:t>
      </w:r>
      <w:r>
        <w:rPr>
          <w:w w:val="99"/>
          <w:sz w:val="25"/>
        </w:rPr>
        <w:t>cu</w:t>
      </w:r>
      <w:r>
        <w:rPr>
          <w:spacing w:val="1"/>
          <w:w w:val="99"/>
          <w:sz w:val="25"/>
        </w:rPr>
        <w:t>m</w:t>
      </w:r>
      <w:r>
        <w:rPr>
          <w:spacing w:val="-2"/>
          <w:w w:val="99"/>
          <w:sz w:val="25"/>
        </w:rPr>
        <w:t>e</w:t>
      </w:r>
      <w:r>
        <w:rPr>
          <w:w w:val="99"/>
          <w:sz w:val="25"/>
        </w:rPr>
        <w:t>nt</w:t>
      </w:r>
      <w:r>
        <w:rPr>
          <w:sz w:val="25"/>
        </w:rPr>
        <w:t>  </w:t>
      </w:r>
      <w:r>
        <w:rPr>
          <w:spacing w:val="-2"/>
          <w:w w:val="99"/>
          <w:sz w:val="25"/>
        </w:rPr>
        <w:t>r</w:t>
      </w:r>
      <w:r>
        <w:rPr>
          <w:w w:val="99"/>
          <w:sz w:val="25"/>
        </w:rPr>
        <w:t>elied</w:t>
      </w:r>
      <w:r>
        <w:rPr>
          <w:sz w:val="25"/>
        </w:rPr>
        <w:t>  </w:t>
      </w:r>
      <w:r>
        <w:rPr>
          <w:w w:val="99"/>
          <w:sz w:val="25"/>
        </w:rPr>
        <w:t>on</w:t>
      </w:r>
      <w:r>
        <w:rPr>
          <w:sz w:val="25"/>
        </w:rPr>
        <w:t>  </w:t>
      </w:r>
      <w:r>
        <w:rPr>
          <w:w w:val="99"/>
          <w:sz w:val="25"/>
        </w:rPr>
        <w:t>is</w:t>
      </w:r>
      <w:r>
        <w:rPr>
          <w:sz w:val="25"/>
        </w:rPr>
        <w:t> </w:t>
      </w:r>
      <w:r>
        <w:rPr>
          <w:spacing w:val="-1"/>
          <w:sz w:val="25"/>
        </w:rPr>
        <w:t> </w:t>
      </w:r>
      <w:r>
        <w:rPr>
          <w:w w:val="99"/>
          <w:sz w:val="25"/>
        </w:rPr>
        <w:t>the</w:t>
      </w:r>
      <w:r>
        <w:rPr>
          <w:sz w:val="25"/>
        </w:rPr>
        <w:t>  </w:t>
      </w:r>
      <w:r>
        <w:rPr>
          <w:w w:val="99"/>
          <w:sz w:val="25"/>
        </w:rPr>
        <w:t>te</w:t>
      </w:r>
      <w:r>
        <w:rPr>
          <w:spacing w:val="-2"/>
          <w:w w:val="99"/>
          <w:sz w:val="25"/>
        </w:rPr>
        <w:t>x</w:t>
      </w:r>
      <w:r>
        <w:rPr>
          <w:w w:val="99"/>
          <w:sz w:val="25"/>
        </w:rPr>
        <w:t>t</w:t>
      </w:r>
      <w:r>
        <w:rPr>
          <w:sz w:val="25"/>
        </w:rPr>
        <w:t>  </w:t>
      </w:r>
      <w:r>
        <w:rPr>
          <w:w w:val="99"/>
          <w:sz w:val="25"/>
        </w:rPr>
        <w:t>by</w:t>
      </w:r>
      <w:r>
        <w:rPr>
          <w:sz w:val="25"/>
        </w:rPr>
        <w:t> </w:t>
      </w:r>
      <w:r>
        <w:rPr>
          <w:spacing w:val="3"/>
          <w:sz w:val="25"/>
        </w:rPr>
        <w:t> </w:t>
      </w:r>
      <w:r>
        <w:rPr>
          <w:b/>
          <w:w w:val="99"/>
          <w:sz w:val="25"/>
        </w:rPr>
        <w:t>Fuh</w:t>
      </w:r>
      <w:r>
        <w:rPr>
          <w:b/>
          <w:spacing w:val="-1"/>
          <w:w w:val="99"/>
          <w:sz w:val="25"/>
        </w:rPr>
        <w:t>r</w:t>
      </w:r>
      <w:r>
        <w:rPr>
          <w:b/>
          <w:w w:val="99"/>
          <w:sz w:val="25"/>
        </w:rPr>
        <w:t>er</w:t>
      </w:r>
      <w:r>
        <w:rPr>
          <w:b/>
          <w:sz w:val="25"/>
        </w:rPr>
        <w:t>  </w:t>
      </w:r>
      <w:r>
        <w:rPr>
          <w:w w:val="99"/>
          <w:sz w:val="25"/>
        </w:rPr>
        <w:t>titled</w:t>
      </w:r>
      <w:r>
        <w:rPr>
          <w:sz w:val="25"/>
        </w:rPr>
        <w:t>  </w:t>
      </w:r>
      <w:r>
        <w:rPr>
          <w:spacing w:val="1"/>
          <w:w w:val="33"/>
          <w:sz w:val="25"/>
        </w:rPr>
        <w:t>―</w:t>
      </w:r>
      <w:r>
        <w:rPr>
          <w:b/>
          <w:spacing w:val="-2"/>
          <w:w w:val="99"/>
          <w:sz w:val="25"/>
        </w:rPr>
        <w:t>T</w:t>
      </w:r>
      <w:r>
        <w:rPr>
          <w:b/>
          <w:w w:val="99"/>
          <w:sz w:val="25"/>
        </w:rPr>
        <w:t>h</w:t>
      </w:r>
      <w:r>
        <w:rPr>
          <w:b/>
          <w:w w:val="99"/>
          <w:sz w:val="25"/>
        </w:rPr>
        <w:t>e</w:t>
      </w:r>
      <w:r>
        <w:rPr>
          <w:b/>
          <w:sz w:val="25"/>
        </w:rPr>
        <w:t>  </w:t>
      </w:r>
      <w:r>
        <w:rPr>
          <w:b/>
          <w:spacing w:val="-1"/>
          <w:w w:val="99"/>
          <w:sz w:val="25"/>
        </w:rPr>
        <w:t>S</w:t>
      </w:r>
      <w:r>
        <w:rPr>
          <w:b/>
          <w:w w:val="99"/>
          <w:sz w:val="25"/>
        </w:rPr>
        <w:t>h</w:t>
      </w:r>
      <w:r>
        <w:rPr>
          <w:b/>
          <w:w w:val="99"/>
          <w:sz w:val="25"/>
        </w:rPr>
        <w:t>arqi </w:t>
      </w:r>
      <w:r>
        <w:rPr>
          <w:b/>
          <w:sz w:val="25"/>
        </w:rPr>
        <w:t>Architecture of Jaunpur with notes on Zafarabad, Sahet-Mahet and other places in the Northern-Western Provinces and Oudh</w:t>
      </w:r>
      <w:r>
        <w:rPr>
          <w:sz w:val="25"/>
          <w:vertAlign w:val="superscript"/>
        </w:rPr>
        <w:t>26</w:t>
      </w:r>
      <w:r>
        <w:rPr>
          <w:sz w:val="25"/>
          <w:vertAlign w:val="baseline"/>
        </w:rPr>
        <w:t>. The original edition of the book was printed in 1889 and there is a reprint in 1994 by the ASI. In Chapter X, there is a reference to three inscriptions bearing nos XL, XLI, and XLII. It is from these three inscriptions that </w:t>
      </w:r>
      <w:r>
        <w:rPr>
          <w:b/>
          <w:sz w:val="25"/>
          <w:vertAlign w:val="baseline"/>
        </w:rPr>
        <w:t>Fuhrer </w:t>
      </w:r>
      <w:r>
        <w:rPr>
          <w:sz w:val="25"/>
          <w:vertAlign w:val="baseline"/>
        </w:rPr>
        <w:t>formed an opinion that the Babri mosque was constructed at Ayodhya in 1523 A.D or A.H. 930. Inscription XL in Arabic is over the central </w:t>
      </w:r>
      <w:r>
        <w:rPr>
          <w:i/>
          <w:sz w:val="25"/>
          <w:vertAlign w:val="baseline"/>
        </w:rPr>
        <w:t>mihrab </w:t>
      </w:r>
      <w:r>
        <w:rPr>
          <w:sz w:val="25"/>
          <w:vertAlign w:val="baseline"/>
        </w:rPr>
        <w:t>and furnishes the Kalimah twice in the following words:</w:t>
      </w:r>
    </w:p>
    <w:p>
      <w:pPr>
        <w:spacing w:before="2"/>
        <w:ind w:left="1940" w:right="0" w:firstLine="0"/>
        <w:jc w:val="both"/>
        <w:rPr>
          <w:sz w:val="21"/>
        </w:rPr>
      </w:pPr>
      <w:r>
        <w:rPr>
          <w:spacing w:val="-1"/>
          <w:w w:val="33"/>
          <w:sz w:val="21"/>
        </w:rPr>
        <w:t>―</w:t>
      </w:r>
      <w:r>
        <w:rPr>
          <w:w w:val="100"/>
          <w:sz w:val="21"/>
        </w:rPr>
        <w:t>Th</w:t>
      </w:r>
      <w:r>
        <w:rPr>
          <w:spacing w:val="-1"/>
          <w:w w:val="100"/>
          <w:sz w:val="21"/>
        </w:rPr>
        <w:t>er</w:t>
      </w:r>
      <w:r>
        <w:rPr>
          <w:w w:val="100"/>
          <w:sz w:val="21"/>
        </w:rPr>
        <w:t>e</w:t>
      </w:r>
      <w:r>
        <w:rPr>
          <w:spacing w:val="-4"/>
          <w:sz w:val="21"/>
        </w:rPr>
        <w:t> </w:t>
      </w:r>
      <w:r>
        <w:rPr>
          <w:w w:val="100"/>
          <w:sz w:val="21"/>
        </w:rPr>
        <w:t>is</w:t>
      </w:r>
      <w:r>
        <w:rPr>
          <w:spacing w:val="-1"/>
          <w:sz w:val="21"/>
        </w:rPr>
        <w:t> </w:t>
      </w:r>
      <w:r>
        <w:rPr>
          <w:spacing w:val="-1"/>
          <w:w w:val="100"/>
          <w:sz w:val="21"/>
        </w:rPr>
        <w:t>n</w:t>
      </w:r>
      <w:r>
        <w:rPr>
          <w:w w:val="100"/>
          <w:sz w:val="21"/>
        </w:rPr>
        <w:t>o</w:t>
      </w:r>
      <w:r>
        <w:rPr>
          <w:spacing w:val="-1"/>
          <w:sz w:val="21"/>
        </w:rPr>
        <w:t> </w:t>
      </w:r>
      <w:r>
        <w:rPr>
          <w:spacing w:val="-1"/>
          <w:w w:val="100"/>
          <w:sz w:val="21"/>
        </w:rPr>
        <w:t>g</w:t>
      </w:r>
      <w:r>
        <w:rPr>
          <w:spacing w:val="-3"/>
          <w:w w:val="100"/>
          <w:sz w:val="21"/>
        </w:rPr>
        <w:t>o</w:t>
      </w:r>
      <w:r>
        <w:rPr>
          <w:w w:val="100"/>
          <w:sz w:val="21"/>
        </w:rPr>
        <w:t>d</w:t>
      </w:r>
      <w:r>
        <w:rPr>
          <w:spacing w:val="-1"/>
          <w:sz w:val="21"/>
        </w:rPr>
        <w:t> </w:t>
      </w:r>
      <w:r>
        <w:rPr>
          <w:spacing w:val="-1"/>
          <w:w w:val="100"/>
          <w:sz w:val="21"/>
        </w:rPr>
        <w:t>bu</w:t>
      </w:r>
      <w:r>
        <w:rPr>
          <w:w w:val="100"/>
          <w:sz w:val="21"/>
        </w:rPr>
        <w:t>t</w:t>
      </w:r>
      <w:r>
        <w:rPr>
          <w:spacing w:val="-2"/>
          <w:sz w:val="21"/>
        </w:rPr>
        <w:t> </w:t>
      </w:r>
      <w:r>
        <w:rPr>
          <w:spacing w:val="-2"/>
          <w:w w:val="100"/>
          <w:sz w:val="21"/>
        </w:rPr>
        <w:t>A</w:t>
      </w:r>
      <w:r>
        <w:rPr>
          <w:w w:val="100"/>
          <w:sz w:val="21"/>
        </w:rPr>
        <w:t>l</w:t>
      </w:r>
      <w:r>
        <w:rPr>
          <w:spacing w:val="-2"/>
          <w:w w:val="100"/>
          <w:sz w:val="21"/>
        </w:rPr>
        <w:t>l</w:t>
      </w:r>
      <w:r>
        <w:rPr>
          <w:spacing w:val="-1"/>
          <w:w w:val="100"/>
          <w:sz w:val="21"/>
        </w:rPr>
        <w:t>a</w:t>
      </w:r>
      <w:r>
        <w:rPr>
          <w:spacing w:val="-3"/>
          <w:w w:val="100"/>
          <w:sz w:val="21"/>
        </w:rPr>
        <w:t>h</w:t>
      </w:r>
      <w:r>
        <w:rPr>
          <w:w w:val="100"/>
          <w:sz w:val="21"/>
        </w:rPr>
        <w:t>,</w:t>
      </w:r>
      <w:r>
        <w:rPr>
          <w:spacing w:val="-2"/>
          <w:sz w:val="21"/>
        </w:rPr>
        <w:t> </w:t>
      </w:r>
      <w:r>
        <w:rPr>
          <w:spacing w:val="-1"/>
          <w:w w:val="100"/>
          <w:sz w:val="21"/>
        </w:rPr>
        <w:t>Muh</w:t>
      </w:r>
      <w:r>
        <w:rPr>
          <w:spacing w:val="-2"/>
          <w:w w:val="100"/>
          <w:sz w:val="21"/>
        </w:rPr>
        <w:t>a</w:t>
      </w:r>
      <w:r>
        <w:rPr>
          <w:spacing w:val="-1"/>
          <w:w w:val="100"/>
          <w:sz w:val="21"/>
        </w:rPr>
        <w:t>m</w:t>
      </w:r>
      <w:r>
        <w:rPr>
          <w:spacing w:val="1"/>
          <w:w w:val="100"/>
          <w:sz w:val="21"/>
        </w:rPr>
        <w:t>m</w:t>
      </w:r>
      <w:r>
        <w:rPr>
          <w:spacing w:val="-1"/>
          <w:w w:val="100"/>
          <w:sz w:val="21"/>
        </w:rPr>
        <w:t>a</w:t>
      </w:r>
      <w:r>
        <w:rPr>
          <w:w w:val="100"/>
          <w:sz w:val="21"/>
        </w:rPr>
        <w:t>d</w:t>
      </w:r>
      <w:r>
        <w:rPr>
          <w:spacing w:val="-3"/>
          <w:sz w:val="21"/>
        </w:rPr>
        <w:t> </w:t>
      </w:r>
      <w:r>
        <w:rPr>
          <w:w w:val="100"/>
          <w:sz w:val="21"/>
        </w:rPr>
        <w:t>is</w:t>
      </w:r>
      <w:r>
        <w:rPr>
          <w:spacing w:val="-1"/>
          <w:sz w:val="21"/>
        </w:rPr>
        <w:t> </w:t>
      </w:r>
      <w:r>
        <w:rPr>
          <w:spacing w:val="-2"/>
          <w:w w:val="100"/>
          <w:sz w:val="21"/>
        </w:rPr>
        <w:t>H</w:t>
      </w:r>
      <w:r>
        <w:rPr>
          <w:w w:val="100"/>
          <w:sz w:val="21"/>
        </w:rPr>
        <w:t>is</w:t>
      </w:r>
      <w:r>
        <w:rPr>
          <w:spacing w:val="-1"/>
          <w:sz w:val="21"/>
        </w:rPr>
        <w:t> </w:t>
      </w:r>
      <w:r>
        <w:rPr>
          <w:w w:val="100"/>
          <w:sz w:val="21"/>
        </w:rPr>
        <w:t>P</w:t>
      </w:r>
      <w:r>
        <w:rPr>
          <w:spacing w:val="-4"/>
          <w:w w:val="100"/>
          <w:sz w:val="21"/>
        </w:rPr>
        <w:t>r</w:t>
      </w:r>
      <w:r>
        <w:rPr>
          <w:spacing w:val="-1"/>
          <w:w w:val="100"/>
          <w:sz w:val="21"/>
        </w:rPr>
        <w:t>op</w:t>
      </w:r>
      <w:r>
        <w:rPr>
          <w:spacing w:val="-2"/>
          <w:w w:val="100"/>
          <w:sz w:val="21"/>
        </w:rPr>
        <w:t>h</w:t>
      </w:r>
      <w:r>
        <w:rPr>
          <w:spacing w:val="-1"/>
          <w:w w:val="100"/>
          <w:sz w:val="21"/>
        </w:rPr>
        <w:t>et</w:t>
      </w:r>
      <w:r>
        <w:rPr>
          <w:spacing w:val="-2"/>
          <w:w w:val="100"/>
          <w:sz w:val="21"/>
        </w:rPr>
        <w:t>.</w:t>
      </w:r>
      <w:r>
        <w:rPr>
          <w:w w:val="81"/>
          <w:sz w:val="21"/>
        </w:rPr>
        <w:t>‖</w:t>
      </w:r>
    </w:p>
    <w:p>
      <w:pPr>
        <w:pStyle w:val="BodyText"/>
        <w:rPr>
          <w:sz w:val="20"/>
        </w:rPr>
      </w:pPr>
    </w:p>
    <w:p>
      <w:pPr>
        <w:pStyle w:val="BodyText"/>
        <w:rPr>
          <w:sz w:val="20"/>
        </w:rPr>
      </w:pPr>
    </w:p>
    <w:p>
      <w:pPr>
        <w:pStyle w:val="BodyText"/>
        <w:spacing w:before="2"/>
        <w:rPr>
          <w:sz w:val="20"/>
        </w:rPr>
      </w:pPr>
      <w:r>
        <w:rPr/>
        <w:pict>
          <v:rect style="position:absolute;margin-left:72.024002pt;margin-top:13.556258pt;width:144.020pt;height:.599980pt;mso-position-horizontal-relative:page;mso-position-vertical-relative:paragraph;z-index:-1571891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26</w:t>
      </w:r>
      <w:r>
        <w:rPr>
          <w:sz w:val="18"/>
          <w:vertAlign w:val="baseline"/>
        </w:rPr>
        <w:t> Führer, Alois Anton, Edmund W. Smith, and James Burgess, The Sharqi architecture of Jaunpur: with notes on Zafarabad, Sahet-Mahet and other places in the North-Western provinces and Oudh (1994)</w:t>
      </w:r>
    </w:p>
    <w:p>
      <w:pPr>
        <w:spacing w:after="0"/>
        <w:jc w:val="left"/>
        <w:rPr>
          <w:sz w:val="18"/>
        </w:rPr>
        <w:sectPr>
          <w:pgSz w:w="11910" w:h="16840"/>
          <w:pgMar w:header="721" w:footer="1014" w:top="1300" w:bottom="1200" w:left="940" w:right="1000"/>
        </w:sectPr>
      </w:pPr>
    </w:p>
    <w:p>
      <w:pPr>
        <w:pStyle w:val="BodyText"/>
        <w:spacing w:line="480" w:lineRule="auto" w:before="124"/>
        <w:ind w:left="500" w:right="512"/>
      </w:pPr>
      <w:r>
        <w:rPr/>
        <w:t>Inscription XLI was found on the mimbar and was written in Persian. The inscription as translated in English reads thus:</w:t>
      </w:r>
    </w:p>
    <w:p>
      <w:pPr>
        <w:spacing w:line="240" w:lineRule="exact" w:before="0"/>
        <w:ind w:left="1940" w:right="0" w:firstLine="0"/>
        <w:jc w:val="left"/>
        <w:rPr>
          <w:sz w:val="21"/>
        </w:rPr>
      </w:pPr>
      <w:r>
        <w:rPr>
          <w:spacing w:val="-1"/>
          <w:w w:val="33"/>
          <w:sz w:val="21"/>
        </w:rPr>
        <w:t>―</w:t>
      </w:r>
      <w:r>
        <w:rPr>
          <w:spacing w:val="-1"/>
          <w:w w:val="100"/>
          <w:sz w:val="21"/>
        </w:rPr>
        <w:t>1</w:t>
      </w:r>
      <w:r>
        <w:rPr>
          <w:w w:val="100"/>
          <w:sz w:val="21"/>
        </w:rPr>
        <w:t>.</w:t>
      </w:r>
      <w:r>
        <w:rPr>
          <w:spacing w:val="-2"/>
          <w:sz w:val="21"/>
        </w:rPr>
        <w:t> </w:t>
      </w:r>
      <w:r>
        <w:rPr>
          <w:w w:val="100"/>
          <w:sz w:val="21"/>
        </w:rPr>
        <w:t>By</w:t>
      </w:r>
      <w:r>
        <w:rPr>
          <w:spacing w:val="-4"/>
          <w:sz w:val="21"/>
        </w:rPr>
        <w:t> </w:t>
      </w:r>
      <w:r>
        <w:rPr>
          <w:spacing w:val="-1"/>
          <w:w w:val="100"/>
          <w:sz w:val="21"/>
        </w:rPr>
        <w:t>orde</w:t>
      </w:r>
      <w:r>
        <w:rPr>
          <w:w w:val="100"/>
          <w:sz w:val="21"/>
        </w:rPr>
        <w:t>r</w:t>
      </w:r>
      <w:r>
        <w:rPr>
          <w:spacing w:val="-2"/>
          <w:sz w:val="21"/>
        </w:rPr>
        <w:t> </w:t>
      </w:r>
      <w:r>
        <w:rPr>
          <w:spacing w:val="-1"/>
          <w:w w:val="100"/>
          <w:sz w:val="21"/>
        </w:rPr>
        <w:t>o</w:t>
      </w:r>
      <w:r>
        <w:rPr>
          <w:w w:val="100"/>
          <w:sz w:val="21"/>
        </w:rPr>
        <w:t>f</w:t>
      </w:r>
      <w:r>
        <w:rPr>
          <w:sz w:val="21"/>
        </w:rPr>
        <w:t> </w:t>
      </w:r>
      <w:r>
        <w:rPr>
          <w:w w:val="100"/>
          <w:sz w:val="21"/>
        </w:rPr>
        <w:t>B</w:t>
      </w:r>
      <w:r>
        <w:rPr>
          <w:spacing w:val="-3"/>
          <w:w w:val="100"/>
          <w:sz w:val="21"/>
        </w:rPr>
        <w:t>a</w:t>
      </w:r>
      <w:r>
        <w:rPr>
          <w:spacing w:val="-1"/>
          <w:w w:val="100"/>
          <w:sz w:val="21"/>
        </w:rPr>
        <w:t>bar</w:t>
      </w:r>
      <w:r>
        <w:rPr>
          <w:w w:val="100"/>
          <w:sz w:val="21"/>
        </w:rPr>
        <w:t>,</w:t>
      </w:r>
      <w:r>
        <w:rPr>
          <w:spacing w:val="-3"/>
          <w:sz w:val="21"/>
        </w:rPr>
        <w:t> </w:t>
      </w:r>
      <w:r>
        <w:rPr>
          <w:spacing w:val="-2"/>
          <w:w w:val="100"/>
          <w:sz w:val="21"/>
        </w:rPr>
        <w:t>t</w:t>
      </w:r>
      <w:r>
        <w:rPr>
          <w:spacing w:val="-1"/>
          <w:w w:val="100"/>
          <w:sz w:val="21"/>
        </w:rPr>
        <w:t>h</w:t>
      </w:r>
      <w:r>
        <w:rPr>
          <w:w w:val="100"/>
          <w:sz w:val="21"/>
        </w:rPr>
        <w:t>e</w:t>
      </w:r>
      <w:r>
        <w:rPr>
          <w:spacing w:val="-1"/>
          <w:sz w:val="21"/>
        </w:rPr>
        <w:t> </w:t>
      </w:r>
      <w:r>
        <w:rPr>
          <w:w w:val="100"/>
          <w:sz w:val="21"/>
        </w:rPr>
        <w:t>ki</w:t>
      </w:r>
      <w:r>
        <w:rPr>
          <w:spacing w:val="-1"/>
          <w:w w:val="100"/>
          <w:sz w:val="21"/>
        </w:rPr>
        <w:t>n</w:t>
      </w:r>
      <w:r>
        <w:rPr>
          <w:w w:val="100"/>
          <w:sz w:val="21"/>
        </w:rPr>
        <w:t>g</w:t>
      </w:r>
      <w:r>
        <w:rPr>
          <w:spacing w:val="-1"/>
          <w:sz w:val="21"/>
        </w:rPr>
        <w:t> </w:t>
      </w:r>
      <w:r>
        <w:rPr>
          <w:spacing w:val="-3"/>
          <w:w w:val="100"/>
          <w:sz w:val="21"/>
        </w:rPr>
        <w:t>o</w:t>
      </w:r>
      <w:r>
        <w:rPr>
          <w:w w:val="100"/>
          <w:sz w:val="21"/>
        </w:rPr>
        <w:t>f</w:t>
      </w:r>
      <w:r>
        <w:rPr>
          <w:sz w:val="21"/>
        </w:rPr>
        <w:t> </w:t>
      </w:r>
      <w:r>
        <w:rPr>
          <w:spacing w:val="-2"/>
          <w:w w:val="100"/>
          <w:sz w:val="21"/>
        </w:rPr>
        <w:t>t</w:t>
      </w:r>
      <w:r>
        <w:rPr>
          <w:spacing w:val="-1"/>
          <w:w w:val="100"/>
          <w:sz w:val="21"/>
        </w:rPr>
        <w:t>h</w:t>
      </w:r>
      <w:r>
        <w:rPr>
          <w:w w:val="100"/>
          <w:sz w:val="21"/>
        </w:rPr>
        <w:t>e</w:t>
      </w:r>
      <w:r>
        <w:rPr>
          <w:spacing w:val="-1"/>
          <w:sz w:val="21"/>
        </w:rPr>
        <w:t> </w:t>
      </w:r>
      <w:r>
        <w:rPr>
          <w:spacing w:val="-2"/>
          <w:w w:val="100"/>
          <w:sz w:val="21"/>
        </w:rPr>
        <w:t>w</w:t>
      </w:r>
      <w:r>
        <w:rPr>
          <w:spacing w:val="-1"/>
          <w:w w:val="100"/>
          <w:sz w:val="21"/>
        </w:rPr>
        <w:t>or</w:t>
      </w:r>
      <w:r>
        <w:rPr>
          <w:spacing w:val="-2"/>
          <w:w w:val="100"/>
          <w:sz w:val="21"/>
        </w:rPr>
        <w:t>l</w:t>
      </w:r>
      <w:r>
        <w:rPr>
          <w:spacing w:val="-1"/>
          <w:w w:val="100"/>
          <w:sz w:val="21"/>
        </w:rPr>
        <w:t>d,</w:t>
      </w:r>
    </w:p>
    <w:p>
      <w:pPr>
        <w:pStyle w:val="ListParagraph"/>
        <w:numPr>
          <w:ilvl w:val="0"/>
          <w:numId w:val="43"/>
        </w:numPr>
        <w:tabs>
          <w:tab w:pos="2174" w:val="left" w:leader="none"/>
        </w:tabs>
        <w:spacing w:line="240" w:lineRule="auto" w:before="36" w:after="0"/>
        <w:ind w:left="2173" w:right="0" w:hanging="234"/>
        <w:jc w:val="left"/>
        <w:rPr>
          <w:sz w:val="21"/>
        </w:rPr>
      </w:pPr>
      <w:r>
        <w:rPr>
          <w:sz w:val="21"/>
        </w:rPr>
        <w:t>This firmament-like,</w:t>
      </w:r>
      <w:r>
        <w:rPr>
          <w:spacing w:val="-7"/>
          <w:sz w:val="21"/>
        </w:rPr>
        <w:t> </w:t>
      </w:r>
      <w:r>
        <w:rPr>
          <w:sz w:val="21"/>
        </w:rPr>
        <w:t>lofty,</w:t>
      </w:r>
    </w:p>
    <w:p>
      <w:pPr>
        <w:pStyle w:val="ListParagraph"/>
        <w:numPr>
          <w:ilvl w:val="0"/>
          <w:numId w:val="43"/>
        </w:numPr>
        <w:tabs>
          <w:tab w:pos="2174" w:val="left" w:leader="none"/>
        </w:tabs>
        <w:spacing w:line="240" w:lineRule="auto" w:before="37" w:after="0"/>
        <w:ind w:left="2173" w:right="0" w:hanging="234"/>
        <w:jc w:val="left"/>
        <w:rPr>
          <w:sz w:val="21"/>
        </w:rPr>
      </w:pPr>
      <w:r>
        <w:rPr>
          <w:sz w:val="21"/>
        </w:rPr>
        <w:t>Strong building was</w:t>
      </w:r>
      <w:r>
        <w:rPr>
          <w:spacing w:val="-3"/>
          <w:sz w:val="21"/>
        </w:rPr>
        <w:t> </w:t>
      </w:r>
      <w:r>
        <w:rPr>
          <w:sz w:val="21"/>
        </w:rPr>
        <w:t>erected.</w:t>
      </w:r>
    </w:p>
    <w:p>
      <w:pPr>
        <w:pStyle w:val="ListParagraph"/>
        <w:numPr>
          <w:ilvl w:val="0"/>
          <w:numId w:val="43"/>
        </w:numPr>
        <w:tabs>
          <w:tab w:pos="2174" w:val="left" w:leader="none"/>
        </w:tabs>
        <w:spacing w:line="240" w:lineRule="auto" w:before="35" w:after="0"/>
        <w:ind w:left="2173" w:right="0" w:hanging="234"/>
        <w:jc w:val="left"/>
        <w:rPr>
          <w:sz w:val="21"/>
        </w:rPr>
      </w:pPr>
      <w:r>
        <w:rPr>
          <w:sz w:val="21"/>
        </w:rPr>
        <w:t>By the auspicious noble Mir</w:t>
      </w:r>
      <w:r>
        <w:rPr>
          <w:spacing w:val="-12"/>
          <w:sz w:val="21"/>
        </w:rPr>
        <w:t> </w:t>
      </w:r>
      <w:r>
        <w:rPr>
          <w:sz w:val="21"/>
        </w:rPr>
        <w:t>Khan.</w:t>
      </w:r>
    </w:p>
    <w:p>
      <w:pPr>
        <w:pStyle w:val="ListParagraph"/>
        <w:numPr>
          <w:ilvl w:val="0"/>
          <w:numId w:val="43"/>
        </w:numPr>
        <w:tabs>
          <w:tab w:pos="2174" w:val="left" w:leader="none"/>
        </w:tabs>
        <w:spacing w:line="240" w:lineRule="auto" w:before="37" w:after="0"/>
        <w:ind w:left="2173" w:right="0" w:hanging="234"/>
        <w:jc w:val="left"/>
        <w:rPr>
          <w:sz w:val="21"/>
        </w:rPr>
      </w:pPr>
      <w:r>
        <w:rPr>
          <w:sz w:val="21"/>
        </w:rPr>
        <w:t>May ever remain such a</w:t>
      </w:r>
      <w:r>
        <w:rPr>
          <w:spacing w:val="-10"/>
          <w:sz w:val="21"/>
        </w:rPr>
        <w:t> </w:t>
      </w:r>
      <w:r>
        <w:rPr>
          <w:sz w:val="21"/>
        </w:rPr>
        <w:t>foundation,</w:t>
      </w:r>
    </w:p>
    <w:p>
      <w:pPr>
        <w:pStyle w:val="ListParagraph"/>
        <w:numPr>
          <w:ilvl w:val="0"/>
          <w:numId w:val="43"/>
        </w:numPr>
        <w:tabs>
          <w:tab w:pos="2174" w:val="left" w:leader="none"/>
        </w:tabs>
        <w:spacing w:line="240" w:lineRule="auto" w:before="37" w:after="0"/>
        <w:ind w:left="2173" w:right="0" w:hanging="234"/>
        <w:jc w:val="left"/>
        <w:rPr>
          <w:sz w:val="21"/>
        </w:rPr>
      </w:pPr>
      <w:r>
        <w:rPr>
          <w:sz w:val="21"/>
        </w:rPr>
        <w:t>And such a king of the</w:t>
      </w:r>
      <w:r>
        <w:rPr>
          <w:spacing w:val="-10"/>
          <w:sz w:val="21"/>
        </w:rPr>
        <w:t> </w:t>
      </w:r>
      <w:r>
        <w:rPr>
          <w:sz w:val="21"/>
        </w:rPr>
        <w:t>world.‖</w:t>
      </w:r>
    </w:p>
    <w:p>
      <w:pPr>
        <w:pStyle w:val="BodyText"/>
        <w:rPr>
          <w:sz w:val="24"/>
        </w:rPr>
      </w:pPr>
    </w:p>
    <w:p>
      <w:pPr>
        <w:pStyle w:val="BodyText"/>
        <w:spacing w:before="3"/>
        <w:rPr>
          <w:sz w:val="21"/>
        </w:rPr>
      </w:pPr>
    </w:p>
    <w:p>
      <w:pPr>
        <w:pStyle w:val="BodyText"/>
        <w:spacing w:line="480" w:lineRule="auto"/>
        <w:ind w:left="500" w:right="512"/>
      </w:pPr>
      <w:r>
        <w:rPr/>
        <w:t>Inscription XLII was found above the entrance door. Also, in Persian, the inscription has been translated thus:</w:t>
      </w:r>
    </w:p>
    <w:p>
      <w:pPr>
        <w:spacing w:line="240" w:lineRule="exact" w:before="0"/>
        <w:ind w:left="1940" w:right="0" w:firstLine="0"/>
        <w:jc w:val="left"/>
        <w:rPr>
          <w:sz w:val="21"/>
        </w:rPr>
      </w:pPr>
      <w:r>
        <w:rPr>
          <w:spacing w:val="-1"/>
          <w:w w:val="33"/>
          <w:sz w:val="21"/>
        </w:rPr>
        <w:t>―</w:t>
      </w:r>
      <w:r>
        <w:rPr>
          <w:spacing w:val="-1"/>
          <w:w w:val="100"/>
          <w:sz w:val="21"/>
        </w:rPr>
        <w:t>1</w:t>
      </w:r>
      <w:r>
        <w:rPr>
          <w:w w:val="100"/>
          <w:sz w:val="21"/>
        </w:rPr>
        <w:t>.</w:t>
      </w:r>
      <w:r>
        <w:rPr>
          <w:spacing w:val="-2"/>
          <w:sz w:val="21"/>
        </w:rPr>
        <w:t> </w:t>
      </w:r>
      <w:r>
        <w:rPr>
          <w:spacing w:val="-2"/>
          <w:w w:val="100"/>
          <w:sz w:val="21"/>
        </w:rPr>
        <w:t>I</w:t>
      </w:r>
      <w:r>
        <w:rPr>
          <w:w w:val="100"/>
          <w:sz w:val="21"/>
        </w:rPr>
        <w:t>n</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na</w:t>
      </w:r>
      <w:r>
        <w:rPr>
          <w:spacing w:val="1"/>
          <w:w w:val="100"/>
          <w:sz w:val="21"/>
        </w:rPr>
        <w:t>m</w:t>
      </w:r>
      <w:r>
        <w:rPr>
          <w:w w:val="100"/>
          <w:sz w:val="21"/>
        </w:rPr>
        <w:t>e</w:t>
      </w:r>
      <w:r>
        <w:rPr>
          <w:spacing w:val="-1"/>
          <w:sz w:val="21"/>
        </w:rPr>
        <w:t> </w:t>
      </w:r>
      <w:r>
        <w:rPr>
          <w:spacing w:val="-3"/>
          <w:w w:val="100"/>
          <w:sz w:val="21"/>
        </w:rPr>
        <w:t>o</w:t>
      </w:r>
      <w:r>
        <w:rPr>
          <w:w w:val="100"/>
          <w:sz w:val="21"/>
        </w:rPr>
        <w:t>f</w:t>
      </w:r>
      <w:r>
        <w:rPr>
          <w:sz w:val="21"/>
        </w:rPr>
        <w:t> </w:t>
      </w:r>
      <w:r>
        <w:rPr>
          <w:spacing w:val="-2"/>
          <w:w w:val="100"/>
          <w:sz w:val="21"/>
        </w:rPr>
        <w:t>G</w:t>
      </w:r>
      <w:r>
        <w:rPr>
          <w:spacing w:val="-1"/>
          <w:w w:val="100"/>
          <w:sz w:val="21"/>
        </w:rPr>
        <w:t>od</w:t>
      </w:r>
      <w:r>
        <w:rPr>
          <w:w w:val="100"/>
          <w:sz w:val="21"/>
        </w:rPr>
        <w:t>,</w:t>
      </w:r>
      <w:r>
        <w:rPr>
          <w:spacing w:val="-2"/>
          <w:sz w:val="21"/>
        </w:rPr>
        <w:t> </w:t>
      </w:r>
      <w:r>
        <w:rPr>
          <w:spacing w:val="-2"/>
          <w:w w:val="100"/>
          <w:sz w:val="21"/>
        </w:rPr>
        <w:t>t</w:t>
      </w:r>
      <w:r>
        <w:rPr>
          <w:spacing w:val="-3"/>
          <w:w w:val="100"/>
          <w:sz w:val="21"/>
        </w:rPr>
        <w:t>h</w:t>
      </w:r>
      <w:r>
        <w:rPr>
          <w:w w:val="100"/>
          <w:sz w:val="21"/>
        </w:rPr>
        <w:t>e</w:t>
      </w:r>
      <w:r>
        <w:rPr>
          <w:spacing w:val="-1"/>
          <w:sz w:val="21"/>
        </w:rPr>
        <w:t> </w:t>
      </w:r>
      <w:r>
        <w:rPr>
          <w:spacing w:val="1"/>
          <w:w w:val="100"/>
          <w:sz w:val="21"/>
        </w:rPr>
        <w:t>m</w:t>
      </w:r>
      <w:r>
        <w:rPr>
          <w:spacing w:val="-1"/>
          <w:w w:val="100"/>
          <w:sz w:val="21"/>
        </w:rPr>
        <w:t>e</w:t>
      </w:r>
      <w:r>
        <w:rPr>
          <w:spacing w:val="-3"/>
          <w:w w:val="100"/>
          <w:sz w:val="21"/>
        </w:rPr>
        <w:t>r</w:t>
      </w:r>
      <w:r>
        <w:rPr>
          <w:w w:val="100"/>
          <w:sz w:val="21"/>
        </w:rPr>
        <w:t>c</w:t>
      </w:r>
      <w:r>
        <w:rPr>
          <w:spacing w:val="-2"/>
          <w:w w:val="100"/>
          <w:sz w:val="21"/>
        </w:rPr>
        <w:t>i</w:t>
      </w:r>
      <w:r>
        <w:rPr>
          <w:spacing w:val="1"/>
          <w:w w:val="100"/>
          <w:sz w:val="21"/>
        </w:rPr>
        <w:t>f</w:t>
      </w:r>
      <w:r>
        <w:rPr>
          <w:spacing w:val="-3"/>
          <w:w w:val="100"/>
          <w:sz w:val="21"/>
        </w:rPr>
        <w:t>u</w:t>
      </w:r>
      <w:r>
        <w:rPr>
          <w:w w:val="100"/>
          <w:sz w:val="21"/>
        </w:rPr>
        <w:t>l,</w:t>
      </w:r>
      <w:r>
        <w:rPr>
          <w:spacing w:val="-2"/>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e</w:t>
      </w:r>
      <w:r>
        <w:rPr>
          <w:spacing w:val="1"/>
          <w:w w:val="100"/>
          <w:sz w:val="21"/>
        </w:rPr>
        <w:t>l</w:t>
      </w:r>
      <w:r>
        <w:rPr>
          <w:spacing w:val="-3"/>
          <w:w w:val="100"/>
          <w:sz w:val="21"/>
        </w:rPr>
        <w:t>e</w:t>
      </w:r>
      <w:r>
        <w:rPr>
          <w:spacing w:val="-1"/>
          <w:w w:val="100"/>
          <w:sz w:val="21"/>
        </w:rPr>
        <w:t>ment</w:t>
      </w:r>
      <w:r>
        <w:rPr>
          <w:w w:val="100"/>
          <w:sz w:val="21"/>
        </w:rPr>
        <w:t>.</w:t>
      </w:r>
    </w:p>
    <w:p>
      <w:pPr>
        <w:spacing w:line="276" w:lineRule="auto" w:before="35"/>
        <w:ind w:left="1940" w:right="2346" w:firstLine="0"/>
        <w:jc w:val="left"/>
        <w:rPr>
          <w:sz w:val="21"/>
        </w:rPr>
      </w:pPr>
      <w:r>
        <w:rPr>
          <w:sz w:val="21"/>
        </w:rPr>
        <w:t>2. In the name of him who …...; may God perpetually keep him in the world.</w:t>
      </w:r>
    </w:p>
    <w:p>
      <w:pPr>
        <w:spacing w:before="1"/>
        <w:ind w:left="1940" w:right="0" w:firstLine="0"/>
        <w:jc w:val="left"/>
        <w:rPr>
          <w:sz w:val="21"/>
        </w:rPr>
      </w:pPr>
      <w:r>
        <w:rPr>
          <w:sz w:val="21"/>
        </w:rPr>
        <w:t>3…........</w:t>
      </w:r>
    </w:p>
    <w:p>
      <w:pPr>
        <w:pStyle w:val="ListParagraph"/>
        <w:numPr>
          <w:ilvl w:val="0"/>
          <w:numId w:val="44"/>
        </w:numPr>
        <w:tabs>
          <w:tab w:pos="2236" w:val="left" w:leader="none"/>
        </w:tabs>
        <w:spacing w:line="273" w:lineRule="auto" w:before="37" w:after="0"/>
        <w:ind w:left="1940" w:right="2265" w:firstLine="0"/>
        <w:jc w:val="left"/>
        <w:rPr>
          <w:sz w:val="21"/>
        </w:rPr>
      </w:pPr>
      <w:r>
        <w:rPr>
          <w:sz w:val="21"/>
        </w:rPr>
        <w:t>Such a sovereign who is famous in the world, and in person of delight for the</w:t>
      </w:r>
      <w:r>
        <w:rPr>
          <w:spacing w:val="-6"/>
          <w:sz w:val="21"/>
        </w:rPr>
        <w:t> </w:t>
      </w:r>
      <w:r>
        <w:rPr>
          <w:sz w:val="21"/>
        </w:rPr>
        <w:t>world.</w:t>
      </w:r>
    </w:p>
    <w:p>
      <w:pPr>
        <w:pStyle w:val="ListParagraph"/>
        <w:numPr>
          <w:ilvl w:val="0"/>
          <w:numId w:val="44"/>
        </w:numPr>
        <w:tabs>
          <w:tab w:pos="2181" w:val="left" w:leader="none"/>
        </w:tabs>
        <w:spacing w:line="276" w:lineRule="auto" w:before="4" w:after="0"/>
        <w:ind w:left="1940" w:right="2266" w:firstLine="0"/>
        <w:jc w:val="left"/>
        <w:rPr>
          <w:sz w:val="21"/>
        </w:rPr>
      </w:pPr>
      <w:r>
        <w:rPr>
          <w:sz w:val="21"/>
        </w:rPr>
        <w:t>In his presence one of the grandees who is another king of Turkey and</w:t>
      </w:r>
      <w:r>
        <w:rPr>
          <w:spacing w:val="-7"/>
          <w:sz w:val="21"/>
        </w:rPr>
        <w:t> </w:t>
      </w:r>
      <w:r>
        <w:rPr>
          <w:sz w:val="21"/>
        </w:rPr>
        <w:t>China.</w:t>
      </w:r>
    </w:p>
    <w:p>
      <w:pPr>
        <w:pStyle w:val="ListParagraph"/>
        <w:numPr>
          <w:ilvl w:val="0"/>
          <w:numId w:val="44"/>
        </w:numPr>
        <w:tabs>
          <w:tab w:pos="2174" w:val="left" w:leader="none"/>
        </w:tabs>
        <w:spacing w:line="241" w:lineRule="exact" w:before="0" w:after="0"/>
        <w:ind w:left="2173" w:right="0" w:hanging="234"/>
        <w:jc w:val="left"/>
        <w:rPr>
          <w:sz w:val="21"/>
        </w:rPr>
      </w:pPr>
      <w:r>
        <w:rPr>
          <w:sz w:val="21"/>
        </w:rPr>
        <w:t>Laid this religious foundation in the auspicious Hijra</w:t>
      </w:r>
      <w:r>
        <w:rPr>
          <w:spacing w:val="-13"/>
          <w:sz w:val="21"/>
        </w:rPr>
        <w:t> </w:t>
      </w:r>
      <w:r>
        <w:rPr>
          <w:sz w:val="21"/>
        </w:rPr>
        <w:t>930.</w:t>
      </w:r>
    </w:p>
    <w:p>
      <w:pPr>
        <w:pStyle w:val="ListParagraph"/>
        <w:numPr>
          <w:ilvl w:val="0"/>
          <w:numId w:val="44"/>
        </w:numPr>
        <w:tabs>
          <w:tab w:pos="2181" w:val="left" w:leader="none"/>
        </w:tabs>
        <w:spacing w:line="276" w:lineRule="auto" w:before="37" w:after="0"/>
        <w:ind w:left="1940" w:right="2265" w:firstLine="0"/>
        <w:jc w:val="left"/>
        <w:rPr>
          <w:sz w:val="21"/>
        </w:rPr>
      </w:pPr>
      <w:r>
        <w:rPr>
          <w:sz w:val="21"/>
        </w:rPr>
        <w:t>O God ! May always remain the crown, throne and life with the</w:t>
      </w:r>
      <w:r>
        <w:rPr>
          <w:spacing w:val="-2"/>
          <w:sz w:val="21"/>
        </w:rPr>
        <w:t> </w:t>
      </w:r>
      <w:r>
        <w:rPr>
          <w:sz w:val="21"/>
        </w:rPr>
        <w:t>king.</w:t>
      </w:r>
    </w:p>
    <w:p>
      <w:pPr>
        <w:pStyle w:val="ListParagraph"/>
        <w:numPr>
          <w:ilvl w:val="0"/>
          <w:numId w:val="44"/>
        </w:numPr>
        <w:tabs>
          <w:tab w:pos="2229" w:val="left" w:leader="none"/>
        </w:tabs>
        <w:spacing w:line="273" w:lineRule="auto" w:before="1" w:after="0"/>
        <w:ind w:left="1940" w:right="2265" w:firstLine="0"/>
        <w:jc w:val="left"/>
        <w:rPr>
          <w:sz w:val="21"/>
        </w:rPr>
      </w:pPr>
      <w:r>
        <w:rPr>
          <w:sz w:val="21"/>
        </w:rPr>
        <w:t>May Babar always pour the flowers of happiness; may remain</w:t>
      </w:r>
      <w:r>
        <w:rPr>
          <w:spacing w:val="-2"/>
          <w:sz w:val="21"/>
        </w:rPr>
        <w:t> </w:t>
      </w:r>
      <w:r>
        <w:rPr>
          <w:sz w:val="21"/>
        </w:rPr>
        <w:t>successful.</w:t>
      </w:r>
    </w:p>
    <w:p>
      <w:pPr>
        <w:pStyle w:val="ListParagraph"/>
        <w:numPr>
          <w:ilvl w:val="0"/>
          <w:numId w:val="44"/>
        </w:numPr>
        <w:tabs>
          <w:tab w:pos="2197" w:val="left" w:leader="none"/>
        </w:tabs>
        <w:spacing w:line="276" w:lineRule="auto" w:before="4" w:after="0"/>
        <w:ind w:left="1940" w:right="2260" w:firstLine="0"/>
        <w:jc w:val="left"/>
        <w:rPr>
          <w:sz w:val="21"/>
        </w:rPr>
      </w:pPr>
      <w:r>
        <w:rPr>
          <w:sz w:val="21"/>
        </w:rPr>
        <w:t>His counsellor and minister who is the founder of this fort masjid.</w:t>
      </w:r>
    </w:p>
    <w:p>
      <w:pPr>
        <w:pStyle w:val="ListParagraph"/>
        <w:numPr>
          <w:ilvl w:val="0"/>
          <w:numId w:val="44"/>
        </w:numPr>
        <w:tabs>
          <w:tab w:pos="2293" w:val="left" w:leader="none"/>
        </w:tabs>
        <w:spacing w:line="276" w:lineRule="auto" w:before="0" w:after="0"/>
        <w:ind w:left="1940" w:right="2264" w:firstLine="0"/>
        <w:jc w:val="left"/>
        <w:rPr>
          <w:sz w:val="21"/>
        </w:rPr>
      </w:pPr>
      <w:r>
        <w:rPr>
          <w:sz w:val="21"/>
        </w:rPr>
        <w:t>This poetry, giving the date and eulogy, was written by the lazy writer and poor servant Fath-allah-Ghorl,</w:t>
      </w:r>
      <w:r>
        <w:rPr>
          <w:spacing w:val="-23"/>
          <w:sz w:val="21"/>
        </w:rPr>
        <w:t> </w:t>
      </w:r>
      <w:r>
        <w:rPr>
          <w:sz w:val="21"/>
        </w:rPr>
        <w:t>composer.‖</w:t>
      </w:r>
    </w:p>
    <w:p>
      <w:pPr>
        <w:pStyle w:val="BodyText"/>
        <w:spacing w:before="11"/>
        <w:rPr>
          <w:sz w:val="24"/>
        </w:rPr>
      </w:pPr>
    </w:p>
    <w:p>
      <w:pPr>
        <w:pStyle w:val="BodyText"/>
        <w:ind w:left="500"/>
      </w:pPr>
      <w:r>
        <w:rPr/>
        <w:t>After adverting to the inscriptions, </w:t>
      </w:r>
      <w:r>
        <w:rPr>
          <w:b/>
        </w:rPr>
        <w:t>Fuhrer </w:t>
      </w:r>
      <w:r>
        <w:rPr/>
        <w:t>notes:</w:t>
      </w:r>
    </w:p>
    <w:p>
      <w:pPr>
        <w:pStyle w:val="BodyText"/>
      </w:pPr>
    </w:p>
    <w:p>
      <w:pPr>
        <w:spacing w:line="276" w:lineRule="auto" w:before="1"/>
        <w:ind w:left="1940" w:right="2261" w:firstLine="0"/>
        <w:jc w:val="both"/>
        <w:rPr>
          <w:sz w:val="21"/>
        </w:rPr>
      </w:pPr>
      <w:r>
        <w:rPr>
          <w:spacing w:val="-1"/>
          <w:w w:val="33"/>
          <w:sz w:val="21"/>
        </w:rPr>
        <w:t>―</w:t>
      </w:r>
      <w:r>
        <w:rPr>
          <w:w w:val="100"/>
          <w:sz w:val="21"/>
        </w:rPr>
        <w:t>The</w:t>
      </w:r>
      <w:r>
        <w:rPr>
          <w:sz w:val="21"/>
        </w:rPr>
        <w:t> </w:t>
      </w:r>
      <w:r>
        <w:rPr>
          <w:spacing w:val="-12"/>
          <w:sz w:val="21"/>
        </w:rPr>
        <w:t> </w:t>
      </w:r>
      <w:r>
        <w:rPr>
          <w:spacing w:val="-3"/>
          <w:w w:val="100"/>
          <w:sz w:val="21"/>
        </w:rPr>
        <w:t>o</w:t>
      </w:r>
      <w:r>
        <w:rPr>
          <w:w w:val="100"/>
          <w:sz w:val="21"/>
        </w:rPr>
        <w:t>ld</w:t>
      </w:r>
      <w:r>
        <w:rPr>
          <w:sz w:val="21"/>
        </w:rPr>
        <w:t> </w:t>
      </w:r>
      <w:r>
        <w:rPr>
          <w:spacing w:val="-12"/>
          <w:sz w:val="21"/>
        </w:rPr>
        <w:t> </w:t>
      </w:r>
      <w:r>
        <w:rPr>
          <w:spacing w:val="-2"/>
          <w:w w:val="100"/>
          <w:sz w:val="21"/>
        </w:rPr>
        <w:t>t</w:t>
      </w:r>
      <w:r>
        <w:rPr>
          <w:spacing w:val="-3"/>
          <w:w w:val="100"/>
          <w:sz w:val="21"/>
        </w:rPr>
        <w:t>e</w:t>
      </w:r>
      <w:r>
        <w:rPr>
          <w:spacing w:val="-1"/>
          <w:w w:val="100"/>
          <w:sz w:val="21"/>
        </w:rPr>
        <w:t>mp</w:t>
      </w:r>
      <w:r>
        <w:rPr>
          <w:spacing w:val="1"/>
          <w:w w:val="100"/>
          <w:sz w:val="21"/>
        </w:rPr>
        <w:t>l</w:t>
      </w:r>
      <w:r>
        <w:rPr>
          <w:w w:val="100"/>
          <w:sz w:val="21"/>
        </w:rPr>
        <w:t>e</w:t>
      </w:r>
      <w:r>
        <w:rPr>
          <w:sz w:val="21"/>
        </w:rPr>
        <w:t> </w:t>
      </w:r>
      <w:r>
        <w:rPr>
          <w:spacing w:val="-14"/>
          <w:sz w:val="21"/>
        </w:rPr>
        <w:t> </w:t>
      </w:r>
      <w:r>
        <w:rPr>
          <w:spacing w:val="-1"/>
          <w:w w:val="100"/>
          <w:sz w:val="21"/>
        </w:rPr>
        <w:t>o</w:t>
      </w:r>
      <w:r>
        <w:rPr>
          <w:w w:val="100"/>
          <w:sz w:val="21"/>
        </w:rPr>
        <w:t>f</w:t>
      </w:r>
      <w:r>
        <w:rPr>
          <w:sz w:val="21"/>
        </w:rPr>
        <w:t> </w:t>
      </w:r>
      <w:r>
        <w:rPr>
          <w:spacing w:val="-13"/>
          <w:sz w:val="21"/>
        </w:rPr>
        <w:t> </w:t>
      </w:r>
      <w:r>
        <w:rPr>
          <w:w w:val="100"/>
          <w:sz w:val="21"/>
        </w:rPr>
        <w:t>R</w:t>
      </w:r>
      <w:r>
        <w:rPr>
          <w:spacing w:val="-3"/>
          <w:w w:val="100"/>
          <w:sz w:val="21"/>
        </w:rPr>
        <w:t>a</w:t>
      </w:r>
      <w:r>
        <w:rPr>
          <w:spacing w:val="-4"/>
          <w:w w:val="100"/>
          <w:sz w:val="21"/>
        </w:rPr>
        <w:t>m</w:t>
      </w:r>
      <w:r>
        <w:rPr>
          <w:spacing w:val="-1"/>
          <w:w w:val="100"/>
          <w:sz w:val="21"/>
        </w:rPr>
        <w:t>ach</w:t>
      </w:r>
      <w:r>
        <w:rPr>
          <w:spacing w:val="-2"/>
          <w:w w:val="100"/>
          <w:sz w:val="21"/>
        </w:rPr>
        <w:t>a</w:t>
      </w:r>
      <w:r>
        <w:rPr>
          <w:spacing w:val="-1"/>
          <w:w w:val="100"/>
          <w:sz w:val="21"/>
        </w:rPr>
        <w:t>ndr</w:t>
      </w:r>
      <w:r>
        <w:rPr>
          <w:w w:val="100"/>
          <w:sz w:val="21"/>
        </w:rPr>
        <w:t>a</w:t>
      </w:r>
      <w:r>
        <w:rPr>
          <w:sz w:val="21"/>
        </w:rPr>
        <w:t> </w:t>
      </w:r>
      <w:r>
        <w:rPr>
          <w:spacing w:val="-12"/>
          <w:sz w:val="21"/>
        </w:rPr>
        <w:t> </w:t>
      </w:r>
      <w:r>
        <w:rPr>
          <w:spacing w:val="-1"/>
          <w:w w:val="100"/>
          <w:sz w:val="21"/>
        </w:rPr>
        <w:t>a</w:t>
      </w:r>
      <w:r>
        <w:rPr>
          <w:w w:val="100"/>
          <w:sz w:val="21"/>
        </w:rPr>
        <w:t>t</w:t>
      </w:r>
      <w:r>
        <w:rPr>
          <w:sz w:val="21"/>
        </w:rPr>
        <w:t> </w:t>
      </w:r>
      <w:r>
        <w:rPr>
          <w:spacing w:val="-13"/>
          <w:sz w:val="21"/>
        </w:rPr>
        <w:t> </w:t>
      </w:r>
      <w:r>
        <w:rPr>
          <w:spacing w:val="-3"/>
          <w:w w:val="100"/>
          <w:sz w:val="21"/>
        </w:rPr>
        <w:t>J</w:t>
      </w:r>
      <w:r>
        <w:rPr>
          <w:spacing w:val="-1"/>
          <w:w w:val="100"/>
          <w:sz w:val="21"/>
        </w:rPr>
        <w:t>an</w:t>
      </w:r>
      <w:r>
        <w:rPr>
          <w:spacing w:val="-2"/>
          <w:w w:val="100"/>
          <w:sz w:val="21"/>
        </w:rPr>
        <w:t>a</w:t>
      </w:r>
      <w:r>
        <w:rPr>
          <w:spacing w:val="-1"/>
          <w:w w:val="100"/>
          <w:sz w:val="21"/>
        </w:rPr>
        <w:t>masth</w:t>
      </w:r>
      <w:r>
        <w:rPr>
          <w:spacing w:val="-3"/>
          <w:w w:val="100"/>
          <w:sz w:val="21"/>
        </w:rPr>
        <w:t>a</w:t>
      </w:r>
      <w:r>
        <w:rPr>
          <w:spacing w:val="-1"/>
          <w:w w:val="100"/>
          <w:sz w:val="21"/>
        </w:rPr>
        <w:t>n</w:t>
      </w:r>
      <w:r>
        <w:rPr>
          <w:spacing w:val="-3"/>
          <w:w w:val="100"/>
          <w:sz w:val="21"/>
        </w:rPr>
        <w:t>a</w:t>
      </w:r>
      <w:r>
        <w:rPr>
          <w:w w:val="100"/>
          <w:sz w:val="21"/>
        </w:rPr>
        <w:t>m</w:t>
      </w:r>
      <w:r>
        <w:rPr>
          <w:sz w:val="21"/>
        </w:rPr>
        <w:t> </w:t>
      </w:r>
      <w:r>
        <w:rPr>
          <w:spacing w:val="-13"/>
          <w:sz w:val="21"/>
        </w:rPr>
        <w:t> </w:t>
      </w:r>
      <w:r>
        <w:rPr>
          <w:spacing w:val="1"/>
          <w:w w:val="100"/>
          <w:sz w:val="21"/>
        </w:rPr>
        <w:t>m</w:t>
      </w:r>
      <w:r>
        <w:rPr>
          <w:spacing w:val="-1"/>
          <w:w w:val="100"/>
          <w:sz w:val="21"/>
        </w:rPr>
        <w:t>ust </w:t>
      </w:r>
      <w:r>
        <w:rPr>
          <w:sz w:val="21"/>
        </w:rPr>
        <w:t>have been a very fine one, for many of its columns have been used by the Musalmans in the construction of Babar's masjid. These are of strong, close-grained, dark-coloured or black </w:t>
      </w:r>
      <w:r>
        <w:rPr>
          <w:w w:val="100"/>
          <w:sz w:val="21"/>
        </w:rPr>
        <w:t>s</w:t>
      </w:r>
      <w:r>
        <w:rPr>
          <w:spacing w:val="-2"/>
          <w:w w:val="100"/>
          <w:sz w:val="21"/>
        </w:rPr>
        <w:t>t</w:t>
      </w:r>
      <w:r>
        <w:rPr>
          <w:spacing w:val="-1"/>
          <w:w w:val="100"/>
          <w:sz w:val="21"/>
        </w:rPr>
        <w:t>one</w:t>
      </w:r>
      <w:r>
        <w:rPr>
          <w:w w:val="100"/>
          <w:sz w:val="21"/>
        </w:rPr>
        <w:t>,</w:t>
      </w:r>
      <w:r>
        <w:rPr>
          <w:spacing w:val="22"/>
          <w:sz w:val="21"/>
        </w:rPr>
        <w:t> </w:t>
      </w:r>
      <w:r>
        <w:rPr>
          <w:spacing w:val="-3"/>
          <w:w w:val="100"/>
          <w:sz w:val="21"/>
        </w:rPr>
        <w:t>c</w:t>
      </w:r>
      <w:r>
        <w:rPr>
          <w:spacing w:val="-1"/>
          <w:w w:val="100"/>
          <w:sz w:val="21"/>
        </w:rPr>
        <w:t>a</w:t>
      </w:r>
      <w:r>
        <w:rPr>
          <w:spacing w:val="-2"/>
          <w:w w:val="100"/>
          <w:sz w:val="21"/>
        </w:rPr>
        <w:t>l</w:t>
      </w:r>
      <w:r>
        <w:rPr>
          <w:w w:val="100"/>
          <w:sz w:val="21"/>
        </w:rPr>
        <w:t>l</w:t>
      </w:r>
      <w:r>
        <w:rPr>
          <w:spacing w:val="-1"/>
          <w:w w:val="100"/>
          <w:sz w:val="21"/>
        </w:rPr>
        <w:t>e</w:t>
      </w:r>
      <w:r>
        <w:rPr>
          <w:w w:val="100"/>
          <w:sz w:val="21"/>
        </w:rPr>
        <w:t>d</w:t>
      </w:r>
      <w:r>
        <w:rPr>
          <w:spacing w:val="20"/>
          <w:sz w:val="21"/>
        </w:rPr>
        <w:t> </w:t>
      </w:r>
      <w:r>
        <w:rPr>
          <w:spacing w:val="-1"/>
          <w:w w:val="100"/>
          <w:sz w:val="21"/>
        </w:rPr>
        <w:t>b</w:t>
      </w:r>
      <w:r>
        <w:rPr>
          <w:w w:val="100"/>
          <w:sz w:val="21"/>
        </w:rPr>
        <w:t>y</w:t>
      </w:r>
      <w:r>
        <w:rPr>
          <w:spacing w:val="20"/>
          <w:sz w:val="21"/>
        </w:rPr>
        <w:t> </w:t>
      </w:r>
      <w:r>
        <w:rPr>
          <w:spacing w:val="-2"/>
          <w:w w:val="100"/>
          <w:sz w:val="21"/>
        </w:rPr>
        <w:t>t</w:t>
      </w:r>
      <w:r>
        <w:rPr>
          <w:spacing w:val="-1"/>
          <w:w w:val="100"/>
          <w:sz w:val="21"/>
        </w:rPr>
        <w:t>h</w:t>
      </w:r>
      <w:r>
        <w:rPr>
          <w:w w:val="100"/>
          <w:sz w:val="21"/>
        </w:rPr>
        <w:t>e</w:t>
      </w:r>
      <w:r>
        <w:rPr>
          <w:spacing w:val="23"/>
          <w:sz w:val="21"/>
        </w:rPr>
        <w:t> </w:t>
      </w:r>
      <w:r>
        <w:rPr>
          <w:spacing w:val="-3"/>
          <w:w w:val="100"/>
          <w:sz w:val="21"/>
        </w:rPr>
        <w:t>n</w:t>
      </w:r>
      <w:r>
        <w:rPr>
          <w:spacing w:val="-1"/>
          <w:w w:val="100"/>
          <w:sz w:val="21"/>
        </w:rPr>
        <w:t>at</w:t>
      </w:r>
      <w:r>
        <w:rPr>
          <w:w w:val="100"/>
          <w:sz w:val="21"/>
        </w:rPr>
        <w:t>i</w:t>
      </w:r>
      <w:r>
        <w:rPr>
          <w:spacing w:val="-3"/>
          <w:w w:val="100"/>
          <w:sz w:val="21"/>
        </w:rPr>
        <w:t>v</w:t>
      </w:r>
      <w:r>
        <w:rPr>
          <w:spacing w:val="-1"/>
          <w:w w:val="100"/>
          <w:sz w:val="21"/>
        </w:rPr>
        <w:t>e</w:t>
      </w:r>
      <w:r>
        <w:rPr>
          <w:w w:val="100"/>
          <w:sz w:val="21"/>
        </w:rPr>
        <w:t>s</w:t>
      </w:r>
      <w:r>
        <w:rPr>
          <w:spacing w:val="20"/>
          <w:sz w:val="21"/>
        </w:rPr>
        <w:t> </w:t>
      </w:r>
      <w:r>
        <w:rPr>
          <w:spacing w:val="2"/>
          <w:w w:val="100"/>
          <w:sz w:val="21"/>
        </w:rPr>
        <w:t>k</w:t>
      </w:r>
      <w:r>
        <w:rPr>
          <w:spacing w:val="-3"/>
          <w:w w:val="100"/>
          <w:sz w:val="21"/>
        </w:rPr>
        <w:t>a</w:t>
      </w:r>
      <w:r>
        <w:rPr>
          <w:w w:val="100"/>
          <w:sz w:val="21"/>
        </w:rPr>
        <w:t>sau</w:t>
      </w:r>
      <w:r>
        <w:rPr>
          <w:spacing w:val="-4"/>
          <w:w w:val="100"/>
          <w:sz w:val="21"/>
        </w:rPr>
        <w:t>t</w:t>
      </w:r>
      <w:r>
        <w:rPr>
          <w:w w:val="100"/>
          <w:sz w:val="21"/>
        </w:rPr>
        <w:t>i,</w:t>
      </w:r>
      <w:r>
        <w:rPr>
          <w:spacing w:val="21"/>
          <w:sz w:val="21"/>
        </w:rPr>
        <w:t> </w:t>
      </w:r>
      <w:r>
        <w:rPr>
          <w:spacing w:val="-1"/>
          <w:w w:val="33"/>
          <w:sz w:val="21"/>
        </w:rPr>
        <w:t>―</w:t>
      </w:r>
      <w:r>
        <w:rPr>
          <w:spacing w:val="-2"/>
          <w:w w:val="100"/>
          <w:sz w:val="21"/>
        </w:rPr>
        <w:t>t</w:t>
      </w:r>
      <w:r>
        <w:rPr>
          <w:spacing w:val="-1"/>
          <w:w w:val="100"/>
          <w:sz w:val="21"/>
        </w:rPr>
        <w:t>ouc</w:t>
      </w:r>
      <w:r>
        <w:rPr>
          <w:spacing w:val="4"/>
          <w:w w:val="100"/>
          <w:sz w:val="21"/>
        </w:rPr>
        <w:t>h</w:t>
      </w:r>
      <w:r>
        <w:rPr>
          <w:spacing w:val="-4"/>
          <w:w w:val="100"/>
          <w:sz w:val="21"/>
        </w:rPr>
        <w:t>-</w:t>
      </w:r>
      <w:r>
        <w:rPr>
          <w:w w:val="100"/>
          <w:sz w:val="21"/>
        </w:rPr>
        <w:t>s</w:t>
      </w:r>
      <w:r>
        <w:rPr>
          <w:spacing w:val="-2"/>
          <w:w w:val="100"/>
          <w:sz w:val="21"/>
        </w:rPr>
        <w:t>t</w:t>
      </w:r>
      <w:r>
        <w:rPr>
          <w:spacing w:val="-1"/>
          <w:w w:val="100"/>
          <w:sz w:val="21"/>
        </w:rPr>
        <w:t>on</w:t>
      </w:r>
      <w:r>
        <w:rPr>
          <w:w w:val="100"/>
          <w:sz w:val="21"/>
        </w:rPr>
        <w:t>e</w:t>
      </w:r>
      <w:r>
        <w:rPr>
          <w:spacing w:val="18"/>
          <w:sz w:val="21"/>
        </w:rPr>
        <w:t> </w:t>
      </w:r>
      <w:r>
        <w:rPr>
          <w:w w:val="100"/>
          <w:sz w:val="21"/>
        </w:rPr>
        <w:t>sl</w:t>
      </w:r>
      <w:r>
        <w:rPr>
          <w:spacing w:val="-1"/>
          <w:w w:val="100"/>
          <w:sz w:val="21"/>
        </w:rPr>
        <w:t>ate,</w:t>
      </w:r>
      <w:r>
        <w:rPr>
          <w:w w:val="81"/>
          <w:sz w:val="21"/>
        </w:rPr>
        <w:t>‖</w:t>
      </w:r>
      <w:r>
        <w:rPr>
          <w:spacing w:val="22"/>
          <w:sz w:val="21"/>
        </w:rPr>
        <w:t> </w:t>
      </w:r>
      <w:r>
        <w:rPr>
          <w:spacing w:val="-3"/>
          <w:w w:val="100"/>
          <w:sz w:val="21"/>
        </w:rPr>
        <w:t>a</w:t>
      </w:r>
      <w:r>
        <w:rPr>
          <w:spacing w:val="-1"/>
          <w:w w:val="100"/>
          <w:sz w:val="21"/>
        </w:rPr>
        <w:t>nd </w:t>
      </w:r>
      <w:r>
        <w:rPr>
          <w:sz w:val="21"/>
        </w:rPr>
        <w:t>carved with different devices. They are from seven to eight feet long, square at the base, centre and capital, and round or octagonal</w:t>
      </w:r>
      <w:r>
        <w:rPr>
          <w:spacing w:val="-3"/>
          <w:sz w:val="21"/>
        </w:rPr>
        <w:t> </w:t>
      </w:r>
      <w:r>
        <w:rPr>
          <w:sz w:val="21"/>
        </w:rPr>
        <w:t>intermediately.‖</w:t>
      </w:r>
    </w:p>
    <w:p>
      <w:pPr>
        <w:spacing w:after="0" w:line="276" w:lineRule="auto"/>
        <w:jc w:val="both"/>
        <w:rPr>
          <w:sz w:val="21"/>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41" w:firstLine="0"/>
        <w:jc w:val="both"/>
        <w:rPr>
          <w:sz w:val="25"/>
        </w:rPr>
      </w:pPr>
      <w:r>
        <w:rPr>
          <w:sz w:val="25"/>
        </w:rPr>
        <w:t>The second piece of documentary evidence in which these inscriptions are </w:t>
      </w:r>
      <w:r>
        <w:rPr>
          <w:spacing w:val="-1"/>
          <w:w w:val="99"/>
          <w:sz w:val="25"/>
        </w:rPr>
        <w:t>p</w:t>
      </w:r>
      <w:r>
        <w:rPr>
          <w:w w:val="99"/>
          <w:sz w:val="25"/>
        </w:rPr>
        <w:t>ur</w:t>
      </w:r>
      <w:r>
        <w:rPr>
          <w:spacing w:val="-1"/>
          <w:w w:val="99"/>
          <w:sz w:val="25"/>
        </w:rPr>
        <w:t>p</w:t>
      </w:r>
      <w:r>
        <w:rPr>
          <w:w w:val="99"/>
          <w:sz w:val="25"/>
        </w:rPr>
        <w:t>orted</w:t>
      </w:r>
      <w:r>
        <w:rPr>
          <w:spacing w:val="-1"/>
          <w:w w:val="99"/>
          <w:sz w:val="25"/>
        </w:rPr>
        <w:t>l</w:t>
      </w:r>
      <w:r>
        <w:rPr>
          <w:w w:val="99"/>
          <w:sz w:val="25"/>
        </w:rPr>
        <w:t>y</w:t>
      </w:r>
      <w:r>
        <w:rPr>
          <w:spacing w:val="14"/>
          <w:sz w:val="25"/>
        </w:rPr>
        <w:t> </w:t>
      </w:r>
      <w:r>
        <w:rPr>
          <w:w w:val="99"/>
          <w:sz w:val="25"/>
        </w:rPr>
        <w:t>tr</w:t>
      </w:r>
      <w:r>
        <w:rPr>
          <w:spacing w:val="-1"/>
          <w:w w:val="99"/>
          <w:sz w:val="25"/>
        </w:rPr>
        <w:t>a</w:t>
      </w:r>
      <w:r>
        <w:rPr>
          <w:w w:val="99"/>
          <w:sz w:val="25"/>
        </w:rPr>
        <w:t>nslated</w:t>
      </w:r>
      <w:r>
        <w:rPr>
          <w:spacing w:val="14"/>
          <w:sz w:val="25"/>
        </w:rPr>
        <w:t> </w:t>
      </w:r>
      <w:r>
        <w:rPr>
          <w:w w:val="99"/>
          <w:sz w:val="25"/>
        </w:rPr>
        <w:t>the</w:t>
      </w:r>
      <w:r>
        <w:rPr>
          <w:spacing w:val="17"/>
          <w:sz w:val="25"/>
        </w:rPr>
        <w:t> </w:t>
      </w:r>
      <w:r>
        <w:rPr>
          <w:spacing w:val="4"/>
          <w:w w:val="33"/>
          <w:sz w:val="25"/>
        </w:rPr>
        <w:t>―</w:t>
      </w:r>
      <w:r>
        <w:rPr>
          <w:b/>
          <w:w w:val="99"/>
          <w:sz w:val="25"/>
        </w:rPr>
        <w:t>Ba</w:t>
      </w:r>
      <w:r>
        <w:rPr>
          <w:b/>
          <w:spacing w:val="-1"/>
          <w:w w:val="99"/>
          <w:sz w:val="25"/>
        </w:rPr>
        <w:t>b</w:t>
      </w:r>
      <w:r>
        <w:rPr>
          <w:b/>
          <w:w w:val="99"/>
          <w:sz w:val="25"/>
        </w:rPr>
        <w:t>u</w:t>
      </w:r>
      <w:r>
        <w:rPr>
          <w:b/>
          <w:spacing w:val="-1"/>
          <w:w w:val="99"/>
          <w:sz w:val="25"/>
        </w:rPr>
        <w:t>r</w:t>
      </w:r>
      <w:r>
        <w:rPr>
          <w:b/>
          <w:w w:val="99"/>
          <w:sz w:val="25"/>
        </w:rPr>
        <w:t>-</w:t>
      </w:r>
      <w:r>
        <w:rPr>
          <w:b/>
          <w:w w:val="99"/>
          <w:sz w:val="25"/>
        </w:rPr>
        <w:t>Na</w:t>
      </w:r>
      <w:r>
        <w:rPr>
          <w:b/>
          <w:spacing w:val="-1"/>
          <w:w w:val="99"/>
          <w:sz w:val="25"/>
        </w:rPr>
        <w:t>m</w:t>
      </w:r>
      <w:r>
        <w:rPr>
          <w:b/>
          <w:w w:val="99"/>
          <w:sz w:val="25"/>
        </w:rPr>
        <w:t>a</w:t>
      </w:r>
      <w:r>
        <w:rPr>
          <w:w w:val="80"/>
          <w:sz w:val="25"/>
        </w:rPr>
        <w:t>‖</w:t>
      </w:r>
      <w:r>
        <w:rPr>
          <w:w w:val="99"/>
          <w:sz w:val="25"/>
        </w:rPr>
        <w:t>.</w:t>
      </w:r>
      <w:r>
        <w:rPr>
          <w:spacing w:val="14"/>
          <w:sz w:val="25"/>
        </w:rPr>
        <w:t> </w:t>
      </w:r>
      <w:r>
        <w:rPr>
          <w:w w:val="99"/>
          <w:sz w:val="25"/>
        </w:rPr>
        <w:t>T</w:t>
      </w:r>
      <w:r>
        <w:rPr>
          <w:spacing w:val="-1"/>
          <w:w w:val="99"/>
          <w:sz w:val="25"/>
        </w:rPr>
        <w:t>h</w:t>
      </w:r>
      <w:r>
        <w:rPr>
          <w:w w:val="99"/>
          <w:sz w:val="25"/>
        </w:rPr>
        <w:t>e</w:t>
      </w:r>
      <w:r>
        <w:rPr>
          <w:spacing w:val="17"/>
          <w:sz w:val="25"/>
        </w:rPr>
        <w:t> </w:t>
      </w:r>
      <w:r>
        <w:rPr>
          <w:w w:val="99"/>
          <w:sz w:val="25"/>
        </w:rPr>
        <w:t>tr</w:t>
      </w:r>
      <w:r>
        <w:rPr>
          <w:spacing w:val="-1"/>
          <w:w w:val="99"/>
          <w:sz w:val="25"/>
        </w:rPr>
        <w:t>a</w:t>
      </w:r>
      <w:r>
        <w:rPr>
          <w:w w:val="99"/>
          <w:sz w:val="25"/>
        </w:rPr>
        <w:t>nslation</w:t>
      </w:r>
      <w:r>
        <w:rPr>
          <w:spacing w:val="15"/>
          <w:sz w:val="25"/>
        </w:rPr>
        <w:t> </w:t>
      </w:r>
      <w:r>
        <w:rPr>
          <w:spacing w:val="-1"/>
          <w:w w:val="99"/>
          <w:sz w:val="25"/>
        </w:rPr>
        <w:t>b</w:t>
      </w:r>
      <w:r>
        <w:rPr>
          <w:w w:val="99"/>
          <w:sz w:val="25"/>
        </w:rPr>
        <w:t>y</w:t>
      </w:r>
      <w:r>
        <w:rPr>
          <w:spacing w:val="14"/>
          <w:sz w:val="25"/>
        </w:rPr>
        <w:t> </w:t>
      </w:r>
      <w:r>
        <w:rPr>
          <w:w w:val="99"/>
          <w:sz w:val="25"/>
        </w:rPr>
        <w:t>A</w:t>
      </w:r>
      <w:r>
        <w:rPr>
          <w:spacing w:val="15"/>
          <w:sz w:val="25"/>
        </w:rPr>
        <w:t> </w:t>
      </w:r>
      <w:r>
        <w:rPr>
          <w:w w:val="99"/>
          <w:sz w:val="25"/>
        </w:rPr>
        <w:t>S</w:t>
      </w:r>
      <w:r>
        <w:rPr>
          <w:spacing w:val="15"/>
          <w:sz w:val="25"/>
        </w:rPr>
        <w:t> </w:t>
      </w:r>
      <w:r>
        <w:rPr>
          <w:spacing w:val="-1"/>
          <w:w w:val="99"/>
          <w:sz w:val="25"/>
        </w:rPr>
        <w:t>B</w:t>
      </w:r>
      <w:r>
        <w:rPr>
          <w:spacing w:val="2"/>
          <w:w w:val="99"/>
          <w:sz w:val="25"/>
        </w:rPr>
        <w:t>e</w:t>
      </w:r>
      <w:r>
        <w:rPr>
          <w:spacing w:val="-3"/>
          <w:w w:val="99"/>
          <w:sz w:val="25"/>
        </w:rPr>
        <w:t>v</w:t>
      </w:r>
      <w:r>
        <w:rPr>
          <w:spacing w:val="-1"/>
          <w:w w:val="99"/>
          <w:sz w:val="25"/>
        </w:rPr>
        <w:t>e</w:t>
      </w:r>
      <w:r>
        <w:rPr>
          <w:w w:val="99"/>
          <w:sz w:val="25"/>
        </w:rPr>
        <w:t>r</w:t>
      </w:r>
      <w:r>
        <w:rPr>
          <w:spacing w:val="-1"/>
          <w:w w:val="99"/>
          <w:sz w:val="25"/>
        </w:rPr>
        <w:t>idg</w:t>
      </w:r>
      <w:r>
        <w:rPr>
          <w:w w:val="99"/>
          <w:sz w:val="25"/>
        </w:rPr>
        <w:t>e</w:t>
      </w:r>
      <w:r>
        <w:rPr>
          <w:spacing w:val="17"/>
          <w:sz w:val="25"/>
        </w:rPr>
        <w:t> </w:t>
      </w:r>
      <w:r>
        <w:rPr>
          <w:spacing w:val="-1"/>
          <w:w w:val="99"/>
          <w:sz w:val="25"/>
        </w:rPr>
        <w:t>was </w:t>
      </w:r>
      <w:r>
        <w:rPr>
          <w:sz w:val="25"/>
        </w:rPr>
        <w:t>first published in 1921</w:t>
      </w:r>
      <w:r>
        <w:rPr>
          <w:sz w:val="25"/>
          <w:vertAlign w:val="superscript"/>
        </w:rPr>
        <w:t>27</w:t>
      </w:r>
      <w:r>
        <w:rPr>
          <w:sz w:val="25"/>
          <w:vertAlign w:val="baseline"/>
        </w:rPr>
        <w:t>. Apart from the book, extracts of some of its pages were exhibited by the parties to the</w:t>
      </w:r>
      <w:r>
        <w:rPr>
          <w:spacing w:val="-8"/>
          <w:sz w:val="25"/>
          <w:vertAlign w:val="baseline"/>
        </w:rPr>
        <w:t> </w:t>
      </w:r>
      <w:r>
        <w:rPr>
          <w:sz w:val="25"/>
          <w:vertAlign w:val="baseline"/>
        </w:rPr>
        <w:t>proceedings.</w:t>
      </w:r>
    </w:p>
    <w:p>
      <w:pPr>
        <w:pStyle w:val="BodyText"/>
        <w:rPr>
          <w:sz w:val="28"/>
        </w:rPr>
      </w:pPr>
    </w:p>
    <w:p>
      <w:pPr>
        <w:pStyle w:val="BodyText"/>
        <w:rPr>
          <w:sz w:val="22"/>
        </w:rPr>
      </w:pPr>
    </w:p>
    <w:p>
      <w:pPr>
        <w:pStyle w:val="BodyText"/>
        <w:spacing w:line="480" w:lineRule="auto"/>
        <w:ind w:left="500" w:right="442"/>
        <w:jc w:val="both"/>
      </w:pPr>
      <w:r>
        <w:rPr>
          <w:color w:val="000009"/>
        </w:rPr>
        <w:t>Appendix </w:t>
      </w:r>
      <w:r>
        <w:rPr/>
        <w:t>(U) refers to two inscriptions; one inside and another outside the mosque. Photocopies of the pages of appendix (U) were marked as appendix T3 in Suit 4.</w:t>
      </w:r>
    </w:p>
    <w:p>
      <w:pPr>
        <w:pStyle w:val="BodyText"/>
        <w:rPr>
          <w:sz w:val="28"/>
        </w:rPr>
      </w:pPr>
    </w:p>
    <w:p>
      <w:pPr>
        <w:pStyle w:val="ListParagraph"/>
        <w:numPr>
          <w:ilvl w:val="0"/>
          <w:numId w:val="3"/>
        </w:numPr>
        <w:tabs>
          <w:tab w:pos="1221" w:val="left" w:leader="none"/>
        </w:tabs>
        <w:spacing w:line="480" w:lineRule="auto" w:before="251" w:after="0"/>
        <w:ind w:left="500" w:right="434" w:firstLine="0"/>
        <w:jc w:val="both"/>
        <w:rPr>
          <w:sz w:val="25"/>
        </w:rPr>
      </w:pPr>
      <w:r>
        <w:rPr>
          <w:b/>
          <w:sz w:val="25"/>
        </w:rPr>
        <w:t>Beveridge </w:t>
      </w:r>
      <w:r>
        <w:rPr>
          <w:sz w:val="25"/>
        </w:rPr>
        <w:t>obtained the text of the inscription through the Deputy Commissioner of Faizabad on a request made by her spouse. </w:t>
      </w:r>
      <w:r>
        <w:rPr>
          <w:b/>
          <w:sz w:val="25"/>
        </w:rPr>
        <w:t>Beveridge </w:t>
      </w:r>
      <w:r>
        <w:rPr>
          <w:sz w:val="25"/>
        </w:rPr>
        <w:t>notes that while reproducing the text she had made a few changes. The text of the inscription inside the mosque, as quoted by </w:t>
      </w:r>
      <w:r>
        <w:rPr>
          <w:b/>
          <w:sz w:val="25"/>
        </w:rPr>
        <w:t>Beveridge </w:t>
      </w:r>
      <w:r>
        <w:rPr>
          <w:sz w:val="25"/>
        </w:rPr>
        <w:t>is as</w:t>
      </w:r>
      <w:r>
        <w:rPr>
          <w:spacing w:val="-7"/>
          <w:sz w:val="25"/>
        </w:rPr>
        <w:t> </w:t>
      </w:r>
      <w:r>
        <w:rPr>
          <w:sz w:val="25"/>
        </w:rPr>
        <w:t>follows:</w:t>
      </w:r>
    </w:p>
    <w:p>
      <w:pPr>
        <w:spacing w:line="276" w:lineRule="auto" w:before="1"/>
        <w:ind w:left="1940" w:right="2265" w:firstLine="0"/>
        <w:jc w:val="both"/>
        <w:rPr>
          <w:sz w:val="21"/>
        </w:rPr>
      </w:pPr>
      <w:r>
        <w:rPr>
          <w:w w:val="33"/>
          <w:sz w:val="21"/>
        </w:rPr>
        <w:t>―</w:t>
      </w:r>
      <w:r>
        <w:rPr>
          <w:w w:val="100"/>
          <w:sz w:val="21"/>
        </w:rPr>
        <w:t>(1)</w:t>
      </w:r>
      <w:r>
        <w:rPr>
          <w:sz w:val="21"/>
        </w:rPr>
        <w:t> </w:t>
      </w:r>
      <w:r>
        <w:rPr>
          <w:w w:val="100"/>
          <w:sz w:val="21"/>
        </w:rPr>
        <w:t>By</w:t>
      </w:r>
      <w:r>
        <w:rPr>
          <w:sz w:val="21"/>
        </w:rPr>
        <w:t> </w:t>
      </w:r>
      <w:r>
        <w:rPr>
          <w:w w:val="100"/>
          <w:sz w:val="21"/>
        </w:rPr>
        <w:t>the</w:t>
      </w:r>
      <w:r>
        <w:rPr>
          <w:sz w:val="21"/>
        </w:rPr>
        <w:t> </w:t>
      </w:r>
      <w:r>
        <w:rPr>
          <w:w w:val="100"/>
          <w:sz w:val="21"/>
        </w:rPr>
        <w:t>command</w:t>
      </w:r>
      <w:r>
        <w:rPr>
          <w:sz w:val="21"/>
        </w:rPr>
        <w:t> </w:t>
      </w:r>
      <w:r>
        <w:rPr>
          <w:w w:val="100"/>
          <w:sz w:val="21"/>
        </w:rPr>
        <w:t>of</w:t>
      </w:r>
      <w:r>
        <w:rPr>
          <w:sz w:val="21"/>
        </w:rPr>
        <w:t> </w:t>
      </w:r>
      <w:r>
        <w:rPr>
          <w:w w:val="100"/>
          <w:sz w:val="21"/>
        </w:rPr>
        <w:t>the</w:t>
      </w:r>
      <w:r>
        <w:rPr>
          <w:sz w:val="21"/>
        </w:rPr>
        <w:t> </w:t>
      </w:r>
      <w:r>
        <w:rPr>
          <w:w w:val="100"/>
          <w:sz w:val="21"/>
        </w:rPr>
        <w:t>Emperor</w:t>
      </w:r>
      <w:r>
        <w:rPr>
          <w:sz w:val="21"/>
        </w:rPr>
        <w:t> </w:t>
      </w:r>
      <w:r>
        <w:rPr>
          <w:w w:val="100"/>
          <w:sz w:val="21"/>
        </w:rPr>
        <w:t>Babur</w:t>
      </w:r>
      <w:r>
        <w:rPr>
          <w:sz w:val="21"/>
        </w:rPr>
        <w:t> </w:t>
      </w:r>
      <w:r>
        <w:rPr>
          <w:w w:val="100"/>
          <w:sz w:val="21"/>
        </w:rPr>
        <w:t>whose</w:t>
      </w:r>
      <w:r>
        <w:rPr>
          <w:sz w:val="21"/>
        </w:rPr>
        <w:t> </w:t>
      </w:r>
      <w:r>
        <w:rPr>
          <w:w w:val="100"/>
          <w:sz w:val="21"/>
        </w:rPr>
        <w:t>justice</w:t>
      </w:r>
      <w:r>
        <w:rPr>
          <w:sz w:val="21"/>
        </w:rPr>
        <w:t> </w:t>
      </w:r>
      <w:r>
        <w:rPr>
          <w:w w:val="100"/>
          <w:sz w:val="21"/>
        </w:rPr>
        <w:t>is </w:t>
      </w:r>
      <w:r>
        <w:rPr>
          <w:sz w:val="21"/>
        </w:rPr>
        <w:t>an edifice reaching up to the very height of the heavens.</w:t>
      </w:r>
    </w:p>
    <w:p>
      <w:pPr>
        <w:pStyle w:val="BodyText"/>
        <w:spacing w:before="1"/>
        <w:rPr>
          <w:sz w:val="24"/>
        </w:rPr>
      </w:pPr>
    </w:p>
    <w:p>
      <w:pPr>
        <w:pStyle w:val="ListParagraph"/>
        <w:numPr>
          <w:ilvl w:val="0"/>
          <w:numId w:val="45"/>
        </w:numPr>
        <w:tabs>
          <w:tab w:pos="2310" w:val="left" w:leader="none"/>
        </w:tabs>
        <w:spacing w:line="276" w:lineRule="auto" w:before="0" w:after="0"/>
        <w:ind w:left="1940" w:right="2265" w:firstLine="0"/>
        <w:jc w:val="both"/>
        <w:rPr>
          <w:sz w:val="21"/>
        </w:rPr>
      </w:pPr>
      <w:r>
        <w:rPr>
          <w:sz w:val="21"/>
        </w:rPr>
        <w:t>The good-hearted Mir Baqi built this alighting place of angels.</w:t>
      </w:r>
    </w:p>
    <w:p>
      <w:pPr>
        <w:pStyle w:val="BodyText"/>
        <w:spacing w:before="4"/>
        <w:rPr>
          <w:sz w:val="24"/>
        </w:rPr>
      </w:pPr>
    </w:p>
    <w:p>
      <w:pPr>
        <w:pStyle w:val="ListParagraph"/>
        <w:numPr>
          <w:ilvl w:val="0"/>
          <w:numId w:val="45"/>
        </w:numPr>
        <w:tabs>
          <w:tab w:pos="2272" w:val="left" w:leader="none"/>
        </w:tabs>
        <w:spacing w:line="276" w:lineRule="auto" w:before="0" w:after="0"/>
        <w:ind w:left="1940" w:right="2265" w:firstLine="0"/>
        <w:jc w:val="both"/>
        <w:rPr>
          <w:sz w:val="21"/>
        </w:rPr>
      </w:pPr>
      <w:r>
        <w:rPr>
          <w:sz w:val="21"/>
        </w:rPr>
        <w:t>It will remain an everlasting bounty, and (hence) the date of its erection became manifest from my words: It will remain an everlasting</w:t>
      </w:r>
      <w:r>
        <w:rPr>
          <w:spacing w:val="-3"/>
          <w:sz w:val="21"/>
        </w:rPr>
        <w:t> </w:t>
      </w:r>
      <w:r>
        <w:rPr>
          <w:sz w:val="21"/>
        </w:rPr>
        <w:t>bounty.‖</w:t>
      </w:r>
    </w:p>
    <w:p>
      <w:pPr>
        <w:pStyle w:val="BodyText"/>
        <w:rPr>
          <w:sz w:val="24"/>
        </w:rPr>
      </w:pPr>
    </w:p>
    <w:p>
      <w:pPr>
        <w:pStyle w:val="BodyText"/>
        <w:rPr>
          <w:sz w:val="26"/>
        </w:rPr>
      </w:pPr>
    </w:p>
    <w:p>
      <w:pPr>
        <w:pStyle w:val="BodyText"/>
        <w:ind w:left="500"/>
        <w:jc w:val="both"/>
      </w:pPr>
      <w:r>
        <w:rPr/>
        <w:t>The text of the inscription outside the mosque is thus:</w:t>
      </w:r>
    </w:p>
    <w:p>
      <w:pPr>
        <w:pStyle w:val="BodyText"/>
      </w:pPr>
    </w:p>
    <w:p>
      <w:pPr>
        <w:spacing w:line="276" w:lineRule="auto" w:before="0"/>
        <w:ind w:left="1940" w:right="2265" w:firstLine="0"/>
        <w:jc w:val="both"/>
        <w:rPr>
          <w:sz w:val="21"/>
        </w:rPr>
      </w:pPr>
      <w:r>
        <w:rPr>
          <w:w w:val="33"/>
          <w:sz w:val="21"/>
        </w:rPr>
        <w:t>―</w:t>
      </w:r>
      <w:r>
        <w:rPr>
          <w:w w:val="100"/>
          <w:sz w:val="21"/>
        </w:rPr>
        <w:t>1.</w:t>
      </w:r>
      <w:r>
        <w:rPr>
          <w:sz w:val="21"/>
        </w:rPr>
        <w:t> </w:t>
      </w:r>
      <w:r>
        <w:rPr>
          <w:w w:val="100"/>
          <w:sz w:val="21"/>
        </w:rPr>
        <w:t>In</w:t>
      </w:r>
      <w:r>
        <w:rPr>
          <w:sz w:val="21"/>
        </w:rPr>
        <w:t> </w:t>
      </w:r>
      <w:r>
        <w:rPr>
          <w:w w:val="100"/>
          <w:sz w:val="21"/>
        </w:rPr>
        <w:t>the</w:t>
      </w:r>
      <w:r>
        <w:rPr>
          <w:sz w:val="21"/>
        </w:rPr>
        <w:t> </w:t>
      </w:r>
      <w:r>
        <w:rPr>
          <w:w w:val="100"/>
          <w:sz w:val="21"/>
        </w:rPr>
        <w:t>name</w:t>
      </w:r>
      <w:r>
        <w:rPr>
          <w:sz w:val="21"/>
        </w:rPr>
        <w:t> </w:t>
      </w:r>
      <w:r>
        <w:rPr>
          <w:w w:val="100"/>
          <w:sz w:val="21"/>
        </w:rPr>
        <w:t>of</w:t>
      </w:r>
      <w:r>
        <w:rPr>
          <w:sz w:val="21"/>
        </w:rPr>
        <w:t> </w:t>
      </w:r>
      <w:r>
        <w:rPr>
          <w:w w:val="100"/>
          <w:sz w:val="21"/>
        </w:rPr>
        <w:t>One</w:t>
      </w:r>
      <w:r>
        <w:rPr>
          <w:sz w:val="21"/>
        </w:rPr>
        <w:t> </w:t>
      </w:r>
      <w:r>
        <w:rPr>
          <w:w w:val="100"/>
          <w:sz w:val="21"/>
        </w:rPr>
        <w:t>who</w:t>
      </w:r>
      <w:r>
        <w:rPr>
          <w:sz w:val="21"/>
        </w:rPr>
        <w:t> </w:t>
      </w:r>
      <w:r>
        <w:rPr>
          <w:w w:val="100"/>
          <w:sz w:val="21"/>
        </w:rPr>
        <w:t>is</w:t>
      </w:r>
      <w:r>
        <w:rPr>
          <w:sz w:val="21"/>
        </w:rPr>
        <w:t> </w:t>
      </w:r>
      <w:r>
        <w:rPr>
          <w:w w:val="100"/>
          <w:sz w:val="21"/>
        </w:rPr>
        <w:t>Great</w:t>
      </w:r>
      <w:r>
        <w:rPr>
          <w:sz w:val="21"/>
        </w:rPr>
        <w:t> </w:t>
      </w:r>
      <w:r>
        <w:rPr>
          <w:w w:val="100"/>
          <w:sz w:val="21"/>
        </w:rPr>
        <w:t>(and)</w:t>
      </w:r>
      <w:r>
        <w:rPr>
          <w:sz w:val="21"/>
        </w:rPr>
        <w:t> </w:t>
      </w:r>
      <w:r>
        <w:rPr>
          <w:w w:val="100"/>
          <w:sz w:val="21"/>
        </w:rPr>
        <w:t>Wise</w:t>
      </w:r>
      <w:r>
        <w:rPr>
          <w:sz w:val="21"/>
        </w:rPr>
        <w:t> </w:t>
      </w:r>
      <w:r>
        <w:rPr>
          <w:w w:val="100"/>
          <w:sz w:val="21"/>
        </w:rPr>
        <w:t>(and)</w:t>
      </w:r>
      <w:r>
        <w:rPr>
          <w:sz w:val="21"/>
        </w:rPr>
        <w:t> </w:t>
      </w:r>
      <w:r>
        <w:rPr>
          <w:w w:val="100"/>
          <w:sz w:val="21"/>
        </w:rPr>
        <w:t>who</w:t>
      </w:r>
      <w:r>
        <w:rPr>
          <w:sz w:val="21"/>
        </w:rPr>
        <w:t> </w:t>
      </w:r>
      <w:r>
        <w:rPr>
          <w:w w:val="100"/>
          <w:sz w:val="21"/>
        </w:rPr>
        <w:t>is </w:t>
      </w:r>
      <w:r>
        <w:rPr>
          <w:sz w:val="21"/>
        </w:rPr>
        <w:t>Creator of the whole world and is free from the bondage of space.</w:t>
      </w:r>
    </w:p>
    <w:p>
      <w:pPr>
        <w:pStyle w:val="BodyText"/>
        <w:spacing w:before="2"/>
        <w:rPr>
          <w:sz w:val="24"/>
        </w:rPr>
      </w:pPr>
    </w:p>
    <w:p>
      <w:pPr>
        <w:pStyle w:val="ListParagraph"/>
        <w:numPr>
          <w:ilvl w:val="0"/>
          <w:numId w:val="46"/>
        </w:numPr>
        <w:tabs>
          <w:tab w:pos="2250" w:val="left" w:leader="none"/>
        </w:tabs>
        <w:spacing w:line="276" w:lineRule="auto" w:before="0" w:after="0"/>
        <w:ind w:left="1940" w:right="2266" w:firstLine="0"/>
        <w:jc w:val="both"/>
        <w:rPr>
          <w:sz w:val="21"/>
        </w:rPr>
      </w:pPr>
      <w:r>
        <w:rPr>
          <w:sz w:val="21"/>
        </w:rPr>
        <w:t>After His praise, peace and blessings be on Prophet Muhammad, who is the head of all the Prophets in both the worlds.</w:t>
      </w:r>
    </w:p>
    <w:p>
      <w:pPr>
        <w:pStyle w:val="BodyText"/>
        <w:spacing w:before="11"/>
        <w:rPr>
          <w:sz w:val="27"/>
        </w:rPr>
      </w:pPr>
      <w:r>
        <w:rPr/>
        <w:pict>
          <v:rect style="position:absolute;margin-left:72.024002pt;margin-top:18.041561pt;width:144.020pt;height:.599980pt;mso-position-horizontal-relative:page;mso-position-vertical-relative:paragraph;z-index:-15718400;mso-wrap-distance-left:0;mso-wrap-distance-right:0" filled="true" fillcolor="#000000" stroked="false">
            <v:fill type="solid"/>
            <w10:wrap type="topAndBottom"/>
          </v:rect>
        </w:pict>
      </w:r>
    </w:p>
    <w:p>
      <w:pPr>
        <w:spacing w:before="78"/>
        <w:ind w:left="500" w:right="512" w:firstLine="0"/>
        <w:jc w:val="left"/>
        <w:rPr>
          <w:sz w:val="18"/>
        </w:rPr>
      </w:pPr>
      <w:r>
        <w:rPr>
          <w:sz w:val="18"/>
          <w:vertAlign w:val="superscript"/>
        </w:rPr>
        <w:t>27</w:t>
      </w:r>
      <w:r>
        <w:rPr>
          <w:sz w:val="18"/>
          <w:vertAlign w:val="baseline"/>
        </w:rPr>
        <w:t> William Erskine,  John Leyden,  and Annette  Susannah Beveridge, the  B bur-nama in  English  (Memoirs  of  B bur), London: Luzac &amp; Co. (Reprint in 2006 by Low Price Publications,</w:t>
      </w:r>
      <w:r>
        <w:rPr>
          <w:spacing w:val="6"/>
          <w:sz w:val="18"/>
          <w:vertAlign w:val="baseline"/>
        </w:rPr>
        <w:t> </w:t>
      </w:r>
      <w:r>
        <w:rPr>
          <w:sz w:val="18"/>
          <w:vertAlign w:val="baseline"/>
        </w:rPr>
        <w:t>Delhi)</w:t>
      </w:r>
    </w:p>
    <w:p>
      <w:pPr>
        <w:spacing w:after="0"/>
        <w:jc w:val="left"/>
        <w:rPr>
          <w:sz w:val="18"/>
        </w:rPr>
        <w:sectPr>
          <w:pgSz w:w="11910" w:h="16840"/>
          <w:pgMar w:header="721" w:footer="1014" w:top="1300" w:bottom="1200" w:left="940" w:right="1000"/>
        </w:sectPr>
      </w:pPr>
    </w:p>
    <w:p>
      <w:pPr>
        <w:pStyle w:val="BodyText"/>
        <w:spacing w:before="8"/>
        <w:rPr>
          <w:sz w:val="26"/>
        </w:rPr>
      </w:pPr>
    </w:p>
    <w:p>
      <w:pPr>
        <w:pStyle w:val="ListParagraph"/>
        <w:numPr>
          <w:ilvl w:val="0"/>
          <w:numId w:val="46"/>
        </w:numPr>
        <w:tabs>
          <w:tab w:pos="2193" w:val="left" w:leader="none"/>
        </w:tabs>
        <w:spacing w:line="273" w:lineRule="auto" w:before="94" w:after="0"/>
        <w:ind w:left="1940" w:right="2266" w:firstLine="0"/>
        <w:jc w:val="both"/>
        <w:rPr>
          <w:sz w:val="21"/>
        </w:rPr>
      </w:pPr>
      <w:r>
        <w:rPr>
          <w:sz w:val="21"/>
        </w:rPr>
        <w:t>In the world, it is widely talked about Qalandar Babur that he is a successful</w:t>
      </w:r>
      <w:r>
        <w:rPr>
          <w:spacing w:val="-5"/>
          <w:sz w:val="21"/>
        </w:rPr>
        <w:t> </w:t>
      </w:r>
      <w:r>
        <w:rPr>
          <w:sz w:val="21"/>
        </w:rPr>
        <w:t>emperor.‖</w:t>
      </w:r>
    </w:p>
    <w:p>
      <w:pPr>
        <w:pStyle w:val="BodyText"/>
        <w:rPr>
          <w:sz w:val="24"/>
        </w:rPr>
      </w:pPr>
    </w:p>
    <w:p>
      <w:pPr>
        <w:pStyle w:val="BodyText"/>
        <w:spacing w:before="9"/>
        <w:rPr>
          <w:sz w:val="28"/>
        </w:rPr>
      </w:pPr>
    </w:p>
    <w:p>
      <w:pPr>
        <w:pStyle w:val="BodyText"/>
        <w:spacing w:line="480" w:lineRule="auto"/>
        <w:ind w:left="500" w:right="447"/>
        <w:jc w:val="both"/>
      </w:pPr>
      <w:r>
        <w:rPr>
          <w:b/>
        </w:rPr>
        <w:t>Beveridge </w:t>
      </w:r>
      <w:r>
        <w:rPr/>
        <w:t>stated that the second inscription outside the mosque was incomplete.</w:t>
      </w:r>
    </w:p>
    <w:p>
      <w:pPr>
        <w:pStyle w:val="BodyText"/>
        <w:spacing w:before="3"/>
      </w:pPr>
    </w:p>
    <w:p>
      <w:pPr>
        <w:pStyle w:val="ListParagraph"/>
        <w:numPr>
          <w:ilvl w:val="0"/>
          <w:numId w:val="3"/>
        </w:numPr>
        <w:tabs>
          <w:tab w:pos="1221" w:val="left" w:leader="none"/>
        </w:tabs>
        <w:spacing w:line="240" w:lineRule="auto" w:before="0" w:after="0"/>
        <w:ind w:left="1220" w:right="0" w:hanging="721"/>
        <w:jc w:val="both"/>
        <w:rPr>
          <w:sz w:val="25"/>
        </w:rPr>
      </w:pPr>
      <w:r>
        <w:rPr>
          <w:sz w:val="25"/>
        </w:rPr>
        <w:t>The</w:t>
      </w:r>
      <w:r>
        <w:rPr>
          <w:spacing w:val="29"/>
          <w:sz w:val="25"/>
        </w:rPr>
        <w:t> </w:t>
      </w:r>
      <w:r>
        <w:rPr>
          <w:sz w:val="25"/>
        </w:rPr>
        <w:t>third</w:t>
      </w:r>
      <w:r>
        <w:rPr>
          <w:spacing w:val="30"/>
          <w:sz w:val="25"/>
        </w:rPr>
        <w:t> </w:t>
      </w:r>
      <w:r>
        <w:rPr>
          <w:sz w:val="25"/>
        </w:rPr>
        <w:t>set</w:t>
      </w:r>
      <w:r>
        <w:rPr>
          <w:spacing w:val="30"/>
          <w:sz w:val="25"/>
        </w:rPr>
        <w:t> </w:t>
      </w:r>
      <w:r>
        <w:rPr>
          <w:sz w:val="25"/>
        </w:rPr>
        <w:t>of</w:t>
      </w:r>
      <w:r>
        <w:rPr>
          <w:spacing w:val="30"/>
          <w:sz w:val="25"/>
        </w:rPr>
        <w:t> </w:t>
      </w:r>
      <w:r>
        <w:rPr>
          <w:sz w:val="25"/>
        </w:rPr>
        <w:t>texts</w:t>
      </w:r>
      <w:r>
        <w:rPr>
          <w:spacing w:val="30"/>
          <w:sz w:val="25"/>
        </w:rPr>
        <w:t> </w:t>
      </w:r>
      <w:r>
        <w:rPr>
          <w:sz w:val="25"/>
        </w:rPr>
        <w:t>in</w:t>
      </w:r>
      <w:r>
        <w:rPr>
          <w:spacing w:val="30"/>
          <w:sz w:val="25"/>
        </w:rPr>
        <w:t> </w:t>
      </w:r>
      <w:r>
        <w:rPr>
          <w:sz w:val="25"/>
        </w:rPr>
        <w:t>support</w:t>
      </w:r>
      <w:r>
        <w:rPr>
          <w:spacing w:val="29"/>
          <w:sz w:val="25"/>
        </w:rPr>
        <w:t> </w:t>
      </w:r>
      <w:r>
        <w:rPr>
          <w:sz w:val="25"/>
        </w:rPr>
        <w:t>of</w:t>
      </w:r>
      <w:r>
        <w:rPr>
          <w:spacing w:val="30"/>
          <w:sz w:val="25"/>
        </w:rPr>
        <w:t> </w:t>
      </w:r>
      <w:r>
        <w:rPr>
          <w:sz w:val="25"/>
        </w:rPr>
        <w:t>the</w:t>
      </w:r>
      <w:r>
        <w:rPr>
          <w:spacing w:val="31"/>
          <w:sz w:val="25"/>
        </w:rPr>
        <w:t> </w:t>
      </w:r>
      <w:r>
        <w:rPr>
          <w:sz w:val="25"/>
        </w:rPr>
        <w:t>inscriptions</w:t>
      </w:r>
      <w:r>
        <w:rPr>
          <w:spacing w:val="30"/>
          <w:sz w:val="25"/>
        </w:rPr>
        <w:t> </w:t>
      </w:r>
      <w:r>
        <w:rPr>
          <w:sz w:val="25"/>
        </w:rPr>
        <w:t>is</w:t>
      </w:r>
      <w:r>
        <w:rPr>
          <w:spacing w:val="30"/>
          <w:sz w:val="25"/>
        </w:rPr>
        <w:t> </w:t>
      </w:r>
      <w:r>
        <w:rPr>
          <w:sz w:val="25"/>
        </w:rPr>
        <w:t>published</w:t>
      </w:r>
      <w:r>
        <w:rPr>
          <w:spacing w:val="30"/>
          <w:sz w:val="25"/>
        </w:rPr>
        <w:t> </w:t>
      </w:r>
      <w:r>
        <w:rPr>
          <w:sz w:val="25"/>
        </w:rPr>
        <w:t>in</w:t>
      </w:r>
    </w:p>
    <w:p>
      <w:pPr>
        <w:pStyle w:val="BodyText"/>
        <w:spacing w:before="8"/>
        <w:rPr>
          <w:sz w:val="24"/>
        </w:rPr>
      </w:pPr>
    </w:p>
    <w:p>
      <w:pPr>
        <w:spacing w:line="480" w:lineRule="auto" w:before="0"/>
        <w:ind w:left="500" w:right="437" w:firstLine="0"/>
        <w:jc w:val="both"/>
        <w:rPr>
          <w:sz w:val="25"/>
        </w:rPr>
      </w:pPr>
      <w:r>
        <w:rPr>
          <w:b/>
          <w:sz w:val="25"/>
        </w:rPr>
        <w:t>―Epigraphia Indica-Arabic-Persian Supplement (In continuation of Epigraphia Indo-Moslemica) 1964 and 1965</w:t>
      </w:r>
      <w:r>
        <w:rPr>
          <w:sz w:val="25"/>
        </w:rPr>
        <w:t>‖</w:t>
      </w:r>
      <w:r>
        <w:rPr>
          <w:sz w:val="25"/>
          <w:vertAlign w:val="superscript"/>
        </w:rPr>
        <w:t>28</w:t>
      </w:r>
      <w:r>
        <w:rPr>
          <w:sz w:val="25"/>
          <w:vertAlign w:val="baseline"/>
        </w:rPr>
        <w:t> (reprinted in 1987). This has been published by the Director General, ASI and contains a reference to the inscriptions of Babur. The text is attributed to Maulvi M Ashraf Husain and is edited by Z A Desai. The introductory note to the edition states:</w:t>
      </w:r>
    </w:p>
    <w:p>
      <w:pPr>
        <w:spacing w:line="276" w:lineRule="auto" w:before="2"/>
        <w:ind w:left="1940" w:right="2262" w:firstLine="0"/>
        <w:jc w:val="both"/>
        <w:rPr>
          <w:sz w:val="21"/>
        </w:rPr>
      </w:pPr>
      <w:r>
        <w:rPr>
          <w:w w:val="33"/>
          <w:sz w:val="21"/>
        </w:rPr>
        <w:t>―</w:t>
      </w:r>
      <w:r>
        <w:rPr>
          <w:w w:val="100"/>
          <w:sz w:val="21"/>
        </w:rPr>
        <w:t>A</w:t>
      </w:r>
      <w:r>
        <w:rPr>
          <w:sz w:val="21"/>
        </w:rPr>
        <w:t>  </w:t>
      </w:r>
      <w:r>
        <w:rPr>
          <w:w w:val="100"/>
          <w:sz w:val="21"/>
        </w:rPr>
        <w:t>r</w:t>
      </w:r>
      <w:r>
        <w:rPr>
          <w:w w:val="100"/>
          <w:sz w:val="21"/>
        </w:rPr>
        <w:t>ough</w:t>
      </w:r>
      <w:r>
        <w:rPr>
          <w:sz w:val="21"/>
        </w:rPr>
        <w:t>  </w:t>
      </w:r>
      <w:r>
        <w:rPr>
          <w:w w:val="100"/>
          <w:sz w:val="21"/>
        </w:rPr>
        <w:t>dra</w:t>
      </w:r>
      <w:r>
        <w:rPr>
          <w:w w:val="100"/>
          <w:sz w:val="21"/>
        </w:rPr>
        <w:t>ft</w:t>
      </w:r>
      <w:r>
        <w:rPr>
          <w:sz w:val="21"/>
        </w:rPr>
        <w:t>  </w:t>
      </w:r>
      <w:r>
        <w:rPr>
          <w:w w:val="100"/>
          <w:sz w:val="21"/>
        </w:rPr>
        <w:t>of</w:t>
      </w:r>
      <w:r>
        <w:rPr>
          <w:sz w:val="21"/>
        </w:rPr>
        <w:t>  </w:t>
      </w:r>
      <w:r>
        <w:rPr>
          <w:w w:val="100"/>
          <w:sz w:val="21"/>
        </w:rPr>
        <w:t>t</w:t>
      </w:r>
      <w:r>
        <w:rPr>
          <w:w w:val="100"/>
          <w:sz w:val="21"/>
        </w:rPr>
        <w:t>hi</w:t>
      </w:r>
      <w:r>
        <w:rPr>
          <w:w w:val="100"/>
          <w:sz w:val="21"/>
        </w:rPr>
        <w:t>s</w:t>
      </w:r>
      <w:r>
        <w:rPr>
          <w:sz w:val="21"/>
        </w:rPr>
        <w:t>  </w:t>
      </w:r>
      <w:r>
        <w:rPr>
          <w:w w:val="100"/>
          <w:sz w:val="21"/>
        </w:rPr>
        <w:t>a</w:t>
      </w:r>
      <w:r>
        <w:rPr>
          <w:w w:val="100"/>
          <w:sz w:val="21"/>
        </w:rPr>
        <w:t>r</w:t>
      </w:r>
      <w:r>
        <w:rPr>
          <w:w w:val="100"/>
          <w:sz w:val="21"/>
        </w:rPr>
        <w:t>t</w:t>
      </w:r>
      <w:r>
        <w:rPr>
          <w:w w:val="100"/>
          <w:sz w:val="21"/>
        </w:rPr>
        <w:t>i</w:t>
      </w:r>
      <w:r>
        <w:rPr>
          <w:w w:val="100"/>
          <w:sz w:val="21"/>
        </w:rPr>
        <w:t>cle</w:t>
      </w:r>
      <w:r>
        <w:rPr>
          <w:sz w:val="21"/>
        </w:rPr>
        <w:t>  </w:t>
      </w:r>
      <w:r>
        <w:rPr>
          <w:w w:val="100"/>
          <w:sz w:val="21"/>
        </w:rPr>
        <w:t>by</w:t>
      </w:r>
      <w:r>
        <w:rPr>
          <w:sz w:val="21"/>
        </w:rPr>
        <w:t>  </w:t>
      </w:r>
      <w:r>
        <w:rPr>
          <w:w w:val="100"/>
          <w:sz w:val="21"/>
        </w:rPr>
        <w:t>t</w:t>
      </w:r>
      <w:r>
        <w:rPr>
          <w:w w:val="100"/>
          <w:sz w:val="21"/>
        </w:rPr>
        <w:t>he</w:t>
      </w:r>
      <w:r>
        <w:rPr>
          <w:sz w:val="21"/>
        </w:rPr>
        <w:t>  </w:t>
      </w:r>
      <w:r>
        <w:rPr>
          <w:w w:val="100"/>
          <w:sz w:val="21"/>
        </w:rPr>
        <w:t>aut</w:t>
      </w:r>
      <w:r>
        <w:rPr>
          <w:w w:val="100"/>
          <w:sz w:val="21"/>
        </w:rPr>
        <w:t>h</w:t>
      </w:r>
      <w:r>
        <w:rPr>
          <w:w w:val="100"/>
          <w:sz w:val="21"/>
        </w:rPr>
        <w:t>or,</w:t>
      </w:r>
      <w:r>
        <w:rPr>
          <w:sz w:val="21"/>
        </w:rPr>
        <w:t>  </w:t>
      </w:r>
      <w:r>
        <w:rPr>
          <w:w w:val="100"/>
          <w:sz w:val="21"/>
        </w:rPr>
        <w:t>who</w:t>
      </w:r>
      <w:r>
        <w:rPr>
          <w:sz w:val="21"/>
        </w:rPr>
        <w:t>  </w:t>
      </w:r>
      <w:r>
        <w:rPr>
          <w:w w:val="100"/>
          <w:sz w:val="21"/>
        </w:rPr>
        <w:t>was</w:t>
      </w:r>
      <w:r>
        <w:rPr>
          <w:sz w:val="21"/>
        </w:rPr>
        <w:t>  </w:t>
      </w:r>
      <w:r>
        <w:rPr>
          <w:w w:val="100"/>
          <w:sz w:val="21"/>
        </w:rPr>
        <w:t>my </w:t>
      </w:r>
      <w:r>
        <w:rPr>
          <w:sz w:val="21"/>
        </w:rPr>
        <w:t>predecessor, was found among sundry papers in my office. At the time of his retirement in 1953, he had left a note saying that it might be published after revision by his successor. Consequently, the same is published here after incorporation of fresh material and references and also, extensive revision and editing. The readings have been also checked, corrected and supplemented with the help of my colleague, Mr. S.A.Rahim, Epigraphical Assistant,-Editor.‖</w:t>
      </w:r>
    </w:p>
    <w:p>
      <w:pPr>
        <w:pStyle w:val="BodyText"/>
        <w:rPr>
          <w:sz w:val="24"/>
        </w:rPr>
      </w:pPr>
    </w:p>
    <w:p>
      <w:pPr>
        <w:pStyle w:val="BodyText"/>
        <w:spacing w:before="1"/>
        <w:rPr>
          <w:sz w:val="26"/>
        </w:rPr>
      </w:pPr>
    </w:p>
    <w:p>
      <w:pPr>
        <w:pStyle w:val="BodyText"/>
        <w:spacing w:line="480" w:lineRule="auto" w:before="1"/>
        <w:ind w:left="500" w:right="442"/>
        <w:jc w:val="both"/>
      </w:pPr>
      <w:r>
        <w:rPr/>
        <w:t>The text contains the following description in regard to the construction of Babri Masjid:</w:t>
      </w:r>
    </w:p>
    <w:p>
      <w:pPr>
        <w:spacing w:line="276" w:lineRule="auto" w:before="0"/>
        <w:ind w:left="1940" w:right="2263" w:firstLine="0"/>
        <w:jc w:val="both"/>
        <w:rPr>
          <w:sz w:val="21"/>
        </w:rPr>
      </w:pPr>
      <w:r>
        <w:rPr>
          <w:spacing w:val="-1"/>
          <w:w w:val="33"/>
          <w:sz w:val="21"/>
        </w:rPr>
        <w:t>―</w:t>
      </w:r>
      <w:r>
        <w:rPr>
          <w:w w:val="100"/>
          <w:sz w:val="21"/>
        </w:rPr>
        <w:t>The</w:t>
      </w:r>
      <w:r>
        <w:rPr>
          <w:sz w:val="21"/>
        </w:rPr>
        <w:t> </w:t>
      </w:r>
      <w:r>
        <w:rPr>
          <w:spacing w:val="15"/>
          <w:sz w:val="21"/>
        </w:rPr>
        <w:t> </w:t>
      </w:r>
      <w:r>
        <w:rPr>
          <w:spacing w:val="-2"/>
          <w:w w:val="100"/>
          <w:sz w:val="21"/>
        </w:rPr>
        <w:t>B</w:t>
      </w:r>
      <w:r>
        <w:rPr>
          <w:spacing w:val="-1"/>
          <w:w w:val="100"/>
          <w:sz w:val="21"/>
        </w:rPr>
        <w:t>abu</w:t>
      </w:r>
      <w:r>
        <w:rPr>
          <w:spacing w:val="-3"/>
          <w:w w:val="100"/>
          <w:sz w:val="21"/>
        </w:rPr>
        <w:t>r</w:t>
      </w:r>
      <w:r>
        <w:rPr>
          <w:spacing w:val="2"/>
          <w:w w:val="100"/>
          <w:sz w:val="21"/>
        </w:rPr>
        <w:t>i</w:t>
      </w:r>
      <w:r>
        <w:rPr>
          <w:spacing w:val="-1"/>
          <w:w w:val="100"/>
          <w:sz w:val="21"/>
        </w:rPr>
        <w:t>-M</w:t>
      </w:r>
      <w:r>
        <w:rPr>
          <w:w w:val="100"/>
          <w:sz w:val="21"/>
        </w:rPr>
        <w:t>a</w:t>
      </w:r>
      <w:r>
        <w:rPr>
          <w:spacing w:val="-3"/>
          <w:w w:val="100"/>
          <w:sz w:val="21"/>
        </w:rPr>
        <w:t>s</w:t>
      </w:r>
      <w:r>
        <w:rPr>
          <w:w w:val="100"/>
          <w:sz w:val="21"/>
        </w:rPr>
        <w:t>j</w:t>
      </w:r>
      <w:r>
        <w:rPr>
          <w:spacing w:val="-2"/>
          <w:w w:val="100"/>
          <w:sz w:val="21"/>
        </w:rPr>
        <w:t>i</w:t>
      </w:r>
      <w:r>
        <w:rPr>
          <w:w w:val="100"/>
          <w:sz w:val="21"/>
        </w:rPr>
        <w:t>d,</w:t>
      </w:r>
      <w:r>
        <w:rPr>
          <w:sz w:val="21"/>
        </w:rPr>
        <w:t> </w:t>
      </w:r>
      <w:r>
        <w:rPr>
          <w:spacing w:val="16"/>
          <w:sz w:val="21"/>
        </w:rPr>
        <w:t> </w:t>
      </w:r>
      <w:r>
        <w:rPr>
          <w:spacing w:val="-2"/>
          <w:w w:val="100"/>
          <w:sz w:val="21"/>
        </w:rPr>
        <w:t>w</w:t>
      </w:r>
      <w:r>
        <w:rPr>
          <w:w w:val="100"/>
          <w:sz w:val="21"/>
        </w:rPr>
        <w:t>h</w:t>
      </w:r>
      <w:r>
        <w:rPr>
          <w:spacing w:val="-2"/>
          <w:w w:val="100"/>
          <w:sz w:val="21"/>
        </w:rPr>
        <w:t>i</w:t>
      </w:r>
      <w:r>
        <w:rPr>
          <w:w w:val="100"/>
          <w:sz w:val="21"/>
        </w:rPr>
        <w:t>ch</w:t>
      </w:r>
      <w:r>
        <w:rPr>
          <w:sz w:val="21"/>
        </w:rPr>
        <w:t> </w:t>
      </w:r>
      <w:r>
        <w:rPr>
          <w:spacing w:val="17"/>
          <w:sz w:val="21"/>
        </w:rPr>
        <w:t> </w:t>
      </w:r>
      <w:r>
        <w:rPr>
          <w:spacing w:val="-3"/>
          <w:w w:val="100"/>
          <w:sz w:val="21"/>
        </w:rPr>
        <w:t>c</w:t>
      </w:r>
      <w:r>
        <w:rPr>
          <w:spacing w:val="-3"/>
          <w:w w:val="100"/>
          <w:sz w:val="21"/>
        </w:rPr>
        <w:t>o</w:t>
      </w:r>
      <w:r>
        <w:rPr>
          <w:spacing w:val="-1"/>
          <w:w w:val="100"/>
          <w:sz w:val="21"/>
        </w:rPr>
        <w:t>m</w:t>
      </w:r>
      <w:r>
        <w:rPr>
          <w:spacing w:val="1"/>
          <w:w w:val="100"/>
          <w:sz w:val="21"/>
        </w:rPr>
        <w:t>m</w:t>
      </w:r>
      <w:r>
        <w:rPr>
          <w:spacing w:val="-3"/>
          <w:w w:val="100"/>
          <w:sz w:val="21"/>
        </w:rPr>
        <w:t>a</w:t>
      </w:r>
      <w:r>
        <w:rPr>
          <w:w w:val="100"/>
          <w:sz w:val="21"/>
        </w:rPr>
        <w:t>nds</w:t>
      </w:r>
      <w:r>
        <w:rPr>
          <w:sz w:val="21"/>
        </w:rPr>
        <w:t> </w:t>
      </w:r>
      <w:r>
        <w:rPr>
          <w:spacing w:val="15"/>
          <w:sz w:val="21"/>
        </w:rPr>
        <w:t> </w:t>
      </w:r>
      <w:r>
        <w:rPr>
          <w:w w:val="100"/>
          <w:sz w:val="21"/>
        </w:rPr>
        <w:t>a</w:t>
      </w:r>
      <w:r>
        <w:rPr>
          <w:sz w:val="21"/>
        </w:rPr>
        <w:t> </w:t>
      </w:r>
      <w:r>
        <w:rPr>
          <w:spacing w:val="15"/>
          <w:sz w:val="21"/>
        </w:rPr>
        <w:t> </w:t>
      </w:r>
      <w:r>
        <w:rPr>
          <w:w w:val="100"/>
          <w:sz w:val="21"/>
        </w:rPr>
        <w:t>p</w:t>
      </w:r>
      <w:r>
        <w:rPr>
          <w:spacing w:val="1"/>
          <w:w w:val="100"/>
          <w:sz w:val="21"/>
        </w:rPr>
        <w:t>i</w:t>
      </w:r>
      <w:r>
        <w:rPr>
          <w:w w:val="100"/>
          <w:sz w:val="21"/>
        </w:rPr>
        <w:t>c</w:t>
      </w:r>
      <w:r>
        <w:rPr>
          <w:spacing w:val="-4"/>
          <w:w w:val="100"/>
          <w:sz w:val="21"/>
        </w:rPr>
        <w:t>t</w:t>
      </w:r>
      <w:r>
        <w:rPr>
          <w:w w:val="100"/>
          <w:sz w:val="21"/>
        </w:rPr>
        <w:t>ur</w:t>
      </w:r>
      <w:r>
        <w:rPr>
          <w:spacing w:val="-3"/>
          <w:w w:val="100"/>
          <w:sz w:val="21"/>
        </w:rPr>
        <w:t>e</w:t>
      </w:r>
      <w:r>
        <w:rPr>
          <w:w w:val="100"/>
          <w:sz w:val="21"/>
        </w:rPr>
        <w:t>sque</w:t>
      </w:r>
      <w:r>
        <w:rPr>
          <w:sz w:val="21"/>
        </w:rPr>
        <w:t> </w:t>
      </w:r>
      <w:r>
        <w:rPr>
          <w:spacing w:val="15"/>
          <w:sz w:val="21"/>
        </w:rPr>
        <w:t> </w:t>
      </w:r>
      <w:r>
        <w:rPr>
          <w:spacing w:val="-3"/>
          <w:w w:val="100"/>
          <w:sz w:val="21"/>
        </w:rPr>
        <w:t>v</w:t>
      </w:r>
      <w:r>
        <w:rPr>
          <w:w w:val="100"/>
          <w:sz w:val="21"/>
        </w:rPr>
        <w:t>i</w:t>
      </w:r>
      <w:r>
        <w:rPr>
          <w:w w:val="100"/>
          <w:sz w:val="21"/>
        </w:rPr>
        <w:t>ew </w:t>
      </w:r>
      <w:r>
        <w:rPr>
          <w:sz w:val="21"/>
        </w:rPr>
        <w:t>from</w:t>
      </w:r>
      <w:r>
        <w:rPr>
          <w:spacing w:val="16"/>
          <w:sz w:val="21"/>
        </w:rPr>
        <w:t> </w:t>
      </w:r>
      <w:r>
        <w:rPr>
          <w:sz w:val="21"/>
        </w:rPr>
        <w:t>the</w:t>
      </w:r>
      <w:r>
        <w:rPr>
          <w:spacing w:val="15"/>
          <w:sz w:val="21"/>
        </w:rPr>
        <w:t> </w:t>
      </w:r>
      <w:r>
        <w:rPr>
          <w:sz w:val="21"/>
        </w:rPr>
        <w:t>riverside,</w:t>
      </w:r>
      <w:r>
        <w:rPr>
          <w:spacing w:val="14"/>
          <w:sz w:val="21"/>
        </w:rPr>
        <w:t> </w:t>
      </w:r>
      <w:r>
        <w:rPr>
          <w:sz w:val="21"/>
        </w:rPr>
        <w:t>was</w:t>
      </w:r>
      <w:r>
        <w:rPr>
          <w:spacing w:val="15"/>
          <w:sz w:val="21"/>
        </w:rPr>
        <w:t> </w:t>
      </w:r>
      <w:r>
        <w:rPr>
          <w:sz w:val="21"/>
        </w:rPr>
        <w:t>constructed</w:t>
      </w:r>
      <w:r>
        <w:rPr>
          <w:spacing w:val="13"/>
          <w:sz w:val="21"/>
        </w:rPr>
        <w:t> </w:t>
      </w:r>
      <w:r>
        <w:rPr>
          <w:sz w:val="21"/>
        </w:rPr>
        <w:t>according</w:t>
      </w:r>
      <w:r>
        <w:rPr>
          <w:spacing w:val="15"/>
          <w:sz w:val="21"/>
        </w:rPr>
        <w:t> </w:t>
      </w:r>
      <w:r>
        <w:rPr>
          <w:sz w:val="21"/>
        </w:rPr>
        <w:t>to</w:t>
      </w:r>
      <w:r>
        <w:rPr>
          <w:spacing w:val="16"/>
          <w:sz w:val="21"/>
        </w:rPr>
        <w:t> </w:t>
      </w:r>
      <w:r>
        <w:rPr>
          <w:sz w:val="21"/>
        </w:rPr>
        <w:t>A.</w:t>
      </w:r>
      <w:r>
        <w:rPr>
          <w:spacing w:val="13"/>
          <w:sz w:val="21"/>
        </w:rPr>
        <w:t> </w:t>
      </w:r>
      <w:r>
        <w:rPr>
          <w:sz w:val="21"/>
        </w:rPr>
        <w:t>Fuhrer</w:t>
      </w:r>
      <w:r>
        <w:rPr>
          <w:spacing w:val="14"/>
          <w:sz w:val="21"/>
        </w:rPr>
        <w:t> </w:t>
      </w:r>
      <w:r>
        <w:rPr>
          <w:sz w:val="21"/>
        </w:rPr>
        <w:t>in</w:t>
      </w:r>
    </w:p>
    <w:p>
      <w:pPr>
        <w:spacing w:line="276" w:lineRule="auto" w:before="0"/>
        <w:ind w:left="1940" w:right="2261" w:firstLine="0"/>
        <w:jc w:val="both"/>
        <w:rPr>
          <w:sz w:val="21"/>
        </w:rPr>
      </w:pPr>
      <w:r>
        <w:rPr>
          <w:sz w:val="21"/>
        </w:rPr>
        <w:t>A.H. 930 (1523-24 A.D.) but his chronology, based upon incorrect readings of inscriptions supplied to him, is erroneous. Babur defeated Ibrahim Lodi only in A.H. 933 (1526 A.D.), and moreover, the year of construction, recorded in two of the three inscriptions studied below, is clearly A.H. 935 (1528-29 A.D.). Again, it was not built by Mir Khan as stated  by him. The  order for building  the mosque </w:t>
      </w:r>
      <w:r>
        <w:rPr>
          <w:spacing w:val="23"/>
          <w:sz w:val="21"/>
        </w:rPr>
        <w:t> </w:t>
      </w:r>
      <w:r>
        <w:rPr>
          <w:sz w:val="21"/>
        </w:rPr>
        <w:t>seems  to</w:t>
      </w:r>
    </w:p>
    <w:p>
      <w:pPr>
        <w:pStyle w:val="BodyText"/>
        <w:rPr>
          <w:sz w:val="20"/>
        </w:rPr>
      </w:pPr>
    </w:p>
    <w:p>
      <w:pPr>
        <w:pStyle w:val="BodyText"/>
        <w:spacing w:before="5"/>
        <w:rPr>
          <w:sz w:val="23"/>
        </w:rPr>
      </w:pPr>
    </w:p>
    <w:p>
      <w:pPr>
        <w:spacing w:before="0"/>
        <w:ind w:left="500" w:right="512" w:firstLine="0"/>
        <w:jc w:val="left"/>
        <w:rPr>
          <w:sz w:val="18"/>
        </w:rPr>
      </w:pPr>
      <w:r>
        <w:rPr>
          <w:sz w:val="18"/>
          <w:vertAlign w:val="superscript"/>
        </w:rPr>
        <w:t>28</w:t>
      </w:r>
      <w:r>
        <w:rPr>
          <w:sz w:val="18"/>
          <w:vertAlign w:val="baseline"/>
        </w:rPr>
        <w:t> Epigraphia Indica, Arabic and Persian Supplement (in continuation of Epigraphia Indo-Moslemica) (Z A Desai Eds), Archaeology Survey of India (1987)</w:t>
      </w:r>
    </w:p>
    <w:p>
      <w:pPr>
        <w:spacing w:after="0"/>
        <w:jc w:val="left"/>
        <w:rPr>
          <w:sz w:val="18"/>
        </w:rPr>
        <w:sectPr>
          <w:headerReference w:type="default" r:id="rId32"/>
          <w:footerReference w:type="default" r:id="rId33"/>
          <w:pgSz w:w="11910" w:h="16840"/>
          <w:pgMar w:header="721" w:footer="1158" w:top="1300" w:bottom="1340" w:left="940" w:right="1000"/>
        </w:sectPr>
      </w:pPr>
    </w:p>
    <w:p>
      <w:pPr>
        <w:spacing w:line="276" w:lineRule="auto" w:before="122"/>
        <w:ind w:left="1940" w:right="2261" w:firstLine="0"/>
        <w:jc w:val="both"/>
        <w:rPr>
          <w:sz w:val="21"/>
        </w:rPr>
      </w:pPr>
      <w:r>
        <w:rPr>
          <w:sz w:val="21"/>
        </w:rPr>
        <w:t>have been issued during Babur's stay at Ajodhya in A.H. 934 (1527-28 A.D.), but no mention of its completion is made in the Babur Nama. However, it may be remembered that his diary for the year A.H. 934 (1527-28 A.D.) breaks off abruptly, and throws the reader into the dark in regard to the account of Oudh.‖</w:t>
      </w:r>
    </w:p>
    <w:p>
      <w:pPr>
        <w:pStyle w:val="BodyText"/>
        <w:rPr>
          <w:sz w:val="24"/>
        </w:rPr>
      </w:pPr>
    </w:p>
    <w:p>
      <w:pPr>
        <w:pStyle w:val="BodyText"/>
        <w:spacing w:line="480" w:lineRule="auto" w:before="207"/>
        <w:ind w:left="500"/>
      </w:pPr>
      <w:r>
        <w:rPr/>
        <w:t>The text also provides an account of the manner in which the author obtained an inked rubbing of one of the inscriptions from Sayyid Badru‘l Hasan of Faizabad:</w:t>
      </w:r>
    </w:p>
    <w:p>
      <w:pPr>
        <w:spacing w:line="276" w:lineRule="auto" w:before="2"/>
        <w:ind w:left="1940" w:right="2259" w:firstLine="0"/>
        <w:jc w:val="both"/>
        <w:rPr>
          <w:sz w:val="21"/>
        </w:rPr>
      </w:pPr>
      <w:r>
        <w:rPr>
          <w:spacing w:val="-1"/>
          <w:w w:val="33"/>
          <w:sz w:val="21"/>
        </w:rPr>
        <w:t>―</w:t>
      </w:r>
      <w:r>
        <w:rPr>
          <w:w w:val="100"/>
          <w:sz w:val="21"/>
        </w:rPr>
        <w:t>The</w:t>
      </w:r>
      <w:r>
        <w:rPr>
          <w:sz w:val="21"/>
        </w:rPr>
        <w:t> </w:t>
      </w:r>
      <w:r>
        <w:rPr>
          <w:spacing w:val="20"/>
          <w:sz w:val="21"/>
        </w:rPr>
        <w:t> </w:t>
      </w:r>
      <w:r>
        <w:rPr>
          <w:spacing w:val="1"/>
          <w:w w:val="100"/>
          <w:sz w:val="21"/>
        </w:rPr>
        <w:t>m</w:t>
      </w:r>
      <w:r>
        <w:rPr>
          <w:spacing w:val="-3"/>
          <w:w w:val="100"/>
          <w:sz w:val="21"/>
        </w:rPr>
        <w:t>o</w:t>
      </w:r>
      <w:r>
        <w:rPr>
          <w:w w:val="100"/>
          <w:sz w:val="21"/>
        </w:rPr>
        <w:t>sq</w:t>
      </w:r>
      <w:r>
        <w:rPr>
          <w:spacing w:val="-3"/>
          <w:w w:val="100"/>
          <w:sz w:val="21"/>
        </w:rPr>
        <w:t>u</w:t>
      </w:r>
      <w:r>
        <w:rPr>
          <w:w w:val="100"/>
          <w:sz w:val="21"/>
        </w:rPr>
        <w:t>e</w:t>
      </w:r>
      <w:r>
        <w:rPr>
          <w:sz w:val="21"/>
        </w:rPr>
        <w:t> </w:t>
      </w:r>
      <w:r>
        <w:rPr>
          <w:spacing w:val="22"/>
          <w:sz w:val="21"/>
        </w:rPr>
        <w:t> </w:t>
      </w:r>
      <w:r>
        <w:rPr>
          <w:w w:val="100"/>
          <w:sz w:val="21"/>
        </w:rPr>
        <w:t>c</w:t>
      </w:r>
      <w:r>
        <w:rPr>
          <w:spacing w:val="-3"/>
          <w:w w:val="100"/>
          <w:sz w:val="21"/>
        </w:rPr>
        <w:t>o</w:t>
      </w:r>
      <w:r>
        <w:rPr>
          <w:spacing w:val="-1"/>
          <w:w w:val="100"/>
          <w:sz w:val="21"/>
        </w:rPr>
        <w:t>nta</w:t>
      </w:r>
      <w:r>
        <w:rPr>
          <w:spacing w:val="-2"/>
          <w:w w:val="100"/>
          <w:sz w:val="21"/>
        </w:rPr>
        <w:t>i</w:t>
      </w:r>
      <w:r>
        <w:rPr>
          <w:spacing w:val="-1"/>
          <w:w w:val="100"/>
          <w:sz w:val="21"/>
        </w:rPr>
        <w:t>n</w:t>
      </w:r>
      <w:r>
        <w:rPr>
          <w:w w:val="100"/>
          <w:sz w:val="21"/>
        </w:rPr>
        <w:t>s</w:t>
      </w:r>
      <w:r>
        <w:rPr>
          <w:sz w:val="21"/>
        </w:rPr>
        <w:t> </w:t>
      </w:r>
      <w:r>
        <w:rPr>
          <w:spacing w:val="20"/>
          <w:sz w:val="21"/>
        </w:rPr>
        <w:t> </w:t>
      </w:r>
      <w:r>
        <w:rPr>
          <w:w w:val="100"/>
          <w:sz w:val="21"/>
        </w:rPr>
        <w:t>a</w:t>
      </w:r>
      <w:r>
        <w:rPr>
          <w:sz w:val="21"/>
        </w:rPr>
        <w:t> </w:t>
      </w:r>
      <w:r>
        <w:rPr>
          <w:spacing w:val="22"/>
          <w:sz w:val="21"/>
        </w:rPr>
        <w:t> </w:t>
      </w:r>
      <w:r>
        <w:rPr>
          <w:spacing w:val="-1"/>
          <w:w w:val="100"/>
          <w:sz w:val="21"/>
        </w:rPr>
        <w:t>n</w:t>
      </w:r>
      <w:r>
        <w:rPr>
          <w:spacing w:val="-3"/>
          <w:w w:val="100"/>
          <w:sz w:val="21"/>
        </w:rPr>
        <w:t>u</w:t>
      </w:r>
      <w:r>
        <w:rPr>
          <w:spacing w:val="1"/>
          <w:w w:val="100"/>
          <w:sz w:val="21"/>
        </w:rPr>
        <w:t>m</w:t>
      </w:r>
      <w:r>
        <w:rPr>
          <w:spacing w:val="-3"/>
          <w:w w:val="100"/>
          <w:sz w:val="21"/>
        </w:rPr>
        <w:t>b</w:t>
      </w:r>
      <w:r>
        <w:rPr>
          <w:spacing w:val="-1"/>
          <w:w w:val="100"/>
          <w:sz w:val="21"/>
        </w:rPr>
        <w:t>e</w:t>
      </w:r>
      <w:r>
        <w:rPr>
          <w:w w:val="100"/>
          <w:sz w:val="21"/>
        </w:rPr>
        <w:t>r</w:t>
      </w:r>
      <w:r>
        <w:rPr>
          <w:sz w:val="21"/>
        </w:rPr>
        <w:t> </w:t>
      </w:r>
      <w:r>
        <w:rPr>
          <w:spacing w:val="21"/>
          <w:sz w:val="21"/>
        </w:rPr>
        <w:t> </w:t>
      </w:r>
      <w:r>
        <w:rPr>
          <w:spacing w:val="-3"/>
          <w:w w:val="100"/>
          <w:sz w:val="21"/>
        </w:rPr>
        <w:t>o</w:t>
      </w:r>
      <w:r>
        <w:rPr>
          <w:w w:val="100"/>
          <w:sz w:val="21"/>
        </w:rPr>
        <w:t>f</w:t>
      </w:r>
      <w:r>
        <w:rPr>
          <w:sz w:val="21"/>
        </w:rPr>
        <w:t> </w:t>
      </w:r>
      <w:r>
        <w:rPr>
          <w:spacing w:val="23"/>
          <w:sz w:val="21"/>
        </w:rPr>
        <w:t> </w:t>
      </w:r>
      <w:r>
        <w:rPr>
          <w:w w:val="100"/>
          <w:sz w:val="21"/>
        </w:rPr>
        <w:t>i</w:t>
      </w:r>
      <w:r>
        <w:rPr>
          <w:spacing w:val="-3"/>
          <w:w w:val="100"/>
          <w:sz w:val="21"/>
        </w:rPr>
        <w:t>n</w:t>
      </w:r>
      <w:r>
        <w:rPr>
          <w:w w:val="100"/>
          <w:sz w:val="21"/>
        </w:rPr>
        <w:t>sc</w:t>
      </w:r>
      <w:r>
        <w:rPr>
          <w:spacing w:val="-1"/>
          <w:w w:val="100"/>
          <w:sz w:val="21"/>
        </w:rPr>
        <w:t>r</w:t>
      </w:r>
      <w:r>
        <w:rPr>
          <w:spacing w:val="-2"/>
          <w:w w:val="100"/>
          <w:sz w:val="21"/>
        </w:rPr>
        <w:t>i</w:t>
      </w:r>
      <w:r>
        <w:rPr>
          <w:spacing w:val="-1"/>
          <w:w w:val="100"/>
          <w:sz w:val="21"/>
        </w:rPr>
        <w:t>pt</w:t>
      </w:r>
      <w:r>
        <w:rPr>
          <w:w w:val="100"/>
          <w:sz w:val="21"/>
        </w:rPr>
        <w:t>i</w:t>
      </w:r>
      <w:r>
        <w:rPr>
          <w:spacing w:val="-3"/>
          <w:w w:val="100"/>
          <w:sz w:val="21"/>
        </w:rPr>
        <w:t>on</w:t>
      </w:r>
      <w:r>
        <w:rPr>
          <w:w w:val="100"/>
          <w:sz w:val="21"/>
        </w:rPr>
        <w:t>s.</w:t>
      </w:r>
      <w:r>
        <w:rPr>
          <w:sz w:val="21"/>
        </w:rPr>
        <w:t> </w:t>
      </w:r>
      <w:r>
        <w:rPr>
          <w:spacing w:val="21"/>
          <w:sz w:val="21"/>
        </w:rPr>
        <w:t> </w:t>
      </w:r>
      <w:r>
        <w:rPr>
          <w:spacing w:val="-2"/>
          <w:w w:val="100"/>
          <w:sz w:val="21"/>
        </w:rPr>
        <w:t>O</w:t>
      </w:r>
      <w:r>
        <w:rPr>
          <w:w w:val="100"/>
          <w:sz w:val="21"/>
        </w:rPr>
        <w:t>n</w:t>
      </w:r>
      <w:r>
        <w:rPr>
          <w:sz w:val="21"/>
        </w:rPr>
        <w:t> </w:t>
      </w:r>
      <w:r>
        <w:rPr>
          <w:spacing w:val="22"/>
          <w:sz w:val="21"/>
        </w:rPr>
        <w:t> </w:t>
      </w:r>
      <w:r>
        <w:rPr>
          <w:spacing w:val="-2"/>
          <w:w w:val="100"/>
          <w:sz w:val="21"/>
        </w:rPr>
        <w:t>t</w:t>
      </w:r>
      <w:r>
        <w:rPr>
          <w:spacing w:val="-1"/>
          <w:w w:val="100"/>
          <w:sz w:val="21"/>
        </w:rPr>
        <w:t>he </w:t>
      </w:r>
      <w:r>
        <w:rPr>
          <w:sz w:val="21"/>
        </w:rPr>
        <w:t>eastern facade is a chhajja, below which appears a Quranic text and above, an inscription in Persian verse. On the central mihrab are carved religious texts such as the Kalima (First Creed), etc. On the southern face of the pulpit was previously fixed a stone slab bearing a Persian inscription in verse. There was also another inscription in Persian verse built up into the right hand side wall of the pulpit. Of these, the last- mentioned two epigraphs have disappeared. They were reportedly destroyed in the communal vandalism in 1934 A.D., but luckily, I managed to secure an inked rubbing of one of them from Sayyid Badru'l Hasan of Fyzabad. The present inscription, restored by the Muslim community, is not only in inlaid Nasta‘liq characters, but is also slightly different from the original, owing perhaps to the incompetence of the restorers in deciphering it</w:t>
      </w:r>
      <w:r>
        <w:rPr>
          <w:spacing w:val="-6"/>
          <w:sz w:val="21"/>
        </w:rPr>
        <w:t> </w:t>
      </w:r>
      <w:r>
        <w:rPr>
          <w:sz w:val="21"/>
        </w:rPr>
        <w:t>properly.</w:t>
      </w:r>
    </w:p>
    <w:p>
      <w:pPr>
        <w:pStyle w:val="BodyText"/>
        <w:spacing w:before="2"/>
        <w:rPr>
          <w:sz w:val="24"/>
        </w:rPr>
      </w:pPr>
    </w:p>
    <w:p>
      <w:pPr>
        <w:spacing w:line="276" w:lineRule="auto" w:before="0"/>
        <w:ind w:left="1940" w:right="2263" w:firstLine="0"/>
        <w:jc w:val="both"/>
        <w:rPr>
          <w:sz w:val="21"/>
        </w:rPr>
      </w:pPr>
      <w:r>
        <w:rPr>
          <w:sz w:val="21"/>
        </w:rPr>
        <w:t>The readings and translations of the historical epigraphs mentioned above, except in the case of one, were published by Fuhrer and Mrs. Beveridge, but their readings are so incomplete, inaccurate and different from the text that their inclusion in this article is not only desirable but also imperative.</w:t>
      </w:r>
    </w:p>
    <w:p>
      <w:pPr>
        <w:pStyle w:val="BodyText"/>
        <w:spacing w:before="2"/>
        <w:rPr>
          <w:sz w:val="24"/>
        </w:rPr>
      </w:pPr>
    </w:p>
    <w:p>
      <w:pPr>
        <w:spacing w:line="276" w:lineRule="auto" w:before="1"/>
        <w:ind w:left="1940" w:right="2260" w:firstLine="0"/>
        <w:jc w:val="both"/>
        <w:rPr>
          <w:sz w:val="21"/>
        </w:rPr>
      </w:pPr>
      <w:r>
        <w:rPr>
          <w:sz w:val="21"/>
        </w:rPr>
        <w:t>The epigraph studied below was inscribed on a slab of stone measuring about 68 by 48 cm., which was built up into the southern side of the pulpit of the mosque, but is now lost, as stated above. It is edited here from the estampage obtained from Sayyid Badru'l Hasan of Fyzabad. Its three-line text consists of six verses in Persian, inscribed in ordinary Naskh characters within floral borders. It records the construction of the mosque by Mir Baqi under orders from emperor Babur and gives the year A.H. 935 (1528-29 A.D.) in a</w:t>
      </w:r>
      <w:r>
        <w:rPr>
          <w:spacing w:val="-35"/>
          <w:sz w:val="21"/>
        </w:rPr>
        <w:t> </w:t>
      </w:r>
      <w:r>
        <w:rPr>
          <w:sz w:val="21"/>
        </w:rPr>
        <w:t>chronogram.‖</w:t>
      </w:r>
    </w:p>
    <w:p>
      <w:pPr>
        <w:spacing w:after="0" w:line="276" w:lineRule="auto"/>
        <w:jc w:val="both"/>
        <w:rPr>
          <w:sz w:val="21"/>
        </w:rPr>
        <w:sectPr>
          <w:headerReference w:type="default" r:id="rId34"/>
          <w:footerReference w:type="default" r:id="rId35"/>
          <w:pgSz w:w="11910" w:h="16840"/>
          <w:pgMar w:header="721" w:footer="1014" w:top="1300" w:bottom="1200" w:left="940" w:right="1000"/>
          <w:pgNumType w:start="90"/>
        </w:sectPr>
      </w:pPr>
    </w:p>
    <w:p>
      <w:pPr>
        <w:pStyle w:val="BodyText"/>
        <w:spacing w:line="480" w:lineRule="auto" w:before="124"/>
        <w:ind w:left="500" w:right="443"/>
        <w:jc w:val="both"/>
      </w:pPr>
      <w:r>
        <w:rPr/>
        <w:t>The author states that on the southern side of the pulpit of the mosque was an inscription fixed on a slab of stone measuring 68 X 48 cm but the original was lost. What is quoted is the version obtained from the inked rubbing noted above. The text of the first inscription was</w:t>
      </w:r>
      <w:r>
        <w:rPr>
          <w:spacing w:val="-5"/>
        </w:rPr>
        <w:t> </w:t>
      </w:r>
      <w:r>
        <w:rPr/>
        <w:t>thus:</w:t>
      </w:r>
    </w:p>
    <w:p>
      <w:pPr>
        <w:spacing w:line="276" w:lineRule="auto" w:before="0"/>
        <w:ind w:left="1940" w:right="2268" w:firstLine="0"/>
        <w:jc w:val="both"/>
        <w:rPr>
          <w:sz w:val="21"/>
        </w:rPr>
      </w:pPr>
      <w:r>
        <w:rPr>
          <w:spacing w:val="-1"/>
          <w:w w:val="33"/>
          <w:sz w:val="21"/>
        </w:rPr>
        <w:t>―</w:t>
      </w:r>
      <w:r>
        <w:rPr>
          <w:spacing w:val="-1"/>
          <w:w w:val="100"/>
          <w:sz w:val="21"/>
        </w:rPr>
        <w:t>(1</w:t>
      </w:r>
      <w:r>
        <w:rPr>
          <w:w w:val="100"/>
          <w:sz w:val="21"/>
        </w:rPr>
        <w:t>)</w:t>
      </w:r>
      <w:r>
        <w:rPr>
          <w:sz w:val="21"/>
        </w:rPr>
        <w:t> </w:t>
      </w:r>
      <w:r>
        <w:rPr>
          <w:spacing w:val="-24"/>
          <w:sz w:val="21"/>
        </w:rPr>
        <w:t> </w:t>
      </w:r>
      <w:r>
        <w:rPr>
          <w:w w:val="100"/>
          <w:sz w:val="21"/>
        </w:rPr>
        <w:t>By</w:t>
      </w:r>
      <w:r>
        <w:rPr>
          <w:sz w:val="21"/>
        </w:rPr>
        <w:t> </w:t>
      </w:r>
      <w:r>
        <w:rPr>
          <w:spacing w:val="-26"/>
          <w:sz w:val="21"/>
        </w:rPr>
        <w:t> </w:t>
      </w:r>
      <w:r>
        <w:rPr>
          <w:spacing w:val="-2"/>
          <w:w w:val="100"/>
          <w:sz w:val="21"/>
        </w:rPr>
        <w:t>t</w:t>
      </w:r>
      <w:r>
        <w:rPr>
          <w:spacing w:val="-1"/>
          <w:w w:val="100"/>
          <w:sz w:val="21"/>
        </w:rPr>
        <w:t>h</w:t>
      </w:r>
      <w:r>
        <w:rPr>
          <w:w w:val="100"/>
          <w:sz w:val="21"/>
        </w:rPr>
        <w:t>e</w:t>
      </w:r>
      <w:r>
        <w:rPr>
          <w:sz w:val="21"/>
        </w:rPr>
        <w:t> </w:t>
      </w:r>
      <w:r>
        <w:rPr>
          <w:spacing w:val="-23"/>
          <w:sz w:val="21"/>
        </w:rPr>
        <w:t> </w:t>
      </w:r>
      <w:r>
        <w:rPr>
          <w:spacing w:val="-1"/>
          <w:w w:val="100"/>
          <w:sz w:val="21"/>
        </w:rPr>
        <w:t>orde</w:t>
      </w:r>
      <w:r>
        <w:rPr>
          <w:w w:val="100"/>
          <w:sz w:val="21"/>
        </w:rPr>
        <w:t>r</w:t>
      </w:r>
      <w:r>
        <w:rPr>
          <w:sz w:val="21"/>
        </w:rPr>
        <w:t> </w:t>
      </w:r>
      <w:r>
        <w:rPr>
          <w:spacing w:val="-25"/>
          <w:sz w:val="21"/>
        </w:rPr>
        <w:t> </w:t>
      </w:r>
      <w:r>
        <w:rPr>
          <w:spacing w:val="-1"/>
          <w:w w:val="100"/>
          <w:sz w:val="21"/>
        </w:rPr>
        <w:t>o</w:t>
      </w:r>
      <w:r>
        <w:rPr>
          <w:w w:val="100"/>
          <w:sz w:val="21"/>
        </w:rPr>
        <w:t>f</w:t>
      </w:r>
      <w:r>
        <w:rPr>
          <w:sz w:val="21"/>
        </w:rPr>
        <w:t> </w:t>
      </w:r>
      <w:r>
        <w:rPr>
          <w:spacing w:val="-25"/>
          <w:sz w:val="21"/>
        </w:rPr>
        <w:t> </w:t>
      </w:r>
      <w:r>
        <w:rPr>
          <w:w w:val="100"/>
          <w:sz w:val="21"/>
        </w:rPr>
        <w:t>ki</w:t>
      </w:r>
      <w:r>
        <w:rPr>
          <w:spacing w:val="-3"/>
          <w:w w:val="100"/>
          <w:sz w:val="21"/>
        </w:rPr>
        <w:t>n</w:t>
      </w:r>
      <w:r>
        <w:rPr>
          <w:w w:val="100"/>
          <w:sz w:val="21"/>
        </w:rPr>
        <w:t>g</w:t>
      </w:r>
      <w:r>
        <w:rPr>
          <w:sz w:val="21"/>
        </w:rPr>
        <w:t> </w:t>
      </w:r>
      <w:r>
        <w:rPr>
          <w:spacing w:val="-26"/>
          <w:sz w:val="21"/>
        </w:rPr>
        <w:t> </w:t>
      </w:r>
      <w:r>
        <w:rPr>
          <w:w w:val="100"/>
          <w:sz w:val="21"/>
        </w:rPr>
        <w:t>B</w:t>
      </w:r>
      <w:r>
        <w:rPr>
          <w:spacing w:val="-1"/>
          <w:w w:val="100"/>
          <w:sz w:val="21"/>
        </w:rPr>
        <w:t>a</w:t>
      </w:r>
      <w:r>
        <w:rPr>
          <w:spacing w:val="-3"/>
          <w:w w:val="100"/>
          <w:sz w:val="21"/>
        </w:rPr>
        <w:t>b</w:t>
      </w:r>
      <w:r>
        <w:rPr>
          <w:spacing w:val="-1"/>
          <w:w w:val="100"/>
          <w:sz w:val="21"/>
        </w:rPr>
        <w:t>u</w:t>
      </w:r>
      <w:r>
        <w:rPr>
          <w:w w:val="100"/>
          <w:sz w:val="21"/>
        </w:rPr>
        <w:t>r</w:t>
      </w:r>
      <w:r>
        <w:rPr>
          <w:sz w:val="21"/>
        </w:rPr>
        <w:t> </w:t>
      </w:r>
      <w:r>
        <w:rPr>
          <w:spacing w:val="-24"/>
          <w:sz w:val="21"/>
        </w:rPr>
        <w:t> </w:t>
      </w:r>
      <w:r>
        <w:rPr>
          <w:spacing w:val="-2"/>
          <w:w w:val="100"/>
          <w:sz w:val="21"/>
        </w:rPr>
        <w:t>w</w:t>
      </w:r>
      <w:r>
        <w:rPr>
          <w:spacing w:val="-1"/>
          <w:w w:val="100"/>
          <w:sz w:val="21"/>
        </w:rPr>
        <w:t>hos</w:t>
      </w:r>
      <w:r>
        <w:rPr>
          <w:w w:val="100"/>
          <w:sz w:val="21"/>
        </w:rPr>
        <w:t>e</w:t>
      </w:r>
      <w:r>
        <w:rPr>
          <w:sz w:val="21"/>
        </w:rPr>
        <w:t> </w:t>
      </w:r>
      <w:r>
        <w:rPr>
          <w:spacing w:val="-26"/>
          <w:sz w:val="21"/>
        </w:rPr>
        <w:t> </w:t>
      </w:r>
      <w:r>
        <w:rPr>
          <w:w w:val="100"/>
          <w:sz w:val="21"/>
        </w:rPr>
        <w:t>j</w:t>
      </w:r>
      <w:r>
        <w:rPr>
          <w:spacing w:val="-1"/>
          <w:w w:val="100"/>
          <w:sz w:val="21"/>
        </w:rPr>
        <w:t>us</w:t>
      </w:r>
      <w:r>
        <w:rPr>
          <w:spacing w:val="-4"/>
          <w:w w:val="100"/>
          <w:sz w:val="21"/>
        </w:rPr>
        <w:t>t</w:t>
      </w:r>
      <w:r>
        <w:rPr>
          <w:w w:val="100"/>
          <w:sz w:val="21"/>
        </w:rPr>
        <w:t>ice</w:t>
      </w:r>
      <w:r>
        <w:rPr>
          <w:sz w:val="21"/>
        </w:rPr>
        <w:t> </w:t>
      </w:r>
      <w:r>
        <w:rPr>
          <w:spacing w:val="-26"/>
          <w:sz w:val="21"/>
        </w:rPr>
        <w:t> </w:t>
      </w:r>
      <w:r>
        <w:rPr>
          <w:w w:val="100"/>
          <w:sz w:val="21"/>
        </w:rPr>
        <w:t>is</w:t>
      </w:r>
      <w:r>
        <w:rPr>
          <w:sz w:val="21"/>
        </w:rPr>
        <w:t> </w:t>
      </w:r>
      <w:r>
        <w:rPr>
          <w:spacing w:val="-26"/>
          <w:sz w:val="21"/>
        </w:rPr>
        <w:t> </w:t>
      </w:r>
      <w:r>
        <w:rPr>
          <w:spacing w:val="-1"/>
          <w:w w:val="100"/>
          <w:sz w:val="21"/>
        </w:rPr>
        <w:t>a</w:t>
      </w:r>
      <w:r>
        <w:rPr>
          <w:w w:val="100"/>
          <w:sz w:val="21"/>
        </w:rPr>
        <w:t>n</w:t>
      </w:r>
      <w:r>
        <w:rPr>
          <w:sz w:val="21"/>
        </w:rPr>
        <w:t> </w:t>
      </w:r>
      <w:r>
        <w:rPr>
          <w:spacing w:val="-23"/>
          <w:sz w:val="21"/>
        </w:rPr>
        <w:t> </w:t>
      </w:r>
      <w:r>
        <w:rPr>
          <w:spacing w:val="-1"/>
          <w:w w:val="100"/>
          <w:sz w:val="21"/>
        </w:rPr>
        <w:t>e</w:t>
      </w:r>
      <w:r>
        <w:rPr>
          <w:spacing w:val="-3"/>
          <w:w w:val="100"/>
          <w:sz w:val="21"/>
        </w:rPr>
        <w:t>d</w:t>
      </w:r>
      <w:r>
        <w:rPr>
          <w:w w:val="100"/>
          <w:sz w:val="21"/>
        </w:rPr>
        <w:t>i</w:t>
      </w:r>
      <w:r>
        <w:rPr>
          <w:spacing w:val="-2"/>
          <w:w w:val="100"/>
          <w:sz w:val="21"/>
        </w:rPr>
        <w:t>f</w:t>
      </w:r>
      <w:r>
        <w:rPr>
          <w:w w:val="100"/>
          <w:sz w:val="21"/>
        </w:rPr>
        <w:t>i</w:t>
      </w:r>
      <w:r>
        <w:rPr>
          <w:spacing w:val="-3"/>
          <w:w w:val="100"/>
          <w:sz w:val="21"/>
        </w:rPr>
        <w:t>c</w:t>
      </w:r>
      <w:r>
        <w:rPr>
          <w:spacing w:val="-1"/>
          <w:w w:val="100"/>
          <w:sz w:val="21"/>
        </w:rPr>
        <w:t>e, </w:t>
      </w:r>
      <w:r>
        <w:rPr>
          <w:sz w:val="21"/>
        </w:rPr>
        <w:t>meeting the palace of the sky (i.e. as high as the</w:t>
      </w:r>
      <w:r>
        <w:rPr>
          <w:spacing w:val="-19"/>
          <w:sz w:val="21"/>
        </w:rPr>
        <w:t> </w:t>
      </w:r>
      <w:r>
        <w:rPr>
          <w:sz w:val="21"/>
        </w:rPr>
        <w:t>sky).</w:t>
      </w:r>
    </w:p>
    <w:p>
      <w:pPr>
        <w:pStyle w:val="BodyText"/>
        <w:spacing w:before="11"/>
        <w:rPr>
          <w:sz w:val="23"/>
        </w:rPr>
      </w:pPr>
    </w:p>
    <w:p>
      <w:pPr>
        <w:pStyle w:val="ListParagraph"/>
        <w:numPr>
          <w:ilvl w:val="0"/>
          <w:numId w:val="47"/>
        </w:numPr>
        <w:tabs>
          <w:tab w:pos="2315" w:val="left" w:leader="none"/>
        </w:tabs>
        <w:spacing w:line="278" w:lineRule="auto" w:before="0" w:after="0"/>
        <w:ind w:left="1940" w:right="2267" w:firstLine="0"/>
        <w:jc w:val="both"/>
        <w:rPr>
          <w:sz w:val="21"/>
        </w:rPr>
      </w:pPr>
      <w:r>
        <w:rPr>
          <w:sz w:val="21"/>
        </w:rPr>
        <w:t>This descending place of the angels was built by the fortunate noble Mir</w:t>
      </w:r>
      <w:r>
        <w:rPr>
          <w:spacing w:val="-5"/>
          <w:sz w:val="21"/>
        </w:rPr>
        <w:t> </w:t>
      </w:r>
      <w:r>
        <w:rPr>
          <w:sz w:val="21"/>
        </w:rPr>
        <w:t>Baqi.</w:t>
      </w:r>
    </w:p>
    <w:p>
      <w:pPr>
        <w:pStyle w:val="BodyText"/>
        <w:spacing w:before="11"/>
        <w:rPr>
          <w:sz w:val="23"/>
        </w:rPr>
      </w:pPr>
    </w:p>
    <w:p>
      <w:pPr>
        <w:pStyle w:val="ListParagraph"/>
        <w:numPr>
          <w:ilvl w:val="0"/>
          <w:numId w:val="47"/>
        </w:numPr>
        <w:tabs>
          <w:tab w:pos="2272" w:val="left" w:leader="none"/>
        </w:tabs>
        <w:spacing w:line="276" w:lineRule="auto" w:before="0" w:after="0"/>
        <w:ind w:left="1940" w:right="2261" w:firstLine="0"/>
        <w:jc w:val="both"/>
        <w:rPr>
          <w:sz w:val="21"/>
        </w:rPr>
      </w:pPr>
      <w:r>
        <w:rPr>
          <w:sz w:val="21"/>
        </w:rPr>
        <w:t>It will remain an everlasting bounty, and (hence) the date of its erection became manifest from my words: It will remain an everlasting</w:t>
      </w:r>
      <w:r>
        <w:rPr>
          <w:spacing w:val="-3"/>
          <w:sz w:val="21"/>
        </w:rPr>
        <w:t> </w:t>
      </w:r>
      <w:r>
        <w:rPr>
          <w:sz w:val="21"/>
        </w:rPr>
        <w:t>bounty.‖</w:t>
      </w:r>
    </w:p>
    <w:p>
      <w:pPr>
        <w:pStyle w:val="BodyText"/>
        <w:rPr>
          <w:sz w:val="24"/>
        </w:rPr>
      </w:pPr>
    </w:p>
    <w:p>
      <w:pPr>
        <w:pStyle w:val="BodyText"/>
        <w:spacing w:before="207"/>
        <w:ind w:left="500"/>
        <w:jc w:val="both"/>
      </w:pPr>
      <w:r>
        <w:rPr/>
        <w:t>As regards the second inscription, the judgment of Justice Sudhir Agarwal notes:</w:t>
      </w:r>
    </w:p>
    <w:p>
      <w:pPr>
        <w:pStyle w:val="BodyText"/>
        <w:spacing w:before="9"/>
        <w:rPr>
          <w:sz w:val="24"/>
        </w:rPr>
      </w:pPr>
    </w:p>
    <w:p>
      <w:pPr>
        <w:spacing w:line="276" w:lineRule="auto" w:before="0"/>
        <w:ind w:left="1940" w:right="2259" w:firstLine="0"/>
        <w:jc w:val="both"/>
        <w:rPr>
          <w:sz w:val="21"/>
        </w:rPr>
      </w:pPr>
      <w:r>
        <w:rPr>
          <w:spacing w:val="-1"/>
          <w:w w:val="33"/>
          <w:sz w:val="21"/>
        </w:rPr>
        <w:t>―</w:t>
      </w:r>
      <w:r>
        <w:rPr>
          <w:spacing w:val="-1"/>
          <w:w w:val="100"/>
          <w:sz w:val="21"/>
        </w:rPr>
        <w:t>144</w:t>
      </w:r>
      <w:r>
        <w:rPr>
          <w:w w:val="100"/>
          <w:sz w:val="21"/>
        </w:rPr>
        <w:t>9.</w:t>
      </w:r>
      <w:r>
        <w:rPr>
          <w:spacing w:val="2"/>
          <w:sz w:val="21"/>
        </w:rPr>
        <w:t> </w:t>
      </w:r>
      <w:r>
        <w:rPr>
          <w:w w:val="100"/>
          <w:sz w:val="21"/>
        </w:rPr>
        <w:t>Fu</w:t>
      </w:r>
      <w:r>
        <w:rPr>
          <w:spacing w:val="-1"/>
          <w:w w:val="100"/>
          <w:sz w:val="21"/>
        </w:rPr>
        <w:t>h</w:t>
      </w:r>
      <w:r>
        <w:rPr>
          <w:spacing w:val="-3"/>
          <w:w w:val="100"/>
          <w:sz w:val="21"/>
        </w:rPr>
        <w:t>r</w:t>
      </w:r>
      <w:r>
        <w:rPr>
          <w:spacing w:val="-1"/>
          <w:w w:val="100"/>
          <w:sz w:val="21"/>
        </w:rPr>
        <w:t>er‘</w:t>
      </w:r>
      <w:r>
        <w:rPr>
          <w:w w:val="100"/>
          <w:sz w:val="21"/>
        </w:rPr>
        <w:t>s</w:t>
      </w:r>
      <w:r>
        <w:rPr>
          <w:spacing w:val="4"/>
          <w:sz w:val="21"/>
        </w:rPr>
        <w:t> </w:t>
      </w:r>
      <w:r>
        <w:rPr>
          <w:w w:val="100"/>
          <w:sz w:val="21"/>
        </w:rPr>
        <w:t>i</w:t>
      </w:r>
      <w:r>
        <w:rPr>
          <w:spacing w:val="-3"/>
          <w:w w:val="100"/>
          <w:sz w:val="21"/>
        </w:rPr>
        <w:t>n</w:t>
      </w:r>
      <w:r>
        <w:rPr>
          <w:w w:val="100"/>
          <w:sz w:val="21"/>
        </w:rPr>
        <w:t>sc</w:t>
      </w:r>
      <w:r>
        <w:rPr>
          <w:spacing w:val="-1"/>
          <w:w w:val="100"/>
          <w:sz w:val="21"/>
        </w:rPr>
        <w:t>r</w:t>
      </w:r>
      <w:r>
        <w:rPr>
          <w:spacing w:val="-2"/>
          <w:w w:val="100"/>
          <w:sz w:val="21"/>
        </w:rPr>
        <w:t>i</w:t>
      </w:r>
      <w:r>
        <w:rPr>
          <w:spacing w:val="-1"/>
          <w:w w:val="100"/>
          <w:sz w:val="21"/>
        </w:rPr>
        <w:t>pt</w:t>
      </w:r>
      <w:r>
        <w:rPr>
          <w:w w:val="100"/>
          <w:sz w:val="21"/>
        </w:rPr>
        <w:t>i</w:t>
      </w:r>
      <w:r>
        <w:rPr>
          <w:spacing w:val="-3"/>
          <w:w w:val="100"/>
          <w:sz w:val="21"/>
        </w:rPr>
        <w:t>o</w:t>
      </w:r>
      <w:r>
        <w:rPr>
          <w:w w:val="100"/>
          <w:sz w:val="21"/>
        </w:rPr>
        <w:t>n</w:t>
      </w:r>
      <w:r>
        <w:rPr>
          <w:spacing w:val="3"/>
          <w:sz w:val="21"/>
        </w:rPr>
        <w:t> </w:t>
      </w:r>
      <w:r>
        <w:rPr>
          <w:spacing w:val="-1"/>
          <w:w w:val="100"/>
          <w:sz w:val="21"/>
        </w:rPr>
        <w:t>no</w:t>
      </w:r>
      <w:r>
        <w:rPr>
          <w:w w:val="100"/>
          <w:sz w:val="21"/>
        </w:rPr>
        <w:t>.</w:t>
      </w:r>
      <w:r>
        <w:rPr>
          <w:spacing w:val="5"/>
          <w:sz w:val="21"/>
        </w:rPr>
        <w:t> </w:t>
      </w:r>
      <w:r>
        <w:rPr>
          <w:spacing w:val="-2"/>
          <w:w w:val="100"/>
          <w:sz w:val="21"/>
        </w:rPr>
        <w:t>X</w:t>
      </w:r>
      <w:r>
        <w:rPr>
          <w:spacing w:val="-1"/>
          <w:w w:val="100"/>
          <w:sz w:val="21"/>
        </w:rPr>
        <w:t>L</w:t>
      </w:r>
      <w:r>
        <w:rPr>
          <w:w w:val="100"/>
          <w:sz w:val="21"/>
        </w:rPr>
        <w:t>I</w:t>
      </w:r>
      <w:r>
        <w:rPr>
          <w:spacing w:val="5"/>
          <w:sz w:val="21"/>
        </w:rPr>
        <w:t> </w:t>
      </w:r>
      <w:r>
        <w:rPr>
          <w:spacing w:val="-2"/>
          <w:w w:val="100"/>
          <w:sz w:val="21"/>
        </w:rPr>
        <w:t>w</w:t>
      </w:r>
      <w:r>
        <w:rPr>
          <w:spacing w:val="-3"/>
          <w:w w:val="100"/>
          <w:sz w:val="21"/>
        </w:rPr>
        <w:t>h</w:t>
      </w:r>
      <w:r>
        <w:rPr>
          <w:w w:val="100"/>
          <w:sz w:val="21"/>
        </w:rPr>
        <w:t>ich</w:t>
      </w:r>
      <w:r>
        <w:rPr>
          <w:spacing w:val="3"/>
          <w:sz w:val="21"/>
        </w:rPr>
        <w:t> </w:t>
      </w:r>
      <w:r>
        <w:rPr>
          <w:spacing w:val="-1"/>
          <w:w w:val="100"/>
          <w:sz w:val="21"/>
        </w:rPr>
        <w:t>h</w:t>
      </w:r>
      <w:r>
        <w:rPr>
          <w:w w:val="100"/>
          <w:sz w:val="21"/>
        </w:rPr>
        <w:t>e</w:t>
      </w:r>
      <w:r>
        <w:rPr>
          <w:spacing w:val="4"/>
          <w:sz w:val="21"/>
        </w:rPr>
        <w:t> </w:t>
      </w:r>
      <w:r>
        <w:rPr>
          <w:spacing w:val="-1"/>
          <w:w w:val="100"/>
          <w:sz w:val="21"/>
        </w:rPr>
        <w:t>ment</w:t>
      </w:r>
      <w:r>
        <w:rPr>
          <w:spacing w:val="-2"/>
          <w:w w:val="100"/>
          <w:sz w:val="21"/>
        </w:rPr>
        <w:t>i</w:t>
      </w:r>
      <w:r>
        <w:rPr>
          <w:spacing w:val="-1"/>
          <w:w w:val="100"/>
          <w:sz w:val="21"/>
        </w:rPr>
        <w:t>o</w:t>
      </w:r>
      <w:r>
        <w:rPr>
          <w:spacing w:val="-3"/>
          <w:w w:val="100"/>
          <w:sz w:val="21"/>
        </w:rPr>
        <w:t>n</w:t>
      </w:r>
      <w:r>
        <w:rPr>
          <w:w w:val="100"/>
          <w:sz w:val="21"/>
        </w:rPr>
        <w:t>s</w:t>
      </w:r>
      <w:r>
        <w:rPr>
          <w:spacing w:val="6"/>
          <w:sz w:val="21"/>
        </w:rPr>
        <w:t> </w:t>
      </w:r>
      <w:r>
        <w:rPr>
          <w:spacing w:val="-2"/>
          <w:w w:val="100"/>
          <w:sz w:val="21"/>
        </w:rPr>
        <w:t>t</w:t>
      </w:r>
      <w:r>
        <w:rPr>
          <w:spacing w:val="-1"/>
          <w:w w:val="100"/>
          <w:sz w:val="21"/>
        </w:rPr>
        <w:t>ha</w:t>
      </w:r>
      <w:r>
        <w:rPr>
          <w:w w:val="100"/>
          <w:sz w:val="21"/>
        </w:rPr>
        <w:t>t</w:t>
      </w:r>
      <w:r>
        <w:rPr>
          <w:spacing w:val="5"/>
          <w:sz w:val="21"/>
        </w:rPr>
        <w:t> </w:t>
      </w:r>
      <w:r>
        <w:rPr>
          <w:spacing w:val="-2"/>
          <w:w w:val="100"/>
          <w:sz w:val="21"/>
        </w:rPr>
        <w:t>t</w:t>
      </w:r>
      <w:r>
        <w:rPr>
          <w:spacing w:val="-1"/>
          <w:w w:val="100"/>
          <w:sz w:val="21"/>
        </w:rPr>
        <w:t>he </w:t>
      </w:r>
      <w:r>
        <w:rPr>
          <w:sz w:val="21"/>
        </w:rPr>
        <w:t>same was found inside the mosque on the mimbar (right hand side of the disputed building) has been termed as second inscription by Maulvi F. Ashraf Hussain. It consists of three couplets arranged in six lines. He (Hussain) clearly admits </w:t>
      </w:r>
      <w:r>
        <w:rPr>
          <w:spacing w:val="-1"/>
          <w:w w:val="100"/>
          <w:sz w:val="21"/>
        </w:rPr>
        <w:t>no</w:t>
      </w:r>
      <w:r>
        <w:rPr>
          <w:w w:val="100"/>
          <w:sz w:val="21"/>
        </w:rPr>
        <w:t>n</w:t>
      </w:r>
      <w:r>
        <w:rPr>
          <w:sz w:val="21"/>
        </w:rPr>
        <w:t>  </w:t>
      </w:r>
      <w:r>
        <w:rPr>
          <w:spacing w:val="-22"/>
          <w:sz w:val="21"/>
        </w:rPr>
        <w:t> </w:t>
      </w:r>
      <w:r>
        <w:rPr>
          <w:spacing w:val="-1"/>
          <w:w w:val="100"/>
          <w:sz w:val="21"/>
        </w:rPr>
        <w:t>e</w:t>
      </w:r>
      <w:r>
        <w:rPr>
          <w:spacing w:val="-3"/>
          <w:w w:val="100"/>
          <w:sz w:val="21"/>
        </w:rPr>
        <w:t>x</w:t>
      </w:r>
      <w:r>
        <w:rPr>
          <w:w w:val="100"/>
          <w:sz w:val="21"/>
        </w:rPr>
        <w:t>is</w:t>
      </w:r>
      <w:r>
        <w:rPr>
          <w:spacing w:val="-2"/>
          <w:w w:val="100"/>
          <w:sz w:val="21"/>
        </w:rPr>
        <w:t>t</w:t>
      </w:r>
      <w:r>
        <w:rPr>
          <w:spacing w:val="-3"/>
          <w:w w:val="100"/>
          <w:sz w:val="21"/>
        </w:rPr>
        <w:t>e</w:t>
      </w:r>
      <w:r>
        <w:rPr>
          <w:spacing w:val="-1"/>
          <w:w w:val="100"/>
          <w:sz w:val="21"/>
        </w:rPr>
        <w:t>nc</w:t>
      </w:r>
      <w:r>
        <w:rPr>
          <w:w w:val="100"/>
          <w:sz w:val="21"/>
        </w:rPr>
        <w:t>e</w:t>
      </w:r>
      <w:r>
        <w:rPr>
          <w:sz w:val="21"/>
        </w:rPr>
        <w:t>  </w:t>
      </w:r>
      <w:r>
        <w:rPr>
          <w:spacing w:val="-22"/>
          <w:sz w:val="21"/>
        </w:rPr>
        <w:t> </w:t>
      </w:r>
      <w:r>
        <w:rPr>
          <w:spacing w:val="-3"/>
          <w:w w:val="100"/>
          <w:sz w:val="21"/>
        </w:rPr>
        <w:t>o</w:t>
      </w:r>
      <w:r>
        <w:rPr>
          <w:w w:val="100"/>
          <w:sz w:val="21"/>
        </w:rPr>
        <w:t>f</w:t>
      </w:r>
      <w:r>
        <w:rPr>
          <w:sz w:val="21"/>
        </w:rPr>
        <w:t>  </w:t>
      </w:r>
      <w:r>
        <w:rPr>
          <w:spacing w:val="-21"/>
          <w:sz w:val="21"/>
        </w:rPr>
        <w:t> </w:t>
      </w:r>
      <w:r>
        <w:rPr>
          <w:spacing w:val="-2"/>
          <w:w w:val="100"/>
          <w:sz w:val="21"/>
        </w:rPr>
        <w:t>t</w:t>
      </w:r>
      <w:r>
        <w:rPr>
          <w:spacing w:val="-1"/>
          <w:w w:val="100"/>
          <w:sz w:val="21"/>
        </w:rPr>
        <w:t>h</w:t>
      </w:r>
      <w:r>
        <w:rPr>
          <w:w w:val="100"/>
          <w:sz w:val="21"/>
        </w:rPr>
        <w:t>e</w:t>
      </w:r>
      <w:r>
        <w:rPr>
          <w:sz w:val="21"/>
        </w:rPr>
        <w:t>  </w:t>
      </w:r>
      <w:r>
        <w:rPr>
          <w:spacing w:val="-24"/>
          <w:sz w:val="21"/>
        </w:rPr>
        <w:t> </w:t>
      </w:r>
      <w:r>
        <w:rPr>
          <w:spacing w:val="-3"/>
          <w:w w:val="100"/>
          <w:sz w:val="21"/>
        </w:rPr>
        <w:t>s</w:t>
      </w:r>
      <w:r>
        <w:rPr>
          <w:spacing w:val="-1"/>
          <w:w w:val="100"/>
          <w:sz w:val="21"/>
        </w:rPr>
        <w:t>a</w:t>
      </w:r>
      <w:r>
        <w:rPr>
          <w:spacing w:val="1"/>
          <w:w w:val="100"/>
          <w:sz w:val="21"/>
        </w:rPr>
        <w:t>i</w:t>
      </w:r>
      <w:r>
        <w:rPr>
          <w:w w:val="100"/>
          <w:sz w:val="21"/>
        </w:rPr>
        <w:t>d</w:t>
      </w:r>
      <w:r>
        <w:rPr>
          <w:sz w:val="21"/>
        </w:rPr>
        <w:t>  </w:t>
      </w:r>
      <w:r>
        <w:rPr>
          <w:spacing w:val="-24"/>
          <w:sz w:val="21"/>
        </w:rPr>
        <w:t> </w:t>
      </w:r>
      <w:r>
        <w:rPr>
          <w:w w:val="100"/>
          <w:sz w:val="21"/>
        </w:rPr>
        <w:t>i</w:t>
      </w:r>
      <w:r>
        <w:rPr>
          <w:spacing w:val="-1"/>
          <w:w w:val="100"/>
          <w:sz w:val="21"/>
        </w:rPr>
        <w:t>n</w:t>
      </w:r>
      <w:r>
        <w:rPr>
          <w:spacing w:val="-3"/>
          <w:w w:val="100"/>
          <w:sz w:val="21"/>
        </w:rPr>
        <w:t>s</w:t>
      </w:r>
      <w:r>
        <w:rPr>
          <w:w w:val="100"/>
          <w:sz w:val="21"/>
        </w:rPr>
        <w:t>c</w:t>
      </w:r>
      <w:r>
        <w:rPr>
          <w:spacing w:val="-1"/>
          <w:w w:val="100"/>
          <w:sz w:val="21"/>
        </w:rPr>
        <w:t>r</w:t>
      </w:r>
      <w:r>
        <w:rPr>
          <w:w w:val="100"/>
          <w:sz w:val="21"/>
        </w:rPr>
        <w:t>i</w:t>
      </w:r>
      <w:r>
        <w:rPr>
          <w:spacing w:val="-1"/>
          <w:w w:val="100"/>
          <w:sz w:val="21"/>
        </w:rPr>
        <w:t>p</w:t>
      </w:r>
      <w:r>
        <w:rPr>
          <w:spacing w:val="-4"/>
          <w:w w:val="100"/>
          <w:sz w:val="21"/>
        </w:rPr>
        <w:t>t</w:t>
      </w:r>
      <w:r>
        <w:rPr>
          <w:w w:val="100"/>
          <w:sz w:val="21"/>
        </w:rPr>
        <w:t>i</w:t>
      </w:r>
      <w:r>
        <w:rPr>
          <w:spacing w:val="-1"/>
          <w:w w:val="100"/>
          <w:sz w:val="21"/>
        </w:rPr>
        <w:t>o</w:t>
      </w:r>
      <w:r>
        <w:rPr>
          <w:w w:val="100"/>
          <w:sz w:val="21"/>
        </w:rPr>
        <w:t>n</w:t>
      </w:r>
      <w:r>
        <w:rPr>
          <w:sz w:val="21"/>
        </w:rPr>
        <w:t>  </w:t>
      </w:r>
      <w:r>
        <w:rPr>
          <w:spacing w:val="-22"/>
          <w:sz w:val="21"/>
        </w:rPr>
        <w:t> </w:t>
      </w:r>
      <w:r>
        <w:rPr>
          <w:spacing w:val="-1"/>
          <w:w w:val="100"/>
          <w:sz w:val="21"/>
        </w:rPr>
        <w:t>b</w:t>
      </w:r>
      <w:r>
        <w:rPr>
          <w:w w:val="100"/>
          <w:sz w:val="21"/>
        </w:rPr>
        <w:t>y</w:t>
      </w:r>
      <w:r>
        <w:rPr>
          <w:sz w:val="21"/>
        </w:rPr>
        <w:t>  </w:t>
      </w:r>
      <w:r>
        <w:rPr>
          <w:spacing w:val="-25"/>
          <w:sz w:val="21"/>
        </w:rPr>
        <w:t> </w:t>
      </w:r>
      <w:r>
        <w:rPr>
          <w:spacing w:val="-1"/>
          <w:w w:val="100"/>
          <w:sz w:val="21"/>
        </w:rPr>
        <w:t>ob</w:t>
      </w:r>
      <w:r>
        <w:rPr>
          <w:spacing w:val="-3"/>
          <w:w w:val="100"/>
          <w:sz w:val="21"/>
        </w:rPr>
        <w:t>s</w:t>
      </w:r>
      <w:r>
        <w:rPr>
          <w:spacing w:val="-1"/>
          <w:w w:val="100"/>
          <w:sz w:val="21"/>
        </w:rPr>
        <w:t>e</w:t>
      </w:r>
      <w:r>
        <w:rPr>
          <w:spacing w:val="-3"/>
          <w:w w:val="100"/>
          <w:sz w:val="21"/>
        </w:rPr>
        <w:t>rv</w:t>
      </w:r>
      <w:r>
        <w:rPr>
          <w:w w:val="100"/>
          <w:sz w:val="21"/>
        </w:rPr>
        <w:t>i</w:t>
      </w:r>
      <w:r>
        <w:rPr>
          <w:spacing w:val="-1"/>
          <w:w w:val="100"/>
          <w:sz w:val="21"/>
        </w:rPr>
        <w:t>n</w:t>
      </w:r>
      <w:r>
        <w:rPr>
          <w:w w:val="100"/>
          <w:sz w:val="21"/>
        </w:rPr>
        <w:t>g</w:t>
      </w:r>
      <w:r>
        <w:rPr>
          <w:sz w:val="21"/>
        </w:rPr>
        <w:t>  </w:t>
      </w:r>
      <w:r>
        <w:rPr>
          <w:spacing w:val="-22"/>
          <w:sz w:val="21"/>
        </w:rPr>
        <w:t> </w:t>
      </w:r>
      <w:r>
        <w:rPr>
          <w:spacing w:val="-1"/>
          <w:w w:val="33"/>
          <w:sz w:val="21"/>
        </w:rPr>
        <w:t>―</w:t>
      </w:r>
      <w:r>
        <w:rPr>
          <w:spacing w:val="-2"/>
          <w:w w:val="100"/>
          <w:sz w:val="21"/>
        </w:rPr>
        <w:t>t</w:t>
      </w:r>
      <w:r>
        <w:rPr>
          <w:spacing w:val="-1"/>
          <w:w w:val="100"/>
          <w:sz w:val="21"/>
        </w:rPr>
        <w:t>he </w:t>
      </w:r>
      <w:r>
        <w:rPr>
          <w:sz w:val="21"/>
        </w:rPr>
        <w:t>epigraphical Tablet‖ which was built up into right hand side wall of the pulpit, does not exist now, and, therefore, the text of the inscription is quoted here from Furher‘s work, for the same reason, its illustration could not be given.‖ Husain/Desai however, did not agree to the reading of the inscription by Fuhrer and observed that Furher‘s reading does not appear free from</w:t>
      </w:r>
      <w:r>
        <w:rPr>
          <w:spacing w:val="-6"/>
          <w:sz w:val="21"/>
        </w:rPr>
        <w:t> </w:t>
      </w:r>
      <w:r>
        <w:rPr>
          <w:sz w:val="21"/>
        </w:rPr>
        <w:t>mistakes.‖</w:t>
      </w:r>
    </w:p>
    <w:p>
      <w:pPr>
        <w:pStyle w:val="BodyText"/>
        <w:spacing w:before="2"/>
        <w:rPr>
          <w:sz w:val="21"/>
        </w:rPr>
      </w:pPr>
    </w:p>
    <w:p>
      <w:pPr>
        <w:pStyle w:val="BodyText"/>
        <w:ind w:left="500"/>
        <w:jc w:val="both"/>
      </w:pPr>
      <w:r>
        <w:rPr/>
        <w:t>The text of the third inscription is as follows:</w:t>
      </w:r>
    </w:p>
    <w:p>
      <w:pPr>
        <w:pStyle w:val="BodyText"/>
        <w:spacing w:before="1"/>
      </w:pPr>
    </w:p>
    <w:p>
      <w:pPr>
        <w:spacing w:line="276" w:lineRule="auto" w:before="0"/>
        <w:ind w:left="1940" w:right="2265" w:firstLine="0"/>
        <w:jc w:val="both"/>
        <w:rPr>
          <w:sz w:val="21"/>
        </w:rPr>
      </w:pPr>
      <w:r>
        <w:rPr>
          <w:w w:val="33"/>
          <w:sz w:val="21"/>
        </w:rPr>
        <w:t>―</w:t>
      </w:r>
      <w:r>
        <w:rPr>
          <w:w w:val="100"/>
          <w:sz w:val="21"/>
        </w:rPr>
        <w:t>(</w:t>
      </w:r>
      <w:r>
        <w:rPr>
          <w:w w:val="100"/>
          <w:sz w:val="21"/>
        </w:rPr>
        <w:t>1)</w:t>
      </w:r>
      <w:r>
        <w:rPr>
          <w:sz w:val="21"/>
        </w:rPr>
        <w:t> </w:t>
      </w:r>
      <w:r>
        <w:rPr>
          <w:w w:val="100"/>
          <w:sz w:val="21"/>
        </w:rPr>
        <w:t>I</w:t>
      </w:r>
      <w:r>
        <w:rPr>
          <w:w w:val="100"/>
          <w:sz w:val="21"/>
        </w:rPr>
        <w:t>n</w:t>
      </w:r>
      <w:r>
        <w:rPr>
          <w:sz w:val="21"/>
        </w:rPr>
        <w:t> </w:t>
      </w:r>
      <w:r>
        <w:rPr>
          <w:w w:val="100"/>
          <w:sz w:val="21"/>
        </w:rPr>
        <w:t>t</w:t>
      </w:r>
      <w:r>
        <w:rPr>
          <w:w w:val="100"/>
          <w:sz w:val="21"/>
        </w:rPr>
        <w:t>he</w:t>
      </w:r>
      <w:r>
        <w:rPr>
          <w:sz w:val="21"/>
        </w:rPr>
        <w:t> </w:t>
      </w:r>
      <w:r>
        <w:rPr>
          <w:w w:val="100"/>
          <w:sz w:val="21"/>
        </w:rPr>
        <w:t>nam</w:t>
      </w:r>
      <w:r>
        <w:rPr>
          <w:w w:val="100"/>
          <w:sz w:val="21"/>
        </w:rPr>
        <w:t>e</w:t>
      </w:r>
      <w:r>
        <w:rPr>
          <w:sz w:val="21"/>
        </w:rPr>
        <w:t> </w:t>
      </w:r>
      <w:r>
        <w:rPr>
          <w:w w:val="100"/>
          <w:sz w:val="21"/>
        </w:rPr>
        <w:t>o</w:t>
      </w:r>
      <w:r>
        <w:rPr>
          <w:w w:val="100"/>
          <w:sz w:val="21"/>
        </w:rPr>
        <w:t>f</w:t>
      </w:r>
      <w:r>
        <w:rPr>
          <w:sz w:val="21"/>
        </w:rPr>
        <w:t> </w:t>
      </w:r>
      <w:r>
        <w:rPr>
          <w:w w:val="100"/>
          <w:sz w:val="21"/>
        </w:rPr>
        <w:t>A</w:t>
      </w:r>
      <w:r>
        <w:rPr>
          <w:w w:val="100"/>
          <w:sz w:val="21"/>
        </w:rPr>
        <w:t>ll</w:t>
      </w:r>
      <w:r>
        <w:rPr>
          <w:w w:val="100"/>
          <w:sz w:val="21"/>
        </w:rPr>
        <w:t>ah,</w:t>
      </w:r>
      <w:r>
        <w:rPr>
          <w:sz w:val="21"/>
        </w:rPr>
        <w:t> </w:t>
      </w:r>
      <w:r>
        <w:rPr>
          <w:w w:val="100"/>
          <w:sz w:val="21"/>
        </w:rPr>
        <w:t>t</w:t>
      </w:r>
      <w:r>
        <w:rPr>
          <w:w w:val="100"/>
          <w:sz w:val="21"/>
        </w:rPr>
        <w:t>he</w:t>
      </w:r>
      <w:r>
        <w:rPr>
          <w:sz w:val="21"/>
        </w:rPr>
        <w:t> </w:t>
      </w:r>
      <w:r>
        <w:rPr>
          <w:w w:val="100"/>
          <w:sz w:val="21"/>
        </w:rPr>
        <w:t>B</w:t>
      </w:r>
      <w:r>
        <w:rPr>
          <w:w w:val="100"/>
          <w:sz w:val="21"/>
        </w:rPr>
        <w:t>en</w:t>
      </w:r>
      <w:r>
        <w:rPr>
          <w:w w:val="100"/>
          <w:sz w:val="21"/>
        </w:rPr>
        <w:t>ef</w:t>
      </w:r>
      <w:r>
        <w:rPr>
          <w:w w:val="100"/>
          <w:sz w:val="21"/>
        </w:rPr>
        <w:t>i</w:t>
      </w:r>
      <w:r>
        <w:rPr>
          <w:w w:val="100"/>
          <w:sz w:val="21"/>
        </w:rPr>
        <w:t>ce</w:t>
      </w:r>
      <w:r>
        <w:rPr>
          <w:w w:val="100"/>
          <w:sz w:val="21"/>
        </w:rPr>
        <w:t>nt</w:t>
      </w:r>
      <w:r>
        <w:rPr>
          <w:w w:val="100"/>
          <w:sz w:val="21"/>
        </w:rPr>
        <w:t>,</w:t>
      </w:r>
      <w:r>
        <w:rPr>
          <w:sz w:val="21"/>
        </w:rPr>
        <w:t> </w:t>
      </w:r>
      <w:r>
        <w:rPr>
          <w:w w:val="100"/>
          <w:sz w:val="21"/>
        </w:rPr>
        <w:t>t</w:t>
      </w:r>
      <w:r>
        <w:rPr>
          <w:w w:val="100"/>
          <w:sz w:val="21"/>
        </w:rPr>
        <w:t>he</w:t>
      </w:r>
      <w:r>
        <w:rPr>
          <w:sz w:val="21"/>
        </w:rPr>
        <w:t> </w:t>
      </w:r>
      <w:r>
        <w:rPr>
          <w:w w:val="100"/>
          <w:sz w:val="21"/>
        </w:rPr>
        <w:t>M</w:t>
      </w:r>
      <w:r>
        <w:rPr>
          <w:w w:val="100"/>
          <w:sz w:val="21"/>
        </w:rPr>
        <w:t>erci</w:t>
      </w:r>
      <w:r>
        <w:rPr>
          <w:w w:val="100"/>
          <w:sz w:val="21"/>
        </w:rPr>
        <w:t>f</w:t>
      </w:r>
      <w:r>
        <w:rPr>
          <w:w w:val="100"/>
          <w:sz w:val="21"/>
        </w:rPr>
        <w:t>ul</w:t>
      </w:r>
      <w:r>
        <w:rPr>
          <w:w w:val="100"/>
          <w:sz w:val="21"/>
        </w:rPr>
        <w:t>.</w:t>
      </w:r>
      <w:r>
        <w:rPr>
          <w:sz w:val="21"/>
        </w:rPr>
        <w:t> </w:t>
      </w:r>
      <w:r>
        <w:rPr>
          <w:w w:val="100"/>
          <w:sz w:val="21"/>
        </w:rPr>
        <w:t>A</w:t>
      </w:r>
      <w:r>
        <w:rPr>
          <w:w w:val="100"/>
          <w:sz w:val="21"/>
        </w:rPr>
        <w:t>nd</w:t>
      </w:r>
      <w:r>
        <w:rPr>
          <w:sz w:val="21"/>
        </w:rPr>
        <w:t> </w:t>
      </w:r>
      <w:r>
        <w:rPr>
          <w:w w:val="100"/>
          <w:sz w:val="21"/>
        </w:rPr>
        <w:t>i</w:t>
      </w:r>
      <w:r>
        <w:rPr>
          <w:w w:val="100"/>
          <w:sz w:val="21"/>
        </w:rPr>
        <w:t>n </w:t>
      </w:r>
      <w:r>
        <w:rPr>
          <w:sz w:val="21"/>
        </w:rPr>
        <w:t>Him is my trust.</w:t>
      </w:r>
    </w:p>
    <w:p>
      <w:pPr>
        <w:pStyle w:val="BodyText"/>
        <w:spacing w:before="1"/>
        <w:rPr>
          <w:sz w:val="24"/>
        </w:rPr>
      </w:pPr>
    </w:p>
    <w:p>
      <w:pPr>
        <w:pStyle w:val="ListParagraph"/>
        <w:numPr>
          <w:ilvl w:val="0"/>
          <w:numId w:val="48"/>
        </w:numPr>
        <w:tabs>
          <w:tab w:pos="2257" w:val="left" w:leader="none"/>
        </w:tabs>
        <w:spacing w:line="276" w:lineRule="auto" w:before="0" w:after="0"/>
        <w:ind w:left="1940" w:right="2263" w:firstLine="0"/>
        <w:jc w:val="both"/>
        <w:rPr>
          <w:sz w:val="21"/>
        </w:rPr>
      </w:pPr>
      <w:r>
        <w:rPr>
          <w:sz w:val="21"/>
        </w:rPr>
        <w:t>In the name of One who is Wise, Great (and) Creator of all the universe (and) is</w:t>
      </w:r>
      <w:r>
        <w:rPr>
          <w:spacing w:val="-7"/>
          <w:sz w:val="21"/>
        </w:rPr>
        <w:t> </w:t>
      </w:r>
      <w:r>
        <w:rPr>
          <w:sz w:val="21"/>
        </w:rPr>
        <w:t>spaceless.</w:t>
      </w:r>
    </w:p>
    <w:p>
      <w:pPr>
        <w:spacing w:line="276" w:lineRule="auto" w:before="0"/>
        <w:ind w:left="1940" w:right="2264" w:firstLine="0"/>
        <w:jc w:val="both"/>
        <w:rPr>
          <w:sz w:val="21"/>
        </w:rPr>
      </w:pPr>
      <w:r>
        <w:rPr>
          <w:sz w:val="21"/>
        </w:rPr>
        <w:t>After His praise, blessings be upon the Chosen one (i.e. the Prophet), who is the head of prophets and best in the world. The Qalandar-like (i.e. truthful) Babur has become celebrated (lit. a story) in the world, since (in his time) the world has achieved prosperity.</w:t>
      </w:r>
    </w:p>
    <w:p>
      <w:pPr>
        <w:spacing w:after="0" w:line="276" w:lineRule="auto"/>
        <w:jc w:val="both"/>
        <w:rPr>
          <w:sz w:val="21"/>
        </w:rPr>
        <w:sectPr>
          <w:pgSz w:w="11910" w:h="16840"/>
          <w:pgMar w:header="721" w:footer="1014" w:top="1300" w:bottom="1200" w:left="940" w:right="1000"/>
        </w:sectPr>
      </w:pPr>
    </w:p>
    <w:p>
      <w:pPr>
        <w:pStyle w:val="ListParagraph"/>
        <w:numPr>
          <w:ilvl w:val="0"/>
          <w:numId w:val="48"/>
        </w:numPr>
        <w:tabs>
          <w:tab w:pos="2416" w:val="left" w:leader="none"/>
        </w:tabs>
        <w:spacing w:line="276" w:lineRule="auto" w:before="122" w:after="0"/>
        <w:ind w:left="1940" w:right="2263" w:firstLine="57"/>
        <w:jc w:val="both"/>
        <w:rPr>
          <w:sz w:val="21"/>
        </w:rPr>
      </w:pPr>
      <w:r>
        <w:rPr>
          <w:sz w:val="21"/>
        </w:rPr>
        <w:t>(He is) such (an emperor) as has embraced (i.e. conquered) all the seven climes of the world in the manner of the</w:t>
      </w:r>
      <w:r>
        <w:rPr>
          <w:spacing w:val="-2"/>
          <w:sz w:val="21"/>
        </w:rPr>
        <w:t> </w:t>
      </w:r>
      <w:r>
        <w:rPr>
          <w:sz w:val="21"/>
        </w:rPr>
        <w:t>sky.</w:t>
      </w:r>
    </w:p>
    <w:p>
      <w:pPr>
        <w:spacing w:line="276" w:lineRule="auto" w:before="0"/>
        <w:ind w:left="1940" w:right="2264" w:firstLine="0"/>
        <w:jc w:val="both"/>
        <w:rPr>
          <w:sz w:val="21"/>
        </w:rPr>
      </w:pPr>
      <w:r>
        <w:rPr>
          <w:sz w:val="21"/>
        </w:rPr>
        <w:t>In his court, there was a magnificent noble, named Mir Baqi the second Asaf, councillor of his Government and administrator of his kingdom, who is the founder of this mosque and fort-wall.</w:t>
      </w:r>
    </w:p>
    <w:p>
      <w:pPr>
        <w:pStyle w:val="BodyText"/>
        <w:spacing w:before="3"/>
        <w:rPr>
          <w:sz w:val="24"/>
        </w:rPr>
      </w:pPr>
    </w:p>
    <w:p>
      <w:pPr>
        <w:pStyle w:val="ListParagraph"/>
        <w:numPr>
          <w:ilvl w:val="0"/>
          <w:numId w:val="48"/>
        </w:numPr>
        <w:tabs>
          <w:tab w:pos="2262" w:val="left" w:leader="none"/>
        </w:tabs>
        <w:spacing w:line="276" w:lineRule="auto" w:before="0" w:after="0"/>
        <w:ind w:left="1940" w:right="2264" w:firstLine="0"/>
        <w:jc w:val="both"/>
        <w:rPr>
          <w:sz w:val="21"/>
        </w:rPr>
      </w:pPr>
      <w:r>
        <w:rPr>
          <w:sz w:val="21"/>
        </w:rPr>
        <w:t>O God, may he live for ever in this world, with fortune and life and crown and throne. The time of the building is this auspicious date, of which the indication is nine hundred (and) thirty five (A.H. 935=1528-29</w:t>
      </w:r>
      <w:r>
        <w:rPr>
          <w:spacing w:val="-9"/>
          <w:sz w:val="21"/>
        </w:rPr>
        <w:t> </w:t>
      </w:r>
      <w:r>
        <w:rPr>
          <w:sz w:val="21"/>
        </w:rPr>
        <w:t>A.D.).</w:t>
      </w:r>
    </w:p>
    <w:p>
      <w:pPr>
        <w:spacing w:line="276" w:lineRule="auto" w:before="1"/>
        <w:ind w:left="1940" w:right="2262" w:firstLine="0"/>
        <w:jc w:val="both"/>
        <w:rPr>
          <w:sz w:val="21"/>
        </w:rPr>
      </w:pPr>
      <w:r>
        <w:rPr>
          <w:sz w:val="21"/>
        </w:rPr>
        <w:t>Completed was this praise of God, of Prophet and of king. May Allah illumine his proof. Written by the weak writer and humble creature, Eathu'llah Muhammad Ghori.‖</w:t>
      </w:r>
    </w:p>
    <w:p>
      <w:pPr>
        <w:pStyle w:val="BodyText"/>
        <w:rPr>
          <w:sz w:val="24"/>
        </w:rPr>
      </w:pPr>
    </w:p>
    <w:p>
      <w:pPr>
        <w:pStyle w:val="BodyText"/>
        <w:rPr>
          <w:sz w:val="24"/>
        </w:rPr>
      </w:pPr>
    </w:p>
    <w:p>
      <w:pPr>
        <w:pStyle w:val="BodyText"/>
        <w:spacing w:line="480" w:lineRule="auto" w:before="164"/>
        <w:ind w:left="500" w:right="436"/>
        <w:jc w:val="both"/>
      </w:pPr>
      <w:r>
        <w:rPr/>
        <w:t>As regards the inscriptions noted by </w:t>
      </w:r>
      <w:r>
        <w:rPr>
          <w:b/>
        </w:rPr>
        <w:t>Fuhrer</w:t>
      </w:r>
      <w:r>
        <w:rPr/>
        <w:t>, certain significant aspects need to be noted. While the second inscription contains a reference to the order of Babur for the construction of the mosque, construction is attributed to Mir Khan (not Mir Baqi). The third inscription refers to the foundation of the construction of the mosque being laid in Hijri 930 which corresponds to 1523 A.D. This is prior to the invasion by Babur and the battle at Panipat which resulted in the defeat of Ibrahim Lodhi. As regards the work of </w:t>
      </w:r>
      <w:r>
        <w:rPr>
          <w:b/>
        </w:rPr>
        <w:t>Beveridge</w:t>
      </w:r>
      <w:r>
        <w:rPr/>
        <w:t>, it is evident that she had neither seen the original text nor had she translated the text of the inscriptions herself. </w:t>
      </w:r>
      <w:r>
        <w:rPr>
          <w:b/>
        </w:rPr>
        <w:t>Beveridge </w:t>
      </w:r>
      <w:r>
        <w:rPr/>
        <w:t>obtained a purported text of the inscriptions through her spouse from the Deputy Commissioner, Faizabad. </w:t>
      </w:r>
      <w:r>
        <w:rPr>
          <w:b/>
        </w:rPr>
        <w:t>Beveridge </w:t>
      </w:r>
      <w:r>
        <w:rPr/>
        <w:t>claimed that she received a copy of the text through correspondence initiated by her spouse who was an ICS officer in the colonial government. </w:t>
      </w:r>
      <w:r>
        <w:rPr>
          <w:color w:val="000009"/>
        </w:rPr>
        <w:t>She </w:t>
      </w:r>
      <w:r>
        <w:rPr/>
        <w:t>had neither read the original nor is there anything to indicate that she was in a position to translate it. </w:t>
      </w:r>
      <w:r>
        <w:rPr>
          <w:b/>
          <w:w w:val="99"/>
        </w:rPr>
        <w:t>B</w:t>
      </w:r>
      <w:r>
        <w:rPr>
          <w:b/>
          <w:spacing w:val="2"/>
          <w:w w:val="99"/>
        </w:rPr>
        <w:t>e</w:t>
      </w:r>
      <w:r>
        <w:rPr>
          <w:b/>
          <w:spacing w:val="-5"/>
          <w:w w:val="99"/>
        </w:rPr>
        <w:t>v</w:t>
      </w:r>
      <w:r>
        <w:rPr>
          <w:b/>
          <w:spacing w:val="2"/>
          <w:w w:val="99"/>
        </w:rPr>
        <w:t>e</w:t>
      </w:r>
      <w:r>
        <w:rPr>
          <w:b/>
          <w:spacing w:val="-1"/>
          <w:w w:val="99"/>
        </w:rPr>
        <w:t>r</w:t>
      </w:r>
      <w:r>
        <w:rPr>
          <w:b/>
          <w:w w:val="99"/>
        </w:rPr>
        <w:t>i</w:t>
      </w:r>
      <w:r>
        <w:rPr>
          <w:b/>
          <w:spacing w:val="1"/>
          <w:w w:val="99"/>
        </w:rPr>
        <w:t>d</w:t>
      </w:r>
      <w:r>
        <w:rPr>
          <w:b/>
          <w:w w:val="99"/>
        </w:rPr>
        <w:t>g</w:t>
      </w:r>
      <w:r>
        <w:rPr>
          <w:b/>
          <w:w w:val="99"/>
        </w:rPr>
        <w:t>e</w:t>
      </w:r>
      <w:r>
        <w:rPr>
          <w:b/>
          <w:spacing w:val="6"/>
        </w:rPr>
        <w:t> </w:t>
      </w:r>
      <w:r>
        <w:rPr>
          <w:w w:val="99"/>
        </w:rPr>
        <w:t>stat</w:t>
      </w:r>
      <w:r>
        <w:rPr>
          <w:spacing w:val="-1"/>
          <w:w w:val="99"/>
        </w:rPr>
        <w:t>e</w:t>
      </w:r>
      <w:r>
        <w:rPr>
          <w:w w:val="99"/>
        </w:rPr>
        <w:t>s</w:t>
      </w:r>
      <w:r>
        <w:rPr>
          <w:spacing w:val="5"/>
        </w:rPr>
        <w:t> </w:t>
      </w:r>
      <w:r>
        <w:rPr>
          <w:w w:val="99"/>
        </w:rPr>
        <w:t>th</w:t>
      </w:r>
      <w:r>
        <w:rPr>
          <w:spacing w:val="-2"/>
          <w:w w:val="99"/>
        </w:rPr>
        <w:t>a</w:t>
      </w:r>
      <w:r>
        <w:rPr>
          <w:w w:val="99"/>
        </w:rPr>
        <w:t>t</w:t>
      </w:r>
      <w:r>
        <w:rPr>
          <w:spacing w:val="2"/>
        </w:rPr>
        <w:t> </w:t>
      </w:r>
      <w:r>
        <w:rPr>
          <w:w w:val="99"/>
        </w:rPr>
        <w:t>she</w:t>
      </w:r>
      <w:r>
        <w:rPr>
          <w:spacing w:val="5"/>
        </w:rPr>
        <w:t> </w:t>
      </w:r>
      <w:r>
        <w:rPr>
          <w:w w:val="99"/>
        </w:rPr>
        <w:t>m</w:t>
      </w:r>
      <w:r>
        <w:rPr>
          <w:spacing w:val="-1"/>
          <w:w w:val="99"/>
        </w:rPr>
        <w:t>a</w:t>
      </w:r>
      <w:r>
        <w:rPr>
          <w:w w:val="99"/>
        </w:rPr>
        <w:t>de</w:t>
      </w:r>
      <w:r>
        <w:rPr>
          <w:spacing w:val="2"/>
        </w:rPr>
        <w:t> </w:t>
      </w:r>
      <w:r>
        <w:rPr>
          <w:w w:val="33"/>
        </w:rPr>
        <w:t>―</w:t>
      </w:r>
      <w:r>
        <w:rPr>
          <w:w w:val="99"/>
        </w:rPr>
        <w:t>a</w:t>
      </w:r>
      <w:r>
        <w:rPr>
          <w:spacing w:val="2"/>
        </w:rPr>
        <w:t> </w:t>
      </w:r>
      <w:r>
        <w:rPr>
          <w:w w:val="99"/>
        </w:rPr>
        <w:t>few</w:t>
      </w:r>
      <w:r>
        <w:rPr>
          <w:spacing w:val="5"/>
        </w:rPr>
        <w:t> </w:t>
      </w:r>
      <w:r>
        <w:rPr>
          <w:w w:val="99"/>
        </w:rPr>
        <w:t>sli</w:t>
      </w:r>
      <w:r>
        <w:rPr>
          <w:spacing w:val="-3"/>
          <w:w w:val="99"/>
        </w:rPr>
        <w:t>g</w:t>
      </w:r>
      <w:r>
        <w:rPr>
          <w:spacing w:val="-1"/>
          <w:w w:val="99"/>
        </w:rPr>
        <w:t>h</w:t>
      </w:r>
      <w:r>
        <w:rPr>
          <w:w w:val="99"/>
        </w:rPr>
        <w:t>t</w:t>
      </w:r>
      <w:r>
        <w:rPr>
          <w:spacing w:val="5"/>
        </w:rPr>
        <w:t> </w:t>
      </w:r>
      <w:r>
        <w:rPr>
          <w:w w:val="99"/>
        </w:rPr>
        <w:t>cha</w:t>
      </w:r>
      <w:r>
        <w:rPr>
          <w:spacing w:val="-1"/>
          <w:w w:val="99"/>
        </w:rPr>
        <w:t>n</w:t>
      </w:r>
      <w:r>
        <w:rPr>
          <w:w w:val="99"/>
        </w:rPr>
        <w:t>g</w:t>
      </w:r>
      <w:r>
        <w:rPr>
          <w:spacing w:val="-1"/>
          <w:w w:val="99"/>
        </w:rPr>
        <w:t>e</w:t>
      </w:r>
      <w:r>
        <w:rPr>
          <w:w w:val="99"/>
        </w:rPr>
        <w:t>s</w:t>
      </w:r>
      <w:r>
        <w:rPr>
          <w:spacing w:val="5"/>
        </w:rPr>
        <w:t> </w:t>
      </w:r>
      <w:r>
        <w:rPr>
          <w:spacing w:val="-1"/>
          <w:w w:val="99"/>
        </w:rPr>
        <w:t>i</w:t>
      </w:r>
      <w:r>
        <w:rPr>
          <w:w w:val="99"/>
        </w:rPr>
        <w:t>n</w:t>
      </w:r>
      <w:r>
        <w:rPr>
          <w:spacing w:val="2"/>
        </w:rPr>
        <w:t> </w:t>
      </w:r>
      <w:r>
        <w:rPr>
          <w:w w:val="99"/>
        </w:rPr>
        <w:t>the</w:t>
      </w:r>
      <w:r>
        <w:rPr>
          <w:spacing w:val="5"/>
        </w:rPr>
        <w:t> </w:t>
      </w:r>
      <w:r>
        <w:rPr>
          <w:w w:val="99"/>
        </w:rPr>
        <w:t>t</w:t>
      </w:r>
      <w:r>
        <w:rPr>
          <w:spacing w:val="-2"/>
          <w:w w:val="99"/>
        </w:rPr>
        <w:t>er</w:t>
      </w:r>
      <w:r>
        <w:rPr>
          <w:w w:val="99"/>
        </w:rPr>
        <w:t>m</w:t>
      </w:r>
      <w:r>
        <w:rPr>
          <w:spacing w:val="5"/>
        </w:rPr>
        <w:t> </w:t>
      </w:r>
      <w:r>
        <w:rPr>
          <w:spacing w:val="-1"/>
          <w:w w:val="99"/>
        </w:rPr>
        <w:t>o</w:t>
      </w:r>
      <w:r>
        <w:rPr>
          <w:w w:val="99"/>
        </w:rPr>
        <w:t>f</w:t>
      </w:r>
      <w:r>
        <w:rPr>
          <w:spacing w:val="5"/>
        </w:rPr>
        <w:t> </w:t>
      </w:r>
      <w:r>
        <w:rPr>
          <w:spacing w:val="-1"/>
          <w:w w:val="99"/>
        </w:rPr>
        <w:t>e</w:t>
      </w:r>
      <w:r>
        <w:rPr>
          <w:spacing w:val="-3"/>
          <w:w w:val="99"/>
        </w:rPr>
        <w:t>x</w:t>
      </w:r>
      <w:r>
        <w:rPr>
          <w:spacing w:val="-1"/>
          <w:w w:val="99"/>
        </w:rPr>
        <w:t>p</w:t>
      </w:r>
      <w:r>
        <w:rPr>
          <w:w w:val="99"/>
        </w:rPr>
        <w:t>r</w:t>
      </w:r>
      <w:r>
        <w:rPr>
          <w:spacing w:val="-1"/>
          <w:w w:val="99"/>
        </w:rPr>
        <w:t>essio</w:t>
      </w:r>
      <w:r>
        <w:rPr>
          <w:w w:val="99"/>
        </w:rPr>
        <w:t>n</w:t>
      </w:r>
      <w:r>
        <w:rPr>
          <w:w w:val="80"/>
        </w:rPr>
        <w:t>‖</w:t>
      </w:r>
      <w:r>
        <w:rPr>
          <w:w w:val="99"/>
        </w:rPr>
        <w:t>. </w:t>
      </w:r>
      <w:r>
        <w:rPr/>
        <w:t>What changes were made by </w:t>
      </w:r>
      <w:r>
        <w:rPr>
          <w:b/>
        </w:rPr>
        <w:t>Beveridge </w:t>
      </w:r>
      <w:r>
        <w:rPr/>
        <w:t>has not been explained. According to her,</w:t>
      </w:r>
      <w:r>
        <w:rPr>
          <w:spacing w:val="12"/>
        </w:rPr>
        <w:t> </w:t>
      </w:r>
      <w:r>
        <w:rPr/>
        <w:t>the</w:t>
      </w:r>
      <w:r>
        <w:rPr>
          <w:spacing w:val="11"/>
        </w:rPr>
        <w:t> </w:t>
      </w:r>
      <w:r>
        <w:rPr/>
        <w:t>text</w:t>
      </w:r>
      <w:r>
        <w:rPr>
          <w:spacing w:val="13"/>
        </w:rPr>
        <w:t> </w:t>
      </w:r>
      <w:r>
        <w:rPr/>
        <w:t>of</w:t>
      </w:r>
      <w:r>
        <w:rPr>
          <w:spacing w:val="12"/>
        </w:rPr>
        <w:t> </w:t>
      </w:r>
      <w:r>
        <w:rPr/>
        <w:t>the</w:t>
      </w:r>
      <w:r>
        <w:rPr>
          <w:spacing w:val="14"/>
        </w:rPr>
        <w:t> </w:t>
      </w:r>
      <w:r>
        <w:rPr/>
        <w:t>two</w:t>
      </w:r>
      <w:r>
        <w:rPr>
          <w:spacing w:val="12"/>
        </w:rPr>
        <w:t> </w:t>
      </w:r>
      <w:r>
        <w:rPr/>
        <w:t>inscriptions</w:t>
      </w:r>
      <w:r>
        <w:rPr>
          <w:spacing w:val="12"/>
        </w:rPr>
        <w:t> </w:t>
      </w:r>
      <w:r>
        <w:rPr/>
        <w:t>was</w:t>
      </w:r>
      <w:r>
        <w:rPr>
          <w:spacing w:val="13"/>
        </w:rPr>
        <w:t> </w:t>
      </w:r>
      <w:r>
        <w:rPr/>
        <w:t>incomplete</w:t>
      </w:r>
      <w:r>
        <w:rPr>
          <w:spacing w:val="12"/>
        </w:rPr>
        <w:t> </w:t>
      </w:r>
      <w:r>
        <w:rPr/>
        <w:t>and</w:t>
      </w:r>
      <w:r>
        <w:rPr>
          <w:spacing w:val="13"/>
        </w:rPr>
        <w:t> </w:t>
      </w:r>
      <w:r>
        <w:rPr/>
        <w:t>was</w:t>
      </w:r>
      <w:r>
        <w:rPr>
          <w:spacing w:val="10"/>
        </w:rPr>
        <w:t> </w:t>
      </w:r>
      <w:r>
        <w:rPr/>
        <w:t>not</w:t>
      </w:r>
      <w:r>
        <w:rPr>
          <w:spacing w:val="11"/>
        </w:rPr>
        <w:t> </w:t>
      </w:r>
      <w:r>
        <w:rPr/>
        <w:t>legible.</w:t>
      </w:r>
      <w:r>
        <w:rPr>
          <w:spacing w:val="12"/>
        </w:rPr>
        <w:t> </w:t>
      </w:r>
      <w:r>
        <w:rPr/>
        <w:t>The</w:t>
      </w:r>
      <w:r>
        <w:rPr>
          <w:spacing w:val="12"/>
        </w:rPr>
        <w:t> </w:t>
      </w:r>
      <w:r>
        <w:rPr/>
        <w:t>text</w:t>
      </w:r>
    </w:p>
    <w:p>
      <w:pPr>
        <w:spacing w:after="0" w:line="480" w:lineRule="auto"/>
        <w:jc w:val="both"/>
        <w:sectPr>
          <w:pgSz w:w="11910" w:h="16840"/>
          <w:pgMar w:header="721" w:footer="1014" w:top="1300" w:bottom="1200" w:left="940" w:right="1000"/>
        </w:sectPr>
      </w:pPr>
    </w:p>
    <w:p>
      <w:pPr>
        <w:pStyle w:val="BodyText"/>
        <w:spacing w:before="121"/>
        <w:ind w:left="500"/>
      </w:pPr>
      <w:r>
        <w:rPr/>
        <w:t>provided by </w:t>
      </w:r>
      <w:r>
        <w:rPr>
          <w:b/>
        </w:rPr>
        <w:t>Fuhrer </w:t>
      </w:r>
      <w:r>
        <w:rPr/>
        <w:t>shows that the construction of the mosque was not in 1528</w:t>
      </w:r>
    </w:p>
    <w:p>
      <w:pPr>
        <w:pStyle w:val="BodyText"/>
        <w:spacing w:before="3"/>
      </w:pPr>
    </w:p>
    <w:p>
      <w:pPr>
        <w:pStyle w:val="BodyText"/>
        <w:spacing w:line="480" w:lineRule="auto" w:before="1"/>
        <w:ind w:left="500" w:right="445"/>
        <w:jc w:val="both"/>
      </w:pPr>
      <w:r>
        <w:rPr/>
        <w:t>A.D. Inscription XLI mentions the name of Mir Khan while inscription XLII refers to the construction of the mosque as Hijri 930.</w:t>
      </w:r>
    </w:p>
    <w:p>
      <w:pPr>
        <w:pStyle w:val="BodyText"/>
        <w:spacing w:before="9"/>
        <w:rPr>
          <w:sz w:val="24"/>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Justice Sudhir Agarwal while adverting to the work of Ashraf Husain and Z </w:t>
      </w:r>
      <w:r>
        <w:rPr>
          <w:w w:val="99"/>
          <w:sz w:val="25"/>
        </w:rPr>
        <w:t>A</w:t>
      </w:r>
      <w:r>
        <w:rPr>
          <w:spacing w:val="15"/>
          <w:sz w:val="25"/>
        </w:rPr>
        <w:t> </w:t>
      </w:r>
      <w:r>
        <w:rPr>
          <w:w w:val="99"/>
          <w:sz w:val="25"/>
        </w:rPr>
        <w:t>Desai</w:t>
      </w:r>
      <w:r>
        <w:rPr>
          <w:spacing w:val="19"/>
          <w:sz w:val="25"/>
        </w:rPr>
        <w:t> </w:t>
      </w:r>
      <w:r>
        <w:rPr>
          <w:w w:val="99"/>
          <w:sz w:val="25"/>
        </w:rPr>
        <w:t>too</w:t>
      </w:r>
      <w:r>
        <w:rPr>
          <w:w w:val="99"/>
          <w:sz w:val="25"/>
        </w:rPr>
        <w:t>k</w:t>
      </w:r>
      <w:r>
        <w:rPr>
          <w:spacing w:val="18"/>
          <w:sz w:val="25"/>
        </w:rPr>
        <w:t> </w:t>
      </w:r>
      <w:r>
        <w:rPr>
          <w:color w:val="000009"/>
          <w:w w:val="99"/>
          <w:sz w:val="25"/>
        </w:rPr>
        <w:t>se</w:t>
      </w:r>
      <w:r>
        <w:rPr>
          <w:color w:val="000009"/>
          <w:spacing w:val="1"/>
          <w:w w:val="99"/>
          <w:sz w:val="25"/>
        </w:rPr>
        <w:t>r</w:t>
      </w:r>
      <w:r>
        <w:rPr>
          <w:color w:val="000009"/>
          <w:w w:val="99"/>
          <w:sz w:val="25"/>
        </w:rPr>
        <w:t>ious</w:t>
      </w:r>
      <w:r>
        <w:rPr>
          <w:color w:val="000009"/>
          <w:spacing w:val="20"/>
          <w:sz w:val="25"/>
        </w:rPr>
        <w:t> </w:t>
      </w:r>
      <w:r>
        <w:rPr>
          <w:spacing w:val="-1"/>
          <w:w w:val="99"/>
          <w:sz w:val="25"/>
        </w:rPr>
        <w:t>n</w:t>
      </w:r>
      <w:r>
        <w:rPr>
          <w:w w:val="99"/>
          <w:sz w:val="25"/>
        </w:rPr>
        <w:t>ote</w:t>
      </w:r>
      <w:r>
        <w:rPr>
          <w:spacing w:val="17"/>
          <w:sz w:val="25"/>
        </w:rPr>
        <w:t> </w:t>
      </w:r>
      <w:r>
        <w:rPr>
          <w:spacing w:val="-1"/>
          <w:w w:val="99"/>
          <w:sz w:val="25"/>
        </w:rPr>
        <w:t>o</w:t>
      </w:r>
      <w:r>
        <w:rPr>
          <w:w w:val="99"/>
          <w:sz w:val="25"/>
        </w:rPr>
        <w:t>f</w:t>
      </w:r>
      <w:r>
        <w:rPr>
          <w:spacing w:val="17"/>
          <w:sz w:val="25"/>
        </w:rPr>
        <w:t> </w:t>
      </w:r>
      <w:r>
        <w:rPr>
          <w:w w:val="99"/>
          <w:sz w:val="25"/>
        </w:rPr>
        <w:t>the</w:t>
      </w:r>
      <w:r>
        <w:rPr>
          <w:spacing w:val="17"/>
          <w:sz w:val="25"/>
        </w:rPr>
        <w:t> </w:t>
      </w:r>
      <w:r>
        <w:rPr>
          <w:w w:val="33"/>
          <w:sz w:val="25"/>
        </w:rPr>
        <w:t>―</w:t>
      </w:r>
      <w:r>
        <w:rPr>
          <w:w w:val="99"/>
          <w:sz w:val="25"/>
        </w:rPr>
        <w:t>falla</w:t>
      </w:r>
      <w:r>
        <w:rPr>
          <w:spacing w:val="2"/>
          <w:w w:val="99"/>
          <w:sz w:val="25"/>
        </w:rPr>
        <w:t>c</w:t>
      </w:r>
      <w:r>
        <w:rPr>
          <w:w w:val="99"/>
          <w:sz w:val="25"/>
        </w:rPr>
        <w:t>y</w:t>
      </w:r>
      <w:r>
        <w:rPr>
          <w:spacing w:val="14"/>
          <w:sz w:val="25"/>
        </w:rPr>
        <w:t> </w:t>
      </w:r>
      <w:r>
        <w:rPr>
          <w:spacing w:val="2"/>
          <w:w w:val="99"/>
          <w:sz w:val="25"/>
        </w:rPr>
        <w:t>a</w:t>
      </w:r>
      <w:r>
        <w:rPr>
          <w:spacing w:val="-1"/>
          <w:w w:val="99"/>
          <w:sz w:val="25"/>
        </w:rPr>
        <w:t>n</w:t>
      </w:r>
      <w:r>
        <w:rPr>
          <w:w w:val="99"/>
          <w:sz w:val="25"/>
        </w:rPr>
        <w:t>d</w:t>
      </w:r>
      <w:r>
        <w:rPr>
          <w:spacing w:val="17"/>
          <w:sz w:val="25"/>
        </w:rPr>
        <w:t> </w:t>
      </w:r>
      <w:r>
        <w:rPr>
          <w:w w:val="99"/>
          <w:sz w:val="25"/>
        </w:rPr>
        <w:t>co</w:t>
      </w:r>
      <w:r>
        <w:rPr>
          <w:spacing w:val="1"/>
          <w:w w:val="99"/>
          <w:sz w:val="25"/>
        </w:rPr>
        <w:t>m</w:t>
      </w:r>
      <w:r>
        <w:rPr>
          <w:spacing w:val="-1"/>
          <w:w w:val="99"/>
          <w:sz w:val="25"/>
        </w:rPr>
        <w:t>ple</w:t>
      </w:r>
      <w:r>
        <w:rPr>
          <w:w w:val="99"/>
          <w:sz w:val="25"/>
        </w:rPr>
        <w:t>te</w:t>
      </w:r>
      <w:r>
        <w:rPr>
          <w:spacing w:val="17"/>
          <w:sz w:val="25"/>
        </w:rPr>
        <w:t> </w:t>
      </w:r>
      <w:r>
        <w:rPr>
          <w:w w:val="99"/>
          <w:sz w:val="25"/>
        </w:rPr>
        <w:t>m</w:t>
      </w:r>
      <w:r>
        <w:rPr>
          <w:spacing w:val="-1"/>
          <w:w w:val="99"/>
          <w:sz w:val="25"/>
        </w:rPr>
        <w:t>isr</w:t>
      </w:r>
      <w:r>
        <w:rPr>
          <w:w w:val="99"/>
          <w:sz w:val="25"/>
        </w:rPr>
        <w:t>e</w:t>
      </w:r>
      <w:r>
        <w:rPr>
          <w:spacing w:val="-1"/>
          <w:w w:val="99"/>
          <w:sz w:val="25"/>
        </w:rPr>
        <w:t>p</w:t>
      </w:r>
      <w:r>
        <w:rPr>
          <w:w w:val="99"/>
          <w:sz w:val="25"/>
        </w:rPr>
        <w:t>r</w:t>
      </w:r>
      <w:r>
        <w:rPr>
          <w:spacing w:val="-1"/>
          <w:w w:val="99"/>
          <w:sz w:val="25"/>
        </w:rPr>
        <w:t>es</w:t>
      </w:r>
      <w:r>
        <w:rPr>
          <w:w w:val="99"/>
          <w:sz w:val="25"/>
        </w:rPr>
        <w:t>e</w:t>
      </w:r>
      <w:r>
        <w:rPr>
          <w:spacing w:val="-1"/>
          <w:w w:val="99"/>
          <w:sz w:val="25"/>
        </w:rPr>
        <w:t>nt</w:t>
      </w:r>
      <w:r>
        <w:rPr>
          <w:w w:val="99"/>
          <w:sz w:val="25"/>
        </w:rPr>
        <w:t>ation</w:t>
      </w:r>
      <w:r>
        <w:rPr>
          <w:w w:val="80"/>
          <w:sz w:val="25"/>
        </w:rPr>
        <w:t>‖</w:t>
      </w:r>
      <w:r>
        <w:rPr>
          <w:spacing w:val="17"/>
          <w:sz w:val="25"/>
        </w:rPr>
        <w:t> </w:t>
      </w:r>
      <w:r>
        <w:rPr>
          <w:spacing w:val="-1"/>
          <w:w w:val="99"/>
          <w:sz w:val="25"/>
        </w:rPr>
        <w:t>o</w:t>
      </w:r>
      <w:r>
        <w:rPr>
          <w:w w:val="99"/>
          <w:sz w:val="25"/>
        </w:rPr>
        <w:t>f</w:t>
      </w:r>
      <w:r>
        <w:rPr>
          <w:spacing w:val="17"/>
          <w:sz w:val="25"/>
        </w:rPr>
        <w:t> </w:t>
      </w:r>
      <w:r>
        <w:rPr>
          <w:w w:val="99"/>
          <w:sz w:val="25"/>
        </w:rPr>
        <w:t>the </w:t>
      </w:r>
      <w:r>
        <w:rPr>
          <w:sz w:val="25"/>
        </w:rPr>
        <w:t>author in publishing a text under the authority of the ASI without regard for its accuracy, correctness and</w:t>
      </w:r>
      <w:r>
        <w:rPr>
          <w:spacing w:val="-3"/>
          <w:sz w:val="25"/>
        </w:rPr>
        <w:t> </w:t>
      </w:r>
      <w:r>
        <w:rPr>
          <w:sz w:val="25"/>
        </w:rPr>
        <w:t>genuineness:</w:t>
      </w:r>
    </w:p>
    <w:p>
      <w:pPr>
        <w:spacing w:line="276" w:lineRule="auto" w:before="1"/>
        <w:ind w:left="1940" w:right="2262" w:firstLine="0"/>
        <w:jc w:val="both"/>
        <w:rPr>
          <w:sz w:val="21"/>
        </w:rPr>
      </w:pPr>
      <w:r>
        <w:rPr>
          <w:spacing w:val="-1"/>
          <w:w w:val="33"/>
          <w:sz w:val="21"/>
        </w:rPr>
        <w:t>―</w:t>
      </w:r>
      <w:r>
        <w:rPr>
          <w:spacing w:val="-1"/>
          <w:w w:val="100"/>
          <w:sz w:val="21"/>
        </w:rPr>
        <w:t>146</w:t>
      </w:r>
      <w:r>
        <w:rPr>
          <w:w w:val="100"/>
          <w:sz w:val="21"/>
        </w:rPr>
        <w:t>3.</w:t>
      </w:r>
      <w:r>
        <w:rPr>
          <w:spacing w:val="24"/>
          <w:sz w:val="21"/>
        </w:rPr>
        <w:t> </w:t>
      </w:r>
      <w:r>
        <w:rPr>
          <w:spacing w:val="6"/>
          <w:w w:val="100"/>
          <w:sz w:val="21"/>
        </w:rPr>
        <w:t>W</w:t>
      </w:r>
      <w:r>
        <w:rPr>
          <w:w w:val="100"/>
          <w:sz w:val="21"/>
        </w:rPr>
        <w:t>e</w:t>
      </w:r>
      <w:r>
        <w:rPr>
          <w:spacing w:val="27"/>
          <w:sz w:val="21"/>
        </w:rPr>
        <w:t> </w:t>
      </w:r>
      <w:r>
        <w:rPr>
          <w:spacing w:val="-1"/>
          <w:w w:val="100"/>
          <w:sz w:val="21"/>
        </w:rPr>
        <w:t>ar</w:t>
      </w:r>
      <w:r>
        <w:rPr>
          <w:w w:val="100"/>
          <w:sz w:val="21"/>
        </w:rPr>
        <w:t>e</w:t>
      </w:r>
      <w:r>
        <w:rPr>
          <w:sz w:val="21"/>
        </w:rPr>
        <w:t> </w:t>
      </w:r>
      <w:r>
        <w:rPr>
          <w:spacing w:val="-29"/>
          <w:sz w:val="21"/>
        </w:rPr>
        <w:t> </w:t>
      </w:r>
      <w:r>
        <w:rPr>
          <w:spacing w:val="-1"/>
          <w:w w:val="100"/>
          <w:sz w:val="21"/>
        </w:rPr>
        <w:t>extr</w:t>
      </w:r>
      <w:r>
        <w:rPr>
          <w:spacing w:val="-3"/>
          <w:w w:val="100"/>
          <w:sz w:val="21"/>
        </w:rPr>
        <w:t>e</w:t>
      </w:r>
      <w:r>
        <w:rPr>
          <w:spacing w:val="1"/>
          <w:w w:val="100"/>
          <w:sz w:val="21"/>
        </w:rPr>
        <w:t>m</w:t>
      </w:r>
      <w:r>
        <w:rPr>
          <w:spacing w:val="-3"/>
          <w:w w:val="100"/>
          <w:sz w:val="21"/>
        </w:rPr>
        <w:t>e</w:t>
      </w:r>
      <w:r>
        <w:rPr>
          <w:w w:val="100"/>
          <w:sz w:val="21"/>
        </w:rPr>
        <w:t>ly</w:t>
      </w:r>
      <w:r>
        <w:rPr>
          <w:sz w:val="21"/>
        </w:rPr>
        <w:t> </w:t>
      </w:r>
      <w:r>
        <w:rPr>
          <w:spacing w:val="-28"/>
          <w:sz w:val="21"/>
        </w:rPr>
        <w:t> </w:t>
      </w:r>
      <w:r>
        <w:rPr>
          <w:spacing w:val="-1"/>
          <w:w w:val="100"/>
          <w:sz w:val="21"/>
        </w:rPr>
        <w:t>per</w:t>
      </w:r>
      <w:r>
        <w:rPr>
          <w:spacing w:val="-2"/>
          <w:w w:val="100"/>
          <w:sz w:val="21"/>
        </w:rPr>
        <w:t>t</w:t>
      </w:r>
      <w:r>
        <w:rPr>
          <w:spacing w:val="-1"/>
          <w:w w:val="100"/>
          <w:sz w:val="21"/>
        </w:rPr>
        <w:t>ur</w:t>
      </w:r>
      <w:r>
        <w:rPr>
          <w:spacing w:val="-3"/>
          <w:w w:val="100"/>
          <w:sz w:val="21"/>
        </w:rPr>
        <w:t>b</w:t>
      </w:r>
      <w:r>
        <w:rPr>
          <w:spacing w:val="-1"/>
          <w:w w:val="100"/>
          <w:sz w:val="21"/>
        </w:rPr>
        <w:t>e</w:t>
      </w:r>
      <w:r>
        <w:rPr>
          <w:w w:val="100"/>
          <w:sz w:val="21"/>
        </w:rPr>
        <w:t>d</w:t>
      </w:r>
      <w:r>
        <w:rPr>
          <w:sz w:val="21"/>
        </w:rPr>
        <w:t> </w:t>
      </w:r>
      <w:r>
        <w:rPr>
          <w:spacing w:val="-28"/>
          <w:sz w:val="21"/>
        </w:rPr>
        <w:t> </w:t>
      </w:r>
      <w:r>
        <w:rPr>
          <w:spacing w:val="-1"/>
          <w:w w:val="100"/>
          <w:sz w:val="21"/>
        </w:rPr>
        <w:t>b</w:t>
      </w:r>
      <w:r>
        <w:rPr>
          <w:w w:val="100"/>
          <w:sz w:val="21"/>
        </w:rPr>
        <w:t>y</w:t>
      </w:r>
      <w:r>
        <w:rPr>
          <w:sz w:val="21"/>
        </w:rPr>
        <w:t> </w:t>
      </w:r>
      <w:r>
        <w:rPr>
          <w:spacing w:val="-29"/>
          <w:sz w:val="21"/>
        </w:rPr>
        <w:t> </w:t>
      </w:r>
      <w:r>
        <w:rPr>
          <w:spacing w:val="-2"/>
          <w:w w:val="100"/>
          <w:sz w:val="21"/>
        </w:rPr>
        <w:t>t</w:t>
      </w:r>
      <w:r>
        <w:rPr>
          <w:spacing w:val="-1"/>
          <w:w w:val="100"/>
          <w:sz w:val="21"/>
        </w:rPr>
        <w:t>h</w:t>
      </w:r>
      <w:r>
        <w:rPr>
          <w:w w:val="100"/>
          <w:sz w:val="21"/>
        </w:rPr>
        <w:t>e</w:t>
      </w:r>
      <w:r>
        <w:rPr>
          <w:sz w:val="21"/>
        </w:rPr>
        <w:t> </w:t>
      </w:r>
      <w:r>
        <w:rPr>
          <w:spacing w:val="-28"/>
          <w:sz w:val="21"/>
        </w:rPr>
        <w:t> </w:t>
      </w:r>
      <w:r>
        <w:rPr>
          <w:spacing w:val="-1"/>
          <w:w w:val="100"/>
          <w:sz w:val="21"/>
        </w:rPr>
        <w:t>man</w:t>
      </w:r>
      <w:r>
        <w:rPr>
          <w:spacing w:val="-2"/>
          <w:w w:val="100"/>
          <w:sz w:val="21"/>
        </w:rPr>
        <w:t>n</w:t>
      </w:r>
      <w:r>
        <w:rPr>
          <w:spacing w:val="-3"/>
          <w:w w:val="100"/>
          <w:sz w:val="21"/>
        </w:rPr>
        <w:t>e</w:t>
      </w:r>
      <w:r>
        <w:rPr>
          <w:w w:val="100"/>
          <w:sz w:val="21"/>
        </w:rPr>
        <w:t>r</w:t>
      </w:r>
      <w:r>
        <w:rPr>
          <w:sz w:val="21"/>
        </w:rPr>
        <w:t> </w:t>
      </w:r>
      <w:r>
        <w:rPr>
          <w:spacing w:val="-27"/>
          <w:sz w:val="21"/>
        </w:rPr>
        <w:t> </w:t>
      </w:r>
      <w:r>
        <w:rPr>
          <w:w w:val="100"/>
          <w:sz w:val="21"/>
        </w:rPr>
        <w:t>in</w:t>
      </w:r>
      <w:r>
        <w:rPr>
          <w:sz w:val="21"/>
        </w:rPr>
        <w:t> </w:t>
      </w:r>
      <w:r>
        <w:rPr>
          <w:spacing w:val="-29"/>
          <w:sz w:val="21"/>
        </w:rPr>
        <w:t> </w:t>
      </w:r>
      <w:r>
        <w:rPr>
          <w:spacing w:val="-2"/>
          <w:w w:val="100"/>
          <w:sz w:val="21"/>
        </w:rPr>
        <w:t>w</w:t>
      </w:r>
      <w:r>
        <w:rPr>
          <w:spacing w:val="-1"/>
          <w:w w:val="100"/>
          <w:sz w:val="21"/>
        </w:rPr>
        <w:t>h</w:t>
      </w:r>
      <w:r>
        <w:rPr>
          <w:spacing w:val="-2"/>
          <w:w w:val="100"/>
          <w:sz w:val="21"/>
        </w:rPr>
        <w:t>i</w:t>
      </w:r>
      <w:r>
        <w:rPr>
          <w:w w:val="100"/>
          <w:sz w:val="21"/>
        </w:rPr>
        <w:t>ch </w:t>
      </w:r>
      <w:r>
        <w:rPr>
          <w:sz w:val="21"/>
        </w:rPr>
        <w:t>Ashraf Husain/Desai have tried to give an impeccable authority to the texts of the alleged inscriptions which they claim to have existed on the disputed building though repeatedly said that the original text has disappeared. The fallacy and complete misrepresentation on the part of author in trying to give colour of truth to this text is writ large from a bare reading of the write up. </w:t>
      </w:r>
      <w:r>
        <w:rPr>
          <w:spacing w:val="3"/>
          <w:sz w:val="21"/>
        </w:rPr>
        <w:t>We </w:t>
      </w:r>
      <w:r>
        <w:rPr>
          <w:sz w:val="21"/>
        </w:rPr>
        <w:t>are really at pains to find that such blatant fallacious kind of material has been allowed to  be published in a book published under the authority of ASI, Government of India, without caring about its accuracy, correctness and genuineness of the</w:t>
      </w:r>
      <w:r>
        <w:rPr>
          <w:spacing w:val="-4"/>
          <w:sz w:val="21"/>
        </w:rPr>
        <w:t> </w:t>
      </w:r>
      <w:r>
        <w:rPr>
          <w:sz w:val="21"/>
        </w:rPr>
        <w:t>subject.</w:t>
      </w:r>
    </w:p>
    <w:p>
      <w:pPr>
        <w:spacing w:line="276" w:lineRule="auto" w:before="0"/>
        <w:ind w:left="1940" w:right="2259" w:firstLine="0"/>
        <w:jc w:val="both"/>
        <w:rPr>
          <w:sz w:val="21"/>
        </w:rPr>
      </w:pPr>
      <w:r>
        <w:rPr>
          <w:sz w:val="21"/>
        </w:rPr>
        <w:t>…Both these inscriptions i.e., the one claimed to be on the southern face of the pulpit and the other on the right hand side wall of the pulpit are said to be non-available by </w:t>
      </w:r>
      <w:r>
        <w:rPr>
          <w:spacing w:val="-1"/>
          <w:w w:val="100"/>
          <w:sz w:val="21"/>
        </w:rPr>
        <w:t>obser</w:t>
      </w:r>
      <w:r>
        <w:rPr>
          <w:spacing w:val="-3"/>
          <w:w w:val="100"/>
          <w:sz w:val="21"/>
        </w:rPr>
        <w:t>v</w:t>
      </w:r>
      <w:r>
        <w:rPr>
          <w:w w:val="100"/>
          <w:sz w:val="21"/>
        </w:rPr>
        <w:t>i</w:t>
      </w:r>
      <w:r>
        <w:rPr>
          <w:spacing w:val="-3"/>
          <w:w w:val="100"/>
          <w:sz w:val="21"/>
        </w:rPr>
        <w:t>n</w:t>
      </w:r>
      <w:r>
        <w:rPr>
          <w:w w:val="100"/>
          <w:sz w:val="21"/>
        </w:rPr>
        <w:t>g</w:t>
      </w:r>
      <w:r>
        <w:rPr>
          <w:sz w:val="21"/>
        </w:rPr>
        <w:t> </w:t>
      </w:r>
      <w:r>
        <w:rPr>
          <w:spacing w:val="-19"/>
          <w:sz w:val="21"/>
        </w:rPr>
        <w:t> </w:t>
      </w:r>
      <w:r>
        <w:rPr>
          <w:spacing w:val="-1"/>
          <w:w w:val="33"/>
          <w:sz w:val="21"/>
        </w:rPr>
        <w:t>―</w:t>
      </w:r>
      <w:r>
        <w:rPr>
          <w:spacing w:val="-1"/>
          <w:w w:val="100"/>
          <w:sz w:val="21"/>
        </w:rPr>
        <w:t>o</w:t>
      </w:r>
      <w:r>
        <w:rPr>
          <w:w w:val="100"/>
          <w:sz w:val="21"/>
        </w:rPr>
        <w:t>f</w:t>
      </w:r>
      <w:r>
        <w:rPr>
          <w:sz w:val="21"/>
        </w:rPr>
        <w:t> </w:t>
      </w:r>
      <w:r>
        <w:rPr>
          <w:spacing w:val="-18"/>
          <w:sz w:val="21"/>
        </w:rPr>
        <w:t> </w:t>
      </w:r>
      <w:r>
        <w:rPr>
          <w:spacing w:val="-4"/>
          <w:w w:val="100"/>
          <w:sz w:val="21"/>
        </w:rPr>
        <w:t>t</w:t>
      </w:r>
      <w:r>
        <w:rPr>
          <w:spacing w:val="-1"/>
          <w:w w:val="100"/>
          <w:sz w:val="21"/>
        </w:rPr>
        <w:t>hes</w:t>
      </w:r>
      <w:r>
        <w:rPr>
          <w:w w:val="100"/>
          <w:sz w:val="21"/>
        </w:rPr>
        <w:t>e</w:t>
      </w:r>
      <w:r>
        <w:rPr>
          <w:sz w:val="21"/>
        </w:rPr>
        <w:t> </w:t>
      </w:r>
      <w:r>
        <w:rPr>
          <w:spacing w:val="-19"/>
          <w:sz w:val="21"/>
        </w:rPr>
        <w:t> </w:t>
      </w:r>
      <w:r>
        <w:rPr>
          <w:spacing w:val="-2"/>
          <w:w w:val="100"/>
          <w:sz w:val="21"/>
        </w:rPr>
        <w:t>t</w:t>
      </w:r>
      <w:r>
        <w:rPr>
          <w:spacing w:val="-3"/>
          <w:w w:val="100"/>
          <w:sz w:val="21"/>
        </w:rPr>
        <w:t>h</w:t>
      </w:r>
      <w:r>
        <w:rPr>
          <w:w w:val="100"/>
          <w:sz w:val="21"/>
        </w:rPr>
        <w:t>e</w:t>
      </w:r>
      <w:r>
        <w:rPr>
          <w:sz w:val="21"/>
        </w:rPr>
        <w:t> </w:t>
      </w:r>
      <w:r>
        <w:rPr>
          <w:spacing w:val="-19"/>
          <w:sz w:val="21"/>
        </w:rPr>
        <w:t> </w:t>
      </w:r>
      <w:r>
        <w:rPr>
          <w:spacing w:val="-2"/>
          <w:w w:val="100"/>
          <w:sz w:val="21"/>
        </w:rPr>
        <w:t>l</w:t>
      </w:r>
      <w:r>
        <w:rPr>
          <w:spacing w:val="-1"/>
          <w:w w:val="100"/>
          <w:sz w:val="21"/>
        </w:rPr>
        <w:t>as</w:t>
      </w:r>
      <w:r>
        <w:rPr>
          <w:w w:val="100"/>
          <w:sz w:val="21"/>
        </w:rPr>
        <w:t>t</w:t>
      </w:r>
      <w:r>
        <w:rPr>
          <w:sz w:val="21"/>
        </w:rPr>
        <w:t> </w:t>
      </w:r>
      <w:r>
        <w:rPr>
          <w:spacing w:val="-20"/>
          <w:sz w:val="21"/>
        </w:rPr>
        <w:t> </w:t>
      </w:r>
      <w:r>
        <w:rPr>
          <w:spacing w:val="-1"/>
          <w:w w:val="100"/>
          <w:sz w:val="21"/>
        </w:rPr>
        <w:t>ment</w:t>
      </w:r>
      <w:r>
        <w:rPr>
          <w:spacing w:val="-2"/>
          <w:w w:val="100"/>
          <w:sz w:val="21"/>
        </w:rPr>
        <w:t>i</w:t>
      </w:r>
      <w:r>
        <w:rPr>
          <w:spacing w:val="-1"/>
          <w:w w:val="100"/>
          <w:sz w:val="21"/>
        </w:rPr>
        <w:t>on</w:t>
      </w:r>
      <w:r>
        <w:rPr>
          <w:spacing w:val="-2"/>
          <w:w w:val="100"/>
          <w:sz w:val="21"/>
        </w:rPr>
        <w:t>e</w:t>
      </w:r>
      <w:r>
        <w:rPr>
          <w:w w:val="100"/>
          <w:sz w:val="21"/>
        </w:rPr>
        <w:t>d</w:t>
      </w:r>
      <w:r>
        <w:rPr>
          <w:sz w:val="21"/>
        </w:rPr>
        <w:t> </w:t>
      </w:r>
      <w:r>
        <w:rPr>
          <w:spacing w:val="-19"/>
          <w:sz w:val="21"/>
        </w:rPr>
        <w:t> </w:t>
      </w:r>
      <w:r>
        <w:rPr>
          <w:spacing w:val="-2"/>
          <w:w w:val="100"/>
          <w:sz w:val="21"/>
        </w:rPr>
        <w:t>tw</w:t>
      </w:r>
      <w:r>
        <w:rPr>
          <w:w w:val="100"/>
          <w:sz w:val="21"/>
        </w:rPr>
        <w:t>o</w:t>
      </w:r>
      <w:r>
        <w:rPr>
          <w:sz w:val="21"/>
        </w:rPr>
        <w:t> </w:t>
      </w:r>
      <w:r>
        <w:rPr>
          <w:spacing w:val="-19"/>
          <w:sz w:val="21"/>
        </w:rPr>
        <w:t> </w:t>
      </w:r>
      <w:r>
        <w:rPr>
          <w:spacing w:val="-1"/>
          <w:w w:val="100"/>
          <w:sz w:val="21"/>
        </w:rPr>
        <w:t>e</w:t>
      </w:r>
      <w:r>
        <w:rPr>
          <w:spacing w:val="-3"/>
          <w:w w:val="100"/>
          <w:sz w:val="21"/>
        </w:rPr>
        <w:t>p</w:t>
      </w:r>
      <w:r>
        <w:rPr>
          <w:w w:val="100"/>
          <w:sz w:val="21"/>
        </w:rPr>
        <w:t>i</w:t>
      </w:r>
      <w:r>
        <w:rPr>
          <w:spacing w:val="-1"/>
          <w:w w:val="100"/>
          <w:sz w:val="21"/>
        </w:rPr>
        <w:t>g</w:t>
      </w:r>
      <w:r>
        <w:rPr>
          <w:spacing w:val="-3"/>
          <w:w w:val="100"/>
          <w:sz w:val="21"/>
        </w:rPr>
        <w:t>r</w:t>
      </w:r>
      <w:r>
        <w:rPr>
          <w:spacing w:val="-1"/>
          <w:w w:val="100"/>
          <w:sz w:val="21"/>
        </w:rPr>
        <w:t>aph</w:t>
      </w:r>
      <w:r>
        <w:rPr>
          <w:w w:val="100"/>
          <w:sz w:val="21"/>
        </w:rPr>
        <w:t>s</w:t>
      </w:r>
      <w:r>
        <w:rPr>
          <w:sz w:val="21"/>
        </w:rPr>
        <w:t> </w:t>
      </w:r>
      <w:r>
        <w:rPr>
          <w:spacing w:val="-17"/>
          <w:sz w:val="21"/>
        </w:rPr>
        <w:t> </w:t>
      </w:r>
      <w:r>
        <w:rPr>
          <w:w w:val="100"/>
          <w:sz w:val="21"/>
        </w:rPr>
        <w:t>ha</w:t>
      </w:r>
      <w:r>
        <w:rPr>
          <w:spacing w:val="-3"/>
          <w:w w:val="100"/>
          <w:sz w:val="21"/>
        </w:rPr>
        <w:t>v</w:t>
      </w:r>
      <w:r>
        <w:rPr>
          <w:w w:val="100"/>
          <w:sz w:val="21"/>
        </w:rPr>
        <w:t>e </w:t>
      </w:r>
      <w:r>
        <w:rPr>
          <w:sz w:val="21"/>
        </w:rPr>
        <w:t>disappeared‖. The time of disappearance according to Maulvi Ashraf Husain was 1934 A.D. when a communal riot took place at Ayodhya. However, he claimed to have got an inked rubbing on one of the two inscriptions from Syed Badrul Hasan of Faizabad. The whereabouts of Syed Badrul Hasan, who he was, what was his status, in what way and manner he could get that ink rubbing of the said inscription and what is the authenticity to believe it to be correct when original text of the inscription are not known. There is nothing to co-relate the text he got as the correct text of the inscription found in the disputed building claimed to have lost in</w:t>
      </w:r>
      <w:r>
        <w:rPr>
          <w:spacing w:val="-18"/>
          <w:sz w:val="21"/>
        </w:rPr>
        <w:t> </w:t>
      </w:r>
      <w:r>
        <w:rPr>
          <w:sz w:val="21"/>
        </w:rPr>
        <w:t>1934.‖</w:t>
      </w:r>
    </w:p>
    <w:p>
      <w:pPr>
        <w:pStyle w:val="BodyText"/>
        <w:rPr>
          <w:sz w:val="24"/>
        </w:rPr>
      </w:pPr>
    </w:p>
    <w:p>
      <w:pPr>
        <w:pStyle w:val="BodyText"/>
        <w:rPr>
          <w:sz w:val="24"/>
        </w:rPr>
      </w:pPr>
    </w:p>
    <w:p>
      <w:pPr>
        <w:pStyle w:val="BodyText"/>
        <w:spacing w:line="482" w:lineRule="auto" w:before="168"/>
        <w:ind w:left="500" w:right="512"/>
      </w:pPr>
      <w:r>
        <w:rPr/>
        <w:t>The High Court observed that two inscriptions, those on the southern face of the pulpit and on the wall on the right of the pulpit were not available. According to</w:t>
      </w:r>
    </w:p>
    <w:p>
      <w:pPr>
        <w:spacing w:after="0" w:line="482" w:lineRule="auto"/>
        <w:sectPr>
          <w:pgSz w:w="11910" w:h="16840"/>
          <w:pgMar w:header="721" w:footer="1014" w:top="1300" w:bottom="1200" w:left="940" w:right="1000"/>
        </w:sectPr>
      </w:pPr>
    </w:p>
    <w:p>
      <w:pPr>
        <w:pStyle w:val="BodyText"/>
        <w:spacing w:line="480" w:lineRule="auto" w:before="124"/>
        <w:ind w:left="500" w:right="436"/>
        <w:jc w:val="both"/>
      </w:pPr>
      <w:r>
        <w:rPr/>
        <w:t>Ashraf Husain, the epigraphs disappeared in 1934 at the time of the communal </w:t>
      </w:r>
      <w:r>
        <w:rPr>
          <w:w w:val="99"/>
        </w:rPr>
        <w:t>r</w:t>
      </w:r>
      <w:r>
        <w:rPr>
          <w:spacing w:val="-1"/>
          <w:w w:val="99"/>
        </w:rPr>
        <w:t>iot</w:t>
      </w:r>
      <w:r>
        <w:rPr>
          <w:w w:val="99"/>
        </w:rPr>
        <w:t>.</w:t>
      </w:r>
      <w:r>
        <w:rPr/>
        <w:t> </w:t>
      </w:r>
      <w:r>
        <w:rPr>
          <w:spacing w:val="-31"/>
        </w:rPr>
        <w:t> </w:t>
      </w:r>
      <w:r>
        <w:rPr>
          <w:spacing w:val="-1"/>
          <w:w w:val="99"/>
        </w:rPr>
        <w:t>Howe</w:t>
      </w:r>
      <w:r>
        <w:rPr>
          <w:spacing w:val="-3"/>
          <w:w w:val="99"/>
        </w:rPr>
        <w:t>v</w:t>
      </w:r>
      <w:r>
        <w:rPr>
          <w:spacing w:val="-1"/>
          <w:w w:val="99"/>
        </w:rPr>
        <w:t>e</w:t>
      </w:r>
      <w:r>
        <w:rPr>
          <w:w w:val="99"/>
        </w:rPr>
        <w:t>r,</w:t>
      </w:r>
      <w:r>
        <w:rPr/>
        <w:t> </w:t>
      </w:r>
      <w:r>
        <w:rPr>
          <w:spacing w:val="-31"/>
        </w:rPr>
        <w:t> </w:t>
      </w:r>
      <w:r>
        <w:rPr>
          <w:w w:val="99"/>
        </w:rPr>
        <w:t>r</w:t>
      </w:r>
      <w:r>
        <w:rPr>
          <w:spacing w:val="-1"/>
          <w:w w:val="99"/>
        </w:rPr>
        <w:t>elia</w:t>
      </w:r>
      <w:r>
        <w:rPr>
          <w:w w:val="99"/>
        </w:rPr>
        <w:t>n</w:t>
      </w:r>
      <w:r>
        <w:rPr>
          <w:spacing w:val="2"/>
          <w:w w:val="99"/>
        </w:rPr>
        <w:t>c</w:t>
      </w:r>
      <w:r>
        <w:rPr>
          <w:w w:val="99"/>
        </w:rPr>
        <w:t>e</w:t>
      </w:r>
      <w:r>
        <w:rPr/>
        <w:t> </w:t>
      </w:r>
      <w:r>
        <w:rPr>
          <w:spacing w:val="-31"/>
        </w:rPr>
        <w:t> </w:t>
      </w:r>
      <w:r>
        <w:rPr>
          <w:spacing w:val="-1"/>
          <w:w w:val="99"/>
        </w:rPr>
        <w:t>wa</w:t>
      </w:r>
      <w:r>
        <w:rPr>
          <w:w w:val="99"/>
        </w:rPr>
        <w:t>s</w:t>
      </w:r>
      <w:r>
        <w:rPr/>
        <w:t> </w:t>
      </w:r>
      <w:r>
        <w:rPr>
          <w:spacing w:val="-31"/>
        </w:rPr>
        <w:t> </w:t>
      </w:r>
      <w:r>
        <w:rPr>
          <w:w w:val="99"/>
        </w:rPr>
        <w:t>sou</w:t>
      </w:r>
      <w:r>
        <w:rPr>
          <w:spacing w:val="-1"/>
          <w:w w:val="99"/>
        </w:rPr>
        <w:t>g</w:t>
      </w:r>
      <w:r>
        <w:rPr>
          <w:w w:val="99"/>
        </w:rPr>
        <w:t>ht</w:t>
      </w:r>
      <w:r>
        <w:rPr/>
        <w:t> </w:t>
      </w:r>
      <w:r>
        <w:rPr>
          <w:spacing w:val="-31"/>
        </w:rPr>
        <w:t> </w:t>
      </w:r>
      <w:r>
        <w:rPr>
          <w:w w:val="99"/>
        </w:rPr>
        <w:t>to</w:t>
      </w:r>
      <w:r>
        <w:rPr/>
        <w:t> </w:t>
      </w:r>
      <w:r>
        <w:rPr>
          <w:spacing w:val="-31"/>
        </w:rPr>
        <w:t> </w:t>
      </w:r>
      <w:r>
        <w:rPr>
          <w:spacing w:val="-1"/>
          <w:w w:val="99"/>
        </w:rPr>
        <w:t>b</w:t>
      </w:r>
      <w:r>
        <w:rPr>
          <w:w w:val="99"/>
        </w:rPr>
        <w:t>e</w:t>
      </w:r>
      <w:r>
        <w:rPr/>
        <w:t> </w:t>
      </w:r>
      <w:r>
        <w:rPr>
          <w:spacing w:val="-31"/>
        </w:rPr>
        <w:t> </w:t>
      </w:r>
      <w:r>
        <w:rPr>
          <w:spacing w:val="-1"/>
          <w:w w:val="99"/>
        </w:rPr>
        <w:t>plac</w:t>
      </w:r>
      <w:r>
        <w:rPr>
          <w:w w:val="99"/>
        </w:rPr>
        <w:t>ed</w:t>
      </w:r>
      <w:r>
        <w:rPr/>
        <w:t> </w:t>
      </w:r>
      <w:r>
        <w:rPr>
          <w:spacing w:val="-31"/>
        </w:rPr>
        <w:t> </w:t>
      </w:r>
      <w:r>
        <w:rPr>
          <w:spacing w:val="-1"/>
          <w:w w:val="99"/>
        </w:rPr>
        <w:t>o</w:t>
      </w:r>
      <w:r>
        <w:rPr>
          <w:w w:val="99"/>
        </w:rPr>
        <w:t>n</w:t>
      </w:r>
      <w:r>
        <w:rPr/>
        <w:t> </w:t>
      </w:r>
      <w:r>
        <w:rPr>
          <w:spacing w:val="-31"/>
        </w:rPr>
        <w:t> </w:t>
      </w:r>
      <w:r>
        <w:rPr>
          <w:spacing w:val="-1"/>
          <w:w w:val="99"/>
        </w:rPr>
        <w:t>a</w:t>
      </w:r>
      <w:r>
        <w:rPr>
          <w:w w:val="99"/>
        </w:rPr>
        <w:t>n</w:t>
      </w:r>
      <w:r>
        <w:rPr/>
        <w:t> </w:t>
      </w:r>
      <w:r>
        <w:rPr>
          <w:spacing w:val="-31"/>
        </w:rPr>
        <w:t> </w:t>
      </w:r>
      <w:r>
        <w:rPr>
          <w:spacing w:val="-1"/>
          <w:w w:val="99"/>
        </w:rPr>
        <w:t>alle</w:t>
      </w:r>
      <w:r>
        <w:rPr>
          <w:w w:val="99"/>
        </w:rPr>
        <w:t>g</w:t>
      </w:r>
      <w:r>
        <w:rPr>
          <w:spacing w:val="-1"/>
          <w:w w:val="99"/>
        </w:rPr>
        <w:t>e</w:t>
      </w:r>
      <w:r>
        <w:rPr>
          <w:w w:val="99"/>
        </w:rPr>
        <w:t>d</w:t>
      </w:r>
      <w:r>
        <w:rPr/>
        <w:t> </w:t>
      </w:r>
      <w:r>
        <w:rPr>
          <w:spacing w:val="-31"/>
        </w:rPr>
        <w:t> </w:t>
      </w:r>
      <w:r>
        <w:rPr>
          <w:w w:val="33"/>
        </w:rPr>
        <w:t>―</w:t>
      </w:r>
      <w:r>
        <w:rPr>
          <w:spacing w:val="-1"/>
          <w:w w:val="99"/>
        </w:rPr>
        <w:t>inke</w:t>
      </w:r>
      <w:r>
        <w:rPr>
          <w:w w:val="99"/>
        </w:rPr>
        <w:t>d</w:t>
      </w:r>
      <w:r>
        <w:rPr/>
        <w:t> </w:t>
      </w:r>
      <w:r>
        <w:rPr>
          <w:spacing w:val="-31"/>
        </w:rPr>
        <w:t> </w:t>
      </w:r>
      <w:r>
        <w:rPr>
          <w:w w:val="99"/>
        </w:rPr>
        <w:t>r</w:t>
      </w:r>
      <w:r>
        <w:rPr>
          <w:spacing w:val="-1"/>
          <w:w w:val="99"/>
        </w:rPr>
        <w:t>u</w:t>
      </w:r>
      <w:r>
        <w:rPr>
          <w:w w:val="99"/>
        </w:rPr>
        <w:t>b</w:t>
      </w:r>
      <w:r>
        <w:rPr>
          <w:spacing w:val="-1"/>
          <w:w w:val="99"/>
        </w:rPr>
        <w:t>bin</w:t>
      </w:r>
      <w:r>
        <w:rPr>
          <w:w w:val="99"/>
        </w:rPr>
        <w:t>g</w:t>
      </w:r>
      <w:r>
        <w:rPr>
          <w:w w:val="80"/>
        </w:rPr>
        <w:t>‖ </w:t>
      </w:r>
      <w:r>
        <w:rPr/>
        <w:t>without explaining the identity or whereabouts of the person from whom it </w:t>
      </w:r>
      <w:r>
        <w:rPr>
          <w:spacing w:val="2"/>
        </w:rPr>
        <w:t>was </w:t>
      </w:r>
      <w:r>
        <w:rPr/>
        <w:t>obtained. The criticism of the High Court is not without basis. The identity of the individual from whom the inked rubbings were obtained was not explained. Nor was there any explanation about the manner in which he had in turn obtained it. There was indeed nothing to co-relate the text which that individual had obtained with the translation in the text compiled by Ashraf Husain and Z A Desai. The High Court</w:t>
      </w:r>
      <w:r>
        <w:rPr>
          <w:spacing w:val="-3"/>
        </w:rPr>
        <w:t> </w:t>
      </w:r>
      <w:r>
        <w:rPr/>
        <w:t>observed:</w:t>
      </w:r>
    </w:p>
    <w:p>
      <w:pPr>
        <w:spacing w:line="276" w:lineRule="auto" w:before="0"/>
        <w:ind w:left="1940" w:right="2262" w:firstLine="0"/>
        <w:jc w:val="both"/>
        <w:rPr>
          <w:sz w:val="21"/>
        </w:rPr>
      </w:pPr>
      <w:r>
        <w:rPr>
          <w:spacing w:val="-1"/>
          <w:w w:val="33"/>
          <w:sz w:val="21"/>
        </w:rPr>
        <w:t>―</w:t>
      </w:r>
      <w:r>
        <w:rPr>
          <w:spacing w:val="-1"/>
          <w:w w:val="100"/>
          <w:sz w:val="21"/>
        </w:rPr>
        <w:t>146</w:t>
      </w:r>
      <w:r>
        <w:rPr>
          <w:spacing w:val="-2"/>
          <w:w w:val="100"/>
          <w:sz w:val="21"/>
        </w:rPr>
        <w:t>4</w:t>
      </w:r>
      <w:r>
        <w:rPr>
          <w:spacing w:val="-5"/>
          <w:w w:val="100"/>
          <w:sz w:val="21"/>
        </w:rPr>
        <w:t>…</w:t>
      </w:r>
      <w:r>
        <w:rPr>
          <w:spacing w:val="6"/>
          <w:w w:val="100"/>
          <w:sz w:val="21"/>
        </w:rPr>
        <w:t>W</w:t>
      </w:r>
      <w:r>
        <w:rPr>
          <w:spacing w:val="-3"/>
          <w:w w:val="100"/>
          <w:sz w:val="21"/>
        </w:rPr>
        <w:t>he</w:t>
      </w:r>
      <w:r>
        <w:rPr>
          <w:w w:val="100"/>
          <w:sz w:val="21"/>
        </w:rPr>
        <w:t>n</w:t>
      </w:r>
      <w:r>
        <w:rPr>
          <w:sz w:val="21"/>
        </w:rPr>
        <w:t>  </w:t>
      </w:r>
      <w:r>
        <w:rPr>
          <w:spacing w:val="-2"/>
          <w:w w:val="100"/>
          <w:sz w:val="21"/>
        </w:rPr>
        <w:t>t</w:t>
      </w:r>
      <w:r>
        <w:rPr>
          <w:spacing w:val="-1"/>
          <w:w w:val="100"/>
          <w:sz w:val="21"/>
        </w:rPr>
        <w:t>h</w:t>
      </w:r>
      <w:r>
        <w:rPr>
          <w:w w:val="100"/>
          <w:sz w:val="21"/>
        </w:rPr>
        <w:t>e</w:t>
      </w:r>
      <w:r>
        <w:rPr>
          <w:sz w:val="21"/>
        </w:rPr>
        <w:t>  </w:t>
      </w:r>
      <w:r>
        <w:rPr>
          <w:spacing w:val="-1"/>
          <w:w w:val="100"/>
          <w:sz w:val="21"/>
        </w:rPr>
        <w:t>ori</w:t>
      </w:r>
      <w:r>
        <w:rPr>
          <w:spacing w:val="-2"/>
          <w:w w:val="100"/>
          <w:sz w:val="21"/>
        </w:rPr>
        <w:t>g</w:t>
      </w:r>
      <w:r>
        <w:rPr>
          <w:w w:val="100"/>
          <w:sz w:val="21"/>
        </w:rPr>
        <w:t>i</w:t>
      </w:r>
      <w:r>
        <w:rPr>
          <w:spacing w:val="-3"/>
          <w:w w:val="100"/>
          <w:sz w:val="21"/>
        </w:rPr>
        <w:t>na</w:t>
      </w:r>
      <w:r>
        <w:rPr>
          <w:w w:val="100"/>
          <w:sz w:val="21"/>
        </w:rPr>
        <w:t>l</w:t>
      </w:r>
      <w:r>
        <w:rPr>
          <w:sz w:val="21"/>
        </w:rPr>
        <w:t>  </w:t>
      </w:r>
      <w:r>
        <w:rPr>
          <w:spacing w:val="-2"/>
          <w:w w:val="100"/>
          <w:sz w:val="21"/>
        </w:rPr>
        <w:t>w</w:t>
      </w:r>
      <w:r>
        <w:rPr>
          <w:spacing w:val="-1"/>
          <w:w w:val="100"/>
          <w:sz w:val="21"/>
        </w:rPr>
        <w:t>a</w:t>
      </w:r>
      <w:r>
        <w:rPr>
          <w:w w:val="100"/>
          <w:sz w:val="21"/>
        </w:rPr>
        <w:t>s</w:t>
      </w:r>
      <w:r>
        <w:rPr>
          <w:sz w:val="21"/>
        </w:rPr>
        <w:t>  </w:t>
      </w:r>
      <w:r>
        <w:rPr>
          <w:spacing w:val="-3"/>
          <w:w w:val="100"/>
          <w:sz w:val="21"/>
        </w:rPr>
        <w:t>a</w:t>
      </w:r>
      <w:r>
        <w:rPr>
          <w:w w:val="100"/>
          <w:sz w:val="21"/>
        </w:rPr>
        <w:t>l</w:t>
      </w:r>
      <w:r>
        <w:rPr>
          <w:spacing w:val="-1"/>
          <w:w w:val="100"/>
          <w:sz w:val="21"/>
        </w:rPr>
        <w:t>re</w:t>
      </w:r>
      <w:r>
        <w:rPr>
          <w:spacing w:val="-3"/>
          <w:w w:val="100"/>
          <w:sz w:val="21"/>
        </w:rPr>
        <w:t>a</w:t>
      </w:r>
      <w:r>
        <w:rPr>
          <w:spacing w:val="-1"/>
          <w:w w:val="100"/>
          <w:sz w:val="21"/>
        </w:rPr>
        <w:t>d</w:t>
      </w:r>
      <w:r>
        <w:rPr>
          <w:w w:val="100"/>
          <w:sz w:val="21"/>
        </w:rPr>
        <w:t>y</w:t>
      </w:r>
      <w:r>
        <w:rPr>
          <w:sz w:val="21"/>
        </w:rPr>
        <w:t>  </w:t>
      </w:r>
      <w:r>
        <w:rPr>
          <w:w w:val="100"/>
          <w:sz w:val="21"/>
        </w:rPr>
        <w:t>l</w:t>
      </w:r>
      <w:r>
        <w:rPr>
          <w:spacing w:val="-1"/>
          <w:w w:val="100"/>
          <w:sz w:val="21"/>
        </w:rPr>
        <w:t>os</w:t>
      </w:r>
      <w:r>
        <w:rPr>
          <w:w w:val="100"/>
          <w:sz w:val="21"/>
        </w:rPr>
        <w:t>t</w:t>
      </w:r>
      <w:r>
        <w:rPr>
          <w:sz w:val="21"/>
        </w:rPr>
        <w:t>  </w:t>
      </w:r>
      <w:r>
        <w:rPr>
          <w:spacing w:val="-1"/>
          <w:w w:val="100"/>
          <w:sz w:val="21"/>
        </w:rPr>
        <w:t>an</w:t>
      </w:r>
      <w:r>
        <w:rPr>
          <w:w w:val="100"/>
          <w:sz w:val="21"/>
        </w:rPr>
        <w:t>d</w:t>
      </w:r>
      <w:r>
        <w:rPr>
          <w:sz w:val="21"/>
        </w:rPr>
        <w:t>  </w:t>
      </w:r>
      <w:r>
        <w:rPr>
          <w:spacing w:val="-4"/>
          <w:w w:val="100"/>
          <w:sz w:val="21"/>
        </w:rPr>
        <w:t>t</w:t>
      </w:r>
      <w:r>
        <w:rPr>
          <w:spacing w:val="-1"/>
          <w:w w:val="100"/>
          <w:sz w:val="21"/>
        </w:rPr>
        <w:t>her</w:t>
      </w:r>
      <w:r>
        <w:rPr>
          <w:w w:val="100"/>
          <w:sz w:val="21"/>
        </w:rPr>
        <w:t>e</w:t>
      </w:r>
      <w:r>
        <w:rPr>
          <w:sz w:val="21"/>
        </w:rPr>
        <w:t>  </w:t>
      </w:r>
      <w:r>
        <w:rPr>
          <w:spacing w:val="-2"/>
          <w:w w:val="100"/>
          <w:sz w:val="21"/>
        </w:rPr>
        <w:t>w</w:t>
      </w:r>
      <w:r>
        <w:rPr>
          <w:spacing w:val="-1"/>
          <w:w w:val="100"/>
          <w:sz w:val="21"/>
        </w:rPr>
        <w:t>as </w:t>
      </w:r>
      <w:r>
        <w:rPr>
          <w:sz w:val="21"/>
        </w:rPr>
        <w:t>nothing to verify the text of restored inscription with the original, neither the restored one can be relied upon nor is it understandable as to how he could have any occasion to compare the restored one with the alleged… original…‖</w:t>
      </w:r>
    </w:p>
    <w:p>
      <w:pPr>
        <w:pStyle w:val="BodyText"/>
        <w:rPr>
          <w:sz w:val="24"/>
        </w:rPr>
      </w:pPr>
    </w:p>
    <w:p>
      <w:pPr>
        <w:pStyle w:val="BodyText"/>
        <w:spacing w:before="208"/>
        <w:ind w:left="500"/>
        <w:jc w:val="both"/>
      </w:pPr>
      <w:r>
        <w:rPr/>
        <w:t>In this background, the High Court observed:</w:t>
      </w:r>
    </w:p>
    <w:p>
      <w:pPr>
        <w:pStyle w:val="BodyText"/>
        <w:spacing w:before="9"/>
        <w:rPr>
          <w:sz w:val="24"/>
        </w:rPr>
      </w:pPr>
    </w:p>
    <w:p>
      <w:pPr>
        <w:spacing w:line="276" w:lineRule="auto" w:before="0"/>
        <w:ind w:left="1940" w:right="2259" w:firstLine="0"/>
        <w:jc w:val="both"/>
        <w:rPr>
          <w:sz w:val="21"/>
        </w:rPr>
      </w:pPr>
      <w:r>
        <w:rPr>
          <w:spacing w:val="-1"/>
          <w:w w:val="33"/>
          <w:sz w:val="21"/>
        </w:rPr>
        <w:t>―</w:t>
      </w:r>
      <w:r>
        <w:rPr>
          <w:spacing w:val="-1"/>
          <w:w w:val="100"/>
          <w:sz w:val="21"/>
        </w:rPr>
        <w:t>146</w:t>
      </w:r>
      <w:r>
        <w:rPr>
          <w:spacing w:val="-2"/>
          <w:w w:val="100"/>
          <w:sz w:val="21"/>
        </w:rPr>
        <w:t>6</w:t>
      </w:r>
      <w:r>
        <w:rPr>
          <w:w w:val="100"/>
          <w:sz w:val="21"/>
        </w:rPr>
        <w:t>…</w:t>
      </w:r>
      <w:r>
        <w:rPr>
          <w:spacing w:val="-2"/>
          <w:w w:val="100"/>
          <w:sz w:val="21"/>
        </w:rPr>
        <w:t>T</w:t>
      </w:r>
      <w:r>
        <w:rPr>
          <w:spacing w:val="-1"/>
          <w:w w:val="100"/>
          <w:sz w:val="21"/>
        </w:rPr>
        <w:t>h</w:t>
      </w:r>
      <w:r>
        <w:rPr>
          <w:w w:val="100"/>
          <w:sz w:val="21"/>
        </w:rPr>
        <w:t>e</w:t>
      </w:r>
      <w:r>
        <w:rPr>
          <w:sz w:val="21"/>
        </w:rPr>
        <w:t> </w:t>
      </w:r>
      <w:r>
        <w:rPr>
          <w:spacing w:val="-28"/>
          <w:sz w:val="21"/>
        </w:rPr>
        <w:t> </w:t>
      </w:r>
      <w:r>
        <w:rPr>
          <w:spacing w:val="-2"/>
          <w:w w:val="100"/>
          <w:sz w:val="21"/>
        </w:rPr>
        <w:t>t</w:t>
      </w:r>
      <w:r>
        <w:rPr>
          <w:spacing w:val="-1"/>
          <w:w w:val="100"/>
          <w:sz w:val="21"/>
        </w:rPr>
        <w:t>ext</w:t>
      </w:r>
      <w:r>
        <w:rPr>
          <w:w w:val="100"/>
          <w:sz w:val="21"/>
        </w:rPr>
        <w:t>,</w:t>
      </w:r>
      <w:r>
        <w:rPr>
          <w:spacing w:val="29"/>
          <w:sz w:val="21"/>
        </w:rPr>
        <w:t> </w:t>
      </w:r>
      <w:r>
        <w:rPr>
          <w:spacing w:val="-3"/>
          <w:w w:val="100"/>
          <w:sz w:val="21"/>
        </w:rPr>
        <w:t>d</w:t>
      </w:r>
      <w:r>
        <w:rPr>
          <w:spacing w:val="-1"/>
          <w:w w:val="100"/>
          <w:sz w:val="21"/>
        </w:rPr>
        <w:t>esc</w:t>
      </w:r>
      <w:r>
        <w:rPr>
          <w:spacing w:val="-3"/>
          <w:w w:val="100"/>
          <w:sz w:val="21"/>
        </w:rPr>
        <w:t>r</w:t>
      </w:r>
      <w:r>
        <w:rPr>
          <w:w w:val="100"/>
          <w:sz w:val="21"/>
        </w:rPr>
        <w:t>i</w:t>
      </w:r>
      <w:r>
        <w:rPr>
          <w:spacing w:val="-1"/>
          <w:w w:val="100"/>
          <w:sz w:val="21"/>
        </w:rPr>
        <w:t>p</w:t>
      </w:r>
      <w:r>
        <w:rPr>
          <w:spacing w:val="-4"/>
          <w:w w:val="100"/>
          <w:sz w:val="21"/>
        </w:rPr>
        <w:t>t</w:t>
      </w:r>
      <w:r>
        <w:rPr>
          <w:w w:val="100"/>
          <w:sz w:val="21"/>
        </w:rPr>
        <w:t>i</w:t>
      </w:r>
      <w:r>
        <w:rPr>
          <w:spacing w:val="-1"/>
          <w:w w:val="100"/>
          <w:sz w:val="21"/>
        </w:rPr>
        <w:t>o</w:t>
      </w:r>
      <w:r>
        <w:rPr>
          <w:w w:val="100"/>
          <w:sz w:val="21"/>
        </w:rPr>
        <w:t>n</w:t>
      </w:r>
      <w:r>
        <w:rPr>
          <w:spacing w:val="28"/>
          <w:sz w:val="21"/>
        </w:rPr>
        <w:t> </w:t>
      </w:r>
      <w:r>
        <w:rPr>
          <w:spacing w:val="-1"/>
          <w:w w:val="100"/>
          <w:sz w:val="21"/>
        </w:rPr>
        <w:t>a</w:t>
      </w:r>
      <w:r>
        <w:rPr>
          <w:spacing w:val="-3"/>
          <w:w w:val="100"/>
          <w:sz w:val="21"/>
        </w:rPr>
        <w:t>n</w:t>
      </w:r>
      <w:r>
        <w:rPr>
          <w:w w:val="100"/>
          <w:sz w:val="21"/>
        </w:rPr>
        <w:t>d</w:t>
      </w:r>
      <w:r>
        <w:rPr>
          <w:sz w:val="21"/>
        </w:rPr>
        <w:t> </w:t>
      </w:r>
      <w:r>
        <w:rPr>
          <w:spacing w:val="-29"/>
          <w:sz w:val="21"/>
        </w:rPr>
        <w:t> </w:t>
      </w:r>
      <w:r>
        <w:rPr>
          <w:spacing w:val="-2"/>
          <w:w w:val="100"/>
          <w:sz w:val="21"/>
        </w:rPr>
        <w:t>w</w:t>
      </w:r>
      <w:r>
        <w:rPr>
          <w:spacing w:val="-1"/>
          <w:w w:val="100"/>
          <w:sz w:val="21"/>
        </w:rPr>
        <w:t>hate</w:t>
      </w:r>
      <w:r>
        <w:rPr>
          <w:spacing w:val="-3"/>
          <w:w w:val="100"/>
          <w:sz w:val="21"/>
        </w:rPr>
        <w:t>v</w:t>
      </w:r>
      <w:r>
        <w:rPr>
          <w:spacing w:val="-1"/>
          <w:w w:val="100"/>
          <w:sz w:val="21"/>
        </w:rPr>
        <w:t>e</w:t>
      </w:r>
      <w:r>
        <w:rPr>
          <w:w w:val="100"/>
          <w:sz w:val="21"/>
        </w:rPr>
        <w:t>r</w:t>
      </w:r>
      <w:r>
        <w:rPr>
          <w:sz w:val="21"/>
        </w:rPr>
        <w:t> </w:t>
      </w:r>
      <w:r>
        <w:rPr>
          <w:spacing w:val="-29"/>
          <w:sz w:val="21"/>
        </w:rPr>
        <w:t> </w:t>
      </w:r>
      <w:r>
        <w:rPr>
          <w:spacing w:val="-3"/>
          <w:w w:val="100"/>
          <w:sz w:val="21"/>
        </w:rPr>
        <w:t>h</w:t>
      </w:r>
      <w:r>
        <w:rPr>
          <w:spacing w:val="-1"/>
          <w:w w:val="100"/>
          <w:sz w:val="21"/>
        </w:rPr>
        <w:t>a</w:t>
      </w:r>
      <w:r>
        <w:rPr>
          <w:w w:val="100"/>
          <w:sz w:val="21"/>
        </w:rPr>
        <w:t>d</w:t>
      </w:r>
      <w:r>
        <w:rPr>
          <w:spacing w:val="28"/>
          <w:sz w:val="21"/>
        </w:rPr>
        <w:t> </w:t>
      </w:r>
      <w:r>
        <w:rPr>
          <w:spacing w:val="-1"/>
          <w:w w:val="100"/>
          <w:sz w:val="21"/>
        </w:rPr>
        <w:t>b</w:t>
      </w:r>
      <w:r>
        <w:rPr>
          <w:spacing w:val="-3"/>
          <w:w w:val="100"/>
          <w:sz w:val="21"/>
        </w:rPr>
        <w:t>e</w:t>
      </w:r>
      <w:r>
        <w:rPr>
          <w:spacing w:val="-1"/>
          <w:w w:val="100"/>
          <w:sz w:val="21"/>
        </w:rPr>
        <w:t>e</w:t>
      </w:r>
      <w:r>
        <w:rPr>
          <w:w w:val="100"/>
          <w:sz w:val="21"/>
        </w:rPr>
        <w:t>n</w:t>
      </w:r>
      <w:r>
        <w:rPr>
          <w:sz w:val="21"/>
        </w:rPr>
        <w:t> </w:t>
      </w:r>
      <w:r>
        <w:rPr>
          <w:spacing w:val="-28"/>
          <w:sz w:val="21"/>
        </w:rPr>
        <w:t> </w:t>
      </w:r>
      <w:r>
        <w:rPr>
          <w:spacing w:val="-3"/>
          <w:w w:val="100"/>
          <w:sz w:val="21"/>
        </w:rPr>
        <w:t>s</w:t>
      </w:r>
      <w:r>
        <w:rPr>
          <w:spacing w:val="-1"/>
          <w:w w:val="100"/>
          <w:sz w:val="21"/>
        </w:rPr>
        <w:t>e</w:t>
      </w:r>
      <w:r>
        <w:rPr>
          <w:w w:val="100"/>
          <w:sz w:val="21"/>
        </w:rPr>
        <w:t>t</w:t>
      </w:r>
      <w:r>
        <w:rPr>
          <w:sz w:val="21"/>
        </w:rPr>
        <w:t> </w:t>
      </w:r>
      <w:r>
        <w:rPr>
          <w:spacing w:val="-30"/>
          <w:sz w:val="21"/>
        </w:rPr>
        <w:t> </w:t>
      </w:r>
      <w:r>
        <w:rPr>
          <w:spacing w:val="-1"/>
          <w:w w:val="100"/>
          <w:sz w:val="21"/>
        </w:rPr>
        <w:t>up </w:t>
      </w:r>
      <w:r>
        <w:rPr>
          <w:sz w:val="21"/>
        </w:rPr>
        <w:t>by Ashraf Husain in respect of the above inscription is unbelievable and lacks trustworthiness. </w:t>
      </w:r>
      <w:r>
        <w:rPr>
          <w:spacing w:val="3"/>
          <w:sz w:val="21"/>
        </w:rPr>
        <w:t>We </w:t>
      </w:r>
      <w:r>
        <w:rPr>
          <w:sz w:val="21"/>
        </w:rPr>
        <w:t>are constrained to observe at this stage that in the matter of historical events and that too, when it bears a religious importance and the matter has also seen serious disputes between two communities, the persons who are connected with history… must behave responsibly and before making any write up, should check up, cross check and verify very carefully what they are writing since the consequences of their write up may be dangerous and</w:t>
      </w:r>
      <w:r>
        <w:rPr>
          <w:spacing w:val="-7"/>
          <w:sz w:val="21"/>
        </w:rPr>
        <w:t> </w:t>
      </w:r>
      <w:r>
        <w:rPr>
          <w:sz w:val="21"/>
        </w:rPr>
        <w:t>irreparable.‖</w:t>
      </w:r>
    </w:p>
    <w:p>
      <w:pPr>
        <w:pStyle w:val="BodyText"/>
        <w:spacing w:before="4"/>
        <w:rPr>
          <w:sz w:val="24"/>
        </w:rPr>
      </w:pPr>
    </w:p>
    <w:p>
      <w:pPr>
        <w:pStyle w:val="ListParagraph"/>
        <w:numPr>
          <w:ilvl w:val="0"/>
          <w:numId w:val="3"/>
        </w:numPr>
        <w:tabs>
          <w:tab w:pos="1221" w:val="left" w:leader="none"/>
        </w:tabs>
        <w:spacing w:line="480" w:lineRule="auto" w:before="1" w:after="0"/>
        <w:ind w:left="500" w:right="439" w:firstLine="0"/>
        <w:jc w:val="both"/>
        <w:rPr>
          <w:sz w:val="25"/>
        </w:rPr>
      </w:pPr>
      <w:r>
        <w:rPr>
          <w:sz w:val="25"/>
        </w:rPr>
        <w:t>A </w:t>
      </w:r>
      <w:r>
        <w:rPr>
          <w:color w:val="000009"/>
          <w:sz w:val="25"/>
        </w:rPr>
        <w:t>fourth </w:t>
      </w:r>
      <w:r>
        <w:rPr>
          <w:sz w:val="25"/>
        </w:rPr>
        <w:t>version of the inscriptions emerged pursuant to a direction of the Civil Judge dated 26 March 1946 in </w:t>
      </w:r>
      <w:r>
        <w:rPr>
          <w:b/>
          <w:sz w:val="25"/>
        </w:rPr>
        <w:t>Shia Central Waqf Board </w:t>
      </w:r>
      <w:r>
        <w:rPr>
          <w:sz w:val="25"/>
        </w:rPr>
        <w:t>v </w:t>
      </w:r>
      <w:r>
        <w:rPr>
          <w:b/>
          <w:sz w:val="25"/>
        </w:rPr>
        <w:t>Sunni Central Board of Waqf</w:t>
      </w:r>
      <w:r>
        <w:rPr>
          <w:sz w:val="25"/>
          <w:vertAlign w:val="superscript"/>
        </w:rPr>
        <w:t>29</w:t>
      </w:r>
      <w:r>
        <w:rPr>
          <w:sz w:val="25"/>
          <w:vertAlign w:val="baseline"/>
        </w:rPr>
        <w:t>. In pursuance of those directions, a person by the name of Sr. A</w:t>
      </w:r>
      <w:r>
        <w:rPr>
          <w:spacing w:val="8"/>
          <w:sz w:val="25"/>
          <w:vertAlign w:val="baseline"/>
        </w:rPr>
        <w:t> </w:t>
      </w:r>
      <w:r>
        <w:rPr>
          <w:sz w:val="25"/>
          <w:vertAlign w:val="baseline"/>
        </w:rPr>
        <w:t>Akhtar</w:t>
      </w:r>
      <w:r>
        <w:rPr>
          <w:spacing w:val="10"/>
          <w:sz w:val="25"/>
          <w:vertAlign w:val="baseline"/>
        </w:rPr>
        <w:t> </w:t>
      </w:r>
      <w:r>
        <w:rPr>
          <w:sz w:val="25"/>
          <w:vertAlign w:val="baseline"/>
        </w:rPr>
        <w:t>Abbas</w:t>
      </w:r>
      <w:r>
        <w:rPr>
          <w:spacing w:val="10"/>
          <w:sz w:val="25"/>
          <w:vertAlign w:val="baseline"/>
        </w:rPr>
        <w:t> </w:t>
      </w:r>
      <w:r>
        <w:rPr>
          <w:sz w:val="25"/>
          <w:vertAlign w:val="baseline"/>
        </w:rPr>
        <w:t>is</w:t>
      </w:r>
      <w:r>
        <w:rPr>
          <w:spacing w:val="10"/>
          <w:sz w:val="25"/>
          <w:vertAlign w:val="baseline"/>
        </w:rPr>
        <w:t> </w:t>
      </w:r>
      <w:r>
        <w:rPr>
          <w:sz w:val="25"/>
          <w:vertAlign w:val="baseline"/>
        </w:rPr>
        <w:t>stated</w:t>
      </w:r>
      <w:r>
        <w:rPr>
          <w:spacing w:val="10"/>
          <w:sz w:val="25"/>
          <w:vertAlign w:val="baseline"/>
        </w:rPr>
        <w:t> </w:t>
      </w:r>
      <w:r>
        <w:rPr>
          <w:sz w:val="25"/>
          <w:vertAlign w:val="baseline"/>
        </w:rPr>
        <w:t>to</w:t>
      </w:r>
      <w:r>
        <w:rPr>
          <w:spacing w:val="10"/>
          <w:sz w:val="25"/>
          <w:vertAlign w:val="baseline"/>
        </w:rPr>
        <w:t> </w:t>
      </w:r>
      <w:r>
        <w:rPr>
          <w:sz w:val="25"/>
          <w:vertAlign w:val="baseline"/>
        </w:rPr>
        <w:t>have</w:t>
      </w:r>
      <w:r>
        <w:rPr>
          <w:spacing w:val="10"/>
          <w:sz w:val="25"/>
          <w:vertAlign w:val="baseline"/>
        </w:rPr>
        <w:t> </w:t>
      </w:r>
      <w:r>
        <w:rPr>
          <w:sz w:val="25"/>
          <w:vertAlign w:val="baseline"/>
        </w:rPr>
        <w:t>read</w:t>
      </w:r>
      <w:r>
        <w:rPr>
          <w:spacing w:val="8"/>
          <w:sz w:val="25"/>
          <w:vertAlign w:val="baseline"/>
        </w:rPr>
        <w:t> </w:t>
      </w:r>
      <w:r>
        <w:rPr>
          <w:sz w:val="25"/>
          <w:vertAlign w:val="baseline"/>
        </w:rPr>
        <w:t>an</w:t>
      </w:r>
      <w:r>
        <w:rPr>
          <w:spacing w:val="10"/>
          <w:sz w:val="25"/>
          <w:vertAlign w:val="baseline"/>
        </w:rPr>
        <w:t> </w:t>
      </w:r>
      <w:r>
        <w:rPr>
          <w:sz w:val="25"/>
          <w:vertAlign w:val="baseline"/>
        </w:rPr>
        <w:t>inscription</w:t>
      </w:r>
      <w:r>
        <w:rPr>
          <w:spacing w:val="10"/>
          <w:sz w:val="25"/>
          <w:vertAlign w:val="baseline"/>
        </w:rPr>
        <w:t> </w:t>
      </w:r>
      <w:r>
        <w:rPr>
          <w:sz w:val="25"/>
          <w:vertAlign w:val="baseline"/>
        </w:rPr>
        <w:t>and</w:t>
      </w:r>
      <w:r>
        <w:rPr>
          <w:spacing w:val="10"/>
          <w:sz w:val="25"/>
          <w:vertAlign w:val="baseline"/>
        </w:rPr>
        <w:t> </w:t>
      </w:r>
      <w:r>
        <w:rPr>
          <w:sz w:val="25"/>
          <w:vertAlign w:val="baseline"/>
        </w:rPr>
        <w:t>prepared</w:t>
      </w:r>
      <w:r>
        <w:rPr>
          <w:spacing w:val="11"/>
          <w:sz w:val="25"/>
          <w:vertAlign w:val="baseline"/>
        </w:rPr>
        <w:t> </w:t>
      </w:r>
      <w:r>
        <w:rPr>
          <w:sz w:val="25"/>
          <w:vertAlign w:val="baseline"/>
        </w:rPr>
        <w:t>his</w:t>
      </w:r>
      <w:r>
        <w:rPr>
          <w:spacing w:val="10"/>
          <w:sz w:val="25"/>
          <w:vertAlign w:val="baseline"/>
        </w:rPr>
        <w:t> </w:t>
      </w:r>
      <w:r>
        <w:rPr>
          <w:sz w:val="25"/>
          <w:vertAlign w:val="baseline"/>
        </w:rPr>
        <w:t>inspection</w:t>
      </w:r>
    </w:p>
    <w:p>
      <w:pPr>
        <w:pStyle w:val="BodyText"/>
        <w:spacing w:before="8"/>
        <w:rPr>
          <w:sz w:val="29"/>
        </w:rPr>
      </w:pPr>
      <w:r>
        <w:rPr/>
        <w:pict>
          <v:rect style="position:absolute;margin-left:72.024002pt;margin-top:19.028761pt;width:144.020pt;height:.599980pt;mso-position-horizontal-relative:page;mso-position-vertical-relative:paragraph;z-index:-1571788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29</w:t>
      </w:r>
      <w:r>
        <w:rPr>
          <w:sz w:val="18"/>
          <w:vertAlign w:val="baseline"/>
        </w:rPr>
        <w:t> Regular Suit No 29 of 1945</w:t>
      </w:r>
    </w:p>
    <w:p>
      <w:pPr>
        <w:spacing w:after="0"/>
        <w:jc w:val="left"/>
        <w:rPr>
          <w:sz w:val="18"/>
        </w:rPr>
        <w:sectPr>
          <w:pgSz w:w="11910" w:h="16840"/>
          <w:pgMar w:header="721" w:footer="1014" w:top="1300" w:bottom="1200" w:left="940" w:right="1000"/>
        </w:sectPr>
      </w:pPr>
    </w:p>
    <w:p>
      <w:pPr>
        <w:pStyle w:val="BodyText"/>
        <w:spacing w:line="480" w:lineRule="auto" w:before="124"/>
        <w:ind w:left="500" w:right="443"/>
        <w:jc w:val="both"/>
      </w:pPr>
      <w:r>
        <w:rPr/>
        <w:t>note. The High Court, however, noted that the text as reproduced in the judgment </w:t>
      </w:r>
      <w:r>
        <w:rPr>
          <w:spacing w:val="-1"/>
          <w:w w:val="99"/>
        </w:rPr>
        <w:t>d</w:t>
      </w:r>
      <w:r>
        <w:rPr>
          <w:w w:val="99"/>
        </w:rPr>
        <w:t>ated</w:t>
      </w:r>
      <w:r>
        <w:rPr/>
        <w:t> </w:t>
      </w:r>
      <w:r>
        <w:rPr>
          <w:spacing w:val="-26"/>
        </w:rPr>
        <w:t> </w:t>
      </w:r>
      <w:r>
        <w:rPr>
          <w:spacing w:val="-1"/>
          <w:w w:val="99"/>
        </w:rPr>
        <w:t>3</w:t>
      </w:r>
      <w:r>
        <w:rPr>
          <w:w w:val="99"/>
        </w:rPr>
        <w:t>0</w:t>
      </w:r>
      <w:r>
        <w:rPr/>
        <w:t> </w:t>
      </w:r>
      <w:r>
        <w:rPr>
          <w:spacing w:val="-26"/>
        </w:rPr>
        <w:t> </w:t>
      </w:r>
      <w:r>
        <w:rPr>
          <w:spacing w:val="-4"/>
          <w:w w:val="99"/>
        </w:rPr>
        <w:t>M</w:t>
      </w:r>
      <w:r>
        <w:rPr>
          <w:spacing w:val="-1"/>
          <w:w w:val="99"/>
        </w:rPr>
        <w:t>a</w:t>
      </w:r>
      <w:r>
        <w:rPr>
          <w:w w:val="99"/>
        </w:rPr>
        <w:t>rch</w:t>
      </w:r>
      <w:r>
        <w:rPr/>
        <w:t> </w:t>
      </w:r>
      <w:r>
        <w:rPr>
          <w:spacing w:val="-26"/>
        </w:rPr>
        <w:t> </w:t>
      </w:r>
      <w:r>
        <w:rPr>
          <w:spacing w:val="-1"/>
          <w:w w:val="99"/>
        </w:rPr>
        <w:t>1</w:t>
      </w:r>
      <w:r>
        <w:rPr>
          <w:w w:val="99"/>
        </w:rPr>
        <w:t>9</w:t>
      </w:r>
      <w:r>
        <w:rPr>
          <w:spacing w:val="2"/>
          <w:w w:val="99"/>
        </w:rPr>
        <w:t>4</w:t>
      </w:r>
      <w:r>
        <w:rPr>
          <w:w w:val="99"/>
        </w:rPr>
        <w:t>6</w:t>
      </w:r>
      <w:r>
        <w:rPr/>
        <w:t> </w:t>
      </w:r>
      <w:r>
        <w:rPr>
          <w:spacing w:val="-26"/>
        </w:rPr>
        <w:t> </w:t>
      </w:r>
      <w:r>
        <w:rPr>
          <w:w w:val="99"/>
        </w:rPr>
        <w:t>stat</w:t>
      </w:r>
      <w:r>
        <w:rPr>
          <w:spacing w:val="-1"/>
          <w:w w:val="99"/>
        </w:rPr>
        <w:t>e</w:t>
      </w:r>
      <w:r>
        <w:rPr>
          <w:w w:val="99"/>
        </w:rPr>
        <w:t>s</w:t>
      </w:r>
      <w:r>
        <w:rPr/>
        <w:t> </w:t>
      </w:r>
      <w:r>
        <w:rPr>
          <w:spacing w:val="-26"/>
        </w:rPr>
        <w:t> </w:t>
      </w:r>
      <w:r>
        <w:rPr>
          <w:w w:val="99"/>
        </w:rPr>
        <w:t>that</w:t>
      </w:r>
      <w:r>
        <w:rPr/>
        <w:t> </w:t>
      </w:r>
      <w:r>
        <w:rPr>
          <w:spacing w:val="-27"/>
        </w:rPr>
        <w:t> </w:t>
      </w:r>
      <w:r>
        <w:rPr>
          <w:spacing w:val="-1"/>
          <w:w w:val="99"/>
        </w:rPr>
        <w:t>i</w:t>
      </w:r>
      <w:r>
        <w:rPr>
          <w:w w:val="99"/>
        </w:rPr>
        <w:t>n</w:t>
      </w:r>
      <w:r>
        <w:rPr/>
        <w:t> </w:t>
      </w:r>
      <w:r>
        <w:rPr>
          <w:spacing w:val="-27"/>
        </w:rPr>
        <w:t> </w:t>
      </w:r>
      <w:r>
        <w:rPr>
          <w:w w:val="99"/>
        </w:rPr>
        <w:t>the</w:t>
      </w:r>
      <w:r>
        <w:rPr/>
        <w:t> </w:t>
      </w:r>
      <w:r>
        <w:rPr>
          <w:spacing w:val="-26"/>
        </w:rPr>
        <w:t> </w:t>
      </w:r>
      <w:r>
        <w:rPr>
          <w:w w:val="99"/>
        </w:rPr>
        <w:t>f</w:t>
      </w:r>
      <w:r>
        <w:rPr>
          <w:spacing w:val="-3"/>
          <w:w w:val="99"/>
        </w:rPr>
        <w:t>i</w:t>
      </w:r>
      <w:r>
        <w:rPr>
          <w:w w:val="99"/>
        </w:rPr>
        <w:t>rst</w:t>
      </w:r>
      <w:r>
        <w:rPr/>
        <w:t> </w:t>
      </w:r>
      <w:r>
        <w:rPr>
          <w:spacing w:val="-27"/>
        </w:rPr>
        <w:t> </w:t>
      </w:r>
      <w:r>
        <w:rPr>
          <w:spacing w:val="-1"/>
          <w:w w:val="99"/>
        </w:rPr>
        <w:t>insc</w:t>
      </w:r>
      <w:r>
        <w:rPr>
          <w:w w:val="99"/>
        </w:rPr>
        <w:t>r</w:t>
      </w:r>
      <w:r>
        <w:rPr>
          <w:spacing w:val="-1"/>
          <w:w w:val="99"/>
        </w:rPr>
        <w:t>iptio</w:t>
      </w:r>
      <w:r>
        <w:rPr>
          <w:w w:val="99"/>
        </w:rPr>
        <w:t>n,</w:t>
      </w:r>
      <w:r>
        <w:rPr/>
        <w:t> </w:t>
      </w:r>
      <w:r>
        <w:rPr>
          <w:spacing w:val="-27"/>
        </w:rPr>
        <w:t> </w:t>
      </w:r>
      <w:r>
        <w:rPr>
          <w:w w:val="99"/>
        </w:rPr>
        <w:t>the</w:t>
      </w:r>
      <w:r>
        <w:rPr/>
        <w:t> </w:t>
      </w:r>
      <w:r>
        <w:rPr>
          <w:spacing w:val="-26"/>
        </w:rPr>
        <w:t> </w:t>
      </w:r>
      <w:r>
        <w:rPr>
          <w:spacing w:val="-1"/>
          <w:w w:val="99"/>
        </w:rPr>
        <w:t>wo</w:t>
      </w:r>
      <w:r>
        <w:rPr>
          <w:w w:val="99"/>
        </w:rPr>
        <w:t>r</w:t>
      </w:r>
      <w:r>
        <w:rPr>
          <w:spacing w:val="-1"/>
          <w:w w:val="99"/>
        </w:rPr>
        <w:t>d</w:t>
      </w:r>
      <w:r>
        <w:rPr>
          <w:w w:val="99"/>
        </w:rPr>
        <w:t>s</w:t>
      </w:r>
      <w:r>
        <w:rPr/>
        <w:t> </w:t>
      </w:r>
      <w:r>
        <w:rPr>
          <w:spacing w:val="-26"/>
        </w:rPr>
        <w:t> </w:t>
      </w:r>
      <w:r>
        <w:rPr>
          <w:spacing w:val="-1"/>
          <w:w w:val="99"/>
        </w:rPr>
        <w:t>a</w:t>
      </w:r>
      <w:r>
        <w:rPr>
          <w:w w:val="99"/>
        </w:rPr>
        <w:t>re</w:t>
      </w:r>
      <w:r>
        <w:rPr/>
        <w:t> </w:t>
      </w:r>
      <w:r>
        <w:rPr>
          <w:spacing w:val="-26"/>
        </w:rPr>
        <w:t> </w:t>
      </w:r>
      <w:r>
        <w:rPr>
          <w:w w:val="33"/>
        </w:rPr>
        <w:t>―</w:t>
      </w:r>
      <w:r>
        <w:rPr>
          <w:spacing w:val="-1"/>
          <w:w w:val="99"/>
        </w:rPr>
        <w:t>b</w:t>
      </w:r>
      <w:r>
        <w:rPr>
          <w:w w:val="99"/>
        </w:rPr>
        <w:t>y</w:t>
      </w:r>
      <w:r>
        <w:rPr/>
        <w:t> </w:t>
      </w:r>
      <w:r>
        <w:rPr>
          <w:spacing w:val="-29"/>
        </w:rPr>
        <w:t> </w:t>
      </w:r>
      <w:r>
        <w:rPr>
          <w:w w:val="99"/>
        </w:rPr>
        <w:t>the </w:t>
      </w:r>
      <w:r>
        <w:rPr/>
        <w:t>order</w:t>
      </w:r>
      <w:r>
        <w:rPr>
          <w:spacing w:val="20"/>
        </w:rPr>
        <w:t> </w:t>
      </w:r>
      <w:r>
        <w:rPr/>
        <w:t>of</w:t>
      </w:r>
      <w:r>
        <w:rPr>
          <w:spacing w:val="21"/>
        </w:rPr>
        <w:t> </w:t>
      </w:r>
      <w:r>
        <w:rPr/>
        <w:t>Shah</w:t>
      </w:r>
      <w:r>
        <w:rPr>
          <w:spacing w:val="20"/>
        </w:rPr>
        <w:t> </w:t>
      </w:r>
      <w:r>
        <w:rPr/>
        <w:t>Babar,</w:t>
      </w:r>
      <w:r>
        <w:rPr>
          <w:spacing w:val="18"/>
        </w:rPr>
        <w:t> </w:t>
      </w:r>
      <w:r>
        <w:rPr/>
        <w:t>Amir</w:t>
      </w:r>
      <w:r>
        <w:rPr>
          <w:spacing w:val="23"/>
        </w:rPr>
        <w:t> </w:t>
      </w:r>
      <w:r>
        <w:rPr/>
        <w:t>Mir</w:t>
      </w:r>
      <w:r>
        <w:rPr>
          <w:spacing w:val="21"/>
        </w:rPr>
        <w:t> </w:t>
      </w:r>
      <w:r>
        <w:rPr/>
        <w:t>Baki</w:t>
      </w:r>
      <w:r>
        <w:rPr>
          <w:spacing w:val="20"/>
        </w:rPr>
        <w:t> </w:t>
      </w:r>
      <w:r>
        <w:rPr/>
        <w:t>built</w:t>
      </w:r>
      <w:r>
        <w:rPr>
          <w:spacing w:val="20"/>
        </w:rPr>
        <w:t> </w:t>
      </w:r>
      <w:r>
        <w:rPr/>
        <w:t>the</w:t>
      </w:r>
      <w:r>
        <w:rPr>
          <w:spacing w:val="20"/>
        </w:rPr>
        <w:t> </w:t>
      </w:r>
      <w:r>
        <w:rPr/>
        <w:t>resting</w:t>
      </w:r>
      <w:r>
        <w:rPr>
          <w:spacing w:val="20"/>
        </w:rPr>
        <w:t> </w:t>
      </w:r>
      <w:r>
        <w:rPr/>
        <w:t>place</w:t>
      </w:r>
      <w:r>
        <w:rPr>
          <w:spacing w:val="21"/>
        </w:rPr>
        <w:t> </w:t>
      </w:r>
      <w:r>
        <w:rPr/>
        <w:t>of</w:t>
      </w:r>
      <w:r>
        <w:rPr>
          <w:spacing w:val="21"/>
        </w:rPr>
        <w:t> </w:t>
      </w:r>
      <w:r>
        <w:rPr/>
        <w:t>angels</w:t>
      </w:r>
      <w:r>
        <w:rPr>
          <w:spacing w:val="20"/>
        </w:rPr>
        <w:t> </w:t>
      </w:r>
      <w:r>
        <w:rPr/>
        <w:t>in</w:t>
      </w:r>
      <w:r>
        <w:rPr>
          <w:spacing w:val="20"/>
        </w:rPr>
        <w:t> </w:t>
      </w:r>
      <w:r>
        <w:rPr/>
        <w:t>923</w:t>
      </w:r>
      <w:r>
        <w:rPr>
          <w:spacing w:val="20"/>
        </w:rPr>
        <w:t> </w:t>
      </w:r>
      <w:r>
        <w:rPr/>
        <w:t>A.H.</w:t>
      </w:r>
    </w:p>
    <w:p>
      <w:pPr>
        <w:pStyle w:val="BodyText"/>
        <w:spacing w:line="480" w:lineRule="auto"/>
        <w:ind w:left="500" w:right="439"/>
        <w:jc w:val="both"/>
      </w:pPr>
      <w:r>
        <w:rPr>
          <w:w w:val="99"/>
        </w:rPr>
        <w:t>i.e.</w:t>
      </w:r>
      <w:r>
        <w:rPr>
          <w:spacing w:val="5"/>
        </w:rPr>
        <w:t> </w:t>
      </w:r>
      <w:r>
        <w:rPr>
          <w:w w:val="99"/>
        </w:rPr>
        <w:t>151</w:t>
      </w:r>
      <w:r>
        <w:rPr>
          <w:spacing w:val="1"/>
          <w:w w:val="99"/>
        </w:rPr>
        <w:t>6</w:t>
      </w:r>
      <w:r>
        <w:rPr>
          <w:w w:val="99"/>
        </w:rPr>
        <w:t>-</w:t>
      </w:r>
      <w:r>
        <w:rPr>
          <w:w w:val="99"/>
        </w:rPr>
        <w:t>17</w:t>
      </w:r>
      <w:r>
        <w:rPr>
          <w:spacing w:val="5"/>
        </w:rPr>
        <w:t> </w:t>
      </w:r>
      <w:r>
        <w:rPr>
          <w:spacing w:val="-1"/>
          <w:w w:val="99"/>
        </w:rPr>
        <w:t>A</w:t>
      </w:r>
      <w:r>
        <w:rPr>
          <w:w w:val="94"/>
        </w:rPr>
        <w:t>.D‖</w:t>
      </w:r>
      <w:r>
        <w:rPr>
          <w:w w:val="99"/>
        </w:rPr>
        <w:t>.</w:t>
      </w:r>
      <w:r>
        <w:rPr>
          <w:spacing w:val="5"/>
        </w:rPr>
        <w:t> </w:t>
      </w:r>
      <w:r>
        <w:rPr>
          <w:w w:val="99"/>
        </w:rPr>
        <w:t>In</w:t>
      </w:r>
      <w:r>
        <w:rPr>
          <w:spacing w:val="3"/>
        </w:rPr>
        <w:t> </w:t>
      </w:r>
      <w:r>
        <w:rPr>
          <w:spacing w:val="-2"/>
          <w:w w:val="99"/>
        </w:rPr>
        <w:t>r</w:t>
      </w:r>
      <w:r>
        <w:rPr>
          <w:spacing w:val="-1"/>
          <w:w w:val="99"/>
        </w:rPr>
        <w:t>es</w:t>
      </w:r>
      <w:r>
        <w:rPr>
          <w:w w:val="99"/>
        </w:rPr>
        <w:t>p</w:t>
      </w:r>
      <w:r>
        <w:rPr>
          <w:spacing w:val="-1"/>
          <w:w w:val="99"/>
        </w:rPr>
        <w:t>ec</w:t>
      </w:r>
      <w:r>
        <w:rPr>
          <w:w w:val="99"/>
        </w:rPr>
        <w:t>t</w:t>
      </w:r>
      <w:r>
        <w:rPr>
          <w:spacing w:val="5"/>
        </w:rPr>
        <w:t> </w:t>
      </w:r>
      <w:r>
        <w:rPr>
          <w:spacing w:val="-1"/>
          <w:w w:val="99"/>
        </w:rPr>
        <w:t>o</w:t>
      </w:r>
      <w:r>
        <w:rPr>
          <w:w w:val="99"/>
        </w:rPr>
        <w:t>f</w:t>
      </w:r>
      <w:r>
        <w:rPr>
          <w:spacing w:val="5"/>
        </w:rPr>
        <w:t> </w:t>
      </w:r>
      <w:r>
        <w:rPr>
          <w:w w:val="99"/>
        </w:rPr>
        <w:t>the</w:t>
      </w:r>
      <w:r>
        <w:rPr>
          <w:spacing w:val="5"/>
        </w:rPr>
        <w:t> </w:t>
      </w:r>
      <w:r>
        <w:rPr>
          <w:w w:val="99"/>
        </w:rPr>
        <w:t>seco</w:t>
      </w:r>
      <w:r>
        <w:rPr>
          <w:spacing w:val="-1"/>
          <w:w w:val="99"/>
        </w:rPr>
        <w:t>n</w:t>
      </w:r>
      <w:r>
        <w:rPr>
          <w:w w:val="99"/>
        </w:rPr>
        <w:t>d</w:t>
      </w:r>
      <w:r>
        <w:rPr>
          <w:spacing w:val="5"/>
        </w:rPr>
        <w:t> </w:t>
      </w:r>
      <w:r>
        <w:rPr>
          <w:spacing w:val="-3"/>
          <w:w w:val="99"/>
        </w:rPr>
        <w:t>i</w:t>
      </w:r>
      <w:r>
        <w:rPr>
          <w:spacing w:val="-1"/>
          <w:w w:val="99"/>
        </w:rPr>
        <w:t>nsc</w:t>
      </w:r>
      <w:r>
        <w:rPr>
          <w:w w:val="99"/>
        </w:rPr>
        <w:t>r</w:t>
      </w:r>
      <w:r>
        <w:rPr>
          <w:spacing w:val="-1"/>
          <w:w w:val="99"/>
        </w:rPr>
        <w:t>iptio</w:t>
      </w:r>
      <w:r>
        <w:rPr>
          <w:w w:val="99"/>
        </w:rPr>
        <w:t>n,</w:t>
      </w:r>
      <w:r>
        <w:rPr>
          <w:spacing w:val="5"/>
        </w:rPr>
        <w:t> </w:t>
      </w:r>
      <w:r>
        <w:rPr>
          <w:w w:val="99"/>
        </w:rPr>
        <w:t>there</w:t>
      </w:r>
      <w:r>
        <w:rPr>
          <w:spacing w:val="5"/>
        </w:rPr>
        <w:t> </w:t>
      </w:r>
      <w:r>
        <w:rPr>
          <w:spacing w:val="-1"/>
          <w:w w:val="99"/>
        </w:rPr>
        <w:t>i</w:t>
      </w:r>
      <w:r>
        <w:rPr>
          <w:w w:val="99"/>
        </w:rPr>
        <w:t>s</w:t>
      </w:r>
      <w:r>
        <w:rPr>
          <w:spacing w:val="4"/>
        </w:rPr>
        <w:t> </w:t>
      </w:r>
      <w:r>
        <w:rPr>
          <w:w w:val="99"/>
        </w:rPr>
        <w:t>a</w:t>
      </w:r>
      <w:r>
        <w:rPr>
          <w:spacing w:val="2"/>
        </w:rPr>
        <w:t> </w:t>
      </w:r>
      <w:r>
        <w:rPr>
          <w:spacing w:val="-2"/>
          <w:w w:val="99"/>
        </w:rPr>
        <w:t>r</w:t>
      </w:r>
      <w:r>
        <w:rPr>
          <w:spacing w:val="-1"/>
          <w:w w:val="99"/>
        </w:rPr>
        <w:t>ef</w:t>
      </w:r>
      <w:r>
        <w:rPr>
          <w:w w:val="99"/>
        </w:rPr>
        <w:t>er</w:t>
      </w:r>
      <w:r>
        <w:rPr>
          <w:spacing w:val="-1"/>
          <w:w w:val="99"/>
        </w:rPr>
        <w:t>e</w:t>
      </w:r>
      <w:r>
        <w:rPr>
          <w:w w:val="99"/>
        </w:rPr>
        <w:t>nce</w:t>
      </w:r>
      <w:r>
        <w:rPr>
          <w:spacing w:val="5"/>
        </w:rPr>
        <w:t> </w:t>
      </w:r>
      <w:r>
        <w:rPr>
          <w:w w:val="99"/>
        </w:rPr>
        <w:t>to</w:t>
      </w:r>
      <w:r>
        <w:rPr>
          <w:spacing w:val="5"/>
        </w:rPr>
        <w:t> </w:t>
      </w:r>
      <w:r>
        <w:rPr>
          <w:w w:val="33"/>
        </w:rPr>
        <w:t>―</w:t>
      </w:r>
      <w:r>
        <w:rPr>
          <w:spacing w:val="-4"/>
          <w:w w:val="99"/>
        </w:rPr>
        <w:t>M</w:t>
      </w:r>
      <w:r>
        <w:rPr>
          <w:spacing w:val="-1"/>
          <w:w w:val="99"/>
        </w:rPr>
        <w:t>ir </w:t>
      </w:r>
      <w:r>
        <w:rPr/>
        <w:t>Baki of Isphahan in 935 A.H. i.e. 1528-29 AD‖. The High Court observed that it was not apprised of whether in the entire Babur-Nama, there was a reference to any Mir Baki Isphahani though, there was a reference to Baki Tashkendi. Besides one of the two tablets was new and had been replaced for the original tablet which had been demolished during the communal riots of 1934. On the above state of the evidence, the High Court doubted the genuineness and authenticity of the transcripts of the inscriptions which were relied upon before</w:t>
      </w:r>
      <w:r>
        <w:rPr>
          <w:spacing w:val="-13"/>
        </w:rPr>
        <w:t> </w:t>
      </w:r>
      <w:r>
        <w:rPr/>
        <w:t>it.</w:t>
      </w:r>
    </w:p>
    <w:p>
      <w:pPr>
        <w:pStyle w:val="BodyText"/>
        <w:spacing w:before="10"/>
        <w:rPr>
          <w:sz w:val="24"/>
        </w:rPr>
      </w:pPr>
    </w:p>
    <w:p>
      <w:pPr>
        <w:pStyle w:val="ListParagraph"/>
        <w:numPr>
          <w:ilvl w:val="0"/>
          <w:numId w:val="3"/>
        </w:numPr>
        <w:tabs>
          <w:tab w:pos="1221" w:val="left" w:leader="none"/>
        </w:tabs>
        <w:spacing w:line="240" w:lineRule="auto" w:before="0" w:after="0"/>
        <w:ind w:left="1220" w:right="0" w:hanging="721"/>
        <w:jc w:val="both"/>
        <w:rPr>
          <w:sz w:val="25"/>
        </w:rPr>
      </w:pPr>
      <w:r>
        <w:rPr>
          <w:spacing w:val="-1"/>
          <w:w w:val="99"/>
          <w:sz w:val="25"/>
        </w:rPr>
        <w:t>A</w:t>
      </w:r>
      <w:r>
        <w:rPr>
          <w:w w:val="99"/>
          <w:sz w:val="25"/>
        </w:rPr>
        <w:t>t</w:t>
      </w:r>
      <w:r>
        <w:rPr>
          <w:spacing w:val="12"/>
          <w:sz w:val="25"/>
        </w:rPr>
        <w:t> </w:t>
      </w:r>
      <w:r>
        <w:rPr>
          <w:w w:val="99"/>
          <w:sz w:val="25"/>
        </w:rPr>
        <w:t>this</w:t>
      </w:r>
      <w:r>
        <w:rPr>
          <w:spacing w:val="12"/>
          <w:sz w:val="25"/>
        </w:rPr>
        <w:t> </w:t>
      </w:r>
      <w:r>
        <w:rPr>
          <w:w w:val="99"/>
          <w:sz w:val="25"/>
        </w:rPr>
        <w:t>stag</w:t>
      </w:r>
      <w:r>
        <w:rPr>
          <w:spacing w:val="-1"/>
          <w:w w:val="99"/>
          <w:sz w:val="25"/>
        </w:rPr>
        <w:t>e</w:t>
      </w:r>
      <w:r>
        <w:rPr>
          <w:w w:val="99"/>
          <w:sz w:val="25"/>
        </w:rPr>
        <w:t>,</w:t>
      </w:r>
      <w:r>
        <w:rPr>
          <w:spacing w:val="12"/>
          <w:sz w:val="25"/>
        </w:rPr>
        <w:t> </w:t>
      </w:r>
      <w:r>
        <w:rPr>
          <w:spacing w:val="-1"/>
          <w:w w:val="99"/>
          <w:sz w:val="25"/>
        </w:rPr>
        <w:t>i</w:t>
      </w:r>
      <w:r>
        <w:rPr>
          <w:w w:val="99"/>
          <w:sz w:val="25"/>
        </w:rPr>
        <w:t>t</w:t>
      </w:r>
      <w:r>
        <w:rPr>
          <w:spacing w:val="11"/>
          <w:sz w:val="25"/>
        </w:rPr>
        <w:t> </w:t>
      </w:r>
      <w:r>
        <w:rPr>
          <w:spacing w:val="-1"/>
          <w:w w:val="99"/>
          <w:sz w:val="25"/>
        </w:rPr>
        <w:t>i</w:t>
      </w:r>
      <w:r>
        <w:rPr>
          <w:w w:val="99"/>
          <w:sz w:val="25"/>
        </w:rPr>
        <w:t>s</w:t>
      </w:r>
      <w:r>
        <w:rPr>
          <w:spacing w:val="11"/>
          <w:sz w:val="25"/>
        </w:rPr>
        <w:t> </w:t>
      </w:r>
      <w:r>
        <w:rPr>
          <w:spacing w:val="-1"/>
          <w:w w:val="99"/>
          <w:sz w:val="25"/>
        </w:rPr>
        <w:t>n</w:t>
      </w:r>
      <w:r>
        <w:rPr>
          <w:w w:val="99"/>
          <w:sz w:val="25"/>
        </w:rPr>
        <w:t>e</w:t>
      </w:r>
      <w:r>
        <w:rPr>
          <w:spacing w:val="-3"/>
          <w:w w:val="99"/>
          <w:sz w:val="25"/>
        </w:rPr>
        <w:t>c</w:t>
      </w:r>
      <w:r>
        <w:rPr>
          <w:spacing w:val="-1"/>
          <w:w w:val="99"/>
          <w:sz w:val="25"/>
        </w:rPr>
        <w:t>ess</w:t>
      </w:r>
      <w:r>
        <w:rPr>
          <w:w w:val="99"/>
          <w:sz w:val="25"/>
        </w:rPr>
        <w:t>ary</w:t>
      </w:r>
      <w:r>
        <w:rPr>
          <w:spacing w:val="9"/>
          <w:sz w:val="25"/>
        </w:rPr>
        <w:t> </w:t>
      </w:r>
      <w:r>
        <w:rPr>
          <w:w w:val="99"/>
          <w:sz w:val="25"/>
        </w:rPr>
        <w:t>to</w:t>
      </w:r>
      <w:r>
        <w:rPr>
          <w:spacing w:val="12"/>
          <w:sz w:val="25"/>
        </w:rPr>
        <w:t> </w:t>
      </w:r>
      <w:r>
        <w:rPr>
          <w:w w:val="99"/>
          <w:sz w:val="25"/>
        </w:rPr>
        <w:t>m</w:t>
      </w:r>
      <w:r>
        <w:rPr>
          <w:spacing w:val="-1"/>
          <w:w w:val="99"/>
          <w:sz w:val="25"/>
        </w:rPr>
        <w:t>ak</w:t>
      </w:r>
      <w:r>
        <w:rPr>
          <w:w w:val="99"/>
          <w:sz w:val="25"/>
        </w:rPr>
        <w:t>e</w:t>
      </w:r>
      <w:r>
        <w:rPr>
          <w:spacing w:val="12"/>
          <w:sz w:val="25"/>
        </w:rPr>
        <w:t> </w:t>
      </w:r>
      <w:r>
        <w:rPr>
          <w:w w:val="99"/>
          <w:sz w:val="25"/>
        </w:rPr>
        <w:t>a</w:t>
      </w:r>
      <w:r>
        <w:rPr>
          <w:spacing w:val="12"/>
          <w:sz w:val="25"/>
        </w:rPr>
        <w:t> </w:t>
      </w:r>
      <w:r>
        <w:rPr>
          <w:w w:val="99"/>
          <w:sz w:val="25"/>
        </w:rPr>
        <w:t>r</w:t>
      </w:r>
      <w:r>
        <w:rPr>
          <w:spacing w:val="-1"/>
          <w:w w:val="99"/>
          <w:sz w:val="25"/>
        </w:rPr>
        <w:t>ef</w:t>
      </w:r>
      <w:r>
        <w:rPr>
          <w:spacing w:val="-2"/>
          <w:w w:val="99"/>
          <w:sz w:val="25"/>
        </w:rPr>
        <w:t>e</w:t>
      </w:r>
      <w:r>
        <w:rPr>
          <w:w w:val="99"/>
          <w:sz w:val="25"/>
        </w:rPr>
        <w:t>r</w:t>
      </w:r>
      <w:r>
        <w:rPr>
          <w:spacing w:val="-1"/>
          <w:w w:val="99"/>
          <w:sz w:val="25"/>
        </w:rPr>
        <w:t>e</w:t>
      </w:r>
      <w:r>
        <w:rPr>
          <w:w w:val="99"/>
          <w:sz w:val="25"/>
        </w:rPr>
        <w:t>nce</w:t>
      </w:r>
      <w:r>
        <w:rPr>
          <w:spacing w:val="12"/>
          <w:sz w:val="25"/>
        </w:rPr>
        <w:t> </w:t>
      </w:r>
      <w:r>
        <w:rPr>
          <w:w w:val="99"/>
          <w:sz w:val="25"/>
        </w:rPr>
        <w:t>to</w:t>
      </w:r>
      <w:r>
        <w:rPr>
          <w:spacing w:val="12"/>
          <w:sz w:val="25"/>
        </w:rPr>
        <w:t> </w:t>
      </w:r>
      <w:r>
        <w:rPr>
          <w:w w:val="99"/>
          <w:sz w:val="25"/>
        </w:rPr>
        <w:t>the</w:t>
      </w:r>
      <w:r>
        <w:rPr>
          <w:spacing w:val="10"/>
          <w:sz w:val="25"/>
        </w:rPr>
        <w:t> </w:t>
      </w:r>
      <w:r>
        <w:rPr>
          <w:spacing w:val="7"/>
          <w:w w:val="33"/>
          <w:sz w:val="25"/>
        </w:rPr>
        <w:t>―</w:t>
      </w:r>
      <w:r>
        <w:rPr>
          <w:b/>
          <w:spacing w:val="-2"/>
          <w:w w:val="99"/>
          <w:sz w:val="25"/>
        </w:rPr>
        <w:t>T</w:t>
      </w:r>
      <w:r>
        <w:rPr>
          <w:b/>
          <w:w w:val="99"/>
          <w:sz w:val="25"/>
        </w:rPr>
        <w:t>uzu</w:t>
      </w:r>
      <w:r>
        <w:rPr>
          <w:b/>
          <w:spacing w:val="1"/>
          <w:w w:val="99"/>
          <w:sz w:val="25"/>
        </w:rPr>
        <w:t>k</w:t>
      </w:r>
      <w:r>
        <w:rPr>
          <w:b/>
          <w:w w:val="99"/>
          <w:sz w:val="25"/>
        </w:rPr>
        <w:t>-</w:t>
      </w:r>
      <w:r>
        <w:rPr>
          <w:b/>
          <w:spacing w:val="-3"/>
          <w:w w:val="99"/>
          <w:sz w:val="25"/>
        </w:rPr>
        <w:t>i</w:t>
      </w:r>
      <w:r>
        <w:rPr>
          <w:b/>
          <w:w w:val="99"/>
          <w:sz w:val="25"/>
        </w:rPr>
        <w:t>-</w:t>
      </w:r>
      <w:r>
        <w:rPr>
          <w:b/>
          <w:w w:val="99"/>
          <w:sz w:val="25"/>
        </w:rPr>
        <w:t>Ba</w:t>
      </w:r>
      <w:r>
        <w:rPr>
          <w:b/>
          <w:spacing w:val="1"/>
          <w:w w:val="99"/>
          <w:sz w:val="25"/>
        </w:rPr>
        <w:t>b</w:t>
      </w:r>
      <w:r>
        <w:rPr>
          <w:b/>
          <w:spacing w:val="-1"/>
          <w:w w:val="99"/>
          <w:sz w:val="25"/>
        </w:rPr>
        <w:t>r</w:t>
      </w:r>
      <w:r>
        <w:rPr>
          <w:b/>
          <w:w w:val="99"/>
          <w:sz w:val="25"/>
        </w:rPr>
        <w:t>i</w:t>
      </w:r>
      <w:r>
        <w:rPr>
          <w:w w:val="80"/>
          <w:sz w:val="25"/>
        </w:rPr>
        <w:t>‖</w:t>
      </w:r>
      <w:r>
        <w:rPr>
          <w:spacing w:val="-1"/>
          <w:w w:val="101"/>
          <w:sz w:val="25"/>
          <w:vertAlign w:val="superscript"/>
        </w:rPr>
        <w:t>30</w:t>
      </w:r>
      <w:r>
        <w:rPr>
          <w:w w:val="99"/>
          <w:sz w:val="25"/>
          <w:vertAlign w:val="baseline"/>
        </w:rPr>
        <w:t>.</w:t>
      </w:r>
    </w:p>
    <w:p>
      <w:pPr>
        <w:pStyle w:val="BodyText"/>
        <w:spacing w:before="3"/>
      </w:pPr>
    </w:p>
    <w:p>
      <w:pPr>
        <w:pStyle w:val="BodyText"/>
        <w:spacing w:line="480" w:lineRule="auto"/>
        <w:ind w:left="500" w:right="442"/>
        <w:jc w:val="both"/>
      </w:pPr>
      <w:r>
        <w:rPr/>
        <w:t>The Babur-Nama contains the daily diary of Babur commencing from 899 Hijri (1494 AD). Out of the life span of Babur, a description of eighteen years is available over different periods. Babur came to India in 1526 A.D. The description available until his death is for the following periods, (noted by Justice Sudhir Agarwal):</w:t>
      </w:r>
    </w:p>
    <w:p>
      <w:pPr>
        <w:spacing w:line="239" w:lineRule="exact" w:before="0"/>
        <w:ind w:left="1940" w:right="0" w:firstLine="0"/>
        <w:jc w:val="left"/>
        <w:rPr>
          <w:sz w:val="21"/>
        </w:rPr>
      </w:pPr>
      <w:r>
        <w:rPr>
          <w:spacing w:val="-1"/>
          <w:w w:val="33"/>
          <w:sz w:val="21"/>
        </w:rPr>
        <w:t>―</w:t>
      </w:r>
      <w:r>
        <w:rPr>
          <w:spacing w:val="-1"/>
          <w:w w:val="100"/>
          <w:sz w:val="21"/>
        </w:rPr>
        <w:t>148</w:t>
      </w:r>
      <w:r>
        <w:rPr>
          <w:spacing w:val="-2"/>
          <w:w w:val="100"/>
          <w:sz w:val="21"/>
        </w:rPr>
        <w:t>7</w:t>
      </w:r>
      <w:r>
        <w:rPr>
          <w:w w:val="100"/>
          <w:sz w:val="21"/>
        </w:rPr>
        <w:t>…</w:t>
      </w:r>
    </w:p>
    <w:p>
      <w:pPr>
        <w:pStyle w:val="ListParagraph"/>
        <w:numPr>
          <w:ilvl w:val="0"/>
          <w:numId w:val="49"/>
        </w:numPr>
        <w:tabs>
          <w:tab w:pos="2229" w:val="left" w:leader="none"/>
        </w:tabs>
        <w:spacing w:line="276" w:lineRule="auto" w:before="37" w:after="0"/>
        <w:ind w:left="1940" w:right="2265" w:firstLine="0"/>
        <w:jc w:val="left"/>
        <w:rPr>
          <w:sz w:val="21"/>
        </w:rPr>
      </w:pPr>
      <w:r>
        <w:rPr>
          <w:sz w:val="21"/>
        </w:rPr>
        <w:t>From 1 Safar 932 Hijri (17 November 1525 AD) till 12 Rajab 934 Hijri (2nd April 1528</w:t>
      </w:r>
      <w:r>
        <w:rPr>
          <w:spacing w:val="-11"/>
          <w:sz w:val="21"/>
        </w:rPr>
        <w:t> </w:t>
      </w:r>
      <w:r>
        <w:rPr>
          <w:sz w:val="21"/>
        </w:rPr>
        <w:t>AD)</w:t>
      </w:r>
    </w:p>
    <w:p>
      <w:pPr>
        <w:pStyle w:val="ListParagraph"/>
        <w:numPr>
          <w:ilvl w:val="0"/>
          <w:numId w:val="49"/>
        </w:numPr>
        <w:tabs>
          <w:tab w:pos="2176" w:val="left" w:leader="none"/>
        </w:tabs>
        <w:spacing w:line="276" w:lineRule="auto" w:before="0" w:after="0"/>
        <w:ind w:left="1940" w:right="2265" w:firstLine="0"/>
        <w:jc w:val="left"/>
        <w:rPr>
          <w:sz w:val="21"/>
        </w:rPr>
      </w:pPr>
      <w:r>
        <w:rPr>
          <w:sz w:val="21"/>
        </w:rPr>
        <w:t>From 3 Muharram 934 Hijri (18th September 1528 AD) till 3 Moharram 936 Hijri (7th September 1529</w:t>
      </w:r>
      <w:r>
        <w:rPr>
          <w:spacing w:val="-14"/>
          <w:sz w:val="21"/>
        </w:rPr>
        <w:t> </w:t>
      </w:r>
      <w:r>
        <w:rPr>
          <w:sz w:val="21"/>
        </w:rPr>
        <w:t>AD).‖</w:t>
      </w:r>
    </w:p>
    <w:p>
      <w:pPr>
        <w:pStyle w:val="BodyText"/>
        <w:rPr>
          <w:sz w:val="24"/>
        </w:rPr>
      </w:pPr>
    </w:p>
    <w:p>
      <w:pPr>
        <w:pStyle w:val="BodyText"/>
        <w:rPr>
          <w:sz w:val="24"/>
        </w:rPr>
      </w:pPr>
    </w:p>
    <w:p>
      <w:pPr>
        <w:pStyle w:val="BodyText"/>
        <w:spacing w:line="480" w:lineRule="auto" w:before="167"/>
        <w:ind w:left="500" w:right="439"/>
        <w:jc w:val="both"/>
      </w:pPr>
      <w:r>
        <w:rPr/>
        <w:t>The records for the period from 2 April 1528 till 17 September 1528 are missing. Out of this period, the period from 2 April 1528 to 15 September 1528 was of</w:t>
      </w:r>
      <w:r>
        <w:rPr>
          <w:spacing w:val="57"/>
        </w:rPr>
        <w:t> </w:t>
      </w:r>
      <w:r>
        <w:rPr/>
        <w:t>934</w:t>
      </w:r>
    </w:p>
    <w:p>
      <w:pPr>
        <w:pStyle w:val="BodyText"/>
        <w:spacing w:before="1"/>
        <w:rPr>
          <w:sz w:val="24"/>
        </w:rPr>
      </w:pPr>
      <w:r>
        <w:rPr/>
        <w:pict>
          <v:rect style="position:absolute;margin-left:72.024002pt;margin-top:15.825879pt;width:144.020pt;height:.599980pt;mso-position-horizontal-relative:page;mso-position-vertical-relative:paragraph;z-index:-1571737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30</w:t>
      </w:r>
      <w:r>
        <w:rPr>
          <w:sz w:val="18"/>
          <w:vertAlign w:val="baseline"/>
        </w:rPr>
        <w:t> Rashid Akhtar Nadvi, Tuzk e Babri, Lahore: Sang e Mil (1995)</w:t>
      </w:r>
    </w:p>
    <w:p>
      <w:pPr>
        <w:spacing w:after="0"/>
        <w:jc w:val="left"/>
        <w:rPr>
          <w:sz w:val="18"/>
        </w:rPr>
        <w:sectPr>
          <w:headerReference w:type="default" r:id="rId36"/>
          <w:footerReference w:type="default" r:id="rId37"/>
          <w:pgSz w:w="11910" w:h="16840"/>
          <w:pgMar w:header="721" w:footer="1014" w:top="1300" w:bottom="1200" w:left="940" w:right="1000"/>
          <w:pgNumType w:start="95"/>
        </w:sectPr>
      </w:pPr>
    </w:p>
    <w:p>
      <w:pPr>
        <w:pStyle w:val="BodyText"/>
        <w:spacing w:line="480" w:lineRule="auto" w:before="124"/>
        <w:ind w:left="500" w:right="438"/>
        <w:jc w:val="both"/>
      </w:pPr>
      <w:r>
        <w:rPr/>
        <w:t>Hijri while the period from 15 September 1528 to 17 September 1528 was of 935 Hijri. Justice Sudhir Agarwal noted in the High Court that the crucial year was 935 Hijri and the missing record was only of three days.</w:t>
      </w:r>
    </w:p>
    <w:p>
      <w:pPr>
        <w:pStyle w:val="BodyText"/>
        <w:spacing w:before="10"/>
        <w:rPr>
          <w:sz w:val="24"/>
        </w:rPr>
      </w:pPr>
    </w:p>
    <w:p>
      <w:pPr>
        <w:pStyle w:val="BodyText"/>
        <w:spacing w:line="480" w:lineRule="auto"/>
        <w:ind w:left="500" w:right="447"/>
        <w:jc w:val="both"/>
      </w:pPr>
      <w:r>
        <w:rPr/>
        <w:t>Babur defeated Ibrahim Lodhi at Panipat on 20 April 1526. On 28 March 1528, Babur reached the junction of the rivers Ghaghara and Saryu. After a reference to the date 2 April 1528, there is a break until 15 September</w:t>
      </w:r>
      <w:r>
        <w:rPr>
          <w:spacing w:val="-9"/>
        </w:rPr>
        <w:t> </w:t>
      </w:r>
      <w:r>
        <w:rPr/>
        <w:t>1528.</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43" w:firstLine="0"/>
        <w:jc w:val="both"/>
        <w:rPr>
          <w:sz w:val="25"/>
        </w:rPr>
      </w:pPr>
      <w:r>
        <w:rPr>
          <w:b/>
          <w:sz w:val="25"/>
        </w:rPr>
        <w:t>Beveridge‘s </w:t>
      </w:r>
      <w:r>
        <w:rPr>
          <w:sz w:val="25"/>
        </w:rPr>
        <w:t>translation of Babur-Nama refers to the employment of artisans in the construction of buildings at several places including at Agra and Gwalior:</w:t>
      </w:r>
    </w:p>
    <w:p>
      <w:pPr>
        <w:spacing w:line="276" w:lineRule="auto" w:before="0"/>
        <w:ind w:left="1940" w:right="2261" w:firstLine="0"/>
        <w:jc w:val="both"/>
        <w:rPr>
          <w:sz w:val="21"/>
        </w:rPr>
      </w:pPr>
      <w:r>
        <w:rPr>
          <w:spacing w:val="-1"/>
          <w:w w:val="33"/>
          <w:sz w:val="21"/>
        </w:rPr>
        <w:t>―</w:t>
      </w:r>
      <w:r>
        <w:rPr>
          <w:spacing w:val="-1"/>
          <w:w w:val="100"/>
          <w:sz w:val="21"/>
        </w:rPr>
        <w:t>153</w:t>
      </w:r>
      <w:r>
        <w:rPr>
          <w:spacing w:val="-2"/>
          <w:w w:val="100"/>
          <w:sz w:val="21"/>
        </w:rPr>
        <w:t>3</w:t>
      </w:r>
      <w:r>
        <w:rPr>
          <w:w w:val="100"/>
          <w:sz w:val="21"/>
        </w:rPr>
        <w:t>…</w:t>
      </w:r>
      <w:r>
        <w:rPr>
          <w:sz w:val="21"/>
        </w:rPr>
        <w:t> </w:t>
      </w:r>
      <w:r>
        <w:rPr>
          <w:spacing w:val="27"/>
          <w:sz w:val="21"/>
        </w:rPr>
        <w:t> </w:t>
      </w:r>
      <w:r>
        <w:rPr>
          <w:w w:val="100"/>
          <w:sz w:val="21"/>
        </w:rPr>
        <w:t>A</w:t>
      </w:r>
      <w:r>
        <w:rPr>
          <w:spacing w:val="-3"/>
          <w:w w:val="100"/>
          <w:sz w:val="21"/>
        </w:rPr>
        <w:t>n</w:t>
      </w:r>
      <w:r>
        <w:rPr>
          <w:spacing w:val="-1"/>
          <w:w w:val="100"/>
          <w:sz w:val="21"/>
        </w:rPr>
        <w:t>othe</w:t>
      </w:r>
      <w:r>
        <w:rPr>
          <w:w w:val="100"/>
          <w:sz w:val="21"/>
        </w:rPr>
        <w:t>r</w:t>
      </w:r>
      <w:r>
        <w:rPr>
          <w:sz w:val="21"/>
        </w:rPr>
        <w:t> </w:t>
      </w:r>
      <w:r>
        <w:rPr>
          <w:spacing w:val="26"/>
          <w:sz w:val="21"/>
        </w:rPr>
        <w:t> </w:t>
      </w:r>
      <w:r>
        <w:rPr>
          <w:spacing w:val="-1"/>
          <w:w w:val="100"/>
          <w:sz w:val="21"/>
        </w:rPr>
        <w:t>g</w:t>
      </w:r>
      <w:r>
        <w:rPr>
          <w:spacing w:val="-3"/>
          <w:w w:val="100"/>
          <w:sz w:val="21"/>
        </w:rPr>
        <w:t>o</w:t>
      </w:r>
      <w:r>
        <w:rPr>
          <w:spacing w:val="-1"/>
          <w:w w:val="100"/>
          <w:sz w:val="21"/>
        </w:rPr>
        <w:t>o</w:t>
      </w:r>
      <w:r>
        <w:rPr>
          <w:w w:val="100"/>
          <w:sz w:val="21"/>
        </w:rPr>
        <w:t>d</w:t>
      </w:r>
      <w:r>
        <w:rPr>
          <w:sz w:val="21"/>
        </w:rPr>
        <w:t> </w:t>
      </w:r>
      <w:r>
        <w:rPr>
          <w:spacing w:val="27"/>
          <w:sz w:val="21"/>
        </w:rPr>
        <w:t> </w:t>
      </w:r>
      <w:r>
        <w:rPr>
          <w:spacing w:val="-4"/>
          <w:w w:val="100"/>
          <w:sz w:val="21"/>
        </w:rPr>
        <w:t>t</w:t>
      </w:r>
      <w:r>
        <w:rPr>
          <w:spacing w:val="-1"/>
          <w:w w:val="100"/>
          <w:sz w:val="21"/>
        </w:rPr>
        <w:t>h</w:t>
      </w:r>
      <w:r>
        <w:rPr>
          <w:spacing w:val="1"/>
          <w:w w:val="100"/>
          <w:sz w:val="21"/>
        </w:rPr>
        <w:t>i</w:t>
      </w:r>
      <w:r>
        <w:rPr>
          <w:spacing w:val="-3"/>
          <w:w w:val="100"/>
          <w:sz w:val="21"/>
        </w:rPr>
        <w:t>n</w:t>
      </w:r>
      <w:r>
        <w:rPr>
          <w:w w:val="100"/>
          <w:sz w:val="21"/>
        </w:rPr>
        <w:t>g</w:t>
      </w:r>
      <w:r>
        <w:rPr>
          <w:sz w:val="21"/>
        </w:rPr>
        <w:t> </w:t>
      </w:r>
      <w:r>
        <w:rPr>
          <w:spacing w:val="27"/>
          <w:sz w:val="21"/>
        </w:rPr>
        <w:t> </w:t>
      </w:r>
      <w:r>
        <w:rPr>
          <w:w w:val="100"/>
          <w:sz w:val="21"/>
        </w:rPr>
        <w:t>in</w:t>
      </w:r>
      <w:r>
        <w:rPr>
          <w:sz w:val="21"/>
        </w:rPr>
        <w:t> </w:t>
      </w:r>
      <w:r>
        <w:rPr>
          <w:spacing w:val="24"/>
          <w:sz w:val="21"/>
        </w:rPr>
        <w:t> </w:t>
      </w:r>
      <w:r>
        <w:rPr>
          <w:w w:val="100"/>
          <w:sz w:val="21"/>
        </w:rPr>
        <w:t>H</w:t>
      </w:r>
      <w:r>
        <w:rPr>
          <w:spacing w:val="-2"/>
          <w:w w:val="100"/>
          <w:sz w:val="21"/>
        </w:rPr>
        <w:t>i</w:t>
      </w:r>
      <w:r>
        <w:rPr>
          <w:spacing w:val="-1"/>
          <w:w w:val="100"/>
          <w:sz w:val="21"/>
        </w:rPr>
        <w:t>nd</w:t>
      </w:r>
      <w:r>
        <w:rPr>
          <w:spacing w:val="-2"/>
          <w:w w:val="100"/>
          <w:sz w:val="21"/>
        </w:rPr>
        <w:t>u</w:t>
      </w:r>
      <w:r>
        <w:rPr>
          <w:w w:val="100"/>
          <w:sz w:val="21"/>
        </w:rPr>
        <w:t>s</w:t>
      </w:r>
      <w:r>
        <w:rPr>
          <w:spacing w:val="-2"/>
          <w:w w:val="100"/>
          <w:sz w:val="21"/>
        </w:rPr>
        <w:t>t</w:t>
      </w:r>
      <w:r>
        <w:rPr>
          <w:spacing w:val="-1"/>
          <w:w w:val="100"/>
          <w:sz w:val="21"/>
        </w:rPr>
        <w:t>a</w:t>
      </w:r>
      <w:r>
        <w:rPr>
          <w:w w:val="100"/>
          <w:sz w:val="21"/>
        </w:rPr>
        <w:t>n</w:t>
      </w:r>
      <w:r>
        <w:rPr>
          <w:sz w:val="21"/>
        </w:rPr>
        <w:t> </w:t>
      </w:r>
      <w:r>
        <w:rPr>
          <w:spacing w:val="27"/>
          <w:sz w:val="21"/>
        </w:rPr>
        <w:t> </w:t>
      </w:r>
      <w:r>
        <w:rPr>
          <w:spacing w:val="-2"/>
          <w:w w:val="100"/>
          <w:sz w:val="21"/>
        </w:rPr>
        <w:t>i</w:t>
      </w:r>
      <w:r>
        <w:rPr>
          <w:w w:val="100"/>
          <w:sz w:val="21"/>
        </w:rPr>
        <w:t>s</w:t>
      </w:r>
      <w:r>
        <w:rPr>
          <w:sz w:val="21"/>
        </w:rPr>
        <w:t> </w:t>
      </w:r>
      <w:r>
        <w:rPr>
          <w:spacing w:val="27"/>
          <w:sz w:val="21"/>
        </w:rPr>
        <w:t> </w:t>
      </w:r>
      <w:r>
        <w:rPr>
          <w:spacing w:val="-2"/>
          <w:w w:val="100"/>
          <w:sz w:val="21"/>
        </w:rPr>
        <w:t>t</w:t>
      </w:r>
      <w:r>
        <w:rPr>
          <w:spacing w:val="-1"/>
          <w:w w:val="100"/>
          <w:sz w:val="21"/>
        </w:rPr>
        <w:t>ha</w:t>
      </w:r>
      <w:r>
        <w:rPr>
          <w:w w:val="100"/>
          <w:sz w:val="21"/>
        </w:rPr>
        <w:t>t</w:t>
      </w:r>
      <w:r>
        <w:rPr>
          <w:sz w:val="21"/>
        </w:rPr>
        <w:t> </w:t>
      </w:r>
      <w:r>
        <w:rPr>
          <w:spacing w:val="26"/>
          <w:sz w:val="21"/>
        </w:rPr>
        <w:t> </w:t>
      </w:r>
      <w:r>
        <w:rPr>
          <w:w w:val="100"/>
          <w:sz w:val="21"/>
        </w:rPr>
        <w:t>it</w:t>
      </w:r>
      <w:r>
        <w:rPr>
          <w:sz w:val="21"/>
        </w:rPr>
        <w:t> </w:t>
      </w:r>
      <w:r>
        <w:rPr>
          <w:spacing w:val="26"/>
          <w:sz w:val="21"/>
        </w:rPr>
        <w:t> </w:t>
      </w:r>
      <w:r>
        <w:rPr>
          <w:spacing w:val="-1"/>
          <w:w w:val="100"/>
          <w:sz w:val="21"/>
        </w:rPr>
        <w:t>has </w:t>
      </w:r>
      <w:r>
        <w:rPr>
          <w:sz w:val="21"/>
        </w:rPr>
        <w:t>unnumbered and endless workmen of every kind. There is a fixed caste (jam'i) for every sort of work and for everything, which has done that work or that thing from father to son till now. Mulla Sharaf, writing in the Zafar-nama about the building of Timur Beg's Stone Mosque, lays stress on the fact that on it 200 stone-cutters worked, from Azarbaijan, Fars, Hindustan and other countries. But 680 men worked daily on my buildings in Agra and of Agra stone-cutters only; while 1491 stone-cutters worked daily on my buildings in Agra, Sikri, Biana, Dulpur, Gualiar and Kuil. In the same way there are numberless artisans and workmen of every sort in Hindustan.‖</w:t>
      </w:r>
    </w:p>
    <w:p>
      <w:pPr>
        <w:pStyle w:val="BodyText"/>
        <w:spacing w:before="1"/>
      </w:pPr>
    </w:p>
    <w:p>
      <w:pPr>
        <w:pStyle w:val="BodyText"/>
        <w:spacing w:before="1"/>
        <w:ind w:left="500"/>
        <w:jc w:val="both"/>
      </w:pPr>
      <w:r>
        <w:rPr/>
        <w:t>In this context, Justice Agarwal observed:</w:t>
      </w:r>
    </w:p>
    <w:p>
      <w:pPr>
        <w:pStyle w:val="BodyText"/>
      </w:pPr>
    </w:p>
    <w:p>
      <w:pPr>
        <w:spacing w:line="276" w:lineRule="auto" w:before="0"/>
        <w:ind w:left="1940" w:right="2260" w:firstLine="0"/>
        <w:jc w:val="both"/>
        <w:rPr>
          <w:sz w:val="21"/>
        </w:rPr>
      </w:pPr>
      <w:r>
        <w:rPr>
          <w:spacing w:val="-1"/>
          <w:w w:val="33"/>
          <w:sz w:val="21"/>
        </w:rPr>
        <w:t>―</w:t>
      </w:r>
      <w:r>
        <w:rPr>
          <w:spacing w:val="-1"/>
          <w:w w:val="100"/>
          <w:sz w:val="21"/>
        </w:rPr>
        <w:t>153</w:t>
      </w:r>
      <w:r>
        <w:rPr>
          <w:w w:val="100"/>
          <w:sz w:val="21"/>
        </w:rPr>
        <w:t>4.</w:t>
      </w:r>
      <w:r>
        <w:rPr>
          <w:sz w:val="21"/>
        </w:rPr>
        <w:t> </w:t>
      </w:r>
      <w:r>
        <w:rPr>
          <w:spacing w:val="28"/>
          <w:sz w:val="21"/>
        </w:rPr>
        <w:t> </w:t>
      </w:r>
      <w:r>
        <w:rPr>
          <w:w w:val="100"/>
          <w:sz w:val="21"/>
        </w:rPr>
        <w:t>Th</w:t>
      </w:r>
      <w:r>
        <w:rPr>
          <w:spacing w:val="-1"/>
          <w:w w:val="100"/>
          <w:sz w:val="21"/>
        </w:rPr>
        <w:t>e</w:t>
      </w:r>
      <w:r>
        <w:rPr>
          <w:spacing w:val="-3"/>
          <w:w w:val="100"/>
          <w:sz w:val="21"/>
        </w:rPr>
        <w:t>r</w:t>
      </w:r>
      <w:r>
        <w:rPr>
          <w:w w:val="100"/>
          <w:sz w:val="21"/>
        </w:rPr>
        <w:t>e</w:t>
      </w:r>
      <w:r>
        <w:rPr>
          <w:sz w:val="21"/>
        </w:rPr>
        <w:t>  </w:t>
      </w:r>
      <w:r>
        <w:rPr>
          <w:spacing w:val="-27"/>
          <w:sz w:val="21"/>
        </w:rPr>
        <w:t> </w:t>
      </w:r>
      <w:r>
        <w:rPr>
          <w:spacing w:val="-2"/>
          <w:w w:val="100"/>
          <w:sz w:val="21"/>
        </w:rPr>
        <w:t>i</w:t>
      </w:r>
      <w:r>
        <w:rPr>
          <w:w w:val="100"/>
          <w:sz w:val="21"/>
        </w:rPr>
        <w:t>s</w:t>
      </w:r>
      <w:r>
        <w:rPr>
          <w:sz w:val="21"/>
        </w:rPr>
        <w:t>  </w:t>
      </w:r>
      <w:r>
        <w:rPr>
          <w:spacing w:val="-29"/>
          <w:sz w:val="21"/>
        </w:rPr>
        <w:t> </w:t>
      </w:r>
      <w:r>
        <w:rPr>
          <w:spacing w:val="1"/>
          <w:w w:val="100"/>
          <w:sz w:val="21"/>
        </w:rPr>
        <w:t>m</w:t>
      </w:r>
      <w:r>
        <w:rPr>
          <w:spacing w:val="-3"/>
          <w:w w:val="100"/>
          <w:sz w:val="21"/>
        </w:rPr>
        <w:t>e</w:t>
      </w:r>
      <w:r>
        <w:rPr>
          <w:spacing w:val="-1"/>
          <w:w w:val="100"/>
          <w:sz w:val="21"/>
        </w:rPr>
        <w:t>nt</w:t>
      </w:r>
      <w:r>
        <w:rPr>
          <w:w w:val="100"/>
          <w:sz w:val="21"/>
        </w:rPr>
        <w:t>i</w:t>
      </w:r>
      <w:r>
        <w:rPr>
          <w:spacing w:val="-3"/>
          <w:w w:val="100"/>
          <w:sz w:val="21"/>
        </w:rPr>
        <w:t>o</w:t>
      </w:r>
      <w:r>
        <w:rPr>
          <w:w w:val="100"/>
          <w:sz w:val="21"/>
        </w:rPr>
        <w:t>n</w:t>
      </w:r>
      <w:r>
        <w:rPr>
          <w:sz w:val="21"/>
        </w:rPr>
        <w:t>  </w:t>
      </w:r>
      <w:r>
        <w:rPr>
          <w:spacing w:val="-27"/>
          <w:sz w:val="21"/>
        </w:rPr>
        <w:t> </w:t>
      </w:r>
      <w:r>
        <w:rPr>
          <w:spacing w:val="-3"/>
          <w:w w:val="100"/>
          <w:sz w:val="21"/>
        </w:rPr>
        <w:t>o</w:t>
      </w:r>
      <w:r>
        <w:rPr>
          <w:w w:val="100"/>
          <w:sz w:val="21"/>
        </w:rPr>
        <w:t>f</w:t>
      </w:r>
      <w:r>
        <w:rPr>
          <w:sz w:val="21"/>
        </w:rPr>
        <w:t>  </w:t>
      </w:r>
      <w:r>
        <w:rPr>
          <w:spacing w:val="-26"/>
          <w:sz w:val="21"/>
        </w:rPr>
        <w:t> </w:t>
      </w:r>
      <w:r>
        <w:rPr>
          <w:spacing w:val="-3"/>
          <w:w w:val="100"/>
          <w:sz w:val="21"/>
        </w:rPr>
        <w:t>b</w:t>
      </w:r>
      <w:r>
        <w:rPr>
          <w:spacing w:val="-1"/>
          <w:w w:val="100"/>
          <w:sz w:val="21"/>
        </w:rPr>
        <w:t>u</w:t>
      </w:r>
      <w:r>
        <w:rPr>
          <w:spacing w:val="-2"/>
          <w:w w:val="100"/>
          <w:sz w:val="21"/>
        </w:rPr>
        <w:t>i</w:t>
      </w:r>
      <w:r>
        <w:rPr>
          <w:w w:val="100"/>
          <w:sz w:val="21"/>
        </w:rPr>
        <w:t>l</w:t>
      </w:r>
      <w:r>
        <w:rPr>
          <w:spacing w:val="-3"/>
          <w:w w:val="100"/>
          <w:sz w:val="21"/>
        </w:rPr>
        <w:t>d</w:t>
      </w:r>
      <w:r>
        <w:rPr>
          <w:w w:val="100"/>
          <w:sz w:val="21"/>
        </w:rPr>
        <w:t>i</w:t>
      </w:r>
      <w:r>
        <w:rPr>
          <w:spacing w:val="-1"/>
          <w:w w:val="100"/>
          <w:sz w:val="21"/>
        </w:rPr>
        <w:t>n</w:t>
      </w:r>
      <w:r>
        <w:rPr>
          <w:spacing w:val="-3"/>
          <w:w w:val="100"/>
          <w:sz w:val="21"/>
        </w:rPr>
        <w:t>g</w:t>
      </w:r>
      <w:r>
        <w:rPr>
          <w:w w:val="100"/>
          <w:sz w:val="21"/>
        </w:rPr>
        <w:t>s</w:t>
      </w:r>
      <w:r>
        <w:rPr>
          <w:sz w:val="21"/>
        </w:rPr>
        <w:t>  </w:t>
      </w:r>
      <w:r>
        <w:rPr>
          <w:spacing w:val="-27"/>
          <w:sz w:val="21"/>
        </w:rPr>
        <w:t> </w:t>
      </w:r>
      <w:r>
        <w:rPr>
          <w:spacing w:val="-2"/>
          <w:w w:val="100"/>
          <w:sz w:val="21"/>
        </w:rPr>
        <w:t>i</w:t>
      </w:r>
      <w:r>
        <w:rPr>
          <w:w w:val="100"/>
          <w:sz w:val="21"/>
        </w:rPr>
        <w:t>n</w:t>
      </w:r>
      <w:r>
        <w:rPr>
          <w:sz w:val="21"/>
        </w:rPr>
        <w:t>  </w:t>
      </w:r>
      <w:r>
        <w:rPr>
          <w:spacing w:val="-29"/>
          <w:sz w:val="21"/>
        </w:rPr>
        <w:t> </w:t>
      </w:r>
      <w:r>
        <w:rPr>
          <w:w w:val="100"/>
          <w:sz w:val="21"/>
        </w:rPr>
        <w:t>B</w:t>
      </w:r>
      <w:r>
        <w:rPr>
          <w:spacing w:val="-1"/>
          <w:w w:val="100"/>
          <w:sz w:val="21"/>
        </w:rPr>
        <w:t>a</w:t>
      </w:r>
      <w:r>
        <w:rPr>
          <w:spacing w:val="-3"/>
          <w:w w:val="100"/>
          <w:sz w:val="21"/>
        </w:rPr>
        <w:t>b</w:t>
      </w:r>
      <w:r>
        <w:rPr>
          <w:spacing w:val="-1"/>
          <w:w w:val="100"/>
          <w:sz w:val="21"/>
        </w:rPr>
        <w:t>u</w:t>
      </w:r>
      <w:r>
        <w:rPr>
          <w:spacing w:val="2"/>
          <w:w w:val="100"/>
          <w:sz w:val="21"/>
        </w:rPr>
        <w:t>r</w:t>
      </w:r>
      <w:r>
        <w:rPr>
          <w:spacing w:val="-1"/>
          <w:w w:val="100"/>
          <w:sz w:val="21"/>
        </w:rPr>
        <w:t>-</w:t>
      </w:r>
      <w:r>
        <w:rPr>
          <w:w w:val="100"/>
          <w:sz w:val="21"/>
        </w:rPr>
        <w:t>N</w:t>
      </w:r>
      <w:r>
        <w:rPr>
          <w:spacing w:val="-3"/>
          <w:w w:val="100"/>
          <w:sz w:val="21"/>
        </w:rPr>
        <w:t>a</w:t>
      </w:r>
      <w:r>
        <w:rPr>
          <w:spacing w:val="1"/>
          <w:w w:val="100"/>
          <w:sz w:val="21"/>
        </w:rPr>
        <w:t>m</w:t>
      </w:r>
      <w:r>
        <w:rPr>
          <w:w w:val="100"/>
          <w:sz w:val="21"/>
        </w:rPr>
        <w:t>a</w:t>
      </w:r>
      <w:r>
        <w:rPr>
          <w:sz w:val="21"/>
        </w:rPr>
        <w:t>  </w:t>
      </w:r>
      <w:r>
        <w:rPr>
          <w:spacing w:val="-29"/>
          <w:sz w:val="21"/>
        </w:rPr>
        <w:t> </w:t>
      </w:r>
      <w:r>
        <w:rPr>
          <w:w w:val="100"/>
          <w:sz w:val="21"/>
        </w:rPr>
        <w:t>at </w:t>
      </w:r>
      <w:r>
        <w:rPr>
          <w:sz w:val="21"/>
        </w:rPr>
        <w:t>different places including temple of Gwalior, mosque at Delhi, Agra, Gwalior and other several places but it is true that neither there is mention of demolition of any religious place by Babar in Awadh area nor there is anything to show that he either entered Ayodhya or had occasion to issue any direction for construction of a building and in particular a Mosque at Ayodhya.‖</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4"/>
        <w:jc w:val="both"/>
      </w:pPr>
      <w:r>
        <w:rPr/>
        <w:t>The High Court recorded the submission made before it by Mr Jilani, counsel for the </w:t>
      </w:r>
      <w:r>
        <w:rPr>
          <w:color w:val="000009"/>
        </w:rPr>
        <w:t>Sunni Central Waqf Board, </w:t>
      </w:r>
      <w:r>
        <w:rPr/>
        <w:t>in paragraph 1577 of the judgment that since Babur did not enter Ayodhya himself, there was no question of a demolition of a temple by him and a construction of a mosque. The absence in Babur-Nama of a reference to the construction of a mosque has been relied upon as a factor to discredit the inscriptions which have been analysed earlier. This line of enquiry must be read with the caution which must be exercised while drawing negative inferences from a historical text.</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3" w:firstLine="0"/>
        <w:jc w:val="both"/>
        <w:rPr>
          <w:sz w:val="25"/>
        </w:rPr>
      </w:pPr>
      <w:r>
        <w:rPr>
          <w:color w:val="000009"/>
          <w:sz w:val="25"/>
        </w:rPr>
        <w:t>Mr P N Mishra, learned Counsel adverted </w:t>
      </w:r>
      <w:r>
        <w:rPr>
          <w:sz w:val="25"/>
        </w:rPr>
        <w:t>to the work of Niccolao Manucci </w:t>
      </w:r>
      <w:r>
        <w:rPr>
          <w:w w:val="99"/>
          <w:sz w:val="25"/>
        </w:rPr>
        <w:t>titled</w:t>
      </w:r>
      <w:r>
        <w:rPr>
          <w:sz w:val="25"/>
        </w:rPr>
        <w:t> </w:t>
      </w:r>
      <w:r>
        <w:rPr>
          <w:spacing w:val="5"/>
          <w:sz w:val="25"/>
        </w:rPr>
        <w:t> </w:t>
      </w:r>
      <w:r>
        <w:rPr>
          <w:spacing w:val="1"/>
          <w:w w:val="33"/>
          <w:sz w:val="25"/>
        </w:rPr>
        <w:t>―</w:t>
      </w:r>
      <w:r>
        <w:rPr>
          <w:b/>
          <w:w w:val="99"/>
          <w:sz w:val="25"/>
        </w:rPr>
        <w:t>I</w:t>
      </w:r>
      <w:r>
        <w:rPr>
          <w:b/>
          <w:spacing w:val="1"/>
          <w:w w:val="99"/>
          <w:sz w:val="25"/>
        </w:rPr>
        <w:t>n</w:t>
      </w:r>
      <w:r>
        <w:rPr>
          <w:b/>
          <w:w w:val="99"/>
          <w:sz w:val="25"/>
        </w:rPr>
        <w:t>d</w:t>
      </w:r>
      <w:r>
        <w:rPr>
          <w:b/>
          <w:w w:val="99"/>
          <w:sz w:val="25"/>
        </w:rPr>
        <w:t>i</w:t>
      </w:r>
      <w:r>
        <w:rPr>
          <w:b/>
          <w:spacing w:val="-2"/>
          <w:w w:val="99"/>
          <w:sz w:val="25"/>
        </w:rPr>
        <w:t>a</w:t>
      </w:r>
      <w:r>
        <w:rPr>
          <w:b/>
          <w:w w:val="99"/>
          <w:sz w:val="25"/>
        </w:rPr>
        <w:t>n</w:t>
      </w:r>
      <w:r>
        <w:rPr>
          <w:b/>
          <w:sz w:val="25"/>
        </w:rPr>
        <w:t> </w:t>
      </w:r>
      <w:r>
        <w:rPr>
          <w:b/>
          <w:spacing w:val="5"/>
          <w:sz w:val="25"/>
        </w:rPr>
        <w:t> </w:t>
      </w:r>
      <w:r>
        <w:rPr>
          <w:b/>
          <w:spacing w:val="-2"/>
          <w:w w:val="99"/>
          <w:sz w:val="25"/>
        </w:rPr>
        <w:t>T</w:t>
      </w:r>
      <w:r>
        <w:rPr>
          <w:b/>
          <w:w w:val="99"/>
          <w:sz w:val="25"/>
        </w:rPr>
        <w:t>ex</w:t>
      </w:r>
      <w:r>
        <w:rPr>
          <w:b/>
          <w:w w:val="99"/>
          <w:sz w:val="25"/>
        </w:rPr>
        <w:t>t</w:t>
      </w:r>
      <w:r>
        <w:rPr>
          <w:b/>
          <w:w w:val="99"/>
          <w:sz w:val="25"/>
        </w:rPr>
        <w:t>s</w:t>
      </w:r>
      <w:r>
        <w:rPr>
          <w:b/>
          <w:sz w:val="25"/>
        </w:rPr>
        <w:t> </w:t>
      </w:r>
      <w:r>
        <w:rPr>
          <w:b/>
          <w:spacing w:val="2"/>
          <w:sz w:val="25"/>
        </w:rPr>
        <w:t> </w:t>
      </w:r>
      <w:r>
        <w:rPr>
          <w:b/>
          <w:spacing w:val="-1"/>
          <w:w w:val="99"/>
          <w:sz w:val="25"/>
        </w:rPr>
        <w:t>S</w:t>
      </w:r>
      <w:r>
        <w:rPr>
          <w:b/>
          <w:w w:val="99"/>
          <w:sz w:val="25"/>
        </w:rPr>
        <w:t>erie</w:t>
      </w:r>
      <w:r>
        <w:rPr>
          <w:b/>
          <w:spacing w:val="3"/>
          <w:w w:val="99"/>
          <w:sz w:val="25"/>
        </w:rPr>
        <w:t>s</w:t>
      </w:r>
      <w:r>
        <w:rPr>
          <w:b/>
          <w:w w:val="99"/>
          <w:sz w:val="25"/>
        </w:rPr>
        <w:t>-</w:t>
      </w:r>
      <w:r>
        <w:rPr>
          <w:b/>
          <w:spacing w:val="-1"/>
          <w:w w:val="99"/>
          <w:sz w:val="25"/>
        </w:rPr>
        <w:t>S</w:t>
      </w:r>
      <w:r>
        <w:rPr>
          <w:b/>
          <w:w w:val="99"/>
          <w:sz w:val="25"/>
        </w:rPr>
        <w:t>to</w:t>
      </w:r>
      <w:r>
        <w:rPr>
          <w:b/>
          <w:spacing w:val="-1"/>
          <w:w w:val="99"/>
          <w:sz w:val="25"/>
        </w:rPr>
        <w:t>r</w:t>
      </w:r>
      <w:r>
        <w:rPr>
          <w:b/>
          <w:w w:val="99"/>
          <w:sz w:val="25"/>
        </w:rPr>
        <w:t>ia</w:t>
      </w:r>
      <w:r>
        <w:rPr>
          <w:b/>
          <w:sz w:val="25"/>
        </w:rPr>
        <w:t> </w:t>
      </w:r>
      <w:r>
        <w:rPr>
          <w:b/>
          <w:spacing w:val="5"/>
          <w:sz w:val="25"/>
        </w:rPr>
        <w:t> </w:t>
      </w:r>
      <w:r>
        <w:rPr>
          <w:b/>
          <w:w w:val="99"/>
          <w:sz w:val="25"/>
        </w:rPr>
        <w:t>Do</w:t>
      </w:r>
      <w:r>
        <w:rPr>
          <w:b/>
          <w:sz w:val="25"/>
        </w:rPr>
        <w:t> </w:t>
      </w:r>
      <w:r>
        <w:rPr>
          <w:b/>
          <w:spacing w:val="5"/>
          <w:sz w:val="25"/>
        </w:rPr>
        <w:t> </w:t>
      </w:r>
      <w:r>
        <w:rPr>
          <w:b/>
          <w:w w:val="99"/>
          <w:sz w:val="25"/>
        </w:rPr>
        <w:t>Mogo</w:t>
      </w:r>
      <w:r>
        <w:rPr>
          <w:b/>
          <w:w w:val="99"/>
          <w:sz w:val="25"/>
        </w:rPr>
        <w:t>r</w:t>
      </w:r>
      <w:r>
        <w:rPr>
          <w:b/>
          <w:sz w:val="25"/>
        </w:rPr>
        <w:t> </w:t>
      </w:r>
      <w:r>
        <w:rPr>
          <w:b/>
          <w:spacing w:val="3"/>
          <w:sz w:val="25"/>
        </w:rPr>
        <w:t> </w:t>
      </w:r>
      <w:r>
        <w:rPr>
          <w:b/>
          <w:w w:val="99"/>
          <w:sz w:val="25"/>
        </w:rPr>
        <w:t>o</w:t>
      </w:r>
      <w:r>
        <w:rPr>
          <w:b/>
          <w:w w:val="99"/>
          <w:sz w:val="25"/>
        </w:rPr>
        <w:t>r</w:t>
      </w:r>
      <w:r>
        <w:rPr>
          <w:b/>
          <w:sz w:val="25"/>
        </w:rPr>
        <w:t> </w:t>
      </w:r>
      <w:r>
        <w:rPr>
          <w:b/>
          <w:spacing w:val="3"/>
          <w:sz w:val="25"/>
        </w:rPr>
        <w:t> </w:t>
      </w:r>
      <w:r>
        <w:rPr>
          <w:b/>
          <w:w w:val="99"/>
          <w:sz w:val="25"/>
        </w:rPr>
        <w:t>M</w:t>
      </w:r>
      <w:r>
        <w:rPr>
          <w:b/>
          <w:spacing w:val="-2"/>
          <w:w w:val="99"/>
          <w:sz w:val="25"/>
        </w:rPr>
        <w:t>o</w:t>
      </w:r>
      <w:r>
        <w:rPr>
          <w:b/>
          <w:w w:val="99"/>
          <w:sz w:val="25"/>
        </w:rPr>
        <w:t>gul</w:t>
      </w:r>
      <w:r>
        <w:rPr>
          <w:b/>
          <w:sz w:val="25"/>
        </w:rPr>
        <w:t> </w:t>
      </w:r>
      <w:r>
        <w:rPr>
          <w:b/>
          <w:spacing w:val="2"/>
          <w:sz w:val="25"/>
        </w:rPr>
        <w:t> </w:t>
      </w:r>
      <w:r>
        <w:rPr>
          <w:b/>
          <w:w w:val="99"/>
          <w:sz w:val="25"/>
        </w:rPr>
        <w:t>I</w:t>
      </w:r>
      <w:r>
        <w:rPr>
          <w:b/>
          <w:spacing w:val="1"/>
          <w:w w:val="99"/>
          <w:sz w:val="25"/>
        </w:rPr>
        <w:t>n</w:t>
      </w:r>
      <w:r>
        <w:rPr>
          <w:b/>
          <w:w w:val="99"/>
          <w:sz w:val="25"/>
        </w:rPr>
        <w:t>d</w:t>
      </w:r>
      <w:r>
        <w:rPr>
          <w:b/>
          <w:spacing w:val="-3"/>
          <w:w w:val="99"/>
          <w:sz w:val="25"/>
        </w:rPr>
        <w:t>i</w:t>
      </w:r>
      <w:r>
        <w:rPr>
          <w:b/>
          <w:w w:val="99"/>
          <w:sz w:val="25"/>
        </w:rPr>
        <w:t>a</w:t>
      </w:r>
      <w:r>
        <w:rPr>
          <w:b/>
          <w:sz w:val="25"/>
        </w:rPr>
        <w:t> </w:t>
      </w:r>
      <w:r>
        <w:rPr>
          <w:b/>
          <w:spacing w:val="5"/>
          <w:sz w:val="25"/>
        </w:rPr>
        <w:t> </w:t>
      </w:r>
      <w:r>
        <w:rPr>
          <w:b/>
          <w:w w:val="99"/>
          <w:sz w:val="25"/>
        </w:rPr>
        <w:t>165</w:t>
      </w:r>
      <w:r>
        <w:rPr>
          <w:b/>
          <w:spacing w:val="7"/>
          <w:w w:val="99"/>
          <w:sz w:val="25"/>
        </w:rPr>
        <w:t>3</w:t>
      </w:r>
      <w:r>
        <w:rPr>
          <w:b/>
          <w:w w:val="99"/>
          <w:sz w:val="25"/>
        </w:rPr>
        <w:t>-</w:t>
      </w:r>
      <w:r>
        <w:rPr>
          <w:b/>
          <w:w w:val="99"/>
          <w:sz w:val="25"/>
        </w:rPr>
        <w:t>1708</w:t>
      </w:r>
      <w:r>
        <w:rPr>
          <w:spacing w:val="-2"/>
          <w:w w:val="80"/>
          <w:sz w:val="25"/>
        </w:rPr>
        <w:t>‖</w:t>
      </w:r>
      <w:r>
        <w:rPr>
          <w:spacing w:val="-1"/>
          <w:w w:val="101"/>
          <w:sz w:val="25"/>
          <w:vertAlign w:val="superscript"/>
        </w:rPr>
        <w:t>31</w:t>
      </w:r>
      <w:r>
        <w:rPr>
          <w:w w:val="99"/>
          <w:sz w:val="25"/>
          <w:vertAlign w:val="baseline"/>
        </w:rPr>
        <w:t>, </w:t>
      </w:r>
      <w:r>
        <w:rPr>
          <w:w w:val="99"/>
          <w:sz w:val="25"/>
          <w:vertAlign w:val="baseline"/>
        </w:rPr>
        <w:t>tr</w:t>
      </w:r>
      <w:r>
        <w:rPr>
          <w:spacing w:val="-1"/>
          <w:w w:val="99"/>
          <w:sz w:val="25"/>
          <w:vertAlign w:val="baseline"/>
        </w:rPr>
        <w:t>a</w:t>
      </w:r>
      <w:r>
        <w:rPr>
          <w:w w:val="99"/>
          <w:sz w:val="25"/>
          <w:vertAlign w:val="baseline"/>
        </w:rPr>
        <w:t>nslated</w:t>
      </w:r>
      <w:r>
        <w:rPr>
          <w:sz w:val="25"/>
          <w:vertAlign w:val="baseline"/>
        </w:rPr>
        <w:t> </w:t>
      </w:r>
      <w:r>
        <w:rPr>
          <w:spacing w:val="2"/>
          <w:sz w:val="25"/>
          <w:vertAlign w:val="baseline"/>
        </w:rPr>
        <w:t> </w:t>
      </w:r>
      <w:r>
        <w:rPr>
          <w:spacing w:val="-1"/>
          <w:w w:val="99"/>
          <w:sz w:val="25"/>
          <w:vertAlign w:val="baseline"/>
        </w:rPr>
        <w:t>i</w:t>
      </w:r>
      <w:r>
        <w:rPr>
          <w:w w:val="99"/>
          <w:sz w:val="25"/>
          <w:vertAlign w:val="baseline"/>
        </w:rPr>
        <w:t>n</w:t>
      </w:r>
      <w:r>
        <w:rPr>
          <w:sz w:val="25"/>
          <w:vertAlign w:val="baseline"/>
        </w:rPr>
        <w:t> </w:t>
      </w:r>
      <w:r>
        <w:rPr>
          <w:spacing w:val="2"/>
          <w:sz w:val="25"/>
          <w:vertAlign w:val="baseline"/>
        </w:rPr>
        <w:t> </w:t>
      </w:r>
      <w:r>
        <w:rPr>
          <w:spacing w:val="-1"/>
          <w:w w:val="99"/>
          <w:sz w:val="25"/>
          <w:vertAlign w:val="baseline"/>
        </w:rPr>
        <w:t>En</w:t>
      </w:r>
      <w:r>
        <w:rPr>
          <w:w w:val="99"/>
          <w:sz w:val="25"/>
          <w:vertAlign w:val="baseline"/>
        </w:rPr>
        <w:t>g</w:t>
      </w:r>
      <w:r>
        <w:rPr>
          <w:spacing w:val="-1"/>
          <w:w w:val="99"/>
          <w:sz w:val="25"/>
          <w:vertAlign w:val="baseline"/>
        </w:rPr>
        <w:t>lis</w:t>
      </w:r>
      <w:r>
        <w:rPr>
          <w:w w:val="99"/>
          <w:sz w:val="25"/>
          <w:vertAlign w:val="baseline"/>
        </w:rPr>
        <w:t>h</w:t>
      </w:r>
      <w:r>
        <w:rPr>
          <w:sz w:val="25"/>
          <w:vertAlign w:val="baseline"/>
        </w:rPr>
        <w:t> </w:t>
      </w:r>
      <w:r>
        <w:rPr>
          <w:spacing w:val="2"/>
          <w:sz w:val="25"/>
          <w:vertAlign w:val="baseline"/>
        </w:rPr>
        <w:t> </w:t>
      </w:r>
      <w:r>
        <w:rPr>
          <w:spacing w:val="-1"/>
          <w:w w:val="99"/>
          <w:sz w:val="25"/>
          <w:vertAlign w:val="baseline"/>
        </w:rPr>
        <w:t>b</w:t>
      </w:r>
      <w:r>
        <w:rPr>
          <w:w w:val="99"/>
          <w:sz w:val="25"/>
          <w:vertAlign w:val="baseline"/>
        </w:rPr>
        <w:t>y</w:t>
      </w:r>
      <w:r>
        <w:rPr>
          <w:sz w:val="25"/>
          <w:vertAlign w:val="baseline"/>
        </w:rPr>
        <w:t> </w:t>
      </w:r>
      <w:r>
        <w:rPr>
          <w:spacing w:val="-5"/>
          <w:sz w:val="25"/>
          <w:vertAlign w:val="baseline"/>
        </w:rPr>
        <w:t> </w:t>
      </w:r>
      <w:r>
        <w:rPr>
          <w:spacing w:val="9"/>
          <w:w w:val="99"/>
          <w:sz w:val="25"/>
          <w:vertAlign w:val="baseline"/>
        </w:rPr>
        <w:t>W</w:t>
      </w:r>
      <w:r>
        <w:rPr>
          <w:spacing w:val="-1"/>
          <w:w w:val="99"/>
          <w:sz w:val="25"/>
          <w:vertAlign w:val="baseline"/>
        </w:rPr>
        <w:t>illia</w:t>
      </w:r>
      <w:r>
        <w:rPr>
          <w:w w:val="99"/>
          <w:sz w:val="25"/>
          <w:vertAlign w:val="baseline"/>
        </w:rPr>
        <w:t>m</w:t>
      </w:r>
      <w:r>
        <w:rPr>
          <w:sz w:val="25"/>
          <w:vertAlign w:val="baseline"/>
        </w:rPr>
        <w:t> </w:t>
      </w:r>
      <w:r>
        <w:rPr>
          <w:spacing w:val="3"/>
          <w:sz w:val="25"/>
          <w:vertAlign w:val="baseline"/>
        </w:rPr>
        <w:t> </w:t>
      </w:r>
      <w:r>
        <w:rPr>
          <w:w w:val="99"/>
          <w:sz w:val="25"/>
          <w:vertAlign w:val="baseline"/>
        </w:rPr>
        <w:t>Ir</w:t>
      </w:r>
      <w:r>
        <w:rPr>
          <w:spacing w:val="-3"/>
          <w:w w:val="99"/>
          <w:sz w:val="25"/>
          <w:vertAlign w:val="baseline"/>
        </w:rPr>
        <w:t>v</w:t>
      </w:r>
      <w:r>
        <w:rPr>
          <w:spacing w:val="-1"/>
          <w:w w:val="99"/>
          <w:sz w:val="25"/>
          <w:vertAlign w:val="baseline"/>
        </w:rPr>
        <w:t>ine</w:t>
      </w:r>
      <w:r>
        <w:rPr>
          <w:w w:val="99"/>
          <w:sz w:val="25"/>
          <w:vertAlign w:val="baseline"/>
        </w:rPr>
        <w:t>.</w:t>
      </w:r>
      <w:r>
        <w:rPr>
          <w:sz w:val="25"/>
          <w:vertAlign w:val="baseline"/>
        </w:rPr>
        <w:t> </w:t>
      </w:r>
      <w:r>
        <w:rPr>
          <w:spacing w:val="2"/>
          <w:sz w:val="25"/>
          <w:vertAlign w:val="baseline"/>
        </w:rPr>
        <w:t> </w:t>
      </w:r>
      <w:r>
        <w:rPr>
          <w:spacing w:val="-2"/>
          <w:w w:val="99"/>
          <w:sz w:val="25"/>
          <w:vertAlign w:val="baseline"/>
        </w:rPr>
        <w:t>M</w:t>
      </w:r>
      <w:r>
        <w:rPr>
          <w:spacing w:val="-1"/>
          <w:w w:val="99"/>
          <w:sz w:val="25"/>
          <w:vertAlign w:val="baseline"/>
        </w:rPr>
        <w:t>a</w:t>
      </w:r>
      <w:r>
        <w:rPr>
          <w:w w:val="99"/>
          <w:sz w:val="25"/>
          <w:vertAlign w:val="baseline"/>
        </w:rPr>
        <w:t>n</w:t>
      </w:r>
      <w:r>
        <w:rPr>
          <w:spacing w:val="-1"/>
          <w:w w:val="99"/>
          <w:sz w:val="25"/>
          <w:vertAlign w:val="baseline"/>
        </w:rPr>
        <w:t>ucc</w:t>
      </w:r>
      <w:r>
        <w:rPr>
          <w:w w:val="99"/>
          <w:sz w:val="25"/>
          <w:vertAlign w:val="baseline"/>
        </w:rPr>
        <w:t>i</w:t>
      </w:r>
      <w:r>
        <w:rPr>
          <w:sz w:val="25"/>
          <w:vertAlign w:val="baseline"/>
        </w:rPr>
        <w:t> </w:t>
      </w:r>
      <w:r>
        <w:rPr>
          <w:spacing w:val="2"/>
          <w:sz w:val="25"/>
          <w:vertAlign w:val="baseline"/>
        </w:rPr>
        <w:t> </w:t>
      </w:r>
      <w:r>
        <w:rPr>
          <w:spacing w:val="-1"/>
          <w:w w:val="99"/>
          <w:sz w:val="25"/>
          <w:vertAlign w:val="baseline"/>
        </w:rPr>
        <w:t>ide</w:t>
      </w:r>
      <w:r>
        <w:rPr>
          <w:w w:val="99"/>
          <w:sz w:val="25"/>
          <w:vertAlign w:val="baseline"/>
        </w:rPr>
        <w:t>ntifies</w:t>
      </w:r>
      <w:r>
        <w:rPr>
          <w:sz w:val="25"/>
          <w:vertAlign w:val="baseline"/>
        </w:rPr>
        <w:t> </w:t>
      </w:r>
      <w:r>
        <w:rPr>
          <w:spacing w:val="2"/>
          <w:sz w:val="25"/>
          <w:vertAlign w:val="baseline"/>
        </w:rPr>
        <w:t> </w:t>
      </w:r>
      <w:r>
        <w:rPr>
          <w:w w:val="33"/>
          <w:sz w:val="25"/>
          <w:vertAlign w:val="baseline"/>
        </w:rPr>
        <w:t>―</w:t>
      </w:r>
      <w:r>
        <w:rPr>
          <w:w w:val="99"/>
          <w:sz w:val="25"/>
          <w:vertAlign w:val="baseline"/>
        </w:rPr>
        <w:t>the</w:t>
      </w:r>
      <w:r>
        <w:rPr>
          <w:sz w:val="25"/>
          <w:vertAlign w:val="baseline"/>
        </w:rPr>
        <w:t> </w:t>
      </w:r>
      <w:r>
        <w:rPr>
          <w:spacing w:val="3"/>
          <w:sz w:val="25"/>
          <w:vertAlign w:val="baseline"/>
        </w:rPr>
        <w:t> </w:t>
      </w:r>
      <w:r>
        <w:rPr>
          <w:w w:val="99"/>
          <w:sz w:val="25"/>
          <w:vertAlign w:val="baseline"/>
        </w:rPr>
        <w:t>chief</w:t>
      </w:r>
      <w:r>
        <w:rPr>
          <w:sz w:val="25"/>
          <w:vertAlign w:val="baseline"/>
        </w:rPr>
        <w:t> </w:t>
      </w:r>
      <w:r>
        <w:rPr>
          <w:spacing w:val="2"/>
          <w:sz w:val="25"/>
          <w:vertAlign w:val="baseline"/>
        </w:rPr>
        <w:t> </w:t>
      </w:r>
      <w:r>
        <w:rPr>
          <w:w w:val="99"/>
          <w:sz w:val="25"/>
          <w:vertAlign w:val="baseline"/>
        </w:rPr>
        <w:t>te</w:t>
      </w:r>
      <w:r>
        <w:rPr>
          <w:spacing w:val="1"/>
          <w:w w:val="99"/>
          <w:sz w:val="25"/>
          <w:vertAlign w:val="baseline"/>
        </w:rPr>
        <w:t>m</w:t>
      </w:r>
      <w:r>
        <w:rPr>
          <w:spacing w:val="-1"/>
          <w:w w:val="99"/>
          <w:sz w:val="25"/>
          <w:vertAlign w:val="baseline"/>
        </w:rPr>
        <w:t>ples </w:t>
      </w:r>
      <w:r>
        <w:rPr>
          <w:sz w:val="25"/>
          <w:vertAlign w:val="baseline"/>
        </w:rPr>
        <w:t>destroyed‖ by Aurangzeb, among them</w:t>
      </w:r>
      <w:r>
        <w:rPr>
          <w:spacing w:val="-5"/>
          <w:sz w:val="25"/>
          <w:vertAlign w:val="baseline"/>
        </w:rPr>
        <w:t> </w:t>
      </w:r>
      <w:r>
        <w:rPr>
          <w:sz w:val="25"/>
          <w:vertAlign w:val="baseline"/>
        </w:rPr>
        <w:t>being:</w:t>
      </w:r>
    </w:p>
    <w:p>
      <w:pPr>
        <w:pStyle w:val="ListParagraph"/>
        <w:numPr>
          <w:ilvl w:val="1"/>
          <w:numId w:val="3"/>
        </w:numPr>
        <w:tabs>
          <w:tab w:pos="1491" w:val="left" w:leader="none"/>
          <w:tab w:pos="1492" w:val="left" w:leader="none"/>
        </w:tabs>
        <w:spacing w:line="287" w:lineRule="exact" w:before="0" w:after="0"/>
        <w:ind w:left="1491" w:right="0" w:hanging="721"/>
        <w:jc w:val="left"/>
        <w:rPr>
          <w:sz w:val="25"/>
        </w:rPr>
      </w:pPr>
      <w:r>
        <w:rPr>
          <w:sz w:val="25"/>
        </w:rPr>
        <w:t>Maisa</w:t>
      </w:r>
      <w:r>
        <w:rPr>
          <w:spacing w:val="-7"/>
          <w:sz w:val="25"/>
        </w:rPr>
        <w:t> </w:t>
      </w:r>
      <w:r>
        <w:rPr>
          <w:sz w:val="25"/>
        </w:rPr>
        <w:t>(Mayapur);</w:t>
      </w:r>
    </w:p>
    <w:p>
      <w:pPr>
        <w:pStyle w:val="BodyText"/>
        <w:spacing w:before="1"/>
      </w:pPr>
    </w:p>
    <w:p>
      <w:pPr>
        <w:pStyle w:val="ListParagraph"/>
        <w:numPr>
          <w:ilvl w:val="1"/>
          <w:numId w:val="3"/>
        </w:numPr>
        <w:tabs>
          <w:tab w:pos="1491" w:val="left" w:leader="none"/>
          <w:tab w:pos="1492" w:val="left" w:leader="none"/>
        </w:tabs>
        <w:spacing w:line="240" w:lineRule="auto" w:before="0" w:after="0"/>
        <w:ind w:left="1491" w:right="0" w:hanging="721"/>
        <w:jc w:val="left"/>
        <w:rPr>
          <w:sz w:val="25"/>
        </w:rPr>
      </w:pPr>
      <w:r>
        <w:rPr>
          <w:sz w:val="25"/>
        </w:rPr>
        <w:t>Matura</w:t>
      </w:r>
      <w:r>
        <w:rPr>
          <w:spacing w:val="-1"/>
          <w:sz w:val="25"/>
        </w:rPr>
        <w:t> </w:t>
      </w:r>
      <w:r>
        <w:rPr>
          <w:sz w:val="25"/>
        </w:rPr>
        <w:t>(Mathura);</w:t>
      </w:r>
    </w:p>
    <w:p>
      <w:pPr>
        <w:pStyle w:val="BodyText"/>
        <w:spacing w:before="10"/>
        <w:rPr>
          <w:sz w:val="24"/>
        </w:rPr>
      </w:pPr>
    </w:p>
    <w:p>
      <w:pPr>
        <w:pStyle w:val="ListParagraph"/>
        <w:numPr>
          <w:ilvl w:val="1"/>
          <w:numId w:val="3"/>
        </w:numPr>
        <w:tabs>
          <w:tab w:pos="1491" w:val="left" w:leader="none"/>
          <w:tab w:pos="1492" w:val="left" w:leader="none"/>
        </w:tabs>
        <w:spacing w:line="240" w:lineRule="auto" w:before="0" w:after="0"/>
        <w:ind w:left="1491" w:right="0" w:hanging="721"/>
        <w:jc w:val="left"/>
        <w:rPr>
          <w:sz w:val="25"/>
        </w:rPr>
      </w:pPr>
      <w:r>
        <w:rPr>
          <w:sz w:val="25"/>
        </w:rPr>
        <w:t>Caxis (Kashi);</w:t>
      </w:r>
      <w:r>
        <w:rPr>
          <w:spacing w:val="68"/>
          <w:sz w:val="25"/>
        </w:rPr>
        <w:t> </w:t>
      </w:r>
      <w:r>
        <w:rPr>
          <w:sz w:val="25"/>
        </w:rPr>
        <w:t>and</w:t>
      </w:r>
    </w:p>
    <w:p>
      <w:pPr>
        <w:pStyle w:val="BodyText"/>
        <w:spacing w:before="1"/>
      </w:pPr>
    </w:p>
    <w:p>
      <w:pPr>
        <w:pStyle w:val="ListParagraph"/>
        <w:numPr>
          <w:ilvl w:val="1"/>
          <w:numId w:val="3"/>
        </w:numPr>
        <w:tabs>
          <w:tab w:pos="1491" w:val="left" w:leader="none"/>
          <w:tab w:pos="1492" w:val="left" w:leader="none"/>
        </w:tabs>
        <w:spacing w:line="240" w:lineRule="auto" w:before="0" w:after="0"/>
        <w:ind w:left="1491" w:right="0" w:hanging="721"/>
        <w:jc w:val="left"/>
        <w:rPr>
          <w:sz w:val="25"/>
        </w:rPr>
      </w:pPr>
      <w:r>
        <w:rPr>
          <w:sz w:val="25"/>
        </w:rPr>
        <w:t>Hajudia</w:t>
      </w:r>
      <w:r>
        <w:rPr>
          <w:spacing w:val="-1"/>
          <w:sz w:val="25"/>
        </w:rPr>
        <w:t> </w:t>
      </w:r>
      <w:r>
        <w:rPr>
          <w:sz w:val="25"/>
        </w:rPr>
        <w:t>(Ajudhya).</w:t>
      </w:r>
    </w:p>
    <w:p>
      <w:pPr>
        <w:pStyle w:val="BodyText"/>
        <w:rPr>
          <w:sz w:val="28"/>
        </w:rPr>
      </w:pPr>
    </w:p>
    <w:p>
      <w:pPr>
        <w:pStyle w:val="BodyText"/>
        <w:rPr>
          <w:sz w:val="22"/>
        </w:rPr>
      </w:pPr>
    </w:p>
    <w:p>
      <w:pPr>
        <w:pStyle w:val="BodyText"/>
        <w:ind w:left="500"/>
        <w:jc w:val="both"/>
      </w:pPr>
      <w:r>
        <w:rPr/>
        <w:t>Manucci was a traveller who had visited India during the reign of Aurangzeb.</w:t>
      </w:r>
    </w:p>
    <w:p>
      <w:pPr>
        <w:pStyle w:val="BodyText"/>
        <w:rPr>
          <w:sz w:val="28"/>
        </w:rPr>
      </w:pPr>
    </w:p>
    <w:p>
      <w:pPr>
        <w:pStyle w:val="BodyText"/>
        <w:spacing w:before="11"/>
        <w:rPr>
          <w:sz w:val="21"/>
        </w:rPr>
      </w:pPr>
    </w:p>
    <w:p>
      <w:pPr>
        <w:pStyle w:val="BodyText"/>
        <w:spacing w:line="480" w:lineRule="auto"/>
        <w:ind w:left="500" w:right="441"/>
        <w:jc w:val="both"/>
      </w:pPr>
      <w:r>
        <w:rPr>
          <w:spacing w:val="-1"/>
          <w:w w:val="99"/>
        </w:rPr>
        <w:t>Besid</w:t>
      </w:r>
      <w:r>
        <w:rPr>
          <w:w w:val="99"/>
        </w:rPr>
        <w:t>es,</w:t>
      </w:r>
      <w:r>
        <w:rPr>
          <w:spacing w:val="9"/>
        </w:rPr>
        <w:t> </w:t>
      </w:r>
      <w:r>
        <w:rPr>
          <w:w w:val="99"/>
        </w:rPr>
        <w:t>the</w:t>
      </w:r>
      <w:r>
        <w:rPr>
          <w:spacing w:val="10"/>
        </w:rPr>
        <w:t> </w:t>
      </w:r>
      <w:r>
        <w:rPr>
          <w:spacing w:val="-1"/>
          <w:w w:val="99"/>
        </w:rPr>
        <w:t>wo</w:t>
      </w:r>
      <w:r>
        <w:rPr>
          <w:w w:val="99"/>
        </w:rPr>
        <w:t>rk</w:t>
      </w:r>
      <w:r>
        <w:rPr>
          <w:spacing w:val="9"/>
        </w:rPr>
        <w:t> </w:t>
      </w:r>
      <w:r>
        <w:rPr>
          <w:spacing w:val="-1"/>
          <w:w w:val="99"/>
        </w:rPr>
        <w:t>o</w:t>
      </w:r>
      <w:r>
        <w:rPr>
          <w:w w:val="99"/>
        </w:rPr>
        <w:t>f</w:t>
      </w:r>
      <w:r>
        <w:rPr>
          <w:spacing w:val="7"/>
        </w:rPr>
        <w:t> </w:t>
      </w:r>
      <w:r>
        <w:rPr>
          <w:spacing w:val="-2"/>
          <w:w w:val="99"/>
        </w:rPr>
        <w:t>M</w:t>
      </w:r>
      <w:r>
        <w:rPr>
          <w:spacing w:val="-1"/>
          <w:w w:val="99"/>
        </w:rPr>
        <w:t>a</w:t>
      </w:r>
      <w:r>
        <w:rPr>
          <w:w w:val="99"/>
        </w:rPr>
        <w:t>n</w:t>
      </w:r>
      <w:r>
        <w:rPr>
          <w:spacing w:val="-1"/>
          <w:w w:val="99"/>
        </w:rPr>
        <w:t>ucci</w:t>
      </w:r>
      <w:r>
        <w:rPr>
          <w:w w:val="99"/>
        </w:rPr>
        <w:t>,</w:t>
      </w:r>
      <w:r>
        <w:rPr>
          <w:spacing w:val="9"/>
        </w:rPr>
        <w:t> </w:t>
      </w:r>
      <w:r>
        <w:rPr>
          <w:w w:val="99"/>
        </w:rPr>
        <w:t>there</w:t>
      </w:r>
      <w:r>
        <w:rPr>
          <w:spacing w:val="9"/>
        </w:rPr>
        <w:t> </w:t>
      </w:r>
      <w:r>
        <w:rPr>
          <w:spacing w:val="-1"/>
          <w:w w:val="99"/>
        </w:rPr>
        <w:t>i</w:t>
      </w:r>
      <w:r>
        <w:rPr>
          <w:w w:val="99"/>
        </w:rPr>
        <w:t>s</w:t>
      </w:r>
      <w:r>
        <w:rPr>
          <w:spacing w:val="9"/>
        </w:rPr>
        <w:t> </w:t>
      </w:r>
      <w:r>
        <w:rPr>
          <w:w w:val="99"/>
        </w:rPr>
        <w:t>the</w:t>
      </w:r>
      <w:r>
        <w:rPr>
          <w:spacing w:val="7"/>
        </w:rPr>
        <w:t> </w:t>
      </w:r>
      <w:r>
        <w:rPr>
          <w:spacing w:val="10"/>
          <w:w w:val="33"/>
        </w:rPr>
        <w:t>―</w:t>
      </w:r>
      <w:r>
        <w:rPr>
          <w:b/>
          <w:spacing w:val="-8"/>
          <w:w w:val="99"/>
        </w:rPr>
        <w:t>A</w:t>
      </w:r>
      <w:r>
        <w:rPr>
          <w:b/>
          <w:w w:val="99"/>
        </w:rPr>
        <w:t>i</w:t>
      </w:r>
      <w:r>
        <w:rPr>
          <w:b/>
          <w:spacing w:val="1"/>
          <w:w w:val="99"/>
        </w:rPr>
        <w:t>n</w:t>
      </w:r>
      <w:r>
        <w:rPr>
          <w:b/>
          <w:w w:val="99"/>
        </w:rPr>
        <w:t>-</w:t>
      </w:r>
      <w:r>
        <w:rPr>
          <w:b/>
          <w:w w:val="99"/>
        </w:rPr>
        <w:t>e</w:t>
      </w:r>
      <w:r>
        <w:rPr>
          <w:b/>
          <w:spacing w:val="5"/>
          <w:w w:val="99"/>
        </w:rPr>
        <w:t>-</w:t>
      </w:r>
      <w:r>
        <w:rPr>
          <w:b/>
          <w:spacing w:val="-8"/>
          <w:w w:val="99"/>
        </w:rPr>
        <w:t>A</w:t>
      </w:r>
      <w:r>
        <w:rPr>
          <w:b/>
          <w:w w:val="99"/>
        </w:rPr>
        <w:t>k</w:t>
      </w:r>
      <w:r>
        <w:rPr>
          <w:b/>
          <w:spacing w:val="1"/>
          <w:w w:val="99"/>
        </w:rPr>
        <w:t>b</w:t>
      </w:r>
      <w:r>
        <w:rPr>
          <w:b/>
          <w:w w:val="99"/>
        </w:rPr>
        <w:t>ar</w:t>
      </w:r>
      <w:r>
        <w:rPr>
          <w:b/>
          <w:spacing w:val="-1"/>
          <w:w w:val="99"/>
        </w:rPr>
        <w:t>i</w:t>
      </w:r>
      <w:r>
        <w:rPr>
          <w:spacing w:val="3"/>
          <w:w w:val="80"/>
        </w:rPr>
        <w:t>‖</w:t>
      </w:r>
      <w:r>
        <w:rPr>
          <w:spacing w:val="-1"/>
          <w:w w:val="101"/>
          <w:vertAlign w:val="superscript"/>
        </w:rPr>
        <w:t>3</w:t>
      </w:r>
      <w:r>
        <w:rPr>
          <w:w w:val="101"/>
          <w:vertAlign w:val="superscript"/>
        </w:rPr>
        <w:t>2</w:t>
      </w:r>
      <w:r>
        <w:rPr>
          <w:spacing w:val="9"/>
          <w:vertAlign w:val="baseline"/>
        </w:rPr>
        <w:t> </w:t>
      </w:r>
      <w:r>
        <w:rPr>
          <w:w w:val="99"/>
          <w:vertAlign w:val="baseline"/>
        </w:rPr>
        <w:t>writt</w:t>
      </w:r>
      <w:r>
        <w:rPr>
          <w:spacing w:val="-2"/>
          <w:w w:val="99"/>
          <w:vertAlign w:val="baseline"/>
        </w:rPr>
        <w:t>e</w:t>
      </w:r>
      <w:r>
        <w:rPr>
          <w:w w:val="99"/>
          <w:vertAlign w:val="baseline"/>
        </w:rPr>
        <w:t>n</w:t>
      </w:r>
      <w:r>
        <w:rPr>
          <w:spacing w:val="9"/>
          <w:vertAlign w:val="baseline"/>
        </w:rPr>
        <w:t> </w:t>
      </w:r>
      <w:r>
        <w:rPr>
          <w:w w:val="99"/>
          <w:vertAlign w:val="baseline"/>
        </w:rPr>
        <w:t>by</w:t>
      </w:r>
      <w:r>
        <w:rPr>
          <w:spacing w:val="7"/>
          <w:vertAlign w:val="baseline"/>
        </w:rPr>
        <w:t> </w:t>
      </w:r>
      <w:r>
        <w:rPr>
          <w:spacing w:val="-1"/>
          <w:w w:val="99"/>
          <w:vertAlign w:val="baseline"/>
        </w:rPr>
        <w:t>A</w:t>
      </w:r>
      <w:r>
        <w:rPr>
          <w:w w:val="99"/>
          <w:vertAlign w:val="baseline"/>
        </w:rPr>
        <w:t>bu</w:t>
      </w:r>
      <w:r>
        <w:rPr>
          <w:w w:val="99"/>
          <w:vertAlign w:val="baseline"/>
        </w:rPr>
        <w:t>l</w:t>
      </w:r>
      <w:r>
        <w:rPr>
          <w:spacing w:val="9"/>
          <w:vertAlign w:val="baseline"/>
        </w:rPr>
        <w:t> </w:t>
      </w:r>
      <w:r>
        <w:rPr>
          <w:w w:val="99"/>
          <w:vertAlign w:val="baseline"/>
        </w:rPr>
        <w:t>F</w:t>
      </w:r>
      <w:r>
        <w:rPr>
          <w:w w:val="99"/>
          <w:vertAlign w:val="baseline"/>
        </w:rPr>
        <w:t>aza</w:t>
      </w:r>
      <w:r>
        <w:rPr>
          <w:w w:val="99"/>
          <w:vertAlign w:val="baseline"/>
        </w:rPr>
        <w:t>l </w:t>
      </w:r>
      <w:r>
        <w:rPr>
          <w:vertAlign w:val="baseline"/>
        </w:rPr>
        <w:t>Allami. Ain-e-Akbari deals with the province of Oudh and refers to Ayodhya and </w:t>
      </w:r>
      <w:r>
        <w:rPr>
          <w:spacing w:val="-1"/>
          <w:w w:val="99"/>
          <w:vertAlign w:val="baseline"/>
        </w:rPr>
        <w:t>it</w:t>
      </w:r>
      <w:r>
        <w:rPr>
          <w:w w:val="99"/>
          <w:vertAlign w:val="baseline"/>
        </w:rPr>
        <w:t>s</w:t>
      </w:r>
      <w:r>
        <w:rPr>
          <w:spacing w:val="23"/>
          <w:vertAlign w:val="baseline"/>
        </w:rPr>
        <w:t> </w:t>
      </w:r>
      <w:r>
        <w:rPr>
          <w:spacing w:val="-1"/>
          <w:w w:val="99"/>
          <w:vertAlign w:val="baseline"/>
        </w:rPr>
        <w:t>ass</w:t>
      </w:r>
      <w:r>
        <w:rPr>
          <w:w w:val="99"/>
          <w:vertAlign w:val="baseline"/>
        </w:rPr>
        <w:t>ociation</w:t>
      </w:r>
      <w:r>
        <w:rPr>
          <w:spacing w:val="24"/>
          <w:vertAlign w:val="baseline"/>
        </w:rPr>
        <w:t> </w:t>
      </w:r>
      <w:r>
        <w:rPr>
          <w:spacing w:val="-1"/>
          <w:w w:val="99"/>
          <w:vertAlign w:val="baseline"/>
        </w:rPr>
        <w:t>wit</w:t>
      </w:r>
      <w:r>
        <w:rPr>
          <w:w w:val="99"/>
          <w:vertAlign w:val="baseline"/>
        </w:rPr>
        <w:t>h</w:t>
      </w:r>
      <w:r>
        <w:rPr>
          <w:spacing w:val="24"/>
          <w:vertAlign w:val="baseline"/>
        </w:rPr>
        <w:t> </w:t>
      </w:r>
      <w:r>
        <w:rPr>
          <w:spacing w:val="2"/>
          <w:w w:val="99"/>
          <w:vertAlign w:val="baseline"/>
        </w:rPr>
        <w:t>L</w:t>
      </w:r>
      <w:r>
        <w:rPr>
          <w:spacing w:val="-1"/>
          <w:w w:val="99"/>
          <w:vertAlign w:val="baseline"/>
        </w:rPr>
        <w:t>o</w:t>
      </w:r>
      <w:r>
        <w:rPr>
          <w:w w:val="99"/>
          <w:vertAlign w:val="baseline"/>
        </w:rPr>
        <w:t>rd</w:t>
      </w:r>
      <w:r>
        <w:rPr>
          <w:spacing w:val="24"/>
          <w:vertAlign w:val="baseline"/>
        </w:rPr>
        <w:t> </w:t>
      </w:r>
      <w:r>
        <w:rPr>
          <w:spacing w:val="-1"/>
          <w:w w:val="99"/>
          <w:vertAlign w:val="baseline"/>
        </w:rPr>
        <w:t>Ra</w:t>
      </w:r>
      <w:r>
        <w:rPr>
          <w:w w:val="99"/>
          <w:vertAlign w:val="baseline"/>
        </w:rPr>
        <w:t>m.</w:t>
      </w:r>
      <w:r>
        <w:rPr>
          <w:spacing w:val="24"/>
          <w:vertAlign w:val="baseline"/>
        </w:rPr>
        <w:t> </w:t>
      </w:r>
      <w:r>
        <w:rPr>
          <w:w w:val="99"/>
          <w:vertAlign w:val="baseline"/>
        </w:rPr>
        <w:t>T</w:t>
      </w:r>
      <w:r>
        <w:rPr>
          <w:spacing w:val="-1"/>
          <w:w w:val="99"/>
          <w:vertAlign w:val="baseline"/>
        </w:rPr>
        <w:t>h</w:t>
      </w:r>
      <w:r>
        <w:rPr>
          <w:w w:val="99"/>
          <w:vertAlign w:val="baseline"/>
        </w:rPr>
        <w:t>e</w:t>
      </w:r>
      <w:r>
        <w:rPr>
          <w:spacing w:val="24"/>
          <w:vertAlign w:val="baseline"/>
        </w:rPr>
        <w:t> </w:t>
      </w:r>
      <w:r>
        <w:rPr>
          <w:w w:val="99"/>
          <w:vertAlign w:val="baseline"/>
        </w:rPr>
        <w:t>te</w:t>
      </w:r>
      <w:r>
        <w:rPr>
          <w:spacing w:val="-2"/>
          <w:w w:val="99"/>
          <w:vertAlign w:val="baseline"/>
        </w:rPr>
        <w:t>x</w:t>
      </w:r>
      <w:r>
        <w:rPr>
          <w:w w:val="99"/>
          <w:vertAlign w:val="baseline"/>
        </w:rPr>
        <w:t>t</w:t>
      </w:r>
      <w:r>
        <w:rPr>
          <w:spacing w:val="24"/>
          <w:vertAlign w:val="baseline"/>
        </w:rPr>
        <w:t> </w:t>
      </w:r>
      <w:r>
        <w:rPr>
          <w:w w:val="99"/>
          <w:vertAlign w:val="baseline"/>
        </w:rPr>
        <w:t>r</w:t>
      </w:r>
      <w:r>
        <w:rPr>
          <w:spacing w:val="-1"/>
          <w:w w:val="99"/>
          <w:vertAlign w:val="baseline"/>
        </w:rPr>
        <w:t>ef</w:t>
      </w:r>
      <w:r>
        <w:rPr>
          <w:w w:val="99"/>
          <w:vertAlign w:val="baseline"/>
        </w:rPr>
        <w:t>ers</w:t>
      </w:r>
      <w:r>
        <w:rPr>
          <w:spacing w:val="23"/>
          <w:vertAlign w:val="baseline"/>
        </w:rPr>
        <w:t> </w:t>
      </w:r>
      <w:r>
        <w:rPr>
          <w:w w:val="99"/>
          <w:vertAlign w:val="baseline"/>
        </w:rPr>
        <w:t>to</w:t>
      </w:r>
      <w:r>
        <w:rPr>
          <w:spacing w:val="24"/>
          <w:vertAlign w:val="baseline"/>
        </w:rPr>
        <w:t> </w:t>
      </w:r>
      <w:r>
        <w:rPr>
          <w:w w:val="33"/>
          <w:vertAlign w:val="baseline"/>
        </w:rPr>
        <w:t>―</w:t>
      </w:r>
      <w:r>
        <w:rPr>
          <w:w w:val="99"/>
          <w:vertAlign w:val="baseline"/>
        </w:rPr>
        <w:t>two</w:t>
      </w:r>
      <w:r>
        <w:rPr>
          <w:spacing w:val="24"/>
          <w:vertAlign w:val="baseline"/>
        </w:rPr>
        <w:t> </w:t>
      </w:r>
      <w:r>
        <w:rPr>
          <w:w w:val="99"/>
          <w:vertAlign w:val="baseline"/>
        </w:rPr>
        <w:t>conside</w:t>
      </w:r>
      <w:r>
        <w:rPr>
          <w:spacing w:val="-1"/>
          <w:w w:val="99"/>
          <w:vertAlign w:val="baseline"/>
        </w:rPr>
        <w:t>ra</w:t>
      </w:r>
      <w:r>
        <w:rPr>
          <w:w w:val="99"/>
          <w:vertAlign w:val="baseline"/>
        </w:rPr>
        <w:t>b</w:t>
      </w:r>
      <w:r>
        <w:rPr>
          <w:spacing w:val="-1"/>
          <w:w w:val="99"/>
          <w:vertAlign w:val="baseline"/>
        </w:rPr>
        <w:t>l</w:t>
      </w:r>
      <w:r>
        <w:rPr>
          <w:w w:val="99"/>
          <w:vertAlign w:val="baseline"/>
        </w:rPr>
        <w:t>e</w:t>
      </w:r>
      <w:r>
        <w:rPr>
          <w:spacing w:val="24"/>
          <w:vertAlign w:val="baseline"/>
        </w:rPr>
        <w:t> </w:t>
      </w:r>
      <w:r>
        <w:rPr>
          <w:w w:val="99"/>
          <w:vertAlign w:val="baseline"/>
        </w:rPr>
        <w:t>to</w:t>
      </w:r>
      <w:r>
        <w:rPr>
          <w:spacing w:val="1"/>
          <w:w w:val="99"/>
          <w:vertAlign w:val="baseline"/>
        </w:rPr>
        <w:t>m</w:t>
      </w:r>
      <w:r>
        <w:rPr>
          <w:spacing w:val="-1"/>
          <w:w w:val="99"/>
          <w:vertAlign w:val="baseline"/>
        </w:rPr>
        <w:t>b</w:t>
      </w:r>
      <w:r>
        <w:rPr>
          <w:w w:val="99"/>
          <w:vertAlign w:val="baseline"/>
        </w:rPr>
        <w:t>s</w:t>
      </w:r>
      <w:r>
        <w:rPr>
          <w:spacing w:val="24"/>
          <w:vertAlign w:val="baseline"/>
        </w:rPr>
        <w:t> </w:t>
      </w:r>
      <w:r>
        <w:rPr>
          <w:spacing w:val="-1"/>
          <w:w w:val="99"/>
          <w:vertAlign w:val="baseline"/>
        </w:rPr>
        <w:t>o</w:t>
      </w:r>
      <w:r>
        <w:rPr>
          <w:w w:val="99"/>
          <w:vertAlign w:val="baseline"/>
        </w:rPr>
        <w:t>f</w:t>
      </w:r>
      <w:r>
        <w:rPr>
          <w:spacing w:val="24"/>
          <w:vertAlign w:val="baseline"/>
        </w:rPr>
        <w:t> </w:t>
      </w:r>
      <w:r>
        <w:rPr>
          <w:w w:val="99"/>
          <w:vertAlign w:val="baseline"/>
        </w:rPr>
        <w:t>six </w:t>
      </w:r>
      <w:r>
        <w:rPr>
          <w:vertAlign w:val="baseline"/>
        </w:rPr>
        <w:t>and seven yards in length‖ near the city. The text identified several sacred</w:t>
      </w:r>
      <w:r>
        <w:rPr>
          <w:spacing w:val="4"/>
          <w:vertAlign w:val="baseline"/>
        </w:rPr>
        <w:t> </w:t>
      </w:r>
      <w:r>
        <w:rPr>
          <w:vertAlign w:val="baseline"/>
        </w:rPr>
        <w:t>places</w:t>
      </w:r>
    </w:p>
    <w:p>
      <w:pPr>
        <w:pStyle w:val="BodyText"/>
        <w:spacing w:line="20" w:lineRule="exact"/>
        <w:ind w:left="500"/>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spacing w:line="207" w:lineRule="exact" w:before="96"/>
        <w:ind w:left="500" w:right="0" w:firstLine="0"/>
        <w:jc w:val="left"/>
        <w:rPr>
          <w:sz w:val="18"/>
        </w:rPr>
      </w:pPr>
      <w:r>
        <w:rPr>
          <w:sz w:val="18"/>
          <w:vertAlign w:val="superscript"/>
        </w:rPr>
        <w:t>31</w:t>
      </w:r>
      <w:r>
        <w:rPr>
          <w:sz w:val="18"/>
          <w:vertAlign w:val="baseline"/>
        </w:rPr>
        <w:t> Manucci, Niccol , and William Irvine, </w:t>
      </w:r>
      <w:r>
        <w:rPr>
          <w:i/>
          <w:sz w:val="18"/>
          <w:vertAlign w:val="baseline"/>
        </w:rPr>
        <w:t>Storia do Mogor; or, Mogul India, 1653-1708</w:t>
      </w:r>
      <w:r>
        <w:rPr>
          <w:sz w:val="18"/>
          <w:vertAlign w:val="baseline"/>
        </w:rPr>
        <w:t>, J. Murray: London (1907).</w:t>
      </w:r>
    </w:p>
    <w:p>
      <w:pPr>
        <w:spacing w:line="244" w:lineRule="auto" w:before="0"/>
        <w:ind w:left="500" w:right="512" w:firstLine="0"/>
        <w:jc w:val="left"/>
        <w:rPr>
          <w:sz w:val="18"/>
        </w:rPr>
      </w:pPr>
      <w:r>
        <w:rPr>
          <w:sz w:val="18"/>
          <w:vertAlign w:val="superscript"/>
        </w:rPr>
        <w:t>32</w:t>
      </w:r>
      <w:r>
        <w:rPr>
          <w:sz w:val="18"/>
          <w:vertAlign w:val="baseline"/>
        </w:rPr>
        <w:t> Ab  </w:t>
      </w:r>
      <w:r>
        <w:rPr>
          <w:spacing w:val="-9"/>
          <w:sz w:val="18"/>
          <w:vertAlign w:val="baseline"/>
        </w:rPr>
        <w:t>al-Faz</w:t>
      </w:r>
      <w:r>
        <w:rPr>
          <w:spacing w:val="-9"/>
          <w:position w:val="1"/>
          <w:sz w:val="18"/>
          <w:vertAlign w:val="baseline"/>
        </w:rPr>
        <w:t>  </w:t>
      </w:r>
      <w:r>
        <w:rPr>
          <w:sz w:val="18"/>
          <w:vertAlign w:val="baseline"/>
        </w:rPr>
        <w:t>l ibn Mub  rak and H. Blochmann, The Ain i Akbari</w:t>
      </w:r>
      <w:r>
        <w:rPr>
          <w:i/>
          <w:sz w:val="18"/>
          <w:vertAlign w:val="baseline"/>
        </w:rPr>
        <w:t>, </w:t>
      </w:r>
      <w:r>
        <w:rPr>
          <w:sz w:val="18"/>
          <w:vertAlign w:val="baseline"/>
        </w:rPr>
        <w:t>1873, Calcutta: Rouse (Reprint of </w:t>
      </w:r>
      <w:r>
        <w:rPr>
          <w:spacing w:val="-7"/>
          <w:sz w:val="18"/>
          <w:vertAlign w:val="baseline"/>
        </w:rPr>
        <w:t>1989  </w:t>
      </w:r>
      <w:r>
        <w:rPr>
          <w:sz w:val="18"/>
          <w:vertAlign w:val="baseline"/>
        </w:rPr>
        <w:t>published by Low Price Publications,</w:t>
      </w:r>
      <w:r>
        <w:rPr>
          <w:spacing w:val="-6"/>
          <w:sz w:val="18"/>
          <w:vertAlign w:val="baseline"/>
        </w:rPr>
        <w:t> </w:t>
      </w:r>
      <w:r>
        <w:rPr>
          <w:sz w:val="18"/>
          <w:vertAlign w:val="baseline"/>
        </w:rPr>
        <w:t>Delhi)</w:t>
      </w:r>
    </w:p>
    <w:p>
      <w:pPr>
        <w:spacing w:after="0" w:line="244" w:lineRule="auto"/>
        <w:jc w:val="left"/>
        <w:rPr>
          <w:sz w:val="18"/>
        </w:rPr>
        <w:sectPr>
          <w:pgSz w:w="11910" w:h="16840"/>
          <w:pgMar w:header="721" w:footer="1014" w:top="1300" w:bottom="1200" w:left="940" w:right="1000"/>
        </w:sectPr>
      </w:pPr>
    </w:p>
    <w:p>
      <w:pPr>
        <w:pStyle w:val="BodyText"/>
        <w:spacing w:line="480" w:lineRule="auto" w:before="124"/>
        <w:ind w:left="500" w:right="439"/>
        <w:jc w:val="both"/>
      </w:pPr>
      <w:r>
        <w:rPr/>
        <w:t>of pilgrimage. It specifically speaks of Ayodhya where during the month of Chaitra, a religious festival is held. Mr Mishra urged that there is no reference in the Ain-e-akbari to the construction of a mosque at Ayodhya. The text refers to certain cities as being dedicated to the divinities, among them being Kashi and Ayodhya. By its order dated 18 March 2010, the High Court permitted the above text to be relied on under the provisions of Section 57(13) of the Evidence Act 1872.</w:t>
      </w:r>
    </w:p>
    <w:p>
      <w:pPr>
        <w:pStyle w:val="BodyText"/>
        <w:rPr>
          <w:sz w:val="28"/>
        </w:rPr>
      </w:pPr>
    </w:p>
    <w:p>
      <w:pPr>
        <w:pStyle w:val="BodyText"/>
        <w:rPr>
          <w:sz w:val="28"/>
        </w:rPr>
      </w:pPr>
    </w:p>
    <w:p>
      <w:pPr>
        <w:pStyle w:val="ListParagraph"/>
        <w:numPr>
          <w:ilvl w:val="0"/>
          <w:numId w:val="3"/>
        </w:numPr>
        <w:tabs>
          <w:tab w:pos="1221" w:val="left" w:leader="none"/>
        </w:tabs>
        <w:spacing w:line="480" w:lineRule="auto" w:before="218" w:after="0"/>
        <w:ind w:left="500" w:right="439" w:firstLine="0"/>
        <w:jc w:val="both"/>
        <w:rPr>
          <w:sz w:val="25"/>
        </w:rPr>
      </w:pPr>
      <w:r>
        <w:rPr>
          <w:sz w:val="25"/>
        </w:rPr>
        <w:t>Rebutting the above submissions principally urged by Mr P N Mishra and Mr Mohd Nizamuddin Pasha, learned </w:t>
      </w:r>
      <w:r>
        <w:rPr>
          <w:color w:val="000009"/>
          <w:sz w:val="25"/>
        </w:rPr>
        <w:t>Counsel appeaing on behalf of the plaintiffs in Suit 4 </w:t>
      </w:r>
      <w:r>
        <w:rPr>
          <w:sz w:val="25"/>
        </w:rPr>
        <w:t>urged that an unnecessary confusion was sought to be created over the identity of Mir Baqi. He submitted that in the Babur-Nama, he is known by the following titles /</w:t>
      </w:r>
      <w:r>
        <w:rPr>
          <w:spacing w:val="-2"/>
          <w:sz w:val="25"/>
        </w:rPr>
        <w:t> </w:t>
      </w:r>
      <w:r>
        <w:rPr>
          <w:sz w:val="25"/>
        </w:rPr>
        <w:t>suffixes:</w:t>
      </w:r>
    </w:p>
    <w:p>
      <w:pPr>
        <w:spacing w:line="480" w:lineRule="auto" w:before="1"/>
        <w:ind w:left="1940" w:right="438" w:hanging="720"/>
        <w:jc w:val="both"/>
        <w:rPr>
          <w:sz w:val="25"/>
        </w:rPr>
      </w:pPr>
      <w:r>
        <w:rPr>
          <w:w w:val="99"/>
          <w:sz w:val="25"/>
        </w:rPr>
        <w:t>(</w:t>
      </w:r>
      <w:r>
        <w:rPr>
          <w:w w:val="99"/>
          <w:sz w:val="25"/>
        </w:rPr>
        <w:t>j)</w:t>
      </w:r>
      <w:r>
        <w:rPr>
          <w:sz w:val="25"/>
        </w:rPr>
        <w:t>       </w:t>
      </w:r>
      <w:r>
        <w:rPr>
          <w:w w:val="99"/>
          <w:sz w:val="25"/>
        </w:rPr>
        <w:t>B</w:t>
      </w:r>
      <w:r>
        <w:rPr>
          <w:w w:val="99"/>
          <w:sz w:val="25"/>
        </w:rPr>
        <w:t>aq</w:t>
      </w:r>
      <w:r>
        <w:rPr>
          <w:w w:val="99"/>
          <w:sz w:val="25"/>
        </w:rPr>
        <w:t>i</w:t>
      </w:r>
      <w:r>
        <w:rPr>
          <w:sz w:val="25"/>
        </w:rPr>
        <w:t> </w:t>
      </w:r>
      <w:r>
        <w:rPr>
          <w:w w:val="99"/>
          <w:sz w:val="25"/>
        </w:rPr>
        <w:t>S</w:t>
      </w:r>
      <w:r>
        <w:rPr>
          <w:w w:val="99"/>
          <w:sz w:val="25"/>
        </w:rPr>
        <w:t>ha</w:t>
      </w:r>
      <w:r>
        <w:rPr>
          <w:w w:val="99"/>
          <w:sz w:val="25"/>
        </w:rPr>
        <w:t>r</w:t>
      </w:r>
      <w:r>
        <w:rPr>
          <w:w w:val="99"/>
          <w:sz w:val="25"/>
        </w:rPr>
        <w:t>ghwal</w:t>
      </w:r>
      <w:r>
        <w:rPr>
          <w:sz w:val="25"/>
        </w:rPr>
        <w:t> </w:t>
      </w:r>
      <w:r>
        <w:rPr>
          <w:w w:val="99"/>
          <w:sz w:val="25"/>
        </w:rPr>
        <w:t>–</w:t>
      </w:r>
      <w:r>
        <w:rPr>
          <w:sz w:val="25"/>
        </w:rPr>
        <w:t> </w:t>
      </w:r>
      <w:r>
        <w:rPr>
          <w:w w:val="33"/>
          <w:sz w:val="25"/>
        </w:rPr>
        <w:t>―</w:t>
      </w:r>
      <w:r>
        <w:rPr>
          <w:w w:val="99"/>
          <w:sz w:val="25"/>
        </w:rPr>
        <w:t>high</w:t>
      </w:r>
      <w:r>
        <w:rPr>
          <w:sz w:val="25"/>
        </w:rPr>
        <w:t> </w:t>
      </w:r>
      <w:r>
        <w:rPr>
          <w:w w:val="99"/>
          <w:sz w:val="25"/>
        </w:rPr>
        <w:t>official</w:t>
      </w:r>
      <w:r>
        <w:rPr>
          <w:sz w:val="25"/>
        </w:rPr>
        <w:t> </w:t>
      </w:r>
      <w:r>
        <w:rPr>
          <w:w w:val="99"/>
          <w:sz w:val="25"/>
        </w:rPr>
        <w:t>of</w:t>
      </w:r>
      <w:r>
        <w:rPr>
          <w:sz w:val="25"/>
        </w:rPr>
        <w:t> </w:t>
      </w:r>
      <w:r>
        <w:rPr>
          <w:w w:val="99"/>
          <w:sz w:val="25"/>
        </w:rPr>
        <w:t>Central</w:t>
      </w:r>
      <w:r>
        <w:rPr>
          <w:sz w:val="25"/>
        </w:rPr>
        <w:t> </w:t>
      </w:r>
      <w:r>
        <w:rPr>
          <w:w w:val="99"/>
          <w:sz w:val="25"/>
        </w:rPr>
        <w:t>Asian</w:t>
      </w:r>
      <w:r>
        <w:rPr>
          <w:sz w:val="25"/>
        </w:rPr>
        <w:t> </w:t>
      </w:r>
      <w:r>
        <w:rPr>
          <w:w w:val="99"/>
          <w:sz w:val="25"/>
        </w:rPr>
        <w:t>sovereigns,</w:t>
      </w:r>
      <w:r>
        <w:rPr>
          <w:sz w:val="25"/>
        </w:rPr>
        <w:t> </w:t>
      </w:r>
      <w:r>
        <w:rPr>
          <w:w w:val="99"/>
          <w:sz w:val="25"/>
        </w:rPr>
        <w:t>who</w:t>
      </w:r>
      <w:r>
        <w:rPr>
          <w:sz w:val="25"/>
        </w:rPr>
        <w:t> </w:t>
      </w:r>
      <w:r>
        <w:rPr>
          <w:w w:val="99"/>
          <w:sz w:val="25"/>
        </w:rPr>
        <w:t>is supreme</w:t>
      </w:r>
      <w:r>
        <w:rPr>
          <w:sz w:val="25"/>
        </w:rPr>
        <w:t> </w:t>
      </w:r>
      <w:r>
        <w:rPr>
          <w:w w:val="99"/>
          <w:sz w:val="25"/>
        </w:rPr>
        <w:t>over</w:t>
      </w:r>
      <w:r>
        <w:rPr>
          <w:sz w:val="25"/>
        </w:rPr>
        <w:t> </w:t>
      </w:r>
      <w:r>
        <w:rPr>
          <w:w w:val="99"/>
          <w:sz w:val="25"/>
        </w:rPr>
        <w:t>all</w:t>
      </w:r>
      <w:r>
        <w:rPr>
          <w:sz w:val="25"/>
        </w:rPr>
        <w:t> </w:t>
      </w:r>
      <w:r>
        <w:rPr>
          <w:w w:val="99"/>
          <w:sz w:val="25"/>
        </w:rPr>
        <w:t>qazis</w:t>
      </w:r>
      <w:r>
        <w:rPr>
          <w:sz w:val="25"/>
        </w:rPr>
        <w:t> </w:t>
      </w:r>
      <w:r>
        <w:rPr>
          <w:w w:val="99"/>
          <w:sz w:val="25"/>
        </w:rPr>
        <w:t>and</w:t>
      </w:r>
      <w:r>
        <w:rPr>
          <w:sz w:val="25"/>
        </w:rPr>
        <w:t> </w:t>
      </w:r>
      <w:r>
        <w:rPr>
          <w:w w:val="99"/>
          <w:sz w:val="25"/>
        </w:rPr>
        <w:t>mullah</w:t>
      </w:r>
      <w:r>
        <w:rPr>
          <w:w w:val="80"/>
          <w:sz w:val="25"/>
        </w:rPr>
        <w:t>‖</w:t>
      </w:r>
      <w:r>
        <w:rPr>
          <w:w w:val="99"/>
          <w:sz w:val="25"/>
        </w:rPr>
        <w:t>.</w:t>
      </w:r>
      <w:r>
        <w:rPr>
          <w:sz w:val="25"/>
        </w:rPr>
        <w:t> </w:t>
      </w:r>
      <w:r>
        <w:rPr>
          <w:w w:val="99"/>
          <w:sz w:val="25"/>
        </w:rPr>
        <w:t>(See</w:t>
      </w:r>
      <w:r>
        <w:rPr>
          <w:sz w:val="25"/>
        </w:rPr>
        <w:t> </w:t>
      </w:r>
      <w:r>
        <w:rPr>
          <w:w w:val="33"/>
          <w:sz w:val="25"/>
        </w:rPr>
        <w:t>―</w:t>
      </w:r>
      <w:r>
        <w:rPr>
          <w:b/>
          <w:w w:val="99"/>
          <w:sz w:val="25"/>
        </w:rPr>
        <w:t>Baburn</w:t>
      </w:r>
      <w:r>
        <w:rPr>
          <w:b/>
          <w:w w:val="99"/>
          <w:sz w:val="25"/>
        </w:rPr>
        <w:t>ama‖,</w:t>
      </w:r>
      <w:r>
        <w:rPr>
          <w:b/>
          <w:sz w:val="25"/>
        </w:rPr>
        <w:t> </w:t>
      </w:r>
      <w:r>
        <w:rPr>
          <w:b/>
          <w:w w:val="99"/>
          <w:sz w:val="25"/>
        </w:rPr>
        <w:t>translated </w:t>
      </w:r>
      <w:r>
        <w:rPr>
          <w:b/>
          <w:sz w:val="25"/>
        </w:rPr>
        <w:t>by A.S. Beveridge, 1921, p. 463)</w:t>
      </w:r>
      <w:r>
        <w:rPr>
          <w:sz w:val="25"/>
        </w:rPr>
        <w:t>;</w:t>
      </w:r>
    </w:p>
    <w:p>
      <w:pPr>
        <w:pStyle w:val="ListParagraph"/>
        <w:numPr>
          <w:ilvl w:val="1"/>
          <w:numId w:val="42"/>
        </w:numPr>
        <w:tabs>
          <w:tab w:pos="1941" w:val="left" w:leader="none"/>
        </w:tabs>
        <w:spacing w:line="240" w:lineRule="auto" w:before="200" w:after="0"/>
        <w:ind w:left="1940" w:right="0" w:hanging="721"/>
        <w:jc w:val="both"/>
        <w:rPr>
          <w:sz w:val="25"/>
        </w:rPr>
      </w:pPr>
      <w:r>
        <w:rPr>
          <w:sz w:val="25"/>
        </w:rPr>
        <w:t>Baqi Mingbashi – Commander of a thousand men</w:t>
      </w:r>
      <w:r>
        <w:rPr>
          <w:spacing w:val="14"/>
          <w:sz w:val="25"/>
        </w:rPr>
        <w:t> </w:t>
      </w:r>
      <w:r>
        <w:rPr>
          <w:sz w:val="25"/>
        </w:rPr>
        <w:t>(See</w:t>
      </w:r>
    </w:p>
    <w:p>
      <w:pPr>
        <w:pStyle w:val="BodyText"/>
        <w:spacing w:before="10"/>
        <w:rPr>
          <w:sz w:val="24"/>
        </w:rPr>
      </w:pPr>
    </w:p>
    <w:p>
      <w:pPr>
        <w:pStyle w:val="Heading5"/>
        <w:spacing w:before="1"/>
        <w:ind w:left="1940" w:firstLine="0"/>
        <w:jc w:val="left"/>
        <w:rPr>
          <w:b w:val="0"/>
        </w:rPr>
      </w:pPr>
      <w:r>
        <w:rPr/>
        <w:t>―Baburnama‖, translated by A.S. Beveridge, 1921, p. 590)</w:t>
      </w:r>
      <w:r>
        <w:rPr>
          <w:b w:val="0"/>
        </w:rPr>
        <w:t>; and</w:t>
      </w:r>
    </w:p>
    <w:p>
      <w:pPr>
        <w:pStyle w:val="BodyText"/>
        <w:spacing w:before="9"/>
        <w:rPr>
          <w:sz w:val="24"/>
        </w:rPr>
      </w:pPr>
    </w:p>
    <w:p>
      <w:pPr>
        <w:pStyle w:val="ListParagraph"/>
        <w:numPr>
          <w:ilvl w:val="1"/>
          <w:numId w:val="42"/>
        </w:numPr>
        <w:tabs>
          <w:tab w:pos="1941" w:val="left" w:leader="none"/>
        </w:tabs>
        <w:spacing w:line="480" w:lineRule="auto" w:before="1" w:after="0"/>
        <w:ind w:left="1940" w:right="438" w:hanging="720"/>
        <w:jc w:val="both"/>
        <w:rPr>
          <w:sz w:val="25"/>
        </w:rPr>
      </w:pPr>
      <w:r>
        <w:rPr>
          <w:sz w:val="25"/>
        </w:rPr>
        <w:t>Baqi Tashkinti – Hailing of Tashkent (See </w:t>
      </w:r>
      <w:r>
        <w:rPr>
          <w:b/>
          <w:sz w:val="25"/>
        </w:rPr>
        <w:t>―Baburnama‖, translated by A.S. Beveridge, 1921, p. 601,</w:t>
      </w:r>
      <w:r>
        <w:rPr>
          <w:b/>
          <w:spacing w:val="-7"/>
          <w:sz w:val="25"/>
        </w:rPr>
        <w:t> </w:t>
      </w:r>
      <w:r>
        <w:rPr>
          <w:b/>
          <w:sz w:val="25"/>
        </w:rPr>
        <w:t>684)</w:t>
      </w:r>
      <w:r>
        <w:rPr>
          <w:sz w:val="25"/>
        </w:rPr>
        <w:t>.</w:t>
      </w:r>
    </w:p>
    <w:p>
      <w:pPr>
        <w:pStyle w:val="BodyText"/>
        <w:spacing w:before="2"/>
      </w:pPr>
    </w:p>
    <w:p>
      <w:pPr>
        <w:pStyle w:val="BodyText"/>
        <w:spacing w:line="480" w:lineRule="auto"/>
        <w:ind w:left="500" w:right="447"/>
        <w:jc w:val="both"/>
      </w:pPr>
      <w:r>
        <w:rPr/>
        <w:t>Mr Pasha urged that the inscriptions above the door of Babri Masjid read as Mir Baqi Asif Sani, which the District Judge, Faizabad misread as ‗Isfahani‘ in his order of 1946 in the suit between the Shia Waqf Board and Sunni Waqf Board.</w:t>
      </w:r>
    </w:p>
    <w:p>
      <w:pPr>
        <w:spacing w:after="0" w:line="480" w:lineRule="auto"/>
        <w:jc w:val="both"/>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5" w:firstLine="0"/>
        <w:jc w:val="both"/>
        <w:rPr>
          <w:sz w:val="25"/>
        </w:rPr>
      </w:pPr>
      <w:r>
        <w:rPr>
          <w:sz w:val="25"/>
        </w:rPr>
        <w:t>Having set out the material which was presented before the High Court in support of the plea that the mosque was constructed in 1528 by Mir Baki, on the instructions of Emperor Babur following the conquest of the sub-continent, it becomes necessary to analyse the conclusions which have been arrived at by  the three judges of the High Court</w:t>
      </w:r>
      <w:r>
        <w:rPr>
          <w:spacing w:val="-4"/>
          <w:sz w:val="25"/>
        </w:rPr>
        <w:t> </w:t>
      </w:r>
      <w:r>
        <w:rPr>
          <w:sz w:val="25"/>
        </w:rPr>
        <w:t>:</w:t>
      </w:r>
    </w:p>
    <w:p>
      <w:pPr>
        <w:pStyle w:val="BodyText"/>
        <w:spacing w:before="9"/>
        <w:rPr>
          <w:sz w:val="24"/>
        </w:rPr>
      </w:pPr>
    </w:p>
    <w:p>
      <w:pPr>
        <w:pStyle w:val="Heading5"/>
        <w:numPr>
          <w:ilvl w:val="0"/>
          <w:numId w:val="50"/>
        </w:numPr>
        <w:tabs>
          <w:tab w:pos="1221" w:val="left" w:leader="none"/>
        </w:tabs>
        <w:spacing w:line="240" w:lineRule="auto" w:before="1" w:after="0"/>
        <w:ind w:left="1220" w:right="0" w:hanging="721"/>
        <w:jc w:val="both"/>
      </w:pPr>
      <w:r>
        <w:rPr/>
        <w:t>Justice S U</w:t>
      </w:r>
      <w:r>
        <w:rPr>
          <w:spacing w:val="-2"/>
        </w:rPr>
        <w:t> </w:t>
      </w:r>
      <w:r>
        <w:rPr/>
        <w:t>Khan</w:t>
      </w:r>
    </w:p>
    <w:p>
      <w:pPr>
        <w:pStyle w:val="BodyText"/>
        <w:spacing w:before="1"/>
        <w:rPr>
          <w:b/>
        </w:rPr>
      </w:pPr>
    </w:p>
    <w:p>
      <w:pPr>
        <w:pStyle w:val="BodyText"/>
        <w:ind w:left="1220"/>
      </w:pPr>
      <w:r>
        <w:rPr/>
        <w:t>Justice S U Khan held:</w:t>
      </w:r>
    </w:p>
    <w:p>
      <w:pPr>
        <w:pStyle w:val="BodyText"/>
      </w:pPr>
    </w:p>
    <w:p>
      <w:pPr>
        <w:spacing w:line="273" w:lineRule="auto" w:before="0"/>
        <w:ind w:left="1940" w:right="2264" w:firstLine="0"/>
        <w:jc w:val="left"/>
        <w:rPr>
          <w:sz w:val="21"/>
        </w:rPr>
      </w:pPr>
      <w:r>
        <w:rPr>
          <w:w w:val="33"/>
          <w:sz w:val="21"/>
        </w:rPr>
        <w:t>―</w:t>
      </w:r>
      <w:r>
        <w:rPr>
          <w:w w:val="100"/>
          <w:sz w:val="21"/>
        </w:rPr>
        <w:t>Muslims</w:t>
      </w:r>
      <w:r>
        <w:rPr>
          <w:sz w:val="21"/>
        </w:rPr>
        <w:t> </w:t>
      </w:r>
      <w:r>
        <w:rPr>
          <w:w w:val="100"/>
          <w:sz w:val="21"/>
        </w:rPr>
        <w:t>have</w:t>
      </w:r>
      <w:r>
        <w:rPr>
          <w:sz w:val="21"/>
        </w:rPr>
        <w:t> </w:t>
      </w:r>
      <w:r>
        <w:rPr>
          <w:w w:val="100"/>
          <w:sz w:val="21"/>
        </w:rPr>
        <w:t>not</w:t>
      </w:r>
      <w:r>
        <w:rPr>
          <w:sz w:val="21"/>
        </w:rPr>
        <w:t> </w:t>
      </w:r>
      <w:r>
        <w:rPr>
          <w:w w:val="100"/>
          <w:sz w:val="21"/>
        </w:rPr>
        <w:t>been</w:t>
      </w:r>
      <w:r>
        <w:rPr>
          <w:sz w:val="21"/>
        </w:rPr>
        <w:t> </w:t>
      </w:r>
      <w:r>
        <w:rPr>
          <w:w w:val="100"/>
          <w:sz w:val="21"/>
        </w:rPr>
        <w:t>able</w:t>
      </w:r>
      <w:r>
        <w:rPr>
          <w:sz w:val="21"/>
        </w:rPr>
        <w:t> </w:t>
      </w:r>
      <w:r>
        <w:rPr>
          <w:w w:val="100"/>
          <w:sz w:val="21"/>
        </w:rPr>
        <w:t>to</w:t>
      </w:r>
      <w:r>
        <w:rPr>
          <w:sz w:val="21"/>
        </w:rPr>
        <w:t> </w:t>
      </w:r>
      <w:r>
        <w:rPr>
          <w:w w:val="100"/>
          <w:sz w:val="21"/>
        </w:rPr>
        <w:t>prove</w:t>
      </w:r>
      <w:r>
        <w:rPr>
          <w:sz w:val="21"/>
        </w:rPr>
        <w:t> </w:t>
      </w:r>
      <w:r>
        <w:rPr>
          <w:w w:val="100"/>
          <w:sz w:val="21"/>
        </w:rPr>
        <w:t>that</w:t>
      </w:r>
      <w:r>
        <w:rPr>
          <w:sz w:val="21"/>
        </w:rPr>
        <w:t> </w:t>
      </w:r>
      <w:r>
        <w:rPr>
          <w:w w:val="100"/>
          <w:sz w:val="21"/>
        </w:rPr>
        <w:t>the</w:t>
      </w:r>
      <w:r>
        <w:rPr>
          <w:sz w:val="21"/>
        </w:rPr>
        <w:t> </w:t>
      </w:r>
      <w:r>
        <w:rPr>
          <w:w w:val="100"/>
          <w:sz w:val="21"/>
        </w:rPr>
        <w:t>land</w:t>
      </w:r>
      <w:r>
        <w:rPr>
          <w:sz w:val="21"/>
        </w:rPr>
        <w:t> </w:t>
      </w:r>
      <w:r>
        <w:rPr>
          <w:w w:val="100"/>
          <w:sz w:val="21"/>
        </w:rPr>
        <w:t>belonged </w:t>
      </w:r>
      <w:r>
        <w:rPr>
          <w:sz w:val="21"/>
        </w:rPr>
        <w:t>to Babur under whose orders the mosque was constructed‖</w:t>
      </w:r>
    </w:p>
    <w:p>
      <w:pPr>
        <w:pStyle w:val="BodyText"/>
        <w:spacing w:before="7"/>
        <w:rPr>
          <w:sz w:val="24"/>
        </w:rPr>
      </w:pPr>
    </w:p>
    <w:p>
      <w:pPr>
        <w:pStyle w:val="BodyText"/>
        <w:spacing w:line="480" w:lineRule="auto" w:before="1"/>
        <w:ind w:left="500" w:right="442"/>
        <w:jc w:val="both"/>
      </w:pPr>
      <w:r>
        <w:rPr/>
        <w:t>Moreover, the learned judge held that the inscriptions on the mosque as translated by </w:t>
      </w:r>
      <w:r>
        <w:rPr>
          <w:b/>
        </w:rPr>
        <w:t>Fuhrer</w:t>
      </w:r>
      <w:r>
        <w:rPr/>
        <w:t>, </w:t>
      </w:r>
      <w:r>
        <w:rPr>
          <w:b/>
        </w:rPr>
        <w:t>Beveridge </w:t>
      </w:r>
      <w:r>
        <w:rPr/>
        <w:t>and </w:t>
      </w:r>
      <w:r>
        <w:rPr>
          <w:b/>
        </w:rPr>
        <w:t>Z A Desai </w:t>
      </w:r>
      <w:r>
        <w:rPr/>
        <w:t>were not authentic and hence, on the basis of these inscriptions alone, it could not be held either that the disputed building was constructed by or under the orders of Babur or that it was constructed in 1528. Justice S U Khan specifically observed that:</w:t>
      </w:r>
    </w:p>
    <w:p>
      <w:pPr>
        <w:spacing w:line="273" w:lineRule="auto" w:before="0"/>
        <w:ind w:left="2031" w:right="2346" w:firstLine="0"/>
        <w:jc w:val="left"/>
        <w:rPr>
          <w:sz w:val="21"/>
        </w:rPr>
      </w:pPr>
      <w:r>
        <w:rPr>
          <w:w w:val="33"/>
          <w:sz w:val="21"/>
        </w:rPr>
        <w:t>―</w:t>
      </w:r>
      <w:r>
        <w:rPr>
          <w:w w:val="100"/>
          <w:sz w:val="21"/>
        </w:rPr>
        <w:t>In</w:t>
      </w:r>
      <w:r>
        <w:rPr>
          <w:sz w:val="21"/>
        </w:rPr>
        <w:t> </w:t>
      </w:r>
      <w:r>
        <w:rPr>
          <w:w w:val="100"/>
          <w:sz w:val="21"/>
        </w:rPr>
        <w:t>this</w:t>
      </w:r>
      <w:r>
        <w:rPr>
          <w:sz w:val="21"/>
        </w:rPr>
        <w:t> </w:t>
      </w:r>
      <w:r>
        <w:rPr>
          <w:w w:val="100"/>
          <w:sz w:val="21"/>
        </w:rPr>
        <w:t>regard</w:t>
      </w:r>
      <w:r>
        <w:rPr>
          <w:sz w:val="21"/>
        </w:rPr>
        <w:t> </w:t>
      </w:r>
      <w:r>
        <w:rPr>
          <w:w w:val="100"/>
          <w:sz w:val="21"/>
        </w:rPr>
        <w:t>detailed</w:t>
      </w:r>
      <w:r>
        <w:rPr>
          <w:sz w:val="21"/>
        </w:rPr>
        <w:t> </w:t>
      </w:r>
      <w:r>
        <w:rPr>
          <w:w w:val="100"/>
          <w:sz w:val="21"/>
        </w:rPr>
        <w:t>reasons</w:t>
      </w:r>
      <w:r>
        <w:rPr>
          <w:sz w:val="21"/>
        </w:rPr>
        <w:t> </w:t>
      </w:r>
      <w:r>
        <w:rPr>
          <w:w w:val="100"/>
          <w:sz w:val="21"/>
        </w:rPr>
        <w:t>have</w:t>
      </w:r>
      <w:r>
        <w:rPr>
          <w:sz w:val="21"/>
        </w:rPr>
        <w:t> </w:t>
      </w:r>
      <w:r>
        <w:rPr>
          <w:w w:val="100"/>
          <w:sz w:val="21"/>
        </w:rPr>
        <w:t>been</w:t>
      </w:r>
      <w:r>
        <w:rPr>
          <w:sz w:val="21"/>
        </w:rPr>
        <w:t> </w:t>
      </w:r>
      <w:r>
        <w:rPr>
          <w:w w:val="100"/>
          <w:sz w:val="21"/>
        </w:rPr>
        <w:t>given</w:t>
      </w:r>
      <w:r>
        <w:rPr>
          <w:sz w:val="21"/>
        </w:rPr>
        <w:t> </w:t>
      </w:r>
      <w:r>
        <w:rPr>
          <w:w w:val="100"/>
          <w:sz w:val="21"/>
        </w:rPr>
        <w:t>by</w:t>
      </w:r>
      <w:r>
        <w:rPr>
          <w:sz w:val="21"/>
        </w:rPr>
        <w:t> </w:t>
      </w:r>
      <w:r>
        <w:rPr>
          <w:w w:val="100"/>
          <w:sz w:val="21"/>
        </w:rPr>
        <w:t>my </w:t>
      </w:r>
      <w:r>
        <w:rPr>
          <w:sz w:val="21"/>
        </w:rPr>
        <w:t>learned brother S. Agarwal, J. with which I fully agree‖.</w:t>
      </w:r>
    </w:p>
    <w:p>
      <w:pPr>
        <w:pStyle w:val="BodyText"/>
        <w:rPr>
          <w:sz w:val="24"/>
        </w:rPr>
      </w:pPr>
    </w:p>
    <w:p>
      <w:pPr>
        <w:pStyle w:val="BodyText"/>
        <w:spacing w:line="480" w:lineRule="auto" w:before="211"/>
        <w:ind w:left="500" w:right="444"/>
        <w:jc w:val="both"/>
      </w:pPr>
      <w:r>
        <w:rPr>
          <w:w w:val="99"/>
        </w:rPr>
        <w:t>However,</w:t>
      </w:r>
      <w:r>
        <w:rPr/>
        <w:t> </w:t>
      </w:r>
      <w:r>
        <w:rPr>
          <w:w w:val="99"/>
        </w:rPr>
        <w:t>in</w:t>
      </w:r>
      <w:r>
        <w:rPr/>
        <w:t> </w:t>
      </w:r>
      <w:r>
        <w:rPr>
          <w:w w:val="99"/>
        </w:rPr>
        <w:t>the</w:t>
      </w:r>
      <w:r>
        <w:rPr/>
        <w:t> </w:t>
      </w:r>
      <w:r>
        <w:rPr>
          <w:w w:val="99"/>
        </w:rPr>
        <w:t>course</w:t>
      </w:r>
      <w:r>
        <w:rPr/>
        <w:t> </w:t>
      </w:r>
      <w:r>
        <w:rPr>
          <w:w w:val="99"/>
        </w:rPr>
        <w:t>of</w:t>
      </w:r>
      <w:r>
        <w:rPr/>
        <w:t> </w:t>
      </w:r>
      <w:r>
        <w:rPr>
          <w:w w:val="99"/>
        </w:rPr>
        <w:t>his</w:t>
      </w:r>
      <w:r>
        <w:rPr/>
        <w:t> </w:t>
      </w:r>
      <w:r>
        <w:rPr>
          <w:w w:val="99"/>
        </w:rPr>
        <w:t>conclusions</w:t>
      </w:r>
      <w:r>
        <w:rPr/>
        <w:t> </w:t>
      </w:r>
      <w:r>
        <w:rPr>
          <w:w w:val="99"/>
        </w:rPr>
        <w:t>titled</w:t>
      </w:r>
      <w:r>
        <w:rPr/>
        <w:t> </w:t>
      </w:r>
      <w:r>
        <w:rPr>
          <w:w w:val="99"/>
        </w:rPr>
        <w:t>as</w:t>
      </w:r>
      <w:r>
        <w:rPr/>
        <w:t> </w:t>
      </w:r>
      <w:r>
        <w:rPr>
          <w:w w:val="33"/>
        </w:rPr>
        <w:t>―</w:t>
      </w:r>
      <w:r>
        <w:rPr>
          <w:w w:val="99"/>
        </w:rPr>
        <w:t>Gist</w:t>
      </w:r>
      <w:r>
        <w:rPr/>
        <w:t> </w:t>
      </w:r>
      <w:r>
        <w:rPr>
          <w:w w:val="99"/>
        </w:rPr>
        <w:t>of</w:t>
      </w:r>
      <w:r>
        <w:rPr/>
        <w:t> </w:t>
      </w:r>
      <w:r>
        <w:rPr>
          <w:w w:val="99"/>
        </w:rPr>
        <w:t>the</w:t>
      </w:r>
      <w:r>
        <w:rPr/>
        <w:t> </w:t>
      </w:r>
      <w:r>
        <w:rPr>
          <w:w w:val="99"/>
        </w:rPr>
        <w:t>Findin</w:t>
      </w:r>
      <w:r>
        <w:rPr>
          <w:w w:val="94"/>
        </w:rPr>
        <w:t>gs‖</w:t>
      </w:r>
      <w:r>
        <w:rPr/>
        <w:t> </w:t>
      </w:r>
      <w:r>
        <w:rPr>
          <w:w w:val="99"/>
        </w:rPr>
        <w:t>Justice </w:t>
      </w:r>
      <w:r>
        <w:rPr/>
        <w:t>Khan held:</w:t>
      </w:r>
    </w:p>
    <w:p>
      <w:pPr>
        <w:spacing w:line="276" w:lineRule="auto" w:before="0"/>
        <w:ind w:left="1940" w:right="2263" w:firstLine="0"/>
        <w:jc w:val="both"/>
        <w:rPr>
          <w:sz w:val="21"/>
        </w:rPr>
      </w:pPr>
      <w:r>
        <w:rPr>
          <w:w w:val="75"/>
          <w:sz w:val="21"/>
        </w:rPr>
        <w:t>― </w:t>
      </w:r>
      <w:r>
        <w:rPr>
          <w:sz w:val="21"/>
        </w:rPr>
        <w:t>1. The disputed structure was constructed as mosque by or under orders of Babar.</w:t>
      </w:r>
    </w:p>
    <w:p>
      <w:pPr>
        <w:spacing w:line="276" w:lineRule="auto" w:before="0"/>
        <w:ind w:left="1940" w:right="2263" w:firstLine="0"/>
        <w:jc w:val="both"/>
        <w:rPr>
          <w:sz w:val="21"/>
        </w:rPr>
      </w:pPr>
      <w:r>
        <w:rPr>
          <w:sz w:val="21"/>
        </w:rPr>
        <w:t>2. It is not proved by direct evidence that premises in dispute including constructed portion belonged to Babar or the person who constructed the mosque or under whose orders it was constructed.‖</w:t>
      </w:r>
    </w:p>
    <w:p>
      <w:pPr>
        <w:pStyle w:val="BodyText"/>
        <w:rPr>
          <w:sz w:val="24"/>
        </w:rPr>
      </w:pPr>
    </w:p>
    <w:p>
      <w:pPr>
        <w:pStyle w:val="BodyText"/>
        <w:rPr>
          <w:sz w:val="26"/>
        </w:rPr>
      </w:pPr>
    </w:p>
    <w:p>
      <w:pPr>
        <w:pStyle w:val="BodyText"/>
        <w:spacing w:line="480" w:lineRule="auto"/>
        <w:ind w:left="500" w:right="443"/>
        <w:jc w:val="both"/>
      </w:pPr>
      <w:r>
        <w:rPr/>
        <w:t>The conclusion in point 1 in the above extract of the conclusions is contrary to the earlier finding that it could not be held either that the mosque was constructed by or under the orders of Babur or that it was constructed in 1528. The finding on</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t>point 1 is also contrary to the specific observation that Justice S U Khan was in agreement with the decision of Justice Sudhir Agarwal in regard to the lack of authenticity of the inscriptions.</w:t>
      </w:r>
    </w:p>
    <w:p>
      <w:pPr>
        <w:pStyle w:val="BodyText"/>
        <w:spacing w:before="7"/>
        <w:rPr>
          <w:sz w:val="24"/>
        </w:rPr>
      </w:pPr>
    </w:p>
    <w:p>
      <w:pPr>
        <w:pStyle w:val="Heading5"/>
        <w:numPr>
          <w:ilvl w:val="0"/>
          <w:numId w:val="50"/>
        </w:numPr>
        <w:tabs>
          <w:tab w:pos="1221" w:val="left" w:leader="none"/>
        </w:tabs>
        <w:spacing w:line="240" w:lineRule="auto" w:before="1" w:after="0"/>
        <w:ind w:left="1220" w:right="0" w:hanging="721"/>
        <w:jc w:val="both"/>
      </w:pPr>
      <w:r>
        <w:rPr/>
        <w:t>Justice Sudhir</w:t>
      </w:r>
      <w:r>
        <w:rPr>
          <w:spacing w:val="2"/>
        </w:rPr>
        <w:t> </w:t>
      </w:r>
      <w:r>
        <w:rPr/>
        <w:t>Agarwal</w:t>
      </w:r>
    </w:p>
    <w:p>
      <w:pPr>
        <w:pStyle w:val="BodyText"/>
        <w:rPr>
          <w:b/>
          <w:sz w:val="28"/>
        </w:rPr>
      </w:pPr>
    </w:p>
    <w:p>
      <w:pPr>
        <w:pStyle w:val="BodyText"/>
        <w:spacing w:before="168"/>
        <w:ind w:left="1220"/>
      </w:pPr>
      <w:r>
        <w:rPr/>
        <w:t>Justice Sudhir Agarwal held:</w:t>
      </w:r>
    </w:p>
    <w:p>
      <w:pPr>
        <w:pStyle w:val="BodyText"/>
        <w:rPr>
          <w:sz w:val="28"/>
        </w:rPr>
      </w:pPr>
    </w:p>
    <w:p>
      <w:pPr>
        <w:pStyle w:val="BodyText"/>
        <w:spacing w:before="9"/>
      </w:pPr>
    </w:p>
    <w:p>
      <w:pPr>
        <w:spacing w:line="276" w:lineRule="auto" w:before="1"/>
        <w:ind w:left="1940" w:right="2261" w:firstLine="0"/>
        <w:jc w:val="both"/>
        <w:rPr>
          <w:sz w:val="21"/>
        </w:rPr>
      </w:pPr>
      <w:r>
        <w:rPr>
          <w:spacing w:val="-1"/>
          <w:w w:val="33"/>
          <w:sz w:val="21"/>
        </w:rPr>
        <w:t>―</w:t>
      </w:r>
      <w:r>
        <w:rPr>
          <w:spacing w:val="-1"/>
          <w:w w:val="100"/>
          <w:sz w:val="21"/>
        </w:rPr>
        <w:t>167</w:t>
      </w:r>
      <w:r>
        <w:rPr>
          <w:w w:val="100"/>
          <w:sz w:val="21"/>
        </w:rPr>
        <w:t>9</w:t>
      </w:r>
      <w:r>
        <w:rPr>
          <w:spacing w:val="-2"/>
          <w:w w:val="100"/>
          <w:sz w:val="21"/>
        </w:rPr>
        <w:t>..</w:t>
      </w:r>
      <w:r>
        <w:rPr>
          <w:w w:val="100"/>
          <w:sz w:val="21"/>
        </w:rPr>
        <w:t>.</w:t>
      </w:r>
      <w:r>
        <w:rPr>
          <w:sz w:val="21"/>
        </w:rPr>
        <w:t> </w:t>
      </w:r>
      <w:r>
        <w:rPr>
          <w:spacing w:val="-18"/>
          <w:sz w:val="21"/>
        </w:rPr>
        <w:t> </w:t>
      </w:r>
      <w:r>
        <w:rPr>
          <w:w w:val="100"/>
          <w:sz w:val="21"/>
        </w:rPr>
        <w:t>it</w:t>
      </w:r>
      <w:r>
        <w:rPr>
          <w:sz w:val="21"/>
        </w:rPr>
        <w:t> </w:t>
      </w:r>
      <w:r>
        <w:rPr>
          <w:spacing w:val="-20"/>
          <w:sz w:val="21"/>
        </w:rPr>
        <w:t> </w:t>
      </w:r>
      <w:r>
        <w:rPr>
          <w:w w:val="100"/>
          <w:sz w:val="21"/>
        </w:rPr>
        <w:t>is</w:t>
      </w:r>
      <w:r>
        <w:rPr>
          <w:sz w:val="21"/>
        </w:rPr>
        <w:t> </w:t>
      </w:r>
      <w:r>
        <w:rPr>
          <w:spacing w:val="-17"/>
          <w:sz w:val="21"/>
        </w:rPr>
        <w:t> </w:t>
      </w:r>
      <w:r>
        <w:rPr>
          <w:spacing w:val="-3"/>
          <w:w w:val="100"/>
          <w:sz w:val="21"/>
        </w:rPr>
        <w:t>d</w:t>
      </w:r>
      <w:r>
        <w:rPr>
          <w:spacing w:val="-2"/>
          <w:w w:val="100"/>
          <w:sz w:val="21"/>
        </w:rPr>
        <w:t>i</w:t>
      </w:r>
      <w:r>
        <w:rPr>
          <w:spacing w:val="1"/>
          <w:w w:val="100"/>
          <w:sz w:val="21"/>
        </w:rPr>
        <w:t>f</w:t>
      </w:r>
      <w:r>
        <w:rPr>
          <w:spacing w:val="-2"/>
          <w:w w:val="100"/>
          <w:sz w:val="21"/>
        </w:rPr>
        <w:t>f</w:t>
      </w:r>
      <w:r>
        <w:rPr>
          <w:w w:val="100"/>
          <w:sz w:val="21"/>
        </w:rPr>
        <w:t>ic</w:t>
      </w:r>
      <w:r>
        <w:rPr>
          <w:spacing w:val="-3"/>
          <w:w w:val="100"/>
          <w:sz w:val="21"/>
        </w:rPr>
        <w:t>u</w:t>
      </w:r>
      <w:r>
        <w:rPr>
          <w:w w:val="100"/>
          <w:sz w:val="21"/>
        </w:rPr>
        <w:t>lt</w:t>
      </w:r>
      <w:r>
        <w:rPr>
          <w:sz w:val="21"/>
        </w:rPr>
        <w:t> </w:t>
      </w:r>
      <w:r>
        <w:rPr>
          <w:spacing w:val="-18"/>
          <w:sz w:val="21"/>
        </w:rPr>
        <w:t> </w:t>
      </w:r>
      <w:r>
        <w:rPr>
          <w:spacing w:val="-2"/>
          <w:w w:val="100"/>
          <w:sz w:val="21"/>
        </w:rPr>
        <w:t>t</w:t>
      </w:r>
      <w:r>
        <w:rPr>
          <w:w w:val="100"/>
          <w:sz w:val="21"/>
        </w:rPr>
        <w:t>o</w:t>
      </w:r>
      <w:r>
        <w:rPr>
          <w:sz w:val="21"/>
        </w:rPr>
        <w:t> </w:t>
      </w:r>
      <w:r>
        <w:rPr>
          <w:spacing w:val="-13"/>
          <w:sz w:val="21"/>
        </w:rPr>
        <w:t> </w:t>
      </w:r>
      <w:r>
        <w:rPr>
          <w:spacing w:val="-4"/>
          <w:w w:val="100"/>
          <w:sz w:val="21"/>
        </w:rPr>
        <w:t>r</w:t>
      </w:r>
      <w:r>
        <w:rPr>
          <w:w w:val="100"/>
          <w:sz w:val="21"/>
        </w:rPr>
        <w:t>ecord</w:t>
      </w:r>
      <w:r>
        <w:rPr>
          <w:sz w:val="21"/>
        </w:rPr>
        <w:t> </w:t>
      </w:r>
      <w:r>
        <w:rPr>
          <w:spacing w:val="-19"/>
          <w:sz w:val="21"/>
        </w:rPr>
        <w:t> </w:t>
      </w:r>
      <w:r>
        <w:rPr>
          <w:w w:val="100"/>
          <w:sz w:val="21"/>
        </w:rPr>
        <w:t>a</w:t>
      </w:r>
      <w:r>
        <w:rPr>
          <w:sz w:val="21"/>
        </w:rPr>
        <w:t> </w:t>
      </w:r>
      <w:r>
        <w:rPr>
          <w:spacing w:val="-19"/>
          <w:sz w:val="21"/>
        </w:rPr>
        <w:t> </w:t>
      </w:r>
      <w:r>
        <w:rPr>
          <w:spacing w:val="1"/>
          <w:w w:val="100"/>
          <w:sz w:val="21"/>
        </w:rPr>
        <w:t>f</w:t>
      </w:r>
      <w:r>
        <w:rPr>
          <w:spacing w:val="-2"/>
          <w:w w:val="100"/>
          <w:sz w:val="21"/>
        </w:rPr>
        <w:t>i</w:t>
      </w:r>
      <w:r>
        <w:rPr>
          <w:w w:val="100"/>
          <w:sz w:val="21"/>
        </w:rPr>
        <w:t>nd</w:t>
      </w:r>
      <w:r>
        <w:rPr>
          <w:spacing w:val="-1"/>
          <w:w w:val="100"/>
          <w:sz w:val="21"/>
        </w:rPr>
        <w:t>i</w:t>
      </w:r>
      <w:r>
        <w:rPr>
          <w:w w:val="100"/>
          <w:sz w:val="21"/>
        </w:rPr>
        <w:t>ng</w:t>
      </w:r>
      <w:r>
        <w:rPr>
          <w:sz w:val="21"/>
        </w:rPr>
        <w:t> </w:t>
      </w:r>
      <w:r>
        <w:rPr>
          <w:spacing w:val="-16"/>
          <w:sz w:val="21"/>
        </w:rPr>
        <w:t> </w:t>
      </w:r>
      <w:r>
        <w:rPr>
          <w:spacing w:val="-2"/>
          <w:w w:val="100"/>
          <w:sz w:val="21"/>
        </w:rPr>
        <w:t>t</w:t>
      </w:r>
      <w:r>
        <w:rPr>
          <w:spacing w:val="-3"/>
          <w:w w:val="100"/>
          <w:sz w:val="21"/>
        </w:rPr>
        <w:t>h</w:t>
      </w:r>
      <w:r>
        <w:rPr>
          <w:w w:val="100"/>
          <w:sz w:val="21"/>
        </w:rPr>
        <w:t>at</w:t>
      </w:r>
      <w:r>
        <w:rPr>
          <w:sz w:val="21"/>
        </w:rPr>
        <w:t> </w:t>
      </w:r>
      <w:r>
        <w:rPr>
          <w:spacing w:val="-17"/>
          <w:sz w:val="21"/>
        </w:rPr>
        <w:t> </w:t>
      </w:r>
      <w:r>
        <w:rPr>
          <w:spacing w:val="-2"/>
          <w:w w:val="100"/>
          <w:sz w:val="21"/>
        </w:rPr>
        <w:t>t</w:t>
      </w:r>
      <w:r>
        <w:rPr>
          <w:w w:val="100"/>
          <w:sz w:val="21"/>
        </w:rPr>
        <w:t>he</w:t>
      </w:r>
      <w:r>
        <w:rPr>
          <w:sz w:val="21"/>
        </w:rPr>
        <w:t> </w:t>
      </w:r>
      <w:r>
        <w:rPr>
          <w:spacing w:val="-19"/>
          <w:sz w:val="21"/>
        </w:rPr>
        <w:t> </w:t>
      </w:r>
      <w:r>
        <w:rPr>
          <w:w w:val="100"/>
          <w:sz w:val="21"/>
        </w:rPr>
        <w:t>bu</w:t>
      </w:r>
      <w:r>
        <w:rPr>
          <w:spacing w:val="-1"/>
          <w:w w:val="100"/>
          <w:sz w:val="21"/>
        </w:rPr>
        <w:t>i</w:t>
      </w:r>
      <w:r>
        <w:rPr>
          <w:w w:val="100"/>
          <w:sz w:val="21"/>
        </w:rPr>
        <w:t>l</w:t>
      </w:r>
      <w:r>
        <w:rPr>
          <w:spacing w:val="-3"/>
          <w:w w:val="100"/>
          <w:sz w:val="21"/>
        </w:rPr>
        <w:t>d</w:t>
      </w:r>
      <w:r>
        <w:rPr>
          <w:w w:val="100"/>
          <w:sz w:val="21"/>
        </w:rPr>
        <w:t>i</w:t>
      </w:r>
      <w:r>
        <w:rPr>
          <w:w w:val="100"/>
          <w:sz w:val="21"/>
        </w:rPr>
        <w:t>ng</w:t>
      </w:r>
      <w:r>
        <w:rPr>
          <w:sz w:val="21"/>
        </w:rPr>
        <w:t> </w:t>
      </w:r>
      <w:r>
        <w:rPr>
          <w:spacing w:val="-19"/>
          <w:sz w:val="21"/>
        </w:rPr>
        <w:t> </w:t>
      </w:r>
      <w:r>
        <w:rPr>
          <w:spacing w:val="-2"/>
          <w:w w:val="100"/>
          <w:sz w:val="21"/>
        </w:rPr>
        <w:t>i</w:t>
      </w:r>
      <w:r>
        <w:rPr>
          <w:w w:val="100"/>
          <w:sz w:val="21"/>
        </w:rPr>
        <w:t>n </w:t>
      </w:r>
      <w:r>
        <w:rPr>
          <w:sz w:val="21"/>
        </w:rPr>
        <w:t>dispute was constructed in 1528 AD by or at the command of Babar since no reliable material is available for coming to the said conclusion. On the contrary the preponderance of probability shows that the building in dispute was constructed at some later point of time and the inscriptions thereon were fixed further later but exact period of the two is difficult to ascertain…</w:t>
      </w:r>
    </w:p>
    <w:p>
      <w:pPr>
        <w:spacing w:line="240" w:lineRule="exact" w:before="0"/>
        <w:ind w:left="1940" w:right="0" w:firstLine="0"/>
        <w:jc w:val="left"/>
        <w:rPr>
          <w:sz w:val="21"/>
        </w:rPr>
      </w:pPr>
      <w:r>
        <w:rPr>
          <w:sz w:val="21"/>
        </w:rPr>
        <w:t>...</w:t>
      </w:r>
    </w:p>
    <w:p>
      <w:pPr>
        <w:spacing w:line="276" w:lineRule="auto" w:before="37"/>
        <w:ind w:left="1940" w:right="2261" w:firstLine="0"/>
        <w:jc w:val="both"/>
        <w:rPr>
          <w:sz w:val="21"/>
        </w:rPr>
      </w:pPr>
      <w:r>
        <w:rPr>
          <w:sz w:val="21"/>
        </w:rPr>
        <w:t>1681. In the absence of any concrete material to show the exact period and the reign of the concerned Mughal emperor or anyone else during which the above construction took place, we are refraining from recording any positive finding on this aspect except that the building in dispute, to our mind, may have been constructed much later than the reign of Emperor Babar and the inscriptions were fixed further thereafter and that is why there have occurred certain discrepancies about the name of the person concerned as also the period. The possibility of change, alteration or manipulation in the inscriptions cannot be ruled out.‖</w:t>
      </w:r>
    </w:p>
    <w:p>
      <w:pPr>
        <w:pStyle w:val="BodyText"/>
        <w:rPr>
          <w:sz w:val="24"/>
        </w:rPr>
      </w:pPr>
    </w:p>
    <w:p>
      <w:pPr>
        <w:pStyle w:val="BodyText"/>
        <w:rPr>
          <w:sz w:val="24"/>
        </w:rPr>
      </w:pPr>
    </w:p>
    <w:p>
      <w:pPr>
        <w:pStyle w:val="BodyText"/>
        <w:spacing w:before="211"/>
        <w:ind w:left="500"/>
        <w:jc w:val="both"/>
      </w:pPr>
      <w:r>
        <w:rPr/>
        <w:t>While answering the issues framed in the suits, Justice Agarwal held:</w:t>
      </w:r>
    </w:p>
    <w:p>
      <w:pPr>
        <w:pStyle w:val="BodyText"/>
        <w:spacing w:before="9"/>
        <w:rPr>
          <w:sz w:val="24"/>
        </w:rPr>
      </w:pPr>
    </w:p>
    <w:p>
      <w:pPr>
        <w:spacing w:line="276" w:lineRule="auto" w:before="0"/>
        <w:ind w:left="1940" w:right="2260" w:firstLine="0"/>
        <w:jc w:val="both"/>
        <w:rPr>
          <w:sz w:val="21"/>
        </w:rPr>
      </w:pPr>
      <w:r>
        <w:rPr>
          <w:spacing w:val="-1"/>
          <w:w w:val="33"/>
          <w:sz w:val="21"/>
        </w:rPr>
        <w:t>―</w:t>
      </w:r>
      <w:r>
        <w:rPr>
          <w:spacing w:val="-1"/>
          <w:w w:val="100"/>
          <w:sz w:val="21"/>
        </w:rPr>
        <w:t>168</w:t>
      </w:r>
      <w:r>
        <w:rPr>
          <w:w w:val="100"/>
          <w:sz w:val="21"/>
        </w:rPr>
        <w:t>2</w:t>
      </w:r>
      <w:r>
        <w:rPr>
          <w:spacing w:val="-2"/>
          <w:w w:val="100"/>
          <w:sz w:val="21"/>
        </w:rPr>
        <w:t>..</w:t>
      </w:r>
      <w:r>
        <w:rPr>
          <w:w w:val="100"/>
          <w:sz w:val="21"/>
        </w:rPr>
        <w:t>.</w:t>
      </w:r>
      <w:r>
        <w:rPr>
          <w:sz w:val="21"/>
        </w:rPr>
        <w:t> </w:t>
      </w:r>
      <w:r>
        <w:rPr>
          <w:spacing w:val="-20"/>
          <w:sz w:val="21"/>
        </w:rPr>
        <w:t> </w:t>
      </w:r>
      <w:r>
        <w:rPr>
          <w:spacing w:val="-1"/>
          <w:w w:val="100"/>
          <w:sz w:val="21"/>
        </w:rPr>
        <w:t>(</w:t>
      </w:r>
      <w:r>
        <w:rPr>
          <w:w w:val="100"/>
          <w:sz w:val="21"/>
        </w:rPr>
        <w:t>A)</w:t>
      </w:r>
      <w:r>
        <w:rPr>
          <w:sz w:val="21"/>
        </w:rPr>
        <w:t> </w:t>
      </w:r>
      <w:r>
        <w:rPr>
          <w:spacing w:val="-20"/>
          <w:sz w:val="21"/>
        </w:rPr>
        <w:t> </w:t>
      </w:r>
      <w:r>
        <w:rPr>
          <w:spacing w:val="-2"/>
          <w:w w:val="100"/>
          <w:sz w:val="21"/>
        </w:rPr>
        <w:t>I</w:t>
      </w:r>
      <w:r>
        <w:rPr>
          <w:w w:val="100"/>
          <w:sz w:val="21"/>
        </w:rPr>
        <w:t>s</w:t>
      </w:r>
      <w:r>
        <w:rPr>
          <w:spacing w:val="-3"/>
          <w:w w:val="100"/>
          <w:sz w:val="21"/>
        </w:rPr>
        <w:t>s</w:t>
      </w:r>
      <w:r>
        <w:rPr>
          <w:spacing w:val="-1"/>
          <w:w w:val="100"/>
          <w:sz w:val="21"/>
        </w:rPr>
        <w:t>u</w:t>
      </w:r>
      <w:r>
        <w:rPr>
          <w:w w:val="100"/>
          <w:sz w:val="21"/>
        </w:rPr>
        <w:t>e</w:t>
      </w:r>
      <w:r>
        <w:rPr>
          <w:sz w:val="21"/>
        </w:rPr>
        <w:t> </w:t>
      </w:r>
      <w:r>
        <w:rPr>
          <w:spacing w:val="-19"/>
          <w:sz w:val="21"/>
        </w:rPr>
        <w:t> </w:t>
      </w:r>
      <w:r>
        <w:rPr>
          <w:spacing w:val="-3"/>
          <w:w w:val="100"/>
          <w:sz w:val="21"/>
        </w:rPr>
        <w:t>n</w:t>
      </w:r>
      <w:r>
        <w:rPr>
          <w:spacing w:val="-1"/>
          <w:w w:val="100"/>
          <w:sz w:val="21"/>
        </w:rPr>
        <w:t>o.</w:t>
      </w:r>
      <w:r>
        <w:rPr>
          <w:w w:val="100"/>
          <w:sz w:val="21"/>
        </w:rPr>
        <w:t>6</w:t>
      </w:r>
      <w:r>
        <w:rPr>
          <w:sz w:val="21"/>
        </w:rPr>
        <w:t> </w:t>
      </w:r>
      <w:r>
        <w:rPr>
          <w:spacing w:val="-19"/>
          <w:sz w:val="21"/>
        </w:rPr>
        <w:t> </w:t>
      </w:r>
      <w:r>
        <w:rPr>
          <w:spacing w:val="-4"/>
          <w:w w:val="100"/>
          <w:sz w:val="21"/>
        </w:rPr>
        <w:t>(</w:t>
      </w:r>
      <w:r>
        <w:rPr>
          <w:w w:val="100"/>
          <w:sz w:val="21"/>
        </w:rPr>
        <w:t>S</w:t>
      </w:r>
      <w:r>
        <w:rPr>
          <w:spacing w:val="-3"/>
          <w:w w:val="100"/>
          <w:sz w:val="21"/>
        </w:rPr>
        <w:t>u</w:t>
      </w:r>
      <w:r>
        <w:rPr>
          <w:w w:val="100"/>
          <w:sz w:val="21"/>
        </w:rPr>
        <w:t>i</w:t>
      </w:r>
      <w:r>
        <w:rPr>
          <w:spacing w:val="1"/>
          <w:w w:val="100"/>
          <w:sz w:val="21"/>
        </w:rPr>
        <w:t>t</w:t>
      </w:r>
      <w:r>
        <w:rPr>
          <w:spacing w:val="-1"/>
          <w:w w:val="100"/>
          <w:sz w:val="21"/>
        </w:rPr>
        <w:t>-</w:t>
      </w:r>
      <w:r>
        <w:rPr>
          <w:w w:val="100"/>
          <w:sz w:val="21"/>
        </w:rPr>
        <w:t>1)</w:t>
      </w:r>
      <w:r>
        <w:rPr>
          <w:sz w:val="21"/>
        </w:rPr>
        <w:t> </w:t>
      </w:r>
      <w:r>
        <w:rPr>
          <w:spacing w:val="-20"/>
          <w:sz w:val="21"/>
        </w:rPr>
        <w:t> </w:t>
      </w:r>
      <w:r>
        <w:rPr>
          <w:w w:val="100"/>
          <w:sz w:val="21"/>
        </w:rPr>
        <w:t>and</w:t>
      </w:r>
      <w:r>
        <w:rPr>
          <w:sz w:val="21"/>
        </w:rPr>
        <w:t> </w:t>
      </w:r>
      <w:r>
        <w:rPr>
          <w:spacing w:val="-21"/>
          <w:sz w:val="21"/>
        </w:rPr>
        <w:t> </w:t>
      </w:r>
      <w:r>
        <w:rPr>
          <w:spacing w:val="-2"/>
          <w:w w:val="100"/>
          <w:sz w:val="21"/>
        </w:rPr>
        <w:t>I</w:t>
      </w:r>
      <w:r>
        <w:rPr>
          <w:w w:val="100"/>
          <w:sz w:val="21"/>
        </w:rPr>
        <w:t>ss</w:t>
      </w:r>
      <w:r>
        <w:rPr>
          <w:spacing w:val="-3"/>
          <w:w w:val="100"/>
          <w:sz w:val="21"/>
        </w:rPr>
        <w:t>u</w:t>
      </w:r>
      <w:r>
        <w:rPr>
          <w:w w:val="100"/>
          <w:sz w:val="21"/>
        </w:rPr>
        <w:t>e</w:t>
      </w:r>
      <w:r>
        <w:rPr>
          <w:sz w:val="21"/>
        </w:rPr>
        <w:t> </w:t>
      </w:r>
      <w:r>
        <w:rPr>
          <w:spacing w:val="-21"/>
          <w:sz w:val="21"/>
        </w:rPr>
        <w:t> </w:t>
      </w:r>
      <w:r>
        <w:rPr>
          <w:w w:val="100"/>
          <w:sz w:val="21"/>
        </w:rPr>
        <w:t>N</w:t>
      </w:r>
      <w:r>
        <w:rPr>
          <w:w w:val="100"/>
          <w:sz w:val="21"/>
        </w:rPr>
        <w:t>o</w:t>
      </w:r>
      <w:r>
        <w:rPr>
          <w:spacing w:val="-1"/>
          <w:w w:val="100"/>
          <w:sz w:val="21"/>
        </w:rPr>
        <w:t>.</w:t>
      </w:r>
      <w:r>
        <w:rPr>
          <w:w w:val="100"/>
          <w:sz w:val="21"/>
        </w:rPr>
        <w:t>5</w:t>
      </w:r>
      <w:r>
        <w:rPr>
          <w:sz w:val="21"/>
        </w:rPr>
        <w:t> </w:t>
      </w:r>
      <w:r>
        <w:rPr>
          <w:spacing w:val="-19"/>
          <w:sz w:val="21"/>
        </w:rPr>
        <w:t> </w:t>
      </w:r>
      <w:r>
        <w:rPr>
          <w:spacing w:val="-4"/>
          <w:w w:val="100"/>
          <w:sz w:val="21"/>
        </w:rPr>
        <w:t>(</w:t>
      </w:r>
      <w:r>
        <w:rPr>
          <w:w w:val="100"/>
          <w:sz w:val="21"/>
        </w:rPr>
        <w:t>S</w:t>
      </w:r>
      <w:r>
        <w:rPr>
          <w:spacing w:val="-3"/>
          <w:w w:val="100"/>
          <w:sz w:val="21"/>
        </w:rPr>
        <w:t>u</w:t>
      </w:r>
      <w:r>
        <w:rPr>
          <w:w w:val="100"/>
          <w:sz w:val="21"/>
        </w:rPr>
        <w:t>i</w:t>
      </w:r>
      <w:r>
        <w:rPr>
          <w:spacing w:val="1"/>
          <w:w w:val="100"/>
          <w:sz w:val="21"/>
        </w:rPr>
        <w:t>t</w:t>
      </w:r>
      <w:r>
        <w:rPr>
          <w:spacing w:val="-1"/>
          <w:w w:val="100"/>
          <w:sz w:val="21"/>
        </w:rPr>
        <w:t>-</w:t>
      </w:r>
      <w:r>
        <w:rPr>
          <w:w w:val="100"/>
          <w:sz w:val="21"/>
        </w:rPr>
        <w:t>3)</w:t>
      </w:r>
      <w:r>
        <w:rPr>
          <w:sz w:val="21"/>
        </w:rPr>
        <w:t> </w:t>
      </w:r>
      <w:r>
        <w:rPr>
          <w:spacing w:val="-20"/>
          <w:sz w:val="21"/>
        </w:rPr>
        <w:t> </w:t>
      </w:r>
      <w:r>
        <w:rPr>
          <w:w w:val="100"/>
          <w:sz w:val="21"/>
        </w:rPr>
        <w:t>are </w:t>
      </w:r>
      <w:r>
        <w:rPr>
          <w:sz w:val="21"/>
        </w:rPr>
        <w:t>answered in negative. The defendants have failed to prove that the property in dispute was constructed by… Emperor Babar in 1528 AD. Accordingly, the question as to whether Babar constructed the property in dispute as a 'mosque' does not arise and needs no</w:t>
      </w:r>
      <w:r>
        <w:rPr>
          <w:spacing w:val="-6"/>
          <w:sz w:val="21"/>
        </w:rPr>
        <w:t> </w:t>
      </w:r>
      <w:r>
        <w:rPr>
          <w:sz w:val="21"/>
        </w:rPr>
        <w:t>answer.</w:t>
      </w:r>
    </w:p>
    <w:p>
      <w:pPr>
        <w:spacing w:line="276" w:lineRule="auto" w:before="2"/>
        <w:ind w:left="1940" w:right="2260" w:firstLine="57"/>
        <w:jc w:val="both"/>
        <w:rPr>
          <w:sz w:val="21"/>
        </w:rPr>
      </w:pPr>
      <w:r>
        <w:rPr>
          <w:sz w:val="21"/>
        </w:rPr>
        <w:t>(B) Issue No.1(a) (Suit-4) is answered in negative. The plaintiffs have failed to prove that the building in dispute was built by Babar. Similarly defendant no.13 has also failed to prove that the same was built by Mir Baqi. The further question as to when it was built and by whom cannot be replied with certainty since neither there is any pleading nor</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sz w:val="21"/>
        </w:rPr>
      </w:pPr>
      <w:r>
        <w:rPr>
          <w:sz w:val="21"/>
        </w:rPr>
        <w:t>any evidence has been led nor any material has been placed before us to arrive at a concrete finding on this aspect. However, applying the principle of informed guess, we are of the view that the building in dispute may have been constructed, probably, between 1659 to 1707 AD i.e. during the regime of Aurangzeb.‖</w:t>
      </w:r>
    </w:p>
    <w:p>
      <w:pPr>
        <w:pStyle w:val="BodyText"/>
        <w:rPr>
          <w:sz w:val="24"/>
        </w:rPr>
      </w:pPr>
    </w:p>
    <w:p>
      <w:pPr>
        <w:pStyle w:val="BodyText"/>
        <w:spacing w:before="2"/>
        <w:rPr>
          <w:sz w:val="22"/>
        </w:rPr>
      </w:pPr>
    </w:p>
    <w:p>
      <w:pPr>
        <w:pStyle w:val="BodyText"/>
        <w:spacing w:line="480" w:lineRule="auto"/>
        <w:ind w:left="500" w:right="442"/>
        <w:jc w:val="both"/>
      </w:pPr>
      <w:r>
        <w:rPr/>
        <w:t>In the last part of the above findings, the Judge has recorded that it was not possible to enter a finding of fact with any certainty as to when the structure was </w:t>
      </w:r>
      <w:r>
        <w:rPr>
          <w:w w:val="99"/>
        </w:rPr>
        <w:t>con</w:t>
      </w:r>
      <w:r>
        <w:rPr>
          <w:w w:val="99"/>
        </w:rPr>
        <w:t>str</w:t>
      </w:r>
      <w:r>
        <w:rPr>
          <w:w w:val="99"/>
        </w:rPr>
        <w:t>ucte</w:t>
      </w:r>
      <w:r>
        <w:rPr>
          <w:w w:val="99"/>
        </w:rPr>
        <w:t>d</w:t>
      </w:r>
      <w:r>
        <w:rPr/>
        <w:t> </w:t>
      </w:r>
      <w:r>
        <w:rPr>
          <w:w w:val="99"/>
        </w:rPr>
        <w:t>in</w:t>
      </w:r>
      <w:r>
        <w:rPr/>
        <w:t> </w:t>
      </w:r>
      <w:r>
        <w:rPr>
          <w:w w:val="99"/>
        </w:rPr>
        <w:t>the</w:t>
      </w:r>
      <w:r>
        <w:rPr/>
        <w:t> </w:t>
      </w:r>
      <w:r>
        <w:rPr>
          <w:w w:val="99"/>
        </w:rPr>
        <w:t>absence</w:t>
      </w:r>
      <w:r>
        <w:rPr/>
        <w:t> </w:t>
      </w:r>
      <w:r>
        <w:rPr>
          <w:w w:val="99"/>
        </w:rPr>
        <w:t>of</w:t>
      </w:r>
      <w:r>
        <w:rPr/>
        <w:t> </w:t>
      </w:r>
      <w:r>
        <w:rPr>
          <w:w w:val="99"/>
        </w:rPr>
        <w:t>pleading</w:t>
      </w:r>
      <w:r>
        <w:rPr/>
        <w:t> </w:t>
      </w:r>
      <w:r>
        <w:rPr>
          <w:w w:val="99"/>
        </w:rPr>
        <w:t>or</w:t>
      </w:r>
      <w:r>
        <w:rPr/>
        <w:t> </w:t>
      </w:r>
      <w:r>
        <w:rPr>
          <w:w w:val="99"/>
        </w:rPr>
        <w:t>evidence.</w:t>
      </w:r>
      <w:r>
        <w:rPr/>
        <w:t> </w:t>
      </w:r>
      <w:r>
        <w:rPr>
          <w:w w:val="99"/>
        </w:rPr>
        <w:t>The</w:t>
      </w:r>
      <w:r>
        <w:rPr/>
        <w:t> </w:t>
      </w:r>
      <w:r>
        <w:rPr>
          <w:w w:val="33"/>
        </w:rPr>
        <w:t>―</w:t>
      </w:r>
      <w:r>
        <w:rPr>
          <w:w w:val="99"/>
        </w:rPr>
        <w:t>informed</w:t>
      </w:r>
      <w:r>
        <w:rPr/>
        <w:t> </w:t>
      </w:r>
      <w:r>
        <w:rPr>
          <w:w w:val="99"/>
        </w:rPr>
        <w:t>gu</w:t>
      </w:r>
      <w:r>
        <w:rPr>
          <w:w w:val="95"/>
        </w:rPr>
        <w:t>ess‖</w:t>
      </w:r>
      <w:r>
        <w:rPr/>
        <w:t> </w:t>
      </w:r>
      <w:r>
        <w:rPr>
          <w:w w:val="99"/>
        </w:rPr>
        <w:t>at</w:t>
      </w:r>
      <w:r>
        <w:rPr/>
        <w:t> </w:t>
      </w:r>
      <w:r>
        <w:rPr>
          <w:w w:val="99"/>
        </w:rPr>
        <w:t>the </w:t>
      </w:r>
      <w:r>
        <w:rPr/>
        <w:t>end of the above observation that the structure was probably constructed by Aurangzeb between 1659-1707 cannot be placed on the pedestal of a finding of fact.</w:t>
      </w:r>
    </w:p>
    <w:p>
      <w:pPr>
        <w:pStyle w:val="BodyText"/>
        <w:spacing w:before="10"/>
        <w:rPr>
          <w:sz w:val="24"/>
        </w:rPr>
      </w:pPr>
    </w:p>
    <w:p>
      <w:pPr>
        <w:pStyle w:val="Heading5"/>
        <w:numPr>
          <w:ilvl w:val="0"/>
          <w:numId w:val="50"/>
        </w:numPr>
        <w:tabs>
          <w:tab w:pos="1221" w:val="left" w:leader="none"/>
        </w:tabs>
        <w:spacing w:line="240" w:lineRule="auto" w:before="0" w:after="0"/>
        <w:ind w:left="1220" w:right="0" w:hanging="721"/>
        <w:jc w:val="both"/>
      </w:pPr>
      <w:r>
        <w:rPr/>
        <w:t>Justice D V</w:t>
      </w:r>
      <w:r>
        <w:rPr>
          <w:spacing w:val="-3"/>
        </w:rPr>
        <w:t> </w:t>
      </w:r>
      <w:r>
        <w:rPr/>
        <w:t>Sharma</w:t>
      </w:r>
    </w:p>
    <w:p>
      <w:pPr>
        <w:pStyle w:val="BodyText"/>
        <w:spacing w:before="1"/>
        <w:rPr>
          <w:b/>
        </w:rPr>
      </w:pPr>
    </w:p>
    <w:p>
      <w:pPr>
        <w:pStyle w:val="BodyText"/>
        <w:ind w:left="1220"/>
      </w:pPr>
      <w:r>
        <w:rPr/>
        <w:t>Justice DV Sharma in the course of his decision arrived at the finding that:</w:t>
      </w:r>
    </w:p>
    <w:p>
      <w:pPr>
        <w:pStyle w:val="BodyText"/>
      </w:pPr>
    </w:p>
    <w:p>
      <w:pPr>
        <w:spacing w:line="276" w:lineRule="auto" w:before="0"/>
        <w:ind w:left="1940" w:right="2263" w:firstLine="0"/>
        <w:jc w:val="both"/>
        <w:rPr>
          <w:sz w:val="21"/>
        </w:rPr>
      </w:pPr>
      <w:r>
        <w:rPr>
          <w:spacing w:val="-1"/>
          <w:w w:val="33"/>
          <w:sz w:val="21"/>
        </w:rPr>
        <w:t>―</w:t>
      </w:r>
      <w:r>
        <w:rPr>
          <w:w w:val="100"/>
          <w:sz w:val="21"/>
        </w:rPr>
        <w:t>Th</w:t>
      </w:r>
      <w:r>
        <w:rPr>
          <w:spacing w:val="-1"/>
          <w:w w:val="100"/>
          <w:sz w:val="21"/>
        </w:rPr>
        <w:t>us</w:t>
      </w:r>
      <w:r>
        <w:rPr>
          <w:w w:val="100"/>
          <w:sz w:val="21"/>
        </w:rPr>
        <w:t>,</w:t>
      </w:r>
      <w:r>
        <w:rPr>
          <w:spacing w:val="5"/>
          <w:sz w:val="21"/>
        </w:rPr>
        <w:t> </w:t>
      </w:r>
      <w:r>
        <w:rPr>
          <w:spacing w:val="-3"/>
          <w:w w:val="100"/>
          <w:sz w:val="21"/>
        </w:rPr>
        <w:t>o</w:t>
      </w:r>
      <w:r>
        <w:rPr>
          <w:w w:val="100"/>
          <w:sz w:val="21"/>
        </w:rPr>
        <w:t>n</w:t>
      </w:r>
      <w:r>
        <w:rPr>
          <w:spacing w:val="6"/>
          <w:sz w:val="21"/>
        </w:rPr>
        <w:t> </w:t>
      </w:r>
      <w:r>
        <w:rPr>
          <w:spacing w:val="-2"/>
          <w:w w:val="100"/>
          <w:sz w:val="21"/>
        </w:rPr>
        <w:t>t</w:t>
      </w:r>
      <w:r>
        <w:rPr>
          <w:spacing w:val="-1"/>
          <w:w w:val="100"/>
          <w:sz w:val="21"/>
        </w:rPr>
        <w:t>h</w:t>
      </w:r>
      <w:r>
        <w:rPr>
          <w:w w:val="100"/>
          <w:sz w:val="21"/>
        </w:rPr>
        <w:t>e</w:t>
      </w:r>
      <w:r>
        <w:rPr>
          <w:spacing w:val="6"/>
          <w:sz w:val="21"/>
        </w:rPr>
        <w:t> </w:t>
      </w:r>
      <w:r>
        <w:rPr>
          <w:spacing w:val="-1"/>
          <w:w w:val="100"/>
          <w:sz w:val="21"/>
        </w:rPr>
        <w:t>b</w:t>
      </w:r>
      <w:r>
        <w:rPr>
          <w:spacing w:val="-3"/>
          <w:w w:val="100"/>
          <w:sz w:val="21"/>
        </w:rPr>
        <w:t>a</w:t>
      </w:r>
      <w:r>
        <w:rPr>
          <w:w w:val="100"/>
          <w:sz w:val="21"/>
        </w:rPr>
        <w:t>sis</w:t>
      </w:r>
      <w:r>
        <w:rPr>
          <w:spacing w:val="3"/>
          <w:sz w:val="21"/>
        </w:rPr>
        <w:t> </w:t>
      </w:r>
      <w:r>
        <w:rPr>
          <w:spacing w:val="-1"/>
          <w:w w:val="100"/>
          <w:sz w:val="21"/>
        </w:rPr>
        <w:t>o</w:t>
      </w:r>
      <w:r>
        <w:rPr>
          <w:w w:val="100"/>
          <w:sz w:val="21"/>
        </w:rPr>
        <w:t>f</w:t>
      </w:r>
      <w:r>
        <w:rPr>
          <w:spacing w:val="7"/>
          <w:sz w:val="21"/>
        </w:rPr>
        <w:t> </w:t>
      </w:r>
      <w:r>
        <w:rPr>
          <w:spacing w:val="-2"/>
          <w:w w:val="100"/>
          <w:sz w:val="21"/>
        </w:rPr>
        <w:t>t</w:t>
      </w:r>
      <w:r>
        <w:rPr>
          <w:spacing w:val="-1"/>
          <w:w w:val="100"/>
          <w:sz w:val="21"/>
        </w:rPr>
        <w:t>h</w:t>
      </w:r>
      <w:r>
        <w:rPr>
          <w:w w:val="100"/>
          <w:sz w:val="21"/>
        </w:rPr>
        <w:t>e</w:t>
      </w:r>
      <w:r>
        <w:rPr>
          <w:spacing w:val="4"/>
          <w:sz w:val="21"/>
        </w:rPr>
        <w:t> </w:t>
      </w:r>
      <w:r>
        <w:rPr>
          <w:spacing w:val="-1"/>
          <w:w w:val="100"/>
          <w:sz w:val="21"/>
        </w:rPr>
        <w:t>op</w:t>
      </w:r>
      <w:r>
        <w:rPr>
          <w:spacing w:val="1"/>
          <w:w w:val="100"/>
          <w:sz w:val="21"/>
        </w:rPr>
        <w:t>i</w:t>
      </w:r>
      <w:r>
        <w:rPr>
          <w:spacing w:val="-3"/>
          <w:w w:val="100"/>
          <w:sz w:val="21"/>
        </w:rPr>
        <w:t>n</w:t>
      </w:r>
      <w:r>
        <w:rPr>
          <w:w w:val="100"/>
          <w:sz w:val="21"/>
        </w:rPr>
        <w:t>i</w:t>
      </w:r>
      <w:r>
        <w:rPr>
          <w:spacing w:val="-3"/>
          <w:w w:val="100"/>
          <w:sz w:val="21"/>
        </w:rPr>
        <w:t>o</w:t>
      </w:r>
      <w:r>
        <w:rPr>
          <w:w w:val="100"/>
          <w:sz w:val="21"/>
        </w:rPr>
        <w:t>n</w:t>
      </w:r>
      <w:r>
        <w:rPr>
          <w:spacing w:val="6"/>
          <w:sz w:val="21"/>
        </w:rPr>
        <w:t> </w:t>
      </w:r>
      <w:r>
        <w:rPr>
          <w:spacing w:val="-3"/>
          <w:w w:val="100"/>
          <w:sz w:val="21"/>
        </w:rPr>
        <w:t>o</w:t>
      </w:r>
      <w:r>
        <w:rPr>
          <w:w w:val="100"/>
          <w:sz w:val="21"/>
        </w:rPr>
        <w:t>f</w:t>
      </w:r>
      <w:r>
        <w:rPr>
          <w:spacing w:val="7"/>
          <w:sz w:val="21"/>
        </w:rPr>
        <w:t> </w:t>
      </w:r>
      <w:r>
        <w:rPr>
          <w:spacing w:val="-2"/>
          <w:w w:val="100"/>
          <w:sz w:val="21"/>
        </w:rPr>
        <w:t>t</w:t>
      </w:r>
      <w:r>
        <w:rPr>
          <w:spacing w:val="-1"/>
          <w:w w:val="100"/>
          <w:sz w:val="21"/>
        </w:rPr>
        <w:t>h</w:t>
      </w:r>
      <w:r>
        <w:rPr>
          <w:w w:val="100"/>
          <w:sz w:val="21"/>
        </w:rPr>
        <w:t>e</w:t>
      </w:r>
      <w:r>
        <w:rPr>
          <w:spacing w:val="6"/>
          <w:sz w:val="21"/>
        </w:rPr>
        <w:t> </w:t>
      </w:r>
      <w:r>
        <w:rPr>
          <w:spacing w:val="-1"/>
          <w:w w:val="100"/>
          <w:sz w:val="21"/>
        </w:rPr>
        <w:t>ex</w:t>
      </w:r>
      <w:r>
        <w:rPr>
          <w:spacing w:val="-3"/>
          <w:w w:val="100"/>
          <w:sz w:val="21"/>
        </w:rPr>
        <w:t>p</w:t>
      </w:r>
      <w:r>
        <w:rPr>
          <w:spacing w:val="-1"/>
          <w:w w:val="100"/>
          <w:sz w:val="21"/>
        </w:rPr>
        <w:t>er</w:t>
      </w:r>
      <w:r>
        <w:rPr>
          <w:spacing w:val="-2"/>
          <w:w w:val="100"/>
          <w:sz w:val="21"/>
        </w:rPr>
        <w:t>t</w:t>
      </w:r>
      <w:r>
        <w:rPr>
          <w:w w:val="100"/>
          <w:sz w:val="21"/>
        </w:rPr>
        <w:t>s,</w:t>
      </w:r>
      <w:r>
        <w:rPr>
          <w:spacing w:val="5"/>
          <w:sz w:val="21"/>
        </w:rPr>
        <w:t> </w:t>
      </w:r>
      <w:r>
        <w:rPr>
          <w:spacing w:val="-1"/>
          <w:w w:val="100"/>
          <w:sz w:val="21"/>
        </w:rPr>
        <w:t>e</w:t>
      </w:r>
      <w:r>
        <w:rPr>
          <w:spacing w:val="-3"/>
          <w:w w:val="100"/>
          <w:sz w:val="21"/>
        </w:rPr>
        <w:t>v</w:t>
      </w:r>
      <w:r>
        <w:rPr>
          <w:w w:val="100"/>
          <w:sz w:val="21"/>
        </w:rPr>
        <w:t>i</w:t>
      </w:r>
      <w:r>
        <w:rPr>
          <w:spacing w:val="-1"/>
          <w:w w:val="100"/>
          <w:sz w:val="21"/>
        </w:rPr>
        <w:t>d</w:t>
      </w:r>
      <w:r>
        <w:rPr>
          <w:spacing w:val="-3"/>
          <w:w w:val="100"/>
          <w:sz w:val="21"/>
        </w:rPr>
        <w:t>e</w:t>
      </w:r>
      <w:r>
        <w:rPr>
          <w:spacing w:val="-1"/>
          <w:w w:val="100"/>
          <w:sz w:val="21"/>
        </w:rPr>
        <w:t>nc</w:t>
      </w:r>
      <w:r>
        <w:rPr>
          <w:w w:val="100"/>
          <w:sz w:val="21"/>
        </w:rPr>
        <w:t>e</w:t>
      </w:r>
      <w:r>
        <w:rPr>
          <w:spacing w:val="6"/>
          <w:sz w:val="21"/>
        </w:rPr>
        <w:t> </w:t>
      </w:r>
      <w:r>
        <w:rPr>
          <w:spacing w:val="-3"/>
          <w:w w:val="100"/>
          <w:sz w:val="21"/>
        </w:rPr>
        <w:t>o</w:t>
      </w:r>
      <w:r>
        <w:rPr>
          <w:w w:val="100"/>
          <w:sz w:val="21"/>
        </w:rPr>
        <w:t>n </w:t>
      </w:r>
      <w:r>
        <w:rPr>
          <w:sz w:val="21"/>
        </w:rPr>
        <w:t>record, circumstantial evidence and historical accounts…, it transpires that the temple was demolished and the mosque was constructed at the site of the old Hindu temple by Mir Baqi at the command of Babur. Issue Nos. 1 and 1(a) are decided</w:t>
      </w:r>
      <w:r>
        <w:rPr>
          <w:spacing w:val="-7"/>
          <w:sz w:val="21"/>
        </w:rPr>
        <w:t> </w:t>
      </w:r>
      <w:r>
        <w:rPr>
          <w:sz w:val="21"/>
        </w:rPr>
        <w:t>in</w:t>
      </w:r>
      <w:r>
        <w:rPr>
          <w:spacing w:val="-5"/>
          <w:sz w:val="21"/>
        </w:rPr>
        <w:t> </w:t>
      </w:r>
      <w:r>
        <w:rPr>
          <w:sz w:val="21"/>
        </w:rPr>
        <w:t>favour</w:t>
      </w:r>
      <w:r>
        <w:rPr>
          <w:spacing w:val="-6"/>
          <w:sz w:val="21"/>
        </w:rPr>
        <w:t> </w:t>
      </w:r>
      <w:r>
        <w:rPr>
          <w:sz w:val="21"/>
        </w:rPr>
        <w:t>of</w:t>
      </w:r>
      <w:r>
        <w:rPr>
          <w:spacing w:val="-4"/>
          <w:sz w:val="21"/>
        </w:rPr>
        <w:t> </w:t>
      </w:r>
      <w:r>
        <w:rPr>
          <w:sz w:val="21"/>
        </w:rPr>
        <w:t>the</w:t>
      </w:r>
      <w:r>
        <w:rPr>
          <w:spacing w:val="-6"/>
          <w:sz w:val="21"/>
        </w:rPr>
        <w:t> </w:t>
      </w:r>
      <w:r>
        <w:rPr>
          <w:sz w:val="21"/>
        </w:rPr>
        <w:t>defendants</w:t>
      </w:r>
      <w:r>
        <w:rPr>
          <w:spacing w:val="-5"/>
          <w:sz w:val="21"/>
        </w:rPr>
        <w:t> </w:t>
      </w:r>
      <w:r>
        <w:rPr>
          <w:sz w:val="21"/>
        </w:rPr>
        <w:t>and</w:t>
      </w:r>
      <w:r>
        <w:rPr>
          <w:spacing w:val="-4"/>
          <w:sz w:val="21"/>
        </w:rPr>
        <w:t> </w:t>
      </w:r>
      <w:r>
        <w:rPr>
          <w:sz w:val="21"/>
        </w:rPr>
        <w:t>against</w:t>
      </w:r>
      <w:r>
        <w:rPr>
          <w:spacing w:val="-6"/>
          <w:sz w:val="21"/>
        </w:rPr>
        <w:t> </w:t>
      </w:r>
      <w:r>
        <w:rPr>
          <w:sz w:val="21"/>
        </w:rPr>
        <w:t>the</w:t>
      </w:r>
      <w:r>
        <w:rPr>
          <w:spacing w:val="-7"/>
          <w:sz w:val="21"/>
        </w:rPr>
        <w:t> </w:t>
      </w:r>
      <w:r>
        <w:rPr>
          <w:sz w:val="21"/>
        </w:rPr>
        <w:t>plaintiffs.‖</w:t>
      </w:r>
    </w:p>
    <w:p>
      <w:pPr>
        <w:pStyle w:val="BodyText"/>
        <w:rPr>
          <w:sz w:val="24"/>
        </w:rPr>
      </w:pPr>
    </w:p>
    <w:p>
      <w:pPr>
        <w:pStyle w:val="BodyText"/>
        <w:spacing w:before="1"/>
        <w:rPr>
          <w:sz w:val="26"/>
        </w:rPr>
      </w:pPr>
    </w:p>
    <w:p>
      <w:pPr>
        <w:pStyle w:val="ListParagraph"/>
        <w:numPr>
          <w:ilvl w:val="0"/>
          <w:numId w:val="3"/>
        </w:numPr>
        <w:tabs>
          <w:tab w:pos="1221" w:val="left" w:leader="none"/>
        </w:tabs>
        <w:spacing w:line="480" w:lineRule="auto" w:before="1" w:after="0"/>
        <w:ind w:left="500" w:right="438" w:firstLine="0"/>
        <w:jc w:val="both"/>
        <w:rPr>
          <w:sz w:val="25"/>
        </w:rPr>
      </w:pPr>
      <w:r>
        <w:rPr>
          <w:sz w:val="25"/>
        </w:rPr>
        <w:t>The High Court entered into the controversy surrounding the authenticity of the inscriptions on the basis of the hypothesis that the inscriptions were the sole basis for asserting that the mosque had been constructed by Babur. Justice Agarwal came to the conclusion that the inscriptions were not authentic and hence a finding that the mosque was constructed by or at the behest of Babur in 1528 A.D. could not be arrived at. Justice S U Khan‘s reasoning in the text of the judgment was in accord with the view of Justice Agarwal but then, as we have noted,</w:t>
      </w:r>
      <w:r>
        <w:rPr>
          <w:spacing w:val="31"/>
          <w:sz w:val="25"/>
        </w:rPr>
        <w:t> </w:t>
      </w:r>
      <w:r>
        <w:rPr>
          <w:sz w:val="25"/>
        </w:rPr>
        <w:t>his</w:t>
      </w:r>
      <w:r>
        <w:rPr>
          <w:spacing w:val="32"/>
          <w:sz w:val="25"/>
        </w:rPr>
        <w:t> </w:t>
      </w:r>
      <w:r>
        <w:rPr>
          <w:sz w:val="25"/>
        </w:rPr>
        <w:t>ultimate</w:t>
      </w:r>
      <w:r>
        <w:rPr>
          <w:spacing w:val="33"/>
          <w:sz w:val="25"/>
        </w:rPr>
        <w:t> </w:t>
      </w:r>
      <w:r>
        <w:rPr>
          <w:sz w:val="25"/>
        </w:rPr>
        <w:t>conclusion</w:t>
      </w:r>
      <w:r>
        <w:rPr>
          <w:spacing w:val="32"/>
          <w:sz w:val="25"/>
        </w:rPr>
        <w:t> </w:t>
      </w:r>
      <w:r>
        <w:rPr>
          <w:sz w:val="25"/>
        </w:rPr>
        <w:t>that</w:t>
      </w:r>
      <w:r>
        <w:rPr>
          <w:spacing w:val="32"/>
          <w:sz w:val="25"/>
        </w:rPr>
        <w:t> </w:t>
      </w:r>
      <w:r>
        <w:rPr>
          <w:sz w:val="25"/>
        </w:rPr>
        <w:t>the</w:t>
      </w:r>
      <w:r>
        <w:rPr>
          <w:spacing w:val="33"/>
          <w:sz w:val="25"/>
        </w:rPr>
        <w:t> </w:t>
      </w:r>
      <w:r>
        <w:rPr>
          <w:sz w:val="25"/>
        </w:rPr>
        <w:t>disputed</w:t>
      </w:r>
      <w:r>
        <w:rPr>
          <w:spacing w:val="33"/>
          <w:sz w:val="25"/>
        </w:rPr>
        <w:t> </w:t>
      </w:r>
      <w:r>
        <w:rPr>
          <w:sz w:val="25"/>
        </w:rPr>
        <w:t>structure</w:t>
      </w:r>
      <w:r>
        <w:rPr>
          <w:spacing w:val="32"/>
          <w:sz w:val="25"/>
        </w:rPr>
        <w:t> </w:t>
      </w:r>
      <w:r>
        <w:rPr>
          <w:sz w:val="25"/>
        </w:rPr>
        <w:t>was</w:t>
      </w:r>
      <w:r>
        <w:rPr>
          <w:spacing w:val="30"/>
          <w:sz w:val="25"/>
        </w:rPr>
        <w:t> </w:t>
      </w:r>
      <w:r>
        <w:rPr>
          <w:sz w:val="25"/>
        </w:rPr>
        <w:t>constructed</w:t>
      </w:r>
      <w:r>
        <w:rPr>
          <w:spacing w:val="32"/>
          <w:sz w:val="25"/>
        </w:rPr>
        <w:t> </w:t>
      </w:r>
      <w:r>
        <w:rPr>
          <w:sz w:val="25"/>
        </w:rPr>
        <w:t>as</w:t>
      </w:r>
      <w:r>
        <w:rPr>
          <w:spacing w:val="32"/>
          <w:sz w:val="25"/>
        </w:rPr>
        <w:t> </w:t>
      </w:r>
      <w:r>
        <w:rPr>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6"/>
        <w:jc w:val="both"/>
      </w:pPr>
      <w:r>
        <w:rPr/>
        <w:t>mosque by or under the orders of Babur is not consistent with the earlier part of the reasons. Justice Sharma held that the mosque was constructed by Mir Baqi at the command of</w:t>
      </w:r>
      <w:r>
        <w:rPr>
          <w:spacing w:val="-3"/>
        </w:rPr>
        <w:t> </w:t>
      </w:r>
      <w:r>
        <w:rPr/>
        <w:t>Babur.</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The basic issue, however, is whether it was necessary for the High Court to enter into this thicket on the basis of the pleadings of the parties. In the suit instituted by the Sunni Central Waqf Board (Suit 4), the case is that the mosque was constructed by Babur after his conquest and occupation of the territories, including the town of Ayodhya. Significantly, Suit 5 which has been instituted on behalf of Lord Ram and Ram Janmabhumi through a next friend also proceeds on the basis that the mosque was constructed by Mir Baqi who was the commander of Babur‘s forces. The pleading in the plaint in Suit 5 reads</w:t>
      </w:r>
      <w:r>
        <w:rPr>
          <w:spacing w:val="-27"/>
          <w:sz w:val="25"/>
        </w:rPr>
        <w:t> </w:t>
      </w:r>
      <w:r>
        <w:rPr>
          <w:sz w:val="25"/>
        </w:rPr>
        <w:t>thus:</w:t>
      </w:r>
    </w:p>
    <w:p>
      <w:pPr>
        <w:pStyle w:val="BodyText"/>
        <w:spacing w:before="2"/>
      </w:pPr>
    </w:p>
    <w:p>
      <w:pPr>
        <w:tabs>
          <w:tab w:pos="5498" w:val="left" w:leader="none"/>
        </w:tabs>
        <w:spacing w:line="276" w:lineRule="auto" w:before="0"/>
        <w:ind w:left="1940" w:right="2262" w:firstLine="0"/>
        <w:jc w:val="both"/>
        <w:rPr>
          <w:sz w:val="21"/>
        </w:rPr>
      </w:pPr>
      <w:r>
        <w:rPr>
          <w:spacing w:val="-1"/>
          <w:w w:val="33"/>
          <w:sz w:val="21"/>
        </w:rPr>
        <w:t>―</w:t>
      </w:r>
      <w:r>
        <w:rPr>
          <w:spacing w:val="-1"/>
          <w:w w:val="100"/>
          <w:sz w:val="21"/>
        </w:rPr>
        <w:t>23</w:t>
      </w:r>
      <w:r>
        <w:rPr>
          <w:w w:val="100"/>
          <w:sz w:val="21"/>
        </w:rPr>
        <w:t>.</w:t>
      </w:r>
      <w:r>
        <w:rPr>
          <w:sz w:val="21"/>
        </w:rPr>
        <w:t>  </w:t>
      </w:r>
      <w:r>
        <w:rPr>
          <w:spacing w:val="-4"/>
          <w:sz w:val="21"/>
        </w:rPr>
        <w:t> </w:t>
      </w:r>
      <w:r>
        <w:rPr>
          <w:w w:val="100"/>
          <w:sz w:val="21"/>
        </w:rPr>
        <w:t>Th</w:t>
      </w:r>
      <w:r>
        <w:rPr>
          <w:spacing w:val="-1"/>
          <w:w w:val="100"/>
          <w:sz w:val="21"/>
        </w:rPr>
        <w:t>a</w:t>
      </w:r>
      <w:r>
        <w:rPr>
          <w:w w:val="100"/>
          <w:sz w:val="21"/>
        </w:rPr>
        <w:t>t</w:t>
      </w:r>
      <w:r>
        <w:rPr>
          <w:sz w:val="21"/>
        </w:rPr>
        <w:t>  </w:t>
      </w:r>
      <w:r>
        <w:rPr>
          <w:spacing w:val="-4"/>
          <w:sz w:val="21"/>
        </w:rPr>
        <w:t> </w:t>
      </w:r>
      <w:r>
        <w:rPr>
          <w:spacing w:val="-2"/>
          <w:w w:val="100"/>
          <w:sz w:val="21"/>
        </w:rPr>
        <w:t>t</w:t>
      </w:r>
      <w:r>
        <w:rPr>
          <w:spacing w:val="-1"/>
          <w:w w:val="100"/>
          <w:sz w:val="21"/>
        </w:rPr>
        <w:t>h</w:t>
      </w:r>
      <w:r>
        <w:rPr>
          <w:w w:val="100"/>
          <w:sz w:val="21"/>
        </w:rPr>
        <w:t>e</w:t>
      </w:r>
      <w:r>
        <w:rPr>
          <w:sz w:val="21"/>
        </w:rPr>
        <w:t>  </w:t>
      </w:r>
      <w:r>
        <w:rPr>
          <w:spacing w:val="-3"/>
          <w:sz w:val="21"/>
        </w:rPr>
        <w:t> </w:t>
      </w:r>
      <w:r>
        <w:rPr>
          <w:spacing w:val="-3"/>
          <w:w w:val="100"/>
          <w:sz w:val="21"/>
        </w:rPr>
        <w:t>b</w:t>
      </w:r>
      <w:r>
        <w:rPr>
          <w:spacing w:val="-1"/>
          <w:w w:val="100"/>
          <w:sz w:val="21"/>
        </w:rPr>
        <w:t>o</w:t>
      </w:r>
      <w:r>
        <w:rPr>
          <w:spacing w:val="-3"/>
          <w:w w:val="100"/>
          <w:sz w:val="21"/>
        </w:rPr>
        <w:t>o</w:t>
      </w:r>
      <w:r>
        <w:rPr>
          <w:w w:val="100"/>
          <w:sz w:val="21"/>
        </w:rPr>
        <w:t>ks</w:t>
      </w:r>
      <w:r>
        <w:rPr>
          <w:sz w:val="21"/>
        </w:rPr>
        <w:t>  </w:t>
      </w:r>
      <w:r>
        <w:rPr>
          <w:spacing w:val="-3"/>
          <w:sz w:val="21"/>
        </w:rPr>
        <w:t> </w:t>
      </w:r>
      <w:r>
        <w:rPr>
          <w:spacing w:val="-3"/>
          <w:w w:val="100"/>
          <w:sz w:val="21"/>
        </w:rPr>
        <w:t>o</w:t>
      </w:r>
      <w:r>
        <w:rPr>
          <w:w w:val="100"/>
          <w:sz w:val="21"/>
        </w:rPr>
        <w:t>f</w:t>
      </w:r>
      <w:r>
        <w:rPr>
          <w:sz w:val="21"/>
        </w:rPr>
        <w:t>  </w:t>
      </w:r>
      <w:r>
        <w:rPr>
          <w:spacing w:val="-2"/>
          <w:sz w:val="21"/>
        </w:rPr>
        <w:t> </w:t>
      </w:r>
      <w:r>
        <w:rPr>
          <w:spacing w:val="-1"/>
          <w:w w:val="100"/>
          <w:sz w:val="21"/>
        </w:rPr>
        <w:t>h</w:t>
      </w:r>
      <w:r>
        <w:rPr>
          <w:spacing w:val="-2"/>
          <w:w w:val="100"/>
          <w:sz w:val="21"/>
        </w:rPr>
        <w:t>i</w:t>
      </w:r>
      <w:r>
        <w:rPr>
          <w:w w:val="100"/>
          <w:sz w:val="21"/>
        </w:rPr>
        <w:t>s</w:t>
      </w:r>
      <w:r>
        <w:rPr>
          <w:spacing w:val="-2"/>
          <w:w w:val="100"/>
          <w:sz w:val="21"/>
        </w:rPr>
        <w:t>t</w:t>
      </w:r>
      <w:r>
        <w:rPr>
          <w:spacing w:val="-1"/>
          <w:w w:val="100"/>
          <w:sz w:val="21"/>
        </w:rPr>
        <w:t>or</w:t>
      </w:r>
      <w:r>
        <w:rPr>
          <w:w w:val="100"/>
          <w:sz w:val="21"/>
        </w:rPr>
        <w:t>y</w:t>
      </w:r>
      <w:r>
        <w:rPr>
          <w:sz w:val="21"/>
        </w:rPr>
        <w:t>  </w:t>
      </w:r>
      <w:r>
        <w:rPr>
          <w:spacing w:val="-6"/>
          <w:sz w:val="21"/>
        </w:rPr>
        <w:t> </w:t>
      </w:r>
      <w:r>
        <w:rPr>
          <w:spacing w:val="-1"/>
          <w:w w:val="100"/>
          <w:sz w:val="21"/>
        </w:rPr>
        <w:t>an</w:t>
      </w:r>
      <w:r>
        <w:rPr>
          <w:w w:val="100"/>
          <w:sz w:val="21"/>
        </w:rPr>
        <w:t>d</w:t>
      </w:r>
      <w:r>
        <w:rPr>
          <w:sz w:val="21"/>
        </w:rPr>
        <w:t>  </w:t>
      </w:r>
      <w:r>
        <w:rPr>
          <w:spacing w:val="-2"/>
          <w:sz w:val="21"/>
        </w:rPr>
        <w:t> </w:t>
      </w:r>
      <w:r>
        <w:rPr>
          <w:spacing w:val="-1"/>
          <w:w w:val="100"/>
          <w:sz w:val="21"/>
        </w:rPr>
        <w:t>p</w:t>
      </w:r>
      <w:r>
        <w:rPr>
          <w:spacing w:val="-3"/>
          <w:w w:val="100"/>
          <w:sz w:val="21"/>
        </w:rPr>
        <w:t>u</w:t>
      </w:r>
      <w:r>
        <w:rPr>
          <w:spacing w:val="-1"/>
          <w:w w:val="100"/>
          <w:sz w:val="21"/>
        </w:rPr>
        <w:t>b</w:t>
      </w:r>
      <w:r>
        <w:rPr>
          <w:spacing w:val="-2"/>
          <w:w w:val="100"/>
          <w:sz w:val="21"/>
        </w:rPr>
        <w:t>l</w:t>
      </w:r>
      <w:r>
        <w:rPr>
          <w:w w:val="100"/>
          <w:sz w:val="21"/>
        </w:rPr>
        <w:t>ic</w:t>
      </w:r>
      <w:r>
        <w:rPr>
          <w:sz w:val="21"/>
        </w:rPr>
        <w:t>  </w:t>
      </w:r>
      <w:r>
        <w:rPr>
          <w:spacing w:val="-3"/>
          <w:sz w:val="21"/>
        </w:rPr>
        <w:t> </w:t>
      </w:r>
      <w:r>
        <w:rPr>
          <w:spacing w:val="-1"/>
          <w:w w:val="100"/>
          <w:sz w:val="21"/>
        </w:rPr>
        <w:t>r</w:t>
      </w:r>
      <w:r>
        <w:rPr>
          <w:spacing w:val="-3"/>
          <w:w w:val="100"/>
          <w:sz w:val="21"/>
        </w:rPr>
        <w:t>e</w:t>
      </w:r>
      <w:r>
        <w:rPr>
          <w:w w:val="100"/>
          <w:sz w:val="21"/>
        </w:rPr>
        <w:t>cords</w:t>
      </w:r>
      <w:r>
        <w:rPr>
          <w:sz w:val="21"/>
        </w:rPr>
        <w:t>  </w:t>
      </w:r>
      <w:r>
        <w:rPr>
          <w:spacing w:val="-3"/>
          <w:sz w:val="21"/>
        </w:rPr>
        <w:t> </w:t>
      </w:r>
      <w:r>
        <w:rPr>
          <w:spacing w:val="-3"/>
          <w:w w:val="100"/>
          <w:sz w:val="21"/>
        </w:rPr>
        <w:t>o</w:t>
      </w:r>
      <w:r>
        <w:rPr>
          <w:w w:val="100"/>
          <w:sz w:val="21"/>
        </w:rPr>
        <w:t>f </w:t>
      </w:r>
      <w:r>
        <w:rPr>
          <w:sz w:val="21"/>
        </w:rPr>
        <w:t>unimpeachable authenticity, establish indisputably that there was an ancient Temple of Maharaja Vikramaditya‘s time at Sri Rama Janma Bhumi, Ayodhya. </w:t>
      </w:r>
      <w:r>
        <w:rPr>
          <w:b/>
          <w:sz w:val="21"/>
        </w:rPr>
        <w:t>That Temple was destroyed partly and an attempt was made to raise a mosque thereat, by the force of arms, by Mir Baqi, a commander of Babar‘s hordes</w:t>
      </w:r>
      <w:r>
        <w:rPr>
          <w:sz w:val="21"/>
        </w:rPr>
        <w:t>. The material used was almost all of it taken from the Temple including its pillars which were wrought out of </w:t>
      </w:r>
      <w:r>
        <w:rPr>
          <w:sz w:val="21"/>
          <w:u w:val="single"/>
        </w:rPr>
        <w:t>Kasauti</w:t>
      </w:r>
      <w:r>
        <w:rPr>
          <w:sz w:val="21"/>
        </w:rPr>
        <w:t> or touch-stone, with figures of Hindu gods and goddesses carved on them. There was great resistance by the Hindus and many battles were fought from time to time by them to prevent the completion of the mosque. To this day it has no minarets, and no place for storage ov f water for </w:t>
      </w:r>
      <w:r>
        <w:rPr>
          <w:sz w:val="21"/>
          <w:u w:val="single"/>
        </w:rPr>
        <w:t>Vazoo</w:t>
      </w:r>
      <w:r>
        <w:rPr>
          <w:sz w:val="21"/>
        </w:rPr>
        <w:t>. Many lives were lost in these battles. The last such battle occurred in 1855. Sri Rama Janma Bhumi, </w:t>
      </w:r>
      <w:r>
        <w:rPr>
          <w:b/>
          <w:sz w:val="21"/>
        </w:rPr>
        <w:t>including the building raised during the Babar‘s time by Mir Baqi</w:t>
      </w:r>
      <w:r>
        <w:rPr>
          <w:sz w:val="21"/>
        </w:rPr>
        <w:t>, was in the possession and control of Hindus at that time.‖</w:t>
        <w:tab/>
        <w:t>(Emphasis</w:t>
      </w:r>
      <w:r>
        <w:rPr>
          <w:spacing w:val="-1"/>
          <w:sz w:val="21"/>
        </w:rPr>
        <w:t> </w:t>
      </w:r>
      <w:r>
        <w:rPr>
          <w:sz w:val="21"/>
        </w:rPr>
        <w:t>supplied)</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4"/>
        <w:jc w:val="both"/>
      </w:pPr>
      <w:r>
        <w:rPr/>
        <w:t>Immediately following the text of the pleading in the above extract, is a reference to the 1928 edition of the Faizabad Gazetteer. The text of the gazetteer is incorporated in the plaint and reads thus:</w:t>
      </w:r>
    </w:p>
    <w:p>
      <w:pPr>
        <w:spacing w:line="276" w:lineRule="auto" w:before="0"/>
        <w:ind w:left="1940" w:right="2260" w:firstLine="0"/>
        <w:jc w:val="both"/>
        <w:rPr>
          <w:sz w:val="21"/>
        </w:rPr>
      </w:pPr>
      <w:r>
        <w:rPr>
          <w:spacing w:val="-1"/>
          <w:w w:val="33"/>
          <w:sz w:val="21"/>
        </w:rPr>
        <w:t>―</w:t>
      </w:r>
      <w:r>
        <w:rPr>
          <w:spacing w:val="-1"/>
          <w:w w:val="100"/>
          <w:sz w:val="21"/>
        </w:rPr>
        <w:t>23…I</w:t>
      </w:r>
      <w:r>
        <w:rPr>
          <w:w w:val="100"/>
          <w:sz w:val="21"/>
        </w:rPr>
        <w:t>n</w:t>
      </w:r>
      <w:r>
        <w:rPr>
          <w:spacing w:val="23"/>
          <w:sz w:val="21"/>
        </w:rPr>
        <w:t> </w:t>
      </w:r>
      <w:r>
        <w:rPr>
          <w:spacing w:val="-1"/>
          <w:w w:val="100"/>
          <w:sz w:val="21"/>
        </w:rPr>
        <w:t>15</w:t>
      </w:r>
      <w:r>
        <w:rPr>
          <w:spacing w:val="-2"/>
          <w:w w:val="100"/>
          <w:sz w:val="21"/>
        </w:rPr>
        <w:t>2</w:t>
      </w:r>
      <w:r>
        <w:rPr>
          <w:w w:val="100"/>
          <w:sz w:val="21"/>
        </w:rPr>
        <w:t>8</w:t>
      </w:r>
      <w:r>
        <w:rPr>
          <w:spacing w:val="23"/>
          <w:sz w:val="21"/>
        </w:rPr>
        <w:t> </w:t>
      </w:r>
      <w:r>
        <w:rPr>
          <w:w w:val="100"/>
          <w:sz w:val="21"/>
        </w:rPr>
        <w:t>B</w:t>
      </w:r>
      <w:r>
        <w:rPr>
          <w:spacing w:val="-1"/>
          <w:w w:val="100"/>
          <w:sz w:val="21"/>
        </w:rPr>
        <w:t>a</w:t>
      </w:r>
      <w:r>
        <w:rPr>
          <w:spacing w:val="-3"/>
          <w:w w:val="100"/>
          <w:sz w:val="21"/>
        </w:rPr>
        <w:t>b</w:t>
      </w:r>
      <w:r>
        <w:rPr>
          <w:spacing w:val="-1"/>
          <w:w w:val="100"/>
          <w:sz w:val="21"/>
        </w:rPr>
        <w:t>a</w:t>
      </w:r>
      <w:r>
        <w:rPr>
          <w:w w:val="100"/>
          <w:sz w:val="21"/>
        </w:rPr>
        <w:t>r</w:t>
      </w:r>
      <w:r>
        <w:rPr>
          <w:spacing w:val="24"/>
          <w:sz w:val="21"/>
        </w:rPr>
        <w:t> </w:t>
      </w:r>
      <w:r>
        <w:rPr>
          <w:w w:val="100"/>
          <w:sz w:val="21"/>
        </w:rPr>
        <w:t>c</w:t>
      </w:r>
      <w:r>
        <w:rPr>
          <w:spacing w:val="-3"/>
          <w:w w:val="100"/>
          <w:sz w:val="21"/>
        </w:rPr>
        <w:t>a</w:t>
      </w:r>
      <w:r>
        <w:rPr>
          <w:spacing w:val="-1"/>
          <w:w w:val="100"/>
          <w:sz w:val="21"/>
        </w:rPr>
        <w:t>m</w:t>
      </w:r>
      <w:r>
        <w:rPr>
          <w:w w:val="100"/>
          <w:sz w:val="21"/>
        </w:rPr>
        <w:t>e</w:t>
      </w:r>
      <w:r>
        <w:rPr>
          <w:spacing w:val="25"/>
          <w:sz w:val="21"/>
        </w:rPr>
        <w:t> </w:t>
      </w:r>
      <w:r>
        <w:rPr>
          <w:spacing w:val="-2"/>
          <w:w w:val="100"/>
          <w:sz w:val="21"/>
        </w:rPr>
        <w:t>t</w:t>
      </w:r>
      <w:r>
        <w:rPr>
          <w:w w:val="100"/>
          <w:sz w:val="21"/>
        </w:rPr>
        <w:t>o</w:t>
      </w:r>
      <w:r>
        <w:rPr>
          <w:spacing w:val="23"/>
          <w:sz w:val="21"/>
        </w:rPr>
        <w:t> </w:t>
      </w:r>
      <w:r>
        <w:rPr>
          <w:w w:val="100"/>
          <w:sz w:val="21"/>
        </w:rPr>
        <w:t>A</w:t>
      </w:r>
      <w:r>
        <w:rPr>
          <w:spacing w:val="-3"/>
          <w:w w:val="100"/>
          <w:sz w:val="21"/>
        </w:rPr>
        <w:t>y</w:t>
      </w:r>
      <w:r>
        <w:rPr>
          <w:spacing w:val="-1"/>
          <w:w w:val="100"/>
          <w:sz w:val="21"/>
        </w:rPr>
        <w:t>odh</w:t>
      </w:r>
      <w:r>
        <w:rPr>
          <w:spacing w:val="-2"/>
          <w:w w:val="100"/>
          <w:sz w:val="21"/>
        </w:rPr>
        <w:t>y</w:t>
      </w:r>
      <w:r>
        <w:rPr>
          <w:w w:val="100"/>
          <w:sz w:val="21"/>
        </w:rPr>
        <w:t>a</w:t>
      </w:r>
      <w:r>
        <w:rPr>
          <w:spacing w:val="25"/>
          <w:sz w:val="21"/>
        </w:rPr>
        <w:t> </w:t>
      </w:r>
      <w:r>
        <w:rPr>
          <w:spacing w:val="-1"/>
          <w:w w:val="100"/>
          <w:sz w:val="21"/>
        </w:rPr>
        <w:t>a</w:t>
      </w:r>
      <w:r>
        <w:rPr>
          <w:spacing w:val="-3"/>
          <w:w w:val="100"/>
          <w:sz w:val="21"/>
        </w:rPr>
        <w:t>n</w:t>
      </w:r>
      <w:r>
        <w:rPr>
          <w:w w:val="100"/>
          <w:sz w:val="21"/>
        </w:rPr>
        <w:t>d</w:t>
      </w:r>
      <w:r>
        <w:rPr>
          <w:spacing w:val="25"/>
          <w:sz w:val="21"/>
        </w:rPr>
        <w:t> </w:t>
      </w:r>
      <w:r>
        <w:rPr>
          <w:spacing w:val="-3"/>
          <w:w w:val="100"/>
          <w:sz w:val="21"/>
        </w:rPr>
        <w:t>h</w:t>
      </w:r>
      <w:r>
        <w:rPr>
          <w:spacing w:val="-1"/>
          <w:w w:val="100"/>
          <w:sz w:val="21"/>
        </w:rPr>
        <w:t>a</w:t>
      </w:r>
      <w:r>
        <w:rPr>
          <w:spacing w:val="1"/>
          <w:w w:val="100"/>
          <w:sz w:val="21"/>
        </w:rPr>
        <w:t>l</w:t>
      </w:r>
      <w:r>
        <w:rPr>
          <w:spacing w:val="-2"/>
          <w:w w:val="100"/>
          <w:sz w:val="21"/>
        </w:rPr>
        <w:t>t</w:t>
      </w:r>
      <w:r>
        <w:rPr>
          <w:spacing w:val="-3"/>
          <w:w w:val="100"/>
          <w:sz w:val="21"/>
        </w:rPr>
        <w:t>e</w:t>
      </w:r>
      <w:r>
        <w:rPr>
          <w:w w:val="100"/>
          <w:sz w:val="21"/>
        </w:rPr>
        <w:t>d</w:t>
      </w:r>
      <w:r>
        <w:rPr>
          <w:spacing w:val="23"/>
          <w:sz w:val="21"/>
        </w:rPr>
        <w:t> </w:t>
      </w:r>
      <w:r>
        <w:rPr>
          <w:spacing w:val="-1"/>
          <w:w w:val="100"/>
          <w:sz w:val="21"/>
        </w:rPr>
        <w:t>her</w:t>
      </w:r>
      <w:r>
        <w:rPr>
          <w:w w:val="100"/>
          <w:sz w:val="21"/>
        </w:rPr>
        <w:t>e</w:t>
      </w:r>
      <w:r>
        <w:rPr>
          <w:spacing w:val="22"/>
          <w:sz w:val="21"/>
        </w:rPr>
        <w:t> </w:t>
      </w:r>
      <w:r>
        <w:rPr>
          <w:spacing w:val="1"/>
          <w:w w:val="100"/>
          <w:sz w:val="21"/>
        </w:rPr>
        <w:t>f</w:t>
      </w:r>
      <w:r>
        <w:rPr>
          <w:spacing w:val="-1"/>
          <w:w w:val="100"/>
          <w:sz w:val="21"/>
        </w:rPr>
        <w:t>o</w:t>
      </w:r>
      <w:r>
        <w:rPr>
          <w:w w:val="100"/>
          <w:sz w:val="21"/>
        </w:rPr>
        <w:t>r</w:t>
      </w:r>
      <w:r>
        <w:rPr>
          <w:spacing w:val="27"/>
          <w:sz w:val="21"/>
        </w:rPr>
        <w:t> </w:t>
      </w:r>
      <w:r>
        <w:rPr>
          <w:w w:val="100"/>
          <w:sz w:val="21"/>
        </w:rPr>
        <w:t>a </w:t>
      </w:r>
      <w:r>
        <w:rPr>
          <w:sz w:val="21"/>
        </w:rPr>
        <w:t>week. He destroyed the ancient temple and on its site built a mosque, still known as Babar‘s mosque. The materials of the old structure were largely employed, and many of the columns are in good preservation, they are of close-grained black stone, called by the natives </w:t>
      </w:r>
      <w:r>
        <w:rPr>
          <w:sz w:val="21"/>
          <w:u w:val="single"/>
        </w:rPr>
        <w:t>kasauti</w:t>
      </w:r>
      <w:r>
        <w:rPr>
          <w:sz w:val="21"/>
        </w:rPr>
        <w:t> and carved with various</w:t>
      </w:r>
      <w:r>
        <w:rPr>
          <w:spacing w:val="-2"/>
          <w:sz w:val="21"/>
        </w:rPr>
        <w:t> </w:t>
      </w:r>
      <w:r>
        <w:rPr>
          <w:sz w:val="21"/>
        </w:rPr>
        <w:t>device.‖</w:t>
      </w:r>
    </w:p>
    <w:p>
      <w:pPr>
        <w:pStyle w:val="BodyText"/>
        <w:rPr>
          <w:sz w:val="24"/>
        </w:rPr>
      </w:pPr>
    </w:p>
    <w:p>
      <w:pPr>
        <w:pStyle w:val="BodyText"/>
        <w:rPr>
          <w:sz w:val="22"/>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The pleading in Suit 5 demonstrates that even according to the plaintiffs, the mosque was built by Mir Baqi, a commander of Babur‘s forces, during the time of Babur. Hence, both in the pleading in Suit 4 and in Suit 5, there was essentially no dispute about the fact that the mosque was raised in 1528 A.D. by or at the behest of Babur. The case in Suit 5 is that the Hindus retained possession and control over the mosque. This </w:t>
      </w:r>
      <w:r>
        <w:rPr>
          <w:spacing w:val="2"/>
          <w:sz w:val="25"/>
        </w:rPr>
        <w:t>is </w:t>
      </w:r>
      <w:r>
        <w:rPr>
          <w:sz w:val="25"/>
        </w:rPr>
        <w:t>a separate matter altogether which has to be adjudicated upon. But, from the pleadings both in Suit 4 and in Suit 5, there appears to be no dispute about the origin or the date of construction of the mosque. Nirmohi Akhara in Suit 3 did not accept that the structure is a mosque at all for, according to it, the structure has always been a Hindu temple which has been managed by the Nirmohis at all material times. The Nirmohis‘ disputed the very existence of a mosque, claiming it to be a temple. The case of the Nirmohis will be considered separately while assessing the pleadings, evidence and issues which arise in Suit 3. But, on the basis of the pleadings in Suit 4 and Suit 5, the controversy in regard to the authenticity of the inscriptions will not have any practical</w:t>
      </w:r>
      <w:r>
        <w:rPr>
          <w:spacing w:val="-8"/>
          <w:sz w:val="25"/>
        </w:rPr>
        <w:t> </w:t>
      </w:r>
      <w:r>
        <w:rPr>
          <w:sz w:val="25"/>
        </w:rPr>
        <w:t>relevance.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There is another reason for adopting this line of approach. In the ultimate analysis, whether the mosque was built in 1528 (as both sets of plaintiffs in suit 4 and suit 5 have pleaded) or thereafter would essentially make no difference to the submissions of the rival sides. The plaintiffs in Suit 4 have stated before this Court that the records on which they place reliance in regard to their claim of worship, use and possession commence around 1860. This being the position, the precise date of the construction of the mosque is a matter which has no practical relevance to the outcome of the controversy having regard to the pleadings in Suits 4 and 5 and the positions adopted by the contesting Hindu and Muslim parties before this</w:t>
      </w:r>
      <w:r>
        <w:rPr>
          <w:spacing w:val="-4"/>
        </w:rPr>
        <w:t> </w:t>
      </w:r>
      <w:r>
        <w:rPr/>
        <w:t>Court.</w:t>
      </w:r>
    </w:p>
    <w:p>
      <w:pPr>
        <w:pStyle w:val="BodyText"/>
        <w:rPr>
          <w:sz w:val="28"/>
        </w:rPr>
      </w:pPr>
    </w:p>
    <w:p>
      <w:pPr>
        <w:pStyle w:val="BodyText"/>
        <w:spacing w:before="5"/>
        <w:rPr>
          <w:sz w:val="32"/>
        </w:rPr>
      </w:pPr>
    </w:p>
    <w:p>
      <w:pPr>
        <w:pStyle w:val="Heading3"/>
        <w:numPr>
          <w:ilvl w:val="0"/>
          <w:numId w:val="2"/>
        </w:numPr>
        <w:tabs>
          <w:tab w:pos="1221" w:val="left" w:leader="none"/>
        </w:tabs>
        <w:spacing w:line="240" w:lineRule="auto" w:before="0" w:after="0"/>
        <w:ind w:left="1220" w:right="0" w:hanging="721"/>
        <w:jc w:val="both"/>
      </w:pPr>
      <w:r>
        <w:rPr/>
        <w:t>Judicial review and characteristics of a mosque in Islamic</w:t>
      </w:r>
      <w:r>
        <w:rPr>
          <w:spacing w:val="-11"/>
        </w:rPr>
        <w:t> </w:t>
      </w:r>
      <w:r>
        <w:rPr/>
        <w:t>law</w:t>
      </w:r>
    </w:p>
    <w:p>
      <w:pPr>
        <w:pStyle w:val="BodyText"/>
        <w:rPr>
          <w:b/>
          <w:sz w:val="28"/>
        </w:rPr>
      </w:pPr>
    </w:p>
    <w:p>
      <w:pPr>
        <w:pStyle w:val="ListParagraph"/>
        <w:numPr>
          <w:ilvl w:val="0"/>
          <w:numId w:val="3"/>
        </w:numPr>
        <w:tabs>
          <w:tab w:pos="1221" w:val="left" w:leader="none"/>
        </w:tabs>
        <w:spacing w:line="480" w:lineRule="auto" w:before="217" w:after="0"/>
        <w:ind w:left="500" w:right="437" w:firstLine="0"/>
        <w:jc w:val="both"/>
        <w:rPr>
          <w:sz w:val="25"/>
        </w:rPr>
      </w:pPr>
      <w:r>
        <w:rPr>
          <w:sz w:val="25"/>
        </w:rPr>
        <w:t>Mr P N Mishra, learned Counsel appearing on behalf of defendant no 20 in Suit 5 (Akhil Bharatiya Shri Ram JanmBhumi Punrudhar Samiti) has made an earnest effort to demonstrate that the Babri Masjid lacked the essential features of a valid mosque under Islamic jurisprudence. The submissions, essentially deal with two</w:t>
      </w:r>
      <w:r>
        <w:rPr>
          <w:spacing w:val="-2"/>
          <w:sz w:val="25"/>
        </w:rPr>
        <w:t> </w:t>
      </w:r>
      <w:r>
        <w:rPr>
          <w:sz w:val="25"/>
        </w:rPr>
        <w:t>facets:</w:t>
      </w:r>
    </w:p>
    <w:p>
      <w:pPr>
        <w:pStyle w:val="ListParagraph"/>
        <w:numPr>
          <w:ilvl w:val="1"/>
          <w:numId w:val="3"/>
        </w:numPr>
        <w:tabs>
          <w:tab w:pos="1581" w:val="left" w:leader="none"/>
        </w:tabs>
        <w:spacing w:line="480" w:lineRule="auto" w:before="1" w:after="0"/>
        <w:ind w:left="1580" w:right="435" w:hanging="720"/>
        <w:jc w:val="both"/>
        <w:rPr>
          <w:sz w:val="25"/>
        </w:rPr>
      </w:pPr>
      <w:r>
        <w:rPr>
          <w:sz w:val="25"/>
        </w:rPr>
        <w:t>Features bearing on the location, construction and design of a mosque; and</w:t>
      </w:r>
    </w:p>
    <w:p>
      <w:pPr>
        <w:pStyle w:val="ListParagraph"/>
        <w:numPr>
          <w:ilvl w:val="1"/>
          <w:numId w:val="3"/>
        </w:numPr>
        <w:tabs>
          <w:tab w:pos="1580" w:val="left" w:leader="none"/>
          <w:tab w:pos="1581" w:val="left" w:leader="none"/>
        </w:tabs>
        <w:spacing w:line="287" w:lineRule="exact" w:before="0" w:after="0"/>
        <w:ind w:left="1580" w:right="0" w:hanging="721"/>
        <w:jc w:val="left"/>
        <w:rPr>
          <w:sz w:val="25"/>
        </w:rPr>
      </w:pPr>
      <w:r>
        <w:rPr>
          <w:sz w:val="25"/>
        </w:rPr>
        <w:t>The requirements for a valid</w:t>
      </w:r>
      <w:r>
        <w:rPr>
          <w:spacing w:val="-6"/>
          <w:sz w:val="25"/>
        </w:rPr>
        <w:t> </w:t>
      </w:r>
      <w:r>
        <w:rPr>
          <w:sz w:val="25"/>
        </w:rPr>
        <w:t>dedication.</w:t>
      </w:r>
    </w:p>
    <w:p>
      <w:pPr>
        <w:spacing w:after="0" w:line="287" w:lineRule="exact"/>
        <w:jc w:val="left"/>
        <w:rPr>
          <w:sz w:val="25"/>
        </w:rPr>
        <w:sectPr>
          <w:headerReference w:type="default" r:id="rId38"/>
          <w:footerReference w:type="default" r:id="rId39"/>
          <w:pgSz w:w="11910" w:h="16840"/>
          <w:pgMar w:header="721" w:footer="1014" w:top="1300" w:bottom="1200" w:left="940" w:right="1000"/>
          <w:pgNumType w:start="104"/>
        </w:sectPr>
      </w:pPr>
    </w:p>
    <w:p>
      <w:pPr>
        <w:pStyle w:val="BodyText"/>
        <w:spacing w:line="480" w:lineRule="auto" w:before="124"/>
        <w:ind w:left="500" w:right="441"/>
        <w:jc w:val="both"/>
      </w:pPr>
      <w:r>
        <w:rPr/>
        <w:t>In this segment, the first limb of the submissions is addressed. Whether there was a valid dedication will be addressed in a separate segment in Suit 4. Mr Mishra urged that Babri Masjid cannot be treated to be a valid mosque since it lacked essential features in relation to location, design and</w:t>
      </w:r>
      <w:r>
        <w:rPr>
          <w:spacing w:val="-10"/>
        </w:rPr>
        <w:t> </w:t>
      </w:r>
      <w:r>
        <w:rPr/>
        <w:t>construction.</w:t>
      </w:r>
    </w:p>
    <w:p>
      <w:pPr>
        <w:pStyle w:val="BodyText"/>
        <w:spacing w:before="11"/>
        <w:rPr>
          <w:sz w:val="24"/>
        </w:rPr>
      </w:pPr>
    </w:p>
    <w:p>
      <w:pPr>
        <w:pStyle w:val="ListParagraph"/>
        <w:numPr>
          <w:ilvl w:val="0"/>
          <w:numId w:val="3"/>
        </w:numPr>
        <w:tabs>
          <w:tab w:pos="1220" w:val="left" w:leader="none"/>
          <w:tab w:pos="1221" w:val="left" w:leader="none"/>
        </w:tabs>
        <w:spacing w:line="240" w:lineRule="auto" w:before="0" w:after="0"/>
        <w:ind w:left="1220" w:right="0" w:hanging="721"/>
        <w:jc w:val="left"/>
        <w:rPr>
          <w:sz w:val="25"/>
        </w:rPr>
      </w:pPr>
      <w:r>
        <w:rPr>
          <w:sz w:val="25"/>
        </w:rPr>
        <w:t>Before the High Court, the following issues were framed in Suit</w:t>
      </w:r>
      <w:r>
        <w:rPr>
          <w:spacing w:val="-11"/>
          <w:sz w:val="25"/>
        </w:rPr>
        <w:t> </w:t>
      </w:r>
      <w:r>
        <w:rPr>
          <w:sz w:val="25"/>
        </w:rPr>
        <w:t>4:</w:t>
      </w:r>
    </w:p>
    <w:p>
      <w:pPr>
        <w:pStyle w:val="BodyText"/>
        <w:rPr>
          <w:sz w:val="28"/>
        </w:rPr>
      </w:pPr>
    </w:p>
    <w:p>
      <w:pPr>
        <w:pStyle w:val="BodyText"/>
        <w:spacing w:line="482" w:lineRule="auto" w:before="250"/>
        <w:ind w:left="500" w:right="436"/>
        <w:jc w:val="both"/>
      </w:pPr>
      <w:r>
        <w:rPr>
          <w:b/>
        </w:rPr>
        <w:t>Issue no 1 in Suit 4 </w:t>
      </w:r>
      <w:r>
        <w:rPr/>
        <w:t>- Whether the building in question described as a mosque in the sketch map attached to the plaint was a mosque as claimed by the plaintiffs; If the answer is in the</w:t>
      </w:r>
      <w:r>
        <w:rPr>
          <w:spacing w:val="-6"/>
        </w:rPr>
        <w:t> </w:t>
      </w:r>
      <w:r>
        <w:rPr/>
        <w:t>affirmative:</w:t>
      </w:r>
    </w:p>
    <w:p>
      <w:pPr>
        <w:pStyle w:val="ListParagraph"/>
        <w:numPr>
          <w:ilvl w:val="0"/>
          <w:numId w:val="51"/>
        </w:numPr>
        <w:tabs>
          <w:tab w:pos="1221" w:val="left" w:leader="none"/>
        </w:tabs>
        <w:spacing w:line="480" w:lineRule="auto" w:before="0" w:after="0"/>
        <w:ind w:left="1220" w:right="442" w:hanging="720"/>
        <w:jc w:val="both"/>
        <w:rPr>
          <w:sz w:val="25"/>
        </w:rPr>
      </w:pPr>
      <w:r>
        <w:rPr>
          <w:sz w:val="25"/>
        </w:rPr>
        <w:t>When was it built and by whom-whether by Babur as alleged by the plaintiffs or by Mir Baqi as alleged by defendant no. 13;</w:t>
      </w:r>
      <w:r>
        <w:rPr>
          <w:spacing w:val="-7"/>
          <w:sz w:val="25"/>
        </w:rPr>
        <w:t> </w:t>
      </w:r>
      <w:r>
        <w:rPr>
          <w:sz w:val="25"/>
        </w:rPr>
        <w:t>and</w:t>
      </w:r>
    </w:p>
    <w:p>
      <w:pPr>
        <w:pStyle w:val="ListParagraph"/>
        <w:numPr>
          <w:ilvl w:val="0"/>
          <w:numId w:val="51"/>
        </w:numPr>
        <w:tabs>
          <w:tab w:pos="1221" w:val="left" w:leader="none"/>
        </w:tabs>
        <w:spacing w:line="480" w:lineRule="auto" w:before="0" w:after="0"/>
        <w:ind w:left="1220" w:right="434" w:hanging="720"/>
        <w:jc w:val="both"/>
        <w:rPr>
          <w:sz w:val="25"/>
        </w:rPr>
      </w:pPr>
      <w:r>
        <w:rPr>
          <w:sz w:val="25"/>
        </w:rPr>
        <w:t>Whether the building had been constructed on the site of an alleged Hindu temple after demolishing the same as alleged by defendant no. </w:t>
      </w:r>
      <w:r>
        <w:rPr>
          <w:spacing w:val="2"/>
          <w:sz w:val="25"/>
        </w:rPr>
        <w:t>13. </w:t>
      </w:r>
      <w:r>
        <w:rPr>
          <w:sz w:val="25"/>
        </w:rPr>
        <w:t>If so, its</w:t>
      </w:r>
      <w:r>
        <w:rPr>
          <w:spacing w:val="-1"/>
          <w:sz w:val="25"/>
        </w:rPr>
        <w:t> </w:t>
      </w:r>
      <w:r>
        <w:rPr>
          <w:sz w:val="25"/>
        </w:rPr>
        <w:t>effect.</w:t>
      </w:r>
    </w:p>
    <w:p>
      <w:pPr>
        <w:pStyle w:val="BodyText"/>
        <w:spacing w:line="480" w:lineRule="auto" w:before="193"/>
        <w:ind w:left="2660" w:right="441" w:hanging="2160"/>
        <w:jc w:val="both"/>
      </w:pPr>
      <w:r>
        <w:rPr>
          <w:b/>
        </w:rPr>
        <w:t>Issue No 19(d) </w:t>
      </w:r>
      <w:r>
        <w:rPr/>
        <w:t>– Whether the building in question could not be a mosque under Islamic Law in view of the admitted position that it did not have</w:t>
      </w:r>
      <w:r>
        <w:rPr>
          <w:spacing w:val="-2"/>
        </w:rPr>
        <w:t> </w:t>
      </w:r>
      <w:r>
        <w:rPr/>
        <w:t>minarets.</w:t>
      </w:r>
    </w:p>
    <w:p>
      <w:pPr>
        <w:pStyle w:val="BodyText"/>
        <w:spacing w:line="480" w:lineRule="auto" w:before="1"/>
        <w:ind w:left="500" w:right="444"/>
        <w:jc w:val="both"/>
      </w:pPr>
      <w:r>
        <w:rPr>
          <w:b/>
        </w:rPr>
        <w:t>Issue No 19(e) </w:t>
      </w:r>
      <w:r>
        <w:rPr/>
        <w:t>– Whether the building in question could not legally be a mosque as on plaintiffs‘ own showing it was surrounded by a graveyard on three sides.</w:t>
      </w:r>
    </w:p>
    <w:p>
      <w:pPr>
        <w:pStyle w:val="BodyText"/>
        <w:spacing w:line="480" w:lineRule="auto"/>
        <w:ind w:left="500" w:right="438"/>
        <w:jc w:val="both"/>
      </w:pPr>
      <w:r>
        <w:rPr>
          <w:b/>
        </w:rPr>
        <w:t>Issue No 19(f) </w:t>
      </w:r>
      <w:r>
        <w:rPr/>
        <w:t>– Whether the pillars inside and outside the building in question contain images of Hindu Gods and Goddesses. If the finding is in the affirmative, whether on that account the building in question cannot have the character of mosque under the tenets of Islam.</w:t>
      </w:r>
    </w:p>
    <w:p>
      <w:pPr>
        <w:spacing w:after="0" w:line="480" w:lineRule="auto"/>
        <w:jc w:val="both"/>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43" w:firstLine="0"/>
        <w:jc w:val="both"/>
        <w:rPr>
          <w:sz w:val="25"/>
        </w:rPr>
      </w:pPr>
      <w:r>
        <w:rPr>
          <w:sz w:val="25"/>
        </w:rPr>
        <w:t>The written statement of defendant no 20 provides the basis for the assertion that Babri Masjid did not fulfil or abide by the features required for a mosque in Islamic</w:t>
      </w:r>
      <w:r>
        <w:rPr>
          <w:spacing w:val="-3"/>
          <w:sz w:val="25"/>
        </w:rPr>
        <w:t> </w:t>
      </w:r>
      <w:r>
        <w:rPr>
          <w:sz w:val="25"/>
        </w:rPr>
        <w:t>jurisprudence:</w:t>
      </w:r>
    </w:p>
    <w:p>
      <w:pPr>
        <w:spacing w:line="276" w:lineRule="auto" w:before="0"/>
        <w:ind w:left="1940" w:right="2263" w:firstLine="0"/>
        <w:jc w:val="both"/>
        <w:rPr>
          <w:sz w:val="21"/>
        </w:rPr>
      </w:pPr>
      <w:r>
        <w:rPr>
          <w:spacing w:val="-1"/>
          <w:w w:val="33"/>
          <w:sz w:val="21"/>
        </w:rPr>
        <w:t>―</w:t>
      </w:r>
      <w:r>
        <w:rPr>
          <w:w w:val="100"/>
          <w:sz w:val="21"/>
        </w:rPr>
        <w:t>…</w:t>
      </w:r>
      <w:r>
        <w:rPr>
          <w:spacing w:val="-1"/>
          <w:w w:val="100"/>
          <w:sz w:val="21"/>
        </w:rPr>
        <w:t>(1</w:t>
      </w:r>
      <w:r>
        <w:rPr>
          <w:w w:val="100"/>
          <w:sz w:val="21"/>
        </w:rPr>
        <w:t>)</w:t>
      </w:r>
      <w:r>
        <w:rPr>
          <w:sz w:val="21"/>
        </w:rPr>
        <w:t> </w:t>
      </w:r>
      <w:r>
        <w:rPr>
          <w:spacing w:val="-27"/>
          <w:sz w:val="21"/>
        </w:rPr>
        <w:t> </w:t>
      </w:r>
      <w:r>
        <w:rPr>
          <w:w w:val="100"/>
          <w:sz w:val="21"/>
        </w:rPr>
        <w:t>The</w:t>
      </w:r>
      <w:r>
        <w:rPr>
          <w:sz w:val="21"/>
        </w:rPr>
        <w:t> </w:t>
      </w:r>
      <w:r>
        <w:rPr>
          <w:spacing w:val="-26"/>
          <w:sz w:val="21"/>
        </w:rPr>
        <w:t> </w:t>
      </w:r>
      <w:r>
        <w:rPr>
          <w:spacing w:val="-2"/>
          <w:w w:val="100"/>
          <w:sz w:val="21"/>
        </w:rPr>
        <w:t>t</w:t>
      </w:r>
      <w:r>
        <w:rPr>
          <w:spacing w:val="-3"/>
          <w:w w:val="100"/>
          <w:sz w:val="21"/>
        </w:rPr>
        <w:t>o</w:t>
      </w:r>
      <w:r>
        <w:rPr>
          <w:spacing w:val="1"/>
          <w:w w:val="100"/>
          <w:sz w:val="21"/>
        </w:rPr>
        <w:t>m</w:t>
      </w:r>
      <w:r>
        <w:rPr>
          <w:w w:val="100"/>
          <w:sz w:val="21"/>
        </w:rPr>
        <w:t>b</w:t>
      </w:r>
      <w:r>
        <w:rPr>
          <w:sz w:val="21"/>
        </w:rPr>
        <w:t> </w:t>
      </w:r>
      <w:r>
        <w:rPr>
          <w:spacing w:val="-29"/>
          <w:sz w:val="21"/>
        </w:rPr>
        <w:t> </w:t>
      </w:r>
      <w:r>
        <w:rPr>
          <w:spacing w:val="-1"/>
          <w:w w:val="100"/>
          <w:sz w:val="21"/>
        </w:rPr>
        <w:t>o</w:t>
      </w:r>
      <w:r>
        <w:rPr>
          <w:w w:val="100"/>
          <w:sz w:val="21"/>
        </w:rPr>
        <w:t>f</w:t>
      </w:r>
      <w:r>
        <w:rPr>
          <w:sz w:val="21"/>
        </w:rPr>
        <w:t> </w:t>
      </w:r>
      <w:r>
        <w:rPr>
          <w:spacing w:val="-25"/>
          <w:sz w:val="21"/>
        </w:rPr>
        <w:t> </w:t>
      </w:r>
      <w:r>
        <w:rPr>
          <w:spacing w:val="-2"/>
          <w:w w:val="100"/>
          <w:sz w:val="21"/>
        </w:rPr>
        <w:t>t</w:t>
      </w:r>
      <w:r>
        <w:rPr>
          <w:spacing w:val="-1"/>
          <w:w w:val="100"/>
          <w:sz w:val="21"/>
        </w:rPr>
        <w:t>h</w:t>
      </w:r>
      <w:r>
        <w:rPr>
          <w:spacing w:val="-2"/>
          <w:w w:val="100"/>
          <w:sz w:val="21"/>
        </w:rPr>
        <w:t>i</w:t>
      </w:r>
      <w:r>
        <w:rPr>
          <w:w w:val="100"/>
          <w:sz w:val="21"/>
        </w:rPr>
        <w:t>s</w:t>
      </w:r>
      <w:r>
        <w:rPr>
          <w:sz w:val="21"/>
        </w:rPr>
        <w:t> </w:t>
      </w:r>
      <w:r>
        <w:rPr>
          <w:spacing w:val="-26"/>
          <w:sz w:val="21"/>
        </w:rPr>
        <w:t> </w:t>
      </w:r>
      <w:r>
        <w:rPr>
          <w:spacing w:val="-3"/>
          <w:w w:val="100"/>
          <w:sz w:val="21"/>
        </w:rPr>
        <w:t>d</w:t>
      </w:r>
      <w:r>
        <w:rPr>
          <w:w w:val="100"/>
          <w:sz w:val="21"/>
        </w:rPr>
        <w:t>ispu</w:t>
      </w:r>
      <w:r>
        <w:rPr>
          <w:spacing w:val="-1"/>
          <w:w w:val="100"/>
          <w:sz w:val="21"/>
        </w:rPr>
        <w:t>t</w:t>
      </w:r>
      <w:r>
        <w:rPr>
          <w:spacing w:val="-3"/>
          <w:w w:val="100"/>
          <w:sz w:val="21"/>
        </w:rPr>
        <w:t>e</w:t>
      </w:r>
      <w:r>
        <w:rPr>
          <w:w w:val="100"/>
          <w:sz w:val="21"/>
        </w:rPr>
        <w:t>d</w:t>
      </w:r>
      <w:r>
        <w:rPr>
          <w:sz w:val="21"/>
        </w:rPr>
        <w:t> </w:t>
      </w:r>
      <w:r>
        <w:rPr>
          <w:spacing w:val="-26"/>
          <w:sz w:val="21"/>
        </w:rPr>
        <w:t> </w:t>
      </w:r>
      <w:r>
        <w:rPr>
          <w:spacing w:val="-1"/>
          <w:w w:val="100"/>
          <w:sz w:val="21"/>
        </w:rPr>
        <w:t>Ma</w:t>
      </w:r>
      <w:r>
        <w:rPr>
          <w:spacing w:val="-3"/>
          <w:w w:val="100"/>
          <w:sz w:val="21"/>
        </w:rPr>
        <w:t>s</w:t>
      </w:r>
      <w:r>
        <w:rPr>
          <w:w w:val="100"/>
          <w:sz w:val="21"/>
        </w:rPr>
        <w:t>j</w:t>
      </w:r>
      <w:r>
        <w:rPr>
          <w:spacing w:val="-2"/>
          <w:w w:val="100"/>
          <w:sz w:val="21"/>
        </w:rPr>
        <w:t>i</w:t>
      </w:r>
      <w:r>
        <w:rPr>
          <w:w w:val="100"/>
          <w:sz w:val="21"/>
        </w:rPr>
        <w:t>d</w:t>
      </w:r>
      <w:r>
        <w:rPr>
          <w:sz w:val="21"/>
        </w:rPr>
        <w:t> </w:t>
      </w:r>
      <w:r>
        <w:rPr>
          <w:spacing w:val="-26"/>
          <w:sz w:val="21"/>
        </w:rPr>
        <w:t> </w:t>
      </w:r>
      <w:r>
        <w:rPr>
          <w:spacing w:val="-2"/>
          <w:w w:val="100"/>
          <w:sz w:val="21"/>
        </w:rPr>
        <w:t>i</w:t>
      </w:r>
      <w:r>
        <w:rPr>
          <w:w w:val="100"/>
          <w:sz w:val="21"/>
        </w:rPr>
        <w:t>f</w:t>
      </w:r>
      <w:r>
        <w:rPr>
          <w:sz w:val="21"/>
        </w:rPr>
        <w:t> </w:t>
      </w:r>
      <w:r>
        <w:rPr>
          <w:spacing w:val="-25"/>
          <w:sz w:val="21"/>
        </w:rPr>
        <w:t> </w:t>
      </w:r>
      <w:r>
        <w:rPr>
          <w:w w:val="100"/>
          <w:sz w:val="21"/>
        </w:rPr>
        <w:t>it</w:t>
      </w:r>
      <w:r>
        <w:rPr>
          <w:sz w:val="21"/>
        </w:rPr>
        <w:t> </w:t>
      </w:r>
      <w:r>
        <w:rPr>
          <w:spacing w:val="-27"/>
          <w:sz w:val="21"/>
        </w:rPr>
        <w:t> </w:t>
      </w:r>
      <w:r>
        <w:rPr>
          <w:w w:val="100"/>
          <w:sz w:val="21"/>
        </w:rPr>
        <w:t>is</w:t>
      </w:r>
      <w:r>
        <w:rPr>
          <w:sz w:val="21"/>
        </w:rPr>
        <w:t> </w:t>
      </w:r>
      <w:r>
        <w:rPr>
          <w:spacing w:val="-26"/>
          <w:sz w:val="21"/>
        </w:rPr>
        <w:t> </w:t>
      </w:r>
      <w:r>
        <w:rPr>
          <w:spacing w:val="-2"/>
          <w:w w:val="100"/>
          <w:sz w:val="21"/>
        </w:rPr>
        <w:t>t</w:t>
      </w:r>
      <w:r>
        <w:rPr>
          <w:w w:val="100"/>
          <w:sz w:val="21"/>
        </w:rPr>
        <w:t>o</w:t>
      </w:r>
      <w:r>
        <w:rPr>
          <w:sz w:val="21"/>
        </w:rPr>
        <w:t> </w:t>
      </w:r>
      <w:r>
        <w:rPr>
          <w:spacing w:val="-29"/>
          <w:sz w:val="21"/>
        </w:rPr>
        <w:t> </w:t>
      </w:r>
      <w:r>
        <w:rPr>
          <w:spacing w:val="-1"/>
          <w:w w:val="100"/>
          <w:sz w:val="21"/>
        </w:rPr>
        <w:t>b</w:t>
      </w:r>
      <w:r>
        <w:rPr>
          <w:w w:val="100"/>
          <w:sz w:val="21"/>
        </w:rPr>
        <w:t>e</w:t>
      </w:r>
      <w:r>
        <w:rPr>
          <w:sz w:val="21"/>
        </w:rPr>
        <w:t> </w:t>
      </w:r>
      <w:r>
        <w:rPr>
          <w:spacing w:val="-26"/>
          <w:sz w:val="21"/>
        </w:rPr>
        <w:t> </w:t>
      </w:r>
      <w:r>
        <w:rPr>
          <w:w w:val="100"/>
          <w:sz w:val="21"/>
        </w:rPr>
        <w:t>l</w:t>
      </w:r>
      <w:r>
        <w:rPr>
          <w:spacing w:val="-3"/>
          <w:w w:val="100"/>
          <w:sz w:val="21"/>
        </w:rPr>
        <w:t>oo</w:t>
      </w:r>
      <w:r>
        <w:rPr>
          <w:spacing w:val="2"/>
          <w:w w:val="100"/>
          <w:sz w:val="21"/>
        </w:rPr>
        <w:t>k</w:t>
      </w:r>
      <w:r>
        <w:rPr>
          <w:spacing w:val="-3"/>
          <w:w w:val="100"/>
          <w:sz w:val="21"/>
        </w:rPr>
        <w:t>e</w:t>
      </w:r>
      <w:r>
        <w:rPr>
          <w:w w:val="100"/>
          <w:sz w:val="21"/>
        </w:rPr>
        <w:t>d </w:t>
      </w:r>
      <w:r>
        <w:rPr>
          <w:sz w:val="21"/>
        </w:rPr>
        <w:t>from behind would show that it is not in the style developed  by Turkis during fifteenth century, nor the Mehrab of the Masjid in that style is to be found. Thus there is no tomb in  the disputed Masjid as is to be found in other mosques generally.</w:t>
      </w:r>
    </w:p>
    <w:p>
      <w:pPr>
        <w:pStyle w:val="ListParagraph"/>
        <w:numPr>
          <w:ilvl w:val="0"/>
          <w:numId w:val="52"/>
        </w:numPr>
        <w:tabs>
          <w:tab w:pos="2272" w:val="left" w:leader="none"/>
        </w:tabs>
        <w:spacing w:line="276" w:lineRule="auto" w:before="0" w:after="0"/>
        <w:ind w:left="1940" w:right="2263" w:firstLine="0"/>
        <w:jc w:val="both"/>
        <w:rPr>
          <w:sz w:val="21"/>
        </w:rPr>
      </w:pPr>
      <w:r>
        <w:rPr>
          <w:sz w:val="21"/>
        </w:rPr>
        <w:t>On the north door in the front facing each other there are two tigers. They are in the style of taking leaps and their tails are just in the same style when a tiger takes the leap. Between these two tigers there is a peacock. This is not a characteristic of a</w:t>
      </w:r>
      <w:r>
        <w:rPr>
          <w:spacing w:val="-6"/>
          <w:sz w:val="21"/>
        </w:rPr>
        <w:t> </w:t>
      </w:r>
      <w:r>
        <w:rPr>
          <w:sz w:val="21"/>
        </w:rPr>
        <w:t>mosque.</w:t>
      </w:r>
    </w:p>
    <w:p>
      <w:pPr>
        <w:pStyle w:val="ListParagraph"/>
        <w:numPr>
          <w:ilvl w:val="0"/>
          <w:numId w:val="52"/>
        </w:numPr>
        <w:tabs>
          <w:tab w:pos="2267" w:val="left" w:leader="none"/>
        </w:tabs>
        <w:spacing w:line="276" w:lineRule="auto" w:before="0" w:after="0"/>
        <w:ind w:left="1940" w:right="2266" w:firstLine="0"/>
        <w:jc w:val="both"/>
        <w:rPr>
          <w:sz w:val="21"/>
        </w:rPr>
      </w:pPr>
      <w:r>
        <w:rPr>
          <w:sz w:val="21"/>
        </w:rPr>
        <w:t>The various Hindu idols are painted or their scriptions are to be found in the disputed</w:t>
      </w:r>
      <w:r>
        <w:rPr>
          <w:spacing w:val="-7"/>
          <w:sz w:val="21"/>
        </w:rPr>
        <w:t> </w:t>
      </w:r>
      <w:r>
        <w:rPr>
          <w:sz w:val="21"/>
        </w:rPr>
        <w:t>mosque.</w:t>
      </w:r>
    </w:p>
    <w:p>
      <w:pPr>
        <w:pStyle w:val="ListParagraph"/>
        <w:numPr>
          <w:ilvl w:val="0"/>
          <w:numId w:val="52"/>
        </w:numPr>
        <w:tabs>
          <w:tab w:pos="2284" w:val="left" w:leader="none"/>
        </w:tabs>
        <w:spacing w:line="276" w:lineRule="auto" w:before="0" w:after="0"/>
        <w:ind w:left="1940" w:right="2264" w:firstLine="0"/>
        <w:jc w:val="both"/>
        <w:rPr>
          <w:sz w:val="21"/>
        </w:rPr>
      </w:pPr>
      <w:r>
        <w:rPr>
          <w:sz w:val="21"/>
        </w:rPr>
        <w:t>In the disputed mosque there is no provision for reciting Namaz. To this day it has no minerettes, no place for storage of water for</w:t>
      </w:r>
      <w:r>
        <w:rPr>
          <w:spacing w:val="-6"/>
          <w:sz w:val="21"/>
        </w:rPr>
        <w:t> </w:t>
      </w:r>
      <w:r>
        <w:rPr>
          <w:sz w:val="21"/>
        </w:rPr>
        <w:t>Vazoo.</w:t>
      </w:r>
    </w:p>
    <w:p>
      <w:pPr>
        <w:pStyle w:val="ListParagraph"/>
        <w:numPr>
          <w:ilvl w:val="0"/>
          <w:numId w:val="52"/>
        </w:numPr>
        <w:tabs>
          <w:tab w:pos="2274" w:val="left" w:leader="none"/>
        </w:tabs>
        <w:spacing w:line="276" w:lineRule="auto" w:before="0" w:after="0"/>
        <w:ind w:left="1940" w:right="2266" w:firstLine="0"/>
        <w:jc w:val="both"/>
        <w:rPr>
          <w:sz w:val="21"/>
        </w:rPr>
      </w:pPr>
      <w:r>
        <w:rPr>
          <w:sz w:val="21"/>
        </w:rPr>
        <w:t>The Muslim Faith as adumbrated in Holy Koran does not permit the construction of a mosque on the site of temple after demolishing the</w:t>
      </w:r>
      <w:r>
        <w:rPr>
          <w:spacing w:val="-5"/>
          <w:sz w:val="21"/>
        </w:rPr>
        <w:t> </w:t>
      </w:r>
      <w:r>
        <w:rPr>
          <w:sz w:val="21"/>
        </w:rPr>
        <w:t>temple.</w:t>
      </w:r>
    </w:p>
    <w:p>
      <w:pPr>
        <w:pStyle w:val="ListParagraph"/>
        <w:numPr>
          <w:ilvl w:val="0"/>
          <w:numId w:val="52"/>
        </w:numPr>
        <w:tabs>
          <w:tab w:pos="2260" w:val="left" w:leader="none"/>
        </w:tabs>
        <w:spacing w:line="276" w:lineRule="auto" w:before="0" w:after="0"/>
        <w:ind w:left="1940" w:right="2260" w:firstLine="0"/>
        <w:jc w:val="both"/>
        <w:rPr>
          <w:sz w:val="21"/>
        </w:rPr>
      </w:pPr>
      <w:r>
        <w:rPr>
          <w:sz w:val="21"/>
        </w:rPr>
        <w:t>Babur never dedicated the property of disputed mosque to ALLAH. Even supposing without admitting that Babur constructed the disputed mosque, yet as it has been done by committing trespass, demolishing the Temple, the abode of God, either by Babur or at his instance by Mir Baqi, the Governor of Oudh, the dedication is wholly invalid and void. The material of the old temple was largely employed in building the mosque and a few of the original columns are still in good preservation. They are of closed grained black stone (Kasauti) bearing various Hindi Bas-reliefs. The outer beam of the main structure being of sandal wood, the height of the columns is 7 to 8 ft., the shape of the base, the middle Section and the capital is square, the rest being round or octagonal . . . . . Subsequently, Aurangjeb also desecrated the shrines of Ayodhya which led to prolonged bitterness between Hindus and Musalmans. Latter also occupied Janmasthan by force and also made an assault on Hanumangarhi. Attacks and counter attacks continued under the leadership of Maulvi Amir Ali (See page 352 of Faizabad Gazetteer</w:t>
      </w:r>
      <w:r>
        <w:rPr>
          <w:spacing w:val="-2"/>
          <w:sz w:val="21"/>
        </w:rPr>
        <w:t> </w:t>
      </w:r>
      <w:r>
        <w:rPr>
          <w:sz w:val="21"/>
        </w:rPr>
        <w:t>1960).</w:t>
      </w:r>
    </w:p>
    <w:p>
      <w:pPr>
        <w:pStyle w:val="ListParagraph"/>
        <w:numPr>
          <w:ilvl w:val="0"/>
          <w:numId w:val="52"/>
        </w:numPr>
        <w:tabs>
          <w:tab w:pos="2262" w:val="left" w:leader="none"/>
        </w:tabs>
        <w:spacing w:line="276" w:lineRule="auto" w:before="0" w:after="0"/>
        <w:ind w:left="1940" w:right="2263" w:firstLine="0"/>
        <w:jc w:val="both"/>
        <w:rPr>
          <w:sz w:val="21"/>
        </w:rPr>
      </w:pPr>
      <w:r>
        <w:rPr>
          <w:sz w:val="21"/>
        </w:rPr>
        <w:t>A mosque must be built in a place of peace and quiet and near a place where there is a sizeable and large number of Muslim population. According to the Tenets of Islam, a mosque cannot be built at place which is surrounded on all sides</w:t>
      </w:r>
      <w:r>
        <w:rPr>
          <w:spacing w:val="17"/>
          <w:sz w:val="21"/>
        </w:rPr>
        <w:t> </w:t>
      </w:r>
      <w:r>
        <w:rPr>
          <w:sz w:val="21"/>
        </w:rPr>
        <w:t>by</w:t>
      </w:r>
      <w:r>
        <w:rPr>
          <w:spacing w:val="16"/>
          <w:sz w:val="21"/>
        </w:rPr>
        <w:t> </w:t>
      </w:r>
      <w:r>
        <w:rPr>
          <w:sz w:val="21"/>
        </w:rPr>
        <w:t>temples</w:t>
      </w:r>
      <w:r>
        <w:rPr>
          <w:spacing w:val="17"/>
          <w:sz w:val="21"/>
        </w:rPr>
        <w:t> </w:t>
      </w:r>
      <w:r>
        <w:rPr>
          <w:sz w:val="21"/>
        </w:rPr>
        <w:t>where</w:t>
      </w:r>
      <w:r>
        <w:rPr>
          <w:spacing w:val="18"/>
          <w:sz w:val="21"/>
        </w:rPr>
        <w:t> </w:t>
      </w:r>
      <w:r>
        <w:rPr>
          <w:sz w:val="21"/>
        </w:rPr>
        <w:t>the</w:t>
      </w:r>
      <w:r>
        <w:rPr>
          <w:spacing w:val="17"/>
          <w:sz w:val="21"/>
        </w:rPr>
        <w:t> </w:t>
      </w:r>
      <w:r>
        <w:rPr>
          <w:sz w:val="21"/>
        </w:rPr>
        <w:t>sound</w:t>
      </w:r>
      <w:r>
        <w:rPr>
          <w:spacing w:val="18"/>
          <w:sz w:val="21"/>
        </w:rPr>
        <w:t> </w:t>
      </w:r>
      <w:r>
        <w:rPr>
          <w:sz w:val="21"/>
        </w:rPr>
        <w:t>of</w:t>
      </w:r>
      <w:r>
        <w:rPr>
          <w:spacing w:val="19"/>
          <w:sz w:val="21"/>
        </w:rPr>
        <w:t> </w:t>
      </w:r>
      <w:r>
        <w:rPr>
          <w:sz w:val="21"/>
        </w:rPr>
        <w:t>music,</w:t>
      </w:r>
      <w:r>
        <w:rPr>
          <w:spacing w:val="16"/>
          <w:sz w:val="21"/>
        </w:rPr>
        <w:t> </w:t>
      </w:r>
      <w:r>
        <w:rPr>
          <w:sz w:val="21"/>
        </w:rPr>
        <w:t>of</w:t>
      </w:r>
      <w:r>
        <w:rPr>
          <w:spacing w:val="17"/>
          <w:sz w:val="21"/>
        </w:rPr>
        <w:t> </w:t>
      </w:r>
      <w:r>
        <w:rPr>
          <w:sz w:val="21"/>
        </w:rPr>
        <w:t>Conch</w:t>
      </w:r>
      <w:r>
        <w:rPr>
          <w:spacing w:val="17"/>
          <w:sz w:val="21"/>
        </w:rPr>
        <w:t> </w:t>
      </w:r>
      <w:r>
        <w:rPr>
          <w:sz w:val="21"/>
        </w:rPr>
        <w:t>shells</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6" w:firstLine="0"/>
        <w:jc w:val="both"/>
        <w:rPr>
          <w:sz w:val="21"/>
        </w:rPr>
      </w:pPr>
      <w:r>
        <w:rPr>
          <w:sz w:val="21"/>
        </w:rPr>
        <w:t>or Ghanta Ghariyalis must always disturb the peace and quiet of the place.</w:t>
      </w:r>
    </w:p>
    <w:p>
      <w:pPr>
        <w:pStyle w:val="ListParagraph"/>
        <w:numPr>
          <w:ilvl w:val="0"/>
          <w:numId w:val="52"/>
        </w:numPr>
        <w:tabs>
          <w:tab w:pos="2332" w:val="left" w:leader="none"/>
        </w:tabs>
        <w:spacing w:line="276" w:lineRule="auto" w:before="0" w:after="0"/>
        <w:ind w:left="1940" w:right="2257" w:firstLine="0"/>
        <w:jc w:val="both"/>
        <w:rPr>
          <w:sz w:val="21"/>
        </w:rPr>
      </w:pPr>
      <w:r>
        <w:rPr>
          <w:sz w:val="21"/>
        </w:rPr>
        <w:t>A mosque must have minerette for calling the Ajan. </w:t>
      </w:r>
      <w:r>
        <w:rPr>
          <w:w w:val="100"/>
          <w:sz w:val="21"/>
        </w:rPr>
        <w:t>Acco</w:t>
      </w:r>
      <w:r>
        <w:rPr>
          <w:spacing w:val="-3"/>
          <w:w w:val="100"/>
          <w:sz w:val="21"/>
        </w:rPr>
        <w:t>r</w:t>
      </w:r>
      <w:r>
        <w:rPr>
          <w:spacing w:val="-1"/>
          <w:w w:val="100"/>
          <w:sz w:val="21"/>
        </w:rPr>
        <w:t>d</w:t>
      </w:r>
      <w:r>
        <w:rPr>
          <w:spacing w:val="-2"/>
          <w:w w:val="100"/>
          <w:sz w:val="21"/>
        </w:rPr>
        <w:t>i</w:t>
      </w:r>
      <w:r>
        <w:rPr>
          <w:spacing w:val="-1"/>
          <w:w w:val="100"/>
          <w:sz w:val="21"/>
        </w:rPr>
        <w:t>n</w:t>
      </w:r>
      <w:r>
        <w:rPr>
          <w:w w:val="100"/>
          <w:sz w:val="21"/>
        </w:rPr>
        <w:t>g</w:t>
      </w:r>
      <w:r>
        <w:rPr>
          <w:spacing w:val="28"/>
          <w:sz w:val="21"/>
        </w:rPr>
        <w:t> </w:t>
      </w:r>
      <w:r>
        <w:rPr>
          <w:spacing w:val="-2"/>
          <w:w w:val="100"/>
          <w:sz w:val="21"/>
        </w:rPr>
        <w:t>t</w:t>
      </w:r>
      <w:r>
        <w:rPr>
          <w:w w:val="100"/>
          <w:sz w:val="21"/>
        </w:rPr>
        <w:t>o</w:t>
      </w:r>
      <w:r>
        <w:rPr>
          <w:spacing w:val="25"/>
          <w:sz w:val="21"/>
        </w:rPr>
        <w:t> </w:t>
      </w:r>
      <w:r>
        <w:rPr>
          <w:spacing w:val="-2"/>
          <w:w w:val="100"/>
          <w:sz w:val="21"/>
        </w:rPr>
        <w:t>B</w:t>
      </w:r>
      <w:r>
        <w:rPr>
          <w:spacing w:val="-1"/>
          <w:w w:val="100"/>
          <w:sz w:val="21"/>
        </w:rPr>
        <w:t>a</w:t>
      </w:r>
      <w:r>
        <w:rPr>
          <w:spacing w:val="-2"/>
          <w:w w:val="100"/>
          <w:sz w:val="21"/>
        </w:rPr>
        <w:t>i</w:t>
      </w:r>
      <w:r>
        <w:rPr>
          <w:w w:val="100"/>
          <w:sz w:val="21"/>
        </w:rPr>
        <w:t>l</w:t>
      </w:r>
      <w:r>
        <w:rPr>
          <w:spacing w:val="-2"/>
          <w:w w:val="100"/>
          <w:sz w:val="21"/>
        </w:rPr>
        <w:t>l</w:t>
      </w:r>
      <w:r>
        <w:rPr>
          <w:w w:val="100"/>
          <w:sz w:val="21"/>
        </w:rPr>
        <w:t>e</w:t>
      </w:r>
      <w:r>
        <w:rPr>
          <w:spacing w:val="27"/>
          <w:sz w:val="21"/>
        </w:rPr>
        <w:t> </w:t>
      </w:r>
      <w:r>
        <w:rPr>
          <w:spacing w:val="-6"/>
          <w:w w:val="33"/>
          <w:sz w:val="21"/>
        </w:rPr>
        <w:t>―</w:t>
      </w:r>
      <w:r>
        <w:rPr>
          <w:spacing w:val="4"/>
          <w:w w:val="100"/>
          <w:sz w:val="21"/>
        </w:rPr>
        <w:t>W</w:t>
      </w:r>
      <w:r>
        <w:rPr>
          <w:spacing w:val="-3"/>
          <w:w w:val="100"/>
          <w:sz w:val="21"/>
        </w:rPr>
        <w:t>he</w:t>
      </w:r>
      <w:r>
        <w:rPr>
          <w:w w:val="100"/>
          <w:sz w:val="21"/>
        </w:rPr>
        <w:t>n</w:t>
      </w:r>
      <w:r>
        <w:rPr>
          <w:spacing w:val="27"/>
          <w:sz w:val="21"/>
        </w:rPr>
        <w:t> </w:t>
      </w:r>
      <w:r>
        <w:rPr>
          <w:spacing w:val="-1"/>
          <w:w w:val="100"/>
          <w:sz w:val="21"/>
        </w:rPr>
        <w:t>a</w:t>
      </w:r>
      <w:r>
        <w:rPr>
          <w:w w:val="100"/>
          <w:sz w:val="21"/>
        </w:rPr>
        <w:t>n</w:t>
      </w:r>
      <w:r>
        <w:rPr>
          <w:spacing w:val="25"/>
          <w:sz w:val="21"/>
        </w:rPr>
        <w:t> </w:t>
      </w:r>
      <w:r>
        <w:rPr>
          <w:spacing w:val="-1"/>
          <w:w w:val="100"/>
          <w:sz w:val="21"/>
        </w:rPr>
        <w:t>a</w:t>
      </w:r>
      <w:r>
        <w:rPr>
          <w:spacing w:val="-3"/>
          <w:w w:val="100"/>
          <w:sz w:val="21"/>
        </w:rPr>
        <w:t>s</w:t>
      </w:r>
      <w:r>
        <w:rPr>
          <w:w w:val="100"/>
          <w:sz w:val="21"/>
        </w:rPr>
        <w:t>s</w:t>
      </w:r>
      <w:r>
        <w:rPr>
          <w:spacing w:val="-3"/>
          <w:w w:val="100"/>
          <w:sz w:val="21"/>
        </w:rPr>
        <w:t>e</w:t>
      </w:r>
      <w:r>
        <w:rPr>
          <w:spacing w:val="1"/>
          <w:w w:val="100"/>
          <w:sz w:val="21"/>
        </w:rPr>
        <w:t>m</w:t>
      </w:r>
      <w:r>
        <w:rPr>
          <w:spacing w:val="-3"/>
          <w:w w:val="100"/>
          <w:sz w:val="21"/>
        </w:rPr>
        <w:t>b</w:t>
      </w:r>
      <w:r>
        <w:rPr>
          <w:w w:val="100"/>
          <w:sz w:val="21"/>
        </w:rPr>
        <w:t>ly</w:t>
      </w:r>
      <w:r>
        <w:rPr>
          <w:spacing w:val="25"/>
          <w:sz w:val="21"/>
        </w:rPr>
        <w:t> </w:t>
      </w:r>
      <w:r>
        <w:rPr>
          <w:spacing w:val="-3"/>
          <w:w w:val="100"/>
          <w:sz w:val="21"/>
        </w:rPr>
        <w:t>o</w:t>
      </w:r>
      <w:r>
        <w:rPr>
          <w:w w:val="100"/>
          <w:sz w:val="21"/>
        </w:rPr>
        <w:t>f</w:t>
      </w:r>
      <w:r>
        <w:rPr>
          <w:spacing w:val="28"/>
          <w:sz w:val="21"/>
        </w:rPr>
        <w:t> </w:t>
      </w:r>
      <w:r>
        <w:rPr>
          <w:spacing w:val="3"/>
          <w:w w:val="100"/>
          <w:sz w:val="21"/>
        </w:rPr>
        <w:t>w</w:t>
      </w:r>
      <w:r>
        <w:rPr>
          <w:w w:val="100"/>
          <w:sz w:val="21"/>
        </w:rPr>
        <w:t>or</w:t>
      </w:r>
      <w:r>
        <w:rPr>
          <w:spacing w:val="-3"/>
          <w:w w:val="100"/>
          <w:sz w:val="21"/>
        </w:rPr>
        <w:t>s</w:t>
      </w:r>
      <w:r>
        <w:rPr>
          <w:w w:val="100"/>
          <w:sz w:val="21"/>
        </w:rPr>
        <w:t>h</w:t>
      </w:r>
      <w:r>
        <w:rPr>
          <w:spacing w:val="-2"/>
          <w:w w:val="100"/>
          <w:sz w:val="21"/>
        </w:rPr>
        <w:t>i</w:t>
      </w:r>
      <w:r>
        <w:rPr>
          <w:w w:val="100"/>
          <w:sz w:val="21"/>
        </w:rPr>
        <w:t>ppers</w:t>
      </w:r>
      <w:r>
        <w:rPr>
          <w:spacing w:val="25"/>
          <w:sz w:val="21"/>
        </w:rPr>
        <w:t> </w:t>
      </w:r>
      <w:r>
        <w:rPr>
          <w:w w:val="100"/>
          <w:sz w:val="21"/>
        </w:rPr>
        <w:t>pray </w:t>
      </w:r>
      <w:r>
        <w:rPr>
          <w:sz w:val="21"/>
        </w:rPr>
        <w:t>in Masjid with permission, i.e. delivery. But it is a condition that prayers be with Ajan or the regular call and be public and not private, for though there should be an assembly yet if it is without Izah and the prayers are private instead of public, the place is no Masjid according to the true disciples.‖ Indeed there has been no mosque without a minerette after the first half century fight. (See P.R. Ganapati Iyer‘s law relating to Hindu and Muhammadan Endowments 2nd Edition 1918 Chapter XVII, page</w:t>
      </w:r>
      <w:r>
        <w:rPr>
          <w:spacing w:val="-5"/>
          <w:sz w:val="21"/>
        </w:rPr>
        <w:t> </w:t>
      </w:r>
      <w:r>
        <w:rPr>
          <w:sz w:val="21"/>
        </w:rPr>
        <w:t>388).</w:t>
      </w:r>
    </w:p>
    <w:p>
      <w:pPr>
        <w:pStyle w:val="ListParagraph"/>
        <w:numPr>
          <w:ilvl w:val="0"/>
          <w:numId w:val="52"/>
        </w:numPr>
        <w:tabs>
          <w:tab w:pos="2274" w:val="left" w:leader="none"/>
        </w:tabs>
        <w:spacing w:line="276" w:lineRule="auto" w:before="1" w:after="0"/>
        <w:ind w:left="1940" w:right="2261" w:firstLine="0"/>
        <w:jc w:val="both"/>
        <w:rPr>
          <w:sz w:val="21"/>
        </w:rPr>
      </w:pPr>
      <w:r>
        <w:rPr>
          <w:sz w:val="21"/>
        </w:rPr>
        <w:t>According to the claim laid by the Muslims in the present suit, the building is surrounded on sides by a graveyard known as Ganj Shahidan. There is a mention in the Faizabad Gazetteer also of the burial of seventy-five Muslims at the gate of Janmasthan and the place being known as Ganj Shahidan after the battle of 1855. Although there are no graves anywhere near the building at Sri Rama Janma Bhumi or in its precincts or the area appurtenant thereto for the last more than 50 years and if the building was surrounded by a graveyard during the British times soon after the annexation of Audh by them the building could not be mosque and could not be used as a mosque for offering of prayers except the funeral</w:t>
      </w:r>
      <w:r>
        <w:rPr>
          <w:spacing w:val="-2"/>
          <w:sz w:val="21"/>
        </w:rPr>
        <w:t> </w:t>
      </w:r>
      <w:r>
        <w:rPr>
          <w:sz w:val="21"/>
        </w:rPr>
        <w:t>prayers.‖</w:t>
      </w:r>
    </w:p>
    <w:p>
      <w:pPr>
        <w:pStyle w:val="BodyText"/>
        <w:rPr>
          <w:sz w:val="24"/>
        </w:rPr>
      </w:pPr>
    </w:p>
    <w:p>
      <w:pPr>
        <w:pStyle w:val="BodyText"/>
        <w:spacing w:before="1"/>
        <w:rPr>
          <w:sz w:val="26"/>
        </w:rPr>
      </w:pPr>
    </w:p>
    <w:p>
      <w:pPr>
        <w:pStyle w:val="ListParagraph"/>
        <w:numPr>
          <w:ilvl w:val="0"/>
          <w:numId w:val="3"/>
        </w:numPr>
        <w:tabs>
          <w:tab w:pos="1221" w:val="left" w:leader="none"/>
        </w:tabs>
        <w:spacing w:line="480" w:lineRule="auto" w:before="1" w:after="0"/>
        <w:ind w:left="500" w:right="441" w:firstLine="0"/>
        <w:jc w:val="both"/>
        <w:rPr>
          <w:sz w:val="25"/>
        </w:rPr>
      </w:pPr>
      <w:r>
        <w:rPr>
          <w:sz w:val="25"/>
        </w:rPr>
        <w:t>The above challenge is sought to be buttressed by placing reliance on the evidence of some of the Muslim witnesses. Relevant parts of the depositions of these witnesses have been adverted to during the course of the hearing and are reproduced</w:t>
      </w:r>
      <w:r>
        <w:rPr>
          <w:spacing w:val="-2"/>
          <w:sz w:val="25"/>
        </w:rPr>
        <w:t> </w:t>
      </w:r>
      <w:r>
        <w:rPr>
          <w:sz w:val="25"/>
        </w:rPr>
        <w:t>below:</w:t>
      </w:r>
    </w:p>
    <w:p>
      <w:pPr>
        <w:pStyle w:val="Heading5"/>
        <w:numPr>
          <w:ilvl w:val="0"/>
          <w:numId w:val="53"/>
        </w:numPr>
        <w:tabs>
          <w:tab w:pos="1221" w:val="left" w:leader="none"/>
        </w:tabs>
        <w:spacing w:line="285" w:lineRule="exact" w:before="0" w:after="0"/>
        <w:ind w:left="1220" w:right="0" w:hanging="721"/>
        <w:jc w:val="both"/>
      </w:pPr>
      <w:r>
        <w:rPr/>
        <w:t>Mohammad Idris (PW-10)</w:t>
      </w:r>
    </w:p>
    <w:p>
      <w:pPr>
        <w:pStyle w:val="BodyText"/>
        <w:spacing w:before="3"/>
        <w:rPr>
          <w:b/>
        </w:rPr>
      </w:pPr>
    </w:p>
    <w:p>
      <w:pPr>
        <w:pStyle w:val="BodyText"/>
        <w:ind w:left="1220"/>
      </w:pPr>
      <w:r>
        <w:rPr/>
        <w:t>According to the witness:</w:t>
      </w:r>
    </w:p>
    <w:p>
      <w:pPr>
        <w:pStyle w:val="BodyText"/>
        <w:spacing w:before="9"/>
        <w:rPr>
          <w:sz w:val="24"/>
        </w:rPr>
      </w:pPr>
    </w:p>
    <w:p>
      <w:pPr>
        <w:spacing w:line="276" w:lineRule="auto" w:before="0"/>
        <w:ind w:left="1940" w:right="2261" w:firstLine="0"/>
        <w:jc w:val="both"/>
        <w:rPr>
          <w:sz w:val="21"/>
        </w:rPr>
      </w:pPr>
      <w:r>
        <w:rPr>
          <w:spacing w:val="-1"/>
          <w:w w:val="33"/>
          <w:sz w:val="21"/>
        </w:rPr>
        <w:t>―</w:t>
      </w:r>
      <w:r>
        <w:rPr>
          <w:w w:val="100"/>
          <w:sz w:val="21"/>
        </w:rPr>
        <w:t>A</w:t>
      </w:r>
      <w:r>
        <w:rPr>
          <w:sz w:val="21"/>
        </w:rPr>
        <w:t> </w:t>
      </w:r>
      <w:r>
        <w:rPr>
          <w:spacing w:val="-21"/>
          <w:sz w:val="21"/>
        </w:rPr>
        <w:t> </w:t>
      </w:r>
      <w:r>
        <w:rPr>
          <w:spacing w:val="-1"/>
          <w:w w:val="100"/>
          <w:sz w:val="21"/>
        </w:rPr>
        <w:t>bui</w:t>
      </w:r>
      <w:r>
        <w:rPr>
          <w:w w:val="100"/>
          <w:sz w:val="21"/>
        </w:rPr>
        <w:t>l</w:t>
      </w:r>
      <w:r>
        <w:rPr>
          <w:spacing w:val="-3"/>
          <w:w w:val="100"/>
          <w:sz w:val="21"/>
        </w:rPr>
        <w:t>d</w:t>
      </w:r>
      <w:r>
        <w:rPr>
          <w:w w:val="100"/>
          <w:sz w:val="21"/>
        </w:rPr>
        <w:t>i</w:t>
      </w:r>
      <w:r>
        <w:rPr>
          <w:spacing w:val="-1"/>
          <w:w w:val="100"/>
          <w:sz w:val="21"/>
        </w:rPr>
        <w:t>n</w:t>
      </w:r>
      <w:r>
        <w:rPr>
          <w:w w:val="100"/>
          <w:sz w:val="21"/>
        </w:rPr>
        <w:t>g</w:t>
      </w:r>
      <w:r>
        <w:rPr>
          <w:sz w:val="21"/>
        </w:rPr>
        <w:t> </w:t>
      </w:r>
      <w:r>
        <w:rPr>
          <w:spacing w:val="-21"/>
          <w:sz w:val="21"/>
        </w:rPr>
        <w:t> </w:t>
      </w:r>
      <w:r>
        <w:rPr>
          <w:spacing w:val="-3"/>
          <w:w w:val="100"/>
          <w:sz w:val="21"/>
        </w:rPr>
        <w:t>b</w:t>
      </w:r>
      <w:r>
        <w:rPr>
          <w:spacing w:val="-1"/>
          <w:w w:val="100"/>
          <w:sz w:val="21"/>
        </w:rPr>
        <w:t>u</w:t>
      </w:r>
      <w:r>
        <w:rPr>
          <w:spacing w:val="-2"/>
          <w:w w:val="100"/>
          <w:sz w:val="21"/>
        </w:rPr>
        <w:t>i</w:t>
      </w:r>
      <w:r>
        <w:rPr>
          <w:w w:val="100"/>
          <w:sz w:val="21"/>
        </w:rPr>
        <w:t>lt</w:t>
      </w:r>
      <w:r>
        <w:rPr>
          <w:sz w:val="21"/>
        </w:rPr>
        <w:t> </w:t>
      </w:r>
      <w:r>
        <w:rPr>
          <w:spacing w:val="-22"/>
          <w:sz w:val="21"/>
        </w:rPr>
        <w:t> </w:t>
      </w:r>
      <w:r>
        <w:rPr>
          <w:spacing w:val="-1"/>
          <w:w w:val="100"/>
          <w:sz w:val="21"/>
        </w:rPr>
        <w:t>o</w:t>
      </w:r>
      <w:r>
        <w:rPr>
          <w:w w:val="100"/>
          <w:sz w:val="21"/>
        </w:rPr>
        <w:t>n</w:t>
      </w:r>
      <w:r>
        <w:rPr>
          <w:sz w:val="21"/>
        </w:rPr>
        <w:t> </w:t>
      </w:r>
      <w:r>
        <w:rPr>
          <w:spacing w:val="-21"/>
          <w:sz w:val="21"/>
        </w:rPr>
        <w:t> </w:t>
      </w:r>
      <w:r>
        <w:rPr>
          <w:w w:val="100"/>
          <w:sz w:val="21"/>
        </w:rPr>
        <w:t>s</w:t>
      </w:r>
      <w:r>
        <w:rPr>
          <w:spacing w:val="-3"/>
          <w:w w:val="100"/>
          <w:sz w:val="21"/>
        </w:rPr>
        <w:t>o</w:t>
      </w:r>
      <w:r>
        <w:rPr>
          <w:spacing w:val="1"/>
          <w:w w:val="100"/>
          <w:sz w:val="21"/>
        </w:rPr>
        <w:t>m</w:t>
      </w:r>
      <w:r>
        <w:rPr>
          <w:spacing w:val="-3"/>
          <w:w w:val="100"/>
          <w:sz w:val="21"/>
        </w:rPr>
        <w:t>e</w:t>
      </w:r>
      <w:r>
        <w:rPr>
          <w:spacing w:val="-1"/>
          <w:w w:val="100"/>
          <w:sz w:val="21"/>
        </w:rPr>
        <w:t>bod</w:t>
      </w:r>
      <w:r>
        <w:rPr>
          <w:spacing w:val="-2"/>
          <w:w w:val="100"/>
          <w:sz w:val="21"/>
        </w:rPr>
        <w:t>y</w:t>
      </w:r>
      <w:r>
        <w:rPr>
          <w:w w:val="100"/>
          <w:sz w:val="21"/>
        </w:rPr>
        <w:t>‘s</w:t>
      </w:r>
      <w:r>
        <w:rPr>
          <w:sz w:val="21"/>
        </w:rPr>
        <w:t> </w:t>
      </w:r>
      <w:r>
        <w:rPr>
          <w:spacing w:val="-21"/>
          <w:sz w:val="21"/>
        </w:rPr>
        <w:t> </w:t>
      </w:r>
      <w:r>
        <w:rPr>
          <w:spacing w:val="-2"/>
          <w:w w:val="100"/>
          <w:sz w:val="21"/>
        </w:rPr>
        <w:t>l</w:t>
      </w:r>
      <w:r>
        <w:rPr>
          <w:spacing w:val="-1"/>
          <w:w w:val="100"/>
          <w:sz w:val="21"/>
        </w:rPr>
        <w:t>an</w:t>
      </w:r>
      <w:r>
        <w:rPr>
          <w:w w:val="100"/>
          <w:sz w:val="21"/>
        </w:rPr>
        <w:t>d</w:t>
      </w:r>
      <w:r>
        <w:rPr>
          <w:sz w:val="21"/>
        </w:rPr>
        <w:t> </w:t>
      </w:r>
      <w:r>
        <w:rPr>
          <w:spacing w:val="-21"/>
          <w:sz w:val="21"/>
        </w:rPr>
        <w:t> </w:t>
      </w:r>
      <w:r>
        <w:rPr>
          <w:spacing w:val="-1"/>
          <w:w w:val="100"/>
          <w:sz w:val="21"/>
        </w:rPr>
        <w:t>b</w:t>
      </w:r>
      <w:r>
        <w:rPr>
          <w:w w:val="100"/>
          <w:sz w:val="21"/>
        </w:rPr>
        <w:t>y</w:t>
      </w:r>
      <w:r>
        <w:rPr>
          <w:sz w:val="21"/>
        </w:rPr>
        <w:t> </w:t>
      </w:r>
      <w:r>
        <w:rPr>
          <w:spacing w:val="-24"/>
          <w:sz w:val="21"/>
        </w:rPr>
        <w:t> </w:t>
      </w:r>
      <w:r>
        <w:rPr>
          <w:spacing w:val="1"/>
          <w:w w:val="100"/>
          <w:sz w:val="21"/>
        </w:rPr>
        <w:t>f</w:t>
      </w:r>
      <w:r>
        <w:rPr>
          <w:spacing w:val="-1"/>
          <w:w w:val="100"/>
          <w:sz w:val="21"/>
        </w:rPr>
        <w:t>orc</w:t>
      </w:r>
      <w:r>
        <w:rPr>
          <w:w w:val="100"/>
          <w:sz w:val="21"/>
        </w:rPr>
        <w:t>e</w:t>
      </w:r>
      <w:r>
        <w:rPr>
          <w:sz w:val="21"/>
        </w:rPr>
        <w:t> </w:t>
      </w:r>
      <w:r>
        <w:rPr>
          <w:spacing w:val="-22"/>
          <w:sz w:val="21"/>
        </w:rPr>
        <w:t> </w:t>
      </w:r>
      <w:r>
        <w:rPr>
          <w:spacing w:val="-2"/>
          <w:w w:val="100"/>
          <w:sz w:val="21"/>
        </w:rPr>
        <w:t>wi</w:t>
      </w:r>
      <w:r>
        <w:rPr>
          <w:w w:val="100"/>
          <w:sz w:val="21"/>
        </w:rPr>
        <w:t>ll</w:t>
      </w:r>
      <w:r>
        <w:rPr>
          <w:sz w:val="21"/>
        </w:rPr>
        <w:t> </w:t>
      </w:r>
      <w:r>
        <w:rPr>
          <w:spacing w:val="-23"/>
          <w:sz w:val="21"/>
        </w:rPr>
        <w:t> </w:t>
      </w:r>
      <w:r>
        <w:rPr>
          <w:spacing w:val="-1"/>
          <w:w w:val="100"/>
          <w:sz w:val="21"/>
        </w:rPr>
        <w:t>no</w:t>
      </w:r>
      <w:r>
        <w:rPr>
          <w:w w:val="100"/>
          <w:sz w:val="21"/>
        </w:rPr>
        <w:t>t</w:t>
      </w:r>
      <w:r>
        <w:rPr>
          <w:sz w:val="21"/>
        </w:rPr>
        <w:t> </w:t>
      </w:r>
      <w:r>
        <w:rPr>
          <w:spacing w:val="-22"/>
          <w:sz w:val="21"/>
        </w:rPr>
        <w:t> </w:t>
      </w:r>
      <w:r>
        <w:rPr>
          <w:spacing w:val="-1"/>
          <w:w w:val="100"/>
          <w:sz w:val="21"/>
        </w:rPr>
        <w:t>b</w:t>
      </w:r>
      <w:r>
        <w:rPr>
          <w:w w:val="100"/>
          <w:sz w:val="21"/>
        </w:rPr>
        <w:t>e</w:t>
      </w:r>
      <w:r>
        <w:rPr>
          <w:sz w:val="21"/>
        </w:rPr>
        <w:t> </w:t>
      </w:r>
      <w:r>
        <w:rPr>
          <w:spacing w:val="-21"/>
          <w:sz w:val="21"/>
        </w:rPr>
        <w:t> </w:t>
      </w:r>
      <w:r>
        <w:rPr>
          <w:w w:val="100"/>
          <w:sz w:val="21"/>
        </w:rPr>
        <w:t>a </w:t>
      </w:r>
      <w:r>
        <w:rPr>
          <w:sz w:val="21"/>
        </w:rPr>
        <w:t>mosque. So, there is no question of its being legitimate or illegitimate. Demolishing any place of worship is forbidden in Islam. So, there is no question of breaking the same and building a mosque instead. If the debris of any fallen temple  is sold by its owner, then there is no prohibition on building a mosque by purchasing such materials. It is another thing that they cannot build a mosque by forcibly grabbing this</w:t>
      </w:r>
      <w:r>
        <w:rPr>
          <w:spacing w:val="-26"/>
          <w:sz w:val="21"/>
        </w:rPr>
        <w:t> </w:t>
      </w:r>
      <w:r>
        <w:rPr>
          <w:sz w:val="21"/>
        </w:rPr>
        <w:t>debris.‖</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512"/>
      </w:pPr>
      <w:r>
        <w:rPr/>
        <w:t>On the depiction of the images of human beings, animals, birds or idols, the witness stated:</w:t>
      </w:r>
    </w:p>
    <w:p>
      <w:pPr>
        <w:spacing w:line="276" w:lineRule="auto" w:before="0"/>
        <w:ind w:left="1940" w:right="2261" w:firstLine="0"/>
        <w:jc w:val="both"/>
        <w:rPr>
          <w:sz w:val="21"/>
        </w:rPr>
      </w:pPr>
      <w:r>
        <w:rPr>
          <w:spacing w:val="-1"/>
          <w:w w:val="33"/>
          <w:sz w:val="21"/>
        </w:rPr>
        <w:t>―</w:t>
      </w:r>
      <w:r>
        <w:rPr>
          <w:spacing w:val="-2"/>
          <w:w w:val="100"/>
          <w:sz w:val="21"/>
        </w:rPr>
        <w:t>I</w:t>
      </w:r>
      <w:r>
        <w:rPr>
          <w:w w:val="100"/>
          <w:sz w:val="21"/>
        </w:rPr>
        <w:t>f</w:t>
      </w:r>
      <w:r>
        <w:rPr>
          <w:spacing w:val="26"/>
          <w:sz w:val="21"/>
        </w:rPr>
        <w:t> </w:t>
      </w:r>
      <w:r>
        <w:rPr>
          <w:spacing w:val="-1"/>
          <w:w w:val="100"/>
          <w:sz w:val="21"/>
        </w:rPr>
        <w:t>a</w:t>
      </w:r>
      <w:r>
        <w:rPr>
          <w:w w:val="100"/>
          <w:sz w:val="21"/>
        </w:rPr>
        <w:t>n</w:t>
      </w:r>
      <w:r>
        <w:rPr>
          <w:spacing w:val="25"/>
          <w:sz w:val="21"/>
        </w:rPr>
        <w:t> </w:t>
      </w:r>
      <w:r>
        <w:rPr>
          <w:spacing w:val="-2"/>
          <w:w w:val="100"/>
          <w:sz w:val="21"/>
        </w:rPr>
        <w:t>I</w:t>
      </w:r>
      <w:r>
        <w:rPr>
          <w:spacing w:val="-1"/>
          <w:w w:val="100"/>
          <w:sz w:val="21"/>
        </w:rPr>
        <w:t>m</w:t>
      </w:r>
      <w:r>
        <w:rPr>
          <w:spacing w:val="-3"/>
          <w:w w:val="100"/>
          <w:sz w:val="21"/>
        </w:rPr>
        <w:t>a</w:t>
      </w:r>
      <w:r>
        <w:rPr>
          <w:w w:val="100"/>
          <w:sz w:val="21"/>
        </w:rPr>
        <w:t>m</w:t>
      </w:r>
      <w:r>
        <w:rPr>
          <w:spacing w:val="26"/>
          <w:sz w:val="21"/>
        </w:rPr>
        <w:t> </w:t>
      </w:r>
      <w:r>
        <w:rPr>
          <w:spacing w:val="-1"/>
          <w:w w:val="100"/>
          <w:sz w:val="21"/>
        </w:rPr>
        <w:t>ha</w:t>
      </w:r>
      <w:r>
        <w:rPr>
          <w:w w:val="100"/>
          <w:sz w:val="21"/>
        </w:rPr>
        <w:t>s</w:t>
      </w:r>
      <w:r>
        <w:rPr>
          <w:spacing w:val="25"/>
          <w:sz w:val="21"/>
        </w:rPr>
        <w:t> </w:t>
      </w:r>
      <w:r>
        <w:rPr>
          <w:spacing w:val="-2"/>
          <w:w w:val="100"/>
          <w:sz w:val="21"/>
        </w:rPr>
        <w:t>t</w:t>
      </w:r>
      <w:r>
        <w:rPr>
          <w:spacing w:val="-1"/>
          <w:w w:val="100"/>
          <w:sz w:val="21"/>
        </w:rPr>
        <w:t>h</w:t>
      </w:r>
      <w:r>
        <w:rPr>
          <w:w w:val="100"/>
          <w:sz w:val="21"/>
        </w:rPr>
        <w:t>e</w:t>
      </w:r>
      <w:r>
        <w:rPr>
          <w:spacing w:val="23"/>
          <w:sz w:val="21"/>
        </w:rPr>
        <w:t> </w:t>
      </w:r>
      <w:r>
        <w:rPr>
          <w:w w:val="100"/>
          <w:sz w:val="21"/>
        </w:rPr>
        <w:t>kn</w:t>
      </w:r>
      <w:r>
        <w:rPr>
          <w:spacing w:val="-3"/>
          <w:w w:val="100"/>
          <w:sz w:val="21"/>
        </w:rPr>
        <w:t>o</w:t>
      </w:r>
      <w:r>
        <w:rPr>
          <w:spacing w:val="-2"/>
          <w:w w:val="100"/>
          <w:sz w:val="21"/>
        </w:rPr>
        <w:t>w</w:t>
      </w:r>
      <w:r>
        <w:rPr>
          <w:w w:val="100"/>
          <w:sz w:val="21"/>
        </w:rPr>
        <w:t>l</w:t>
      </w:r>
      <w:r>
        <w:rPr>
          <w:spacing w:val="-1"/>
          <w:w w:val="100"/>
          <w:sz w:val="21"/>
        </w:rPr>
        <w:t>ed</w:t>
      </w:r>
      <w:r>
        <w:rPr>
          <w:spacing w:val="-2"/>
          <w:w w:val="100"/>
          <w:sz w:val="21"/>
        </w:rPr>
        <w:t>g</w:t>
      </w:r>
      <w:r>
        <w:rPr>
          <w:w w:val="100"/>
          <w:sz w:val="21"/>
        </w:rPr>
        <w:t>e</w:t>
      </w:r>
      <w:r>
        <w:rPr>
          <w:spacing w:val="25"/>
          <w:sz w:val="21"/>
        </w:rPr>
        <w:t> </w:t>
      </w:r>
      <w:r>
        <w:rPr>
          <w:spacing w:val="-2"/>
          <w:w w:val="100"/>
          <w:sz w:val="21"/>
        </w:rPr>
        <w:t>t</w:t>
      </w:r>
      <w:r>
        <w:rPr>
          <w:spacing w:val="-1"/>
          <w:w w:val="100"/>
          <w:sz w:val="21"/>
        </w:rPr>
        <w:t>ha</w:t>
      </w:r>
      <w:r>
        <w:rPr>
          <w:w w:val="100"/>
          <w:sz w:val="21"/>
        </w:rPr>
        <w:t>t</w:t>
      </w:r>
      <w:r>
        <w:rPr>
          <w:spacing w:val="24"/>
          <w:sz w:val="21"/>
        </w:rPr>
        <w:t> </w:t>
      </w:r>
      <w:r>
        <w:rPr>
          <w:spacing w:val="-1"/>
          <w:w w:val="100"/>
          <w:sz w:val="21"/>
        </w:rPr>
        <w:t>p</w:t>
      </w:r>
      <w:r>
        <w:rPr>
          <w:spacing w:val="1"/>
          <w:w w:val="100"/>
          <w:sz w:val="21"/>
        </w:rPr>
        <w:t>i</w:t>
      </w:r>
      <w:r>
        <w:rPr>
          <w:w w:val="100"/>
          <w:sz w:val="21"/>
        </w:rPr>
        <w:t>c</w:t>
      </w:r>
      <w:r>
        <w:rPr>
          <w:spacing w:val="-2"/>
          <w:w w:val="100"/>
          <w:sz w:val="21"/>
        </w:rPr>
        <w:t>t</w:t>
      </w:r>
      <w:r>
        <w:rPr>
          <w:spacing w:val="-1"/>
          <w:w w:val="100"/>
          <w:sz w:val="21"/>
        </w:rPr>
        <w:t>u</w:t>
      </w:r>
      <w:r>
        <w:rPr>
          <w:spacing w:val="-3"/>
          <w:w w:val="100"/>
          <w:sz w:val="21"/>
        </w:rPr>
        <w:t>r</w:t>
      </w:r>
      <w:r>
        <w:rPr>
          <w:spacing w:val="-1"/>
          <w:w w:val="100"/>
          <w:sz w:val="21"/>
        </w:rPr>
        <w:t>e</w:t>
      </w:r>
      <w:r>
        <w:rPr>
          <w:w w:val="100"/>
          <w:sz w:val="21"/>
        </w:rPr>
        <w:t>s</w:t>
      </w:r>
      <w:r>
        <w:rPr>
          <w:spacing w:val="25"/>
          <w:sz w:val="21"/>
        </w:rPr>
        <w:t> </w:t>
      </w:r>
      <w:r>
        <w:rPr>
          <w:spacing w:val="-3"/>
          <w:w w:val="100"/>
          <w:sz w:val="21"/>
        </w:rPr>
        <w:t>o</w:t>
      </w:r>
      <w:r>
        <w:rPr>
          <w:w w:val="100"/>
          <w:sz w:val="21"/>
        </w:rPr>
        <w:t>f</w:t>
      </w:r>
      <w:r>
        <w:rPr>
          <w:spacing w:val="26"/>
          <w:sz w:val="21"/>
        </w:rPr>
        <w:t> </w:t>
      </w:r>
      <w:r>
        <w:rPr>
          <w:spacing w:val="-3"/>
          <w:w w:val="100"/>
          <w:sz w:val="21"/>
        </w:rPr>
        <w:t>a</w:t>
      </w:r>
      <w:r>
        <w:rPr>
          <w:spacing w:val="-1"/>
          <w:w w:val="100"/>
          <w:sz w:val="21"/>
        </w:rPr>
        <w:t>n</w:t>
      </w:r>
      <w:r>
        <w:rPr>
          <w:spacing w:val="-2"/>
          <w:w w:val="100"/>
          <w:sz w:val="21"/>
        </w:rPr>
        <w:t>i</w:t>
      </w:r>
      <w:r>
        <w:rPr>
          <w:spacing w:val="1"/>
          <w:w w:val="100"/>
          <w:sz w:val="21"/>
        </w:rPr>
        <w:t>m</w:t>
      </w:r>
      <w:r>
        <w:rPr>
          <w:spacing w:val="-3"/>
          <w:w w:val="100"/>
          <w:sz w:val="21"/>
        </w:rPr>
        <w:t>a</w:t>
      </w:r>
      <w:r>
        <w:rPr>
          <w:w w:val="100"/>
          <w:sz w:val="21"/>
        </w:rPr>
        <w:t>ls</w:t>
      </w:r>
      <w:r>
        <w:rPr>
          <w:spacing w:val="25"/>
          <w:sz w:val="21"/>
        </w:rPr>
        <w:t> </w:t>
      </w:r>
      <w:r>
        <w:rPr>
          <w:spacing w:val="-3"/>
          <w:w w:val="100"/>
          <w:sz w:val="21"/>
        </w:rPr>
        <w:t>a</w:t>
      </w:r>
      <w:r>
        <w:rPr>
          <w:spacing w:val="-1"/>
          <w:w w:val="100"/>
          <w:sz w:val="21"/>
        </w:rPr>
        <w:t>nd </w:t>
      </w:r>
      <w:r>
        <w:rPr>
          <w:sz w:val="21"/>
        </w:rPr>
        <w:t>birds, or idols, or statues of human beings, or straight or crooked images or representations of any women are engraved in any structure , he will try to remove such engraving before the recital of namaz. But if he does not do so even then the namaz will get offered. I have already spoken about the status and efficacy of such namaz. It will be Makrooh in some circumstances and it will not be so in some circumstances. If the Imam does not try to remove this types of pictures and shapes, it will be a crime on his</w:t>
      </w:r>
      <w:r>
        <w:rPr>
          <w:spacing w:val="-16"/>
          <w:sz w:val="21"/>
        </w:rPr>
        <w:t> </w:t>
      </w:r>
      <w:r>
        <w:rPr>
          <w:sz w:val="21"/>
        </w:rPr>
        <w:t>part.</w:t>
      </w:r>
    </w:p>
    <w:p>
      <w:pPr>
        <w:spacing w:line="276" w:lineRule="auto" w:before="0"/>
        <w:ind w:left="1940" w:right="2264" w:firstLine="0"/>
        <w:jc w:val="both"/>
        <w:rPr>
          <w:sz w:val="21"/>
        </w:rPr>
      </w:pPr>
      <w:r>
        <w:rPr>
          <w:w w:val="100"/>
          <w:sz w:val="21"/>
        </w:rPr>
        <w:t>Similarly</w:t>
      </w:r>
      <w:r>
        <w:rPr>
          <w:sz w:val="21"/>
        </w:rPr>
        <w:t> </w:t>
      </w:r>
      <w:r>
        <w:rPr>
          <w:w w:val="100"/>
          <w:sz w:val="21"/>
        </w:rPr>
        <w:t>it</w:t>
      </w:r>
      <w:r>
        <w:rPr>
          <w:sz w:val="21"/>
        </w:rPr>
        <w:t> </w:t>
      </w:r>
      <w:r>
        <w:rPr>
          <w:w w:val="100"/>
          <w:sz w:val="21"/>
        </w:rPr>
        <w:t>is</w:t>
      </w:r>
      <w:r>
        <w:rPr>
          <w:sz w:val="21"/>
        </w:rPr>
        <w:t> </w:t>
      </w:r>
      <w:r>
        <w:rPr>
          <w:w w:val="100"/>
          <w:sz w:val="21"/>
        </w:rPr>
        <w:t>mentioned</w:t>
      </w:r>
      <w:r>
        <w:rPr>
          <w:sz w:val="21"/>
        </w:rPr>
        <w:t> </w:t>
      </w:r>
      <w:r>
        <w:rPr>
          <w:w w:val="100"/>
          <w:sz w:val="21"/>
        </w:rPr>
        <w:t>in</w:t>
      </w:r>
      <w:r>
        <w:rPr>
          <w:sz w:val="21"/>
        </w:rPr>
        <w:t> </w:t>
      </w:r>
      <w:r>
        <w:rPr>
          <w:w w:val="100"/>
          <w:sz w:val="21"/>
        </w:rPr>
        <w:t>the</w:t>
      </w:r>
      <w:r>
        <w:rPr>
          <w:sz w:val="21"/>
        </w:rPr>
        <w:t> </w:t>
      </w:r>
      <w:r>
        <w:rPr>
          <w:w w:val="40"/>
          <w:sz w:val="21"/>
        </w:rPr>
        <w:t>‗</w:t>
      </w:r>
      <w:r>
        <w:rPr>
          <w:w w:val="100"/>
          <w:sz w:val="21"/>
        </w:rPr>
        <w:t>Shariyat‘</w:t>
      </w:r>
      <w:r>
        <w:rPr>
          <w:sz w:val="21"/>
        </w:rPr>
        <w:t> </w:t>
      </w:r>
      <w:r>
        <w:rPr>
          <w:w w:val="100"/>
          <w:sz w:val="21"/>
        </w:rPr>
        <w:t>that</w:t>
      </w:r>
      <w:r>
        <w:rPr>
          <w:sz w:val="21"/>
        </w:rPr>
        <w:t> </w:t>
      </w:r>
      <w:r>
        <w:rPr>
          <w:w w:val="100"/>
          <w:sz w:val="21"/>
        </w:rPr>
        <w:t>if</w:t>
      </w:r>
      <w:r>
        <w:rPr>
          <w:sz w:val="21"/>
        </w:rPr>
        <w:t> </w:t>
      </w:r>
      <w:r>
        <w:rPr>
          <w:w w:val="100"/>
          <w:sz w:val="21"/>
        </w:rPr>
        <w:t>picture</w:t>
      </w:r>
      <w:r>
        <w:rPr>
          <w:sz w:val="21"/>
        </w:rPr>
        <w:t> </w:t>
      </w:r>
      <w:r>
        <w:rPr>
          <w:w w:val="100"/>
          <w:sz w:val="21"/>
        </w:rPr>
        <w:t>or</w:t>
      </w:r>
      <w:r>
        <w:rPr>
          <w:sz w:val="21"/>
        </w:rPr>
        <w:t> </w:t>
      </w:r>
      <w:r>
        <w:rPr>
          <w:w w:val="100"/>
          <w:sz w:val="21"/>
        </w:rPr>
        <w:t>idol </w:t>
      </w:r>
      <w:r>
        <w:rPr>
          <w:sz w:val="21"/>
        </w:rPr>
        <w:t>of any living being exists over the walls or pillars of mosque, </w:t>
      </w:r>
      <w:r>
        <w:rPr>
          <w:w w:val="100"/>
          <w:sz w:val="21"/>
        </w:rPr>
        <w:t>then</w:t>
      </w:r>
      <w:r>
        <w:rPr>
          <w:sz w:val="21"/>
        </w:rPr>
        <w:t> </w:t>
      </w:r>
      <w:r>
        <w:rPr>
          <w:w w:val="100"/>
          <w:sz w:val="21"/>
        </w:rPr>
        <w:t>the</w:t>
      </w:r>
      <w:r>
        <w:rPr>
          <w:sz w:val="21"/>
        </w:rPr>
        <w:t> </w:t>
      </w:r>
      <w:r>
        <w:rPr>
          <w:w w:val="100"/>
          <w:sz w:val="21"/>
        </w:rPr>
        <w:t>namaz</w:t>
      </w:r>
      <w:r>
        <w:rPr>
          <w:sz w:val="21"/>
        </w:rPr>
        <w:t> </w:t>
      </w:r>
      <w:r>
        <w:rPr>
          <w:w w:val="100"/>
          <w:sz w:val="21"/>
        </w:rPr>
        <w:t>offered</w:t>
      </w:r>
      <w:r>
        <w:rPr>
          <w:sz w:val="21"/>
        </w:rPr>
        <w:t> </w:t>
      </w:r>
      <w:r>
        <w:rPr>
          <w:w w:val="100"/>
          <w:sz w:val="21"/>
        </w:rPr>
        <w:t>there</w:t>
      </w:r>
      <w:r>
        <w:rPr>
          <w:sz w:val="21"/>
        </w:rPr>
        <w:t> </w:t>
      </w:r>
      <w:r>
        <w:rPr>
          <w:w w:val="100"/>
          <w:sz w:val="21"/>
        </w:rPr>
        <w:t>would</w:t>
      </w:r>
      <w:r>
        <w:rPr>
          <w:sz w:val="21"/>
        </w:rPr>
        <w:t> </w:t>
      </w:r>
      <w:r>
        <w:rPr>
          <w:w w:val="100"/>
          <w:sz w:val="21"/>
        </w:rPr>
        <w:t>be</w:t>
      </w:r>
      <w:r>
        <w:rPr>
          <w:sz w:val="21"/>
        </w:rPr>
        <w:t> </w:t>
      </w:r>
      <w:r>
        <w:rPr>
          <w:w w:val="40"/>
          <w:sz w:val="21"/>
        </w:rPr>
        <w:t>‗</w:t>
      </w:r>
      <w:r>
        <w:rPr>
          <w:w w:val="100"/>
          <w:sz w:val="21"/>
        </w:rPr>
        <w:t>Makruh‘</w:t>
      </w:r>
      <w:r>
        <w:rPr>
          <w:sz w:val="21"/>
        </w:rPr>
        <w:t> </w:t>
      </w:r>
      <w:r>
        <w:rPr>
          <w:w w:val="100"/>
          <w:sz w:val="21"/>
        </w:rPr>
        <w:t>(undesirable) under</w:t>
      </w:r>
      <w:r>
        <w:rPr>
          <w:sz w:val="21"/>
        </w:rPr>
        <w:t> </w:t>
      </w:r>
      <w:r>
        <w:rPr>
          <w:w w:val="100"/>
          <w:sz w:val="21"/>
        </w:rPr>
        <w:t>certain</w:t>
      </w:r>
      <w:r>
        <w:rPr>
          <w:sz w:val="21"/>
        </w:rPr>
        <w:t> </w:t>
      </w:r>
      <w:r>
        <w:rPr>
          <w:w w:val="100"/>
          <w:sz w:val="21"/>
        </w:rPr>
        <w:t>situations.</w:t>
      </w:r>
      <w:r>
        <w:rPr>
          <w:sz w:val="21"/>
        </w:rPr>
        <w:t> </w:t>
      </w:r>
      <w:r>
        <w:rPr>
          <w:w w:val="100"/>
          <w:sz w:val="21"/>
        </w:rPr>
        <w:t>It</w:t>
      </w:r>
      <w:r>
        <w:rPr>
          <w:sz w:val="21"/>
        </w:rPr>
        <w:t> </w:t>
      </w:r>
      <w:r>
        <w:rPr>
          <w:w w:val="100"/>
          <w:sz w:val="21"/>
        </w:rPr>
        <w:t>is</w:t>
      </w:r>
      <w:r>
        <w:rPr>
          <w:sz w:val="21"/>
        </w:rPr>
        <w:t> </w:t>
      </w:r>
      <w:r>
        <w:rPr>
          <w:w w:val="100"/>
          <w:sz w:val="21"/>
        </w:rPr>
        <w:t>so</w:t>
      </w:r>
      <w:r>
        <w:rPr>
          <w:sz w:val="21"/>
        </w:rPr>
        <w:t> </w:t>
      </w:r>
      <w:r>
        <w:rPr>
          <w:w w:val="100"/>
          <w:sz w:val="21"/>
        </w:rPr>
        <w:t>mentioned</w:t>
      </w:r>
      <w:r>
        <w:rPr>
          <w:sz w:val="21"/>
        </w:rPr>
        <w:t> </w:t>
      </w:r>
      <w:r>
        <w:rPr>
          <w:w w:val="100"/>
          <w:sz w:val="21"/>
        </w:rPr>
        <w:t>in</w:t>
      </w:r>
      <w:r>
        <w:rPr>
          <w:sz w:val="21"/>
        </w:rPr>
        <w:t> </w:t>
      </w:r>
      <w:r>
        <w:rPr>
          <w:w w:val="100"/>
          <w:sz w:val="21"/>
        </w:rPr>
        <w:t>the</w:t>
      </w:r>
      <w:r>
        <w:rPr>
          <w:sz w:val="21"/>
        </w:rPr>
        <w:t> </w:t>
      </w:r>
      <w:r>
        <w:rPr>
          <w:w w:val="40"/>
          <w:sz w:val="21"/>
        </w:rPr>
        <w:t>‗</w:t>
      </w:r>
      <w:r>
        <w:rPr>
          <w:w w:val="100"/>
          <w:sz w:val="21"/>
        </w:rPr>
        <w:t>Hidaya‘</w:t>
      </w:r>
      <w:r>
        <w:rPr>
          <w:sz w:val="21"/>
        </w:rPr>
        <w:t> </w:t>
      </w:r>
      <w:r>
        <w:rPr>
          <w:w w:val="100"/>
          <w:sz w:val="21"/>
        </w:rPr>
        <w:t>of</w:t>
      </w:r>
    </w:p>
    <w:p>
      <w:pPr>
        <w:spacing w:before="0"/>
        <w:ind w:left="1940" w:right="0" w:firstLine="0"/>
        <w:jc w:val="left"/>
        <w:rPr>
          <w:sz w:val="21"/>
        </w:rPr>
      </w:pPr>
      <w:r>
        <w:rPr>
          <w:w w:val="40"/>
          <w:sz w:val="21"/>
        </w:rPr>
        <w:t>‗</w:t>
      </w:r>
      <w:r>
        <w:rPr>
          <w:spacing w:val="-2"/>
          <w:w w:val="100"/>
          <w:sz w:val="21"/>
        </w:rPr>
        <w:t>F</w:t>
      </w:r>
      <w:r>
        <w:rPr>
          <w:w w:val="100"/>
          <w:sz w:val="21"/>
        </w:rPr>
        <w:t>i</w:t>
      </w:r>
      <w:r>
        <w:rPr>
          <w:spacing w:val="-1"/>
          <w:w w:val="100"/>
          <w:sz w:val="21"/>
        </w:rPr>
        <w:t>q</w:t>
      </w:r>
      <w:r>
        <w:rPr>
          <w:spacing w:val="-3"/>
          <w:w w:val="100"/>
          <w:sz w:val="21"/>
        </w:rPr>
        <w:t>h</w:t>
      </w:r>
      <w:r>
        <w:rPr>
          <w:w w:val="100"/>
          <w:sz w:val="21"/>
        </w:rPr>
        <w:t>‘</w:t>
      </w:r>
      <w:r>
        <w:rPr>
          <w:spacing w:val="-2"/>
          <w:w w:val="100"/>
          <w:sz w:val="21"/>
        </w:rPr>
        <w:t>.</w:t>
      </w:r>
      <w:r>
        <w:rPr>
          <w:w w:val="81"/>
          <w:sz w:val="21"/>
        </w:rPr>
        <w:t>‖</w:t>
      </w:r>
    </w:p>
    <w:p>
      <w:pPr>
        <w:pStyle w:val="BodyText"/>
        <w:rPr>
          <w:sz w:val="24"/>
        </w:rPr>
      </w:pPr>
    </w:p>
    <w:p>
      <w:pPr>
        <w:pStyle w:val="BodyText"/>
        <w:spacing w:before="1"/>
        <w:rPr>
          <w:sz w:val="29"/>
        </w:rPr>
      </w:pPr>
    </w:p>
    <w:p>
      <w:pPr>
        <w:pStyle w:val="Heading5"/>
        <w:numPr>
          <w:ilvl w:val="0"/>
          <w:numId w:val="53"/>
        </w:numPr>
        <w:tabs>
          <w:tab w:pos="1220" w:val="left" w:leader="none"/>
          <w:tab w:pos="1221" w:val="left" w:leader="none"/>
        </w:tabs>
        <w:spacing w:line="240" w:lineRule="auto" w:before="0" w:after="0"/>
        <w:ind w:left="1220" w:right="0" w:hanging="721"/>
        <w:jc w:val="left"/>
      </w:pPr>
      <w:r>
        <w:rPr/>
        <w:t>Mohd Burhanuddin</w:t>
      </w:r>
      <w:r>
        <w:rPr>
          <w:spacing w:val="-3"/>
        </w:rPr>
        <w:t> </w:t>
      </w:r>
      <w:r>
        <w:rPr/>
        <w:t>(PW-11)</w:t>
      </w:r>
    </w:p>
    <w:p>
      <w:pPr>
        <w:spacing w:line="276" w:lineRule="auto" w:before="199"/>
        <w:ind w:left="1940" w:right="2261" w:firstLine="0"/>
        <w:jc w:val="both"/>
        <w:rPr>
          <w:sz w:val="21"/>
        </w:rPr>
      </w:pPr>
      <w:r>
        <w:rPr>
          <w:spacing w:val="-1"/>
          <w:w w:val="33"/>
          <w:sz w:val="21"/>
        </w:rPr>
        <w:t>―</w:t>
      </w:r>
      <w:r>
        <w:rPr>
          <w:spacing w:val="-2"/>
          <w:w w:val="100"/>
          <w:sz w:val="21"/>
        </w:rPr>
        <w:t>I</w:t>
      </w:r>
      <w:r>
        <w:rPr>
          <w:w w:val="100"/>
          <w:sz w:val="21"/>
        </w:rPr>
        <w:t>t</w:t>
      </w:r>
      <w:r>
        <w:rPr>
          <w:sz w:val="21"/>
        </w:rPr>
        <w:t> </w:t>
      </w:r>
      <w:r>
        <w:rPr>
          <w:spacing w:val="-15"/>
          <w:sz w:val="21"/>
        </w:rPr>
        <w:t> </w:t>
      </w:r>
      <w:r>
        <w:rPr>
          <w:w w:val="100"/>
          <w:sz w:val="21"/>
        </w:rPr>
        <w:t>is</w:t>
      </w:r>
      <w:r>
        <w:rPr>
          <w:sz w:val="21"/>
        </w:rPr>
        <w:t> </w:t>
      </w:r>
      <w:r>
        <w:rPr>
          <w:spacing w:val="-14"/>
          <w:sz w:val="21"/>
        </w:rPr>
        <w:t> </w:t>
      </w:r>
      <w:r>
        <w:rPr>
          <w:spacing w:val="-2"/>
          <w:w w:val="100"/>
          <w:sz w:val="21"/>
        </w:rPr>
        <w:t>t</w:t>
      </w:r>
      <w:r>
        <w:rPr>
          <w:spacing w:val="-1"/>
          <w:w w:val="100"/>
          <w:sz w:val="21"/>
        </w:rPr>
        <w:t>ru</w:t>
      </w:r>
      <w:r>
        <w:rPr>
          <w:w w:val="100"/>
          <w:sz w:val="21"/>
        </w:rPr>
        <w:t>e</w:t>
      </w:r>
      <w:r>
        <w:rPr>
          <w:sz w:val="21"/>
        </w:rPr>
        <w:t> </w:t>
      </w:r>
      <w:r>
        <w:rPr>
          <w:spacing w:val="-14"/>
          <w:sz w:val="21"/>
        </w:rPr>
        <w:t> </w:t>
      </w:r>
      <w:r>
        <w:rPr>
          <w:spacing w:val="-2"/>
          <w:w w:val="100"/>
          <w:sz w:val="21"/>
        </w:rPr>
        <w:t>t</w:t>
      </w:r>
      <w:r>
        <w:rPr>
          <w:spacing w:val="-1"/>
          <w:w w:val="100"/>
          <w:sz w:val="21"/>
        </w:rPr>
        <w:t>ha</w:t>
      </w:r>
      <w:r>
        <w:rPr>
          <w:w w:val="100"/>
          <w:sz w:val="21"/>
        </w:rPr>
        <w:t>t</w:t>
      </w:r>
      <w:r>
        <w:rPr>
          <w:sz w:val="21"/>
        </w:rPr>
        <w:t> </w:t>
      </w:r>
      <w:r>
        <w:rPr>
          <w:spacing w:val="-15"/>
          <w:sz w:val="21"/>
        </w:rPr>
        <w:t> </w:t>
      </w:r>
      <w:r>
        <w:rPr>
          <w:spacing w:val="-2"/>
          <w:w w:val="100"/>
          <w:sz w:val="21"/>
        </w:rPr>
        <w:t>t</w:t>
      </w:r>
      <w:r>
        <w:rPr>
          <w:spacing w:val="-1"/>
          <w:w w:val="100"/>
          <w:sz w:val="21"/>
        </w:rPr>
        <w:t>her</w:t>
      </w:r>
      <w:r>
        <w:rPr>
          <w:w w:val="100"/>
          <w:sz w:val="21"/>
        </w:rPr>
        <w:t>e</w:t>
      </w:r>
      <w:r>
        <w:rPr>
          <w:sz w:val="21"/>
        </w:rPr>
        <w:t> </w:t>
      </w:r>
      <w:r>
        <w:rPr>
          <w:spacing w:val="-14"/>
          <w:sz w:val="21"/>
        </w:rPr>
        <w:t> </w:t>
      </w:r>
      <w:r>
        <w:rPr>
          <w:w w:val="100"/>
          <w:sz w:val="21"/>
        </w:rPr>
        <w:t>is</w:t>
      </w:r>
      <w:r>
        <w:rPr>
          <w:sz w:val="21"/>
        </w:rPr>
        <w:t> </w:t>
      </w:r>
      <w:r>
        <w:rPr>
          <w:spacing w:val="-14"/>
          <w:sz w:val="21"/>
        </w:rPr>
        <w:t> </w:t>
      </w:r>
      <w:r>
        <w:rPr>
          <w:w w:val="100"/>
          <w:sz w:val="21"/>
        </w:rPr>
        <w:t>a</w:t>
      </w:r>
      <w:r>
        <w:rPr>
          <w:sz w:val="21"/>
        </w:rPr>
        <w:t> </w:t>
      </w:r>
      <w:r>
        <w:rPr>
          <w:spacing w:val="-16"/>
          <w:sz w:val="21"/>
        </w:rPr>
        <w:t> </w:t>
      </w:r>
      <w:r>
        <w:rPr>
          <w:spacing w:val="-1"/>
          <w:w w:val="100"/>
          <w:sz w:val="21"/>
        </w:rPr>
        <w:t>restr</w:t>
      </w:r>
      <w:r>
        <w:rPr>
          <w:w w:val="100"/>
          <w:sz w:val="21"/>
        </w:rPr>
        <w:t>ic</w:t>
      </w:r>
      <w:r>
        <w:rPr>
          <w:spacing w:val="-2"/>
          <w:w w:val="100"/>
          <w:sz w:val="21"/>
        </w:rPr>
        <w:t>t</w:t>
      </w:r>
      <w:r>
        <w:rPr>
          <w:w w:val="100"/>
          <w:sz w:val="21"/>
        </w:rPr>
        <w:t>i</w:t>
      </w:r>
      <w:r>
        <w:rPr>
          <w:spacing w:val="-3"/>
          <w:w w:val="100"/>
          <w:sz w:val="21"/>
        </w:rPr>
        <w:t>o</w:t>
      </w:r>
      <w:r>
        <w:rPr>
          <w:w w:val="100"/>
          <w:sz w:val="21"/>
        </w:rPr>
        <w:t>n</w:t>
      </w:r>
      <w:r>
        <w:rPr>
          <w:sz w:val="21"/>
        </w:rPr>
        <w:t> </w:t>
      </w:r>
      <w:r>
        <w:rPr>
          <w:spacing w:val="-14"/>
          <w:sz w:val="21"/>
        </w:rPr>
        <w:t> </w:t>
      </w:r>
      <w:r>
        <w:rPr>
          <w:spacing w:val="-1"/>
          <w:w w:val="100"/>
          <w:sz w:val="21"/>
        </w:rPr>
        <w:t>o</w:t>
      </w:r>
      <w:r>
        <w:rPr>
          <w:w w:val="100"/>
          <w:sz w:val="21"/>
        </w:rPr>
        <w:t>n</w:t>
      </w:r>
      <w:r>
        <w:rPr>
          <w:sz w:val="21"/>
        </w:rPr>
        <w:t> </w:t>
      </w:r>
      <w:r>
        <w:rPr>
          <w:spacing w:val="-16"/>
          <w:sz w:val="21"/>
        </w:rPr>
        <w:t> </w:t>
      </w:r>
      <w:r>
        <w:rPr>
          <w:spacing w:val="4"/>
          <w:w w:val="100"/>
          <w:sz w:val="21"/>
        </w:rPr>
        <w:t>f</w:t>
      </w:r>
      <w:r>
        <w:rPr>
          <w:w w:val="100"/>
          <w:sz w:val="21"/>
        </w:rPr>
        <w:t>or</w:t>
      </w:r>
      <w:r>
        <w:rPr>
          <w:spacing w:val="-3"/>
          <w:w w:val="100"/>
          <w:sz w:val="21"/>
        </w:rPr>
        <w:t>c</w:t>
      </w:r>
      <w:r>
        <w:rPr>
          <w:w w:val="100"/>
          <w:sz w:val="21"/>
        </w:rPr>
        <w:t>e</w:t>
      </w:r>
      <w:r>
        <w:rPr>
          <w:spacing w:val="-1"/>
          <w:w w:val="100"/>
          <w:sz w:val="21"/>
        </w:rPr>
        <w:t>f</w:t>
      </w:r>
      <w:r>
        <w:rPr>
          <w:w w:val="100"/>
          <w:sz w:val="21"/>
        </w:rPr>
        <w:t>u</w:t>
      </w:r>
      <w:r>
        <w:rPr>
          <w:spacing w:val="-2"/>
          <w:w w:val="100"/>
          <w:sz w:val="21"/>
        </w:rPr>
        <w:t>l</w:t>
      </w:r>
      <w:r>
        <w:rPr>
          <w:w w:val="100"/>
          <w:sz w:val="21"/>
        </w:rPr>
        <w:t>l</w:t>
      </w:r>
      <w:r>
        <w:rPr>
          <w:w w:val="100"/>
          <w:sz w:val="21"/>
        </w:rPr>
        <w:t>y</w:t>
      </w:r>
      <w:r>
        <w:rPr>
          <w:sz w:val="21"/>
        </w:rPr>
        <w:t> </w:t>
      </w:r>
      <w:r>
        <w:rPr>
          <w:spacing w:val="-16"/>
          <w:sz w:val="21"/>
        </w:rPr>
        <w:t> </w:t>
      </w:r>
      <w:r>
        <w:rPr>
          <w:w w:val="100"/>
          <w:sz w:val="21"/>
        </w:rPr>
        <w:t>bu</w:t>
      </w:r>
      <w:r>
        <w:rPr>
          <w:spacing w:val="-1"/>
          <w:w w:val="100"/>
          <w:sz w:val="21"/>
        </w:rPr>
        <w:t>i</w:t>
      </w:r>
      <w:r>
        <w:rPr>
          <w:w w:val="100"/>
          <w:sz w:val="21"/>
        </w:rPr>
        <w:t>l</w:t>
      </w:r>
      <w:r>
        <w:rPr>
          <w:spacing w:val="-3"/>
          <w:w w:val="100"/>
          <w:sz w:val="21"/>
        </w:rPr>
        <w:t>d</w:t>
      </w:r>
      <w:r>
        <w:rPr>
          <w:w w:val="100"/>
          <w:sz w:val="21"/>
        </w:rPr>
        <w:t>i</w:t>
      </w:r>
      <w:r>
        <w:rPr>
          <w:w w:val="100"/>
          <w:sz w:val="21"/>
        </w:rPr>
        <w:t>ng</w:t>
      </w:r>
      <w:r>
        <w:rPr>
          <w:sz w:val="21"/>
        </w:rPr>
        <w:t> </w:t>
      </w:r>
      <w:r>
        <w:rPr>
          <w:spacing w:val="-16"/>
          <w:sz w:val="21"/>
        </w:rPr>
        <w:t> </w:t>
      </w:r>
      <w:r>
        <w:rPr>
          <w:w w:val="100"/>
          <w:sz w:val="21"/>
        </w:rPr>
        <w:t>a </w:t>
      </w:r>
      <w:r>
        <w:rPr>
          <w:sz w:val="21"/>
        </w:rPr>
        <w:t>mosque over someone else‘s land. If the ownership of someone is proved over a land, then a mosque would not be built over there in absence of the consent of owner. . . .If any property belongs to a non-Muslim or even a Muslim, then a mosque cannot be forcibly built over there under any circumstance by demolishing the same. If it is so proved, then the mosque would not be considered</w:t>
      </w:r>
      <w:r>
        <w:rPr>
          <w:spacing w:val="-18"/>
          <w:sz w:val="21"/>
        </w:rPr>
        <w:t> </w:t>
      </w:r>
      <w:r>
        <w:rPr>
          <w:sz w:val="21"/>
        </w:rPr>
        <w:t>legal/proper.‖</w:t>
      </w:r>
    </w:p>
    <w:p>
      <w:pPr>
        <w:pStyle w:val="BodyText"/>
        <w:spacing w:before="2"/>
      </w:pPr>
    </w:p>
    <w:p>
      <w:pPr>
        <w:pStyle w:val="BodyText"/>
        <w:spacing w:before="1"/>
        <w:ind w:left="500"/>
      </w:pPr>
      <w:r>
        <w:rPr/>
        <w:t>The witness spoke of arrangements for Vazoo or ablution:</w:t>
      </w:r>
    </w:p>
    <w:p>
      <w:pPr>
        <w:pStyle w:val="BodyText"/>
        <w:spacing w:before="9"/>
        <w:rPr>
          <w:sz w:val="24"/>
        </w:rPr>
      </w:pPr>
    </w:p>
    <w:p>
      <w:pPr>
        <w:spacing w:line="276" w:lineRule="auto" w:before="0"/>
        <w:ind w:left="1940" w:right="2263" w:firstLine="0"/>
        <w:jc w:val="both"/>
        <w:rPr>
          <w:sz w:val="21"/>
        </w:rPr>
      </w:pPr>
      <w:r>
        <w:rPr>
          <w:spacing w:val="-1"/>
          <w:w w:val="33"/>
          <w:sz w:val="21"/>
        </w:rPr>
        <w:t>―</w:t>
      </w:r>
      <w:r>
        <w:rPr>
          <w:w w:val="100"/>
          <w:sz w:val="21"/>
        </w:rPr>
        <w:t>N</w:t>
      </w:r>
      <w:r>
        <w:rPr>
          <w:spacing w:val="-3"/>
          <w:w w:val="100"/>
          <w:sz w:val="21"/>
        </w:rPr>
        <w:t>a</w:t>
      </w:r>
      <w:r>
        <w:rPr>
          <w:spacing w:val="1"/>
          <w:w w:val="100"/>
          <w:sz w:val="21"/>
        </w:rPr>
        <w:t>m</w:t>
      </w:r>
      <w:r>
        <w:rPr>
          <w:spacing w:val="-1"/>
          <w:w w:val="100"/>
          <w:sz w:val="21"/>
        </w:rPr>
        <w:t>a</w:t>
      </w:r>
      <w:r>
        <w:rPr>
          <w:w w:val="100"/>
          <w:sz w:val="21"/>
        </w:rPr>
        <w:t>z</w:t>
      </w:r>
      <w:r>
        <w:rPr>
          <w:sz w:val="21"/>
        </w:rPr>
        <w:t>  </w:t>
      </w:r>
      <w:r>
        <w:rPr>
          <w:spacing w:val="2"/>
          <w:sz w:val="21"/>
        </w:rPr>
        <w:t> </w:t>
      </w:r>
      <w:r>
        <w:rPr>
          <w:w w:val="100"/>
          <w:sz w:val="21"/>
        </w:rPr>
        <w:t>can</w:t>
      </w:r>
      <w:r>
        <w:rPr>
          <w:sz w:val="21"/>
        </w:rPr>
        <w:t>  </w:t>
      </w:r>
      <w:r>
        <w:rPr>
          <w:spacing w:val="5"/>
          <w:sz w:val="21"/>
        </w:rPr>
        <w:t> </w:t>
      </w:r>
      <w:r>
        <w:rPr>
          <w:spacing w:val="-1"/>
          <w:w w:val="100"/>
          <w:sz w:val="21"/>
        </w:rPr>
        <w:t>b</w:t>
      </w:r>
      <w:r>
        <w:rPr>
          <w:w w:val="100"/>
          <w:sz w:val="21"/>
        </w:rPr>
        <w:t>e</w:t>
      </w:r>
      <w:r>
        <w:rPr>
          <w:sz w:val="21"/>
        </w:rPr>
        <w:t>  </w:t>
      </w:r>
      <w:r>
        <w:rPr>
          <w:spacing w:val="5"/>
          <w:sz w:val="21"/>
        </w:rPr>
        <w:t> </w:t>
      </w:r>
      <w:r>
        <w:rPr>
          <w:spacing w:val="-3"/>
          <w:w w:val="100"/>
          <w:sz w:val="21"/>
        </w:rPr>
        <w:t>o</w:t>
      </w:r>
      <w:r>
        <w:rPr>
          <w:spacing w:val="-2"/>
          <w:w w:val="100"/>
          <w:sz w:val="21"/>
        </w:rPr>
        <w:t>f</w:t>
      </w:r>
      <w:r>
        <w:rPr>
          <w:spacing w:val="1"/>
          <w:w w:val="100"/>
          <w:sz w:val="21"/>
        </w:rPr>
        <w:t>f</w:t>
      </w:r>
      <w:r>
        <w:rPr>
          <w:spacing w:val="-1"/>
          <w:w w:val="100"/>
          <w:sz w:val="21"/>
        </w:rPr>
        <w:t>er</w:t>
      </w:r>
      <w:r>
        <w:rPr>
          <w:spacing w:val="-3"/>
          <w:w w:val="100"/>
          <w:sz w:val="21"/>
        </w:rPr>
        <w:t>e</w:t>
      </w:r>
      <w:r>
        <w:rPr>
          <w:w w:val="100"/>
          <w:sz w:val="21"/>
        </w:rPr>
        <w:t>d</w:t>
      </w:r>
      <w:r>
        <w:rPr>
          <w:sz w:val="21"/>
        </w:rPr>
        <w:t>  </w:t>
      </w:r>
      <w:r>
        <w:rPr>
          <w:spacing w:val="4"/>
          <w:sz w:val="21"/>
        </w:rPr>
        <w:t> </w:t>
      </w:r>
      <w:r>
        <w:rPr>
          <w:spacing w:val="-1"/>
          <w:w w:val="100"/>
          <w:sz w:val="21"/>
        </w:rPr>
        <w:t>e</w:t>
      </w:r>
      <w:r>
        <w:rPr>
          <w:spacing w:val="-3"/>
          <w:w w:val="100"/>
          <w:sz w:val="21"/>
        </w:rPr>
        <w:t>v</w:t>
      </w:r>
      <w:r>
        <w:rPr>
          <w:spacing w:val="-1"/>
          <w:w w:val="100"/>
          <w:sz w:val="21"/>
        </w:rPr>
        <w:t>e</w:t>
      </w:r>
      <w:r>
        <w:rPr>
          <w:w w:val="100"/>
          <w:sz w:val="21"/>
        </w:rPr>
        <w:t>n</w:t>
      </w:r>
      <w:r>
        <w:rPr>
          <w:sz w:val="21"/>
        </w:rPr>
        <w:t>  </w:t>
      </w:r>
      <w:r>
        <w:rPr>
          <w:spacing w:val="5"/>
          <w:sz w:val="21"/>
        </w:rPr>
        <w:t> </w:t>
      </w:r>
      <w:r>
        <w:rPr>
          <w:spacing w:val="-1"/>
          <w:w w:val="100"/>
          <w:sz w:val="21"/>
        </w:rPr>
        <w:t>b</w:t>
      </w:r>
      <w:r>
        <w:rPr>
          <w:w w:val="100"/>
          <w:sz w:val="21"/>
        </w:rPr>
        <w:t>y</w:t>
      </w:r>
      <w:r>
        <w:rPr>
          <w:sz w:val="21"/>
        </w:rPr>
        <w:t>  </w:t>
      </w:r>
      <w:r>
        <w:rPr>
          <w:spacing w:val="2"/>
          <w:sz w:val="21"/>
        </w:rPr>
        <w:t> </w:t>
      </w:r>
      <w:r>
        <w:rPr>
          <w:spacing w:val="-1"/>
          <w:w w:val="100"/>
          <w:sz w:val="21"/>
        </w:rPr>
        <w:t>p</w:t>
      </w:r>
      <w:r>
        <w:rPr>
          <w:spacing w:val="3"/>
          <w:w w:val="100"/>
          <w:sz w:val="21"/>
        </w:rPr>
        <w:t>e</w:t>
      </w:r>
      <w:r>
        <w:rPr>
          <w:spacing w:val="-1"/>
          <w:w w:val="100"/>
          <w:sz w:val="21"/>
        </w:rPr>
        <w:t>r</w:t>
      </w:r>
      <w:r>
        <w:rPr>
          <w:spacing w:val="1"/>
          <w:w w:val="100"/>
          <w:sz w:val="21"/>
        </w:rPr>
        <w:t>f</w:t>
      </w:r>
      <w:r>
        <w:rPr>
          <w:spacing w:val="-1"/>
          <w:w w:val="100"/>
          <w:sz w:val="21"/>
        </w:rPr>
        <w:t>o</w:t>
      </w:r>
      <w:r>
        <w:rPr>
          <w:spacing w:val="-3"/>
          <w:w w:val="100"/>
          <w:sz w:val="21"/>
        </w:rPr>
        <w:t>r</w:t>
      </w:r>
      <w:r>
        <w:rPr>
          <w:spacing w:val="1"/>
          <w:w w:val="100"/>
          <w:sz w:val="21"/>
        </w:rPr>
        <w:t>m</w:t>
      </w:r>
      <w:r>
        <w:rPr>
          <w:w w:val="100"/>
          <w:sz w:val="21"/>
        </w:rPr>
        <w:t>i</w:t>
      </w:r>
      <w:r>
        <w:rPr>
          <w:spacing w:val="-3"/>
          <w:w w:val="100"/>
          <w:sz w:val="21"/>
        </w:rPr>
        <w:t>n</w:t>
      </w:r>
      <w:r>
        <w:rPr>
          <w:w w:val="100"/>
          <w:sz w:val="21"/>
        </w:rPr>
        <w:t>g</w:t>
      </w:r>
      <w:r>
        <w:rPr>
          <w:sz w:val="21"/>
        </w:rPr>
        <w:t>  </w:t>
      </w:r>
      <w:r>
        <w:rPr>
          <w:spacing w:val="2"/>
          <w:sz w:val="21"/>
        </w:rPr>
        <w:t> </w:t>
      </w:r>
      <w:r>
        <w:rPr>
          <w:w w:val="40"/>
          <w:sz w:val="21"/>
        </w:rPr>
        <w:t>‗</w:t>
      </w:r>
      <w:r>
        <w:rPr>
          <w:w w:val="100"/>
          <w:sz w:val="21"/>
        </w:rPr>
        <w:t>T</w:t>
      </w:r>
      <w:r>
        <w:rPr>
          <w:spacing w:val="-2"/>
          <w:w w:val="100"/>
          <w:sz w:val="21"/>
        </w:rPr>
        <w:t>ai</w:t>
      </w:r>
      <w:r>
        <w:rPr>
          <w:spacing w:val="1"/>
          <w:w w:val="100"/>
          <w:sz w:val="21"/>
        </w:rPr>
        <w:t>m</w:t>
      </w:r>
      <w:r>
        <w:rPr>
          <w:spacing w:val="-3"/>
          <w:w w:val="100"/>
          <w:sz w:val="21"/>
        </w:rPr>
        <w:t>u</w:t>
      </w:r>
      <w:r>
        <w:rPr>
          <w:spacing w:val="-1"/>
          <w:w w:val="100"/>
          <w:sz w:val="21"/>
        </w:rPr>
        <w:t>m</w:t>
      </w:r>
      <w:r>
        <w:rPr>
          <w:w w:val="100"/>
          <w:sz w:val="21"/>
        </w:rPr>
        <w:t>‘ </w:t>
      </w:r>
      <w:r>
        <w:rPr>
          <w:spacing w:val="-1"/>
          <w:w w:val="100"/>
          <w:sz w:val="21"/>
        </w:rPr>
        <w:t>(</w:t>
      </w:r>
      <w:r>
        <w:rPr>
          <w:w w:val="100"/>
          <w:sz w:val="21"/>
        </w:rPr>
        <w:t>subs</w:t>
      </w:r>
      <w:r>
        <w:rPr>
          <w:spacing w:val="-1"/>
          <w:w w:val="100"/>
          <w:sz w:val="21"/>
        </w:rPr>
        <w:t>t</w:t>
      </w:r>
      <w:r>
        <w:rPr>
          <w:w w:val="100"/>
          <w:sz w:val="21"/>
        </w:rPr>
        <w:t>i</w:t>
      </w:r>
      <w:r>
        <w:rPr>
          <w:spacing w:val="-2"/>
          <w:w w:val="100"/>
          <w:sz w:val="21"/>
        </w:rPr>
        <w:t>t</w:t>
      </w:r>
      <w:r>
        <w:rPr>
          <w:spacing w:val="-1"/>
          <w:w w:val="100"/>
          <w:sz w:val="21"/>
        </w:rPr>
        <w:t>ut</w:t>
      </w:r>
      <w:r>
        <w:rPr>
          <w:w w:val="100"/>
          <w:sz w:val="21"/>
        </w:rPr>
        <w:t>e</w:t>
      </w:r>
      <w:r>
        <w:rPr>
          <w:spacing w:val="8"/>
          <w:sz w:val="21"/>
        </w:rPr>
        <w:t> </w:t>
      </w:r>
      <w:r>
        <w:rPr>
          <w:spacing w:val="1"/>
          <w:w w:val="100"/>
          <w:sz w:val="21"/>
        </w:rPr>
        <w:t>f</w:t>
      </w:r>
      <w:r>
        <w:rPr>
          <w:spacing w:val="-1"/>
          <w:w w:val="100"/>
          <w:sz w:val="21"/>
        </w:rPr>
        <w:t>o</w:t>
      </w:r>
      <w:r>
        <w:rPr>
          <w:w w:val="100"/>
          <w:sz w:val="21"/>
        </w:rPr>
        <w:t>r</w:t>
      </w:r>
      <w:r>
        <w:rPr>
          <w:spacing w:val="8"/>
          <w:sz w:val="21"/>
        </w:rPr>
        <w:t> </w:t>
      </w:r>
      <w:r>
        <w:rPr>
          <w:w w:val="100"/>
          <w:sz w:val="21"/>
        </w:rPr>
        <w:t>V</w:t>
      </w:r>
      <w:r>
        <w:rPr>
          <w:spacing w:val="-1"/>
          <w:w w:val="100"/>
          <w:sz w:val="21"/>
        </w:rPr>
        <w:t>a</w:t>
      </w:r>
      <w:r>
        <w:rPr>
          <w:spacing w:val="-3"/>
          <w:w w:val="100"/>
          <w:sz w:val="21"/>
        </w:rPr>
        <w:t>z</w:t>
      </w:r>
      <w:r>
        <w:rPr>
          <w:spacing w:val="-1"/>
          <w:w w:val="100"/>
          <w:sz w:val="21"/>
        </w:rPr>
        <w:t>oo)</w:t>
      </w:r>
      <w:r>
        <w:rPr>
          <w:w w:val="100"/>
          <w:sz w:val="21"/>
        </w:rPr>
        <w:t>,</w:t>
      </w:r>
      <w:r>
        <w:rPr>
          <w:spacing w:val="7"/>
          <w:sz w:val="21"/>
        </w:rPr>
        <w:t> </w:t>
      </w:r>
      <w:r>
        <w:rPr>
          <w:w w:val="100"/>
          <w:sz w:val="21"/>
        </w:rPr>
        <w:t>if</w:t>
      </w:r>
      <w:r>
        <w:rPr>
          <w:spacing w:val="9"/>
          <w:sz w:val="21"/>
        </w:rPr>
        <w:t> </w:t>
      </w:r>
      <w:r>
        <w:rPr>
          <w:spacing w:val="-2"/>
          <w:w w:val="40"/>
          <w:sz w:val="21"/>
        </w:rPr>
        <w:t>‗</w:t>
      </w:r>
      <w:r>
        <w:rPr>
          <w:w w:val="100"/>
          <w:sz w:val="21"/>
        </w:rPr>
        <w:t>V</w:t>
      </w:r>
      <w:r>
        <w:rPr>
          <w:spacing w:val="-1"/>
          <w:w w:val="100"/>
          <w:sz w:val="21"/>
        </w:rPr>
        <w:t>a</w:t>
      </w:r>
      <w:r>
        <w:rPr>
          <w:spacing w:val="-3"/>
          <w:w w:val="100"/>
          <w:sz w:val="21"/>
        </w:rPr>
        <w:t>z</w:t>
      </w:r>
      <w:r>
        <w:rPr>
          <w:spacing w:val="-1"/>
          <w:w w:val="100"/>
          <w:sz w:val="21"/>
        </w:rPr>
        <w:t>oo</w:t>
      </w:r>
      <w:r>
        <w:rPr>
          <w:w w:val="100"/>
          <w:sz w:val="21"/>
        </w:rPr>
        <w:t>‘</w:t>
      </w:r>
      <w:r>
        <w:rPr>
          <w:spacing w:val="10"/>
          <w:sz w:val="21"/>
        </w:rPr>
        <w:t> </w:t>
      </w:r>
      <w:r>
        <w:rPr>
          <w:spacing w:val="-1"/>
          <w:w w:val="100"/>
          <w:sz w:val="21"/>
        </w:rPr>
        <w:t>ha</w:t>
      </w:r>
      <w:r>
        <w:rPr>
          <w:w w:val="100"/>
          <w:sz w:val="21"/>
        </w:rPr>
        <w:t>s</w:t>
      </w:r>
      <w:r>
        <w:rPr>
          <w:spacing w:val="9"/>
          <w:sz w:val="21"/>
        </w:rPr>
        <w:t> </w:t>
      </w:r>
      <w:r>
        <w:rPr>
          <w:spacing w:val="-1"/>
          <w:w w:val="100"/>
          <w:sz w:val="21"/>
        </w:rPr>
        <w:t>no</w:t>
      </w:r>
      <w:r>
        <w:rPr>
          <w:w w:val="100"/>
          <w:sz w:val="21"/>
        </w:rPr>
        <w:t>t</w:t>
      </w:r>
      <w:r>
        <w:rPr>
          <w:spacing w:val="10"/>
          <w:sz w:val="21"/>
        </w:rPr>
        <w:t> </w:t>
      </w:r>
      <w:r>
        <w:rPr>
          <w:spacing w:val="-3"/>
          <w:w w:val="100"/>
          <w:sz w:val="21"/>
        </w:rPr>
        <w:t>b</w:t>
      </w:r>
      <w:r>
        <w:rPr>
          <w:spacing w:val="-1"/>
          <w:w w:val="100"/>
          <w:sz w:val="21"/>
        </w:rPr>
        <w:t>ee</w:t>
      </w:r>
      <w:r>
        <w:rPr>
          <w:w w:val="100"/>
          <w:sz w:val="21"/>
        </w:rPr>
        <w:t>n</w:t>
      </w:r>
      <w:r>
        <w:rPr>
          <w:spacing w:val="9"/>
          <w:sz w:val="21"/>
        </w:rPr>
        <w:t> </w:t>
      </w:r>
      <w:r>
        <w:rPr>
          <w:spacing w:val="-1"/>
          <w:w w:val="100"/>
          <w:sz w:val="21"/>
        </w:rPr>
        <w:t>pe</w:t>
      </w:r>
      <w:r>
        <w:rPr>
          <w:spacing w:val="-3"/>
          <w:w w:val="100"/>
          <w:sz w:val="21"/>
        </w:rPr>
        <w:t>r</w:t>
      </w:r>
      <w:r>
        <w:rPr>
          <w:spacing w:val="-2"/>
          <w:w w:val="100"/>
          <w:sz w:val="21"/>
        </w:rPr>
        <w:t>f</w:t>
      </w:r>
      <w:r>
        <w:rPr>
          <w:spacing w:val="-1"/>
          <w:w w:val="100"/>
          <w:sz w:val="21"/>
        </w:rPr>
        <w:t>or</w:t>
      </w:r>
      <w:r>
        <w:rPr>
          <w:spacing w:val="-2"/>
          <w:w w:val="100"/>
          <w:sz w:val="21"/>
        </w:rPr>
        <w:t>m</w:t>
      </w:r>
      <w:r>
        <w:rPr>
          <w:spacing w:val="-1"/>
          <w:w w:val="100"/>
          <w:sz w:val="21"/>
        </w:rPr>
        <w:t>e</w:t>
      </w:r>
      <w:r>
        <w:rPr>
          <w:w w:val="100"/>
          <w:sz w:val="21"/>
        </w:rPr>
        <w:t>d</w:t>
      </w:r>
      <w:r>
        <w:rPr>
          <w:spacing w:val="11"/>
          <w:sz w:val="21"/>
        </w:rPr>
        <w:t> </w:t>
      </w:r>
      <w:r>
        <w:rPr>
          <w:spacing w:val="-3"/>
          <w:w w:val="100"/>
          <w:sz w:val="21"/>
        </w:rPr>
        <w:t>a</w:t>
      </w:r>
      <w:r>
        <w:rPr>
          <w:spacing w:val="-1"/>
          <w:w w:val="100"/>
          <w:sz w:val="21"/>
        </w:rPr>
        <w:t>nd </w:t>
      </w:r>
      <w:r>
        <w:rPr>
          <w:spacing w:val="-2"/>
          <w:w w:val="100"/>
          <w:sz w:val="21"/>
        </w:rPr>
        <w:t>t</w:t>
      </w:r>
      <w:r>
        <w:rPr>
          <w:spacing w:val="-1"/>
          <w:w w:val="100"/>
          <w:sz w:val="21"/>
        </w:rPr>
        <w:t>her</w:t>
      </w:r>
      <w:r>
        <w:rPr>
          <w:w w:val="100"/>
          <w:sz w:val="21"/>
        </w:rPr>
        <w:t>e</w:t>
      </w:r>
      <w:r>
        <w:rPr>
          <w:spacing w:val="3"/>
          <w:sz w:val="21"/>
        </w:rPr>
        <w:t> </w:t>
      </w:r>
      <w:r>
        <w:rPr>
          <w:w w:val="100"/>
          <w:sz w:val="21"/>
        </w:rPr>
        <w:t>is</w:t>
      </w:r>
      <w:r>
        <w:rPr>
          <w:spacing w:val="3"/>
          <w:sz w:val="21"/>
        </w:rPr>
        <w:t> </w:t>
      </w:r>
      <w:r>
        <w:rPr>
          <w:spacing w:val="-3"/>
          <w:w w:val="100"/>
          <w:sz w:val="21"/>
        </w:rPr>
        <w:t>n</w:t>
      </w:r>
      <w:r>
        <w:rPr>
          <w:w w:val="100"/>
          <w:sz w:val="21"/>
        </w:rPr>
        <w:t>o</w:t>
      </w:r>
      <w:r>
        <w:rPr>
          <w:spacing w:val="3"/>
          <w:sz w:val="21"/>
        </w:rPr>
        <w:t> </w:t>
      </w:r>
      <w:r>
        <w:rPr>
          <w:spacing w:val="-1"/>
          <w:w w:val="100"/>
          <w:sz w:val="21"/>
        </w:rPr>
        <w:t>ar</w:t>
      </w:r>
      <w:r>
        <w:rPr>
          <w:spacing w:val="-2"/>
          <w:w w:val="100"/>
          <w:sz w:val="21"/>
        </w:rPr>
        <w:t>r</w:t>
      </w:r>
      <w:r>
        <w:rPr>
          <w:spacing w:val="-1"/>
          <w:w w:val="100"/>
          <w:sz w:val="21"/>
        </w:rPr>
        <w:t>a</w:t>
      </w:r>
      <w:r>
        <w:rPr>
          <w:spacing w:val="-3"/>
          <w:w w:val="100"/>
          <w:sz w:val="21"/>
        </w:rPr>
        <w:t>n</w:t>
      </w:r>
      <w:r>
        <w:rPr>
          <w:spacing w:val="-1"/>
          <w:w w:val="100"/>
          <w:sz w:val="21"/>
        </w:rPr>
        <w:t>g</w:t>
      </w:r>
      <w:r>
        <w:rPr>
          <w:spacing w:val="-3"/>
          <w:w w:val="100"/>
          <w:sz w:val="21"/>
        </w:rPr>
        <w:t>e</w:t>
      </w:r>
      <w:r>
        <w:rPr>
          <w:spacing w:val="1"/>
          <w:w w:val="100"/>
          <w:sz w:val="21"/>
        </w:rPr>
        <w:t>m</w:t>
      </w:r>
      <w:r>
        <w:rPr>
          <w:spacing w:val="-3"/>
          <w:w w:val="100"/>
          <w:sz w:val="21"/>
        </w:rPr>
        <w:t>e</w:t>
      </w:r>
      <w:r>
        <w:rPr>
          <w:spacing w:val="-1"/>
          <w:w w:val="100"/>
          <w:sz w:val="21"/>
        </w:rPr>
        <w:t>n</w:t>
      </w:r>
      <w:r>
        <w:rPr>
          <w:w w:val="100"/>
          <w:sz w:val="21"/>
        </w:rPr>
        <w:t>t</w:t>
      </w:r>
      <w:r>
        <w:rPr>
          <w:spacing w:val="2"/>
          <w:sz w:val="21"/>
        </w:rPr>
        <w:t> </w:t>
      </w:r>
      <w:r>
        <w:rPr>
          <w:spacing w:val="-2"/>
          <w:w w:val="100"/>
          <w:sz w:val="21"/>
        </w:rPr>
        <w:t>i</w:t>
      </w:r>
      <w:r>
        <w:rPr>
          <w:w w:val="100"/>
          <w:sz w:val="21"/>
        </w:rPr>
        <w:t>n</w:t>
      </w:r>
      <w:r>
        <w:rPr>
          <w:spacing w:val="3"/>
          <w:sz w:val="21"/>
        </w:rPr>
        <w:t> </w:t>
      </w:r>
      <w:r>
        <w:rPr>
          <w:spacing w:val="-2"/>
          <w:w w:val="100"/>
          <w:sz w:val="21"/>
        </w:rPr>
        <w:t>t</w:t>
      </w:r>
      <w:r>
        <w:rPr>
          <w:spacing w:val="-1"/>
          <w:w w:val="100"/>
          <w:sz w:val="21"/>
        </w:rPr>
        <w:t>h</w:t>
      </w:r>
      <w:r>
        <w:rPr>
          <w:w w:val="100"/>
          <w:sz w:val="21"/>
        </w:rPr>
        <w:t>e</w:t>
      </w:r>
      <w:r>
        <w:rPr>
          <w:spacing w:val="4"/>
          <w:sz w:val="21"/>
        </w:rPr>
        <w:t> </w:t>
      </w:r>
      <w:r>
        <w:rPr>
          <w:spacing w:val="-1"/>
          <w:w w:val="100"/>
          <w:sz w:val="21"/>
        </w:rPr>
        <w:t>mos</w:t>
      </w:r>
      <w:r>
        <w:rPr>
          <w:spacing w:val="-3"/>
          <w:w w:val="100"/>
          <w:sz w:val="21"/>
        </w:rPr>
        <w:t>q</w:t>
      </w:r>
      <w:r>
        <w:rPr>
          <w:spacing w:val="-1"/>
          <w:w w:val="100"/>
          <w:sz w:val="21"/>
        </w:rPr>
        <w:t>u</w:t>
      </w:r>
      <w:r>
        <w:rPr>
          <w:w w:val="100"/>
          <w:sz w:val="21"/>
        </w:rPr>
        <w:t>e</w:t>
      </w:r>
      <w:r>
        <w:rPr>
          <w:spacing w:val="1"/>
          <w:sz w:val="21"/>
        </w:rPr>
        <w:t> </w:t>
      </w:r>
      <w:r>
        <w:rPr>
          <w:spacing w:val="1"/>
          <w:w w:val="100"/>
          <w:sz w:val="21"/>
        </w:rPr>
        <w:t>f</w:t>
      </w:r>
      <w:r>
        <w:rPr>
          <w:spacing w:val="-1"/>
          <w:w w:val="100"/>
          <w:sz w:val="21"/>
        </w:rPr>
        <w:t>o</w:t>
      </w:r>
      <w:r>
        <w:rPr>
          <w:w w:val="100"/>
          <w:sz w:val="21"/>
        </w:rPr>
        <w:t>r</w:t>
      </w:r>
      <w:r>
        <w:rPr>
          <w:spacing w:val="3"/>
          <w:sz w:val="21"/>
        </w:rPr>
        <w:t> </w:t>
      </w:r>
      <w:r>
        <w:rPr>
          <w:spacing w:val="-1"/>
          <w:w w:val="100"/>
          <w:sz w:val="21"/>
        </w:rPr>
        <w:t>pe</w:t>
      </w:r>
      <w:r>
        <w:rPr>
          <w:spacing w:val="-3"/>
          <w:w w:val="100"/>
          <w:sz w:val="21"/>
        </w:rPr>
        <w:t>r</w:t>
      </w:r>
      <w:r>
        <w:rPr>
          <w:spacing w:val="1"/>
          <w:w w:val="100"/>
          <w:sz w:val="21"/>
        </w:rPr>
        <w:t>f</w:t>
      </w:r>
      <w:r>
        <w:rPr>
          <w:spacing w:val="-1"/>
          <w:w w:val="100"/>
          <w:sz w:val="21"/>
        </w:rPr>
        <w:t>o</w:t>
      </w:r>
      <w:r>
        <w:rPr>
          <w:spacing w:val="-3"/>
          <w:w w:val="100"/>
          <w:sz w:val="21"/>
        </w:rPr>
        <w:t>r</w:t>
      </w:r>
      <w:r>
        <w:rPr>
          <w:spacing w:val="-1"/>
          <w:w w:val="100"/>
          <w:sz w:val="21"/>
        </w:rPr>
        <w:t>m</w:t>
      </w:r>
      <w:r>
        <w:rPr>
          <w:spacing w:val="-2"/>
          <w:w w:val="100"/>
          <w:sz w:val="21"/>
        </w:rPr>
        <w:t>i</w:t>
      </w:r>
      <w:r>
        <w:rPr>
          <w:spacing w:val="-1"/>
          <w:w w:val="100"/>
          <w:sz w:val="21"/>
        </w:rPr>
        <w:t>n</w:t>
      </w:r>
      <w:r>
        <w:rPr>
          <w:w w:val="100"/>
          <w:sz w:val="21"/>
        </w:rPr>
        <w:t>g</w:t>
      </w:r>
      <w:r>
        <w:rPr>
          <w:spacing w:val="4"/>
          <w:sz w:val="21"/>
        </w:rPr>
        <w:t> </w:t>
      </w:r>
      <w:r>
        <w:rPr>
          <w:spacing w:val="-2"/>
          <w:w w:val="40"/>
          <w:sz w:val="21"/>
        </w:rPr>
        <w:t>‗</w:t>
      </w:r>
      <w:r>
        <w:rPr>
          <w:w w:val="100"/>
          <w:sz w:val="21"/>
        </w:rPr>
        <w:t>V</w:t>
      </w:r>
      <w:r>
        <w:rPr>
          <w:spacing w:val="-1"/>
          <w:w w:val="100"/>
          <w:sz w:val="21"/>
        </w:rPr>
        <w:t>a</w:t>
      </w:r>
      <w:r>
        <w:rPr>
          <w:spacing w:val="-3"/>
          <w:w w:val="100"/>
          <w:sz w:val="21"/>
        </w:rPr>
        <w:t>z</w:t>
      </w:r>
      <w:r>
        <w:rPr>
          <w:spacing w:val="-1"/>
          <w:w w:val="100"/>
          <w:sz w:val="21"/>
        </w:rPr>
        <w:t>oo‘ an</w:t>
      </w:r>
      <w:r>
        <w:rPr>
          <w:w w:val="100"/>
          <w:sz w:val="21"/>
        </w:rPr>
        <w:t>d</w:t>
      </w:r>
      <w:r>
        <w:rPr>
          <w:spacing w:val="2"/>
          <w:sz w:val="21"/>
        </w:rPr>
        <w:t> </w:t>
      </w:r>
      <w:r>
        <w:rPr>
          <w:spacing w:val="-4"/>
          <w:w w:val="100"/>
          <w:sz w:val="21"/>
        </w:rPr>
        <w:t>w</w:t>
      </w:r>
      <w:r>
        <w:rPr>
          <w:spacing w:val="-1"/>
          <w:w w:val="100"/>
          <w:sz w:val="21"/>
        </w:rPr>
        <w:t>ate</w:t>
      </w:r>
      <w:r>
        <w:rPr>
          <w:w w:val="100"/>
          <w:sz w:val="21"/>
        </w:rPr>
        <w:t>r</w:t>
      </w:r>
      <w:r>
        <w:rPr>
          <w:spacing w:val="-2"/>
          <w:sz w:val="21"/>
        </w:rPr>
        <w:t> </w:t>
      </w:r>
      <w:r>
        <w:rPr>
          <w:w w:val="100"/>
          <w:sz w:val="21"/>
        </w:rPr>
        <w:t>is</w:t>
      </w:r>
      <w:r>
        <w:rPr>
          <w:spacing w:val="-1"/>
          <w:sz w:val="21"/>
        </w:rPr>
        <w:t> </w:t>
      </w:r>
      <w:r>
        <w:rPr>
          <w:spacing w:val="-1"/>
          <w:w w:val="100"/>
          <w:sz w:val="21"/>
        </w:rPr>
        <w:t>no</w:t>
      </w:r>
      <w:r>
        <w:rPr>
          <w:w w:val="100"/>
          <w:sz w:val="21"/>
        </w:rPr>
        <w:t>t</w:t>
      </w:r>
      <w:r>
        <w:rPr>
          <w:spacing w:val="-2"/>
          <w:sz w:val="21"/>
        </w:rPr>
        <w:t> </w:t>
      </w:r>
      <w:r>
        <w:rPr>
          <w:w w:val="40"/>
          <w:sz w:val="21"/>
        </w:rPr>
        <w:t>‗</w:t>
      </w:r>
      <w:r>
        <w:rPr>
          <w:spacing w:val="-2"/>
          <w:w w:val="100"/>
          <w:sz w:val="21"/>
        </w:rPr>
        <w:t>D</w:t>
      </w:r>
      <w:r>
        <w:rPr>
          <w:spacing w:val="-1"/>
          <w:w w:val="100"/>
          <w:sz w:val="21"/>
        </w:rPr>
        <w:t>ast</w:t>
      </w:r>
      <w:r>
        <w:rPr>
          <w:spacing w:val="-3"/>
          <w:w w:val="100"/>
          <w:sz w:val="21"/>
        </w:rPr>
        <w:t>y</w:t>
      </w:r>
      <w:r>
        <w:rPr>
          <w:spacing w:val="-1"/>
          <w:w w:val="100"/>
          <w:sz w:val="21"/>
        </w:rPr>
        <w:t>ab</w:t>
      </w:r>
      <w:r>
        <w:rPr>
          <w:w w:val="100"/>
          <w:sz w:val="21"/>
        </w:rPr>
        <w:t>‘</w:t>
      </w:r>
      <w:r>
        <w:rPr>
          <w:sz w:val="21"/>
        </w:rPr>
        <w:t> </w:t>
      </w:r>
      <w:r>
        <w:rPr>
          <w:spacing w:val="-1"/>
          <w:w w:val="100"/>
          <w:sz w:val="21"/>
        </w:rPr>
        <w:t>(a</w:t>
      </w:r>
      <w:r>
        <w:rPr>
          <w:spacing w:val="-3"/>
          <w:w w:val="100"/>
          <w:sz w:val="21"/>
        </w:rPr>
        <w:t>v</w:t>
      </w:r>
      <w:r>
        <w:rPr>
          <w:spacing w:val="-1"/>
          <w:w w:val="100"/>
          <w:sz w:val="21"/>
        </w:rPr>
        <w:t>a</w:t>
      </w:r>
      <w:r>
        <w:rPr>
          <w:spacing w:val="1"/>
          <w:w w:val="100"/>
          <w:sz w:val="21"/>
        </w:rPr>
        <w:t>i</w:t>
      </w:r>
      <w:r>
        <w:rPr>
          <w:spacing w:val="-2"/>
          <w:w w:val="100"/>
          <w:sz w:val="21"/>
        </w:rPr>
        <w:t>l</w:t>
      </w:r>
      <w:r>
        <w:rPr>
          <w:spacing w:val="-1"/>
          <w:w w:val="100"/>
          <w:sz w:val="21"/>
        </w:rPr>
        <w:t>a</w:t>
      </w:r>
      <w:r>
        <w:rPr>
          <w:spacing w:val="-3"/>
          <w:w w:val="100"/>
          <w:sz w:val="21"/>
        </w:rPr>
        <w:t>b</w:t>
      </w:r>
      <w:r>
        <w:rPr>
          <w:w w:val="100"/>
          <w:sz w:val="21"/>
        </w:rPr>
        <w:t>l</w:t>
      </w:r>
      <w:r>
        <w:rPr>
          <w:spacing w:val="-1"/>
          <w:w w:val="100"/>
          <w:sz w:val="21"/>
        </w:rPr>
        <w:t>e</w:t>
      </w:r>
      <w:r>
        <w:rPr>
          <w:w w:val="100"/>
          <w:sz w:val="21"/>
        </w:rPr>
        <w:t>)</w:t>
      </w:r>
      <w:r>
        <w:rPr>
          <w:spacing w:val="-2"/>
          <w:sz w:val="21"/>
        </w:rPr>
        <w:t> </w:t>
      </w:r>
      <w:r>
        <w:rPr>
          <w:spacing w:val="-1"/>
          <w:w w:val="100"/>
          <w:sz w:val="21"/>
        </w:rPr>
        <w:t>e</w:t>
      </w:r>
      <w:r>
        <w:rPr>
          <w:spacing w:val="-3"/>
          <w:w w:val="100"/>
          <w:sz w:val="21"/>
        </w:rPr>
        <w:t>v</w:t>
      </w:r>
      <w:r>
        <w:rPr>
          <w:spacing w:val="-1"/>
          <w:w w:val="100"/>
          <w:sz w:val="21"/>
        </w:rPr>
        <w:t>e</w:t>
      </w:r>
      <w:r>
        <w:rPr>
          <w:w w:val="100"/>
          <w:sz w:val="21"/>
        </w:rPr>
        <w:t>n</w:t>
      </w:r>
      <w:r>
        <w:rPr>
          <w:spacing w:val="1"/>
          <w:sz w:val="21"/>
        </w:rPr>
        <w:t> </w:t>
      </w:r>
      <w:r>
        <w:rPr>
          <w:spacing w:val="-1"/>
          <w:w w:val="100"/>
          <w:sz w:val="21"/>
        </w:rPr>
        <w:t>a</w:t>
      </w:r>
      <w:r>
        <w:rPr>
          <w:w w:val="100"/>
          <w:sz w:val="21"/>
        </w:rPr>
        <w:t>t</w:t>
      </w:r>
      <w:r>
        <w:rPr>
          <w:spacing w:val="-2"/>
          <w:sz w:val="21"/>
        </w:rPr>
        <w:t> </w:t>
      </w:r>
      <w:r>
        <w:rPr>
          <w:spacing w:val="-1"/>
          <w:w w:val="100"/>
          <w:sz w:val="21"/>
        </w:rPr>
        <w:t>d</w:t>
      </w:r>
      <w:r>
        <w:rPr>
          <w:spacing w:val="-2"/>
          <w:w w:val="100"/>
          <w:sz w:val="21"/>
        </w:rPr>
        <w:t>i</w:t>
      </w:r>
      <w:r>
        <w:rPr>
          <w:w w:val="100"/>
          <w:sz w:val="21"/>
        </w:rPr>
        <w:t>s</w:t>
      </w:r>
      <w:r>
        <w:rPr>
          <w:spacing w:val="-2"/>
          <w:w w:val="100"/>
          <w:sz w:val="21"/>
        </w:rPr>
        <w:t>t</w:t>
      </w:r>
      <w:r>
        <w:rPr>
          <w:spacing w:val="-1"/>
          <w:w w:val="100"/>
          <w:sz w:val="21"/>
        </w:rPr>
        <w:t>an</w:t>
      </w:r>
      <w:r>
        <w:rPr>
          <w:w w:val="100"/>
          <w:sz w:val="21"/>
        </w:rPr>
        <w:t>t</w:t>
      </w:r>
      <w:r>
        <w:rPr>
          <w:spacing w:val="-2"/>
          <w:sz w:val="21"/>
        </w:rPr>
        <w:t> </w:t>
      </w:r>
      <w:r>
        <w:rPr>
          <w:spacing w:val="-1"/>
          <w:w w:val="100"/>
          <w:sz w:val="21"/>
        </w:rPr>
        <w:t>p</w:t>
      </w:r>
      <w:r>
        <w:rPr>
          <w:spacing w:val="-2"/>
          <w:w w:val="100"/>
          <w:sz w:val="21"/>
        </w:rPr>
        <w:t>l</w:t>
      </w:r>
      <w:r>
        <w:rPr>
          <w:spacing w:val="-1"/>
          <w:w w:val="100"/>
          <w:sz w:val="21"/>
        </w:rPr>
        <w:t>ac</w:t>
      </w:r>
      <w:r>
        <w:rPr>
          <w:spacing w:val="-3"/>
          <w:w w:val="100"/>
          <w:sz w:val="21"/>
        </w:rPr>
        <w:t>e</w:t>
      </w:r>
      <w:r>
        <w:rPr>
          <w:w w:val="100"/>
          <w:sz w:val="21"/>
        </w:rPr>
        <w:t>s</w:t>
      </w:r>
      <w:r>
        <w:rPr>
          <w:spacing w:val="1"/>
          <w:sz w:val="21"/>
        </w:rPr>
        <w:t> </w:t>
      </w:r>
      <w:r>
        <w:rPr>
          <w:w w:val="100"/>
          <w:sz w:val="21"/>
        </w:rPr>
        <w:t>.</w:t>
      </w:r>
      <w:r>
        <w:rPr>
          <w:sz w:val="21"/>
        </w:rPr>
        <w:t> </w:t>
      </w:r>
      <w:r>
        <w:rPr>
          <w:w w:val="100"/>
          <w:sz w:val="21"/>
        </w:rPr>
        <w:t>.</w:t>
      </w:r>
    </w:p>
    <w:p>
      <w:pPr>
        <w:spacing w:line="276" w:lineRule="auto" w:before="1"/>
        <w:ind w:left="1940" w:right="2260" w:firstLine="0"/>
        <w:jc w:val="both"/>
        <w:rPr>
          <w:sz w:val="21"/>
        </w:rPr>
      </w:pPr>
      <w:r>
        <w:rPr>
          <w:sz w:val="21"/>
        </w:rPr>
        <w:t>. I have also seen such mosques, where there was no </w:t>
      </w:r>
      <w:r>
        <w:rPr>
          <w:w w:val="100"/>
          <w:sz w:val="21"/>
        </w:rPr>
        <w:t>arrangement</w:t>
      </w:r>
      <w:r>
        <w:rPr>
          <w:sz w:val="21"/>
        </w:rPr>
        <w:t> </w:t>
      </w:r>
      <w:r>
        <w:rPr>
          <w:w w:val="100"/>
          <w:sz w:val="21"/>
        </w:rPr>
        <w:t>for</w:t>
      </w:r>
      <w:r>
        <w:rPr>
          <w:sz w:val="21"/>
        </w:rPr>
        <w:t> </w:t>
      </w:r>
      <w:r>
        <w:rPr>
          <w:w w:val="100"/>
          <w:sz w:val="21"/>
        </w:rPr>
        <w:t>performing</w:t>
      </w:r>
      <w:r>
        <w:rPr>
          <w:sz w:val="21"/>
        </w:rPr>
        <w:t> </w:t>
      </w:r>
      <w:r>
        <w:rPr>
          <w:w w:val="40"/>
          <w:sz w:val="21"/>
        </w:rPr>
        <w:t>‗</w:t>
      </w:r>
      <w:r>
        <w:rPr>
          <w:w w:val="100"/>
          <w:sz w:val="21"/>
        </w:rPr>
        <w:t>Vazoo‘.</w:t>
      </w:r>
      <w:r>
        <w:rPr>
          <w:w w:val="81"/>
          <w:sz w:val="21"/>
        </w:rPr>
        <w:t>‖</w:t>
      </w:r>
    </w:p>
    <w:p>
      <w:pPr>
        <w:pStyle w:val="BodyText"/>
        <w:rPr>
          <w:sz w:val="24"/>
        </w:rPr>
      </w:pPr>
    </w:p>
    <w:p>
      <w:pPr>
        <w:pStyle w:val="BodyText"/>
        <w:spacing w:before="209"/>
        <w:ind w:left="500"/>
      </w:pPr>
      <w:r>
        <w:rPr/>
        <w:t>On human and other images, the witness stated:</w:t>
      </w:r>
    </w:p>
    <w:p>
      <w:pPr>
        <w:pStyle w:val="BodyText"/>
        <w:spacing w:before="9"/>
        <w:rPr>
          <w:sz w:val="24"/>
        </w:rPr>
      </w:pPr>
    </w:p>
    <w:p>
      <w:pPr>
        <w:spacing w:line="276" w:lineRule="auto" w:before="0"/>
        <w:ind w:left="1940" w:right="2261"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w:t>
      </w:r>
      <w:r>
        <w:rPr>
          <w:w w:val="100"/>
          <w:sz w:val="21"/>
        </w:rPr>
        <w:t>n</w:t>
      </w:r>
      <w:r>
        <w:rPr>
          <w:sz w:val="21"/>
        </w:rPr>
        <w:t> </w:t>
      </w:r>
      <w:r>
        <w:rPr>
          <w:spacing w:val="-7"/>
          <w:sz w:val="21"/>
        </w:rPr>
        <w:t> </w:t>
      </w:r>
      <w:r>
        <w:rPr>
          <w:spacing w:val="-3"/>
          <w:w w:val="100"/>
          <w:sz w:val="21"/>
        </w:rPr>
        <w:t>a</w:t>
      </w:r>
      <w:r>
        <w:rPr>
          <w:spacing w:val="-1"/>
          <w:w w:val="100"/>
          <w:sz w:val="21"/>
        </w:rPr>
        <w:t>n</w:t>
      </w:r>
      <w:r>
        <w:rPr>
          <w:w w:val="100"/>
          <w:sz w:val="21"/>
        </w:rPr>
        <w:t>y</w:t>
      </w:r>
      <w:r>
        <w:rPr>
          <w:sz w:val="21"/>
        </w:rPr>
        <w:t> </w:t>
      </w:r>
      <w:r>
        <w:rPr>
          <w:spacing w:val="-9"/>
          <w:sz w:val="21"/>
        </w:rPr>
        <w:t> </w:t>
      </w:r>
      <w:r>
        <w:rPr>
          <w:spacing w:val="-1"/>
          <w:w w:val="100"/>
          <w:sz w:val="21"/>
        </w:rPr>
        <w:t>Mus</w:t>
      </w:r>
      <w:r>
        <w:rPr>
          <w:spacing w:val="-2"/>
          <w:w w:val="100"/>
          <w:sz w:val="21"/>
        </w:rPr>
        <w:t>li</w:t>
      </w:r>
      <w:r>
        <w:rPr>
          <w:w w:val="100"/>
          <w:sz w:val="21"/>
        </w:rPr>
        <w:t>m</w:t>
      </w:r>
      <w:r>
        <w:rPr>
          <w:sz w:val="21"/>
        </w:rPr>
        <w:t> </w:t>
      </w:r>
      <w:r>
        <w:rPr>
          <w:spacing w:val="-5"/>
          <w:sz w:val="21"/>
        </w:rPr>
        <w:t> </w:t>
      </w:r>
      <w:r>
        <w:rPr>
          <w:spacing w:val="-2"/>
          <w:w w:val="100"/>
          <w:sz w:val="21"/>
        </w:rPr>
        <w:t>w</w:t>
      </w:r>
      <w:r>
        <w:rPr>
          <w:spacing w:val="-1"/>
          <w:w w:val="100"/>
          <w:sz w:val="21"/>
        </w:rPr>
        <w:t>o</w:t>
      </w:r>
      <w:r>
        <w:rPr>
          <w:spacing w:val="-3"/>
          <w:w w:val="100"/>
          <w:sz w:val="21"/>
        </w:rPr>
        <w:t>u</w:t>
      </w:r>
      <w:r>
        <w:rPr>
          <w:spacing w:val="-2"/>
          <w:w w:val="100"/>
          <w:sz w:val="21"/>
        </w:rPr>
        <w:t>l</w:t>
      </w:r>
      <w:r>
        <w:rPr>
          <w:w w:val="100"/>
          <w:sz w:val="21"/>
        </w:rPr>
        <w:t>d</w:t>
      </w:r>
      <w:r>
        <w:rPr>
          <w:sz w:val="21"/>
        </w:rPr>
        <w:t> </w:t>
      </w:r>
      <w:r>
        <w:rPr>
          <w:spacing w:val="-7"/>
          <w:sz w:val="21"/>
        </w:rPr>
        <w:t> </w:t>
      </w:r>
      <w:r>
        <w:rPr>
          <w:spacing w:val="-1"/>
          <w:w w:val="100"/>
          <w:sz w:val="21"/>
        </w:rPr>
        <w:t>bui</w:t>
      </w:r>
      <w:r>
        <w:rPr>
          <w:w w:val="100"/>
          <w:sz w:val="21"/>
        </w:rPr>
        <w:t>ld</w:t>
      </w:r>
      <w:r>
        <w:rPr>
          <w:sz w:val="21"/>
        </w:rPr>
        <w:t> </w:t>
      </w:r>
      <w:r>
        <w:rPr>
          <w:spacing w:val="-7"/>
          <w:sz w:val="21"/>
        </w:rPr>
        <w:t> </w:t>
      </w:r>
      <w:r>
        <w:rPr>
          <w:w w:val="100"/>
          <w:sz w:val="21"/>
        </w:rPr>
        <w:t>a</w:t>
      </w:r>
      <w:r>
        <w:rPr>
          <w:sz w:val="21"/>
        </w:rPr>
        <w:t> </w:t>
      </w:r>
      <w:r>
        <w:rPr>
          <w:spacing w:val="-9"/>
          <w:sz w:val="21"/>
        </w:rPr>
        <w:t> </w:t>
      </w:r>
      <w:r>
        <w:rPr>
          <w:spacing w:val="-1"/>
          <w:w w:val="100"/>
          <w:sz w:val="21"/>
        </w:rPr>
        <w:t>mos</w:t>
      </w:r>
      <w:r>
        <w:rPr>
          <w:spacing w:val="-3"/>
          <w:w w:val="100"/>
          <w:sz w:val="21"/>
        </w:rPr>
        <w:t>q</w:t>
      </w:r>
      <w:r>
        <w:rPr>
          <w:spacing w:val="-1"/>
          <w:w w:val="100"/>
          <w:sz w:val="21"/>
        </w:rPr>
        <w:t>u</w:t>
      </w:r>
      <w:r>
        <w:rPr>
          <w:w w:val="100"/>
          <w:sz w:val="21"/>
        </w:rPr>
        <w:t>e</w:t>
      </w:r>
      <w:r>
        <w:rPr>
          <w:sz w:val="21"/>
        </w:rPr>
        <w:t> </w:t>
      </w:r>
      <w:r>
        <w:rPr>
          <w:spacing w:val="-7"/>
          <w:sz w:val="21"/>
        </w:rPr>
        <w:t> </w:t>
      </w:r>
      <w:r>
        <w:rPr>
          <w:spacing w:val="-3"/>
          <w:w w:val="100"/>
          <w:sz w:val="21"/>
        </w:rPr>
        <w:t>a</w:t>
      </w:r>
      <w:r>
        <w:rPr>
          <w:spacing w:val="1"/>
          <w:w w:val="100"/>
          <w:sz w:val="21"/>
        </w:rPr>
        <w:t>f</w:t>
      </w:r>
      <w:r>
        <w:rPr>
          <w:spacing w:val="-1"/>
          <w:w w:val="100"/>
          <w:sz w:val="21"/>
        </w:rPr>
        <w:t>re</w:t>
      </w:r>
      <w:r>
        <w:rPr>
          <w:spacing w:val="-3"/>
          <w:w w:val="100"/>
          <w:sz w:val="21"/>
        </w:rPr>
        <w:t>sh</w:t>
      </w:r>
      <w:r>
        <w:rPr>
          <w:w w:val="100"/>
          <w:sz w:val="21"/>
        </w:rPr>
        <w:t>,</w:t>
      </w:r>
      <w:r>
        <w:rPr>
          <w:sz w:val="21"/>
        </w:rPr>
        <w:t> </w:t>
      </w:r>
      <w:r>
        <w:rPr>
          <w:spacing w:val="-8"/>
          <w:sz w:val="21"/>
        </w:rPr>
        <w:t> </w:t>
      </w:r>
      <w:r>
        <w:rPr>
          <w:spacing w:val="-2"/>
          <w:w w:val="100"/>
          <w:sz w:val="21"/>
        </w:rPr>
        <w:t>t</w:t>
      </w:r>
      <w:r>
        <w:rPr>
          <w:spacing w:val="-1"/>
          <w:w w:val="100"/>
          <w:sz w:val="21"/>
        </w:rPr>
        <w:t>he</w:t>
      </w:r>
      <w:r>
        <w:rPr>
          <w:w w:val="100"/>
          <w:sz w:val="21"/>
        </w:rPr>
        <w:t>n</w:t>
      </w:r>
      <w:r>
        <w:rPr>
          <w:sz w:val="21"/>
        </w:rPr>
        <w:t> </w:t>
      </w:r>
      <w:r>
        <w:rPr>
          <w:spacing w:val="-7"/>
          <w:sz w:val="21"/>
        </w:rPr>
        <w:t> </w:t>
      </w:r>
      <w:r>
        <w:rPr>
          <w:spacing w:val="-1"/>
          <w:w w:val="100"/>
          <w:sz w:val="21"/>
        </w:rPr>
        <w:t>he </w:t>
      </w:r>
      <w:r>
        <w:rPr>
          <w:sz w:val="21"/>
        </w:rPr>
        <w:t>would not get the picture of any living being be it animal-bird or male-female or God-Goddess, depicted inside it and if he does so, he would be an offender. However, it would still be </w:t>
      </w:r>
      <w:r>
        <w:rPr>
          <w:w w:val="100"/>
          <w:sz w:val="21"/>
        </w:rPr>
        <w:t>ca</w:t>
      </w:r>
      <w:r>
        <w:rPr>
          <w:spacing w:val="-2"/>
          <w:w w:val="100"/>
          <w:sz w:val="21"/>
        </w:rPr>
        <w:t>l</w:t>
      </w:r>
      <w:r>
        <w:rPr>
          <w:w w:val="100"/>
          <w:sz w:val="21"/>
        </w:rPr>
        <w:t>l</w:t>
      </w:r>
      <w:r>
        <w:rPr>
          <w:spacing w:val="-1"/>
          <w:w w:val="100"/>
          <w:sz w:val="21"/>
        </w:rPr>
        <w:t>e</w:t>
      </w:r>
      <w:r>
        <w:rPr>
          <w:w w:val="100"/>
          <w:sz w:val="21"/>
        </w:rPr>
        <w:t>d</w:t>
      </w:r>
      <w:r>
        <w:rPr>
          <w:spacing w:val="-1"/>
          <w:sz w:val="21"/>
        </w:rPr>
        <w:t> </w:t>
      </w:r>
      <w:r>
        <w:rPr>
          <w:w w:val="100"/>
          <w:sz w:val="21"/>
        </w:rPr>
        <w:t>a</w:t>
      </w:r>
      <w:r>
        <w:rPr>
          <w:spacing w:val="-4"/>
          <w:sz w:val="21"/>
        </w:rPr>
        <w:t> </w:t>
      </w:r>
      <w:r>
        <w:rPr>
          <w:spacing w:val="-1"/>
          <w:w w:val="100"/>
          <w:sz w:val="21"/>
        </w:rPr>
        <w:t>mosq</w:t>
      </w:r>
      <w:r>
        <w:rPr>
          <w:spacing w:val="-2"/>
          <w:w w:val="100"/>
          <w:sz w:val="21"/>
        </w:rPr>
        <w:t>u</w:t>
      </w:r>
      <w:r>
        <w:rPr>
          <w:w w:val="100"/>
          <w:sz w:val="21"/>
        </w:rPr>
        <w:t>e</w:t>
      </w:r>
      <w:r>
        <w:rPr>
          <w:spacing w:val="-1"/>
          <w:sz w:val="21"/>
        </w:rPr>
        <w:t> </w:t>
      </w:r>
      <w:r>
        <w:rPr>
          <w:spacing w:val="-2"/>
          <w:w w:val="100"/>
          <w:sz w:val="21"/>
        </w:rPr>
        <w:t>i</w:t>
      </w:r>
      <w:r>
        <w:rPr>
          <w:w w:val="100"/>
          <w:sz w:val="21"/>
        </w:rPr>
        <w:t>f</w:t>
      </w:r>
      <w:r>
        <w:rPr>
          <w:sz w:val="21"/>
        </w:rPr>
        <w:t> </w:t>
      </w:r>
      <w:r>
        <w:rPr>
          <w:spacing w:val="-1"/>
          <w:w w:val="100"/>
          <w:sz w:val="21"/>
        </w:rPr>
        <w:t>othe</w:t>
      </w:r>
      <w:r>
        <w:rPr>
          <w:w w:val="100"/>
          <w:sz w:val="21"/>
        </w:rPr>
        <w:t>r</w:t>
      </w:r>
      <w:r>
        <w:rPr>
          <w:spacing w:val="-2"/>
          <w:sz w:val="21"/>
        </w:rPr>
        <w:t> </w:t>
      </w:r>
      <w:r>
        <w:rPr>
          <w:spacing w:val="-2"/>
          <w:w w:val="40"/>
          <w:sz w:val="21"/>
        </w:rPr>
        <w:t>‗</w:t>
      </w:r>
      <w:r>
        <w:rPr>
          <w:w w:val="100"/>
          <w:sz w:val="21"/>
        </w:rPr>
        <w:t>S</w:t>
      </w:r>
      <w:r>
        <w:rPr>
          <w:spacing w:val="-1"/>
          <w:w w:val="100"/>
          <w:sz w:val="21"/>
        </w:rPr>
        <w:t>hara</w:t>
      </w:r>
      <w:r>
        <w:rPr>
          <w:spacing w:val="-3"/>
          <w:w w:val="100"/>
          <w:sz w:val="21"/>
        </w:rPr>
        <w:t>y</w:t>
      </w:r>
      <w:r>
        <w:rPr>
          <w:spacing w:val="-1"/>
          <w:w w:val="100"/>
          <w:sz w:val="21"/>
        </w:rPr>
        <w:t>at</w:t>
      </w:r>
      <w:r>
        <w:rPr>
          <w:w w:val="100"/>
          <w:sz w:val="21"/>
        </w:rPr>
        <w:t>‘</w:t>
      </w:r>
      <w:r>
        <w:rPr>
          <w:sz w:val="21"/>
        </w:rPr>
        <w:t> </w:t>
      </w:r>
      <w:r>
        <w:rPr>
          <w:spacing w:val="-1"/>
          <w:w w:val="100"/>
          <w:sz w:val="21"/>
        </w:rPr>
        <w:t>a</w:t>
      </w:r>
      <w:r>
        <w:rPr>
          <w:spacing w:val="-3"/>
          <w:w w:val="100"/>
          <w:sz w:val="21"/>
        </w:rPr>
        <w:t>r</w:t>
      </w:r>
      <w:r>
        <w:rPr>
          <w:w w:val="100"/>
          <w:sz w:val="21"/>
        </w:rPr>
        <w:t>e</w:t>
      </w:r>
      <w:r>
        <w:rPr>
          <w:spacing w:val="-1"/>
          <w:sz w:val="21"/>
        </w:rPr>
        <w:t> </w:t>
      </w:r>
      <w:r>
        <w:rPr>
          <w:spacing w:val="-1"/>
          <w:w w:val="100"/>
          <w:sz w:val="21"/>
        </w:rPr>
        <w:t>obser</w:t>
      </w:r>
      <w:r>
        <w:rPr>
          <w:spacing w:val="-3"/>
          <w:w w:val="100"/>
          <w:sz w:val="21"/>
        </w:rPr>
        <w:t>v</w:t>
      </w:r>
      <w:r>
        <w:rPr>
          <w:spacing w:val="-1"/>
          <w:w w:val="100"/>
          <w:sz w:val="21"/>
        </w:rPr>
        <w:t>ed.</w:t>
      </w:r>
      <w:r>
        <w:rPr>
          <w:w w:val="81"/>
          <w:sz w:val="21"/>
        </w:rPr>
        <w:t>‖</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47"/>
        <w:jc w:val="both"/>
      </w:pPr>
      <w:r>
        <w:rPr/>
        <w:t>On whether a mosque can be constructed on the demolition of a building, the witness stated:</w:t>
      </w:r>
    </w:p>
    <w:p>
      <w:pPr>
        <w:spacing w:line="276" w:lineRule="auto" w:before="0"/>
        <w:ind w:left="1940" w:right="2260" w:firstLine="0"/>
        <w:jc w:val="both"/>
        <w:rPr>
          <w:sz w:val="21"/>
        </w:rPr>
      </w:pPr>
      <w:r>
        <w:rPr>
          <w:w w:val="33"/>
          <w:sz w:val="21"/>
        </w:rPr>
        <w:t>―</w:t>
      </w:r>
      <w:r>
        <w:rPr>
          <w:w w:val="100"/>
          <w:sz w:val="21"/>
        </w:rPr>
        <w:t>It</w:t>
      </w:r>
      <w:r>
        <w:rPr>
          <w:sz w:val="21"/>
        </w:rPr>
        <w:t> </w:t>
      </w:r>
      <w:r>
        <w:rPr>
          <w:w w:val="100"/>
          <w:sz w:val="21"/>
        </w:rPr>
        <w:t>is</w:t>
      </w:r>
      <w:r>
        <w:rPr>
          <w:sz w:val="21"/>
        </w:rPr>
        <w:t> </w:t>
      </w:r>
      <w:r>
        <w:rPr>
          <w:w w:val="100"/>
          <w:sz w:val="21"/>
        </w:rPr>
        <w:t>true</w:t>
      </w:r>
      <w:r>
        <w:rPr>
          <w:sz w:val="21"/>
        </w:rPr>
        <w:t> </w:t>
      </w:r>
      <w:r>
        <w:rPr>
          <w:w w:val="100"/>
          <w:sz w:val="21"/>
        </w:rPr>
        <w:t>that</w:t>
      </w:r>
      <w:r>
        <w:rPr>
          <w:sz w:val="21"/>
        </w:rPr>
        <w:t> </w:t>
      </w:r>
      <w:r>
        <w:rPr>
          <w:w w:val="100"/>
          <w:sz w:val="21"/>
        </w:rPr>
        <w:t>according</w:t>
      </w:r>
      <w:r>
        <w:rPr>
          <w:sz w:val="21"/>
        </w:rPr>
        <w:t> </w:t>
      </w:r>
      <w:r>
        <w:rPr>
          <w:w w:val="100"/>
          <w:sz w:val="21"/>
        </w:rPr>
        <w:t>to</w:t>
      </w:r>
      <w:r>
        <w:rPr>
          <w:sz w:val="21"/>
        </w:rPr>
        <w:t> </w:t>
      </w:r>
      <w:r>
        <w:rPr>
          <w:w w:val="40"/>
          <w:sz w:val="21"/>
        </w:rPr>
        <w:t>‗</w:t>
      </w:r>
      <w:r>
        <w:rPr>
          <w:w w:val="100"/>
          <w:sz w:val="21"/>
        </w:rPr>
        <w:t>Ehkam‘</w:t>
      </w:r>
      <w:r>
        <w:rPr>
          <w:sz w:val="21"/>
        </w:rPr>
        <w:t> </w:t>
      </w:r>
      <w:r>
        <w:rPr>
          <w:w w:val="100"/>
          <w:sz w:val="21"/>
        </w:rPr>
        <w:t>(sanct</w:t>
      </w:r>
      <w:r>
        <w:rPr>
          <w:w w:val="100"/>
          <w:sz w:val="21"/>
        </w:rPr>
        <w:t>i</w:t>
      </w:r>
      <w:r>
        <w:rPr>
          <w:w w:val="100"/>
          <w:sz w:val="21"/>
        </w:rPr>
        <w:t>on)</w:t>
      </w:r>
      <w:r>
        <w:rPr>
          <w:sz w:val="21"/>
        </w:rPr>
        <w:t> </w:t>
      </w:r>
      <w:r>
        <w:rPr>
          <w:w w:val="100"/>
          <w:sz w:val="21"/>
        </w:rPr>
        <w:t>of</w:t>
      </w:r>
      <w:r>
        <w:rPr>
          <w:sz w:val="21"/>
        </w:rPr>
        <w:t> </w:t>
      </w:r>
      <w:r>
        <w:rPr>
          <w:w w:val="100"/>
          <w:sz w:val="21"/>
        </w:rPr>
        <w:t>t</w:t>
      </w:r>
      <w:r>
        <w:rPr>
          <w:w w:val="100"/>
          <w:sz w:val="21"/>
        </w:rPr>
        <w:t>he</w:t>
      </w:r>
      <w:r>
        <w:rPr>
          <w:sz w:val="21"/>
        </w:rPr>
        <w:t> </w:t>
      </w:r>
      <w:r>
        <w:rPr>
          <w:w w:val="100"/>
          <w:sz w:val="21"/>
        </w:rPr>
        <w:t>prop</w:t>
      </w:r>
      <w:r>
        <w:rPr>
          <w:w w:val="100"/>
          <w:sz w:val="21"/>
        </w:rPr>
        <w:t>het</w:t>
      </w:r>
      <w:r>
        <w:rPr>
          <w:w w:val="100"/>
          <w:sz w:val="21"/>
        </w:rPr>
        <w:t>, </w:t>
      </w:r>
      <w:r>
        <w:rPr>
          <w:sz w:val="21"/>
        </w:rPr>
        <w:t>if any building is demolished and mosque is built from its </w:t>
      </w:r>
      <w:r>
        <w:rPr>
          <w:w w:val="100"/>
          <w:sz w:val="21"/>
        </w:rPr>
        <w:t>debris,</w:t>
      </w:r>
      <w:r>
        <w:rPr>
          <w:sz w:val="21"/>
        </w:rPr>
        <w:t> </w:t>
      </w:r>
      <w:r>
        <w:rPr>
          <w:w w:val="100"/>
          <w:sz w:val="21"/>
        </w:rPr>
        <w:t>then</w:t>
      </w:r>
      <w:r>
        <w:rPr>
          <w:sz w:val="21"/>
        </w:rPr>
        <w:t> </w:t>
      </w:r>
      <w:r>
        <w:rPr>
          <w:w w:val="100"/>
          <w:sz w:val="21"/>
        </w:rPr>
        <w:t>the</w:t>
      </w:r>
      <w:r>
        <w:rPr>
          <w:sz w:val="21"/>
        </w:rPr>
        <w:t> </w:t>
      </w:r>
      <w:r>
        <w:rPr>
          <w:w w:val="100"/>
          <w:sz w:val="21"/>
        </w:rPr>
        <w:t>same</w:t>
      </w:r>
      <w:r>
        <w:rPr>
          <w:sz w:val="21"/>
        </w:rPr>
        <w:t> </w:t>
      </w:r>
      <w:r>
        <w:rPr>
          <w:w w:val="100"/>
          <w:sz w:val="21"/>
        </w:rPr>
        <w:t>is</w:t>
      </w:r>
      <w:r>
        <w:rPr>
          <w:sz w:val="21"/>
        </w:rPr>
        <w:t>  </w:t>
      </w:r>
      <w:r>
        <w:rPr>
          <w:w w:val="40"/>
          <w:sz w:val="21"/>
        </w:rPr>
        <w:t>‗</w:t>
      </w:r>
      <w:r>
        <w:rPr>
          <w:w w:val="100"/>
          <w:sz w:val="21"/>
        </w:rPr>
        <w:t>Makruh‘</w:t>
      </w:r>
      <w:r>
        <w:rPr>
          <w:sz w:val="21"/>
        </w:rPr>
        <w:t> </w:t>
      </w:r>
      <w:r>
        <w:rPr>
          <w:w w:val="100"/>
          <w:sz w:val="21"/>
        </w:rPr>
        <w:t>(not</w:t>
      </w:r>
      <w:r>
        <w:rPr>
          <w:sz w:val="21"/>
        </w:rPr>
        <w:t> </w:t>
      </w:r>
      <w:r>
        <w:rPr>
          <w:w w:val="100"/>
          <w:sz w:val="21"/>
        </w:rPr>
        <w:t>desirable).</w:t>
      </w:r>
      <w:r>
        <w:rPr>
          <w:w w:val="81"/>
          <w:sz w:val="21"/>
        </w:rPr>
        <w:t>‖</w:t>
      </w:r>
    </w:p>
    <w:p>
      <w:pPr>
        <w:pStyle w:val="BodyText"/>
        <w:spacing w:before="9"/>
        <w:rPr>
          <w:sz w:val="20"/>
        </w:rPr>
      </w:pPr>
    </w:p>
    <w:p>
      <w:pPr>
        <w:pStyle w:val="Heading5"/>
        <w:numPr>
          <w:ilvl w:val="0"/>
          <w:numId w:val="53"/>
        </w:numPr>
        <w:tabs>
          <w:tab w:pos="1220" w:val="left" w:leader="none"/>
          <w:tab w:pos="1221" w:val="left" w:leader="none"/>
        </w:tabs>
        <w:spacing w:line="240" w:lineRule="auto" w:before="0" w:after="0"/>
        <w:ind w:left="1220" w:right="0" w:hanging="721"/>
        <w:jc w:val="left"/>
      </w:pPr>
      <w:r>
        <w:rPr/>
        <w:t>Mohd Khalid Nadvi</w:t>
      </w:r>
      <w:r>
        <w:rPr>
          <w:spacing w:val="-2"/>
        </w:rPr>
        <w:t> </w:t>
      </w:r>
      <w:r>
        <w:rPr/>
        <w:t>(PW-22)</w:t>
      </w:r>
    </w:p>
    <w:p>
      <w:pPr>
        <w:pStyle w:val="BodyText"/>
        <w:spacing w:before="1"/>
        <w:rPr>
          <w:b/>
        </w:rPr>
      </w:pPr>
    </w:p>
    <w:p>
      <w:pPr>
        <w:pStyle w:val="BodyText"/>
        <w:ind w:left="1220"/>
      </w:pPr>
      <w:r>
        <w:rPr/>
        <w:t>The witness stated:</w:t>
      </w:r>
    </w:p>
    <w:p>
      <w:pPr>
        <w:pStyle w:val="BodyText"/>
        <w:spacing w:before="1"/>
      </w:pPr>
    </w:p>
    <w:p>
      <w:pPr>
        <w:spacing w:line="276" w:lineRule="auto" w:before="0"/>
        <w:ind w:left="1940" w:right="2263" w:firstLine="0"/>
        <w:jc w:val="both"/>
        <w:rPr>
          <w:sz w:val="21"/>
        </w:rPr>
      </w:pPr>
      <w:r>
        <w:rPr>
          <w:spacing w:val="-1"/>
          <w:w w:val="33"/>
          <w:sz w:val="21"/>
        </w:rPr>
        <w:t>―</w:t>
      </w:r>
      <w:r>
        <w:rPr>
          <w:spacing w:val="-2"/>
          <w:w w:val="100"/>
          <w:sz w:val="21"/>
        </w:rPr>
        <w:t>I</w:t>
      </w:r>
      <w:r>
        <w:rPr>
          <w:w w:val="100"/>
          <w:sz w:val="21"/>
        </w:rPr>
        <w:t>t</w:t>
      </w:r>
      <w:r>
        <w:rPr>
          <w:sz w:val="21"/>
        </w:rPr>
        <w:t> </w:t>
      </w:r>
      <w:r>
        <w:rPr>
          <w:spacing w:val="-22"/>
          <w:sz w:val="21"/>
        </w:rPr>
        <w:t> </w:t>
      </w:r>
      <w:r>
        <w:rPr>
          <w:w w:val="100"/>
          <w:sz w:val="21"/>
        </w:rPr>
        <w:t>is</w:t>
      </w:r>
      <w:r>
        <w:rPr>
          <w:sz w:val="21"/>
        </w:rPr>
        <w:t> </w:t>
      </w:r>
      <w:r>
        <w:rPr>
          <w:spacing w:val="-21"/>
          <w:sz w:val="21"/>
        </w:rPr>
        <w:t> </w:t>
      </w:r>
      <w:r>
        <w:rPr>
          <w:spacing w:val="-2"/>
          <w:w w:val="100"/>
          <w:sz w:val="21"/>
        </w:rPr>
        <w:t>t</w:t>
      </w:r>
      <w:r>
        <w:rPr>
          <w:spacing w:val="-1"/>
          <w:w w:val="100"/>
          <w:sz w:val="21"/>
        </w:rPr>
        <w:t>ru</w:t>
      </w:r>
      <w:r>
        <w:rPr>
          <w:w w:val="100"/>
          <w:sz w:val="21"/>
        </w:rPr>
        <w:t>e</w:t>
      </w:r>
      <w:r>
        <w:rPr>
          <w:sz w:val="21"/>
        </w:rPr>
        <w:t> </w:t>
      </w:r>
      <w:r>
        <w:rPr>
          <w:spacing w:val="-21"/>
          <w:sz w:val="21"/>
        </w:rPr>
        <w:t> </w:t>
      </w:r>
      <w:r>
        <w:rPr>
          <w:spacing w:val="-2"/>
          <w:w w:val="100"/>
          <w:sz w:val="21"/>
        </w:rPr>
        <w:t>t</w:t>
      </w:r>
      <w:r>
        <w:rPr>
          <w:spacing w:val="-1"/>
          <w:w w:val="100"/>
          <w:sz w:val="21"/>
        </w:rPr>
        <w:t>ha</w:t>
      </w:r>
      <w:r>
        <w:rPr>
          <w:w w:val="100"/>
          <w:sz w:val="21"/>
        </w:rPr>
        <w:t>t</w:t>
      </w:r>
      <w:r>
        <w:rPr>
          <w:sz w:val="21"/>
        </w:rPr>
        <w:t> </w:t>
      </w:r>
      <w:r>
        <w:rPr>
          <w:spacing w:val="-22"/>
          <w:sz w:val="21"/>
        </w:rPr>
        <w:t> </w:t>
      </w:r>
      <w:r>
        <w:rPr>
          <w:w w:val="100"/>
          <w:sz w:val="21"/>
        </w:rPr>
        <w:t>a</w:t>
      </w:r>
      <w:r>
        <w:rPr>
          <w:sz w:val="21"/>
        </w:rPr>
        <w:t> </w:t>
      </w:r>
      <w:r>
        <w:rPr>
          <w:spacing w:val="-24"/>
          <w:sz w:val="21"/>
        </w:rPr>
        <w:t> </w:t>
      </w:r>
      <w:r>
        <w:rPr>
          <w:spacing w:val="1"/>
          <w:w w:val="100"/>
          <w:sz w:val="21"/>
        </w:rPr>
        <w:t>m</w:t>
      </w:r>
      <w:r>
        <w:rPr>
          <w:spacing w:val="-1"/>
          <w:w w:val="100"/>
          <w:sz w:val="21"/>
        </w:rPr>
        <w:t>o</w:t>
      </w:r>
      <w:r>
        <w:rPr>
          <w:spacing w:val="-3"/>
          <w:w w:val="100"/>
          <w:sz w:val="21"/>
        </w:rPr>
        <w:t>s</w:t>
      </w:r>
      <w:r>
        <w:rPr>
          <w:spacing w:val="-1"/>
          <w:w w:val="100"/>
          <w:sz w:val="21"/>
        </w:rPr>
        <w:t>qu</w:t>
      </w:r>
      <w:r>
        <w:rPr>
          <w:w w:val="100"/>
          <w:sz w:val="21"/>
        </w:rPr>
        <w:t>e</w:t>
      </w:r>
      <w:r>
        <w:rPr>
          <w:sz w:val="21"/>
        </w:rPr>
        <w:t> </w:t>
      </w:r>
      <w:r>
        <w:rPr>
          <w:spacing w:val="-23"/>
          <w:sz w:val="21"/>
        </w:rPr>
        <w:t> </w:t>
      </w:r>
      <w:r>
        <w:rPr>
          <w:spacing w:val="-2"/>
          <w:w w:val="100"/>
          <w:sz w:val="21"/>
        </w:rPr>
        <w:t>w</w:t>
      </w:r>
      <w:r>
        <w:rPr>
          <w:w w:val="100"/>
          <w:sz w:val="21"/>
        </w:rPr>
        <w:t>ill</w:t>
      </w:r>
      <w:r>
        <w:rPr>
          <w:sz w:val="21"/>
        </w:rPr>
        <w:t> </w:t>
      </w:r>
      <w:r>
        <w:rPr>
          <w:spacing w:val="-23"/>
          <w:sz w:val="21"/>
        </w:rPr>
        <w:t> </w:t>
      </w:r>
      <w:r>
        <w:rPr>
          <w:spacing w:val="-1"/>
          <w:w w:val="100"/>
          <w:sz w:val="21"/>
        </w:rPr>
        <w:t>no</w:t>
      </w:r>
      <w:r>
        <w:rPr>
          <w:w w:val="100"/>
          <w:sz w:val="21"/>
        </w:rPr>
        <w:t>t</w:t>
      </w:r>
      <w:r>
        <w:rPr>
          <w:sz w:val="21"/>
        </w:rPr>
        <w:t> </w:t>
      </w:r>
      <w:r>
        <w:rPr>
          <w:spacing w:val="-22"/>
          <w:sz w:val="21"/>
        </w:rPr>
        <w:t> </w:t>
      </w:r>
      <w:r>
        <w:rPr>
          <w:spacing w:val="-1"/>
          <w:w w:val="100"/>
          <w:sz w:val="21"/>
        </w:rPr>
        <w:t>b</w:t>
      </w:r>
      <w:r>
        <w:rPr>
          <w:w w:val="100"/>
          <w:sz w:val="21"/>
        </w:rPr>
        <w:t>e</w:t>
      </w:r>
      <w:r>
        <w:rPr>
          <w:sz w:val="21"/>
        </w:rPr>
        <w:t> </w:t>
      </w:r>
      <w:r>
        <w:rPr>
          <w:spacing w:val="-23"/>
          <w:sz w:val="21"/>
        </w:rPr>
        <w:t> </w:t>
      </w:r>
      <w:r>
        <w:rPr>
          <w:w w:val="100"/>
          <w:sz w:val="21"/>
        </w:rPr>
        <w:t>co</w:t>
      </w:r>
      <w:r>
        <w:rPr>
          <w:spacing w:val="-3"/>
          <w:w w:val="100"/>
          <w:sz w:val="21"/>
        </w:rPr>
        <w:t>n</w:t>
      </w:r>
      <w:r>
        <w:rPr>
          <w:w w:val="100"/>
          <w:sz w:val="21"/>
        </w:rPr>
        <w:t>s</w:t>
      </w:r>
      <w:r>
        <w:rPr>
          <w:spacing w:val="-2"/>
          <w:w w:val="100"/>
          <w:sz w:val="21"/>
        </w:rPr>
        <w:t>t</w:t>
      </w:r>
      <w:r>
        <w:rPr>
          <w:spacing w:val="-1"/>
          <w:w w:val="100"/>
          <w:sz w:val="21"/>
        </w:rPr>
        <w:t>ructe</w:t>
      </w:r>
      <w:r>
        <w:rPr>
          <w:w w:val="100"/>
          <w:sz w:val="21"/>
        </w:rPr>
        <w:t>d</w:t>
      </w:r>
      <w:r>
        <w:rPr>
          <w:sz w:val="21"/>
        </w:rPr>
        <w:t> </w:t>
      </w:r>
      <w:r>
        <w:rPr>
          <w:spacing w:val="-23"/>
          <w:sz w:val="21"/>
        </w:rPr>
        <w:t> </w:t>
      </w:r>
      <w:r>
        <w:rPr>
          <w:spacing w:val="-1"/>
          <w:w w:val="100"/>
          <w:sz w:val="21"/>
        </w:rPr>
        <w:t>b</w:t>
      </w:r>
      <w:r>
        <w:rPr>
          <w:w w:val="100"/>
          <w:sz w:val="21"/>
        </w:rPr>
        <w:t>y</w:t>
      </w:r>
      <w:r>
        <w:rPr>
          <w:sz w:val="21"/>
        </w:rPr>
        <w:t> </w:t>
      </w:r>
      <w:r>
        <w:rPr>
          <w:spacing w:val="-24"/>
          <w:sz w:val="21"/>
        </w:rPr>
        <w:t> </w:t>
      </w:r>
      <w:r>
        <w:rPr>
          <w:spacing w:val="1"/>
          <w:w w:val="100"/>
          <w:sz w:val="21"/>
        </w:rPr>
        <w:t>f</w:t>
      </w:r>
      <w:r>
        <w:rPr>
          <w:spacing w:val="-1"/>
          <w:w w:val="100"/>
          <w:sz w:val="21"/>
        </w:rPr>
        <w:t>orc</w:t>
      </w:r>
      <w:r>
        <w:rPr>
          <w:spacing w:val="-2"/>
          <w:w w:val="100"/>
          <w:sz w:val="21"/>
        </w:rPr>
        <w:t>i</w:t>
      </w:r>
      <w:r>
        <w:rPr>
          <w:spacing w:val="-1"/>
          <w:w w:val="100"/>
          <w:sz w:val="21"/>
        </w:rPr>
        <w:t>b</w:t>
      </w:r>
      <w:r>
        <w:rPr>
          <w:spacing w:val="1"/>
          <w:w w:val="100"/>
          <w:sz w:val="21"/>
        </w:rPr>
        <w:t>l</w:t>
      </w:r>
      <w:r>
        <w:rPr>
          <w:w w:val="100"/>
          <w:sz w:val="21"/>
        </w:rPr>
        <w:t>y </w:t>
      </w:r>
      <w:r>
        <w:rPr>
          <w:sz w:val="21"/>
        </w:rPr>
        <w:t>demolishing a place of worship belonging to any religion. Similarly it cannot be constructed by forcibly capturing a place of worship belonging to any other</w:t>
      </w:r>
      <w:r>
        <w:rPr>
          <w:spacing w:val="-15"/>
          <w:sz w:val="21"/>
        </w:rPr>
        <w:t> </w:t>
      </w:r>
      <w:r>
        <w:rPr>
          <w:sz w:val="21"/>
        </w:rPr>
        <w:t>religion.‖</w:t>
      </w:r>
    </w:p>
    <w:p>
      <w:pPr>
        <w:pStyle w:val="BodyText"/>
        <w:rPr>
          <w:sz w:val="24"/>
        </w:rPr>
      </w:pPr>
    </w:p>
    <w:p>
      <w:pPr>
        <w:pStyle w:val="BodyText"/>
        <w:rPr>
          <w:sz w:val="22"/>
        </w:rPr>
      </w:pPr>
    </w:p>
    <w:p>
      <w:pPr>
        <w:pStyle w:val="BodyText"/>
        <w:spacing w:line="480" w:lineRule="auto"/>
        <w:ind w:left="500" w:right="446"/>
        <w:jc w:val="both"/>
      </w:pPr>
      <w:r>
        <w:rPr/>
        <w:t>According to the witness, if a place of worship belonging to a particular religion is demolished, it would remain a place of worship for that faith and if it was proved that a temple on a disputed site was forcibly demolished for the construction of a mosque, the temple would continue to be treated as a temple:</w:t>
      </w:r>
    </w:p>
    <w:p>
      <w:pPr>
        <w:spacing w:line="276" w:lineRule="auto" w:before="0"/>
        <w:ind w:left="1940" w:right="2259" w:firstLine="0"/>
        <w:jc w:val="both"/>
        <w:rPr>
          <w:sz w:val="21"/>
        </w:rPr>
      </w:pPr>
      <w:r>
        <w:rPr>
          <w:spacing w:val="-1"/>
          <w:w w:val="33"/>
          <w:sz w:val="21"/>
        </w:rPr>
        <w:t>―</w:t>
      </w:r>
      <w:r>
        <w:rPr>
          <w:spacing w:val="-2"/>
          <w:w w:val="100"/>
          <w:sz w:val="21"/>
        </w:rPr>
        <w:t>I</w:t>
      </w:r>
      <w:r>
        <w:rPr>
          <w:w w:val="100"/>
          <w:sz w:val="21"/>
        </w:rPr>
        <w:t>t</w:t>
      </w:r>
      <w:r>
        <w:rPr>
          <w:spacing w:val="24"/>
          <w:sz w:val="21"/>
        </w:rPr>
        <w:t> </w:t>
      </w:r>
      <w:r>
        <w:rPr>
          <w:w w:val="100"/>
          <w:sz w:val="21"/>
        </w:rPr>
        <w:t>is</w:t>
      </w:r>
      <w:r>
        <w:rPr>
          <w:spacing w:val="25"/>
          <w:sz w:val="21"/>
        </w:rPr>
        <w:t> </w:t>
      </w:r>
      <w:r>
        <w:rPr>
          <w:w w:val="100"/>
          <w:sz w:val="21"/>
        </w:rPr>
        <w:t>cor</w:t>
      </w:r>
      <w:r>
        <w:rPr>
          <w:spacing w:val="-2"/>
          <w:w w:val="100"/>
          <w:sz w:val="21"/>
        </w:rPr>
        <w:t>r</w:t>
      </w:r>
      <w:r>
        <w:rPr>
          <w:spacing w:val="-1"/>
          <w:w w:val="100"/>
          <w:sz w:val="21"/>
        </w:rPr>
        <w:t>ec</w:t>
      </w:r>
      <w:r>
        <w:rPr>
          <w:w w:val="100"/>
          <w:sz w:val="21"/>
        </w:rPr>
        <w:t>t</w:t>
      </w:r>
      <w:r>
        <w:rPr>
          <w:spacing w:val="24"/>
          <w:sz w:val="21"/>
        </w:rPr>
        <w:t> </w:t>
      </w:r>
      <w:r>
        <w:rPr>
          <w:spacing w:val="-2"/>
          <w:w w:val="100"/>
          <w:sz w:val="21"/>
        </w:rPr>
        <w:t>t</w:t>
      </w:r>
      <w:r>
        <w:rPr>
          <w:w w:val="100"/>
          <w:sz w:val="21"/>
        </w:rPr>
        <w:t>o</w:t>
      </w:r>
      <w:r>
        <w:rPr>
          <w:spacing w:val="25"/>
          <w:sz w:val="21"/>
        </w:rPr>
        <w:t> </w:t>
      </w:r>
      <w:r>
        <w:rPr>
          <w:w w:val="100"/>
          <w:sz w:val="21"/>
        </w:rPr>
        <w:t>say</w:t>
      </w:r>
      <w:r>
        <w:rPr>
          <w:spacing w:val="25"/>
          <w:sz w:val="21"/>
        </w:rPr>
        <w:t> </w:t>
      </w:r>
      <w:r>
        <w:rPr>
          <w:spacing w:val="-2"/>
          <w:w w:val="100"/>
          <w:sz w:val="21"/>
        </w:rPr>
        <w:t>t</w:t>
      </w:r>
      <w:r>
        <w:rPr>
          <w:spacing w:val="-1"/>
          <w:w w:val="100"/>
          <w:sz w:val="21"/>
        </w:rPr>
        <w:t>ha</w:t>
      </w:r>
      <w:r>
        <w:rPr>
          <w:w w:val="100"/>
          <w:sz w:val="21"/>
        </w:rPr>
        <w:t>t</w:t>
      </w:r>
      <w:r>
        <w:rPr>
          <w:spacing w:val="24"/>
          <w:sz w:val="21"/>
        </w:rPr>
        <w:t> </w:t>
      </w:r>
      <w:r>
        <w:rPr>
          <w:w w:val="100"/>
          <w:sz w:val="21"/>
        </w:rPr>
        <w:t>if</w:t>
      </w:r>
      <w:r>
        <w:rPr>
          <w:spacing w:val="24"/>
          <w:sz w:val="21"/>
        </w:rPr>
        <w:t> </w:t>
      </w:r>
      <w:r>
        <w:rPr>
          <w:w w:val="100"/>
          <w:sz w:val="21"/>
        </w:rPr>
        <w:t>a</w:t>
      </w:r>
      <w:r>
        <w:rPr>
          <w:spacing w:val="25"/>
          <w:sz w:val="21"/>
        </w:rPr>
        <w:t> </w:t>
      </w:r>
      <w:r>
        <w:rPr>
          <w:spacing w:val="-1"/>
          <w:w w:val="100"/>
          <w:sz w:val="21"/>
        </w:rPr>
        <w:t>p</w:t>
      </w:r>
      <w:r>
        <w:rPr>
          <w:spacing w:val="1"/>
          <w:w w:val="100"/>
          <w:sz w:val="21"/>
        </w:rPr>
        <w:t>l</w:t>
      </w:r>
      <w:r>
        <w:rPr>
          <w:spacing w:val="-1"/>
          <w:w w:val="100"/>
          <w:sz w:val="21"/>
        </w:rPr>
        <w:t>ac</w:t>
      </w:r>
      <w:r>
        <w:rPr>
          <w:w w:val="100"/>
          <w:sz w:val="21"/>
        </w:rPr>
        <w:t>e</w:t>
      </w:r>
      <w:r>
        <w:rPr>
          <w:spacing w:val="28"/>
          <w:sz w:val="21"/>
        </w:rPr>
        <w:t> </w:t>
      </w:r>
      <w:r>
        <w:rPr>
          <w:spacing w:val="-3"/>
          <w:w w:val="100"/>
          <w:sz w:val="21"/>
        </w:rPr>
        <w:t>o</w:t>
      </w:r>
      <w:r>
        <w:rPr>
          <w:w w:val="100"/>
          <w:sz w:val="21"/>
        </w:rPr>
        <w:t>f</w:t>
      </w:r>
      <w:r>
        <w:rPr>
          <w:spacing w:val="26"/>
          <w:sz w:val="21"/>
        </w:rPr>
        <w:t> </w:t>
      </w:r>
      <w:r>
        <w:rPr>
          <w:spacing w:val="-2"/>
          <w:w w:val="100"/>
          <w:sz w:val="21"/>
        </w:rPr>
        <w:t>w</w:t>
      </w:r>
      <w:r>
        <w:rPr>
          <w:w w:val="100"/>
          <w:sz w:val="21"/>
        </w:rPr>
        <w:t>ors</w:t>
      </w:r>
      <w:r>
        <w:rPr>
          <w:spacing w:val="-3"/>
          <w:w w:val="100"/>
          <w:sz w:val="21"/>
        </w:rPr>
        <w:t>h</w:t>
      </w:r>
      <w:r>
        <w:rPr>
          <w:w w:val="100"/>
          <w:sz w:val="21"/>
        </w:rPr>
        <w:t>i</w:t>
      </w:r>
      <w:r>
        <w:rPr>
          <w:w w:val="100"/>
          <w:sz w:val="21"/>
        </w:rPr>
        <w:t>p</w:t>
      </w:r>
      <w:r>
        <w:rPr>
          <w:spacing w:val="25"/>
          <w:sz w:val="21"/>
        </w:rPr>
        <w:t> </w:t>
      </w:r>
      <w:r>
        <w:rPr>
          <w:spacing w:val="-3"/>
          <w:w w:val="100"/>
          <w:sz w:val="21"/>
        </w:rPr>
        <w:t>b</w:t>
      </w:r>
      <w:r>
        <w:rPr>
          <w:w w:val="100"/>
          <w:sz w:val="21"/>
        </w:rPr>
        <w:t>e</w:t>
      </w:r>
      <w:r>
        <w:rPr>
          <w:spacing w:val="-2"/>
          <w:w w:val="100"/>
          <w:sz w:val="21"/>
        </w:rPr>
        <w:t>l</w:t>
      </w:r>
      <w:r>
        <w:rPr>
          <w:w w:val="100"/>
          <w:sz w:val="21"/>
        </w:rPr>
        <w:t>o</w:t>
      </w:r>
      <w:r>
        <w:rPr>
          <w:spacing w:val="-3"/>
          <w:w w:val="100"/>
          <w:sz w:val="21"/>
        </w:rPr>
        <w:t>n</w:t>
      </w:r>
      <w:r>
        <w:rPr>
          <w:w w:val="100"/>
          <w:sz w:val="21"/>
        </w:rPr>
        <w:t>g</w:t>
      </w:r>
      <w:r>
        <w:rPr>
          <w:spacing w:val="1"/>
          <w:w w:val="100"/>
          <w:sz w:val="21"/>
        </w:rPr>
        <w:t>i</w:t>
      </w:r>
      <w:r>
        <w:rPr>
          <w:spacing w:val="-3"/>
          <w:w w:val="100"/>
          <w:sz w:val="21"/>
        </w:rPr>
        <w:t>n</w:t>
      </w:r>
      <w:r>
        <w:rPr>
          <w:w w:val="100"/>
          <w:sz w:val="21"/>
        </w:rPr>
        <w:t>g</w:t>
      </w:r>
      <w:r>
        <w:rPr>
          <w:spacing w:val="25"/>
          <w:sz w:val="21"/>
        </w:rPr>
        <w:t> </w:t>
      </w:r>
      <w:r>
        <w:rPr>
          <w:spacing w:val="-2"/>
          <w:w w:val="100"/>
          <w:sz w:val="21"/>
        </w:rPr>
        <w:t>t</w:t>
      </w:r>
      <w:r>
        <w:rPr>
          <w:w w:val="100"/>
          <w:sz w:val="21"/>
        </w:rPr>
        <w:t>o</w:t>
      </w:r>
      <w:r>
        <w:rPr>
          <w:spacing w:val="25"/>
          <w:sz w:val="21"/>
        </w:rPr>
        <w:t> </w:t>
      </w:r>
      <w:r>
        <w:rPr>
          <w:w w:val="100"/>
          <w:sz w:val="21"/>
        </w:rPr>
        <w:t>a </w:t>
      </w:r>
      <w:r>
        <w:rPr>
          <w:sz w:val="21"/>
        </w:rPr>
        <w:t>particular faith is demolished, it will remain to be a place of worship belonging to that very faith. It is correct to say that a temple will not lose its character and will remain to be a temple even if it is demolished to build a mosque. If any mosque is demolished and a temple is constructed in its place, the mosque will remain to be a mosque. If it is proved that there was a temple on the disputed site forcibly demolishing which a mosque was constructed, then such a temple will continue to be treated as a</w:t>
      </w:r>
      <w:r>
        <w:rPr>
          <w:spacing w:val="-15"/>
          <w:sz w:val="21"/>
        </w:rPr>
        <w:t> </w:t>
      </w:r>
      <w:r>
        <w:rPr>
          <w:sz w:val="21"/>
        </w:rPr>
        <w:t>temple.‖</w:t>
      </w:r>
    </w:p>
    <w:p>
      <w:pPr>
        <w:pStyle w:val="BodyText"/>
        <w:rPr>
          <w:sz w:val="24"/>
        </w:rPr>
      </w:pPr>
    </w:p>
    <w:p>
      <w:pPr>
        <w:pStyle w:val="BodyText"/>
        <w:spacing w:before="5"/>
        <w:rPr>
          <w:sz w:val="28"/>
        </w:rPr>
      </w:pPr>
    </w:p>
    <w:p>
      <w:pPr>
        <w:pStyle w:val="Heading5"/>
        <w:numPr>
          <w:ilvl w:val="0"/>
          <w:numId w:val="53"/>
        </w:numPr>
        <w:tabs>
          <w:tab w:pos="1220" w:val="left" w:leader="none"/>
          <w:tab w:pos="1221" w:val="left" w:leader="none"/>
        </w:tabs>
        <w:spacing w:line="240" w:lineRule="auto" w:before="0" w:after="0"/>
        <w:ind w:left="1220" w:right="0" w:hanging="721"/>
        <w:jc w:val="left"/>
      </w:pPr>
      <w:r>
        <w:rPr/>
        <w:t>Sibte Mohd. Naqvi of the Shia sect</w:t>
      </w:r>
      <w:r>
        <w:rPr>
          <w:spacing w:val="-6"/>
        </w:rPr>
        <w:t> </w:t>
      </w:r>
      <w:r>
        <w:rPr/>
        <w:t>(PW-25)</w:t>
      </w:r>
    </w:p>
    <w:p>
      <w:pPr>
        <w:pStyle w:val="BodyText"/>
        <w:spacing w:before="3"/>
        <w:rPr>
          <w:b/>
        </w:rPr>
      </w:pPr>
    </w:p>
    <w:p>
      <w:pPr>
        <w:pStyle w:val="BodyText"/>
        <w:ind w:left="1220"/>
      </w:pPr>
      <w:r>
        <w:rPr/>
        <w:t>According to the</w:t>
      </w:r>
      <w:r>
        <w:rPr>
          <w:spacing w:val="-6"/>
        </w:rPr>
        <w:t> </w:t>
      </w:r>
      <w:r>
        <w:rPr/>
        <w:t>witness:</w:t>
      </w:r>
    </w:p>
    <w:p>
      <w:pPr>
        <w:pStyle w:val="BodyText"/>
        <w:spacing w:before="9"/>
        <w:rPr>
          <w:sz w:val="24"/>
        </w:rPr>
      </w:pPr>
    </w:p>
    <w:p>
      <w:pPr>
        <w:spacing w:line="276" w:lineRule="auto" w:before="0"/>
        <w:ind w:left="1940" w:right="2264" w:firstLine="0"/>
        <w:jc w:val="left"/>
        <w:rPr>
          <w:sz w:val="21"/>
        </w:rPr>
      </w:pPr>
      <w:r>
        <w:rPr>
          <w:spacing w:val="-1"/>
          <w:w w:val="33"/>
          <w:sz w:val="21"/>
        </w:rPr>
        <w:t>―</w:t>
      </w:r>
      <w:r>
        <w:rPr>
          <w:spacing w:val="-3"/>
          <w:w w:val="100"/>
          <w:sz w:val="21"/>
        </w:rPr>
        <w:t>v</w:t>
      </w:r>
      <w:r>
        <w:rPr>
          <w:w w:val="100"/>
          <w:sz w:val="21"/>
        </w:rPr>
        <w:t>ii.</w:t>
      </w:r>
      <w:r>
        <w:rPr>
          <w:sz w:val="21"/>
        </w:rPr>
        <w:t> </w:t>
      </w:r>
      <w:r>
        <w:rPr>
          <w:spacing w:val="-25"/>
          <w:sz w:val="21"/>
        </w:rPr>
        <w:t> </w:t>
      </w:r>
      <w:r>
        <w:rPr>
          <w:w w:val="100"/>
          <w:sz w:val="21"/>
        </w:rPr>
        <w:t>At</w:t>
      </w:r>
      <w:r>
        <w:rPr>
          <w:sz w:val="21"/>
        </w:rPr>
        <w:t> </w:t>
      </w:r>
      <w:r>
        <w:rPr>
          <w:spacing w:val="-25"/>
          <w:sz w:val="21"/>
        </w:rPr>
        <w:t> </w:t>
      </w:r>
      <w:r>
        <w:rPr>
          <w:spacing w:val="-1"/>
          <w:w w:val="100"/>
          <w:sz w:val="21"/>
        </w:rPr>
        <w:t>on</w:t>
      </w:r>
      <w:r>
        <w:rPr>
          <w:w w:val="100"/>
          <w:sz w:val="21"/>
        </w:rPr>
        <w:t>e</w:t>
      </w:r>
      <w:r>
        <w:rPr>
          <w:sz w:val="21"/>
        </w:rPr>
        <w:t> </w:t>
      </w:r>
      <w:r>
        <w:rPr>
          <w:spacing w:val="-23"/>
          <w:sz w:val="21"/>
        </w:rPr>
        <w:t> </w:t>
      </w:r>
      <w:r>
        <w:rPr>
          <w:spacing w:val="-3"/>
          <w:w w:val="100"/>
          <w:sz w:val="21"/>
        </w:rPr>
        <w:t>p</w:t>
      </w:r>
      <w:r>
        <w:rPr>
          <w:w w:val="100"/>
          <w:sz w:val="21"/>
        </w:rPr>
        <w:t>l</w:t>
      </w:r>
      <w:r>
        <w:rPr>
          <w:spacing w:val="-1"/>
          <w:w w:val="100"/>
          <w:sz w:val="21"/>
        </w:rPr>
        <w:t>a</w:t>
      </w:r>
      <w:r>
        <w:rPr>
          <w:spacing w:val="-3"/>
          <w:w w:val="100"/>
          <w:sz w:val="21"/>
        </w:rPr>
        <w:t>c</w:t>
      </w:r>
      <w:r>
        <w:rPr>
          <w:spacing w:val="-1"/>
          <w:w w:val="100"/>
          <w:sz w:val="21"/>
        </w:rPr>
        <w:t>e</w:t>
      </w:r>
      <w:r>
        <w:rPr>
          <w:w w:val="100"/>
          <w:sz w:val="21"/>
        </w:rPr>
        <w:t>,</w:t>
      </w:r>
      <w:r>
        <w:rPr>
          <w:sz w:val="21"/>
        </w:rPr>
        <w:t> </w:t>
      </w:r>
      <w:r>
        <w:rPr>
          <w:spacing w:val="-25"/>
          <w:sz w:val="21"/>
        </w:rPr>
        <w:t> </w:t>
      </w:r>
      <w:r>
        <w:rPr>
          <w:spacing w:val="-2"/>
          <w:w w:val="100"/>
          <w:sz w:val="21"/>
        </w:rPr>
        <w:t>tw</w:t>
      </w:r>
      <w:r>
        <w:rPr>
          <w:w w:val="100"/>
          <w:sz w:val="21"/>
        </w:rPr>
        <w:t>o</w:t>
      </w:r>
      <w:r>
        <w:rPr>
          <w:sz w:val="21"/>
        </w:rPr>
        <w:t> </w:t>
      </w:r>
      <w:r>
        <w:rPr>
          <w:spacing w:val="-24"/>
          <w:sz w:val="21"/>
        </w:rPr>
        <w:t> </w:t>
      </w:r>
      <w:r>
        <w:rPr>
          <w:w w:val="100"/>
          <w:sz w:val="21"/>
        </w:rPr>
        <w:t>separa</w:t>
      </w:r>
      <w:r>
        <w:rPr>
          <w:spacing w:val="-2"/>
          <w:w w:val="100"/>
          <w:sz w:val="21"/>
        </w:rPr>
        <w:t>t</w:t>
      </w:r>
      <w:r>
        <w:rPr>
          <w:w w:val="100"/>
          <w:sz w:val="21"/>
        </w:rPr>
        <w:t>e</w:t>
      </w:r>
      <w:r>
        <w:rPr>
          <w:sz w:val="21"/>
        </w:rPr>
        <w:t> </w:t>
      </w:r>
      <w:r>
        <w:rPr>
          <w:spacing w:val="-24"/>
          <w:sz w:val="21"/>
        </w:rPr>
        <w:t> </w:t>
      </w:r>
      <w:r>
        <w:rPr>
          <w:spacing w:val="-1"/>
          <w:w w:val="100"/>
          <w:sz w:val="21"/>
        </w:rPr>
        <w:t>b</w:t>
      </w:r>
      <w:r>
        <w:rPr>
          <w:spacing w:val="-3"/>
          <w:w w:val="100"/>
          <w:sz w:val="21"/>
        </w:rPr>
        <w:t>u</w:t>
      </w:r>
      <w:r>
        <w:rPr>
          <w:spacing w:val="-2"/>
          <w:w w:val="100"/>
          <w:sz w:val="21"/>
        </w:rPr>
        <w:t>i</w:t>
      </w:r>
      <w:r>
        <w:rPr>
          <w:w w:val="100"/>
          <w:sz w:val="21"/>
        </w:rPr>
        <w:t>l</w:t>
      </w:r>
      <w:r>
        <w:rPr>
          <w:spacing w:val="-1"/>
          <w:w w:val="100"/>
          <w:sz w:val="21"/>
        </w:rPr>
        <w:t>d</w:t>
      </w:r>
      <w:r>
        <w:rPr>
          <w:spacing w:val="-2"/>
          <w:w w:val="100"/>
          <w:sz w:val="21"/>
        </w:rPr>
        <w:t>i</w:t>
      </w:r>
      <w:r>
        <w:rPr>
          <w:spacing w:val="-1"/>
          <w:w w:val="100"/>
          <w:sz w:val="21"/>
        </w:rPr>
        <w:t>ng</w:t>
      </w:r>
      <w:r>
        <w:rPr>
          <w:w w:val="100"/>
          <w:sz w:val="21"/>
        </w:rPr>
        <w:t>s</w:t>
      </w:r>
      <w:r>
        <w:rPr>
          <w:sz w:val="21"/>
        </w:rPr>
        <w:t> </w:t>
      </w:r>
      <w:r>
        <w:rPr>
          <w:spacing w:val="-26"/>
          <w:sz w:val="21"/>
        </w:rPr>
        <w:t> </w:t>
      </w:r>
      <w:r>
        <w:rPr>
          <w:spacing w:val="-1"/>
          <w:w w:val="100"/>
          <w:sz w:val="21"/>
        </w:rPr>
        <w:t>o</w:t>
      </w:r>
      <w:r>
        <w:rPr>
          <w:w w:val="100"/>
          <w:sz w:val="21"/>
        </w:rPr>
        <w:t>f</w:t>
      </w:r>
      <w:r>
        <w:rPr>
          <w:sz w:val="21"/>
        </w:rPr>
        <w:t> </w:t>
      </w:r>
      <w:r>
        <w:rPr>
          <w:spacing w:val="-23"/>
          <w:sz w:val="21"/>
        </w:rPr>
        <w:t> </w:t>
      </w:r>
      <w:r>
        <w:rPr>
          <w:spacing w:val="-2"/>
          <w:w w:val="100"/>
          <w:sz w:val="21"/>
        </w:rPr>
        <w:t>w</w:t>
      </w:r>
      <w:r>
        <w:rPr>
          <w:spacing w:val="-1"/>
          <w:w w:val="100"/>
          <w:sz w:val="21"/>
        </w:rPr>
        <w:t>or</w:t>
      </w:r>
      <w:r>
        <w:rPr>
          <w:spacing w:val="-3"/>
          <w:w w:val="100"/>
          <w:sz w:val="21"/>
        </w:rPr>
        <w:t>sh</w:t>
      </w:r>
      <w:r>
        <w:rPr>
          <w:w w:val="100"/>
          <w:sz w:val="21"/>
        </w:rPr>
        <w:t>ip</w:t>
      </w:r>
      <w:r>
        <w:rPr>
          <w:sz w:val="21"/>
        </w:rPr>
        <w:t> </w:t>
      </w:r>
      <w:r>
        <w:rPr>
          <w:spacing w:val="-24"/>
          <w:sz w:val="21"/>
        </w:rPr>
        <w:t> </w:t>
      </w:r>
      <w:r>
        <w:rPr>
          <w:spacing w:val="-1"/>
          <w:w w:val="100"/>
          <w:sz w:val="21"/>
        </w:rPr>
        <w:t>o</w:t>
      </w:r>
      <w:r>
        <w:rPr>
          <w:w w:val="100"/>
          <w:sz w:val="21"/>
        </w:rPr>
        <w:t>r</w:t>
      </w:r>
      <w:r>
        <w:rPr>
          <w:sz w:val="21"/>
        </w:rPr>
        <w:t> </w:t>
      </w:r>
      <w:r>
        <w:rPr>
          <w:spacing w:val="-24"/>
          <w:sz w:val="21"/>
        </w:rPr>
        <w:t> </w:t>
      </w:r>
      <w:r>
        <w:rPr>
          <w:spacing w:val="-2"/>
          <w:w w:val="100"/>
          <w:sz w:val="21"/>
        </w:rPr>
        <w:t>tw</w:t>
      </w:r>
      <w:r>
        <w:rPr>
          <w:w w:val="100"/>
          <w:sz w:val="21"/>
        </w:rPr>
        <w:t>o </w:t>
      </w:r>
      <w:r>
        <w:rPr>
          <w:sz w:val="21"/>
        </w:rPr>
        <w:t>religions cannot</w:t>
      </w:r>
      <w:r>
        <w:rPr>
          <w:spacing w:val="-4"/>
          <w:sz w:val="21"/>
        </w:rPr>
        <w:t> </w:t>
      </w:r>
      <w:r>
        <w:rPr>
          <w:sz w:val="21"/>
        </w:rPr>
        <w:t>exist.</w:t>
      </w:r>
    </w:p>
    <w:p>
      <w:pPr>
        <w:spacing w:line="273" w:lineRule="auto" w:before="2"/>
        <w:ind w:left="1940" w:right="2346" w:firstLine="0"/>
        <w:jc w:val="left"/>
        <w:rPr>
          <w:sz w:val="21"/>
        </w:rPr>
      </w:pPr>
      <w:r>
        <w:rPr>
          <w:sz w:val="21"/>
        </w:rPr>
        <w:t>xv. Images, portraits, pictures, idols etc. as also designed garments having pictures are prohibited in a mosque.</w:t>
      </w:r>
    </w:p>
    <w:p>
      <w:pPr>
        <w:pStyle w:val="ListParagraph"/>
        <w:numPr>
          <w:ilvl w:val="0"/>
          <w:numId w:val="54"/>
        </w:numPr>
        <w:tabs>
          <w:tab w:pos="2382" w:val="left" w:leader="none"/>
        </w:tabs>
        <w:spacing w:line="276" w:lineRule="auto" w:before="4" w:after="0"/>
        <w:ind w:left="1940" w:right="2265" w:firstLine="0"/>
        <w:jc w:val="left"/>
        <w:rPr>
          <w:sz w:val="21"/>
        </w:rPr>
      </w:pPr>
      <w:r>
        <w:rPr>
          <w:sz w:val="21"/>
        </w:rPr>
        <w:t>Musical instrument i.e. bell etc. is not permissible in the mosque or in the vicinity</w:t>
      </w:r>
      <w:r>
        <w:rPr>
          <w:spacing w:val="-10"/>
          <w:sz w:val="21"/>
        </w:rPr>
        <w:t> </w:t>
      </w:r>
      <w:r>
        <w:rPr>
          <w:sz w:val="21"/>
        </w:rPr>
        <w:t>thereof.</w:t>
      </w:r>
    </w:p>
    <w:p>
      <w:pPr>
        <w:spacing w:after="0" w:line="276" w:lineRule="auto"/>
        <w:jc w:val="left"/>
        <w:rPr>
          <w:sz w:val="21"/>
        </w:rPr>
        <w:sectPr>
          <w:pgSz w:w="11910" w:h="16840"/>
          <w:pgMar w:header="721" w:footer="1014" w:top="1300" w:bottom="1200" w:left="940" w:right="1000"/>
        </w:sectPr>
      </w:pPr>
    </w:p>
    <w:p>
      <w:pPr>
        <w:pStyle w:val="ListParagraph"/>
        <w:numPr>
          <w:ilvl w:val="0"/>
          <w:numId w:val="54"/>
        </w:numPr>
        <w:tabs>
          <w:tab w:pos="2475" w:val="left" w:leader="none"/>
        </w:tabs>
        <w:spacing w:line="276" w:lineRule="auto" w:before="122" w:after="0"/>
        <w:ind w:left="1940" w:right="2264" w:firstLine="0"/>
        <w:jc w:val="left"/>
        <w:rPr>
          <w:sz w:val="21"/>
        </w:rPr>
      </w:pPr>
      <w:r>
        <w:rPr>
          <w:sz w:val="21"/>
        </w:rPr>
        <w:t>Where bells are ringing or conch shells are blown, prayer would not be</w:t>
      </w:r>
      <w:r>
        <w:rPr>
          <w:spacing w:val="-8"/>
          <w:sz w:val="21"/>
        </w:rPr>
        <w:t> </w:t>
      </w:r>
      <w:r>
        <w:rPr>
          <w:sz w:val="21"/>
        </w:rPr>
        <w:t>offered.‖</w:t>
      </w:r>
    </w:p>
    <w:p>
      <w:pPr>
        <w:pStyle w:val="BodyText"/>
        <w:rPr>
          <w:sz w:val="24"/>
        </w:rPr>
      </w:pPr>
    </w:p>
    <w:p>
      <w:pPr>
        <w:pStyle w:val="BodyText"/>
        <w:spacing w:before="3"/>
      </w:pPr>
    </w:p>
    <w:p>
      <w:pPr>
        <w:pStyle w:val="ListParagraph"/>
        <w:numPr>
          <w:ilvl w:val="0"/>
          <w:numId w:val="3"/>
        </w:numPr>
        <w:tabs>
          <w:tab w:pos="1221" w:val="left" w:leader="none"/>
        </w:tabs>
        <w:spacing w:line="480" w:lineRule="auto" w:before="1" w:after="0"/>
        <w:ind w:left="500" w:right="442" w:firstLine="0"/>
        <w:jc w:val="both"/>
        <w:rPr>
          <w:sz w:val="25"/>
        </w:rPr>
      </w:pPr>
      <w:r>
        <w:rPr>
          <w:sz w:val="25"/>
        </w:rPr>
        <w:t>Mr Mishra, while placing reliance on the texts of the Hadees sought to urge that there was a breach of the following cardinal principles of Islamic</w:t>
      </w:r>
      <w:r>
        <w:rPr>
          <w:spacing w:val="-13"/>
          <w:sz w:val="25"/>
        </w:rPr>
        <w:t> </w:t>
      </w:r>
      <w:r>
        <w:rPr>
          <w:sz w:val="25"/>
        </w:rPr>
        <w:t>law:</w:t>
      </w:r>
    </w:p>
    <w:p>
      <w:pPr>
        <w:pStyle w:val="ListParagraph"/>
        <w:numPr>
          <w:ilvl w:val="1"/>
          <w:numId w:val="3"/>
        </w:numPr>
        <w:tabs>
          <w:tab w:pos="1580" w:val="left" w:leader="none"/>
          <w:tab w:pos="1581" w:val="left" w:leader="none"/>
        </w:tabs>
        <w:spacing w:line="287" w:lineRule="exact" w:before="0" w:after="0"/>
        <w:ind w:left="1580" w:right="0" w:hanging="721"/>
        <w:jc w:val="left"/>
        <w:rPr>
          <w:sz w:val="25"/>
        </w:rPr>
      </w:pPr>
      <w:r>
        <w:rPr>
          <w:i/>
          <w:sz w:val="25"/>
        </w:rPr>
        <w:t>Azaan </w:t>
      </w:r>
      <w:r>
        <w:rPr>
          <w:sz w:val="25"/>
        </w:rPr>
        <w:t>must be called at least twice a</w:t>
      </w:r>
      <w:r>
        <w:rPr>
          <w:spacing w:val="-3"/>
          <w:sz w:val="25"/>
        </w:rPr>
        <w:t> </w:t>
      </w:r>
      <w:r>
        <w:rPr>
          <w:sz w:val="25"/>
        </w:rPr>
        <w:t>day;</w:t>
      </w:r>
    </w:p>
    <w:p>
      <w:pPr>
        <w:pStyle w:val="BodyText"/>
      </w:pPr>
    </w:p>
    <w:p>
      <w:pPr>
        <w:pStyle w:val="ListParagraph"/>
        <w:numPr>
          <w:ilvl w:val="1"/>
          <w:numId w:val="3"/>
        </w:numPr>
        <w:tabs>
          <w:tab w:pos="1580" w:val="left" w:leader="none"/>
          <w:tab w:pos="1581" w:val="left" w:leader="none"/>
        </w:tabs>
        <w:spacing w:line="240" w:lineRule="auto" w:before="1" w:after="0"/>
        <w:ind w:left="1580" w:right="0" w:hanging="721"/>
        <w:jc w:val="left"/>
        <w:rPr>
          <w:sz w:val="25"/>
        </w:rPr>
      </w:pPr>
      <w:r>
        <w:rPr>
          <w:sz w:val="25"/>
        </w:rPr>
        <w:t>A mosque must have a Vazoo or place for</w:t>
      </w:r>
      <w:r>
        <w:rPr>
          <w:spacing w:val="-4"/>
          <w:sz w:val="25"/>
        </w:rPr>
        <w:t> </w:t>
      </w:r>
      <w:r>
        <w:rPr>
          <w:sz w:val="25"/>
        </w:rPr>
        <w:t>ablution;</w:t>
      </w:r>
    </w:p>
    <w:p>
      <w:pPr>
        <w:pStyle w:val="BodyText"/>
        <w:spacing w:before="10"/>
        <w:rPr>
          <w:sz w:val="24"/>
        </w:rPr>
      </w:pPr>
    </w:p>
    <w:p>
      <w:pPr>
        <w:pStyle w:val="ListParagraph"/>
        <w:numPr>
          <w:ilvl w:val="1"/>
          <w:numId w:val="3"/>
        </w:numPr>
        <w:tabs>
          <w:tab w:pos="1580" w:val="left" w:leader="none"/>
          <w:tab w:pos="1581" w:val="left" w:leader="none"/>
        </w:tabs>
        <w:spacing w:line="480" w:lineRule="auto" w:before="0" w:after="0"/>
        <w:ind w:left="1580" w:right="443" w:hanging="720"/>
        <w:jc w:val="left"/>
        <w:rPr>
          <w:sz w:val="25"/>
        </w:rPr>
      </w:pPr>
      <w:r>
        <w:rPr>
          <w:sz w:val="25"/>
        </w:rPr>
        <w:t>A mosque should not contain visual images of idols, floral designs or the human</w:t>
      </w:r>
      <w:r>
        <w:rPr>
          <w:spacing w:val="-1"/>
          <w:sz w:val="25"/>
        </w:rPr>
        <w:t> </w:t>
      </w:r>
      <w:r>
        <w:rPr>
          <w:sz w:val="25"/>
        </w:rPr>
        <w:t>form;</w:t>
      </w:r>
    </w:p>
    <w:p>
      <w:pPr>
        <w:pStyle w:val="ListParagraph"/>
        <w:numPr>
          <w:ilvl w:val="1"/>
          <w:numId w:val="3"/>
        </w:numPr>
        <w:tabs>
          <w:tab w:pos="1580" w:val="left" w:leader="none"/>
          <w:tab w:pos="1581" w:val="left" w:leader="none"/>
        </w:tabs>
        <w:spacing w:line="480" w:lineRule="auto" w:before="0" w:after="0"/>
        <w:ind w:left="1580" w:right="444" w:hanging="720"/>
        <w:jc w:val="left"/>
        <w:rPr>
          <w:sz w:val="25"/>
        </w:rPr>
      </w:pPr>
      <w:r>
        <w:rPr>
          <w:sz w:val="25"/>
        </w:rPr>
        <w:t>No ringing of bells is permissible within the precincts of or in the area surrounding the</w:t>
      </w:r>
      <w:r>
        <w:rPr>
          <w:spacing w:val="-1"/>
          <w:sz w:val="25"/>
        </w:rPr>
        <w:t> </w:t>
      </w:r>
      <w:r>
        <w:rPr>
          <w:sz w:val="25"/>
        </w:rPr>
        <w:t>mosque;</w:t>
      </w:r>
    </w:p>
    <w:p>
      <w:pPr>
        <w:pStyle w:val="ListParagraph"/>
        <w:numPr>
          <w:ilvl w:val="1"/>
          <w:numId w:val="3"/>
        </w:numPr>
        <w:tabs>
          <w:tab w:pos="1580" w:val="left" w:leader="none"/>
          <w:tab w:pos="1581" w:val="left" w:leader="none"/>
        </w:tabs>
        <w:spacing w:line="287" w:lineRule="exact" w:before="0" w:after="0"/>
        <w:ind w:left="1580" w:right="0" w:hanging="721"/>
        <w:jc w:val="left"/>
        <w:rPr>
          <w:sz w:val="25"/>
        </w:rPr>
      </w:pPr>
      <w:r>
        <w:rPr>
          <w:sz w:val="25"/>
        </w:rPr>
        <w:t>On one plot of land, two religious places are</w:t>
      </w:r>
      <w:r>
        <w:rPr>
          <w:spacing w:val="-10"/>
          <w:sz w:val="25"/>
        </w:rPr>
        <w:t> </w:t>
      </w:r>
      <w:r>
        <w:rPr>
          <w:sz w:val="25"/>
        </w:rPr>
        <w:t>impermissible;</w:t>
      </w:r>
    </w:p>
    <w:p>
      <w:pPr>
        <w:pStyle w:val="BodyText"/>
        <w:spacing w:before="1"/>
      </w:pPr>
    </w:p>
    <w:p>
      <w:pPr>
        <w:pStyle w:val="ListParagraph"/>
        <w:numPr>
          <w:ilvl w:val="1"/>
          <w:numId w:val="3"/>
        </w:numPr>
        <w:tabs>
          <w:tab w:pos="1580" w:val="left" w:leader="none"/>
          <w:tab w:pos="1581" w:val="left" w:leader="none"/>
        </w:tabs>
        <w:spacing w:line="482" w:lineRule="auto" w:before="0" w:after="0"/>
        <w:ind w:left="1580" w:right="436" w:hanging="720"/>
        <w:jc w:val="left"/>
        <w:rPr>
          <w:sz w:val="25"/>
        </w:rPr>
      </w:pPr>
      <w:r>
        <w:rPr>
          <w:sz w:val="25"/>
        </w:rPr>
        <w:t>No preparation of food in a kitchen is permissible in or in close- proximity to a</w:t>
      </w:r>
      <w:r>
        <w:rPr>
          <w:spacing w:val="-4"/>
          <w:sz w:val="25"/>
        </w:rPr>
        <w:t> </w:t>
      </w:r>
      <w:r>
        <w:rPr>
          <w:sz w:val="25"/>
        </w:rPr>
        <w:t>mosque;</w:t>
      </w:r>
    </w:p>
    <w:p>
      <w:pPr>
        <w:pStyle w:val="ListParagraph"/>
        <w:numPr>
          <w:ilvl w:val="1"/>
          <w:numId w:val="3"/>
        </w:numPr>
        <w:tabs>
          <w:tab w:pos="1580" w:val="left" w:leader="none"/>
          <w:tab w:pos="1581" w:val="left" w:leader="none"/>
        </w:tabs>
        <w:spacing w:line="282" w:lineRule="exact" w:before="0" w:after="0"/>
        <w:ind w:left="1580" w:right="0" w:hanging="721"/>
        <w:jc w:val="left"/>
        <w:rPr>
          <w:sz w:val="25"/>
        </w:rPr>
      </w:pPr>
      <w:r>
        <w:rPr>
          <w:sz w:val="25"/>
        </w:rPr>
        <w:t>Land should not be usurped for the construction of a mosque;</w:t>
      </w:r>
      <w:r>
        <w:rPr>
          <w:spacing w:val="-13"/>
          <w:sz w:val="25"/>
        </w:rPr>
        <w:t> </w:t>
      </w:r>
      <w:r>
        <w:rPr>
          <w:sz w:val="25"/>
        </w:rPr>
        <w:t>and</w:t>
      </w:r>
    </w:p>
    <w:p>
      <w:pPr>
        <w:pStyle w:val="BodyText"/>
        <w:spacing w:before="1"/>
      </w:pPr>
    </w:p>
    <w:p>
      <w:pPr>
        <w:pStyle w:val="ListParagraph"/>
        <w:numPr>
          <w:ilvl w:val="1"/>
          <w:numId w:val="3"/>
        </w:numPr>
        <w:tabs>
          <w:tab w:pos="1580" w:val="left" w:leader="none"/>
          <w:tab w:pos="1581" w:val="left" w:leader="none"/>
        </w:tabs>
        <w:spacing w:line="240" w:lineRule="auto" w:before="0" w:after="0"/>
        <w:ind w:left="1580" w:right="0" w:hanging="721"/>
        <w:jc w:val="left"/>
        <w:rPr>
          <w:sz w:val="25"/>
        </w:rPr>
      </w:pPr>
      <w:r>
        <w:rPr>
          <w:sz w:val="25"/>
        </w:rPr>
        <w:t>No graves should be situated in close-proximity to a</w:t>
      </w:r>
      <w:r>
        <w:rPr>
          <w:spacing w:val="-11"/>
          <w:sz w:val="25"/>
        </w:rPr>
        <w:t> </w:t>
      </w:r>
      <w:r>
        <w:rPr>
          <w:sz w:val="25"/>
        </w:rPr>
        <w:t>mosque.</w:t>
      </w:r>
    </w:p>
    <w:p>
      <w:pPr>
        <w:pStyle w:val="BodyText"/>
        <w:rPr>
          <w:sz w:val="28"/>
        </w:rPr>
      </w:pPr>
    </w:p>
    <w:p>
      <w:pPr>
        <w:pStyle w:val="BodyText"/>
        <w:spacing w:before="11"/>
        <w:rPr>
          <w:sz w:val="21"/>
        </w:rPr>
      </w:pPr>
    </w:p>
    <w:p>
      <w:pPr>
        <w:pStyle w:val="BodyText"/>
        <w:spacing w:line="480" w:lineRule="auto"/>
        <w:ind w:left="500" w:right="438"/>
        <w:jc w:val="both"/>
      </w:pPr>
      <w:r>
        <w:rPr/>
        <w:t>These submissions have been controverted by Mr Mohd Nizamuddin Pasha, learned Counsel appearing on behalf of plaintiffs in Suit 4, both in the course of his oral arguments and in written submissions. Mr Pasha urged:</w:t>
      </w:r>
    </w:p>
    <w:p>
      <w:pPr>
        <w:pStyle w:val="ListParagraph"/>
        <w:numPr>
          <w:ilvl w:val="0"/>
          <w:numId w:val="55"/>
        </w:numPr>
        <w:tabs>
          <w:tab w:pos="1221" w:val="left" w:leader="none"/>
        </w:tabs>
        <w:spacing w:line="240" w:lineRule="auto" w:before="1" w:after="0"/>
        <w:ind w:left="1220" w:right="0" w:hanging="721"/>
        <w:jc w:val="both"/>
        <w:rPr>
          <w:sz w:val="25"/>
        </w:rPr>
      </w:pPr>
      <w:r>
        <w:rPr>
          <w:sz w:val="25"/>
        </w:rPr>
        <w:t>On whether Vazoo is necessary in a</w:t>
      </w:r>
      <w:r>
        <w:rPr>
          <w:spacing w:val="-6"/>
          <w:sz w:val="25"/>
        </w:rPr>
        <w:t> </w:t>
      </w:r>
      <w:r>
        <w:rPr>
          <w:sz w:val="25"/>
        </w:rPr>
        <w:t>mosque:</w:t>
      </w:r>
    </w:p>
    <w:p>
      <w:pPr>
        <w:pStyle w:val="BodyText"/>
        <w:spacing w:before="10"/>
        <w:rPr>
          <w:sz w:val="24"/>
        </w:rPr>
      </w:pPr>
    </w:p>
    <w:p>
      <w:pPr>
        <w:pStyle w:val="ListParagraph"/>
        <w:numPr>
          <w:ilvl w:val="1"/>
          <w:numId w:val="55"/>
        </w:numPr>
        <w:tabs>
          <w:tab w:pos="1940" w:val="left" w:leader="none"/>
          <w:tab w:pos="1941" w:val="left" w:leader="none"/>
        </w:tabs>
        <w:spacing w:line="240" w:lineRule="auto" w:before="0" w:after="0"/>
        <w:ind w:left="1940" w:right="0" w:hanging="721"/>
        <w:jc w:val="left"/>
        <w:rPr>
          <w:sz w:val="25"/>
        </w:rPr>
      </w:pPr>
      <w:r>
        <w:rPr>
          <w:sz w:val="25"/>
        </w:rPr>
        <w:t>Babri Masjid had a specific place ear-marked for</w:t>
      </w:r>
      <w:r>
        <w:rPr>
          <w:spacing w:val="-8"/>
          <w:sz w:val="25"/>
        </w:rPr>
        <w:t> </w:t>
      </w:r>
      <w:r>
        <w:rPr>
          <w:sz w:val="25"/>
        </w:rPr>
        <w:t>ablution;</w:t>
      </w:r>
    </w:p>
    <w:p>
      <w:pPr>
        <w:pStyle w:val="BodyText"/>
        <w:spacing w:before="10"/>
        <w:rPr>
          <w:sz w:val="24"/>
        </w:rPr>
      </w:pPr>
    </w:p>
    <w:p>
      <w:pPr>
        <w:pStyle w:val="ListParagraph"/>
        <w:numPr>
          <w:ilvl w:val="1"/>
          <w:numId w:val="55"/>
        </w:numPr>
        <w:tabs>
          <w:tab w:pos="1940" w:val="left" w:leader="none"/>
          <w:tab w:pos="1941" w:val="left" w:leader="none"/>
        </w:tabs>
        <w:spacing w:line="480" w:lineRule="auto" w:before="0" w:after="0"/>
        <w:ind w:left="1940" w:right="435" w:hanging="720"/>
        <w:jc w:val="left"/>
        <w:rPr>
          <w:sz w:val="25"/>
        </w:rPr>
      </w:pPr>
      <w:r>
        <w:rPr>
          <w:sz w:val="25"/>
        </w:rPr>
        <w:t>In any event according to the Hadees, it is </w:t>
      </w:r>
      <w:r>
        <w:rPr>
          <w:b/>
          <w:sz w:val="25"/>
        </w:rPr>
        <w:t>preferable </w:t>
      </w:r>
      <w:r>
        <w:rPr>
          <w:sz w:val="25"/>
        </w:rPr>
        <w:t>to perform ablution at home before coming to the</w:t>
      </w:r>
      <w:r>
        <w:rPr>
          <w:spacing w:val="-5"/>
          <w:sz w:val="25"/>
        </w:rPr>
        <w:t> </w:t>
      </w:r>
      <w:r>
        <w:rPr>
          <w:sz w:val="25"/>
        </w:rPr>
        <w:t>mosque;</w:t>
      </w:r>
    </w:p>
    <w:p>
      <w:pPr>
        <w:pStyle w:val="ListParagraph"/>
        <w:numPr>
          <w:ilvl w:val="1"/>
          <w:numId w:val="55"/>
        </w:numPr>
        <w:tabs>
          <w:tab w:pos="1940" w:val="left" w:leader="none"/>
          <w:tab w:pos="1941" w:val="left" w:leader="none"/>
        </w:tabs>
        <w:spacing w:line="482" w:lineRule="auto" w:before="3" w:after="0"/>
        <w:ind w:left="1940" w:right="438" w:hanging="720"/>
        <w:jc w:val="left"/>
        <w:rPr>
          <w:sz w:val="25"/>
        </w:rPr>
      </w:pPr>
      <w:r>
        <w:rPr>
          <w:sz w:val="25"/>
        </w:rPr>
        <w:t>The Hadees which have been cited state that bathing on Friday is a must or indicate how Vazoo is to be</w:t>
      </w:r>
      <w:r>
        <w:rPr>
          <w:spacing w:val="-9"/>
          <w:sz w:val="25"/>
        </w:rPr>
        <w:t> </w:t>
      </w:r>
      <w:r>
        <w:rPr>
          <w:sz w:val="25"/>
        </w:rPr>
        <w:t>performed;</w:t>
      </w:r>
    </w:p>
    <w:p>
      <w:pPr>
        <w:spacing w:after="0" w:line="482" w:lineRule="auto"/>
        <w:jc w:val="left"/>
        <w:rPr>
          <w:sz w:val="25"/>
        </w:rPr>
        <w:sectPr>
          <w:pgSz w:w="11910" w:h="16840"/>
          <w:pgMar w:header="721" w:footer="1014" w:top="1300" w:bottom="1200" w:left="940" w:right="1000"/>
        </w:sectPr>
      </w:pPr>
    </w:p>
    <w:p>
      <w:pPr>
        <w:pStyle w:val="ListParagraph"/>
        <w:numPr>
          <w:ilvl w:val="0"/>
          <w:numId w:val="55"/>
        </w:numPr>
        <w:tabs>
          <w:tab w:pos="1220" w:val="left" w:leader="none"/>
          <w:tab w:pos="1221" w:val="left" w:leader="none"/>
        </w:tabs>
        <w:spacing w:line="240" w:lineRule="auto" w:before="124" w:after="0"/>
        <w:ind w:left="1220" w:right="0" w:hanging="721"/>
        <w:jc w:val="left"/>
        <w:rPr>
          <w:sz w:val="25"/>
        </w:rPr>
      </w:pPr>
      <w:r>
        <w:rPr>
          <w:sz w:val="25"/>
        </w:rPr>
        <w:t>On whether pictures or depictions detract from the character of a</w:t>
      </w:r>
      <w:r>
        <w:rPr>
          <w:spacing w:val="-15"/>
          <w:sz w:val="25"/>
        </w:rPr>
        <w:t> </w:t>
      </w:r>
      <w:r>
        <w:rPr>
          <w:sz w:val="25"/>
        </w:rPr>
        <w:t>mosque:</w:t>
      </w:r>
    </w:p>
    <w:p>
      <w:pPr>
        <w:pStyle w:val="BodyText"/>
      </w:pPr>
    </w:p>
    <w:p>
      <w:pPr>
        <w:pStyle w:val="ListParagraph"/>
        <w:numPr>
          <w:ilvl w:val="1"/>
          <w:numId w:val="55"/>
        </w:numPr>
        <w:tabs>
          <w:tab w:pos="1941" w:val="left" w:leader="none"/>
        </w:tabs>
        <w:spacing w:line="480" w:lineRule="auto" w:before="1" w:after="0"/>
        <w:ind w:left="1940" w:right="445" w:hanging="720"/>
        <w:jc w:val="both"/>
        <w:rPr>
          <w:sz w:val="25"/>
        </w:rPr>
      </w:pPr>
      <w:r>
        <w:rPr>
          <w:sz w:val="25"/>
        </w:rPr>
        <w:t>The purpose of the prohibition is to ensure that a worshipper is not detracted from</w:t>
      </w:r>
      <w:r>
        <w:rPr>
          <w:spacing w:val="-2"/>
          <w:sz w:val="25"/>
        </w:rPr>
        <w:t> </w:t>
      </w:r>
      <w:r>
        <w:rPr>
          <w:sz w:val="25"/>
        </w:rPr>
        <w:t>prayer;</w:t>
      </w:r>
    </w:p>
    <w:p>
      <w:pPr>
        <w:pStyle w:val="ListParagraph"/>
        <w:numPr>
          <w:ilvl w:val="1"/>
          <w:numId w:val="55"/>
        </w:numPr>
        <w:tabs>
          <w:tab w:pos="1941" w:val="left" w:leader="none"/>
        </w:tabs>
        <w:spacing w:line="480" w:lineRule="auto" w:before="0" w:after="0"/>
        <w:ind w:left="1940" w:right="437" w:hanging="720"/>
        <w:jc w:val="both"/>
        <w:rPr>
          <w:sz w:val="25"/>
        </w:rPr>
      </w:pPr>
      <w:r>
        <w:rPr>
          <w:sz w:val="25"/>
        </w:rPr>
        <w:t>While a Muslim may claim that a picture is interfering with prayer, an outsider cannot claim that a prayer is makruh because of the presence of images in the mosque;</w:t>
      </w:r>
      <w:r>
        <w:rPr>
          <w:spacing w:val="-6"/>
          <w:sz w:val="25"/>
        </w:rPr>
        <w:t> </w:t>
      </w:r>
      <w:r>
        <w:rPr>
          <w:sz w:val="25"/>
        </w:rPr>
        <w:t>and</w:t>
      </w:r>
    </w:p>
    <w:p>
      <w:pPr>
        <w:pStyle w:val="ListParagraph"/>
        <w:numPr>
          <w:ilvl w:val="1"/>
          <w:numId w:val="55"/>
        </w:numPr>
        <w:tabs>
          <w:tab w:pos="1940" w:val="left" w:leader="none"/>
          <w:tab w:pos="1941" w:val="left" w:leader="none"/>
        </w:tabs>
        <w:spacing w:line="286" w:lineRule="exact" w:before="0" w:after="0"/>
        <w:ind w:left="1940" w:right="0" w:hanging="721"/>
        <w:jc w:val="left"/>
        <w:rPr>
          <w:sz w:val="25"/>
        </w:rPr>
      </w:pPr>
      <w:r>
        <w:rPr>
          <w:sz w:val="25"/>
        </w:rPr>
        <w:t>Pictures of lifeless things are not specifically</w:t>
      </w:r>
      <w:r>
        <w:rPr>
          <w:spacing w:val="-10"/>
          <w:sz w:val="25"/>
        </w:rPr>
        <w:t> </w:t>
      </w:r>
      <w:r>
        <w:rPr>
          <w:sz w:val="25"/>
        </w:rPr>
        <w:t>disapproved.</w:t>
      </w:r>
    </w:p>
    <w:p>
      <w:pPr>
        <w:pStyle w:val="BodyText"/>
        <w:rPr>
          <w:sz w:val="28"/>
        </w:rPr>
      </w:pPr>
    </w:p>
    <w:p>
      <w:pPr>
        <w:pStyle w:val="BodyText"/>
        <w:spacing w:before="1"/>
        <w:rPr>
          <w:sz w:val="22"/>
        </w:rPr>
      </w:pPr>
    </w:p>
    <w:p>
      <w:pPr>
        <w:pStyle w:val="ListParagraph"/>
        <w:numPr>
          <w:ilvl w:val="0"/>
          <w:numId w:val="55"/>
        </w:numPr>
        <w:tabs>
          <w:tab w:pos="1220" w:val="left" w:leader="none"/>
          <w:tab w:pos="1221" w:val="left" w:leader="none"/>
        </w:tabs>
        <w:spacing w:line="240" w:lineRule="auto" w:before="0" w:after="0"/>
        <w:ind w:left="1220" w:right="0" w:hanging="721"/>
        <w:jc w:val="left"/>
        <w:rPr>
          <w:sz w:val="25"/>
        </w:rPr>
      </w:pPr>
      <w:r>
        <w:rPr>
          <w:sz w:val="25"/>
        </w:rPr>
        <w:t>As regards</w:t>
      </w:r>
      <w:r>
        <w:rPr>
          <w:spacing w:val="-3"/>
          <w:sz w:val="25"/>
        </w:rPr>
        <w:t> </w:t>
      </w:r>
      <w:r>
        <w:rPr>
          <w:sz w:val="25"/>
        </w:rPr>
        <w:t>minarets:</w:t>
      </w:r>
    </w:p>
    <w:p>
      <w:pPr>
        <w:pStyle w:val="BodyText"/>
        <w:spacing w:before="10"/>
        <w:rPr>
          <w:sz w:val="24"/>
        </w:rPr>
      </w:pPr>
    </w:p>
    <w:p>
      <w:pPr>
        <w:pStyle w:val="ListParagraph"/>
        <w:numPr>
          <w:ilvl w:val="1"/>
          <w:numId w:val="55"/>
        </w:numPr>
        <w:tabs>
          <w:tab w:pos="1940" w:val="left" w:leader="none"/>
          <w:tab w:pos="1941" w:val="left" w:leader="none"/>
        </w:tabs>
        <w:spacing w:line="240" w:lineRule="auto" w:before="0" w:after="0"/>
        <w:ind w:left="1940" w:right="0" w:hanging="721"/>
        <w:jc w:val="left"/>
        <w:rPr>
          <w:sz w:val="25"/>
        </w:rPr>
      </w:pPr>
      <w:r>
        <w:rPr>
          <w:sz w:val="25"/>
        </w:rPr>
        <w:t>The first mosque of Islam neither had domes nor minarets;</w:t>
      </w:r>
      <w:r>
        <w:rPr>
          <w:spacing w:val="-8"/>
          <w:sz w:val="25"/>
        </w:rPr>
        <w:t> </w:t>
      </w:r>
      <w:r>
        <w:rPr>
          <w:sz w:val="25"/>
        </w:rPr>
        <w:t>and</w:t>
      </w:r>
    </w:p>
    <w:p>
      <w:pPr>
        <w:pStyle w:val="BodyText"/>
        <w:spacing w:before="1"/>
      </w:pPr>
    </w:p>
    <w:p>
      <w:pPr>
        <w:pStyle w:val="ListParagraph"/>
        <w:numPr>
          <w:ilvl w:val="1"/>
          <w:numId w:val="55"/>
        </w:numPr>
        <w:tabs>
          <w:tab w:pos="1941" w:val="left" w:leader="none"/>
        </w:tabs>
        <w:spacing w:line="480" w:lineRule="auto" w:before="0" w:after="0"/>
        <w:ind w:left="1940" w:right="439" w:hanging="720"/>
        <w:jc w:val="both"/>
        <w:rPr>
          <w:sz w:val="25"/>
        </w:rPr>
      </w:pPr>
      <w:r>
        <w:rPr>
          <w:sz w:val="25"/>
        </w:rPr>
        <w:t>A large number of mosques including of the same period, do not have</w:t>
      </w:r>
      <w:r>
        <w:rPr>
          <w:spacing w:val="-2"/>
          <w:sz w:val="25"/>
        </w:rPr>
        <w:t> </w:t>
      </w:r>
      <w:r>
        <w:rPr>
          <w:sz w:val="25"/>
        </w:rPr>
        <w:t>minarets.</w:t>
      </w:r>
    </w:p>
    <w:p>
      <w:pPr>
        <w:pStyle w:val="ListParagraph"/>
        <w:numPr>
          <w:ilvl w:val="0"/>
          <w:numId w:val="55"/>
        </w:numPr>
        <w:tabs>
          <w:tab w:pos="1220" w:val="left" w:leader="none"/>
          <w:tab w:pos="1221" w:val="left" w:leader="none"/>
        </w:tabs>
        <w:spacing w:line="240" w:lineRule="auto" w:before="0" w:after="0"/>
        <w:ind w:left="1220" w:right="0" w:hanging="721"/>
        <w:jc w:val="left"/>
        <w:rPr>
          <w:sz w:val="25"/>
        </w:rPr>
      </w:pPr>
      <w:r>
        <w:rPr>
          <w:sz w:val="25"/>
        </w:rPr>
        <w:t>On the presence of pillars /columns, there is no absolute</w:t>
      </w:r>
      <w:r>
        <w:rPr>
          <w:spacing w:val="-11"/>
          <w:sz w:val="25"/>
        </w:rPr>
        <w:t> </w:t>
      </w:r>
      <w:r>
        <w:rPr>
          <w:sz w:val="25"/>
        </w:rPr>
        <w:t>injunction;</w:t>
      </w:r>
    </w:p>
    <w:p>
      <w:pPr>
        <w:pStyle w:val="BodyText"/>
        <w:spacing w:before="1"/>
      </w:pPr>
    </w:p>
    <w:p>
      <w:pPr>
        <w:pStyle w:val="ListParagraph"/>
        <w:numPr>
          <w:ilvl w:val="0"/>
          <w:numId w:val="55"/>
        </w:numPr>
        <w:tabs>
          <w:tab w:pos="1221" w:val="left" w:leader="none"/>
        </w:tabs>
        <w:spacing w:line="480" w:lineRule="auto" w:before="0" w:after="0"/>
        <w:ind w:left="1220" w:right="446" w:hanging="720"/>
        <w:jc w:val="both"/>
        <w:rPr>
          <w:sz w:val="25"/>
        </w:rPr>
      </w:pPr>
      <w:r>
        <w:rPr>
          <w:sz w:val="25"/>
        </w:rPr>
        <w:t>There cannot be two qiblas in one land. This is a misinterpretation of a Hadees which means that a state cannot have two</w:t>
      </w:r>
      <w:r>
        <w:rPr>
          <w:spacing w:val="-11"/>
          <w:sz w:val="25"/>
        </w:rPr>
        <w:t> </w:t>
      </w:r>
      <w:r>
        <w:rPr>
          <w:sz w:val="25"/>
        </w:rPr>
        <w:t>religions;</w:t>
      </w:r>
    </w:p>
    <w:p>
      <w:pPr>
        <w:pStyle w:val="ListParagraph"/>
        <w:numPr>
          <w:ilvl w:val="0"/>
          <w:numId w:val="55"/>
        </w:numPr>
        <w:tabs>
          <w:tab w:pos="1220" w:val="left" w:leader="none"/>
          <w:tab w:pos="1221" w:val="left" w:leader="none"/>
        </w:tabs>
        <w:spacing w:line="287" w:lineRule="exact" w:before="0" w:after="0"/>
        <w:ind w:left="1220" w:right="0" w:hanging="721"/>
        <w:jc w:val="left"/>
        <w:rPr>
          <w:sz w:val="25"/>
        </w:rPr>
      </w:pPr>
      <w:r>
        <w:rPr>
          <w:sz w:val="25"/>
        </w:rPr>
        <w:t>On the claim that there should not be any bells</w:t>
      </w:r>
      <w:r>
        <w:rPr>
          <w:spacing w:val="-7"/>
          <w:sz w:val="25"/>
        </w:rPr>
        <w:t> </w:t>
      </w:r>
      <w:r>
        <w:rPr>
          <w:sz w:val="25"/>
        </w:rPr>
        <w:t>nearby:</w:t>
      </w:r>
    </w:p>
    <w:p>
      <w:pPr>
        <w:pStyle w:val="BodyText"/>
        <w:spacing w:before="10"/>
        <w:rPr>
          <w:sz w:val="24"/>
        </w:rPr>
      </w:pPr>
    </w:p>
    <w:p>
      <w:pPr>
        <w:pStyle w:val="ListParagraph"/>
        <w:numPr>
          <w:ilvl w:val="1"/>
          <w:numId w:val="55"/>
        </w:numPr>
        <w:tabs>
          <w:tab w:pos="1941" w:val="left" w:leader="none"/>
        </w:tabs>
        <w:spacing w:line="480" w:lineRule="auto" w:before="0" w:after="0"/>
        <w:ind w:left="1940" w:right="443" w:hanging="720"/>
        <w:jc w:val="both"/>
        <w:rPr>
          <w:sz w:val="25"/>
        </w:rPr>
      </w:pPr>
      <w:r>
        <w:rPr>
          <w:sz w:val="25"/>
        </w:rPr>
        <w:t>In practical terms in a populated city, such an injunction is incapable of being</w:t>
      </w:r>
      <w:r>
        <w:rPr>
          <w:spacing w:val="-1"/>
          <w:sz w:val="25"/>
        </w:rPr>
        <w:t> </w:t>
      </w:r>
      <w:r>
        <w:rPr>
          <w:sz w:val="25"/>
        </w:rPr>
        <w:t>observed;</w:t>
      </w:r>
    </w:p>
    <w:p>
      <w:pPr>
        <w:pStyle w:val="ListParagraph"/>
        <w:numPr>
          <w:ilvl w:val="1"/>
          <w:numId w:val="55"/>
        </w:numPr>
        <w:tabs>
          <w:tab w:pos="1941" w:val="left" w:leader="none"/>
        </w:tabs>
        <w:spacing w:line="480" w:lineRule="auto" w:before="1" w:after="0"/>
        <w:ind w:left="1940" w:right="444" w:hanging="720"/>
        <w:jc w:val="both"/>
        <w:rPr>
          <w:sz w:val="25"/>
        </w:rPr>
      </w:pPr>
      <w:r>
        <w:rPr>
          <w:sz w:val="25"/>
        </w:rPr>
        <w:t>Mosques in the vicinity of temples and ringing of bells was not unusual in India;</w:t>
      </w:r>
      <w:r>
        <w:rPr>
          <w:spacing w:val="-3"/>
          <w:sz w:val="25"/>
        </w:rPr>
        <w:t> </w:t>
      </w:r>
      <w:r>
        <w:rPr>
          <w:sz w:val="25"/>
        </w:rPr>
        <w:t>and</w:t>
      </w:r>
    </w:p>
    <w:p>
      <w:pPr>
        <w:pStyle w:val="ListParagraph"/>
        <w:numPr>
          <w:ilvl w:val="1"/>
          <w:numId w:val="55"/>
        </w:numPr>
        <w:tabs>
          <w:tab w:pos="1940" w:val="left" w:leader="none"/>
          <w:tab w:pos="1941" w:val="left" w:leader="none"/>
        </w:tabs>
        <w:spacing w:line="287" w:lineRule="exact" w:before="0" w:after="0"/>
        <w:ind w:left="1940" w:right="0" w:hanging="721"/>
        <w:jc w:val="left"/>
        <w:rPr>
          <w:sz w:val="25"/>
        </w:rPr>
      </w:pPr>
      <w:r>
        <w:rPr>
          <w:sz w:val="25"/>
        </w:rPr>
        <w:t>The Sufi idea of Islam is more accommodative of other</w:t>
      </w:r>
      <w:r>
        <w:rPr>
          <w:spacing w:val="-2"/>
          <w:sz w:val="25"/>
        </w:rPr>
        <w:t> </w:t>
      </w:r>
      <w:r>
        <w:rPr>
          <w:sz w:val="25"/>
        </w:rPr>
        <w:t>faiths.</w:t>
      </w:r>
    </w:p>
    <w:p>
      <w:pPr>
        <w:pStyle w:val="BodyText"/>
        <w:spacing w:before="1"/>
      </w:pPr>
    </w:p>
    <w:p>
      <w:pPr>
        <w:pStyle w:val="ListParagraph"/>
        <w:numPr>
          <w:ilvl w:val="0"/>
          <w:numId w:val="55"/>
        </w:numPr>
        <w:tabs>
          <w:tab w:pos="1221" w:val="left" w:leader="none"/>
        </w:tabs>
        <w:spacing w:line="480" w:lineRule="auto" w:before="0" w:after="0"/>
        <w:ind w:left="1220" w:right="433" w:hanging="720"/>
        <w:jc w:val="both"/>
        <w:rPr>
          <w:sz w:val="25"/>
        </w:rPr>
      </w:pPr>
      <w:r>
        <w:rPr>
          <w:sz w:val="25"/>
        </w:rPr>
        <w:t>As regards the presence of graves, the map annexed to the plaint of 1885 shows that there are no graves in front of the western face of the mosque. The Hadees indicates that one should not offer namaz facing a grave;</w:t>
      </w:r>
      <w:r>
        <w:rPr>
          <w:spacing w:val="-21"/>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ListParagraph"/>
        <w:numPr>
          <w:ilvl w:val="0"/>
          <w:numId w:val="55"/>
        </w:numPr>
        <w:tabs>
          <w:tab w:pos="1220" w:val="left" w:leader="none"/>
          <w:tab w:pos="1221" w:val="left" w:leader="none"/>
        </w:tabs>
        <w:spacing w:line="480" w:lineRule="auto" w:before="124" w:after="0"/>
        <w:ind w:left="1220" w:right="443" w:hanging="720"/>
        <w:jc w:val="left"/>
        <w:rPr>
          <w:sz w:val="25"/>
        </w:rPr>
      </w:pPr>
      <w:r>
        <w:rPr>
          <w:sz w:val="25"/>
        </w:rPr>
        <w:t>In any case what is or is not permissible in relation to graves is heavily disputed with sufis and wahabis being on extreme ends of the</w:t>
      </w:r>
      <w:r>
        <w:rPr>
          <w:spacing w:val="-16"/>
          <w:sz w:val="25"/>
        </w:rPr>
        <w:t> </w:t>
      </w:r>
      <w:r>
        <w:rPr>
          <w:sz w:val="25"/>
        </w:rPr>
        <w:t>spectrum.</w:t>
      </w:r>
    </w:p>
    <w:p>
      <w:pPr>
        <w:pStyle w:val="BodyText"/>
      </w:pPr>
    </w:p>
    <w:p>
      <w:pPr>
        <w:pStyle w:val="BodyText"/>
        <w:spacing w:line="480" w:lineRule="auto"/>
        <w:ind w:left="500" w:right="438"/>
        <w:jc w:val="both"/>
      </w:pPr>
      <w:r>
        <w:rPr/>
        <w:t>Finally, Mr Pasha argued that the concept of ‗Makruh‘ means something which is undesirable but not prohibited; this is a purely spiritual idea about what makes worship dearer to Almighty Allah.</w:t>
      </w:r>
    </w:p>
    <w:p>
      <w:pPr>
        <w:pStyle w:val="BodyText"/>
        <w:spacing w:before="11"/>
        <w:rPr>
          <w:sz w:val="24"/>
        </w:rPr>
      </w:pPr>
    </w:p>
    <w:p>
      <w:pPr>
        <w:pStyle w:val="BodyText"/>
        <w:spacing w:line="480" w:lineRule="auto"/>
        <w:ind w:left="500" w:right="447"/>
        <w:jc w:val="both"/>
      </w:pPr>
      <w:r>
        <w:rPr/>
        <w:t>Mr Pasha, while controverting the interpretation placed by Mr Mishra has indicated that Mr Mishra has selectively relied upon certain aspects of the Hadees without reading the religious texts in their context and as a</w:t>
      </w:r>
      <w:r>
        <w:rPr>
          <w:spacing w:val="-13"/>
        </w:rPr>
        <w:t> </w:t>
      </w:r>
      <w:r>
        <w:rPr/>
        <w:t>whole.</w:t>
      </w:r>
    </w:p>
    <w:p>
      <w:pPr>
        <w:pStyle w:val="BodyText"/>
        <w:rPr>
          <w:sz w:val="28"/>
        </w:rPr>
      </w:pPr>
    </w:p>
    <w:p>
      <w:pPr>
        <w:pStyle w:val="BodyText"/>
        <w:spacing w:before="1"/>
        <w:rPr>
          <w:sz w:val="22"/>
        </w:rPr>
      </w:pPr>
    </w:p>
    <w:p>
      <w:pPr>
        <w:pStyle w:val="ListParagraph"/>
        <w:numPr>
          <w:ilvl w:val="0"/>
          <w:numId w:val="3"/>
        </w:numPr>
        <w:tabs>
          <w:tab w:pos="1220" w:val="left" w:leader="none"/>
          <w:tab w:pos="1221" w:val="left" w:leader="none"/>
        </w:tabs>
        <w:spacing w:line="480" w:lineRule="auto" w:before="1" w:after="0"/>
        <w:ind w:left="500" w:right="449" w:firstLine="0"/>
        <w:jc w:val="left"/>
        <w:rPr>
          <w:sz w:val="25"/>
        </w:rPr>
      </w:pPr>
      <w:r>
        <w:rPr>
          <w:sz w:val="25"/>
        </w:rPr>
        <w:t>Justice Sudhir Agarwal observed that Babur, as the Emperor, had absolute power as an independent</w:t>
      </w:r>
      <w:r>
        <w:rPr>
          <w:spacing w:val="-1"/>
          <w:sz w:val="25"/>
        </w:rPr>
        <w:t> </w:t>
      </w:r>
      <w:r>
        <w:rPr>
          <w:sz w:val="25"/>
        </w:rPr>
        <w:t>sovereign:</w:t>
      </w:r>
    </w:p>
    <w:p>
      <w:pPr>
        <w:spacing w:line="276" w:lineRule="auto" w:before="0"/>
        <w:ind w:left="1940" w:right="2262" w:firstLine="0"/>
        <w:jc w:val="both"/>
        <w:rPr>
          <w:sz w:val="21"/>
        </w:rPr>
      </w:pPr>
      <w:r>
        <w:rPr>
          <w:w w:val="33"/>
          <w:sz w:val="21"/>
        </w:rPr>
        <w:t>―</w:t>
      </w:r>
      <w:r>
        <w:rPr>
          <w:w w:val="100"/>
          <w:sz w:val="21"/>
        </w:rPr>
        <w:t>3389…The</w:t>
      </w:r>
      <w:r>
        <w:rPr>
          <w:sz w:val="21"/>
        </w:rPr>
        <w:t>  </w:t>
      </w:r>
      <w:r>
        <w:rPr>
          <w:w w:val="100"/>
          <w:sz w:val="21"/>
        </w:rPr>
        <w:t>position</w:t>
      </w:r>
      <w:r>
        <w:rPr>
          <w:sz w:val="21"/>
        </w:rPr>
        <w:t>  </w:t>
      </w:r>
      <w:r>
        <w:rPr>
          <w:w w:val="100"/>
          <w:sz w:val="21"/>
        </w:rPr>
        <w:t>of</w:t>
      </w:r>
      <w:r>
        <w:rPr>
          <w:sz w:val="21"/>
        </w:rPr>
        <w:t>  </w:t>
      </w:r>
      <w:r>
        <w:rPr>
          <w:w w:val="100"/>
          <w:sz w:val="21"/>
        </w:rPr>
        <w:t>Babar,</w:t>
      </w:r>
      <w:r>
        <w:rPr>
          <w:sz w:val="21"/>
        </w:rPr>
        <w:t>  </w:t>
      </w:r>
      <w:r>
        <w:rPr>
          <w:w w:val="100"/>
          <w:sz w:val="21"/>
        </w:rPr>
        <w:t>in</w:t>
      </w:r>
      <w:r>
        <w:rPr>
          <w:sz w:val="21"/>
        </w:rPr>
        <w:t>  </w:t>
      </w:r>
      <w:r>
        <w:rPr>
          <w:w w:val="100"/>
          <w:sz w:val="21"/>
        </w:rPr>
        <w:t>our</w:t>
      </w:r>
      <w:r>
        <w:rPr>
          <w:sz w:val="21"/>
        </w:rPr>
        <w:t>  </w:t>
      </w:r>
      <w:r>
        <w:rPr>
          <w:w w:val="100"/>
          <w:sz w:val="21"/>
        </w:rPr>
        <w:t>view,</w:t>
      </w:r>
      <w:r>
        <w:rPr>
          <w:sz w:val="21"/>
        </w:rPr>
        <w:t>  </w:t>
      </w:r>
      <w:r>
        <w:rPr>
          <w:w w:val="100"/>
          <w:sz w:val="21"/>
        </w:rPr>
        <w:t>was</w:t>
      </w:r>
      <w:r>
        <w:rPr>
          <w:sz w:val="21"/>
        </w:rPr>
        <w:t>  </w:t>
      </w:r>
      <w:r>
        <w:rPr>
          <w:w w:val="100"/>
          <w:sz w:val="21"/>
        </w:rPr>
        <w:t>that</w:t>
      </w:r>
      <w:r>
        <w:rPr>
          <w:sz w:val="21"/>
        </w:rPr>
        <w:t>  </w:t>
      </w:r>
      <w:r>
        <w:rPr>
          <w:w w:val="100"/>
          <w:sz w:val="21"/>
        </w:rPr>
        <w:t>of </w:t>
      </w:r>
      <w:r>
        <w:rPr>
          <w:sz w:val="21"/>
        </w:rPr>
        <w:t>independent sovereign, Sole Monarch, having paramount power. It was supreme, uncontrollable and absolute, not answerable to anyone. Whether invader or anything else, the fact remains that he had been the supreme authority in the territory which he conquered. Nobody could have questioned him.‖</w:t>
      </w:r>
    </w:p>
    <w:p>
      <w:pPr>
        <w:pStyle w:val="BodyText"/>
        <w:rPr>
          <w:sz w:val="24"/>
        </w:rPr>
      </w:pPr>
    </w:p>
    <w:p>
      <w:pPr>
        <w:pStyle w:val="BodyText"/>
        <w:spacing w:before="10"/>
      </w:pPr>
    </w:p>
    <w:p>
      <w:pPr>
        <w:pStyle w:val="BodyText"/>
        <w:spacing w:line="480" w:lineRule="auto"/>
        <w:ind w:left="500" w:right="436"/>
        <w:jc w:val="both"/>
      </w:pPr>
      <w:r>
        <w:rPr>
          <w:w w:val="99"/>
        </w:rPr>
        <w:t>T</w:t>
      </w:r>
      <w:r>
        <w:rPr>
          <w:w w:val="99"/>
        </w:rPr>
        <w:t>he</w:t>
      </w:r>
      <w:r>
        <w:rPr>
          <w:spacing w:val="9"/>
        </w:rPr>
        <w:t> </w:t>
      </w:r>
      <w:r>
        <w:rPr>
          <w:w w:val="99"/>
        </w:rPr>
        <w:t>judge</w:t>
      </w:r>
      <w:r>
        <w:rPr>
          <w:spacing w:val="9"/>
        </w:rPr>
        <w:t> </w:t>
      </w:r>
      <w:r>
        <w:rPr>
          <w:w w:val="99"/>
        </w:rPr>
        <w:t>ob</w:t>
      </w:r>
      <w:r>
        <w:rPr>
          <w:w w:val="99"/>
        </w:rPr>
        <w:t>se</w:t>
      </w:r>
      <w:r>
        <w:rPr>
          <w:spacing w:val="1"/>
          <w:w w:val="99"/>
        </w:rPr>
        <w:t>r</w:t>
      </w:r>
      <w:r>
        <w:rPr>
          <w:spacing w:val="-3"/>
          <w:w w:val="99"/>
        </w:rPr>
        <w:t>v</w:t>
      </w:r>
      <w:r>
        <w:rPr>
          <w:w w:val="99"/>
        </w:rPr>
        <w:t>ed</w:t>
      </w:r>
      <w:r>
        <w:rPr>
          <w:spacing w:val="9"/>
        </w:rPr>
        <w:t> </w:t>
      </w:r>
      <w:r>
        <w:rPr>
          <w:w w:val="99"/>
        </w:rPr>
        <w:t>tha</w:t>
      </w:r>
      <w:r>
        <w:rPr>
          <w:w w:val="99"/>
        </w:rPr>
        <w:t>t</w:t>
      </w:r>
      <w:r>
        <w:rPr>
          <w:spacing w:val="13"/>
        </w:rPr>
        <w:t> </w:t>
      </w:r>
      <w:r>
        <w:rPr>
          <w:spacing w:val="-4"/>
          <w:w w:val="33"/>
        </w:rPr>
        <w:t>―</w:t>
      </w:r>
      <w:r>
        <w:rPr>
          <w:spacing w:val="9"/>
          <w:w w:val="99"/>
        </w:rPr>
        <w:t>W</w:t>
      </w:r>
      <w:r>
        <w:rPr>
          <w:spacing w:val="-3"/>
          <w:w w:val="99"/>
        </w:rPr>
        <w:t>h</w:t>
      </w:r>
      <w:r>
        <w:rPr>
          <w:spacing w:val="-1"/>
          <w:w w:val="99"/>
        </w:rPr>
        <w:t>et</w:t>
      </w:r>
      <w:r>
        <w:rPr>
          <w:w w:val="99"/>
        </w:rPr>
        <w:t>h</w:t>
      </w:r>
      <w:r>
        <w:rPr>
          <w:spacing w:val="-3"/>
          <w:w w:val="99"/>
        </w:rPr>
        <w:t>e</w:t>
      </w:r>
      <w:r>
        <w:rPr>
          <w:w w:val="99"/>
        </w:rPr>
        <w:t>r</w:t>
      </w:r>
      <w:r>
        <w:rPr>
          <w:spacing w:val="10"/>
        </w:rPr>
        <w:t> </w:t>
      </w:r>
      <w:r>
        <w:rPr>
          <w:w w:val="99"/>
        </w:rPr>
        <w:t>the</w:t>
      </w:r>
      <w:r>
        <w:rPr>
          <w:spacing w:val="10"/>
        </w:rPr>
        <w:t> </w:t>
      </w:r>
      <w:r>
        <w:rPr>
          <w:spacing w:val="-1"/>
          <w:w w:val="99"/>
        </w:rPr>
        <w:t>b</w:t>
      </w:r>
      <w:r>
        <w:rPr>
          <w:w w:val="99"/>
        </w:rPr>
        <w:t>u</w:t>
      </w:r>
      <w:r>
        <w:rPr>
          <w:spacing w:val="-1"/>
          <w:w w:val="99"/>
        </w:rPr>
        <w:t>ildin</w:t>
      </w:r>
      <w:r>
        <w:rPr>
          <w:w w:val="99"/>
        </w:rPr>
        <w:t>g</w:t>
      </w:r>
      <w:r>
        <w:rPr>
          <w:spacing w:val="10"/>
        </w:rPr>
        <w:t> </w:t>
      </w:r>
      <w:r>
        <w:rPr>
          <w:spacing w:val="-1"/>
          <w:w w:val="99"/>
        </w:rPr>
        <w:t>i</w:t>
      </w:r>
      <w:r>
        <w:rPr>
          <w:w w:val="99"/>
        </w:rPr>
        <w:t>n</w:t>
      </w:r>
      <w:r>
        <w:rPr>
          <w:spacing w:val="9"/>
        </w:rPr>
        <w:t> </w:t>
      </w:r>
      <w:r>
        <w:rPr>
          <w:spacing w:val="-1"/>
          <w:w w:val="99"/>
        </w:rPr>
        <w:t>disp</w:t>
      </w:r>
      <w:r>
        <w:rPr>
          <w:w w:val="99"/>
        </w:rPr>
        <w:t>ute</w:t>
      </w:r>
      <w:r>
        <w:rPr>
          <w:spacing w:val="10"/>
        </w:rPr>
        <w:t> </w:t>
      </w:r>
      <w:r>
        <w:rPr>
          <w:spacing w:val="-1"/>
          <w:w w:val="99"/>
        </w:rPr>
        <w:t>i</w:t>
      </w:r>
      <w:r>
        <w:rPr>
          <w:w w:val="99"/>
        </w:rPr>
        <w:t>s</w:t>
      </w:r>
      <w:r>
        <w:rPr>
          <w:spacing w:val="9"/>
        </w:rPr>
        <w:t> </w:t>
      </w:r>
      <w:r>
        <w:rPr>
          <w:w w:val="99"/>
        </w:rPr>
        <w:t>a</w:t>
      </w:r>
      <w:r>
        <w:rPr>
          <w:spacing w:val="9"/>
        </w:rPr>
        <w:t> </w:t>
      </w:r>
      <w:r>
        <w:rPr>
          <w:spacing w:val="3"/>
          <w:w w:val="99"/>
        </w:rPr>
        <w:t>m</w:t>
      </w:r>
      <w:r>
        <w:rPr>
          <w:spacing w:val="-1"/>
          <w:w w:val="99"/>
        </w:rPr>
        <w:t>os</w:t>
      </w:r>
      <w:r>
        <w:rPr>
          <w:w w:val="99"/>
        </w:rPr>
        <w:t>q</w:t>
      </w:r>
      <w:r>
        <w:rPr>
          <w:spacing w:val="-1"/>
          <w:w w:val="99"/>
        </w:rPr>
        <w:t>u</w:t>
      </w:r>
      <w:r>
        <w:rPr>
          <w:w w:val="99"/>
        </w:rPr>
        <w:t>e,</w:t>
      </w:r>
      <w:r>
        <w:rPr>
          <w:spacing w:val="9"/>
        </w:rPr>
        <w:t> </w:t>
      </w:r>
      <w:r>
        <w:rPr>
          <w:w w:val="99"/>
        </w:rPr>
        <w:t>tr</w:t>
      </w:r>
      <w:r>
        <w:rPr>
          <w:spacing w:val="-1"/>
          <w:w w:val="99"/>
        </w:rPr>
        <w:t>e</w:t>
      </w:r>
      <w:r>
        <w:rPr>
          <w:w w:val="99"/>
        </w:rPr>
        <w:t>ated</w:t>
      </w:r>
      <w:r>
        <w:rPr>
          <w:spacing w:val="10"/>
        </w:rPr>
        <w:t> </w:t>
      </w:r>
      <w:r>
        <w:rPr>
          <w:w w:val="99"/>
        </w:rPr>
        <w:t>to </w:t>
      </w:r>
      <w:r>
        <w:rPr/>
        <w:t>be a mosque, believed to be a mosque and practiced as a mosque‖ have to be decided not in terms of the tenets of the Shariat but according to how people believed and conducted themselves over a length of time. The High Court held that whether Muslims had used the mosque for offering worship immediately after its construction had not been proved either way but there was evidence to indicate that Muslims had visited the mosque in order to offer namaz after the partition wall was set up in 1856-57. Whether namaz was offered was not</w:t>
      </w:r>
      <w:r>
        <w:rPr>
          <w:spacing w:val="4"/>
        </w:rPr>
        <w:t> </w:t>
      </w:r>
      <w:r>
        <w:rPr/>
        <w:t>proved</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0"/>
        <w:jc w:val="both"/>
      </w:pPr>
      <w:r>
        <w:rPr/>
        <w:t>but it had been established that since 1857 until the last namaz was offered in the inner courtyard on 16 December 1949, Muslims had visited the mosque for worship. Hence, whether the building could be a mosque in accordance with the tenets of the Shariat was of no significance since the conduct of those who believed and worshipped would be the determinative factor for determining the nature and use of the property in question. The authority of Babur or Aurangzeb (whoever constructed the mosque) was absolute and the court could not examine whether the mosque had been constructed in accordance with or contrary to the tenets of the Shariat:</w:t>
      </w:r>
    </w:p>
    <w:p>
      <w:pPr>
        <w:spacing w:line="276" w:lineRule="auto" w:before="0"/>
        <w:ind w:left="1940" w:right="2259" w:firstLine="0"/>
        <w:jc w:val="both"/>
        <w:rPr>
          <w:sz w:val="21"/>
        </w:rPr>
      </w:pPr>
      <w:r>
        <w:rPr>
          <w:spacing w:val="-1"/>
          <w:w w:val="33"/>
          <w:sz w:val="21"/>
        </w:rPr>
        <w:t>―</w:t>
      </w:r>
      <w:r>
        <w:rPr>
          <w:spacing w:val="-1"/>
          <w:w w:val="100"/>
          <w:sz w:val="21"/>
        </w:rPr>
        <w:t>340</w:t>
      </w:r>
      <w:r>
        <w:rPr>
          <w:spacing w:val="-2"/>
          <w:w w:val="100"/>
          <w:sz w:val="21"/>
        </w:rPr>
        <w:t>4</w:t>
      </w:r>
      <w:r>
        <w:rPr>
          <w:spacing w:val="-5"/>
          <w:w w:val="100"/>
          <w:sz w:val="21"/>
        </w:rPr>
        <w:t>…</w:t>
      </w:r>
      <w:r>
        <w:rPr>
          <w:spacing w:val="6"/>
          <w:w w:val="100"/>
          <w:sz w:val="21"/>
        </w:rPr>
        <w:t>W</w:t>
      </w:r>
      <w:r>
        <w:rPr>
          <w:spacing w:val="-3"/>
          <w:w w:val="100"/>
          <w:sz w:val="21"/>
        </w:rPr>
        <w:t>h</w:t>
      </w:r>
      <w:r>
        <w:rPr>
          <w:spacing w:val="-1"/>
          <w:w w:val="100"/>
          <w:sz w:val="21"/>
        </w:rPr>
        <w:t>e</w:t>
      </w:r>
      <w:r>
        <w:rPr>
          <w:spacing w:val="-4"/>
          <w:w w:val="100"/>
          <w:sz w:val="21"/>
        </w:rPr>
        <w:t>t</w:t>
      </w:r>
      <w:r>
        <w:rPr>
          <w:spacing w:val="-1"/>
          <w:w w:val="100"/>
          <w:sz w:val="21"/>
        </w:rPr>
        <w:t>he</w:t>
      </w:r>
      <w:r>
        <w:rPr>
          <w:w w:val="100"/>
          <w:sz w:val="21"/>
        </w:rPr>
        <w:t>r</w:t>
      </w:r>
      <w:r>
        <w:rPr>
          <w:sz w:val="21"/>
        </w:rPr>
        <w:t> </w:t>
      </w:r>
      <w:r>
        <w:rPr>
          <w:spacing w:val="-29"/>
          <w:sz w:val="21"/>
        </w:rPr>
        <w:t> </w:t>
      </w:r>
      <w:r>
        <w:rPr>
          <w:w w:val="100"/>
          <w:sz w:val="21"/>
        </w:rPr>
        <w:t>B</w:t>
      </w:r>
      <w:r>
        <w:rPr>
          <w:spacing w:val="-1"/>
          <w:w w:val="100"/>
          <w:sz w:val="21"/>
        </w:rPr>
        <w:t>a</w:t>
      </w:r>
      <w:r>
        <w:rPr>
          <w:spacing w:val="-3"/>
          <w:w w:val="100"/>
          <w:sz w:val="21"/>
        </w:rPr>
        <w:t>b</w:t>
      </w:r>
      <w:r>
        <w:rPr>
          <w:spacing w:val="-1"/>
          <w:w w:val="100"/>
          <w:sz w:val="21"/>
        </w:rPr>
        <w:t>a</w:t>
      </w:r>
      <w:r>
        <w:rPr>
          <w:w w:val="100"/>
          <w:sz w:val="21"/>
        </w:rPr>
        <w:t>r</w:t>
      </w:r>
      <w:r>
        <w:rPr>
          <w:sz w:val="21"/>
        </w:rPr>
        <w:t> </w:t>
      </w:r>
      <w:r>
        <w:rPr>
          <w:spacing w:val="-27"/>
          <w:sz w:val="21"/>
        </w:rPr>
        <w:t> </w:t>
      </w:r>
      <w:r>
        <w:rPr>
          <w:spacing w:val="-3"/>
          <w:w w:val="100"/>
          <w:sz w:val="21"/>
        </w:rPr>
        <w:t>o</w:t>
      </w:r>
      <w:r>
        <w:rPr>
          <w:w w:val="100"/>
          <w:sz w:val="21"/>
        </w:rPr>
        <w:t>r</w:t>
      </w:r>
      <w:r>
        <w:rPr>
          <w:sz w:val="21"/>
        </w:rPr>
        <w:t> </w:t>
      </w:r>
      <w:r>
        <w:rPr>
          <w:spacing w:val="-27"/>
          <w:sz w:val="21"/>
        </w:rPr>
        <w:t> </w:t>
      </w:r>
      <w:r>
        <w:rPr>
          <w:w w:val="100"/>
          <w:sz w:val="21"/>
        </w:rPr>
        <w:t>A</w:t>
      </w:r>
      <w:r>
        <w:rPr>
          <w:spacing w:val="-1"/>
          <w:w w:val="100"/>
          <w:sz w:val="21"/>
        </w:rPr>
        <w:t>ur</w:t>
      </w:r>
      <w:r>
        <w:rPr>
          <w:spacing w:val="-3"/>
          <w:w w:val="100"/>
          <w:sz w:val="21"/>
        </w:rPr>
        <w:t>a</w:t>
      </w:r>
      <w:r>
        <w:rPr>
          <w:spacing w:val="-1"/>
          <w:w w:val="100"/>
          <w:sz w:val="21"/>
        </w:rPr>
        <w:t>ng</w:t>
      </w:r>
      <w:r>
        <w:rPr>
          <w:spacing w:val="-3"/>
          <w:w w:val="100"/>
          <w:sz w:val="21"/>
        </w:rPr>
        <w:t>z</w:t>
      </w:r>
      <w:r>
        <w:rPr>
          <w:spacing w:val="-1"/>
          <w:w w:val="100"/>
          <w:sz w:val="21"/>
        </w:rPr>
        <w:t>e</w:t>
      </w:r>
      <w:r>
        <w:rPr>
          <w:w w:val="100"/>
          <w:sz w:val="21"/>
        </w:rPr>
        <w:t>b</w:t>
      </w:r>
      <w:r>
        <w:rPr>
          <w:sz w:val="21"/>
        </w:rPr>
        <w:t> </w:t>
      </w:r>
      <w:r>
        <w:rPr>
          <w:spacing w:val="-26"/>
          <w:sz w:val="21"/>
        </w:rPr>
        <w:t> </w:t>
      </w:r>
      <w:r>
        <w:rPr>
          <w:spacing w:val="3"/>
          <w:w w:val="100"/>
          <w:sz w:val="21"/>
        </w:rPr>
        <w:t>o</w:t>
      </w:r>
      <w:r>
        <w:rPr>
          <w:w w:val="100"/>
          <w:sz w:val="21"/>
        </w:rPr>
        <w:t>r</w:t>
      </w:r>
      <w:r>
        <w:rPr>
          <w:sz w:val="21"/>
        </w:rPr>
        <w:t> </w:t>
      </w:r>
      <w:r>
        <w:rPr>
          <w:spacing w:val="-29"/>
          <w:sz w:val="21"/>
        </w:rPr>
        <w:t> </w:t>
      </w:r>
      <w:r>
        <w:rPr>
          <w:w w:val="100"/>
          <w:sz w:val="21"/>
        </w:rPr>
        <w:t>an</w:t>
      </w:r>
      <w:r>
        <w:rPr>
          <w:spacing w:val="-3"/>
          <w:w w:val="100"/>
          <w:sz w:val="21"/>
        </w:rPr>
        <w:t>y</w:t>
      </w:r>
      <w:r>
        <w:rPr>
          <w:w w:val="100"/>
          <w:sz w:val="21"/>
        </w:rPr>
        <w:t>body</w:t>
      </w:r>
      <w:r>
        <w:rPr>
          <w:spacing w:val="28"/>
          <w:sz w:val="21"/>
        </w:rPr>
        <w:t> </w:t>
      </w:r>
      <w:r>
        <w:rPr>
          <w:w w:val="100"/>
          <w:sz w:val="21"/>
        </w:rPr>
        <w:t>e</w:t>
      </w:r>
      <w:r>
        <w:rPr>
          <w:spacing w:val="1"/>
          <w:w w:val="100"/>
          <w:sz w:val="21"/>
        </w:rPr>
        <w:t>l</w:t>
      </w:r>
      <w:r>
        <w:rPr>
          <w:w w:val="100"/>
          <w:sz w:val="21"/>
        </w:rPr>
        <w:t>se,</w:t>
      </w:r>
      <w:r>
        <w:rPr>
          <w:sz w:val="21"/>
        </w:rPr>
        <w:t> </w:t>
      </w:r>
      <w:r>
        <w:rPr>
          <w:spacing w:val="-27"/>
          <w:sz w:val="21"/>
        </w:rPr>
        <w:t> </w:t>
      </w:r>
      <w:r>
        <w:rPr>
          <w:spacing w:val="-2"/>
          <w:w w:val="100"/>
          <w:sz w:val="21"/>
        </w:rPr>
        <w:t>t</w:t>
      </w:r>
      <w:r>
        <w:rPr>
          <w:spacing w:val="-3"/>
          <w:w w:val="100"/>
          <w:sz w:val="21"/>
        </w:rPr>
        <w:t>h</w:t>
      </w:r>
      <w:r>
        <w:rPr>
          <w:w w:val="100"/>
          <w:sz w:val="21"/>
        </w:rPr>
        <w:t>ey </w:t>
      </w:r>
      <w:r>
        <w:rPr>
          <w:sz w:val="21"/>
        </w:rPr>
        <w:t>were supreme authority. Whether their action was consistent with the tenets of Islam or not, in our view, is unchallengeable after so many centuries particularly when those supreme authorities were not subordinate to any system of justice. Even otherwise, we cannot examine as to whether they rightly or wrongly constructed a place terming it as mosque particularly when at least the local people believe from the representation, whatever it is, that the construction which has been made, is that of a</w:t>
      </w:r>
      <w:r>
        <w:rPr>
          <w:spacing w:val="-14"/>
          <w:sz w:val="21"/>
        </w:rPr>
        <w:t> </w:t>
      </w:r>
      <w:r>
        <w:rPr>
          <w:sz w:val="21"/>
        </w:rPr>
        <w:t>mosque.‖</w:t>
      </w:r>
    </w:p>
    <w:p>
      <w:pPr>
        <w:pStyle w:val="BodyText"/>
        <w:rPr>
          <w:sz w:val="24"/>
        </w:rPr>
      </w:pPr>
    </w:p>
    <w:p>
      <w:pPr>
        <w:pStyle w:val="BodyText"/>
        <w:spacing w:before="1"/>
        <w:rPr>
          <w:sz w:val="22"/>
        </w:rPr>
      </w:pPr>
    </w:p>
    <w:p>
      <w:pPr>
        <w:pStyle w:val="BodyText"/>
        <w:spacing w:before="1"/>
        <w:ind w:left="500"/>
        <w:jc w:val="both"/>
      </w:pPr>
      <w:r>
        <w:rPr/>
        <w:t>In the view of Justice Sudhir Agarwal:</w:t>
      </w:r>
    </w:p>
    <w:p>
      <w:pPr>
        <w:pStyle w:val="BodyText"/>
        <w:spacing w:before="9"/>
        <w:rPr>
          <w:sz w:val="24"/>
        </w:rPr>
      </w:pPr>
    </w:p>
    <w:p>
      <w:pPr>
        <w:spacing w:line="276" w:lineRule="auto" w:before="0"/>
        <w:ind w:left="1940" w:right="2259" w:firstLine="0"/>
        <w:jc w:val="both"/>
        <w:rPr>
          <w:sz w:val="21"/>
        </w:rPr>
      </w:pPr>
      <w:r>
        <w:rPr>
          <w:spacing w:val="-1"/>
          <w:w w:val="33"/>
          <w:sz w:val="21"/>
        </w:rPr>
        <w:t>―</w:t>
      </w:r>
      <w:r>
        <w:rPr>
          <w:spacing w:val="-1"/>
          <w:w w:val="100"/>
          <w:sz w:val="21"/>
        </w:rPr>
        <w:t>340</w:t>
      </w:r>
      <w:r>
        <w:rPr>
          <w:w w:val="100"/>
          <w:sz w:val="21"/>
        </w:rPr>
        <w:t>5.</w:t>
      </w:r>
      <w:r>
        <w:rPr>
          <w:spacing w:val="26"/>
          <w:sz w:val="21"/>
        </w:rPr>
        <w:t> </w:t>
      </w:r>
      <w:r>
        <w:rPr>
          <w:w w:val="100"/>
          <w:sz w:val="21"/>
        </w:rPr>
        <w:t>S</w:t>
      </w:r>
      <w:r>
        <w:rPr>
          <w:spacing w:val="-3"/>
          <w:w w:val="100"/>
          <w:sz w:val="21"/>
        </w:rPr>
        <w:t>o</w:t>
      </w:r>
      <w:r>
        <w:rPr>
          <w:spacing w:val="-1"/>
          <w:w w:val="100"/>
          <w:sz w:val="21"/>
        </w:rPr>
        <w:t>meth</w:t>
      </w:r>
      <w:r>
        <w:rPr>
          <w:spacing w:val="-2"/>
          <w:w w:val="100"/>
          <w:sz w:val="21"/>
        </w:rPr>
        <w:t>i</w:t>
      </w:r>
      <w:r>
        <w:rPr>
          <w:spacing w:val="-1"/>
          <w:w w:val="100"/>
          <w:sz w:val="21"/>
        </w:rPr>
        <w:t>n</w:t>
      </w:r>
      <w:r>
        <w:rPr>
          <w:w w:val="100"/>
          <w:sz w:val="21"/>
        </w:rPr>
        <w:t>g</w:t>
      </w:r>
      <w:r>
        <w:rPr>
          <w:spacing w:val="28"/>
          <w:sz w:val="21"/>
        </w:rPr>
        <w:t> </w:t>
      </w:r>
      <w:r>
        <w:rPr>
          <w:spacing w:val="-2"/>
          <w:w w:val="100"/>
          <w:sz w:val="21"/>
        </w:rPr>
        <w:t>w</w:t>
      </w:r>
      <w:r>
        <w:rPr>
          <w:spacing w:val="-1"/>
          <w:w w:val="100"/>
          <w:sz w:val="21"/>
        </w:rPr>
        <w:t>h</w:t>
      </w:r>
      <w:r>
        <w:rPr>
          <w:spacing w:val="-2"/>
          <w:w w:val="100"/>
          <w:sz w:val="21"/>
        </w:rPr>
        <w:t>i</w:t>
      </w:r>
      <w:r>
        <w:rPr>
          <w:w w:val="100"/>
          <w:sz w:val="21"/>
        </w:rPr>
        <w:t>ch</w:t>
      </w:r>
      <w:r>
        <w:rPr>
          <w:spacing w:val="25"/>
          <w:sz w:val="21"/>
        </w:rPr>
        <w:t> </w:t>
      </w:r>
      <w:r>
        <w:rPr>
          <w:spacing w:val="-2"/>
          <w:w w:val="100"/>
          <w:sz w:val="21"/>
        </w:rPr>
        <w:t>t</w:t>
      </w:r>
      <w:r>
        <w:rPr>
          <w:spacing w:val="-1"/>
          <w:w w:val="100"/>
          <w:sz w:val="21"/>
        </w:rPr>
        <w:t>o</w:t>
      </w:r>
      <w:r>
        <w:rPr>
          <w:spacing w:val="-3"/>
          <w:w w:val="100"/>
          <w:sz w:val="21"/>
        </w:rPr>
        <w:t>o</w:t>
      </w:r>
      <w:r>
        <w:rPr>
          <w:w w:val="100"/>
          <w:sz w:val="21"/>
        </w:rPr>
        <w:t>k</w:t>
      </w:r>
      <w:r>
        <w:rPr>
          <w:sz w:val="21"/>
        </w:rPr>
        <w:t> </w:t>
      </w:r>
      <w:r>
        <w:rPr>
          <w:spacing w:val="-29"/>
          <w:sz w:val="21"/>
        </w:rPr>
        <w:t> </w:t>
      </w:r>
      <w:r>
        <w:rPr>
          <w:spacing w:val="-1"/>
          <w:w w:val="100"/>
          <w:sz w:val="21"/>
        </w:rPr>
        <w:t>p</w:t>
      </w:r>
      <w:r>
        <w:rPr>
          <w:spacing w:val="1"/>
          <w:w w:val="100"/>
          <w:sz w:val="21"/>
        </w:rPr>
        <w:t>l</w:t>
      </w:r>
      <w:r>
        <w:rPr>
          <w:spacing w:val="-3"/>
          <w:w w:val="100"/>
          <w:sz w:val="21"/>
        </w:rPr>
        <w:t>a</w:t>
      </w:r>
      <w:r>
        <w:rPr>
          <w:w w:val="100"/>
          <w:sz w:val="21"/>
        </w:rPr>
        <w:t>ce</w:t>
      </w:r>
      <w:r>
        <w:rPr>
          <w:spacing w:val="25"/>
          <w:sz w:val="21"/>
        </w:rPr>
        <w:t> </w:t>
      </w:r>
      <w:r>
        <w:rPr>
          <w:spacing w:val="1"/>
          <w:w w:val="100"/>
          <w:sz w:val="21"/>
        </w:rPr>
        <w:t>m</w:t>
      </w:r>
      <w:r>
        <w:rPr>
          <w:spacing w:val="-1"/>
          <w:w w:val="100"/>
          <w:sz w:val="21"/>
        </w:rPr>
        <w:t>or</w:t>
      </w:r>
      <w:r>
        <w:rPr>
          <w:w w:val="100"/>
          <w:sz w:val="21"/>
        </w:rPr>
        <w:t>e</w:t>
      </w:r>
      <w:r>
        <w:rPr>
          <w:spacing w:val="27"/>
          <w:sz w:val="21"/>
        </w:rPr>
        <w:t> </w:t>
      </w:r>
      <w:r>
        <w:rPr>
          <w:spacing w:val="-2"/>
          <w:w w:val="100"/>
          <w:sz w:val="21"/>
        </w:rPr>
        <w:t>t</w:t>
      </w:r>
      <w:r>
        <w:rPr>
          <w:spacing w:val="-1"/>
          <w:w w:val="100"/>
          <w:sz w:val="21"/>
        </w:rPr>
        <w:t>ha</w:t>
      </w:r>
      <w:r>
        <w:rPr>
          <w:w w:val="100"/>
          <w:sz w:val="21"/>
        </w:rPr>
        <w:t>n</w:t>
      </w:r>
      <w:r>
        <w:rPr>
          <w:spacing w:val="28"/>
          <w:sz w:val="21"/>
        </w:rPr>
        <w:t> </w:t>
      </w:r>
      <w:r>
        <w:rPr>
          <w:spacing w:val="-3"/>
          <w:w w:val="100"/>
          <w:sz w:val="21"/>
        </w:rPr>
        <w:t>20</w:t>
      </w:r>
      <w:r>
        <w:rPr>
          <w:w w:val="100"/>
          <w:sz w:val="21"/>
        </w:rPr>
        <w:t>0</w:t>
      </w:r>
      <w:r>
        <w:rPr>
          <w:spacing w:val="27"/>
          <w:sz w:val="21"/>
        </w:rPr>
        <w:t> </w:t>
      </w:r>
      <w:r>
        <w:rPr>
          <w:spacing w:val="-1"/>
          <w:w w:val="100"/>
          <w:sz w:val="21"/>
        </w:rPr>
        <w:t>an</w:t>
      </w:r>
      <w:r>
        <w:rPr>
          <w:w w:val="100"/>
          <w:sz w:val="21"/>
        </w:rPr>
        <w:t>d</w:t>
      </w:r>
      <w:r>
        <w:rPr>
          <w:spacing w:val="28"/>
          <w:sz w:val="21"/>
        </w:rPr>
        <w:t> </w:t>
      </w:r>
      <w:r>
        <w:rPr>
          <w:spacing w:val="-1"/>
          <w:w w:val="100"/>
          <w:sz w:val="21"/>
        </w:rPr>
        <w:t>o</w:t>
      </w:r>
      <w:r>
        <w:rPr>
          <w:spacing w:val="-3"/>
          <w:w w:val="100"/>
          <w:sz w:val="21"/>
        </w:rPr>
        <w:t>d</w:t>
      </w:r>
      <w:r>
        <w:rPr>
          <w:w w:val="100"/>
          <w:sz w:val="21"/>
        </w:rPr>
        <w:t>d </w:t>
      </w:r>
      <w:r>
        <w:rPr>
          <w:sz w:val="21"/>
        </w:rPr>
        <w:t>years, we are clearly of the view, cannot be a subject matter of judicial scrutiny of this Court which is the creation of statute that came into force in a system which itself was born after more than hundred and odd years when the building in dispute might have been constructed. All the expert religious witnesses have admitted that if a mosque is constructed, the picture or images of living beings like human images or animal images shall not be allowed to remain thereat. The creator of the building in dispute thought otherwise, yet the followers of Islam did not hesitate in using the premises for the purpose of Namaz. Whether the belief of such persons, who visited the premises for such worship, is superior or inferior, whether such offering of Namaz was regular or frequent or occasional and intermittent would be of no consequence. Suffice, if there had been Namaz by the Muslim. The offering of worship by Hindus</w:t>
      </w:r>
      <w:r>
        <w:rPr>
          <w:spacing w:val="13"/>
          <w:sz w:val="21"/>
        </w:rPr>
        <w:t> </w:t>
      </w:r>
      <w:r>
        <w:rPr>
          <w:sz w:val="21"/>
        </w:rPr>
        <w:t>knowing the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3" w:firstLine="0"/>
        <w:jc w:val="both"/>
        <w:rPr>
          <w:sz w:val="21"/>
        </w:rPr>
      </w:pPr>
      <w:r>
        <w:rPr>
          <w:sz w:val="21"/>
        </w:rPr>
        <w:t>building in dispute that it is a mosque is something else but  on that basis the manner in which the building in dispute has been known for the last more than 250 years and odd cannot be</w:t>
      </w:r>
      <w:r>
        <w:rPr>
          <w:spacing w:val="-2"/>
          <w:sz w:val="21"/>
        </w:rPr>
        <w:t> </w:t>
      </w:r>
      <w:r>
        <w:rPr>
          <w:sz w:val="21"/>
        </w:rPr>
        <w:t>changed.‖</w:t>
      </w:r>
    </w:p>
    <w:p>
      <w:pPr>
        <w:pStyle w:val="BodyText"/>
        <w:rPr>
          <w:sz w:val="24"/>
        </w:rPr>
      </w:pPr>
    </w:p>
    <w:p>
      <w:pPr>
        <w:pStyle w:val="BodyText"/>
        <w:rPr>
          <w:sz w:val="26"/>
        </w:rPr>
      </w:pPr>
    </w:p>
    <w:p>
      <w:pPr>
        <w:pStyle w:val="BodyText"/>
        <w:spacing w:line="480" w:lineRule="auto" w:before="1"/>
        <w:ind w:left="500" w:right="512"/>
      </w:pPr>
      <w:r>
        <w:rPr/>
        <w:t>The offering of prayer by Muslims though intermittently from 1860 uptill 16 December 1949 was in the view of the High Court a matter of significance.</w:t>
      </w:r>
    </w:p>
    <w:p>
      <w:pPr>
        <w:pStyle w:val="BodyText"/>
      </w:pPr>
    </w:p>
    <w:p>
      <w:pPr>
        <w:pStyle w:val="ListParagraph"/>
        <w:numPr>
          <w:ilvl w:val="0"/>
          <w:numId w:val="3"/>
        </w:numPr>
        <w:tabs>
          <w:tab w:pos="1221" w:val="left" w:leader="none"/>
        </w:tabs>
        <w:spacing w:line="480" w:lineRule="auto" w:before="0" w:after="0"/>
        <w:ind w:left="500" w:right="435" w:firstLine="0"/>
        <w:jc w:val="both"/>
        <w:rPr>
          <w:sz w:val="25"/>
        </w:rPr>
      </w:pPr>
      <w:r>
        <w:rPr>
          <w:sz w:val="25"/>
        </w:rPr>
        <w:t>Assailing the above view, it has been urged by Mr Mishra that the observations of the High Court are </w:t>
      </w:r>
      <w:r>
        <w:rPr>
          <w:i/>
          <w:sz w:val="25"/>
        </w:rPr>
        <w:t>per incuriam </w:t>
      </w:r>
      <w:r>
        <w:rPr>
          <w:sz w:val="25"/>
        </w:rPr>
        <w:t>and that in terms of Section 3 of the Oudh Laws Act 1876, decisions on matters of religious use or institutions have to be decided according to Islamic law or, as the case may be, according to Hindu</w:t>
      </w:r>
      <w:r>
        <w:rPr>
          <w:spacing w:val="-1"/>
          <w:sz w:val="25"/>
        </w:rPr>
        <w:t> </w:t>
      </w:r>
      <w:r>
        <w:rPr>
          <w:sz w:val="25"/>
        </w:rPr>
        <w:t>law.</w:t>
      </w:r>
    </w:p>
    <w:p>
      <w:pPr>
        <w:pStyle w:val="BodyText"/>
        <w:rPr>
          <w:sz w:val="28"/>
        </w:rPr>
      </w:pPr>
    </w:p>
    <w:p>
      <w:pPr>
        <w:pStyle w:val="BodyText"/>
        <w:spacing w:before="2"/>
        <w:rPr>
          <w:sz w:val="22"/>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Essentially, the submissions which have been urged before this Court require it to embark upon a journey into theological doctrine and to apply the doctrine to deduce whether every one of the features prescribed by the Hadees for the location or construction of a mosque have been</w:t>
      </w:r>
      <w:r>
        <w:rPr>
          <w:spacing w:val="-11"/>
          <w:sz w:val="25"/>
        </w:rPr>
        <w:t> </w:t>
      </w:r>
      <w:r>
        <w:rPr>
          <w:sz w:val="25"/>
        </w:rPr>
        <w:t>fulfilled.</w:t>
      </w:r>
    </w:p>
    <w:p>
      <w:pPr>
        <w:pStyle w:val="BodyText"/>
      </w:pPr>
    </w:p>
    <w:p>
      <w:pPr>
        <w:pStyle w:val="ListParagraph"/>
        <w:numPr>
          <w:ilvl w:val="0"/>
          <w:numId w:val="3"/>
        </w:numPr>
        <w:tabs>
          <w:tab w:pos="1221" w:val="left" w:leader="none"/>
        </w:tabs>
        <w:spacing w:line="480" w:lineRule="auto" w:before="0" w:after="0"/>
        <w:ind w:left="500" w:right="440" w:firstLine="0"/>
        <w:jc w:val="both"/>
        <w:rPr>
          <w:sz w:val="25"/>
        </w:rPr>
      </w:pPr>
      <w:r>
        <w:rPr>
          <w:sz w:val="25"/>
        </w:rPr>
        <w:t>During the course of the submissions, it has emerged that the extreme and even absolute view of Islam sought to be portrayed by Mr P N Mishra does not emerge as the only available interpretation of Islamic law on a matter of theology. Hence, in the given set of facts and circumstances, it is inappropriate for this Court to enter upon an area of theology and to assume the role of an interpreter of the Hadees. The true test is whether those who believe and worship have faith in the religious efficacy of the place where they pray. The belief and faith of the worshipper</w:t>
      </w:r>
      <w:r>
        <w:rPr>
          <w:spacing w:val="35"/>
          <w:sz w:val="25"/>
        </w:rPr>
        <w:t> </w:t>
      </w:r>
      <w:r>
        <w:rPr>
          <w:sz w:val="25"/>
        </w:rPr>
        <w:t>in</w:t>
      </w:r>
      <w:r>
        <w:rPr>
          <w:spacing w:val="34"/>
          <w:sz w:val="25"/>
        </w:rPr>
        <w:t> </w:t>
      </w:r>
      <w:r>
        <w:rPr>
          <w:sz w:val="25"/>
        </w:rPr>
        <w:t>offering</w:t>
      </w:r>
      <w:r>
        <w:rPr>
          <w:spacing w:val="34"/>
          <w:sz w:val="25"/>
        </w:rPr>
        <w:t> </w:t>
      </w:r>
      <w:r>
        <w:rPr>
          <w:sz w:val="25"/>
        </w:rPr>
        <w:t>namaz</w:t>
      </w:r>
      <w:r>
        <w:rPr>
          <w:spacing w:val="34"/>
          <w:sz w:val="25"/>
        </w:rPr>
        <w:t> </w:t>
      </w:r>
      <w:r>
        <w:rPr>
          <w:sz w:val="25"/>
        </w:rPr>
        <w:t>at</w:t>
      </w:r>
      <w:r>
        <w:rPr>
          <w:spacing w:val="35"/>
          <w:sz w:val="25"/>
        </w:rPr>
        <w:t> </w:t>
      </w:r>
      <w:r>
        <w:rPr>
          <w:sz w:val="25"/>
        </w:rPr>
        <w:t>a</w:t>
      </w:r>
      <w:r>
        <w:rPr>
          <w:spacing w:val="34"/>
          <w:sz w:val="25"/>
        </w:rPr>
        <w:t> </w:t>
      </w:r>
      <w:r>
        <w:rPr>
          <w:sz w:val="25"/>
        </w:rPr>
        <w:t>place</w:t>
      </w:r>
      <w:r>
        <w:rPr>
          <w:spacing w:val="32"/>
          <w:sz w:val="25"/>
        </w:rPr>
        <w:t> </w:t>
      </w:r>
      <w:r>
        <w:rPr>
          <w:sz w:val="25"/>
        </w:rPr>
        <w:t>which</w:t>
      </w:r>
      <w:r>
        <w:rPr>
          <w:spacing w:val="34"/>
          <w:sz w:val="25"/>
        </w:rPr>
        <w:t> </w:t>
      </w:r>
      <w:r>
        <w:rPr>
          <w:sz w:val="25"/>
        </w:rPr>
        <w:t>is</w:t>
      </w:r>
      <w:r>
        <w:rPr>
          <w:spacing w:val="34"/>
          <w:sz w:val="25"/>
        </w:rPr>
        <w:t> </w:t>
      </w:r>
      <w:r>
        <w:rPr>
          <w:sz w:val="25"/>
        </w:rPr>
        <w:t>for</w:t>
      </w:r>
      <w:r>
        <w:rPr>
          <w:spacing w:val="36"/>
          <w:sz w:val="25"/>
        </w:rPr>
        <w:t> </w:t>
      </w:r>
      <w:r>
        <w:rPr>
          <w:sz w:val="25"/>
        </w:rPr>
        <w:t>the</w:t>
      </w:r>
      <w:r>
        <w:rPr>
          <w:spacing w:val="35"/>
          <w:sz w:val="25"/>
        </w:rPr>
        <w:t> </w:t>
      </w:r>
      <w:r>
        <w:rPr>
          <w:sz w:val="25"/>
        </w:rPr>
        <w:t>worshipper</w:t>
      </w:r>
      <w:r>
        <w:rPr>
          <w:spacing w:val="35"/>
          <w:sz w:val="25"/>
        </w:rPr>
        <w:t> </w:t>
      </w:r>
      <w:r>
        <w:rPr>
          <w:sz w:val="25"/>
        </w:rPr>
        <w:t>a</w:t>
      </w:r>
      <w:r>
        <w:rPr>
          <w:spacing w:val="34"/>
          <w:sz w:val="25"/>
        </w:rPr>
        <w:t> </w:t>
      </w:r>
      <w:r>
        <w:rPr>
          <w:sz w:val="25"/>
        </w:rPr>
        <w:t>mosque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5"/>
        <w:jc w:val="both"/>
      </w:pPr>
      <w:r>
        <w:rPr/>
        <w:t>cannot be challenged. It would be preposterous for this Court to question it on the ground that a true Muslim would not offer prayer in a place which does not meet an extreme interpretation of doctrine selectively advanced by Mr Mishra. This Court, as a secular institution, set up under a constitutional regime must steer clear from choosing one among many possible interpretations of theological doctrine and must defer to the safer course of accepting the faith and belief of the worshipper.</w:t>
      </w:r>
    </w:p>
    <w:p>
      <w:pPr>
        <w:pStyle w:val="BodyText"/>
        <w:spacing w:before="1"/>
      </w:pPr>
    </w:p>
    <w:p>
      <w:pPr>
        <w:pStyle w:val="BodyText"/>
        <w:spacing w:line="480" w:lineRule="auto"/>
        <w:ind w:left="500" w:right="435"/>
        <w:jc w:val="both"/>
      </w:pPr>
      <w:r>
        <w:rPr/>
        <w:t>Above all, the practice of religion, Islam being no exception, varies according to the culture and social context. That indeed is the strength of our plural society. Cultural assimilation is a significant factor which shapes the manner in which religion is practiced. In the plural diversity of religious beliefs as they are  practiced in India, cultural assimilation cannot be construed as a feature destructive of religious doctrine. On the contrary, this process strengthens and reinforces the true character of a country which has been able to preserve its unity by accommodating, tolerating and respecting a diversity of religious faiths and ideas. There can be no hesitation in rejecting the submission made by Mr Mishra. Our Court is founded on and owes its existence to a constitutional order. </w:t>
      </w:r>
      <w:r>
        <w:rPr>
          <w:spacing w:val="3"/>
        </w:rPr>
        <w:t>We </w:t>
      </w:r>
      <w:r>
        <w:rPr/>
        <w:t>must firmly reject any attempt to lead the court to interpret religious doctrine in an absolute and extreme form and question the faith of worshippers. Nothing would</w:t>
      </w:r>
      <w:r>
        <w:rPr>
          <w:spacing w:val="33"/>
        </w:rPr>
        <w:t> </w:t>
      </w:r>
      <w:r>
        <w:rPr/>
        <w:t>be</w:t>
      </w:r>
      <w:r>
        <w:rPr>
          <w:spacing w:val="34"/>
        </w:rPr>
        <w:t> </w:t>
      </w:r>
      <w:r>
        <w:rPr/>
        <w:t>as</w:t>
      </w:r>
      <w:r>
        <w:rPr>
          <w:spacing w:val="34"/>
        </w:rPr>
        <w:t> </w:t>
      </w:r>
      <w:r>
        <w:rPr/>
        <w:t>destructive</w:t>
      </w:r>
      <w:r>
        <w:rPr>
          <w:spacing w:val="34"/>
        </w:rPr>
        <w:t> </w:t>
      </w:r>
      <w:r>
        <w:rPr/>
        <w:t>of</w:t>
      </w:r>
      <w:r>
        <w:rPr>
          <w:spacing w:val="34"/>
        </w:rPr>
        <w:t> </w:t>
      </w:r>
      <w:r>
        <w:rPr/>
        <w:t>the</w:t>
      </w:r>
      <w:r>
        <w:rPr>
          <w:spacing w:val="37"/>
        </w:rPr>
        <w:t> </w:t>
      </w:r>
      <w:r>
        <w:rPr/>
        <w:t>values</w:t>
      </w:r>
      <w:r>
        <w:rPr>
          <w:spacing w:val="36"/>
        </w:rPr>
        <w:t> </w:t>
      </w:r>
      <w:r>
        <w:rPr/>
        <w:t>underlying</w:t>
      </w:r>
      <w:r>
        <w:rPr>
          <w:spacing w:val="37"/>
        </w:rPr>
        <w:t> </w:t>
      </w:r>
      <w:r>
        <w:rPr/>
        <w:t>Article</w:t>
      </w:r>
      <w:r>
        <w:rPr>
          <w:spacing w:val="33"/>
        </w:rPr>
        <w:t> </w:t>
      </w:r>
      <w:r>
        <w:rPr/>
        <w:t>25</w:t>
      </w:r>
      <w:r>
        <w:rPr>
          <w:spacing w:val="34"/>
        </w:rPr>
        <w:t> </w:t>
      </w:r>
      <w:r>
        <w:rPr/>
        <w:t>of</w:t>
      </w:r>
      <w:r>
        <w:rPr>
          <w:spacing w:val="35"/>
        </w:rPr>
        <w:t> </w:t>
      </w:r>
      <w:r>
        <w:rPr/>
        <w:t>the</w:t>
      </w:r>
      <w:r>
        <w:rPr>
          <w:spacing w:val="34"/>
        </w:rPr>
        <w:t> </w:t>
      </w:r>
      <w:r>
        <w:rPr/>
        <w:t>Constitution.</w:t>
      </w:r>
    </w:p>
    <w:p>
      <w:pPr>
        <w:spacing w:after="0" w:line="480" w:lineRule="auto"/>
        <w:jc w:val="both"/>
        <w:sectPr>
          <w:pgSz w:w="11910" w:h="16840"/>
          <w:pgMar w:header="721" w:footer="1014" w:top="1300" w:bottom="1200" w:left="940" w:right="1000"/>
        </w:sectPr>
      </w:pPr>
    </w:p>
    <w:p>
      <w:pPr>
        <w:pStyle w:val="Heading3"/>
        <w:numPr>
          <w:ilvl w:val="0"/>
          <w:numId w:val="56"/>
        </w:numPr>
        <w:tabs>
          <w:tab w:pos="1220" w:val="left" w:leader="none"/>
          <w:tab w:pos="1221" w:val="left" w:leader="none"/>
        </w:tabs>
        <w:spacing w:line="240" w:lineRule="auto" w:before="124" w:after="0"/>
        <w:ind w:left="1220" w:right="0" w:hanging="721"/>
        <w:jc w:val="left"/>
      </w:pPr>
      <w:r>
        <w:rPr/>
        <w:t>Places of Worship Act</w:t>
      </w:r>
    </w:p>
    <w:p>
      <w:pPr>
        <w:pStyle w:val="BodyText"/>
        <w:rPr>
          <w:b/>
          <w:sz w:val="28"/>
        </w:rPr>
      </w:pPr>
    </w:p>
    <w:p>
      <w:pPr>
        <w:pStyle w:val="ListParagraph"/>
        <w:numPr>
          <w:ilvl w:val="0"/>
          <w:numId w:val="3"/>
        </w:numPr>
        <w:tabs>
          <w:tab w:pos="1220" w:val="left" w:leader="none"/>
          <w:tab w:pos="1221" w:val="left" w:leader="none"/>
        </w:tabs>
        <w:spacing w:line="240" w:lineRule="auto" w:before="204" w:after="0"/>
        <w:ind w:left="1220" w:right="0" w:hanging="721"/>
        <w:jc w:val="left"/>
        <w:rPr>
          <w:sz w:val="25"/>
        </w:rPr>
      </w:pPr>
      <w:r>
        <w:rPr>
          <w:sz w:val="25"/>
        </w:rPr>
        <w:t>Parliament enacted the Places of Worship (Special Provisions) Act</w:t>
      </w:r>
      <w:r>
        <w:rPr>
          <w:spacing w:val="60"/>
          <w:sz w:val="25"/>
        </w:rPr>
        <w:t> </w:t>
      </w:r>
      <w:r>
        <w:rPr>
          <w:sz w:val="25"/>
        </w:rPr>
        <w:t>1991</w:t>
      </w:r>
      <w:r>
        <w:rPr>
          <w:sz w:val="25"/>
          <w:vertAlign w:val="superscript"/>
        </w:rPr>
        <w:t>33</w:t>
      </w:r>
      <w:r>
        <w:rPr>
          <w:sz w:val="25"/>
          <w:vertAlign w:val="baseline"/>
        </w:rPr>
        <w:t>.</w:t>
      </w:r>
    </w:p>
    <w:p>
      <w:pPr>
        <w:pStyle w:val="BodyText"/>
        <w:spacing w:before="1"/>
      </w:pPr>
    </w:p>
    <w:p>
      <w:pPr>
        <w:pStyle w:val="BodyText"/>
        <w:spacing w:line="480" w:lineRule="auto"/>
        <w:ind w:left="500" w:right="446"/>
        <w:jc w:val="both"/>
      </w:pPr>
      <w:r>
        <w:rPr/>
        <w:t>Sections 3, 6 and 8 of the legislation came into force at once on the date of enactment (18 September 1991) while the other provisions are deemed to have come into force on 11 July 1991. The long title evinces the intent of Parliament in enacting the law, for it is:</w:t>
      </w:r>
    </w:p>
    <w:p>
      <w:pPr>
        <w:spacing w:line="276" w:lineRule="auto" w:before="0"/>
        <w:ind w:left="1940" w:right="2261" w:firstLine="0"/>
        <w:jc w:val="both"/>
        <w:rPr>
          <w:sz w:val="21"/>
        </w:rPr>
      </w:pPr>
      <w:r>
        <w:rPr>
          <w:w w:val="33"/>
          <w:sz w:val="21"/>
        </w:rPr>
        <w:t>―</w:t>
      </w:r>
      <w:r>
        <w:rPr>
          <w:w w:val="100"/>
          <w:sz w:val="21"/>
        </w:rPr>
        <w:t>An</w:t>
      </w:r>
      <w:r>
        <w:rPr>
          <w:sz w:val="21"/>
        </w:rPr>
        <w:t> </w:t>
      </w:r>
      <w:r>
        <w:rPr>
          <w:w w:val="100"/>
          <w:sz w:val="21"/>
        </w:rPr>
        <w:t>Act</w:t>
      </w:r>
      <w:r>
        <w:rPr>
          <w:sz w:val="21"/>
        </w:rPr>
        <w:t> </w:t>
      </w:r>
      <w:r>
        <w:rPr>
          <w:w w:val="100"/>
          <w:sz w:val="21"/>
        </w:rPr>
        <w:t>to</w:t>
      </w:r>
      <w:r>
        <w:rPr>
          <w:sz w:val="21"/>
        </w:rPr>
        <w:t> </w:t>
      </w:r>
      <w:r>
        <w:rPr>
          <w:w w:val="100"/>
          <w:sz w:val="21"/>
        </w:rPr>
        <w:t>prohibit</w:t>
      </w:r>
      <w:r>
        <w:rPr>
          <w:sz w:val="21"/>
        </w:rPr>
        <w:t> </w:t>
      </w:r>
      <w:r>
        <w:rPr>
          <w:w w:val="100"/>
          <w:sz w:val="21"/>
        </w:rPr>
        <w:t>conversion</w:t>
      </w:r>
      <w:r>
        <w:rPr>
          <w:sz w:val="21"/>
        </w:rPr>
        <w:t> </w:t>
      </w:r>
      <w:r>
        <w:rPr>
          <w:w w:val="100"/>
          <w:sz w:val="21"/>
        </w:rPr>
        <w:t>of</w:t>
      </w:r>
      <w:r>
        <w:rPr>
          <w:sz w:val="21"/>
        </w:rPr>
        <w:t> </w:t>
      </w:r>
      <w:r>
        <w:rPr>
          <w:w w:val="100"/>
          <w:sz w:val="21"/>
        </w:rPr>
        <w:t>any</w:t>
      </w:r>
      <w:r>
        <w:rPr>
          <w:sz w:val="21"/>
        </w:rPr>
        <w:t> </w:t>
      </w:r>
      <w:r>
        <w:rPr>
          <w:w w:val="100"/>
          <w:sz w:val="21"/>
        </w:rPr>
        <w:t>place</w:t>
      </w:r>
      <w:r>
        <w:rPr>
          <w:sz w:val="21"/>
        </w:rPr>
        <w:t> </w:t>
      </w:r>
      <w:r>
        <w:rPr>
          <w:w w:val="100"/>
          <w:sz w:val="21"/>
        </w:rPr>
        <w:t>of</w:t>
      </w:r>
      <w:r>
        <w:rPr>
          <w:sz w:val="21"/>
        </w:rPr>
        <w:t> </w:t>
      </w:r>
      <w:r>
        <w:rPr>
          <w:w w:val="100"/>
          <w:sz w:val="21"/>
        </w:rPr>
        <w:t>worship</w:t>
      </w:r>
      <w:r>
        <w:rPr>
          <w:sz w:val="21"/>
        </w:rPr>
        <w:t> </w:t>
      </w:r>
      <w:r>
        <w:rPr>
          <w:w w:val="100"/>
          <w:sz w:val="21"/>
        </w:rPr>
        <w:t>and</w:t>
      </w:r>
      <w:r>
        <w:rPr>
          <w:sz w:val="21"/>
        </w:rPr>
        <w:t> </w:t>
      </w:r>
      <w:r>
        <w:rPr>
          <w:w w:val="100"/>
          <w:sz w:val="21"/>
        </w:rPr>
        <w:t>to </w:t>
      </w:r>
      <w:r>
        <w:rPr>
          <w:sz w:val="21"/>
        </w:rPr>
        <w:t>provide for the maintenance of the religious character of any place of worship as it existed on the 15</w:t>
      </w:r>
      <w:r>
        <w:rPr>
          <w:sz w:val="21"/>
          <w:vertAlign w:val="superscript"/>
        </w:rPr>
        <w:t>th</w:t>
      </w:r>
      <w:r>
        <w:rPr>
          <w:sz w:val="21"/>
          <w:vertAlign w:val="baseline"/>
        </w:rPr>
        <w:t> day of August, 1947, and for matters connected therewith or incidental thereto.‖</w:t>
      </w:r>
    </w:p>
    <w:p>
      <w:pPr>
        <w:pStyle w:val="BodyText"/>
        <w:rPr>
          <w:sz w:val="24"/>
        </w:rPr>
      </w:pPr>
    </w:p>
    <w:p>
      <w:pPr>
        <w:pStyle w:val="BodyText"/>
        <w:rPr>
          <w:sz w:val="24"/>
        </w:rPr>
      </w:pPr>
    </w:p>
    <w:p>
      <w:pPr>
        <w:pStyle w:val="BodyText"/>
        <w:spacing w:before="8"/>
        <w:rPr>
          <w:sz w:val="30"/>
        </w:rPr>
      </w:pPr>
    </w:p>
    <w:p>
      <w:pPr>
        <w:pStyle w:val="BodyText"/>
        <w:spacing w:line="480" w:lineRule="auto" w:before="1"/>
        <w:ind w:left="500" w:right="443"/>
        <w:jc w:val="both"/>
      </w:pPr>
      <w:r>
        <w:rPr/>
        <w:t>The law has been enacted to fulfil two purposes. First, it prohibits the conversion of any place of worship. In doing so, it speaks to the future by mandating that the character of a place of public worship shall not be altered. Second, the law seeks to impose a positive obligation to maintain the religious character of every place of worship as it existed on 15 August 1947 when India achieved independence from colonial</w:t>
      </w:r>
      <w:r>
        <w:rPr>
          <w:spacing w:val="-2"/>
        </w:rPr>
        <w:t> </w:t>
      </w:r>
      <w:r>
        <w:rPr/>
        <w:t>rule.</w:t>
      </w:r>
    </w:p>
    <w:p>
      <w:pPr>
        <w:pStyle w:val="BodyText"/>
        <w:spacing w:before="11"/>
        <w:rPr>
          <w:sz w:val="24"/>
        </w:rPr>
      </w:pPr>
    </w:p>
    <w:p>
      <w:pPr>
        <w:pStyle w:val="ListParagraph"/>
        <w:numPr>
          <w:ilvl w:val="0"/>
          <w:numId w:val="3"/>
        </w:numPr>
        <w:tabs>
          <w:tab w:pos="1220" w:val="left" w:leader="none"/>
          <w:tab w:pos="1221" w:val="left" w:leader="none"/>
        </w:tabs>
        <w:spacing w:line="240" w:lineRule="auto" w:before="0" w:after="0"/>
        <w:ind w:left="1220" w:right="0" w:hanging="721"/>
        <w:jc w:val="left"/>
        <w:rPr>
          <w:sz w:val="25"/>
        </w:rPr>
      </w:pPr>
      <w:r>
        <w:rPr>
          <w:sz w:val="25"/>
        </w:rPr>
        <w:t>The expression ‗place of worship‘ is defined in Section 2(c) thus</w:t>
      </w:r>
      <w:r>
        <w:rPr>
          <w:spacing w:val="-42"/>
          <w:sz w:val="25"/>
        </w:rPr>
        <w:t> </w:t>
      </w:r>
      <w:r>
        <w:rPr>
          <w:sz w:val="25"/>
        </w:rPr>
        <w:t>:</w:t>
      </w:r>
    </w:p>
    <w:p>
      <w:pPr>
        <w:pStyle w:val="BodyText"/>
        <w:spacing w:before="1"/>
      </w:pPr>
    </w:p>
    <w:p>
      <w:pPr>
        <w:spacing w:line="276" w:lineRule="auto" w:before="0"/>
        <w:ind w:left="1940" w:right="2262" w:firstLine="0"/>
        <w:jc w:val="both"/>
        <w:rPr>
          <w:sz w:val="21"/>
        </w:rPr>
      </w:pPr>
      <w:r>
        <w:rPr>
          <w:w w:val="33"/>
          <w:sz w:val="21"/>
        </w:rPr>
        <w:t>―</w:t>
      </w:r>
      <w:r>
        <w:rPr>
          <w:w w:val="100"/>
          <w:sz w:val="21"/>
        </w:rPr>
        <w:t>2(c)</w:t>
      </w:r>
      <w:r>
        <w:rPr>
          <w:sz w:val="21"/>
        </w:rPr>
        <w:t> </w:t>
      </w:r>
      <w:r>
        <w:rPr>
          <w:w w:val="33"/>
          <w:sz w:val="21"/>
        </w:rPr>
        <w:t>―</w:t>
      </w:r>
      <w:r>
        <w:rPr>
          <w:w w:val="100"/>
          <w:sz w:val="21"/>
        </w:rPr>
        <w:t>place</w:t>
      </w:r>
      <w:r>
        <w:rPr>
          <w:sz w:val="21"/>
        </w:rPr>
        <w:t> </w:t>
      </w:r>
      <w:r>
        <w:rPr>
          <w:w w:val="100"/>
          <w:sz w:val="21"/>
        </w:rPr>
        <w:t>of</w:t>
      </w:r>
      <w:r>
        <w:rPr>
          <w:sz w:val="21"/>
        </w:rPr>
        <w:t> </w:t>
      </w:r>
      <w:r>
        <w:rPr>
          <w:w w:val="100"/>
          <w:sz w:val="21"/>
        </w:rPr>
        <w:t>worshi</w:t>
      </w:r>
      <w:r>
        <w:rPr>
          <w:w w:val="92"/>
          <w:sz w:val="21"/>
        </w:rPr>
        <w:t>p‖</w:t>
      </w:r>
      <w:r>
        <w:rPr>
          <w:sz w:val="21"/>
        </w:rPr>
        <w:t> </w:t>
      </w:r>
      <w:r>
        <w:rPr>
          <w:w w:val="100"/>
          <w:sz w:val="21"/>
        </w:rPr>
        <w:t>means</w:t>
      </w:r>
      <w:r>
        <w:rPr>
          <w:sz w:val="21"/>
        </w:rPr>
        <w:t> </w:t>
      </w:r>
      <w:r>
        <w:rPr>
          <w:w w:val="100"/>
          <w:sz w:val="21"/>
        </w:rPr>
        <w:t>a</w:t>
      </w:r>
      <w:r>
        <w:rPr>
          <w:sz w:val="21"/>
        </w:rPr>
        <w:t> </w:t>
      </w:r>
      <w:r>
        <w:rPr>
          <w:w w:val="100"/>
          <w:sz w:val="21"/>
        </w:rPr>
        <w:t>temple,</w:t>
      </w:r>
      <w:r>
        <w:rPr>
          <w:sz w:val="21"/>
        </w:rPr>
        <w:t> </w:t>
      </w:r>
      <w:r>
        <w:rPr>
          <w:w w:val="100"/>
          <w:sz w:val="21"/>
        </w:rPr>
        <w:t>mosque,</w:t>
      </w:r>
      <w:r>
        <w:rPr>
          <w:sz w:val="21"/>
        </w:rPr>
        <w:t> </w:t>
      </w:r>
      <w:r>
        <w:rPr>
          <w:w w:val="100"/>
          <w:sz w:val="21"/>
        </w:rPr>
        <w:t>gurudwara, </w:t>
      </w:r>
      <w:r>
        <w:rPr>
          <w:sz w:val="21"/>
        </w:rPr>
        <w:t>church, monastery or any other place of public religious worship of any religious denomination or any section thereof, by whatever name called.‖</w:t>
      </w:r>
    </w:p>
    <w:p>
      <w:pPr>
        <w:pStyle w:val="BodyText"/>
        <w:rPr>
          <w:sz w:val="24"/>
        </w:rPr>
      </w:pPr>
    </w:p>
    <w:p>
      <w:pPr>
        <w:pStyle w:val="BodyText"/>
        <w:rPr>
          <w:sz w:val="24"/>
        </w:rPr>
      </w:pPr>
    </w:p>
    <w:p>
      <w:pPr>
        <w:pStyle w:val="BodyText"/>
        <w:rPr>
          <w:sz w:val="27"/>
        </w:rPr>
      </w:pPr>
    </w:p>
    <w:p>
      <w:pPr>
        <w:pStyle w:val="BodyText"/>
        <w:spacing w:line="480" w:lineRule="auto"/>
        <w:ind w:left="500" w:right="439"/>
        <w:jc w:val="both"/>
      </w:pPr>
      <w:r>
        <w:rPr>
          <w:w w:val="99"/>
        </w:rPr>
        <w:t>In</w:t>
      </w:r>
      <w:r>
        <w:rPr/>
        <w:t> </w:t>
      </w:r>
      <w:r>
        <w:rPr>
          <w:w w:val="99"/>
        </w:rPr>
        <w:t>S</w:t>
      </w:r>
      <w:r>
        <w:rPr>
          <w:w w:val="99"/>
        </w:rPr>
        <w:t>ectio</w:t>
      </w:r>
      <w:r>
        <w:rPr>
          <w:w w:val="99"/>
        </w:rPr>
        <w:t>n</w:t>
      </w:r>
      <w:r>
        <w:rPr/>
        <w:t> </w:t>
      </w:r>
      <w:r>
        <w:rPr>
          <w:w w:val="99"/>
        </w:rPr>
        <w:t>2(a)</w:t>
      </w:r>
      <w:r>
        <w:rPr>
          <w:w w:val="99"/>
        </w:rPr>
        <w:t>,</w:t>
      </w:r>
      <w:r>
        <w:rPr/>
        <w:t> </w:t>
      </w:r>
      <w:r>
        <w:rPr>
          <w:w w:val="99"/>
        </w:rPr>
        <w:t>the</w:t>
      </w:r>
      <w:r>
        <w:rPr/>
        <w:t> </w:t>
      </w:r>
      <w:r>
        <w:rPr>
          <w:w w:val="99"/>
        </w:rPr>
        <w:t>P</w:t>
      </w:r>
      <w:r>
        <w:rPr>
          <w:w w:val="99"/>
        </w:rPr>
        <w:t>laces</w:t>
      </w:r>
      <w:r>
        <w:rPr/>
        <w:t> </w:t>
      </w:r>
      <w:r>
        <w:rPr>
          <w:w w:val="99"/>
        </w:rPr>
        <w:t>of</w:t>
      </w:r>
      <w:r>
        <w:rPr/>
        <w:t> </w:t>
      </w:r>
      <w:r>
        <w:rPr>
          <w:w w:val="99"/>
        </w:rPr>
        <w:t>W</w:t>
      </w:r>
      <w:r>
        <w:rPr>
          <w:w w:val="99"/>
        </w:rPr>
        <w:t>orship</w:t>
      </w:r>
      <w:r>
        <w:rPr/>
        <w:t> </w:t>
      </w:r>
      <w:r>
        <w:rPr>
          <w:w w:val="99"/>
        </w:rPr>
        <w:t>A</w:t>
      </w:r>
      <w:r>
        <w:rPr>
          <w:w w:val="99"/>
        </w:rPr>
        <w:t>ct</w:t>
      </w:r>
      <w:r>
        <w:rPr/>
        <w:t> </w:t>
      </w:r>
      <w:r>
        <w:rPr>
          <w:w w:val="99"/>
        </w:rPr>
        <w:t>provides</w:t>
      </w:r>
      <w:r>
        <w:rPr/>
        <w:t> </w:t>
      </w:r>
      <w:r>
        <w:rPr>
          <w:w w:val="99"/>
        </w:rPr>
        <w:t>tha</w:t>
      </w:r>
      <w:r>
        <w:rPr>
          <w:w w:val="99"/>
        </w:rPr>
        <w:t>t</w:t>
      </w:r>
      <w:r>
        <w:rPr/>
        <w:t> </w:t>
      </w:r>
      <w:r>
        <w:rPr>
          <w:w w:val="99"/>
        </w:rPr>
        <w:t>the</w:t>
      </w:r>
      <w:r>
        <w:rPr/>
        <w:t> </w:t>
      </w:r>
      <w:r>
        <w:rPr>
          <w:w w:val="33"/>
        </w:rPr>
        <w:t>―</w:t>
      </w:r>
      <w:r>
        <w:rPr>
          <w:w w:val="99"/>
        </w:rPr>
        <w:t>commencement</w:t>
      </w:r>
      <w:r>
        <w:rPr/>
        <w:t> </w:t>
      </w:r>
      <w:r>
        <w:rPr>
          <w:w w:val="99"/>
        </w:rPr>
        <w:t>of </w:t>
      </w:r>
      <w:r>
        <w:rPr/>
        <w:t>this Act‖ means the commencement on 11 July 1991.</w:t>
      </w:r>
    </w:p>
    <w:p>
      <w:pPr>
        <w:pStyle w:val="BodyText"/>
        <w:rPr>
          <w:sz w:val="20"/>
        </w:rPr>
      </w:pPr>
    </w:p>
    <w:p>
      <w:pPr>
        <w:pStyle w:val="BodyText"/>
        <w:spacing w:before="6"/>
        <w:rPr>
          <w:sz w:val="18"/>
        </w:rPr>
      </w:pPr>
      <w:r>
        <w:rPr/>
        <w:pict>
          <v:rect style="position:absolute;margin-left:72.024002pt;margin-top:12.619287pt;width:144.020pt;height:.599980pt;mso-position-horizontal-relative:page;mso-position-vertical-relative:paragraph;z-index:-15716352;mso-wrap-distance-left:0;mso-wrap-distance-right:0" filled="true" fillcolor="#000000" stroked="false">
            <v:fill type="solid"/>
            <w10:wrap type="topAndBottom"/>
          </v:rect>
        </w:pict>
      </w:r>
    </w:p>
    <w:p>
      <w:pPr>
        <w:spacing w:before="80"/>
        <w:ind w:left="500" w:right="0" w:firstLine="0"/>
        <w:jc w:val="left"/>
        <w:rPr>
          <w:sz w:val="18"/>
        </w:rPr>
      </w:pPr>
      <w:r>
        <w:rPr>
          <w:w w:val="97"/>
          <w:sz w:val="18"/>
          <w:vertAlign w:val="superscript"/>
        </w:rPr>
        <w:t>33</w:t>
      </w:r>
      <w:r>
        <w:rPr>
          <w:sz w:val="18"/>
          <w:vertAlign w:val="baseline"/>
        </w:rPr>
        <w:t> </w:t>
      </w:r>
      <w:r>
        <w:rPr>
          <w:w w:val="33"/>
          <w:sz w:val="18"/>
          <w:vertAlign w:val="baseline"/>
        </w:rPr>
        <w:t>―</w:t>
      </w:r>
      <w:r>
        <w:rPr>
          <w:w w:val="99"/>
          <w:sz w:val="18"/>
          <w:vertAlign w:val="baseline"/>
        </w:rPr>
        <w:t>Pla</w:t>
      </w:r>
      <w:r>
        <w:rPr>
          <w:spacing w:val="-2"/>
          <w:sz w:val="18"/>
          <w:vertAlign w:val="baseline"/>
        </w:rPr>
        <w:t>c</w:t>
      </w:r>
      <w:r>
        <w:rPr>
          <w:w w:val="99"/>
          <w:sz w:val="18"/>
          <w:vertAlign w:val="baseline"/>
        </w:rPr>
        <w:t>e</w:t>
      </w:r>
      <w:r>
        <w:rPr>
          <w:sz w:val="18"/>
          <w:vertAlign w:val="baseline"/>
        </w:rPr>
        <w:t>s</w:t>
      </w:r>
      <w:r>
        <w:rPr>
          <w:spacing w:val="-1"/>
          <w:sz w:val="18"/>
          <w:vertAlign w:val="baseline"/>
        </w:rPr>
        <w:t> </w:t>
      </w:r>
      <w:r>
        <w:rPr>
          <w:w w:val="99"/>
          <w:sz w:val="18"/>
          <w:vertAlign w:val="baseline"/>
        </w:rPr>
        <w:t>o</w:t>
      </w:r>
      <w:r>
        <w:rPr>
          <w:w w:val="100"/>
          <w:sz w:val="18"/>
          <w:vertAlign w:val="baseline"/>
        </w:rPr>
        <w:t>f</w:t>
      </w:r>
      <w:r>
        <w:rPr>
          <w:spacing w:val="-5"/>
          <w:sz w:val="18"/>
          <w:vertAlign w:val="baseline"/>
        </w:rPr>
        <w:t> </w:t>
      </w:r>
      <w:r>
        <w:rPr>
          <w:spacing w:val="7"/>
          <w:w w:val="100"/>
          <w:sz w:val="18"/>
          <w:vertAlign w:val="baseline"/>
        </w:rPr>
        <w:t>W</w:t>
      </w:r>
      <w:r>
        <w:rPr>
          <w:spacing w:val="-2"/>
          <w:w w:val="99"/>
          <w:sz w:val="18"/>
          <w:vertAlign w:val="baseline"/>
        </w:rPr>
        <w:t>o</w:t>
      </w:r>
      <w:r>
        <w:rPr>
          <w:spacing w:val="-3"/>
          <w:w w:val="99"/>
          <w:sz w:val="18"/>
          <w:vertAlign w:val="baseline"/>
        </w:rPr>
        <w:t>r</w:t>
      </w:r>
      <w:r>
        <w:rPr>
          <w:spacing w:val="1"/>
          <w:w w:val="99"/>
          <w:sz w:val="18"/>
          <w:vertAlign w:val="baseline"/>
        </w:rPr>
        <w:t>s</w:t>
      </w:r>
      <w:r>
        <w:rPr>
          <w:w w:val="99"/>
          <w:sz w:val="18"/>
          <w:vertAlign w:val="baseline"/>
        </w:rPr>
        <w:t>h</w:t>
      </w:r>
      <w:r>
        <w:rPr>
          <w:spacing w:val="-2"/>
          <w:w w:val="99"/>
          <w:sz w:val="18"/>
          <w:vertAlign w:val="baseline"/>
        </w:rPr>
        <w:t>i</w:t>
      </w:r>
      <w:r>
        <w:rPr>
          <w:w w:val="99"/>
          <w:sz w:val="18"/>
          <w:vertAlign w:val="baseline"/>
        </w:rPr>
        <w:t>p</w:t>
      </w:r>
      <w:r>
        <w:rPr>
          <w:sz w:val="18"/>
          <w:vertAlign w:val="baseline"/>
        </w:rPr>
        <w:t> A</w:t>
      </w:r>
      <w:r>
        <w:rPr>
          <w:spacing w:val="-1"/>
          <w:sz w:val="18"/>
          <w:vertAlign w:val="baseline"/>
        </w:rPr>
        <w:t>c</w:t>
      </w:r>
      <w:r>
        <w:rPr>
          <w:spacing w:val="1"/>
          <w:w w:val="100"/>
          <w:sz w:val="18"/>
          <w:vertAlign w:val="baseline"/>
        </w:rPr>
        <w:t>t</w:t>
      </w:r>
      <w:r>
        <w:rPr>
          <w:w w:val="80"/>
          <w:sz w:val="18"/>
          <w:vertAlign w:val="baseline"/>
        </w:rPr>
        <w:t>‖</w:t>
      </w:r>
    </w:p>
    <w:p>
      <w:pPr>
        <w:spacing w:after="0"/>
        <w:jc w:val="left"/>
        <w:rPr>
          <w:sz w:val="18"/>
        </w:rPr>
        <w:sectPr>
          <w:headerReference w:type="default" r:id="rId40"/>
          <w:footerReference w:type="default" r:id="rId41"/>
          <w:pgSz w:w="11910" w:h="16840"/>
          <w:pgMar w:header="721" w:footer="1014" w:top="1300" w:bottom="1200" w:left="940" w:right="1000"/>
          <w:pgNumType w:start="116"/>
        </w:sectPr>
      </w:pPr>
    </w:p>
    <w:p>
      <w:pPr>
        <w:pStyle w:val="BodyText"/>
        <w:spacing w:line="480" w:lineRule="auto" w:before="124"/>
        <w:ind w:left="500" w:right="442"/>
        <w:jc w:val="both"/>
      </w:pPr>
      <w:r>
        <w:rPr/>
        <w:t>Section 3 enacts a bar on the conversion of a place of worship of any religious denomination or a section of it into a place of worship of a different religious denomination or of a different segment of the same religious denomination:</w:t>
      </w:r>
    </w:p>
    <w:p>
      <w:pPr>
        <w:spacing w:line="276" w:lineRule="auto" w:before="0"/>
        <w:ind w:left="1940" w:right="2262" w:firstLine="0"/>
        <w:jc w:val="both"/>
        <w:rPr>
          <w:sz w:val="21"/>
        </w:rPr>
      </w:pPr>
      <w:r>
        <w:rPr>
          <w:w w:val="33"/>
          <w:sz w:val="21"/>
        </w:rPr>
        <w:t>―</w:t>
      </w:r>
      <w:r>
        <w:rPr>
          <w:w w:val="100"/>
          <w:sz w:val="21"/>
        </w:rPr>
        <w:t>3.</w:t>
      </w:r>
      <w:r>
        <w:rPr>
          <w:sz w:val="21"/>
        </w:rPr>
        <w:t> </w:t>
      </w:r>
      <w:r>
        <w:rPr>
          <w:w w:val="100"/>
          <w:sz w:val="21"/>
        </w:rPr>
        <w:t>Bar</w:t>
      </w:r>
      <w:r>
        <w:rPr>
          <w:sz w:val="21"/>
        </w:rPr>
        <w:t> </w:t>
      </w:r>
      <w:r>
        <w:rPr>
          <w:w w:val="100"/>
          <w:sz w:val="21"/>
        </w:rPr>
        <w:t>of</w:t>
      </w:r>
      <w:r>
        <w:rPr>
          <w:sz w:val="21"/>
        </w:rPr>
        <w:t> </w:t>
      </w:r>
      <w:r>
        <w:rPr>
          <w:w w:val="100"/>
          <w:sz w:val="21"/>
        </w:rPr>
        <w:t>conversion</w:t>
      </w:r>
      <w:r>
        <w:rPr>
          <w:sz w:val="21"/>
        </w:rPr>
        <w:t> </w:t>
      </w:r>
      <w:r>
        <w:rPr>
          <w:w w:val="100"/>
          <w:sz w:val="21"/>
        </w:rPr>
        <w:t>of</w:t>
      </w:r>
      <w:r>
        <w:rPr>
          <w:sz w:val="21"/>
        </w:rPr>
        <w:t> </w:t>
      </w:r>
      <w:r>
        <w:rPr>
          <w:w w:val="100"/>
          <w:sz w:val="21"/>
        </w:rPr>
        <w:t>places</w:t>
      </w:r>
      <w:r>
        <w:rPr>
          <w:sz w:val="21"/>
        </w:rPr>
        <w:t> </w:t>
      </w:r>
      <w:r>
        <w:rPr>
          <w:w w:val="100"/>
          <w:sz w:val="21"/>
        </w:rPr>
        <w:t>of</w:t>
      </w:r>
      <w:r>
        <w:rPr>
          <w:sz w:val="21"/>
        </w:rPr>
        <w:t> </w:t>
      </w:r>
      <w:r>
        <w:rPr>
          <w:w w:val="100"/>
          <w:sz w:val="21"/>
        </w:rPr>
        <w:t>worship.—</w:t>
      </w:r>
      <w:r>
        <w:rPr>
          <w:w w:val="100"/>
          <w:sz w:val="21"/>
        </w:rPr>
        <w:t>No</w:t>
      </w:r>
      <w:r>
        <w:rPr>
          <w:sz w:val="21"/>
        </w:rPr>
        <w:t> </w:t>
      </w:r>
      <w:r>
        <w:rPr>
          <w:w w:val="100"/>
          <w:sz w:val="21"/>
        </w:rPr>
        <w:t>pe</w:t>
      </w:r>
      <w:r>
        <w:rPr>
          <w:w w:val="100"/>
          <w:sz w:val="21"/>
        </w:rPr>
        <w:t>r</w:t>
      </w:r>
      <w:r>
        <w:rPr>
          <w:w w:val="100"/>
          <w:sz w:val="21"/>
        </w:rPr>
        <w:t>son</w:t>
      </w:r>
      <w:r>
        <w:rPr>
          <w:sz w:val="21"/>
        </w:rPr>
        <w:t> </w:t>
      </w:r>
      <w:r>
        <w:rPr>
          <w:w w:val="100"/>
          <w:sz w:val="21"/>
        </w:rPr>
        <w:t>s</w:t>
      </w:r>
      <w:r>
        <w:rPr>
          <w:w w:val="100"/>
          <w:sz w:val="21"/>
        </w:rPr>
        <w:t>ha</w:t>
      </w:r>
      <w:r>
        <w:rPr>
          <w:w w:val="100"/>
          <w:sz w:val="21"/>
        </w:rPr>
        <w:t>ll </w:t>
      </w:r>
      <w:r>
        <w:rPr>
          <w:sz w:val="21"/>
        </w:rPr>
        <w:t>convert any place of worship of any religious denomination or any section thereof into a place of worship of a different section of the same religious denomination or of a different religious denomination or any section thereof.‖</w:t>
      </w:r>
    </w:p>
    <w:p>
      <w:pPr>
        <w:pStyle w:val="BodyText"/>
        <w:rPr>
          <w:sz w:val="24"/>
        </w:rPr>
      </w:pPr>
    </w:p>
    <w:p>
      <w:pPr>
        <w:pStyle w:val="BodyText"/>
        <w:rPr>
          <w:sz w:val="26"/>
        </w:rPr>
      </w:pPr>
    </w:p>
    <w:p>
      <w:pPr>
        <w:pStyle w:val="BodyText"/>
        <w:spacing w:line="480" w:lineRule="auto" w:before="1"/>
        <w:ind w:left="500" w:right="444"/>
        <w:jc w:val="both"/>
      </w:pPr>
      <w:r>
        <w:rPr/>
        <w:t>Section 4 preserves the religious character of a place of worship as it existed on 15 August 1947:</w:t>
      </w:r>
    </w:p>
    <w:p>
      <w:pPr>
        <w:spacing w:line="276" w:lineRule="auto" w:before="0"/>
        <w:ind w:left="1940" w:right="2260" w:firstLine="0"/>
        <w:jc w:val="both"/>
        <w:rPr>
          <w:sz w:val="21"/>
        </w:rPr>
      </w:pPr>
      <w:r>
        <w:rPr>
          <w:w w:val="33"/>
          <w:sz w:val="21"/>
        </w:rPr>
        <w:t>―</w:t>
      </w:r>
      <w:r>
        <w:rPr>
          <w:w w:val="100"/>
          <w:sz w:val="21"/>
        </w:rPr>
        <w:t>4.</w:t>
      </w:r>
      <w:r>
        <w:rPr>
          <w:sz w:val="21"/>
        </w:rPr>
        <w:t> </w:t>
      </w:r>
      <w:r>
        <w:rPr>
          <w:w w:val="100"/>
          <w:sz w:val="21"/>
        </w:rPr>
        <w:t>Declaration</w:t>
      </w:r>
      <w:r>
        <w:rPr>
          <w:sz w:val="21"/>
        </w:rPr>
        <w:t> </w:t>
      </w:r>
      <w:r>
        <w:rPr>
          <w:w w:val="100"/>
          <w:sz w:val="21"/>
        </w:rPr>
        <w:t>as</w:t>
      </w:r>
      <w:r>
        <w:rPr>
          <w:sz w:val="21"/>
        </w:rPr>
        <w:t> </w:t>
      </w:r>
      <w:r>
        <w:rPr>
          <w:w w:val="100"/>
          <w:sz w:val="21"/>
        </w:rPr>
        <w:t>to</w:t>
      </w:r>
      <w:r>
        <w:rPr>
          <w:sz w:val="21"/>
        </w:rPr>
        <w:t> </w:t>
      </w:r>
      <w:r>
        <w:rPr>
          <w:w w:val="100"/>
          <w:sz w:val="21"/>
        </w:rPr>
        <w:t>the</w:t>
      </w:r>
      <w:r>
        <w:rPr>
          <w:sz w:val="21"/>
        </w:rPr>
        <w:t> </w:t>
      </w:r>
      <w:r>
        <w:rPr>
          <w:w w:val="100"/>
          <w:sz w:val="21"/>
        </w:rPr>
        <w:t>religious</w:t>
      </w:r>
      <w:r>
        <w:rPr>
          <w:sz w:val="21"/>
        </w:rPr>
        <w:t> </w:t>
      </w:r>
      <w:r>
        <w:rPr>
          <w:w w:val="100"/>
          <w:sz w:val="21"/>
        </w:rPr>
        <w:t>character</w:t>
      </w:r>
      <w:r>
        <w:rPr>
          <w:sz w:val="21"/>
        </w:rPr>
        <w:t> </w:t>
      </w:r>
      <w:r>
        <w:rPr>
          <w:w w:val="100"/>
          <w:sz w:val="21"/>
        </w:rPr>
        <w:t>of</w:t>
      </w:r>
      <w:r>
        <w:rPr>
          <w:sz w:val="21"/>
        </w:rPr>
        <w:t> </w:t>
      </w:r>
      <w:r>
        <w:rPr>
          <w:w w:val="100"/>
          <w:sz w:val="21"/>
        </w:rPr>
        <w:t>certain</w:t>
      </w:r>
      <w:r>
        <w:rPr>
          <w:sz w:val="21"/>
        </w:rPr>
        <w:t> </w:t>
      </w:r>
      <w:r>
        <w:rPr>
          <w:w w:val="100"/>
          <w:sz w:val="21"/>
        </w:rPr>
        <w:t>places </w:t>
      </w:r>
      <w:r>
        <w:rPr>
          <w:sz w:val="21"/>
        </w:rPr>
        <w:t>of worship and bar of jurisdiction of courts, etc.—(1) </w:t>
      </w:r>
      <w:r>
        <w:rPr>
          <w:b/>
          <w:sz w:val="21"/>
        </w:rPr>
        <w:t>It is hereby declared that the religious character of a place of worship existing on the 15th day of August, 1947 shall continue to be the same as it existed on that day</w:t>
      </w:r>
      <w:r>
        <w:rPr>
          <w:sz w:val="21"/>
        </w:rPr>
        <w:t>.</w:t>
      </w:r>
    </w:p>
    <w:p>
      <w:pPr>
        <w:pStyle w:val="ListParagraph"/>
        <w:numPr>
          <w:ilvl w:val="0"/>
          <w:numId w:val="57"/>
        </w:numPr>
        <w:tabs>
          <w:tab w:pos="2267" w:val="left" w:leader="none"/>
        </w:tabs>
        <w:spacing w:line="276" w:lineRule="auto" w:before="0" w:after="0"/>
        <w:ind w:left="1940" w:right="2259" w:firstLine="0"/>
        <w:jc w:val="both"/>
        <w:rPr>
          <w:sz w:val="21"/>
        </w:rPr>
      </w:pPr>
      <w:r>
        <w:rPr>
          <w:sz w:val="21"/>
        </w:rPr>
        <w:t>If, on the commencement of this Act, </w:t>
      </w:r>
      <w:r>
        <w:rPr>
          <w:b/>
          <w:sz w:val="21"/>
        </w:rPr>
        <w:t>any suit, appeal or other proceeding with respect to the conversion of the religious character of any place of worship, existing on the 15th day of August, 1947, is pending before any court, tribunal or other authority, the same shall abate</w:t>
      </w:r>
      <w:r>
        <w:rPr>
          <w:sz w:val="21"/>
        </w:rPr>
        <w:t>, and no suit, appeal or other proceeding with respect to any such matter shall lie on or after such commencement in any court, tribunal or other</w:t>
      </w:r>
      <w:r>
        <w:rPr>
          <w:spacing w:val="-7"/>
          <w:sz w:val="21"/>
        </w:rPr>
        <w:t> </w:t>
      </w:r>
      <w:r>
        <w:rPr>
          <w:sz w:val="21"/>
        </w:rPr>
        <w:t>authority:</w:t>
      </w:r>
    </w:p>
    <w:p>
      <w:pPr>
        <w:spacing w:line="276" w:lineRule="auto" w:before="0"/>
        <w:ind w:left="1940" w:right="2263" w:firstLine="0"/>
        <w:jc w:val="both"/>
        <w:rPr>
          <w:sz w:val="21"/>
        </w:rPr>
      </w:pPr>
      <w:r>
        <w:rPr>
          <w:sz w:val="21"/>
        </w:rPr>
        <w:t>Provided that </w:t>
      </w:r>
      <w:r>
        <w:rPr>
          <w:b/>
          <w:sz w:val="21"/>
        </w:rPr>
        <w:t>if any suit, appeal or other proceeding, instituted or filed on the ground that conversion has taken place in the religious character of any such place after the 15th day of August, 1947, is pending on the commencement of this Act, such suit, appeal or other proceeding shall not so abate </w:t>
      </w:r>
      <w:r>
        <w:rPr>
          <w:sz w:val="21"/>
        </w:rPr>
        <w:t>and every such suit, appeal or other proceeding shall be disposed of in accordance with the provisions of sub-section</w:t>
      </w:r>
      <w:r>
        <w:rPr>
          <w:spacing w:val="-4"/>
          <w:sz w:val="21"/>
        </w:rPr>
        <w:t> </w:t>
      </w:r>
      <w:r>
        <w:rPr>
          <w:sz w:val="21"/>
        </w:rPr>
        <w:t>(1).</w:t>
      </w:r>
    </w:p>
    <w:p>
      <w:pPr>
        <w:pStyle w:val="ListParagraph"/>
        <w:numPr>
          <w:ilvl w:val="0"/>
          <w:numId w:val="57"/>
        </w:numPr>
        <w:tabs>
          <w:tab w:pos="2284" w:val="left" w:leader="none"/>
        </w:tabs>
        <w:spacing w:line="276" w:lineRule="auto" w:before="0" w:after="0"/>
        <w:ind w:left="1940" w:right="2260" w:firstLine="0"/>
        <w:jc w:val="both"/>
        <w:rPr>
          <w:sz w:val="21"/>
        </w:rPr>
      </w:pPr>
      <w:r>
        <w:rPr>
          <w:sz w:val="21"/>
        </w:rPr>
        <w:t>Nothing contained in sub-section (1) and sub-section (2) shall apply</w:t>
      </w:r>
      <w:r>
        <w:rPr>
          <w:spacing w:val="-4"/>
          <w:sz w:val="21"/>
        </w:rPr>
        <w:t> </w:t>
      </w:r>
      <w:r>
        <w:rPr>
          <w:sz w:val="21"/>
        </w:rPr>
        <w:t>to,—</w:t>
      </w:r>
    </w:p>
    <w:p>
      <w:pPr>
        <w:pStyle w:val="ListParagraph"/>
        <w:numPr>
          <w:ilvl w:val="1"/>
          <w:numId w:val="57"/>
        </w:numPr>
        <w:tabs>
          <w:tab w:pos="2282" w:val="left" w:leader="none"/>
        </w:tabs>
        <w:spacing w:line="276" w:lineRule="auto" w:before="0" w:after="0"/>
        <w:ind w:left="1940" w:right="2260" w:firstLine="0"/>
        <w:jc w:val="both"/>
        <w:rPr>
          <w:sz w:val="21"/>
        </w:rPr>
      </w:pPr>
      <w:r>
        <w:rPr>
          <w:sz w:val="21"/>
        </w:rPr>
        <w:t>any place of worship referred to in the said sub-sections which is an ancient and historical monument or an archaeological site or remains covered by the Ancient Monuments and Archaeological Sites and Remains Act, 1958 (24 of 1958) or any other law for the time being in</w:t>
      </w:r>
      <w:r>
        <w:rPr>
          <w:spacing w:val="-18"/>
          <w:sz w:val="21"/>
        </w:rPr>
        <w:t> </w:t>
      </w:r>
      <w:r>
        <w:rPr>
          <w:sz w:val="21"/>
        </w:rPr>
        <w:t>force;</w:t>
      </w:r>
    </w:p>
    <w:p>
      <w:pPr>
        <w:pStyle w:val="ListParagraph"/>
        <w:numPr>
          <w:ilvl w:val="1"/>
          <w:numId w:val="57"/>
        </w:numPr>
        <w:tabs>
          <w:tab w:pos="2279" w:val="left" w:leader="none"/>
        </w:tabs>
        <w:spacing w:line="276" w:lineRule="auto" w:before="0" w:after="0"/>
        <w:ind w:left="1940" w:right="2260" w:firstLine="0"/>
        <w:jc w:val="both"/>
        <w:rPr>
          <w:sz w:val="21"/>
        </w:rPr>
      </w:pPr>
      <w:r>
        <w:rPr>
          <w:sz w:val="21"/>
        </w:rPr>
        <w:t>any suit, appeal or other proceeding, with respect to any matter referred to in sub-section (2), finally decided, settled or disposed of by a court, tribunal or other authority before the commencement of this</w:t>
      </w:r>
      <w:r>
        <w:rPr>
          <w:spacing w:val="-4"/>
          <w:sz w:val="21"/>
        </w:rPr>
        <w:t> </w:t>
      </w:r>
      <w:r>
        <w:rPr>
          <w:sz w:val="21"/>
        </w:rPr>
        <w:t>Act;</w:t>
      </w:r>
    </w:p>
    <w:p>
      <w:pPr>
        <w:spacing w:after="0" w:line="276" w:lineRule="auto"/>
        <w:jc w:val="both"/>
        <w:rPr>
          <w:sz w:val="21"/>
        </w:rPr>
        <w:sectPr>
          <w:pgSz w:w="11910" w:h="16840"/>
          <w:pgMar w:header="721" w:footer="1014" w:top="1300" w:bottom="1200" w:left="940" w:right="1000"/>
        </w:sectPr>
      </w:pPr>
    </w:p>
    <w:p>
      <w:pPr>
        <w:pStyle w:val="ListParagraph"/>
        <w:numPr>
          <w:ilvl w:val="1"/>
          <w:numId w:val="57"/>
        </w:numPr>
        <w:tabs>
          <w:tab w:pos="2255" w:val="left" w:leader="none"/>
        </w:tabs>
        <w:spacing w:line="276" w:lineRule="auto" w:before="122" w:after="0"/>
        <w:ind w:left="1940" w:right="2261" w:firstLine="0"/>
        <w:jc w:val="both"/>
        <w:rPr>
          <w:sz w:val="21"/>
        </w:rPr>
      </w:pPr>
      <w:r>
        <w:rPr>
          <w:sz w:val="21"/>
        </w:rPr>
        <w:t>any dispute with respect to any such matter settled by the parties amongst themselves before such</w:t>
      </w:r>
      <w:r>
        <w:rPr>
          <w:spacing w:val="-9"/>
          <w:sz w:val="21"/>
        </w:rPr>
        <w:t> </w:t>
      </w:r>
      <w:r>
        <w:rPr>
          <w:sz w:val="21"/>
        </w:rPr>
        <w:t>commencement;</w:t>
      </w:r>
    </w:p>
    <w:p>
      <w:pPr>
        <w:pStyle w:val="ListParagraph"/>
        <w:numPr>
          <w:ilvl w:val="1"/>
          <w:numId w:val="57"/>
        </w:numPr>
        <w:tabs>
          <w:tab w:pos="2298" w:val="left" w:leader="none"/>
        </w:tabs>
        <w:spacing w:line="276" w:lineRule="auto" w:before="0" w:after="0"/>
        <w:ind w:left="1940" w:right="2264" w:firstLine="0"/>
        <w:jc w:val="both"/>
        <w:rPr>
          <w:sz w:val="21"/>
        </w:rPr>
      </w:pPr>
      <w:r>
        <w:rPr>
          <w:sz w:val="21"/>
        </w:rPr>
        <w:t>any conversion of any such place effected before such commencement by</w:t>
      </w:r>
      <w:r>
        <w:rPr>
          <w:spacing w:val="-7"/>
          <w:sz w:val="21"/>
        </w:rPr>
        <w:t> </w:t>
      </w:r>
      <w:r>
        <w:rPr>
          <w:sz w:val="21"/>
        </w:rPr>
        <w:t>acquiescence;</w:t>
      </w:r>
    </w:p>
    <w:p>
      <w:pPr>
        <w:pStyle w:val="ListParagraph"/>
        <w:numPr>
          <w:ilvl w:val="1"/>
          <w:numId w:val="57"/>
        </w:numPr>
        <w:tabs>
          <w:tab w:pos="2298" w:val="left" w:leader="none"/>
        </w:tabs>
        <w:spacing w:line="276" w:lineRule="auto" w:before="1" w:after="0"/>
        <w:ind w:left="1940" w:right="2261" w:firstLine="0"/>
        <w:jc w:val="both"/>
        <w:rPr>
          <w:sz w:val="21"/>
        </w:rPr>
      </w:pPr>
      <w:r>
        <w:rPr>
          <w:sz w:val="21"/>
        </w:rPr>
        <w:t>any conversion of any such place effected before such commencement which is not liable to be challenged in any court, tribunal or other authority being barred by limitation under any law for the time being in</w:t>
      </w:r>
      <w:r>
        <w:rPr>
          <w:spacing w:val="-24"/>
          <w:sz w:val="21"/>
        </w:rPr>
        <w:t> </w:t>
      </w:r>
      <w:r>
        <w:rPr>
          <w:sz w:val="21"/>
        </w:rPr>
        <w:t>force.‖</w:t>
      </w:r>
    </w:p>
    <w:p>
      <w:pPr>
        <w:spacing w:before="0"/>
        <w:ind w:left="5541" w:right="0" w:firstLine="0"/>
        <w:jc w:val="both"/>
        <w:rPr>
          <w:sz w:val="21"/>
        </w:rPr>
      </w:pPr>
      <w:r>
        <w:rPr>
          <w:sz w:val="21"/>
        </w:rPr>
        <w:t>(Emphasis supplied)</w:t>
      </w:r>
    </w:p>
    <w:p>
      <w:pPr>
        <w:pStyle w:val="BodyText"/>
        <w:rPr>
          <w:sz w:val="24"/>
        </w:rPr>
      </w:pPr>
    </w:p>
    <w:p>
      <w:pPr>
        <w:pStyle w:val="BodyText"/>
        <w:spacing w:before="2"/>
        <w:rPr>
          <w:sz w:val="29"/>
        </w:rPr>
      </w:pPr>
    </w:p>
    <w:p>
      <w:pPr>
        <w:pStyle w:val="BodyText"/>
        <w:spacing w:line="482" w:lineRule="auto"/>
        <w:ind w:left="500" w:right="438"/>
      </w:pPr>
      <w:r>
        <w:rPr/>
        <w:t>The Places of Worship Act however contains an exemption from the application </w:t>
      </w:r>
      <w:r>
        <w:rPr>
          <w:w w:val="99"/>
        </w:rPr>
        <w:t>of</w:t>
      </w:r>
      <w:r>
        <w:rPr>
          <w:spacing w:val="10"/>
        </w:rPr>
        <w:t> </w:t>
      </w:r>
      <w:r>
        <w:rPr>
          <w:w w:val="99"/>
        </w:rPr>
        <w:t>its</w:t>
      </w:r>
      <w:r>
        <w:rPr>
          <w:spacing w:val="9"/>
        </w:rPr>
        <w:t> </w:t>
      </w:r>
      <w:r>
        <w:rPr>
          <w:w w:val="99"/>
        </w:rPr>
        <w:t>p</w:t>
      </w:r>
      <w:r>
        <w:rPr>
          <w:spacing w:val="1"/>
          <w:w w:val="99"/>
        </w:rPr>
        <w:t>r</w:t>
      </w:r>
      <w:r>
        <w:rPr>
          <w:w w:val="99"/>
        </w:rPr>
        <w:t>o</w:t>
      </w:r>
      <w:r>
        <w:rPr>
          <w:spacing w:val="-2"/>
          <w:w w:val="99"/>
        </w:rPr>
        <w:t>v</w:t>
      </w:r>
      <w:r>
        <w:rPr>
          <w:w w:val="99"/>
        </w:rPr>
        <w:t>isions</w:t>
      </w:r>
      <w:r>
        <w:rPr>
          <w:spacing w:val="9"/>
        </w:rPr>
        <w:t> </w:t>
      </w:r>
      <w:r>
        <w:rPr>
          <w:w w:val="99"/>
        </w:rPr>
        <w:t>to</w:t>
      </w:r>
      <w:r>
        <w:rPr>
          <w:spacing w:val="10"/>
        </w:rPr>
        <w:t> </w:t>
      </w:r>
      <w:r>
        <w:rPr>
          <w:w w:val="99"/>
        </w:rPr>
        <w:t>the</w:t>
      </w:r>
      <w:r>
        <w:rPr>
          <w:spacing w:val="10"/>
        </w:rPr>
        <w:t> </w:t>
      </w:r>
      <w:r>
        <w:rPr>
          <w:w w:val="99"/>
        </w:rPr>
        <w:t>place</w:t>
      </w:r>
      <w:r>
        <w:rPr>
          <w:spacing w:val="10"/>
        </w:rPr>
        <w:t> </w:t>
      </w:r>
      <w:r>
        <w:rPr>
          <w:w w:val="99"/>
        </w:rPr>
        <w:t>of</w:t>
      </w:r>
      <w:r>
        <w:rPr>
          <w:spacing w:val="10"/>
        </w:rPr>
        <w:t> </w:t>
      </w:r>
      <w:r>
        <w:rPr>
          <w:w w:val="99"/>
        </w:rPr>
        <w:t>wors</w:t>
      </w:r>
      <w:r>
        <w:rPr>
          <w:spacing w:val="4"/>
          <w:w w:val="99"/>
        </w:rPr>
        <w:t>h</w:t>
      </w:r>
      <w:r>
        <w:rPr>
          <w:spacing w:val="-1"/>
          <w:w w:val="99"/>
        </w:rPr>
        <w:t>i</w:t>
      </w:r>
      <w:r>
        <w:rPr>
          <w:w w:val="99"/>
        </w:rPr>
        <w:t>p</w:t>
      </w:r>
      <w:r>
        <w:rPr>
          <w:spacing w:val="9"/>
        </w:rPr>
        <w:t> </w:t>
      </w:r>
      <w:r>
        <w:rPr>
          <w:w w:val="33"/>
        </w:rPr>
        <w:t>―</w:t>
      </w:r>
      <w:r>
        <w:rPr>
          <w:w w:val="99"/>
        </w:rPr>
        <w:t>c</w:t>
      </w:r>
      <w:r>
        <w:rPr>
          <w:spacing w:val="-2"/>
          <w:w w:val="99"/>
        </w:rPr>
        <w:t>o</w:t>
      </w:r>
      <w:r>
        <w:rPr>
          <w:w w:val="99"/>
        </w:rPr>
        <w:t>mm</w:t>
      </w:r>
      <w:r>
        <w:rPr>
          <w:spacing w:val="-1"/>
          <w:w w:val="99"/>
        </w:rPr>
        <w:t>o</w:t>
      </w:r>
      <w:r>
        <w:rPr>
          <w:w w:val="99"/>
        </w:rPr>
        <w:t>n</w:t>
      </w:r>
      <w:r>
        <w:rPr>
          <w:spacing w:val="-1"/>
          <w:w w:val="99"/>
        </w:rPr>
        <w:t>l</w:t>
      </w:r>
      <w:r>
        <w:rPr>
          <w:w w:val="99"/>
        </w:rPr>
        <w:t>y</w:t>
      </w:r>
      <w:r>
        <w:rPr>
          <w:spacing w:val="6"/>
        </w:rPr>
        <w:t> </w:t>
      </w:r>
      <w:r>
        <w:rPr>
          <w:w w:val="99"/>
        </w:rPr>
        <w:t>kno</w:t>
      </w:r>
      <w:r>
        <w:rPr>
          <w:spacing w:val="-1"/>
          <w:w w:val="99"/>
        </w:rPr>
        <w:t>w</w:t>
      </w:r>
      <w:r>
        <w:rPr>
          <w:w w:val="99"/>
        </w:rPr>
        <w:t>n</w:t>
      </w:r>
      <w:r>
        <w:rPr>
          <w:spacing w:val="9"/>
        </w:rPr>
        <w:t> </w:t>
      </w:r>
      <w:r>
        <w:rPr>
          <w:spacing w:val="-1"/>
          <w:w w:val="99"/>
        </w:rPr>
        <w:t>a</w:t>
      </w:r>
      <w:r>
        <w:rPr>
          <w:w w:val="99"/>
        </w:rPr>
        <w:t>s</w:t>
      </w:r>
      <w:r>
        <w:rPr>
          <w:spacing w:val="9"/>
        </w:rPr>
        <w:t> </w:t>
      </w:r>
      <w:r>
        <w:rPr>
          <w:spacing w:val="-1"/>
          <w:w w:val="99"/>
        </w:rPr>
        <w:t>Ra</w:t>
      </w:r>
      <w:r>
        <w:rPr>
          <w:w w:val="99"/>
        </w:rPr>
        <w:t>m</w:t>
      </w:r>
      <w:r>
        <w:rPr>
          <w:spacing w:val="10"/>
        </w:rPr>
        <w:t> </w:t>
      </w:r>
      <w:r>
        <w:rPr>
          <w:w w:val="99"/>
        </w:rPr>
        <w:t>Jan</w:t>
      </w:r>
      <w:r>
        <w:rPr>
          <w:spacing w:val="-1"/>
          <w:w w:val="99"/>
        </w:rPr>
        <w:t>a</w:t>
      </w:r>
      <w:r>
        <w:rPr>
          <w:w w:val="99"/>
        </w:rPr>
        <w:t>m</w:t>
      </w:r>
      <w:r>
        <w:rPr>
          <w:spacing w:val="10"/>
        </w:rPr>
        <w:t> </w:t>
      </w:r>
      <w:r>
        <w:rPr>
          <w:spacing w:val="-1"/>
          <w:w w:val="99"/>
        </w:rPr>
        <w:t>Bh</w:t>
      </w:r>
      <w:r>
        <w:rPr>
          <w:w w:val="99"/>
        </w:rPr>
        <w:t>umi</w:t>
      </w:r>
    </w:p>
    <w:p>
      <w:pPr>
        <w:pStyle w:val="BodyText"/>
        <w:spacing w:line="480" w:lineRule="auto"/>
        <w:ind w:left="500" w:right="512"/>
      </w:pPr>
      <w:r>
        <w:rPr/>
        <w:t>–Babri Masjid‖ and to any suit, appeal or proceeding relating to it. Section 5 stipulates:</w:t>
      </w:r>
    </w:p>
    <w:p>
      <w:pPr>
        <w:spacing w:line="276" w:lineRule="auto" w:before="0"/>
        <w:ind w:left="1940" w:right="2260" w:firstLine="0"/>
        <w:jc w:val="both"/>
        <w:rPr>
          <w:sz w:val="21"/>
        </w:rPr>
      </w:pPr>
      <w:r>
        <w:rPr>
          <w:spacing w:val="-1"/>
          <w:w w:val="33"/>
          <w:sz w:val="21"/>
        </w:rPr>
        <w:t>―</w:t>
      </w:r>
      <w:r>
        <w:rPr>
          <w:spacing w:val="-1"/>
          <w:w w:val="100"/>
          <w:sz w:val="21"/>
        </w:rPr>
        <w:t>5</w:t>
      </w:r>
      <w:r>
        <w:rPr>
          <w:w w:val="100"/>
          <w:sz w:val="21"/>
        </w:rPr>
        <w:t>.</w:t>
      </w:r>
      <w:r>
        <w:rPr>
          <w:sz w:val="21"/>
        </w:rPr>
        <w:t> </w:t>
      </w:r>
      <w:r>
        <w:rPr>
          <w:spacing w:val="-10"/>
          <w:sz w:val="21"/>
        </w:rPr>
        <w:t> </w:t>
      </w:r>
      <w:r>
        <w:rPr>
          <w:w w:val="100"/>
          <w:sz w:val="21"/>
        </w:rPr>
        <w:t>Act</w:t>
      </w:r>
      <w:r>
        <w:rPr>
          <w:sz w:val="21"/>
        </w:rPr>
        <w:t> </w:t>
      </w:r>
      <w:r>
        <w:rPr>
          <w:spacing w:val="-13"/>
          <w:sz w:val="21"/>
        </w:rPr>
        <w:t> </w:t>
      </w:r>
      <w:r>
        <w:rPr>
          <w:spacing w:val="-1"/>
          <w:w w:val="100"/>
          <w:sz w:val="21"/>
        </w:rPr>
        <w:t>no</w:t>
      </w:r>
      <w:r>
        <w:rPr>
          <w:w w:val="100"/>
          <w:sz w:val="21"/>
        </w:rPr>
        <w:t>t</w:t>
      </w:r>
      <w:r>
        <w:rPr>
          <w:sz w:val="21"/>
        </w:rPr>
        <w:t> </w:t>
      </w:r>
      <w:r>
        <w:rPr>
          <w:spacing w:val="-10"/>
          <w:sz w:val="21"/>
        </w:rPr>
        <w:t> </w:t>
      </w:r>
      <w:r>
        <w:rPr>
          <w:spacing w:val="-2"/>
          <w:w w:val="100"/>
          <w:sz w:val="21"/>
        </w:rPr>
        <w:t>t</w:t>
      </w:r>
      <w:r>
        <w:rPr>
          <w:w w:val="100"/>
          <w:sz w:val="21"/>
        </w:rPr>
        <w:t>o</w:t>
      </w:r>
      <w:r>
        <w:rPr>
          <w:sz w:val="21"/>
        </w:rPr>
        <w:t> </w:t>
      </w:r>
      <w:r>
        <w:rPr>
          <w:spacing w:val="-12"/>
          <w:sz w:val="21"/>
        </w:rPr>
        <w:t> </w:t>
      </w:r>
      <w:r>
        <w:rPr>
          <w:spacing w:val="-1"/>
          <w:w w:val="100"/>
          <w:sz w:val="21"/>
        </w:rPr>
        <w:t>ap</w:t>
      </w:r>
      <w:r>
        <w:rPr>
          <w:spacing w:val="-2"/>
          <w:w w:val="100"/>
          <w:sz w:val="21"/>
        </w:rPr>
        <w:t>p</w:t>
      </w:r>
      <w:r>
        <w:rPr>
          <w:w w:val="100"/>
          <w:sz w:val="21"/>
        </w:rPr>
        <w:t>ly</w:t>
      </w:r>
      <w:r>
        <w:rPr>
          <w:sz w:val="21"/>
        </w:rPr>
        <w:t> </w:t>
      </w:r>
      <w:r>
        <w:rPr>
          <w:spacing w:val="-12"/>
          <w:sz w:val="21"/>
        </w:rPr>
        <w:t> </w:t>
      </w:r>
      <w:r>
        <w:rPr>
          <w:spacing w:val="-2"/>
          <w:w w:val="100"/>
          <w:sz w:val="21"/>
        </w:rPr>
        <w:t>t</w:t>
      </w:r>
      <w:r>
        <w:rPr>
          <w:w w:val="100"/>
          <w:sz w:val="21"/>
        </w:rPr>
        <w:t>o</w:t>
      </w:r>
      <w:r>
        <w:rPr>
          <w:sz w:val="21"/>
        </w:rPr>
        <w:t> </w:t>
      </w:r>
      <w:r>
        <w:rPr>
          <w:spacing w:val="-12"/>
          <w:sz w:val="21"/>
        </w:rPr>
        <w:t> </w:t>
      </w:r>
      <w:r>
        <w:rPr>
          <w:w w:val="100"/>
          <w:sz w:val="21"/>
        </w:rPr>
        <w:t>R</w:t>
      </w:r>
      <w:r>
        <w:rPr>
          <w:spacing w:val="-3"/>
          <w:w w:val="100"/>
          <w:sz w:val="21"/>
        </w:rPr>
        <w:t>a</w:t>
      </w:r>
      <w:r>
        <w:rPr>
          <w:w w:val="100"/>
          <w:sz w:val="21"/>
        </w:rPr>
        <w:t>m</w:t>
      </w:r>
      <w:r>
        <w:rPr>
          <w:sz w:val="21"/>
        </w:rPr>
        <w:t> </w:t>
      </w:r>
      <w:r>
        <w:rPr>
          <w:spacing w:val="-10"/>
          <w:sz w:val="21"/>
        </w:rPr>
        <w:t> </w:t>
      </w:r>
      <w:r>
        <w:rPr>
          <w:w w:val="100"/>
          <w:sz w:val="21"/>
        </w:rPr>
        <w:t>J</w:t>
      </w:r>
      <w:r>
        <w:rPr>
          <w:spacing w:val="-3"/>
          <w:w w:val="100"/>
          <w:sz w:val="21"/>
        </w:rPr>
        <w:t>an</w:t>
      </w:r>
      <w:r>
        <w:rPr>
          <w:spacing w:val="1"/>
          <w:w w:val="100"/>
          <w:sz w:val="21"/>
        </w:rPr>
        <w:t>m</w:t>
      </w:r>
      <w:r>
        <w:rPr>
          <w:w w:val="100"/>
          <w:sz w:val="21"/>
        </w:rPr>
        <w:t>a</w:t>
      </w:r>
      <w:r>
        <w:rPr>
          <w:sz w:val="21"/>
        </w:rPr>
        <w:t> </w:t>
      </w:r>
      <w:r>
        <w:rPr>
          <w:spacing w:val="-12"/>
          <w:sz w:val="21"/>
        </w:rPr>
        <w:t> </w:t>
      </w:r>
      <w:r>
        <w:rPr>
          <w:w w:val="100"/>
          <w:sz w:val="21"/>
        </w:rPr>
        <w:t>B</w:t>
      </w:r>
      <w:r>
        <w:rPr>
          <w:spacing w:val="-3"/>
          <w:w w:val="100"/>
          <w:sz w:val="21"/>
        </w:rPr>
        <w:t>hu</w:t>
      </w:r>
      <w:r>
        <w:rPr>
          <w:spacing w:val="1"/>
          <w:w w:val="100"/>
          <w:sz w:val="21"/>
        </w:rPr>
        <w:t>m</w:t>
      </w:r>
      <w:r>
        <w:rPr>
          <w:spacing w:val="5"/>
          <w:w w:val="100"/>
          <w:sz w:val="21"/>
        </w:rPr>
        <w:t>i</w:t>
      </w:r>
      <w:r>
        <w:rPr>
          <w:spacing w:val="-4"/>
          <w:w w:val="100"/>
          <w:sz w:val="21"/>
        </w:rPr>
        <w:t>-</w:t>
      </w:r>
      <w:r>
        <w:rPr>
          <w:w w:val="100"/>
          <w:sz w:val="21"/>
        </w:rPr>
        <w:t>B</w:t>
      </w:r>
      <w:r>
        <w:rPr>
          <w:spacing w:val="-3"/>
          <w:w w:val="100"/>
          <w:sz w:val="21"/>
        </w:rPr>
        <w:t>a</w:t>
      </w:r>
      <w:r>
        <w:rPr>
          <w:w w:val="100"/>
          <w:sz w:val="21"/>
        </w:rPr>
        <w:t>bri</w:t>
      </w:r>
      <w:r>
        <w:rPr>
          <w:sz w:val="21"/>
        </w:rPr>
        <w:t> </w:t>
      </w:r>
      <w:r>
        <w:rPr>
          <w:spacing w:val="-11"/>
          <w:sz w:val="21"/>
        </w:rPr>
        <w:t> </w:t>
      </w:r>
      <w:r>
        <w:rPr>
          <w:spacing w:val="-1"/>
          <w:w w:val="100"/>
          <w:sz w:val="21"/>
        </w:rPr>
        <w:t>M</w:t>
      </w:r>
      <w:r>
        <w:rPr>
          <w:w w:val="100"/>
          <w:sz w:val="21"/>
        </w:rPr>
        <w:t>a</w:t>
      </w:r>
      <w:r>
        <w:rPr>
          <w:spacing w:val="-3"/>
          <w:w w:val="100"/>
          <w:sz w:val="21"/>
        </w:rPr>
        <w:t>s</w:t>
      </w:r>
      <w:r>
        <w:rPr>
          <w:w w:val="100"/>
          <w:sz w:val="21"/>
        </w:rPr>
        <w:t>j</w:t>
      </w:r>
      <w:r>
        <w:rPr>
          <w:spacing w:val="-2"/>
          <w:w w:val="100"/>
          <w:sz w:val="21"/>
        </w:rPr>
        <w:t>i</w:t>
      </w:r>
      <w:r>
        <w:rPr>
          <w:w w:val="100"/>
          <w:sz w:val="21"/>
        </w:rPr>
        <w:t>d.— </w:t>
      </w:r>
      <w:r>
        <w:rPr>
          <w:sz w:val="21"/>
        </w:rPr>
        <w:t>Nothing contained in this Act shall apply to the place or place of worship commonly known as Ram Janma Bhumi-Babri Masjid situated in Ayodhya in the State of Uttar Pradesh and to any suit, appeal or other proceeding relating to the said place or place of</w:t>
      </w:r>
      <w:r>
        <w:rPr>
          <w:spacing w:val="-6"/>
          <w:sz w:val="21"/>
        </w:rPr>
        <w:t> </w:t>
      </w:r>
      <w:r>
        <w:rPr>
          <w:sz w:val="21"/>
        </w:rPr>
        <w:t>worship.‖</w:t>
      </w:r>
    </w:p>
    <w:p>
      <w:pPr>
        <w:pStyle w:val="BodyText"/>
        <w:rPr>
          <w:sz w:val="24"/>
        </w:rPr>
      </w:pPr>
    </w:p>
    <w:p>
      <w:pPr>
        <w:pStyle w:val="BodyText"/>
        <w:spacing w:before="7"/>
      </w:pPr>
    </w:p>
    <w:p>
      <w:pPr>
        <w:pStyle w:val="BodyText"/>
        <w:spacing w:line="480" w:lineRule="auto"/>
        <w:ind w:left="500"/>
      </w:pPr>
      <w:r>
        <w:rPr/>
        <w:t>Section 6 provides for a punishment of three years‘ imprisonment and a fine for contravening the provisions of Section 3 and for an attempt or act of abetment:</w:t>
      </w:r>
    </w:p>
    <w:p>
      <w:pPr>
        <w:spacing w:line="276" w:lineRule="auto" w:before="0"/>
        <w:ind w:left="1940" w:right="2253" w:firstLine="0"/>
        <w:jc w:val="both"/>
        <w:rPr>
          <w:sz w:val="21"/>
        </w:rPr>
      </w:pPr>
      <w:r>
        <w:rPr>
          <w:w w:val="33"/>
          <w:sz w:val="21"/>
        </w:rPr>
        <w:t>―</w:t>
      </w:r>
      <w:r>
        <w:rPr>
          <w:w w:val="100"/>
          <w:sz w:val="21"/>
        </w:rPr>
        <w:t>6.</w:t>
      </w:r>
      <w:r>
        <w:rPr>
          <w:sz w:val="21"/>
        </w:rPr>
        <w:t> </w:t>
      </w:r>
      <w:r>
        <w:rPr>
          <w:w w:val="100"/>
          <w:sz w:val="21"/>
        </w:rPr>
        <w:t>Punishment</w:t>
      </w:r>
      <w:r>
        <w:rPr>
          <w:sz w:val="21"/>
        </w:rPr>
        <w:t> </w:t>
      </w:r>
      <w:r>
        <w:rPr>
          <w:w w:val="100"/>
          <w:sz w:val="21"/>
        </w:rPr>
        <w:t>for</w:t>
      </w:r>
      <w:r>
        <w:rPr>
          <w:sz w:val="21"/>
        </w:rPr>
        <w:t> </w:t>
      </w:r>
      <w:r>
        <w:rPr>
          <w:w w:val="100"/>
          <w:sz w:val="21"/>
        </w:rPr>
        <w:t>contravention</w:t>
      </w:r>
      <w:r>
        <w:rPr>
          <w:sz w:val="21"/>
        </w:rPr>
        <w:t> </w:t>
      </w:r>
      <w:r>
        <w:rPr>
          <w:w w:val="100"/>
          <w:sz w:val="21"/>
        </w:rPr>
        <w:t>of</w:t>
      </w:r>
      <w:r>
        <w:rPr>
          <w:sz w:val="21"/>
        </w:rPr>
        <w:t> </w:t>
      </w:r>
      <w:r>
        <w:rPr>
          <w:w w:val="100"/>
          <w:sz w:val="21"/>
        </w:rPr>
        <w:t>section</w:t>
      </w:r>
      <w:r>
        <w:rPr>
          <w:sz w:val="21"/>
        </w:rPr>
        <w:t> </w:t>
      </w:r>
      <w:r>
        <w:rPr>
          <w:w w:val="100"/>
          <w:sz w:val="21"/>
        </w:rPr>
        <w:t>3.—(</w:t>
      </w:r>
      <w:r>
        <w:rPr>
          <w:w w:val="100"/>
          <w:sz w:val="21"/>
        </w:rPr>
        <w:t>1)</w:t>
      </w:r>
      <w:r>
        <w:rPr>
          <w:sz w:val="21"/>
        </w:rPr>
        <w:t> </w:t>
      </w:r>
      <w:r>
        <w:rPr>
          <w:w w:val="100"/>
          <w:sz w:val="21"/>
        </w:rPr>
        <w:t>W</w:t>
      </w:r>
      <w:r>
        <w:rPr>
          <w:w w:val="100"/>
          <w:sz w:val="21"/>
        </w:rPr>
        <w:t>ho</w:t>
      </w:r>
      <w:r>
        <w:rPr>
          <w:w w:val="100"/>
          <w:sz w:val="21"/>
        </w:rPr>
        <w:t>ever </w:t>
      </w:r>
      <w:r>
        <w:rPr>
          <w:sz w:val="21"/>
        </w:rPr>
        <w:t>contravenes the provisions of section 3 shall be punishable with imprisonment for a term which may extend to three years and shall also be liable to fine.</w:t>
      </w:r>
    </w:p>
    <w:p>
      <w:pPr>
        <w:pStyle w:val="ListParagraph"/>
        <w:numPr>
          <w:ilvl w:val="0"/>
          <w:numId w:val="58"/>
        </w:numPr>
        <w:tabs>
          <w:tab w:pos="2332" w:val="left" w:leader="none"/>
        </w:tabs>
        <w:spacing w:line="276" w:lineRule="auto" w:before="0" w:after="0"/>
        <w:ind w:left="1940" w:right="2256" w:firstLine="0"/>
        <w:jc w:val="both"/>
        <w:rPr>
          <w:sz w:val="21"/>
        </w:rPr>
      </w:pPr>
      <w:r>
        <w:rPr>
          <w:sz w:val="21"/>
        </w:rPr>
        <w:t>Whoever attempts to commit any offence punishable under sub-section (1) or to cause such offence to be committed and in such attempt does any act towards the commission of the offence shall be punishable with the punishment provided for the</w:t>
      </w:r>
      <w:r>
        <w:rPr>
          <w:spacing w:val="-7"/>
          <w:sz w:val="21"/>
        </w:rPr>
        <w:t> </w:t>
      </w:r>
      <w:r>
        <w:rPr>
          <w:sz w:val="21"/>
        </w:rPr>
        <w:t>offence.</w:t>
      </w:r>
    </w:p>
    <w:p>
      <w:pPr>
        <w:pStyle w:val="ListParagraph"/>
        <w:numPr>
          <w:ilvl w:val="0"/>
          <w:numId w:val="58"/>
        </w:numPr>
        <w:tabs>
          <w:tab w:pos="2281" w:val="left" w:leader="none"/>
        </w:tabs>
        <w:spacing w:line="276" w:lineRule="auto" w:before="1" w:after="0"/>
        <w:ind w:left="1940" w:right="2255" w:firstLine="0"/>
        <w:jc w:val="both"/>
        <w:rPr>
          <w:sz w:val="21"/>
        </w:rPr>
      </w:pPr>
      <w:r>
        <w:rPr>
          <w:sz w:val="21"/>
        </w:rPr>
        <w:t>Whoever abets, or is a party to a criminal conspiracy to commit, an offence punishable under sub-section (1) shall, whether such offence be or be not committed in consequence of such abetment or in pursuance of such criminal conspiracy, and notwithstanding anything contained in section 116 of the Indian Penal Code, be punishable with the punishment provided for the</w:t>
      </w:r>
      <w:r>
        <w:rPr>
          <w:spacing w:val="-8"/>
          <w:sz w:val="21"/>
        </w:rPr>
        <w:t> </w:t>
      </w:r>
      <w:r>
        <w:rPr>
          <w:sz w:val="21"/>
        </w:rPr>
        <w:t>offence.‖</w:t>
      </w:r>
    </w:p>
    <w:p>
      <w:pPr>
        <w:spacing w:after="0" w:line="276" w:lineRule="auto"/>
        <w:jc w:val="both"/>
        <w:rPr>
          <w:sz w:val="21"/>
        </w:rPr>
        <w:sectPr>
          <w:pgSz w:w="11910" w:h="16840"/>
          <w:pgMar w:header="721" w:footer="1014" w:top="1300" w:bottom="1200" w:left="940" w:right="1000"/>
        </w:sectPr>
      </w:pPr>
    </w:p>
    <w:p>
      <w:pPr>
        <w:pStyle w:val="BodyText"/>
        <w:spacing w:before="124"/>
        <w:ind w:left="500"/>
      </w:pPr>
      <w:r>
        <w:rPr/>
        <w:t>Section 7 confers upon the Places of Worship Act overriding force and effect:</w:t>
      </w:r>
    </w:p>
    <w:p>
      <w:pPr>
        <w:pStyle w:val="BodyText"/>
      </w:pPr>
    </w:p>
    <w:p>
      <w:pPr>
        <w:spacing w:line="276" w:lineRule="auto" w:before="0"/>
        <w:ind w:left="1940" w:right="2256" w:firstLine="0"/>
        <w:jc w:val="both"/>
        <w:rPr>
          <w:sz w:val="21"/>
        </w:rPr>
      </w:pPr>
      <w:r>
        <w:rPr>
          <w:spacing w:val="-1"/>
          <w:w w:val="33"/>
          <w:sz w:val="21"/>
        </w:rPr>
        <w:t>―</w:t>
      </w:r>
      <w:r>
        <w:rPr>
          <w:spacing w:val="-1"/>
          <w:w w:val="100"/>
          <w:sz w:val="21"/>
        </w:rPr>
        <w:t>7</w:t>
      </w:r>
      <w:r>
        <w:rPr>
          <w:w w:val="100"/>
          <w:sz w:val="21"/>
        </w:rPr>
        <w:t>.</w:t>
      </w:r>
      <w:r>
        <w:rPr>
          <w:spacing w:val="19"/>
          <w:sz w:val="21"/>
        </w:rPr>
        <w:t> </w:t>
      </w:r>
      <w:r>
        <w:rPr>
          <w:w w:val="100"/>
          <w:sz w:val="21"/>
        </w:rPr>
        <w:t>Act</w:t>
      </w:r>
      <w:r>
        <w:rPr>
          <w:spacing w:val="19"/>
          <w:sz w:val="21"/>
        </w:rPr>
        <w:t> </w:t>
      </w:r>
      <w:r>
        <w:rPr>
          <w:spacing w:val="-2"/>
          <w:w w:val="100"/>
          <w:sz w:val="21"/>
        </w:rPr>
        <w:t>t</w:t>
      </w:r>
      <w:r>
        <w:rPr>
          <w:w w:val="100"/>
          <w:sz w:val="21"/>
        </w:rPr>
        <w:t>o</w:t>
      </w:r>
      <w:r>
        <w:rPr>
          <w:spacing w:val="20"/>
          <w:sz w:val="21"/>
        </w:rPr>
        <w:t> </w:t>
      </w:r>
      <w:r>
        <w:rPr>
          <w:spacing w:val="-1"/>
          <w:w w:val="100"/>
          <w:sz w:val="21"/>
        </w:rPr>
        <w:t>o</w:t>
      </w:r>
      <w:r>
        <w:rPr>
          <w:spacing w:val="-3"/>
          <w:w w:val="100"/>
          <w:sz w:val="21"/>
        </w:rPr>
        <w:t>v</w:t>
      </w:r>
      <w:r>
        <w:rPr>
          <w:spacing w:val="-1"/>
          <w:w w:val="100"/>
          <w:sz w:val="21"/>
        </w:rPr>
        <w:t>er</w:t>
      </w:r>
      <w:r>
        <w:rPr>
          <w:spacing w:val="-2"/>
          <w:w w:val="100"/>
          <w:sz w:val="21"/>
        </w:rPr>
        <w:t>r</w:t>
      </w:r>
      <w:r>
        <w:rPr>
          <w:w w:val="100"/>
          <w:sz w:val="21"/>
        </w:rPr>
        <w:t>i</w:t>
      </w:r>
      <w:r>
        <w:rPr>
          <w:spacing w:val="-1"/>
          <w:w w:val="100"/>
          <w:sz w:val="21"/>
        </w:rPr>
        <w:t>d</w:t>
      </w:r>
      <w:r>
        <w:rPr>
          <w:w w:val="100"/>
          <w:sz w:val="21"/>
        </w:rPr>
        <w:t>e</w:t>
      </w:r>
      <w:r>
        <w:rPr>
          <w:spacing w:val="21"/>
          <w:sz w:val="21"/>
        </w:rPr>
        <w:t> </w:t>
      </w:r>
      <w:r>
        <w:rPr>
          <w:spacing w:val="-1"/>
          <w:w w:val="100"/>
          <w:sz w:val="21"/>
        </w:rPr>
        <w:t>othe</w:t>
      </w:r>
      <w:r>
        <w:rPr>
          <w:w w:val="100"/>
          <w:sz w:val="21"/>
        </w:rPr>
        <w:t>r</w:t>
      </w:r>
      <w:r>
        <w:rPr>
          <w:spacing w:val="20"/>
          <w:sz w:val="21"/>
        </w:rPr>
        <w:t> </w:t>
      </w:r>
      <w:r>
        <w:rPr>
          <w:spacing w:val="-1"/>
          <w:w w:val="100"/>
          <w:sz w:val="21"/>
        </w:rPr>
        <w:t>enac</w:t>
      </w:r>
      <w:r>
        <w:rPr>
          <w:spacing w:val="-3"/>
          <w:w w:val="100"/>
          <w:sz w:val="21"/>
        </w:rPr>
        <w:t>t</w:t>
      </w:r>
      <w:r>
        <w:rPr>
          <w:spacing w:val="1"/>
          <w:w w:val="100"/>
          <w:sz w:val="21"/>
        </w:rPr>
        <w:t>m</w:t>
      </w:r>
      <w:r>
        <w:rPr>
          <w:spacing w:val="-3"/>
          <w:w w:val="100"/>
          <w:sz w:val="21"/>
        </w:rPr>
        <w:t>e</w:t>
      </w:r>
      <w:r>
        <w:rPr>
          <w:spacing w:val="-1"/>
          <w:w w:val="100"/>
          <w:sz w:val="21"/>
        </w:rPr>
        <w:t>nt</w:t>
      </w:r>
      <w:r>
        <w:rPr>
          <w:w w:val="100"/>
          <w:sz w:val="21"/>
        </w:rPr>
        <w:t>s</w:t>
      </w:r>
      <w:r>
        <w:rPr>
          <w:spacing w:val="1"/>
          <w:w w:val="100"/>
          <w:sz w:val="21"/>
        </w:rPr>
        <w:t>.</w:t>
      </w:r>
      <w:r>
        <w:rPr>
          <w:w w:val="100"/>
          <w:sz w:val="21"/>
        </w:rPr>
        <w:t>—</w:t>
      </w:r>
      <w:r>
        <w:rPr>
          <w:spacing w:val="-2"/>
          <w:w w:val="100"/>
          <w:sz w:val="21"/>
        </w:rPr>
        <w:t>T</w:t>
      </w:r>
      <w:r>
        <w:rPr>
          <w:w w:val="100"/>
          <w:sz w:val="21"/>
        </w:rPr>
        <w:t>he</w:t>
      </w:r>
      <w:r>
        <w:rPr>
          <w:spacing w:val="21"/>
          <w:sz w:val="21"/>
        </w:rPr>
        <w:t> </w:t>
      </w:r>
      <w:r>
        <w:rPr>
          <w:w w:val="100"/>
          <w:sz w:val="21"/>
        </w:rPr>
        <w:t>pro</w:t>
      </w:r>
      <w:r>
        <w:rPr>
          <w:spacing w:val="-3"/>
          <w:w w:val="100"/>
          <w:sz w:val="21"/>
        </w:rPr>
        <w:t>v</w:t>
      </w:r>
      <w:r>
        <w:rPr>
          <w:w w:val="100"/>
          <w:sz w:val="21"/>
        </w:rPr>
        <w:t>i</w:t>
      </w:r>
      <w:r>
        <w:rPr>
          <w:spacing w:val="-3"/>
          <w:w w:val="100"/>
          <w:sz w:val="21"/>
        </w:rPr>
        <w:t>s</w:t>
      </w:r>
      <w:r>
        <w:rPr>
          <w:spacing w:val="-2"/>
          <w:w w:val="100"/>
          <w:sz w:val="21"/>
        </w:rPr>
        <w:t>i</w:t>
      </w:r>
      <w:r>
        <w:rPr>
          <w:w w:val="100"/>
          <w:sz w:val="21"/>
        </w:rPr>
        <w:t>on</w:t>
      </w:r>
      <w:r>
        <w:rPr>
          <w:w w:val="100"/>
          <w:sz w:val="21"/>
        </w:rPr>
        <w:t>s</w:t>
      </w:r>
      <w:r>
        <w:rPr>
          <w:spacing w:val="20"/>
          <w:sz w:val="21"/>
        </w:rPr>
        <w:t> </w:t>
      </w:r>
      <w:r>
        <w:rPr>
          <w:w w:val="100"/>
          <w:sz w:val="21"/>
        </w:rPr>
        <w:t>of</w:t>
      </w:r>
      <w:r>
        <w:rPr>
          <w:spacing w:val="21"/>
          <w:sz w:val="21"/>
        </w:rPr>
        <w:t> </w:t>
      </w:r>
      <w:r>
        <w:rPr>
          <w:spacing w:val="-2"/>
          <w:w w:val="100"/>
          <w:sz w:val="21"/>
        </w:rPr>
        <w:t>t</w:t>
      </w:r>
      <w:r>
        <w:rPr>
          <w:spacing w:val="-3"/>
          <w:w w:val="100"/>
          <w:sz w:val="21"/>
        </w:rPr>
        <w:t>h</w:t>
      </w:r>
      <w:r>
        <w:rPr>
          <w:w w:val="100"/>
          <w:sz w:val="21"/>
        </w:rPr>
        <w:t>i</w:t>
      </w:r>
      <w:r>
        <w:rPr>
          <w:w w:val="100"/>
          <w:sz w:val="21"/>
        </w:rPr>
        <w:t>s </w:t>
      </w:r>
      <w:r>
        <w:rPr>
          <w:sz w:val="21"/>
        </w:rPr>
        <w:t>Act shall have effect notwithstanding anything inconsistent therewith contained in any other law for the time being in force or any instrument having effect by virtue of any law other than this</w:t>
      </w:r>
      <w:r>
        <w:rPr>
          <w:spacing w:val="-7"/>
          <w:sz w:val="21"/>
        </w:rPr>
        <w:t> </w:t>
      </w:r>
      <w:r>
        <w:rPr>
          <w:sz w:val="21"/>
        </w:rPr>
        <w:t>Act.‖</w:t>
      </w:r>
    </w:p>
    <w:p>
      <w:pPr>
        <w:pStyle w:val="BodyText"/>
        <w:rPr>
          <w:sz w:val="24"/>
        </w:rPr>
      </w:pPr>
    </w:p>
    <w:p>
      <w:pPr>
        <w:pStyle w:val="BodyText"/>
        <w:rPr>
          <w:sz w:val="26"/>
        </w:rPr>
      </w:pPr>
    </w:p>
    <w:p>
      <w:pPr>
        <w:pStyle w:val="ListParagraph"/>
        <w:numPr>
          <w:ilvl w:val="0"/>
          <w:numId w:val="3"/>
        </w:numPr>
        <w:tabs>
          <w:tab w:pos="1221" w:val="left" w:leader="none"/>
        </w:tabs>
        <w:spacing w:line="240" w:lineRule="auto" w:before="0" w:after="0"/>
        <w:ind w:left="1220" w:right="0" w:hanging="721"/>
        <w:jc w:val="both"/>
        <w:rPr>
          <w:sz w:val="25"/>
        </w:rPr>
      </w:pPr>
      <w:r>
        <w:rPr>
          <w:sz w:val="25"/>
        </w:rPr>
        <w:t>The law imposes two unwavering and mandatory</w:t>
      </w:r>
      <w:r>
        <w:rPr>
          <w:spacing w:val="-3"/>
          <w:sz w:val="25"/>
        </w:rPr>
        <w:t> </w:t>
      </w:r>
      <w:r>
        <w:rPr>
          <w:sz w:val="25"/>
        </w:rPr>
        <w:t>norms:</w:t>
      </w:r>
    </w:p>
    <w:p>
      <w:pPr>
        <w:pStyle w:val="BodyText"/>
        <w:spacing w:before="10"/>
        <w:rPr>
          <w:sz w:val="24"/>
        </w:rPr>
      </w:pPr>
    </w:p>
    <w:p>
      <w:pPr>
        <w:pStyle w:val="ListParagraph"/>
        <w:numPr>
          <w:ilvl w:val="0"/>
          <w:numId w:val="59"/>
        </w:numPr>
        <w:tabs>
          <w:tab w:pos="1221" w:val="left" w:leader="none"/>
        </w:tabs>
        <w:spacing w:line="480" w:lineRule="auto" w:before="1" w:after="0"/>
        <w:ind w:left="1220" w:right="442" w:hanging="720"/>
        <w:jc w:val="both"/>
        <w:rPr>
          <w:sz w:val="25"/>
        </w:rPr>
      </w:pPr>
      <w:r>
        <w:rPr>
          <w:sz w:val="25"/>
        </w:rPr>
        <w:t>A bar is imposed by Section 3 on the conversion of a place of worship of any religious denomination or a section of a denomination into a place of worship either of a different section of the same religious denomination or of a distinct religious denomination. The expression ‗place of worship‘ is defined in the broadest possible terms to cover places of public religious worship of all religions and denominations;</w:t>
      </w:r>
      <w:r>
        <w:rPr>
          <w:spacing w:val="-6"/>
          <w:sz w:val="25"/>
        </w:rPr>
        <w:t> </w:t>
      </w:r>
      <w:r>
        <w:rPr>
          <w:sz w:val="25"/>
        </w:rPr>
        <w:t>and</w:t>
      </w:r>
    </w:p>
    <w:p>
      <w:pPr>
        <w:pStyle w:val="ListParagraph"/>
        <w:numPr>
          <w:ilvl w:val="0"/>
          <w:numId w:val="59"/>
        </w:numPr>
        <w:tabs>
          <w:tab w:pos="1221" w:val="left" w:leader="none"/>
        </w:tabs>
        <w:spacing w:line="480" w:lineRule="auto" w:before="2" w:after="0"/>
        <w:ind w:left="1220" w:right="434" w:hanging="720"/>
        <w:jc w:val="both"/>
        <w:rPr>
          <w:sz w:val="25"/>
        </w:rPr>
      </w:pPr>
      <w:r>
        <w:rPr>
          <w:sz w:val="25"/>
        </w:rPr>
        <w:t>The law preserves the religious character of every place of worship as it existed on 15 August 1947. Towards achieving this purpose, it provides for the abatement of suits and legal proceedings with respect to the conversion of the religious character of any place of worship existing on 15 August 1947. Coupled with this, the Places of Worship Act imposes a bar on the institution of fresh suits or legal proceedings. The only exception is in the case of suits, appeals or proceedings pending at the  commencement of the law on the ground that conversion of a place of worship had taken place </w:t>
      </w:r>
      <w:r>
        <w:rPr>
          <w:b/>
          <w:sz w:val="25"/>
        </w:rPr>
        <w:t>after </w:t>
      </w:r>
      <w:r>
        <w:rPr>
          <w:sz w:val="25"/>
        </w:rPr>
        <w:t>15 August 1947. The proviso to</w:t>
      </w:r>
      <w:r>
        <w:rPr>
          <w:spacing w:val="27"/>
          <w:sz w:val="25"/>
        </w:rPr>
        <w:t> </w:t>
      </w:r>
      <w:r>
        <w:rPr>
          <w:sz w:val="25"/>
        </w:rPr>
        <w:t>sub-section</w:t>
      </w:r>
    </w:p>
    <w:p>
      <w:pPr>
        <w:pStyle w:val="ListParagraph"/>
        <w:numPr>
          <w:ilvl w:val="1"/>
          <w:numId w:val="31"/>
        </w:numPr>
        <w:tabs>
          <w:tab w:pos="1633" w:val="left" w:leader="none"/>
        </w:tabs>
        <w:spacing w:line="480" w:lineRule="auto" w:before="0" w:after="0"/>
        <w:ind w:left="1220" w:right="434" w:firstLine="0"/>
        <w:jc w:val="both"/>
        <w:rPr>
          <w:sz w:val="25"/>
        </w:rPr>
      </w:pPr>
      <w:r>
        <w:rPr>
          <w:sz w:val="25"/>
        </w:rPr>
        <w:t>of Section 4 saves those suits, appeals and legal proceedings which are pending on the date of the commencement of the Act if they pertain to the conversion of the religious character of a place of worship after the</w:t>
      </w:r>
      <w:r>
        <w:rPr>
          <w:spacing w:val="25"/>
          <w:sz w:val="25"/>
        </w:rPr>
        <w:t> </w:t>
      </w:r>
      <w:r>
        <w:rPr>
          <w:sz w:val="25"/>
        </w:rPr>
        <w:t>cut-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3"/>
        <w:jc w:val="both"/>
      </w:pPr>
      <w:r>
        <w:rPr/>
        <w:t>off date. Sub-Section (3) of Section 4 however stipulates that the previous two sub-sections will not apply to:</w:t>
      </w:r>
    </w:p>
    <w:p>
      <w:pPr>
        <w:pStyle w:val="ListParagraph"/>
        <w:numPr>
          <w:ilvl w:val="2"/>
          <w:numId w:val="31"/>
        </w:numPr>
        <w:tabs>
          <w:tab w:pos="2661" w:val="left" w:leader="none"/>
        </w:tabs>
        <w:spacing w:line="480" w:lineRule="auto" w:before="0" w:after="0"/>
        <w:ind w:left="2660" w:right="441" w:hanging="720"/>
        <w:jc w:val="both"/>
        <w:rPr>
          <w:sz w:val="25"/>
        </w:rPr>
      </w:pPr>
      <w:r>
        <w:rPr>
          <w:sz w:val="25"/>
        </w:rPr>
        <w:t>Ancient and historical monuments or archaeological sites or remains governed by Act 24 of 1958 or any other</w:t>
      </w:r>
      <w:r>
        <w:rPr>
          <w:spacing w:val="-14"/>
          <w:sz w:val="25"/>
        </w:rPr>
        <w:t> </w:t>
      </w:r>
      <w:r>
        <w:rPr>
          <w:sz w:val="25"/>
        </w:rPr>
        <w:t>law;</w:t>
      </w:r>
    </w:p>
    <w:p>
      <w:pPr>
        <w:pStyle w:val="ListParagraph"/>
        <w:numPr>
          <w:ilvl w:val="2"/>
          <w:numId w:val="31"/>
        </w:numPr>
        <w:tabs>
          <w:tab w:pos="2661" w:val="left" w:leader="none"/>
        </w:tabs>
        <w:spacing w:line="480" w:lineRule="auto" w:before="0" w:after="0"/>
        <w:ind w:left="2660" w:right="445" w:hanging="720"/>
        <w:jc w:val="both"/>
        <w:rPr>
          <w:sz w:val="25"/>
        </w:rPr>
      </w:pPr>
      <w:r>
        <w:rPr>
          <w:sz w:val="25"/>
        </w:rPr>
        <w:t>A suit or legal proceeding which has been finally decided settled or disposed</w:t>
      </w:r>
      <w:r>
        <w:rPr>
          <w:spacing w:val="-2"/>
          <w:sz w:val="25"/>
        </w:rPr>
        <w:t> </w:t>
      </w:r>
      <w:r>
        <w:rPr>
          <w:sz w:val="25"/>
        </w:rPr>
        <w:t>of;</w:t>
      </w:r>
    </w:p>
    <w:p>
      <w:pPr>
        <w:pStyle w:val="ListParagraph"/>
        <w:numPr>
          <w:ilvl w:val="2"/>
          <w:numId w:val="31"/>
        </w:numPr>
        <w:tabs>
          <w:tab w:pos="2661" w:val="left" w:leader="none"/>
        </w:tabs>
        <w:spacing w:line="480" w:lineRule="auto" w:before="0" w:after="0"/>
        <w:ind w:left="2660" w:right="446" w:hanging="720"/>
        <w:jc w:val="both"/>
        <w:rPr>
          <w:sz w:val="25"/>
        </w:rPr>
      </w:pPr>
      <w:r>
        <w:rPr>
          <w:sz w:val="25"/>
        </w:rPr>
        <w:t>Any dispute which has been settled by the parties before the commencement of the</w:t>
      </w:r>
      <w:r>
        <w:rPr>
          <w:spacing w:val="-4"/>
          <w:sz w:val="25"/>
        </w:rPr>
        <w:t> </w:t>
      </w:r>
      <w:r>
        <w:rPr>
          <w:sz w:val="25"/>
        </w:rPr>
        <w:t>Act;</w:t>
      </w:r>
    </w:p>
    <w:p>
      <w:pPr>
        <w:pStyle w:val="ListParagraph"/>
        <w:numPr>
          <w:ilvl w:val="2"/>
          <w:numId w:val="31"/>
        </w:numPr>
        <w:tabs>
          <w:tab w:pos="2661" w:val="left" w:leader="none"/>
        </w:tabs>
        <w:spacing w:line="480" w:lineRule="auto" w:before="1" w:after="0"/>
        <w:ind w:left="2660" w:right="441" w:hanging="720"/>
        <w:jc w:val="both"/>
        <w:rPr>
          <w:sz w:val="25"/>
        </w:rPr>
      </w:pPr>
      <w:r>
        <w:rPr>
          <w:sz w:val="25"/>
        </w:rPr>
        <w:t>A conversion of a place of worship effected before the commencement of the Act by acquiescence;</w:t>
      </w:r>
      <w:r>
        <w:rPr>
          <w:spacing w:val="-8"/>
          <w:sz w:val="25"/>
        </w:rPr>
        <w:t> </w:t>
      </w:r>
      <w:r>
        <w:rPr>
          <w:sz w:val="25"/>
        </w:rPr>
        <w:t>and</w:t>
      </w:r>
    </w:p>
    <w:p>
      <w:pPr>
        <w:pStyle w:val="ListParagraph"/>
        <w:numPr>
          <w:ilvl w:val="2"/>
          <w:numId w:val="31"/>
        </w:numPr>
        <w:tabs>
          <w:tab w:pos="2661" w:val="left" w:leader="none"/>
        </w:tabs>
        <w:spacing w:line="480" w:lineRule="auto" w:before="0" w:after="0"/>
        <w:ind w:left="2660" w:right="442" w:hanging="720"/>
        <w:jc w:val="both"/>
        <w:rPr>
          <w:sz w:val="25"/>
        </w:rPr>
      </w:pPr>
      <w:r>
        <w:rPr>
          <w:sz w:val="25"/>
        </w:rPr>
        <w:t>Any conversion of a place of worship before </w:t>
      </w:r>
      <w:r>
        <w:rPr>
          <w:spacing w:val="-5"/>
          <w:sz w:val="25"/>
        </w:rPr>
        <w:t>the </w:t>
      </w:r>
      <w:r>
        <w:rPr>
          <w:sz w:val="25"/>
        </w:rPr>
        <w:t>commencement of the Act in respect of which the cause of action would be barred by</w:t>
      </w:r>
      <w:r>
        <w:rPr>
          <w:spacing w:val="-6"/>
          <w:sz w:val="25"/>
        </w:rPr>
        <w:t> </w:t>
      </w:r>
      <w:r>
        <w:rPr>
          <w:sz w:val="25"/>
        </w:rPr>
        <w:t>limitation.</w:t>
      </w:r>
    </w:p>
    <w:p>
      <w:pPr>
        <w:pStyle w:val="BodyText"/>
        <w:spacing w:before="11"/>
        <w:rPr>
          <w:sz w:val="24"/>
        </w:rPr>
      </w:pPr>
    </w:p>
    <w:p>
      <w:pPr>
        <w:pStyle w:val="BodyText"/>
        <w:spacing w:line="480" w:lineRule="auto"/>
        <w:ind w:left="500" w:right="433"/>
        <w:jc w:val="both"/>
      </w:pPr>
      <w:r>
        <w:rPr/>
        <w:t>Section 5 stipulates that the Act shall not apply to Ram Janmabhumi – Babri Masjid and to any suit, appeal or any proceeding relating to it. Consequently, there is a specific exception which has been carved out by the provisions of the Places of Worship Act in respect of the present dispute.</w:t>
      </w:r>
    </w:p>
    <w:p>
      <w:pPr>
        <w:pStyle w:val="BodyText"/>
      </w:pPr>
    </w:p>
    <w:p>
      <w:pPr>
        <w:spacing w:before="0"/>
        <w:ind w:left="500" w:right="0" w:firstLine="0"/>
        <w:jc w:val="both"/>
        <w:rPr>
          <w:i/>
          <w:sz w:val="25"/>
        </w:rPr>
      </w:pPr>
      <w:r>
        <w:rPr>
          <w:i/>
          <w:sz w:val="25"/>
        </w:rPr>
        <w:t>The intention of Parliament</w:t>
      </w:r>
    </w:p>
    <w:p>
      <w:pPr>
        <w:pStyle w:val="BodyText"/>
        <w:rPr>
          <w:i/>
          <w:sz w:val="28"/>
        </w:rPr>
      </w:pPr>
    </w:p>
    <w:p>
      <w:pPr>
        <w:pStyle w:val="BodyText"/>
        <w:spacing w:before="11"/>
        <w:rPr>
          <w:i/>
          <w:sz w:val="21"/>
        </w:rPr>
      </w:pPr>
    </w:p>
    <w:p>
      <w:pPr>
        <w:pStyle w:val="ListParagraph"/>
        <w:numPr>
          <w:ilvl w:val="0"/>
          <w:numId w:val="3"/>
        </w:numPr>
        <w:tabs>
          <w:tab w:pos="1220" w:val="left" w:leader="none"/>
          <w:tab w:pos="1221" w:val="left" w:leader="none"/>
        </w:tabs>
        <w:spacing w:line="480" w:lineRule="auto" w:before="0" w:after="0"/>
        <w:ind w:left="500" w:right="446" w:firstLine="0"/>
        <w:jc w:val="left"/>
        <w:rPr>
          <w:sz w:val="25"/>
        </w:rPr>
      </w:pPr>
      <w:r>
        <w:rPr>
          <w:sz w:val="25"/>
        </w:rPr>
        <w:t>The purpose of enacting the law was explained by the Union Minister of Home Affairs on the floor of the Lok Sabha on 10 September</w:t>
      </w:r>
      <w:r>
        <w:rPr>
          <w:spacing w:val="-8"/>
          <w:sz w:val="25"/>
        </w:rPr>
        <w:t> </w:t>
      </w:r>
      <w:r>
        <w:rPr>
          <w:sz w:val="25"/>
        </w:rPr>
        <w:t>1991</w:t>
      </w:r>
      <w:r>
        <w:rPr>
          <w:sz w:val="25"/>
          <w:vertAlign w:val="superscript"/>
        </w:rPr>
        <w:t>34</w:t>
      </w:r>
      <w:r>
        <w:rPr>
          <w:sz w:val="25"/>
          <w:vertAlign w:val="baseline"/>
        </w:rPr>
        <w:t>:</w:t>
      </w:r>
    </w:p>
    <w:p>
      <w:pPr>
        <w:spacing w:line="276" w:lineRule="auto" w:before="1"/>
        <w:ind w:left="1940" w:right="2259" w:firstLine="0"/>
        <w:jc w:val="both"/>
        <w:rPr>
          <w:b/>
          <w:sz w:val="21"/>
        </w:rPr>
      </w:pPr>
      <w:r>
        <w:rPr>
          <w:spacing w:val="-6"/>
          <w:w w:val="33"/>
          <w:sz w:val="21"/>
        </w:rPr>
        <w:t>―</w:t>
      </w:r>
      <w:r>
        <w:rPr>
          <w:spacing w:val="6"/>
          <w:w w:val="100"/>
          <w:sz w:val="21"/>
        </w:rPr>
        <w:t>W</w:t>
      </w:r>
      <w:r>
        <w:rPr>
          <w:w w:val="100"/>
          <w:sz w:val="21"/>
        </w:rPr>
        <w:t>e</w:t>
      </w:r>
      <w:r>
        <w:rPr>
          <w:sz w:val="21"/>
        </w:rPr>
        <w:t> </w:t>
      </w:r>
      <w:r>
        <w:rPr>
          <w:spacing w:val="-26"/>
          <w:sz w:val="21"/>
        </w:rPr>
        <w:t> </w:t>
      </w:r>
      <w:r>
        <w:rPr>
          <w:spacing w:val="-3"/>
          <w:w w:val="100"/>
          <w:sz w:val="21"/>
        </w:rPr>
        <w:t>s</w:t>
      </w:r>
      <w:r>
        <w:rPr>
          <w:spacing w:val="-1"/>
          <w:w w:val="100"/>
          <w:sz w:val="21"/>
        </w:rPr>
        <w:t>e</w:t>
      </w:r>
      <w:r>
        <w:rPr>
          <w:w w:val="100"/>
          <w:sz w:val="21"/>
        </w:rPr>
        <w:t>e</w:t>
      </w:r>
      <w:r>
        <w:rPr>
          <w:sz w:val="21"/>
        </w:rPr>
        <w:t> </w:t>
      </w:r>
      <w:r>
        <w:rPr>
          <w:spacing w:val="-23"/>
          <w:sz w:val="21"/>
        </w:rPr>
        <w:t> </w:t>
      </w:r>
      <w:r>
        <w:rPr>
          <w:spacing w:val="-2"/>
          <w:w w:val="100"/>
          <w:sz w:val="21"/>
        </w:rPr>
        <w:t>t</w:t>
      </w:r>
      <w:r>
        <w:rPr>
          <w:spacing w:val="-3"/>
          <w:w w:val="100"/>
          <w:sz w:val="21"/>
        </w:rPr>
        <w:t>h</w:t>
      </w:r>
      <w:r>
        <w:rPr>
          <w:w w:val="100"/>
          <w:sz w:val="21"/>
        </w:rPr>
        <w:t>is</w:t>
      </w:r>
      <w:r>
        <w:rPr>
          <w:sz w:val="21"/>
        </w:rPr>
        <w:t> </w:t>
      </w:r>
      <w:r>
        <w:rPr>
          <w:spacing w:val="-26"/>
          <w:sz w:val="21"/>
        </w:rPr>
        <w:t> </w:t>
      </w:r>
      <w:r>
        <w:rPr>
          <w:spacing w:val="-2"/>
          <w:w w:val="100"/>
          <w:sz w:val="21"/>
        </w:rPr>
        <w:t>B</w:t>
      </w:r>
      <w:r>
        <w:rPr>
          <w:w w:val="100"/>
          <w:sz w:val="21"/>
        </w:rPr>
        <w:t>i</w:t>
      </w:r>
      <w:r>
        <w:rPr>
          <w:spacing w:val="-2"/>
          <w:w w:val="100"/>
          <w:sz w:val="21"/>
        </w:rPr>
        <w:t>l</w:t>
      </w:r>
      <w:r>
        <w:rPr>
          <w:w w:val="100"/>
          <w:sz w:val="21"/>
        </w:rPr>
        <w:t>l</w:t>
      </w:r>
      <w:r>
        <w:rPr>
          <w:sz w:val="21"/>
        </w:rPr>
        <w:t> </w:t>
      </w:r>
      <w:r>
        <w:rPr>
          <w:spacing w:val="-23"/>
          <w:sz w:val="21"/>
        </w:rPr>
        <w:t> </w:t>
      </w:r>
      <w:r>
        <w:rPr>
          <w:spacing w:val="-3"/>
          <w:w w:val="100"/>
          <w:sz w:val="21"/>
        </w:rPr>
        <w:t>a</w:t>
      </w:r>
      <w:r>
        <w:rPr>
          <w:w w:val="100"/>
          <w:sz w:val="21"/>
        </w:rPr>
        <w:t>s</w:t>
      </w:r>
      <w:r>
        <w:rPr>
          <w:sz w:val="21"/>
        </w:rPr>
        <w:t> </w:t>
      </w:r>
      <w:r>
        <w:rPr>
          <w:spacing w:val="-24"/>
          <w:sz w:val="21"/>
        </w:rPr>
        <w:t> </w:t>
      </w:r>
      <w:r>
        <w:rPr>
          <w:w w:val="100"/>
          <w:sz w:val="21"/>
        </w:rPr>
        <w:t>a</w:t>
      </w:r>
      <w:r>
        <w:rPr>
          <w:sz w:val="21"/>
        </w:rPr>
        <w:t> </w:t>
      </w:r>
      <w:r>
        <w:rPr>
          <w:spacing w:val="-29"/>
          <w:sz w:val="21"/>
        </w:rPr>
        <w:t> </w:t>
      </w:r>
      <w:r>
        <w:rPr>
          <w:spacing w:val="-1"/>
          <w:w w:val="100"/>
          <w:sz w:val="21"/>
        </w:rPr>
        <w:t>measur</w:t>
      </w:r>
      <w:r>
        <w:rPr>
          <w:w w:val="100"/>
          <w:sz w:val="21"/>
        </w:rPr>
        <w:t>e</w:t>
      </w:r>
      <w:r>
        <w:rPr>
          <w:sz w:val="21"/>
        </w:rPr>
        <w:t> </w:t>
      </w:r>
      <w:r>
        <w:rPr>
          <w:spacing w:val="-26"/>
          <w:sz w:val="21"/>
        </w:rPr>
        <w:t> </w:t>
      </w:r>
      <w:r>
        <w:rPr>
          <w:spacing w:val="-2"/>
          <w:w w:val="100"/>
          <w:sz w:val="21"/>
        </w:rPr>
        <w:t>t</w:t>
      </w:r>
      <w:r>
        <w:rPr>
          <w:w w:val="100"/>
          <w:sz w:val="21"/>
        </w:rPr>
        <w:t>o</w:t>
      </w:r>
      <w:r>
        <w:rPr>
          <w:sz w:val="21"/>
        </w:rPr>
        <w:t> </w:t>
      </w:r>
      <w:r>
        <w:rPr>
          <w:spacing w:val="-24"/>
          <w:sz w:val="21"/>
        </w:rPr>
        <w:t> </w:t>
      </w:r>
      <w:r>
        <w:rPr>
          <w:spacing w:val="-1"/>
          <w:w w:val="100"/>
          <w:sz w:val="21"/>
        </w:rPr>
        <w:t>p</w:t>
      </w:r>
      <w:r>
        <w:rPr>
          <w:spacing w:val="-3"/>
          <w:w w:val="100"/>
          <w:sz w:val="21"/>
        </w:rPr>
        <w:t>r</w:t>
      </w:r>
      <w:r>
        <w:rPr>
          <w:spacing w:val="-1"/>
          <w:w w:val="100"/>
          <w:sz w:val="21"/>
        </w:rPr>
        <w:t>o</w:t>
      </w:r>
      <w:r>
        <w:rPr>
          <w:spacing w:val="-3"/>
          <w:w w:val="100"/>
          <w:sz w:val="21"/>
        </w:rPr>
        <w:t>v</w:t>
      </w:r>
      <w:r>
        <w:rPr>
          <w:w w:val="100"/>
          <w:sz w:val="21"/>
        </w:rPr>
        <w:t>i</w:t>
      </w:r>
      <w:r>
        <w:rPr>
          <w:spacing w:val="-1"/>
          <w:w w:val="100"/>
          <w:sz w:val="21"/>
        </w:rPr>
        <w:t>d</w:t>
      </w:r>
      <w:r>
        <w:rPr>
          <w:w w:val="100"/>
          <w:sz w:val="21"/>
        </w:rPr>
        <w:t>e</w:t>
      </w:r>
      <w:r>
        <w:rPr>
          <w:sz w:val="21"/>
        </w:rPr>
        <w:t> </w:t>
      </w:r>
      <w:r>
        <w:rPr>
          <w:spacing w:val="-26"/>
          <w:sz w:val="21"/>
        </w:rPr>
        <w:t> </w:t>
      </w:r>
      <w:r>
        <w:rPr>
          <w:spacing w:val="-1"/>
          <w:w w:val="100"/>
          <w:sz w:val="21"/>
        </w:rPr>
        <w:t>an</w:t>
      </w:r>
      <w:r>
        <w:rPr>
          <w:w w:val="100"/>
          <w:sz w:val="21"/>
        </w:rPr>
        <w:t>d</w:t>
      </w:r>
      <w:r>
        <w:rPr>
          <w:sz w:val="21"/>
        </w:rPr>
        <w:t> </w:t>
      </w:r>
      <w:r>
        <w:rPr>
          <w:spacing w:val="-26"/>
          <w:sz w:val="21"/>
        </w:rPr>
        <w:t> </w:t>
      </w:r>
      <w:r>
        <w:rPr>
          <w:spacing w:val="-3"/>
          <w:w w:val="100"/>
          <w:sz w:val="21"/>
        </w:rPr>
        <w:t>d</w:t>
      </w:r>
      <w:r>
        <w:rPr>
          <w:spacing w:val="-1"/>
          <w:w w:val="100"/>
          <w:sz w:val="21"/>
        </w:rPr>
        <w:t>e</w:t>
      </w:r>
      <w:r>
        <w:rPr>
          <w:spacing w:val="-3"/>
          <w:w w:val="100"/>
          <w:sz w:val="21"/>
        </w:rPr>
        <w:t>v</w:t>
      </w:r>
      <w:r>
        <w:rPr>
          <w:spacing w:val="-1"/>
          <w:w w:val="100"/>
          <w:sz w:val="21"/>
        </w:rPr>
        <w:t>e</w:t>
      </w:r>
      <w:r>
        <w:rPr>
          <w:spacing w:val="1"/>
          <w:w w:val="100"/>
          <w:sz w:val="21"/>
        </w:rPr>
        <w:t>l</w:t>
      </w:r>
      <w:r>
        <w:rPr>
          <w:spacing w:val="-1"/>
          <w:w w:val="100"/>
          <w:sz w:val="21"/>
        </w:rPr>
        <w:t>o</w:t>
      </w:r>
      <w:r>
        <w:rPr>
          <w:w w:val="100"/>
          <w:sz w:val="21"/>
        </w:rPr>
        <w:t>p</w:t>
      </w:r>
      <w:r>
        <w:rPr>
          <w:sz w:val="21"/>
        </w:rPr>
        <w:t> </w:t>
      </w:r>
      <w:r>
        <w:rPr>
          <w:spacing w:val="-26"/>
          <w:sz w:val="21"/>
        </w:rPr>
        <w:t> </w:t>
      </w:r>
      <w:r>
        <w:rPr>
          <w:spacing w:val="-1"/>
          <w:w w:val="100"/>
          <w:sz w:val="21"/>
        </w:rPr>
        <w:t>o</w:t>
      </w:r>
      <w:r>
        <w:rPr>
          <w:spacing w:val="6"/>
          <w:w w:val="100"/>
          <w:sz w:val="21"/>
        </w:rPr>
        <w:t>u</w:t>
      </w:r>
      <w:r>
        <w:rPr>
          <w:w w:val="100"/>
          <w:sz w:val="21"/>
        </w:rPr>
        <w:t>r </w:t>
      </w:r>
      <w:r>
        <w:rPr>
          <w:sz w:val="21"/>
        </w:rPr>
        <w:t>glorious traditions of love, peace and harmony. These traditions are part of a cultural heritage of which every Indian is</w:t>
      </w:r>
      <w:r>
        <w:rPr>
          <w:spacing w:val="11"/>
          <w:sz w:val="21"/>
        </w:rPr>
        <w:t> </w:t>
      </w:r>
      <w:r>
        <w:rPr>
          <w:sz w:val="21"/>
        </w:rPr>
        <w:t>justifiably</w:t>
      </w:r>
      <w:r>
        <w:rPr>
          <w:spacing w:val="8"/>
          <w:sz w:val="21"/>
        </w:rPr>
        <w:t> </w:t>
      </w:r>
      <w:r>
        <w:rPr>
          <w:sz w:val="21"/>
        </w:rPr>
        <w:t>proud.</w:t>
      </w:r>
      <w:r>
        <w:rPr>
          <w:spacing w:val="12"/>
          <w:sz w:val="21"/>
        </w:rPr>
        <w:t> </w:t>
      </w:r>
      <w:r>
        <w:rPr>
          <w:b/>
          <w:sz w:val="21"/>
        </w:rPr>
        <w:t>Tolerance</w:t>
      </w:r>
      <w:r>
        <w:rPr>
          <w:b/>
          <w:spacing w:val="11"/>
          <w:sz w:val="21"/>
        </w:rPr>
        <w:t> </w:t>
      </w:r>
      <w:r>
        <w:rPr>
          <w:b/>
          <w:sz w:val="21"/>
        </w:rPr>
        <w:t>for</w:t>
      </w:r>
      <w:r>
        <w:rPr>
          <w:b/>
          <w:spacing w:val="12"/>
          <w:sz w:val="21"/>
        </w:rPr>
        <w:t> </w:t>
      </w:r>
      <w:r>
        <w:rPr>
          <w:b/>
          <w:sz w:val="21"/>
        </w:rPr>
        <w:t>all</w:t>
      </w:r>
      <w:r>
        <w:rPr>
          <w:b/>
          <w:spacing w:val="10"/>
          <w:sz w:val="21"/>
        </w:rPr>
        <w:t> </w:t>
      </w:r>
      <w:r>
        <w:rPr>
          <w:b/>
          <w:sz w:val="21"/>
        </w:rPr>
        <w:t>faiths</w:t>
      </w:r>
      <w:r>
        <w:rPr>
          <w:b/>
          <w:spacing w:val="11"/>
          <w:sz w:val="21"/>
        </w:rPr>
        <w:t> </w:t>
      </w:r>
      <w:r>
        <w:rPr>
          <w:b/>
          <w:sz w:val="21"/>
        </w:rPr>
        <w:t>has</w:t>
      </w:r>
    </w:p>
    <w:p>
      <w:pPr>
        <w:pStyle w:val="BodyText"/>
        <w:spacing w:before="8"/>
        <w:rPr>
          <w:b/>
          <w:sz w:val="10"/>
        </w:rPr>
      </w:pPr>
      <w:r>
        <w:rPr/>
        <w:pict>
          <v:rect style="position:absolute;margin-left:72.024002pt;margin-top:8.115528pt;width:144.020pt;height:.599980pt;mso-position-horizontal-relative:page;mso-position-vertical-relative:paragraph;z-index:-1571584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34</w:t>
      </w:r>
      <w:r>
        <w:rPr>
          <w:sz w:val="18"/>
          <w:vertAlign w:val="baseline"/>
        </w:rPr>
        <w:t> Lok Sabha Debates, Volume V, nos 41-49, page 448</w:t>
      </w:r>
    </w:p>
    <w:p>
      <w:pPr>
        <w:spacing w:after="0"/>
        <w:jc w:val="left"/>
        <w:rPr>
          <w:sz w:val="18"/>
        </w:rPr>
        <w:sectPr>
          <w:pgSz w:w="11910" w:h="16840"/>
          <w:pgMar w:header="721" w:footer="1014" w:top="1300" w:bottom="1200" w:left="940" w:right="1000"/>
        </w:sectPr>
      </w:pPr>
    </w:p>
    <w:p>
      <w:pPr>
        <w:spacing w:line="276" w:lineRule="auto" w:before="122"/>
        <w:ind w:left="1940" w:right="2262" w:firstLine="0"/>
        <w:jc w:val="both"/>
        <w:rPr>
          <w:sz w:val="21"/>
        </w:rPr>
      </w:pPr>
      <w:r>
        <w:rPr>
          <w:b/>
          <w:sz w:val="21"/>
        </w:rPr>
        <w:t>characterized our great civilization since time immemorial</w:t>
      </w:r>
      <w:r>
        <w:rPr>
          <w:sz w:val="21"/>
        </w:rPr>
        <w:t>.</w:t>
      </w:r>
    </w:p>
    <w:p>
      <w:pPr>
        <w:spacing w:line="276" w:lineRule="auto" w:before="0"/>
        <w:ind w:left="1940" w:right="2260" w:firstLine="0"/>
        <w:jc w:val="both"/>
        <w:rPr>
          <w:sz w:val="21"/>
        </w:rPr>
      </w:pPr>
      <w:r>
        <w:rPr>
          <w:sz w:val="21"/>
        </w:rPr>
        <w:t>These traditions of amity, harmony and mutual respect came under severe strain during the pre-independence period when the colonial power sought to actively create and encourage communal divide in the country. </w:t>
      </w:r>
      <w:r>
        <w:rPr>
          <w:b/>
          <w:sz w:val="21"/>
        </w:rPr>
        <w:t>After independence we have set about healing the wounds of the past and </w:t>
      </w:r>
      <w:r>
        <w:rPr>
          <w:sz w:val="21"/>
        </w:rPr>
        <w:t>endeavoured to restore our traditions of communal amity and goodwill to their past glory. By and large we have succeeded, although </w:t>
      </w:r>
      <w:r>
        <w:rPr>
          <w:b/>
          <w:sz w:val="21"/>
        </w:rPr>
        <w:t>there have been</w:t>
      </w:r>
      <w:r>
        <w:rPr>
          <w:sz w:val="21"/>
        </w:rPr>
        <w:t>, it must be admitted, </w:t>
      </w:r>
      <w:r>
        <w:rPr>
          <w:b/>
          <w:sz w:val="21"/>
        </w:rPr>
        <w:t>some unfortunate setbacks</w:t>
      </w:r>
      <w:r>
        <w:rPr>
          <w:sz w:val="21"/>
        </w:rPr>
        <w:t>. Rather than being discouraged by such setbacks, </w:t>
      </w:r>
      <w:r>
        <w:rPr>
          <w:b/>
          <w:sz w:val="21"/>
        </w:rPr>
        <w:t>it is our duty and commitment to taken lesson from them for the future</w:t>
      </w:r>
      <w:r>
        <w:rPr>
          <w:sz w:val="21"/>
        </w:rPr>
        <w:t>.‖</w:t>
      </w:r>
    </w:p>
    <w:p>
      <w:pPr>
        <w:spacing w:before="1"/>
        <w:ind w:left="5795" w:right="0" w:firstLine="0"/>
        <w:jc w:val="both"/>
        <w:rPr>
          <w:sz w:val="21"/>
        </w:rPr>
      </w:pPr>
      <w:r>
        <w:rPr>
          <w:sz w:val="21"/>
        </w:rPr>
        <w:t>(Emphasis supplied)</w:t>
      </w:r>
    </w:p>
    <w:p>
      <w:pPr>
        <w:pStyle w:val="BodyText"/>
        <w:rPr>
          <w:sz w:val="24"/>
        </w:rPr>
      </w:pPr>
    </w:p>
    <w:p>
      <w:pPr>
        <w:pStyle w:val="BodyText"/>
        <w:spacing w:before="2"/>
        <w:rPr>
          <w:sz w:val="29"/>
        </w:rPr>
      </w:pPr>
    </w:p>
    <w:p>
      <w:pPr>
        <w:pStyle w:val="BodyText"/>
        <w:spacing w:line="480" w:lineRule="auto"/>
        <w:ind w:left="500" w:right="434"/>
        <w:jc w:val="both"/>
      </w:pPr>
      <w:r>
        <w:rPr/>
        <w:t>The Union Minister of Home Affairs indicated that the law which sought to prohibit </w:t>
      </w:r>
      <w:r>
        <w:rPr>
          <w:w w:val="99"/>
        </w:rPr>
        <w:t>the</w:t>
      </w:r>
      <w:r>
        <w:rPr/>
        <w:t> </w:t>
      </w:r>
      <w:r>
        <w:rPr>
          <w:w w:val="99"/>
        </w:rPr>
        <w:t>forcible</w:t>
      </w:r>
      <w:r>
        <w:rPr/>
        <w:t> </w:t>
      </w:r>
      <w:r>
        <w:rPr>
          <w:w w:val="99"/>
        </w:rPr>
        <w:t>conversion</w:t>
      </w:r>
      <w:r>
        <w:rPr/>
        <w:t> </w:t>
      </w:r>
      <w:r>
        <w:rPr>
          <w:w w:val="99"/>
        </w:rPr>
        <w:t>of</w:t>
      </w:r>
      <w:r>
        <w:rPr/>
        <w:t> </w:t>
      </w:r>
      <w:r>
        <w:rPr>
          <w:w w:val="99"/>
        </w:rPr>
        <w:t>places</w:t>
      </w:r>
      <w:r>
        <w:rPr/>
        <w:t> </w:t>
      </w:r>
      <w:r>
        <w:rPr>
          <w:w w:val="99"/>
        </w:rPr>
        <w:t>of</w:t>
      </w:r>
      <w:r>
        <w:rPr/>
        <w:t> </w:t>
      </w:r>
      <w:r>
        <w:rPr>
          <w:w w:val="99"/>
        </w:rPr>
        <w:t>worship</w:t>
      </w:r>
      <w:r>
        <w:rPr/>
        <w:t> </w:t>
      </w:r>
      <w:r>
        <w:rPr>
          <w:w w:val="99"/>
        </w:rPr>
        <w:t>was</w:t>
      </w:r>
      <w:r>
        <w:rPr/>
        <w:t> </w:t>
      </w:r>
      <w:r>
        <w:rPr>
          <w:w w:val="99"/>
        </w:rPr>
        <w:t>not</w:t>
      </w:r>
      <w:r>
        <w:rPr/>
        <w:t> </w:t>
      </w:r>
      <w:r>
        <w:rPr>
          <w:w w:val="33"/>
        </w:rPr>
        <w:t>―</w:t>
      </w:r>
      <w:r>
        <w:rPr>
          <w:w w:val="99"/>
        </w:rPr>
        <w:t>to</w:t>
      </w:r>
      <w:r>
        <w:rPr/>
        <w:t> </w:t>
      </w:r>
      <w:r>
        <w:rPr>
          <w:w w:val="99"/>
        </w:rPr>
        <w:t>create</w:t>
      </w:r>
      <w:r>
        <w:rPr/>
        <w:t> </w:t>
      </w:r>
      <w:r>
        <w:rPr>
          <w:w w:val="99"/>
        </w:rPr>
        <w:t>new</w:t>
      </w:r>
      <w:r>
        <w:rPr/>
        <w:t> </w:t>
      </w:r>
      <w:r>
        <w:rPr>
          <w:w w:val="99"/>
        </w:rPr>
        <w:t>dispu</w:t>
      </w:r>
      <w:r>
        <w:rPr>
          <w:w w:val="99"/>
        </w:rPr>
        <w:t>tes</w:t>
      </w:r>
      <w:r>
        <w:rPr/>
        <w:t> </w:t>
      </w:r>
      <w:r>
        <w:rPr>
          <w:w w:val="99"/>
        </w:rPr>
        <w:t>and </w:t>
      </w:r>
      <w:r>
        <w:rPr/>
        <w:t>to rake up old controversies which had long been forgotten by the people…but facilitate the object sought to be achieved‖</w:t>
      </w:r>
      <w:r>
        <w:rPr>
          <w:vertAlign w:val="superscript"/>
        </w:rPr>
        <w:t>35</w:t>
      </w:r>
      <w:r>
        <w:rPr>
          <w:vertAlign w:val="baseline"/>
        </w:rPr>
        <w:t>. Speaking in support of the cut-off date of 15 August 1947, one of the Members (Shrimati Malini Bhattacharya) explained</w:t>
      </w:r>
      <w:r>
        <w:rPr>
          <w:vertAlign w:val="superscript"/>
        </w:rPr>
        <w:t>36</w:t>
      </w:r>
      <w:r>
        <w:rPr>
          <w:vertAlign w:val="baseline"/>
        </w:rPr>
        <w:t>:</w:t>
      </w:r>
    </w:p>
    <w:p>
      <w:pPr>
        <w:spacing w:line="276" w:lineRule="auto" w:before="1"/>
        <w:ind w:left="1940" w:right="2260" w:firstLine="0"/>
        <w:jc w:val="both"/>
        <w:rPr>
          <w:sz w:val="21"/>
        </w:rPr>
      </w:pPr>
      <w:r>
        <w:rPr>
          <w:w w:val="33"/>
          <w:sz w:val="21"/>
        </w:rPr>
        <w:t>―</w:t>
      </w:r>
      <w:r>
        <w:rPr>
          <w:w w:val="100"/>
          <w:sz w:val="21"/>
        </w:rPr>
        <w:t>But</w:t>
      </w:r>
      <w:r>
        <w:rPr>
          <w:sz w:val="21"/>
        </w:rPr>
        <w:t> </w:t>
      </w:r>
      <w:r>
        <w:rPr>
          <w:w w:val="100"/>
          <w:sz w:val="21"/>
        </w:rPr>
        <w:t>I</w:t>
      </w:r>
      <w:r>
        <w:rPr>
          <w:sz w:val="21"/>
        </w:rPr>
        <w:t> </w:t>
      </w:r>
      <w:r>
        <w:rPr>
          <w:w w:val="100"/>
          <w:sz w:val="21"/>
        </w:rPr>
        <w:t>think</w:t>
      </w:r>
      <w:r>
        <w:rPr>
          <w:sz w:val="21"/>
        </w:rPr>
        <w:t> </w:t>
      </w:r>
      <w:r>
        <w:rPr>
          <w:w w:val="100"/>
          <w:sz w:val="21"/>
        </w:rPr>
        <w:t>this</w:t>
      </w:r>
      <w:r>
        <w:rPr>
          <w:sz w:val="21"/>
        </w:rPr>
        <w:t> </w:t>
      </w:r>
      <w:r>
        <w:rPr>
          <w:w w:val="100"/>
          <w:sz w:val="21"/>
        </w:rPr>
        <w:t>August</w:t>
      </w:r>
      <w:r>
        <w:rPr>
          <w:sz w:val="21"/>
        </w:rPr>
        <w:t> </w:t>
      </w:r>
      <w:r>
        <w:rPr>
          <w:w w:val="100"/>
          <w:sz w:val="21"/>
        </w:rPr>
        <w:t>15,</w:t>
      </w:r>
      <w:r>
        <w:rPr>
          <w:sz w:val="21"/>
        </w:rPr>
        <w:t> </w:t>
      </w:r>
      <w:r>
        <w:rPr>
          <w:w w:val="100"/>
          <w:sz w:val="21"/>
        </w:rPr>
        <w:t>1947</w:t>
      </w:r>
      <w:r>
        <w:rPr>
          <w:sz w:val="21"/>
        </w:rPr>
        <w:t> </w:t>
      </w:r>
      <w:r>
        <w:rPr>
          <w:w w:val="100"/>
          <w:sz w:val="21"/>
        </w:rPr>
        <w:t>is</w:t>
      </w:r>
      <w:r>
        <w:rPr>
          <w:sz w:val="21"/>
        </w:rPr>
        <w:t> </w:t>
      </w:r>
      <w:r>
        <w:rPr>
          <w:w w:val="100"/>
          <w:sz w:val="21"/>
        </w:rPr>
        <w:t>crucial</w:t>
      </w:r>
      <w:r>
        <w:rPr>
          <w:sz w:val="21"/>
        </w:rPr>
        <w:t> </w:t>
      </w:r>
      <w:r>
        <w:rPr>
          <w:w w:val="100"/>
          <w:sz w:val="21"/>
        </w:rPr>
        <w:t>because</w:t>
      </w:r>
      <w:r>
        <w:rPr>
          <w:sz w:val="21"/>
        </w:rPr>
        <w:t>  </w:t>
      </w:r>
      <w:r>
        <w:rPr>
          <w:b/>
          <w:w w:val="100"/>
          <w:sz w:val="21"/>
        </w:rPr>
        <w:t>on</w:t>
      </w:r>
      <w:r>
        <w:rPr>
          <w:b/>
          <w:sz w:val="21"/>
        </w:rPr>
        <w:t> </w:t>
      </w:r>
      <w:r>
        <w:rPr>
          <w:b/>
          <w:w w:val="100"/>
          <w:sz w:val="21"/>
        </w:rPr>
        <w:t>t</w:t>
      </w:r>
      <w:r>
        <w:rPr>
          <w:b/>
          <w:w w:val="100"/>
          <w:sz w:val="21"/>
        </w:rPr>
        <w:t>ha</w:t>
      </w:r>
      <w:r>
        <w:rPr>
          <w:b/>
          <w:w w:val="100"/>
          <w:sz w:val="21"/>
        </w:rPr>
        <w:t>t </w:t>
      </w:r>
      <w:r>
        <w:rPr>
          <w:b/>
          <w:sz w:val="21"/>
        </w:rPr>
        <w:t>date we </w:t>
      </w:r>
      <w:r>
        <w:rPr>
          <w:sz w:val="21"/>
        </w:rPr>
        <w:t>are supposed to </w:t>
      </w:r>
      <w:r>
        <w:rPr>
          <w:b/>
          <w:sz w:val="21"/>
        </w:rPr>
        <w:t>have emerged as a modern, democratic and sovereign State thrusting back such barbarity into the past once and for all</w:t>
      </w:r>
      <w:r>
        <w:rPr>
          <w:sz w:val="21"/>
        </w:rPr>
        <w:t>. From that date, we also distinguished ourselves…as </w:t>
      </w:r>
      <w:r>
        <w:rPr>
          <w:b/>
          <w:sz w:val="21"/>
        </w:rPr>
        <w:t>State which has no official religion and which gives equal rights to all the different religious denominations</w:t>
      </w:r>
      <w:r>
        <w:rPr>
          <w:sz w:val="21"/>
        </w:rPr>
        <w:t>. So, whatever may have happened before that, we all expected that from that date </w:t>
      </w:r>
      <w:r>
        <w:rPr>
          <w:b/>
          <w:sz w:val="21"/>
        </w:rPr>
        <w:t>there should be no such retrogression into the past</w:t>
      </w:r>
      <w:r>
        <w:rPr>
          <w:sz w:val="21"/>
        </w:rPr>
        <w:t>.‖</w:t>
      </w:r>
    </w:p>
    <w:p>
      <w:pPr>
        <w:spacing w:line="241" w:lineRule="exact" w:before="0"/>
        <w:ind w:left="5791" w:right="0" w:firstLine="0"/>
        <w:jc w:val="both"/>
        <w:rPr>
          <w:sz w:val="21"/>
        </w:rPr>
      </w:pPr>
      <w:r>
        <w:rPr>
          <w:sz w:val="21"/>
        </w:rPr>
        <w:t>(Emphasis supplied)</w:t>
      </w:r>
    </w:p>
    <w:p>
      <w:pPr>
        <w:pStyle w:val="BodyText"/>
        <w:rPr>
          <w:sz w:val="24"/>
        </w:rPr>
      </w:pPr>
    </w:p>
    <w:p>
      <w:pPr>
        <w:pStyle w:val="BodyText"/>
        <w:spacing w:before="4"/>
        <w:rPr>
          <w:sz w:val="29"/>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The Places of Worship Act which was enacted in 1991 by Parliament protects and secures the fundamental values of the Constitution. The Preamble underlines</w:t>
      </w:r>
      <w:r>
        <w:rPr>
          <w:spacing w:val="16"/>
          <w:sz w:val="25"/>
        </w:rPr>
        <w:t> </w:t>
      </w:r>
      <w:r>
        <w:rPr>
          <w:sz w:val="25"/>
        </w:rPr>
        <w:t>the</w:t>
      </w:r>
      <w:r>
        <w:rPr>
          <w:spacing w:val="16"/>
          <w:sz w:val="25"/>
        </w:rPr>
        <w:t> </w:t>
      </w:r>
      <w:r>
        <w:rPr>
          <w:sz w:val="25"/>
        </w:rPr>
        <w:t>need</w:t>
      </w:r>
      <w:r>
        <w:rPr>
          <w:spacing w:val="17"/>
          <w:sz w:val="25"/>
        </w:rPr>
        <w:t> </w:t>
      </w:r>
      <w:r>
        <w:rPr>
          <w:sz w:val="25"/>
        </w:rPr>
        <w:t>to</w:t>
      </w:r>
      <w:r>
        <w:rPr>
          <w:spacing w:val="16"/>
          <w:sz w:val="25"/>
        </w:rPr>
        <w:t> </w:t>
      </w:r>
      <w:r>
        <w:rPr>
          <w:sz w:val="25"/>
        </w:rPr>
        <w:t>protect</w:t>
      </w:r>
      <w:r>
        <w:rPr>
          <w:spacing w:val="15"/>
          <w:sz w:val="25"/>
        </w:rPr>
        <w:t> </w:t>
      </w:r>
      <w:r>
        <w:rPr>
          <w:sz w:val="25"/>
        </w:rPr>
        <w:t>the</w:t>
      </w:r>
      <w:r>
        <w:rPr>
          <w:spacing w:val="17"/>
          <w:sz w:val="25"/>
        </w:rPr>
        <w:t> </w:t>
      </w:r>
      <w:r>
        <w:rPr>
          <w:sz w:val="25"/>
        </w:rPr>
        <w:t>liberty</w:t>
      </w:r>
      <w:r>
        <w:rPr>
          <w:spacing w:val="13"/>
          <w:sz w:val="25"/>
        </w:rPr>
        <w:t> </w:t>
      </w:r>
      <w:r>
        <w:rPr>
          <w:sz w:val="25"/>
        </w:rPr>
        <w:t>of</w:t>
      </w:r>
      <w:r>
        <w:rPr>
          <w:spacing w:val="16"/>
          <w:sz w:val="25"/>
        </w:rPr>
        <w:t> </w:t>
      </w:r>
      <w:r>
        <w:rPr>
          <w:sz w:val="25"/>
        </w:rPr>
        <w:t>thought,</w:t>
      </w:r>
      <w:r>
        <w:rPr>
          <w:spacing w:val="17"/>
          <w:sz w:val="25"/>
        </w:rPr>
        <w:t> </w:t>
      </w:r>
      <w:r>
        <w:rPr>
          <w:sz w:val="25"/>
        </w:rPr>
        <w:t>expression,</w:t>
      </w:r>
      <w:r>
        <w:rPr>
          <w:spacing w:val="16"/>
          <w:sz w:val="25"/>
        </w:rPr>
        <w:t> </w:t>
      </w:r>
      <w:r>
        <w:rPr>
          <w:sz w:val="25"/>
        </w:rPr>
        <w:t>belief,</w:t>
      </w:r>
      <w:r>
        <w:rPr>
          <w:spacing w:val="16"/>
          <w:sz w:val="25"/>
        </w:rPr>
        <w:t> </w:t>
      </w:r>
      <w:r>
        <w:rPr>
          <w:sz w:val="25"/>
        </w:rPr>
        <w:t>faith</w:t>
      </w:r>
      <w:r>
        <w:rPr>
          <w:spacing w:val="17"/>
          <w:sz w:val="25"/>
        </w:rPr>
        <w:t> </w:t>
      </w:r>
      <w:r>
        <w:rPr>
          <w:sz w:val="25"/>
        </w:rPr>
        <w:t>and</w:t>
      </w:r>
    </w:p>
    <w:p>
      <w:pPr>
        <w:pStyle w:val="BodyText"/>
        <w:rPr>
          <w:sz w:val="20"/>
        </w:rPr>
      </w:pPr>
    </w:p>
    <w:p>
      <w:pPr>
        <w:pStyle w:val="BodyText"/>
        <w:spacing w:before="7"/>
        <w:rPr>
          <w:sz w:val="14"/>
        </w:rPr>
      </w:pPr>
      <w:r>
        <w:rPr/>
        <w:pict>
          <v:rect style="position:absolute;margin-left:72.024002pt;margin-top:10.382692pt;width:144.020pt;height:.599980pt;mso-position-horizontal-relative:page;mso-position-vertical-relative:paragraph;z-index:-15715328;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35</w:t>
      </w:r>
      <w:r>
        <w:rPr>
          <w:sz w:val="18"/>
          <w:vertAlign w:val="baseline"/>
        </w:rPr>
        <w:t> Lok Sabha Debates, Volume V, nos 41-49, page 448</w:t>
      </w:r>
    </w:p>
    <w:p>
      <w:pPr>
        <w:spacing w:before="2"/>
        <w:ind w:left="500" w:right="0" w:firstLine="0"/>
        <w:jc w:val="left"/>
        <w:rPr>
          <w:sz w:val="18"/>
        </w:rPr>
      </w:pPr>
      <w:r>
        <w:rPr>
          <w:sz w:val="18"/>
          <w:vertAlign w:val="superscript"/>
        </w:rPr>
        <w:t>36</w:t>
      </w:r>
      <w:r>
        <w:rPr>
          <w:sz w:val="18"/>
          <w:vertAlign w:val="baseline"/>
        </w:rPr>
        <w:t> Lok Sabha Debates, Volume V, nos 41-49, pages 443-444</w:t>
      </w:r>
    </w:p>
    <w:p>
      <w:pPr>
        <w:spacing w:after="0"/>
        <w:jc w:val="left"/>
        <w:rPr>
          <w:sz w:val="18"/>
        </w:rPr>
        <w:sectPr>
          <w:pgSz w:w="11910" w:h="16840"/>
          <w:pgMar w:header="721" w:footer="1014" w:top="1300" w:bottom="1200" w:left="940" w:right="1000"/>
        </w:sectPr>
      </w:pPr>
    </w:p>
    <w:p>
      <w:pPr>
        <w:pStyle w:val="BodyText"/>
        <w:spacing w:line="480" w:lineRule="auto" w:before="124"/>
        <w:ind w:left="500" w:right="437"/>
        <w:jc w:val="both"/>
      </w:pPr>
      <w:r>
        <w:rPr/>
        <w:t>worship. It emphasises human dignity and fraternity. Tolerance, respect for and acceptance of the equality of all religious faiths is a fundamental precept of fraternity. This was specifically adverted to by the Union Minister of Home Affairs in the course of his address before the Rajya Sabha</w:t>
      </w:r>
      <w:r>
        <w:rPr>
          <w:vertAlign w:val="superscript"/>
        </w:rPr>
        <w:t>37</w:t>
      </w:r>
      <w:r>
        <w:rPr>
          <w:vertAlign w:val="baseline"/>
        </w:rPr>
        <w:t> on 12 September 1991 by stating:</w:t>
      </w:r>
    </w:p>
    <w:p>
      <w:pPr>
        <w:spacing w:line="276" w:lineRule="auto" w:before="0"/>
        <w:ind w:left="1940" w:right="2261" w:firstLine="0"/>
        <w:jc w:val="both"/>
        <w:rPr>
          <w:sz w:val="21"/>
        </w:rPr>
      </w:pPr>
      <w:r>
        <w:rPr>
          <w:spacing w:val="-1"/>
          <w:w w:val="33"/>
          <w:sz w:val="21"/>
        </w:rPr>
        <w:t>―</w:t>
      </w:r>
      <w:r>
        <w:rPr>
          <w:w w:val="100"/>
          <w:sz w:val="21"/>
        </w:rPr>
        <w:t>I</w:t>
      </w:r>
      <w:r>
        <w:rPr>
          <w:sz w:val="21"/>
        </w:rPr>
        <w:t> </w:t>
      </w:r>
      <w:r>
        <w:rPr>
          <w:spacing w:val="16"/>
          <w:sz w:val="21"/>
        </w:rPr>
        <w:t> </w:t>
      </w:r>
      <w:r>
        <w:rPr>
          <w:spacing w:val="-1"/>
          <w:w w:val="100"/>
          <w:sz w:val="21"/>
        </w:rPr>
        <w:t>be</w:t>
      </w:r>
      <w:r>
        <w:rPr>
          <w:spacing w:val="1"/>
          <w:w w:val="100"/>
          <w:sz w:val="21"/>
        </w:rPr>
        <w:t>l</w:t>
      </w:r>
      <w:r>
        <w:rPr>
          <w:spacing w:val="-2"/>
          <w:w w:val="100"/>
          <w:sz w:val="21"/>
        </w:rPr>
        <w:t>i</w:t>
      </w:r>
      <w:r>
        <w:rPr>
          <w:spacing w:val="-1"/>
          <w:w w:val="100"/>
          <w:sz w:val="21"/>
        </w:rPr>
        <w:t>e</w:t>
      </w:r>
      <w:r>
        <w:rPr>
          <w:spacing w:val="-3"/>
          <w:w w:val="100"/>
          <w:sz w:val="21"/>
        </w:rPr>
        <w:t>v</w:t>
      </w:r>
      <w:r>
        <w:rPr>
          <w:w w:val="100"/>
          <w:sz w:val="21"/>
        </w:rPr>
        <w:t>e</w:t>
      </w:r>
      <w:r>
        <w:rPr>
          <w:sz w:val="21"/>
        </w:rPr>
        <w:t> </w:t>
      </w:r>
      <w:r>
        <w:rPr>
          <w:spacing w:val="17"/>
          <w:sz w:val="21"/>
        </w:rPr>
        <w:t> </w:t>
      </w:r>
      <w:r>
        <w:rPr>
          <w:spacing w:val="-2"/>
          <w:w w:val="100"/>
          <w:sz w:val="21"/>
        </w:rPr>
        <w:t>t</w:t>
      </w:r>
      <w:r>
        <w:rPr>
          <w:spacing w:val="-1"/>
          <w:w w:val="100"/>
          <w:sz w:val="21"/>
        </w:rPr>
        <w:t>ha</w:t>
      </w:r>
      <w:r>
        <w:rPr>
          <w:w w:val="100"/>
          <w:sz w:val="21"/>
        </w:rPr>
        <w:t>t</w:t>
      </w:r>
      <w:r>
        <w:rPr>
          <w:sz w:val="21"/>
        </w:rPr>
        <w:t> </w:t>
      </w:r>
      <w:r>
        <w:rPr>
          <w:spacing w:val="16"/>
          <w:sz w:val="21"/>
        </w:rPr>
        <w:t> </w:t>
      </w:r>
      <w:r>
        <w:rPr>
          <w:spacing w:val="-2"/>
          <w:w w:val="100"/>
          <w:sz w:val="21"/>
        </w:rPr>
        <w:t>I</w:t>
      </w:r>
      <w:r>
        <w:rPr>
          <w:spacing w:val="-1"/>
          <w:w w:val="100"/>
          <w:sz w:val="21"/>
        </w:rPr>
        <w:t>nd</w:t>
      </w:r>
      <w:r>
        <w:rPr>
          <w:spacing w:val="1"/>
          <w:w w:val="100"/>
          <w:sz w:val="21"/>
        </w:rPr>
        <w:t>i</w:t>
      </w:r>
      <w:r>
        <w:rPr>
          <w:w w:val="100"/>
          <w:sz w:val="21"/>
        </w:rPr>
        <w:t>a</w:t>
      </w:r>
      <w:r>
        <w:rPr>
          <w:sz w:val="21"/>
        </w:rPr>
        <w:t> </w:t>
      </w:r>
      <w:r>
        <w:rPr>
          <w:spacing w:val="17"/>
          <w:sz w:val="21"/>
        </w:rPr>
        <w:t> </w:t>
      </w:r>
      <w:r>
        <w:rPr>
          <w:spacing w:val="-2"/>
          <w:w w:val="100"/>
          <w:sz w:val="21"/>
        </w:rPr>
        <w:t>i</w:t>
      </w:r>
      <w:r>
        <w:rPr>
          <w:w w:val="100"/>
          <w:sz w:val="21"/>
        </w:rPr>
        <w:t>s</w:t>
      </w:r>
      <w:r>
        <w:rPr>
          <w:sz w:val="21"/>
        </w:rPr>
        <w:t> </w:t>
      </w:r>
      <w:r>
        <w:rPr>
          <w:spacing w:val="15"/>
          <w:sz w:val="21"/>
        </w:rPr>
        <w:t> </w:t>
      </w:r>
      <w:r>
        <w:rPr>
          <w:w w:val="100"/>
          <w:sz w:val="21"/>
        </w:rPr>
        <w:t>kno</w:t>
      </w:r>
      <w:r>
        <w:rPr>
          <w:spacing w:val="-1"/>
          <w:w w:val="100"/>
          <w:sz w:val="21"/>
        </w:rPr>
        <w:t>w</w:t>
      </w:r>
      <w:r>
        <w:rPr>
          <w:w w:val="100"/>
          <w:sz w:val="21"/>
        </w:rPr>
        <w:t>n</w:t>
      </w:r>
      <w:r>
        <w:rPr>
          <w:sz w:val="21"/>
        </w:rPr>
        <w:t> </w:t>
      </w:r>
      <w:r>
        <w:rPr>
          <w:spacing w:val="15"/>
          <w:sz w:val="21"/>
        </w:rPr>
        <w:t> </w:t>
      </w:r>
      <w:r>
        <w:rPr>
          <w:spacing w:val="1"/>
          <w:w w:val="100"/>
          <w:sz w:val="21"/>
        </w:rPr>
        <w:t>f</w:t>
      </w:r>
      <w:r>
        <w:rPr>
          <w:spacing w:val="-1"/>
          <w:w w:val="100"/>
          <w:sz w:val="21"/>
        </w:rPr>
        <w:t>o</w:t>
      </w:r>
      <w:r>
        <w:rPr>
          <w:w w:val="100"/>
          <w:sz w:val="21"/>
        </w:rPr>
        <w:t>r</w:t>
      </w:r>
      <w:r>
        <w:rPr>
          <w:sz w:val="21"/>
        </w:rPr>
        <w:t> </w:t>
      </w:r>
      <w:r>
        <w:rPr>
          <w:spacing w:val="16"/>
          <w:sz w:val="21"/>
        </w:rPr>
        <w:t> </w:t>
      </w:r>
      <w:r>
        <w:rPr>
          <w:w w:val="100"/>
          <w:sz w:val="21"/>
        </w:rPr>
        <w:t>i</w:t>
      </w:r>
      <w:r>
        <w:rPr>
          <w:spacing w:val="-2"/>
          <w:w w:val="100"/>
          <w:sz w:val="21"/>
        </w:rPr>
        <w:t>t</w:t>
      </w:r>
      <w:r>
        <w:rPr>
          <w:w w:val="100"/>
          <w:sz w:val="21"/>
        </w:rPr>
        <w:t>s</w:t>
      </w:r>
      <w:r>
        <w:rPr>
          <w:sz w:val="21"/>
        </w:rPr>
        <w:t> </w:t>
      </w:r>
      <w:r>
        <w:rPr>
          <w:spacing w:val="17"/>
          <w:sz w:val="21"/>
        </w:rPr>
        <w:t> </w:t>
      </w:r>
      <w:r>
        <w:rPr>
          <w:spacing w:val="-3"/>
          <w:w w:val="100"/>
          <w:sz w:val="21"/>
        </w:rPr>
        <w:t>c</w:t>
      </w:r>
      <w:r>
        <w:rPr>
          <w:w w:val="100"/>
          <w:sz w:val="21"/>
        </w:rPr>
        <w:t>i</w:t>
      </w:r>
      <w:r>
        <w:rPr>
          <w:spacing w:val="-3"/>
          <w:w w:val="100"/>
          <w:sz w:val="21"/>
        </w:rPr>
        <w:t>v</w:t>
      </w:r>
      <w:r>
        <w:rPr>
          <w:w w:val="100"/>
          <w:sz w:val="21"/>
        </w:rPr>
        <w:t>i</w:t>
      </w:r>
      <w:r>
        <w:rPr>
          <w:spacing w:val="-2"/>
          <w:w w:val="100"/>
          <w:sz w:val="21"/>
        </w:rPr>
        <w:t>l</w:t>
      </w:r>
      <w:r>
        <w:rPr>
          <w:w w:val="100"/>
          <w:sz w:val="21"/>
        </w:rPr>
        <w:t>i</w:t>
      </w:r>
      <w:r>
        <w:rPr>
          <w:spacing w:val="-3"/>
          <w:w w:val="100"/>
          <w:sz w:val="21"/>
        </w:rPr>
        <w:t>z</w:t>
      </w:r>
      <w:r>
        <w:rPr>
          <w:spacing w:val="-1"/>
          <w:w w:val="100"/>
          <w:sz w:val="21"/>
        </w:rPr>
        <w:t>at</w:t>
      </w:r>
      <w:r>
        <w:rPr>
          <w:w w:val="100"/>
          <w:sz w:val="21"/>
        </w:rPr>
        <w:t>i</w:t>
      </w:r>
      <w:r>
        <w:rPr>
          <w:spacing w:val="-1"/>
          <w:w w:val="100"/>
          <w:sz w:val="21"/>
        </w:rPr>
        <w:t>o</w:t>
      </w:r>
      <w:r>
        <w:rPr>
          <w:w w:val="100"/>
          <w:sz w:val="21"/>
        </w:rPr>
        <w:t>n</w:t>
      </w:r>
      <w:r>
        <w:rPr>
          <w:sz w:val="21"/>
        </w:rPr>
        <w:t> </w:t>
      </w:r>
      <w:r>
        <w:rPr>
          <w:spacing w:val="15"/>
          <w:sz w:val="21"/>
        </w:rPr>
        <w:t> </w:t>
      </w:r>
      <w:r>
        <w:rPr>
          <w:spacing w:val="-1"/>
          <w:w w:val="100"/>
          <w:sz w:val="21"/>
        </w:rPr>
        <w:t>an</w:t>
      </w:r>
      <w:r>
        <w:rPr>
          <w:w w:val="100"/>
          <w:sz w:val="21"/>
        </w:rPr>
        <w:t>d</w:t>
      </w:r>
      <w:r>
        <w:rPr>
          <w:sz w:val="21"/>
        </w:rPr>
        <w:t> </w:t>
      </w:r>
      <w:r>
        <w:rPr>
          <w:spacing w:val="18"/>
          <w:sz w:val="21"/>
        </w:rPr>
        <w:t> </w:t>
      </w:r>
      <w:r>
        <w:rPr>
          <w:spacing w:val="-2"/>
          <w:w w:val="100"/>
          <w:sz w:val="21"/>
        </w:rPr>
        <w:t>t</w:t>
      </w:r>
      <w:r>
        <w:rPr>
          <w:spacing w:val="-1"/>
          <w:w w:val="100"/>
          <w:sz w:val="21"/>
        </w:rPr>
        <w:t>he </w:t>
      </w:r>
      <w:r>
        <w:rPr>
          <w:sz w:val="21"/>
        </w:rPr>
        <w:t>greatest contribution of India to the world civilization is the kind of tolerance, understanding, the kind of assimilative spirit and the cosmopolitan outlook that it</w:t>
      </w:r>
      <w:r>
        <w:rPr>
          <w:spacing w:val="-9"/>
          <w:sz w:val="21"/>
        </w:rPr>
        <w:t> </w:t>
      </w:r>
      <w:r>
        <w:rPr>
          <w:sz w:val="21"/>
        </w:rPr>
        <w:t>shows…</w:t>
      </w:r>
    </w:p>
    <w:p>
      <w:pPr>
        <w:spacing w:line="276" w:lineRule="auto" w:before="0"/>
        <w:ind w:left="1940" w:right="2264" w:firstLine="0"/>
        <w:jc w:val="both"/>
        <w:rPr>
          <w:sz w:val="21"/>
        </w:rPr>
      </w:pPr>
      <w:r>
        <w:rPr>
          <w:sz w:val="21"/>
        </w:rPr>
        <w:t>The Advaita philosophy…clearly says that there is no difference between God and ourselves. </w:t>
      </w:r>
      <w:r>
        <w:rPr>
          <w:spacing w:val="3"/>
          <w:sz w:val="21"/>
        </w:rPr>
        <w:t>We </w:t>
      </w:r>
      <w:r>
        <w:rPr>
          <w:sz w:val="21"/>
        </w:rPr>
        <w:t>have to realize that God is not in the mosque or in the temple only, but God is in the heart of a</w:t>
      </w:r>
      <w:r>
        <w:rPr>
          <w:spacing w:val="-7"/>
          <w:sz w:val="21"/>
        </w:rPr>
        <w:t> </w:t>
      </w:r>
      <w:r>
        <w:rPr>
          <w:sz w:val="21"/>
        </w:rPr>
        <w:t>person…</w:t>
      </w:r>
    </w:p>
    <w:p>
      <w:pPr>
        <w:spacing w:line="276" w:lineRule="auto" w:before="0"/>
        <w:ind w:left="1940" w:right="2264" w:firstLine="0"/>
        <w:jc w:val="both"/>
        <w:rPr>
          <w:sz w:val="21"/>
        </w:rPr>
      </w:pPr>
      <w:r>
        <w:rPr>
          <w:sz w:val="21"/>
        </w:rPr>
        <w:t>Let everybody understand that he owes his allegiance to the Constitution, allegiance to the unity of the country: the rest of the things are immaterial.‖</w:t>
      </w:r>
    </w:p>
    <w:p>
      <w:pPr>
        <w:pStyle w:val="BodyText"/>
        <w:rPr>
          <w:sz w:val="24"/>
        </w:rPr>
      </w:pPr>
    </w:p>
    <w:p>
      <w:pPr>
        <w:pStyle w:val="BodyText"/>
        <w:spacing w:before="6"/>
        <w:rPr>
          <w:sz w:val="33"/>
        </w:rPr>
      </w:pPr>
    </w:p>
    <w:p>
      <w:pPr>
        <w:pStyle w:val="BodyText"/>
        <w:spacing w:line="480" w:lineRule="auto"/>
        <w:ind w:left="500" w:right="433"/>
        <w:jc w:val="both"/>
      </w:pPr>
      <w:r>
        <w:rPr/>
        <w:t>In providing a guarantee for the preservation of the religious character of places of public worship as they existed on 15 August 1947 and against the conversion of places of public worship, Parliament determined that independence from colonial rule furnishes a constitutional basis for healing the injustices of the past by providing the confidence to every religious community that their places of worship will be preserved and that their character will not be altered. The law addresses itself to the State as much as to every citizen of the nation. Its norms bind those who govern the affairs of the nation at every level. Those norms implement the Fundamental Duties under Article 51A and are hence positive mandates to every citizen as well. The State, has by enacting the law, enforced a constitutional commitment and operationalized its constitutional obligations to uphold</w:t>
      </w:r>
      <w:r>
        <w:rPr>
          <w:spacing w:val="39"/>
        </w:rPr>
        <w:t> </w:t>
      </w:r>
      <w:r>
        <w:rPr/>
        <w:t>the</w:t>
      </w:r>
      <w:r>
        <w:rPr>
          <w:spacing w:val="39"/>
        </w:rPr>
        <w:t> </w:t>
      </w:r>
      <w:r>
        <w:rPr/>
        <w:t>equality</w:t>
      </w:r>
      <w:r>
        <w:rPr>
          <w:spacing w:val="37"/>
        </w:rPr>
        <w:t> </w:t>
      </w:r>
      <w:r>
        <w:rPr/>
        <w:t>of</w:t>
      </w:r>
      <w:r>
        <w:rPr>
          <w:spacing w:val="39"/>
        </w:rPr>
        <w:t> </w:t>
      </w:r>
      <w:r>
        <w:rPr/>
        <w:t>all</w:t>
      </w:r>
      <w:r>
        <w:rPr>
          <w:spacing w:val="40"/>
        </w:rPr>
        <w:t> </w:t>
      </w:r>
      <w:r>
        <w:rPr/>
        <w:t>religions</w:t>
      </w:r>
      <w:r>
        <w:rPr>
          <w:spacing w:val="39"/>
        </w:rPr>
        <w:t> </w:t>
      </w:r>
      <w:r>
        <w:rPr/>
        <w:t>and</w:t>
      </w:r>
      <w:r>
        <w:rPr>
          <w:spacing w:val="40"/>
        </w:rPr>
        <w:t> </w:t>
      </w:r>
      <w:r>
        <w:rPr/>
        <w:t>secularism</w:t>
      </w:r>
      <w:r>
        <w:rPr>
          <w:spacing w:val="39"/>
        </w:rPr>
        <w:t> </w:t>
      </w:r>
      <w:r>
        <w:rPr/>
        <w:t>which</w:t>
      </w:r>
      <w:r>
        <w:rPr>
          <w:spacing w:val="39"/>
        </w:rPr>
        <w:t> </w:t>
      </w:r>
      <w:r>
        <w:rPr/>
        <w:t>is</w:t>
      </w:r>
      <w:r>
        <w:rPr>
          <w:spacing w:val="39"/>
        </w:rPr>
        <w:t> </w:t>
      </w:r>
      <w:r>
        <w:rPr/>
        <w:t>a</w:t>
      </w:r>
      <w:r>
        <w:rPr>
          <w:spacing w:val="37"/>
        </w:rPr>
        <w:t> </w:t>
      </w:r>
      <w:r>
        <w:rPr/>
        <w:t>part</w:t>
      </w:r>
      <w:r>
        <w:rPr>
          <w:spacing w:val="40"/>
        </w:rPr>
        <w:t> </w:t>
      </w:r>
      <w:r>
        <w:rPr/>
        <w:t>of</w:t>
      </w:r>
      <w:r>
        <w:rPr>
          <w:spacing w:val="39"/>
        </w:rPr>
        <w:t> </w:t>
      </w:r>
      <w:r>
        <w:rPr/>
        <w:t>the</w:t>
      </w:r>
      <w:r>
        <w:rPr>
          <w:spacing w:val="38"/>
        </w:rPr>
        <w:t> </w:t>
      </w:r>
      <w:r>
        <w:rPr/>
        <w:t>basic</w:t>
      </w:r>
    </w:p>
    <w:p>
      <w:pPr>
        <w:pStyle w:val="BodyText"/>
        <w:spacing w:before="2"/>
        <w:rPr>
          <w:sz w:val="9"/>
        </w:rPr>
      </w:pPr>
      <w:r>
        <w:rPr/>
        <w:pict>
          <v:rect style="position:absolute;margin-left:72.024002pt;margin-top:7.261927pt;width:144.020pt;height:.599980pt;mso-position-horizontal-relative:page;mso-position-vertical-relative:paragraph;z-index:-1571481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37</w:t>
      </w:r>
      <w:r>
        <w:rPr>
          <w:sz w:val="18"/>
          <w:vertAlign w:val="baseline"/>
        </w:rPr>
        <w:t> Rajya Sabha Debates, Volume CLX, nos 13-18, pages 519-520 and 522</w:t>
      </w:r>
    </w:p>
    <w:p>
      <w:pPr>
        <w:spacing w:after="0"/>
        <w:jc w:val="left"/>
        <w:rPr>
          <w:sz w:val="18"/>
        </w:rPr>
        <w:sectPr>
          <w:pgSz w:w="11910" w:h="16840"/>
          <w:pgMar w:header="721" w:footer="1014" w:top="1300" w:bottom="1200" w:left="940" w:right="1000"/>
        </w:sectPr>
      </w:pPr>
    </w:p>
    <w:p>
      <w:pPr>
        <w:pStyle w:val="BodyText"/>
        <w:spacing w:line="480" w:lineRule="auto" w:before="124"/>
        <w:ind w:left="500" w:right="435"/>
        <w:jc w:val="both"/>
      </w:pPr>
      <w:r>
        <w:rPr/>
        <w:t>features of the Constitution. The Places of Worship Act imposes a non-derogable obligation towards enforcing our commitment to secularism under the Indian Constitution. The law is hence a legislative instrument designed to protect the secular features of the Indian polity, which is one of the basic features of the Constitution. Non-retrogression is a foundational feature of the fundamental constitutional principles of which secularism is a core component. The Places of Worship Act is thus a legislative intervention which preserves non-retrogression as an essential feature of our secular values.</w:t>
      </w:r>
    </w:p>
    <w:p>
      <w:pPr>
        <w:pStyle w:val="BodyText"/>
        <w:rPr>
          <w:sz w:val="28"/>
        </w:rPr>
      </w:pPr>
    </w:p>
    <w:p>
      <w:pPr>
        <w:pStyle w:val="BodyText"/>
        <w:spacing w:before="2"/>
        <w:rPr>
          <w:sz w:val="22"/>
        </w:rPr>
      </w:pPr>
    </w:p>
    <w:p>
      <w:pPr>
        <w:pStyle w:val="Heading4"/>
        <w:spacing w:before="1"/>
        <w:rPr>
          <w:i/>
        </w:rPr>
      </w:pPr>
      <w:r>
        <w:rPr>
          <w:i/>
        </w:rPr>
        <w:t>Secularism as a constitutional value</w:t>
      </w:r>
    </w:p>
    <w:p>
      <w:pPr>
        <w:pStyle w:val="BodyText"/>
        <w:rPr>
          <w:i/>
          <w:sz w:val="28"/>
        </w:rPr>
      </w:pPr>
    </w:p>
    <w:p>
      <w:pPr>
        <w:pStyle w:val="BodyText"/>
        <w:spacing w:before="6"/>
        <w:rPr>
          <w:i/>
          <w:sz w:val="22"/>
        </w:rPr>
      </w:pPr>
    </w:p>
    <w:p>
      <w:pPr>
        <w:pStyle w:val="ListParagraph"/>
        <w:numPr>
          <w:ilvl w:val="0"/>
          <w:numId w:val="3"/>
        </w:numPr>
        <w:tabs>
          <w:tab w:pos="1220" w:val="left" w:leader="none"/>
          <w:tab w:pos="1221" w:val="left" w:leader="none"/>
        </w:tabs>
        <w:spacing w:line="482" w:lineRule="auto" w:before="0" w:after="0"/>
        <w:ind w:left="500" w:right="435" w:firstLine="0"/>
        <w:jc w:val="left"/>
        <w:rPr>
          <w:sz w:val="25"/>
        </w:rPr>
      </w:pPr>
      <w:r>
        <w:rPr>
          <w:sz w:val="25"/>
        </w:rPr>
        <w:t>In a nine judge Bench decision of this Court in </w:t>
      </w:r>
      <w:r>
        <w:rPr>
          <w:b/>
          <w:sz w:val="25"/>
        </w:rPr>
        <w:t>S R Bommai </w:t>
      </w:r>
      <w:r>
        <w:rPr>
          <w:sz w:val="25"/>
        </w:rPr>
        <w:t>v </w:t>
      </w:r>
      <w:r>
        <w:rPr>
          <w:b/>
          <w:sz w:val="25"/>
        </w:rPr>
        <w:t>Union of India</w:t>
      </w:r>
      <w:r>
        <w:rPr>
          <w:sz w:val="25"/>
          <w:vertAlign w:val="superscript"/>
        </w:rPr>
        <w:t>38</w:t>
      </w:r>
      <w:r>
        <w:rPr>
          <w:sz w:val="25"/>
          <w:vertAlign w:val="baseline"/>
        </w:rPr>
        <w:t>, Justice B P Jeevan Reddy</w:t>
      </w:r>
      <w:r>
        <w:rPr>
          <w:spacing w:val="-9"/>
          <w:sz w:val="25"/>
          <w:vertAlign w:val="baseline"/>
        </w:rPr>
        <w:t> </w:t>
      </w:r>
      <w:r>
        <w:rPr>
          <w:sz w:val="25"/>
          <w:vertAlign w:val="baseline"/>
        </w:rPr>
        <w:t>held:</w:t>
      </w:r>
    </w:p>
    <w:p>
      <w:pPr>
        <w:spacing w:line="276" w:lineRule="auto" w:before="284"/>
        <w:ind w:left="1940" w:right="2260" w:firstLine="0"/>
        <w:jc w:val="both"/>
        <w:rPr>
          <w:sz w:val="21"/>
        </w:rPr>
      </w:pPr>
      <w:r>
        <w:rPr>
          <w:spacing w:val="-1"/>
          <w:w w:val="33"/>
          <w:sz w:val="21"/>
        </w:rPr>
        <w:t>―</w:t>
      </w:r>
      <w:r>
        <w:rPr>
          <w:spacing w:val="-1"/>
          <w:w w:val="100"/>
          <w:sz w:val="21"/>
        </w:rPr>
        <w:t>304</w:t>
      </w:r>
      <w:r>
        <w:rPr>
          <w:spacing w:val="-2"/>
          <w:w w:val="100"/>
          <w:sz w:val="21"/>
        </w:rPr>
        <w:t>…</w:t>
      </w:r>
      <w:r>
        <w:rPr>
          <w:w w:val="100"/>
          <w:sz w:val="21"/>
        </w:rPr>
        <w:t>H</w:t>
      </w:r>
      <w:r>
        <w:rPr>
          <w:spacing w:val="-1"/>
          <w:w w:val="100"/>
          <w:sz w:val="21"/>
        </w:rPr>
        <w:t>o</w:t>
      </w:r>
      <w:r>
        <w:rPr>
          <w:w w:val="100"/>
          <w:sz w:val="21"/>
        </w:rPr>
        <w:t>w</w:t>
      </w:r>
      <w:r>
        <w:rPr>
          <w:sz w:val="21"/>
        </w:rPr>
        <w:t> </w:t>
      </w:r>
      <w:r>
        <w:rPr>
          <w:spacing w:val="-25"/>
          <w:sz w:val="21"/>
        </w:rPr>
        <w:t> </w:t>
      </w:r>
      <w:r>
        <w:rPr>
          <w:spacing w:val="-1"/>
          <w:w w:val="100"/>
          <w:sz w:val="21"/>
        </w:rPr>
        <w:t>ar</w:t>
      </w:r>
      <w:r>
        <w:rPr>
          <w:w w:val="100"/>
          <w:sz w:val="21"/>
        </w:rPr>
        <w:t>e</w:t>
      </w:r>
      <w:r>
        <w:rPr>
          <w:sz w:val="21"/>
        </w:rPr>
        <w:t> </w:t>
      </w:r>
      <w:r>
        <w:rPr>
          <w:spacing w:val="-22"/>
          <w:sz w:val="21"/>
        </w:rPr>
        <w:t> </w:t>
      </w:r>
      <w:r>
        <w:rPr>
          <w:spacing w:val="-2"/>
          <w:w w:val="100"/>
          <w:sz w:val="21"/>
        </w:rPr>
        <w:t>t</w:t>
      </w:r>
      <w:r>
        <w:rPr>
          <w:spacing w:val="-1"/>
          <w:w w:val="100"/>
          <w:sz w:val="21"/>
        </w:rPr>
        <w:t>h</w:t>
      </w:r>
      <w:r>
        <w:rPr>
          <w:w w:val="100"/>
          <w:sz w:val="21"/>
        </w:rPr>
        <w:t>e</w:t>
      </w:r>
      <w:r>
        <w:rPr>
          <w:sz w:val="21"/>
        </w:rPr>
        <w:t> </w:t>
      </w:r>
      <w:r>
        <w:rPr>
          <w:spacing w:val="-23"/>
          <w:sz w:val="21"/>
        </w:rPr>
        <w:t> </w:t>
      </w:r>
      <w:r>
        <w:rPr>
          <w:w w:val="100"/>
          <w:sz w:val="21"/>
        </w:rPr>
        <w:t>co</w:t>
      </w:r>
      <w:r>
        <w:rPr>
          <w:spacing w:val="-3"/>
          <w:w w:val="100"/>
          <w:sz w:val="21"/>
        </w:rPr>
        <w:t>n</w:t>
      </w:r>
      <w:r>
        <w:rPr>
          <w:w w:val="100"/>
          <w:sz w:val="21"/>
        </w:rPr>
        <w:t>s</w:t>
      </w:r>
      <w:r>
        <w:rPr>
          <w:spacing w:val="-2"/>
          <w:w w:val="100"/>
          <w:sz w:val="21"/>
        </w:rPr>
        <w:t>t</w:t>
      </w:r>
      <w:r>
        <w:rPr>
          <w:w w:val="100"/>
          <w:sz w:val="21"/>
        </w:rPr>
        <w:t>i</w:t>
      </w:r>
      <w:r>
        <w:rPr>
          <w:spacing w:val="-2"/>
          <w:w w:val="100"/>
          <w:sz w:val="21"/>
        </w:rPr>
        <w:t>t</w:t>
      </w:r>
      <w:r>
        <w:rPr>
          <w:spacing w:val="-1"/>
          <w:w w:val="100"/>
          <w:sz w:val="21"/>
        </w:rPr>
        <w:t>ut</w:t>
      </w:r>
      <w:r>
        <w:rPr>
          <w:w w:val="100"/>
          <w:sz w:val="21"/>
        </w:rPr>
        <w:t>i</w:t>
      </w:r>
      <w:r>
        <w:rPr>
          <w:spacing w:val="-1"/>
          <w:w w:val="100"/>
          <w:sz w:val="21"/>
        </w:rPr>
        <w:t>o</w:t>
      </w:r>
      <w:r>
        <w:rPr>
          <w:spacing w:val="-3"/>
          <w:w w:val="100"/>
          <w:sz w:val="21"/>
        </w:rPr>
        <w:t>n</w:t>
      </w:r>
      <w:r>
        <w:rPr>
          <w:spacing w:val="-1"/>
          <w:w w:val="100"/>
          <w:sz w:val="21"/>
        </w:rPr>
        <w:t>a</w:t>
      </w:r>
      <w:r>
        <w:rPr>
          <w:w w:val="100"/>
          <w:sz w:val="21"/>
        </w:rPr>
        <w:t>l</w:t>
      </w:r>
      <w:r>
        <w:rPr>
          <w:sz w:val="21"/>
        </w:rPr>
        <w:t> </w:t>
      </w:r>
      <w:r>
        <w:rPr>
          <w:spacing w:val="-23"/>
          <w:sz w:val="21"/>
        </w:rPr>
        <w:t> </w:t>
      </w:r>
      <w:r>
        <w:rPr>
          <w:spacing w:val="-1"/>
          <w:w w:val="100"/>
          <w:sz w:val="21"/>
        </w:rPr>
        <w:t>pr</w:t>
      </w:r>
      <w:r>
        <w:rPr>
          <w:spacing w:val="-3"/>
          <w:w w:val="100"/>
          <w:sz w:val="21"/>
        </w:rPr>
        <w:t>o</w:t>
      </w:r>
      <w:r>
        <w:rPr>
          <w:spacing w:val="-1"/>
          <w:w w:val="100"/>
          <w:sz w:val="21"/>
        </w:rPr>
        <w:t>m</w:t>
      </w:r>
      <w:r>
        <w:rPr>
          <w:w w:val="100"/>
          <w:sz w:val="21"/>
        </w:rPr>
        <w:t>ises</w:t>
      </w:r>
      <w:r>
        <w:rPr>
          <w:sz w:val="21"/>
        </w:rPr>
        <w:t> </w:t>
      </w:r>
      <w:r>
        <w:rPr>
          <w:spacing w:val="-24"/>
          <w:sz w:val="21"/>
        </w:rPr>
        <w:t> </w:t>
      </w:r>
      <w:r>
        <w:rPr>
          <w:spacing w:val="-3"/>
          <w:w w:val="100"/>
          <w:sz w:val="21"/>
        </w:rPr>
        <w:t>o</w:t>
      </w:r>
      <w:r>
        <w:rPr>
          <w:w w:val="100"/>
          <w:sz w:val="21"/>
        </w:rPr>
        <w:t>f</w:t>
      </w:r>
      <w:r>
        <w:rPr>
          <w:sz w:val="21"/>
        </w:rPr>
        <w:t> </w:t>
      </w:r>
      <w:r>
        <w:rPr>
          <w:spacing w:val="-20"/>
          <w:sz w:val="21"/>
        </w:rPr>
        <w:t> </w:t>
      </w:r>
      <w:r>
        <w:rPr>
          <w:w w:val="100"/>
          <w:sz w:val="21"/>
        </w:rPr>
        <w:t>so</w:t>
      </w:r>
      <w:r>
        <w:rPr>
          <w:spacing w:val="-3"/>
          <w:w w:val="100"/>
          <w:sz w:val="21"/>
        </w:rPr>
        <w:t>c</w:t>
      </w:r>
      <w:r>
        <w:rPr>
          <w:spacing w:val="-2"/>
          <w:w w:val="100"/>
          <w:sz w:val="21"/>
        </w:rPr>
        <w:t>i</w:t>
      </w:r>
      <w:r>
        <w:rPr>
          <w:spacing w:val="-1"/>
          <w:w w:val="100"/>
          <w:sz w:val="21"/>
        </w:rPr>
        <w:t>a</w:t>
      </w:r>
      <w:r>
        <w:rPr>
          <w:w w:val="100"/>
          <w:sz w:val="21"/>
        </w:rPr>
        <w:t>l</w:t>
      </w:r>
      <w:r>
        <w:rPr>
          <w:sz w:val="21"/>
        </w:rPr>
        <w:t> </w:t>
      </w:r>
      <w:r>
        <w:rPr>
          <w:spacing w:val="-23"/>
          <w:sz w:val="21"/>
        </w:rPr>
        <w:t> </w:t>
      </w:r>
      <w:r>
        <w:rPr>
          <w:w w:val="100"/>
          <w:sz w:val="21"/>
        </w:rPr>
        <w:t>j</w:t>
      </w:r>
      <w:r>
        <w:rPr>
          <w:spacing w:val="-1"/>
          <w:w w:val="100"/>
          <w:sz w:val="21"/>
        </w:rPr>
        <w:t>ust</w:t>
      </w:r>
      <w:r>
        <w:rPr>
          <w:spacing w:val="-2"/>
          <w:w w:val="100"/>
          <w:sz w:val="21"/>
        </w:rPr>
        <w:t>i</w:t>
      </w:r>
      <w:r>
        <w:rPr>
          <w:w w:val="100"/>
          <w:sz w:val="21"/>
        </w:rPr>
        <w:t>ce, </w:t>
      </w:r>
      <w:r>
        <w:rPr>
          <w:sz w:val="21"/>
        </w:rPr>
        <w:t>liberty of belief, faith or worship and equality of status and of opportunity to be attained unless the State eschews the religion, faith or belief of a person from its consideration altogether while dealing with him, his rights, his duties and his entitlements? </w:t>
      </w:r>
      <w:r>
        <w:rPr>
          <w:i/>
          <w:sz w:val="21"/>
        </w:rPr>
        <w:t>Secularism is thus more than a passive attitude </w:t>
      </w:r>
      <w:r>
        <w:rPr>
          <w:i/>
          <w:sz w:val="21"/>
        </w:rPr>
        <w:t>of religious tolerance. It is a positive concept of equal treatment of all religions</w:t>
      </w:r>
      <w:r>
        <w:rPr>
          <w:sz w:val="21"/>
        </w:rPr>
        <w:t>. This attitude is described by some as one of neutrality towards religion or as one of benevolent neutrality. This may be a concept evolved by western liberal thought or it may be, as some say, an abiding faith with the Indian people at all points of time. That is not material. What is material is that it is a constitutional goal and a basic feature of   the   Constitution   as    affirmed    in </w:t>
      </w:r>
      <w:r>
        <w:rPr>
          <w:i/>
          <w:sz w:val="21"/>
        </w:rPr>
        <w:t>Kesavananda </w:t>
      </w:r>
      <w:r>
        <w:rPr>
          <w:i/>
          <w:sz w:val="21"/>
        </w:rPr>
        <w:t>Bharati </w:t>
      </w:r>
      <w:r>
        <w:rPr>
          <w:sz w:val="21"/>
        </w:rPr>
        <w:t>[</w:t>
      </w:r>
      <w:r>
        <w:rPr>
          <w:i/>
          <w:sz w:val="21"/>
        </w:rPr>
        <w:t>Kesavananda Bharati </w:t>
      </w:r>
      <w:r>
        <w:rPr>
          <w:sz w:val="21"/>
        </w:rPr>
        <w:t>v. </w:t>
      </w:r>
      <w:r>
        <w:rPr>
          <w:i/>
          <w:sz w:val="21"/>
        </w:rPr>
        <w:t>State of Kerala</w:t>
      </w:r>
      <w:r>
        <w:rPr>
          <w:sz w:val="21"/>
        </w:rPr>
        <w:t>, (1973) 4 SCC 225 : 1973 Supp SCR 1] and </w:t>
      </w:r>
      <w:r>
        <w:rPr>
          <w:i/>
          <w:sz w:val="21"/>
        </w:rPr>
        <w:t>Indira N. Gandhi </w:t>
      </w:r>
      <w:r>
        <w:rPr>
          <w:sz w:val="21"/>
        </w:rPr>
        <w:t>v. </w:t>
      </w:r>
      <w:r>
        <w:rPr>
          <w:i/>
          <w:sz w:val="21"/>
        </w:rPr>
        <w:t>Raj </w:t>
      </w:r>
      <w:r>
        <w:rPr>
          <w:i/>
          <w:sz w:val="21"/>
        </w:rPr>
        <w:t>Narain </w:t>
      </w:r>
      <w:r>
        <w:rPr>
          <w:sz w:val="21"/>
        </w:rPr>
        <w:t>[1975 Supp SCC 1 : (1976) 2 SCR 347] . Any step inconsistent with this constitutional policy is, in plain words, unconstitutional.‖</w:t>
      </w:r>
    </w:p>
    <w:p>
      <w:pPr>
        <w:pStyle w:val="BodyText"/>
        <w:rPr>
          <w:sz w:val="20"/>
        </w:rPr>
      </w:pPr>
    </w:p>
    <w:p>
      <w:pPr>
        <w:pStyle w:val="BodyText"/>
        <w:rPr>
          <w:sz w:val="20"/>
        </w:rPr>
      </w:pPr>
    </w:p>
    <w:p>
      <w:pPr>
        <w:pStyle w:val="BodyText"/>
        <w:rPr>
          <w:sz w:val="20"/>
        </w:rPr>
      </w:pPr>
    </w:p>
    <w:p>
      <w:pPr>
        <w:pStyle w:val="BodyText"/>
        <w:spacing w:before="6"/>
        <w:rPr>
          <w:sz w:val="11"/>
        </w:rPr>
      </w:pPr>
      <w:r>
        <w:rPr/>
        <w:pict>
          <v:rect style="position:absolute;margin-left:72.024002pt;margin-top:8.608093pt;width:144.020pt;height:.599980pt;mso-position-horizontal-relative:page;mso-position-vertical-relative:paragraph;z-index:-1571430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38</w:t>
      </w:r>
      <w:r>
        <w:rPr>
          <w:sz w:val="18"/>
          <w:vertAlign w:val="baseline"/>
        </w:rPr>
        <w:t> (1994) 3 SCC 1</w:t>
      </w:r>
    </w:p>
    <w:p>
      <w:pPr>
        <w:spacing w:after="0"/>
        <w:jc w:val="left"/>
        <w:rPr>
          <w:sz w:val="18"/>
        </w:rPr>
        <w:sectPr>
          <w:headerReference w:type="default" r:id="rId42"/>
          <w:footerReference w:type="default" r:id="rId43"/>
          <w:pgSz w:w="11910" w:h="16840"/>
          <w:pgMar w:header="721" w:footer="1014" w:top="1300" w:bottom="1200" w:left="940" w:right="1000"/>
          <w:pgNumType w:start="123"/>
        </w:sectPr>
      </w:pPr>
    </w:p>
    <w:p>
      <w:pPr>
        <w:pStyle w:val="BodyText"/>
        <w:spacing w:line="480" w:lineRule="auto" w:before="124"/>
        <w:ind w:left="500" w:right="441"/>
        <w:jc w:val="both"/>
      </w:pPr>
      <w:r>
        <w:rPr/>
        <w:t>The Places of Worship Act is intrinsically related to the obligations of a secular state. It reflects the commitment of India to the equality of all religions. Above all, the Places of Worship Act is an affirmation of the solemn duty which was cast upon the State to preserve and protect the equality of all faiths as an essential constitutional value, a norm which has the status of being a basic feature of the Constitution. There is a purpose underlying the enactment of the Places of Worship Act. The law speaks to our history and to the future of the nation. Cognizant as we are of our history and of the need for the nation to confront it, Independence was a watershed moment to heal the wounds of the past. Historical wrongs cannot be remedied by the people taking the law in their own hands. In preserving the character of places of public worship, Parliament has mandated in no uncertain terms that history and its wrongs shall not be used as instruments to oppress the present and the</w:t>
      </w:r>
      <w:r>
        <w:rPr>
          <w:spacing w:val="-7"/>
        </w:rPr>
        <w:t> </w:t>
      </w:r>
      <w:r>
        <w:rPr/>
        <w:t>future.</w:t>
      </w:r>
    </w:p>
    <w:p>
      <w:pPr>
        <w:pStyle w:val="BodyText"/>
        <w:rPr>
          <w:sz w:val="28"/>
        </w:rPr>
      </w:pPr>
    </w:p>
    <w:p>
      <w:pPr>
        <w:pStyle w:val="BodyText"/>
        <w:spacing w:before="1"/>
        <w:rPr>
          <w:sz w:val="22"/>
        </w:rPr>
      </w:pPr>
    </w:p>
    <w:p>
      <w:pPr>
        <w:pStyle w:val="ListParagraph"/>
        <w:numPr>
          <w:ilvl w:val="0"/>
          <w:numId w:val="3"/>
        </w:numPr>
        <w:tabs>
          <w:tab w:pos="1221" w:val="left" w:leader="none"/>
        </w:tabs>
        <w:spacing w:line="480" w:lineRule="auto" w:before="0" w:after="0"/>
        <w:ind w:left="500" w:right="440" w:firstLine="0"/>
        <w:jc w:val="both"/>
        <w:rPr>
          <w:sz w:val="25"/>
        </w:rPr>
      </w:pPr>
      <w:r>
        <w:rPr>
          <w:sz w:val="25"/>
        </w:rPr>
        <w:t>The observations made on the Places of Worship Act by Justice D V Sharma are contrary to the scheme of the law as they are to the framework of constitutional values. Justice D V Sharma observed as</w:t>
      </w:r>
      <w:r>
        <w:rPr>
          <w:spacing w:val="-6"/>
          <w:sz w:val="25"/>
        </w:rPr>
        <w:t> </w:t>
      </w:r>
      <w:r>
        <w:rPr>
          <w:sz w:val="25"/>
        </w:rPr>
        <w:t>follows:</w:t>
      </w:r>
    </w:p>
    <w:p>
      <w:pPr>
        <w:spacing w:line="276" w:lineRule="auto" w:before="0"/>
        <w:ind w:left="1940" w:right="2262" w:firstLine="0"/>
        <w:jc w:val="both"/>
        <w:rPr>
          <w:sz w:val="21"/>
        </w:rPr>
      </w:pPr>
      <w:r>
        <w:rPr>
          <w:spacing w:val="-1"/>
          <w:w w:val="33"/>
          <w:sz w:val="21"/>
        </w:rPr>
        <w:t>―</w:t>
      </w:r>
      <w:r>
        <w:rPr>
          <w:w w:val="100"/>
          <w:sz w:val="21"/>
        </w:rPr>
        <w:t>1</w:t>
      </w:r>
      <w:r>
        <w:rPr>
          <w:spacing w:val="3"/>
          <w:sz w:val="21"/>
        </w:rPr>
        <w:t> </w:t>
      </w:r>
      <w:r>
        <w:rPr>
          <w:spacing w:val="-1"/>
          <w:w w:val="100"/>
          <w:sz w:val="21"/>
        </w:rPr>
        <w:t>(</w:t>
      </w:r>
      <w:r>
        <w:rPr>
          <w:w w:val="100"/>
          <w:sz w:val="21"/>
        </w:rPr>
        <w:t>c</w:t>
      </w:r>
      <w:r>
        <w:rPr>
          <w:spacing w:val="-1"/>
          <w:w w:val="100"/>
          <w:sz w:val="21"/>
        </w:rPr>
        <w:t>)</w:t>
      </w:r>
      <w:r>
        <w:rPr>
          <w:w w:val="100"/>
          <w:sz w:val="21"/>
        </w:rPr>
        <w:t>.</w:t>
      </w:r>
      <w:r>
        <w:rPr>
          <w:spacing w:val="2"/>
          <w:sz w:val="21"/>
        </w:rPr>
        <w:t> </w:t>
      </w:r>
      <w:r>
        <w:rPr>
          <w:w w:val="100"/>
          <w:sz w:val="21"/>
        </w:rPr>
        <w:t>S</w:t>
      </w:r>
      <w:r>
        <w:rPr>
          <w:spacing w:val="-1"/>
          <w:w w:val="100"/>
          <w:sz w:val="21"/>
        </w:rPr>
        <w:t>ect</w:t>
      </w:r>
      <w:r>
        <w:rPr>
          <w:w w:val="100"/>
          <w:sz w:val="21"/>
        </w:rPr>
        <w:t>i</w:t>
      </w:r>
      <w:r>
        <w:rPr>
          <w:spacing w:val="-1"/>
          <w:w w:val="100"/>
          <w:sz w:val="21"/>
        </w:rPr>
        <w:t>o</w:t>
      </w:r>
      <w:r>
        <w:rPr>
          <w:w w:val="100"/>
          <w:sz w:val="21"/>
        </w:rPr>
        <w:t>n</w:t>
      </w:r>
      <w:r>
        <w:rPr>
          <w:spacing w:val="4"/>
          <w:sz w:val="21"/>
        </w:rPr>
        <w:t> </w:t>
      </w:r>
      <w:r>
        <w:rPr>
          <w:w w:val="100"/>
          <w:sz w:val="21"/>
        </w:rPr>
        <w:t>9</w:t>
      </w:r>
      <w:r>
        <w:rPr>
          <w:spacing w:val="1"/>
          <w:sz w:val="21"/>
        </w:rPr>
        <w:t> </w:t>
      </w:r>
      <w:r>
        <w:rPr>
          <w:w w:val="100"/>
          <w:sz w:val="21"/>
        </w:rPr>
        <w:t>is</w:t>
      </w:r>
      <w:r>
        <w:rPr>
          <w:spacing w:val="3"/>
          <w:sz w:val="21"/>
        </w:rPr>
        <w:t> </w:t>
      </w:r>
      <w:r>
        <w:rPr>
          <w:spacing w:val="-3"/>
          <w:w w:val="100"/>
          <w:sz w:val="21"/>
        </w:rPr>
        <w:t>v</w:t>
      </w:r>
      <w:r>
        <w:rPr>
          <w:spacing w:val="-1"/>
          <w:w w:val="100"/>
          <w:sz w:val="21"/>
        </w:rPr>
        <w:t>er</w:t>
      </w:r>
      <w:r>
        <w:rPr>
          <w:w w:val="100"/>
          <w:sz w:val="21"/>
        </w:rPr>
        <w:t>y</w:t>
      </w:r>
      <w:r>
        <w:rPr>
          <w:sz w:val="21"/>
        </w:rPr>
        <w:t> </w:t>
      </w:r>
      <w:r>
        <w:rPr>
          <w:spacing w:val="-2"/>
          <w:w w:val="100"/>
          <w:sz w:val="21"/>
        </w:rPr>
        <w:t>w</w:t>
      </w:r>
      <w:r>
        <w:rPr>
          <w:spacing w:val="3"/>
          <w:w w:val="100"/>
          <w:sz w:val="21"/>
        </w:rPr>
        <w:t>i</w:t>
      </w:r>
      <w:r>
        <w:rPr>
          <w:spacing w:val="-1"/>
          <w:w w:val="100"/>
          <w:sz w:val="21"/>
        </w:rPr>
        <w:t>de</w:t>
      </w:r>
      <w:r>
        <w:rPr>
          <w:w w:val="100"/>
          <w:sz w:val="21"/>
        </w:rPr>
        <w:t>.</w:t>
      </w:r>
      <w:r>
        <w:rPr>
          <w:spacing w:val="2"/>
          <w:sz w:val="21"/>
        </w:rPr>
        <w:t> </w:t>
      </w:r>
      <w:r>
        <w:rPr>
          <w:spacing w:val="-2"/>
          <w:w w:val="100"/>
          <w:sz w:val="21"/>
        </w:rPr>
        <w:t>I</w:t>
      </w:r>
      <w:r>
        <w:rPr>
          <w:w w:val="100"/>
          <w:sz w:val="21"/>
        </w:rPr>
        <w:t>n</w:t>
      </w:r>
      <w:r>
        <w:rPr>
          <w:spacing w:val="3"/>
          <w:sz w:val="21"/>
        </w:rPr>
        <w:t> </w:t>
      </w:r>
      <w:r>
        <w:rPr>
          <w:spacing w:val="-1"/>
          <w:w w:val="100"/>
          <w:sz w:val="21"/>
        </w:rPr>
        <w:t>abse</w:t>
      </w:r>
      <w:r>
        <w:rPr>
          <w:spacing w:val="-2"/>
          <w:w w:val="100"/>
          <w:sz w:val="21"/>
        </w:rPr>
        <w:t>n</w:t>
      </w:r>
      <w:r>
        <w:rPr>
          <w:w w:val="100"/>
          <w:sz w:val="21"/>
        </w:rPr>
        <w:t>ce</w:t>
      </w:r>
      <w:r>
        <w:rPr>
          <w:spacing w:val="3"/>
          <w:sz w:val="21"/>
        </w:rPr>
        <w:t> </w:t>
      </w:r>
      <w:r>
        <w:rPr>
          <w:spacing w:val="-3"/>
          <w:w w:val="100"/>
          <w:sz w:val="21"/>
        </w:rPr>
        <w:t>o</w:t>
      </w:r>
      <w:r>
        <w:rPr>
          <w:w w:val="100"/>
          <w:sz w:val="21"/>
        </w:rPr>
        <w:t>f</w:t>
      </w:r>
      <w:r>
        <w:rPr>
          <w:spacing w:val="4"/>
          <w:sz w:val="21"/>
        </w:rPr>
        <w:t> </w:t>
      </w:r>
      <w:r>
        <w:rPr>
          <w:spacing w:val="-1"/>
          <w:w w:val="100"/>
          <w:sz w:val="21"/>
        </w:rPr>
        <w:t>an</w:t>
      </w:r>
      <w:r>
        <w:rPr>
          <w:w w:val="100"/>
          <w:sz w:val="21"/>
        </w:rPr>
        <w:t>y</w:t>
      </w:r>
      <w:r>
        <w:rPr>
          <w:spacing w:val="1"/>
          <w:sz w:val="21"/>
        </w:rPr>
        <w:t> </w:t>
      </w:r>
      <w:r>
        <w:rPr>
          <w:spacing w:val="-1"/>
          <w:w w:val="100"/>
          <w:sz w:val="21"/>
        </w:rPr>
        <w:t>ec</w:t>
      </w:r>
      <w:r>
        <w:rPr>
          <w:spacing w:val="-3"/>
          <w:w w:val="100"/>
          <w:sz w:val="21"/>
        </w:rPr>
        <w:t>c</w:t>
      </w:r>
      <w:r>
        <w:rPr>
          <w:w w:val="100"/>
          <w:sz w:val="21"/>
        </w:rPr>
        <w:t>l</w:t>
      </w:r>
      <w:r>
        <w:rPr>
          <w:spacing w:val="-1"/>
          <w:w w:val="100"/>
          <w:sz w:val="21"/>
        </w:rPr>
        <w:t>e</w:t>
      </w:r>
      <w:r>
        <w:rPr>
          <w:spacing w:val="-3"/>
          <w:w w:val="100"/>
          <w:sz w:val="21"/>
        </w:rPr>
        <w:t>s</w:t>
      </w:r>
      <w:r>
        <w:rPr>
          <w:w w:val="100"/>
          <w:sz w:val="21"/>
        </w:rPr>
        <w:t>i</w:t>
      </w:r>
      <w:r>
        <w:rPr>
          <w:spacing w:val="-1"/>
          <w:w w:val="100"/>
          <w:sz w:val="21"/>
        </w:rPr>
        <w:t>as</w:t>
      </w:r>
      <w:r>
        <w:rPr>
          <w:spacing w:val="-4"/>
          <w:w w:val="100"/>
          <w:sz w:val="21"/>
        </w:rPr>
        <w:t>t</w:t>
      </w:r>
      <w:r>
        <w:rPr>
          <w:w w:val="100"/>
          <w:sz w:val="21"/>
        </w:rPr>
        <w:t>ic</w:t>
      </w:r>
      <w:r>
        <w:rPr>
          <w:spacing w:val="-3"/>
          <w:w w:val="100"/>
          <w:sz w:val="21"/>
        </w:rPr>
        <w:t>a</w:t>
      </w:r>
      <w:r>
        <w:rPr>
          <w:w w:val="100"/>
          <w:sz w:val="21"/>
        </w:rPr>
        <w:t>l </w:t>
      </w:r>
      <w:r>
        <w:rPr>
          <w:sz w:val="21"/>
        </w:rPr>
        <w:t>Courts any religious dispute is cognizable, except in very rare cases where the declaration sought may be what constitutes religious rite. Places of Worship (Special Provisions) Act, 1991 does not debar those cases where declaration is sought for a period prior to the Act came into force or for enforcement of right which was recognized before coming into force of the Act.‖</w:t>
      </w:r>
    </w:p>
    <w:p>
      <w:pPr>
        <w:pStyle w:val="BodyText"/>
        <w:rPr>
          <w:sz w:val="24"/>
        </w:rPr>
      </w:pPr>
    </w:p>
    <w:p>
      <w:pPr>
        <w:pStyle w:val="BodyText"/>
        <w:spacing w:line="482" w:lineRule="auto" w:before="206"/>
        <w:ind w:left="500" w:right="444"/>
        <w:jc w:val="both"/>
      </w:pPr>
      <w:r>
        <w:rPr/>
        <w:t>The above conclusion of Justice D V Sharma is directly contrary to the provisions of Section 4(2). Justice D V Sharma postulates in the above observations that the</w:t>
      </w:r>
    </w:p>
    <w:p>
      <w:pPr>
        <w:spacing w:after="0" w:line="482" w:lineRule="auto"/>
        <w:jc w:val="both"/>
        <w:sectPr>
          <w:pgSz w:w="11910" w:h="16840"/>
          <w:pgMar w:header="721" w:footer="1014" w:top="1300" w:bottom="1200" w:left="940" w:right="1000"/>
        </w:sectPr>
      </w:pPr>
    </w:p>
    <w:p>
      <w:pPr>
        <w:pStyle w:val="BodyText"/>
        <w:spacing w:line="480" w:lineRule="auto" w:before="124"/>
        <w:ind w:left="500" w:right="512"/>
      </w:pPr>
      <w:r>
        <w:rPr/>
        <w:t>Places of Worship Act will not debar cases of the following nature being entertained namely:</w:t>
      </w:r>
    </w:p>
    <w:p>
      <w:pPr>
        <w:pStyle w:val="ListParagraph"/>
        <w:numPr>
          <w:ilvl w:val="0"/>
          <w:numId w:val="60"/>
        </w:numPr>
        <w:tabs>
          <w:tab w:pos="1220" w:val="left" w:leader="none"/>
          <w:tab w:pos="1221" w:val="left" w:leader="none"/>
        </w:tabs>
        <w:spacing w:line="480" w:lineRule="auto" w:before="0" w:after="0"/>
        <w:ind w:left="1220" w:right="443" w:hanging="720"/>
        <w:jc w:val="left"/>
        <w:rPr>
          <w:sz w:val="25"/>
        </w:rPr>
      </w:pPr>
      <w:r>
        <w:rPr>
          <w:sz w:val="25"/>
        </w:rPr>
        <w:t>Where a declaration is sought for a period prior to the enforcement of the Places of Worship Act;</w:t>
      </w:r>
      <w:r>
        <w:rPr>
          <w:spacing w:val="-7"/>
          <w:sz w:val="25"/>
        </w:rPr>
        <w:t> </w:t>
      </w:r>
      <w:r>
        <w:rPr>
          <w:sz w:val="25"/>
        </w:rPr>
        <w:t>or</w:t>
      </w:r>
    </w:p>
    <w:p>
      <w:pPr>
        <w:pStyle w:val="ListParagraph"/>
        <w:numPr>
          <w:ilvl w:val="0"/>
          <w:numId w:val="60"/>
        </w:numPr>
        <w:tabs>
          <w:tab w:pos="1220" w:val="left" w:leader="none"/>
          <w:tab w:pos="1221" w:val="left" w:leader="none"/>
        </w:tabs>
        <w:spacing w:line="480" w:lineRule="auto" w:before="0" w:after="0"/>
        <w:ind w:left="1220" w:right="442" w:hanging="720"/>
        <w:jc w:val="left"/>
        <w:rPr>
          <w:sz w:val="25"/>
        </w:rPr>
      </w:pPr>
      <w:r>
        <w:rPr>
          <w:sz w:val="25"/>
        </w:rPr>
        <w:t>Where enforcement is sought of a right which was recognised before the enforcement of the Places of Worship</w:t>
      </w:r>
      <w:r>
        <w:rPr>
          <w:spacing w:val="-10"/>
          <w:sz w:val="25"/>
        </w:rPr>
        <w:t> </w:t>
      </w:r>
      <w:r>
        <w:rPr>
          <w:sz w:val="25"/>
        </w:rPr>
        <w:t>Act.</w:t>
      </w:r>
    </w:p>
    <w:p>
      <w:pPr>
        <w:pStyle w:val="BodyText"/>
      </w:pPr>
    </w:p>
    <w:p>
      <w:pPr>
        <w:pStyle w:val="ListParagraph"/>
        <w:numPr>
          <w:ilvl w:val="0"/>
          <w:numId w:val="3"/>
        </w:numPr>
        <w:tabs>
          <w:tab w:pos="1221" w:val="left" w:leader="none"/>
        </w:tabs>
        <w:spacing w:line="480" w:lineRule="auto" w:before="0" w:after="0"/>
        <w:ind w:left="500" w:right="436" w:firstLine="0"/>
        <w:jc w:val="both"/>
        <w:rPr>
          <w:sz w:val="25"/>
        </w:rPr>
      </w:pPr>
      <w:r>
        <w:rPr>
          <w:sz w:val="25"/>
        </w:rPr>
        <w:t>Section 4(1) clearly stipulates that the religious character of a place of worship as it existed on 15 August 1947 shall be maintained as it existed on that day. Section 4(2) specifically contemplates that all suits, appeals and legal proceedings existing on the day of the commencement of the Places of Worship Act, with respect to the conversion of the religious character of a place of worship, existing on 15 August 1947, pending before any court, tribunal or authority shall abate, </w:t>
      </w:r>
      <w:r>
        <w:rPr>
          <w:b/>
          <w:sz w:val="25"/>
        </w:rPr>
        <w:t>and </w:t>
      </w:r>
      <w:r>
        <w:rPr>
          <w:sz w:val="25"/>
        </w:rPr>
        <w:t>no suit, appeal or proceeding with respect to such matter shall lie after the commencement of the Act. The only exception in the proviso to sub-section (2) is where a suit, appeal or proceeding is instituted on the ground that the conversion of the religious character of a place of worship  had taken place </w:t>
      </w:r>
      <w:r>
        <w:rPr>
          <w:b/>
          <w:sz w:val="25"/>
        </w:rPr>
        <w:t>after </w:t>
      </w:r>
      <w:r>
        <w:rPr>
          <w:sz w:val="25"/>
        </w:rPr>
        <w:t>15 August 1947 and such an action was pending at the commencement of the Places of Worship Act. Clearly, in the face of the statutory mandate, the exception which has been carved out by Justice D V Sharma runs contrary to the terms of the legislation and is therefore</w:t>
      </w:r>
      <w:r>
        <w:rPr>
          <w:spacing w:val="-14"/>
          <w:sz w:val="25"/>
        </w:rPr>
        <w:t> </w:t>
      </w:r>
      <w:r>
        <w:rPr>
          <w:sz w:val="25"/>
        </w:rPr>
        <w:t>erroneous.</w:t>
      </w:r>
    </w:p>
    <w:p>
      <w:pPr>
        <w:spacing w:after="0" w:line="480" w:lineRule="auto"/>
        <w:jc w:val="both"/>
        <w:rPr>
          <w:sz w:val="25"/>
        </w:rPr>
        <w:sectPr>
          <w:pgSz w:w="11910" w:h="16840"/>
          <w:pgMar w:header="721" w:footer="1014" w:top="1300" w:bottom="1200" w:left="940" w:right="1000"/>
        </w:sectPr>
      </w:pPr>
    </w:p>
    <w:p>
      <w:pPr>
        <w:pStyle w:val="Heading3"/>
        <w:numPr>
          <w:ilvl w:val="0"/>
          <w:numId w:val="56"/>
        </w:numPr>
        <w:tabs>
          <w:tab w:pos="1220" w:val="left" w:leader="none"/>
          <w:tab w:pos="1221" w:val="left" w:leader="none"/>
        </w:tabs>
        <w:spacing w:line="240" w:lineRule="auto" w:before="124" w:after="0"/>
        <w:ind w:left="1220" w:right="0" w:hanging="721"/>
        <w:jc w:val="left"/>
      </w:pPr>
      <w:r>
        <w:rPr/>
        <w:t>Juristic Personality</w:t>
      </w:r>
    </w:p>
    <w:p>
      <w:pPr>
        <w:pStyle w:val="BodyText"/>
        <w:rPr>
          <w:b/>
          <w:sz w:val="28"/>
        </w:rPr>
      </w:pPr>
    </w:p>
    <w:p>
      <w:pPr>
        <w:pStyle w:val="ListParagraph"/>
        <w:numPr>
          <w:ilvl w:val="1"/>
          <w:numId w:val="56"/>
        </w:numPr>
        <w:tabs>
          <w:tab w:pos="1220" w:val="left" w:leader="none"/>
          <w:tab w:pos="1221" w:val="left" w:leader="none"/>
        </w:tabs>
        <w:spacing w:line="240" w:lineRule="auto" w:before="216" w:after="0"/>
        <w:ind w:left="1220" w:right="0" w:hanging="721"/>
        <w:jc w:val="left"/>
        <w:rPr>
          <w:b/>
          <w:sz w:val="26"/>
        </w:rPr>
      </w:pPr>
      <w:r>
        <w:rPr>
          <w:b/>
          <w:sz w:val="26"/>
        </w:rPr>
        <w:t>Development of the law</w:t>
      </w:r>
    </w:p>
    <w:p>
      <w:pPr>
        <w:pStyle w:val="BodyText"/>
        <w:rPr>
          <w:b/>
          <w:sz w:val="28"/>
        </w:rPr>
      </w:pPr>
    </w:p>
    <w:p>
      <w:pPr>
        <w:pStyle w:val="ListParagraph"/>
        <w:numPr>
          <w:ilvl w:val="0"/>
          <w:numId w:val="3"/>
        </w:numPr>
        <w:tabs>
          <w:tab w:pos="1221" w:val="left" w:leader="none"/>
        </w:tabs>
        <w:spacing w:line="480" w:lineRule="auto" w:before="217" w:after="0"/>
        <w:ind w:left="500" w:right="439" w:firstLine="0"/>
        <w:jc w:val="both"/>
        <w:rPr>
          <w:sz w:val="25"/>
        </w:rPr>
      </w:pPr>
      <w:r>
        <w:rPr>
          <w:sz w:val="25"/>
        </w:rPr>
        <w:t>At the heart of the legal dispute in the present batch of appeals is the </w:t>
      </w:r>
      <w:r>
        <w:rPr>
          <w:w w:val="99"/>
          <w:sz w:val="25"/>
        </w:rPr>
        <w:t>qu</w:t>
      </w:r>
      <w:r>
        <w:rPr>
          <w:w w:val="99"/>
          <w:sz w:val="25"/>
        </w:rPr>
        <w:t>estio</w:t>
      </w:r>
      <w:r>
        <w:rPr>
          <w:w w:val="99"/>
          <w:sz w:val="25"/>
        </w:rPr>
        <w:t>n</w:t>
      </w:r>
      <w:r>
        <w:rPr>
          <w:sz w:val="25"/>
        </w:rPr>
        <w:t> </w:t>
      </w:r>
      <w:r>
        <w:rPr>
          <w:spacing w:val="-14"/>
          <w:sz w:val="25"/>
        </w:rPr>
        <w:t> </w:t>
      </w:r>
      <w:r>
        <w:rPr>
          <w:w w:val="99"/>
          <w:sz w:val="25"/>
        </w:rPr>
        <w:t>whet</w:t>
      </w:r>
      <w:r>
        <w:rPr>
          <w:w w:val="99"/>
          <w:sz w:val="25"/>
        </w:rPr>
        <w:t>he</w:t>
      </w:r>
      <w:r>
        <w:rPr>
          <w:w w:val="99"/>
          <w:sz w:val="25"/>
        </w:rPr>
        <w:t>r</w:t>
      </w:r>
      <w:r>
        <w:rPr>
          <w:sz w:val="25"/>
        </w:rPr>
        <w:t> </w:t>
      </w:r>
      <w:r>
        <w:rPr>
          <w:spacing w:val="-14"/>
          <w:sz w:val="25"/>
        </w:rPr>
        <w:t> </w:t>
      </w:r>
      <w:r>
        <w:rPr>
          <w:w w:val="99"/>
          <w:sz w:val="25"/>
        </w:rPr>
        <w:t>the</w:t>
      </w:r>
      <w:r>
        <w:rPr>
          <w:sz w:val="25"/>
        </w:rPr>
        <w:t> </w:t>
      </w:r>
      <w:r>
        <w:rPr>
          <w:spacing w:val="-16"/>
          <w:sz w:val="25"/>
        </w:rPr>
        <w:t> </w:t>
      </w:r>
      <w:r>
        <w:rPr>
          <w:w w:val="99"/>
          <w:sz w:val="25"/>
        </w:rPr>
        <w:t>fir</w:t>
      </w:r>
      <w:r>
        <w:rPr>
          <w:w w:val="99"/>
          <w:sz w:val="25"/>
        </w:rPr>
        <w:t>st</w:t>
      </w:r>
      <w:r>
        <w:rPr>
          <w:sz w:val="25"/>
        </w:rPr>
        <w:t> </w:t>
      </w:r>
      <w:r>
        <w:rPr>
          <w:spacing w:val="-15"/>
          <w:sz w:val="25"/>
        </w:rPr>
        <w:t> </w:t>
      </w:r>
      <w:r>
        <w:rPr>
          <w:w w:val="99"/>
          <w:sz w:val="25"/>
        </w:rPr>
        <w:t>and</w:t>
      </w:r>
      <w:r>
        <w:rPr>
          <w:sz w:val="25"/>
        </w:rPr>
        <w:t> </w:t>
      </w:r>
      <w:r>
        <w:rPr>
          <w:spacing w:val="-14"/>
          <w:sz w:val="25"/>
        </w:rPr>
        <w:t> </w:t>
      </w:r>
      <w:r>
        <w:rPr>
          <w:w w:val="99"/>
          <w:sz w:val="25"/>
        </w:rPr>
        <w:t>seco</w:t>
      </w:r>
      <w:r>
        <w:rPr>
          <w:w w:val="99"/>
          <w:sz w:val="25"/>
        </w:rPr>
        <w:t>nd</w:t>
      </w:r>
      <w:r>
        <w:rPr>
          <w:sz w:val="25"/>
        </w:rPr>
        <w:t> </w:t>
      </w:r>
      <w:r>
        <w:rPr>
          <w:spacing w:val="-14"/>
          <w:sz w:val="25"/>
        </w:rPr>
        <w:t> </w:t>
      </w:r>
      <w:r>
        <w:rPr>
          <w:w w:val="99"/>
          <w:sz w:val="25"/>
        </w:rPr>
        <w:t>p</w:t>
      </w:r>
      <w:r>
        <w:rPr>
          <w:spacing w:val="-3"/>
          <w:w w:val="99"/>
          <w:sz w:val="25"/>
        </w:rPr>
        <w:t>l</w:t>
      </w:r>
      <w:r>
        <w:rPr>
          <w:w w:val="99"/>
          <w:sz w:val="25"/>
        </w:rPr>
        <w:t>aint</w:t>
      </w:r>
      <w:r>
        <w:rPr>
          <w:w w:val="99"/>
          <w:sz w:val="25"/>
        </w:rPr>
        <w:t>iff</w:t>
      </w:r>
      <w:r>
        <w:rPr>
          <w:sz w:val="25"/>
        </w:rPr>
        <w:t> </w:t>
      </w:r>
      <w:r>
        <w:rPr>
          <w:spacing w:val="-15"/>
          <w:sz w:val="25"/>
        </w:rPr>
        <w:t> </w:t>
      </w:r>
      <w:r>
        <w:rPr>
          <w:w w:val="99"/>
          <w:sz w:val="25"/>
        </w:rPr>
        <w:t>in</w:t>
      </w:r>
      <w:r>
        <w:rPr>
          <w:sz w:val="25"/>
        </w:rPr>
        <w:t> </w:t>
      </w:r>
      <w:r>
        <w:rPr>
          <w:spacing w:val="-15"/>
          <w:sz w:val="25"/>
        </w:rPr>
        <w:t> </w:t>
      </w:r>
      <w:r>
        <w:rPr>
          <w:spacing w:val="-1"/>
          <w:w w:val="99"/>
          <w:sz w:val="25"/>
        </w:rPr>
        <w:t>S</w:t>
      </w:r>
      <w:r>
        <w:rPr>
          <w:w w:val="99"/>
          <w:sz w:val="25"/>
        </w:rPr>
        <w:t>uit</w:t>
      </w:r>
      <w:r>
        <w:rPr>
          <w:sz w:val="25"/>
        </w:rPr>
        <w:t> </w:t>
      </w:r>
      <w:r>
        <w:rPr>
          <w:spacing w:val="-14"/>
          <w:sz w:val="25"/>
        </w:rPr>
        <w:t> </w:t>
      </w:r>
      <w:r>
        <w:rPr>
          <w:w w:val="99"/>
          <w:sz w:val="25"/>
        </w:rPr>
        <w:t>5</w:t>
      </w:r>
      <w:r>
        <w:rPr>
          <w:sz w:val="25"/>
        </w:rPr>
        <w:t> </w:t>
      </w:r>
      <w:r>
        <w:rPr>
          <w:spacing w:val="-8"/>
          <w:sz w:val="25"/>
        </w:rPr>
        <w:t> </w:t>
      </w:r>
      <w:r>
        <w:rPr>
          <w:w w:val="99"/>
          <w:sz w:val="25"/>
        </w:rPr>
        <w:t>-</w:t>
      </w:r>
      <w:r>
        <w:rPr>
          <w:sz w:val="25"/>
        </w:rPr>
        <w:t> </w:t>
      </w:r>
      <w:r>
        <w:rPr>
          <w:spacing w:val="-14"/>
          <w:sz w:val="25"/>
        </w:rPr>
        <w:t> </w:t>
      </w:r>
      <w:r>
        <w:rPr>
          <w:w w:val="33"/>
          <w:sz w:val="25"/>
        </w:rPr>
        <w:t>―</w:t>
      </w:r>
      <w:r>
        <w:rPr>
          <w:spacing w:val="-1"/>
          <w:w w:val="99"/>
          <w:sz w:val="25"/>
        </w:rPr>
        <w:t>Bh</w:t>
      </w:r>
      <w:r>
        <w:rPr>
          <w:w w:val="99"/>
          <w:sz w:val="25"/>
        </w:rPr>
        <w:t>a</w:t>
      </w:r>
      <w:r>
        <w:rPr>
          <w:spacing w:val="-1"/>
          <w:w w:val="99"/>
          <w:sz w:val="25"/>
        </w:rPr>
        <w:t>gwa</w:t>
      </w:r>
      <w:r>
        <w:rPr>
          <w:w w:val="99"/>
          <w:sz w:val="25"/>
        </w:rPr>
        <w:t>n</w:t>
      </w:r>
      <w:r>
        <w:rPr>
          <w:sz w:val="25"/>
        </w:rPr>
        <w:t> </w:t>
      </w:r>
      <w:r>
        <w:rPr>
          <w:spacing w:val="-14"/>
          <w:sz w:val="25"/>
        </w:rPr>
        <w:t> </w:t>
      </w:r>
      <w:r>
        <w:rPr>
          <w:spacing w:val="-1"/>
          <w:w w:val="99"/>
          <w:sz w:val="25"/>
        </w:rPr>
        <w:t>S</w:t>
      </w:r>
      <w:r>
        <w:rPr>
          <w:w w:val="99"/>
          <w:sz w:val="25"/>
        </w:rPr>
        <w:t>ri</w:t>
      </w:r>
      <w:r>
        <w:rPr>
          <w:sz w:val="25"/>
        </w:rPr>
        <w:t> </w:t>
      </w:r>
      <w:r>
        <w:rPr>
          <w:spacing w:val="-15"/>
          <w:sz w:val="25"/>
        </w:rPr>
        <w:t> </w:t>
      </w:r>
      <w:r>
        <w:rPr>
          <w:spacing w:val="-1"/>
          <w:w w:val="99"/>
          <w:sz w:val="25"/>
        </w:rPr>
        <w:t>Ram V</w:t>
      </w:r>
      <w:r>
        <w:rPr>
          <w:w w:val="99"/>
          <w:sz w:val="25"/>
        </w:rPr>
        <w:t>ir</w:t>
      </w:r>
      <w:r>
        <w:rPr>
          <w:spacing w:val="-1"/>
          <w:w w:val="99"/>
          <w:sz w:val="25"/>
        </w:rPr>
        <w:t>aj</w:t>
      </w:r>
      <w:r>
        <w:rPr>
          <w:w w:val="99"/>
          <w:sz w:val="25"/>
        </w:rPr>
        <w:t>m</w:t>
      </w:r>
      <w:r>
        <w:rPr>
          <w:spacing w:val="-1"/>
          <w:w w:val="99"/>
          <w:sz w:val="25"/>
        </w:rPr>
        <w:t>a</w:t>
      </w:r>
      <w:r>
        <w:rPr>
          <w:w w:val="99"/>
          <w:sz w:val="25"/>
        </w:rPr>
        <w:t>n</w:t>
      </w:r>
      <w:r>
        <w:rPr>
          <w:w w:val="80"/>
          <w:sz w:val="25"/>
        </w:rPr>
        <w:t>‖</w:t>
      </w:r>
      <w:r>
        <w:rPr>
          <w:spacing w:val="27"/>
          <w:sz w:val="25"/>
        </w:rPr>
        <w:t> </w:t>
      </w:r>
      <w:r>
        <w:rPr>
          <w:spacing w:val="-1"/>
          <w:w w:val="99"/>
          <w:sz w:val="25"/>
        </w:rPr>
        <w:t>a</w:t>
      </w:r>
      <w:r>
        <w:rPr>
          <w:w w:val="99"/>
          <w:sz w:val="25"/>
        </w:rPr>
        <w:t>nd</w:t>
      </w:r>
      <w:r>
        <w:rPr>
          <w:spacing w:val="26"/>
          <w:sz w:val="25"/>
        </w:rPr>
        <w:t> </w:t>
      </w:r>
      <w:r>
        <w:rPr>
          <w:w w:val="33"/>
          <w:sz w:val="25"/>
        </w:rPr>
        <w:t>―</w:t>
      </w:r>
      <w:r>
        <w:rPr>
          <w:spacing w:val="-1"/>
          <w:w w:val="99"/>
          <w:sz w:val="25"/>
        </w:rPr>
        <w:t>A</w:t>
      </w:r>
      <w:r>
        <w:rPr>
          <w:w w:val="99"/>
          <w:sz w:val="25"/>
        </w:rPr>
        <w:t>sthan</w:t>
      </w:r>
      <w:r>
        <w:rPr>
          <w:spacing w:val="26"/>
          <w:sz w:val="25"/>
        </w:rPr>
        <w:t> </w:t>
      </w:r>
      <w:r>
        <w:rPr>
          <w:spacing w:val="-1"/>
          <w:w w:val="99"/>
          <w:sz w:val="25"/>
        </w:rPr>
        <w:t>S</w:t>
      </w:r>
      <w:r>
        <w:rPr>
          <w:w w:val="99"/>
          <w:sz w:val="25"/>
        </w:rPr>
        <w:t>ri</w:t>
      </w:r>
      <w:r>
        <w:rPr>
          <w:spacing w:val="26"/>
          <w:sz w:val="25"/>
        </w:rPr>
        <w:t> </w:t>
      </w:r>
      <w:r>
        <w:rPr>
          <w:spacing w:val="-1"/>
          <w:w w:val="99"/>
          <w:sz w:val="25"/>
        </w:rPr>
        <w:t>Ra</w:t>
      </w:r>
      <w:r>
        <w:rPr>
          <w:w w:val="99"/>
          <w:sz w:val="25"/>
        </w:rPr>
        <w:t>m</w:t>
      </w:r>
      <w:r>
        <w:rPr>
          <w:spacing w:val="27"/>
          <w:sz w:val="25"/>
        </w:rPr>
        <w:t> </w:t>
      </w:r>
      <w:r>
        <w:rPr>
          <w:w w:val="99"/>
          <w:sz w:val="25"/>
        </w:rPr>
        <w:t>Jan</w:t>
      </w:r>
      <w:r>
        <w:rPr>
          <w:spacing w:val="-1"/>
          <w:w w:val="99"/>
          <w:sz w:val="25"/>
        </w:rPr>
        <w:t>a</w:t>
      </w:r>
      <w:r>
        <w:rPr>
          <w:w w:val="99"/>
          <w:sz w:val="25"/>
        </w:rPr>
        <w:t>m</w:t>
      </w:r>
      <w:r>
        <w:rPr>
          <w:spacing w:val="29"/>
          <w:sz w:val="25"/>
        </w:rPr>
        <w:t> </w:t>
      </w:r>
      <w:r>
        <w:rPr>
          <w:spacing w:val="-1"/>
          <w:w w:val="99"/>
          <w:sz w:val="25"/>
        </w:rPr>
        <w:t>Bh</w:t>
      </w:r>
      <w:r>
        <w:rPr>
          <w:w w:val="99"/>
          <w:sz w:val="25"/>
        </w:rPr>
        <w:t>um</w:t>
      </w:r>
      <w:r>
        <w:rPr>
          <w:spacing w:val="-1"/>
          <w:w w:val="99"/>
          <w:sz w:val="25"/>
        </w:rPr>
        <w:t>i</w:t>
      </w:r>
      <w:r>
        <w:rPr>
          <w:w w:val="99"/>
          <w:sz w:val="25"/>
        </w:rPr>
        <w:t>,</w:t>
      </w:r>
      <w:r>
        <w:rPr>
          <w:spacing w:val="26"/>
          <w:sz w:val="25"/>
        </w:rPr>
        <w:t> </w:t>
      </w:r>
      <w:r>
        <w:rPr>
          <w:spacing w:val="1"/>
          <w:w w:val="99"/>
          <w:sz w:val="25"/>
        </w:rPr>
        <w:t>A</w:t>
      </w:r>
      <w:r>
        <w:rPr>
          <w:spacing w:val="-3"/>
          <w:w w:val="99"/>
          <w:sz w:val="25"/>
        </w:rPr>
        <w:t>y</w:t>
      </w:r>
      <w:r>
        <w:rPr>
          <w:spacing w:val="-1"/>
          <w:w w:val="99"/>
          <w:sz w:val="25"/>
        </w:rPr>
        <w:t>o</w:t>
      </w:r>
      <w:r>
        <w:rPr>
          <w:w w:val="99"/>
          <w:sz w:val="25"/>
        </w:rPr>
        <w:t>d</w:t>
      </w:r>
      <w:r>
        <w:rPr>
          <w:spacing w:val="2"/>
          <w:w w:val="99"/>
          <w:sz w:val="25"/>
        </w:rPr>
        <w:t>h</w:t>
      </w:r>
      <w:r>
        <w:rPr>
          <w:spacing w:val="-3"/>
          <w:w w:val="99"/>
          <w:sz w:val="25"/>
        </w:rPr>
        <w:t>y</w:t>
      </w:r>
      <w:r>
        <w:rPr>
          <w:spacing w:val="-1"/>
          <w:w w:val="91"/>
          <w:sz w:val="25"/>
        </w:rPr>
        <w:t>a</w:t>
      </w:r>
      <w:r>
        <w:rPr>
          <w:w w:val="91"/>
          <w:sz w:val="25"/>
        </w:rPr>
        <w:t>‖</w:t>
      </w:r>
      <w:r>
        <w:rPr>
          <w:w w:val="99"/>
          <w:sz w:val="25"/>
        </w:rPr>
        <w:t>,</w:t>
      </w:r>
      <w:r>
        <w:rPr>
          <w:spacing w:val="26"/>
          <w:sz w:val="25"/>
        </w:rPr>
        <w:t> </w:t>
      </w:r>
      <w:r>
        <w:rPr>
          <w:spacing w:val="-1"/>
          <w:w w:val="99"/>
          <w:sz w:val="25"/>
        </w:rPr>
        <w:t>p</w:t>
      </w:r>
      <w:r>
        <w:rPr>
          <w:w w:val="99"/>
          <w:sz w:val="25"/>
        </w:rPr>
        <w:t>ossess</w:t>
      </w:r>
      <w:r>
        <w:rPr>
          <w:spacing w:val="26"/>
          <w:sz w:val="25"/>
        </w:rPr>
        <w:t> </w:t>
      </w:r>
      <w:r>
        <w:rPr>
          <w:spacing w:val="-1"/>
          <w:w w:val="99"/>
          <w:sz w:val="25"/>
        </w:rPr>
        <w:t>distinc</w:t>
      </w:r>
      <w:r>
        <w:rPr>
          <w:w w:val="99"/>
          <w:sz w:val="25"/>
        </w:rPr>
        <w:t>t</w:t>
      </w:r>
      <w:r>
        <w:rPr>
          <w:spacing w:val="26"/>
          <w:sz w:val="25"/>
        </w:rPr>
        <w:t> </w:t>
      </w:r>
      <w:r>
        <w:rPr>
          <w:spacing w:val="-1"/>
          <w:w w:val="99"/>
          <w:sz w:val="25"/>
        </w:rPr>
        <w:t>leg</w:t>
      </w:r>
      <w:r>
        <w:rPr>
          <w:spacing w:val="3"/>
          <w:w w:val="99"/>
          <w:sz w:val="25"/>
        </w:rPr>
        <w:t>a</w:t>
      </w:r>
      <w:r>
        <w:rPr>
          <w:w w:val="99"/>
          <w:sz w:val="25"/>
        </w:rPr>
        <w:t>l </w:t>
      </w:r>
      <w:r>
        <w:rPr>
          <w:spacing w:val="-1"/>
          <w:w w:val="99"/>
          <w:sz w:val="25"/>
        </w:rPr>
        <w:t>p</w:t>
      </w:r>
      <w:r>
        <w:rPr>
          <w:w w:val="99"/>
          <w:sz w:val="25"/>
        </w:rPr>
        <w:t>erson</w:t>
      </w:r>
      <w:r>
        <w:rPr>
          <w:spacing w:val="-1"/>
          <w:w w:val="99"/>
          <w:sz w:val="25"/>
        </w:rPr>
        <w:t>alitie</w:t>
      </w:r>
      <w:r>
        <w:rPr>
          <w:w w:val="99"/>
          <w:sz w:val="25"/>
        </w:rPr>
        <w:t>s</w:t>
      </w:r>
      <w:r>
        <w:rPr>
          <w:spacing w:val="26"/>
          <w:sz w:val="25"/>
        </w:rPr>
        <w:t> </w:t>
      </w:r>
      <w:r>
        <w:rPr>
          <w:spacing w:val="-1"/>
          <w:w w:val="99"/>
          <w:sz w:val="25"/>
        </w:rPr>
        <w:t>o</w:t>
      </w:r>
      <w:r>
        <w:rPr>
          <w:w w:val="99"/>
          <w:sz w:val="25"/>
        </w:rPr>
        <w:t>r,</w:t>
      </w:r>
      <w:r>
        <w:rPr>
          <w:spacing w:val="26"/>
          <w:sz w:val="25"/>
        </w:rPr>
        <w:t> </w:t>
      </w:r>
      <w:r>
        <w:rPr>
          <w:spacing w:val="-1"/>
          <w:w w:val="99"/>
          <w:sz w:val="25"/>
        </w:rPr>
        <w:t>i</w:t>
      </w:r>
      <w:r>
        <w:rPr>
          <w:w w:val="99"/>
          <w:sz w:val="25"/>
        </w:rPr>
        <w:t>n</w:t>
      </w:r>
      <w:r>
        <w:rPr>
          <w:spacing w:val="26"/>
          <w:sz w:val="25"/>
        </w:rPr>
        <w:t> </w:t>
      </w:r>
      <w:r>
        <w:rPr>
          <w:spacing w:val="-1"/>
          <w:w w:val="99"/>
          <w:sz w:val="25"/>
        </w:rPr>
        <w:t>o</w:t>
      </w:r>
      <w:r>
        <w:rPr>
          <w:spacing w:val="-2"/>
          <w:w w:val="99"/>
          <w:sz w:val="25"/>
        </w:rPr>
        <w:t>t</w:t>
      </w:r>
      <w:r>
        <w:rPr>
          <w:spacing w:val="-1"/>
          <w:w w:val="99"/>
          <w:sz w:val="25"/>
        </w:rPr>
        <w:t>h</w:t>
      </w:r>
      <w:r>
        <w:rPr>
          <w:w w:val="99"/>
          <w:sz w:val="25"/>
        </w:rPr>
        <w:t>er</w:t>
      </w:r>
      <w:r>
        <w:rPr>
          <w:spacing w:val="27"/>
          <w:sz w:val="25"/>
        </w:rPr>
        <w:t> </w:t>
      </w:r>
      <w:r>
        <w:rPr>
          <w:spacing w:val="-1"/>
          <w:w w:val="99"/>
          <w:sz w:val="25"/>
        </w:rPr>
        <w:t>wo</w:t>
      </w:r>
      <w:r>
        <w:rPr>
          <w:w w:val="99"/>
          <w:sz w:val="25"/>
        </w:rPr>
        <w:t>r</w:t>
      </w:r>
      <w:r>
        <w:rPr>
          <w:spacing w:val="-1"/>
          <w:w w:val="99"/>
          <w:sz w:val="25"/>
        </w:rPr>
        <w:t>ds</w:t>
      </w:r>
      <w:r>
        <w:rPr>
          <w:w w:val="99"/>
          <w:sz w:val="25"/>
        </w:rPr>
        <w:t>,</w:t>
      </w:r>
      <w:r>
        <w:rPr>
          <w:spacing w:val="26"/>
          <w:sz w:val="25"/>
        </w:rPr>
        <w:t> </w:t>
      </w:r>
      <w:r>
        <w:rPr>
          <w:spacing w:val="-1"/>
          <w:w w:val="99"/>
          <w:sz w:val="25"/>
        </w:rPr>
        <w:t>a</w:t>
      </w:r>
      <w:r>
        <w:rPr>
          <w:w w:val="99"/>
          <w:sz w:val="25"/>
        </w:rPr>
        <w:t>re</w:t>
      </w:r>
      <w:r>
        <w:rPr>
          <w:spacing w:val="24"/>
          <w:sz w:val="25"/>
        </w:rPr>
        <w:t> </w:t>
      </w:r>
      <w:r>
        <w:rPr>
          <w:w w:val="33"/>
          <w:sz w:val="25"/>
        </w:rPr>
        <w:t>―</w:t>
      </w:r>
      <w:r>
        <w:rPr>
          <w:spacing w:val="-1"/>
          <w:w w:val="99"/>
          <w:sz w:val="25"/>
        </w:rPr>
        <w:t>ju</w:t>
      </w:r>
      <w:r>
        <w:rPr>
          <w:w w:val="99"/>
          <w:sz w:val="25"/>
        </w:rPr>
        <w:t>r</w:t>
      </w:r>
      <w:r>
        <w:rPr>
          <w:spacing w:val="-1"/>
          <w:w w:val="99"/>
          <w:sz w:val="25"/>
        </w:rPr>
        <w:t>ist</w:t>
      </w:r>
      <w:r>
        <w:rPr>
          <w:spacing w:val="-3"/>
          <w:w w:val="99"/>
          <w:sz w:val="25"/>
        </w:rPr>
        <w:t>i</w:t>
      </w:r>
      <w:r>
        <w:rPr>
          <w:w w:val="99"/>
          <w:sz w:val="25"/>
        </w:rPr>
        <w:t>c</w:t>
      </w:r>
      <w:r>
        <w:rPr>
          <w:spacing w:val="26"/>
          <w:sz w:val="25"/>
        </w:rPr>
        <w:t> </w:t>
      </w:r>
      <w:r>
        <w:rPr>
          <w:spacing w:val="-1"/>
          <w:w w:val="99"/>
          <w:sz w:val="25"/>
        </w:rPr>
        <w:t>p</w:t>
      </w:r>
      <w:r>
        <w:rPr>
          <w:w w:val="99"/>
          <w:sz w:val="25"/>
        </w:rPr>
        <w:t>erson</w:t>
      </w:r>
      <w:r>
        <w:rPr>
          <w:w w:val="91"/>
          <w:sz w:val="25"/>
        </w:rPr>
        <w:t>s‖</w:t>
      </w:r>
      <w:r>
        <w:rPr>
          <w:w w:val="99"/>
          <w:sz w:val="25"/>
        </w:rPr>
        <w:t>.</w:t>
      </w:r>
      <w:r>
        <w:rPr>
          <w:spacing w:val="26"/>
          <w:sz w:val="25"/>
        </w:rPr>
        <w:t> </w:t>
      </w:r>
      <w:r>
        <w:rPr>
          <w:spacing w:val="-1"/>
          <w:w w:val="99"/>
          <w:sz w:val="25"/>
        </w:rPr>
        <w:t>Cou</w:t>
      </w:r>
      <w:r>
        <w:rPr>
          <w:spacing w:val="1"/>
          <w:w w:val="99"/>
          <w:sz w:val="25"/>
        </w:rPr>
        <w:t>r</w:t>
      </w:r>
      <w:r>
        <w:rPr>
          <w:w w:val="99"/>
          <w:sz w:val="25"/>
        </w:rPr>
        <w:t>ts</w:t>
      </w:r>
      <w:r>
        <w:rPr>
          <w:spacing w:val="26"/>
          <w:sz w:val="25"/>
        </w:rPr>
        <w:t> </w:t>
      </w:r>
      <w:r>
        <w:rPr>
          <w:spacing w:val="-1"/>
          <w:w w:val="99"/>
          <w:sz w:val="25"/>
        </w:rPr>
        <w:t>i</w:t>
      </w:r>
      <w:r>
        <w:rPr>
          <w:w w:val="99"/>
          <w:sz w:val="25"/>
        </w:rPr>
        <w:t>n</w:t>
      </w:r>
      <w:r>
        <w:rPr>
          <w:spacing w:val="24"/>
          <w:sz w:val="25"/>
        </w:rPr>
        <w:t> </w:t>
      </w:r>
      <w:r>
        <w:rPr>
          <w:w w:val="99"/>
          <w:sz w:val="25"/>
        </w:rPr>
        <w:t>Ind</w:t>
      </w:r>
      <w:r>
        <w:rPr>
          <w:spacing w:val="-1"/>
          <w:w w:val="99"/>
          <w:sz w:val="25"/>
        </w:rPr>
        <w:t>i</w:t>
      </w:r>
      <w:r>
        <w:rPr>
          <w:w w:val="99"/>
          <w:sz w:val="25"/>
        </w:rPr>
        <w:t>a</w:t>
      </w:r>
      <w:r>
        <w:rPr>
          <w:spacing w:val="26"/>
          <w:sz w:val="25"/>
        </w:rPr>
        <w:t> </w:t>
      </w:r>
      <w:r>
        <w:rPr>
          <w:spacing w:val="-1"/>
          <w:w w:val="99"/>
          <w:sz w:val="25"/>
        </w:rPr>
        <w:t>h</w:t>
      </w:r>
      <w:r>
        <w:rPr>
          <w:w w:val="99"/>
          <w:sz w:val="25"/>
        </w:rPr>
        <w:t>a</w:t>
      </w:r>
      <w:r>
        <w:rPr>
          <w:spacing w:val="-3"/>
          <w:w w:val="99"/>
          <w:sz w:val="25"/>
        </w:rPr>
        <w:t>v</w:t>
      </w:r>
      <w:r>
        <w:rPr>
          <w:w w:val="99"/>
          <w:sz w:val="25"/>
        </w:rPr>
        <w:t>e</w:t>
      </w:r>
      <w:r>
        <w:rPr>
          <w:spacing w:val="26"/>
          <w:sz w:val="25"/>
        </w:rPr>
        <w:t> </w:t>
      </w:r>
      <w:r>
        <w:rPr>
          <w:spacing w:val="-1"/>
          <w:w w:val="99"/>
          <w:sz w:val="25"/>
        </w:rPr>
        <w:t>h</w:t>
      </w:r>
      <w:r>
        <w:rPr>
          <w:w w:val="99"/>
          <w:sz w:val="25"/>
        </w:rPr>
        <w:t>e</w:t>
      </w:r>
      <w:r>
        <w:rPr>
          <w:spacing w:val="-1"/>
          <w:w w:val="99"/>
          <w:sz w:val="25"/>
        </w:rPr>
        <w:t>ld </w:t>
      </w:r>
      <w:r>
        <w:rPr>
          <w:sz w:val="25"/>
        </w:rPr>
        <w:t>that Hindu idols are legal persons. The meaning and significance of this doctrine will be examined over the course of this judgement. At this juncture it is necessary</w:t>
      </w:r>
      <w:r>
        <w:rPr>
          <w:spacing w:val="-10"/>
          <w:sz w:val="25"/>
        </w:rPr>
        <w:t> </w:t>
      </w:r>
      <w:r>
        <w:rPr>
          <w:sz w:val="25"/>
        </w:rPr>
        <w:t>to</w:t>
      </w:r>
      <w:r>
        <w:rPr>
          <w:spacing w:val="-5"/>
          <w:sz w:val="25"/>
        </w:rPr>
        <w:t> </w:t>
      </w:r>
      <w:r>
        <w:rPr>
          <w:sz w:val="25"/>
        </w:rPr>
        <w:t>note</w:t>
      </w:r>
      <w:r>
        <w:rPr>
          <w:spacing w:val="-5"/>
          <w:sz w:val="25"/>
        </w:rPr>
        <w:t> </w:t>
      </w:r>
      <w:r>
        <w:rPr>
          <w:sz w:val="25"/>
        </w:rPr>
        <w:t>that</w:t>
      </w:r>
      <w:r>
        <w:rPr>
          <w:spacing w:val="-7"/>
          <w:sz w:val="25"/>
        </w:rPr>
        <w:t> </w:t>
      </w:r>
      <w:r>
        <w:rPr>
          <w:sz w:val="25"/>
        </w:rPr>
        <w:t>the</w:t>
      </w:r>
      <w:r>
        <w:rPr>
          <w:spacing w:val="-6"/>
          <w:sz w:val="25"/>
        </w:rPr>
        <w:t> </w:t>
      </w:r>
      <w:r>
        <w:rPr>
          <w:sz w:val="25"/>
        </w:rPr>
        <w:t>legal</w:t>
      </w:r>
      <w:r>
        <w:rPr>
          <w:spacing w:val="-9"/>
          <w:sz w:val="25"/>
        </w:rPr>
        <w:t> </w:t>
      </w:r>
      <w:r>
        <w:rPr>
          <w:sz w:val="25"/>
        </w:rPr>
        <w:t>personality</w:t>
      </w:r>
      <w:r>
        <w:rPr>
          <w:spacing w:val="-9"/>
          <w:sz w:val="25"/>
        </w:rPr>
        <w:t> </w:t>
      </w:r>
      <w:r>
        <w:rPr>
          <w:sz w:val="25"/>
        </w:rPr>
        <w:t>of</w:t>
      </w:r>
      <w:r>
        <w:rPr>
          <w:spacing w:val="-7"/>
          <w:sz w:val="25"/>
        </w:rPr>
        <w:t> </w:t>
      </w:r>
      <w:r>
        <w:rPr>
          <w:sz w:val="25"/>
        </w:rPr>
        <w:t>the</w:t>
      </w:r>
      <w:r>
        <w:rPr>
          <w:spacing w:val="-6"/>
          <w:sz w:val="25"/>
        </w:rPr>
        <w:t> </w:t>
      </w:r>
      <w:r>
        <w:rPr>
          <w:sz w:val="25"/>
        </w:rPr>
        <w:t>first</w:t>
      </w:r>
      <w:r>
        <w:rPr>
          <w:spacing w:val="-9"/>
          <w:sz w:val="25"/>
        </w:rPr>
        <w:t> </w:t>
      </w:r>
      <w:r>
        <w:rPr>
          <w:sz w:val="25"/>
        </w:rPr>
        <w:t>plaintiff</w:t>
      </w:r>
      <w:r>
        <w:rPr>
          <w:spacing w:val="-6"/>
          <w:sz w:val="25"/>
        </w:rPr>
        <w:t> </w:t>
      </w:r>
      <w:r>
        <w:rPr>
          <w:sz w:val="25"/>
        </w:rPr>
        <w:t>in</w:t>
      </w:r>
      <w:r>
        <w:rPr>
          <w:spacing w:val="-11"/>
          <w:sz w:val="25"/>
        </w:rPr>
        <w:t> </w:t>
      </w:r>
      <w:r>
        <w:rPr>
          <w:sz w:val="25"/>
        </w:rPr>
        <w:t>Suit</w:t>
      </w:r>
      <w:r>
        <w:rPr>
          <w:spacing w:val="-7"/>
          <w:sz w:val="25"/>
        </w:rPr>
        <w:t> </w:t>
      </w:r>
      <w:r>
        <w:rPr>
          <w:sz w:val="25"/>
        </w:rPr>
        <w:t>5</w:t>
      </w:r>
      <w:r>
        <w:rPr>
          <w:spacing w:val="-7"/>
          <w:sz w:val="25"/>
        </w:rPr>
        <w:t> </w:t>
      </w:r>
      <w:r>
        <w:rPr>
          <w:sz w:val="25"/>
        </w:rPr>
        <w:t>(‗Bhagwan Sri Ram Virajman‘) as represented by the physical idols of Lord Ram at the disputed site is not contested by any of the parties. Whether the second plaintiff (‗Asthan Sri Ram Janam Bhumi‘) is a juristic person has however been the subject of controversy in the oral proceedings before</w:t>
      </w:r>
      <w:r>
        <w:rPr>
          <w:spacing w:val="-9"/>
          <w:sz w:val="25"/>
        </w:rPr>
        <w:t> </w:t>
      </w:r>
      <w:r>
        <w:rPr>
          <w:sz w:val="25"/>
        </w:rPr>
        <w:t>us.</w:t>
      </w:r>
    </w:p>
    <w:p>
      <w:pPr>
        <w:pStyle w:val="BodyText"/>
        <w:spacing w:before="1"/>
      </w:pPr>
    </w:p>
    <w:p>
      <w:pPr>
        <w:pStyle w:val="ListParagraph"/>
        <w:numPr>
          <w:ilvl w:val="0"/>
          <w:numId w:val="3"/>
        </w:numPr>
        <w:tabs>
          <w:tab w:pos="1221" w:val="left" w:leader="none"/>
        </w:tabs>
        <w:spacing w:line="480" w:lineRule="auto" w:before="0" w:after="0"/>
        <w:ind w:left="500" w:right="437" w:firstLine="0"/>
        <w:jc w:val="both"/>
        <w:rPr>
          <w:sz w:val="25"/>
        </w:rPr>
      </w:pPr>
      <w:r>
        <w:rPr>
          <w:sz w:val="25"/>
        </w:rPr>
        <w:t>The present case requires us to answer two important questions: First, what are the exact contours of the legal personality ascribed to a Hindu idol? In other words, to what extent is the artificial legal personality ascribed by courts to a Hindu idol akin to the legal personality of a natural person? Second, can property of a corporeal nature (in this case land) be ascribed a distinct legal personality? To answer these questions, it is necessary to understand both the true purpose underlying the legal innovation of recognising or conferring legal personality and why courts have conferred legal personality on Hindu</w:t>
      </w:r>
      <w:r>
        <w:rPr>
          <w:spacing w:val="-18"/>
          <w:sz w:val="25"/>
        </w:rPr>
        <w:t> </w:t>
      </w:r>
      <w:r>
        <w:rPr>
          <w:sz w:val="25"/>
        </w:rPr>
        <w:t>idols.</w:t>
      </w:r>
    </w:p>
    <w:p>
      <w:pPr>
        <w:spacing w:after="0" w:line="480" w:lineRule="auto"/>
        <w:jc w:val="both"/>
        <w:rPr>
          <w:sz w:val="25"/>
        </w:rPr>
        <w:sectPr>
          <w:headerReference w:type="default" r:id="rId44"/>
          <w:footerReference w:type="default" r:id="rId45"/>
          <w:pgSz w:w="11910" w:h="16840"/>
          <w:pgMar w:header="721" w:footer="1014" w:top="1300" w:bottom="1200" w:left="940" w:right="1000"/>
          <w:pgNumType w:start="126"/>
        </w:sectPr>
      </w:pPr>
    </w:p>
    <w:p>
      <w:pPr>
        <w:pStyle w:val="Heading4"/>
        <w:spacing w:before="126"/>
        <w:jc w:val="left"/>
        <w:rPr>
          <w:i/>
        </w:rPr>
      </w:pPr>
      <w:r>
        <w:rPr>
          <w:i/>
        </w:rPr>
        <w:t>The legal subject: recognising rights, entitlements, duties and liabilities</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The foundational principle of a legal system is that it must recognise the subjects it seeks to govern. This is done by the law recognising distinct legal units or ‗legal persons‘. To be a legal person is to be recognised by the law as a subject which embodies rights, entitlements, liabilities and duties. The </w:t>
      </w:r>
      <w:r>
        <w:rPr>
          <w:spacing w:val="2"/>
          <w:sz w:val="25"/>
        </w:rPr>
        <w:t>law </w:t>
      </w:r>
      <w:r>
        <w:rPr>
          <w:sz w:val="25"/>
        </w:rPr>
        <w:t>may directly regulate the behaviour of legal persons and their behaviour in relation to each other. Therefore, to be a legal person is to possess certain rights and duties under the law and to be capable of engaging in legally enforceable relationships with other legal persons. </w:t>
      </w:r>
      <w:r>
        <w:rPr>
          <w:spacing w:val="2"/>
          <w:sz w:val="25"/>
        </w:rPr>
        <w:t>Who </w:t>
      </w:r>
      <w:r>
        <w:rPr>
          <w:sz w:val="25"/>
        </w:rPr>
        <w:t>or what is a legal person is a function of the legal system. The ability to create or recognise legal persons has always varied depending upon historic circumstances. The power of legal systems to recognise and hence also to deny legal personality has been used over history to wreak fundamental breaches of human rights. Roscoe Pound alludes to this in the </w:t>
      </w:r>
      <w:r>
        <w:rPr>
          <w:w w:val="99"/>
          <w:sz w:val="25"/>
        </w:rPr>
        <w:t>following</w:t>
      </w:r>
      <w:r>
        <w:rPr>
          <w:sz w:val="25"/>
        </w:rPr>
        <w:t> </w:t>
      </w:r>
      <w:r>
        <w:rPr>
          <w:spacing w:val="-1"/>
          <w:w w:val="99"/>
          <w:sz w:val="25"/>
        </w:rPr>
        <w:t>p</w:t>
      </w:r>
      <w:r>
        <w:rPr>
          <w:w w:val="99"/>
          <w:sz w:val="25"/>
        </w:rPr>
        <w:t>assage</w:t>
      </w:r>
      <w:r>
        <w:rPr>
          <w:spacing w:val="-1"/>
          <w:sz w:val="25"/>
        </w:rPr>
        <w:t> </w:t>
      </w:r>
      <w:r>
        <w:rPr>
          <w:spacing w:val="-1"/>
          <w:w w:val="99"/>
          <w:sz w:val="25"/>
        </w:rPr>
        <w:t>i</w:t>
      </w:r>
      <w:r>
        <w:rPr>
          <w:w w:val="99"/>
          <w:sz w:val="25"/>
        </w:rPr>
        <w:t>n</w:t>
      </w:r>
      <w:r>
        <w:rPr>
          <w:sz w:val="25"/>
        </w:rPr>
        <w:t> </w:t>
      </w:r>
      <w:r>
        <w:rPr>
          <w:spacing w:val="2"/>
          <w:w w:val="33"/>
          <w:sz w:val="25"/>
        </w:rPr>
        <w:t>―</w:t>
      </w:r>
      <w:r>
        <w:rPr>
          <w:b/>
          <w:w w:val="99"/>
          <w:sz w:val="25"/>
        </w:rPr>
        <w:t>J</w:t>
      </w:r>
      <w:r>
        <w:rPr>
          <w:b/>
          <w:spacing w:val="1"/>
          <w:w w:val="99"/>
          <w:sz w:val="25"/>
        </w:rPr>
        <w:t>u</w:t>
      </w:r>
      <w:r>
        <w:rPr>
          <w:b/>
          <w:spacing w:val="-1"/>
          <w:w w:val="99"/>
          <w:sz w:val="25"/>
        </w:rPr>
        <w:t>r</w:t>
      </w:r>
      <w:r>
        <w:rPr>
          <w:b/>
          <w:w w:val="99"/>
          <w:sz w:val="25"/>
        </w:rPr>
        <w:t>is</w:t>
      </w:r>
      <w:r>
        <w:rPr>
          <w:b/>
          <w:spacing w:val="1"/>
          <w:w w:val="99"/>
          <w:sz w:val="25"/>
        </w:rPr>
        <w:t>p</w:t>
      </w:r>
      <w:r>
        <w:rPr>
          <w:b/>
          <w:spacing w:val="-1"/>
          <w:w w:val="99"/>
          <w:sz w:val="25"/>
        </w:rPr>
        <w:t>r</w:t>
      </w:r>
      <w:r>
        <w:rPr>
          <w:b/>
          <w:w w:val="99"/>
          <w:sz w:val="25"/>
        </w:rPr>
        <w:t>ud</w:t>
      </w:r>
      <w:r>
        <w:rPr>
          <w:b/>
          <w:w w:val="99"/>
          <w:sz w:val="25"/>
        </w:rPr>
        <w:t>e</w:t>
      </w:r>
      <w:r>
        <w:rPr>
          <w:b/>
          <w:spacing w:val="1"/>
          <w:w w:val="99"/>
          <w:sz w:val="25"/>
        </w:rPr>
        <w:t>n</w:t>
      </w:r>
      <w:r>
        <w:rPr>
          <w:b/>
          <w:w w:val="99"/>
          <w:sz w:val="25"/>
        </w:rPr>
        <w:t>c</w:t>
      </w:r>
      <w:r>
        <w:rPr>
          <w:b/>
          <w:spacing w:val="2"/>
          <w:w w:val="99"/>
          <w:sz w:val="25"/>
        </w:rPr>
        <w:t>e</w:t>
      </w:r>
      <w:r>
        <w:rPr>
          <w:w w:val="88"/>
          <w:sz w:val="25"/>
        </w:rPr>
        <w:t>‖:</w:t>
      </w:r>
    </w:p>
    <w:p>
      <w:pPr>
        <w:spacing w:line="276" w:lineRule="auto" w:before="0"/>
        <w:ind w:left="1940" w:right="2260" w:firstLine="0"/>
        <w:jc w:val="both"/>
        <w:rPr>
          <w:sz w:val="21"/>
        </w:rPr>
      </w:pPr>
      <w:r>
        <w:rPr>
          <w:w w:val="33"/>
          <w:sz w:val="21"/>
        </w:rPr>
        <w:t>―</w:t>
      </w:r>
      <w:r>
        <w:rPr>
          <w:w w:val="100"/>
          <w:sz w:val="21"/>
        </w:rPr>
        <w:t>In</w:t>
      </w:r>
      <w:r>
        <w:rPr>
          <w:sz w:val="21"/>
        </w:rPr>
        <w:t> </w:t>
      </w:r>
      <w:r>
        <w:rPr>
          <w:w w:val="100"/>
          <w:sz w:val="21"/>
        </w:rPr>
        <w:t>civilised</w:t>
      </w:r>
      <w:r>
        <w:rPr>
          <w:sz w:val="21"/>
        </w:rPr>
        <w:t> </w:t>
      </w:r>
      <w:r>
        <w:rPr>
          <w:w w:val="100"/>
          <w:sz w:val="21"/>
        </w:rPr>
        <w:t>lands</w:t>
      </w:r>
      <w:r>
        <w:rPr>
          <w:sz w:val="21"/>
        </w:rPr>
        <w:t> </w:t>
      </w:r>
      <w:r>
        <w:rPr>
          <w:w w:val="100"/>
          <w:sz w:val="21"/>
        </w:rPr>
        <w:t>even</w:t>
      </w:r>
      <w:r>
        <w:rPr>
          <w:sz w:val="21"/>
        </w:rPr>
        <w:t> </w:t>
      </w:r>
      <w:r>
        <w:rPr>
          <w:w w:val="100"/>
          <w:sz w:val="21"/>
        </w:rPr>
        <w:t>in</w:t>
      </w:r>
      <w:r>
        <w:rPr>
          <w:sz w:val="21"/>
        </w:rPr>
        <w:t> </w:t>
      </w:r>
      <w:r>
        <w:rPr>
          <w:w w:val="100"/>
          <w:sz w:val="21"/>
        </w:rPr>
        <w:t>the</w:t>
      </w:r>
      <w:r>
        <w:rPr>
          <w:sz w:val="21"/>
        </w:rPr>
        <w:t> </w:t>
      </w:r>
      <w:r>
        <w:rPr>
          <w:w w:val="100"/>
          <w:sz w:val="21"/>
        </w:rPr>
        <w:t>modern</w:t>
      </w:r>
      <w:r>
        <w:rPr>
          <w:sz w:val="21"/>
        </w:rPr>
        <w:t> </w:t>
      </w:r>
      <w:r>
        <w:rPr>
          <w:w w:val="100"/>
          <w:sz w:val="21"/>
        </w:rPr>
        <w:t>world</w:t>
      </w:r>
      <w:r>
        <w:rPr>
          <w:sz w:val="21"/>
        </w:rPr>
        <w:t> </w:t>
      </w:r>
      <w:r>
        <w:rPr>
          <w:w w:val="100"/>
          <w:sz w:val="21"/>
        </w:rPr>
        <w:t>it</w:t>
      </w:r>
      <w:r>
        <w:rPr>
          <w:sz w:val="21"/>
        </w:rPr>
        <w:t> </w:t>
      </w:r>
      <w:r>
        <w:rPr>
          <w:w w:val="100"/>
          <w:sz w:val="21"/>
        </w:rPr>
        <w:t>has</w:t>
      </w:r>
      <w:r>
        <w:rPr>
          <w:sz w:val="21"/>
        </w:rPr>
        <w:t> </w:t>
      </w:r>
      <w:r>
        <w:rPr>
          <w:w w:val="100"/>
          <w:sz w:val="21"/>
        </w:rPr>
        <w:t>happened </w:t>
      </w:r>
      <w:r>
        <w:rPr>
          <w:sz w:val="21"/>
        </w:rPr>
        <w:t>that all human beings were not legal persons. In Roman law down to the constitution of Antonius Pius the slave was not a person. He enjoyed neither rights of family nor rights of patrimony. He was a thing, and as such like animals, could be the object of rights of property. … In French colonies, before slavery was there abolished, slaves were put in the class of legal persons by the statute of April 23, 1833 and obtained a</w:t>
      </w:r>
    </w:p>
    <w:p>
      <w:pPr>
        <w:spacing w:line="276" w:lineRule="auto" w:before="1"/>
        <w:ind w:left="1940" w:right="2261" w:firstLine="0"/>
        <w:jc w:val="both"/>
        <w:rPr>
          <w:sz w:val="21"/>
        </w:rPr>
      </w:pPr>
      <w:r>
        <w:rPr>
          <w:w w:val="40"/>
          <w:sz w:val="21"/>
        </w:rPr>
        <w:t>‗</w:t>
      </w:r>
      <w:r>
        <w:rPr>
          <w:w w:val="100"/>
          <w:sz w:val="21"/>
        </w:rPr>
        <w:t>s</w:t>
      </w:r>
      <w:r>
        <w:rPr>
          <w:spacing w:val="-3"/>
          <w:w w:val="100"/>
          <w:sz w:val="21"/>
        </w:rPr>
        <w:t>o</w:t>
      </w:r>
      <w:r>
        <w:rPr>
          <w:spacing w:val="-1"/>
          <w:w w:val="100"/>
          <w:sz w:val="21"/>
        </w:rPr>
        <w:t>me</w:t>
      </w:r>
      <w:r>
        <w:rPr>
          <w:spacing w:val="-2"/>
          <w:w w:val="100"/>
          <w:sz w:val="21"/>
        </w:rPr>
        <w:t>w</w:t>
      </w:r>
      <w:r>
        <w:rPr>
          <w:spacing w:val="-1"/>
          <w:w w:val="100"/>
          <w:sz w:val="21"/>
        </w:rPr>
        <w:t>ha</w:t>
      </w:r>
      <w:r>
        <w:rPr>
          <w:w w:val="100"/>
          <w:sz w:val="21"/>
        </w:rPr>
        <w:t>t</w:t>
      </w:r>
      <w:r>
        <w:rPr>
          <w:spacing w:val="26"/>
          <w:sz w:val="21"/>
        </w:rPr>
        <w:t> </w:t>
      </w:r>
      <w:r>
        <w:rPr>
          <w:spacing w:val="-1"/>
          <w:w w:val="100"/>
          <w:sz w:val="21"/>
        </w:rPr>
        <w:t>ext</w:t>
      </w:r>
      <w:r>
        <w:rPr>
          <w:spacing w:val="-3"/>
          <w:w w:val="100"/>
          <w:sz w:val="21"/>
        </w:rPr>
        <w:t>e</w:t>
      </w:r>
      <w:r>
        <w:rPr>
          <w:spacing w:val="-1"/>
          <w:w w:val="100"/>
          <w:sz w:val="21"/>
        </w:rPr>
        <w:t>nd</w:t>
      </w:r>
      <w:r>
        <w:rPr>
          <w:spacing w:val="-2"/>
          <w:w w:val="100"/>
          <w:sz w:val="21"/>
        </w:rPr>
        <w:t>e</w:t>
      </w:r>
      <w:r>
        <w:rPr>
          <w:w w:val="100"/>
          <w:sz w:val="21"/>
        </w:rPr>
        <w:t>d</w:t>
      </w:r>
      <w:r>
        <w:rPr>
          <w:spacing w:val="27"/>
          <w:sz w:val="21"/>
        </w:rPr>
        <w:t> </w:t>
      </w:r>
      <w:r>
        <w:rPr>
          <w:w w:val="100"/>
          <w:sz w:val="21"/>
        </w:rPr>
        <w:t>j</w:t>
      </w:r>
      <w:r>
        <w:rPr>
          <w:spacing w:val="-1"/>
          <w:w w:val="100"/>
          <w:sz w:val="21"/>
        </w:rPr>
        <w:t>u</w:t>
      </w:r>
      <w:r>
        <w:rPr>
          <w:spacing w:val="-3"/>
          <w:w w:val="100"/>
          <w:sz w:val="21"/>
        </w:rPr>
        <w:t>r</w:t>
      </w:r>
      <w:r>
        <w:rPr>
          <w:w w:val="100"/>
          <w:sz w:val="21"/>
        </w:rPr>
        <w:t>i</w:t>
      </w:r>
      <w:r>
        <w:rPr>
          <w:spacing w:val="-3"/>
          <w:w w:val="100"/>
          <w:sz w:val="21"/>
        </w:rPr>
        <w:t>d</w:t>
      </w:r>
      <w:r>
        <w:rPr>
          <w:w w:val="100"/>
          <w:sz w:val="21"/>
        </w:rPr>
        <w:t>ic</w:t>
      </w:r>
      <w:r>
        <w:rPr>
          <w:spacing w:val="-3"/>
          <w:w w:val="100"/>
          <w:sz w:val="21"/>
        </w:rPr>
        <w:t>a</w:t>
      </w:r>
      <w:r>
        <w:rPr>
          <w:w w:val="100"/>
          <w:sz w:val="21"/>
        </w:rPr>
        <w:t>l</w:t>
      </w:r>
      <w:r>
        <w:rPr>
          <w:spacing w:val="28"/>
          <w:sz w:val="21"/>
        </w:rPr>
        <w:t> </w:t>
      </w:r>
      <w:r>
        <w:rPr>
          <w:w w:val="100"/>
          <w:sz w:val="21"/>
        </w:rPr>
        <w:t>ca</w:t>
      </w:r>
      <w:r>
        <w:rPr>
          <w:spacing w:val="-3"/>
          <w:w w:val="100"/>
          <w:sz w:val="21"/>
        </w:rPr>
        <w:t>p</w:t>
      </w:r>
      <w:r>
        <w:rPr>
          <w:spacing w:val="-1"/>
          <w:w w:val="100"/>
          <w:sz w:val="21"/>
        </w:rPr>
        <w:t>a</w:t>
      </w:r>
      <w:r>
        <w:rPr>
          <w:spacing w:val="-3"/>
          <w:w w:val="100"/>
          <w:sz w:val="21"/>
        </w:rPr>
        <w:t>c</w:t>
      </w:r>
      <w:r>
        <w:rPr>
          <w:w w:val="100"/>
          <w:sz w:val="21"/>
        </w:rPr>
        <w:t>i</w:t>
      </w:r>
      <w:r>
        <w:rPr>
          <w:spacing w:val="-2"/>
          <w:w w:val="100"/>
          <w:sz w:val="21"/>
        </w:rPr>
        <w:t>t</w:t>
      </w:r>
      <w:r>
        <w:rPr>
          <w:spacing w:val="-3"/>
          <w:w w:val="100"/>
          <w:sz w:val="21"/>
        </w:rPr>
        <w:t>y</w:t>
      </w:r>
      <w:r>
        <w:rPr>
          <w:w w:val="100"/>
          <w:sz w:val="21"/>
        </w:rPr>
        <w:t>‘</w:t>
      </w:r>
      <w:r>
        <w:rPr>
          <w:spacing w:val="28"/>
          <w:sz w:val="21"/>
        </w:rPr>
        <w:t> </w:t>
      </w:r>
      <w:r>
        <w:rPr>
          <w:spacing w:val="-1"/>
          <w:w w:val="100"/>
          <w:sz w:val="21"/>
        </w:rPr>
        <w:t>b</w:t>
      </w:r>
      <w:r>
        <w:rPr>
          <w:w w:val="100"/>
          <w:sz w:val="21"/>
        </w:rPr>
        <w:t>y</w:t>
      </w:r>
      <w:r>
        <w:rPr>
          <w:spacing w:val="25"/>
          <w:sz w:val="21"/>
        </w:rPr>
        <w:t> </w:t>
      </w:r>
      <w:r>
        <w:rPr>
          <w:w w:val="100"/>
          <w:sz w:val="21"/>
        </w:rPr>
        <w:t>a</w:t>
      </w:r>
      <w:r>
        <w:rPr>
          <w:spacing w:val="27"/>
          <w:sz w:val="21"/>
        </w:rPr>
        <w:t> </w:t>
      </w:r>
      <w:r>
        <w:rPr>
          <w:w w:val="100"/>
          <w:sz w:val="21"/>
        </w:rPr>
        <w:t>s</w:t>
      </w:r>
      <w:r>
        <w:rPr>
          <w:spacing w:val="-2"/>
          <w:w w:val="100"/>
          <w:sz w:val="21"/>
        </w:rPr>
        <w:t>t</w:t>
      </w:r>
      <w:r>
        <w:rPr>
          <w:spacing w:val="-1"/>
          <w:w w:val="100"/>
          <w:sz w:val="21"/>
        </w:rPr>
        <w:t>atut</w:t>
      </w:r>
      <w:r>
        <w:rPr>
          <w:w w:val="100"/>
          <w:sz w:val="21"/>
        </w:rPr>
        <w:t>e</w:t>
      </w:r>
      <w:r>
        <w:rPr>
          <w:spacing w:val="27"/>
          <w:sz w:val="21"/>
        </w:rPr>
        <w:t> </w:t>
      </w:r>
      <w:r>
        <w:rPr>
          <w:spacing w:val="-1"/>
          <w:w w:val="100"/>
          <w:sz w:val="21"/>
        </w:rPr>
        <w:t>o</w:t>
      </w:r>
      <w:r>
        <w:rPr>
          <w:w w:val="100"/>
          <w:sz w:val="21"/>
        </w:rPr>
        <w:t>f</w:t>
      </w:r>
      <w:r>
        <w:rPr>
          <w:spacing w:val="29"/>
          <w:sz w:val="21"/>
        </w:rPr>
        <w:t> </w:t>
      </w:r>
      <w:r>
        <w:rPr>
          <w:spacing w:val="-1"/>
          <w:w w:val="100"/>
          <w:sz w:val="21"/>
        </w:rPr>
        <w:t>1</w:t>
      </w:r>
      <w:r>
        <w:rPr>
          <w:spacing w:val="-3"/>
          <w:w w:val="100"/>
          <w:sz w:val="21"/>
        </w:rPr>
        <w:t>8</w:t>
      </w:r>
      <w:r>
        <w:rPr>
          <w:spacing w:val="-1"/>
          <w:w w:val="100"/>
          <w:sz w:val="21"/>
        </w:rPr>
        <w:t>45. </w:t>
      </w:r>
      <w:r>
        <w:rPr>
          <w:sz w:val="21"/>
        </w:rPr>
        <w:t>In the United States down to the Civil War, the free Negroes in many of the States were free human beings with no legal rights.‖</w:t>
      </w:r>
      <w:r>
        <w:rPr>
          <w:sz w:val="21"/>
          <w:vertAlign w:val="superscript"/>
        </w:rPr>
        <w:t>39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r>
        <w:rPr/>
        <w:pict>
          <v:rect style="position:absolute;margin-left:72.024002pt;margin-top:16.649855pt;width:144.020pt;height:.599980pt;mso-position-horizontal-relative:page;mso-position-vertical-relative:paragraph;z-index:-1571379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39</w:t>
      </w:r>
      <w:r>
        <w:rPr>
          <w:sz w:val="18"/>
          <w:vertAlign w:val="baseline"/>
        </w:rPr>
        <w:t> Roscoe Pound, Jurisprudence, Part IV, 1959 Edition</w:t>
      </w:r>
    </w:p>
    <w:p>
      <w:pPr>
        <w:spacing w:after="0"/>
        <w:jc w:val="left"/>
        <w:rPr>
          <w:sz w:val="18"/>
        </w:rPr>
        <w:sectPr>
          <w:pgSz w:w="11910" w:h="16840"/>
          <w:pgMar w:header="721" w:footer="1014" w:top="1300" w:bottom="1200" w:left="940" w:right="1000"/>
        </w:sectPr>
      </w:pPr>
    </w:p>
    <w:p>
      <w:pPr>
        <w:pStyle w:val="BodyText"/>
        <w:spacing w:line="480" w:lineRule="auto" w:before="121"/>
        <w:ind w:left="500" w:right="435"/>
        <w:jc w:val="both"/>
      </w:pPr>
      <w:r>
        <w:rPr/>
        <w:t>Pound‘s observations were extracted by this Court in </w:t>
      </w:r>
      <w:r>
        <w:rPr>
          <w:b/>
        </w:rPr>
        <w:t>Shiromani Gurdwara Prabandhak Committee</w:t>
      </w:r>
      <w:r>
        <w:rPr/>
        <w:t>, </w:t>
      </w:r>
      <w:r>
        <w:rPr>
          <w:b/>
        </w:rPr>
        <w:t>Amritsar </w:t>
      </w:r>
      <w:r>
        <w:rPr/>
        <w:t>v </w:t>
      </w:r>
      <w:r>
        <w:rPr>
          <w:b/>
        </w:rPr>
        <w:t>Som Nath Dass</w:t>
      </w:r>
      <w:r>
        <w:rPr>
          <w:vertAlign w:val="superscript"/>
        </w:rPr>
        <w:t>40</w:t>
      </w:r>
      <w:r>
        <w:rPr>
          <w:vertAlign w:val="baseline"/>
        </w:rPr>
        <w:t> where a two judge </w:t>
      </w:r>
      <w:r>
        <w:rPr>
          <w:spacing w:val="-1"/>
          <w:w w:val="99"/>
          <w:vertAlign w:val="baseline"/>
        </w:rPr>
        <w:t>B</w:t>
      </w:r>
      <w:r>
        <w:rPr>
          <w:w w:val="99"/>
          <w:vertAlign w:val="baseline"/>
        </w:rPr>
        <w:t>en</w:t>
      </w:r>
      <w:r>
        <w:rPr>
          <w:w w:val="99"/>
          <w:vertAlign w:val="baseline"/>
        </w:rPr>
        <w:t>ch</w:t>
      </w:r>
      <w:r>
        <w:rPr>
          <w:vertAlign w:val="baseline"/>
        </w:rPr>
        <w:t>  </w:t>
      </w:r>
      <w:r>
        <w:rPr>
          <w:spacing w:val="-26"/>
          <w:vertAlign w:val="baseline"/>
        </w:rPr>
        <w:t> </w:t>
      </w:r>
      <w:r>
        <w:rPr>
          <w:w w:val="99"/>
          <w:vertAlign w:val="baseline"/>
        </w:rPr>
        <w:t>of</w:t>
      </w:r>
      <w:r>
        <w:rPr>
          <w:vertAlign w:val="baseline"/>
        </w:rPr>
        <w:t>  </w:t>
      </w:r>
      <w:r>
        <w:rPr>
          <w:spacing w:val="-26"/>
          <w:vertAlign w:val="baseline"/>
        </w:rPr>
        <w:t> </w:t>
      </w:r>
      <w:r>
        <w:rPr>
          <w:w w:val="99"/>
          <w:vertAlign w:val="baseline"/>
        </w:rPr>
        <w:t>this</w:t>
      </w:r>
      <w:r>
        <w:rPr>
          <w:vertAlign w:val="baseline"/>
        </w:rPr>
        <w:t>  </w:t>
      </w:r>
      <w:r>
        <w:rPr>
          <w:spacing w:val="-26"/>
          <w:vertAlign w:val="baseline"/>
        </w:rPr>
        <w:t> </w:t>
      </w:r>
      <w:r>
        <w:rPr>
          <w:w w:val="99"/>
          <w:vertAlign w:val="baseline"/>
        </w:rPr>
        <w:t>Cou</w:t>
      </w:r>
      <w:r>
        <w:rPr>
          <w:spacing w:val="1"/>
          <w:w w:val="99"/>
          <w:vertAlign w:val="baseline"/>
        </w:rPr>
        <w:t>r</w:t>
      </w:r>
      <w:r>
        <w:rPr>
          <w:w w:val="99"/>
          <w:vertAlign w:val="baseline"/>
        </w:rPr>
        <w:t>t</w:t>
      </w:r>
      <w:r>
        <w:rPr>
          <w:vertAlign w:val="baseline"/>
        </w:rPr>
        <w:t>  </w:t>
      </w:r>
      <w:r>
        <w:rPr>
          <w:spacing w:val="-26"/>
          <w:vertAlign w:val="baseline"/>
        </w:rPr>
        <w:t> </w:t>
      </w:r>
      <w:r>
        <w:rPr>
          <w:w w:val="99"/>
          <w:vertAlign w:val="baseline"/>
        </w:rPr>
        <w:t>had</w:t>
      </w:r>
      <w:r>
        <w:rPr>
          <w:vertAlign w:val="baseline"/>
        </w:rPr>
        <w:t>  </w:t>
      </w:r>
      <w:r>
        <w:rPr>
          <w:spacing w:val="-26"/>
          <w:vertAlign w:val="baseline"/>
        </w:rPr>
        <w:t> </w:t>
      </w:r>
      <w:r>
        <w:rPr>
          <w:w w:val="99"/>
          <w:vertAlign w:val="baseline"/>
        </w:rPr>
        <w:t>to</w:t>
      </w:r>
      <w:r>
        <w:rPr>
          <w:vertAlign w:val="baseline"/>
        </w:rPr>
        <w:t>  </w:t>
      </w:r>
      <w:r>
        <w:rPr>
          <w:spacing w:val="-26"/>
          <w:vertAlign w:val="baseline"/>
        </w:rPr>
        <w:t> </w:t>
      </w:r>
      <w:r>
        <w:rPr>
          <w:w w:val="99"/>
          <w:vertAlign w:val="baseline"/>
        </w:rPr>
        <w:t>de</w:t>
      </w:r>
      <w:r>
        <w:rPr>
          <w:w w:val="99"/>
          <w:vertAlign w:val="baseline"/>
        </w:rPr>
        <w:t>te</w:t>
      </w:r>
      <w:r>
        <w:rPr>
          <w:spacing w:val="1"/>
          <w:w w:val="99"/>
          <w:vertAlign w:val="baseline"/>
        </w:rPr>
        <w:t>r</w:t>
      </w:r>
      <w:r>
        <w:rPr>
          <w:w w:val="99"/>
          <w:vertAlign w:val="baseline"/>
        </w:rPr>
        <w:t>m</w:t>
      </w:r>
      <w:r>
        <w:rPr>
          <w:w w:val="99"/>
          <w:vertAlign w:val="baseline"/>
        </w:rPr>
        <w:t>ine</w:t>
      </w:r>
      <w:r>
        <w:rPr>
          <w:vertAlign w:val="baseline"/>
        </w:rPr>
        <w:t>  </w:t>
      </w:r>
      <w:r>
        <w:rPr>
          <w:spacing w:val="-24"/>
          <w:vertAlign w:val="baseline"/>
        </w:rPr>
        <w:t> </w:t>
      </w:r>
      <w:r>
        <w:rPr>
          <w:spacing w:val="-1"/>
          <w:w w:val="99"/>
          <w:vertAlign w:val="baseline"/>
        </w:rPr>
        <w:t>whe</w:t>
      </w:r>
      <w:r>
        <w:rPr>
          <w:w w:val="99"/>
          <w:vertAlign w:val="baseline"/>
        </w:rPr>
        <w:t>t</w:t>
      </w:r>
      <w:r>
        <w:rPr>
          <w:spacing w:val="-1"/>
          <w:w w:val="99"/>
          <w:vertAlign w:val="baseline"/>
        </w:rPr>
        <w:t>h</w:t>
      </w:r>
      <w:r>
        <w:rPr>
          <w:w w:val="99"/>
          <w:vertAlign w:val="baseline"/>
        </w:rPr>
        <w:t>er</w:t>
      </w:r>
      <w:r>
        <w:rPr>
          <w:vertAlign w:val="baseline"/>
        </w:rPr>
        <w:t>  </w:t>
      </w:r>
      <w:r>
        <w:rPr>
          <w:spacing w:val="-26"/>
          <w:vertAlign w:val="baseline"/>
        </w:rPr>
        <w:t> </w:t>
      </w:r>
      <w:r>
        <w:rPr>
          <w:w w:val="99"/>
          <w:vertAlign w:val="baseline"/>
        </w:rPr>
        <w:t>the</w:t>
      </w:r>
      <w:r>
        <w:rPr>
          <w:vertAlign w:val="baseline"/>
        </w:rPr>
        <w:t>  </w:t>
      </w:r>
      <w:r>
        <w:rPr>
          <w:spacing w:val="-26"/>
          <w:vertAlign w:val="baseline"/>
        </w:rPr>
        <w:t> </w:t>
      </w:r>
      <w:r>
        <w:rPr>
          <w:w w:val="33"/>
          <w:vertAlign w:val="baseline"/>
        </w:rPr>
        <w:t>―</w:t>
      </w:r>
      <w:r>
        <w:rPr>
          <w:w w:val="99"/>
          <w:vertAlign w:val="baseline"/>
        </w:rPr>
        <w:t>Gu</w:t>
      </w:r>
      <w:r>
        <w:rPr>
          <w:spacing w:val="1"/>
          <w:w w:val="99"/>
          <w:vertAlign w:val="baseline"/>
        </w:rPr>
        <w:t>r</w:t>
      </w:r>
      <w:r>
        <w:rPr>
          <w:w w:val="99"/>
          <w:vertAlign w:val="baseline"/>
        </w:rPr>
        <w:t>u</w:t>
      </w:r>
      <w:r>
        <w:rPr>
          <w:vertAlign w:val="baseline"/>
        </w:rPr>
        <w:t>  </w:t>
      </w:r>
      <w:r>
        <w:rPr>
          <w:spacing w:val="-29"/>
          <w:vertAlign w:val="baseline"/>
        </w:rPr>
        <w:t> </w:t>
      </w:r>
      <w:r>
        <w:rPr>
          <w:w w:val="99"/>
          <w:vertAlign w:val="baseline"/>
        </w:rPr>
        <w:t>Gr</w:t>
      </w:r>
      <w:r>
        <w:rPr>
          <w:spacing w:val="-1"/>
          <w:w w:val="99"/>
          <w:vertAlign w:val="baseline"/>
        </w:rPr>
        <w:t>a</w:t>
      </w:r>
      <w:r>
        <w:rPr>
          <w:w w:val="99"/>
          <w:vertAlign w:val="baseline"/>
        </w:rPr>
        <w:t>nth</w:t>
      </w:r>
      <w:r>
        <w:rPr>
          <w:vertAlign w:val="baseline"/>
        </w:rPr>
        <w:t>  </w:t>
      </w:r>
      <w:r>
        <w:rPr>
          <w:spacing w:val="-26"/>
          <w:vertAlign w:val="baseline"/>
        </w:rPr>
        <w:t> </w:t>
      </w:r>
      <w:r>
        <w:rPr>
          <w:spacing w:val="-1"/>
          <w:w w:val="99"/>
          <w:vertAlign w:val="baseline"/>
        </w:rPr>
        <w:t>Sa</w:t>
      </w:r>
      <w:r>
        <w:rPr>
          <w:w w:val="99"/>
          <w:vertAlign w:val="baseline"/>
        </w:rPr>
        <w:t>h</w:t>
      </w:r>
      <w:r>
        <w:rPr>
          <w:spacing w:val="-1"/>
          <w:w w:val="93"/>
          <w:vertAlign w:val="baseline"/>
        </w:rPr>
        <w:t>ib‖ </w:t>
      </w:r>
      <w:r>
        <w:rPr>
          <w:vertAlign w:val="baseline"/>
        </w:rPr>
        <w:t>possessed a legal personality. While discussing ‗who is a legal person‘ Justice A P Misra observed:</w:t>
      </w:r>
    </w:p>
    <w:p>
      <w:pPr>
        <w:spacing w:line="276" w:lineRule="auto" w:before="2"/>
        <w:ind w:left="1940" w:right="2265" w:firstLine="0"/>
        <w:jc w:val="both"/>
        <w:rPr>
          <w:sz w:val="21"/>
        </w:rPr>
      </w:pPr>
      <w:r>
        <w:rPr>
          <w:spacing w:val="-1"/>
          <w:w w:val="33"/>
          <w:sz w:val="21"/>
        </w:rPr>
        <w:t>―</w:t>
      </w:r>
      <w:r>
        <w:rPr>
          <w:spacing w:val="-1"/>
          <w:w w:val="100"/>
          <w:sz w:val="21"/>
        </w:rPr>
        <w:t>11</w:t>
      </w:r>
      <w:r>
        <w:rPr>
          <w:w w:val="100"/>
          <w:sz w:val="21"/>
        </w:rPr>
        <w:t>.</w:t>
      </w:r>
      <w:r>
        <w:rPr>
          <w:sz w:val="21"/>
        </w:rPr>
        <w:t> </w:t>
      </w:r>
      <w:r>
        <w:rPr>
          <w:spacing w:val="-8"/>
          <w:sz w:val="21"/>
        </w:rPr>
        <w:t> </w:t>
      </w:r>
      <w:r>
        <w:rPr>
          <w:w w:val="100"/>
          <w:sz w:val="21"/>
        </w:rPr>
        <w:t>…</w:t>
      </w:r>
      <w:r>
        <w:rPr>
          <w:spacing w:val="-2"/>
          <w:w w:val="100"/>
          <w:sz w:val="21"/>
        </w:rPr>
        <w:t>I</w:t>
      </w:r>
      <w:r>
        <w:rPr>
          <w:w w:val="100"/>
          <w:sz w:val="21"/>
        </w:rPr>
        <w:t>f</w:t>
      </w:r>
      <w:r>
        <w:rPr>
          <w:sz w:val="21"/>
        </w:rPr>
        <w:t> </w:t>
      </w:r>
      <w:r>
        <w:rPr>
          <w:spacing w:val="-6"/>
          <w:sz w:val="21"/>
        </w:rPr>
        <w:t> </w:t>
      </w:r>
      <w:r>
        <w:rPr>
          <w:spacing w:val="-2"/>
          <w:w w:val="100"/>
          <w:sz w:val="21"/>
        </w:rPr>
        <w:t>w</w:t>
      </w:r>
      <w:r>
        <w:rPr>
          <w:w w:val="100"/>
          <w:sz w:val="21"/>
        </w:rPr>
        <w:t>e</w:t>
      </w:r>
      <w:r>
        <w:rPr>
          <w:sz w:val="21"/>
        </w:rPr>
        <w:t> </w:t>
      </w:r>
      <w:r>
        <w:rPr>
          <w:spacing w:val="-7"/>
          <w:sz w:val="21"/>
        </w:rPr>
        <w:t> </w:t>
      </w:r>
      <w:r>
        <w:rPr>
          <w:spacing w:val="-2"/>
          <w:w w:val="100"/>
          <w:sz w:val="21"/>
        </w:rPr>
        <w:t>t</w:t>
      </w:r>
      <w:r>
        <w:rPr>
          <w:spacing w:val="-1"/>
          <w:w w:val="100"/>
          <w:sz w:val="21"/>
        </w:rPr>
        <w:t>rac</w:t>
      </w:r>
      <w:r>
        <w:rPr>
          <w:w w:val="100"/>
          <w:sz w:val="21"/>
        </w:rPr>
        <w:t>e</w:t>
      </w:r>
      <w:r>
        <w:rPr>
          <w:sz w:val="21"/>
        </w:rPr>
        <w:t> </w:t>
      </w:r>
      <w:r>
        <w:rPr>
          <w:spacing w:val="-7"/>
          <w:sz w:val="21"/>
        </w:rPr>
        <w:t> </w:t>
      </w:r>
      <w:r>
        <w:rPr>
          <w:spacing w:val="-2"/>
          <w:w w:val="100"/>
          <w:sz w:val="21"/>
        </w:rPr>
        <w:t>t</w:t>
      </w:r>
      <w:r>
        <w:rPr>
          <w:spacing w:val="-1"/>
          <w:w w:val="100"/>
          <w:sz w:val="21"/>
        </w:rPr>
        <w:t>h</w:t>
      </w:r>
      <w:r>
        <w:rPr>
          <w:w w:val="100"/>
          <w:sz w:val="21"/>
        </w:rPr>
        <w:t>e</w:t>
      </w:r>
      <w:r>
        <w:rPr>
          <w:sz w:val="21"/>
        </w:rPr>
        <w:t> </w:t>
      </w:r>
      <w:r>
        <w:rPr>
          <w:spacing w:val="-7"/>
          <w:sz w:val="21"/>
        </w:rPr>
        <w:t> </w:t>
      </w:r>
      <w:r>
        <w:rPr>
          <w:spacing w:val="-3"/>
          <w:w w:val="100"/>
          <w:sz w:val="21"/>
        </w:rPr>
        <w:t>h</w:t>
      </w:r>
      <w:r>
        <w:rPr>
          <w:spacing w:val="-2"/>
          <w:w w:val="100"/>
          <w:sz w:val="21"/>
        </w:rPr>
        <w:t>i</w:t>
      </w:r>
      <w:r>
        <w:rPr>
          <w:w w:val="100"/>
          <w:sz w:val="21"/>
        </w:rPr>
        <w:t>s</w:t>
      </w:r>
      <w:r>
        <w:rPr>
          <w:spacing w:val="-2"/>
          <w:w w:val="100"/>
          <w:sz w:val="21"/>
        </w:rPr>
        <w:t>t</w:t>
      </w:r>
      <w:r>
        <w:rPr>
          <w:spacing w:val="-1"/>
          <w:w w:val="100"/>
          <w:sz w:val="21"/>
        </w:rPr>
        <w:t>or</w:t>
      </w:r>
      <w:r>
        <w:rPr>
          <w:w w:val="100"/>
          <w:sz w:val="21"/>
        </w:rPr>
        <w:t>y</w:t>
      </w:r>
      <w:r>
        <w:rPr>
          <w:sz w:val="21"/>
        </w:rPr>
        <w:t> </w:t>
      </w:r>
      <w:r>
        <w:rPr>
          <w:spacing w:val="-10"/>
          <w:sz w:val="21"/>
        </w:rPr>
        <w:t> </w:t>
      </w:r>
      <w:r>
        <w:rPr>
          <w:spacing w:val="-1"/>
          <w:w w:val="100"/>
          <w:sz w:val="21"/>
        </w:rPr>
        <w:t>o</w:t>
      </w:r>
      <w:r>
        <w:rPr>
          <w:w w:val="100"/>
          <w:sz w:val="21"/>
        </w:rPr>
        <w:t>f</w:t>
      </w:r>
      <w:r>
        <w:rPr>
          <w:sz w:val="21"/>
        </w:rPr>
        <w:t> </w:t>
      </w:r>
      <w:r>
        <w:rPr>
          <w:spacing w:val="-6"/>
          <w:sz w:val="21"/>
        </w:rPr>
        <w:t> </w:t>
      </w:r>
      <w:r>
        <w:rPr>
          <w:w w:val="100"/>
          <w:sz w:val="21"/>
        </w:rPr>
        <w:t>a</w:t>
      </w:r>
      <w:r>
        <w:rPr>
          <w:sz w:val="21"/>
        </w:rPr>
        <w:t> </w:t>
      </w:r>
      <w:r>
        <w:rPr>
          <w:spacing w:val="-7"/>
          <w:sz w:val="21"/>
        </w:rPr>
        <w:t> </w:t>
      </w:r>
      <w:r>
        <w:rPr>
          <w:spacing w:val="-1"/>
          <w:w w:val="33"/>
          <w:sz w:val="21"/>
        </w:rPr>
        <w:t>―</w:t>
      </w:r>
      <w:r>
        <w:rPr>
          <w:spacing w:val="-1"/>
          <w:w w:val="98"/>
          <w:sz w:val="21"/>
        </w:rPr>
        <w:t>person</w:t>
      </w:r>
      <w:r>
        <w:rPr>
          <w:w w:val="98"/>
          <w:sz w:val="21"/>
        </w:rPr>
        <w:t>‖</w:t>
      </w:r>
      <w:r>
        <w:rPr>
          <w:sz w:val="21"/>
        </w:rPr>
        <w:t> </w:t>
      </w:r>
      <w:r>
        <w:rPr>
          <w:spacing w:val="-10"/>
          <w:sz w:val="21"/>
        </w:rPr>
        <w:t> </w:t>
      </w:r>
      <w:r>
        <w:rPr>
          <w:w w:val="100"/>
          <w:sz w:val="21"/>
        </w:rPr>
        <w:t>in</w:t>
      </w:r>
      <w:r>
        <w:rPr>
          <w:sz w:val="21"/>
        </w:rPr>
        <w:t> </w:t>
      </w:r>
      <w:r>
        <w:rPr>
          <w:spacing w:val="-7"/>
          <w:sz w:val="21"/>
        </w:rPr>
        <w:t> </w:t>
      </w:r>
      <w:r>
        <w:rPr>
          <w:spacing w:val="-2"/>
          <w:w w:val="100"/>
          <w:sz w:val="21"/>
        </w:rPr>
        <w:t>t</w:t>
      </w:r>
      <w:r>
        <w:rPr>
          <w:spacing w:val="-3"/>
          <w:w w:val="100"/>
          <w:sz w:val="21"/>
        </w:rPr>
        <w:t>h</w:t>
      </w:r>
      <w:r>
        <w:rPr>
          <w:w w:val="100"/>
          <w:sz w:val="21"/>
        </w:rPr>
        <w:t>e</w:t>
      </w:r>
      <w:r>
        <w:rPr>
          <w:sz w:val="21"/>
        </w:rPr>
        <w:t> </w:t>
      </w:r>
      <w:r>
        <w:rPr>
          <w:spacing w:val="-7"/>
          <w:sz w:val="21"/>
        </w:rPr>
        <w:t> </w:t>
      </w:r>
      <w:r>
        <w:rPr>
          <w:spacing w:val="-3"/>
          <w:w w:val="100"/>
          <w:sz w:val="21"/>
        </w:rPr>
        <w:t>v</w:t>
      </w:r>
      <w:r>
        <w:rPr>
          <w:spacing w:val="-1"/>
          <w:w w:val="100"/>
          <w:sz w:val="21"/>
        </w:rPr>
        <w:t>ari</w:t>
      </w:r>
      <w:r>
        <w:rPr>
          <w:w w:val="100"/>
          <w:sz w:val="21"/>
        </w:rPr>
        <w:t>o</w:t>
      </w:r>
      <w:r>
        <w:rPr>
          <w:spacing w:val="-1"/>
          <w:w w:val="100"/>
          <w:sz w:val="21"/>
        </w:rPr>
        <w:t>us </w:t>
      </w:r>
      <w:r>
        <w:rPr>
          <w:sz w:val="21"/>
        </w:rPr>
        <w:t>countries we find surprisingly it has projected differently at different</w:t>
      </w:r>
      <w:r>
        <w:rPr>
          <w:spacing w:val="-2"/>
          <w:sz w:val="21"/>
        </w:rPr>
        <w:t> </w:t>
      </w:r>
      <w:r>
        <w:rPr>
          <w:sz w:val="21"/>
        </w:rPr>
        <w:t>times.</w:t>
      </w:r>
    </w:p>
    <w:p>
      <w:pPr>
        <w:spacing w:before="0"/>
        <w:ind w:left="1940" w:right="0" w:firstLine="0"/>
        <w:jc w:val="left"/>
        <w:rPr>
          <w:sz w:val="21"/>
        </w:rPr>
      </w:pPr>
      <w:r>
        <w:rPr>
          <w:w w:val="100"/>
          <w:sz w:val="21"/>
        </w:rPr>
        <w:t>…</w:t>
      </w:r>
    </w:p>
    <w:p>
      <w:pPr>
        <w:spacing w:line="276" w:lineRule="auto" w:before="37"/>
        <w:ind w:left="1940" w:right="2260" w:firstLine="0"/>
        <w:jc w:val="both"/>
        <w:rPr>
          <w:sz w:val="21"/>
        </w:rPr>
      </w:pPr>
      <w:r>
        <w:rPr>
          <w:sz w:val="21"/>
        </w:rPr>
        <w:t>13. With the development of society, where an individual‘s interaction fell short, … cooperation of a larger circle of individuals was necessitated. Thus, institutions like corporations and companies were created, to help the society in achieving the desired result. The very constitution of a State, municipal corporation, company etc. are all creations of </w:t>
      </w:r>
      <w:r>
        <w:rPr>
          <w:w w:val="100"/>
          <w:sz w:val="21"/>
        </w:rPr>
        <w:t>the</w:t>
      </w:r>
      <w:r>
        <w:rPr>
          <w:sz w:val="21"/>
        </w:rPr>
        <w:t> </w:t>
      </w:r>
      <w:r>
        <w:rPr>
          <w:w w:val="100"/>
          <w:sz w:val="21"/>
        </w:rPr>
        <w:t>law</w:t>
      </w:r>
      <w:r>
        <w:rPr>
          <w:sz w:val="21"/>
        </w:rPr>
        <w:t> </w:t>
      </w:r>
      <w:r>
        <w:rPr>
          <w:w w:val="100"/>
          <w:sz w:val="21"/>
        </w:rPr>
        <w:t>and</w:t>
      </w:r>
      <w:r>
        <w:rPr>
          <w:sz w:val="21"/>
        </w:rPr>
        <w:t> </w:t>
      </w:r>
      <w:r>
        <w:rPr>
          <w:w w:val="100"/>
          <w:sz w:val="21"/>
        </w:rPr>
        <w:t>these</w:t>
      </w:r>
      <w:r>
        <w:rPr>
          <w:sz w:val="21"/>
        </w:rPr>
        <w:t> </w:t>
      </w:r>
      <w:r>
        <w:rPr>
          <w:w w:val="33"/>
          <w:sz w:val="21"/>
        </w:rPr>
        <w:t>―</w:t>
      </w:r>
      <w:r>
        <w:rPr>
          <w:w w:val="100"/>
          <w:sz w:val="21"/>
        </w:rPr>
        <w:t>juristic</w:t>
      </w:r>
      <w:r>
        <w:rPr>
          <w:sz w:val="21"/>
        </w:rPr>
        <w:t> </w:t>
      </w:r>
      <w:r>
        <w:rPr>
          <w:w w:val="100"/>
          <w:sz w:val="21"/>
        </w:rPr>
        <w:t>person</w:t>
      </w:r>
      <w:r>
        <w:rPr>
          <w:w w:val="91"/>
          <w:sz w:val="21"/>
        </w:rPr>
        <w:t>s‖</w:t>
      </w:r>
      <w:r>
        <w:rPr>
          <w:sz w:val="21"/>
        </w:rPr>
        <w:t> </w:t>
      </w:r>
      <w:r>
        <w:rPr>
          <w:w w:val="100"/>
          <w:sz w:val="21"/>
        </w:rPr>
        <w:t>arose</w:t>
      </w:r>
      <w:r>
        <w:rPr>
          <w:sz w:val="21"/>
        </w:rPr>
        <w:t> </w:t>
      </w:r>
      <w:r>
        <w:rPr>
          <w:w w:val="100"/>
          <w:sz w:val="21"/>
        </w:rPr>
        <w:t>out</w:t>
      </w:r>
      <w:r>
        <w:rPr>
          <w:sz w:val="21"/>
        </w:rPr>
        <w:t> </w:t>
      </w:r>
      <w:r>
        <w:rPr>
          <w:w w:val="100"/>
          <w:sz w:val="21"/>
        </w:rPr>
        <w:t>of</w:t>
      </w:r>
      <w:r>
        <w:rPr>
          <w:sz w:val="21"/>
        </w:rPr>
        <w:t> </w:t>
      </w:r>
      <w:r>
        <w:rPr>
          <w:w w:val="100"/>
          <w:sz w:val="21"/>
        </w:rPr>
        <w:t>necessities</w:t>
      </w:r>
      <w:r>
        <w:rPr>
          <w:sz w:val="21"/>
        </w:rPr>
        <w:t> </w:t>
      </w:r>
      <w:r>
        <w:rPr>
          <w:w w:val="100"/>
          <w:sz w:val="21"/>
        </w:rPr>
        <w:t>in </w:t>
      </w:r>
      <w:r>
        <w:rPr>
          <w:sz w:val="21"/>
        </w:rPr>
        <w:t>the human development. In other words, they were dressed in a cloak to be recognised in law to be a legal unit.‖</w:t>
      </w:r>
    </w:p>
    <w:p>
      <w:pPr>
        <w:pStyle w:val="BodyText"/>
        <w:rPr>
          <w:sz w:val="24"/>
        </w:rPr>
      </w:pPr>
    </w:p>
    <w:p>
      <w:pPr>
        <w:pStyle w:val="BodyText"/>
        <w:rPr>
          <w:sz w:val="22"/>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Legal systems across the world evolved from periods of darkness where legal personality was denied to natural persons to the present day where in constitutional democracies almost all natural persons are also legal persons in the eyes of the law. Legal systems have also extended the concept of legal personality beyond natural persons. This has taken place through the creation of the</w:t>
      </w:r>
      <w:r>
        <w:rPr>
          <w:spacing w:val="-13"/>
          <w:sz w:val="25"/>
        </w:rPr>
        <w:t> </w:t>
      </w:r>
      <w:r>
        <w:rPr>
          <w:sz w:val="25"/>
        </w:rPr>
        <w:t>‗artificial</w:t>
      </w:r>
      <w:r>
        <w:rPr>
          <w:spacing w:val="-13"/>
          <w:sz w:val="25"/>
        </w:rPr>
        <w:t> </w:t>
      </w:r>
      <w:r>
        <w:rPr>
          <w:sz w:val="25"/>
        </w:rPr>
        <w:t>legal</w:t>
      </w:r>
      <w:r>
        <w:rPr>
          <w:spacing w:val="-13"/>
          <w:sz w:val="25"/>
        </w:rPr>
        <w:t> </w:t>
      </w:r>
      <w:r>
        <w:rPr>
          <w:sz w:val="25"/>
        </w:rPr>
        <w:t>person‘</w:t>
      </w:r>
      <w:r>
        <w:rPr>
          <w:spacing w:val="-13"/>
          <w:sz w:val="25"/>
        </w:rPr>
        <w:t> </w:t>
      </w:r>
      <w:r>
        <w:rPr>
          <w:sz w:val="25"/>
        </w:rPr>
        <w:t>or</w:t>
      </w:r>
      <w:r>
        <w:rPr>
          <w:spacing w:val="-12"/>
          <w:sz w:val="25"/>
        </w:rPr>
        <w:t> </w:t>
      </w:r>
      <w:r>
        <w:rPr>
          <w:sz w:val="25"/>
        </w:rPr>
        <w:t>‗juristic</w:t>
      </w:r>
      <w:r>
        <w:rPr>
          <w:spacing w:val="-13"/>
          <w:sz w:val="25"/>
        </w:rPr>
        <w:t> </w:t>
      </w:r>
      <w:r>
        <w:rPr>
          <w:sz w:val="25"/>
        </w:rPr>
        <w:t>person‘,</w:t>
      </w:r>
      <w:r>
        <w:rPr>
          <w:spacing w:val="-13"/>
          <w:sz w:val="25"/>
        </w:rPr>
        <w:t> </w:t>
      </w:r>
      <w:r>
        <w:rPr>
          <w:sz w:val="25"/>
        </w:rPr>
        <w:t>where</w:t>
      </w:r>
      <w:r>
        <w:rPr>
          <w:spacing w:val="-13"/>
          <w:sz w:val="25"/>
        </w:rPr>
        <w:t> </w:t>
      </w:r>
      <w:r>
        <w:rPr>
          <w:sz w:val="25"/>
        </w:rPr>
        <w:t>an</w:t>
      </w:r>
      <w:r>
        <w:rPr>
          <w:spacing w:val="-14"/>
          <w:sz w:val="25"/>
        </w:rPr>
        <w:t> </w:t>
      </w:r>
      <w:r>
        <w:rPr>
          <w:sz w:val="25"/>
        </w:rPr>
        <w:t>object</w:t>
      </w:r>
      <w:r>
        <w:rPr>
          <w:spacing w:val="-13"/>
          <w:sz w:val="25"/>
        </w:rPr>
        <w:t> </w:t>
      </w:r>
      <w:r>
        <w:rPr>
          <w:sz w:val="25"/>
        </w:rPr>
        <w:t>or</w:t>
      </w:r>
      <w:r>
        <w:rPr>
          <w:spacing w:val="-14"/>
          <w:sz w:val="25"/>
        </w:rPr>
        <w:t> </w:t>
      </w:r>
      <w:r>
        <w:rPr>
          <w:sz w:val="25"/>
        </w:rPr>
        <w:t>thing</w:t>
      </w:r>
      <w:r>
        <w:rPr>
          <w:spacing w:val="-13"/>
          <w:sz w:val="25"/>
        </w:rPr>
        <w:t> </w:t>
      </w:r>
      <w:r>
        <w:rPr>
          <w:sz w:val="25"/>
        </w:rPr>
        <w:t>which</w:t>
      </w:r>
      <w:r>
        <w:rPr>
          <w:spacing w:val="-13"/>
          <w:sz w:val="25"/>
        </w:rPr>
        <w:t> </w:t>
      </w:r>
      <w:r>
        <w:rPr>
          <w:sz w:val="25"/>
        </w:rPr>
        <w:t>is</w:t>
      </w:r>
      <w:r>
        <w:rPr>
          <w:spacing w:val="-13"/>
          <w:sz w:val="25"/>
        </w:rPr>
        <w:t> </w:t>
      </w:r>
      <w:r>
        <w:rPr>
          <w:sz w:val="25"/>
        </w:rPr>
        <w:t>not a natural person is nonetheless recognised as a legal person in the law. Two examples of this paradigm are, where a collection of natural persons is collectively conferred a distinct legal personality (in the case of a cooperative society or corporation) and where legal personality is conferred on an inanimate object</w:t>
      </w:r>
      <w:r>
        <w:rPr>
          <w:spacing w:val="28"/>
          <w:sz w:val="25"/>
        </w:rPr>
        <w:t> </w:t>
      </w:r>
      <w:r>
        <w:rPr>
          <w:sz w:val="25"/>
        </w:rPr>
        <w:t>(in</w:t>
      </w:r>
      <w:r>
        <w:rPr>
          <w:spacing w:val="27"/>
          <w:sz w:val="25"/>
        </w:rPr>
        <w:t> </w:t>
      </w:r>
      <w:r>
        <w:rPr>
          <w:sz w:val="25"/>
        </w:rPr>
        <w:t>the</w:t>
      </w:r>
      <w:r>
        <w:rPr>
          <w:spacing w:val="28"/>
          <w:sz w:val="25"/>
        </w:rPr>
        <w:t> </w:t>
      </w:r>
      <w:r>
        <w:rPr>
          <w:sz w:val="25"/>
        </w:rPr>
        <w:t>case</w:t>
      </w:r>
      <w:r>
        <w:rPr>
          <w:spacing w:val="28"/>
          <w:sz w:val="25"/>
        </w:rPr>
        <w:t> </w:t>
      </w:r>
      <w:r>
        <w:rPr>
          <w:sz w:val="25"/>
        </w:rPr>
        <w:t>of</w:t>
      </w:r>
      <w:r>
        <w:rPr>
          <w:spacing w:val="28"/>
          <w:sz w:val="25"/>
        </w:rPr>
        <w:t> </w:t>
      </w:r>
      <w:r>
        <w:rPr>
          <w:sz w:val="25"/>
        </w:rPr>
        <w:t>a</w:t>
      </w:r>
      <w:r>
        <w:rPr>
          <w:spacing w:val="28"/>
          <w:sz w:val="25"/>
        </w:rPr>
        <w:t> </w:t>
      </w:r>
      <w:r>
        <w:rPr>
          <w:sz w:val="25"/>
        </w:rPr>
        <w:t>ship).</w:t>
      </w:r>
      <w:r>
        <w:rPr>
          <w:spacing w:val="27"/>
          <w:sz w:val="25"/>
        </w:rPr>
        <w:t> </w:t>
      </w:r>
      <w:r>
        <w:rPr>
          <w:sz w:val="25"/>
        </w:rPr>
        <w:t>The</w:t>
      </w:r>
      <w:r>
        <w:rPr>
          <w:spacing w:val="28"/>
          <w:sz w:val="25"/>
        </w:rPr>
        <w:t> </w:t>
      </w:r>
      <w:r>
        <w:rPr>
          <w:sz w:val="25"/>
        </w:rPr>
        <w:t>conferral</w:t>
      </w:r>
      <w:r>
        <w:rPr>
          <w:spacing w:val="27"/>
          <w:sz w:val="25"/>
        </w:rPr>
        <w:t> </w:t>
      </w:r>
      <w:r>
        <w:rPr>
          <w:sz w:val="25"/>
        </w:rPr>
        <w:t>of</w:t>
      </w:r>
      <w:r>
        <w:rPr>
          <w:spacing w:val="28"/>
          <w:sz w:val="25"/>
        </w:rPr>
        <w:t> </w:t>
      </w:r>
      <w:r>
        <w:rPr>
          <w:sz w:val="25"/>
        </w:rPr>
        <w:t>legal</w:t>
      </w:r>
      <w:r>
        <w:rPr>
          <w:spacing w:val="27"/>
          <w:sz w:val="25"/>
        </w:rPr>
        <w:t> </w:t>
      </w:r>
      <w:r>
        <w:rPr>
          <w:sz w:val="25"/>
        </w:rPr>
        <w:t>personality</w:t>
      </w:r>
      <w:r>
        <w:rPr>
          <w:spacing w:val="27"/>
          <w:sz w:val="25"/>
        </w:rPr>
        <w:t> </w:t>
      </w:r>
      <w:r>
        <w:rPr>
          <w:sz w:val="25"/>
        </w:rPr>
        <w:t>on</w:t>
      </w:r>
      <w:r>
        <w:rPr>
          <w:spacing w:val="28"/>
          <w:sz w:val="25"/>
        </w:rPr>
        <w:t> </w:t>
      </w:r>
      <w:r>
        <w:rPr>
          <w:sz w:val="25"/>
        </w:rPr>
        <w:t>things</w:t>
      </w:r>
      <w:r>
        <w:rPr>
          <w:spacing w:val="28"/>
          <w:sz w:val="25"/>
        </w:rPr>
        <w:t> </w:t>
      </w:r>
      <w:r>
        <w:rPr>
          <w:sz w:val="25"/>
        </w:rPr>
        <w:t>other</w:t>
      </w:r>
    </w:p>
    <w:p>
      <w:pPr>
        <w:spacing w:after="0" w:line="480" w:lineRule="auto"/>
        <w:jc w:val="both"/>
        <w:rPr>
          <w:sz w:val="25"/>
        </w:rPr>
        <w:sectPr>
          <w:headerReference w:type="default" r:id="rId46"/>
          <w:footerReference w:type="default" r:id="rId47"/>
          <w:pgSz w:w="11910" w:h="16840"/>
          <w:pgMar w:header="721" w:footer="1566" w:top="1300" w:bottom="1760" w:left="940" w:right="1000"/>
          <w:pgNumType w:start="128"/>
        </w:sectPr>
      </w:pPr>
    </w:p>
    <w:p>
      <w:pPr>
        <w:pStyle w:val="BodyText"/>
        <w:spacing w:line="480" w:lineRule="auto" w:before="124"/>
        <w:ind w:left="500" w:right="436"/>
        <w:jc w:val="both"/>
      </w:pPr>
      <w:r>
        <w:rPr/>
        <w:t>than natural persons is a legal development which is so well recognised that it receives little exposition by courts today. The legal development is nonetheless </w:t>
      </w:r>
      <w:r>
        <w:rPr>
          <w:w w:val="99"/>
        </w:rPr>
        <w:t>well</w:t>
      </w:r>
      <w:r>
        <w:rPr/>
        <w:t> </w:t>
      </w:r>
      <w:r>
        <w:rPr>
          <w:w w:val="99"/>
        </w:rPr>
        <w:t>documented.</w:t>
      </w:r>
      <w:r>
        <w:rPr/>
        <w:t> </w:t>
      </w:r>
      <w:r>
        <w:rPr>
          <w:w w:val="99"/>
        </w:rPr>
        <w:t>Salmond</w:t>
      </w:r>
      <w:r>
        <w:rPr/>
        <w:t> </w:t>
      </w:r>
      <w:r>
        <w:rPr>
          <w:w w:val="99"/>
        </w:rPr>
        <w:t>in</w:t>
      </w:r>
      <w:r>
        <w:rPr/>
        <w:t> </w:t>
      </w:r>
      <w:r>
        <w:rPr>
          <w:w w:val="99"/>
        </w:rPr>
        <w:t>his</w:t>
      </w:r>
      <w:r>
        <w:rPr/>
        <w:t> </w:t>
      </w:r>
      <w:r>
        <w:rPr>
          <w:w w:val="99"/>
        </w:rPr>
        <w:t>work</w:t>
      </w:r>
      <w:r>
        <w:rPr/>
        <w:t> </w:t>
      </w:r>
      <w:r>
        <w:rPr>
          <w:w w:val="99"/>
        </w:rPr>
        <w:t>titled</w:t>
      </w:r>
      <w:r>
        <w:rPr/>
        <w:t> </w:t>
      </w:r>
      <w:r>
        <w:rPr>
          <w:w w:val="33"/>
        </w:rPr>
        <w:t>―</w:t>
      </w:r>
      <w:r>
        <w:rPr>
          <w:b/>
          <w:w w:val="99"/>
        </w:rPr>
        <w:t>Ju</w:t>
      </w:r>
      <w:r>
        <w:rPr>
          <w:b/>
          <w:w w:val="99"/>
        </w:rPr>
        <w:t>r</w:t>
      </w:r>
      <w:r>
        <w:rPr>
          <w:b/>
          <w:w w:val="99"/>
        </w:rPr>
        <w:t>isp</w:t>
      </w:r>
      <w:r>
        <w:rPr>
          <w:b/>
          <w:w w:val="99"/>
        </w:rPr>
        <w:t>r</w:t>
      </w:r>
      <w:r>
        <w:rPr>
          <w:b/>
          <w:w w:val="99"/>
        </w:rPr>
        <w:t>ud</w:t>
      </w:r>
      <w:r>
        <w:rPr>
          <w:b/>
          <w:w w:val="99"/>
        </w:rPr>
        <w:t>en</w:t>
      </w:r>
      <w:r>
        <w:rPr>
          <w:b/>
          <w:w w:val="99"/>
        </w:rPr>
        <w:t>ce</w:t>
      </w:r>
      <w:r>
        <w:rPr>
          <w:w w:val="80"/>
        </w:rPr>
        <w:t>‖</w:t>
      </w:r>
      <w:r>
        <w:rPr/>
        <w:t> </w:t>
      </w:r>
      <w:r>
        <w:rPr>
          <w:w w:val="99"/>
        </w:rPr>
        <w:t>no</w:t>
      </w:r>
      <w:r>
        <w:rPr>
          <w:w w:val="99"/>
        </w:rPr>
        <w:t>tes:</w:t>
      </w:r>
    </w:p>
    <w:p>
      <w:pPr>
        <w:spacing w:line="276" w:lineRule="auto" w:before="0"/>
        <w:ind w:left="1940" w:right="2262" w:firstLine="0"/>
        <w:jc w:val="both"/>
        <w:rPr>
          <w:sz w:val="21"/>
        </w:rPr>
      </w:pPr>
      <w:r>
        <w:rPr>
          <w:spacing w:val="-1"/>
          <w:w w:val="33"/>
          <w:sz w:val="21"/>
        </w:rPr>
        <w:t>―</w:t>
      </w:r>
      <w:r>
        <w:rPr>
          <w:w w:val="100"/>
          <w:sz w:val="21"/>
        </w:rPr>
        <w:t>C</w:t>
      </w:r>
      <w:r>
        <w:rPr>
          <w:spacing w:val="-1"/>
          <w:w w:val="100"/>
          <w:sz w:val="21"/>
        </w:rPr>
        <w:t>on</w:t>
      </w:r>
      <w:r>
        <w:rPr>
          <w:spacing w:val="-3"/>
          <w:w w:val="100"/>
          <w:sz w:val="21"/>
        </w:rPr>
        <w:t>v</w:t>
      </w:r>
      <w:r>
        <w:rPr>
          <w:spacing w:val="-1"/>
          <w:w w:val="100"/>
          <w:sz w:val="21"/>
        </w:rPr>
        <w:t>ers</w:t>
      </w:r>
      <w:r>
        <w:rPr>
          <w:spacing w:val="-3"/>
          <w:w w:val="100"/>
          <w:sz w:val="21"/>
        </w:rPr>
        <w:t>e</w:t>
      </w:r>
      <w:r>
        <w:rPr>
          <w:w w:val="100"/>
          <w:sz w:val="21"/>
        </w:rPr>
        <w:t>ly</w:t>
      </w:r>
      <w:r>
        <w:rPr>
          <w:spacing w:val="16"/>
          <w:sz w:val="21"/>
        </w:rPr>
        <w:t> </w:t>
      </w:r>
      <w:r>
        <w:rPr>
          <w:spacing w:val="-2"/>
          <w:w w:val="100"/>
          <w:sz w:val="21"/>
        </w:rPr>
        <w:t>t</w:t>
      </w:r>
      <w:r>
        <w:rPr>
          <w:spacing w:val="-1"/>
          <w:w w:val="100"/>
          <w:sz w:val="21"/>
        </w:rPr>
        <w:t>her</w:t>
      </w:r>
      <w:r>
        <w:rPr>
          <w:w w:val="100"/>
          <w:sz w:val="21"/>
        </w:rPr>
        <w:t>e</w:t>
      </w:r>
      <w:r>
        <w:rPr>
          <w:spacing w:val="18"/>
          <w:sz w:val="21"/>
        </w:rPr>
        <w:t> </w:t>
      </w:r>
      <w:r>
        <w:rPr>
          <w:spacing w:val="-1"/>
          <w:w w:val="100"/>
          <w:sz w:val="21"/>
        </w:rPr>
        <w:t>are</w:t>
      </w:r>
      <w:r>
        <w:rPr>
          <w:w w:val="100"/>
          <w:sz w:val="21"/>
        </w:rPr>
        <w:t>,</w:t>
      </w:r>
      <w:r>
        <w:rPr>
          <w:spacing w:val="16"/>
          <w:sz w:val="21"/>
        </w:rPr>
        <w:t> </w:t>
      </w:r>
      <w:r>
        <w:rPr>
          <w:w w:val="100"/>
          <w:sz w:val="21"/>
        </w:rPr>
        <w:t>in</w:t>
      </w:r>
      <w:r>
        <w:rPr>
          <w:spacing w:val="15"/>
          <w:sz w:val="21"/>
        </w:rPr>
        <w:t> </w:t>
      </w:r>
      <w:r>
        <w:rPr>
          <w:spacing w:val="-2"/>
          <w:w w:val="100"/>
          <w:sz w:val="21"/>
        </w:rPr>
        <w:t>t</w:t>
      </w:r>
      <w:r>
        <w:rPr>
          <w:spacing w:val="-1"/>
          <w:w w:val="100"/>
          <w:sz w:val="21"/>
        </w:rPr>
        <w:t>h</w:t>
      </w:r>
      <w:r>
        <w:rPr>
          <w:w w:val="100"/>
          <w:sz w:val="21"/>
        </w:rPr>
        <w:t>e</w:t>
      </w:r>
      <w:r>
        <w:rPr>
          <w:spacing w:val="18"/>
          <w:sz w:val="21"/>
        </w:rPr>
        <w:t> </w:t>
      </w:r>
      <w:r>
        <w:rPr>
          <w:w w:val="100"/>
          <w:sz w:val="21"/>
        </w:rPr>
        <w:t>l</w:t>
      </w:r>
      <w:r>
        <w:rPr>
          <w:spacing w:val="-1"/>
          <w:w w:val="100"/>
          <w:sz w:val="21"/>
        </w:rPr>
        <w:t>a</w:t>
      </w:r>
      <w:r>
        <w:rPr>
          <w:spacing w:val="-2"/>
          <w:w w:val="100"/>
          <w:sz w:val="21"/>
        </w:rPr>
        <w:t>w</w:t>
      </w:r>
      <w:r>
        <w:rPr>
          <w:w w:val="100"/>
          <w:sz w:val="21"/>
        </w:rPr>
        <w:t>,</w:t>
      </w:r>
      <w:r>
        <w:rPr>
          <w:spacing w:val="17"/>
          <w:sz w:val="21"/>
        </w:rPr>
        <w:t> </w:t>
      </w:r>
      <w:r>
        <w:rPr>
          <w:spacing w:val="-1"/>
          <w:w w:val="100"/>
          <w:sz w:val="21"/>
        </w:rPr>
        <w:t>pers</w:t>
      </w:r>
      <w:r>
        <w:rPr>
          <w:spacing w:val="-3"/>
          <w:w w:val="100"/>
          <w:sz w:val="21"/>
        </w:rPr>
        <w:t>o</w:t>
      </w:r>
      <w:r>
        <w:rPr>
          <w:spacing w:val="-1"/>
          <w:w w:val="100"/>
          <w:sz w:val="21"/>
        </w:rPr>
        <w:t>n</w:t>
      </w:r>
      <w:r>
        <w:rPr>
          <w:w w:val="100"/>
          <w:sz w:val="21"/>
        </w:rPr>
        <w:t>s</w:t>
      </w:r>
      <w:r>
        <w:rPr>
          <w:spacing w:val="18"/>
          <w:sz w:val="21"/>
        </w:rPr>
        <w:t> </w:t>
      </w:r>
      <w:r>
        <w:rPr>
          <w:spacing w:val="-2"/>
          <w:w w:val="100"/>
          <w:sz w:val="21"/>
        </w:rPr>
        <w:t>w</w:t>
      </w:r>
      <w:r>
        <w:rPr>
          <w:spacing w:val="-1"/>
          <w:w w:val="100"/>
          <w:sz w:val="21"/>
        </w:rPr>
        <w:t>h</w:t>
      </w:r>
      <w:r>
        <w:rPr>
          <w:w w:val="100"/>
          <w:sz w:val="21"/>
        </w:rPr>
        <w:t>o</w:t>
      </w:r>
      <w:r>
        <w:rPr>
          <w:spacing w:val="18"/>
          <w:sz w:val="21"/>
        </w:rPr>
        <w:t> </w:t>
      </w:r>
      <w:r>
        <w:rPr>
          <w:spacing w:val="-1"/>
          <w:w w:val="100"/>
          <w:sz w:val="21"/>
        </w:rPr>
        <w:t>ar</w:t>
      </w:r>
      <w:r>
        <w:rPr>
          <w:w w:val="100"/>
          <w:sz w:val="21"/>
        </w:rPr>
        <w:t>e</w:t>
      </w:r>
      <w:r>
        <w:rPr>
          <w:spacing w:val="15"/>
          <w:sz w:val="21"/>
        </w:rPr>
        <w:t> </w:t>
      </w:r>
      <w:r>
        <w:rPr>
          <w:spacing w:val="-1"/>
          <w:w w:val="100"/>
          <w:sz w:val="21"/>
        </w:rPr>
        <w:t>no</w:t>
      </w:r>
      <w:r>
        <w:rPr>
          <w:w w:val="100"/>
          <w:sz w:val="21"/>
        </w:rPr>
        <w:t>t</w:t>
      </w:r>
      <w:r>
        <w:rPr>
          <w:spacing w:val="17"/>
          <w:sz w:val="21"/>
        </w:rPr>
        <w:t> </w:t>
      </w:r>
      <w:r>
        <w:rPr>
          <w:spacing w:val="1"/>
          <w:w w:val="100"/>
          <w:sz w:val="21"/>
        </w:rPr>
        <w:t>m</w:t>
      </w:r>
      <w:r>
        <w:rPr>
          <w:spacing w:val="-1"/>
          <w:w w:val="100"/>
          <w:sz w:val="21"/>
        </w:rPr>
        <w:t>en. </w:t>
      </w:r>
      <w:r>
        <w:rPr>
          <w:sz w:val="21"/>
        </w:rPr>
        <w:t>A joint-stock company or a municipal corporation is a person in legal contemplation. It is true that it is only a fictitious, not a real person; but it is not a fictitious </w:t>
      </w:r>
      <w:r>
        <w:rPr>
          <w:i/>
          <w:sz w:val="21"/>
        </w:rPr>
        <w:t>man</w:t>
      </w:r>
      <w:r>
        <w:rPr>
          <w:sz w:val="21"/>
        </w:rPr>
        <w:t>. It is personality, not human nature, that is fictitiously attributed by the law to bodies</w:t>
      </w:r>
      <w:r>
        <w:rPr>
          <w:spacing w:val="-1"/>
          <w:sz w:val="21"/>
        </w:rPr>
        <w:t> </w:t>
      </w:r>
      <w:r>
        <w:rPr>
          <w:sz w:val="21"/>
        </w:rPr>
        <w:t>corporate.</w:t>
      </w:r>
    </w:p>
    <w:p>
      <w:pPr>
        <w:pStyle w:val="BodyText"/>
        <w:spacing w:before="2"/>
        <w:rPr>
          <w:sz w:val="24"/>
        </w:rPr>
      </w:pPr>
    </w:p>
    <w:p>
      <w:pPr>
        <w:spacing w:line="276" w:lineRule="auto" w:before="0"/>
        <w:ind w:left="1940" w:right="2261" w:firstLine="0"/>
        <w:jc w:val="both"/>
        <w:rPr>
          <w:b/>
          <w:sz w:val="21"/>
        </w:rPr>
      </w:pPr>
      <w:r>
        <w:rPr>
          <w:sz w:val="21"/>
        </w:rPr>
        <w:t>So far as legal theory is concerned, a person is any being whom the law regards as capable of rights and duties. Any being that is so capable is a person, whether a human being or not, and no being that is not so capable is a person, even though he be a man. </w:t>
      </w:r>
      <w:r>
        <w:rPr>
          <w:b/>
          <w:sz w:val="21"/>
        </w:rPr>
        <w:t>Persons are the substance of which rights and duties are the attributes. It is only in this respect that persons possess juridical significance, and this is the exclusive point of view from which personality receives legal recognition.</w:t>
      </w:r>
    </w:p>
    <w:p>
      <w:pPr>
        <w:pStyle w:val="BodyText"/>
        <w:spacing w:before="1"/>
        <w:rPr>
          <w:b/>
          <w:sz w:val="24"/>
        </w:rPr>
      </w:pPr>
    </w:p>
    <w:p>
      <w:pPr>
        <w:spacing w:line="276" w:lineRule="auto" w:before="0"/>
        <w:ind w:left="1940" w:right="2261" w:firstLine="0"/>
        <w:jc w:val="both"/>
        <w:rPr>
          <w:sz w:val="21"/>
        </w:rPr>
      </w:pPr>
      <w:r>
        <w:rPr>
          <w:sz w:val="21"/>
        </w:rPr>
        <w:t>But we may go one step further than this in the analysis. </w:t>
      </w:r>
      <w:r>
        <w:rPr>
          <w:b/>
          <w:sz w:val="21"/>
        </w:rPr>
        <w:t>No being is capable of rights, unless also capable of interests which may be affected by the acts of others. </w:t>
      </w:r>
      <w:r>
        <w:rPr>
          <w:sz w:val="21"/>
        </w:rPr>
        <w:t>For every right involves an underlying interest of this nature. Similarly no being is capable of duties, unless also capable of acts by which the interests of others may be affected. To attribute rights and duties, therefore, is to attribute interests and acts as their necessary bases. </w:t>
      </w:r>
      <w:r>
        <w:rPr>
          <w:b/>
          <w:sz w:val="21"/>
        </w:rPr>
        <w:t>A person, then, may be defined for the purposes of the law, as any being to whom the law attributes a capability of interests and therefore of rights, of acts and therefore of</w:t>
      </w:r>
      <w:r>
        <w:rPr>
          <w:b/>
          <w:spacing w:val="-21"/>
          <w:sz w:val="21"/>
        </w:rPr>
        <w:t> </w:t>
      </w:r>
      <w:r>
        <w:rPr>
          <w:b/>
          <w:sz w:val="21"/>
        </w:rPr>
        <w:t>duties</w:t>
      </w:r>
      <w:r>
        <w:rPr>
          <w:sz w:val="21"/>
        </w:rPr>
        <w:t>.‖</w:t>
      </w:r>
      <w:r>
        <w:rPr>
          <w:sz w:val="21"/>
          <w:vertAlign w:val="superscript"/>
        </w:rPr>
        <w:t>41</w:t>
      </w:r>
    </w:p>
    <w:p>
      <w:pPr>
        <w:spacing w:before="1"/>
        <w:ind w:left="5798" w:right="0" w:firstLine="0"/>
        <w:jc w:val="both"/>
        <w:rPr>
          <w:sz w:val="21"/>
        </w:rPr>
      </w:pPr>
      <w:r>
        <w:rPr>
          <w:sz w:val="21"/>
        </w:rPr>
        <w:t>(Emphasis supplied)</w:t>
      </w:r>
    </w:p>
    <w:p>
      <w:pPr>
        <w:pStyle w:val="BodyText"/>
        <w:rPr>
          <w:sz w:val="24"/>
        </w:rPr>
      </w:pPr>
    </w:p>
    <w:p>
      <w:pPr>
        <w:pStyle w:val="BodyText"/>
        <w:spacing w:before="1"/>
        <w:rPr>
          <w:sz w:val="21"/>
        </w:rPr>
      </w:pPr>
    </w:p>
    <w:p>
      <w:pPr>
        <w:pStyle w:val="ListParagraph"/>
        <w:numPr>
          <w:ilvl w:val="0"/>
          <w:numId w:val="3"/>
        </w:numPr>
        <w:tabs>
          <w:tab w:pos="1220" w:val="left" w:leader="none"/>
          <w:tab w:pos="1221" w:val="left" w:leader="none"/>
        </w:tabs>
        <w:spacing w:line="240" w:lineRule="auto" w:before="0" w:after="0"/>
        <w:ind w:left="1220" w:right="0" w:hanging="721"/>
        <w:jc w:val="left"/>
        <w:rPr>
          <w:sz w:val="25"/>
        </w:rPr>
      </w:pPr>
      <w:r>
        <w:rPr>
          <w:sz w:val="25"/>
        </w:rPr>
        <w:t>A</w:t>
      </w:r>
      <w:r>
        <w:rPr>
          <w:spacing w:val="19"/>
          <w:sz w:val="25"/>
        </w:rPr>
        <w:t> </w:t>
      </w:r>
      <w:r>
        <w:rPr>
          <w:sz w:val="25"/>
        </w:rPr>
        <w:t>legal</w:t>
      </w:r>
      <w:r>
        <w:rPr>
          <w:spacing w:val="20"/>
          <w:sz w:val="25"/>
        </w:rPr>
        <w:t> </w:t>
      </w:r>
      <w:r>
        <w:rPr>
          <w:sz w:val="25"/>
        </w:rPr>
        <w:t>person</w:t>
      </w:r>
      <w:r>
        <w:rPr>
          <w:spacing w:val="20"/>
          <w:sz w:val="25"/>
        </w:rPr>
        <w:t> </w:t>
      </w:r>
      <w:r>
        <w:rPr>
          <w:sz w:val="25"/>
        </w:rPr>
        <w:t>possesses</w:t>
      </w:r>
      <w:r>
        <w:rPr>
          <w:spacing w:val="20"/>
          <w:sz w:val="25"/>
        </w:rPr>
        <w:t> </w:t>
      </w:r>
      <w:r>
        <w:rPr>
          <w:sz w:val="25"/>
        </w:rPr>
        <w:t>a</w:t>
      </w:r>
      <w:r>
        <w:rPr>
          <w:spacing w:val="20"/>
          <w:sz w:val="25"/>
        </w:rPr>
        <w:t> </w:t>
      </w:r>
      <w:r>
        <w:rPr>
          <w:sz w:val="25"/>
        </w:rPr>
        <w:t>capability</w:t>
      </w:r>
      <w:r>
        <w:rPr>
          <w:spacing w:val="17"/>
          <w:sz w:val="25"/>
        </w:rPr>
        <w:t> </w:t>
      </w:r>
      <w:r>
        <w:rPr>
          <w:spacing w:val="2"/>
          <w:sz w:val="25"/>
        </w:rPr>
        <w:t>to</w:t>
      </w:r>
      <w:r>
        <w:rPr>
          <w:spacing w:val="20"/>
          <w:sz w:val="25"/>
        </w:rPr>
        <w:t> </w:t>
      </w:r>
      <w:r>
        <w:rPr>
          <w:sz w:val="25"/>
        </w:rPr>
        <w:t>bear</w:t>
      </w:r>
      <w:r>
        <w:rPr>
          <w:spacing w:val="21"/>
          <w:sz w:val="25"/>
        </w:rPr>
        <w:t> </w:t>
      </w:r>
      <w:r>
        <w:rPr>
          <w:sz w:val="25"/>
        </w:rPr>
        <w:t>interests,</w:t>
      </w:r>
      <w:r>
        <w:rPr>
          <w:spacing w:val="18"/>
          <w:sz w:val="25"/>
        </w:rPr>
        <w:t> </w:t>
      </w:r>
      <w:r>
        <w:rPr>
          <w:sz w:val="25"/>
        </w:rPr>
        <w:t>rights</w:t>
      </w:r>
      <w:r>
        <w:rPr>
          <w:spacing w:val="20"/>
          <w:sz w:val="25"/>
        </w:rPr>
        <w:t> </w:t>
      </w:r>
      <w:r>
        <w:rPr>
          <w:sz w:val="25"/>
        </w:rPr>
        <w:t>and</w:t>
      </w:r>
      <w:r>
        <w:rPr>
          <w:spacing w:val="20"/>
          <w:sz w:val="25"/>
        </w:rPr>
        <w:t> </w:t>
      </w:r>
      <w:r>
        <w:rPr>
          <w:sz w:val="25"/>
        </w:rPr>
        <w:t>duties.</w:t>
      </w:r>
    </w:p>
    <w:p>
      <w:pPr>
        <w:pStyle w:val="BodyText"/>
        <w:spacing w:before="1"/>
      </w:pPr>
    </w:p>
    <w:p>
      <w:pPr>
        <w:pStyle w:val="BodyText"/>
        <w:spacing w:line="480" w:lineRule="auto"/>
        <w:ind w:left="500" w:right="447"/>
        <w:jc w:val="both"/>
      </w:pPr>
      <w:r>
        <w:rPr/>
        <w:t>Salmond makes a crucial distinction between legal personality and the physical corpus on which legal personality is conferred:</w:t>
      </w:r>
    </w:p>
    <w:p>
      <w:pPr>
        <w:spacing w:line="276" w:lineRule="auto" w:before="0"/>
        <w:ind w:left="1940" w:right="2260" w:firstLine="0"/>
        <w:jc w:val="both"/>
        <w:rPr>
          <w:b/>
          <w:sz w:val="21"/>
        </w:rPr>
      </w:pPr>
      <w:r>
        <w:rPr>
          <w:spacing w:val="-1"/>
          <w:w w:val="33"/>
          <w:sz w:val="21"/>
        </w:rPr>
        <w:t>―</w:t>
      </w:r>
      <w:r>
        <w:rPr>
          <w:w w:val="100"/>
          <w:sz w:val="21"/>
        </w:rPr>
        <w:t>The</w:t>
      </w:r>
      <w:r>
        <w:rPr>
          <w:spacing w:val="3"/>
          <w:sz w:val="21"/>
        </w:rPr>
        <w:t> </w:t>
      </w:r>
      <w:r>
        <w:rPr>
          <w:spacing w:val="-2"/>
          <w:w w:val="100"/>
          <w:sz w:val="21"/>
        </w:rPr>
        <w:t>l</w:t>
      </w:r>
      <w:r>
        <w:rPr>
          <w:spacing w:val="-1"/>
          <w:w w:val="100"/>
          <w:sz w:val="21"/>
        </w:rPr>
        <w:t>a</w:t>
      </w:r>
      <w:r>
        <w:rPr>
          <w:spacing w:val="-2"/>
          <w:w w:val="100"/>
          <w:sz w:val="21"/>
        </w:rPr>
        <w:t>w</w:t>
      </w:r>
      <w:r>
        <w:rPr>
          <w:w w:val="100"/>
          <w:sz w:val="21"/>
        </w:rPr>
        <w:t>,</w:t>
      </w:r>
      <w:r>
        <w:rPr>
          <w:spacing w:val="2"/>
          <w:sz w:val="21"/>
        </w:rPr>
        <w:t> </w:t>
      </w:r>
      <w:r>
        <w:rPr>
          <w:w w:val="100"/>
          <w:sz w:val="21"/>
        </w:rPr>
        <w:t>in</w:t>
      </w:r>
      <w:r>
        <w:rPr>
          <w:spacing w:val="3"/>
          <w:sz w:val="21"/>
        </w:rPr>
        <w:t> </w:t>
      </w:r>
      <w:r>
        <w:rPr>
          <w:w w:val="100"/>
          <w:sz w:val="21"/>
        </w:rPr>
        <w:t>c</w:t>
      </w:r>
      <w:r>
        <w:rPr>
          <w:spacing w:val="-1"/>
          <w:w w:val="100"/>
          <w:sz w:val="21"/>
        </w:rPr>
        <w:t>r</w:t>
      </w:r>
      <w:r>
        <w:rPr>
          <w:spacing w:val="-3"/>
          <w:w w:val="100"/>
          <w:sz w:val="21"/>
        </w:rPr>
        <w:t>e</w:t>
      </w:r>
      <w:r>
        <w:rPr>
          <w:spacing w:val="-1"/>
          <w:w w:val="100"/>
          <w:sz w:val="21"/>
        </w:rPr>
        <w:t>at</w:t>
      </w:r>
      <w:r>
        <w:rPr>
          <w:w w:val="100"/>
          <w:sz w:val="21"/>
        </w:rPr>
        <w:t>i</w:t>
      </w:r>
      <w:r>
        <w:rPr>
          <w:spacing w:val="-1"/>
          <w:w w:val="100"/>
          <w:sz w:val="21"/>
        </w:rPr>
        <w:t>n</w:t>
      </w:r>
      <w:r>
        <w:rPr>
          <w:w w:val="100"/>
          <w:sz w:val="21"/>
        </w:rPr>
        <w:t>g</w:t>
      </w:r>
      <w:r>
        <w:rPr>
          <w:spacing w:val="1"/>
          <w:sz w:val="21"/>
        </w:rPr>
        <w:t> </w:t>
      </w:r>
      <w:r>
        <w:rPr>
          <w:spacing w:val="-1"/>
          <w:w w:val="100"/>
          <w:sz w:val="21"/>
        </w:rPr>
        <w:t>per</w:t>
      </w:r>
      <w:r>
        <w:rPr>
          <w:spacing w:val="-3"/>
          <w:w w:val="100"/>
          <w:sz w:val="21"/>
        </w:rPr>
        <w:t>s</w:t>
      </w:r>
      <w:r>
        <w:rPr>
          <w:spacing w:val="-1"/>
          <w:w w:val="100"/>
          <w:sz w:val="21"/>
        </w:rPr>
        <w:t>ons</w:t>
      </w:r>
      <w:r>
        <w:rPr>
          <w:w w:val="100"/>
          <w:sz w:val="21"/>
        </w:rPr>
        <w:t>,</w:t>
      </w:r>
      <w:r>
        <w:rPr>
          <w:spacing w:val="2"/>
          <w:sz w:val="21"/>
        </w:rPr>
        <w:t> </w:t>
      </w:r>
      <w:r>
        <w:rPr>
          <w:spacing w:val="-1"/>
          <w:w w:val="100"/>
          <w:sz w:val="21"/>
        </w:rPr>
        <w:t>a</w:t>
      </w:r>
      <w:r>
        <w:rPr>
          <w:spacing w:val="1"/>
          <w:w w:val="100"/>
          <w:sz w:val="21"/>
        </w:rPr>
        <w:t>l</w:t>
      </w:r>
      <w:r>
        <w:rPr>
          <w:spacing w:val="-2"/>
          <w:w w:val="100"/>
          <w:sz w:val="21"/>
        </w:rPr>
        <w:t>w</w:t>
      </w:r>
      <w:r>
        <w:rPr>
          <w:spacing w:val="-1"/>
          <w:w w:val="100"/>
          <w:sz w:val="21"/>
        </w:rPr>
        <w:t>a</w:t>
      </w:r>
      <w:r>
        <w:rPr>
          <w:spacing w:val="-3"/>
          <w:w w:val="100"/>
          <w:sz w:val="21"/>
        </w:rPr>
        <w:t>y</w:t>
      </w:r>
      <w:r>
        <w:rPr>
          <w:w w:val="100"/>
          <w:sz w:val="21"/>
        </w:rPr>
        <w:t>s</w:t>
      </w:r>
      <w:r>
        <w:rPr>
          <w:spacing w:val="3"/>
          <w:sz w:val="21"/>
        </w:rPr>
        <w:t> </w:t>
      </w:r>
      <w:r>
        <w:rPr>
          <w:spacing w:val="-1"/>
          <w:w w:val="100"/>
          <w:sz w:val="21"/>
        </w:rPr>
        <w:t>d</w:t>
      </w:r>
      <w:r>
        <w:rPr>
          <w:spacing w:val="-3"/>
          <w:w w:val="100"/>
          <w:sz w:val="21"/>
        </w:rPr>
        <w:t>o</w:t>
      </w:r>
      <w:r>
        <w:rPr>
          <w:spacing w:val="-1"/>
          <w:w w:val="100"/>
          <w:sz w:val="21"/>
        </w:rPr>
        <w:t>e</w:t>
      </w:r>
      <w:r>
        <w:rPr>
          <w:w w:val="100"/>
          <w:sz w:val="21"/>
        </w:rPr>
        <w:t>s</w:t>
      </w:r>
      <w:r>
        <w:rPr>
          <w:spacing w:val="3"/>
          <w:sz w:val="21"/>
        </w:rPr>
        <w:t> </w:t>
      </w:r>
      <w:r>
        <w:rPr>
          <w:w w:val="100"/>
          <w:sz w:val="21"/>
        </w:rPr>
        <w:t>so</w:t>
      </w:r>
      <w:r>
        <w:rPr>
          <w:spacing w:val="1"/>
          <w:sz w:val="21"/>
        </w:rPr>
        <w:t> </w:t>
      </w:r>
      <w:r>
        <w:rPr>
          <w:spacing w:val="-1"/>
          <w:w w:val="100"/>
          <w:sz w:val="21"/>
        </w:rPr>
        <w:t>b</w:t>
      </w:r>
      <w:r>
        <w:rPr>
          <w:w w:val="100"/>
          <w:sz w:val="21"/>
        </w:rPr>
        <w:t>y</w:t>
      </w:r>
      <w:r>
        <w:rPr>
          <w:spacing w:val="1"/>
          <w:sz w:val="21"/>
        </w:rPr>
        <w:t> </w:t>
      </w:r>
      <w:r>
        <w:rPr>
          <w:spacing w:val="-1"/>
          <w:w w:val="100"/>
          <w:sz w:val="21"/>
        </w:rPr>
        <w:t>perso</w:t>
      </w:r>
      <w:r>
        <w:rPr>
          <w:spacing w:val="-3"/>
          <w:w w:val="100"/>
          <w:sz w:val="21"/>
        </w:rPr>
        <w:t>n</w:t>
      </w:r>
      <w:r>
        <w:rPr>
          <w:w w:val="100"/>
          <w:sz w:val="21"/>
        </w:rPr>
        <w:t>i</w:t>
      </w:r>
      <w:r>
        <w:rPr>
          <w:spacing w:val="1"/>
          <w:w w:val="100"/>
          <w:sz w:val="21"/>
        </w:rPr>
        <w:t>f</w:t>
      </w:r>
      <w:r>
        <w:rPr>
          <w:spacing w:val="-3"/>
          <w:w w:val="100"/>
          <w:sz w:val="21"/>
        </w:rPr>
        <w:t>y</w:t>
      </w:r>
      <w:r>
        <w:rPr>
          <w:w w:val="100"/>
          <w:sz w:val="21"/>
        </w:rPr>
        <w:t>i</w:t>
      </w:r>
      <w:r>
        <w:rPr>
          <w:spacing w:val="-3"/>
          <w:w w:val="100"/>
          <w:sz w:val="21"/>
        </w:rPr>
        <w:t>n</w:t>
      </w:r>
      <w:r>
        <w:rPr>
          <w:w w:val="100"/>
          <w:sz w:val="21"/>
        </w:rPr>
        <w:t>g </w:t>
      </w:r>
      <w:r>
        <w:rPr>
          <w:sz w:val="21"/>
        </w:rPr>
        <w:t>some real thing. Such a person has to this extent a real existence, and it is his personality alone that is fictitious. There is, indeed, no theoretical necessity for this, since </w:t>
      </w:r>
      <w:r>
        <w:rPr>
          <w:b/>
          <w:sz w:val="21"/>
        </w:rPr>
        <w:t>the law might, if it so pleased, attribute the quality of</w:t>
      </w:r>
    </w:p>
    <w:p>
      <w:pPr>
        <w:pStyle w:val="BodyText"/>
        <w:spacing w:before="2"/>
        <w:rPr>
          <w:b/>
          <w:sz w:val="19"/>
        </w:rPr>
      </w:pPr>
      <w:r>
        <w:rPr/>
        <w:pict>
          <v:rect style="position:absolute;margin-left:72.024002pt;margin-top:13.011438pt;width:144.020pt;height:.599980pt;mso-position-horizontal-relative:page;mso-position-vertical-relative:paragraph;z-index:-1571328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41</w:t>
      </w:r>
      <w:r>
        <w:rPr>
          <w:sz w:val="18"/>
          <w:vertAlign w:val="baseline"/>
        </w:rPr>
        <w:t> J W Salmond, Jurisprudence, Steven and Haynes (1913)</w:t>
      </w:r>
    </w:p>
    <w:p>
      <w:pPr>
        <w:spacing w:after="0"/>
        <w:jc w:val="left"/>
        <w:rPr>
          <w:sz w:val="18"/>
        </w:rPr>
        <w:sectPr>
          <w:headerReference w:type="default" r:id="rId48"/>
          <w:footerReference w:type="default" r:id="rId49"/>
          <w:pgSz w:w="11910" w:h="16840"/>
          <w:pgMar w:header="721" w:footer="1014" w:top="1300" w:bottom="1200" w:left="940" w:right="1000"/>
        </w:sectPr>
      </w:pPr>
    </w:p>
    <w:p>
      <w:pPr>
        <w:spacing w:line="276" w:lineRule="auto" w:before="122"/>
        <w:ind w:left="1940" w:right="2260" w:firstLine="0"/>
        <w:jc w:val="both"/>
        <w:rPr>
          <w:b/>
          <w:sz w:val="21"/>
        </w:rPr>
      </w:pPr>
      <w:r>
        <w:rPr>
          <w:b/>
          <w:sz w:val="21"/>
        </w:rPr>
        <w:t>personality to a purely imaginary being, and yet attain </w:t>
      </w:r>
      <w:r>
        <w:rPr>
          <w:b/>
          <w:spacing w:val="-2"/>
          <w:sz w:val="21"/>
        </w:rPr>
        <w:t>the </w:t>
      </w:r>
      <w:r>
        <w:rPr>
          <w:b/>
          <w:sz w:val="21"/>
        </w:rPr>
        <w:t>ends for which this fictitious extension of personality is devised. Personification, however, conduces so greatly to simplicity of thought and speech, that its aid is invariably accepted. The thing personified may be termed the </w:t>
      </w:r>
      <w:r>
        <w:rPr>
          <w:b/>
          <w:i/>
          <w:sz w:val="21"/>
        </w:rPr>
        <w:t>corpus </w:t>
      </w:r>
      <w:r>
        <w:rPr>
          <w:b/>
          <w:sz w:val="21"/>
        </w:rPr>
        <w:t>of the legal person so created; it is the body into which the law infuses the </w:t>
      </w:r>
      <w:r>
        <w:rPr>
          <w:b/>
          <w:i/>
          <w:sz w:val="21"/>
        </w:rPr>
        <w:t>animus </w:t>
      </w:r>
      <w:r>
        <w:rPr>
          <w:b/>
          <w:sz w:val="21"/>
        </w:rPr>
        <w:t>of a fictitious personality.</w:t>
      </w:r>
    </w:p>
    <w:p>
      <w:pPr>
        <w:spacing w:before="1"/>
        <w:ind w:left="1940" w:right="0" w:firstLine="0"/>
        <w:jc w:val="left"/>
        <w:rPr>
          <w:sz w:val="21"/>
        </w:rPr>
      </w:pPr>
      <w:r>
        <w:rPr>
          <w:w w:val="100"/>
          <w:sz w:val="21"/>
        </w:rPr>
        <w:t>…</w:t>
      </w:r>
    </w:p>
    <w:p>
      <w:pPr>
        <w:spacing w:line="276" w:lineRule="auto" w:before="35"/>
        <w:ind w:left="1940" w:right="2260" w:firstLine="0"/>
        <w:jc w:val="both"/>
        <w:rPr>
          <w:sz w:val="21"/>
        </w:rPr>
      </w:pPr>
      <w:r>
        <w:rPr>
          <w:sz w:val="21"/>
        </w:rPr>
        <w:t>Legal persons, being the arbitrary creations of the law, may be as of as many kinds as the law pleases. Those which are actually recognised by our own system, however, all fall  within a single class, namely corporations or bodies corporate. A corporation is a group or series of persons which by a legal fiction is regarded and treated as itself a person. </w:t>
      </w:r>
      <w:r>
        <w:rPr>
          <w:b/>
          <w:sz w:val="21"/>
        </w:rPr>
        <w:t>If, however, we take account of other systems of our own, we find that the conception of legal personality is not so limited in its</w:t>
      </w:r>
      <w:r>
        <w:rPr>
          <w:b/>
          <w:spacing w:val="-4"/>
          <w:sz w:val="21"/>
        </w:rPr>
        <w:t> </w:t>
      </w:r>
      <w:r>
        <w:rPr>
          <w:b/>
          <w:sz w:val="21"/>
        </w:rPr>
        <w:t>application…</w:t>
      </w:r>
      <w:r>
        <w:rPr>
          <w:sz w:val="21"/>
        </w:rPr>
        <w:t>‖</w:t>
      </w:r>
      <w:r>
        <w:rPr>
          <w:sz w:val="21"/>
          <w:vertAlign w:val="superscript"/>
        </w:rPr>
        <w:t>42</w:t>
      </w:r>
    </w:p>
    <w:p>
      <w:pPr>
        <w:spacing w:before="2"/>
        <w:ind w:left="5798" w:right="0" w:firstLine="0"/>
        <w:jc w:val="left"/>
        <w:rPr>
          <w:sz w:val="21"/>
        </w:rPr>
      </w:pPr>
      <w:r>
        <w:rPr>
          <w:sz w:val="21"/>
        </w:rPr>
        <w:t>(Emphasis supplied)</w:t>
      </w:r>
    </w:p>
    <w:p>
      <w:pPr>
        <w:pStyle w:val="BodyText"/>
        <w:rPr>
          <w:sz w:val="24"/>
        </w:rPr>
      </w:pPr>
    </w:p>
    <w:p>
      <w:pPr>
        <w:pStyle w:val="BodyText"/>
        <w:spacing w:before="2"/>
        <w:rPr>
          <w:sz w:val="29"/>
        </w:rPr>
      </w:pPr>
    </w:p>
    <w:p>
      <w:pPr>
        <w:pStyle w:val="BodyText"/>
        <w:spacing w:line="480" w:lineRule="auto"/>
        <w:ind w:left="500" w:right="441"/>
        <w:jc w:val="both"/>
      </w:pPr>
      <w:r>
        <w:rPr/>
        <w:t>Legal personality is not human nature. Legal personality constitutes recognition by the law of an object or corpus as an embodiment of certain rights and duties. Rights and duties which are ordinarily conferred on natural persons are in select situations, conferred on inanimate objects or collectives, leading to the creation of an artificial legal person. An artificial legal person is a legal person to the extent the law recognises the rights and duties ascribed to them, whether by statute or by judicial interpretation. Salmond presciently notes that the rights and duties conferred on artificial legal persons ultimately represent the interests and benefits of natural persons. In fact, it is precisely because of the substantial benefits derived by natural persons from such objects or collectives that legislators and courts are called upon to consider conferring legal personality on such objects or collectives.</w:t>
      </w:r>
    </w:p>
    <w:p>
      <w:pPr>
        <w:pStyle w:val="BodyText"/>
        <w:rPr>
          <w:sz w:val="20"/>
        </w:rPr>
      </w:pPr>
    </w:p>
    <w:p>
      <w:pPr>
        <w:pStyle w:val="BodyText"/>
        <w:rPr>
          <w:sz w:val="20"/>
        </w:rPr>
      </w:pPr>
    </w:p>
    <w:p>
      <w:pPr>
        <w:pStyle w:val="BodyText"/>
        <w:rPr>
          <w:sz w:val="20"/>
        </w:rPr>
      </w:pPr>
    </w:p>
    <w:p>
      <w:pPr>
        <w:pStyle w:val="BodyText"/>
        <w:spacing w:before="6"/>
        <w:rPr>
          <w:sz w:val="13"/>
        </w:rPr>
      </w:pPr>
      <w:r>
        <w:rPr/>
        <w:pict>
          <v:rect style="position:absolute;margin-left:72.024002pt;margin-top:9.74408pt;width:144.020pt;height:.599980pt;mso-position-horizontal-relative:page;mso-position-vertical-relative:paragraph;z-index:-1571276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42</w:t>
      </w:r>
      <w:r>
        <w:rPr>
          <w:sz w:val="18"/>
          <w:vertAlign w:val="baseline"/>
        </w:rPr>
        <w:t> J.W. Salmond, Jurisprudence, Steven and Haynes (1913)</w:t>
      </w:r>
    </w:p>
    <w:p>
      <w:pPr>
        <w:spacing w:after="0"/>
        <w:jc w:val="left"/>
        <w:rPr>
          <w:sz w:val="18"/>
        </w:rPr>
        <w:sectPr>
          <w:headerReference w:type="default" r:id="rId50"/>
          <w:footerReference w:type="default" r:id="rId51"/>
          <w:pgSz w:w="11910" w:h="16840"/>
          <w:pgMar w:header="721" w:footer="1014" w:top="1300" w:bottom="1200" w:left="940" w:right="1000"/>
          <w:pgNumType w:start="130"/>
        </w:sectPr>
      </w:pPr>
    </w:p>
    <w:p>
      <w:pPr>
        <w:pStyle w:val="ListParagraph"/>
        <w:numPr>
          <w:ilvl w:val="0"/>
          <w:numId w:val="3"/>
        </w:numPr>
        <w:tabs>
          <w:tab w:pos="1221" w:val="left" w:leader="none"/>
        </w:tabs>
        <w:spacing w:line="480" w:lineRule="auto" w:before="124" w:after="0"/>
        <w:ind w:left="500" w:right="437" w:firstLine="0"/>
        <w:jc w:val="both"/>
        <w:rPr>
          <w:sz w:val="25"/>
        </w:rPr>
      </w:pPr>
      <w:r>
        <w:rPr>
          <w:sz w:val="25"/>
        </w:rPr>
        <w:t>At a purely theoretical level, there is no restriction on </w:t>
      </w:r>
      <w:r>
        <w:rPr>
          <w:i/>
          <w:sz w:val="25"/>
        </w:rPr>
        <w:t>what </w:t>
      </w:r>
      <w:r>
        <w:rPr>
          <w:sz w:val="25"/>
        </w:rPr>
        <w:t>legal personality may be conferred. What is of significance is the purpose sought to be achieved by conferring legal personality. To the extent that this purpose is achieved, legal personality may even be conferred on an abstract idea.  However,  Salmond notes that legal personality is usually conferred on objects which are already the subject of personification or anthropomorphisms in layman‘s language out</w:t>
      </w:r>
      <w:r>
        <w:rPr>
          <w:spacing w:val="-18"/>
          <w:sz w:val="25"/>
        </w:rPr>
        <w:t> </w:t>
      </w:r>
      <w:r>
        <w:rPr>
          <w:sz w:val="25"/>
        </w:rPr>
        <w:t>of</w:t>
      </w:r>
    </w:p>
    <w:p>
      <w:pPr>
        <w:pStyle w:val="BodyText"/>
        <w:spacing w:line="480" w:lineRule="auto"/>
        <w:ind w:left="500" w:right="437"/>
        <w:jc w:val="both"/>
      </w:pPr>
      <w:r>
        <w:rPr>
          <w:w w:val="33"/>
        </w:rPr>
        <w:t>―</w:t>
      </w:r>
      <w:r>
        <w:rPr>
          <w:w w:val="99"/>
        </w:rPr>
        <w:t>simp</w:t>
      </w:r>
      <w:r>
        <w:rPr>
          <w:spacing w:val="-1"/>
          <w:w w:val="99"/>
        </w:rPr>
        <w:t>licit</w:t>
      </w:r>
      <w:r>
        <w:rPr>
          <w:w w:val="99"/>
        </w:rPr>
        <w:t>y</w:t>
      </w:r>
      <w:r>
        <w:rPr/>
        <w:t> </w:t>
      </w:r>
      <w:r>
        <w:rPr>
          <w:spacing w:val="-30"/>
        </w:rPr>
        <w:t> </w:t>
      </w:r>
      <w:r>
        <w:rPr>
          <w:w w:val="99"/>
        </w:rPr>
        <w:t>for</w:t>
      </w:r>
      <w:r>
        <w:rPr/>
        <w:t> </w:t>
      </w:r>
      <w:r>
        <w:rPr>
          <w:spacing w:val="-26"/>
        </w:rPr>
        <w:t> </w:t>
      </w:r>
      <w:r>
        <w:rPr>
          <w:w w:val="99"/>
        </w:rPr>
        <w:t>tho</w:t>
      </w:r>
      <w:r>
        <w:rPr>
          <w:spacing w:val="-1"/>
          <w:w w:val="99"/>
        </w:rPr>
        <w:t>u</w:t>
      </w:r>
      <w:r>
        <w:rPr>
          <w:w w:val="99"/>
        </w:rPr>
        <w:t>g</w:t>
      </w:r>
      <w:r>
        <w:rPr>
          <w:spacing w:val="-1"/>
          <w:w w:val="99"/>
        </w:rPr>
        <w:t>h</w:t>
      </w:r>
      <w:r>
        <w:rPr>
          <w:w w:val="99"/>
        </w:rPr>
        <w:t>t</w:t>
      </w:r>
      <w:r>
        <w:rPr/>
        <w:t> </w:t>
      </w:r>
      <w:r>
        <w:rPr>
          <w:spacing w:val="-24"/>
        </w:rPr>
        <w:t> </w:t>
      </w:r>
      <w:r>
        <w:rPr>
          <w:spacing w:val="-1"/>
          <w:w w:val="99"/>
        </w:rPr>
        <w:t>a</w:t>
      </w:r>
      <w:r>
        <w:rPr>
          <w:w w:val="99"/>
        </w:rPr>
        <w:t>nd</w:t>
      </w:r>
      <w:r>
        <w:rPr/>
        <w:t> </w:t>
      </w:r>
      <w:r>
        <w:rPr>
          <w:spacing w:val="-26"/>
        </w:rPr>
        <w:t> </w:t>
      </w:r>
      <w:r>
        <w:rPr>
          <w:w w:val="99"/>
        </w:rPr>
        <w:t>spe</w:t>
      </w:r>
      <w:r>
        <w:rPr>
          <w:spacing w:val="-1"/>
          <w:w w:val="99"/>
        </w:rPr>
        <w:t>ec</w:t>
      </w:r>
      <w:r>
        <w:rPr>
          <w:w w:val="99"/>
        </w:rPr>
        <w:t>h</w:t>
      </w:r>
      <w:r>
        <w:rPr>
          <w:w w:val="80"/>
        </w:rPr>
        <w:t>‖</w:t>
      </w:r>
      <w:r>
        <w:rPr>
          <w:w w:val="99"/>
        </w:rPr>
        <w:t>.</w:t>
      </w:r>
      <w:r>
        <w:rPr/>
        <w:t>  </w:t>
      </w:r>
      <w:r>
        <w:rPr>
          <w:spacing w:val="17"/>
        </w:rPr>
        <w:t> </w:t>
      </w:r>
      <w:r>
        <w:rPr>
          <w:w w:val="99"/>
        </w:rPr>
        <w:t>T</w:t>
      </w:r>
      <w:r>
        <w:rPr>
          <w:spacing w:val="-1"/>
          <w:w w:val="99"/>
        </w:rPr>
        <w:t>h</w:t>
      </w:r>
      <w:r>
        <w:rPr>
          <w:w w:val="99"/>
        </w:rPr>
        <w:t>e</w:t>
      </w:r>
      <w:r>
        <w:rPr/>
        <w:t> </w:t>
      </w:r>
      <w:r>
        <w:rPr>
          <w:spacing w:val="-29"/>
        </w:rPr>
        <w:t> </w:t>
      </w:r>
      <w:r>
        <w:rPr>
          <w:spacing w:val="-1"/>
          <w:w w:val="99"/>
        </w:rPr>
        <w:t>q</w:t>
      </w:r>
      <w:r>
        <w:rPr>
          <w:w w:val="99"/>
        </w:rPr>
        <w:t>u</w:t>
      </w:r>
      <w:r>
        <w:rPr>
          <w:spacing w:val="-1"/>
          <w:w w:val="99"/>
        </w:rPr>
        <w:t>esti</w:t>
      </w:r>
      <w:r>
        <w:rPr>
          <w:w w:val="99"/>
        </w:rPr>
        <w:t>on</w:t>
      </w:r>
      <w:r>
        <w:rPr/>
        <w:t> </w:t>
      </w:r>
      <w:r>
        <w:rPr>
          <w:spacing w:val="-26"/>
        </w:rPr>
        <w:t> </w:t>
      </w:r>
      <w:r>
        <w:rPr>
          <w:spacing w:val="-1"/>
          <w:w w:val="99"/>
        </w:rPr>
        <w:t>whe</w:t>
      </w:r>
      <w:r>
        <w:rPr>
          <w:w w:val="99"/>
        </w:rPr>
        <w:t>t</w:t>
      </w:r>
      <w:r>
        <w:rPr>
          <w:spacing w:val="-1"/>
          <w:w w:val="99"/>
        </w:rPr>
        <w:t>h</w:t>
      </w:r>
      <w:r>
        <w:rPr>
          <w:w w:val="99"/>
        </w:rPr>
        <w:t>er</w:t>
      </w:r>
      <w:r>
        <w:rPr/>
        <w:t> </w:t>
      </w:r>
      <w:r>
        <w:rPr>
          <w:spacing w:val="-26"/>
        </w:rPr>
        <w:t> </w:t>
      </w:r>
      <w:r>
        <w:rPr>
          <w:spacing w:val="-1"/>
          <w:w w:val="99"/>
        </w:rPr>
        <w:t>leg</w:t>
      </w:r>
      <w:r>
        <w:rPr>
          <w:w w:val="99"/>
        </w:rPr>
        <w:t>al</w:t>
      </w:r>
      <w:r>
        <w:rPr/>
        <w:t> </w:t>
      </w:r>
      <w:r>
        <w:rPr>
          <w:spacing w:val="-27"/>
        </w:rPr>
        <w:t> </w:t>
      </w:r>
      <w:r>
        <w:rPr>
          <w:spacing w:val="-1"/>
          <w:w w:val="99"/>
        </w:rPr>
        <w:t>p</w:t>
      </w:r>
      <w:r>
        <w:rPr>
          <w:w w:val="99"/>
        </w:rPr>
        <w:t>erson</w:t>
      </w:r>
      <w:r>
        <w:rPr>
          <w:spacing w:val="-1"/>
          <w:w w:val="99"/>
        </w:rPr>
        <w:t>alit</w:t>
      </w:r>
      <w:r>
        <w:rPr>
          <w:w w:val="99"/>
        </w:rPr>
        <w:t>y</w:t>
      </w:r>
      <w:r>
        <w:rPr/>
        <w:t> </w:t>
      </w:r>
      <w:r>
        <w:rPr>
          <w:spacing w:val="-29"/>
        </w:rPr>
        <w:t> </w:t>
      </w:r>
      <w:r>
        <w:rPr>
          <w:spacing w:val="-1"/>
          <w:w w:val="99"/>
        </w:rPr>
        <w:t>is </w:t>
      </w:r>
      <w:r>
        <w:rPr/>
        <w:t>conferred on a ship, idol, or tree is a matter of what is legally expedient and the object chosen does not determine the character of the legal personality conferred. The character of the legal personality conferred is determined by the purpose sought to be achieved by conferring legal personality. There is thus a distinction between legal personality and the physical </w:t>
      </w:r>
      <w:r>
        <w:rPr>
          <w:i/>
        </w:rPr>
        <w:t>corpus </w:t>
      </w:r>
      <w:r>
        <w:rPr/>
        <w:t>which then comes to represent the legal personality. By the act of conferring legal personality, the </w:t>
      </w:r>
      <w:r>
        <w:rPr>
          <w:i/>
        </w:rPr>
        <w:t>corpus </w:t>
      </w:r>
      <w:r>
        <w:rPr/>
        <w:t>is animated in law as embodying a distinct legal person possessing certain rights and</w:t>
      </w:r>
      <w:r>
        <w:rPr>
          <w:spacing w:val="-3"/>
        </w:rPr>
        <w:t> </w:t>
      </w:r>
      <w:r>
        <w:rPr/>
        <w:t>duties.</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1" w:after="0"/>
        <w:ind w:left="500" w:right="434" w:firstLine="0"/>
        <w:jc w:val="both"/>
        <w:rPr>
          <w:sz w:val="25"/>
        </w:rPr>
      </w:pPr>
      <w:r>
        <w:rPr>
          <w:sz w:val="25"/>
        </w:rPr>
        <w:t>By conferring legal personality, legal systems have expanded the definition of a ‗legal person‘ beyond natural persons. Juristic persons so created do not possess human nature. But their legal personality consists of the rights and duties ascribed to them by statute or by the courts to achieve the purpose sought to be achieved by the conferral of such personality. It is important to understand the circumstances in which legal personality has been conferred and consequently the rights and duties ascribed to the inanimate objects on which  this conferment takes</w:t>
      </w:r>
      <w:r>
        <w:rPr>
          <w:spacing w:val="-5"/>
          <w:sz w:val="25"/>
        </w:rPr>
        <w:t> </w:t>
      </w:r>
      <w:r>
        <w:rPr>
          <w:sz w:val="25"/>
        </w:rPr>
        <w:t>place.</w:t>
      </w:r>
    </w:p>
    <w:p>
      <w:pPr>
        <w:spacing w:after="0" w:line="480" w:lineRule="auto"/>
        <w:jc w:val="both"/>
        <w:rPr>
          <w:sz w:val="25"/>
        </w:rPr>
        <w:sectPr>
          <w:pgSz w:w="11910" w:h="16840"/>
          <w:pgMar w:header="721" w:footer="1014" w:top="1300" w:bottom="1200" w:left="940" w:right="1000"/>
        </w:sectPr>
      </w:pPr>
    </w:p>
    <w:p>
      <w:pPr>
        <w:pStyle w:val="Heading4"/>
        <w:spacing w:before="126"/>
        <w:jc w:val="left"/>
        <w:rPr>
          <w:i/>
        </w:rPr>
      </w:pPr>
      <w:r>
        <w:rPr>
          <w:i/>
        </w:rPr>
        <w:t>The Corporation</w:t>
      </w:r>
    </w:p>
    <w:p>
      <w:pPr>
        <w:pStyle w:val="BodyText"/>
        <w:rPr>
          <w:i/>
          <w:sz w:val="28"/>
        </w:rPr>
      </w:pPr>
    </w:p>
    <w:p>
      <w:pPr>
        <w:pStyle w:val="BodyText"/>
        <w:rPr>
          <w:i/>
          <w:sz w:val="28"/>
        </w:rPr>
      </w:pPr>
    </w:p>
    <w:p>
      <w:pPr>
        <w:pStyle w:val="ListParagraph"/>
        <w:numPr>
          <w:ilvl w:val="0"/>
          <w:numId w:val="3"/>
        </w:numPr>
        <w:tabs>
          <w:tab w:pos="1221" w:val="left" w:leader="none"/>
        </w:tabs>
        <w:spacing w:line="480" w:lineRule="auto" w:before="216" w:after="0"/>
        <w:ind w:left="500" w:right="436" w:firstLine="0"/>
        <w:jc w:val="both"/>
        <w:rPr>
          <w:sz w:val="25"/>
        </w:rPr>
      </w:pPr>
      <w:r>
        <w:rPr>
          <w:sz w:val="25"/>
        </w:rPr>
        <w:t>The most widely recognised artificial legal person is the corporation in Company law. However, for the purposes of understanding the circumstances under which courts have conferred legal personality, the example of the corporation is of limited use. The idea of treating a collective of individuals as a single unit for the purposes of identification in law is as old as human civilisation itself. There exists a plethora of examples of such recognition scattered across human history with the advent of guilds, partnerships and early unincorporated </w:t>
      </w:r>
      <w:r>
        <w:rPr>
          <w:spacing w:val="-1"/>
          <w:w w:val="99"/>
          <w:sz w:val="25"/>
        </w:rPr>
        <w:t>b</w:t>
      </w:r>
      <w:r>
        <w:rPr>
          <w:w w:val="99"/>
          <w:sz w:val="25"/>
        </w:rPr>
        <w:t>usinesses.</w:t>
      </w:r>
      <w:r>
        <w:rPr>
          <w:sz w:val="25"/>
        </w:rPr>
        <w:t> </w:t>
      </w:r>
      <w:r>
        <w:rPr>
          <w:spacing w:val="2"/>
          <w:sz w:val="25"/>
        </w:rPr>
        <w:t> </w:t>
      </w:r>
      <w:r>
        <w:rPr>
          <w:spacing w:val="-1"/>
          <w:w w:val="99"/>
          <w:sz w:val="25"/>
        </w:rPr>
        <w:t>A</w:t>
      </w:r>
      <w:r>
        <w:rPr>
          <w:w w:val="99"/>
          <w:sz w:val="25"/>
        </w:rPr>
        <w:t>s</w:t>
      </w:r>
      <w:r>
        <w:rPr>
          <w:sz w:val="25"/>
        </w:rPr>
        <w:t> </w:t>
      </w:r>
      <w:r>
        <w:rPr>
          <w:spacing w:val="2"/>
          <w:sz w:val="25"/>
        </w:rPr>
        <w:t> </w:t>
      </w:r>
      <w:r>
        <w:rPr>
          <w:spacing w:val="-1"/>
          <w:w w:val="99"/>
          <w:sz w:val="25"/>
        </w:rPr>
        <w:t>Phill</w:t>
      </w:r>
      <w:r>
        <w:rPr>
          <w:spacing w:val="1"/>
          <w:w w:val="99"/>
          <w:sz w:val="25"/>
        </w:rPr>
        <w:t>i</w:t>
      </w:r>
      <w:r>
        <w:rPr>
          <w:w w:val="99"/>
          <w:sz w:val="25"/>
        </w:rPr>
        <w:t>p</w:t>
      </w:r>
      <w:r>
        <w:rPr>
          <w:sz w:val="25"/>
        </w:rPr>
        <w:t> </w:t>
      </w:r>
      <w:r>
        <w:rPr>
          <w:spacing w:val="2"/>
          <w:sz w:val="25"/>
        </w:rPr>
        <w:t> </w:t>
      </w:r>
      <w:r>
        <w:rPr>
          <w:spacing w:val="-1"/>
          <w:w w:val="99"/>
          <w:sz w:val="25"/>
        </w:rPr>
        <w:t>Blu</w:t>
      </w:r>
      <w:r>
        <w:rPr>
          <w:w w:val="99"/>
          <w:sz w:val="25"/>
        </w:rPr>
        <w:t>m</w:t>
      </w:r>
      <w:r>
        <w:rPr>
          <w:spacing w:val="-1"/>
          <w:w w:val="99"/>
          <w:sz w:val="25"/>
        </w:rPr>
        <w:t>b</w:t>
      </w:r>
      <w:r>
        <w:rPr>
          <w:w w:val="99"/>
          <w:sz w:val="25"/>
        </w:rPr>
        <w:t>erg</w:t>
      </w:r>
      <w:r>
        <w:rPr>
          <w:sz w:val="25"/>
        </w:rPr>
        <w:t> </w:t>
      </w:r>
      <w:r>
        <w:rPr>
          <w:spacing w:val="2"/>
          <w:sz w:val="25"/>
        </w:rPr>
        <w:t> </w:t>
      </w:r>
      <w:r>
        <w:rPr>
          <w:spacing w:val="-1"/>
          <w:w w:val="99"/>
          <w:sz w:val="25"/>
        </w:rPr>
        <w:t>n</w:t>
      </w:r>
      <w:r>
        <w:rPr>
          <w:w w:val="99"/>
          <w:sz w:val="25"/>
        </w:rPr>
        <w:t>otes</w:t>
      </w:r>
      <w:r>
        <w:rPr>
          <w:sz w:val="25"/>
        </w:rPr>
        <w:t> </w:t>
      </w:r>
      <w:r>
        <w:rPr>
          <w:spacing w:val="3"/>
          <w:sz w:val="25"/>
        </w:rPr>
        <w:t> </w:t>
      </w:r>
      <w:r>
        <w:rPr>
          <w:spacing w:val="-1"/>
          <w:w w:val="99"/>
          <w:sz w:val="25"/>
        </w:rPr>
        <w:t>i</w:t>
      </w:r>
      <w:r>
        <w:rPr>
          <w:w w:val="99"/>
          <w:sz w:val="25"/>
        </w:rPr>
        <w:t>n</w:t>
      </w:r>
      <w:r>
        <w:rPr>
          <w:sz w:val="25"/>
        </w:rPr>
        <w:t>  </w:t>
      </w:r>
      <w:r>
        <w:rPr>
          <w:spacing w:val="-1"/>
          <w:w w:val="99"/>
          <w:sz w:val="25"/>
        </w:rPr>
        <w:t>hi</w:t>
      </w:r>
      <w:r>
        <w:rPr>
          <w:w w:val="99"/>
          <w:sz w:val="25"/>
        </w:rPr>
        <w:t>s</w:t>
      </w:r>
      <w:r>
        <w:rPr>
          <w:sz w:val="25"/>
        </w:rPr>
        <w:t> </w:t>
      </w:r>
      <w:r>
        <w:rPr>
          <w:spacing w:val="2"/>
          <w:sz w:val="25"/>
        </w:rPr>
        <w:t> </w:t>
      </w:r>
      <w:r>
        <w:rPr>
          <w:spacing w:val="-1"/>
          <w:w w:val="99"/>
          <w:sz w:val="25"/>
        </w:rPr>
        <w:t>b</w:t>
      </w:r>
      <w:r>
        <w:rPr>
          <w:w w:val="99"/>
          <w:sz w:val="25"/>
        </w:rPr>
        <w:t>o</w:t>
      </w:r>
      <w:r>
        <w:rPr>
          <w:spacing w:val="-1"/>
          <w:w w:val="99"/>
          <w:sz w:val="25"/>
        </w:rPr>
        <w:t>o</w:t>
      </w:r>
      <w:r>
        <w:rPr>
          <w:w w:val="99"/>
          <w:sz w:val="25"/>
        </w:rPr>
        <w:t>k</w:t>
      </w:r>
      <w:r>
        <w:rPr>
          <w:sz w:val="25"/>
        </w:rPr>
        <w:t> </w:t>
      </w:r>
      <w:r>
        <w:rPr>
          <w:spacing w:val="2"/>
          <w:sz w:val="25"/>
        </w:rPr>
        <w:t> </w:t>
      </w:r>
      <w:r>
        <w:rPr>
          <w:w w:val="99"/>
          <w:sz w:val="25"/>
        </w:rPr>
        <w:t>titled</w:t>
      </w:r>
      <w:r>
        <w:rPr>
          <w:sz w:val="25"/>
        </w:rPr>
        <w:t> </w:t>
      </w:r>
      <w:r>
        <w:rPr>
          <w:spacing w:val="2"/>
          <w:sz w:val="25"/>
        </w:rPr>
        <w:t> </w:t>
      </w:r>
      <w:r>
        <w:rPr>
          <w:spacing w:val="7"/>
          <w:w w:val="33"/>
          <w:sz w:val="25"/>
        </w:rPr>
        <w:t>―</w:t>
      </w:r>
      <w:r>
        <w:rPr>
          <w:b/>
          <w:spacing w:val="-2"/>
          <w:w w:val="99"/>
          <w:sz w:val="25"/>
        </w:rPr>
        <w:t>Th</w:t>
      </w:r>
      <w:r>
        <w:rPr>
          <w:b/>
          <w:w w:val="99"/>
          <w:sz w:val="25"/>
        </w:rPr>
        <w:t>e</w:t>
      </w:r>
      <w:r>
        <w:rPr>
          <w:b/>
          <w:sz w:val="25"/>
        </w:rPr>
        <w:t> </w:t>
      </w:r>
      <w:r>
        <w:rPr>
          <w:b/>
          <w:spacing w:val="2"/>
          <w:sz w:val="25"/>
        </w:rPr>
        <w:t> </w:t>
      </w:r>
      <w:r>
        <w:rPr>
          <w:b/>
          <w:w w:val="99"/>
          <w:sz w:val="25"/>
        </w:rPr>
        <w:t>Mult</w:t>
      </w:r>
      <w:r>
        <w:rPr>
          <w:b/>
          <w:spacing w:val="-3"/>
          <w:w w:val="99"/>
          <w:sz w:val="25"/>
        </w:rPr>
        <w:t>i</w:t>
      </w:r>
      <w:r>
        <w:rPr>
          <w:b/>
          <w:w w:val="99"/>
          <w:sz w:val="25"/>
        </w:rPr>
        <w:t>n</w:t>
      </w:r>
      <w:r>
        <w:rPr>
          <w:b/>
          <w:w w:val="99"/>
          <w:sz w:val="25"/>
        </w:rPr>
        <w:t>a</w:t>
      </w:r>
      <w:r>
        <w:rPr>
          <w:b/>
          <w:spacing w:val="1"/>
          <w:w w:val="99"/>
          <w:sz w:val="25"/>
        </w:rPr>
        <w:t>t</w:t>
      </w:r>
      <w:r>
        <w:rPr>
          <w:b/>
          <w:w w:val="99"/>
          <w:sz w:val="25"/>
        </w:rPr>
        <w:t>i</w:t>
      </w:r>
      <w:r>
        <w:rPr>
          <w:b/>
          <w:spacing w:val="-1"/>
          <w:w w:val="99"/>
          <w:sz w:val="25"/>
        </w:rPr>
        <w:t>o</w:t>
      </w:r>
      <w:r>
        <w:rPr>
          <w:b/>
          <w:w w:val="99"/>
          <w:sz w:val="25"/>
        </w:rPr>
        <w:t>n</w:t>
      </w:r>
      <w:r>
        <w:rPr>
          <w:b/>
          <w:w w:val="99"/>
          <w:sz w:val="25"/>
        </w:rPr>
        <w:t>al </w:t>
      </w:r>
      <w:r>
        <w:rPr>
          <w:b/>
          <w:sz w:val="25"/>
        </w:rPr>
        <w:t>Challenge to Corporation</w:t>
      </w:r>
      <w:r>
        <w:rPr>
          <w:b/>
          <w:spacing w:val="-5"/>
          <w:sz w:val="25"/>
        </w:rPr>
        <w:t> </w:t>
      </w:r>
      <w:r>
        <w:rPr>
          <w:b/>
          <w:sz w:val="25"/>
        </w:rPr>
        <w:t>Law</w:t>
      </w:r>
      <w:r>
        <w:rPr>
          <w:i/>
          <w:sz w:val="25"/>
        </w:rPr>
        <w:t>‖</w:t>
      </w:r>
      <w:r>
        <w:rPr>
          <w:sz w:val="25"/>
        </w:rPr>
        <w:t>:</w:t>
      </w:r>
    </w:p>
    <w:p>
      <w:pPr>
        <w:spacing w:line="276" w:lineRule="auto" w:before="0"/>
        <w:ind w:left="1940" w:right="2261"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w:t>
      </w:r>
      <w:r>
        <w:rPr>
          <w:w w:val="100"/>
          <w:sz w:val="21"/>
        </w:rPr>
        <w:t>n</w:t>
      </w:r>
      <w:r>
        <w:rPr>
          <w:sz w:val="21"/>
        </w:rPr>
        <w:t> </w:t>
      </w:r>
      <w:r>
        <w:rPr>
          <w:spacing w:val="-9"/>
          <w:sz w:val="21"/>
        </w:rPr>
        <w:t> </w:t>
      </w:r>
      <w:r>
        <w:rPr>
          <w:spacing w:val="-2"/>
          <w:w w:val="100"/>
          <w:sz w:val="21"/>
        </w:rPr>
        <w:t>t</w:t>
      </w:r>
      <w:r>
        <w:rPr>
          <w:spacing w:val="-1"/>
          <w:w w:val="100"/>
          <w:sz w:val="21"/>
        </w:rPr>
        <w:t>h</w:t>
      </w:r>
      <w:r>
        <w:rPr>
          <w:w w:val="100"/>
          <w:sz w:val="21"/>
        </w:rPr>
        <w:t>e</w:t>
      </w:r>
      <w:r>
        <w:rPr>
          <w:sz w:val="21"/>
        </w:rPr>
        <w:t> </w:t>
      </w:r>
      <w:r>
        <w:rPr>
          <w:spacing w:val="-9"/>
          <w:sz w:val="21"/>
        </w:rPr>
        <w:t> </w:t>
      </w:r>
      <w:r>
        <w:rPr>
          <w:w w:val="100"/>
          <w:sz w:val="21"/>
        </w:rPr>
        <w:t>C</w:t>
      </w:r>
      <w:r>
        <w:rPr>
          <w:spacing w:val="-1"/>
          <w:w w:val="100"/>
          <w:sz w:val="21"/>
        </w:rPr>
        <w:t>ro</w:t>
      </w:r>
      <w:r>
        <w:rPr>
          <w:spacing w:val="-2"/>
          <w:w w:val="100"/>
          <w:sz w:val="21"/>
        </w:rPr>
        <w:t>w</w:t>
      </w:r>
      <w:r>
        <w:rPr>
          <w:w w:val="100"/>
          <w:sz w:val="21"/>
        </w:rPr>
        <w:t>n</w:t>
      </w:r>
      <w:r>
        <w:rPr>
          <w:sz w:val="21"/>
        </w:rPr>
        <w:t> </w:t>
      </w:r>
      <w:r>
        <w:rPr>
          <w:spacing w:val="-12"/>
          <w:sz w:val="21"/>
        </w:rPr>
        <w:t> </w:t>
      </w:r>
      <w:r>
        <w:rPr>
          <w:spacing w:val="1"/>
          <w:w w:val="100"/>
          <w:sz w:val="21"/>
        </w:rPr>
        <w:t>f</w:t>
      </w:r>
      <w:r>
        <w:rPr>
          <w:w w:val="100"/>
          <w:sz w:val="21"/>
        </w:rPr>
        <w:t>i</w:t>
      </w:r>
      <w:r>
        <w:rPr>
          <w:spacing w:val="-3"/>
          <w:w w:val="100"/>
          <w:sz w:val="21"/>
        </w:rPr>
        <w:t>n</w:t>
      </w:r>
      <w:r>
        <w:rPr>
          <w:spacing w:val="-1"/>
          <w:w w:val="100"/>
          <w:sz w:val="21"/>
        </w:rPr>
        <w:t>a</w:t>
      </w:r>
      <w:r>
        <w:rPr>
          <w:spacing w:val="-2"/>
          <w:w w:val="100"/>
          <w:sz w:val="21"/>
        </w:rPr>
        <w:t>l</w:t>
      </w:r>
      <w:r>
        <w:rPr>
          <w:w w:val="100"/>
          <w:sz w:val="21"/>
        </w:rPr>
        <w:t>ly</w:t>
      </w:r>
      <w:r>
        <w:rPr>
          <w:sz w:val="21"/>
        </w:rPr>
        <w:t> </w:t>
      </w:r>
      <w:r>
        <w:rPr>
          <w:spacing w:val="-9"/>
          <w:sz w:val="21"/>
        </w:rPr>
        <w:t> </w:t>
      </w:r>
      <w:r>
        <w:rPr>
          <w:spacing w:val="-1"/>
          <w:w w:val="100"/>
          <w:sz w:val="21"/>
        </w:rPr>
        <w:t>be</w:t>
      </w:r>
      <w:r>
        <w:rPr>
          <w:spacing w:val="-2"/>
          <w:w w:val="100"/>
          <w:sz w:val="21"/>
        </w:rPr>
        <w:t>g</w:t>
      </w:r>
      <w:r>
        <w:rPr>
          <w:spacing w:val="-1"/>
          <w:w w:val="100"/>
          <w:sz w:val="21"/>
        </w:rPr>
        <w:t>a</w:t>
      </w:r>
      <w:r>
        <w:rPr>
          <w:w w:val="100"/>
          <w:sz w:val="21"/>
        </w:rPr>
        <w:t>n</w:t>
      </w:r>
      <w:r>
        <w:rPr>
          <w:sz w:val="21"/>
        </w:rPr>
        <w:t> </w:t>
      </w:r>
      <w:r>
        <w:rPr>
          <w:spacing w:val="-7"/>
          <w:sz w:val="21"/>
        </w:rPr>
        <w:t> </w:t>
      </w:r>
      <w:r>
        <w:rPr>
          <w:spacing w:val="-2"/>
          <w:w w:val="100"/>
          <w:sz w:val="21"/>
        </w:rPr>
        <w:t>t</w:t>
      </w:r>
      <w:r>
        <w:rPr>
          <w:w w:val="100"/>
          <w:sz w:val="21"/>
        </w:rPr>
        <w:t>o</w:t>
      </w:r>
      <w:r>
        <w:rPr>
          <w:sz w:val="21"/>
        </w:rPr>
        <w:t> </w:t>
      </w:r>
      <w:r>
        <w:rPr>
          <w:spacing w:val="-9"/>
          <w:sz w:val="21"/>
        </w:rPr>
        <w:t> </w:t>
      </w:r>
      <w:r>
        <w:rPr>
          <w:w w:val="100"/>
          <w:sz w:val="21"/>
        </w:rPr>
        <w:t>c</w:t>
      </w:r>
      <w:r>
        <w:rPr>
          <w:spacing w:val="-3"/>
          <w:w w:val="100"/>
          <w:sz w:val="21"/>
        </w:rPr>
        <w:t>h</w:t>
      </w:r>
      <w:r>
        <w:rPr>
          <w:spacing w:val="-1"/>
          <w:w w:val="100"/>
          <w:sz w:val="21"/>
        </w:rPr>
        <w:t>ar</w:t>
      </w:r>
      <w:r>
        <w:rPr>
          <w:spacing w:val="-2"/>
          <w:w w:val="100"/>
          <w:sz w:val="21"/>
        </w:rPr>
        <w:t>t</w:t>
      </w:r>
      <w:r>
        <w:rPr>
          <w:spacing w:val="-1"/>
          <w:w w:val="100"/>
          <w:sz w:val="21"/>
        </w:rPr>
        <w:t>e</w:t>
      </w:r>
      <w:r>
        <w:rPr>
          <w:w w:val="100"/>
          <w:sz w:val="21"/>
        </w:rPr>
        <w:t>r</w:t>
      </w:r>
      <w:r>
        <w:rPr>
          <w:sz w:val="21"/>
        </w:rPr>
        <w:t> </w:t>
      </w:r>
      <w:r>
        <w:rPr>
          <w:spacing w:val="-8"/>
          <w:sz w:val="21"/>
        </w:rPr>
        <w:t> </w:t>
      </w:r>
      <w:r>
        <w:rPr>
          <w:w w:val="100"/>
          <w:sz w:val="21"/>
        </w:rPr>
        <w:t>c</w:t>
      </w:r>
      <w:r>
        <w:rPr>
          <w:spacing w:val="-1"/>
          <w:w w:val="100"/>
          <w:sz w:val="21"/>
        </w:rPr>
        <w:t>r</w:t>
      </w:r>
      <w:r>
        <w:rPr>
          <w:spacing w:val="-3"/>
          <w:w w:val="100"/>
          <w:sz w:val="21"/>
        </w:rPr>
        <w:t>a</w:t>
      </w:r>
      <w:r>
        <w:rPr>
          <w:spacing w:val="1"/>
          <w:w w:val="100"/>
          <w:sz w:val="21"/>
        </w:rPr>
        <w:t>f</w:t>
      </w:r>
      <w:r>
        <w:rPr>
          <w:w w:val="100"/>
          <w:sz w:val="21"/>
        </w:rPr>
        <w:t>t</w:t>
      </w:r>
      <w:r>
        <w:rPr>
          <w:sz w:val="21"/>
        </w:rPr>
        <w:t> </w:t>
      </w:r>
      <w:r>
        <w:rPr>
          <w:spacing w:val="-10"/>
          <w:sz w:val="21"/>
        </w:rPr>
        <w:t> </w:t>
      </w:r>
      <w:r>
        <w:rPr>
          <w:spacing w:val="-1"/>
          <w:w w:val="100"/>
          <w:sz w:val="21"/>
        </w:rPr>
        <w:t>gui</w:t>
      </w:r>
      <w:r>
        <w:rPr>
          <w:w w:val="100"/>
          <w:sz w:val="21"/>
        </w:rPr>
        <w:t>l</w:t>
      </w:r>
      <w:r>
        <w:rPr>
          <w:spacing w:val="-1"/>
          <w:w w:val="100"/>
          <w:sz w:val="21"/>
        </w:rPr>
        <w:t>d</w:t>
      </w:r>
      <w:r>
        <w:rPr>
          <w:w w:val="100"/>
          <w:sz w:val="21"/>
        </w:rPr>
        <w:t>s</w:t>
      </w:r>
      <w:r>
        <w:rPr>
          <w:sz w:val="21"/>
        </w:rPr>
        <w:t> </w:t>
      </w:r>
      <w:r>
        <w:rPr>
          <w:spacing w:val="-9"/>
          <w:sz w:val="21"/>
        </w:rPr>
        <w:t> </w:t>
      </w:r>
      <w:r>
        <w:rPr>
          <w:spacing w:val="-1"/>
          <w:w w:val="100"/>
          <w:sz w:val="21"/>
        </w:rPr>
        <w:t>a</w:t>
      </w:r>
      <w:r>
        <w:rPr>
          <w:spacing w:val="-3"/>
          <w:w w:val="100"/>
          <w:sz w:val="21"/>
        </w:rPr>
        <w:t>n</w:t>
      </w:r>
      <w:r>
        <w:rPr>
          <w:w w:val="100"/>
          <w:sz w:val="21"/>
        </w:rPr>
        <w:t>d </w:t>
      </w:r>
      <w:r>
        <w:rPr>
          <w:sz w:val="21"/>
        </w:rPr>
        <w:t>trading companies - the first business corporations - </w:t>
      </w:r>
      <w:r>
        <w:rPr>
          <w:b/>
          <w:sz w:val="21"/>
        </w:rPr>
        <w:t>in the fifteenth century, an understanding of the legal nature of the corporation was already substantially in place     </w:t>
      </w:r>
      <w:r>
        <w:rPr>
          <w:b/>
          <w:spacing w:val="4"/>
          <w:sz w:val="21"/>
        </w:rPr>
        <w:t> </w:t>
      </w:r>
      <w:r>
        <w:rPr>
          <w:sz w:val="21"/>
        </w:rPr>
        <w:t>With</w:t>
      </w:r>
    </w:p>
    <w:p>
      <w:pPr>
        <w:spacing w:line="276" w:lineRule="auto" w:before="1"/>
        <w:ind w:left="1940" w:right="2265" w:firstLine="0"/>
        <w:jc w:val="both"/>
        <w:rPr>
          <w:sz w:val="21"/>
        </w:rPr>
      </w:pPr>
      <w:r>
        <w:rPr>
          <w:sz w:val="21"/>
        </w:rPr>
        <w:t>this history before them, Sir Edward Code, writing in the beginning of the seventeenth century;      and Blackstone</w:t>
      </w:r>
      <w:r>
        <w:rPr>
          <w:spacing w:val="46"/>
          <w:sz w:val="21"/>
        </w:rPr>
        <w:t> </w:t>
      </w:r>
      <w:r>
        <w:rPr>
          <w:sz w:val="21"/>
        </w:rPr>
        <w:t>and</w:t>
      </w:r>
    </w:p>
    <w:p>
      <w:pPr>
        <w:spacing w:line="276" w:lineRule="auto" w:before="0"/>
        <w:ind w:left="1940" w:right="2263" w:firstLine="0"/>
        <w:jc w:val="both"/>
        <w:rPr>
          <w:sz w:val="21"/>
        </w:rPr>
      </w:pPr>
      <w:r>
        <w:rPr>
          <w:sz w:val="21"/>
        </w:rPr>
        <w:t>Kyd, writing in the late eighteenth century, could confidently assert what the corporation was, how it was created, and what legal attributes flowed from its organization. While they had primarily ecclesiastical and municipal corporations in mind, their commentary fully applied to business corporations as</w:t>
      </w:r>
      <w:r>
        <w:rPr>
          <w:spacing w:val="-2"/>
          <w:sz w:val="21"/>
        </w:rPr>
        <w:t> </w:t>
      </w:r>
      <w:r>
        <w:rPr>
          <w:sz w:val="21"/>
        </w:rPr>
        <w:t>well.‖</w:t>
      </w:r>
      <w:r>
        <w:rPr>
          <w:sz w:val="21"/>
          <w:vertAlign w:val="superscript"/>
        </w:rPr>
        <w:t>43</w:t>
      </w:r>
    </w:p>
    <w:p>
      <w:pPr>
        <w:spacing w:line="240" w:lineRule="exact" w:before="0"/>
        <w:ind w:left="5798" w:right="0" w:firstLine="0"/>
        <w:jc w:val="left"/>
        <w:rPr>
          <w:sz w:val="21"/>
        </w:rPr>
      </w:pPr>
      <w:r>
        <w:rPr>
          <w:sz w:val="21"/>
        </w:rPr>
        <w:t>(Emphasis supplied)</w:t>
      </w:r>
    </w:p>
    <w:p>
      <w:pPr>
        <w:pStyle w:val="BodyText"/>
        <w:rPr>
          <w:sz w:val="24"/>
        </w:rPr>
      </w:pPr>
    </w:p>
    <w:p>
      <w:pPr>
        <w:pStyle w:val="BodyText"/>
        <w:rPr>
          <w:sz w:val="24"/>
        </w:rPr>
      </w:pPr>
    </w:p>
    <w:p>
      <w:pPr>
        <w:pStyle w:val="BodyText"/>
        <w:spacing w:before="4"/>
        <w:rPr>
          <w:sz w:val="29"/>
        </w:rPr>
      </w:pPr>
    </w:p>
    <w:p>
      <w:pPr>
        <w:pStyle w:val="BodyText"/>
        <w:spacing w:line="480" w:lineRule="auto" w:before="1"/>
        <w:ind w:left="500" w:right="441"/>
        <w:jc w:val="both"/>
      </w:pPr>
      <w:r>
        <w:rPr/>
        <w:t>The jurisprudential concept of treating a collective of entrepreneurs as a single unit for the purposes of legal recognition was already well established by the time the first business corporations came into existence and did not warrant examination by the courts. The author further states:</w:t>
      </w:r>
    </w:p>
    <w:p>
      <w:pPr>
        <w:pStyle w:val="BodyText"/>
        <w:spacing w:before="3"/>
      </w:pPr>
      <w:r>
        <w:rPr/>
        <w:pict>
          <v:rect style="position:absolute;margin-left:72.024002pt;margin-top:16.513462pt;width:144.020pt;height:.599980pt;mso-position-horizontal-relative:page;mso-position-vertical-relative:paragraph;z-index:-15712256;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43</w:t>
      </w:r>
      <w:r>
        <w:rPr>
          <w:sz w:val="18"/>
          <w:vertAlign w:val="baseline"/>
        </w:rPr>
        <w:t> Phillip Blumberg, The Multinational Challenge to Corporation Law : The Search for New Corporate Personality, Oxford University Press (1993), at page 3</w:t>
      </w:r>
    </w:p>
    <w:p>
      <w:pPr>
        <w:spacing w:after="0"/>
        <w:jc w:val="left"/>
        <w:rPr>
          <w:sz w:val="18"/>
        </w:rPr>
        <w:sectPr>
          <w:pgSz w:w="11910" w:h="16840"/>
          <w:pgMar w:header="721" w:footer="1014" w:top="1300" w:bottom="1200" w:left="940" w:right="1000"/>
        </w:sectPr>
      </w:pPr>
    </w:p>
    <w:p>
      <w:pPr>
        <w:spacing w:line="276" w:lineRule="auto" w:before="122"/>
        <w:ind w:left="1940" w:right="2262" w:firstLine="0"/>
        <w:jc w:val="both"/>
        <w:rPr>
          <w:sz w:val="21"/>
        </w:rPr>
      </w:pPr>
      <w:r>
        <w:rPr>
          <w:spacing w:val="-1"/>
          <w:w w:val="33"/>
          <w:sz w:val="21"/>
        </w:rPr>
        <w:t>―</w:t>
      </w:r>
      <w:r>
        <w:rPr>
          <w:b/>
          <w:w w:val="100"/>
          <w:sz w:val="21"/>
        </w:rPr>
        <w:t>U</w:t>
      </w:r>
      <w:r>
        <w:rPr>
          <w:b/>
          <w:w w:val="100"/>
          <w:sz w:val="21"/>
        </w:rPr>
        <w:t>nt</w:t>
      </w:r>
      <w:r>
        <w:rPr>
          <w:b/>
          <w:spacing w:val="-2"/>
          <w:w w:val="100"/>
          <w:sz w:val="21"/>
        </w:rPr>
        <w:t>i</w:t>
      </w:r>
      <w:r>
        <w:rPr>
          <w:b/>
          <w:w w:val="100"/>
          <w:sz w:val="21"/>
        </w:rPr>
        <w:t>l</w:t>
      </w:r>
      <w:r>
        <w:rPr>
          <w:b/>
          <w:sz w:val="21"/>
        </w:rPr>
        <w:t> </w:t>
      </w:r>
      <w:r>
        <w:rPr>
          <w:b/>
          <w:spacing w:val="-22"/>
          <w:sz w:val="21"/>
        </w:rPr>
        <w:t> </w:t>
      </w:r>
      <w:r>
        <w:rPr>
          <w:b/>
          <w:spacing w:val="1"/>
          <w:w w:val="100"/>
          <w:sz w:val="21"/>
        </w:rPr>
        <w:t>w</w:t>
      </w:r>
      <w:r>
        <w:rPr>
          <w:b/>
          <w:w w:val="100"/>
          <w:sz w:val="21"/>
        </w:rPr>
        <w:t>e</w:t>
      </w:r>
      <w:r>
        <w:rPr>
          <w:b/>
          <w:spacing w:val="-1"/>
          <w:w w:val="100"/>
          <w:sz w:val="21"/>
        </w:rPr>
        <w:t>l</w:t>
      </w:r>
      <w:r>
        <w:rPr>
          <w:b/>
          <w:w w:val="100"/>
          <w:sz w:val="21"/>
        </w:rPr>
        <w:t>l</w:t>
      </w:r>
      <w:r>
        <w:rPr>
          <w:b/>
          <w:sz w:val="21"/>
        </w:rPr>
        <w:t> </w:t>
      </w:r>
      <w:r>
        <w:rPr>
          <w:b/>
          <w:spacing w:val="-20"/>
          <w:sz w:val="21"/>
        </w:rPr>
        <w:t> </w:t>
      </w:r>
      <w:r>
        <w:rPr>
          <w:b/>
          <w:spacing w:val="-2"/>
          <w:w w:val="100"/>
          <w:sz w:val="21"/>
        </w:rPr>
        <w:t>i</w:t>
      </w:r>
      <w:r>
        <w:rPr>
          <w:b/>
          <w:w w:val="100"/>
          <w:sz w:val="21"/>
        </w:rPr>
        <w:t>nto</w:t>
      </w:r>
      <w:r>
        <w:rPr>
          <w:b/>
          <w:sz w:val="21"/>
        </w:rPr>
        <w:t> </w:t>
      </w:r>
      <w:r>
        <w:rPr>
          <w:b/>
          <w:spacing w:val="-19"/>
          <w:sz w:val="21"/>
        </w:rPr>
        <w:t> </w:t>
      </w:r>
      <w:r>
        <w:rPr>
          <w:b/>
          <w:spacing w:val="-1"/>
          <w:w w:val="100"/>
          <w:sz w:val="21"/>
        </w:rPr>
        <w:t>t</w:t>
      </w:r>
      <w:r>
        <w:rPr>
          <w:b/>
          <w:w w:val="100"/>
          <w:sz w:val="21"/>
        </w:rPr>
        <w:t>he</w:t>
      </w:r>
      <w:r>
        <w:rPr>
          <w:b/>
          <w:sz w:val="21"/>
        </w:rPr>
        <w:t> </w:t>
      </w:r>
      <w:r>
        <w:rPr>
          <w:b/>
          <w:spacing w:val="-19"/>
          <w:sz w:val="21"/>
        </w:rPr>
        <w:t> </w:t>
      </w:r>
      <w:r>
        <w:rPr>
          <w:b/>
          <w:w w:val="100"/>
          <w:sz w:val="21"/>
        </w:rPr>
        <w:t>n</w:t>
      </w:r>
      <w:r>
        <w:rPr>
          <w:b/>
          <w:spacing w:val="-3"/>
          <w:w w:val="100"/>
          <w:sz w:val="21"/>
        </w:rPr>
        <w:t>i</w:t>
      </w:r>
      <w:r>
        <w:rPr>
          <w:b/>
          <w:spacing w:val="-2"/>
          <w:w w:val="100"/>
          <w:sz w:val="21"/>
        </w:rPr>
        <w:t>n</w:t>
      </w:r>
      <w:r>
        <w:rPr>
          <w:b/>
          <w:w w:val="100"/>
          <w:sz w:val="21"/>
        </w:rPr>
        <w:t>eteen</w:t>
      </w:r>
      <w:r>
        <w:rPr>
          <w:b/>
          <w:spacing w:val="-3"/>
          <w:w w:val="100"/>
          <w:sz w:val="21"/>
        </w:rPr>
        <w:t>t</w:t>
      </w:r>
      <w:r>
        <w:rPr>
          <w:b/>
          <w:w w:val="100"/>
          <w:sz w:val="21"/>
        </w:rPr>
        <w:t>h</w:t>
      </w:r>
      <w:r>
        <w:rPr>
          <w:b/>
          <w:sz w:val="21"/>
        </w:rPr>
        <w:t> </w:t>
      </w:r>
      <w:r>
        <w:rPr>
          <w:b/>
          <w:spacing w:val="-18"/>
          <w:sz w:val="21"/>
        </w:rPr>
        <w:t> </w:t>
      </w:r>
      <w:r>
        <w:rPr>
          <w:b/>
          <w:w w:val="100"/>
          <w:sz w:val="21"/>
        </w:rPr>
        <w:t>c</w:t>
      </w:r>
      <w:r>
        <w:rPr>
          <w:b/>
          <w:spacing w:val="-3"/>
          <w:w w:val="100"/>
          <w:sz w:val="21"/>
        </w:rPr>
        <w:t>e</w:t>
      </w:r>
      <w:r>
        <w:rPr>
          <w:b/>
          <w:w w:val="100"/>
          <w:sz w:val="21"/>
        </w:rPr>
        <w:t>ntur</w:t>
      </w:r>
      <w:r>
        <w:rPr>
          <w:b/>
          <w:spacing w:val="-5"/>
          <w:w w:val="100"/>
          <w:sz w:val="21"/>
        </w:rPr>
        <w:t>y</w:t>
      </w:r>
      <w:r>
        <w:rPr>
          <w:b/>
          <w:w w:val="100"/>
          <w:sz w:val="21"/>
        </w:rPr>
        <w:t>,</w:t>
      </w:r>
      <w:r>
        <w:rPr>
          <w:b/>
          <w:sz w:val="21"/>
        </w:rPr>
        <w:t> </w:t>
      </w:r>
      <w:r>
        <w:rPr>
          <w:b/>
          <w:spacing w:val="-20"/>
          <w:sz w:val="21"/>
        </w:rPr>
        <w:t> </w:t>
      </w:r>
      <w:r>
        <w:rPr>
          <w:b/>
          <w:w w:val="100"/>
          <w:sz w:val="21"/>
        </w:rPr>
        <w:t>reco</w:t>
      </w:r>
      <w:r>
        <w:rPr>
          <w:b/>
          <w:spacing w:val="-2"/>
          <w:w w:val="100"/>
          <w:sz w:val="21"/>
        </w:rPr>
        <w:t>g</w:t>
      </w:r>
      <w:r>
        <w:rPr>
          <w:b/>
          <w:w w:val="100"/>
          <w:sz w:val="21"/>
        </w:rPr>
        <w:t>ni</w:t>
      </w:r>
      <w:r>
        <w:rPr>
          <w:b/>
          <w:spacing w:val="-2"/>
          <w:w w:val="100"/>
          <w:sz w:val="21"/>
        </w:rPr>
        <w:t>ti</w:t>
      </w:r>
      <w:r>
        <w:rPr>
          <w:b/>
          <w:w w:val="100"/>
          <w:sz w:val="21"/>
        </w:rPr>
        <w:t>on</w:t>
      </w:r>
      <w:r>
        <w:rPr>
          <w:b/>
          <w:sz w:val="21"/>
        </w:rPr>
        <w:t> </w:t>
      </w:r>
      <w:r>
        <w:rPr>
          <w:b/>
          <w:spacing w:val="-18"/>
          <w:sz w:val="21"/>
        </w:rPr>
        <w:t> </w:t>
      </w:r>
      <w:r>
        <w:rPr>
          <w:b/>
          <w:w w:val="100"/>
          <w:sz w:val="21"/>
        </w:rPr>
        <w:t>of</w:t>
      </w:r>
      <w:r>
        <w:rPr>
          <w:b/>
          <w:sz w:val="21"/>
        </w:rPr>
        <w:t> </w:t>
      </w:r>
      <w:r>
        <w:rPr>
          <w:b/>
          <w:spacing w:val="-19"/>
          <w:sz w:val="21"/>
        </w:rPr>
        <w:t> </w:t>
      </w:r>
      <w:r>
        <w:rPr>
          <w:b/>
          <w:w w:val="100"/>
          <w:sz w:val="21"/>
        </w:rPr>
        <w:t>a </w:t>
      </w:r>
      <w:r>
        <w:rPr>
          <w:b/>
          <w:sz w:val="21"/>
        </w:rPr>
        <w:t>corporation for business purposes, both in England and in the United States, required a specific governmental decision to grant corporate status. </w:t>
      </w:r>
      <w:r>
        <w:rPr>
          <w:sz w:val="21"/>
        </w:rPr>
        <w:t>In England, this took  the form of a character from the Crown or an act of Parliament. In the United States it required a legislative act.</w:t>
      </w:r>
      <w:r>
        <w:rPr>
          <w:spacing w:val="-14"/>
          <w:sz w:val="21"/>
        </w:rPr>
        <w:t> </w:t>
      </w:r>
      <w:r>
        <w:rPr>
          <w:sz w:val="21"/>
        </w:rPr>
        <w:t>...</w:t>
      </w:r>
    </w:p>
    <w:p>
      <w:pPr>
        <w:spacing w:line="276" w:lineRule="auto" w:before="0"/>
        <w:ind w:left="1940" w:right="2263" w:firstLine="0"/>
        <w:jc w:val="both"/>
        <w:rPr>
          <w:sz w:val="21"/>
        </w:rPr>
      </w:pPr>
      <w:r>
        <w:rPr>
          <w:b/>
          <w:sz w:val="21"/>
        </w:rPr>
        <w:t>With the universal triumph of general incorporation statutes more than a century ago, corporations could be formed simply by filing certain forms and paying certain fees and taxes</w:t>
      </w:r>
      <w:r>
        <w:rPr>
          <w:sz w:val="21"/>
        </w:rPr>
        <w:t>. The state's role has shrunken dramatically to a general specification of procedures and a ministerial administrative acknowledgement of the incorporators' compliance with statutory formalities.‖</w:t>
      </w:r>
      <w:r>
        <w:rPr>
          <w:sz w:val="21"/>
          <w:vertAlign w:val="superscript"/>
        </w:rPr>
        <w:t>44</w:t>
      </w:r>
      <w:r>
        <w:rPr>
          <w:sz w:val="21"/>
          <w:vertAlign w:val="baseline"/>
        </w:rPr>
        <w:t> (Emphasis supplied)</w:t>
      </w:r>
    </w:p>
    <w:p>
      <w:pPr>
        <w:pStyle w:val="BodyText"/>
        <w:rPr>
          <w:sz w:val="26"/>
        </w:rPr>
      </w:pPr>
    </w:p>
    <w:p>
      <w:pPr>
        <w:pStyle w:val="BodyText"/>
        <w:rPr>
          <w:sz w:val="26"/>
        </w:rPr>
      </w:pPr>
    </w:p>
    <w:p>
      <w:pPr>
        <w:pStyle w:val="BodyText"/>
        <w:spacing w:before="3"/>
        <w:rPr>
          <w:sz w:val="23"/>
        </w:rPr>
      </w:pPr>
    </w:p>
    <w:p>
      <w:pPr>
        <w:pStyle w:val="BodyText"/>
        <w:spacing w:line="480" w:lineRule="auto"/>
        <w:ind w:left="500" w:right="441"/>
        <w:jc w:val="both"/>
      </w:pPr>
      <w:r>
        <w:rPr/>
        <w:t>The independent legal personality of a corporation has never been dependent on recognition by courts. The legal personality of the corporation was originally granted by a positive act of the government. In later years, as incorporation became the preferred method of doing business, corporate personality was conferred by general statutes of incorporation which permitted any person to incorporate a company subject to the satisfaction of certain statutory conditions. These historical developments outline the departure from a positive act of the government as the basis of corporate personality, to the creation of statutory frameworks within which it was conferred. It does not, however, outline the reasons underlining the conferral of legal personality and is of little assistance in the present situation.</w:t>
      </w:r>
    </w:p>
    <w:p>
      <w:pPr>
        <w:pStyle w:val="BodyText"/>
        <w:spacing w:before="4"/>
      </w:pPr>
    </w:p>
    <w:p>
      <w:pPr>
        <w:pStyle w:val="Heading4"/>
        <w:rPr>
          <w:i/>
        </w:rPr>
      </w:pPr>
      <w:r>
        <w:rPr>
          <w:i/>
        </w:rPr>
        <w:t>The Ship</w:t>
      </w:r>
    </w:p>
    <w:p>
      <w:pPr>
        <w:pStyle w:val="BodyText"/>
        <w:rPr>
          <w:i/>
          <w:sz w:val="28"/>
        </w:rPr>
      </w:pPr>
    </w:p>
    <w:p>
      <w:pPr>
        <w:pStyle w:val="BodyText"/>
        <w:spacing w:before="6"/>
        <w:rPr>
          <w:i/>
          <w:sz w:val="22"/>
        </w:rPr>
      </w:pPr>
    </w:p>
    <w:p>
      <w:pPr>
        <w:pStyle w:val="ListParagraph"/>
        <w:numPr>
          <w:ilvl w:val="0"/>
          <w:numId w:val="3"/>
        </w:numPr>
        <w:tabs>
          <w:tab w:pos="1220" w:val="left" w:leader="none"/>
          <w:tab w:pos="1221" w:val="left" w:leader="none"/>
        </w:tabs>
        <w:spacing w:line="480" w:lineRule="auto" w:before="1" w:after="0"/>
        <w:ind w:left="500" w:right="435" w:firstLine="0"/>
        <w:jc w:val="left"/>
        <w:rPr>
          <w:i/>
          <w:sz w:val="25"/>
        </w:rPr>
      </w:pPr>
      <w:r>
        <w:rPr>
          <w:sz w:val="25"/>
        </w:rPr>
        <w:t>A more pertinent example for the present purposes is the conferment of legal personality on a ship. The concepts of a maritime lien and of actions </w:t>
      </w:r>
      <w:r>
        <w:rPr>
          <w:i/>
          <w:sz w:val="25"/>
        </w:rPr>
        <w:t>in</w:t>
      </w:r>
      <w:r>
        <w:rPr>
          <w:i/>
          <w:spacing w:val="51"/>
          <w:sz w:val="25"/>
        </w:rPr>
        <w:t> </w:t>
      </w:r>
      <w:r>
        <w:rPr>
          <w:i/>
          <w:sz w:val="25"/>
        </w:rPr>
        <w:t>rem</w:t>
      </w:r>
    </w:p>
    <w:p>
      <w:pPr>
        <w:pStyle w:val="BodyText"/>
        <w:spacing w:before="5"/>
        <w:rPr>
          <w:i/>
          <w:sz w:val="23"/>
        </w:rPr>
      </w:pPr>
      <w:r>
        <w:rPr/>
        <w:pict>
          <v:rect style="position:absolute;margin-left:72.024002pt;margin-top:15.44283pt;width:144.020pt;height:.599980pt;mso-position-horizontal-relative:page;mso-position-vertical-relative:paragraph;z-index:-1571174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44</w:t>
      </w:r>
      <w:r>
        <w:rPr>
          <w:sz w:val="18"/>
          <w:vertAlign w:val="baseline"/>
        </w:rPr>
        <w:t> Phillip Blumberg, The Multinational Challenge to Corporation Law : The Search for New Corporate Personality, Oxford University Press (1993), at page 22</w:t>
      </w:r>
    </w:p>
    <w:p>
      <w:pPr>
        <w:spacing w:after="0"/>
        <w:jc w:val="left"/>
        <w:rPr>
          <w:sz w:val="18"/>
        </w:rPr>
        <w:sectPr>
          <w:headerReference w:type="default" r:id="rId52"/>
          <w:footerReference w:type="default" r:id="rId53"/>
          <w:pgSz w:w="11910" w:h="16840"/>
          <w:pgMar w:header="721" w:footer="1014" w:top="1300" w:bottom="1200" w:left="940" w:right="1000"/>
        </w:sectPr>
      </w:pPr>
    </w:p>
    <w:p>
      <w:pPr>
        <w:pStyle w:val="BodyText"/>
        <w:spacing w:line="480" w:lineRule="auto" w:before="124"/>
        <w:ind w:left="500" w:right="439"/>
        <w:jc w:val="both"/>
      </w:pPr>
      <w:r>
        <w:rPr/>
        <w:t>are established precepts of maritime law. A maritime lien may arise in the case of a wrongdoing or damage caused by a ship which gives the claimant a charge on </w:t>
      </w:r>
      <w:r>
        <w:rPr>
          <w:w w:val="99"/>
        </w:rPr>
        <w:t>the</w:t>
      </w:r>
      <w:r>
        <w:rPr/>
        <w:t> </w:t>
      </w:r>
      <w:r>
        <w:rPr>
          <w:w w:val="40"/>
        </w:rPr>
        <w:t>‗</w:t>
      </w:r>
      <w:r>
        <w:rPr>
          <w:i/>
          <w:w w:val="99"/>
        </w:rPr>
        <w:t>r</w:t>
      </w:r>
      <w:r>
        <w:rPr>
          <w:i/>
          <w:w w:val="99"/>
        </w:rPr>
        <w:t>es</w:t>
      </w:r>
      <w:r>
        <w:rPr>
          <w:w w:val="99"/>
        </w:rPr>
        <w:t>‘</w:t>
      </w:r>
      <w:r>
        <w:rPr/>
        <w:t> </w:t>
      </w:r>
      <w:r>
        <w:rPr>
          <w:w w:val="99"/>
        </w:rPr>
        <w:t>of</w:t>
      </w:r>
      <w:r>
        <w:rPr/>
        <w:t> </w:t>
      </w:r>
      <w:r>
        <w:rPr>
          <w:w w:val="99"/>
        </w:rPr>
        <w:t>the</w:t>
      </w:r>
      <w:r>
        <w:rPr/>
        <w:t> </w:t>
      </w:r>
      <w:r>
        <w:rPr>
          <w:w w:val="99"/>
        </w:rPr>
        <w:t>ship.</w:t>
      </w:r>
      <w:r>
        <w:rPr/>
        <w:t> </w:t>
      </w:r>
      <w:r>
        <w:rPr>
          <w:w w:val="99"/>
        </w:rPr>
        <w:t>The</w:t>
      </w:r>
      <w:r>
        <w:rPr/>
        <w:t> </w:t>
      </w:r>
      <w:r>
        <w:rPr>
          <w:w w:val="99"/>
        </w:rPr>
        <w:t>charge</w:t>
      </w:r>
      <w:r>
        <w:rPr/>
        <w:t> </w:t>
      </w:r>
      <w:r>
        <w:rPr>
          <w:w w:val="99"/>
        </w:rPr>
        <w:t>is</w:t>
      </w:r>
      <w:r>
        <w:rPr/>
        <w:t> </w:t>
      </w:r>
      <w:r>
        <w:rPr>
          <w:w w:val="99"/>
        </w:rPr>
        <w:t>crystallised</w:t>
      </w:r>
      <w:r>
        <w:rPr/>
        <w:t> </w:t>
      </w:r>
      <w:r>
        <w:rPr>
          <w:w w:val="99"/>
        </w:rPr>
        <w:t>by</w:t>
      </w:r>
      <w:r>
        <w:rPr/>
        <w:t> </w:t>
      </w:r>
      <w:r>
        <w:rPr>
          <w:w w:val="99"/>
        </w:rPr>
        <w:t>an</w:t>
      </w:r>
      <w:r>
        <w:rPr/>
        <w:t> </w:t>
      </w:r>
      <w:r>
        <w:rPr>
          <w:w w:val="82"/>
        </w:rPr>
        <w:t>‗act</w:t>
      </w:r>
      <w:r>
        <w:rPr>
          <w:w w:val="99"/>
        </w:rPr>
        <w:t>ion</w:t>
      </w:r>
      <w:r>
        <w:rPr/>
        <w:t> </w:t>
      </w:r>
      <w:r>
        <w:rPr>
          <w:i/>
          <w:w w:val="99"/>
        </w:rPr>
        <w:t>in</w:t>
      </w:r>
      <w:r>
        <w:rPr>
          <w:i/>
        </w:rPr>
        <w:t> </w:t>
      </w:r>
      <w:r>
        <w:rPr>
          <w:i/>
          <w:w w:val="99"/>
        </w:rPr>
        <w:t>r</w:t>
      </w:r>
      <w:r>
        <w:rPr>
          <w:i/>
          <w:w w:val="99"/>
        </w:rPr>
        <w:t>e</w:t>
      </w:r>
      <w:r>
        <w:rPr>
          <w:i/>
          <w:w w:val="99"/>
        </w:rPr>
        <w:t>m</w:t>
      </w:r>
      <w:r>
        <w:rPr>
          <w:w w:val="99"/>
        </w:rPr>
        <w:t>‘</w:t>
      </w:r>
      <w:r>
        <w:rPr/>
        <w:t> </w:t>
      </w:r>
      <w:r>
        <w:rPr>
          <w:w w:val="99"/>
        </w:rPr>
        <w:t>under</w:t>
      </w:r>
      <w:r>
        <w:rPr/>
        <w:t> </w:t>
      </w:r>
      <w:r>
        <w:rPr>
          <w:w w:val="99"/>
        </w:rPr>
        <w:t>which </w:t>
      </w:r>
      <w:r>
        <w:rPr/>
        <w:t>the ship is directly proceeded against, as a legal person. In 1881, Sir George Jessel MR explained this in </w:t>
      </w:r>
      <w:r>
        <w:rPr>
          <w:b/>
        </w:rPr>
        <w:t>The City of Mecca</w:t>
      </w:r>
      <w:r>
        <w:rPr>
          <w:vertAlign w:val="superscript"/>
        </w:rPr>
        <w:t>45</w:t>
      </w:r>
      <w:r>
        <w:rPr>
          <w:vertAlign w:val="baseline"/>
        </w:rPr>
        <w:t>, where he observed:</w:t>
      </w:r>
    </w:p>
    <w:p>
      <w:pPr>
        <w:spacing w:line="276" w:lineRule="auto" w:before="0"/>
        <w:ind w:left="1940" w:right="2260" w:firstLine="0"/>
        <w:jc w:val="both"/>
        <w:rPr>
          <w:sz w:val="21"/>
        </w:rPr>
      </w:pPr>
      <w:r>
        <w:rPr>
          <w:w w:val="33"/>
          <w:sz w:val="21"/>
        </w:rPr>
        <w:t>―</w:t>
      </w:r>
      <w:r>
        <w:rPr>
          <w:w w:val="100"/>
          <w:sz w:val="21"/>
        </w:rPr>
        <w:t>You</w:t>
      </w:r>
      <w:r>
        <w:rPr>
          <w:sz w:val="21"/>
        </w:rPr>
        <w:t> </w:t>
      </w:r>
      <w:r>
        <w:rPr>
          <w:w w:val="100"/>
          <w:sz w:val="21"/>
        </w:rPr>
        <w:t>may</w:t>
      </w:r>
      <w:r>
        <w:rPr>
          <w:sz w:val="21"/>
        </w:rPr>
        <w:t> </w:t>
      </w:r>
      <w:r>
        <w:rPr>
          <w:w w:val="100"/>
          <w:sz w:val="21"/>
        </w:rPr>
        <w:t>in</w:t>
      </w:r>
      <w:r>
        <w:rPr>
          <w:sz w:val="21"/>
        </w:rPr>
        <w:t> </w:t>
      </w:r>
      <w:r>
        <w:rPr>
          <w:w w:val="100"/>
          <w:sz w:val="21"/>
        </w:rPr>
        <w:t>England</w:t>
      </w:r>
      <w:r>
        <w:rPr>
          <w:sz w:val="21"/>
        </w:rPr>
        <w:t> </w:t>
      </w:r>
      <w:r>
        <w:rPr>
          <w:w w:val="100"/>
          <w:sz w:val="21"/>
        </w:rPr>
        <w:t>and</w:t>
      </w:r>
      <w:r>
        <w:rPr>
          <w:sz w:val="21"/>
        </w:rPr>
        <w:t> </w:t>
      </w:r>
      <w:r>
        <w:rPr>
          <w:w w:val="100"/>
          <w:sz w:val="21"/>
        </w:rPr>
        <w:t>in</w:t>
      </w:r>
      <w:r>
        <w:rPr>
          <w:sz w:val="21"/>
        </w:rPr>
        <w:t> </w:t>
      </w:r>
      <w:r>
        <w:rPr>
          <w:w w:val="100"/>
          <w:sz w:val="21"/>
        </w:rPr>
        <w:t>most</w:t>
      </w:r>
      <w:r>
        <w:rPr>
          <w:sz w:val="21"/>
        </w:rPr>
        <w:t> </w:t>
      </w:r>
      <w:r>
        <w:rPr>
          <w:w w:val="100"/>
          <w:sz w:val="21"/>
        </w:rPr>
        <w:t>countries</w:t>
      </w:r>
      <w:r>
        <w:rPr>
          <w:sz w:val="21"/>
        </w:rPr>
        <w:t> </w:t>
      </w:r>
      <w:r>
        <w:rPr>
          <w:w w:val="100"/>
          <w:sz w:val="21"/>
        </w:rPr>
        <w:t>proceed</w:t>
      </w:r>
      <w:r>
        <w:rPr>
          <w:sz w:val="21"/>
        </w:rPr>
        <w:t> </w:t>
      </w:r>
      <w:r>
        <w:rPr>
          <w:w w:val="100"/>
          <w:sz w:val="21"/>
        </w:rPr>
        <w:t>against </w:t>
      </w:r>
      <w:r>
        <w:rPr>
          <w:sz w:val="21"/>
        </w:rPr>
        <w:t>the ship. The writ may be issued against the owner of such a ship, and the owner may never appear, and you get your judgement against the ship without a single person being named from beginning to end. That is an action </w:t>
      </w:r>
      <w:r>
        <w:rPr>
          <w:i/>
          <w:sz w:val="21"/>
        </w:rPr>
        <w:t>in rem</w:t>
      </w:r>
      <w:r>
        <w:rPr>
          <w:sz w:val="21"/>
        </w:rPr>
        <w:t>, and it is perfectly well understood that the judgement is against the ship.‖</w:t>
      </w:r>
    </w:p>
    <w:p>
      <w:pPr>
        <w:pStyle w:val="BodyText"/>
        <w:rPr>
          <w:sz w:val="24"/>
        </w:rPr>
      </w:pPr>
    </w:p>
    <w:p>
      <w:pPr>
        <w:pStyle w:val="BodyText"/>
        <w:spacing w:line="482" w:lineRule="auto" w:before="205"/>
        <w:ind w:left="500" w:right="434"/>
        <w:jc w:val="both"/>
      </w:pPr>
      <w:r>
        <w:rPr>
          <w:w w:val="99"/>
        </w:rPr>
        <w:t>D</w:t>
      </w:r>
      <w:r>
        <w:rPr/>
        <w:t> </w:t>
      </w:r>
      <w:r>
        <w:rPr>
          <w:w w:val="99"/>
        </w:rPr>
        <w:t>R</w:t>
      </w:r>
      <w:r>
        <w:rPr/>
        <w:t> </w:t>
      </w:r>
      <w:r>
        <w:rPr>
          <w:w w:val="99"/>
        </w:rPr>
        <w:t>Thomas</w:t>
      </w:r>
      <w:r>
        <w:rPr/>
        <w:t> </w:t>
      </w:r>
      <w:r>
        <w:rPr>
          <w:w w:val="99"/>
        </w:rPr>
        <w:t>in</w:t>
      </w:r>
      <w:r>
        <w:rPr/>
        <w:t> </w:t>
      </w:r>
      <w:r>
        <w:rPr>
          <w:w w:val="99"/>
        </w:rPr>
        <w:t>his</w:t>
      </w:r>
      <w:r>
        <w:rPr/>
        <w:t> </w:t>
      </w:r>
      <w:r>
        <w:rPr>
          <w:w w:val="99"/>
        </w:rPr>
        <w:t>book</w:t>
      </w:r>
      <w:r>
        <w:rPr/>
        <w:t> </w:t>
      </w:r>
      <w:r>
        <w:rPr>
          <w:w w:val="99"/>
        </w:rPr>
        <w:t>titled</w:t>
      </w:r>
      <w:r>
        <w:rPr/>
        <w:t> </w:t>
      </w:r>
      <w:r>
        <w:rPr>
          <w:w w:val="33"/>
        </w:rPr>
        <w:t>―</w:t>
      </w:r>
      <w:r>
        <w:rPr>
          <w:b/>
          <w:w w:val="99"/>
        </w:rPr>
        <w:t>M</w:t>
      </w:r>
      <w:r>
        <w:rPr>
          <w:b/>
          <w:w w:val="99"/>
        </w:rPr>
        <w:t>aritime</w:t>
      </w:r>
      <w:r>
        <w:rPr>
          <w:b/>
        </w:rPr>
        <w:t> </w:t>
      </w:r>
      <w:r>
        <w:rPr>
          <w:b/>
          <w:w w:val="99"/>
        </w:rPr>
        <w:t>Li</w:t>
      </w:r>
      <w:r>
        <w:rPr>
          <w:b/>
          <w:w w:val="99"/>
        </w:rPr>
        <w:t>en</w:t>
      </w:r>
      <w:r>
        <w:rPr>
          <w:b/>
          <w:w w:val="99"/>
        </w:rPr>
        <w:t>s</w:t>
      </w:r>
      <w:r>
        <w:rPr>
          <w:w w:val="80"/>
        </w:rPr>
        <w:t>‖</w:t>
      </w:r>
      <w:r>
        <w:rPr>
          <w:w w:val="101"/>
          <w:vertAlign w:val="superscript"/>
        </w:rPr>
        <w:t>46</w:t>
      </w:r>
      <w:r>
        <w:rPr>
          <w:vertAlign w:val="baseline"/>
        </w:rPr>
        <w:t> </w:t>
      </w:r>
      <w:r>
        <w:rPr>
          <w:w w:val="99"/>
          <w:vertAlign w:val="baseline"/>
        </w:rPr>
        <w:t>tr</w:t>
      </w:r>
      <w:r>
        <w:rPr>
          <w:w w:val="99"/>
          <w:vertAlign w:val="baseline"/>
        </w:rPr>
        <w:t>ace</w:t>
      </w:r>
      <w:r>
        <w:rPr>
          <w:w w:val="99"/>
          <w:vertAlign w:val="baseline"/>
        </w:rPr>
        <w:t>s</w:t>
      </w:r>
      <w:r>
        <w:rPr>
          <w:vertAlign w:val="baseline"/>
        </w:rPr>
        <w:t> </w:t>
      </w:r>
      <w:r>
        <w:rPr>
          <w:w w:val="99"/>
          <w:vertAlign w:val="baseline"/>
        </w:rPr>
        <w:t>the</w:t>
      </w:r>
      <w:r>
        <w:rPr>
          <w:vertAlign w:val="baseline"/>
        </w:rPr>
        <w:t> </w:t>
      </w:r>
      <w:r>
        <w:rPr>
          <w:w w:val="99"/>
          <w:vertAlign w:val="baseline"/>
        </w:rPr>
        <w:t>histo</w:t>
      </w:r>
      <w:r>
        <w:rPr>
          <w:w w:val="99"/>
          <w:vertAlign w:val="baseline"/>
        </w:rPr>
        <w:t>ry</w:t>
      </w:r>
      <w:r>
        <w:rPr>
          <w:vertAlign w:val="baseline"/>
        </w:rPr>
        <w:t> </w:t>
      </w:r>
      <w:r>
        <w:rPr>
          <w:w w:val="99"/>
          <w:vertAlign w:val="baseline"/>
        </w:rPr>
        <w:t>of</w:t>
      </w:r>
      <w:r>
        <w:rPr>
          <w:vertAlign w:val="baseline"/>
        </w:rPr>
        <w:t> </w:t>
      </w:r>
      <w:r>
        <w:rPr>
          <w:w w:val="99"/>
          <w:vertAlign w:val="baseline"/>
        </w:rPr>
        <w:t>the</w:t>
      </w:r>
      <w:r>
        <w:rPr>
          <w:vertAlign w:val="baseline"/>
        </w:rPr>
        <w:t> </w:t>
      </w:r>
      <w:r>
        <w:rPr>
          <w:w w:val="99"/>
          <w:vertAlign w:val="baseline"/>
        </w:rPr>
        <w:t>judicial </w:t>
      </w:r>
      <w:r>
        <w:rPr>
          <w:vertAlign w:val="baseline"/>
        </w:rPr>
        <w:t>conferment of legal personality on ships. He speaks of two theories- the</w:t>
      </w:r>
    </w:p>
    <w:p>
      <w:pPr>
        <w:pStyle w:val="BodyText"/>
        <w:spacing w:line="482" w:lineRule="auto"/>
        <w:ind w:left="500" w:right="448"/>
        <w:jc w:val="both"/>
      </w:pPr>
      <w:r>
        <w:rPr/>
        <w:t>‗personification theory‘ and the ‗procedural theory‘ in explaining the evolution of the concept:</w:t>
      </w:r>
    </w:p>
    <w:p>
      <w:pPr>
        <w:spacing w:line="276" w:lineRule="auto" w:before="0"/>
        <w:ind w:left="1940" w:right="2259" w:firstLine="0"/>
        <w:jc w:val="both"/>
        <w:rPr>
          <w:sz w:val="21"/>
        </w:rPr>
      </w:pPr>
      <w:r>
        <w:rPr>
          <w:spacing w:val="-1"/>
          <w:w w:val="33"/>
          <w:sz w:val="21"/>
        </w:rPr>
        <w:t>―</w:t>
      </w:r>
      <w:r>
        <w:rPr>
          <w:w w:val="100"/>
          <w:sz w:val="21"/>
        </w:rPr>
        <w:t>The</w:t>
      </w:r>
      <w:r>
        <w:rPr>
          <w:sz w:val="21"/>
        </w:rPr>
        <w:t> </w:t>
      </w:r>
      <w:r>
        <w:rPr>
          <w:spacing w:val="-7"/>
          <w:sz w:val="21"/>
        </w:rPr>
        <w:t> </w:t>
      </w:r>
      <w:r>
        <w:rPr>
          <w:spacing w:val="1"/>
          <w:w w:val="100"/>
          <w:sz w:val="21"/>
        </w:rPr>
        <w:t>f</w:t>
      </w:r>
      <w:r>
        <w:rPr>
          <w:w w:val="100"/>
          <w:sz w:val="21"/>
        </w:rPr>
        <w:t>i</w:t>
      </w:r>
      <w:r>
        <w:rPr>
          <w:spacing w:val="-4"/>
          <w:w w:val="100"/>
          <w:sz w:val="21"/>
        </w:rPr>
        <w:t>r</w:t>
      </w:r>
      <w:r>
        <w:rPr>
          <w:w w:val="100"/>
          <w:sz w:val="21"/>
        </w:rPr>
        <w:t>st</w:t>
      </w:r>
      <w:r>
        <w:rPr>
          <w:sz w:val="21"/>
        </w:rPr>
        <w:t> </w:t>
      </w:r>
      <w:r>
        <w:rPr>
          <w:spacing w:val="-6"/>
          <w:sz w:val="21"/>
        </w:rPr>
        <w:t> </w:t>
      </w:r>
      <w:r>
        <w:rPr>
          <w:spacing w:val="-2"/>
          <w:w w:val="100"/>
          <w:sz w:val="21"/>
        </w:rPr>
        <w:t>[t</w:t>
      </w:r>
      <w:r>
        <w:rPr>
          <w:spacing w:val="-1"/>
          <w:w w:val="100"/>
          <w:sz w:val="21"/>
        </w:rPr>
        <w:t>heor</w:t>
      </w:r>
      <w:r>
        <w:rPr>
          <w:spacing w:val="-3"/>
          <w:w w:val="100"/>
          <w:sz w:val="21"/>
        </w:rPr>
        <w:t>y</w:t>
      </w:r>
      <w:r>
        <w:rPr>
          <w:spacing w:val="-2"/>
          <w:w w:val="100"/>
          <w:sz w:val="21"/>
        </w:rPr>
        <w:t>]</w:t>
      </w:r>
      <w:r>
        <w:rPr>
          <w:w w:val="100"/>
          <w:sz w:val="21"/>
        </w:rPr>
        <w:t>,</w:t>
      </w:r>
      <w:r>
        <w:rPr>
          <w:sz w:val="21"/>
        </w:rPr>
        <w:t> </w:t>
      </w:r>
      <w:r>
        <w:rPr>
          <w:spacing w:val="-6"/>
          <w:sz w:val="21"/>
        </w:rPr>
        <w:t> </w:t>
      </w:r>
      <w:r>
        <w:rPr>
          <w:w w:val="100"/>
          <w:sz w:val="21"/>
        </w:rPr>
        <w:t>com</w:t>
      </w:r>
      <w:r>
        <w:rPr>
          <w:spacing w:val="-2"/>
          <w:w w:val="100"/>
          <w:sz w:val="21"/>
        </w:rPr>
        <w:t>m</w:t>
      </w:r>
      <w:r>
        <w:rPr>
          <w:spacing w:val="-1"/>
          <w:w w:val="100"/>
          <w:sz w:val="21"/>
        </w:rPr>
        <w:t>on</w:t>
      </w:r>
      <w:r>
        <w:rPr>
          <w:spacing w:val="1"/>
          <w:w w:val="100"/>
          <w:sz w:val="21"/>
        </w:rPr>
        <w:t>l</w:t>
      </w:r>
      <w:r>
        <w:rPr>
          <w:w w:val="100"/>
          <w:sz w:val="21"/>
        </w:rPr>
        <w:t>y</w:t>
      </w:r>
      <w:r>
        <w:rPr>
          <w:sz w:val="21"/>
        </w:rPr>
        <w:t> </w:t>
      </w:r>
      <w:r>
        <w:rPr>
          <w:spacing w:val="-7"/>
          <w:sz w:val="21"/>
        </w:rPr>
        <w:t> </w:t>
      </w:r>
      <w:r>
        <w:rPr>
          <w:w w:val="100"/>
          <w:sz w:val="21"/>
        </w:rPr>
        <w:t>c</w:t>
      </w:r>
      <w:r>
        <w:rPr>
          <w:spacing w:val="-3"/>
          <w:w w:val="100"/>
          <w:sz w:val="21"/>
        </w:rPr>
        <w:t>o</w:t>
      </w:r>
      <w:r>
        <w:rPr>
          <w:w w:val="100"/>
          <w:sz w:val="21"/>
        </w:rPr>
        <w:t>i</w:t>
      </w:r>
      <w:r>
        <w:rPr>
          <w:spacing w:val="-1"/>
          <w:w w:val="100"/>
          <w:sz w:val="21"/>
        </w:rPr>
        <w:t>n</w:t>
      </w:r>
      <w:r>
        <w:rPr>
          <w:spacing w:val="-3"/>
          <w:w w:val="100"/>
          <w:sz w:val="21"/>
        </w:rPr>
        <w:t>e</w:t>
      </w:r>
      <w:r>
        <w:rPr>
          <w:w w:val="100"/>
          <w:sz w:val="21"/>
        </w:rPr>
        <w:t>d</w:t>
      </w:r>
      <w:r>
        <w:rPr>
          <w:sz w:val="21"/>
        </w:rPr>
        <w:t> </w:t>
      </w:r>
      <w:r>
        <w:rPr>
          <w:spacing w:val="-4"/>
          <w:sz w:val="21"/>
        </w:rPr>
        <w:t> </w:t>
      </w:r>
      <w:r>
        <w:rPr>
          <w:spacing w:val="-1"/>
          <w:w w:val="100"/>
          <w:sz w:val="21"/>
        </w:rPr>
        <w:t>a</w:t>
      </w:r>
      <w:r>
        <w:rPr>
          <w:w w:val="100"/>
          <w:sz w:val="21"/>
        </w:rPr>
        <w:t>s</w:t>
      </w:r>
      <w:r>
        <w:rPr>
          <w:sz w:val="21"/>
        </w:rPr>
        <w:t> </w:t>
      </w:r>
      <w:r>
        <w:rPr>
          <w:spacing w:val="-7"/>
          <w:sz w:val="21"/>
        </w:rPr>
        <w:t> </w:t>
      </w:r>
      <w:r>
        <w:rPr>
          <w:spacing w:val="-2"/>
          <w:w w:val="100"/>
          <w:sz w:val="21"/>
        </w:rPr>
        <w:t>t</w:t>
      </w:r>
      <w:r>
        <w:rPr>
          <w:spacing w:val="-1"/>
          <w:w w:val="100"/>
          <w:sz w:val="21"/>
        </w:rPr>
        <w:t>h</w:t>
      </w:r>
      <w:r>
        <w:rPr>
          <w:w w:val="100"/>
          <w:sz w:val="21"/>
        </w:rPr>
        <w:t>e</w:t>
      </w:r>
      <w:r>
        <w:rPr>
          <w:sz w:val="21"/>
        </w:rPr>
        <w:t> </w:t>
      </w:r>
      <w:r>
        <w:rPr>
          <w:spacing w:val="-1"/>
          <w:sz w:val="21"/>
        </w:rPr>
        <w:t> </w:t>
      </w:r>
      <w:r>
        <w:rPr>
          <w:spacing w:val="-3"/>
          <w:w w:val="100"/>
          <w:sz w:val="21"/>
        </w:rPr>
        <w:t>p</w:t>
      </w:r>
      <w:r>
        <w:rPr>
          <w:w w:val="100"/>
          <w:sz w:val="21"/>
        </w:rPr>
        <w:t>er</w:t>
      </w:r>
      <w:r>
        <w:rPr>
          <w:spacing w:val="-3"/>
          <w:w w:val="100"/>
          <w:sz w:val="21"/>
        </w:rPr>
        <w:t>s</w:t>
      </w:r>
      <w:r>
        <w:rPr>
          <w:w w:val="100"/>
          <w:sz w:val="21"/>
        </w:rPr>
        <w:t>on</w:t>
      </w:r>
      <w:r>
        <w:rPr>
          <w:spacing w:val="-1"/>
          <w:w w:val="100"/>
          <w:sz w:val="21"/>
        </w:rPr>
        <w:t>i</w:t>
      </w:r>
      <w:r>
        <w:rPr>
          <w:spacing w:val="1"/>
          <w:w w:val="100"/>
          <w:sz w:val="21"/>
        </w:rPr>
        <w:t>f</w:t>
      </w:r>
      <w:r>
        <w:rPr>
          <w:spacing w:val="-2"/>
          <w:w w:val="100"/>
          <w:sz w:val="21"/>
        </w:rPr>
        <w:t>i</w:t>
      </w:r>
      <w:r>
        <w:rPr>
          <w:w w:val="100"/>
          <w:sz w:val="21"/>
        </w:rPr>
        <w:t>ca</w:t>
      </w:r>
      <w:r>
        <w:rPr>
          <w:spacing w:val="-1"/>
          <w:w w:val="100"/>
          <w:sz w:val="21"/>
        </w:rPr>
        <w:t>t</w:t>
      </w:r>
      <w:r>
        <w:rPr>
          <w:spacing w:val="-2"/>
          <w:w w:val="100"/>
          <w:sz w:val="21"/>
        </w:rPr>
        <w:t>i</w:t>
      </w:r>
      <w:r>
        <w:rPr>
          <w:w w:val="100"/>
          <w:sz w:val="21"/>
        </w:rPr>
        <w:t>on </w:t>
      </w:r>
      <w:r>
        <w:rPr>
          <w:sz w:val="21"/>
        </w:rPr>
        <w:t>theory, traces the historical origin and development of maritime liens to the juristic technique, which has obtained since medieval times, of ascribing personality to a ship. Under this theory a ship is personified and regarded as a distinct juristic entity with a capacity to contract and commit torts. The ship is both the source and limit of</w:t>
      </w:r>
      <w:r>
        <w:rPr>
          <w:spacing w:val="-13"/>
          <w:sz w:val="21"/>
        </w:rPr>
        <w:t> </w:t>
      </w:r>
      <w:r>
        <w:rPr>
          <w:sz w:val="21"/>
        </w:rPr>
        <w:t>liability.</w:t>
      </w:r>
    </w:p>
    <w:p>
      <w:pPr>
        <w:spacing w:before="0"/>
        <w:ind w:left="1940" w:right="0" w:firstLine="0"/>
        <w:jc w:val="left"/>
        <w:rPr>
          <w:sz w:val="21"/>
        </w:rPr>
      </w:pPr>
      <w:r>
        <w:rPr>
          <w:w w:val="100"/>
          <w:sz w:val="21"/>
        </w:rPr>
        <w:t>…</w:t>
      </w:r>
    </w:p>
    <w:p>
      <w:pPr>
        <w:spacing w:line="276" w:lineRule="auto" w:before="27"/>
        <w:ind w:left="1940" w:right="2264" w:firstLine="0"/>
        <w:jc w:val="both"/>
        <w:rPr>
          <w:sz w:val="21"/>
        </w:rPr>
      </w:pPr>
      <w:r>
        <w:rPr>
          <w:sz w:val="21"/>
        </w:rPr>
        <w:t>The second theory, known as the procedural theory, is based on the premise that maritime liens evolved out of the process of arrest of a vessel in order to compel the appearance of the </w:t>
      </w:r>
      <w:r>
        <w:rPr>
          <w:i/>
          <w:sz w:val="21"/>
        </w:rPr>
        <w:t>res </w:t>
      </w:r>
      <w:r>
        <w:rPr>
          <w:sz w:val="21"/>
        </w:rPr>
        <w:t>owner and to obtain a security.</w:t>
      </w:r>
    </w:p>
    <w:p>
      <w:pPr>
        <w:spacing w:before="1"/>
        <w:ind w:left="1940" w:right="0" w:firstLine="0"/>
        <w:jc w:val="left"/>
        <w:rPr>
          <w:sz w:val="21"/>
        </w:rPr>
      </w:pPr>
      <w:r>
        <w:rPr>
          <w:w w:val="100"/>
          <w:sz w:val="21"/>
        </w:rPr>
        <w:t>…</w:t>
      </w:r>
    </w:p>
    <w:p>
      <w:pPr>
        <w:spacing w:line="276" w:lineRule="auto" w:before="34"/>
        <w:ind w:left="1940" w:right="2262" w:firstLine="0"/>
        <w:jc w:val="both"/>
        <w:rPr>
          <w:sz w:val="21"/>
        </w:rPr>
      </w:pPr>
      <w:r>
        <w:rPr>
          <w:sz w:val="21"/>
        </w:rPr>
        <w:t>Although the point is not free of uncertainty it is probably the case that a maritime lien is a substantive right whereas a statutory right of action </w:t>
      </w:r>
      <w:r>
        <w:rPr>
          <w:i/>
          <w:sz w:val="21"/>
        </w:rPr>
        <w:t>in rem </w:t>
      </w:r>
      <w:r>
        <w:rPr>
          <w:sz w:val="21"/>
        </w:rPr>
        <w:t>is in essence a procedural remedy. The object behind the availability of a statutory right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line="207" w:lineRule="exact" w:before="0"/>
        <w:ind w:left="500" w:right="0" w:firstLine="0"/>
        <w:jc w:val="left"/>
        <w:rPr>
          <w:sz w:val="18"/>
        </w:rPr>
      </w:pPr>
      <w:r>
        <w:rPr>
          <w:sz w:val="18"/>
          <w:vertAlign w:val="superscript"/>
        </w:rPr>
        <w:t>45</w:t>
      </w:r>
      <w:r>
        <w:rPr>
          <w:sz w:val="18"/>
          <w:vertAlign w:val="baseline"/>
        </w:rPr>
        <w:t> The City of Mecca (1881) 5 P.D. 106</w:t>
      </w:r>
    </w:p>
    <w:p>
      <w:pPr>
        <w:spacing w:line="207" w:lineRule="exact" w:before="0"/>
        <w:ind w:left="500" w:right="0" w:firstLine="0"/>
        <w:jc w:val="left"/>
        <w:rPr>
          <w:sz w:val="18"/>
        </w:rPr>
      </w:pPr>
      <w:r>
        <w:rPr>
          <w:sz w:val="18"/>
          <w:vertAlign w:val="superscript"/>
        </w:rPr>
        <w:t>46</w:t>
      </w:r>
      <w:r>
        <w:rPr>
          <w:sz w:val="18"/>
          <w:vertAlign w:val="baseline"/>
        </w:rPr>
        <w:t> D R Thomas, Maritime Liens </w:t>
      </w:r>
      <w:r>
        <w:rPr>
          <w:i/>
          <w:sz w:val="18"/>
          <w:vertAlign w:val="baseline"/>
        </w:rPr>
        <w:t>in </w:t>
      </w:r>
      <w:r>
        <w:rPr>
          <w:sz w:val="18"/>
          <w:vertAlign w:val="baseline"/>
        </w:rPr>
        <w:t>British Shipping Laws: Volume 14 (Steven &amp; Sons London 1980)</w:t>
      </w:r>
    </w:p>
    <w:p>
      <w:pPr>
        <w:spacing w:after="0" w:line="207" w:lineRule="exact"/>
        <w:jc w:val="left"/>
        <w:rPr>
          <w:sz w:val="18"/>
        </w:rPr>
        <w:sectPr>
          <w:headerReference w:type="default" r:id="rId54"/>
          <w:footerReference w:type="default" r:id="rId55"/>
          <w:pgSz w:w="11910" w:h="16840"/>
          <w:pgMar w:header="721" w:footer="1160" w:top="1300" w:bottom="1360" w:left="940" w:right="1000"/>
        </w:sectPr>
      </w:pPr>
    </w:p>
    <w:p>
      <w:pPr>
        <w:spacing w:line="276" w:lineRule="auto" w:before="122"/>
        <w:ind w:left="1940" w:right="2264" w:firstLine="0"/>
        <w:jc w:val="both"/>
        <w:rPr>
          <w:sz w:val="21"/>
        </w:rPr>
      </w:pPr>
      <w:r>
        <w:rPr>
          <w:sz w:val="21"/>
        </w:rPr>
        <w:t>of action </w:t>
      </w:r>
      <w:r>
        <w:rPr>
          <w:i/>
          <w:sz w:val="21"/>
        </w:rPr>
        <w:t>in rem </w:t>
      </w:r>
      <w:r>
        <w:rPr>
          <w:sz w:val="21"/>
        </w:rPr>
        <w:t>is to enable a claimant to found a jurisdiction and to provide the </w:t>
      </w:r>
      <w:r>
        <w:rPr>
          <w:i/>
          <w:sz w:val="21"/>
        </w:rPr>
        <w:t>res </w:t>
      </w:r>
      <w:r>
        <w:rPr>
          <w:sz w:val="21"/>
        </w:rPr>
        <w:t>as security for the claim.‖</w:t>
      </w:r>
      <w:r>
        <w:rPr>
          <w:sz w:val="21"/>
          <w:vertAlign w:val="superscript"/>
        </w:rPr>
        <w:t>47</w:t>
      </w:r>
    </w:p>
    <w:p>
      <w:pPr>
        <w:spacing w:line="241" w:lineRule="exact" w:before="0"/>
        <w:ind w:left="5541" w:right="0" w:firstLine="0"/>
        <w:jc w:val="left"/>
        <w:rPr>
          <w:sz w:val="21"/>
        </w:rPr>
      </w:pPr>
      <w:r>
        <w:rPr>
          <w:sz w:val="21"/>
        </w:rPr>
        <w:t>(Emphasis supplied)</w:t>
      </w:r>
    </w:p>
    <w:p>
      <w:pPr>
        <w:pStyle w:val="BodyText"/>
        <w:rPr>
          <w:sz w:val="24"/>
        </w:rPr>
      </w:pPr>
    </w:p>
    <w:p>
      <w:pPr>
        <w:pStyle w:val="BodyText"/>
        <w:spacing w:before="8"/>
        <w:rPr>
          <w:sz w:val="27"/>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There is a direct nexus between the conferral of a limited legal personality and the adjudicative utility achieved by the conferral. Courts treat the physical property of the ship as a legal person against which certain actions may be taken. Conferring legal personality on the ship allows for actions to be taken independent of the availability or presence of the ship‘s owners, who in a great many cases may be in other parts of the world. As a ship may only be in port for  a brief period, an action </w:t>
      </w:r>
      <w:r>
        <w:rPr>
          <w:i/>
          <w:sz w:val="25"/>
        </w:rPr>
        <w:t>in rem </w:t>
      </w:r>
      <w:r>
        <w:rPr>
          <w:sz w:val="25"/>
        </w:rPr>
        <w:t>allows the claimant to ensure pre-judgement security. Thus, even absent an express personification, actions against the ship as a legal person ensure the effective adjudication of admiralty</w:t>
      </w:r>
      <w:r>
        <w:rPr>
          <w:spacing w:val="-14"/>
          <w:sz w:val="25"/>
        </w:rPr>
        <w:t> </w:t>
      </w:r>
      <w:r>
        <w:rPr>
          <w:sz w:val="25"/>
        </w:rPr>
        <w:t>disputes.</w:t>
      </w:r>
    </w:p>
    <w:p>
      <w:pPr>
        <w:pStyle w:val="BodyText"/>
        <w:spacing w:before="8"/>
        <w:rPr>
          <w:sz w:val="24"/>
        </w:rPr>
      </w:pPr>
    </w:p>
    <w:p>
      <w:pPr>
        <w:pStyle w:val="ListParagraph"/>
        <w:numPr>
          <w:ilvl w:val="0"/>
          <w:numId w:val="3"/>
        </w:numPr>
        <w:tabs>
          <w:tab w:pos="1221" w:val="left" w:leader="none"/>
        </w:tabs>
        <w:spacing w:line="480" w:lineRule="auto" w:before="1" w:after="0"/>
        <w:ind w:left="500" w:right="436" w:firstLine="0"/>
        <w:jc w:val="both"/>
        <w:rPr>
          <w:sz w:val="25"/>
        </w:rPr>
      </w:pPr>
      <w:r>
        <w:rPr>
          <w:sz w:val="25"/>
        </w:rPr>
        <w:t>In </w:t>
      </w:r>
      <w:r>
        <w:rPr>
          <w:b/>
          <w:sz w:val="25"/>
        </w:rPr>
        <w:t>M V Elisabeth </w:t>
      </w:r>
      <w:r>
        <w:rPr>
          <w:sz w:val="25"/>
        </w:rPr>
        <w:t>v </w:t>
      </w:r>
      <w:r>
        <w:rPr>
          <w:b/>
          <w:sz w:val="25"/>
        </w:rPr>
        <w:t>Harwan Investment and Trading Pvt Ltd.</w:t>
      </w:r>
      <w:r>
        <w:rPr>
          <w:sz w:val="25"/>
          <w:vertAlign w:val="superscript"/>
        </w:rPr>
        <w:t>48</w:t>
      </w:r>
      <w:r>
        <w:rPr>
          <w:sz w:val="25"/>
          <w:vertAlign w:val="baseline"/>
        </w:rPr>
        <w:t>, this Court noticed the underlying basis of this principle of Admiralty law. Justice Thommen, speaking for a two judge Bench traced the exercise of admiralty jurisdiction by English</w:t>
      </w:r>
      <w:r>
        <w:rPr>
          <w:spacing w:val="1"/>
          <w:sz w:val="25"/>
          <w:vertAlign w:val="baseline"/>
        </w:rPr>
        <w:t> </w:t>
      </w:r>
      <w:r>
        <w:rPr>
          <w:sz w:val="25"/>
          <w:vertAlign w:val="baseline"/>
        </w:rPr>
        <w:t>courts:</w:t>
      </w:r>
    </w:p>
    <w:p>
      <w:pPr>
        <w:spacing w:line="276" w:lineRule="auto" w:before="3"/>
        <w:ind w:left="1940" w:right="2261" w:firstLine="0"/>
        <w:jc w:val="both"/>
        <w:rPr>
          <w:sz w:val="21"/>
        </w:rPr>
      </w:pPr>
      <w:r>
        <w:rPr>
          <w:w w:val="33"/>
          <w:sz w:val="21"/>
        </w:rPr>
        <w:t>―</w:t>
      </w:r>
      <w:r>
        <w:rPr>
          <w:w w:val="100"/>
          <w:sz w:val="21"/>
        </w:rPr>
        <w:t>44.</w:t>
      </w:r>
      <w:r>
        <w:rPr>
          <w:sz w:val="21"/>
        </w:rPr>
        <w:t> </w:t>
      </w:r>
      <w:r>
        <w:rPr>
          <w:w w:val="100"/>
          <w:sz w:val="21"/>
        </w:rPr>
        <w:t>…The</w:t>
      </w:r>
      <w:r>
        <w:rPr>
          <w:sz w:val="21"/>
        </w:rPr>
        <w:t> </w:t>
      </w:r>
      <w:r>
        <w:rPr>
          <w:w w:val="100"/>
          <w:sz w:val="21"/>
        </w:rPr>
        <w:t>vital</w:t>
      </w:r>
      <w:r>
        <w:rPr>
          <w:sz w:val="21"/>
        </w:rPr>
        <w:t> </w:t>
      </w:r>
      <w:r>
        <w:rPr>
          <w:w w:val="100"/>
          <w:sz w:val="21"/>
        </w:rPr>
        <w:t>significance</w:t>
      </w:r>
      <w:r>
        <w:rPr>
          <w:sz w:val="21"/>
        </w:rPr>
        <w:t> </w:t>
      </w:r>
      <w:r>
        <w:rPr>
          <w:w w:val="100"/>
          <w:sz w:val="21"/>
        </w:rPr>
        <w:t>and</w:t>
      </w:r>
      <w:r>
        <w:rPr>
          <w:sz w:val="21"/>
        </w:rPr>
        <w:t> </w:t>
      </w:r>
      <w:r>
        <w:rPr>
          <w:w w:val="100"/>
          <w:sz w:val="21"/>
        </w:rPr>
        <w:t>the</w:t>
      </w:r>
      <w:r>
        <w:rPr>
          <w:sz w:val="21"/>
        </w:rPr>
        <w:t> </w:t>
      </w:r>
      <w:r>
        <w:rPr>
          <w:w w:val="100"/>
          <w:sz w:val="21"/>
        </w:rPr>
        <w:t>distinguishing</w:t>
      </w:r>
      <w:r>
        <w:rPr>
          <w:sz w:val="21"/>
        </w:rPr>
        <w:t> </w:t>
      </w:r>
      <w:r>
        <w:rPr>
          <w:w w:val="100"/>
          <w:sz w:val="21"/>
        </w:rPr>
        <w:t>feature</w:t>
      </w:r>
      <w:r>
        <w:rPr>
          <w:sz w:val="21"/>
        </w:rPr>
        <w:t> </w:t>
      </w:r>
      <w:r>
        <w:rPr>
          <w:w w:val="100"/>
          <w:sz w:val="21"/>
        </w:rPr>
        <w:t>o</w:t>
      </w:r>
      <w:r>
        <w:rPr>
          <w:w w:val="100"/>
          <w:sz w:val="21"/>
        </w:rPr>
        <w:t>f </w:t>
      </w:r>
      <w:r>
        <w:rPr>
          <w:sz w:val="21"/>
        </w:rPr>
        <w:t>an admiralty action </w:t>
      </w:r>
      <w:r>
        <w:rPr>
          <w:i/>
          <w:sz w:val="21"/>
        </w:rPr>
        <w:t>in rem </w:t>
      </w:r>
      <w:r>
        <w:rPr>
          <w:sz w:val="21"/>
        </w:rPr>
        <w:t>is that this jurisdiction can be assumed by the coastal authorities in respect of any maritime claim by arrest of the ship, irrespective of the nationality of the ship or that of its owners, or the place of business or domicile or residence of its owners or the place where the cause of action arose wholly or in part.‖</w:t>
      </w:r>
    </w:p>
    <w:p>
      <w:pPr>
        <w:pStyle w:val="BodyText"/>
        <w:rPr>
          <w:sz w:val="24"/>
        </w:rPr>
      </w:pPr>
    </w:p>
    <w:p>
      <w:pPr>
        <w:spacing w:line="276" w:lineRule="auto" w:before="1"/>
        <w:ind w:left="1940" w:right="2260" w:firstLine="0"/>
        <w:jc w:val="both"/>
        <w:rPr>
          <w:sz w:val="21"/>
        </w:rPr>
      </w:pPr>
      <w:r>
        <w:rPr>
          <w:sz w:val="21"/>
        </w:rPr>
        <w:t>―…</w:t>
      </w:r>
      <w:r>
        <w:rPr>
          <w:b/>
          <w:sz w:val="21"/>
        </w:rPr>
        <w:t>In admiralty the vessel has a juridical personality, an almost corporate capacity, having not only rights but liabilities (sometimes distinct from those of the owner) which may be enforced by process and the decree against the vessel, binding upon all interested in her and conclusive upon the world</w:t>
      </w:r>
      <w:r>
        <w:rPr>
          <w:sz w:val="21"/>
        </w:rPr>
        <w:t>,</w:t>
      </w:r>
      <w:r>
        <w:rPr>
          <w:spacing w:val="14"/>
          <w:sz w:val="21"/>
        </w:rPr>
        <w:t> </w:t>
      </w:r>
      <w:r>
        <w:rPr>
          <w:sz w:val="21"/>
        </w:rPr>
        <w:t>for admiralty in appropriate</w:t>
      </w:r>
    </w:p>
    <w:p>
      <w:pPr>
        <w:pStyle w:val="BodyText"/>
        <w:spacing w:before="4"/>
        <w:rPr>
          <w:sz w:val="12"/>
        </w:rPr>
      </w:pPr>
      <w:r>
        <w:rPr/>
        <w:pict>
          <v:rect style="position:absolute;margin-left:72.024002pt;margin-top:9.090045pt;width:144.020pt;height:.60004pt;mso-position-horizontal-relative:page;mso-position-vertical-relative:paragraph;z-index:-15711232;mso-wrap-distance-left:0;mso-wrap-distance-right:0" filled="true" fillcolor="#000000" stroked="false">
            <v:fill type="solid"/>
            <w10:wrap type="topAndBottom"/>
          </v:rect>
        </w:pict>
      </w:r>
    </w:p>
    <w:p>
      <w:pPr>
        <w:spacing w:before="78"/>
        <w:ind w:left="500" w:right="512" w:firstLine="0"/>
        <w:jc w:val="left"/>
        <w:rPr>
          <w:sz w:val="18"/>
        </w:rPr>
      </w:pPr>
      <w:r>
        <w:rPr>
          <w:sz w:val="18"/>
          <w:vertAlign w:val="superscript"/>
        </w:rPr>
        <w:t>47</w:t>
      </w:r>
      <w:r>
        <w:rPr>
          <w:sz w:val="18"/>
          <w:vertAlign w:val="baseline"/>
        </w:rPr>
        <w:t> D R Thomas, Maritime Liens </w:t>
      </w:r>
      <w:r>
        <w:rPr>
          <w:i/>
          <w:sz w:val="18"/>
          <w:vertAlign w:val="baseline"/>
        </w:rPr>
        <w:t>in </w:t>
      </w:r>
      <w:r>
        <w:rPr>
          <w:sz w:val="18"/>
          <w:vertAlign w:val="baseline"/>
        </w:rPr>
        <w:t>British Shipping Laws: Volume 14 (Steven &amp; Sons London 1980), at pages 7 and 38</w:t>
      </w:r>
    </w:p>
    <w:p>
      <w:pPr>
        <w:spacing w:before="4"/>
        <w:ind w:left="500" w:right="0" w:firstLine="0"/>
        <w:jc w:val="left"/>
        <w:rPr>
          <w:sz w:val="18"/>
        </w:rPr>
      </w:pPr>
      <w:r>
        <w:rPr>
          <w:sz w:val="18"/>
          <w:vertAlign w:val="superscript"/>
        </w:rPr>
        <w:t>48</w:t>
      </w:r>
      <w:r>
        <w:rPr>
          <w:sz w:val="18"/>
          <w:vertAlign w:val="baseline"/>
        </w:rPr>
        <w:t> 1993 Supp (2) SCC 433</w:t>
      </w:r>
    </w:p>
    <w:p>
      <w:pPr>
        <w:spacing w:after="0"/>
        <w:jc w:val="left"/>
        <w:rPr>
          <w:sz w:val="18"/>
        </w:rPr>
        <w:sectPr>
          <w:headerReference w:type="default" r:id="rId56"/>
          <w:footerReference w:type="default" r:id="rId57"/>
          <w:pgSz w:w="11910" w:h="16840"/>
          <w:pgMar w:header="721" w:footer="1014" w:top="1300" w:bottom="1200" w:left="940" w:right="1000"/>
          <w:pgNumType w:start="135"/>
        </w:sectPr>
      </w:pPr>
    </w:p>
    <w:p>
      <w:pPr>
        <w:spacing w:line="276" w:lineRule="auto" w:before="122"/>
        <w:ind w:left="1940" w:right="2261" w:firstLine="0"/>
        <w:jc w:val="both"/>
        <w:rPr>
          <w:sz w:val="21"/>
        </w:rPr>
      </w:pPr>
      <w:r>
        <w:rPr>
          <w:sz w:val="21"/>
        </w:rPr>
        <w:t>cases administers remedies </w:t>
      </w:r>
      <w:r>
        <w:rPr>
          <w:i/>
          <w:sz w:val="21"/>
        </w:rPr>
        <w:t>in rem</w:t>
      </w:r>
      <w:r>
        <w:rPr>
          <w:sz w:val="21"/>
        </w:rPr>
        <w:t>, i.e., against the property, as well as remedies </w:t>
      </w:r>
      <w:r>
        <w:rPr>
          <w:i/>
          <w:sz w:val="21"/>
        </w:rPr>
        <w:t>in personam</w:t>
      </w:r>
      <w:r>
        <w:rPr>
          <w:sz w:val="21"/>
        </w:rPr>
        <w:t>, i.e., against the party personally…‖ (Benedict, </w:t>
      </w:r>
      <w:r>
        <w:rPr>
          <w:i/>
          <w:sz w:val="21"/>
        </w:rPr>
        <w:t>The Law of American Admiralty</w:t>
      </w:r>
      <w:r>
        <w:rPr>
          <w:sz w:val="21"/>
        </w:rPr>
        <w:t>, 6th ed., Vol. I p. 3.)</w:t>
      </w:r>
    </w:p>
    <w:p>
      <w:pPr>
        <w:pStyle w:val="BodyText"/>
        <w:spacing w:before="3"/>
        <w:rPr>
          <w:sz w:val="24"/>
        </w:rPr>
      </w:pPr>
    </w:p>
    <w:p>
      <w:pPr>
        <w:tabs>
          <w:tab w:pos="5486" w:val="left" w:leader="none"/>
        </w:tabs>
        <w:spacing w:line="276" w:lineRule="auto" w:before="1"/>
        <w:ind w:left="1940" w:right="2263" w:firstLine="0"/>
        <w:jc w:val="both"/>
        <w:rPr>
          <w:sz w:val="21"/>
        </w:rPr>
      </w:pPr>
      <w:r>
        <w:rPr>
          <w:sz w:val="21"/>
        </w:rPr>
        <w:t>45. Admiralty Law confers upon the claimant a right </w:t>
      </w:r>
      <w:r>
        <w:rPr>
          <w:i/>
          <w:sz w:val="21"/>
        </w:rPr>
        <w:t>in rem </w:t>
      </w:r>
      <w:r>
        <w:rPr>
          <w:sz w:val="21"/>
        </w:rPr>
        <w:t>to proceed against the ship or cargo as distinguished from a right </w:t>
      </w:r>
      <w:r>
        <w:rPr>
          <w:i/>
          <w:sz w:val="21"/>
        </w:rPr>
        <w:t>in personam </w:t>
      </w:r>
      <w:r>
        <w:rPr>
          <w:sz w:val="21"/>
        </w:rPr>
        <w:t>to proceed against the owner. The arrest of the ship is regarded as a mere procedure to obtain security to satisfy</w:t>
      </w:r>
      <w:r>
        <w:rPr>
          <w:spacing w:val="-12"/>
          <w:sz w:val="21"/>
        </w:rPr>
        <w:t> </w:t>
      </w:r>
      <w:r>
        <w:rPr>
          <w:sz w:val="21"/>
        </w:rPr>
        <w:t>judgement….‖</w:t>
        <w:tab/>
        <w:t>(Emphasis supplied)</w:t>
      </w:r>
    </w:p>
    <w:p>
      <w:pPr>
        <w:pStyle w:val="BodyText"/>
        <w:rPr>
          <w:sz w:val="24"/>
        </w:rPr>
      </w:pPr>
    </w:p>
    <w:p>
      <w:pPr>
        <w:pStyle w:val="BodyText"/>
        <w:spacing w:before="1"/>
        <w:rPr>
          <w:sz w:val="26"/>
        </w:rPr>
      </w:pPr>
    </w:p>
    <w:p>
      <w:pPr>
        <w:pStyle w:val="BodyText"/>
        <w:spacing w:line="480" w:lineRule="auto"/>
        <w:ind w:left="500" w:right="440"/>
        <w:jc w:val="both"/>
      </w:pPr>
      <w:r>
        <w:rPr/>
        <w:t>In this view, the conferral of legal personality on a ship sub-served the purpose of business certainty and expediency. The decree against the ship binds all interested in her, and despite her nomadic nature, satisfies the requirement of ensuring pre-judgment security. Besides the UK and India, the attribution of legal personality to ships has been used extensively across jurisdictions. Illustrating the approach of American courts, Professor Douglas Lind traces the evolution of the</w:t>
      </w:r>
      <w:r>
        <w:rPr>
          <w:spacing w:val="-1"/>
        </w:rPr>
        <w:t> </w:t>
      </w:r>
      <w:r>
        <w:rPr/>
        <w:t>concept:</w:t>
      </w:r>
    </w:p>
    <w:p>
      <w:pPr>
        <w:spacing w:line="276" w:lineRule="auto" w:before="0"/>
        <w:ind w:left="1940" w:right="2262" w:firstLine="57"/>
        <w:jc w:val="both"/>
        <w:rPr>
          <w:sz w:val="21"/>
        </w:rPr>
      </w:pPr>
      <w:r>
        <w:rPr>
          <w:spacing w:val="-1"/>
          <w:w w:val="33"/>
          <w:sz w:val="21"/>
        </w:rPr>
        <w:t>―</w:t>
      </w:r>
      <w:r>
        <w:rPr>
          <w:w w:val="100"/>
          <w:sz w:val="21"/>
        </w:rPr>
        <w:t>As</w:t>
      </w:r>
      <w:r>
        <w:rPr>
          <w:sz w:val="21"/>
        </w:rPr>
        <w:t> </w:t>
      </w:r>
      <w:r>
        <w:rPr>
          <w:spacing w:val="-14"/>
          <w:sz w:val="21"/>
        </w:rPr>
        <w:t> </w:t>
      </w:r>
      <w:r>
        <w:rPr>
          <w:spacing w:val="-2"/>
          <w:w w:val="100"/>
          <w:sz w:val="21"/>
        </w:rPr>
        <w:t>t</w:t>
      </w:r>
      <w:r>
        <w:rPr>
          <w:spacing w:val="-1"/>
          <w:w w:val="100"/>
          <w:sz w:val="21"/>
        </w:rPr>
        <w:t>h</w:t>
      </w:r>
      <w:r>
        <w:rPr>
          <w:w w:val="100"/>
          <w:sz w:val="21"/>
        </w:rPr>
        <w:t>e</w:t>
      </w:r>
      <w:r>
        <w:rPr>
          <w:sz w:val="21"/>
        </w:rPr>
        <w:t> </w:t>
      </w:r>
      <w:r>
        <w:rPr>
          <w:spacing w:val="-16"/>
          <w:sz w:val="21"/>
        </w:rPr>
        <w:t> </w:t>
      </w:r>
      <w:r>
        <w:rPr>
          <w:w w:val="100"/>
          <w:sz w:val="21"/>
        </w:rPr>
        <w:t>U</w:t>
      </w:r>
      <w:r>
        <w:rPr>
          <w:spacing w:val="-3"/>
          <w:w w:val="100"/>
          <w:sz w:val="21"/>
        </w:rPr>
        <w:t>n</w:t>
      </w:r>
      <w:r>
        <w:rPr>
          <w:w w:val="100"/>
          <w:sz w:val="21"/>
        </w:rPr>
        <w:t>i</w:t>
      </w:r>
      <w:r>
        <w:rPr>
          <w:spacing w:val="-2"/>
          <w:w w:val="100"/>
          <w:sz w:val="21"/>
        </w:rPr>
        <w:t>t</w:t>
      </w:r>
      <w:r>
        <w:rPr>
          <w:spacing w:val="-1"/>
          <w:w w:val="100"/>
          <w:sz w:val="21"/>
        </w:rPr>
        <w:t>e</w:t>
      </w:r>
      <w:r>
        <w:rPr>
          <w:w w:val="100"/>
          <w:sz w:val="21"/>
        </w:rPr>
        <w:t>d</w:t>
      </w:r>
      <w:r>
        <w:rPr>
          <w:sz w:val="21"/>
        </w:rPr>
        <w:t> </w:t>
      </w:r>
      <w:r>
        <w:rPr>
          <w:spacing w:val="-14"/>
          <w:sz w:val="21"/>
        </w:rPr>
        <w:t> </w:t>
      </w:r>
      <w:r>
        <w:rPr>
          <w:w w:val="100"/>
          <w:sz w:val="21"/>
        </w:rPr>
        <w:t>S</w:t>
      </w:r>
      <w:r>
        <w:rPr>
          <w:spacing w:val="-2"/>
          <w:w w:val="100"/>
          <w:sz w:val="21"/>
        </w:rPr>
        <w:t>t</w:t>
      </w:r>
      <w:r>
        <w:rPr>
          <w:w w:val="100"/>
          <w:sz w:val="21"/>
        </w:rPr>
        <w:t>a</w:t>
      </w:r>
      <w:r>
        <w:rPr>
          <w:spacing w:val="-1"/>
          <w:w w:val="100"/>
          <w:sz w:val="21"/>
        </w:rPr>
        <w:t>t</w:t>
      </w:r>
      <w:r>
        <w:rPr>
          <w:w w:val="100"/>
          <w:sz w:val="21"/>
        </w:rPr>
        <w:t>es</w:t>
      </w:r>
      <w:r>
        <w:rPr>
          <w:sz w:val="21"/>
        </w:rPr>
        <w:t> </w:t>
      </w:r>
      <w:r>
        <w:rPr>
          <w:spacing w:val="-14"/>
          <w:sz w:val="21"/>
        </w:rPr>
        <w:t> </w:t>
      </w:r>
      <w:r>
        <w:rPr>
          <w:spacing w:val="-3"/>
          <w:w w:val="100"/>
          <w:sz w:val="21"/>
        </w:rPr>
        <w:t>e</w:t>
      </w:r>
      <w:r>
        <w:rPr>
          <w:w w:val="100"/>
          <w:sz w:val="21"/>
        </w:rPr>
        <w:t>n</w:t>
      </w:r>
      <w:r>
        <w:rPr>
          <w:spacing w:val="-1"/>
          <w:w w:val="100"/>
          <w:sz w:val="21"/>
        </w:rPr>
        <w:t>t</w:t>
      </w:r>
      <w:r>
        <w:rPr>
          <w:w w:val="100"/>
          <w:sz w:val="21"/>
        </w:rPr>
        <w:t>ered</w:t>
      </w:r>
      <w:r>
        <w:rPr>
          <w:sz w:val="21"/>
        </w:rPr>
        <w:t> </w:t>
      </w:r>
      <w:r>
        <w:rPr>
          <w:spacing w:val="-14"/>
          <w:sz w:val="21"/>
        </w:rPr>
        <w:t> </w:t>
      </w:r>
      <w:r>
        <w:rPr>
          <w:w w:val="100"/>
          <w:sz w:val="21"/>
        </w:rPr>
        <w:t>i</w:t>
      </w:r>
      <w:r>
        <w:rPr>
          <w:spacing w:val="-2"/>
          <w:w w:val="100"/>
          <w:sz w:val="21"/>
        </w:rPr>
        <w:t>t</w:t>
      </w:r>
      <w:r>
        <w:rPr>
          <w:w w:val="100"/>
          <w:sz w:val="21"/>
        </w:rPr>
        <w:t>s</w:t>
      </w:r>
      <w:r>
        <w:rPr>
          <w:sz w:val="21"/>
        </w:rPr>
        <w:t> </w:t>
      </w:r>
      <w:r>
        <w:rPr>
          <w:spacing w:val="-17"/>
          <w:sz w:val="21"/>
        </w:rPr>
        <w:t> </w:t>
      </w:r>
      <w:r>
        <w:rPr>
          <w:spacing w:val="-2"/>
          <w:w w:val="100"/>
          <w:sz w:val="21"/>
        </w:rPr>
        <w:t>f</w:t>
      </w:r>
      <w:r>
        <w:rPr>
          <w:w w:val="100"/>
          <w:sz w:val="21"/>
        </w:rPr>
        <w:t>i</w:t>
      </w:r>
      <w:r>
        <w:rPr>
          <w:spacing w:val="-1"/>
          <w:w w:val="100"/>
          <w:sz w:val="21"/>
        </w:rPr>
        <w:t>r</w:t>
      </w:r>
      <w:r>
        <w:rPr>
          <w:w w:val="100"/>
          <w:sz w:val="21"/>
        </w:rPr>
        <w:t>st</w:t>
      </w:r>
      <w:r>
        <w:rPr>
          <w:sz w:val="21"/>
        </w:rPr>
        <w:t> </w:t>
      </w:r>
      <w:r>
        <w:rPr>
          <w:spacing w:val="-15"/>
          <w:sz w:val="21"/>
        </w:rPr>
        <w:t> </w:t>
      </w:r>
      <w:r>
        <w:rPr>
          <w:w w:val="100"/>
          <w:sz w:val="21"/>
        </w:rPr>
        <w:t>cen</w:t>
      </w:r>
      <w:r>
        <w:rPr>
          <w:spacing w:val="-4"/>
          <w:w w:val="100"/>
          <w:sz w:val="21"/>
        </w:rPr>
        <w:t>t</w:t>
      </w:r>
      <w:r>
        <w:rPr>
          <w:w w:val="100"/>
          <w:sz w:val="21"/>
        </w:rPr>
        <w:t>ur</w:t>
      </w:r>
      <w:r>
        <w:rPr>
          <w:spacing w:val="-3"/>
          <w:w w:val="100"/>
          <w:sz w:val="21"/>
        </w:rPr>
        <w:t>y</w:t>
      </w:r>
      <w:r>
        <w:rPr>
          <w:w w:val="100"/>
          <w:sz w:val="21"/>
        </w:rPr>
        <w:t>,</w:t>
      </w:r>
      <w:r>
        <w:rPr>
          <w:sz w:val="21"/>
        </w:rPr>
        <w:t> </w:t>
      </w:r>
      <w:r>
        <w:rPr>
          <w:spacing w:val="-15"/>
          <w:sz w:val="21"/>
        </w:rPr>
        <w:t> </w:t>
      </w:r>
      <w:r>
        <w:rPr>
          <w:spacing w:val="1"/>
          <w:w w:val="100"/>
          <w:sz w:val="21"/>
        </w:rPr>
        <w:t>t</w:t>
      </w:r>
      <w:r>
        <w:rPr>
          <w:w w:val="100"/>
          <w:sz w:val="21"/>
        </w:rPr>
        <w:t>he</w:t>
      </w:r>
      <w:r>
        <w:rPr>
          <w:sz w:val="21"/>
        </w:rPr>
        <w:t> </w:t>
      </w:r>
      <w:r>
        <w:rPr>
          <w:spacing w:val="-14"/>
          <w:sz w:val="21"/>
        </w:rPr>
        <w:t> </w:t>
      </w:r>
      <w:r>
        <w:rPr>
          <w:w w:val="100"/>
          <w:sz w:val="21"/>
        </w:rPr>
        <w:t>gr</w:t>
      </w:r>
      <w:r>
        <w:rPr>
          <w:spacing w:val="-3"/>
          <w:w w:val="100"/>
          <w:sz w:val="21"/>
        </w:rPr>
        <w:t>e</w:t>
      </w:r>
      <w:r>
        <w:rPr>
          <w:w w:val="100"/>
          <w:sz w:val="21"/>
        </w:rPr>
        <w:t>a</w:t>
      </w:r>
      <w:r>
        <w:rPr>
          <w:spacing w:val="-1"/>
          <w:w w:val="100"/>
          <w:sz w:val="21"/>
        </w:rPr>
        <w:t>t</w:t>
      </w:r>
      <w:r>
        <w:rPr>
          <w:w w:val="100"/>
          <w:sz w:val="21"/>
        </w:rPr>
        <w:t>er </w:t>
      </w:r>
      <w:r>
        <w:rPr>
          <w:sz w:val="21"/>
        </w:rPr>
        <w:t>part of the nation's trade and commerce, as well as much of the general transportation of persons, occurred on the high seas or along the country‘s abundant inland navigable waterways. </w:t>
      </w:r>
      <w:r>
        <w:rPr>
          <w:b/>
          <w:sz w:val="21"/>
        </w:rPr>
        <w:t>The constitution had extended </w:t>
      </w:r>
      <w:r>
        <w:rPr>
          <w:b/>
          <w:spacing w:val="-2"/>
          <w:sz w:val="21"/>
        </w:rPr>
        <w:t>the </w:t>
      </w:r>
      <w:r>
        <w:rPr>
          <w:b/>
          <w:sz w:val="21"/>
        </w:rPr>
        <w:t>federal judicial power to all cases of admiralty and maritime jurisdiction</w:t>
      </w:r>
      <w:r>
        <w:rPr>
          <w:sz w:val="21"/>
        </w:rPr>
        <w:t>.</w:t>
      </w:r>
    </w:p>
    <w:p>
      <w:pPr>
        <w:spacing w:before="0"/>
        <w:ind w:left="1940" w:right="0" w:firstLine="0"/>
        <w:jc w:val="left"/>
        <w:rPr>
          <w:sz w:val="21"/>
        </w:rPr>
      </w:pPr>
      <w:r>
        <w:rPr>
          <w:w w:val="100"/>
          <w:sz w:val="21"/>
        </w:rPr>
        <w:t>…</w:t>
      </w:r>
    </w:p>
    <w:p>
      <w:pPr>
        <w:spacing w:line="276" w:lineRule="auto" w:before="34"/>
        <w:ind w:left="1940" w:right="2262" w:firstLine="0"/>
        <w:jc w:val="both"/>
        <w:rPr>
          <w:b/>
          <w:sz w:val="21"/>
        </w:rPr>
      </w:pPr>
      <w:r>
        <w:rPr>
          <w:sz w:val="21"/>
        </w:rPr>
        <w:t>[The Brig James Wells v United States] case raised what was quickly becoming a common issue: whether an American registered vessel should be condemned for violating a federal law. The Court held the Brig's condemnation inevitable. Noteworthy is the fact that </w:t>
      </w:r>
      <w:r>
        <w:rPr>
          <w:b/>
          <w:sz w:val="21"/>
        </w:rPr>
        <w:t>while the case was styled in the name of the vessel, neither the term 'maritime lien' nor 'in rem, appears, and there is no suggestion that the ship itself, rather than those in charge of it, was the offender</w:t>
      </w:r>
    </w:p>
    <w:p>
      <w:pPr>
        <w:spacing w:line="276" w:lineRule="auto" w:before="1"/>
        <w:ind w:left="1940" w:right="2264" w:firstLine="0"/>
        <w:jc w:val="both"/>
        <w:rPr>
          <w:b/>
          <w:sz w:val="21"/>
        </w:rPr>
      </w:pPr>
      <w:r>
        <w:rPr>
          <w:sz w:val="21"/>
        </w:rPr>
        <w:t>… </w:t>
      </w:r>
      <w:r>
        <w:rPr>
          <w:b/>
          <w:sz w:val="21"/>
        </w:rPr>
        <w:t>The practice of naming an action against a vessel did not, however, attest to the idea of vessel personification. The Court treated actions styled against a vessel as including everyone with an interest in her as ―a party to the suit.‖</w:t>
      </w:r>
    </w:p>
    <w:p>
      <w:pPr>
        <w:spacing w:line="241" w:lineRule="exact" w:before="0"/>
        <w:ind w:left="1940" w:right="0" w:firstLine="0"/>
        <w:jc w:val="left"/>
        <w:rPr>
          <w:sz w:val="21"/>
        </w:rPr>
      </w:pPr>
      <w:r>
        <w:rPr>
          <w:w w:val="100"/>
          <w:sz w:val="21"/>
        </w:rPr>
        <w:t>…</w:t>
      </w:r>
    </w:p>
    <w:p>
      <w:pPr>
        <w:spacing w:after="0" w:line="241" w:lineRule="exact"/>
        <w:jc w:val="left"/>
        <w:rPr>
          <w:sz w:val="21"/>
        </w:rPr>
        <w:sectPr>
          <w:pgSz w:w="11910" w:h="16840"/>
          <w:pgMar w:header="721" w:footer="1014" w:top="1300" w:bottom="1200" w:left="940" w:right="1000"/>
        </w:sectPr>
      </w:pPr>
    </w:p>
    <w:p>
      <w:pPr>
        <w:tabs>
          <w:tab w:pos="5394" w:val="left" w:leader="none"/>
        </w:tabs>
        <w:spacing w:line="276" w:lineRule="auto" w:before="122"/>
        <w:ind w:left="1940" w:right="2260" w:firstLine="0"/>
        <w:jc w:val="both"/>
        <w:rPr>
          <w:sz w:val="21"/>
        </w:rPr>
      </w:pPr>
      <w:r>
        <w:rPr>
          <w:sz w:val="21"/>
        </w:rPr>
        <w:t>Numerous cases had troubled the federal courts regarding enforcement of liens when the principals (owners, masters) with interests in a ship had no active role or prior knowledge of the wrongdoing alleged. </w:t>
      </w:r>
      <w:r>
        <w:rPr>
          <w:b/>
          <w:sz w:val="21"/>
        </w:rPr>
        <w:t>Traditional law of agency, with the ship as agent, worked against a coherent rule of responsibility and recovery </w:t>
      </w:r>
      <w:r>
        <w:rPr>
          <w:sz w:val="21"/>
        </w:rPr>
        <w:t>… Given the peculiar vitalism of the ship in lore, literature, and poetry, it took only a slight conceptual shift in the legal mind for the federal courts to </w:t>
      </w:r>
      <w:r>
        <w:rPr>
          <w:w w:val="100"/>
          <w:sz w:val="21"/>
        </w:rPr>
        <w:t>ass</w:t>
      </w:r>
      <w:r>
        <w:rPr>
          <w:spacing w:val="-3"/>
          <w:w w:val="100"/>
          <w:sz w:val="21"/>
        </w:rPr>
        <w:t>u</w:t>
      </w:r>
      <w:r>
        <w:rPr>
          <w:spacing w:val="-1"/>
          <w:w w:val="100"/>
          <w:sz w:val="21"/>
        </w:rPr>
        <w:t>m</w:t>
      </w:r>
      <w:r>
        <w:rPr>
          <w:w w:val="100"/>
          <w:sz w:val="21"/>
        </w:rPr>
        <w:t>e</w:t>
      </w:r>
      <w:r>
        <w:rPr>
          <w:spacing w:val="8"/>
          <w:sz w:val="21"/>
        </w:rPr>
        <w:t> </w:t>
      </w:r>
      <w:r>
        <w:rPr>
          <w:spacing w:val="-2"/>
          <w:w w:val="100"/>
          <w:sz w:val="21"/>
        </w:rPr>
        <w:t>t</w:t>
      </w:r>
      <w:r>
        <w:rPr>
          <w:spacing w:val="-1"/>
          <w:w w:val="100"/>
          <w:sz w:val="21"/>
        </w:rPr>
        <w:t>h</w:t>
      </w:r>
      <w:r>
        <w:rPr>
          <w:w w:val="100"/>
          <w:sz w:val="21"/>
        </w:rPr>
        <w:t>e</w:t>
      </w:r>
      <w:r>
        <w:rPr>
          <w:spacing w:val="8"/>
          <w:sz w:val="21"/>
        </w:rPr>
        <w:t> </w:t>
      </w:r>
      <w:r>
        <w:rPr>
          <w:spacing w:val="-4"/>
          <w:w w:val="33"/>
          <w:sz w:val="21"/>
        </w:rPr>
        <w:t>―</w:t>
      </w:r>
      <w:r>
        <w:rPr>
          <w:spacing w:val="1"/>
          <w:w w:val="100"/>
          <w:sz w:val="21"/>
        </w:rPr>
        <w:t>m</w:t>
      </w:r>
      <w:r>
        <w:rPr>
          <w:spacing w:val="-3"/>
          <w:w w:val="100"/>
          <w:sz w:val="21"/>
        </w:rPr>
        <w:t>e</w:t>
      </w:r>
      <w:r>
        <w:rPr>
          <w:spacing w:val="-1"/>
          <w:w w:val="100"/>
          <w:sz w:val="21"/>
        </w:rPr>
        <w:t>nta</w:t>
      </w:r>
      <w:r>
        <w:rPr>
          <w:w w:val="100"/>
          <w:sz w:val="21"/>
        </w:rPr>
        <w:t>l</w:t>
      </w:r>
      <w:r>
        <w:rPr>
          <w:spacing w:val="7"/>
          <w:sz w:val="21"/>
        </w:rPr>
        <w:t> </w:t>
      </w:r>
      <w:r>
        <w:rPr>
          <w:spacing w:val="-1"/>
          <w:w w:val="100"/>
          <w:sz w:val="21"/>
        </w:rPr>
        <w:t>mod</w:t>
      </w:r>
      <w:r>
        <w:rPr>
          <w:spacing w:val="-2"/>
          <w:w w:val="100"/>
          <w:sz w:val="21"/>
        </w:rPr>
        <w:t>e</w:t>
      </w:r>
      <w:r>
        <w:rPr>
          <w:w w:val="81"/>
          <w:sz w:val="21"/>
        </w:rPr>
        <w:t>‖</w:t>
      </w:r>
      <w:r>
        <w:rPr>
          <w:spacing w:val="7"/>
          <w:sz w:val="21"/>
        </w:rPr>
        <w:t> </w:t>
      </w:r>
      <w:r>
        <w:rPr>
          <w:spacing w:val="-1"/>
          <w:w w:val="100"/>
          <w:sz w:val="21"/>
        </w:rPr>
        <w:t>o</w:t>
      </w:r>
      <w:r>
        <w:rPr>
          <w:w w:val="100"/>
          <w:sz w:val="21"/>
        </w:rPr>
        <w:t>f</w:t>
      </w:r>
      <w:r>
        <w:rPr>
          <w:spacing w:val="9"/>
          <w:sz w:val="21"/>
        </w:rPr>
        <w:t> </w:t>
      </w:r>
      <w:r>
        <w:rPr>
          <w:spacing w:val="-3"/>
          <w:w w:val="100"/>
          <w:sz w:val="21"/>
        </w:rPr>
        <w:t>a</w:t>
      </w:r>
      <w:r>
        <w:rPr>
          <w:spacing w:val="-1"/>
          <w:w w:val="100"/>
          <w:sz w:val="21"/>
        </w:rPr>
        <w:t>dapta</w:t>
      </w:r>
      <w:r>
        <w:rPr>
          <w:spacing w:val="-5"/>
          <w:w w:val="100"/>
          <w:sz w:val="21"/>
        </w:rPr>
        <w:t>t</w:t>
      </w:r>
      <w:r>
        <w:rPr>
          <w:w w:val="100"/>
          <w:sz w:val="21"/>
        </w:rPr>
        <w:t>i</w:t>
      </w:r>
      <w:r>
        <w:rPr>
          <w:spacing w:val="-1"/>
          <w:w w:val="100"/>
          <w:sz w:val="21"/>
        </w:rPr>
        <w:t>o</w:t>
      </w:r>
      <w:r>
        <w:rPr>
          <w:w w:val="100"/>
          <w:sz w:val="21"/>
        </w:rPr>
        <w:t>n</w:t>
      </w:r>
      <w:r>
        <w:rPr>
          <w:spacing w:val="8"/>
          <w:sz w:val="21"/>
        </w:rPr>
        <w:t> </w:t>
      </w:r>
      <w:r>
        <w:rPr>
          <w:spacing w:val="-2"/>
          <w:w w:val="100"/>
          <w:sz w:val="21"/>
        </w:rPr>
        <w:t>t</w:t>
      </w:r>
      <w:r>
        <w:rPr>
          <w:w w:val="100"/>
          <w:sz w:val="21"/>
        </w:rPr>
        <w:t>o</w:t>
      </w:r>
      <w:r>
        <w:rPr>
          <w:spacing w:val="8"/>
          <w:sz w:val="21"/>
        </w:rPr>
        <w:t> </w:t>
      </w:r>
      <w:r>
        <w:rPr>
          <w:spacing w:val="-2"/>
          <w:w w:val="100"/>
          <w:sz w:val="21"/>
        </w:rPr>
        <w:t>[t</w:t>
      </w:r>
      <w:r>
        <w:rPr>
          <w:spacing w:val="-1"/>
          <w:w w:val="100"/>
          <w:sz w:val="21"/>
        </w:rPr>
        <w:t>he</w:t>
      </w:r>
      <w:r>
        <w:rPr>
          <w:w w:val="100"/>
          <w:sz w:val="21"/>
        </w:rPr>
        <w:t>]</w:t>
      </w:r>
      <w:r>
        <w:rPr>
          <w:spacing w:val="7"/>
          <w:sz w:val="21"/>
        </w:rPr>
        <w:t> </w:t>
      </w:r>
      <w:r>
        <w:rPr>
          <w:spacing w:val="-1"/>
          <w:w w:val="100"/>
          <w:sz w:val="21"/>
        </w:rPr>
        <w:t>r</w:t>
      </w:r>
      <w:r>
        <w:rPr>
          <w:spacing w:val="-3"/>
          <w:w w:val="100"/>
          <w:sz w:val="21"/>
        </w:rPr>
        <w:t>ea</w:t>
      </w:r>
      <w:r>
        <w:rPr>
          <w:w w:val="100"/>
          <w:sz w:val="21"/>
        </w:rPr>
        <w:t>li</w:t>
      </w:r>
      <w:r>
        <w:rPr>
          <w:spacing w:val="-2"/>
          <w:w w:val="100"/>
          <w:sz w:val="21"/>
        </w:rPr>
        <w:t>t</w:t>
      </w:r>
      <w:r>
        <w:rPr>
          <w:w w:val="100"/>
          <w:sz w:val="21"/>
        </w:rPr>
        <w:t>y</w:t>
      </w:r>
      <w:r>
        <w:rPr>
          <w:spacing w:val="6"/>
          <w:sz w:val="21"/>
        </w:rPr>
        <w:t> </w:t>
      </w:r>
      <w:r>
        <w:rPr>
          <w:spacing w:val="-1"/>
          <w:w w:val="100"/>
          <w:sz w:val="21"/>
        </w:rPr>
        <w:t>o</w:t>
      </w:r>
      <w:r>
        <w:rPr>
          <w:w w:val="100"/>
          <w:sz w:val="21"/>
        </w:rPr>
        <w:t>f</w:t>
      </w:r>
      <w:r>
        <w:rPr>
          <w:spacing w:val="9"/>
          <w:sz w:val="21"/>
        </w:rPr>
        <w:t> </w:t>
      </w:r>
      <w:r>
        <w:rPr>
          <w:spacing w:val="-2"/>
          <w:w w:val="100"/>
          <w:sz w:val="21"/>
        </w:rPr>
        <w:t>t</w:t>
      </w:r>
      <w:r>
        <w:rPr>
          <w:spacing w:val="-3"/>
          <w:w w:val="100"/>
          <w:sz w:val="21"/>
        </w:rPr>
        <w:t>h</w:t>
      </w:r>
      <w:r>
        <w:rPr>
          <w:w w:val="100"/>
          <w:sz w:val="21"/>
        </w:rPr>
        <w:t>e </w:t>
      </w:r>
      <w:r>
        <w:rPr>
          <w:spacing w:val="-3"/>
          <w:w w:val="100"/>
          <w:sz w:val="21"/>
        </w:rPr>
        <w:t>v</w:t>
      </w:r>
      <w:r>
        <w:rPr>
          <w:w w:val="100"/>
          <w:sz w:val="21"/>
        </w:rPr>
        <w:t>i</w:t>
      </w:r>
      <w:r>
        <w:rPr>
          <w:spacing w:val="-2"/>
          <w:w w:val="100"/>
          <w:sz w:val="21"/>
        </w:rPr>
        <w:t>t</w:t>
      </w:r>
      <w:r>
        <w:rPr>
          <w:spacing w:val="-1"/>
          <w:w w:val="100"/>
          <w:sz w:val="21"/>
        </w:rPr>
        <w:t>a</w:t>
      </w:r>
      <w:r>
        <w:rPr>
          <w:spacing w:val="1"/>
          <w:w w:val="100"/>
          <w:sz w:val="21"/>
        </w:rPr>
        <w:t>l</w:t>
      </w:r>
      <w:r>
        <w:rPr>
          <w:w w:val="100"/>
          <w:sz w:val="21"/>
        </w:rPr>
        <w:t>i</w:t>
      </w:r>
      <w:r>
        <w:rPr>
          <w:spacing w:val="-3"/>
          <w:w w:val="100"/>
          <w:sz w:val="21"/>
        </w:rPr>
        <w:t>s</w:t>
      </w:r>
      <w:r>
        <w:rPr>
          <w:w w:val="100"/>
          <w:sz w:val="21"/>
        </w:rPr>
        <w:t>m</w:t>
      </w:r>
      <w:r>
        <w:rPr>
          <w:spacing w:val="14"/>
          <w:sz w:val="21"/>
        </w:rPr>
        <w:t> </w:t>
      </w:r>
      <w:r>
        <w:rPr>
          <w:spacing w:val="-3"/>
          <w:w w:val="100"/>
          <w:sz w:val="21"/>
        </w:rPr>
        <w:t>o</w:t>
      </w:r>
      <w:r>
        <w:rPr>
          <w:w w:val="100"/>
          <w:sz w:val="21"/>
        </w:rPr>
        <w:t>f</w:t>
      </w:r>
      <w:r>
        <w:rPr>
          <w:spacing w:val="14"/>
          <w:sz w:val="21"/>
        </w:rPr>
        <w:t> </w:t>
      </w:r>
      <w:r>
        <w:rPr>
          <w:spacing w:val="-2"/>
          <w:w w:val="100"/>
          <w:sz w:val="21"/>
        </w:rPr>
        <w:t>t</w:t>
      </w:r>
      <w:r>
        <w:rPr>
          <w:spacing w:val="-1"/>
          <w:w w:val="100"/>
          <w:sz w:val="21"/>
        </w:rPr>
        <w:t>h</w:t>
      </w:r>
      <w:r>
        <w:rPr>
          <w:w w:val="100"/>
          <w:sz w:val="21"/>
        </w:rPr>
        <w:t>e</w:t>
      </w:r>
      <w:r>
        <w:rPr>
          <w:spacing w:val="13"/>
          <w:sz w:val="21"/>
        </w:rPr>
        <w:t> </w:t>
      </w:r>
      <w:r>
        <w:rPr>
          <w:w w:val="100"/>
          <w:sz w:val="21"/>
        </w:rPr>
        <w:t>s</w:t>
      </w:r>
      <w:r>
        <w:rPr>
          <w:spacing w:val="-3"/>
          <w:w w:val="100"/>
          <w:sz w:val="21"/>
        </w:rPr>
        <w:t>h</w:t>
      </w:r>
      <w:r>
        <w:rPr>
          <w:w w:val="100"/>
          <w:sz w:val="21"/>
        </w:rPr>
        <w:t>i</w:t>
      </w:r>
      <w:r>
        <w:rPr>
          <w:spacing w:val="-1"/>
          <w:w w:val="100"/>
          <w:sz w:val="21"/>
        </w:rPr>
        <w:t>p</w:t>
      </w:r>
      <w:r>
        <w:rPr>
          <w:w w:val="100"/>
          <w:sz w:val="21"/>
        </w:rPr>
        <w:t>.</w:t>
      </w:r>
      <w:r>
        <w:rPr>
          <w:spacing w:val="12"/>
          <w:sz w:val="21"/>
        </w:rPr>
        <w:t> </w:t>
      </w:r>
      <w:r>
        <w:rPr>
          <w:w w:val="100"/>
          <w:sz w:val="21"/>
        </w:rPr>
        <w:t>T</w:t>
      </w:r>
      <w:r>
        <w:rPr>
          <w:spacing w:val="-2"/>
          <w:w w:val="100"/>
          <w:sz w:val="21"/>
        </w:rPr>
        <w:t>h</w:t>
      </w:r>
      <w:r>
        <w:rPr>
          <w:w w:val="100"/>
          <w:sz w:val="21"/>
        </w:rPr>
        <w:t>e</w:t>
      </w:r>
      <w:r>
        <w:rPr>
          <w:spacing w:val="13"/>
          <w:sz w:val="21"/>
        </w:rPr>
        <w:t> </w:t>
      </w:r>
      <w:r>
        <w:rPr>
          <w:spacing w:val="-1"/>
          <w:w w:val="100"/>
          <w:sz w:val="21"/>
        </w:rPr>
        <w:t>doctr</w:t>
      </w:r>
      <w:r>
        <w:rPr>
          <w:w w:val="100"/>
          <w:sz w:val="21"/>
        </w:rPr>
        <w:t>i</w:t>
      </w:r>
      <w:r>
        <w:rPr>
          <w:spacing w:val="-1"/>
          <w:w w:val="100"/>
          <w:sz w:val="21"/>
        </w:rPr>
        <w:t>n</w:t>
      </w:r>
      <w:r>
        <w:rPr>
          <w:w w:val="100"/>
          <w:sz w:val="21"/>
        </w:rPr>
        <w:t>e</w:t>
      </w:r>
      <w:r>
        <w:rPr>
          <w:spacing w:val="13"/>
          <w:sz w:val="21"/>
        </w:rPr>
        <w:t> </w:t>
      </w:r>
      <w:r>
        <w:rPr>
          <w:spacing w:val="-3"/>
          <w:w w:val="100"/>
          <w:sz w:val="21"/>
        </w:rPr>
        <w:t>g</w:t>
      </w:r>
      <w:r>
        <w:rPr>
          <w:spacing w:val="-1"/>
          <w:w w:val="100"/>
          <w:sz w:val="21"/>
        </w:rPr>
        <w:t>a</w:t>
      </w:r>
      <w:r>
        <w:rPr>
          <w:spacing w:val="-3"/>
          <w:w w:val="100"/>
          <w:sz w:val="21"/>
        </w:rPr>
        <w:t>v</w:t>
      </w:r>
      <w:r>
        <w:rPr>
          <w:w w:val="100"/>
          <w:sz w:val="21"/>
        </w:rPr>
        <w:t>e</w:t>
      </w:r>
      <w:r>
        <w:rPr>
          <w:spacing w:val="13"/>
          <w:sz w:val="21"/>
        </w:rPr>
        <w:t> </w:t>
      </w:r>
      <w:r>
        <w:rPr>
          <w:spacing w:val="-2"/>
          <w:w w:val="100"/>
          <w:sz w:val="21"/>
        </w:rPr>
        <w:t>t</w:t>
      </w:r>
      <w:r>
        <w:rPr>
          <w:spacing w:val="-1"/>
          <w:w w:val="100"/>
          <w:sz w:val="21"/>
        </w:rPr>
        <w:t>h</w:t>
      </w:r>
      <w:r>
        <w:rPr>
          <w:w w:val="100"/>
          <w:sz w:val="21"/>
        </w:rPr>
        <w:t>e</w:t>
      </w:r>
      <w:r>
        <w:rPr>
          <w:spacing w:val="13"/>
          <w:sz w:val="21"/>
        </w:rPr>
        <w:t> </w:t>
      </w:r>
      <w:r>
        <w:rPr>
          <w:w w:val="100"/>
          <w:sz w:val="21"/>
        </w:rPr>
        <w:t>cour</w:t>
      </w:r>
      <w:r>
        <w:rPr>
          <w:spacing w:val="-2"/>
          <w:w w:val="100"/>
          <w:sz w:val="21"/>
        </w:rPr>
        <w:t>t</w:t>
      </w:r>
      <w:r>
        <w:rPr>
          <w:w w:val="100"/>
          <w:sz w:val="21"/>
        </w:rPr>
        <w:t>s</w:t>
      </w:r>
      <w:r>
        <w:rPr>
          <w:spacing w:val="13"/>
          <w:sz w:val="21"/>
        </w:rPr>
        <w:t> </w:t>
      </w:r>
      <w:r>
        <w:rPr>
          <w:spacing w:val="-2"/>
          <w:w w:val="100"/>
          <w:sz w:val="21"/>
        </w:rPr>
        <w:t>t</w:t>
      </w:r>
      <w:r>
        <w:rPr>
          <w:spacing w:val="-1"/>
          <w:w w:val="100"/>
          <w:sz w:val="21"/>
        </w:rPr>
        <w:t>h</w:t>
      </w:r>
      <w:r>
        <w:rPr>
          <w:w w:val="100"/>
          <w:sz w:val="21"/>
        </w:rPr>
        <w:t>e</w:t>
      </w:r>
      <w:r>
        <w:rPr>
          <w:spacing w:val="13"/>
          <w:sz w:val="21"/>
        </w:rPr>
        <w:t> </w:t>
      </w:r>
      <w:r>
        <w:rPr>
          <w:spacing w:val="-1"/>
          <w:w w:val="33"/>
          <w:sz w:val="21"/>
        </w:rPr>
        <w:t>―</w:t>
      </w:r>
      <w:r>
        <w:rPr>
          <w:w w:val="100"/>
          <w:sz w:val="21"/>
        </w:rPr>
        <w:t>con</w:t>
      </w:r>
      <w:r>
        <w:rPr>
          <w:spacing w:val="-1"/>
          <w:w w:val="100"/>
          <w:sz w:val="21"/>
        </w:rPr>
        <w:t>tr</w:t>
      </w:r>
      <w:r>
        <w:rPr>
          <w:spacing w:val="-3"/>
          <w:w w:val="100"/>
          <w:sz w:val="21"/>
        </w:rPr>
        <w:t>o</w:t>
      </w:r>
      <w:r>
        <w:rPr>
          <w:w w:val="100"/>
          <w:sz w:val="21"/>
        </w:rPr>
        <w:t>l </w:t>
      </w:r>
      <w:r>
        <w:rPr>
          <w:sz w:val="21"/>
        </w:rPr>
        <w:t>of the environment‖ over maritime law that they had been lacking … </w:t>
      </w:r>
      <w:r>
        <w:rPr>
          <w:b/>
          <w:sz w:val="21"/>
        </w:rPr>
        <w:t>with the doctrine of the personality of the ship, the Supreme Court inverted the relationship of agency, making the ship the principal rather than the agent. In this way, the ―desirable consequences‖ of a coherent, workable admiralty jurisdiction seemed possible. </w:t>
      </w:r>
      <w:r>
        <w:rPr>
          <w:sz w:val="21"/>
        </w:rPr>
        <w:t>The doctrine of the personality of the ship, that is, became a central hallmark of nineteenth century American admiralty law </w:t>
      </w:r>
      <w:r>
        <w:rPr>
          <w:spacing w:val="-1"/>
          <w:w w:val="100"/>
          <w:sz w:val="21"/>
        </w:rPr>
        <w:t>bec</w:t>
      </w:r>
      <w:r>
        <w:rPr>
          <w:spacing w:val="-2"/>
          <w:w w:val="100"/>
          <w:sz w:val="21"/>
        </w:rPr>
        <w:t>a</w:t>
      </w:r>
      <w:r>
        <w:rPr>
          <w:spacing w:val="-1"/>
          <w:w w:val="100"/>
          <w:sz w:val="21"/>
        </w:rPr>
        <w:t>us</w:t>
      </w:r>
      <w:r>
        <w:rPr>
          <w:w w:val="100"/>
          <w:sz w:val="21"/>
        </w:rPr>
        <w:t>e</w:t>
      </w:r>
      <w:r>
        <w:rPr>
          <w:spacing w:val="6"/>
          <w:sz w:val="21"/>
        </w:rPr>
        <w:t> </w:t>
      </w:r>
      <w:r>
        <w:rPr>
          <w:w w:val="100"/>
          <w:sz w:val="21"/>
        </w:rPr>
        <w:t>it</w:t>
      </w:r>
      <w:r>
        <w:rPr>
          <w:spacing w:val="7"/>
          <w:sz w:val="21"/>
        </w:rPr>
        <w:t> </w:t>
      </w:r>
      <w:r>
        <w:rPr>
          <w:spacing w:val="-1"/>
          <w:w w:val="100"/>
          <w:sz w:val="21"/>
        </w:rPr>
        <w:t>ap</w:t>
      </w:r>
      <w:r>
        <w:rPr>
          <w:spacing w:val="-2"/>
          <w:w w:val="100"/>
          <w:sz w:val="21"/>
        </w:rPr>
        <w:t>p</w:t>
      </w:r>
      <w:r>
        <w:rPr>
          <w:spacing w:val="-1"/>
          <w:w w:val="100"/>
          <w:sz w:val="21"/>
        </w:rPr>
        <w:t>ear</w:t>
      </w:r>
      <w:r>
        <w:rPr>
          <w:spacing w:val="-3"/>
          <w:w w:val="100"/>
          <w:sz w:val="21"/>
        </w:rPr>
        <w:t>e</w:t>
      </w:r>
      <w:r>
        <w:rPr>
          <w:w w:val="100"/>
          <w:sz w:val="21"/>
        </w:rPr>
        <w:t>d</w:t>
      </w:r>
      <w:r>
        <w:rPr>
          <w:spacing w:val="8"/>
          <w:sz w:val="21"/>
        </w:rPr>
        <w:t> </w:t>
      </w:r>
      <w:r>
        <w:rPr>
          <w:spacing w:val="-2"/>
          <w:w w:val="100"/>
          <w:sz w:val="21"/>
        </w:rPr>
        <w:t>t</w:t>
      </w:r>
      <w:r>
        <w:rPr>
          <w:w w:val="100"/>
          <w:sz w:val="21"/>
        </w:rPr>
        <w:t>o</w:t>
      </w:r>
      <w:r>
        <w:rPr>
          <w:spacing w:val="8"/>
          <w:sz w:val="21"/>
        </w:rPr>
        <w:t> </w:t>
      </w:r>
      <w:r>
        <w:rPr>
          <w:spacing w:val="-2"/>
          <w:w w:val="100"/>
          <w:sz w:val="21"/>
        </w:rPr>
        <w:t>t</w:t>
      </w:r>
      <w:r>
        <w:rPr>
          <w:spacing w:val="-3"/>
          <w:w w:val="100"/>
          <w:sz w:val="21"/>
        </w:rPr>
        <w:t>h</w:t>
      </w:r>
      <w:r>
        <w:rPr>
          <w:w w:val="100"/>
          <w:sz w:val="21"/>
        </w:rPr>
        <w:t>e</w:t>
      </w:r>
      <w:r>
        <w:rPr>
          <w:spacing w:val="8"/>
          <w:sz w:val="21"/>
        </w:rPr>
        <w:t> </w:t>
      </w:r>
      <w:r>
        <w:rPr>
          <w:w w:val="100"/>
          <w:sz w:val="21"/>
        </w:rPr>
        <w:t>S</w:t>
      </w:r>
      <w:r>
        <w:rPr>
          <w:spacing w:val="-3"/>
          <w:w w:val="100"/>
          <w:sz w:val="21"/>
        </w:rPr>
        <w:t>u</w:t>
      </w:r>
      <w:r>
        <w:rPr>
          <w:spacing w:val="-1"/>
          <w:w w:val="100"/>
          <w:sz w:val="21"/>
        </w:rPr>
        <w:t>pr</w:t>
      </w:r>
      <w:r>
        <w:rPr>
          <w:spacing w:val="-3"/>
          <w:w w:val="100"/>
          <w:sz w:val="21"/>
        </w:rPr>
        <w:t>e</w:t>
      </w:r>
      <w:r>
        <w:rPr>
          <w:spacing w:val="1"/>
          <w:w w:val="100"/>
          <w:sz w:val="21"/>
        </w:rPr>
        <w:t>m</w:t>
      </w:r>
      <w:r>
        <w:rPr>
          <w:w w:val="100"/>
          <w:sz w:val="21"/>
        </w:rPr>
        <w:t>e</w:t>
      </w:r>
      <w:r>
        <w:rPr>
          <w:spacing w:val="6"/>
          <w:sz w:val="21"/>
        </w:rPr>
        <w:t> </w:t>
      </w:r>
      <w:r>
        <w:rPr>
          <w:w w:val="100"/>
          <w:sz w:val="21"/>
        </w:rPr>
        <w:t>C</w:t>
      </w:r>
      <w:r>
        <w:rPr>
          <w:spacing w:val="-3"/>
          <w:w w:val="100"/>
          <w:sz w:val="21"/>
        </w:rPr>
        <w:t>o</w:t>
      </w:r>
      <w:r>
        <w:rPr>
          <w:spacing w:val="-1"/>
          <w:w w:val="100"/>
          <w:sz w:val="21"/>
        </w:rPr>
        <w:t>ur</w:t>
      </w:r>
      <w:r>
        <w:rPr>
          <w:w w:val="100"/>
          <w:sz w:val="21"/>
        </w:rPr>
        <w:t>t</w:t>
      </w:r>
      <w:r>
        <w:rPr>
          <w:spacing w:val="6"/>
          <w:sz w:val="21"/>
        </w:rPr>
        <w:t> </w:t>
      </w:r>
      <w:r>
        <w:rPr>
          <w:spacing w:val="-1"/>
          <w:w w:val="33"/>
          <w:sz w:val="21"/>
        </w:rPr>
        <w:t>―</w:t>
      </w:r>
      <w:r>
        <w:rPr>
          <w:spacing w:val="-2"/>
          <w:w w:val="100"/>
          <w:sz w:val="21"/>
        </w:rPr>
        <w:t>t</w:t>
      </w:r>
      <w:r>
        <w:rPr>
          <w:w w:val="100"/>
          <w:sz w:val="21"/>
        </w:rPr>
        <w:t>o</w:t>
      </w:r>
      <w:r>
        <w:rPr>
          <w:spacing w:val="8"/>
          <w:sz w:val="21"/>
        </w:rPr>
        <w:t> </w:t>
      </w:r>
      <w:r>
        <w:rPr>
          <w:spacing w:val="-1"/>
          <w:w w:val="100"/>
          <w:sz w:val="21"/>
        </w:rPr>
        <w:t>b</w:t>
      </w:r>
      <w:r>
        <w:rPr>
          <w:w w:val="100"/>
          <w:sz w:val="21"/>
        </w:rPr>
        <w:t>e</w:t>
      </w:r>
      <w:r>
        <w:rPr>
          <w:spacing w:val="8"/>
          <w:sz w:val="21"/>
        </w:rPr>
        <w:t> </w:t>
      </w:r>
      <w:r>
        <w:rPr>
          <w:spacing w:val="-3"/>
          <w:w w:val="100"/>
          <w:sz w:val="21"/>
        </w:rPr>
        <w:t>g</w:t>
      </w:r>
      <w:r>
        <w:rPr>
          <w:spacing w:val="-1"/>
          <w:w w:val="100"/>
          <w:sz w:val="21"/>
        </w:rPr>
        <w:t>oo</w:t>
      </w:r>
      <w:r>
        <w:rPr>
          <w:w w:val="100"/>
          <w:sz w:val="21"/>
        </w:rPr>
        <w:t>d</w:t>
      </w:r>
      <w:r>
        <w:rPr>
          <w:spacing w:val="6"/>
          <w:sz w:val="21"/>
        </w:rPr>
        <w:t> </w:t>
      </w:r>
      <w:r>
        <w:rPr>
          <w:w w:val="100"/>
          <w:sz w:val="21"/>
        </w:rPr>
        <w:t>in</w:t>
      </w:r>
      <w:r>
        <w:rPr>
          <w:spacing w:val="8"/>
          <w:sz w:val="21"/>
        </w:rPr>
        <w:t> </w:t>
      </w:r>
      <w:r>
        <w:rPr>
          <w:spacing w:val="-2"/>
          <w:w w:val="100"/>
          <w:sz w:val="21"/>
        </w:rPr>
        <w:t>t</w:t>
      </w:r>
      <w:r>
        <w:rPr>
          <w:spacing w:val="-1"/>
          <w:w w:val="100"/>
          <w:sz w:val="21"/>
        </w:rPr>
        <w:t>he </w:t>
      </w:r>
      <w:r>
        <w:rPr>
          <w:sz w:val="21"/>
        </w:rPr>
        <w:t>way of belief‖ … </w:t>
      </w:r>
      <w:r>
        <w:rPr>
          <w:b/>
          <w:sz w:val="21"/>
        </w:rPr>
        <w:t>The idea originated in the practical efforts of the Supreme Court, especially Justices Marshall and Story, to meet critical social and political needs of the new</w:t>
      </w:r>
      <w:r>
        <w:rPr>
          <w:b/>
          <w:spacing w:val="-6"/>
          <w:sz w:val="21"/>
        </w:rPr>
        <w:t> </w:t>
      </w:r>
      <w:r>
        <w:rPr>
          <w:b/>
          <w:sz w:val="21"/>
        </w:rPr>
        <w:t>American</w:t>
      </w:r>
      <w:r>
        <w:rPr>
          <w:b/>
          <w:spacing w:val="-9"/>
          <w:sz w:val="21"/>
        </w:rPr>
        <w:t> </w:t>
      </w:r>
      <w:r>
        <w:rPr>
          <w:b/>
          <w:sz w:val="21"/>
        </w:rPr>
        <w:t>republic.</w:t>
      </w:r>
      <w:r>
        <w:rPr>
          <w:sz w:val="21"/>
        </w:rPr>
        <w:t>‖</w:t>
      </w:r>
      <w:r>
        <w:rPr>
          <w:sz w:val="21"/>
          <w:vertAlign w:val="superscript"/>
        </w:rPr>
        <w:t>49</w:t>
      </w:r>
      <w:r>
        <w:rPr>
          <w:sz w:val="21"/>
          <w:vertAlign w:val="baseline"/>
        </w:rPr>
        <w:tab/>
        <w:t>(Emphasis</w:t>
      </w:r>
      <w:r>
        <w:rPr>
          <w:spacing w:val="-1"/>
          <w:sz w:val="21"/>
          <w:vertAlign w:val="baseline"/>
        </w:rPr>
        <w:t> </w:t>
      </w:r>
      <w:r>
        <w:rPr>
          <w:sz w:val="21"/>
          <w:vertAlign w:val="baseline"/>
        </w:rPr>
        <w:t>supplied)</w:t>
      </w:r>
    </w:p>
    <w:p>
      <w:pPr>
        <w:pStyle w:val="BodyText"/>
        <w:rPr>
          <w:sz w:val="26"/>
        </w:rPr>
      </w:pPr>
    </w:p>
    <w:p>
      <w:pPr>
        <w:pStyle w:val="BodyText"/>
        <w:spacing w:before="5"/>
        <w:rPr>
          <w:sz w:val="23"/>
        </w:rPr>
      </w:pPr>
    </w:p>
    <w:p>
      <w:pPr>
        <w:pStyle w:val="ListParagraph"/>
        <w:numPr>
          <w:ilvl w:val="0"/>
          <w:numId w:val="3"/>
        </w:numPr>
        <w:tabs>
          <w:tab w:pos="1221" w:val="left" w:leader="none"/>
        </w:tabs>
        <w:spacing w:line="480" w:lineRule="auto" w:before="0" w:after="0"/>
        <w:ind w:left="500" w:right="440" w:firstLine="0"/>
        <w:jc w:val="both"/>
        <w:rPr>
          <w:sz w:val="25"/>
        </w:rPr>
      </w:pPr>
      <w:r>
        <w:rPr>
          <w:sz w:val="25"/>
        </w:rPr>
        <w:t>The experience of American courts was that owners of offending ships regularly avoided the jurisdiction of courts. The existing law of the day was inadequate to address the situation. The judges of the American Supreme Court therefore utilised the existing non-legal practice of anthropomorphising the ship and gave it legal significance by conferring legal personality on vessels within their jurisdiction. Significantly, the existing law of agency was ill equipped to deal with the unique features of Admiralty Law. Allowing actions against ships then created a vehicle through which the obligations of those with an interest in the ships and her actions, though outside the jurisdiction of courts, would be fulfilled by the recognition by the law of the personality of the maritime vessel. Perhaps even</w:t>
      </w:r>
      <w:r>
        <w:rPr>
          <w:spacing w:val="17"/>
          <w:sz w:val="25"/>
        </w:rPr>
        <w:t> </w:t>
      </w:r>
      <w:r>
        <w:rPr>
          <w:sz w:val="25"/>
        </w:rPr>
        <w:t>more</w:t>
      </w:r>
      <w:r>
        <w:rPr>
          <w:spacing w:val="18"/>
          <w:sz w:val="25"/>
        </w:rPr>
        <w:t> </w:t>
      </w:r>
      <w:r>
        <w:rPr>
          <w:sz w:val="25"/>
        </w:rPr>
        <w:t>so</w:t>
      </w:r>
      <w:r>
        <w:rPr>
          <w:spacing w:val="18"/>
          <w:sz w:val="25"/>
        </w:rPr>
        <w:t> </w:t>
      </w:r>
      <w:r>
        <w:rPr>
          <w:sz w:val="25"/>
        </w:rPr>
        <w:t>than</w:t>
      </w:r>
      <w:r>
        <w:rPr>
          <w:spacing w:val="18"/>
          <w:sz w:val="25"/>
        </w:rPr>
        <w:t> </w:t>
      </w:r>
      <w:r>
        <w:rPr>
          <w:sz w:val="25"/>
        </w:rPr>
        <w:t>in</w:t>
      </w:r>
      <w:r>
        <w:rPr>
          <w:spacing w:val="18"/>
          <w:sz w:val="25"/>
        </w:rPr>
        <w:t> </w:t>
      </w:r>
      <w:r>
        <w:rPr>
          <w:sz w:val="25"/>
        </w:rPr>
        <w:t>the</w:t>
      </w:r>
      <w:r>
        <w:rPr>
          <w:spacing w:val="18"/>
          <w:sz w:val="25"/>
        </w:rPr>
        <w:t> </w:t>
      </w:r>
      <w:r>
        <w:rPr>
          <w:sz w:val="25"/>
        </w:rPr>
        <w:t>case</w:t>
      </w:r>
      <w:r>
        <w:rPr>
          <w:spacing w:val="18"/>
          <w:sz w:val="25"/>
        </w:rPr>
        <w:t> </w:t>
      </w:r>
      <w:r>
        <w:rPr>
          <w:sz w:val="25"/>
        </w:rPr>
        <w:t>of</w:t>
      </w:r>
      <w:r>
        <w:rPr>
          <w:spacing w:val="18"/>
          <w:sz w:val="25"/>
        </w:rPr>
        <w:t> </w:t>
      </w:r>
      <w:r>
        <w:rPr>
          <w:sz w:val="25"/>
        </w:rPr>
        <w:t>English</w:t>
      </w:r>
      <w:r>
        <w:rPr>
          <w:spacing w:val="18"/>
          <w:sz w:val="25"/>
        </w:rPr>
        <w:t> </w:t>
      </w:r>
      <w:r>
        <w:rPr>
          <w:sz w:val="25"/>
        </w:rPr>
        <w:t>admiralty</w:t>
      </w:r>
      <w:r>
        <w:rPr>
          <w:spacing w:val="15"/>
          <w:sz w:val="25"/>
        </w:rPr>
        <w:t> </w:t>
      </w:r>
      <w:r>
        <w:rPr>
          <w:sz w:val="25"/>
        </w:rPr>
        <w:t>courts,</w:t>
      </w:r>
      <w:r>
        <w:rPr>
          <w:spacing w:val="18"/>
          <w:sz w:val="25"/>
        </w:rPr>
        <w:t> </w:t>
      </w:r>
      <w:r>
        <w:rPr>
          <w:sz w:val="25"/>
        </w:rPr>
        <w:t>the</w:t>
      </w:r>
      <w:r>
        <w:rPr>
          <w:spacing w:val="18"/>
          <w:sz w:val="25"/>
        </w:rPr>
        <w:t> </w:t>
      </w:r>
      <w:r>
        <w:rPr>
          <w:sz w:val="25"/>
        </w:rPr>
        <w:t>American</w:t>
      </w:r>
    </w:p>
    <w:p>
      <w:pPr>
        <w:pStyle w:val="BodyText"/>
        <w:spacing w:before="8"/>
        <w:rPr>
          <w:sz w:val="9"/>
        </w:rPr>
      </w:pPr>
      <w:r>
        <w:rPr/>
        <w:pict>
          <v:rect style="position:absolute;margin-left:72.024002pt;margin-top:7.556038pt;width:144.020pt;height:.599980pt;mso-position-horizontal-relative:page;mso-position-vertical-relative:paragraph;z-index:-15710720;mso-wrap-distance-left:0;mso-wrap-distance-right:0" filled="true" fillcolor="#000000" stroked="false">
            <v:fill type="solid"/>
            <w10:wrap type="topAndBottom"/>
          </v:rect>
        </w:pict>
      </w:r>
    </w:p>
    <w:p>
      <w:pPr>
        <w:spacing w:before="78"/>
        <w:ind w:left="500" w:right="512" w:firstLine="0"/>
        <w:jc w:val="left"/>
        <w:rPr>
          <w:sz w:val="18"/>
        </w:rPr>
      </w:pPr>
      <w:r>
        <w:rPr>
          <w:sz w:val="18"/>
          <w:vertAlign w:val="superscript"/>
        </w:rPr>
        <w:t>49</w:t>
      </w:r>
      <w:r>
        <w:rPr>
          <w:sz w:val="18"/>
          <w:vertAlign w:val="baseline"/>
        </w:rPr>
        <w:t> Douglas Lind, Pragmatism and Anthropomorphism: Reconceiving the Doctrine of the Personality of the Ship, 22 U.S.F. Mar. L.J. 39 (2009) at page</w:t>
      </w:r>
      <w:r>
        <w:rPr>
          <w:spacing w:val="-5"/>
          <w:sz w:val="18"/>
          <w:vertAlign w:val="baseline"/>
        </w:rPr>
        <w:t> </w:t>
      </w:r>
      <w:r>
        <w:rPr>
          <w:sz w:val="18"/>
          <w:vertAlign w:val="baseline"/>
        </w:rPr>
        <w:t>91</w:t>
      </w:r>
    </w:p>
    <w:p>
      <w:pPr>
        <w:spacing w:after="0"/>
        <w:jc w:val="left"/>
        <w:rPr>
          <w:sz w:val="18"/>
        </w:rPr>
        <w:sectPr>
          <w:pgSz w:w="11910" w:h="16840"/>
          <w:pgMar w:header="721" w:footer="1014" w:top="1300" w:bottom="1200" w:left="940" w:right="1000"/>
        </w:sectPr>
      </w:pPr>
    </w:p>
    <w:p>
      <w:pPr>
        <w:pStyle w:val="BodyText"/>
        <w:spacing w:line="480" w:lineRule="auto" w:before="124"/>
        <w:ind w:left="500" w:right="435"/>
        <w:jc w:val="both"/>
      </w:pPr>
      <w:r>
        <w:rPr/>
        <w:t>experience demonstrates that the conferral of legal personality on ships was a result of historical circumstances, shortcomings in the existing law and the need of courts to practically and effectively adjudicate upon maritime claims. Over the course of several cases, the American Supreme Court solved the practical difficulties of attribution and agency by making the ship a distinct legal person for the purposes of adjudicating maritime</w:t>
      </w:r>
      <w:r>
        <w:rPr>
          <w:spacing w:val="-2"/>
        </w:rPr>
        <w:t> </w:t>
      </w:r>
      <w:r>
        <w:rPr/>
        <w:t>claims.</w:t>
      </w:r>
    </w:p>
    <w:p>
      <w:pPr>
        <w:pStyle w:val="BodyText"/>
        <w:spacing w:before="2"/>
      </w:pPr>
    </w:p>
    <w:p>
      <w:pPr>
        <w:pStyle w:val="Heading4"/>
        <w:rPr>
          <w:i/>
        </w:rPr>
      </w:pPr>
      <w:r>
        <w:rPr>
          <w:i/>
        </w:rPr>
        <w:t>History, necessity and convenience</w:t>
      </w:r>
    </w:p>
    <w:p>
      <w:pPr>
        <w:pStyle w:val="BodyText"/>
        <w:rPr>
          <w:i/>
          <w:sz w:val="28"/>
        </w:rPr>
      </w:pPr>
    </w:p>
    <w:p>
      <w:pPr>
        <w:pStyle w:val="BodyText"/>
        <w:spacing w:before="10"/>
        <w:rPr>
          <w:i/>
          <w:sz w:val="23"/>
        </w:rPr>
      </w:pPr>
    </w:p>
    <w:p>
      <w:pPr>
        <w:pStyle w:val="ListParagraph"/>
        <w:numPr>
          <w:ilvl w:val="0"/>
          <w:numId w:val="3"/>
        </w:numPr>
        <w:tabs>
          <w:tab w:pos="1289" w:val="left" w:leader="none"/>
          <w:tab w:pos="1290" w:val="left" w:leader="none"/>
        </w:tabs>
        <w:spacing w:line="240" w:lineRule="auto" w:before="0" w:after="0"/>
        <w:ind w:left="1290" w:right="0" w:hanging="790"/>
        <w:jc w:val="left"/>
        <w:rPr>
          <w:sz w:val="25"/>
        </w:rPr>
      </w:pPr>
      <w:r>
        <w:rPr>
          <w:sz w:val="25"/>
        </w:rPr>
        <w:t>These observations are true even beyond the realm of admiralty</w:t>
      </w:r>
      <w:r>
        <w:rPr>
          <w:spacing w:val="-8"/>
          <w:sz w:val="25"/>
        </w:rPr>
        <w:t> </w:t>
      </w:r>
      <w:r>
        <w:rPr>
          <w:sz w:val="25"/>
        </w:rPr>
        <w:t>law.</w:t>
      </w:r>
    </w:p>
    <w:p>
      <w:pPr>
        <w:pStyle w:val="BodyText"/>
        <w:spacing w:before="8"/>
        <w:rPr>
          <w:sz w:val="24"/>
        </w:rPr>
      </w:pPr>
    </w:p>
    <w:p>
      <w:pPr>
        <w:pStyle w:val="BodyText"/>
        <w:spacing w:line="482" w:lineRule="auto"/>
        <w:ind w:left="500" w:right="434"/>
        <w:jc w:val="both"/>
      </w:pPr>
      <w:r>
        <w:rPr>
          <w:w w:val="99"/>
        </w:rPr>
        <w:t>Bryant</w:t>
      </w:r>
      <w:r>
        <w:rPr/>
        <w:t> </w:t>
      </w:r>
      <w:r>
        <w:rPr>
          <w:w w:val="99"/>
        </w:rPr>
        <w:t>Smith</w:t>
      </w:r>
      <w:r>
        <w:rPr/>
        <w:t> </w:t>
      </w:r>
      <w:r>
        <w:rPr>
          <w:w w:val="99"/>
        </w:rPr>
        <w:t>in</w:t>
      </w:r>
      <w:r>
        <w:rPr/>
        <w:t> </w:t>
      </w:r>
      <w:r>
        <w:rPr>
          <w:w w:val="99"/>
        </w:rPr>
        <w:t>a</w:t>
      </w:r>
      <w:r>
        <w:rPr/>
        <w:t> </w:t>
      </w:r>
      <w:r>
        <w:rPr>
          <w:w w:val="99"/>
        </w:rPr>
        <w:t>seminal</w:t>
      </w:r>
      <w:r>
        <w:rPr/>
        <w:t> </w:t>
      </w:r>
      <w:r>
        <w:rPr>
          <w:w w:val="99"/>
        </w:rPr>
        <w:t>article</w:t>
      </w:r>
      <w:r>
        <w:rPr/>
        <w:t> </w:t>
      </w:r>
      <w:r>
        <w:rPr>
          <w:w w:val="99"/>
        </w:rPr>
        <w:t>titled</w:t>
      </w:r>
      <w:r>
        <w:rPr/>
        <w:t> </w:t>
      </w:r>
      <w:r>
        <w:rPr>
          <w:w w:val="33"/>
        </w:rPr>
        <w:t>―</w:t>
      </w:r>
      <w:r>
        <w:rPr>
          <w:b/>
          <w:w w:val="99"/>
        </w:rPr>
        <w:t>L</w:t>
      </w:r>
      <w:r>
        <w:rPr>
          <w:b/>
          <w:w w:val="99"/>
        </w:rPr>
        <w:t>e</w:t>
      </w:r>
      <w:r>
        <w:rPr>
          <w:b/>
          <w:w w:val="99"/>
        </w:rPr>
        <w:t>g</w:t>
      </w:r>
      <w:r>
        <w:rPr>
          <w:b/>
          <w:w w:val="99"/>
        </w:rPr>
        <w:t>al</w:t>
      </w:r>
      <w:r>
        <w:rPr>
          <w:b/>
        </w:rPr>
        <w:t> </w:t>
      </w:r>
      <w:r>
        <w:rPr>
          <w:b/>
          <w:w w:val="99"/>
        </w:rPr>
        <w:t>P</w:t>
      </w:r>
      <w:r>
        <w:rPr>
          <w:b/>
          <w:w w:val="99"/>
        </w:rPr>
        <w:t>erso</w:t>
      </w:r>
      <w:r>
        <w:rPr>
          <w:b/>
          <w:w w:val="99"/>
        </w:rPr>
        <w:t>n</w:t>
      </w:r>
      <w:r>
        <w:rPr>
          <w:b/>
          <w:w w:val="99"/>
        </w:rPr>
        <w:t>ali</w:t>
      </w:r>
      <w:r>
        <w:rPr>
          <w:b/>
          <w:w w:val="99"/>
        </w:rPr>
        <w:t>t</w:t>
      </w:r>
      <w:r>
        <w:rPr>
          <w:b/>
          <w:w w:val="99"/>
        </w:rPr>
        <w:t>y</w:t>
      </w:r>
      <w:r>
        <w:rPr>
          <w:w w:val="80"/>
        </w:rPr>
        <w:t>‖</w:t>
      </w:r>
      <w:r>
        <w:rPr/>
        <w:t> </w:t>
      </w:r>
      <w:r>
        <w:rPr>
          <w:w w:val="99"/>
        </w:rPr>
        <w:t>published</w:t>
      </w:r>
      <w:r>
        <w:rPr/>
        <w:t> </w:t>
      </w:r>
      <w:r>
        <w:rPr>
          <w:w w:val="99"/>
        </w:rPr>
        <w:t>in</w:t>
      </w:r>
      <w:r>
        <w:rPr/>
        <w:t> </w:t>
      </w:r>
      <w:r>
        <w:rPr>
          <w:w w:val="99"/>
        </w:rPr>
        <w:t>1928</w:t>
      </w:r>
      <w:r>
        <w:rPr/>
        <w:t> </w:t>
      </w:r>
      <w:r>
        <w:rPr>
          <w:w w:val="99"/>
        </w:rPr>
        <w:t>in </w:t>
      </w:r>
      <w:r>
        <w:rPr/>
        <w:t>the Yale Law Journal</w:t>
      </w:r>
      <w:r>
        <w:rPr>
          <w:vertAlign w:val="superscript"/>
        </w:rPr>
        <w:t>50</w:t>
      </w:r>
      <w:r>
        <w:rPr>
          <w:vertAlign w:val="baseline"/>
        </w:rPr>
        <w:t> states that ordinarily, the subjects of rights and duties are natural persons. However, he goes on to note that:</w:t>
      </w:r>
    </w:p>
    <w:p>
      <w:pPr>
        <w:spacing w:line="276" w:lineRule="auto" w:before="0"/>
        <w:ind w:left="1940" w:right="2261" w:firstLine="0"/>
        <w:jc w:val="both"/>
        <w:rPr>
          <w:b/>
          <w:sz w:val="21"/>
        </w:rPr>
      </w:pPr>
      <w:r>
        <w:rPr>
          <w:sz w:val="21"/>
        </w:rPr>
        <w:t>―… </w:t>
      </w:r>
      <w:r>
        <w:rPr>
          <w:b/>
          <w:sz w:val="21"/>
        </w:rPr>
        <w:t>for some reason or other, it becomes necessary or convenient to deal with an inanimate object such as a ship, or with a human being in a multiple capacity, as a trustee or a guardian, or with an association of human beings in a single capacity, as a partnership or a corporation. </w:t>
      </w:r>
      <w:r>
        <w:rPr>
          <w:sz w:val="21"/>
        </w:rPr>
        <w:t>A merchant, for example, who has furnished supplies for a voyage, or a boss stevedore who has renovated the ship, cannot reach the owner of the vessel, who is outside the jurisdiction. The obvious solution is to get at the ship itself and, through it, satisfy the owner's obligations. </w:t>
      </w:r>
      <w:r>
        <w:rPr>
          <w:b/>
          <w:sz w:val="21"/>
        </w:rPr>
        <w:t>But to devise a new system of jurisprudence for the purpose, to work out new forms and theories and processes, would too severely tax the ingenuity of the profession. The alternative is for the judges to shut their eyes to the irrelevant differences between a ship and a man and to treat the ship as if it were a man for the purpose of defending a</w:t>
      </w:r>
      <w:r>
        <w:rPr>
          <w:b/>
          <w:spacing w:val="-5"/>
          <w:sz w:val="21"/>
        </w:rPr>
        <w:t> </w:t>
      </w:r>
      <w:r>
        <w:rPr>
          <w:b/>
          <w:sz w:val="21"/>
        </w:rPr>
        <w:t>libel.</w:t>
      </w:r>
    </w:p>
    <w:p>
      <w:pPr>
        <w:spacing w:before="0"/>
        <w:ind w:left="1940" w:right="0" w:firstLine="0"/>
        <w:jc w:val="left"/>
        <w:rPr>
          <w:sz w:val="21"/>
        </w:rPr>
      </w:pPr>
      <w:r>
        <w:rPr>
          <w:w w:val="100"/>
          <w:sz w:val="21"/>
        </w:rPr>
        <w:t>…</w:t>
      </w:r>
    </w:p>
    <w:p>
      <w:pPr>
        <w:spacing w:line="276" w:lineRule="auto" w:before="31"/>
        <w:ind w:left="1940" w:right="2264" w:firstLine="0"/>
        <w:jc w:val="both"/>
        <w:rPr>
          <w:b/>
          <w:sz w:val="21"/>
        </w:rPr>
      </w:pPr>
      <w:r>
        <w:rPr>
          <w:b/>
          <w:sz w:val="21"/>
        </w:rPr>
        <w:t>It is true, of course, that the benefits and burdens of legal personality in other than human subjects, on ultimate analysis, result to human beings, which, we have no doubt, is what the writers above cited mean. But the very utility of the concept, particularly in the case of corporate</w:t>
      </w:r>
    </w:p>
    <w:p>
      <w:pPr>
        <w:pStyle w:val="BodyText"/>
        <w:spacing w:before="10"/>
        <w:rPr>
          <w:b/>
          <w:sz w:val="23"/>
        </w:rPr>
      </w:pPr>
      <w:r>
        <w:rPr/>
        <w:pict>
          <v:rect style="position:absolute;margin-left:72.024002pt;margin-top:15.706018pt;width:144.020pt;height:.599980pt;mso-position-horizontal-relative:page;mso-position-vertical-relative:paragraph;z-index:-1571020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50</w:t>
      </w:r>
      <w:r>
        <w:rPr>
          <w:sz w:val="18"/>
          <w:vertAlign w:val="baseline"/>
        </w:rPr>
        <w:t> Bryant Smith, Legal Personality, 37 Yale L.J. (1928) at pages 287, 295 and 296</w:t>
      </w:r>
    </w:p>
    <w:p>
      <w:pPr>
        <w:spacing w:after="0"/>
        <w:jc w:val="left"/>
        <w:rPr>
          <w:sz w:val="18"/>
        </w:rPr>
        <w:sectPr>
          <w:pgSz w:w="11910" w:h="16840"/>
          <w:pgMar w:header="721" w:footer="1014" w:top="1300" w:bottom="1200" w:left="940" w:right="1000"/>
        </w:sectPr>
      </w:pPr>
    </w:p>
    <w:p>
      <w:pPr>
        <w:spacing w:line="276" w:lineRule="auto" w:before="122"/>
        <w:ind w:left="1940" w:right="2264" w:firstLine="0"/>
        <w:jc w:val="left"/>
        <w:rPr>
          <w:b/>
          <w:sz w:val="21"/>
        </w:rPr>
      </w:pPr>
      <w:r>
        <w:rPr>
          <w:b/>
          <w:sz w:val="21"/>
        </w:rPr>
        <w:t>personality, lies in the fact that it avoids the necessity for this ultimate analysis.</w:t>
      </w:r>
    </w:p>
    <w:p>
      <w:pPr>
        <w:spacing w:line="241" w:lineRule="exact" w:before="0"/>
        <w:ind w:left="1940" w:right="0" w:firstLine="0"/>
        <w:jc w:val="left"/>
        <w:rPr>
          <w:sz w:val="21"/>
        </w:rPr>
      </w:pPr>
      <w:r>
        <w:rPr>
          <w:w w:val="100"/>
          <w:sz w:val="21"/>
        </w:rPr>
        <w:t>…</w:t>
      </w:r>
    </w:p>
    <w:p>
      <w:pPr>
        <w:spacing w:line="276" w:lineRule="auto" w:before="37"/>
        <w:ind w:left="1940" w:right="2260" w:firstLine="0"/>
        <w:jc w:val="both"/>
        <w:rPr>
          <w:sz w:val="21"/>
        </w:rPr>
      </w:pPr>
      <w:r>
        <w:rPr>
          <w:sz w:val="21"/>
        </w:rPr>
        <w:t>But, though the function of legal personality, as the quotation suggests, is to regulate behaviour, </w:t>
      </w:r>
      <w:r>
        <w:rPr>
          <w:b/>
          <w:sz w:val="21"/>
        </w:rPr>
        <w:t>it is not alone to regulate the conduct of the subject on which it is conferred; it is to regulate also the conduct of human beings toward the subject or toward each other. It suits the purposes of society to make a ship a legal person</w:t>
      </w:r>
      <w:r>
        <w:rPr>
          <w:sz w:val="21"/>
        </w:rPr>
        <w:t>, not because the ship's conduct will be any different, of course, but because its personality is an effective instrument to control in certain particulars the conduct of its owner or of other human  beings.‖</w:t>
      </w:r>
    </w:p>
    <w:p>
      <w:pPr>
        <w:spacing w:before="1"/>
        <w:ind w:left="5798" w:right="0" w:firstLine="0"/>
        <w:jc w:val="left"/>
        <w:rPr>
          <w:sz w:val="21"/>
        </w:rPr>
      </w:pPr>
      <w:r>
        <w:rPr>
          <w:sz w:val="21"/>
        </w:rPr>
        <w:t>(Emphasis supplied)</w:t>
      </w:r>
    </w:p>
    <w:p>
      <w:pPr>
        <w:pStyle w:val="BodyText"/>
        <w:rPr>
          <w:sz w:val="24"/>
        </w:rPr>
      </w:pPr>
    </w:p>
    <w:p>
      <w:pPr>
        <w:pStyle w:val="BodyText"/>
        <w:spacing w:before="2"/>
      </w:pPr>
    </w:p>
    <w:p>
      <w:pPr>
        <w:pStyle w:val="BodyText"/>
        <w:spacing w:line="480" w:lineRule="auto"/>
        <w:ind w:left="500" w:right="433"/>
        <w:jc w:val="both"/>
      </w:pPr>
      <w:r>
        <w:rPr/>
        <w:t>The above extract affirms Salmond‘s observations that the choice of </w:t>
      </w:r>
      <w:r>
        <w:rPr>
          <w:i/>
        </w:rPr>
        <w:t>corpus </w:t>
      </w:r>
      <w:r>
        <w:rPr/>
        <w:t>(i.e. the object) on which legal personality is conferred is not based on strict legal principle but is an outcome of historical circumstances, legal necessity and convenience. Historical circumstances require courts to adjudicate upon unique factual situations. In American admiralty law, the increase in maritime expeditions coupled with the conferral of admiralty jurisdiction on the United States Supreme Court led to an influx of cases involving maritime claims. The existing law of the day did not allow the court to effectively adjudicate upon these new claims, leading to inequitable, absurd or perverse outcomes. Hence, legal innovation was resorted to by courts. Both Lind and Smith highlighted several problems arising from the uniqueness of the ship itself – a vessel travelling across multiple jurisdictions, whose owners may reside in jurisdictions other than those where they are sought to be acted against and have little knowledge of, or control, over the operation of the ship. The conferral of legal personality on the ship did not change the behaviour of the ship. It however created a legal framework within which the interactions between natural persons and the ship could be regulated to achieve outcomes at a societal level which are satisfactory and legally</w:t>
      </w:r>
      <w:r>
        <w:rPr>
          <w:spacing w:val="-26"/>
        </w:rPr>
        <w:t> </w:t>
      </w:r>
      <w:r>
        <w:rPr/>
        <w:t>sound.</w:t>
      </w:r>
    </w:p>
    <w:p>
      <w:pPr>
        <w:spacing w:after="0" w:line="480" w:lineRule="auto"/>
        <w:jc w:val="both"/>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42" w:firstLine="0"/>
        <w:jc w:val="both"/>
        <w:rPr>
          <w:sz w:val="25"/>
        </w:rPr>
      </w:pPr>
      <w:r>
        <w:rPr>
          <w:sz w:val="25"/>
        </w:rPr>
        <w:t>Both authors note that the existing personification of the ship required courts to make but a small conceptual leap of faith, which resulted in significant legal benefits for courts. This point is of greater historical than legal significance for it cannot be stated that where there is no personification of an object, a court is barred from conferring legal personality. Arguably, the independent legal personality conferred on a corporation by acts of the state involved a far greater conceptual leap. Yet it was deemed necessary and has since crystallised into a foundational principle in the law of</w:t>
      </w:r>
      <w:r>
        <w:rPr>
          <w:spacing w:val="-2"/>
          <w:sz w:val="25"/>
        </w:rPr>
        <w:t> </w:t>
      </w:r>
      <w:r>
        <w:rPr>
          <w:sz w:val="25"/>
        </w:rPr>
        <w:t>corporations.</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There exists another reason to confer legal personality. Objects represent certain interests and confer certain benefits. In the case of some objects, the benefits will be material. The benefit may extend beyond that which is purely material. An artificial legal person, whether a ship or a company cannot in fact enjoy these benefits. The ultimate beneficiaries of such benefits are natural persons. However, requiring a court, in every case, to make the distinction between the artificial legal person and the natural persons deriving benefit from such artificial person is inordinately taxing, particularly when coupled with the increasing use of corporations and ships. This leads us to the third rationale for conferring legal personality - convenience. The conferral of legal personality on objects has historically been a powerful tool of policy to ensure the practical adjudication of claims. By creating a legal framework, it equipped the court with the tools necessary to adjudicate upon an emerging class of disputes. It saved considerable judicial effort and time by allowing judges to obviate the distinction between artificial and natural persons where it was not relevant. The conferral</w:t>
      </w:r>
      <w:r>
        <w:rPr>
          <w:spacing w:val="3"/>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legal personality was thus a tool of legal necessity and convenience. Legal personality does not denote human nature or human attributes. Legal personality is a recognition of certain rights and duties in law. An object, even after the conferral of legal personality, cannot express any will but it represents certain interests, rights, or benefits accruing to natural persons. Courts confer legal personality to overcome shortcomings perceived in the law and to facilitate practical adjudication. By ascribing rights and duties to artificial legal persons (imbued with a legal personality), the law tackles and fulfils both necessity and convenience. By extension, courts ascribe legal personality to effectively adjudicate upon the claims of natural persons deriving benefits from or affected by the </w:t>
      </w:r>
      <w:r>
        <w:rPr>
          <w:i/>
        </w:rPr>
        <w:t>corpus </w:t>
      </w:r>
      <w:r>
        <w:rPr/>
        <w:t>upon which legal personality is conferred. The corollary of this principle is that the rights ascribed by courts to the </w:t>
      </w:r>
      <w:r>
        <w:rPr>
          <w:i/>
        </w:rPr>
        <w:t>corpus </w:t>
      </w:r>
      <w:r>
        <w:rPr/>
        <w:t>are limited to those necessary to address the existing shortcomings in the law and efficiently adjudicate</w:t>
      </w:r>
      <w:r>
        <w:rPr>
          <w:spacing w:val="-1"/>
        </w:rPr>
        <w:t> </w:t>
      </w:r>
      <w:r>
        <w:rPr/>
        <w:t>claims.</w:t>
      </w:r>
    </w:p>
    <w:p>
      <w:pPr>
        <w:pStyle w:val="BodyText"/>
        <w:spacing w:before="1"/>
      </w:pPr>
    </w:p>
    <w:p>
      <w:pPr>
        <w:pStyle w:val="ListParagraph"/>
        <w:numPr>
          <w:ilvl w:val="0"/>
          <w:numId w:val="3"/>
        </w:numPr>
        <w:tabs>
          <w:tab w:pos="1220" w:val="left" w:leader="none"/>
          <w:tab w:pos="1221" w:val="left" w:leader="none"/>
        </w:tabs>
        <w:spacing w:line="240" w:lineRule="auto" w:before="0" w:after="0"/>
        <w:ind w:left="1220" w:right="0" w:hanging="721"/>
        <w:jc w:val="left"/>
        <w:rPr>
          <w:sz w:val="25"/>
        </w:rPr>
      </w:pPr>
      <w:r>
        <w:rPr>
          <w:sz w:val="25"/>
        </w:rPr>
        <w:t>This principle is concisely articulated by Phillip</w:t>
      </w:r>
      <w:r>
        <w:rPr>
          <w:spacing w:val="-8"/>
          <w:sz w:val="25"/>
        </w:rPr>
        <w:t> </w:t>
      </w:r>
      <w:r>
        <w:rPr>
          <w:sz w:val="25"/>
        </w:rPr>
        <w:t>Blumberg:</w:t>
      </w:r>
    </w:p>
    <w:p>
      <w:pPr>
        <w:pStyle w:val="BodyText"/>
        <w:spacing w:before="9"/>
        <w:rPr>
          <w:sz w:val="24"/>
        </w:rPr>
      </w:pPr>
    </w:p>
    <w:p>
      <w:pPr>
        <w:spacing w:line="276" w:lineRule="auto" w:before="1"/>
        <w:ind w:left="1940" w:right="2260" w:firstLine="0"/>
        <w:jc w:val="both"/>
        <w:rPr>
          <w:sz w:val="21"/>
        </w:rPr>
      </w:pPr>
      <w:r>
        <w:rPr>
          <w:spacing w:val="-1"/>
          <w:w w:val="33"/>
          <w:sz w:val="21"/>
        </w:rPr>
        <w:t>―</w:t>
      </w:r>
      <w:r>
        <w:rPr>
          <w:w w:val="100"/>
          <w:sz w:val="21"/>
        </w:rPr>
        <w:t>Dis</w:t>
      </w:r>
      <w:r>
        <w:rPr>
          <w:spacing w:val="-4"/>
          <w:w w:val="100"/>
          <w:sz w:val="21"/>
        </w:rPr>
        <w:t>t</w:t>
      </w:r>
      <w:r>
        <w:rPr>
          <w:w w:val="100"/>
          <w:sz w:val="21"/>
        </w:rPr>
        <w:t>i</w:t>
      </w:r>
      <w:r>
        <w:rPr>
          <w:spacing w:val="-1"/>
          <w:w w:val="100"/>
          <w:sz w:val="21"/>
        </w:rPr>
        <w:t>n</w:t>
      </w:r>
      <w:r>
        <w:rPr>
          <w:spacing w:val="-3"/>
          <w:w w:val="100"/>
          <w:sz w:val="21"/>
        </w:rPr>
        <w:t>g</w:t>
      </w:r>
      <w:r>
        <w:rPr>
          <w:spacing w:val="-1"/>
          <w:w w:val="100"/>
          <w:sz w:val="21"/>
        </w:rPr>
        <w:t>u</w:t>
      </w:r>
      <w:r>
        <w:rPr>
          <w:spacing w:val="-2"/>
          <w:w w:val="100"/>
          <w:sz w:val="21"/>
        </w:rPr>
        <w:t>i</w:t>
      </w:r>
      <w:r>
        <w:rPr>
          <w:w w:val="100"/>
          <w:sz w:val="21"/>
        </w:rPr>
        <w:t>sh</w:t>
      </w:r>
      <w:r>
        <w:rPr>
          <w:spacing w:val="-3"/>
          <w:w w:val="100"/>
          <w:sz w:val="21"/>
        </w:rPr>
        <w:t>e</w:t>
      </w:r>
      <w:r>
        <w:rPr>
          <w:w w:val="100"/>
          <w:sz w:val="21"/>
        </w:rPr>
        <w:t>d</w:t>
      </w:r>
      <w:r>
        <w:rPr>
          <w:sz w:val="21"/>
        </w:rPr>
        <w:t>    </w:t>
      </w:r>
      <w:r>
        <w:rPr>
          <w:spacing w:val="-21"/>
          <w:sz w:val="21"/>
        </w:rPr>
        <w:t> </w:t>
      </w:r>
      <w:r>
        <w:rPr>
          <w:spacing w:val="-1"/>
          <w:w w:val="100"/>
          <w:sz w:val="21"/>
        </w:rPr>
        <w:t>b</w:t>
      </w:r>
      <w:r>
        <w:rPr>
          <w:w w:val="100"/>
          <w:sz w:val="21"/>
        </w:rPr>
        <w:t>y</w:t>
      </w:r>
      <w:r>
        <w:rPr>
          <w:sz w:val="21"/>
        </w:rPr>
        <w:t>    </w:t>
      </w:r>
      <w:r>
        <w:rPr>
          <w:spacing w:val="-24"/>
          <w:sz w:val="21"/>
        </w:rPr>
        <w:t> </w:t>
      </w:r>
      <w:r>
        <w:rPr>
          <w:spacing w:val="-2"/>
          <w:w w:val="100"/>
          <w:sz w:val="21"/>
        </w:rPr>
        <w:t>t</w:t>
      </w:r>
      <w:r>
        <w:rPr>
          <w:spacing w:val="-1"/>
          <w:w w:val="100"/>
          <w:sz w:val="21"/>
        </w:rPr>
        <w:t>hei</w:t>
      </w:r>
      <w:r>
        <w:rPr>
          <w:w w:val="100"/>
          <w:sz w:val="21"/>
        </w:rPr>
        <w:t>r</w:t>
      </w:r>
      <w:r>
        <w:rPr>
          <w:sz w:val="21"/>
        </w:rPr>
        <w:t>    </w:t>
      </w:r>
      <w:r>
        <w:rPr>
          <w:spacing w:val="-22"/>
          <w:sz w:val="21"/>
        </w:rPr>
        <w:t> </w:t>
      </w:r>
      <w:r>
        <w:rPr>
          <w:spacing w:val="-1"/>
          <w:w w:val="100"/>
          <w:sz w:val="21"/>
        </w:rPr>
        <w:t>par</w:t>
      </w:r>
      <w:r>
        <w:rPr>
          <w:spacing w:val="-2"/>
          <w:w w:val="100"/>
          <w:sz w:val="21"/>
        </w:rPr>
        <w:t>t</w:t>
      </w:r>
      <w:r>
        <w:rPr>
          <w:w w:val="100"/>
          <w:sz w:val="21"/>
        </w:rPr>
        <w:t>ic</w:t>
      </w:r>
      <w:r>
        <w:rPr>
          <w:spacing w:val="-3"/>
          <w:w w:val="100"/>
          <w:sz w:val="21"/>
        </w:rPr>
        <w:t>u</w:t>
      </w:r>
      <w:r>
        <w:rPr>
          <w:w w:val="100"/>
          <w:sz w:val="21"/>
        </w:rPr>
        <w:t>l</w:t>
      </w:r>
      <w:r>
        <w:rPr>
          <w:spacing w:val="-1"/>
          <w:w w:val="100"/>
          <w:sz w:val="21"/>
        </w:rPr>
        <w:t>a</w:t>
      </w:r>
      <w:r>
        <w:rPr>
          <w:w w:val="100"/>
          <w:sz w:val="21"/>
        </w:rPr>
        <w:t>r</w:t>
      </w:r>
      <w:r>
        <w:rPr>
          <w:sz w:val="21"/>
        </w:rPr>
        <w:t>    </w:t>
      </w:r>
      <w:r>
        <w:rPr>
          <w:spacing w:val="-22"/>
          <w:sz w:val="21"/>
        </w:rPr>
        <w:t> </w:t>
      </w:r>
      <w:r>
        <w:rPr>
          <w:spacing w:val="-2"/>
          <w:w w:val="100"/>
          <w:sz w:val="21"/>
        </w:rPr>
        <w:t>l</w:t>
      </w:r>
      <w:r>
        <w:rPr>
          <w:spacing w:val="-1"/>
          <w:w w:val="100"/>
          <w:sz w:val="21"/>
        </w:rPr>
        <w:t>eg</w:t>
      </w:r>
      <w:r>
        <w:rPr>
          <w:spacing w:val="-2"/>
          <w:w w:val="100"/>
          <w:sz w:val="21"/>
        </w:rPr>
        <w:t>a</w:t>
      </w:r>
      <w:r>
        <w:rPr>
          <w:w w:val="100"/>
          <w:sz w:val="21"/>
        </w:rPr>
        <w:t>l</w:t>
      </w:r>
      <w:r>
        <w:rPr>
          <w:sz w:val="21"/>
        </w:rPr>
        <w:t>    </w:t>
      </w:r>
      <w:r>
        <w:rPr>
          <w:spacing w:val="-20"/>
          <w:sz w:val="21"/>
        </w:rPr>
        <w:t> </w:t>
      </w:r>
      <w:r>
        <w:rPr>
          <w:spacing w:val="-1"/>
          <w:w w:val="100"/>
          <w:sz w:val="21"/>
        </w:rPr>
        <w:t>r</w:t>
      </w:r>
      <w:r>
        <w:rPr>
          <w:spacing w:val="-2"/>
          <w:w w:val="100"/>
          <w:sz w:val="21"/>
        </w:rPr>
        <w:t>i</w:t>
      </w:r>
      <w:r>
        <w:rPr>
          <w:spacing w:val="-3"/>
          <w:w w:val="100"/>
          <w:sz w:val="21"/>
        </w:rPr>
        <w:t>g</w:t>
      </w:r>
      <w:r>
        <w:rPr>
          <w:spacing w:val="-1"/>
          <w:w w:val="100"/>
          <w:sz w:val="21"/>
        </w:rPr>
        <w:t>ht</w:t>
      </w:r>
      <w:r>
        <w:rPr>
          <w:w w:val="100"/>
          <w:sz w:val="21"/>
        </w:rPr>
        <w:t>s</w:t>
      </w:r>
      <w:r>
        <w:rPr>
          <w:sz w:val="21"/>
        </w:rPr>
        <w:t>    </w:t>
      </w:r>
      <w:r>
        <w:rPr>
          <w:spacing w:val="-21"/>
          <w:sz w:val="21"/>
        </w:rPr>
        <w:t> </w:t>
      </w:r>
      <w:r>
        <w:rPr>
          <w:spacing w:val="-1"/>
          <w:w w:val="100"/>
          <w:sz w:val="21"/>
        </w:rPr>
        <w:t>and </w:t>
      </w:r>
      <w:r>
        <w:rPr>
          <w:sz w:val="21"/>
        </w:rPr>
        <w:t>responsibilities, each class of legal unit is unique. They include legal subjects as disparate as individuals, maritime vessels, physical objects, partnerships, associations, special accounts, funds, economic interest groupings, and governmental agencies, as well as the corporation and the corporate group. In each case, </w:t>
      </w:r>
      <w:r>
        <w:rPr>
          <w:b/>
          <w:sz w:val="21"/>
        </w:rPr>
        <w:t>the attribution of rights and responsibilities demarcating the perimeters of legal recognition of the unit reflects all the factors that  underlie societal lawmaking: the historical development of the law, changing values and interests, </w:t>
      </w:r>
      <w:r>
        <w:rPr>
          <w:sz w:val="21"/>
        </w:rPr>
        <w:t>socio-economic and political forces, and conceptual</w:t>
      </w:r>
      <w:r>
        <w:rPr>
          <w:spacing w:val="-5"/>
          <w:sz w:val="21"/>
        </w:rPr>
        <w:t> </w:t>
      </w:r>
      <w:r>
        <w:rPr>
          <w:sz w:val="21"/>
        </w:rPr>
        <w:t>currents.</w:t>
      </w:r>
    </w:p>
    <w:p>
      <w:pPr>
        <w:pStyle w:val="BodyText"/>
        <w:spacing w:before="1"/>
        <w:rPr>
          <w:sz w:val="24"/>
        </w:rPr>
      </w:pPr>
    </w:p>
    <w:p>
      <w:pPr>
        <w:spacing w:line="276" w:lineRule="auto" w:before="0"/>
        <w:ind w:left="1940" w:right="2263" w:firstLine="0"/>
        <w:jc w:val="both"/>
        <w:rPr>
          <w:b/>
          <w:sz w:val="21"/>
        </w:rPr>
      </w:pPr>
      <w:r>
        <w:rPr>
          <w:sz w:val="21"/>
        </w:rPr>
        <w:t>There are certain fundamental points. First, neither legal </w:t>
      </w:r>
      <w:r>
        <w:rPr>
          <w:spacing w:val="-1"/>
          <w:w w:val="100"/>
          <w:sz w:val="21"/>
        </w:rPr>
        <w:t>r</w:t>
      </w:r>
      <w:r>
        <w:rPr>
          <w:w w:val="100"/>
          <w:sz w:val="21"/>
        </w:rPr>
        <w:t>i</w:t>
      </w:r>
      <w:r>
        <w:rPr>
          <w:w w:val="100"/>
          <w:sz w:val="21"/>
        </w:rPr>
        <w:t>gh</w:t>
      </w:r>
      <w:r>
        <w:rPr>
          <w:spacing w:val="-1"/>
          <w:w w:val="100"/>
          <w:sz w:val="21"/>
        </w:rPr>
        <w:t>t</w:t>
      </w:r>
      <w:r>
        <w:rPr>
          <w:w w:val="100"/>
          <w:sz w:val="21"/>
        </w:rPr>
        <w:t>s</w:t>
      </w:r>
      <w:r>
        <w:rPr>
          <w:sz w:val="21"/>
        </w:rPr>
        <w:t> </w:t>
      </w:r>
      <w:r>
        <w:rPr>
          <w:spacing w:val="7"/>
          <w:sz w:val="21"/>
        </w:rPr>
        <w:t> </w:t>
      </w:r>
      <w:r>
        <w:rPr>
          <w:w w:val="100"/>
          <w:sz w:val="21"/>
        </w:rPr>
        <w:t>nor</w:t>
      </w:r>
      <w:r>
        <w:rPr>
          <w:sz w:val="21"/>
        </w:rPr>
        <w:t> </w:t>
      </w:r>
      <w:r>
        <w:rPr>
          <w:spacing w:val="5"/>
          <w:sz w:val="21"/>
        </w:rPr>
        <w:t> </w:t>
      </w:r>
      <w:r>
        <w:rPr>
          <w:w w:val="100"/>
          <w:sz w:val="21"/>
        </w:rPr>
        <w:t>l</w:t>
      </w:r>
      <w:r>
        <w:rPr>
          <w:spacing w:val="1"/>
          <w:w w:val="100"/>
          <w:sz w:val="21"/>
        </w:rPr>
        <w:t>e</w:t>
      </w:r>
      <w:r>
        <w:rPr>
          <w:spacing w:val="-3"/>
          <w:w w:val="100"/>
          <w:sz w:val="21"/>
        </w:rPr>
        <w:t>g</w:t>
      </w:r>
      <w:r>
        <w:rPr>
          <w:spacing w:val="-1"/>
          <w:w w:val="100"/>
          <w:sz w:val="21"/>
        </w:rPr>
        <w:t>a</w:t>
      </w:r>
      <w:r>
        <w:rPr>
          <w:w w:val="100"/>
          <w:sz w:val="21"/>
        </w:rPr>
        <w:t>l</w:t>
      </w:r>
      <w:r>
        <w:rPr>
          <w:sz w:val="21"/>
        </w:rPr>
        <w:t> </w:t>
      </w:r>
      <w:r>
        <w:rPr>
          <w:spacing w:val="8"/>
          <w:sz w:val="21"/>
        </w:rPr>
        <w:t> </w:t>
      </w:r>
      <w:r>
        <w:rPr>
          <w:spacing w:val="-1"/>
          <w:w w:val="100"/>
          <w:sz w:val="21"/>
        </w:rPr>
        <w:t>u</w:t>
      </w:r>
      <w:r>
        <w:rPr>
          <w:spacing w:val="-3"/>
          <w:w w:val="100"/>
          <w:sz w:val="21"/>
        </w:rPr>
        <w:t>n</w:t>
      </w:r>
      <w:r>
        <w:rPr>
          <w:w w:val="100"/>
          <w:sz w:val="21"/>
        </w:rPr>
        <w:t>i</w:t>
      </w:r>
      <w:r>
        <w:rPr>
          <w:spacing w:val="-2"/>
          <w:w w:val="100"/>
          <w:sz w:val="21"/>
        </w:rPr>
        <w:t>t</w:t>
      </w:r>
      <w:r>
        <w:rPr>
          <w:w w:val="100"/>
          <w:sz w:val="21"/>
        </w:rPr>
        <w:t>s</w:t>
      </w:r>
      <w:r>
        <w:rPr>
          <w:sz w:val="21"/>
        </w:rPr>
        <w:t> </w:t>
      </w:r>
      <w:r>
        <w:rPr>
          <w:spacing w:val="7"/>
          <w:sz w:val="21"/>
        </w:rPr>
        <w:t> </w:t>
      </w:r>
      <w:r>
        <w:rPr>
          <w:spacing w:val="-1"/>
          <w:w w:val="100"/>
          <w:sz w:val="21"/>
        </w:rPr>
        <w:t>e</w:t>
      </w:r>
      <w:r>
        <w:rPr>
          <w:spacing w:val="-3"/>
          <w:w w:val="100"/>
          <w:sz w:val="21"/>
        </w:rPr>
        <w:t>x</w:t>
      </w:r>
      <w:r>
        <w:rPr>
          <w:w w:val="100"/>
          <w:sz w:val="21"/>
        </w:rPr>
        <w:t>ist</w:t>
      </w:r>
      <w:r>
        <w:rPr>
          <w:sz w:val="21"/>
        </w:rPr>
        <w:t> </w:t>
      </w:r>
      <w:r>
        <w:rPr>
          <w:spacing w:val="6"/>
          <w:sz w:val="21"/>
        </w:rPr>
        <w:t> </w:t>
      </w:r>
      <w:r>
        <w:rPr>
          <w:spacing w:val="-1"/>
          <w:w w:val="33"/>
          <w:sz w:val="21"/>
        </w:rPr>
        <w:t>―</w:t>
      </w:r>
      <w:r>
        <w:rPr>
          <w:w w:val="100"/>
          <w:sz w:val="21"/>
        </w:rPr>
        <w:t>in</w:t>
      </w:r>
      <w:r>
        <w:rPr>
          <w:sz w:val="21"/>
        </w:rPr>
        <w:t> </w:t>
      </w:r>
      <w:r>
        <w:rPr>
          <w:spacing w:val="8"/>
          <w:sz w:val="21"/>
        </w:rPr>
        <w:t> </w:t>
      </w:r>
      <w:r>
        <w:rPr>
          <w:spacing w:val="-2"/>
          <w:w w:val="100"/>
          <w:sz w:val="21"/>
        </w:rPr>
        <w:t>t</w:t>
      </w:r>
      <w:r>
        <w:rPr>
          <w:spacing w:val="-1"/>
          <w:w w:val="100"/>
          <w:sz w:val="21"/>
        </w:rPr>
        <w:t>h</w:t>
      </w:r>
      <w:r>
        <w:rPr>
          <w:w w:val="100"/>
          <w:sz w:val="21"/>
        </w:rPr>
        <w:t>e</w:t>
      </w:r>
      <w:r>
        <w:rPr>
          <w:sz w:val="21"/>
        </w:rPr>
        <w:t> </w:t>
      </w:r>
      <w:r>
        <w:rPr>
          <w:spacing w:val="8"/>
          <w:sz w:val="21"/>
        </w:rPr>
        <w:t> </w:t>
      </w:r>
      <w:r>
        <w:rPr>
          <w:spacing w:val="-3"/>
          <w:w w:val="100"/>
          <w:sz w:val="21"/>
        </w:rPr>
        <w:t>a</w:t>
      </w:r>
      <w:r>
        <w:rPr>
          <w:w w:val="100"/>
          <w:sz w:val="21"/>
        </w:rPr>
        <w:t>i</w:t>
      </w:r>
      <w:r>
        <w:rPr>
          <w:spacing w:val="-1"/>
          <w:w w:val="100"/>
          <w:sz w:val="21"/>
        </w:rPr>
        <w:t>r</w:t>
      </w:r>
      <w:r>
        <w:rPr>
          <w:spacing w:val="-1"/>
          <w:w w:val="81"/>
          <w:sz w:val="21"/>
        </w:rPr>
        <w:t>‖</w:t>
      </w:r>
      <w:r>
        <w:rPr>
          <w:w w:val="100"/>
          <w:sz w:val="21"/>
        </w:rPr>
        <w:t>.</w:t>
      </w:r>
      <w:r>
        <w:rPr>
          <w:sz w:val="21"/>
        </w:rPr>
        <w:t> </w:t>
      </w:r>
      <w:r>
        <w:rPr>
          <w:spacing w:val="6"/>
          <w:sz w:val="21"/>
        </w:rPr>
        <w:t> </w:t>
      </w:r>
      <w:r>
        <w:rPr>
          <w:spacing w:val="-1"/>
          <w:w w:val="100"/>
          <w:sz w:val="21"/>
        </w:rPr>
        <w:t>Leg</w:t>
      </w:r>
      <w:r>
        <w:rPr>
          <w:spacing w:val="-2"/>
          <w:w w:val="100"/>
          <w:sz w:val="21"/>
        </w:rPr>
        <w:t>a</w:t>
      </w:r>
      <w:r>
        <w:rPr>
          <w:w w:val="100"/>
          <w:sz w:val="21"/>
        </w:rPr>
        <w:t>l</w:t>
      </w:r>
      <w:r>
        <w:rPr>
          <w:sz w:val="21"/>
        </w:rPr>
        <w:t> </w:t>
      </w:r>
      <w:r>
        <w:rPr>
          <w:spacing w:val="8"/>
          <w:sz w:val="21"/>
        </w:rPr>
        <w:t> </w:t>
      </w:r>
      <w:r>
        <w:rPr>
          <w:spacing w:val="-1"/>
          <w:w w:val="100"/>
          <w:sz w:val="21"/>
        </w:rPr>
        <w:t>r</w:t>
      </w:r>
      <w:r>
        <w:rPr>
          <w:spacing w:val="-2"/>
          <w:w w:val="100"/>
          <w:sz w:val="21"/>
        </w:rPr>
        <w:t>i</w:t>
      </w:r>
      <w:r>
        <w:rPr>
          <w:spacing w:val="-1"/>
          <w:w w:val="100"/>
          <w:sz w:val="21"/>
        </w:rPr>
        <w:t>ght</w:t>
      </w:r>
      <w:r>
        <w:rPr>
          <w:w w:val="100"/>
          <w:sz w:val="21"/>
        </w:rPr>
        <w:t>s</w:t>
      </w:r>
      <w:r>
        <w:rPr>
          <w:sz w:val="21"/>
        </w:rPr>
        <w:t> </w:t>
      </w:r>
      <w:r>
        <w:rPr>
          <w:spacing w:val="7"/>
          <w:sz w:val="21"/>
        </w:rPr>
        <w:t> </w:t>
      </w:r>
      <w:r>
        <w:rPr>
          <w:spacing w:val="-1"/>
          <w:w w:val="100"/>
          <w:sz w:val="21"/>
        </w:rPr>
        <w:t>must </w:t>
      </w:r>
      <w:r>
        <w:rPr>
          <w:sz w:val="21"/>
        </w:rPr>
        <w:t>pertain to a legal unit that can exercise them. </w:t>
      </w:r>
      <w:r>
        <w:rPr>
          <w:b/>
          <w:sz w:val="21"/>
        </w:rPr>
        <w:t>Further, there can be no comprehensive list of legal rights and responsibilities that automatically springs into</w:t>
      </w:r>
      <w:r>
        <w:rPr>
          <w:b/>
          <w:spacing w:val="28"/>
          <w:sz w:val="21"/>
        </w:rPr>
        <w:t> </w:t>
      </w:r>
      <w:r>
        <w:rPr>
          <w:b/>
          <w:sz w:val="21"/>
        </w:rPr>
        <w:t>existence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b/>
          <w:sz w:val="21"/>
        </w:rPr>
      </w:pPr>
      <w:r>
        <w:rPr>
          <w:b/>
          <w:sz w:val="21"/>
        </w:rPr>
        <w:t>upon recognition of a particular subject as a legal unit. Quite the contrary. It is the recognition of particular rights and responsibilities (principally rights) – one by one – that shapes the juridical contours of the legal unit for which they have been</w:t>
      </w:r>
      <w:r>
        <w:rPr>
          <w:b/>
          <w:spacing w:val="-13"/>
          <w:sz w:val="21"/>
        </w:rPr>
        <w:t> </w:t>
      </w:r>
      <w:r>
        <w:rPr>
          <w:b/>
          <w:sz w:val="21"/>
        </w:rPr>
        <w:t>created.</w:t>
      </w:r>
    </w:p>
    <w:p>
      <w:pPr>
        <w:pStyle w:val="BodyText"/>
        <w:spacing w:before="2"/>
        <w:rPr>
          <w:b/>
          <w:sz w:val="24"/>
        </w:rPr>
      </w:pPr>
    </w:p>
    <w:p>
      <w:pPr>
        <w:spacing w:line="276" w:lineRule="auto" w:before="0"/>
        <w:ind w:left="1940" w:right="2259" w:firstLine="0"/>
        <w:jc w:val="both"/>
        <w:rPr>
          <w:sz w:val="21"/>
        </w:rPr>
      </w:pPr>
      <w:r>
        <w:rPr>
          <w:sz w:val="21"/>
        </w:rPr>
        <w:t>When the law recognises a particular right or imposes a particular responsibility on a presumptive legal unit, this constitutes recognition as a legal unit to the extent of the attribution. </w:t>
      </w:r>
      <w:r>
        <w:rPr>
          <w:b/>
          <w:sz w:val="21"/>
        </w:rPr>
        <w:t>Other rights and responsibilities may or may not exist, depending on whether such recognition of the unit in the view of the lawmaker – whether legislator, administrator, or judge – will fulfil the underlying policies and objectives of the law of the time in the area. </w:t>
      </w:r>
      <w:r>
        <w:rPr>
          <w:sz w:val="21"/>
        </w:rPr>
        <w:t>Further, as society changes, the concept of legal identity and the legal consequences attributed to them inevitably change as well.‖</w:t>
      </w:r>
      <w:r>
        <w:rPr>
          <w:sz w:val="21"/>
          <w:vertAlign w:val="superscript"/>
        </w:rPr>
        <w:t>51</w:t>
      </w:r>
    </w:p>
    <w:p>
      <w:pPr>
        <w:spacing w:before="0"/>
        <w:ind w:left="5798" w:right="0" w:firstLine="0"/>
        <w:jc w:val="both"/>
        <w:rPr>
          <w:sz w:val="21"/>
        </w:rPr>
      </w:pPr>
      <w:r>
        <w:rPr>
          <w:sz w:val="21"/>
        </w:rPr>
        <w:t>(Emphasis supplied)</w:t>
      </w:r>
    </w:p>
    <w:p>
      <w:pPr>
        <w:pStyle w:val="BodyText"/>
        <w:spacing w:before="6"/>
        <w:rPr>
          <w:sz w:val="27"/>
        </w:rPr>
      </w:pPr>
    </w:p>
    <w:p>
      <w:pPr>
        <w:pStyle w:val="BodyText"/>
        <w:spacing w:line="480" w:lineRule="auto"/>
        <w:ind w:left="500" w:right="439"/>
        <w:jc w:val="both"/>
      </w:pPr>
      <w:r>
        <w:rPr/>
        <w:t>All legal units are not alike. The conferral of legal personality sub-serves specific requirements that justify its recognition. The conferral of juristic personality does not automatically grant an ensemble of legal rights. The contours of juristic personality i.e. the rights and liabilities that attach upon the object conferred with juristic personality, must be determined keeping in mind the specific reasons for which such legal personality was conferred. The limits or boundaries of the rights ascribed to the new legal person must be guided by the reasons for conferring legal personality. The parameters of judicial innovation are set by the purpose for which the judge innovates. An example of this is when courts lift the veil of corporate personality where the conferral of an independent legal personality no longer serves the above goals. The application of the doctrine is defined by its ability to serve the object underlying its creation. The legal innovation will become unruly if courts were to confer legal personality on an object and subsequently enlarge the object‘s rights to the point where the original goal of intelligible and</w:t>
      </w:r>
    </w:p>
    <w:p>
      <w:pPr>
        <w:pStyle w:val="BodyText"/>
        <w:rPr>
          <w:sz w:val="20"/>
        </w:rPr>
      </w:pPr>
    </w:p>
    <w:p>
      <w:pPr>
        <w:pStyle w:val="BodyText"/>
        <w:spacing w:before="7"/>
        <w:rPr>
          <w:sz w:val="27"/>
        </w:rPr>
      </w:pPr>
      <w:r>
        <w:rPr/>
        <w:pict>
          <v:rect style="position:absolute;margin-left:72.024002pt;margin-top:17.841028pt;width:144.020pt;height:.599980pt;mso-position-horizontal-relative:page;mso-position-vertical-relative:paragraph;z-index:-1570969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51</w:t>
      </w:r>
      <w:r>
        <w:rPr>
          <w:sz w:val="18"/>
          <w:vertAlign w:val="baseline"/>
        </w:rPr>
        <w:t> Phillip Blumberg, The Multinational Challenge to Corporation Law (Oxford University Press 1993), at page 207</w:t>
      </w:r>
    </w:p>
    <w:p>
      <w:pPr>
        <w:spacing w:after="0"/>
        <w:jc w:val="left"/>
        <w:rPr>
          <w:sz w:val="18"/>
        </w:rPr>
        <w:sectPr>
          <w:pgSz w:w="11910" w:h="16840"/>
          <w:pgMar w:header="721" w:footer="1014" w:top="1300" w:bottom="1200" w:left="940" w:right="1000"/>
        </w:sectPr>
      </w:pPr>
    </w:p>
    <w:p>
      <w:pPr>
        <w:pStyle w:val="BodyText"/>
        <w:spacing w:line="480" w:lineRule="auto" w:before="124"/>
        <w:ind w:left="500" w:right="512"/>
      </w:pPr>
      <w:r>
        <w:rPr/>
        <w:t>practical adjudication is defeated. With this understanding, it is necessary to now turn to the application of these principles with respect to Hindu idols.</w:t>
      </w:r>
    </w:p>
    <w:p>
      <w:pPr>
        <w:pStyle w:val="BodyText"/>
        <w:rPr>
          <w:sz w:val="28"/>
        </w:rPr>
      </w:pPr>
    </w:p>
    <w:p>
      <w:pPr>
        <w:pStyle w:val="BodyText"/>
        <w:spacing w:before="3"/>
        <w:rPr>
          <w:sz w:val="22"/>
        </w:rPr>
      </w:pPr>
    </w:p>
    <w:p>
      <w:pPr>
        <w:pStyle w:val="Heading4"/>
        <w:jc w:val="left"/>
        <w:rPr>
          <w:i/>
        </w:rPr>
      </w:pPr>
      <w:r>
        <w:rPr>
          <w:i/>
        </w:rPr>
        <w:t>The Hindu idol and divinity</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At the outset, it is important to understand that the conferral of legal personality on a Hindu idol is not the conferral of legal personality on divinity </w:t>
      </w:r>
      <w:r>
        <w:rPr>
          <w:spacing w:val="-1"/>
          <w:w w:val="99"/>
          <w:sz w:val="25"/>
        </w:rPr>
        <w:t>itself</w:t>
      </w:r>
      <w:r>
        <w:rPr>
          <w:w w:val="99"/>
          <w:sz w:val="25"/>
        </w:rPr>
        <w:t>,</w:t>
      </w:r>
      <w:r>
        <w:rPr>
          <w:sz w:val="25"/>
        </w:rPr>
        <w:t> </w:t>
      </w:r>
      <w:r>
        <w:rPr>
          <w:spacing w:val="15"/>
          <w:sz w:val="25"/>
        </w:rPr>
        <w:t> </w:t>
      </w:r>
      <w:r>
        <w:rPr>
          <w:spacing w:val="-1"/>
          <w:w w:val="99"/>
          <w:sz w:val="25"/>
        </w:rPr>
        <w:t>whic</w:t>
      </w:r>
      <w:r>
        <w:rPr>
          <w:w w:val="99"/>
          <w:sz w:val="25"/>
        </w:rPr>
        <w:t>h</w:t>
      </w:r>
      <w:r>
        <w:rPr>
          <w:sz w:val="25"/>
        </w:rPr>
        <w:t> </w:t>
      </w:r>
      <w:r>
        <w:rPr>
          <w:spacing w:val="17"/>
          <w:sz w:val="25"/>
        </w:rPr>
        <w:t> </w:t>
      </w:r>
      <w:r>
        <w:rPr>
          <w:spacing w:val="-1"/>
          <w:w w:val="99"/>
          <w:sz w:val="25"/>
        </w:rPr>
        <w:t>i</w:t>
      </w:r>
      <w:r>
        <w:rPr>
          <w:w w:val="99"/>
          <w:sz w:val="25"/>
        </w:rPr>
        <w:t>n</w:t>
      </w:r>
      <w:r>
        <w:rPr>
          <w:sz w:val="25"/>
        </w:rPr>
        <w:t> </w:t>
      </w:r>
      <w:r>
        <w:rPr>
          <w:spacing w:val="14"/>
          <w:sz w:val="25"/>
        </w:rPr>
        <w:t> </w:t>
      </w:r>
      <w:r>
        <w:rPr>
          <w:spacing w:val="-1"/>
          <w:w w:val="99"/>
          <w:sz w:val="25"/>
        </w:rPr>
        <w:t>Hin</w:t>
      </w:r>
      <w:r>
        <w:rPr>
          <w:spacing w:val="2"/>
          <w:w w:val="99"/>
          <w:sz w:val="25"/>
        </w:rPr>
        <w:t>d</w:t>
      </w:r>
      <w:r>
        <w:rPr>
          <w:spacing w:val="-1"/>
          <w:w w:val="99"/>
          <w:sz w:val="25"/>
        </w:rPr>
        <w:t>uis</w:t>
      </w:r>
      <w:r>
        <w:rPr>
          <w:w w:val="99"/>
          <w:sz w:val="25"/>
        </w:rPr>
        <w:t>m</w:t>
      </w:r>
      <w:r>
        <w:rPr>
          <w:sz w:val="25"/>
        </w:rPr>
        <w:t> </w:t>
      </w:r>
      <w:r>
        <w:rPr>
          <w:spacing w:val="15"/>
          <w:sz w:val="25"/>
        </w:rPr>
        <w:t> </w:t>
      </w:r>
      <w:r>
        <w:rPr>
          <w:spacing w:val="-1"/>
          <w:w w:val="99"/>
          <w:sz w:val="25"/>
        </w:rPr>
        <w:t>i</w:t>
      </w:r>
      <w:r>
        <w:rPr>
          <w:w w:val="99"/>
          <w:sz w:val="25"/>
        </w:rPr>
        <w:t>s</w:t>
      </w:r>
      <w:r>
        <w:rPr>
          <w:sz w:val="25"/>
        </w:rPr>
        <w:t> </w:t>
      </w:r>
      <w:r>
        <w:rPr>
          <w:spacing w:val="14"/>
          <w:sz w:val="25"/>
        </w:rPr>
        <w:t> </w:t>
      </w:r>
      <w:r>
        <w:rPr>
          <w:spacing w:val="-1"/>
          <w:w w:val="99"/>
          <w:sz w:val="25"/>
        </w:rPr>
        <w:t>of</w:t>
      </w:r>
      <w:r>
        <w:rPr>
          <w:w w:val="99"/>
          <w:sz w:val="25"/>
        </w:rPr>
        <w:t>t</w:t>
      </w:r>
      <w:r>
        <w:rPr>
          <w:spacing w:val="-1"/>
          <w:w w:val="99"/>
          <w:sz w:val="25"/>
        </w:rPr>
        <w:t>e</w:t>
      </w:r>
      <w:r>
        <w:rPr>
          <w:w w:val="99"/>
          <w:sz w:val="25"/>
        </w:rPr>
        <w:t>n</w:t>
      </w:r>
      <w:r>
        <w:rPr>
          <w:sz w:val="25"/>
        </w:rPr>
        <w:t> </w:t>
      </w:r>
      <w:r>
        <w:rPr>
          <w:spacing w:val="14"/>
          <w:sz w:val="25"/>
        </w:rPr>
        <w:t> </w:t>
      </w:r>
      <w:r>
        <w:rPr>
          <w:spacing w:val="-1"/>
          <w:w w:val="99"/>
          <w:sz w:val="25"/>
        </w:rPr>
        <w:t>u</w:t>
      </w:r>
      <w:r>
        <w:rPr>
          <w:w w:val="99"/>
          <w:sz w:val="25"/>
        </w:rPr>
        <w:t>n</w:t>
      </w:r>
      <w:r>
        <w:rPr>
          <w:spacing w:val="-1"/>
          <w:w w:val="99"/>
          <w:sz w:val="25"/>
        </w:rPr>
        <w:t>d</w:t>
      </w:r>
      <w:r>
        <w:rPr>
          <w:w w:val="99"/>
          <w:sz w:val="25"/>
        </w:rPr>
        <w:t>e</w:t>
      </w:r>
      <w:r>
        <w:rPr>
          <w:spacing w:val="3"/>
          <w:w w:val="99"/>
          <w:sz w:val="25"/>
        </w:rPr>
        <w:t>r</w:t>
      </w:r>
      <w:r>
        <w:rPr>
          <w:w w:val="99"/>
          <w:sz w:val="25"/>
        </w:rPr>
        <w:t>stood</w:t>
      </w:r>
      <w:r>
        <w:rPr>
          <w:sz w:val="25"/>
        </w:rPr>
        <w:t> </w:t>
      </w:r>
      <w:r>
        <w:rPr>
          <w:spacing w:val="14"/>
          <w:sz w:val="25"/>
        </w:rPr>
        <w:t> </w:t>
      </w:r>
      <w:r>
        <w:rPr>
          <w:spacing w:val="-1"/>
          <w:w w:val="99"/>
          <w:sz w:val="25"/>
        </w:rPr>
        <w:t>a</w:t>
      </w:r>
      <w:r>
        <w:rPr>
          <w:w w:val="99"/>
          <w:sz w:val="25"/>
        </w:rPr>
        <w:t>s</w:t>
      </w:r>
      <w:r>
        <w:rPr>
          <w:sz w:val="25"/>
        </w:rPr>
        <w:t> </w:t>
      </w:r>
      <w:r>
        <w:rPr>
          <w:spacing w:val="14"/>
          <w:sz w:val="25"/>
        </w:rPr>
        <w:t> </w:t>
      </w:r>
      <w:r>
        <w:rPr>
          <w:w w:val="99"/>
          <w:sz w:val="25"/>
        </w:rPr>
        <w:t>the</w:t>
      </w:r>
      <w:r>
        <w:rPr>
          <w:sz w:val="25"/>
        </w:rPr>
        <w:t> </w:t>
      </w:r>
      <w:r>
        <w:rPr>
          <w:spacing w:val="15"/>
          <w:sz w:val="25"/>
        </w:rPr>
        <w:t> </w:t>
      </w:r>
      <w:r>
        <w:rPr>
          <w:spacing w:val="1"/>
          <w:w w:val="40"/>
          <w:sz w:val="25"/>
        </w:rPr>
        <w:t>‗</w:t>
      </w:r>
      <w:r>
        <w:rPr>
          <w:spacing w:val="-1"/>
          <w:w w:val="99"/>
          <w:sz w:val="25"/>
        </w:rPr>
        <w:t>Su</w:t>
      </w:r>
      <w:r>
        <w:rPr>
          <w:w w:val="99"/>
          <w:sz w:val="25"/>
        </w:rPr>
        <w:t>pr</w:t>
      </w:r>
      <w:r>
        <w:rPr>
          <w:spacing w:val="-1"/>
          <w:w w:val="99"/>
          <w:sz w:val="25"/>
        </w:rPr>
        <w:t>e</w:t>
      </w:r>
      <w:r>
        <w:rPr>
          <w:w w:val="99"/>
          <w:sz w:val="25"/>
        </w:rPr>
        <w:t>me</w:t>
      </w:r>
      <w:r>
        <w:rPr>
          <w:sz w:val="25"/>
        </w:rPr>
        <w:t> </w:t>
      </w:r>
      <w:r>
        <w:rPr>
          <w:spacing w:val="14"/>
          <w:sz w:val="25"/>
        </w:rPr>
        <w:t> </w:t>
      </w:r>
      <w:r>
        <w:rPr>
          <w:spacing w:val="-1"/>
          <w:w w:val="99"/>
          <w:sz w:val="25"/>
        </w:rPr>
        <w:t>Bein</w:t>
      </w:r>
      <w:r>
        <w:rPr>
          <w:w w:val="99"/>
          <w:sz w:val="25"/>
        </w:rPr>
        <w:t>g</w:t>
      </w:r>
      <w:r>
        <w:rPr>
          <w:spacing w:val="-1"/>
          <w:w w:val="99"/>
          <w:sz w:val="25"/>
        </w:rPr>
        <w:t>‘</w:t>
      </w:r>
      <w:r>
        <w:rPr>
          <w:w w:val="99"/>
          <w:sz w:val="25"/>
        </w:rPr>
        <w:t>.</w:t>
      </w:r>
      <w:r>
        <w:rPr>
          <w:sz w:val="25"/>
        </w:rPr>
        <w:t> </w:t>
      </w:r>
      <w:r>
        <w:rPr>
          <w:spacing w:val="14"/>
          <w:sz w:val="25"/>
        </w:rPr>
        <w:t> </w:t>
      </w:r>
      <w:r>
        <w:rPr>
          <w:w w:val="99"/>
          <w:sz w:val="25"/>
        </w:rPr>
        <w:t>T</w:t>
      </w:r>
      <w:r>
        <w:rPr>
          <w:spacing w:val="-1"/>
          <w:w w:val="99"/>
          <w:sz w:val="25"/>
        </w:rPr>
        <w:t>he </w:t>
      </w:r>
      <w:r>
        <w:rPr>
          <w:sz w:val="25"/>
        </w:rPr>
        <w:t>Supreme Being defies form and shape, yet its presence is universal. In the law of Hindu endowments and in the present proceedings, it has often been stated that legal personality is conferred on the ‗purpose behind the idol‘. The present judgment shall advert to the exact legal significance of this statement. For the present,  it  is  sufficient  to  note  that  legal  personality  is  not  conferred  on</w:t>
      </w:r>
      <w:r>
        <w:rPr>
          <w:spacing w:val="16"/>
          <w:sz w:val="25"/>
        </w:rPr>
        <w:t> </w:t>
      </w:r>
      <w:r>
        <w:rPr>
          <w:sz w:val="25"/>
        </w:rPr>
        <w:t>the</w:t>
      </w:r>
    </w:p>
    <w:p>
      <w:pPr>
        <w:tabs>
          <w:tab w:pos="3286" w:val="left" w:leader="none"/>
        </w:tabs>
        <w:spacing w:line="285" w:lineRule="exact" w:before="0"/>
        <w:ind w:left="500" w:right="0" w:firstLine="0"/>
        <w:jc w:val="left"/>
        <w:rPr>
          <w:sz w:val="25"/>
        </w:rPr>
      </w:pPr>
      <w:r>
        <w:rPr>
          <w:sz w:val="25"/>
        </w:rPr>
        <w:t>‗Supreme</w:t>
      </w:r>
      <w:r>
        <w:rPr>
          <w:spacing w:val="10"/>
          <w:sz w:val="25"/>
        </w:rPr>
        <w:t> </w:t>
      </w:r>
      <w:r>
        <w:rPr>
          <w:sz w:val="25"/>
        </w:rPr>
        <w:t>Being‘</w:t>
      </w:r>
      <w:r>
        <w:rPr>
          <w:spacing w:val="9"/>
          <w:sz w:val="25"/>
        </w:rPr>
        <w:t> </w:t>
      </w:r>
      <w:r>
        <w:rPr>
          <w:sz w:val="25"/>
        </w:rPr>
        <w:t>itself.</w:t>
        <w:tab/>
        <w:t>As</w:t>
      </w:r>
      <w:r>
        <w:rPr>
          <w:spacing w:val="38"/>
          <w:sz w:val="25"/>
        </w:rPr>
        <w:t> </w:t>
      </w:r>
      <w:r>
        <w:rPr>
          <w:sz w:val="25"/>
        </w:rPr>
        <w:t>observed</w:t>
      </w:r>
      <w:r>
        <w:rPr>
          <w:spacing w:val="39"/>
          <w:sz w:val="25"/>
        </w:rPr>
        <w:t> </w:t>
      </w:r>
      <w:r>
        <w:rPr>
          <w:sz w:val="25"/>
        </w:rPr>
        <w:t>by</w:t>
      </w:r>
      <w:r>
        <w:rPr>
          <w:spacing w:val="36"/>
          <w:sz w:val="25"/>
        </w:rPr>
        <w:t> </w:t>
      </w:r>
      <w:r>
        <w:rPr>
          <w:sz w:val="25"/>
        </w:rPr>
        <w:t>this</w:t>
      </w:r>
      <w:r>
        <w:rPr>
          <w:spacing w:val="38"/>
          <w:sz w:val="25"/>
        </w:rPr>
        <w:t> </w:t>
      </w:r>
      <w:r>
        <w:rPr>
          <w:sz w:val="25"/>
        </w:rPr>
        <w:t>Court</w:t>
      </w:r>
      <w:r>
        <w:rPr>
          <w:spacing w:val="39"/>
          <w:sz w:val="25"/>
        </w:rPr>
        <w:t> </w:t>
      </w:r>
      <w:r>
        <w:rPr>
          <w:sz w:val="25"/>
        </w:rPr>
        <w:t>in</w:t>
      </w:r>
      <w:r>
        <w:rPr>
          <w:spacing w:val="45"/>
          <w:sz w:val="25"/>
        </w:rPr>
        <w:t> </w:t>
      </w:r>
      <w:r>
        <w:rPr>
          <w:b/>
          <w:sz w:val="25"/>
        </w:rPr>
        <w:t>Ram</w:t>
      </w:r>
      <w:r>
        <w:rPr>
          <w:b/>
          <w:spacing w:val="37"/>
          <w:sz w:val="25"/>
        </w:rPr>
        <w:t> </w:t>
      </w:r>
      <w:r>
        <w:rPr>
          <w:b/>
          <w:sz w:val="25"/>
        </w:rPr>
        <w:t>Jankijee</w:t>
      </w:r>
      <w:r>
        <w:rPr>
          <w:b/>
          <w:spacing w:val="39"/>
          <w:sz w:val="25"/>
        </w:rPr>
        <w:t> </w:t>
      </w:r>
      <w:r>
        <w:rPr>
          <w:b/>
          <w:sz w:val="25"/>
        </w:rPr>
        <w:t>Deities</w:t>
      </w:r>
      <w:r>
        <w:rPr>
          <w:b/>
          <w:spacing w:val="39"/>
          <w:sz w:val="25"/>
        </w:rPr>
        <w:t> </w:t>
      </w:r>
      <w:r>
        <w:rPr>
          <w:sz w:val="25"/>
        </w:rPr>
        <w:t>v</w:t>
      </w:r>
    </w:p>
    <w:p>
      <w:pPr>
        <w:pStyle w:val="BodyText"/>
        <w:spacing w:before="1"/>
      </w:pPr>
    </w:p>
    <w:p>
      <w:pPr>
        <w:pStyle w:val="Heading5"/>
        <w:ind w:left="500" w:firstLine="0"/>
        <w:jc w:val="left"/>
        <w:rPr>
          <w:b w:val="0"/>
        </w:rPr>
      </w:pPr>
      <w:r>
        <w:rPr/>
        <w:t>State of Bihar</w:t>
      </w:r>
      <w:r>
        <w:rPr>
          <w:b w:val="0"/>
          <w:vertAlign w:val="superscript"/>
        </w:rPr>
        <w:t>52</w:t>
      </w:r>
      <w:r>
        <w:rPr>
          <w:b w:val="0"/>
          <w:vertAlign w:val="baseline"/>
        </w:rPr>
        <w:t>:</w:t>
      </w:r>
    </w:p>
    <w:p>
      <w:pPr>
        <w:spacing w:line="276" w:lineRule="auto" w:before="288"/>
        <w:ind w:left="1940" w:right="2260" w:firstLine="0"/>
        <w:jc w:val="both"/>
        <w:rPr>
          <w:sz w:val="21"/>
        </w:rPr>
      </w:pPr>
      <w:r>
        <w:rPr>
          <w:spacing w:val="-1"/>
          <w:w w:val="33"/>
          <w:sz w:val="21"/>
        </w:rPr>
        <w:t>―</w:t>
      </w:r>
      <w:r>
        <w:rPr>
          <w:spacing w:val="-1"/>
          <w:w w:val="100"/>
          <w:sz w:val="21"/>
        </w:rPr>
        <w:t>19</w:t>
      </w:r>
      <w:r>
        <w:rPr>
          <w:w w:val="100"/>
          <w:sz w:val="21"/>
        </w:rPr>
        <w:t>.</w:t>
      </w:r>
      <w:r>
        <w:rPr>
          <w:sz w:val="21"/>
        </w:rPr>
        <w:t> </w:t>
      </w:r>
      <w:r>
        <w:rPr>
          <w:spacing w:val="-2"/>
          <w:w w:val="100"/>
          <w:sz w:val="21"/>
        </w:rPr>
        <w:t>G</w:t>
      </w:r>
      <w:r>
        <w:rPr>
          <w:spacing w:val="-1"/>
          <w:w w:val="100"/>
          <w:sz w:val="21"/>
        </w:rPr>
        <w:t>o</w:t>
      </w:r>
      <w:r>
        <w:rPr>
          <w:w w:val="100"/>
          <w:sz w:val="21"/>
        </w:rPr>
        <w:t>d</w:t>
      </w:r>
      <w:r>
        <w:rPr>
          <w:sz w:val="21"/>
        </w:rPr>
        <w:t> </w:t>
      </w:r>
      <w:r>
        <w:rPr>
          <w:spacing w:val="-2"/>
          <w:w w:val="100"/>
          <w:sz w:val="21"/>
        </w:rPr>
        <w:t>i</w:t>
      </w:r>
      <w:r>
        <w:rPr>
          <w:w w:val="100"/>
          <w:sz w:val="21"/>
        </w:rPr>
        <w:t>s</w:t>
      </w:r>
      <w:r>
        <w:rPr>
          <w:sz w:val="21"/>
        </w:rPr>
        <w:t> </w:t>
      </w:r>
      <w:r>
        <w:rPr>
          <w:spacing w:val="-3"/>
          <w:w w:val="100"/>
          <w:sz w:val="21"/>
        </w:rPr>
        <w:t>o</w:t>
      </w:r>
      <w:r>
        <w:rPr>
          <w:spacing w:val="1"/>
          <w:w w:val="100"/>
          <w:sz w:val="21"/>
        </w:rPr>
        <w:t>m</w:t>
      </w:r>
      <w:r>
        <w:rPr>
          <w:spacing w:val="-3"/>
          <w:w w:val="100"/>
          <w:sz w:val="21"/>
        </w:rPr>
        <w:t>n</w:t>
      </w:r>
      <w:r>
        <w:rPr>
          <w:w w:val="100"/>
          <w:sz w:val="21"/>
        </w:rPr>
        <w:t>i</w:t>
      </w:r>
      <w:r>
        <w:rPr>
          <w:spacing w:val="-3"/>
          <w:w w:val="100"/>
          <w:sz w:val="21"/>
        </w:rPr>
        <w:t>p</w:t>
      </w:r>
      <w:r>
        <w:rPr>
          <w:spacing w:val="-1"/>
          <w:w w:val="100"/>
          <w:sz w:val="21"/>
        </w:rPr>
        <w:t>oten</w:t>
      </w:r>
      <w:r>
        <w:rPr>
          <w:w w:val="100"/>
          <w:sz w:val="21"/>
        </w:rPr>
        <w:t>t</w:t>
      </w:r>
      <w:r>
        <w:rPr>
          <w:sz w:val="21"/>
        </w:rPr>
        <w:t> </w:t>
      </w:r>
      <w:r>
        <w:rPr>
          <w:spacing w:val="-1"/>
          <w:w w:val="100"/>
          <w:sz w:val="21"/>
        </w:rPr>
        <w:t>a</w:t>
      </w:r>
      <w:r>
        <w:rPr>
          <w:spacing w:val="-3"/>
          <w:w w:val="100"/>
          <w:sz w:val="21"/>
        </w:rPr>
        <w:t>n</w:t>
      </w:r>
      <w:r>
        <w:rPr>
          <w:w w:val="100"/>
          <w:sz w:val="21"/>
        </w:rPr>
        <w:t>d</w:t>
      </w:r>
      <w:r>
        <w:rPr>
          <w:sz w:val="21"/>
        </w:rPr>
        <w:t> </w:t>
      </w:r>
      <w:r>
        <w:rPr>
          <w:spacing w:val="-3"/>
          <w:w w:val="100"/>
          <w:sz w:val="21"/>
        </w:rPr>
        <w:t>o</w:t>
      </w:r>
      <w:r>
        <w:rPr>
          <w:spacing w:val="1"/>
          <w:w w:val="100"/>
          <w:sz w:val="21"/>
        </w:rPr>
        <w:t>m</w:t>
      </w:r>
      <w:r>
        <w:rPr>
          <w:spacing w:val="-3"/>
          <w:w w:val="100"/>
          <w:sz w:val="21"/>
        </w:rPr>
        <w:t>n</w:t>
      </w:r>
      <w:r>
        <w:rPr>
          <w:w w:val="100"/>
          <w:sz w:val="21"/>
        </w:rPr>
        <w:t>is</w:t>
      </w:r>
      <w:r>
        <w:rPr>
          <w:spacing w:val="-3"/>
          <w:w w:val="100"/>
          <w:sz w:val="21"/>
        </w:rPr>
        <w:t>c</w:t>
      </w:r>
      <w:r>
        <w:rPr>
          <w:w w:val="100"/>
          <w:sz w:val="21"/>
        </w:rPr>
        <w:t>i</w:t>
      </w:r>
      <w:r>
        <w:rPr>
          <w:spacing w:val="-1"/>
          <w:w w:val="100"/>
          <w:sz w:val="21"/>
        </w:rPr>
        <w:t>en</w:t>
      </w:r>
      <w:r>
        <w:rPr>
          <w:w w:val="100"/>
          <w:sz w:val="21"/>
        </w:rPr>
        <w:t>t</w:t>
      </w:r>
      <w:r>
        <w:rPr>
          <w:sz w:val="21"/>
        </w:rPr>
        <w:t> </w:t>
      </w:r>
      <w:r>
        <w:rPr>
          <w:spacing w:val="-3"/>
          <w:w w:val="100"/>
          <w:sz w:val="21"/>
        </w:rPr>
        <w:t>a</w:t>
      </w:r>
      <w:r>
        <w:rPr>
          <w:spacing w:val="-1"/>
          <w:w w:val="100"/>
          <w:sz w:val="21"/>
        </w:rPr>
        <w:t>n</w:t>
      </w:r>
      <w:r>
        <w:rPr>
          <w:w w:val="100"/>
          <w:sz w:val="21"/>
        </w:rPr>
        <w:t>d</w:t>
      </w:r>
      <w:r>
        <w:rPr>
          <w:sz w:val="21"/>
        </w:rPr>
        <w:t> </w:t>
      </w:r>
      <w:r>
        <w:rPr>
          <w:w w:val="100"/>
          <w:sz w:val="21"/>
        </w:rPr>
        <w:t>i</w:t>
      </w:r>
      <w:r>
        <w:rPr>
          <w:spacing w:val="-2"/>
          <w:w w:val="100"/>
          <w:sz w:val="21"/>
        </w:rPr>
        <w:t>t</w:t>
      </w:r>
      <w:r>
        <w:rPr>
          <w:w w:val="100"/>
          <w:sz w:val="21"/>
        </w:rPr>
        <w:t>s</w:t>
      </w:r>
      <w:r>
        <w:rPr>
          <w:sz w:val="21"/>
        </w:rPr>
        <w:t> </w:t>
      </w:r>
      <w:r>
        <w:rPr>
          <w:w w:val="100"/>
          <w:sz w:val="21"/>
        </w:rPr>
        <w:t>pre</w:t>
      </w:r>
      <w:r>
        <w:rPr>
          <w:spacing w:val="-3"/>
          <w:w w:val="100"/>
          <w:sz w:val="21"/>
        </w:rPr>
        <w:t>s</w:t>
      </w:r>
      <w:r>
        <w:rPr>
          <w:spacing w:val="-3"/>
          <w:w w:val="100"/>
          <w:sz w:val="21"/>
        </w:rPr>
        <w:t>e</w:t>
      </w:r>
      <w:r>
        <w:rPr>
          <w:w w:val="100"/>
          <w:sz w:val="21"/>
        </w:rPr>
        <w:t>nce</w:t>
      </w:r>
      <w:r>
        <w:rPr>
          <w:sz w:val="21"/>
        </w:rPr>
        <w:t> </w:t>
      </w:r>
      <w:r>
        <w:rPr>
          <w:spacing w:val="-2"/>
          <w:w w:val="100"/>
          <w:sz w:val="21"/>
        </w:rPr>
        <w:t>i</w:t>
      </w:r>
      <w:r>
        <w:rPr>
          <w:w w:val="100"/>
          <w:sz w:val="21"/>
        </w:rPr>
        <w:t>s</w:t>
      </w:r>
      <w:r>
        <w:rPr>
          <w:sz w:val="21"/>
        </w:rPr>
        <w:t> </w:t>
      </w:r>
      <w:r>
        <w:rPr>
          <w:spacing w:val="-2"/>
          <w:w w:val="100"/>
          <w:sz w:val="21"/>
        </w:rPr>
        <w:t>f</w:t>
      </w:r>
      <w:r>
        <w:rPr>
          <w:w w:val="100"/>
          <w:sz w:val="21"/>
        </w:rPr>
        <w:t>e</w:t>
      </w:r>
      <w:r>
        <w:rPr>
          <w:spacing w:val="1"/>
          <w:w w:val="100"/>
          <w:sz w:val="21"/>
        </w:rPr>
        <w:t>l</w:t>
      </w:r>
      <w:r>
        <w:rPr>
          <w:w w:val="100"/>
          <w:sz w:val="21"/>
        </w:rPr>
        <w:t>t </w:t>
      </w:r>
      <w:r>
        <w:rPr>
          <w:sz w:val="21"/>
        </w:rPr>
        <w:t>not by reason of a particular form or image but by reason of a particular form or image but by reason of the presence of the omnipotent. </w:t>
      </w:r>
      <w:r>
        <w:rPr>
          <w:b/>
          <w:sz w:val="21"/>
        </w:rPr>
        <w:t>It is formless, it is shapeless and it is for the benefit of the worshippers that there is a manifestation in the images of the supreme being. </w:t>
      </w:r>
      <w:r>
        <w:rPr>
          <w:sz w:val="21"/>
        </w:rPr>
        <w:t>The supreme being has no attribute, which consists of pure spirit and which is without a second being i.e. God is the only being existing in reality, there is no other being in real existence excepting Him.‖</w:t>
      </w:r>
    </w:p>
    <w:p>
      <w:pPr>
        <w:spacing w:before="2"/>
        <w:ind w:left="5795" w:right="0" w:firstLine="0"/>
        <w:jc w:val="both"/>
        <w:rPr>
          <w:sz w:val="21"/>
        </w:rPr>
      </w:pPr>
      <w:r>
        <w:rPr>
          <w:sz w:val="21"/>
        </w:rPr>
        <w:t>(Emphasis supplied)</w:t>
      </w:r>
    </w:p>
    <w:p>
      <w:pPr>
        <w:pStyle w:val="BodyText"/>
        <w:rPr>
          <w:sz w:val="24"/>
        </w:rPr>
      </w:pPr>
    </w:p>
    <w:p>
      <w:pPr>
        <w:pStyle w:val="BodyText"/>
        <w:rPr>
          <w:sz w:val="21"/>
        </w:rPr>
      </w:pPr>
    </w:p>
    <w:p>
      <w:pPr>
        <w:pStyle w:val="ListParagraph"/>
        <w:numPr>
          <w:ilvl w:val="0"/>
          <w:numId w:val="3"/>
        </w:numPr>
        <w:tabs>
          <w:tab w:pos="1221" w:val="left" w:leader="none"/>
        </w:tabs>
        <w:spacing w:line="480" w:lineRule="auto" w:before="0" w:after="0"/>
        <w:ind w:left="500" w:right="437" w:firstLine="0"/>
        <w:jc w:val="both"/>
        <w:rPr>
          <w:sz w:val="25"/>
        </w:rPr>
      </w:pPr>
      <w:r>
        <w:rPr/>
        <w:pict>
          <v:rect style="position:absolute;margin-left:72.024002pt;margin-top:90.464882pt;width:144.020pt;height:.599980pt;mso-position-horizontal-relative:page;mso-position-vertical-relative:paragraph;z-index:-15709184;mso-wrap-distance-left:0;mso-wrap-distance-right:0" filled="true" fillcolor="#000000" stroked="false">
            <v:fill type="solid"/>
            <w10:wrap type="topAndBottom"/>
          </v:rect>
        </w:pict>
      </w:r>
      <w:r>
        <w:rPr>
          <w:sz w:val="25"/>
        </w:rPr>
        <w:t>In 1991, the English Court of Appeal in </w:t>
      </w:r>
      <w:r>
        <w:rPr>
          <w:b/>
          <w:sz w:val="25"/>
        </w:rPr>
        <w:t>Bumper Development Corporation Ltd </w:t>
      </w:r>
      <w:r>
        <w:rPr>
          <w:sz w:val="25"/>
        </w:rPr>
        <w:t>v </w:t>
      </w:r>
      <w:r>
        <w:rPr>
          <w:b/>
          <w:sz w:val="25"/>
        </w:rPr>
        <w:t>Commissioner of Police of the Metropolis</w:t>
      </w:r>
      <w:r>
        <w:rPr>
          <w:sz w:val="25"/>
          <w:vertAlign w:val="superscript"/>
        </w:rPr>
        <w:t>53</w:t>
      </w:r>
      <w:r>
        <w:rPr>
          <w:sz w:val="25"/>
          <w:vertAlign w:val="baseline"/>
        </w:rPr>
        <w:t> was called to decide the question whether a Hindu temple and a Hindu idol could sue in a</w:t>
      </w:r>
      <w:r>
        <w:rPr>
          <w:spacing w:val="11"/>
          <w:sz w:val="25"/>
          <w:vertAlign w:val="baseline"/>
        </w:rPr>
        <w:t> </w:t>
      </w:r>
      <w:r>
        <w:rPr>
          <w:sz w:val="25"/>
          <w:vertAlign w:val="baseline"/>
        </w:rPr>
        <w:t>court</w:t>
      </w:r>
    </w:p>
    <w:p>
      <w:pPr>
        <w:spacing w:before="78"/>
        <w:ind w:left="500" w:right="0" w:firstLine="0"/>
        <w:jc w:val="left"/>
        <w:rPr>
          <w:sz w:val="18"/>
        </w:rPr>
      </w:pPr>
      <w:r>
        <w:rPr>
          <w:sz w:val="18"/>
          <w:vertAlign w:val="superscript"/>
        </w:rPr>
        <w:t>52</w:t>
      </w:r>
      <w:r>
        <w:rPr>
          <w:sz w:val="18"/>
          <w:vertAlign w:val="baseline"/>
        </w:rPr>
        <w:t> (1999) 5 SCC 50</w:t>
      </w:r>
    </w:p>
    <w:p>
      <w:pPr>
        <w:spacing w:before="2"/>
        <w:ind w:left="500" w:right="0" w:firstLine="0"/>
        <w:jc w:val="left"/>
        <w:rPr>
          <w:sz w:val="18"/>
        </w:rPr>
      </w:pPr>
      <w:r>
        <w:rPr>
          <w:sz w:val="18"/>
          <w:vertAlign w:val="superscript"/>
        </w:rPr>
        <w:t>53</w:t>
      </w:r>
      <w:r>
        <w:rPr>
          <w:sz w:val="18"/>
          <w:vertAlign w:val="baseline"/>
        </w:rPr>
        <w:t> [1991] 1 WLR 1362 (2)</w:t>
      </w:r>
    </w:p>
    <w:p>
      <w:pPr>
        <w:spacing w:after="0"/>
        <w:jc w:val="left"/>
        <w:rPr>
          <w:sz w:val="18"/>
        </w:rPr>
        <w:sectPr>
          <w:pgSz w:w="11910" w:h="16840"/>
          <w:pgMar w:header="721" w:footer="1014" w:top="1300" w:bottom="1200" w:left="940" w:right="1000"/>
        </w:sectPr>
      </w:pPr>
    </w:p>
    <w:p>
      <w:pPr>
        <w:pStyle w:val="BodyText"/>
        <w:spacing w:line="480" w:lineRule="auto" w:before="124"/>
        <w:ind w:left="500" w:right="437"/>
        <w:jc w:val="both"/>
      </w:pPr>
      <w:r>
        <w:rPr/>
        <w:t>of law. In 1976, an Indian labourer discovered a ‗Siva Natraja‘ in Pathur, Tamil Nadu which the labourer subsequently sold to a dealer in religious artefacts. Other artefacts were subsequently found, including a ‗Sivalingam‘, and were reinstated in the Pathur temple. In 1982, Bumper Development Corporation purchased the ‗Siva Natraja‘ in good faith from a dealer in London who produced a false provenance of the Natraja for the purposes of the sale. The Natraja was subsequently seized by the Metropolitan Police. At trial, the Government of India and the state government of Tamil Nadu intervened, along with the Pathur </w:t>
      </w:r>
      <w:r>
        <w:rPr>
          <w:w w:val="99"/>
        </w:rPr>
        <w:t>T</w:t>
      </w:r>
      <w:r>
        <w:rPr>
          <w:spacing w:val="-1"/>
          <w:w w:val="99"/>
        </w:rPr>
        <w:t>e</w:t>
      </w:r>
      <w:r>
        <w:rPr>
          <w:w w:val="99"/>
        </w:rPr>
        <w:t>m</w:t>
      </w:r>
      <w:r>
        <w:rPr>
          <w:spacing w:val="-1"/>
          <w:w w:val="99"/>
        </w:rPr>
        <w:t>pl</w:t>
      </w:r>
      <w:r>
        <w:rPr>
          <w:w w:val="99"/>
        </w:rPr>
        <w:t>e</w:t>
      </w:r>
      <w:r>
        <w:rPr>
          <w:spacing w:val="7"/>
        </w:rPr>
        <w:t> </w:t>
      </w:r>
      <w:r>
        <w:rPr>
          <w:spacing w:val="-1"/>
          <w:w w:val="99"/>
        </w:rPr>
        <w:t>a</w:t>
      </w:r>
      <w:r>
        <w:rPr>
          <w:w w:val="99"/>
        </w:rPr>
        <w:t>nd</w:t>
      </w:r>
      <w:r>
        <w:rPr>
          <w:spacing w:val="5"/>
        </w:rPr>
        <w:t> </w:t>
      </w:r>
      <w:r>
        <w:rPr>
          <w:w w:val="99"/>
        </w:rPr>
        <w:t>the</w:t>
      </w:r>
      <w:r>
        <w:rPr>
          <w:spacing w:val="7"/>
        </w:rPr>
        <w:t> </w:t>
      </w:r>
      <w:r>
        <w:rPr>
          <w:spacing w:val="-1"/>
          <w:w w:val="99"/>
        </w:rPr>
        <w:t>Si</w:t>
      </w:r>
      <w:r>
        <w:rPr>
          <w:spacing w:val="-3"/>
          <w:w w:val="99"/>
        </w:rPr>
        <w:t>v</w:t>
      </w:r>
      <w:r>
        <w:rPr>
          <w:spacing w:val="-1"/>
          <w:w w:val="99"/>
        </w:rPr>
        <w:t>al</w:t>
      </w:r>
      <w:r>
        <w:rPr>
          <w:spacing w:val="2"/>
          <w:w w:val="99"/>
        </w:rPr>
        <w:t>i</w:t>
      </w:r>
      <w:r>
        <w:rPr>
          <w:spacing w:val="-1"/>
          <w:w w:val="99"/>
        </w:rPr>
        <w:t>n</w:t>
      </w:r>
      <w:r>
        <w:rPr>
          <w:w w:val="99"/>
        </w:rPr>
        <w:t>g</w:t>
      </w:r>
      <w:r>
        <w:rPr>
          <w:spacing w:val="-1"/>
          <w:w w:val="99"/>
        </w:rPr>
        <w:t>a</w:t>
      </w:r>
      <w:r>
        <w:rPr>
          <w:w w:val="99"/>
        </w:rPr>
        <w:t>m</w:t>
      </w:r>
      <w:r>
        <w:rPr>
          <w:spacing w:val="8"/>
        </w:rPr>
        <w:t> </w:t>
      </w:r>
      <w:r>
        <w:rPr>
          <w:spacing w:val="-1"/>
          <w:w w:val="99"/>
        </w:rPr>
        <w:t>a</w:t>
      </w:r>
      <w:r>
        <w:rPr>
          <w:w w:val="99"/>
        </w:rPr>
        <w:t>s</w:t>
      </w:r>
      <w:r>
        <w:rPr>
          <w:spacing w:val="7"/>
        </w:rPr>
        <w:t> </w:t>
      </w:r>
      <w:r>
        <w:rPr>
          <w:w w:val="33"/>
        </w:rPr>
        <w:t>―</w:t>
      </w:r>
      <w:r>
        <w:rPr>
          <w:spacing w:val="-1"/>
          <w:w w:val="99"/>
        </w:rPr>
        <w:t>j</w:t>
      </w:r>
      <w:r>
        <w:rPr>
          <w:spacing w:val="-3"/>
          <w:w w:val="99"/>
        </w:rPr>
        <w:t>u</w:t>
      </w:r>
      <w:r>
        <w:rPr>
          <w:w w:val="99"/>
        </w:rPr>
        <w:t>r</w:t>
      </w:r>
      <w:r>
        <w:rPr>
          <w:spacing w:val="-1"/>
          <w:w w:val="99"/>
        </w:rPr>
        <w:t>isti</w:t>
      </w:r>
      <w:r>
        <w:rPr>
          <w:w w:val="99"/>
        </w:rPr>
        <w:t>c</w:t>
      </w:r>
      <w:r>
        <w:rPr>
          <w:spacing w:val="6"/>
        </w:rPr>
        <w:t> </w:t>
      </w:r>
      <w:r>
        <w:rPr>
          <w:spacing w:val="-1"/>
          <w:w w:val="99"/>
        </w:rPr>
        <w:t>p</w:t>
      </w:r>
      <w:r>
        <w:rPr>
          <w:w w:val="99"/>
        </w:rPr>
        <w:t>er</w:t>
      </w:r>
      <w:r>
        <w:rPr>
          <w:spacing w:val="-3"/>
          <w:w w:val="99"/>
        </w:rPr>
        <w:t>s</w:t>
      </w:r>
      <w:r>
        <w:rPr>
          <w:spacing w:val="-1"/>
          <w:w w:val="99"/>
        </w:rPr>
        <w:t>o</w:t>
      </w:r>
      <w:r>
        <w:rPr>
          <w:w w:val="99"/>
        </w:rPr>
        <w:t>n</w:t>
      </w:r>
      <w:r>
        <w:rPr>
          <w:w w:val="91"/>
        </w:rPr>
        <w:t>s‖</w:t>
      </w:r>
      <w:r>
        <w:rPr>
          <w:w w:val="99"/>
        </w:rPr>
        <w:t>.</w:t>
      </w:r>
      <w:r>
        <w:rPr>
          <w:spacing w:val="7"/>
        </w:rPr>
        <w:t> </w:t>
      </w:r>
      <w:r>
        <w:rPr>
          <w:w w:val="99"/>
        </w:rPr>
        <w:t>T</w:t>
      </w:r>
      <w:r>
        <w:rPr>
          <w:spacing w:val="-1"/>
          <w:w w:val="99"/>
        </w:rPr>
        <w:t>h</w:t>
      </w:r>
      <w:r>
        <w:rPr>
          <w:w w:val="99"/>
        </w:rPr>
        <w:t>e</w:t>
      </w:r>
      <w:r>
        <w:rPr>
          <w:spacing w:val="5"/>
        </w:rPr>
        <w:t> </w:t>
      </w:r>
      <w:r>
        <w:rPr>
          <w:spacing w:val="-1"/>
          <w:w w:val="99"/>
        </w:rPr>
        <w:t>Cou</w:t>
      </w:r>
      <w:r>
        <w:rPr>
          <w:spacing w:val="1"/>
          <w:w w:val="99"/>
        </w:rPr>
        <w:t>r</w:t>
      </w:r>
      <w:r>
        <w:rPr>
          <w:w w:val="99"/>
        </w:rPr>
        <w:t>t</w:t>
      </w:r>
      <w:r>
        <w:rPr>
          <w:spacing w:val="7"/>
        </w:rPr>
        <w:t> </w:t>
      </w:r>
      <w:r>
        <w:rPr>
          <w:spacing w:val="-1"/>
          <w:w w:val="99"/>
        </w:rPr>
        <w:t>o</w:t>
      </w:r>
      <w:r>
        <w:rPr>
          <w:w w:val="99"/>
        </w:rPr>
        <w:t>f</w:t>
      </w:r>
      <w:r>
        <w:rPr>
          <w:spacing w:val="5"/>
        </w:rPr>
        <w:t> </w:t>
      </w:r>
      <w:r>
        <w:rPr>
          <w:spacing w:val="-1"/>
          <w:w w:val="99"/>
        </w:rPr>
        <w:t>Ap</w:t>
      </w:r>
      <w:r>
        <w:rPr>
          <w:w w:val="99"/>
        </w:rPr>
        <w:t>p</w:t>
      </w:r>
      <w:r>
        <w:rPr>
          <w:spacing w:val="-1"/>
          <w:w w:val="99"/>
        </w:rPr>
        <w:t>e</w:t>
      </w:r>
      <w:r>
        <w:rPr>
          <w:w w:val="99"/>
        </w:rPr>
        <w:t>al</w:t>
      </w:r>
      <w:r>
        <w:rPr>
          <w:spacing w:val="6"/>
        </w:rPr>
        <w:t> </w:t>
      </w:r>
      <w:r>
        <w:rPr>
          <w:spacing w:val="-1"/>
          <w:w w:val="99"/>
        </w:rPr>
        <w:t>e</w:t>
      </w:r>
      <w:r>
        <w:rPr>
          <w:w w:val="99"/>
        </w:rPr>
        <w:t>n</w:t>
      </w:r>
      <w:r>
        <w:rPr>
          <w:spacing w:val="-1"/>
          <w:w w:val="99"/>
        </w:rPr>
        <w:t>g</w:t>
      </w:r>
      <w:r>
        <w:rPr>
          <w:w w:val="99"/>
        </w:rPr>
        <w:t>a</w:t>
      </w:r>
      <w:r>
        <w:rPr>
          <w:spacing w:val="-1"/>
          <w:w w:val="99"/>
        </w:rPr>
        <w:t>g</w:t>
      </w:r>
      <w:r>
        <w:rPr>
          <w:w w:val="99"/>
        </w:rPr>
        <w:t>ed</w:t>
      </w:r>
      <w:r>
        <w:rPr>
          <w:spacing w:val="7"/>
        </w:rPr>
        <w:t> </w:t>
      </w:r>
      <w:r>
        <w:rPr>
          <w:spacing w:val="-3"/>
          <w:w w:val="99"/>
        </w:rPr>
        <w:t>i</w:t>
      </w:r>
      <w:r>
        <w:rPr>
          <w:w w:val="99"/>
        </w:rPr>
        <w:t>n </w:t>
      </w:r>
      <w:r>
        <w:rPr/>
        <w:t>a lengthy discussion on foreign law in English Courts. However, in evaluating the maintainability of the claim by the Pathur temple as a legal entity, the English court made the following</w:t>
      </w:r>
      <w:r>
        <w:rPr>
          <w:spacing w:val="-3"/>
        </w:rPr>
        <w:t> </w:t>
      </w:r>
      <w:r>
        <w:rPr/>
        <w:t>observations:</w:t>
      </w:r>
    </w:p>
    <w:p>
      <w:pPr>
        <w:spacing w:line="276" w:lineRule="auto" w:before="0"/>
        <w:ind w:left="1940" w:right="2261" w:firstLine="0"/>
        <w:jc w:val="both"/>
        <w:rPr>
          <w:sz w:val="21"/>
        </w:rPr>
      </w:pPr>
      <w:r>
        <w:rPr>
          <w:spacing w:val="-1"/>
          <w:w w:val="33"/>
          <w:sz w:val="21"/>
        </w:rPr>
        <w:t>―</w:t>
      </w:r>
      <w:r>
        <w:rPr>
          <w:spacing w:val="-1"/>
          <w:w w:val="100"/>
          <w:sz w:val="21"/>
        </w:rPr>
        <w:t>(1</w:t>
      </w:r>
      <w:r>
        <w:rPr>
          <w:w w:val="100"/>
          <w:sz w:val="21"/>
        </w:rPr>
        <w:t>)</w:t>
      </w:r>
      <w:r>
        <w:rPr>
          <w:sz w:val="21"/>
        </w:rPr>
        <w:t> </w:t>
      </w:r>
      <w:r>
        <w:rPr>
          <w:spacing w:val="-3"/>
          <w:sz w:val="21"/>
        </w:rPr>
        <w:t> </w:t>
      </w:r>
      <w:r>
        <w:rPr>
          <w:b/>
          <w:w w:val="100"/>
          <w:sz w:val="21"/>
        </w:rPr>
        <w:t>Ne</w:t>
      </w:r>
      <w:r>
        <w:rPr>
          <w:b/>
          <w:spacing w:val="-1"/>
          <w:w w:val="100"/>
          <w:sz w:val="21"/>
        </w:rPr>
        <w:t>i</w:t>
      </w:r>
      <w:r>
        <w:rPr>
          <w:b/>
          <w:spacing w:val="-1"/>
          <w:w w:val="100"/>
          <w:sz w:val="21"/>
        </w:rPr>
        <w:t>t</w:t>
      </w:r>
      <w:r>
        <w:rPr>
          <w:b/>
          <w:spacing w:val="-2"/>
          <w:w w:val="100"/>
          <w:sz w:val="21"/>
        </w:rPr>
        <w:t>h</w:t>
      </w:r>
      <w:r>
        <w:rPr>
          <w:b/>
          <w:w w:val="100"/>
          <w:sz w:val="21"/>
        </w:rPr>
        <w:t>er</w:t>
      </w:r>
      <w:r>
        <w:rPr>
          <w:b/>
          <w:sz w:val="21"/>
        </w:rPr>
        <w:t> </w:t>
      </w:r>
      <w:r>
        <w:rPr>
          <w:b/>
          <w:spacing w:val="-2"/>
          <w:sz w:val="21"/>
        </w:rPr>
        <w:t> </w:t>
      </w:r>
      <w:r>
        <w:rPr>
          <w:b/>
          <w:spacing w:val="-2"/>
          <w:w w:val="100"/>
          <w:sz w:val="21"/>
        </w:rPr>
        <w:t>Go</w:t>
      </w:r>
      <w:r>
        <w:rPr>
          <w:b/>
          <w:w w:val="100"/>
          <w:sz w:val="21"/>
        </w:rPr>
        <w:t>d</w:t>
      </w:r>
      <w:r>
        <w:rPr>
          <w:b/>
          <w:sz w:val="21"/>
        </w:rPr>
        <w:t> </w:t>
      </w:r>
      <w:r>
        <w:rPr>
          <w:b/>
          <w:spacing w:val="-2"/>
          <w:sz w:val="21"/>
        </w:rPr>
        <w:t> </w:t>
      </w:r>
      <w:r>
        <w:rPr>
          <w:b/>
          <w:spacing w:val="-2"/>
          <w:w w:val="100"/>
          <w:sz w:val="21"/>
        </w:rPr>
        <w:t>n</w:t>
      </w:r>
      <w:r>
        <w:rPr>
          <w:b/>
          <w:w w:val="100"/>
          <w:sz w:val="21"/>
        </w:rPr>
        <w:t>or</w:t>
      </w:r>
      <w:r>
        <w:rPr>
          <w:b/>
          <w:sz w:val="21"/>
        </w:rPr>
        <w:t> </w:t>
      </w:r>
      <w:r>
        <w:rPr>
          <w:b/>
          <w:spacing w:val="-2"/>
          <w:sz w:val="21"/>
        </w:rPr>
        <w:t> </w:t>
      </w:r>
      <w:r>
        <w:rPr>
          <w:b/>
          <w:spacing w:val="-3"/>
          <w:w w:val="100"/>
          <w:sz w:val="21"/>
        </w:rPr>
        <w:t>a</w:t>
      </w:r>
      <w:r>
        <w:rPr>
          <w:b/>
          <w:w w:val="100"/>
          <w:sz w:val="21"/>
        </w:rPr>
        <w:t>ny</w:t>
      </w:r>
      <w:r>
        <w:rPr>
          <w:b/>
          <w:sz w:val="21"/>
        </w:rPr>
        <w:t> </w:t>
      </w:r>
      <w:r>
        <w:rPr>
          <w:b/>
          <w:spacing w:val="-6"/>
          <w:sz w:val="21"/>
        </w:rPr>
        <w:t> </w:t>
      </w:r>
      <w:r>
        <w:rPr>
          <w:b/>
          <w:w w:val="100"/>
          <w:sz w:val="21"/>
        </w:rPr>
        <w:t>super</w:t>
      </w:r>
      <w:r>
        <w:rPr>
          <w:b/>
          <w:spacing w:val="-3"/>
          <w:w w:val="100"/>
          <w:sz w:val="21"/>
        </w:rPr>
        <w:t>n</w:t>
      </w:r>
      <w:r>
        <w:rPr>
          <w:b/>
          <w:w w:val="100"/>
          <w:sz w:val="21"/>
        </w:rPr>
        <w:t>atural</w:t>
      </w:r>
      <w:r>
        <w:rPr>
          <w:b/>
          <w:sz w:val="21"/>
        </w:rPr>
        <w:t> </w:t>
      </w:r>
      <w:r>
        <w:rPr>
          <w:b/>
          <w:spacing w:val="-6"/>
          <w:sz w:val="21"/>
        </w:rPr>
        <w:t> </w:t>
      </w:r>
      <w:r>
        <w:rPr>
          <w:b/>
          <w:w w:val="100"/>
          <w:sz w:val="21"/>
        </w:rPr>
        <w:t>be</w:t>
      </w:r>
      <w:r>
        <w:rPr>
          <w:b/>
          <w:spacing w:val="-2"/>
          <w:w w:val="100"/>
          <w:sz w:val="21"/>
        </w:rPr>
        <w:t>in</w:t>
      </w:r>
      <w:r>
        <w:rPr>
          <w:b/>
          <w:w w:val="100"/>
          <w:sz w:val="21"/>
        </w:rPr>
        <w:t>g</w:t>
      </w:r>
      <w:r>
        <w:rPr>
          <w:b/>
          <w:sz w:val="21"/>
        </w:rPr>
        <w:t> </w:t>
      </w:r>
      <w:r>
        <w:rPr>
          <w:b/>
          <w:spacing w:val="-4"/>
          <w:sz w:val="21"/>
        </w:rPr>
        <w:t> </w:t>
      </w:r>
      <w:r>
        <w:rPr>
          <w:b/>
          <w:w w:val="100"/>
          <w:sz w:val="21"/>
        </w:rPr>
        <w:t>can</w:t>
      </w:r>
      <w:r>
        <w:rPr>
          <w:b/>
          <w:sz w:val="21"/>
        </w:rPr>
        <w:t> </w:t>
      </w:r>
      <w:r>
        <w:rPr>
          <w:b/>
          <w:spacing w:val="-4"/>
          <w:sz w:val="21"/>
        </w:rPr>
        <w:t> </w:t>
      </w:r>
      <w:r>
        <w:rPr>
          <w:b/>
          <w:w w:val="100"/>
          <w:sz w:val="21"/>
        </w:rPr>
        <w:t>be</w:t>
      </w:r>
      <w:r>
        <w:rPr>
          <w:b/>
          <w:sz w:val="21"/>
        </w:rPr>
        <w:t> </w:t>
      </w:r>
      <w:r>
        <w:rPr>
          <w:b/>
          <w:spacing w:val="-4"/>
          <w:sz w:val="21"/>
        </w:rPr>
        <w:t> </w:t>
      </w:r>
      <w:r>
        <w:rPr>
          <w:b/>
          <w:w w:val="100"/>
          <w:sz w:val="21"/>
        </w:rPr>
        <w:t>a </w:t>
      </w:r>
      <w:r>
        <w:rPr>
          <w:b/>
          <w:sz w:val="21"/>
        </w:rPr>
        <w:t>person in law. </w:t>
      </w:r>
      <w:r>
        <w:rPr>
          <w:sz w:val="21"/>
        </w:rPr>
        <w:t>A practical illustration of the truth of this statement is that if the endowments were to vest in God as a supernatural being litigation between different temples over their respective rights would be impossible. In any event the </w:t>
      </w:r>
      <w:r>
        <w:rPr>
          <w:w w:val="100"/>
          <w:sz w:val="21"/>
        </w:rPr>
        <w:t>s</w:t>
      </w:r>
      <w:r>
        <w:rPr>
          <w:spacing w:val="-3"/>
          <w:w w:val="100"/>
          <w:sz w:val="21"/>
        </w:rPr>
        <w:t>a</w:t>
      </w:r>
      <w:r>
        <w:rPr>
          <w:spacing w:val="1"/>
          <w:w w:val="100"/>
          <w:sz w:val="21"/>
        </w:rPr>
        <w:t>m</w:t>
      </w:r>
      <w:r>
        <w:rPr>
          <w:w w:val="100"/>
          <w:sz w:val="21"/>
        </w:rPr>
        <w:t>e</w:t>
      </w:r>
      <w:r>
        <w:rPr>
          <w:spacing w:val="3"/>
          <w:sz w:val="21"/>
        </w:rPr>
        <w:t> </w:t>
      </w:r>
      <w:r>
        <w:rPr>
          <w:spacing w:val="-4"/>
          <w:w w:val="33"/>
          <w:sz w:val="21"/>
        </w:rPr>
        <w:t>―</w:t>
      </w:r>
      <w:r>
        <w:rPr>
          <w:spacing w:val="-1"/>
          <w:w w:val="100"/>
          <w:sz w:val="21"/>
        </w:rPr>
        <w:t>pers</w:t>
      </w:r>
      <w:r>
        <w:rPr>
          <w:spacing w:val="-3"/>
          <w:w w:val="100"/>
          <w:sz w:val="21"/>
        </w:rPr>
        <w:t>o</w:t>
      </w:r>
      <w:r>
        <w:rPr>
          <w:spacing w:val="-1"/>
          <w:w w:val="92"/>
          <w:sz w:val="21"/>
        </w:rPr>
        <w:t>n</w:t>
      </w:r>
      <w:r>
        <w:rPr>
          <w:w w:val="92"/>
          <w:sz w:val="21"/>
        </w:rPr>
        <w:t>‖</w:t>
      </w:r>
      <w:r>
        <w:rPr>
          <w:spacing w:val="3"/>
          <w:sz w:val="21"/>
        </w:rPr>
        <w:t> </w:t>
      </w:r>
      <w:r>
        <w:rPr>
          <w:spacing w:val="-2"/>
          <w:w w:val="100"/>
          <w:sz w:val="21"/>
        </w:rPr>
        <w:t>w</w:t>
      </w:r>
      <w:r>
        <w:rPr>
          <w:spacing w:val="-1"/>
          <w:w w:val="100"/>
          <w:sz w:val="21"/>
        </w:rPr>
        <w:t>o</w:t>
      </w:r>
      <w:r>
        <w:rPr>
          <w:spacing w:val="-3"/>
          <w:w w:val="100"/>
          <w:sz w:val="21"/>
        </w:rPr>
        <w:t>u</w:t>
      </w:r>
      <w:r>
        <w:rPr>
          <w:w w:val="100"/>
          <w:sz w:val="21"/>
        </w:rPr>
        <w:t>ld</w:t>
      </w:r>
      <w:r>
        <w:rPr>
          <w:spacing w:val="1"/>
          <w:sz w:val="21"/>
        </w:rPr>
        <w:t> </w:t>
      </w:r>
      <w:r>
        <w:rPr>
          <w:spacing w:val="-1"/>
          <w:w w:val="100"/>
          <w:sz w:val="21"/>
        </w:rPr>
        <w:t>b</w:t>
      </w:r>
      <w:r>
        <w:rPr>
          <w:w w:val="100"/>
          <w:sz w:val="21"/>
        </w:rPr>
        <w:t>e</w:t>
      </w:r>
      <w:r>
        <w:rPr>
          <w:spacing w:val="1"/>
          <w:sz w:val="21"/>
        </w:rPr>
        <w:t> </w:t>
      </w:r>
      <w:r>
        <w:rPr>
          <w:spacing w:val="-3"/>
          <w:w w:val="100"/>
          <w:sz w:val="21"/>
        </w:rPr>
        <w:t>b</w:t>
      </w:r>
      <w:r>
        <w:rPr>
          <w:spacing w:val="-1"/>
          <w:w w:val="100"/>
          <w:sz w:val="21"/>
        </w:rPr>
        <w:t>ot</w:t>
      </w:r>
      <w:r>
        <w:rPr>
          <w:w w:val="100"/>
          <w:sz w:val="21"/>
        </w:rPr>
        <w:t>h</w:t>
      </w:r>
      <w:r>
        <w:rPr>
          <w:spacing w:val="3"/>
          <w:sz w:val="21"/>
        </w:rPr>
        <w:t> </w:t>
      </w:r>
      <w:r>
        <w:rPr>
          <w:spacing w:val="-3"/>
          <w:w w:val="100"/>
          <w:sz w:val="21"/>
        </w:rPr>
        <w:t>p</w:t>
      </w:r>
      <w:r>
        <w:rPr>
          <w:w w:val="100"/>
          <w:sz w:val="21"/>
        </w:rPr>
        <w:t>l</w:t>
      </w:r>
      <w:r>
        <w:rPr>
          <w:spacing w:val="-3"/>
          <w:w w:val="100"/>
          <w:sz w:val="21"/>
        </w:rPr>
        <w:t>a</w:t>
      </w:r>
      <w:r>
        <w:rPr>
          <w:w w:val="100"/>
          <w:sz w:val="21"/>
        </w:rPr>
        <w:t>i</w:t>
      </w:r>
      <w:r>
        <w:rPr>
          <w:spacing w:val="-1"/>
          <w:w w:val="100"/>
          <w:sz w:val="21"/>
        </w:rPr>
        <w:t>nt</w:t>
      </w:r>
      <w:r>
        <w:rPr>
          <w:spacing w:val="-2"/>
          <w:w w:val="100"/>
          <w:sz w:val="21"/>
        </w:rPr>
        <w:t>i</w:t>
      </w:r>
      <w:r>
        <w:rPr>
          <w:spacing w:val="1"/>
          <w:w w:val="100"/>
          <w:sz w:val="21"/>
        </w:rPr>
        <w:t>f</w:t>
      </w:r>
      <w:r>
        <w:rPr>
          <w:w w:val="100"/>
          <w:sz w:val="21"/>
        </w:rPr>
        <w:t>f</w:t>
      </w:r>
      <w:r>
        <w:rPr>
          <w:spacing w:val="2"/>
          <w:sz w:val="21"/>
        </w:rPr>
        <w:t> </w:t>
      </w:r>
      <w:r>
        <w:rPr>
          <w:spacing w:val="-3"/>
          <w:w w:val="100"/>
          <w:sz w:val="21"/>
        </w:rPr>
        <w:t>a</w:t>
      </w:r>
      <w:r>
        <w:rPr>
          <w:spacing w:val="-1"/>
          <w:w w:val="100"/>
          <w:sz w:val="21"/>
        </w:rPr>
        <w:t>n</w:t>
      </w:r>
      <w:r>
        <w:rPr>
          <w:w w:val="100"/>
          <w:sz w:val="21"/>
        </w:rPr>
        <w:t>d</w:t>
      </w:r>
      <w:r>
        <w:rPr>
          <w:spacing w:val="1"/>
          <w:sz w:val="21"/>
        </w:rPr>
        <w:t> </w:t>
      </w:r>
      <w:r>
        <w:rPr>
          <w:spacing w:val="-1"/>
          <w:w w:val="100"/>
          <w:sz w:val="21"/>
        </w:rPr>
        <w:t>d</w:t>
      </w:r>
      <w:r>
        <w:rPr>
          <w:spacing w:val="-3"/>
          <w:w w:val="100"/>
          <w:sz w:val="21"/>
        </w:rPr>
        <w:t>e</w:t>
      </w:r>
      <w:r>
        <w:rPr>
          <w:spacing w:val="1"/>
          <w:w w:val="100"/>
          <w:sz w:val="21"/>
        </w:rPr>
        <w:t>f</w:t>
      </w:r>
      <w:r>
        <w:rPr>
          <w:spacing w:val="-1"/>
          <w:w w:val="100"/>
          <w:sz w:val="21"/>
        </w:rPr>
        <w:t>e</w:t>
      </w:r>
      <w:r>
        <w:rPr>
          <w:spacing w:val="-3"/>
          <w:w w:val="100"/>
          <w:sz w:val="21"/>
        </w:rPr>
        <w:t>n</w:t>
      </w:r>
      <w:r>
        <w:rPr>
          <w:spacing w:val="-1"/>
          <w:w w:val="100"/>
          <w:sz w:val="21"/>
        </w:rPr>
        <w:t>dan</w:t>
      </w:r>
      <w:r>
        <w:rPr>
          <w:w w:val="100"/>
          <w:sz w:val="21"/>
        </w:rPr>
        <w:t>t</w:t>
      </w:r>
      <w:r>
        <w:rPr>
          <w:sz w:val="21"/>
        </w:rPr>
        <w:t> </w:t>
      </w:r>
      <w:r>
        <w:rPr>
          <w:w w:val="100"/>
          <w:sz w:val="21"/>
        </w:rPr>
        <w:t>s</w:t>
      </w:r>
      <w:r>
        <w:rPr>
          <w:spacing w:val="-2"/>
          <w:w w:val="100"/>
          <w:sz w:val="21"/>
        </w:rPr>
        <w:t>i</w:t>
      </w:r>
      <w:r>
        <w:rPr>
          <w:spacing w:val="-1"/>
          <w:w w:val="100"/>
          <w:sz w:val="21"/>
        </w:rPr>
        <w:t>nce</w:t>
      </w:r>
      <w:r>
        <w:rPr>
          <w:w w:val="100"/>
          <w:sz w:val="21"/>
        </w:rPr>
        <w:t>,</w:t>
      </w:r>
      <w:r>
        <w:rPr>
          <w:sz w:val="21"/>
        </w:rPr>
        <w:t> </w:t>
      </w:r>
      <w:r>
        <w:rPr>
          <w:spacing w:val="-1"/>
          <w:w w:val="100"/>
          <w:sz w:val="21"/>
        </w:rPr>
        <w:t>as </w:t>
      </w:r>
      <w:r>
        <w:rPr>
          <w:sz w:val="21"/>
        </w:rPr>
        <w:t>Dr. Mukherjea points out, all Hindus always worship the one Supreme Being. That there is much litigation between temples in India is clear beyond a</w:t>
      </w:r>
      <w:r>
        <w:rPr>
          <w:spacing w:val="-10"/>
          <w:sz w:val="21"/>
        </w:rPr>
        <w:t> </w:t>
      </w:r>
      <w:r>
        <w:rPr>
          <w:sz w:val="21"/>
        </w:rPr>
        <w:t>peradventure.</w:t>
      </w:r>
    </w:p>
    <w:p>
      <w:pPr>
        <w:spacing w:line="241" w:lineRule="exact" w:before="0"/>
        <w:ind w:left="1940" w:right="0" w:firstLine="0"/>
        <w:jc w:val="left"/>
        <w:rPr>
          <w:sz w:val="21"/>
        </w:rPr>
      </w:pPr>
      <w:r>
        <w:rPr>
          <w:w w:val="100"/>
          <w:sz w:val="21"/>
        </w:rPr>
        <w:t>…</w:t>
      </w:r>
    </w:p>
    <w:p>
      <w:pPr>
        <w:tabs>
          <w:tab w:pos="5409" w:val="left" w:leader="none"/>
        </w:tabs>
        <w:spacing w:line="276" w:lineRule="auto" w:before="37"/>
        <w:ind w:left="1940" w:right="2261" w:firstLine="57"/>
        <w:jc w:val="both"/>
        <w:rPr>
          <w:sz w:val="21"/>
        </w:rPr>
      </w:pPr>
      <w:r>
        <w:rPr>
          <w:sz w:val="21"/>
        </w:rPr>
        <w:t>(4) </w:t>
      </w:r>
      <w:r>
        <w:rPr>
          <w:b/>
          <w:sz w:val="21"/>
        </w:rPr>
        <w:t>Any juristic person must be capable of identification. This necessitates that ‗person‘ having a name or description. Since every Hindu idol is a manifestation of one Supreme Being, one must look elsewhere than to the name of God for an identification. </w:t>
      </w:r>
      <w:r>
        <w:rPr>
          <w:sz w:val="21"/>
        </w:rPr>
        <w:t>The Pathur Temple bears the name of its founder in its title; and that appears to be the custom in Tamil Nadu. So any idol must in practice be referred to by association with the name of the temple in which</w:t>
      </w:r>
      <w:r>
        <w:rPr>
          <w:spacing w:val="-8"/>
          <w:sz w:val="21"/>
        </w:rPr>
        <w:t> </w:t>
      </w:r>
      <w:r>
        <w:rPr>
          <w:sz w:val="21"/>
        </w:rPr>
        <w:t>it</w:t>
      </w:r>
      <w:r>
        <w:rPr>
          <w:spacing w:val="-6"/>
          <w:sz w:val="21"/>
        </w:rPr>
        <w:t> </w:t>
      </w:r>
      <w:r>
        <w:rPr>
          <w:sz w:val="21"/>
        </w:rPr>
        <w:t>is.‖</w:t>
        <w:tab/>
        <w:t>(Emphasis</w:t>
      </w:r>
      <w:r>
        <w:rPr>
          <w:spacing w:val="-1"/>
          <w:sz w:val="21"/>
        </w:rPr>
        <w:t> </w:t>
      </w:r>
      <w:r>
        <w:rPr>
          <w:sz w:val="21"/>
        </w:rPr>
        <w:t>supplied)</w:t>
      </w:r>
    </w:p>
    <w:p>
      <w:pPr>
        <w:pStyle w:val="BodyText"/>
        <w:rPr>
          <w:sz w:val="24"/>
        </w:rPr>
      </w:pPr>
    </w:p>
    <w:p>
      <w:pPr>
        <w:pStyle w:val="BodyText"/>
        <w:spacing w:before="2"/>
        <w:rPr>
          <w:sz w:val="22"/>
        </w:rPr>
      </w:pPr>
    </w:p>
    <w:p>
      <w:pPr>
        <w:pStyle w:val="ListParagraph"/>
        <w:numPr>
          <w:ilvl w:val="0"/>
          <w:numId w:val="3"/>
        </w:numPr>
        <w:tabs>
          <w:tab w:pos="1220" w:val="left" w:leader="none"/>
          <w:tab w:pos="1221" w:val="left" w:leader="none"/>
        </w:tabs>
        <w:spacing w:line="480" w:lineRule="auto" w:before="0" w:after="0"/>
        <w:ind w:left="500" w:right="444" w:firstLine="0"/>
        <w:jc w:val="left"/>
        <w:rPr>
          <w:sz w:val="25"/>
        </w:rPr>
      </w:pPr>
      <w:r>
        <w:rPr>
          <w:sz w:val="25"/>
        </w:rPr>
        <w:t>Hinduism understands the Supreme Being as existing in every aspect of the</w:t>
      </w:r>
      <w:r>
        <w:rPr>
          <w:spacing w:val="23"/>
          <w:sz w:val="25"/>
        </w:rPr>
        <w:t> </w:t>
      </w:r>
      <w:r>
        <w:rPr>
          <w:sz w:val="25"/>
        </w:rPr>
        <w:t>universe.</w:t>
      </w:r>
      <w:r>
        <w:rPr>
          <w:spacing w:val="23"/>
          <w:sz w:val="25"/>
        </w:rPr>
        <w:t> </w:t>
      </w:r>
      <w:r>
        <w:rPr>
          <w:sz w:val="25"/>
        </w:rPr>
        <w:t>The</w:t>
      </w:r>
      <w:r>
        <w:rPr>
          <w:spacing w:val="25"/>
          <w:sz w:val="25"/>
        </w:rPr>
        <w:t> </w:t>
      </w:r>
      <w:r>
        <w:rPr>
          <w:sz w:val="25"/>
        </w:rPr>
        <w:t>Supreme</w:t>
      </w:r>
      <w:r>
        <w:rPr>
          <w:spacing w:val="24"/>
          <w:sz w:val="25"/>
        </w:rPr>
        <w:t> </w:t>
      </w:r>
      <w:r>
        <w:rPr>
          <w:sz w:val="25"/>
        </w:rPr>
        <w:t>Being</w:t>
      </w:r>
      <w:r>
        <w:rPr>
          <w:spacing w:val="23"/>
          <w:sz w:val="25"/>
        </w:rPr>
        <w:t> </w:t>
      </w:r>
      <w:r>
        <w:rPr>
          <w:sz w:val="25"/>
        </w:rPr>
        <w:t>is</w:t>
      </w:r>
      <w:r>
        <w:rPr>
          <w:spacing w:val="22"/>
          <w:sz w:val="25"/>
        </w:rPr>
        <w:t> </w:t>
      </w:r>
      <w:r>
        <w:rPr>
          <w:sz w:val="25"/>
        </w:rPr>
        <w:t>omnipresent.</w:t>
      </w:r>
      <w:r>
        <w:rPr>
          <w:spacing w:val="23"/>
          <w:sz w:val="25"/>
        </w:rPr>
        <w:t> </w:t>
      </w:r>
      <w:r>
        <w:rPr>
          <w:sz w:val="25"/>
        </w:rPr>
        <w:t>The</w:t>
      </w:r>
      <w:r>
        <w:rPr>
          <w:spacing w:val="24"/>
          <w:sz w:val="25"/>
        </w:rPr>
        <w:t> </w:t>
      </w:r>
      <w:r>
        <w:rPr>
          <w:sz w:val="25"/>
        </w:rPr>
        <w:t>idea</w:t>
      </w:r>
      <w:r>
        <w:rPr>
          <w:spacing w:val="23"/>
          <w:sz w:val="25"/>
        </w:rPr>
        <w:t> </w:t>
      </w:r>
      <w:r>
        <w:rPr>
          <w:sz w:val="25"/>
        </w:rPr>
        <w:t>of</w:t>
      </w:r>
      <w:r>
        <w:rPr>
          <w:spacing w:val="23"/>
          <w:sz w:val="25"/>
        </w:rPr>
        <w:t> </w:t>
      </w:r>
      <w:r>
        <w:rPr>
          <w:sz w:val="25"/>
        </w:rPr>
        <w:t>a</w:t>
      </w:r>
      <w:r>
        <w:rPr>
          <w:spacing w:val="23"/>
          <w:sz w:val="25"/>
        </w:rPr>
        <w:t> </w:t>
      </w:r>
      <w:r>
        <w:rPr>
          <w:sz w:val="25"/>
        </w:rPr>
        <w:t>legal</w:t>
      </w:r>
      <w:r>
        <w:rPr>
          <w:spacing w:val="23"/>
          <w:sz w:val="25"/>
        </w:rPr>
        <w:t> </w:t>
      </w:r>
      <w:r>
        <w:rPr>
          <w:sz w:val="25"/>
        </w:rPr>
        <w:t>person</w:t>
      </w:r>
      <w:r>
        <w:rPr>
          <w:spacing w:val="23"/>
          <w:sz w:val="25"/>
        </w:rPr>
        <w:t> </w:t>
      </w:r>
      <w:r>
        <w:rPr>
          <w:sz w:val="25"/>
        </w:rPr>
        <w:t>is</w:t>
      </w:r>
    </w:p>
    <w:p>
      <w:pPr>
        <w:spacing w:after="0" w:line="480" w:lineRule="auto"/>
        <w:jc w:val="left"/>
        <w:rPr>
          <w:sz w:val="25"/>
        </w:rPr>
        <w:sectPr>
          <w:pgSz w:w="11910" w:h="16840"/>
          <w:pgMar w:header="721" w:footer="1014" w:top="1300" w:bottom="1200" w:left="940" w:right="1000"/>
        </w:sectPr>
      </w:pPr>
    </w:p>
    <w:p>
      <w:pPr>
        <w:pStyle w:val="BodyText"/>
        <w:spacing w:line="480" w:lineRule="auto" w:before="124"/>
        <w:ind w:left="500" w:right="437"/>
        <w:jc w:val="both"/>
      </w:pPr>
      <w:r>
        <w:rPr/>
        <w:t>premised on the need to ‗identify the subjects‘ of the legal system. An omnipresent being is incapable of being identified or delineated in any manner meaningful to the law and no identifiable legal subject would emerge. This understanding is reflected in the decisions of this Court as well. In </w:t>
      </w:r>
      <w:r>
        <w:rPr>
          <w:b/>
        </w:rPr>
        <w:t>Yogendra Nath Naskar </w:t>
      </w:r>
      <w:r>
        <w:rPr/>
        <w:t>v </w:t>
      </w:r>
      <w:r>
        <w:rPr>
          <w:b/>
        </w:rPr>
        <w:t>Commissioner of Income Tax, Calcutta</w:t>
      </w:r>
      <w:r>
        <w:rPr>
          <w:vertAlign w:val="superscript"/>
        </w:rPr>
        <w:t>54</w:t>
      </w:r>
      <w:r>
        <w:rPr>
          <w:vertAlign w:val="baseline"/>
        </w:rPr>
        <w:t>, a three judge Bench of this Court was called upon to determine whether a Hindu idol (or ‗deity‘) falls </w:t>
      </w:r>
      <w:r>
        <w:rPr>
          <w:spacing w:val="-1"/>
          <w:w w:val="99"/>
          <w:vertAlign w:val="baseline"/>
        </w:rPr>
        <w:t>withi</w:t>
      </w:r>
      <w:r>
        <w:rPr>
          <w:w w:val="99"/>
          <w:vertAlign w:val="baseline"/>
        </w:rPr>
        <w:t>n</w:t>
      </w:r>
      <w:r>
        <w:rPr>
          <w:vertAlign w:val="baseline"/>
        </w:rPr>
        <w:t> </w:t>
      </w:r>
      <w:r>
        <w:rPr>
          <w:spacing w:val="-17"/>
          <w:vertAlign w:val="baseline"/>
        </w:rPr>
        <w:t> </w:t>
      </w:r>
      <w:r>
        <w:rPr>
          <w:w w:val="99"/>
          <w:vertAlign w:val="baseline"/>
        </w:rPr>
        <w:t>the</w:t>
      </w:r>
      <w:r>
        <w:rPr>
          <w:vertAlign w:val="baseline"/>
        </w:rPr>
        <w:t> </w:t>
      </w:r>
      <w:r>
        <w:rPr>
          <w:spacing w:val="-17"/>
          <w:vertAlign w:val="baseline"/>
        </w:rPr>
        <w:t> </w:t>
      </w:r>
      <w:r>
        <w:rPr>
          <w:spacing w:val="-1"/>
          <w:w w:val="99"/>
          <w:vertAlign w:val="baseline"/>
        </w:rPr>
        <w:t>d</w:t>
      </w:r>
      <w:r>
        <w:rPr>
          <w:w w:val="99"/>
          <w:vertAlign w:val="baseline"/>
        </w:rPr>
        <w:t>efinition</w:t>
      </w:r>
      <w:r>
        <w:rPr>
          <w:vertAlign w:val="baseline"/>
        </w:rPr>
        <w:t> </w:t>
      </w:r>
      <w:r>
        <w:rPr>
          <w:spacing w:val="-19"/>
          <w:vertAlign w:val="baseline"/>
        </w:rPr>
        <w:t> </w:t>
      </w:r>
      <w:r>
        <w:rPr>
          <w:spacing w:val="-1"/>
          <w:w w:val="99"/>
          <w:vertAlign w:val="baseline"/>
        </w:rPr>
        <w:t>o</w:t>
      </w:r>
      <w:r>
        <w:rPr>
          <w:w w:val="99"/>
          <w:vertAlign w:val="baseline"/>
        </w:rPr>
        <w:t>f</w:t>
      </w:r>
      <w:r>
        <w:rPr>
          <w:vertAlign w:val="baseline"/>
        </w:rPr>
        <w:t> </w:t>
      </w:r>
      <w:r>
        <w:rPr>
          <w:spacing w:val="-17"/>
          <w:vertAlign w:val="baseline"/>
        </w:rPr>
        <w:t> </w:t>
      </w:r>
      <w:r>
        <w:rPr>
          <w:spacing w:val="-1"/>
          <w:w w:val="99"/>
          <w:vertAlign w:val="baseline"/>
        </w:rPr>
        <w:t>a</w:t>
      </w:r>
      <w:r>
        <w:rPr>
          <w:w w:val="99"/>
          <w:vertAlign w:val="baseline"/>
        </w:rPr>
        <w:t>n</w:t>
      </w:r>
      <w:r>
        <w:rPr>
          <w:vertAlign w:val="baseline"/>
        </w:rPr>
        <w:t> </w:t>
      </w:r>
      <w:r>
        <w:rPr>
          <w:spacing w:val="-17"/>
          <w:vertAlign w:val="baseline"/>
        </w:rPr>
        <w:t> </w:t>
      </w:r>
      <w:r>
        <w:rPr>
          <w:w w:val="33"/>
          <w:vertAlign w:val="baseline"/>
        </w:rPr>
        <w:t>―</w:t>
      </w:r>
      <w:r>
        <w:rPr>
          <w:spacing w:val="-1"/>
          <w:w w:val="99"/>
          <w:vertAlign w:val="baseline"/>
        </w:rPr>
        <w:t>indi</w:t>
      </w:r>
      <w:r>
        <w:rPr>
          <w:spacing w:val="-3"/>
          <w:w w:val="99"/>
          <w:vertAlign w:val="baseline"/>
        </w:rPr>
        <w:t>v</w:t>
      </w:r>
      <w:r>
        <w:rPr>
          <w:spacing w:val="-1"/>
          <w:w w:val="99"/>
          <w:vertAlign w:val="baseline"/>
        </w:rPr>
        <w:t>idu</w:t>
      </w:r>
      <w:r>
        <w:rPr>
          <w:w w:val="99"/>
          <w:vertAlign w:val="baseline"/>
        </w:rPr>
        <w:t>a</w:t>
      </w:r>
      <w:r>
        <w:rPr>
          <w:spacing w:val="-1"/>
          <w:w w:val="87"/>
          <w:vertAlign w:val="baseline"/>
        </w:rPr>
        <w:t>l</w:t>
      </w:r>
      <w:r>
        <w:rPr>
          <w:w w:val="87"/>
          <w:vertAlign w:val="baseline"/>
        </w:rPr>
        <w:t>‖</w:t>
      </w:r>
      <w:r>
        <w:rPr>
          <w:vertAlign w:val="baseline"/>
        </w:rPr>
        <w:t> </w:t>
      </w:r>
      <w:r>
        <w:rPr>
          <w:spacing w:val="-17"/>
          <w:vertAlign w:val="baseline"/>
        </w:rPr>
        <w:t> </w:t>
      </w:r>
      <w:r>
        <w:rPr>
          <w:spacing w:val="-1"/>
          <w:w w:val="99"/>
          <w:vertAlign w:val="baseline"/>
        </w:rPr>
        <w:t>u</w:t>
      </w:r>
      <w:r>
        <w:rPr>
          <w:spacing w:val="-2"/>
          <w:w w:val="99"/>
          <w:vertAlign w:val="baseline"/>
        </w:rPr>
        <w:t>n</w:t>
      </w:r>
      <w:r>
        <w:rPr>
          <w:spacing w:val="-1"/>
          <w:w w:val="99"/>
          <w:vertAlign w:val="baseline"/>
        </w:rPr>
        <w:t>d</w:t>
      </w:r>
      <w:r>
        <w:rPr>
          <w:w w:val="99"/>
          <w:vertAlign w:val="baseline"/>
        </w:rPr>
        <w:t>er</w:t>
      </w:r>
      <w:r>
        <w:rPr>
          <w:vertAlign w:val="baseline"/>
        </w:rPr>
        <w:t> </w:t>
      </w:r>
      <w:r>
        <w:rPr>
          <w:spacing w:val="-17"/>
          <w:vertAlign w:val="baseline"/>
        </w:rPr>
        <w:t> </w:t>
      </w:r>
      <w:r>
        <w:rPr>
          <w:spacing w:val="-1"/>
          <w:w w:val="99"/>
          <w:vertAlign w:val="baseline"/>
        </w:rPr>
        <w:t>Secti</w:t>
      </w:r>
      <w:r>
        <w:rPr>
          <w:w w:val="99"/>
          <w:vertAlign w:val="baseline"/>
        </w:rPr>
        <w:t>on</w:t>
      </w:r>
      <w:r>
        <w:rPr>
          <w:vertAlign w:val="baseline"/>
        </w:rPr>
        <w:t> </w:t>
      </w:r>
      <w:r>
        <w:rPr>
          <w:spacing w:val="-17"/>
          <w:vertAlign w:val="baseline"/>
        </w:rPr>
        <w:t> </w:t>
      </w:r>
      <w:r>
        <w:rPr>
          <w:w w:val="99"/>
          <w:vertAlign w:val="baseline"/>
        </w:rPr>
        <w:t>3</w:t>
      </w:r>
      <w:r>
        <w:rPr>
          <w:vertAlign w:val="baseline"/>
        </w:rPr>
        <w:t> </w:t>
      </w:r>
      <w:r>
        <w:rPr>
          <w:spacing w:val="-17"/>
          <w:vertAlign w:val="baseline"/>
        </w:rPr>
        <w:t> </w:t>
      </w:r>
      <w:r>
        <w:rPr>
          <w:spacing w:val="-3"/>
          <w:w w:val="99"/>
          <w:vertAlign w:val="baseline"/>
        </w:rPr>
        <w:t>o</w:t>
      </w:r>
      <w:r>
        <w:rPr>
          <w:w w:val="99"/>
          <w:vertAlign w:val="baseline"/>
        </w:rPr>
        <w:t>f</w:t>
      </w:r>
      <w:r>
        <w:rPr>
          <w:vertAlign w:val="baseline"/>
        </w:rPr>
        <w:t> </w:t>
      </w:r>
      <w:r>
        <w:rPr>
          <w:spacing w:val="-17"/>
          <w:vertAlign w:val="baseline"/>
        </w:rPr>
        <w:t> </w:t>
      </w:r>
      <w:r>
        <w:rPr>
          <w:w w:val="99"/>
          <w:vertAlign w:val="baseline"/>
        </w:rPr>
        <w:t>the</w:t>
      </w:r>
      <w:r>
        <w:rPr>
          <w:vertAlign w:val="baseline"/>
        </w:rPr>
        <w:t> </w:t>
      </w:r>
      <w:r>
        <w:rPr>
          <w:spacing w:val="-19"/>
          <w:vertAlign w:val="baseline"/>
        </w:rPr>
        <w:t> </w:t>
      </w:r>
      <w:r>
        <w:rPr>
          <w:w w:val="99"/>
          <w:vertAlign w:val="baseline"/>
        </w:rPr>
        <w:t>Income</w:t>
      </w:r>
      <w:r>
        <w:rPr>
          <w:vertAlign w:val="baseline"/>
        </w:rPr>
        <w:t> </w:t>
      </w:r>
      <w:r>
        <w:rPr>
          <w:spacing w:val="-19"/>
          <w:vertAlign w:val="baseline"/>
        </w:rPr>
        <w:t> </w:t>
      </w:r>
      <w:r>
        <w:rPr>
          <w:w w:val="99"/>
          <w:vertAlign w:val="baseline"/>
        </w:rPr>
        <w:t>T</w:t>
      </w:r>
      <w:r>
        <w:rPr>
          <w:spacing w:val="-1"/>
          <w:w w:val="99"/>
          <w:vertAlign w:val="baseline"/>
        </w:rPr>
        <w:t>a</w:t>
      </w:r>
      <w:r>
        <w:rPr>
          <w:w w:val="99"/>
          <w:vertAlign w:val="baseline"/>
        </w:rPr>
        <w:t>x</w:t>
      </w:r>
      <w:r>
        <w:rPr>
          <w:vertAlign w:val="baseline"/>
        </w:rPr>
        <w:t> </w:t>
      </w:r>
      <w:r>
        <w:rPr>
          <w:spacing w:val="-19"/>
          <w:vertAlign w:val="baseline"/>
        </w:rPr>
        <w:t> </w:t>
      </w:r>
      <w:r>
        <w:rPr>
          <w:spacing w:val="-1"/>
          <w:w w:val="99"/>
          <w:vertAlign w:val="baseline"/>
        </w:rPr>
        <w:t>A</w:t>
      </w:r>
      <w:r>
        <w:rPr>
          <w:w w:val="99"/>
          <w:vertAlign w:val="baseline"/>
        </w:rPr>
        <w:t>ct </w:t>
      </w:r>
      <w:r>
        <w:rPr>
          <w:vertAlign w:val="baseline"/>
        </w:rPr>
        <w:t>1922. Justice V Ramaswami speaking for a three judge Bench of this Court</w:t>
      </w:r>
      <w:r>
        <w:rPr>
          <w:spacing w:val="-15"/>
          <w:vertAlign w:val="baseline"/>
        </w:rPr>
        <w:t> </w:t>
      </w:r>
      <w:r>
        <w:rPr>
          <w:vertAlign w:val="baseline"/>
        </w:rPr>
        <w:t>held:</w:t>
      </w:r>
    </w:p>
    <w:p>
      <w:pPr>
        <w:spacing w:line="276" w:lineRule="auto" w:before="0"/>
        <w:ind w:left="1940" w:right="2259" w:firstLine="57"/>
        <w:jc w:val="both"/>
        <w:rPr>
          <w:sz w:val="21"/>
        </w:rPr>
      </w:pPr>
      <w:r>
        <w:rPr>
          <w:spacing w:val="-1"/>
          <w:w w:val="33"/>
          <w:sz w:val="21"/>
        </w:rPr>
        <w:t>―</w:t>
      </w:r>
      <w:r>
        <w:rPr>
          <w:w w:val="100"/>
          <w:sz w:val="21"/>
        </w:rPr>
        <w:t>S</w:t>
      </w:r>
      <w:r>
        <w:rPr>
          <w:spacing w:val="-1"/>
          <w:w w:val="100"/>
          <w:sz w:val="21"/>
        </w:rPr>
        <w:t>a</w:t>
      </w:r>
      <w:r>
        <w:rPr>
          <w:spacing w:val="-3"/>
          <w:w w:val="100"/>
          <w:sz w:val="21"/>
        </w:rPr>
        <w:t>n</w:t>
      </w:r>
      <w:r>
        <w:rPr>
          <w:spacing w:val="2"/>
          <w:w w:val="100"/>
          <w:sz w:val="21"/>
        </w:rPr>
        <w:t>k</w:t>
      </w:r>
      <w:r>
        <w:rPr>
          <w:spacing w:val="-1"/>
          <w:w w:val="100"/>
          <w:sz w:val="21"/>
        </w:rPr>
        <w:t>a</w:t>
      </w:r>
      <w:r>
        <w:rPr>
          <w:spacing w:val="-3"/>
          <w:w w:val="100"/>
          <w:sz w:val="21"/>
        </w:rPr>
        <w:t>r</w:t>
      </w:r>
      <w:r>
        <w:rPr>
          <w:spacing w:val="-1"/>
          <w:w w:val="100"/>
          <w:sz w:val="21"/>
        </w:rPr>
        <w:t>a</w:t>
      </w:r>
      <w:r>
        <w:rPr>
          <w:w w:val="100"/>
          <w:sz w:val="21"/>
        </w:rPr>
        <w:t>,</w:t>
      </w:r>
      <w:r>
        <w:rPr>
          <w:sz w:val="21"/>
        </w:rPr>
        <w:t> </w:t>
      </w:r>
      <w:r>
        <w:rPr>
          <w:spacing w:val="-15"/>
          <w:sz w:val="21"/>
        </w:rPr>
        <w:t> </w:t>
      </w:r>
      <w:r>
        <w:rPr>
          <w:spacing w:val="-2"/>
          <w:w w:val="100"/>
          <w:sz w:val="21"/>
        </w:rPr>
        <w:t>t</w:t>
      </w:r>
      <w:r>
        <w:rPr>
          <w:spacing w:val="-1"/>
          <w:w w:val="100"/>
          <w:sz w:val="21"/>
        </w:rPr>
        <w:t>h</w:t>
      </w:r>
      <w:r>
        <w:rPr>
          <w:w w:val="100"/>
          <w:sz w:val="21"/>
        </w:rPr>
        <w:t>e</w:t>
      </w:r>
      <w:r>
        <w:rPr>
          <w:sz w:val="21"/>
        </w:rPr>
        <w:t> </w:t>
      </w:r>
      <w:r>
        <w:rPr>
          <w:spacing w:val="-14"/>
          <w:sz w:val="21"/>
        </w:rPr>
        <w:t> </w:t>
      </w:r>
      <w:r>
        <w:rPr>
          <w:spacing w:val="-1"/>
          <w:w w:val="100"/>
          <w:sz w:val="21"/>
        </w:rPr>
        <w:t>g</w:t>
      </w:r>
      <w:r>
        <w:rPr>
          <w:spacing w:val="-3"/>
          <w:w w:val="100"/>
          <w:sz w:val="21"/>
        </w:rPr>
        <w:t>r</w:t>
      </w:r>
      <w:r>
        <w:rPr>
          <w:spacing w:val="-1"/>
          <w:w w:val="100"/>
          <w:sz w:val="21"/>
        </w:rPr>
        <w:t>ea</w:t>
      </w:r>
      <w:r>
        <w:rPr>
          <w:w w:val="100"/>
          <w:sz w:val="21"/>
        </w:rPr>
        <w:t>t</w:t>
      </w:r>
      <w:r>
        <w:rPr>
          <w:sz w:val="21"/>
        </w:rPr>
        <w:t> </w:t>
      </w:r>
      <w:r>
        <w:rPr>
          <w:spacing w:val="-15"/>
          <w:sz w:val="21"/>
        </w:rPr>
        <w:t> </w:t>
      </w:r>
      <w:r>
        <w:rPr>
          <w:spacing w:val="-1"/>
          <w:w w:val="100"/>
          <w:sz w:val="21"/>
        </w:rPr>
        <w:t>p</w:t>
      </w:r>
      <w:r>
        <w:rPr>
          <w:spacing w:val="-3"/>
          <w:w w:val="100"/>
          <w:sz w:val="21"/>
        </w:rPr>
        <w:t>h</w:t>
      </w:r>
      <w:r>
        <w:rPr>
          <w:spacing w:val="-2"/>
          <w:w w:val="100"/>
          <w:sz w:val="21"/>
        </w:rPr>
        <w:t>il</w:t>
      </w:r>
      <w:r>
        <w:rPr>
          <w:spacing w:val="-1"/>
          <w:w w:val="100"/>
          <w:sz w:val="21"/>
        </w:rPr>
        <w:t>oso</w:t>
      </w:r>
      <w:r>
        <w:rPr>
          <w:spacing w:val="-2"/>
          <w:w w:val="100"/>
          <w:sz w:val="21"/>
        </w:rPr>
        <w:t>p</w:t>
      </w:r>
      <w:r>
        <w:rPr>
          <w:spacing w:val="-1"/>
          <w:w w:val="100"/>
          <w:sz w:val="21"/>
        </w:rPr>
        <w:t>her</w:t>
      </w:r>
      <w:r>
        <w:rPr>
          <w:w w:val="100"/>
          <w:sz w:val="21"/>
        </w:rPr>
        <w:t>,</w:t>
      </w:r>
      <w:r>
        <w:rPr>
          <w:sz w:val="21"/>
        </w:rPr>
        <w:t> </w:t>
      </w:r>
      <w:r>
        <w:rPr>
          <w:spacing w:val="-16"/>
          <w:sz w:val="21"/>
        </w:rPr>
        <w:t> </w:t>
      </w:r>
      <w:r>
        <w:rPr>
          <w:spacing w:val="-1"/>
          <w:w w:val="100"/>
          <w:sz w:val="21"/>
        </w:rPr>
        <w:t>r</w:t>
      </w:r>
      <w:r>
        <w:rPr>
          <w:spacing w:val="-3"/>
          <w:w w:val="100"/>
          <w:sz w:val="21"/>
        </w:rPr>
        <w:t>e</w:t>
      </w:r>
      <w:r>
        <w:rPr>
          <w:spacing w:val="1"/>
          <w:w w:val="100"/>
          <w:sz w:val="21"/>
        </w:rPr>
        <w:t>f</w:t>
      </w:r>
      <w:r>
        <w:rPr>
          <w:spacing w:val="-1"/>
          <w:w w:val="100"/>
          <w:sz w:val="21"/>
        </w:rPr>
        <w:t>er</w:t>
      </w:r>
      <w:r>
        <w:rPr>
          <w:w w:val="100"/>
          <w:sz w:val="21"/>
        </w:rPr>
        <w:t>s</w:t>
      </w:r>
      <w:r>
        <w:rPr>
          <w:sz w:val="21"/>
        </w:rPr>
        <w:t> </w:t>
      </w:r>
      <w:r>
        <w:rPr>
          <w:spacing w:val="-15"/>
          <w:sz w:val="21"/>
        </w:rPr>
        <w:t> </w:t>
      </w:r>
      <w:r>
        <w:rPr>
          <w:spacing w:val="-2"/>
          <w:w w:val="100"/>
          <w:sz w:val="21"/>
        </w:rPr>
        <w:t>t</w:t>
      </w:r>
      <w:r>
        <w:rPr>
          <w:w w:val="100"/>
          <w:sz w:val="21"/>
        </w:rPr>
        <w:t>o</w:t>
      </w:r>
      <w:r>
        <w:rPr>
          <w:sz w:val="21"/>
        </w:rPr>
        <w:t> </w:t>
      </w:r>
      <w:r>
        <w:rPr>
          <w:spacing w:val="-14"/>
          <w:sz w:val="21"/>
        </w:rPr>
        <w:t> </w:t>
      </w:r>
      <w:r>
        <w:rPr>
          <w:spacing w:val="-2"/>
          <w:w w:val="100"/>
          <w:sz w:val="21"/>
        </w:rPr>
        <w:t>t</w:t>
      </w:r>
      <w:r>
        <w:rPr>
          <w:spacing w:val="-3"/>
          <w:w w:val="100"/>
          <w:sz w:val="21"/>
        </w:rPr>
        <w:t>h</w:t>
      </w:r>
      <w:r>
        <w:rPr>
          <w:w w:val="100"/>
          <w:sz w:val="21"/>
        </w:rPr>
        <w:t>e</w:t>
      </w:r>
      <w:r>
        <w:rPr>
          <w:sz w:val="21"/>
        </w:rPr>
        <w:t> </w:t>
      </w:r>
      <w:r>
        <w:rPr>
          <w:spacing w:val="-14"/>
          <w:sz w:val="21"/>
        </w:rPr>
        <w:t> </w:t>
      </w:r>
      <w:r>
        <w:rPr>
          <w:spacing w:val="-3"/>
          <w:w w:val="100"/>
          <w:sz w:val="21"/>
        </w:rPr>
        <w:t>o</w:t>
      </w:r>
      <w:r>
        <w:rPr>
          <w:spacing w:val="-1"/>
          <w:w w:val="100"/>
          <w:sz w:val="21"/>
        </w:rPr>
        <w:t>n</w:t>
      </w:r>
      <w:r>
        <w:rPr>
          <w:w w:val="100"/>
          <w:sz w:val="21"/>
        </w:rPr>
        <w:t>e</w:t>
      </w:r>
      <w:r>
        <w:rPr>
          <w:sz w:val="21"/>
        </w:rPr>
        <w:t> </w:t>
      </w:r>
      <w:r>
        <w:rPr>
          <w:spacing w:val="-16"/>
          <w:sz w:val="21"/>
        </w:rPr>
        <w:t> </w:t>
      </w:r>
      <w:r>
        <w:rPr>
          <w:w w:val="100"/>
          <w:sz w:val="21"/>
        </w:rPr>
        <w:t>R</w:t>
      </w:r>
      <w:r>
        <w:rPr>
          <w:spacing w:val="-1"/>
          <w:w w:val="100"/>
          <w:sz w:val="21"/>
        </w:rPr>
        <w:t>e</w:t>
      </w:r>
      <w:r>
        <w:rPr>
          <w:spacing w:val="-3"/>
          <w:w w:val="100"/>
          <w:sz w:val="21"/>
        </w:rPr>
        <w:t>a</w:t>
      </w:r>
      <w:r>
        <w:rPr>
          <w:w w:val="100"/>
          <w:sz w:val="21"/>
        </w:rPr>
        <w:t>li</w:t>
      </w:r>
      <w:r>
        <w:rPr>
          <w:spacing w:val="-2"/>
          <w:w w:val="100"/>
          <w:sz w:val="21"/>
        </w:rPr>
        <w:t>t</w:t>
      </w:r>
      <w:r>
        <w:rPr>
          <w:spacing w:val="-3"/>
          <w:w w:val="100"/>
          <w:sz w:val="21"/>
        </w:rPr>
        <w:t>y</w:t>
      </w:r>
      <w:r>
        <w:rPr>
          <w:w w:val="100"/>
          <w:sz w:val="21"/>
        </w:rPr>
        <w:t>, </w:t>
      </w:r>
      <w:r>
        <w:rPr>
          <w:sz w:val="21"/>
        </w:rPr>
        <w:t>who, owing to the diversity of intellects (Matibheda) is conventionally spoken of (Parikalpya) in various ways as Brahma, Visnu and Mahesvara</w:t>
      </w:r>
      <w:r>
        <w:rPr>
          <w:b/>
          <w:sz w:val="21"/>
        </w:rPr>
        <w:t>. It is, however, possible that the founder of the endowment or the worshipper may not conceive of this highest spiritual plane but hold that the idol is the very embodiment of a personal God, but that is not a matter with which the law is concerned. Neither God nor any supernatural being could be a person in law. But so far as the deity stands as the representative and symbol of the particular purpose which is indicated by the donor, it can figure as a legal person. </w:t>
      </w:r>
      <w:r>
        <w:rPr>
          <w:sz w:val="21"/>
        </w:rPr>
        <w:t>The true legal view is that in that capacity alone the dedicated  property vests in it. There is no principle why a deity as such a legal person should not be taxed if such a legal person is allowed in law to own property even though in the ideal sense and to sue for the property, to realise rent and to defend such property in a court of law again in the ideal sense. Our conclusion is that the Hindu idol is a juristic entity capable of holding property and of being taxed through its Shebaits who are entrusted with the possession and management of its property.‖</w:t>
      </w:r>
    </w:p>
    <w:p>
      <w:pPr>
        <w:spacing w:before="0"/>
        <w:ind w:left="5798" w:right="0" w:firstLine="0"/>
        <w:jc w:val="left"/>
        <w:rPr>
          <w:sz w:val="21"/>
        </w:rPr>
      </w:pPr>
      <w:r>
        <w:rPr>
          <w:sz w:val="21"/>
        </w:rPr>
        <w:t>(Emphasis supplied)</w:t>
      </w:r>
    </w:p>
    <w:p>
      <w:pPr>
        <w:pStyle w:val="BodyText"/>
        <w:rPr>
          <w:sz w:val="24"/>
        </w:rPr>
      </w:pPr>
    </w:p>
    <w:p>
      <w:pPr>
        <w:pStyle w:val="BodyText"/>
        <w:spacing w:before="3"/>
        <w:rPr>
          <w:sz w:val="21"/>
        </w:rPr>
      </w:pPr>
    </w:p>
    <w:p>
      <w:pPr>
        <w:pStyle w:val="BodyText"/>
        <w:spacing w:line="480" w:lineRule="auto"/>
        <w:ind w:left="500" w:right="439"/>
        <w:jc w:val="both"/>
      </w:pPr>
      <w:r>
        <w:rPr/>
        <w:t>Legal personality is not conferred on the Supreme Being. The Supreme Being has no physical presence for it is understood to be omnipresent - the very ground of</w:t>
      </w:r>
      <w:r>
        <w:rPr>
          <w:spacing w:val="15"/>
        </w:rPr>
        <w:t> </w:t>
      </w:r>
      <w:r>
        <w:rPr/>
        <w:t>being</w:t>
      </w:r>
      <w:r>
        <w:rPr>
          <w:spacing w:val="16"/>
        </w:rPr>
        <w:t> </w:t>
      </w:r>
      <w:r>
        <w:rPr/>
        <w:t>itself.</w:t>
      </w:r>
      <w:r>
        <w:rPr>
          <w:spacing w:val="32"/>
        </w:rPr>
        <w:t> </w:t>
      </w:r>
      <w:r>
        <w:rPr/>
        <w:t>The</w:t>
      </w:r>
      <w:r>
        <w:rPr>
          <w:spacing w:val="14"/>
        </w:rPr>
        <w:t> </w:t>
      </w:r>
      <w:r>
        <w:rPr/>
        <w:t>court</w:t>
      </w:r>
      <w:r>
        <w:rPr>
          <w:spacing w:val="14"/>
        </w:rPr>
        <w:t> </w:t>
      </w:r>
      <w:r>
        <w:rPr/>
        <w:t>does</w:t>
      </w:r>
      <w:r>
        <w:rPr>
          <w:spacing w:val="16"/>
        </w:rPr>
        <w:t> </w:t>
      </w:r>
      <w:r>
        <w:rPr/>
        <w:t>not</w:t>
      </w:r>
      <w:r>
        <w:rPr>
          <w:spacing w:val="15"/>
        </w:rPr>
        <w:t> </w:t>
      </w:r>
      <w:r>
        <w:rPr/>
        <w:t>confer</w:t>
      </w:r>
      <w:r>
        <w:rPr>
          <w:spacing w:val="16"/>
        </w:rPr>
        <w:t> </w:t>
      </w:r>
      <w:r>
        <w:rPr/>
        <w:t>legal</w:t>
      </w:r>
      <w:r>
        <w:rPr>
          <w:spacing w:val="15"/>
        </w:rPr>
        <w:t> </w:t>
      </w:r>
      <w:r>
        <w:rPr/>
        <w:t>personality</w:t>
      </w:r>
      <w:r>
        <w:rPr>
          <w:spacing w:val="13"/>
        </w:rPr>
        <w:t> </w:t>
      </w:r>
      <w:r>
        <w:rPr/>
        <w:t>on</w:t>
      </w:r>
      <w:r>
        <w:rPr>
          <w:spacing w:val="15"/>
        </w:rPr>
        <w:t> </w:t>
      </w:r>
      <w:r>
        <w:rPr/>
        <w:t>divinity.</w:t>
      </w:r>
      <w:r>
        <w:rPr>
          <w:spacing w:val="15"/>
        </w:rPr>
        <w:t> </w:t>
      </w:r>
      <w:r>
        <w:rPr/>
        <w:t>Divinity</w:t>
      </w:r>
      <w:r>
        <w:rPr>
          <w:spacing w:val="13"/>
        </w:rPr>
        <w:t> </w:t>
      </w:r>
      <w:r>
        <w:rPr/>
        <w:t>in</w:t>
      </w:r>
    </w:p>
    <w:p>
      <w:pPr>
        <w:pStyle w:val="BodyText"/>
        <w:rPr>
          <w:sz w:val="20"/>
        </w:rPr>
      </w:pPr>
    </w:p>
    <w:p>
      <w:pPr>
        <w:pStyle w:val="BodyText"/>
        <w:spacing w:before="9"/>
        <w:rPr>
          <w:sz w:val="14"/>
        </w:rPr>
      </w:pPr>
      <w:r>
        <w:rPr/>
        <w:pict>
          <v:rect style="position:absolute;margin-left:72.024002pt;margin-top:10.487915pt;width:144.020pt;height:.599980pt;mso-position-horizontal-relative:page;mso-position-vertical-relative:paragraph;z-index:-1570867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54</w:t>
      </w:r>
      <w:r>
        <w:rPr>
          <w:sz w:val="18"/>
          <w:vertAlign w:val="baseline"/>
        </w:rPr>
        <w:t> (1969) 1 SCC 555</w:t>
      </w:r>
    </w:p>
    <w:p>
      <w:pPr>
        <w:spacing w:after="0"/>
        <w:jc w:val="left"/>
        <w:rPr>
          <w:sz w:val="18"/>
        </w:rPr>
        <w:sectPr>
          <w:pgSz w:w="11910" w:h="16840"/>
          <w:pgMar w:header="721" w:footer="1014" w:top="1300" w:bottom="1200" w:left="940" w:right="1000"/>
        </w:sectPr>
      </w:pPr>
    </w:p>
    <w:p>
      <w:pPr>
        <w:pStyle w:val="BodyText"/>
        <w:spacing w:line="480" w:lineRule="auto" w:before="124"/>
        <w:ind w:left="500" w:right="436"/>
        <w:jc w:val="both"/>
      </w:pPr>
      <w:r>
        <w:rPr/>
        <w:t>Hindu philosophy is seamless, universal and infinite. Divinity pervades every aspect of the universe. The attributes of divinity defy description and furnish the fundamental basis for not defining it with reference to boundaries – physical or legal. For the reason that it is omnipresent it would be impossible to distinguish where one legal entity ends and the next begins. The narrow confines of the law are ill suited to engage in such an exercise and it is for this reason, that the law has steered clear from adopting this approach. In Hinduism, physical manifestations of the Supreme Being exist in the form of idols to allow worshippers to experience a shapeless being. The idol is a representation of the Supreme Being. The idol, by possessing a physical form is identifiable.</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An exploration of the method adopted for the conferral of legal personality on Hindu idols and the reason for the conferment is necessary. Chief Justice B K </w:t>
      </w:r>
      <w:r>
        <w:rPr>
          <w:spacing w:val="-2"/>
          <w:w w:val="99"/>
          <w:sz w:val="25"/>
        </w:rPr>
        <w:t>M</w:t>
      </w:r>
      <w:r>
        <w:rPr>
          <w:spacing w:val="-1"/>
          <w:w w:val="99"/>
          <w:sz w:val="25"/>
        </w:rPr>
        <w:t>uk</w:t>
      </w:r>
      <w:r>
        <w:rPr>
          <w:w w:val="99"/>
          <w:sz w:val="25"/>
        </w:rPr>
        <w:t>h</w:t>
      </w:r>
      <w:r>
        <w:rPr>
          <w:spacing w:val="-1"/>
          <w:w w:val="99"/>
          <w:sz w:val="25"/>
        </w:rPr>
        <w:t>e</w:t>
      </w:r>
      <w:r>
        <w:rPr>
          <w:w w:val="99"/>
          <w:sz w:val="25"/>
        </w:rPr>
        <w:t>r</w:t>
      </w:r>
      <w:r>
        <w:rPr>
          <w:spacing w:val="-1"/>
          <w:w w:val="99"/>
          <w:sz w:val="25"/>
        </w:rPr>
        <w:t>jea‘s</w:t>
      </w:r>
      <w:r>
        <w:rPr>
          <w:w w:val="99"/>
          <w:sz w:val="25"/>
        </w:rPr>
        <w:t>,</w:t>
      </w:r>
      <w:r>
        <w:rPr>
          <w:sz w:val="25"/>
        </w:rPr>
        <w:t>   </w:t>
      </w:r>
      <w:r>
        <w:rPr>
          <w:spacing w:val="-25"/>
          <w:sz w:val="25"/>
        </w:rPr>
        <w:t> </w:t>
      </w:r>
      <w:r>
        <w:rPr>
          <w:w w:val="33"/>
          <w:sz w:val="25"/>
        </w:rPr>
        <w:t>―</w:t>
      </w:r>
      <w:r>
        <w:rPr>
          <w:b/>
          <w:spacing w:val="-2"/>
          <w:w w:val="99"/>
          <w:sz w:val="25"/>
        </w:rPr>
        <w:t>T</w:t>
      </w:r>
      <w:r>
        <w:rPr>
          <w:b/>
          <w:w w:val="99"/>
          <w:sz w:val="25"/>
        </w:rPr>
        <w:t>h</w:t>
      </w:r>
      <w:r>
        <w:rPr>
          <w:b/>
          <w:w w:val="99"/>
          <w:sz w:val="25"/>
        </w:rPr>
        <w:t>e</w:t>
      </w:r>
      <w:r>
        <w:rPr>
          <w:b/>
          <w:sz w:val="25"/>
        </w:rPr>
        <w:t>   </w:t>
      </w:r>
      <w:r>
        <w:rPr>
          <w:b/>
          <w:spacing w:val="-26"/>
          <w:sz w:val="25"/>
        </w:rPr>
        <w:t> </w:t>
      </w:r>
      <w:r>
        <w:rPr>
          <w:b/>
          <w:w w:val="99"/>
          <w:sz w:val="25"/>
        </w:rPr>
        <w:t>Hin</w:t>
      </w:r>
      <w:r>
        <w:rPr>
          <w:b/>
          <w:w w:val="99"/>
          <w:sz w:val="25"/>
        </w:rPr>
        <w:t>du</w:t>
      </w:r>
      <w:r>
        <w:rPr>
          <w:b/>
          <w:sz w:val="25"/>
        </w:rPr>
        <w:t>   </w:t>
      </w:r>
      <w:r>
        <w:rPr>
          <w:b/>
          <w:spacing w:val="-28"/>
          <w:sz w:val="25"/>
        </w:rPr>
        <w:t> </w:t>
      </w:r>
      <w:r>
        <w:rPr>
          <w:b/>
          <w:w w:val="99"/>
          <w:sz w:val="25"/>
        </w:rPr>
        <w:t>L</w:t>
      </w:r>
      <w:r>
        <w:rPr>
          <w:b/>
          <w:spacing w:val="-5"/>
          <w:w w:val="99"/>
          <w:sz w:val="25"/>
        </w:rPr>
        <w:t>a</w:t>
      </w:r>
      <w:r>
        <w:rPr>
          <w:b/>
          <w:w w:val="99"/>
          <w:sz w:val="25"/>
        </w:rPr>
        <w:t>w</w:t>
      </w:r>
      <w:r>
        <w:rPr>
          <w:b/>
          <w:sz w:val="25"/>
        </w:rPr>
        <w:t>   </w:t>
      </w:r>
      <w:r>
        <w:rPr>
          <w:b/>
          <w:spacing w:val="-22"/>
          <w:sz w:val="25"/>
        </w:rPr>
        <w:t> </w:t>
      </w:r>
      <w:r>
        <w:rPr>
          <w:b/>
          <w:w w:val="99"/>
          <w:sz w:val="25"/>
        </w:rPr>
        <w:t>of</w:t>
      </w:r>
      <w:r>
        <w:rPr>
          <w:b/>
          <w:sz w:val="25"/>
        </w:rPr>
        <w:t>   </w:t>
      </w:r>
      <w:r>
        <w:rPr>
          <w:b/>
          <w:spacing w:val="-28"/>
          <w:sz w:val="25"/>
        </w:rPr>
        <w:t> </w:t>
      </w:r>
      <w:r>
        <w:rPr>
          <w:b/>
          <w:w w:val="99"/>
          <w:sz w:val="25"/>
        </w:rPr>
        <w:t>Reli</w:t>
      </w:r>
      <w:r>
        <w:rPr>
          <w:b/>
          <w:spacing w:val="1"/>
          <w:w w:val="99"/>
          <w:sz w:val="25"/>
        </w:rPr>
        <w:t>g</w:t>
      </w:r>
      <w:r>
        <w:rPr>
          <w:b/>
          <w:w w:val="99"/>
          <w:sz w:val="25"/>
        </w:rPr>
        <w:t>i</w:t>
      </w:r>
      <w:r>
        <w:rPr>
          <w:b/>
          <w:spacing w:val="1"/>
          <w:w w:val="99"/>
          <w:sz w:val="25"/>
        </w:rPr>
        <w:t>o</w:t>
      </w:r>
      <w:r>
        <w:rPr>
          <w:b/>
          <w:w w:val="99"/>
          <w:sz w:val="25"/>
        </w:rPr>
        <w:t>u</w:t>
      </w:r>
      <w:r>
        <w:rPr>
          <w:b/>
          <w:w w:val="99"/>
          <w:sz w:val="25"/>
        </w:rPr>
        <w:t>s</w:t>
      </w:r>
      <w:r>
        <w:rPr>
          <w:b/>
          <w:sz w:val="25"/>
        </w:rPr>
        <w:t>   </w:t>
      </w:r>
      <w:r>
        <w:rPr>
          <w:b/>
          <w:spacing w:val="-28"/>
          <w:sz w:val="25"/>
        </w:rPr>
        <w:t> </w:t>
      </w:r>
      <w:r>
        <w:rPr>
          <w:b/>
          <w:w w:val="99"/>
          <w:sz w:val="25"/>
        </w:rPr>
        <w:t>a</w:t>
      </w:r>
      <w:r>
        <w:rPr>
          <w:b/>
          <w:spacing w:val="1"/>
          <w:w w:val="99"/>
          <w:sz w:val="25"/>
        </w:rPr>
        <w:t>n</w:t>
      </w:r>
      <w:r>
        <w:rPr>
          <w:b/>
          <w:w w:val="99"/>
          <w:sz w:val="25"/>
        </w:rPr>
        <w:t>d</w:t>
      </w:r>
      <w:r>
        <w:rPr>
          <w:b/>
          <w:sz w:val="25"/>
        </w:rPr>
        <w:t>   </w:t>
      </w:r>
      <w:r>
        <w:rPr>
          <w:b/>
          <w:spacing w:val="-28"/>
          <w:sz w:val="25"/>
        </w:rPr>
        <w:t> </w:t>
      </w:r>
      <w:r>
        <w:rPr>
          <w:b/>
          <w:w w:val="99"/>
          <w:sz w:val="25"/>
        </w:rPr>
        <w:t>Ch</w:t>
      </w:r>
      <w:r>
        <w:rPr>
          <w:b/>
          <w:spacing w:val="-2"/>
          <w:w w:val="99"/>
          <w:sz w:val="25"/>
        </w:rPr>
        <w:t>a</w:t>
      </w:r>
      <w:r>
        <w:rPr>
          <w:b/>
          <w:spacing w:val="-1"/>
          <w:w w:val="99"/>
          <w:sz w:val="25"/>
        </w:rPr>
        <w:t>r</w:t>
      </w:r>
      <w:r>
        <w:rPr>
          <w:b/>
          <w:w w:val="99"/>
          <w:sz w:val="25"/>
        </w:rPr>
        <w:t>i</w:t>
      </w:r>
      <w:r>
        <w:rPr>
          <w:b/>
          <w:spacing w:val="7"/>
          <w:w w:val="99"/>
          <w:sz w:val="25"/>
        </w:rPr>
        <w:t>t</w:t>
      </w:r>
      <w:r>
        <w:rPr>
          <w:b/>
          <w:w w:val="99"/>
          <w:sz w:val="25"/>
        </w:rPr>
        <w:t>a</w:t>
      </w:r>
      <w:r>
        <w:rPr>
          <w:b/>
          <w:spacing w:val="1"/>
          <w:w w:val="99"/>
          <w:sz w:val="25"/>
        </w:rPr>
        <w:t>b</w:t>
      </w:r>
      <w:r>
        <w:rPr>
          <w:b/>
          <w:w w:val="99"/>
          <w:sz w:val="25"/>
        </w:rPr>
        <w:t>le</w:t>
      </w:r>
      <w:r>
        <w:rPr>
          <w:b/>
          <w:sz w:val="25"/>
        </w:rPr>
        <w:t>   </w:t>
      </w:r>
      <w:r>
        <w:rPr>
          <w:b/>
          <w:spacing w:val="-26"/>
          <w:sz w:val="25"/>
        </w:rPr>
        <w:t> </w:t>
      </w:r>
      <w:r>
        <w:rPr>
          <w:b/>
          <w:spacing w:val="-2"/>
          <w:w w:val="99"/>
          <w:sz w:val="25"/>
        </w:rPr>
        <w:t>T</w:t>
      </w:r>
      <w:r>
        <w:rPr>
          <w:b/>
          <w:spacing w:val="-1"/>
          <w:w w:val="99"/>
          <w:sz w:val="25"/>
        </w:rPr>
        <w:t>r</w:t>
      </w:r>
      <w:r>
        <w:rPr>
          <w:b/>
          <w:w w:val="99"/>
          <w:sz w:val="25"/>
        </w:rPr>
        <w:t>u</w:t>
      </w:r>
      <w:r>
        <w:rPr>
          <w:b/>
          <w:w w:val="99"/>
          <w:sz w:val="25"/>
        </w:rPr>
        <w:t>s</w:t>
      </w:r>
      <w:r>
        <w:rPr>
          <w:b/>
          <w:spacing w:val="1"/>
          <w:w w:val="99"/>
          <w:sz w:val="25"/>
        </w:rPr>
        <w:t>t</w:t>
      </w:r>
      <w:r>
        <w:rPr>
          <w:b/>
          <w:spacing w:val="2"/>
          <w:w w:val="99"/>
          <w:sz w:val="25"/>
        </w:rPr>
        <w:t>s</w:t>
      </w:r>
      <w:r>
        <w:rPr>
          <w:w w:val="80"/>
          <w:sz w:val="25"/>
        </w:rPr>
        <w:t>‖ </w:t>
      </w:r>
      <w:r>
        <w:rPr>
          <w:sz w:val="25"/>
        </w:rPr>
        <w:t>demonstrates a timeless quality and has significance in understanding the evolution of our law on the subject. Justice Mukherjea notes that even prior to courts regulating the Hindu practice of religious endowments, the clear public interest in regulating properties dedicated for religious purposes, resulted in the practice being regulated by the rulers of the day. He</w:t>
      </w:r>
      <w:r>
        <w:rPr>
          <w:spacing w:val="-9"/>
          <w:sz w:val="25"/>
        </w:rPr>
        <w:t> </w:t>
      </w:r>
      <w:r>
        <w:rPr>
          <w:sz w:val="25"/>
        </w:rPr>
        <w:t>states:</w:t>
      </w:r>
    </w:p>
    <w:p>
      <w:pPr>
        <w:spacing w:line="276" w:lineRule="auto" w:before="1"/>
        <w:ind w:left="1940" w:right="2261" w:firstLine="0"/>
        <w:jc w:val="both"/>
        <w:rPr>
          <w:b/>
          <w:sz w:val="21"/>
        </w:rPr>
      </w:pPr>
      <w:r>
        <w:rPr>
          <w:spacing w:val="-1"/>
          <w:w w:val="33"/>
          <w:sz w:val="21"/>
        </w:rPr>
        <w:t>―</w:t>
      </w:r>
      <w:r>
        <w:rPr>
          <w:spacing w:val="-1"/>
          <w:w w:val="100"/>
          <w:sz w:val="21"/>
        </w:rPr>
        <w:t>1.3</w:t>
      </w:r>
      <w:r>
        <w:rPr>
          <w:w w:val="100"/>
          <w:sz w:val="21"/>
        </w:rPr>
        <w:t>6</w:t>
      </w:r>
      <w:r>
        <w:rPr>
          <w:sz w:val="21"/>
        </w:rPr>
        <w:t> </w:t>
      </w:r>
      <w:r>
        <w:rPr>
          <w:spacing w:val="24"/>
          <w:sz w:val="21"/>
        </w:rPr>
        <w:t> </w:t>
      </w:r>
      <w:r>
        <w:rPr>
          <w:w w:val="100"/>
          <w:sz w:val="21"/>
        </w:rPr>
        <w:t>…</w:t>
      </w:r>
      <w:r>
        <w:rPr>
          <w:sz w:val="21"/>
        </w:rPr>
        <w:t> </w:t>
      </w:r>
      <w:r>
        <w:rPr>
          <w:spacing w:val="24"/>
          <w:sz w:val="21"/>
        </w:rPr>
        <w:t> </w:t>
      </w:r>
      <w:r>
        <w:rPr>
          <w:spacing w:val="-2"/>
          <w:w w:val="100"/>
          <w:sz w:val="21"/>
        </w:rPr>
        <w:t>I</w:t>
      </w:r>
      <w:r>
        <w:rPr>
          <w:w w:val="100"/>
          <w:sz w:val="21"/>
        </w:rPr>
        <w:t>t</w:t>
      </w:r>
      <w:r>
        <w:rPr>
          <w:sz w:val="21"/>
        </w:rPr>
        <w:t> </w:t>
      </w:r>
      <w:r>
        <w:rPr>
          <w:spacing w:val="23"/>
          <w:sz w:val="21"/>
        </w:rPr>
        <w:t> </w:t>
      </w:r>
      <w:r>
        <w:rPr>
          <w:spacing w:val="-1"/>
          <w:w w:val="100"/>
          <w:sz w:val="21"/>
        </w:rPr>
        <w:t>app</w:t>
      </w:r>
      <w:r>
        <w:rPr>
          <w:spacing w:val="-2"/>
          <w:w w:val="100"/>
          <w:sz w:val="21"/>
        </w:rPr>
        <w:t>e</w:t>
      </w:r>
      <w:r>
        <w:rPr>
          <w:spacing w:val="-1"/>
          <w:w w:val="100"/>
          <w:sz w:val="21"/>
        </w:rPr>
        <w:t>ar</w:t>
      </w:r>
      <w:r>
        <w:rPr>
          <w:w w:val="100"/>
          <w:sz w:val="21"/>
        </w:rPr>
        <w:t>s</w:t>
      </w:r>
      <w:r>
        <w:rPr>
          <w:sz w:val="21"/>
        </w:rPr>
        <w:t> </w:t>
      </w:r>
      <w:r>
        <w:rPr>
          <w:spacing w:val="24"/>
          <w:sz w:val="21"/>
        </w:rPr>
        <w:t> </w:t>
      </w:r>
      <w:r>
        <w:rPr>
          <w:spacing w:val="-1"/>
          <w:w w:val="100"/>
          <w:sz w:val="21"/>
        </w:rPr>
        <w:t>h</w:t>
      </w:r>
      <w:r>
        <w:rPr>
          <w:spacing w:val="-3"/>
          <w:w w:val="100"/>
          <w:sz w:val="21"/>
        </w:rPr>
        <w:t>o</w:t>
      </w:r>
      <w:r>
        <w:rPr>
          <w:spacing w:val="-2"/>
          <w:w w:val="100"/>
          <w:sz w:val="21"/>
        </w:rPr>
        <w:t>w</w:t>
      </w:r>
      <w:r>
        <w:rPr>
          <w:spacing w:val="-1"/>
          <w:w w:val="100"/>
          <w:sz w:val="21"/>
        </w:rPr>
        <w:t>e</w:t>
      </w:r>
      <w:r>
        <w:rPr>
          <w:spacing w:val="-3"/>
          <w:w w:val="100"/>
          <w:sz w:val="21"/>
        </w:rPr>
        <w:t>v</w:t>
      </w:r>
      <w:r>
        <w:rPr>
          <w:spacing w:val="-1"/>
          <w:w w:val="100"/>
          <w:sz w:val="21"/>
        </w:rPr>
        <w:t>e</w:t>
      </w:r>
      <w:r>
        <w:rPr>
          <w:w w:val="100"/>
          <w:sz w:val="21"/>
        </w:rPr>
        <w:t>r</w:t>
      </w:r>
      <w:r>
        <w:rPr>
          <w:sz w:val="21"/>
        </w:rPr>
        <w:t> </w:t>
      </w:r>
      <w:r>
        <w:rPr>
          <w:spacing w:val="24"/>
          <w:sz w:val="21"/>
        </w:rPr>
        <w:t> </w:t>
      </w:r>
      <w:r>
        <w:rPr>
          <w:spacing w:val="-2"/>
          <w:w w:val="100"/>
          <w:sz w:val="21"/>
        </w:rPr>
        <w:t>t</w:t>
      </w:r>
      <w:r>
        <w:rPr>
          <w:spacing w:val="-1"/>
          <w:w w:val="100"/>
          <w:sz w:val="21"/>
        </w:rPr>
        <w:t>ha</w:t>
      </w:r>
      <w:r>
        <w:rPr>
          <w:w w:val="100"/>
          <w:sz w:val="21"/>
        </w:rPr>
        <w:t>t</w:t>
      </w:r>
      <w:r>
        <w:rPr>
          <w:sz w:val="21"/>
        </w:rPr>
        <w:t> </w:t>
      </w:r>
      <w:r>
        <w:rPr>
          <w:spacing w:val="23"/>
          <w:sz w:val="21"/>
        </w:rPr>
        <w:t> </w:t>
      </w:r>
      <w:r>
        <w:rPr>
          <w:spacing w:val="1"/>
          <w:w w:val="100"/>
          <w:sz w:val="21"/>
        </w:rPr>
        <w:t>f</w:t>
      </w:r>
      <w:r>
        <w:rPr>
          <w:spacing w:val="-1"/>
          <w:w w:val="100"/>
          <w:sz w:val="21"/>
        </w:rPr>
        <w:t>ro</w:t>
      </w:r>
      <w:r>
        <w:rPr>
          <w:w w:val="100"/>
          <w:sz w:val="21"/>
        </w:rPr>
        <w:t>m</w:t>
      </w:r>
      <w:r>
        <w:rPr>
          <w:sz w:val="21"/>
        </w:rPr>
        <w:t> </w:t>
      </w:r>
      <w:r>
        <w:rPr>
          <w:spacing w:val="26"/>
          <w:sz w:val="21"/>
        </w:rPr>
        <w:t> </w:t>
      </w:r>
      <w:r>
        <w:rPr>
          <w:spacing w:val="-3"/>
          <w:w w:val="100"/>
          <w:sz w:val="21"/>
        </w:rPr>
        <w:t>v</w:t>
      </w:r>
      <w:r>
        <w:rPr>
          <w:spacing w:val="-1"/>
          <w:w w:val="100"/>
          <w:sz w:val="21"/>
        </w:rPr>
        <w:t>er</w:t>
      </w:r>
      <w:r>
        <w:rPr>
          <w:w w:val="100"/>
          <w:sz w:val="21"/>
        </w:rPr>
        <w:t>y</w:t>
      </w:r>
      <w:r>
        <w:rPr>
          <w:sz w:val="21"/>
        </w:rPr>
        <w:t> </w:t>
      </w:r>
      <w:r>
        <w:rPr>
          <w:spacing w:val="21"/>
          <w:sz w:val="21"/>
        </w:rPr>
        <w:t> </w:t>
      </w:r>
      <w:r>
        <w:rPr>
          <w:spacing w:val="-1"/>
          <w:w w:val="100"/>
          <w:sz w:val="21"/>
        </w:rPr>
        <w:t>ear</w:t>
      </w:r>
      <w:r>
        <w:rPr>
          <w:w w:val="100"/>
          <w:sz w:val="21"/>
        </w:rPr>
        <w:t>ly</w:t>
      </w:r>
      <w:r>
        <w:rPr>
          <w:sz w:val="21"/>
        </w:rPr>
        <w:t> </w:t>
      </w:r>
      <w:r>
        <w:rPr>
          <w:spacing w:val="22"/>
          <w:sz w:val="21"/>
        </w:rPr>
        <w:t> </w:t>
      </w:r>
      <w:r>
        <w:rPr>
          <w:spacing w:val="-2"/>
          <w:w w:val="100"/>
          <w:sz w:val="21"/>
        </w:rPr>
        <w:t>t</w:t>
      </w:r>
      <w:r>
        <w:rPr>
          <w:w w:val="100"/>
          <w:sz w:val="21"/>
        </w:rPr>
        <w:t>i</w:t>
      </w:r>
      <w:r>
        <w:rPr>
          <w:spacing w:val="-1"/>
          <w:w w:val="100"/>
          <w:sz w:val="21"/>
        </w:rPr>
        <w:t>mes </w:t>
      </w:r>
      <w:r>
        <w:rPr>
          <w:sz w:val="21"/>
        </w:rPr>
        <w:t>religious and charitable institutions in this country came under the special protection of the ruling authority. In the celebrated </w:t>
      </w:r>
      <w:r>
        <w:rPr>
          <w:i/>
          <w:sz w:val="21"/>
        </w:rPr>
        <w:t>Rameswar Pagoda </w:t>
      </w:r>
      <w:r>
        <w:rPr>
          <w:sz w:val="21"/>
        </w:rPr>
        <w:t>case, it was pointed out by the Judicial Committee that the </w:t>
      </w:r>
      <w:r>
        <w:rPr>
          <w:b/>
          <w:sz w:val="21"/>
        </w:rPr>
        <w:t>former rulers of this country always asserted the right to visit endowments of this kind to prevent  and  redress  the  abuses  in  their </w:t>
      </w:r>
      <w:r>
        <w:rPr>
          <w:b/>
          <w:spacing w:val="8"/>
          <w:sz w:val="21"/>
        </w:rPr>
        <w:t> </w:t>
      </w:r>
      <w:r>
        <w:rPr>
          <w:b/>
          <w:sz w:val="21"/>
        </w:rPr>
        <w:t>management.</w:t>
      </w:r>
    </w:p>
    <w:p>
      <w:pPr>
        <w:spacing w:before="0"/>
        <w:ind w:left="1940" w:right="0" w:firstLine="0"/>
        <w:jc w:val="both"/>
        <w:rPr>
          <w:sz w:val="21"/>
        </w:rPr>
      </w:pPr>
      <w:r>
        <w:rPr>
          <w:spacing w:val="-1"/>
          <w:w w:val="33"/>
          <w:sz w:val="21"/>
        </w:rPr>
        <w:t>―</w:t>
      </w:r>
      <w:r>
        <w:rPr>
          <w:w w:val="100"/>
          <w:sz w:val="21"/>
        </w:rPr>
        <w:t>Th</w:t>
      </w:r>
      <w:r>
        <w:rPr>
          <w:spacing w:val="-1"/>
          <w:w w:val="100"/>
          <w:sz w:val="21"/>
        </w:rPr>
        <w:t>er</w:t>
      </w:r>
      <w:r>
        <w:rPr>
          <w:w w:val="100"/>
          <w:sz w:val="21"/>
        </w:rPr>
        <w:t>e</w:t>
      </w:r>
      <w:r>
        <w:rPr>
          <w:sz w:val="21"/>
        </w:rPr>
        <w:t> </w:t>
      </w:r>
      <w:r>
        <w:rPr>
          <w:spacing w:val="-15"/>
          <w:sz w:val="21"/>
        </w:rPr>
        <w:t> </w:t>
      </w:r>
      <w:r>
        <w:rPr>
          <w:w w:val="100"/>
          <w:sz w:val="21"/>
        </w:rPr>
        <w:t>c</w:t>
      </w:r>
      <w:r>
        <w:rPr>
          <w:spacing w:val="-3"/>
          <w:w w:val="100"/>
          <w:sz w:val="21"/>
        </w:rPr>
        <w:t>a</w:t>
      </w:r>
      <w:r>
        <w:rPr>
          <w:w w:val="100"/>
          <w:sz w:val="21"/>
        </w:rPr>
        <w:t>n</w:t>
      </w:r>
      <w:r>
        <w:rPr>
          <w:sz w:val="21"/>
        </w:rPr>
        <w:t> </w:t>
      </w:r>
      <w:r>
        <w:rPr>
          <w:spacing w:val="-14"/>
          <w:sz w:val="21"/>
        </w:rPr>
        <w:t> </w:t>
      </w:r>
      <w:r>
        <w:rPr>
          <w:spacing w:val="-1"/>
          <w:w w:val="100"/>
          <w:sz w:val="21"/>
        </w:rPr>
        <w:t>b</w:t>
      </w:r>
      <w:r>
        <w:rPr>
          <w:w w:val="100"/>
          <w:sz w:val="21"/>
        </w:rPr>
        <w:t>e</w:t>
      </w:r>
      <w:r>
        <w:rPr>
          <w:sz w:val="21"/>
        </w:rPr>
        <w:t> </w:t>
      </w:r>
      <w:r>
        <w:rPr>
          <w:spacing w:val="-14"/>
          <w:sz w:val="21"/>
        </w:rPr>
        <w:t> </w:t>
      </w:r>
      <w:r>
        <w:rPr>
          <w:spacing w:val="-2"/>
          <w:w w:val="100"/>
          <w:sz w:val="21"/>
        </w:rPr>
        <w:t>l</w:t>
      </w:r>
      <w:r>
        <w:rPr>
          <w:w w:val="100"/>
          <w:sz w:val="21"/>
        </w:rPr>
        <w:t>i</w:t>
      </w:r>
      <w:r>
        <w:rPr>
          <w:spacing w:val="-2"/>
          <w:w w:val="100"/>
          <w:sz w:val="21"/>
        </w:rPr>
        <w:t>tt</w:t>
      </w:r>
      <w:r>
        <w:rPr>
          <w:w w:val="100"/>
          <w:sz w:val="21"/>
        </w:rPr>
        <w:t>le</w:t>
      </w:r>
      <w:r>
        <w:rPr>
          <w:sz w:val="21"/>
        </w:rPr>
        <w:t> </w:t>
      </w:r>
      <w:r>
        <w:rPr>
          <w:spacing w:val="-14"/>
          <w:sz w:val="21"/>
        </w:rPr>
        <w:t> </w:t>
      </w:r>
      <w:r>
        <w:rPr>
          <w:spacing w:val="-1"/>
          <w:w w:val="100"/>
          <w:sz w:val="21"/>
        </w:rPr>
        <w:t>do</w:t>
      </w:r>
      <w:r>
        <w:rPr>
          <w:spacing w:val="-2"/>
          <w:w w:val="100"/>
          <w:sz w:val="21"/>
        </w:rPr>
        <w:t>u</w:t>
      </w:r>
      <w:r>
        <w:rPr>
          <w:spacing w:val="-3"/>
          <w:w w:val="100"/>
          <w:sz w:val="21"/>
        </w:rPr>
        <w:t>b</w:t>
      </w:r>
      <w:r>
        <w:rPr>
          <w:spacing w:val="-2"/>
          <w:w w:val="100"/>
          <w:sz w:val="21"/>
        </w:rPr>
        <w:t>t</w:t>
      </w:r>
      <w:r>
        <w:rPr>
          <w:spacing w:val="-1"/>
          <w:w w:val="81"/>
          <w:sz w:val="21"/>
        </w:rPr>
        <w:t>‖</w:t>
      </w:r>
      <w:r>
        <w:rPr>
          <w:w w:val="100"/>
          <w:sz w:val="21"/>
        </w:rPr>
        <w:t>,</w:t>
      </w:r>
      <w:r>
        <w:rPr>
          <w:sz w:val="21"/>
        </w:rPr>
        <w:t> </w:t>
      </w:r>
      <w:r>
        <w:rPr>
          <w:spacing w:val="-13"/>
          <w:sz w:val="21"/>
        </w:rPr>
        <w:t> </w:t>
      </w:r>
      <w:r>
        <w:rPr>
          <w:spacing w:val="-2"/>
          <w:w w:val="100"/>
          <w:sz w:val="21"/>
        </w:rPr>
        <w:t>t</w:t>
      </w:r>
      <w:r>
        <w:rPr>
          <w:spacing w:val="-1"/>
          <w:w w:val="100"/>
          <w:sz w:val="21"/>
        </w:rPr>
        <w:t>hu</w:t>
      </w:r>
      <w:r>
        <w:rPr>
          <w:w w:val="100"/>
          <w:sz w:val="21"/>
        </w:rPr>
        <w:t>s</w:t>
      </w:r>
      <w:r>
        <w:rPr>
          <w:sz w:val="21"/>
        </w:rPr>
        <w:t> </w:t>
      </w:r>
      <w:r>
        <w:rPr>
          <w:spacing w:val="-14"/>
          <w:sz w:val="21"/>
        </w:rPr>
        <w:t> </w:t>
      </w:r>
      <w:r>
        <w:rPr>
          <w:spacing w:val="-1"/>
          <w:w w:val="100"/>
          <w:sz w:val="21"/>
        </w:rPr>
        <w:t>obser</w:t>
      </w:r>
      <w:r>
        <w:rPr>
          <w:spacing w:val="-3"/>
          <w:w w:val="100"/>
          <w:sz w:val="21"/>
        </w:rPr>
        <w:t>v</w:t>
      </w:r>
      <w:r>
        <w:rPr>
          <w:spacing w:val="-1"/>
          <w:w w:val="100"/>
          <w:sz w:val="21"/>
        </w:rPr>
        <w:t>e</w:t>
      </w:r>
      <w:r>
        <w:rPr>
          <w:w w:val="100"/>
          <w:sz w:val="21"/>
        </w:rPr>
        <w:t>d</w:t>
      </w:r>
      <w:r>
        <w:rPr>
          <w:sz w:val="21"/>
        </w:rPr>
        <w:t> </w:t>
      </w:r>
      <w:r>
        <w:rPr>
          <w:spacing w:val="-14"/>
          <w:sz w:val="21"/>
        </w:rPr>
        <w:t> </w:t>
      </w:r>
      <w:r>
        <w:rPr>
          <w:w w:val="100"/>
          <w:sz w:val="21"/>
        </w:rPr>
        <w:t>T</w:t>
      </w:r>
      <w:r>
        <w:rPr>
          <w:spacing w:val="-2"/>
          <w:w w:val="100"/>
          <w:sz w:val="21"/>
        </w:rPr>
        <w:t>h</w:t>
      </w:r>
      <w:r>
        <w:rPr>
          <w:spacing w:val="-1"/>
          <w:w w:val="100"/>
          <w:sz w:val="21"/>
        </w:rPr>
        <w:t>e</w:t>
      </w:r>
      <w:r>
        <w:rPr>
          <w:spacing w:val="1"/>
          <w:w w:val="100"/>
          <w:sz w:val="21"/>
        </w:rPr>
        <w:t>i</w:t>
      </w:r>
      <w:r>
        <w:rPr>
          <w:w w:val="100"/>
          <w:sz w:val="21"/>
        </w:rPr>
        <w:t>r</w:t>
      </w:r>
      <w:r>
        <w:rPr>
          <w:sz w:val="21"/>
        </w:rPr>
        <w:t> </w:t>
      </w:r>
      <w:r>
        <w:rPr>
          <w:spacing w:val="-17"/>
          <w:sz w:val="21"/>
        </w:rPr>
        <w:t> </w:t>
      </w:r>
      <w:r>
        <w:rPr>
          <w:spacing w:val="-1"/>
          <w:w w:val="100"/>
          <w:sz w:val="21"/>
        </w:rPr>
        <w:t>Lords</w:t>
      </w:r>
      <w:r>
        <w:rPr>
          <w:spacing w:val="-3"/>
          <w:w w:val="100"/>
          <w:sz w:val="21"/>
        </w:rPr>
        <w:t>h</w:t>
      </w:r>
      <w:r>
        <w:rPr>
          <w:w w:val="100"/>
          <w:sz w:val="21"/>
        </w:rPr>
        <w:t>i</w:t>
      </w:r>
      <w:r>
        <w:rPr>
          <w:spacing w:val="-3"/>
          <w:w w:val="100"/>
          <w:sz w:val="21"/>
        </w:rPr>
        <w:t>p</w:t>
      </w:r>
      <w:r>
        <w:rPr>
          <w:w w:val="100"/>
          <w:sz w:val="21"/>
        </w:rPr>
        <w:t>s,</w:t>
      </w:r>
    </w:p>
    <w:p>
      <w:pPr>
        <w:spacing w:line="276" w:lineRule="auto" w:before="35"/>
        <w:ind w:left="1940" w:right="2260" w:firstLine="0"/>
        <w:jc w:val="both"/>
        <w:rPr>
          <w:sz w:val="21"/>
        </w:rPr>
      </w:pPr>
      <w:r>
        <w:rPr>
          <w:spacing w:val="-1"/>
          <w:w w:val="33"/>
          <w:sz w:val="21"/>
        </w:rPr>
        <w:t>―</w:t>
      </w:r>
      <w:r>
        <w:rPr>
          <w:spacing w:val="-2"/>
          <w:w w:val="100"/>
          <w:sz w:val="21"/>
        </w:rPr>
        <w:t>t</w:t>
      </w:r>
      <w:r>
        <w:rPr>
          <w:spacing w:val="-1"/>
          <w:w w:val="100"/>
          <w:sz w:val="21"/>
        </w:rPr>
        <w:t>ha</w:t>
      </w:r>
      <w:r>
        <w:rPr>
          <w:w w:val="100"/>
          <w:sz w:val="21"/>
        </w:rPr>
        <w:t>t</w:t>
      </w:r>
      <w:r>
        <w:rPr>
          <w:spacing w:val="17"/>
          <w:sz w:val="21"/>
        </w:rPr>
        <w:t> </w:t>
      </w:r>
      <w:r>
        <w:rPr>
          <w:spacing w:val="-2"/>
          <w:w w:val="100"/>
          <w:sz w:val="21"/>
        </w:rPr>
        <w:t>t</w:t>
      </w:r>
      <w:r>
        <w:rPr>
          <w:spacing w:val="-1"/>
          <w:w w:val="100"/>
          <w:sz w:val="21"/>
        </w:rPr>
        <w:t>h</w:t>
      </w:r>
      <w:r>
        <w:rPr>
          <w:w w:val="100"/>
          <w:sz w:val="21"/>
        </w:rPr>
        <w:t>e</w:t>
      </w:r>
      <w:r>
        <w:rPr>
          <w:spacing w:val="18"/>
          <w:sz w:val="21"/>
        </w:rPr>
        <w:t> </w:t>
      </w:r>
      <w:r>
        <w:rPr>
          <w:w w:val="100"/>
          <w:sz w:val="21"/>
        </w:rPr>
        <w:t>su</w:t>
      </w:r>
      <w:r>
        <w:rPr>
          <w:spacing w:val="-3"/>
          <w:w w:val="100"/>
          <w:sz w:val="21"/>
        </w:rPr>
        <w:t>p</w:t>
      </w:r>
      <w:r>
        <w:rPr>
          <w:spacing w:val="-1"/>
          <w:w w:val="100"/>
          <w:sz w:val="21"/>
        </w:rPr>
        <w:t>er</w:t>
      </w:r>
      <w:r>
        <w:rPr>
          <w:spacing w:val="-2"/>
          <w:w w:val="100"/>
          <w:sz w:val="21"/>
        </w:rPr>
        <w:t>i</w:t>
      </w:r>
      <w:r>
        <w:rPr>
          <w:spacing w:val="-1"/>
          <w:w w:val="100"/>
          <w:sz w:val="21"/>
        </w:rPr>
        <w:t>nten</w:t>
      </w:r>
      <w:r>
        <w:rPr>
          <w:spacing w:val="-2"/>
          <w:w w:val="100"/>
          <w:sz w:val="21"/>
        </w:rPr>
        <w:t>d</w:t>
      </w:r>
      <w:r>
        <w:rPr>
          <w:w w:val="100"/>
          <w:sz w:val="21"/>
        </w:rPr>
        <w:t>i</w:t>
      </w:r>
      <w:r>
        <w:rPr>
          <w:spacing w:val="-1"/>
          <w:w w:val="100"/>
          <w:sz w:val="21"/>
        </w:rPr>
        <w:t>n</w:t>
      </w:r>
      <w:r>
        <w:rPr>
          <w:w w:val="100"/>
          <w:sz w:val="21"/>
        </w:rPr>
        <w:t>g</w:t>
      </w:r>
      <w:r>
        <w:rPr>
          <w:spacing w:val="16"/>
          <w:sz w:val="21"/>
        </w:rPr>
        <w:t> </w:t>
      </w:r>
      <w:r>
        <w:rPr>
          <w:spacing w:val="-3"/>
          <w:w w:val="100"/>
          <w:sz w:val="21"/>
        </w:rPr>
        <w:t>a</w:t>
      </w:r>
      <w:r>
        <w:rPr>
          <w:spacing w:val="-1"/>
          <w:w w:val="100"/>
          <w:sz w:val="21"/>
        </w:rPr>
        <w:t>uthor</w:t>
      </w:r>
      <w:r>
        <w:rPr>
          <w:w w:val="100"/>
          <w:sz w:val="21"/>
        </w:rPr>
        <w:t>i</w:t>
      </w:r>
      <w:r>
        <w:rPr>
          <w:spacing w:val="-2"/>
          <w:w w:val="100"/>
          <w:sz w:val="21"/>
        </w:rPr>
        <w:t>t</w:t>
      </w:r>
      <w:r>
        <w:rPr>
          <w:w w:val="100"/>
          <w:sz w:val="21"/>
        </w:rPr>
        <w:t>y</w:t>
      </w:r>
      <w:r>
        <w:rPr>
          <w:spacing w:val="16"/>
          <w:sz w:val="21"/>
        </w:rPr>
        <w:t> </w:t>
      </w:r>
      <w:r>
        <w:rPr>
          <w:spacing w:val="-2"/>
          <w:w w:val="100"/>
          <w:sz w:val="21"/>
        </w:rPr>
        <w:t>w</w:t>
      </w:r>
      <w:r>
        <w:rPr>
          <w:spacing w:val="-1"/>
          <w:w w:val="100"/>
          <w:sz w:val="21"/>
        </w:rPr>
        <w:t>a</w:t>
      </w:r>
      <w:r>
        <w:rPr>
          <w:w w:val="100"/>
          <w:sz w:val="21"/>
        </w:rPr>
        <w:t>s</w:t>
      </w:r>
      <w:r>
        <w:rPr>
          <w:spacing w:val="18"/>
          <w:sz w:val="21"/>
        </w:rPr>
        <w:t> </w:t>
      </w:r>
      <w:r>
        <w:rPr>
          <w:spacing w:val="-1"/>
          <w:w w:val="100"/>
          <w:sz w:val="21"/>
        </w:rPr>
        <w:t>e</w:t>
      </w:r>
      <w:r>
        <w:rPr>
          <w:spacing w:val="-3"/>
          <w:w w:val="100"/>
          <w:sz w:val="21"/>
        </w:rPr>
        <w:t>x</w:t>
      </w:r>
      <w:r>
        <w:rPr>
          <w:spacing w:val="-1"/>
          <w:w w:val="100"/>
          <w:sz w:val="21"/>
        </w:rPr>
        <w:t>erc</w:t>
      </w:r>
      <w:r>
        <w:rPr>
          <w:spacing w:val="-2"/>
          <w:w w:val="100"/>
          <w:sz w:val="21"/>
        </w:rPr>
        <w:t>i</w:t>
      </w:r>
      <w:r>
        <w:rPr>
          <w:w w:val="100"/>
          <w:sz w:val="21"/>
        </w:rPr>
        <w:t>sed</w:t>
      </w:r>
      <w:r>
        <w:rPr>
          <w:spacing w:val="16"/>
          <w:sz w:val="21"/>
        </w:rPr>
        <w:t> </w:t>
      </w:r>
      <w:r>
        <w:rPr>
          <w:spacing w:val="-1"/>
          <w:w w:val="100"/>
          <w:sz w:val="21"/>
        </w:rPr>
        <w:t>b</w:t>
      </w:r>
      <w:r>
        <w:rPr>
          <w:w w:val="100"/>
          <w:sz w:val="21"/>
        </w:rPr>
        <w:t>y</w:t>
      </w:r>
      <w:r>
        <w:rPr>
          <w:spacing w:val="15"/>
          <w:sz w:val="21"/>
        </w:rPr>
        <w:t> </w:t>
      </w:r>
      <w:r>
        <w:rPr>
          <w:spacing w:val="-2"/>
          <w:w w:val="100"/>
          <w:sz w:val="21"/>
        </w:rPr>
        <w:t>t</w:t>
      </w:r>
      <w:r>
        <w:rPr>
          <w:spacing w:val="-1"/>
          <w:w w:val="100"/>
          <w:sz w:val="21"/>
        </w:rPr>
        <w:t>h</w:t>
      </w:r>
      <w:r>
        <w:rPr>
          <w:w w:val="100"/>
          <w:sz w:val="21"/>
        </w:rPr>
        <w:t>e</w:t>
      </w:r>
      <w:r>
        <w:rPr>
          <w:spacing w:val="18"/>
          <w:sz w:val="21"/>
        </w:rPr>
        <w:t> </w:t>
      </w:r>
      <w:r>
        <w:rPr>
          <w:spacing w:val="-3"/>
          <w:w w:val="100"/>
          <w:sz w:val="21"/>
        </w:rPr>
        <w:t>o</w:t>
      </w:r>
      <w:r>
        <w:rPr>
          <w:w w:val="100"/>
          <w:sz w:val="21"/>
        </w:rPr>
        <w:t>l</w:t>
      </w:r>
      <w:r>
        <w:rPr>
          <w:spacing w:val="-1"/>
          <w:w w:val="100"/>
          <w:sz w:val="21"/>
        </w:rPr>
        <w:t>der ru</w:t>
      </w:r>
      <w:r>
        <w:rPr>
          <w:spacing w:val="1"/>
          <w:w w:val="100"/>
          <w:sz w:val="21"/>
        </w:rPr>
        <w:t>l</w:t>
      </w:r>
      <w:r>
        <w:rPr>
          <w:spacing w:val="-1"/>
          <w:w w:val="100"/>
          <w:sz w:val="21"/>
        </w:rPr>
        <w:t>ers</w:t>
      </w:r>
      <w:r>
        <w:rPr>
          <w:spacing w:val="-2"/>
          <w:w w:val="100"/>
          <w:sz w:val="21"/>
        </w:rPr>
        <w:t>.</w:t>
      </w:r>
      <w:r>
        <w:rPr>
          <w:w w:val="81"/>
          <w:sz w:val="21"/>
        </w:rPr>
        <w:t>‖</w:t>
      </w:r>
      <w:r>
        <w:rPr>
          <w:sz w:val="21"/>
        </w:rPr>
        <w:t> </w:t>
      </w:r>
      <w:r>
        <w:rPr>
          <w:spacing w:val="14"/>
          <w:sz w:val="21"/>
        </w:rPr>
        <w:t> </w:t>
      </w:r>
      <w:r>
        <w:rPr>
          <w:spacing w:val="-1"/>
          <w:w w:val="100"/>
          <w:sz w:val="21"/>
        </w:rPr>
        <w:t>Mr</w:t>
      </w:r>
      <w:r>
        <w:rPr>
          <w:w w:val="100"/>
          <w:sz w:val="21"/>
        </w:rPr>
        <w:t>.</w:t>
      </w:r>
      <w:r>
        <w:rPr>
          <w:sz w:val="21"/>
        </w:rPr>
        <w:t> </w:t>
      </w:r>
      <w:r>
        <w:rPr>
          <w:spacing w:val="14"/>
          <w:sz w:val="21"/>
        </w:rPr>
        <w:t> </w:t>
      </w:r>
      <w:r>
        <w:rPr>
          <w:spacing w:val="-2"/>
          <w:w w:val="100"/>
          <w:sz w:val="21"/>
        </w:rPr>
        <w:t>N</w:t>
      </w:r>
      <w:r>
        <w:rPr>
          <w:spacing w:val="-1"/>
          <w:w w:val="100"/>
          <w:sz w:val="21"/>
        </w:rPr>
        <w:t>e</w:t>
      </w:r>
      <w:r>
        <w:rPr>
          <w:spacing w:val="-2"/>
          <w:w w:val="100"/>
          <w:sz w:val="21"/>
        </w:rPr>
        <w:t>l</w:t>
      </w:r>
      <w:r>
        <w:rPr>
          <w:w w:val="100"/>
          <w:sz w:val="21"/>
        </w:rPr>
        <w:t>son</w:t>
      </w:r>
      <w:r>
        <w:rPr>
          <w:sz w:val="21"/>
        </w:rPr>
        <w:t> </w:t>
      </w:r>
      <w:r>
        <w:rPr>
          <w:spacing w:val="12"/>
          <w:sz w:val="21"/>
        </w:rPr>
        <w:t> </w:t>
      </w:r>
      <w:r>
        <w:rPr>
          <w:w w:val="100"/>
          <w:sz w:val="21"/>
        </w:rPr>
        <w:t>in</w:t>
      </w:r>
      <w:r>
        <w:rPr>
          <w:sz w:val="21"/>
        </w:rPr>
        <w:t> </w:t>
      </w:r>
      <w:r>
        <w:rPr>
          <w:spacing w:val="12"/>
          <w:sz w:val="21"/>
        </w:rPr>
        <w:t> </w:t>
      </w:r>
      <w:r>
        <w:rPr>
          <w:spacing w:val="-3"/>
          <w:w w:val="100"/>
          <w:sz w:val="21"/>
        </w:rPr>
        <w:t>h</w:t>
      </w:r>
      <w:r>
        <w:rPr>
          <w:w w:val="100"/>
          <w:sz w:val="21"/>
        </w:rPr>
        <w:t>is</w:t>
      </w:r>
      <w:r>
        <w:rPr>
          <w:sz w:val="21"/>
        </w:rPr>
        <w:t> </w:t>
      </w:r>
      <w:r>
        <w:rPr>
          <w:spacing w:val="15"/>
          <w:sz w:val="21"/>
        </w:rPr>
        <w:t> </w:t>
      </w:r>
      <w:r>
        <w:rPr>
          <w:spacing w:val="-1"/>
          <w:w w:val="100"/>
          <w:sz w:val="21"/>
        </w:rPr>
        <w:t>M</w:t>
      </w:r>
      <w:r>
        <w:rPr>
          <w:spacing w:val="-3"/>
          <w:w w:val="100"/>
          <w:sz w:val="21"/>
        </w:rPr>
        <w:t>a</w:t>
      </w:r>
      <w:r>
        <w:rPr>
          <w:spacing w:val="-1"/>
          <w:w w:val="100"/>
          <w:sz w:val="21"/>
        </w:rPr>
        <w:t>dur</w:t>
      </w:r>
      <w:r>
        <w:rPr>
          <w:w w:val="100"/>
          <w:sz w:val="21"/>
        </w:rPr>
        <w:t>a</w:t>
      </w:r>
      <w:r>
        <w:rPr>
          <w:sz w:val="21"/>
        </w:rPr>
        <w:t> </w:t>
      </w:r>
      <w:r>
        <w:rPr>
          <w:spacing w:val="14"/>
          <w:sz w:val="21"/>
        </w:rPr>
        <w:t> </w:t>
      </w:r>
      <w:r>
        <w:rPr>
          <w:spacing w:val="-4"/>
          <w:w w:val="100"/>
          <w:sz w:val="21"/>
        </w:rPr>
        <w:t>M</w:t>
      </w:r>
      <w:r>
        <w:rPr>
          <w:spacing w:val="-1"/>
          <w:w w:val="100"/>
          <w:sz w:val="21"/>
        </w:rPr>
        <w:t>an</w:t>
      </w:r>
      <w:r>
        <w:rPr>
          <w:spacing w:val="-2"/>
          <w:w w:val="100"/>
          <w:sz w:val="21"/>
        </w:rPr>
        <w:t>u</w:t>
      </w:r>
      <w:r>
        <w:rPr>
          <w:spacing w:val="-1"/>
          <w:w w:val="100"/>
          <w:sz w:val="21"/>
        </w:rPr>
        <w:t>a</w:t>
      </w:r>
      <w:r>
        <w:rPr>
          <w:w w:val="100"/>
          <w:sz w:val="21"/>
        </w:rPr>
        <w:t>l</w:t>
      </w:r>
      <w:r>
        <w:rPr>
          <w:sz w:val="21"/>
        </w:rPr>
        <w:t> </w:t>
      </w:r>
      <w:r>
        <w:rPr>
          <w:spacing w:val="13"/>
          <w:sz w:val="21"/>
        </w:rPr>
        <w:t> </w:t>
      </w:r>
      <w:r>
        <w:rPr>
          <w:w w:val="100"/>
          <w:sz w:val="21"/>
        </w:rPr>
        <w:t>sa</w:t>
      </w:r>
      <w:r>
        <w:rPr>
          <w:spacing w:val="-3"/>
          <w:w w:val="100"/>
          <w:sz w:val="21"/>
        </w:rPr>
        <w:t>y</w:t>
      </w:r>
      <w:r>
        <w:rPr>
          <w:w w:val="100"/>
          <w:sz w:val="21"/>
        </w:rPr>
        <w:t>s:</w:t>
      </w:r>
      <w:r>
        <w:rPr>
          <w:sz w:val="21"/>
        </w:rPr>
        <w:t> </w:t>
      </w:r>
      <w:r>
        <w:rPr>
          <w:spacing w:val="14"/>
          <w:sz w:val="21"/>
        </w:rPr>
        <w:t> </w:t>
      </w:r>
      <w:r>
        <w:rPr>
          <w:spacing w:val="-1"/>
          <w:w w:val="33"/>
          <w:sz w:val="21"/>
        </w:rPr>
        <w:t>―</w:t>
      </w:r>
      <w:r>
        <w:rPr>
          <w:w w:val="100"/>
          <w:sz w:val="21"/>
        </w:rPr>
        <w:t>…</w:t>
      </w:r>
      <w:r>
        <w:rPr>
          <w:sz w:val="21"/>
        </w:rPr>
        <w:t> </w:t>
      </w:r>
      <w:r>
        <w:rPr>
          <w:spacing w:val="15"/>
          <w:sz w:val="21"/>
        </w:rPr>
        <w:t> </w:t>
      </w:r>
      <w:r>
        <w:rPr>
          <w:w w:val="100"/>
          <w:sz w:val="21"/>
        </w:rPr>
        <w:t>T</w:t>
      </w:r>
      <w:r>
        <w:rPr>
          <w:spacing w:val="-2"/>
          <w:w w:val="100"/>
          <w:sz w:val="21"/>
        </w:rPr>
        <w:t>h</w:t>
      </w:r>
      <w:r>
        <w:rPr>
          <w:w w:val="100"/>
          <w:sz w:val="21"/>
        </w:rPr>
        <w:t>e </w:t>
      </w:r>
      <w:r>
        <w:rPr>
          <w:sz w:val="21"/>
        </w:rPr>
        <w:t>Dharma Kartas held but little communication one with</w:t>
      </w:r>
      <w:r>
        <w:rPr>
          <w:spacing w:val="10"/>
          <w:sz w:val="21"/>
        </w:rPr>
        <w:t> </w:t>
      </w:r>
      <w:r>
        <w:rPr>
          <w:sz w:val="21"/>
        </w:rPr>
        <w:t>another</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4" w:firstLine="0"/>
        <w:jc w:val="both"/>
        <w:rPr>
          <w:sz w:val="21"/>
        </w:rPr>
      </w:pPr>
      <w:r>
        <w:rPr>
          <w:sz w:val="21"/>
        </w:rPr>
        <w:t>and recognised no earthly superior except the king himself. </w:t>
      </w:r>
      <w:r>
        <w:rPr>
          <w:b/>
          <w:sz w:val="21"/>
        </w:rPr>
        <w:t>Each was independent of all control and acted altogether as he pleased. This freedom led naturally to gross abuses and the king was compelled occasionally to interfere in the management of some of the</w:t>
      </w:r>
      <w:r>
        <w:rPr>
          <w:b/>
          <w:spacing w:val="-25"/>
          <w:sz w:val="21"/>
        </w:rPr>
        <w:t> </w:t>
      </w:r>
      <w:r>
        <w:rPr>
          <w:b/>
          <w:sz w:val="21"/>
        </w:rPr>
        <w:t>churches.</w:t>
      </w:r>
      <w:r>
        <w:rPr>
          <w:sz w:val="21"/>
        </w:rPr>
        <w:t>‖</w:t>
      </w:r>
      <w:r>
        <w:rPr>
          <w:sz w:val="21"/>
          <w:vertAlign w:val="superscript"/>
        </w:rPr>
        <w:t>55</w:t>
      </w:r>
    </w:p>
    <w:p>
      <w:pPr>
        <w:spacing w:before="2"/>
        <w:ind w:left="5798" w:right="0" w:firstLine="0"/>
        <w:jc w:val="both"/>
        <w:rPr>
          <w:sz w:val="21"/>
        </w:rPr>
      </w:pPr>
      <w:r>
        <w:rPr>
          <w:sz w:val="21"/>
        </w:rPr>
        <w:t>(Emphasis supplied)</w:t>
      </w:r>
    </w:p>
    <w:p>
      <w:pPr>
        <w:pStyle w:val="BodyText"/>
        <w:spacing w:before="1"/>
        <w:rPr>
          <w:sz w:val="28"/>
        </w:rPr>
      </w:pPr>
    </w:p>
    <w:p>
      <w:pPr>
        <w:pStyle w:val="ListParagraph"/>
        <w:numPr>
          <w:ilvl w:val="0"/>
          <w:numId w:val="3"/>
        </w:numPr>
        <w:tabs>
          <w:tab w:pos="1221" w:val="left" w:leader="none"/>
        </w:tabs>
        <w:spacing w:line="480" w:lineRule="auto" w:before="0" w:after="0"/>
        <w:ind w:left="500" w:right="442" w:firstLine="0"/>
        <w:jc w:val="both"/>
        <w:rPr>
          <w:sz w:val="25"/>
        </w:rPr>
      </w:pPr>
      <w:r>
        <w:rPr>
          <w:sz w:val="25"/>
        </w:rPr>
        <w:t>In an article which was published in 2010 in the Economic and Political Weekly, Gautam Patel traces the historical evolution of endowments. He noted the reason for the conferment of personality in law on</w:t>
      </w:r>
      <w:r>
        <w:rPr>
          <w:spacing w:val="-3"/>
          <w:sz w:val="25"/>
        </w:rPr>
        <w:t> </w:t>
      </w:r>
      <w:r>
        <w:rPr>
          <w:sz w:val="25"/>
        </w:rPr>
        <w:t>idols:</w:t>
      </w:r>
    </w:p>
    <w:p>
      <w:pPr>
        <w:spacing w:line="276" w:lineRule="auto" w:before="1"/>
        <w:ind w:left="1940" w:right="2260" w:firstLine="0"/>
        <w:jc w:val="both"/>
        <w:rPr>
          <w:sz w:val="21"/>
        </w:rPr>
      </w:pPr>
      <w:r>
        <w:rPr>
          <w:spacing w:val="-1"/>
          <w:w w:val="33"/>
          <w:sz w:val="21"/>
        </w:rPr>
        <w:t>―</w:t>
      </w:r>
      <w:r>
        <w:rPr>
          <w:spacing w:val="-2"/>
          <w:w w:val="100"/>
          <w:sz w:val="21"/>
        </w:rPr>
        <w:t>E</w:t>
      </w:r>
      <w:r>
        <w:rPr>
          <w:spacing w:val="1"/>
          <w:w w:val="100"/>
          <w:sz w:val="21"/>
        </w:rPr>
        <w:t>m</w:t>
      </w:r>
      <w:r>
        <w:rPr>
          <w:spacing w:val="-1"/>
          <w:w w:val="100"/>
          <w:sz w:val="21"/>
        </w:rPr>
        <w:t>pero</w:t>
      </w:r>
      <w:r>
        <w:rPr>
          <w:spacing w:val="-4"/>
          <w:w w:val="100"/>
          <w:sz w:val="21"/>
        </w:rPr>
        <w:t>r</w:t>
      </w:r>
      <w:r>
        <w:rPr>
          <w:w w:val="100"/>
          <w:sz w:val="21"/>
        </w:rPr>
        <w:t>s</w:t>
      </w:r>
      <w:r>
        <w:rPr>
          <w:spacing w:val="8"/>
          <w:sz w:val="21"/>
        </w:rPr>
        <w:t> </w:t>
      </w:r>
      <w:r>
        <w:rPr>
          <w:spacing w:val="-1"/>
          <w:w w:val="100"/>
          <w:sz w:val="21"/>
        </w:rPr>
        <w:t>an</w:t>
      </w:r>
      <w:r>
        <w:rPr>
          <w:w w:val="100"/>
          <w:sz w:val="21"/>
        </w:rPr>
        <w:t>d</w:t>
      </w:r>
      <w:r>
        <w:rPr>
          <w:spacing w:val="9"/>
          <w:sz w:val="21"/>
        </w:rPr>
        <w:t> </w:t>
      </w:r>
      <w:r>
        <w:rPr>
          <w:spacing w:val="-1"/>
          <w:w w:val="100"/>
          <w:sz w:val="21"/>
        </w:rPr>
        <w:t>r</w:t>
      </w:r>
      <w:r>
        <w:rPr>
          <w:spacing w:val="-3"/>
          <w:w w:val="100"/>
          <w:sz w:val="21"/>
        </w:rPr>
        <w:t>u</w:t>
      </w:r>
      <w:r>
        <w:rPr>
          <w:w w:val="100"/>
          <w:sz w:val="21"/>
        </w:rPr>
        <w:t>l</w:t>
      </w:r>
      <w:r>
        <w:rPr>
          <w:spacing w:val="-1"/>
          <w:w w:val="100"/>
          <w:sz w:val="21"/>
        </w:rPr>
        <w:t>er</w:t>
      </w:r>
      <w:r>
        <w:rPr>
          <w:w w:val="100"/>
          <w:sz w:val="21"/>
        </w:rPr>
        <w:t>s</w:t>
      </w:r>
      <w:r>
        <w:rPr>
          <w:spacing w:val="8"/>
          <w:sz w:val="21"/>
        </w:rPr>
        <w:t> </w:t>
      </w:r>
      <w:r>
        <w:rPr>
          <w:spacing w:val="-1"/>
          <w:w w:val="100"/>
          <w:sz w:val="21"/>
        </w:rPr>
        <w:t>r</w:t>
      </w:r>
      <w:r>
        <w:rPr>
          <w:spacing w:val="-3"/>
          <w:w w:val="100"/>
          <w:sz w:val="21"/>
        </w:rPr>
        <w:t>o</w:t>
      </w:r>
      <w:r>
        <w:rPr>
          <w:spacing w:val="-1"/>
          <w:w w:val="100"/>
          <w:sz w:val="21"/>
        </w:rPr>
        <w:t>ut</w:t>
      </w:r>
      <w:r>
        <w:rPr>
          <w:w w:val="100"/>
          <w:sz w:val="21"/>
        </w:rPr>
        <w:t>i</w:t>
      </w:r>
      <w:r>
        <w:rPr>
          <w:spacing w:val="-1"/>
          <w:w w:val="100"/>
          <w:sz w:val="21"/>
        </w:rPr>
        <w:t>n</w:t>
      </w:r>
      <w:r>
        <w:rPr>
          <w:spacing w:val="-3"/>
          <w:w w:val="100"/>
          <w:sz w:val="21"/>
        </w:rPr>
        <w:t>e</w:t>
      </w:r>
      <w:r>
        <w:rPr>
          <w:w w:val="100"/>
          <w:sz w:val="21"/>
        </w:rPr>
        <w:t>ly</w:t>
      </w:r>
      <w:r>
        <w:rPr>
          <w:spacing w:val="6"/>
          <w:sz w:val="21"/>
        </w:rPr>
        <w:t> </w:t>
      </w:r>
      <w:r>
        <w:rPr>
          <w:spacing w:val="-1"/>
          <w:w w:val="100"/>
          <w:sz w:val="21"/>
        </w:rPr>
        <w:t>don</w:t>
      </w:r>
      <w:r>
        <w:rPr>
          <w:w w:val="100"/>
          <w:sz w:val="21"/>
        </w:rPr>
        <w:t>a</w:t>
      </w:r>
      <w:r>
        <w:rPr>
          <w:spacing w:val="-2"/>
          <w:w w:val="100"/>
          <w:sz w:val="21"/>
        </w:rPr>
        <w:t>t</w:t>
      </w:r>
      <w:r>
        <w:rPr>
          <w:spacing w:val="-1"/>
          <w:w w:val="100"/>
          <w:sz w:val="21"/>
        </w:rPr>
        <w:t>e</w:t>
      </w:r>
      <w:r>
        <w:rPr>
          <w:w w:val="100"/>
          <w:sz w:val="21"/>
        </w:rPr>
        <w:t>d</w:t>
      </w:r>
      <w:r>
        <w:rPr>
          <w:spacing w:val="6"/>
          <w:sz w:val="21"/>
        </w:rPr>
        <w:t> </w:t>
      </w:r>
      <w:r>
        <w:rPr>
          <w:spacing w:val="-1"/>
          <w:w w:val="100"/>
          <w:sz w:val="21"/>
        </w:rPr>
        <w:t>proper</w:t>
      </w:r>
      <w:r>
        <w:rPr>
          <w:spacing w:val="-2"/>
          <w:w w:val="100"/>
          <w:sz w:val="21"/>
        </w:rPr>
        <w:t>t</w:t>
      </w:r>
      <w:r>
        <w:rPr>
          <w:w w:val="100"/>
          <w:sz w:val="21"/>
        </w:rPr>
        <w:t>y</w:t>
      </w:r>
      <w:r>
        <w:rPr>
          <w:spacing w:val="6"/>
          <w:sz w:val="21"/>
        </w:rPr>
        <w:t> </w:t>
      </w:r>
      <w:r>
        <w:rPr>
          <w:spacing w:val="-1"/>
          <w:w w:val="100"/>
          <w:sz w:val="21"/>
        </w:rPr>
        <w:t>a</w:t>
      </w:r>
      <w:r>
        <w:rPr>
          <w:spacing w:val="-3"/>
          <w:w w:val="100"/>
          <w:sz w:val="21"/>
        </w:rPr>
        <w:t>n</w:t>
      </w:r>
      <w:r>
        <w:rPr>
          <w:w w:val="100"/>
          <w:sz w:val="21"/>
        </w:rPr>
        <w:t>d</w:t>
      </w:r>
      <w:r>
        <w:rPr>
          <w:spacing w:val="8"/>
          <w:sz w:val="21"/>
        </w:rPr>
        <w:t> </w:t>
      </w:r>
      <w:r>
        <w:rPr>
          <w:w w:val="100"/>
          <w:sz w:val="21"/>
        </w:rPr>
        <w:t>cash</w:t>
      </w:r>
      <w:r>
        <w:rPr>
          <w:spacing w:val="6"/>
          <w:sz w:val="21"/>
        </w:rPr>
        <w:t> </w:t>
      </w:r>
      <w:r>
        <w:rPr>
          <w:spacing w:val="1"/>
          <w:w w:val="100"/>
          <w:sz w:val="21"/>
        </w:rPr>
        <w:t>f</w:t>
      </w:r>
      <w:r>
        <w:rPr>
          <w:spacing w:val="-1"/>
          <w:w w:val="100"/>
          <w:sz w:val="21"/>
        </w:rPr>
        <w:t>or </w:t>
      </w:r>
      <w:r>
        <w:rPr>
          <w:sz w:val="21"/>
        </w:rPr>
        <w:t>the establishment, maintenance and upkeep of Hindu shrines. When land was made over to a temple, it was in the form of a </w:t>
      </w:r>
      <w:r>
        <w:rPr>
          <w:i/>
          <w:sz w:val="21"/>
        </w:rPr>
        <w:t>sanad</w:t>
      </w:r>
      <w:r>
        <w:rPr>
          <w:sz w:val="21"/>
        </w:rPr>
        <w:t>, or grant, or </w:t>
      </w:r>
      <w:r>
        <w:rPr>
          <w:i/>
          <w:sz w:val="21"/>
        </w:rPr>
        <w:t>firman</w:t>
      </w:r>
      <w:r>
        <w:rPr>
          <w:sz w:val="21"/>
        </w:rPr>
        <w:t>, by edict. The Shrinathji temple at Nathdwara, for instance, was said to have received a </w:t>
      </w:r>
      <w:r>
        <w:rPr>
          <w:i/>
          <w:sz w:val="21"/>
        </w:rPr>
        <w:t>firman </w:t>
      </w:r>
      <w:r>
        <w:rPr>
          <w:sz w:val="21"/>
        </w:rPr>
        <w:t>from the emperor Akbar. Given the colonial obsession with orderliness and documentation, this situation presented a problem – </w:t>
      </w:r>
      <w:r>
        <w:rPr>
          <w:b/>
          <w:sz w:val="21"/>
        </w:rPr>
        <w:t>large areas of land were owned, managed and cultivated by shebaits and mohunts who were clearly not the owners. </w:t>
      </w:r>
      <w:r>
        <w:rPr>
          <w:sz w:val="21"/>
        </w:rPr>
        <w:t>Temples were, by their nature, malleable and apt to grow and change. </w:t>
      </w:r>
      <w:r>
        <w:rPr>
          <w:b/>
          <w:sz w:val="21"/>
        </w:rPr>
        <w:t>The entity with some permanence was the idol </w:t>
      </w:r>
      <w:r>
        <w:rPr>
          <w:sz w:val="21"/>
        </w:rPr>
        <w:t>and it is presumably for that reason that the legal concept of the Hindu idol as a juristic entity owning land evolved. The reason may have been purely fiscal – these lands had to be surveyed, their ownership ascertained, and then assessed for (or exempted from) land revenue and other taxes. </w:t>
      </w:r>
      <w:r>
        <w:rPr>
          <w:b/>
          <w:sz w:val="21"/>
        </w:rPr>
        <w:t>But the ownership of land almost always depended on the establishment of a positive act of giving </w:t>
      </w:r>
      <w:r>
        <w:rPr>
          <w:sz w:val="21"/>
        </w:rPr>
        <w:t>– by firman, sanad or any other instrument that unequivocally shows  a  dedication  of  the  land  to  the   idol.‖</w:t>
      </w:r>
      <w:r>
        <w:rPr>
          <w:sz w:val="21"/>
          <w:vertAlign w:val="superscript"/>
        </w:rPr>
        <w:t>56</w:t>
      </w:r>
      <w:r>
        <w:rPr>
          <w:sz w:val="21"/>
          <w:vertAlign w:val="baseline"/>
        </w:rPr>
        <w:t>   (Emphasis</w:t>
      </w:r>
      <w:r>
        <w:rPr>
          <w:spacing w:val="-2"/>
          <w:sz w:val="21"/>
          <w:vertAlign w:val="baseline"/>
        </w:rPr>
        <w:t> </w:t>
      </w:r>
      <w:r>
        <w:rPr>
          <w:sz w:val="21"/>
          <w:vertAlign w:val="baseline"/>
        </w:rPr>
        <w:t>supplied)</w:t>
      </w:r>
    </w:p>
    <w:p>
      <w:pPr>
        <w:pStyle w:val="BodyText"/>
        <w:rPr>
          <w:sz w:val="24"/>
        </w:rPr>
      </w:pPr>
    </w:p>
    <w:p>
      <w:pPr>
        <w:pStyle w:val="BodyText"/>
        <w:spacing w:before="4"/>
        <w:rPr>
          <w:sz w:val="24"/>
        </w:rPr>
      </w:pPr>
    </w:p>
    <w:p>
      <w:pPr>
        <w:pStyle w:val="BodyText"/>
        <w:spacing w:line="480" w:lineRule="auto"/>
        <w:ind w:left="500" w:right="434"/>
        <w:jc w:val="both"/>
      </w:pPr>
      <w:r>
        <w:rPr/>
        <w:t>The reasons for the recognition of the idol as an entity in law are intrinsically tied to the historical circumstances in which recognition took place. The setting up of religious endowments by individuals, merchants and rulers is an age-old practice in India. However, the colonial administration in India and English law of the time lacked the legal framework within which to record, tax and ultimately adjudicate</w:t>
      </w:r>
    </w:p>
    <w:p>
      <w:pPr>
        <w:pStyle w:val="BodyText"/>
        <w:spacing w:before="9"/>
        <w:rPr>
          <w:sz w:val="20"/>
        </w:rPr>
      </w:pPr>
      <w:r>
        <w:rPr/>
        <w:pict>
          <v:rect style="position:absolute;margin-left:72.024002pt;margin-top:13.935785pt;width:144.020pt;height:.60004pt;mso-position-horizontal-relative:page;mso-position-vertical-relative:paragraph;z-index:-15708160;mso-wrap-distance-left:0;mso-wrap-distance-right:0" filled="true" fillcolor="#000000" stroked="false">
            <v:fill type="solid"/>
            <w10:wrap type="topAndBottom"/>
          </v:rect>
        </w:pict>
      </w:r>
    </w:p>
    <w:p>
      <w:pPr>
        <w:spacing w:before="81"/>
        <w:ind w:left="500" w:right="512" w:firstLine="0"/>
        <w:jc w:val="left"/>
        <w:rPr>
          <w:sz w:val="18"/>
        </w:rPr>
      </w:pPr>
      <w:r>
        <w:rPr>
          <w:sz w:val="18"/>
          <w:vertAlign w:val="superscript"/>
        </w:rPr>
        <w:t>55</w:t>
      </w:r>
      <w:r>
        <w:rPr>
          <w:sz w:val="18"/>
          <w:vertAlign w:val="baseline"/>
        </w:rPr>
        <w:t> B.K. Mukherjea, The Hindu Law of Religious and Charitable Trust, 5</w:t>
      </w:r>
      <w:r>
        <w:rPr>
          <w:sz w:val="18"/>
          <w:vertAlign w:val="superscript"/>
        </w:rPr>
        <w:t>th</w:t>
      </w:r>
      <w:r>
        <w:rPr>
          <w:sz w:val="18"/>
          <w:vertAlign w:val="baseline"/>
        </w:rPr>
        <w:t> Edition Eastern Law House, (1983) at page 28</w:t>
      </w:r>
    </w:p>
    <w:p>
      <w:pPr>
        <w:spacing w:before="1"/>
        <w:ind w:left="500" w:right="0" w:firstLine="0"/>
        <w:jc w:val="left"/>
        <w:rPr>
          <w:sz w:val="18"/>
        </w:rPr>
      </w:pPr>
      <w:r>
        <w:rPr>
          <w:sz w:val="18"/>
          <w:vertAlign w:val="superscript"/>
        </w:rPr>
        <w:t>56</w:t>
      </w:r>
      <w:r>
        <w:rPr>
          <w:sz w:val="18"/>
          <w:vertAlign w:val="baseline"/>
        </w:rPr>
        <w:t> Gautam Patel, Idols in Law, Vol. 45, No.50, Economic and Political Weekly (11-17 December 2010) at page 49</w:t>
      </w:r>
    </w:p>
    <w:p>
      <w:pPr>
        <w:spacing w:after="0"/>
        <w:jc w:val="left"/>
        <w:rPr>
          <w:sz w:val="18"/>
        </w:rPr>
        <w:sectPr>
          <w:pgSz w:w="11910" w:h="16840"/>
          <w:pgMar w:header="721" w:footer="1014" w:top="1300" w:bottom="1200" w:left="940" w:right="1000"/>
        </w:sectPr>
      </w:pPr>
    </w:p>
    <w:p>
      <w:pPr>
        <w:pStyle w:val="BodyText"/>
        <w:spacing w:line="480" w:lineRule="auto" w:before="124"/>
        <w:ind w:left="500" w:right="440"/>
        <w:jc w:val="both"/>
      </w:pPr>
      <w:r>
        <w:rPr/>
        <w:t>upon claims with respect to Hindu religious endowments. Disputes arose with the increase in the value of the properties dedicated. The establishment of courts across the country led to their increasingly having to adjudicate upon claims concerning endowments, idols, and debutter properties.</w:t>
      </w:r>
    </w:p>
    <w:p>
      <w:pPr>
        <w:pStyle w:val="BodyText"/>
        <w:rPr>
          <w:sz w:val="28"/>
        </w:rPr>
      </w:pPr>
    </w:p>
    <w:p>
      <w:pPr>
        <w:pStyle w:val="BodyText"/>
        <w:spacing w:before="5"/>
        <w:rPr>
          <w:sz w:val="32"/>
        </w:rPr>
      </w:pPr>
    </w:p>
    <w:p>
      <w:pPr>
        <w:pStyle w:val="Heading3"/>
        <w:numPr>
          <w:ilvl w:val="1"/>
          <w:numId w:val="56"/>
        </w:numPr>
        <w:tabs>
          <w:tab w:pos="1221" w:val="left" w:leader="none"/>
        </w:tabs>
        <w:spacing w:line="240" w:lineRule="auto" w:before="0" w:after="0"/>
        <w:ind w:left="1220" w:right="0" w:hanging="721"/>
        <w:jc w:val="both"/>
      </w:pPr>
      <w:r>
        <w:rPr/>
        <w:t>Idols and juristic</w:t>
      </w:r>
      <w:r>
        <w:rPr>
          <w:spacing w:val="-4"/>
        </w:rPr>
        <w:t> </w:t>
      </w:r>
      <w:r>
        <w:rPr/>
        <w:t>personality</w:t>
      </w:r>
    </w:p>
    <w:p>
      <w:pPr>
        <w:pStyle w:val="BodyText"/>
        <w:rPr>
          <w:b/>
          <w:sz w:val="28"/>
        </w:rPr>
      </w:pPr>
    </w:p>
    <w:p>
      <w:pPr>
        <w:pStyle w:val="ListParagraph"/>
        <w:numPr>
          <w:ilvl w:val="0"/>
          <w:numId w:val="3"/>
        </w:numPr>
        <w:tabs>
          <w:tab w:pos="1221" w:val="left" w:leader="none"/>
        </w:tabs>
        <w:spacing w:line="480" w:lineRule="auto" w:before="217" w:after="0"/>
        <w:ind w:left="500" w:right="435" w:firstLine="0"/>
        <w:jc w:val="both"/>
        <w:rPr>
          <w:sz w:val="25"/>
        </w:rPr>
      </w:pPr>
      <w:r>
        <w:rPr>
          <w:sz w:val="25"/>
        </w:rPr>
        <w:t>English and Indian judges in India were called upon to determine the legal characteristics of Hindu idols and the properties associated with them. In </w:t>
      </w:r>
      <w:r>
        <w:rPr>
          <w:b/>
          <w:sz w:val="25"/>
        </w:rPr>
        <w:t>Manohar Ganesh Tambekar </w:t>
      </w:r>
      <w:r>
        <w:rPr>
          <w:sz w:val="25"/>
        </w:rPr>
        <w:t>v </w:t>
      </w:r>
      <w:r>
        <w:rPr>
          <w:b/>
          <w:sz w:val="25"/>
        </w:rPr>
        <w:t>Lakhmiram Govindram</w:t>
      </w:r>
      <w:r>
        <w:rPr>
          <w:sz w:val="25"/>
          <w:vertAlign w:val="superscript"/>
        </w:rPr>
        <w:t>57</w:t>
      </w:r>
      <w:r>
        <w:rPr>
          <w:sz w:val="25"/>
          <w:vertAlign w:val="baseline"/>
        </w:rPr>
        <w:t>, the plaintiffs were persons interested in the religious foundation of the temple of Dakor and the defendants were recipients of the temple‘s offerings. The plaintiff‘s prayer was that the court appoint a receiver for the accountable disposal of the offerings made at the temple.  On the other hand, the defendants submitted that the  temple offerings were their own absolute and secular property. A Division Bench of the Bombay High Court analysed the circumstances in which the case took place and considered the need to confer legal personality on the Hindu idol. The Court, speaking through Justice R West</w:t>
      </w:r>
      <w:r>
        <w:rPr>
          <w:spacing w:val="-9"/>
          <w:sz w:val="25"/>
          <w:vertAlign w:val="baseline"/>
        </w:rPr>
        <w:t> </w:t>
      </w:r>
      <w:r>
        <w:rPr>
          <w:sz w:val="25"/>
          <w:vertAlign w:val="baseline"/>
        </w:rPr>
        <w:t>observed:</w:t>
      </w:r>
    </w:p>
    <w:p>
      <w:pPr>
        <w:spacing w:line="276" w:lineRule="auto" w:before="0"/>
        <w:ind w:left="1940" w:right="2261" w:firstLine="0"/>
        <w:jc w:val="both"/>
        <w:rPr>
          <w:sz w:val="21"/>
        </w:rPr>
      </w:pPr>
      <w:r>
        <w:rPr>
          <w:w w:val="33"/>
          <w:sz w:val="21"/>
        </w:rPr>
        <w:t>―</w:t>
      </w:r>
      <w:r>
        <w:rPr>
          <w:w w:val="100"/>
          <w:sz w:val="21"/>
        </w:rPr>
        <w:t>For</w:t>
      </w:r>
      <w:r>
        <w:rPr>
          <w:sz w:val="21"/>
        </w:rPr>
        <w:t> </w:t>
      </w:r>
      <w:r>
        <w:rPr>
          <w:w w:val="100"/>
          <w:sz w:val="21"/>
        </w:rPr>
        <w:t>a</w:t>
      </w:r>
      <w:r>
        <w:rPr>
          <w:sz w:val="21"/>
        </w:rPr>
        <w:t> </w:t>
      </w:r>
      <w:r>
        <w:rPr>
          <w:w w:val="100"/>
          <w:sz w:val="21"/>
        </w:rPr>
        <w:t>period</w:t>
      </w:r>
      <w:r>
        <w:rPr>
          <w:sz w:val="21"/>
        </w:rPr>
        <w:t> </w:t>
      </w:r>
      <w:r>
        <w:rPr>
          <w:w w:val="100"/>
          <w:sz w:val="21"/>
        </w:rPr>
        <w:t>extending</w:t>
      </w:r>
      <w:r>
        <w:rPr>
          <w:sz w:val="21"/>
        </w:rPr>
        <w:t> </w:t>
      </w:r>
      <w:r>
        <w:rPr>
          <w:w w:val="100"/>
          <w:sz w:val="21"/>
        </w:rPr>
        <w:t>over</w:t>
      </w:r>
      <w:r>
        <w:rPr>
          <w:sz w:val="21"/>
        </w:rPr>
        <w:t> </w:t>
      </w:r>
      <w:r>
        <w:rPr>
          <w:w w:val="100"/>
          <w:sz w:val="21"/>
        </w:rPr>
        <w:t>several</w:t>
      </w:r>
      <w:r>
        <w:rPr>
          <w:sz w:val="21"/>
        </w:rPr>
        <w:t> </w:t>
      </w:r>
      <w:r>
        <w:rPr>
          <w:w w:val="100"/>
          <w:sz w:val="21"/>
        </w:rPr>
        <w:t>centuries</w:t>
      </w:r>
      <w:r>
        <w:rPr>
          <w:sz w:val="21"/>
        </w:rPr>
        <w:t> </w:t>
      </w:r>
      <w:r>
        <w:rPr>
          <w:w w:val="100"/>
          <w:sz w:val="21"/>
        </w:rPr>
        <w:t>the</w:t>
      </w:r>
      <w:r>
        <w:rPr>
          <w:sz w:val="21"/>
        </w:rPr>
        <w:t> </w:t>
      </w:r>
      <w:r>
        <w:rPr>
          <w:w w:val="100"/>
          <w:sz w:val="21"/>
        </w:rPr>
        <w:t>revenues </w:t>
      </w:r>
      <w:r>
        <w:rPr>
          <w:sz w:val="21"/>
        </w:rPr>
        <w:t>of the temple seem to have but slightly, if at all, exceeded the outlay required to maintain its services, but recently these revenues have very largely increased. The law which protects the foundations against external violence guards it also internally against mal-administration, and regulates, conformable to the central principle of the institution, the use of its augmented funds.‖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pict>
          <v:rect style="position:absolute;margin-left:72.024002pt;margin-top:16.843946pt;width:144.020pt;height:.599980pt;mso-position-horizontal-relative:page;mso-position-vertical-relative:paragraph;z-index:-1570764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57</w:t>
      </w:r>
      <w:r>
        <w:rPr>
          <w:sz w:val="18"/>
          <w:vertAlign w:val="baseline"/>
        </w:rPr>
        <w:t> ILR (1888) 12 Bom 247</w:t>
      </w:r>
    </w:p>
    <w:p>
      <w:pPr>
        <w:spacing w:after="0"/>
        <w:jc w:val="left"/>
        <w:rPr>
          <w:sz w:val="18"/>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5" w:firstLine="0"/>
        <w:jc w:val="both"/>
        <w:rPr>
          <w:sz w:val="25"/>
        </w:rPr>
      </w:pPr>
      <w:r>
        <w:rPr>
          <w:sz w:val="25"/>
        </w:rPr>
        <w:t>The Hindu practice of dedicating properties to temples and idols had to be adjudicated upon by courts for the first time in the late nineteenth century. The doctrine that Hindu idols possess a distinct legal personality was adopted by English judges in India faced with the task of applying Hindu law to religious endowments. Property disputes arose and fuelled questions about the ownership of the properties. Two clear interests were recognised as subjects of legal protection. First, there existed the real possibility of maladministration by the shebaits (i.e. managers) where land endowed for a particular pious purpose, ordinarily to the worship of an idol, was poorly administered or even alienated. Second, where the land was dedicated to public worship, there existed the threat that access or other religious benefits would be denied to the public, in particular to the devotees. Where the original founder of the endowment was not alive and the shebait was not the owner of the lands, how were the courts (and through them the State) to give effect to the original dedication? To provide courts with a conceptual framework within which they could analyse and practically adjudicate upon disputes involving competing claims over endowed properties, courts recognised the legal personality of the Hindu idol. It was a legal innovation necessitated by historical circumstances, the gap in the existing law and by considerations of convenience. It had the added advantage of conferring legal personality on an object that within Hinduism had long been subject to personification. The exact contours of the legal personality so conferred are of relevance to the present case to which this judgement now</w:t>
      </w:r>
      <w:r>
        <w:rPr>
          <w:spacing w:val="-9"/>
          <w:sz w:val="25"/>
        </w:rPr>
        <w:t> </w:t>
      </w:r>
      <w:r>
        <w:rPr>
          <w:sz w:val="25"/>
        </w:rPr>
        <w:t>adverts.</w:t>
      </w:r>
    </w:p>
    <w:p>
      <w:pPr>
        <w:spacing w:after="0" w:line="480" w:lineRule="auto"/>
        <w:jc w:val="both"/>
        <w:rPr>
          <w:sz w:val="25"/>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7" w:firstLine="0"/>
        <w:jc w:val="both"/>
        <w:rPr>
          <w:sz w:val="25"/>
        </w:rPr>
      </w:pPr>
      <w:r>
        <w:rPr>
          <w:sz w:val="25"/>
        </w:rPr>
        <w:t>In conferring legal personality on the Hindu idol, courts drew inspiration from what they saw as factual parallels in Roman law. Justice B K Mukherjea summarises the</w:t>
      </w:r>
      <w:r>
        <w:rPr>
          <w:spacing w:val="-3"/>
          <w:sz w:val="25"/>
        </w:rPr>
        <w:t> </w:t>
      </w:r>
      <w:r>
        <w:rPr>
          <w:sz w:val="25"/>
        </w:rPr>
        <w:t>position:</w:t>
      </w:r>
    </w:p>
    <w:p>
      <w:pPr>
        <w:spacing w:line="276" w:lineRule="auto" w:before="0"/>
        <w:ind w:left="1940" w:right="2259" w:firstLine="0"/>
        <w:jc w:val="both"/>
        <w:rPr>
          <w:sz w:val="21"/>
        </w:rPr>
      </w:pPr>
      <w:r>
        <w:rPr>
          <w:spacing w:val="-1"/>
          <w:w w:val="33"/>
          <w:sz w:val="21"/>
        </w:rPr>
        <w:t>―</w:t>
      </w:r>
      <w:r>
        <w:rPr>
          <w:w w:val="100"/>
          <w:sz w:val="21"/>
        </w:rPr>
        <w:t>…</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15"/>
          <w:sz w:val="21"/>
        </w:rPr>
        <w:t> </w:t>
      </w:r>
      <w:r>
        <w:rPr>
          <w:spacing w:val="-2"/>
          <w:w w:val="100"/>
          <w:sz w:val="21"/>
        </w:rPr>
        <w:t>t</w:t>
      </w:r>
      <w:r>
        <w:rPr>
          <w:spacing w:val="-1"/>
          <w:w w:val="100"/>
          <w:sz w:val="21"/>
        </w:rPr>
        <w:t>h</w:t>
      </w:r>
      <w:r>
        <w:rPr>
          <w:w w:val="100"/>
          <w:sz w:val="21"/>
        </w:rPr>
        <w:t>e</w:t>
      </w:r>
      <w:r>
        <w:rPr>
          <w:sz w:val="21"/>
        </w:rPr>
        <w:t> </w:t>
      </w:r>
      <w:r>
        <w:rPr>
          <w:spacing w:val="-16"/>
          <w:sz w:val="21"/>
        </w:rPr>
        <w:t> </w:t>
      </w:r>
      <w:r>
        <w:rPr>
          <w:spacing w:val="1"/>
          <w:w w:val="100"/>
          <w:sz w:val="21"/>
        </w:rPr>
        <w:t>f</w:t>
      </w:r>
      <w:r>
        <w:rPr>
          <w:spacing w:val="-2"/>
          <w:w w:val="100"/>
          <w:sz w:val="21"/>
        </w:rPr>
        <w:t>i</w:t>
      </w:r>
      <w:r>
        <w:rPr>
          <w:spacing w:val="1"/>
          <w:w w:val="100"/>
          <w:sz w:val="21"/>
        </w:rPr>
        <w:t>f</w:t>
      </w:r>
      <w:r>
        <w:rPr>
          <w:spacing w:val="-2"/>
          <w:w w:val="100"/>
          <w:sz w:val="21"/>
        </w:rPr>
        <w:t>t</w:t>
      </w:r>
      <w:r>
        <w:rPr>
          <w:w w:val="100"/>
          <w:sz w:val="21"/>
        </w:rPr>
        <w:t>h</w:t>
      </w:r>
      <w:r>
        <w:rPr>
          <w:sz w:val="21"/>
        </w:rPr>
        <w:t> </w:t>
      </w:r>
      <w:r>
        <w:rPr>
          <w:spacing w:val="-14"/>
          <w:sz w:val="21"/>
        </w:rPr>
        <w:t> </w:t>
      </w:r>
      <w:r>
        <w:rPr>
          <w:spacing w:val="-3"/>
          <w:w w:val="100"/>
          <w:sz w:val="21"/>
        </w:rPr>
        <w:t>c</w:t>
      </w:r>
      <w:r>
        <w:rPr>
          <w:spacing w:val="-1"/>
          <w:w w:val="100"/>
          <w:sz w:val="21"/>
        </w:rPr>
        <w:t>entur</w:t>
      </w:r>
      <w:r>
        <w:rPr>
          <w:w w:val="100"/>
          <w:sz w:val="21"/>
        </w:rPr>
        <w:t>y</w:t>
      </w:r>
      <w:r>
        <w:rPr>
          <w:sz w:val="21"/>
        </w:rPr>
        <w:t> </w:t>
      </w:r>
      <w:r>
        <w:rPr>
          <w:spacing w:val="-17"/>
          <w:sz w:val="21"/>
        </w:rPr>
        <w:t> </w:t>
      </w:r>
      <w:r>
        <w:rPr>
          <w:spacing w:val="-1"/>
          <w:w w:val="100"/>
          <w:sz w:val="21"/>
        </w:rPr>
        <w:t>onward</w:t>
      </w:r>
      <w:r>
        <w:rPr>
          <w:w w:val="100"/>
          <w:sz w:val="21"/>
        </w:rPr>
        <w:t>s</w:t>
      </w:r>
      <w:r>
        <w:rPr>
          <w:sz w:val="21"/>
        </w:rPr>
        <w:t> </w:t>
      </w:r>
      <w:r>
        <w:rPr>
          <w:spacing w:val="-15"/>
          <w:sz w:val="21"/>
        </w:rPr>
        <w:t> </w:t>
      </w:r>
      <w:r>
        <w:rPr>
          <w:w w:val="100"/>
          <w:sz w:val="21"/>
        </w:rPr>
        <w:t>–</w:t>
      </w:r>
      <w:r>
        <w:rPr>
          <w:sz w:val="21"/>
        </w:rPr>
        <w:t> </w:t>
      </w:r>
      <w:r>
        <w:rPr>
          <w:spacing w:val="-16"/>
          <w:sz w:val="21"/>
        </w:rPr>
        <w:t> </w:t>
      </w:r>
      <w:r>
        <w:rPr>
          <w:spacing w:val="1"/>
          <w:w w:val="100"/>
          <w:sz w:val="21"/>
        </w:rPr>
        <w:t>f</w:t>
      </w:r>
      <w:r>
        <w:rPr>
          <w:w w:val="100"/>
          <w:sz w:val="21"/>
        </w:rPr>
        <w:t>o</w:t>
      </w:r>
      <w:r>
        <w:rPr>
          <w:spacing w:val="-3"/>
          <w:w w:val="100"/>
          <w:sz w:val="21"/>
        </w:rPr>
        <w:t>u</w:t>
      </w:r>
      <w:r>
        <w:rPr>
          <w:w w:val="100"/>
          <w:sz w:val="21"/>
        </w:rPr>
        <w:t>nda</w:t>
      </w:r>
      <w:r>
        <w:rPr>
          <w:spacing w:val="-3"/>
          <w:w w:val="100"/>
          <w:sz w:val="21"/>
        </w:rPr>
        <w:t>t</w:t>
      </w:r>
      <w:r>
        <w:rPr>
          <w:w w:val="100"/>
          <w:sz w:val="21"/>
        </w:rPr>
        <w:t>i</w:t>
      </w:r>
      <w:r>
        <w:rPr>
          <w:w w:val="100"/>
          <w:sz w:val="21"/>
        </w:rPr>
        <w:t>ons</w:t>
      </w:r>
      <w:r>
        <w:rPr>
          <w:sz w:val="21"/>
        </w:rPr>
        <w:t> </w:t>
      </w:r>
      <w:r>
        <w:rPr>
          <w:spacing w:val="-16"/>
          <w:sz w:val="21"/>
        </w:rPr>
        <w:t> </w:t>
      </w:r>
      <w:r>
        <w:rPr>
          <w:spacing w:val="-3"/>
          <w:w w:val="100"/>
          <w:sz w:val="21"/>
        </w:rPr>
        <w:t>c</w:t>
      </w:r>
      <w:r>
        <w:rPr>
          <w:spacing w:val="-1"/>
          <w:w w:val="100"/>
          <w:sz w:val="21"/>
        </w:rPr>
        <w:t>r</w:t>
      </w:r>
      <w:r>
        <w:rPr>
          <w:w w:val="100"/>
          <w:sz w:val="21"/>
        </w:rPr>
        <w:t>ea</w:t>
      </w:r>
      <w:r>
        <w:rPr>
          <w:spacing w:val="-1"/>
          <w:w w:val="100"/>
          <w:sz w:val="21"/>
        </w:rPr>
        <w:t>t</w:t>
      </w:r>
      <w:r>
        <w:rPr>
          <w:w w:val="100"/>
          <w:sz w:val="21"/>
        </w:rPr>
        <w:t>ed</w:t>
      </w:r>
      <w:r>
        <w:rPr>
          <w:sz w:val="21"/>
        </w:rPr>
        <w:t> </w:t>
      </w:r>
      <w:r>
        <w:rPr>
          <w:spacing w:val="-14"/>
          <w:sz w:val="21"/>
        </w:rPr>
        <w:t> </w:t>
      </w:r>
      <w:r>
        <w:rPr>
          <w:w w:val="100"/>
          <w:sz w:val="21"/>
        </w:rPr>
        <w:t>by </w:t>
      </w:r>
      <w:r>
        <w:rPr>
          <w:sz w:val="21"/>
        </w:rPr>
        <w:t>individuals came to be recognised as foundations in the true legal sense, but only if they took the form of </w:t>
      </w:r>
      <w:r>
        <w:rPr>
          <w:i/>
          <w:sz w:val="21"/>
        </w:rPr>
        <w:t>Pia Causa</w:t>
      </w:r>
      <w:r>
        <w:rPr>
          <w:sz w:val="21"/>
        </w:rPr>
        <w:t>, i.e., </w:t>
      </w:r>
      <w:r>
        <w:rPr>
          <w:spacing w:val="-2"/>
          <w:w w:val="100"/>
          <w:sz w:val="21"/>
        </w:rPr>
        <w:t>w</w:t>
      </w:r>
      <w:r>
        <w:rPr>
          <w:spacing w:val="-1"/>
          <w:w w:val="100"/>
          <w:sz w:val="21"/>
        </w:rPr>
        <w:t>er</w:t>
      </w:r>
      <w:r>
        <w:rPr>
          <w:w w:val="100"/>
          <w:sz w:val="21"/>
        </w:rPr>
        <w:t>e</w:t>
      </w:r>
      <w:r>
        <w:rPr>
          <w:sz w:val="21"/>
        </w:rPr>
        <w:t> </w:t>
      </w:r>
      <w:r>
        <w:rPr>
          <w:spacing w:val="7"/>
          <w:sz w:val="21"/>
        </w:rPr>
        <w:t> </w:t>
      </w:r>
      <w:r>
        <w:rPr>
          <w:spacing w:val="-1"/>
          <w:w w:val="100"/>
          <w:sz w:val="21"/>
        </w:rPr>
        <w:t>de</w:t>
      </w:r>
      <w:r>
        <w:rPr>
          <w:spacing w:val="-3"/>
          <w:w w:val="100"/>
          <w:sz w:val="21"/>
        </w:rPr>
        <w:t>v</w:t>
      </w:r>
      <w:r>
        <w:rPr>
          <w:spacing w:val="-1"/>
          <w:w w:val="100"/>
          <w:sz w:val="21"/>
        </w:rPr>
        <w:t>ote</w:t>
      </w:r>
      <w:r>
        <w:rPr>
          <w:w w:val="100"/>
          <w:sz w:val="21"/>
        </w:rPr>
        <w:t>d</w:t>
      </w:r>
      <w:r>
        <w:rPr>
          <w:sz w:val="21"/>
        </w:rPr>
        <w:t> </w:t>
      </w:r>
      <w:r>
        <w:rPr>
          <w:spacing w:val="8"/>
          <w:sz w:val="21"/>
        </w:rPr>
        <w:t> </w:t>
      </w:r>
      <w:r>
        <w:rPr>
          <w:spacing w:val="-2"/>
          <w:w w:val="100"/>
          <w:sz w:val="21"/>
        </w:rPr>
        <w:t>t</w:t>
      </w:r>
      <w:r>
        <w:rPr>
          <w:w w:val="100"/>
          <w:sz w:val="21"/>
        </w:rPr>
        <w:t>o</w:t>
      </w:r>
      <w:r>
        <w:rPr>
          <w:sz w:val="21"/>
        </w:rPr>
        <w:t> </w:t>
      </w:r>
      <w:r>
        <w:rPr>
          <w:spacing w:val="8"/>
          <w:sz w:val="21"/>
        </w:rPr>
        <w:t> </w:t>
      </w:r>
      <w:r>
        <w:rPr>
          <w:w w:val="40"/>
          <w:sz w:val="21"/>
        </w:rPr>
        <w:t>‗</w:t>
      </w:r>
      <w:r>
        <w:rPr>
          <w:spacing w:val="-3"/>
          <w:w w:val="100"/>
          <w:sz w:val="21"/>
        </w:rPr>
        <w:t>p</w:t>
      </w:r>
      <w:r>
        <w:rPr>
          <w:w w:val="100"/>
          <w:sz w:val="21"/>
        </w:rPr>
        <w:t>i</w:t>
      </w:r>
      <w:r>
        <w:rPr>
          <w:spacing w:val="-1"/>
          <w:w w:val="100"/>
          <w:sz w:val="21"/>
        </w:rPr>
        <w:t>o</w:t>
      </w:r>
      <w:r>
        <w:rPr>
          <w:spacing w:val="-3"/>
          <w:w w:val="100"/>
          <w:sz w:val="21"/>
        </w:rPr>
        <w:t>u</w:t>
      </w:r>
      <w:r>
        <w:rPr>
          <w:w w:val="100"/>
          <w:sz w:val="21"/>
        </w:rPr>
        <w:t>s</w:t>
      </w:r>
      <w:r>
        <w:rPr>
          <w:sz w:val="21"/>
        </w:rPr>
        <w:t> </w:t>
      </w:r>
      <w:r>
        <w:rPr>
          <w:spacing w:val="7"/>
          <w:sz w:val="21"/>
        </w:rPr>
        <w:t> </w:t>
      </w:r>
      <w:r>
        <w:rPr>
          <w:spacing w:val="-1"/>
          <w:w w:val="100"/>
          <w:sz w:val="21"/>
        </w:rPr>
        <w:t>use</w:t>
      </w:r>
      <w:r>
        <w:rPr>
          <w:spacing w:val="-3"/>
          <w:w w:val="100"/>
          <w:sz w:val="21"/>
        </w:rPr>
        <w:t>s</w:t>
      </w:r>
      <w:r>
        <w:rPr>
          <w:w w:val="100"/>
          <w:sz w:val="21"/>
        </w:rPr>
        <w:t>‘</w:t>
      </w:r>
      <w:r>
        <w:rPr>
          <w:sz w:val="21"/>
        </w:rPr>
        <w:t> </w:t>
      </w:r>
      <w:r>
        <w:rPr>
          <w:spacing w:val="8"/>
          <w:sz w:val="21"/>
        </w:rPr>
        <w:t> </w:t>
      </w:r>
      <w:r>
        <w:rPr>
          <w:spacing w:val="-1"/>
          <w:w w:val="100"/>
          <w:sz w:val="21"/>
        </w:rPr>
        <w:t>o</w:t>
      </w:r>
      <w:r>
        <w:rPr>
          <w:spacing w:val="-3"/>
          <w:w w:val="100"/>
          <w:sz w:val="21"/>
        </w:rPr>
        <w:t>n</w:t>
      </w:r>
      <w:r>
        <w:rPr>
          <w:w w:val="100"/>
          <w:sz w:val="21"/>
        </w:rPr>
        <w:t>l</w:t>
      </w:r>
      <w:r>
        <w:rPr>
          <w:spacing w:val="-3"/>
          <w:w w:val="100"/>
          <w:sz w:val="21"/>
        </w:rPr>
        <w:t>y</w:t>
      </w:r>
      <w:r>
        <w:rPr>
          <w:w w:val="100"/>
          <w:sz w:val="21"/>
        </w:rPr>
        <w:t>,</w:t>
      </w:r>
      <w:r>
        <w:rPr>
          <w:sz w:val="21"/>
        </w:rPr>
        <w:t> </w:t>
      </w:r>
      <w:r>
        <w:rPr>
          <w:spacing w:val="6"/>
          <w:sz w:val="21"/>
        </w:rPr>
        <w:t> </w:t>
      </w:r>
      <w:r>
        <w:rPr>
          <w:w w:val="100"/>
          <w:sz w:val="21"/>
        </w:rPr>
        <w:t>in</w:t>
      </w:r>
      <w:r>
        <w:rPr>
          <w:sz w:val="21"/>
        </w:rPr>
        <w:t> </w:t>
      </w:r>
      <w:r>
        <w:rPr>
          <w:spacing w:val="8"/>
          <w:sz w:val="21"/>
        </w:rPr>
        <w:t> </w:t>
      </w:r>
      <w:r>
        <w:rPr>
          <w:w w:val="100"/>
          <w:sz w:val="21"/>
        </w:rPr>
        <w:t>shor</w:t>
      </w:r>
      <w:r>
        <w:rPr>
          <w:spacing w:val="-2"/>
          <w:w w:val="100"/>
          <w:sz w:val="21"/>
        </w:rPr>
        <w:t>t</w:t>
      </w:r>
      <w:r>
        <w:rPr>
          <w:w w:val="100"/>
          <w:sz w:val="21"/>
        </w:rPr>
        <w:t>,</w:t>
      </w:r>
      <w:r>
        <w:rPr>
          <w:sz w:val="21"/>
        </w:rPr>
        <w:t> </w:t>
      </w:r>
      <w:r>
        <w:rPr>
          <w:spacing w:val="6"/>
          <w:sz w:val="21"/>
        </w:rPr>
        <w:t> </w:t>
      </w:r>
      <w:r>
        <w:rPr>
          <w:w w:val="100"/>
          <w:sz w:val="21"/>
        </w:rPr>
        <w:t>if</w:t>
      </w:r>
      <w:r>
        <w:rPr>
          <w:sz w:val="21"/>
        </w:rPr>
        <w:t> </w:t>
      </w:r>
      <w:r>
        <w:rPr>
          <w:spacing w:val="9"/>
          <w:sz w:val="21"/>
        </w:rPr>
        <w:t> </w:t>
      </w:r>
      <w:r>
        <w:rPr>
          <w:spacing w:val="-4"/>
          <w:w w:val="100"/>
          <w:sz w:val="21"/>
        </w:rPr>
        <w:t>t</w:t>
      </w:r>
      <w:r>
        <w:rPr>
          <w:spacing w:val="-1"/>
          <w:w w:val="100"/>
          <w:sz w:val="21"/>
        </w:rPr>
        <w:t>he</w:t>
      </w:r>
      <w:r>
        <w:rPr>
          <w:w w:val="100"/>
          <w:sz w:val="21"/>
        </w:rPr>
        <w:t>y</w:t>
      </w:r>
      <w:r>
        <w:rPr>
          <w:sz w:val="21"/>
        </w:rPr>
        <w:t> </w:t>
      </w:r>
      <w:r>
        <w:rPr>
          <w:spacing w:val="5"/>
          <w:sz w:val="21"/>
        </w:rPr>
        <w:t> </w:t>
      </w:r>
      <w:r>
        <w:rPr>
          <w:spacing w:val="-2"/>
          <w:w w:val="100"/>
          <w:sz w:val="21"/>
        </w:rPr>
        <w:t>w</w:t>
      </w:r>
      <w:r>
        <w:rPr>
          <w:spacing w:val="-1"/>
          <w:w w:val="100"/>
          <w:sz w:val="21"/>
        </w:rPr>
        <w:t>ere </w:t>
      </w:r>
      <w:r>
        <w:rPr>
          <w:sz w:val="21"/>
        </w:rPr>
        <w:t>charitable institutions. </w:t>
      </w:r>
      <w:r>
        <w:rPr>
          <w:b/>
          <w:sz w:val="21"/>
        </w:rPr>
        <w:t>Whenever a person dedicated property whether by gift </w:t>
      </w:r>
      <w:r>
        <w:rPr>
          <w:b/>
          <w:i/>
          <w:sz w:val="21"/>
        </w:rPr>
        <w:t>inter vivos </w:t>
      </w:r>
      <w:r>
        <w:rPr>
          <w:b/>
          <w:sz w:val="21"/>
        </w:rPr>
        <w:t>or by will – in favour of the poor or the sick, or prisoners or orphans, or aged people, he thereby created </w:t>
      </w:r>
      <w:r>
        <w:rPr>
          <w:b/>
          <w:i/>
          <w:sz w:val="21"/>
        </w:rPr>
        <w:t>ipso facto </w:t>
      </w:r>
      <w:r>
        <w:rPr>
          <w:b/>
          <w:sz w:val="21"/>
        </w:rPr>
        <w:t>a new subject of legal rights </w:t>
      </w:r>
      <w:r>
        <w:rPr>
          <w:sz w:val="21"/>
        </w:rPr>
        <w:t>– the poor house, the hospital and so forth and the dedicated property became the sole property of the new subject – it </w:t>
      </w:r>
      <w:r>
        <w:rPr>
          <w:b/>
          <w:sz w:val="21"/>
        </w:rPr>
        <w:t>became the property of the new juristic person whom the founder had called into</w:t>
      </w:r>
      <w:r>
        <w:rPr>
          <w:b/>
          <w:spacing w:val="-7"/>
          <w:sz w:val="21"/>
        </w:rPr>
        <w:t> </w:t>
      </w:r>
      <w:r>
        <w:rPr>
          <w:b/>
          <w:sz w:val="21"/>
        </w:rPr>
        <w:t>being</w:t>
      </w:r>
      <w:r>
        <w:rPr>
          <w:sz w:val="21"/>
        </w:rPr>
        <w:t>.</w:t>
      </w:r>
    </w:p>
    <w:p>
      <w:pPr>
        <w:spacing w:line="241" w:lineRule="exact" w:before="0"/>
        <w:ind w:left="1940" w:right="0" w:firstLine="0"/>
        <w:jc w:val="left"/>
        <w:rPr>
          <w:sz w:val="21"/>
        </w:rPr>
      </w:pPr>
      <w:r>
        <w:rPr>
          <w:w w:val="100"/>
          <w:sz w:val="21"/>
        </w:rPr>
        <w:t>…</w:t>
      </w:r>
    </w:p>
    <w:p>
      <w:pPr>
        <w:spacing w:line="276" w:lineRule="auto" w:before="36"/>
        <w:ind w:left="1940" w:right="2259" w:firstLine="0"/>
        <w:jc w:val="both"/>
        <w:rPr>
          <w:sz w:val="21"/>
        </w:rPr>
      </w:pPr>
      <w:r>
        <w:rPr>
          <w:sz w:val="21"/>
        </w:rPr>
        <w:t>1…A private person might make over property by way of legacy or gift to a corporation already in existence and might, at the same time, prescribe the particular purpose for which the property was to be employed, e.g., feeding the poor, or giving relief to the sick or distressed. The receiving corporation would be in the position of a trustee and would be legally bound to spend the funds for the particular purpose. </w:t>
      </w:r>
      <w:r>
        <w:rPr>
          <w:b/>
          <w:sz w:val="21"/>
        </w:rPr>
        <w:t>The other alternative was for the donor himself to create an institution or foundation. This would be a new juristic person, which depended on its origin on nothing else but the will of the founder, provided it was directed a charitable purpose. The foundation would be the owner of the dedicated property, </w:t>
      </w:r>
      <w:r>
        <w:rPr>
          <w:sz w:val="21"/>
        </w:rPr>
        <w:t>and the administrators would be the</w:t>
      </w:r>
      <w:r>
        <w:rPr>
          <w:spacing w:val="-5"/>
          <w:sz w:val="21"/>
        </w:rPr>
        <w:t> </w:t>
      </w:r>
      <w:r>
        <w:rPr>
          <w:sz w:val="21"/>
        </w:rPr>
        <w:t>trustees</w:t>
      </w:r>
      <w:r>
        <w:rPr>
          <w:spacing w:val="-4"/>
          <w:sz w:val="21"/>
        </w:rPr>
        <w:t> </w:t>
      </w:r>
      <w:r>
        <w:rPr>
          <w:sz w:val="21"/>
        </w:rPr>
        <w:t>bound</w:t>
      </w:r>
      <w:r>
        <w:rPr>
          <w:spacing w:val="-5"/>
          <w:sz w:val="21"/>
        </w:rPr>
        <w:t> </w:t>
      </w:r>
      <w:r>
        <w:rPr>
          <w:sz w:val="21"/>
        </w:rPr>
        <w:t>to</w:t>
      </w:r>
      <w:r>
        <w:rPr>
          <w:spacing w:val="-4"/>
          <w:sz w:val="21"/>
        </w:rPr>
        <w:t> </w:t>
      </w:r>
      <w:r>
        <w:rPr>
          <w:sz w:val="21"/>
        </w:rPr>
        <w:t>carry</w:t>
      </w:r>
      <w:r>
        <w:rPr>
          <w:spacing w:val="-7"/>
          <w:sz w:val="21"/>
        </w:rPr>
        <w:t> </w:t>
      </w:r>
      <w:r>
        <w:rPr>
          <w:sz w:val="21"/>
        </w:rPr>
        <w:t>out</w:t>
      </w:r>
      <w:r>
        <w:rPr>
          <w:spacing w:val="-6"/>
          <w:sz w:val="21"/>
        </w:rPr>
        <w:t> </w:t>
      </w:r>
      <w:r>
        <w:rPr>
          <w:sz w:val="21"/>
        </w:rPr>
        <w:t>the</w:t>
      </w:r>
      <w:r>
        <w:rPr>
          <w:spacing w:val="-4"/>
          <w:sz w:val="21"/>
        </w:rPr>
        <w:t> </w:t>
      </w:r>
      <w:r>
        <w:rPr>
          <w:sz w:val="21"/>
        </w:rPr>
        <w:t>object</w:t>
      </w:r>
      <w:r>
        <w:rPr>
          <w:spacing w:val="-6"/>
          <w:sz w:val="21"/>
        </w:rPr>
        <w:t> </w:t>
      </w:r>
      <w:r>
        <w:rPr>
          <w:sz w:val="21"/>
        </w:rPr>
        <w:t>of</w:t>
      </w:r>
      <w:r>
        <w:rPr>
          <w:spacing w:val="-3"/>
          <w:sz w:val="21"/>
        </w:rPr>
        <w:t> </w:t>
      </w:r>
      <w:r>
        <w:rPr>
          <w:sz w:val="21"/>
        </w:rPr>
        <w:t>the</w:t>
      </w:r>
      <w:r>
        <w:rPr>
          <w:spacing w:val="-6"/>
          <w:sz w:val="21"/>
        </w:rPr>
        <w:t> </w:t>
      </w:r>
      <w:r>
        <w:rPr>
          <w:sz w:val="21"/>
        </w:rPr>
        <w:t>foundation.‖</w:t>
      </w:r>
      <w:r>
        <w:rPr>
          <w:sz w:val="21"/>
          <w:vertAlign w:val="superscript"/>
        </w:rPr>
        <w:t>58</w:t>
      </w:r>
    </w:p>
    <w:p>
      <w:pPr>
        <w:spacing w:before="1"/>
        <w:ind w:left="5798" w:right="0" w:firstLine="0"/>
        <w:jc w:val="both"/>
        <w:rPr>
          <w:sz w:val="21"/>
        </w:rPr>
      </w:pPr>
      <w:r>
        <w:rPr>
          <w:sz w:val="21"/>
        </w:rPr>
        <w:t>(Emphasis supplied)</w:t>
      </w:r>
    </w:p>
    <w:p>
      <w:pPr>
        <w:pStyle w:val="BodyText"/>
        <w:rPr>
          <w:sz w:val="24"/>
        </w:rPr>
      </w:pPr>
    </w:p>
    <w:p>
      <w:pPr>
        <w:pStyle w:val="BodyText"/>
        <w:spacing w:before="2"/>
        <w:rPr>
          <w:sz w:val="29"/>
        </w:rPr>
      </w:pPr>
    </w:p>
    <w:p>
      <w:pPr>
        <w:pStyle w:val="BodyText"/>
        <w:spacing w:line="480" w:lineRule="auto"/>
        <w:ind w:left="500" w:right="441"/>
        <w:jc w:val="both"/>
      </w:pPr>
      <w:r>
        <w:rPr/>
        <w:pict>
          <v:rect style="position:absolute;margin-left:72.024002pt;margin-top:167.624863pt;width:144.020pt;height:.599980pt;mso-position-horizontal-relative:page;mso-position-vertical-relative:paragraph;z-index:-23902720" filled="true" fillcolor="#000000" stroked="false">
            <v:fill type="solid"/>
            <w10:wrap type="none"/>
          </v:rect>
        </w:pict>
      </w:r>
      <w:r>
        <w:rPr/>
        <w:t>In Roman law, where property was dedicated to a particular religious or charitable purpose and not to an identified donee, the religious/charitable </w:t>
      </w:r>
      <w:r>
        <w:rPr>
          <w:b/>
        </w:rPr>
        <w:t>purpose </w:t>
      </w:r>
      <w:r>
        <w:rPr/>
        <w:t>itself was elevated to the status of a legal foundation. The foundation was a separate legal entity and came to own the dedicated property. Hindu law does not make a distinction between religious and charitable purposes. However, a clear parallel exists in the case of Hindu endowments.</w:t>
      </w:r>
    </w:p>
    <w:p>
      <w:pPr>
        <w:spacing w:before="22"/>
        <w:ind w:left="500" w:right="512" w:firstLine="0"/>
        <w:jc w:val="left"/>
        <w:rPr>
          <w:sz w:val="18"/>
        </w:rPr>
      </w:pPr>
      <w:r>
        <w:rPr>
          <w:sz w:val="18"/>
          <w:vertAlign w:val="superscript"/>
        </w:rPr>
        <w:t>58</w:t>
      </w:r>
      <w:r>
        <w:rPr>
          <w:sz w:val="18"/>
          <w:vertAlign w:val="baseline"/>
        </w:rPr>
        <w:t> B.K. Mukherjea, The Hindu Law of Religious and Charitable Trust, 5</w:t>
      </w:r>
      <w:r>
        <w:rPr>
          <w:sz w:val="18"/>
          <w:vertAlign w:val="superscript"/>
        </w:rPr>
        <w:t>th</w:t>
      </w:r>
      <w:r>
        <w:rPr>
          <w:sz w:val="18"/>
          <w:vertAlign w:val="baseline"/>
        </w:rPr>
        <w:t> Edition, Eastern Law House (1983) at page 9</w:t>
      </w:r>
    </w:p>
    <w:p>
      <w:pPr>
        <w:spacing w:after="0"/>
        <w:jc w:val="left"/>
        <w:rPr>
          <w:sz w:val="18"/>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1" w:after="0"/>
        <w:ind w:left="500" w:right="435" w:firstLine="0"/>
        <w:jc w:val="both"/>
        <w:rPr>
          <w:sz w:val="25"/>
        </w:rPr>
      </w:pPr>
      <w:r>
        <w:rPr>
          <w:sz w:val="25"/>
        </w:rPr>
        <w:t>In </w:t>
      </w:r>
      <w:r>
        <w:rPr>
          <w:b/>
          <w:sz w:val="25"/>
        </w:rPr>
        <w:t>Manohar Ganesh Tambekar</w:t>
      </w:r>
      <w:r>
        <w:rPr>
          <w:sz w:val="25"/>
        </w:rPr>
        <w:t>, the Division Bench of the Bombay High Court set out the rationale for and the process by which legal personality is conferred on a Hindu idol. Justice West</w:t>
      </w:r>
      <w:r>
        <w:rPr>
          <w:spacing w:val="-9"/>
          <w:sz w:val="25"/>
        </w:rPr>
        <w:t> </w:t>
      </w:r>
      <w:r>
        <w:rPr>
          <w:sz w:val="25"/>
        </w:rPr>
        <w:t>observes:</w:t>
      </w:r>
    </w:p>
    <w:p>
      <w:pPr>
        <w:spacing w:line="276" w:lineRule="auto" w:before="2"/>
        <w:ind w:left="1940" w:right="2256" w:firstLine="0"/>
        <w:jc w:val="both"/>
        <w:rPr>
          <w:sz w:val="21"/>
        </w:rPr>
      </w:pPr>
      <w:r>
        <w:rPr>
          <w:w w:val="33"/>
          <w:sz w:val="21"/>
        </w:rPr>
        <w:t>―</w:t>
      </w:r>
      <w:r>
        <w:rPr>
          <w:w w:val="100"/>
          <w:sz w:val="21"/>
        </w:rPr>
        <w:t>The</w:t>
      </w:r>
      <w:r>
        <w:rPr>
          <w:sz w:val="21"/>
        </w:rPr>
        <w:t> </w:t>
      </w:r>
      <w:r>
        <w:rPr>
          <w:w w:val="100"/>
          <w:sz w:val="21"/>
        </w:rPr>
        <w:t>Hindu</w:t>
      </w:r>
      <w:r>
        <w:rPr>
          <w:sz w:val="21"/>
        </w:rPr>
        <w:t> </w:t>
      </w:r>
      <w:r>
        <w:rPr>
          <w:w w:val="100"/>
          <w:sz w:val="21"/>
        </w:rPr>
        <w:t>law,</w:t>
      </w:r>
      <w:r>
        <w:rPr>
          <w:sz w:val="21"/>
        </w:rPr>
        <w:t> </w:t>
      </w:r>
      <w:r>
        <w:rPr>
          <w:w w:val="100"/>
          <w:sz w:val="21"/>
        </w:rPr>
        <w:t>like</w:t>
      </w:r>
      <w:r>
        <w:rPr>
          <w:sz w:val="21"/>
        </w:rPr>
        <w:t> </w:t>
      </w:r>
      <w:r>
        <w:rPr>
          <w:w w:val="100"/>
          <w:sz w:val="21"/>
        </w:rPr>
        <w:t>the</w:t>
      </w:r>
      <w:r>
        <w:rPr>
          <w:sz w:val="21"/>
        </w:rPr>
        <w:t> </w:t>
      </w:r>
      <w:r>
        <w:rPr>
          <w:w w:val="100"/>
          <w:sz w:val="21"/>
        </w:rPr>
        <w:t>Roman</w:t>
      </w:r>
      <w:r>
        <w:rPr>
          <w:sz w:val="21"/>
        </w:rPr>
        <w:t> </w:t>
      </w:r>
      <w:r>
        <w:rPr>
          <w:w w:val="100"/>
          <w:sz w:val="21"/>
        </w:rPr>
        <w:t>law</w:t>
      </w:r>
      <w:r>
        <w:rPr>
          <w:sz w:val="21"/>
        </w:rPr>
        <w:t> </w:t>
      </w:r>
      <w:r>
        <w:rPr>
          <w:w w:val="100"/>
          <w:sz w:val="21"/>
        </w:rPr>
        <w:t>and</w:t>
      </w:r>
      <w:r>
        <w:rPr>
          <w:sz w:val="21"/>
        </w:rPr>
        <w:t> </w:t>
      </w:r>
      <w:r>
        <w:rPr>
          <w:w w:val="100"/>
          <w:sz w:val="21"/>
        </w:rPr>
        <w:t>those</w:t>
      </w:r>
      <w:r>
        <w:rPr>
          <w:sz w:val="21"/>
        </w:rPr>
        <w:t> </w:t>
      </w:r>
      <w:r>
        <w:rPr>
          <w:w w:val="100"/>
          <w:sz w:val="21"/>
        </w:rPr>
        <w:t>derived</w:t>
      </w:r>
      <w:r>
        <w:rPr>
          <w:sz w:val="21"/>
        </w:rPr>
        <w:t> </w:t>
      </w:r>
      <w:r>
        <w:rPr>
          <w:w w:val="100"/>
          <w:sz w:val="21"/>
        </w:rPr>
        <w:t>from</w:t>
      </w:r>
      <w:r>
        <w:rPr>
          <w:sz w:val="21"/>
        </w:rPr>
        <w:t> </w:t>
      </w:r>
      <w:r>
        <w:rPr>
          <w:w w:val="100"/>
          <w:sz w:val="21"/>
        </w:rPr>
        <w:t>it, </w:t>
      </w:r>
      <w:r>
        <w:rPr>
          <w:sz w:val="21"/>
        </w:rPr>
        <w:t>recognizes, not only corporate bodies with rights of property vested in the corporation apart from its individual members, but also juridical persons or subjects called foundations. </w:t>
      </w:r>
      <w:r>
        <w:rPr>
          <w:b/>
          <w:sz w:val="21"/>
        </w:rPr>
        <w:t>A Hindu, who wishes to establish a religious or charitable institution, may, according to his law, express his purpose and endow </w:t>
      </w:r>
      <w:r>
        <w:rPr>
          <w:b/>
          <w:sz w:val="21"/>
          <w:u w:val="thick"/>
        </w:rPr>
        <w:t>it</w:t>
      </w:r>
      <w:r>
        <w:rPr>
          <w:b/>
          <w:sz w:val="21"/>
        </w:rPr>
        <w:t>, and the ruler will give effect to the bounty </w:t>
      </w:r>
      <w:r>
        <w:rPr>
          <w:sz w:val="21"/>
        </w:rPr>
        <w:t>… </w:t>
      </w:r>
      <w:r>
        <w:rPr>
          <w:b/>
          <w:sz w:val="21"/>
        </w:rPr>
        <w:t>A trust is not required for this purpose: the necessity of a trust in such a case is indeed a peculiarity and a modern peculiarity of the English law. </w:t>
      </w:r>
      <w:r>
        <w:rPr>
          <w:sz w:val="21"/>
        </w:rPr>
        <w:t>In early times </w:t>
      </w:r>
      <w:r>
        <w:rPr>
          <w:w w:val="100"/>
          <w:sz w:val="21"/>
        </w:rPr>
        <w:t>a</w:t>
      </w:r>
      <w:r>
        <w:rPr>
          <w:sz w:val="21"/>
        </w:rPr>
        <w:t>  </w:t>
      </w:r>
      <w:r>
        <w:rPr>
          <w:w w:val="100"/>
          <w:sz w:val="21"/>
        </w:rPr>
        <w:t>gift</w:t>
      </w:r>
      <w:r>
        <w:rPr>
          <w:sz w:val="21"/>
        </w:rPr>
        <w:t>  </w:t>
      </w:r>
      <w:r>
        <w:rPr>
          <w:w w:val="100"/>
          <w:sz w:val="21"/>
        </w:rPr>
        <w:t>placed,</w:t>
      </w:r>
      <w:r>
        <w:rPr>
          <w:sz w:val="21"/>
        </w:rPr>
        <w:t>  </w:t>
      </w:r>
      <w:r>
        <w:rPr>
          <w:w w:val="100"/>
          <w:sz w:val="21"/>
        </w:rPr>
        <w:t>as</w:t>
      </w:r>
      <w:r>
        <w:rPr>
          <w:sz w:val="21"/>
        </w:rPr>
        <w:t>  </w:t>
      </w:r>
      <w:r>
        <w:rPr>
          <w:w w:val="100"/>
          <w:sz w:val="21"/>
        </w:rPr>
        <w:t>it</w:t>
      </w:r>
      <w:r>
        <w:rPr>
          <w:sz w:val="21"/>
        </w:rPr>
        <w:t>  </w:t>
      </w:r>
      <w:r>
        <w:rPr>
          <w:w w:val="100"/>
          <w:sz w:val="21"/>
        </w:rPr>
        <w:t>was</w:t>
      </w:r>
      <w:r>
        <w:rPr>
          <w:sz w:val="21"/>
        </w:rPr>
        <w:t>  </w:t>
      </w:r>
      <w:r>
        <w:rPr>
          <w:w w:val="100"/>
          <w:sz w:val="21"/>
        </w:rPr>
        <w:t>expressed,</w:t>
      </w:r>
      <w:r>
        <w:rPr>
          <w:sz w:val="21"/>
        </w:rPr>
        <w:t>  </w:t>
      </w:r>
      <w:r>
        <w:rPr>
          <w:w w:val="33"/>
          <w:sz w:val="21"/>
        </w:rPr>
        <w:t>―</w:t>
      </w:r>
      <w:r>
        <w:rPr>
          <w:w w:val="100"/>
          <w:sz w:val="21"/>
        </w:rPr>
        <w:t>on</w:t>
      </w:r>
      <w:r>
        <w:rPr>
          <w:sz w:val="21"/>
        </w:rPr>
        <w:t>  </w:t>
      </w:r>
      <w:r>
        <w:rPr>
          <w:w w:val="100"/>
          <w:sz w:val="21"/>
        </w:rPr>
        <w:t>the</w:t>
      </w:r>
      <w:r>
        <w:rPr>
          <w:sz w:val="21"/>
        </w:rPr>
        <w:t>  </w:t>
      </w:r>
      <w:r>
        <w:rPr>
          <w:w w:val="100"/>
          <w:sz w:val="21"/>
        </w:rPr>
        <w:t>altar</w:t>
      </w:r>
      <w:r>
        <w:rPr>
          <w:sz w:val="21"/>
        </w:rPr>
        <w:t>  </w:t>
      </w:r>
      <w:r>
        <w:rPr>
          <w:w w:val="100"/>
          <w:sz w:val="21"/>
        </w:rPr>
        <w:t>of</w:t>
      </w:r>
      <w:r>
        <w:rPr>
          <w:sz w:val="21"/>
        </w:rPr>
        <w:t>  </w:t>
      </w:r>
      <w:r>
        <w:rPr>
          <w:w w:val="100"/>
          <w:sz w:val="21"/>
        </w:rPr>
        <w:t>God </w:t>
      </w:r>
      <w:r>
        <w:rPr>
          <w:sz w:val="21"/>
        </w:rPr>
        <w:t>sufficed to convey to the church the lands thus dedicated.</w:t>
      </w:r>
    </w:p>
    <w:p>
      <w:pPr>
        <w:spacing w:line="241" w:lineRule="exact" w:before="0"/>
        <w:ind w:left="1940" w:right="0" w:firstLine="0"/>
        <w:jc w:val="left"/>
        <w:rPr>
          <w:sz w:val="21"/>
        </w:rPr>
      </w:pPr>
      <w:r>
        <w:rPr>
          <w:w w:val="100"/>
          <w:sz w:val="21"/>
        </w:rPr>
        <w:t>…</w:t>
      </w:r>
    </w:p>
    <w:p>
      <w:pPr>
        <w:spacing w:line="276" w:lineRule="auto" w:before="37"/>
        <w:ind w:left="1940" w:right="2260" w:firstLine="0"/>
        <w:jc w:val="both"/>
        <w:rPr>
          <w:sz w:val="21"/>
        </w:rPr>
      </w:pPr>
      <w:r>
        <w:rPr>
          <w:sz w:val="21"/>
        </w:rPr>
        <w:t>Such a practical realism is not confined to the sphere of law; it is made use of even by merchants in their accounts, and by furnishing an ideal centre for an institution to which the necessary human attributes are ascribed. … </w:t>
      </w:r>
      <w:r>
        <w:rPr>
          <w:b/>
          <w:sz w:val="21"/>
        </w:rPr>
        <w:t>But if there is a juridical person, the ideal embodiment of a pious or benevolent idea as the centre of the foundation, this artificial subject of rights is as capable of taking offerings of cash and jewels as of land. </w:t>
      </w:r>
      <w:r>
        <w:rPr>
          <w:sz w:val="21"/>
        </w:rPr>
        <w:t>Those who take physical possession of the one as of the other kind of property incur thereby a responsibility for its due application to the purposes of the foundation.</w:t>
      </w:r>
    </w:p>
    <w:p>
      <w:pPr>
        <w:spacing w:before="1"/>
        <w:ind w:left="1940" w:right="0" w:firstLine="0"/>
        <w:jc w:val="left"/>
        <w:rPr>
          <w:sz w:val="21"/>
        </w:rPr>
      </w:pPr>
      <w:r>
        <w:rPr>
          <w:w w:val="100"/>
          <w:sz w:val="21"/>
        </w:rPr>
        <w:t>…</w:t>
      </w:r>
    </w:p>
    <w:p>
      <w:pPr>
        <w:spacing w:line="276" w:lineRule="auto" w:before="35"/>
        <w:ind w:left="1940" w:right="2260" w:firstLine="0"/>
        <w:jc w:val="both"/>
        <w:rPr>
          <w:sz w:val="21"/>
        </w:rPr>
      </w:pPr>
      <w:r>
        <w:rPr>
          <w:sz w:val="21"/>
        </w:rPr>
        <w:t>The law which protects the foundations against external violence guards it also internally against mal-administration, and regulates, conformable to the central principle of the institution, the use of its augmented funds. </w:t>
      </w:r>
      <w:r>
        <w:rPr>
          <w:b/>
          <w:sz w:val="21"/>
        </w:rPr>
        <w:t>It is only as subject to this control in the general interest of the community that the State through the law courts recognizes a merely artificial person</w:t>
      </w:r>
      <w:r>
        <w:rPr>
          <w:sz w:val="21"/>
        </w:rPr>
        <w:t>. </w:t>
      </w:r>
      <w:r>
        <w:rPr>
          <w:b/>
          <w:sz w:val="21"/>
        </w:rPr>
        <w:t>It guards property and rights as devoted, and thus belonging, so to speak, to a particular allowed purpose </w:t>
      </w:r>
      <w:r>
        <w:rPr>
          <w:sz w:val="21"/>
        </w:rPr>
        <w:t>only on a condition of varying the application when either the purpose has become impracticable, useless or pernicious, or the funds have augmented in an extraordinary</w:t>
      </w:r>
      <w:r>
        <w:rPr>
          <w:spacing w:val="-11"/>
          <w:sz w:val="21"/>
        </w:rPr>
        <w:t> </w:t>
      </w:r>
      <w:r>
        <w:rPr>
          <w:sz w:val="21"/>
        </w:rPr>
        <w:t>measure.‖</w:t>
      </w:r>
    </w:p>
    <w:p>
      <w:pPr>
        <w:spacing w:before="2"/>
        <w:ind w:left="5791" w:right="0" w:firstLine="0"/>
        <w:jc w:val="both"/>
        <w:rPr>
          <w:sz w:val="21"/>
        </w:rPr>
      </w:pPr>
      <w:r>
        <w:rPr>
          <w:sz w:val="21"/>
        </w:rPr>
        <w:t>(Emphasis supplied)</w:t>
      </w:r>
    </w:p>
    <w:p>
      <w:pPr>
        <w:spacing w:after="0"/>
        <w:jc w:val="both"/>
        <w:rPr>
          <w:sz w:val="21"/>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1" w:after="0"/>
        <w:ind w:left="500" w:right="439" w:firstLine="0"/>
        <w:jc w:val="both"/>
        <w:rPr>
          <w:sz w:val="25"/>
        </w:rPr>
      </w:pPr>
      <w:r>
        <w:rPr>
          <w:sz w:val="25"/>
        </w:rPr>
        <w:t>The decision in </w:t>
      </w:r>
      <w:r>
        <w:rPr>
          <w:b/>
          <w:sz w:val="25"/>
        </w:rPr>
        <w:t>Manohar Ganesh Tambekar </w:t>
      </w:r>
      <w:r>
        <w:rPr>
          <w:sz w:val="25"/>
        </w:rPr>
        <w:t>indicates that the expression of a religious or charitable purpose and the creation of an endowment to effectuate it was adequate. The creation of a trust, as in English law was not necessary. The creation of an endowment resulted in the creation of an artificial legal person. The artificial or juridical person represents or embodies a pious or benevolent purpose underlying its creation. Legal personality is conferred on the pious purpose of the individual making the endowment. Where the endowment is made to an idol, the idol forms the material representation of the legal person. This juridical person (i.e. the pious purpose represented by the idol) can in law accept offerings of movable and immovable property which will vest in it. The legal personality of the idol, and the rights of the idol over the property endowed and the offerings of devotees, are guarded by the law to protect the endowment against maladministration by the human agencies entrusted with the day to day management of the</w:t>
      </w:r>
      <w:r>
        <w:rPr>
          <w:spacing w:val="-4"/>
          <w:sz w:val="25"/>
        </w:rPr>
        <w:t> </w:t>
      </w:r>
      <w:r>
        <w:rPr>
          <w:sz w:val="25"/>
        </w:rPr>
        <w:t>idol.</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Shortly after the decision in </w:t>
      </w:r>
      <w:r>
        <w:rPr>
          <w:b/>
          <w:sz w:val="25"/>
        </w:rPr>
        <w:t>Manohar Ganesh Tambekar</w:t>
      </w:r>
      <w:r>
        <w:rPr>
          <w:sz w:val="25"/>
        </w:rPr>
        <w:t>, the Madras High Court was called upon to decide a dispute pertaining to the appointment of the head of a Mutt. In </w:t>
      </w:r>
      <w:r>
        <w:rPr>
          <w:b/>
          <w:sz w:val="25"/>
        </w:rPr>
        <w:t>Vidyapurna Tirtha Swami </w:t>
      </w:r>
      <w:r>
        <w:rPr>
          <w:sz w:val="25"/>
        </w:rPr>
        <w:t>v </w:t>
      </w:r>
      <w:r>
        <w:rPr>
          <w:b/>
          <w:sz w:val="25"/>
        </w:rPr>
        <w:t>Vidyanidhi Tirtha Swami</w:t>
      </w:r>
      <w:r>
        <w:rPr>
          <w:sz w:val="25"/>
          <w:vertAlign w:val="superscript"/>
        </w:rPr>
        <w:t>59</w:t>
      </w:r>
      <w:r>
        <w:rPr>
          <w:sz w:val="25"/>
          <w:vertAlign w:val="baseline"/>
        </w:rPr>
        <w:t>,  a Division Bench examined the legal character of idols, temples and mutts in some detail. Justice B Ayyangar went to on to</w:t>
      </w:r>
      <w:r>
        <w:rPr>
          <w:spacing w:val="-7"/>
          <w:sz w:val="25"/>
          <w:vertAlign w:val="baseline"/>
        </w:rPr>
        <w:t> </w:t>
      </w:r>
      <w:r>
        <w:rPr>
          <w:sz w:val="25"/>
          <w:vertAlign w:val="baseline"/>
        </w:rPr>
        <w:t>observe:</w:t>
      </w:r>
    </w:p>
    <w:p>
      <w:pPr>
        <w:spacing w:line="276" w:lineRule="auto" w:before="3"/>
        <w:ind w:left="1940" w:right="2260" w:firstLine="0"/>
        <w:jc w:val="both"/>
        <w:rPr>
          <w:b/>
          <w:sz w:val="21"/>
        </w:rPr>
      </w:pPr>
      <w:r>
        <w:rPr>
          <w:spacing w:val="-1"/>
          <w:w w:val="33"/>
          <w:sz w:val="21"/>
        </w:rPr>
        <w:t>―</w:t>
      </w:r>
      <w:r>
        <w:rPr>
          <w:w w:val="100"/>
          <w:sz w:val="21"/>
        </w:rPr>
        <w:t>As</w:t>
      </w:r>
      <w:r>
        <w:rPr>
          <w:spacing w:val="3"/>
          <w:sz w:val="21"/>
        </w:rPr>
        <w:t> </w:t>
      </w:r>
      <w:r>
        <w:rPr>
          <w:spacing w:val="-3"/>
          <w:w w:val="100"/>
          <w:sz w:val="21"/>
        </w:rPr>
        <w:t>a</w:t>
      </w:r>
      <w:r>
        <w:rPr>
          <w:w w:val="100"/>
          <w:sz w:val="21"/>
        </w:rPr>
        <w:t>l</w:t>
      </w:r>
      <w:r>
        <w:rPr>
          <w:spacing w:val="-1"/>
          <w:w w:val="100"/>
          <w:sz w:val="21"/>
        </w:rPr>
        <w:t>r</w:t>
      </w:r>
      <w:r>
        <w:rPr>
          <w:spacing w:val="-3"/>
          <w:w w:val="100"/>
          <w:sz w:val="21"/>
        </w:rPr>
        <w:t>e</w:t>
      </w:r>
      <w:r>
        <w:rPr>
          <w:spacing w:val="-1"/>
          <w:w w:val="100"/>
          <w:sz w:val="21"/>
        </w:rPr>
        <w:t>ad</w:t>
      </w:r>
      <w:r>
        <w:rPr>
          <w:w w:val="100"/>
          <w:sz w:val="21"/>
        </w:rPr>
        <w:t>y</w:t>
      </w:r>
      <w:r>
        <w:rPr>
          <w:spacing w:val="1"/>
          <w:sz w:val="21"/>
        </w:rPr>
        <w:t> </w:t>
      </w:r>
      <w:r>
        <w:rPr>
          <w:w w:val="100"/>
          <w:sz w:val="21"/>
        </w:rPr>
        <w:t>s</w:t>
      </w:r>
      <w:r>
        <w:rPr>
          <w:spacing w:val="-2"/>
          <w:w w:val="100"/>
          <w:sz w:val="21"/>
        </w:rPr>
        <w:t>t</w:t>
      </w:r>
      <w:r>
        <w:rPr>
          <w:spacing w:val="-1"/>
          <w:w w:val="100"/>
          <w:sz w:val="21"/>
        </w:rPr>
        <w:t>ated</w:t>
      </w:r>
      <w:r>
        <w:rPr>
          <w:w w:val="100"/>
          <w:sz w:val="21"/>
        </w:rPr>
        <w:t>,</w:t>
      </w:r>
      <w:r>
        <w:rPr>
          <w:spacing w:val="2"/>
          <w:sz w:val="21"/>
        </w:rPr>
        <w:t> </w:t>
      </w:r>
      <w:r>
        <w:rPr>
          <w:spacing w:val="-2"/>
          <w:w w:val="100"/>
          <w:sz w:val="21"/>
        </w:rPr>
        <w:t>t</w:t>
      </w:r>
      <w:r>
        <w:rPr>
          <w:spacing w:val="-1"/>
          <w:w w:val="100"/>
          <w:sz w:val="21"/>
        </w:rPr>
        <w:t>h</w:t>
      </w:r>
      <w:r>
        <w:rPr>
          <w:w w:val="100"/>
          <w:sz w:val="21"/>
        </w:rPr>
        <w:t>e</w:t>
      </w:r>
      <w:r>
        <w:rPr>
          <w:spacing w:val="1"/>
          <w:sz w:val="21"/>
        </w:rPr>
        <w:t> </w:t>
      </w:r>
      <w:r>
        <w:rPr>
          <w:spacing w:val="-2"/>
          <w:w w:val="100"/>
          <w:sz w:val="21"/>
        </w:rPr>
        <w:t>w</w:t>
      </w:r>
      <w:r>
        <w:rPr>
          <w:spacing w:val="-3"/>
          <w:w w:val="100"/>
          <w:sz w:val="21"/>
        </w:rPr>
        <w:t>o</w:t>
      </w:r>
      <w:r>
        <w:rPr>
          <w:spacing w:val="-1"/>
          <w:w w:val="100"/>
          <w:sz w:val="21"/>
        </w:rPr>
        <w:t>r</w:t>
      </w:r>
      <w:r>
        <w:rPr>
          <w:w w:val="100"/>
          <w:sz w:val="21"/>
        </w:rPr>
        <w:t>sh</w:t>
      </w:r>
      <w:r>
        <w:rPr>
          <w:spacing w:val="1"/>
          <w:w w:val="100"/>
          <w:sz w:val="21"/>
        </w:rPr>
        <w:t>i</w:t>
      </w:r>
      <w:r>
        <w:rPr>
          <w:spacing w:val="-3"/>
          <w:w w:val="100"/>
          <w:sz w:val="21"/>
        </w:rPr>
        <w:t>p</w:t>
      </w:r>
      <w:r>
        <w:rPr>
          <w:spacing w:val="-1"/>
          <w:w w:val="100"/>
          <w:sz w:val="21"/>
        </w:rPr>
        <w:t>per</w:t>
      </w:r>
      <w:r>
        <w:rPr>
          <w:w w:val="100"/>
          <w:sz w:val="21"/>
        </w:rPr>
        <w:t>s</w:t>
      </w:r>
      <w:r>
        <w:rPr>
          <w:spacing w:val="4"/>
          <w:sz w:val="21"/>
        </w:rPr>
        <w:t> </w:t>
      </w:r>
      <w:r>
        <w:rPr>
          <w:w w:val="100"/>
          <w:sz w:val="21"/>
        </w:rPr>
        <w:t>are</w:t>
      </w:r>
      <w:r>
        <w:rPr>
          <w:spacing w:val="1"/>
          <w:sz w:val="21"/>
        </w:rPr>
        <w:t> </w:t>
      </w:r>
      <w:r>
        <w:rPr>
          <w:w w:val="100"/>
          <w:sz w:val="21"/>
        </w:rPr>
        <w:t>be</w:t>
      </w:r>
      <w:r>
        <w:rPr>
          <w:spacing w:val="-2"/>
          <w:w w:val="100"/>
          <w:sz w:val="21"/>
        </w:rPr>
        <w:t>n</w:t>
      </w:r>
      <w:r>
        <w:rPr>
          <w:w w:val="100"/>
          <w:sz w:val="21"/>
        </w:rPr>
        <w:t>e</w:t>
      </w:r>
      <w:r>
        <w:rPr>
          <w:spacing w:val="-1"/>
          <w:w w:val="100"/>
          <w:sz w:val="21"/>
        </w:rPr>
        <w:t>f</w:t>
      </w:r>
      <w:r>
        <w:rPr>
          <w:w w:val="100"/>
          <w:sz w:val="21"/>
        </w:rPr>
        <w:t>i</w:t>
      </w:r>
      <w:r>
        <w:rPr>
          <w:spacing w:val="-3"/>
          <w:w w:val="100"/>
          <w:sz w:val="21"/>
        </w:rPr>
        <w:t>c</w:t>
      </w:r>
      <w:r>
        <w:rPr>
          <w:w w:val="100"/>
          <w:sz w:val="21"/>
        </w:rPr>
        <w:t>i</w:t>
      </w:r>
      <w:r>
        <w:rPr>
          <w:w w:val="100"/>
          <w:sz w:val="21"/>
        </w:rPr>
        <w:t>ar</w:t>
      </w:r>
      <w:r>
        <w:rPr>
          <w:spacing w:val="-2"/>
          <w:w w:val="100"/>
          <w:sz w:val="21"/>
        </w:rPr>
        <w:t>i</w:t>
      </w:r>
      <w:r>
        <w:rPr>
          <w:spacing w:val="-3"/>
          <w:w w:val="100"/>
          <w:sz w:val="21"/>
        </w:rPr>
        <w:t>e</w:t>
      </w:r>
      <w:r>
        <w:rPr>
          <w:w w:val="100"/>
          <w:sz w:val="21"/>
        </w:rPr>
        <w:t>s</w:t>
      </w:r>
      <w:r>
        <w:rPr>
          <w:spacing w:val="3"/>
          <w:sz w:val="21"/>
        </w:rPr>
        <w:t> </w:t>
      </w:r>
      <w:r>
        <w:rPr>
          <w:w w:val="100"/>
          <w:sz w:val="21"/>
        </w:rPr>
        <w:t>o</w:t>
      </w:r>
      <w:r>
        <w:rPr>
          <w:spacing w:val="-3"/>
          <w:w w:val="100"/>
          <w:sz w:val="21"/>
        </w:rPr>
        <w:t>n</w:t>
      </w:r>
      <w:r>
        <w:rPr>
          <w:w w:val="100"/>
          <w:sz w:val="21"/>
        </w:rPr>
        <w:t>l</w:t>
      </w:r>
      <w:r>
        <w:rPr>
          <w:w w:val="100"/>
          <w:sz w:val="21"/>
        </w:rPr>
        <w:t>y</w:t>
      </w:r>
      <w:r>
        <w:rPr>
          <w:spacing w:val="1"/>
          <w:sz w:val="21"/>
        </w:rPr>
        <w:t> </w:t>
      </w:r>
      <w:r>
        <w:rPr>
          <w:w w:val="100"/>
          <w:sz w:val="21"/>
        </w:rPr>
        <w:t>i</w:t>
      </w:r>
      <w:r>
        <w:rPr>
          <w:w w:val="100"/>
          <w:sz w:val="21"/>
        </w:rPr>
        <w:t>n</w:t>
      </w:r>
      <w:r>
        <w:rPr>
          <w:spacing w:val="1"/>
          <w:sz w:val="21"/>
        </w:rPr>
        <w:t> </w:t>
      </w:r>
      <w:r>
        <w:rPr>
          <w:w w:val="100"/>
          <w:sz w:val="21"/>
        </w:rPr>
        <w:t>a </w:t>
      </w:r>
      <w:r>
        <w:rPr>
          <w:sz w:val="21"/>
        </w:rPr>
        <w:t>spiritual sense, and the endowments themselves are primarily intended for spiritual purposes, through indirectly and incidentally a good number of people derive material or pecuniary benefit therefrom as office-holders, servants or objects of charity…</w:t>
      </w:r>
      <w:r>
        <w:rPr>
          <w:b/>
          <w:sz w:val="21"/>
        </w:rPr>
        <w:t>The question has not been suggested or considered, whether the community itself for</w:t>
      </w:r>
      <w:r>
        <w:rPr>
          <w:b/>
          <w:spacing w:val="52"/>
          <w:sz w:val="21"/>
        </w:rPr>
        <w:t> </w:t>
      </w:r>
      <w:r>
        <w:rPr>
          <w:b/>
          <w:sz w:val="21"/>
        </w:rPr>
        <w:t>whose</w:t>
      </w:r>
    </w:p>
    <w:p>
      <w:pPr>
        <w:pStyle w:val="BodyText"/>
        <w:spacing w:before="4"/>
        <w:rPr>
          <w:b/>
          <w:sz w:val="13"/>
        </w:rPr>
      </w:pPr>
      <w:r>
        <w:rPr/>
        <w:pict>
          <v:rect style="position:absolute;margin-left:72.024002pt;margin-top:9.631751pt;width:144.020pt;height:.599980pt;mso-position-horizontal-relative:page;mso-position-vertical-relative:paragraph;z-index:-1570662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59</w:t>
      </w:r>
      <w:r>
        <w:rPr>
          <w:sz w:val="18"/>
          <w:vertAlign w:val="baseline"/>
        </w:rPr>
        <w:t> ILR (1904) 27 Mad 435</w:t>
      </w:r>
    </w:p>
    <w:p>
      <w:pPr>
        <w:spacing w:after="0"/>
        <w:jc w:val="left"/>
        <w:rPr>
          <w:sz w:val="18"/>
        </w:rPr>
        <w:sectPr>
          <w:pgSz w:w="11910" w:h="16840"/>
          <w:pgMar w:header="721" w:footer="1014" w:top="1300" w:bottom="1200" w:left="940" w:right="1000"/>
        </w:sectPr>
      </w:pPr>
    </w:p>
    <w:p>
      <w:pPr>
        <w:spacing w:line="276" w:lineRule="auto" w:before="122"/>
        <w:ind w:left="1940" w:right="2259" w:firstLine="0"/>
        <w:jc w:val="both"/>
        <w:rPr>
          <w:sz w:val="21"/>
        </w:rPr>
      </w:pPr>
      <w:r>
        <w:rPr>
          <w:b/>
          <w:sz w:val="21"/>
        </w:rPr>
        <w:t>spiritual benefit the institution was founded and endowed may not be more appropriately be regarded as a corporate body forming the juristic person in whom the properties of the institution are vested </w:t>
      </w:r>
      <w:r>
        <w:rPr>
          <w:sz w:val="21"/>
        </w:rPr>
        <w:t>and who </w:t>
      </w:r>
      <w:r>
        <w:rPr>
          <w:i/>
          <w:sz w:val="21"/>
        </w:rPr>
        <w:t>act </w:t>
      </w:r>
      <w:r>
        <w:rPr>
          <w:sz w:val="21"/>
        </w:rPr>
        <w:t>through one or more of the natural persons forming the corporate body, these latter being the dharmakartas or panchayats, &amp;c., charged with the execution of the trusts of the institution and possessing strictly limited powers of alienation of the endowments, as defined in the cases cited above. Though a fluctuating and uncertain body of men cannot claim a profit </w:t>
      </w:r>
      <w:r>
        <w:rPr>
          <w:i/>
          <w:sz w:val="21"/>
        </w:rPr>
        <w:t>a prendre in alieeno solo</w:t>
      </w:r>
      <w:r>
        <w:rPr>
          <w:sz w:val="21"/>
        </w:rPr>
        <w:t>, nor be the grantee of any kind of real property (see </w:t>
      </w:r>
      <w:r>
        <w:rPr>
          <w:i/>
          <w:sz w:val="21"/>
        </w:rPr>
        <w:t>Goodman v Mayor of </w:t>
      </w:r>
      <w:r>
        <w:rPr>
          <w:i/>
          <w:sz w:val="21"/>
        </w:rPr>
        <w:t>Saltash</w:t>
      </w:r>
      <w:r>
        <w:rPr>
          <w:sz w:val="21"/>
        </w:rPr>
        <w:t>, yet there is high authority for treating such community as a corporation or juristic person in relation to religious foundations and</w:t>
      </w:r>
      <w:r>
        <w:rPr>
          <w:spacing w:val="-6"/>
          <w:sz w:val="21"/>
        </w:rPr>
        <w:t> </w:t>
      </w:r>
      <w:r>
        <w:rPr>
          <w:sz w:val="21"/>
        </w:rPr>
        <w:t>endowments.</w:t>
      </w:r>
    </w:p>
    <w:p>
      <w:pPr>
        <w:spacing w:before="2"/>
        <w:ind w:left="1940" w:right="0" w:firstLine="0"/>
        <w:jc w:val="left"/>
        <w:rPr>
          <w:sz w:val="21"/>
        </w:rPr>
      </w:pPr>
      <w:r>
        <w:rPr>
          <w:w w:val="100"/>
          <w:sz w:val="21"/>
        </w:rPr>
        <w:t>…</w:t>
      </w:r>
    </w:p>
    <w:p>
      <w:pPr>
        <w:spacing w:line="276" w:lineRule="auto" w:before="35"/>
        <w:ind w:left="1940" w:right="2261" w:firstLine="0"/>
        <w:jc w:val="both"/>
        <w:rPr>
          <w:sz w:val="21"/>
        </w:rPr>
      </w:pPr>
      <w:r>
        <w:rPr>
          <w:b/>
          <w:sz w:val="21"/>
        </w:rPr>
        <w:t>For all practical purposes however it is immaterial whether the presiding idol or the community of worshippers is regarded as the corporation or juristic person in which the properties are vested, though from a juristic point of view there may be a difference of opinion as to which theory is more scientific. </w:t>
      </w:r>
      <w:r>
        <w:rPr>
          <w:sz w:val="21"/>
        </w:rPr>
        <w:t>In the words of a </w:t>
      </w:r>
      <w:r>
        <w:rPr>
          <w:w w:val="100"/>
          <w:sz w:val="21"/>
        </w:rPr>
        <w:t>r</w:t>
      </w:r>
      <w:r>
        <w:rPr>
          <w:w w:val="100"/>
          <w:sz w:val="21"/>
        </w:rPr>
        <w:t>ec</w:t>
      </w:r>
      <w:r>
        <w:rPr>
          <w:w w:val="100"/>
          <w:sz w:val="21"/>
        </w:rPr>
        <w:t>ent</w:t>
      </w:r>
      <w:r>
        <w:rPr>
          <w:sz w:val="21"/>
        </w:rPr>
        <w:t>  </w:t>
      </w:r>
      <w:r>
        <w:rPr>
          <w:w w:val="100"/>
          <w:sz w:val="21"/>
        </w:rPr>
        <w:t>writer</w:t>
      </w:r>
      <w:r>
        <w:rPr>
          <w:sz w:val="21"/>
        </w:rPr>
        <w:t>  </w:t>
      </w:r>
      <w:r>
        <w:rPr>
          <w:w w:val="100"/>
          <w:sz w:val="21"/>
        </w:rPr>
        <w:t>on</w:t>
      </w:r>
      <w:r>
        <w:rPr>
          <w:sz w:val="21"/>
        </w:rPr>
        <w:t>  </w:t>
      </w:r>
      <w:r>
        <w:rPr>
          <w:w w:val="100"/>
          <w:sz w:val="21"/>
        </w:rPr>
        <w:t>Jurisprudence</w:t>
      </w:r>
      <w:r>
        <w:rPr>
          <w:sz w:val="21"/>
        </w:rPr>
        <w:t>  </w:t>
      </w:r>
      <w:r>
        <w:rPr>
          <w:w w:val="100"/>
          <w:sz w:val="21"/>
        </w:rPr>
        <w:t>(Salmond‘s</w:t>
      </w:r>
      <w:r>
        <w:rPr>
          <w:sz w:val="21"/>
        </w:rPr>
        <w:t>  </w:t>
      </w:r>
      <w:r>
        <w:rPr>
          <w:w w:val="40"/>
          <w:sz w:val="21"/>
        </w:rPr>
        <w:t>‗</w:t>
      </w:r>
      <w:r>
        <w:rPr>
          <w:w w:val="100"/>
          <w:sz w:val="21"/>
        </w:rPr>
        <w:t>Jurisprudence‘ (1902),</w:t>
      </w:r>
      <w:r>
        <w:rPr>
          <w:sz w:val="21"/>
        </w:rPr>
        <w:t> </w:t>
      </w:r>
      <w:r>
        <w:rPr>
          <w:w w:val="100"/>
          <w:sz w:val="21"/>
        </w:rPr>
        <w:t>346)</w:t>
      </w:r>
      <w:r>
        <w:rPr>
          <w:sz w:val="21"/>
        </w:rPr>
        <w:t> </w:t>
      </w:r>
      <w:r>
        <w:rPr>
          <w:w w:val="33"/>
          <w:sz w:val="21"/>
        </w:rPr>
        <w:t>―</w:t>
      </w:r>
      <w:r>
        <w:rPr>
          <w:w w:val="100"/>
          <w:sz w:val="21"/>
        </w:rPr>
        <w:t>the</w:t>
      </w:r>
      <w:r>
        <w:rPr>
          <w:sz w:val="21"/>
        </w:rPr>
        <w:t> </w:t>
      </w:r>
      <w:r>
        <w:rPr>
          <w:w w:val="100"/>
          <w:sz w:val="21"/>
        </w:rPr>
        <w:t>choice</w:t>
      </w:r>
      <w:r>
        <w:rPr>
          <w:sz w:val="21"/>
        </w:rPr>
        <w:t> </w:t>
      </w:r>
      <w:r>
        <w:rPr>
          <w:w w:val="100"/>
          <w:sz w:val="21"/>
        </w:rPr>
        <w:t>of</w:t>
      </w:r>
      <w:r>
        <w:rPr>
          <w:sz w:val="21"/>
        </w:rPr>
        <w:t> </w:t>
      </w:r>
      <w:r>
        <w:rPr>
          <w:w w:val="100"/>
          <w:sz w:val="21"/>
        </w:rPr>
        <w:t>the</w:t>
      </w:r>
      <w:r>
        <w:rPr>
          <w:sz w:val="21"/>
        </w:rPr>
        <w:t> </w:t>
      </w:r>
      <w:r>
        <w:rPr>
          <w:i/>
          <w:w w:val="100"/>
          <w:sz w:val="21"/>
        </w:rPr>
        <w:t>corpus</w:t>
      </w:r>
      <w:r>
        <w:rPr>
          <w:i/>
          <w:sz w:val="21"/>
        </w:rPr>
        <w:t> </w:t>
      </w:r>
      <w:r>
        <w:rPr>
          <w:w w:val="100"/>
          <w:sz w:val="21"/>
        </w:rPr>
        <w:t>i</w:t>
      </w:r>
      <w:r>
        <w:rPr>
          <w:w w:val="100"/>
          <w:sz w:val="21"/>
        </w:rPr>
        <w:t>nt</w:t>
      </w:r>
      <w:r>
        <w:rPr>
          <w:w w:val="100"/>
          <w:sz w:val="21"/>
        </w:rPr>
        <w:t>o</w:t>
      </w:r>
      <w:r>
        <w:rPr>
          <w:sz w:val="21"/>
        </w:rPr>
        <w:t> </w:t>
      </w:r>
      <w:r>
        <w:rPr>
          <w:w w:val="100"/>
          <w:sz w:val="21"/>
        </w:rPr>
        <w:t>wh</w:t>
      </w:r>
      <w:r>
        <w:rPr>
          <w:w w:val="100"/>
          <w:sz w:val="21"/>
        </w:rPr>
        <w:t>i</w:t>
      </w:r>
      <w:r>
        <w:rPr>
          <w:w w:val="100"/>
          <w:sz w:val="21"/>
        </w:rPr>
        <w:t>ch</w:t>
      </w:r>
      <w:r>
        <w:rPr>
          <w:sz w:val="21"/>
        </w:rPr>
        <w:t> </w:t>
      </w:r>
      <w:r>
        <w:rPr>
          <w:w w:val="100"/>
          <w:sz w:val="21"/>
        </w:rPr>
        <w:t>t</w:t>
      </w:r>
      <w:r>
        <w:rPr>
          <w:w w:val="100"/>
          <w:sz w:val="21"/>
        </w:rPr>
        <w:t>he</w:t>
      </w:r>
      <w:r>
        <w:rPr>
          <w:sz w:val="21"/>
        </w:rPr>
        <w:t> </w:t>
      </w:r>
      <w:r>
        <w:rPr>
          <w:w w:val="100"/>
          <w:sz w:val="21"/>
        </w:rPr>
        <w:t>l</w:t>
      </w:r>
      <w:r>
        <w:rPr>
          <w:w w:val="100"/>
          <w:sz w:val="21"/>
        </w:rPr>
        <w:t>aw</w:t>
      </w:r>
      <w:r>
        <w:rPr>
          <w:sz w:val="21"/>
        </w:rPr>
        <w:t> </w:t>
      </w:r>
      <w:r>
        <w:rPr>
          <w:w w:val="100"/>
          <w:sz w:val="21"/>
        </w:rPr>
        <w:t>sha</w:t>
      </w:r>
      <w:r>
        <w:rPr>
          <w:w w:val="100"/>
          <w:sz w:val="21"/>
        </w:rPr>
        <w:t>ll </w:t>
      </w:r>
      <w:r>
        <w:rPr>
          <w:sz w:val="21"/>
        </w:rPr>
        <w:t>breathe the breath of a fictious personality is a matter of form rather than of substance, of lucid and compendious expression, rather than of legal principle,‖ …‖</w:t>
      </w:r>
    </w:p>
    <w:p>
      <w:pPr>
        <w:spacing w:before="1"/>
        <w:ind w:left="5731" w:right="0" w:firstLine="0"/>
        <w:jc w:val="both"/>
        <w:rPr>
          <w:sz w:val="21"/>
        </w:rPr>
      </w:pPr>
      <w:r>
        <w:rPr>
          <w:sz w:val="21"/>
        </w:rPr>
        <w:t>(Emphasis supplied)</w:t>
      </w:r>
    </w:p>
    <w:p>
      <w:pPr>
        <w:pStyle w:val="BodyText"/>
        <w:rPr>
          <w:sz w:val="24"/>
        </w:rPr>
      </w:pPr>
    </w:p>
    <w:p>
      <w:pPr>
        <w:pStyle w:val="BodyText"/>
        <w:spacing w:before="5"/>
        <w:rPr>
          <w:sz w:val="27"/>
        </w:rPr>
      </w:pPr>
    </w:p>
    <w:p>
      <w:pPr>
        <w:pStyle w:val="BodyText"/>
        <w:spacing w:line="480" w:lineRule="auto"/>
        <w:ind w:left="500" w:right="442"/>
        <w:jc w:val="both"/>
      </w:pPr>
      <w:r>
        <w:rPr/>
        <w:t>The conferral of juristic personality by courts is to overcome existing shortfalls in the law and ensure societally satisfactory and legally sound outcomes. Justice Ayyangar observes that a key societal interest sought to be protected by the conferral of juristic personality on the idol was the protection of the devotees‘ interests. Justice Ayyangar notes that such protection could also be achieved by conferring juristic personality on the devotees as a collective. However, given the widespread personification of the idol, he holds that juristic personality should vest in the idol on considerations of practicality and</w:t>
      </w:r>
      <w:r>
        <w:rPr>
          <w:spacing w:val="-14"/>
        </w:rPr>
        <w:t> </w:t>
      </w:r>
      <w:r>
        <w:rPr/>
        <w:t>convenience.</w:t>
      </w:r>
    </w:p>
    <w:p>
      <w:pPr>
        <w:spacing w:after="0" w:line="480" w:lineRule="auto"/>
        <w:jc w:val="both"/>
        <w:sectPr>
          <w:pgSz w:w="11910" w:h="16840"/>
          <w:pgMar w:header="721" w:footer="1014" w:top="1300" w:bottom="1200" w:left="940" w:right="1000"/>
        </w:sectPr>
      </w:pPr>
    </w:p>
    <w:p>
      <w:pPr>
        <w:pStyle w:val="ListParagraph"/>
        <w:numPr>
          <w:ilvl w:val="0"/>
          <w:numId w:val="3"/>
        </w:numPr>
        <w:tabs>
          <w:tab w:pos="1221" w:val="left" w:leader="none"/>
        </w:tabs>
        <w:spacing w:line="480" w:lineRule="auto" w:before="121" w:after="0"/>
        <w:ind w:left="500" w:right="438" w:firstLine="0"/>
        <w:jc w:val="both"/>
        <w:rPr>
          <w:sz w:val="25"/>
        </w:rPr>
      </w:pPr>
      <w:r>
        <w:rPr>
          <w:sz w:val="25"/>
        </w:rPr>
        <w:t>In </w:t>
      </w:r>
      <w:r>
        <w:rPr>
          <w:b/>
          <w:sz w:val="25"/>
        </w:rPr>
        <w:t>Bhupati Nath Smrititirtha </w:t>
      </w:r>
      <w:r>
        <w:rPr>
          <w:sz w:val="25"/>
        </w:rPr>
        <w:t>v </w:t>
      </w:r>
      <w:r>
        <w:rPr>
          <w:b/>
          <w:sz w:val="25"/>
        </w:rPr>
        <w:t>Ram Lal Maitra</w:t>
      </w:r>
      <w:r>
        <w:rPr>
          <w:sz w:val="25"/>
          <w:vertAlign w:val="superscript"/>
        </w:rPr>
        <w:t>60</w:t>
      </w:r>
      <w:r>
        <w:rPr>
          <w:sz w:val="25"/>
          <w:vertAlign w:val="baseline"/>
        </w:rPr>
        <w:t>, a five judge Bench of the Calcutta High Court was constituted to answer the question whether bequests by a testator to trustees for the establishment of an idol of the Goddess Kali and the worship of the idol after the testator‘s death were invalid due </w:t>
      </w:r>
      <w:r>
        <w:rPr>
          <w:spacing w:val="4"/>
          <w:sz w:val="25"/>
          <w:vertAlign w:val="baseline"/>
        </w:rPr>
        <w:t>to </w:t>
      </w:r>
      <w:r>
        <w:rPr>
          <w:sz w:val="25"/>
          <w:vertAlign w:val="baseline"/>
        </w:rPr>
        <w:t>the Hindu law principle which stated that gifts could only be made to sentient beings. The testator in that case had dedicated certain properties to an idol. While  the testator died in 1890, the idol was not consecrated until 1894. A question arose as to whether the non-existence of the idol at the time of the testator‘s death invalidated the provisions of the will dedicated the property. In an erudite opinion holding that such bequests were valid, Chief Justice Lawrence Jenkins</w:t>
      </w:r>
      <w:r>
        <w:rPr>
          <w:spacing w:val="-13"/>
          <w:sz w:val="25"/>
          <w:vertAlign w:val="baseline"/>
        </w:rPr>
        <w:t> </w:t>
      </w:r>
      <w:r>
        <w:rPr>
          <w:sz w:val="25"/>
          <w:vertAlign w:val="baseline"/>
        </w:rPr>
        <w:t>held:</w:t>
      </w:r>
    </w:p>
    <w:p>
      <w:pPr>
        <w:spacing w:line="276" w:lineRule="auto" w:before="3"/>
        <w:ind w:left="1940" w:right="2262" w:firstLine="0"/>
        <w:jc w:val="both"/>
        <w:rPr>
          <w:sz w:val="21"/>
        </w:rPr>
      </w:pPr>
      <w:r>
        <w:rPr>
          <w:spacing w:val="-1"/>
          <w:w w:val="33"/>
          <w:sz w:val="21"/>
        </w:rPr>
        <w:t>―</w:t>
      </w:r>
      <w:r>
        <w:rPr>
          <w:w w:val="100"/>
          <w:sz w:val="21"/>
        </w:rPr>
        <w:t>…</w:t>
      </w:r>
      <w:r>
        <w:rPr>
          <w:sz w:val="21"/>
        </w:rPr>
        <w:t> </w:t>
      </w:r>
      <w:r>
        <w:rPr>
          <w:spacing w:val="-1"/>
          <w:w w:val="100"/>
          <w:sz w:val="21"/>
        </w:rPr>
        <w:t>bu</w:t>
      </w:r>
      <w:r>
        <w:rPr>
          <w:w w:val="100"/>
          <w:sz w:val="21"/>
        </w:rPr>
        <w:t>t</w:t>
      </w:r>
      <w:r>
        <w:rPr>
          <w:sz w:val="21"/>
        </w:rPr>
        <w:t> </w:t>
      </w:r>
      <w:r>
        <w:rPr>
          <w:spacing w:val="-2"/>
          <w:w w:val="100"/>
          <w:sz w:val="21"/>
        </w:rPr>
        <w:t>t</w:t>
      </w:r>
      <w:r>
        <w:rPr>
          <w:spacing w:val="-1"/>
          <w:w w:val="100"/>
          <w:sz w:val="21"/>
        </w:rPr>
        <w:t>h</w:t>
      </w:r>
      <w:r>
        <w:rPr>
          <w:w w:val="100"/>
          <w:sz w:val="21"/>
        </w:rPr>
        <w:t>e</w:t>
      </w:r>
      <w:r>
        <w:rPr>
          <w:sz w:val="21"/>
        </w:rPr>
        <w:t> </w:t>
      </w:r>
      <w:r>
        <w:rPr>
          <w:spacing w:val="-2"/>
          <w:w w:val="100"/>
          <w:sz w:val="21"/>
        </w:rPr>
        <w:t>t</w:t>
      </w:r>
      <w:r>
        <w:rPr>
          <w:spacing w:val="-3"/>
          <w:w w:val="100"/>
          <w:sz w:val="21"/>
        </w:rPr>
        <w:t>e</w:t>
      </w:r>
      <w:r>
        <w:rPr>
          <w:w w:val="100"/>
          <w:sz w:val="21"/>
        </w:rPr>
        <w:t>s</w:t>
      </w:r>
      <w:r>
        <w:rPr>
          <w:spacing w:val="-2"/>
          <w:w w:val="100"/>
          <w:sz w:val="21"/>
        </w:rPr>
        <w:t>t</w:t>
      </w:r>
      <w:r>
        <w:rPr>
          <w:spacing w:val="-1"/>
          <w:w w:val="100"/>
          <w:sz w:val="21"/>
        </w:rPr>
        <w:t>ato</w:t>
      </w:r>
      <w:r>
        <w:rPr>
          <w:w w:val="100"/>
          <w:sz w:val="21"/>
        </w:rPr>
        <w:t>r</w:t>
      </w:r>
      <w:r>
        <w:rPr>
          <w:sz w:val="21"/>
        </w:rPr>
        <w:t> </w:t>
      </w:r>
      <w:r>
        <w:rPr>
          <w:spacing w:val="-3"/>
          <w:w w:val="100"/>
          <w:sz w:val="21"/>
        </w:rPr>
        <w:t>d</w:t>
      </w:r>
      <w:r>
        <w:rPr>
          <w:w w:val="100"/>
          <w:sz w:val="21"/>
        </w:rPr>
        <w:t>i</w:t>
      </w:r>
      <w:r>
        <w:rPr>
          <w:spacing w:val="-1"/>
          <w:w w:val="100"/>
          <w:sz w:val="21"/>
        </w:rPr>
        <w:t>r</w:t>
      </w:r>
      <w:r>
        <w:rPr>
          <w:w w:val="100"/>
          <w:sz w:val="21"/>
        </w:rPr>
        <w:t>ec</w:t>
      </w:r>
      <w:r>
        <w:rPr>
          <w:spacing w:val="-1"/>
          <w:w w:val="100"/>
          <w:sz w:val="21"/>
        </w:rPr>
        <w:t>t</w:t>
      </w:r>
      <w:r>
        <w:rPr>
          <w:spacing w:val="-3"/>
          <w:w w:val="100"/>
          <w:sz w:val="21"/>
        </w:rPr>
        <w:t>e</w:t>
      </w:r>
      <w:r>
        <w:rPr>
          <w:w w:val="100"/>
          <w:sz w:val="21"/>
        </w:rPr>
        <w:t>d</w:t>
      </w:r>
      <w:r>
        <w:rPr>
          <w:sz w:val="21"/>
        </w:rPr>
        <w:t> </w:t>
      </w:r>
      <w:r>
        <w:rPr>
          <w:w w:val="100"/>
          <w:sz w:val="21"/>
        </w:rPr>
        <w:t>a</w:t>
      </w:r>
      <w:r>
        <w:rPr>
          <w:spacing w:val="-2"/>
          <w:w w:val="100"/>
          <w:sz w:val="21"/>
        </w:rPr>
        <w:t>l</w:t>
      </w:r>
      <w:r>
        <w:rPr>
          <w:w w:val="100"/>
          <w:sz w:val="21"/>
        </w:rPr>
        <w:t>l</w:t>
      </w:r>
      <w:r>
        <w:rPr>
          <w:sz w:val="21"/>
        </w:rPr>
        <w:t> </w:t>
      </w:r>
      <w:r>
        <w:rPr>
          <w:spacing w:val="-3"/>
          <w:w w:val="100"/>
          <w:sz w:val="21"/>
        </w:rPr>
        <w:t>h</w:t>
      </w:r>
      <w:r>
        <w:rPr>
          <w:w w:val="100"/>
          <w:sz w:val="21"/>
        </w:rPr>
        <w:t>i</w:t>
      </w:r>
      <w:r>
        <w:rPr>
          <w:w w:val="100"/>
          <w:sz w:val="21"/>
        </w:rPr>
        <w:t>s</w:t>
      </w:r>
      <w:r>
        <w:rPr>
          <w:sz w:val="21"/>
        </w:rPr>
        <w:t> </w:t>
      </w:r>
      <w:r>
        <w:rPr>
          <w:w w:val="100"/>
          <w:sz w:val="21"/>
        </w:rPr>
        <w:t>prope</w:t>
      </w:r>
      <w:r>
        <w:rPr>
          <w:spacing w:val="-1"/>
          <w:w w:val="100"/>
          <w:sz w:val="21"/>
        </w:rPr>
        <w:t>r</w:t>
      </w:r>
      <w:r>
        <w:rPr>
          <w:spacing w:val="-2"/>
          <w:w w:val="100"/>
          <w:sz w:val="21"/>
        </w:rPr>
        <w:t>t</w:t>
      </w:r>
      <w:r>
        <w:rPr>
          <w:w w:val="100"/>
          <w:sz w:val="21"/>
        </w:rPr>
        <w:t>y</w:t>
      </w:r>
      <w:r>
        <w:rPr>
          <w:sz w:val="21"/>
        </w:rPr>
        <w:t> </w:t>
      </w:r>
      <w:r>
        <w:rPr>
          <w:spacing w:val="-2"/>
          <w:w w:val="100"/>
          <w:sz w:val="21"/>
        </w:rPr>
        <w:t>t</w:t>
      </w:r>
      <w:r>
        <w:rPr>
          <w:w w:val="100"/>
          <w:sz w:val="21"/>
        </w:rPr>
        <w:t>o</w:t>
      </w:r>
      <w:r>
        <w:rPr>
          <w:sz w:val="21"/>
        </w:rPr>
        <w:t> </w:t>
      </w:r>
      <w:r>
        <w:rPr>
          <w:w w:val="100"/>
          <w:sz w:val="21"/>
        </w:rPr>
        <w:t>be</w:t>
      </w:r>
      <w:r>
        <w:rPr>
          <w:sz w:val="21"/>
        </w:rPr>
        <w:t> </w:t>
      </w:r>
      <w:r>
        <w:rPr>
          <w:w w:val="100"/>
          <w:sz w:val="21"/>
        </w:rPr>
        <w:t>p</w:t>
      </w:r>
      <w:r>
        <w:rPr>
          <w:spacing w:val="1"/>
          <w:w w:val="100"/>
          <w:sz w:val="21"/>
        </w:rPr>
        <w:t>l</w:t>
      </w:r>
      <w:r>
        <w:rPr>
          <w:spacing w:val="-3"/>
          <w:w w:val="100"/>
          <w:sz w:val="21"/>
        </w:rPr>
        <w:t>a</w:t>
      </w:r>
      <w:r>
        <w:rPr>
          <w:w w:val="100"/>
          <w:sz w:val="21"/>
        </w:rPr>
        <w:t>ced</w:t>
      </w:r>
      <w:r>
        <w:rPr>
          <w:sz w:val="21"/>
        </w:rPr>
        <w:t> </w:t>
      </w:r>
      <w:r>
        <w:rPr>
          <w:w w:val="100"/>
          <w:sz w:val="21"/>
        </w:rPr>
        <w:t>i</w:t>
      </w:r>
      <w:r>
        <w:rPr>
          <w:w w:val="100"/>
          <w:sz w:val="21"/>
        </w:rPr>
        <w:t>n</w:t>
      </w:r>
      <w:r>
        <w:rPr>
          <w:sz w:val="21"/>
        </w:rPr>
        <w:t> </w:t>
      </w:r>
      <w:r>
        <w:rPr>
          <w:spacing w:val="-2"/>
          <w:w w:val="100"/>
          <w:sz w:val="21"/>
        </w:rPr>
        <w:t>t</w:t>
      </w:r>
      <w:r>
        <w:rPr>
          <w:spacing w:val="-3"/>
          <w:w w:val="100"/>
          <w:sz w:val="21"/>
        </w:rPr>
        <w:t>h</w:t>
      </w:r>
      <w:r>
        <w:rPr>
          <w:w w:val="100"/>
          <w:sz w:val="21"/>
        </w:rPr>
        <w:t>e </w:t>
      </w:r>
      <w:r>
        <w:rPr>
          <w:sz w:val="21"/>
        </w:rPr>
        <w:t>hands of persons named by him and subject to certain payments these persons were directed to spend the surplus income which might be left in the sheba and worship of Kali after establishing the image of the Kali after the name of his mother. Now this manifestly was a disposition for religious purposes and such dispositions are favoured by Hindu Law.</w:t>
      </w:r>
    </w:p>
    <w:p>
      <w:pPr>
        <w:pStyle w:val="BodyText"/>
        <w:spacing w:before="1"/>
        <w:rPr>
          <w:sz w:val="24"/>
        </w:rPr>
      </w:pPr>
    </w:p>
    <w:p>
      <w:pPr>
        <w:spacing w:line="276" w:lineRule="auto" w:before="0"/>
        <w:ind w:left="1940" w:right="2260" w:firstLine="0"/>
        <w:jc w:val="both"/>
        <w:rPr>
          <w:sz w:val="21"/>
        </w:rPr>
      </w:pPr>
      <w:r>
        <w:rPr>
          <w:w w:val="100"/>
          <w:sz w:val="21"/>
        </w:rPr>
        <w:t>…</w:t>
      </w:r>
      <w:r>
        <w:rPr>
          <w:spacing w:val="-2"/>
          <w:w w:val="100"/>
          <w:sz w:val="21"/>
        </w:rPr>
        <w:t>I</w:t>
      </w:r>
      <w:r>
        <w:rPr>
          <w:w w:val="100"/>
          <w:sz w:val="21"/>
        </w:rPr>
        <w:t>n</w:t>
      </w:r>
      <w:r>
        <w:rPr>
          <w:sz w:val="21"/>
        </w:rPr>
        <w:t> </w:t>
      </w:r>
      <w:r>
        <w:rPr>
          <w:spacing w:val="-21"/>
          <w:sz w:val="21"/>
        </w:rPr>
        <w:t> </w:t>
      </w:r>
      <w:r>
        <w:rPr>
          <w:spacing w:val="-2"/>
          <w:w w:val="100"/>
          <w:sz w:val="21"/>
        </w:rPr>
        <w:t>E</w:t>
      </w:r>
      <w:r>
        <w:rPr>
          <w:spacing w:val="-1"/>
          <w:w w:val="100"/>
          <w:sz w:val="21"/>
        </w:rPr>
        <w:t>nglan</w:t>
      </w:r>
      <w:r>
        <w:rPr>
          <w:w w:val="100"/>
          <w:sz w:val="21"/>
        </w:rPr>
        <w:t>d</w:t>
      </w:r>
      <w:r>
        <w:rPr>
          <w:sz w:val="21"/>
        </w:rPr>
        <w:t> </w:t>
      </w:r>
      <w:r>
        <w:rPr>
          <w:spacing w:val="-23"/>
          <w:sz w:val="21"/>
        </w:rPr>
        <w:t> </w:t>
      </w:r>
      <w:r>
        <w:rPr>
          <w:w w:val="100"/>
          <w:sz w:val="21"/>
        </w:rPr>
        <w:t>it</w:t>
      </w:r>
      <w:r>
        <w:rPr>
          <w:sz w:val="21"/>
        </w:rPr>
        <w:t> </w:t>
      </w:r>
      <w:r>
        <w:rPr>
          <w:spacing w:val="-22"/>
          <w:sz w:val="21"/>
        </w:rPr>
        <w:t> </w:t>
      </w:r>
      <w:r>
        <w:rPr>
          <w:spacing w:val="-1"/>
          <w:w w:val="100"/>
          <w:sz w:val="21"/>
        </w:rPr>
        <w:t>h</w:t>
      </w:r>
      <w:r>
        <w:rPr>
          <w:spacing w:val="-3"/>
          <w:w w:val="100"/>
          <w:sz w:val="21"/>
        </w:rPr>
        <w:t>a</w:t>
      </w:r>
      <w:r>
        <w:rPr>
          <w:w w:val="100"/>
          <w:sz w:val="21"/>
        </w:rPr>
        <w:t>s</w:t>
      </w:r>
      <w:r>
        <w:rPr>
          <w:sz w:val="21"/>
        </w:rPr>
        <w:t> </w:t>
      </w:r>
      <w:r>
        <w:rPr>
          <w:spacing w:val="-21"/>
          <w:sz w:val="21"/>
        </w:rPr>
        <w:t> </w:t>
      </w:r>
      <w:r>
        <w:rPr>
          <w:spacing w:val="-1"/>
          <w:w w:val="100"/>
          <w:sz w:val="21"/>
        </w:rPr>
        <w:t>b</w:t>
      </w:r>
      <w:r>
        <w:rPr>
          <w:spacing w:val="-3"/>
          <w:w w:val="100"/>
          <w:sz w:val="21"/>
        </w:rPr>
        <w:t>e</w:t>
      </w:r>
      <w:r>
        <w:rPr>
          <w:spacing w:val="-1"/>
          <w:w w:val="100"/>
          <w:sz w:val="21"/>
        </w:rPr>
        <w:t>e</w:t>
      </w:r>
      <w:r>
        <w:rPr>
          <w:w w:val="100"/>
          <w:sz w:val="21"/>
        </w:rPr>
        <w:t>n</w:t>
      </w:r>
      <w:r>
        <w:rPr>
          <w:sz w:val="21"/>
        </w:rPr>
        <w:t> </w:t>
      </w:r>
      <w:r>
        <w:rPr>
          <w:spacing w:val="-23"/>
          <w:sz w:val="21"/>
        </w:rPr>
        <w:t> </w:t>
      </w:r>
      <w:r>
        <w:rPr>
          <w:spacing w:val="-1"/>
          <w:w w:val="100"/>
          <w:sz w:val="21"/>
        </w:rPr>
        <w:t>hel</w:t>
      </w:r>
      <w:r>
        <w:rPr>
          <w:w w:val="100"/>
          <w:sz w:val="21"/>
        </w:rPr>
        <w:t>d</w:t>
      </w:r>
      <w:r>
        <w:rPr>
          <w:sz w:val="21"/>
        </w:rPr>
        <w:t> </w:t>
      </w:r>
      <w:r>
        <w:rPr>
          <w:spacing w:val="-21"/>
          <w:sz w:val="21"/>
        </w:rPr>
        <w:t> </w:t>
      </w:r>
      <w:r>
        <w:rPr>
          <w:spacing w:val="-2"/>
          <w:w w:val="100"/>
          <w:sz w:val="21"/>
        </w:rPr>
        <w:t>t</w:t>
      </w:r>
      <w:r>
        <w:rPr>
          <w:spacing w:val="-1"/>
          <w:w w:val="100"/>
          <w:sz w:val="21"/>
        </w:rPr>
        <w:t>ha</w:t>
      </w:r>
      <w:r>
        <w:rPr>
          <w:w w:val="100"/>
          <w:sz w:val="21"/>
        </w:rPr>
        <w:t>t</w:t>
      </w:r>
      <w:r>
        <w:rPr>
          <w:sz w:val="21"/>
        </w:rPr>
        <w:t> </w:t>
      </w:r>
      <w:r>
        <w:rPr>
          <w:spacing w:val="-22"/>
          <w:sz w:val="21"/>
        </w:rPr>
        <w:t> </w:t>
      </w:r>
      <w:r>
        <w:rPr>
          <w:spacing w:val="-3"/>
          <w:w w:val="100"/>
          <w:sz w:val="21"/>
        </w:rPr>
        <w:t>g</w:t>
      </w:r>
      <w:r>
        <w:rPr>
          <w:w w:val="100"/>
          <w:sz w:val="21"/>
        </w:rPr>
        <w:t>i</w:t>
      </w:r>
      <w:r>
        <w:rPr>
          <w:spacing w:val="1"/>
          <w:w w:val="100"/>
          <w:sz w:val="21"/>
        </w:rPr>
        <w:t>f</w:t>
      </w:r>
      <w:r>
        <w:rPr>
          <w:spacing w:val="-2"/>
          <w:w w:val="100"/>
          <w:sz w:val="21"/>
        </w:rPr>
        <w:t>t</w:t>
      </w:r>
      <w:r>
        <w:rPr>
          <w:w w:val="100"/>
          <w:sz w:val="21"/>
        </w:rPr>
        <w:t>s</w:t>
      </w:r>
      <w:r>
        <w:rPr>
          <w:sz w:val="21"/>
        </w:rPr>
        <w:t> </w:t>
      </w:r>
      <w:r>
        <w:rPr>
          <w:spacing w:val="-21"/>
          <w:sz w:val="21"/>
        </w:rPr>
        <w:t> </w:t>
      </w:r>
      <w:r>
        <w:rPr>
          <w:spacing w:val="-4"/>
          <w:w w:val="33"/>
          <w:sz w:val="21"/>
        </w:rPr>
        <w:t>―</w:t>
      </w:r>
      <w:r>
        <w:rPr>
          <w:spacing w:val="1"/>
          <w:w w:val="100"/>
          <w:sz w:val="21"/>
        </w:rPr>
        <w:t>f</w:t>
      </w:r>
      <w:r>
        <w:rPr>
          <w:spacing w:val="-1"/>
          <w:w w:val="100"/>
          <w:sz w:val="21"/>
        </w:rPr>
        <w:t>o</w:t>
      </w:r>
      <w:r>
        <w:rPr>
          <w:w w:val="100"/>
          <w:sz w:val="21"/>
        </w:rPr>
        <w:t>r</w:t>
      </w:r>
      <w:r>
        <w:rPr>
          <w:sz w:val="21"/>
        </w:rPr>
        <w:t> </w:t>
      </w:r>
      <w:r>
        <w:rPr>
          <w:spacing w:val="-22"/>
          <w:sz w:val="21"/>
        </w:rPr>
        <w:t> </w:t>
      </w:r>
      <w:r>
        <w:rPr>
          <w:spacing w:val="-2"/>
          <w:w w:val="100"/>
          <w:sz w:val="21"/>
        </w:rPr>
        <w:t>t</w:t>
      </w:r>
      <w:r>
        <w:rPr>
          <w:spacing w:val="-1"/>
          <w:w w:val="100"/>
          <w:sz w:val="21"/>
        </w:rPr>
        <w:t>h</w:t>
      </w:r>
      <w:r>
        <w:rPr>
          <w:w w:val="100"/>
          <w:sz w:val="21"/>
        </w:rPr>
        <w:t>e</w:t>
      </w:r>
      <w:r>
        <w:rPr>
          <w:sz w:val="21"/>
        </w:rPr>
        <w:t> </w:t>
      </w:r>
      <w:r>
        <w:rPr>
          <w:spacing w:val="-23"/>
          <w:sz w:val="21"/>
        </w:rPr>
        <w:t> </w:t>
      </w:r>
      <w:r>
        <w:rPr>
          <w:spacing w:val="-2"/>
          <w:w w:val="100"/>
          <w:sz w:val="21"/>
        </w:rPr>
        <w:t>w</w:t>
      </w:r>
      <w:r>
        <w:rPr>
          <w:spacing w:val="-1"/>
          <w:w w:val="100"/>
          <w:sz w:val="21"/>
        </w:rPr>
        <w:t>orsh</w:t>
      </w:r>
      <w:r>
        <w:rPr>
          <w:w w:val="100"/>
          <w:sz w:val="21"/>
        </w:rPr>
        <w:t>ip</w:t>
      </w:r>
      <w:r>
        <w:rPr>
          <w:sz w:val="21"/>
        </w:rPr>
        <w:t> </w:t>
      </w:r>
      <w:r>
        <w:rPr>
          <w:spacing w:val="-24"/>
          <w:sz w:val="21"/>
        </w:rPr>
        <w:t> </w:t>
      </w:r>
      <w:r>
        <w:rPr>
          <w:spacing w:val="-3"/>
          <w:w w:val="100"/>
          <w:sz w:val="21"/>
        </w:rPr>
        <w:t>o</w:t>
      </w:r>
      <w:r>
        <w:rPr>
          <w:w w:val="100"/>
          <w:sz w:val="21"/>
        </w:rPr>
        <w:t>f </w:t>
      </w:r>
      <w:r>
        <w:rPr>
          <w:spacing w:val="-2"/>
          <w:w w:val="100"/>
          <w:sz w:val="21"/>
        </w:rPr>
        <w:t>G</w:t>
      </w:r>
      <w:r>
        <w:rPr>
          <w:spacing w:val="-1"/>
          <w:w w:val="95"/>
          <w:sz w:val="21"/>
        </w:rPr>
        <w:t>od</w:t>
      </w:r>
      <w:r>
        <w:rPr>
          <w:w w:val="95"/>
          <w:sz w:val="21"/>
        </w:rPr>
        <w:t>‖</w:t>
      </w:r>
      <w:r>
        <w:rPr>
          <w:sz w:val="21"/>
        </w:rPr>
        <w:t> </w:t>
      </w:r>
      <w:r>
        <w:rPr>
          <w:spacing w:val="5"/>
          <w:sz w:val="21"/>
        </w:rPr>
        <w:t> </w:t>
      </w:r>
      <w:r>
        <w:rPr>
          <w:spacing w:val="-1"/>
          <w:w w:val="100"/>
          <w:sz w:val="21"/>
        </w:rPr>
        <w:t>o</w:t>
      </w:r>
      <w:r>
        <w:rPr>
          <w:w w:val="100"/>
          <w:sz w:val="21"/>
        </w:rPr>
        <w:t>r</w:t>
      </w:r>
      <w:r>
        <w:rPr>
          <w:sz w:val="21"/>
        </w:rPr>
        <w:t> </w:t>
      </w:r>
      <w:r>
        <w:rPr>
          <w:spacing w:val="4"/>
          <w:sz w:val="21"/>
        </w:rPr>
        <w:t> </w:t>
      </w:r>
      <w:r>
        <w:rPr>
          <w:spacing w:val="-1"/>
          <w:w w:val="33"/>
          <w:sz w:val="21"/>
        </w:rPr>
        <w:t>―</w:t>
      </w:r>
      <w:r>
        <w:rPr>
          <w:spacing w:val="-2"/>
          <w:w w:val="100"/>
          <w:sz w:val="21"/>
        </w:rPr>
        <w:t>t</w:t>
      </w:r>
      <w:r>
        <w:rPr>
          <w:w w:val="100"/>
          <w:sz w:val="21"/>
        </w:rPr>
        <w:t>o</w:t>
      </w:r>
      <w:r>
        <w:rPr>
          <w:sz w:val="21"/>
        </w:rPr>
        <w:t> </w:t>
      </w:r>
      <w:r>
        <w:rPr>
          <w:spacing w:val="5"/>
          <w:sz w:val="21"/>
        </w:rPr>
        <w:t> </w:t>
      </w:r>
      <w:r>
        <w:rPr>
          <w:spacing w:val="-1"/>
          <w:w w:val="100"/>
          <w:sz w:val="21"/>
        </w:rPr>
        <w:t>b</w:t>
      </w:r>
      <w:r>
        <w:rPr>
          <w:w w:val="100"/>
          <w:sz w:val="21"/>
        </w:rPr>
        <w:t>e</w:t>
      </w:r>
      <w:r>
        <w:rPr>
          <w:sz w:val="21"/>
        </w:rPr>
        <w:t> </w:t>
      </w:r>
      <w:r>
        <w:rPr>
          <w:spacing w:val="5"/>
          <w:sz w:val="21"/>
        </w:rPr>
        <w:t> </w:t>
      </w:r>
      <w:r>
        <w:rPr>
          <w:spacing w:val="-1"/>
          <w:w w:val="100"/>
          <w:sz w:val="21"/>
        </w:rPr>
        <w:t>e</w:t>
      </w:r>
      <w:r>
        <w:rPr>
          <w:spacing w:val="1"/>
          <w:w w:val="100"/>
          <w:sz w:val="21"/>
        </w:rPr>
        <w:t>m</w:t>
      </w:r>
      <w:r>
        <w:rPr>
          <w:spacing w:val="-3"/>
          <w:w w:val="100"/>
          <w:sz w:val="21"/>
        </w:rPr>
        <w:t>p</w:t>
      </w:r>
      <w:r>
        <w:rPr>
          <w:w w:val="100"/>
          <w:sz w:val="21"/>
        </w:rPr>
        <w:t>l</w:t>
      </w:r>
      <w:r>
        <w:rPr>
          <w:spacing w:val="-1"/>
          <w:w w:val="100"/>
          <w:sz w:val="21"/>
        </w:rPr>
        <w:t>o</w:t>
      </w:r>
      <w:r>
        <w:rPr>
          <w:spacing w:val="-3"/>
          <w:w w:val="100"/>
          <w:sz w:val="21"/>
        </w:rPr>
        <w:t>ye</w:t>
      </w:r>
      <w:r>
        <w:rPr>
          <w:w w:val="100"/>
          <w:sz w:val="21"/>
        </w:rPr>
        <w:t>d</w:t>
      </w:r>
      <w:r>
        <w:rPr>
          <w:sz w:val="21"/>
        </w:rPr>
        <w:t> </w:t>
      </w:r>
      <w:r>
        <w:rPr>
          <w:spacing w:val="5"/>
          <w:sz w:val="21"/>
        </w:rPr>
        <w:t> </w:t>
      </w:r>
      <w:r>
        <w:rPr>
          <w:w w:val="100"/>
          <w:sz w:val="21"/>
        </w:rPr>
        <w:t>in</w:t>
      </w:r>
      <w:r>
        <w:rPr>
          <w:sz w:val="21"/>
        </w:rPr>
        <w:t> </w:t>
      </w:r>
      <w:r>
        <w:rPr>
          <w:spacing w:val="5"/>
          <w:sz w:val="21"/>
        </w:rPr>
        <w:t> </w:t>
      </w:r>
      <w:r>
        <w:rPr>
          <w:spacing w:val="-2"/>
          <w:w w:val="100"/>
          <w:sz w:val="21"/>
        </w:rPr>
        <w:t>t</w:t>
      </w:r>
      <w:r>
        <w:rPr>
          <w:spacing w:val="-1"/>
          <w:w w:val="100"/>
          <w:sz w:val="21"/>
        </w:rPr>
        <w:t>h</w:t>
      </w:r>
      <w:r>
        <w:rPr>
          <w:w w:val="100"/>
          <w:sz w:val="21"/>
        </w:rPr>
        <w:t>e</w:t>
      </w:r>
      <w:r>
        <w:rPr>
          <w:sz w:val="21"/>
        </w:rPr>
        <w:t> </w:t>
      </w:r>
      <w:r>
        <w:rPr>
          <w:spacing w:val="5"/>
          <w:sz w:val="21"/>
        </w:rPr>
        <w:t> </w:t>
      </w:r>
      <w:r>
        <w:rPr>
          <w:w w:val="100"/>
          <w:sz w:val="21"/>
        </w:rPr>
        <w:t>ser</w:t>
      </w:r>
      <w:r>
        <w:rPr>
          <w:spacing w:val="-3"/>
          <w:w w:val="100"/>
          <w:sz w:val="21"/>
        </w:rPr>
        <w:t>v</w:t>
      </w:r>
      <w:r>
        <w:rPr>
          <w:w w:val="100"/>
          <w:sz w:val="21"/>
        </w:rPr>
        <w:t>ice</w:t>
      </w:r>
      <w:r>
        <w:rPr>
          <w:sz w:val="21"/>
        </w:rPr>
        <w:t> </w:t>
      </w:r>
      <w:r>
        <w:rPr>
          <w:spacing w:val="5"/>
          <w:sz w:val="21"/>
        </w:rPr>
        <w:t> </w:t>
      </w:r>
      <w:r>
        <w:rPr>
          <w:spacing w:val="-3"/>
          <w:w w:val="100"/>
          <w:sz w:val="21"/>
        </w:rPr>
        <w:t>o</w:t>
      </w:r>
      <w:r>
        <w:rPr>
          <w:w w:val="100"/>
          <w:sz w:val="21"/>
        </w:rPr>
        <w:t>f</w:t>
      </w:r>
      <w:r>
        <w:rPr>
          <w:sz w:val="21"/>
        </w:rPr>
        <w:t> </w:t>
      </w:r>
      <w:r>
        <w:rPr>
          <w:spacing w:val="6"/>
          <w:sz w:val="21"/>
        </w:rPr>
        <w:t> </w:t>
      </w:r>
      <w:r>
        <w:rPr>
          <w:spacing w:val="-2"/>
          <w:w w:val="100"/>
          <w:sz w:val="21"/>
        </w:rPr>
        <w:t>t</w:t>
      </w:r>
      <w:r>
        <w:rPr>
          <w:spacing w:val="-1"/>
          <w:w w:val="100"/>
          <w:sz w:val="21"/>
        </w:rPr>
        <w:t>h</w:t>
      </w:r>
      <w:r>
        <w:rPr>
          <w:w w:val="100"/>
          <w:sz w:val="21"/>
        </w:rPr>
        <w:t>e</w:t>
      </w:r>
      <w:r>
        <w:rPr>
          <w:sz w:val="21"/>
        </w:rPr>
        <w:t> </w:t>
      </w:r>
      <w:r>
        <w:rPr>
          <w:spacing w:val="5"/>
          <w:sz w:val="21"/>
        </w:rPr>
        <w:t> </w:t>
      </w:r>
      <w:r>
        <w:rPr>
          <w:spacing w:val="-1"/>
          <w:w w:val="100"/>
          <w:sz w:val="21"/>
        </w:rPr>
        <w:t>Lor</w:t>
      </w:r>
      <w:r>
        <w:rPr>
          <w:w w:val="100"/>
          <w:sz w:val="21"/>
        </w:rPr>
        <w:t>d</w:t>
      </w:r>
      <w:r>
        <w:rPr>
          <w:sz w:val="21"/>
        </w:rPr>
        <w:t> </w:t>
      </w:r>
      <w:r>
        <w:rPr>
          <w:spacing w:val="5"/>
          <w:sz w:val="21"/>
        </w:rPr>
        <w:t> </w:t>
      </w:r>
      <w:r>
        <w:rPr>
          <w:spacing w:val="5"/>
          <w:w w:val="100"/>
          <w:sz w:val="21"/>
        </w:rPr>
        <w:t>a</w:t>
      </w:r>
      <w:r>
        <w:rPr>
          <w:w w:val="100"/>
          <w:sz w:val="21"/>
        </w:rPr>
        <w:t>nd </w:t>
      </w:r>
      <w:r>
        <w:rPr>
          <w:sz w:val="21"/>
        </w:rPr>
        <w:t>Master‖ are good. </w:t>
      </w:r>
      <w:r>
        <w:rPr>
          <w:b/>
          <w:sz w:val="21"/>
        </w:rPr>
        <w:t>Then does it invalidate the disposition that the discretion is for the spending of the surplus income on the sheba and worship of Kali ―after establishing the image of the Kali after the name of my mother.‖ I think not: the pious purpose is still the legatee, the establishment of the image is merely the mode in which the pious purpose is to be</w:t>
      </w:r>
      <w:r>
        <w:rPr>
          <w:b/>
          <w:spacing w:val="-11"/>
          <w:sz w:val="21"/>
        </w:rPr>
        <w:t> </w:t>
      </w:r>
      <w:r>
        <w:rPr>
          <w:b/>
          <w:sz w:val="21"/>
        </w:rPr>
        <w:t>effected</w:t>
      </w:r>
      <w:r>
        <w:rPr>
          <w:sz w:val="21"/>
        </w:rPr>
        <w:t>.‖</w:t>
      </w:r>
    </w:p>
    <w:p>
      <w:pPr>
        <w:spacing w:before="2"/>
        <w:ind w:left="5798" w:right="0" w:firstLine="0"/>
        <w:jc w:val="both"/>
        <w:rPr>
          <w:sz w:val="21"/>
        </w:rPr>
      </w:pPr>
      <w:r>
        <w:rPr>
          <w:sz w:val="21"/>
        </w:rPr>
        <w:t>(Emphasis supplied)</w:t>
      </w:r>
    </w:p>
    <w:p>
      <w:pPr>
        <w:pStyle w:val="BodyText"/>
        <w:rPr>
          <w:sz w:val="24"/>
        </w:rPr>
      </w:pPr>
    </w:p>
    <w:p>
      <w:pPr>
        <w:pStyle w:val="BodyText"/>
        <w:spacing w:before="2"/>
        <w:rPr>
          <w:sz w:val="21"/>
        </w:rPr>
      </w:pPr>
    </w:p>
    <w:p>
      <w:pPr>
        <w:pStyle w:val="BodyText"/>
        <w:spacing w:before="1"/>
        <w:ind w:left="500"/>
      </w:pPr>
      <w:r>
        <w:rPr/>
        <w:t>In his separate opinion, Justice Stephen noted:</w:t>
      </w:r>
    </w:p>
    <w:p>
      <w:pPr>
        <w:pStyle w:val="BodyText"/>
        <w:spacing w:before="9"/>
        <w:rPr>
          <w:sz w:val="24"/>
        </w:rPr>
      </w:pPr>
    </w:p>
    <w:p>
      <w:pPr>
        <w:spacing w:line="276" w:lineRule="auto" w:before="0"/>
        <w:ind w:left="1940" w:right="2259" w:firstLine="57"/>
        <w:jc w:val="both"/>
        <w:rPr>
          <w:sz w:val="21"/>
        </w:rPr>
      </w:pPr>
      <w:r>
        <w:rPr>
          <w:spacing w:val="-1"/>
          <w:w w:val="33"/>
          <w:sz w:val="21"/>
        </w:rPr>
        <w:t>―</w:t>
      </w:r>
      <w:r>
        <w:rPr>
          <w:w w:val="100"/>
          <w:sz w:val="21"/>
        </w:rPr>
        <w:t>But</w:t>
      </w:r>
      <w:r>
        <w:rPr>
          <w:spacing w:val="10"/>
          <w:sz w:val="21"/>
        </w:rPr>
        <w:t> </w:t>
      </w:r>
      <w:r>
        <w:rPr>
          <w:spacing w:val="-2"/>
          <w:w w:val="100"/>
          <w:sz w:val="21"/>
        </w:rPr>
        <w:t>t</w:t>
      </w:r>
      <w:r>
        <w:rPr>
          <w:w w:val="100"/>
          <w:sz w:val="21"/>
        </w:rPr>
        <w:t>hou</w:t>
      </w:r>
      <w:r>
        <w:rPr>
          <w:spacing w:val="-2"/>
          <w:w w:val="100"/>
          <w:sz w:val="21"/>
        </w:rPr>
        <w:t>g</w:t>
      </w:r>
      <w:r>
        <w:rPr>
          <w:w w:val="100"/>
          <w:sz w:val="21"/>
        </w:rPr>
        <w:t>h</w:t>
      </w:r>
      <w:r>
        <w:rPr>
          <w:spacing w:val="11"/>
          <w:sz w:val="21"/>
        </w:rPr>
        <w:t> </w:t>
      </w:r>
      <w:r>
        <w:rPr>
          <w:w w:val="100"/>
          <w:sz w:val="21"/>
        </w:rPr>
        <w:t>a</w:t>
      </w:r>
      <w:r>
        <w:rPr>
          <w:spacing w:val="8"/>
          <w:sz w:val="21"/>
        </w:rPr>
        <w:t> </w:t>
      </w:r>
      <w:r>
        <w:rPr>
          <w:w w:val="100"/>
          <w:sz w:val="21"/>
        </w:rPr>
        <w:t>de</w:t>
      </w:r>
      <w:r>
        <w:rPr>
          <w:spacing w:val="-2"/>
          <w:w w:val="100"/>
          <w:sz w:val="21"/>
        </w:rPr>
        <w:t>d</w:t>
      </w:r>
      <w:r>
        <w:rPr>
          <w:w w:val="100"/>
          <w:sz w:val="21"/>
        </w:rPr>
        <w:t>i</w:t>
      </w:r>
      <w:r>
        <w:rPr>
          <w:w w:val="100"/>
          <w:sz w:val="21"/>
        </w:rPr>
        <w:t>ca</w:t>
      </w:r>
      <w:r>
        <w:rPr>
          <w:spacing w:val="-4"/>
          <w:w w:val="100"/>
          <w:sz w:val="21"/>
        </w:rPr>
        <w:t>t</w:t>
      </w:r>
      <w:r>
        <w:rPr>
          <w:w w:val="100"/>
          <w:sz w:val="21"/>
        </w:rPr>
        <w:t>i</w:t>
      </w:r>
      <w:r>
        <w:rPr>
          <w:w w:val="100"/>
          <w:sz w:val="21"/>
        </w:rPr>
        <w:t>on</w:t>
      </w:r>
      <w:r>
        <w:rPr>
          <w:spacing w:val="9"/>
          <w:sz w:val="21"/>
        </w:rPr>
        <w:t> </w:t>
      </w:r>
      <w:r>
        <w:rPr>
          <w:spacing w:val="-2"/>
          <w:w w:val="100"/>
          <w:sz w:val="21"/>
        </w:rPr>
        <w:t>t</w:t>
      </w:r>
      <w:r>
        <w:rPr>
          <w:w w:val="100"/>
          <w:sz w:val="21"/>
        </w:rPr>
        <w:t>o</w:t>
      </w:r>
      <w:r>
        <w:rPr>
          <w:spacing w:val="11"/>
          <w:sz w:val="21"/>
        </w:rPr>
        <w:t> </w:t>
      </w:r>
      <w:r>
        <w:rPr>
          <w:w w:val="100"/>
          <w:sz w:val="21"/>
        </w:rPr>
        <w:t>a</w:t>
      </w:r>
      <w:r>
        <w:rPr>
          <w:spacing w:val="11"/>
          <w:sz w:val="21"/>
        </w:rPr>
        <w:t> </w:t>
      </w:r>
      <w:r>
        <w:rPr>
          <w:w w:val="100"/>
          <w:sz w:val="21"/>
        </w:rPr>
        <w:t>d</w:t>
      </w:r>
      <w:r>
        <w:rPr>
          <w:spacing w:val="-3"/>
          <w:w w:val="100"/>
          <w:sz w:val="21"/>
        </w:rPr>
        <w:t>e</w:t>
      </w:r>
      <w:r>
        <w:rPr>
          <w:w w:val="100"/>
          <w:sz w:val="21"/>
        </w:rPr>
        <w:t>i</w:t>
      </w:r>
      <w:r>
        <w:rPr>
          <w:spacing w:val="-2"/>
          <w:w w:val="100"/>
          <w:sz w:val="21"/>
        </w:rPr>
        <w:t>t</w:t>
      </w:r>
      <w:r>
        <w:rPr>
          <w:w w:val="100"/>
          <w:sz w:val="21"/>
        </w:rPr>
        <w:t>y</w:t>
      </w:r>
      <w:r>
        <w:rPr>
          <w:spacing w:val="8"/>
          <w:sz w:val="21"/>
        </w:rPr>
        <w:t> </w:t>
      </w:r>
      <w:r>
        <w:rPr>
          <w:w w:val="100"/>
          <w:sz w:val="21"/>
        </w:rPr>
        <w:t>does</w:t>
      </w:r>
      <w:r>
        <w:rPr>
          <w:spacing w:val="11"/>
          <w:sz w:val="21"/>
        </w:rPr>
        <w:t> </w:t>
      </w:r>
      <w:r>
        <w:rPr>
          <w:spacing w:val="-3"/>
          <w:w w:val="100"/>
          <w:sz w:val="21"/>
        </w:rPr>
        <w:t>n</w:t>
      </w:r>
      <w:r>
        <w:rPr>
          <w:w w:val="100"/>
          <w:sz w:val="21"/>
        </w:rPr>
        <w:t>ot</w:t>
      </w:r>
      <w:r>
        <w:rPr>
          <w:spacing w:val="10"/>
          <w:sz w:val="21"/>
        </w:rPr>
        <w:t> </w:t>
      </w:r>
      <w:r>
        <w:rPr>
          <w:w w:val="100"/>
          <w:sz w:val="21"/>
        </w:rPr>
        <w:t>co</w:t>
      </w:r>
      <w:r>
        <w:rPr>
          <w:spacing w:val="-3"/>
          <w:w w:val="100"/>
          <w:sz w:val="21"/>
        </w:rPr>
        <w:t>n</w:t>
      </w:r>
      <w:r>
        <w:rPr>
          <w:w w:val="100"/>
          <w:sz w:val="21"/>
        </w:rPr>
        <w:t>s</w:t>
      </w:r>
      <w:r>
        <w:rPr>
          <w:spacing w:val="-2"/>
          <w:w w:val="100"/>
          <w:sz w:val="21"/>
        </w:rPr>
        <w:t>t</w:t>
      </w:r>
      <w:r>
        <w:rPr>
          <w:w w:val="100"/>
          <w:sz w:val="21"/>
        </w:rPr>
        <w:t>i</w:t>
      </w:r>
      <w:r>
        <w:rPr>
          <w:spacing w:val="-4"/>
          <w:w w:val="100"/>
          <w:sz w:val="21"/>
        </w:rPr>
        <w:t>t</w:t>
      </w:r>
      <w:r>
        <w:rPr>
          <w:w w:val="100"/>
          <w:sz w:val="21"/>
        </w:rPr>
        <w:t>u</w:t>
      </w:r>
      <w:r>
        <w:rPr>
          <w:spacing w:val="-1"/>
          <w:w w:val="100"/>
          <w:sz w:val="21"/>
        </w:rPr>
        <w:t>t</w:t>
      </w:r>
      <w:r>
        <w:rPr>
          <w:w w:val="100"/>
          <w:sz w:val="21"/>
        </w:rPr>
        <w:t>e</w:t>
      </w:r>
      <w:r>
        <w:rPr>
          <w:spacing w:val="11"/>
          <w:sz w:val="21"/>
        </w:rPr>
        <w:t> </w:t>
      </w:r>
      <w:r>
        <w:rPr>
          <w:w w:val="100"/>
          <w:sz w:val="21"/>
        </w:rPr>
        <w:t>a</w:t>
      </w:r>
      <w:r>
        <w:rPr>
          <w:spacing w:val="11"/>
          <w:sz w:val="21"/>
        </w:rPr>
        <w:t> </w:t>
      </w:r>
      <w:r>
        <w:rPr>
          <w:spacing w:val="-3"/>
          <w:w w:val="100"/>
          <w:sz w:val="21"/>
        </w:rPr>
        <w:t>g</w:t>
      </w:r>
      <w:r>
        <w:rPr>
          <w:w w:val="100"/>
          <w:sz w:val="21"/>
        </w:rPr>
        <w:t>i</w:t>
      </w:r>
      <w:r>
        <w:rPr>
          <w:spacing w:val="1"/>
          <w:w w:val="100"/>
          <w:sz w:val="21"/>
        </w:rPr>
        <w:t>f</w:t>
      </w:r>
      <w:r>
        <w:rPr>
          <w:spacing w:val="3"/>
          <w:w w:val="100"/>
          <w:sz w:val="21"/>
        </w:rPr>
        <w:t>t</w:t>
      </w:r>
      <w:r>
        <w:rPr>
          <w:w w:val="100"/>
          <w:sz w:val="21"/>
        </w:rPr>
        <w:t>, </w:t>
      </w:r>
      <w:r>
        <w:rPr>
          <w:sz w:val="21"/>
        </w:rPr>
        <w:t>it has legal effect. The intention of the donor is that the subject-matter of the gift shall be used for doing honour to the deity by worship, and for conferring benefit on the worshippers and the ministers of the deity who conduct it. This</w:t>
      </w:r>
      <w:r>
        <w:rPr>
          <w:spacing w:val="13"/>
          <w:sz w:val="21"/>
        </w:rPr>
        <w:t> </w:t>
      </w:r>
      <w:r>
        <w:rPr>
          <w:sz w:val="21"/>
        </w:rPr>
        <w:t>worship</w:t>
      </w:r>
      <w:r>
        <w:rPr>
          <w:spacing w:val="11"/>
          <w:sz w:val="21"/>
        </w:rPr>
        <w:t> </w:t>
      </w:r>
      <w:r>
        <w:rPr>
          <w:sz w:val="21"/>
        </w:rPr>
        <w:t>is</w:t>
      </w:r>
      <w:r>
        <w:rPr>
          <w:spacing w:val="13"/>
          <w:sz w:val="21"/>
        </w:rPr>
        <w:t> </w:t>
      </w:r>
      <w:r>
        <w:rPr>
          <w:sz w:val="21"/>
        </w:rPr>
        <w:t>properly</w:t>
      </w:r>
      <w:r>
        <w:rPr>
          <w:spacing w:val="12"/>
          <w:sz w:val="21"/>
        </w:rPr>
        <w:t> </w:t>
      </w:r>
      <w:r>
        <w:rPr>
          <w:sz w:val="21"/>
        </w:rPr>
        <w:t>and</w:t>
      </w:r>
      <w:r>
        <w:rPr>
          <w:spacing w:val="13"/>
          <w:sz w:val="21"/>
        </w:rPr>
        <w:t> </w:t>
      </w:r>
      <w:r>
        <w:rPr>
          <w:sz w:val="21"/>
        </w:rPr>
        <w:t>I</w:t>
      </w:r>
      <w:r>
        <w:rPr>
          <w:spacing w:val="12"/>
          <w:sz w:val="21"/>
        </w:rPr>
        <w:t> </w:t>
      </w:r>
      <w:r>
        <w:rPr>
          <w:sz w:val="21"/>
        </w:rPr>
        <w:t>understand</w:t>
      </w:r>
      <w:r>
        <w:rPr>
          <w:spacing w:val="12"/>
          <w:sz w:val="21"/>
        </w:rPr>
        <w:t> </w:t>
      </w:r>
      <w:r>
        <w:rPr>
          <w:sz w:val="21"/>
        </w:rPr>
        <w:t>necessarily</w:t>
      </w:r>
      <w:r>
        <w:rPr>
          <w:spacing w:val="11"/>
          <w:sz w:val="21"/>
        </w:rPr>
        <w:t> </w:t>
      </w:r>
      <w:r>
        <w:rPr>
          <w:sz w:val="21"/>
        </w:rPr>
        <w:t>carried</w:t>
      </w:r>
    </w:p>
    <w:p>
      <w:pPr>
        <w:pStyle w:val="BodyText"/>
        <w:spacing w:before="9"/>
        <w:rPr>
          <w:sz w:val="10"/>
        </w:rPr>
      </w:pPr>
      <w:r>
        <w:rPr/>
        <w:pict>
          <v:rect style="position:absolute;margin-left:72.024002pt;margin-top:8.163062pt;width:144.020pt;height:.599980pt;mso-position-horizontal-relative:page;mso-position-vertical-relative:paragraph;z-index:-1570611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60</w:t>
      </w:r>
      <w:r>
        <w:rPr>
          <w:sz w:val="18"/>
          <w:vertAlign w:val="baseline"/>
        </w:rPr>
        <w:t> ILR (1909-1910) 37 Cal 128</w:t>
      </w:r>
    </w:p>
    <w:p>
      <w:pPr>
        <w:spacing w:after="0"/>
        <w:jc w:val="left"/>
        <w:rPr>
          <w:sz w:val="18"/>
        </w:rPr>
        <w:sectPr>
          <w:pgSz w:w="11910" w:h="16840"/>
          <w:pgMar w:header="721" w:footer="1014" w:top="1300" w:bottom="1200" w:left="940" w:right="1000"/>
        </w:sectPr>
      </w:pPr>
    </w:p>
    <w:p>
      <w:pPr>
        <w:spacing w:line="276" w:lineRule="auto" w:before="122"/>
        <w:ind w:left="1940" w:right="2261" w:firstLine="0"/>
        <w:jc w:val="both"/>
        <w:rPr>
          <w:sz w:val="21"/>
        </w:rPr>
      </w:pPr>
      <w:r>
        <w:rPr>
          <w:sz w:val="21"/>
        </w:rPr>
        <w:t>out by having recourse to an image or outer physical object, but the image is nothing till inspired by the deity. </w:t>
      </w:r>
      <w:r>
        <w:rPr>
          <w:b/>
          <w:sz w:val="21"/>
        </w:rPr>
        <w:t>It is the  duty of the sovereign to see that the purposes of the dedication are carried</w:t>
      </w:r>
      <w:r>
        <w:rPr>
          <w:b/>
          <w:spacing w:val="-3"/>
          <w:sz w:val="21"/>
        </w:rPr>
        <w:t> </w:t>
      </w:r>
      <w:r>
        <w:rPr>
          <w:b/>
          <w:sz w:val="21"/>
        </w:rPr>
        <w:t>out</w:t>
      </w:r>
      <w:r>
        <w:rPr>
          <w:sz w:val="21"/>
        </w:rPr>
        <w:t>.‖</w:t>
      </w:r>
    </w:p>
    <w:p>
      <w:pPr>
        <w:spacing w:before="1"/>
        <w:ind w:left="5798" w:right="0" w:firstLine="0"/>
        <w:jc w:val="left"/>
        <w:rPr>
          <w:sz w:val="21"/>
        </w:rPr>
      </w:pPr>
      <w:r>
        <w:rPr>
          <w:sz w:val="21"/>
        </w:rPr>
        <w:t>(Emphasis supplied)</w:t>
      </w:r>
    </w:p>
    <w:p>
      <w:pPr>
        <w:pStyle w:val="BodyText"/>
        <w:spacing w:before="1"/>
        <w:rPr>
          <w:sz w:val="28"/>
        </w:rPr>
      </w:pPr>
    </w:p>
    <w:p>
      <w:pPr>
        <w:pStyle w:val="BodyText"/>
        <w:spacing w:line="480" w:lineRule="auto" w:before="1"/>
        <w:ind w:left="500" w:right="441"/>
        <w:jc w:val="both"/>
      </w:pPr>
      <w:r>
        <w:rPr/>
        <w:t>In holding that the non-existence of the idol at the time of the testator‘s death did not matter, the opinion of Chief Justice Jenkins clearly demonstrates that the </w:t>
      </w:r>
      <w:r>
        <w:rPr>
          <w:spacing w:val="-1"/>
          <w:w w:val="99"/>
        </w:rPr>
        <w:t>e</w:t>
      </w:r>
      <w:r>
        <w:rPr>
          <w:w w:val="99"/>
        </w:rPr>
        <w:t>n</w:t>
      </w:r>
      <w:r>
        <w:rPr>
          <w:spacing w:val="-1"/>
          <w:w w:val="99"/>
        </w:rPr>
        <w:t>d</w:t>
      </w:r>
      <w:r>
        <w:rPr>
          <w:w w:val="99"/>
        </w:rPr>
        <w:t>o</w:t>
      </w:r>
      <w:r>
        <w:rPr>
          <w:spacing w:val="-1"/>
          <w:w w:val="99"/>
        </w:rPr>
        <w:t>we</w:t>
      </w:r>
      <w:r>
        <w:rPr>
          <w:w w:val="99"/>
        </w:rPr>
        <w:t>d</w:t>
      </w:r>
      <w:r>
        <w:rPr>
          <w:spacing w:val="17"/>
        </w:rPr>
        <w:t> </w:t>
      </w:r>
      <w:r>
        <w:rPr>
          <w:spacing w:val="-1"/>
          <w:w w:val="99"/>
        </w:rPr>
        <w:t>p</w:t>
      </w:r>
      <w:r>
        <w:rPr>
          <w:w w:val="99"/>
        </w:rPr>
        <w:t>r</w:t>
      </w:r>
      <w:r>
        <w:rPr>
          <w:spacing w:val="-1"/>
          <w:w w:val="99"/>
        </w:rPr>
        <w:t>o</w:t>
      </w:r>
      <w:r>
        <w:rPr>
          <w:w w:val="99"/>
        </w:rPr>
        <w:t>p</w:t>
      </w:r>
      <w:r>
        <w:rPr>
          <w:spacing w:val="-1"/>
          <w:w w:val="99"/>
        </w:rPr>
        <w:t>e</w:t>
      </w:r>
      <w:r>
        <w:rPr>
          <w:w w:val="99"/>
        </w:rPr>
        <w:t>rty</w:t>
      </w:r>
      <w:r>
        <w:rPr>
          <w:spacing w:val="14"/>
        </w:rPr>
        <w:t> </w:t>
      </w:r>
      <w:r>
        <w:rPr>
          <w:spacing w:val="-3"/>
          <w:w w:val="99"/>
        </w:rPr>
        <w:t>v</w:t>
      </w:r>
      <w:r>
        <w:rPr>
          <w:spacing w:val="2"/>
          <w:w w:val="99"/>
        </w:rPr>
        <w:t>e</w:t>
      </w:r>
      <w:r>
        <w:rPr>
          <w:w w:val="99"/>
        </w:rPr>
        <w:t>sts</w:t>
      </w:r>
      <w:r>
        <w:rPr>
          <w:spacing w:val="16"/>
        </w:rPr>
        <w:t> </w:t>
      </w:r>
      <w:r>
        <w:rPr>
          <w:spacing w:val="-1"/>
          <w:w w:val="99"/>
        </w:rPr>
        <w:t>i</w:t>
      </w:r>
      <w:r>
        <w:rPr>
          <w:w w:val="99"/>
        </w:rPr>
        <w:t>n</w:t>
      </w:r>
      <w:r>
        <w:rPr>
          <w:spacing w:val="16"/>
        </w:rPr>
        <w:t> </w:t>
      </w:r>
      <w:r>
        <w:rPr>
          <w:w w:val="99"/>
        </w:rPr>
        <w:t>the</w:t>
      </w:r>
      <w:r>
        <w:rPr>
          <w:spacing w:val="17"/>
        </w:rPr>
        <w:t> </w:t>
      </w:r>
      <w:r>
        <w:rPr>
          <w:spacing w:val="-1"/>
          <w:w w:val="99"/>
        </w:rPr>
        <w:t>p</w:t>
      </w:r>
      <w:r>
        <w:rPr>
          <w:w w:val="99"/>
        </w:rPr>
        <w:t>ur</w:t>
      </w:r>
      <w:r>
        <w:rPr>
          <w:spacing w:val="-1"/>
          <w:w w:val="99"/>
        </w:rPr>
        <w:t>p</w:t>
      </w:r>
      <w:r>
        <w:rPr>
          <w:w w:val="99"/>
        </w:rPr>
        <w:t>ose</w:t>
      </w:r>
      <w:r>
        <w:rPr>
          <w:spacing w:val="17"/>
        </w:rPr>
        <w:t> </w:t>
      </w:r>
      <w:r>
        <w:rPr>
          <w:spacing w:val="-1"/>
          <w:w w:val="99"/>
        </w:rPr>
        <w:t>it</w:t>
      </w:r>
      <w:r>
        <w:rPr>
          <w:spacing w:val="-3"/>
          <w:w w:val="99"/>
        </w:rPr>
        <w:t>s</w:t>
      </w:r>
      <w:r>
        <w:rPr>
          <w:spacing w:val="-1"/>
          <w:w w:val="99"/>
        </w:rPr>
        <w:t>elf</w:t>
      </w:r>
      <w:r>
        <w:rPr>
          <w:w w:val="99"/>
        </w:rPr>
        <w:t>.</w:t>
      </w:r>
      <w:r>
        <w:rPr>
          <w:spacing w:val="17"/>
        </w:rPr>
        <w:t> </w:t>
      </w:r>
      <w:r>
        <w:rPr>
          <w:spacing w:val="-1"/>
          <w:w w:val="99"/>
        </w:rPr>
        <w:t>A</w:t>
      </w:r>
      <w:r>
        <w:rPr>
          <w:w w:val="99"/>
        </w:rPr>
        <w:t>s</w:t>
      </w:r>
      <w:r>
        <w:rPr>
          <w:spacing w:val="16"/>
        </w:rPr>
        <w:t> </w:t>
      </w:r>
      <w:r>
        <w:rPr>
          <w:spacing w:val="-1"/>
          <w:w w:val="99"/>
        </w:rPr>
        <w:t>h</w:t>
      </w:r>
      <w:r>
        <w:rPr>
          <w:w w:val="99"/>
        </w:rPr>
        <w:t>e</w:t>
      </w:r>
      <w:r>
        <w:rPr>
          <w:spacing w:val="17"/>
        </w:rPr>
        <w:t> </w:t>
      </w:r>
      <w:r>
        <w:rPr>
          <w:spacing w:val="-1"/>
          <w:w w:val="99"/>
        </w:rPr>
        <w:t>n</w:t>
      </w:r>
      <w:r>
        <w:rPr>
          <w:w w:val="99"/>
        </w:rPr>
        <w:t>otes,</w:t>
      </w:r>
      <w:r>
        <w:rPr>
          <w:spacing w:val="17"/>
        </w:rPr>
        <w:t> </w:t>
      </w:r>
      <w:r>
        <w:rPr>
          <w:w w:val="33"/>
        </w:rPr>
        <w:t>―</w:t>
      </w:r>
      <w:r>
        <w:rPr>
          <w:w w:val="99"/>
        </w:rPr>
        <w:t>the</w:t>
      </w:r>
      <w:r>
        <w:rPr>
          <w:spacing w:val="15"/>
        </w:rPr>
        <w:t> </w:t>
      </w:r>
      <w:r>
        <w:rPr>
          <w:spacing w:val="-1"/>
          <w:w w:val="99"/>
        </w:rPr>
        <w:t>pio</w:t>
      </w:r>
      <w:r>
        <w:rPr>
          <w:w w:val="99"/>
        </w:rPr>
        <w:t>us</w:t>
      </w:r>
      <w:r>
        <w:rPr>
          <w:spacing w:val="16"/>
        </w:rPr>
        <w:t> </w:t>
      </w:r>
      <w:r>
        <w:rPr>
          <w:spacing w:val="-1"/>
          <w:w w:val="99"/>
        </w:rPr>
        <w:t>p</w:t>
      </w:r>
      <w:r>
        <w:rPr>
          <w:w w:val="99"/>
        </w:rPr>
        <w:t>ur</w:t>
      </w:r>
      <w:r>
        <w:rPr>
          <w:spacing w:val="-1"/>
          <w:w w:val="99"/>
        </w:rPr>
        <w:t>p</w:t>
      </w:r>
      <w:r>
        <w:rPr>
          <w:w w:val="99"/>
        </w:rPr>
        <w:t>ose</w:t>
      </w:r>
      <w:r>
        <w:rPr>
          <w:spacing w:val="17"/>
        </w:rPr>
        <w:t> </w:t>
      </w:r>
      <w:r>
        <w:rPr>
          <w:spacing w:val="-1"/>
          <w:w w:val="99"/>
        </w:rPr>
        <w:t>is </w:t>
      </w:r>
      <w:r>
        <w:rPr/>
        <w:t>still the legatee.‖ It is on this purpose that juristic personality is conferred. In recognising the pious purpose as a juristic person, the state gives effect to, and protects the endowment. The idol is the material embodiment of the testator‘s gift. As the gift is one to ensure the continued worship of the deity, the idol is a physical manifestation of the testator‘s pious purpose. Where courts recognise the legal personality of the idol they are in effect recognising and protecting the testator‘s desire that the deity be</w:t>
      </w:r>
      <w:r>
        <w:rPr>
          <w:spacing w:val="-6"/>
        </w:rPr>
        <w:t> </w:t>
      </w:r>
      <w:r>
        <w:rPr/>
        <w:t>worshipped.</w:t>
      </w:r>
    </w:p>
    <w:p>
      <w:pPr>
        <w:pStyle w:val="BodyText"/>
        <w:rPr>
          <w:sz w:val="28"/>
        </w:rPr>
      </w:pPr>
    </w:p>
    <w:p>
      <w:pPr>
        <w:pStyle w:val="BodyText"/>
        <w:spacing w:before="2"/>
        <w:rPr>
          <w:sz w:val="22"/>
        </w:rPr>
      </w:pPr>
    </w:p>
    <w:p>
      <w:pPr>
        <w:pStyle w:val="ListParagraph"/>
        <w:numPr>
          <w:ilvl w:val="0"/>
          <w:numId w:val="3"/>
        </w:numPr>
        <w:tabs>
          <w:tab w:pos="1220" w:val="left" w:leader="none"/>
          <w:tab w:pos="1221" w:val="left" w:leader="none"/>
        </w:tabs>
        <w:spacing w:line="480" w:lineRule="auto" w:before="0" w:after="0"/>
        <w:ind w:left="500" w:right="444" w:firstLine="0"/>
        <w:jc w:val="left"/>
        <w:rPr>
          <w:sz w:val="25"/>
        </w:rPr>
      </w:pPr>
      <w:r>
        <w:rPr>
          <w:sz w:val="25"/>
        </w:rPr>
        <w:t>The understanding espoused by the decisions referred to above is concisely summarised by Chief Justice B K Mukherjea in the following</w:t>
      </w:r>
      <w:r>
        <w:rPr>
          <w:spacing w:val="-6"/>
          <w:sz w:val="25"/>
        </w:rPr>
        <w:t> </w:t>
      </w:r>
      <w:r>
        <w:rPr>
          <w:sz w:val="25"/>
        </w:rPr>
        <w:t>terms:</w:t>
      </w:r>
    </w:p>
    <w:p>
      <w:pPr>
        <w:spacing w:line="276" w:lineRule="auto" w:before="0"/>
        <w:ind w:left="1940" w:right="2260" w:firstLine="0"/>
        <w:jc w:val="both"/>
        <w:rPr>
          <w:sz w:val="21"/>
        </w:rPr>
      </w:pPr>
      <w:r>
        <w:rPr>
          <w:w w:val="33"/>
          <w:sz w:val="21"/>
        </w:rPr>
        <w:t>―</w:t>
      </w:r>
      <w:r>
        <w:rPr>
          <w:w w:val="100"/>
          <w:sz w:val="21"/>
        </w:rPr>
        <w:t>1.48A.-</w:t>
      </w:r>
      <w:r>
        <w:rPr>
          <w:sz w:val="21"/>
        </w:rPr>
        <w:t> </w:t>
      </w:r>
      <w:r>
        <w:rPr>
          <w:w w:val="100"/>
          <w:sz w:val="21"/>
        </w:rPr>
        <w:t>Pr</w:t>
      </w:r>
      <w:r>
        <w:rPr>
          <w:w w:val="100"/>
          <w:sz w:val="21"/>
        </w:rPr>
        <w:t>i</w:t>
      </w:r>
      <w:r>
        <w:rPr>
          <w:w w:val="100"/>
          <w:sz w:val="21"/>
        </w:rPr>
        <w:t>nc</w:t>
      </w:r>
      <w:r>
        <w:rPr>
          <w:w w:val="100"/>
          <w:sz w:val="21"/>
        </w:rPr>
        <w:t>i</w:t>
      </w:r>
      <w:r>
        <w:rPr>
          <w:w w:val="100"/>
          <w:sz w:val="21"/>
        </w:rPr>
        <w:t>p</w:t>
      </w:r>
      <w:r>
        <w:rPr>
          <w:w w:val="100"/>
          <w:sz w:val="21"/>
        </w:rPr>
        <w:t>l</w:t>
      </w:r>
      <w:r>
        <w:rPr>
          <w:w w:val="100"/>
          <w:sz w:val="21"/>
        </w:rPr>
        <w:t>e</w:t>
      </w:r>
      <w:r>
        <w:rPr>
          <w:sz w:val="21"/>
        </w:rPr>
        <w:t> </w:t>
      </w:r>
      <w:r>
        <w:rPr>
          <w:w w:val="100"/>
          <w:sz w:val="21"/>
        </w:rPr>
        <w:t>a</w:t>
      </w:r>
      <w:r>
        <w:rPr>
          <w:w w:val="100"/>
          <w:sz w:val="21"/>
        </w:rPr>
        <w:t>s</w:t>
      </w:r>
      <w:r>
        <w:rPr>
          <w:sz w:val="21"/>
        </w:rPr>
        <w:t> </w:t>
      </w:r>
      <w:r>
        <w:rPr>
          <w:w w:val="100"/>
          <w:sz w:val="21"/>
        </w:rPr>
        <w:t>t</w:t>
      </w:r>
      <w:r>
        <w:rPr>
          <w:w w:val="100"/>
          <w:sz w:val="21"/>
        </w:rPr>
        <w:t>o</w:t>
      </w:r>
      <w:r>
        <w:rPr>
          <w:sz w:val="21"/>
        </w:rPr>
        <w:t> </w:t>
      </w:r>
      <w:r>
        <w:rPr>
          <w:w w:val="100"/>
          <w:sz w:val="21"/>
        </w:rPr>
        <w:t>persona</w:t>
      </w:r>
      <w:r>
        <w:rPr>
          <w:w w:val="100"/>
          <w:sz w:val="21"/>
        </w:rPr>
        <w:t>li</w:t>
      </w:r>
      <w:r>
        <w:rPr>
          <w:w w:val="100"/>
          <w:sz w:val="21"/>
        </w:rPr>
        <w:t>t</w:t>
      </w:r>
      <w:r>
        <w:rPr>
          <w:w w:val="100"/>
          <w:sz w:val="21"/>
        </w:rPr>
        <w:t>y</w:t>
      </w:r>
      <w:r>
        <w:rPr>
          <w:sz w:val="21"/>
        </w:rPr>
        <w:t> </w:t>
      </w:r>
      <w:r>
        <w:rPr>
          <w:w w:val="100"/>
          <w:sz w:val="21"/>
        </w:rPr>
        <w:t>of</w:t>
      </w:r>
      <w:r>
        <w:rPr>
          <w:sz w:val="21"/>
        </w:rPr>
        <w:t> </w:t>
      </w:r>
      <w:r>
        <w:rPr>
          <w:w w:val="100"/>
          <w:sz w:val="21"/>
        </w:rPr>
        <w:t>i</w:t>
      </w:r>
      <w:r>
        <w:rPr>
          <w:w w:val="100"/>
          <w:sz w:val="21"/>
        </w:rPr>
        <w:t>nst</w:t>
      </w:r>
      <w:r>
        <w:rPr>
          <w:w w:val="100"/>
          <w:sz w:val="21"/>
        </w:rPr>
        <w:t>i</w:t>
      </w:r>
      <w:r>
        <w:rPr>
          <w:w w:val="100"/>
          <w:sz w:val="21"/>
        </w:rPr>
        <w:t>t</w:t>
      </w:r>
      <w:r>
        <w:rPr>
          <w:w w:val="100"/>
          <w:sz w:val="21"/>
        </w:rPr>
        <w:t>ut</w:t>
      </w:r>
      <w:r>
        <w:rPr>
          <w:w w:val="100"/>
          <w:sz w:val="21"/>
        </w:rPr>
        <w:t>i</w:t>
      </w:r>
      <w:r>
        <w:rPr>
          <w:w w:val="100"/>
          <w:sz w:val="21"/>
        </w:rPr>
        <w:t>o</w:t>
      </w:r>
      <w:r>
        <w:rPr>
          <w:w w:val="100"/>
          <w:sz w:val="21"/>
        </w:rPr>
        <w:t>ns.-</w:t>
      </w:r>
      <w:r>
        <w:rPr>
          <w:sz w:val="21"/>
        </w:rPr>
        <w:t> </w:t>
      </w:r>
      <w:r>
        <w:rPr>
          <w:w w:val="100"/>
          <w:sz w:val="21"/>
        </w:rPr>
        <w:t>Apart</w:t>
      </w:r>
      <w:r>
        <w:rPr>
          <w:sz w:val="21"/>
        </w:rPr>
        <w:t> </w:t>
      </w:r>
      <w:r>
        <w:rPr>
          <w:w w:val="100"/>
          <w:sz w:val="21"/>
        </w:rPr>
        <w:t>f</w:t>
      </w:r>
      <w:r>
        <w:rPr>
          <w:w w:val="100"/>
          <w:sz w:val="21"/>
        </w:rPr>
        <w:t>r</w:t>
      </w:r>
      <w:r>
        <w:rPr>
          <w:w w:val="100"/>
          <w:sz w:val="21"/>
        </w:rPr>
        <w:t>o</w:t>
      </w:r>
      <w:r>
        <w:rPr>
          <w:w w:val="100"/>
          <w:sz w:val="21"/>
        </w:rPr>
        <w:t>m </w:t>
      </w:r>
      <w:r>
        <w:rPr>
          <w:sz w:val="21"/>
        </w:rPr>
        <w:t>natural persons and corporations, which are recognised by English law, the position under Hindu law is that if an endowments is made for a religious or charitable institution, without the instrumentality of a trust, and the object of the endowment is one which is recognised as pious, </w:t>
      </w:r>
      <w:r>
        <w:rPr>
          <w:b/>
          <w:sz w:val="21"/>
        </w:rPr>
        <w:t>being either religious or charitable under the accepted notions of Hindu law, the institution will be treated as a juristic person capable of holding property</w:t>
      </w:r>
      <w:r>
        <w:rPr>
          <w:sz w:val="21"/>
        </w:rPr>
        <w:t>.</w:t>
      </w:r>
    </w:p>
    <w:p>
      <w:pPr>
        <w:spacing w:line="241" w:lineRule="exact" w:before="0"/>
        <w:ind w:left="1940" w:right="0" w:firstLine="0"/>
        <w:jc w:val="left"/>
        <w:rPr>
          <w:sz w:val="21"/>
        </w:rPr>
      </w:pPr>
      <w:r>
        <w:rPr>
          <w:w w:val="100"/>
          <w:sz w:val="21"/>
        </w:rPr>
        <w:t>…</w:t>
      </w:r>
    </w:p>
    <w:p>
      <w:pPr>
        <w:spacing w:line="276" w:lineRule="auto" w:before="36"/>
        <w:ind w:left="1940" w:right="2260" w:firstLine="0"/>
        <w:jc w:val="both"/>
        <w:rPr>
          <w:sz w:val="21"/>
        </w:rPr>
      </w:pPr>
      <w:r>
        <w:rPr>
          <w:sz w:val="21"/>
        </w:rPr>
        <w:t>1.48B. Idols.- The position as to idols is of a special nature. In the Hindu Debutter, it seems, the position is slightly different, and not the whole endowment, but </w:t>
      </w:r>
      <w:r>
        <w:rPr>
          <w:b/>
          <w:sz w:val="21"/>
        </w:rPr>
        <w:t>the idol which as an embodiment of a pious or benevolent idea, constitutes the centre of the foundation and is looked upon as the juristic being in which the Debutter property vests</w:t>
      </w:r>
      <w:r>
        <w:rPr>
          <w:sz w:val="21"/>
        </w:rPr>
        <w:t>. After all,</w:t>
      </w:r>
      <w:r>
        <w:rPr>
          <w:spacing w:val="29"/>
          <w:sz w:val="21"/>
        </w:rPr>
        <w:t> </w:t>
      </w:r>
      <w:r>
        <w:rPr>
          <w:sz w:val="21"/>
        </w:rPr>
        <w:t>juristic</w:t>
      </w:r>
      <w:r>
        <w:rPr>
          <w:spacing w:val="31"/>
          <w:sz w:val="21"/>
        </w:rPr>
        <w:t> </w:t>
      </w:r>
      <w:r>
        <w:rPr>
          <w:sz w:val="21"/>
        </w:rPr>
        <w:t>personality</w:t>
      </w:r>
      <w:r>
        <w:rPr>
          <w:spacing w:val="30"/>
          <w:sz w:val="21"/>
        </w:rPr>
        <w:t> </w:t>
      </w:r>
      <w:r>
        <w:rPr>
          <w:sz w:val="21"/>
        </w:rPr>
        <w:t>is</w:t>
      </w:r>
      <w:r>
        <w:rPr>
          <w:spacing w:val="28"/>
          <w:sz w:val="21"/>
        </w:rPr>
        <w:t> </w:t>
      </w:r>
      <w:r>
        <w:rPr>
          <w:sz w:val="21"/>
        </w:rPr>
        <w:t>a</w:t>
      </w:r>
      <w:r>
        <w:rPr>
          <w:spacing w:val="30"/>
          <w:sz w:val="21"/>
        </w:rPr>
        <w:t> </w:t>
      </w:r>
      <w:r>
        <w:rPr>
          <w:sz w:val="21"/>
        </w:rPr>
        <w:t>mere</w:t>
      </w:r>
      <w:r>
        <w:rPr>
          <w:spacing w:val="30"/>
          <w:sz w:val="21"/>
        </w:rPr>
        <w:t> </w:t>
      </w:r>
      <w:r>
        <w:rPr>
          <w:sz w:val="21"/>
        </w:rPr>
        <w:t>creation</w:t>
      </w:r>
      <w:r>
        <w:rPr>
          <w:spacing w:val="31"/>
          <w:sz w:val="21"/>
        </w:rPr>
        <w:t> </w:t>
      </w:r>
      <w:r>
        <w:rPr>
          <w:sz w:val="21"/>
        </w:rPr>
        <w:t>of</w:t>
      </w:r>
      <w:r>
        <w:rPr>
          <w:spacing w:val="32"/>
          <w:sz w:val="21"/>
        </w:rPr>
        <w:t> </w:t>
      </w:r>
      <w:r>
        <w:rPr>
          <w:sz w:val="21"/>
        </w:rPr>
        <w:t>law</w:t>
      </w:r>
      <w:r>
        <w:rPr>
          <w:spacing w:val="29"/>
          <w:sz w:val="21"/>
        </w:rPr>
        <w:t> </w:t>
      </w:r>
      <w:r>
        <w:rPr>
          <w:sz w:val="21"/>
        </w:rPr>
        <w:t>and</w:t>
      </w:r>
      <w:r>
        <w:rPr>
          <w:spacing w:val="33"/>
          <w:sz w:val="21"/>
        </w:rPr>
        <w:t> </w:t>
      </w:r>
      <w:r>
        <w:rPr>
          <w:sz w:val="21"/>
        </w:rPr>
        <w:t>has</w:t>
      </w:r>
      <w:r>
        <w:rPr>
          <w:spacing w:val="30"/>
          <w:sz w:val="21"/>
        </w:rPr>
        <w:t> </w:t>
      </w:r>
      <w:r>
        <w:rPr>
          <w:sz w:val="21"/>
        </w:rPr>
        <w:t>its</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4" w:firstLine="0"/>
        <w:jc w:val="both"/>
        <w:rPr>
          <w:sz w:val="21"/>
        </w:rPr>
      </w:pPr>
      <w:r>
        <w:rPr>
          <w:sz w:val="21"/>
        </w:rPr>
        <w:t>origins in a desire for doing justice by providing, as it were, </w:t>
      </w:r>
      <w:r>
        <w:rPr>
          <w:w w:val="100"/>
          <w:sz w:val="21"/>
        </w:rPr>
        <w:t>centres</w:t>
      </w:r>
      <w:r>
        <w:rPr>
          <w:sz w:val="21"/>
        </w:rPr>
        <w:t> </w:t>
      </w:r>
      <w:r>
        <w:rPr>
          <w:w w:val="100"/>
          <w:sz w:val="21"/>
        </w:rPr>
        <w:t>for</w:t>
      </w:r>
      <w:r>
        <w:rPr>
          <w:sz w:val="21"/>
        </w:rPr>
        <w:t> </w:t>
      </w:r>
      <w:r>
        <w:rPr>
          <w:w w:val="100"/>
          <w:sz w:val="21"/>
        </w:rPr>
        <w:t>jural</w:t>
      </w:r>
      <w:r>
        <w:rPr>
          <w:sz w:val="21"/>
        </w:rPr>
        <w:t> </w:t>
      </w:r>
      <w:r>
        <w:rPr>
          <w:w w:val="100"/>
          <w:sz w:val="21"/>
        </w:rPr>
        <w:t>relations.</w:t>
      </w:r>
      <w:r>
        <w:rPr>
          <w:sz w:val="21"/>
        </w:rPr>
        <w:t> </w:t>
      </w:r>
      <w:r>
        <w:rPr>
          <w:w w:val="100"/>
          <w:sz w:val="21"/>
        </w:rPr>
        <w:t>As</w:t>
      </w:r>
      <w:r>
        <w:rPr>
          <w:sz w:val="21"/>
        </w:rPr>
        <w:t> </w:t>
      </w:r>
      <w:r>
        <w:rPr>
          <w:w w:val="100"/>
          <w:sz w:val="21"/>
        </w:rPr>
        <w:t>Salmond</w:t>
      </w:r>
      <w:r>
        <w:rPr>
          <w:sz w:val="21"/>
        </w:rPr>
        <w:t> </w:t>
      </w:r>
      <w:r>
        <w:rPr>
          <w:w w:val="100"/>
          <w:sz w:val="21"/>
        </w:rPr>
        <w:t>says:</w:t>
      </w:r>
      <w:r>
        <w:rPr>
          <w:sz w:val="21"/>
        </w:rPr>
        <w:t> </w:t>
      </w:r>
      <w:r>
        <w:rPr>
          <w:w w:val="33"/>
          <w:sz w:val="21"/>
        </w:rPr>
        <w:t>―</w:t>
      </w:r>
      <w:r>
        <w:rPr>
          <w:w w:val="100"/>
          <w:sz w:val="21"/>
        </w:rPr>
        <w:t>It</w:t>
      </w:r>
      <w:r>
        <w:rPr>
          <w:sz w:val="21"/>
        </w:rPr>
        <w:t> </w:t>
      </w:r>
      <w:r>
        <w:rPr>
          <w:w w:val="100"/>
          <w:sz w:val="21"/>
        </w:rPr>
        <w:t>may</w:t>
      </w:r>
      <w:r>
        <w:rPr>
          <w:sz w:val="21"/>
        </w:rPr>
        <w:t> </w:t>
      </w:r>
      <w:r>
        <w:rPr>
          <w:w w:val="100"/>
          <w:sz w:val="21"/>
        </w:rPr>
        <w:t>be</w:t>
      </w:r>
      <w:r>
        <w:rPr>
          <w:sz w:val="21"/>
        </w:rPr>
        <w:t> </w:t>
      </w:r>
      <w:r>
        <w:rPr>
          <w:w w:val="100"/>
          <w:sz w:val="21"/>
        </w:rPr>
        <w:t>of</w:t>
      </w:r>
      <w:r>
        <w:rPr>
          <w:sz w:val="21"/>
        </w:rPr>
        <w:t> </w:t>
      </w:r>
      <w:r>
        <w:rPr>
          <w:w w:val="100"/>
          <w:sz w:val="21"/>
        </w:rPr>
        <w:t>as </w:t>
      </w:r>
      <w:r>
        <w:rPr>
          <w:sz w:val="21"/>
        </w:rPr>
        <w:t>many kinds as the law considers proper,‖ and the choice of the corpus into which the law shall breathe the breath of fictious personality is a matter of form than of substance.‖</w:t>
      </w:r>
      <w:r>
        <w:rPr>
          <w:sz w:val="21"/>
          <w:vertAlign w:val="superscript"/>
        </w:rPr>
        <w:t>61</w:t>
      </w:r>
    </w:p>
    <w:p>
      <w:pPr>
        <w:spacing w:before="2"/>
        <w:ind w:left="5798" w:right="0" w:firstLine="0"/>
        <w:jc w:val="both"/>
        <w:rPr>
          <w:sz w:val="21"/>
        </w:rPr>
      </w:pPr>
      <w:r>
        <w:rPr>
          <w:sz w:val="21"/>
        </w:rPr>
        <w:t>(Emphasis supplied)</w:t>
      </w:r>
    </w:p>
    <w:p>
      <w:pPr>
        <w:pStyle w:val="BodyText"/>
        <w:rPr>
          <w:sz w:val="24"/>
        </w:rPr>
      </w:pPr>
    </w:p>
    <w:p>
      <w:pPr>
        <w:pStyle w:val="BodyText"/>
        <w:rPr>
          <w:sz w:val="24"/>
        </w:rPr>
      </w:pPr>
    </w:p>
    <w:p>
      <w:pPr>
        <w:pStyle w:val="BodyText"/>
        <w:spacing w:before="10"/>
        <w:rPr>
          <w:sz w:val="22"/>
        </w:rPr>
      </w:pPr>
    </w:p>
    <w:p>
      <w:pPr>
        <w:pStyle w:val="ListParagraph"/>
        <w:numPr>
          <w:ilvl w:val="0"/>
          <w:numId w:val="3"/>
        </w:numPr>
        <w:tabs>
          <w:tab w:pos="1221" w:val="left" w:leader="none"/>
        </w:tabs>
        <w:spacing w:line="480" w:lineRule="auto" w:before="0" w:after="0"/>
        <w:ind w:left="500" w:right="435" w:firstLine="0"/>
        <w:jc w:val="both"/>
        <w:rPr>
          <w:sz w:val="25"/>
        </w:rPr>
      </w:pPr>
      <w:r>
        <w:rPr/>
        <w:pict>
          <v:rect style="position:absolute;margin-left:72.024002pt;margin-top:549.184875pt;width:144.020pt;height:.599980pt;mso-position-horizontal-relative:page;mso-position-vertical-relative:paragraph;z-index:-15705600;mso-wrap-distance-left:0;mso-wrap-distance-right:0" filled="true" fillcolor="#000000" stroked="false">
            <v:fill type="solid"/>
            <w10:wrap type="topAndBottom"/>
          </v:rect>
        </w:pict>
      </w:r>
      <w:r>
        <w:rPr>
          <w:sz w:val="25"/>
        </w:rPr>
        <w:t>A Hindu may make an endowment for a religious purpose. There is a public interest in protecting the properties endowed and ensuring that the original pious purpose of the dedicator is fulfilled. The law confers legal personality on this pious purpose. However, as Chief Justice B K Mukherjea notes, it is the idol, </w:t>
      </w:r>
      <w:r>
        <w:rPr>
          <w:spacing w:val="-1"/>
          <w:w w:val="99"/>
          <w:sz w:val="25"/>
        </w:rPr>
        <w:t>a</w:t>
      </w:r>
      <w:r>
        <w:rPr>
          <w:w w:val="99"/>
          <w:sz w:val="25"/>
        </w:rPr>
        <w:t>s</w:t>
      </w:r>
      <w:r>
        <w:rPr>
          <w:spacing w:val="17"/>
          <w:sz w:val="25"/>
        </w:rPr>
        <w:t> </w:t>
      </w:r>
      <w:r>
        <w:rPr>
          <w:w w:val="99"/>
          <w:sz w:val="25"/>
        </w:rPr>
        <w:t>the</w:t>
      </w:r>
      <w:r>
        <w:rPr>
          <w:spacing w:val="17"/>
          <w:sz w:val="25"/>
        </w:rPr>
        <w:t> </w:t>
      </w:r>
      <w:r>
        <w:rPr>
          <w:w w:val="99"/>
          <w:sz w:val="25"/>
        </w:rPr>
        <w:t>m</w:t>
      </w:r>
      <w:r>
        <w:rPr>
          <w:spacing w:val="-1"/>
          <w:w w:val="99"/>
          <w:sz w:val="25"/>
        </w:rPr>
        <w:t>at</w:t>
      </w:r>
      <w:r>
        <w:rPr>
          <w:w w:val="99"/>
          <w:sz w:val="25"/>
        </w:rPr>
        <w:t>er</w:t>
      </w:r>
      <w:r>
        <w:rPr>
          <w:spacing w:val="-1"/>
          <w:w w:val="99"/>
          <w:sz w:val="25"/>
        </w:rPr>
        <w:t>ia</w:t>
      </w:r>
      <w:r>
        <w:rPr>
          <w:w w:val="99"/>
          <w:sz w:val="25"/>
        </w:rPr>
        <w:t>l</w:t>
      </w:r>
      <w:r>
        <w:rPr>
          <w:spacing w:val="16"/>
          <w:sz w:val="25"/>
        </w:rPr>
        <w:t> </w:t>
      </w:r>
      <w:r>
        <w:rPr>
          <w:w w:val="99"/>
          <w:sz w:val="25"/>
        </w:rPr>
        <w:t>m</w:t>
      </w:r>
      <w:r>
        <w:rPr>
          <w:spacing w:val="-1"/>
          <w:w w:val="99"/>
          <w:sz w:val="25"/>
        </w:rPr>
        <w:t>a</w:t>
      </w:r>
      <w:r>
        <w:rPr>
          <w:w w:val="99"/>
          <w:sz w:val="25"/>
        </w:rPr>
        <w:t>n</w:t>
      </w:r>
      <w:r>
        <w:rPr>
          <w:spacing w:val="-1"/>
          <w:w w:val="99"/>
          <w:sz w:val="25"/>
        </w:rPr>
        <w:t>i</w:t>
      </w:r>
      <w:r>
        <w:rPr>
          <w:spacing w:val="-3"/>
          <w:w w:val="99"/>
          <w:sz w:val="25"/>
        </w:rPr>
        <w:t>f</w:t>
      </w:r>
      <w:r>
        <w:rPr>
          <w:spacing w:val="-1"/>
          <w:w w:val="99"/>
          <w:sz w:val="25"/>
        </w:rPr>
        <w:t>est</w:t>
      </w:r>
      <w:r>
        <w:rPr>
          <w:w w:val="99"/>
          <w:sz w:val="25"/>
        </w:rPr>
        <w:t>ation</w:t>
      </w:r>
      <w:r>
        <w:rPr>
          <w:spacing w:val="17"/>
          <w:sz w:val="25"/>
        </w:rPr>
        <w:t> </w:t>
      </w:r>
      <w:r>
        <w:rPr>
          <w:spacing w:val="-1"/>
          <w:w w:val="99"/>
          <w:sz w:val="25"/>
        </w:rPr>
        <w:t>o</w:t>
      </w:r>
      <w:r>
        <w:rPr>
          <w:w w:val="99"/>
          <w:sz w:val="25"/>
        </w:rPr>
        <w:t>f</w:t>
      </w:r>
      <w:r>
        <w:rPr>
          <w:spacing w:val="17"/>
          <w:sz w:val="25"/>
        </w:rPr>
        <w:t> </w:t>
      </w:r>
      <w:r>
        <w:rPr>
          <w:w w:val="99"/>
          <w:sz w:val="25"/>
        </w:rPr>
        <w:t>the</w:t>
      </w:r>
      <w:r>
        <w:rPr>
          <w:spacing w:val="17"/>
          <w:sz w:val="25"/>
        </w:rPr>
        <w:t> </w:t>
      </w:r>
      <w:r>
        <w:rPr>
          <w:spacing w:val="-1"/>
          <w:w w:val="99"/>
          <w:sz w:val="25"/>
        </w:rPr>
        <w:t>ju</w:t>
      </w:r>
      <w:r>
        <w:rPr>
          <w:w w:val="99"/>
          <w:sz w:val="25"/>
        </w:rPr>
        <w:t>r</w:t>
      </w:r>
      <w:r>
        <w:rPr>
          <w:spacing w:val="-1"/>
          <w:w w:val="99"/>
          <w:sz w:val="25"/>
        </w:rPr>
        <w:t>isti</w:t>
      </w:r>
      <w:r>
        <w:rPr>
          <w:w w:val="99"/>
          <w:sz w:val="25"/>
        </w:rPr>
        <w:t>c</w:t>
      </w:r>
      <w:r>
        <w:rPr>
          <w:spacing w:val="14"/>
          <w:sz w:val="25"/>
        </w:rPr>
        <w:t> </w:t>
      </w:r>
      <w:r>
        <w:rPr>
          <w:spacing w:val="-1"/>
          <w:w w:val="99"/>
          <w:sz w:val="25"/>
        </w:rPr>
        <w:t>p</w:t>
      </w:r>
      <w:r>
        <w:rPr>
          <w:w w:val="99"/>
          <w:sz w:val="25"/>
        </w:rPr>
        <w:t>erson</w:t>
      </w:r>
      <w:r>
        <w:rPr>
          <w:spacing w:val="17"/>
          <w:sz w:val="25"/>
        </w:rPr>
        <w:t> </w:t>
      </w:r>
      <w:r>
        <w:rPr>
          <w:spacing w:val="-1"/>
          <w:w w:val="99"/>
          <w:sz w:val="25"/>
        </w:rPr>
        <w:t>whic</w:t>
      </w:r>
      <w:r>
        <w:rPr>
          <w:w w:val="99"/>
          <w:sz w:val="25"/>
        </w:rPr>
        <w:t>h</w:t>
      </w:r>
      <w:r>
        <w:rPr>
          <w:spacing w:val="17"/>
          <w:sz w:val="25"/>
        </w:rPr>
        <w:t> </w:t>
      </w:r>
      <w:r>
        <w:rPr>
          <w:spacing w:val="-1"/>
          <w:w w:val="99"/>
          <w:sz w:val="25"/>
        </w:rPr>
        <w:t>i</w:t>
      </w:r>
      <w:r>
        <w:rPr>
          <w:w w:val="99"/>
          <w:sz w:val="25"/>
        </w:rPr>
        <w:t>s</w:t>
      </w:r>
      <w:r>
        <w:rPr>
          <w:spacing w:val="16"/>
          <w:sz w:val="25"/>
        </w:rPr>
        <w:t> </w:t>
      </w:r>
      <w:r>
        <w:rPr>
          <w:w w:val="33"/>
          <w:sz w:val="25"/>
        </w:rPr>
        <w:t>―</w:t>
      </w:r>
      <w:r>
        <w:rPr>
          <w:spacing w:val="-1"/>
          <w:w w:val="99"/>
          <w:sz w:val="25"/>
        </w:rPr>
        <w:t>lo</w:t>
      </w:r>
      <w:r>
        <w:rPr>
          <w:spacing w:val="-2"/>
          <w:w w:val="99"/>
          <w:sz w:val="25"/>
        </w:rPr>
        <w:t>o</w:t>
      </w:r>
      <w:r>
        <w:rPr>
          <w:w w:val="99"/>
          <w:sz w:val="25"/>
        </w:rPr>
        <w:t>ked</w:t>
      </w:r>
      <w:r>
        <w:rPr>
          <w:spacing w:val="17"/>
          <w:sz w:val="25"/>
        </w:rPr>
        <w:t> </w:t>
      </w:r>
      <w:r>
        <w:rPr>
          <w:spacing w:val="-1"/>
          <w:w w:val="99"/>
          <w:sz w:val="25"/>
        </w:rPr>
        <w:t>u</w:t>
      </w:r>
      <w:r>
        <w:rPr>
          <w:w w:val="99"/>
          <w:sz w:val="25"/>
        </w:rPr>
        <w:t>p</w:t>
      </w:r>
      <w:r>
        <w:rPr>
          <w:spacing w:val="-1"/>
          <w:w w:val="99"/>
          <w:sz w:val="25"/>
        </w:rPr>
        <w:t>o</w:t>
      </w:r>
      <w:r>
        <w:rPr>
          <w:w w:val="99"/>
          <w:sz w:val="25"/>
        </w:rPr>
        <w:t>n</w:t>
      </w:r>
      <w:r>
        <w:rPr>
          <w:w w:val="80"/>
          <w:sz w:val="25"/>
        </w:rPr>
        <w:t>‖</w:t>
      </w:r>
      <w:r>
        <w:rPr>
          <w:spacing w:val="17"/>
          <w:sz w:val="25"/>
        </w:rPr>
        <w:t> </w:t>
      </w:r>
      <w:r>
        <w:rPr>
          <w:spacing w:val="-1"/>
          <w:w w:val="99"/>
          <w:sz w:val="25"/>
        </w:rPr>
        <w:t>a</w:t>
      </w:r>
      <w:r>
        <w:rPr>
          <w:w w:val="99"/>
          <w:sz w:val="25"/>
        </w:rPr>
        <w:t>s</w:t>
      </w:r>
      <w:r>
        <w:rPr>
          <w:spacing w:val="17"/>
          <w:sz w:val="25"/>
        </w:rPr>
        <w:t> </w:t>
      </w:r>
      <w:r>
        <w:rPr>
          <w:w w:val="99"/>
          <w:sz w:val="25"/>
        </w:rPr>
        <w:t>the </w:t>
      </w:r>
      <w:r>
        <w:rPr>
          <w:sz w:val="25"/>
        </w:rPr>
        <w:t>centre in which the property vests. The idol as an embodiment of a pious or benevolent purpose is recognised by the law as a juristic entity. The state will therefore protect property which stands vested in the idol even absent the establishment of a specific or express trust. The pious purpose, or ‗benevolent idea‘ is elevated to the status of a juristic person and the idol forms the material expression of the pious purpose through which legal relations are affected. It is the pious purpose at the heart of the dedication which is the basis of conferring legal personality on the idol and which is the subject of rights and duties. The need to confer juristic personality arises out of the need for legal certainty as to who owns the dedicated property, as well as the need to protect the original intention of the dedicator and the future interests of the devotees. It was </w:t>
      </w:r>
      <w:r>
        <w:rPr>
          <w:spacing w:val="2"/>
          <w:sz w:val="25"/>
        </w:rPr>
        <w:t>open </w:t>
      </w:r>
      <w:r>
        <w:rPr>
          <w:sz w:val="25"/>
        </w:rPr>
        <w:t>for courts to even confer the personality on the community of devotees in certain situations, but the idol is chosen as a centre for legal relations as the physical manifestation of the pious</w:t>
      </w:r>
      <w:r>
        <w:rPr>
          <w:spacing w:val="-3"/>
          <w:sz w:val="25"/>
        </w:rPr>
        <w:t> </w:t>
      </w:r>
      <w:r>
        <w:rPr>
          <w:sz w:val="25"/>
        </w:rPr>
        <w:t>purpose.</w:t>
      </w:r>
    </w:p>
    <w:p>
      <w:pPr>
        <w:spacing w:before="78"/>
        <w:ind w:left="500" w:right="845" w:firstLine="0"/>
        <w:jc w:val="left"/>
        <w:rPr>
          <w:sz w:val="18"/>
        </w:rPr>
      </w:pPr>
      <w:r>
        <w:rPr>
          <w:sz w:val="18"/>
          <w:vertAlign w:val="superscript"/>
        </w:rPr>
        <w:t>61</w:t>
      </w:r>
      <w:r>
        <w:rPr>
          <w:sz w:val="18"/>
          <w:vertAlign w:val="baseline"/>
        </w:rPr>
        <w:t> B.K. Mukherjea, The Hindu Law of Religious and Charitable Trust , 5th Edn. Eastern Law House (1983) at page 36</w:t>
      </w:r>
    </w:p>
    <w:p>
      <w:pPr>
        <w:spacing w:after="0"/>
        <w:jc w:val="left"/>
        <w:rPr>
          <w:sz w:val="18"/>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9" w:firstLine="0"/>
        <w:jc w:val="both"/>
        <w:rPr>
          <w:sz w:val="25"/>
        </w:rPr>
      </w:pPr>
      <w:r>
        <w:rPr>
          <w:sz w:val="25"/>
        </w:rPr>
        <w:t>The reason for this is outlined in the decision of the Calcutta High Court in </w:t>
      </w:r>
      <w:r>
        <w:rPr>
          <w:b/>
          <w:sz w:val="25"/>
        </w:rPr>
        <w:t>Mohatap Bahadur </w:t>
      </w:r>
      <w:r>
        <w:rPr>
          <w:sz w:val="25"/>
        </w:rPr>
        <w:t>v </w:t>
      </w:r>
      <w:r>
        <w:rPr>
          <w:b/>
          <w:sz w:val="25"/>
        </w:rPr>
        <w:t>Kali Pada Chatterjee</w:t>
      </w:r>
      <w:r>
        <w:rPr>
          <w:sz w:val="25"/>
          <w:vertAlign w:val="superscript"/>
        </w:rPr>
        <w:t>62</w:t>
      </w:r>
      <w:r>
        <w:rPr>
          <w:sz w:val="25"/>
          <w:vertAlign w:val="baseline"/>
        </w:rPr>
        <w:t>.  In the distant past, the Maharaja  of Burdwan dedicated certain lands for the worship of an idol (the ‗Trilokeswar Shiva‘) and tasked the predecessor of the respondent as shebaits for the management of the worship. Subsequent to the dedication, the idol was washed away by the flooding of a river nearby. The Maharaja later built a new idol in the same village. However, the respondents refused to perform worship at the site of the new idol on the ground that the original idol had been washed away. The appellant‘s sought a direction compelling the respondents to perform necessary religious rites at the site of the freshly constructed idol. The Bench consisting of Chief Justice Jenkins and Justice Mookerjee</w:t>
      </w:r>
      <w:r>
        <w:rPr>
          <w:spacing w:val="1"/>
          <w:sz w:val="25"/>
          <w:vertAlign w:val="baseline"/>
        </w:rPr>
        <w:t> </w:t>
      </w:r>
      <w:r>
        <w:rPr>
          <w:sz w:val="25"/>
          <w:vertAlign w:val="baseline"/>
        </w:rPr>
        <w:t>held:</w:t>
      </w:r>
    </w:p>
    <w:p>
      <w:pPr>
        <w:pStyle w:val="BodyText"/>
      </w:pPr>
    </w:p>
    <w:p>
      <w:pPr>
        <w:spacing w:line="276" w:lineRule="auto" w:before="0"/>
        <w:ind w:left="1940" w:right="2262" w:firstLine="0"/>
        <w:jc w:val="both"/>
        <w:rPr>
          <w:sz w:val="21"/>
        </w:rPr>
      </w:pPr>
      <w:r>
        <w:rPr>
          <w:w w:val="33"/>
          <w:sz w:val="21"/>
        </w:rPr>
        <w:t>―</w:t>
      </w:r>
      <w:r>
        <w:rPr>
          <w:w w:val="100"/>
          <w:sz w:val="21"/>
        </w:rPr>
        <w:t>4.</w:t>
      </w:r>
      <w:r>
        <w:rPr>
          <w:sz w:val="21"/>
        </w:rPr>
        <w:t> </w:t>
      </w:r>
      <w:r>
        <w:rPr>
          <w:w w:val="100"/>
          <w:sz w:val="21"/>
        </w:rPr>
        <w:t>…It</w:t>
      </w:r>
      <w:r>
        <w:rPr>
          <w:sz w:val="21"/>
        </w:rPr>
        <w:t> </w:t>
      </w:r>
      <w:r>
        <w:rPr>
          <w:w w:val="100"/>
          <w:sz w:val="21"/>
        </w:rPr>
        <w:t>is</w:t>
      </w:r>
      <w:r>
        <w:rPr>
          <w:sz w:val="21"/>
        </w:rPr>
        <w:t> </w:t>
      </w:r>
      <w:r>
        <w:rPr>
          <w:w w:val="100"/>
          <w:sz w:val="21"/>
        </w:rPr>
        <w:t>clear</w:t>
      </w:r>
      <w:r>
        <w:rPr>
          <w:sz w:val="21"/>
        </w:rPr>
        <w:t> </w:t>
      </w:r>
      <w:r>
        <w:rPr>
          <w:w w:val="100"/>
          <w:sz w:val="21"/>
        </w:rPr>
        <w:t>that</w:t>
      </w:r>
      <w:r>
        <w:rPr>
          <w:sz w:val="21"/>
        </w:rPr>
        <w:t> </w:t>
      </w:r>
      <w:r>
        <w:rPr>
          <w:w w:val="100"/>
          <w:sz w:val="21"/>
        </w:rPr>
        <w:t>the</w:t>
      </w:r>
      <w:r>
        <w:rPr>
          <w:sz w:val="21"/>
        </w:rPr>
        <w:t> </w:t>
      </w:r>
      <w:r>
        <w:rPr>
          <w:w w:val="100"/>
          <w:sz w:val="21"/>
        </w:rPr>
        <w:t>property</w:t>
      </w:r>
      <w:r>
        <w:rPr>
          <w:sz w:val="21"/>
        </w:rPr>
        <w:t> </w:t>
      </w:r>
      <w:r>
        <w:rPr>
          <w:w w:val="100"/>
          <w:sz w:val="21"/>
        </w:rPr>
        <w:t>must</w:t>
      </w:r>
      <w:r>
        <w:rPr>
          <w:sz w:val="21"/>
        </w:rPr>
        <w:t> </w:t>
      </w:r>
      <w:r>
        <w:rPr>
          <w:w w:val="100"/>
          <w:sz w:val="21"/>
        </w:rPr>
        <w:t>have</w:t>
      </w:r>
      <w:r>
        <w:rPr>
          <w:sz w:val="21"/>
        </w:rPr>
        <w:t> </w:t>
      </w:r>
      <w:r>
        <w:rPr>
          <w:w w:val="100"/>
          <w:sz w:val="21"/>
        </w:rPr>
        <w:t>been</w:t>
      </w:r>
      <w:r>
        <w:rPr>
          <w:sz w:val="21"/>
        </w:rPr>
        <w:t> </w:t>
      </w:r>
      <w:r>
        <w:rPr>
          <w:w w:val="100"/>
          <w:sz w:val="21"/>
        </w:rPr>
        <w:t>made</w:t>
      </w:r>
      <w:r>
        <w:rPr>
          <w:sz w:val="21"/>
        </w:rPr>
        <w:t> </w:t>
      </w:r>
      <w:r>
        <w:rPr>
          <w:w w:val="100"/>
          <w:sz w:val="21"/>
        </w:rPr>
        <w:t>out</w:t>
      </w:r>
      <w:r>
        <w:rPr>
          <w:sz w:val="21"/>
        </w:rPr>
        <w:t> </w:t>
      </w:r>
      <w:r>
        <w:rPr>
          <w:w w:val="100"/>
          <w:sz w:val="21"/>
        </w:rPr>
        <w:t>by </w:t>
      </w:r>
      <w:r>
        <w:rPr>
          <w:sz w:val="21"/>
        </w:rPr>
        <w:t>the Maharajah to the predecessor of the defendant in order that the income might be applied for the worship of the image [of] Trilokeswar Shiva. The question arises whether this trust came to an end when the temple was washed away and the image was broken….</w:t>
      </w:r>
    </w:p>
    <w:p>
      <w:pPr>
        <w:pStyle w:val="BodyText"/>
        <w:spacing w:before="1"/>
        <w:rPr>
          <w:sz w:val="24"/>
        </w:rPr>
      </w:pPr>
    </w:p>
    <w:p>
      <w:pPr>
        <w:pStyle w:val="ListParagraph"/>
        <w:numPr>
          <w:ilvl w:val="0"/>
          <w:numId w:val="61"/>
        </w:numPr>
        <w:tabs>
          <w:tab w:pos="2186" w:val="left" w:leader="none"/>
        </w:tabs>
        <w:spacing w:line="276" w:lineRule="auto" w:before="1" w:after="0"/>
        <w:ind w:left="1940" w:right="2263" w:firstLine="0"/>
        <w:jc w:val="both"/>
        <w:rPr>
          <w:b/>
          <w:sz w:val="21"/>
        </w:rPr>
      </w:pPr>
      <w:r>
        <w:rPr>
          <w:sz w:val="21"/>
        </w:rPr>
        <w:t>…</w:t>
      </w:r>
      <w:r>
        <w:rPr>
          <w:b/>
          <w:sz w:val="21"/>
        </w:rPr>
        <w:t>Were the contention of the respondent to prevail the endowment would come to an end, if, as has happened in this case, the land upon which the temple stood was washed away by the action of the river. This view is not supported by any text or any principle of the Hindu </w:t>
      </w:r>
      <w:r>
        <w:rPr>
          <w:b/>
          <w:spacing w:val="-3"/>
          <w:sz w:val="21"/>
        </w:rPr>
        <w:t>law </w:t>
      </w:r>
      <w:r>
        <w:rPr>
          <w:b/>
          <w:sz w:val="21"/>
        </w:rPr>
        <w:t>which has been brought to our</w:t>
      </w:r>
      <w:r>
        <w:rPr>
          <w:b/>
          <w:spacing w:val="-10"/>
          <w:sz w:val="21"/>
        </w:rPr>
        <w:t> </w:t>
      </w:r>
      <w:r>
        <w:rPr>
          <w:b/>
          <w:sz w:val="21"/>
        </w:rPr>
        <w:t>notice.</w:t>
      </w:r>
    </w:p>
    <w:p>
      <w:pPr>
        <w:pStyle w:val="BodyText"/>
        <w:spacing w:before="2"/>
        <w:rPr>
          <w:b/>
          <w:sz w:val="24"/>
        </w:rPr>
      </w:pPr>
    </w:p>
    <w:p>
      <w:pPr>
        <w:pStyle w:val="ListParagraph"/>
        <w:numPr>
          <w:ilvl w:val="0"/>
          <w:numId w:val="61"/>
        </w:numPr>
        <w:tabs>
          <w:tab w:pos="2267" w:val="left" w:leader="none"/>
        </w:tabs>
        <w:spacing w:line="276" w:lineRule="auto" w:before="0" w:after="0"/>
        <w:ind w:left="1940" w:right="2260" w:firstLine="0"/>
        <w:jc w:val="both"/>
        <w:rPr>
          <w:sz w:val="21"/>
        </w:rPr>
      </w:pPr>
      <w:r>
        <w:rPr>
          <w:b/>
          <w:sz w:val="21"/>
        </w:rPr>
        <w:t>It is, on the other hand, clearly opposed to the principle recognized by a Full Bench of this court in the case of </w:t>
      </w:r>
      <w:r>
        <w:rPr>
          <w:b/>
          <w:i/>
          <w:sz w:val="21"/>
        </w:rPr>
        <w:t>Bhupati Nath Smrititirtho </w:t>
      </w:r>
      <w:r>
        <w:rPr>
          <w:b/>
          <w:sz w:val="21"/>
        </w:rPr>
        <w:t>v. </w:t>
      </w:r>
      <w:r>
        <w:rPr>
          <w:b/>
          <w:i/>
          <w:sz w:val="21"/>
        </w:rPr>
        <w:t>Ramlal Maitra</w:t>
      </w:r>
      <w:r>
        <w:rPr>
          <w:b/>
          <w:sz w:val="21"/>
        </w:rPr>
        <w:t>. </w:t>
      </w:r>
      <w:r>
        <w:rPr>
          <w:sz w:val="21"/>
        </w:rPr>
        <w:t>If then the endowment was not destroyed when the land upon which the temple stood was washed away and the image was broken, what has happened since then to alter the position of the parties? The defendant is in the same position as if he held a service tenure. The land was given to him for definite purpose,</w:t>
      </w:r>
      <w:r>
        <w:rPr>
          <w:spacing w:val="22"/>
          <w:sz w:val="21"/>
        </w:rPr>
        <w:t> </w:t>
      </w:r>
      <w:r>
        <w:rPr>
          <w:sz w:val="21"/>
        </w:rPr>
        <w:t>namely,</w:t>
      </w:r>
      <w:r>
        <w:rPr>
          <w:spacing w:val="21"/>
          <w:sz w:val="21"/>
        </w:rPr>
        <w:t> </w:t>
      </w:r>
      <w:r>
        <w:rPr>
          <w:sz w:val="21"/>
        </w:rPr>
        <w:t>that</w:t>
      </w:r>
      <w:r>
        <w:rPr>
          <w:spacing w:val="22"/>
          <w:sz w:val="21"/>
        </w:rPr>
        <w:t> </w:t>
      </w:r>
      <w:r>
        <w:rPr>
          <w:sz w:val="21"/>
        </w:rPr>
        <w:t>he</w:t>
      </w:r>
      <w:r>
        <w:rPr>
          <w:spacing w:val="23"/>
          <w:sz w:val="21"/>
        </w:rPr>
        <w:t> </w:t>
      </w:r>
      <w:r>
        <w:rPr>
          <w:sz w:val="21"/>
        </w:rPr>
        <w:t>might</w:t>
      </w:r>
      <w:r>
        <w:rPr>
          <w:spacing w:val="23"/>
          <w:sz w:val="21"/>
        </w:rPr>
        <w:t> </w:t>
      </w:r>
      <w:r>
        <w:rPr>
          <w:sz w:val="21"/>
        </w:rPr>
        <w:t>apply</w:t>
      </w:r>
      <w:r>
        <w:rPr>
          <w:spacing w:val="20"/>
          <w:sz w:val="21"/>
        </w:rPr>
        <w:t> </w:t>
      </w:r>
      <w:r>
        <w:rPr>
          <w:sz w:val="21"/>
        </w:rPr>
        <w:t>the</w:t>
      </w:r>
      <w:r>
        <w:rPr>
          <w:spacing w:val="23"/>
          <w:sz w:val="21"/>
        </w:rPr>
        <w:t> </w:t>
      </w:r>
      <w:r>
        <w:rPr>
          <w:sz w:val="21"/>
        </w:rPr>
        <w:t>income</w:t>
      </w:r>
      <w:r>
        <w:rPr>
          <w:spacing w:val="23"/>
          <w:sz w:val="21"/>
        </w:rPr>
        <w:t> </w:t>
      </w:r>
      <w:r>
        <w:rPr>
          <w:sz w:val="21"/>
        </w:rPr>
        <w:t>thereof</w:t>
      </w:r>
      <w:r>
        <w:rPr>
          <w:spacing w:val="24"/>
          <w:sz w:val="21"/>
        </w:rPr>
        <w:t> </w:t>
      </w:r>
      <w:r>
        <w:rPr>
          <w:sz w:val="21"/>
        </w:rPr>
        <w:t>for</w:t>
      </w:r>
    </w:p>
    <w:p>
      <w:pPr>
        <w:pStyle w:val="BodyText"/>
        <w:rPr>
          <w:sz w:val="20"/>
        </w:rPr>
      </w:pPr>
    </w:p>
    <w:p>
      <w:pPr>
        <w:pStyle w:val="BodyText"/>
        <w:rPr>
          <w:sz w:val="20"/>
        </w:rPr>
      </w:pPr>
    </w:p>
    <w:p>
      <w:pPr>
        <w:pStyle w:val="BodyText"/>
        <w:spacing w:before="10"/>
        <w:rPr>
          <w:sz w:val="11"/>
        </w:rPr>
      </w:pPr>
      <w:r>
        <w:rPr/>
        <w:pict>
          <v:rect style="position:absolute;margin-left:72.024002pt;margin-top:8.799305pt;width:144.020pt;height:.599980pt;mso-position-horizontal-relative:page;mso-position-vertical-relative:paragraph;z-index:-1570508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62</w:t>
      </w:r>
      <w:r>
        <w:rPr>
          <w:sz w:val="18"/>
          <w:vertAlign w:val="baseline"/>
        </w:rPr>
        <w:t> AIR 1914 Cal 200</w:t>
      </w:r>
    </w:p>
    <w:p>
      <w:pPr>
        <w:spacing w:after="0"/>
        <w:jc w:val="left"/>
        <w:rPr>
          <w:sz w:val="18"/>
        </w:rPr>
        <w:sectPr>
          <w:pgSz w:w="11910" w:h="16840"/>
          <w:pgMar w:header="721" w:footer="1014" w:top="1300" w:bottom="1200" w:left="940" w:right="1000"/>
        </w:sectPr>
      </w:pPr>
    </w:p>
    <w:p>
      <w:pPr>
        <w:spacing w:line="276" w:lineRule="auto" w:before="122"/>
        <w:ind w:left="1940" w:right="2346" w:firstLine="0"/>
        <w:jc w:val="left"/>
        <w:rPr>
          <w:sz w:val="21"/>
        </w:rPr>
      </w:pPr>
      <w:r>
        <w:rPr>
          <w:sz w:val="21"/>
        </w:rPr>
        <w:t>the purpose of the service of the image established by the Maharaja….‖</w:t>
      </w:r>
    </w:p>
    <w:p>
      <w:pPr>
        <w:spacing w:before="0"/>
        <w:ind w:left="5798" w:right="0" w:firstLine="0"/>
        <w:jc w:val="left"/>
        <w:rPr>
          <w:sz w:val="21"/>
        </w:rPr>
      </w:pPr>
      <w:r>
        <w:rPr>
          <w:sz w:val="21"/>
        </w:rPr>
        <w:t>(Emphasis supplied)</w:t>
      </w:r>
    </w:p>
    <w:p>
      <w:pPr>
        <w:pStyle w:val="BodyText"/>
        <w:rPr>
          <w:sz w:val="24"/>
        </w:rPr>
      </w:pPr>
    </w:p>
    <w:p>
      <w:pPr>
        <w:pStyle w:val="BodyText"/>
        <w:spacing w:before="4"/>
      </w:pPr>
    </w:p>
    <w:p>
      <w:pPr>
        <w:pStyle w:val="BodyText"/>
        <w:spacing w:line="480" w:lineRule="auto"/>
        <w:ind w:left="500" w:right="438"/>
        <w:jc w:val="both"/>
      </w:pPr>
      <w:r>
        <w:rPr/>
        <w:t>The idol constitutes the embodiment or expression of the pious purpose upon which legal personality is conferred. The destruction of the idol does not result in the termination of the pious purpose and consequently the endowment. Even where the idol is destroyed, or the presence of the idol itself is intermittent or entirely absent, the legal personality created by the endowment continues to subsist. In our country, idols are routinely submerged in water as a matter of religious practice. It cannot be said that the pious purpose is also extinguished due to such submersion. The establishment of the image of the idol is the manner in which the pious purpose is fulfilled. A conferral of legal personality on the idol is, in effect, a recognition of the pious purpose itself and not the method through which that pious purpose is usually personified. The pious purpose may also be fulfilled where the presence of the idol is intermittent or there exists a temple absent an idol depending on the deed of dedication. In all such cases the pious purpose on which legal personality is conferred continues to subsist.</w:t>
      </w:r>
    </w:p>
    <w:p>
      <w:pPr>
        <w:pStyle w:val="BodyText"/>
        <w:rPr>
          <w:sz w:val="28"/>
        </w:rPr>
      </w:pPr>
    </w:p>
    <w:p>
      <w:pPr>
        <w:pStyle w:val="BodyText"/>
        <w:spacing w:before="1"/>
        <w:rPr>
          <w:sz w:val="22"/>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After independence, the principles applicable to the Hindu law of endowments were affirmed by a four judge bench of this Court in </w:t>
      </w:r>
      <w:r>
        <w:rPr>
          <w:b/>
          <w:sz w:val="25"/>
        </w:rPr>
        <w:t>Deoki Nandan </w:t>
      </w:r>
      <w:r>
        <w:rPr>
          <w:sz w:val="25"/>
        </w:rPr>
        <w:t>v </w:t>
      </w:r>
      <w:r>
        <w:rPr>
          <w:b/>
          <w:sz w:val="25"/>
        </w:rPr>
        <w:t>Murlidhar</w:t>
      </w:r>
      <w:r>
        <w:rPr>
          <w:sz w:val="25"/>
          <w:vertAlign w:val="superscript"/>
        </w:rPr>
        <w:t>63</w:t>
      </w:r>
      <w:r>
        <w:rPr>
          <w:sz w:val="25"/>
          <w:vertAlign w:val="baseline"/>
        </w:rPr>
        <w:t>. In 1919, a Hindu testator executed a will bequeathing his lands to the idol (or ‗Thakur‘) of Shri Radhakrishnaji. A dispute arose between the direct descendant of the testator and his distant agnates on the management of the Thakur.</w:t>
      </w:r>
      <w:r>
        <w:rPr>
          <w:spacing w:val="10"/>
          <w:sz w:val="25"/>
          <w:vertAlign w:val="baseline"/>
        </w:rPr>
        <w:t> </w:t>
      </w:r>
      <w:r>
        <w:rPr>
          <w:sz w:val="25"/>
          <w:vertAlign w:val="baseline"/>
        </w:rPr>
        <w:t>It</w:t>
      </w:r>
      <w:r>
        <w:rPr>
          <w:spacing w:val="11"/>
          <w:sz w:val="25"/>
          <w:vertAlign w:val="baseline"/>
        </w:rPr>
        <w:t> </w:t>
      </w:r>
      <w:r>
        <w:rPr>
          <w:sz w:val="25"/>
          <w:vertAlign w:val="baseline"/>
        </w:rPr>
        <w:t>was</w:t>
      </w:r>
      <w:r>
        <w:rPr>
          <w:spacing w:val="11"/>
          <w:sz w:val="25"/>
          <w:vertAlign w:val="baseline"/>
        </w:rPr>
        <w:t> </w:t>
      </w:r>
      <w:r>
        <w:rPr>
          <w:sz w:val="25"/>
          <w:vertAlign w:val="baseline"/>
        </w:rPr>
        <w:t>contended</w:t>
      </w:r>
      <w:r>
        <w:rPr>
          <w:spacing w:val="11"/>
          <w:sz w:val="25"/>
          <w:vertAlign w:val="baseline"/>
        </w:rPr>
        <w:t> </w:t>
      </w:r>
      <w:r>
        <w:rPr>
          <w:sz w:val="25"/>
          <w:vertAlign w:val="baseline"/>
        </w:rPr>
        <w:t>that</w:t>
      </w:r>
      <w:r>
        <w:rPr>
          <w:spacing w:val="10"/>
          <w:sz w:val="25"/>
          <w:vertAlign w:val="baseline"/>
        </w:rPr>
        <w:t> </w:t>
      </w:r>
      <w:r>
        <w:rPr>
          <w:sz w:val="25"/>
          <w:vertAlign w:val="baseline"/>
        </w:rPr>
        <w:t>the</w:t>
      </w:r>
      <w:r>
        <w:rPr>
          <w:spacing w:val="11"/>
          <w:sz w:val="25"/>
          <w:vertAlign w:val="baseline"/>
        </w:rPr>
        <w:t> </w:t>
      </w:r>
      <w:r>
        <w:rPr>
          <w:sz w:val="25"/>
          <w:vertAlign w:val="baseline"/>
        </w:rPr>
        <w:t>Thakur</w:t>
      </w:r>
      <w:r>
        <w:rPr>
          <w:spacing w:val="9"/>
          <w:sz w:val="25"/>
          <w:vertAlign w:val="baseline"/>
        </w:rPr>
        <w:t> </w:t>
      </w:r>
      <w:r>
        <w:rPr>
          <w:sz w:val="25"/>
          <w:vertAlign w:val="baseline"/>
        </w:rPr>
        <w:t>was</w:t>
      </w:r>
      <w:r>
        <w:rPr>
          <w:spacing w:val="11"/>
          <w:sz w:val="25"/>
          <w:vertAlign w:val="baseline"/>
        </w:rPr>
        <w:t> </w:t>
      </w:r>
      <w:r>
        <w:rPr>
          <w:sz w:val="25"/>
          <w:vertAlign w:val="baseline"/>
        </w:rPr>
        <w:t>being</w:t>
      </w:r>
      <w:r>
        <w:rPr>
          <w:spacing w:val="11"/>
          <w:sz w:val="25"/>
          <w:vertAlign w:val="baseline"/>
        </w:rPr>
        <w:t> </w:t>
      </w:r>
      <w:r>
        <w:rPr>
          <w:sz w:val="25"/>
          <w:vertAlign w:val="baseline"/>
        </w:rPr>
        <w:t>mismanaged</w:t>
      </w:r>
      <w:r>
        <w:rPr>
          <w:spacing w:val="10"/>
          <w:sz w:val="25"/>
          <w:vertAlign w:val="baseline"/>
        </w:rPr>
        <w:t> </w:t>
      </w:r>
      <w:r>
        <w:rPr>
          <w:sz w:val="25"/>
          <w:vertAlign w:val="baseline"/>
        </w:rPr>
        <w:t>and</w:t>
      </w:r>
      <w:r>
        <w:rPr>
          <w:spacing w:val="11"/>
          <w:sz w:val="25"/>
          <w:vertAlign w:val="baseline"/>
        </w:rPr>
        <w:t> </w:t>
      </w:r>
      <w:r>
        <w:rPr>
          <w:sz w:val="25"/>
          <w:vertAlign w:val="baseline"/>
        </w:rPr>
        <w:t>the</w:t>
      </w:r>
      <w:r>
        <w:rPr>
          <w:spacing w:val="11"/>
          <w:sz w:val="25"/>
          <w:vertAlign w:val="baseline"/>
        </w:rPr>
        <w:t> </w:t>
      </w:r>
      <w:r>
        <w:rPr>
          <w:sz w:val="25"/>
          <w:vertAlign w:val="baseline"/>
        </w:rPr>
        <w:t>public</w:t>
      </w:r>
    </w:p>
    <w:p>
      <w:pPr>
        <w:pStyle w:val="BodyText"/>
        <w:spacing w:before="9"/>
        <w:rPr>
          <w:sz w:val="13"/>
        </w:rPr>
      </w:pPr>
      <w:r>
        <w:rPr/>
        <w:pict>
          <v:rect style="position:absolute;margin-left:72.024002pt;margin-top:9.912964pt;width:144.020pt;height:.599980pt;mso-position-horizontal-relative:page;mso-position-vertical-relative:paragraph;z-index:-1570457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63</w:t>
      </w:r>
      <w:r>
        <w:rPr>
          <w:sz w:val="18"/>
          <w:vertAlign w:val="baseline"/>
        </w:rPr>
        <w:t> 1956 SCR 756</w:t>
      </w:r>
    </w:p>
    <w:p>
      <w:pPr>
        <w:spacing w:after="0"/>
        <w:jc w:val="left"/>
        <w:rPr>
          <w:sz w:val="18"/>
        </w:rPr>
        <w:sectPr>
          <w:headerReference w:type="default" r:id="rId58"/>
          <w:footerReference w:type="default" r:id="rId59"/>
          <w:pgSz w:w="11910" w:h="16840"/>
          <w:pgMar w:header="721" w:footer="1014" w:top="1300" w:bottom="1200" w:left="940" w:right="1000"/>
          <w:pgNumType w:start="158"/>
        </w:sectPr>
      </w:pPr>
    </w:p>
    <w:p>
      <w:pPr>
        <w:pStyle w:val="BodyText"/>
        <w:spacing w:line="480" w:lineRule="auto" w:before="124"/>
        <w:ind w:left="500" w:right="436"/>
        <w:jc w:val="both"/>
      </w:pPr>
      <w:r>
        <w:rPr/>
        <w:t>was denied worship. A declaration that the Thakurdwara was a public temple was sought. The issue facing this Court was how to construct the scope of the dedication in the testator‘s will. Justice Venkatarama Ayyar, speaking for this Court, held:</w:t>
      </w:r>
    </w:p>
    <w:p>
      <w:pPr>
        <w:spacing w:line="276" w:lineRule="auto" w:before="0"/>
        <w:ind w:left="1940" w:right="2259" w:firstLine="0"/>
        <w:jc w:val="both"/>
        <w:rPr>
          <w:b/>
          <w:sz w:val="21"/>
        </w:rPr>
      </w:pPr>
      <w:r>
        <w:rPr>
          <w:spacing w:val="-1"/>
          <w:w w:val="33"/>
          <w:sz w:val="21"/>
        </w:rPr>
        <w:t>―</w:t>
      </w:r>
      <w:r>
        <w:rPr>
          <w:spacing w:val="-1"/>
          <w:w w:val="100"/>
          <w:sz w:val="21"/>
        </w:rPr>
        <w:t>6</w:t>
      </w:r>
      <w:r>
        <w:rPr>
          <w:w w:val="100"/>
          <w:sz w:val="21"/>
        </w:rPr>
        <w:t>.</w:t>
      </w:r>
      <w:r>
        <w:rPr>
          <w:spacing w:val="10"/>
          <w:sz w:val="21"/>
        </w:rPr>
        <w:t> </w:t>
      </w:r>
      <w:r>
        <w:rPr>
          <w:w w:val="100"/>
          <w:sz w:val="21"/>
        </w:rPr>
        <w:t>…T</w:t>
      </w:r>
      <w:r>
        <w:rPr>
          <w:spacing w:val="-2"/>
          <w:w w:val="100"/>
          <w:sz w:val="21"/>
        </w:rPr>
        <w:t>h</w:t>
      </w:r>
      <w:r>
        <w:rPr>
          <w:w w:val="100"/>
          <w:sz w:val="21"/>
        </w:rPr>
        <w:t>e</w:t>
      </w:r>
      <w:r>
        <w:rPr>
          <w:spacing w:val="11"/>
          <w:sz w:val="21"/>
        </w:rPr>
        <w:t> </w:t>
      </w:r>
      <w:r>
        <w:rPr>
          <w:spacing w:val="-2"/>
          <w:w w:val="100"/>
          <w:sz w:val="21"/>
        </w:rPr>
        <w:t>t</w:t>
      </w:r>
      <w:r>
        <w:rPr>
          <w:spacing w:val="-1"/>
          <w:w w:val="100"/>
          <w:sz w:val="21"/>
        </w:rPr>
        <w:t>ru</w:t>
      </w:r>
      <w:r>
        <w:rPr>
          <w:w w:val="100"/>
          <w:sz w:val="21"/>
        </w:rPr>
        <w:t>e</w:t>
      </w:r>
      <w:r>
        <w:rPr>
          <w:spacing w:val="11"/>
          <w:sz w:val="21"/>
        </w:rPr>
        <w:t> </w:t>
      </w:r>
      <w:r>
        <w:rPr>
          <w:spacing w:val="-3"/>
          <w:w w:val="100"/>
          <w:sz w:val="21"/>
        </w:rPr>
        <w:t>p</w:t>
      </w:r>
      <w:r>
        <w:rPr>
          <w:spacing w:val="-1"/>
          <w:w w:val="100"/>
          <w:sz w:val="21"/>
        </w:rPr>
        <w:t>urpo</w:t>
      </w:r>
      <w:r>
        <w:rPr>
          <w:spacing w:val="-3"/>
          <w:w w:val="100"/>
          <w:sz w:val="21"/>
        </w:rPr>
        <w:t>s</w:t>
      </w:r>
      <w:r>
        <w:rPr>
          <w:w w:val="100"/>
          <w:sz w:val="21"/>
        </w:rPr>
        <w:t>e</w:t>
      </w:r>
      <w:r>
        <w:rPr>
          <w:spacing w:val="11"/>
          <w:sz w:val="21"/>
        </w:rPr>
        <w:t> </w:t>
      </w:r>
      <w:r>
        <w:rPr>
          <w:spacing w:val="-3"/>
          <w:w w:val="100"/>
          <w:sz w:val="21"/>
        </w:rPr>
        <w:t>o</w:t>
      </w:r>
      <w:r>
        <w:rPr>
          <w:w w:val="100"/>
          <w:sz w:val="21"/>
        </w:rPr>
        <w:t>f</w:t>
      </w:r>
      <w:r>
        <w:rPr>
          <w:spacing w:val="10"/>
          <w:sz w:val="21"/>
        </w:rPr>
        <w:t> </w:t>
      </w:r>
      <w:r>
        <w:rPr>
          <w:w w:val="100"/>
          <w:sz w:val="21"/>
        </w:rPr>
        <w:t>a</w:t>
      </w:r>
      <w:r>
        <w:rPr>
          <w:spacing w:val="11"/>
          <w:sz w:val="21"/>
        </w:rPr>
        <w:t> </w:t>
      </w:r>
      <w:r>
        <w:rPr>
          <w:spacing w:val="-1"/>
          <w:w w:val="100"/>
          <w:sz w:val="21"/>
        </w:rPr>
        <w:t>g</w:t>
      </w:r>
      <w:r>
        <w:rPr>
          <w:spacing w:val="-2"/>
          <w:w w:val="100"/>
          <w:sz w:val="21"/>
        </w:rPr>
        <w:t>i</w:t>
      </w:r>
      <w:r>
        <w:rPr>
          <w:spacing w:val="1"/>
          <w:w w:val="100"/>
          <w:sz w:val="21"/>
        </w:rPr>
        <w:t>f</w:t>
      </w:r>
      <w:r>
        <w:rPr>
          <w:w w:val="100"/>
          <w:sz w:val="21"/>
        </w:rPr>
        <w:t>t</w:t>
      </w:r>
      <w:r>
        <w:rPr>
          <w:spacing w:val="10"/>
          <w:sz w:val="21"/>
        </w:rPr>
        <w:t> </w:t>
      </w:r>
      <w:r>
        <w:rPr>
          <w:spacing w:val="-3"/>
          <w:w w:val="100"/>
          <w:sz w:val="21"/>
        </w:rPr>
        <w:t>o</w:t>
      </w:r>
      <w:r>
        <w:rPr>
          <w:w w:val="100"/>
          <w:sz w:val="21"/>
        </w:rPr>
        <w:t>f</w:t>
      </w:r>
      <w:r>
        <w:rPr>
          <w:spacing w:val="12"/>
          <w:sz w:val="21"/>
        </w:rPr>
        <w:t> </w:t>
      </w:r>
      <w:r>
        <w:rPr>
          <w:spacing w:val="-1"/>
          <w:w w:val="100"/>
          <w:sz w:val="21"/>
        </w:rPr>
        <w:t>pr</w:t>
      </w:r>
      <w:r>
        <w:rPr>
          <w:spacing w:val="-3"/>
          <w:w w:val="100"/>
          <w:sz w:val="21"/>
        </w:rPr>
        <w:t>o</w:t>
      </w:r>
      <w:r>
        <w:rPr>
          <w:spacing w:val="-1"/>
          <w:w w:val="100"/>
          <w:sz w:val="21"/>
        </w:rPr>
        <w:t>per</w:t>
      </w:r>
      <w:r>
        <w:rPr>
          <w:spacing w:val="-2"/>
          <w:w w:val="100"/>
          <w:sz w:val="21"/>
        </w:rPr>
        <w:t>t</w:t>
      </w:r>
      <w:r>
        <w:rPr>
          <w:w w:val="100"/>
          <w:sz w:val="21"/>
        </w:rPr>
        <w:t>i</w:t>
      </w:r>
      <w:r>
        <w:rPr>
          <w:spacing w:val="-3"/>
          <w:w w:val="100"/>
          <w:sz w:val="21"/>
        </w:rPr>
        <w:t>e</w:t>
      </w:r>
      <w:r>
        <w:rPr>
          <w:w w:val="100"/>
          <w:sz w:val="21"/>
        </w:rPr>
        <w:t>s</w:t>
      </w:r>
      <w:r>
        <w:rPr>
          <w:spacing w:val="11"/>
          <w:sz w:val="21"/>
        </w:rPr>
        <w:t> </w:t>
      </w:r>
      <w:r>
        <w:rPr>
          <w:spacing w:val="-2"/>
          <w:w w:val="100"/>
          <w:sz w:val="21"/>
        </w:rPr>
        <w:t>t</w:t>
      </w:r>
      <w:r>
        <w:rPr>
          <w:w w:val="100"/>
          <w:sz w:val="21"/>
        </w:rPr>
        <w:t>o</w:t>
      </w:r>
      <w:r>
        <w:rPr>
          <w:spacing w:val="11"/>
          <w:sz w:val="21"/>
        </w:rPr>
        <w:t> </w:t>
      </w:r>
      <w:r>
        <w:rPr>
          <w:spacing w:val="-2"/>
          <w:w w:val="100"/>
          <w:sz w:val="21"/>
        </w:rPr>
        <w:t>t</w:t>
      </w:r>
      <w:r>
        <w:rPr>
          <w:spacing w:val="-1"/>
          <w:w w:val="100"/>
          <w:sz w:val="21"/>
        </w:rPr>
        <w:t>h</w:t>
      </w:r>
      <w:r>
        <w:rPr>
          <w:w w:val="100"/>
          <w:sz w:val="21"/>
        </w:rPr>
        <w:t>e</w:t>
      </w:r>
      <w:r>
        <w:rPr>
          <w:spacing w:val="9"/>
          <w:sz w:val="21"/>
        </w:rPr>
        <w:t> </w:t>
      </w:r>
      <w:r>
        <w:rPr>
          <w:w w:val="100"/>
          <w:sz w:val="21"/>
        </w:rPr>
        <w:t>i</w:t>
      </w:r>
      <w:r>
        <w:rPr>
          <w:spacing w:val="-1"/>
          <w:w w:val="100"/>
          <w:sz w:val="21"/>
        </w:rPr>
        <w:t>d</w:t>
      </w:r>
      <w:r>
        <w:rPr>
          <w:spacing w:val="-3"/>
          <w:w w:val="100"/>
          <w:sz w:val="21"/>
        </w:rPr>
        <w:t>o</w:t>
      </w:r>
      <w:r>
        <w:rPr>
          <w:w w:val="100"/>
          <w:sz w:val="21"/>
        </w:rPr>
        <w:t>l</w:t>
      </w:r>
      <w:r>
        <w:rPr>
          <w:spacing w:val="11"/>
          <w:sz w:val="21"/>
        </w:rPr>
        <w:t> </w:t>
      </w:r>
      <w:r>
        <w:rPr>
          <w:spacing w:val="-2"/>
          <w:w w:val="100"/>
          <w:sz w:val="21"/>
        </w:rPr>
        <w:t>i</w:t>
      </w:r>
      <w:r>
        <w:rPr>
          <w:w w:val="100"/>
          <w:sz w:val="21"/>
        </w:rPr>
        <w:t>s</w:t>
      </w:r>
      <w:r>
        <w:rPr>
          <w:spacing w:val="11"/>
          <w:sz w:val="21"/>
        </w:rPr>
        <w:t> </w:t>
      </w:r>
      <w:r>
        <w:rPr>
          <w:spacing w:val="-1"/>
          <w:w w:val="100"/>
          <w:sz w:val="21"/>
        </w:rPr>
        <w:t>not </w:t>
      </w:r>
      <w:r>
        <w:rPr>
          <w:sz w:val="21"/>
        </w:rPr>
        <w:t>to confer any benefit on God, but to acquire spiritual benefit by providing opportunities and facilities for those who desire to worship. In </w:t>
      </w:r>
      <w:r>
        <w:rPr>
          <w:i/>
          <w:sz w:val="21"/>
        </w:rPr>
        <w:t>Bhupati Nath Smrititirtha </w:t>
      </w:r>
      <w:r>
        <w:rPr>
          <w:sz w:val="21"/>
        </w:rPr>
        <w:t>v </w:t>
      </w:r>
      <w:r>
        <w:rPr>
          <w:i/>
          <w:sz w:val="21"/>
        </w:rPr>
        <w:t>Ram Lal Maitra </w:t>
      </w:r>
      <w:r>
        <w:rPr>
          <w:sz w:val="21"/>
        </w:rPr>
        <w:t>it was held on a consideration of these and other texts that a gift to an idol was not to be judged by the rules applicable to a </w:t>
      </w:r>
      <w:r>
        <w:rPr>
          <w:spacing w:val="-2"/>
          <w:w w:val="100"/>
          <w:sz w:val="21"/>
        </w:rPr>
        <w:t>t</w:t>
      </w:r>
      <w:r>
        <w:rPr>
          <w:spacing w:val="-1"/>
          <w:w w:val="100"/>
          <w:sz w:val="21"/>
        </w:rPr>
        <w:t>rans</w:t>
      </w:r>
      <w:r>
        <w:rPr>
          <w:spacing w:val="1"/>
          <w:w w:val="100"/>
          <w:sz w:val="21"/>
        </w:rPr>
        <w:t>f</w:t>
      </w:r>
      <w:r>
        <w:rPr>
          <w:spacing w:val="-1"/>
          <w:w w:val="100"/>
          <w:sz w:val="21"/>
        </w:rPr>
        <w:t>e</w:t>
      </w:r>
      <w:r>
        <w:rPr>
          <w:w w:val="100"/>
          <w:sz w:val="21"/>
        </w:rPr>
        <w:t>r</w:t>
      </w:r>
      <w:r>
        <w:rPr>
          <w:sz w:val="21"/>
        </w:rPr>
        <w:t> </w:t>
      </w:r>
      <w:r>
        <w:rPr>
          <w:spacing w:val="2"/>
          <w:sz w:val="21"/>
        </w:rPr>
        <w:t> </w:t>
      </w:r>
      <w:r>
        <w:rPr>
          <w:spacing w:val="-2"/>
          <w:w w:val="100"/>
          <w:sz w:val="21"/>
        </w:rPr>
        <w:t>t</w:t>
      </w:r>
      <w:r>
        <w:rPr>
          <w:w w:val="100"/>
          <w:sz w:val="21"/>
        </w:rPr>
        <w:t>o</w:t>
      </w:r>
      <w:r>
        <w:rPr>
          <w:sz w:val="21"/>
        </w:rPr>
        <w:t> </w:t>
      </w:r>
      <w:r>
        <w:rPr>
          <w:spacing w:val="3"/>
          <w:sz w:val="21"/>
        </w:rPr>
        <w:t> </w:t>
      </w:r>
      <w:r>
        <w:rPr>
          <w:w w:val="100"/>
          <w:sz w:val="21"/>
        </w:rPr>
        <w:t>a</w:t>
      </w:r>
      <w:r>
        <w:rPr>
          <w:sz w:val="21"/>
        </w:rPr>
        <w:t> </w:t>
      </w:r>
      <w:r>
        <w:rPr>
          <w:spacing w:val="3"/>
          <w:sz w:val="21"/>
        </w:rPr>
        <w:t> </w:t>
      </w:r>
      <w:r>
        <w:rPr>
          <w:w w:val="40"/>
          <w:sz w:val="21"/>
        </w:rPr>
        <w:t>‗</w:t>
      </w:r>
      <w:r>
        <w:rPr>
          <w:w w:val="100"/>
          <w:sz w:val="21"/>
        </w:rPr>
        <w:t>s</w:t>
      </w:r>
      <w:r>
        <w:rPr>
          <w:spacing w:val="-3"/>
          <w:w w:val="100"/>
          <w:sz w:val="21"/>
        </w:rPr>
        <w:t>e</w:t>
      </w:r>
      <w:r>
        <w:rPr>
          <w:spacing w:val="-1"/>
          <w:w w:val="100"/>
          <w:sz w:val="21"/>
        </w:rPr>
        <w:t>nt</w:t>
      </w:r>
      <w:r>
        <w:rPr>
          <w:w w:val="100"/>
          <w:sz w:val="21"/>
        </w:rPr>
        <w:t>i</w:t>
      </w:r>
      <w:r>
        <w:rPr>
          <w:spacing w:val="-3"/>
          <w:w w:val="100"/>
          <w:sz w:val="21"/>
        </w:rPr>
        <w:t>e</w:t>
      </w:r>
      <w:r>
        <w:rPr>
          <w:spacing w:val="-1"/>
          <w:w w:val="100"/>
          <w:sz w:val="21"/>
        </w:rPr>
        <w:t>n</w:t>
      </w:r>
      <w:r>
        <w:rPr>
          <w:w w:val="100"/>
          <w:sz w:val="21"/>
        </w:rPr>
        <w:t>t</w:t>
      </w:r>
      <w:r>
        <w:rPr>
          <w:sz w:val="21"/>
        </w:rPr>
        <w:t> </w:t>
      </w:r>
      <w:r>
        <w:rPr>
          <w:spacing w:val="4"/>
          <w:sz w:val="21"/>
        </w:rPr>
        <w:t> </w:t>
      </w:r>
      <w:r>
        <w:rPr>
          <w:spacing w:val="-3"/>
          <w:w w:val="100"/>
          <w:sz w:val="21"/>
        </w:rPr>
        <w:t>b</w:t>
      </w:r>
      <w:r>
        <w:rPr>
          <w:spacing w:val="-1"/>
          <w:w w:val="100"/>
          <w:sz w:val="21"/>
        </w:rPr>
        <w:t>e</w:t>
      </w:r>
      <w:r>
        <w:rPr>
          <w:spacing w:val="1"/>
          <w:w w:val="100"/>
          <w:sz w:val="21"/>
        </w:rPr>
        <w:t>i</w:t>
      </w:r>
      <w:r>
        <w:rPr>
          <w:spacing w:val="-3"/>
          <w:w w:val="100"/>
          <w:sz w:val="21"/>
        </w:rPr>
        <w:t>n</w:t>
      </w:r>
      <w:r>
        <w:rPr>
          <w:spacing w:val="-1"/>
          <w:w w:val="100"/>
          <w:sz w:val="21"/>
        </w:rPr>
        <w:t>g</w:t>
      </w:r>
      <w:r>
        <w:rPr>
          <w:spacing w:val="1"/>
          <w:w w:val="100"/>
          <w:sz w:val="21"/>
        </w:rPr>
        <w:t>‘</w:t>
      </w:r>
      <w:r>
        <w:rPr>
          <w:w w:val="100"/>
          <w:sz w:val="21"/>
        </w:rPr>
        <w:t>,</w:t>
      </w:r>
      <w:r>
        <w:rPr>
          <w:sz w:val="21"/>
        </w:rPr>
        <w:t> </w:t>
      </w:r>
      <w:r>
        <w:rPr>
          <w:spacing w:val="2"/>
          <w:sz w:val="21"/>
        </w:rPr>
        <w:t> </w:t>
      </w:r>
      <w:r>
        <w:rPr>
          <w:spacing w:val="-1"/>
          <w:w w:val="100"/>
          <w:sz w:val="21"/>
        </w:rPr>
        <w:t>an</w:t>
      </w:r>
      <w:r>
        <w:rPr>
          <w:w w:val="100"/>
          <w:sz w:val="21"/>
        </w:rPr>
        <w:t>d</w:t>
      </w:r>
      <w:r>
        <w:rPr>
          <w:sz w:val="21"/>
        </w:rPr>
        <w:t> </w:t>
      </w:r>
      <w:r>
        <w:rPr>
          <w:spacing w:val="3"/>
          <w:sz w:val="21"/>
        </w:rPr>
        <w:t> </w:t>
      </w:r>
      <w:r>
        <w:rPr>
          <w:spacing w:val="-2"/>
          <w:w w:val="100"/>
          <w:sz w:val="21"/>
        </w:rPr>
        <w:t>t</w:t>
      </w:r>
      <w:r>
        <w:rPr>
          <w:spacing w:val="-1"/>
          <w:w w:val="100"/>
          <w:sz w:val="21"/>
        </w:rPr>
        <w:t>ha</w:t>
      </w:r>
      <w:r>
        <w:rPr>
          <w:w w:val="100"/>
          <w:sz w:val="21"/>
        </w:rPr>
        <w:t>t</w:t>
      </w:r>
      <w:r>
        <w:rPr>
          <w:sz w:val="21"/>
        </w:rPr>
        <w:t> </w:t>
      </w:r>
      <w:r>
        <w:rPr>
          <w:spacing w:val="8"/>
          <w:sz w:val="21"/>
        </w:rPr>
        <w:t> </w:t>
      </w:r>
      <w:r>
        <w:rPr>
          <w:b/>
          <w:spacing w:val="-4"/>
          <w:w w:val="100"/>
          <w:sz w:val="21"/>
        </w:rPr>
        <w:t>t</w:t>
      </w:r>
      <w:r>
        <w:rPr>
          <w:b/>
          <w:w w:val="100"/>
          <w:sz w:val="21"/>
        </w:rPr>
        <w:t>he</w:t>
      </w:r>
      <w:r>
        <w:rPr>
          <w:b/>
          <w:sz w:val="21"/>
        </w:rPr>
        <w:t> </w:t>
      </w:r>
      <w:r>
        <w:rPr>
          <w:b/>
          <w:spacing w:val="3"/>
          <w:sz w:val="21"/>
        </w:rPr>
        <w:t> </w:t>
      </w:r>
      <w:r>
        <w:rPr>
          <w:b/>
          <w:w w:val="100"/>
          <w:sz w:val="21"/>
        </w:rPr>
        <w:t>d</w:t>
      </w:r>
      <w:r>
        <w:rPr>
          <w:b/>
          <w:spacing w:val="-2"/>
          <w:w w:val="100"/>
          <w:sz w:val="21"/>
        </w:rPr>
        <w:t>e</w:t>
      </w:r>
      <w:r>
        <w:rPr>
          <w:b/>
          <w:w w:val="100"/>
          <w:sz w:val="21"/>
        </w:rPr>
        <w:t>d</w:t>
      </w:r>
      <w:r>
        <w:rPr>
          <w:b/>
          <w:spacing w:val="-3"/>
          <w:w w:val="100"/>
          <w:sz w:val="21"/>
        </w:rPr>
        <w:t>i</w:t>
      </w:r>
      <w:r>
        <w:rPr>
          <w:b/>
          <w:w w:val="100"/>
          <w:sz w:val="21"/>
        </w:rPr>
        <w:t>cat</w:t>
      </w:r>
      <w:r>
        <w:rPr>
          <w:b/>
          <w:spacing w:val="-2"/>
          <w:w w:val="100"/>
          <w:sz w:val="21"/>
        </w:rPr>
        <w:t>i</w:t>
      </w:r>
      <w:r>
        <w:rPr>
          <w:b/>
          <w:w w:val="100"/>
          <w:sz w:val="21"/>
        </w:rPr>
        <w:t>on</w:t>
      </w:r>
      <w:r>
        <w:rPr>
          <w:b/>
          <w:sz w:val="21"/>
        </w:rPr>
        <w:t> </w:t>
      </w:r>
      <w:r>
        <w:rPr>
          <w:b/>
          <w:spacing w:val="4"/>
          <w:sz w:val="21"/>
        </w:rPr>
        <w:t> </w:t>
      </w:r>
      <w:r>
        <w:rPr>
          <w:b/>
          <w:w w:val="100"/>
          <w:sz w:val="21"/>
        </w:rPr>
        <w:t>of </w:t>
      </w:r>
      <w:r>
        <w:rPr>
          <w:b/>
          <w:sz w:val="21"/>
        </w:rPr>
        <w:t>properties to an idol consisted in the abandonment of the owner of his dominion over them for the purpose of their being appropriated for the purposes which he intends. Thus,</w:t>
      </w:r>
      <w:r>
        <w:rPr>
          <w:b/>
          <w:spacing w:val="17"/>
          <w:sz w:val="21"/>
        </w:rPr>
        <w:t> </w:t>
      </w:r>
      <w:r>
        <w:rPr>
          <w:b/>
          <w:sz w:val="21"/>
        </w:rPr>
        <w:t>it</w:t>
      </w:r>
      <w:r>
        <w:rPr>
          <w:b/>
          <w:spacing w:val="15"/>
          <w:sz w:val="21"/>
        </w:rPr>
        <w:t> </w:t>
      </w:r>
      <w:r>
        <w:rPr>
          <w:b/>
          <w:sz w:val="21"/>
        </w:rPr>
        <w:t>was</w:t>
      </w:r>
      <w:r>
        <w:rPr>
          <w:b/>
          <w:spacing w:val="17"/>
          <w:sz w:val="21"/>
        </w:rPr>
        <w:t> </w:t>
      </w:r>
      <w:r>
        <w:rPr>
          <w:b/>
          <w:sz w:val="21"/>
        </w:rPr>
        <w:t>observed</w:t>
      </w:r>
      <w:r>
        <w:rPr>
          <w:b/>
          <w:spacing w:val="16"/>
          <w:sz w:val="21"/>
        </w:rPr>
        <w:t> </w:t>
      </w:r>
      <w:r>
        <w:rPr>
          <w:b/>
          <w:sz w:val="21"/>
        </w:rPr>
        <w:t>by</w:t>
      </w:r>
      <w:r>
        <w:rPr>
          <w:b/>
          <w:spacing w:val="17"/>
          <w:sz w:val="21"/>
        </w:rPr>
        <w:t> </w:t>
      </w:r>
      <w:r>
        <w:rPr>
          <w:b/>
          <w:sz w:val="21"/>
        </w:rPr>
        <w:t>Sir</w:t>
      </w:r>
      <w:r>
        <w:rPr>
          <w:b/>
          <w:spacing w:val="17"/>
          <w:sz w:val="21"/>
        </w:rPr>
        <w:t> </w:t>
      </w:r>
      <w:r>
        <w:rPr>
          <w:b/>
          <w:sz w:val="21"/>
        </w:rPr>
        <w:t>Lawrence</w:t>
      </w:r>
      <w:r>
        <w:rPr>
          <w:b/>
          <w:spacing w:val="17"/>
          <w:sz w:val="21"/>
        </w:rPr>
        <w:t> </w:t>
      </w:r>
      <w:r>
        <w:rPr>
          <w:b/>
          <w:sz w:val="21"/>
        </w:rPr>
        <w:t>Jenkins</w:t>
      </w:r>
      <w:r>
        <w:rPr>
          <w:b/>
          <w:spacing w:val="14"/>
          <w:sz w:val="21"/>
        </w:rPr>
        <w:t> </w:t>
      </w:r>
      <w:r>
        <w:rPr>
          <w:b/>
          <w:sz w:val="21"/>
        </w:rPr>
        <w:t>C.J</w:t>
      </w:r>
      <w:r>
        <w:rPr>
          <w:b/>
          <w:spacing w:val="19"/>
          <w:sz w:val="21"/>
        </w:rPr>
        <w:t> </w:t>
      </w:r>
      <w:r>
        <w:rPr>
          <w:b/>
          <w:sz w:val="21"/>
        </w:rPr>
        <w:t>at</w:t>
      </w:r>
      <w:r>
        <w:rPr>
          <w:b/>
          <w:spacing w:val="15"/>
          <w:sz w:val="21"/>
        </w:rPr>
        <w:t> </w:t>
      </w:r>
      <w:r>
        <w:rPr>
          <w:b/>
          <w:sz w:val="21"/>
        </w:rPr>
        <w:t>p.</w:t>
      </w:r>
    </w:p>
    <w:p>
      <w:pPr>
        <w:spacing w:line="276" w:lineRule="auto" w:before="0"/>
        <w:ind w:left="1940" w:right="2263" w:firstLine="0"/>
        <w:jc w:val="both"/>
        <w:rPr>
          <w:sz w:val="21"/>
        </w:rPr>
      </w:pPr>
      <w:r>
        <w:rPr>
          <w:b/>
          <w:sz w:val="21"/>
        </w:rPr>
        <w:t>138 that ―the pious purpose is still the legatee, the establishment of the image is merely the mode in which the pious purpose is to be effected‖ and that ―the dedication to a deity‖ may be ―a compendious expression of the pious purpose for which the dedication is designed</w:t>
      </w:r>
      <w:r>
        <w:rPr>
          <w:sz w:val="21"/>
        </w:rPr>
        <w:t>‖.</w:t>
      </w:r>
    </w:p>
    <w:p>
      <w:pPr>
        <w:pStyle w:val="BodyText"/>
        <w:spacing w:before="1"/>
        <w:rPr>
          <w:sz w:val="24"/>
        </w:rPr>
      </w:pPr>
    </w:p>
    <w:p>
      <w:pPr>
        <w:spacing w:line="276" w:lineRule="auto" w:before="0"/>
        <w:ind w:left="1940" w:right="2260" w:firstLine="0"/>
        <w:jc w:val="both"/>
        <w:rPr>
          <w:sz w:val="21"/>
        </w:rPr>
      </w:pPr>
      <w:r>
        <w:rPr>
          <w:sz w:val="21"/>
        </w:rPr>
        <w:t>7. When once it is understood that </w:t>
      </w:r>
      <w:r>
        <w:rPr>
          <w:b/>
          <w:sz w:val="21"/>
        </w:rPr>
        <w:t>the true beneficiaries of religious endowments are not the idols but the worshippers, and that the purpose of the endowment is the maintenance of that worship for the benefit of the worshippers</w:t>
      </w:r>
      <w:r>
        <w:rPr>
          <w:sz w:val="21"/>
        </w:rPr>
        <w:t>, the question whether an endowment is private or public presents no difficulty. The cardinal point to be decided is whether it was the intention of the founder that specified individuals are to have the right of worship at the shrine, or the general public or any specified portion thereof.‖</w:t>
      </w:r>
    </w:p>
    <w:p>
      <w:pPr>
        <w:spacing w:line="241" w:lineRule="exact" w:before="0"/>
        <w:ind w:left="5798" w:right="0" w:firstLine="0"/>
        <w:jc w:val="both"/>
        <w:rPr>
          <w:sz w:val="21"/>
        </w:rPr>
      </w:pPr>
      <w:r>
        <w:rPr>
          <w:sz w:val="21"/>
        </w:rPr>
        <w:t>(Emphasis supplied)</w:t>
      </w:r>
    </w:p>
    <w:p>
      <w:pPr>
        <w:pStyle w:val="BodyText"/>
        <w:spacing w:before="5"/>
        <w:rPr>
          <w:sz w:val="28"/>
        </w:rPr>
      </w:pPr>
    </w:p>
    <w:p>
      <w:pPr>
        <w:pStyle w:val="BodyText"/>
        <w:spacing w:line="480" w:lineRule="auto"/>
        <w:ind w:left="500" w:right="440"/>
        <w:jc w:val="both"/>
      </w:pPr>
      <w:r>
        <w:rPr/>
        <w:t>Upon making an endowment, the donor relinquishes all claims to the endowed property. The property now vests in the pious purpose at the heart of the endowment which is recognised as a legal person. The idol forms the material manifestation of the pious purpose and the consequent centre of jural relations. The beneficiaries of the endowment are worshippers and the proper maintenance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512"/>
      </w:pPr>
      <w:r>
        <w:rPr/>
        <w:t>of worship to the idol is to enable the worshippers to achieve the spiritual benefit of being in communion with the divine.</w:t>
      </w:r>
    </w:p>
    <w:p>
      <w:pPr>
        <w:pStyle w:val="BodyText"/>
        <w:rPr>
          <w:sz w:val="28"/>
        </w:rPr>
      </w:pPr>
    </w:p>
    <w:p>
      <w:pPr>
        <w:pStyle w:val="ListParagraph"/>
        <w:numPr>
          <w:ilvl w:val="0"/>
          <w:numId w:val="3"/>
        </w:numPr>
        <w:tabs>
          <w:tab w:pos="1221" w:val="left" w:leader="none"/>
        </w:tabs>
        <w:spacing w:line="480" w:lineRule="auto" w:before="251" w:after="0"/>
        <w:ind w:left="500" w:right="436" w:firstLine="0"/>
        <w:jc w:val="both"/>
        <w:rPr>
          <w:sz w:val="25"/>
        </w:rPr>
      </w:pPr>
      <w:r>
        <w:rPr>
          <w:sz w:val="25"/>
        </w:rPr>
        <w:t>In </w:t>
      </w:r>
      <w:r>
        <w:rPr>
          <w:b/>
          <w:sz w:val="25"/>
        </w:rPr>
        <w:t>Yogendra Nath Naskar </w:t>
      </w:r>
      <w:r>
        <w:rPr>
          <w:sz w:val="25"/>
        </w:rPr>
        <w:t>v </w:t>
      </w:r>
      <w:r>
        <w:rPr>
          <w:b/>
          <w:sz w:val="25"/>
        </w:rPr>
        <w:t>Commissioner of Income Tax, Calcutta</w:t>
      </w:r>
      <w:r>
        <w:rPr>
          <w:sz w:val="25"/>
          <w:vertAlign w:val="superscript"/>
        </w:rPr>
        <w:t>64</w:t>
      </w:r>
      <w:r>
        <w:rPr>
          <w:sz w:val="25"/>
          <w:vertAlign w:val="baseline"/>
        </w:rPr>
        <w:t>, </w:t>
      </w:r>
      <w:r>
        <w:rPr>
          <w:spacing w:val="-1"/>
          <w:w w:val="99"/>
          <w:sz w:val="25"/>
          <w:vertAlign w:val="baseline"/>
        </w:rPr>
        <w:t>i</w:t>
      </w:r>
      <w:r>
        <w:rPr>
          <w:w w:val="99"/>
          <w:sz w:val="25"/>
          <w:vertAlign w:val="baseline"/>
        </w:rPr>
        <w:t>n</w:t>
      </w:r>
      <w:r>
        <w:rPr>
          <w:sz w:val="25"/>
          <w:vertAlign w:val="baseline"/>
        </w:rPr>
        <w:t> </w:t>
      </w:r>
      <w:r>
        <w:rPr>
          <w:spacing w:val="-19"/>
          <w:sz w:val="25"/>
          <w:vertAlign w:val="baseline"/>
        </w:rPr>
        <w:t> </w:t>
      </w:r>
      <w:r>
        <w:rPr>
          <w:spacing w:val="-1"/>
          <w:w w:val="99"/>
          <w:sz w:val="25"/>
          <w:vertAlign w:val="baseline"/>
        </w:rPr>
        <w:t>d</w:t>
      </w:r>
      <w:r>
        <w:rPr>
          <w:w w:val="99"/>
          <w:sz w:val="25"/>
          <w:vertAlign w:val="baseline"/>
        </w:rPr>
        <w:t>eciding</w:t>
      </w:r>
      <w:r>
        <w:rPr>
          <w:sz w:val="25"/>
          <w:vertAlign w:val="baseline"/>
        </w:rPr>
        <w:t> </w:t>
      </w:r>
      <w:r>
        <w:rPr>
          <w:spacing w:val="-19"/>
          <w:sz w:val="25"/>
          <w:vertAlign w:val="baseline"/>
        </w:rPr>
        <w:t> </w:t>
      </w:r>
      <w:r>
        <w:rPr>
          <w:w w:val="99"/>
          <w:sz w:val="25"/>
          <w:vertAlign w:val="baseline"/>
        </w:rPr>
        <w:t>that</w:t>
      </w:r>
      <w:r>
        <w:rPr>
          <w:sz w:val="25"/>
          <w:vertAlign w:val="baseline"/>
        </w:rPr>
        <w:t> </w:t>
      </w:r>
      <w:r>
        <w:rPr>
          <w:spacing w:val="-19"/>
          <w:sz w:val="25"/>
          <w:vertAlign w:val="baseline"/>
        </w:rPr>
        <w:t> </w:t>
      </w:r>
      <w:r>
        <w:rPr>
          <w:w w:val="99"/>
          <w:sz w:val="25"/>
          <w:vertAlign w:val="baseline"/>
        </w:rPr>
        <w:t>a</w:t>
      </w:r>
      <w:r>
        <w:rPr>
          <w:sz w:val="25"/>
          <w:vertAlign w:val="baseline"/>
        </w:rPr>
        <w:t> </w:t>
      </w:r>
      <w:r>
        <w:rPr>
          <w:spacing w:val="-19"/>
          <w:sz w:val="25"/>
          <w:vertAlign w:val="baseline"/>
        </w:rPr>
        <w:t> </w:t>
      </w:r>
      <w:r>
        <w:rPr>
          <w:spacing w:val="-1"/>
          <w:w w:val="99"/>
          <w:sz w:val="25"/>
          <w:vertAlign w:val="baseline"/>
        </w:rPr>
        <w:t>H</w:t>
      </w:r>
      <w:r>
        <w:rPr>
          <w:spacing w:val="-3"/>
          <w:w w:val="99"/>
          <w:sz w:val="25"/>
          <w:vertAlign w:val="baseline"/>
        </w:rPr>
        <w:t>i</w:t>
      </w:r>
      <w:r>
        <w:rPr>
          <w:spacing w:val="-1"/>
          <w:w w:val="99"/>
          <w:sz w:val="25"/>
          <w:vertAlign w:val="baseline"/>
        </w:rPr>
        <w:t>n</w:t>
      </w:r>
      <w:r>
        <w:rPr>
          <w:w w:val="99"/>
          <w:sz w:val="25"/>
          <w:vertAlign w:val="baseline"/>
        </w:rPr>
        <w:t>du</w:t>
      </w:r>
      <w:r>
        <w:rPr>
          <w:sz w:val="25"/>
          <w:vertAlign w:val="baseline"/>
        </w:rPr>
        <w:t> </w:t>
      </w:r>
      <w:r>
        <w:rPr>
          <w:spacing w:val="-19"/>
          <w:sz w:val="25"/>
          <w:vertAlign w:val="baseline"/>
        </w:rPr>
        <w:t> </w:t>
      </w:r>
      <w:r>
        <w:rPr>
          <w:spacing w:val="-1"/>
          <w:w w:val="99"/>
          <w:sz w:val="25"/>
          <w:vertAlign w:val="baseline"/>
        </w:rPr>
        <w:t>ido</w:t>
      </w:r>
      <w:r>
        <w:rPr>
          <w:w w:val="99"/>
          <w:sz w:val="25"/>
          <w:vertAlign w:val="baseline"/>
        </w:rPr>
        <w:t>l</w:t>
      </w:r>
      <w:r>
        <w:rPr>
          <w:sz w:val="25"/>
          <w:vertAlign w:val="baseline"/>
        </w:rPr>
        <w:t> </w:t>
      </w:r>
      <w:r>
        <w:rPr>
          <w:spacing w:val="-19"/>
          <w:sz w:val="25"/>
          <w:vertAlign w:val="baseline"/>
        </w:rPr>
        <w:t> </w:t>
      </w:r>
      <w:r>
        <w:rPr>
          <w:w w:val="99"/>
          <w:sz w:val="25"/>
          <w:vertAlign w:val="baseline"/>
        </w:rPr>
        <w:t>(</w:t>
      </w:r>
      <w:r>
        <w:rPr>
          <w:spacing w:val="-1"/>
          <w:w w:val="99"/>
          <w:sz w:val="25"/>
          <w:vertAlign w:val="baseline"/>
        </w:rPr>
        <w:t>o</w:t>
      </w:r>
      <w:r>
        <w:rPr>
          <w:w w:val="99"/>
          <w:sz w:val="25"/>
          <w:vertAlign w:val="baseline"/>
        </w:rPr>
        <w:t>r</w:t>
      </w:r>
      <w:r>
        <w:rPr>
          <w:sz w:val="25"/>
          <w:vertAlign w:val="baseline"/>
        </w:rPr>
        <w:t> </w:t>
      </w:r>
      <w:r>
        <w:rPr>
          <w:spacing w:val="-21"/>
          <w:sz w:val="25"/>
          <w:vertAlign w:val="baseline"/>
        </w:rPr>
        <w:t> </w:t>
      </w:r>
      <w:r>
        <w:rPr>
          <w:spacing w:val="-1"/>
          <w:w w:val="87"/>
          <w:sz w:val="25"/>
          <w:vertAlign w:val="baseline"/>
        </w:rPr>
        <w:t>‗deit</w:t>
      </w:r>
      <w:r>
        <w:rPr>
          <w:spacing w:val="-2"/>
          <w:w w:val="87"/>
          <w:sz w:val="25"/>
          <w:vertAlign w:val="baseline"/>
        </w:rPr>
        <w:t>y</w:t>
      </w:r>
      <w:r>
        <w:rPr>
          <w:spacing w:val="-1"/>
          <w:w w:val="99"/>
          <w:sz w:val="25"/>
          <w:vertAlign w:val="baseline"/>
        </w:rPr>
        <w:t>‘</w:t>
      </w:r>
      <w:r>
        <w:rPr>
          <w:w w:val="99"/>
          <w:sz w:val="25"/>
          <w:vertAlign w:val="baseline"/>
        </w:rPr>
        <w:t>)</w:t>
      </w:r>
      <w:r>
        <w:rPr>
          <w:sz w:val="25"/>
          <w:vertAlign w:val="baseline"/>
        </w:rPr>
        <w:t> </w:t>
      </w:r>
      <w:r>
        <w:rPr>
          <w:spacing w:val="-19"/>
          <w:sz w:val="25"/>
          <w:vertAlign w:val="baseline"/>
        </w:rPr>
        <w:t> </w:t>
      </w:r>
      <w:r>
        <w:rPr>
          <w:w w:val="99"/>
          <w:sz w:val="25"/>
          <w:vertAlign w:val="baseline"/>
        </w:rPr>
        <w:t>fell</w:t>
      </w:r>
      <w:r>
        <w:rPr>
          <w:sz w:val="25"/>
          <w:vertAlign w:val="baseline"/>
        </w:rPr>
        <w:t> </w:t>
      </w:r>
      <w:r>
        <w:rPr>
          <w:spacing w:val="-19"/>
          <w:sz w:val="25"/>
          <w:vertAlign w:val="baseline"/>
        </w:rPr>
        <w:t> </w:t>
      </w:r>
      <w:r>
        <w:rPr>
          <w:spacing w:val="-1"/>
          <w:w w:val="99"/>
          <w:sz w:val="25"/>
          <w:vertAlign w:val="baseline"/>
        </w:rPr>
        <w:t>withi</w:t>
      </w:r>
      <w:r>
        <w:rPr>
          <w:w w:val="99"/>
          <w:sz w:val="25"/>
          <w:vertAlign w:val="baseline"/>
        </w:rPr>
        <w:t>n</w:t>
      </w:r>
      <w:r>
        <w:rPr>
          <w:sz w:val="25"/>
          <w:vertAlign w:val="baseline"/>
        </w:rPr>
        <w:t> </w:t>
      </w:r>
      <w:r>
        <w:rPr>
          <w:spacing w:val="-19"/>
          <w:sz w:val="25"/>
          <w:vertAlign w:val="baseline"/>
        </w:rPr>
        <w:t> </w:t>
      </w:r>
      <w:r>
        <w:rPr>
          <w:w w:val="99"/>
          <w:sz w:val="25"/>
          <w:vertAlign w:val="baseline"/>
        </w:rPr>
        <w:t>the</w:t>
      </w:r>
      <w:r>
        <w:rPr>
          <w:sz w:val="25"/>
          <w:vertAlign w:val="baseline"/>
        </w:rPr>
        <w:t> </w:t>
      </w:r>
      <w:r>
        <w:rPr>
          <w:spacing w:val="-19"/>
          <w:sz w:val="25"/>
          <w:vertAlign w:val="baseline"/>
        </w:rPr>
        <w:t> </w:t>
      </w:r>
      <w:r>
        <w:rPr>
          <w:spacing w:val="-1"/>
          <w:w w:val="99"/>
          <w:sz w:val="25"/>
          <w:vertAlign w:val="baseline"/>
        </w:rPr>
        <w:t>d</w:t>
      </w:r>
      <w:r>
        <w:rPr>
          <w:w w:val="99"/>
          <w:sz w:val="25"/>
          <w:vertAlign w:val="baseline"/>
        </w:rPr>
        <w:t>efiniti</w:t>
      </w:r>
      <w:r>
        <w:rPr>
          <w:spacing w:val="-2"/>
          <w:w w:val="99"/>
          <w:sz w:val="25"/>
          <w:vertAlign w:val="baseline"/>
        </w:rPr>
        <w:t>o</w:t>
      </w:r>
      <w:r>
        <w:rPr>
          <w:w w:val="99"/>
          <w:sz w:val="25"/>
          <w:vertAlign w:val="baseline"/>
        </w:rPr>
        <w:t>n</w:t>
      </w:r>
      <w:r>
        <w:rPr>
          <w:sz w:val="25"/>
          <w:vertAlign w:val="baseline"/>
        </w:rPr>
        <w:t> </w:t>
      </w:r>
      <w:r>
        <w:rPr>
          <w:spacing w:val="-19"/>
          <w:sz w:val="25"/>
          <w:vertAlign w:val="baseline"/>
        </w:rPr>
        <w:t> </w:t>
      </w:r>
      <w:r>
        <w:rPr>
          <w:spacing w:val="-1"/>
          <w:w w:val="99"/>
          <w:sz w:val="25"/>
          <w:vertAlign w:val="baseline"/>
        </w:rPr>
        <w:t>o</w:t>
      </w:r>
      <w:r>
        <w:rPr>
          <w:w w:val="99"/>
          <w:sz w:val="25"/>
          <w:vertAlign w:val="baseline"/>
        </w:rPr>
        <w:t>f</w:t>
      </w:r>
      <w:r>
        <w:rPr>
          <w:sz w:val="25"/>
          <w:vertAlign w:val="baseline"/>
        </w:rPr>
        <w:t> </w:t>
      </w:r>
      <w:r>
        <w:rPr>
          <w:spacing w:val="-19"/>
          <w:sz w:val="25"/>
          <w:vertAlign w:val="baseline"/>
        </w:rPr>
        <w:t> </w:t>
      </w:r>
      <w:r>
        <w:rPr>
          <w:w w:val="33"/>
          <w:sz w:val="25"/>
          <w:vertAlign w:val="baseline"/>
        </w:rPr>
        <w:t>―</w:t>
      </w:r>
      <w:r>
        <w:rPr>
          <w:spacing w:val="-1"/>
          <w:w w:val="99"/>
          <w:sz w:val="25"/>
          <w:vertAlign w:val="baseline"/>
        </w:rPr>
        <w:t>indi</w:t>
      </w:r>
      <w:r>
        <w:rPr>
          <w:spacing w:val="-3"/>
          <w:w w:val="99"/>
          <w:sz w:val="25"/>
          <w:vertAlign w:val="baseline"/>
        </w:rPr>
        <w:t>v</w:t>
      </w:r>
      <w:r>
        <w:rPr>
          <w:spacing w:val="-1"/>
          <w:w w:val="99"/>
          <w:sz w:val="25"/>
          <w:vertAlign w:val="baseline"/>
        </w:rPr>
        <w:t>idu</w:t>
      </w:r>
      <w:r>
        <w:rPr>
          <w:w w:val="99"/>
          <w:sz w:val="25"/>
          <w:vertAlign w:val="baseline"/>
        </w:rPr>
        <w:t>a</w:t>
      </w:r>
      <w:r>
        <w:rPr>
          <w:spacing w:val="-1"/>
          <w:w w:val="87"/>
          <w:sz w:val="25"/>
          <w:vertAlign w:val="baseline"/>
        </w:rPr>
        <w:t>l‖ </w:t>
      </w:r>
      <w:r>
        <w:rPr>
          <w:sz w:val="25"/>
          <w:vertAlign w:val="baseline"/>
        </w:rPr>
        <w:t>under Section 3 of the Income Tax Act 1922, Justice Ramaswami speaking for a three-judge Bench of this Court</w:t>
      </w:r>
      <w:r>
        <w:rPr>
          <w:spacing w:val="-3"/>
          <w:sz w:val="25"/>
          <w:vertAlign w:val="baseline"/>
        </w:rPr>
        <w:t> </w:t>
      </w:r>
      <w:r>
        <w:rPr>
          <w:sz w:val="25"/>
          <w:vertAlign w:val="baseline"/>
        </w:rPr>
        <w:t>held:</w:t>
      </w:r>
    </w:p>
    <w:p>
      <w:pPr>
        <w:spacing w:line="276" w:lineRule="auto" w:before="1"/>
        <w:ind w:left="1940" w:right="2263" w:firstLine="0"/>
        <w:jc w:val="both"/>
        <w:rPr>
          <w:sz w:val="21"/>
        </w:rPr>
      </w:pPr>
      <w:r>
        <w:rPr>
          <w:w w:val="33"/>
          <w:sz w:val="21"/>
        </w:rPr>
        <w:t>―</w:t>
      </w:r>
      <w:r>
        <w:rPr>
          <w:w w:val="100"/>
          <w:sz w:val="21"/>
        </w:rPr>
        <w:t>6.</w:t>
      </w:r>
      <w:r>
        <w:rPr>
          <w:sz w:val="21"/>
        </w:rPr>
        <w:t>  </w:t>
      </w:r>
      <w:r>
        <w:rPr>
          <w:w w:val="100"/>
          <w:sz w:val="21"/>
        </w:rPr>
        <w:t>…It</w:t>
      </w:r>
      <w:r>
        <w:rPr>
          <w:sz w:val="21"/>
        </w:rPr>
        <w:t>  </w:t>
      </w:r>
      <w:r>
        <w:rPr>
          <w:w w:val="100"/>
          <w:sz w:val="21"/>
        </w:rPr>
        <w:t>should</w:t>
      </w:r>
      <w:r>
        <w:rPr>
          <w:sz w:val="21"/>
        </w:rPr>
        <w:t>  </w:t>
      </w:r>
      <w:r>
        <w:rPr>
          <w:w w:val="100"/>
          <w:sz w:val="21"/>
        </w:rPr>
        <w:t>however</w:t>
      </w:r>
      <w:r>
        <w:rPr>
          <w:sz w:val="21"/>
        </w:rPr>
        <w:t>  </w:t>
      </w:r>
      <w:r>
        <w:rPr>
          <w:w w:val="100"/>
          <w:sz w:val="21"/>
        </w:rPr>
        <w:t>be</w:t>
      </w:r>
      <w:r>
        <w:rPr>
          <w:sz w:val="21"/>
        </w:rPr>
        <w:t>  </w:t>
      </w:r>
      <w:r>
        <w:rPr>
          <w:w w:val="100"/>
          <w:sz w:val="21"/>
        </w:rPr>
        <w:t>remembered</w:t>
      </w:r>
      <w:r>
        <w:rPr>
          <w:sz w:val="21"/>
        </w:rPr>
        <w:t>  </w:t>
      </w:r>
      <w:r>
        <w:rPr>
          <w:w w:val="100"/>
          <w:sz w:val="21"/>
        </w:rPr>
        <w:t>that</w:t>
      </w:r>
      <w:r>
        <w:rPr>
          <w:sz w:val="21"/>
        </w:rPr>
        <w:t>  </w:t>
      </w:r>
      <w:r>
        <w:rPr>
          <w:w w:val="100"/>
          <w:sz w:val="21"/>
        </w:rPr>
        <w:t>the</w:t>
      </w:r>
      <w:r>
        <w:rPr>
          <w:sz w:val="21"/>
        </w:rPr>
        <w:t>  </w:t>
      </w:r>
      <w:r>
        <w:rPr>
          <w:w w:val="100"/>
          <w:sz w:val="21"/>
        </w:rPr>
        <w:t>juristic </w:t>
      </w:r>
      <w:r>
        <w:rPr>
          <w:sz w:val="21"/>
        </w:rPr>
        <w:t>person in the idol is not the material image, and it is an exploded theory that the image itself develops into a legal person as soon as it is consecrated and vivified by the Pran Pratishta ceremony. It is not also correct that the Supreme Being of which the idol is a symbol or image is the recipient and owner of the dedicated property.</w:t>
      </w:r>
    </w:p>
    <w:p>
      <w:pPr>
        <w:spacing w:before="1"/>
        <w:ind w:left="1940" w:right="0" w:firstLine="0"/>
        <w:jc w:val="left"/>
        <w:rPr>
          <w:sz w:val="21"/>
        </w:rPr>
      </w:pPr>
      <w:r>
        <w:rPr>
          <w:w w:val="100"/>
          <w:sz w:val="21"/>
        </w:rPr>
        <w:t>…</w:t>
      </w:r>
    </w:p>
    <w:p>
      <w:pPr>
        <w:tabs>
          <w:tab w:pos="5606" w:val="left" w:leader="none"/>
        </w:tabs>
        <w:spacing w:line="276" w:lineRule="auto" w:before="36"/>
        <w:ind w:left="1940" w:right="2260" w:firstLine="0"/>
        <w:jc w:val="both"/>
        <w:rPr>
          <w:sz w:val="21"/>
        </w:rPr>
      </w:pPr>
      <w:r>
        <w:rPr>
          <w:b/>
          <w:sz w:val="21"/>
        </w:rPr>
        <w:t>The correct legal position is that the idol as representing and embodying the spiritual purpose of the donor is the juristic person recognised by law and in this juristic person the dedicated property vests. </w:t>
      </w:r>
      <w:r>
        <w:rPr>
          <w:sz w:val="21"/>
        </w:rPr>
        <w:t>As observed by Mr. </w:t>
      </w:r>
      <w:r>
        <w:rPr>
          <w:spacing w:val="-2"/>
          <w:w w:val="100"/>
          <w:sz w:val="21"/>
        </w:rPr>
        <w:t>[</w:t>
      </w:r>
      <w:r>
        <w:rPr>
          <w:w w:val="100"/>
          <w:sz w:val="21"/>
        </w:rPr>
        <w:t>J</w:t>
      </w:r>
      <w:r>
        <w:rPr>
          <w:spacing w:val="-2"/>
          <w:w w:val="100"/>
          <w:sz w:val="21"/>
        </w:rPr>
        <w:t>]</w:t>
      </w:r>
      <w:r>
        <w:rPr>
          <w:spacing w:val="-1"/>
          <w:w w:val="100"/>
          <w:sz w:val="21"/>
        </w:rPr>
        <w:t>ust</w:t>
      </w:r>
      <w:r>
        <w:rPr>
          <w:w w:val="100"/>
          <w:sz w:val="21"/>
        </w:rPr>
        <w:t>ice</w:t>
      </w:r>
      <w:r>
        <w:rPr>
          <w:spacing w:val="23"/>
          <w:sz w:val="21"/>
        </w:rPr>
        <w:t> </w:t>
      </w:r>
      <w:r>
        <w:rPr>
          <w:w w:val="100"/>
          <w:sz w:val="21"/>
        </w:rPr>
        <w:t>B</w:t>
      </w:r>
      <w:r>
        <w:rPr>
          <w:spacing w:val="-4"/>
          <w:w w:val="100"/>
          <w:sz w:val="21"/>
        </w:rPr>
        <w:t>.</w:t>
      </w:r>
      <w:r>
        <w:rPr>
          <w:w w:val="100"/>
          <w:sz w:val="21"/>
        </w:rPr>
        <w:t>K.</w:t>
      </w:r>
      <w:r>
        <w:rPr>
          <w:spacing w:val="21"/>
          <w:sz w:val="21"/>
        </w:rPr>
        <w:t> </w:t>
      </w:r>
      <w:r>
        <w:rPr>
          <w:spacing w:val="-1"/>
          <w:w w:val="100"/>
          <w:sz w:val="21"/>
        </w:rPr>
        <w:t>M</w:t>
      </w:r>
      <w:r>
        <w:rPr>
          <w:spacing w:val="-3"/>
          <w:w w:val="100"/>
          <w:sz w:val="21"/>
        </w:rPr>
        <w:t>u</w:t>
      </w:r>
      <w:r>
        <w:rPr>
          <w:spacing w:val="2"/>
          <w:w w:val="100"/>
          <w:sz w:val="21"/>
        </w:rPr>
        <w:t>k</w:t>
      </w:r>
      <w:r>
        <w:rPr>
          <w:spacing w:val="-1"/>
          <w:w w:val="100"/>
          <w:sz w:val="21"/>
        </w:rPr>
        <w:t>he</w:t>
      </w:r>
      <w:r>
        <w:rPr>
          <w:spacing w:val="-3"/>
          <w:w w:val="100"/>
          <w:sz w:val="21"/>
        </w:rPr>
        <w:t>r</w:t>
      </w:r>
      <w:r>
        <w:rPr>
          <w:w w:val="100"/>
          <w:sz w:val="21"/>
        </w:rPr>
        <w:t>j</w:t>
      </w:r>
      <w:r>
        <w:rPr>
          <w:spacing w:val="-1"/>
          <w:w w:val="100"/>
          <w:sz w:val="21"/>
        </w:rPr>
        <w:t>ea</w:t>
      </w:r>
      <w:r>
        <w:rPr>
          <w:w w:val="100"/>
          <w:sz w:val="21"/>
        </w:rPr>
        <w:t>:</w:t>
      </w:r>
      <w:r>
        <w:rPr>
          <w:spacing w:val="19"/>
          <w:sz w:val="21"/>
        </w:rPr>
        <w:t> </w:t>
      </w:r>
      <w:r>
        <w:rPr>
          <w:spacing w:val="-6"/>
          <w:w w:val="33"/>
          <w:sz w:val="21"/>
        </w:rPr>
        <w:t>―</w:t>
      </w:r>
      <w:r>
        <w:rPr>
          <w:spacing w:val="6"/>
          <w:w w:val="100"/>
          <w:sz w:val="21"/>
        </w:rPr>
        <w:t>W</w:t>
      </w:r>
      <w:r>
        <w:rPr>
          <w:spacing w:val="-2"/>
          <w:w w:val="100"/>
          <w:sz w:val="21"/>
        </w:rPr>
        <w:t>it</w:t>
      </w:r>
      <w:r>
        <w:rPr>
          <w:w w:val="100"/>
          <w:sz w:val="21"/>
        </w:rPr>
        <w:t>h</w:t>
      </w:r>
      <w:r>
        <w:rPr>
          <w:spacing w:val="23"/>
          <w:sz w:val="21"/>
        </w:rPr>
        <w:t> </w:t>
      </w:r>
      <w:r>
        <w:rPr>
          <w:spacing w:val="-1"/>
          <w:w w:val="100"/>
          <w:sz w:val="21"/>
        </w:rPr>
        <w:t>rega</w:t>
      </w:r>
      <w:r>
        <w:rPr>
          <w:spacing w:val="-3"/>
          <w:w w:val="100"/>
          <w:sz w:val="21"/>
        </w:rPr>
        <w:t>r</w:t>
      </w:r>
      <w:r>
        <w:rPr>
          <w:w w:val="100"/>
          <w:sz w:val="21"/>
        </w:rPr>
        <w:t>d</w:t>
      </w:r>
      <w:r>
        <w:rPr>
          <w:spacing w:val="23"/>
          <w:sz w:val="21"/>
        </w:rPr>
        <w:t> </w:t>
      </w:r>
      <w:r>
        <w:rPr>
          <w:spacing w:val="-2"/>
          <w:w w:val="100"/>
          <w:sz w:val="21"/>
        </w:rPr>
        <w:t>t</w:t>
      </w:r>
      <w:r>
        <w:rPr>
          <w:w w:val="100"/>
          <w:sz w:val="21"/>
        </w:rPr>
        <w:t>o</w:t>
      </w:r>
      <w:r>
        <w:rPr>
          <w:spacing w:val="23"/>
          <w:sz w:val="21"/>
        </w:rPr>
        <w:t> </w:t>
      </w:r>
      <w:r>
        <w:rPr>
          <w:spacing w:val="-2"/>
          <w:w w:val="100"/>
          <w:sz w:val="21"/>
        </w:rPr>
        <w:t>t</w:t>
      </w:r>
      <w:r>
        <w:rPr>
          <w:spacing w:val="-1"/>
          <w:w w:val="100"/>
          <w:sz w:val="21"/>
        </w:rPr>
        <w:t>h</w:t>
      </w:r>
      <w:r>
        <w:rPr>
          <w:w w:val="100"/>
          <w:sz w:val="21"/>
        </w:rPr>
        <w:t>e</w:t>
      </w:r>
      <w:r>
        <w:rPr>
          <w:spacing w:val="23"/>
          <w:sz w:val="21"/>
        </w:rPr>
        <w:t> </w:t>
      </w:r>
      <w:r>
        <w:rPr>
          <w:spacing w:val="-1"/>
          <w:w w:val="100"/>
          <w:sz w:val="21"/>
        </w:rPr>
        <w:t>deb</w:t>
      </w:r>
      <w:r>
        <w:rPr>
          <w:w w:val="100"/>
          <w:sz w:val="21"/>
        </w:rPr>
        <w:t>u</w:t>
      </w:r>
      <w:r>
        <w:rPr>
          <w:spacing w:val="-4"/>
          <w:w w:val="100"/>
          <w:sz w:val="21"/>
        </w:rPr>
        <w:t>t</w:t>
      </w:r>
      <w:r>
        <w:rPr>
          <w:spacing w:val="-2"/>
          <w:w w:val="100"/>
          <w:sz w:val="21"/>
        </w:rPr>
        <w:t>t</w:t>
      </w:r>
      <w:r>
        <w:rPr>
          <w:spacing w:val="-1"/>
          <w:w w:val="100"/>
          <w:sz w:val="21"/>
        </w:rPr>
        <w:t>er</w:t>
      </w:r>
      <w:r>
        <w:rPr>
          <w:w w:val="100"/>
          <w:sz w:val="21"/>
        </w:rPr>
        <w:t>…</w:t>
      </w:r>
      <w:r>
        <w:rPr>
          <w:spacing w:val="22"/>
          <w:sz w:val="21"/>
        </w:rPr>
        <w:t> </w:t>
      </w:r>
      <w:r>
        <w:rPr>
          <w:spacing w:val="-2"/>
          <w:w w:val="100"/>
          <w:sz w:val="21"/>
        </w:rPr>
        <w:t>I</w:t>
      </w:r>
      <w:r>
        <w:rPr>
          <w:w w:val="100"/>
          <w:sz w:val="21"/>
        </w:rPr>
        <w:t>t</w:t>
      </w:r>
      <w:r>
        <w:rPr>
          <w:spacing w:val="21"/>
          <w:sz w:val="21"/>
        </w:rPr>
        <w:t> </w:t>
      </w:r>
      <w:r>
        <w:rPr>
          <w:w w:val="100"/>
          <w:sz w:val="21"/>
        </w:rPr>
        <w:t>is </w:t>
      </w:r>
      <w:r>
        <w:rPr>
          <w:sz w:val="21"/>
        </w:rPr>
        <w:t>not only a compendious expression but a material embodiment of the pious purpose and </w:t>
      </w:r>
      <w:r>
        <w:rPr>
          <w:b/>
          <w:sz w:val="21"/>
        </w:rPr>
        <w:t>though there is difficulty in holding that property can reside in the aim or purpose itself, it would be quite consistent with sound principles of Jurisprudence to say that a material object which represents or symbolises a particular purpose can be given the status of a legal person, and regarded as owner of the property which is dedicated to it.</w:t>
      </w:r>
      <w:r>
        <w:rPr>
          <w:sz w:val="21"/>
        </w:rPr>
        <w:t>‖ … The legal position is comparable in many respects to the development in</w:t>
      </w:r>
      <w:r>
        <w:rPr>
          <w:spacing w:val="-15"/>
          <w:sz w:val="21"/>
        </w:rPr>
        <w:t> </w:t>
      </w:r>
      <w:r>
        <w:rPr>
          <w:sz w:val="21"/>
        </w:rPr>
        <w:t>Roman</w:t>
      </w:r>
      <w:r>
        <w:rPr>
          <w:spacing w:val="-6"/>
          <w:sz w:val="21"/>
        </w:rPr>
        <w:t> </w:t>
      </w:r>
      <w:r>
        <w:rPr>
          <w:sz w:val="21"/>
        </w:rPr>
        <w:t>Law.‖</w:t>
        <w:tab/>
        <w:t>(Emphasis</w:t>
      </w:r>
      <w:r>
        <w:rPr>
          <w:spacing w:val="-2"/>
          <w:sz w:val="21"/>
        </w:rPr>
        <w:t> </w:t>
      </w:r>
      <w:r>
        <w:rPr>
          <w:sz w:val="21"/>
        </w:rPr>
        <w:t>supplied)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r>
        <w:rPr/>
        <w:pict>
          <v:rect style="position:absolute;margin-left:72.024002pt;margin-top:11.711597pt;width:144.020pt;height:.599980pt;mso-position-horizontal-relative:page;mso-position-vertical-relative:paragraph;z-index:-1570406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64</w:t>
      </w:r>
      <w:r>
        <w:rPr>
          <w:sz w:val="18"/>
          <w:vertAlign w:val="baseline"/>
        </w:rPr>
        <w:t> (1969) 1 SCC 555</w:t>
      </w:r>
    </w:p>
    <w:p>
      <w:pPr>
        <w:spacing w:after="0"/>
        <w:jc w:val="left"/>
        <w:rPr>
          <w:sz w:val="18"/>
        </w:rPr>
        <w:sectPr>
          <w:pgSz w:w="11910" w:h="16840"/>
          <w:pgMar w:header="721" w:footer="1014" w:top="1300" w:bottom="1200" w:left="940" w:right="1000"/>
        </w:sectPr>
      </w:pPr>
    </w:p>
    <w:p>
      <w:pPr>
        <w:pStyle w:val="Heading4"/>
        <w:spacing w:before="126"/>
        <w:jc w:val="left"/>
        <w:rPr>
          <w:i/>
        </w:rPr>
      </w:pPr>
      <w:r>
        <w:rPr>
          <w:i/>
        </w:rPr>
        <w:t>The purpose behind the dedication</w:t>
      </w:r>
    </w:p>
    <w:p>
      <w:pPr>
        <w:pStyle w:val="BodyText"/>
        <w:rPr>
          <w:i/>
          <w:sz w:val="28"/>
        </w:rPr>
      </w:pPr>
    </w:p>
    <w:p>
      <w:pPr>
        <w:pStyle w:val="BodyText"/>
        <w:spacing w:before="9"/>
        <w:rPr>
          <w:i/>
          <w:sz w:val="36"/>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Similar to the conceptual grounding of juristic personality in the case of a ship in admiralty law to personify actions </w:t>
      </w:r>
      <w:r>
        <w:rPr>
          <w:i/>
          <w:sz w:val="25"/>
        </w:rPr>
        <w:t>in rem</w:t>
      </w:r>
      <w:r>
        <w:rPr>
          <w:sz w:val="25"/>
        </w:rPr>
        <w:t>, the material object (i.e. idol), seen as an embodiment of the purpose behind the dedication, was chosen as the site of legal relations. The creation by judicial interpretation of an entity in law sub-served an important function. For it obviated a situation that would arise if, despite a dedication by a Hindu for a pious purpose, there existed </w:t>
      </w:r>
      <w:r>
        <w:rPr>
          <w:spacing w:val="4"/>
          <w:sz w:val="25"/>
        </w:rPr>
        <w:t>no </w:t>
      </w:r>
      <w:r>
        <w:rPr>
          <w:sz w:val="25"/>
        </w:rPr>
        <w:t>legally recognised entity which could receive the dedication. Such a situation was obviated by the judicially recognised principle that where an endowment is made for a religious or charitable institution and the object is pious, the institution will be treated as a juristic person even in the absence of a trust. Similarly, where the dedication is for an idol to be worshipped, the interests of present and future devotees would be at risk in the absence of a legal framework which ensured the regulation of the dedication made. The conferment of legal personality on the pious purpose ensured that there existed an entity in which the property would vest in an ideal sense, to receive the dedication and through whom the interests of the devotees could be protected. This was for the purpose of fulfilling the object of the dedication and through the performance of worship in accordance with religious texts, ensuring that the devotees realised peace through</w:t>
      </w:r>
      <w:r>
        <w:rPr>
          <w:spacing w:val="-18"/>
          <w:sz w:val="25"/>
        </w:rPr>
        <w:t> </w:t>
      </w:r>
      <w:r>
        <w:rPr>
          <w:sz w:val="25"/>
        </w:rPr>
        <w:t>prayer.</w:t>
      </w:r>
    </w:p>
    <w:p>
      <w:pPr>
        <w:pStyle w:val="BodyText"/>
        <w:spacing w:before="2"/>
      </w:pPr>
    </w:p>
    <w:p>
      <w:pPr>
        <w:pStyle w:val="ListParagraph"/>
        <w:numPr>
          <w:ilvl w:val="0"/>
          <w:numId w:val="3"/>
        </w:numPr>
        <w:tabs>
          <w:tab w:pos="1221" w:val="left" w:leader="none"/>
        </w:tabs>
        <w:spacing w:line="480" w:lineRule="auto" w:before="0" w:after="0"/>
        <w:ind w:left="500" w:right="440" w:firstLine="0"/>
        <w:jc w:val="both"/>
        <w:rPr>
          <w:sz w:val="25"/>
        </w:rPr>
      </w:pPr>
      <w:r>
        <w:rPr>
          <w:sz w:val="25"/>
        </w:rPr>
        <w:t>The recognition of juristic personality was hence devised by the courts to give</w:t>
      </w:r>
      <w:r>
        <w:rPr>
          <w:spacing w:val="44"/>
          <w:sz w:val="25"/>
        </w:rPr>
        <w:t> </w:t>
      </w:r>
      <w:r>
        <w:rPr>
          <w:sz w:val="25"/>
        </w:rPr>
        <w:t>legal</w:t>
      </w:r>
      <w:r>
        <w:rPr>
          <w:spacing w:val="43"/>
          <w:sz w:val="25"/>
        </w:rPr>
        <w:t> </w:t>
      </w:r>
      <w:r>
        <w:rPr>
          <w:sz w:val="25"/>
        </w:rPr>
        <w:t>effect</w:t>
      </w:r>
      <w:r>
        <w:rPr>
          <w:spacing w:val="45"/>
          <w:sz w:val="25"/>
        </w:rPr>
        <w:t> </w:t>
      </w:r>
      <w:r>
        <w:rPr>
          <w:sz w:val="25"/>
        </w:rPr>
        <w:t>to</w:t>
      </w:r>
      <w:r>
        <w:rPr>
          <w:spacing w:val="44"/>
          <w:sz w:val="25"/>
        </w:rPr>
        <w:t> </w:t>
      </w:r>
      <w:r>
        <w:rPr>
          <w:sz w:val="25"/>
        </w:rPr>
        <w:t>the</w:t>
      </w:r>
      <w:r>
        <w:rPr>
          <w:spacing w:val="45"/>
          <w:sz w:val="25"/>
        </w:rPr>
        <w:t> </w:t>
      </w:r>
      <w:r>
        <w:rPr>
          <w:sz w:val="25"/>
        </w:rPr>
        <w:t>Hindu</w:t>
      </w:r>
      <w:r>
        <w:rPr>
          <w:spacing w:val="44"/>
          <w:sz w:val="25"/>
        </w:rPr>
        <w:t> </w:t>
      </w:r>
      <w:r>
        <w:rPr>
          <w:sz w:val="25"/>
        </w:rPr>
        <w:t>practice</w:t>
      </w:r>
      <w:r>
        <w:rPr>
          <w:spacing w:val="45"/>
          <w:sz w:val="25"/>
        </w:rPr>
        <w:t> </w:t>
      </w:r>
      <w:r>
        <w:rPr>
          <w:sz w:val="25"/>
        </w:rPr>
        <w:t>of</w:t>
      </w:r>
      <w:r>
        <w:rPr>
          <w:spacing w:val="42"/>
          <w:sz w:val="25"/>
        </w:rPr>
        <w:t> </w:t>
      </w:r>
      <w:r>
        <w:rPr>
          <w:sz w:val="25"/>
        </w:rPr>
        <w:t>dedicating</w:t>
      </w:r>
      <w:r>
        <w:rPr>
          <w:spacing w:val="44"/>
          <w:sz w:val="25"/>
        </w:rPr>
        <w:t> </w:t>
      </w:r>
      <w:r>
        <w:rPr>
          <w:sz w:val="25"/>
        </w:rPr>
        <w:t>property</w:t>
      </w:r>
      <w:r>
        <w:rPr>
          <w:spacing w:val="42"/>
          <w:sz w:val="25"/>
        </w:rPr>
        <w:t> </w:t>
      </w:r>
      <w:r>
        <w:rPr>
          <w:sz w:val="25"/>
        </w:rPr>
        <w:t>for</w:t>
      </w:r>
      <w:r>
        <w:rPr>
          <w:spacing w:val="45"/>
          <w:sz w:val="25"/>
        </w:rPr>
        <w:t> </w:t>
      </w:r>
      <w:r>
        <w:rPr>
          <w:sz w:val="25"/>
        </w:rPr>
        <w:t>a</w:t>
      </w:r>
      <w:r>
        <w:rPr>
          <w:spacing w:val="45"/>
          <w:sz w:val="25"/>
        </w:rPr>
        <w:t> </w:t>
      </w:r>
      <w:r>
        <w:rPr>
          <w:sz w:val="25"/>
        </w:rPr>
        <w:t>religious</w:t>
      </w:r>
      <w:r>
        <w:rPr>
          <w:spacing w:val="44"/>
          <w:sz w:val="25"/>
        </w:rPr>
        <w:t> </w:t>
      </w:r>
      <w:r>
        <w:rPr>
          <w:sz w:val="25"/>
        </w:rPr>
        <w:t>or</w:t>
      </w:r>
    </w:p>
    <w:p>
      <w:pPr>
        <w:pStyle w:val="BodyText"/>
        <w:spacing w:line="482" w:lineRule="auto"/>
        <w:ind w:left="500" w:right="41"/>
      </w:pPr>
      <w:r>
        <w:rPr/>
        <w:t>‗pious‘ purposes. The founder or testator may choose to dedicate property for the use of a pious purpose. In many of the above cases, this pious purpose took the</w:t>
      </w:r>
    </w:p>
    <w:p>
      <w:pPr>
        <w:spacing w:after="0" w:line="482" w:lineRule="auto"/>
        <w:sectPr>
          <w:pgSz w:w="11910" w:h="16840"/>
          <w:pgMar w:header="721" w:footer="1014" w:top="1300" w:bottom="1200" w:left="940" w:right="1000"/>
        </w:sectPr>
      </w:pPr>
    </w:p>
    <w:p>
      <w:pPr>
        <w:pStyle w:val="BodyText"/>
        <w:spacing w:line="480" w:lineRule="auto" w:before="124"/>
        <w:ind w:left="500" w:right="434"/>
        <w:jc w:val="both"/>
      </w:pPr>
      <w:r>
        <w:rPr/>
        <w:t>form of continued maintenance and worship of an idol. There was a clear state interest in giving effect to the will of the founder or testator who has so dedicated property, as well as for ensuring that the property is at all times used for the purpose of the dedication. A legal fiction was created by which legal personality was conferred on the religious or charitable purpose for which the endowment was made. In the case of a dedication for an idol, the juristic personality finds</w:t>
      </w:r>
    </w:p>
    <w:p>
      <w:pPr>
        <w:pStyle w:val="BodyText"/>
        <w:spacing w:line="480" w:lineRule="auto"/>
        <w:ind w:left="500" w:right="441"/>
        <w:jc w:val="both"/>
      </w:pPr>
      <w:r>
        <w:rPr/>
        <w:t>‗compendious expression‘ in the idol itself. By conferring legal personality, the court gave legal effect to the dedication by creating an entity to receive the properties so dedicated. By stating that the artificial person created is in fact the owner of the dedicated properties, the court guarded against maladministration by the shebait. Even though the artificial legal person cannot sue without the assistance of a natural person, a legal framework was brought into existence by which claims for and against the dedicated property could be</w:t>
      </w:r>
      <w:r>
        <w:rPr>
          <w:spacing w:val="-12"/>
        </w:rPr>
        <w:t> </w:t>
      </w:r>
      <w:r>
        <w:rPr/>
        <w:t>pursued.</w:t>
      </w:r>
    </w:p>
    <w:p>
      <w:pPr>
        <w:pStyle w:val="BodyText"/>
      </w:pPr>
    </w:p>
    <w:p>
      <w:pPr>
        <w:pStyle w:val="ListParagraph"/>
        <w:numPr>
          <w:ilvl w:val="0"/>
          <w:numId w:val="3"/>
        </w:numPr>
        <w:tabs>
          <w:tab w:pos="1221" w:val="left" w:leader="none"/>
        </w:tabs>
        <w:spacing w:line="480" w:lineRule="auto" w:before="0" w:after="0"/>
        <w:ind w:left="500" w:right="437" w:firstLine="0"/>
        <w:jc w:val="both"/>
        <w:rPr>
          <w:sz w:val="25"/>
        </w:rPr>
      </w:pPr>
      <w:r>
        <w:rPr>
          <w:sz w:val="25"/>
        </w:rPr>
        <w:t>Though conceptually courts attributed legal personality to the intention of the founder, a convenient physical site of legal relations was found in the physical idol. This understanding is reiterated by this Court‘s observations in </w:t>
      </w:r>
      <w:r>
        <w:rPr>
          <w:b/>
          <w:sz w:val="25"/>
        </w:rPr>
        <w:t>Deoki </w:t>
      </w:r>
      <w:r>
        <w:rPr>
          <w:b/>
          <w:w w:val="99"/>
          <w:sz w:val="25"/>
        </w:rPr>
        <w:t>Na</w:t>
      </w:r>
      <w:r>
        <w:rPr>
          <w:b/>
          <w:spacing w:val="1"/>
          <w:w w:val="99"/>
          <w:sz w:val="25"/>
        </w:rPr>
        <w:t>n</w:t>
      </w:r>
      <w:r>
        <w:rPr>
          <w:b/>
          <w:w w:val="99"/>
          <w:sz w:val="25"/>
        </w:rPr>
        <w:t>d</w:t>
      </w:r>
      <w:r>
        <w:rPr>
          <w:b/>
          <w:w w:val="99"/>
          <w:sz w:val="25"/>
        </w:rPr>
        <w:t>an</w:t>
      </w:r>
      <w:r>
        <w:rPr>
          <w:b/>
          <w:sz w:val="25"/>
        </w:rPr>
        <w:t> </w:t>
      </w:r>
      <w:r>
        <w:rPr>
          <w:b/>
          <w:spacing w:val="9"/>
          <w:sz w:val="25"/>
        </w:rPr>
        <w:t> </w:t>
      </w:r>
      <w:r>
        <w:rPr>
          <w:w w:val="99"/>
          <w:sz w:val="25"/>
        </w:rPr>
        <w:t>that</w:t>
      </w:r>
      <w:r>
        <w:rPr>
          <w:sz w:val="25"/>
        </w:rPr>
        <w:t> </w:t>
      </w:r>
      <w:r>
        <w:rPr>
          <w:spacing w:val="5"/>
          <w:sz w:val="25"/>
        </w:rPr>
        <w:t> </w:t>
      </w:r>
      <w:r>
        <w:rPr>
          <w:w w:val="99"/>
          <w:sz w:val="25"/>
        </w:rPr>
        <w:t>the</w:t>
      </w:r>
      <w:r>
        <w:rPr>
          <w:sz w:val="25"/>
        </w:rPr>
        <w:t> </w:t>
      </w:r>
      <w:r>
        <w:rPr>
          <w:spacing w:val="8"/>
          <w:sz w:val="25"/>
        </w:rPr>
        <w:t> </w:t>
      </w:r>
      <w:r>
        <w:rPr>
          <w:spacing w:val="-1"/>
          <w:w w:val="99"/>
          <w:sz w:val="25"/>
        </w:rPr>
        <w:t>id</w:t>
      </w:r>
      <w:r>
        <w:rPr>
          <w:spacing w:val="-2"/>
          <w:w w:val="99"/>
          <w:sz w:val="25"/>
        </w:rPr>
        <w:t>o</w:t>
      </w:r>
      <w:r>
        <w:rPr>
          <w:w w:val="99"/>
          <w:sz w:val="25"/>
        </w:rPr>
        <w:t>l</w:t>
      </w:r>
      <w:r>
        <w:rPr>
          <w:sz w:val="25"/>
        </w:rPr>
        <w:t> </w:t>
      </w:r>
      <w:r>
        <w:rPr>
          <w:spacing w:val="7"/>
          <w:sz w:val="25"/>
        </w:rPr>
        <w:t> </w:t>
      </w:r>
      <w:r>
        <w:rPr>
          <w:spacing w:val="-1"/>
          <w:w w:val="99"/>
          <w:sz w:val="25"/>
        </w:rPr>
        <w:t>i</w:t>
      </w:r>
      <w:r>
        <w:rPr>
          <w:w w:val="99"/>
          <w:sz w:val="25"/>
        </w:rPr>
        <w:t>s</w:t>
      </w:r>
      <w:r>
        <w:rPr>
          <w:sz w:val="25"/>
        </w:rPr>
        <w:t> </w:t>
      </w:r>
      <w:r>
        <w:rPr>
          <w:spacing w:val="7"/>
          <w:sz w:val="25"/>
        </w:rPr>
        <w:t> </w:t>
      </w:r>
      <w:r>
        <w:rPr>
          <w:w w:val="99"/>
          <w:sz w:val="25"/>
        </w:rPr>
        <w:t>a</w:t>
      </w:r>
      <w:r>
        <w:rPr>
          <w:sz w:val="25"/>
        </w:rPr>
        <w:t> </w:t>
      </w:r>
      <w:r>
        <w:rPr>
          <w:spacing w:val="7"/>
          <w:sz w:val="25"/>
        </w:rPr>
        <w:t> </w:t>
      </w:r>
      <w:r>
        <w:rPr>
          <w:w w:val="33"/>
          <w:sz w:val="25"/>
        </w:rPr>
        <w:t>―</w:t>
      </w:r>
      <w:r>
        <w:rPr>
          <w:w w:val="99"/>
          <w:sz w:val="25"/>
        </w:rPr>
        <w:t>co</w:t>
      </w:r>
      <w:r>
        <w:rPr>
          <w:spacing w:val="1"/>
          <w:w w:val="99"/>
          <w:sz w:val="25"/>
        </w:rPr>
        <w:t>m</w:t>
      </w:r>
      <w:r>
        <w:rPr>
          <w:spacing w:val="-1"/>
          <w:w w:val="99"/>
          <w:sz w:val="25"/>
        </w:rPr>
        <w:t>p</w:t>
      </w:r>
      <w:r>
        <w:rPr>
          <w:w w:val="99"/>
          <w:sz w:val="25"/>
        </w:rPr>
        <w:t>e</w:t>
      </w:r>
      <w:r>
        <w:rPr>
          <w:spacing w:val="-1"/>
          <w:w w:val="99"/>
          <w:sz w:val="25"/>
        </w:rPr>
        <w:t>n</w:t>
      </w:r>
      <w:r>
        <w:rPr>
          <w:w w:val="99"/>
          <w:sz w:val="25"/>
        </w:rPr>
        <w:t>d</w:t>
      </w:r>
      <w:r>
        <w:rPr>
          <w:spacing w:val="-1"/>
          <w:w w:val="99"/>
          <w:sz w:val="25"/>
        </w:rPr>
        <w:t>iou</w:t>
      </w:r>
      <w:r>
        <w:rPr>
          <w:w w:val="99"/>
          <w:sz w:val="25"/>
        </w:rPr>
        <w:t>s</w:t>
      </w:r>
      <w:r>
        <w:rPr>
          <w:sz w:val="25"/>
        </w:rPr>
        <w:t> </w:t>
      </w:r>
      <w:r>
        <w:rPr>
          <w:spacing w:val="5"/>
          <w:sz w:val="25"/>
        </w:rPr>
        <w:t> </w:t>
      </w:r>
      <w:r>
        <w:rPr>
          <w:spacing w:val="-1"/>
          <w:w w:val="99"/>
          <w:sz w:val="25"/>
        </w:rPr>
        <w:t>e</w:t>
      </w:r>
      <w:r>
        <w:rPr>
          <w:spacing w:val="-3"/>
          <w:w w:val="99"/>
          <w:sz w:val="25"/>
        </w:rPr>
        <w:t>x</w:t>
      </w:r>
      <w:r>
        <w:rPr>
          <w:spacing w:val="-1"/>
          <w:w w:val="99"/>
          <w:sz w:val="25"/>
        </w:rPr>
        <w:t>p</w:t>
      </w:r>
      <w:r>
        <w:rPr>
          <w:w w:val="99"/>
          <w:sz w:val="25"/>
        </w:rPr>
        <w:t>r</w:t>
      </w:r>
      <w:r>
        <w:rPr>
          <w:spacing w:val="-1"/>
          <w:w w:val="99"/>
          <w:sz w:val="25"/>
        </w:rPr>
        <w:t>essio</w:t>
      </w:r>
      <w:r>
        <w:rPr>
          <w:w w:val="99"/>
          <w:sz w:val="25"/>
        </w:rPr>
        <w:t>n</w:t>
      </w:r>
      <w:r>
        <w:rPr>
          <w:w w:val="80"/>
          <w:sz w:val="25"/>
        </w:rPr>
        <w:t>‖</w:t>
      </w:r>
      <w:r>
        <w:rPr>
          <w:sz w:val="25"/>
        </w:rPr>
        <w:t> </w:t>
      </w:r>
      <w:r>
        <w:rPr>
          <w:spacing w:val="8"/>
          <w:sz w:val="25"/>
        </w:rPr>
        <w:t> </w:t>
      </w:r>
      <w:r>
        <w:rPr>
          <w:spacing w:val="-1"/>
          <w:w w:val="99"/>
          <w:sz w:val="25"/>
        </w:rPr>
        <w:t>o</w:t>
      </w:r>
      <w:r>
        <w:rPr>
          <w:w w:val="99"/>
          <w:sz w:val="25"/>
        </w:rPr>
        <w:t>f</w:t>
      </w:r>
      <w:r>
        <w:rPr>
          <w:sz w:val="25"/>
        </w:rPr>
        <w:t> </w:t>
      </w:r>
      <w:r>
        <w:rPr>
          <w:spacing w:val="7"/>
          <w:sz w:val="25"/>
        </w:rPr>
        <w:t> </w:t>
      </w:r>
      <w:r>
        <w:rPr>
          <w:w w:val="99"/>
          <w:sz w:val="25"/>
        </w:rPr>
        <w:t>the</w:t>
      </w:r>
      <w:r>
        <w:rPr>
          <w:sz w:val="25"/>
        </w:rPr>
        <w:t> </w:t>
      </w:r>
      <w:r>
        <w:rPr>
          <w:spacing w:val="5"/>
          <w:sz w:val="25"/>
        </w:rPr>
        <w:t> </w:t>
      </w:r>
      <w:r>
        <w:rPr>
          <w:w w:val="99"/>
          <w:sz w:val="25"/>
        </w:rPr>
        <w:t>test</w:t>
      </w:r>
      <w:r>
        <w:rPr>
          <w:spacing w:val="-1"/>
          <w:w w:val="99"/>
          <w:sz w:val="25"/>
        </w:rPr>
        <w:t>at</w:t>
      </w:r>
      <w:r>
        <w:rPr>
          <w:w w:val="99"/>
          <w:sz w:val="25"/>
        </w:rPr>
        <w:t>or</w:t>
      </w:r>
      <w:r>
        <w:rPr>
          <w:spacing w:val="-1"/>
          <w:w w:val="99"/>
          <w:sz w:val="25"/>
        </w:rPr>
        <w:t>‘</w:t>
      </w:r>
      <w:r>
        <w:rPr>
          <w:w w:val="99"/>
          <w:sz w:val="25"/>
        </w:rPr>
        <w:t>s</w:t>
      </w:r>
      <w:r>
        <w:rPr>
          <w:sz w:val="25"/>
        </w:rPr>
        <w:t> </w:t>
      </w:r>
      <w:r>
        <w:rPr>
          <w:spacing w:val="7"/>
          <w:sz w:val="25"/>
        </w:rPr>
        <w:t> </w:t>
      </w:r>
      <w:r>
        <w:rPr>
          <w:spacing w:val="-1"/>
          <w:w w:val="99"/>
          <w:sz w:val="25"/>
        </w:rPr>
        <w:t>pio</w:t>
      </w:r>
      <w:r>
        <w:rPr>
          <w:w w:val="99"/>
          <w:sz w:val="25"/>
        </w:rPr>
        <w:t>us </w:t>
      </w:r>
      <w:r>
        <w:rPr>
          <w:spacing w:val="-1"/>
          <w:w w:val="99"/>
          <w:sz w:val="25"/>
        </w:rPr>
        <w:t>p</w:t>
      </w:r>
      <w:r>
        <w:rPr>
          <w:w w:val="99"/>
          <w:sz w:val="25"/>
        </w:rPr>
        <w:t>ur</w:t>
      </w:r>
      <w:r>
        <w:rPr>
          <w:spacing w:val="-1"/>
          <w:w w:val="99"/>
          <w:sz w:val="25"/>
        </w:rPr>
        <w:t>p</w:t>
      </w:r>
      <w:r>
        <w:rPr>
          <w:w w:val="99"/>
          <w:sz w:val="25"/>
        </w:rPr>
        <w:t>ose.</w:t>
      </w:r>
      <w:r>
        <w:rPr>
          <w:sz w:val="25"/>
        </w:rPr>
        <w:t> </w:t>
      </w:r>
      <w:r>
        <w:rPr>
          <w:spacing w:val="-14"/>
          <w:sz w:val="25"/>
        </w:rPr>
        <w:t> </w:t>
      </w:r>
      <w:r>
        <w:rPr>
          <w:w w:val="99"/>
          <w:sz w:val="25"/>
        </w:rPr>
        <w:t>T</w:t>
      </w:r>
      <w:r>
        <w:rPr>
          <w:spacing w:val="-1"/>
          <w:w w:val="99"/>
          <w:sz w:val="25"/>
        </w:rPr>
        <w:t>h</w:t>
      </w:r>
      <w:r>
        <w:rPr>
          <w:w w:val="99"/>
          <w:sz w:val="25"/>
        </w:rPr>
        <w:t>e</w:t>
      </w:r>
      <w:r>
        <w:rPr>
          <w:sz w:val="25"/>
        </w:rPr>
        <w:t> </w:t>
      </w:r>
      <w:r>
        <w:rPr>
          <w:spacing w:val="-14"/>
          <w:sz w:val="25"/>
        </w:rPr>
        <w:t> </w:t>
      </w:r>
      <w:r>
        <w:rPr>
          <w:spacing w:val="-1"/>
          <w:w w:val="99"/>
          <w:sz w:val="25"/>
        </w:rPr>
        <w:t>idol</w:t>
      </w:r>
      <w:r>
        <w:rPr>
          <w:w w:val="99"/>
          <w:sz w:val="25"/>
        </w:rPr>
        <w:t>,</w:t>
      </w:r>
      <w:r>
        <w:rPr>
          <w:sz w:val="25"/>
        </w:rPr>
        <w:t> </w:t>
      </w:r>
      <w:r>
        <w:rPr>
          <w:spacing w:val="-14"/>
          <w:sz w:val="25"/>
        </w:rPr>
        <w:t> </w:t>
      </w:r>
      <w:r>
        <w:rPr>
          <w:spacing w:val="-1"/>
          <w:w w:val="99"/>
          <w:sz w:val="25"/>
        </w:rPr>
        <w:t>a</w:t>
      </w:r>
      <w:r>
        <w:rPr>
          <w:w w:val="99"/>
          <w:sz w:val="25"/>
        </w:rPr>
        <w:t>s</w:t>
      </w:r>
      <w:r>
        <w:rPr>
          <w:sz w:val="25"/>
        </w:rPr>
        <w:t> </w:t>
      </w:r>
      <w:r>
        <w:rPr>
          <w:spacing w:val="-14"/>
          <w:sz w:val="25"/>
        </w:rPr>
        <w:t> </w:t>
      </w:r>
      <w:r>
        <w:rPr>
          <w:w w:val="99"/>
          <w:sz w:val="25"/>
        </w:rPr>
        <w:t>a</w:t>
      </w:r>
      <w:r>
        <w:rPr>
          <w:sz w:val="25"/>
        </w:rPr>
        <w:t> </w:t>
      </w:r>
      <w:r>
        <w:rPr>
          <w:spacing w:val="-14"/>
          <w:sz w:val="25"/>
        </w:rPr>
        <w:t> </w:t>
      </w:r>
      <w:r>
        <w:rPr>
          <w:w w:val="99"/>
          <w:sz w:val="25"/>
        </w:rPr>
        <w:t>r</w:t>
      </w:r>
      <w:r>
        <w:rPr>
          <w:spacing w:val="-1"/>
          <w:w w:val="99"/>
          <w:sz w:val="25"/>
        </w:rPr>
        <w:t>e</w:t>
      </w:r>
      <w:r>
        <w:rPr>
          <w:w w:val="99"/>
          <w:sz w:val="25"/>
        </w:rPr>
        <w:t>pr</w:t>
      </w:r>
      <w:r>
        <w:rPr>
          <w:spacing w:val="-1"/>
          <w:w w:val="99"/>
          <w:sz w:val="25"/>
        </w:rPr>
        <w:t>es</w:t>
      </w:r>
      <w:r>
        <w:rPr>
          <w:w w:val="99"/>
          <w:sz w:val="25"/>
        </w:rPr>
        <w:t>e</w:t>
      </w:r>
      <w:r>
        <w:rPr>
          <w:spacing w:val="-1"/>
          <w:w w:val="99"/>
          <w:sz w:val="25"/>
        </w:rPr>
        <w:t>nt</w:t>
      </w:r>
      <w:r>
        <w:rPr>
          <w:w w:val="99"/>
          <w:sz w:val="25"/>
        </w:rPr>
        <w:t>ation</w:t>
      </w:r>
      <w:r>
        <w:rPr>
          <w:sz w:val="25"/>
        </w:rPr>
        <w:t> </w:t>
      </w:r>
      <w:r>
        <w:rPr>
          <w:spacing w:val="-14"/>
          <w:sz w:val="25"/>
        </w:rPr>
        <w:t> </w:t>
      </w:r>
      <w:r>
        <w:rPr>
          <w:spacing w:val="-1"/>
          <w:w w:val="99"/>
          <w:sz w:val="25"/>
        </w:rPr>
        <w:t>o</w:t>
      </w:r>
      <w:r>
        <w:rPr>
          <w:w w:val="99"/>
          <w:sz w:val="25"/>
        </w:rPr>
        <w:t>r</w:t>
      </w:r>
      <w:r>
        <w:rPr>
          <w:sz w:val="25"/>
        </w:rPr>
        <w:t> </w:t>
      </w:r>
      <w:r>
        <w:rPr>
          <w:spacing w:val="-14"/>
          <w:sz w:val="25"/>
        </w:rPr>
        <w:t> </w:t>
      </w:r>
      <w:r>
        <w:rPr>
          <w:w w:val="99"/>
          <w:sz w:val="25"/>
        </w:rPr>
        <w:t>a</w:t>
      </w:r>
      <w:r>
        <w:rPr>
          <w:sz w:val="25"/>
        </w:rPr>
        <w:t> </w:t>
      </w:r>
      <w:r>
        <w:rPr>
          <w:spacing w:val="-14"/>
          <w:sz w:val="25"/>
        </w:rPr>
        <w:t> </w:t>
      </w:r>
      <w:r>
        <w:rPr>
          <w:w w:val="33"/>
          <w:sz w:val="25"/>
        </w:rPr>
        <w:t>―</w:t>
      </w:r>
      <w:r>
        <w:rPr>
          <w:w w:val="99"/>
          <w:sz w:val="25"/>
        </w:rPr>
        <w:t>co</w:t>
      </w:r>
      <w:r>
        <w:rPr>
          <w:spacing w:val="1"/>
          <w:w w:val="99"/>
          <w:sz w:val="25"/>
        </w:rPr>
        <w:t>m</w:t>
      </w:r>
      <w:r>
        <w:rPr>
          <w:spacing w:val="-1"/>
          <w:w w:val="99"/>
          <w:sz w:val="25"/>
        </w:rPr>
        <w:t>p</w:t>
      </w:r>
      <w:r>
        <w:rPr>
          <w:w w:val="99"/>
          <w:sz w:val="25"/>
        </w:rPr>
        <w:t>e</w:t>
      </w:r>
      <w:r>
        <w:rPr>
          <w:spacing w:val="-1"/>
          <w:w w:val="99"/>
          <w:sz w:val="25"/>
        </w:rPr>
        <w:t>n</w:t>
      </w:r>
      <w:r>
        <w:rPr>
          <w:w w:val="99"/>
          <w:sz w:val="25"/>
        </w:rPr>
        <w:t>d</w:t>
      </w:r>
      <w:r>
        <w:rPr>
          <w:spacing w:val="-1"/>
          <w:w w:val="99"/>
          <w:sz w:val="25"/>
        </w:rPr>
        <w:t>iou</w:t>
      </w:r>
      <w:r>
        <w:rPr>
          <w:w w:val="99"/>
          <w:sz w:val="25"/>
        </w:rPr>
        <w:t>s</w:t>
      </w:r>
      <w:r>
        <w:rPr>
          <w:sz w:val="25"/>
        </w:rPr>
        <w:t> </w:t>
      </w:r>
      <w:r>
        <w:rPr>
          <w:spacing w:val="-14"/>
          <w:sz w:val="25"/>
        </w:rPr>
        <w:t> </w:t>
      </w:r>
      <w:r>
        <w:rPr>
          <w:spacing w:val="-1"/>
          <w:w w:val="99"/>
          <w:sz w:val="25"/>
        </w:rPr>
        <w:t>ex</w:t>
      </w:r>
      <w:r>
        <w:rPr>
          <w:w w:val="99"/>
          <w:sz w:val="25"/>
        </w:rPr>
        <w:t>pr</w:t>
      </w:r>
      <w:r>
        <w:rPr>
          <w:spacing w:val="-1"/>
          <w:w w:val="99"/>
          <w:sz w:val="25"/>
        </w:rPr>
        <w:t>essio</w:t>
      </w:r>
      <w:r>
        <w:rPr>
          <w:w w:val="99"/>
          <w:sz w:val="25"/>
        </w:rPr>
        <w:t>n</w:t>
      </w:r>
      <w:r>
        <w:rPr>
          <w:w w:val="80"/>
          <w:sz w:val="25"/>
        </w:rPr>
        <w:t>‖</w:t>
      </w:r>
      <w:r>
        <w:rPr>
          <w:sz w:val="25"/>
        </w:rPr>
        <w:t> </w:t>
      </w:r>
      <w:r>
        <w:rPr>
          <w:spacing w:val="-14"/>
          <w:sz w:val="25"/>
        </w:rPr>
        <w:t> </w:t>
      </w:r>
      <w:r>
        <w:rPr>
          <w:spacing w:val="-1"/>
          <w:w w:val="99"/>
          <w:sz w:val="25"/>
        </w:rPr>
        <w:t>o</w:t>
      </w:r>
      <w:r>
        <w:rPr>
          <w:w w:val="99"/>
          <w:sz w:val="25"/>
        </w:rPr>
        <w:t>f</w:t>
      </w:r>
      <w:r>
        <w:rPr>
          <w:sz w:val="25"/>
        </w:rPr>
        <w:t> </w:t>
      </w:r>
      <w:r>
        <w:rPr>
          <w:spacing w:val="-14"/>
          <w:sz w:val="25"/>
        </w:rPr>
        <w:t> </w:t>
      </w:r>
      <w:r>
        <w:rPr>
          <w:w w:val="99"/>
          <w:sz w:val="25"/>
        </w:rPr>
        <w:t>the </w:t>
      </w:r>
      <w:r>
        <w:rPr>
          <w:sz w:val="25"/>
        </w:rPr>
        <w:t>pious purpose (now the artificial legal person) is a site of legal relations. This is also in consonance with the understanding that even where an idol is destroyed, the endowment does not come to an end. Being the physical manifestation of the pious purpose, even where the idol is submerged, not in existence temporarily, or destroyed by forces of nature, the pious purpose recognised to be a legal person continues to</w:t>
      </w:r>
      <w:r>
        <w:rPr>
          <w:spacing w:val="-3"/>
          <w:sz w:val="25"/>
        </w:rPr>
        <w:t> </w:t>
      </w:r>
      <w:r>
        <w:rPr>
          <w:sz w:val="25"/>
        </w:rPr>
        <w:t>exist.</w:t>
      </w:r>
    </w:p>
    <w:p>
      <w:pPr>
        <w:spacing w:after="0" w:line="480" w:lineRule="auto"/>
        <w:jc w:val="both"/>
        <w:rPr>
          <w:sz w:val="25"/>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3" w:firstLine="0"/>
        <w:jc w:val="both"/>
        <w:rPr>
          <w:sz w:val="25"/>
        </w:rPr>
      </w:pPr>
      <w:r>
        <w:rPr>
          <w:sz w:val="25"/>
        </w:rPr>
        <w:t>The extent to which the doctrine arose out of legal necessity and convenience is exemplified by Justice Ayyangar in </w:t>
      </w:r>
      <w:r>
        <w:rPr>
          <w:b/>
          <w:sz w:val="25"/>
        </w:rPr>
        <w:t>Vidyapurna Tirtha Swami </w:t>
      </w:r>
      <w:r>
        <w:rPr>
          <w:sz w:val="25"/>
        </w:rPr>
        <w:t>v </w:t>
      </w:r>
      <w:r>
        <w:rPr>
          <w:b/>
          <w:sz w:val="25"/>
        </w:rPr>
        <w:t>Vidyanidhi Tirtha Swami</w:t>
      </w:r>
      <w:r>
        <w:rPr>
          <w:sz w:val="25"/>
          <w:vertAlign w:val="superscript"/>
        </w:rPr>
        <w:t>65</w:t>
      </w:r>
      <w:r>
        <w:rPr>
          <w:sz w:val="25"/>
          <w:vertAlign w:val="baseline"/>
        </w:rPr>
        <w:t> when the learned judge noted that it was even possible, by legal fiction, to recognise the community or collective of devotees as a single legal person. As he noted, this would have equally served the court‘s goals of creating an adequate legal framework for protecting the dedicated properties and the interests of the devotees. However, the court notes that, as </w:t>
      </w:r>
      <w:r>
        <w:rPr>
          <w:w w:val="99"/>
          <w:sz w:val="25"/>
          <w:vertAlign w:val="baseline"/>
        </w:rPr>
        <w:t>there</w:t>
      </w:r>
      <w:r>
        <w:rPr>
          <w:spacing w:val="-1"/>
          <w:sz w:val="25"/>
          <w:vertAlign w:val="baseline"/>
        </w:rPr>
        <w:t> </w:t>
      </w:r>
      <w:r>
        <w:rPr>
          <w:spacing w:val="-1"/>
          <w:w w:val="99"/>
          <w:sz w:val="25"/>
          <w:vertAlign w:val="baseline"/>
        </w:rPr>
        <w:t>w</w:t>
      </w:r>
      <w:r>
        <w:rPr>
          <w:w w:val="99"/>
          <w:sz w:val="25"/>
          <w:vertAlign w:val="baseline"/>
        </w:rPr>
        <w:t>as</w:t>
      </w:r>
      <w:r>
        <w:rPr>
          <w:spacing w:val="-1"/>
          <w:sz w:val="25"/>
          <w:vertAlign w:val="baseline"/>
        </w:rPr>
        <w:t> </w:t>
      </w:r>
      <w:r>
        <w:rPr>
          <w:spacing w:val="-1"/>
          <w:w w:val="99"/>
          <w:sz w:val="25"/>
          <w:vertAlign w:val="baseline"/>
        </w:rPr>
        <w:t>n</w:t>
      </w:r>
      <w:r>
        <w:rPr>
          <w:w w:val="99"/>
          <w:sz w:val="25"/>
          <w:vertAlign w:val="baseline"/>
        </w:rPr>
        <w:t>o</w:t>
      </w:r>
      <w:r>
        <w:rPr>
          <w:sz w:val="25"/>
          <w:vertAlign w:val="baseline"/>
        </w:rPr>
        <w:t> </w:t>
      </w:r>
      <w:r>
        <w:rPr>
          <w:w w:val="33"/>
          <w:sz w:val="25"/>
          <w:vertAlign w:val="baseline"/>
        </w:rPr>
        <w:t>―</w:t>
      </w:r>
      <w:r>
        <w:rPr>
          <w:spacing w:val="-1"/>
          <w:w w:val="99"/>
          <w:sz w:val="25"/>
          <w:vertAlign w:val="baseline"/>
        </w:rPr>
        <w:t>p</w:t>
      </w:r>
      <w:r>
        <w:rPr>
          <w:w w:val="99"/>
          <w:sz w:val="25"/>
          <w:vertAlign w:val="baseline"/>
        </w:rPr>
        <w:t>r</w:t>
      </w:r>
      <w:r>
        <w:rPr>
          <w:spacing w:val="-1"/>
          <w:w w:val="99"/>
          <w:sz w:val="25"/>
          <w:vertAlign w:val="baseline"/>
        </w:rPr>
        <w:t>actic</w:t>
      </w:r>
      <w:r>
        <w:rPr>
          <w:w w:val="99"/>
          <w:sz w:val="25"/>
          <w:vertAlign w:val="baseline"/>
        </w:rPr>
        <w:t>a</w:t>
      </w:r>
      <w:r>
        <w:rPr>
          <w:spacing w:val="-1"/>
          <w:w w:val="87"/>
          <w:sz w:val="25"/>
          <w:vertAlign w:val="baseline"/>
        </w:rPr>
        <w:t>l</w:t>
      </w:r>
      <w:r>
        <w:rPr>
          <w:w w:val="87"/>
          <w:sz w:val="25"/>
          <w:vertAlign w:val="baseline"/>
        </w:rPr>
        <w:t>‖</w:t>
      </w:r>
      <w:r>
        <w:rPr>
          <w:sz w:val="25"/>
          <w:vertAlign w:val="baseline"/>
        </w:rPr>
        <w:t> </w:t>
      </w:r>
      <w:r>
        <w:rPr>
          <w:spacing w:val="-1"/>
          <w:w w:val="99"/>
          <w:sz w:val="25"/>
          <w:vertAlign w:val="baseline"/>
        </w:rPr>
        <w:t>diff</w:t>
      </w:r>
      <w:r>
        <w:rPr>
          <w:w w:val="99"/>
          <w:sz w:val="25"/>
          <w:vertAlign w:val="baseline"/>
        </w:rPr>
        <w:t>er</w:t>
      </w:r>
      <w:r>
        <w:rPr>
          <w:spacing w:val="-1"/>
          <w:w w:val="99"/>
          <w:sz w:val="25"/>
          <w:vertAlign w:val="baseline"/>
        </w:rPr>
        <w:t>e</w:t>
      </w:r>
      <w:r>
        <w:rPr>
          <w:w w:val="99"/>
          <w:sz w:val="25"/>
          <w:vertAlign w:val="baseline"/>
        </w:rPr>
        <w:t>nce,</w:t>
      </w:r>
      <w:r>
        <w:rPr>
          <w:sz w:val="25"/>
          <w:vertAlign w:val="baseline"/>
        </w:rPr>
        <w:t> </w:t>
      </w:r>
      <w:r>
        <w:rPr>
          <w:w w:val="99"/>
          <w:sz w:val="25"/>
          <w:vertAlign w:val="baseline"/>
        </w:rPr>
        <w:t>the</w:t>
      </w:r>
      <w:r>
        <w:rPr>
          <w:sz w:val="25"/>
          <w:vertAlign w:val="baseline"/>
        </w:rPr>
        <w:t> </w:t>
      </w:r>
      <w:r>
        <w:rPr>
          <w:spacing w:val="-1"/>
          <w:w w:val="99"/>
          <w:sz w:val="25"/>
          <w:vertAlign w:val="baseline"/>
        </w:rPr>
        <w:t>le</w:t>
      </w:r>
      <w:r>
        <w:rPr>
          <w:spacing w:val="-2"/>
          <w:w w:val="99"/>
          <w:sz w:val="25"/>
          <w:vertAlign w:val="baseline"/>
        </w:rPr>
        <w:t>g</w:t>
      </w:r>
      <w:r>
        <w:rPr>
          <w:spacing w:val="-1"/>
          <w:w w:val="99"/>
          <w:sz w:val="25"/>
          <w:vertAlign w:val="baseline"/>
        </w:rPr>
        <w:t>a</w:t>
      </w:r>
      <w:r>
        <w:rPr>
          <w:w w:val="99"/>
          <w:sz w:val="25"/>
          <w:vertAlign w:val="baseline"/>
        </w:rPr>
        <w:t>l</w:t>
      </w:r>
      <w:r>
        <w:rPr>
          <w:spacing w:val="-1"/>
          <w:sz w:val="25"/>
          <w:vertAlign w:val="baseline"/>
        </w:rPr>
        <w:t> </w:t>
      </w:r>
      <w:r>
        <w:rPr>
          <w:w w:val="99"/>
          <w:sz w:val="25"/>
          <w:vertAlign w:val="baseline"/>
        </w:rPr>
        <w:t>fiction</w:t>
      </w:r>
      <w:r>
        <w:rPr>
          <w:spacing w:val="-1"/>
          <w:sz w:val="25"/>
          <w:vertAlign w:val="baseline"/>
        </w:rPr>
        <w:t> </w:t>
      </w:r>
      <w:r>
        <w:rPr>
          <w:spacing w:val="-1"/>
          <w:w w:val="99"/>
          <w:sz w:val="25"/>
          <w:vertAlign w:val="baseline"/>
        </w:rPr>
        <w:t>w</w:t>
      </w:r>
      <w:r>
        <w:rPr>
          <w:w w:val="99"/>
          <w:sz w:val="25"/>
          <w:vertAlign w:val="baseline"/>
        </w:rPr>
        <w:t>as</w:t>
      </w:r>
      <w:r>
        <w:rPr>
          <w:spacing w:val="-1"/>
          <w:sz w:val="25"/>
          <w:vertAlign w:val="baseline"/>
        </w:rPr>
        <w:t> </w:t>
      </w:r>
      <w:r>
        <w:rPr>
          <w:spacing w:val="-1"/>
          <w:w w:val="99"/>
          <w:sz w:val="25"/>
          <w:vertAlign w:val="baseline"/>
        </w:rPr>
        <w:t>a</w:t>
      </w:r>
      <w:r>
        <w:rPr>
          <w:w w:val="99"/>
          <w:sz w:val="25"/>
          <w:vertAlign w:val="baseline"/>
        </w:rPr>
        <w:t>p</w:t>
      </w:r>
      <w:r>
        <w:rPr>
          <w:spacing w:val="-1"/>
          <w:w w:val="99"/>
          <w:sz w:val="25"/>
          <w:vertAlign w:val="baseline"/>
        </w:rPr>
        <w:t>plie</w:t>
      </w:r>
      <w:r>
        <w:rPr>
          <w:w w:val="99"/>
          <w:sz w:val="25"/>
          <w:vertAlign w:val="baseline"/>
        </w:rPr>
        <w:t>d</w:t>
      </w:r>
      <w:r>
        <w:rPr>
          <w:sz w:val="25"/>
          <w:vertAlign w:val="baseline"/>
        </w:rPr>
        <w:t> </w:t>
      </w:r>
      <w:r>
        <w:rPr>
          <w:spacing w:val="2"/>
          <w:w w:val="99"/>
          <w:sz w:val="25"/>
          <w:vertAlign w:val="baseline"/>
        </w:rPr>
        <w:t>t</w:t>
      </w:r>
      <w:r>
        <w:rPr>
          <w:w w:val="99"/>
          <w:sz w:val="25"/>
          <w:vertAlign w:val="baseline"/>
        </w:rPr>
        <w:t>o</w:t>
      </w:r>
      <w:r>
        <w:rPr>
          <w:spacing w:val="-1"/>
          <w:sz w:val="25"/>
          <w:vertAlign w:val="baseline"/>
        </w:rPr>
        <w:t> </w:t>
      </w:r>
      <w:r>
        <w:rPr>
          <w:w w:val="99"/>
          <w:sz w:val="25"/>
          <w:vertAlign w:val="baseline"/>
        </w:rPr>
        <w:t>t</w:t>
      </w:r>
      <w:r>
        <w:rPr>
          <w:spacing w:val="-1"/>
          <w:w w:val="99"/>
          <w:sz w:val="25"/>
          <w:vertAlign w:val="baseline"/>
        </w:rPr>
        <w:t>h</w:t>
      </w:r>
      <w:r>
        <w:rPr>
          <w:w w:val="99"/>
          <w:sz w:val="25"/>
          <w:vertAlign w:val="baseline"/>
        </w:rPr>
        <w:t>e</w:t>
      </w:r>
      <w:r>
        <w:rPr>
          <w:sz w:val="25"/>
          <w:vertAlign w:val="baseline"/>
        </w:rPr>
        <w:t> </w:t>
      </w:r>
      <w:r>
        <w:rPr>
          <w:spacing w:val="-1"/>
          <w:w w:val="99"/>
          <w:sz w:val="25"/>
          <w:vertAlign w:val="baseline"/>
        </w:rPr>
        <w:t>id</w:t>
      </w:r>
      <w:r>
        <w:rPr>
          <w:w w:val="99"/>
          <w:sz w:val="25"/>
          <w:vertAlign w:val="baseline"/>
        </w:rPr>
        <w:t>ol</w:t>
      </w:r>
      <w:r>
        <w:rPr>
          <w:spacing w:val="-1"/>
          <w:sz w:val="25"/>
          <w:vertAlign w:val="baseline"/>
        </w:rPr>
        <w:t> </w:t>
      </w:r>
      <w:r>
        <w:rPr>
          <w:spacing w:val="-1"/>
          <w:w w:val="99"/>
          <w:sz w:val="25"/>
          <w:vertAlign w:val="baseline"/>
        </w:rPr>
        <w:t>a</w:t>
      </w:r>
      <w:r>
        <w:rPr>
          <w:w w:val="99"/>
          <w:sz w:val="25"/>
          <w:vertAlign w:val="baseline"/>
        </w:rPr>
        <w:t>nd</w:t>
      </w:r>
      <w:r>
        <w:rPr>
          <w:spacing w:val="-1"/>
          <w:sz w:val="25"/>
          <w:vertAlign w:val="baseline"/>
        </w:rPr>
        <w:t> </w:t>
      </w:r>
      <w:r>
        <w:rPr>
          <w:w w:val="99"/>
          <w:sz w:val="25"/>
          <w:vertAlign w:val="baseline"/>
        </w:rPr>
        <w:t>n</w:t>
      </w:r>
      <w:r>
        <w:rPr>
          <w:spacing w:val="-1"/>
          <w:w w:val="99"/>
          <w:sz w:val="25"/>
          <w:vertAlign w:val="baseline"/>
        </w:rPr>
        <w:t>ot </w:t>
      </w:r>
      <w:r>
        <w:rPr>
          <w:sz w:val="25"/>
          <w:vertAlign w:val="baseline"/>
        </w:rPr>
        <w:t>to the devotees for the sake of simplicity. This course of precedent denotes how the continued personification of the idol in religious practice laid the foundations for the court to choose the idol as the site of legal</w:t>
      </w:r>
      <w:r>
        <w:rPr>
          <w:spacing w:val="-9"/>
          <w:sz w:val="25"/>
          <w:vertAlign w:val="baseline"/>
        </w:rPr>
        <w:t> </w:t>
      </w:r>
      <w:r>
        <w:rPr>
          <w:sz w:val="25"/>
          <w:vertAlign w:val="baseline"/>
        </w:rPr>
        <w:t>relations.</w:t>
      </w:r>
    </w:p>
    <w:p>
      <w:pPr>
        <w:pStyle w:val="BodyText"/>
      </w:pPr>
    </w:p>
    <w:p>
      <w:pPr>
        <w:pStyle w:val="ListParagraph"/>
        <w:numPr>
          <w:ilvl w:val="0"/>
          <w:numId w:val="3"/>
        </w:numPr>
        <w:tabs>
          <w:tab w:pos="1221" w:val="left" w:leader="none"/>
        </w:tabs>
        <w:spacing w:line="480" w:lineRule="auto" w:before="1" w:after="0"/>
        <w:ind w:left="500" w:right="441" w:firstLine="0"/>
        <w:jc w:val="both"/>
        <w:rPr>
          <w:sz w:val="25"/>
        </w:rPr>
      </w:pPr>
      <w:r>
        <w:rPr/>
        <w:pict>
          <v:rect style="position:absolute;margin-left:72.024002pt;margin-top:351.184875pt;width:144.020pt;height:.599980pt;mso-position-horizontal-relative:page;mso-position-vertical-relative:paragraph;z-index:-15703552;mso-wrap-distance-left:0;mso-wrap-distance-right:0" filled="true" fillcolor="#000000" stroked="false">
            <v:fill type="solid"/>
            <w10:wrap type="topAndBottom"/>
          </v:rect>
        </w:pict>
      </w:r>
      <w:r>
        <w:rPr>
          <w:w w:val="99"/>
          <w:sz w:val="25"/>
        </w:rPr>
        <w:t>T</w:t>
      </w:r>
      <w:r>
        <w:rPr>
          <w:spacing w:val="-1"/>
          <w:w w:val="99"/>
          <w:sz w:val="25"/>
        </w:rPr>
        <w:t>h</w:t>
      </w:r>
      <w:r>
        <w:rPr>
          <w:w w:val="99"/>
          <w:sz w:val="25"/>
        </w:rPr>
        <w:t>e</w:t>
      </w:r>
      <w:r>
        <w:rPr>
          <w:spacing w:val="14"/>
          <w:sz w:val="25"/>
        </w:rPr>
        <w:t> </w:t>
      </w:r>
      <w:r>
        <w:rPr>
          <w:w w:val="99"/>
          <w:sz w:val="25"/>
        </w:rPr>
        <w:t>r</w:t>
      </w:r>
      <w:r>
        <w:rPr>
          <w:spacing w:val="-1"/>
          <w:w w:val="99"/>
          <w:sz w:val="25"/>
        </w:rPr>
        <w:t>ec</w:t>
      </w:r>
      <w:r>
        <w:rPr>
          <w:w w:val="99"/>
          <w:sz w:val="25"/>
        </w:rPr>
        <w:t>o</w:t>
      </w:r>
      <w:r>
        <w:rPr>
          <w:spacing w:val="-1"/>
          <w:w w:val="99"/>
          <w:sz w:val="25"/>
        </w:rPr>
        <w:t>g</w:t>
      </w:r>
      <w:r>
        <w:rPr>
          <w:w w:val="99"/>
          <w:sz w:val="25"/>
        </w:rPr>
        <w:t>n</w:t>
      </w:r>
      <w:r>
        <w:rPr>
          <w:spacing w:val="-1"/>
          <w:w w:val="99"/>
          <w:sz w:val="25"/>
        </w:rPr>
        <w:t>itio</w:t>
      </w:r>
      <w:r>
        <w:rPr>
          <w:w w:val="99"/>
          <w:sz w:val="25"/>
        </w:rPr>
        <w:t>n</w:t>
      </w:r>
      <w:r>
        <w:rPr>
          <w:spacing w:val="12"/>
          <w:sz w:val="25"/>
        </w:rPr>
        <w:t> </w:t>
      </w:r>
      <w:r>
        <w:rPr>
          <w:spacing w:val="-1"/>
          <w:w w:val="99"/>
          <w:sz w:val="25"/>
        </w:rPr>
        <w:t>o</w:t>
      </w:r>
      <w:r>
        <w:rPr>
          <w:w w:val="99"/>
          <w:sz w:val="25"/>
        </w:rPr>
        <w:t>f</w:t>
      </w:r>
      <w:r>
        <w:rPr>
          <w:spacing w:val="14"/>
          <w:sz w:val="25"/>
        </w:rPr>
        <w:t> </w:t>
      </w:r>
      <w:r>
        <w:rPr>
          <w:w w:val="99"/>
          <w:sz w:val="25"/>
        </w:rPr>
        <w:t>t</w:t>
      </w:r>
      <w:r>
        <w:rPr>
          <w:spacing w:val="-2"/>
          <w:w w:val="99"/>
          <w:sz w:val="25"/>
        </w:rPr>
        <w:t>h</w:t>
      </w:r>
      <w:r>
        <w:rPr>
          <w:w w:val="99"/>
          <w:sz w:val="25"/>
        </w:rPr>
        <w:t>e</w:t>
      </w:r>
      <w:r>
        <w:rPr>
          <w:spacing w:val="14"/>
          <w:sz w:val="25"/>
        </w:rPr>
        <w:t> </w:t>
      </w:r>
      <w:r>
        <w:rPr>
          <w:spacing w:val="-1"/>
          <w:w w:val="99"/>
          <w:sz w:val="25"/>
        </w:rPr>
        <w:t>Hind</w:t>
      </w:r>
      <w:r>
        <w:rPr>
          <w:w w:val="99"/>
          <w:sz w:val="25"/>
        </w:rPr>
        <w:t>u</w:t>
      </w:r>
      <w:r>
        <w:rPr>
          <w:spacing w:val="14"/>
          <w:sz w:val="25"/>
        </w:rPr>
        <w:t> </w:t>
      </w:r>
      <w:r>
        <w:rPr>
          <w:spacing w:val="-1"/>
          <w:w w:val="99"/>
          <w:sz w:val="25"/>
        </w:rPr>
        <w:t>ido</w:t>
      </w:r>
      <w:r>
        <w:rPr>
          <w:w w:val="99"/>
          <w:sz w:val="25"/>
        </w:rPr>
        <w:t>l</w:t>
      </w:r>
      <w:r>
        <w:rPr>
          <w:spacing w:val="14"/>
          <w:sz w:val="25"/>
        </w:rPr>
        <w:t> </w:t>
      </w:r>
      <w:r>
        <w:rPr>
          <w:spacing w:val="-1"/>
          <w:w w:val="99"/>
          <w:sz w:val="25"/>
        </w:rPr>
        <w:t>a</w:t>
      </w:r>
      <w:r>
        <w:rPr>
          <w:w w:val="99"/>
          <w:sz w:val="25"/>
        </w:rPr>
        <w:t>s</w:t>
      </w:r>
      <w:r>
        <w:rPr>
          <w:spacing w:val="14"/>
          <w:sz w:val="25"/>
        </w:rPr>
        <w:t> </w:t>
      </w:r>
      <w:r>
        <w:rPr>
          <w:w w:val="99"/>
          <w:sz w:val="25"/>
        </w:rPr>
        <w:t>a</w:t>
      </w:r>
      <w:r>
        <w:rPr>
          <w:spacing w:val="12"/>
          <w:sz w:val="25"/>
        </w:rPr>
        <w:t> </w:t>
      </w:r>
      <w:r>
        <w:rPr>
          <w:spacing w:val="-1"/>
          <w:w w:val="99"/>
          <w:sz w:val="25"/>
        </w:rPr>
        <w:t>le</w:t>
      </w:r>
      <w:r>
        <w:rPr>
          <w:spacing w:val="-2"/>
          <w:w w:val="99"/>
          <w:sz w:val="25"/>
        </w:rPr>
        <w:t>g</w:t>
      </w:r>
      <w:r>
        <w:rPr>
          <w:spacing w:val="-1"/>
          <w:w w:val="99"/>
          <w:sz w:val="25"/>
        </w:rPr>
        <w:t>a</w:t>
      </w:r>
      <w:r>
        <w:rPr>
          <w:w w:val="99"/>
          <w:sz w:val="25"/>
        </w:rPr>
        <w:t>l</w:t>
      </w:r>
      <w:r>
        <w:rPr>
          <w:spacing w:val="14"/>
          <w:sz w:val="25"/>
        </w:rPr>
        <w:t> </w:t>
      </w:r>
      <w:r>
        <w:rPr>
          <w:spacing w:val="-1"/>
          <w:w w:val="99"/>
          <w:sz w:val="25"/>
        </w:rPr>
        <w:t>o</w:t>
      </w:r>
      <w:r>
        <w:rPr>
          <w:w w:val="99"/>
          <w:sz w:val="25"/>
        </w:rPr>
        <w:t>r</w:t>
      </w:r>
      <w:r>
        <w:rPr>
          <w:spacing w:val="15"/>
          <w:sz w:val="25"/>
        </w:rPr>
        <w:t> </w:t>
      </w:r>
      <w:r>
        <w:rPr>
          <w:w w:val="33"/>
          <w:sz w:val="25"/>
        </w:rPr>
        <w:t>―</w:t>
      </w:r>
      <w:r>
        <w:rPr>
          <w:spacing w:val="-1"/>
          <w:w w:val="99"/>
          <w:sz w:val="25"/>
        </w:rPr>
        <w:t>j</w:t>
      </w:r>
      <w:r>
        <w:rPr>
          <w:spacing w:val="-3"/>
          <w:w w:val="99"/>
          <w:sz w:val="25"/>
        </w:rPr>
        <w:t>u</w:t>
      </w:r>
      <w:r>
        <w:rPr>
          <w:w w:val="99"/>
          <w:sz w:val="25"/>
        </w:rPr>
        <w:t>r</w:t>
      </w:r>
      <w:r>
        <w:rPr>
          <w:spacing w:val="-1"/>
          <w:w w:val="96"/>
          <w:sz w:val="25"/>
        </w:rPr>
        <w:t>istic</w:t>
      </w:r>
      <w:r>
        <w:rPr>
          <w:w w:val="96"/>
          <w:sz w:val="25"/>
        </w:rPr>
        <w:t>‖</w:t>
      </w:r>
      <w:r>
        <w:rPr>
          <w:spacing w:val="14"/>
          <w:sz w:val="25"/>
        </w:rPr>
        <w:t> </w:t>
      </w:r>
      <w:r>
        <w:rPr>
          <w:spacing w:val="-1"/>
          <w:w w:val="99"/>
          <w:sz w:val="25"/>
        </w:rPr>
        <w:t>p</w:t>
      </w:r>
      <w:r>
        <w:rPr>
          <w:w w:val="99"/>
          <w:sz w:val="25"/>
        </w:rPr>
        <w:t>erson</w:t>
      </w:r>
      <w:r>
        <w:rPr>
          <w:spacing w:val="12"/>
          <w:sz w:val="25"/>
        </w:rPr>
        <w:t> </w:t>
      </w:r>
      <w:r>
        <w:rPr>
          <w:spacing w:val="-3"/>
          <w:w w:val="99"/>
          <w:sz w:val="25"/>
        </w:rPr>
        <w:t>i</w:t>
      </w:r>
      <w:r>
        <w:rPr>
          <w:w w:val="99"/>
          <w:sz w:val="25"/>
        </w:rPr>
        <w:t>s</w:t>
      </w:r>
      <w:r>
        <w:rPr>
          <w:spacing w:val="14"/>
          <w:sz w:val="25"/>
        </w:rPr>
        <w:t> </w:t>
      </w:r>
      <w:r>
        <w:rPr>
          <w:w w:val="99"/>
          <w:sz w:val="25"/>
        </w:rPr>
        <w:t>ther</w:t>
      </w:r>
      <w:r>
        <w:rPr>
          <w:spacing w:val="-1"/>
          <w:w w:val="99"/>
          <w:sz w:val="25"/>
        </w:rPr>
        <w:t>ef</w:t>
      </w:r>
      <w:r>
        <w:rPr>
          <w:w w:val="99"/>
          <w:sz w:val="25"/>
        </w:rPr>
        <w:t>ore </w:t>
      </w:r>
      <w:r>
        <w:rPr>
          <w:sz w:val="25"/>
        </w:rPr>
        <w:t>based on two premises employed by courts. The first is to recognise the pious purpose of the testator as a legal entity capable of holding property in an ideal sense absent the creation of a trust. The second is the merging of the pious purpose itself and the idol which embodies the pious purpose to ensure the fulfilment of the pious purpose. So conceived, the Hindu idol is a legal person. The property endowed to the pious purpose is owned by the idol as a legal person in an ideal sense. The reason why the court created such legal fictions was to provide a comprehensible legal framework to protect the properties dedicated to the pious purpose from external threats as well as internal maladministration. Where the pious purpose necessitated a public trust for the benefit</w:t>
      </w:r>
      <w:r>
        <w:rPr>
          <w:spacing w:val="23"/>
          <w:sz w:val="25"/>
        </w:rPr>
        <w:t> </w:t>
      </w:r>
      <w:r>
        <w:rPr>
          <w:sz w:val="25"/>
        </w:rPr>
        <w:t>of</w:t>
      </w:r>
      <w:r>
        <w:rPr>
          <w:spacing w:val="23"/>
          <w:sz w:val="25"/>
        </w:rPr>
        <w:t> </w:t>
      </w:r>
      <w:r>
        <w:rPr>
          <w:sz w:val="25"/>
        </w:rPr>
        <w:t>all</w:t>
      </w:r>
      <w:r>
        <w:rPr>
          <w:spacing w:val="22"/>
          <w:sz w:val="25"/>
        </w:rPr>
        <w:t> </w:t>
      </w:r>
      <w:r>
        <w:rPr>
          <w:sz w:val="25"/>
        </w:rPr>
        <w:t>devotees,</w:t>
      </w:r>
      <w:r>
        <w:rPr>
          <w:spacing w:val="23"/>
          <w:sz w:val="25"/>
        </w:rPr>
        <w:t> </w:t>
      </w:r>
      <w:r>
        <w:rPr>
          <w:sz w:val="25"/>
        </w:rPr>
        <w:t>conferring</w:t>
      </w:r>
      <w:r>
        <w:rPr>
          <w:spacing w:val="23"/>
          <w:sz w:val="25"/>
        </w:rPr>
        <w:t> </w:t>
      </w:r>
      <w:r>
        <w:rPr>
          <w:sz w:val="25"/>
        </w:rPr>
        <w:t>legal</w:t>
      </w:r>
      <w:r>
        <w:rPr>
          <w:spacing w:val="22"/>
          <w:sz w:val="25"/>
        </w:rPr>
        <w:t> </w:t>
      </w:r>
      <w:r>
        <w:rPr>
          <w:sz w:val="25"/>
        </w:rPr>
        <w:t>personality</w:t>
      </w:r>
      <w:r>
        <w:rPr>
          <w:spacing w:val="20"/>
          <w:sz w:val="25"/>
        </w:rPr>
        <w:t> </w:t>
      </w:r>
      <w:r>
        <w:rPr>
          <w:sz w:val="25"/>
        </w:rPr>
        <w:t>allowed</w:t>
      </w:r>
      <w:r>
        <w:rPr>
          <w:spacing w:val="23"/>
          <w:sz w:val="25"/>
        </w:rPr>
        <w:t> </w:t>
      </w:r>
      <w:r>
        <w:rPr>
          <w:sz w:val="25"/>
        </w:rPr>
        <w:t>courts</w:t>
      </w:r>
      <w:r>
        <w:rPr>
          <w:spacing w:val="23"/>
          <w:sz w:val="25"/>
        </w:rPr>
        <w:t> </w:t>
      </w:r>
      <w:r>
        <w:rPr>
          <w:sz w:val="25"/>
        </w:rPr>
        <w:t>to</w:t>
      </w:r>
      <w:r>
        <w:rPr>
          <w:spacing w:val="23"/>
          <w:sz w:val="25"/>
        </w:rPr>
        <w:t> </w:t>
      </w:r>
      <w:r>
        <w:rPr>
          <w:sz w:val="25"/>
        </w:rPr>
        <w:t>protect</w:t>
      </w:r>
      <w:r>
        <w:rPr>
          <w:spacing w:val="23"/>
          <w:sz w:val="25"/>
        </w:rPr>
        <w:t> </w:t>
      </w:r>
      <w:r>
        <w:rPr>
          <w:sz w:val="25"/>
        </w:rPr>
        <w:t>the</w:t>
      </w:r>
    </w:p>
    <w:p>
      <w:pPr>
        <w:spacing w:before="80"/>
        <w:ind w:left="500" w:right="0" w:firstLine="0"/>
        <w:jc w:val="left"/>
        <w:rPr>
          <w:sz w:val="18"/>
        </w:rPr>
      </w:pPr>
      <w:r>
        <w:rPr>
          <w:sz w:val="18"/>
          <w:vertAlign w:val="superscript"/>
        </w:rPr>
        <w:t>65</w:t>
      </w:r>
      <w:r>
        <w:rPr>
          <w:sz w:val="18"/>
          <w:vertAlign w:val="baseline"/>
        </w:rPr>
        <w:t> ILR (1904) 27 Mad 435</w:t>
      </w:r>
    </w:p>
    <w:p>
      <w:pPr>
        <w:spacing w:after="0"/>
        <w:jc w:val="left"/>
        <w:rPr>
          <w:sz w:val="18"/>
        </w:rPr>
        <w:sectPr>
          <w:pgSz w:w="11910" w:h="16840"/>
          <w:pgMar w:header="721" w:footer="1014" w:top="1300" w:bottom="1200" w:left="940" w:right="1000"/>
        </w:sectPr>
      </w:pPr>
    </w:p>
    <w:p>
      <w:pPr>
        <w:pStyle w:val="BodyText"/>
        <w:spacing w:before="124"/>
        <w:ind w:left="500"/>
      </w:pPr>
      <w:r>
        <w:rPr/>
        <w:t>pious purpose for the benefit of the devotees.</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Having set out the history and the underlying basis of the legal innovation surrounding the conferral of juristic personality on Hindu idols, it becomes necessary to advert to the principle question before us. The present case turns,  in a significant measure, on the answer to the contention urged on behalf of the plaintiffs in Suit 5 that the first and second plaintiffs - Bhagwan Sri Ram Virajman and Asthan Shri Ram Janam Bhumi are juristic persons. If this contention is accepted, this Court will then be required to adjudicate upon the legal consequences of the second plaintiff being declared a juristic</w:t>
      </w:r>
      <w:r>
        <w:rPr>
          <w:spacing w:val="-9"/>
          <w:sz w:val="25"/>
        </w:rPr>
        <w:t> </w:t>
      </w:r>
      <w:r>
        <w:rPr>
          <w:sz w:val="25"/>
        </w:rPr>
        <w:t>person.</w:t>
      </w:r>
    </w:p>
    <w:p>
      <w:pPr>
        <w:pStyle w:val="BodyText"/>
        <w:spacing w:before="8"/>
        <w:rPr>
          <w:sz w:val="35"/>
        </w:rPr>
      </w:pPr>
    </w:p>
    <w:p>
      <w:pPr>
        <w:pStyle w:val="Heading3"/>
        <w:numPr>
          <w:ilvl w:val="1"/>
          <w:numId w:val="56"/>
        </w:numPr>
        <w:tabs>
          <w:tab w:pos="1221" w:val="left" w:leader="none"/>
        </w:tabs>
        <w:spacing w:line="240" w:lineRule="auto" w:before="0" w:after="0"/>
        <w:ind w:left="1220" w:right="0" w:hanging="721"/>
        <w:jc w:val="both"/>
      </w:pPr>
      <w:r>
        <w:rPr/>
        <w:t>Juristic personality of the first</w:t>
      </w:r>
      <w:r>
        <w:rPr>
          <w:spacing w:val="-6"/>
        </w:rPr>
        <w:t> </w:t>
      </w:r>
      <w:r>
        <w:rPr/>
        <w:t>plaintiff</w:t>
      </w:r>
    </w:p>
    <w:p>
      <w:pPr>
        <w:pStyle w:val="BodyText"/>
        <w:rPr>
          <w:b/>
          <w:sz w:val="28"/>
        </w:rPr>
      </w:pPr>
    </w:p>
    <w:p>
      <w:pPr>
        <w:pStyle w:val="ListParagraph"/>
        <w:numPr>
          <w:ilvl w:val="0"/>
          <w:numId w:val="3"/>
        </w:numPr>
        <w:tabs>
          <w:tab w:pos="1221" w:val="left" w:leader="none"/>
        </w:tabs>
        <w:spacing w:line="480" w:lineRule="auto" w:before="217" w:after="0"/>
        <w:ind w:left="500" w:right="437" w:firstLine="0"/>
        <w:jc w:val="both"/>
        <w:rPr>
          <w:sz w:val="25"/>
        </w:rPr>
      </w:pPr>
      <w:r>
        <w:rPr>
          <w:w w:val="99"/>
          <w:sz w:val="25"/>
        </w:rPr>
        <w:t>F</w:t>
      </w:r>
      <w:r>
        <w:rPr>
          <w:spacing w:val="-1"/>
          <w:w w:val="99"/>
          <w:sz w:val="25"/>
        </w:rPr>
        <w:t>o</w:t>
      </w:r>
      <w:r>
        <w:rPr>
          <w:w w:val="99"/>
          <w:sz w:val="25"/>
        </w:rPr>
        <w:t>r</w:t>
      </w:r>
      <w:r>
        <w:rPr>
          <w:sz w:val="25"/>
        </w:rPr>
        <w:t> </w:t>
      </w:r>
      <w:r>
        <w:rPr>
          <w:spacing w:val="-26"/>
          <w:sz w:val="25"/>
        </w:rPr>
        <w:t> </w:t>
      </w:r>
      <w:r>
        <w:rPr>
          <w:w w:val="99"/>
          <w:sz w:val="25"/>
        </w:rPr>
        <w:t>the</w:t>
      </w:r>
      <w:r>
        <w:rPr>
          <w:sz w:val="25"/>
        </w:rPr>
        <w:t> </w:t>
      </w:r>
      <w:r>
        <w:rPr>
          <w:spacing w:val="-28"/>
          <w:sz w:val="25"/>
        </w:rPr>
        <w:t> </w:t>
      </w:r>
      <w:r>
        <w:rPr>
          <w:spacing w:val="-1"/>
          <w:w w:val="99"/>
          <w:sz w:val="25"/>
        </w:rPr>
        <w:t>d</w:t>
      </w:r>
      <w:r>
        <w:rPr>
          <w:w w:val="99"/>
          <w:sz w:val="25"/>
        </w:rPr>
        <w:t>e</w:t>
      </w:r>
      <w:r>
        <w:rPr>
          <w:spacing w:val="-3"/>
          <w:w w:val="99"/>
          <w:sz w:val="25"/>
        </w:rPr>
        <w:t>v</w:t>
      </w:r>
      <w:r>
        <w:rPr>
          <w:spacing w:val="-1"/>
          <w:w w:val="99"/>
          <w:sz w:val="25"/>
        </w:rPr>
        <w:t>ot</w:t>
      </w:r>
      <w:r>
        <w:rPr>
          <w:w w:val="99"/>
          <w:sz w:val="25"/>
        </w:rPr>
        <w:t>e</w:t>
      </w:r>
      <w:r>
        <w:rPr>
          <w:spacing w:val="-1"/>
          <w:w w:val="99"/>
          <w:sz w:val="25"/>
        </w:rPr>
        <w:t>e</w:t>
      </w:r>
      <w:r>
        <w:rPr>
          <w:w w:val="99"/>
          <w:sz w:val="25"/>
        </w:rPr>
        <w:t>s</w:t>
      </w:r>
      <w:r>
        <w:rPr>
          <w:sz w:val="25"/>
        </w:rPr>
        <w:t> </w:t>
      </w:r>
      <w:r>
        <w:rPr>
          <w:spacing w:val="-26"/>
          <w:sz w:val="25"/>
        </w:rPr>
        <w:t> </w:t>
      </w:r>
      <w:r>
        <w:rPr>
          <w:spacing w:val="-1"/>
          <w:w w:val="99"/>
          <w:sz w:val="25"/>
        </w:rPr>
        <w:t>o</w:t>
      </w:r>
      <w:r>
        <w:rPr>
          <w:w w:val="99"/>
          <w:sz w:val="25"/>
        </w:rPr>
        <w:t>f</w:t>
      </w:r>
      <w:r>
        <w:rPr>
          <w:sz w:val="25"/>
        </w:rPr>
        <w:t> </w:t>
      </w:r>
      <w:r>
        <w:rPr>
          <w:spacing w:val="-29"/>
          <w:sz w:val="25"/>
        </w:rPr>
        <w:t> </w:t>
      </w:r>
      <w:r>
        <w:rPr>
          <w:spacing w:val="-1"/>
          <w:w w:val="99"/>
          <w:sz w:val="25"/>
        </w:rPr>
        <w:t>L</w:t>
      </w:r>
      <w:r>
        <w:rPr>
          <w:w w:val="99"/>
          <w:sz w:val="25"/>
        </w:rPr>
        <w:t>ord</w:t>
      </w:r>
      <w:r>
        <w:rPr>
          <w:sz w:val="25"/>
        </w:rPr>
        <w:t> </w:t>
      </w:r>
      <w:r>
        <w:rPr>
          <w:spacing w:val="-26"/>
          <w:sz w:val="25"/>
        </w:rPr>
        <w:t> </w:t>
      </w:r>
      <w:r>
        <w:rPr>
          <w:spacing w:val="-1"/>
          <w:w w:val="99"/>
          <w:sz w:val="25"/>
        </w:rPr>
        <w:t>Ra</w:t>
      </w:r>
      <w:r>
        <w:rPr>
          <w:w w:val="99"/>
          <w:sz w:val="25"/>
        </w:rPr>
        <w:t>m,</w:t>
      </w:r>
      <w:r>
        <w:rPr>
          <w:sz w:val="25"/>
        </w:rPr>
        <w:t> </w:t>
      </w:r>
      <w:r>
        <w:rPr>
          <w:spacing w:val="-27"/>
          <w:sz w:val="25"/>
        </w:rPr>
        <w:t> </w:t>
      </w:r>
      <w:r>
        <w:rPr>
          <w:w w:val="99"/>
          <w:sz w:val="25"/>
        </w:rPr>
        <w:t>t</w:t>
      </w:r>
      <w:r>
        <w:rPr>
          <w:spacing w:val="-2"/>
          <w:w w:val="99"/>
          <w:sz w:val="25"/>
        </w:rPr>
        <w:t>h</w:t>
      </w:r>
      <w:r>
        <w:rPr>
          <w:w w:val="99"/>
          <w:sz w:val="25"/>
        </w:rPr>
        <w:t>e</w:t>
      </w:r>
      <w:r>
        <w:rPr>
          <w:sz w:val="25"/>
        </w:rPr>
        <w:t> </w:t>
      </w:r>
      <w:r>
        <w:rPr>
          <w:spacing w:val="-26"/>
          <w:sz w:val="25"/>
        </w:rPr>
        <w:t> </w:t>
      </w:r>
      <w:r>
        <w:rPr>
          <w:w w:val="99"/>
          <w:sz w:val="25"/>
        </w:rPr>
        <w:t>first</w:t>
      </w:r>
      <w:r>
        <w:rPr>
          <w:sz w:val="25"/>
        </w:rPr>
        <w:t> </w:t>
      </w:r>
      <w:r>
        <w:rPr>
          <w:spacing w:val="-27"/>
          <w:sz w:val="25"/>
        </w:rPr>
        <w:t> </w:t>
      </w:r>
      <w:r>
        <w:rPr>
          <w:spacing w:val="-3"/>
          <w:w w:val="99"/>
          <w:sz w:val="25"/>
        </w:rPr>
        <w:t>p</w:t>
      </w:r>
      <w:r>
        <w:rPr>
          <w:spacing w:val="-1"/>
          <w:w w:val="99"/>
          <w:sz w:val="25"/>
        </w:rPr>
        <w:t>laintif</w:t>
      </w:r>
      <w:r>
        <w:rPr>
          <w:w w:val="99"/>
          <w:sz w:val="25"/>
        </w:rPr>
        <w:t>f</w:t>
      </w:r>
      <w:r>
        <w:rPr>
          <w:sz w:val="25"/>
        </w:rPr>
        <w:t> </w:t>
      </w:r>
      <w:r>
        <w:rPr>
          <w:spacing w:val="-26"/>
          <w:sz w:val="25"/>
        </w:rPr>
        <w:t> </w:t>
      </w:r>
      <w:r>
        <w:rPr>
          <w:spacing w:val="-1"/>
          <w:w w:val="99"/>
          <w:sz w:val="25"/>
        </w:rPr>
        <w:t>i</w:t>
      </w:r>
      <w:r>
        <w:rPr>
          <w:w w:val="99"/>
          <w:sz w:val="25"/>
        </w:rPr>
        <w:t>n</w:t>
      </w:r>
      <w:r>
        <w:rPr>
          <w:sz w:val="25"/>
        </w:rPr>
        <w:t> </w:t>
      </w:r>
      <w:r>
        <w:rPr>
          <w:spacing w:val="-27"/>
          <w:sz w:val="25"/>
        </w:rPr>
        <w:t> </w:t>
      </w:r>
      <w:r>
        <w:rPr>
          <w:spacing w:val="-1"/>
          <w:w w:val="99"/>
          <w:sz w:val="25"/>
        </w:rPr>
        <w:t>Sui</w:t>
      </w:r>
      <w:r>
        <w:rPr>
          <w:w w:val="99"/>
          <w:sz w:val="25"/>
        </w:rPr>
        <w:t>t</w:t>
      </w:r>
      <w:r>
        <w:rPr>
          <w:sz w:val="25"/>
        </w:rPr>
        <w:t> </w:t>
      </w:r>
      <w:r>
        <w:rPr>
          <w:spacing w:val="-26"/>
          <w:sz w:val="25"/>
        </w:rPr>
        <w:t> </w:t>
      </w:r>
      <w:r>
        <w:rPr>
          <w:spacing w:val="-1"/>
          <w:w w:val="99"/>
          <w:sz w:val="25"/>
        </w:rPr>
        <w:t>5</w:t>
      </w:r>
      <w:r>
        <w:rPr>
          <w:w w:val="99"/>
          <w:sz w:val="25"/>
        </w:rPr>
        <w:t>,</w:t>
      </w:r>
      <w:r>
        <w:rPr>
          <w:sz w:val="25"/>
        </w:rPr>
        <w:t> </w:t>
      </w:r>
      <w:r>
        <w:rPr>
          <w:spacing w:val="-26"/>
          <w:sz w:val="25"/>
        </w:rPr>
        <w:t> </w:t>
      </w:r>
      <w:r>
        <w:rPr>
          <w:w w:val="33"/>
          <w:sz w:val="25"/>
        </w:rPr>
        <w:t>―</w:t>
      </w:r>
      <w:r>
        <w:rPr>
          <w:spacing w:val="-1"/>
          <w:w w:val="99"/>
          <w:sz w:val="25"/>
        </w:rPr>
        <w:t>B</w:t>
      </w:r>
      <w:r>
        <w:rPr>
          <w:spacing w:val="-3"/>
          <w:w w:val="99"/>
          <w:sz w:val="25"/>
        </w:rPr>
        <w:t>h</w:t>
      </w:r>
      <w:r>
        <w:rPr>
          <w:spacing w:val="-1"/>
          <w:w w:val="99"/>
          <w:sz w:val="25"/>
        </w:rPr>
        <w:t>a</w:t>
      </w:r>
      <w:r>
        <w:rPr>
          <w:w w:val="99"/>
          <w:sz w:val="25"/>
        </w:rPr>
        <w:t>g</w:t>
      </w:r>
      <w:r>
        <w:rPr>
          <w:spacing w:val="-1"/>
          <w:w w:val="99"/>
          <w:sz w:val="25"/>
        </w:rPr>
        <w:t>wa</w:t>
      </w:r>
      <w:r>
        <w:rPr>
          <w:w w:val="99"/>
          <w:sz w:val="25"/>
        </w:rPr>
        <w:t>n</w:t>
      </w:r>
      <w:r>
        <w:rPr>
          <w:sz w:val="25"/>
        </w:rPr>
        <w:t> </w:t>
      </w:r>
      <w:r>
        <w:rPr>
          <w:spacing w:val="-26"/>
          <w:sz w:val="25"/>
        </w:rPr>
        <w:t> </w:t>
      </w:r>
      <w:r>
        <w:rPr>
          <w:spacing w:val="-1"/>
          <w:w w:val="99"/>
          <w:sz w:val="25"/>
        </w:rPr>
        <w:t>S</w:t>
      </w:r>
      <w:r>
        <w:rPr>
          <w:w w:val="99"/>
          <w:sz w:val="25"/>
        </w:rPr>
        <w:t>ri </w:t>
      </w:r>
      <w:r>
        <w:rPr>
          <w:sz w:val="25"/>
        </w:rPr>
        <w:t>Ram Virajman‖ is the embodiment of Lord Ram and constitutes the resident deity of Ram Janmabhumi. The faith and belief of the Hindu devotees is a matter personal to their conscience and it is not for this Court to scrutinise the strength  of their convictions or the rationality of their beliefs beyond a </w:t>
      </w:r>
      <w:r>
        <w:rPr>
          <w:i/>
          <w:sz w:val="25"/>
        </w:rPr>
        <w:t>prima facie </w:t>
      </w:r>
      <w:r>
        <w:rPr>
          <w:sz w:val="25"/>
        </w:rPr>
        <w:t>examination to ascertain whether such beliefs are held in good</w:t>
      </w:r>
      <w:r>
        <w:rPr>
          <w:spacing w:val="-9"/>
          <w:sz w:val="25"/>
        </w:rPr>
        <w:t> </w:t>
      </w:r>
      <w:r>
        <w:rPr>
          <w:sz w:val="25"/>
        </w:rPr>
        <w:t>faith.</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The oral and documentary evidence shows that the Hindu devotees of Lord Ram hold a genuine, long standing and profound belief in the religious merit attained by offering prayer to Lord Ram at the site they believe to be his birth- place. Evidence has been led by the plaintiffs in Suit 5 to show a long practice of Hindu worship to Lord Ram at the disputed site. The travel logs of </w:t>
      </w:r>
      <w:r>
        <w:rPr>
          <w:b/>
          <w:sz w:val="25"/>
        </w:rPr>
        <w:t>Joseph Tieffenthaler</w:t>
      </w:r>
      <w:r>
        <w:rPr>
          <w:b/>
          <w:spacing w:val="27"/>
          <w:sz w:val="25"/>
        </w:rPr>
        <w:t> </w:t>
      </w:r>
      <w:r>
        <w:rPr>
          <w:sz w:val="25"/>
        </w:rPr>
        <w:t>in</w:t>
      </w:r>
      <w:r>
        <w:rPr>
          <w:spacing w:val="26"/>
          <w:sz w:val="25"/>
        </w:rPr>
        <w:t> </w:t>
      </w:r>
      <w:r>
        <w:rPr>
          <w:sz w:val="25"/>
        </w:rPr>
        <w:t>the</w:t>
      </w:r>
      <w:r>
        <w:rPr>
          <w:spacing w:val="26"/>
          <w:sz w:val="25"/>
        </w:rPr>
        <w:t> </w:t>
      </w:r>
      <w:r>
        <w:rPr>
          <w:sz w:val="25"/>
        </w:rPr>
        <w:t>eighteenth</w:t>
      </w:r>
      <w:r>
        <w:rPr>
          <w:spacing w:val="27"/>
          <w:sz w:val="25"/>
        </w:rPr>
        <w:t> </w:t>
      </w:r>
      <w:r>
        <w:rPr>
          <w:sz w:val="25"/>
        </w:rPr>
        <w:t>century</w:t>
      </w:r>
      <w:r>
        <w:rPr>
          <w:spacing w:val="25"/>
          <w:sz w:val="25"/>
        </w:rPr>
        <w:t> </w:t>
      </w:r>
      <w:r>
        <w:rPr>
          <w:sz w:val="25"/>
        </w:rPr>
        <w:t>and</w:t>
      </w:r>
      <w:r>
        <w:rPr>
          <w:spacing w:val="31"/>
          <w:sz w:val="25"/>
        </w:rPr>
        <w:t> </w:t>
      </w:r>
      <w:r>
        <w:rPr>
          <w:b/>
          <w:sz w:val="25"/>
        </w:rPr>
        <w:t>Robert</w:t>
      </w:r>
      <w:r>
        <w:rPr>
          <w:b/>
          <w:spacing w:val="27"/>
          <w:sz w:val="25"/>
        </w:rPr>
        <w:t> </w:t>
      </w:r>
      <w:r>
        <w:rPr>
          <w:b/>
          <w:sz w:val="25"/>
        </w:rPr>
        <w:t>Montgomery</w:t>
      </w:r>
      <w:r>
        <w:rPr>
          <w:b/>
          <w:spacing w:val="22"/>
          <w:sz w:val="25"/>
        </w:rPr>
        <w:t> </w:t>
      </w:r>
      <w:r>
        <w:rPr>
          <w:b/>
          <w:sz w:val="25"/>
        </w:rPr>
        <w:t>Martin</w:t>
      </w:r>
      <w:r>
        <w:rPr>
          <w:b/>
          <w:spacing w:val="31"/>
          <w:sz w:val="25"/>
        </w:rPr>
        <w:t> </w:t>
      </w:r>
      <w:r>
        <w:rPr>
          <w:sz w:val="25"/>
        </w:rPr>
        <w:t>in</w:t>
      </w:r>
      <w:r>
        <w:rPr>
          <w:spacing w:val="27"/>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5"/>
        <w:jc w:val="both"/>
      </w:pPr>
      <w:r>
        <w:rPr/>
        <w:t>early nineteenth century record the prevalence </w:t>
      </w:r>
      <w:r>
        <w:rPr>
          <w:spacing w:val="3"/>
        </w:rPr>
        <w:t>of </w:t>
      </w:r>
      <w:r>
        <w:rPr/>
        <w:t>Hindu worship at the disputed site. They also reference special occasions such as Ram Navmi during which Hindu devotees converged upon the Janmasthan from distant areas motivated by the desire to offer prayer to Lord Ram. The continued faith and belief </w:t>
      </w:r>
      <w:r>
        <w:rPr>
          <w:spacing w:val="5"/>
        </w:rPr>
        <w:t>of </w:t>
      </w:r>
      <w:r>
        <w:rPr/>
        <w:t>the Hindu devotees in the existence of the Janmasthan below the three domed structure is evidenced by the activities of the Nirmohis, individual devotees such as Nihang Singh and the endless stream of Hindu devotees over the years who visited the disputed site. This is testament to the long-held belief in the sanctity of the disputed site as a place of worship for the Hindu religion. It is not necessary to the determination of the legal personality of the first plaintiff in Suit 5 to establish whether the devotees believed that the exact spot under the central dome was the birth-place of Lord Ram or whether the faith and belief of the devotees itself can confer title. These questions are addressed at a later part of this judgement. For the present purposes, it is sufficient to note that the factum of Hindu belief in the sanctity of the disputed site is established by</w:t>
      </w:r>
      <w:r>
        <w:rPr>
          <w:spacing w:val="-11"/>
        </w:rPr>
        <w:t> </w:t>
      </w:r>
      <w:r>
        <w:rPr/>
        <w:t>evidence.</w:t>
      </w:r>
    </w:p>
    <w:p>
      <w:pPr>
        <w:pStyle w:val="BodyText"/>
      </w:pPr>
    </w:p>
    <w:p>
      <w:pPr>
        <w:pStyle w:val="ListParagraph"/>
        <w:numPr>
          <w:ilvl w:val="0"/>
          <w:numId w:val="3"/>
        </w:numPr>
        <w:tabs>
          <w:tab w:pos="1221" w:val="left" w:leader="none"/>
        </w:tabs>
        <w:spacing w:line="480" w:lineRule="auto" w:before="0" w:after="0"/>
        <w:ind w:left="500" w:right="438" w:firstLine="0"/>
        <w:jc w:val="both"/>
        <w:rPr>
          <w:sz w:val="25"/>
        </w:rPr>
      </w:pPr>
      <w:r>
        <w:rPr>
          <w:sz w:val="25"/>
        </w:rPr>
        <w:t>For the purposes of recognising a legal person, the relevant inquiry is the purpose to be achieved by such recognition. To the extent such purpose is achieved, the form or </w:t>
      </w:r>
      <w:r>
        <w:rPr>
          <w:i/>
          <w:sz w:val="25"/>
        </w:rPr>
        <w:t>corpus </w:t>
      </w:r>
      <w:r>
        <w:rPr>
          <w:sz w:val="25"/>
        </w:rPr>
        <w:t>of the object upon which legal personality is conferred is not a matter of substance but merely a question of form. As  observed by Salmond, so long as the conferral of legal personality serves the purpose sought to be achieved, legal personality may even be conferred on an abstract idea. In the case of Hindu idols, legal personality is not conferred on the idol simpliciter but on the underlying pious purpose of the continued worship of the deity as incarnated in the idol. Where the legal personality is conferred on</w:t>
      </w:r>
      <w:r>
        <w:rPr>
          <w:spacing w:val="46"/>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purpose of a deity‘s continued worship, moving or destroying the idol does not affect its legal personality. The legal personality vests in the purpose of continued worship of the idol as recognised by the court. It is for the protection of the continued worship that the law recognises this purpose and seeks to protect it by the conferral of juristic personality.</w:t>
      </w:r>
    </w:p>
    <w:p>
      <w:pPr>
        <w:pStyle w:val="BodyText"/>
        <w:rPr>
          <w:sz w:val="28"/>
        </w:rPr>
      </w:pPr>
    </w:p>
    <w:p>
      <w:pPr>
        <w:pStyle w:val="BodyText"/>
        <w:spacing w:before="11"/>
        <w:rPr>
          <w:sz w:val="21"/>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In addition to the continued worship of the deity, legal personality is conferred on Hindu idols to provide courts with a conceptual framework within which to practically adjudicate disputes involving competing claims over disputed property endowed to or appurtenant to Hindu idols. In order to adjudicate disputes, the court locates a site of jural relations to determine proprietary claims, maladministration by shebaits and protect the interests of devotees. The law thus protects the properties of the idol even absent the establishment of a specific or express trust. In the proceedings before us, the legal rights and properties of the first plaintiff in Suit 5 were in dispute. However, no submissions were made challenging the legal personality of the first plaintiff. Significantly, Dr Rajeev Dhavan, learned Senior Counsel appearing for the plaintiffs in Suit 4 admitted the juristic personality of the first plaintiff. The question of the legal personality of the first plaintiff is distinct from the properties that appertain to the first plaintiff. The determination of the properties that vest in the deity is discussed in light of the competing claims to the property later in this</w:t>
      </w:r>
      <w:r>
        <w:rPr>
          <w:spacing w:val="-8"/>
          <w:sz w:val="25"/>
        </w:rPr>
        <w:t> </w:t>
      </w:r>
      <w:r>
        <w:rPr>
          <w:sz w:val="25"/>
        </w:rPr>
        <w:t>judgement.</w:t>
      </w:r>
    </w:p>
    <w:p>
      <w:pPr>
        <w:pStyle w:val="BodyText"/>
        <w:spacing w:before="2"/>
      </w:pPr>
    </w:p>
    <w:p>
      <w:pPr>
        <w:pStyle w:val="ListParagraph"/>
        <w:numPr>
          <w:ilvl w:val="0"/>
          <w:numId w:val="3"/>
        </w:numPr>
        <w:tabs>
          <w:tab w:pos="1221" w:val="left" w:leader="none"/>
        </w:tabs>
        <w:spacing w:line="480" w:lineRule="auto" w:before="1" w:after="0"/>
        <w:ind w:left="500" w:right="445" w:firstLine="0"/>
        <w:jc w:val="both"/>
        <w:rPr>
          <w:sz w:val="25"/>
        </w:rPr>
      </w:pPr>
      <w:r>
        <w:rPr>
          <w:sz w:val="25"/>
        </w:rPr>
        <w:t>In the present case, the first plaintiff has been the object of worship for several hundred years and the underlying purpose of continued worship is apparent even absent any express dedication or trust. The existence of the idol</w:t>
      </w:r>
      <w:r>
        <w:rPr>
          <w:spacing w:val="9"/>
          <w:sz w:val="25"/>
        </w:rPr>
        <w:t> </w:t>
      </w:r>
      <w:r>
        <w:rPr>
          <w:sz w:val="25"/>
        </w:rPr>
        <w:t>is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merely a question of form, or </w:t>
      </w:r>
      <w:r>
        <w:rPr>
          <w:i/>
        </w:rPr>
        <w:t>corpus</w:t>
      </w:r>
      <w:r>
        <w:rPr/>
        <w:t>, and the legal personality of the first plaintiff is not dependent on the continued existence of the idol. At the heart of the present dispute are questions pertaining to the rightful manager of the deity and the access of the devotees of Lord Ram to the idols. To ensure the legal protection of the underlying purpose and practically adjudicate upon the dispute, the legal personality of the first plaintiff is</w:t>
      </w:r>
      <w:r>
        <w:rPr>
          <w:spacing w:val="-5"/>
        </w:rPr>
        <w:t> </w:t>
      </w:r>
      <w:r>
        <w:rPr/>
        <w:t>recognised.</w:t>
      </w:r>
    </w:p>
    <w:p>
      <w:pPr>
        <w:pStyle w:val="BodyText"/>
        <w:spacing w:before="5"/>
        <w:rPr>
          <w:sz w:val="35"/>
        </w:rPr>
      </w:pPr>
    </w:p>
    <w:p>
      <w:pPr>
        <w:pStyle w:val="Heading3"/>
        <w:numPr>
          <w:ilvl w:val="1"/>
          <w:numId w:val="56"/>
        </w:numPr>
        <w:tabs>
          <w:tab w:pos="1221" w:val="left" w:leader="none"/>
        </w:tabs>
        <w:spacing w:line="240" w:lineRule="auto" w:before="0" w:after="0"/>
        <w:ind w:left="1220" w:right="0" w:hanging="721"/>
        <w:jc w:val="both"/>
      </w:pPr>
      <w:r>
        <w:rPr/>
        <w:t>Juristic personality of the second</w:t>
      </w:r>
      <w:r>
        <w:rPr>
          <w:spacing w:val="-4"/>
        </w:rPr>
        <w:t> </w:t>
      </w:r>
      <w:r>
        <w:rPr/>
        <w:t>plaintiff</w:t>
      </w:r>
    </w:p>
    <w:p>
      <w:pPr>
        <w:pStyle w:val="BodyText"/>
        <w:rPr>
          <w:b/>
          <w:sz w:val="28"/>
        </w:rPr>
      </w:pPr>
    </w:p>
    <w:p>
      <w:pPr>
        <w:pStyle w:val="Heading4"/>
        <w:spacing w:before="219"/>
        <w:jc w:val="left"/>
        <w:rPr>
          <w:i/>
        </w:rPr>
      </w:pPr>
      <w:r>
        <w:rPr>
          <w:i/>
        </w:rPr>
        <w:t>Submissions</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41" w:firstLine="0"/>
        <w:jc w:val="both"/>
        <w:rPr>
          <w:sz w:val="25"/>
        </w:rPr>
      </w:pPr>
      <w:r>
        <w:rPr>
          <w:sz w:val="25"/>
        </w:rPr>
        <w:t>Mr K Parasaran, learned Senior Counsel appearing on behalf of the plaintiffs in Suit 5 urged that the second plaintiff is a juristic person. He submitted that in Hindu Law the concept of a juridical person is not limited to idols. According to Mr Parasaran, the relevant question is whether prayer is offered to the</w:t>
      </w:r>
      <w:r>
        <w:rPr>
          <w:spacing w:val="49"/>
          <w:sz w:val="25"/>
        </w:rPr>
        <w:t> </w:t>
      </w:r>
      <w:r>
        <w:rPr>
          <w:sz w:val="25"/>
        </w:rPr>
        <w:t>deity</w:t>
      </w:r>
      <w:r>
        <w:rPr>
          <w:spacing w:val="47"/>
          <w:sz w:val="25"/>
        </w:rPr>
        <w:t> </w:t>
      </w:r>
      <w:r>
        <w:rPr>
          <w:sz w:val="25"/>
        </w:rPr>
        <w:t>and</w:t>
      </w:r>
      <w:r>
        <w:rPr>
          <w:spacing w:val="50"/>
          <w:sz w:val="25"/>
        </w:rPr>
        <w:t> </w:t>
      </w:r>
      <w:r>
        <w:rPr>
          <w:sz w:val="25"/>
        </w:rPr>
        <w:t>not</w:t>
      </w:r>
      <w:r>
        <w:rPr>
          <w:spacing w:val="50"/>
          <w:sz w:val="25"/>
        </w:rPr>
        <w:t> </w:t>
      </w:r>
      <w:r>
        <w:rPr>
          <w:sz w:val="25"/>
        </w:rPr>
        <w:t>the</w:t>
      </w:r>
      <w:r>
        <w:rPr>
          <w:spacing w:val="50"/>
          <w:sz w:val="25"/>
        </w:rPr>
        <w:t> </w:t>
      </w:r>
      <w:r>
        <w:rPr>
          <w:sz w:val="25"/>
        </w:rPr>
        <w:t>form</w:t>
      </w:r>
      <w:r>
        <w:rPr>
          <w:spacing w:val="50"/>
          <w:sz w:val="25"/>
        </w:rPr>
        <w:t> </w:t>
      </w:r>
      <w:r>
        <w:rPr>
          <w:sz w:val="25"/>
        </w:rPr>
        <w:t>in</w:t>
      </w:r>
      <w:r>
        <w:rPr>
          <w:spacing w:val="49"/>
          <w:sz w:val="25"/>
        </w:rPr>
        <w:t> </w:t>
      </w:r>
      <w:r>
        <w:rPr>
          <w:sz w:val="25"/>
        </w:rPr>
        <w:t>which</w:t>
      </w:r>
      <w:r>
        <w:rPr>
          <w:spacing w:val="50"/>
          <w:sz w:val="25"/>
        </w:rPr>
        <w:t> </w:t>
      </w:r>
      <w:r>
        <w:rPr>
          <w:sz w:val="25"/>
        </w:rPr>
        <w:t>the</w:t>
      </w:r>
      <w:r>
        <w:rPr>
          <w:spacing w:val="52"/>
          <w:sz w:val="25"/>
        </w:rPr>
        <w:t> </w:t>
      </w:r>
      <w:r>
        <w:rPr>
          <w:sz w:val="25"/>
        </w:rPr>
        <w:t>deity</w:t>
      </w:r>
      <w:r>
        <w:rPr>
          <w:spacing w:val="47"/>
          <w:sz w:val="25"/>
        </w:rPr>
        <w:t> </w:t>
      </w:r>
      <w:r>
        <w:rPr>
          <w:sz w:val="25"/>
        </w:rPr>
        <w:t>appears.</w:t>
      </w:r>
      <w:r>
        <w:rPr>
          <w:spacing w:val="50"/>
          <w:sz w:val="25"/>
        </w:rPr>
        <w:t> </w:t>
      </w:r>
      <w:r>
        <w:rPr>
          <w:sz w:val="25"/>
        </w:rPr>
        <w:t>It</w:t>
      </w:r>
      <w:r>
        <w:rPr>
          <w:spacing w:val="50"/>
          <w:sz w:val="25"/>
        </w:rPr>
        <w:t> </w:t>
      </w:r>
      <w:r>
        <w:rPr>
          <w:sz w:val="25"/>
        </w:rPr>
        <w:t>was</w:t>
      </w:r>
      <w:r>
        <w:rPr>
          <w:spacing w:val="51"/>
          <w:sz w:val="25"/>
        </w:rPr>
        <w:t> </w:t>
      </w:r>
      <w:r>
        <w:rPr>
          <w:sz w:val="25"/>
        </w:rPr>
        <w:t>contended</w:t>
      </w:r>
      <w:r>
        <w:rPr>
          <w:spacing w:val="50"/>
          <w:sz w:val="25"/>
        </w:rPr>
        <w:t> </w:t>
      </w:r>
      <w:r>
        <w:rPr>
          <w:sz w:val="25"/>
        </w:rPr>
        <w:t>that</w:t>
      </w:r>
    </w:p>
    <w:p>
      <w:pPr>
        <w:pStyle w:val="BodyText"/>
        <w:spacing w:line="480" w:lineRule="auto" w:before="1"/>
        <w:ind w:left="500" w:right="436"/>
        <w:jc w:val="both"/>
      </w:pPr>
      <w:r>
        <w:rPr>
          <w:w w:val="33"/>
        </w:rPr>
        <w:t>―</w:t>
      </w:r>
      <w:r>
        <w:rPr>
          <w:spacing w:val="-1"/>
          <w:w w:val="99"/>
        </w:rPr>
        <w:t>A</w:t>
      </w:r>
      <w:r>
        <w:rPr>
          <w:w w:val="99"/>
        </w:rPr>
        <w:t>sthan</w:t>
      </w:r>
      <w:r>
        <w:rPr>
          <w:spacing w:val="5"/>
        </w:rPr>
        <w:t> </w:t>
      </w:r>
      <w:r>
        <w:rPr>
          <w:spacing w:val="-1"/>
          <w:w w:val="99"/>
        </w:rPr>
        <w:t>S</w:t>
      </w:r>
      <w:r>
        <w:rPr>
          <w:w w:val="99"/>
        </w:rPr>
        <w:t>ri</w:t>
      </w:r>
      <w:r>
        <w:rPr>
          <w:spacing w:val="4"/>
        </w:rPr>
        <w:t> </w:t>
      </w:r>
      <w:r>
        <w:rPr>
          <w:spacing w:val="-1"/>
          <w:w w:val="99"/>
        </w:rPr>
        <w:t>Ra</w:t>
      </w:r>
      <w:r>
        <w:rPr>
          <w:w w:val="99"/>
        </w:rPr>
        <w:t>m</w:t>
      </w:r>
      <w:r>
        <w:rPr>
          <w:spacing w:val="5"/>
        </w:rPr>
        <w:t> </w:t>
      </w:r>
      <w:r>
        <w:rPr>
          <w:w w:val="99"/>
        </w:rPr>
        <w:t>Ja</w:t>
      </w:r>
      <w:r>
        <w:rPr>
          <w:spacing w:val="-2"/>
          <w:w w:val="99"/>
        </w:rPr>
        <w:t>n</w:t>
      </w:r>
      <w:r>
        <w:rPr>
          <w:spacing w:val="-1"/>
          <w:w w:val="99"/>
        </w:rPr>
        <w:t>a</w:t>
      </w:r>
      <w:r>
        <w:rPr>
          <w:w w:val="99"/>
        </w:rPr>
        <w:t>m</w:t>
      </w:r>
      <w:r>
        <w:rPr>
          <w:spacing w:val="5"/>
        </w:rPr>
        <w:t> </w:t>
      </w:r>
      <w:r>
        <w:rPr>
          <w:spacing w:val="-1"/>
          <w:w w:val="99"/>
        </w:rPr>
        <w:t>Bh</w:t>
      </w:r>
      <w:r>
        <w:rPr>
          <w:w w:val="99"/>
        </w:rPr>
        <w:t>o</w:t>
      </w:r>
      <w:r>
        <w:rPr>
          <w:spacing w:val="-1"/>
          <w:w w:val="99"/>
        </w:rPr>
        <w:t>o</w:t>
      </w:r>
      <w:r>
        <w:rPr>
          <w:w w:val="99"/>
        </w:rPr>
        <w:t>m</w:t>
      </w:r>
      <w:r>
        <w:rPr>
          <w:spacing w:val="-1"/>
          <w:w w:val="87"/>
        </w:rPr>
        <w:t>i</w:t>
      </w:r>
      <w:r>
        <w:rPr>
          <w:w w:val="87"/>
        </w:rPr>
        <w:t>‖</w:t>
      </w:r>
      <w:r>
        <w:rPr>
          <w:spacing w:val="5"/>
        </w:rPr>
        <w:t> </w:t>
      </w:r>
      <w:r>
        <w:rPr>
          <w:spacing w:val="-1"/>
          <w:w w:val="99"/>
        </w:rPr>
        <w:t>i</w:t>
      </w:r>
      <w:r>
        <w:rPr>
          <w:w w:val="99"/>
        </w:rPr>
        <w:t>s</w:t>
      </w:r>
      <w:r>
        <w:rPr>
          <w:spacing w:val="2"/>
        </w:rPr>
        <w:t> </w:t>
      </w:r>
      <w:r>
        <w:rPr>
          <w:spacing w:val="-1"/>
          <w:w w:val="99"/>
        </w:rPr>
        <w:t>a</w:t>
      </w:r>
      <w:r>
        <w:rPr>
          <w:w w:val="99"/>
        </w:rPr>
        <w:t>n</w:t>
      </w:r>
      <w:r>
        <w:rPr>
          <w:spacing w:val="5"/>
        </w:rPr>
        <w:t> </w:t>
      </w:r>
      <w:r>
        <w:rPr>
          <w:spacing w:val="-1"/>
          <w:w w:val="99"/>
        </w:rPr>
        <w:t>o</w:t>
      </w:r>
      <w:r>
        <w:rPr>
          <w:w w:val="99"/>
        </w:rPr>
        <w:t>b</w:t>
      </w:r>
      <w:r>
        <w:rPr>
          <w:spacing w:val="-3"/>
          <w:w w:val="99"/>
        </w:rPr>
        <w:t>j</w:t>
      </w:r>
      <w:r>
        <w:rPr>
          <w:spacing w:val="-1"/>
          <w:w w:val="99"/>
        </w:rPr>
        <w:t>ec</w:t>
      </w:r>
      <w:r>
        <w:rPr>
          <w:w w:val="99"/>
        </w:rPr>
        <w:t>t</w:t>
      </w:r>
      <w:r>
        <w:rPr>
          <w:spacing w:val="5"/>
        </w:rPr>
        <w:t> </w:t>
      </w:r>
      <w:r>
        <w:rPr>
          <w:spacing w:val="-1"/>
          <w:w w:val="99"/>
        </w:rPr>
        <w:t>o</w:t>
      </w:r>
      <w:r>
        <w:rPr>
          <w:w w:val="99"/>
        </w:rPr>
        <w:t>f</w:t>
      </w:r>
      <w:r>
        <w:rPr>
          <w:spacing w:val="5"/>
        </w:rPr>
        <w:t> </w:t>
      </w:r>
      <w:r>
        <w:rPr>
          <w:spacing w:val="-1"/>
          <w:w w:val="99"/>
        </w:rPr>
        <w:t>wo</w:t>
      </w:r>
      <w:r>
        <w:rPr>
          <w:w w:val="99"/>
        </w:rPr>
        <w:t>rship</w:t>
      </w:r>
      <w:r>
        <w:rPr>
          <w:spacing w:val="2"/>
        </w:rPr>
        <w:t> </w:t>
      </w:r>
      <w:r>
        <w:rPr>
          <w:spacing w:val="-1"/>
          <w:w w:val="99"/>
        </w:rPr>
        <w:t>a</w:t>
      </w:r>
      <w:r>
        <w:rPr>
          <w:w w:val="99"/>
        </w:rPr>
        <w:t>nd</w:t>
      </w:r>
      <w:r>
        <w:rPr>
          <w:spacing w:val="5"/>
        </w:rPr>
        <w:t> </w:t>
      </w:r>
      <w:r>
        <w:rPr>
          <w:spacing w:val="-1"/>
          <w:w w:val="99"/>
        </w:rPr>
        <w:t>p</w:t>
      </w:r>
      <w:r>
        <w:rPr>
          <w:spacing w:val="-2"/>
          <w:w w:val="99"/>
        </w:rPr>
        <w:t>e</w:t>
      </w:r>
      <w:r>
        <w:rPr>
          <w:w w:val="99"/>
        </w:rPr>
        <w:t>rson</w:t>
      </w:r>
      <w:r>
        <w:rPr>
          <w:spacing w:val="-1"/>
          <w:w w:val="99"/>
        </w:rPr>
        <w:t>ifie</w:t>
      </w:r>
      <w:r>
        <w:rPr>
          <w:w w:val="99"/>
        </w:rPr>
        <w:t>s</w:t>
      </w:r>
      <w:r>
        <w:rPr>
          <w:spacing w:val="4"/>
        </w:rPr>
        <w:t> </w:t>
      </w:r>
      <w:r>
        <w:rPr>
          <w:w w:val="99"/>
        </w:rPr>
        <w:t>the</w:t>
      </w:r>
      <w:r>
        <w:rPr>
          <w:spacing w:val="5"/>
        </w:rPr>
        <w:t> </w:t>
      </w:r>
      <w:r>
        <w:rPr>
          <w:w w:val="99"/>
        </w:rPr>
        <w:t>spir</w:t>
      </w:r>
      <w:r>
        <w:rPr>
          <w:spacing w:val="-3"/>
          <w:w w:val="99"/>
        </w:rPr>
        <w:t>i</w:t>
      </w:r>
      <w:r>
        <w:rPr>
          <w:w w:val="99"/>
        </w:rPr>
        <w:t>t </w:t>
      </w:r>
      <w:r>
        <w:rPr/>
        <w:t>of the divine. The faith of the devotees regards the land as a deity and prayer is offered to it. Hence, it was on this basis that the plaintiffs in Suit 5 submit that this court must confer juristic personality on the land represented as Ram Janmasthan. To support this contention, it was urged that God is shapeless and formless and there is no requirement that the object of worship be an idol. It was urged that the performance of the </w:t>
      </w:r>
      <w:r>
        <w:rPr>
          <w:i/>
        </w:rPr>
        <w:t>parikrama </w:t>
      </w:r>
      <w:r>
        <w:rPr/>
        <w:t>(circumambulation) around the disputed spot with the faith and belief that it is the birth-place of Lord Ram delineates the boundaries of the property on which the status of a juristic entity must </w:t>
      </w:r>
      <w:r>
        <w:rPr>
          <w:spacing w:val="10"/>
        </w:rPr>
        <w:t> </w:t>
      </w:r>
      <w:r>
        <w:rPr/>
        <w:t>be </w:t>
      </w:r>
      <w:r>
        <w:rPr>
          <w:spacing w:val="10"/>
        </w:rPr>
        <w:t> </w:t>
      </w:r>
      <w:r>
        <w:rPr/>
        <w:t>conferred. </w:t>
      </w:r>
      <w:r>
        <w:rPr>
          <w:spacing w:val="7"/>
        </w:rPr>
        <w:t> </w:t>
      </w:r>
      <w:r>
        <w:rPr/>
        <w:t>To </w:t>
      </w:r>
      <w:r>
        <w:rPr>
          <w:spacing w:val="10"/>
        </w:rPr>
        <w:t> </w:t>
      </w:r>
      <w:r>
        <w:rPr/>
        <w:t>support </w:t>
      </w:r>
      <w:r>
        <w:rPr>
          <w:spacing w:val="10"/>
        </w:rPr>
        <w:t> </w:t>
      </w:r>
      <w:r>
        <w:rPr/>
        <w:t>this </w:t>
      </w:r>
      <w:r>
        <w:rPr>
          <w:spacing w:val="10"/>
        </w:rPr>
        <w:t> </w:t>
      </w:r>
      <w:r>
        <w:rPr/>
        <w:t>contention, </w:t>
      </w:r>
      <w:r>
        <w:rPr>
          <w:spacing w:val="10"/>
        </w:rPr>
        <w:t> </w:t>
      </w:r>
      <w:r>
        <w:rPr/>
        <w:t>Mr </w:t>
      </w:r>
      <w:r>
        <w:rPr>
          <w:spacing w:val="13"/>
        </w:rPr>
        <w:t> </w:t>
      </w:r>
      <w:r>
        <w:rPr/>
        <w:t>Parasaran </w:t>
      </w:r>
      <w:r>
        <w:rPr>
          <w:spacing w:val="11"/>
        </w:rPr>
        <w:t> </w:t>
      </w:r>
      <w:r>
        <w:rPr/>
        <w:t>relied </w:t>
      </w:r>
      <w:r>
        <w:rPr>
          <w:spacing w:val="10"/>
        </w:rPr>
        <w:t> </w:t>
      </w:r>
      <w:r>
        <w:rPr/>
        <w:t>on </w:t>
      </w:r>
      <w:r>
        <w:rPr>
          <w:spacing w:val="10"/>
        </w:rPr>
        <w:t> </w:t>
      </w:r>
      <w:r>
        <w:rPr/>
        <w:t>the</w:t>
      </w:r>
    </w:p>
    <w:p>
      <w:pPr>
        <w:spacing w:after="0" w:line="480" w:lineRule="auto"/>
        <w:jc w:val="both"/>
        <w:sectPr>
          <w:pgSz w:w="11910" w:h="16840"/>
          <w:pgMar w:header="721" w:footer="1014" w:top="1300" w:bottom="1200" w:left="940" w:right="1000"/>
        </w:sectPr>
      </w:pPr>
    </w:p>
    <w:p>
      <w:pPr>
        <w:pStyle w:val="Heading5"/>
        <w:tabs>
          <w:tab w:pos="2589" w:val="left" w:leader="none"/>
          <w:tab w:pos="3138" w:val="left" w:leader="none"/>
          <w:tab w:pos="4063" w:val="left" w:leader="none"/>
          <w:tab w:pos="4230" w:val="left" w:leader="none"/>
          <w:tab w:pos="5400" w:val="left" w:leader="none"/>
          <w:tab w:pos="7242" w:val="left" w:leader="none"/>
          <w:tab w:pos="8340" w:val="left" w:leader="none"/>
          <w:tab w:pos="8681" w:val="left" w:leader="none"/>
        </w:tabs>
        <w:spacing w:line="480" w:lineRule="auto" w:before="124"/>
        <w:ind w:left="500" w:right="433" w:firstLine="0"/>
        <w:jc w:val="left"/>
        <w:rPr>
          <w:b w:val="0"/>
        </w:rPr>
      </w:pPr>
      <w:r>
        <w:rPr>
          <w:b w:val="0"/>
        </w:rPr>
        <w:t>following decisions, which shall be adverted to in the course of the judgment: </w:t>
      </w:r>
      <w:r>
        <w:rPr/>
        <w:t>Manohar </w:t>
      </w:r>
      <w:r>
        <w:rPr>
          <w:spacing w:val="52"/>
        </w:rPr>
        <w:t> </w:t>
      </w:r>
      <w:r>
        <w:rPr/>
        <w:t>Ganesh </w:t>
      </w:r>
      <w:r>
        <w:rPr>
          <w:spacing w:val="52"/>
        </w:rPr>
        <w:t> </w:t>
      </w:r>
      <w:r>
        <w:rPr/>
        <w:t>Tambekar</w:t>
        <w:tab/>
        <w:tab/>
      </w:r>
      <w:r>
        <w:rPr>
          <w:b w:val="0"/>
        </w:rPr>
        <w:t>v </w:t>
      </w:r>
      <w:r>
        <w:rPr/>
        <w:t>Lakhmiram Govindram</w:t>
      </w:r>
      <w:r>
        <w:rPr>
          <w:b w:val="0"/>
          <w:vertAlign w:val="superscript"/>
        </w:rPr>
        <w:t>66</w:t>
      </w:r>
      <w:r>
        <w:rPr>
          <w:b w:val="0"/>
          <w:vertAlign w:val="baseline"/>
        </w:rPr>
        <w:t>, </w:t>
      </w:r>
      <w:r>
        <w:rPr>
          <w:vertAlign w:val="baseline"/>
        </w:rPr>
        <w:t>Bhupati Nath Smrititirtha </w:t>
      </w:r>
      <w:r>
        <w:rPr>
          <w:b w:val="0"/>
          <w:vertAlign w:val="baseline"/>
        </w:rPr>
        <w:t>v </w:t>
      </w:r>
      <w:r>
        <w:rPr>
          <w:vertAlign w:val="baseline"/>
        </w:rPr>
        <w:t>Ram Lal Maitra</w:t>
      </w:r>
      <w:r>
        <w:rPr>
          <w:b w:val="0"/>
          <w:vertAlign w:val="superscript"/>
        </w:rPr>
        <w:t>67</w:t>
      </w:r>
      <w:r>
        <w:rPr>
          <w:b w:val="0"/>
          <w:vertAlign w:val="baseline"/>
        </w:rPr>
        <w:t>, </w:t>
      </w:r>
      <w:r>
        <w:rPr>
          <w:vertAlign w:val="baseline"/>
        </w:rPr>
        <w:t>Rampat </w:t>
      </w:r>
      <w:r>
        <w:rPr>
          <w:b w:val="0"/>
          <w:vertAlign w:val="baseline"/>
        </w:rPr>
        <w:t>v </w:t>
      </w:r>
      <w:r>
        <w:rPr>
          <w:vertAlign w:val="baseline"/>
        </w:rPr>
        <w:t>Durga Bharthi</w:t>
      </w:r>
      <w:r>
        <w:rPr>
          <w:b w:val="0"/>
          <w:vertAlign w:val="superscript"/>
        </w:rPr>
        <w:t>68</w:t>
      </w:r>
      <w:r>
        <w:rPr>
          <w:b w:val="0"/>
          <w:vertAlign w:val="baseline"/>
        </w:rPr>
        <w:t>, </w:t>
      </w:r>
      <w:r>
        <w:rPr>
          <w:vertAlign w:val="baseline"/>
        </w:rPr>
        <w:t>Ram Brahma </w:t>
      </w:r>
      <w:r>
        <w:rPr>
          <w:b w:val="0"/>
          <w:vertAlign w:val="baseline"/>
        </w:rPr>
        <w:t>v </w:t>
      </w:r>
      <w:r>
        <w:rPr>
          <w:vertAlign w:val="baseline"/>
        </w:rPr>
        <w:t>Kedar Nath</w:t>
      </w:r>
      <w:r>
        <w:rPr>
          <w:b w:val="0"/>
          <w:vertAlign w:val="superscript"/>
        </w:rPr>
        <w:t>69</w:t>
      </w:r>
      <w:r>
        <w:rPr>
          <w:b w:val="0"/>
          <w:vertAlign w:val="baseline"/>
        </w:rPr>
        <w:t> , </w:t>
      </w:r>
      <w:r>
        <w:rPr>
          <w:vertAlign w:val="baseline"/>
        </w:rPr>
        <w:t>Madura, Tirupparankundram </w:t>
      </w:r>
      <w:r>
        <w:rPr>
          <w:b w:val="0"/>
          <w:vertAlign w:val="baseline"/>
        </w:rPr>
        <w:t>v </w:t>
      </w:r>
      <w:r>
        <w:rPr>
          <w:vertAlign w:val="baseline"/>
        </w:rPr>
        <w:t>Alikhan Sahib</w:t>
      </w:r>
      <w:r>
        <w:rPr>
          <w:b w:val="0"/>
          <w:vertAlign w:val="superscript"/>
        </w:rPr>
        <w:t>70</w:t>
      </w:r>
      <w:r>
        <w:rPr>
          <w:b w:val="0"/>
          <w:vertAlign w:val="baseline"/>
        </w:rPr>
        <w:t>, </w:t>
      </w:r>
      <w:r>
        <w:rPr>
          <w:vertAlign w:val="baseline"/>
        </w:rPr>
        <w:t>The Board of Commissioners</w:t>
        <w:tab/>
        <w:t>for</w:t>
        <w:tab/>
        <w:t>Hindu</w:t>
        <w:tab/>
        <w:t>Religious</w:t>
        <w:tab/>
        <w:t>Endowments,</w:t>
        <w:tab/>
        <w:t>Madras</w:t>
        <w:tab/>
      </w:r>
      <w:r>
        <w:rPr>
          <w:b w:val="0"/>
          <w:vertAlign w:val="baseline"/>
        </w:rPr>
        <w:t>v</w:t>
        <w:tab/>
      </w:r>
      <w:r>
        <w:rPr>
          <w:spacing w:val="-3"/>
          <w:vertAlign w:val="baseline"/>
        </w:rPr>
        <w:t>Pidugu </w:t>
      </w:r>
      <w:r>
        <w:rPr>
          <w:vertAlign w:val="baseline"/>
        </w:rPr>
        <w:t>Narasimhan</w:t>
      </w:r>
      <w:r>
        <w:rPr>
          <w:b w:val="0"/>
          <w:vertAlign w:val="superscript"/>
        </w:rPr>
        <w:t>71</w:t>
      </w:r>
      <w:r>
        <w:rPr>
          <w:b w:val="0"/>
          <w:vertAlign w:val="baseline"/>
        </w:rPr>
        <w:t>, </w:t>
      </w:r>
      <w:r>
        <w:rPr>
          <w:vertAlign w:val="baseline"/>
        </w:rPr>
        <w:t>TRK Ramaswami Servai </w:t>
      </w:r>
      <w:r>
        <w:rPr>
          <w:b w:val="0"/>
          <w:vertAlign w:val="baseline"/>
        </w:rPr>
        <w:t>v </w:t>
      </w:r>
      <w:r>
        <w:rPr>
          <w:vertAlign w:val="baseline"/>
        </w:rPr>
        <w:t>The Board of Commissioners for the Hindu Religious Endowments, Madras</w:t>
      </w:r>
      <w:r>
        <w:rPr>
          <w:b w:val="0"/>
          <w:vertAlign w:val="superscript"/>
        </w:rPr>
        <w:t>72</w:t>
      </w:r>
      <w:r>
        <w:rPr>
          <w:b w:val="0"/>
          <w:vertAlign w:val="baseline"/>
        </w:rPr>
        <w:t>, </w:t>
      </w:r>
      <w:r>
        <w:rPr>
          <w:vertAlign w:val="baseline"/>
        </w:rPr>
        <w:t>The Poohari Fakhir Sadavarthy of Bondipiputram </w:t>
      </w:r>
      <w:r>
        <w:rPr>
          <w:b w:val="0"/>
          <w:vertAlign w:val="baseline"/>
        </w:rPr>
        <w:t>v </w:t>
      </w:r>
      <w:r>
        <w:rPr>
          <w:vertAlign w:val="baseline"/>
        </w:rPr>
        <w:t>The Commissioner, Hindu Religious and Charitable Endowments</w:t>
      </w:r>
      <w:r>
        <w:rPr>
          <w:b w:val="0"/>
          <w:vertAlign w:val="baseline"/>
        </w:rPr>
        <w:t>,</w:t>
      </w:r>
      <w:r>
        <w:rPr>
          <w:b w:val="0"/>
          <w:vertAlign w:val="superscript"/>
        </w:rPr>
        <w:t>73</w:t>
      </w:r>
      <w:r>
        <w:rPr>
          <w:b w:val="0"/>
          <w:vertAlign w:val="baseline"/>
        </w:rPr>
        <w:t> </w:t>
      </w:r>
      <w:r>
        <w:rPr>
          <w:vertAlign w:val="baseline"/>
        </w:rPr>
        <w:t>Venkataramana Murthi </w:t>
      </w:r>
      <w:r>
        <w:rPr>
          <w:b w:val="0"/>
          <w:vertAlign w:val="baseline"/>
        </w:rPr>
        <w:t>v </w:t>
      </w:r>
      <w:r>
        <w:rPr>
          <w:vertAlign w:val="baseline"/>
        </w:rPr>
        <w:t>Sri Rama Mandhiram</w:t>
      </w:r>
      <w:r>
        <w:rPr>
          <w:b w:val="0"/>
          <w:vertAlign w:val="superscript"/>
        </w:rPr>
        <w:t>74</w:t>
      </w:r>
      <w:r>
        <w:rPr>
          <w:b w:val="0"/>
          <w:vertAlign w:val="baseline"/>
        </w:rPr>
        <w:t>, </w:t>
      </w:r>
      <w:r>
        <w:rPr>
          <w:vertAlign w:val="baseline"/>
        </w:rPr>
        <w:t>Sastri Yagnapurushad Ji </w:t>
      </w:r>
      <w:r>
        <w:rPr>
          <w:b w:val="0"/>
          <w:vertAlign w:val="baseline"/>
        </w:rPr>
        <w:t>v </w:t>
      </w:r>
      <w:r>
        <w:rPr>
          <w:vertAlign w:val="baseline"/>
        </w:rPr>
        <w:t>Muldas Bhudardas Vaishya</w:t>
      </w:r>
      <w:r>
        <w:rPr>
          <w:b w:val="0"/>
          <w:vertAlign w:val="superscript"/>
        </w:rPr>
        <w:t>75</w:t>
      </w:r>
      <w:r>
        <w:rPr>
          <w:b w:val="0"/>
          <w:vertAlign w:val="baseline"/>
        </w:rPr>
        <w:t>, </w:t>
      </w:r>
      <w:r>
        <w:rPr>
          <w:vertAlign w:val="baseline"/>
        </w:rPr>
        <w:t>Yogendra Nath Naskar </w:t>
      </w:r>
      <w:r>
        <w:rPr>
          <w:b w:val="0"/>
          <w:vertAlign w:val="baseline"/>
        </w:rPr>
        <w:t>v </w:t>
      </w:r>
      <w:r>
        <w:rPr>
          <w:vertAlign w:val="baseline"/>
        </w:rPr>
        <w:t>CIT, Calcutta</w:t>
      </w:r>
      <w:r>
        <w:rPr>
          <w:b w:val="0"/>
          <w:vertAlign w:val="superscript"/>
        </w:rPr>
        <w:t>76</w:t>
      </w:r>
      <w:r>
        <w:rPr>
          <w:b w:val="0"/>
          <w:vertAlign w:val="baseline"/>
        </w:rPr>
        <w:t>, </w:t>
      </w:r>
      <w:r>
        <w:rPr>
          <w:vertAlign w:val="baseline"/>
        </w:rPr>
        <w:t>Kamaraju Venkata Krishna Rao </w:t>
      </w:r>
      <w:r>
        <w:rPr>
          <w:b w:val="0"/>
          <w:vertAlign w:val="baseline"/>
        </w:rPr>
        <w:t>v </w:t>
      </w:r>
      <w:r>
        <w:rPr>
          <w:vertAlign w:val="baseline"/>
        </w:rPr>
        <w:t>Sub Collector, Ongole</w:t>
      </w:r>
      <w:r>
        <w:rPr>
          <w:b w:val="0"/>
          <w:vertAlign w:val="superscript"/>
        </w:rPr>
        <w:t>77</w:t>
      </w:r>
      <w:r>
        <w:rPr>
          <w:b w:val="0"/>
          <w:vertAlign w:val="baseline"/>
        </w:rPr>
        <w:t>, </w:t>
      </w:r>
      <w:r>
        <w:rPr>
          <w:vertAlign w:val="baseline"/>
        </w:rPr>
        <w:t>Shiromani Gurdwara Prabandhak Committee</w:t>
      </w:r>
      <w:r>
        <w:rPr>
          <w:b w:val="0"/>
          <w:vertAlign w:val="baseline"/>
        </w:rPr>
        <w:t>, </w:t>
      </w:r>
      <w:r>
        <w:rPr>
          <w:vertAlign w:val="baseline"/>
        </w:rPr>
        <w:t>Amritsar </w:t>
      </w:r>
      <w:r>
        <w:rPr>
          <w:b w:val="0"/>
          <w:vertAlign w:val="baseline"/>
        </w:rPr>
        <w:t>v </w:t>
      </w:r>
      <w:r>
        <w:rPr>
          <w:vertAlign w:val="baseline"/>
        </w:rPr>
        <w:t>Som Nath Dass</w:t>
      </w:r>
      <w:r>
        <w:rPr>
          <w:b w:val="0"/>
          <w:vertAlign w:val="superscript"/>
        </w:rPr>
        <w:t>78</w:t>
      </w:r>
      <w:r>
        <w:rPr>
          <w:b w:val="0"/>
          <w:vertAlign w:val="baseline"/>
        </w:rPr>
        <w:t>; and </w:t>
      </w:r>
      <w:r>
        <w:rPr>
          <w:vertAlign w:val="baseline"/>
        </w:rPr>
        <w:t>Thayarammal </w:t>
      </w:r>
      <w:r>
        <w:rPr>
          <w:b w:val="0"/>
          <w:vertAlign w:val="baseline"/>
        </w:rPr>
        <w:t>v </w:t>
      </w:r>
      <w:r>
        <w:rPr>
          <w:vertAlign w:val="baseline"/>
        </w:rPr>
        <w:t>Kanakammal</w:t>
      </w:r>
      <w:r>
        <w:rPr>
          <w:b w:val="0"/>
          <w:vertAlign w:val="superscript"/>
        </w:rPr>
        <w:t>79</w:t>
      </w:r>
      <w:r>
        <w:rPr>
          <w:b w:val="0"/>
          <w:vertAlign w:val="baseline"/>
        </w:rPr>
        <w:t>.</w:t>
      </w:r>
    </w:p>
    <w:p>
      <w:pPr>
        <w:pStyle w:val="BodyText"/>
      </w:pPr>
    </w:p>
    <w:p>
      <w:pPr>
        <w:pStyle w:val="ListParagraph"/>
        <w:numPr>
          <w:ilvl w:val="0"/>
          <w:numId w:val="3"/>
        </w:numPr>
        <w:tabs>
          <w:tab w:pos="1221" w:val="left" w:leader="none"/>
        </w:tabs>
        <w:spacing w:line="480" w:lineRule="auto" w:before="0" w:after="0"/>
        <w:ind w:left="500" w:right="442" w:firstLine="0"/>
        <w:jc w:val="both"/>
        <w:rPr>
          <w:sz w:val="25"/>
        </w:rPr>
      </w:pPr>
      <w:r>
        <w:rPr>
          <w:sz w:val="25"/>
        </w:rPr>
        <w:t>Mr C S Vaidyanathan, learned Senior Counsel appearing on behalf of the plaintiffs in Suit 5 adopted the submissions of Mr Parasaran that the second plaintiff</w:t>
      </w:r>
      <w:r>
        <w:rPr>
          <w:spacing w:val="10"/>
          <w:sz w:val="25"/>
        </w:rPr>
        <w:t> </w:t>
      </w:r>
      <w:r>
        <w:rPr>
          <w:sz w:val="25"/>
        </w:rPr>
        <w:t>in</w:t>
      </w:r>
      <w:r>
        <w:rPr>
          <w:spacing w:val="11"/>
          <w:sz w:val="25"/>
        </w:rPr>
        <w:t> </w:t>
      </w:r>
      <w:r>
        <w:rPr>
          <w:sz w:val="25"/>
        </w:rPr>
        <w:t>Suit</w:t>
      </w:r>
      <w:r>
        <w:rPr>
          <w:spacing w:val="11"/>
          <w:sz w:val="25"/>
        </w:rPr>
        <w:t> </w:t>
      </w:r>
      <w:r>
        <w:rPr>
          <w:sz w:val="25"/>
        </w:rPr>
        <w:t>5</w:t>
      </w:r>
      <w:r>
        <w:rPr>
          <w:spacing w:val="10"/>
          <w:sz w:val="25"/>
        </w:rPr>
        <w:t> </w:t>
      </w:r>
      <w:r>
        <w:rPr>
          <w:sz w:val="25"/>
        </w:rPr>
        <w:t>is</w:t>
      </w:r>
      <w:r>
        <w:rPr>
          <w:spacing w:val="10"/>
          <w:sz w:val="25"/>
        </w:rPr>
        <w:t> </w:t>
      </w:r>
      <w:r>
        <w:rPr>
          <w:sz w:val="25"/>
        </w:rPr>
        <w:t>a</w:t>
      </w:r>
      <w:r>
        <w:rPr>
          <w:spacing w:val="11"/>
          <w:sz w:val="25"/>
        </w:rPr>
        <w:t> </w:t>
      </w:r>
      <w:r>
        <w:rPr>
          <w:sz w:val="25"/>
        </w:rPr>
        <w:t>juristic</w:t>
      </w:r>
      <w:r>
        <w:rPr>
          <w:spacing w:val="10"/>
          <w:sz w:val="25"/>
        </w:rPr>
        <w:t> </w:t>
      </w:r>
      <w:r>
        <w:rPr>
          <w:sz w:val="25"/>
        </w:rPr>
        <w:t>person.</w:t>
      </w:r>
      <w:r>
        <w:rPr>
          <w:spacing w:val="10"/>
          <w:sz w:val="25"/>
        </w:rPr>
        <w:t> </w:t>
      </w:r>
      <w:r>
        <w:rPr>
          <w:sz w:val="25"/>
        </w:rPr>
        <w:t>He</w:t>
      </w:r>
      <w:r>
        <w:rPr>
          <w:spacing w:val="11"/>
          <w:sz w:val="25"/>
        </w:rPr>
        <w:t> </w:t>
      </w:r>
      <w:r>
        <w:rPr>
          <w:sz w:val="25"/>
        </w:rPr>
        <w:t>urged</w:t>
      </w:r>
      <w:r>
        <w:rPr>
          <w:spacing w:val="11"/>
          <w:sz w:val="25"/>
        </w:rPr>
        <w:t> </w:t>
      </w:r>
      <w:r>
        <w:rPr>
          <w:sz w:val="25"/>
        </w:rPr>
        <w:t>that</w:t>
      </w:r>
      <w:r>
        <w:rPr>
          <w:spacing w:val="11"/>
          <w:sz w:val="25"/>
        </w:rPr>
        <w:t> </w:t>
      </w:r>
      <w:r>
        <w:rPr>
          <w:sz w:val="25"/>
        </w:rPr>
        <w:t>there</w:t>
      </w:r>
      <w:r>
        <w:rPr>
          <w:spacing w:val="7"/>
          <w:sz w:val="25"/>
        </w:rPr>
        <w:t> </w:t>
      </w:r>
      <w:r>
        <w:rPr>
          <w:sz w:val="25"/>
        </w:rPr>
        <w:t>is</w:t>
      </w:r>
      <w:r>
        <w:rPr>
          <w:spacing w:val="10"/>
          <w:sz w:val="25"/>
        </w:rPr>
        <w:t> </w:t>
      </w:r>
      <w:r>
        <w:rPr>
          <w:sz w:val="25"/>
        </w:rPr>
        <w:t>a</w:t>
      </w:r>
      <w:r>
        <w:rPr>
          <w:spacing w:val="11"/>
          <w:sz w:val="25"/>
        </w:rPr>
        <w:t> </w:t>
      </w:r>
      <w:r>
        <w:rPr>
          <w:sz w:val="25"/>
        </w:rPr>
        <w:t>distinction</w:t>
      </w:r>
      <w:r>
        <w:rPr>
          <w:spacing w:val="11"/>
          <w:sz w:val="25"/>
        </w:rPr>
        <w:t> </w:t>
      </w:r>
      <w:r>
        <w:rPr>
          <w:sz w:val="25"/>
        </w:rPr>
        <w:t>between:</w:t>
      </w:r>
    </w:p>
    <w:p>
      <w:pPr>
        <w:pStyle w:val="BodyText"/>
        <w:spacing w:line="480" w:lineRule="auto"/>
        <w:ind w:left="500" w:right="441"/>
        <w:jc w:val="both"/>
      </w:pPr>
      <w:r>
        <w:rPr/>
        <w:t>(i) the land </w:t>
      </w:r>
      <w:r>
        <w:rPr>
          <w:b/>
        </w:rPr>
        <w:t>being </w:t>
      </w:r>
      <w:r>
        <w:rPr/>
        <w:t>a deity; (ii) the land being the </w:t>
      </w:r>
      <w:r>
        <w:rPr>
          <w:b/>
        </w:rPr>
        <w:t>abode </w:t>
      </w:r>
      <w:r>
        <w:rPr/>
        <w:t>of a deity; and (iii) the land being</w:t>
      </w:r>
      <w:r>
        <w:rPr>
          <w:spacing w:val="42"/>
        </w:rPr>
        <w:t> </w:t>
      </w:r>
      <w:r>
        <w:rPr/>
        <w:t>the</w:t>
      </w:r>
      <w:r>
        <w:rPr>
          <w:spacing w:val="41"/>
        </w:rPr>
        <w:t> </w:t>
      </w:r>
      <w:r>
        <w:rPr>
          <w:b/>
        </w:rPr>
        <w:t>property</w:t>
      </w:r>
      <w:r>
        <w:rPr>
          <w:b/>
          <w:spacing w:val="37"/>
        </w:rPr>
        <w:t> </w:t>
      </w:r>
      <w:r>
        <w:rPr/>
        <w:t>of</w:t>
      </w:r>
      <w:r>
        <w:rPr>
          <w:spacing w:val="41"/>
        </w:rPr>
        <w:t> </w:t>
      </w:r>
      <w:r>
        <w:rPr/>
        <w:t>a</w:t>
      </w:r>
      <w:r>
        <w:rPr>
          <w:spacing w:val="43"/>
        </w:rPr>
        <w:t> </w:t>
      </w:r>
      <w:r>
        <w:rPr/>
        <w:t>deity.</w:t>
      </w:r>
      <w:r>
        <w:rPr>
          <w:spacing w:val="41"/>
        </w:rPr>
        <w:t> </w:t>
      </w:r>
      <w:r>
        <w:rPr/>
        <w:t>It</w:t>
      </w:r>
      <w:r>
        <w:rPr>
          <w:spacing w:val="42"/>
        </w:rPr>
        <w:t> </w:t>
      </w:r>
      <w:r>
        <w:rPr/>
        <w:t>was</w:t>
      </w:r>
      <w:r>
        <w:rPr>
          <w:spacing w:val="40"/>
        </w:rPr>
        <w:t> </w:t>
      </w:r>
      <w:r>
        <w:rPr/>
        <w:t>urged</w:t>
      </w:r>
      <w:r>
        <w:rPr>
          <w:spacing w:val="42"/>
        </w:rPr>
        <w:t> </w:t>
      </w:r>
      <w:r>
        <w:rPr/>
        <w:t>that</w:t>
      </w:r>
      <w:r>
        <w:rPr>
          <w:spacing w:val="42"/>
        </w:rPr>
        <w:t> </w:t>
      </w:r>
      <w:r>
        <w:rPr/>
        <w:t>in</w:t>
      </w:r>
      <w:r>
        <w:rPr>
          <w:spacing w:val="39"/>
        </w:rPr>
        <w:t> </w:t>
      </w:r>
      <w:r>
        <w:rPr/>
        <w:t>the</w:t>
      </w:r>
      <w:r>
        <w:rPr>
          <w:spacing w:val="42"/>
        </w:rPr>
        <w:t> </w:t>
      </w:r>
      <w:r>
        <w:rPr/>
        <w:t>present</w:t>
      </w:r>
      <w:r>
        <w:rPr>
          <w:spacing w:val="40"/>
        </w:rPr>
        <w:t> </w:t>
      </w:r>
      <w:r>
        <w:rPr/>
        <w:t>case,</w:t>
      </w:r>
      <w:r>
        <w:rPr>
          <w:spacing w:val="41"/>
        </w:rPr>
        <w:t> </w:t>
      </w:r>
      <w:r>
        <w:rPr/>
        <w:t>the</w:t>
      </w:r>
      <w:r>
        <w:rPr>
          <w:spacing w:val="41"/>
        </w:rPr>
        <w:t> </w:t>
      </w:r>
      <w:r>
        <w:rPr/>
        <w:t>land</w:t>
      </w:r>
    </w:p>
    <w:p>
      <w:pPr>
        <w:pStyle w:val="BodyText"/>
        <w:spacing w:before="4"/>
        <w:rPr>
          <w:sz w:val="23"/>
        </w:rPr>
      </w:pPr>
      <w:r>
        <w:rPr/>
        <w:pict>
          <v:rect style="position:absolute;margin-left:72.024002pt;margin-top:15.408585pt;width:144.020pt;height:.599980pt;mso-position-horizontal-relative:page;mso-position-vertical-relative:paragraph;z-index:-1570304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66</w:t>
      </w:r>
      <w:r>
        <w:rPr>
          <w:sz w:val="18"/>
          <w:vertAlign w:val="baseline"/>
        </w:rPr>
        <w:t> ILR 1888 12 Bom 247</w:t>
      </w:r>
    </w:p>
    <w:p>
      <w:pPr>
        <w:spacing w:line="207" w:lineRule="exact" w:before="2"/>
        <w:ind w:left="500" w:right="0" w:firstLine="0"/>
        <w:jc w:val="left"/>
        <w:rPr>
          <w:sz w:val="18"/>
        </w:rPr>
      </w:pPr>
      <w:r>
        <w:rPr>
          <w:sz w:val="18"/>
          <w:vertAlign w:val="superscript"/>
        </w:rPr>
        <w:t>67</w:t>
      </w:r>
      <w:r>
        <w:rPr>
          <w:sz w:val="18"/>
          <w:vertAlign w:val="baseline"/>
        </w:rPr>
        <w:t> ILR 1909 37 Cal 128</w:t>
      </w:r>
    </w:p>
    <w:p>
      <w:pPr>
        <w:spacing w:line="206" w:lineRule="exact" w:before="0"/>
        <w:ind w:left="500" w:right="0" w:firstLine="0"/>
        <w:jc w:val="left"/>
        <w:rPr>
          <w:sz w:val="18"/>
        </w:rPr>
      </w:pPr>
      <w:r>
        <w:rPr>
          <w:sz w:val="18"/>
          <w:vertAlign w:val="superscript"/>
        </w:rPr>
        <w:t>68</w:t>
      </w:r>
      <w:r>
        <w:rPr>
          <w:sz w:val="18"/>
          <w:vertAlign w:val="baseline"/>
        </w:rPr>
        <w:t> AIR 1920 Oudh 258</w:t>
      </w:r>
    </w:p>
    <w:p>
      <w:pPr>
        <w:spacing w:line="206" w:lineRule="exact" w:before="0"/>
        <w:ind w:left="500" w:right="0" w:firstLine="0"/>
        <w:jc w:val="left"/>
        <w:rPr>
          <w:sz w:val="18"/>
        </w:rPr>
      </w:pPr>
      <w:r>
        <w:rPr>
          <w:sz w:val="18"/>
          <w:vertAlign w:val="superscript"/>
        </w:rPr>
        <w:t>69</w:t>
      </w:r>
      <w:r>
        <w:rPr>
          <w:sz w:val="18"/>
          <w:vertAlign w:val="baseline"/>
        </w:rPr>
        <w:t> (1922) 36 CLJ 478</w:t>
      </w:r>
    </w:p>
    <w:p>
      <w:pPr>
        <w:spacing w:line="207" w:lineRule="exact" w:before="0"/>
        <w:ind w:left="500" w:right="0" w:firstLine="0"/>
        <w:jc w:val="left"/>
        <w:rPr>
          <w:sz w:val="18"/>
        </w:rPr>
      </w:pPr>
      <w:r>
        <w:rPr>
          <w:sz w:val="18"/>
          <w:vertAlign w:val="superscript"/>
        </w:rPr>
        <w:t>70</w:t>
      </w:r>
      <w:r>
        <w:rPr>
          <w:sz w:val="18"/>
          <w:vertAlign w:val="baseline"/>
        </w:rPr>
        <w:t> (1931) 61 Mad. LJ 285</w:t>
      </w:r>
    </w:p>
    <w:p>
      <w:pPr>
        <w:spacing w:line="207" w:lineRule="exact" w:before="1"/>
        <w:ind w:left="500" w:right="0" w:firstLine="0"/>
        <w:jc w:val="left"/>
        <w:rPr>
          <w:sz w:val="18"/>
        </w:rPr>
      </w:pPr>
      <w:r>
        <w:rPr>
          <w:sz w:val="18"/>
          <w:vertAlign w:val="superscript"/>
        </w:rPr>
        <w:t>71</w:t>
      </w:r>
      <w:r>
        <w:rPr>
          <w:sz w:val="18"/>
          <w:vertAlign w:val="baseline"/>
        </w:rPr>
        <w:t> 1939 1 MLJ 134</w:t>
      </w:r>
    </w:p>
    <w:p>
      <w:pPr>
        <w:spacing w:line="206" w:lineRule="exact" w:before="0"/>
        <w:ind w:left="500" w:right="0" w:firstLine="0"/>
        <w:jc w:val="left"/>
        <w:rPr>
          <w:sz w:val="18"/>
        </w:rPr>
      </w:pPr>
      <w:r>
        <w:rPr>
          <w:sz w:val="18"/>
          <w:vertAlign w:val="superscript"/>
        </w:rPr>
        <w:t>72</w:t>
      </w:r>
      <w:r>
        <w:rPr>
          <w:sz w:val="18"/>
          <w:vertAlign w:val="baseline"/>
        </w:rPr>
        <w:t> ILR 1950 Mad 799</w:t>
      </w:r>
    </w:p>
    <w:p>
      <w:pPr>
        <w:spacing w:line="206" w:lineRule="exact" w:before="0"/>
        <w:ind w:left="500" w:right="0" w:firstLine="0"/>
        <w:jc w:val="left"/>
        <w:rPr>
          <w:sz w:val="18"/>
        </w:rPr>
      </w:pPr>
      <w:r>
        <w:rPr>
          <w:sz w:val="18"/>
          <w:vertAlign w:val="superscript"/>
        </w:rPr>
        <w:t>73</w:t>
      </w:r>
      <w:r>
        <w:rPr>
          <w:sz w:val="18"/>
          <w:vertAlign w:val="baseline"/>
        </w:rPr>
        <w:t> 1962 Supp 2 SCR 276</w:t>
      </w:r>
    </w:p>
    <w:p>
      <w:pPr>
        <w:spacing w:line="207" w:lineRule="exact" w:before="0"/>
        <w:ind w:left="500" w:right="0" w:firstLine="0"/>
        <w:jc w:val="left"/>
        <w:rPr>
          <w:sz w:val="18"/>
        </w:rPr>
      </w:pPr>
      <w:r>
        <w:rPr>
          <w:sz w:val="18"/>
          <w:vertAlign w:val="superscript"/>
        </w:rPr>
        <w:t>74</w:t>
      </w:r>
      <w:r>
        <w:rPr>
          <w:sz w:val="18"/>
          <w:vertAlign w:val="baseline"/>
        </w:rPr>
        <w:t> (1964) 2 ANWR 457</w:t>
      </w:r>
    </w:p>
    <w:p>
      <w:pPr>
        <w:spacing w:before="2"/>
        <w:ind w:left="500" w:right="0" w:firstLine="0"/>
        <w:jc w:val="left"/>
        <w:rPr>
          <w:sz w:val="18"/>
        </w:rPr>
      </w:pPr>
      <w:r>
        <w:rPr>
          <w:sz w:val="18"/>
          <w:vertAlign w:val="superscript"/>
        </w:rPr>
        <w:t>75</w:t>
      </w:r>
      <w:r>
        <w:rPr>
          <w:sz w:val="18"/>
          <w:vertAlign w:val="baseline"/>
        </w:rPr>
        <w:t> (1966) 3 SCR</w:t>
      </w:r>
      <w:r>
        <w:rPr>
          <w:spacing w:val="-9"/>
          <w:sz w:val="18"/>
          <w:vertAlign w:val="baseline"/>
        </w:rPr>
        <w:t> </w:t>
      </w:r>
      <w:r>
        <w:rPr>
          <w:sz w:val="18"/>
          <w:vertAlign w:val="baseline"/>
        </w:rPr>
        <w:t>242</w:t>
      </w:r>
    </w:p>
    <w:p>
      <w:pPr>
        <w:spacing w:line="207" w:lineRule="exact" w:before="0"/>
        <w:ind w:left="500" w:right="0" w:firstLine="0"/>
        <w:jc w:val="left"/>
        <w:rPr>
          <w:sz w:val="18"/>
        </w:rPr>
      </w:pPr>
      <w:r>
        <w:rPr>
          <w:sz w:val="18"/>
          <w:vertAlign w:val="superscript"/>
        </w:rPr>
        <w:t>76</w:t>
      </w:r>
      <w:r>
        <w:rPr>
          <w:sz w:val="18"/>
          <w:vertAlign w:val="baseline"/>
        </w:rPr>
        <w:t> (1969) 1 SCC</w:t>
      </w:r>
      <w:r>
        <w:rPr>
          <w:spacing w:val="-9"/>
          <w:sz w:val="18"/>
          <w:vertAlign w:val="baseline"/>
        </w:rPr>
        <w:t> </w:t>
      </w:r>
      <w:r>
        <w:rPr>
          <w:sz w:val="18"/>
          <w:vertAlign w:val="baseline"/>
        </w:rPr>
        <w:t>555</w:t>
      </w:r>
    </w:p>
    <w:p>
      <w:pPr>
        <w:spacing w:line="206" w:lineRule="exact" w:before="0"/>
        <w:ind w:left="500" w:right="0" w:firstLine="0"/>
        <w:jc w:val="left"/>
        <w:rPr>
          <w:sz w:val="18"/>
        </w:rPr>
      </w:pPr>
      <w:r>
        <w:rPr>
          <w:sz w:val="18"/>
          <w:vertAlign w:val="superscript"/>
        </w:rPr>
        <w:t>77</w:t>
      </w:r>
      <w:r>
        <w:rPr>
          <w:sz w:val="18"/>
          <w:vertAlign w:val="baseline"/>
        </w:rPr>
        <w:t> (1969) 1 SCR</w:t>
      </w:r>
      <w:r>
        <w:rPr>
          <w:spacing w:val="-9"/>
          <w:sz w:val="18"/>
          <w:vertAlign w:val="baseline"/>
        </w:rPr>
        <w:t> </w:t>
      </w:r>
      <w:r>
        <w:rPr>
          <w:sz w:val="18"/>
          <w:vertAlign w:val="baseline"/>
        </w:rPr>
        <w:t>624</w:t>
      </w:r>
    </w:p>
    <w:p>
      <w:pPr>
        <w:spacing w:line="207" w:lineRule="exact" w:before="0"/>
        <w:ind w:left="500" w:right="0" w:firstLine="0"/>
        <w:jc w:val="left"/>
        <w:rPr>
          <w:sz w:val="18"/>
        </w:rPr>
      </w:pPr>
      <w:r>
        <w:rPr>
          <w:sz w:val="18"/>
          <w:vertAlign w:val="superscript"/>
        </w:rPr>
        <w:t>78</w:t>
      </w:r>
      <w:r>
        <w:rPr>
          <w:sz w:val="18"/>
          <w:vertAlign w:val="baseline"/>
        </w:rPr>
        <w:t>  (2000) 4 SCC</w:t>
      </w:r>
      <w:r>
        <w:rPr>
          <w:spacing w:val="-25"/>
          <w:sz w:val="18"/>
          <w:vertAlign w:val="baseline"/>
        </w:rPr>
        <w:t> </w:t>
      </w:r>
      <w:r>
        <w:rPr>
          <w:sz w:val="18"/>
          <w:vertAlign w:val="baseline"/>
        </w:rPr>
        <w:t>146</w:t>
      </w:r>
    </w:p>
    <w:p>
      <w:pPr>
        <w:spacing w:before="2"/>
        <w:ind w:left="500" w:right="0" w:firstLine="0"/>
        <w:jc w:val="left"/>
        <w:rPr>
          <w:sz w:val="18"/>
        </w:rPr>
      </w:pPr>
      <w:r>
        <w:rPr>
          <w:sz w:val="18"/>
          <w:vertAlign w:val="superscript"/>
        </w:rPr>
        <w:t>79</w:t>
      </w:r>
      <w:r>
        <w:rPr>
          <w:sz w:val="18"/>
          <w:vertAlign w:val="baseline"/>
        </w:rPr>
        <w:t> (2005) 1 SCC</w:t>
      </w:r>
      <w:r>
        <w:rPr>
          <w:spacing w:val="-9"/>
          <w:sz w:val="18"/>
          <w:vertAlign w:val="baseline"/>
        </w:rPr>
        <w:t> </w:t>
      </w:r>
      <w:r>
        <w:rPr>
          <w:sz w:val="18"/>
          <w:vertAlign w:val="baseline"/>
        </w:rPr>
        <w:t>457</w:t>
      </w:r>
    </w:p>
    <w:p>
      <w:pPr>
        <w:spacing w:after="0"/>
        <w:jc w:val="left"/>
        <w:rPr>
          <w:sz w:val="18"/>
        </w:rPr>
        <w:sectPr>
          <w:pgSz w:w="11910" w:h="16840"/>
          <w:pgMar w:header="721" w:footer="1014" w:top="1300" w:bottom="1200" w:left="940" w:right="1000"/>
        </w:sectPr>
      </w:pPr>
    </w:p>
    <w:p>
      <w:pPr>
        <w:pStyle w:val="BodyText"/>
        <w:spacing w:line="480" w:lineRule="auto" w:before="124"/>
        <w:ind w:left="500" w:right="437"/>
        <w:jc w:val="both"/>
      </w:pPr>
      <w:r>
        <w:rPr/>
        <w:t>constituting the disputed site, is an object of worship and is itself the deity. Mr Vaidyanathan urged that the determination of the second plaintiff as a juristic person renders infructuous questions of possession, joint-possession or adverse possession as the land itself is a legal person and no other person can possess a legal personality. It was urged that the mere fact that a mosque existed at the disputed site cannot evidence a claim of either title or joint possession on behalf of the Sunni Waqf Board. By an extension of the same argument, once it is held that the disputed site is a juristic person, no partition of the land can be affected as a deity, recognised as a legal person is impartible and cannot be divided. Any division of the property will amount to a destruction of the deity. It is on this basis that the impugned judgment of the High Court directing a three-way division of the property was challenged. Reliance was placed in this regard on the decisions in </w:t>
      </w:r>
      <w:r>
        <w:rPr>
          <w:b/>
        </w:rPr>
        <w:t>Pramatha Nath Mullick </w:t>
      </w:r>
      <w:r>
        <w:rPr/>
        <w:t>v </w:t>
      </w:r>
      <w:r>
        <w:rPr>
          <w:b/>
        </w:rPr>
        <w:t>Pradyumna Kumar Mullick</w:t>
      </w:r>
      <w:r>
        <w:rPr>
          <w:vertAlign w:val="superscript"/>
        </w:rPr>
        <w:t>80</w:t>
      </w:r>
      <w:r>
        <w:rPr>
          <w:vertAlign w:val="baseline"/>
        </w:rPr>
        <w:t>, </w:t>
      </w:r>
      <w:r>
        <w:rPr>
          <w:b/>
          <w:vertAlign w:val="baseline"/>
        </w:rPr>
        <w:t>Idol of Thakurji Shri Govind Deoji Maharaj, Jaipur </w:t>
      </w:r>
      <w:r>
        <w:rPr>
          <w:vertAlign w:val="baseline"/>
        </w:rPr>
        <w:t>v </w:t>
      </w:r>
      <w:r>
        <w:rPr>
          <w:b/>
          <w:vertAlign w:val="baseline"/>
        </w:rPr>
        <w:t>Board of Revenue, Rajasthan</w:t>
      </w:r>
      <w:r>
        <w:rPr>
          <w:vertAlign w:val="superscript"/>
        </w:rPr>
        <w:t>81</w:t>
      </w:r>
      <w:r>
        <w:rPr>
          <w:vertAlign w:val="baseline"/>
        </w:rPr>
        <w:t>, and </w:t>
      </w:r>
      <w:r>
        <w:rPr>
          <w:b/>
          <w:vertAlign w:val="baseline"/>
        </w:rPr>
        <w:t>Profulla Chorone Requitte </w:t>
      </w:r>
      <w:r>
        <w:rPr>
          <w:vertAlign w:val="baseline"/>
        </w:rPr>
        <w:t>v </w:t>
      </w:r>
      <w:r>
        <w:rPr>
          <w:b/>
          <w:vertAlign w:val="baseline"/>
        </w:rPr>
        <w:t>Satya Chorone</w:t>
      </w:r>
      <w:r>
        <w:rPr>
          <w:b/>
          <w:spacing w:val="-6"/>
          <w:vertAlign w:val="baseline"/>
        </w:rPr>
        <w:t> </w:t>
      </w:r>
      <w:r>
        <w:rPr>
          <w:b/>
          <w:vertAlign w:val="baseline"/>
        </w:rPr>
        <w:t>Requitte</w:t>
      </w:r>
      <w:r>
        <w:rPr>
          <w:vertAlign w:val="superscript"/>
        </w:rPr>
        <w:t>82</w:t>
      </w:r>
      <w:r>
        <w:rPr>
          <w:vertAlign w:val="baseline"/>
        </w:rPr>
        <w:t>.</w:t>
      </w:r>
    </w:p>
    <w:p>
      <w:pPr>
        <w:pStyle w:val="ListParagraph"/>
        <w:numPr>
          <w:ilvl w:val="0"/>
          <w:numId w:val="3"/>
        </w:numPr>
        <w:tabs>
          <w:tab w:pos="1221" w:val="left" w:leader="none"/>
        </w:tabs>
        <w:spacing w:line="480" w:lineRule="auto" w:before="288" w:after="0"/>
        <w:ind w:left="500" w:right="437" w:firstLine="0"/>
        <w:jc w:val="both"/>
        <w:rPr>
          <w:b/>
          <w:sz w:val="25"/>
        </w:rPr>
      </w:pPr>
      <w:r>
        <w:rPr>
          <w:sz w:val="25"/>
        </w:rPr>
        <w:t>Mr Vaidyanathan submitted that the disputed property, being a legal person, is </w:t>
      </w:r>
      <w:r>
        <w:rPr>
          <w:i/>
          <w:sz w:val="25"/>
        </w:rPr>
        <w:t>res nullius</w:t>
      </w:r>
      <w:r>
        <w:rPr>
          <w:sz w:val="25"/>
        </w:rPr>
        <w:t>. Since the disputed property is a juristic person, it is not alienable. It was contended that land which is </w:t>
      </w:r>
      <w:r>
        <w:rPr>
          <w:i/>
          <w:sz w:val="25"/>
        </w:rPr>
        <w:t>res nullius </w:t>
      </w:r>
      <w:r>
        <w:rPr>
          <w:sz w:val="25"/>
        </w:rPr>
        <w:t>or </w:t>
      </w:r>
      <w:r>
        <w:rPr>
          <w:i/>
          <w:sz w:val="25"/>
        </w:rPr>
        <w:t>res extra </w:t>
      </w:r>
      <w:r>
        <w:rPr>
          <w:i/>
          <w:sz w:val="25"/>
        </w:rPr>
        <w:t>commercium </w:t>
      </w:r>
      <w:r>
        <w:rPr>
          <w:sz w:val="25"/>
        </w:rPr>
        <w:t>cannot be acquired by adverse possession. It was urged that even  if the image of the idol is broken, a deity is immortal and thus, the construction of the mosque on the land did not take away from its character as a deity. Reliance was</w:t>
      </w:r>
      <w:r>
        <w:rPr>
          <w:spacing w:val="19"/>
          <w:sz w:val="25"/>
        </w:rPr>
        <w:t> </w:t>
      </w:r>
      <w:r>
        <w:rPr>
          <w:sz w:val="25"/>
        </w:rPr>
        <w:t>placed</w:t>
      </w:r>
      <w:r>
        <w:rPr>
          <w:spacing w:val="19"/>
          <w:sz w:val="25"/>
        </w:rPr>
        <w:t> </w:t>
      </w:r>
      <w:r>
        <w:rPr>
          <w:sz w:val="25"/>
        </w:rPr>
        <w:t>on</w:t>
      </w:r>
      <w:r>
        <w:rPr>
          <w:spacing w:val="20"/>
          <w:sz w:val="25"/>
        </w:rPr>
        <w:t> </w:t>
      </w:r>
      <w:r>
        <w:rPr>
          <w:sz w:val="25"/>
        </w:rPr>
        <w:t>the</w:t>
      </w:r>
      <w:r>
        <w:rPr>
          <w:spacing w:val="20"/>
          <w:sz w:val="25"/>
        </w:rPr>
        <w:t> </w:t>
      </w:r>
      <w:r>
        <w:rPr>
          <w:sz w:val="25"/>
        </w:rPr>
        <w:t>decisions</w:t>
      </w:r>
      <w:r>
        <w:rPr>
          <w:spacing w:val="19"/>
          <w:sz w:val="25"/>
        </w:rPr>
        <w:t> </w:t>
      </w:r>
      <w:r>
        <w:rPr>
          <w:sz w:val="25"/>
        </w:rPr>
        <w:t>in</w:t>
      </w:r>
      <w:r>
        <w:rPr>
          <w:spacing w:val="23"/>
          <w:sz w:val="25"/>
        </w:rPr>
        <w:t> </w:t>
      </w:r>
      <w:r>
        <w:rPr>
          <w:b/>
          <w:sz w:val="25"/>
        </w:rPr>
        <w:t>Mahant</w:t>
      </w:r>
      <w:r>
        <w:rPr>
          <w:b/>
          <w:spacing w:val="20"/>
          <w:sz w:val="25"/>
        </w:rPr>
        <w:t> </w:t>
      </w:r>
      <w:r>
        <w:rPr>
          <w:b/>
          <w:sz w:val="25"/>
        </w:rPr>
        <w:t>Ram</w:t>
      </w:r>
      <w:r>
        <w:rPr>
          <w:b/>
          <w:spacing w:val="18"/>
          <w:sz w:val="25"/>
        </w:rPr>
        <w:t> </w:t>
      </w:r>
      <w:r>
        <w:rPr>
          <w:b/>
          <w:sz w:val="25"/>
        </w:rPr>
        <w:t>Saroop</w:t>
      </w:r>
      <w:r>
        <w:rPr>
          <w:b/>
          <w:spacing w:val="21"/>
          <w:sz w:val="25"/>
        </w:rPr>
        <w:t> </w:t>
      </w:r>
      <w:r>
        <w:rPr>
          <w:b/>
          <w:sz w:val="25"/>
        </w:rPr>
        <w:t>Dasji</w:t>
      </w:r>
      <w:r>
        <w:rPr>
          <w:b/>
          <w:spacing w:val="23"/>
          <w:sz w:val="25"/>
        </w:rPr>
        <w:t> </w:t>
      </w:r>
      <w:r>
        <w:rPr>
          <w:sz w:val="25"/>
        </w:rPr>
        <w:t>v</w:t>
      </w:r>
      <w:r>
        <w:rPr>
          <w:spacing w:val="17"/>
          <w:sz w:val="25"/>
        </w:rPr>
        <w:t> </w:t>
      </w:r>
      <w:r>
        <w:rPr>
          <w:b/>
          <w:sz w:val="25"/>
        </w:rPr>
        <w:t>SP</w:t>
      </w:r>
      <w:r>
        <w:rPr>
          <w:b/>
          <w:spacing w:val="19"/>
          <w:sz w:val="25"/>
        </w:rPr>
        <w:t> </w:t>
      </w:r>
      <w:r>
        <w:rPr>
          <w:b/>
          <w:sz w:val="25"/>
        </w:rPr>
        <w:t>Sahi,</w:t>
      </w:r>
      <w:r>
        <w:rPr>
          <w:b/>
          <w:spacing w:val="19"/>
          <w:sz w:val="25"/>
        </w:rPr>
        <w:t> </w:t>
      </w:r>
      <w:r>
        <w:rPr>
          <w:b/>
          <w:sz w:val="25"/>
        </w:rPr>
        <w:t>Special</w:t>
      </w:r>
    </w:p>
    <w:p>
      <w:pPr>
        <w:pStyle w:val="BodyText"/>
        <w:spacing w:before="2"/>
        <w:rPr>
          <w:b/>
          <w:sz w:val="21"/>
        </w:rPr>
      </w:pPr>
      <w:r>
        <w:rPr/>
        <w:pict>
          <v:rect style="position:absolute;margin-left:72.024002pt;margin-top:14.152069pt;width:144.020pt;height:.60004pt;mso-position-horizontal-relative:page;mso-position-vertical-relative:paragraph;z-index:-15702528;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80</w:t>
      </w:r>
      <w:r>
        <w:rPr>
          <w:sz w:val="18"/>
          <w:vertAlign w:val="baseline"/>
        </w:rPr>
        <w:t> (1924-25) 52 IA 245</w:t>
      </w:r>
    </w:p>
    <w:p>
      <w:pPr>
        <w:spacing w:line="207" w:lineRule="exact" w:before="0"/>
        <w:ind w:left="500" w:right="0" w:firstLine="0"/>
        <w:jc w:val="left"/>
        <w:rPr>
          <w:sz w:val="18"/>
        </w:rPr>
      </w:pPr>
      <w:r>
        <w:rPr>
          <w:sz w:val="18"/>
          <w:vertAlign w:val="superscript"/>
        </w:rPr>
        <w:t>81</w:t>
      </w:r>
      <w:r>
        <w:rPr>
          <w:sz w:val="18"/>
          <w:vertAlign w:val="baseline"/>
        </w:rPr>
        <w:t> (1965) 1 SCR 96</w:t>
      </w:r>
    </w:p>
    <w:p>
      <w:pPr>
        <w:spacing w:before="1"/>
        <w:ind w:left="500" w:right="0" w:firstLine="0"/>
        <w:jc w:val="left"/>
        <w:rPr>
          <w:sz w:val="18"/>
        </w:rPr>
      </w:pPr>
      <w:r>
        <w:rPr>
          <w:sz w:val="18"/>
          <w:vertAlign w:val="superscript"/>
        </w:rPr>
        <w:t>82</w:t>
      </w:r>
      <w:r>
        <w:rPr>
          <w:sz w:val="18"/>
          <w:vertAlign w:val="baseline"/>
        </w:rPr>
        <w:t> (1979) 3 SCC 409</w:t>
      </w:r>
    </w:p>
    <w:p>
      <w:pPr>
        <w:spacing w:after="0"/>
        <w:jc w:val="left"/>
        <w:rPr>
          <w:sz w:val="18"/>
        </w:rPr>
        <w:sectPr>
          <w:pgSz w:w="11910" w:h="16840"/>
          <w:pgMar w:header="721" w:footer="1014" w:top="1300" w:bottom="1200" w:left="940" w:right="1000"/>
        </w:sectPr>
      </w:pPr>
    </w:p>
    <w:p>
      <w:pPr>
        <w:pStyle w:val="Heading5"/>
        <w:spacing w:line="480" w:lineRule="auto" w:before="121"/>
        <w:ind w:left="500" w:right="435" w:firstLine="0"/>
        <w:rPr>
          <w:b w:val="0"/>
        </w:rPr>
      </w:pPr>
      <w:r>
        <w:rPr/>
        <w:t>Officer-in-Charge of the Hindu Religious Trusts</w:t>
      </w:r>
      <w:r>
        <w:rPr>
          <w:b w:val="0"/>
          <w:vertAlign w:val="superscript"/>
        </w:rPr>
        <w:t>83</w:t>
      </w:r>
      <w:r>
        <w:rPr>
          <w:b w:val="0"/>
          <w:vertAlign w:val="baseline"/>
        </w:rPr>
        <w:t>, </w:t>
      </w:r>
      <w:r>
        <w:rPr>
          <w:vertAlign w:val="baseline"/>
        </w:rPr>
        <w:t>Ram Jankijee Deities </w:t>
      </w:r>
      <w:r>
        <w:rPr>
          <w:b w:val="0"/>
          <w:vertAlign w:val="baseline"/>
        </w:rPr>
        <w:t>v </w:t>
      </w:r>
      <w:r>
        <w:rPr>
          <w:vertAlign w:val="baseline"/>
        </w:rPr>
        <w:t>State of Bihar</w:t>
      </w:r>
      <w:r>
        <w:rPr>
          <w:b w:val="0"/>
          <w:vertAlign w:val="superscript"/>
        </w:rPr>
        <w:t>84</w:t>
      </w:r>
      <w:r>
        <w:rPr>
          <w:b w:val="0"/>
          <w:vertAlign w:val="baseline"/>
        </w:rPr>
        <w:t>, </w:t>
      </w:r>
      <w:r>
        <w:rPr>
          <w:vertAlign w:val="baseline"/>
        </w:rPr>
        <w:t>Amrendra Pratap Singh </w:t>
      </w:r>
      <w:r>
        <w:rPr>
          <w:b w:val="0"/>
          <w:vertAlign w:val="baseline"/>
        </w:rPr>
        <w:t>v </w:t>
      </w:r>
      <w:r>
        <w:rPr>
          <w:vertAlign w:val="baseline"/>
        </w:rPr>
        <w:t>Tej Bahadur Prajapati</w:t>
      </w:r>
      <w:r>
        <w:rPr>
          <w:b w:val="0"/>
          <w:vertAlign w:val="superscript"/>
        </w:rPr>
        <w:t>85</w:t>
      </w:r>
      <w:r>
        <w:rPr>
          <w:b w:val="0"/>
          <w:vertAlign w:val="baseline"/>
        </w:rPr>
        <w:t>, </w:t>
      </w:r>
      <w:r>
        <w:rPr>
          <w:vertAlign w:val="baseline"/>
        </w:rPr>
        <w:t>Thayarammal </w:t>
      </w:r>
      <w:r>
        <w:rPr>
          <w:b w:val="0"/>
          <w:vertAlign w:val="baseline"/>
        </w:rPr>
        <w:t>v </w:t>
      </w:r>
      <w:r>
        <w:rPr>
          <w:vertAlign w:val="baseline"/>
        </w:rPr>
        <w:t>Kanakammal</w:t>
      </w:r>
      <w:r>
        <w:rPr>
          <w:b w:val="0"/>
          <w:vertAlign w:val="superscript"/>
        </w:rPr>
        <w:t>86</w:t>
      </w:r>
      <w:r>
        <w:rPr>
          <w:b w:val="0"/>
          <w:vertAlign w:val="baseline"/>
        </w:rPr>
        <w:t> and </w:t>
      </w:r>
      <w:r>
        <w:rPr>
          <w:vertAlign w:val="baseline"/>
        </w:rPr>
        <w:t>Rajasthan Housing Board </w:t>
      </w:r>
      <w:r>
        <w:rPr>
          <w:b w:val="0"/>
          <w:vertAlign w:val="baseline"/>
        </w:rPr>
        <w:t>v </w:t>
      </w:r>
      <w:r>
        <w:rPr>
          <w:vertAlign w:val="baseline"/>
        </w:rPr>
        <w:t>New Pink City Nirman Sahkari Samiti Limited</w:t>
      </w:r>
      <w:r>
        <w:rPr>
          <w:b w:val="0"/>
          <w:vertAlign w:val="superscript"/>
        </w:rPr>
        <w:t>87</w:t>
      </w:r>
      <w:r>
        <w:rPr>
          <w:b w:val="0"/>
          <w:vertAlign w:val="baseline"/>
        </w:rPr>
        <w:t>.</w:t>
      </w:r>
    </w:p>
    <w:p>
      <w:pPr>
        <w:pStyle w:val="BodyText"/>
        <w:rPr>
          <w:sz w:val="32"/>
        </w:rPr>
      </w:pPr>
    </w:p>
    <w:p>
      <w:pPr>
        <w:pStyle w:val="ListParagraph"/>
        <w:numPr>
          <w:ilvl w:val="0"/>
          <w:numId w:val="3"/>
        </w:numPr>
        <w:tabs>
          <w:tab w:pos="1221" w:val="left" w:leader="none"/>
        </w:tabs>
        <w:spacing w:line="480" w:lineRule="auto" w:before="210" w:after="0"/>
        <w:ind w:left="500" w:right="434" w:firstLine="0"/>
        <w:jc w:val="both"/>
        <w:rPr>
          <w:sz w:val="25"/>
        </w:rPr>
      </w:pPr>
      <w:r>
        <w:rPr>
          <w:sz w:val="25"/>
        </w:rPr>
        <w:t>On the other hand, Dr Rajeev Dhavan, learned Senior Counsel appearing for the Sunni Central Waqf Board, the plaintiffs in Suit 4, urged that the ‗Asthan Ram Janma Bhumi‘ (the second plaintiff in Suit 5) is not a juristic person. He submitted that the contention that the disputed land is a juristic person was raised for the first time only in 1989. Dr Dhavan urged that there are two separate and distinct issues that have arisen before this Court. One concerns the faith and belief that Lord Ram was born in Ayodhya and the evidence adduced to this effect. The other is the set of legal consequences that flow from the disputed property being elevated to the status of a juristic person. Dr Dhavan submitted that while the faith and belief of a sect that religious significance attaches to the birth-place of Lord Ram cannot be questioned, the precise site which constitutes the place of birth is in dispute. Moreover, the property cannot be elevated to the status of a juristic person only on the basis of faith and belief that it is the birth- place of Lord Ram. To this end, it was submitted that the subjective belief of a certain section of devotees cannot lead to the objective consequence of a proprietary claim in law. It was urged that in the Vedic period, the worship of physical</w:t>
      </w:r>
      <w:r>
        <w:rPr>
          <w:spacing w:val="13"/>
          <w:sz w:val="25"/>
        </w:rPr>
        <w:t> </w:t>
      </w:r>
      <w:r>
        <w:rPr>
          <w:sz w:val="25"/>
        </w:rPr>
        <w:t>objects</w:t>
      </w:r>
      <w:r>
        <w:rPr>
          <w:spacing w:val="15"/>
          <w:sz w:val="25"/>
        </w:rPr>
        <w:t> </w:t>
      </w:r>
      <w:r>
        <w:rPr>
          <w:sz w:val="25"/>
        </w:rPr>
        <w:t>of</w:t>
      </w:r>
      <w:r>
        <w:rPr>
          <w:spacing w:val="15"/>
          <w:sz w:val="25"/>
        </w:rPr>
        <w:t> </w:t>
      </w:r>
      <w:r>
        <w:rPr>
          <w:sz w:val="25"/>
        </w:rPr>
        <w:t>nature</w:t>
      </w:r>
      <w:r>
        <w:rPr>
          <w:spacing w:val="15"/>
          <w:sz w:val="25"/>
        </w:rPr>
        <w:t> </w:t>
      </w:r>
      <w:r>
        <w:rPr>
          <w:sz w:val="25"/>
        </w:rPr>
        <w:t>was</w:t>
      </w:r>
      <w:r>
        <w:rPr>
          <w:spacing w:val="14"/>
          <w:sz w:val="25"/>
        </w:rPr>
        <w:t> </w:t>
      </w:r>
      <w:r>
        <w:rPr>
          <w:sz w:val="25"/>
        </w:rPr>
        <w:t>practiced</w:t>
      </w:r>
      <w:r>
        <w:rPr>
          <w:spacing w:val="15"/>
          <w:sz w:val="25"/>
        </w:rPr>
        <w:t> </w:t>
      </w:r>
      <w:r>
        <w:rPr>
          <w:sz w:val="25"/>
        </w:rPr>
        <w:t>in</w:t>
      </w:r>
      <w:r>
        <w:rPr>
          <w:spacing w:val="11"/>
          <w:sz w:val="25"/>
        </w:rPr>
        <w:t> </w:t>
      </w:r>
      <w:r>
        <w:rPr>
          <w:sz w:val="25"/>
        </w:rPr>
        <w:t>ancient</w:t>
      </w:r>
      <w:r>
        <w:rPr>
          <w:spacing w:val="15"/>
          <w:sz w:val="25"/>
        </w:rPr>
        <w:t> </w:t>
      </w:r>
      <w:r>
        <w:rPr>
          <w:sz w:val="25"/>
        </w:rPr>
        <w:t>India.</w:t>
      </w:r>
      <w:r>
        <w:rPr>
          <w:spacing w:val="15"/>
          <w:sz w:val="25"/>
        </w:rPr>
        <w:t> </w:t>
      </w:r>
      <w:r>
        <w:rPr>
          <w:sz w:val="25"/>
        </w:rPr>
        <w:t>Underlying</w:t>
      </w:r>
      <w:r>
        <w:rPr>
          <w:spacing w:val="15"/>
          <w:sz w:val="25"/>
        </w:rPr>
        <w:t> </w:t>
      </w:r>
      <w:r>
        <w:rPr>
          <w:sz w:val="25"/>
        </w:rPr>
        <w:t>the</w:t>
      </w:r>
      <w:r>
        <w:rPr>
          <w:spacing w:val="15"/>
          <w:sz w:val="25"/>
        </w:rPr>
        <w:t> </w:t>
      </w:r>
      <w:r>
        <w:rPr>
          <w:sz w:val="25"/>
        </w:rPr>
        <w:t>worship</w:t>
      </w:r>
    </w:p>
    <w:p>
      <w:pPr>
        <w:pStyle w:val="BodyText"/>
        <w:spacing w:before="4"/>
        <w:rPr>
          <w:sz w:val="10"/>
        </w:rPr>
      </w:pPr>
      <w:r>
        <w:rPr/>
        <w:pict>
          <v:rect style="position:absolute;margin-left:72.024002pt;margin-top:7.911251pt;width:144.020pt;height:.599980pt;mso-position-horizontal-relative:page;mso-position-vertical-relative:paragraph;z-index:-1570201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83</w:t>
      </w:r>
      <w:r>
        <w:rPr>
          <w:sz w:val="18"/>
          <w:vertAlign w:val="baseline"/>
        </w:rPr>
        <w:t> 1959 Supp (2) SCR 583</w:t>
      </w:r>
    </w:p>
    <w:p>
      <w:pPr>
        <w:spacing w:line="207" w:lineRule="exact" w:before="0"/>
        <w:ind w:left="500" w:right="0" w:firstLine="0"/>
        <w:jc w:val="left"/>
        <w:rPr>
          <w:sz w:val="18"/>
        </w:rPr>
      </w:pPr>
      <w:r>
        <w:rPr>
          <w:sz w:val="18"/>
          <w:vertAlign w:val="superscript"/>
        </w:rPr>
        <w:t>84</w:t>
      </w:r>
      <w:r>
        <w:rPr>
          <w:sz w:val="18"/>
          <w:vertAlign w:val="baseline"/>
        </w:rPr>
        <w:t> (1999) 5 SCC 50</w:t>
      </w:r>
    </w:p>
    <w:p>
      <w:pPr>
        <w:spacing w:line="206" w:lineRule="exact" w:before="0"/>
        <w:ind w:left="500" w:right="0" w:firstLine="0"/>
        <w:jc w:val="left"/>
        <w:rPr>
          <w:sz w:val="18"/>
        </w:rPr>
      </w:pPr>
      <w:r>
        <w:rPr>
          <w:sz w:val="18"/>
          <w:vertAlign w:val="superscript"/>
        </w:rPr>
        <w:t>85</w:t>
      </w:r>
      <w:r>
        <w:rPr>
          <w:sz w:val="18"/>
          <w:vertAlign w:val="baseline"/>
        </w:rPr>
        <w:t> (2004) 10 SCC</w:t>
      </w:r>
      <w:r>
        <w:rPr>
          <w:spacing w:val="-9"/>
          <w:sz w:val="18"/>
          <w:vertAlign w:val="baseline"/>
        </w:rPr>
        <w:t> </w:t>
      </w:r>
      <w:r>
        <w:rPr>
          <w:sz w:val="18"/>
          <w:vertAlign w:val="baseline"/>
        </w:rPr>
        <w:t>65</w:t>
      </w:r>
    </w:p>
    <w:p>
      <w:pPr>
        <w:spacing w:line="207" w:lineRule="exact" w:before="0"/>
        <w:ind w:left="500" w:right="0" w:firstLine="0"/>
        <w:jc w:val="left"/>
        <w:rPr>
          <w:sz w:val="18"/>
        </w:rPr>
      </w:pPr>
      <w:r>
        <w:rPr>
          <w:sz w:val="18"/>
          <w:vertAlign w:val="superscript"/>
        </w:rPr>
        <w:t>86</w:t>
      </w:r>
      <w:r>
        <w:rPr>
          <w:sz w:val="18"/>
          <w:vertAlign w:val="baseline"/>
        </w:rPr>
        <w:t> (2005) 1 SCC</w:t>
      </w:r>
      <w:r>
        <w:rPr>
          <w:spacing w:val="-9"/>
          <w:sz w:val="18"/>
          <w:vertAlign w:val="baseline"/>
        </w:rPr>
        <w:t> </w:t>
      </w:r>
      <w:r>
        <w:rPr>
          <w:sz w:val="18"/>
          <w:vertAlign w:val="baseline"/>
        </w:rPr>
        <w:t>457</w:t>
      </w:r>
    </w:p>
    <w:p>
      <w:pPr>
        <w:spacing w:before="2"/>
        <w:ind w:left="500" w:right="0" w:firstLine="0"/>
        <w:jc w:val="left"/>
        <w:rPr>
          <w:sz w:val="18"/>
        </w:rPr>
      </w:pPr>
      <w:r>
        <w:rPr>
          <w:sz w:val="18"/>
          <w:vertAlign w:val="superscript"/>
        </w:rPr>
        <w:t>87</w:t>
      </w:r>
      <w:r>
        <w:rPr>
          <w:sz w:val="18"/>
          <w:vertAlign w:val="baseline"/>
        </w:rPr>
        <w:t> (2015) 7 SCC</w:t>
      </w:r>
      <w:r>
        <w:rPr>
          <w:spacing w:val="-9"/>
          <w:sz w:val="18"/>
          <w:vertAlign w:val="baseline"/>
        </w:rPr>
        <w:t> </w:t>
      </w:r>
      <w:r>
        <w:rPr>
          <w:sz w:val="18"/>
          <w:vertAlign w:val="baseline"/>
        </w:rPr>
        <w:t>601</w:t>
      </w:r>
    </w:p>
    <w:p>
      <w:pPr>
        <w:spacing w:after="0"/>
        <w:jc w:val="left"/>
        <w:rPr>
          <w:sz w:val="18"/>
        </w:rPr>
        <w:sectPr>
          <w:pgSz w:w="11910" w:h="16840"/>
          <w:pgMar w:header="721" w:footer="1014" w:top="1300" w:bottom="1200" w:left="940" w:right="1000"/>
        </w:sectPr>
      </w:pPr>
    </w:p>
    <w:p>
      <w:pPr>
        <w:pStyle w:val="BodyText"/>
        <w:spacing w:line="480" w:lineRule="auto" w:before="124"/>
        <w:ind w:left="500" w:right="443"/>
        <w:jc w:val="both"/>
      </w:pPr>
      <w:r>
        <w:rPr/>
        <w:t>of the object was the purpose it served. Dr Dhavan contended that the status of juristic personality does not attach to every object of religious significance, and that a positive act of sanctification or recognition is required.</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Dr Dhavan further submitted that the conferment of legal personality on immoveable property is not supported by the existing law on the legal personality of Hindu idols and that conferring legal personality on land would be an innovation leading to the insulation of land from any form of adjudication. Legal impregnability would be conferred merely on the basis of the faith </w:t>
      </w:r>
      <w:r>
        <w:rPr>
          <w:spacing w:val="3"/>
          <w:sz w:val="25"/>
        </w:rPr>
        <w:t>and </w:t>
      </w:r>
      <w:r>
        <w:rPr>
          <w:sz w:val="25"/>
        </w:rPr>
        <w:t>belief of devotees. It was urged that the conferral of juristic personality on the second plaintiff would create two legal regimes – one applicable to idols and the other to land – both with distinct rights, power, duties and interests. Dr Dhavan drew a distinction between the applicable regime governing the idol and the regime governing land (as emerging from the submissions of the plaintiffs in Suit 5) in the following</w:t>
      </w:r>
      <w:r>
        <w:rPr>
          <w:spacing w:val="-1"/>
          <w:sz w:val="25"/>
        </w:rPr>
        <w:t> </w:t>
      </w:r>
      <w:r>
        <w:rPr>
          <w:sz w:val="25"/>
        </w:rPr>
        <w:t>terms:</w:t>
      </w:r>
    </w:p>
    <w:p>
      <w:pPr>
        <w:pStyle w:val="ListParagraph"/>
        <w:numPr>
          <w:ilvl w:val="0"/>
          <w:numId w:val="62"/>
        </w:numPr>
        <w:tabs>
          <w:tab w:pos="1221" w:val="left" w:leader="none"/>
        </w:tabs>
        <w:spacing w:line="480" w:lineRule="auto" w:before="0" w:after="0"/>
        <w:ind w:left="1220" w:right="443" w:hanging="720"/>
        <w:jc w:val="both"/>
        <w:rPr>
          <w:sz w:val="25"/>
        </w:rPr>
      </w:pPr>
      <w:r>
        <w:rPr>
          <w:b/>
          <w:sz w:val="25"/>
        </w:rPr>
        <w:t>The legal regime applicable to the first plaintiff as a recognised Hindu idol </w:t>
      </w:r>
      <w:r>
        <w:rPr>
          <w:sz w:val="25"/>
        </w:rPr>
        <w:t>– properties of the idol vest in it in an ideal sense; any claim to title is actionable only at the behest of the shebait (unless the shebait has acted contrary to the interests of the idol); and the law of adverse possession and limitation would apply to claims involving property owned by the idol; and</w:t>
      </w:r>
    </w:p>
    <w:p>
      <w:pPr>
        <w:pStyle w:val="ListParagraph"/>
        <w:numPr>
          <w:ilvl w:val="0"/>
          <w:numId w:val="62"/>
        </w:numPr>
        <w:tabs>
          <w:tab w:pos="1221" w:val="left" w:leader="none"/>
        </w:tabs>
        <w:spacing w:line="482" w:lineRule="auto" w:before="159" w:after="0"/>
        <w:ind w:left="1220" w:right="436" w:hanging="720"/>
        <w:jc w:val="both"/>
        <w:rPr>
          <w:sz w:val="25"/>
        </w:rPr>
      </w:pPr>
      <w:r>
        <w:rPr>
          <w:b/>
          <w:sz w:val="25"/>
        </w:rPr>
        <w:t>The legal regime applicable to the second plaintiff </w:t>
      </w:r>
      <w:r>
        <w:rPr>
          <w:sz w:val="25"/>
        </w:rPr>
        <w:t>– juristic recognition would be premised on the subjective belief of the devotees that the area is a</w:t>
      </w:r>
      <w:r>
        <w:rPr>
          <w:spacing w:val="42"/>
          <w:sz w:val="25"/>
        </w:rPr>
        <w:t> </w:t>
      </w:r>
      <w:r>
        <w:rPr>
          <w:sz w:val="25"/>
        </w:rPr>
        <w:t>deity;</w:t>
      </w:r>
      <w:r>
        <w:rPr>
          <w:spacing w:val="44"/>
          <w:sz w:val="25"/>
        </w:rPr>
        <w:t> </w:t>
      </w:r>
      <w:r>
        <w:rPr>
          <w:sz w:val="25"/>
        </w:rPr>
        <w:t>the</w:t>
      </w:r>
      <w:r>
        <w:rPr>
          <w:spacing w:val="43"/>
          <w:sz w:val="25"/>
        </w:rPr>
        <w:t> </w:t>
      </w:r>
      <w:r>
        <w:rPr>
          <w:sz w:val="25"/>
        </w:rPr>
        <w:t>conferral</w:t>
      </w:r>
      <w:r>
        <w:rPr>
          <w:spacing w:val="42"/>
          <w:sz w:val="25"/>
        </w:rPr>
        <w:t> </w:t>
      </w:r>
      <w:r>
        <w:rPr>
          <w:sz w:val="25"/>
        </w:rPr>
        <w:t>of</w:t>
      </w:r>
      <w:r>
        <w:rPr>
          <w:spacing w:val="43"/>
          <w:sz w:val="25"/>
        </w:rPr>
        <w:t> </w:t>
      </w:r>
      <w:r>
        <w:rPr>
          <w:sz w:val="25"/>
        </w:rPr>
        <w:t>juristic</w:t>
      </w:r>
      <w:r>
        <w:rPr>
          <w:spacing w:val="41"/>
          <w:sz w:val="25"/>
        </w:rPr>
        <w:t> </w:t>
      </w:r>
      <w:r>
        <w:rPr>
          <w:sz w:val="25"/>
        </w:rPr>
        <w:t>personality</w:t>
      </w:r>
      <w:r>
        <w:rPr>
          <w:spacing w:val="42"/>
          <w:sz w:val="25"/>
        </w:rPr>
        <w:t> </w:t>
      </w:r>
      <w:r>
        <w:rPr>
          <w:sz w:val="25"/>
        </w:rPr>
        <w:t>renders</w:t>
      </w:r>
      <w:r>
        <w:rPr>
          <w:spacing w:val="49"/>
          <w:sz w:val="25"/>
        </w:rPr>
        <w:t> </w:t>
      </w:r>
      <w:r>
        <w:rPr>
          <w:sz w:val="25"/>
        </w:rPr>
        <w:t>infructuous</w:t>
      </w:r>
      <w:r>
        <w:rPr>
          <w:spacing w:val="41"/>
          <w:sz w:val="25"/>
        </w:rPr>
        <w:t> </w:t>
      </w:r>
      <w:r>
        <w:rPr>
          <w:sz w:val="25"/>
        </w:rPr>
        <w:t>any</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1220" w:right="512"/>
      </w:pPr>
      <w:r>
        <w:rPr/>
        <w:t>competing proprietary claims; and the law of limitation and adverse possession are inapplicable to the property in question.</w:t>
      </w:r>
    </w:p>
    <w:p>
      <w:pPr>
        <w:pStyle w:val="BodyText"/>
        <w:spacing w:before="11"/>
        <w:rPr>
          <w:sz w:val="38"/>
        </w:rPr>
      </w:pPr>
    </w:p>
    <w:p>
      <w:pPr>
        <w:pStyle w:val="ListParagraph"/>
        <w:numPr>
          <w:ilvl w:val="0"/>
          <w:numId w:val="3"/>
        </w:numPr>
        <w:tabs>
          <w:tab w:pos="1221" w:val="left" w:leader="none"/>
        </w:tabs>
        <w:spacing w:line="480" w:lineRule="auto" w:before="0" w:after="0"/>
        <w:ind w:left="500" w:right="435" w:firstLine="0"/>
        <w:jc w:val="both"/>
        <w:rPr>
          <w:sz w:val="25"/>
        </w:rPr>
      </w:pPr>
      <w:r>
        <w:rPr>
          <w:sz w:val="25"/>
        </w:rPr>
        <w:t>Dr Dhavan argues against accepting any consequence as it emerges based on the above distinction. Dr Dhavan contended that the conferral of juridical personality on the second plaintiff would carve out a sphere of legal impregnability. He submitted that while recognising the idol as a legal person is legally defensible and consistent with the jurisprudence of this Court, conferring legal personality on land itself is a legal innovation conferring rights that are not available to the first plaintiff. It was finally urged that no distinction must be drawn between Indic religions and other religions and no plea for constitutional protection could be taken by the plaintiffs in Suit 5 in what is essentially a civil matter. This would result in the faith and belief of one religion influencing the outcome of a civil adjudication on private rights between two religious communities.</w:t>
      </w:r>
    </w:p>
    <w:p>
      <w:pPr>
        <w:pStyle w:val="BodyText"/>
        <w:spacing w:before="2"/>
      </w:pPr>
    </w:p>
    <w:p>
      <w:pPr>
        <w:spacing w:before="0"/>
        <w:ind w:left="500" w:right="0" w:firstLine="0"/>
        <w:jc w:val="left"/>
        <w:rPr>
          <w:sz w:val="26"/>
        </w:rPr>
      </w:pPr>
      <w:r>
        <w:rPr>
          <w:sz w:val="26"/>
        </w:rPr>
        <w:t>These rival submissions will now be analysed.</w:t>
      </w:r>
    </w:p>
    <w:p>
      <w:pPr>
        <w:pStyle w:val="BodyText"/>
        <w:rPr>
          <w:sz w:val="28"/>
        </w:rPr>
      </w:pPr>
    </w:p>
    <w:p>
      <w:pPr>
        <w:pStyle w:val="BodyText"/>
        <w:spacing w:before="1"/>
        <w:rPr>
          <w:sz w:val="24"/>
        </w:rPr>
      </w:pPr>
    </w:p>
    <w:p>
      <w:pPr>
        <w:pStyle w:val="Heading4"/>
        <w:jc w:val="left"/>
        <w:rPr>
          <w:i/>
        </w:rPr>
      </w:pPr>
      <w:r>
        <w:rPr>
          <w:i/>
        </w:rPr>
        <w:t>Distinguishing religious significance and juristic personality</w:t>
      </w:r>
    </w:p>
    <w:p>
      <w:pPr>
        <w:pStyle w:val="BodyText"/>
        <w:rPr>
          <w:i/>
          <w:sz w:val="28"/>
        </w:rPr>
      </w:pPr>
    </w:p>
    <w:p>
      <w:pPr>
        <w:pStyle w:val="BodyText"/>
        <w:spacing w:before="10"/>
        <w:rPr>
          <w:i/>
          <w:sz w:val="23"/>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Recognition of the religious significance of a place as a place of public worship is conceptually distinct from recognising the place as a juristic person. Ram Janmabhumi is undoubtedly of religious significance to the Hindus based on the faith and belief that it is the birth-place of Lord Ram. A determination by this Court of whether or not the disputed site is a </w:t>
      </w:r>
      <w:r>
        <w:rPr>
          <w:b/>
          <w:sz w:val="25"/>
        </w:rPr>
        <w:t>juridical person </w:t>
      </w:r>
      <w:r>
        <w:rPr>
          <w:sz w:val="25"/>
        </w:rPr>
        <w:t>will not in any manner</w:t>
      </w:r>
      <w:r>
        <w:rPr>
          <w:spacing w:val="27"/>
          <w:sz w:val="25"/>
        </w:rPr>
        <w:t> </w:t>
      </w:r>
      <w:r>
        <w:rPr>
          <w:sz w:val="25"/>
        </w:rPr>
        <w:t>detract</w:t>
      </w:r>
      <w:r>
        <w:rPr>
          <w:spacing w:val="27"/>
          <w:sz w:val="25"/>
        </w:rPr>
        <w:t> </w:t>
      </w:r>
      <w:r>
        <w:rPr>
          <w:sz w:val="25"/>
        </w:rPr>
        <w:t>from</w:t>
      </w:r>
      <w:r>
        <w:rPr>
          <w:spacing w:val="26"/>
          <w:sz w:val="25"/>
        </w:rPr>
        <w:t> </w:t>
      </w:r>
      <w:r>
        <w:rPr>
          <w:sz w:val="25"/>
        </w:rPr>
        <w:t>the</w:t>
      </w:r>
      <w:r>
        <w:rPr>
          <w:spacing w:val="27"/>
          <w:sz w:val="25"/>
        </w:rPr>
        <w:t> </w:t>
      </w:r>
      <w:r>
        <w:rPr>
          <w:sz w:val="25"/>
        </w:rPr>
        <w:t>significance</w:t>
      </w:r>
      <w:r>
        <w:rPr>
          <w:spacing w:val="27"/>
          <w:sz w:val="25"/>
        </w:rPr>
        <w:t> </w:t>
      </w:r>
      <w:r>
        <w:rPr>
          <w:sz w:val="25"/>
        </w:rPr>
        <w:t>of</w:t>
      </w:r>
      <w:r>
        <w:rPr>
          <w:spacing w:val="26"/>
          <w:sz w:val="25"/>
        </w:rPr>
        <w:t> </w:t>
      </w:r>
      <w:r>
        <w:rPr>
          <w:sz w:val="25"/>
        </w:rPr>
        <w:t>the</w:t>
      </w:r>
      <w:r>
        <w:rPr>
          <w:spacing w:val="27"/>
          <w:sz w:val="25"/>
        </w:rPr>
        <w:t> </w:t>
      </w:r>
      <w:r>
        <w:rPr>
          <w:sz w:val="25"/>
        </w:rPr>
        <w:t>faith</w:t>
      </w:r>
      <w:r>
        <w:rPr>
          <w:spacing w:val="27"/>
          <w:sz w:val="25"/>
        </w:rPr>
        <w:t> </w:t>
      </w:r>
      <w:r>
        <w:rPr>
          <w:sz w:val="25"/>
        </w:rPr>
        <w:t>and</w:t>
      </w:r>
      <w:r>
        <w:rPr>
          <w:spacing w:val="25"/>
          <w:sz w:val="25"/>
        </w:rPr>
        <w:t> </w:t>
      </w:r>
      <w:r>
        <w:rPr>
          <w:sz w:val="25"/>
        </w:rPr>
        <w:t>belief</w:t>
      </w:r>
      <w:r>
        <w:rPr>
          <w:spacing w:val="27"/>
          <w:sz w:val="25"/>
        </w:rPr>
        <w:t> </w:t>
      </w:r>
      <w:r>
        <w:rPr>
          <w:sz w:val="25"/>
        </w:rPr>
        <w:t>of</w:t>
      </w:r>
      <w:r>
        <w:rPr>
          <w:spacing w:val="27"/>
          <w:sz w:val="25"/>
        </w:rPr>
        <w:t> </w:t>
      </w:r>
      <w:r>
        <w:rPr>
          <w:sz w:val="25"/>
        </w:rPr>
        <w:t>the</w:t>
      </w:r>
      <w:r>
        <w:rPr>
          <w:spacing w:val="27"/>
          <w:sz w:val="25"/>
        </w:rPr>
        <w:t> </w:t>
      </w:r>
      <w:r>
        <w:rPr>
          <w:sz w:val="25"/>
        </w:rPr>
        <w:t>Hindu</w:t>
      </w:r>
    </w:p>
    <w:p>
      <w:pPr>
        <w:spacing w:after="0" w:line="480" w:lineRule="auto"/>
        <w:jc w:val="both"/>
        <w:rPr>
          <w:sz w:val="25"/>
        </w:rPr>
        <w:sectPr>
          <w:pgSz w:w="11910" w:h="16840"/>
          <w:pgMar w:header="721" w:footer="1014" w:top="1300" w:bottom="1200" w:left="940" w:right="1000"/>
        </w:sectPr>
      </w:pPr>
    </w:p>
    <w:p>
      <w:pPr>
        <w:pStyle w:val="BodyText"/>
        <w:spacing w:before="124"/>
        <w:ind w:left="500"/>
      </w:pPr>
      <w:r>
        <w:rPr/>
        <w:t>community.</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0" w:after="0"/>
        <w:ind w:left="500" w:right="443" w:firstLine="0"/>
        <w:jc w:val="both"/>
        <w:rPr>
          <w:sz w:val="25"/>
        </w:rPr>
      </w:pPr>
      <w:r>
        <w:rPr>
          <w:sz w:val="25"/>
        </w:rPr>
        <w:t>To support their contention that the second plaintiff is a juristic person, learned Senior Counsel appearing for the plaintiffs in Suit 5 relied on a wealth of precedent. A close reading of those decisions indicates that the counsel have selectively relied on extracts to support the contention that the disputed site is a juridical person. To determine the extent to which they support the contentions urged by the plaintiffs in Suit 5, it would be necessary now to analyse the cases relied upon and examine the context in which they were</w:t>
      </w:r>
      <w:r>
        <w:rPr>
          <w:spacing w:val="-11"/>
          <w:sz w:val="25"/>
        </w:rPr>
        <w:t> </w:t>
      </w:r>
      <w:r>
        <w:rPr>
          <w:sz w:val="25"/>
        </w:rPr>
        <w:t>adjudicated.</w:t>
      </w:r>
    </w:p>
    <w:p>
      <w:pPr>
        <w:pStyle w:val="BodyText"/>
        <w:spacing w:before="10"/>
        <w:rPr>
          <w:sz w:val="24"/>
        </w:rPr>
      </w:pPr>
    </w:p>
    <w:p>
      <w:pPr>
        <w:pStyle w:val="ListParagraph"/>
        <w:numPr>
          <w:ilvl w:val="0"/>
          <w:numId w:val="3"/>
        </w:numPr>
        <w:tabs>
          <w:tab w:pos="1221" w:val="left" w:leader="none"/>
        </w:tabs>
        <w:spacing w:line="480" w:lineRule="auto" w:before="1" w:after="0"/>
        <w:ind w:left="500" w:right="434" w:firstLine="0"/>
        <w:jc w:val="both"/>
        <w:rPr>
          <w:sz w:val="25"/>
        </w:rPr>
      </w:pPr>
      <w:r>
        <w:rPr>
          <w:sz w:val="25"/>
        </w:rPr>
        <w:t>In </w:t>
      </w:r>
      <w:r>
        <w:rPr>
          <w:b/>
          <w:sz w:val="25"/>
        </w:rPr>
        <w:t>Manohar Ganesh Tambekar </w:t>
      </w:r>
      <w:r>
        <w:rPr>
          <w:sz w:val="25"/>
        </w:rPr>
        <w:t>v </w:t>
      </w:r>
      <w:r>
        <w:rPr>
          <w:b/>
          <w:sz w:val="25"/>
        </w:rPr>
        <w:t>Lakhmiram Govindram</w:t>
      </w:r>
      <w:r>
        <w:rPr>
          <w:sz w:val="25"/>
          <w:vertAlign w:val="superscript"/>
        </w:rPr>
        <w:t>88</w:t>
      </w:r>
      <w:r>
        <w:rPr>
          <w:sz w:val="25"/>
          <w:vertAlign w:val="baseline"/>
        </w:rPr>
        <w:t>, the plaintiff instituted a suit as a party interested in the maintenance of the religious foundation of the temple dedicated to a deity. The plaintiff sought to make the defendants, who were the recipients of the offerings at the temple, accountable as trustees proper. The defendants claimed that they were the absolute owners and held all offerings as private property. A Division Bench of the Bombay High Court held that while private guilds may exist, under English law an association consisting of a fluctuating or undefined class of individuals, whether or not it exists for charitable purposes, cannot be vested with property without incorporation. The defendants however put themselves forward as a body of proprietors with revenue arising from the accumulated offerings of articles of value laid at the feet of the idol. The Court, speaking through Justice R West observed:</w:t>
      </w:r>
    </w:p>
    <w:p>
      <w:pPr>
        <w:spacing w:line="276" w:lineRule="auto" w:before="1"/>
        <w:ind w:left="1940" w:right="2262" w:firstLine="0"/>
        <w:jc w:val="both"/>
        <w:rPr>
          <w:b/>
          <w:sz w:val="21"/>
        </w:rPr>
      </w:pPr>
      <w:r>
        <w:rPr>
          <w:w w:val="33"/>
          <w:sz w:val="21"/>
        </w:rPr>
        <w:t>―</w:t>
      </w:r>
      <w:r>
        <w:rPr>
          <w:w w:val="100"/>
          <w:sz w:val="21"/>
        </w:rPr>
        <w:t>9.</w:t>
      </w:r>
      <w:r>
        <w:rPr>
          <w:sz w:val="21"/>
        </w:rPr>
        <w:t> </w:t>
      </w:r>
      <w:r>
        <w:rPr>
          <w:w w:val="100"/>
          <w:sz w:val="21"/>
        </w:rPr>
        <w:t>The</w:t>
      </w:r>
      <w:r>
        <w:rPr>
          <w:sz w:val="21"/>
        </w:rPr>
        <w:t> </w:t>
      </w:r>
      <w:r>
        <w:rPr>
          <w:w w:val="100"/>
          <w:sz w:val="21"/>
        </w:rPr>
        <w:t>evidence</w:t>
      </w:r>
      <w:r>
        <w:rPr>
          <w:sz w:val="21"/>
        </w:rPr>
        <w:t> </w:t>
      </w:r>
      <w:r>
        <w:rPr>
          <w:w w:val="100"/>
          <w:sz w:val="21"/>
        </w:rPr>
        <w:t>recorded</w:t>
      </w:r>
      <w:r>
        <w:rPr>
          <w:sz w:val="21"/>
        </w:rPr>
        <w:t> </w:t>
      </w:r>
      <w:r>
        <w:rPr>
          <w:w w:val="100"/>
          <w:sz w:val="21"/>
        </w:rPr>
        <w:t>in</w:t>
      </w:r>
      <w:r>
        <w:rPr>
          <w:sz w:val="21"/>
        </w:rPr>
        <w:t> </w:t>
      </w:r>
      <w:r>
        <w:rPr>
          <w:w w:val="100"/>
          <w:sz w:val="21"/>
        </w:rPr>
        <w:t>the</w:t>
      </w:r>
      <w:r>
        <w:rPr>
          <w:sz w:val="21"/>
        </w:rPr>
        <w:t> </w:t>
      </w:r>
      <w:r>
        <w:rPr>
          <w:w w:val="100"/>
          <w:sz w:val="21"/>
        </w:rPr>
        <w:t>case,</w:t>
      </w:r>
      <w:r>
        <w:rPr>
          <w:sz w:val="21"/>
        </w:rPr>
        <w:t> </w:t>
      </w:r>
      <w:r>
        <w:rPr>
          <w:w w:val="100"/>
          <w:sz w:val="21"/>
        </w:rPr>
        <w:t>including</w:t>
      </w:r>
      <w:r>
        <w:rPr>
          <w:sz w:val="21"/>
        </w:rPr>
        <w:t> </w:t>
      </w:r>
      <w:r>
        <w:rPr>
          <w:w w:val="100"/>
          <w:sz w:val="21"/>
        </w:rPr>
        <w:t>that</w:t>
      </w:r>
      <w:r>
        <w:rPr>
          <w:sz w:val="21"/>
        </w:rPr>
        <w:t> </w:t>
      </w:r>
      <w:r>
        <w:rPr>
          <w:w w:val="100"/>
          <w:sz w:val="21"/>
        </w:rPr>
        <w:t>of</w:t>
      </w:r>
      <w:r>
        <w:rPr>
          <w:sz w:val="21"/>
        </w:rPr>
        <w:t> </w:t>
      </w:r>
      <w:r>
        <w:rPr>
          <w:w w:val="100"/>
          <w:sz w:val="21"/>
        </w:rPr>
        <w:t>many </w:t>
      </w:r>
      <w:r>
        <w:rPr>
          <w:sz w:val="21"/>
        </w:rPr>
        <w:t>donors to the idol Shri Ranchhod Raiji, </w:t>
      </w:r>
      <w:r>
        <w:rPr>
          <w:b/>
          <w:sz w:val="21"/>
        </w:rPr>
        <w:t>shows that having discharged a religious duty or gained religious merit by a</w:t>
      </w:r>
    </w:p>
    <w:p>
      <w:pPr>
        <w:pStyle w:val="BodyText"/>
        <w:rPr>
          <w:b/>
          <w:sz w:val="10"/>
        </w:rPr>
      </w:pPr>
      <w:r>
        <w:rPr/>
        <w:pict>
          <v:rect style="position:absolute;margin-left:72.024002pt;margin-top:7.72682pt;width:144.020pt;height:.599980pt;mso-position-horizontal-relative:page;mso-position-vertical-relative:paragraph;z-index:-1570150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88</w:t>
      </w:r>
      <w:r>
        <w:rPr>
          <w:sz w:val="18"/>
          <w:vertAlign w:val="baseline"/>
        </w:rPr>
        <w:t> ILR 1888 12 Bom 247</w:t>
      </w:r>
    </w:p>
    <w:p>
      <w:pPr>
        <w:spacing w:after="0"/>
        <w:jc w:val="left"/>
        <w:rPr>
          <w:sz w:val="18"/>
        </w:rPr>
        <w:sectPr>
          <w:pgSz w:w="11910" w:h="16840"/>
          <w:pgMar w:header="721" w:footer="1014" w:top="1300" w:bottom="1200" w:left="940" w:right="1000"/>
        </w:sectPr>
      </w:pPr>
    </w:p>
    <w:p>
      <w:pPr>
        <w:tabs>
          <w:tab w:pos="4564" w:val="left" w:leader="none"/>
        </w:tabs>
        <w:spacing w:line="276" w:lineRule="auto" w:before="122"/>
        <w:ind w:left="1940" w:right="2260" w:firstLine="0"/>
        <w:jc w:val="both"/>
        <w:rPr>
          <w:sz w:val="21"/>
        </w:rPr>
      </w:pPr>
      <w:r>
        <w:rPr>
          <w:b/>
          <w:sz w:val="21"/>
        </w:rPr>
        <w:t>gift to the deity, the votary is but little interested in what afterwards becomes of the offering </w:t>
      </w:r>
      <w:r>
        <w:rPr>
          <w:sz w:val="21"/>
        </w:rPr>
        <w:t>…. </w:t>
      </w:r>
      <w:r>
        <w:rPr>
          <w:b/>
          <w:sz w:val="21"/>
        </w:rPr>
        <w:t>Still he must needs be and is concerned in the maintenance of a decent and orderly worship</w:t>
      </w:r>
      <w:r>
        <w:rPr>
          <w:sz w:val="21"/>
        </w:rPr>
        <w:t>. …</w:t>
      </w:r>
      <w:r>
        <w:rPr>
          <w:b/>
          <w:sz w:val="21"/>
        </w:rPr>
        <w:t>He desires a regular and continuous or at least a periodical round of sacred ceremonies, which might fail if the offerings of past years were all squandered, while those of any given year fell short</w:t>
      </w:r>
      <w:r>
        <w:rPr>
          <w:sz w:val="21"/>
        </w:rPr>
        <w:t>. The sevaks seem to have received the offerings, both of immovables and of moveables, with a consciousness, though but a hazy consciousness, that they were bound, out of the funds thus coming to them, to provide for the worship of the idol and the convenience of the pilgrims who resort to the temple.‖</w:t>
        <w:tab/>
        <w:t>(Emphasis</w:t>
      </w:r>
      <w:r>
        <w:rPr>
          <w:spacing w:val="-1"/>
          <w:sz w:val="21"/>
        </w:rPr>
        <w:t> </w:t>
      </w:r>
      <w:r>
        <w:rPr>
          <w:sz w:val="21"/>
        </w:rPr>
        <w:t>supplied)</w:t>
      </w:r>
    </w:p>
    <w:p>
      <w:pPr>
        <w:pStyle w:val="BodyText"/>
        <w:rPr>
          <w:sz w:val="24"/>
        </w:rPr>
      </w:pPr>
    </w:p>
    <w:p>
      <w:pPr>
        <w:pStyle w:val="BodyText"/>
        <w:spacing w:before="6"/>
        <w:rPr>
          <w:sz w:val="24"/>
        </w:rPr>
      </w:pPr>
    </w:p>
    <w:p>
      <w:pPr>
        <w:pStyle w:val="BodyText"/>
        <w:spacing w:line="480" w:lineRule="auto"/>
        <w:ind w:left="500" w:right="443"/>
        <w:jc w:val="both"/>
      </w:pPr>
      <w:r>
        <w:rPr/>
        <w:t>The sevaks (defendants) admitted to their responsibility to take care of the temple. Articles of value were to be consigned to the bhandari. It is in this context that the Court</w:t>
      </w:r>
      <w:r>
        <w:rPr>
          <w:spacing w:val="-4"/>
        </w:rPr>
        <w:t> </w:t>
      </w:r>
      <w:r>
        <w:rPr/>
        <w:t>held:</w:t>
      </w:r>
    </w:p>
    <w:p>
      <w:pPr>
        <w:spacing w:line="276" w:lineRule="auto" w:before="0"/>
        <w:ind w:left="1940" w:right="2260" w:firstLine="0"/>
        <w:jc w:val="both"/>
        <w:rPr>
          <w:sz w:val="21"/>
        </w:rPr>
      </w:pPr>
      <w:r>
        <w:rPr>
          <w:spacing w:val="-1"/>
          <w:w w:val="33"/>
          <w:sz w:val="21"/>
        </w:rPr>
        <w:t>―</w:t>
      </w:r>
      <w:r>
        <w:rPr>
          <w:spacing w:val="-1"/>
          <w:w w:val="100"/>
          <w:sz w:val="21"/>
        </w:rPr>
        <w:t>11</w:t>
      </w:r>
      <w:r>
        <w:rPr>
          <w:w w:val="100"/>
          <w:sz w:val="21"/>
        </w:rPr>
        <w:t>.</w:t>
      </w:r>
      <w:r>
        <w:rPr>
          <w:sz w:val="21"/>
        </w:rPr>
        <w:t> </w:t>
      </w:r>
      <w:r>
        <w:rPr>
          <w:spacing w:val="-22"/>
          <w:sz w:val="21"/>
        </w:rPr>
        <w:t> </w:t>
      </w:r>
      <w:r>
        <w:rPr>
          <w:w w:val="100"/>
          <w:sz w:val="21"/>
        </w:rPr>
        <w:t>…</w:t>
      </w:r>
      <w:r>
        <w:rPr>
          <w:sz w:val="21"/>
        </w:rPr>
        <w:t> </w:t>
      </w:r>
      <w:r>
        <w:rPr>
          <w:spacing w:val="-21"/>
          <w:sz w:val="21"/>
        </w:rPr>
        <w:t> </w:t>
      </w:r>
      <w:r>
        <w:rPr>
          <w:spacing w:val="-1"/>
          <w:w w:val="100"/>
          <w:sz w:val="21"/>
        </w:rPr>
        <w:t>Mr</w:t>
      </w:r>
      <w:r>
        <w:rPr>
          <w:w w:val="100"/>
          <w:sz w:val="21"/>
        </w:rPr>
        <w:t>.</w:t>
      </w:r>
      <w:r>
        <w:rPr>
          <w:sz w:val="21"/>
        </w:rPr>
        <w:t> </w:t>
      </w:r>
      <w:r>
        <w:rPr>
          <w:spacing w:val="-22"/>
          <w:sz w:val="21"/>
        </w:rPr>
        <w:t> </w:t>
      </w:r>
      <w:r>
        <w:rPr>
          <w:spacing w:val="-4"/>
          <w:w w:val="100"/>
          <w:sz w:val="21"/>
        </w:rPr>
        <w:t>M</w:t>
      </w:r>
      <w:r>
        <w:rPr>
          <w:spacing w:val="-1"/>
          <w:w w:val="100"/>
          <w:sz w:val="21"/>
        </w:rPr>
        <w:t>ac</w:t>
      </w:r>
      <w:r>
        <w:rPr>
          <w:spacing w:val="-3"/>
          <w:w w:val="100"/>
          <w:sz w:val="21"/>
        </w:rPr>
        <w:t>p</w:t>
      </w:r>
      <w:r>
        <w:rPr>
          <w:spacing w:val="-1"/>
          <w:w w:val="100"/>
          <w:sz w:val="21"/>
        </w:rPr>
        <w:t>hers</w:t>
      </w:r>
      <w:r>
        <w:rPr>
          <w:spacing w:val="-3"/>
          <w:w w:val="100"/>
          <w:sz w:val="21"/>
        </w:rPr>
        <w:t>o</w:t>
      </w:r>
      <w:r>
        <w:rPr>
          <w:w w:val="100"/>
          <w:sz w:val="21"/>
        </w:rPr>
        <w:t>n</w:t>
      </w:r>
      <w:r>
        <w:rPr>
          <w:sz w:val="21"/>
        </w:rPr>
        <w:t> </w:t>
      </w:r>
      <w:r>
        <w:rPr>
          <w:spacing w:val="-24"/>
          <w:sz w:val="21"/>
        </w:rPr>
        <w:t> </w:t>
      </w:r>
      <w:r>
        <w:rPr>
          <w:spacing w:val="-1"/>
          <w:w w:val="100"/>
          <w:sz w:val="21"/>
        </w:rPr>
        <w:t>a</w:t>
      </w:r>
      <w:r>
        <w:rPr>
          <w:spacing w:val="-3"/>
          <w:w w:val="100"/>
          <w:sz w:val="21"/>
        </w:rPr>
        <w:t>d</w:t>
      </w:r>
      <w:r>
        <w:rPr>
          <w:spacing w:val="1"/>
          <w:w w:val="100"/>
          <w:sz w:val="21"/>
        </w:rPr>
        <w:t>m</w:t>
      </w:r>
      <w:r>
        <w:rPr>
          <w:w w:val="100"/>
          <w:sz w:val="21"/>
        </w:rPr>
        <w:t>i</w:t>
      </w:r>
      <w:r>
        <w:rPr>
          <w:spacing w:val="-2"/>
          <w:w w:val="100"/>
          <w:sz w:val="21"/>
        </w:rPr>
        <w:t>tt</w:t>
      </w:r>
      <w:r>
        <w:rPr>
          <w:spacing w:val="-1"/>
          <w:w w:val="100"/>
          <w:sz w:val="21"/>
        </w:rPr>
        <w:t>e</w:t>
      </w:r>
      <w:r>
        <w:rPr>
          <w:w w:val="100"/>
          <w:sz w:val="21"/>
        </w:rPr>
        <w:t>d</w:t>
      </w:r>
      <w:r>
        <w:rPr>
          <w:sz w:val="21"/>
        </w:rPr>
        <w:t> </w:t>
      </w:r>
      <w:r>
        <w:rPr>
          <w:spacing w:val="-23"/>
          <w:sz w:val="21"/>
        </w:rPr>
        <w:t> </w:t>
      </w:r>
      <w:r>
        <w:rPr>
          <w:spacing w:val="-2"/>
          <w:w w:val="100"/>
          <w:sz w:val="21"/>
        </w:rPr>
        <w:t>f</w:t>
      </w:r>
      <w:r>
        <w:rPr>
          <w:spacing w:val="-1"/>
          <w:w w:val="100"/>
          <w:sz w:val="21"/>
        </w:rPr>
        <w:t>o</w:t>
      </w:r>
      <w:r>
        <w:rPr>
          <w:w w:val="100"/>
          <w:sz w:val="21"/>
        </w:rPr>
        <w:t>r</w:t>
      </w:r>
      <w:r>
        <w:rPr>
          <w:sz w:val="21"/>
        </w:rPr>
        <w:t> </w:t>
      </w:r>
      <w:r>
        <w:rPr>
          <w:spacing w:val="-22"/>
          <w:sz w:val="21"/>
        </w:rPr>
        <w:t> </w:t>
      </w:r>
      <w:r>
        <w:rPr>
          <w:spacing w:val="-2"/>
          <w:w w:val="100"/>
          <w:sz w:val="21"/>
        </w:rPr>
        <w:t>t</w:t>
      </w:r>
      <w:r>
        <w:rPr>
          <w:spacing w:val="-1"/>
          <w:w w:val="100"/>
          <w:sz w:val="21"/>
        </w:rPr>
        <w:t>h</w:t>
      </w:r>
      <w:r>
        <w:rPr>
          <w:w w:val="100"/>
          <w:sz w:val="21"/>
        </w:rPr>
        <w:t>e</w:t>
      </w:r>
      <w:r>
        <w:rPr>
          <w:sz w:val="21"/>
        </w:rPr>
        <w:t> </w:t>
      </w:r>
      <w:r>
        <w:rPr>
          <w:spacing w:val="-23"/>
          <w:sz w:val="21"/>
        </w:rPr>
        <w:t> </w:t>
      </w:r>
      <w:r>
        <w:rPr>
          <w:spacing w:val="-1"/>
          <w:w w:val="100"/>
          <w:sz w:val="21"/>
        </w:rPr>
        <w:t>d</w:t>
      </w:r>
      <w:r>
        <w:rPr>
          <w:spacing w:val="-3"/>
          <w:w w:val="100"/>
          <w:sz w:val="21"/>
        </w:rPr>
        <w:t>e</w:t>
      </w:r>
      <w:r>
        <w:rPr>
          <w:spacing w:val="1"/>
          <w:w w:val="100"/>
          <w:sz w:val="21"/>
        </w:rPr>
        <w:t>f</w:t>
      </w:r>
      <w:r>
        <w:rPr>
          <w:spacing w:val="-3"/>
          <w:w w:val="100"/>
          <w:sz w:val="21"/>
        </w:rPr>
        <w:t>e</w:t>
      </w:r>
      <w:r>
        <w:rPr>
          <w:spacing w:val="-1"/>
          <w:w w:val="100"/>
          <w:sz w:val="21"/>
        </w:rPr>
        <w:t>nd</w:t>
      </w:r>
      <w:r>
        <w:rPr>
          <w:spacing w:val="-2"/>
          <w:w w:val="100"/>
          <w:sz w:val="21"/>
        </w:rPr>
        <w:t>a</w:t>
      </w:r>
      <w:r>
        <w:rPr>
          <w:spacing w:val="-1"/>
          <w:w w:val="100"/>
          <w:sz w:val="21"/>
        </w:rPr>
        <w:t>nt</w:t>
      </w:r>
      <w:r>
        <w:rPr>
          <w:w w:val="100"/>
          <w:sz w:val="21"/>
        </w:rPr>
        <w:t>s</w:t>
      </w:r>
      <w:r>
        <w:rPr>
          <w:sz w:val="21"/>
        </w:rPr>
        <w:t> </w:t>
      </w:r>
      <w:r>
        <w:rPr>
          <w:spacing w:val="-21"/>
          <w:sz w:val="21"/>
        </w:rPr>
        <w:t> </w:t>
      </w:r>
      <w:r>
        <w:rPr>
          <w:w w:val="100"/>
          <w:sz w:val="21"/>
        </w:rPr>
        <w:t>in</w:t>
      </w:r>
      <w:r>
        <w:rPr>
          <w:sz w:val="21"/>
        </w:rPr>
        <w:t> </w:t>
      </w:r>
      <w:r>
        <w:rPr>
          <w:spacing w:val="-24"/>
          <w:sz w:val="21"/>
        </w:rPr>
        <w:t> </w:t>
      </w:r>
      <w:r>
        <w:rPr>
          <w:spacing w:val="-2"/>
          <w:w w:val="100"/>
          <w:sz w:val="21"/>
        </w:rPr>
        <w:t>t</w:t>
      </w:r>
      <w:r>
        <w:rPr>
          <w:spacing w:val="-1"/>
          <w:w w:val="100"/>
          <w:sz w:val="21"/>
        </w:rPr>
        <w:t>h</w:t>
      </w:r>
      <w:r>
        <w:rPr>
          <w:spacing w:val="-2"/>
          <w:w w:val="100"/>
          <w:sz w:val="21"/>
        </w:rPr>
        <w:t>i</w:t>
      </w:r>
      <w:r>
        <w:rPr>
          <w:w w:val="100"/>
          <w:sz w:val="21"/>
        </w:rPr>
        <w:t>s </w:t>
      </w:r>
      <w:r>
        <w:rPr>
          <w:sz w:val="21"/>
        </w:rPr>
        <w:t>case that they could not sell the lands bestowed on the idol Shri Ranchhod Raiji. This restriction is like the one by which the Emperor forbade the alienation of dedicated lands under any circumstances Vyav. May., Chap. IV, S. VII, p. 23; Nov. 120, cap., 10. It is consistent with the grants having been made to the juridical person symbolized or personified in the idol at Dakor. It is not consistent with this juridical person's being conceived as a mere slave or property of the sevaks whose very title implies not ownership, but service of the god. It is indeed a strange, if not wilful, confusion of thought by which the defendants set up the Shri Ranchhod Raiji as a deity for the purpose of inviting gifts and vouchsafing blessings, but, as a mere block of stone, their property for the purpose of their appropriating every gift laid at its feet.. </w:t>
      </w:r>
      <w:r>
        <w:rPr>
          <w:b/>
          <w:sz w:val="21"/>
        </w:rPr>
        <w:t>But if there is a juridical person, the ideal embodiment of a pious or benevolent idea as the centre of the foundation, this artificial subject of rights is as capable of taking offerings of cash and jewels as of</w:t>
      </w:r>
      <w:r>
        <w:rPr>
          <w:b/>
          <w:spacing w:val="-10"/>
          <w:sz w:val="21"/>
        </w:rPr>
        <w:t> </w:t>
      </w:r>
      <w:r>
        <w:rPr>
          <w:b/>
          <w:sz w:val="21"/>
        </w:rPr>
        <w:t>land</w:t>
      </w:r>
      <w:r>
        <w:rPr>
          <w:sz w:val="21"/>
        </w:rPr>
        <w:t>.‖</w:t>
      </w:r>
    </w:p>
    <w:p>
      <w:pPr>
        <w:spacing w:before="0"/>
        <w:ind w:left="5555" w:right="0" w:firstLine="0"/>
        <w:jc w:val="both"/>
        <w:rPr>
          <w:sz w:val="21"/>
        </w:rPr>
      </w:pPr>
      <w:r>
        <w:rPr>
          <w:sz w:val="21"/>
        </w:rPr>
        <w:t>(Emphasis supplied)</w:t>
      </w:r>
    </w:p>
    <w:p>
      <w:pPr>
        <w:pStyle w:val="BodyText"/>
        <w:rPr>
          <w:sz w:val="24"/>
        </w:rPr>
      </w:pPr>
    </w:p>
    <w:p>
      <w:pPr>
        <w:pStyle w:val="BodyText"/>
        <w:spacing w:before="6"/>
        <w:rPr>
          <w:sz w:val="27"/>
        </w:rPr>
      </w:pPr>
    </w:p>
    <w:p>
      <w:pPr>
        <w:pStyle w:val="BodyText"/>
        <w:spacing w:line="480" w:lineRule="auto"/>
        <w:ind w:left="500" w:right="436"/>
        <w:jc w:val="both"/>
      </w:pPr>
      <w:r>
        <w:rPr>
          <w:w w:val="99"/>
        </w:rPr>
        <w:t>T</w:t>
      </w:r>
      <w:r>
        <w:rPr>
          <w:spacing w:val="-1"/>
          <w:w w:val="99"/>
        </w:rPr>
        <w:t>h</w:t>
      </w:r>
      <w:r>
        <w:rPr>
          <w:w w:val="99"/>
        </w:rPr>
        <w:t>e</w:t>
      </w:r>
      <w:r>
        <w:rPr/>
        <w:t> </w:t>
      </w:r>
      <w:r>
        <w:rPr>
          <w:spacing w:val="-1"/>
          <w:w w:val="99"/>
        </w:rPr>
        <w:t>d</w:t>
      </w:r>
      <w:r>
        <w:rPr>
          <w:w w:val="99"/>
        </w:rPr>
        <w:t>ecision</w:t>
      </w:r>
      <w:r>
        <w:rPr/>
        <w:t> </w:t>
      </w:r>
      <w:r>
        <w:rPr>
          <w:w w:val="99"/>
        </w:rPr>
        <w:t>clar</w:t>
      </w:r>
      <w:r>
        <w:rPr>
          <w:spacing w:val="-1"/>
          <w:w w:val="99"/>
        </w:rPr>
        <w:t>ifie</w:t>
      </w:r>
      <w:r>
        <w:rPr>
          <w:w w:val="99"/>
        </w:rPr>
        <w:t>s</w:t>
      </w:r>
      <w:r>
        <w:rPr/>
        <w:t> </w:t>
      </w:r>
      <w:r>
        <w:rPr>
          <w:w w:val="99"/>
        </w:rPr>
        <w:t>that</w:t>
      </w:r>
      <w:r>
        <w:rPr/>
        <w:t> </w:t>
      </w:r>
      <w:r>
        <w:rPr>
          <w:spacing w:val="-1"/>
          <w:w w:val="99"/>
        </w:rPr>
        <w:t>a</w:t>
      </w:r>
      <w:r>
        <w:rPr>
          <w:w w:val="99"/>
        </w:rPr>
        <w:t>n</w:t>
      </w:r>
      <w:r>
        <w:rPr/>
        <w:t> </w:t>
      </w:r>
      <w:r>
        <w:rPr>
          <w:spacing w:val="-1"/>
          <w:w w:val="99"/>
        </w:rPr>
        <w:t>ido</w:t>
      </w:r>
      <w:r>
        <w:rPr>
          <w:w w:val="99"/>
        </w:rPr>
        <w:t>l</w:t>
      </w:r>
      <w:r>
        <w:rPr/>
        <w:t> </w:t>
      </w:r>
      <w:r>
        <w:rPr>
          <w:spacing w:val="-1"/>
          <w:w w:val="99"/>
        </w:rPr>
        <w:t>a</w:t>
      </w:r>
      <w:r>
        <w:rPr>
          <w:w w:val="99"/>
        </w:rPr>
        <w:t>s</w:t>
      </w:r>
      <w:r>
        <w:rPr/>
        <w:t> </w:t>
      </w:r>
      <w:r>
        <w:rPr>
          <w:w w:val="99"/>
        </w:rPr>
        <w:t>a</w:t>
      </w:r>
      <w:r>
        <w:rPr/>
        <w:t> </w:t>
      </w:r>
      <w:r>
        <w:rPr>
          <w:spacing w:val="-1"/>
          <w:w w:val="99"/>
        </w:rPr>
        <w:t>ju</w:t>
      </w:r>
      <w:r>
        <w:rPr>
          <w:w w:val="99"/>
        </w:rPr>
        <w:t>r</w:t>
      </w:r>
      <w:r>
        <w:rPr>
          <w:spacing w:val="1"/>
          <w:w w:val="99"/>
        </w:rPr>
        <w:t>i</w:t>
      </w:r>
      <w:r>
        <w:rPr>
          <w:spacing w:val="-1"/>
          <w:w w:val="99"/>
        </w:rPr>
        <w:t>dica</w:t>
      </w:r>
      <w:r>
        <w:rPr>
          <w:w w:val="99"/>
        </w:rPr>
        <w:t>l</w:t>
      </w:r>
      <w:r>
        <w:rPr/>
        <w:t> </w:t>
      </w:r>
      <w:r>
        <w:rPr>
          <w:spacing w:val="-1"/>
          <w:w w:val="99"/>
        </w:rPr>
        <w:t>p</w:t>
      </w:r>
      <w:r>
        <w:rPr>
          <w:w w:val="99"/>
        </w:rPr>
        <w:t>erson</w:t>
      </w:r>
      <w:r>
        <w:rPr/>
        <w:t> </w:t>
      </w:r>
      <w:r>
        <w:rPr>
          <w:spacing w:val="-1"/>
          <w:w w:val="99"/>
        </w:rPr>
        <w:t>i</w:t>
      </w:r>
      <w:r>
        <w:rPr>
          <w:w w:val="99"/>
        </w:rPr>
        <w:t>s</w:t>
      </w:r>
      <w:r>
        <w:rPr/>
        <w:t> </w:t>
      </w:r>
      <w:r>
        <w:rPr>
          <w:w w:val="99"/>
        </w:rPr>
        <w:t>the</w:t>
      </w:r>
      <w:r>
        <w:rPr/>
        <w:t> </w:t>
      </w:r>
      <w:r>
        <w:rPr>
          <w:spacing w:val="9"/>
          <w:w w:val="33"/>
        </w:rPr>
        <w:t>―</w:t>
      </w:r>
      <w:r>
        <w:rPr>
          <w:w w:val="99"/>
        </w:rPr>
        <w:t>i</w:t>
      </w:r>
      <w:r>
        <w:rPr>
          <w:spacing w:val="2"/>
          <w:w w:val="99"/>
        </w:rPr>
        <w:t>d</w:t>
      </w:r>
      <w:r>
        <w:rPr>
          <w:w w:val="99"/>
        </w:rPr>
        <w:t>ea</w:t>
      </w:r>
      <w:r>
        <w:rPr>
          <w:w w:val="99"/>
        </w:rPr>
        <w:t>l</w:t>
      </w:r>
      <w:r>
        <w:rPr/>
        <w:t> </w:t>
      </w:r>
      <w:r>
        <w:rPr>
          <w:spacing w:val="-1"/>
          <w:w w:val="99"/>
        </w:rPr>
        <w:t>e</w:t>
      </w:r>
      <w:r>
        <w:rPr>
          <w:w w:val="99"/>
        </w:rPr>
        <w:t>m</w:t>
      </w:r>
      <w:r>
        <w:rPr>
          <w:spacing w:val="-1"/>
          <w:w w:val="99"/>
        </w:rPr>
        <w:t>b</w:t>
      </w:r>
      <w:r>
        <w:rPr>
          <w:w w:val="99"/>
        </w:rPr>
        <w:t>o</w:t>
      </w:r>
      <w:r>
        <w:rPr>
          <w:spacing w:val="-1"/>
          <w:w w:val="99"/>
        </w:rPr>
        <w:t>di</w:t>
      </w:r>
      <w:r>
        <w:rPr>
          <w:w w:val="99"/>
        </w:rPr>
        <w:t>m</w:t>
      </w:r>
      <w:r>
        <w:rPr>
          <w:spacing w:val="-1"/>
          <w:w w:val="99"/>
        </w:rPr>
        <w:t>e</w:t>
      </w:r>
      <w:r>
        <w:rPr>
          <w:w w:val="99"/>
        </w:rPr>
        <w:t>n</w:t>
      </w:r>
      <w:r>
        <w:rPr>
          <w:w w:val="88"/>
        </w:rPr>
        <w:t>t‖ </w:t>
      </w:r>
      <w:r>
        <w:rPr/>
        <w:t>of a pious or benevolent idea. The status of a juristic person was conferred on the idol as an entity which encompasses the purpose itself in</w:t>
      </w:r>
      <w:r>
        <w:rPr>
          <w:spacing w:val="52"/>
        </w:rPr>
        <w:t> </w:t>
      </w:r>
      <w:r>
        <w:rPr/>
        <w:t>which</w:t>
      </w:r>
      <w:r>
        <w:rPr>
          <w:spacing w:val="51"/>
        </w:rPr>
        <w:t> </w:t>
      </w:r>
      <w:r>
        <w:rPr/>
        <w:t>capacity 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9"/>
        <w:jc w:val="both"/>
      </w:pPr>
      <w:r>
        <w:rPr/>
        <w:t>properties and offerings vest. The observations in this case affirm the position that juridical personality was conferred on the pious purpose and the property endowed or accumulated did not itself become a juristic entity. It is not the property endowed which is a juridical person – it is the idol which as an embodiment of a pious purpose which is recognised as a juristic person, in whom the property stands</w:t>
      </w:r>
      <w:r>
        <w:rPr>
          <w:spacing w:val="-5"/>
        </w:rPr>
        <w:t> </w:t>
      </w:r>
      <w:r>
        <w:rPr/>
        <w:t>vested.</w:t>
      </w:r>
    </w:p>
    <w:p>
      <w:pPr>
        <w:pStyle w:val="BodyText"/>
        <w:spacing w:before="9"/>
        <w:rPr>
          <w:sz w:val="24"/>
        </w:rPr>
      </w:pPr>
    </w:p>
    <w:p>
      <w:pPr>
        <w:pStyle w:val="ListParagraph"/>
        <w:numPr>
          <w:ilvl w:val="0"/>
          <w:numId w:val="3"/>
        </w:numPr>
        <w:tabs>
          <w:tab w:pos="1221" w:val="left" w:leader="none"/>
        </w:tabs>
        <w:spacing w:line="240" w:lineRule="auto" w:before="0" w:after="0"/>
        <w:ind w:left="1220" w:right="0" w:hanging="721"/>
        <w:jc w:val="both"/>
        <w:rPr>
          <w:sz w:val="25"/>
        </w:rPr>
      </w:pPr>
      <w:r>
        <w:rPr>
          <w:sz w:val="25"/>
        </w:rPr>
        <w:t>In </w:t>
      </w:r>
      <w:r>
        <w:rPr>
          <w:b/>
          <w:sz w:val="25"/>
        </w:rPr>
        <w:t>Rampat </w:t>
      </w:r>
      <w:r>
        <w:rPr>
          <w:sz w:val="25"/>
        </w:rPr>
        <w:t>v </w:t>
      </w:r>
      <w:r>
        <w:rPr>
          <w:b/>
          <w:sz w:val="25"/>
        </w:rPr>
        <w:t>Durga Bharthi</w:t>
      </w:r>
      <w:r>
        <w:rPr>
          <w:sz w:val="25"/>
          <w:vertAlign w:val="superscript"/>
        </w:rPr>
        <w:t>89</w:t>
      </w:r>
      <w:r>
        <w:rPr>
          <w:sz w:val="25"/>
          <w:vertAlign w:val="baseline"/>
        </w:rPr>
        <w:t>, the respondent claimed, as Mahant of</w:t>
      </w:r>
      <w:r>
        <w:rPr>
          <w:spacing w:val="45"/>
          <w:sz w:val="25"/>
          <w:vertAlign w:val="baseline"/>
        </w:rPr>
        <w:t> </w:t>
      </w:r>
      <w:r>
        <w:rPr>
          <w:sz w:val="25"/>
          <w:vertAlign w:val="baseline"/>
        </w:rPr>
        <w:t>the</w:t>
      </w:r>
    </w:p>
    <w:p>
      <w:pPr>
        <w:pStyle w:val="BodyText"/>
        <w:spacing w:before="3"/>
      </w:pPr>
    </w:p>
    <w:p>
      <w:pPr>
        <w:pStyle w:val="BodyText"/>
        <w:spacing w:line="480" w:lineRule="auto"/>
        <w:ind w:left="500" w:right="440"/>
        <w:jc w:val="both"/>
      </w:pPr>
      <w:r>
        <w:rPr/>
        <w:t>‗Asthan‘ as well as under the deed of settlement, that he was entitled to recover properties which appertain to the ‗Asthan‘ of Parela. One Mr Ghattari</w:t>
      </w:r>
      <w:r>
        <w:rPr>
          <w:spacing w:val="-34"/>
        </w:rPr>
        <w:t> </w:t>
      </w:r>
      <w:r>
        <w:rPr/>
        <w:t>constructed a</w:t>
      </w:r>
      <w:r>
        <w:rPr>
          <w:spacing w:val="-6"/>
        </w:rPr>
        <w:t> </w:t>
      </w:r>
      <w:r>
        <w:rPr/>
        <w:t>monastery</w:t>
      </w:r>
      <w:r>
        <w:rPr>
          <w:spacing w:val="-8"/>
        </w:rPr>
        <w:t> </w:t>
      </w:r>
      <w:r>
        <w:rPr/>
        <w:t>(‗Asthan‘)</w:t>
      </w:r>
      <w:r>
        <w:rPr>
          <w:spacing w:val="-5"/>
        </w:rPr>
        <w:t> </w:t>
      </w:r>
      <w:r>
        <w:rPr/>
        <w:t>at</w:t>
      </w:r>
      <w:r>
        <w:rPr>
          <w:spacing w:val="-5"/>
        </w:rPr>
        <w:t> </w:t>
      </w:r>
      <w:r>
        <w:rPr/>
        <w:t>Parela</w:t>
      </w:r>
      <w:r>
        <w:rPr>
          <w:spacing w:val="-6"/>
        </w:rPr>
        <w:t> </w:t>
      </w:r>
      <w:r>
        <w:rPr/>
        <w:t>and</w:t>
      </w:r>
      <w:r>
        <w:rPr>
          <w:spacing w:val="-5"/>
        </w:rPr>
        <w:t> </w:t>
      </w:r>
      <w:r>
        <w:rPr/>
        <w:t>consecrated</w:t>
      </w:r>
      <w:r>
        <w:rPr>
          <w:spacing w:val="-5"/>
        </w:rPr>
        <w:t> </w:t>
      </w:r>
      <w:r>
        <w:rPr/>
        <w:t>its</w:t>
      </w:r>
      <w:r>
        <w:rPr>
          <w:spacing w:val="-7"/>
        </w:rPr>
        <w:t> </w:t>
      </w:r>
      <w:r>
        <w:rPr/>
        <w:t>building</w:t>
      </w:r>
      <w:r>
        <w:rPr>
          <w:spacing w:val="-5"/>
        </w:rPr>
        <w:t> </w:t>
      </w:r>
      <w:r>
        <w:rPr/>
        <w:t>towards</w:t>
      </w:r>
      <w:r>
        <w:rPr>
          <w:spacing w:val="-5"/>
        </w:rPr>
        <w:t> </w:t>
      </w:r>
      <w:r>
        <w:rPr/>
        <w:t>the</w:t>
      </w:r>
      <w:r>
        <w:rPr>
          <w:spacing w:val="-6"/>
        </w:rPr>
        <w:t> </w:t>
      </w:r>
      <w:r>
        <w:rPr/>
        <w:t>service of his ascetic brotherhood and purchased the suit villages for the maintenance of the institution. Justice Nazir Hasan speaking for the Oudh Judicial Commissioner‘s Court on the nature of the ‗Asthan‘</w:t>
      </w:r>
      <w:r>
        <w:rPr>
          <w:spacing w:val="-23"/>
        </w:rPr>
        <w:t> </w:t>
      </w:r>
      <w:r>
        <w:rPr/>
        <w:t>held:</w:t>
      </w:r>
    </w:p>
    <w:p>
      <w:pPr>
        <w:spacing w:line="276" w:lineRule="auto" w:before="0"/>
        <w:ind w:left="1940" w:right="2260" w:firstLine="0"/>
        <w:jc w:val="both"/>
        <w:rPr>
          <w:sz w:val="21"/>
        </w:rPr>
      </w:pPr>
      <w:r>
        <w:rPr>
          <w:w w:val="33"/>
          <w:sz w:val="21"/>
        </w:rPr>
        <w:t>―</w:t>
      </w:r>
      <w:r>
        <w:rPr>
          <w:w w:val="100"/>
          <w:sz w:val="21"/>
        </w:rPr>
        <w:t>In</w:t>
      </w:r>
      <w:r>
        <w:rPr>
          <w:sz w:val="21"/>
        </w:rPr>
        <w:t>  </w:t>
      </w:r>
      <w:r>
        <w:rPr>
          <w:w w:val="100"/>
          <w:sz w:val="21"/>
        </w:rPr>
        <w:t>my</w:t>
      </w:r>
      <w:r>
        <w:rPr>
          <w:sz w:val="21"/>
        </w:rPr>
        <w:t>  </w:t>
      </w:r>
      <w:r>
        <w:rPr>
          <w:w w:val="100"/>
          <w:sz w:val="21"/>
        </w:rPr>
        <w:t>opinion,</w:t>
      </w:r>
      <w:r>
        <w:rPr>
          <w:sz w:val="21"/>
        </w:rPr>
        <w:t>  </w:t>
      </w:r>
      <w:r>
        <w:rPr>
          <w:w w:val="100"/>
          <w:sz w:val="21"/>
        </w:rPr>
        <w:t>the</w:t>
      </w:r>
      <w:r>
        <w:rPr>
          <w:sz w:val="21"/>
        </w:rPr>
        <w:t>  </w:t>
      </w:r>
      <w:r>
        <w:rPr>
          <w:w w:val="100"/>
          <w:sz w:val="21"/>
        </w:rPr>
        <w:t>Asthan</w:t>
      </w:r>
      <w:r>
        <w:rPr>
          <w:sz w:val="21"/>
        </w:rPr>
        <w:t>  </w:t>
      </w:r>
      <w:r>
        <w:rPr>
          <w:w w:val="100"/>
          <w:sz w:val="21"/>
        </w:rPr>
        <w:t>at</w:t>
      </w:r>
      <w:r>
        <w:rPr>
          <w:sz w:val="21"/>
        </w:rPr>
        <w:t>  </w:t>
      </w:r>
      <w:r>
        <w:rPr>
          <w:w w:val="100"/>
          <w:sz w:val="21"/>
        </w:rPr>
        <w:t>Parela,</w:t>
      </w:r>
      <w:r>
        <w:rPr>
          <w:sz w:val="21"/>
        </w:rPr>
        <w:t>  </w:t>
      </w:r>
      <w:r>
        <w:rPr>
          <w:w w:val="100"/>
          <w:sz w:val="21"/>
        </w:rPr>
        <w:t>as</w:t>
      </w:r>
      <w:r>
        <w:rPr>
          <w:sz w:val="21"/>
        </w:rPr>
        <w:t>  </w:t>
      </w:r>
      <w:r>
        <w:rPr>
          <w:w w:val="100"/>
          <w:sz w:val="21"/>
        </w:rPr>
        <w:t>founded,</w:t>
      </w:r>
      <w:r>
        <w:rPr>
          <w:sz w:val="21"/>
        </w:rPr>
        <w:t>  </w:t>
      </w:r>
      <w:r>
        <w:rPr>
          <w:w w:val="100"/>
          <w:sz w:val="21"/>
        </w:rPr>
        <w:t>was </w:t>
      </w:r>
      <w:r>
        <w:rPr>
          <w:sz w:val="21"/>
        </w:rPr>
        <w:t>completely in accordance with the type of monasteries of the old days. The several legal concepts which emerge out of the foregoing narrative may be stated to be as follows: (1) </w:t>
      </w:r>
      <w:r>
        <w:rPr>
          <w:b/>
          <w:sz w:val="21"/>
        </w:rPr>
        <w:t>It is a congregation of Sannyasis, celibates and ascetics, who has entirely cut themselves off from worldly ties. (</w:t>
      </w:r>
      <w:r>
        <w:rPr>
          <w:sz w:val="21"/>
        </w:rPr>
        <w:t>2) The properties appertaining to the Asthan are held in trust for the purposes of the Asthan. (3) The purposes of the Asthan are maintenance of the devotees and propagation of charities. (4) The head of the Asthan is the trustee of the institution and of the properties attached to it….</w:t>
      </w:r>
      <w:r>
        <w:rPr>
          <w:b/>
          <w:sz w:val="21"/>
        </w:rPr>
        <w:t>An Asthan therefore is essentially an institution of Sannyasis, celibates and ascetics – having no wordly connection either of wealth or of family</w:t>
      </w:r>
      <w:r>
        <w:rPr>
          <w:sz w:val="21"/>
        </w:rPr>
        <w:t>.‖</w:t>
      </w:r>
    </w:p>
    <w:p>
      <w:pPr>
        <w:spacing w:before="0"/>
        <w:ind w:left="5798" w:right="0" w:firstLine="0"/>
        <w:jc w:val="left"/>
        <w:rPr>
          <w:sz w:val="21"/>
        </w:rPr>
      </w:pPr>
      <w:r>
        <w:rPr>
          <w:sz w:val="21"/>
        </w:rPr>
        <w:t>(Emphasis supplied)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r>
        <w:rPr/>
        <w:pict>
          <v:rect style="position:absolute;margin-left:72.024002pt;margin-top:18.202223pt;width:144.020pt;height:.599980pt;mso-position-horizontal-relative:page;mso-position-vertical-relative:paragraph;z-index:-1570099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89</w:t>
      </w:r>
      <w:r>
        <w:rPr>
          <w:sz w:val="18"/>
          <w:vertAlign w:val="baseline"/>
        </w:rPr>
        <w:t> AIR 1920 Oudh 258</w:t>
      </w:r>
    </w:p>
    <w:p>
      <w:pPr>
        <w:spacing w:after="0"/>
        <w:jc w:val="left"/>
        <w:rPr>
          <w:sz w:val="18"/>
        </w:rPr>
        <w:sectPr>
          <w:pgSz w:w="11910" w:h="16840"/>
          <w:pgMar w:header="721" w:footer="1014" w:top="1300" w:bottom="1200" w:left="940" w:right="1000"/>
        </w:sectPr>
      </w:pPr>
    </w:p>
    <w:p>
      <w:pPr>
        <w:pStyle w:val="BodyText"/>
        <w:spacing w:line="480" w:lineRule="auto" w:before="124"/>
        <w:ind w:left="500" w:right="439"/>
        <w:jc w:val="both"/>
      </w:pPr>
      <w:r>
        <w:rPr>
          <w:w w:val="99"/>
        </w:rPr>
        <w:t>In</w:t>
      </w:r>
      <w:r>
        <w:rPr/>
        <w:t> </w:t>
      </w:r>
      <w:r>
        <w:rPr>
          <w:w w:val="99"/>
        </w:rPr>
        <w:t>this</w:t>
      </w:r>
      <w:r>
        <w:rPr/>
        <w:t> </w:t>
      </w:r>
      <w:r>
        <w:rPr>
          <w:w w:val="99"/>
        </w:rPr>
        <w:t>view,</w:t>
      </w:r>
      <w:r>
        <w:rPr/>
        <w:t> </w:t>
      </w:r>
      <w:r>
        <w:rPr>
          <w:w w:val="99"/>
        </w:rPr>
        <w:t>the</w:t>
      </w:r>
      <w:r>
        <w:rPr/>
        <w:t> </w:t>
      </w:r>
      <w:r>
        <w:rPr>
          <w:w w:val="40"/>
        </w:rPr>
        <w:t>‗</w:t>
      </w:r>
      <w:r>
        <w:rPr>
          <w:w w:val="99"/>
        </w:rPr>
        <w:t>Asthan‘</w:t>
      </w:r>
      <w:r>
        <w:rPr/>
        <w:t> </w:t>
      </w:r>
      <w:r>
        <w:rPr>
          <w:w w:val="99"/>
        </w:rPr>
        <w:t>was</w:t>
      </w:r>
      <w:r>
        <w:rPr/>
        <w:t> </w:t>
      </w:r>
      <w:r>
        <w:rPr>
          <w:w w:val="99"/>
        </w:rPr>
        <w:t>not</w:t>
      </w:r>
      <w:r>
        <w:rPr/>
        <w:t> </w:t>
      </w:r>
      <w:r>
        <w:rPr>
          <w:w w:val="99"/>
        </w:rPr>
        <w:t>a</w:t>
      </w:r>
      <w:r>
        <w:rPr/>
        <w:t> </w:t>
      </w:r>
      <w:r>
        <w:rPr>
          <w:w w:val="99"/>
        </w:rPr>
        <w:t>building</w:t>
      </w:r>
      <w:r>
        <w:rPr/>
        <w:t> </w:t>
      </w:r>
      <w:r>
        <w:rPr>
          <w:w w:val="99"/>
        </w:rPr>
        <w:t>but</w:t>
      </w:r>
      <w:r>
        <w:rPr/>
        <w:t> </w:t>
      </w:r>
      <w:r>
        <w:rPr>
          <w:w w:val="99"/>
        </w:rPr>
        <w:t>a</w:t>
      </w:r>
      <w:r>
        <w:rPr/>
        <w:t> </w:t>
      </w:r>
      <w:r>
        <w:rPr>
          <w:w w:val="99"/>
        </w:rPr>
        <w:t>seat</w:t>
      </w:r>
      <w:r>
        <w:rPr/>
        <w:t> </w:t>
      </w:r>
      <w:r>
        <w:rPr>
          <w:w w:val="99"/>
        </w:rPr>
        <w:t>of</w:t>
      </w:r>
      <w:r>
        <w:rPr/>
        <w:t> </w:t>
      </w:r>
      <w:r>
        <w:rPr>
          <w:w w:val="99"/>
        </w:rPr>
        <w:t>religious</w:t>
      </w:r>
      <w:r>
        <w:rPr/>
        <w:t> </w:t>
      </w:r>
      <w:r>
        <w:rPr>
          <w:w w:val="99"/>
        </w:rPr>
        <w:t>learning.</w:t>
      </w:r>
      <w:r>
        <w:rPr/>
        <w:t> </w:t>
      </w:r>
      <w:r>
        <w:rPr>
          <w:w w:val="99"/>
        </w:rPr>
        <w:t>The </w:t>
      </w:r>
      <w:r>
        <w:rPr/>
        <w:t>nature of the ‗Asthan‘ abundantly clarifies that is was not treated as corporeal property, but a charitable institution of learning which was considered to be the juridical person. The physical property that was the monastery was not treated as a juristic person. The court concluded that it was the charitable institution as a juristic person in which the suit villages vested.</w:t>
      </w:r>
    </w:p>
    <w:p>
      <w:pPr>
        <w:pStyle w:val="BodyText"/>
        <w:spacing w:before="9"/>
        <w:rPr>
          <w:sz w:val="24"/>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In </w:t>
      </w:r>
      <w:r>
        <w:rPr>
          <w:b/>
          <w:sz w:val="25"/>
        </w:rPr>
        <w:t>Rambrahma Chatterjee </w:t>
      </w:r>
      <w:r>
        <w:rPr>
          <w:sz w:val="25"/>
        </w:rPr>
        <w:t>v </w:t>
      </w:r>
      <w:r>
        <w:rPr>
          <w:b/>
          <w:sz w:val="25"/>
        </w:rPr>
        <w:t>Kedar Nath Banerjee</w:t>
      </w:r>
      <w:r>
        <w:rPr>
          <w:sz w:val="25"/>
          <w:vertAlign w:val="superscript"/>
        </w:rPr>
        <w:t>90</w:t>
      </w:r>
      <w:r>
        <w:rPr>
          <w:sz w:val="25"/>
          <w:vertAlign w:val="baseline"/>
        </w:rPr>
        <w:t>, the respondents instituted a suit for a declaration that they were entitled to participate in the </w:t>
      </w:r>
      <w:r>
        <w:rPr>
          <w:i/>
          <w:sz w:val="25"/>
          <w:vertAlign w:val="baseline"/>
        </w:rPr>
        <w:t>bhog </w:t>
      </w:r>
      <w:r>
        <w:rPr>
          <w:sz w:val="25"/>
          <w:vertAlign w:val="baseline"/>
        </w:rPr>
        <w:t>offered to three idols which were consecrated by the common ancestors of the respondents and the appellant. A temple was constructed, and properties were dedicated to the idols. The respondents, as descendants of the founders through their daughters claimed a practice of participating in the </w:t>
      </w:r>
      <w:r>
        <w:rPr>
          <w:i/>
          <w:sz w:val="25"/>
          <w:vertAlign w:val="baseline"/>
        </w:rPr>
        <w:t>bhog </w:t>
      </w:r>
      <w:r>
        <w:rPr>
          <w:sz w:val="25"/>
          <w:vertAlign w:val="baseline"/>
        </w:rPr>
        <w:t>and the courts below found that the descendants in the male line had consistently been shebaits. The question which arose for determination was whether it was competent for the founder to direct that the shebaitship should be vested in the descendants through the son and that the descendants through the daughters have a right to participate in the </w:t>
      </w:r>
      <w:r>
        <w:rPr>
          <w:i/>
          <w:sz w:val="25"/>
          <w:vertAlign w:val="baseline"/>
        </w:rPr>
        <w:t>bhog </w:t>
      </w:r>
      <w:r>
        <w:rPr>
          <w:sz w:val="25"/>
          <w:vertAlign w:val="baseline"/>
        </w:rPr>
        <w:t>offering. The High Court of Calcutta, held as</w:t>
      </w:r>
      <w:r>
        <w:rPr>
          <w:spacing w:val="-2"/>
          <w:sz w:val="25"/>
          <w:vertAlign w:val="baseline"/>
        </w:rPr>
        <w:t> </w:t>
      </w:r>
      <w:r>
        <w:rPr>
          <w:sz w:val="25"/>
          <w:vertAlign w:val="baseline"/>
        </w:rPr>
        <w:t>follows:</w:t>
      </w:r>
    </w:p>
    <w:p>
      <w:pPr>
        <w:spacing w:line="276" w:lineRule="auto" w:before="3"/>
        <w:ind w:left="1940" w:right="2260" w:firstLine="0"/>
        <w:jc w:val="both"/>
        <w:rPr>
          <w:sz w:val="21"/>
        </w:rPr>
      </w:pPr>
      <w:r>
        <w:rPr>
          <w:w w:val="33"/>
          <w:sz w:val="21"/>
        </w:rPr>
        <w:t>―</w:t>
      </w:r>
      <w:r>
        <w:rPr>
          <w:w w:val="100"/>
          <w:sz w:val="21"/>
        </w:rPr>
        <w:t>…a</w:t>
      </w:r>
      <w:r>
        <w:rPr>
          <w:sz w:val="21"/>
        </w:rPr>
        <w:t> </w:t>
      </w:r>
      <w:r>
        <w:rPr>
          <w:w w:val="100"/>
          <w:sz w:val="21"/>
        </w:rPr>
        <w:t>charitable</w:t>
      </w:r>
      <w:r>
        <w:rPr>
          <w:sz w:val="21"/>
        </w:rPr>
        <w:t> </w:t>
      </w:r>
      <w:r>
        <w:rPr>
          <w:w w:val="100"/>
          <w:sz w:val="21"/>
        </w:rPr>
        <w:t>corporation,</w:t>
      </w:r>
      <w:r>
        <w:rPr>
          <w:sz w:val="21"/>
        </w:rPr>
        <w:t> </w:t>
      </w:r>
      <w:r>
        <w:rPr>
          <w:w w:val="100"/>
          <w:sz w:val="21"/>
        </w:rPr>
        <w:t>in</w:t>
      </w:r>
      <w:r>
        <w:rPr>
          <w:sz w:val="21"/>
        </w:rPr>
        <w:t> </w:t>
      </w:r>
      <w:r>
        <w:rPr>
          <w:w w:val="100"/>
          <w:sz w:val="21"/>
        </w:rPr>
        <w:t>so</w:t>
      </w:r>
      <w:r>
        <w:rPr>
          <w:sz w:val="21"/>
        </w:rPr>
        <w:t> </w:t>
      </w:r>
      <w:r>
        <w:rPr>
          <w:w w:val="100"/>
          <w:sz w:val="21"/>
        </w:rPr>
        <w:t>far</w:t>
      </w:r>
      <w:r>
        <w:rPr>
          <w:sz w:val="21"/>
        </w:rPr>
        <w:t> </w:t>
      </w:r>
      <w:r>
        <w:rPr>
          <w:w w:val="100"/>
          <w:sz w:val="21"/>
        </w:rPr>
        <w:t>as</w:t>
      </w:r>
      <w:r>
        <w:rPr>
          <w:sz w:val="21"/>
        </w:rPr>
        <w:t> </w:t>
      </w:r>
      <w:r>
        <w:rPr>
          <w:w w:val="100"/>
          <w:sz w:val="21"/>
        </w:rPr>
        <w:t>it</w:t>
      </w:r>
      <w:r>
        <w:rPr>
          <w:sz w:val="21"/>
        </w:rPr>
        <w:t> </w:t>
      </w:r>
      <w:r>
        <w:rPr>
          <w:w w:val="100"/>
          <w:sz w:val="21"/>
        </w:rPr>
        <w:t>is</w:t>
      </w:r>
      <w:r>
        <w:rPr>
          <w:sz w:val="21"/>
        </w:rPr>
        <w:t> </w:t>
      </w:r>
      <w:r>
        <w:rPr>
          <w:w w:val="100"/>
          <w:sz w:val="21"/>
        </w:rPr>
        <w:t>charitable,</w:t>
      </w:r>
      <w:r>
        <w:rPr>
          <w:sz w:val="21"/>
        </w:rPr>
        <w:t> </w:t>
      </w:r>
      <w:r>
        <w:rPr>
          <w:w w:val="100"/>
          <w:sz w:val="21"/>
        </w:rPr>
        <w:t>is</w:t>
      </w:r>
      <w:r>
        <w:rPr>
          <w:sz w:val="21"/>
        </w:rPr>
        <w:t> </w:t>
      </w:r>
      <w:r>
        <w:rPr>
          <w:w w:val="100"/>
          <w:sz w:val="21"/>
        </w:rPr>
        <w:t>t</w:t>
      </w:r>
      <w:r>
        <w:rPr>
          <w:w w:val="100"/>
          <w:sz w:val="21"/>
        </w:rPr>
        <w:t>he </w:t>
      </w:r>
      <w:r>
        <w:rPr>
          <w:sz w:val="21"/>
        </w:rPr>
        <w:t>creature of the founder…There is no reason why the founder, who is competent to provide for the government and administration of the trust, should not be able to give a direction for its management, which is not inconsistent with its character as a religious and charitable trust…The test in each case is, whether the direction given by the founder is inconsistent with the nature of the endowment as a religious and charitable trust and is a colourable device for the evasion of the law of perpetuities.‖</w:t>
      </w:r>
    </w:p>
    <w:p>
      <w:pPr>
        <w:pStyle w:val="BodyText"/>
        <w:spacing w:before="9"/>
        <w:rPr>
          <w:sz w:val="15"/>
        </w:rPr>
      </w:pPr>
      <w:r>
        <w:rPr/>
        <w:pict>
          <v:rect style="position:absolute;margin-left:72.024002pt;margin-top:11.072827pt;width:144.020pt;height:.599980pt;mso-position-horizontal-relative:page;mso-position-vertical-relative:paragraph;z-index:-1570048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90</w:t>
      </w:r>
      <w:r>
        <w:rPr>
          <w:sz w:val="18"/>
          <w:vertAlign w:val="baseline"/>
        </w:rPr>
        <w:t> (1922) 36 CLJ 478</w:t>
      </w:r>
    </w:p>
    <w:p>
      <w:pPr>
        <w:spacing w:after="0"/>
        <w:jc w:val="left"/>
        <w:rPr>
          <w:sz w:val="18"/>
        </w:rPr>
        <w:sectPr>
          <w:headerReference w:type="default" r:id="rId60"/>
          <w:footerReference w:type="default" r:id="rId61"/>
          <w:pgSz w:w="11910" w:h="16840"/>
          <w:pgMar w:header="721" w:footer="1014" w:top="1300" w:bottom="1200" w:left="940" w:right="1000"/>
          <w:pgNumType w:start="176"/>
        </w:sectPr>
      </w:pPr>
    </w:p>
    <w:p>
      <w:pPr>
        <w:pStyle w:val="BodyText"/>
        <w:spacing w:line="480" w:lineRule="auto" w:before="124"/>
        <w:ind w:left="500" w:right="441"/>
        <w:jc w:val="both"/>
      </w:pPr>
      <w:r>
        <w:rPr/>
        <w:t>The court noted that for over two centuries, shebaitship rights had vested in the descendants through the sons and that the descendants through the daughters exercised a right to participate in the </w:t>
      </w:r>
      <w:r>
        <w:rPr>
          <w:i/>
        </w:rPr>
        <w:t>bhog </w:t>
      </w:r>
      <w:r>
        <w:rPr/>
        <w:t>offering. In this context, the court held that it would be slow to interfere with the exercise of these rights over a long duration of time without question and a reasonable presumption will be drawn in favour of such a right. The plaintiffs in Suit 5 relied on the observation in this case that a deity is conceived as a real living being. In this regard, the court noted:</w:t>
      </w:r>
    </w:p>
    <w:p>
      <w:pPr>
        <w:spacing w:line="276" w:lineRule="auto" w:before="0"/>
        <w:ind w:left="1940" w:right="2260" w:firstLine="0"/>
        <w:jc w:val="both"/>
        <w:rPr>
          <w:sz w:val="21"/>
        </w:rPr>
      </w:pPr>
      <w:r>
        <w:rPr>
          <w:spacing w:val="-1"/>
          <w:w w:val="33"/>
          <w:sz w:val="21"/>
        </w:rPr>
        <w:t>―</w:t>
      </w:r>
      <w:r>
        <w:rPr>
          <w:w w:val="100"/>
          <w:sz w:val="21"/>
        </w:rPr>
        <w:t>…T</w:t>
      </w:r>
      <w:r>
        <w:rPr>
          <w:spacing w:val="-2"/>
          <w:w w:val="100"/>
          <w:sz w:val="21"/>
        </w:rPr>
        <w:t>h</w:t>
      </w:r>
      <w:r>
        <w:rPr>
          <w:spacing w:val="-1"/>
          <w:w w:val="100"/>
          <w:sz w:val="21"/>
        </w:rPr>
        <w:t>er</w:t>
      </w:r>
      <w:r>
        <w:rPr>
          <w:w w:val="100"/>
          <w:sz w:val="21"/>
        </w:rPr>
        <w:t>e</w:t>
      </w:r>
      <w:r>
        <w:rPr>
          <w:sz w:val="21"/>
        </w:rPr>
        <w:t> </w:t>
      </w:r>
      <w:r>
        <w:rPr>
          <w:spacing w:val="2"/>
          <w:sz w:val="21"/>
        </w:rPr>
        <w:t> </w:t>
      </w:r>
      <w:r>
        <w:rPr>
          <w:w w:val="100"/>
          <w:sz w:val="21"/>
        </w:rPr>
        <w:t>is</w:t>
      </w:r>
      <w:r>
        <w:rPr>
          <w:sz w:val="21"/>
        </w:rPr>
        <w:t> </w:t>
      </w:r>
      <w:r>
        <w:rPr>
          <w:spacing w:val="3"/>
          <w:sz w:val="21"/>
        </w:rPr>
        <w:t> </w:t>
      </w:r>
      <w:r>
        <w:rPr>
          <w:w w:val="100"/>
          <w:sz w:val="21"/>
        </w:rPr>
        <w:t>a</w:t>
      </w:r>
      <w:r>
        <w:rPr>
          <w:sz w:val="21"/>
        </w:rPr>
        <w:t> </w:t>
      </w:r>
      <w:r>
        <w:rPr>
          <w:spacing w:val="3"/>
          <w:sz w:val="21"/>
        </w:rPr>
        <w:t> </w:t>
      </w:r>
      <w:r>
        <w:rPr>
          <w:spacing w:val="1"/>
          <w:w w:val="100"/>
          <w:sz w:val="21"/>
        </w:rPr>
        <w:t>f</w:t>
      </w:r>
      <w:r>
        <w:rPr>
          <w:spacing w:val="-3"/>
          <w:w w:val="100"/>
          <w:sz w:val="21"/>
        </w:rPr>
        <w:t>u</w:t>
      </w:r>
      <w:r>
        <w:rPr>
          <w:spacing w:val="-1"/>
          <w:w w:val="100"/>
          <w:sz w:val="21"/>
        </w:rPr>
        <w:t>nd</w:t>
      </w:r>
      <w:r>
        <w:rPr>
          <w:spacing w:val="-2"/>
          <w:w w:val="100"/>
          <w:sz w:val="21"/>
        </w:rPr>
        <w:t>a</w:t>
      </w:r>
      <w:r>
        <w:rPr>
          <w:spacing w:val="-1"/>
          <w:w w:val="100"/>
          <w:sz w:val="21"/>
        </w:rPr>
        <w:t>men</w:t>
      </w:r>
      <w:r>
        <w:rPr>
          <w:spacing w:val="-4"/>
          <w:w w:val="100"/>
          <w:sz w:val="21"/>
        </w:rPr>
        <w:t>t</w:t>
      </w:r>
      <w:r>
        <w:rPr>
          <w:spacing w:val="-1"/>
          <w:w w:val="100"/>
          <w:sz w:val="21"/>
        </w:rPr>
        <w:t>a</w:t>
      </w:r>
      <w:r>
        <w:rPr>
          <w:w w:val="100"/>
          <w:sz w:val="21"/>
        </w:rPr>
        <w:t>l</w:t>
      </w:r>
      <w:r>
        <w:rPr>
          <w:sz w:val="21"/>
        </w:rPr>
        <w:t> </w:t>
      </w:r>
      <w:r>
        <w:rPr>
          <w:spacing w:val="4"/>
          <w:sz w:val="21"/>
        </w:rPr>
        <w:t> </w:t>
      </w:r>
      <w:r>
        <w:rPr>
          <w:spacing w:val="-1"/>
          <w:w w:val="100"/>
          <w:sz w:val="21"/>
        </w:rPr>
        <w:t>d</w:t>
      </w:r>
      <w:r>
        <w:rPr>
          <w:spacing w:val="-2"/>
          <w:w w:val="100"/>
          <w:sz w:val="21"/>
        </w:rPr>
        <w:t>i</w:t>
      </w:r>
      <w:r>
        <w:rPr>
          <w:w w:val="100"/>
          <w:sz w:val="21"/>
        </w:rPr>
        <w:t>s</w:t>
      </w:r>
      <w:r>
        <w:rPr>
          <w:spacing w:val="-2"/>
          <w:w w:val="100"/>
          <w:sz w:val="21"/>
        </w:rPr>
        <w:t>t</w:t>
      </w:r>
      <w:r>
        <w:rPr>
          <w:w w:val="100"/>
          <w:sz w:val="21"/>
        </w:rPr>
        <w:t>i</w:t>
      </w:r>
      <w:r>
        <w:rPr>
          <w:spacing w:val="-1"/>
          <w:w w:val="100"/>
          <w:sz w:val="21"/>
        </w:rPr>
        <w:t>nc</w:t>
      </w:r>
      <w:r>
        <w:rPr>
          <w:spacing w:val="-4"/>
          <w:w w:val="100"/>
          <w:sz w:val="21"/>
        </w:rPr>
        <w:t>t</w:t>
      </w:r>
      <w:r>
        <w:rPr>
          <w:w w:val="100"/>
          <w:sz w:val="21"/>
        </w:rPr>
        <w:t>i</w:t>
      </w:r>
      <w:r>
        <w:rPr>
          <w:spacing w:val="-1"/>
          <w:w w:val="100"/>
          <w:sz w:val="21"/>
        </w:rPr>
        <w:t>o</w:t>
      </w:r>
      <w:r>
        <w:rPr>
          <w:w w:val="100"/>
          <w:sz w:val="21"/>
        </w:rPr>
        <w:t>n</w:t>
      </w:r>
      <w:r>
        <w:rPr>
          <w:sz w:val="21"/>
        </w:rPr>
        <w:t> </w:t>
      </w:r>
      <w:r>
        <w:rPr>
          <w:spacing w:val="3"/>
          <w:sz w:val="21"/>
        </w:rPr>
        <w:t> </w:t>
      </w:r>
      <w:r>
        <w:rPr>
          <w:spacing w:val="-1"/>
          <w:w w:val="100"/>
          <w:sz w:val="21"/>
        </w:rPr>
        <w:t>bet</w:t>
      </w:r>
      <w:r>
        <w:rPr>
          <w:spacing w:val="-2"/>
          <w:w w:val="100"/>
          <w:sz w:val="21"/>
        </w:rPr>
        <w:t>w</w:t>
      </w:r>
      <w:r>
        <w:rPr>
          <w:spacing w:val="-3"/>
          <w:w w:val="100"/>
          <w:sz w:val="21"/>
        </w:rPr>
        <w:t>e</w:t>
      </w:r>
      <w:r>
        <w:rPr>
          <w:spacing w:val="-1"/>
          <w:w w:val="100"/>
          <w:sz w:val="21"/>
        </w:rPr>
        <w:t>e</w:t>
      </w:r>
      <w:r>
        <w:rPr>
          <w:w w:val="100"/>
          <w:sz w:val="21"/>
        </w:rPr>
        <w:t>n</w:t>
      </w:r>
      <w:r>
        <w:rPr>
          <w:sz w:val="21"/>
        </w:rPr>
        <w:t> </w:t>
      </w:r>
      <w:r>
        <w:rPr>
          <w:spacing w:val="3"/>
          <w:sz w:val="21"/>
        </w:rPr>
        <w:t> </w:t>
      </w:r>
      <w:r>
        <w:rPr>
          <w:w w:val="100"/>
          <w:sz w:val="21"/>
        </w:rPr>
        <w:t>a</w:t>
      </w:r>
      <w:r>
        <w:rPr>
          <w:sz w:val="21"/>
        </w:rPr>
        <w:t>  </w:t>
      </w:r>
      <w:r>
        <w:rPr>
          <w:spacing w:val="-1"/>
          <w:w w:val="100"/>
          <w:sz w:val="21"/>
        </w:rPr>
        <w:t>g</w:t>
      </w:r>
      <w:r>
        <w:rPr>
          <w:spacing w:val="1"/>
          <w:w w:val="100"/>
          <w:sz w:val="21"/>
        </w:rPr>
        <w:t>if</w:t>
      </w:r>
      <w:r>
        <w:rPr>
          <w:w w:val="100"/>
          <w:sz w:val="21"/>
        </w:rPr>
        <w:t>t</w:t>
      </w:r>
      <w:r>
        <w:rPr>
          <w:sz w:val="21"/>
        </w:rPr>
        <w:t> </w:t>
      </w:r>
      <w:r>
        <w:rPr>
          <w:spacing w:val="2"/>
          <w:sz w:val="21"/>
        </w:rPr>
        <w:t> </w:t>
      </w:r>
      <w:r>
        <w:rPr>
          <w:spacing w:val="-2"/>
          <w:w w:val="100"/>
          <w:sz w:val="21"/>
        </w:rPr>
        <w:t>t</w:t>
      </w:r>
      <w:r>
        <w:rPr>
          <w:w w:val="100"/>
          <w:sz w:val="21"/>
        </w:rPr>
        <w:t>o</w:t>
      </w:r>
      <w:r>
        <w:rPr>
          <w:sz w:val="21"/>
        </w:rPr>
        <w:t> </w:t>
      </w:r>
      <w:r>
        <w:rPr>
          <w:spacing w:val="3"/>
          <w:sz w:val="21"/>
        </w:rPr>
        <w:t> </w:t>
      </w:r>
      <w:r>
        <w:rPr>
          <w:w w:val="100"/>
          <w:sz w:val="21"/>
        </w:rPr>
        <w:t>a </w:t>
      </w:r>
      <w:r>
        <w:rPr>
          <w:sz w:val="21"/>
        </w:rPr>
        <w:t>sentient being and an offering or dedication to a deity. Subject to special usages to the contrary, the offerings do not become the property of the officiating priest, but contribute to the maintenance of the shrine with all its rights, ceremonies and charities… </w:t>
      </w:r>
      <w:r>
        <w:rPr>
          <w:b/>
          <w:sz w:val="21"/>
        </w:rPr>
        <w:t>It is sufficient to state that the deity is, in short, conceived as a living being and is treated in the same way as the master of </w:t>
      </w:r>
      <w:r>
        <w:rPr>
          <w:b/>
          <w:spacing w:val="-2"/>
          <w:sz w:val="21"/>
        </w:rPr>
        <w:t>the </w:t>
      </w:r>
      <w:r>
        <w:rPr>
          <w:b/>
          <w:sz w:val="21"/>
        </w:rPr>
        <w:t>house would be treated by his humble servant. The daily routine of life is gone through with minute accuracy; the vivified image is regaled with the necessaries and luxuries of life in due succession, even to the changing of clothes, the offering of cooked and uncooked food, and the retirement to rest</w:t>
      </w:r>
      <w:r>
        <w:rPr>
          <w:sz w:val="21"/>
        </w:rPr>
        <w:t>. The dedicated food, known as bhog, is, after completion of the worship, distributed in charity amongst members of the family as also among guests invited and uninvited; for in the oldest Brahminical writings hospitality is regarded as the discharge of a common debt to humanity and the guest is honoured as  a divinity. In our opinion, a direction that the descendants of the daughters of the founder should participate in such a distribution of consecrated food, is in no way inconsistent with the purpose of the</w:t>
      </w:r>
      <w:r>
        <w:rPr>
          <w:spacing w:val="-6"/>
          <w:sz w:val="21"/>
        </w:rPr>
        <w:t> </w:t>
      </w:r>
      <w:r>
        <w:rPr>
          <w:sz w:val="21"/>
        </w:rPr>
        <w:t>endowment.‖</w:t>
      </w:r>
    </w:p>
    <w:p>
      <w:pPr>
        <w:spacing w:before="1"/>
        <w:ind w:left="5798" w:right="0" w:firstLine="0"/>
        <w:jc w:val="left"/>
        <w:rPr>
          <w:sz w:val="21"/>
        </w:rPr>
      </w:pPr>
      <w:r>
        <w:rPr>
          <w:sz w:val="21"/>
        </w:rPr>
        <w:t>(Emphasis supplied)</w:t>
      </w:r>
    </w:p>
    <w:p>
      <w:pPr>
        <w:pStyle w:val="BodyText"/>
        <w:rPr>
          <w:sz w:val="24"/>
        </w:rPr>
      </w:pPr>
    </w:p>
    <w:p>
      <w:pPr>
        <w:pStyle w:val="BodyText"/>
        <w:spacing w:before="1"/>
        <w:rPr>
          <w:sz w:val="21"/>
        </w:rPr>
      </w:pPr>
    </w:p>
    <w:p>
      <w:pPr>
        <w:pStyle w:val="BodyText"/>
        <w:spacing w:line="480" w:lineRule="auto"/>
        <w:ind w:left="500" w:right="440"/>
        <w:jc w:val="both"/>
      </w:pPr>
      <w:r>
        <w:rPr/>
        <w:t>The method of worshipping an established deity as a real person is separate and distinct from the conferral of juristic personality in law. Human personality is distinct from legal personality. The court made a reference to the methods of worship performed for an established deity, which is in accordance with the faith and belief of the worshippers. No question of a juristic person arose in this case.</w:t>
      </w:r>
    </w:p>
    <w:p>
      <w:pPr>
        <w:spacing w:after="0" w:line="480" w:lineRule="auto"/>
        <w:jc w:val="both"/>
        <w:sectPr>
          <w:pgSz w:w="11910" w:h="16840"/>
          <w:pgMar w:header="721" w:footer="1014" w:top="1300" w:bottom="1200" w:left="940" w:right="1000"/>
        </w:sectPr>
      </w:pPr>
    </w:p>
    <w:p>
      <w:pPr>
        <w:pStyle w:val="Heading4"/>
        <w:spacing w:before="126"/>
        <w:jc w:val="left"/>
        <w:rPr>
          <w:i/>
        </w:rPr>
      </w:pPr>
      <w:r>
        <w:rPr>
          <w:i/>
        </w:rPr>
        <w:t>Madhura Tirupparankundram</w:t>
      </w:r>
    </w:p>
    <w:p>
      <w:pPr>
        <w:pStyle w:val="BodyText"/>
        <w:rPr>
          <w:i/>
          <w:sz w:val="28"/>
        </w:rPr>
      </w:pPr>
    </w:p>
    <w:p>
      <w:pPr>
        <w:pStyle w:val="ListParagraph"/>
        <w:numPr>
          <w:ilvl w:val="0"/>
          <w:numId w:val="3"/>
        </w:numPr>
        <w:tabs>
          <w:tab w:pos="1221" w:val="left" w:leader="none"/>
        </w:tabs>
        <w:spacing w:line="480" w:lineRule="auto" w:before="250" w:after="0"/>
        <w:ind w:left="500" w:right="440" w:firstLine="0"/>
        <w:jc w:val="both"/>
        <w:rPr>
          <w:sz w:val="25"/>
        </w:rPr>
      </w:pPr>
      <w:r>
        <w:rPr>
          <w:sz w:val="25"/>
        </w:rPr>
        <w:t>The plaintiffs in Suit 5 have then placed reliance on the decision of the Privy Council in </w:t>
      </w:r>
      <w:r>
        <w:rPr>
          <w:b/>
          <w:sz w:val="25"/>
        </w:rPr>
        <w:t>Madura, Tirupparankundram </w:t>
      </w:r>
      <w:r>
        <w:rPr>
          <w:sz w:val="25"/>
        </w:rPr>
        <w:t>v </w:t>
      </w:r>
      <w:r>
        <w:rPr>
          <w:b/>
          <w:sz w:val="25"/>
        </w:rPr>
        <w:t>Alikhan Sahib</w:t>
      </w:r>
      <w:r>
        <w:rPr>
          <w:sz w:val="25"/>
          <w:vertAlign w:val="superscript"/>
        </w:rPr>
        <w:t>91</w:t>
      </w:r>
      <w:r>
        <w:rPr>
          <w:sz w:val="25"/>
          <w:vertAlign w:val="baseline"/>
        </w:rPr>
        <w:t>. It was urged that in this case an entire hill, as a place of public worship, was recognised as a juristic person on the basis of the circumambulation performed around it. Consequently, in the present case, the performance of the </w:t>
      </w:r>
      <w:r>
        <w:rPr>
          <w:i/>
          <w:sz w:val="25"/>
          <w:vertAlign w:val="baseline"/>
        </w:rPr>
        <w:t>parikrama </w:t>
      </w:r>
      <w:r>
        <w:rPr>
          <w:sz w:val="25"/>
          <w:vertAlign w:val="baseline"/>
        </w:rPr>
        <w:t>around the disputed site should (it has been urged) have the effect of the land being elevated to the status of a juristic</w:t>
      </w:r>
      <w:r>
        <w:rPr>
          <w:spacing w:val="-3"/>
          <w:sz w:val="25"/>
          <w:vertAlign w:val="baseline"/>
        </w:rPr>
        <w:t> </w:t>
      </w:r>
      <w:r>
        <w:rPr>
          <w:sz w:val="25"/>
          <w:vertAlign w:val="baseline"/>
        </w:rPr>
        <w:t>person.</w:t>
      </w:r>
    </w:p>
    <w:p>
      <w:pPr>
        <w:pStyle w:val="BodyText"/>
        <w:rPr>
          <w:sz w:val="28"/>
        </w:rPr>
      </w:pPr>
    </w:p>
    <w:p>
      <w:pPr>
        <w:pStyle w:val="BodyText"/>
        <w:spacing w:before="11"/>
        <w:rPr>
          <w:sz w:val="21"/>
        </w:rPr>
      </w:pPr>
    </w:p>
    <w:p>
      <w:pPr>
        <w:pStyle w:val="ListParagraph"/>
        <w:numPr>
          <w:ilvl w:val="0"/>
          <w:numId w:val="3"/>
        </w:numPr>
        <w:tabs>
          <w:tab w:pos="1221" w:val="left" w:leader="none"/>
        </w:tabs>
        <w:spacing w:line="480" w:lineRule="auto" w:before="0" w:after="0"/>
        <w:ind w:left="500" w:right="435" w:firstLine="0"/>
        <w:jc w:val="both"/>
        <w:rPr>
          <w:sz w:val="25"/>
        </w:rPr>
      </w:pPr>
      <w:r>
        <w:rPr/>
        <w:pict>
          <v:rect style="position:absolute;margin-left:72.024002pt;margin-top:408.154877pt;width:144.020pt;height:.599980pt;mso-position-horizontal-relative:page;mso-position-vertical-relative:paragraph;z-index:-15699968;mso-wrap-distance-left:0;mso-wrap-distance-right:0" filled="true" fillcolor="#000000" stroked="false">
            <v:fill type="solid"/>
            <w10:wrap type="topAndBottom"/>
          </v:rect>
        </w:pict>
      </w:r>
      <w:r>
        <w:rPr>
          <w:sz w:val="25"/>
        </w:rPr>
        <w:t>The Privy Council in </w:t>
      </w:r>
      <w:r>
        <w:rPr>
          <w:b/>
          <w:sz w:val="25"/>
        </w:rPr>
        <w:t>Madura Tirupparankundram </w:t>
      </w:r>
      <w:r>
        <w:rPr>
          <w:sz w:val="25"/>
        </w:rPr>
        <w:t>was concerned with the ownership of a barren hill in the Madura District of Madras. There was a mosque at the highest point of the hill. The Tirupparankundram Temple, represented by  its manager, instituted a suit claiming the whole hill as temple property (with the exception of certain cultivated and assessed lands and the site of the mosque). The Mohammedan defendants asserted ownership over the mosque and a portion of the hill known as </w:t>
      </w:r>
      <w:r>
        <w:rPr>
          <w:i/>
          <w:sz w:val="25"/>
        </w:rPr>
        <w:t>Nellitope</w:t>
      </w:r>
      <w:r>
        <w:rPr>
          <w:sz w:val="25"/>
        </w:rPr>
        <w:t>. The Secretary of State claimed to be the owner of all unoccupied portions of the hill. The Subordinate judge of Madura decreed in favour of the Plaintiffs (with the exception of the </w:t>
      </w:r>
      <w:r>
        <w:rPr>
          <w:i/>
          <w:sz w:val="25"/>
        </w:rPr>
        <w:t>Nellitope</w:t>
      </w:r>
      <w:r>
        <w:rPr>
          <w:sz w:val="25"/>
        </w:rPr>
        <w:t>, the mosque itself and the flights of stairs leading to it). The Mohammedan defendants filed an appeal and the Secretary of State was directed to be a party to the appeal. Despite a finding that the Hindus and Mohammedans had rights over the hill, and without specifying what these rights were, the High Court held that the Government</w:t>
      </w:r>
      <w:r>
        <w:rPr>
          <w:spacing w:val="26"/>
          <w:sz w:val="25"/>
        </w:rPr>
        <w:t> </w:t>
      </w:r>
      <w:r>
        <w:rPr>
          <w:sz w:val="25"/>
        </w:rPr>
        <w:t>was</w:t>
      </w:r>
      <w:r>
        <w:rPr>
          <w:spacing w:val="27"/>
          <w:sz w:val="25"/>
        </w:rPr>
        <w:t> </w:t>
      </w:r>
      <w:r>
        <w:rPr>
          <w:sz w:val="25"/>
        </w:rPr>
        <w:t>the</w:t>
      </w:r>
      <w:r>
        <w:rPr>
          <w:spacing w:val="28"/>
          <w:sz w:val="25"/>
        </w:rPr>
        <w:t> </w:t>
      </w:r>
      <w:r>
        <w:rPr>
          <w:sz w:val="25"/>
        </w:rPr>
        <w:t>owner</w:t>
      </w:r>
      <w:r>
        <w:rPr>
          <w:spacing w:val="28"/>
          <w:sz w:val="25"/>
        </w:rPr>
        <w:t> </w:t>
      </w:r>
      <w:r>
        <w:rPr>
          <w:sz w:val="25"/>
        </w:rPr>
        <w:t>of</w:t>
      </w:r>
      <w:r>
        <w:rPr>
          <w:spacing w:val="28"/>
          <w:sz w:val="25"/>
        </w:rPr>
        <w:t> </w:t>
      </w:r>
      <w:r>
        <w:rPr>
          <w:sz w:val="25"/>
        </w:rPr>
        <w:t>the</w:t>
      </w:r>
      <w:r>
        <w:rPr>
          <w:spacing w:val="26"/>
          <w:sz w:val="25"/>
        </w:rPr>
        <w:t> </w:t>
      </w:r>
      <w:r>
        <w:rPr>
          <w:sz w:val="25"/>
        </w:rPr>
        <w:t>hill.</w:t>
      </w:r>
      <w:r>
        <w:rPr>
          <w:spacing w:val="27"/>
          <w:sz w:val="25"/>
        </w:rPr>
        <w:t> </w:t>
      </w:r>
      <w:r>
        <w:rPr>
          <w:sz w:val="25"/>
        </w:rPr>
        <w:t>Around</w:t>
      </w:r>
      <w:r>
        <w:rPr>
          <w:spacing w:val="28"/>
          <w:sz w:val="25"/>
        </w:rPr>
        <w:t> </w:t>
      </w:r>
      <w:r>
        <w:rPr>
          <w:sz w:val="25"/>
        </w:rPr>
        <w:t>the</w:t>
      </w:r>
      <w:r>
        <w:rPr>
          <w:spacing w:val="28"/>
          <w:sz w:val="25"/>
        </w:rPr>
        <w:t> </w:t>
      </w:r>
      <w:r>
        <w:rPr>
          <w:sz w:val="25"/>
        </w:rPr>
        <w:t>base</w:t>
      </w:r>
      <w:r>
        <w:rPr>
          <w:spacing w:val="35"/>
          <w:sz w:val="25"/>
        </w:rPr>
        <w:t> </w:t>
      </w:r>
      <w:r>
        <w:rPr>
          <w:sz w:val="25"/>
        </w:rPr>
        <w:t>of</w:t>
      </w:r>
      <w:r>
        <w:rPr>
          <w:spacing w:val="25"/>
          <w:sz w:val="25"/>
        </w:rPr>
        <w:t> </w:t>
      </w:r>
      <w:r>
        <w:rPr>
          <w:sz w:val="25"/>
        </w:rPr>
        <w:t>the</w:t>
      </w:r>
      <w:r>
        <w:rPr>
          <w:spacing w:val="26"/>
          <w:sz w:val="25"/>
        </w:rPr>
        <w:t> </w:t>
      </w:r>
      <w:r>
        <w:rPr>
          <w:sz w:val="25"/>
        </w:rPr>
        <w:t>hill,</w:t>
      </w:r>
      <w:r>
        <w:rPr>
          <w:spacing w:val="27"/>
          <w:sz w:val="25"/>
        </w:rPr>
        <w:t> </w:t>
      </w:r>
      <w:r>
        <w:rPr>
          <w:sz w:val="25"/>
        </w:rPr>
        <w:t>worshippers</w:t>
      </w:r>
    </w:p>
    <w:p>
      <w:pPr>
        <w:spacing w:before="80"/>
        <w:ind w:left="500" w:right="0" w:firstLine="0"/>
        <w:jc w:val="left"/>
        <w:rPr>
          <w:sz w:val="18"/>
        </w:rPr>
      </w:pPr>
      <w:r>
        <w:rPr>
          <w:sz w:val="18"/>
          <w:vertAlign w:val="superscript"/>
        </w:rPr>
        <w:t>91</w:t>
      </w:r>
      <w:r>
        <w:rPr>
          <w:sz w:val="18"/>
          <w:vertAlign w:val="baseline"/>
        </w:rPr>
        <w:t> (1931) 61 Mad LJ 285</w:t>
      </w:r>
    </w:p>
    <w:p>
      <w:pPr>
        <w:spacing w:after="0"/>
        <w:jc w:val="left"/>
        <w:rPr>
          <w:sz w:val="18"/>
        </w:rPr>
        <w:sectPr>
          <w:pgSz w:w="11910" w:h="16840"/>
          <w:pgMar w:header="721" w:footer="1014" w:top="1300" w:bottom="1200" w:left="940" w:right="1000"/>
        </w:sectPr>
      </w:pPr>
    </w:p>
    <w:p>
      <w:pPr>
        <w:pStyle w:val="BodyText"/>
        <w:spacing w:line="480" w:lineRule="auto" w:before="124"/>
        <w:ind w:left="500" w:right="434"/>
        <w:jc w:val="both"/>
      </w:pPr>
      <w:r>
        <w:rPr/>
        <w:t>performed the </w:t>
      </w:r>
      <w:r>
        <w:rPr>
          <w:i/>
        </w:rPr>
        <w:t>Pradakshinan </w:t>
      </w:r>
      <w:r>
        <w:rPr/>
        <w:t>by a circumambulation of the hill. This path was also used for processions with the temple car and was known as </w:t>
      </w:r>
      <w:r>
        <w:rPr>
          <w:i/>
        </w:rPr>
        <w:t>Ghiri Veedhi</w:t>
      </w:r>
      <w:r>
        <w:rPr/>
        <w:t>. While the judgment of the High Court noted evidence on record that the hill as a whole was worshipped by the Hindu community as a </w:t>
      </w:r>
      <w:r>
        <w:rPr>
          <w:i/>
        </w:rPr>
        <w:t>Linga</w:t>
      </w:r>
      <w:r>
        <w:rPr/>
        <w:t>, the question at the heart of the dispute concerned the question of ownership over the unoccupied portions of the hill within the </w:t>
      </w:r>
      <w:r>
        <w:rPr>
          <w:i/>
        </w:rPr>
        <w:t>Ghiri Veedhi</w:t>
      </w:r>
      <w:r>
        <w:rPr/>
        <w:t>. Under Lord Clive‘s treaty with Azim-ul-Dowlah in 1801, Madura came under the control of the East India Company. The High Court took the view that, post 1801 the entire hill, being part of the village, became Government property.</w:t>
      </w:r>
    </w:p>
    <w:p>
      <w:pPr>
        <w:pStyle w:val="BodyText"/>
      </w:pPr>
    </w:p>
    <w:p>
      <w:pPr>
        <w:pStyle w:val="ListParagraph"/>
        <w:numPr>
          <w:ilvl w:val="0"/>
          <w:numId w:val="3"/>
        </w:numPr>
        <w:tabs>
          <w:tab w:pos="1221" w:val="left" w:leader="none"/>
        </w:tabs>
        <w:spacing w:line="480" w:lineRule="auto" w:before="1" w:after="0"/>
        <w:ind w:left="500" w:right="438" w:firstLine="0"/>
        <w:jc w:val="both"/>
        <w:rPr>
          <w:sz w:val="25"/>
        </w:rPr>
      </w:pPr>
      <w:r>
        <w:rPr>
          <w:sz w:val="25"/>
        </w:rPr>
        <w:t>The Privy Council held that acts of ownership had been exercised consistently by the temple for the greater part of a century over all unoccupied portions of the land. Expenses were also incurred for the upkeep of smaller shrines situated within the </w:t>
      </w:r>
      <w:r>
        <w:rPr>
          <w:i/>
          <w:sz w:val="25"/>
        </w:rPr>
        <w:t>Ghiri Veedhi</w:t>
      </w:r>
      <w:r>
        <w:rPr>
          <w:sz w:val="25"/>
        </w:rPr>
        <w:t>. The temple was held to have been in possession of the unoccupied portion of the hill from time immemorial which had been treated by the temple as temple property. The Privy Council held that, save </w:t>
      </w:r>
      <w:r>
        <w:rPr>
          <w:spacing w:val="-1"/>
          <w:w w:val="99"/>
          <w:sz w:val="25"/>
        </w:rPr>
        <w:t>a</w:t>
      </w:r>
      <w:r>
        <w:rPr>
          <w:w w:val="99"/>
          <w:sz w:val="25"/>
        </w:rPr>
        <w:t>nd</w:t>
      </w:r>
      <w:r>
        <w:rPr>
          <w:sz w:val="25"/>
        </w:rPr>
        <w:t> </w:t>
      </w:r>
      <w:r>
        <w:rPr>
          <w:spacing w:val="14"/>
          <w:sz w:val="25"/>
        </w:rPr>
        <w:t> </w:t>
      </w:r>
      <w:r>
        <w:rPr>
          <w:spacing w:val="-1"/>
          <w:w w:val="99"/>
          <w:sz w:val="25"/>
        </w:rPr>
        <w:t>e</w:t>
      </w:r>
      <w:r>
        <w:rPr>
          <w:spacing w:val="-3"/>
          <w:w w:val="99"/>
          <w:sz w:val="25"/>
        </w:rPr>
        <w:t>x</w:t>
      </w:r>
      <w:r>
        <w:rPr>
          <w:w w:val="99"/>
          <w:sz w:val="25"/>
        </w:rPr>
        <w:t>cept</w:t>
      </w:r>
      <w:r>
        <w:rPr>
          <w:sz w:val="25"/>
        </w:rPr>
        <w:t> </w:t>
      </w:r>
      <w:r>
        <w:rPr>
          <w:spacing w:val="14"/>
          <w:sz w:val="25"/>
        </w:rPr>
        <w:t> </w:t>
      </w:r>
      <w:r>
        <w:rPr>
          <w:w w:val="99"/>
          <w:sz w:val="25"/>
        </w:rPr>
        <w:t>the</w:t>
      </w:r>
      <w:r>
        <w:rPr>
          <w:sz w:val="25"/>
        </w:rPr>
        <w:t> </w:t>
      </w:r>
      <w:r>
        <w:rPr>
          <w:spacing w:val="15"/>
          <w:sz w:val="25"/>
        </w:rPr>
        <w:t> </w:t>
      </w:r>
      <w:r>
        <w:rPr>
          <w:w w:val="99"/>
          <w:sz w:val="25"/>
        </w:rPr>
        <w:t>m</w:t>
      </w:r>
      <w:r>
        <w:rPr>
          <w:spacing w:val="-1"/>
          <w:w w:val="99"/>
          <w:sz w:val="25"/>
        </w:rPr>
        <w:t>os</w:t>
      </w:r>
      <w:r>
        <w:rPr>
          <w:w w:val="99"/>
          <w:sz w:val="25"/>
        </w:rPr>
        <w:t>q</w:t>
      </w:r>
      <w:r>
        <w:rPr>
          <w:spacing w:val="-1"/>
          <w:w w:val="99"/>
          <w:sz w:val="25"/>
        </w:rPr>
        <w:t>u</w:t>
      </w:r>
      <w:r>
        <w:rPr>
          <w:w w:val="99"/>
          <w:sz w:val="25"/>
        </w:rPr>
        <w:t>e,</w:t>
      </w:r>
      <w:r>
        <w:rPr>
          <w:sz w:val="25"/>
        </w:rPr>
        <w:t> </w:t>
      </w:r>
      <w:r>
        <w:rPr>
          <w:spacing w:val="14"/>
          <w:sz w:val="25"/>
        </w:rPr>
        <w:t> </w:t>
      </w:r>
      <w:r>
        <w:rPr>
          <w:w w:val="99"/>
          <w:sz w:val="25"/>
        </w:rPr>
        <w:t>there</w:t>
      </w:r>
      <w:r>
        <w:rPr>
          <w:sz w:val="25"/>
        </w:rPr>
        <w:t> </w:t>
      </w:r>
      <w:r>
        <w:rPr>
          <w:spacing w:val="14"/>
          <w:sz w:val="25"/>
        </w:rPr>
        <w:t> </w:t>
      </w:r>
      <w:r>
        <w:rPr>
          <w:spacing w:val="-1"/>
          <w:w w:val="99"/>
          <w:sz w:val="25"/>
        </w:rPr>
        <w:t>wa</w:t>
      </w:r>
      <w:r>
        <w:rPr>
          <w:w w:val="99"/>
          <w:sz w:val="25"/>
        </w:rPr>
        <w:t>s</w:t>
      </w:r>
      <w:r>
        <w:rPr>
          <w:sz w:val="25"/>
        </w:rPr>
        <w:t> </w:t>
      </w:r>
      <w:r>
        <w:rPr>
          <w:spacing w:val="14"/>
          <w:sz w:val="25"/>
        </w:rPr>
        <w:t> </w:t>
      </w:r>
      <w:r>
        <w:rPr>
          <w:w w:val="33"/>
          <w:sz w:val="25"/>
        </w:rPr>
        <w:t>―</w:t>
      </w:r>
      <w:r>
        <w:rPr>
          <w:spacing w:val="-1"/>
          <w:w w:val="99"/>
          <w:sz w:val="25"/>
        </w:rPr>
        <w:t>n</w:t>
      </w:r>
      <w:r>
        <w:rPr>
          <w:w w:val="99"/>
          <w:sz w:val="25"/>
        </w:rPr>
        <w:t>o</w:t>
      </w:r>
      <w:r>
        <w:rPr>
          <w:sz w:val="25"/>
        </w:rPr>
        <w:t> </w:t>
      </w:r>
      <w:r>
        <w:rPr>
          <w:spacing w:val="12"/>
          <w:sz w:val="25"/>
        </w:rPr>
        <w:t> </w:t>
      </w:r>
      <w:r>
        <w:rPr>
          <w:spacing w:val="-1"/>
          <w:w w:val="99"/>
          <w:sz w:val="25"/>
        </w:rPr>
        <w:t>e</w:t>
      </w:r>
      <w:r>
        <w:rPr>
          <w:spacing w:val="-3"/>
          <w:w w:val="99"/>
          <w:sz w:val="25"/>
        </w:rPr>
        <w:t>v</w:t>
      </w:r>
      <w:r>
        <w:rPr>
          <w:spacing w:val="-1"/>
          <w:w w:val="99"/>
          <w:sz w:val="25"/>
        </w:rPr>
        <w:t>ide</w:t>
      </w:r>
      <w:r>
        <w:rPr>
          <w:w w:val="99"/>
          <w:sz w:val="25"/>
        </w:rPr>
        <w:t>nce</w:t>
      </w:r>
      <w:r>
        <w:rPr>
          <w:sz w:val="25"/>
        </w:rPr>
        <w:t> </w:t>
      </w:r>
      <w:r>
        <w:rPr>
          <w:spacing w:val="14"/>
          <w:sz w:val="25"/>
        </w:rPr>
        <w:t> </w:t>
      </w:r>
      <w:r>
        <w:rPr>
          <w:spacing w:val="-1"/>
          <w:w w:val="99"/>
          <w:sz w:val="25"/>
        </w:rPr>
        <w:t>o</w:t>
      </w:r>
      <w:r>
        <w:rPr>
          <w:w w:val="99"/>
          <w:sz w:val="25"/>
        </w:rPr>
        <w:t>f</w:t>
      </w:r>
      <w:r>
        <w:rPr>
          <w:sz w:val="25"/>
        </w:rPr>
        <w:t> </w:t>
      </w:r>
      <w:r>
        <w:rPr>
          <w:spacing w:val="15"/>
          <w:sz w:val="25"/>
        </w:rPr>
        <w:t> </w:t>
      </w:r>
      <w:r>
        <w:rPr>
          <w:spacing w:val="2"/>
          <w:w w:val="99"/>
          <w:sz w:val="25"/>
        </w:rPr>
        <w:t>e</w:t>
      </w:r>
      <w:r>
        <w:rPr>
          <w:spacing w:val="-3"/>
          <w:w w:val="99"/>
          <w:sz w:val="25"/>
        </w:rPr>
        <w:t>x</w:t>
      </w:r>
      <w:r>
        <w:rPr>
          <w:spacing w:val="-1"/>
          <w:w w:val="99"/>
          <w:sz w:val="25"/>
        </w:rPr>
        <w:t>p</w:t>
      </w:r>
      <w:r>
        <w:rPr>
          <w:w w:val="99"/>
          <w:sz w:val="25"/>
        </w:rPr>
        <w:t>r</w:t>
      </w:r>
      <w:r>
        <w:rPr>
          <w:spacing w:val="-1"/>
          <w:w w:val="99"/>
          <w:sz w:val="25"/>
        </w:rPr>
        <w:t>o</w:t>
      </w:r>
      <w:r>
        <w:rPr>
          <w:w w:val="99"/>
          <w:sz w:val="25"/>
        </w:rPr>
        <w:t>pr</w:t>
      </w:r>
      <w:r>
        <w:rPr>
          <w:spacing w:val="-1"/>
          <w:w w:val="99"/>
          <w:sz w:val="25"/>
        </w:rPr>
        <w:t>iatio</w:t>
      </w:r>
      <w:r>
        <w:rPr>
          <w:w w:val="99"/>
          <w:sz w:val="25"/>
        </w:rPr>
        <w:t>n</w:t>
      </w:r>
      <w:r>
        <w:rPr>
          <w:sz w:val="25"/>
        </w:rPr>
        <w:t> </w:t>
      </w:r>
      <w:r>
        <w:rPr>
          <w:spacing w:val="15"/>
          <w:sz w:val="25"/>
        </w:rPr>
        <w:t> </w:t>
      </w:r>
      <w:r>
        <w:rPr>
          <w:w w:val="99"/>
          <w:sz w:val="25"/>
        </w:rPr>
        <w:t>fr</w:t>
      </w:r>
      <w:r>
        <w:rPr>
          <w:spacing w:val="-1"/>
          <w:w w:val="99"/>
          <w:sz w:val="25"/>
        </w:rPr>
        <w:t>o</w:t>
      </w:r>
      <w:r>
        <w:rPr>
          <w:w w:val="99"/>
          <w:sz w:val="25"/>
        </w:rPr>
        <w:t>m</w:t>
      </w:r>
      <w:r>
        <w:rPr>
          <w:sz w:val="25"/>
        </w:rPr>
        <w:t> </w:t>
      </w:r>
      <w:r>
        <w:rPr>
          <w:spacing w:val="15"/>
          <w:sz w:val="25"/>
        </w:rPr>
        <w:t> </w:t>
      </w:r>
      <w:r>
        <w:rPr>
          <w:w w:val="99"/>
          <w:sz w:val="25"/>
        </w:rPr>
        <w:t>the </w:t>
      </w:r>
      <w:r>
        <w:rPr>
          <w:sz w:val="25"/>
        </w:rPr>
        <w:t>remainder‖ of the hill. Sir George Lowndes</w:t>
      </w:r>
      <w:r>
        <w:rPr>
          <w:spacing w:val="-13"/>
          <w:sz w:val="25"/>
        </w:rPr>
        <w:t> </w:t>
      </w:r>
      <w:r>
        <w:rPr>
          <w:sz w:val="25"/>
        </w:rPr>
        <w:t>held:</w:t>
      </w:r>
    </w:p>
    <w:p>
      <w:pPr>
        <w:pStyle w:val="BodyText"/>
        <w:spacing w:before="10"/>
        <w:rPr>
          <w:sz w:val="24"/>
        </w:rPr>
      </w:pPr>
    </w:p>
    <w:p>
      <w:pPr>
        <w:spacing w:line="276" w:lineRule="auto" w:before="0"/>
        <w:ind w:left="1940" w:right="2261" w:firstLine="0"/>
        <w:jc w:val="both"/>
        <w:rPr>
          <w:sz w:val="21"/>
        </w:rPr>
      </w:pPr>
      <w:r>
        <w:rPr>
          <w:w w:val="33"/>
          <w:sz w:val="21"/>
        </w:rPr>
        <w:t>―</w:t>
      </w:r>
      <w:r>
        <w:rPr>
          <w:w w:val="100"/>
          <w:sz w:val="21"/>
        </w:rPr>
        <w:t>The</w:t>
      </w:r>
      <w:r>
        <w:rPr>
          <w:sz w:val="21"/>
        </w:rPr>
        <w:t>  </w:t>
      </w:r>
      <w:r>
        <w:rPr>
          <w:w w:val="100"/>
          <w:sz w:val="21"/>
        </w:rPr>
        <w:t>on</w:t>
      </w:r>
      <w:r>
        <w:rPr>
          <w:w w:val="100"/>
          <w:sz w:val="21"/>
        </w:rPr>
        <w:t>l</w:t>
      </w:r>
      <w:r>
        <w:rPr>
          <w:w w:val="100"/>
          <w:sz w:val="21"/>
        </w:rPr>
        <w:t>y</w:t>
      </w:r>
      <w:r>
        <w:rPr>
          <w:sz w:val="21"/>
        </w:rPr>
        <w:t>  </w:t>
      </w:r>
      <w:r>
        <w:rPr>
          <w:w w:val="100"/>
          <w:sz w:val="21"/>
        </w:rPr>
        <w:t>r</w:t>
      </w:r>
      <w:r>
        <w:rPr>
          <w:w w:val="100"/>
          <w:sz w:val="21"/>
        </w:rPr>
        <w:t>i</w:t>
      </w:r>
      <w:r>
        <w:rPr>
          <w:w w:val="100"/>
          <w:sz w:val="21"/>
        </w:rPr>
        <w:t>g</w:t>
      </w:r>
      <w:r>
        <w:rPr>
          <w:w w:val="100"/>
          <w:sz w:val="21"/>
        </w:rPr>
        <w:t>hts</w:t>
      </w:r>
      <w:r>
        <w:rPr>
          <w:sz w:val="21"/>
        </w:rPr>
        <w:t>  </w:t>
      </w:r>
      <w:r>
        <w:rPr>
          <w:w w:val="100"/>
          <w:sz w:val="21"/>
        </w:rPr>
        <w:t>wh</w:t>
      </w:r>
      <w:r>
        <w:rPr>
          <w:w w:val="100"/>
          <w:sz w:val="21"/>
        </w:rPr>
        <w:t>i</w:t>
      </w:r>
      <w:r>
        <w:rPr>
          <w:w w:val="100"/>
          <w:sz w:val="21"/>
        </w:rPr>
        <w:t>ch</w:t>
      </w:r>
      <w:r>
        <w:rPr>
          <w:sz w:val="21"/>
        </w:rPr>
        <w:t>  </w:t>
      </w:r>
      <w:r>
        <w:rPr>
          <w:w w:val="100"/>
          <w:sz w:val="21"/>
        </w:rPr>
        <w:t>t</w:t>
      </w:r>
      <w:r>
        <w:rPr>
          <w:w w:val="100"/>
          <w:sz w:val="21"/>
        </w:rPr>
        <w:t>he</w:t>
      </w:r>
      <w:r>
        <w:rPr>
          <w:sz w:val="21"/>
        </w:rPr>
        <w:t>  </w:t>
      </w:r>
      <w:r>
        <w:rPr>
          <w:w w:val="100"/>
          <w:sz w:val="21"/>
        </w:rPr>
        <w:t>t</w:t>
      </w:r>
      <w:r>
        <w:rPr>
          <w:w w:val="100"/>
          <w:sz w:val="21"/>
        </w:rPr>
        <w:t>e</w:t>
      </w:r>
      <w:r>
        <w:rPr>
          <w:w w:val="100"/>
          <w:sz w:val="21"/>
        </w:rPr>
        <w:t>m</w:t>
      </w:r>
      <w:r>
        <w:rPr>
          <w:w w:val="100"/>
          <w:sz w:val="21"/>
        </w:rPr>
        <w:t>pl</w:t>
      </w:r>
      <w:r>
        <w:rPr>
          <w:w w:val="100"/>
          <w:sz w:val="21"/>
        </w:rPr>
        <w:t>e</w:t>
      </w:r>
      <w:r>
        <w:rPr>
          <w:sz w:val="21"/>
        </w:rPr>
        <w:t>  </w:t>
      </w:r>
      <w:r>
        <w:rPr>
          <w:w w:val="100"/>
          <w:sz w:val="21"/>
        </w:rPr>
        <w:t>c</w:t>
      </w:r>
      <w:r>
        <w:rPr>
          <w:w w:val="100"/>
          <w:sz w:val="21"/>
        </w:rPr>
        <w:t>an</w:t>
      </w:r>
      <w:r>
        <w:rPr>
          <w:sz w:val="21"/>
        </w:rPr>
        <w:t>  </w:t>
      </w:r>
      <w:r>
        <w:rPr>
          <w:w w:val="100"/>
          <w:sz w:val="21"/>
        </w:rPr>
        <w:t>ass</w:t>
      </w:r>
      <w:r>
        <w:rPr>
          <w:w w:val="100"/>
          <w:sz w:val="21"/>
        </w:rPr>
        <w:t>ert</w:t>
      </w:r>
      <w:r>
        <w:rPr>
          <w:sz w:val="21"/>
        </w:rPr>
        <w:t>  </w:t>
      </w:r>
      <w:r>
        <w:rPr>
          <w:w w:val="100"/>
          <w:sz w:val="21"/>
        </w:rPr>
        <w:t>agai</w:t>
      </w:r>
      <w:r>
        <w:rPr>
          <w:w w:val="100"/>
          <w:sz w:val="21"/>
        </w:rPr>
        <w:t>nst</w:t>
      </w:r>
      <w:r>
        <w:rPr>
          <w:sz w:val="21"/>
        </w:rPr>
        <w:t>  </w:t>
      </w:r>
      <w:r>
        <w:rPr>
          <w:w w:val="100"/>
          <w:sz w:val="21"/>
        </w:rPr>
        <w:t>t</w:t>
      </w:r>
      <w:r>
        <w:rPr>
          <w:w w:val="100"/>
          <w:sz w:val="21"/>
        </w:rPr>
        <w:t>he </w:t>
      </w:r>
      <w:r>
        <w:rPr>
          <w:sz w:val="21"/>
        </w:rPr>
        <w:t>respondent are rights which the East India Company granted to them or allowed them to retain…and their Lordships think the evidence shows that the temple was left after 1801 in undisturbed possession of all that it now claims…Their Lordships do not doubt that there is a general presumption that </w:t>
      </w:r>
      <w:r>
        <w:rPr>
          <w:b/>
          <w:sz w:val="21"/>
        </w:rPr>
        <w:t>waste lands </w:t>
      </w:r>
      <w:r>
        <w:rPr>
          <w:sz w:val="21"/>
        </w:rPr>
        <w:t>are the property of the Crown, but they think that it is not applicable to the facts of the present case </w:t>
      </w:r>
      <w:r>
        <w:rPr>
          <w:b/>
          <w:sz w:val="21"/>
        </w:rPr>
        <w:t>where the alleged waste is, at all events physically, within a temple enclosure</w:t>
      </w:r>
      <w:r>
        <w:rPr>
          <w:sz w:val="21"/>
        </w:rPr>
        <w:t>…On the whole their Lordships are of opinion that the appellant has shown that the </w:t>
      </w:r>
      <w:r>
        <w:rPr>
          <w:b/>
          <w:sz w:val="21"/>
        </w:rPr>
        <w:t>unoccupied </w:t>
      </w:r>
      <w:r>
        <w:rPr>
          <w:sz w:val="21"/>
        </w:rPr>
        <w:t>portion of the hill has been in the possession of the temple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346" w:firstLine="0"/>
        <w:jc w:val="left"/>
        <w:rPr>
          <w:sz w:val="21"/>
        </w:rPr>
      </w:pPr>
      <w:r>
        <w:rPr>
          <w:sz w:val="21"/>
        </w:rPr>
        <w:t>from time immemorial and has been treated by the temple authorities as their property.‖</w:t>
      </w:r>
    </w:p>
    <w:p>
      <w:pPr>
        <w:spacing w:before="0"/>
        <w:ind w:left="5798" w:right="0" w:firstLine="0"/>
        <w:jc w:val="left"/>
        <w:rPr>
          <w:sz w:val="21"/>
        </w:rPr>
      </w:pPr>
      <w:r>
        <w:rPr>
          <w:sz w:val="21"/>
        </w:rPr>
        <w:t>(Emphasis supplied)</w:t>
      </w:r>
    </w:p>
    <w:p>
      <w:pPr>
        <w:pStyle w:val="BodyText"/>
        <w:rPr>
          <w:sz w:val="24"/>
        </w:rPr>
      </w:pPr>
    </w:p>
    <w:p>
      <w:pPr>
        <w:pStyle w:val="BodyText"/>
        <w:spacing w:before="4"/>
        <w:rPr>
          <w:sz w:val="29"/>
        </w:rPr>
      </w:pPr>
    </w:p>
    <w:p>
      <w:pPr>
        <w:pStyle w:val="BodyText"/>
        <w:spacing w:line="480" w:lineRule="auto"/>
        <w:ind w:left="500" w:right="441"/>
        <w:jc w:val="both"/>
      </w:pPr>
      <w:r>
        <w:rPr/>
        <w:t>A close reading of the judgment makes it evident that the Privy Council was only concerned with (i) the unoccupied portions of the land and the protection of other proprietary rights in the hill; and (ii) the ownership of the property by the temple. The Privy Council was not concerned with the elevation of the hill itself to the status of a juristic person. There is a distinction between the ownership of the property by the temple, and the conferral of legal personality on land. Where land is owned by a person, it cannot be a juristic person, for no person can own a deity as a juristic person. This case does not further the argument advanced by the plaintiffs in Suit 5 that the disputed property is itself a juristic</w:t>
      </w:r>
      <w:r>
        <w:rPr>
          <w:spacing w:val="-15"/>
        </w:rPr>
        <w:t> </w:t>
      </w:r>
      <w:r>
        <w:rPr/>
        <w:t>person.</w:t>
      </w:r>
    </w:p>
    <w:p>
      <w:pPr>
        <w:pStyle w:val="BodyText"/>
        <w:rPr>
          <w:sz w:val="28"/>
        </w:rPr>
      </w:pPr>
    </w:p>
    <w:p>
      <w:pPr>
        <w:pStyle w:val="BodyText"/>
        <w:spacing w:before="2"/>
        <w:rPr>
          <w:sz w:val="22"/>
        </w:rPr>
      </w:pPr>
    </w:p>
    <w:p>
      <w:pPr>
        <w:pStyle w:val="Heading4"/>
        <w:rPr>
          <w:i/>
        </w:rPr>
      </w:pPr>
      <w:r>
        <w:rPr>
          <w:i/>
        </w:rPr>
        <w:t>Temples governed by statutes</w:t>
      </w:r>
    </w:p>
    <w:p>
      <w:pPr>
        <w:pStyle w:val="BodyText"/>
        <w:rPr>
          <w:i/>
          <w:sz w:val="28"/>
        </w:rPr>
      </w:pPr>
    </w:p>
    <w:p>
      <w:pPr>
        <w:pStyle w:val="BodyText"/>
        <w:spacing w:before="7"/>
        <w:rPr>
          <w:i/>
          <w:sz w:val="22"/>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In </w:t>
      </w:r>
      <w:r>
        <w:rPr>
          <w:b/>
          <w:sz w:val="25"/>
        </w:rPr>
        <w:t>The Board of Commissioners for Hindu Religious Endowments, Madras </w:t>
      </w:r>
      <w:r>
        <w:rPr>
          <w:sz w:val="25"/>
        </w:rPr>
        <w:t>v </w:t>
      </w:r>
      <w:r>
        <w:rPr>
          <w:b/>
          <w:sz w:val="25"/>
        </w:rPr>
        <w:t>Pidugu Narasimhan</w:t>
      </w:r>
      <w:r>
        <w:rPr>
          <w:sz w:val="25"/>
          <w:vertAlign w:val="superscript"/>
        </w:rPr>
        <w:t>92</w:t>
      </w:r>
      <w:r>
        <w:rPr>
          <w:sz w:val="25"/>
          <w:vertAlign w:val="baseline"/>
        </w:rPr>
        <w:t>, the Board framed a scheme on the ground that the institution in question was a temple within the meaning of the Madras Hindu Religious Endowments Act 1863. The respondent instituted a suit challenging the declaration of the institution as a temple under the Act. A Division Bench of the Madras High Court observed that the institution had been in existence for several centuries and had over time become a place of worship. The court observed that the worship must be of sufficient significance to attract public endowments. On an assessment</w:t>
      </w:r>
      <w:r>
        <w:rPr>
          <w:spacing w:val="38"/>
          <w:sz w:val="25"/>
          <w:vertAlign w:val="baseline"/>
        </w:rPr>
        <w:t> </w:t>
      </w:r>
      <w:r>
        <w:rPr>
          <w:sz w:val="25"/>
          <w:vertAlign w:val="baseline"/>
        </w:rPr>
        <w:t>of</w:t>
      </w:r>
      <w:r>
        <w:rPr>
          <w:spacing w:val="39"/>
          <w:sz w:val="25"/>
          <w:vertAlign w:val="baseline"/>
        </w:rPr>
        <w:t> </w:t>
      </w:r>
      <w:r>
        <w:rPr>
          <w:sz w:val="25"/>
          <w:vertAlign w:val="baseline"/>
        </w:rPr>
        <w:t>the</w:t>
      </w:r>
      <w:r>
        <w:rPr>
          <w:spacing w:val="36"/>
          <w:sz w:val="25"/>
          <w:vertAlign w:val="baseline"/>
        </w:rPr>
        <w:t> </w:t>
      </w:r>
      <w:r>
        <w:rPr>
          <w:sz w:val="25"/>
          <w:vertAlign w:val="baseline"/>
        </w:rPr>
        <w:t>events</w:t>
      </w:r>
      <w:r>
        <w:rPr>
          <w:spacing w:val="39"/>
          <w:sz w:val="25"/>
          <w:vertAlign w:val="baseline"/>
        </w:rPr>
        <w:t> </w:t>
      </w:r>
      <w:r>
        <w:rPr>
          <w:sz w:val="25"/>
          <w:vertAlign w:val="baseline"/>
        </w:rPr>
        <w:t>carried</w:t>
      </w:r>
      <w:r>
        <w:rPr>
          <w:spacing w:val="39"/>
          <w:sz w:val="25"/>
          <w:vertAlign w:val="baseline"/>
        </w:rPr>
        <w:t> </w:t>
      </w:r>
      <w:r>
        <w:rPr>
          <w:sz w:val="25"/>
          <w:vertAlign w:val="baseline"/>
        </w:rPr>
        <w:t>on</w:t>
      </w:r>
      <w:r>
        <w:rPr>
          <w:spacing w:val="38"/>
          <w:sz w:val="25"/>
          <w:vertAlign w:val="baseline"/>
        </w:rPr>
        <w:t> </w:t>
      </w:r>
      <w:r>
        <w:rPr>
          <w:sz w:val="25"/>
          <w:vertAlign w:val="baseline"/>
        </w:rPr>
        <w:t>within</w:t>
      </w:r>
      <w:r>
        <w:rPr>
          <w:spacing w:val="39"/>
          <w:sz w:val="25"/>
          <w:vertAlign w:val="baseline"/>
        </w:rPr>
        <w:t> </w:t>
      </w:r>
      <w:r>
        <w:rPr>
          <w:sz w:val="25"/>
          <w:vertAlign w:val="baseline"/>
        </w:rPr>
        <w:t>the</w:t>
      </w:r>
      <w:r>
        <w:rPr>
          <w:spacing w:val="39"/>
          <w:sz w:val="25"/>
          <w:vertAlign w:val="baseline"/>
        </w:rPr>
        <w:t> </w:t>
      </w:r>
      <w:r>
        <w:rPr>
          <w:sz w:val="25"/>
          <w:vertAlign w:val="baseline"/>
        </w:rPr>
        <w:t>institution,</w:t>
      </w:r>
      <w:r>
        <w:rPr>
          <w:spacing w:val="36"/>
          <w:sz w:val="25"/>
          <w:vertAlign w:val="baseline"/>
        </w:rPr>
        <w:t> </w:t>
      </w:r>
      <w:r>
        <w:rPr>
          <w:sz w:val="25"/>
          <w:vertAlign w:val="baseline"/>
        </w:rPr>
        <w:t>the</w:t>
      </w:r>
      <w:r>
        <w:rPr>
          <w:spacing w:val="44"/>
          <w:sz w:val="25"/>
          <w:vertAlign w:val="baseline"/>
        </w:rPr>
        <w:t> </w:t>
      </w:r>
      <w:r>
        <w:rPr>
          <w:sz w:val="25"/>
          <w:vertAlign w:val="baseline"/>
        </w:rPr>
        <w:t>court</w:t>
      </w:r>
      <w:r>
        <w:rPr>
          <w:spacing w:val="38"/>
          <w:sz w:val="25"/>
          <w:vertAlign w:val="baseline"/>
        </w:rPr>
        <w:t> </w:t>
      </w:r>
      <w:r>
        <w:rPr>
          <w:sz w:val="25"/>
          <w:vertAlign w:val="baseline"/>
        </w:rPr>
        <w:t>concluded</w:t>
      </w:r>
    </w:p>
    <w:p>
      <w:pPr>
        <w:pStyle w:val="BodyText"/>
        <w:rPr>
          <w:sz w:val="20"/>
        </w:rPr>
      </w:pPr>
    </w:p>
    <w:p>
      <w:pPr>
        <w:pStyle w:val="BodyText"/>
        <w:spacing w:before="1"/>
        <w:rPr>
          <w:sz w:val="13"/>
        </w:rPr>
      </w:pPr>
      <w:r>
        <w:rPr/>
        <w:pict>
          <v:rect style="position:absolute;margin-left:72.024002pt;margin-top:9.512964pt;width:144.020pt;height:.599980pt;mso-position-horizontal-relative:page;mso-position-vertical-relative:paragraph;z-index:-1569945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92</w:t>
      </w:r>
      <w:r>
        <w:rPr>
          <w:sz w:val="18"/>
          <w:vertAlign w:val="baseline"/>
        </w:rPr>
        <w:t> 1939 1 MLJ 134</w:t>
      </w:r>
    </w:p>
    <w:p>
      <w:pPr>
        <w:spacing w:after="0"/>
        <w:jc w:val="left"/>
        <w:rPr>
          <w:sz w:val="18"/>
        </w:rPr>
        <w:sectPr>
          <w:pgSz w:w="11910" w:h="16840"/>
          <w:pgMar w:header="721" w:footer="1014" w:top="1300" w:bottom="1200" w:left="940" w:right="1000"/>
        </w:sectPr>
      </w:pPr>
    </w:p>
    <w:p>
      <w:pPr>
        <w:pStyle w:val="BodyText"/>
        <w:spacing w:line="480" w:lineRule="auto" w:before="124"/>
        <w:ind w:left="500" w:right="443"/>
        <w:jc w:val="both"/>
      </w:pPr>
      <w:r>
        <w:rPr/>
        <w:t>that there was, within the institution, public religious worship. The High Court held that the Board was thus authorized to frame a scheme under the Act. Justice Varadachariar observed:</w:t>
      </w:r>
    </w:p>
    <w:p>
      <w:pPr>
        <w:spacing w:line="276" w:lineRule="auto" w:before="0"/>
        <w:ind w:left="1940" w:right="2261" w:firstLine="0"/>
        <w:jc w:val="both"/>
        <w:rPr>
          <w:sz w:val="21"/>
        </w:rPr>
      </w:pPr>
      <w:r>
        <w:rPr>
          <w:w w:val="33"/>
          <w:sz w:val="21"/>
        </w:rPr>
        <w:t>―</w:t>
      </w:r>
      <w:r>
        <w:rPr>
          <w:w w:val="100"/>
          <w:sz w:val="21"/>
        </w:rPr>
        <w:t>The</w:t>
      </w:r>
      <w:r>
        <w:rPr>
          <w:sz w:val="21"/>
        </w:rPr>
        <w:t> </w:t>
      </w:r>
      <w:r>
        <w:rPr>
          <w:w w:val="100"/>
          <w:sz w:val="21"/>
        </w:rPr>
        <w:t>test</w:t>
      </w:r>
      <w:r>
        <w:rPr>
          <w:sz w:val="21"/>
        </w:rPr>
        <w:t> </w:t>
      </w:r>
      <w:r>
        <w:rPr>
          <w:w w:val="100"/>
          <w:sz w:val="21"/>
        </w:rPr>
        <w:t>is</w:t>
      </w:r>
      <w:r>
        <w:rPr>
          <w:sz w:val="21"/>
        </w:rPr>
        <w:t> </w:t>
      </w:r>
      <w:r>
        <w:rPr>
          <w:w w:val="100"/>
          <w:sz w:val="21"/>
        </w:rPr>
        <w:t>not</w:t>
      </w:r>
      <w:r>
        <w:rPr>
          <w:sz w:val="21"/>
        </w:rPr>
        <w:t> </w:t>
      </w:r>
      <w:r>
        <w:rPr>
          <w:w w:val="100"/>
          <w:sz w:val="21"/>
        </w:rPr>
        <w:t>whether</w:t>
      </w:r>
      <w:r>
        <w:rPr>
          <w:sz w:val="21"/>
        </w:rPr>
        <w:t> </w:t>
      </w:r>
      <w:r>
        <w:rPr>
          <w:w w:val="100"/>
          <w:sz w:val="21"/>
        </w:rPr>
        <w:t>it</w:t>
      </w:r>
      <w:r>
        <w:rPr>
          <w:sz w:val="21"/>
        </w:rPr>
        <w:t> </w:t>
      </w:r>
      <w:r>
        <w:rPr>
          <w:w w:val="100"/>
          <w:sz w:val="21"/>
        </w:rPr>
        <w:t>conforms</w:t>
      </w:r>
      <w:r>
        <w:rPr>
          <w:sz w:val="21"/>
        </w:rPr>
        <w:t> </w:t>
      </w:r>
      <w:r>
        <w:rPr>
          <w:w w:val="100"/>
          <w:sz w:val="21"/>
        </w:rPr>
        <w:t>to</w:t>
      </w:r>
      <w:r>
        <w:rPr>
          <w:sz w:val="21"/>
        </w:rPr>
        <w:t> </w:t>
      </w:r>
      <w:r>
        <w:rPr>
          <w:w w:val="100"/>
          <w:sz w:val="21"/>
        </w:rPr>
        <w:t>any</w:t>
      </w:r>
      <w:r>
        <w:rPr>
          <w:sz w:val="21"/>
        </w:rPr>
        <w:t> </w:t>
      </w:r>
      <w:r>
        <w:rPr>
          <w:w w:val="100"/>
          <w:sz w:val="21"/>
        </w:rPr>
        <w:t>particular</w:t>
      </w:r>
      <w:r>
        <w:rPr>
          <w:sz w:val="21"/>
        </w:rPr>
        <w:t> </w:t>
      </w:r>
      <w:r>
        <w:rPr>
          <w:w w:val="100"/>
          <w:sz w:val="21"/>
        </w:rPr>
        <w:t>school</w:t>
      </w:r>
      <w:r>
        <w:rPr>
          <w:sz w:val="21"/>
        </w:rPr>
        <w:t> </w:t>
      </w:r>
      <w:r>
        <w:rPr>
          <w:w w:val="100"/>
          <w:sz w:val="21"/>
        </w:rPr>
        <w:t>of </w:t>
      </w:r>
      <w:r>
        <w:rPr>
          <w:sz w:val="21"/>
        </w:rPr>
        <w:t>Agama Sastra; we think that the question must be decided with reference to the view of the class of people who take part in the worship. If they believe in its religious efficacy, in the sense that by such worship, they are making themselves the object of the bounty of some superhuman power, it must be </w:t>
      </w:r>
      <w:r>
        <w:rPr>
          <w:w w:val="100"/>
          <w:sz w:val="21"/>
        </w:rPr>
        <w:t>regarded</w:t>
      </w:r>
      <w:r>
        <w:rPr>
          <w:sz w:val="21"/>
        </w:rPr>
        <w:t> </w:t>
      </w:r>
      <w:r>
        <w:rPr>
          <w:w w:val="100"/>
          <w:sz w:val="21"/>
        </w:rPr>
        <w:t>as</w:t>
      </w:r>
      <w:r>
        <w:rPr>
          <w:sz w:val="21"/>
        </w:rPr>
        <w:t> </w:t>
      </w:r>
      <w:r>
        <w:rPr>
          <w:w w:val="33"/>
          <w:sz w:val="21"/>
        </w:rPr>
        <w:t>―</w:t>
      </w:r>
      <w:r>
        <w:rPr>
          <w:w w:val="100"/>
          <w:sz w:val="21"/>
        </w:rPr>
        <w:t>religious</w:t>
      </w:r>
      <w:r>
        <w:rPr>
          <w:sz w:val="21"/>
        </w:rPr>
        <w:t> </w:t>
      </w:r>
      <w:r>
        <w:rPr>
          <w:w w:val="100"/>
          <w:sz w:val="21"/>
        </w:rPr>
        <w:t>worship.</w:t>
      </w:r>
      <w:r>
        <w:rPr>
          <w:w w:val="81"/>
          <w:sz w:val="21"/>
        </w:rPr>
        <w:t>‖</w:t>
      </w:r>
    </w:p>
    <w:p>
      <w:pPr>
        <w:pStyle w:val="BodyText"/>
        <w:rPr>
          <w:sz w:val="24"/>
        </w:rPr>
      </w:pPr>
    </w:p>
    <w:p>
      <w:pPr>
        <w:pStyle w:val="BodyText"/>
        <w:spacing w:before="1"/>
      </w:pPr>
    </w:p>
    <w:p>
      <w:pPr>
        <w:pStyle w:val="ListParagraph"/>
        <w:numPr>
          <w:ilvl w:val="0"/>
          <w:numId w:val="3"/>
        </w:numPr>
        <w:tabs>
          <w:tab w:pos="1221" w:val="left" w:leader="none"/>
        </w:tabs>
        <w:spacing w:line="480" w:lineRule="auto" w:before="1" w:after="0"/>
        <w:ind w:left="500" w:right="433" w:firstLine="0"/>
        <w:jc w:val="both"/>
        <w:rPr>
          <w:sz w:val="25"/>
        </w:rPr>
      </w:pPr>
      <w:r>
        <w:rPr>
          <w:sz w:val="25"/>
        </w:rPr>
        <w:t>Mr Parasaran, appearing on behalf of the plaintiffs in Suit 5 argued, on the basis of this extract, that by performing the </w:t>
      </w:r>
      <w:r>
        <w:rPr>
          <w:i/>
          <w:sz w:val="25"/>
        </w:rPr>
        <w:t>parikrama </w:t>
      </w:r>
      <w:r>
        <w:rPr>
          <w:sz w:val="25"/>
        </w:rPr>
        <w:t>around the disputed site with the faith and belief that the disputed site is the birth-place of Lord Ram, the devotees believe that the receive the spiritual benefits of religious worship. This,  it was urged, is adequate for this Court to hold that the land constituting the second plaintiff is a juristic person. The observations of the Madras High Court in </w:t>
      </w:r>
      <w:r>
        <w:rPr>
          <w:b/>
          <w:sz w:val="25"/>
        </w:rPr>
        <w:t>Pidugu Narasimhan </w:t>
      </w:r>
      <w:r>
        <w:rPr>
          <w:sz w:val="25"/>
        </w:rPr>
        <w:t>were in the context of assessing whether the performance </w:t>
      </w:r>
      <w:r>
        <w:rPr>
          <w:w w:val="99"/>
          <w:sz w:val="25"/>
        </w:rPr>
        <w:t>of</w:t>
      </w:r>
      <w:r>
        <w:rPr>
          <w:spacing w:val="34"/>
          <w:sz w:val="25"/>
        </w:rPr>
        <w:t> </w:t>
      </w:r>
      <w:r>
        <w:rPr>
          <w:w w:val="99"/>
          <w:sz w:val="25"/>
        </w:rPr>
        <w:t>the</w:t>
      </w:r>
      <w:r>
        <w:rPr>
          <w:spacing w:val="34"/>
          <w:sz w:val="25"/>
        </w:rPr>
        <w:t> </w:t>
      </w:r>
      <w:r>
        <w:rPr>
          <w:w w:val="99"/>
          <w:sz w:val="25"/>
        </w:rPr>
        <w:t>ce</w:t>
      </w:r>
      <w:r>
        <w:rPr>
          <w:spacing w:val="1"/>
          <w:w w:val="99"/>
          <w:sz w:val="25"/>
        </w:rPr>
        <w:t>r</w:t>
      </w:r>
      <w:r>
        <w:rPr>
          <w:w w:val="99"/>
          <w:sz w:val="25"/>
        </w:rPr>
        <w:t>e</w:t>
      </w:r>
      <w:r>
        <w:rPr>
          <w:spacing w:val="1"/>
          <w:w w:val="99"/>
          <w:sz w:val="25"/>
        </w:rPr>
        <w:t>m</w:t>
      </w:r>
      <w:r>
        <w:rPr>
          <w:w w:val="99"/>
          <w:sz w:val="25"/>
        </w:rPr>
        <w:t>o</w:t>
      </w:r>
      <w:r>
        <w:rPr>
          <w:spacing w:val="2"/>
          <w:w w:val="99"/>
          <w:sz w:val="25"/>
        </w:rPr>
        <w:t>n</w:t>
      </w:r>
      <w:r>
        <w:rPr>
          <w:spacing w:val="-1"/>
          <w:w w:val="99"/>
          <w:sz w:val="25"/>
        </w:rPr>
        <w:t>ie</w:t>
      </w:r>
      <w:r>
        <w:rPr>
          <w:w w:val="99"/>
          <w:sz w:val="25"/>
        </w:rPr>
        <w:t>s</w:t>
      </w:r>
      <w:r>
        <w:rPr>
          <w:spacing w:val="33"/>
          <w:sz w:val="25"/>
        </w:rPr>
        <w:t> </w:t>
      </w:r>
      <w:r>
        <w:rPr>
          <w:spacing w:val="-1"/>
          <w:w w:val="99"/>
          <w:sz w:val="25"/>
        </w:rPr>
        <w:t>a</w:t>
      </w:r>
      <w:r>
        <w:rPr>
          <w:w w:val="99"/>
          <w:sz w:val="25"/>
        </w:rPr>
        <w:t>m</w:t>
      </w:r>
      <w:r>
        <w:rPr>
          <w:spacing w:val="-1"/>
          <w:w w:val="99"/>
          <w:sz w:val="25"/>
        </w:rPr>
        <w:t>o</w:t>
      </w:r>
      <w:r>
        <w:rPr>
          <w:w w:val="99"/>
          <w:sz w:val="25"/>
        </w:rPr>
        <w:t>u</w:t>
      </w:r>
      <w:r>
        <w:rPr>
          <w:spacing w:val="-1"/>
          <w:w w:val="99"/>
          <w:sz w:val="25"/>
        </w:rPr>
        <w:t>nt</w:t>
      </w:r>
      <w:r>
        <w:rPr>
          <w:w w:val="99"/>
          <w:sz w:val="25"/>
        </w:rPr>
        <w:t>ed</w:t>
      </w:r>
      <w:r>
        <w:rPr>
          <w:spacing w:val="33"/>
          <w:sz w:val="25"/>
        </w:rPr>
        <w:t> </w:t>
      </w:r>
      <w:r>
        <w:rPr>
          <w:w w:val="99"/>
          <w:sz w:val="25"/>
        </w:rPr>
        <w:t>to</w:t>
      </w:r>
      <w:r>
        <w:rPr>
          <w:spacing w:val="34"/>
          <w:sz w:val="25"/>
        </w:rPr>
        <w:t> </w:t>
      </w:r>
      <w:r>
        <w:rPr>
          <w:w w:val="33"/>
          <w:sz w:val="25"/>
        </w:rPr>
        <w:t>―</w:t>
      </w:r>
      <w:r>
        <w:rPr>
          <w:spacing w:val="-1"/>
          <w:w w:val="99"/>
          <w:sz w:val="25"/>
        </w:rPr>
        <w:t>p</w:t>
      </w:r>
      <w:r>
        <w:rPr>
          <w:w w:val="99"/>
          <w:sz w:val="25"/>
        </w:rPr>
        <w:t>u</w:t>
      </w:r>
      <w:r>
        <w:rPr>
          <w:spacing w:val="-1"/>
          <w:w w:val="99"/>
          <w:sz w:val="25"/>
        </w:rPr>
        <w:t>bli</w:t>
      </w:r>
      <w:r>
        <w:rPr>
          <w:w w:val="99"/>
          <w:sz w:val="25"/>
        </w:rPr>
        <w:t>c</w:t>
      </w:r>
      <w:r>
        <w:rPr>
          <w:spacing w:val="33"/>
          <w:sz w:val="25"/>
        </w:rPr>
        <w:t> </w:t>
      </w:r>
      <w:r>
        <w:rPr>
          <w:w w:val="99"/>
          <w:sz w:val="25"/>
        </w:rPr>
        <w:t>r</w:t>
      </w:r>
      <w:r>
        <w:rPr>
          <w:spacing w:val="-1"/>
          <w:w w:val="99"/>
          <w:sz w:val="25"/>
        </w:rPr>
        <w:t>eligio</w:t>
      </w:r>
      <w:r>
        <w:rPr>
          <w:w w:val="99"/>
          <w:sz w:val="25"/>
        </w:rPr>
        <w:t>us</w:t>
      </w:r>
      <w:r>
        <w:rPr>
          <w:spacing w:val="33"/>
          <w:sz w:val="25"/>
        </w:rPr>
        <w:t> </w:t>
      </w:r>
      <w:r>
        <w:rPr>
          <w:spacing w:val="-1"/>
          <w:w w:val="99"/>
          <w:sz w:val="25"/>
        </w:rPr>
        <w:t>wo</w:t>
      </w:r>
      <w:r>
        <w:rPr>
          <w:w w:val="99"/>
          <w:sz w:val="25"/>
        </w:rPr>
        <w:t>r</w:t>
      </w:r>
      <w:r>
        <w:rPr>
          <w:w w:val="96"/>
          <w:sz w:val="25"/>
        </w:rPr>
        <w:t>ship‖</w:t>
      </w:r>
      <w:r>
        <w:rPr>
          <w:spacing w:val="34"/>
          <w:sz w:val="25"/>
        </w:rPr>
        <w:t> </w:t>
      </w:r>
      <w:r>
        <w:rPr>
          <w:spacing w:val="-1"/>
          <w:w w:val="99"/>
          <w:sz w:val="25"/>
        </w:rPr>
        <w:t>i</w:t>
      </w:r>
      <w:r>
        <w:rPr>
          <w:w w:val="99"/>
          <w:sz w:val="25"/>
        </w:rPr>
        <w:t>n</w:t>
      </w:r>
      <w:r>
        <w:rPr>
          <w:spacing w:val="33"/>
          <w:sz w:val="25"/>
        </w:rPr>
        <w:t> </w:t>
      </w:r>
      <w:r>
        <w:rPr>
          <w:spacing w:val="-1"/>
          <w:w w:val="99"/>
          <w:sz w:val="25"/>
        </w:rPr>
        <w:t>o</w:t>
      </w:r>
      <w:r>
        <w:rPr>
          <w:spacing w:val="3"/>
          <w:w w:val="99"/>
          <w:sz w:val="25"/>
        </w:rPr>
        <w:t>r</w:t>
      </w:r>
      <w:r>
        <w:rPr>
          <w:spacing w:val="-1"/>
          <w:w w:val="99"/>
          <w:sz w:val="25"/>
        </w:rPr>
        <w:t>d</w:t>
      </w:r>
      <w:r>
        <w:rPr>
          <w:w w:val="99"/>
          <w:sz w:val="25"/>
        </w:rPr>
        <w:t>er</w:t>
      </w:r>
      <w:r>
        <w:rPr>
          <w:spacing w:val="34"/>
          <w:sz w:val="25"/>
        </w:rPr>
        <w:t> </w:t>
      </w:r>
      <w:r>
        <w:rPr>
          <w:w w:val="99"/>
          <w:sz w:val="25"/>
        </w:rPr>
        <w:t>to</w:t>
      </w:r>
      <w:r>
        <w:rPr>
          <w:spacing w:val="34"/>
          <w:sz w:val="25"/>
        </w:rPr>
        <w:t> </w:t>
      </w:r>
      <w:r>
        <w:rPr>
          <w:spacing w:val="-1"/>
          <w:w w:val="99"/>
          <w:sz w:val="25"/>
        </w:rPr>
        <w:t>d</w:t>
      </w:r>
      <w:r>
        <w:rPr>
          <w:w w:val="99"/>
          <w:sz w:val="25"/>
        </w:rPr>
        <w:t>ete</w:t>
      </w:r>
      <w:r>
        <w:rPr>
          <w:spacing w:val="1"/>
          <w:w w:val="99"/>
          <w:sz w:val="25"/>
        </w:rPr>
        <w:t>r</w:t>
      </w:r>
      <w:r>
        <w:rPr>
          <w:w w:val="99"/>
          <w:sz w:val="25"/>
        </w:rPr>
        <w:t>m</w:t>
      </w:r>
      <w:r>
        <w:rPr>
          <w:spacing w:val="-1"/>
          <w:w w:val="99"/>
          <w:sz w:val="25"/>
        </w:rPr>
        <w:t>ine </w:t>
      </w:r>
      <w:r>
        <w:rPr>
          <w:sz w:val="25"/>
        </w:rPr>
        <w:t>whether the institution in question was a temple under the Act. No question arose of the temple being a juristic person. At best, this case supports the proposition put forth by the plaintiffs in Suit 5 that the nature of worship performed at the disputed site is of a religious</w:t>
      </w:r>
      <w:r>
        <w:rPr>
          <w:spacing w:val="-3"/>
          <w:sz w:val="25"/>
        </w:rPr>
        <w:t> </w:t>
      </w:r>
      <w:r>
        <w:rPr>
          <w:sz w:val="25"/>
        </w:rPr>
        <w:t>nature.</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41" w:firstLine="0"/>
        <w:jc w:val="both"/>
        <w:rPr>
          <w:sz w:val="25"/>
        </w:rPr>
      </w:pPr>
      <w:r>
        <w:rPr>
          <w:sz w:val="25"/>
        </w:rPr>
        <w:t>Mr Parasaran placed reliance on a decision of the Madras High Court in </w:t>
      </w:r>
      <w:r>
        <w:rPr>
          <w:b/>
          <w:sz w:val="25"/>
        </w:rPr>
        <w:t>TRK Ramaswami Servai </w:t>
      </w:r>
      <w:r>
        <w:rPr>
          <w:sz w:val="25"/>
        </w:rPr>
        <w:t>v </w:t>
      </w:r>
      <w:r>
        <w:rPr>
          <w:b/>
          <w:sz w:val="25"/>
        </w:rPr>
        <w:t>The Board of Commissioners for the Hindu Religious Endowments, Madras</w:t>
      </w:r>
      <w:r>
        <w:rPr>
          <w:sz w:val="25"/>
          <w:vertAlign w:val="superscript"/>
        </w:rPr>
        <w:t>93</w:t>
      </w:r>
      <w:r>
        <w:rPr>
          <w:sz w:val="25"/>
          <w:vertAlign w:val="baseline"/>
        </w:rPr>
        <w:t> to contend that the presence of an idol</w:t>
      </w:r>
      <w:r>
        <w:rPr>
          <w:spacing w:val="3"/>
          <w:sz w:val="25"/>
          <w:vertAlign w:val="baseline"/>
        </w:rPr>
        <w:t> </w:t>
      </w:r>
      <w:r>
        <w:rPr>
          <w:sz w:val="25"/>
          <w:vertAlign w:val="baseline"/>
        </w:rPr>
        <w:t>is a</w:t>
      </w:r>
    </w:p>
    <w:p>
      <w:pPr>
        <w:pStyle w:val="BodyText"/>
        <w:spacing w:before="2"/>
        <w:rPr>
          <w:sz w:val="14"/>
        </w:rPr>
      </w:pPr>
      <w:r>
        <w:rPr/>
        <w:pict>
          <v:rect style="position:absolute;margin-left:72.024002pt;margin-top:10.106702pt;width:144.020pt;height:.599980pt;mso-position-horizontal-relative:page;mso-position-vertical-relative:paragraph;z-index:-1569894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93</w:t>
      </w:r>
      <w:r>
        <w:rPr>
          <w:sz w:val="18"/>
          <w:vertAlign w:val="baseline"/>
        </w:rPr>
        <w:t> ILR 1950 Mad 799</w:t>
      </w:r>
    </w:p>
    <w:p>
      <w:pPr>
        <w:spacing w:after="0"/>
        <w:jc w:val="left"/>
        <w:rPr>
          <w:sz w:val="18"/>
        </w:rPr>
        <w:sectPr>
          <w:headerReference w:type="default" r:id="rId62"/>
          <w:footerReference w:type="default" r:id="rId63"/>
          <w:pgSz w:w="11910" w:h="16840"/>
          <w:pgMar w:header="721" w:footer="1014" w:top="1300" w:bottom="1200" w:left="940" w:right="1000"/>
          <w:pgNumType w:start="181"/>
        </w:sectPr>
      </w:pPr>
    </w:p>
    <w:p>
      <w:pPr>
        <w:pStyle w:val="BodyText"/>
        <w:spacing w:line="480" w:lineRule="auto" w:before="124"/>
        <w:ind w:left="500" w:right="434"/>
        <w:jc w:val="both"/>
      </w:pPr>
      <w:r>
        <w:rPr/>
        <w:t>dispensable requirement with respect to religious worship and that the faith and belief of the worshippers along with the performance of the </w:t>
      </w:r>
      <w:r>
        <w:rPr>
          <w:i/>
        </w:rPr>
        <w:t>parikrama </w:t>
      </w:r>
      <w:r>
        <w:rPr/>
        <w:t>around the disputed land is sufficient for a court to confer on the disputed site legal personality. In </w:t>
      </w:r>
      <w:r>
        <w:rPr>
          <w:b/>
        </w:rPr>
        <w:t>TRK Ramaswami Servai</w:t>
      </w:r>
      <w:r>
        <w:rPr/>
        <w:t>, a deed of gift was executed declaring that certain land had been endowed to a temple Devasthanam and that a temple was under construction. Besides the donor, two trustees were appointed.  In 1937, the Hindu Religious Endowments Board demanded a contribution from the trustees on the assumption that the construction of the temple was complete. This was resisted by the appellants on the ground that the temple was not constructed and that no idol had been installed. The temple was nonetheless declared a temple within the ambit of the Madras Hindu Religious Endowments Act, 1926. Subsequently, a scheme of management was sought to be framed for the</w:t>
      </w:r>
      <w:r>
        <w:rPr>
          <w:spacing w:val="-1"/>
        </w:rPr>
        <w:t> </w:t>
      </w:r>
      <w:r>
        <w:rPr/>
        <w:t>temple.</w:t>
      </w:r>
    </w:p>
    <w:p>
      <w:pPr>
        <w:pStyle w:val="BodyText"/>
        <w:rPr>
          <w:sz w:val="28"/>
        </w:rPr>
      </w:pPr>
    </w:p>
    <w:p>
      <w:pPr>
        <w:pStyle w:val="BodyText"/>
        <w:spacing w:before="1"/>
        <w:rPr>
          <w:sz w:val="22"/>
        </w:rPr>
      </w:pPr>
    </w:p>
    <w:p>
      <w:pPr>
        <w:pStyle w:val="ListParagraph"/>
        <w:numPr>
          <w:ilvl w:val="0"/>
          <w:numId w:val="3"/>
        </w:numPr>
        <w:tabs>
          <w:tab w:pos="1221" w:val="left" w:leader="none"/>
        </w:tabs>
        <w:spacing w:line="480" w:lineRule="auto" w:before="0" w:after="0"/>
        <w:ind w:left="500" w:right="440" w:firstLine="0"/>
        <w:jc w:val="both"/>
        <w:rPr>
          <w:sz w:val="25"/>
        </w:rPr>
      </w:pPr>
      <w:r>
        <w:rPr>
          <w:sz w:val="25"/>
        </w:rPr>
        <w:t>Among the various issues addressed by the court, one concerned the existence of a valid temple for the purposes of the Act. The two judges on the Division Bench differed and the case was then referred to a third Judge. Agreeing that there existed a temple for the purposes of the Act, Justice Viswanatha Sastri held:</w:t>
      </w:r>
    </w:p>
    <w:p>
      <w:pPr>
        <w:spacing w:line="276" w:lineRule="auto" w:before="0"/>
        <w:ind w:left="1940" w:right="2260" w:firstLine="0"/>
        <w:jc w:val="both"/>
        <w:rPr>
          <w:b/>
          <w:sz w:val="21"/>
        </w:rPr>
      </w:pPr>
      <w:r>
        <w:rPr>
          <w:spacing w:val="-1"/>
          <w:w w:val="33"/>
          <w:sz w:val="21"/>
        </w:rPr>
        <w:t>―</w:t>
      </w:r>
      <w:r>
        <w:rPr>
          <w:w w:val="100"/>
          <w:sz w:val="21"/>
        </w:rPr>
        <w:t>…T</w:t>
      </w:r>
      <w:r>
        <w:rPr>
          <w:spacing w:val="-2"/>
          <w:w w:val="100"/>
          <w:sz w:val="21"/>
        </w:rPr>
        <w:t>h</w:t>
      </w:r>
      <w:r>
        <w:rPr>
          <w:w w:val="100"/>
          <w:sz w:val="21"/>
        </w:rPr>
        <w:t>e</w:t>
      </w:r>
      <w:r>
        <w:rPr>
          <w:sz w:val="21"/>
        </w:rPr>
        <w:t> </w:t>
      </w:r>
      <w:r>
        <w:rPr>
          <w:w w:val="100"/>
          <w:sz w:val="21"/>
        </w:rPr>
        <w:t>H</w:t>
      </w:r>
      <w:r>
        <w:rPr>
          <w:spacing w:val="-2"/>
          <w:w w:val="100"/>
          <w:sz w:val="21"/>
        </w:rPr>
        <w:t>i</w:t>
      </w:r>
      <w:r>
        <w:rPr>
          <w:spacing w:val="-1"/>
          <w:w w:val="100"/>
          <w:sz w:val="21"/>
        </w:rPr>
        <w:t>nd</w:t>
      </w:r>
      <w:r>
        <w:rPr>
          <w:w w:val="100"/>
          <w:sz w:val="21"/>
        </w:rPr>
        <w:t>u</w:t>
      </w:r>
      <w:r>
        <w:rPr>
          <w:sz w:val="21"/>
        </w:rPr>
        <w:t> </w:t>
      </w:r>
      <w:r>
        <w:rPr>
          <w:spacing w:val="-2"/>
          <w:w w:val="100"/>
          <w:sz w:val="21"/>
        </w:rPr>
        <w:t>l</w:t>
      </w:r>
      <w:r>
        <w:rPr>
          <w:spacing w:val="-1"/>
          <w:w w:val="100"/>
          <w:sz w:val="21"/>
        </w:rPr>
        <w:t>a</w:t>
      </w:r>
      <w:r>
        <w:rPr>
          <w:w w:val="100"/>
          <w:sz w:val="21"/>
        </w:rPr>
        <w:t>w</w:t>
      </w:r>
      <w:r>
        <w:rPr>
          <w:sz w:val="21"/>
        </w:rPr>
        <w:t> </w:t>
      </w:r>
      <w:r>
        <w:rPr>
          <w:spacing w:val="-1"/>
          <w:w w:val="100"/>
          <w:sz w:val="21"/>
        </w:rPr>
        <w:t>re</w:t>
      </w:r>
      <w:r>
        <w:rPr>
          <w:spacing w:val="-3"/>
          <w:w w:val="100"/>
          <w:sz w:val="21"/>
        </w:rPr>
        <w:t>c</w:t>
      </w:r>
      <w:r>
        <w:rPr>
          <w:spacing w:val="-1"/>
          <w:w w:val="100"/>
          <w:sz w:val="21"/>
        </w:rPr>
        <w:t>og</w:t>
      </w:r>
      <w:r>
        <w:rPr>
          <w:spacing w:val="-2"/>
          <w:w w:val="100"/>
          <w:sz w:val="21"/>
        </w:rPr>
        <w:t>ni</w:t>
      </w:r>
      <w:r>
        <w:rPr>
          <w:spacing w:val="-3"/>
          <w:w w:val="100"/>
          <w:sz w:val="21"/>
        </w:rPr>
        <w:t>z</w:t>
      </w:r>
      <w:r>
        <w:rPr>
          <w:spacing w:val="-1"/>
          <w:w w:val="100"/>
          <w:sz w:val="21"/>
        </w:rPr>
        <w:t>e</w:t>
      </w:r>
      <w:r>
        <w:rPr>
          <w:w w:val="100"/>
          <w:sz w:val="21"/>
        </w:rPr>
        <w:t>s</w:t>
      </w:r>
      <w:r>
        <w:rPr>
          <w:sz w:val="21"/>
        </w:rPr>
        <w:t> </w:t>
      </w:r>
      <w:r>
        <w:rPr>
          <w:spacing w:val="-2"/>
          <w:w w:val="100"/>
          <w:sz w:val="21"/>
        </w:rPr>
        <w:t>t</w:t>
      </w:r>
      <w:r>
        <w:rPr>
          <w:spacing w:val="-1"/>
          <w:w w:val="100"/>
          <w:sz w:val="21"/>
        </w:rPr>
        <w:t>h</w:t>
      </w:r>
      <w:r>
        <w:rPr>
          <w:w w:val="100"/>
          <w:sz w:val="21"/>
        </w:rPr>
        <w:t>e</w:t>
      </w:r>
      <w:r>
        <w:rPr>
          <w:sz w:val="21"/>
        </w:rPr>
        <w:t> </w:t>
      </w:r>
      <w:r>
        <w:rPr>
          <w:spacing w:val="-3"/>
          <w:w w:val="100"/>
          <w:sz w:val="21"/>
        </w:rPr>
        <w:t>v</w:t>
      </w:r>
      <w:r>
        <w:rPr>
          <w:spacing w:val="-1"/>
          <w:w w:val="100"/>
          <w:sz w:val="21"/>
        </w:rPr>
        <w:t>a</w:t>
      </w:r>
      <w:r>
        <w:rPr>
          <w:spacing w:val="-2"/>
          <w:w w:val="100"/>
          <w:sz w:val="21"/>
        </w:rPr>
        <w:t>l</w:t>
      </w:r>
      <w:r>
        <w:rPr>
          <w:w w:val="100"/>
          <w:sz w:val="21"/>
        </w:rPr>
        <w:t>i</w:t>
      </w:r>
      <w:r>
        <w:rPr>
          <w:spacing w:val="-3"/>
          <w:w w:val="100"/>
          <w:sz w:val="21"/>
        </w:rPr>
        <w:t>d</w:t>
      </w:r>
      <w:r>
        <w:rPr>
          <w:w w:val="100"/>
          <w:sz w:val="21"/>
        </w:rPr>
        <w:t>i</w:t>
      </w:r>
      <w:r>
        <w:rPr>
          <w:spacing w:val="-2"/>
          <w:w w:val="100"/>
          <w:sz w:val="21"/>
        </w:rPr>
        <w:t>t</w:t>
      </w:r>
      <w:r>
        <w:rPr>
          <w:w w:val="100"/>
          <w:sz w:val="21"/>
        </w:rPr>
        <w:t>y</w:t>
      </w:r>
      <w:r>
        <w:rPr>
          <w:sz w:val="21"/>
        </w:rPr>
        <w:t> </w:t>
      </w:r>
      <w:r>
        <w:rPr>
          <w:spacing w:val="-1"/>
          <w:w w:val="100"/>
          <w:sz w:val="21"/>
        </w:rPr>
        <w:t>o</w:t>
      </w:r>
      <w:r>
        <w:rPr>
          <w:w w:val="100"/>
          <w:sz w:val="21"/>
        </w:rPr>
        <w:t>f</w:t>
      </w:r>
      <w:r>
        <w:rPr>
          <w:sz w:val="21"/>
        </w:rPr>
        <w:t> </w:t>
      </w:r>
      <w:r>
        <w:rPr>
          <w:spacing w:val="-1"/>
          <w:w w:val="100"/>
          <w:sz w:val="21"/>
        </w:rPr>
        <w:t>de</w:t>
      </w:r>
      <w:r>
        <w:rPr>
          <w:spacing w:val="-2"/>
          <w:w w:val="100"/>
          <w:sz w:val="21"/>
        </w:rPr>
        <w:t>d</w:t>
      </w:r>
      <w:r>
        <w:rPr>
          <w:w w:val="100"/>
          <w:sz w:val="21"/>
        </w:rPr>
        <w:t>i</w:t>
      </w:r>
      <w:r>
        <w:rPr>
          <w:spacing w:val="-3"/>
          <w:w w:val="100"/>
          <w:sz w:val="21"/>
        </w:rPr>
        <w:t>c</w:t>
      </w:r>
      <w:r>
        <w:rPr>
          <w:spacing w:val="-1"/>
          <w:w w:val="100"/>
          <w:sz w:val="21"/>
        </w:rPr>
        <w:t>at</w:t>
      </w:r>
      <w:r>
        <w:rPr>
          <w:spacing w:val="-2"/>
          <w:w w:val="100"/>
          <w:sz w:val="21"/>
        </w:rPr>
        <w:t>i</w:t>
      </w:r>
      <w:r>
        <w:rPr>
          <w:spacing w:val="-1"/>
          <w:w w:val="100"/>
          <w:sz w:val="21"/>
        </w:rPr>
        <w:t>on</w:t>
      </w:r>
      <w:r>
        <w:rPr>
          <w:w w:val="100"/>
          <w:sz w:val="21"/>
        </w:rPr>
        <w:t>s</w:t>
      </w:r>
      <w:r>
        <w:rPr>
          <w:sz w:val="21"/>
        </w:rPr>
        <w:t> </w:t>
      </w:r>
      <w:r>
        <w:rPr>
          <w:spacing w:val="1"/>
          <w:w w:val="100"/>
          <w:sz w:val="21"/>
        </w:rPr>
        <w:t>f</w:t>
      </w:r>
      <w:r>
        <w:rPr>
          <w:spacing w:val="-1"/>
          <w:w w:val="100"/>
          <w:sz w:val="21"/>
        </w:rPr>
        <w:t>o</w:t>
      </w:r>
      <w:r>
        <w:rPr>
          <w:w w:val="100"/>
          <w:sz w:val="21"/>
        </w:rPr>
        <w:t>r</w:t>
      </w:r>
      <w:r>
        <w:rPr>
          <w:sz w:val="21"/>
        </w:rPr>
        <w:t> </w:t>
      </w:r>
      <w:r>
        <w:rPr>
          <w:spacing w:val="-2"/>
          <w:w w:val="100"/>
          <w:sz w:val="21"/>
        </w:rPr>
        <w:t>t</w:t>
      </w:r>
      <w:r>
        <w:rPr>
          <w:spacing w:val="-1"/>
          <w:w w:val="100"/>
          <w:sz w:val="21"/>
        </w:rPr>
        <w:t>he </w:t>
      </w:r>
      <w:r>
        <w:rPr>
          <w:sz w:val="21"/>
        </w:rPr>
        <w:t>establishment of a deity and the maintenance of its worship. It is immaterial that the image of the deity has not been established before a gift or bequest is made for it…The test is not whether the installation of an idol and the mode of its worship conform to any particular school of A</w:t>
      </w:r>
      <w:r>
        <w:rPr>
          <w:i/>
          <w:sz w:val="21"/>
        </w:rPr>
        <w:t>gama Sastras. </w:t>
      </w:r>
      <w:r>
        <w:rPr>
          <w:sz w:val="21"/>
        </w:rPr>
        <w:t>If the public or that section of the public who go for worship consider that there is a Divine presence in a particular place and by offering worship at that place, they are likely to be the recipients of the county or blessings of God then, </w:t>
      </w:r>
      <w:r>
        <w:rPr>
          <w:b/>
          <w:sz w:val="21"/>
        </w:rPr>
        <w:t>you have got the essential features of a temple as defined in</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sz w:val="21"/>
        </w:rPr>
      </w:pPr>
      <w:r>
        <w:rPr>
          <w:b/>
          <w:sz w:val="21"/>
        </w:rPr>
        <w:t>section 9, clause 12, of the Act</w:t>
      </w:r>
      <w:r>
        <w:rPr>
          <w:sz w:val="21"/>
        </w:rPr>
        <w:t>. </w:t>
      </w:r>
      <w:r>
        <w:rPr>
          <w:b/>
          <w:sz w:val="21"/>
        </w:rPr>
        <w:t>The presence of an idol, though an invariable feature of Hindu temples, is not a legal requisite under the definition of a temple in section 9, clause 12, of the Act</w:t>
      </w:r>
      <w:r>
        <w:rPr>
          <w:sz w:val="21"/>
        </w:rPr>
        <w:t>.‖</w:t>
      </w:r>
    </w:p>
    <w:p>
      <w:pPr>
        <w:spacing w:before="1"/>
        <w:ind w:left="5798" w:right="0" w:firstLine="0"/>
        <w:jc w:val="left"/>
        <w:rPr>
          <w:sz w:val="21"/>
        </w:rPr>
      </w:pPr>
      <w:r>
        <w:rPr>
          <w:sz w:val="21"/>
        </w:rPr>
        <w:t>(Emphasis supplied)</w:t>
      </w:r>
    </w:p>
    <w:p>
      <w:pPr>
        <w:pStyle w:val="BodyText"/>
        <w:spacing w:before="1"/>
        <w:rPr>
          <w:sz w:val="28"/>
        </w:rPr>
      </w:pPr>
    </w:p>
    <w:p>
      <w:pPr>
        <w:pStyle w:val="BodyText"/>
        <w:spacing w:line="480" w:lineRule="auto" w:before="1"/>
        <w:ind w:left="500" w:right="436"/>
        <w:jc w:val="both"/>
      </w:pPr>
      <w:r>
        <w:rPr/>
        <w:t>The observations of the court were made in the context of assessing whether the presence of an idol was required for the institution to be defined as a temple under Section 9 of the Madras Hindu Religious Endowments Act, 1926. It was in this context that the court held that the belief of the devotees that they will be the recipients of God‘s blessings was sufficient for the institution to be held a temple under the Act. At best, these observations of the court establish that the belief of devotees that there is a divine presence is constitutive of a place of public worship. This however, is distinct from the conferral of juristic personality. An adjudication that an institution is a temple for the purposes of a statutory enactment is distinct from the issue as to whether the institution possesses juristic personality. The observations in this case were made in the specific context of a statutory definition and cannot be applied to a place a religious worship for which no statutory enactment</w:t>
      </w:r>
      <w:r>
        <w:rPr>
          <w:spacing w:val="-4"/>
        </w:rPr>
        <w:t> </w:t>
      </w:r>
      <w:r>
        <w:rPr/>
        <w:t>exists.</w:t>
      </w:r>
    </w:p>
    <w:p>
      <w:pPr>
        <w:pStyle w:val="BodyText"/>
      </w:pPr>
    </w:p>
    <w:p>
      <w:pPr>
        <w:pStyle w:val="ListParagraph"/>
        <w:numPr>
          <w:ilvl w:val="0"/>
          <w:numId w:val="3"/>
        </w:numPr>
        <w:tabs>
          <w:tab w:pos="1221" w:val="left" w:leader="none"/>
        </w:tabs>
        <w:spacing w:line="480" w:lineRule="auto" w:before="0" w:after="0"/>
        <w:ind w:left="500" w:right="434" w:firstLine="0"/>
        <w:jc w:val="both"/>
        <w:rPr>
          <w:sz w:val="25"/>
        </w:rPr>
      </w:pPr>
      <w:r>
        <w:rPr>
          <w:sz w:val="25"/>
        </w:rPr>
        <w:t>A similar question was adjudicated upon by the High Court of Andhra Pradesh in </w:t>
      </w:r>
      <w:r>
        <w:rPr>
          <w:b/>
          <w:sz w:val="25"/>
        </w:rPr>
        <w:t>Venkataramana Murthi </w:t>
      </w:r>
      <w:r>
        <w:rPr>
          <w:sz w:val="25"/>
        </w:rPr>
        <w:t>v </w:t>
      </w:r>
      <w:r>
        <w:rPr>
          <w:b/>
          <w:sz w:val="25"/>
        </w:rPr>
        <w:t>Sri Rama Mandhiram</w:t>
      </w:r>
      <w:r>
        <w:rPr>
          <w:sz w:val="25"/>
          <w:vertAlign w:val="superscript"/>
        </w:rPr>
        <w:t>94</w:t>
      </w:r>
      <w:r>
        <w:rPr>
          <w:sz w:val="25"/>
          <w:vertAlign w:val="baseline"/>
        </w:rPr>
        <w:t>, upon which reliance was placed. In this case, the court was required to assess whether an idol was a pre-requisite for a place of worship to be a temple within the purview of the Hindu Religious and Charitable Endowments Act 1951. The court affirmed that the existence of public religious worship and a dedication is adequate for the institution</w:t>
      </w:r>
      <w:r>
        <w:rPr>
          <w:spacing w:val="32"/>
          <w:sz w:val="25"/>
          <w:vertAlign w:val="baseline"/>
        </w:rPr>
        <w:t> </w:t>
      </w:r>
      <w:r>
        <w:rPr>
          <w:sz w:val="25"/>
          <w:vertAlign w:val="baseline"/>
        </w:rPr>
        <w:t>to</w:t>
      </w:r>
      <w:r>
        <w:rPr>
          <w:spacing w:val="33"/>
          <w:sz w:val="25"/>
          <w:vertAlign w:val="baseline"/>
        </w:rPr>
        <w:t> </w:t>
      </w:r>
      <w:r>
        <w:rPr>
          <w:sz w:val="25"/>
          <w:vertAlign w:val="baseline"/>
        </w:rPr>
        <w:t>be</w:t>
      </w:r>
      <w:r>
        <w:rPr>
          <w:spacing w:val="32"/>
          <w:sz w:val="25"/>
          <w:vertAlign w:val="baseline"/>
        </w:rPr>
        <w:t> </w:t>
      </w:r>
      <w:r>
        <w:rPr>
          <w:sz w:val="25"/>
          <w:vertAlign w:val="baseline"/>
        </w:rPr>
        <w:t>declared</w:t>
      </w:r>
      <w:r>
        <w:rPr>
          <w:spacing w:val="33"/>
          <w:sz w:val="25"/>
          <w:vertAlign w:val="baseline"/>
        </w:rPr>
        <w:t> </w:t>
      </w:r>
      <w:r>
        <w:rPr>
          <w:sz w:val="25"/>
          <w:vertAlign w:val="baseline"/>
        </w:rPr>
        <w:t>as</w:t>
      </w:r>
      <w:r>
        <w:rPr>
          <w:spacing w:val="32"/>
          <w:sz w:val="25"/>
          <w:vertAlign w:val="baseline"/>
        </w:rPr>
        <w:t> </w:t>
      </w:r>
      <w:r>
        <w:rPr>
          <w:sz w:val="25"/>
          <w:vertAlign w:val="baseline"/>
        </w:rPr>
        <w:t>a</w:t>
      </w:r>
      <w:r>
        <w:rPr>
          <w:spacing w:val="32"/>
          <w:sz w:val="25"/>
          <w:vertAlign w:val="baseline"/>
        </w:rPr>
        <w:t> </w:t>
      </w:r>
      <w:r>
        <w:rPr>
          <w:sz w:val="25"/>
          <w:vertAlign w:val="baseline"/>
        </w:rPr>
        <w:t>temple</w:t>
      </w:r>
      <w:r>
        <w:rPr>
          <w:spacing w:val="33"/>
          <w:sz w:val="25"/>
          <w:vertAlign w:val="baseline"/>
        </w:rPr>
        <w:t> </w:t>
      </w:r>
      <w:r>
        <w:rPr>
          <w:sz w:val="25"/>
          <w:vertAlign w:val="baseline"/>
        </w:rPr>
        <w:t>under</w:t>
      </w:r>
      <w:r>
        <w:rPr>
          <w:spacing w:val="34"/>
          <w:sz w:val="25"/>
          <w:vertAlign w:val="baseline"/>
        </w:rPr>
        <w:t> </w:t>
      </w:r>
      <w:r>
        <w:rPr>
          <w:sz w:val="25"/>
          <w:vertAlign w:val="baseline"/>
        </w:rPr>
        <w:t>the</w:t>
      </w:r>
      <w:r>
        <w:rPr>
          <w:spacing w:val="33"/>
          <w:sz w:val="25"/>
          <w:vertAlign w:val="baseline"/>
        </w:rPr>
        <w:t> </w:t>
      </w:r>
      <w:r>
        <w:rPr>
          <w:sz w:val="25"/>
          <w:vertAlign w:val="baseline"/>
        </w:rPr>
        <w:t>Act,</w:t>
      </w:r>
      <w:r>
        <w:rPr>
          <w:spacing w:val="32"/>
          <w:sz w:val="25"/>
          <w:vertAlign w:val="baseline"/>
        </w:rPr>
        <w:t> </w:t>
      </w:r>
      <w:r>
        <w:rPr>
          <w:sz w:val="25"/>
          <w:vertAlign w:val="baseline"/>
        </w:rPr>
        <w:t>even</w:t>
      </w:r>
      <w:r>
        <w:rPr>
          <w:spacing w:val="33"/>
          <w:sz w:val="25"/>
          <w:vertAlign w:val="baseline"/>
        </w:rPr>
        <w:t> </w:t>
      </w:r>
      <w:r>
        <w:rPr>
          <w:sz w:val="25"/>
          <w:vertAlign w:val="baseline"/>
        </w:rPr>
        <w:t>absent</w:t>
      </w:r>
      <w:r>
        <w:rPr>
          <w:spacing w:val="32"/>
          <w:sz w:val="25"/>
          <w:vertAlign w:val="baseline"/>
        </w:rPr>
        <w:t> </w:t>
      </w:r>
      <w:r>
        <w:rPr>
          <w:sz w:val="25"/>
          <w:vertAlign w:val="baseline"/>
        </w:rPr>
        <w:t>an</w:t>
      </w:r>
      <w:r>
        <w:rPr>
          <w:spacing w:val="32"/>
          <w:sz w:val="25"/>
          <w:vertAlign w:val="baseline"/>
        </w:rPr>
        <w:t> </w:t>
      </w:r>
      <w:r>
        <w:rPr>
          <w:sz w:val="25"/>
          <w:vertAlign w:val="baseline"/>
        </w:rPr>
        <w:t>idol.</w:t>
      </w:r>
      <w:r>
        <w:rPr>
          <w:spacing w:val="33"/>
          <w:sz w:val="25"/>
          <w:vertAlign w:val="baseline"/>
        </w:rPr>
        <w:t> </w:t>
      </w:r>
      <w:r>
        <w:rPr>
          <w:sz w:val="25"/>
          <w:vertAlign w:val="baseline"/>
        </w:rPr>
        <w:t>This</w:t>
      </w:r>
    </w:p>
    <w:p>
      <w:pPr>
        <w:pStyle w:val="BodyText"/>
        <w:spacing w:before="8"/>
        <w:rPr>
          <w:sz w:val="11"/>
        </w:rPr>
      </w:pPr>
      <w:r>
        <w:rPr/>
        <w:pict>
          <v:rect style="position:absolute;margin-left:72.024002pt;margin-top:8.690577pt;width:144.020pt;height:.599980pt;mso-position-horizontal-relative:page;mso-position-vertical-relative:paragraph;z-index:-1569843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94</w:t>
      </w:r>
      <w:r>
        <w:rPr>
          <w:sz w:val="18"/>
          <w:vertAlign w:val="baseline"/>
        </w:rPr>
        <w:t> (1964) 2 ANWR 457</w:t>
      </w:r>
    </w:p>
    <w:p>
      <w:pPr>
        <w:spacing w:after="0"/>
        <w:jc w:val="left"/>
        <w:rPr>
          <w:sz w:val="18"/>
        </w:rPr>
        <w:sectPr>
          <w:pgSz w:w="11910" w:h="16840"/>
          <w:pgMar w:header="721" w:footer="1014" w:top="1300" w:bottom="1200" w:left="940" w:right="1000"/>
        </w:sectPr>
      </w:pPr>
    </w:p>
    <w:p>
      <w:pPr>
        <w:pStyle w:val="BodyText"/>
        <w:spacing w:before="124"/>
        <w:ind w:left="500"/>
      </w:pPr>
      <w:r>
        <w:rPr/>
        <w:t>case does not support the case of the plaintiffs in Suit 5.</w:t>
      </w:r>
    </w:p>
    <w:p>
      <w:pPr>
        <w:pStyle w:val="BodyText"/>
        <w:rPr>
          <w:sz w:val="28"/>
        </w:rPr>
      </w:pPr>
    </w:p>
    <w:p>
      <w:pPr>
        <w:pStyle w:val="ListParagraph"/>
        <w:numPr>
          <w:ilvl w:val="0"/>
          <w:numId w:val="3"/>
        </w:numPr>
        <w:tabs>
          <w:tab w:pos="1221" w:val="left" w:leader="none"/>
        </w:tabs>
        <w:spacing w:line="480" w:lineRule="auto" w:before="249" w:after="0"/>
        <w:ind w:left="500" w:right="434" w:firstLine="0"/>
        <w:jc w:val="both"/>
        <w:rPr>
          <w:sz w:val="25"/>
        </w:rPr>
      </w:pPr>
      <w:r>
        <w:rPr>
          <w:sz w:val="25"/>
        </w:rPr>
        <w:t>In the decision of this Court in </w:t>
      </w:r>
      <w:r>
        <w:rPr>
          <w:b/>
          <w:sz w:val="25"/>
        </w:rPr>
        <w:t>Kamaraju Venkata Krishna Rao </w:t>
      </w:r>
      <w:r>
        <w:rPr>
          <w:sz w:val="25"/>
        </w:rPr>
        <w:t>v </w:t>
      </w:r>
      <w:r>
        <w:rPr>
          <w:b/>
          <w:sz w:val="25"/>
        </w:rPr>
        <w:t>Sub Collector, Ongole</w:t>
      </w:r>
      <w:r>
        <w:rPr>
          <w:sz w:val="25"/>
          <w:vertAlign w:val="superscript"/>
        </w:rPr>
        <w:t>95</w:t>
      </w:r>
      <w:r>
        <w:rPr>
          <w:sz w:val="25"/>
          <w:vertAlign w:val="baseline"/>
        </w:rPr>
        <w:t>, upon which significant reliance has been placed, the question before a three judge Bench was whether a tank can be considered a charitable institution within the meaning of the Andhra Inams (Abolition </w:t>
      </w:r>
      <w:r>
        <w:rPr>
          <w:spacing w:val="3"/>
          <w:sz w:val="25"/>
          <w:vertAlign w:val="baseline"/>
        </w:rPr>
        <w:t>and </w:t>
      </w:r>
      <w:r>
        <w:rPr>
          <w:sz w:val="25"/>
          <w:vertAlign w:val="baseline"/>
        </w:rPr>
        <w:t>Conversion into Ryotwari Act) 1956. </w:t>
      </w:r>
      <w:r>
        <w:rPr>
          <w:spacing w:val="2"/>
          <w:sz w:val="25"/>
          <w:vertAlign w:val="baseline"/>
        </w:rPr>
        <w:t>Who </w:t>
      </w:r>
      <w:r>
        <w:rPr>
          <w:sz w:val="25"/>
          <w:vertAlign w:val="baseline"/>
        </w:rPr>
        <w:t>granted the Inam in question was not known. The appellant sought a declaration that the property comprised in the Inam be registered in his name. This contention was rejected by the authorities under the Act on the ground that under the records, the Inam was granted to the tank itself and the ancestor of the appellant was merely the manager of the charitable institution, the tank. It was contended by the appellant that even if the Inam was granted for a charitable purpose, the object of the charity was a tank which could not be considered a charitable institution. The three judge Bench of this Court, speaking through Justice KS Hegde</w:t>
      </w:r>
      <w:r>
        <w:rPr>
          <w:spacing w:val="-7"/>
          <w:sz w:val="25"/>
          <w:vertAlign w:val="baseline"/>
        </w:rPr>
        <w:t> </w:t>
      </w:r>
      <w:r>
        <w:rPr>
          <w:sz w:val="25"/>
          <w:vertAlign w:val="baseline"/>
        </w:rPr>
        <w:t>held:</w:t>
      </w:r>
    </w:p>
    <w:p>
      <w:pPr>
        <w:tabs>
          <w:tab w:pos="4355" w:val="left" w:leader="none"/>
        </w:tabs>
        <w:spacing w:line="276" w:lineRule="auto" w:before="4"/>
        <w:ind w:left="1940" w:right="2261" w:firstLine="0"/>
        <w:jc w:val="both"/>
        <w:rPr>
          <w:sz w:val="21"/>
        </w:rPr>
      </w:pPr>
      <w:r>
        <w:rPr>
          <w:spacing w:val="-1"/>
          <w:w w:val="33"/>
          <w:sz w:val="21"/>
        </w:rPr>
        <w:t>―</w:t>
      </w:r>
      <w:r>
        <w:rPr>
          <w:w w:val="100"/>
          <w:sz w:val="21"/>
        </w:rPr>
        <w:t>9.</w:t>
      </w:r>
      <w:r>
        <w:rPr>
          <w:sz w:val="21"/>
        </w:rPr>
        <w:t> </w:t>
      </w:r>
      <w:r>
        <w:rPr>
          <w:spacing w:val="-20"/>
          <w:sz w:val="21"/>
        </w:rPr>
        <w:t> </w:t>
      </w:r>
      <w:r>
        <w:rPr>
          <w:w w:val="100"/>
          <w:sz w:val="21"/>
        </w:rPr>
        <w:t>Fr</w:t>
      </w:r>
      <w:r>
        <w:rPr>
          <w:spacing w:val="-3"/>
          <w:w w:val="100"/>
          <w:sz w:val="21"/>
        </w:rPr>
        <w:t>o</w:t>
      </w:r>
      <w:r>
        <w:rPr>
          <w:w w:val="100"/>
          <w:sz w:val="21"/>
        </w:rPr>
        <w:t>m</w:t>
      </w:r>
      <w:r>
        <w:rPr>
          <w:sz w:val="21"/>
        </w:rPr>
        <w:t> </w:t>
      </w:r>
      <w:r>
        <w:rPr>
          <w:spacing w:val="-20"/>
          <w:sz w:val="21"/>
        </w:rPr>
        <w:t> </w:t>
      </w:r>
      <w:r>
        <w:rPr>
          <w:spacing w:val="-2"/>
          <w:w w:val="100"/>
          <w:sz w:val="21"/>
        </w:rPr>
        <w:t>t</w:t>
      </w:r>
      <w:r>
        <w:rPr>
          <w:w w:val="100"/>
          <w:sz w:val="21"/>
        </w:rPr>
        <w:t>he</w:t>
      </w:r>
      <w:r>
        <w:rPr>
          <w:sz w:val="21"/>
        </w:rPr>
        <w:t> </w:t>
      </w:r>
      <w:r>
        <w:rPr>
          <w:spacing w:val="-21"/>
          <w:sz w:val="21"/>
        </w:rPr>
        <w:t> </w:t>
      </w:r>
      <w:r>
        <w:rPr>
          <w:w w:val="100"/>
          <w:sz w:val="21"/>
        </w:rPr>
        <w:t>abo</w:t>
      </w:r>
      <w:r>
        <w:rPr>
          <w:spacing w:val="-2"/>
          <w:w w:val="100"/>
          <w:sz w:val="21"/>
        </w:rPr>
        <w:t>v</w:t>
      </w:r>
      <w:r>
        <w:rPr>
          <w:w w:val="100"/>
          <w:sz w:val="21"/>
        </w:rPr>
        <w:t>e</w:t>
      </w:r>
      <w:r>
        <w:rPr>
          <w:sz w:val="21"/>
        </w:rPr>
        <w:t> </w:t>
      </w:r>
      <w:r>
        <w:rPr>
          <w:spacing w:val="-21"/>
          <w:sz w:val="21"/>
        </w:rPr>
        <w:t> </w:t>
      </w:r>
      <w:r>
        <w:rPr>
          <w:w w:val="100"/>
          <w:sz w:val="21"/>
        </w:rPr>
        <w:t>d</w:t>
      </w:r>
      <w:r>
        <w:rPr>
          <w:spacing w:val="1"/>
          <w:w w:val="100"/>
          <w:sz w:val="21"/>
        </w:rPr>
        <w:t>i</w:t>
      </w:r>
      <w:r>
        <w:rPr>
          <w:spacing w:val="-3"/>
          <w:w w:val="100"/>
          <w:sz w:val="21"/>
        </w:rPr>
        <w:t>sc</w:t>
      </w:r>
      <w:r>
        <w:rPr>
          <w:w w:val="100"/>
          <w:sz w:val="21"/>
        </w:rPr>
        <w:t>uss</w:t>
      </w:r>
      <w:r>
        <w:rPr>
          <w:spacing w:val="-2"/>
          <w:w w:val="100"/>
          <w:sz w:val="21"/>
        </w:rPr>
        <w:t>i</w:t>
      </w:r>
      <w:r>
        <w:rPr>
          <w:w w:val="100"/>
          <w:sz w:val="21"/>
        </w:rPr>
        <w:t>on,</w:t>
      </w:r>
      <w:r>
        <w:rPr>
          <w:sz w:val="21"/>
        </w:rPr>
        <w:t> </w:t>
      </w:r>
      <w:r>
        <w:rPr>
          <w:spacing w:val="-22"/>
          <w:sz w:val="21"/>
        </w:rPr>
        <w:t> </w:t>
      </w:r>
      <w:r>
        <w:rPr>
          <w:w w:val="100"/>
          <w:sz w:val="21"/>
        </w:rPr>
        <w:t>i</w:t>
      </w:r>
      <w:r>
        <w:rPr>
          <w:w w:val="100"/>
          <w:sz w:val="21"/>
        </w:rPr>
        <w:t>t</w:t>
      </w:r>
      <w:r>
        <w:rPr>
          <w:sz w:val="21"/>
        </w:rPr>
        <w:t> </w:t>
      </w:r>
      <w:r>
        <w:rPr>
          <w:spacing w:val="-20"/>
          <w:sz w:val="21"/>
        </w:rPr>
        <w:t> </w:t>
      </w:r>
      <w:r>
        <w:rPr>
          <w:spacing w:val="-2"/>
          <w:w w:val="100"/>
          <w:sz w:val="21"/>
        </w:rPr>
        <w:t>i</w:t>
      </w:r>
      <w:r>
        <w:rPr>
          <w:w w:val="100"/>
          <w:sz w:val="21"/>
        </w:rPr>
        <w:t>s</w:t>
      </w:r>
      <w:r>
        <w:rPr>
          <w:sz w:val="21"/>
        </w:rPr>
        <w:t> </w:t>
      </w:r>
      <w:r>
        <w:rPr>
          <w:spacing w:val="-19"/>
          <w:sz w:val="21"/>
        </w:rPr>
        <w:t> </w:t>
      </w:r>
      <w:r>
        <w:rPr>
          <w:spacing w:val="-3"/>
          <w:w w:val="100"/>
          <w:sz w:val="21"/>
        </w:rPr>
        <w:t>s</w:t>
      </w:r>
      <w:r>
        <w:rPr>
          <w:w w:val="100"/>
          <w:sz w:val="21"/>
        </w:rPr>
        <w:t>een</w:t>
      </w:r>
      <w:r>
        <w:rPr>
          <w:sz w:val="21"/>
        </w:rPr>
        <w:t> </w:t>
      </w:r>
      <w:r>
        <w:rPr>
          <w:spacing w:val="-21"/>
          <w:sz w:val="21"/>
        </w:rPr>
        <w:t> </w:t>
      </w:r>
      <w:r>
        <w:rPr>
          <w:spacing w:val="-2"/>
          <w:w w:val="100"/>
          <w:sz w:val="21"/>
        </w:rPr>
        <w:t>t</w:t>
      </w:r>
      <w:r>
        <w:rPr>
          <w:w w:val="100"/>
          <w:sz w:val="21"/>
        </w:rPr>
        <w:t>hat</w:t>
      </w:r>
      <w:r>
        <w:rPr>
          <w:sz w:val="21"/>
        </w:rPr>
        <w:t> </w:t>
      </w:r>
      <w:r>
        <w:rPr>
          <w:spacing w:val="-20"/>
          <w:sz w:val="21"/>
        </w:rPr>
        <w:t> </w:t>
      </w:r>
      <w:r>
        <w:rPr>
          <w:spacing w:val="-3"/>
          <w:w w:val="100"/>
          <w:sz w:val="21"/>
        </w:rPr>
        <w:t>un</w:t>
      </w:r>
      <w:r>
        <w:rPr>
          <w:w w:val="100"/>
          <w:sz w:val="21"/>
        </w:rPr>
        <w:t>der</w:t>
      </w:r>
      <w:r>
        <w:rPr>
          <w:sz w:val="21"/>
        </w:rPr>
        <w:t> </w:t>
      </w:r>
      <w:r>
        <w:rPr>
          <w:spacing w:val="-22"/>
          <w:sz w:val="21"/>
        </w:rPr>
        <w:t> </w:t>
      </w:r>
      <w:r>
        <w:rPr>
          <w:w w:val="100"/>
          <w:sz w:val="21"/>
        </w:rPr>
        <w:t>H</w:t>
      </w:r>
      <w:r>
        <w:rPr>
          <w:spacing w:val="-2"/>
          <w:w w:val="100"/>
          <w:sz w:val="21"/>
        </w:rPr>
        <w:t>i</w:t>
      </w:r>
      <w:r>
        <w:rPr>
          <w:w w:val="100"/>
          <w:sz w:val="21"/>
        </w:rPr>
        <w:t>ndu </w:t>
      </w:r>
      <w:r>
        <w:rPr>
          <w:sz w:val="21"/>
        </w:rPr>
        <w:t>Law a tank can be an object of charity and when a dedication is made in favour of a tank, the same is considered as a charitable institution. </w:t>
      </w:r>
      <w:r>
        <w:rPr>
          <w:b/>
          <w:sz w:val="21"/>
        </w:rPr>
        <w:t>It is not necessary for our present purpose to decide whether that institution can also be considered as a juristic person. </w:t>
      </w:r>
      <w:r>
        <w:rPr>
          <w:sz w:val="21"/>
        </w:rPr>
        <w:t>Once we come to the conclusion that the inam with which we are concerned in this </w:t>
      </w:r>
      <w:r>
        <w:rPr>
          <w:w w:val="100"/>
          <w:sz w:val="21"/>
        </w:rPr>
        <w:t>case</w:t>
      </w:r>
      <w:r>
        <w:rPr>
          <w:sz w:val="21"/>
        </w:rPr>
        <w:t> </w:t>
      </w:r>
      <w:r>
        <w:rPr>
          <w:spacing w:val="-23"/>
          <w:sz w:val="21"/>
        </w:rPr>
        <w:t> </w:t>
      </w:r>
      <w:r>
        <w:rPr>
          <w:spacing w:val="-2"/>
          <w:w w:val="100"/>
          <w:sz w:val="21"/>
        </w:rPr>
        <w:t>w</w:t>
      </w:r>
      <w:r>
        <w:rPr>
          <w:spacing w:val="-1"/>
          <w:w w:val="100"/>
          <w:sz w:val="21"/>
        </w:rPr>
        <w:t>a</w:t>
      </w:r>
      <w:r>
        <w:rPr>
          <w:w w:val="100"/>
          <w:sz w:val="21"/>
        </w:rPr>
        <w:t>s</w:t>
      </w:r>
      <w:r>
        <w:rPr>
          <w:sz w:val="21"/>
        </w:rPr>
        <w:t> </w:t>
      </w:r>
      <w:r>
        <w:rPr>
          <w:spacing w:val="-24"/>
          <w:sz w:val="21"/>
        </w:rPr>
        <w:t> </w:t>
      </w:r>
      <w:r>
        <w:rPr>
          <w:spacing w:val="-1"/>
          <w:w w:val="100"/>
          <w:sz w:val="21"/>
        </w:rPr>
        <w:t>a</w:t>
      </w:r>
      <w:r>
        <w:rPr>
          <w:w w:val="100"/>
          <w:sz w:val="21"/>
        </w:rPr>
        <w:t>n</w:t>
      </w:r>
      <w:r>
        <w:rPr>
          <w:sz w:val="21"/>
        </w:rPr>
        <w:t> </w:t>
      </w:r>
      <w:r>
        <w:rPr>
          <w:spacing w:val="-21"/>
          <w:sz w:val="21"/>
        </w:rPr>
        <w:t> </w:t>
      </w:r>
      <w:r>
        <w:rPr>
          <w:spacing w:val="-2"/>
          <w:w w:val="100"/>
          <w:sz w:val="21"/>
        </w:rPr>
        <w:t>I</w:t>
      </w:r>
      <w:r>
        <w:rPr>
          <w:spacing w:val="-3"/>
          <w:w w:val="100"/>
          <w:sz w:val="21"/>
        </w:rPr>
        <w:t>na</w:t>
      </w:r>
      <w:r>
        <w:rPr>
          <w:w w:val="100"/>
          <w:sz w:val="21"/>
        </w:rPr>
        <w:t>m</w:t>
      </w:r>
      <w:r>
        <w:rPr>
          <w:sz w:val="21"/>
        </w:rPr>
        <w:t> </w:t>
      </w:r>
      <w:r>
        <w:rPr>
          <w:spacing w:val="-22"/>
          <w:sz w:val="21"/>
        </w:rPr>
        <w:t> </w:t>
      </w:r>
      <w:r>
        <w:rPr>
          <w:w w:val="100"/>
          <w:sz w:val="21"/>
        </w:rPr>
        <w:t>in</w:t>
      </w:r>
      <w:r>
        <w:rPr>
          <w:sz w:val="21"/>
        </w:rPr>
        <w:t> </w:t>
      </w:r>
      <w:r>
        <w:rPr>
          <w:spacing w:val="-24"/>
          <w:sz w:val="21"/>
        </w:rPr>
        <w:t> </w:t>
      </w:r>
      <w:r>
        <w:rPr>
          <w:spacing w:val="1"/>
          <w:w w:val="100"/>
          <w:sz w:val="21"/>
        </w:rPr>
        <w:t>f</w:t>
      </w:r>
      <w:r>
        <w:rPr>
          <w:spacing w:val="-1"/>
          <w:w w:val="100"/>
          <w:sz w:val="21"/>
        </w:rPr>
        <w:t>a</w:t>
      </w:r>
      <w:r>
        <w:rPr>
          <w:spacing w:val="-5"/>
          <w:w w:val="100"/>
          <w:sz w:val="21"/>
        </w:rPr>
        <w:t>v</w:t>
      </w:r>
      <w:r>
        <w:rPr>
          <w:spacing w:val="-1"/>
          <w:w w:val="100"/>
          <w:sz w:val="21"/>
        </w:rPr>
        <w:t>ou</w:t>
      </w:r>
      <w:r>
        <w:rPr>
          <w:w w:val="100"/>
          <w:sz w:val="21"/>
        </w:rPr>
        <w:t>r</w:t>
      </w:r>
      <w:r>
        <w:rPr>
          <w:sz w:val="21"/>
        </w:rPr>
        <w:t> </w:t>
      </w:r>
      <w:r>
        <w:rPr>
          <w:spacing w:val="-22"/>
          <w:sz w:val="21"/>
        </w:rPr>
        <w:t> </w:t>
      </w:r>
      <w:r>
        <w:rPr>
          <w:spacing w:val="-3"/>
          <w:w w:val="100"/>
          <w:sz w:val="21"/>
        </w:rPr>
        <w:t>o</w:t>
      </w:r>
      <w:r>
        <w:rPr>
          <w:w w:val="100"/>
          <w:sz w:val="21"/>
        </w:rPr>
        <w:t>f</w:t>
      </w:r>
      <w:r>
        <w:rPr>
          <w:sz w:val="21"/>
        </w:rPr>
        <w:t> </w:t>
      </w:r>
      <w:r>
        <w:rPr>
          <w:spacing w:val="-20"/>
          <w:sz w:val="21"/>
        </w:rPr>
        <w:t> </w:t>
      </w:r>
      <w:r>
        <w:rPr>
          <w:spacing w:val="-2"/>
          <w:w w:val="100"/>
          <w:sz w:val="21"/>
        </w:rPr>
        <w:t>t</w:t>
      </w:r>
      <w:r>
        <w:rPr>
          <w:spacing w:val="-3"/>
          <w:w w:val="100"/>
          <w:sz w:val="21"/>
        </w:rPr>
        <w:t>h</w:t>
      </w:r>
      <w:r>
        <w:rPr>
          <w:w w:val="100"/>
          <w:sz w:val="21"/>
        </w:rPr>
        <w:t>e</w:t>
      </w:r>
      <w:r>
        <w:rPr>
          <w:sz w:val="21"/>
        </w:rPr>
        <w:t> </w:t>
      </w:r>
      <w:r>
        <w:rPr>
          <w:spacing w:val="-21"/>
          <w:sz w:val="21"/>
        </w:rPr>
        <w:t> </w:t>
      </w:r>
      <w:r>
        <w:rPr>
          <w:spacing w:val="-1"/>
          <w:w w:val="33"/>
          <w:sz w:val="21"/>
        </w:rPr>
        <w:t>―</w:t>
      </w:r>
      <w:r>
        <w:rPr>
          <w:spacing w:val="-1"/>
          <w:w w:val="100"/>
          <w:sz w:val="21"/>
        </w:rPr>
        <w:t>ur</w:t>
      </w:r>
      <w:r>
        <w:rPr>
          <w:spacing w:val="-3"/>
          <w:w w:val="100"/>
          <w:sz w:val="21"/>
        </w:rPr>
        <w:t>a</w:t>
      </w:r>
      <w:r>
        <w:rPr>
          <w:w w:val="100"/>
          <w:sz w:val="21"/>
        </w:rPr>
        <w:t>che</w:t>
      </w:r>
      <w:r>
        <w:rPr>
          <w:spacing w:val="-3"/>
          <w:w w:val="100"/>
          <w:sz w:val="21"/>
        </w:rPr>
        <w:t>r</w:t>
      </w:r>
      <w:r>
        <w:rPr>
          <w:spacing w:val="-1"/>
          <w:w w:val="100"/>
          <w:sz w:val="21"/>
        </w:rPr>
        <w:t>u</w:t>
      </w:r>
      <w:r>
        <w:rPr>
          <w:spacing w:val="-3"/>
          <w:w w:val="100"/>
          <w:sz w:val="21"/>
        </w:rPr>
        <w:t>v</w:t>
      </w:r>
      <w:r>
        <w:rPr>
          <w:spacing w:val="-1"/>
          <w:w w:val="92"/>
          <w:sz w:val="21"/>
        </w:rPr>
        <w:t>u</w:t>
      </w:r>
      <w:r>
        <w:rPr>
          <w:w w:val="92"/>
          <w:sz w:val="21"/>
        </w:rPr>
        <w:t>‖</w:t>
      </w:r>
      <w:r>
        <w:rPr>
          <w:sz w:val="21"/>
        </w:rPr>
        <w:t> </w:t>
      </w:r>
      <w:r>
        <w:rPr>
          <w:spacing w:val="-22"/>
          <w:sz w:val="21"/>
        </w:rPr>
        <w:t> </w:t>
      </w:r>
      <w:r>
        <w:rPr>
          <w:spacing w:val="-1"/>
          <w:w w:val="100"/>
          <w:sz w:val="21"/>
        </w:rPr>
        <w:t>(</w:t>
      </w:r>
      <w:r>
        <w:rPr>
          <w:spacing w:val="-2"/>
          <w:w w:val="100"/>
          <w:sz w:val="21"/>
        </w:rPr>
        <w:t>t</w:t>
      </w:r>
      <w:r>
        <w:rPr>
          <w:spacing w:val="-1"/>
          <w:w w:val="100"/>
          <w:sz w:val="21"/>
        </w:rPr>
        <w:t>a</w:t>
      </w:r>
      <w:r>
        <w:rPr>
          <w:spacing w:val="-3"/>
          <w:w w:val="100"/>
          <w:sz w:val="21"/>
        </w:rPr>
        <w:t>n</w:t>
      </w:r>
      <w:r>
        <w:rPr>
          <w:spacing w:val="2"/>
          <w:w w:val="100"/>
          <w:sz w:val="21"/>
        </w:rPr>
        <w:t>k</w:t>
      </w:r>
      <w:r>
        <w:rPr>
          <w:w w:val="100"/>
          <w:sz w:val="21"/>
        </w:rPr>
        <w:t>)</w:t>
      </w:r>
      <w:r>
        <w:rPr>
          <w:sz w:val="21"/>
        </w:rPr>
        <w:t> </w:t>
      </w:r>
      <w:r>
        <w:rPr>
          <w:spacing w:val="-22"/>
          <w:sz w:val="21"/>
        </w:rPr>
        <w:t> </w:t>
      </w:r>
      <w:r>
        <w:rPr>
          <w:spacing w:val="-2"/>
          <w:w w:val="100"/>
          <w:sz w:val="21"/>
        </w:rPr>
        <w:t>t</w:t>
      </w:r>
      <w:r>
        <w:rPr>
          <w:spacing w:val="-1"/>
          <w:w w:val="100"/>
          <w:sz w:val="21"/>
        </w:rPr>
        <w:t>hat </w:t>
      </w:r>
      <w:r>
        <w:rPr>
          <w:sz w:val="21"/>
        </w:rPr>
        <w:t>tank must be considered as a charitable institution under the Act.‖</w:t>
        <w:tab/>
        <w:t>(Emphasis</w:t>
      </w:r>
      <w:r>
        <w:rPr>
          <w:spacing w:val="-2"/>
          <w:sz w:val="21"/>
        </w:rPr>
        <w:t> </w:t>
      </w:r>
      <w:r>
        <w:rPr>
          <w:sz w:val="21"/>
        </w:rPr>
        <w:t>supplied)</w:t>
      </w:r>
    </w:p>
    <w:p>
      <w:pPr>
        <w:pStyle w:val="BodyText"/>
        <w:rPr>
          <w:sz w:val="24"/>
        </w:rPr>
      </w:pPr>
    </w:p>
    <w:p>
      <w:pPr>
        <w:pStyle w:val="BodyText"/>
        <w:spacing w:before="4"/>
        <w:rPr>
          <w:sz w:val="24"/>
        </w:rPr>
      </w:pPr>
    </w:p>
    <w:p>
      <w:pPr>
        <w:pStyle w:val="BodyText"/>
        <w:ind w:left="500"/>
      </w:pPr>
      <w:r>
        <w:rPr/>
        <w:t>This</w:t>
      </w:r>
      <w:r>
        <w:rPr>
          <w:spacing w:val="51"/>
        </w:rPr>
        <w:t> </w:t>
      </w:r>
      <w:r>
        <w:rPr/>
        <w:t>Court</w:t>
      </w:r>
      <w:r>
        <w:rPr>
          <w:spacing w:val="52"/>
        </w:rPr>
        <w:t> </w:t>
      </w:r>
      <w:r>
        <w:rPr/>
        <w:t>was</w:t>
      </w:r>
      <w:r>
        <w:rPr>
          <w:spacing w:val="52"/>
        </w:rPr>
        <w:t> </w:t>
      </w:r>
      <w:r>
        <w:rPr/>
        <w:t>only</w:t>
      </w:r>
      <w:r>
        <w:rPr>
          <w:spacing w:val="51"/>
        </w:rPr>
        <w:t> </w:t>
      </w:r>
      <w:r>
        <w:rPr/>
        <w:t>required</w:t>
      </w:r>
      <w:r>
        <w:rPr>
          <w:spacing w:val="52"/>
        </w:rPr>
        <w:t> </w:t>
      </w:r>
      <w:r>
        <w:rPr/>
        <w:t>to</w:t>
      </w:r>
      <w:r>
        <w:rPr>
          <w:spacing w:val="52"/>
        </w:rPr>
        <w:t> </w:t>
      </w:r>
      <w:r>
        <w:rPr/>
        <w:t>assess</w:t>
      </w:r>
      <w:r>
        <w:rPr>
          <w:spacing w:val="48"/>
        </w:rPr>
        <w:t> </w:t>
      </w:r>
      <w:r>
        <w:rPr/>
        <w:t>whether</w:t>
      </w:r>
      <w:r>
        <w:rPr>
          <w:spacing w:val="52"/>
        </w:rPr>
        <w:t> </w:t>
      </w:r>
      <w:r>
        <w:rPr/>
        <w:t>a</w:t>
      </w:r>
      <w:r>
        <w:rPr>
          <w:spacing w:val="52"/>
        </w:rPr>
        <w:t> </w:t>
      </w:r>
      <w:r>
        <w:rPr/>
        <w:t>tank</w:t>
      </w:r>
      <w:r>
        <w:rPr>
          <w:spacing w:val="51"/>
        </w:rPr>
        <w:t> </w:t>
      </w:r>
      <w:r>
        <w:rPr/>
        <w:t>can</w:t>
      </w:r>
      <w:r>
        <w:rPr>
          <w:spacing w:val="50"/>
        </w:rPr>
        <w:t> </w:t>
      </w:r>
      <w:r>
        <w:rPr/>
        <w:t>be</w:t>
      </w:r>
      <w:r>
        <w:rPr>
          <w:spacing w:val="52"/>
        </w:rPr>
        <w:t> </w:t>
      </w:r>
      <w:r>
        <w:rPr/>
        <w:t>considered</w:t>
      </w:r>
      <w:r>
        <w:rPr>
          <w:spacing w:val="51"/>
        </w:rPr>
        <w:t> </w:t>
      </w:r>
      <w:r>
        <w:rPr/>
        <w:t>a</w:t>
      </w:r>
    </w:p>
    <w:p>
      <w:pPr>
        <w:pStyle w:val="BodyText"/>
        <w:spacing w:before="1"/>
      </w:pPr>
    </w:p>
    <w:p>
      <w:pPr>
        <w:pStyle w:val="BodyText"/>
        <w:spacing w:line="480" w:lineRule="auto"/>
        <w:ind w:left="500" w:right="441"/>
      </w:pPr>
      <w:r>
        <w:rPr>
          <w:w w:val="33"/>
        </w:rPr>
        <w:t>―</w:t>
      </w:r>
      <w:r>
        <w:rPr>
          <w:w w:val="99"/>
        </w:rPr>
        <w:t>char</w:t>
      </w:r>
      <w:r>
        <w:rPr>
          <w:spacing w:val="-1"/>
          <w:w w:val="99"/>
        </w:rPr>
        <w:t>ita</w:t>
      </w:r>
      <w:r>
        <w:rPr>
          <w:w w:val="99"/>
        </w:rPr>
        <w:t>b</w:t>
      </w:r>
      <w:r>
        <w:rPr>
          <w:spacing w:val="-1"/>
          <w:w w:val="99"/>
        </w:rPr>
        <w:t>l</w:t>
      </w:r>
      <w:r>
        <w:rPr>
          <w:w w:val="99"/>
        </w:rPr>
        <w:t>e</w:t>
      </w:r>
      <w:r>
        <w:rPr/>
        <w:t> </w:t>
      </w:r>
      <w:r>
        <w:rPr>
          <w:spacing w:val="-12"/>
        </w:rPr>
        <w:t> </w:t>
      </w:r>
      <w:r>
        <w:rPr>
          <w:spacing w:val="-1"/>
          <w:w w:val="99"/>
        </w:rPr>
        <w:t>instit</w:t>
      </w:r>
      <w:r>
        <w:rPr>
          <w:w w:val="99"/>
        </w:rPr>
        <w:t>ution</w:t>
      </w:r>
      <w:r>
        <w:rPr>
          <w:w w:val="80"/>
        </w:rPr>
        <w:t>‖</w:t>
      </w:r>
      <w:r>
        <w:rPr/>
        <w:t> </w:t>
      </w:r>
      <w:r>
        <w:rPr>
          <w:spacing w:val="-14"/>
        </w:rPr>
        <w:t> </w:t>
      </w:r>
      <w:r>
        <w:rPr>
          <w:spacing w:val="-1"/>
          <w:w w:val="99"/>
        </w:rPr>
        <w:t>withi</w:t>
      </w:r>
      <w:r>
        <w:rPr>
          <w:w w:val="99"/>
        </w:rPr>
        <w:t>n</w:t>
      </w:r>
      <w:r>
        <w:rPr/>
        <w:t> </w:t>
      </w:r>
      <w:r>
        <w:rPr>
          <w:spacing w:val="-12"/>
        </w:rPr>
        <w:t> </w:t>
      </w:r>
      <w:r>
        <w:rPr>
          <w:w w:val="99"/>
        </w:rPr>
        <w:t>the</w:t>
      </w:r>
      <w:r>
        <w:rPr/>
        <w:t> </w:t>
      </w:r>
      <w:r>
        <w:rPr>
          <w:spacing w:val="-12"/>
        </w:rPr>
        <w:t> </w:t>
      </w:r>
      <w:r>
        <w:rPr>
          <w:w w:val="99"/>
        </w:rPr>
        <w:t>m</w:t>
      </w:r>
      <w:r>
        <w:rPr>
          <w:spacing w:val="-1"/>
          <w:w w:val="99"/>
        </w:rPr>
        <w:t>e</w:t>
      </w:r>
      <w:r>
        <w:rPr>
          <w:w w:val="99"/>
        </w:rPr>
        <w:t>a</w:t>
      </w:r>
      <w:r>
        <w:rPr>
          <w:spacing w:val="-1"/>
          <w:w w:val="99"/>
        </w:rPr>
        <w:t>nin</w:t>
      </w:r>
      <w:r>
        <w:rPr>
          <w:w w:val="99"/>
        </w:rPr>
        <w:t>g</w:t>
      </w:r>
      <w:r>
        <w:rPr/>
        <w:t> </w:t>
      </w:r>
      <w:r>
        <w:rPr>
          <w:spacing w:val="-12"/>
        </w:rPr>
        <w:t> </w:t>
      </w:r>
      <w:r>
        <w:rPr>
          <w:spacing w:val="-1"/>
          <w:w w:val="99"/>
        </w:rPr>
        <w:t>o</w:t>
      </w:r>
      <w:r>
        <w:rPr>
          <w:w w:val="99"/>
        </w:rPr>
        <w:t>f</w:t>
      </w:r>
      <w:r>
        <w:rPr/>
        <w:t> </w:t>
      </w:r>
      <w:r>
        <w:rPr>
          <w:spacing w:val="-12"/>
        </w:rPr>
        <w:t> </w:t>
      </w:r>
      <w:r>
        <w:rPr>
          <w:w w:val="99"/>
        </w:rPr>
        <w:t>the</w:t>
      </w:r>
      <w:r>
        <w:rPr/>
        <w:t> </w:t>
      </w:r>
      <w:r>
        <w:rPr>
          <w:spacing w:val="-12"/>
        </w:rPr>
        <w:t> </w:t>
      </w:r>
      <w:r>
        <w:rPr>
          <w:spacing w:val="-1"/>
          <w:w w:val="99"/>
        </w:rPr>
        <w:t>An</w:t>
      </w:r>
      <w:r>
        <w:rPr>
          <w:w w:val="99"/>
        </w:rPr>
        <w:t>d</w:t>
      </w:r>
      <w:r>
        <w:rPr>
          <w:spacing w:val="-1"/>
          <w:w w:val="99"/>
        </w:rPr>
        <w:t>h</w:t>
      </w:r>
      <w:r>
        <w:rPr>
          <w:w w:val="99"/>
        </w:rPr>
        <w:t>ra</w:t>
      </w:r>
      <w:r>
        <w:rPr/>
        <w:t> </w:t>
      </w:r>
      <w:r>
        <w:rPr>
          <w:spacing w:val="-12"/>
        </w:rPr>
        <w:t> </w:t>
      </w:r>
      <w:r>
        <w:rPr>
          <w:w w:val="99"/>
        </w:rPr>
        <w:t>Inams</w:t>
      </w:r>
      <w:r>
        <w:rPr/>
        <w:t> </w:t>
      </w:r>
      <w:r>
        <w:rPr>
          <w:spacing w:val="-15"/>
        </w:rPr>
        <w:t> </w:t>
      </w:r>
      <w:r>
        <w:rPr>
          <w:w w:val="99"/>
        </w:rPr>
        <w:t>(</w:t>
      </w:r>
      <w:r>
        <w:rPr>
          <w:spacing w:val="-1"/>
          <w:w w:val="99"/>
        </w:rPr>
        <w:t>Ab</w:t>
      </w:r>
      <w:r>
        <w:rPr>
          <w:w w:val="99"/>
        </w:rPr>
        <w:t>o</w:t>
      </w:r>
      <w:r>
        <w:rPr>
          <w:spacing w:val="-1"/>
          <w:w w:val="99"/>
        </w:rPr>
        <w:t>litio</w:t>
      </w:r>
      <w:r>
        <w:rPr>
          <w:w w:val="99"/>
        </w:rPr>
        <w:t>n</w:t>
      </w:r>
      <w:r>
        <w:rPr/>
        <w:t> </w:t>
      </w:r>
      <w:r>
        <w:rPr>
          <w:spacing w:val="-12"/>
        </w:rPr>
        <w:t> </w:t>
      </w:r>
      <w:r>
        <w:rPr>
          <w:spacing w:val="-1"/>
          <w:w w:val="99"/>
        </w:rPr>
        <w:t>a</w:t>
      </w:r>
      <w:r>
        <w:rPr>
          <w:w w:val="99"/>
        </w:rPr>
        <w:t>nd </w:t>
      </w:r>
      <w:r>
        <w:rPr/>
        <w:t>Conversion</w:t>
      </w:r>
      <w:r>
        <w:rPr>
          <w:spacing w:val="58"/>
        </w:rPr>
        <w:t> </w:t>
      </w:r>
      <w:r>
        <w:rPr/>
        <w:t>into</w:t>
      </w:r>
      <w:r>
        <w:rPr>
          <w:spacing w:val="57"/>
        </w:rPr>
        <w:t> </w:t>
      </w:r>
      <w:r>
        <w:rPr/>
        <w:t>Ryotwari</w:t>
      </w:r>
      <w:r>
        <w:rPr>
          <w:spacing w:val="57"/>
        </w:rPr>
        <w:t> </w:t>
      </w:r>
      <w:r>
        <w:rPr/>
        <w:t>Act)</w:t>
      </w:r>
      <w:r>
        <w:rPr>
          <w:spacing w:val="59"/>
        </w:rPr>
        <w:t> </w:t>
      </w:r>
      <w:r>
        <w:rPr/>
        <w:t>1956.</w:t>
      </w:r>
      <w:r>
        <w:rPr>
          <w:spacing w:val="57"/>
        </w:rPr>
        <w:t> </w:t>
      </w:r>
      <w:r>
        <w:rPr/>
        <w:t>Hence,</w:t>
      </w:r>
      <w:r>
        <w:rPr>
          <w:spacing w:val="58"/>
        </w:rPr>
        <w:t> </w:t>
      </w:r>
      <w:r>
        <w:rPr/>
        <w:t>it</w:t>
      </w:r>
      <w:r>
        <w:rPr>
          <w:spacing w:val="58"/>
        </w:rPr>
        <w:t> </w:t>
      </w:r>
      <w:r>
        <w:rPr/>
        <w:t>was</w:t>
      </w:r>
      <w:r>
        <w:rPr>
          <w:spacing w:val="57"/>
        </w:rPr>
        <w:t> </w:t>
      </w:r>
      <w:r>
        <w:rPr/>
        <w:t>categorically</w:t>
      </w:r>
      <w:r>
        <w:rPr>
          <w:spacing w:val="54"/>
        </w:rPr>
        <w:t> </w:t>
      </w:r>
      <w:r>
        <w:rPr/>
        <w:t>clarified</w:t>
      </w:r>
      <w:r>
        <w:rPr>
          <w:spacing w:val="59"/>
        </w:rPr>
        <w:t> </w:t>
      </w:r>
      <w:r>
        <w:rPr/>
        <w:t>that</w:t>
      </w:r>
    </w:p>
    <w:p>
      <w:pPr>
        <w:pStyle w:val="BodyText"/>
        <w:spacing w:before="5"/>
        <w:rPr>
          <w:sz w:val="17"/>
        </w:rPr>
      </w:pPr>
      <w:r>
        <w:rPr/>
        <w:pict>
          <v:rect style="position:absolute;margin-left:72.024002pt;margin-top:11.996704pt;width:144.020pt;height:.599980pt;mso-position-horizontal-relative:page;mso-position-vertical-relative:paragraph;z-index:-1569792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95</w:t>
      </w:r>
      <w:r>
        <w:rPr>
          <w:sz w:val="18"/>
          <w:vertAlign w:val="baseline"/>
        </w:rPr>
        <w:t> (1969) 1 SCR 624</w:t>
      </w:r>
    </w:p>
    <w:p>
      <w:pPr>
        <w:spacing w:after="0"/>
        <w:jc w:val="left"/>
        <w:rPr>
          <w:sz w:val="18"/>
        </w:rPr>
        <w:sectPr>
          <w:headerReference w:type="default" r:id="rId64"/>
          <w:footerReference w:type="default" r:id="rId65"/>
          <w:pgSz w:w="11910" w:h="16840"/>
          <w:pgMar w:header="721" w:footer="1014" w:top="1300" w:bottom="1200" w:left="940" w:right="1000"/>
        </w:sectPr>
      </w:pPr>
    </w:p>
    <w:p>
      <w:pPr>
        <w:pStyle w:val="BodyText"/>
        <w:spacing w:line="480" w:lineRule="auto" w:before="124"/>
        <w:ind w:left="500" w:right="512"/>
      </w:pPr>
      <w:r>
        <w:rPr/>
        <w:t>there was no need to advert to whether or not a tank is a juristic person. This case does not further the arguments urged by the plaintiffs in Suit</w:t>
      </w:r>
      <w:r>
        <w:rPr>
          <w:spacing w:val="-15"/>
        </w:rPr>
        <w:t> </w:t>
      </w:r>
      <w:r>
        <w:rPr/>
        <w:t>5.</w:t>
      </w:r>
    </w:p>
    <w:p>
      <w:pPr>
        <w:pStyle w:val="BodyText"/>
        <w:spacing w:before="2"/>
      </w:pPr>
    </w:p>
    <w:p>
      <w:pPr>
        <w:pStyle w:val="Heading4"/>
        <w:jc w:val="left"/>
        <w:rPr>
          <w:i/>
        </w:rPr>
      </w:pPr>
      <w:r>
        <w:rPr>
          <w:i/>
        </w:rPr>
        <w:t>Shiromani Gurdwara Prabandhak Committee</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At this stage, it is necessary to advert to the decision of this Court in </w:t>
      </w:r>
      <w:r>
        <w:rPr>
          <w:b/>
          <w:sz w:val="25"/>
        </w:rPr>
        <w:t>Shiromani Gurdwara Prabandhak Committee</w:t>
      </w:r>
      <w:r>
        <w:rPr>
          <w:sz w:val="25"/>
        </w:rPr>
        <w:t>, </w:t>
      </w:r>
      <w:r>
        <w:rPr>
          <w:b/>
          <w:sz w:val="25"/>
        </w:rPr>
        <w:t>Amritsar </w:t>
      </w:r>
      <w:r>
        <w:rPr>
          <w:sz w:val="25"/>
        </w:rPr>
        <w:t>v </w:t>
      </w:r>
      <w:r>
        <w:rPr>
          <w:b/>
          <w:sz w:val="25"/>
        </w:rPr>
        <w:t>Som Nath Dass</w:t>
      </w:r>
      <w:r>
        <w:rPr>
          <w:sz w:val="25"/>
          <w:vertAlign w:val="superscript"/>
        </w:rPr>
        <w:t>96</w:t>
      </w:r>
      <w:r>
        <w:rPr>
          <w:sz w:val="25"/>
          <w:vertAlign w:val="baseline"/>
        </w:rPr>
        <w:t>. In this case, a two judge Bench held the Guru Granth Sahib to be a juristic person. Mr Parasaran, learned Senior Counsel appearing on behalf of the plaintiffs in Suit 5 placed considerable reliance on this decision to contend that this Court has held physical property simpliciter to be a juristic person. Hence, he submitted that there is a legal basis in the jurisprudence of this Court to confer legal personality upon the disputed property. To analyse this contention, it is necessary to consider the case in some</w:t>
      </w:r>
      <w:r>
        <w:rPr>
          <w:spacing w:val="-6"/>
          <w:sz w:val="25"/>
          <w:vertAlign w:val="baseline"/>
        </w:rPr>
        <w:t> </w:t>
      </w:r>
      <w:r>
        <w:rPr>
          <w:sz w:val="25"/>
          <w:vertAlign w:val="baseline"/>
        </w:rPr>
        <w:t>detail.</w:t>
      </w:r>
    </w:p>
    <w:p>
      <w:pPr>
        <w:pStyle w:val="BodyText"/>
        <w:spacing w:before="11"/>
        <w:rPr>
          <w:sz w:val="24"/>
        </w:rPr>
      </w:pPr>
    </w:p>
    <w:p>
      <w:pPr>
        <w:pStyle w:val="ListParagraph"/>
        <w:numPr>
          <w:ilvl w:val="0"/>
          <w:numId w:val="3"/>
        </w:numPr>
        <w:tabs>
          <w:tab w:pos="1221" w:val="left" w:leader="none"/>
        </w:tabs>
        <w:spacing w:line="480" w:lineRule="auto" w:before="0" w:after="0"/>
        <w:ind w:left="500" w:right="435" w:firstLine="0"/>
        <w:jc w:val="both"/>
        <w:rPr>
          <w:sz w:val="25"/>
        </w:rPr>
      </w:pPr>
      <w:r>
        <w:rPr/>
        <w:pict>
          <v:rect style="position:absolute;margin-left:72.024002pt;margin-top:282.254883pt;width:144.020pt;height:.599980pt;mso-position-horizontal-relative:page;mso-position-vertical-relative:paragraph;z-index:-23892992" filled="true" fillcolor="#000000" stroked="false">
            <v:fill type="solid"/>
            <w10:wrap type="none"/>
          </v:rect>
        </w:pict>
      </w:r>
      <w:r>
        <w:rPr>
          <w:sz w:val="25"/>
        </w:rPr>
        <w:t>In </w:t>
      </w:r>
      <w:r>
        <w:rPr>
          <w:b/>
          <w:sz w:val="25"/>
        </w:rPr>
        <w:t>Shiromani Gurdwara</w:t>
      </w:r>
      <w:r>
        <w:rPr>
          <w:sz w:val="25"/>
        </w:rPr>
        <w:t>, 56 persons moved a petition under Section 7(1) of the Sikh Gurdwaras Act 1925 for a declaration that certain disputed property was a Sikh Gurdwara. Upon the issuance of a notification to this effect, objections were raised that the disputed property was a </w:t>
      </w:r>
      <w:r>
        <w:rPr>
          <w:i/>
          <w:sz w:val="25"/>
        </w:rPr>
        <w:t>dharamshala </w:t>
      </w:r>
      <w:r>
        <w:rPr>
          <w:sz w:val="25"/>
        </w:rPr>
        <w:t>and </w:t>
      </w:r>
      <w:r>
        <w:rPr>
          <w:i/>
          <w:sz w:val="25"/>
        </w:rPr>
        <w:t>dera</w:t>
      </w:r>
      <w:r>
        <w:rPr>
          <w:sz w:val="25"/>
        </w:rPr>
        <w:t>. The  Tribunal under the Act dismissed this objection on the ground that the petitioners therein lacked locus. In the meantime, the Shiromani Gurdwara Parbandhak Committee</w:t>
      </w:r>
      <w:r>
        <w:rPr>
          <w:sz w:val="25"/>
          <w:vertAlign w:val="superscript"/>
        </w:rPr>
        <w:t>97</w:t>
      </w:r>
      <w:r>
        <w:rPr>
          <w:sz w:val="25"/>
          <w:vertAlign w:val="baseline"/>
        </w:rPr>
        <w:t> claimed that the disputed property was a Sikh Gurdwara and that </w:t>
      </w:r>
      <w:r>
        <w:rPr>
          <w:w w:val="99"/>
          <w:sz w:val="25"/>
          <w:vertAlign w:val="baseline"/>
        </w:rPr>
        <w:t>the</w:t>
      </w:r>
      <w:r>
        <w:rPr>
          <w:sz w:val="25"/>
          <w:vertAlign w:val="baseline"/>
        </w:rPr>
        <w:t> </w:t>
      </w:r>
      <w:r>
        <w:rPr>
          <w:spacing w:val="-19"/>
          <w:sz w:val="25"/>
          <w:vertAlign w:val="baseline"/>
        </w:rPr>
        <w:t> </w:t>
      </w:r>
      <w:r>
        <w:rPr>
          <w:w w:val="33"/>
          <w:sz w:val="25"/>
          <w:vertAlign w:val="baseline"/>
        </w:rPr>
        <w:t>―</w:t>
      </w:r>
      <w:r>
        <w:rPr>
          <w:w w:val="99"/>
          <w:sz w:val="25"/>
          <w:vertAlign w:val="baseline"/>
        </w:rPr>
        <w:t>Gu</w:t>
      </w:r>
      <w:r>
        <w:rPr>
          <w:spacing w:val="1"/>
          <w:w w:val="99"/>
          <w:sz w:val="25"/>
          <w:vertAlign w:val="baseline"/>
        </w:rPr>
        <w:t>r</w:t>
      </w:r>
      <w:r>
        <w:rPr>
          <w:w w:val="99"/>
          <w:sz w:val="25"/>
          <w:vertAlign w:val="baseline"/>
        </w:rPr>
        <w:t>u</w:t>
      </w:r>
      <w:r>
        <w:rPr>
          <w:sz w:val="25"/>
          <w:vertAlign w:val="baseline"/>
        </w:rPr>
        <w:t> </w:t>
      </w:r>
      <w:r>
        <w:rPr>
          <w:spacing w:val="-19"/>
          <w:sz w:val="25"/>
          <w:vertAlign w:val="baseline"/>
        </w:rPr>
        <w:t> </w:t>
      </w:r>
      <w:r>
        <w:rPr>
          <w:w w:val="99"/>
          <w:sz w:val="25"/>
          <w:vertAlign w:val="baseline"/>
        </w:rPr>
        <w:t>Gr</w:t>
      </w:r>
      <w:r>
        <w:rPr>
          <w:spacing w:val="-1"/>
          <w:w w:val="99"/>
          <w:sz w:val="25"/>
          <w:vertAlign w:val="baseline"/>
        </w:rPr>
        <w:t>a</w:t>
      </w:r>
      <w:r>
        <w:rPr>
          <w:w w:val="99"/>
          <w:sz w:val="25"/>
          <w:vertAlign w:val="baseline"/>
        </w:rPr>
        <w:t>nth</w:t>
      </w:r>
      <w:r>
        <w:rPr>
          <w:sz w:val="25"/>
          <w:vertAlign w:val="baseline"/>
        </w:rPr>
        <w:t> </w:t>
      </w:r>
      <w:r>
        <w:rPr>
          <w:spacing w:val="-19"/>
          <w:sz w:val="25"/>
          <w:vertAlign w:val="baseline"/>
        </w:rPr>
        <w:t> </w:t>
      </w:r>
      <w:r>
        <w:rPr>
          <w:spacing w:val="-1"/>
          <w:w w:val="99"/>
          <w:sz w:val="25"/>
          <w:vertAlign w:val="baseline"/>
        </w:rPr>
        <w:t>Sa</w:t>
      </w:r>
      <w:r>
        <w:rPr>
          <w:w w:val="99"/>
          <w:sz w:val="25"/>
          <w:vertAlign w:val="baseline"/>
        </w:rPr>
        <w:t>h</w:t>
      </w:r>
      <w:r>
        <w:rPr>
          <w:spacing w:val="-1"/>
          <w:w w:val="93"/>
          <w:sz w:val="25"/>
          <w:vertAlign w:val="baseline"/>
        </w:rPr>
        <w:t>ib</w:t>
      </w:r>
      <w:r>
        <w:rPr>
          <w:w w:val="93"/>
          <w:sz w:val="25"/>
          <w:vertAlign w:val="baseline"/>
        </w:rPr>
        <w:t>‖</w:t>
      </w:r>
      <w:r>
        <w:rPr>
          <w:sz w:val="25"/>
          <w:vertAlign w:val="baseline"/>
        </w:rPr>
        <w:t> </w:t>
      </w:r>
      <w:r>
        <w:rPr>
          <w:spacing w:val="-19"/>
          <w:sz w:val="25"/>
          <w:vertAlign w:val="baseline"/>
        </w:rPr>
        <w:t> </w:t>
      </w:r>
      <w:r>
        <w:rPr>
          <w:spacing w:val="-1"/>
          <w:w w:val="99"/>
          <w:sz w:val="25"/>
          <w:vertAlign w:val="baseline"/>
        </w:rPr>
        <w:t>wa</w:t>
      </w:r>
      <w:r>
        <w:rPr>
          <w:w w:val="99"/>
          <w:sz w:val="25"/>
          <w:vertAlign w:val="baseline"/>
        </w:rPr>
        <w:t>s</w:t>
      </w:r>
      <w:r>
        <w:rPr>
          <w:sz w:val="25"/>
          <w:vertAlign w:val="baseline"/>
        </w:rPr>
        <w:t> </w:t>
      </w:r>
      <w:r>
        <w:rPr>
          <w:spacing w:val="-19"/>
          <w:sz w:val="25"/>
          <w:vertAlign w:val="baseline"/>
        </w:rPr>
        <w:t> </w:t>
      </w:r>
      <w:r>
        <w:rPr>
          <w:w w:val="99"/>
          <w:sz w:val="25"/>
          <w:vertAlign w:val="baseline"/>
        </w:rPr>
        <w:t>the</w:t>
      </w:r>
      <w:r>
        <w:rPr>
          <w:sz w:val="25"/>
          <w:vertAlign w:val="baseline"/>
        </w:rPr>
        <w:t> </w:t>
      </w:r>
      <w:r>
        <w:rPr>
          <w:spacing w:val="-19"/>
          <w:sz w:val="25"/>
          <w:vertAlign w:val="baseline"/>
        </w:rPr>
        <w:t> </w:t>
      </w:r>
      <w:r>
        <w:rPr>
          <w:w w:val="33"/>
          <w:sz w:val="25"/>
          <w:vertAlign w:val="baseline"/>
        </w:rPr>
        <w:t>―</w:t>
      </w:r>
      <w:r>
        <w:rPr>
          <w:spacing w:val="-1"/>
          <w:w w:val="99"/>
          <w:sz w:val="25"/>
          <w:vertAlign w:val="baseline"/>
        </w:rPr>
        <w:t>o</w:t>
      </w:r>
      <w:r>
        <w:rPr>
          <w:w w:val="99"/>
          <w:sz w:val="25"/>
          <w:vertAlign w:val="baseline"/>
        </w:rPr>
        <w:t>n</w:t>
      </w:r>
      <w:r>
        <w:rPr>
          <w:spacing w:val="-1"/>
          <w:w w:val="99"/>
          <w:sz w:val="25"/>
          <w:vertAlign w:val="baseline"/>
        </w:rPr>
        <w:t>l</w:t>
      </w:r>
      <w:r>
        <w:rPr>
          <w:w w:val="99"/>
          <w:sz w:val="25"/>
          <w:vertAlign w:val="baseline"/>
        </w:rPr>
        <w:t>y</w:t>
      </w:r>
      <w:r>
        <w:rPr>
          <w:sz w:val="25"/>
          <w:vertAlign w:val="baseline"/>
        </w:rPr>
        <w:t> </w:t>
      </w:r>
      <w:r>
        <w:rPr>
          <w:spacing w:val="-20"/>
          <w:sz w:val="25"/>
          <w:vertAlign w:val="baseline"/>
        </w:rPr>
        <w:t> </w:t>
      </w:r>
      <w:r>
        <w:rPr>
          <w:spacing w:val="2"/>
          <w:w w:val="99"/>
          <w:sz w:val="25"/>
          <w:vertAlign w:val="baseline"/>
        </w:rPr>
        <w:t>o</w:t>
      </w:r>
      <w:r>
        <w:rPr>
          <w:spacing w:val="-1"/>
          <w:w w:val="99"/>
          <w:sz w:val="25"/>
          <w:vertAlign w:val="baseline"/>
        </w:rPr>
        <w:t>bjec</w:t>
      </w:r>
      <w:r>
        <w:rPr>
          <w:w w:val="99"/>
          <w:sz w:val="25"/>
          <w:vertAlign w:val="baseline"/>
        </w:rPr>
        <w:t>t</w:t>
      </w:r>
      <w:r>
        <w:rPr>
          <w:sz w:val="25"/>
          <w:vertAlign w:val="baseline"/>
        </w:rPr>
        <w:t> </w:t>
      </w:r>
      <w:r>
        <w:rPr>
          <w:spacing w:val="-19"/>
          <w:sz w:val="25"/>
          <w:vertAlign w:val="baseline"/>
        </w:rPr>
        <w:t> </w:t>
      </w:r>
      <w:r>
        <w:rPr>
          <w:spacing w:val="-1"/>
          <w:w w:val="99"/>
          <w:sz w:val="25"/>
          <w:vertAlign w:val="baseline"/>
        </w:rPr>
        <w:t>o</w:t>
      </w:r>
      <w:r>
        <w:rPr>
          <w:w w:val="99"/>
          <w:sz w:val="25"/>
          <w:vertAlign w:val="baseline"/>
        </w:rPr>
        <w:t>f</w:t>
      </w:r>
      <w:r>
        <w:rPr>
          <w:sz w:val="25"/>
          <w:vertAlign w:val="baseline"/>
        </w:rPr>
        <w:t> </w:t>
      </w:r>
      <w:r>
        <w:rPr>
          <w:spacing w:val="-19"/>
          <w:sz w:val="25"/>
          <w:vertAlign w:val="baseline"/>
        </w:rPr>
        <w:t> </w:t>
      </w:r>
      <w:r>
        <w:rPr>
          <w:spacing w:val="-1"/>
          <w:w w:val="99"/>
          <w:sz w:val="25"/>
          <w:vertAlign w:val="baseline"/>
        </w:rPr>
        <w:t>wo</w:t>
      </w:r>
      <w:r>
        <w:rPr>
          <w:w w:val="99"/>
          <w:sz w:val="25"/>
          <w:vertAlign w:val="baseline"/>
        </w:rPr>
        <w:t>rship</w:t>
      </w:r>
      <w:r>
        <w:rPr>
          <w:sz w:val="25"/>
          <w:vertAlign w:val="baseline"/>
        </w:rPr>
        <w:t> </w:t>
      </w:r>
      <w:r>
        <w:rPr>
          <w:spacing w:val="-12"/>
          <w:sz w:val="25"/>
          <w:vertAlign w:val="baseline"/>
        </w:rPr>
        <w:t> </w:t>
      </w:r>
      <w:r>
        <w:rPr>
          <w:w w:val="99"/>
          <w:sz w:val="25"/>
          <w:vertAlign w:val="baseline"/>
        </w:rPr>
        <w:t>and</w:t>
      </w:r>
      <w:r>
        <w:rPr>
          <w:sz w:val="25"/>
          <w:vertAlign w:val="baseline"/>
        </w:rPr>
        <w:t> </w:t>
      </w:r>
      <w:r>
        <w:rPr>
          <w:spacing w:val="-19"/>
          <w:sz w:val="25"/>
          <w:vertAlign w:val="baseline"/>
        </w:rPr>
        <w:t> </w:t>
      </w:r>
      <w:r>
        <w:rPr>
          <w:w w:val="99"/>
          <w:sz w:val="25"/>
          <w:vertAlign w:val="baseline"/>
        </w:rPr>
        <w:t>it</w:t>
      </w:r>
      <w:r>
        <w:rPr>
          <w:sz w:val="25"/>
          <w:vertAlign w:val="baseline"/>
        </w:rPr>
        <w:t> </w:t>
      </w:r>
      <w:r>
        <w:rPr>
          <w:spacing w:val="-20"/>
          <w:sz w:val="25"/>
          <w:vertAlign w:val="baseline"/>
        </w:rPr>
        <w:t> </w:t>
      </w:r>
      <w:r>
        <w:rPr>
          <w:w w:val="99"/>
          <w:sz w:val="25"/>
          <w:vertAlign w:val="baseline"/>
        </w:rPr>
        <w:t>was</w:t>
      </w:r>
      <w:r>
        <w:rPr>
          <w:sz w:val="25"/>
          <w:vertAlign w:val="baseline"/>
        </w:rPr>
        <w:t> </w:t>
      </w:r>
      <w:r>
        <w:rPr>
          <w:spacing w:val="-19"/>
          <w:sz w:val="25"/>
          <w:vertAlign w:val="baseline"/>
        </w:rPr>
        <w:t> </w:t>
      </w:r>
      <w:r>
        <w:rPr>
          <w:w w:val="99"/>
          <w:sz w:val="25"/>
          <w:vertAlign w:val="baseline"/>
        </w:rPr>
        <w:t>the</w:t>
      </w:r>
      <w:r>
        <w:rPr>
          <w:sz w:val="25"/>
          <w:vertAlign w:val="baseline"/>
        </w:rPr>
        <w:t> </w:t>
      </w:r>
      <w:r>
        <w:rPr>
          <w:spacing w:val="-19"/>
          <w:sz w:val="25"/>
          <w:vertAlign w:val="baseline"/>
        </w:rPr>
        <w:t> </w:t>
      </w:r>
      <w:r>
        <w:rPr>
          <w:w w:val="99"/>
          <w:sz w:val="25"/>
          <w:vertAlign w:val="baseline"/>
        </w:rPr>
        <w:t>sole </w:t>
      </w:r>
      <w:r>
        <w:rPr>
          <w:sz w:val="25"/>
          <w:vertAlign w:val="baseline"/>
        </w:rPr>
        <w:t>owner of the gurdwara property.‖ The Sikh Gurdwara Tribunal decreed in favour </w:t>
      </w:r>
      <w:r>
        <w:rPr>
          <w:spacing w:val="-1"/>
          <w:w w:val="99"/>
          <w:sz w:val="25"/>
          <w:vertAlign w:val="baseline"/>
        </w:rPr>
        <w:t>o</w:t>
      </w:r>
      <w:r>
        <w:rPr>
          <w:w w:val="99"/>
          <w:sz w:val="25"/>
          <w:vertAlign w:val="baseline"/>
        </w:rPr>
        <w:t>f</w:t>
      </w:r>
      <w:r>
        <w:rPr>
          <w:sz w:val="25"/>
          <w:vertAlign w:val="baseline"/>
        </w:rPr>
        <w:t> </w:t>
      </w:r>
      <w:r>
        <w:rPr>
          <w:w w:val="99"/>
          <w:sz w:val="25"/>
          <w:vertAlign w:val="baseline"/>
        </w:rPr>
        <w:t>the</w:t>
      </w:r>
      <w:r>
        <w:rPr>
          <w:sz w:val="25"/>
          <w:vertAlign w:val="baseline"/>
        </w:rPr>
        <w:t> </w:t>
      </w:r>
      <w:r>
        <w:rPr>
          <w:w w:val="99"/>
          <w:sz w:val="25"/>
          <w:vertAlign w:val="baseline"/>
        </w:rPr>
        <w:t>SG</w:t>
      </w:r>
      <w:r>
        <w:rPr>
          <w:spacing w:val="-2"/>
          <w:w w:val="99"/>
          <w:sz w:val="25"/>
          <w:vertAlign w:val="baseline"/>
        </w:rPr>
        <w:t>P</w:t>
      </w:r>
      <w:r>
        <w:rPr>
          <w:w w:val="99"/>
          <w:sz w:val="25"/>
          <w:vertAlign w:val="baseline"/>
        </w:rPr>
        <w:t>C</w:t>
      </w:r>
      <w:r>
        <w:rPr>
          <w:spacing w:val="-1"/>
          <w:sz w:val="25"/>
          <w:vertAlign w:val="baseline"/>
        </w:rPr>
        <w:t> </w:t>
      </w:r>
      <w:r>
        <w:rPr>
          <w:spacing w:val="-1"/>
          <w:w w:val="99"/>
          <w:sz w:val="25"/>
          <w:vertAlign w:val="baseline"/>
        </w:rPr>
        <w:t>a</w:t>
      </w:r>
      <w:r>
        <w:rPr>
          <w:w w:val="99"/>
          <w:sz w:val="25"/>
          <w:vertAlign w:val="baseline"/>
        </w:rPr>
        <w:t>nd</w:t>
      </w:r>
      <w:r>
        <w:rPr>
          <w:spacing w:val="-1"/>
          <w:sz w:val="25"/>
          <w:vertAlign w:val="baseline"/>
        </w:rPr>
        <w:t> </w:t>
      </w:r>
      <w:r>
        <w:rPr>
          <w:w w:val="99"/>
          <w:sz w:val="25"/>
          <w:vertAlign w:val="baseline"/>
        </w:rPr>
        <w:t>h</w:t>
      </w:r>
      <w:r>
        <w:rPr>
          <w:spacing w:val="-1"/>
          <w:w w:val="99"/>
          <w:sz w:val="25"/>
          <w:vertAlign w:val="baseline"/>
        </w:rPr>
        <w:t>el</w:t>
      </w:r>
      <w:r>
        <w:rPr>
          <w:w w:val="99"/>
          <w:sz w:val="25"/>
          <w:vertAlign w:val="baseline"/>
        </w:rPr>
        <w:t>d</w:t>
      </w:r>
      <w:r>
        <w:rPr>
          <w:sz w:val="25"/>
          <w:vertAlign w:val="baseline"/>
        </w:rPr>
        <w:t> </w:t>
      </w:r>
      <w:r>
        <w:rPr>
          <w:w w:val="99"/>
          <w:sz w:val="25"/>
          <w:vertAlign w:val="baseline"/>
        </w:rPr>
        <w:t>that</w:t>
      </w:r>
      <w:r>
        <w:rPr>
          <w:sz w:val="25"/>
          <w:vertAlign w:val="baseline"/>
        </w:rPr>
        <w:t> </w:t>
      </w:r>
      <w:r>
        <w:rPr>
          <w:w w:val="99"/>
          <w:sz w:val="25"/>
          <w:vertAlign w:val="baseline"/>
        </w:rPr>
        <w:t>the</w:t>
      </w:r>
      <w:r>
        <w:rPr>
          <w:spacing w:val="-1"/>
          <w:sz w:val="25"/>
          <w:vertAlign w:val="baseline"/>
        </w:rPr>
        <w:t> </w:t>
      </w:r>
      <w:r>
        <w:rPr>
          <w:w w:val="99"/>
          <w:sz w:val="25"/>
          <w:vertAlign w:val="baseline"/>
        </w:rPr>
        <w:t>d</w:t>
      </w:r>
      <w:r>
        <w:rPr>
          <w:spacing w:val="-1"/>
          <w:w w:val="99"/>
          <w:sz w:val="25"/>
          <w:vertAlign w:val="baseline"/>
        </w:rPr>
        <w:t>ispu</w:t>
      </w:r>
      <w:r>
        <w:rPr>
          <w:w w:val="99"/>
          <w:sz w:val="25"/>
          <w:vertAlign w:val="baseline"/>
        </w:rPr>
        <w:t>t</w:t>
      </w:r>
      <w:r>
        <w:rPr>
          <w:spacing w:val="-1"/>
          <w:w w:val="99"/>
          <w:sz w:val="25"/>
          <w:vertAlign w:val="baseline"/>
        </w:rPr>
        <w:t>e</w:t>
      </w:r>
      <w:r>
        <w:rPr>
          <w:w w:val="99"/>
          <w:sz w:val="25"/>
          <w:vertAlign w:val="baseline"/>
        </w:rPr>
        <w:t>d</w:t>
      </w:r>
      <w:r>
        <w:rPr>
          <w:sz w:val="25"/>
          <w:vertAlign w:val="baseline"/>
        </w:rPr>
        <w:t> </w:t>
      </w:r>
      <w:r>
        <w:rPr>
          <w:spacing w:val="-1"/>
          <w:w w:val="99"/>
          <w:sz w:val="25"/>
          <w:vertAlign w:val="baseline"/>
        </w:rPr>
        <w:t>p</w:t>
      </w:r>
      <w:r>
        <w:rPr>
          <w:spacing w:val="1"/>
          <w:w w:val="99"/>
          <w:sz w:val="25"/>
          <w:vertAlign w:val="baseline"/>
        </w:rPr>
        <w:t>r</w:t>
      </w:r>
      <w:r>
        <w:rPr>
          <w:spacing w:val="-3"/>
          <w:w w:val="99"/>
          <w:sz w:val="25"/>
          <w:vertAlign w:val="baseline"/>
        </w:rPr>
        <w:t>o</w:t>
      </w:r>
      <w:r>
        <w:rPr>
          <w:spacing w:val="-1"/>
          <w:w w:val="99"/>
          <w:sz w:val="25"/>
          <w:vertAlign w:val="baseline"/>
        </w:rPr>
        <w:t>p</w:t>
      </w:r>
      <w:r>
        <w:rPr>
          <w:w w:val="99"/>
          <w:sz w:val="25"/>
          <w:vertAlign w:val="baseline"/>
        </w:rPr>
        <w:t>erty</w:t>
      </w:r>
      <w:r>
        <w:rPr>
          <w:spacing w:val="-3"/>
          <w:sz w:val="25"/>
          <w:vertAlign w:val="baseline"/>
        </w:rPr>
        <w:t> </w:t>
      </w:r>
      <w:r>
        <w:rPr>
          <w:w w:val="33"/>
          <w:sz w:val="25"/>
          <w:vertAlign w:val="baseline"/>
        </w:rPr>
        <w:t>―</w:t>
      </w:r>
      <w:r>
        <w:rPr>
          <w:spacing w:val="-1"/>
          <w:w w:val="99"/>
          <w:sz w:val="25"/>
          <w:vertAlign w:val="baseline"/>
        </w:rPr>
        <w:t>b</w:t>
      </w:r>
      <w:r>
        <w:rPr>
          <w:w w:val="99"/>
          <w:sz w:val="25"/>
          <w:vertAlign w:val="baseline"/>
        </w:rPr>
        <w:t>e</w:t>
      </w:r>
      <w:r>
        <w:rPr>
          <w:spacing w:val="-1"/>
          <w:w w:val="99"/>
          <w:sz w:val="25"/>
          <w:vertAlign w:val="baseline"/>
        </w:rPr>
        <w:t>lon</w:t>
      </w:r>
      <w:r>
        <w:rPr>
          <w:w w:val="99"/>
          <w:sz w:val="25"/>
          <w:vertAlign w:val="baseline"/>
        </w:rPr>
        <w:t>g</w:t>
      </w:r>
      <w:r>
        <w:rPr>
          <w:spacing w:val="-1"/>
          <w:w w:val="99"/>
          <w:sz w:val="25"/>
          <w:vertAlign w:val="baseline"/>
        </w:rPr>
        <w:t>e</w:t>
      </w:r>
      <w:r>
        <w:rPr>
          <w:w w:val="99"/>
          <w:sz w:val="25"/>
          <w:vertAlign w:val="baseline"/>
        </w:rPr>
        <w:t>d</w:t>
      </w:r>
      <w:r>
        <w:rPr>
          <w:sz w:val="25"/>
          <w:vertAlign w:val="baseline"/>
        </w:rPr>
        <w:t> </w:t>
      </w:r>
      <w:r>
        <w:rPr>
          <w:w w:val="99"/>
          <w:sz w:val="25"/>
          <w:vertAlign w:val="baseline"/>
        </w:rPr>
        <w:t>to</w:t>
      </w:r>
      <w:r>
        <w:rPr>
          <w:sz w:val="25"/>
          <w:vertAlign w:val="baseline"/>
        </w:rPr>
        <w:t> </w:t>
      </w:r>
      <w:r>
        <w:rPr>
          <w:w w:val="99"/>
          <w:sz w:val="25"/>
          <w:vertAlign w:val="baseline"/>
        </w:rPr>
        <w:t>SG</w:t>
      </w:r>
      <w:r>
        <w:rPr>
          <w:spacing w:val="-2"/>
          <w:w w:val="99"/>
          <w:sz w:val="25"/>
          <w:vertAlign w:val="baseline"/>
        </w:rPr>
        <w:t>P</w:t>
      </w:r>
      <w:r>
        <w:rPr>
          <w:spacing w:val="-1"/>
          <w:w w:val="94"/>
          <w:sz w:val="25"/>
          <w:vertAlign w:val="baseline"/>
        </w:rPr>
        <w:t>C‖.</w:t>
      </w:r>
    </w:p>
    <w:p>
      <w:pPr>
        <w:spacing w:before="15"/>
        <w:ind w:left="500" w:right="0" w:firstLine="0"/>
        <w:jc w:val="left"/>
        <w:rPr>
          <w:sz w:val="18"/>
        </w:rPr>
      </w:pPr>
      <w:r>
        <w:rPr>
          <w:sz w:val="18"/>
          <w:vertAlign w:val="superscript"/>
        </w:rPr>
        <w:t>96</w:t>
      </w:r>
      <w:r>
        <w:rPr>
          <w:sz w:val="18"/>
          <w:vertAlign w:val="baseline"/>
        </w:rPr>
        <w:t> (2000) 4 SCC 146</w:t>
      </w:r>
    </w:p>
    <w:p>
      <w:pPr>
        <w:spacing w:before="1"/>
        <w:ind w:left="500" w:right="0" w:firstLine="0"/>
        <w:jc w:val="left"/>
        <w:rPr>
          <w:sz w:val="18"/>
        </w:rPr>
      </w:pPr>
      <w:r>
        <w:rPr>
          <w:sz w:val="18"/>
          <w:vertAlign w:val="superscript"/>
        </w:rPr>
        <w:t>97</w:t>
      </w:r>
      <w:r>
        <w:rPr>
          <w:sz w:val="18"/>
          <w:vertAlign w:val="baseline"/>
        </w:rPr>
        <w:t> ―SGPC‖</w:t>
      </w:r>
    </w:p>
    <w:p>
      <w:pPr>
        <w:spacing w:after="0"/>
        <w:jc w:val="left"/>
        <w:rPr>
          <w:sz w:val="18"/>
        </w:rPr>
        <w:sectPr>
          <w:headerReference w:type="default" r:id="rId66"/>
          <w:footerReference w:type="default" r:id="rId67"/>
          <w:pgSz w:w="11910" w:h="16840"/>
          <w:pgMar w:header="721" w:footer="1014" w:top="1300" w:bottom="1200" w:left="940" w:right="1000"/>
          <w:pgNumType w:start="185"/>
        </w:sectPr>
      </w:pPr>
    </w:p>
    <w:p>
      <w:pPr>
        <w:pStyle w:val="ListParagraph"/>
        <w:numPr>
          <w:ilvl w:val="0"/>
          <w:numId w:val="3"/>
        </w:numPr>
        <w:tabs>
          <w:tab w:pos="1221" w:val="left" w:leader="none"/>
        </w:tabs>
        <w:spacing w:line="480" w:lineRule="auto" w:before="124" w:after="0"/>
        <w:ind w:left="500" w:right="438" w:firstLine="0"/>
        <w:jc w:val="both"/>
        <w:rPr>
          <w:sz w:val="25"/>
        </w:rPr>
      </w:pPr>
      <w:r>
        <w:rPr>
          <w:sz w:val="25"/>
        </w:rPr>
        <w:t>On the basis of a </w:t>
      </w:r>
      <w:r>
        <w:rPr>
          <w:i/>
          <w:sz w:val="25"/>
        </w:rPr>
        <w:t>farman-e-shahi </w:t>
      </w:r>
      <w:r>
        <w:rPr>
          <w:sz w:val="25"/>
        </w:rPr>
        <w:t>issued in 1921, the Revenue Officer had </w:t>
      </w:r>
      <w:r>
        <w:rPr>
          <w:w w:val="99"/>
          <w:sz w:val="25"/>
        </w:rPr>
        <w:t>o</w:t>
      </w:r>
      <w:r>
        <w:rPr>
          <w:spacing w:val="1"/>
          <w:w w:val="99"/>
          <w:sz w:val="25"/>
        </w:rPr>
        <w:t>r</w:t>
      </w:r>
      <w:r>
        <w:rPr>
          <w:w w:val="99"/>
          <w:sz w:val="25"/>
        </w:rPr>
        <w:t>de</w:t>
      </w:r>
      <w:r>
        <w:rPr>
          <w:w w:val="99"/>
          <w:sz w:val="25"/>
        </w:rPr>
        <w:t>r</w:t>
      </w:r>
      <w:r>
        <w:rPr>
          <w:w w:val="99"/>
          <w:sz w:val="25"/>
        </w:rPr>
        <w:t>ed</w:t>
      </w:r>
      <w:r>
        <w:rPr>
          <w:spacing w:val="9"/>
          <w:sz w:val="25"/>
        </w:rPr>
        <w:t> </w:t>
      </w:r>
      <w:r>
        <w:rPr>
          <w:w w:val="99"/>
          <w:sz w:val="25"/>
        </w:rPr>
        <w:t>muta</w:t>
      </w:r>
      <w:r>
        <w:rPr>
          <w:w w:val="99"/>
          <w:sz w:val="25"/>
        </w:rPr>
        <w:t>tion</w:t>
      </w:r>
      <w:r>
        <w:rPr>
          <w:spacing w:val="12"/>
          <w:sz w:val="25"/>
        </w:rPr>
        <w:t> </w:t>
      </w:r>
      <w:r>
        <w:rPr>
          <w:spacing w:val="-1"/>
          <w:w w:val="99"/>
          <w:sz w:val="25"/>
        </w:rPr>
        <w:t>i</w:t>
      </w:r>
      <w:r>
        <w:rPr>
          <w:w w:val="99"/>
          <w:sz w:val="25"/>
        </w:rPr>
        <w:t>n</w:t>
      </w:r>
      <w:r>
        <w:rPr>
          <w:spacing w:val="9"/>
          <w:sz w:val="25"/>
        </w:rPr>
        <w:t> </w:t>
      </w:r>
      <w:r>
        <w:rPr>
          <w:w w:val="99"/>
          <w:sz w:val="25"/>
        </w:rPr>
        <w:t>the</w:t>
      </w:r>
      <w:r>
        <w:rPr>
          <w:spacing w:val="10"/>
          <w:sz w:val="25"/>
        </w:rPr>
        <w:t> </w:t>
      </w:r>
      <w:r>
        <w:rPr>
          <w:spacing w:val="-1"/>
          <w:w w:val="99"/>
          <w:sz w:val="25"/>
        </w:rPr>
        <w:t>n</w:t>
      </w:r>
      <w:r>
        <w:rPr>
          <w:w w:val="99"/>
          <w:sz w:val="25"/>
        </w:rPr>
        <w:t>ame</w:t>
      </w:r>
      <w:r>
        <w:rPr>
          <w:spacing w:val="9"/>
          <w:sz w:val="25"/>
        </w:rPr>
        <w:t> </w:t>
      </w:r>
      <w:r>
        <w:rPr>
          <w:spacing w:val="-1"/>
          <w:w w:val="99"/>
          <w:sz w:val="25"/>
        </w:rPr>
        <w:t>o</w:t>
      </w:r>
      <w:r>
        <w:rPr>
          <w:w w:val="99"/>
          <w:sz w:val="25"/>
        </w:rPr>
        <w:t>f</w:t>
      </w:r>
      <w:r>
        <w:rPr>
          <w:spacing w:val="10"/>
          <w:sz w:val="25"/>
        </w:rPr>
        <w:t> </w:t>
      </w:r>
      <w:r>
        <w:rPr>
          <w:w w:val="99"/>
          <w:sz w:val="25"/>
        </w:rPr>
        <w:t>the</w:t>
      </w:r>
      <w:r>
        <w:rPr>
          <w:spacing w:val="10"/>
          <w:sz w:val="25"/>
        </w:rPr>
        <w:t> </w:t>
      </w:r>
      <w:r>
        <w:rPr>
          <w:w w:val="33"/>
          <w:sz w:val="25"/>
        </w:rPr>
        <w:t>―</w:t>
      </w:r>
      <w:r>
        <w:rPr>
          <w:w w:val="99"/>
          <w:sz w:val="25"/>
        </w:rPr>
        <w:t>Gu</w:t>
      </w:r>
      <w:r>
        <w:rPr>
          <w:spacing w:val="1"/>
          <w:w w:val="99"/>
          <w:sz w:val="25"/>
        </w:rPr>
        <w:t>r</w:t>
      </w:r>
      <w:r>
        <w:rPr>
          <w:w w:val="99"/>
          <w:sz w:val="25"/>
        </w:rPr>
        <w:t>u</w:t>
      </w:r>
      <w:r>
        <w:rPr>
          <w:spacing w:val="9"/>
          <w:sz w:val="25"/>
        </w:rPr>
        <w:t> </w:t>
      </w:r>
      <w:r>
        <w:rPr>
          <w:w w:val="99"/>
          <w:sz w:val="25"/>
        </w:rPr>
        <w:t>Gr</w:t>
      </w:r>
      <w:r>
        <w:rPr>
          <w:spacing w:val="-1"/>
          <w:w w:val="99"/>
          <w:sz w:val="25"/>
        </w:rPr>
        <w:t>a</w:t>
      </w:r>
      <w:r>
        <w:rPr>
          <w:w w:val="99"/>
          <w:sz w:val="25"/>
        </w:rPr>
        <w:t>nth</w:t>
      </w:r>
      <w:r>
        <w:rPr>
          <w:spacing w:val="10"/>
          <w:sz w:val="25"/>
        </w:rPr>
        <w:t> </w:t>
      </w:r>
      <w:r>
        <w:rPr>
          <w:spacing w:val="-1"/>
          <w:w w:val="99"/>
          <w:sz w:val="25"/>
        </w:rPr>
        <w:t>Sa</w:t>
      </w:r>
      <w:r>
        <w:rPr>
          <w:w w:val="99"/>
          <w:sz w:val="25"/>
        </w:rPr>
        <w:t>h</w:t>
      </w:r>
      <w:r>
        <w:rPr>
          <w:spacing w:val="-1"/>
          <w:w w:val="99"/>
          <w:sz w:val="25"/>
        </w:rPr>
        <w:t>i</w:t>
      </w:r>
      <w:r>
        <w:rPr>
          <w:w w:val="99"/>
          <w:sz w:val="25"/>
        </w:rPr>
        <w:t>b</w:t>
      </w:r>
      <w:r>
        <w:rPr>
          <w:spacing w:val="12"/>
          <w:sz w:val="25"/>
        </w:rPr>
        <w:t> </w:t>
      </w:r>
      <w:r>
        <w:rPr>
          <w:spacing w:val="-1"/>
          <w:w w:val="99"/>
          <w:sz w:val="25"/>
        </w:rPr>
        <w:t>Ba</w:t>
      </w:r>
      <w:r>
        <w:rPr>
          <w:w w:val="99"/>
          <w:sz w:val="25"/>
        </w:rPr>
        <w:t>r</w:t>
      </w:r>
      <w:r>
        <w:rPr>
          <w:spacing w:val="-1"/>
          <w:w w:val="99"/>
          <w:sz w:val="25"/>
        </w:rPr>
        <w:t>aj</w:t>
      </w:r>
      <w:r>
        <w:rPr>
          <w:w w:val="99"/>
          <w:sz w:val="25"/>
        </w:rPr>
        <w:t>m</w:t>
      </w:r>
      <w:r>
        <w:rPr>
          <w:spacing w:val="-1"/>
          <w:w w:val="99"/>
          <w:sz w:val="25"/>
        </w:rPr>
        <w:t>a</w:t>
      </w:r>
      <w:r>
        <w:rPr>
          <w:w w:val="99"/>
          <w:sz w:val="25"/>
        </w:rPr>
        <w:t>n</w:t>
      </w:r>
      <w:r>
        <w:rPr>
          <w:spacing w:val="9"/>
          <w:sz w:val="25"/>
        </w:rPr>
        <w:t> </w:t>
      </w:r>
      <w:r>
        <w:rPr>
          <w:spacing w:val="-1"/>
          <w:w w:val="99"/>
          <w:sz w:val="25"/>
        </w:rPr>
        <w:t>Dha</w:t>
      </w:r>
      <w:r>
        <w:rPr>
          <w:spacing w:val="1"/>
          <w:w w:val="99"/>
          <w:sz w:val="25"/>
        </w:rPr>
        <w:t>r</w:t>
      </w:r>
      <w:r>
        <w:rPr>
          <w:spacing w:val="-1"/>
          <w:w w:val="99"/>
          <w:sz w:val="25"/>
        </w:rPr>
        <w:t>a</w:t>
      </w:r>
      <w:r>
        <w:rPr>
          <w:w w:val="99"/>
          <w:sz w:val="25"/>
        </w:rPr>
        <w:t>msha</w:t>
      </w:r>
      <w:r>
        <w:rPr>
          <w:spacing w:val="-1"/>
          <w:w w:val="99"/>
          <w:sz w:val="25"/>
        </w:rPr>
        <w:t>la </w:t>
      </w:r>
      <w:r>
        <w:rPr>
          <w:sz w:val="25"/>
        </w:rPr>
        <w:t>Deh‖. Thus, the ownership column of the land continued in this name till objections were filed to the declaration of the land as a Sikh Gurdwara. In the appeals before the High Court from the findings of the Tribunal, a contention was raised that the entry in the revenue records in the name of the Guru Granth Sahib was void as it is not a juristic person. The High Court held that the Guru Granth Sahib is not a juristic person and consequently, the mutation in the name of the Guru Granth Sahib was liable to be set aside. It was in this context that this Court was called to adjudicate whether the Guru Granth Sahib is a juristic person, capable of owning the disputed property in its own</w:t>
      </w:r>
      <w:r>
        <w:rPr>
          <w:spacing w:val="-9"/>
          <w:sz w:val="25"/>
        </w:rPr>
        <w:t> </w:t>
      </w:r>
      <w:r>
        <w:rPr>
          <w:sz w:val="25"/>
        </w:rPr>
        <w:t>name.</w:t>
      </w:r>
    </w:p>
    <w:p>
      <w:pPr>
        <w:pStyle w:val="BodyText"/>
      </w:pPr>
    </w:p>
    <w:p>
      <w:pPr>
        <w:pStyle w:val="ListParagraph"/>
        <w:numPr>
          <w:ilvl w:val="0"/>
          <w:numId w:val="3"/>
        </w:numPr>
        <w:tabs>
          <w:tab w:pos="1221" w:val="left" w:leader="none"/>
        </w:tabs>
        <w:spacing w:line="480" w:lineRule="auto" w:before="1" w:after="0"/>
        <w:ind w:left="500" w:right="440" w:firstLine="0"/>
        <w:jc w:val="both"/>
        <w:rPr>
          <w:sz w:val="25"/>
        </w:rPr>
      </w:pPr>
      <w:r>
        <w:rPr>
          <w:sz w:val="25"/>
        </w:rPr>
        <w:t>Tracing the evolution of the concept of juristic person, Justice AP Misra noted that recognition in law of a juristic person is to sub-serve the needs of the law and society. The Court</w:t>
      </w:r>
      <w:r>
        <w:rPr>
          <w:spacing w:val="-3"/>
          <w:sz w:val="25"/>
        </w:rPr>
        <w:t> </w:t>
      </w:r>
      <w:r>
        <w:rPr>
          <w:sz w:val="25"/>
        </w:rPr>
        <w:t>held:</w:t>
      </w:r>
    </w:p>
    <w:p>
      <w:pPr>
        <w:spacing w:line="276" w:lineRule="auto" w:before="0"/>
        <w:ind w:left="1940" w:right="2263" w:firstLine="0"/>
        <w:jc w:val="both"/>
        <w:rPr>
          <w:sz w:val="21"/>
        </w:rPr>
      </w:pPr>
      <w:r>
        <w:rPr>
          <w:w w:val="33"/>
          <w:sz w:val="21"/>
        </w:rPr>
        <w:t>―</w:t>
      </w:r>
      <w:r>
        <w:rPr>
          <w:w w:val="100"/>
          <w:sz w:val="21"/>
        </w:rPr>
        <w:t>19…When</w:t>
      </w:r>
      <w:r>
        <w:rPr>
          <w:sz w:val="21"/>
        </w:rPr>
        <w:t> </w:t>
      </w:r>
      <w:r>
        <w:rPr>
          <w:w w:val="100"/>
          <w:sz w:val="21"/>
        </w:rPr>
        <w:t>the</w:t>
      </w:r>
      <w:r>
        <w:rPr>
          <w:sz w:val="21"/>
        </w:rPr>
        <w:t> </w:t>
      </w:r>
      <w:r>
        <w:rPr>
          <w:w w:val="100"/>
          <w:sz w:val="21"/>
        </w:rPr>
        <w:t>donor</w:t>
      </w:r>
      <w:r>
        <w:rPr>
          <w:sz w:val="21"/>
        </w:rPr>
        <w:t> </w:t>
      </w:r>
      <w:r>
        <w:rPr>
          <w:w w:val="100"/>
          <w:sz w:val="21"/>
        </w:rPr>
        <w:t>endows</w:t>
      </w:r>
      <w:r>
        <w:rPr>
          <w:sz w:val="21"/>
        </w:rPr>
        <w:t> </w:t>
      </w:r>
      <w:r>
        <w:rPr>
          <w:w w:val="100"/>
          <w:sz w:val="21"/>
        </w:rPr>
        <w:t>for</w:t>
      </w:r>
      <w:r>
        <w:rPr>
          <w:sz w:val="21"/>
        </w:rPr>
        <w:t> </w:t>
      </w:r>
      <w:r>
        <w:rPr>
          <w:w w:val="100"/>
          <w:sz w:val="21"/>
        </w:rPr>
        <w:t>an</w:t>
      </w:r>
      <w:r>
        <w:rPr>
          <w:sz w:val="21"/>
        </w:rPr>
        <w:t> </w:t>
      </w:r>
      <w:r>
        <w:rPr>
          <w:w w:val="100"/>
          <w:sz w:val="21"/>
        </w:rPr>
        <w:t>idol</w:t>
      </w:r>
      <w:r>
        <w:rPr>
          <w:sz w:val="21"/>
        </w:rPr>
        <w:t> </w:t>
      </w:r>
      <w:r>
        <w:rPr>
          <w:w w:val="100"/>
          <w:sz w:val="21"/>
        </w:rPr>
        <w:t>or</w:t>
      </w:r>
      <w:r>
        <w:rPr>
          <w:sz w:val="21"/>
        </w:rPr>
        <w:t> </w:t>
      </w:r>
      <w:r>
        <w:rPr>
          <w:w w:val="100"/>
          <w:sz w:val="21"/>
        </w:rPr>
        <w:t>for</w:t>
      </w:r>
      <w:r>
        <w:rPr>
          <w:sz w:val="21"/>
        </w:rPr>
        <w:t> </w:t>
      </w:r>
      <w:r>
        <w:rPr>
          <w:w w:val="100"/>
          <w:sz w:val="21"/>
        </w:rPr>
        <w:t>a</w:t>
      </w:r>
      <w:r>
        <w:rPr>
          <w:sz w:val="21"/>
        </w:rPr>
        <w:t> </w:t>
      </w:r>
      <w:r>
        <w:rPr>
          <w:w w:val="100"/>
          <w:sz w:val="21"/>
        </w:rPr>
        <w:t>mosque</w:t>
      </w:r>
      <w:r>
        <w:rPr>
          <w:sz w:val="21"/>
        </w:rPr>
        <w:t> </w:t>
      </w:r>
      <w:r>
        <w:rPr>
          <w:w w:val="100"/>
          <w:sz w:val="21"/>
        </w:rPr>
        <w:t>or </w:t>
      </w:r>
      <w:r>
        <w:rPr>
          <w:sz w:val="21"/>
        </w:rPr>
        <w:t>for any institution, it necessitates the creation of a juristic person.</w:t>
      </w:r>
    </w:p>
    <w:p>
      <w:pPr>
        <w:pStyle w:val="BodyText"/>
        <w:spacing w:before="11"/>
        <w:rPr>
          <w:sz w:val="23"/>
        </w:rPr>
      </w:pPr>
    </w:p>
    <w:p>
      <w:pPr>
        <w:spacing w:line="276" w:lineRule="auto" w:before="0"/>
        <w:ind w:left="1940" w:right="2264" w:firstLine="0"/>
        <w:jc w:val="both"/>
        <w:rPr>
          <w:sz w:val="21"/>
        </w:rPr>
      </w:pPr>
      <w:r>
        <w:rPr>
          <w:sz w:val="21"/>
        </w:rPr>
        <w:t>21…There may be an endowment for a pious or religious purpose. It may be for an idol, mosque, church, etc. Such endowed property has to be used for that purpose. The installation and adoration of an idol or any image by a Hindu denoting any god is merely a mode through which his faith and belief is satisfied. This has led to the recognition of an idol as a juristic</w:t>
      </w:r>
      <w:r>
        <w:rPr>
          <w:spacing w:val="-4"/>
          <w:sz w:val="21"/>
        </w:rPr>
        <w:t> </w:t>
      </w:r>
      <w:r>
        <w:rPr>
          <w:sz w:val="21"/>
        </w:rPr>
        <w:t>person.</w:t>
      </w:r>
    </w:p>
    <w:p>
      <w:pPr>
        <w:pStyle w:val="BodyText"/>
        <w:spacing w:before="3"/>
        <w:rPr>
          <w:sz w:val="24"/>
        </w:rPr>
      </w:pPr>
    </w:p>
    <w:p>
      <w:pPr>
        <w:spacing w:line="276" w:lineRule="auto" w:before="0"/>
        <w:ind w:left="1940" w:right="2262" w:firstLine="0"/>
        <w:jc w:val="both"/>
        <w:rPr>
          <w:sz w:val="21"/>
        </w:rPr>
      </w:pPr>
      <w:r>
        <w:rPr>
          <w:w w:val="100"/>
          <w:sz w:val="21"/>
        </w:rPr>
        <w:t>27.</w:t>
      </w:r>
      <w:r>
        <w:rPr>
          <w:sz w:val="21"/>
        </w:rPr>
        <w:t>   </w:t>
      </w:r>
      <w:r>
        <w:rPr>
          <w:w w:val="100"/>
          <w:sz w:val="21"/>
        </w:rPr>
        <w:t>The</w:t>
      </w:r>
      <w:r>
        <w:rPr>
          <w:sz w:val="21"/>
        </w:rPr>
        <w:t>   </w:t>
      </w:r>
      <w:r>
        <w:rPr>
          <w:w w:val="100"/>
          <w:sz w:val="21"/>
        </w:rPr>
        <w:t>aforesaid</w:t>
      </w:r>
      <w:r>
        <w:rPr>
          <w:sz w:val="21"/>
        </w:rPr>
        <w:t>   </w:t>
      </w:r>
      <w:r>
        <w:rPr>
          <w:w w:val="100"/>
          <w:sz w:val="21"/>
        </w:rPr>
        <w:t>conspectus</w:t>
      </w:r>
      <w:r>
        <w:rPr>
          <w:sz w:val="21"/>
        </w:rPr>
        <w:t>   </w:t>
      </w:r>
      <w:r>
        <w:rPr>
          <w:w w:val="100"/>
          <w:sz w:val="21"/>
        </w:rPr>
        <w:t>visualizes</w:t>
      </w:r>
      <w:r>
        <w:rPr>
          <w:sz w:val="21"/>
        </w:rPr>
        <w:t>   </w:t>
      </w:r>
      <w:r>
        <w:rPr>
          <w:w w:val="100"/>
          <w:sz w:val="21"/>
        </w:rPr>
        <w:t>how</w:t>
      </w:r>
      <w:r>
        <w:rPr>
          <w:sz w:val="21"/>
        </w:rPr>
        <w:t>   </w:t>
      </w:r>
      <w:r>
        <w:rPr>
          <w:w w:val="33"/>
          <w:sz w:val="21"/>
        </w:rPr>
        <w:t>―</w:t>
      </w:r>
      <w:r>
        <w:rPr>
          <w:w w:val="100"/>
          <w:sz w:val="21"/>
        </w:rPr>
        <w:t>juristic </w:t>
      </w:r>
      <w:r>
        <w:rPr>
          <w:sz w:val="21"/>
        </w:rPr>
        <w:t>persons‖ was coined to subserve to the needs of the society…</w:t>
      </w:r>
      <w:r>
        <w:rPr>
          <w:b/>
          <w:sz w:val="21"/>
        </w:rPr>
        <w:t>Different religions of the world have different nuclei and different institutionalized places for adoration, with varying conceptual beliefs and faith but all with the same end</w:t>
      </w:r>
      <w:r>
        <w:rPr>
          <w:sz w:val="21"/>
        </w:rPr>
        <w:t>.‖</w:t>
      </w:r>
    </w:p>
    <w:p>
      <w:pPr>
        <w:spacing w:before="0"/>
        <w:ind w:left="5798" w:right="0" w:firstLine="0"/>
        <w:jc w:val="left"/>
        <w:rPr>
          <w:sz w:val="21"/>
        </w:rPr>
      </w:pPr>
      <w:r>
        <w:rPr>
          <w:sz w:val="21"/>
        </w:rPr>
        <w:t>(Emphasis supplied)</w:t>
      </w:r>
    </w:p>
    <w:p>
      <w:pPr>
        <w:spacing w:after="0"/>
        <w:jc w:val="left"/>
        <w:rPr>
          <w:sz w:val="21"/>
        </w:rPr>
        <w:sectPr>
          <w:pgSz w:w="11910" w:h="16840"/>
          <w:pgMar w:header="721" w:footer="1014" w:top="1300" w:bottom="1200" w:left="940" w:right="1000"/>
        </w:sectPr>
      </w:pPr>
    </w:p>
    <w:p>
      <w:pPr>
        <w:pStyle w:val="BodyText"/>
        <w:spacing w:before="124"/>
        <w:ind w:left="500"/>
      </w:pPr>
      <w:r>
        <w:rPr/>
        <w:t>Justice Misra further noted:</w:t>
      </w:r>
    </w:p>
    <w:p>
      <w:pPr>
        <w:spacing w:line="276" w:lineRule="auto" w:before="239"/>
        <w:ind w:left="1940" w:right="2261" w:firstLine="0"/>
        <w:jc w:val="both"/>
        <w:rPr>
          <w:sz w:val="21"/>
        </w:rPr>
      </w:pPr>
      <w:r>
        <w:rPr>
          <w:w w:val="33"/>
          <w:sz w:val="21"/>
        </w:rPr>
        <w:t>―</w:t>
      </w:r>
      <w:r>
        <w:rPr>
          <w:w w:val="100"/>
          <w:sz w:val="21"/>
        </w:rPr>
        <w:t>29…it</w:t>
      </w:r>
      <w:r>
        <w:rPr>
          <w:sz w:val="21"/>
        </w:rPr>
        <w:t>  </w:t>
      </w:r>
      <w:r>
        <w:rPr>
          <w:w w:val="100"/>
          <w:sz w:val="21"/>
        </w:rPr>
        <w:t>is</w:t>
      </w:r>
      <w:r>
        <w:rPr>
          <w:sz w:val="21"/>
        </w:rPr>
        <w:t>  </w:t>
      </w:r>
      <w:r>
        <w:rPr>
          <w:w w:val="100"/>
          <w:sz w:val="21"/>
        </w:rPr>
        <w:t>not</w:t>
      </w:r>
      <w:r>
        <w:rPr>
          <w:sz w:val="21"/>
        </w:rPr>
        <w:t>  </w:t>
      </w:r>
      <w:r>
        <w:rPr>
          <w:w w:val="100"/>
          <w:sz w:val="21"/>
        </w:rPr>
        <w:t>necessary</w:t>
      </w:r>
      <w:r>
        <w:rPr>
          <w:sz w:val="21"/>
        </w:rPr>
        <w:t>  </w:t>
      </w:r>
      <w:r>
        <w:rPr>
          <w:w w:val="100"/>
          <w:sz w:val="21"/>
        </w:rPr>
        <w:t>for</w:t>
      </w:r>
      <w:r>
        <w:rPr>
          <w:sz w:val="21"/>
        </w:rPr>
        <w:t>  </w:t>
      </w:r>
      <w:r>
        <w:rPr>
          <w:w w:val="33"/>
          <w:sz w:val="21"/>
        </w:rPr>
        <w:t>―</w:t>
      </w:r>
      <w:r>
        <w:rPr>
          <w:w w:val="100"/>
          <w:sz w:val="21"/>
        </w:rPr>
        <w:t>Guru</w:t>
      </w:r>
      <w:r>
        <w:rPr>
          <w:sz w:val="21"/>
        </w:rPr>
        <w:t>  </w:t>
      </w:r>
      <w:r>
        <w:rPr>
          <w:w w:val="100"/>
          <w:sz w:val="21"/>
        </w:rPr>
        <w:t>Granth</w:t>
      </w:r>
      <w:r>
        <w:rPr>
          <w:sz w:val="21"/>
        </w:rPr>
        <w:t>   </w:t>
      </w:r>
      <w:r>
        <w:rPr>
          <w:w w:val="100"/>
          <w:sz w:val="21"/>
        </w:rPr>
        <w:t>Sahi</w:t>
      </w:r>
      <w:r>
        <w:rPr>
          <w:w w:val="92"/>
          <w:sz w:val="21"/>
        </w:rPr>
        <w:t>b‖</w:t>
      </w:r>
      <w:r>
        <w:rPr>
          <w:sz w:val="21"/>
        </w:rPr>
        <w:t>  </w:t>
      </w:r>
      <w:r>
        <w:rPr>
          <w:w w:val="100"/>
          <w:sz w:val="21"/>
        </w:rPr>
        <w:t>to</w:t>
      </w:r>
      <w:r>
        <w:rPr>
          <w:sz w:val="21"/>
        </w:rPr>
        <w:t>  </w:t>
      </w:r>
      <w:r>
        <w:rPr>
          <w:w w:val="100"/>
          <w:sz w:val="21"/>
        </w:rPr>
        <w:t>be </w:t>
      </w:r>
      <w:r>
        <w:rPr>
          <w:sz w:val="21"/>
        </w:rPr>
        <w:t>declared as a juristic person that it should be equated with an idol. When belief and faith of two different religions are different, there is no question of equating one with the other. </w:t>
      </w:r>
      <w:r>
        <w:rPr>
          <w:w w:val="100"/>
          <w:sz w:val="21"/>
        </w:rPr>
        <w:t>If</w:t>
      </w:r>
      <w:r>
        <w:rPr>
          <w:sz w:val="21"/>
        </w:rPr>
        <w:t>  </w:t>
      </w:r>
      <w:r>
        <w:rPr>
          <w:w w:val="33"/>
          <w:sz w:val="21"/>
        </w:rPr>
        <w:t>―</w:t>
      </w:r>
      <w:r>
        <w:rPr>
          <w:w w:val="100"/>
          <w:sz w:val="21"/>
        </w:rPr>
        <w:t>Guru</w:t>
      </w:r>
      <w:r>
        <w:rPr>
          <w:sz w:val="21"/>
        </w:rPr>
        <w:t>  </w:t>
      </w:r>
      <w:r>
        <w:rPr>
          <w:w w:val="100"/>
          <w:sz w:val="21"/>
        </w:rPr>
        <w:t>Granth</w:t>
      </w:r>
      <w:r>
        <w:rPr>
          <w:sz w:val="21"/>
        </w:rPr>
        <w:t>  </w:t>
      </w:r>
      <w:r>
        <w:rPr>
          <w:w w:val="100"/>
          <w:sz w:val="21"/>
        </w:rPr>
        <w:t>Sahi</w:t>
      </w:r>
      <w:r>
        <w:rPr>
          <w:w w:val="92"/>
          <w:sz w:val="21"/>
        </w:rPr>
        <w:t>b‖</w:t>
      </w:r>
      <w:r>
        <w:rPr>
          <w:sz w:val="21"/>
        </w:rPr>
        <w:t>  </w:t>
      </w:r>
      <w:r>
        <w:rPr>
          <w:w w:val="100"/>
          <w:sz w:val="21"/>
        </w:rPr>
        <w:t>by</w:t>
      </w:r>
      <w:r>
        <w:rPr>
          <w:sz w:val="21"/>
        </w:rPr>
        <w:t>  </w:t>
      </w:r>
      <w:r>
        <w:rPr>
          <w:w w:val="100"/>
          <w:sz w:val="21"/>
        </w:rPr>
        <w:t>itself</w:t>
      </w:r>
      <w:r>
        <w:rPr>
          <w:sz w:val="21"/>
        </w:rPr>
        <w:t>  </w:t>
      </w:r>
      <w:r>
        <w:rPr>
          <w:w w:val="100"/>
          <w:sz w:val="21"/>
        </w:rPr>
        <w:t>could</w:t>
      </w:r>
      <w:r>
        <w:rPr>
          <w:sz w:val="21"/>
        </w:rPr>
        <w:t>  </w:t>
      </w:r>
      <w:r>
        <w:rPr>
          <w:w w:val="100"/>
          <w:sz w:val="21"/>
        </w:rPr>
        <w:t>stand</w:t>
      </w:r>
      <w:r>
        <w:rPr>
          <w:sz w:val="21"/>
        </w:rPr>
        <w:t>  </w:t>
      </w:r>
      <w:r>
        <w:rPr>
          <w:w w:val="100"/>
          <w:sz w:val="21"/>
        </w:rPr>
        <w:t>the</w:t>
      </w:r>
      <w:r>
        <w:rPr>
          <w:sz w:val="21"/>
        </w:rPr>
        <w:t>  </w:t>
      </w:r>
      <w:r>
        <w:rPr>
          <w:w w:val="100"/>
          <w:sz w:val="21"/>
        </w:rPr>
        <w:t>test</w:t>
      </w:r>
      <w:r>
        <w:rPr>
          <w:sz w:val="21"/>
        </w:rPr>
        <w:t>  </w:t>
      </w:r>
      <w:r>
        <w:rPr>
          <w:w w:val="100"/>
          <w:sz w:val="21"/>
        </w:rPr>
        <w:t>o</w:t>
      </w:r>
      <w:r>
        <w:rPr>
          <w:w w:val="100"/>
          <w:sz w:val="21"/>
        </w:rPr>
        <w:t>f</w:t>
      </w:r>
      <w:r>
        <w:rPr>
          <w:sz w:val="21"/>
        </w:rPr>
        <w:t>  </w:t>
      </w:r>
      <w:r>
        <w:rPr>
          <w:w w:val="100"/>
          <w:sz w:val="21"/>
        </w:rPr>
        <w:t>i</w:t>
      </w:r>
      <w:r>
        <w:rPr>
          <w:w w:val="100"/>
          <w:sz w:val="21"/>
        </w:rPr>
        <w:t>t</w:t>
      </w:r>
      <w:r>
        <w:rPr>
          <w:w w:val="100"/>
          <w:sz w:val="21"/>
        </w:rPr>
        <w:t>s </w:t>
      </w:r>
      <w:r>
        <w:rPr>
          <w:sz w:val="21"/>
        </w:rPr>
        <w:t>being declared as such, it can be declared to be so.‖</w:t>
      </w:r>
    </w:p>
    <w:p>
      <w:pPr>
        <w:pStyle w:val="BodyText"/>
        <w:spacing w:before="2"/>
        <w:rPr>
          <w:sz w:val="24"/>
        </w:rPr>
      </w:pPr>
    </w:p>
    <w:p>
      <w:pPr>
        <w:spacing w:line="276" w:lineRule="auto" w:before="0"/>
        <w:ind w:left="1940" w:right="2264" w:firstLine="0"/>
        <w:jc w:val="both"/>
        <w:rPr>
          <w:sz w:val="21"/>
        </w:rPr>
      </w:pPr>
      <w:r>
        <w:rPr>
          <w:w w:val="33"/>
          <w:sz w:val="21"/>
        </w:rPr>
        <w:t>―</w:t>
      </w:r>
      <w:r>
        <w:rPr>
          <w:w w:val="100"/>
          <w:sz w:val="21"/>
        </w:rPr>
        <w:t>31.</w:t>
      </w:r>
      <w:r>
        <w:rPr>
          <w:sz w:val="21"/>
        </w:rPr>
        <w:t>  </w:t>
      </w:r>
      <w:r>
        <w:rPr>
          <w:w w:val="100"/>
          <w:sz w:val="21"/>
        </w:rPr>
        <w:t>Now</w:t>
      </w:r>
      <w:r>
        <w:rPr>
          <w:sz w:val="21"/>
        </w:rPr>
        <w:t>  </w:t>
      </w:r>
      <w:r>
        <w:rPr>
          <w:w w:val="100"/>
          <w:sz w:val="21"/>
        </w:rPr>
        <w:t>returning</w:t>
      </w:r>
      <w:r>
        <w:rPr>
          <w:sz w:val="21"/>
        </w:rPr>
        <w:t>  </w:t>
      </w:r>
      <w:r>
        <w:rPr>
          <w:w w:val="100"/>
          <w:sz w:val="21"/>
        </w:rPr>
        <w:t>to</w:t>
      </w:r>
      <w:r>
        <w:rPr>
          <w:sz w:val="21"/>
        </w:rPr>
        <w:t>  </w:t>
      </w:r>
      <w:r>
        <w:rPr>
          <w:w w:val="100"/>
          <w:sz w:val="21"/>
        </w:rPr>
        <w:t>the</w:t>
      </w:r>
      <w:r>
        <w:rPr>
          <w:sz w:val="21"/>
        </w:rPr>
        <w:t>  </w:t>
      </w:r>
      <w:r>
        <w:rPr>
          <w:w w:val="100"/>
          <w:sz w:val="21"/>
        </w:rPr>
        <w:t>question,</w:t>
      </w:r>
      <w:r>
        <w:rPr>
          <w:sz w:val="21"/>
        </w:rPr>
        <w:t>  </w:t>
      </w:r>
      <w:r>
        <w:rPr>
          <w:w w:val="100"/>
          <w:sz w:val="21"/>
        </w:rPr>
        <w:t>whether</w:t>
      </w:r>
      <w:r>
        <w:rPr>
          <w:sz w:val="21"/>
        </w:rPr>
        <w:t>  </w:t>
      </w:r>
      <w:r>
        <w:rPr>
          <w:w w:val="100"/>
          <w:sz w:val="21"/>
        </w:rPr>
        <w:t>Guru</w:t>
      </w:r>
      <w:r>
        <w:rPr>
          <w:sz w:val="21"/>
        </w:rPr>
        <w:t>  </w:t>
      </w:r>
      <w:r>
        <w:rPr>
          <w:w w:val="100"/>
          <w:sz w:val="21"/>
        </w:rPr>
        <w:t>Granth Sahib</w:t>
      </w:r>
      <w:r>
        <w:rPr>
          <w:sz w:val="21"/>
        </w:rPr>
        <w:t> </w:t>
      </w:r>
      <w:r>
        <w:rPr>
          <w:w w:val="100"/>
          <w:sz w:val="21"/>
        </w:rPr>
        <w:t>could</w:t>
      </w:r>
      <w:r>
        <w:rPr>
          <w:sz w:val="21"/>
        </w:rPr>
        <w:t> </w:t>
      </w:r>
      <w:r>
        <w:rPr>
          <w:w w:val="100"/>
          <w:sz w:val="21"/>
        </w:rPr>
        <w:t>be</w:t>
      </w:r>
      <w:r>
        <w:rPr>
          <w:sz w:val="21"/>
        </w:rPr>
        <w:t> </w:t>
      </w:r>
      <w:r>
        <w:rPr>
          <w:w w:val="100"/>
          <w:sz w:val="21"/>
        </w:rPr>
        <w:t>a</w:t>
      </w:r>
      <w:r>
        <w:rPr>
          <w:sz w:val="21"/>
        </w:rPr>
        <w:t> </w:t>
      </w:r>
      <w:r>
        <w:rPr>
          <w:w w:val="40"/>
          <w:sz w:val="21"/>
        </w:rPr>
        <w:t>‗</w:t>
      </w:r>
      <w:r>
        <w:rPr>
          <w:w w:val="100"/>
          <w:sz w:val="21"/>
        </w:rPr>
        <w:t>juristic</w:t>
      </w:r>
      <w:r>
        <w:rPr>
          <w:sz w:val="21"/>
        </w:rPr>
        <w:t> </w:t>
      </w:r>
      <w:r>
        <w:rPr>
          <w:w w:val="100"/>
          <w:sz w:val="21"/>
        </w:rPr>
        <w:t>person‘</w:t>
      </w:r>
      <w:r>
        <w:rPr>
          <w:sz w:val="21"/>
        </w:rPr>
        <w:t> </w:t>
      </w:r>
      <w:r>
        <w:rPr>
          <w:w w:val="100"/>
          <w:sz w:val="21"/>
        </w:rPr>
        <w:t>or</w:t>
      </w:r>
      <w:r>
        <w:rPr>
          <w:sz w:val="21"/>
        </w:rPr>
        <w:t> </w:t>
      </w:r>
      <w:r>
        <w:rPr>
          <w:w w:val="100"/>
          <w:sz w:val="21"/>
        </w:rPr>
        <w:t>not,</w:t>
      </w:r>
      <w:r>
        <w:rPr>
          <w:sz w:val="21"/>
        </w:rPr>
        <w:t> </w:t>
      </w:r>
      <w:r>
        <w:rPr>
          <w:w w:val="100"/>
          <w:sz w:val="21"/>
        </w:rPr>
        <w:t>or</w:t>
      </w:r>
      <w:r>
        <w:rPr>
          <w:sz w:val="21"/>
        </w:rPr>
        <w:t> </w:t>
      </w:r>
      <w:r>
        <w:rPr>
          <w:w w:val="100"/>
          <w:sz w:val="21"/>
        </w:rPr>
        <w:t>whether</w:t>
      </w:r>
      <w:r>
        <w:rPr>
          <w:sz w:val="21"/>
        </w:rPr>
        <w:t> </w:t>
      </w:r>
      <w:r>
        <w:rPr>
          <w:w w:val="100"/>
          <w:sz w:val="21"/>
        </w:rPr>
        <w:t>it</w:t>
      </w:r>
      <w:r>
        <w:rPr>
          <w:sz w:val="21"/>
        </w:rPr>
        <w:t> </w:t>
      </w:r>
      <w:r>
        <w:rPr>
          <w:w w:val="100"/>
          <w:sz w:val="21"/>
        </w:rPr>
        <w:t>could</w:t>
      </w:r>
      <w:r>
        <w:rPr>
          <w:sz w:val="21"/>
        </w:rPr>
        <w:t> </w:t>
      </w:r>
      <w:r>
        <w:rPr>
          <w:w w:val="100"/>
          <w:sz w:val="21"/>
        </w:rPr>
        <w:t>be </w:t>
      </w:r>
      <w:r>
        <w:rPr>
          <w:sz w:val="21"/>
        </w:rPr>
        <w:t>placed on the same pedestal, we may fist have a glance as the Sikh religion…In the Sikh religion, the Guru is revered as the highest reverential person…</w:t>
      </w:r>
    </w:p>
    <w:p>
      <w:pPr>
        <w:pStyle w:val="BodyText"/>
        <w:spacing w:before="4"/>
        <w:rPr>
          <w:sz w:val="24"/>
        </w:rPr>
      </w:pPr>
    </w:p>
    <w:p>
      <w:pPr>
        <w:pStyle w:val="ListParagraph"/>
        <w:numPr>
          <w:ilvl w:val="0"/>
          <w:numId w:val="63"/>
        </w:numPr>
        <w:tabs>
          <w:tab w:pos="2301" w:val="left" w:leader="none"/>
        </w:tabs>
        <w:spacing w:line="276" w:lineRule="auto" w:before="0" w:after="0"/>
        <w:ind w:left="1940" w:right="2259" w:firstLine="0"/>
        <w:jc w:val="both"/>
        <w:rPr>
          <w:sz w:val="21"/>
        </w:rPr>
      </w:pPr>
      <w:r>
        <w:rPr>
          <w:sz w:val="21"/>
        </w:rPr>
        <w:t>The last living Guru, Guru Gobind Singh, expressed in no uncertain terms that henceforth there would not be any living Guru. The Guru Granth Sahib would be the vibrating Guru. </w:t>
      </w:r>
      <w:r>
        <w:rPr>
          <w:w w:val="100"/>
          <w:sz w:val="21"/>
        </w:rPr>
        <w:t>He</w:t>
      </w:r>
      <w:r>
        <w:rPr>
          <w:sz w:val="21"/>
        </w:rPr>
        <w:t> </w:t>
      </w:r>
      <w:r>
        <w:rPr>
          <w:spacing w:val="3"/>
          <w:sz w:val="21"/>
        </w:rPr>
        <w:t> </w:t>
      </w:r>
      <w:r>
        <w:rPr>
          <w:spacing w:val="-1"/>
          <w:w w:val="100"/>
          <w:sz w:val="21"/>
        </w:rPr>
        <w:t>d</w:t>
      </w:r>
      <w:r>
        <w:rPr>
          <w:spacing w:val="-3"/>
          <w:w w:val="100"/>
          <w:sz w:val="21"/>
        </w:rPr>
        <w:t>e</w:t>
      </w:r>
      <w:r>
        <w:rPr>
          <w:w w:val="100"/>
          <w:sz w:val="21"/>
        </w:rPr>
        <w:t>cl</w:t>
      </w:r>
      <w:r>
        <w:rPr>
          <w:spacing w:val="-1"/>
          <w:w w:val="100"/>
          <w:sz w:val="21"/>
        </w:rPr>
        <w:t>a</w:t>
      </w:r>
      <w:r>
        <w:rPr>
          <w:spacing w:val="-3"/>
          <w:w w:val="100"/>
          <w:sz w:val="21"/>
        </w:rPr>
        <w:t>r</w:t>
      </w:r>
      <w:r>
        <w:rPr>
          <w:spacing w:val="-1"/>
          <w:w w:val="100"/>
          <w:sz w:val="21"/>
        </w:rPr>
        <w:t>e</w:t>
      </w:r>
      <w:r>
        <w:rPr>
          <w:w w:val="100"/>
          <w:sz w:val="21"/>
        </w:rPr>
        <w:t>d</w:t>
      </w:r>
      <w:r>
        <w:rPr>
          <w:sz w:val="21"/>
        </w:rPr>
        <w:t> </w:t>
      </w:r>
      <w:r>
        <w:rPr>
          <w:spacing w:val="5"/>
          <w:sz w:val="21"/>
        </w:rPr>
        <w:t> </w:t>
      </w:r>
      <w:r>
        <w:rPr>
          <w:spacing w:val="-2"/>
          <w:w w:val="100"/>
          <w:sz w:val="21"/>
        </w:rPr>
        <w:t>t</w:t>
      </w:r>
      <w:r>
        <w:rPr>
          <w:spacing w:val="-3"/>
          <w:w w:val="100"/>
          <w:sz w:val="21"/>
        </w:rPr>
        <w:t>h</w:t>
      </w:r>
      <w:r>
        <w:rPr>
          <w:spacing w:val="-1"/>
          <w:w w:val="100"/>
          <w:sz w:val="21"/>
        </w:rPr>
        <w:t>a</w:t>
      </w:r>
      <w:r>
        <w:rPr>
          <w:w w:val="100"/>
          <w:sz w:val="21"/>
        </w:rPr>
        <w:t>t</w:t>
      </w:r>
      <w:r>
        <w:rPr>
          <w:sz w:val="21"/>
        </w:rPr>
        <w:t> </w:t>
      </w:r>
      <w:r>
        <w:rPr>
          <w:spacing w:val="4"/>
          <w:sz w:val="21"/>
        </w:rPr>
        <w:t> </w:t>
      </w:r>
      <w:r>
        <w:rPr>
          <w:spacing w:val="-1"/>
          <w:w w:val="33"/>
          <w:sz w:val="21"/>
        </w:rPr>
        <w:t>―</w:t>
      </w:r>
      <w:r>
        <w:rPr>
          <w:spacing w:val="-3"/>
          <w:w w:val="100"/>
          <w:sz w:val="21"/>
        </w:rPr>
        <w:t>h</w:t>
      </w:r>
      <w:r>
        <w:rPr>
          <w:spacing w:val="-1"/>
          <w:w w:val="100"/>
          <w:sz w:val="21"/>
        </w:rPr>
        <w:t>enc</w:t>
      </w:r>
      <w:r>
        <w:rPr>
          <w:spacing w:val="-2"/>
          <w:w w:val="100"/>
          <w:sz w:val="21"/>
        </w:rPr>
        <w:t>e</w:t>
      </w:r>
      <w:r>
        <w:rPr>
          <w:spacing w:val="1"/>
          <w:w w:val="100"/>
          <w:sz w:val="21"/>
        </w:rPr>
        <w:t>f</w:t>
      </w:r>
      <w:r>
        <w:rPr>
          <w:spacing w:val="-1"/>
          <w:w w:val="100"/>
          <w:sz w:val="21"/>
        </w:rPr>
        <w:t>or</w:t>
      </w:r>
      <w:r>
        <w:rPr>
          <w:spacing w:val="-2"/>
          <w:w w:val="100"/>
          <w:sz w:val="21"/>
        </w:rPr>
        <w:t>t</w:t>
      </w:r>
      <w:r>
        <w:rPr>
          <w:w w:val="100"/>
          <w:sz w:val="21"/>
        </w:rPr>
        <w:t>h</w:t>
      </w:r>
      <w:r>
        <w:rPr>
          <w:sz w:val="21"/>
        </w:rPr>
        <w:t> </w:t>
      </w:r>
      <w:r>
        <w:rPr>
          <w:spacing w:val="3"/>
          <w:sz w:val="21"/>
        </w:rPr>
        <w:t> </w:t>
      </w:r>
      <w:r>
        <w:rPr>
          <w:w w:val="100"/>
          <w:sz w:val="21"/>
        </w:rPr>
        <w:t>it</w:t>
      </w:r>
      <w:r>
        <w:rPr>
          <w:sz w:val="21"/>
        </w:rPr>
        <w:t> </w:t>
      </w:r>
      <w:r>
        <w:rPr>
          <w:spacing w:val="4"/>
          <w:sz w:val="21"/>
        </w:rPr>
        <w:t> </w:t>
      </w:r>
      <w:r>
        <w:rPr>
          <w:spacing w:val="-2"/>
          <w:w w:val="100"/>
          <w:sz w:val="21"/>
        </w:rPr>
        <w:t>w</w:t>
      </w:r>
      <w:r>
        <w:rPr>
          <w:spacing w:val="-3"/>
          <w:w w:val="100"/>
          <w:sz w:val="21"/>
        </w:rPr>
        <w:t>o</w:t>
      </w:r>
      <w:r>
        <w:rPr>
          <w:spacing w:val="-1"/>
          <w:w w:val="100"/>
          <w:sz w:val="21"/>
        </w:rPr>
        <w:t>u</w:t>
      </w:r>
      <w:r>
        <w:rPr>
          <w:spacing w:val="-2"/>
          <w:w w:val="100"/>
          <w:sz w:val="21"/>
        </w:rPr>
        <w:t>l</w:t>
      </w:r>
      <w:r>
        <w:rPr>
          <w:w w:val="100"/>
          <w:sz w:val="21"/>
        </w:rPr>
        <w:t>d</w:t>
      </w:r>
      <w:r>
        <w:rPr>
          <w:sz w:val="21"/>
        </w:rPr>
        <w:t> </w:t>
      </w:r>
      <w:r>
        <w:rPr>
          <w:spacing w:val="5"/>
          <w:sz w:val="21"/>
        </w:rPr>
        <w:t> </w:t>
      </w:r>
      <w:r>
        <w:rPr>
          <w:spacing w:val="-3"/>
          <w:w w:val="100"/>
          <w:sz w:val="21"/>
        </w:rPr>
        <w:t>b</w:t>
      </w:r>
      <w:r>
        <w:rPr>
          <w:w w:val="100"/>
          <w:sz w:val="21"/>
        </w:rPr>
        <w:t>e</w:t>
      </w:r>
      <w:r>
        <w:rPr>
          <w:sz w:val="21"/>
        </w:rPr>
        <w:t> </w:t>
      </w:r>
      <w:r>
        <w:rPr>
          <w:spacing w:val="5"/>
          <w:sz w:val="21"/>
        </w:rPr>
        <w:t> </w:t>
      </w:r>
      <w:r>
        <w:rPr>
          <w:spacing w:val="-3"/>
          <w:w w:val="100"/>
          <w:sz w:val="21"/>
        </w:rPr>
        <w:t>y</w:t>
      </w:r>
      <w:r>
        <w:rPr>
          <w:spacing w:val="-1"/>
          <w:w w:val="100"/>
          <w:sz w:val="21"/>
        </w:rPr>
        <w:t>ou</w:t>
      </w:r>
      <w:r>
        <w:rPr>
          <w:w w:val="100"/>
          <w:sz w:val="21"/>
        </w:rPr>
        <w:t>r</w:t>
      </w:r>
      <w:r>
        <w:rPr>
          <w:sz w:val="21"/>
        </w:rPr>
        <w:t> </w:t>
      </w:r>
      <w:r>
        <w:rPr>
          <w:spacing w:val="2"/>
          <w:sz w:val="21"/>
        </w:rPr>
        <w:t> </w:t>
      </w:r>
      <w:r>
        <w:rPr>
          <w:spacing w:val="-2"/>
          <w:w w:val="100"/>
          <w:sz w:val="21"/>
        </w:rPr>
        <w:t>G</w:t>
      </w:r>
      <w:r>
        <w:rPr>
          <w:spacing w:val="-1"/>
          <w:w w:val="100"/>
          <w:sz w:val="21"/>
        </w:rPr>
        <w:t>ur</w:t>
      </w:r>
      <w:r>
        <w:rPr>
          <w:w w:val="100"/>
          <w:sz w:val="21"/>
        </w:rPr>
        <w:t>u</w:t>
      </w:r>
      <w:r>
        <w:rPr>
          <w:sz w:val="21"/>
        </w:rPr>
        <w:t> </w:t>
      </w:r>
      <w:r>
        <w:rPr>
          <w:spacing w:val="2"/>
          <w:sz w:val="21"/>
        </w:rPr>
        <w:t> </w:t>
      </w:r>
      <w:r>
        <w:rPr>
          <w:spacing w:val="1"/>
          <w:w w:val="100"/>
          <w:sz w:val="21"/>
        </w:rPr>
        <w:t>f</w:t>
      </w:r>
      <w:r>
        <w:rPr>
          <w:spacing w:val="-4"/>
          <w:w w:val="100"/>
          <w:sz w:val="21"/>
        </w:rPr>
        <w:t>r</w:t>
      </w:r>
      <w:r>
        <w:rPr>
          <w:spacing w:val="-3"/>
          <w:w w:val="100"/>
          <w:sz w:val="21"/>
        </w:rPr>
        <w:t>o</w:t>
      </w:r>
      <w:r>
        <w:rPr>
          <w:w w:val="100"/>
          <w:sz w:val="21"/>
        </w:rPr>
        <w:t>m </w:t>
      </w:r>
      <w:r>
        <w:rPr>
          <w:sz w:val="21"/>
        </w:rPr>
        <w:t>which you will get all your guidance and answer‖. </w:t>
      </w:r>
      <w:r>
        <w:rPr>
          <w:b/>
          <w:sz w:val="21"/>
        </w:rPr>
        <w:t>It is with this faith that it is worshipped like a living Guru. It is with this faith and conviction, when it is installed in any gurdwara it becomes a sacred place of worship</w:t>
      </w:r>
      <w:r>
        <w:rPr>
          <w:sz w:val="21"/>
        </w:rPr>
        <w:t>. Sacredness of the gurdwara is only because of placement of Guru Granth Sahib in it. This reverential recognition of Guru Granth Sahib also opens the hearts of its followers to pour their money and wealth for it. It is not that it needs it,  but when it is installed, it grows for its followers, who through their obeisance to it, sanctify themselves and also for running the langer which is an inherent part of the</w:t>
      </w:r>
      <w:r>
        <w:rPr>
          <w:spacing w:val="-11"/>
          <w:sz w:val="21"/>
        </w:rPr>
        <w:t> </w:t>
      </w:r>
      <w:r>
        <w:rPr>
          <w:sz w:val="21"/>
        </w:rPr>
        <w:t>gurdwara.</w:t>
      </w:r>
    </w:p>
    <w:p>
      <w:pPr>
        <w:pStyle w:val="BodyText"/>
        <w:spacing w:before="1"/>
        <w:rPr>
          <w:sz w:val="24"/>
        </w:rPr>
      </w:pPr>
    </w:p>
    <w:p>
      <w:pPr>
        <w:pStyle w:val="ListParagraph"/>
        <w:numPr>
          <w:ilvl w:val="0"/>
          <w:numId w:val="63"/>
        </w:numPr>
        <w:tabs>
          <w:tab w:pos="2300" w:val="left" w:leader="none"/>
        </w:tabs>
        <w:spacing w:line="276" w:lineRule="auto" w:before="0" w:after="0"/>
        <w:ind w:left="1940" w:right="2260" w:firstLine="0"/>
        <w:jc w:val="both"/>
        <w:rPr>
          <w:sz w:val="21"/>
        </w:rPr>
      </w:pPr>
      <w:r>
        <w:rPr>
          <w:sz w:val="21"/>
        </w:rPr>
        <w:t>… </w:t>
      </w:r>
      <w:r>
        <w:rPr>
          <w:b/>
          <w:sz w:val="21"/>
        </w:rPr>
        <w:t>It cannot be equated with an ―idol‖ as idol</w:t>
      </w:r>
      <w:r>
        <w:rPr>
          <w:b/>
          <w:spacing w:val="-37"/>
          <w:sz w:val="21"/>
        </w:rPr>
        <w:t> </w:t>
      </w:r>
      <w:r>
        <w:rPr>
          <w:b/>
          <w:sz w:val="21"/>
        </w:rPr>
        <w:t>worship is contrary to Sikhism. </w:t>
      </w:r>
      <w:r>
        <w:rPr>
          <w:b/>
          <w:spacing w:val="-4"/>
          <w:sz w:val="21"/>
        </w:rPr>
        <w:t>As </w:t>
      </w:r>
      <w:r>
        <w:rPr>
          <w:b/>
          <w:sz w:val="21"/>
        </w:rPr>
        <w:t>a concept or a visionary for obeisance, the two religions are different. </w:t>
      </w:r>
      <w:r>
        <w:rPr>
          <w:sz w:val="21"/>
        </w:rPr>
        <w:t>Yes, for its legal recognition as a juristic person, the followers of both the religions give them respectively the same reverential</w:t>
      </w:r>
      <w:r>
        <w:rPr>
          <w:spacing w:val="-29"/>
          <w:sz w:val="21"/>
        </w:rPr>
        <w:t> </w:t>
      </w:r>
      <w:r>
        <w:rPr>
          <w:sz w:val="21"/>
        </w:rPr>
        <w:t>value….</w:t>
      </w:r>
    </w:p>
    <w:p>
      <w:pPr>
        <w:pStyle w:val="BodyText"/>
        <w:spacing w:before="2"/>
        <w:rPr>
          <w:sz w:val="24"/>
        </w:rPr>
      </w:pPr>
    </w:p>
    <w:p>
      <w:pPr>
        <w:spacing w:line="276" w:lineRule="auto" w:before="0"/>
        <w:ind w:left="1940" w:right="2263" w:firstLine="0"/>
        <w:jc w:val="both"/>
        <w:rPr>
          <w:sz w:val="21"/>
        </w:rPr>
      </w:pPr>
      <w:r>
        <w:rPr>
          <w:sz w:val="21"/>
        </w:rPr>
        <w:t>42…for all the reason, we do not find any strength in the reasoning of the High Court in recording a finding that</w:t>
      </w:r>
      <w:r>
        <w:rPr>
          <w:spacing w:val="53"/>
          <w:sz w:val="21"/>
        </w:rPr>
        <w:t> </w:t>
      </w:r>
      <w:r>
        <w:rPr>
          <w:sz w:val="21"/>
        </w:rPr>
        <w:t>the</w:t>
      </w:r>
    </w:p>
    <w:p>
      <w:pPr>
        <w:spacing w:line="273" w:lineRule="auto" w:before="2"/>
        <w:ind w:left="1940" w:right="2266" w:firstLine="0"/>
        <w:jc w:val="both"/>
        <w:rPr>
          <w:sz w:val="21"/>
        </w:rPr>
      </w:pPr>
      <w:r>
        <w:rPr>
          <w:w w:val="33"/>
          <w:sz w:val="21"/>
        </w:rPr>
        <w:t>―</w:t>
      </w:r>
      <w:r>
        <w:rPr>
          <w:w w:val="100"/>
          <w:sz w:val="21"/>
        </w:rPr>
        <w:t>Guru</w:t>
      </w:r>
      <w:r>
        <w:rPr>
          <w:sz w:val="21"/>
        </w:rPr>
        <w:t> </w:t>
      </w:r>
      <w:r>
        <w:rPr>
          <w:w w:val="100"/>
          <w:sz w:val="21"/>
        </w:rPr>
        <w:t>Granth</w:t>
      </w:r>
      <w:r>
        <w:rPr>
          <w:sz w:val="21"/>
        </w:rPr>
        <w:t> </w:t>
      </w:r>
      <w:r>
        <w:rPr>
          <w:w w:val="100"/>
          <w:sz w:val="21"/>
        </w:rPr>
        <w:t>Sahi</w:t>
      </w:r>
      <w:r>
        <w:rPr>
          <w:w w:val="92"/>
          <w:sz w:val="21"/>
        </w:rPr>
        <w:t>b‖</w:t>
      </w:r>
      <w:r>
        <w:rPr>
          <w:sz w:val="21"/>
        </w:rPr>
        <w:t> </w:t>
      </w:r>
      <w:r>
        <w:rPr>
          <w:w w:val="100"/>
          <w:sz w:val="21"/>
        </w:rPr>
        <w:t>is</w:t>
      </w:r>
      <w:r>
        <w:rPr>
          <w:sz w:val="21"/>
        </w:rPr>
        <w:t> </w:t>
      </w:r>
      <w:r>
        <w:rPr>
          <w:w w:val="100"/>
          <w:sz w:val="21"/>
        </w:rPr>
        <w:t>not</w:t>
      </w:r>
      <w:r>
        <w:rPr>
          <w:sz w:val="21"/>
        </w:rPr>
        <w:t> </w:t>
      </w:r>
      <w:r>
        <w:rPr>
          <w:w w:val="100"/>
          <w:sz w:val="21"/>
        </w:rPr>
        <w:t>a</w:t>
      </w:r>
      <w:r>
        <w:rPr>
          <w:sz w:val="21"/>
        </w:rPr>
        <w:t> </w:t>
      </w:r>
      <w:r>
        <w:rPr>
          <w:w w:val="33"/>
          <w:sz w:val="21"/>
        </w:rPr>
        <w:t>―</w:t>
      </w:r>
      <w:r>
        <w:rPr>
          <w:w w:val="100"/>
          <w:sz w:val="21"/>
        </w:rPr>
        <w:t>juristic</w:t>
      </w:r>
      <w:r>
        <w:rPr>
          <w:sz w:val="21"/>
        </w:rPr>
        <w:t> </w:t>
      </w:r>
      <w:r>
        <w:rPr>
          <w:w w:val="100"/>
          <w:sz w:val="21"/>
        </w:rPr>
        <w:t>perso</w:t>
      </w:r>
      <w:r>
        <w:rPr>
          <w:w w:val="94"/>
          <w:sz w:val="21"/>
        </w:rPr>
        <w:t>n‖.</w:t>
      </w:r>
      <w:r>
        <w:rPr>
          <w:sz w:val="21"/>
        </w:rPr>
        <w:t> </w:t>
      </w:r>
      <w:r>
        <w:rPr>
          <w:w w:val="100"/>
          <w:sz w:val="21"/>
        </w:rPr>
        <w:t>The</w:t>
      </w:r>
      <w:r>
        <w:rPr>
          <w:sz w:val="21"/>
        </w:rPr>
        <w:t> </w:t>
      </w:r>
      <w:r>
        <w:rPr>
          <w:w w:val="100"/>
          <w:sz w:val="21"/>
        </w:rPr>
        <w:t>said</w:t>
      </w:r>
      <w:r>
        <w:rPr>
          <w:sz w:val="21"/>
        </w:rPr>
        <w:t> </w:t>
      </w:r>
      <w:r>
        <w:rPr>
          <w:w w:val="100"/>
          <w:sz w:val="21"/>
        </w:rPr>
        <w:t>finding </w:t>
      </w:r>
      <w:r>
        <w:rPr>
          <w:sz w:val="21"/>
        </w:rPr>
        <w:t>is not sustainable both on fact and law.‖</w:t>
      </w:r>
    </w:p>
    <w:p>
      <w:pPr>
        <w:pStyle w:val="BodyText"/>
        <w:rPr>
          <w:sz w:val="24"/>
        </w:rPr>
      </w:pPr>
    </w:p>
    <w:p>
      <w:pPr>
        <w:pStyle w:val="BodyText"/>
        <w:spacing w:before="7"/>
        <w:rPr>
          <w:sz w:val="24"/>
        </w:rPr>
      </w:pPr>
    </w:p>
    <w:p>
      <w:pPr>
        <w:pStyle w:val="BodyText"/>
        <w:spacing w:line="480" w:lineRule="auto"/>
        <w:ind w:left="500" w:right="512"/>
      </w:pPr>
      <w:r>
        <w:rPr/>
        <w:t>The view of the learned judge was that the creation of a juristic person was to ensure the legal protection of the religious beliefs of the faith:</w:t>
      </w:r>
    </w:p>
    <w:p>
      <w:pPr>
        <w:spacing w:line="276" w:lineRule="auto" w:before="1"/>
        <w:ind w:left="1940" w:right="2263" w:firstLine="0"/>
        <w:jc w:val="both"/>
        <w:rPr>
          <w:b/>
          <w:sz w:val="21"/>
        </w:rPr>
      </w:pPr>
      <w:r>
        <w:rPr>
          <w:spacing w:val="-1"/>
          <w:w w:val="33"/>
          <w:sz w:val="21"/>
        </w:rPr>
        <w:t>―</w:t>
      </w:r>
      <w:r>
        <w:rPr>
          <w:spacing w:val="-1"/>
          <w:w w:val="100"/>
          <w:sz w:val="21"/>
        </w:rPr>
        <w:t>28</w:t>
      </w:r>
      <w:r>
        <w:rPr>
          <w:w w:val="100"/>
          <w:sz w:val="21"/>
        </w:rPr>
        <w:t>.</w:t>
      </w:r>
      <w:r>
        <w:rPr>
          <w:sz w:val="21"/>
        </w:rPr>
        <w:t> </w:t>
      </w:r>
      <w:r>
        <w:rPr>
          <w:spacing w:val="-20"/>
          <w:sz w:val="21"/>
        </w:rPr>
        <w:t> </w:t>
      </w:r>
      <w:r>
        <w:rPr>
          <w:w w:val="100"/>
          <w:sz w:val="21"/>
        </w:rPr>
        <w:t>Fai</w:t>
      </w:r>
      <w:r>
        <w:rPr>
          <w:spacing w:val="-2"/>
          <w:w w:val="100"/>
          <w:sz w:val="21"/>
        </w:rPr>
        <w:t>t</w:t>
      </w:r>
      <w:r>
        <w:rPr>
          <w:w w:val="100"/>
          <w:sz w:val="21"/>
        </w:rPr>
        <w:t>h</w:t>
      </w:r>
      <w:r>
        <w:rPr>
          <w:sz w:val="21"/>
        </w:rPr>
        <w:t> </w:t>
      </w:r>
      <w:r>
        <w:rPr>
          <w:spacing w:val="-19"/>
          <w:sz w:val="21"/>
        </w:rPr>
        <w:t> </w:t>
      </w:r>
      <w:r>
        <w:rPr>
          <w:spacing w:val="-3"/>
          <w:w w:val="100"/>
          <w:sz w:val="21"/>
        </w:rPr>
        <w:t>a</w:t>
      </w:r>
      <w:r>
        <w:rPr>
          <w:spacing w:val="-1"/>
          <w:w w:val="100"/>
          <w:sz w:val="21"/>
        </w:rPr>
        <w:t>n</w:t>
      </w:r>
      <w:r>
        <w:rPr>
          <w:w w:val="100"/>
          <w:sz w:val="21"/>
        </w:rPr>
        <w:t>d</w:t>
      </w:r>
      <w:r>
        <w:rPr>
          <w:sz w:val="21"/>
        </w:rPr>
        <w:t> </w:t>
      </w:r>
      <w:r>
        <w:rPr>
          <w:spacing w:val="-19"/>
          <w:sz w:val="21"/>
        </w:rPr>
        <w:t> </w:t>
      </w:r>
      <w:r>
        <w:rPr>
          <w:spacing w:val="-3"/>
          <w:w w:val="100"/>
          <w:sz w:val="21"/>
        </w:rPr>
        <w:t>b</w:t>
      </w:r>
      <w:r>
        <w:rPr>
          <w:spacing w:val="-1"/>
          <w:w w:val="100"/>
          <w:sz w:val="21"/>
        </w:rPr>
        <w:t>e</w:t>
      </w:r>
      <w:r>
        <w:rPr>
          <w:spacing w:val="-2"/>
          <w:w w:val="100"/>
          <w:sz w:val="21"/>
        </w:rPr>
        <w:t>l</w:t>
      </w:r>
      <w:r>
        <w:rPr>
          <w:w w:val="100"/>
          <w:sz w:val="21"/>
        </w:rPr>
        <w:t>i</w:t>
      </w:r>
      <w:r>
        <w:rPr>
          <w:spacing w:val="-3"/>
          <w:w w:val="100"/>
          <w:sz w:val="21"/>
        </w:rPr>
        <w:t>e</w:t>
      </w:r>
      <w:r>
        <w:rPr>
          <w:w w:val="100"/>
          <w:sz w:val="21"/>
        </w:rPr>
        <w:t>f</w:t>
      </w:r>
      <w:r>
        <w:rPr>
          <w:sz w:val="21"/>
        </w:rPr>
        <w:t> </w:t>
      </w:r>
      <w:r>
        <w:rPr>
          <w:spacing w:val="-18"/>
          <w:sz w:val="21"/>
        </w:rPr>
        <w:t> </w:t>
      </w:r>
      <w:r>
        <w:rPr>
          <w:w w:val="100"/>
          <w:sz w:val="21"/>
        </w:rPr>
        <w:t>ca</w:t>
      </w:r>
      <w:r>
        <w:rPr>
          <w:spacing w:val="-3"/>
          <w:w w:val="100"/>
          <w:sz w:val="21"/>
        </w:rPr>
        <w:t>n</w:t>
      </w:r>
      <w:r>
        <w:rPr>
          <w:spacing w:val="-1"/>
          <w:w w:val="100"/>
          <w:sz w:val="21"/>
        </w:rPr>
        <w:t>no</w:t>
      </w:r>
      <w:r>
        <w:rPr>
          <w:w w:val="100"/>
          <w:sz w:val="21"/>
        </w:rPr>
        <w:t>t</w:t>
      </w:r>
      <w:r>
        <w:rPr>
          <w:sz w:val="21"/>
        </w:rPr>
        <w:t> </w:t>
      </w:r>
      <w:r>
        <w:rPr>
          <w:spacing w:val="-20"/>
          <w:sz w:val="21"/>
        </w:rPr>
        <w:t> </w:t>
      </w:r>
      <w:r>
        <w:rPr>
          <w:spacing w:val="-1"/>
          <w:w w:val="100"/>
          <w:sz w:val="21"/>
        </w:rPr>
        <w:t>b</w:t>
      </w:r>
      <w:r>
        <w:rPr>
          <w:w w:val="100"/>
          <w:sz w:val="21"/>
        </w:rPr>
        <w:t>e</w:t>
      </w:r>
      <w:r>
        <w:rPr>
          <w:sz w:val="21"/>
        </w:rPr>
        <w:t> </w:t>
      </w:r>
      <w:r>
        <w:rPr>
          <w:spacing w:val="-19"/>
          <w:sz w:val="21"/>
        </w:rPr>
        <w:t> </w:t>
      </w:r>
      <w:r>
        <w:rPr>
          <w:w w:val="100"/>
          <w:sz w:val="21"/>
        </w:rPr>
        <w:t>j</w:t>
      </w:r>
      <w:r>
        <w:rPr>
          <w:spacing w:val="-3"/>
          <w:w w:val="100"/>
          <w:sz w:val="21"/>
        </w:rPr>
        <w:t>u</w:t>
      </w:r>
      <w:r>
        <w:rPr>
          <w:spacing w:val="-1"/>
          <w:w w:val="100"/>
          <w:sz w:val="21"/>
        </w:rPr>
        <w:t>dg</w:t>
      </w:r>
      <w:r>
        <w:rPr>
          <w:spacing w:val="-2"/>
          <w:w w:val="100"/>
          <w:sz w:val="21"/>
        </w:rPr>
        <w:t>e</w:t>
      </w:r>
      <w:r>
        <w:rPr>
          <w:w w:val="100"/>
          <w:sz w:val="21"/>
        </w:rPr>
        <w:t>d</w:t>
      </w:r>
      <w:r>
        <w:rPr>
          <w:sz w:val="21"/>
        </w:rPr>
        <w:t> </w:t>
      </w:r>
      <w:r>
        <w:rPr>
          <w:spacing w:val="-19"/>
          <w:sz w:val="21"/>
        </w:rPr>
        <w:t> </w:t>
      </w:r>
      <w:r>
        <w:rPr>
          <w:spacing w:val="-2"/>
          <w:w w:val="100"/>
          <w:sz w:val="21"/>
        </w:rPr>
        <w:t>t</w:t>
      </w:r>
      <w:r>
        <w:rPr>
          <w:spacing w:val="-1"/>
          <w:w w:val="100"/>
          <w:sz w:val="21"/>
        </w:rPr>
        <w:t>hrou</w:t>
      </w:r>
      <w:r>
        <w:rPr>
          <w:spacing w:val="-3"/>
          <w:w w:val="100"/>
          <w:sz w:val="21"/>
        </w:rPr>
        <w:t>g</w:t>
      </w:r>
      <w:r>
        <w:rPr>
          <w:w w:val="100"/>
          <w:sz w:val="21"/>
        </w:rPr>
        <w:t>h</w:t>
      </w:r>
      <w:r>
        <w:rPr>
          <w:sz w:val="21"/>
        </w:rPr>
        <w:t> </w:t>
      </w:r>
      <w:r>
        <w:rPr>
          <w:spacing w:val="-19"/>
          <w:sz w:val="21"/>
        </w:rPr>
        <w:t> </w:t>
      </w:r>
      <w:r>
        <w:rPr>
          <w:spacing w:val="-3"/>
          <w:w w:val="100"/>
          <w:sz w:val="21"/>
        </w:rPr>
        <w:t>a</w:t>
      </w:r>
      <w:r>
        <w:rPr>
          <w:spacing w:val="-1"/>
          <w:w w:val="100"/>
          <w:sz w:val="21"/>
        </w:rPr>
        <w:t>n</w:t>
      </w:r>
      <w:r>
        <w:rPr>
          <w:w w:val="100"/>
          <w:sz w:val="21"/>
        </w:rPr>
        <w:t>y</w:t>
      </w:r>
      <w:r>
        <w:rPr>
          <w:sz w:val="21"/>
        </w:rPr>
        <w:t> </w:t>
      </w:r>
      <w:r>
        <w:rPr>
          <w:spacing w:val="-21"/>
          <w:sz w:val="21"/>
        </w:rPr>
        <w:t> </w:t>
      </w:r>
      <w:r>
        <w:rPr>
          <w:w w:val="100"/>
          <w:sz w:val="21"/>
        </w:rPr>
        <w:t>j</w:t>
      </w:r>
      <w:r>
        <w:rPr>
          <w:spacing w:val="-1"/>
          <w:w w:val="100"/>
          <w:sz w:val="21"/>
        </w:rPr>
        <w:t>ud</w:t>
      </w:r>
      <w:r>
        <w:rPr>
          <w:spacing w:val="1"/>
          <w:w w:val="100"/>
          <w:sz w:val="21"/>
        </w:rPr>
        <w:t>i</w:t>
      </w:r>
      <w:r>
        <w:rPr>
          <w:spacing w:val="-3"/>
          <w:w w:val="100"/>
          <w:sz w:val="21"/>
        </w:rPr>
        <w:t>c</w:t>
      </w:r>
      <w:r>
        <w:rPr>
          <w:w w:val="100"/>
          <w:sz w:val="21"/>
        </w:rPr>
        <w:t>i</w:t>
      </w:r>
      <w:r>
        <w:rPr>
          <w:spacing w:val="-3"/>
          <w:w w:val="100"/>
          <w:sz w:val="21"/>
        </w:rPr>
        <w:t>a</w:t>
      </w:r>
      <w:r>
        <w:rPr>
          <w:w w:val="100"/>
          <w:sz w:val="21"/>
        </w:rPr>
        <w:t>l </w:t>
      </w:r>
      <w:r>
        <w:rPr>
          <w:sz w:val="21"/>
        </w:rPr>
        <w:t>scrutiny. It is a fact accomplished and accepted by its followers.</w:t>
      </w:r>
      <w:r>
        <w:rPr>
          <w:spacing w:val="17"/>
          <w:sz w:val="21"/>
        </w:rPr>
        <w:t> </w:t>
      </w:r>
      <w:r>
        <w:rPr>
          <w:b/>
          <w:sz w:val="21"/>
        </w:rPr>
        <w:t>This</w:t>
      </w:r>
      <w:r>
        <w:rPr>
          <w:b/>
          <w:spacing w:val="18"/>
          <w:sz w:val="21"/>
        </w:rPr>
        <w:t> </w:t>
      </w:r>
      <w:r>
        <w:rPr>
          <w:b/>
          <w:sz w:val="21"/>
        </w:rPr>
        <w:t>faith</w:t>
      </w:r>
      <w:r>
        <w:rPr>
          <w:b/>
          <w:spacing w:val="15"/>
          <w:sz w:val="21"/>
        </w:rPr>
        <w:t> </w:t>
      </w:r>
      <w:r>
        <w:rPr>
          <w:b/>
          <w:sz w:val="21"/>
        </w:rPr>
        <w:t>necessitated</w:t>
      </w:r>
      <w:r>
        <w:rPr>
          <w:b/>
          <w:spacing w:val="18"/>
          <w:sz w:val="21"/>
        </w:rPr>
        <w:t> </w:t>
      </w:r>
      <w:r>
        <w:rPr>
          <w:b/>
          <w:sz w:val="21"/>
        </w:rPr>
        <w:t>the</w:t>
      </w:r>
      <w:r>
        <w:rPr>
          <w:b/>
          <w:spacing w:val="18"/>
          <w:sz w:val="21"/>
        </w:rPr>
        <w:t> </w:t>
      </w:r>
      <w:r>
        <w:rPr>
          <w:b/>
          <w:sz w:val="21"/>
        </w:rPr>
        <w:t>creation</w:t>
      </w:r>
      <w:r>
        <w:rPr>
          <w:b/>
          <w:spacing w:val="17"/>
          <w:sz w:val="21"/>
        </w:rPr>
        <w:t> </w:t>
      </w:r>
      <w:r>
        <w:rPr>
          <w:b/>
          <w:sz w:val="21"/>
        </w:rPr>
        <w:t>of</w:t>
      </w:r>
      <w:r>
        <w:rPr>
          <w:b/>
          <w:spacing w:val="17"/>
          <w:sz w:val="21"/>
        </w:rPr>
        <w:t> </w:t>
      </w:r>
      <w:r>
        <w:rPr>
          <w:b/>
          <w:sz w:val="21"/>
        </w:rPr>
        <w:t>a</w:t>
      </w:r>
      <w:r>
        <w:rPr>
          <w:b/>
          <w:spacing w:val="17"/>
          <w:sz w:val="21"/>
        </w:rPr>
        <w:t> </w:t>
      </w:r>
      <w:r>
        <w:rPr>
          <w:b/>
          <w:sz w:val="21"/>
        </w:rPr>
        <w:t>unit</w:t>
      </w:r>
      <w:r>
        <w:rPr>
          <w:b/>
          <w:spacing w:val="17"/>
          <w:sz w:val="21"/>
        </w:rPr>
        <w:t> </w:t>
      </w:r>
      <w:r>
        <w:rPr>
          <w:b/>
          <w:sz w:val="21"/>
        </w:rPr>
        <w:t>to</w:t>
      </w:r>
    </w:p>
    <w:p>
      <w:pPr>
        <w:spacing w:after="0" w:line="276" w:lineRule="auto"/>
        <w:jc w:val="both"/>
        <w:rPr>
          <w:sz w:val="21"/>
        </w:rPr>
        <w:sectPr>
          <w:pgSz w:w="11910" w:h="16840"/>
          <w:pgMar w:header="721" w:footer="1014" w:top="1300" w:bottom="1200" w:left="940" w:right="1000"/>
        </w:sectPr>
      </w:pPr>
    </w:p>
    <w:p>
      <w:pPr>
        <w:spacing w:before="122"/>
        <w:ind w:left="1940" w:right="0" w:firstLine="0"/>
        <w:jc w:val="both"/>
        <w:rPr>
          <w:sz w:val="21"/>
        </w:rPr>
      </w:pPr>
      <w:r>
        <w:rPr>
          <w:b/>
          <w:sz w:val="21"/>
        </w:rPr>
        <w:t>be recognised as a ―juristic person‖. </w:t>
      </w:r>
      <w:r>
        <w:rPr>
          <w:sz w:val="21"/>
        </w:rPr>
        <w:t>All this shows that a</w:t>
      </w:r>
    </w:p>
    <w:p>
      <w:pPr>
        <w:spacing w:line="276" w:lineRule="auto" w:before="38"/>
        <w:ind w:left="1940" w:right="2260" w:firstLine="0"/>
        <w:jc w:val="both"/>
        <w:rPr>
          <w:sz w:val="21"/>
        </w:rPr>
      </w:pPr>
      <w:r>
        <w:rPr>
          <w:spacing w:val="-1"/>
          <w:w w:val="33"/>
          <w:sz w:val="21"/>
        </w:rPr>
        <w:t>―</w:t>
      </w:r>
      <w:r>
        <w:rPr>
          <w:w w:val="100"/>
          <w:sz w:val="21"/>
        </w:rPr>
        <w:t>j</w:t>
      </w:r>
      <w:r>
        <w:rPr>
          <w:spacing w:val="-1"/>
          <w:w w:val="100"/>
          <w:sz w:val="21"/>
        </w:rPr>
        <w:t>uris</w:t>
      </w:r>
      <w:r>
        <w:rPr>
          <w:spacing w:val="-3"/>
          <w:w w:val="100"/>
          <w:sz w:val="21"/>
        </w:rPr>
        <w:t>t</w:t>
      </w:r>
      <w:r>
        <w:rPr>
          <w:w w:val="100"/>
          <w:sz w:val="21"/>
        </w:rPr>
        <w:t>ic</w:t>
      </w:r>
      <w:r>
        <w:rPr>
          <w:sz w:val="21"/>
        </w:rPr>
        <w:t> </w:t>
      </w:r>
      <w:r>
        <w:rPr>
          <w:spacing w:val="-24"/>
          <w:sz w:val="21"/>
        </w:rPr>
        <w:t> </w:t>
      </w:r>
      <w:r>
        <w:rPr>
          <w:spacing w:val="-1"/>
          <w:w w:val="100"/>
          <w:sz w:val="21"/>
        </w:rPr>
        <w:t>pers</w:t>
      </w:r>
      <w:r>
        <w:rPr>
          <w:spacing w:val="-3"/>
          <w:w w:val="100"/>
          <w:sz w:val="21"/>
        </w:rPr>
        <w:t>o</w:t>
      </w:r>
      <w:r>
        <w:rPr>
          <w:spacing w:val="-1"/>
          <w:w w:val="92"/>
          <w:sz w:val="21"/>
        </w:rPr>
        <w:t>n</w:t>
      </w:r>
      <w:r>
        <w:rPr>
          <w:w w:val="92"/>
          <w:sz w:val="21"/>
        </w:rPr>
        <w:t>‖</w:t>
      </w:r>
      <w:r>
        <w:rPr>
          <w:sz w:val="21"/>
        </w:rPr>
        <w:t> </w:t>
      </w:r>
      <w:r>
        <w:rPr>
          <w:spacing w:val="-24"/>
          <w:sz w:val="21"/>
        </w:rPr>
        <w:t> </w:t>
      </w:r>
      <w:r>
        <w:rPr>
          <w:w w:val="100"/>
          <w:sz w:val="21"/>
        </w:rPr>
        <w:t>is</w:t>
      </w:r>
      <w:r>
        <w:rPr>
          <w:sz w:val="21"/>
        </w:rPr>
        <w:t> </w:t>
      </w:r>
      <w:r>
        <w:rPr>
          <w:spacing w:val="-21"/>
          <w:sz w:val="21"/>
        </w:rPr>
        <w:t> </w:t>
      </w:r>
      <w:r>
        <w:rPr>
          <w:spacing w:val="-3"/>
          <w:w w:val="100"/>
          <w:sz w:val="21"/>
        </w:rPr>
        <w:t>n</w:t>
      </w:r>
      <w:r>
        <w:rPr>
          <w:spacing w:val="-1"/>
          <w:w w:val="100"/>
          <w:sz w:val="21"/>
        </w:rPr>
        <w:t>o</w:t>
      </w:r>
      <w:r>
        <w:rPr>
          <w:w w:val="100"/>
          <w:sz w:val="21"/>
        </w:rPr>
        <w:t>t</w:t>
      </w:r>
      <w:r>
        <w:rPr>
          <w:sz w:val="21"/>
        </w:rPr>
        <w:t> </w:t>
      </w:r>
      <w:r>
        <w:rPr>
          <w:spacing w:val="-22"/>
          <w:sz w:val="21"/>
        </w:rPr>
        <w:t> </w:t>
      </w:r>
      <w:r>
        <w:rPr>
          <w:spacing w:val="-1"/>
          <w:w w:val="100"/>
          <w:sz w:val="21"/>
        </w:rPr>
        <w:t>r</w:t>
      </w:r>
      <w:r>
        <w:rPr>
          <w:spacing w:val="-3"/>
          <w:w w:val="100"/>
          <w:sz w:val="21"/>
        </w:rPr>
        <w:t>o</w:t>
      </w:r>
      <w:r>
        <w:rPr>
          <w:spacing w:val="-1"/>
          <w:w w:val="100"/>
          <w:sz w:val="21"/>
        </w:rPr>
        <w:t>pe</w:t>
      </w:r>
      <w:r>
        <w:rPr>
          <w:w w:val="100"/>
          <w:sz w:val="21"/>
        </w:rPr>
        <w:t>d</w:t>
      </w:r>
      <w:r>
        <w:rPr>
          <w:sz w:val="21"/>
        </w:rPr>
        <w:t> </w:t>
      </w:r>
      <w:r>
        <w:rPr>
          <w:spacing w:val="-23"/>
          <w:sz w:val="21"/>
        </w:rPr>
        <w:t> </w:t>
      </w:r>
      <w:r>
        <w:rPr>
          <w:w w:val="100"/>
          <w:sz w:val="21"/>
        </w:rPr>
        <w:t>in</w:t>
      </w:r>
      <w:r>
        <w:rPr>
          <w:sz w:val="21"/>
        </w:rPr>
        <w:t> </w:t>
      </w:r>
      <w:r>
        <w:rPr>
          <w:spacing w:val="-24"/>
          <w:sz w:val="21"/>
        </w:rPr>
        <w:t> </w:t>
      </w:r>
      <w:r>
        <w:rPr>
          <w:spacing w:val="-1"/>
          <w:w w:val="100"/>
          <w:sz w:val="21"/>
        </w:rPr>
        <w:t>an</w:t>
      </w:r>
      <w:r>
        <w:rPr>
          <w:w w:val="100"/>
          <w:sz w:val="21"/>
        </w:rPr>
        <w:t>y</w:t>
      </w:r>
      <w:r>
        <w:rPr>
          <w:sz w:val="21"/>
        </w:rPr>
        <w:t> </w:t>
      </w:r>
      <w:r>
        <w:rPr>
          <w:spacing w:val="-23"/>
          <w:sz w:val="21"/>
        </w:rPr>
        <w:t> </w:t>
      </w:r>
      <w:r>
        <w:rPr>
          <w:spacing w:val="-3"/>
          <w:w w:val="100"/>
          <w:sz w:val="21"/>
        </w:rPr>
        <w:t>d</w:t>
      </w:r>
      <w:r>
        <w:rPr>
          <w:spacing w:val="-1"/>
          <w:w w:val="100"/>
          <w:sz w:val="21"/>
        </w:rPr>
        <w:t>ef</w:t>
      </w:r>
      <w:r>
        <w:rPr>
          <w:w w:val="100"/>
          <w:sz w:val="21"/>
        </w:rPr>
        <w:t>i</w:t>
      </w:r>
      <w:r>
        <w:rPr>
          <w:spacing w:val="-1"/>
          <w:w w:val="100"/>
          <w:sz w:val="21"/>
        </w:rPr>
        <w:t>n</w:t>
      </w:r>
      <w:r>
        <w:rPr>
          <w:spacing w:val="-3"/>
          <w:w w:val="100"/>
          <w:sz w:val="21"/>
        </w:rPr>
        <w:t>e</w:t>
      </w:r>
      <w:r>
        <w:rPr>
          <w:w w:val="100"/>
          <w:sz w:val="21"/>
        </w:rPr>
        <w:t>d</w:t>
      </w:r>
      <w:r>
        <w:rPr>
          <w:sz w:val="21"/>
        </w:rPr>
        <w:t> </w:t>
      </w:r>
      <w:r>
        <w:rPr>
          <w:spacing w:val="-21"/>
          <w:sz w:val="21"/>
        </w:rPr>
        <w:t> </w:t>
      </w:r>
      <w:r>
        <w:rPr>
          <w:spacing w:val="-3"/>
          <w:w w:val="100"/>
          <w:sz w:val="21"/>
        </w:rPr>
        <w:t>c</w:t>
      </w:r>
      <w:r>
        <w:rPr>
          <w:w w:val="100"/>
          <w:sz w:val="21"/>
        </w:rPr>
        <w:t>i</w:t>
      </w:r>
      <w:r>
        <w:rPr>
          <w:spacing w:val="-1"/>
          <w:w w:val="100"/>
          <w:sz w:val="21"/>
        </w:rPr>
        <w:t>r</w:t>
      </w:r>
      <w:r>
        <w:rPr>
          <w:spacing w:val="-3"/>
          <w:w w:val="100"/>
          <w:sz w:val="21"/>
        </w:rPr>
        <w:t>c</w:t>
      </w:r>
      <w:r>
        <w:rPr>
          <w:w w:val="100"/>
          <w:sz w:val="21"/>
        </w:rPr>
        <w:t>l</w:t>
      </w:r>
      <w:r>
        <w:rPr>
          <w:spacing w:val="-3"/>
          <w:w w:val="100"/>
          <w:sz w:val="21"/>
        </w:rPr>
        <w:t>e</w:t>
      </w:r>
      <w:r>
        <w:rPr>
          <w:w w:val="100"/>
          <w:sz w:val="21"/>
        </w:rPr>
        <w:t>.</w:t>
      </w:r>
      <w:r>
        <w:rPr>
          <w:sz w:val="21"/>
        </w:rPr>
        <w:t> </w:t>
      </w:r>
      <w:r>
        <w:rPr>
          <w:spacing w:val="-27"/>
          <w:sz w:val="21"/>
        </w:rPr>
        <w:t> </w:t>
      </w:r>
      <w:r>
        <w:rPr>
          <w:spacing w:val="6"/>
          <w:w w:val="100"/>
          <w:sz w:val="21"/>
        </w:rPr>
        <w:t>W</w:t>
      </w:r>
      <w:r>
        <w:rPr>
          <w:spacing w:val="-2"/>
          <w:w w:val="100"/>
          <w:sz w:val="21"/>
        </w:rPr>
        <w:t>it</w:t>
      </w:r>
      <w:r>
        <w:rPr>
          <w:w w:val="100"/>
          <w:sz w:val="21"/>
        </w:rPr>
        <w:t>h</w:t>
      </w:r>
      <w:r>
        <w:rPr>
          <w:sz w:val="21"/>
        </w:rPr>
        <w:t> </w:t>
      </w:r>
      <w:r>
        <w:rPr>
          <w:spacing w:val="-21"/>
          <w:sz w:val="21"/>
        </w:rPr>
        <w:t> </w:t>
      </w:r>
      <w:r>
        <w:rPr>
          <w:spacing w:val="-2"/>
          <w:w w:val="100"/>
          <w:sz w:val="21"/>
        </w:rPr>
        <w:t>t</w:t>
      </w:r>
      <w:r>
        <w:rPr>
          <w:spacing w:val="-3"/>
          <w:w w:val="100"/>
          <w:sz w:val="21"/>
        </w:rPr>
        <w:t>h</w:t>
      </w:r>
      <w:r>
        <w:rPr>
          <w:w w:val="100"/>
          <w:sz w:val="21"/>
        </w:rPr>
        <w:t>e </w:t>
      </w:r>
      <w:r>
        <w:rPr>
          <w:sz w:val="21"/>
        </w:rPr>
        <w:t>changing thought, changing needs of the society, </w:t>
      </w:r>
      <w:r>
        <w:rPr>
          <w:b/>
          <w:sz w:val="21"/>
        </w:rPr>
        <w:t>fresh juristic personalities were created from time to</w:t>
      </w:r>
      <w:r>
        <w:rPr>
          <w:b/>
          <w:spacing w:val="-21"/>
          <w:sz w:val="21"/>
        </w:rPr>
        <w:t> </w:t>
      </w:r>
      <w:r>
        <w:rPr>
          <w:b/>
          <w:sz w:val="21"/>
        </w:rPr>
        <w:t>time</w:t>
      </w:r>
      <w:r>
        <w:rPr>
          <w:sz w:val="21"/>
        </w:rPr>
        <w:t>.‖</w:t>
      </w:r>
    </w:p>
    <w:p>
      <w:pPr>
        <w:spacing w:line="241" w:lineRule="exact" w:before="0"/>
        <w:ind w:left="5615" w:right="0" w:firstLine="0"/>
        <w:jc w:val="both"/>
        <w:rPr>
          <w:sz w:val="21"/>
        </w:rPr>
      </w:pPr>
      <w:r>
        <w:rPr>
          <w:sz w:val="21"/>
        </w:rPr>
        <w:t>(Emphasis supplied)</w:t>
      </w:r>
    </w:p>
    <w:p>
      <w:pPr>
        <w:pStyle w:val="BodyText"/>
        <w:rPr>
          <w:sz w:val="24"/>
        </w:rPr>
      </w:pPr>
    </w:p>
    <w:p>
      <w:pPr>
        <w:pStyle w:val="BodyText"/>
        <w:spacing w:before="3"/>
        <w:rPr>
          <w:sz w:val="28"/>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What emerges from a nuanced reading of the case is this: First, the case did not relate to the conferment of juristic personality on immoveable property. The relevance of this will be considered in the course of this judgement; Second, as a matter of religion, the tenets of Sikhism are opposed to idol worship. Where juridical personality was conferred on the idol in Hindu Law as the physical site of jural relations, the same physical corpus was absent in Sikhism. This Court was thus required to locate a corpus upon which juridical personality may be recognised for it was only consequent to this determination that the court could decide whether the disputed property vested in the Guru Granth Sahib as a juridical person. As stated above, necessity is often the basis of conferring juridical personality. In this case, as it is in the case of the idol in Hindu law, it was legally expedient to recognise the legal personality of the Guru Granth Sahib as the corpus upon which juridical personality would be conferred in order to determine whether the property could vest in the Guru Granth</w:t>
      </w:r>
      <w:r>
        <w:rPr>
          <w:spacing w:val="-12"/>
          <w:sz w:val="25"/>
        </w:rPr>
        <w:t> </w:t>
      </w:r>
      <w:r>
        <w:rPr>
          <w:sz w:val="25"/>
        </w:rPr>
        <w:t>Sahib.</w:t>
      </w:r>
    </w:p>
    <w:p>
      <w:pPr>
        <w:pStyle w:val="BodyText"/>
        <w:rPr>
          <w:sz w:val="28"/>
        </w:rPr>
      </w:pPr>
    </w:p>
    <w:p>
      <w:pPr>
        <w:pStyle w:val="ListParagraph"/>
        <w:numPr>
          <w:ilvl w:val="0"/>
          <w:numId w:val="3"/>
        </w:numPr>
        <w:tabs>
          <w:tab w:pos="1221" w:val="left" w:leader="none"/>
        </w:tabs>
        <w:spacing w:line="480" w:lineRule="auto" w:before="252" w:after="0"/>
        <w:ind w:left="500" w:right="441" w:firstLine="0"/>
        <w:jc w:val="both"/>
        <w:rPr>
          <w:sz w:val="25"/>
        </w:rPr>
      </w:pPr>
      <w:r>
        <w:rPr>
          <w:sz w:val="25"/>
        </w:rPr>
        <w:t>The judgment in </w:t>
      </w:r>
      <w:r>
        <w:rPr>
          <w:b/>
          <w:sz w:val="25"/>
        </w:rPr>
        <w:t>Shiromani Gurdwara </w:t>
      </w:r>
      <w:r>
        <w:rPr>
          <w:sz w:val="25"/>
        </w:rPr>
        <w:t>affirms that there is an underlying purpose which is at the heart of conferring legal personality on objects. Different religions are assessed in accordance with their own faith and belief. The absence of idol worship in Sikhism necessitated the conferral of juristic personality on the Guru Granth Sahib which is, according to the tenets of Sikhism, the Guru. Accordingly, it was then held that the disputed property vested in the Guru</w:t>
      </w:r>
      <w:r>
        <w:rPr>
          <w:spacing w:val="-21"/>
          <w:sz w:val="25"/>
        </w:rPr>
        <w:t> </w:t>
      </w:r>
      <w:r>
        <w:rPr>
          <w:sz w:val="25"/>
        </w:rPr>
        <w:t>Granth</w:t>
      </w:r>
    </w:p>
    <w:p>
      <w:pPr>
        <w:spacing w:after="0" w:line="480" w:lineRule="auto"/>
        <w:jc w:val="both"/>
        <w:rPr>
          <w:sz w:val="25"/>
        </w:rPr>
        <w:sectPr>
          <w:pgSz w:w="11910" w:h="16840"/>
          <w:pgMar w:header="721" w:footer="1014" w:top="1300" w:bottom="1200" w:left="940" w:right="1000"/>
        </w:sectPr>
      </w:pPr>
    </w:p>
    <w:p>
      <w:pPr>
        <w:pStyle w:val="BodyText"/>
        <w:spacing w:before="124"/>
        <w:ind w:left="500"/>
      </w:pPr>
      <w:r>
        <w:rPr/>
        <w:t>Sahib.</w:t>
      </w:r>
    </w:p>
    <w:p>
      <w:pPr>
        <w:pStyle w:val="BodyText"/>
        <w:rPr>
          <w:sz w:val="28"/>
        </w:rPr>
      </w:pPr>
    </w:p>
    <w:p>
      <w:pPr>
        <w:pStyle w:val="BodyText"/>
        <w:spacing w:before="1"/>
        <w:rPr>
          <w:sz w:val="22"/>
        </w:rPr>
      </w:pPr>
    </w:p>
    <w:p>
      <w:pPr>
        <w:pStyle w:val="Heading4"/>
        <w:jc w:val="left"/>
        <w:rPr>
          <w:i/>
        </w:rPr>
      </w:pPr>
      <w:r>
        <w:rPr>
          <w:i/>
        </w:rPr>
        <w:t>Thayarammal</w:t>
      </w:r>
    </w:p>
    <w:p>
      <w:pPr>
        <w:pStyle w:val="BodyText"/>
        <w:rPr>
          <w:i/>
          <w:sz w:val="28"/>
        </w:rPr>
      </w:pPr>
    </w:p>
    <w:p>
      <w:pPr>
        <w:pStyle w:val="BodyText"/>
        <w:spacing w:before="7"/>
        <w:rPr>
          <w:i/>
          <w:sz w:val="23"/>
        </w:rPr>
      </w:pPr>
    </w:p>
    <w:p>
      <w:pPr>
        <w:pStyle w:val="ListParagraph"/>
        <w:numPr>
          <w:ilvl w:val="0"/>
          <w:numId w:val="3"/>
        </w:numPr>
        <w:tabs>
          <w:tab w:pos="1221" w:val="left" w:leader="none"/>
        </w:tabs>
        <w:spacing w:line="480" w:lineRule="auto" w:before="1" w:after="0"/>
        <w:ind w:left="500" w:right="438" w:firstLine="0"/>
        <w:jc w:val="both"/>
        <w:rPr>
          <w:sz w:val="25"/>
        </w:rPr>
      </w:pPr>
      <w:r>
        <w:rPr>
          <w:sz w:val="25"/>
        </w:rPr>
        <w:t>Lastly, in </w:t>
      </w:r>
      <w:r>
        <w:rPr>
          <w:b/>
          <w:sz w:val="25"/>
        </w:rPr>
        <w:t>Thayarammal </w:t>
      </w:r>
      <w:r>
        <w:rPr>
          <w:sz w:val="25"/>
        </w:rPr>
        <w:t>v </w:t>
      </w:r>
      <w:r>
        <w:rPr>
          <w:b/>
          <w:sz w:val="25"/>
        </w:rPr>
        <w:t>Kanakammal</w:t>
      </w:r>
      <w:r>
        <w:rPr>
          <w:sz w:val="25"/>
          <w:vertAlign w:val="superscript"/>
        </w:rPr>
        <w:t>98</w:t>
      </w:r>
      <w:r>
        <w:rPr>
          <w:sz w:val="25"/>
          <w:vertAlign w:val="baseline"/>
        </w:rPr>
        <w:t>, by way of writings on a stone inscription, the suit properties were dedicated for use by the public as a </w:t>
      </w:r>
      <w:r>
        <w:rPr>
          <w:i/>
          <w:sz w:val="25"/>
          <w:vertAlign w:val="baseline"/>
        </w:rPr>
        <w:t>Dharmachatram </w:t>
      </w:r>
      <w:r>
        <w:rPr>
          <w:sz w:val="25"/>
          <w:vertAlign w:val="baseline"/>
        </w:rPr>
        <w:t>(choultry) where travellers and pilgrims could take shelter and be </w:t>
      </w:r>
      <w:r>
        <w:rPr>
          <w:spacing w:val="-1"/>
          <w:w w:val="99"/>
          <w:sz w:val="25"/>
          <w:vertAlign w:val="baseline"/>
        </w:rPr>
        <w:t>p</w:t>
      </w:r>
      <w:r>
        <w:rPr>
          <w:w w:val="99"/>
          <w:sz w:val="25"/>
          <w:vertAlign w:val="baseline"/>
        </w:rPr>
        <w:t>r</w:t>
      </w:r>
      <w:r>
        <w:rPr>
          <w:spacing w:val="-1"/>
          <w:w w:val="99"/>
          <w:sz w:val="25"/>
          <w:vertAlign w:val="baseline"/>
        </w:rPr>
        <w:t>o</w:t>
      </w:r>
      <w:r>
        <w:rPr>
          <w:spacing w:val="-3"/>
          <w:w w:val="99"/>
          <w:sz w:val="25"/>
          <w:vertAlign w:val="baseline"/>
        </w:rPr>
        <w:t>v</w:t>
      </w:r>
      <w:r>
        <w:rPr>
          <w:spacing w:val="-1"/>
          <w:w w:val="99"/>
          <w:sz w:val="25"/>
          <w:vertAlign w:val="baseline"/>
        </w:rPr>
        <w:t>ide</w:t>
      </w:r>
      <w:r>
        <w:rPr>
          <w:w w:val="99"/>
          <w:sz w:val="25"/>
          <w:vertAlign w:val="baseline"/>
        </w:rPr>
        <w:t>d</w:t>
      </w:r>
      <w:r>
        <w:rPr>
          <w:spacing w:val="5"/>
          <w:sz w:val="25"/>
          <w:vertAlign w:val="baseline"/>
        </w:rPr>
        <w:t> </w:t>
      </w:r>
      <w:r>
        <w:rPr>
          <w:spacing w:val="-1"/>
          <w:w w:val="99"/>
          <w:sz w:val="25"/>
          <w:vertAlign w:val="baseline"/>
        </w:rPr>
        <w:t>wit</w:t>
      </w:r>
      <w:r>
        <w:rPr>
          <w:w w:val="99"/>
          <w:sz w:val="25"/>
          <w:vertAlign w:val="baseline"/>
        </w:rPr>
        <w:t>h</w:t>
      </w:r>
      <w:r>
        <w:rPr>
          <w:spacing w:val="6"/>
          <w:sz w:val="25"/>
          <w:vertAlign w:val="baseline"/>
        </w:rPr>
        <w:t> </w:t>
      </w:r>
      <w:r>
        <w:rPr>
          <w:w w:val="99"/>
          <w:sz w:val="25"/>
          <w:vertAlign w:val="baseline"/>
        </w:rPr>
        <w:t>r</w:t>
      </w:r>
      <w:r>
        <w:rPr>
          <w:spacing w:val="-1"/>
          <w:w w:val="99"/>
          <w:sz w:val="25"/>
          <w:vertAlign w:val="baseline"/>
        </w:rPr>
        <w:t>ef</w:t>
      </w:r>
      <w:r>
        <w:rPr>
          <w:spacing w:val="1"/>
          <w:w w:val="99"/>
          <w:sz w:val="25"/>
          <w:vertAlign w:val="baseline"/>
        </w:rPr>
        <w:t>r</w:t>
      </w:r>
      <w:r>
        <w:rPr>
          <w:spacing w:val="-1"/>
          <w:w w:val="99"/>
          <w:sz w:val="25"/>
          <w:vertAlign w:val="baseline"/>
        </w:rPr>
        <w:t>es</w:t>
      </w:r>
      <w:r>
        <w:rPr>
          <w:w w:val="99"/>
          <w:sz w:val="25"/>
          <w:vertAlign w:val="baseline"/>
        </w:rPr>
        <w:t>hm</w:t>
      </w:r>
      <w:r>
        <w:rPr>
          <w:spacing w:val="-1"/>
          <w:w w:val="99"/>
          <w:sz w:val="25"/>
          <w:vertAlign w:val="baseline"/>
        </w:rPr>
        <w:t>e</w:t>
      </w:r>
      <w:r>
        <w:rPr>
          <w:w w:val="99"/>
          <w:sz w:val="25"/>
          <w:vertAlign w:val="baseline"/>
        </w:rPr>
        <w:t>nts.</w:t>
      </w:r>
      <w:r>
        <w:rPr>
          <w:spacing w:val="5"/>
          <w:sz w:val="25"/>
          <w:vertAlign w:val="baseline"/>
        </w:rPr>
        <w:t> </w:t>
      </w:r>
      <w:r>
        <w:rPr>
          <w:w w:val="99"/>
          <w:sz w:val="25"/>
          <w:vertAlign w:val="baseline"/>
        </w:rPr>
        <w:t>T</w:t>
      </w:r>
      <w:r>
        <w:rPr>
          <w:spacing w:val="-1"/>
          <w:w w:val="99"/>
          <w:sz w:val="25"/>
          <w:vertAlign w:val="baseline"/>
        </w:rPr>
        <w:t>h</w:t>
      </w:r>
      <w:r>
        <w:rPr>
          <w:w w:val="99"/>
          <w:sz w:val="25"/>
          <w:vertAlign w:val="baseline"/>
        </w:rPr>
        <w:t>e</w:t>
      </w:r>
      <w:r>
        <w:rPr>
          <w:spacing w:val="5"/>
          <w:sz w:val="25"/>
          <w:vertAlign w:val="baseline"/>
        </w:rPr>
        <w:t> </w:t>
      </w:r>
      <w:r>
        <w:rPr>
          <w:spacing w:val="-1"/>
          <w:w w:val="99"/>
          <w:sz w:val="25"/>
          <w:vertAlign w:val="baseline"/>
        </w:rPr>
        <w:t>p</w:t>
      </w:r>
      <w:r>
        <w:rPr>
          <w:w w:val="99"/>
          <w:sz w:val="25"/>
          <w:vertAlign w:val="baseline"/>
        </w:rPr>
        <w:t>r</w:t>
      </w:r>
      <w:r>
        <w:rPr>
          <w:spacing w:val="-1"/>
          <w:w w:val="99"/>
          <w:sz w:val="25"/>
          <w:vertAlign w:val="baseline"/>
        </w:rPr>
        <w:t>o</w:t>
      </w:r>
      <w:r>
        <w:rPr>
          <w:w w:val="99"/>
          <w:sz w:val="25"/>
          <w:vertAlign w:val="baseline"/>
        </w:rPr>
        <w:t>p</w:t>
      </w:r>
      <w:r>
        <w:rPr>
          <w:spacing w:val="-1"/>
          <w:w w:val="99"/>
          <w:sz w:val="25"/>
          <w:vertAlign w:val="baseline"/>
        </w:rPr>
        <w:t>e</w:t>
      </w:r>
      <w:r>
        <w:rPr>
          <w:w w:val="99"/>
          <w:sz w:val="25"/>
          <w:vertAlign w:val="baseline"/>
        </w:rPr>
        <w:t>rty</w:t>
      </w:r>
      <w:r>
        <w:rPr>
          <w:spacing w:val="2"/>
          <w:sz w:val="25"/>
          <w:vertAlign w:val="baseline"/>
        </w:rPr>
        <w:t> </w:t>
      </w:r>
      <w:r>
        <w:rPr>
          <w:spacing w:val="-1"/>
          <w:w w:val="99"/>
          <w:sz w:val="25"/>
          <w:vertAlign w:val="baseline"/>
        </w:rPr>
        <w:t>wa</w:t>
      </w:r>
      <w:r>
        <w:rPr>
          <w:w w:val="99"/>
          <w:sz w:val="25"/>
          <w:vertAlign w:val="baseline"/>
        </w:rPr>
        <w:t>s</w:t>
      </w:r>
      <w:r>
        <w:rPr>
          <w:spacing w:val="4"/>
          <w:sz w:val="25"/>
          <w:vertAlign w:val="baseline"/>
        </w:rPr>
        <w:t> </w:t>
      </w:r>
      <w:r>
        <w:rPr>
          <w:w w:val="33"/>
          <w:sz w:val="25"/>
          <w:vertAlign w:val="baseline"/>
        </w:rPr>
        <w:t>―</w:t>
      </w:r>
      <w:r>
        <w:rPr>
          <w:spacing w:val="-1"/>
          <w:w w:val="99"/>
          <w:sz w:val="25"/>
          <w:vertAlign w:val="baseline"/>
        </w:rPr>
        <w:t>d</w:t>
      </w:r>
      <w:r>
        <w:rPr>
          <w:w w:val="99"/>
          <w:sz w:val="25"/>
          <w:vertAlign w:val="baseline"/>
        </w:rPr>
        <w:t>e</w:t>
      </w:r>
      <w:r>
        <w:rPr>
          <w:spacing w:val="-1"/>
          <w:w w:val="99"/>
          <w:sz w:val="25"/>
          <w:vertAlign w:val="baseline"/>
        </w:rPr>
        <w:t>dica</w:t>
      </w:r>
      <w:r>
        <w:rPr>
          <w:w w:val="99"/>
          <w:sz w:val="25"/>
          <w:vertAlign w:val="baseline"/>
        </w:rPr>
        <w:t>t</w:t>
      </w:r>
      <w:r>
        <w:rPr>
          <w:spacing w:val="-1"/>
          <w:w w:val="99"/>
          <w:sz w:val="25"/>
          <w:vertAlign w:val="baseline"/>
        </w:rPr>
        <w:t>e</w:t>
      </w:r>
      <w:r>
        <w:rPr>
          <w:w w:val="99"/>
          <w:sz w:val="25"/>
          <w:vertAlign w:val="baseline"/>
        </w:rPr>
        <w:t>d</w:t>
      </w:r>
      <w:r>
        <w:rPr>
          <w:spacing w:val="5"/>
          <w:sz w:val="25"/>
          <w:vertAlign w:val="baseline"/>
        </w:rPr>
        <w:t> </w:t>
      </w:r>
      <w:r>
        <w:rPr>
          <w:w w:val="99"/>
          <w:sz w:val="25"/>
          <w:vertAlign w:val="baseline"/>
        </w:rPr>
        <w:t>to</w:t>
      </w:r>
      <w:r>
        <w:rPr>
          <w:spacing w:val="5"/>
          <w:sz w:val="25"/>
          <w:vertAlign w:val="baseline"/>
        </w:rPr>
        <w:t> </w:t>
      </w:r>
      <w:r>
        <w:rPr>
          <w:w w:val="99"/>
          <w:sz w:val="25"/>
          <w:vertAlign w:val="baseline"/>
        </w:rPr>
        <w:t>the</w:t>
      </w:r>
      <w:r>
        <w:rPr>
          <w:spacing w:val="5"/>
          <w:sz w:val="25"/>
          <w:vertAlign w:val="baseline"/>
        </w:rPr>
        <w:t> </w:t>
      </w:r>
      <w:r>
        <w:rPr>
          <w:spacing w:val="-1"/>
          <w:w w:val="99"/>
          <w:sz w:val="25"/>
          <w:vertAlign w:val="baseline"/>
        </w:rPr>
        <w:t>g</w:t>
      </w:r>
      <w:r>
        <w:rPr>
          <w:w w:val="99"/>
          <w:sz w:val="25"/>
          <w:vertAlign w:val="baseline"/>
        </w:rPr>
        <w:t>e</w:t>
      </w:r>
      <w:r>
        <w:rPr>
          <w:spacing w:val="-1"/>
          <w:w w:val="99"/>
          <w:sz w:val="25"/>
          <w:vertAlign w:val="baseline"/>
        </w:rPr>
        <w:t>n</w:t>
      </w:r>
      <w:r>
        <w:rPr>
          <w:w w:val="99"/>
          <w:sz w:val="25"/>
          <w:vertAlign w:val="baseline"/>
        </w:rPr>
        <w:t>er</w:t>
      </w:r>
      <w:r>
        <w:rPr>
          <w:spacing w:val="-1"/>
          <w:w w:val="99"/>
          <w:sz w:val="25"/>
          <w:vertAlign w:val="baseline"/>
        </w:rPr>
        <w:t>a</w:t>
      </w:r>
      <w:r>
        <w:rPr>
          <w:w w:val="99"/>
          <w:sz w:val="25"/>
          <w:vertAlign w:val="baseline"/>
        </w:rPr>
        <w:t>l</w:t>
      </w:r>
      <w:r>
        <w:rPr>
          <w:spacing w:val="4"/>
          <w:sz w:val="25"/>
          <w:vertAlign w:val="baseline"/>
        </w:rPr>
        <w:t> </w:t>
      </w:r>
      <w:r>
        <w:rPr>
          <w:spacing w:val="-1"/>
          <w:w w:val="99"/>
          <w:sz w:val="25"/>
          <w:vertAlign w:val="baseline"/>
        </w:rPr>
        <w:t>p</w:t>
      </w:r>
      <w:r>
        <w:rPr>
          <w:w w:val="99"/>
          <w:sz w:val="25"/>
          <w:vertAlign w:val="baseline"/>
        </w:rPr>
        <w:t>u</w:t>
      </w:r>
      <w:r>
        <w:rPr>
          <w:spacing w:val="-1"/>
          <w:w w:val="99"/>
          <w:sz w:val="25"/>
          <w:vertAlign w:val="baseline"/>
        </w:rPr>
        <w:t>bli</w:t>
      </w:r>
      <w:r>
        <w:rPr>
          <w:w w:val="99"/>
          <w:sz w:val="25"/>
          <w:vertAlign w:val="baseline"/>
        </w:rPr>
        <w:t>c</w:t>
      </w:r>
      <w:r>
        <w:rPr>
          <w:spacing w:val="15"/>
          <w:sz w:val="25"/>
          <w:vertAlign w:val="baseline"/>
        </w:rPr>
        <w:t> </w:t>
      </w:r>
      <w:r>
        <w:rPr>
          <w:w w:val="99"/>
          <w:sz w:val="25"/>
          <w:vertAlign w:val="baseline"/>
        </w:rPr>
        <w:t>as </w:t>
      </w:r>
      <w:r>
        <w:rPr>
          <w:sz w:val="25"/>
          <w:vertAlign w:val="baseline"/>
        </w:rPr>
        <w:t>a resting place.‖ No trustee was mentioned and the witness to the dedication was Lord Thyagaraja himself. The plaintiff claimed to be in occupation of a part of the dedicated property (Schedule A) and alleged that a portion of the Schedule B property was encroached upon by the defendants who were liable to be evicted. The defendants contested the suit on the ground that they had acquired title to the portion of the property by way of a purchase made in a court sale conducted in the course of executing a compromise decree. The High Court concluded that the compromise decree was collusive and that the plaintiff also had no right as an assumed trustee. Accordingly, the Administrator General under the Official Trustees Act 1913 was directed to take over the management of the Trust. The principle question before this Court was whether a trust or charitable endowment had been</w:t>
      </w:r>
      <w:r>
        <w:rPr>
          <w:spacing w:val="-3"/>
          <w:sz w:val="25"/>
          <w:vertAlign w:val="baseline"/>
        </w:rPr>
        <w:t> </w:t>
      </w:r>
      <w:r>
        <w:rPr>
          <w:sz w:val="25"/>
          <w:vertAlign w:val="baseline"/>
        </w:rPr>
        <w:t>created.</w:t>
      </w:r>
    </w:p>
    <w:p>
      <w:pPr>
        <w:pStyle w:val="BodyText"/>
        <w:rPr>
          <w:sz w:val="28"/>
        </w:rPr>
      </w:pPr>
    </w:p>
    <w:p>
      <w:pPr>
        <w:pStyle w:val="BodyText"/>
        <w:spacing w:before="4"/>
        <w:rPr>
          <w:sz w:val="22"/>
        </w:rPr>
      </w:pPr>
    </w:p>
    <w:p>
      <w:pPr>
        <w:pStyle w:val="ListParagraph"/>
        <w:numPr>
          <w:ilvl w:val="0"/>
          <w:numId w:val="3"/>
        </w:numPr>
        <w:tabs>
          <w:tab w:pos="1221" w:val="left" w:leader="none"/>
        </w:tabs>
        <w:spacing w:line="480" w:lineRule="auto" w:before="1" w:after="0"/>
        <w:ind w:left="500" w:right="439" w:firstLine="0"/>
        <w:jc w:val="both"/>
        <w:rPr>
          <w:sz w:val="25"/>
        </w:rPr>
      </w:pPr>
      <w:r>
        <w:rPr>
          <w:sz w:val="25"/>
        </w:rPr>
        <w:t>The Court analysed the stone inscription and held that the suit property was dedicated for charitable purposes, and it could not be claimed by the plaintiff as a trustee or the defendant as an owner. However, in the course of</w:t>
      </w:r>
      <w:r>
        <w:rPr>
          <w:spacing w:val="13"/>
          <w:sz w:val="25"/>
        </w:rPr>
        <w:t> </w:t>
      </w:r>
      <w:r>
        <w:rPr>
          <w:sz w:val="25"/>
        </w:rPr>
        <w:t>the</w:t>
      </w:r>
    </w:p>
    <w:p>
      <w:pPr>
        <w:pStyle w:val="BodyText"/>
        <w:spacing w:before="2"/>
        <w:rPr>
          <w:sz w:val="29"/>
        </w:rPr>
      </w:pPr>
      <w:r>
        <w:rPr/>
        <w:pict>
          <v:rect style="position:absolute;margin-left:72.024002pt;margin-top:18.734669pt;width:144.020pt;height:.599980pt;mso-position-horizontal-relative:page;mso-position-vertical-relative:paragraph;z-index:-1569689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98</w:t>
      </w:r>
      <w:r>
        <w:rPr>
          <w:sz w:val="18"/>
          <w:vertAlign w:val="baseline"/>
        </w:rPr>
        <w:t> (2005) 1 SCC 457</w:t>
      </w:r>
    </w:p>
    <w:p>
      <w:pPr>
        <w:spacing w:after="0"/>
        <w:jc w:val="left"/>
        <w:rPr>
          <w:sz w:val="18"/>
        </w:rPr>
        <w:sectPr>
          <w:pgSz w:w="11910" w:h="16840"/>
          <w:pgMar w:header="721" w:footer="1014" w:top="1300" w:bottom="1200" w:left="940" w:right="1000"/>
        </w:sectPr>
      </w:pPr>
    </w:p>
    <w:p>
      <w:pPr>
        <w:pStyle w:val="BodyText"/>
        <w:spacing w:before="124"/>
        <w:ind w:left="500"/>
        <w:jc w:val="both"/>
      </w:pPr>
      <w:r>
        <w:rPr/>
        <w:t>judgment, Justice DM Dharmadhikari speaking for the Court held:</w:t>
      </w:r>
    </w:p>
    <w:p>
      <w:pPr>
        <w:pStyle w:val="BodyText"/>
      </w:pPr>
    </w:p>
    <w:p>
      <w:pPr>
        <w:spacing w:line="276" w:lineRule="auto" w:before="0"/>
        <w:ind w:left="1940" w:right="2263" w:firstLine="0"/>
        <w:jc w:val="both"/>
        <w:rPr>
          <w:sz w:val="21"/>
        </w:rPr>
      </w:pPr>
      <w:r>
        <w:rPr>
          <w:w w:val="33"/>
          <w:sz w:val="21"/>
        </w:rPr>
        <w:t>―</w:t>
      </w:r>
      <w:r>
        <w:rPr>
          <w:w w:val="100"/>
          <w:sz w:val="21"/>
        </w:rPr>
        <w:t>16.</w:t>
      </w:r>
      <w:r>
        <w:rPr>
          <w:sz w:val="21"/>
        </w:rPr>
        <w:t> </w:t>
      </w:r>
      <w:r>
        <w:rPr>
          <w:w w:val="100"/>
          <w:sz w:val="21"/>
        </w:rPr>
        <w:t>A</w:t>
      </w:r>
      <w:r>
        <w:rPr>
          <w:sz w:val="21"/>
        </w:rPr>
        <w:t> </w:t>
      </w:r>
      <w:r>
        <w:rPr>
          <w:w w:val="100"/>
          <w:sz w:val="21"/>
        </w:rPr>
        <w:t>religious</w:t>
      </w:r>
      <w:r>
        <w:rPr>
          <w:sz w:val="21"/>
        </w:rPr>
        <w:t> </w:t>
      </w:r>
      <w:r>
        <w:rPr>
          <w:w w:val="100"/>
          <w:sz w:val="21"/>
        </w:rPr>
        <w:t>endowment</w:t>
      </w:r>
      <w:r>
        <w:rPr>
          <w:sz w:val="21"/>
        </w:rPr>
        <w:t> </w:t>
      </w:r>
      <w:r>
        <w:rPr>
          <w:w w:val="100"/>
          <w:sz w:val="21"/>
        </w:rPr>
        <w:t>does</w:t>
      </w:r>
      <w:r>
        <w:rPr>
          <w:sz w:val="21"/>
        </w:rPr>
        <w:t> </w:t>
      </w:r>
      <w:r>
        <w:rPr>
          <w:w w:val="100"/>
          <w:sz w:val="21"/>
        </w:rPr>
        <w:t>not</w:t>
      </w:r>
      <w:r>
        <w:rPr>
          <w:sz w:val="21"/>
        </w:rPr>
        <w:t> </w:t>
      </w:r>
      <w:r>
        <w:rPr>
          <w:w w:val="100"/>
          <w:sz w:val="21"/>
        </w:rPr>
        <w:t>create</w:t>
      </w:r>
      <w:r>
        <w:rPr>
          <w:sz w:val="21"/>
        </w:rPr>
        <w:t> </w:t>
      </w:r>
      <w:r>
        <w:rPr>
          <w:w w:val="100"/>
          <w:sz w:val="21"/>
        </w:rPr>
        <w:t>title</w:t>
      </w:r>
      <w:r>
        <w:rPr>
          <w:sz w:val="21"/>
        </w:rPr>
        <w:t> </w:t>
      </w:r>
      <w:r>
        <w:rPr>
          <w:w w:val="100"/>
          <w:sz w:val="21"/>
        </w:rPr>
        <w:t>in</w:t>
      </w:r>
      <w:r>
        <w:rPr>
          <w:sz w:val="21"/>
        </w:rPr>
        <w:t> </w:t>
      </w:r>
      <w:r>
        <w:rPr>
          <w:w w:val="100"/>
          <w:sz w:val="21"/>
        </w:rPr>
        <w:t>respect</w:t>
      </w:r>
      <w:r>
        <w:rPr>
          <w:sz w:val="21"/>
        </w:rPr>
        <w:t> </w:t>
      </w:r>
      <w:r>
        <w:rPr>
          <w:w w:val="100"/>
          <w:sz w:val="21"/>
        </w:rPr>
        <w:t>of </w:t>
      </w:r>
      <w:r>
        <w:rPr>
          <w:sz w:val="21"/>
        </w:rPr>
        <w:t>the property dedicated in anybody‘s favour. A property dedicated for religious or charitable purpose for which the owner of the property or the donor has indicated no administrator or manager becomes res nullius which the learned author in the book (supra) explains as property belonging to nobody. Such a property dedicated for general public use is itself raised to the category of a juristic person. Learned author at p. 35 of his commentary explains how such a property vests in the person itself as a juristic person….The idea is the same, namely, when property is dedicated for a particular purpose, the property itself upon which the purpose is impressed, is raised to the category of a juristic person so that the property which is dedicated would vest in the person so created.‖</w:t>
      </w:r>
    </w:p>
    <w:p>
      <w:pPr>
        <w:pStyle w:val="BodyText"/>
        <w:rPr>
          <w:sz w:val="24"/>
        </w:rPr>
      </w:pPr>
    </w:p>
    <w:p>
      <w:pPr>
        <w:pStyle w:val="BodyText"/>
        <w:spacing w:before="2"/>
      </w:pPr>
    </w:p>
    <w:p>
      <w:pPr>
        <w:pStyle w:val="BodyText"/>
        <w:spacing w:line="480" w:lineRule="auto" w:before="1"/>
        <w:ind w:left="500" w:right="436"/>
        <w:jc w:val="both"/>
      </w:pPr>
      <w:r>
        <w:rPr/>
        <w:t>A close reading of the decision shows that the principle contention urged in the case was that the property described as a </w:t>
      </w:r>
      <w:r>
        <w:rPr>
          <w:i/>
        </w:rPr>
        <w:t>Dharmachatram </w:t>
      </w:r>
      <w:r>
        <w:rPr/>
        <w:t>is covered under Section 6(5) of the Tamil Nadu Hindu Religious and Charitable Endowments Act </w:t>
      </w:r>
      <w:r>
        <w:rPr>
          <w:spacing w:val="-1"/>
          <w:w w:val="99"/>
        </w:rPr>
        <w:t>1</w:t>
      </w:r>
      <w:r>
        <w:rPr>
          <w:w w:val="99"/>
        </w:rPr>
        <w:t>9</w:t>
      </w:r>
      <w:r>
        <w:rPr>
          <w:spacing w:val="-1"/>
          <w:w w:val="99"/>
        </w:rPr>
        <w:t>5</w:t>
      </w:r>
      <w:r>
        <w:rPr>
          <w:w w:val="99"/>
        </w:rPr>
        <w:t>9</w:t>
      </w:r>
      <w:r>
        <w:rPr>
          <w:spacing w:val="2"/>
        </w:rPr>
        <w:t> </w:t>
      </w:r>
      <w:r>
        <w:rPr>
          <w:spacing w:val="-1"/>
          <w:w w:val="99"/>
        </w:rPr>
        <w:t>a</w:t>
      </w:r>
      <w:r>
        <w:rPr>
          <w:w w:val="99"/>
        </w:rPr>
        <w:t>s</w:t>
      </w:r>
      <w:r>
        <w:rPr>
          <w:spacing w:val="2"/>
        </w:rPr>
        <w:t> </w:t>
      </w:r>
      <w:r>
        <w:rPr>
          <w:w w:val="99"/>
        </w:rPr>
        <w:t>a</w:t>
      </w:r>
      <w:r>
        <w:rPr>
          <w:spacing w:val="2"/>
        </w:rPr>
        <w:t> </w:t>
      </w:r>
      <w:r>
        <w:rPr>
          <w:w w:val="33"/>
        </w:rPr>
        <w:t>―</w:t>
      </w:r>
      <w:r>
        <w:rPr>
          <w:w w:val="99"/>
        </w:rPr>
        <w:t>char</w:t>
      </w:r>
      <w:r>
        <w:rPr>
          <w:spacing w:val="-1"/>
          <w:w w:val="99"/>
        </w:rPr>
        <w:t>ita</w:t>
      </w:r>
      <w:r>
        <w:rPr>
          <w:w w:val="99"/>
        </w:rPr>
        <w:t>b</w:t>
      </w:r>
      <w:r>
        <w:rPr>
          <w:spacing w:val="-1"/>
          <w:w w:val="99"/>
        </w:rPr>
        <w:t>l</w:t>
      </w:r>
      <w:r>
        <w:rPr>
          <w:w w:val="99"/>
        </w:rPr>
        <w:t>e</w:t>
      </w:r>
      <w:r>
        <w:rPr>
          <w:spacing w:val="2"/>
        </w:rPr>
        <w:t> </w:t>
      </w:r>
      <w:r>
        <w:rPr>
          <w:spacing w:val="-1"/>
          <w:w w:val="99"/>
        </w:rPr>
        <w:t>e</w:t>
      </w:r>
      <w:r>
        <w:rPr>
          <w:w w:val="99"/>
        </w:rPr>
        <w:t>n</w:t>
      </w:r>
      <w:r>
        <w:rPr>
          <w:spacing w:val="-1"/>
          <w:w w:val="99"/>
        </w:rPr>
        <w:t>d</w:t>
      </w:r>
      <w:r>
        <w:rPr>
          <w:w w:val="99"/>
        </w:rPr>
        <w:t>o</w:t>
      </w:r>
      <w:r>
        <w:rPr>
          <w:spacing w:val="4"/>
          <w:w w:val="99"/>
        </w:rPr>
        <w:t>w</w:t>
      </w:r>
      <w:r>
        <w:rPr>
          <w:w w:val="99"/>
        </w:rPr>
        <w:t>m</w:t>
      </w:r>
      <w:r>
        <w:rPr>
          <w:spacing w:val="-1"/>
          <w:w w:val="99"/>
        </w:rPr>
        <w:t>e</w:t>
      </w:r>
      <w:r>
        <w:rPr>
          <w:w w:val="99"/>
        </w:rPr>
        <w:t>n</w:t>
      </w:r>
      <w:r>
        <w:rPr>
          <w:w w:val="88"/>
        </w:rPr>
        <w:t>t‖</w:t>
      </w:r>
      <w:r>
        <w:rPr>
          <w:w w:val="99"/>
        </w:rPr>
        <w:t>.</w:t>
      </w:r>
      <w:r>
        <w:rPr>
          <w:spacing w:val="2"/>
        </w:rPr>
        <w:t> </w:t>
      </w:r>
      <w:r>
        <w:rPr>
          <w:w w:val="99"/>
        </w:rPr>
        <w:t>T</w:t>
      </w:r>
      <w:r>
        <w:rPr>
          <w:spacing w:val="1"/>
          <w:w w:val="99"/>
        </w:rPr>
        <w:t>h</w:t>
      </w:r>
      <w:r>
        <w:rPr>
          <w:spacing w:val="-1"/>
          <w:w w:val="99"/>
        </w:rPr>
        <w:t>i</w:t>
      </w:r>
      <w:r>
        <w:rPr>
          <w:w w:val="99"/>
        </w:rPr>
        <w:t>s</w:t>
      </w:r>
      <w:r>
        <w:rPr>
          <w:spacing w:val="2"/>
        </w:rPr>
        <w:t> </w:t>
      </w:r>
      <w:r>
        <w:rPr>
          <w:w w:val="99"/>
        </w:rPr>
        <w:t>C</w:t>
      </w:r>
      <w:r>
        <w:rPr>
          <w:spacing w:val="-3"/>
          <w:w w:val="99"/>
        </w:rPr>
        <w:t>o</w:t>
      </w:r>
      <w:r>
        <w:rPr>
          <w:w w:val="99"/>
        </w:rPr>
        <w:t>u</w:t>
      </w:r>
      <w:r>
        <w:rPr>
          <w:spacing w:val="1"/>
          <w:w w:val="99"/>
        </w:rPr>
        <w:t>r</w:t>
      </w:r>
      <w:r>
        <w:rPr>
          <w:w w:val="99"/>
        </w:rPr>
        <w:t>t</w:t>
      </w:r>
      <w:r>
        <w:rPr>
          <w:spacing w:val="2"/>
        </w:rPr>
        <w:t> </w:t>
      </w:r>
      <w:r>
        <w:rPr>
          <w:w w:val="99"/>
        </w:rPr>
        <w:t>he</w:t>
      </w:r>
      <w:r>
        <w:rPr>
          <w:w w:val="99"/>
        </w:rPr>
        <w:t>ld</w:t>
      </w:r>
      <w:r>
        <w:rPr>
          <w:spacing w:val="2"/>
        </w:rPr>
        <w:t> </w:t>
      </w:r>
      <w:r>
        <w:rPr>
          <w:w w:val="99"/>
        </w:rPr>
        <w:t>tha</w:t>
      </w:r>
      <w:r>
        <w:rPr>
          <w:w w:val="99"/>
        </w:rPr>
        <w:t>t</w:t>
      </w:r>
      <w:r>
        <w:rPr>
          <w:spacing w:val="2"/>
        </w:rPr>
        <w:t> </w:t>
      </w:r>
      <w:r>
        <w:rPr>
          <w:w w:val="99"/>
        </w:rPr>
        <w:t>the</w:t>
      </w:r>
      <w:r>
        <w:rPr>
          <w:spacing w:val="2"/>
        </w:rPr>
        <w:t> </w:t>
      </w:r>
      <w:r>
        <w:rPr>
          <w:w w:val="99"/>
        </w:rPr>
        <w:t>de</w:t>
      </w:r>
      <w:r>
        <w:rPr>
          <w:w w:val="99"/>
        </w:rPr>
        <w:t>dicat</w:t>
      </w:r>
      <w:r>
        <w:rPr>
          <w:w w:val="99"/>
        </w:rPr>
        <w:t>ion</w:t>
      </w:r>
      <w:r>
        <w:rPr>
          <w:spacing w:val="2"/>
        </w:rPr>
        <w:t> </w:t>
      </w:r>
      <w:r>
        <w:rPr>
          <w:w w:val="99"/>
        </w:rPr>
        <w:t>of</w:t>
      </w:r>
      <w:r>
        <w:rPr>
          <w:spacing w:val="2"/>
        </w:rPr>
        <w:t> </w:t>
      </w:r>
      <w:r>
        <w:rPr>
          <w:w w:val="99"/>
        </w:rPr>
        <w:t>p</w:t>
      </w:r>
      <w:r>
        <w:rPr>
          <w:spacing w:val="1"/>
          <w:w w:val="99"/>
        </w:rPr>
        <w:t>r</w:t>
      </w:r>
      <w:r>
        <w:rPr>
          <w:w w:val="99"/>
        </w:rPr>
        <w:t>ope</w:t>
      </w:r>
      <w:r>
        <w:rPr>
          <w:spacing w:val="1"/>
          <w:w w:val="99"/>
        </w:rPr>
        <w:t>r</w:t>
      </w:r>
      <w:r>
        <w:rPr>
          <w:w w:val="99"/>
        </w:rPr>
        <w:t>ty </w:t>
      </w:r>
      <w:r>
        <w:rPr/>
        <w:t>for a </w:t>
      </w:r>
      <w:r>
        <w:rPr>
          <w:i/>
        </w:rPr>
        <w:t>Dharmachatram</w:t>
      </w:r>
      <w:r>
        <w:rPr/>
        <w:t>, is in the strict legal sense, neither a gift nor a trust. This Court held that the property which was dedicated for a charitable purpose could not be claimed by the plaintiff as a trustee or the defendant as owner. With this finding, the Court was of the view that it was the Tamil Nadu Hindu and Charitable Endowments Act 1959 which governs the matter and accordingly the suit property shall be taken in control for administration, management and maintenance by the State Government and the Commissioner under the 1959 Act.</w:t>
      </w:r>
    </w:p>
    <w:p>
      <w:pPr>
        <w:pStyle w:val="BodyText"/>
        <w:spacing w:before="11"/>
        <w:rPr>
          <w:sz w:val="24"/>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In assessing the position of the religious charitable institution, this Court made certain observations in para 16 upon which reliance has been placed. The Court</w:t>
      </w:r>
      <w:r>
        <w:rPr>
          <w:spacing w:val="18"/>
          <w:sz w:val="25"/>
        </w:rPr>
        <w:t> </w:t>
      </w:r>
      <w:r>
        <w:rPr>
          <w:sz w:val="25"/>
        </w:rPr>
        <w:t>proceeded</w:t>
      </w:r>
      <w:r>
        <w:rPr>
          <w:spacing w:val="18"/>
          <w:sz w:val="25"/>
        </w:rPr>
        <w:t> </w:t>
      </w:r>
      <w:r>
        <w:rPr>
          <w:sz w:val="25"/>
        </w:rPr>
        <w:t>on</w:t>
      </w:r>
      <w:r>
        <w:rPr>
          <w:spacing w:val="18"/>
          <w:sz w:val="25"/>
        </w:rPr>
        <w:t> </w:t>
      </w:r>
      <w:r>
        <w:rPr>
          <w:sz w:val="25"/>
        </w:rPr>
        <w:t>the</w:t>
      </w:r>
      <w:r>
        <w:rPr>
          <w:spacing w:val="18"/>
          <w:sz w:val="25"/>
        </w:rPr>
        <w:t> </w:t>
      </w:r>
      <w:r>
        <w:rPr>
          <w:sz w:val="25"/>
        </w:rPr>
        <w:t>premise</w:t>
      </w:r>
      <w:r>
        <w:rPr>
          <w:spacing w:val="18"/>
          <w:sz w:val="25"/>
        </w:rPr>
        <w:t> </w:t>
      </w:r>
      <w:r>
        <w:rPr>
          <w:sz w:val="25"/>
        </w:rPr>
        <w:t>that</w:t>
      </w:r>
      <w:r>
        <w:rPr>
          <w:spacing w:val="19"/>
          <w:sz w:val="25"/>
        </w:rPr>
        <w:t> </w:t>
      </w:r>
      <w:r>
        <w:rPr>
          <w:sz w:val="25"/>
        </w:rPr>
        <w:t>the</w:t>
      </w:r>
      <w:r>
        <w:rPr>
          <w:spacing w:val="18"/>
          <w:sz w:val="25"/>
        </w:rPr>
        <w:t> </w:t>
      </w:r>
      <w:r>
        <w:rPr>
          <w:sz w:val="25"/>
        </w:rPr>
        <w:t>suit</w:t>
      </w:r>
      <w:r>
        <w:rPr>
          <w:spacing w:val="18"/>
          <w:sz w:val="25"/>
        </w:rPr>
        <w:t> </w:t>
      </w:r>
      <w:r>
        <w:rPr>
          <w:sz w:val="25"/>
        </w:rPr>
        <w:t>property</w:t>
      </w:r>
      <w:r>
        <w:rPr>
          <w:spacing w:val="15"/>
          <w:sz w:val="25"/>
        </w:rPr>
        <w:t> </w:t>
      </w:r>
      <w:r>
        <w:rPr>
          <w:sz w:val="25"/>
        </w:rPr>
        <w:t>had</w:t>
      </w:r>
      <w:r>
        <w:rPr>
          <w:spacing w:val="18"/>
          <w:sz w:val="25"/>
        </w:rPr>
        <w:t> </w:t>
      </w:r>
      <w:r>
        <w:rPr>
          <w:sz w:val="25"/>
        </w:rPr>
        <w:t>been</w:t>
      </w:r>
      <w:r>
        <w:rPr>
          <w:spacing w:val="19"/>
          <w:sz w:val="25"/>
        </w:rPr>
        <w:t> </w:t>
      </w:r>
      <w:r>
        <w:rPr>
          <w:sz w:val="25"/>
        </w:rPr>
        <w:t>dedicated</w:t>
      </w:r>
      <w:r>
        <w:rPr>
          <w:spacing w:val="18"/>
          <w:sz w:val="25"/>
        </w:rPr>
        <w:t> </w:t>
      </w:r>
      <w:r>
        <w:rPr>
          <w:sz w:val="25"/>
        </w:rPr>
        <w:t>for</w:t>
      </w:r>
      <w:r>
        <w:rPr>
          <w:spacing w:val="19"/>
          <w:sz w:val="25"/>
        </w:rPr>
        <w:t> </w:t>
      </w:r>
      <w:r>
        <w:rPr>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specific purpose and could not be owned by the defendant. This was to ensure the protection of the purpose with which the suit property was dedicated. Significantly, the deed of dedication did not identify a manager for the endowed property and the court sought to protect the property by conferring legal personality on the intention behind the endowment. Though the Court assessed the position of law on the basis of the theoretical framework analysed above, the observations extracted above seem to suggest that property itself was elevated to the status of a juristic person. On an overall reading of the case as well as the theoretical exposition which has been adverted to, the observations made have to be read in the light of protecting the purpose behind the endowment and not to suggest that the property itself was conferred legal</w:t>
      </w:r>
      <w:r>
        <w:rPr>
          <w:spacing w:val="-10"/>
        </w:rPr>
        <w:t> </w:t>
      </w:r>
      <w:r>
        <w:rPr/>
        <w:t>personality.</w:t>
      </w:r>
    </w:p>
    <w:p>
      <w:pPr>
        <w:pStyle w:val="BodyText"/>
        <w:rPr>
          <w:sz w:val="28"/>
        </w:rPr>
      </w:pPr>
    </w:p>
    <w:p>
      <w:pPr>
        <w:pStyle w:val="BodyText"/>
        <w:spacing w:before="4"/>
        <w:rPr>
          <w:sz w:val="22"/>
        </w:rPr>
      </w:pPr>
    </w:p>
    <w:p>
      <w:pPr>
        <w:pStyle w:val="Heading4"/>
        <w:rPr>
          <w:i/>
        </w:rPr>
      </w:pPr>
      <w:r>
        <w:rPr>
          <w:i/>
        </w:rPr>
        <w:t>Dedication of properties</w:t>
      </w:r>
    </w:p>
    <w:p>
      <w:pPr>
        <w:pStyle w:val="BodyText"/>
        <w:rPr>
          <w:i/>
          <w:sz w:val="28"/>
        </w:rPr>
      </w:pPr>
    </w:p>
    <w:p>
      <w:pPr>
        <w:pStyle w:val="ListParagraph"/>
        <w:numPr>
          <w:ilvl w:val="0"/>
          <w:numId w:val="3"/>
        </w:numPr>
        <w:tabs>
          <w:tab w:pos="1221" w:val="left" w:leader="none"/>
        </w:tabs>
        <w:spacing w:line="480" w:lineRule="auto" w:before="250" w:after="0"/>
        <w:ind w:left="500" w:right="440" w:firstLine="0"/>
        <w:jc w:val="both"/>
        <w:rPr>
          <w:sz w:val="25"/>
        </w:rPr>
      </w:pPr>
      <w:r>
        <w:rPr>
          <w:sz w:val="25"/>
        </w:rPr>
        <w:t>The cases referred to Mr C S Vaidyanathan pertained to the consequence of conferring legal personality by this Court on the disputed land. Far from assisting the contention urged on behalf of the plaintiffs in Suit 5, that the second plaintiff is a juristic person, the cases adverted to above affirm that the practice of conferring legal personality on Hindu idols was evolved by courts to ensure that the law adequately protected the properties endowed to religious purposes. As a large number of endowments were made to specific idols, courts located the idol as a nucleus in which the rights, powers, privileges and immunities of the endowment would vest. Legal personality was conferred to serve the very specific public interest of protecting properties so endowed and creating a centre of</w:t>
      </w:r>
      <w:r>
        <w:rPr>
          <w:spacing w:val="10"/>
          <w:sz w:val="25"/>
        </w:rPr>
        <w:t> </w:t>
      </w:r>
      <w:r>
        <w:rPr>
          <w:sz w:val="25"/>
        </w:rPr>
        <w:t>jural</w:t>
      </w:r>
      <w:r>
        <w:rPr>
          <w:spacing w:val="11"/>
          <w:sz w:val="25"/>
        </w:rPr>
        <w:t> </w:t>
      </w:r>
      <w:r>
        <w:rPr>
          <w:sz w:val="25"/>
        </w:rPr>
        <w:t>relations.</w:t>
      </w:r>
      <w:r>
        <w:rPr>
          <w:spacing w:val="10"/>
          <w:sz w:val="25"/>
        </w:rPr>
        <w:t> </w:t>
      </w:r>
      <w:r>
        <w:rPr>
          <w:sz w:val="25"/>
        </w:rPr>
        <w:t>Necessity</w:t>
      </w:r>
      <w:r>
        <w:rPr>
          <w:spacing w:val="9"/>
          <w:sz w:val="25"/>
        </w:rPr>
        <w:t> </w:t>
      </w:r>
      <w:r>
        <w:rPr>
          <w:sz w:val="25"/>
        </w:rPr>
        <w:t>mandated</w:t>
      </w:r>
      <w:r>
        <w:rPr>
          <w:spacing w:val="11"/>
          <w:sz w:val="25"/>
        </w:rPr>
        <w:t> </w:t>
      </w:r>
      <w:r>
        <w:rPr>
          <w:sz w:val="25"/>
        </w:rPr>
        <w:t>the</w:t>
      </w:r>
      <w:r>
        <w:rPr>
          <w:spacing w:val="10"/>
          <w:sz w:val="25"/>
        </w:rPr>
        <w:t> </w:t>
      </w:r>
      <w:r>
        <w:rPr>
          <w:sz w:val="25"/>
        </w:rPr>
        <w:t>creation</w:t>
      </w:r>
      <w:r>
        <w:rPr>
          <w:spacing w:val="11"/>
          <w:sz w:val="25"/>
        </w:rPr>
        <w:t> </w:t>
      </w:r>
      <w:r>
        <w:rPr>
          <w:sz w:val="25"/>
        </w:rPr>
        <w:t>and</w:t>
      </w:r>
      <w:r>
        <w:rPr>
          <w:spacing w:val="10"/>
          <w:sz w:val="25"/>
        </w:rPr>
        <w:t> </w:t>
      </w:r>
      <w:r>
        <w:rPr>
          <w:sz w:val="25"/>
        </w:rPr>
        <w:t>recognition</w:t>
      </w:r>
      <w:r>
        <w:rPr>
          <w:spacing w:val="11"/>
          <w:sz w:val="25"/>
        </w:rPr>
        <w:t> </w:t>
      </w:r>
      <w:r>
        <w:rPr>
          <w:sz w:val="25"/>
        </w:rPr>
        <w:t>of</w:t>
      </w:r>
      <w:r>
        <w:rPr>
          <w:spacing w:val="11"/>
          <w:sz w:val="25"/>
        </w:rPr>
        <w:t> </w:t>
      </w:r>
      <w:r>
        <w:rPr>
          <w:sz w:val="25"/>
        </w:rPr>
        <w:t>an</w:t>
      </w:r>
      <w:r>
        <w:rPr>
          <w:spacing w:val="10"/>
          <w:sz w:val="25"/>
        </w:rPr>
        <w:t> </w:t>
      </w:r>
      <w:r>
        <w:rPr>
          <w:sz w:val="25"/>
        </w:rPr>
        <w:t>entity</w:t>
      </w:r>
      <w:r>
        <w:rPr>
          <w:spacing w:val="8"/>
          <w:sz w:val="25"/>
        </w:rPr>
        <w:t> </w:t>
      </w:r>
      <w:r>
        <w:rPr>
          <w:sz w:val="25"/>
        </w:rPr>
        <w:t>in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law, allowing courts to regulate the legal relations between natural persons and the idol and consequently the properties vested in the idol. These cases will be adverted to in the event the court determines that the second plaintiff is a juristic person.</w:t>
      </w:r>
    </w:p>
    <w:p>
      <w:pPr>
        <w:pStyle w:val="BodyText"/>
        <w:spacing w:before="2"/>
      </w:pPr>
    </w:p>
    <w:p>
      <w:pPr>
        <w:pStyle w:val="Heading4"/>
        <w:rPr>
          <w:i/>
        </w:rPr>
      </w:pPr>
      <w:r>
        <w:rPr>
          <w:i/>
        </w:rPr>
        <w:t>Faith and belief</w:t>
      </w:r>
    </w:p>
    <w:p>
      <w:pPr>
        <w:pStyle w:val="BodyText"/>
        <w:rPr>
          <w:i/>
          <w:sz w:val="28"/>
        </w:rPr>
      </w:pPr>
    </w:p>
    <w:p>
      <w:pPr>
        <w:pStyle w:val="ListParagraph"/>
        <w:numPr>
          <w:ilvl w:val="0"/>
          <w:numId w:val="3"/>
        </w:numPr>
        <w:tabs>
          <w:tab w:pos="1221" w:val="left" w:leader="none"/>
        </w:tabs>
        <w:spacing w:line="480" w:lineRule="auto" w:before="251" w:after="0"/>
        <w:ind w:left="500" w:right="436" w:firstLine="0"/>
        <w:jc w:val="both"/>
        <w:rPr>
          <w:sz w:val="25"/>
        </w:rPr>
      </w:pPr>
      <w:r>
        <w:rPr>
          <w:sz w:val="25"/>
        </w:rPr>
        <w:t>The decisions and their observations which have been adverted to are premised on the existence of a positive act of dedication or donation. It is pertinent to note that plaintiffs‘ claim for the conferment of juristic personality on the land that is the disputed site is not based on an express dedication. It was urged that the spot under the central dome where the idols are placed is the birth- place of Lord Ram. The faith and belief of the worshippers is of paramount importance. Hindus perform the </w:t>
      </w:r>
      <w:r>
        <w:rPr>
          <w:i/>
          <w:sz w:val="25"/>
        </w:rPr>
        <w:t>parikrama </w:t>
      </w:r>
      <w:r>
        <w:rPr>
          <w:sz w:val="25"/>
        </w:rPr>
        <w:t>around the disputed site with the faith and</w:t>
      </w:r>
      <w:r>
        <w:rPr>
          <w:spacing w:val="9"/>
          <w:sz w:val="25"/>
        </w:rPr>
        <w:t> </w:t>
      </w:r>
      <w:r>
        <w:rPr>
          <w:sz w:val="25"/>
        </w:rPr>
        <w:t>belief</w:t>
      </w:r>
      <w:r>
        <w:rPr>
          <w:spacing w:val="9"/>
          <w:sz w:val="25"/>
        </w:rPr>
        <w:t> </w:t>
      </w:r>
      <w:r>
        <w:rPr>
          <w:sz w:val="25"/>
        </w:rPr>
        <w:t>that</w:t>
      </w:r>
      <w:r>
        <w:rPr>
          <w:spacing w:val="9"/>
          <w:sz w:val="25"/>
        </w:rPr>
        <w:t> </w:t>
      </w:r>
      <w:r>
        <w:rPr>
          <w:sz w:val="25"/>
        </w:rPr>
        <w:t>it</w:t>
      </w:r>
      <w:r>
        <w:rPr>
          <w:spacing w:val="9"/>
          <w:sz w:val="25"/>
        </w:rPr>
        <w:t> </w:t>
      </w:r>
      <w:r>
        <w:rPr>
          <w:sz w:val="25"/>
        </w:rPr>
        <w:t>marks</w:t>
      </w:r>
      <w:r>
        <w:rPr>
          <w:spacing w:val="9"/>
          <w:sz w:val="25"/>
        </w:rPr>
        <w:t> </w:t>
      </w:r>
      <w:r>
        <w:rPr>
          <w:sz w:val="25"/>
        </w:rPr>
        <w:t>the</w:t>
      </w:r>
      <w:r>
        <w:rPr>
          <w:spacing w:val="10"/>
          <w:sz w:val="25"/>
        </w:rPr>
        <w:t> </w:t>
      </w:r>
      <w:r>
        <w:rPr>
          <w:sz w:val="25"/>
        </w:rPr>
        <w:t>birth-place</w:t>
      </w:r>
      <w:r>
        <w:rPr>
          <w:spacing w:val="10"/>
          <w:sz w:val="25"/>
        </w:rPr>
        <w:t> </w:t>
      </w:r>
      <w:r>
        <w:rPr>
          <w:sz w:val="25"/>
        </w:rPr>
        <w:t>of</w:t>
      </w:r>
      <w:r>
        <w:rPr>
          <w:spacing w:val="10"/>
          <w:sz w:val="25"/>
        </w:rPr>
        <w:t> </w:t>
      </w:r>
      <w:r>
        <w:rPr>
          <w:sz w:val="25"/>
        </w:rPr>
        <w:t>Lord</w:t>
      </w:r>
      <w:r>
        <w:rPr>
          <w:spacing w:val="9"/>
          <w:sz w:val="25"/>
        </w:rPr>
        <w:t> </w:t>
      </w:r>
      <w:r>
        <w:rPr>
          <w:sz w:val="25"/>
        </w:rPr>
        <w:t>Ram.</w:t>
      </w:r>
      <w:r>
        <w:rPr>
          <w:spacing w:val="9"/>
          <w:sz w:val="25"/>
        </w:rPr>
        <w:t> </w:t>
      </w:r>
      <w:r>
        <w:rPr>
          <w:sz w:val="25"/>
        </w:rPr>
        <w:t>It</w:t>
      </w:r>
      <w:r>
        <w:rPr>
          <w:spacing w:val="9"/>
          <w:sz w:val="25"/>
        </w:rPr>
        <w:t> </w:t>
      </w:r>
      <w:r>
        <w:rPr>
          <w:sz w:val="25"/>
        </w:rPr>
        <w:t>has</w:t>
      </w:r>
      <w:r>
        <w:rPr>
          <w:spacing w:val="9"/>
          <w:sz w:val="25"/>
        </w:rPr>
        <w:t> </w:t>
      </w:r>
      <w:r>
        <w:rPr>
          <w:sz w:val="25"/>
        </w:rPr>
        <w:t>thus</w:t>
      </w:r>
      <w:r>
        <w:rPr>
          <w:spacing w:val="9"/>
          <w:sz w:val="25"/>
        </w:rPr>
        <w:t> </w:t>
      </w:r>
      <w:r>
        <w:rPr>
          <w:sz w:val="25"/>
        </w:rPr>
        <w:t>been</w:t>
      </w:r>
      <w:r>
        <w:rPr>
          <w:spacing w:val="9"/>
          <w:sz w:val="25"/>
        </w:rPr>
        <w:t> </w:t>
      </w:r>
      <w:r>
        <w:rPr>
          <w:sz w:val="25"/>
        </w:rPr>
        <w:t>argued</w:t>
      </w:r>
      <w:r>
        <w:rPr>
          <w:spacing w:val="9"/>
          <w:sz w:val="25"/>
        </w:rPr>
        <w:t> </w:t>
      </w:r>
      <w:r>
        <w:rPr>
          <w:sz w:val="25"/>
        </w:rPr>
        <w:t>that</w:t>
      </w:r>
    </w:p>
    <w:p>
      <w:pPr>
        <w:pStyle w:val="BodyText"/>
        <w:spacing w:line="480" w:lineRule="auto" w:before="1"/>
        <w:ind w:left="500" w:right="439"/>
        <w:jc w:val="both"/>
      </w:pPr>
      <w:r>
        <w:rPr/>
        <w:t>‗Asthan Shri Ram Janam Bhumi‘, as a place of religious worship must consequently be elevated to the status of a juristic person </w:t>
      </w:r>
      <w:r>
        <w:rPr>
          <w:i/>
        </w:rPr>
        <w:t>by virtue of the faith </w:t>
      </w:r>
      <w:r>
        <w:rPr>
          <w:i/>
        </w:rPr>
        <w:t>and belief of the worshippers</w:t>
      </w:r>
      <w:r>
        <w:rPr/>
        <w:t>. It was contended that the presence of an idol is dispensable in Hinduism, this contemplates a situation such as in the case before us, where the land is itself worshipped as a deity. Devotees pray to the land as the birth-place of Lord Ram, and consequently, the second plaintiff should, it is urged, be recognised as a juristic person.</w:t>
      </w:r>
    </w:p>
    <w:p>
      <w:pPr>
        <w:pStyle w:val="BodyText"/>
        <w:rPr>
          <w:sz w:val="28"/>
        </w:rPr>
      </w:pPr>
    </w:p>
    <w:p>
      <w:pPr>
        <w:pStyle w:val="BodyText"/>
        <w:rPr>
          <w:sz w:val="22"/>
        </w:rPr>
      </w:pPr>
    </w:p>
    <w:p>
      <w:pPr>
        <w:pStyle w:val="ListParagraph"/>
        <w:numPr>
          <w:ilvl w:val="0"/>
          <w:numId w:val="3"/>
        </w:numPr>
        <w:tabs>
          <w:tab w:pos="1221" w:val="left" w:leader="none"/>
        </w:tabs>
        <w:spacing w:line="482" w:lineRule="auto" w:before="0" w:after="0"/>
        <w:ind w:left="500" w:right="442" w:firstLine="0"/>
        <w:jc w:val="both"/>
        <w:rPr>
          <w:sz w:val="25"/>
        </w:rPr>
      </w:pPr>
      <w:r>
        <w:rPr>
          <w:sz w:val="25"/>
        </w:rPr>
        <w:t>The argument which has been urged on behalf of the plaintiff in Suit 5 is materially</w:t>
      </w:r>
      <w:r>
        <w:rPr>
          <w:spacing w:val="46"/>
          <w:sz w:val="25"/>
        </w:rPr>
        <w:t> </w:t>
      </w:r>
      <w:r>
        <w:rPr>
          <w:sz w:val="25"/>
        </w:rPr>
        <w:t>different</w:t>
      </w:r>
      <w:r>
        <w:rPr>
          <w:spacing w:val="49"/>
          <w:sz w:val="25"/>
        </w:rPr>
        <w:t> </w:t>
      </w:r>
      <w:r>
        <w:rPr>
          <w:sz w:val="25"/>
        </w:rPr>
        <w:t>from</w:t>
      </w:r>
      <w:r>
        <w:rPr>
          <w:spacing w:val="50"/>
          <w:sz w:val="25"/>
        </w:rPr>
        <w:t> </w:t>
      </w:r>
      <w:r>
        <w:rPr>
          <w:sz w:val="25"/>
        </w:rPr>
        <w:t>the</w:t>
      </w:r>
      <w:r>
        <w:rPr>
          <w:spacing w:val="49"/>
          <w:sz w:val="25"/>
        </w:rPr>
        <w:t> </w:t>
      </w:r>
      <w:r>
        <w:rPr>
          <w:sz w:val="25"/>
        </w:rPr>
        <w:t>case</w:t>
      </w:r>
      <w:r>
        <w:rPr>
          <w:spacing w:val="49"/>
          <w:sz w:val="25"/>
        </w:rPr>
        <w:t> </w:t>
      </w:r>
      <w:r>
        <w:rPr>
          <w:sz w:val="25"/>
        </w:rPr>
        <w:t>for</w:t>
      </w:r>
      <w:r>
        <w:rPr>
          <w:spacing w:val="51"/>
          <w:sz w:val="25"/>
        </w:rPr>
        <w:t> </w:t>
      </w:r>
      <w:r>
        <w:rPr>
          <w:sz w:val="25"/>
        </w:rPr>
        <w:t>conferment</w:t>
      </w:r>
      <w:r>
        <w:rPr>
          <w:spacing w:val="49"/>
          <w:sz w:val="25"/>
        </w:rPr>
        <w:t> </w:t>
      </w:r>
      <w:r>
        <w:rPr>
          <w:sz w:val="25"/>
        </w:rPr>
        <w:t>legal</w:t>
      </w:r>
      <w:r>
        <w:rPr>
          <w:spacing w:val="48"/>
          <w:sz w:val="25"/>
        </w:rPr>
        <w:t> </w:t>
      </w:r>
      <w:r>
        <w:rPr>
          <w:sz w:val="25"/>
        </w:rPr>
        <w:t>personality</w:t>
      </w:r>
      <w:r>
        <w:rPr>
          <w:spacing w:val="50"/>
          <w:sz w:val="25"/>
        </w:rPr>
        <w:t> </w:t>
      </w:r>
      <w:r>
        <w:rPr>
          <w:sz w:val="25"/>
        </w:rPr>
        <w:t>on</w:t>
      </w:r>
      <w:r>
        <w:rPr>
          <w:spacing w:val="49"/>
          <w:sz w:val="25"/>
        </w:rPr>
        <w:t> </w:t>
      </w:r>
      <w:r>
        <w:rPr>
          <w:sz w:val="25"/>
        </w:rPr>
        <w:t>a</w:t>
      </w:r>
      <w:r>
        <w:rPr>
          <w:spacing w:val="49"/>
          <w:sz w:val="25"/>
        </w:rPr>
        <w:t> </w:t>
      </w:r>
      <w:r>
        <w:rPr>
          <w:sz w:val="25"/>
        </w:rPr>
        <w:t>Hindu</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endowment. In the case of an endowment, courts have recognised the charitable or religious purpose situated in the institution as a basis for conferring juristic personality on the institution. In doing so, the court recognises the pious purpose of the founder or testator to protect the properties so endowed. However, it is not the case of the plaintiffs in Suit 5 that the property styled as the second plaintiff is </w:t>
      </w:r>
      <w:r>
        <w:rPr>
          <w:spacing w:val="-1"/>
          <w:w w:val="99"/>
        </w:rPr>
        <w:t>d</w:t>
      </w:r>
      <w:r>
        <w:rPr>
          <w:w w:val="99"/>
        </w:rPr>
        <w:t>e</w:t>
      </w:r>
      <w:r>
        <w:rPr>
          <w:spacing w:val="-1"/>
          <w:w w:val="99"/>
        </w:rPr>
        <w:t>b</w:t>
      </w:r>
      <w:r>
        <w:rPr>
          <w:w w:val="99"/>
        </w:rPr>
        <w:t>utter</w:t>
      </w:r>
      <w:r>
        <w:rPr/>
        <w:t> </w:t>
      </w:r>
      <w:r>
        <w:rPr>
          <w:spacing w:val="-19"/>
        </w:rPr>
        <w:t> </w:t>
      </w:r>
      <w:r>
        <w:rPr>
          <w:spacing w:val="-1"/>
          <w:w w:val="99"/>
        </w:rPr>
        <w:t>p</w:t>
      </w:r>
      <w:r>
        <w:rPr>
          <w:w w:val="99"/>
        </w:rPr>
        <w:t>r</w:t>
      </w:r>
      <w:r>
        <w:rPr>
          <w:spacing w:val="-1"/>
          <w:w w:val="99"/>
        </w:rPr>
        <w:t>o</w:t>
      </w:r>
      <w:r>
        <w:rPr>
          <w:spacing w:val="-2"/>
          <w:w w:val="99"/>
        </w:rPr>
        <w:t>p</w:t>
      </w:r>
      <w:r>
        <w:rPr>
          <w:spacing w:val="-1"/>
          <w:w w:val="99"/>
        </w:rPr>
        <w:t>e</w:t>
      </w:r>
      <w:r>
        <w:rPr>
          <w:w w:val="99"/>
        </w:rPr>
        <w:t>rt</w:t>
      </w:r>
      <w:r>
        <w:rPr>
          <w:spacing w:val="-3"/>
          <w:w w:val="99"/>
        </w:rPr>
        <w:t>y</w:t>
      </w:r>
      <w:r>
        <w:rPr>
          <w:w w:val="99"/>
        </w:rPr>
        <w:t>.</w:t>
      </w:r>
      <w:r>
        <w:rPr/>
        <w:t> </w:t>
      </w:r>
      <w:r>
        <w:rPr>
          <w:spacing w:val="-19"/>
        </w:rPr>
        <w:t> </w:t>
      </w:r>
      <w:r>
        <w:rPr>
          <w:spacing w:val="-1"/>
          <w:w w:val="99"/>
        </w:rPr>
        <w:t>Rat</w:t>
      </w:r>
      <w:r>
        <w:rPr>
          <w:w w:val="99"/>
        </w:rPr>
        <w:t>h</w:t>
      </w:r>
      <w:r>
        <w:rPr>
          <w:spacing w:val="-1"/>
          <w:w w:val="99"/>
        </w:rPr>
        <w:t>e</w:t>
      </w:r>
      <w:r>
        <w:rPr>
          <w:w w:val="99"/>
        </w:rPr>
        <w:t>r,</w:t>
      </w:r>
      <w:r>
        <w:rPr/>
        <w:t> </w:t>
      </w:r>
      <w:r>
        <w:rPr>
          <w:spacing w:val="-19"/>
        </w:rPr>
        <w:t> </w:t>
      </w:r>
      <w:r>
        <w:rPr>
          <w:spacing w:val="-1"/>
          <w:w w:val="99"/>
        </w:rPr>
        <w:t>b</w:t>
      </w:r>
      <w:r>
        <w:rPr>
          <w:w w:val="99"/>
        </w:rPr>
        <w:t>y</w:t>
      </w:r>
      <w:r>
        <w:rPr/>
        <w:t> </w:t>
      </w:r>
      <w:r>
        <w:rPr>
          <w:spacing w:val="-22"/>
        </w:rPr>
        <w:t> </w:t>
      </w:r>
      <w:r>
        <w:rPr>
          <w:spacing w:val="-1"/>
          <w:w w:val="99"/>
        </w:rPr>
        <w:t>in</w:t>
      </w:r>
      <w:r>
        <w:rPr>
          <w:spacing w:val="-3"/>
          <w:w w:val="99"/>
        </w:rPr>
        <w:t>v</w:t>
      </w:r>
      <w:r>
        <w:rPr>
          <w:spacing w:val="-1"/>
          <w:w w:val="99"/>
        </w:rPr>
        <w:t>okin</w:t>
      </w:r>
      <w:r>
        <w:rPr>
          <w:w w:val="99"/>
        </w:rPr>
        <w:t>g</w:t>
      </w:r>
      <w:r>
        <w:rPr/>
        <w:t> </w:t>
      </w:r>
      <w:r>
        <w:rPr>
          <w:spacing w:val="-19"/>
        </w:rPr>
        <w:t> </w:t>
      </w:r>
      <w:r>
        <w:rPr>
          <w:w w:val="99"/>
        </w:rPr>
        <w:t>t</w:t>
      </w:r>
      <w:r>
        <w:rPr>
          <w:spacing w:val="2"/>
          <w:w w:val="99"/>
        </w:rPr>
        <w:t>h</w:t>
      </w:r>
      <w:r>
        <w:rPr>
          <w:w w:val="99"/>
        </w:rPr>
        <w:t>e</w:t>
      </w:r>
      <w:r>
        <w:rPr/>
        <w:t> </w:t>
      </w:r>
      <w:r>
        <w:rPr>
          <w:spacing w:val="-19"/>
        </w:rPr>
        <w:t> </w:t>
      </w:r>
      <w:r>
        <w:rPr>
          <w:spacing w:val="-1"/>
          <w:w w:val="99"/>
        </w:rPr>
        <w:t>a</w:t>
      </w:r>
      <w:r>
        <w:rPr>
          <w:w w:val="99"/>
        </w:rPr>
        <w:t>r</w:t>
      </w:r>
      <w:r>
        <w:rPr>
          <w:spacing w:val="-1"/>
          <w:w w:val="99"/>
        </w:rPr>
        <w:t>g</w:t>
      </w:r>
      <w:r>
        <w:rPr>
          <w:w w:val="99"/>
        </w:rPr>
        <w:t>um</w:t>
      </w:r>
      <w:r>
        <w:rPr>
          <w:spacing w:val="-1"/>
          <w:w w:val="99"/>
        </w:rPr>
        <w:t>e</w:t>
      </w:r>
      <w:r>
        <w:rPr>
          <w:w w:val="99"/>
        </w:rPr>
        <w:t>nt</w:t>
      </w:r>
      <w:r>
        <w:rPr/>
        <w:t> </w:t>
      </w:r>
      <w:r>
        <w:rPr>
          <w:spacing w:val="-22"/>
        </w:rPr>
        <w:t> </w:t>
      </w:r>
      <w:r>
        <w:rPr>
          <w:spacing w:val="-1"/>
          <w:w w:val="99"/>
        </w:rPr>
        <w:t>o</w:t>
      </w:r>
      <w:r>
        <w:rPr>
          <w:w w:val="99"/>
        </w:rPr>
        <w:t>f</w:t>
      </w:r>
      <w:r>
        <w:rPr/>
        <w:t> </w:t>
      </w:r>
      <w:r>
        <w:rPr>
          <w:spacing w:val="-19"/>
        </w:rPr>
        <w:t> </w:t>
      </w:r>
      <w:r>
        <w:rPr>
          <w:w w:val="99"/>
        </w:rPr>
        <w:t>a</w:t>
      </w:r>
      <w:r>
        <w:rPr/>
        <w:t> </w:t>
      </w:r>
      <w:r>
        <w:rPr>
          <w:spacing w:val="-19"/>
        </w:rPr>
        <w:t> </w:t>
      </w:r>
      <w:r>
        <w:rPr>
          <w:w w:val="33"/>
        </w:rPr>
        <w:t>―</w:t>
      </w:r>
      <w:r>
        <w:rPr>
          <w:spacing w:val="-1"/>
          <w:w w:val="99"/>
        </w:rPr>
        <w:t>j</w:t>
      </w:r>
      <w:r>
        <w:rPr>
          <w:spacing w:val="-3"/>
          <w:w w:val="99"/>
        </w:rPr>
        <w:t>u</w:t>
      </w:r>
      <w:r>
        <w:rPr>
          <w:w w:val="99"/>
        </w:rPr>
        <w:t>r</w:t>
      </w:r>
      <w:r>
        <w:rPr>
          <w:spacing w:val="-3"/>
          <w:w w:val="99"/>
        </w:rPr>
        <w:t>i</w:t>
      </w:r>
      <w:r>
        <w:rPr>
          <w:w w:val="99"/>
        </w:rPr>
        <w:t>stic</w:t>
      </w:r>
      <w:r>
        <w:rPr/>
        <w:t> </w:t>
      </w:r>
      <w:r>
        <w:rPr>
          <w:spacing w:val="-20"/>
        </w:rPr>
        <w:t> </w:t>
      </w:r>
      <w:r>
        <w:rPr>
          <w:spacing w:val="-1"/>
          <w:w w:val="99"/>
        </w:rPr>
        <w:t>p</w:t>
      </w:r>
      <w:r>
        <w:rPr>
          <w:w w:val="99"/>
        </w:rPr>
        <w:t>erson</w:t>
      </w:r>
      <w:r>
        <w:rPr>
          <w:w w:val="80"/>
        </w:rPr>
        <w:t>‖</w:t>
      </w:r>
      <w:r>
        <w:rPr>
          <w:w w:val="99"/>
        </w:rPr>
        <w:t>,</w:t>
      </w:r>
      <w:r>
        <w:rPr/>
        <w:t> </w:t>
      </w:r>
      <w:r>
        <w:rPr>
          <w:spacing w:val="-19"/>
        </w:rPr>
        <w:t> </w:t>
      </w:r>
      <w:r>
        <w:rPr>
          <w:w w:val="99"/>
        </w:rPr>
        <w:t>the </w:t>
      </w:r>
      <w:r>
        <w:rPr/>
        <w:t>plaintiffs have urged this Court to create an additional ground for the conferral of legal personality – the faith and belief of the devotees. Amongst the ensemble of arguments advanced before this Court, this innovative legal claim is at the heart of the present</w:t>
      </w:r>
      <w:r>
        <w:rPr>
          <w:spacing w:val="-1"/>
        </w:rPr>
        <w:t> </w:t>
      </w:r>
      <w:r>
        <w:rPr/>
        <w:t>dispute.</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The first difficulty that arises in accepting the contention urged by the plaintiffs in Suit 5 stems from the very practical question of how such immovable property is to be delineated. Unlike the case of endowed properties that are delineated in the instrument or deed of endowment itself, where legal personality is sought to be conferred on the basis of faith and belief of the devotees, the devotees themselves may not agree on the exact contours of this property. The question of delineation weighed on the mind of Justice Sudhir Agarwal who stated:</w:t>
      </w:r>
    </w:p>
    <w:p>
      <w:pPr>
        <w:spacing w:before="1"/>
        <w:ind w:left="1940" w:right="2260" w:firstLine="0"/>
        <w:jc w:val="both"/>
        <w:rPr>
          <w:b/>
          <w:sz w:val="21"/>
        </w:rPr>
      </w:pPr>
      <w:r>
        <w:rPr>
          <w:spacing w:val="-1"/>
          <w:w w:val="33"/>
          <w:sz w:val="21"/>
        </w:rPr>
        <w:t>―</w:t>
      </w:r>
      <w:r>
        <w:rPr>
          <w:spacing w:val="-1"/>
          <w:w w:val="100"/>
          <w:sz w:val="21"/>
        </w:rPr>
        <w:t>188</w:t>
      </w:r>
      <w:r>
        <w:rPr>
          <w:w w:val="100"/>
          <w:sz w:val="21"/>
        </w:rPr>
        <w:t>7.</w:t>
      </w:r>
      <w:r>
        <w:rPr>
          <w:sz w:val="21"/>
        </w:rPr>
        <w:t> </w:t>
      </w:r>
      <w:r>
        <w:rPr>
          <w:spacing w:val="-29"/>
          <w:sz w:val="21"/>
        </w:rPr>
        <w:t> </w:t>
      </w:r>
      <w:r>
        <w:rPr>
          <w:b/>
          <w:spacing w:val="-3"/>
          <w:w w:val="100"/>
          <w:sz w:val="21"/>
        </w:rPr>
        <w:t>W</w:t>
      </w:r>
      <w:r>
        <w:rPr>
          <w:b/>
          <w:w w:val="100"/>
          <w:sz w:val="21"/>
        </w:rPr>
        <w:t>hat</w:t>
      </w:r>
      <w:r>
        <w:rPr>
          <w:b/>
          <w:spacing w:val="27"/>
          <w:sz w:val="21"/>
        </w:rPr>
        <w:t> </w:t>
      </w:r>
      <w:r>
        <w:rPr>
          <w:b/>
          <w:spacing w:val="1"/>
          <w:w w:val="100"/>
          <w:sz w:val="21"/>
        </w:rPr>
        <w:t>w</w:t>
      </w:r>
      <w:r>
        <w:rPr>
          <w:b/>
          <w:spacing w:val="-2"/>
          <w:w w:val="100"/>
          <w:sz w:val="21"/>
        </w:rPr>
        <w:t>o</w:t>
      </w:r>
      <w:r>
        <w:rPr>
          <w:b/>
          <w:w w:val="100"/>
          <w:sz w:val="21"/>
        </w:rPr>
        <w:t>uld</w:t>
      </w:r>
      <w:r>
        <w:rPr>
          <w:b/>
          <w:spacing w:val="27"/>
          <w:sz w:val="21"/>
        </w:rPr>
        <w:t> </w:t>
      </w:r>
      <w:r>
        <w:rPr>
          <w:b/>
          <w:w w:val="100"/>
          <w:sz w:val="21"/>
        </w:rPr>
        <w:t>be</w:t>
      </w:r>
      <w:r>
        <w:rPr>
          <w:b/>
          <w:sz w:val="21"/>
        </w:rPr>
        <w:t> </w:t>
      </w:r>
      <w:r>
        <w:rPr>
          <w:b/>
          <w:spacing w:val="-28"/>
          <w:sz w:val="21"/>
        </w:rPr>
        <w:t> </w:t>
      </w:r>
      <w:r>
        <w:rPr>
          <w:b/>
          <w:spacing w:val="-4"/>
          <w:w w:val="100"/>
          <w:sz w:val="21"/>
        </w:rPr>
        <w:t>t</w:t>
      </w:r>
      <w:r>
        <w:rPr>
          <w:b/>
          <w:w w:val="100"/>
          <w:sz w:val="21"/>
        </w:rPr>
        <w:t>he</w:t>
      </w:r>
      <w:r>
        <w:rPr>
          <w:b/>
          <w:sz w:val="21"/>
        </w:rPr>
        <w:t> </w:t>
      </w:r>
      <w:r>
        <w:rPr>
          <w:b/>
          <w:spacing w:val="-28"/>
          <w:sz w:val="21"/>
        </w:rPr>
        <w:t> </w:t>
      </w:r>
      <w:r>
        <w:rPr>
          <w:b/>
          <w:spacing w:val="-1"/>
          <w:w w:val="100"/>
          <w:sz w:val="21"/>
        </w:rPr>
        <w:t>m</w:t>
      </w:r>
      <w:r>
        <w:rPr>
          <w:b/>
          <w:spacing w:val="-3"/>
          <w:w w:val="100"/>
          <w:sz w:val="21"/>
        </w:rPr>
        <w:t>e</w:t>
      </w:r>
      <w:r>
        <w:rPr>
          <w:b/>
          <w:spacing w:val="-1"/>
          <w:w w:val="100"/>
          <w:sz w:val="21"/>
        </w:rPr>
        <w:t>a</w:t>
      </w:r>
      <w:r>
        <w:rPr>
          <w:b/>
          <w:w w:val="100"/>
          <w:sz w:val="21"/>
        </w:rPr>
        <w:t>n</w:t>
      </w:r>
      <w:r>
        <w:rPr>
          <w:b/>
          <w:spacing w:val="-2"/>
          <w:w w:val="100"/>
          <w:sz w:val="21"/>
        </w:rPr>
        <w:t>in</w:t>
      </w:r>
      <w:r>
        <w:rPr>
          <w:b/>
          <w:w w:val="100"/>
          <w:sz w:val="21"/>
        </w:rPr>
        <w:t>g</w:t>
      </w:r>
      <w:r>
        <w:rPr>
          <w:b/>
          <w:sz w:val="21"/>
        </w:rPr>
        <w:t> </w:t>
      </w:r>
      <w:r>
        <w:rPr>
          <w:b/>
          <w:spacing w:val="-28"/>
          <w:sz w:val="21"/>
        </w:rPr>
        <w:t> </w:t>
      </w:r>
      <w:r>
        <w:rPr>
          <w:b/>
          <w:w w:val="100"/>
          <w:sz w:val="21"/>
        </w:rPr>
        <w:t>of</w:t>
      </w:r>
      <w:r>
        <w:rPr>
          <w:b/>
          <w:spacing w:val="27"/>
          <w:sz w:val="21"/>
        </w:rPr>
        <w:t> </w:t>
      </w:r>
      <w:r>
        <w:rPr>
          <w:b/>
          <w:spacing w:val="1"/>
          <w:w w:val="100"/>
          <w:sz w:val="21"/>
        </w:rPr>
        <w:t>w</w:t>
      </w:r>
      <w:r>
        <w:rPr>
          <w:b/>
          <w:spacing w:val="-2"/>
          <w:w w:val="100"/>
          <w:sz w:val="21"/>
        </w:rPr>
        <w:t>o</w:t>
      </w:r>
      <w:r>
        <w:rPr>
          <w:b/>
          <w:spacing w:val="-1"/>
          <w:w w:val="100"/>
          <w:sz w:val="21"/>
        </w:rPr>
        <w:t>r</w:t>
      </w:r>
      <w:r>
        <w:rPr>
          <w:b/>
          <w:w w:val="100"/>
          <w:sz w:val="21"/>
        </w:rPr>
        <w:t>d</w:t>
      </w:r>
      <w:r>
        <w:rPr>
          <w:b/>
          <w:sz w:val="21"/>
        </w:rPr>
        <w:t> </w:t>
      </w:r>
      <w:r>
        <w:rPr>
          <w:b/>
          <w:spacing w:val="-29"/>
          <w:sz w:val="21"/>
        </w:rPr>
        <w:t> </w:t>
      </w:r>
      <w:r>
        <w:rPr>
          <w:b/>
          <w:spacing w:val="-3"/>
          <w:w w:val="50"/>
          <w:sz w:val="21"/>
        </w:rPr>
        <w:t>―</w:t>
      </w:r>
      <w:r>
        <w:rPr>
          <w:b/>
          <w:w w:val="100"/>
          <w:sz w:val="21"/>
        </w:rPr>
        <w:t>p</w:t>
      </w:r>
      <w:r>
        <w:rPr>
          <w:b/>
          <w:spacing w:val="-3"/>
          <w:w w:val="100"/>
          <w:sz w:val="21"/>
        </w:rPr>
        <w:t>l</w:t>
      </w:r>
      <w:r>
        <w:rPr>
          <w:b/>
          <w:spacing w:val="-1"/>
          <w:w w:val="100"/>
          <w:sz w:val="21"/>
        </w:rPr>
        <w:t>ace</w:t>
      </w:r>
      <w:r>
        <w:rPr>
          <w:b/>
          <w:w w:val="100"/>
          <w:sz w:val="21"/>
        </w:rPr>
        <w:t>‖</w:t>
      </w:r>
      <w:r>
        <w:rPr>
          <w:b/>
          <w:sz w:val="21"/>
        </w:rPr>
        <w:t> </w:t>
      </w:r>
      <w:r>
        <w:rPr>
          <w:b/>
          <w:spacing w:val="-28"/>
          <w:sz w:val="21"/>
        </w:rPr>
        <w:t> </w:t>
      </w:r>
      <w:r>
        <w:rPr>
          <w:b/>
          <w:spacing w:val="-3"/>
          <w:w w:val="100"/>
          <w:sz w:val="21"/>
        </w:rPr>
        <w:t>a</w:t>
      </w:r>
      <w:r>
        <w:rPr>
          <w:b/>
          <w:spacing w:val="-2"/>
          <w:w w:val="100"/>
          <w:sz w:val="21"/>
        </w:rPr>
        <w:t>n</w:t>
      </w:r>
      <w:r>
        <w:rPr>
          <w:b/>
          <w:w w:val="100"/>
          <w:sz w:val="21"/>
        </w:rPr>
        <w:t>d </w:t>
      </w:r>
      <w:r>
        <w:rPr>
          <w:b/>
          <w:sz w:val="21"/>
        </w:rPr>
        <w:t>what should be its extent? </w:t>
      </w:r>
      <w:r>
        <w:rPr>
          <w:sz w:val="21"/>
        </w:rPr>
        <w:t>Whether it would be a small place which normally is required for birth of a human being or whether it will cover an area of the entire room, house, locality, city or sometimes one can say even more that that. </w:t>
      </w:r>
      <w:r>
        <w:rPr>
          <w:b/>
          <w:sz w:val="21"/>
        </w:rPr>
        <w:t>We know that Hindus worship rivers and lakes like Ganga, Yamuna, Narmada, Mansarovar etc. They are very sacred and pious. </w:t>
      </w:r>
      <w:r>
        <w:rPr>
          <w:b/>
          <w:spacing w:val="-4"/>
          <w:sz w:val="21"/>
        </w:rPr>
        <w:t>At </w:t>
      </w:r>
      <w:r>
        <w:rPr>
          <w:b/>
          <w:sz w:val="21"/>
        </w:rPr>
        <w:t>several places a number of temples etc. on the bank or near the said rivers have been constructed. The very origin of such sacred rivers is also a place of worship for Hindus like Gangotri, Yamunotri (state of Uttaranchal) and Amarkantak (for</w:t>
      </w:r>
      <w:r>
        <w:rPr>
          <w:b/>
          <w:spacing w:val="39"/>
          <w:sz w:val="21"/>
        </w:rPr>
        <w:t> </w:t>
      </w:r>
      <w:r>
        <w:rPr>
          <w:b/>
          <w:sz w:val="21"/>
        </w:rPr>
        <w:t>river</w:t>
      </w:r>
    </w:p>
    <w:p>
      <w:pPr>
        <w:spacing w:after="0"/>
        <w:jc w:val="both"/>
        <w:rPr>
          <w:sz w:val="21"/>
        </w:rPr>
        <w:sectPr>
          <w:pgSz w:w="11910" w:h="16840"/>
          <w:pgMar w:header="721" w:footer="1014" w:top="1300" w:bottom="1200" w:left="940" w:right="1000"/>
        </w:sectPr>
      </w:pPr>
    </w:p>
    <w:p>
      <w:pPr>
        <w:spacing w:before="122"/>
        <w:ind w:left="1940" w:right="2262" w:firstLine="0"/>
        <w:jc w:val="both"/>
        <w:rPr>
          <w:sz w:val="21"/>
        </w:rPr>
      </w:pPr>
      <w:r>
        <w:rPr>
          <w:b/>
          <w:sz w:val="21"/>
        </w:rPr>
        <w:t>Narmada). Can it be said that the entire length these rivers cover would constitute and satisfy the requirement of a ―juristic personality‖. </w:t>
      </w:r>
      <w:r>
        <w:rPr>
          <w:sz w:val="21"/>
        </w:rPr>
        <w:t>It is not out of place that at several places, the temple of Ganga, Narmada, Yamuna, etc. have been constructed and they are religious endowments in their own rights, enjoy all such legal rights and obligations, etc as are available to such endowments. Similarly certain hills or mountain or hilly terrains as such are treated to be places of worship like, Kailash, Gobardhan, Kamathgiri</w:t>
      </w:r>
      <w:r>
        <w:rPr>
          <w:spacing w:val="-18"/>
          <w:sz w:val="21"/>
        </w:rPr>
        <w:t> </w:t>
      </w:r>
      <w:r>
        <w:rPr>
          <w:sz w:val="21"/>
        </w:rPr>
        <w:t>etc.‖</w:t>
      </w:r>
    </w:p>
    <w:p>
      <w:pPr>
        <w:spacing w:before="2"/>
        <w:ind w:left="5798" w:right="0" w:firstLine="0"/>
        <w:jc w:val="both"/>
        <w:rPr>
          <w:sz w:val="21"/>
        </w:rPr>
      </w:pPr>
      <w:r>
        <w:rPr>
          <w:sz w:val="21"/>
        </w:rPr>
        <w:t>(Emphasis supplied)</w:t>
      </w:r>
    </w:p>
    <w:p>
      <w:pPr>
        <w:pStyle w:val="BodyText"/>
        <w:rPr>
          <w:sz w:val="20"/>
        </w:rPr>
      </w:pPr>
    </w:p>
    <w:p>
      <w:pPr>
        <w:pStyle w:val="BodyText"/>
        <w:spacing w:before="4"/>
        <w:rPr>
          <w:sz w:val="23"/>
        </w:rPr>
      </w:pPr>
    </w:p>
    <w:p>
      <w:pPr>
        <w:pStyle w:val="Heading4"/>
        <w:spacing w:before="91"/>
        <w:jc w:val="left"/>
        <w:rPr>
          <w:i/>
        </w:rPr>
      </w:pPr>
      <w:r>
        <w:rPr>
          <w:i/>
        </w:rPr>
        <w:t>Parikrama</w:t>
      </w:r>
    </w:p>
    <w:p>
      <w:pPr>
        <w:pStyle w:val="BodyText"/>
        <w:rPr>
          <w:i/>
          <w:sz w:val="28"/>
        </w:rPr>
      </w:pPr>
    </w:p>
    <w:p>
      <w:pPr>
        <w:pStyle w:val="BodyText"/>
        <w:spacing w:before="7"/>
        <w:rPr>
          <w:i/>
          <w:sz w:val="22"/>
        </w:rPr>
      </w:pPr>
    </w:p>
    <w:p>
      <w:pPr>
        <w:pStyle w:val="ListParagraph"/>
        <w:numPr>
          <w:ilvl w:val="0"/>
          <w:numId w:val="3"/>
        </w:numPr>
        <w:tabs>
          <w:tab w:pos="1221" w:val="left" w:leader="none"/>
        </w:tabs>
        <w:spacing w:line="480" w:lineRule="auto" w:before="1" w:after="0"/>
        <w:ind w:left="500" w:right="435" w:firstLine="0"/>
        <w:jc w:val="both"/>
        <w:rPr>
          <w:sz w:val="25"/>
        </w:rPr>
      </w:pPr>
      <w:r>
        <w:rPr>
          <w:sz w:val="25"/>
        </w:rPr>
        <w:t>Despite these difficulties, the learned judge concluded that ‗Asthan Sri Ram Janam Bhumi‘ was a juristic person. It was urged before us that it is not the entirety of Ayodhya that is the juristic person, but only the disputed property. When a question was raised by the Bench as to the physical boundaries of the alleged juristic person, it was urged that the performance of the </w:t>
      </w:r>
      <w:r>
        <w:rPr>
          <w:i/>
          <w:sz w:val="25"/>
        </w:rPr>
        <w:t>parikrama </w:t>
      </w:r>
      <w:r>
        <w:rPr>
          <w:i/>
          <w:sz w:val="25"/>
        </w:rPr>
        <w:t>(</w:t>
      </w:r>
      <w:r>
        <w:rPr>
          <w:sz w:val="25"/>
        </w:rPr>
        <w:t>circumambulation) around the disputed property delineated the property which was worshipped as the Janmasthan and it is this property, being divine, upon which the status of a juristic person must be conferred. In this view, the </w:t>
      </w:r>
      <w:r>
        <w:rPr>
          <w:i/>
          <w:sz w:val="25"/>
        </w:rPr>
        <w:t>parikrama </w:t>
      </w:r>
      <w:r>
        <w:rPr>
          <w:sz w:val="25"/>
        </w:rPr>
        <w:t>served to mark the boundaries of the juristic person. On the other hand, Dr Dhavan urged that the </w:t>
      </w:r>
      <w:r>
        <w:rPr>
          <w:i/>
          <w:sz w:val="25"/>
        </w:rPr>
        <w:t>parikrama </w:t>
      </w:r>
      <w:r>
        <w:rPr>
          <w:sz w:val="25"/>
        </w:rPr>
        <w:t>is merely a form of worship and not a method of delineating the boundaries of a</w:t>
      </w:r>
      <w:r>
        <w:rPr>
          <w:spacing w:val="-4"/>
          <w:sz w:val="25"/>
        </w:rPr>
        <w:t> </w:t>
      </w:r>
      <w:r>
        <w:rPr>
          <w:sz w:val="25"/>
        </w:rPr>
        <w:t>property.</w:t>
      </w:r>
    </w:p>
    <w:p>
      <w:pPr>
        <w:pStyle w:val="BodyText"/>
      </w:pPr>
    </w:p>
    <w:p>
      <w:pPr>
        <w:pStyle w:val="ListParagraph"/>
        <w:numPr>
          <w:ilvl w:val="0"/>
          <w:numId w:val="3"/>
        </w:numPr>
        <w:tabs>
          <w:tab w:pos="1221" w:val="left" w:leader="none"/>
        </w:tabs>
        <w:spacing w:line="480" w:lineRule="auto" w:before="1" w:after="0"/>
        <w:ind w:left="500" w:right="439" w:firstLine="0"/>
        <w:jc w:val="both"/>
        <w:rPr>
          <w:sz w:val="25"/>
        </w:rPr>
      </w:pPr>
      <w:r>
        <w:rPr>
          <w:sz w:val="25"/>
        </w:rPr>
        <w:t>The </w:t>
      </w:r>
      <w:r>
        <w:rPr>
          <w:i/>
          <w:sz w:val="25"/>
        </w:rPr>
        <w:t>parikrama </w:t>
      </w:r>
      <w:r>
        <w:rPr>
          <w:sz w:val="25"/>
        </w:rPr>
        <w:t>may be performed around a small idol, shrine, temple or land in which the temple is situated. However, its principle purpose is to offer worship to the divine and it is performed with the belief that the </w:t>
      </w:r>
      <w:r>
        <w:rPr>
          <w:i/>
          <w:sz w:val="25"/>
        </w:rPr>
        <w:t>parikrama </w:t>
      </w:r>
      <w:r>
        <w:rPr>
          <w:sz w:val="25"/>
        </w:rPr>
        <w:t>would result in the performer being the recipient of some spiritual benefit. The </w:t>
      </w:r>
      <w:r>
        <w:rPr>
          <w:i/>
          <w:sz w:val="25"/>
        </w:rPr>
        <w:t>parikrama </w:t>
      </w:r>
      <w:r>
        <w:rPr>
          <w:sz w:val="25"/>
        </w:rPr>
        <w:t>is not performed in order to mark the exact boundaries of the property to which juristic</w:t>
      </w:r>
      <w:r>
        <w:rPr>
          <w:spacing w:val="42"/>
          <w:sz w:val="25"/>
        </w:rPr>
        <w:t> </w:t>
      </w:r>
      <w:r>
        <w:rPr>
          <w:sz w:val="25"/>
        </w:rPr>
        <w:t>personality</w:t>
      </w:r>
      <w:r>
        <w:rPr>
          <w:spacing w:val="44"/>
          <w:sz w:val="25"/>
        </w:rPr>
        <w:t> </w:t>
      </w:r>
      <w:r>
        <w:rPr>
          <w:sz w:val="25"/>
        </w:rPr>
        <w:t>is</w:t>
      </w:r>
      <w:r>
        <w:rPr>
          <w:spacing w:val="46"/>
          <w:sz w:val="25"/>
        </w:rPr>
        <w:t> </w:t>
      </w:r>
      <w:r>
        <w:rPr>
          <w:sz w:val="25"/>
        </w:rPr>
        <w:t>conferred.</w:t>
      </w:r>
      <w:r>
        <w:rPr>
          <w:spacing w:val="44"/>
          <w:sz w:val="25"/>
        </w:rPr>
        <w:t> </w:t>
      </w:r>
      <w:r>
        <w:rPr>
          <w:sz w:val="25"/>
        </w:rPr>
        <w:t>The</w:t>
      </w:r>
      <w:r>
        <w:rPr>
          <w:spacing w:val="44"/>
          <w:sz w:val="25"/>
        </w:rPr>
        <w:t> </w:t>
      </w:r>
      <w:r>
        <w:rPr>
          <w:sz w:val="25"/>
        </w:rPr>
        <w:t>performance</w:t>
      </w:r>
      <w:r>
        <w:rPr>
          <w:spacing w:val="43"/>
          <w:sz w:val="25"/>
        </w:rPr>
        <w:t> </w:t>
      </w:r>
      <w:r>
        <w:rPr>
          <w:sz w:val="25"/>
        </w:rPr>
        <w:t>of</w:t>
      </w:r>
      <w:r>
        <w:rPr>
          <w:spacing w:val="44"/>
          <w:sz w:val="25"/>
        </w:rPr>
        <w:t> </w:t>
      </w:r>
      <w:r>
        <w:rPr>
          <w:sz w:val="25"/>
        </w:rPr>
        <w:t>the</w:t>
      </w:r>
      <w:r>
        <w:rPr>
          <w:spacing w:val="52"/>
          <w:sz w:val="25"/>
        </w:rPr>
        <w:t> </w:t>
      </w:r>
      <w:r>
        <w:rPr>
          <w:i/>
          <w:sz w:val="25"/>
        </w:rPr>
        <w:t>parikrama</w:t>
      </w:r>
      <w:r>
        <w:rPr>
          <w:sz w:val="25"/>
        </w:rPr>
        <w:t>,</w:t>
      </w:r>
      <w:r>
        <w:rPr>
          <w:spacing w:val="44"/>
          <w:sz w:val="25"/>
        </w:rPr>
        <w:t> </w:t>
      </w:r>
      <w:r>
        <w:rPr>
          <w:sz w:val="25"/>
        </w:rPr>
        <w:t>which</w:t>
      </w:r>
      <w:r>
        <w:rPr>
          <w:spacing w:val="45"/>
          <w:sz w:val="25"/>
        </w:rPr>
        <w:t> </w:t>
      </w:r>
      <w:r>
        <w:rPr>
          <w:sz w:val="25"/>
        </w:rPr>
        <w:t>is</w:t>
      </w:r>
      <w:r>
        <w:rPr>
          <w:spacing w:val="43"/>
          <w:sz w:val="25"/>
        </w:rPr>
        <w:t> </w:t>
      </w:r>
      <w:r>
        <w:rPr>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512"/>
      </w:pPr>
      <w:r>
        <w:rPr/>
        <w:t>form of worship conducted as a matter of faith and belief cannot be claimed as the basis of an entitlement in law to a proprietary claim over</w:t>
      </w:r>
      <w:r>
        <w:rPr>
          <w:spacing w:val="-11"/>
        </w:rPr>
        <w:t> </w:t>
      </w:r>
      <w:r>
        <w:rPr/>
        <w:t>property.</w:t>
      </w:r>
    </w:p>
    <w:p>
      <w:pPr>
        <w:pStyle w:val="BodyText"/>
        <w:spacing w:before="2"/>
      </w:pPr>
    </w:p>
    <w:p>
      <w:pPr>
        <w:pStyle w:val="Heading4"/>
        <w:jc w:val="left"/>
        <w:rPr>
          <w:i/>
        </w:rPr>
      </w:pPr>
      <w:r>
        <w:rPr>
          <w:i/>
        </w:rPr>
        <w:t>Ram Jankijee Deities</w:t>
      </w:r>
    </w:p>
    <w:p>
      <w:pPr>
        <w:pStyle w:val="BodyText"/>
        <w:rPr>
          <w:i/>
          <w:sz w:val="28"/>
        </w:rPr>
      </w:pPr>
    </w:p>
    <w:p>
      <w:pPr>
        <w:pStyle w:val="BodyText"/>
        <w:spacing w:before="9"/>
        <w:rPr>
          <w:i/>
          <w:sz w:val="22"/>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The counsel for the plaintiffs in Suit 5 relied on the observations by this Court in </w:t>
      </w:r>
      <w:r>
        <w:rPr>
          <w:b/>
          <w:sz w:val="25"/>
        </w:rPr>
        <w:t>Ram Jankijee Deities </w:t>
      </w:r>
      <w:r>
        <w:rPr>
          <w:sz w:val="25"/>
        </w:rPr>
        <w:t>v </w:t>
      </w:r>
      <w:r>
        <w:rPr>
          <w:b/>
          <w:sz w:val="25"/>
        </w:rPr>
        <w:t>State of Bihar</w:t>
      </w:r>
      <w:r>
        <w:rPr>
          <w:sz w:val="25"/>
          <w:vertAlign w:val="superscript"/>
        </w:rPr>
        <w:t>99</w:t>
      </w:r>
      <w:r>
        <w:rPr>
          <w:sz w:val="25"/>
          <w:vertAlign w:val="baseline"/>
        </w:rPr>
        <w:t> to contend that the manner of consecrating a deity is subjective and based on the determination of the devotees. It was submitted that any method of consecration chosen by the devotees is adequate for the conferral of legal personality on the deity. In </w:t>
      </w:r>
      <w:r>
        <w:rPr>
          <w:spacing w:val="2"/>
          <w:sz w:val="25"/>
          <w:vertAlign w:val="baseline"/>
        </w:rPr>
        <w:t>that </w:t>
      </w:r>
      <w:r>
        <w:rPr>
          <w:sz w:val="25"/>
          <w:vertAlign w:val="baseline"/>
        </w:rPr>
        <w:t>case, the question before the court concerned whether the consecration of a  deity with a visible image by the performance of appropriate ceremonies led to the establishment of a valid deity upon which juridical personality could be </w:t>
      </w:r>
      <w:r>
        <w:rPr>
          <w:w w:val="99"/>
          <w:sz w:val="25"/>
          <w:vertAlign w:val="baseline"/>
        </w:rPr>
        <w:t>confe</w:t>
      </w:r>
      <w:r>
        <w:rPr>
          <w:spacing w:val="1"/>
          <w:w w:val="99"/>
          <w:sz w:val="25"/>
          <w:vertAlign w:val="baseline"/>
        </w:rPr>
        <w:t>r</w:t>
      </w:r>
      <w:r>
        <w:rPr>
          <w:w w:val="99"/>
          <w:sz w:val="25"/>
          <w:vertAlign w:val="baseline"/>
        </w:rPr>
        <w:t>r</w:t>
      </w:r>
      <w:r>
        <w:rPr>
          <w:spacing w:val="-1"/>
          <w:w w:val="99"/>
          <w:sz w:val="25"/>
          <w:vertAlign w:val="baseline"/>
        </w:rPr>
        <w:t>e</w:t>
      </w:r>
      <w:r>
        <w:rPr>
          <w:w w:val="99"/>
          <w:sz w:val="25"/>
          <w:vertAlign w:val="baseline"/>
        </w:rPr>
        <w:t>d</w:t>
      </w:r>
      <w:r>
        <w:rPr>
          <w:spacing w:val="33"/>
          <w:sz w:val="25"/>
          <w:vertAlign w:val="baseline"/>
        </w:rPr>
        <w:t> </w:t>
      </w:r>
      <w:r>
        <w:rPr>
          <w:w w:val="33"/>
          <w:sz w:val="25"/>
          <w:vertAlign w:val="baseline"/>
        </w:rPr>
        <w:t>―</w:t>
      </w:r>
      <w:r>
        <w:rPr>
          <w:w w:val="99"/>
          <w:sz w:val="25"/>
          <w:vertAlign w:val="baseline"/>
        </w:rPr>
        <w:t>for</w:t>
      </w:r>
      <w:r>
        <w:rPr>
          <w:spacing w:val="34"/>
          <w:sz w:val="25"/>
          <w:vertAlign w:val="baseline"/>
        </w:rPr>
        <w:t> </w:t>
      </w:r>
      <w:r>
        <w:rPr>
          <w:w w:val="99"/>
          <w:sz w:val="25"/>
          <w:vertAlign w:val="baseline"/>
        </w:rPr>
        <w:t>the</w:t>
      </w:r>
      <w:r>
        <w:rPr>
          <w:spacing w:val="34"/>
          <w:sz w:val="25"/>
          <w:vertAlign w:val="baseline"/>
        </w:rPr>
        <w:t> </w:t>
      </w:r>
      <w:r>
        <w:rPr>
          <w:spacing w:val="-1"/>
          <w:w w:val="99"/>
          <w:sz w:val="25"/>
          <w:vertAlign w:val="baseline"/>
        </w:rPr>
        <w:t>p</w:t>
      </w:r>
      <w:r>
        <w:rPr>
          <w:spacing w:val="1"/>
          <w:w w:val="99"/>
          <w:sz w:val="25"/>
          <w:vertAlign w:val="baseline"/>
        </w:rPr>
        <w:t>u</w:t>
      </w:r>
      <w:r>
        <w:rPr>
          <w:spacing w:val="-2"/>
          <w:w w:val="99"/>
          <w:sz w:val="25"/>
          <w:vertAlign w:val="baseline"/>
        </w:rPr>
        <w:t>r</w:t>
      </w:r>
      <w:r>
        <w:rPr>
          <w:w w:val="99"/>
          <w:sz w:val="25"/>
          <w:vertAlign w:val="baseline"/>
        </w:rPr>
        <w:t>po</w:t>
      </w:r>
      <w:r>
        <w:rPr>
          <w:w w:val="99"/>
          <w:sz w:val="25"/>
          <w:vertAlign w:val="baseline"/>
        </w:rPr>
        <w:t>se</w:t>
      </w:r>
      <w:r>
        <w:rPr>
          <w:spacing w:val="33"/>
          <w:sz w:val="25"/>
          <w:vertAlign w:val="baseline"/>
        </w:rPr>
        <w:t> </w:t>
      </w:r>
      <w:r>
        <w:rPr>
          <w:w w:val="99"/>
          <w:sz w:val="25"/>
          <w:vertAlign w:val="baseline"/>
        </w:rPr>
        <w:t>of</w:t>
      </w:r>
      <w:r>
        <w:rPr>
          <w:spacing w:val="34"/>
          <w:sz w:val="25"/>
          <w:vertAlign w:val="baseline"/>
        </w:rPr>
        <w:t> </w:t>
      </w:r>
      <w:r>
        <w:rPr>
          <w:w w:val="99"/>
          <w:sz w:val="25"/>
          <w:vertAlign w:val="baseline"/>
        </w:rPr>
        <w:t>the</w:t>
      </w:r>
      <w:r>
        <w:rPr>
          <w:spacing w:val="34"/>
          <w:sz w:val="25"/>
          <w:vertAlign w:val="baseline"/>
        </w:rPr>
        <w:t> </w:t>
      </w:r>
      <w:r>
        <w:rPr>
          <w:spacing w:val="-1"/>
          <w:w w:val="99"/>
          <w:sz w:val="25"/>
          <w:vertAlign w:val="baseline"/>
        </w:rPr>
        <w:t>B</w:t>
      </w:r>
      <w:r>
        <w:rPr>
          <w:w w:val="99"/>
          <w:sz w:val="25"/>
          <w:vertAlign w:val="baseline"/>
        </w:rPr>
        <w:t>ihar</w:t>
      </w:r>
      <w:r>
        <w:rPr>
          <w:spacing w:val="34"/>
          <w:sz w:val="25"/>
          <w:vertAlign w:val="baseline"/>
        </w:rPr>
        <w:t> </w:t>
      </w:r>
      <w:r>
        <w:rPr>
          <w:w w:val="99"/>
          <w:sz w:val="25"/>
          <w:vertAlign w:val="baseline"/>
        </w:rPr>
        <w:t>Land</w:t>
      </w:r>
      <w:r>
        <w:rPr>
          <w:spacing w:val="33"/>
          <w:sz w:val="25"/>
          <w:vertAlign w:val="baseline"/>
        </w:rPr>
        <w:t> </w:t>
      </w:r>
      <w:r>
        <w:rPr>
          <w:w w:val="99"/>
          <w:sz w:val="25"/>
          <w:vertAlign w:val="baseline"/>
        </w:rPr>
        <w:t>Refo</w:t>
      </w:r>
      <w:r>
        <w:rPr>
          <w:w w:val="99"/>
          <w:sz w:val="25"/>
          <w:vertAlign w:val="baseline"/>
        </w:rPr>
        <w:t>rms</w:t>
      </w:r>
      <w:r>
        <w:rPr>
          <w:spacing w:val="33"/>
          <w:sz w:val="25"/>
          <w:vertAlign w:val="baseline"/>
        </w:rPr>
        <w:t> </w:t>
      </w:r>
      <w:r>
        <w:rPr>
          <w:w w:val="99"/>
          <w:sz w:val="25"/>
          <w:vertAlign w:val="baseline"/>
        </w:rPr>
        <w:t>(</w:t>
      </w:r>
      <w:r>
        <w:rPr>
          <w:w w:val="99"/>
          <w:sz w:val="25"/>
          <w:vertAlign w:val="baseline"/>
        </w:rPr>
        <w:t>F</w:t>
      </w:r>
      <w:r>
        <w:rPr>
          <w:w w:val="99"/>
          <w:sz w:val="25"/>
          <w:vertAlign w:val="baseline"/>
        </w:rPr>
        <w:t>i</w:t>
      </w:r>
      <w:r>
        <w:rPr>
          <w:spacing w:val="-3"/>
          <w:w w:val="99"/>
          <w:sz w:val="25"/>
          <w:vertAlign w:val="baseline"/>
        </w:rPr>
        <w:t>x</w:t>
      </w:r>
      <w:r>
        <w:rPr>
          <w:w w:val="99"/>
          <w:sz w:val="25"/>
          <w:vertAlign w:val="baseline"/>
        </w:rPr>
        <w:t>ation</w:t>
      </w:r>
      <w:r>
        <w:rPr>
          <w:spacing w:val="33"/>
          <w:sz w:val="25"/>
          <w:vertAlign w:val="baseline"/>
        </w:rPr>
        <w:t> </w:t>
      </w:r>
      <w:r>
        <w:rPr>
          <w:w w:val="99"/>
          <w:sz w:val="25"/>
          <w:vertAlign w:val="baseline"/>
        </w:rPr>
        <w:t>of</w:t>
      </w:r>
      <w:r>
        <w:rPr>
          <w:spacing w:val="34"/>
          <w:sz w:val="25"/>
          <w:vertAlign w:val="baseline"/>
        </w:rPr>
        <w:t> </w:t>
      </w:r>
      <w:r>
        <w:rPr>
          <w:w w:val="99"/>
          <w:sz w:val="25"/>
          <w:vertAlign w:val="baseline"/>
        </w:rPr>
        <w:t>Ceiling</w:t>
      </w:r>
      <w:r>
        <w:rPr>
          <w:spacing w:val="33"/>
          <w:sz w:val="25"/>
          <w:vertAlign w:val="baseline"/>
        </w:rPr>
        <w:t> </w:t>
      </w:r>
      <w:r>
        <w:rPr>
          <w:spacing w:val="-1"/>
          <w:w w:val="99"/>
          <w:sz w:val="25"/>
          <w:vertAlign w:val="baseline"/>
        </w:rPr>
        <w:t>A</w:t>
      </w:r>
      <w:r>
        <w:rPr>
          <w:w w:val="99"/>
          <w:sz w:val="25"/>
          <w:vertAlign w:val="baseline"/>
        </w:rPr>
        <w:t>r</w:t>
      </w:r>
      <w:r>
        <w:rPr>
          <w:spacing w:val="2"/>
          <w:w w:val="99"/>
          <w:sz w:val="25"/>
          <w:vertAlign w:val="baseline"/>
        </w:rPr>
        <w:t>e</w:t>
      </w:r>
      <w:r>
        <w:rPr>
          <w:w w:val="99"/>
          <w:sz w:val="25"/>
          <w:vertAlign w:val="baseline"/>
        </w:rPr>
        <w:t>a </w:t>
      </w:r>
      <w:r>
        <w:rPr>
          <w:sz w:val="25"/>
          <w:vertAlign w:val="baseline"/>
        </w:rPr>
        <w:t>and Acquisition of Surplus Land) Act 1961‖. Two deeds of dedication were executed – one to the deity, Ram Jankijee and the other to the deity, Thakur Raja. Both deities, recognised as distinct entities, were given separate properties and put in possession through the shebaits. Both deities were located in separate temples within the dedicated</w:t>
      </w:r>
      <w:r>
        <w:rPr>
          <w:spacing w:val="-2"/>
          <w:sz w:val="25"/>
          <w:vertAlign w:val="baseline"/>
        </w:rPr>
        <w:t> </w:t>
      </w:r>
      <w:r>
        <w:rPr>
          <w:sz w:val="25"/>
          <w:vertAlign w:val="baseline"/>
        </w:rPr>
        <w:t>property.</w:t>
      </w:r>
    </w:p>
    <w:p>
      <w:pPr>
        <w:pStyle w:val="BodyText"/>
      </w:pPr>
    </w:p>
    <w:p>
      <w:pPr>
        <w:pStyle w:val="ListParagraph"/>
        <w:numPr>
          <w:ilvl w:val="0"/>
          <w:numId w:val="3"/>
        </w:numPr>
        <w:tabs>
          <w:tab w:pos="1221" w:val="left" w:leader="none"/>
        </w:tabs>
        <w:spacing w:line="480" w:lineRule="auto" w:before="0" w:after="0"/>
        <w:ind w:left="500" w:right="440" w:firstLine="0"/>
        <w:jc w:val="both"/>
        <w:rPr>
          <w:sz w:val="25"/>
        </w:rPr>
      </w:pPr>
      <w:r>
        <w:rPr/>
        <w:pict>
          <v:rect style="position:absolute;margin-left:72.024002pt;margin-top:148.784882pt;width:144.020pt;height:.599980pt;mso-position-horizontal-relative:page;mso-position-vertical-relative:paragraph;z-index:-15696384;mso-wrap-distance-left:0;mso-wrap-distance-right:0" filled="true" fillcolor="#000000" stroked="false">
            <v:fill type="solid"/>
            <w10:wrap type="topAndBottom"/>
          </v:rect>
        </w:pict>
      </w:r>
      <w:r>
        <w:rPr>
          <w:sz w:val="25"/>
        </w:rPr>
        <w:t>The Deputy Collector, for the purposes of the fixation of ceiling area, allowed two land units to the deities on the ground that there are separate deities to which the land was gifted. The Collector disagreed and allowed a single unit on the ground that the entire property held by both deities was to be managed by a committee formed under the Religious Trust Board and there was no evidence on</w:t>
      </w:r>
    </w:p>
    <w:p>
      <w:pPr>
        <w:spacing w:before="80"/>
        <w:ind w:left="500" w:right="0" w:firstLine="0"/>
        <w:jc w:val="left"/>
        <w:rPr>
          <w:sz w:val="18"/>
        </w:rPr>
      </w:pPr>
      <w:r>
        <w:rPr>
          <w:sz w:val="18"/>
          <w:vertAlign w:val="superscript"/>
        </w:rPr>
        <w:t>99</w:t>
      </w:r>
      <w:r>
        <w:rPr>
          <w:sz w:val="18"/>
          <w:vertAlign w:val="baseline"/>
        </w:rPr>
        <w:t> (1999) 5 SCC 50</w:t>
      </w:r>
    </w:p>
    <w:p>
      <w:pPr>
        <w:spacing w:after="0"/>
        <w:jc w:val="left"/>
        <w:rPr>
          <w:sz w:val="18"/>
        </w:rPr>
        <w:sectPr>
          <w:pgSz w:w="11910" w:h="16840"/>
          <w:pgMar w:header="721" w:footer="1014" w:top="1300" w:bottom="1200" w:left="940" w:right="1000"/>
        </w:sectPr>
      </w:pPr>
    </w:p>
    <w:p>
      <w:pPr>
        <w:pStyle w:val="BodyText"/>
        <w:spacing w:line="480" w:lineRule="auto" w:before="124"/>
        <w:ind w:left="500" w:right="437"/>
        <w:jc w:val="both"/>
      </w:pPr>
      <w:r>
        <w:rPr/>
        <w:t>the property donated to the deities being treated differently. This Court sought to answer whether the two deities were separate and distinct legal entities. It is pertinent to note that the Single Judge of the High Court held that the image of the deity styled as Thakur Raja (or Raja Rani) was not known to Hindu scriptures and hence, there is no second deity to which a separate dedication could be made. It is in this context that this Court observed, speaking through Justice Umesh</w:t>
      </w:r>
      <w:r>
        <w:rPr>
          <w:spacing w:val="-2"/>
        </w:rPr>
        <w:t> </w:t>
      </w:r>
      <w:r>
        <w:rPr/>
        <w:t>Banerjee:</w:t>
      </w:r>
    </w:p>
    <w:p>
      <w:pPr>
        <w:spacing w:line="276" w:lineRule="auto" w:before="0"/>
        <w:ind w:left="1940" w:right="2257" w:firstLine="0"/>
        <w:jc w:val="both"/>
        <w:rPr>
          <w:sz w:val="21"/>
        </w:rPr>
      </w:pPr>
      <w:r>
        <w:rPr>
          <w:spacing w:val="-1"/>
          <w:w w:val="33"/>
          <w:sz w:val="21"/>
        </w:rPr>
        <w:t>―</w:t>
      </w:r>
      <w:r>
        <w:rPr>
          <w:spacing w:val="-1"/>
          <w:w w:val="100"/>
          <w:sz w:val="21"/>
        </w:rPr>
        <w:t>14</w:t>
      </w:r>
      <w:r>
        <w:rPr>
          <w:w w:val="100"/>
          <w:sz w:val="21"/>
        </w:rPr>
        <w:t>.</w:t>
      </w:r>
      <w:r>
        <w:rPr>
          <w:spacing w:val="24"/>
          <w:sz w:val="21"/>
        </w:rPr>
        <w:t> </w:t>
      </w:r>
      <w:r>
        <w:rPr>
          <w:spacing w:val="-2"/>
          <w:w w:val="100"/>
          <w:sz w:val="21"/>
        </w:rPr>
        <w:t>I</w:t>
      </w:r>
      <w:r>
        <w:rPr>
          <w:spacing w:val="-1"/>
          <w:w w:val="100"/>
          <w:sz w:val="21"/>
        </w:rPr>
        <w:t>mage</w:t>
      </w:r>
      <w:r>
        <w:rPr>
          <w:w w:val="100"/>
          <w:sz w:val="21"/>
        </w:rPr>
        <w:t>s</w:t>
      </w:r>
      <w:r>
        <w:rPr>
          <w:spacing w:val="23"/>
          <w:sz w:val="21"/>
        </w:rPr>
        <w:t> </w:t>
      </w:r>
      <w:r>
        <w:rPr>
          <w:spacing w:val="-1"/>
          <w:w w:val="100"/>
          <w:sz w:val="21"/>
        </w:rPr>
        <w:t>ac</w:t>
      </w:r>
      <w:r>
        <w:rPr>
          <w:spacing w:val="-3"/>
          <w:w w:val="100"/>
          <w:sz w:val="21"/>
        </w:rPr>
        <w:t>c</w:t>
      </w:r>
      <w:r>
        <w:rPr>
          <w:spacing w:val="-1"/>
          <w:w w:val="100"/>
          <w:sz w:val="21"/>
        </w:rPr>
        <w:t>or</w:t>
      </w:r>
      <w:r>
        <w:rPr>
          <w:spacing w:val="-3"/>
          <w:w w:val="100"/>
          <w:sz w:val="21"/>
        </w:rPr>
        <w:t>d</w:t>
      </w:r>
      <w:r>
        <w:rPr>
          <w:w w:val="100"/>
          <w:sz w:val="21"/>
        </w:rPr>
        <w:t>i</w:t>
      </w:r>
      <w:r>
        <w:rPr>
          <w:spacing w:val="-1"/>
          <w:w w:val="100"/>
          <w:sz w:val="21"/>
        </w:rPr>
        <w:t>n</w:t>
      </w:r>
      <w:r>
        <w:rPr>
          <w:w w:val="100"/>
          <w:sz w:val="21"/>
        </w:rPr>
        <w:t>g</w:t>
      </w:r>
      <w:r>
        <w:rPr>
          <w:spacing w:val="25"/>
          <w:sz w:val="21"/>
        </w:rPr>
        <w:t> </w:t>
      </w:r>
      <w:r>
        <w:rPr>
          <w:spacing w:val="-2"/>
          <w:w w:val="100"/>
          <w:sz w:val="21"/>
        </w:rPr>
        <w:t>t</w:t>
      </w:r>
      <w:r>
        <w:rPr>
          <w:w w:val="100"/>
          <w:sz w:val="21"/>
        </w:rPr>
        <w:t>o</w:t>
      </w:r>
      <w:r>
        <w:rPr>
          <w:spacing w:val="23"/>
          <w:sz w:val="21"/>
        </w:rPr>
        <w:t> </w:t>
      </w:r>
      <w:r>
        <w:rPr>
          <w:spacing w:val="-2"/>
          <w:w w:val="100"/>
          <w:sz w:val="21"/>
        </w:rPr>
        <w:t>H</w:t>
      </w:r>
      <w:r>
        <w:rPr>
          <w:w w:val="100"/>
          <w:sz w:val="21"/>
        </w:rPr>
        <w:t>i</w:t>
      </w:r>
      <w:r>
        <w:rPr>
          <w:spacing w:val="-1"/>
          <w:w w:val="100"/>
          <w:sz w:val="21"/>
        </w:rPr>
        <w:t>n</w:t>
      </w:r>
      <w:r>
        <w:rPr>
          <w:spacing w:val="-3"/>
          <w:w w:val="100"/>
          <w:sz w:val="21"/>
        </w:rPr>
        <w:t>d</w:t>
      </w:r>
      <w:r>
        <w:rPr>
          <w:w w:val="100"/>
          <w:sz w:val="21"/>
        </w:rPr>
        <w:t>u</w:t>
      </w:r>
      <w:r>
        <w:rPr>
          <w:spacing w:val="25"/>
          <w:sz w:val="21"/>
        </w:rPr>
        <w:t> </w:t>
      </w:r>
      <w:r>
        <w:rPr>
          <w:spacing w:val="-1"/>
          <w:w w:val="100"/>
          <w:sz w:val="21"/>
        </w:rPr>
        <w:t>aut</w:t>
      </w:r>
      <w:r>
        <w:rPr>
          <w:spacing w:val="-3"/>
          <w:w w:val="100"/>
          <w:sz w:val="21"/>
        </w:rPr>
        <w:t>h</w:t>
      </w:r>
      <w:r>
        <w:rPr>
          <w:spacing w:val="-1"/>
          <w:w w:val="100"/>
          <w:sz w:val="21"/>
        </w:rPr>
        <w:t>orit</w:t>
      </w:r>
      <w:r>
        <w:rPr>
          <w:spacing w:val="-2"/>
          <w:w w:val="100"/>
          <w:sz w:val="21"/>
        </w:rPr>
        <w:t>i</w:t>
      </w:r>
      <w:r>
        <w:rPr>
          <w:spacing w:val="-1"/>
          <w:w w:val="100"/>
          <w:sz w:val="21"/>
        </w:rPr>
        <w:t>e</w:t>
      </w:r>
      <w:r>
        <w:rPr>
          <w:w w:val="100"/>
          <w:sz w:val="21"/>
        </w:rPr>
        <w:t>s</w:t>
      </w:r>
      <w:r>
        <w:rPr>
          <w:spacing w:val="25"/>
          <w:sz w:val="21"/>
        </w:rPr>
        <w:t> </w:t>
      </w:r>
      <w:r>
        <w:rPr>
          <w:spacing w:val="-1"/>
          <w:w w:val="100"/>
          <w:sz w:val="21"/>
        </w:rPr>
        <w:t>a</w:t>
      </w:r>
      <w:r>
        <w:rPr>
          <w:spacing w:val="-3"/>
          <w:w w:val="100"/>
          <w:sz w:val="21"/>
        </w:rPr>
        <w:t>r</w:t>
      </w:r>
      <w:r>
        <w:rPr>
          <w:w w:val="100"/>
          <w:sz w:val="21"/>
        </w:rPr>
        <w:t>e</w:t>
      </w:r>
      <w:r>
        <w:rPr>
          <w:spacing w:val="25"/>
          <w:sz w:val="21"/>
        </w:rPr>
        <w:t> </w:t>
      </w:r>
      <w:r>
        <w:rPr>
          <w:spacing w:val="-3"/>
          <w:w w:val="100"/>
          <w:sz w:val="21"/>
        </w:rPr>
        <w:t>o</w:t>
      </w:r>
      <w:r>
        <w:rPr>
          <w:w w:val="100"/>
          <w:sz w:val="21"/>
        </w:rPr>
        <w:t>f</w:t>
      </w:r>
      <w:r>
        <w:rPr>
          <w:spacing w:val="24"/>
          <w:sz w:val="21"/>
        </w:rPr>
        <w:t> </w:t>
      </w:r>
      <w:r>
        <w:rPr>
          <w:spacing w:val="-2"/>
          <w:w w:val="100"/>
          <w:sz w:val="21"/>
        </w:rPr>
        <w:t>tw</w:t>
      </w:r>
      <w:r>
        <w:rPr>
          <w:w w:val="100"/>
          <w:sz w:val="21"/>
        </w:rPr>
        <w:t>o</w:t>
      </w:r>
      <w:r>
        <w:rPr>
          <w:spacing w:val="25"/>
          <w:sz w:val="21"/>
        </w:rPr>
        <w:t> </w:t>
      </w:r>
      <w:r>
        <w:rPr>
          <w:w w:val="100"/>
          <w:sz w:val="21"/>
        </w:rPr>
        <w:t>ki</w:t>
      </w:r>
      <w:r>
        <w:rPr>
          <w:spacing w:val="-1"/>
          <w:w w:val="100"/>
          <w:sz w:val="21"/>
        </w:rPr>
        <w:t>n</w:t>
      </w:r>
      <w:r>
        <w:rPr>
          <w:spacing w:val="-3"/>
          <w:w w:val="100"/>
          <w:sz w:val="21"/>
        </w:rPr>
        <w:t>d</w:t>
      </w:r>
      <w:r>
        <w:rPr>
          <w:w w:val="100"/>
          <w:sz w:val="21"/>
        </w:rPr>
        <w:t>s: </w:t>
      </w:r>
      <w:r>
        <w:rPr>
          <w:sz w:val="21"/>
        </w:rPr>
        <w:t>the first is known as swayambhu or self-existent or self- revealed, while the other is pratisthita or established. The </w:t>
      </w:r>
      <w:r>
        <w:rPr>
          <w:w w:val="100"/>
          <w:sz w:val="21"/>
        </w:rPr>
        <w:t>P</w:t>
      </w:r>
      <w:r>
        <w:rPr>
          <w:spacing w:val="-1"/>
          <w:w w:val="100"/>
          <w:sz w:val="21"/>
        </w:rPr>
        <w:t>a</w:t>
      </w:r>
      <w:r>
        <w:rPr>
          <w:spacing w:val="-3"/>
          <w:w w:val="100"/>
          <w:sz w:val="21"/>
        </w:rPr>
        <w:t>d</w:t>
      </w:r>
      <w:r>
        <w:rPr>
          <w:spacing w:val="-1"/>
          <w:w w:val="100"/>
          <w:sz w:val="21"/>
        </w:rPr>
        <w:t>m</w:t>
      </w:r>
      <w:r>
        <w:rPr>
          <w:w w:val="100"/>
          <w:sz w:val="21"/>
        </w:rPr>
        <w:t>a</w:t>
      </w:r>
      <w:r>
        <w:rPr>
          <w:sz w:val="21"/>
        </w:rPr>
        <w:t> </w:t>
      </w:r>
      <w:r>
        <w:rPr>
          <w:spacing w:val="-29"/>
          <w:sz w:val="21"/>
        </w:rPr>
        <w:t> </w:t>
      </w:r>
      <w:r>
        <w:rPr>
          <w:w w:val="100"/>
          <w:sz w:val="21"/>
        </w:rPr>
        <w:t>P</w:t>
      </w:r>
      <w:r>
        <w:rPr>
          <w:spacing w:val="-1"/>
          <w:w w:val="100"/>
          <w:sz w:val="21"/>
        </w:rPr>
        <w:t>ur</w:t>
      </w:r>
      <w:r>
        <w:rPr>
          <w:spacing w:val="-3"/>
          <w:w w:val="100"/>
          <w:sz w:val="21"/>
        </w:rPr>
        <w:t>a</w:t>
      </w:r>
      <w:r>
        <w:rPr>
          <w:spacing w:val="-1"/>
          <w:w w:val="100"/>
          <w:sz w:val="21"/>
        </w:rPr>
        <w:t>n</w:t>
      </w:r>
      <w:r>
        <w:rPr>
          <w:w w:val="100"/>
          <w:sz w:val="21"/>
        </w:rPr>
        <w:t>a</w:t>
      </w:r>
      <w:r>
        <w:rPr>
          <w:sz w:val="21"/>
        </w:rPr>
        <w:t> </w:t>
      </w:r>
      <w:r>
        <w:rPr>
          <w:spacing w:val="-28"/>
          <w:sz w:val="21"/>
        </w:rPr>
        <w:t> </w:t>
      </w:r>
      <w:r>
        <w:rPr>
          <w:w w:val="100"/>
          <w:sz w:val="21"/>
        </w:rPr>
        <w:t>sa</w:t>
      </w:r>
      <w:r>
        <w:rPr>
          <w:spacing w:val="-3"/>
          <w:w w:val="100"/>
          <w:sz w:val="21"/>
        </w:rPr>
        <w:t>y</w:t>
      </w:r>
      <w:r>
        <w:rPr>
          <w:w w:val="100"/>
          <w:sz w:val="21"/>
        </w:rPr>
        <w:t>s:</w:t>
      </w:r>
      <w:r>
        <w:rPr>
          <w:sz w:val="21"/>
        </w:rPr>
        <w:t> </w:t>
      </w:r>
      <w:r>
        <w:rPr>
          <w:spacing w:val="-27"/>
          <w:sz w:val="21"/>
        </w:rPr>
        <w:t> </w:t>
      </w:r>
      <w:r>
        <w:rPr>
          <w:spacing w:val="-1"/>
          <w:w w:val="33"/>
          <w:sz w:val="21"/>
        </w:rPr>
        <w:t>―</w:t>
      </w:r>
      <w:r>
        <w:rPr>
          <w:w w:val="100"/>
          <w:sz w:val="21"/>
        </w:rPr>
        <w:t>T</w:t>
      </w:r>
      <w:r>
        <w:rPr>
          <w:spacing w:val="-2"/>
          <w:w w:val="100"/>
          <w:sz w:val="21"/>
        </w:rPr>
        <w:t>h</w:t>
      </w:r>
      <w:r>
        <w:rPr>
          <w:w w:val="100"/>
          <w:sz w:val="21"/>
        </w:rPr>
        <w:t>e</w:t>
      </w:r>
      <w:r>
        <w:rPr>
          <w:sz w:val="21"/>
        </w:rPr>
        <w:t> </w:t>
      </w:r>
      <w:r>
        <w:rPr>
          <w:spacing w:val="-26"/>
          <w:sz w:val="21"/>
        </w:rPr>
        <w:t> </w:t>
      </w:r>
      <w:r>
        <w:rPr>
          <w:spacing w:val="-2"/>
          <w:w w:val="100"/>
          <w:sz w:val="21"/>
        </w:rPr>
        <w:t>i</w:t>
      </w:r>
      <w:r>
        <w:rPr>
          <w:spacing w:val="-1"/>
          <w:w w:val="100"/>
          <w:sz w:val="21"/>
        </w:rPr>
        <w:t>mag</w:t>
      </w:r>
      <w:r>
        <w:rPr>
          <w:w w:val="100"/>
          <w:sz w:val="21"/>
        </w:rPr>
        <w:t>e</w:t>
      </w:r>
      <w:r>
        <w:rPr>
          <w:sz w:val="21"/>
        </w:rPr>
        <w:t> </w:t>
      </w:r>
      <w:r>
        <w:rPr>
          <w:spacing w:val="-28"/>
          <w:sz w:val="21"/>
        </w:rPr>
        <w:t> </w:t>
      </w:r>
      <w:r>
        <w:rPr>
          <w:spacing w:val="-3"/>
          <w:w w:val="100"/>
          <w:sz w:val="21"/>
        </w:rPr>
        <w:t>o</w:t>
      </w:r>
      <w:r>
        <w:rPr>
          <w:w w:val="100"/>
          <w:sz w:val="21"/>
        </w:rPr>
        <w:t>f</w:t>
      </w:r>
      <w:r>
        <w:rPr>
          <w:sz w:val="21"/>
        </w:rPr>
        <w:t> </w:t>
      </w:r>
      <w:r>
        <w:rPr>
          <w:spacing w:val="-28"/>
          <w:sz w:val="21"/>
        </w:rPr>
        <w:t> </w:t>
      </w:r>
      <w:r>
        <w:rPr>
          <w:spacing w:val="-2"/>
          <w:w w:val="100"/>
          <w:sz w:val="21"/>
        </w:rPr>
        <w:t>H</w:t>
      </w:r>
      <w:r>
        <w:rPr>
          <w:spacing w:val="-1"/>
          <w:w w:val="100"/>
          <w:sz w:val="21"/>
        </w:rPr>
        <w:t>ar</w:t>
      </w:r>
      <w:r>
        <w:rPr>
          <w:w w:val="100"/>
          <w:sz w:val="21"/>
        </w:rPr>
        <w:t>i</w:t>
      </w:r>
      <w:r>
        <w:rPr>
          <w:sz w:val="21"/>
        </w:rPr>
        <w:t> </w:t>
      </w:r>
      <w:r>
        <w:rPr>
          <w:spacing w:val="-26"/>
          <w:sz w:val="21"/>
        </w:rPr>
        <w:t> </w:t>
      </w:r>
      <w:r>
        <w:rPr>
          <w:spacing w:val="-1"/>
          <w:w w:val="100"/>
          <w:sz w:val="21"/>
        </w:rPr>
        <w:t>(</w:t>
      </w:r>
      <w:r>
        <w:rPr>
          <w:spacing w:val="-4"/>
          <w:w w:val="100"/>
          <w:sz w:val="21"/>
        </w:rPr>
        <w:t>G</w:t>
      </w:r>
      <w:r>
        <w:rPr>
          <w:spacing w:val="-1"/>
          <w:w w:val="100"/>
          <w:sz w:val="21"/>
        </w:rPr>
        <w:t>od</w:t>
      </w:r>
      <w:r>
        <w:rPr>
          <w:w w:val="100"/>
          <w:sz w:val="21"/>
        </w:rPr>
        <w:t>)</w:t>
      </w:r>
      <w:r>
        <w:rPr>
          <w:sz w:val="21"/>
        </w:rPr>
        <w:t> </w:t>
      </w:r>
      <w:r>
        <w:rPr>
          <w:spacing w:val="-29"/>
          <w:sz w:val="21"/>
        </w:rPr>
        <w:t> </w:t>
      </w:r>
      <w:r>
        <w:rPr>
          <w:spacing w:val="-1"/>
          <w:w w:val="100"/>
          <w:sz w:val="21"/>
        </w:rPr>
        <w:t>pr</w:t>
      </w:r>
      <w:r>
        <w:rPr>
          <w:spacing w:val="3"/>
          <w:w w:val="100"/>
          <w:sz w:val="21"/>
        </w:rPr>
        <w:t>e</w:t>
      </w:r>
      <w:r>
        <w:rPr>
          <w:w w:val="100"/>
          <w:sz w:val="21"/>
        </w:rPr>
        <w:t>par</w:t>
      </w:r>
      <w:r>
        <w:rPr>
          <w:spacing w:val="-3"/>
          <w:w w:val="100"/>
          <w:sz w:val="21"/>
        </w:rPr>
        <w:t>e</w:t>
      </w:r>
      <w:r>
        <w:rPr>
          <w:w w:val="100"/>
          <w:sz w:val="21"/>
        </w:rPr>
        <w:t>d</w:t>
      </w:r>
      <w:r>
        <w:rPr>
          <w:sz w:val="21"/>
        </w:rPr>
        <w:t> </w:t>
      </w:r>
      <w:r>
        <w:rPr>
          <w:spacing w:val="-28"/>
          <w:sz w:val="21"/>
        </w:rPr>
        <w:t> </w:t>
      </w:r>
      <w:r>
        <w:rPr>
          <w:spacing w:val="-3"/>
          <w:w w:val="100"/>
          <w:sz w:val="21"/>
        </w:rPr>
        <w:t>o</w:t>
      </w:r>
      <w:r>
        <w:rPr>
          <w:w w:val="100"/>
          <w:sz w:val="21"/>
        </w:rPr>
        <w:t>f </w:t>
      </w:r>
      <w:r>
        <w:rPr>
          <w:sz w:val="21"/>
        </w:rPr>
        <w:t>stone, earth, wood, metal or the like and established according to the rites laid down in the Vedas, Smritis and Tantras is called the established images … where the self- possessed Vishnu has placed himself on earth in stone or wood for the benefit of mankind, that is styled the self- revealed.‖ (B.K. Mukherjea — Hindu Law of Religious and Charitable Trusts, 5th Edn.) A swayambhu or self-revealed image is a product of nature and it is anadi or without any beginning and the worshippers simply discover its existence and such images do not require consecration or pratistha but a man-made image requires consecration. This man-made image may be painted on a wall or canvas. The  Salgram Shila depicts Narayana being the Lord of the Lords and represents Vishnu Bhagwan. It is a shila — the shalagram form partaking the form of Lord of the Lords, Narayana and Vishnu.‖</w:t>
      </w:r>
    </w:p>
    <w:p>
      <w:pPr>
        <w:pStyle w:val="BodyText"/>
        <w:spacing w:before="1"/>
      </w:pPr>
    </w:p>
    <w:p>
      <w:pPr>
        <w:pStyle w:val="BodyText"/>
        <w:spacing w:line="480" w:lineRule="auto"/>
        <w:ind w:left="500" w:right="437"/>
        <w:jc w:val="both"/>
      </w:pPr>
      <w:r>
        <w:rPr/>
        <w:t>The Court then surveyed precedent to hold that while an idol is usually consecrated in a temple, it does not appear to be an essential condition. The Court held:</w:t>
      </w:r>
    </w:p>
    <w:p>
      <w:pPr>
        <w:spacing w:line="276" w:lineRule="auto" w:before="0"/>
        <w:ind w:left="1940" w:right="2261" w:firstLine="0"/>
        <w:jc w:val="both"/>
        <w:rPr>
          <w:sz w:val="21"/>
        </w:rPr>
      </w:pPr>
      <w:r>
        <w:rPr>
          <w:spacing w:val="-1"/>
          <w:w w:val="33"/>
          <w:sz w:val="21"/>
        </w:rPr>
        <w:t>―</w:t>
      </w:r>
      <w:r>
        <w:rPr>
          <w:spacing w:val="-1"/>
          <w:w w:val="100"/>
          <w:sz w:val="21"/>
        </w:rPr>
        <w:t>16…I</w:t>
      </w:r>
      <w:r>
        <w:rPr>
          <w:w w:val="100"/>
          <w:sz w:val="21"/>
        </w:rPr>
        <w:t>f</w:t>
      </w:r>
      <w:r>
        <w:rPr>
          <w:spacing w:val="7"/>
          <w:sz w:val="21"/>
        </w:rPr>
        <w:t> </w:t>
      </w:r>
      <w:r>
        <w:rPr>
          <w:spacing w:val="-2"/>
          <w:w w:val="100"/>
          <w:sz w:val="21"/>
        </w:rPr>
        <w:t>t</w:t>
      </w:r>
      <w:r>
        <w:rPr>
          <w:spacing w:val="-3"/>
          <w:w w:val="100"/>
          <w:sz w:val="21"/>
        </w:rPr>
        <w:t>h</w:t>
      </w:r>
      <w:r>
        <w:rPr>
          <w:w w:val="100"/>
          <w:sz w:val="21"/>
        </w:rPr>
        <w:t>e</w:t>
      </w:r>
      <w:r>
        <w:rPr>
          <w:spacing w:val="6"/>
          <w:sz w:val="21"/>
        </w:rPr>
        <w:t> </w:t>
      </w:r>
      <w:r>
        <w:rPr>
          <w:spacing w:val="-1"/>
          <w:w w:val="100"/>
          <w:sz w:val="21"/>
        </w:rPr>
        <w:t>p</w:t>
      </w:r>
      <w:r>
        <w:rPr>
          <w:spacing w:val="-3"/>
          <w:w w:val="100"/>
          <w:sz w:val="21"/>
        </w:rPr>
        <w:t>e</w:t>
      </w:r>
      <w:r>
        <w:rPr>
          <w:spacing w:val="-1"/>
          <w:w w:val="100"/>
          <w:sz w:val="21"/>
        </w:rPr>
        <w:t>o</w:t>
      </w:r>
      <w:r>
        <w:rPr>
          <w:spacing w:val="-3"/>
          <w:w w:val="100"/>
          <w:sz w:val="21"/>
        </w:rPr>
        <w:t>p</w:t>
      </w:r>
      <w:r>
        <w:rPr>
          <w:w w:val="100"/>
          <w:sz w:val="21"/>
        </w:rPr>
        <w:t>le</w:t>
      </w:r>
      <w:r>
        <w:rPr>
          <w:spacing w:val="6"/>
          <w:sz w:val="21"/>
        </w:rPr>
        <w:t> </w:t>
      </w:r>
      <w:r>
        <w:rPr>
          <w:spacing w:val="-3"/>
          <w:w w:val="100"/>
          <w:sz w:val="21"/>
        </w:rPr>
        <w:t>b</w:t>
      </w:r>
      <w:r>
        <w:rPr>
          <w:spacing w:val="-1"/>
          <w:w w:val="100"/>
          <w:sz w:val="21"/>
        </w:rPr>
        <w:t>e</w:t>
      </w:r>
      <w:r>
        <w:rPr>
          <w:spacing w:val="-2"/>
          <w:w w:val="100"/>
          <w:sz w:val="21"/>
        </w:rPr>
        <w:t>l</w:t>
      </w:r>
      <w:r>
        <w:rPr>
          <w:w w:val="100"/>
          <w:sz w:val="21"/>
        </w:rPr>
        <w:t>i</w:t>
      </w:r>
      <w:r>
        <w:rPr>
          <w:spacing w:val="-1"/>
          <w:w w:val="100"/>
          <w:sz w:val="21"/>
        </w:rPr>
        <w:t>e</w:t>
      </w:r>
      <w:r>
        <w:rPr>
          <w:spacing w:val="-3"/>
          <w:w w:val="100"/>
          <w:sz w:val="21"/>
        </w:rPr>
        <w:t>v</w:t>
      </w:r>
      <w:r>
        <w:rPr>
          <w:w w:val="100"/>
          <w:sz w:val="21"/>
        </w:rPr>
        <w:t>e</w:t>
      </w:r>
      <w:r>
        <w:rPr>
          <w:spacing w:val="3"/>
          <w:sz w:val="21"/>
        </w:rPr>
        <w:t> </w:t>
      </w:r>
      <w:r>
        <w:rPr>
          <w:w w:val="100"/>
          <w:sz w:val="21"/>
        </w:rPr>
        <w:t>in</w:t>
      </w:r>
      <w:r>
        <w:rPr>
          <w:spacing w:val="6"/>
          <w:sz w:val="21"/>
        </w:rPr>
        <w:t> </w:t>
      </w:r>
      <w:r>
        <w:rPr>
          <w:spacing w:val="-2"/>
          <w:w w:val="100"/>
          <w:sz w:val="21"/>
        </w:rPr>
        <w:t>t</w:t>
      </w:r>
      <w:r>
        <w:rPr>
          <w:spacing w:val="-1"/>
          <w:w w:val="100"/>
          <w:sz w:val="21"/>
        </w:rPr>
        <w:t>h</w:t>
      </w:r>
      <w:r>
        <w:rPr>
          <w:w w:val="100"/>
          <w:sz w:val="21"/>
        </w:rPr>
        <w:t>e</w:t>
      </w:r>
      <w:r>
        <w:rPr>
          <w:spacing w:val="6"/>
          <w:sz w:val="21"/>
        </w:rPr>
        <w:t> </w:t>
      </w:r>
      <w:r>
        <w:rPr>
          <w:spacing w:val="-2"/>
          <w:w w:val="100"/>
          <w:sz w:val="21"/>
        </w:rPr>
        <w:t>t</w:t>
      </w:r>
      <w:r>
        <w:rPr>
          <w:spacing w:val="-3"/>
          <w:w w:val="100"/>
          <w:sz w:val="21"/>
        </w:rPr>
        <w:t>e</w:t>
      </w:r>
      <w:r>
        <w:rPr>
          <w:spacing w:val="-1"/>
          <w:w w:val="100"/>
          <w:sz w:val="21"/>
        </w:rPr>
        <w:t>mp</w:t>
      </w:r>
      <w:r>
        <w:rPr>
          <w:spacing w:val="-2"/>
          <w:w w:val="100"/>
          <w:sz w:val="21"/>
        </w:rPr>
        <w:t>l</w:t>
      </w:r>
      <w:r>
        <w:rPr>
          <w:spacing w:val="-1"/>
          <w:w w:val="100"/>
          <w:sz w:val="21"/>
        </w:rPr>
        <w:t>es</w:t>
      </w:r>
      <w:r>
        <w:rPr>
          <w:w w:val="100"/>
          <w:sz w:val="21"/>
        </w:rPr>
        <w:t>'</w:t>
      </w:r>
      <w:r>
        <w:rPr>
          <w:spacing w:val="6"/>
          <w:sz w:val="21"/>
        </w:rPr>
        <w:t> </w:t>
      </w:r>
      <w:r>
        <w:rPr>
          <w:spacing w:val="-1"/>
          <w:w w:val="100"/>
          <w:sz w:val="21"/>
        </w:rPr>
        <w:t>r</w:t>
      </w:r>
      <w:r>
        <w:rPr>
          <w:spacing w:val="-3"/>
          <w:w w:val="100"/>
          <w:sz w:val="21"/>
        </w:rPr>
        <w:t>e</w:t>
      </w:r>
      <w:r>
        <w:rPr>
          <w:w w:val="100"/>
          <w:sz w:val="21"/>
        </w:rPr>
        <w:t>l</w:t>
      </w:r>
      <w:r>
        <w:rPr>
          <w:spacing w:val="-2"/>
          <w:w w:val="100"/>
          <w:sz w:val="21"/>
        </w:rPr>
        <w:t>i</w:t>
      </w:r>
      <w:r>
        <w:rPr>
          <w:spacing w:val="-1"/>
          <w:w w:val="100"/>
          <w:sz w:val="21"/>
        </w:rPr>
        <w:t>g</w:t>
      </w:r>
      <w:r>
        <w:rPr>
          <w:spacing w:val="-2"/>
          <w:w w:val="100"/>
          <w:sz w:val="21"/>
        </w:rPr>
        <w:t>i</w:t>
      </w:r>
      <w:r>
        <w:rPr>
          <w:spacing w:val="-1"/>
          <w:w w:val="100"/>
          <w:sz w:val="21"/>
        </w:rPr>
        <w:t>ou</w:t>
      </w:r>
      <w:r>
        <w:rPr>
          <w:w w:val="100"/>
          <w:sz w:val="21"/>
        </w:rPr>
        <w:t>s</w:t>
      </w:r>
      <w:r>
        <w:rPr>
          <w:spacing w:val="4"/>
          <w:sz w:val="21"/>
        </w:rPr>
        <w:t> </w:t>
      </w:r>
      <w:r>
        <w:rPr>
          <w:spacing w:val="-3"/>
          <w:w w:val="100"/>
          <w:sz w:val="21"/>
        </w:rPr>
        <w:t>e</w:t>
      </w:r>
      <w:r>
        <w:rPr>
          <w:spacing w:val="1"/>
          <w:w w:val="100"/>
          <w:sz w:val="21"/>
        </w:rPr>
        <w:t>f</w:t>
      </w:r>
      <w:r>
        <w:rPr>
          <w:spacing w:val="-2"/>
          <w:w w:val="100"/>
          <w:sz w:val="21"/>
        </w:rPr>
        <w:t>f</w:t>
      </w:r>
      <w:r>
        <w:rPr>
          <w:w w:val="100"/>
          <w:sz w:val="21"/>
        </w:rPr>
        <w:t>i</w:t>
      </w:r>
      <w:r>
        <w:rPr>
          <w:spacing w:val="-3"/>
          <w:w w:val="100"/>
          <w:sz w:val="21"/>
        </w:rPr>
        <w:t>c</w:t>
      </w:r>
      <w:r>
        <w:rPr>
          <w:spacing w:val="-1"/>
          <w:w w:val="100"/>
          <w:sz w:val="21"/>
        </w:rPr>
        <w:t>ac</w:t>
      </w:r>
      <w:r>
        <w:rPr>
          <w:w w:val="100"/>
          <w:sz w:val="21"/>
        </w:rPr>
        <w:t>y</w:t>
      </w:r>
      <w:r>
        <w:rPr>
          <w:spacing w:val="3"/>
          <w:sz w:val="21"/>
        </w:rPr>
        <w:t> </w:t>
      </w:r>
      <w:r>
        <w:rPr>
          <w:spacing w:val="-1"/>
          <w:w w:val="100"/>
          <w:sz w:val="21"/>
        </w:rPr>
        <w:t>no </w:t>
      </w:r>
      <w:r>
        <w:rPr>
          <w:sz w:val="21"/>
        </w:rPr>
        <w:t>other requirement exists as regards other areas and the learned Judge it seems has completely overlooked this aspect of the Hindu Shastras — in any event, Hindus have in </w:t>
      </w:r>
      <w:r>
        <w:rPr>
          <w:spacing w:val="-2"/>
          <w:w w:val="100"/>
          <w:sz w:val="21"/>
        </w:rPr>
        <w:t>t</w:t>
      </w:r>
      <w:r>
        <w:rPr>
          <w:w w:val="100"/>
          <w:sz w:val="21"/>
        </w:rPr>
        <w:t>he</w:t>
      </w:r>
      <w:r>
        <w:rPr>
          <w:spacing w:val="16"/>
          <w:sz w:val="21"/>
        </w:rPr>
        <w:t> </w:t>
      </w:r>
      <w:r>
        <w:rPr>
          <w:w w:val="100"/>
          <w:sz w:val="21"/>
        </w:rPr>
        <w:t>S</w:t>
      </w:r>
      <w:r>
        <w:rPr>
          <w:spacing w:val="-3"/>
          <w:w w:val="100"/>
          <w:sz w:val="21"/>
        </w:rPr>
        <w:t>h</w:t>
      </w:r>
      <w:r>
        <w:rPr>
          <w:spacing w:val="-1"/>
          <w:w w:val="100"/>
          <w:sz w:val="21"/>
        </w:rPr>
        <w:t>astra</w:t>
      </w:r>
      <w:r>
        <w:rPr>
          <w:w w:val="100"/>
          <w:sz w:val="21"/>
        </w:rPr>
        <w:t>s</w:t>
      </w:r>
      <w:r>
        <w:rPr>
          <w:spacing w:val="15"/>
          <w:sz w:val="21"/>
        </w:rPr>
        <w:t> </w:t>
      </w:r>
      <w:r>
        <w:rPr>
          <w:spacing w:val="-1"/>
          <w:w w:val="33"/>
          <w:sz w:val="21"/>
        </w:rPr>
        <w:t>―</w:t>
      </w:r>
      <w:r>
        <w:rPr>
          <w:spacing w:val="-2"/>
          <w:w w:val="100"/>
          <w:sz w:val="21"/>
        </w:rPr>
        <w:t>A</w:t>
      </w:r>
      <w:r>
        <w:rPr>
          <w:spacing w:val="-1"/>
          <w:w w:val="100"/>
          <w:sz w:val="21"/>
        </w:rPr>
        <w:t>g</w:t>
      </w:r>
      <w:r>
        <w:rPr>
          <w:spacing w:val="-3"/>
          <w:w w:val="100"/>
          <w:sz w:val="21"/>
        </w:rPr>
        <w:t>n</w:t>
      </w:r>
      <w:r>
        <w:rPr>
          <w:w w:val="100"/>
          <w:sz w:val="21"/>
        </w:rPr>
        <w:t>i</w:t>
      </w:r>
      <w:r>
        <w:rPr>
          <w:w w:val="81"/>
          <w:sz w:val="21"/>
        </w:rPr>
        <w:t>‖</w:t>
      </w:r>
      <w:r>
        <w:rPr>
          <w:spacing w:val="15"/>
          <w:sz w:val="21"/>
        </w:rPr>
        <w:t> </w:t>
      </w:r>
      <w:r>
        <w:rPr>
          <w:spacing w:val="-2"/>
          <w:w w:val="100"/>
          <w:sz w:val="21"/>
        </w:rPr>
        <w:t>D</w:t>
      </w:r>
      <w:r>
        <w:rPr>
          <w:spacing w:val="-1"/>
          <w:w w:val="100"/>
          <w:sz w:val="21"/>
        </w:rPr>
        <w:t>e</w:t>
      </w:r>
      <w:r>
        <w:rPr>
          <w:spacing w:val="-3"/>
          <w:w w:val="100"/>
          <w:sz w:val="21"/>
        </w:rPr>
        <w:t>v</w:t>
      </w:r>
      <w:r>
        <w:rPr>
          <w:spacing w:val="-2"/>
          <w:w w:val="100"/>
          <w:sz w:val="21"/>
        </w:rPr>
        <w:t>t</w:t>
      </w:r>
      <w:r>
        <w:rPr>
          <w:spacing w:val="-1"/>
          <w:w w:val="100"/>
          <w:sz w:val="21"/>
        </w:rPr>
        <w:t>a</w:t>
      </w:r>
      <w:r>
        <w:rPr>
          <w:w w:val="100"/>
          <w:sz w:val="21"/>
        </w:rPr>
        <w:t>,</w:t>
      </w:r>
      <w:r>
        <w:rPr>
          <w:spacing w:val="14"/>
          <w:sz w:val="21"/>
        </w:rPr>
        <w:t> </w:t>
      </w:r>
      <w:r>
        <w:rPr>
          <w:spacing w:val="-1"/>
          <w:w w:val="33"/>
          <w:sz w:val="21"/>
        </w:rPr>
        <w:t>―</w:t>
      </w:r>
      <w:r>
        <w:rPr>
          <w:w w:val="100"/>
          <w:sz w:val="21"/>
        </w:rPr>
        <w:t>V</w:t>
      </w:r>
      <w:r>
        <w:rPr>
          <w:spacing w:val="-1"/>
          <w:w w:val="100"/>
          <w:sz w:val="21"/>
        </w:rPr>
        <w:t>a</w:t>
      </w:r>
      <w:r>
        <w:rPr>
          <w:spacing w:val="-3"/>
          <w:w w:val="100"/>
          <w:sz w:val="21"/>
        </w:rPr>
        <w:t>y</w:t>
      </w:r>
      <w:r>
        <w:rPr>
          <w:spacing w:val="-1"/>
          <w:w w:val="92"/>
          <w:sz w:val="21"/>
        </w:rPr>
        <w:t>u</w:t>
      </w:r>
      <w:r>
        <w:rPr>
          <w:w w:val="92"/>
          <w:sz w:val="21"/>
        </w:rPr>
        <w:t>‖</w:t>
      </w:r>
      <w:r>
        <w:rPr>
          <w:spacing w:val="15"/>
          <w:sz w:val="21"/>
        </w:rPr>
        <w:t> </w:t>
      </w:r>
      <w:r>
        <w:rPr>
          <w:w w:val="100"/>
          <w:sz w:val="21"/>
        </w:rPr>
        <w:t>D</w:t>
      </w:r>
      <w:r>
        <w:rPr>
          <w:spacing w:val="-1"/>
          <w:w w:val="100"/>
          <w:sz w:val="21"/>
        </w:rPr>
        <w:t>e</w:t>
      </w:r>
      <w:r>
        <w:rPr>
          <w:spacing w:val="-3"/>
          <w:w w:val="100"/>
          <w:sz w:val="21"/>
        </w:rPr>
        <w:t>v</w:t>
      </w:r>
      <w:r>
        <w:rPr>
          <w:spacing w:val="-2"/>
          <w:w w:val="100"/>
          <w:sz w:val="21"/>
        </w:rPr>
        <w:t>t</w:t>
      </w:r>
      <w:r>
        <w:rPr>
          <w:w w:val="100"/>
          <w:sz w:val="21"/>
        </w:rPr>
        <w:t>a</w:t>
      </w:r>
      <w:r>
        <w:rPr>
          <w:spacing w:val="19"/>
          <w:sz w:val="21"/>
        </w:rPr>
        <w:t> </w:t>
      </w:r>
      <w:r>
        <w:rPr>
          <w:w w:val="100"/>
          <w:sz w:val="21"/>
        </w:rPr>
        <w:t>—</w:t>
      </w:r>
      <w:r>
        <w:rPr>
          <w:spacing w:val="16"/>
          <w:sz w:val="21"/>
        </w:rPr>
        <w:t> </w:t>
      </w:r>
      <w:r>
        <w:rPr>
          <w:spacing w:val="-2"/>
          <w:w w:val="100"/>
          <w:sz w:val="21"/>
        </w:rPr>
        <w:t>t</w:t>
      </w:r>
      <w:r>
        <w:rPr>
          <w:w w:val="100"/>
          <w:sz w:val="21"/>
        </w:rPr>
        <w:t>he</w:t>
      </w:r>
      <w:r>
        <w:rPr>
          <w:spacing w:val="-3"/>
          <w:w w:val="100"/>
          <w:sz w:val="21"/>
        </w:rPr>
        <w:t>s</w:t>
      </w:r>
      <w:r>
        <w:rPr>
          <w:w w:val="100"/>
          <w:sz w:val="21"/>
        </w:rPr>
        <w:t>e</w:t>
      </w:r>
      <w:r>
        <w:rPr>
          <w:spacing w:val="16"/>
          <w:sz w:val="21"/>
        </w:rPr>
        <w:t> </w:t>
      </w:r>
      <w:r>
        <w:rPr>
          <w:spacing w:val="-3"/>
          <w:w w:val="100"/>
          <w:sz w:val="21"/>
        </w:rPr>
        <w:t>d</w:t>
      </w:r>
      <w:r>
        <w:rPr>
          <w:w w:val="100"/>
          <w:sz w:val="21"/>
        </w:rPr>
        <w:t>e</w:t>
      </w:r>
      <w:r>
        <w:rPr>
          <w:spacing w:val="1"/>
          <w:w w:val="100"/>
          <w:sz w:val="21"/>
        </w:rPr>
        <w:t>i</w:t>
      </w:r>
      <w:r>
        <w:rPr>
          <w:spacing w:val="-2"/>
          <w:w w:val="100"/>
          <w:sz w:val="21"/>
        </w:rPr>
        <w:t>t</w:t>
      </w:r>
      <w:r>
        <w:rPr>
          <w:w w:val="100"/>
          <w:sz w:val="21"/>
        </w:rPr>
        <w:t>i</w:t>
      </w:r>
      <w:r>
        <w:rPr>
          <w:spacing w:val="-3"/>
          <w:w w:val="100"/>
          <w:sz w:val="21"/>
        </w:rPr>
        <w:t>e</w:t>
      </w:r>
      <w:r>
        <w:rPr>
          <w:w w:val="100"/>
          <w:sz w:val="21"/>
        </w:rPr>
        <w:t>s</w:t>
      </w:r>
      <w:r>
        <w:rPr>
          <w:spacing w:val="15"/>
          <w:sz w:val="21"/>
        </w:rPr>
        <w:t> </w:t>
      </w:r>
      <w:r>
        <w:rPr>
          <w:w w:val="100"/>
          <w:sz w:val="21"/>
        </w:rPr>
        <w:t>are </w:t>
      </w:r>
      <w:r>
        <w:rPr>
          <w:sz w:val="21"/>
        </w:rPr>
        <w:t>shapeless and formless but for every ritual Hindus offer their oblations before the deity. The ahuti to the deity is the ultimate</w:t>
      </w:r>
      <w:r>
        <w:rPr>
          <w:spacing w:val="36"/>
          <w:sz w:val="21"/>
        </w:rPr>
        <w:t> </w:t>
      </w:r>
      <w:r>
        <w:rPr>
          <w:sz w:val="21"/>
        </w:rPr>
        <w:t>—</w:t>
      </w:r>
      <w:r>
        <w:rPr>
          <w:spacing w:val="34"/>
          <w:sz w:val="21"/>
        </w:rPr>
        <w:t> </w:t>
      </w:r>
      <w:r>
        <w:rPr>
          <w:sz w:val="21"/>
        </w:rPr>
        <w:t>the</w:t>
      </w:r>
      <w:r>
        <w:rPr>
          <w:spacing w:val="34"/>
          <w:sz w:val="21"/>
        </w:rPr>
        <w:t> </w:t>
      </w:r>
      <w:r>
        <w:rPr>
          <w:sz w:val="21"/>
        </w:rPr>
        <w:t>learned</w:t>
      </w:r>
      <w:r>
        <w:rPr>
          <w:spacing w:val="35"/>
          <w:sz w:val="21"/>
        </w:rPr>
        <w:t> </w:t>
      </w:r>
      <w:r>
        <w:rPr>
          <w:sz w:val="21"/>
        </w:rPr>
        <w:t>Single</w:t>
      </w:r>
      <w:r>
        <w:rPr>
          <w:spacing w:val="36"/>
          <w:sz w:val="21"/>
        </w:rPr>
        <w:t> </w:t>
      </w:r>
      <w:r>
        <w:rPr>
          <w:sz w:val="21"/>
        </w:rPr>
        <w:t>Judge</w:t>
      </w:r>
      <w:r>
        <w:rPr>
          <w:spacing w:val="36"/>
          <w:sz w:val="21"/>
        </w:rPr>
        <w:t> </w:t>
      </w:r>
      <w:r>
        <w:rPr>
          <w:sz w:val="21"/>
        </w:rPr>
        <w:t>however</w:t>
      </w:r>
      <w:r>
        <w:rPr>
          <w:spacing w:val="36"/>
          <w:sz w:val="21"/>
        </w:rPr>
        <w:t> </w:t>
      </w:r>
      <w:r>
        <w:rPr>
          <w:sz w:val="21"/>
        </w:rPr>
        <w:t>was</w:t>
      </w:r>
      <w:r>
        <w:rPr>
          <w:spacing w:val="36"/>
          <w:sz w:val="21"/>
        </w:rPr>
        <w:t> </w:t>
      </w:r>
      <w:r>
        <w:rPr>
          <w:sz w:val="21"/>
        </w:rPr>
        <w:t>pleased</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sz w:val="21"/>
        </w:rPr>
      </w:pPr>
      <w:r>
        <w:rPr>
          <w:sz w:val="21"/>
        </w:rPr>
        <w:t>not to put any reliance thereon. It is not a particular image which is a juridical person but it is a particular bent of mind which consecrates the image.‖</w:t>
      </w:r>
    </w:p>
    <w:p>
      <w:pPr>
        <w:pStyle w:val="BodyText"/>
        <w:rPr>
          <w:sz w:val="24"/>
        </w:rPr>
      </w:pPr>
    </w:p>
    <w:p>
      <w:pPr>
        <w:pStyle w:val="BodyText"/>
        <w:spacing w:before="6"/>
        <w:rPr>
          <w:sz w:val="24"/>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All the cases relied on by the Court pertain to the requisites of a temple under various statutes or what constitutes a place of religious worship. The observations of the Court form the basis of locating the centre of worship, which according to it does not need to have a fixed image and is based on the faith and belief of the worshippers. The observations of the Court were in the context of determining whether a valid deity existed to whom a dedication could be made. The question whether the second deity was a distinct legal person arose due to the need to determine the validity of the deed of dedication in favour of the second deity constituting a separate unit for the purposes of the Bihar Land Reforms (Fixation of Ceiling Area and Acquisition of Surplus Land) Act 1961. It is only consequent to the establishment of a valid deity that the dedicated property would vest in the established deity in the ideal</w:t>
      </w:r>
      <w:r>
        <w:rPr>
          <w:spacing w:val="-10"/>
          <w:sz w:val="25"/>
        </w:rPr>
        <w:t> </w:t>
      </w:r>
      <w:r>
        <w:rPr>
          <w:sz w:val="25"/>
        </w:rPr>
        <w:t>sense.</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It cannot be said that the observations of the court in respect of the consecration or establishment of a valid deity apply with equal force to the conferral of juristic personality on property on the basis of the faith and belief of the devotees. The rationale underlying the approach adopted by this Court is clarified in the following</w:t>
      </w:r>
      <w:r>
        <w:rPr>
          <w:spacing w:val="-3"/>
          <w:sz w:val="25"/>
        </w:rPr>
        <w:t> </w:t>
      </w:r>
      <w:r>
        <w:rPr>
          <w:sz w:val="25"/>
        </w:rPr>
        <w:t>observations:</w:t>
      </w:r>
    </w:p>
    <w:p>
      <w:pPr>
        <w:spacing w:line="273" w:lineRule="auto" w:before="41"/>
        <w:ind w:left="1940" w:right="2263" w:firstLine="0"/>
        <w:jc w:val="both"/>
        <w:rPr>
          <w:b/>
          <w:sz w:val="21"/>
        </w:rPr>
      </w:pPr>
      <w:r>
        <w:rPr>
          <w:w w:val="33"/>
          <w:sz w:val="21"/>
        </w:rPr>
        <w:t>―</w:t>
      </w:r>
      <w:r>
        <w:rPr>
          <w:b/>
          <w:w w:val="100"/>
          <w:sz w:val="21"/>
        </w:rPr>
        <w:t>17.</w:t>
      </w:r>
      <w:r>
        <w:rPr>
          <w:b/>
          <w:sz w:val="21"/>
        </w:rPr>
        <w:t> </w:t>
      </w:r>
      <w:r>
        <w:rPr>
          <w:b/>
          <w:w w:val="100"/>
          <w:sz w:val="21"/>
        </w:rPr>
        <w:t>O</w:t>
      </w:r>
      <w:r>
        <w:rPr>
          <w:b/>
          <w:w w:val="100"/>
          <w:sz w:val="21"/>
        </w:rPr>
        <w:t>ne</w:t>
      </w:r>
      <w:r>
        <w:rPr>
          <w:b/>
          <w:sz w:val="21"/>
        </w:rPr>
        <w:t> </w:t>
      </w:r>
      <w:r>
        <w:rPr>
          <w:b/>
          <w:w w:val="100"/>
          <w:sz w:val="21"/>
        </w:rPr>
        <w:t>car</w:t>
      </w:r>
      <w:r>
        <w:rPr>
          <w:b/>
          <w:w w:val="100"/>
          <w:sz w:val="21"/>
        </w:rPr>
        <w:t>din</w:t>
      </w:r>
      <w:r>
        <w:rPr>
          <w:b/>
          <w:w w:val="100"/>
          <w:sz w:val="21"/>
        </w:rPr>
        <w:t>al</w:t>
      </w:r>
      <w:r>
        <w:rPr>
          <w:b/>
          <w:sz w:val="21"/>
        </w:rPr>
        <w:t> </w:t>
      </w:r>
      <w:r>
        <w:rPr>
          <w:b/>
          <w:w w:val="100"/>
          <w:sz w:val="21"/>
        </w:rPr>
        <w:t>princ</w:t>
      </w:r>
      <w:r>
        <w:rPr>
          <w:b/>
          <w:w w:val="100"/>
          <w:sz w:val="21"/>
        </w:rPr>
        <w:t>i</w:t>
      </w:r>
      <w:r>
        <w:rPr>
          <w:b/>
          <w:w w:val="100"/>
          <w:sz w:val="21"/>
        </w:rPr>
        <w:t>ple</w:t>
      </w:r>
      <w:r>
        <w:rPr>
          <w:b/>
          <w:sz w:val="21"/>
        </w:rPr>
        <w:t> </w:t>
      </w:r>
      <w:r>
        <w:rPr>
          <w:b/>
          <w:w w:val="100"/>
          <w:sz w:val="21"/>
        </w:rPr>
        <w:t>und</w:t>
      </w:r>
      <w:r>
        <w:rPr>
          <w:b/>
          <w:w w:val="100"/>
          <w:sz w:val="21"/>
        </w:rPr>
        <w:t>erly</w:t>
      </w:r>
      <w:r>
        <w:rPr>
          <w:b/>
          <w:w w:val="100"/>
          <w:sz w:val="21"/>
        </w:rPr>
        <w:t>ing</w:t>
      </w:r>
      <w:r>
        <w:rPr>
          <w:b/>
          <w:sz w:val="21"/>
        </w:rPr>
        <w:t> </w:t>
      </w:r>
      <w:r>
        <w:rPr>
          <w:b/>
          <w:w w:val="100"/>
          <w:sz w:val="21"/>
        </w:rPr>
        <w:t>idol</w:t>
      </w:r>
      <w:r>
        <w:rPr>
          <w:b/>
          <w:sz w:val="21"/>
        </w:rPr>
        <w:t> </w:t>
      </w:r>
      <w:r>
        <w:rPr>
          <w:b/>
          <w:w w:val="100"/>
          <w:sz w:val="21"/>
        </w:rPr>
        <w:t>w</w:t>
      </w:r>
      <w:r>
        <w:rPr>
          <w:b/>
          <w:w w:val="100"/>
          <w:sz w:val="21"/>
        </w:rPr>
        <w:t>or</w:t>
      </w:r>
      <w:r>
        <w:rPr>
          <w:b/>
          <w:w w:val="100"/>
          <w:sz w:val="21"/>
        </w:rPr>
        <w:t>s</w:t>
      </w:r>
      <w:r>
        <w:rPr>
          <w:b/>
          <w:w w:val="100"/>
          <w:sz w:val="21"/>
        </w:rPr>
        <w:t>hip</w:t>
      </w:r>
      <w:r>
        <w:rPr>
          <w:b/>
          <w:sz w:val="21"/>
        </w:rPr>
        <w:t> </w:t>
      </w:r>
      <w:r>
        <w:rPr>
          <w:b/>
          <w:w w:val="100"/>
          <w:sz w:val="21"/>
        </w:rPr>
        <w:t>ought </w:t>
      </w:r>
      <w:r>
        <w:rPr>
          <w:b/>
          <w:sz w:val="21"/>
        </w:rPr>
        <w:t>to be borne in mind</w:t>
      </w:r>
    </w:p>
    <w:p>
      <w:pPr>
        <w:spacing w:line="276" w:lineRule="auto" w:before="45"/>
        <w:ind w:left="2300" w:right="2261" w:firstLine="0"/>
        <w:jc w:val="both"/>
        <w:rPr>
          <w:sz w:val="21"/>
        </w:rPr>
      </w:pPr>
      <w:r>
        <w:rPr>
          <w:spacing w:val="-1"/>
          <w:w w:val="33"/>
          <w:sz w:val="21"/>
        </w:rPr>
        <w:t>―</w:t>
      </w:r>
      <w:r>
        <w:rPr>
          <w:spacing w:val="-2"/>
          <w:w w:val="100"/>
          <w:sz w:val="21"/>
        </w:rPr>
        <w:t>t</w:t>
      </w:r>
      <w:r>
        <w:rPr>
          <w:spacing w:val="-1"/>
          <w:w w:val="100"/>
          <w:sz w:val="21"/>
        </w:rPr>
        <w:t>ha</w:t>
      </w:r>
      <w:r>
        <w:rPr>
          <w:w w:val="100"/>
          <w:sz w:val="21"/>
        </w:rPr>
        <w:t>t</w:t>
      </w:r>
      <w:r>
        <w:rPr>
          <w:sz w:val="21"/>
        </w:rPr>
        <w:t>  </w:t>
      </w:r>
      <w:r>
        <w:rPr>
          <w:spacing w:val="-11"/>
          <w:sz w:val="21"/>
        </w:rPr>
        <w:t> </w:t>
      </w:r>
      <w:r>
        <w:rPr>
          <w:spacing w:val="-2"/>
          <w:w w:val="100"/>
          <w:sz w:val="21"/>
        </w:rPr>
        <w:t>w</w:t>
      </w:r>
      <w:r>
        <w:rPr>
          <w:spacing w:val="-1"/>
          <w:w w:val="100"/>
          <w:sz w:val="21"/>
        </w:rPr>
        <w:t>h</w:t>
      </w:r>
      <w:r>
        <w:rPr>
          <w:spacing w:val="1"/>
          <w:w w:val="100"/>
          <w:sz w:val="21"/>
        </w:rPr>
        <w:t>i</w:t>
      </w:r>
      <w:r>
        <w:rPr>
          <w:w w:val="100"/>
          <w:sz w:val="21"/>
        </w:rPr>
        <w:t>che</w:t>
      </w:r>
      <w:r>
        <w:rPr>
          <w:spacing w:val="-3"/>
          <w:w w:val="100"/>
          <w:sz w:val="21"/>
        </w:rPr>
        <w:t>v</w:t>
      </w:r>
      <w:r>
        <w:rPr>
          <w:spacing w:val="-1"/>
          <w:w w:val="100"/>
          <w:sz w:val="21"/>
        </w:rPr>
        <w:t>e</w:t>
      </w:r>
      <w:r>
        <w:rPr>
          <w:w w:val="100"/>
          <w:sz w:val="21"/>
        </w:rPr>
        <w:t>r</w:t>
      </w:r>
      <w:r>
        <w:rPr>
          <w:sz w:val="21"/>
        </w:rPr>
        <w:t>  </w:t>
      </w:r>
      <w:r>
        <w:rPr>
          <w:spacing w:val="-11"/>
          <w:sz w:val="21"/>
        </w:rPr>
        <w:t> </w:t>
      </w:r>
      <w:r>
        <w:rPr>
          <w:spacing w:val="-2"/>
          <w:w w:val="100"/>
          <w:sz w:val="21"/>
        </w:rPr>
        <w:t>G</w:t>
      </w:r>
      <w:r>
        <w:rPr>
          <w:spacing w:val="-1"/>
          <w:w w:val="100"/>
          <w:sz w:val="21"/>
        </w:rPr>
        <w:t>o</w:t>
      </w:r>
      <w:r>
        <w:rPr>
          <w:w w:val="100"/>
          <w:sz w:val="21"/>
        </w:rPr>
        <w:t>d</w:t>
      </w:r>
      <w:r>
        <w:rPr>
          <w:sz w:val="21"/>
        </w:rPr>
        <w:t>  </w:t>
      </w:r>
      <w:r>
        <w:rPr>
          <w:spacing w:val="-10"/>
          <w:sz w:val="21"/>
        </w:rPr>
        <w:t> </w:t>
      </w:r>
      <w:r>
        <w:rPr>
          <w:spacing w:val="-2"/>
          <w:w w:val="100"/>
          <w:sz w:val="21"/>
        </w:rPr>
        <w:t>t</w:t>
      </w:r>
      <w:r>
        <w:rPr>
          <w:spacing w:val="-3"/>
          <w:w w:val="100"/>
          <w:sz w:val="21"/>
        </w:rPr>
        <w:t>h</w:t>
      </w:r>
      <w:r>
        <w:rPr>
          <w:w w:val="100"/>
          <w:sz w:val="21"/>
        </w:rPr>
        <w:t>e</w:t>
      </w:r>
      <w:r>
        <w:rPr>
          <w:sz w:val="21"/>
        </w:rPr>
        <w:t>  </w:t>
      </w:r>
      <w:r>
        <w:rPr>
          <w:spacing w:val="-10"/>
          <w:sz w:val="21"/>
        </w:rPr>
        <w:t> </w:t>
      </w:r>
      <w:r>
        <w:rPr>
          <w:spacing w:val="-1"/>
          <w:w w:val="100"/>
          <w:sz w:val="21"/>
        </w:rPr>
        <w:t>de</w:t>
      </w:r>
      <w:r>
        <w:rPr>
          <w:spacing w:val="-3"/>
          <w:w w:val="100"/>
          <w:sz w:val="21"/>
        </w:rPr>
        <w:t>v</w:t>
      </w:r>
      <w:r>
        <w:rPr>
          <w:spacing w:val="-1"/>
          <w:w w:val="100"/>
          <w:sz w:val="21"/>
        </w:rPr>
        <w:t>ote</w:t>
      </w:r>
      <w:r>
        <w:rPr>
          <w:w w:val="100"/>
          <w:sz w:val="21"/>
        </w:rPr>
        <w:t>e</w:t>
      </w:r>
      <w:r>
        <w:rPr>
          <w:sz w:val="21"/>
        </w:rPr>
        <w:t>  </w:t>
      </w:r>
      <w:r>
        <w:rPr>
          <w:spacing w:val="-12"/>
          <w:sz w:val="21"/>
        </w:rPr>
        <w:t> </w:t>
      </w:r>
      <w:r>
        <w:rPr>
          <w:spacing w:val="1"/>
          <w:w w:val="100"/>
          <w:sz w:val="21"/>
        </w:rPr>
        <w:t>m</w:t>
      </w:r>
      <w:r>
        <w:rPr>
          <w:spacing w:val="-2"/>
          <w:w w:val="100"/>
          <w:sz w:val="21"/>
        </w:rPr>
        <w:t>i</w:t>
      </w:r>
      <w:r>
        <w:rPr>
          <w:spacing w:val="-1"/>
          <w:w w:val="100"/>
          <w:sz w:val="21"/>
        </w:rPr>
        <w:t>gh</w:t>
      </w:r>
      <w:r>
        <w:rPr>
          <w:w w:val="100"/>
          <w:sz w:val="21"/>
        </w:rPr>
        <w:t>t</w:t>
      </w:r>
      <w:r>
        <w:rPr>
          <w:sz w:val="21"/>
        </w:rPr>
        <w:t>  </w:t>
      </w:r>
      <w:r>
        <w:rPr>
          <w:spacing w:val="-11"/>
          <w:sz w:val="21"/>
        </w:rPr>
        <w:t> </w:t>
      </w:r>
      <w:r>
        <w:rPr>
          <w:w w:val="100"/>
          <w:sz w:val="21"/>
        </w:rPr>
        <w:t>ch</w:t>
      </w:r>
      <w:r>
        <w:rPr>
          <w:spacing w:val="-3"/>
          <w:w w:val="100"/>
          <w:sz w:val="21"/>
        </w:rPr>
        <w:t>o</w:t>
      </w:r>
      <w:r>
        <w:rPr>
          <w:spacing w:val="-1"/>
          <w:w w:val="100"/>
          <w:sz w:val="21"/>
        </w:rPr>
        <w:t>o</w:t>
      </w:r>
      <w:r>
        <w:rPr>
          <w:spacing w:val="-3"/>
          <w:w w:val="100"/>
          <w:sz w:val="21"/>
        </w:rPr>
        <w:t>s</w:t>
      </w:r>
      <w:r>
        <w:rPr>
          <w:w w:val="100"/>
          <w:sz w:val="21"/>
        </w:rPr>
        <w:t>e</w:t>
      </w:r>
      <w:r>
        <w:rPr>
          <w:sz w:val="21"/>
        </w:rPr>
        <w:t>  </w:t>
      </w:r>
      <w:r>
        <w:rPr>
          <w:spacing w:val="-10"/>
          <w:sz w:val="21"/>
        </w:rPr>
        <w:t> </w:t>
      </w:r>
      <w:r>
        <w:rPr>
          <w:spacing w:val="1"/>
          <w:w w:val="100"/>
          <w:sz w:val="21"/>
        </w:rPr>
        <w:t>f</w:t>
      </w:r>
      <w:r>
        <w:rPr>
          <w:spacing w:val="-1"/>
          <w:w w:val="100"/>
          <w:sz w:val="21"/>
        </w:rPr>
        <w:t>or </w:t>
      </w:r>
      <w:r>
        <w:rPr>
          <w:sz w:val="21"/>
        </w:rPr>
        <w:t>purposes of worship and whatever image he might set up and consecrate with that object, </w:t>
      </w:r>
      <w:r>
        <w:rPr>
          <w:b/>
          <w:sz w:val="21"/>
        </w:rPr>
        <w:t>the image represents the Supreme God and none else</w:t>
      </w:r>
      <w:r>
        <w:rPr>
          <w:sz w:val="21"/>
        </w:rPr>
        <w:t>. There is no  superiority or inferiority amongst the</w:t>
      </w:r>
      <w:r>
        <w:rPr>
          <w:spacing w:val="24"/>
          <w:sz w:val="21"/>
        </w:rPr>
        <w:t> </w:t>
      </w:r>
      <w:r>
        <w:rPr>
          <w:sz w:val="21"/>
        </w:rPr>
        <w:t>different Gods. Siva,</w:t>
      </w:r>
    </w:p>
    <w:p>
      <w:pPr>
        <w:spacing w:after="0" w:line="276" w:lineRule="auto"/>
        <w:jc w:val="both"/>
        <w:rPr>
          <w:sz w:val="21"/>
        </w:rPr>
        <w:sectPr>
          <w:pgSz w:w="11910" w:h="16840"/>
          <w:pgMar w:header="721" w:footer="1014" w:top="1300" w:bottom="1200" w:left="940" w:right="1000"/>
        </w:sectPr>
      </w:pPr>
    </w:p>
    <w:p>
      <w:pPr>
        <w:spacing w:line="276" w:lineRule="auto" w:before="122"/>
        <w:ind w:left="2300" w:right="2263" w:firstLine="0"/>
        <w:jc w:val="both"/>
        <w:rPr>
          <w:sz w:val="21"/>
        </w:rPr>
      </w:pPr>
      <w:r>
        <w:rPr>
          <w:sz w:val="21"/>
        </w:rPr>
        <w:t>Vishnu, Ganapati or Surya is extolled, each in its turn as the creator, preserver and supreme lord of the universe. </w:t>
      </w:r>
      <w:r>
        <w:rPr>
          <w:b/>
          <w:sz w:val="21"/>
        </w:rPr>
        <w:t>The image simply gives a name and form to the formless God and the orthodox Hindu idea is that conception of form is only for the benefit of the worshipper and nothing else</w:t>
      </w:r>
      <w:r>
        <w:rPr>
          <w:sz w:val="21"/>
        </w:rPr>
        <w:t>‖.</w:t>
      </w:r>
    </w:p>
    <w:p>
      <w:pPr>
        <w:tabs>
          <w:tab w:pos="4844" w:val="left" w:leader="none"/>
        </w:tabs>
        <w:spacing w:line="276" w:lineRule="auto" w:before="41"/>
        <w:ind w:left="1940" w:right="2264" w:firstLine="0"/>
        <w:jc w:val="both"/>
        <w:rPr>
          <w:sz w:val="21"/>
        </w:rPr>
      </w:pPr>
      <w:r>
        <w:rPr>
          <w:sz w:val="21"/>
        </w:rPr>
        <w:t>(B.K. Mukherjea — </w:t>
      </w:r>
      <w:r>
        <w:rPr>
          <w:i/>
          <w:sz w:val="21"/>
        </w:rPr>
        <w:t>Hindu Law of Religious and Charitable </w:t>
      </w:r>
      <w:r>
        <w:rPr>
          <w:i/>
          <w:sz w:val="21"/>
        </w:rPr>
        <w:t>Trusts</w:t>
      </w:r>
      <w:r>
        <w:rPr>
          <w:sz w:val="21"/>
        </w:rPr>
        <w:t>,</w:t>
      </w:r>
      <w:r>
        <w:rPr>
          <w:spacing w:val="-7"/>
          <w:sz w:val="21"/>
        </w:rPr>
        <w:t> </w:t>
      </w:r>
      <w:r>
        <w:rPr>
          <w:sz w:val="21"/>
        </w:rPr>
        <w:t>5th</w:t>
      </w:r>
      <w:r>
        <w:rPr>
          <w:spacing w:val="-6"/>
          <w:sz w:val="21"/>
        </w:rPr>
        <w:t> </w:t>
      </w:r>
      <w:r>
        <w:rPr>
          <w:sz w:val="21"/>
        </w:rPr>
        <w:t>Edn.)‖</w:t>
        <w:tab/>
        <w:t>(Emphasis</w:t>
      </w:r>
      <w:r>
        <w:rPr>
          <w:spacing w:val="-1"/>
          <w:sz w:val="21"/>
        </w:rPr>
        <w:t> </w:t>
      </w:r>
      <w:r>
        <w:rPr>
          <w:sz w:val="21"/>
        </w:rPr>
        <w:t>supplied)</w:t>
      </w:r>
    </w:p>
    <w:p>
      <w:pPr>
        <w:pStyle w:val="BodyText"/>
        <w:rPr>
          <w:sz w:val="24"/>
        </w:rPr>
      </w:pPr>
    </w:p>
    <w:p>
      <w:pPr>
        <w:pStyle w:val="BodyText"/>
        <w:spacing w:before="4"/>
        <w:rPr>
          <w:sz w:val="28"/>
        </w:rPr>
      </w:pPr>
    </w:p>
    <w:p>
      <w:pPr>
        <w:pStyle w:val="BodyText"/>
        <w:spacing w:line="480" w:lineRule="auto"/>
        <w:ind w:left="500" w:right="437"/>
        <w:jc w:val="both"/>
      </w:pPr>
      <w:r>
        <w:rPr/>
        <w:t>The observations in </w:t>
      </w:r>
      <w:r>
        <w:rPr>
          <w:b/>
        </w:rPr>
        <w:t>Ram Jankijee Deities </w:t>
      </w:r>
      <w:r>
        <w:rPr/>
        <w:t>were made in the specific context of consecrating an image based on the faith and belief of devotees for the establishment of a deity to which valid dedications may be made. The observations in this case establish that the existence of a valid deity was not to be tested against Hindu </w:t>
      </w:r>
      <w:r>
        <w:rPr>
          <w:i/>
        </w:rPr>
        <w:t>Shastras </w:t>
      </w:r>
      <w:r>
        <w:rPr/>
        <w:t>but on the basis of the faith and belief of the devotees. Once the faith and belief of the devotees had been established, it was an express deed of dedication that resulted in the conferral of juridical personality on the idol. The observations in this case cannot be equated to the elevation of property itself as a juristic</w:t>
      </w:r>
      <w:r>
        <w:rPr>
          <w:spacing w:val="-6"/>
        </w:rPr>
        <w:t> </w:t>
      </w:r>
      <w:r>
        <w:rPr/>
        <w:t>person.</w:t>
      </w:r>
    </w:p>
    <w:p>
      <w:pPr>
        <w:pStyle w:val="BodyText"/>
        <w:rPr>
          <w:sz w:val="28"/>
        </w:rPr>
      </w:pPr>
    </w:p>
    <w:p>
      <w:pPr>
        <w:pStyle w:val="BodyText"/>
        <w:spacing w:before="4"/>
        <w:rPr>
          <w:sz w:val="22"/>
        </w:rPr>
      </w:pPr>
    </w:p>
    <w:p>
      <w:pPr>
        <w:pStyle w:val="ListParagraph"/>
        <w:numPr>
          <w:ilvl w:val="0"/>
          <w:numId w:val="3"/>
        </w:numPr>
        <w:tabs>
          <w:tab w:pos="1221" w:val="left" w:leader="none"/>
        </w:tabs>
        <w:spacing w:line="480" w:lineRule="auto" w:before="0" w:after="0"/>
        <w:ind w:left="500" w:right="435" w:firstLine="0"/>
        <w:jc w:val="both"/>
        <w:rPr>
          <w:sz w:val="25"/>
        </w:rPr>
      </w:pPr>
      <w:r>
        <w:rPr>
          <w:sz w:val="25"/>
        </w:rPr>
        <w:t>The court in that case was concerned with whether a specific image of a deity must be tested against Hindu scriptures and it is in this context that the </w:t>
      </w:r>
      <w:r>
        <w:rPr>
          <w:w w:val="99"/>
          <w:sz w:val="25"/>
        </w:rPr>
        <w:t>court</w:t>
      </w:r>
      <w:r>
        <w:rPr>
          <w:spacing w:val="31"/>
          <w:sz w:val="25"/>
        </w:rPr>
        <w:t> </w:t>
      </w:r>
      <w:r>
        <w:rPr>
          <w:spacing w:val="-1"/>
          <w:w w:val="99"/>
          <w:sz w:val="25"/>
        </w:rPr>
        <w:t>h</w:t>
      </w:r>
      <w:r>
        <w:rPr>
          <w:w w:val="99"/>
          <w:sz w:val="25"/>
        </w:rPr>
        <w:t>e</w:t>
      </w:r>
      <w:r>
        <w:rPr>
          <w:spacing w:val="-1"/>
          <w:w w:val="99"/>
          <w:sz w:val="25"/>
        </w:rPr>
        <w:t>l</w:t>
      </w:r>
      <w:r>
        <w:rPr>
          <w:w w:val="99"/>
          <w:sz w:val="25"/>
        </w:rPr>
        <w:t>d</w:t>
      </w:r>
      <w:r>
        <w:rPr>
          <w:spacing w:val="31"/>
          <w:sz w:val="25"/>
        </w:rPr>
        <w:t> </w:t>
      </w:r>
      <w:r>
        <w:rPr>
          <w:w w:val="99"/>
          <w:sz w:val="25"/>
        </w:rPr>
        <w:t>that</w:t>
      </w:r>
      <w:r>
        <w:rPr>
          <w:spacing w:val="31"/>
          <w:sz w:val="25"/>
        </w:rPr>
        <w:t> </w:t>
      </w:r>
      <w:r>
        <w:rPr>
          <w:spacing w:val="-1"/>
          <w:w w:val="99"/>
          <w:sz w:val="25"/>
        </w:rPr>
        <w:t>d</w:t>
      </w:r>
      <w:r>
        <w:rPr>
          <w:spacing w:val="2"/>
          <w:w w:val="99"/>
          <w:sz w:val="25"/>
        </w:rPr>
        <w:t>i</w:t>
      </w:r>
      <w:r>
        <w:rPr>
          <w:spacing w:val="-3"/>
          <w:w w:val="99"/>
          <w:sz w:val="25"/>
        </w:rPr>
        <w:t>v</w:t>
      </w:r>
      <w:r>
        <w:rPr>
          <w:spacing w:val="-1"/>
          <w:w w:val="99"/>
          <w:sz w:val="25"/>
        </w:rPr>
        <w:t>ini</w:t>
      </w:r>
      <w:r>
        <w:rPr>
          <w:spacing w:val="2"/>
          <w:w w:val="99"/>
          <w:sz w:val="25"/>
        </w:rPr>
        <w:t>t</w:t>
      </w:r>
      <w:r>
        <w:rPr>
          <w:w w:val="99"/>
          <w:sz w:val="25"/>
        </w:rPr>
        <w:t>y</w:t>
      </w:r>
      <w:r>
        <w:rPr>
          <w:spacing w:val="30"/>
          <w:sz w:val="25"/>
        </w:rPr>
        <w:t> </w:t>
      </w:r>
      <w:r>
        <w:rPr>
          <w:spacing w:val="-1"/>
          <w:w w:val="99"/>
          <w:sz w:val="25"/>
        </w:rPr>
        <w:t>i</w:t>
      </w:r>
      <w:r>
        <w:rPr>
          <w:w w:val="99"/>
          <w:sz w:val="25"/>
        </w:rPr>
        <w:t>s</w:t>
      </w:r>
      <w:r>
        <w:rPr>
          <w:spacing w:val="30"/>
          <w:sz w:val="25"/>
        </w:rPr>
        <w:t> </w:t>
      </w:r>
      <w:r>
        <w:rPr>
          <w:w w:val="33"/>
          <w:sz w:val="25"/>
        </w:rPr>
        <w:t>―</w:t>
      </w:r>
      <w:r>
        <w:rPr>
          <w:w w:val="99"/>
          <w:sz w:val="25"/>
        </w:rPr>
        <w:t>fo</w:t>
      </w:r>
      <w:r>
        <w:rPr>
          <w:spacing w:val="1"/>
          <w:w w:val="99"/>
          <w:sz w:val="25"/>
        </w:rPr>
        <w:t>r</w:t>
      </w:r>
      <w:r>
        <w:rPr>
          <w:w w:val="99"/>
          <w:sz w:val="25"/>
        </w:rPr>
        <w:t>m</w:t>
      </w:r>
      <w:r>
        <w:rPr>
          <w:spacing w:val="-1"/>
          <w:w w:val="99"/>
          <w:sz w:val="25"/>
        </w:rPr>
        <w:t>less</w:t>
      </w:r>
      <w:r>
        <w:rPr>
          <w:w w:val="99"/>
          <w:sz w:val="25"/>
        </w:rPr>
        <w:t>,</w:t>
      </w:r>
      <w:r>
        <w:rPr>
          <w:spacing w:val="31"/>
          <w:sz w:val="25"/>
        </w:rPr>
        <w:t> </w:t>
      </w:r>
      <w:r>
        <w:rPr>
          <w:w w:val="99"/>
          <w:sz w:val="25"/>
        </w:rPr>
        <w:t>sha</w:t>
      </w:r>
      <w:r>
        <w:rPr>
          <w:spacing w:val="-1"/>
          <w:w w:val="99"/>
          <w:sz w:val="25"/>
        </w:rPr>
        <w:t>p</w:t>
      </w:r>
      <w:r>
        <w:rPr>
          <w:w w:val="99"/>
          <w:sz w:val="25"/>
        </w:rPr>
        <w:t>e</w:t>
      </w:r>
      <w:r>
        <w:rPr>
          <w:spacing w:val="1"/>
          <w:w w:val="99"/>
          <w:sz w:val="25"/>
        </w:rPr>
        <w:t>l</w:t>
      </w:r>
      <w:r>
        <w:rPr>
          <w:spacing w:val="-1"/>
          <w:w w:val="99"/>
          <w:sz w:val="25"/>
        </w:rPr>
        <w:t>es</w:t>
      </w:r>
      <w:r>
        <w:rPr>
          <w:w w:val="99"/>
          <w:sz w:val="25"/>
        </w:rPr>
        <w:t>s</w:t>
      </w:r>
      <w:r>
        <w:rPr>
          <w:spacing w:val="31"/>
          <w:sz w:val="25"/>
        </w:rPr>
        <w:t> </w:t>
      </w:r>
      <w:r>
        <w:rPr>
          <w:spacing w:val="-1"/>
          <w:w w:val="99"/>
          <w:sz w:val="25"/>
        </w:rPr>
        <w:t>b</w:t>
      </w:r>
      <w:r>
        <w:rPr>
          <w:w w:val="99"/>
          <w:sz w:val="25"/>
        </w:rPr>
        <w:t>ut</w:t>
      </w:r>
      <w:r>
        <w:rPr>
          <w:spacing w:val="31"/>
          <w:sz w:val="25"/>
        </w:rPr>
        <w:t> </w:t>
      </w:r>
      <w:r>
        <w:rPr>
          <w:spacing w:val="-1"/>
          <w:w w:val="99"/>
          <w:sz w:val="25"/>
        </w:rPr>
        <w:t>i</w:t>
      </w:r>
      <w:r>
        <w:rPr>
          <w:w w:val="99"/>
          <w:sz w:val="25"/>
        </w:rPr>
        <w:t>t</w:t>
      </w:r>
      <w:r>
        <w:rPr>
          <w:spacing w:val="31"/>
          <w:sz w:val="25"/>
        </w:rPr>
        <w:t> </w:t>
      </w:r>
      <w:r>
        <w:rPr>
          <w:spacing w:val="-1"/>
          <w:w w:val="99"/>
          <w:sz w:val="25"/>
        </w:rPr>
        <w:t>i</w:t>
      </w:r>
      <w:r>
        <w:rPr>
          <w:w w:val="99"/>
          <w:sz w:val="25"/>
        </w:rPr>
        <w:t>s</w:t>
      </w:r>
      <w:r>
        <w:rPr>
          <w:spacing w:val="33"/>
          <w:sz w:val="25"/>
        </w:rPr>
        <w:t> </w:t>
      </w:r>
      <w:r>
        <w:rPr>
          <w:w w:val="99"/>
          <w:sz w:val="25"/>
        </w:rPr>
        <w:t>the</w:t>
      </w:r>
      <w:r>
        <w:rPr>
          <w:spacing w:val="31"/>
          <w:sz w:val="25"/>
        </w:rPr>
        <w:t> </w:t>
      </w:r>
      <w:r>
        <w:rPr>
          <w:spacing w:val="-1"/>
          <w:w w:val="99"/>
          <w:sz w:val="25"/>
        </w:rPr>
        <w:t>h</w:t>
      </w:r>
      <w:r>
        <w:rPr>
          <w:w w:val="99"/>
          <w:sz w:val="25"/>
        </w:rPr>
        <w:t>u</w:t>
      </w:r>
      <w:r>
        <w:rPr>
          <w:spacing w:val="3"/>
          <w:w w:val="99"/>
          <w:sz w:val="25"/>
        </w:rPr>
        <w:t>m</w:t>
      </w:r>
      <w:r>
        <w:rPr>
          <w:spacing w:val="-1"/>
          <w:w w:val="99"/>
          <w:sz w:val="25"/>
        </w:rPr>
        <w:t>a</w:t>
      </w:r>
      <w:r>
        <w:rPr>
          <w:w w:val="99"/>
          <w:sz w:val="25"/>
        </w:rPr>
        <w:t>n</w:t>
      </w:r>
      <w:r>
        <w:rPr>
          <w:spacing w:val="31"/>
          <w:sz w:val="25"/>
        </w:rPr>
        <w:t> </w:t>
      </w:r>
      <w:r>
        <w:rPr>
          <w:w w:val="99"/>
          <w:sz w:val="25"/>
        </w:rPr>
        <w:t>concept</w:t>
      </w:r>
      <w:r>
        <w:rPr>
          <w:spacing w:val="31"/>
          <w:sz w:val="25"/>
        </w:rPr>
        <w:t> </w:t>
      </w:r>
      <w:r>
        <w:rPr>
          <w:spacing w:val="-1"/>
          <w:w w:val="99"/>
          <w:sz w:val="25"/>
        </w:rPr>
        <w:t>o</w:t>
      </w:r>
      <w:r>
        <w:rPr>
          <w:w w:val="99"/>
          <w:sz w:val="25"/>
        </w:rPr>
        <w:t>f</w:t>
      </w:r>
      <w:r>
        <w:rPr>
          <w:spacing w:val="31"/>
          <w:sz w:val="25"/>
        </w:rPr>
        <w:t> </w:t>
      </w:r>
      <w:r>
        <w:rPr>
          <w:w w:val="99"/>
          <w:sz w:val="25"/>
        </w:rPr>
        <w:t>a </w:t>
      </w:r>
      <w:r>
        <w:rPr>
          <w:sz w:val="25"/>
        </w:rPr>
        <w:t>particular divine existence which gives it the shape, the size and the colour.‖ There is no express deed of dedication in the present case. The case of </w:t>
      </w:r>
      <w:r>
        <w:rPr>
          <w:b/>
          <w:sz w:val="25"/>
        </w:rPr>
        <w:t>Ram Jankijee Deities </w:t>
      </w:r>
      <w:r>
        <w:rPr>
          <w:sz w:val="25"/>
        </w:rPr>
        <w:t>is not an authority for the proposition that the mere faith and belief of the devotees is sufficient for the conferral of juristic personality. While it was adequate for the existence of a place of religious worship, it was on the basis of a deed of dedication that juristic personality was</w:t>
      </w:r>
      <w:r>
        <w:rPr>
          <w:spacing w:val="-14"/>
          <w:sz w:val="25"/>
        </w:rPr>
        <w:t> </w:t>
      </w:r>
      <w:r>
        <w:rPr>
          <w:sz w:val="25"/>
        </w:rPr>
        <w:t>conferred.</w:t>
      </w:r>
    </w:p>
    <w:p>
      <w:pPr>
        <w:spacing w:after="0" w:line="480" w:lineRule="auto"/>
        <w:jc w:val="both"/>
        <w:rPr>
          <w:sz w:val="25"/>
        </w:rPr>
        <w:sectPr>
          <w:pgSz w:w="11910" w:h="16840"/>
          <w:pgMar w:header="721" w:footer="1014" w:top="1300" w:bottom="1200" w:left="940" w:right="1000"/>
        </w:sectPr>
      </w:pPr>
    </w:p>
    <w:p>
      <w:pPr>
        <w:pStyle w:val="Heading4"/>
        <w:spacing w:before="126"/>
        <w:jc w:val="left"/>
        <w:rPr>
          <w:i/>
        </w:rPr>
      </w:pPr>
      <w:r>
        <w:rPr>
          <w:i/>
        </w:rPr>
        <w:t>The sacred hill</w:t>
      </w:r>
    </w:p>
    <w:p>
      <w:pPr>
        <w:pStyle w:val="BodyText"/>
        <w:rPr>
          <w:i/>
          <w:sz w:val="28"/>
        </w:rPr>
      </w:pPr>
    </w:p>
    <w:p>
      <w:pPr>
        <w:pStyle w:val="BodyText"/>
        <w:spacing w:before="7"/>
        <w:rPr>
          <w:i/>
          <w:sz w:val="22"/>
        </w:rPr>
      </w:pPr>
    </w:p>
    <w:p>
      <w:pPr>
        <w:pStyle w:val="ListParagraph"/>
        <w:numPr>
          <w:ilvl w:val="0"/>
          <w:numId w:val="3"/>
        </w:numPr>
        <w:tabs>
          <w:tab w:pos="1221" w:val="left" w:leader="none"/>
        </w:tabs>
        <w:spacing w:line="480" w:lineRule="auto" w:before="0" w:after="0"/>
        <w:ind w:left="500" w:right="435" w:firstLine="0"/>
        <w:jc w:val="both"/>
        <w:rPr>
          <w:sz w:val="25"/>
        </w:rPr>
      </w:pPr>
      <w:r>
        <w:rPr>
          <w:sz w:val="25"/>
        </w:rPr>
        <w:t>In </w:t>
      </w:r>
      <w:r>
        <w:rPr>
          <w:b/>
          <w:sz w:val="25"/>
        </w:rPr>
        <w:t>Sir Seth Hukum Chand </w:t>
      </w:r>
      <w:r>
        <w:rPr>
          <w:sz w:val="25"/>
        </w:rPr>
        <w:t>v </w:t>
      </w:r>
      <w:r>
        <w:rPr>
          <w:b/>
          <w:sz w:val="25"/>
        </w:rPr>
        <w:t>Maharaj Bahadur Singh</w:t>
      </w:r>
      <w:r>
        <w:rPr>
          <w:sz w:val="25"/>
          <w:vertAlign w:val="superscript"/>
        </w:rPr>
        <w:t>100</w:t>
      </w:r>
      <w:r>
        <w:rPr>
          <w:sz w:val="25"/>
          <w:vertAlign w:val="baseline"/>
        </w:rPr>
        <w:t>, the dispute concerned two sects of the Jain community with regard to the rights of worship of a hill of 25 square miles to which religious significance was attached. According to the Digambaras, the sacred nature of the hill demanded that the moment they set foot on the hill, they must abstain from any offence against nature, even spitting. Though this is observed by the Swetambaris as well, the Digambaras adopted a position that any course of action which is inconsistent with their worship, such as the regular and continuous employment of human beings on the hill involves a desecration of the</w:t>
      </w:r>
      <w:r>
        <w:rPr>
          <w:spacing w:val="-6"/>
          <w:sz w:val="25"/>
          <w:vertAlign w:val="baseline"/>
        </w:rPr>
        <w:t> </w:t>
      </w:r>
      <w:r>
        <w:rPr>
          <w:sz w:val="25"/>
          <w:vertAlign w:val="baseline"/>
        </w:rPr>
        <w:t>hill.</w:t>
      </w:r>
    </w:p>
    <w:p>
      <w:pPr>
        <w:pStyle w:val="BodyText"/>
        <w:spacing w:before="3"/>
      </w:pPr>
    </w:p>
    <w:p>
      <w:pPr>
        <w:pStyle w:val="ListParagraph"/>
        <w:numPr>
          <w:ilvl w:val="0"/>
          <w:numId w:val="3"/>
        </w:numPr>
        <w:tabs>
          <w:tab w:pos="1221" w:val="left" w:leader="none"/>
        </w:tabs>
        <w:spacing w:line="480" w:lineRule="auto" w:before="0" w:after="0"/>
        <w:ind w:left="500" w:right="434" w:firstLine="0"/>
        <w:jc w:val="both"/>
        <w:rPr>
          <w:sz w:val="25"/>
        </w:rPr>
      </w:pPr>
      <w:r>
        <w:rPr/>
        <w:pict>
          <v:rect style="position:absolute;margin-left:72.024002pt;margin-top:343.574829pt;width:144.020pt;height:.60004pt;mso-position-horizontal-relative:page;mso-position-vertical-relative:paragraph;z-index:15761408" filled="true" fillcolor="#000000" stroked="false">
            <v:fill type="solid"/>
            <w10:wrap type="none"/>
          </v:rect>
        </w:pict>
      </w:r>
      <w:r>
        <w:rPr>
          <w:sz w:val="25"/>
        </w:rPr>
        <w:t>In 1918, the Swetambaris acquired, by purchase, the proprietary rights to the hill from the Raja of Palgunj. Thereafter, sentries and night watchmen were posted on the hill which was accompanied by the construction of dwelling units for them and for other pujaris. The Digambaris contended that the proposed construction of a gate at the foot of the hill was intended to obstruct their access to the hill. A suit was instituted contending that the hill was </w:t>
      </w:r>
      <w:r>
        <w:rPr>
          <w:spacing w:val="3"/>
          <w:sz w:val="25"/>
        </w:rPr>
        <w:t>an </w:t>
      </w:r>
      <w:r>
        <w:rPr>
          <w:sz w:val="25"/>
        </w:rPr>
        <w:t>object of worship for both sects and on account of its special status, no construction would take place on it. The trial judge held that the plaintiff Digambaris were entitled to ensure that the hill, as endowed property of the deities, is kept in an immaculate condition in accordance with their faith. The High Court reversed this judgment and held that the hill was not debutter property but the property of the Raja of Palgunj,</w:t>
      </w:r>
      <w:r>
        <w:rPr>
          <w:spacing w:val="41"/>
          <w:sz w:val="25"/>
        </w:rPr>
        <w:t> </w:t>
      </w:r>
      <w:r>
        <w:rPr>
          <w:sz w:val="25"/>
        </w:rPr>
        <w:t>whose</w:t>
      </w:r>
      <w:r>
        <w:rPr>
          <w:spacing w:val="41"/>
          <w:sz w:val="25"/>
        </w:rPr>
        <w:t> </w:t>
      </w:r>
      <w:r>
        <w:rPr>
          <w:sz w:val="25"/>
        </w:rPr>
        <w:t>title</w:t>
      </w:r>
      <w:r>
        <w:rPr>
          <w:spacing w:val="42"/>
          <w:sz w:val="25"/>
        </w:rPr>
        <w:t> </w:t>
      </w:r>
      <w:r>
        <w:rPr>
          <w:sz w:val="25"/>
        </w:rPr>
        <w:t>was</w:t>
      </w:r>
      <w:r>
        <w:rPr>
          <w:spacing w:val="40"/>
          <w:sz w:val="25"/>
        </w:rPr>
        <w:t> </w:t>
      </w:r>
      <w:r>
        <w:rPr>
          <w:sz w:val="25"/>
        </w:rPr>
        <w:t>transferred.</w:t>
      </w:r>
      <w:r>
        <w:rPr>
          <w:spacing w:val="39"/>
          <w:sz w:val="25"/>
        </w:rPr>
        <w:t> </w:t>
      </w:r>
      <w:r>
        <w:rPr>
          <w:sz w:val="25"/>
        </w:rPr>
        <w:t>Further,</w:t>
      </w:r>
      <w:r>
        <w:rPr>
          <w:spacing w:val="40"/>
          <w:sz w:val="25"/>
        </w:rPr>
        <w:t> </w:t>
      </w:r>
      <w:r>
        <w:rPr>
          <w:sz w:val="25"/>
        </w:rPr>
        <w:t>the</w:t>
      </w:r>
      <w:r>
        <w:rPr>
          <w:spacing w:val="39"/>
          <w:sz w:val="25"/>
        </w:rPr>
        <w:t> </w:t>
      </w:r>
      <w:r>
        <w:rPr>
          <w:sz w:val="25"/>
        </w:rPr>
        <w:t>proposed</w:t>
      </w:r>
      <w:r>
        <w:rPr>
          <w:spacing w:val="41"/>
          <w:sz w:val="25"/>
        </w:rPr>
        <w:t> </w:t>
      </w:r>
      <w:r>
        <w:rPr>
          <w:sz w:val="25"/>
        </w:rPr>
        <w:t>construction</w:t>
      </w:r>
      <w:r>
        <w:rPr>
          <w:spacing w:val="42"/>
          <w:sz w:val="25"/>
        </w:rPr>
        <w:t> </w:t>
      </w:r>
      <w:r>
        <w:rPr>
          <w:sz w:val="25"/>
        </w:rPr>
        <w:t>of</w:t>
      </w:r>
      <w:r>
        <w:rPr>
          <w:spacing w:val="41"/>
          <w:sz w:val="25"/>
        </w:rPr>
        <w:t> </w:t>
      </w:r>
      <w:r>
        <w:rPr>
          <w:sz w:val="25"/>
        </w:rPr>
        <w:t>the</w:t>
      </w:r>
    </w:p>
    <w:p>
      <w:pPr>
        <w:spacing w:before="94"/>
        <w:ind w:left="500" w:right="0" w:firstLine="0"/>
        <w:jc w:val="left"/>
        <w:rPr>
          <w:sz w:val="18"/>
        </w:rPr>
      </w:pPr>
      <w:r>
        <w:rPr>
          <w:sz w:val="18"/>
          <w:vertAlign w:val="superscript"/>
        </w:rPr>
        <w:t>100</w:t>
      </w:r>
      <w:r>
        <w:rPr>
          <w:sz w:val="18"/>
          <w:vertAlign w:val="baseline"/>
        </w:rPr>
        <w:t> (1933) 38 LW 306 (PC)</w:t>
      </w:r>
    </w:p>
    <w:p>
      <w:pPr>
        <w:spacing w:after="0"/>
        <w:jc w:val="left"/>
        <w:rPr>
          <w:sz w:val="18"/>
        </w:rPr>
        <w:sectPr>
          <w:pgSz w:w="11910" w:h="16840"/>
          <w:pgMar w:header="721" w:footer="1014" w:top="1300" w:bottom="1200" w:left="940" w:right="1000"/>
        </w:sectPr>
      </w:pPr>
    </w:p>
    <w:p>
      <w:pPr>
        <w:pStyle w:val="BodyText"/>
        <w:spacing w:before="124"/>
        <w:ind w:left="500"/>
      </w:pPr>
      <w:r>
        <w:rPr/>
        <w:t>gate was held not to obstruct the right of worship of the Digambaris.</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In appeal, the Privy Council examined the evidence on record to conclude that legal title had vested validly in the Raja. The result of previous litigation between the Raja and the Swetambaris had concluded title in favour of the Raja. A suit by the Digambaris in 1903 also admitted the title of the Raja subject to their right to worship. The Privy Council then examined the range of activities that  were carried out on the hill without a disruption of the right to worship, and held that it was not proved that any of the acts complained of, barring the placing of the C</w:t>
      </w:r>
      <w:r>
        <w:rPr>
          <w:i/>
          <w:sz w:val="25"/>
        </w:rPr>
        <w:t>harans </w:t>
      </w:r>
      <w:r>
        <w:rPr>
          <w:sz w:val="25"/>
        </w:rPr>
        <w:t>in the three shrines, in the plaint abridged the right to</w:t>
      </w:r>
      <w:r>
        <w:rPr>
          <w:spacing w:val="-15"/>
          <w:sz w:val="25"/>
        </w:rPr>
        <w:t> </w:t>
      </w:r>
      <w:r>
        <w:rPr>
          <w:sz w:val="25"/>
        </w:rPr>
        <w:t>worship.</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1" w:after="0"/>
        <w:ind w:left="500" w:right="439" w:firstLine="0"/>
        <w:jc w:val="both"/>
        <w:rPr>
          <w:sz w:val="25"/>
        </w:rPr>
      </w:pPr>
      <w:r>
        <w:rPr>
          <w:sz w:val="25"/>
        </w:rPr>
        <w:t>The trial judge concluded that the hill was debutter property of the deities entirely on the belief of its sanctity. Taking exception to these observations, the Privy Council</w:t>
      </w:r>
      <w:r>
        <w:rPr>
          <w:spacing w:val="-3"/>
          <w:sz w:val="25"/>
        </w:rPr>
        <w:t> </w:t>
      </w:r>
      <w:r>
        <w:rPr>
          <w:sz w:val="25"/>
        </w:rPr>
        <w:t>held:</w:t>
      </w:r>
    </w:p>
    <w:p>
      <w:pPr>
        <w:tabs>
          <w:tab w:pos="6710" w:val="left" w:leader="none"/>
        </w:tabs>
        <w:spacing w:before="0"/>
        <w:ind w:left="1940" w:right="2261" w:firstLine="0"/>
        <w:jc w:val="both"/>
        <w:rPr>
          <w:sz w:val="21"/>
        </w:rPr>
      </w:pPr>
      <w:r>
        <w:rPr>
          <w:spacing w:val="-1"/>
          <w:w w:val="33"/>
          <w:sz w:val="21"/>
        </w:rPr>
        <w:t>―</w:t>
      </w:r>
      <w:r>
        <w:rPr>
          <w:w w:val="100"/>
          <w:sz w:val="21"/>
        </w:rPr>
        <w:t>The</w:t>
      </w:r>
      <w:r>
        <w:rPr>
          <w:spacing w:val="11"/>
          <w:sz w:val="21"/>
        </w:rPr>
        <w:t> </w:t>
      </w:r>
      <w:r>
        <w:rPr>
          <w:spacing w:val="-2"/>
          <w:w w:val="100"/>
          <w:sz w:val="21"/>
        </w:rPr>
        <w:t>S</w:t>
      </w:r>
      <w:r>
        <w:rPr>
          <w:spacing w:val="-1"/>
          <w:w w:val="100"/>
          <w:sz w:val="21"/>
        </w:rPr>
        <w:t>ubo</w:t>
      </w:r>
      <w:r>
        <w:rPr>
          <w:spacing w:val="-3"/>
          <w:w w:val="100"/>
          <w:sz w:val="21"/>
        </w:rPr>
        <w:t>r</w:t>
      </w:r>
      <w:r>
        <w:rPr>
          <w:spacing w:val="-1"/>
          <w:w w:val="100"/>
          <w:sz w:val="21"/>
        </w:rPr>
        <w:t>d</w:t>
      </w:r>
      <w:r>
        <w:rPr>
          <w:spacing w:val="1"/>
          <w:w w:val="100"/>
          <w:sz w:val="21"/>
        </w:rPr>
        <w:t>i</w:t>
      </w:r>
      <w:r>
        <w:rPr>
          <w:spacing w:val="-3"/>
          <w:w w:val="100"/>
          <w:sz w:val="21"/>
        </w:rPr>
        <w:t>n</w:t>
      </w:r>
      <w:r>
        <w:rPr>
          <w:spacing w:val="-1"/>
          <w:w w:val="100"/>
          <w:sz w:val="21"/>
        </w:rPr>
        <w:t>at</w:t>
      </w:r>
      <w:r>
        <w:rPr>
          <w:w w:val="100"/>
          <w:sz w:val="21"/>
        </w:rPr>
        <w:t>e</w:t>
      </w:r>
      <w:r>
        <w:rPr>
          <w:spacing w:val="11"/>
          <w:sz w:val="21"/>
        </w:rPr>
        <w:t> </w:t>
      </w:r>
      <w:r>
        <w:rPr>
          <w:w w:val="100"/>
          <w:sz w:val="21"/>
        </w:rPr>
        <w:t>Ju</w:t>
      </w:r>
      <w:r>
        <w:rPr>
          <w:spacing w:val="-3"/>
          <w:w w:val="100"/>
          <w:sz w:val="21"/>
        </w:rPr>
        <w:t>d</w:t>
      </w:r>
      <w:r>
        <w:rPr>
          <w:spacing w:val="-1"/>
          <w:w w:val="100"/>
          <w:sz w:val="21"/>
        </w:rPr>
        <w:t>g</w:t>
      </w:r>
      <w:r>
        <w:rPr>
          <w:w w:val="100"/>
          <w:sz w:val="21"/>
        </w:rPr>
        <w:t>e</w:t>
      </w:r>
      <w:r>
        <w:rPr>
          <w:spacing w:val="8"/>
          <w:sz w:val="21"/>
        </w:rPr>
        <w:t> </w:t>
      </w:r>
      <w:r>
        <w:rPr>
          <w:spacing w:val="-1"/>
          <w:w w:val="100"/>
          <w:sz w:val="21"/>
        </w:rPr>
        <w:t>ha</w:t>
      </w:r>
      <w:r>
        <w:rPr>
          <w:w w:val="100"/>
          <w:sz w:val="21"/>
        </w:rPr>
        <w:t>s</w:t>
      </w:r>
      <w:r>
        <w:rPr>
          <w:spacing w:val="11"/>
          <w:sz w:val="21"/>
        </w:rPr>
        <w:t> </w:t>
      </w:r>
      <w:r>
        <w:rPr>
          <w:spacing w:val="-1"/>
          <w:w w:val="100"/>
          <w:sz w:val="21"/>
        </w:rPr>
        <w:t>ba</w:t>
      </w:r>
      <w:r>
        <w:rPr>
          <w:spacing w:val="-3"/>
          <w:w w:val="100"/>
          <w:sz w:val="21"/>
        </w:rPr>
        <w:t>s</w:t>
      </w:r>
      <w:r>
        <w:rPr>
          <w:spacing w:val="-1"/>
          <w:w w:val="100"/>
          <w:sz w:val="21"/>
        </w:rPr>
        <w:t>e</w:t>
      </w:r>
      <w:r>
        <w:rPr>
          <w:w w:val="100"/>
          <w:sz w:val="21"/>
        </w:rPr>
        <w:t>d</w:t>
      </w:r>
      <w:r>
        <w:rPr>
          <w:spacing w:val="11"/>
          <w:sz w:val="21"/>
        </w:rPr>
        <w:t> </w:t>
      </w:r>
      <w:r>
        <w:rPr>
          <w:spacing w:val="-3"/>
          <w:w w:val="100"/>
          <w:sz w:val="21"/>
        </w:rPr>
        <w:t>h</w:t>
      </w:r>
      <w:r>
        <w:rPr>
          <w:w w:val="100"/>
          <w:sz w:val="21"/>
        </w:rPr>
        <w:t>is</w:t>
      </w:r>
      <w:r>
        <w:rPr>
          <w:spacing w:val="11"/>
          <w:sz w:val="21"/>
        </w:rPr>
        <w:t> </w:t>
      </w:r>
      <w:r>
        <w:rPr>
          <w:spacing w:val="-2"/>
          <w:w w:val="100"/>
          <w:sz w:val="21"/>
        </w:rPr>
        <w:t>f</w:t>
      </w:r>
      <w:r>
        <w:rPr>
          <w:w w:val="100"/>
          <w:sz w:val="21"/>
        </w:rPr>
        <w:t>i</w:t>
      </w:r>
      <w:r>
        <w:rPr>
          <w:spacing w:val="-1"/>
          <w:w w:val="100"/>
          <w:sz w:val="21"/>
        </w:rPr>
        <w:t>n</w:t>
      </w:r>
      <w:r>
        <w:rPr>
          <w:spacing w:val="-3"/>
          <w:w w:val="100"/>
          <w:sz w:val="21"/>
        </w:rPr>
        <w:t>d</w:t>
      </w:r>
      <w:r>
        <w:rPr>
          <w:w w:val="100"/>
          <w:sz w:val="21"/>
        </w:rPr>
        <w:t>i</w:t>
      </w:r>
      <w:r>
        <w:rPr>
          <w:spacing w:val="-3"/>
          <w:w w:val="100"/>
          <w:sz w:val="21"/>
        </w:rPr>
        <w:t>n</w:t>
      </w:r>
      <w:r>
        <w:rPr>
          <w:w w:val="100"/>
          <w:sz w:val="21"/>
        </w:rPr>
        <w:t>g</w:t>
      </w:r>
      <w:r>
        <w:rPr>
          <w:spacing w:val="11"/>
          <w:sz w:val="21"/>
        </w:rPr>
        <w:t> </w:t>
      </w:r>
      <w:r>
        <w:rPr>
          <w:spacing w:val="-2"/>
          <w:w w:val="100"/>
          <w:sz w:val="21"/>
        </w:rPr>
        <w:t>t</w:t>
      </w:r>
      <w:r>
        <w:rPr>
          <w:spacing w:val="-1"/>
          <w:w w:val="100"/>
          <w:sz w:val="21"/>
        </w:rPr>
        <w:t>ha</w:t>
      </w:r>
      <w:r>
        <w:rPr>
          <w:w w:val="100"/>
          <w:sz w:val="21"/>
        </w:rPr>
        <w:t>t</w:t>
      </w:r>
      <w:r>
        <w:rPr>
          <w:spacing w:val="10"/>
          <w:sz w:val="21"/>
        </w:rPr>
        <w:t> </w:t>
      </w:r>
      <w:r>
        <w:rPr>
          <w:spacing w:val="-2"/>
          <w:w w:val="100"/>
          <w:sz w:val="21"/>
        </w:rPr>
        <w:t>t</w:t>
      </w:r>
      <w:r>
        <w:rPr>
          <w:spacing w:val="-1"/>
          <w:w w:val="100"/>
          <w:sz w:val="21"/>
        </w:rPr>
        <w:t>h</w:t>
      </w:r>
      <w:r>
        <w:rPr>
          <w:w w:val="100"/>
          <w:sz w:val="21"/>
        </w:rPr>
        <w:t>e</w:t>
      </w:r>
      <w:r>
        <w:rPr>
          <w:spacing w:val="11"/>
          <w:sz w:val="21"/>
        </w:rPr>
        <w:t> </w:t>
      </w:r>
      <w:r>
        <w:rPr>
          <w:spacing w:val="-2"/>
          <w:w w:val="100"/>
          <w:sz w:val="21"/>
        </w:rPr>
        <w:t>w</w:t>
      </w:r>
      <w:r>
        <w:rPr>
          <w:spacing w:val="-1"/>
          <w:w w:val="100"/>
          <w:sz w:val="21"/>
        </w:rPr>
        <w:t>ho</w:t>
      </w:r>
      <w:r>
        <w:rPr>
          <w:spacing w:val="1"/>
          <w:w w:val="100"/>
          <w:sz w:val="21"/>
        </w:rPr>
        <w:t>l</w:t>
      </w:r>
      <w:r>
        <w:rPr>
          <w:w w:val="100"/>
          <w:sz w:val="21"/>
        </w:rPr>
        <w:t>e </w:t>
      </w:r>
      <w:r>
        <w:rPr>
          <w:sz w:val="21"/>
        </w:rPr>
        <w:t>hill is the debutter property of the jain deities on the belief in its sanctity now entertained by both sects. As observed by Ross, J., </w:t>
      </w:r>
      <w:r>
        <w:rPr>
          <w:b/>
          <w:sz w:val="21"/>
        </w:rPr>
        <w:t>that evidence undoubtedly establishes beyond a doubt that in the belief of the Jain community a spiritual quality in some way attaches to the hill, but this is a matter of faith and cannot in itself determine the physical ownership of</w:t>
      </w:r>
      <w:r>
        <w:rPr>
          <w:b/>
          <w:spacing w:val="4"/>
          <w:sz w:val="21"/>
        </w:rPr>
        <w:t> </w:t>
      </w:r>
      <w:r>
        <w:rPr>
          <w:b/>
          <w:sz w:val="21"/>
        </w:rPr>
        <w:t>the</w:t>
      </w:r>
      <w:r>
        <w:rPr>
          <w:b/>
          <w:spacing w:val="3"/>
          <w:sz w:val="21"/>
        </w:rPr>
        <w:t> </w:t>
      </w:r>
      <w:r>
        <w:rPr>
          <w:b/>
          <w:sz w:val="21"/>
        </w:rPr>
        <w:t>hill</w:t>
      </w:r>
      <w:r>
        <w:rPr>
          <w:sz w:val="21"/>
        </w:rPr>
        <w:t>.‖</w:t>
        <w:tab/>
      </w:r>
      <w:r>
        <w:rPr>
          <w:spacing w:val="-3"/>
          <w:sz w:val="21"/>
        </w:rPr>
        <w:t>(Emphasis </w:t>
      </w:r>
      <w:r>
        <w:rPr>
          <w:sz w:val="21"/>
        </w:rPr>
        <w:t>supplied)</w:t>
      </w:r>
    </w:p>
    <w:p>
      <w:pPr>
        <w:pStyle w:val="BodyText"/>
        <w:rPr>
          <w:sz w:val="24"/>
        </w:rPr>
      </w:pPr>
    </w:p>
    <w:p>
      <w:pPr>
        <w:pStyle w:val="BodyText"/>
        <w:rPr>
          <w:sz w:val="24"/>
        </w:rPr>
      </w:pPr>
    </w:p>
    <w:p>
      <w:pPr>
        <w:pStyle w:val="BodyText"/>
        <w:spacing w:before="2"/>
        <w:rPr>
          <w:sz w:val="23"/>
        </w:rPr>
      </w:pPr>
    </w:p>
    <w:p>
      <w:pPr>
        <w:pStyle w:val="BodyText"/>
        <w:spacing w:line="480" w:lineRule="auto"/>
        <w:ind w:left="500"/>
      </w:pPr>
      <w:r>
        <w:rPr/>
        <w:t>The Privy Council explicitly rejected the contention urged by the Digambaris of a proprietary claim which was based on the faith and belief of the sect.</w:t>
      </w:r>
    </w:p>
    <w:p>
      <w:pPr>
        <w:spacing w:after="0" w:line="480" w:lineRule="auto"/>
        <w:sectPr>
          <w:pgSz w:w="11910" w:h="16840"/>
          <w:pgMar w:header="721" w:footer="1014" w:top="1300" w:bottom="1200" w:left="940" w:right="1000"/>
        </w:sectPr>
      </w:pPr>
    </w:p>
    <w:p>
      <w:pPr>
        <w:pStyle w:val="Heading4"/>
        <w:spacing w:before="126"/>
        <w:jc w:val="left"/>
        <w:rPr>
          <w:i/>
        </w:rPr>
      </w:pPr>
      <w:r>
        <w:rPr>
          <w:i/>
        </w:rPr>
        <w:t>The consequence of absolute title</w:t>
      </w:r>
    </w:p>
    <w:p>
      <w:pPr>
        <w:pStyle w:val="BodyText"/>
        <w:rPr>
          <w:i/>
          <w:sz w:val="28"/>
        </w:rPr>
      </w:pPr>
    </w:p>
    <w:p>
      <w:pPr>
        <w:pStyle w:val="ListParagraph"/>
        <w:numPr>
          <w:ilvl w:val="0"/>
          <w:numId w:val="3"/>
        </w:numPr>
        <w:tabs>
          <w:tab w:pos="1221" w:val="left" w:leader="none"/>
        </w:tabs>
        <w:spacing w:line="480" w:lineRule="auto" w:before="250" w:after="0"/>
        <w:ind w:left="500" w:right="434" w:firstLine="0"/>
        <w:jc w:val="both"/>
        <w:rPr>
          <w:sz w:val="25"/>
        </w:rPr>
      </w:pPr>
      <w:r>
        <w:rPr>
          <w:sz w:val="25"/>
        </w:rPr>
        <w:t>In</w:t>
      </w:r>
      <w:r>
        <w:rPr>
          <w:spacing w:val="-5"/>
          <w:sz w:val="25"/>
        </w:rPr>
        <w:t> </w:t>
      </w:r>
      <w:r>
        <w:rPr>
          <w:sz w:val="25"/>
        </w:rPr>
        <w:t>the</w:t>
      </w:r>
      <w:r>
        <w:rPr>
          <w:spacing w:val="-4"/>
          <w:sz w:val="25"/>
        </w:rPr>
        <w:t> </w:t>
      </w:r>
      <w:r>
        <w:rPr>
          <w:sz w:val="25"/>
        </w:rPr>
        <w:t>present</w:t>
      </w:r>
      <w:r>
        <w:rPr>
          <w:spacing w:val="-4"/>
          <w:sz w:val="25"/>
        </w:rPr>
        <w:t> </w:t>
      </w:r>
      <w:r>
        <w:rPr>
          <w:sz w:val="25"/>
        </w:rPr>
        <w:t>case,</w:t>
      </w:r>
      <w:r>
        <w:rPr>
          <w:spacing w:val="-4"/>
          <w:sz w:val="25"/>
        </w:rPr>
        <w:t> </w:t>
      </w:r>
      <w:r>
        <w:rPr>
          <w:sz w:val="25"/>
        </w:rPr>
        <w:t>the</w:t>
      </w:r>
      <w:r>
        <w:rPr>
          <w:spacing w:val="-4"/>
          <w:sz w:val="25"/>
        </w:rPr>
        <w:t> </w:t>
      </w:r>
      <w:r>
        <w:rPr>
          <w:sz w:val="25"/>
        </w:rPr>
        <w:t>recognition</w:t>
      </w:r>
      <w:r>
        <w:rPr>
          <w:spacing w:val="-4"/>
          <w:sz w:val="25"/>
        </w:rPr>
        <w:t> </w:t>
      </w:r>
      <w:r>
        <w:rPr>
          <w:sz w:val="25"/>
        </w:rPr>
        <w:t>of</w:t>
      </w:r>
      <w:r>
        <w:rPr>
          <w:spacing w:val="-7"/>
          <w:sz w:val="25"/>
        </w:rPr>
        <w:t> </w:t>
      </w:r>
      <w:r>
        <w:rPr>
          <w:sz w:val="25"/>
        </w:rPr>
        <w:t>‗Asthan</w:t>
      </w:r>
      <w:r>
        <w:rPr>
          <w:spacing w:val="-4"/>
          <w:sz w:val="25"/>
        </w:rPr>
        <w:t> </w:t>
      </w:r>
      <w:r>
        <w:rPr>
          <w:sz w:val="25"/>
        </w:rPr>
        <w:t>Sri</w:t>
      </w:r>
      <w:r>
        <w:rPr>
          <w:spacing w:val="-5"/>
          <w:sz w:val="25"/>
        </w:rPr>
        <w:t> </w:t>
      </w:r>
      <w:r>
        <w:rPr>
          <w:sz w:val="25"/>
        </w:rPr>
        <w:t>Ram</w:t>
      </w:r>
      <w:r>
        <w:rPr>
          <w:spacing w:val="-4"/>
          <w:sz w:val="25"/>
        </w:rPr>
        <w:t> </w:t>
      </w:r>
      <w:r>
        <w:rPr>
          <w:sz w:val="25"/>
        </w:rPr>
        <w:t>Janam</w:t>
      </w:r>
      <w:r>
        <w:rPr>
          <w:spacing w:val="-7"/>
          <w:sz w:val="25"/>
        </w:rPr>
        <w:t> </w:t>
      </w:r>
      <w:r>
        <w:rPr>
          <w:sz w:val="25"/>
        </w:rPr>
        <w:t>Bhumi‘</w:t>
      </w:r>
      <w:r>
        <w:rPr>
          <w:spacing w:val="2"/>
          <w:sz w:val="25"/>
        </w:rPr>
        <w:t> </w:t>
      </w:r>
      <w:r>
        <w:rPr>
          <w:sz w:val="25"/>
        </w:rPr>
        <w:t>as</w:t>
      </w:r>
      <w:r>
        <w:rPr>
          <w:spacing w:val="-4"/>
          <w:sz w:val="25"/>
        </w:rPr>
        <w:t> </w:t>
      </w:r>
      <w:r>
        <w:rPr>
          <w:sz w:val="25"/>
        </w:rPr>
        <w:t>a juristic person would result in the extinguishment of all competing proprietary claims to the land in question. This conferral of ‗absolute title‘ (resulting from the conferral of legal personality on land) would in truth render the very concept of title meaningless. Moreover, the extinguishing of competing claims would arise not by virtue of settled legal principles, but purely on the basis of the faith and belief of the devotees. This cannot be countenanced in law. The conferral of legal personality by courts is an innovation arising out of necessity and convenience. The conferral of legal personality on Hindu idols arose due to the fundamental question of who the property was dedicated to and in whom the dedicated land vested. The two clear interests that the law necessitated protection of were the interests of the devotees and the protection of the properties from mismanagement. In the present case, there exists no act of dedication and therefore the question of whom the property was dedicated to does not arise and consequently the need to recognise the pious purpose behind the dedication  itself as a legal person also does not</w:t>
      </w:r>
      <w:r>
        <w:rPr>
          <w:spacing w:val="-5"/>
          <w:sz w:val="25"/>
        </w:rPr>
        <w:t> </w:t>
      </w:r>
      <w:r>
        <w:rPr>
          <w:sz w:val="25"/>
        </w:rPr>
        <w:t>arise.</w:t>
      </w:r>
    </w:p>
    <w:p>
      <w:pPr>
        <w:pStyle w:val="BodyText"/>
        <w:spacing w:before="5"/>
      </w:pPr>
    </w:p>
    <w:p>
      <w:pPr>
        <w:spacing w:before="0"/>
        <w:ind w:left="500" w:right="0" w:firstLine="0"/>
        <w:jc w:val="left"/>
        <w:rPr>
          <w:sz w:val="26"/>
        </w:rPr>
      </w:pPr>
      <w:r>
        <w:rPr>
          <w:sz w:val="26"/>
        </w:rPr>
        <w:t>The </w:t>
      </w:r>
      <w:r>
        <w:rPr>
          <w:i/>
          <w:sz w:val="26"/>
        </w:rPr>
        <w:t>Swayambhu </w:t>
      </w:r>
      <w:r>
        <w:rPr>
          <w:sz w:val="26"/>
        </w:rPr>
        <w:t>argument</w:t>
      </w:r>
    </w:p>
    <w:p>
      <w:pPr>
        <w:pStyle w:val="BodyText"/>
        <w:rPr>
          <w:sz w:val="28"/>
        </w:rPr>
      </w:pPr>
    </w:p>
    <w:p>
      <w:pPr>
        <w:pStyle w:val="BodyText"/>
        <w:spacing w:before="9"/>
        <w:rPr>
          <w:sz w:val="22"/>
        </w:rPr>
      </w:pPr>
    </w:p>
    <w:p>
      <w:pPr>
        <w:pStyle w:val="ListParagraph"/>
        <w:numPr>
          <w:ilvl w:val="0"/>
          <w:numId w:val="3"/>
        </w:numPr>
        <w:tabs>
          <w:tab w:pos="1221" w:val="left" w:leader="none"/>
        </w:tabs>
        <w:spacing w:line="480" w:lineRule="auto" w:before="0" w:after="0"/>
        <w:ind w:left="500" w:right="439" w:firstLine="0"/>
        <w:jc w:val="both"/>
        <w:rPr>
          <w:sz w:val="25"/>
        </w:rPr>
      </w:pPr>
      <w:r>
        <w:rPr>
          <w:sz w:val="25"/>
        </w:rPr>
        <w:t>It is pertinent to note that in reply, Mr Parasaran advanced a slightly different argument. The initial argument advanced on behalf of the plaintiffs in Suit 5 was that the performance of worship at the disputed site with the faith and belief that the place is the birth-place of Lord Ram is sufficient for this Court to confer</w:t>
      </w:r>
      <w:r>
        <w:rPr>
          <w:spacing w:val="26"/>
          <w:sz w:val="25"/>
        </w:rPr>
        <w:t> </w:t>
      </w:r>
      <w:r>
        <w:rPr>
          <w:sz w:val="25"/>
        </w:rPr>
        <w:t>on</w:t>
      </w:r>
      <w:r>
        <w:rPr>
          <w:spacing w:val="27"/>
          <w:sz w:val="25"/>
        </w:rPr>
        <w:t> </w:t>
      </w:r>
      <w:r>
        <w:rPr>
          <w:sz w:val="25"/>
        </w:rPr>
        <w:t>the</w:t>
      </w:r>
      <w:r>
        <w:rPr>
          <w:spacing w:val="27"/>
          <w:sz w:val="25"/>
        </w:rPr>
        <w:t> </w:t>
      </w:r>
      <w:r>
        <w:rPr>
          <w:sz w:val="25"/>
        </w:rPr>
        <w:t>disputed</w:t>
      </w:r>
      <w:r>
        <w:rPr>
          <w:spacing w:val="27"/>
          <w:sz w:val="25"/>
        </w:rPr>
        <w:t> </w:t>
      </w:r>
      <w:r>
        <w:rPr>
          <w:sz w:val="25"/>
        </w:rPr>
        <w:t>site</w:t>
      </w:r>
      <w:r>
        <w:rPr>
          <w:spacing w:val="26"/>
          <w:sz w:val="25"/>
        </w:rPr>
        <w:t> </w:t>
      </w:r>
      <w:r>
        <w:rPr>
          <w:sz w:val="25"/>
        </w:rPr>
        <w:t>juristic</w:t>
      </w:r>
      <w:r>
        <w:rPr>
          <w:spacing w:val="26"/>
          <w:sz w:val="25"/>
        </w:rPr>
        <w:t> </w:t>
      </w:r>
      <w:r>
        <w:rPr>
          <w:sz w:val="25"/>
        </w:rPr>
        <w:t>personality.</w:t>
      </w:r>
      <w:r>
        <w:rPr>
          <w:spacing w:val="26"/>
          <w:sz w:val="25"/>
        </w:rPr>
        <w:t> </w:t>
      </w:r>
      <w:r>
        <w:rPr>
          <w:sz w:val="25"/>
        </w:rPr>
        <w:t>The</w:t>
      </w:r>
      <w:r>
        <w:rPr>
          <w:spacing w:val="27"/>
          <w:sz w:val="25"/>
        </w:rPr>
        <w:t> </w:t>
      </w:r>
      <w:r>
        <w:rPr>
          <w:sz w:val="25"/>
        </w:rPr>
        <w:t>argument</w:t>
      </w:r>
      <w:r>
        <w:rPr>
          <w:spacing w:val="25"/>
          <w:sz w:val="25"/>
        </w:rPr>
        <w:t> </w:t>
      </w:r>
      <w:r>
        <w:rPr>
          <w:sz w:val="25"/>
        </w:rPr>
        <w:t>advanced</w:t>
      </w:r>
      <w:r>
        <w:rPr>
          <w:spacing w:val="27"/>
          <w:sz w:val="25"/>
        </w:rPr>
        <w:t> </w:t>
      </w:r>
      <w:r>
        <w:rPr>
          <w:sz w:val="25"/>
        </w:rPr>
        <w:t>in</w:t>
      </w:r>
      <w:r>
        <w:rPr>
          <w:spacing w:val="26"/>
          <w:sz w:val="25"/>
        </w:rPr>
        <w:t> </w:t>
      </w:r>
      <w:r>
        <w:rPr>
          <w:sz w:val="25"/>
        </w:rPr>
        <w:t>reply</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was that the land is a </w:t>
      </w:r>
      <w:r>
        <w:rPr>
          <w:i/>
        </w:rPr>
        <w:t>Swayambhu </w:t>
      </w:r>
      <w:r>
        <w:rPr/>
        <w:t>deity (i.e. self-manifested deity). Mr Parasaran contended that an idol is not necessary in Hinduism for the performance of worship. It was contended that the idol is sacred as a symbol of the divinity, however all worship is done to the one indivisible Supreme Being. The multitude of idols and deities merely constitute different facets of the Supreme Being. Hence, the law must recognize whatever form in which God manifests. It was contended that the second plaintiff was a deity that ‗manifested itself in the land‘ and therefore the juristic personality of Ram Janmabhumi vested in the immovable property of the disputed site. In Mr Parasaran‘s submission, worship at the disputed site was not offered only to Lord Ram but the very land on which Lord Ram is said to have been born. Reliance in this regard was placed on the existence of several temples where worship was performed despite the absence an idol – most notably at the Chidambaram temple in Tamil</w:t>
      </w:r>
      <w:r>
        <w:rPr>
          <w:spacing w:val="-11"/>
        </w:rPr>
        <w:t> </w:t>
      </w:r>
      <w:r>
        <w:rPr/>
        <w:t>Nadu.</w:t>
      </w:r>
    </w:p>
    <w:p>
      <w:pPr>
        <w:pStyle w:val="BodyText"/>
      </w:pPr>
    </w:p>
    <w:p>
      <w:pPr>
        <w:pStyle w:val="ListParagraph"/>
        <w:numPr>
          <w:ilvl w:val="0"/>
          <w:numId w:val="3"/>
        </w:numPr>
        <w:tabs>
          <w:tab w:pos="1221" w:val="left" w:leader="none"/>
        </w:tabs>
        <w:spacing w:line="480" w:lineRule="auto" w:before="0" w:after="0"/>
        <w:ind w:left="500" w:right="434" w:firstLine="0"/>
        <w:jc w:val="both"/>
        <w:rPr>
          <w:sz w:val="25"/>
        </w:rPr>
      </w:pPr>
      <w:r>
        <w:rPr>
          <w:sz w:val="25"/>
        </w:rPr>
        <w:t>To establish the legal personality of the second plaintiff, Mr Parasaran </w:t>
      </w:r>
      <w:r>
        <w:rPr>
          <w:spacing w:val="-1"/>
          <w:w w:val="99"/>
          <w:sz w:val="25"/>
        </w:rPr>
        <w:t>u</w:t>
      </w:r>
      <w:r>
        <w:rPr>
          <w:w w:val="99"/>
          <w:sz w:val="25"/>
        </w:rPr>
        <w:t>r</w:t>
      </w:r>
      <w:r>
        <w:rPr>
          <w:spacing w:val="-1"/>
          <w:w w:val="99"/>
          <w:sz w:val="25"/>
        </w:rPr>
        <w:t>g</w:t>
      </w:r>
      <w:r>
        <w:rPr>
          <w:w w:val="99"/>
          <w:sz w:val="25"/>
        </w:rPr>
        <w:t>ed</w:t>
      </w:r>
      <w:r>
        <w:rPr>
          <w:sz w:val="25"/>
        </w:rPr>
        <w:t> </w:t>
      </w:r>
      <w:r>
        <w:rPr>
          <w:spacing w:val="-26"/>
          <w:sz w:val="25"/>
        </w:rPr>
        <w:t> </w:t>
      </w:r>
      <w:r>
        <w:rPr>
          <w:w w:val="99"/>
          <w:sz w:val="25"/>
        </w:rPr>
        <w:t>that</w:t>
      </w:r>
      <w:r>
        <w:rPr>
          <w:sz w:val="25"/>
        </w:rPr>
        <w:t> </w:t>
      </w:r>
      <w:r>
        <w:rPr>
          <w:spacing w:val="-27"/>
          <w:sz w:val="25"/>
        </w:rPr>
        <w:t> </w:t>
      </w:r>
      <w:r>
        <w:rPr>
          <w:spacing w:val="-1"/>
          <w:w w:val="99"/>
          <w:sz w:val="25"/>
        </w:rPr>
        <w:t>a</w:t>
      </w:r>
      <w:r>
        <w:rPr>
          <w:w w:val="99"/>
          <w:sz w:val="25"/>
        </w:rPr>
        <w:t>s</w:t>
      </w:r>
      <w:r>
        <w:rPr>
          <w:sz w:val="25"/>
        </w:rPr>
        <w:t> </w:t>
      </w:r>
      <w:r>
        <w:rPr>
          <w:spacing w:val="-26"/>
          <w:sz w:val="25"/>
        </w:rPr>
        <w:t> </w:t>
      </w:r>
      <w:r>
        <w:rPr>
          <w:w w:val="99"/>
          <w:sz w:val="25"/>
        </w:rPr>
        <w:t>the</w:t>
      </w:r>
      <w:r>
        <w:rPr>
          <w:sz w:val="25"/>
        </w:rPr>
        <w:t> </w:t>
      </w:r>
      <w:r>
        <w:rPr>
          <w:spacing w:val="-26"/>
          <w:sz w:val="25"/>
        </w:rPr>
        <w:t> </w:t>
      </w:r>
      <w:r>
        <w:rPr>
          <w:spacing w:val="-1"/>
          <w:w w:val="99"/>
          <w:sz w:val="25"/>
        </w:rPr>
        <w:t>R</w:t>
      </w:r>
      <w:r>
        <w:rPr>
          <w:spacing w:val="-3"/>
          <w:w w:val="99"/>
          <w:sz w:val="25"/>
        </w:rPr>
        <w:t>a</w:t>
      </w:r>
      <w:r>
        <w:rPr>
          <w:w w:val="99"/>
          <w:sz w:val="25"/>
        </w:rPr>
        <w:t>m</w:t>
      </w:r>
      <w:r>
        <w:rPr>
          <w:sz w:val="25"/>
        </w:rPr>
        <w:t> </w:t>
      </w:r>
      <w:r>
        <w:rPr>
          <w:spacing w:val="-26"/>
          <w:sz w:val="25"/>
        </w:rPr>
        <w:t> </w:t>
      </w:r>
      <w:r>
        <w:rPr>
          <w:w w:val="99"/>
          <w:sz w:val="25"/>
        </w:rPr>
        <w:t>Janm</w:t>
      </w:r>
      <w:r>
        <w:rPr>
          <w:spacing w:val="-1"/>
          <w:w w:val="99"/>
          <w:sz w:val="25"/>
        </w:rPr>
        <w:t>a</w:t>
      </w:r>
      <w:r>
        <w:rPr>
          <w:w w:val="99"/>
          <w:sz w:val="25"/>
        </w:rPr>
        <w:t>b</w:t>
      </w:r>
      <w:r>
        <w:rPr>
          <w:spacing w:val="-1"/>
          <w:w w:val="99"/>
          <w:sz w:val="25"/>
        </w:rPr>
        <w:t>h</w:t>
      </w:r>
      <w:r>
        <w:rPr>
          <w:w w:val="99"/>
          <w:sz w:val="25"/>
        </w:rPr>
        <w:t>umi</w:t>
      </w:r>
      <w:r>
        <w:rPr>
          <w:sz w:val="25"/>
        </w:rPr>
        <w:t> </w:t>
      </w:r>
      <w:r>
        <w:rPr>
          <w:spacing w:val="-27"/>
          <w:sz w:val="25"/>
        </w:rPr>
        <w:t> </w:t>
      </w:r>
      <w:r>
        <w:rPr>
          <w:spacing w:val="-1"/>
          <w:w w:val="99"/>
          <w:sz w:val="25"/>
        </w:rPr>
        <w:t>i</w:t>
      </w:r>
      <w:r>
        <w:rPr>
          <w:w w:val="99"/>
          <w:sz w:val="25"/>
        </w:rPr>
        <w:t>s</w:t>
      </w:r>
      <w:r>
        <w:rPr>
          <w:sz w:val="25"/>
        </w:rPr>
        <w:t> </w:t>
      </w:r>
      <w:r>
        <w:rPr>
          <w:spacing w:val="-27"/>
          <w:sz w:val="25"/>
        </w:rPr>
        <w:t> </w:t>
      </w:r>
      <w:r>
        <w:rPr>
          <w:w w:val="99"/>
          <w:sz w:val="25"/>
        </w:rPr>
        <w:t>a</w:t>
      </w:r>
      <w:r>
        <w:rPr>
          <w:sz w:val="25"/>
        </w:rPr>
        <w:t> </w:t>
      </w:r>
      <w:r>
        <w:rPr>
          <w:spacing w:val="-26"/>
          <w:sz w:val="25"/>
        </w:rPr>
        <w:t> </w:t>
      </w:r>
      <w:r>
        <w:rPr>
          <w:spacing w:val="5"/>
          <w:w w:val="40"/>
          <w:sz w:val="25"/>
        </w:rPr>
        <w:t>‗</w:t>
      </w:r>
      <w:r>
        <w:rPr>
          <w:i/>
          <w:spacing w:val="-1"/>
          <w:w w:val="99"/>
          <w:sz w:val="25"/>
        </w:rPr>
        <w:t>S</w:t>
      </w:r>
      <w:r>
        <w:rPr>
          <w:i/>
          <w:w w:val="99"/>
          <w:sz w:val="25"/>
        </w:rPr>
        <w:t>way</w:t>
      </w:r>
      <w:r>
        <w:rPr>
          <w:i/>
          <w:spacing w:val="2"/>
          <w:w w:val="99"/>
          <w:sz w:val="25"/>
        </w:rPr>
        <w:t>a</w:t>
      </w:r>
      <w:r>
        <w:rPr>
          <w:i/>
          <w:spacing w:val="-2"/>
          <w:w w:val="99"/>
          <w:sz w:val="25"/>
        </w:rPr>
        <w:t>m</w:t>
      </w:r>
      <w:r>
        <w:rPr>
          <w:i/>
          <w:w w:val="99"/>
          <w:sz w:val="25"/>
        </w:rPr>
        <w:t>bh</w:t>
      </w:r>
      <w:r>
        <w:rPr>
          <w:i/>
          <w:spacing w:val="1"/>
          <w:w w:val="99"/>
          <w:sz w:val="25"/>
        </w:rPr>
        <w:t>u</w:t>
      </w:r>
      <w:r>
        <w:rPr>
          <w:w w:val="99"/>
          <w:sz w:val="25"/>
        </w:rPr>
        <w:t>‘</w:t>
      </w:r>
      <w:r>
        <w:rPr>
          <w:sz w:val="25"/>
        </w:rPr>
        <w:t> </w:t>
      </w:r>
      <w:r>
        <w:rPr>
          <w:spacing w:val="-27"/>
          <w:sz w:val="25"/>
        </w:rPr>
        <w:t> </w:t>
      </w:r>
      <w:r>
        <w:rPr>
          <w:spacing w:val="-1"/>
          <w:w w:val="99"/>
          <w:sz w:val="25"/>
        </w:rPr>
        <w:t>d</w:t>
      </w:r>
      <w:r>
        <w:rPr>
          <w:w w:val="99"/>
          <w:sz w:val="25"/>
        </w:rPr>
        <w:t>e</w:t>
      </w:r>
      <w:r>
        <w:rPr>
          <w:spacing w:val="-1"/>
          <w:w w:val="99"/>
          <w:sz w:val="25"/>
        </w:rPr>
        <w:t>i</w:t>
      </w:r>
      <w:r>
        <w:rPr>
          <w:spacing w:val="2"/>
          <w:w w:val="99"/>
          <w:sz w:val="25"/>
        </w:rPr>
        <w:t>t</w:t>
      </w:r>
      <w:r>
        <w:rPr>
          <w:spacing w:val="-3"/>
          <w:w w:val="99"/>
          <w:sz w:val="25"/>
        </w:rPr>
        <w:t>y</w:t>
      </w:r>
      <w:r>
        <w:rPr>
          <w:w w:val="99"/>
          <w:sz w:val="25"/>
        </w:rPr>
        <w:t>,</w:t>
      </w:r>
      <w:r>
        <w:rPr>
          <w:sz w:val="25"/>
        </w:rPr>
        <w:t> </w:t>
      </w:r>
      <w:r>
        <w:rPr>
          <w:spacing w:val="-27"/>
          <w:sz w:val="25"/>
        </w:rPr>
        <w:t> </w:t>
      </w:r>
      <w:r>
        <w:rPr>
          <w:spacing w:val="2"/>
          <w:w w:val="99"/>
          <w:sz w:val="25"/>
        </w:rPr>
        <w:t>n</w:t>
      </w:r>
      <w:r>
        <w:rPr>
          <w:w w:val="99"/>
          <w:sz w:val="25"/>
        </w:rPr>
        <w:t>o</w:t>
      </w:r>
      <w:r>
        <w:rPr>
          <w:sz w:val="25"/>
        </w:rPr>
        <w:t> </w:t>
      </w:r>
      <w:r>
        <w:rPr>
          <w:spacing w:val="-26"/>
          <w:sz w:val="25"/>
        </w:rPr>
        <w:t> </w:t>
      </w:r>
      <w:r>
        <w:rPr>
          <w:spacing w:val="-1"/>
          <w:w w:val="99"/>
          <w:sz w:val="25"/>
        </w:rPr>
        <w:t>d</w:t>
      </w:r>
      <w:r>
        <w:rPr>
          <w:w w:val="99"/>
          <w:sz w:val="25"/>
        </w:rPr>
        <w:t>e</w:t>
      </w:r>
      <w:r>
        <w:rPr>
          <w:spacing w:val="-1"/>
          <w:w w:val="99"/>
          <w:sz w:val="25"/>
        </w:rPr>
        <w:t>dica</w:t>
      </w:r>
      <w:r>
        <w:rPr>
          <w:w w:val="99"/>
          <w:sz w:val="25"/>
        </w:rPr>
        <w:t>t</w:t>
      </w:r>
      <w:r>
        <w:rPr>
          <w:spacing w:val="-1"/>
          <w:w w:val="99"/>
          <w:sz w:val="25"/>
        </w:rPr>
        <w:t>io</w:t>
      </w:r>
      <w:r>
        <w:rPr>
          <w:w w:val="99"/>
          <w:sz w:val="25"/>
        </w:rPr>
        <w:t>n</w:t>
      </w:r>
      <w:r>
        <w:rPr>
          <w:sz w:val="25"/>
        </w:rPr>
        <w:t> </w:t>
      </w:r>
      <w:r>
        <w:rPr>
          <w:spacing w:val="-26"/>
          <w:sz w:val="25"/>
        </w:rPr>
        <w:t> </w:t>
      </w:r>
      <w:r>
        <w:rPr>
          <w:spacing w:val="-1"/>
          <w:w w:val="99"/>
          <w:sz w:val="25"/>
        </w:rPr>
        <w:t>or </w:t>
      </w:r>
      <w:r>
        <w:rPr>
          <w:sz w:val="25"/>
        </w:rPr>
        <w:t>consecration is required for the court to recognise its juristic personality. It was contended that the deity, by its very nature necessitated the performance of a </w:t>
      </w:r>
      <w:r>
        <w:rPr>
          <w:i/>
          <w:sz w:val="25"/>
        </w:rPr>
        <w:t>parikrama </w:t>
      </w:r>
      <w:r>
        <w:rPr>
          <w:sz w:val="25"/>
        </w:rPr>
        <w:t>around it, which also delineated the boundaries of the property upon which juristic personality must be conferred. Mr Parasaran contended that the conferral of juristic personality sub-served the need to protect the land itself from being encroached on or alienated. The land is believed to be the birth-place and is treated reverentially by Hindus who have sought to offer worship there. As a consequence, legal personality must be conferred on the land for its</w:t>
      </w:r>
      <w:r>
        <w:rPr>
          <w:spacing w:val="-19"/>
          <w:sz w:val="25"/>
        </w:rPr>
        <w:t> </w:t>
      </w:r>
      <w:r>
        <w:rPr>
          <w:sz w:val="25"/>
        </w:rPr>
        <w:t>protection.</w:t>
      </w:r>
    </w:p>
    <w:p>
      <w:pPr>
        <w:spacing w:after="0" w:line="480" w:lineRule="auto"/>
        <w:jc w:val="both"/>
        <w:rPr>
          <w:sz w:val="25"/>
        </w:rPr>
        <w:sectPr>
          <w:pgSz w:w="11910" w:h="16840"/>
          <w:pgMar w:header="721" w:footer="1014" w:top="1300" w:bottom="1200" w:left="940" w:right="1000"/>
        </w:sectPr>
      </w:pPr>
    </w:p>
    <w:p>
      <w:pPr>
        <w:spacing w:line="480" w:lineRule="auto" w:before="124"/>
        <w:ind w:left="500" w:right="433" w:firstLine="0"/>
        <w:jc w:val="both"/>
        <w:rPr>
          <w:sz w:val="25"/>
        </w:rPr>
      </w:pPr>
      <w:r>
        <w:rPr>
          <w:sz w:val="25"/>
        </w:rPr>
        <w:t>To support these submissions, Mr Parasaran relied on the following authorities: </w:t>
      </w:r>
      <w:r>
        <w:rPr>
          <w:b/>
          <w:sz w:val="25"/>
        </w:rPr>
        <w:t>Sri Adi Visheshwara of Kashi Vishwanath Temple </w:t>
      </w:r>
      <w:r>
        <w:rPr>
          <w:sz w:val="25"/>
        </w:rPr>
        <w:t>v </w:t>
      </w:r>
      <w:r>
        <w:rPr>
          <w:b/>
          <w:sz w:val="25"/>
        </w:rPr>
        <w:t>State of UP</w:t>
      </w:r>
      <w:r>
        <w:rPr>
          <w:sz w:val="25"/>
          <w:vertAlign w:val="superscript"/>
        </w:rPr>
        <w:t>101</w:t>
      </w:r>
      <w:r>
        <w:rPr>
          <w:sz w:val="25"/>
          <w:vertAlign w:val="baseline"/>
        </w:rPr>
        <w:t>, </w:t>
      </w:r>
      <w:r>
        <w:rPr>
          <w:b/>
          <w:sz w:val="25"/>
          <w:vertAlign w:val="baseline"/>
        </w:rPr>
        <w:t>Ram Jankijee Deities v State of Bihar</w:t>
      </w:r>
      <w:r>
        <w:rPr>
          <w:sz w:val="25"/>
          <w:vertAlign w:val="superscript"/>
        </w:rPr>
        <w:t>102</w:t>
      </w:r>
      <w:r>
        <w:rPr>
          <w:sz w:val="25"/>
          <w:vertAlign w:val="baseline"/>
        </w:rPr>
        <w:t>, </w:t>
      </w:r>
      <w:r>
        <w:rPr>
          <w:b/>
          <w:sz w:val="25"/>
          <w:vertAlign w:val="baseline"/>
        </w:rPr>
        <w:t>Yogendra Nath Naskar v CIT, Calcutta</w:t>
      </w:r>
      <w:r>
        <w:rPr>
          <w:sz w:val="25"/>
          <w:vertAlign w:val="superscript"/>
        </w:rPr>
        <w:t>103</w:t>
      </w:r>
      <w:r>
        <w:rPr>
          <w:sz w:val="25"/>
          <w:vertAlign w:val="baseline"/>
        </w:rPr>
        <w:t>, </w:t>
      </w:r>
      <w:r>
        <w:rPr>
          <w:b/>
          <w:sz w:val="25"/>
          <w:vertAlign w:val="baseline"/>
        </w:rPr>
        <w:t>Bhupati Nath</w:t>
      </w:r>
      <w:r>
        <w:rPr>
          <w:sz w:val="25"/>
          <w:vertAlign w:val="superscript"/>
        </w:rPr>
        <w:t>104</w:t>
      </w:r>
      <w:r>
        <w:rPr>
          <w:sz w:val="25"/>
          <w:vertAlign w:val="baseline"/>
        </w:rPr>
        <w:t>, </w:t>
      </w:r>
      <w:r>
        <w:rPr>
          <w:b/>
          <w:sz w:val="25"/>
          <w:vertAlign w:val="baseline"/>
        </w:rPr>
        <w:t>Manohar Ganesh Tambekar </w:t>
      </w:r>
      <w:r>
        <w:rPr>
          <w:sz w:val="25"/>
          <w:vertAlign w:val="baseline"/>
        </w:rPr>
        <w:t>v </w:t>
      </w:r>
      <w:r>
        <w:rPr>
          <w:b/>
          <w:sz w:val="25"/>
          <w:vertAlign w:val="baseline"/>
        </w:rPr>
        <w:t>Lakhmiram Govindram</w:t>
      </w:r>
      <w:r>
        <w:rPr>
          <w:sz w:val="25"/>
          <w:vertAlign w:val="superscript"/>
        </w:rPr>
        <w:t>105</w:t>
      </w:r>
      <w:r>
        <w:rPr>
          <w:sz w:val="25"/>
          <w:vertAlign w:val="baseline"/>
        </w:rPr>
        <w:t>, </w:t>
      </w:r>
      <w:r>
        <w:rPr>
          <w:b/>
          <w:sz w:val="25"/>
          <w:vertAlign w:val="baseline"/>
        </w:rPr>
        <w:t>Guruvayur Devaswom Managing Committee </w:t>
      </w:r>
      <w:r>
        <w:rPr>
          <w:sz w:val="25"/>
          <w:vertAlign w:val="baseline"/>
        </w:rPr>
        <w:t>v </w:t>
      </w:r>
      <w:r>
        <w:rPr>
          <w:b/>
          <w:sz w:val="25"/>
          <w:vertAlign w:val="baseline"/>
        </w:rPr>
        <w:t>C K Rajan</w:t>
      </w:r>
      <w:r>
        <w:rPr>
          <w:sz w:val="25"/>
          <w:vertAlign w:val="superscript"/>
        </w:rPr>
        <w:t>106</w:t>
      </w:r>
      <w:r>
        <w:rPr>
          <w:sz w:val="25"/>
          <w:vertAlign w:val="baseline"/>
        </w:rPr>
        <w:t>, </w:t>
      </w:r>
      <w:r>
        <w:rPr>
          <w:b/>
          <w:sz w:val="25"/>
          <w:vertAlign w:val="baseline"/>
        </w:rPr>
        <w:t>Sri Sabhanayagar Temple, Chidambaram </w:t>
      </w:r>
      <w:r>
        <w:rPr>
          <w:sz w:val="25"/>
          <w:vertAlign w:val="baseline"/>
        </w:rPr>
        <w:t>v </w:t>
      </w:r>
      <w:r>
        <w:rPr>
          <w:b/>
          <w:sz w:val="25"/>
          <w:vertAlign w:val="baseline"/>
        </w:rPr>
        <w:t>State of Tamil Nadu</w:t>
      </w:r>
      <w:r>
        <w:rPr>
          <w:sz w:val="25"/>
          <w:vertAlign w:val="superscript"/>
        </w:rPr>
        <w:t>107</w:t>
      </w:r>
      <w:r>
        <w:rPr>
          <w:sz w:val="25"/>
          <w:vertAlign w:val="baseline"/>
        </w:rPr>
        <w:t>, </w:t>
      </w:r>
      <w:r>
        <w:rPr>
          <w:b/>
          <w:sz w:val="25"/>
          <w:vertAlign w:val="baseline"/>
        </w:rPr>
        <w:t>Pinchai </w:t>
      </w:r>
      <w:r>
        <w:rPr>
          <w:sz w:val="25"/>
          <w:vertAlign w:val="baseline"/>
        </w:rPr>
        <w:t>v </w:t>
      </w:r>
      <w:r>
        <w:rPr>
          <w:b/>
          <w:sz w:val="25"/>
          <w:vertAlign w:val="baseline"/>
        </w:rPr>
        <w:t>Commissioner, Hindu Religious and Charitable Endowments Board</w:t>
      </w:r>
      <w:r>
        <w:rPr>
          <w:sz w:val="25"/>
          <w:vertAlign w:val="superscript"/>
        </w:rPr>
        <w:t>108</w:t>
      </w:r>
      <w:r>
        <w:rPr>
          <w:sz w:val="25"/>
          <w:vertAlign w:val="baseline"/>
        </w:rPr>
        <w:t>, </w:t>
      </w:r>
      <w:r>
        <w:rPr>
          <w:b/>
          <w:sz w:val="25"/>
          <w:vertAlign w:val="baseline"/>
        </w:rPr>
        <w:t>Saraswathi Ammal </w:t>
      </w:r>
      <w:r>
        <w:rPr>
          <w:sz w:val="25"/>
          <w:vertAlign w:val="baseline"/>
        </w:rPr>
        <w:t>v </w:t>
      </w:r>
      <w:r>
        <w:rPr>
          <w:b/>
          <w:sz w:val="25"/>
          <w:vertAlign w:val="baseline"/>
        </w:rPr>
        <w:t>Rajagopal Ammal</w:t>
      </w:r>
      <w:r>
        <w:rPr>
          <w:sz w:val="25"/>
          <w:vertAlign w:val="superscript"/>
        </w:rPr>
        <w:t>109</w:t>
      </w:r>
      <w:r>
        <w:rPr>
          <w:sz w:val="25"/>
          <w:vertAlign w:val="baseline"/>
        </w:rPr>
        <w:t>; </w:t>
      </w:r>
      <w:r>
        <w:rPr>
          <w:b/>
          <w:sz w:val="25"/>
          <w:vertAlign w:val="baseline"/>
        </w:rPr>
        <w:t>Kamaraju Venkata Krishna Rao </w:t>
      </w:r>
      <w:r>
        <w:rPr>
          <w:sz w:val="25"/>
          <w:vertAlign w:val="baseline"/>
        </w:rPr>
        <w:t>v </w:t>
      </w:r>
      <w:r>
        <w:rPr>
          <w:b/>
          <w:sz w:val="25"/>
          <w:vertAlign w:val="baseline"/>
        </w:rPr>
        <w:t>Sub Collector</w:t>
      </w:r>
      <w:r>
        <w:rPr>
          <w:sz w:val="25"/>
          <w:vertAlign w:val="superscript"/>
        </w:rPr>
        <w:t>110</w:t>
      </w:r>
      <w:r>
        <w:rPr>
          <w:sz w:val="25"/>
          <w:vertAlign w:val="baseline"/>
        </w:rPr>
        <w:t>, </w:t>
      </w:r>
      <w:r>
        <w:rPr>
          <w:b/>
          <w:sz w:val="25"/>
          <w:vertAlign w:val="baseline"/>
        </w:rPr>
        <w:t>Thayarammal </w:t>
      </w:r>
      <w:r>
        <w:rPr>
          <w:sz w:val="25"/>
          <w:vertAlign w:val="baseline"/>
        </w:rPr>
        <w:t>v </w:t>
      </w:r>
      <w:r>
        <w:rPr>
          <w:b/>
          <w:sz w:val="25"/>
          <w:vertAlign w:val="baseline"/>
        </w:rPr>
        <w:t>Kanakammal</w:t>
      </w:r>
      <w:r>
        <w:rPr>
          <w:sz w:val="25"/>
          <w:vertAlign w:val="superscript"/>
        </w:rPr>
        <w:t>111</w:t>
      </w:r>
      <w:r>
        <w:rPr>
          <w:sz w:val="25"/>
          <w:vertAlign w:val="baseline"/>
        </w:rPr>
        <w:t>, </w:t>
      </w:r>
      <w:r>
        <w:rPr>
          <w:b/>
          <w:sz w:val="25"/>
          <w:vertAlign w:val="baseline"/>
        </w:rPr>
        <w:t>Shiromani Gurdwara Prabandhak Committee</w:t>
      </w:r>
      <w:r>
        <w:rPr>
          <w:sz w:val="25"/>
          <w:vertAlign w:val="baseline"/>
        </w:rPr>
        <w:t>, </w:t>
      </w:r>
      <w:r>
        <w:rPr>
          <w:b/>
          <w:sz w:val="25"/>
          <w:vertAlign w:val="baseline"/>
        </w:rPr>
        <w:t>Amritsar </w:t>
      </w:r>
      <w:r>
        <w:rPr>
          <w:sz w:val="25"/>
          <w:vertAlign w:val="baseline"/>
        </w:rPr>
        <w:t>v </w:t>
      </w:r>
      <w:r>
        <w:rPr>
          <w:b/>
          <w:sz w:val="25"/>
          <w:vertAlign w:val="baseline"/>
        </w:rPr>
        <w:t>Som Nath Dass</w:t>
      </w:r>
      <w:r>
        <w:rPr>
          <w:sz w:val="25"/>
          <w:vertAlign w:val="superscript"/>
        </w:rPr>
        <w:t>112</w:t>
      </w:r>
      <w:r>
        <w:rPr>
          <w:sz w:val="25"/>
          <w:vertAlign w:val="baseline"/>
        </w:rPr>
        <w:t> and </w:t>
      </w:r>
      <w:r>
        <w:rPr>
          <w:b/>
          <w:sz w:val="25"/>
          <w:vertAlign w:val="baseline"/>
        </w:rPr>
        <w:t>Sapneshwar Pujapanda v Ratnakar Mahapatra</w:t>
      </w:r>
      <w:r>
        <w:rPr>
          <w:sz w:val="25"/>
          <w:vertAlign w:val="superscript"/>
        </w:rPr>
        <w:t>113</w:t>
      </w:r>
      <w:r>
        <w:rPr>
          <w:sz w:val="25"/>
          <w:vertAlign w:val="baseline"/>
        </w:rPr>
        <w:t>.</w:t>
      </w:r>
    </w:p>
    <w:p>
      <w:pPr>
        <w:pStyle w:val="BodyText"/>
      </w:pPr>
    </w:p>
    <w:p>
      <w:pPr>
        <w:pStyle w:val="ListParagraph"/>
        <w:numPr>
          <w:ilvl w:val="0"/>
          <w:numId w:val="3"/>
        </w:numPr>
        <w:tabs>
          <w:tab w:pos="1221" w:val="left" w:leader="none"/>
        </w:tabs>
        <w:spacing w:line="480" w:lineRule="auto" w:before="1" w:after="0"/>
        <w:ind w:left="500" w:right="439" w:firstLine="0"/>
        <w:jc w:val="both"/>
        <w:rPr>
          <w:sz w:val="25"/>
        </w:rPr>
      </w:pPr>
      <w:r>
        <w:rPr>
          <w:sz w:val="25"/>
        </w:rPr>
        <w:t>Dr Dhavan briefly interjected to contend that though Hinduism may recognise a </w:t>
      </w:r>
      <w:r>
        <w:rPr>
          <w:i/>
          <w:sz w:val="25"/>
        </w:rPr>
        <w:t>Swayambhu </w:t>
      </w:r>
      <w:r>
        <w:rPr>
          <w:sz w:val="25"/>
        </w:rPr>
        <w:t>deity, all such instances are characterised by the existence of a physical manifestation. Except the faith and belief of the devotees, no physical manifestation has been forthcoming to separate the disputed site from any other land</w:t>
      </w:r>
      <w:r>
        <w:rPr>
          <w:spacing w:val="-5"/>
          <w:sz w:val="25"/>
        </w:rPr>
        <w:t> </w:t>
      </w:r>
      <w:r>
        <w:rPr>
          <w:sz w:val="25"/>
        </w:rPr>
        <w:t>simpliciter.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pict>
          <v:rect style="position:absolute;margin-left:72.024002pt;margin-top:14.179501pt;width:144.020pt;height:.60004pt;mso-position-horizontal-relative:page;mso-position-vertical-relative:paragraph;z-index:-15695360;mso-wrap-distance-left:0;mso-wrap-distance-right:0" filled="true" fillcolor="#000000" stroked="false">
            <v:fill type="solid"/>
            <w10:wrap type="topAndBottom"/>
          </v:rect>
        </w:pict>
      </w:r>
    </w:p>
    <w:p>
      <w:pPr>
        <w:spacing w:line="207" w:lineRule="exact" w:before="80"/>
        <w:ind w:left="500" w:right="0" w:firstLine="0"/>
        <w:jc w:val="left"/>
        <w:rPr>
          <w:sz w:val="18"/>
        </w:rPr>
      </w:pPr>
      <w:r>
        <w:rPr>
          <w:sz w:val="18"/>
          <w:vertAlign w:val="superscript"/>
        </w:rPr>
        <w:t>101</w:t>
      </w:r>
      <w:r>
        <w:rPr>
          <w:sz w:val="18"/>
          <w:vertAlign w:val="baseline"/>
        </w:rPr>
        <w:t> (1997) 4 SCC 606</w:t>
      </w:r>
    </w:p>
    <w:p>
      <w:pPr>
        <w:spacing w:line="206" w:lineRule="exact" w:before="0"/>
        <w:ind w:left="500" w:right="0" w:firstLine="0"/>
        <w:jc w:val="left"/>
        <w:rPr>
          <w:sz w:val="18"/>
        </w:rPr>
      </w:pPr>
      <w:r>
        <w:rPr>
          <w:sz w:val="18"/>
          <w:vertAlign w:val="superscript"/>
        </w:rPr>
        <w:t>102</w:t>
      </w:r>
      <w:r>
        <w:rPr>
          <w:sz w:val="18"/>
          <w:vertAlign w:val="baseline"/>
        </w:rPr>
        <w:t> (1999) 5 SCC 50</w:t>
      </w:r>
    </w:p>
    <w:p>
      <w:pPr>
        <w:spacing w:line="206" w:lineRule="exact" w:before="0"/>
        <w:ind w:left="500" w:right="0" w:firstLine="0"/>
        <w:jc w:val="left"/>
        <w:rPr>
          <w:sz w:val="18"/>
        </w:rPr>
      </w:pPr>
      <w:r>
        <w:rPr>
          <w:sz w:val="18"/>
          <w:vertAlign w:val="superscript"/>
        </w:rPr>
        <w:t>103</w:t>
      </w:r>
      <w:r>
        <w:rPr>
          <w:sz w:val="18"/>
          <w:vertAlign w:val="baseline"/>
        </w:rPr>
        <w:t> (1969) 1 SCC 555</w:t>
      </w:r>
    </w:p>
    <w:p>
      <w:pPr>
        <w:spacing w:line="207" w:lineRule="exact" w:before="0"/>
        <w:ind w:left="500" w:right="0" w:firstLine="0"/>
        <w:jc w:val="left"/>
        <w:rPr>
          <w:sz w:val="18"/>
        </w:rPr>
      </w:pPr>
      <w:r>
        <w:rPr>
          <w:sz w:val="18"/>
          <w:vertAlign w:val="superscript"/>
        </w:rPr>
        <w:t>104</w:t>
      </w:r>
      <w:r>
        <w:rPr>
          <w:sz w:val="18"/>
          <w:vertAlign w:val="baseline"/>
        </w:rPr>
        <w:t> ILR (1909) 37 Cal</w:t>
      </w:r>
      <w:r>
        <w:rPr>
          <w:spacing w:val="-12"/>
          <w:sz w:val="18"/>
          <w:vertAlign w:val="baseline"/>
        </w:rPr>
        <w:t> </w:t>
      </w:r>
      <w:r>
        <w:rPr>
          <w:sz w:val="18"/>
          <w:vertAlign w:val="baseline"/>
        </w:rPr>
        <w:t>128</w:t>
      </w:r>
    </w:p>
    <w:p>
      <w:pPr>
        <w:spacing w:line="207" w:lineRule="exact" w:before="2"/>
        <w:ind w:left="500" w:right="0" w:firstLine="0"/>
        <w:jc w:val="left"/>
        <w:rPr>
          <w:sz w:val="18"/>
        </w:rPr>
      </w:pPr>
      <w:r>
        <w:rPr>
          <w:sz w:val="18"/>
          <w:vertAlign w:val="superscript"/>
        </w:rPr>
        <w:t>105</w:t>
      </w:r>
      <w:r>
        <w:rPr>
          <w:sz w:val="18"/>
          <w:vertAlign w:val="baseline"/>
        </w:rPr>
        <w:t> ILR 1888 12 Bom</w:t>
      </w:r>
      <w:r>
        <w:rPr>
          <w:spacing w:val="-12"/>
          <w:sz w:val="18"/>
          <w:vertAlign w:val="baseline"/>
        </w:rPr>
        <w:t> </w:t>
      </w:r>
      <w:r>
        <w:rPr>
          <w:sz w:val="18"/>
          <w:vertAlign w:val="baseline"/>
        </w:rPr>
        <w:t>247</w:t>
      </w:r>
    </w:p>
    <w:p>
      <w:pPr>
        <w:spacing w:line="206" w:lineRule="exact" w:before="0"/>
        <w:ind w:left="500" w:right="0" w:firstLine="0"/>
        <w:jc w:val="left"/>
        <w:rPr>
          <w:sz w:val="18"/>
        </w:rPr>
      </w:pPr>
      <w:r>
        <w:rPr>
          <w:sz w:val="18"/>
          <w:vertAlign w:val="superscript"/>
        </w:rPr>
        <w:t>106</w:t>
      </w:r>
      <w:r>
        <w:rPr>
          <w:sz w:val="18"/>
          <w:vertAlign w:val="baseline"/>
        </w:rPr>
        <w:t> (2003) 7 SCC</w:t>
      </w:r>
      <w:r>
        <w:rPr>
          <w:spacing w:val="-11"/>
          <w:sz w:val="18"/>
          <w:vertAlign w:val="baseline"/>
        </w:rPr>
        <w:t> </w:t>
      </w:r>
      <w:r>
        <w:rPr>
          <w:sz w:val="18"/>
          <w:vertAlign w:val="baseline"/>
        </w:rPr>
        <w:t>546</w:t>
      </w:r>
    </w:p>
    <w:p>
      <w:pPr>
        <w:spacing w:line="206" w:lineRule="exact" w:before="0"/>
        <w:ind w:left="500" w:right="0" w:firstLine="0"/>
        <w:jc w:val="left"/>
        <w:rPr>
          <w:sz w:val="18"/>
        </w:rPr>
      </w:pPr>
      <w:r>
        <w:rPr>
          <w:sz w:val="18"/>
          <w:vertAlign w:val="superscript"/>
        </w:rPr>
        <w:t>107</w:t>
      </w:r>
      <w:r>
        <w:rPr>
          <w:sz w:val="18"/>
          <w:vertAlign w:val="baseline"/>
        </w:rPr>
        <w:t> (2009) 4 CTC</w:t>
      </w:r>
      <w:r>
        <w:rPr>
          <w:spacing w:val="-11"/>
          <w:sz w:val="18"/>
          <w:vertAlign w:val="baseline"/>
        </w:rPr>
        <w:t> </w:t>
      </w:r>
      <w:r>
        <w:rPr>
          <w:sz w:val="18"/>
          <w:vertAlign w:val="baseline"/>
        </w:rPr>
        <w:t>801</w:t>
      </w:r>
    </w:p>
    <w:p>
      <w:pPr>
        <w:spacing w:line="207" w:lineRule="exact" w:before="0"/>
        <w:ind w:left="500" w:right="0" w:firstLine="0"/>
        <w:jc w:val="left"/>
        <w:rPr>
          <w:sz w:val="18"/>
        </w:rPr>
      </w:pPr>
      <w:r>
        <w:rPr>
          <w:sz w:val="18"/>
          <w:vertAlign w:val="superscript"/>
        </w:rPr>
        <w:t>108</w:t>
      </w:r>
      <w:r>
        <w:rPr>
          <w:sz w:val="18"/>
          <w:vertAlign w:val="baseline"/>
        </w:rPr>
        <w:t> AIR 1971 Mad 405</w:t>
      </w:r>
    </w:p>
    <w:p>
      <w:pPr>
        <w:spacing w:before="2"/>
        <w:ind w:left="500" w:right="0" w:firstLine="0"/>
        <w:jc w:val="left"/>
        <w:rPr>
          <w:sz w:val="18"/>
        </w:rPr>
      </w:pPr>
      <w:r>
        <w:rPr>
          <w:sz w:val="18"/>
          <w:vertAlign w:val="superscript"/>
        </w:rPr>
        <w:t>109</w:t>
      </w:r>
      <w:r>
        <w:rPr>
          <w:sz w:val="18"/>
          <w:vertAlign w:val="baseline"/>
        </w:rPr>
        <w:t> 1954 SCR 277</w:t>
      </w:r>
    </w:p>
    <w:p>
      <w:pPr>
        <w:spacing w:line="207" w:lineRule="exact" w:before="0"/>
        <w:ind w:left="500" w:right="0" w:firstLine="0"/>
        <w:jc w:val="left"/>
        <w:rPr>
          <w:sz w:val="18"/>
        </w:rPr>
      </w:pPr>
      <w:r>
        <w:rPr>
          <w:sz w:val="18"/>
          <w:vertAlign w:val="superscript"/>
        </w:rPr>
        <w:t>110</w:t>
      </w:r>
      <w:r>
        <w:rPr>
          <w:sz w:val="18"/>
          <w:vertAlign w:val="baseline"/>
        </w:rPr>
        <w:t> (1969) 1 SCR</w:t>
      </w:r>
      <w:r>
        <w:rPr>
          <w:spacing w:val="-11"/>
          <w:sz w:val="18"/>
          <w:vertAlign w:val="baseline"/>
        </w:rPr>
        <w:t> </w:t>
      </w:r>
      <w:r>
        <w:rPr>
          <w:sz w:val="18"/>
          <w:vertAlign w:val="baseline"/>
        </w:rPr>
        <w:t>624</w:t>
      </w:r>
    </w:p>
    <w:p>
      <w:pPr>
        <w:spacing w:line="206" w:lineRule="exact" w:before="0"/>
        <w:ind w:left="500" w:right="0" w:firstLine="0"/>
        <w:jc w:val="left"/>
        <w:rPr>
          <w:sz w:val="18"/>
        </w:rPr>
      </w:pPr>
      <w:r>
        <w:rPr>
          <w:sz w:val="18"/>
          <w:vertAlign w:val="superscript"/>
        </w:rPr>
        <w:t>111</w:t>
      </w:r>
      <w:r>
        <w:rPr>
          <w:sz w:val="18"/>
          <w:vertAlign w:val="baseline"/>
        </w:rPr>
        <w:t> (2005) 1 SCC</w:t>
      </w:r>
      <w:r>
        <w:rPr>
          <w:spacing w:val="-11"/>
          <w:sz w:val="18"/>
          <w:vertAlign w:val="baseline"/>
        </w:rPr>
        <w:t> </w:t>
      </w:r>
      <w:r>
        <w:rPr>
          <w:sz w:val="18"/>
          <w:vertAlign w:val="baseline"/>
        </w:rPr>
        <w:t>457</w:t>
      </w:r>
    </w:p>
    <w:p>
      <w:pPr>
        <w:spacing w:line="207" w:lineRule="exact" w:before="0"/>
        <w:ind w:left="500" w:right="0" w:firstLine="0"/>
        <w:jc w:val="left"/>
        <w:rPr>
          <w:sz w:val="18"/>
        </w:rPr>
      </w:pPr>
      <w:r>
        <w:rPr>
          <w:sz w:val="18"/>
          <w:vertAlign w:val="superscript"/>
        </w:rPr>
        <w:t>112</w:t>
      </w:r>
      <w:r>
        <w:rPr>
          <w:sz w:val="18"/>
          <w:vertAlign w:val="baseline"/>
        </w:rPr>
        <w:t> (2000) 4 SCC</w:t>
      </w:r>
      <w:r>
        <w:rPr>
          <w:spacing w:val="-11"/>
          <w:sz w:val="18"/>
          <w:vertAlign w:val="baseline"/>
        </w:rPr>
        <w:t> </w:t>
      </w:r>
      <w:r>
        <w:rPr>
          <w:sz w:val="18"/>
          <w:vertAlign w:val="baseline"/>
        </w:rPr>
        <w:t>146</w:t>
      </w:r>
    </w:p>
    <w:p>
      <w:pPr>
        <w:spacing w:before="2"/>
        <w:ind w:left="500" w:right="0" w:firstLine="0"/>
        <w:jc w:val="left"/>
        <w:rPr>
          <w:sz w:val="18"/>
        </w:rPr>
      </w:pPr>
      <w:r>
        <w:rPr>
          <w:sz w:val="18"/>
          <w:vertAlign w:val="superscript"/>
        </w:rPr>
        <w:t>113</w:t>
      </w:r>
      <w:r>
        <w:rPr>
          <w:sz w:val="18"/>
          <w:vertAlign w:val="baseline"/>
        </w:rPr>
        <w:t> AIR 1916 Pat</w:t>
      </w:r>
      <w:r>
        <w:rPr>
          <w:spacing w:val="-10"/>
          <w:sz w:val="18"/>
          <w:vertAlign w:val="baseline"/>
        </w:rPr>
        <w:t> </w:t>
      </w:r>
      <w:r>
        <w:rPr>
          <w:sz w:val="18"/>
          <w:vertAlign w:val="baseline"/>
        </w:rPr>
        <w:t>146</w:t>
      </w:r>
    </w:p>
    <w:p>
      <w:pPr>
        <w:spacing w:after="0"/>
        <w:jc w:val="left"/>
        <w:rPr>
          <w:sz w:val="18"/>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7" w:firstLine="0"/>
        <w:jc w:val="both"/>
        <w:rPr>
          <w:sz w:val="25"/>
        </w:rPr>
      </w:pPr>
      <w:r>
        <w:rPr>
          <w:sz w:val="25"/>
        </w:rPr>
        <w:t>In Mr Parasaran‘s view, even absent any distinguishing feature on the disputed site to evidence the manifestation of divinity, the faith and belief of the devotees is sufficient to recognise that the disputed site is a </w:t>
      </w:r>
      <w:r>
        <w:rPr>
          <w:i/>
          <w:sz w:val="25"/>
        </w:rPr>
        <w:t>Swayambhu </w:t>
      </w:r>
      <w:r>
        <w:rPr>
          <w:sz w:val="25"/>
        </w:rPr>
        <w:t>deity. At the heart of the revised argument raised by Mr Parasaran is that the faith and belief of the devotees alone is sufficient for this Court to recognise the disputed site as a </w:t>
      </w:r>
      <w:r>
        <w:rPr>
          <w:i/>
          <w:sz w:val="25"/>
        </w:rPr>
        <w:t>Swayambhu </w:t>
      </w:r>
      <w:r>
        <w:rPr>
          <w:sz w:val="25"/>
        </w:rPr>
        <w:t>deity and consequently confer upon it legal personality. To this extent, the contention urged by Mr Parasaran in his reply converges with the earlier argument on faith and belief as the sole basis on which juristic personality must be conferred. In both submissions advanced by the plaintiffs in Suit 5, the faith and belief of the devotees is claimed to be the sole basis for the conferral of juristic personality. The contentions on faith and belief have already been analysed above. However, the argument urged that the disputed land is a </w:t>
      </w:r>
      <w:r>
        <w:rPr>
          <w:i/>
          <w:sz w:val="25"/>
        </w:rPr>
        <w:t>Swayambhu </w:t>
      </w:r>
      <w:r>
        <w:rPr>
          <w:sz w:val="25"/>
        </w:rPr>
        <w:t>deity raises additional issues outside the realm of the Hindu Law of endowments. It is to these issues that it is necessary now to</w:t>
      </w:r>
      <w:r>
        <w:rPr>
          <w:spacing w:val="-14"/>
          <w:sz w:val="25"/>
        </w:rPr>
        <w:t> </w:t>
      </w:r>
      <w:r>
        <w:rPr>
          <w:sz w:val="25"/>
        </w:rPr>
        <w:t>turn.</w:t>
      </w:r>
    </w:p>
    <w:p>
      <w:pPr>
        <w:pStyle w:val="BodyText"/>
        <w:spacing w:before="1"/>
      </w:pPr>
    </w:p>
    <w:p>
      <w:pPr>
        <w:pStyle w:val="ListParagraph"/>
        <w:numPr>
          <w:ilvl w:val="0"/>
          <w:numId w:val="3"/>
        </w:numPr>
        <w:tabs>
          <w:tab w:pos="1221" w:val="left" w:leader="none"/>
        </w:tabs>
        <w:spacing w:line="480" w:lineRule="auto" w:before="0" w:after="0"/>
        <w:ind w:left="500" w:right="444" w:firstLine="0"/>
        <w:jc w:val="both"/>
        <w:rPr>
          <w:sz w:val="25"/>
        </w:rPr>
      </w:pPr>
      <w:r>
        <w:rPr>
          <w:sz w:val="25"/>
        </w:rPr>
        <w:t>Given the range of arguments advanced by the plaintiffs in Suit 5, it is necessary to first advert to the cases relied on in reply. The observations relied on have been selectively extracted and once the context in which the observations were made are fully understood, they do not advance the argument set out by Mr</w:t>
      </w:r>
      <w:r>
        <w:rPr>
          <w:spacing w:val="-1"/>
          <w:sz w:val="25"/>
        </w:rPr>
        <w:t> </w:t>
      </w:r>
      <w:r>
        <w:rPr>
          <w:sz w:val="25"/>
        </w:rPr>
        <w:t>Parasaran.</w:t>
      </w:r>
    </w:p>
    <w:p>
      <w:pPr>
        <w:pStyle w:val="BodyText"/>
        <w:spacing w:before="8"/>
        <w:rPr>
          <w:sz w:val="24"/>
        </w:rPr>
      </w:pPr>
    </w:p>
    <w:p>
      <w:pPr>
        <w:pStyle w:val="ListParagraph"/>
        <w:numPr>
          <w:ilvl w:val="0"/>
          <w:numId w:val="3"/>
        </w:numPr>
        <w:tabs>
          <w:tab w:pos="1221" w:val="left" w:leader="none"/>
        </w:tabs>
        <w:spacing w:line="480" w:lineRule="auto" w:before="1" w:after="0"/>
        <w:ind w:left="500" w:right="436" w:firstLine="0"/>
        <w:jc w:val="both"/>
        <w:rPr>
          <w:sz w:val="25"/>
        </w:rPr>
      </w:pPr>
      <w:r>
        <w:rPr>
          <w:sz w:val="25"/>
        </w:rPr>
        <w:t>Reliance was placed on </w:t>
      </w:r>
      <w:r>
        <w:rPr>
          <w:b/>
          <w:sz w:val="25"/>
        </w:rPr>
        <w:t>Guruvayoor Devaswom Managing Committee </w:t>
      </w:r>
      <w:r>
        <w:rPr>
          <w:sz w:val="25"/>
        </w:rPr>
        <w:t>v </w:t>
      </w:r>
      <w:r>
        <w:rPr>
          <w:b/>
          <w:sz w:val="25"/>
        </w:rPr>
        <w:t>C K Rajan</w:t>
      </w:r>
      <w:r>
        <w:rPr>
          <w:sz w:val="25"/>
          <w:vertAlign w:val="superscript"/>
        </w:rPr>
        <w:t>114</w:t>
      </w:r>
      <w:r>
        <w:rPr>
          <w:sz w:val="25"/>
          <w:vertAlign w:val="baseline"/>
        </w:rPr>
        <w:t> to contend that a temple itself is a juristic entity. The dispute concerned the mismanagement of temple affairs by the Devaswom Committee.</w:t>
      </w:r>
      <w:r>
        <w:rPr>
          <w:spacing w:val="9"/>
          <w:sz w:val="25"/>
          <w:vertAlign w:val="baseline"/>
        </w:rPr>
        <w:t> </w:t>
      </w:r>
      <w:r>
        <w:rPr>
          <w:sz w:val="25"/>
          <w:vertAlign w:val="baseline"/>
        </w:rPr>
        <w:t>A</w:t>
      </w:r>
    </w:p>
    <w:p>
      <w:pPr>
        <w:pStyle w:val="BodyText"/>
        <w:rPr>
          <w:sz w:val="20"/>
        </w:rPr>
      </w:pPr>
    </w:p>
    <w:p>
      <w:pPr>
        <w:pStyle w:val="BodyText"/>
        <w:spacing w:before="6"/>
        <w:rPr>
          <w:sz w:val="12"/>
        </w:rPr>
      </w:pPr>
      <w:r>
        <w:rPr/>
        <w:pict>
          <v:rect style="position:absolute;margin-left:72.024002pt;margin-top:9.160499pt;width:144.020pt;height:.599980pt;mso-position-horizontal-relative:page;mso-position-vertical-relative:paragraph;z-index:-1569484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114</w:t>
      </w:r>
      <w:r>
        <w:rPr>
          <w:sz w:val="18"/>
          <w:vertAlign w:val="baseline"/>
        </w:rPr>
        <w:t> (2003) 7 SCC 546</w:t>
      </w:r>
    </w:p>
    <w:p>
      <w:pPr>
        <w:spacing w:after="0"/>
        <w:jc w:val="left"/>
        <w:rPr>
          <w:sz w:val="18"/>
        </w:rPr>
        <w:sectPr>
          <w:pgSz w:w="11910" w:h="16840"/>
          <w:pgMar w:header="721" w:footer="1014" w:top="1300" w:bottom="1200" w:left="940" w:right="1000"/>
        </w:sectPr>
      </w:pPr>
    </w:p>
    <w:p>
      <w:pPr>
        <w:pStyle w:val="BodyText"/>
        <w:spacing w:line="480" w:lineRule="auto" w:before="124"/>
        <w:ind w:left="500" w:right="435"/>
        <w:jc w:val="both"/>
      </w:pPr>
      <w:r>
        <w:rPr/>
        <w:t>three judge Bench of this Court held that devotees could approach a High Court or the Supreme Court by way of public interest litigation where their fundamental rights under Article 25 and 26 of the Constitution were violated by action or inaction on behalf of the state authorities. The only reference to a temple </w:t>
      </w:r>
      <w:r>
        <w:rPr>
          <w:spacing w:val="2"/>
        </w:rPr>
        <w:t>being </w:t>
      </w:r>
      <w:r>
        <w:rPr/>
        <w:t>a juristic person is recorded at paragraph 40 of the judgement. Justice S B Sinha noted:</w:t>
      </w:r>
    </w:p>
    <w:p>
      <w:pPr>
        <w:spacing w:line="276" w:lineRule="auto" w:before="0"/>
        <w:ind w:left="1940" w:right="2258" w:firstLine="0"/>
        <w:jc w:val="both"/>
        <w:rPr>
          <w:sz w:val="21"/>
        </w:rPr>
      </w:pPr>
      <w:r>
        <w:rPr>
          <w:spacing w:val="-1"/>
          <w:w w:val="33"/>
          <w:sz w:val="21"/>
        </w:rPr>
        <w:t>―</w:t>
      </w:r>
      <w:r>
        <w:rPr>
          <w:spacing w:val="-1"/>
          <w:w w:val="100"/>
          <w:sz w:val="21"/>
        </w:rPr>
        <w:t>40</w:t>
      </w:r>
      <w:r>
        <w:rPr>
          <w:w w:val="100"/>
          <w:sz w:val="21"/>
        </w:rPr>
        <w:t>.</w:t>
      </w:r>
      <w:r>
        <w:rPr>
          <w:sz w:val="21"/>
        </w:rPr>
        <w:t> </w:t>
      </w:r>
      <w:r>
        <w:rPr>
          <w:spacing w:val="-15"/>
          <w:sz w:val="21"/>
        </w:rPr>
        <w:t> </w:t>
      </w:r>
      <w:r>
        <w:rPr>
          <w:w w:val="100"/>
          <w:sz w:val="21"/>
        </w:rPr>
        <w:t>…</w:t>
      </w:r>
      <w:r>
        <w:rPr>
          <w:sz w:val="21"/>
        </w:rPr>
        <w:t> </w:t>
      </w:r>
      <w:r>
        <w:rPr>
          <w:spacing w:val="-14"/>
          <w:sz w:val="21"/>
        </w:rPr>
        <w:t> </w:t>
      </w:r>
      <w:r>
        <w:rPr>
          <w:w w:val="100"/>
          <w:sz w:val="21"/>
        </w:rPr>
        <w:t>A</w:t>
      </w:r>
      <w:r>
        <w:rPr>
          <w:sz w:val="21"/>
        </w:rPr>
        <w:t> </w:t>
      </w:r>
      <w:r>
        <w:rPr>
          <w:spacing w:val="-14"/>
          <w:sz w:val="21"/>
        </w:rPr>
        <w:t> </w:t>
      </w:r>
      <w:r>
        <w:rPr>
          <w:spacing w:val="-1"/>
          <w:w w:val="100"/>
          <w:sz w:val="21"/>
        </w:rPr>
        <w:t>proce</w:t>
      </w:r>
      <w:r>
        <w:rPr>
          <w:spacing w:val="-3"/>
          <w:w w:val="100"/>
          <w:sz w:val="21"/>
        </w:rPr>
        <w:t>e</w:t>
      </w:r>
      <w:r>
        <w:rPr>
          <w:spacing w:val="-1"/>
          <w:w w:val="100"/>
          <w:sz w:val="21"/>
        </w:rPr>
        <w:t>d</w:t>
      </w:r>
      <w:r>
        <w:rPr>
          <w:spacing w:val="-2"/>
          <w:w w:val="100"/>
          <w:sz w:val="21"/>
        </w:rPr>
        <w:t>i</w:t>
      </w:r>
      <w:r>
        <w:rPr>
          <w:spacing w:val="-1"/>
          <w:w w:val="100"/>
          <w:sz w:val="21"/>
        </w:rPr>
        <w:t>n</w:t>
      </w:r>
      <w:r>
        <w:rPr>
          <w:w w:val="100"/>
          <w:sz w:val="21"/>
        </w:rPr>
        <w:t>g</w:t>
      </w:r>
      <w:r>
        <w:rPr>
          <w:sz w:val="21"/>
        </w:rPr>
        <w:t> </w:t>
      </w:r>
      <w:r>
        <w:rPr>
          <w:spacing w:val="-14"/>
          <w:sz w:val="21"/>
        </w:rPr>
        <w:t> </w:t>
      </w:r>
      <w:r>
        <w:rPr>
          <w:w w:val="100"/>
          <w:sz w:val="21"/>
        </w:rPr>
        <w:t>i</w:t>
      </w:r>
      <w:r>
        <w:rPr>
          <w:spacing w:val="-3"/>
          <w:w w:val="100"/>
          <w:sz w:val="21"/>
        </w:rPr>
        <w:t>n</w:t>
      </w:r>
      <w:r>
        <w:rPr>
          <w:w w:val="100"/>
          <w:sz w:val="21"/>
        </w:rPr>
        <w:t>i</w:t>
      </w:r>
      <w:r>
        <w:rPr>
          <w:spacing w:val="-4"/>
          <w:w w:val="100"/>
          <w:sz w:val="21"/>
        </w:rPr>
        <w:t>t</w:t>
      </w:r>
      <w:r>
        <w:rPr>
          <w:w w:val="100"/>
          <w:sz w:val="21"/>
        </w:rPr>
        <w:t>i</w:t>
      </w:r>
      <w:r>
        <w:rPr>
          <w:spacing w:val="-1"/>
          <w:w w:val="100"/>
          <w:sz w:val="21"/>
        </w:rPr>
        <w:t>ate</w:t>
      </w:r>
      <w:r>
        <w:rPr>
          <w:w w:val="100"/>
          <w:sz w:val="21"/>
        </w:rPr>
        <w:t>d</w:t>
      </w:r>
      <w:r>
        <w:rPr>
          <w:sz w:val="21"/>
        </w:rPr>
        <w:t> </w:t>
      </w:r>
      <w:r>
        <w:rPr>
          <w:spacing w:val="-14"/>
          <w:sz w:val="21"/>
        </w:rPr>
        <w:t> </w:t>
      </w:r>
      <w:r>
        <w:rPr>
          <w:spacing w:val="-1"/>
          <w:w w:val="100"/>
          <w:sz w:val="21"/>
        </w:rPr>
        <w:t>a</w:t>
      </w:r>
      <w:r>
        <w:rPr>
          <w:w w:val="100"/>
          <w:sz w:val="21"/>
        </w:rPr>
        <w:t>s</w:t>
      </w:r>
      <w:r>
        <w:rPr>
          <w:sz w:val="21"/>
        </w:rPr>
        <w:t> </w:t>
      </w:r>
      <w:r>
        <w:rPr>
          <w:spacing w:val="-14"/>
          <w:sz w:val="21"/>
        </w:rPr>
        <w:t> </w:t>
      </w:r>
      <w:r>
        <w:rPr>
          <w:w w:val="100"/>
          <w:sz w:val="21"/>
        </w:rPr>
        <w:t>a</w:t>
      </w:r>
      <w:r>
        <w:rPr>
          <w:sz w:val="21"/>
        </w:rPr>
        <w:t> </w:t>
      </w:r>
      <w:r>
        <w:rPr>
          <w:spacing w:val="-14"/>
          <w:sz w:val="21"/>
        </w:rPr>
        <w:t> </w:t>
      </w:r>
      <w:r>
        <w:rPr>
          <w:spacing w:val="-1"/>
          <w:w w:val="100"/>
          <w:sz w:val="21"/>
        </w:rPr>
        <w:t>p</w:t>
      </w:r>
      <w:r>
        <w:rPr>
          <w:spacing w:val="-3"/>
          <w:w w:val="100"/>
          <w:sz w:val="21"/>
        </w:rPr>
        <w:t>u</w:t>
      </w:r>
      <w:r>
        <w:rPr>
          <w:spacing w:val="-1"/>
          <w:w w:val="100"/>
          <w:sz w:val="21"/>
        </w:rPr>
        <w:t>b</w:t>
      </w:r>
      <w:r>
        <w:rPr>
          <w:spacing w:val="-2"/>
          <w:w w:val="100"/>
          <w:sz w:val="21"/>
        </w:rPr>
        <w:t>l</w:t>
      </w:r>
      <w:r>
        <w:rPr>
          <w:w w:val="100"/>
          <w:sz w:val="21"/>
        </w:rPr>
        <w:t>ic</w:t>
      </w:r>
      <w:r>
        <w:rPr>
          <w:sz w:val="21"/>
        </w:rPr>
        <w:t> </w:t>
      </w:r>
      <w:r>
        <w:rPr>
          <w:spacing w:val="-14"/>
          <w:sz w:val="21"/>
        </w:rPr>
        <w:t> </w:t>
      </w:r>
      <w:r>
        <w:rPr>
          <w:spacing w:val="-2"/>
          <w:w w:val="100"/>
          <w:sz w:val="21"/>
        </w:rPr>
        <w:t>i</w:t>
      </w:r>
      <w:r>
        <w:rPr>
          <w:spacing w:val="-1"/>
          <w:w w:val="100"/>
          <w:sz w:val="21"/>
        </w:rPr>
        <w:t>nteres</w:t>
      </w:r>
      <w:r>
        <w:rPr>
          <w:w w:val="100"/>
          <w:sz w:val="21"/>
        </w:rPr>
        <w:t>t</w:t>
      </w:r>
      <w:r>
        <w:rPr>
          <w:sz w:val="21"/>
        </w:rPr>
        <w:t> </w:t>
      </w:r>
      <w:r>
        <w:rPr>
          <w:spacing w:val="-18"/>
          <w:sz w:val="21"/>
        </w:rPr>
        <w:t> </w:t>
      </w:r>
      <w:r>
        <w:rPr>
          <w:w w:val="100"/>
          <w:sz w:val="21"/>
        </w:rPr>
        <w:t>li</w:t>
      </w:r>
      <w:r>
        <w:rPr>
          <w:spacing w:val="-2"/>
          <w:w w:val="100"/>
          <w:sz w:val="21"/>
        </w:rPr>
        <w:t>t</w:t>
      </w:r>
      <w:r>
        <w:rPr>
          <w:w w:val="100"/>
          <w:sz w:val="21"/>
        </w:rPr>
        <w:t>i</w:t>
      </w:r>
      <w:r>
        <w:rPr>
          <w:spacing w:val="-3"/>
          <w:w w:val="100"/>
          <w:sz w:val="21"/>
        </w:rPr>
        <w:t>g</w:t>
      </w:r>
      <w:r>
        <w:rPr>
          <w:spacing w:val="-1"/>
          <w:w w:val="100"/>
          <w:sz w:val="21"/>
        </w:rPr>
        <w:t>at</w:t>
      </w:r>
      <w:r>
        <w:rPr>
          <w:w w:val="100"/>
          <w:sz w:val="21"/>
        </w:rPr>
        <w:t>i</w:t>
      </w:r>
      <w:r>
        <w:rPr>
          <w:spacing w:val="-1"/>
          <w:w w:val="100"/>
          <w:sz w:val="21"/>
        </w:rPr>
        <w:t>on </w:t>
      </w:r>
      <w:r>
        <w:rPr>
          <w:sz w:val="21"/>
        </w:rPr>
        <w:t>would lie before the High Court or this Court, </w:t>
      </w:r>
      <w:r>
        <w:rPr>
          <w:b/>
          <w:sz w:val="21"/>
        </w:rPr>
        <w:t>according to Mr Subba Rao, </w:t>
      </w:r>
      <w:r>
        <w:rPr>
          <w:sz w:val="21"/>
        </w:rPr>
        <w:t>where it was found that despite existence of statutory provisions the State or the other statutory functionaries were not taking recourse to the provisions thereof for remedying the grievances of the devotees. </w:t>
      </w:r>
      <w:r>
        <w:rPr>
          <w:b/>
          <w:sz w:val="21"/>
        </w:rPr>
        <w:t>In any event, as a Hindu temple is a juristic person the very fact that Section 92 of the Code of Civil Procedure seeks to protect the same for the same purpose Article 226 and 32 could also be taken recourse to. Our attention in this behalf has been drawn to </w:t>
      </w:r>
      <w:r>
        <w:rPr>
          <w:i/>
          <w:sz w:val="21"/>
        </w:rPr>
        <w:t>Yogendra Nath v. CIT </w:t>
      </w:r>
      <w:r>
        <w:rPr>
          <w:sz w:val="21"/>
        </w:rPr>
        <w:t>and </w:t>
      </w:r>
      <w:r>
        <w:rPr>
          <w:i/>
          <w:sz w:val="21"/>
        </w:rPr>
        <w:t>Manohar Ganesh Tambekar </w:t>
      </w:r>
      <w:r>
        <w:rPr>
          <w:sz w:val="21"/>
        </w:rPr>
        <w:t>v. </w:t>
      </w:r>
      <w:r>
        <w:rPr>
          <w:i/>
          <w:sz w:val="21"/>
        </w:rPr>
        <w:t>Lakhmiram</w:t>
      </w:r>
      <w:r>
        <w:rPr>
          <w:i/>
          <w:spacing w:val="-16"/>
          <w:sz w:val="21"/>
        </w:rPr>
        <w:t> </w:t>
      </w:r>
      <w:r>
        <w:rPr>
          <w:i/>
          <w:sz w:val="21"/>
        </w:rPr>
        <w:t>Govindram</w:t>
      </w:r>
      <w:r>
        <w:rPr>
          <w:sz w:val="21"/>
        </w:rPr>
        <w:t>.‖</w:t>
      </w:r>
    </w:p>
    <w:p>
      <w:pPr>
        <w:spacing w:before="0"/>
        <w:ind w:left="5798" w:right="0" w:firstLine="0"/>
        <w:jc w:val="both"/>
        <w:rPr>
          <w:sz w:val="21"/>
        </w:rPr>
      </w:pPr>
      <w:r>
        <w:rPr>
          <w:sz w:val="21"/>
        </w:rPr>
        <w:t>(Emphasis supplied)</w:t>
      </w:r>
    </w:p>
    <w:p>
      <w:pPr>
        <w:pStyle w:val="BodyText"/>
        <w:rPr>
          <w:sz w:val="24"/>
        </w:rPr>
      </w:pPr>
    </w:p>
    <w:p>
      <w:pPr>
        <w:pStyle w:val="BodyText"/>
        <w:spacing w:before="3"/>
        <w:rPr>
          <w:sz w:val="21"/>
        </w:rPr>
      </w:pPr>
    </w:p>
    <w:p>
      <w:pPr>
        <w:pStyle w:val="BodyText"/>
        <w:spacing w:line="480" w:lineRule="auto"/>
        <w:ind w:left="500" w:right="442"/>
        <w:jc w:val="both"/>
      </w:pPr>
      <w:r>
        <w:rPr/>
        <w:t>The observation that a temple is a juristic person formed a part of the submissions made by the counsel and was merely preserved by the court as a matter of record. There is no evidence that this Court accepted the contention that the temple is a juristic person. No reliance can be placed on this decision or the observation in paragraph 40 to contend that a temple is a juristic</w:t>
      </w:r>
      <w:r>
        <w:rPr>
          <w:spacing w:val="-21"/>
        </w:rPr>
        <w:t> </w:t>
      </w:r>
      <w:r>
        <w:rPr/>
        <w:t>person.</w:t>
      </w:r>
    </w:p>
    <w:p>
      <w:pPr>
        <w:pStyle w:val="BodyText"/>
        <w:spacing w:before="8"/>
        <w:rPr>
          <w:sz w:val="24"/>
        </w:rPr>
      </w:pPr>
    </w:p>
    <w:p>
      <w:pPr>
        <w:pStyle w:val="ListParagraph"/>
        <w:numPr>
          <w:ilvl w:val="0"/>
          <w:numId w:val="3"/>
        </w:numPr>
        <w:tabs>
          <w:tab w:pos="1221" w:val="left" w:leader="none"/>
        </w:tabs>
        <w:spacing w:line="480" w:lineRule="auto" w:before="0" w:after="0"/>
        <w:ind w:left="500" w:right="433" w:firstLine="0"/>
        <w:jc w:val="both"/>
        <w:rPr>
          <w:sz w:val="25"/>
        </w:rPr>
      </w:pPr>
      <w:r>
        <w:rPr/>
        <w:pict>
          <v:rect style="position:absolute;margin-left:72.024002pt;margin-top:146.624878pt;width:144.020pt;height:.599980pt;mso-position-horizontal-relative:page;mso-position-vertical-relative:paragraph;z-index:-15694336;mso-wrap-distance-left:0;mso-wrap-distance-right:0" filled="true" fillcolor="#000000" stroked="false">
            <v:fill type="solid"/>
            <w10:wrap type="topAndBottom"/>
          </v:rect>
        </w:pict>
      </w:r>
      <w:r>
        <w:rPr>
          <w:sz w:val="25"/>
        </w:rPr>
        <w:t>Mr Parasaran next relied on </w:t>
      </w:r>
      <w:r>
        <w:rPr>
          <w:b/>
          <w:sz w:val="25"/>
        </w:rPr>
        <w:t>Sri Sabhanayagar Temple, Chidambaram </w:t>
      </w:r>
      <w:r>
        <w:rPr>
          <w:sz w:val="25"/>
        </w:rPr>
        <w:t>v </w:t>
      </w:r>
      <w:r>
        <w:rPr>
          <w:b/>
          <w:sz w:val="25"/>
        </w:rPr>
        <w:t>State of Tamil Nadu</w:t>
      </w:r>
      <w:r>
        <w:rPr>
          <w:sz w:val="25"/>
          <w:vertAlign w:val="superscript"/>
        </w:rPr>
        <w:t>115</w:t>
      </w:r>
      <w:r>
        <w:rPr>
          <w:sz w:val="25"/>
          <w:vertAlign w:val="baseline"/>
        </w:rPr>
        <w:t> to demonstrate the recorded existence of a temple without any resident idol. The decision records a brief history of the Chidambaram Temple in Tamil Nadu. Justice T Raja, speaking for a Division Bench of the Madras High Court</w:t>
      </w:r>
      <w:r>
        <w:rPr>
          <w:spacing w:val="-3"/>
          <w:sz w:val="25"/>
          <w:vertAlign w:val="baseline"/>
        </w:rPr>
        <w:t> </w:t>
      </w:r>
      <w:r>
        <w:rPr>
          <w:sz w:val="25"/>
          <w:vertAlign w:val="baseline"/>
        </w:rPr>
        <w:t>notes:</w:t>
      </w:r>
    </w:p>
    <w:p>
      <w:pPr>
        <w:spacing w:before="80"/>
        <w:ind w:left="500" w:right="0" w:firstLine="0"/>
        <w:jc w:val="left"/>
        <w:rPr>
          <w:sz w:val="18"/>
        </w:rPr>
      </w:pPr>
      <w:r>
        <w:rPr>
          <w:sz w:val="18"/>
          <w:vertAlign w:val="superscript"/>
        </w:rPr>
        <w:t>115</w:t>
      </w:r>
      <w:r>
        <w:rPr>
          <w:sz w:val="18"/>
          <w:vertAlign w:val="baseline"/>
        </w:rPr>
        <w:t> (2009) 4 CTC 801</w:t>
      </w:r>
    </w:p>
    <w:p>
      <w:pPr>
        <w:spacing w:after="0"/>
        <w:jc w:val="left"/>
        <w:rPr>
          <w:sz w:val="18"/>
        </w:rPr>
        <w:sectPr>
          <w:headerReference w:type="default" r:id="rId68"/>
          <w:footerReference w:type="default" r:id="rId69"/>
          <w:pgSz w:w="11910" w:h="16840"/>
          <w:pgMar w:header="721" w:footer="1014" w:top="1300" w:bottom="1200" w:left="940" w:right="1000"/>
          <w:pgNumType w:start="205"/>
        </w:sectPr>
      </w:pPr>
    </w:p>
    <w:p>
      <w:pPr>
        <w:spacing w:line="276" w:lineRule="auto" w:before="122"/>
        <w:ind w:left="1940" w:right="2261" w:firstLine="0"/>
        <w:jc w:val="both"/>
        <w:rPr>
          <w:sz w:val="21"/>
        </w:rPr>
      </w:pPr>
      <w:r>
        <w:rPr>
          <w:spacing w:val="-1"/>
          <w:w w:val="33"/>
          <w:sz w:val="21"/>
        </w:rPr>
        <w:t>―</w:t>
      </w:r>
      <w:r>
        <w:rPr>
          <w:w w:val="100"/>
          <w:sz w:val="21"/>
        </w:rPr>
        <w:t>…T</w:t>
      </w:r>
      <w:r>
        <w:rPr>
          <w:spacing w:val="-2"/>
          <w:w w:val="100"/>
          <w:sz w:val="21"/>
        </w:rPr>
        <w:t>h</w:t>
      </w:r>
      <w:r>
        <w:rPr>
          <w:w w:val="100"/>
          <w:sz w:val="21"/>
        </w:rPr>
        <w:t>e</w:t>
      </w:r>
      <w:r>
        <w:rPr>
          <w:spacing w:val="11"/>
          <w:sz w:val="21"/>
        </w:rPr>
        <w:t> </w:t>
      </w:r>
      <w:r>
        <w:rPr>
          <w:w w:val="100"/>
          <w:sz w:val="21"/>
        </w:rPr>
        <w:t>C</w:t>
      </w:r>
      <w:r>
        <w:rPr>
          <w:spacing w:val="-3"/>
          <w:w w:val="100"/>
          <w:sz w:val="21"/>
        </w:rPr>
        <w:t>h</w:t>
      </w:r>
      <w:r>
        <w:rPr>
          <w:w w:val="100"/>
          <w:sz w:val="21"/>
        </w:rPr>
        <w:t>i</w:t>
      </w:r>
      <w:r>
        <w:rPr>
          <w:w w:val="100"/>
          <w:sz w:val="21"/>
        </w:rPr>
        <w:t>d</w:t>
      </w:r>
      <w:r>
        <w:rPr>
          <w:spacing w:val="-3"/>
          <w:w w:val="100"/>
          <w:sz w:val="21"/>
        </w:rPr>
        <w:t>a</w:t>
      </w:r>
      <w:r>
        <w:rPr>
          <w:spacing w:val="-1"/>
          <w:w w:val="100"/>
          <w:sz w:val="21"/>
        </w:rPr>
        <w:t>m</w:t>
      </w:r>
      <w:r>
        <w:rPr>
          <w:w w:val="100"/>
          <w:sz w:val="21"/>
        </w:rPr>
        <w:t>bar</w:t>
      </w:r>
      <w:r>
        <w:rPr>
          <w:spacing w:val="-3"/>
          <w:w w:val="100"/>
          <w:sz w:val="21"/>
        </w:rPr>
        <w:t>a</w:t>
      </w:r>
      <w:r>
        <w:rPr>
          <w:w w:val="100"/>
          <w:sz w:val="21"/>
        </w:rPr>
        <w:t>m</w:t>
      </w:r>
      <w:r>
        <w:rPr>
          <w:spacing w:val="10"/>
          <w:sz w:val="21"/>
        </w:rPr>
        <w:t> </w:t>
      </w:r>
      <w:r>
        <w:rPr>
          <w:w w:val="100"/>
          <w:sz w:val="21"/>
        </w:rPr>
        <w:t>T</w:t>
      </w:r>
      <w:r>
        <w:rPr>
          <w:spacing w:val="-2"/>
          <w:w w:val="100"/>
          <w:sz w:val="21"/>
        </w:rPr>
        <w:t>e</w:t>
      </w:r>
      <w:r>
        <w:rPr>
          <w:spacing w:val="1"/>
          <w:w w:val="100"/>
          <w:sz w:val="21"/>
        </w:rPr>
        <w:t>m</w:t>
      </w:r>
      <w:r>
        <w:rPr>
          <w:spacing w:val="-3"/>
          <w:w w:val="100"/>
          <w:sz w:val="21"/>
        </w:rPr>
        <w:t>p</w:t>
      </w:r>
      <w:r>
        <w:rPr>
          <w:w w:val="100"/>
          <w:sz w:val="21"/>
        </w:rPr>
        <w:t>l</w:t>
      </w:r>
      <w:r>
        <w:rPr>
          <w:w w:val="100"/>
          <w:sz w:val="21"/>
        </w:rPr>
        <w:t>e</w:t>
      </w:r>
      <w:r>
        <w:rPr>
          <w:spacing w:val="11"/>
          <w:sz w:val="21"/>
        </w:rPr>
        <w:t> </w:t>
      </w:r>
      <w:r>
        <w:rPr>
          <w:w w:val="100"/>
          <w:sz w:val="21"/>
        </w:rPr>
        <w:t>c</w:t>
      </w:r>
      <w:r>
        <w:rPr>
          <w:spacing w:val="-3"/>
          <w:w w:val="100"/>
          <w:sz w:val="21"/>
        </w:rPr>
        <w:t>o</w:t>
      </w:r>
      <w:r>
        <w:rPr>
          <w:w w:val="100"/>
          <w:sz w:val="21"/>
        </w:rPr>
        <w:t>n</w:t>
      </w:r>
      <w:r>
        <w:rPr>
          <w:spacing w:val="-1"/>
          <w:w w:val="100"/>
          <w:sz w:val="21"/>
        </w:rPr>
        <w:t>t</w:t>
      </w:r>
      <w:r>
        <w:rPr>
          <w:w w:val="100"/>
          <w:sz w:val="21"/>
        </w:rPr>
        <w:t>a</w:t>
      </w:r>
      <w:r>
        <w:rPr>
          <w:spacing w:val="-2"/>
          <w:w w:val="100"/>
          <w:sz w:val="21"/>
        </w:rPr>
        <w:t>i</w:t>
      </w:r>
      <w:r>
        <w:rPr>
          <w:w w:val="100"/>
          <w:sz w:val="21"/>
        </w:rPr>
        <w:t>ns</w:t>
      </w:r>
      <w:r>
        <w:rPr>
          <w:spacing w:val="11"/>
          <w:sz w:val="21"/>
        </w:rPr>
        <w:t> </w:t>
      </w:r>
      <w:r>
        <w:rPr>
          <w:w w:val="100"/>
          <w:sz w:val="21"/>
        </w:rPr>
        <w:t>an</w:t>
      </w:r>
      <w:r>
        <w:rPr>
          <w:spacing w:val="11"/>
          <w:sz w:val="21"/>
        </w:rPr>
        <w:t> </w:t>
      </w:r>
      <w:r>
        <w:rPr>
          <w:spacing w:val="-3"/>
          <w:w w:val="100"/>
          <w:sz w:val="21"/>
        </w:rPr>
        <w:t>a</w:t>
      </w:r>
      <w:r>
        <w:rPr>
          <w:w w:val="100"/>
          <w:sz w:val="21"/>
        </w:rPr>
        <w:t>l</w:t>
      </w:r>
      <w:r>
        <w:rPr>
          <w:spacing w:val="-2"/>
          <w:w w:val="100"/>
          <w:sz w:val="21"/>
        </w:rPr>
        <w:t>t</w:t>
      </w:r>
      <w:r>
        <w:rPr>
          <w:w w:val="100"/>
          <w:sz w:val="21"/>
        </w:rPr>
        <w:t>ar</w:t>
      </w:r>
      <w:r>
        <w:rPr>
          <w:spacing w:val="10"/>
          <w:sz w:val="21"/>
        </w:rPr>
        <w:t> </w:t>
      </w:r>
      <w:r>
        <w:rPr>
          <w:spacing w:val="-2"/>
          <w:w w:val="100"/>
          <w:sz w:val="21"/>
        </w:rPr>
        <w:t>w</w:t>
      </w:r>
      <w:r>
        <w:rPr>
          <w:w w:val="100"/>
          <w:sz w:val="21"/>
        </w:rPr>
        <w:t>h</w:t>
      </w:r>
      <w:r>
        <w:rPr>
          <w:spacing w:val="1"/>
          <w:w w:val="100"/>
          <w:sz w:val="21"/>
        </w:rPr>
        <w:t>i</w:t>
      </w:r>
      <w:r>
        <w:rPr>
          <w:w w:val="100"/>
          <w:sz w:val="21"/>
        </w:rPr>
        <w:t>ch</w:t>
      </w:r>
      <w:r>
        <w:rPr>
          <w:spacing w:val="15"/>
          <w:sz w:val="21"/>
        </w:rPr>
        <w:t> </w:t>
      </w:r>
      <w:r>
        <w:rPr>
          <w:w w:val="100"/>
          <w:sz w:val="21"/>
        </w:rPr>
        <w:t>h</w:t>
      </w:r>
      <w:r>
        <w:rPr>
          <w:spacing w:val="-3"/>
          <w:w w:val="100"/>
          <w:sz w:val="21"/>
        </w:rPr>
        <w:t>a</w:t>
      </w:r>
      <w:r>
        <w:rPr>
          <w:w w:val="100"/>
          <w:sz w:val="21"/>
        </w:rPr>
        <w:t>s</w:t>
      </w:r>
      <w:r>
        <w:rPr>
          <w:spacing w:val="11"/>
          <w:sz w:val="21"/>
        </w:rPr>
        <w:t> </w:t>
      </w:r>
      <w:r>
        <w:rPr>
          <w:w w:val="100"/>
          <w:sz w:val="21"/>
        </w:rPr>
        <w:t>no </w:t>
      </w:r>
      <w:r>
        <w:rPr>
          <w:sz w:val="21"/>
        </w:rPr>
        <w:t>idol. In fact, no Lingam exists but a curtain is hung before a wall, when people go to worship, the curtain is withdrawn to </w:t>
      </w:r>
      <w:r>
        <w:rPr>
          <w:w w:val="100"/>
          <w:sz w:val="21"/>
        </w:rPr>
        <w:t>see</w:t>
      </w:r>
      <w:r>
        <w:rPr>
          <w:spacing w:val="13"/>
          <w:sz w:val="21"/>
        </w:rPr>
        <w:t> </w:t>
      </w:r>
      <w:r>
        <w:rPr>
          <w:spacing w:val="-2"/>
          <w:w w:val="100"/>
          <w:sz w:val="21"/>
        </w:rPr>
        <w:t>t</w:t>
      </w:r>
      <w:r>
        <w:rPr>
          <w:spacing w:val="-1"/>
          <w:w w:val="100"/>
          <w:sz w:val="21"/>
        </w:rPr>
        <w:t>h</w:t>
      </w:r>
      <w:r>
        <w:rPr>
          <w:w w:val="100"/>
          <w:sz w:val="21"/>
        </w:rPr>
        <w:t>e</w:t>
      </w:r>
      <w:r>
        <w:rPr>
          <w:spacing w:val="11"/>
          <w:sz w:val="21"/>
        </w:rPr>
        <w:t> </w:t>
      </w:r>
      <w:r>
        <w:rPr>
          <w:w w:val="40"/>
          <w:sz w:val="21"/>
        </w:rPr>
        <w:t>‗</w:t>
      </w:r>
      <w:r>
        <w:rPr>
          <w:spacing w:val="-3"/>
          <w:w w:val="100"/>
          <w:sz w:val="21"/>
        </w:rPr>
        <w:t>L</w:t>
      </w:r>
      <w:r>
        <w:rPr>
          <w:w w:val="100"/>
          <w:sz w:val="21"/>
        </w:rPr>
        <w:t>i</w:t>
      </w:r>
      <w:r>
        <w:rPr>
          <w:spacing w:val="-3"/>
          <w:w w:val="100"/>
          <w:sz w:val="21"/>
        </w:rPr>
        <w:t>n</w:t>
      </w:r>
      <w:r>
        <w:rPr>
          <w:spacing w:val="-1"/>
          <w:w w:val="100"/>
          <w:sz w:val="21"/>
        </w:rPr>
        <w:t>g</w:t>
      </w:r>
      <w:r>
        <w:rPr>
          <w:spacing w:val="-3"/>
          <w:w w:val="100"/>
          <w:sz w:val="21"/>
        </w:rPr>
        <w:t>a</w:t>
      </w:r>
      <w:r>
        <w:rPr>
          <w:spacing w:val="-1"/>
          <w:w w:val="100"/>
          <w:sz w:val="21"/>
        </w:rPr>
        <w:t>m</w:t>
      </w:r>
      <w:r>
        <w:rPr>
          <w:w w:val="100"/>
          <w:sz w:val="21"/>
        </w:rPr>
        <w:t>‘.</w:t>
      </w:r>
      <w:r>
        <w:rPr>
          <w:spacing w:val="12"/>
          <w:sz w:val="21"/>
        </w:rPr>
        <w:t> </w:t>
      </w:r>
      <w:r>
        <w:rPr>
          <w:w w:val="100"/>
          <w:sz w:val="21"/>
        </w:rPr>
        <w:t>B</w:t>
      </w:r>
      <w:r>
        <w:rPr>
          <w:spacing w:val="-1"/>
          <w:w w:val="100"/>
          <w:sz w:val="21"/>
        </w:rPr>
        <w:t>u</w:t>
      </w:r>
      <w:r>
        <w:rPr>
          <w:w w:val="100"/>
          <w:sz w:val="21"/>
        </w:rPr>
        <w:t>t</w:t>
      </w:r>
      <w:r>
        <w:rPr>
          <w:spacing w:val="12"/>
          <w:sz w:val="21"/>
        </w:rPr>
        <w:t> </w:t>
      </w:r>
      <w:r>
        <w:rPr>
          <w:spacing w:val="-2"/>
          <w:w w:val="100"/>
          <w:sz w:val="21"/>
        </w:rPr>
        <w:t>t</w:t>
      </w:r>
      <w:r>
        <w:rPr>
          <w:spacing w:val="-3"/>
          <w:w w:val="100"/>
          <w:sz w:val="21"/>
        </w:rPr>
        <w:t>h</w:t>
      </w:r>
      <w:r>
        <w:rPr>
          <w:w w:val="100"/>
          <w:sz w:val="21"/>
        </w:rPr>
        <w:t>e</w:t>
      </w:r>
      <w:r>
        <w:rPr>
          <w:spacing w:val="11"/>
          <w:sz w:val="21"/>
        </w:rPr>
        <w:t> </w:t>
      </w:r>
      <w:r>
        <w:rPr>
          <w:spacing w:val="-1"/>
          <w:w w:val="100"/>
          <w:sz w:val="21"/>
        </w:rPr>
        <w:t>arden</w:t>
      </w:r>
      <w:r>
        <w:rPr>
          <w:w w:val="100"/>
          <w:sz w:val="21"/>
        </w:rPr>
        <w:t>t</w:t>
      </w:r>
      <w:r>
        <w:rPr>
          <w:spacing w:val="12"/>
          <w:sz w:val="21"/>
        </w:rPr>
        <w:t> </w:t>
      </w:r>
      <w:r>
        <w:rPr>
          <w:spacing w:val="-3"/>
          <w:w w:val="100"/>
          <w:sz w:val="21"/>
        </w:rPr>
        <w:t>d</w:t>
      </w:r>
      <w:r>
        <w:rPr>
          <w:spacing w:val="-1"/>
          <w:w w:val="100"/>
          <w:sz w:val="21"/>
        </w:rPr>
        <w:t>e</w:t>
      </w:r>
      <w:r>
        <w:rPr>
          <w:spacing w:val="-3"/>
          <w:w w:val="100"/>
          <w:sz w:val="21"/>
        </w:rPr>
        <w:t>v</w:t>
      </w:r>
      <w:r>
        <w:rPr>
          <w:spacing w:val="-1"/>
          <w:w w:val="100"/>
          <w:sz w:val="21"/>
        </w:rPr>
        <w:t>ote</w:t>
      </w:r>
      <w:r>
        <w:rPr>
          <w:w w:val="100"/>
          <w:sz w:val="21"/>
        </w:rPr>
        <w:t>e</w:t>
      </w:r>
      <w:r>
        <w:rPr>
          <w:spacing w:val="13"/>
          <w:sz w:val="21"/>
        </w:rPr>
        <w:t> </w:t>
      </w:r>
      <w:r>
        <w:rPr>
          <w:spacing w:val="-2"/>
          <w:w w:val="100"/>
          <w:sz w:val="21"/>
        </w:rPr>
        <w:t>wi</w:t>
      </w:r>
      <w:r>
        <w:rPr>
          <w:w w:val="100"/>
          <w:sz w:val="21"/>
        </w:rPr>
        <w:t>ll</w:t>
      </w:r>
      <w:r>
        <w:rPr>
          <w:spacing w:val="11"/>
          <w:sz w:val="21"/>
        </w:rPr>
        <w:t> </w:t>
      </w:r>
      <w:r>
        <w:rPr>
          <w:spacing w:val="1"/>
          <w:w w:val="100"/>
          <w:sz w:val="21"/>
        </w:rPr>
        <w:t>f</w:t>
      </w:r>
      <w:r>
        <w:rPr>
          <w:spacing w:val="-3"/>
          <w:w w:val="100"/>
          <w:sz w:val="21"/>
        </w:rPr>
        <w:t>e</w:t>
      </w:r>
      <w:r>
        <w:rPr>
          <w:spacing w:val="-1"/>
          <w:w w:val="100"/>
          <w:sz w:val="21"/>
        </w:rPr>
        <w:t>e</w:t>
      </w:r>
      <w:r>
        <w:rPr>
          <w:w w:val="100"/>
          <w:sz w:val="21"/>
        </w:rPr>
        <w:t>l</w:t>
      </w:r>
      <w:r>
        <w:rPr>
          <w:spacing w:val="14"/>
          <w:sz w:val="21"/>
        </w:rPr>
        <w:t> </w:t>
      </w:r>
      <w:r>
        <w:rPr>
          <w:spacing w:val="-2"/>
          <w:w w:val="100"/>
          <w:sz w:val="21"/>
        </w:rPr>
        <w:t>t</w:t>
      </w:r>
      <w:r>
        <w:rPr>
          <w:spacing w:val="-3"/>
          <w:w w:val="100"/>
          <w:sz w:val="21"/>
        </w:rPr>
        <w:t>h</w:t>
      </w:r>
      <w:r>
        <w:rPr>
          <w:w w:val="100"/>
          <w:sz w:val="21"/>
        </w:rPr>
        <w:t>e</w:t>
      </w:r>
      <w:r>
        <w:rPr>
          <w:spacing w:val="13"/>
          <w:sz w:val="21"/>
        </w:rPr>
        <w:t> </w:t>
      </w:r>
      <w:r>
        <w:rPr>
          <w:spacing w:val="-1"/>
          <w:w w:val="100"/>
          <w:sz w:val="21"/>
        </w:rPr>
        <w:t>d</w:t>
      </w:r>
      <w:r>
        <w:rPr>
          <w:spacing w:val="1"/>
          <w:w w:val="100"/>
          <w:sz w:val="21"/>
        </w:rPr>
        <w:t>i</w:t>
      </w:r>
      <w:r>
        <w:rPr>
          <w:spacing w:val="-3"/>
          <w:w w:val="100"/>
          <w:sz w:val="21"/>
        </w:rPr>
        <w:t>v</w:t>
      </w:r>
      <w:r>
        <w:rPr>
          <w:w w:val="100"/>
          <w:sz w:val="21"/>
        </w:rPr>
        <w:t>i</w:t>
      </w:r>
      <w:r>
        <w:rPr>
          <w:spacing w:val="-3"/>
          <w:w w:val="100"/>
          <w:sz w:val="21"/>
        </w:rPr>
        <w:t>n</w:t>
      </w:r>
      <w:r>
        <w:rPr>
          <w:spacing w:val="-1"/>
          <w:w w:val="100"/>
          <w:sz w:val="21"/>
        </w:rPr>
        <w:t>e</w:t>
      </w:r>
      <w:r>
        <w:rPr>
          <w:spacing w:val="1"/>
          <w:w w:val="100"/>
          <w:sz w:val="21"/>
        </w:rPr>
        <w:t>l</w:t>
      </w:r>
      <w:r>
        <w:rPr>
          <w:w w:val="100"/>
          <w:sz w:val="21"/>
        </w:rPr>
        <w:t>y </w:t>
      </w:r>
      <w:r>
        <w:rPr>
          <w:sz w:val="21"/>
        </w:rPr>
        <w:t>wonder that Lord Siva is formless i.e., space which is known </w:t>
      </w:r>
      <w:r>
        <w:rPr>
          <w:spacing w:val="-1"/>
          <w:w w:val="100"/>
          <w:sz w:val="21"/>
        </w:rPr>
        <w:t>a</w:t>
      </w:r>
      <w:r>
        <w:rPr>
          <w:w w:val="100"/>
          <w:sz w:val="21"/>
        </w:rPr>
        <w:t>s</w:t>
      </w:r>
      <w:r>
        <w:rPr>
          <w:sz w:val="21"/>
        </w:rPr>
        <w:t> </w:t>
      </w:r>
      <w:r>
        <w:rPr>
          <w:spacing w:val="-17"/>
          <w:sz w:val="21"/>
        </w:rPr>
        <w:t> </w:t>
      </w:r>
      <w:r>
        <w:rPr>
          <w:spacing w:val="-1"/>
          <w:w w:val="33"/>
          <w:sz w:val="21"/>
        </w:rPr>
        <w:t>―</w:t>
      </w:r>
      <w:r>
        <w:rPr>
          <w:spacing w:val="-2"/>
          <w:w w:val="100"/>
          <w:sz w:val="21"/>
        </w:rPr>
        <w:t>A</w:t>
      </w:r>
      <w:r>
        <w:rPr>
          <w:spacing w:val="2"/>
          <w:w w:val="100"/>
          <w:sz w:val="21"/>
        </w:rPr>
        <w:t>k</w:t>
      </w:r>
      <w:r>
        <w:rPr>
          <w:spacing w:val="-3"/>
          <w:w w:val="100"/>
          <w:sz w:val="21"/>
        </w:rPr>
        <w:t>a</w:t>
      </w:r>
      <w:r>
        <w:rPr>
          <w:w w:val="100"/>
          <w:sz w:val="21"/>
        </w:rPr>
        <w:t>sa</w:t>
      </w:r>
      <w:r>
        <w:rPr>
          <w:sz w:val="21"/>
        </w:rPr>
        <w:t> </w:t>
      </w:r>
      <w:r>
        <w:rPr>
          <w:spacing w:val="-16"/>
          <w:sz w:val="21"/>
        </w:rPr>
        <w:t> </w:t>
      </w:r>
      <w:r>
        <w:rPr>
          <w:spacing w:val="-3"/>
          <w:w w:val="100"/>
          <w:sz w:val="21"/>
        </w:rPr>
        <w:t>L</w:t>
      </w:r>
      <w:r>
        <w:rPr>
          <w:w w:val="100"/>
          <w:sz w:val="21"/>
        </w:rPr>
        <w:t>i</w:t>
      </w:r>
      <w:r>
        <w:rPr>
          <w:spacing w:val="-1"/>
          <w:w w:val="100"/>
          <w:sz w:val="21"/>
        </w:rPr>
        <w:t>n</w:t>
      </w:r>
      <w:r>
        <w:rPr>
          <w:spacing w:val="-3"/>
          <w:w w:val="100"/>
          <w:sz w:val="21"/>
        </w:rPr>
        <w:t>ga</w:t>
      </w:r>
      <w:r>
        <w:rPr>
          <w:spacing w:val="1"/>
          <w:w w:val="100"/>
          <w:sz w:val="21"/>
        </w:rPr>
        <w:t>m</w:t>
      </w:r>
      <w:r>
        <w:rPr>
          <w:spacing w:val="-1"/>
          <w:w w:val="81"/>
          <w:sz w:val="21"/>
        </w:rPr>
        <w:t>‖</w:t>
      </w:r>
      <w:r>
        <w:rPr>
          <w:w w:val="100"/>
          <w:sz w:val="21"/>
        </w:rPr>
        <w:t>.</w:t>
      </w:r>
      <w:r>
        <w:rPr>
          <w:sz w:val="21"/>
        </w:rPr>
        <w:t> </w:t>
      </w:r>
      <w:r>
        <w:rPr>
          <w:spacing w:val="-18"/>
          <w:sz w:val="21"/>
        </w:rPr>
        <w:t> </w:t>
      </w:r>
      <w:r>
        <w:rPr>
          <w:spacing w:val="-2"/>
          <w:w w:val="100"/>
          <w:sz w:val="21"/>
        </w:rPr>
        <w:t>O</w:t>
      </w:r>
      <w:r>
        <w:rPr>
          <w:spacing w:val="1"/>
          <w:w w:val="100"/>
          <w:sz w:val="21"/>
        </w:rPr>
        <w:t>f</w:t>
      </w:r>
      <w:r>
        <w:rPr>
          <w:spacing w:val="-2"/>
          <w:w w:val="100"/>
          <w:sz w:val="21"/>
        </w:rPr>
        <w:t>f</w:t>
      </w:r>
      <w:r>
        <w:rPr>
          <w:spacing w:val="-3"/>
          <w:w w:val="100"/>
          <w:sz w:val="21"/>
        </w:rPr>
        <w:t>e</w:t>
      </w:r>
      <w:r>
        <w:rPr>
          <w:spacing w:val="-1"/>
          <w:w w:val="100"/>
          <w:sz w:val="21"/>
        </w:rPr>
        <w:t>r</w:t>
      </w:r>
      <w:r>
        <w:rPr>
          <w:w w:val="100"/>
          <w:sz w:val="21"/>
        </w:rPr>
        <w:t>i</w:t>
      </w:r>
      <w:r>
        <w:rPr>
          <w:spacing w:val="-1"/>
          <w:w w:val="100"/>
          <w:sz w:val="21"/>
        </w:rPr>
        <w:t>ng</w:t>
      </w:r>
      <w:r>
        <w:rPr>
          <w:w w:val="100"/>
          <w:sz w:val="21"/>
        </w:rPr>
        <w:t>s</w:t>
      </w:r>
      <w:r>
        <w:rPr>
          <w:sz w:val="21"/>
        </w:rPr>
        <w:t> </w:t>
      </w:r>
      <w:r>
        <w:rPr>
          <w:spacing w:val="-16"/>
          <w:sz w:val="21"/>
        </w:rPr>
        <w:t> </w:t>
      </w:r>
      <w:r>
        <w:rPr>
          <w:spacing w:val="-1"/>
          <w:w w:val="100"/>
          <w:sz w:val="21"/>
        </w:rPr>
        <w:t>a</w:t>
      </w:r>
      <w:r>
        <w:rPr>
          <w:spacing w:val="-3"/>
          <w:w w:val="100"/>
          <w:sz w:val="21"/>
        </w:rPr>
        <w:t>r</w:t>
      </w:r>
      <w:r>
        <w:rPr>
          <w:w w:val="100"/>
          <w:sz w:val="21"/>
        </w:rPr>
        <w:t>e</w:t>
      </w:r>
      <w:r>
        <w:rPr>
          <w:sz w:val="21"/>
        </w:rPr>
        <w:t> </w:t>
      </w:r>
      <w:r>
        <w:rPr>
          <w:spacing w:val="-19"/>
          <w:sz w:val="21"/>
        </w:rPr>
        <w:t> </w:t>
      </w:r>
      <w:r>
        <w:rPr>
          <w:spacing w:val="1"/>
          <w:w w:val="100"/>
          <w:sz w:val="21"/>
        </w:rPr>
        <w:t>m</w:t>
      </w:r>
      <w:r>
        <w:rPr>
          <w:spacing w:val="-1"/>
          <w:w w:val="100"/>
          <w:sz w:val="21"/>
        </w:rPr>
        <w:t>a</w:t>
      </w:r>
      <w:r>
        <w:rPr>
          <w:spacing w:val="-3"/>
          <w:w w:val="100"/>
          <w:sz w:val="21"/>
        </w:rPr>
        <w:t>d</w:t>
      </w:r>
      <w:r>
        <w:rPr>
          <w:w w:val="100"/>
          <w:sz w:val="21"/>
        </w:rPr>
        <w:t>e</w:t>
      </w:r>
      <w:r>
        <w:rPr>
          <w:sz w:val="21"/>
        </w:rPr>
        <w:t> </w:t>
      </w:r>
      <w:r>
        <w:rPr>
          <w:spacing w:val="-17"/>
          <w:sz w:val="21"/>
        </w:rPr>
        <w:t> </w:t>
      </w:r>
      <w:r>
        <w:rPr>
          <w:spacing w:val="-1"/>
          <w:w w:val="100"/>
          <w:sz w:val="21"/>
        </w:rPr>
        <w:t>b</w:t>
      </w:r>
      <w:r>
        <w:rPr>
          <w:spacing w:val="-3"/>
          <w:w w:val="100"/>
          <w:sz w:val="21"/>
        </w:rPr>
        <w:t>e</w:t>
      </w:r>
      <w:r>
        <w:rPr>
          <w:spacing w:val="1"/>
          <w:w w:val="100"/>
          <w:sz w:val="21"/>
        </w:rPr>
        <w:t>f</w:t>
      </w:r>
      <w:r>
        <w:rPr>
          <w:spacing w:val="-1"/>
          <w:w w:val="100"/>
          <w:sz w:val="21"/>
        </w:rPr>
        <w:t>or</w:t>
      </w:r>
      <w:r>
        <w:rPr>
          <w:w w:val="100"/>
          <w:sz w:val="21"/>
        </w:rPr>
        <w:t>e</w:t>
      </w:r>
      <w:r>
        <w:rPr>
          <w:sz w:val="21"/>
        </w:rPr>
        <w:t> </w:t>
      </w:r>
      <w:r>
        <w:rPr>
          <w:spacing w:val="-17"/>
          <w:sz w:val="21"/>
        </w:rPr>
        <w:t> </w:t>
      </w:r>
      <w:r>
        <w:rPr>
          <w:spacing w:val="-4"/>
          <w:w w:val="100"/>
          <w:sz w:val="21"/>
        </w:rPr>
        <w:t>t</w:t>
      </w:r>
      <w:r>
        <w:rPr>
          <w:spacing w:val="-1"/>
          <w:w w:val="100"/>
          <w:sz w:val="21"/>
        </w:rPr>
        <w:t>h</w:t>
      </w:r>
      <w:r>
        <w:rPr>
          <w:w w:val="100"/>
          <w:sz w:val="21"/>
        </w:rPr>
        <w:t>e</w:t>
      </w:r>
      <w:r>
        <w:rPr>
          <w:sz w:val="21"/>
        </w:rPr>
        <w:t> </w:t>
      </w:r>
      <w:r>
        <w:rPr>
          <w:spacing w:val="-16"/>
          <w:sz w:val="21"/>
        </w:rPr>
        <w:t> </w:t>
      </w:r>
      <w:r>
        <w:rPr>
          <w:w w:val="100"/>
          <w:sz w:val="21"/>
        </w:rPr>
        <w:t>cur</w:t>
      </w:r>
      <w:r>
        <w:rPr>
          <w:spacing w:val="-2"/>
          <w:w w:val="100"/>
          <w:sz w:val="21"/>
        </w:rPr>
        <w:t>t</w:t>
      </w:r>
      <w:r>
        <w:rPr>
          <w:spacing w:val="-1"/>
          <w:w w:val="100"/>
          <w:sz w:val="21"/>
        </w:rPr>
        <w:t>a</w:t>
      </w:r>
      <w:r>
        <w:rPr>
          <w:spacing w:val="-2"/>
          <w:w w:val="100"/>
          <w:sz w:val="21"/>
        </w:rPr>
        <w:t>i</w:t>
      </w:r>
      <w:r>
        <w:rPr>
          <w:spacing w:val="-1"/>
          <w:w w:val="100"/>
          <w:sz w:val="21"/>
        </w:rPr>
        <w:t>n. </w:t>
      </w:r>
      <w:r>
        <w:rPr>
          <w:w w:val="100"/>
          <w:sz w:val="21"/>
        </w:rPr>
        <w:t>Th</w:t>
      </w:r>
      <w:r>
        <w:rPr>
          <w:spacing w:val="-2"/>
          <w:w w:val="100"/>
          <w:sz w:val="21"/>
        </w:rPr>
        <w:t>i</w:t>
      </w:r>
      <w:r>
        <w:rPr>
          <w:w w:val="100"/>
          <w:sz w:val="21"/>
        </w:rPr>
        <w:t>s</w:t>
      </w:r>
      <w:r>
        <w:rPr>
          <w:sz w:val="21"/>
        </w:rPr>
        <w:t> </w:t>
      </w:r>
      <w:r>
        <w:rPr>
          <w:spacing w:val="-7"/>
          <w:sz w:val="21"/>
        </w:rPr>
        <w:t> </w:t>
      </w:r>
      <w:r>
        <w:rPr>
          <w:spacing w:val="-2"/>
          <w:w w:val="100"/>
          <w:sz w:val="21"/>
        </w:rPr>
        <w:t>f</w:t>
      </w:r>
      <w:r>
        <w:rPr>
          <w:spacing w:val="-1"/>
          <w:w w:val="100"/>
          <w:sz w:val="21"/>
        </w:rPr>
        <w:t>o</w:t>
      </w:r>
      <w:r>
        <w:rPr>
          <w:spacing w:val="-3"/>
          <w:w w:val="100"/>
          <w:sz w:val="21"/>
        </w:rPr>
        <w:t>r</w:t>
      </w:r>
      <w:r>
        <w:rPr>
          <w:w w:val="100"/>
          <w:sz w:val="21"/>
        </w:rPr>
        <w:t>m</w:t>
      </w:r>
      <w:r>
        <w:rPr>
          <w:sz w:val="21"/>
        </w:rPr>
        <w:t> </w:t>
      </w:r>
      <w:r>
        <w:rPr>
          <w:spacing w:val="-5"/>
          <w:sz w:val="21"/>
        </w:rPr>
        <w:t> </w:t>
      </w:r>
      <w:r>
        <w:rPr>
          <w:spacing w:val="-3"/>
          <w:w w:val="100"/>
          <w:sz w:val="21"/>
        </w:rPr>
        <w:t>o</w:t>
      </w:r>
      <w:r>
        <w:rPr>
          <w:w w:val="100"/>
          <w:sz w:val="21"/>
        </w:rPr>
        <w:t>f</w:t>
      </w:r>
      <w:r>
        <w:rPr>
          <w:sz w:val="21"/>
        </w:rPr>
        <w:t> </w:t>
      </w:r>
      <w:r>
        <w:rPr>
          <w:spacing w:val="-6"/>
          <w:sz w:val="21"/>
        </w:rPr>
        <w:t> </w:t>
      </w:r>
      <w:r>
        <w:rPr>
          <w:spacing w:val="-2"/>
          <w:w w:val="100"/>
          <w:sz w:val="21"/>
        </w:rPr>
        <w:t>w</w:t>
      </w:r>
      <w:r>
        <w:rPr>
          <w:spacing w:val="-1"/>
          <w:w w:val="100"/>
          <w:sz w:val="21"/>
        </w:rPr>
        <w:t>or</w:t>
      </w:r>
      <w:r>
        <w:rPr>
          <w:spacing w:val="-3"/>
          <w:w w:val="100"/>
          <w:sz w:val="21"/>
        </w:rPr>
        <w:t>s</w:t>
      </w:r>
      <w:r>
        <w:rPr>
          <w:spacing w:val="-1"/>
          <w:w w:val="100"/>
          <w:sz w:val="21"/>
        </w:rPr>
        <w:t>h</w:t>
      </w:r>
      <w:r>
        <w:rPr>
          <w:spacing w:val="1"/>
          <w:w w:val="100"/>
          <w:sz w:val="21"/>
        </w:rPr>
        <w:t>i</w:t>
      </w:r>
      <w:r>
        <w:rPr>
          <w:spacing w:val="-3"/>
          <w:w w:val="100"/>
          <w:sz w:val="21"/>
        </w:rPr>
        <w:t>p</w:t>
      </w:r>
      <w:r>
        <w:rPr>
          <w:spacing w:val="-1"/>
          <w:w w:val="100"/>
          <w:sz w:val="21"/>
        </w:rPr>
        <w:t>p</w:t>
      </w:r>
      <w:r>
        <w:rPr>
          <w:spacing w:val="-2"/>
          <w:w w:val="100"/>
          <w:sz w:val="21"/>
        </w:rPr>
        <w:t>i</w:t>
      </w:r>
      <w:r>
        <w:rPr>
          <w:spacing w:val="-1"/>
          <w:w w:val="100"/>
          <w:sz w:val="21"/>
        </w:rPr>
        <w:t>n</w:t>
      </w:r>
      <w:r>
        <w:rPr>
          <w:w w:val="100"/>
          <w:sz w:val="21"/>
        </w:rPr>
        <w:t>g</w:t>
      </w:r>
      <w:r>
        <w:rPr>
          <w:sz w:val="21"/>
        </w:rPr>
        <w:t> </w:t>
      </w:r>
      <w:r>
        <w:rPr>
          <w:spacing w:val="-9"/>
          <w:sz w:val="21"/>
        </w:rPr>
        <w:t> </w:t>
      </w:r>
      <w:r>
        <w:rPr>
          <w:w w:val="100"/>
          <w:sz w:val="21"/>
        </w:rPr>
        <w:t>spa</w:t>
      </w:r>
      <w:r>
        <w:rPr>
          <w:spacing w:val="-3"/>
          <w:w w:val="100"/>
          <w:sz w:val="21"/>
        </w:rPr>
        <w:t>c</w:t>
      </w:r>
      <w:r>
        <w:rPr>
          <w:w w:val="100"/>
          <w:sz w:val="21"/>
        </w:rPr>
        <w:t>e</w:t>
      </w:r>
      <w:r>
        <w:rPr>
          <w:sz w:val="21"/>
        </w:rPr>
        <w:t> </w:t>
      </w:r>
      <w:r>
        <w:rPr>
          <w:spacing w:val="-7"/>
          <w:sz w:val="21"/>
        </w:rPr>
        <w:t> </w:t>
      </w:r>
      <w:r>
        <w:rPr>
          <w:spacing w:val="-2"/>
          <w:w w:val="100"/>
          <w:sz w:val="21"/>
        </w:rPr>
        <w:t>i</w:t>
      </w:r>
      <w:r>
        <w:rPr>
          <w:w w:val="100"/>
          <w:sz w:val="21"/>
        </w:rPr>
        <w:t>s</w:t>
      </w:r>
      <w:r>
        <w:rPr>
          <w:sz w:val="21"/>
        </w:rPr>
        <w:t> </w:t>
      </w:r>
      <w:r>
        <w:rPr>
          <w:spacing w:val="-7"/>
          <w:sz w:val="21"/>
        </w:rPr>
        <w:t> </w:t>
      </w:r>
      <w:r>
        <w:rPr>
          <w:w w:val="100"/>
          <w:sz w:val="21"/>
        </w:rPr>
        <w:t>c</w:t>
      </w:r>
      <w:r>
        <w:rPr>
          <w:spacing w:val="-3"/>
          <w:w w:val="100"/>
          <w:sz w:val="21"/>
        </w:rPr>
        <w:t>a</w:t>
      </w:r>
      <w:r>
        <w:rPr>
          <w:w w:val="100"/>
          <w:sz w:val="21"/>
        </w:rPr>
        <w:t>l</w:t>
      </w:r>
      <w:r>
        <w:rPr>
          <w:spacing w:val="-2"/>
          <w:w w:val="100"/>
          <w:sz w:val="21"/>
        </w:rPr>
        <w:t>l</w:t>
      </w:r>
      <w:r>
        <w:rPr>
          <w:spacing w:val="-1"/>
          <w:w w:val="100"/>
          <w:sz w:val="21"/>
        </w:rPr>
        <w:t>e</w:t>
      </w:r>
      <w:r>
        <w:rPr>
          <w:w w:val="100"/>
          <w:sz w:val="21"/>
        </w:rPr>
        <w:t>d</w:t>
      </w:r>
      <w:r>
        <w:rPr>
          <w:sz w:val="21"/>
        </w:rPr>
        <w:t> </w:t>
      </w:r>
      <w:r>
        <w:rPr>
          <w:spacing w:val="-7"/>
          <w:sz w:val="21"/>
        </w:rPr>
        <w:t> </w:t>
      </w:r>
      <w:r>
        <w:rPr>
          <w:spacing w:val="-2"/>
          <w:w w:val="100"/>
          <w:sz w:val="21"/>
        </w:rPr>
        <w:t>t</w:t>
      </w:r>
      <w:r>
        <w:rPr>
          <w:spacing w:val="-1"/>
          <w:w w:val="100"/>
          <w:sz w:val="21"/>
        </w:rPr>
        <w:t>h</w:t>
      </w:r>
      <w:r>
        <w:rPr>
          <w:w w:val="100"/>
          <w:sz w:val="21"/>
        </w:rPr>
        <w:t>e</w:t>
      </w:r>
      <w:r>
        <w:rPr>
          <w:sz w:val="21"/>
        </w:rPr>
        <w:t> </w:t>
      </w:r>
      <w:r>
        <w:rPr>
          <w:spacing w:val="-9"/>
          <w:sz w:val="21"/>
        </w:rPr>
        <w:t> </w:t>
      </w:r>
      <w:r>
        <w:rPr>
          <w:spacing w:val="-1"/>
          <w:w w:val="33"/>
          <w:sz w:val="21"/>
        </w:rPr>
        <w:t>―</w:t>
      </w:r>
      <w:r>
        <w:rPr>
          <w:spacing w:val="-2"/>
          <w:w w:val="100"/>
          <w:sz w:val="21"/>
        </w:rPr>
        <w:t>C</w:t>
      </w:r>
      <w:r>
        <w:rPr>
          <w:spacing w:val="-3"/>
          <w:w w:val="100"/>
          <w:sz w:val="21"/>
        </w:rPr>
        <w:t>h</w:t>
      </w:r>
      <w:r>
        <w:rPr>
          <w:w w:val="100"/>
          <w:sz w:val="21"/>
        </w:rPr>
        <w:t>i</w:t>
      </w:r>
      <w:r>
        <w:rPr>
          <w:spacing w:val="-1"/>
          <w:w w:val="100"/>
          <w:sz w:val="21"/>
        </w:rPr>
        <w:t>d</w:t>
      </w:r>
      <w:r>
        <w:rPr>
          <w:spacing w:val="-3"/>
          <w:w w:val="100"/>
          <w:sz w:val="21"/>
        </w:rPr>
        <w:t>a</w:t>
      </w:r>
      <w:r>
        <w:rPr>
          <w:spacing w:val="-1"/>
          <w:w w:val="100"/>
          <w:sz w:val="21"/>
        </w:rPr>
        <w:t>mbara </w:t>
      </w:r>
      <w:r>
        <w:rPr>
          <w:sz w:val="21"/>
        </w:rPr>
        <w:t>rahasyam‖, i.e. the secret of</w:t>
      </w:r>
      <w:r>
        <w:rPr>
          <w:spacing w:val="-17"/>
          <w:sz w:val="21"/>
        </w:rPr>
        <w:t> </w:t>
      </w:r>
      <w:r>
        <w:rPr>
          <w:sz w:val="21"/>
        </w:rPr>
        <w:t>Chidambaram.‖</w:t>
      </w:r>
    </w:p>
    <w:p>
      <w:pPr>
        <w:pStyle w:val="BodyText"/>
        <w:rPr>
          <w:sz w:val="24"/>
        </w:rPr>
      </w:pPr>
    </w:p>
    <w:p>
      <w:pPr>
        <w:pStyle w:val="BodyText"/>
        <w:spacing w:before="5"/>
        <w:rPr>
          <w:sz w:val="24"/>
        </w:rPr>
      </w:pPr>
    </w:p>
    <w:p>
      <w:pPr>
        <w:pStyle w:val="BodyText"/>
        <w:spacing w:line="480" w:lineRule="auto"/>
        <w:ind w:left="500" w:right="433"/>
        <w:jc w:val="both"/>
      </w:pPr>
      <w:r>
        <w:rPr/>
        <w:t>The decision supports Mr Parasaran‘s argument that there can exist a temple without an idol. An idol is one manifestation of the divine and it cannot be said that absent an idol, there exists no divinity to which prayer may be offered. However, the question before the Madras High Court was whether the appellant and his predecessors were the founders of the temple and whether it was a denominational temple for the purposes of state regulation of the temple‘s secular affairs. The High Court did not consider whether a temple could be a juristic person and the decision does not support Mr Parasaran‘s contention that the mere worship of empty land or ‗space‘, absent a physical manifestation could confer juristic personality. Moreover, the facts of the case are materially different from the present case as the Chidambaram Temple is a physical structure built around a specific spot that is considered holy. Despite the absence of an idol, the temple serves as the physical manifestation of the deity and demonstrates the institutional nature of the worship. This is in contrast to the present case. Worship is offered to the idol of Lord Ram. The disputed site is a site of religious significance, but that itself is not sufficient to confer juridical personality on the land.</w:t>
      </w:r>
    </w:p>
    <w:p>
      <w:pPr>
        <w:spacing w:after="0" w:line="480" w:lineRule="auto"/>
        <w:jc w:val="both"/>
        <w:sectPr>
          <w:pgSz w:w="11910" w:h="16840"/>
          <w:pgMar w:header="721" w:footer="1014" w:top="1300" w:bottom="1200" w:left="940" w:right="1000"/>
        </w:sectPr>
      </w:pPr>
    </w:p>
    <w:p>
      <w:pPr>
        <w:pStyle w:val="ListParagraph"/>
        <w:numPr>
          <w:ilvl w:val="0"/>
          <w:numId w:val="3"/>
        </w:numPr>
        <w:tabs>
          <w:tab w:pos="1221" w:val="left" w:leader="none"/>
        </w:tabs>
        <w:spacing w:line="480" w:lineRule="auto" w:before="121" w:after="0"/>
        <w:ind w:left="500" w:right="435" w:firstLine="0"/>
        <w:jc w:val="both"/>
        <w:rPr>
          <w:sz w:val="25"/>
        </w:rPr>
      </w:pPr>
      <w:r>
        <w:rPr>
          <w:sz w:val="25"/>
        </w:rPr>
        <w:t>Reliance was also placed on </w:t>
      </w:r>
      <w:r>
        <w:rPr>
          <w:b/>
          <w:sz w:val="25"/>
        </w:rPr>
        <w:t>Pichal alias Chockalingam Pillai </w:t>
      </w:r>
      <w:r>
        <w:rPr>
          <w:sz w:val="25"/>
        </w:rPr>
        <w:t>v </w:t>
      </w:r>
      <w:r>
        <w:rPr>
          <w:b/>
          <w:sz w:val="25"/>
        </w:rPr>
        <w:t>The Commissioner for Hindu Religions and Charitable Endowments (Administrations Department) Madras</w:t>
      </w:r>
      <w:r>
        <w:rPr>
          <w:sz w:val="25"/>
          <w:vertAlign w:val="superscript"/>
        </w:rPr>
        <w:t>116</w:t>
      </w:r>
      <w:r>
        <w:rPr>
          <w:sz w:val="25"/>
          <w:vertAlign w:val="baseline"/>
        </w:rPr>
        <w:t> to contend that a temple continues to be recognised as a site of public religious worship even absent the presence of an idol. The case concerned the Kalyansundareswarar temple in Avaniyapuram. In the early twentieth century, one Chockalingam Pillai executed a deed of dedication for the construction, installation and continued upkeep for four idols, including Sri Kalyansundareswar. Chockalingam Pillai died in 1926 and by virtue of a compromise deed in 1954 the appellants before the Madras High Court  came to be the managing trustees. The appellants were accused of failing in their upkeep and service of the idol and the Commissioner of Hindu Religions and Charitable Endowments framed a scheme to take over management of the temple. The appellants challenged the competence of the Commissioner on the ground that the temple was not a temple under Section 6(20) of the Madras Hindu Religious and Charitable Endowments Act 1959. The primary contention of the appellants was that the idols in the Kalyansundareswarar temple had not been duly installed and consecrated. Justice K Reddy speaking for the Division Bench of the Madras High Court held that the existence of an idol was not </w:t>
      </w:r>
      <w:r>
        <w:rPr>
          <w:w w:val="99"/>
          <w:sz w:val="25"/>
          <w:vertAlign w:val="baseline"/>
        </w:rPr>
        <w:t>ne</w:t>
      </w:r>
      <w:r>
        <w:rPr>
          <w:w w:val="99"/>
          <w:sz w:val="25"/>
          <w:vertAlign w:val="baseline"/>
        </w:rPr>
        <w:t>cessar</w:t>
      </w:r>
      <w:r>
        <w:rPr>
          <w:w w:val="99"/>
          <w:sz w:val="25"/>
          <w:vertAlign w:val="baseline"/>
        </w:rPr>
        <w:t>y</w:t>
      </w:r>
      <w:r>
        <w:rPr>
          <w:spacing w:val="23"/>
          <w:sz w:val="25"/>
          <w:vertAlign w:val="baseline"/>
        </w:rPr>
        <w:t> </w:t>
      </w:r>
      <w:r>
        <w:rPr>
          <w:w w:val="99"/>
          <w:sz w:val="25"/>
          <w:vertAlign w:val="baseline"/>
        </w:rPr>
        <w:t>for</w:t>
      </w:r>
      <w:r>
        <w:rPr>
          <w:spacing w:val="27"/>
          <w:sz w:val="25"/>
          <w:vertAlign w:val="baseline"/>
        </w:rPr>
        <w:t> </w:t>
      </w:r>
      <w:r>
        <w:rPr>
          <w:w w:val="99"/>
          <w:sz w:val="25"/>
          <w:vertAlign w:val="baseline"/>
        </w:rPr>
        <w:t>a</w:t>
      </w:r>
      <w:r>
        <w:rPr>
          <w:spacing w:val="26"/>
          <w:sz w:val="25"/>
          <w:vertAlign w:val="baseline"/>
        </w:rPr>
        <w:t> </w:t>
      </w:r>
      <w:r>
        <w:rPr>
          <w:w w:val="99"/>
          <w:sz w:val="25"/>
          <w:vertAlign w:val="baseline"/>
        </w:rPr>
        <w:t>p</w:t>
      </w:r>
      <w:r>
        <w:rPr>
          <w:spacing w:val="1"/>
          <w:w w:val="99"/>
          <w:sz w:val="25"/>
          <w:vertAlign w:val="baseline"/>
        </w:rPr>
        <w:t>l</w:t>
      </w:r>
      <w:r>
        <w:rPr>
          <w:spacing w:val="-1"/>
          <w:w w:val="99"/>
          <w:sz w:val="25"/>
          <w:vertAlign w:val="baseline"/>
        </w:rPr>
        <w:t>ac</w:t>
      </w:r>
      <w:r>
        <w:rPr>
          <w:w w:val="99"/>
          <w:sz w:val="25"/>
          <w:vertAlign w:val="baseline"/>
        </w:rPr>
        <w:t>e</w:t>
      </w:r>
      <w:r>
        <w:rPr>
          <w:spacing w:val="24"/>
          <w:sz w:val="25"/>
          <w:vertAlign w:val="baseline"/>
        </w:rPr>
        <w:t> </w:t>
      </w:r>
      <w:r>
        <w:rPr>
          <w:spacing w:val="-1"/>
          <w:w w:val="99"/>
          <w:sz w:val="25"/>
          <w:vertAlign w:val="baseline"/>
        </w:rPr>
        <w:t>o</w:t>
      </w:r>
      <w:r>
        <w:rPr>
          <w:w w:val="99"/>
          <w:sz w:val="25"/>
          <w:vertAlign w:val="baseline"/>
        </w:rPr>
        <w:t>f</w:t>
      </w:r>
      <w:r>
        <w:rPr>
          <w:spacing w:val="26"/>
          <w:sz w:val="25"/>
          <w:vertAlign w:val="baseline"/>
        </w:rPr>
        <w:t> </w:t>
      </w:r>
      <w:r>
        <w:rPr>
          <w:spacing w:val="-1"/>
          <w:w w:val="99"/>
          <w:sz w:val="25"/>
          <w:vertAlign w:val="baseline"/>
        </w:rPr>
        <w:t>p</w:t>
      </w:r>
      <w:r>
        <w:rPr>
          <w:w w:val="99"/>
          <w:sz w:val="25"/>
          <w:vertAlign w:val="baseline"/>
        </w:rPr>
        <w:t>u</w:t>
      </w:r>
      <w:r>
        <w:rPr>
          <w:spacing w:val="-1"/>
          <w:w w:val="99"/>
          <w:sz w:val="25"/>
          <w:vertAlign w:val="baseline"/>
        </w:rPr>
        <w:t>bli</w:t>
      </w:r>
      <w:r>
        <w:rPr>
          <w:w w:val="99"/>
          <w:sz w:val="25"/>
          <w:vertAlign w:val="baseline"/>
        </w:rPr>
        <w:t>c</w:t>
      </w:r>
      <w:r>
        <w:rPr>
          <w:spacing w:val="26"/>
          <w:sz w:val="25"/>
          <w:vertAlign w:val="baseline"/>
        </w:rPr>
        <w:t> </w:t>
      </w:r>
      <w:r>
        <w:rPr>
          <w:spacing w:val="-1"/>
          <w:w w:val="99"/>
          <w:sz w:val="25"/>
          <w:vertAlign w:val="baseline"/>
        </w:rPr>
        <w:t>w</w:t>
      </w:r>
      <w:r>
        <w:rPr>
          <w:spacing w:val="-3"/>
          <w:w w:val="99"/>
          <w:sz w:val="25"/>
          <w:vertAlign w:val="baseline"/>
        </w:rPr>
        <w:t>o</w:t>
      </w:r>
      <w:r>
        <w:rPr>
          <w:w w:val="99"/>
          <w:sz w:val="25"/>
          <w:vertAlign w:val="baseline"/>
        </w:rPr>
        <w:t>rship</w:t>
      </w:r>
      <w:r>
        <w:rPr>
          <w:spacing w:val="26"/>
          <w:sz w:val="25"/>
          <w:vertAlign w:val="baseline"/>
        </w:rPr>
        <w:t> </w:t>
      </w:r>
      <w:r>
        <w:rPr>
          <w:w w:val="99"/>
          <w:sz w:val="25"/>
          <w:vertAlign w:val="baseline"/>
        </w:rPr>
        <w:t>to</w:t>
      </w:r>
      <w:r>
        <w:rPr>
          <w:spacing w:val="22"/>
          <w:sz w:val="25"/>
          <w:vertAlign w:val="baseline"/>
        </w:rPr>
        <w:t> </w:t>
      </w:r>
      <w:r>
        <w:rPr>
          <w:spacing w:val="-1"/>
          <w:w w:val="99"/>
          <w:sz w:val="25"/>
          <w:vertAlign w:val="baseline"/>
        </w:rPr>
        <w:t>b</w:t>
      </w:r>
      <w:r>
        <w:rPr>
          <w:w w:val="99"/>
          <w:sz w:val="25"/>
          <w:vertAlign w:val="baseline"/>
        </w:rPr>
        <w:t>e</w:t>
      </w:r>
      <w:r>
        <w:rPr>
          <w:spacing w:val="26"/>
          <w:sz w:val="25"/>
          <w:vertAlign w:val="baseline"/>
        </w:rPr>
        <w:t> </w:t>
      </w:r>
      <w:r>
        <w:rPr>
          <w:w w:val="99"/>
          <w:sz w:val="25"/>
          <w:vertAlign w:val="baseline"/>
        </w:rPr>
        <w:t>a</w:t>
      </w:r>
      <w:r>
        <w:rPr>
          <w:spacing w:val="26"/>
          <w:sz w:val="25"/>
          <w:vertAlign w:val="baseline"/>
        </w:rPr>
        <w:t> </w:t>
      </w:r>
      <w:r>
        <w:rPr>
          <w:spacing w:val="-2"/>
          <w:w w:val="33"/>
          <w:sz w:val="25"/>
          <w:vertAlign w:val="baseline"/>
        </w:rPr>
        <w:t>―</w:t>
      </w:r>
      <w:r>
        <w:rPr>
          <w:w w:val="99"/>
          <w:sz w:val="25"/>
          <w:vertAlign w:val="baseline"/>
        </w:rPr>
        <w:t>te</w:t>
      </w:r>
      <w:r>
        <w:rPr>
          <w:spacing w:val="1"/>
          <w:w w:val="99"/>
          <w:sz w:val="25"/>
          <w:vertAlign w:val="baseline"/>
        </w:rPr>
        <w:t>m</w:t>
      </w:r>
      <w:r>
        <w:rPr>
          <w:spacing w:val="-1"/>
          <w:w w:val="95"/>
          <w:sz w:val="25"/>
          <w:vertAlign w:val="baseline"/>
        </w:rPr>
        <w:t>ple</w:t>
      </w:r>
      <w:r>
        <w:rPr>
          <w:w w:val="95"/>
          <w:sz w:val="25"/>
          <w:vertAlign w:val="baseline"/>
        </w:rPr>
        <w:t>‖</w:t>
      </w:r>
      <w:r>
        <w:rPr>
          <w:spacing w:val="25"/>
          <w:sz w:val="25"/>
          <w:vertAlign w:val="baseline"/>
        </w:rPr>
        <w:t> </w:t>
      </w:r>
      <w:r>
        <w:rPr>
          <w:spacing w:val="-1"/>
          <w:w w:val="99"/>
          <w:sz w:val="25"/>
          <w:vertAlign w:val="baseline"/>
        </w:rPr>
        <w:t>u</w:t>
      </w:r>
      <w:r>
        <w:rPr>
          <w:w w:val="99"/>
          <w:sz w:val="25"/>
          <w:vertAlign w:val="baseline"/>
        </w:rPr>
        <w:t>n</w:t>
      </w:r>
      <w:r>
        <w:rPr>
          <w:spacing w:val="-1"/>
          <w:w w:val="99"/>
          <w:sz w:val="25"/>
          <w:vertAlign w:val="baseline"/>
        </w:rPr>
        <w:t>d</w:t>
      </w:r>
      <w:r>
        <w:rPr>
          <w:w w:val="99"/>
          <w:sz w:val="25"/>
          <w:vertAlign w:val="baseline"/>
        </w:rPr>
        <w:t>er</w:t>
      </w:r>
      <w:r>
        <w:rPr>
          <w:spacing w:val="22"/>
          <w:sz w:val="25"/>
          <w:vertAlign w:val="baseline"/>
        </w:rPr>
        <w:t> </w:t>
      </w:r>
      <w:r>
        <w:rPr>
          <w:spacing w:val="-1"/>
          <w:w w:val="99"/>
          <w:sz w:val="25"/>
          <w:vertAlign w:val="baseline"/>
        </w:rPr>
        <w:t>Secti</w:t>
      </w:r>
      <w:r>
        <w:rPr>
          <w:w w:val="99"/>
          <w:sz w:val="25"/>
          <w:vertAlign w:val="baseline"/>
        </w:rPr>
        <w:t>on</w:t>
      </w:r>
      <w:r>
        <w:rPr>
          <w:spacing w:val="26"/>
          <w:sz w:val="25"/>
          <w:vertAlign w:val="baseline"/>
        </w:rPr>
        <w:t> </w:t>
      </w:r>
      <w:r>
        <w:rPr>
          <w:spacing w:val="-1"/>
          <w:w w:val="99"/>
          <w:sz w:val="25"/>
          <w:vertAlign w:val="baseline"/>
        </w:rPr>
        <w:t>6</w:t>
      </w:r>
      <w:r>
        <w:rPr>
          <w:w w:val="99"/>
          <w:sz w:val="25"/>
          <w:vertAlign w:val="baseline"/>
        </w:rPr>
        <w:t>(</w:t>
      </w:r>
      <w:r>
        <w:rPr>
          <w:spacing w:val="-1"/>
          <w:w w:val="99"/>
          <w:sz w:val="25"/>
          <w:vertAlign w:val="baseline"/>
        </w:rPr>
        <w:t>2</w:t>
      </w:r>
      <w:r>
        <w:rPr>
          <w:w w:val="99"/>
          <w:sz w:val="25"/>
          <w:vertAlign w:val="baseline"/>
        </w:rPr>
        <w:t>0)</w:t>
      </w:r>
      <w:r>
        <w:rPr>
          <w:spacing w:val="27"/>
          <w:sz w:val="25"/>
          <w:vertAlign w:val="baseline"/>
        </w:rPr>
        <w:t> </w:t>
      </w:r>
      <w:r>
        <w:rPr>
          <w:spacing w:val="-1"/>
          <w:w w:val="99"/>
          <w:sz w:val="25"/>
          <w:vertAlign w:val="baseline"/>
        </w:rPr>
        <w:t>of </w:t>
      </w:r>
      <w:r>
        <w:rPr>
          <w:sz w:val="25"/>
          <w:vertAlign w:val="baseline"/>
        </w:rPr>
        <w:t>the said Act. He further</w:t>
      </w:r>
      <w:r>
        <w:rPr>
          <w:spacing w:val="-3"/>
          <w:sz w:val="25"/>
          <w:vertAlign w:val="baseline"/>
        </w:rPr>
        <w:t> </w:t>
      </w:r>
      <w:r>
        <w:rPr>
          <w:sz w:val="25"/>
          <w:vertAlign w:val="baseline"/>
        </w:rPr>
        <w:t>observed:</w:t>
      </w:r>
    </w:p>
    <w:p>
      <w:pPr>
        <w:spacing w:line="276" w:lineRule="auto" w:before="3"/>
        <w:ind w:left="1940" w:right="2261" w:firstLine="0"/>
        <w:jc w:val="both"/>
        <w:rPr>
          <w:sz w:val="21"/>
        </w:rPr>
      </w:pPr>
      <w:r>
        <w:rPr>
          <w:spacing w:val="-1"/>
          <w:w w:val="33"/>
          <w:sz w:val="21"/>
        </w:rPr>
        <w:t>―</w:t>
      </w:r>
      <w:r>
        <w:rPr>
          <w:w w:val="100"/>
          <w:sz w:val="21"/>
        </w:rPr>
        <w:t>…</w:t>
      </w:r>
      <w:r>
        <w:rPr>
          <w:sz w:val="21"/>
        </w:rPr>
        <w:t> </w:t>
      </w:r>
      <w:r>
        <w:rPr>
          <w:spacing w:val="-9"/>
          <w:sz w:val="21"/>
        </w:rPr>
        <w:t> </w:t>
      </w:r>
      <w:r>
        <w:rPr>
          <w:spacing w:val="-2"/>
          <w:w w:val="100"/>
          <w:sz w:val="21"/>
        </w:rPr>
        <w:t>I</w:t>
      </w:r>
      <w:r>
        <w:rPr>
          <w:w w:val="100"/>
          <w:sz w:val="21"/>
        </w:rPr>
        <w:t>t</w:t>
      </w:r>
      <w:r>
        <w:rPr>
          <w:sz w:val="21"/>
        </w:rPr>
        <w:t> </w:t>
      </w:r>
      <w:r>
        <w:rPr>
          <w:spacing w:val="-10"/>
          <w:sz w:val="21"/>
        </w:rPr>
        <w:t> </w:t>
      </w:r>
      <w:r>
        <w:rPr>
          <w:spacing w:val="-1"/>
          <w:w w:val="100"/>
          <w:sz w:val="21"/>
        </w:rPr>
        <w:t>doe</w:t>
      </w:r>
      <w:r>
        <w:rPr>
          <w:w w:val="100"/>
          <w:sz w:val="21"/>
        </w:rPr>
        <w:t>s</w:t>
      </w:r>
      <w:r>
        <w:rPr>
          <w:sz w:val="21"/>
        </w:rPr>
        <w:t> </w:t>
      </w:r>
      <w:r>
        <w:rPr>
          <w:spacing w:val="-11"/>
          <w:sz w:val="21"/>
        </w:rPr>
        <w:t> </w:t>
      </w:r>
      <w:r>
        <w:rPr>
          <w:spacing w:val="-1"/>
          <w:w w:val="100"/>
          <w:sz w:val="21"/>
        </w:rPr>
        <w:t>no</w:t>
      </w:r>
      <w:r>
        <w:rPr>
          <w:w w:val="100"/>
          <w:sz w:val="21"/>
        </w:rPr>
        <w:t>t</w:t>
      </w:r>
      <w:r>
        <w:rPr>
          <w:sz w:val="21"/>
        </w:rPr>
        <w:t> </w:t>
      </w:r>
      <w:r>
        <w:rPr>
          <w:spacing w:val="-10"/>
          <w:sz w:val="21"/>
        </w:rPr>
        <w:t> </w:t>
      </w:r>
      <w:r>
        <w:rPr>
          <w:spacing w:val="-3"/>
          <w:w w:val="100"/>
          <w:sz w:val="21"/>
        </w:rPr>
        <w:t>a</w:t>
      </w:r>
      <w:r>
        <w:rPr>
          <w:spacing w:val="-1"/>
          <w:w w:val="100"/>
          <w:sz w:val="21"/>
        </w:rPr>
        <w:t>pp</w:t>
      </w:r>
      <w:r>
        <w:rPr>
          <w:spacing w:val="-2"/>
          <w:w w:val="100"/>
          <w:sz w:val="21"/>
        </w:rPr>
        <w:t>e</w:t>
      </w:r>
      <w:r>
        <w:rPr>
          <w:spacing w:val="-1"/>
          <w:w w:val="100"/>
          <w:sz w:val="21"/>
        </w:rPr>
        <w:t>a</w:t>
      </w:r>
      <w:r>
        <w:rPr>
          <w:w w:val="100"/>
          <w:sz w:val="21"/>
        </w:rPr>
        <w:t>r</w:t>
      </w:r>
      <w:r>
        <w:rPr>
          <w:sz w:val="21"/>
        </w:rPr>
        <w:t> </w:t>
      </w:r>
      <w:r>
        <w:rPr>
          <w:spacing w:val="-10"/>
          <w:sz w:val="21"/>
        </w:rPr>
        <w:t> </w:t>
      </w:r>
      <w:r>
        <w:rPr>
          <w:spacing w:val="-2"/>
          <w:w w:val="100"/>
          <w:sz w:val="21"/>
        </w:rPr>
        <w:t>t</w:t>
      </w:r>
      <w:r>
        <w:rPr>
          <w:spacing w:val="-1"/>
          <w:w w:val="100"/>
          <w:sz w:val="21"/>
        </w:rPr>
        <w:t>ha</w:t>
      </w:r>
      <w:r>
        <w:rPr>
          <w:w w:val="100"/>
          <w:sz w:val="21"/>
        </w:rPr>
        <w:t>t</w:t>
      </w:r>
      <w:r>
        <w:rPr>
          <w:sz w:val="21"/>
        </w:rPr>
        <w:t> </w:t>
      </w:r>
      <w:r>
        <w:rPr>
          <w:spacing w:val="-10"/>
          <w:sz w:val="21"/>
        </w:rPr>
        <w:t> </w:t>
      </w:r>
      <w:r>
        <w:rPr>
          <w:spacing w:val="-2"/>
          <w:w w:val="100"/>
          <w:sz w:val="21"/>
        </w:rPr>
        <w:t>t</w:t>
      </w:r>
      <w:r>
        <w:rPr>
          <w:spacing w:val="-1"/>
          <w:w w:val="100"/>
          <w:sz w:val="21"/>
        </w:rPr>
        <w:t>h</w:t>
      </w:r>
      <w:r>
        <w:rPr>
          <w:w w:val="100"/>
          <w:sz w:val="21"/>
        </w:rPr>
        <w:t>e</w:t>
      </w:r>
      <w:r>
        <w:rPr>
          <w:sz w:val="21"/>
        </w:rPr>
        <w:t> </w:t>
      </w:r>
      <w:r>
        <w:rPr>
          <w:spacing w:val="-9"/>
          <w:sz w:val="21"/>
        </w:rPr>
        <w:t> </w:t>
      </w:r>
      <w:r>
        <w:rPr>
          <w:spacing w:val="-3"/>
          <w:w w:val="100"/>
          <w:sz w:val="21"/>
        </w:rPr>
        <w:t>a</w:t>
      </w:r>
      <w:r>
        <w:rPr>
          <w:spacing w:val="1"/>
          <w:w w:val="100"/>
          <w:sz w:val="21"/>
        </w:rPr>
        <w:t>f</w:t>
      </w:r>
      <w:r>
        <w:rPr>
          <w:spacing w:val="-1"/>
          <w:w w:val="100"/>
          <w:sz w:val="21"/>
        </w:rPr>
        <w:t>o</w:t>
      </w:r>
      <w:r>
        <w:rPr>
          <w:spacing w:val="-3"/>
          <w:w w:val="100"/>
          <w:sz w:val="21"/>
        </w:rPr>
        <w:t>r</w:t>
      </w:r>
      <w:r>
        <w:rPr>
          <w:spacing w:val="-1"/>
          <w:w w:val="100"/>
          <w:sz w:val="21"/>
        </w:rPr>
        <w:t>es</w:t>
      </w:r>
      <w:r>
        <w:rPr>
          <w:spacing w:val="-3"/>
          <w:w w:val="100"/>
          <w:sz w:val="21"/>
        </w:rPr>
        <w:t>a</w:t>
      </w:r>
      <w:r>
        <w:rPr>
          <w:w w:val="100"/>
          <w:sz w:val="21"/>
        </w:rPr>
        <w:t>id</w:t>
      </w:r>
      <w:r>
        <w:rPr>
          <w:sz w:val="21"/>
        </w:rPr>
        <w:t> </w:t>
      </w:r>
      <w:r>
        <w:rPr>
          <w:spacing w:val="-12"/>
          <w:sz w:val="21"/>
        </w:rPr>
        <w:t> </w:t>
      </w:r>
      <w:r>
        <w:rPr>
          <w:w w:val="100"/>
          <w:sz w:val="21"/>
        </w:rPr>
        <w:t>i</w:t>
      </w:r>
      <w:r>
        <w:rPr>
          <w:spacing w:val="-1"/>
          <w:w w:val="100"/>
          <w:sz w:val="21"/>
        </w:rPr>
        <w:t>d</w:t>
      </w:r>
      <w:r>
        <w:rPr>
          <w:spacing w:val="-3"/>
          <w:w w:val="100"/>
          <w:sz w:val="21"/>
        </w:rPr>
        <w:t>o</w:t>
      </w:r>
      <w:r>
        <w:rPr>
          <w:w w:val="100"/>
          <w:sz w:val="21"/>
        </w:rPr>
        <w:t>ls</w:t>
      </w:r>
      <w:r>
        <w:rPr>
          <w:sz w:val="21"/>
        </w:rPr>
        <w:t> </w:t>
      </w:r>
      <w:r>
        <w:rPr>
          <w:spacing w:val="-12"/>
          <w:sz w:val="21"/>
        </w:rPr>
        <w:t> </w:t>
      </w:r>
      <w:r>
        <w:rPr>
          <w:spacing w:val="-2"/>
          <w:w w:val="100"/>
          <w:sz w:val="21"/>
        </w:rPr>
        <w:t>i</w:t>
      </w:r>
      <w:r>
        <w:rPr>
          <w:w w:val="100"/>
          <w:sz w:val="21"/>
        </w:rPr>
        <w:t>n</w:t>
      </w:r>
      <w:r>
        <w:rPr>
          <w:sz w:val="21"/>
        </w:rPr>
        <w:t> </w:t>
      </w:r>
      <w:r>
        <w:rPr>
          <w:spacing w:val="-9"/>
          <w:sz w:val="21"/>
        </w:rPr>
        <w:t> </w:t>
      </w:r>
      <w:r>
        <w:rPr>
          <w:spacing w:val="-2"/>
          <w:w w:val="100"/>
          <w:sz w:val="21"/>
        </w:rPr>
        <w:t>t</w:t>
      </w:r>
      <w:r>
        <w:rPr>
          <w:spacing w:val="-1"/>
          <w:w w:val="100"/>
          <w:sz w:val="21"/>
        </w:rPr>
        <w:t>h</w:t>
      </w:r>
      <w:r>
        <w:rPr>
          <w:w w:val="100"/>
          <w:sz w:val="21"/>
        </w:rPr>
        <w:t>e</w:t>
      </w:r>
      <w:r>
        <w:rPr>
          <w:sz w:val="21"/>
        </w:rPr>
        <w:t> </w:t>
      </w:r>
      <w:r>
        <w:rPr>
          <w:spacing w:val="-9"/>
          <w:sz w:val="21"/>
        </w:rPr>
        <w:t> </w:t>
      </w:r>
      <w:r>
        <w:rPr>
          <w:spacing w:val="-3"/>
          <w:w w:val="100"/>
          <w:sz w:val="21"/>
        </w:rPr>
        <w:t>s</w:t>
      </w:r>
      <w:r>
        <w:rPr>
          <w:spacing w:val="-1"/>
          <w:w w:val="100"/>
          <w:sz w:val="21"/>
        </w:rPr>
        <w:t>a</w:t>
      </w:r>
      <w:r>
        <w:rPr>
          <w:spacing w:val="-2"/>
          <w:w w:val="100"/>
          <w:sz w:val="21"/>
        </w:rPr>
        <w:t>i</w:t>
      </w:r>
      <w:r>
        <w:rPr>
          <w:w w:val="100"/>
          <w:sz w:val="21"/>
        </w:rPr>
        <w:t>d </w:t>
      </w:r>
      <w:r>
        <w:rPr>
          <w:sz w:val="21"/>
        </w:rPr>
        <w:t>temples have been installed and consecrated according  to the rituals and ceremonies enjoined by Agama Sastras. They have become places of public religious worship by long use of the place as such by the Hindu community. </w:t>
      </w:r>
      <w:r>
        <w:rPr>
          <w:spacing w:val="3"/>
          <w:sz w:val="21"/>
        </w:rPr>
        <w:t>We </w:t>
      </w:r>
      <w:r>
        <w:rPr>
          <w:sz w:val="21"/>
        </w:rPr>
        <w:t>are, therefore, of the view that the installation and consecration of idols with ceremonies like</w:t>
      </w:r>
      <w:r>
        <w:rPr>
          <w:spacing w:val="16"/>
          <w:sz w:val="21"/>
        </w:rPr>
        <w:t> </w:t>
      </w:r>
      <w:r>
        <w:rPr>
          <w:i/>
          <w:sz w:val="21"/>
        </w:rPr>
        <w:t>Prana pratishta </w:t>
      </w:r>
      <w:r>
        <w:rPr>
          <w:sz w:val="21"/>
        </w:rPr>
        <w:t>etc, prescribed by Hindu</w:t>
      </w:r>
    </w:p>
    <w:p>
      <w:pPr>
        <w:pStyle w:val="BodyText"/>
        <w:spacing w:before="4"/>
        <w:rPr>
          <w:sz w:val="13"/>
        </w:rPr>
      </w:pPr>
      <w:r>
        <w:rPr/>
        <w:pict>
          <v:rect style="position:absolute;margin-left:72.024002pt;margin-top:9.631751pt;width:144.020pt;height:.599980pt;mso-position-horizontal-relative:page;mso-position-vertical-relative:paragraph;z-index:-1569382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116</w:t>
      </w:r>
      <w:r>
        <w:rPr>
          <w:sz w:val="18"/>
          <w:vertAlign w:val="baseline"/>
        </w:rPr>
        <w:t> AIR 1971 Mad 405</w:t>
      </w:r>
    </w:p>
    <w:p>
      <w:pPr>
        <w:spacing w:after="0"/>
        <w:jc w:val="left"/>
        <w:rPr>
          <w:sz w:val="18"/>
        </w:rPr>
        <w:sectPr>
          <w:pgSz w:w="11910" w:h="16840"/>
          <w:pgMar w:header="721" w:footer="1014" w:top="1300" w:bottom="1200" w:left="940" w:right="1000"/>
        </w:sectPr>
      </w:pPr>
    </w:p>
    <w:p>
      <w:pPr>
        <w:spacing w:line="276" w:lineRule="auto" w:before="122"/>
        <w:ind w:left="1940" w:right="2264" w:firstLine="0"/>
        <w:jc w:val="left"/>
        <w:rPr>
          <w:sz w:val="21"/>
        </w:rPr>
      </w:pPr>
      <w:r>
        <w:rPr>
          <w:sz w:val="21"/>
        </w:rPr>
        <w:t>Sastras is not the </w:t>
      </w:r>
      <w:r>
        <w:rPr>
          <w:i/>
          <w:sz w:val="21"/>
        </w:rPr>
        <w:t>sine qua non </w:t>
      </w:r>
      <w:r>
        <w:rPr>
          <w:sz w:val="21"/>
        </w:rPr>
        <w:t>for public religious worship. In any event, it is not a legal requisite under the definition of a</w:t>
      </w:r>
    </w:p>
    <w:p>
      <w:pPr>
        <w:spacing w:line="241" w:lineRule="exact" w:before="0"/>
        <w:ind w:left="1940" w:right="0" w:firstLine="0"/>
        <w:jc w:val="left"/>
        <w:rPr>
          <w:sz w:val="21"/>
        </w:rPr>
      </w:pPr>
      <w:r>
        <w:rPr>
          <w:w w:val="40"/>
          <w:sz w:val="21"/>
        </w:rPr>
        <w:t>‗</w:t>
      </w:r>
      <w:r>
        <w:rPr>
          <w:spacing w:val="-2"/>
          <w:w w:val="100"/>
          <w:sz w:val="21"/>
        </w:rPr>
        <w:t>t</w:t>
      </w:r>
      <w:r>
        <w:rPr>
          <w:spacing w:val="-3"/>
          <w:w w:val="100"/>
          <w:sz w:val="21"/>
        </w:rPr>
        <w:t>e</w:t>
      </w:r>
      <w:r>
        <w:rPr>
          <w:spacing w:val="1"/>
          <w:w w:val="100"/>
          <w:sz w:val="21"/>
        </w:rPr>
        <w:t>m</w:t>
      </w:r>
      <w:r>
        <w:rPr>
          <w:spacing w:val="-3"/>
          <w:w w:val="100"/>
          <w:sz w:val="21"/>
        </w:rPr>
        <w:t>p</w:t>
      </w:r>
      <w:r>
        <w:rPr>
          <w:w w:val="100"/>
          <w:sz w:val="21"/>
        </w:rPr>
        <w:t>l</w:t>
      </w:r>
      <w:r>
        <w:rPr>
          <w:spacing w:val="-1"/>
          <w:w w:val="100"/>
          <w:sz w:val="21"/>
        </w:rPr>
        <w:t>e</w:t>
      </w:r>
      <w:r>
        <w:rPr>
          <w:w w:val="100"/>
          <w:sz w:val="21"/>
        </w:rPr>
        <w:t>‘</w:t>
      </w:r>
      <w:r>
        <w:rPr>
          <w:spacing w:val="-3"/>
          <w:sz w:val="21"/>
        </w:rPr>
        <w:t> </w:t>
      </w:r>
      <w:r>
        <w:rPr>
          <w:w w:val="100"/>
          <w:sz w:val="21"/>
        </w:rPr>
        <w:t>in</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2"/>
          <w:w w:val="100"/>
          <w:sz w:val="21"/>
        </w:rPr>
        <w:t>A</w:t>
      </w:r>
      <w:r>
        <w:rPr>
          <w:w w:val="100"/>
          <w:sz w:val="21"/>
        </w:rPr>
        <w:t>c</w:t>
      </w:r>
      <w:r>
        <w:rPr>
          <w:spacing w:val="-2"/>
          <w:w w:val="100"/>
          <w:sz w:val="21"/>
        </w:rPr>
        <w:t>t</w:t>
      </w:r>
      <w:r>
        <w:rPr>
          <w:w w:val="94"/>
          <w:sz w:val="21"/>
        </w:rPr>
        <w:t>…‖</w:t>
      </w:r>
    </w:p>
    <w:p>
      <w:pPr>
        <w:pStyle w:val="BodyText"/>
        <w:rPr>
          <w:sz w:val="24"/>
        </w:rPr>
      </w:pPr>
    </w:p>
    <w:p>
      <w:pPr>
        <w:pStyle w:val="BodyText"/>
        <w:spacing w:before="4"/>
        <w:rPr>
          <w:sz w:val="24"/>
        </w:rPr>
      </w:pPr>
    </w:p>
    <w:p>
      <w:pPr>
        <w:pStyle w:val="BodyText"/>
        <w:spacing w:line="480" w:lineRule="auto" w:before="1"/>
        <w:ind w:left="500" w:right="439"/>
        <w:jc w:val="both"/>
      </w:pPr>
      <w:r>
        <w:rPr/>
        <w:t>Two points must be noted: First, the observations of the Court are made in the context of satisfying a pre-existing statutory definition of a ‗temple‘. It is in this context, that the Madras High Court notes that the existence of an idol is not a pre-requisite to satisfy the statutory definition of a temple. Second, the case does not discuss the question whether a temple, even absent an idol, can be a juristic person. It is pertinent to note that absent an idol, the </w:t>
      </w:r>
      <w:r>
        <w:rPr>
          <w:i/>
        </w:rPr>
        <w:t>temple </w:t>
      </w:r>
      <w:r>
        <w:rPr/>
        <w:t>itself had existed for several years. In light of these observations, the decision does not support Mr Parasaran‘s argument that absent an idol or any express form of manifestation or recognition, land can constitute a juristic person.</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1" w:after="0"/>
        <w:ind w:left="500" w:right="435" w:firstLine="0"/>
        <w:jc w:val="both"/>
        <w:rPr>
          <w:sz w:val="25"/>
        </w:rPr>
      </w:pPr>
      <w:r>
        <w:rPr>
          <w:sz w:val="25"/>
        </w:rPr>
        <w:t>Mr Parasaran relied on the decision in </w:t>
      </w:r>
      <w:r>
        <w:rPr>
          <w:b/>
          <w:sz w:val="25"/>
        </w:rPr>
        <w:t>Saraswathi Ammal </w:t>
      </w:r>
      <w:r>
        <w:rPr>
          <w:sz w:val="25"/>
        </w:rPr>
        <w:t>v </w:t>
      </w:r>
      <w:r>
        <w:rPr>
          <w:b/>
          <w:sz w:val="25"/>
        </w:rPr>
        <w:t>Rajagopal Ammal</w:t>
      </w:r>
      <w:r>
        <w:rPr>
          <w:sz w:val="25"/>
          <w:vertAlign w:val="superscript"/>
        </w:rPr>
        <w:t>117</w:t>
      </w:r>
      <w:r>
        <w:rPr>
          <w:sz w:val="25"/>
          <w:vertAlign w:val="baseline"/>
        </w:rPr>
        <w:t> to argue that the widespread belief and worship of the land styled as Ram Janmbhumi is sufficient to recognise it as a juristic person. The case concerned a settlement deed whereby a widow dedicated in perpetuity the revenue</w:t>
      </w:r>
      <w:r>
        <w:rPr>
          <w:spacing w:val="36"/>
          <w:sz w:val="25"/>
          <w:vertAlign w:val="baseline"/>
        </w:rPr>
        <w:t> </w:t>
      </w:r>
      <w:r>
        <w:rPr>
          <w:sz w:val="25"/>
          <w:vertAlign w:val="baseline"/>
        </w:rPr>
        <w:t>of</w:t>
      </w:r>
      <w:r>
        <w:rPr>
          <w:spacing w:val="37"/>
          <w:sz w:val="25"/>
          <w:vertAlign w:val="baseline"/>
        </w:rPr>
        <w:t> </w:t>
      </w:r>
      <w:r>
        <w:rPr>
          <w:sz w:val="25"/>
          <w:vertAlign w:val="baseline"/>
        </w:rPr>
        <w:t>certain</w:t>
      </w:r>
      <w:r>
        <w:rPr>
          <w:spacing w:val="37"/>
          <w:sz w:val="25"/>
          <w:vertAlign w:val="baseline"/>
        </w:rPr>
        <w:t> </w:t>
      </w:r>
      <w:r>
        <w:rPr>
          <w:sz w:val="25"/>
          <w:vertAlign w:val="baseline"/>
        </w:rPr>
        <w:t>immovable</w:t>
      </w:r>
      <w:r>
        <w:rPr>
          <w:spacing w:val="37"/>
          <w:sz w:val="25"/>
          <w:vertAlign w:val="baseline"/>
        </w:rPr>
        <w:t> </w:t>
      </w:r>
      <w:r>
        <w:rPr>
          <w:sz w:val="25"/>
          <w:vertAlign w:val="baseline"/>
        </w:rPr>
        <w:t>properties</w:t>
      </w:r>
      <w:r>
        <w:rPr>
          <w:spacing w:val="37"/>
          <w:sz w:val="25"/>
          <w:vertAlign w:val="baseline"/>
        </w:rPr>
        <w:t> </w:t>
      </w:r>
      <w:r>
        <w:rPr>
          <w:sz w:val="25"/>
          <w:vertAlign w:val="baseline"/>
        </w:rPr>
        <w:t>for</w:t>
      </w:r>
      <w:r>
        <w:rPr>
          <w:spacing w:val="38"/>
          <w:sz w:val="25"/>
          <w:vertAlign w:val="baseline"/>
        </w:rPr>
        <w:t> </w:t>
      </w:r>
      <w:r>
        <w:rPr>
          <w:sz w:val="25"/>
          <w:vertAlign w:val="baseline"/>
        </w:rPr>
        <w:t>the</w:t>
      </w:r>
      <w:r>
        <w:rPr>
          <w:spacing w:val="37"/>
          <w:sz w:val="25"/>
          <w:vertAlign w:val="baseline"/>
        </w:rPr>
        <w:t> </w:t>
      </w:r>
      <w:r>
        <w:rPr>
          <w:sz w:val="25"/>
          <w:vertAlign w:val="baseline"/>
        </w:rPr>
        <w:t>performance</w:t>
      </w:r>
      <w:r>
        <w:rPr>
          <w:spacing w:val="37"/>
          <w:sz w:val="25"/>
          <w:vertAlign w:val="baseline"/>
        </w:rPr>
        <w:t> </w:t>
      </w:r>
      <w:r>
        <w:rPr>
          <w:sz w:val="25"/>
          <w:vertAlign w:val="baseline"/>
        </w:rPr>
        <w:t>of</w:t>
      </w:r>
      <w:r>
        <w:rPr>
          <w:spacing w:val="37"/>
          <w:sz w:val="25"/>
          <w:vertAlign w:val="baseline"/>
        </w:rPr>
        <w:t> </w:t>
      </w:r>
      <w:r>
        <w:rPr>
          <w:sz w:val="25"/>
          <w:vertAlign w:val="baseline"/>
        </w:rPr>
        <w:t>daily</w:t>
      </w:r>
      <w:r>
        <w:rPr>
          <w:spacing w:val="34"/>
          <w:sz w:val="25"/>
          <w:vertAlign w:val="baseline"/>
        </w:rPr>
        <w:t> </w:t>
      </w:r>
      <w:r>
        <w:rPr>
          <w:sz w:val="25"/>
          <w:vertAlign w:val="baseline"/>
        </w:rPr>
        <w:t>puja</w:t>
      </w:r>
      <w:r>
        <w:rPr>
          <w:spacing w:val="37"/>
          <w:sz w:val="25"/>
          <w:vertAlign w:val="baseline"/>
        </w:rPr>
        <w:t> </w:t>
      </w:r>
      <w:r>
        <w:rPr>
          <w:sz w:val="25"/>
          <w:vertAlign w:val="baseline"/>
        </w:rPr>
        <w:t>and</w:t>
      </w:r>
    </w:p>
    <w:p>
      <w:pPr>
        <w:pStyle w:val="BodyText"/>
        <w:spacing w:line="480" w:lineRule="auto" w:before="3"/>
        <w:ind w:left="500" w:right="436"/>
        <w:jc w:val="both"/>
      </w:pPr>
      <w:r>
        <w:rPr/>
        <w:t>‗Gurupuja‘ of her former husband‘s tomb. It was urged by the appellants in the case that the dedication was for the performance of puja and an annual ‗sradh‘ on a significant scale, and the dedication was thus for a religious and charitable purpose. In rejecting this contention, Justice B Jagannadhadas, speaking for a three judge Bench of this Court observed:</w:t>
      </w:r>
    </w:p>
    <w:p>
      <w:pPr>
        <w:spacing w:line="273" w:lineRule="auto" w:before="0"/>
        <w:ind w:left="1940" w:right="2262" w:firstLine="0"/>
        <w:jc w:val="left"/>
        <w:rPr>
          <w:sz w:val="21"/>
        </w:rPr>
      </w:pPr>
      <w:r>
        <w:rPr>
          <w:w w:val="33"/>
          <w:sz w:val="21"/>
        </w:rPr>
        <w:t>―</w:t>
      </w:r>
      <w:r>
        <w:rPr>
          <w:w w:val="100"/>
          <w:sz w:val="21"/>
        </w:rPr>
        <w:t>6</w:t>
      </w:r>
      <w:r>
        <w:rPr>
          <w:w w:val="100"/>
          <w:sz w:val="21"/>
        </w:rPr>
        <w:t>…To</w:t>
      </w:r>
      <w:r>
        <w:rPr>
          <w:sz w:val="21"/>
        </w:rPr>
        <w:t>  </w:t>
      </w:r>
      <w:r>
        <w:rPr>
          <w:w w:val="100"/>
          <w:sz w:val="21"/>
        </w:rPr>
        <w:t>the</w:t>
      </w:r>
      <w:r>
        <w:rPr>
          <w:sz w:val="21"/>
        </w:rPr>
        <w:t>  </w:t>
      </w:r>
      <w:r>
        <w:rPr>
          <w:w w:val="100"/>
          <w:sz w:val="21"/>
        </w:rPr>
        <w:t>extent,</w:t>
      </w:r>
      <w:r>
        <w:rPr>
          <w:sz w:val="21"/>
        </w:rPr>
        <w:t> </w:t>
      </w:r>
      <w:r>
        <w:rPr>
          <w:w w:val="100"/>
          <w:sz w:val="21"/>
        </w:rPr>
        <w:t>therefore,</w:t>
      </w:r>
      <w:r>
        <w:rPr>
          <w:sz w:val="21"/>
        </w:rPr>
        <w:t> </w:t>
      </w:r>
      <w:r>
        <w:rPr>
          <w:w w:val="100"/>
          <w:sz w:val="21"/>
        </w:rPr>
        <w:t>that</w:t>
      </w:r>
      <w:r>
        <w:rPr>
          <w:sz w:val="21"/>
        </w:rPr>
        <w:t>  </w:t>
      </w:r>
      <w:r>
        <w:rPr>
          <w:w w:val="100"/>
          <w:sz w:val="21"/>
        </w:rPr>
        <w:t>any</w:t>
      </w:r>
      <w:r>
        <w:rPr>
          <w:sz w:val="21"/>
        </w:rPr>
        <w:t> </w:t>
      </w:r>
      <w:r>
        <w:rPr>
          <w:w w:val="100"/>
          <w:sz w:val="21"/>
        </w:rPr>
        <w:t>purpose</w:t>
      </w:r>
      <w:r>
        <w:rPr>
          <w:sz w:val="21"/>
        </w:rPr>
        <w:t> </w:t>
      </w:r>
      <w:r>
        <w:rPr>
          <w:w w:val="100"/>
          <w:sz w:val="21"/>
        </w:rPr>
        <w:t>is</w:t>
      </w:r>
      <w:r>
        <w:rPr>
          <w:sz w:val="21"/>
        </w:rPr>
        <w:t> </w:t>
      </w:r>
      <w:r>
        <w:rPr>
          <w:w w:val="100"/>
          <w:sz w:val="21"/>
        </w:rPr>
        <w:t>claimed</w:t>
      </w:r>
      <w:r>
        <w:rPr>
          <w:sz w:val="21"/>
        </w:rPr>
        <w:t>  </w:t>
      </w:r>
      <w:r>
        <w:rPr>
          <w:w w:val="100"/>
          <w:sz w:val="21"/>
        </w:rPr>
        <w:t>to </w:t>
      </w:r>
      <w:r>
        <w:rPr>
          <w:sz w:val="21"/>
        </w:rPr>
        <w:t>be a valid one for perpetual dedication on the ground of</w:t>
      </w:r>
    </w:p>
    <w:p>
      <w:pPr>
        <w:pStyle w:val="BodyText"/>
        <w:spacing w:before="9"/>
        <w:rPr>
          <w:sz w:val="16"/>
        </w:rPr>
      </w:pPr>
      <w:r>
        <w:rPr/>
        <w:pict>
          <v:rect style="position:absolute;margin-left:72.024002pt;margin-top:11.611915pt;width:144.020pt;height:.599980pt;mso-position-horizontal-relative:page;mso-position-vertical-relative:paragraph;z-index:-1569331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117</w:t>
      </w:r>
      <w:r>
        <w:rPr>
          <w:sz w:val="18"/>
          <w:vertAlign w:val="baseline"/>
        </w:rPr>
        <w:t> 1954 SCR 277</w:t>
      </w:r>
    </w:p>
    <w:p>
      <w:pPr>
        <w:spacing w:after="0"/>
        <w:jc w:val="left"/>
        <w:rPr>
          <w:sz w:val="18"/>
        </w:rPr>
        <w:sectPr>
          <w:headerReference w:type="default" r:id="rId70"/>
          <w:footerReference w:type="default" r:id="rId71"/>
          <w:pgSz w:w="11910" w:h="16840"/>
          <w:pgMar w:header="721" w:footer="1014" w:top="1300" w:bottom="1200" w:left="940" w:right="1000"/>
          <w:pgNumType w:start="208"/>
        </w:sectPr>
      </w:pPr>
    </w:p>
    <w:p>
      <w:pPr>
        <w:tabs>
          <w:tab w:pos="5534" w:val="left" w:leader="none"/>
        </w:tabs>
        <w:spacing w:line="276" w:lineRule="auto" w:before="122"/>
        <w:ind w:left="1940" w:right="2262" w:firstLine="0"/>
        <w:jc w:val="both"/>
        <w:rPr>
          <w:sz w:val="21"/>
        </w:rPr>
      </w:pPr>
      <w:r>
        <w:rPr>
          <w:sz w:val="21"/>
        </w:rPr>
        <w:t>religious merit though lacking in public benefit, it must be shown to have a Shastric basis so far as Hindus are concerned. No doubt since then other religious practices and beliefs may have grown up and obtained recognition from certain classes, as constituting purposes conducive of religious merit. If such beliefs are to be accepted by courts as being sufficient for valid perpetual dedication of property therefor without the lement of actual or presumed public benefit it must be at least shown that they have obtained wide recognition and constitute the religious practice of a substantial and large class of persons. </w:t>
      </w:r>
      <w:r>
        <w:rPr>
          <w:b/>
          <w:sz w:val="21"/>
        </w:rPr>
        <w:t>That is a question which does not arise for direct decision in this case. But it cannot be maintained that the belief in this belief of one or more individuals is sufficient to enable them to make a valid settlement permanently tying up property. The heads of religious purposes determined by belief in acquisition of religious merit cannot be allowed to be widely enlarged consistently with public policy and needs of</w:t>
      </w:r>
      <w:r>
        <w:rPr>
          <w:b/>
          <w:spacing w:val="-11"/>
          <w:sz w:val="21"/>
        </w:rPr>
        <w:t> </w:t>
      </w:r>
      <w:r>
        <w:rPr>
          <w:b/>
          <w:sz w:val="21"/>
        </w:rPr>
        <w:t>modern</w:t>
      </w:r>
      <w:r>
        <w:rPr>
          <w:b/>
          <w:spacing w:val="-5"/>
          <w:sz w:val="21"/>
        </w:rPr>
        <w:t> </w:t>
      </w:r>
      <w:r>
        <w:rPr>
          <w:b/>
          <w:sz w:val="21"/>
        </w:rPr>
        <w:t>society</w:t>
      </w:r>
      <w:r>
        <w:rPr>
          <w:sz w:val="21"/>
        </w:rPr>
        <w:t>.‖</w:t>
        <w:tab/>
        <w:t>(Emphasis</w:t>
      </w:r>
      <w:r>
        <w:rPr>
          <w:spacing w:val="-1"/>
          <w:sz w:val="21"/>
        </w:rPr>
        <w:t> </w:t>
      </w:r>
      <w:r>
        <w:rPr>
          <w:sz w:val="21"/>
        </w:rPr>
        <w:t>supplied)</w:t>
      </w:r>
    </w:p>
    <w:p>
      <w:pPr>
        <w:pStyle w:val="BodyText"/>
        <w:rPr>
          <w:sz w:val="24"/>
        </w:rPr>
      </w:pPr>
    </w:p>
    <w:p>
      <w:pPr>
        <w:pStyle w:val="BodyText"/>
        <w:spacing w:before="4"/>
      </w:pPr>
    </w:p>
    <w:p>
      <w:pPr>
        <w:pStyle w:val="BodyText"/>
        <w:spacing w:line="480" w:lineRule="auto"/>
        <w:ind w:left="500" w:right="440"/>
        <w:jc w:val="both"/>
      </w:pPr>
      <w:r>
        <w:rPr/>
        <w:t>The above decision deals with whether a substantial and widespread practice of a large number of Hindus would warrant its recognition as a religious or charitable practice. Further, the court expressly observes it was not necessary to answer this question as the ground of public policy is sufficient to discredit the practice of tomb-worship by a few stray individuals. It does not deal with the question when a court should confer juristic personality, either on an idol or on land.</w:t>
      </w:r>
      <w:r>
        <w:rPr>
          <w:spacing w:val="37"/>
        </w:rPr>
        <w:t> </w:t>
      </w:r>
      <w:r>
        <w:rPr/>
        <w:t>While</w:t>
      </w:r>
      <w:r>
        <w:rPr>
          <w:spacing w:val="42"/>
        </w:rPr>
        <w:t> </w:t>
      </w:r>
      <w:r>
        <w:rPr/>
        <w:t>a</w:t>
      </w:r>
      <w:r>
        <w:rPr>
          <w:spacing w:val="43"/>
        </w:rPr>
        <w:t> </w:t>
      </w:r>
      <w:r>
        <w:rPr/>
        <w:t>particular</w:t>
      </w:r>
      <w:r>
        <w:rPr>
          <w:spacing w:val="42"/>
        </w:rPr>
        <w:t> </w:t>
      </w:r>
      <w:r>
        <w:rPr/>
        <w:t>practice</w:t>
      </w:r>
      <w:r>
        <w:rPr>
          <w:spacing w:val="46"/>
        </w:rPr>
        <w:t> </w:t>
      </w:r>
      <w:r>
        <w:rPr/>
        <w:t>may</w:t>
      </w:r>
      <w:r>
        <w:rPr>
          <w:spacing w:val="40"/>
        </w:rPr>
        <w:t> </w:t>
      </w:r>
      <w:r>
        <w:rPr/>
        <w:t>or</w:t>
      </w:r>
      <w:r>
        <w:rPr>
          <w:spacing w:val="42"/>
        </w:rPr>
        <w:t> </w:t>
      </w:r>
      <w:r>
        <w:rPr/>
        <w:t>may</w:t>
      </w:r>
      <w:r>
        <w:rPr>
          <w:spacing w:val="40"/>
        </w:rPr>
        <w:t> </w:t>
      </w:r>
      <w:r>
        <w:rPr/>
        <w:t>not</w:t>
      </w:r>
      <w:r>
        <w:rPr>
          <w:spacing w:val="42"/>
        </w:rPr>
        <w:t> </w:t>
      </w:r>
      <w:r>
        <w:rPr/>
        <w:t>be</w:t>
      </w:r>
      <w:r>
        <w:rPr>
          <w:spacing w:val="42"/>
        </w:rPr>
        <w:t> </w:t>
      </w:r>
      <w:r>
        <w:rPr/>
        <w:t>recognised</w:t>
      </w:r>
      <w:r>
        <w:rPr>
          <w:spacing w:val="43"/>
        </w:rPr>
        <w:t> </w:t>
      </w:r>
      <w:r>
        <w:rPr/>
        <w:t>by</w:t>
      </w:r>
      <w:r>
        <w:rPr>
          <w:spacing w:val="40"/>
        </w:rPr>
        <w:t> </w:t>
      </w:r>
      <w:r>
        <w:rPr/>
        <w:t>a</w:t>
      </w:r>
      <w:r>
        <w:rPr>
          <w:spacing w:val="42"/>
        </w:rPr>
        <w:t> </w:t>
      </w:r>
      <w:r>
        <w:rPr/>
        <w:t>court</w:t>
      </w:r>
      <w:r>
        <w:rPr>
          <w:spacing w:val="42"/>
        </w:rPr>
        <w:t> </w:t>
      </w:r>
      <w:r>
        <w:rPr/>
        <w:t>as</w:t>
      </w:r>
    </w:p>
    <w:p>
      <w:pPr>
        <w:pStyle w:val="BodyText"/>
        <w:spacing w:line="480" w:lineRule="auto" w:before="1"/>
        <w:ind w:left="500" w:right="438"/>
        <w:jc w:val="both"/>
      </w:pPr>
      <w:r>
        <w:rPr>
          <w:w w:val="33"/>
        </w:rPr>
        <w:t>―</w:t>
      </w:r>
      <w:r>
        <w:rPr>
          <w:w w:val="99"/>
        </w:rPr>
        <w:t>r</w:t>
      </w:r>
      <w:r>
        <w:rPr>
          <w:spacing w:val="-1"/>
          <w:w w:val="99"/>
        </w:rPr>
        <w:t>eligio</w:t>
      </w:r>
      <w:r>
        <w:rPr>
          <w:w w:val="99"/>
        </w:rPr>
        <w:t>u</w:t>
      </w:r>
      <w:r>
        <w:rPr>
          <w:w w:val="91"/>
        </w:rPr>
        <w:t>s‖</w:t>
      </w:r>
      <w:r>
        <w:rPr/>
        <w:t> </w:t>
      </w:r>
      <w:r>
        <w:rPr>
          <w:spacing w:val="-33"/>
        </w:rPr>
        <w:t> </w:t>
      </w:r>
      <w:r>
        <w:rPr>
          <w:spacing w:val="-1"/>
          <w:w w:val="99"/>
        </w:rPr>
        <w:t>o</w:t>
      </w:r>
      <w:r>
        <w:rPr>
          <w:w w:val="99"/>
        </w:rPr>
        <w:t>r</w:t>
      </w:r>
      <w:r>
        <w:rPr/>
        <w:t> </w:t>
      </w:r>
      <w:r>
        <w:rPr>
          <w:spacing w:val="-33"/>
        </w:rPr>
        <w:t> </w:t>
      </w:r>
      <w:r>
        <w:rPr>
          <w:w w:val="33"/>
        </w:rPr>
        <w:t>―</w:t>
      </w:r>
      <w:r>
        <w:rPr>
          <w:w w:val="99"/>
        </w:rPr>
        <w:t>char</w:t>
      </w:r>
      <w:r>
        <w:rPr>
          <w:spacing w:val="-1"/>
          <w:w w:val="99"/>
        </w:rPr>
        <w:t>it</w:t>
      </w:r>
      <w:r>
        <w:rPr>
          <w:spacing w:val="-3"/>
          <w:w w:val="99"/>
        </w:rPr>
        <w:t>a</w:t>
      </w:r>
      <w:r>
        <w:rPr>
          <w:spacing w:val="-1"/>
          <w:w w:val="95"/>
        </w:rPr>
        <w:t>ble</w:t>
      </w:r>
      <w:r>
        <w:rPr>
          <w:w w:val="95"/>
        </w:rPr>
        <w:t>‖</w:t>
      </w:r>
      <w:r>
        <w:rPr/>
        <w:t> </w:t>
      </w:r>
      <w:r>
        <w:rPr>
          <w:spacing w:val="-33"/>
        </w:rPr>
        <w:t> </w:t>
      </w:r>
      <w:r>
        <w:rPr>
          <w:spacing w:val="-1"/>
          <w:w w:val="99"/>
        </w:rPr>
        <w:t>d</w:t>
      </w:r>
      <w:r>
        <w:rPr>
          <w:w w:val="99"/>
        </w:rPr>
        <w:t>e</w:t>
      </w:r>
      <w:r>
        <w:rPr>
          <w:spacing w:val="-1"/>
          <w:w w:val="99"/>
        </w:rPr>
        <w:t>p</w:t>
      </w:r>
      <w:r>
        <w:rPr>
          <w:w w:val="99"/>
        </w:rPr>
        <w:t>e</w:t>
      </w:r>
      <w:r>
        <w:rPr>
          <w:spacing w:val="-1"/>
          <w:w w:val="99"/>
        </w:rPr>
        <w:t>n</w:t>
      </w:r>
      <w:r>
        <w:rPr>
          <w:w w:val="99"/>
        </w:rPr>
        <w:t>d</w:t>
      </w:r>
      <w:r>
        <w:rPr>
          <w:spacing w:val="-1"/>
          <w:w w:val="99"/>
        </w:rPr>
        <w:t>in</w:t>
      </w:r>
      <w:r>
        <w:rPr>
          <w:w w:val="99"/>
        </w:rPr>
        <w:t>g</w:t>
      </w:r>
      <w:r>
        <w:rPr/>
        <w:t> </w:t>
      </w:r>
      <w:r>
        <w:rPr>
          <w:spacing w:val="-33"/>
        </w:rPr>
        <w:t> </w:t>
      </w:r>
      <w:r>
        <w:rPr>
          <w:spacing w:val="-1"/>
          <w:w w:val="99"/>
        </w:rPr>
        <w:t>o</w:t>
      </w:r>
      <w:r>
        <w:rPr>
          <w:w w:val="99"/>
        </w:rPr>
        <w:t>n</w:t>
      </w:r>
      <w:r>
        <w:rPr/>
        <w:t> </w:t>
      </w:r>
      <w:r>
        <w:rPr>
          <w:spacing w:val="-34"/>
        </w:rPr>
        <w:t> </w:t>
      </w:r>
      <w:r>
        <w:rPr>
          <w:w w:val="99"/>
        </w:rPr>
        <w:t>the</w:t>
      </w:r>
      <w:r>
        <w:rPr/>
        <w:t> </w:t>
      </w:r>
      <w:r>
        <w:rPr>
          <w:spacing w:val="-33"/>
        </w:rPr>
        <w:t> </w:t>
      </w:r>
      <w:r>
        <w:rPr>
          <w:w w:val="99"/>
        </w:rPr>
        <w:t>scale</w:t>
      </w:r>
      <w:r>
        <w:rPr/>
        <w:t> </w:t>
      </w:r>
      <w:r>
        <w:rPr>
          <w:spacing w:val="-33"/>
        </w:rPr>
        <w:t> </w:t>
      </w:r>
      <w:r>
        <w:rPr>
          <w:spacing w:val="-1"/>
          <w:w w:val="99"/>
        </w:rPr>
        <w:t>o</w:t>
      </w:r>
      <w:r>
        <w:rPr>
          <w:w w:val="99"/>
        </w:rPr>
        <w:t>f</w:t>
      </w:r>
      <w:r>
        <w:rPr/>
        <w:t> </w:t>
      </w:r>
      <w:r>
        <w:rPr>
          <w:spacing w:val="-33"/>
        </w:rPr>
        <w:t> </w:t>
      </w:r>
      <w:r>
        <w:rPr>
          <w:spacing w:val="-1"/>
          <w:w w:val="99"/>
        </w:rPr>
        <w:t>a</w:t>
      </w:r>
      <w:r>
        <w:rPr>
          <w:w w:val="99"/>
        </w:rPr>
        <w:t>d</w:t>
      </w:r>
      <w:r>
        <w:rPr>
          <w:spacing w:val="-1"/>
          <w:w w:val="99"/>
        </w:rPr>
        <w:t>o</w:t>
      </w:r>
      <w:r>
        <w:rPr>
          <w:w w:val="99"/>
        </w:rPr>
        <w:t>ption</w:t>
      </w:r>
      <w:r>
        <w:rPr/>
        <w:t> </w:t>
      </w:r>
      <w:r>
        <w:rPr>
          <w:spacing w:val="-34"/>
        </w:rPr>
        <w:t> </w:t>
      </w:r>
      <w:r>
        <w:rPr>
          <w:spacing w:val="-1"/>
          <w:w w:val="99"/>
        </w:rPr>
        <w:t>o</w:t>
      </w:r>
      <w:r>
        <w:rPr>
          <w:w w:val="99"/>
        </w:rPr>
        <w:t>f</w:t>
      </w:r>
      <w:r>
        <w:rPr/>
        <w:t> </w:t>
      </w:r>
      <w:r>
        <w:rPr>
          <w:spacing w:val="-33"/>
        </w:rPr>
        <w:t> </w:t>
      </w:r>
      <w:r>
        <w:rPr>
          <w:w w:val="99"/>
        </w:rPr>
        <w:t>the</w:t>
      </w:r>
      <w:r>
        <w:rPr/>
        <w:t> </w:t>
      </w:r>
      <w:r>
        <w:rPr>
          <w:spacing w:val="-33"/>
        </w:rPr>
        <w:t> </w:t>
      </w:r>
      <w:r>
        <w:rPr>
          <w:spacing w:val="-1"/>
          <w:w w:val="99"/>
        </w:rPr>
        <w:t>p</w:t>
      </w:r>
      <w:r>
        <w:rPr>
          <w:w w:val="99"/>
        </w:rPr>
        <w:t>r</w:t>
      </w:r>
      <w:r>
        <w:rPr>
          <w:spacing w:val="-1"/>
          <w:w w:val="99"/>
        </w:rPr>
        <w:t>actic</w:t>
      </w:r>
      <w:r>
        <w:rPr>
          <w:w w:val="99"/>
        </w:rPr>
        <w:t>e,</w:t>
      </w:r>
      <w:r>
        <w:rPr/>
        <w:t> </w:t>
      </w:r>
      <w:r>
        <w:rPr>
          <w:spacing w:val="-34"/>
        </w:rPr>
        <w:t> </w:t>
      </w:r>
      <w:r>
        <w:rPr>
          <w:w w:val="99"/>
        </w:rPr>
        <w:t>a </w:t>
      </w:r>
      <w:r>
        <w:rPr/>
        <w:t>parallel cannot be drawn with the concept of juristic person which operates in an entirely different field of law. The decision does not support the contention that widespread belief in the religious nature of a site is sufficient to confer upon that site legal</w:t>
      </w:r>
      <w:r>
        <w:rPr>
          <w:spacing w:val="-3"/>
        </w:rPr>
        <w:t> </w:t>
      </w:r>
      <w:r>
        <w:rPr/>
        <w:t>personality.</w:t>
      </w:r>
    </w:p>
    <w:p>
      <w:pPr>
        <w:spacing w:after="0" w:line="480" w:lineRule="auto"/>
        <w:jc w:val="both"/>
        <w:sectPr>
          <w:pgSz w:w="11910" w:h="16840"/>
          <w:pgMar w:header="721" w:footer="1014" w:top="1300" w:bottom="1200" w:left="940" w:right="1000"/>
        </w:sectPr>
      </w:pPr>
    </w:p>
    <w:p>
      <w:pPr>
        <w:spacing w:line="480" w:lineRule="auto" w:before="121"/>
        <w:ind w:left="500" w:right="431" w:firstLine="0"/>
        <w:jc w:val="both"/>
        <w:rPr>
          <w:sz w:val="25"/>
        </w:rPr>
      </w:pPr>
      <w:r>
        <w:rPr>
          <w:sz w:val="25"/>
        </w:rPr>
        <w:t>Lastly Mr Parasaran sought to rely on two decisions, </w:t>
      </w:r>
      <w:r>
        <w:rPr>
          <w:b/>
          <w:sz w:val="25"/>
        </w:rPr>
        <w:t>Sapneswar Pujapanda </w:t>
      </w:r>
      <w:r>
        <w:rPr>
          <w:sz w:val="25"/>
        </w:rPr>
        <w:t>v </w:t>
      </w:r>
      <w:r>
        <w:rPr>
          <w:b/>
          <w:sz w:val="25"/>
        </w:rPr>
        <w:t>Ratkanar Mahapatra</w:t>
      </w:r>
      <w:r>
        <w:rPr>
          <w:sz w:val="25"/>
          <w:vertAlign w:val="superscript"/>
        </w:rPr>
        <w:t>118</w:t>
      </w:r>
      <w:r>
        <w:rPr>
          <w:sz w:val="25"/>
          <w:vertAlign w:val="baseline"/>
        </w:rPr>
        <w:t> and </w:t>
      </w:r>
      <w:r>
        <w:rPr>
          <w:b/>
          <w:sz w:val="25"/>
          <w:vertAlign w:val="baseline"/>
        </w:rPr>
        <w:t>Sri </w:t>
      </w:r>
      <w:r>
        <w:rPr>
          <w:b/>
          <w:spacing w:val="-4"/>
          <w:sz w:val="25"/>
          <w:vertAlign w:val="baseline"/>
        </w:rPr>
        <w:t>Adi</w:t>
      </w:r>
      <w:r>
        <w:rPr>
          <w:b/>
          <w:spacing w:val="61"/>
          <w:sz w:val="25"/>
          <w:vertAlign w:val="baseline"/>
        </w:rPr>
        <w:t> </w:t>
      </w:r>
      <w:r>
        <w:rPr>
          <w:b/>
          <w:sz w:val="25"/>
          <w:vertAlign w:val="baseline"/>
        </w:rPr>
        <w:t>Visheshwara of Kashi Vishwanath Temple </w:t>
      </w:r>
      <w:r>
        <w:rPr>
          <w:sz w:val="25"/>
          <w:vertAlign w:val="baseline"/>
        </w:rPr>
        <w:t>v </w:t>
      </w:r>
      <w:r>
        <w:rPr>
          <w:b/>
          <w:sz w:val="25"/>
          <w:vertAlign w:val="baseline"/>
        </w:rPr>
        <w:t>State of UP</w:t>
      </w:r>
      <w:r>
        <w:rPr>
          <w:sz w:val="25"/>
          <w:vertAlign w:val="superscript"/>
        </w:rPr>
        <w:t>119</w:t>
      </w:r>
      <w:r>
        <w:rPr>
          <w:sz w:val="25"/>
          <w:vertAlign w:val="baseline"/>
        </w:rPr>
        <w:t> to contend that the second plaintiff in Suit 5 is a</w:t>
      </w:r>
    </w:p>
    <w:p>
      <w:pPr>
        <w:pStyle w:val="BodyText"/>
        <w:spacing w:line="480" w:lineRule="auto" w:before="3"/>
        <w:ind w:left="500" w:right="437"/>
        <w:jc w:val="both"/>
      </w:pPr>
      <w:r>
        <w:rPr>
          <w:spacing w:val="-1"/>
          <w:w w:val="40"/>
        </w:rPr>
        <w:t>‗</w:t>
      </w:r>
      <w:r>
        <w:rPr>
          <w:i/>
          <w:spacing w:val="-1"/>
          <w:w w:val="99"/>
        </w:rPr>
        <w:t>S</w:t>
      </w:r>
      <w:r>
        <w:rPr>
          <w:i/>
          <w:w w:val="99"/>
        </w:rPr>
        <w:t>way</w:t>
      </w:r>
      <w:r>
        <w:rPr>
          <w:i/>
          <w:spacing w:val="2"/>
          <w:w w:val="99"/>
        </w:rPr>
        <w:t>a</w:t>
      </w:r>
      <w:r>
        <w:rPr>
          <w:i/>
          <w:spacing w:val="-2"/>
          <w:w w:val="99"/>
        </w:rPr>
        <w:t>m</w:t>
      </w:r>
      <w:r>
        <w:rPr>
          <w:i/>
          <w:w w:val="99"/>
        </w:rPr>
        <w:t>bh</w:t>
      </w:r>
      <w:r>
        <w:rPr>
          <w:i/>
          <w:spacing w:val="1"/>
          <w:w w:val="99"/>
        </w:rPr>
        <w:t>u</w:t>
      </w:r>
      <w:r>
        <w:rPr>
          <w:w w:val="99"/>
        </w:rPr>
        <w:t>‘</w:t>
      </w:r>
      <w:r>
        <w:rPr/>
        <w:t> </w:t>
      </w:r>
      <w:r>
        <w:rPr>
          <w:spacing w:val="7"/>
        </w:rPr>
        <w:t> </w:t>
      </w:r>
      <w:r>
        <w:rPr>
          <w:spacing w:val="-1"/>
          <w:w w:val="99"/>
        </w:rPr>
        <w:t>d</w:t>
      </w:r>
      <w:r>
        <w:rPr>
          <w:w w:val="99"/>
        </w:rPr>
        <w:t>e</w:t>
      </w:r>
      <w:r>
        <w:rPr>
          <w:spacing w:val="-1"/>
          <w:w w:val="99"/>
        </w:rPr>
        <w:t>i</w:t>
      </w:r>
      <w:r>
        <w:rPr>
          <w:spacing w:val="2"/>
          <w:w w:val="99"/>
        </w:rPr>
        <w:t>t</w:t>
      </w:r>
      <w:r>
        <w:rPr>
          <w:w w:val="99"/>
        </w:rPr>
        <w:t>y</w:t>
      </w:r>
      <w:r>
        <w:rPr/>
        <w:t> </w:t>
      </w:r>
      <w:r>
        <w:rPr>
          <w:spacing w:val="7"/>
        </w:rPr>
        <w:t> </w:t>
      </w:r>
      <w:r>
        <w:rPr>
          <w:spacing w:val="-1"/>
          <w:w w:val="99"/>
        </w:rPr>
        <w:t>whic</w:t>
      </w:r>
      <w:r>
        <w:rPr>
          <w:w w:val="99"/>
        </w:rPr>
        <w:t>h</w:t>
      </w:r>
      <w:r>
        <w:rPr/>
        <w:t> </w:t>
      </w:r>
      <w:r>
        <w:rPr>
          <w:spacing w:val="7"/>
        </w:rPr>
        <w:t> </w:t>
      </w:r>
      <w:r>
        <w:rPr>
          <w:spacing w:val="-1"/>
          <w:w w:val="99"/>
        </w:rPr>
        <w:t>h</w:t>
      </w:r>
      <w:r>
        <w:rPr>
          <w:w w:val="99"/>
        </w:rPr>
        <w:t>as</w:t>
      </w:r>
      <w:r>
        <w:rPr/>
        <w:t> </w:t>
      </w:r>
      <w:r>
        <w:rPr>
          <w:spacing w:val="7"/>
        </w:rPr>
        <w:t> </w:t>
      </w:r>
      <w:r>
        <w:rPr>
          <w:w w:val="99"/>
        </w:rPr>
        <w:t>a</w:t>
      </w:r>
      <w:r>
        <w:rPr/>
        <w:t> </w:t>
      </w:r>
      <w:r>
        <w:rPr>
          <w:spacing w:val="9"/>
        </w:rPr>
        <w:t> </w:t>
      </w:r>
      <w:r>
        <w:rPr>
          <w:w w:val="99"/>
        </w:rPr>
        <w:t>r</w:t>
      </w:r>
      <w:r>
        <w:rPr>
          <w:spacing w:val="-1"/>
          <w:w w:val="99"/>
        </w:rPr>
        <w:t>ec</w:t>
      </w:r>
      <w:r>
        <w:rPr>
          <w:w w:val="99"/>
        </w:rPr>
        <w:t>o</w:t>
      </w:r>
      <w:r>
        <w:rPr>
          <w:spacing w:val="-1"/>
          <w:w w:val="99"/>
        </w:rPr>
        <w:t>g</w:t>
      </w:r>
      <w:r>
        <w:rPr>
          <w:w w:val="99"/>
        </w:rPr>
        <w:t>n</w:t>
      </w:r>
      <w:r>
        <w:rPr>
          <w:spacing w:val="-1"/>
          <w:w w:val="99"/>
        </w:rPr>
        <w:t>ise</w:t>
      </w:r>
      <w:r>
        <w:rPr>
          <w:w w:val="99"/>
        </w:rPr>
        <w:t>d</w:t>
      </w:r>
      <w:r>
        <w:rPr/>
        <w:t> </w:t>
      </w:r>
      <w:r>
        <w:rPr>
          <w:spacing w:val="7"/>
        </w:rPr>
        <w:t> </w:t>
      </w:r>
      <w:r>
        <w:rPr>
          <w:spacing w:val="-1"/>
          <w:w w:val="99"/>
        </w:rPr>
        <w:t>leg</w:t>
      </w:r>
      <w:r>
        <w:rPr>
          <w:w w:val="99"/>
        </w:rPr>
        <w:t>al</w:t>
      </w:r>
      <w:r>
        <w:rPr/>
        <w:t> </w:t>
      </w:r>
      <w:r>
        <w:rPr>
          <w:spacing w:val="7"/>
        </w:rPr>
        <w:t> </w:t>
      </w:r>
      <w:r>
        <w:rPr>
          <w:spacing w:val="-1"/>
          <w:w w:val="99"/>
        </w:rPr>
        <w:t>p</w:t>
      </w:r>
      <w:r>
        <w:rPr>
          <w:w w:val="99"/>
        </w:rPr>
        <w:t>erson</w:t>
      </w:r>
      <w:r>
        <w:rPr>
          <w:spacing w:val="-1"/>
          <w:w w:val="99"/>
        </w:rPr>
        <w:t>ali</w:t>
      </w:r>
      <w:r>
        <w:rPr>
          <w:spacing w:val="2"/>
          <w:w w:val="99"/>
        </w:rPr>
        <w:t>t</w:t>
      </w:r>
      <w:r>
        <w:rPr>
          <w:w w:val="99"/>
        </w:rPr>
        <w:t>y.</w:t>
      </w:r>
      <w:r>
        <w:rPr/>
        <w:t> </w:t>
      </w:r>
      <w:r>
        <w:rPr>
          <w:spacing w:val="7"/>
        </w:rPr>
        <w:t> </w:t>
      </w:r>
      <w:r>
        <w:rPr>
          <w:w w:val="99"/>
        </w:rPr>
        <w:t>T</w:t>
      </w:r>
      <w:r>
        <w:rPr>
          <w:spacing w:val="-1"/>
          <w:w w:val="99"/>
        </w:rPr>
        <w:t>h</w:t>
      </w:r>
      <w:r>
        <w:rPr>
          <w:w w:val="99"/>
        </w:rPr>
        <w:t>e</w:t>
      </w:r>
      <w:r>
        <w:rPr/>
        <w:t> </w:t>
      </w:r>
      <w:r>
        <w:rPr>
          <w:spacing w:val="7"/>
        </w:rPr>
        <w:t> </w:t>
      </w:r>
      <w:r>
        <w:rPr>
          <w:spacing w:val="-1"/>
          <w:w w:val="99"/>
        </w:rPr>
        <w:t>d</w:t>
      </w:r>
      <w:r>
        <w:rPr>
          <w:w w:val="99"/>
        </w:rPr>
        <w:t>ecisions </w:t>
      </w:r>
      <w:r>
        <w:rPr/>
        <w:t>merely note that Hinduism recognises the concept of a </w:t>
      </w:r>
      <w:r>
        <w:rPr>
          <w:i/>
        </w:rPr>
        <w:t>Swayambhu </w:t>
      </w:r>
      <w:r>
        <w:rPr/>
        <w:t>deity, which is not contested by either of the parties to the present dispute. Neither decision advances the argument set out by Mr Parasaran. The substantive content of the arguments advanced by the plaintiffs in Suit 5 is dealt with</w:t>
      </w:r>
      <w:r>
        <w:rPr>
          <w:spacing w:val="-11"/>
        </w:rPr>
        <w:t> </w:t>
      </w:r>
      <w:r>
        <w:rPr/>
        <w:t>next.</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43" w:firstLine="0"/>
        <w:jc w:val="both"/>
        <w:rPr>
          <w:sz w:val="25"/>
        </w:rPr>
      </w:pPr>
      <w:r>
        <w:rPr>
          <w:sz w:val="25"/>
        </w:rPr>
        <w:t>Mr Parasaran submitted that the various deities and idols in Hinduism are merely facets of the single indivisible God. It was thus contended that every manifestation of the indivisible God is worthy of legal protection and the conferment of legal</w:t>
      </w:r>
      <w:r>
        <w:rPr>
          <w:spacing w:val="-4"/>
          <w:sz w:val="25"/>
        </w:rPr>
        <w:t> </w:t>
      </w:r>
      <w:r>
        <w:rPr>
          <w:sz w:val="25"/>
        </w:rPr>
        <w:t>personality.</w:t>
      </w:r>
    </w:p>
    <w:p>
      <w:pPr>
        <w:pStyle w:val="BodyText"/>
        <w:spacing w:before="9"/>
        <w:rPr>
          <w:sz w:val="24"/>
        </w:rPr>
      </w:pPr>
    </w:p>
    <w:p>
      <w:pPr>
        <w:pStyle w:val="ListParagraph"/>
        <w:numPr>
          <w:ilvl w:val="0"/>
          <w:numId w:val="3"/>
        </w:numPr>
        <w:tabs>
          <w:tab w:pos="1221" w:val="left" w:leader="none"/>
        </w:tabs>
        <w:spacing w:line="480" w:lineRule="auto" w:before="0" w:after="0"/>
        <w:ind w:left="500" w:right="439" w:firstLine="0"/>
        <w:jc w:val="both"/>
        <w:rPr>
          <w:sz w:val="25"/>
        </w:rPr>
      </w:pPr>
      <w:r>
        <w:rPr>
          <w:sz w:val="25"/>
        </w:rPr>
        <w:t>This Court in </w:t>
      </w:r>
      <w:r>
        <w:rPr>
          <w:b/>
          <w:sz w:val="25"/>
        </w:rPr>
        <w:t>Yogendra Nath Naskar </w:t>
      </w:r>
      <w:r>
        <w:rPr>
          <w:sz w:val="25"/>
        </w:rPr>
        <w:t>v </w:t>
      </w:r>
      <w:r>
        <w:rPr>
          <w:b/>
          <w:sz w:val="25"/>
        </w:rPr>
        <w:t>CIT, Calcutta</w:t>
      </w:r>
      <w:r>
        <w:rPr>
          <w:sz w:val="25"/>
          <w:vertAlign w:val="superscript"/>
        </w:rPr>
        <w:t>120</w:t>
      </w:r>
      <w:r>
        <w:rPr>
          <w:sz w:val="25"/>
          <w:vertAlign w:val="baseline"/>
        </w:rPr>
        <w:t> drew a distinction between the perception of the devotee that the idol is a manifestation of the Supreme Being and the position in law that legal personality is conferred on the pious purpose of the testator that is entitled to legal protection. Hinduism is an expansive religion that believes divinity in the form of the Supreme Being is present in every aspect of creation. The worship of God in Hinduism is not limited to temples or idols but often extends to natural formations, animals and can even extend to everyday objects which have significance in a worshipper‘s life. As a matter of religion, every manifestation of the Supreme Being is divine</w:t>
      </w:r>
      <w:r>
        <w:rPr>
          <w:spacing w:val="15"/>
          <w:sz w:val="25"/>
          <w:vertAlign w:val="baseline"/>
        </w:rPr>
        <w:t> </w:t>
      </w:r>
      <w:r>
        <w:rPr>
          <w:sz w:val="25"/>
          <w:vertAlign w:val="baseline"/>
        </w:rPr>
        <w:t>and worthy</w:t>
      </w:r>
    </w:p>
    <w:p>
      <w:pPr>
        <w:pStyle w:val="BodyText"/>
        <w:spacing w:before="5"/>
        <w:rPr>
          <w:sz w:val="21"/>
        </w:rPr>
      </w:pPr>
      <w:r>
        <w:rPr/>
        <w:pict>
          <v:rect style="position:absolute;margin-left:72.024002pt;margin-top:14.303241pt;width:144.020pt;height:.60004pt;mso-position-horizontal-relative:page;mso-position-vertical-relative:paragraph;z-index:-15692800;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118</w:t>
      </w:r>
      <w:r>
        <w:rPr>
          <w:sz w:val="18"/>
          <w:vertAlign w:val="baseline"/>
        </w:rPr>
        <w:t> AIR 1916 Pat</w:t>
      </w:r>
      <w:r>
        <w:rPr>
          <w:spacing w:val="-10"/>
          <w:sz w:val="18"/>
          <w:vertAlign w:val="baseline"/>
        </w:rPr>
        <w:t> </w:t>
      </w:r>
      <w:r>
        <w:rPr>
          <w:sz w:val="18"/>
          <w:vertAlign w:val="baseline"/>
        </w:rPr>
        <w:t>146</w:t>
      </w:r>
    </w:p>
    <w:p>
      <w:pPr>
        <w:spacing w:line="207" w:lineRule="exact" w:before="0"/>
        <w:ind w:left="500" w:right="0" w:firstLine="0"/>
        <w:jc w:val="left"/>
        <w:rPr>
          <w:sz w:val="18"/>
        </w:rPr>
      </w:pPr>
      <w:r>
        <w:rPr>
          <w:sz w:val="18"/>
          <w:vertAlign w:val="superscript"/>
        </w:rPr>
        <w:t>119</w:t>
      </w:r>
      <w:r>
        <w:rPr>
          <w:sz w:val="18"/>
          <w:vertAlign w:val="baseline"/>
        </w:rPr>
        <w:t> (1997) 4 SCC</w:t>
      </w:r>
      <w:r>
        <w:rPr>
          <w:spacing w:val="-11"/>
          <w:sz w:val="18"/>
          <w:vertAlign w:val="baseline"/>
        </w:rPr>
        <w:t> </w:t>
      </w:r>
      <w:r>
        <w:rPr>
          <w:sz w:val="18"/>
          <w:vertAlign w:val="baseline"/>
        </w:rPr>
        <w:t>606</w:t>
      </w:r>
    </w:p>
    <w:p>
      <w:pPr>
        <w:spacing w:before="1"/>
        <w:ind w:left="500" w:right="0" w:firstLine="0"/>
        <w:jc w:val="left"/>
        <w:rPr>
          <w:sz w:val="18"/>
        </w:rPr>
      </w:pPr>
      <w:r>
        <w:rPr>
          <w:sz w:val="18"/>
          <w:vertAlign w:val="superscript"/>
        </w:rPr>
        <w:t>120</w:t>
      </w:r>
      <w:r>
        <w:rPr>
          <w:sz w:val="18"/>
          <w:vertAlign w:val="baseline"/>
        </w:rPr>
        <w:t> (1969) 1 SCC</w:t>
      </w:r>
      <w:r>
        <w:rPr>
          <w:spacing w:val="-11"/>
          <w:sz w:val="18"/>
          <w:vertAlign w:val="baseline"/>
        </w:rPr>
        <w:t> </w:t>
      </w:r>
      <w:r>
        <w:rPr>
          <w:sz w:val="18"/>
          <w:vertAlign w:val="baseline"/>
        </w:rPr>
        <w:t>555</w:t>
      </w:r>
    </w:p>
    <w:p>
      <w:pPr>
        <w:spacing w:after="0"/>
        <w:jc w:val="left"/>
        <w:rPr>
          <w:sz w:val="18"/>
        </w:rPr>
        <w:sectPr>
          <w:pgSz w:w="11910" w:h="16840"/>
          <w:pgMar w:header="721" w:footer="1014" w:top="1300" w:bottom="1200" w:left="940" w:right="1000"/>
        </w:sectPr>
      </w:pPr>
    </w:p>
    <w:p>
      <w:pPr>
        <w:pStyle w:val="BodyText"/>
        <w:spacing w:line="480" w:lineRule="auto" w:before="124"/>
        <w:ind w:left="500" w:right="436"/>
        <w:jc w:val="both"/>
      </w:pPr>
      <w:r>
        <w:rPr/>
        <w:t>of worship. However, as a matter of law, every manifestation of the Supreme Being is not a legal person. Legal personality is an innovation arising out of legal necessity and the need for adjudicative utility. Each conferment of legal personality absent an express deed of dedication must be judged on the facts of the case and it is not a sound proposition in law to state that every manifestation of the Supreme Being results in the creation of a legal person.</w:t>
      </w:r>
    </w:p>
    <w:p>
      <w:pPr>
        <w:pStyle w:val="BodyText"/>
      </w:pPr>
    </w:p>
    <w:p>
      <w:pPr>
        <w:pStyle w:val="ListParagraph"/>
        <w:numPr>
          <w:ilvl w:val="0"/>
          <w:numId w:val="3"/>
        </w:numPr>
        <w:tabs>
          <w:tab w:pos="1221" w:val="left" w:leader="none"/>
        </w:tabs>
        <w:spacing w:line="480" w:lineRule="auto" w:before="0" w:after="0"/>
        <w:ind w:left="500" w:right="435" w:firstLine="0"/>
        <w:jc w:val="both"/>
        <w:rPr>
          <w:sz w:val="25"/>
        </w:rPr>
      </w:pPr>
      <w:r>
        <w:rPr>
          <w:sz w:val="25"/>
        </w:rPr>
        <w:t>In the present case, it was contended that the land forming the disputed site is itself the manifestation of Lord Ram. Significant reliance was placed on the existence of certain temples which do not possess idols, in particular the Chidambaram temple in Tamil Nadu, to advance two legal propositions: First, that a Hindu deity possessing juristic personality could exist even absent an idol, and second that unadorned land, absent any distinguishing features, could constitute a </w:t>
      </w:r>
      <w:r>
        <w:rPr>
          <w:i/>
          <w:sz w:val="25"/>
        </w:rPr>
        <w:t>Swayambhu </w:t>
      </w:r>
      <w:r>
        <w:rPr>
          <w:sz w:val="25"/>
        </w:rPr>
        <w:t>deity and consequently a juristic person. As noted above, the cases relied upon by Mr Parasaran with respect to the Chidambaram and Kalyansundareswar temple do not refer to the conferral of juristic personality. However, it is true than an idol is not a pre-requisite for the existence of a juristic person. Where there exists an express deed of dedication, the legal personality vests in the pious purpose of the founder. The idol is the material embodiment of the pious purpose and is the site of jural relations. There are instances of the submergence or even destruction of the idol inspite of which it has been held that the legal personality continues to subsist. Even if a testator were to make a dedication to a religious purpose but the idol did not exist at the time the dedication was made or the manifestation of the divine was not in the form of the idol, but in the form of some other object of religious significance, the</w:t>
      </w:r>
      <w:r>
        <w:rPr>
          <w:spacing w:val="-22"/>
          <w:sz w:val="25"/>
        </w:rPr>
        <w:t> </w:t>
      </w:r>
      <w:r>
        <w:rPr>
          <w:sz w:val="25"/>
        </w:rPr>
        <w:t>legal</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3"/>
        <w:jc w:val="both"/>
      </w:pPr>
      <w:r>
        <w:rPr/>
        <w:t>personality would continue to vest in the pious purpose of the dedication itself. However, that is not the situation in the present case. In the case of the second plaintiff in Suit 5, there exists no express deed of dedication.</w:t>
      </w:r>
    </w:p>
    <w:p>
      <w:pPr>
        <w:pStyle w:val="BodyText"/>
        <w:spacing w:before="10"/>
        <w:rPr>
          <w:sz w:val="24"/>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It is true that merely because the second plaintiff is not an idol, and there exists no deed of dedication, it is not precluded from being conferred with legal personality. </w:t>
      </w:r>
      <w:r>
        <w:rPr>
          <w:i/>
          <w:sz w:val="25"/>
        </w:rPr>
        <w:t>Swayambhu </w:t>
      </w:r>
      <w:r>
        <w:rPr>
          <w:sz w:val="25"/>
        </w:rPr>
        <w:t>deities, by the very fact that they are manifested from nature, may not fit the description of an idol in the traditional sense. Courts are not barred from recognising such a material manifestation of the divine as a juristic person. The manifestation in a material form is what is the defining feature. In the present case however, the arguments advanced in reply on behalf of the plaintiffs in Suit 5 rest on a two-fold claim: First, that no material manifestation is required for the conferral of juristic personality in the case of a </w:t>
      </w:r>
      <w:r>
        <w:rPr>
          <w:i/>
          <w:sz w:val="25"/>
        </w:rPr>
        <w:t>Swayambhu </w:t>
      </w:r>
      <w:r>
        <w:rPr>
          <w:sz w:val="25"/>
        </w:rPr>
        <w:t>deity. In this view, the performance of worship with the faith and belief that corporeal property represents the divine is adequate for the conferral  of juristic personality. Second, in the alternative, assuming that a material manifestation is a pre-requisite for a </w:t>
      </w:r>
      <w:r>
        <w:rPr>
          <w:i/>
          <w:sz w:val="25"/>
        </w:rPr>
        <w:t>Swayambhu </w:t>
      </w:r>
      <w:r>
        <w:rPr>
          <w:sz w:val="25"/>
        </w:rPr>
        <w:t>deity, the land at the disputed site represents the material manifestation and given the performance of religious worship, no further evidence is required for the conferral of juristic personality. Several examples of temples without idols were placed before this court, including that of the Chidambaram Temple to contend that the deity of Ram had manifested itself in the form of land itself. According to the plaintiffs in Suit 5, the birth of Lord Ram at the disputed site is the revelation, and the resident deity of Ram Janmabhumi manifests itself in the form of the land that it is the disputed land. At the Chidambaram Temple, there exists no idol of the resident deity,</w:t>
      </w:r>
      <w:r>
        <w:rPr>
          <w:spacing w:val="11"/>
          <w:sz w:val="25"/>
        </w:rPr>
        <w:t> </w:t>
      </w:r>
      <w:r>
        <w:rPr>
          <w:sz w:val="25"/>
        </w:rPr>
        <w:t>Lord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Siva. A curtain exists at the altar. At the time of worship, the curtain is drawn away and the altar is revealed to have an empty space. The empty space at the altar is the subject of the prayers and devotees regularly leave offerings at the altar. Mr Parasaran sought to draw a parallel to demonstrate how empty space itself, absent any idol or distinguishing features, was the subject of worship and constituted a valid deity upon which juristic personality could be</w:t>
      </w:r>
      <w:r>
        <w:rPr>
          <w:spacing w:val="-13"/>
        </w:rPr>
        <w:t> </w:t>
      </w:r>
      <w:r>
        <w:rPr/>
        <w:t>conferred.</w:t>
      </w:r>
    </w:p>
    <w:p>
      <w:pPr>
        <w:pStyle w:val="BodyText"/>
      </w:pPr>
    </w:p>
    <w:p>
      <w:pPr>
        <w:pStyle w:val="ListParagraph"/>
        <w:numPr>
          <w:ilvl w:val="0"/>
          <w:numId w:val="3"/>
        </w:numPr>
        <w:tabs>
          <w:tab w:pos="1221" w:val="left" w:leader="none"/>
        </w:tabs>
        <w:spacing w:line="480" w:lineRule="auto" w:before="0" w:after="0"/>
        <w:ind w:left="500" w:right="439" w:firstLine="0"/>
        <w:jc w:val="both"/>
        <w:rPr>
          <w:sz w:val="25"/>
        </w:rPr>
      </w:pPr>
      <w:r>
        <w:rPr>
          <w:sz w:val="25"/>
        </w:rPr>
        <w:t>The arguments urged by Mr Parasaran in his reply raise three questions for our determination: First, whether a </w:t>
      </w:r>
      <w:r>
        <w:rPr>
          <w:i/>
          <w:sz w:val="25"/>
        </w:rPr>
        <w:t>Swayambhu </w:t>
      </w:r>
      <w:r>
        <w:rPr>
          <w:sz w:val="25"/>
        </w:rPr>
        <w:t>deity may be recognised absent a physical manifestation; second, whether land can constitute a manifestation of the deity; and third, whether legal personality can be conferred on immovable property </w:t>
      </w:r>
      <w:r>
        <w:rPr>
          <w:i/>
          <w:sz w:val="25"/>
        </w:rPr>
        <w:t>per</w:t>
      </w:r>
      <w:r>
        <w:rPr>
          <w:i/>
          <w:spacing w:val="-2"/>
          <w:sz w:val="25"/>
        </w:rPr>
        <w:t> </w:t>
      </w:r>
      <w:r>
        <w:rPr>
          <w:i/>
          <w:sz w:val="25"/>
        </w:rPr>
        <w:t>se</w:t>
      </w:r>
      <w:r>
        <w:rPr>
          <w:sz w:val="25"/>
        </w:rPr>
        <w:t>.</w:t>
      </w:r>
    </w:p>
    <w:p>
      <w:pPr>
        <w:pStyle w:val="BodyText"/>
        <w:spacing w:before="1"/>
      </w:pPr>
    </w:p>
    <w:p>
      <w:pPr>
        <w:pStyle w:val="ListParagraph"/>
        <w:numPr>
          <w:ilvl w:val="0"/>
          <w:numId w:val="3"/>
        </w:numPr>
        <w:tabs>
          <w:tab w:pos="1221" w:val="left" w:leader="none"/>
        </w:tabs>
        <w:spacing w:line="240" w:lineRule="auto" w:before="0" w:after="0"/>
        <w:ind w:left="1220" w:right="0" w:hanging="721"/>
        <w:jc w:val="both"/>
        <w:rPr>
          <w:sz w:val="25"/>
        </w:rPr>
      </w:pPr>
      <w:r>
        <w:rPr>
          <w:sz w:val="25"/>
        </w:rPr>
        <w:t>A </w:t>
      </w:r>
      <w:r>
        <w:rPr>
          <w:i/>
          <w:sz w:val="25"/>
        </w:rPr>
        <w:t>Swayambhu </w:t>
      </w:r>
      <w:r>
        <w:rPr>
          <w:sz w:val="25"/>
        </w:rPr>
        <w:t>deity is a manifestation of God that is ‗self-revealed‘</w:t>
      </w:r>
      <w:r>
        <w:rPr>
          <w:spacing w:val="52"/>
          <w:sz w:val="25"/>
        </w:rPr>
        <w:t> </w:t>
      </w:r>
      <w:r>
        <w:rPr>
          <w:sz w:val="25"/>
        </w:rPr>
        <w:t>or</w:t>
      </w:r>
    </w:p>
    <w:p>
      <w:pPr>
        <w:pStyle w:val="BodyText"/>
        <w:spacing w:before="10"/>
        <w:rPr>
          <w:sz w:val="24"/>
        </w:rPr>
      </w:pPr>
    </w:p>
    <w:p>
      <w:pPr>
        <w:pStyle w:val="BodyText"/>
        <w:spacing w:line="480" w:lineRule="auto"/>
        <w:ind w:left="500" w:right="435"/>
        <w:jc w:val="both"/>
      </w:pPr>
      <w:r>
        <w:rPr/>
        <w:t>‗discovered as existing‘ as opposed to a traditional idol that is hand-crafted and consecrated</w:t>
      </w:r>
      <w:r>
        <w:rPr>
          <w:spacing w:val="-12"/>
        </w:rPr>
        <w:t> </w:t>
      </w:r>
      <w:r>
        <w:rPr/>
        <w:t>by</w:t>
      </w:r>
      <w:r>
        <w:rPr>
          <w:spacing w:val="-15"/>
        </w:rPr>
        <w:t> </w:t>
      </w:r>
      <w:r>
        <w:rPr/>
        <w:t>the</w:t>
      </w:r>
      <w:r>
        <w:rPr>
          <w:spacing w:val="-12"/>
        </w:rPr>
        <w:t> </w:t>
      </w:r>
      <w:r>
        <w:rPr>
          <w:i/>
        </w:rPr>
        <w:t>prana</w:t>
      </w:r>
      <w:r>
        <w:rPr>
          <w:i/>
          <w:spacing w:val="-13"/>
        </w:rPr>
        <w:t> </w:t>
      </w:r>
      <w:r>
        <w:rPr>
          <w:i/>
        </w:rPr>
        <w:t>pratishta</w:t>
      </w:r>
      <w:r>
        <w:rPr>
          <w:i/>
          <w:spacing w:val="-11"/>
        </w:rPr>
        <w:t> </w:t>
      </w:r>
      <w:r>
        <w:rPr/>
        <w:t>ceremony.</w:t>
      </w:r>
      <w:r>
        <w:rPr>
          <w:spacing w:val="-12"/>
        </w:rPr>
        <w:t> </w:t>
      </w:r>
      <w:r>
        <w:rPr/>
        <w:t>The</w:t>
      </w:r>
      <w:r>
        <w:rPr>
          <w:spacing w:val="-13"/>
        </w:rPr>
        <w:t> </w:t>
      </w:r>
      <w:r>
        <w:rPr/>
        <w:t>word</w:t>
      </w:r>
      <w:r>
        <w:rPr>
          <w:spacing w:val="-13"/>
        </w:rPr>
        <w:t> </w:t>
      </w:r>
      <w:r>
        <w:rPr/>
        <w:t>‗swayam‘</w:t>
      </w:r>
      <w:r>
        <w:rPr>
          <w:spacing w:val="-13"/>
        </w:rPr>
        <w:t> </w:t>
      </w:r>
      <w:r>
        <w:rPr/>
        <w:t>means</w:t>
      </w:r>
      <w:r>
        <w:rPr>
          <w:spacing w:val="-13"/>
        </w:rPr>
        <w:t> </w:t>
      </w:r>
      <w:r>
        <w:rPr/>
        <w:t>‗self‘</w:t>
      </w:r>
      <w:r>
        <w:rPr>
          <w:spacing w:val="-13"/>
        </w:rPr>
        <w:t> </w:t>
      </w:r>
      <w:r>
        <w:rPr/>
        <w:t>or</w:t>
      </w:r>
    </w:p>
    <w:p>
      <w:pPr>
        <w:pStyle w:val="BodyText"/>
        <w:spacing w:line="480" w:lineRule="auto"/>
        <w:ind w:left="500" w:right="441"/>
        <w:jc w:val="both"/>
      </w:pPr>
      <w:r>
        <w:rPr/>
        <w:t>‗on its own‘, ‗bhu‘ means ‗to take birth‘. A </w:t>
      </w:r>
      <w:r>
        <w:rPr>
          <w:i/>
        </w:rPr>
        <w:t>Swayambhu </w:t>
      </w:r>
      <w:r>
        <w:rPr/>
        <w:t>deity is one which has manifested itself in nature without human craftsmanship. Common examples of these deities are where a tree grows in the shape of a Hindu God or Goddess or where a natural formation such as ice or rock takes the form of a recognised Hindu deity.</w:t>
      </w:r>
    </w:p>
    <w:p>
      <w:pPr>
        <w:pStyle w:val="BodyText"/>
        <w:spacing w:before="1"/>
      </w:pPr>
    </w:p>
    <w:p>
      <w:pPr>
        <w:pStyle w:val="ListParagraph"/>
        <w:numPr>
          <w:ilvl w:val="0"/>
          <w:numId w:val="3"/>
        </w:numPr>
        <w:tabs>
          <w:tab w:pos="1221" w:val="left" w:leader="none"/>
        </w:tabs>
        <w:spacing w:line="480" w:lineRule="auto" w:before="1" w:after="0"/>
        <w:ind w:left="500" w:right="437" w:firstLine="0"/>
        <w:jc w:val="both"/>
        <w:rPr>
          <w:sz w:val="25"/>
        </w:rPr>
      </w:pPr>
      <w:r>
        <w:rPr>
          <w:sz w:val="25"/>
        </w:rPr>
        <w:t>Dr Dhavan contended that any case of </w:t>
      </w:r>
      <w:r>
        <w:rPr>
          <w:i/>
          <w:sz w:val="25"/>
        </w:rPr>
        <w:t>Swayambhu </w:t>
      </w:r>
      <w:r>
        <w:rPr>
          <w:sz w:val="25"/>
        </w:rPr>
        <w:t>deity would necessarily need to be based on: (i) some evidence of the manifestation of God in a material form followed by; (ii) faith and belief that a particular piece of corporeal</w:t>
      </w:r>
      <w:r>
        <w:rPr>
          <w:spacing w:val="46"/>
          <w:sz w:val="25"/>
        </w:rPr>
        <w:t> </w:t>
      </w:r>
      <w:r>
        <w:rPr>
          <w:sz w:val="25"/>
        </w:rPr>
        <w:t>property</w:t>
      </w:r>
      <w:r>
        <w:rPr>
          <w:spacing w:val="44"/>
          <w:sz w:val="25"/>
        </w:rPr>
        <w:t> </w:t>
      </w:r>
      <w:r>
        <w:rPr>
          <w:sz w:val="25"/>
        </w:rPr>
        <w:t>represents</w:t>
      </w:r>
      <w:r>
        <w:rPr>
          <w:spacing w:val="47"/>
          <w:sz w:val="25"/>
        </w:rPr>
        <w:t> </w:t>
      </w:r>
      <w:r>
        <w:rPr>
          <w:sz w:val="25"/>
        </w:rPr>
        <w:t>the</w:t>
      </w:r>
      <w:r>
        <w:rPr>
          <w:spacing w:val="47"/>
          <w:sz w:val="25"/>
        </w:rPr>
        <w:t> </w:t>
      </w:r>
      <w:r>
        <w:rPr>
          <w:sz w:val="25"/>
        </w:rPr>
        <w:t>divine;</w:t>
      </w:r>
      <w:r>
        <w:rPr>
          <w:spacing w:val="46"/>
          <w:sz w:val="25"/>
        </w:rPr>
        <w:t> </w:t>
      </w:r>
      <w:r>
        <w:rPr>
          <w:sz w:val="25"/>
        </w:rPr>
        <w:t>and</w:t>
      </w:r>
      <w:r>
        <w:rPr>
          <w:spacing w:val="46"/>
          <w:sz w:val="25"/>
        </w:rPr>
        <w:t> </w:t>
      </w:r>
      <w:r>
        <w:rPr>
          <w:sz w:val="25"/>
        </w:rPr>
        <w:t>(iii)</w:t>
      </w:r>
      <w:r>
        <w:rPr>
          <w:spacing w:val="46"/>
          <w:sz w:val="25"/>
        </w:rPr>
        <w:t> </w:t>
      </w:r>
      <w:r>
        <w:rPr>
          <w:sz w:val="25"/>
        </w:rPr>
        <w:t>in</w:t>
      </w:r>
      <w:r>
        <w:rPr>
          <w:spacing w:val="47"/>
          <w:sz w:val="25"/>
        </w:rPr>
        <w:t> </w:t>
      </w:r>
      <w:r>
        <w:rPr>
          <w:sz w:val="25"/>
        </w:rPr>
        <w:t>the</w:t>
      </w:r>
      <w:r>
        <w:rPr>
          <w:spacing w:val="45"/>
          <w:sz w:val="25"/>
        </w:rPr>
        <w:t> </w:t>
      </w:r>
      <w:r>
        <w:rPr>
          <w:sz w:val="25"/>
        </w:rPr>
        <w:t>absence</w:t>
      </w:r>
      <w:r>
        <w:rPr>
          <w:spacing w:val="46"/>
          <w:sz w:val="25"/>
        </w:rPr>
        <w:t> </w:t>
      </w:r>
      <w:r>
        <w:rPr>
          <w:sz w:val="25"/>
        </w:rPr>
        <w:t>of</w:t>
      </w:r>
      <w:r>
        <w:rPr>
          <w:spacing w:val="47"/>
          <w:sz w:val="25"/>
        </w:rPr>
        <w:t> </w:t>
      </w:r>
      <w:r>
        <w:rPr>
          <w:sz w:val="25"/>
        </w:rPr>
        <w:t>traditional</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i/>
        </w:rPr>
        <w:t>prana parishta </w:t>
      </w:r>
      <w:r>
        <w:rPr/>
        <w:t>ceremonies of consecration, some institutionalised worship constituting recognition by the religion itself that the manifestation was a deity. In this view, a Swayambhu deity is premised on faith and belief coupled with a physical manifestation and religious recognition.</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41" w:firstLine="0"/>
        <w:jc w:val="both"/>
        <w:rPr>
          <w:sz w:val="25"/>
        </w:rPr>
      </w:pPr>
      <w:r>
        <w:rPr>
          <w:sz w:val="25"/>
        </w:rPr>
        <w:t>A </w:t>
      </w:r>
      <w:r>
        <w:rPr>
          <w:i/>
          <w:sz w:val="25"/>
        </w:rPr>
        <w:t>Swayambhu </w:t>
      </w:r>
      <w:r>
        <w:rPr>
          <w:sz w:val="25"/>
        </w:rPr>
        <w:t>deity is the revelation of God in a material form which is subsequently worshipped by devotees. The recognition of a Swayambhu deity is based on the notion that God is omnipotent and may manifest in some physical form. This manifestation is worshipped as the embodiment of divinity. In all these cases, the very attribution of divinity is premised on the manifestation of the deity in a material form. Undoubtedly, a deity may exist without a physical manifestation, example of this being the worship offered to the Sun and the Wind. But a </w:t>
      </w:r>
      <w:r>
        <w:rPr>
          <w:i/>
          <w:sz w:val="25"/>
        </w:rPr>
        <w:t>Swayambhu </w:t>
      </w:r>
      <w:r>
        <w:rPr>
          <w:sz w:val="25"/>
        </w:rPr>
        <w:t>is premised on the physical manifestation of the Divine to which faith and belief</w:t>
      </w:r>
      <w:r>
        <w:rPr>
          <w:spacing w:val="-3"/>
          <w:sz w:val="25"/>
        </w:rPr>
        <w:t> </w:t>
      </w:r>
      <w:r>
        <w:rPr>
          <w:sz w:val="25"/>
        </w:rPr>
        <w:t>attaches.</w:t>
      </w:r>
    </w:p>
    <w:p>
      <w:pPr>
        <w:pStyle w:val="BodyText"/>
        <w:rPr>
          <w:sz w:val="28"/>
        </w:rPr>
      </w:pPr>
    </w:p>
    <w:p>
      <w:pPr>
        <w:pStyle w:val="BodyText"/>
        <w:spacing w:before="11"/>
        <w:rPr>
          <w:sz w:val="21"/>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The difficulty that arises in the present case is that the </w:t>
      </w:r>
      <w:r>
        <w:rPr>
          <w:i/>
          <w:sz w:val="25"/>
        </w:rPr>
        <w:t>Swayambhu </w:t>
      </w:r>
      <w:r>
        <w:rPr>
          <w:sz w:val="25"/>
        </w:rPr>
        <w:t>deity seeking recognition before this Court is not in the form ordinarily associated with the pantheon of anthropomorphised Hindu Gods. The plaintiffs in Suit 5 have sought to locate the disputed land as a focal point by contending that the very land itself is the manifestation of the deity and that the devotees‘ worship not only the idols of Lord Ram, but the very land itself. The land does not contain any material manifestation of the resident deity Lord Ram. Absent the faith and belief of the devotees, the land holds no distinguishing features that could be recognised</w:t>
      </w:r>
      <w:r>
        <w:rPr>
          <w:spacing w:val="30"/>
          <w:sz w:val="25"/>
        </w:rPr>
        <w:t> </w:t>
      </w:r>
      <w:r>
        <w:rPr>
          <w:sz w:val="25"/>
        </w:rPr>
        <w:t>by</w:t>
      </w:r>
      <w:r>
        <w:rPr>
          <w:spacing w:val="29"/>
          <w:sz w:val="25"/>
        </w:rPr>
        <w:t> </w:t>
      </w:r>
      <w:r>
        <w:rPr>
          <w:sz w:val="25"/>
        </w:rPr>
        <w:t>this</w:t>
      </w:r>
      <w:r>
        <w:rPr>
          <w:spacing w:val="31"/>
          <w:sz w:val="25"/>
        </w:rPr>
        <w:t> </w:t>
      </w:r>
      <w:r>
        <w:rPr>
          <w:sz w:val="25"/>
        </w:rPr>
        <w:t>court</w:t>
      </w:r>
      <w:r>
        <w:rPr>
          <w:spacing w:val="30"/>
          <w:sz w:val="25"/>
        </w:rPr>
        <w:t> </w:t>
      </w:r>
      <w:r>
        <w:rPr>
          <w:sz w:val="25"/>
        </w:rPr>
        <w:t>as</w:t>
      </w:r>
      <w:r>
        <w:rPr>
          <w:spacing w:val="31"/>
          <w:sz w:val="25"/>
        </w:rPr>
        <w:t> </w:t>
      </w:r>
      <w:r>
        <w:rPr>
          <w:sz w:val="25"/>
        </w:rPr>
        <w:t>evidence</w:t>
      </w:r>
      <w:r>
        <w:rPr>
          <w:spacing w:val="31"/>
          <w:sz w:val="25"/>
        </w:rPr>
        <w:t> </w:t>
      </w:r>
      <w:r>
        <w:rPr>
          <w:sz w:val="25"/>
        </w:rPr>
        <w:t>of</w:t>
      </w:r>
      <w:r>
        <w:rPr>
          <w:spacing w:val="31"/>
          <w:sz w:val="25"/>
        </w:rPr>
        <w:t> </w:t>
      </w:r>
      <w:r>
        <w:rPr>
          <w:sz w:val="25"/>
        </w:rPr>
        <w:t>a</w:t>
      </w:r>
      <w:r>
        <w:rPr>
          <w:spacing w:val="32"/>
          <w:sz w:val="25"/>
        </w:rPr>
        <w:t> </w:t>
      </w:r>
      <w:r>
        <w:rPr>
          <w:sz w:val="25"/>
        </w:rPr>
        <w:t>manifestation</w:t>
      </w:r>
      <w:r>
        <w:rPr>
          <w:spacing w:val="31"/>
          <w:sz w:val="25"/>
        </w:rPr>
        <w:t> </w:t>
      </w:r>
      <w:r>
        <w:rPr>
          <w:sz w:val="25"/>
        </w:rPr>
        <w:t>of</w:t>
      </w:r>
      <w:r>
        <w:rPr>
          <w:spacing w:val="31"/>
          <w:sz w:val="25"/>
        </w:rPr>
        <w:t> </w:t>
      </w:r>
      <w:r>
        <w:rPr>
          <w:sz w:val="25"/>
        </w:rPr>
        <w:t>God</w:t>
      </w:r>
      <w:r>
        <w:rPr>
          <w:spacing w:val="31"/>
          <w:sz w:val="25"/>
        </w:rPr>
        <w:t> </w:t>
      </w:r>
      <w:r>
        <w:rPr>
          <w:sz w:val="25"/>
        </w:rPr>
        <w:t>at</w:t>
      </w:r>
      <w:r>
        <w:rPr>
          <w:spacing w:val="30"/>
          <w:sz w:val="25"/>
        </w:rPr>
        <w:t> </w:t>
      </w:r>
      <w:r>
        <w:rPr>
          <w:sz w:val="25"/>
        </w:rPr>
        <w:t>the</w:t>
      </w:r>
      <w:r>
        <w:rPr>
          <w:spacing w:val="31"/>
          <w:sz w:val="25"/>
        </w:rPr>
        <w:t> </w:t>
      </w:r>
      <w:r>
        <w:rPr>
          <w:sz w:val="25"/>
        </w:rPr>
        <w:t>disputed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site. It is true that in matters of faith and belief, the absence of evidence may not be evidence of absence. However, absent a manifestation, recognising the land as a self-manifested deity would open the floodgates for parties to contend that ordinary land which was witness to some event of religious significance associated with the human incarnation of a deity (e.g. the site of marriage, or the ascent to a heavenly abode) is in fact a </w:t>
      </w:r>
      <w:r>
        <w:rPr>
          <w:i/>
        </w:rPr>
        <w:t>Swayambhu </w:t>
      </w:r>
      <w:r>
        <w:rPr/>
        <w:t>deity manifested in the form of land. If the argument urged by Mr Parasaran that there is no requirement of a physical manifestation is accepted, it may well be claimed that any area of religious significance is a </w:t>
      </w:r>
      <w:r>
        <w:rPr>
          <w:i/>
        </w:rPr>
        <w:t>Swayambhu </w:t>
      </w:r>
      <w:r>
        <w:rPr/>
        <w:t>deity which deserves to be recognised as a juristic personality. This problem is compounded by the fact that worship to a particular deity at a religious site and to the land underlying a religious site are for all intents and purposes, indistinguishable. Hence, in order to provide a sound jurisprudential basis for the recognition of a </w:t>
      </w:r>
      <w:r>
        <w:rPr>
          <w:i/>
        </w:rPr>
        <w:t>Swayambhu </w:t>
      </w:r>
      <w:r>
        <w:rPr/>
        <w:t>deity, manifestation is crucial. Absent that manifestation which distinguishes the land from other property, juristic personality cannot be conferred on the</w:t>
      </w:r>
      <w:r>
        <w:rPr>
          <w:spacing w:val="-10"/>
        </w:rPr>
        <w:t> </w:t>
      </w:r>
      <w:r>
        <w:rPr/>
        <w:t>land.</w:t>
      </w:r>
    </w:p>
    <w:p>
      <w:pPr>
        <w:pStyle w:val="BodyText"/>
      </w:pPr>
    </w:p>
    <w:p>
      <w:pPr>
        <w:pStyle w:val="ListParagraph"/>
        <w:numPr>
          <w:ilvl w:val="0"/>
          <w:numId w:val="3"/>
        </w:numPr>
        <w:tabs>
          <w:tab w:pos="1221" w:val="left" w:leader="none"/>
        </w:tabs>
        <w:spacing w:line="480" w:lineRule="auto" w:before="0" w:after="0"/>
        <w:ind w:left="500" w:right="438" w:firstLine="0"/>
        <w:jc w:val="both"/>
        <w:rPr>
          <w:sz w:val="25"/>
        </w:rPr>
      </w:pPr>
      <w:r>
        <w:rPr>
          <w:sz w:val="25"/>
        </w:rPr>
        <w:t>It is conceivable that in certain instances the land itself would possess certain unique characteristics. For example, it may be claimed that certain patterns on a sea-shore or crop formations represent a manifestation of the divine. In these cases, the manifestation is inseparable from the land and is tied up to it. An independent question arises as to whether land can constitute the physical manifestation of the deity. Even if a court recognises land as a manifestation of a deity, because such land is also governed by the principles of immoveable property, the court will need to investigate the consequences which arise.</w:t>
      </w:r>
      <w:r>
        <w:rPr>
          <w:spacing w:val="18"/>
          <w:sz w:val="25"/>
        </w:rPr>
        <w:t> </w:t>
      </w:r>
      <w:r>
        <w:rPr>
          <w:sz w:val="25"/>
        </w:rPr>
        <w:t>In</w:t>
      </w:r>
      <w:r>
        <w:rPr>
          <w:spacing w:val="18"/>
          <w:sz w:val="25"/>
        </w:rPr>
        <w:t> </w:t>
      </w:r>
      <w:r>
        <w:rPr>
          <w:sz w:val="25"/>
        </w:rPr>
        <w:t>doing</w:t>
      </w:r>
      <w:r>
        <w:rPr>
          <w:spacing w:val="18"/>
          <w:sz w:val="25"/>
        </w:rPr>
        <w:t> </w:t>
      </w:r>
      <w:r>
        <w:rPr>
          <w:sz w:val="25"/>
        </w:rPr>
        <w:t>so</w:t>
      </w:r>
      <w:r>
        <w:rPr>
          <w:spacing w:val="18"/>
          <w:sz w:val="25"/>
        </w:rPr>
        <w:t> </w:t>
      </w:r>
      <w:r>
        <w:rPr>
          <w:sz w:val="25"/>
        </w:rPr>
        <w:t>the</w:t>
      </w:r>
      <w:r>
        <w:rPr>
          <w:spacing w:val="19"/>
          <w:sz w:val="25"/>
        </w:rPr>
        <w:t> </w:t>
      </w:r>
      <w:r>
        <w:rPr>
          <w:sz w:val="25"/>
        </w:rPr>
        <w:t>court</w:t>
      </w:r>
      <w:r>
        <w:rPr>
          <w:spacing w:val="18"/>
          <w:sz w:val="25"/>
        </w:rPr>
        <w:t> </w:t>
      </w:r>
      <w:r>
        <w:rPr>
          <w:sz w:val="25"/>
        </w:rPr>
        <w:t>must</w:t>
      </w:r>
      <w:r>
        <w:rPr>
          <w:spacing w:val="18"/>
          <w:sz w:val="25"/>
        </w:rPr>
        <w:t> </w:t>
      </w:r>
      <w:r>
        <w:rPr>
          <w:sz w:val="25"/>
        </w:rPr>
        <w:t>analyse</w:t>
      </w:r>
      <w:r>
        <w:rPr>
          <w:spacing w:val="18"/>
          <w:sz w:val="25"/>
        </w:rPr>
        <w:t> </w:t>
      </w:r>
      <w:r>
        <w:rPr>
          <w:sz w:val="25"/>
        </w:rPr>
        <w:t>the</w:t>
      </w:r>
      <w:r>
        <w:rPr>
          <w:spacing w:val="18"/>
          <w:sz w:val="25"/>
        </w:rPr>
        <w:t> </w:t>
      </w:r>
      <w:r>
        <w:rPr>
          <w:sz w:val="25"/>
        </w:rPr>
        <w:t>compatibility</w:t>
      </w:r>
      <w:r>
        <w:rPr>
          <w:spacing w:val="16"/>
          <w:sz w:val="25"/>
        </w:rPr>
        <w:t> </w:t>
      </w:r>
      <w:r>
        <w:rPr>
          <w:sz w:val="25"/>
        </w:rPr>
        <w:t>of</w:t>
      </w:r>
      <w:r>
        <w:rPr>
          <w:spacing w:val="18"/>
          <w:sz w:val="25"/>
        </w:rPr>
        <w:t> </w:t>
      </w:r>
      <w:r>
        <w:rPr>
          <w:sz w:val="25"/>
        </w:rPr>
        <w:t>the</w:t>
      </w:r>
      <w:r>
        <w:rPr>
          <w:spacing w:val="18"/>
          <w:sz w:val="25"/>
        </w:rPr>
        <w:t> </w:t>
      </w:r>
      <w:r>
        <w:rPr>
          <w:sz w:val="25"/>
        </w:rPr>
        <w:t>legal</w:t>
      </w:r>
      <w:r>
        <w:rPr>
          <w:spacing w:val="17"/>
          <w:sz w:val="25"/>
        </w:rPr>
        <w:t> </w:t>
      </w:r>
      <w:r>
        <w:rPr>
          <w:sz w:val="25"/>
        </w:rPr>
        <w:t>regime</w:t>
      </w:r>
      <w:r>
        <w:rPr>
          <w:spacing w:val="18"/>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512"/>
      </w:pPr>
      <w:r>
        <w:rPr/>
        <w:t>juristic personality with the legal regime on immoveable property. It is necessary now to turn to this.</w:t>
      </w:r>
    </w:p>
    <w:p>
      <w:pPr>
        <w:pStyle w:val="BodyText"/>
        <w:spacing w:before="2"/>
      </w:pPr>
    </w:p>
    <w:p>
      <w:pPr>
        <w:pStyle w:val="Heading4"/>
        <w:jc w:val="left"/>
        <w:rPr>
          <w:i/>
        </w:rPr>
      </w:pPr>
      <w:r>
        <w:rPr>
          <w:i/>
        </w:rPr>
        <w:t>Property vested in a deity and property as a deity</w:t>
      </w:r>
    </w:p>
    <w:p>
      <w:pPr>
        <w:pStyle w:val="BodyText"/>
        <w:rPr>
          <w:i/>
          <w:sz w:val="28"/>
        </w:rPr>
      </w:pPr>
    </w:p>
    <w:p>
      <w:pPr>
        <w:pStyle w:val="ListParagraph"/>
        <w:numPr>
          <w:ilvl w:val="0"/>
          <w:numId w:val="3"/>
        </w:numPr>
        <w:tabs>
          <w:tab w:pos="1221" w:val="left" w:leader="none"/>
        </w:tabs>
        <w:spacing w:line="480" w:lineRule="auto" w:before="250" w:after="0"/>
        <w:ind w:left="500" w:right="437" w:firstLine="0"/>
        <w:jc w:val="both"/>
        <w:rPr>
          <w:sz w:val="25"/>
        </w:rPr>
      </w:pPr>
      <w:r>
        <w:rPr>
          <w:sz w:val="25"/>
        </w:rPr>
        <w:t>There is a significant distinction between property vested </w:t>
      </w:r>
      <w:r>
        <w:rPr>
          <w:i/>
          <w:sz w:val="25"/>
        </w:rPr>
        <w:t>in </w:t>
      </w:r>
      <w:r>
        <w:rPr>
          <w:sz w:val="25"/>
        </w:rPr>
        <w:t>a foundation (as in Roman law) or a deity as a juristic person (as in Hindu Law) and property </w:t>
      </w:r>
      <w:r>
        <w:rPr>
          <w:i/>
          <w:sz w:val="25"/>
        </w:rPr>
        <w:t>per se </w:t>
      </w:r>
      <w:r>
        <w:rPr>
          <w:sz w:val="25"/>
        </w:rPr>
        <w:t>being a juristic person. Where the property vests in a foundation constituted for a pious purpose, it retains its characteristics as immoveable property. This remains true even in cases where the property vests in the deity in an ideal sense. The purpose of conferring juristic personality is to ensure both a centre of legal relations as well as the protection of the beneficial interest of the devotees. It does not however, alter the character of the property which vests in the juristic person. It remains subject to the framework of the law which defines  all relationships governing rights or interests claimed in respect of property and the liabilities which attach to jural transactions arising out of</w:t>
      </w:r>
      <w:r>
        <w:rPr>
          <w:spacing w:val="-10"/>
          <w:sz w:val="25"/>
        </w:rPr>
        <w:t> </w:t>
      </w:r>
      <w:r>
        <w:rPr>
          <w:sz w:val="25"/>
        </w:rPr>
        <w:t>property.</w:t>
      </w:r>
    </w:p>
    <w:p>
      <w:pPr>
        <w:pStyle w:val="BodyText"/>
        <w:spacing w:before="1"/>
      </w:pPr>
    </w:p>
    <w:p>
      <w:pPr>
        <w:pStyle w:val="ListParagraph"/>
        <w:numPr>
          <w:ilvl w:val="0"/>
          <w:numId w:val="3"/>
        </w:numPr>
        <w:tabs>
          <w:tab w:pos="1221" w:val="left" w:leader="none"/>
        </w:tabs>
        <w:spacing w:line="480" w:lineRule="auto" w:before="1" w:after="0"/>
        <w:ind w:left="500" w:right="433" w:firstLine="0"/>
        <w:jc w:val="both"/>
        <w:rPr>
          <w:sz w:val="25"/>
        </w:rPr>
      </w:pPr>
      <w:r>
        <w:rPr/>
        <w:pict>
          <v:rect style="position:absolute;margin-left:72.024002pt;margin-top:235.624893pt;width:144.020pt;height:.599980pt;mso-position-horizontal-relative:page;mso-position-vertical-relative:paragraph;z-index:-15692288;mso-wrap-distance-left:0;mso-wrap-distance-right:0" filled="true" fillcolor="#000000" stroked="false">
            <v:fill type="solid"/>
            <w10:wrap type="topAndBottom"/>
          </v:rect>
        </w:pict>
      </w:r>
      <w:r>
        <w:rPr>
          <w:sz w:val="25"/>
        </w:rPr>
        <w:t>This distinction, which highlights the features of immoveable property received articulation by the Privy Council in </w:t>
      </w:r>
      <w:r>
        <w:rPr>
          <w:b/>
          <w:sz w:val="25"/>
        </w:rPr>
        <w:t>The Mosque, Masjid Shahid Ganj </w:t>
      </w:r>
      <w:r>
        <w:rPr>
          <w:sz w:val="25"/>
        </w:rPr>
        <w:t>v </w:t>
      </w:r>
      <w:r>
        <w:rPr>
          <w:b/>
          <w:sz w:val="25"/>
        </w:rPr>
        <w:t>Shiromani Gurdwara Parbandhak Committee, Amritsar</w:t>
      </w:r>
      <w:r>
        <w:rPr>
          <w:sz w:val="25"/>
        </w:rPr>
        <w:t>.</w:t>
      </w:r>
      <w:r>
        <w:rPr>
          <w:sz w:val="25"/>
          <w:vertAlign w:val="superscript"/>
        </w:rPr>
        <w:t>121</w:t>
      </w:r>
      <w:r>
        <w:rPr>
          <w:sz w:val="25"/>
          <w:vertAlign w:val="baseline"/>
        </w:rPr>
        <w:t> In that case, a mosque was dedicated in 1722 by one Falak Beg Khan. By the deed of dedication, Sheikh Din Mohammad and his descendants were appointed as Mutawallis. Since 1762, however, the building together with the court-yard, well and adjacent land, was in the occupation and possession of the Sikhs. The land adjacent</w:t>
      </w:r>
      <w:r>
        <w:rPr>
          <w:spacing w:val="49"/>
          <w:sz w:val="25"/>
          <w:vertAlign w:val="baseline"/>
        </w:rPr>
        <w:t> </w:t>
      </w:r>
      <w:r>
        <w:rPr>
          <w:sz w:val="25"/>
          <w:vertAlign w:val="baseline"/>
        </w:rPr>
        <w:t>to</w:t>
      </w:r>
      <w:r>
        <w:rPr>
          <w:spacing w:val="50"/>
          <w:sz w:val="25"/>
          <w:vertAlign w:val="baseline"/>
        </w:rPr>
        <w:t> </w:t>
      </w:r>
      <w:r>
        <w:rPr>
          <w:sz w:val="25"/>
          <w:vertAlign w:val="baseline"/>
        </w:rPr>
        <w:t>the</w:t>
      </w:r>
      <w:r>
        <w:rPr>
          <w:spacing w:val="50"/>
          <w:sz w:val="25"/>
          <w:vertAlign w:val="baseline"/>
        </w:rPr>
        <w:t> </w:t>
      </w:r>
      <w:r>
        <w:rPr>
          <w:sz w:val="25"/>
          <w:vertAlign w:val="baseline"/>
        </w:rPr>
        <w:t>mosque</w:t>
      </w:r>
      <w:r>
        <w:rPr>
          <w:spacing w:val="50"/>
          <w:sz w:val="25"/>
          <w:vertAlign w:val="baseline"/>
        </w:rPr>
        <w:t> </w:t>
      </w:r>
      <w:r>
        <w:rPr>
          <w:sz w:val="25"/>
          <w:vertAlign w:val="baseline"/>
        </w:rPr>
        <w:t>became</w:t>
      </w:r>
      <w:r>
        <w:rPr>
          <w:spacing w:val="50"/>
          <w:sz w:val="25"/>
          <w:vertAlign w:val="baseline"/>
        </w:rPr>
        <w:t> </w:t>
      </w:r>
      <w:r>
        <w:rPr>
          <w:sz w:val="25"/>
          <w:vertAlign w:val="baseline"/>
        </w:rPr>
        <w:t>the</w:t>
      </w:r>
      <w:r>
        <w:rPr>
          <w:spacing w:val="50"/>
          <w:sz w:val="25"/>
          <w:vertAlign w:val="baseline"/>
        </w:rPr>
        <w:t> </w:t>
      </w:r>
      <w:r>
        <w:rPr>
          <w:sz w:val="25"/>
          <w:vertAlign w:val="baseline"/>
        </w:rPr>
        <w:t>site</w:t>
      </w:r>
      <w:r>
        <w:rPr>
          <w:spacing w:val="50"/>
          <w:sz w:val="25"/>
          <w:vertAlign w:val="baseline"/>
        </w:rPr>
        <w:t> </w:t>
      </w:r>
      <w:r>
        <w:rPr>
          <w:sz w:val="25"/>
          <w:vertAlign w:val="baseline"/>
        </w:rPr>
        <w:t>of</w:t>
      </w:r>
      <w:r>
        <w:rPr>
          <w:spacing w:val="50"/>
          <w:sz w:val="25"/>
          <w:vertAlign w:val="baseline"/>
        </w:rPr>
        <w:t> </w:t>
      </w:r>
      <w:r>
        <w:rPr>
          <w:sz w:val="25"/>
          <w:vertAlign w:val="baseline"/>
        </w:rPr>
        <w:t>a</w:t>
      </w:r>
      <w:r>
        <w:rPr>
          <w:spacing w:val="50"/>
          <w:sz w:val="25"/>
          <w:vertAlign w:val="baseline"/>
        </w:rPr>
        <w:t> </w:t>
      </w:r>
      <w:r>
        <w:rPr>
          <w:sz w:val="25"/>
          <w:vertAlign w:val="baseline"/>
        </w:rPr>
        <w:t>Sikh</w:t>
      </w:r>
      <w:r>
        <w:rPr>
          <w:spacing w:val="50"/>
          <w:sz w:val="25"/>
          <w:vertAlign w:val="baseline"/>
        </w:rPr>
        <w:t> </w:t>
      </w:r>
      <w:r>
        <w:rPr>
          <w:sz w:val="25"/>
          <w:vertAlign w:val="baseline"/>
        </w:rPr>
        <w:t>shrine.</w:t>
      </w:r>
      <w:r>
        <w:rPr>
          <w:spacing w:val="49"/>
          <w:sz w:val="25"/>
          <w:vertAlign w:val="baseline"/>
        </w:rPr>
        <w:t> </w:t>
      </w:r>
      <w:r>
        <w:rPr>
          <w:sz w:val="25"/>
          <w:vertAlign w:val="baseline"/>
        </w:rPr>
        <w:t>At</w:t>
      </w:r>
      <w:r>
        <w:rPr>
          <w:spacing w:val="52"/>
          <w:sz w:val="25"/>
          <w:vertAlign w:val="baseline"/>
        </w:rPr>
        <w:t> </w:t>
      </w:r>
      <w:r>
        <w:rPr>
          <w:sz w:val="25"/>
          <w:vertAlign w:val="baseline"/>
        </w:rPr>
        <w:t>the</w:t>
      </w:r>
      <w:r>
        <w:rPr>
          <w:spacing w:val="50"/>
          <w:sz w:val="25"/>
          <w:vertAlign w:val="baseline"/>
        </w:rPr>
        <w:t> </w:t>
      </w:r>
      <w:r>
        <w:rPr>
          <w:sz w:val="25"/>
          <w:vertAlign w:val="baseline"/>
        </w:rPr>
        <w:t>time</w:t>
      </w:r>
      <w:r>
        <w:rPr>
          <w:spacing w:val="50"/>
          <w:sz w:val="25"/>
          <w:vertAlign w:val="baseline"/>
        </w:rPr>
        <w:t> </w:t>
      </w:r>
      <w:r>
        <w:rPr>
          <w:sz w:val="25"/>
          <w:vertAlign w:val="baseline"/>
        </w:rPr>
        <w:t>of</w:t>
      </w:r>
      <w:r>
        <w:rPr>
          <w:spacing w:val="50"/>
          <w:sz w:val="25"/>
          <w:vertAlign w:val="baseline"/>
        </w:rPr>
        <w:t> </w:t>
      </w:r>
      <w:r>
        <w:rPr>
          <w:sz w:val="25"/>
          <w:vertAlign w:val="baseline"/>
        </w:rPr>
        <w:t>the</w:t>
      </w:r>
    </w:p>
    <w:p>
      <w:pPr>
        <w:spacing w:before="80"/>
        <w:ind w:left="500" w:right="0" w:firstLine="0"/>
        <w:jc w:val="left"/>
        <w:rPr>
          <w:sz w:val="18"/>
        </w:rPr>
      </w:pPr>
      <w:r>
        <w:rPr>
          <w:sz w:val="18"/>
          <w:vertAlign w:val="superscript"/>
        </w:rPr>
        <w:t>121</w:t>
      </w:r>
      <w:r>
        <w:rPr>
          <w:sz w:val="18"/>
          <w:vertAlign w:val="baseline"/>
        </w:rPr>
        <w:t> AIR 1940 PC 116</w:t>
      </w:r>
    </w:p>
    <w:p>
      <w:pPr>
        <w:spacing w:after="0"/>
        <w:jc w:val="left"/>
        <w:rPr>
          <w:sz w:val="18"/>
        </w:rPr>
        <w:sectPr>
          <w:pgSz w:w="11910" w:h="16840"/>
          <w:pgMar w:header="721" w:footer="1014" w:top="1300" w:bottom="1200" w:left="940" w:right="1000"/>
        </w:sectPr>
      </w:pPr>
    </w:p>
    <w:p>
      <w:pPr>
        <w:pStyle w:val="BodyText"/>
        <w:spacing w:line="480" w:lineRule="auto" w:before="124"/>
        <w:ind w:left="500" w:right="512"/>
      </w:pPr>
      <w:r>
        <w:rPr/>
        <w:t>annexation by the British in 1849, the Sikhs were in possession of both the mosque and the adjacent lands.</w:t>
      </w:r>
    </w:p>
    <w:p>
      <w:pPr>
        <w:pStyle w:val="BodyText"/>
      </w:pPr>
    </w:p>
    <w:p>
      <w:pPr>
        <w:pStyle w:val="ListParagraph"/>
        <w:numPr>
          <w:ilvl w:val="0"/>
          <w:numId w:val="3"/>
        </w:numPr>
        <w:tabs>
          <w:tab w:pos="1221" w:val="left" w:leader="none"/>
        </w:tabs>
        <w:spacing w:line="480" w:lineRule="auto" w:before="0" w:after="0"/>
        <w:ind w:left="500" w:right="434" w:firstLine="0"/>
        <w:jc w:val="both"/>
        <w:rPr>
          <w:sz w:val="25"/>
        </w:rPr>
      </w:pPr>
      <w:r>
        <w:rPr>
          <w:w w:val="99"/>
          <w:sz w:val="25"/>
        </w:rPr>
        <w:t>T</w:t>
      </w:r>
      <w:r>
        <w:rPr>
          <w:spacing w:val="-1"/>
          <w:w w:val="99"/>
          <w:sz w:val="25"/>
        </w:rPr>
        <w:t>h</w:t>
      </w:r>
      <w:r>
        <w:rPr>
          <w:w w:val="99"/>
          <w:sz w:val="25"/>
        </w:rPr>
        <w:t>er</w:t>
      </w:r>
      <w:r>
        <w:rPr>
          <w:spacing w:val="-1"/>
          <w:w w:val="99"/>
          <w:sz w:val="25"/>
        </w:rPr>
        <w:t>e</w:t>
      </w:r>
      <w:r>
        <w:rPr>
          <w:w w:val="99"/>
          <w:sz w:val="25"/>
        </w:rPr>
        <w:t>after,</w:t>
      </w:r>
      <w:r>
        <w:rPr>
          <w:spacing w:val="26"/>
          <w:sz w:val="25"/>
        </w:rPr>
        <w:t> </w:t>
      </w:r>
      <w:r>
        <w:rPr>
          <w:w w:val="99"/>
          <w:sz w:val="25"/>
        </w:rPr>
        <w:t>the</w:t>
      </w:r>
      <w:r>
        <w:rPr>
          <w:spacing w:val="27"/>
          <w:sz w:val="25"/>
        </w:rPr>
        <w:t> </w:t>
      </w:r>
      <w:r>
        <w:rPr>
          <w:spacing w:val="-1"/>
          <w:w w:val="99"/>
          <w:sz w:val="25"/>
        </w:rPr>
        <w:t>b</w:t>
      </w:r>
      <w:r>
        <w:rPr>
          <w:w w:val="99"/>
          <w:sz w:val="25"/>
        </w:rPr>
        <w:t>u</w:t>
      </w:r>
      <w:r>
        <w:rPr>
          <w:spacing w:val="-1"/>
          <w:w w:val="99"/>
          <w:sz w:val="25"/>
        </w:rPr>
        <w:t>ild</w:t>
      </w:r>
      <w:r>
        <w:rPr>
          <w:spacing w:val="-3"/>
          <w:w w:val="99"/>
          <w:sz w:val="25"/>
        </w:rPr>
        <w:t>i</w:t>
      </w:r>
      <w:r>
        <w:rPr>
          <w:spacing w:val="-1"/>
          <w:w w:val="99"/>
          <w:sz w:val="25"/>
        </w:rPr>
        <w:t>n</w:t>
      </w:r>
      <w:r>
        <w:rPr>
          <w:w w:val="99"/>
          <w:sz w:val="25"/>
        </w:rPr>
        <w:t>g</w:t>
      </w:r>
      <w:r>
        <w:rPr>
          <w:spacing w:val="26"/>
          <w:sz w:val="25"/>
        </w:rPr>
        <w:t> </w:t>
      </w:r>
      <w:r>
        <w:rPr>
          <w:spacing w:val="-1"/>
          <w:w w:val="99"/>
          <w:sz w:val="25"/>
        </w:rPr>
        <w:t>wa</w:t>
      </w:r>
      <w:r>
        <w:rPr>
          <w:w w:val="99"/>
          <w:sz w:val="25"/>
        </w:rPr>
        <w:t>s</w:t>
      </w:r>
      <w:r>
        <w:rPr>
          <w:spacing w:val="26"/>
          <w:sz w:val="25"/>
        </w:rPr>
        <w:t> </w:t>
      </w:r>
      <w:r>
        <w:rPr>
          <w:spacing w:val="-1"/>
          <w:w w:val="99"/>
          <w:sz w:val="25"/>
        </w:rPr>
        <w:t>d</w:t>
      </w:r>
      <w:r>
        <w:rPr>
          <w:w w:val="99"/>
          <w:sz w:val="25"/>
        </w:rPr>
        <w:t>em</w:t>
      </w:r>
      <w:r>
        <w:rPr>
          <w:spacing w:val="-1"/>
          <w:w w:val="99"/>
          <w:sz w:val="25"/>
        </w:rPr>
        <w:t>olish</w:t>
      </w:r>
      <w:r>
        <w:rPr>
          <w:w w:val="99"/>
          <w:sz w:val="25"/>
        </w:rPr>
        <w:t>ed</w:t>
      </w:r>
      <w:r>
        <w:rPr>
          <w:spacing w:val="26"/>
          <w:sz w:val="25"/>
        </w:rPr>
        <w:t> </w:t>
      </w:r>
      <w:r>
        <w:rPr>
          <w:spacing w:val="3"/>
          <w:w w:val="33"/>
          <w:sz w:val="25"/>
        </w:rPr>
        <w:t>―</w:t>
      </w:r>
      <w:r>
        <w:rPr>
          <w:spacing w:val="-1"/>
          <w:w w:val="99"/>
          <w:sz w:val="25"/>
        </w:rPr>
        <w:t>b</w:t>
      </w:r>
      <w:r>
        <w:rPr>
          <w:w w:val="99"/>
          <w:sz w:val="25"/>
        </w:rPr>
        <w:t>y</w:t>
      </w:r>
      <w:r>
        <w:rPr>
          <w:spacing w:val="24"/>
          <w:sz w:val="25"/>
        </w:rPr>
        <w:t> </w:t>
      </w:r>
      <w:r>
        <w:rPr>
          <w:spacing w:val="-1"/>
          <w:w w:val="99"/>
          <w:sz w:val="25"/>
        </w:rPr>
        <w:t>o</w:t>
      </w:r>
      <w:r>
        <w:rPr>
          <w:w w:val="99"/>
          <w:sz w:val="25"/>
        </w:rPr>
        <w:t>r</w:t>
      </w:r>
      <w:r>
        <w:rPr>
          <w:spacing w:val="29"/>
          <w:sz w:val="25"/>
        </w:rPr>
        <w:t> </w:t>
      </w:r>
      <w:r>
        <w:rPr>
          <w:spacing w:val="-1"/>
          <w:w w:val="99"/>
          <w:sz w:val="25"/>
        </w:rPr>
        <w:t>wit</w:t>
      </w:r>
      <w:r>
        <w:rPr>
          <w:w w:val="99"/>
          <w:sz w:val="25"/>
        </w:rPr>
        <w:t>h</w:t>
      </w:r>
      <w:r>
        <w:rPr>
          <w:spacing w:val="26"/>
          <w:sz w:val="25"/>
        </w:rPr>
        <w:t> </w:t>
      </w:r>
      <w:r>
        <w:rPr>
          <w:w w:val="99"/>
          <w:sz w:val="25"/>
        </w:rPr>
        <w:t>the</w:t>
      </w:r>
      <w:r>
        <w:rPr>
          <w:spacing w:val="27"/>
          <w:sz w:val="25"/>
        </w:rPr>
        <w:t> </w:t>
      </w:r>
      <w:r>
        <w:rPr>
          <w:w w:val="99"/>
          <w:sz w:val="25"/>
        </w:rPr>
        <w:t>con</w:t>
      </w:r>
      <w:r>
        <w:rPr>
          <w:spacing w:val="-1"/>
          <w:w w:val="99"/>
          <w:sz w:val="25"/>
        </w:rPr>
        <w:t>n</w:t>
      </w:r>
      <w:r>
        <w:rPr>
          <w:spacing w:val="2"/>
          <w:w w:val="99"/>
          <w:sz w:val="25"/>
        </w:rPr>
        <w:t>i</w:t>
      </w:r>
      <w:r>
        <w:rPr>
          <w:w w:val="99"/>
          <w:sz w:val="25"/>
        </w:rPr>
        <w:t>vance</w:t>
      </w:r>
      <w:r>
        <w:rPr>
          <w:spacing w:val="26"/>
          <w:sz w:val="25"/>
        </w:rPr>
        <w:t> </w:t>
      </w:r>
      <w:r>
        <w:rPr>
          <w:spacing w:val="-1"/>
          <w:w w:val="99"/>
          <w:sz w:val="25"/>
        </w:rPr>
        <w:t>o</w:t>
      </w:r>
      <w:r>
        <w:rPr>
          <w:w w:val="99"/>
          <w:sz w:val="25"/>
        </w:rPr>
        <w:t>f</w:t>
      </w:r>
      <w:r>
        <w:rPr>
          <w:spacing w:val="26"/>
          <w:sz w:val="25"/>
        </w:rPr>
        <w:t> </w:t>
      </w:r>
      <w:r>
        <w:rPr>
          <w:spacing w:val="-1"/>
          <w:w w:val="99"/>
          <w:sz w:val="25"/>
        </w:rPr>
        <w:t>its </w:t>
      </w:r>
      <w:r>
        <w:rPr>
          <w:sz w:val="25"/>
        </w:rPr>
        <w:t>Sikh custodians‖. A suit was instituted in 1935 against Shiromani Gurdawara Parbandhak Committee – who were in possession of the disputed property, seeking a declaration that the building was a mosque in which the plaintiffs and all the followers of Islam had a right to worship along with a mandatory injunction to reconstruct the building. One of the 18 plaintiffs was the mosque itself - the site and the building. The Privy Council assessed the contention that the mosque and the adjoining properties were a juristic person. Rejecting the contention, Justice George Rankin</w:t>
      </w:r>
      <w:r>
        <w:rPr>
          <w:spacing w:val="-2"/>
          <w:sz w:val="25"/>
        </w:rPr>
        <w:t> </w:t>
      </w:r>
      <w:r>
        <w:rPr>
          <w:sz w:val="25"/>
        </w:rPr>
        <w:t>held:</w:t>
      </w:r>
    </w:p>
    <w:p>
      <w:pPr>
        <w:spacing w:line="276" w:lineRule="auto" w:before="0"/>
        <w:ind w:left="1940" w:right="2169" w:firstLine="0"/>
        <w:jc w:val="both"/>
        <w:rPr>
          <w:sz w:val="21"/>
        </w:rPr>
      </w:pPr>
      <w:r>
        <w:rPr>
          <w:spacing w:val="-1"/>
          <w:w w:val="33"/>
          <w:sz w:val="21"/>
        </w:rPr>
        <w:t>―</w:t>
      </w:r>
      <w:r>
        <w:rPr>
          <w:w w:val="100"/>
          <w:sz w:val="21"/>
        </w:rPr>
        <w:t>The</w:t>
      </w:r>
      <w:r>
        <w:rPr>
          <w:spacing w:val="1"/>
          <w:sz w:val="21"/>
        </w:rPr>
        <w:t> </w:t>
      </w:r>
      <w:r>
        <w:rPr>
          <w:spacing w:val="-1"/>
          <w:w w:val="100"/>
          <w:sz w:val="21"/>
        </w:rPr>
        <w:t>arg</w:t>
      </w:r>
      <w:r>
        <w:rPr>
          <w:spacing w:val="-3"/>
          <w:w w:val="100"/>
          <w:sz w:val="21"/>
        </w:rPr>
        <w:t>u</w:t>
      </w:r>
      <w:r>
        <w:rPr>
          <w:spacing w:val="-1"/>
          <w:w w:val="100"/>
          <w:sz w:val="21"/>
        </w:rPr>
        <w:t>men</w:t>
      </w:r>
      <w:r>
        <w:rPr>
          <w:w w:val="100"/>
          <w:sz w:val="21"/>
        </w:rPr>
        <w:t>t</w:t>
      </w:r>
      <w:r>
        <w:rPr>
          <w:spacing w:val="2"/>
          <w:sz w:val="21"/>
        </w:rPr>
        <w:t> </w:t>
      </w:r>
      <w:r>
        <w:rPr>
          <w:spacing w:val="-2"/>
          <w:w w:val="100"/>
          <w:sz w:val="21"/>
        </w:rPr>
        <w:t>t</w:t>
      </w:r>
      <w:r>
        <w:rPr>
          <w:spacing w:val="-1"/>
          <w:w w:val="100"/>
          <w:sz w:val="21"/>
        </w:rPr>
        <w:t>ha</w:t>
      </w:r>
      <w:r>
        <w:rPr>
          <w:w w:val="100"/>
          <w:sz w:val="21"/>
        </w:rPr>
        <w:t>t</w:t>
      </w:r>
      <w:r>
        <w:rPr>
          <w:spacing w:val="2"/>
          <w:sz w:val="21"/>
        </w:rPr>
        <w:t> </w:t>
      </w:r>
      <w:r>
        <w:rPr>
          <w:spacing w:val="-2"/>
          <w:w w:val="100"/>
          <w:sz w:val="21"/>
        </w:rPr>
        <w:t>t</w:t>
      </w:r>
      <w:r>
        <w:rPr>
          <w:spacing w:val="-3"/>
          <w:w w:val="100"/>
          <w:sz w:val="21"/>
        </w:rPr>
        <w:t>h</w:t>
      </w:r>
      <w:r>
        <w:rPr>
          <w:w w:val="100"/>
          <w:sz w:val="21"/>
        </w:rPr>
        <w:t>e</w:t>
      </w:r>
      <w:r>
        <w:rPr>
          <w:spacing w:val="1"/>
          <w:sz w:val="21"/>
        </w:rPr>
        <w:t> </w:t>
      </w:r>
      <w:r>
        <w:rPr>
          <w:w w:val="100"/>
          <w:sz w:val="21"/>
        </w:rPr>
        <w:t>l</w:t>
      </w:r>
      <w:r>
        <w:rPr>
          <w:spacing w:val="-3"/>
          <w:w w:val="100"/>
          <w:sz w:val="21"/>
        </w:rPr>
        <w:t>a</w:t>
      </w:r>
      <w:r>
        <w:rPr>
          <w:spacing w:val="-1"/>
          <w:w w:val="100"/>
          <w:sz w:val="21"/>
        </w:rPr>
        <w:t>n</w:t>
      </w:r>
      <w:r>
        <w:rPr>
          <w:w w:val="100"/>
          <w:sz w:val="21"/>
        </w:rPr>
        <w:t>d</w:t>
      </w:r>
      <w:r>
        <w:rPr>
          <w:spacing w:val="4"/>
          <w:sz w:val="21"/>
        </w:rPr>
        <w:t> </w:t>
      </w:r>
      <w:r>
        <w:rPr>
          <w:spacing w:val="-3"/>
          <w:w w:val="100"/>
          <w:sz w:val="21"/>
        </w:rPr>
        <w:t>a</w:t>
      </w:r>
      <w:r>
        <w:rPr>
          <w:spacing w:val="-1"/>
          <w:w w:val="100"/>
          <w:sz w:val="21"/>
        </w:rPr>
        <w:t>n</w:t>
      </w:r>
      <w:r>
        <w:rPr>
          <w:w w:val="100"/>
          <w:sz w:val="21"/>
        </w:rPr>
        <w:t>d</w:t>
      </w:r>
      <w:r>
        <w:rPr>
          <w:spacing w:val="4"/>
          <w:sz w:val="21"/>
        </w:rPr>
        <w:t> </w:t>
      </w:r>
      <w:r>
        <w:rPr>
          <w:w w:val="100"/>
          <w:sz w:val="21"/>
        </w:rPr>
        <w:t>b</w:t>
      </w:r>
      <w:r>
        <w:rPr>
          <w:spacing w:val="-3"/>
          <w:w w:val="100"/>
          <w:sz w:val="21"/>
        </w:rPr>
        <w:t>u</w:t>
      </w:r>
      <w:r>
        <w:rPr>
          <w:w w:val="100"/>
          <w:sz w:val="21"/>
        </w:rPr>
        <w:t>il</w:t>
      </w:r>
      <w:r>
        <w:rPr>
          <w:spacing w:val="-3"/>
          <w:w w:val="100"/>
          <w:sz w:val="21"/>
        </w:rPr>
        <w:t>d</w:t>
      </w:r>
      <w:r>
        <w:rPr>
          <w:w w:val="100"/>
          <w:sz w:val="21"/>
        </w:rPr>
        <w:t>i</w:t>
      </w:r>
      <w:r>
        <w:rPr>
          <w:spacing w:val="-3"/>
          <w:w w:val="100"/>
          <w:sz w:val="21"/>
        </w:rPr>
        <w:t>n</w:t>
      </w:r>
      <w:r>
        <w:rPr>
          <w:w w:val="100"/>
          <w:sz w:val="21"/>
        </w:rPr>
        <w:t>gs</w:t>
      </w:r>
      <w:r>
        <w:rPr>
          <w:spacing w:val="1"/>
          <w:sz w:val="21"/>
        </w:rPr>
        <w:t> </w:t>
      </w:r>
      <w:r>
        <w:rPr>
          <w:w w:val="100"/>
          <w:sz w:val="21"/>
        </w:rPr>
        <w:t>of</w:t>
      </w:r>
      <w:r>
        <w:rPr>
          <w:spacing w:val="2"/>
          <w:sz w:val="21"/>
        </w:rPr>
        <w:t> </w:t>
      </w:r>
      <w:r>
        <w:rPr>
          <w:w w:val="100"/>
          <w:sz w:val="21"/>
        </w:rPr>
        <w:t>a</w:t>
      </w:r>
      <w:r>
        <w:rPr>
          <w:spacing w:val="1"/>
          <w:sz w:val="21"/>
        </w:rPr>
        <w:t> </w:t>
      </w:r>
      <w:r>
        <w:rPr>
          <w:spacing w:val="-1"/>
          <w:w w:val="100"/>
          <w:sz w:val="21"/>
        </w:rPr>
        <w:t>m</w:t>
      </w:r>
      <w:r>
        <w:rPr>
          <w:w w:val="100"/>
          <w:sz w:val="21"/>
        </w:rPr>
        <w:t>o</w:t>
      </w:r>
      <w:r>
        <w:rPr>
          <w:spacing w:val="-3"/>
          <w:w w:val="100"/>
          <w:sz w:val="21"/>
        </w:rPr>
        <w:t>s</w:t>
      </w:r>
      <w:r>
        <w:rPr>
          <w:w w:val="100"/>
          <w:sz w:val="21"/>
        </w:rPr>
        <w:t>que</w:t>
      </w:r>
      <w:r>
        <w:rPr>
          <w:spacing w:val="2"/>
          <w:sz w:val="21"/>
        </w:rPr>
        <w:t> </w:t>
      </w:r>
      <w:r>
        <w:rPr>
          <w:w w:val="100"/>
          <w:sz w:val="21"/>
        </w:rPr>
        <w:t>are</w:t>
      </w:r>
      <w:r>
        <w:rPr>
          <w:spacing w:val="3"/>
          <w:sz w:val="21"/>
        </w:rPr>
        <w:t> </w:t>
      </w:r>
      <w:r>
        <w:rPr>
          <w:spacing w:val="-3"/>
          <w:w w:val="100"/>
          <w:sz w:val="21"/>
        </w:rPr>
        <w:t>n</w:t>
      </w:r>
      <w:r>
        <w:rPr>
          <w:w w:val="100"/>
          <w:sz w:val="21"/>
        </w:rPr>
        <w:t>ot </w:t>
      </w:r>
      <w:r>
        <w:rPr>
          <w:spacing w:val="-1"/>
          <w:w w:val="100"/>
          <w:sz w:val="21"/>
        </w:rPr>
        <w:t>proper</w:t>
      </w:r>
      <w:r>
        <w:rPr>
          <w:spacing w:val="-2"/>
          <w:w w:val="100"/>
          <w:sz w:val="21"/>
        </w:rPr>
        <w:t>t</w:t>
      </w:r>
      <w:r>
        <w:rPr>
          <w:w w:val="100"/>
          <w:sz w:val="21"/>
        </w:rPr>
        <w:t>y</w:t>
      </w:r>
      <w:r>
        <w:rPr>
          <w:spacing w:val="23"/>
          <w:sz w:val="21"/>
        </w:rPr>
        <w:t> </w:t>
      </w:r>
      <w:r>
        <w:rPr>
          <w:spacing w:val="-1"/>
          <w:w w:val="100"/>
          <w:sz w:val="21"/>
        </w:rPr>
        <w:t>a</w:t>
      </w:r>
      <w:r>
        <w:rPr>
          <w:w w:val="100"/>
          <w:sz w:val="21"/>
        </w:rPr>
        <w:t>t</w:t>
      </w:r>
      <w:r>
        <w:rPr>
          <w:spacing w:val="24"/>
          <w:sz w:val="21"/>
        </w:rPr>
        <w:t> </w:t>
      </w:r>
      <w:r>
        <w:rPr>
          <w:spacing w:val="-3"/>
          <w:w w:val="100"/>
          <w:sz w:val="21"/>
        </w:rPr>
        <w:t>a</w:t>
      </w:r>
      <w:r>
        <w:rPr>
          <w:w w:val="100"/>
          <w:sz w:val="21"/>
        </w:rPr>
        <w:t>ll</w:t>
      </w:r>
      <w:r>
        <w:rPr>
          <w:spacing w:val="24"/>
          <w:sz w:val="21"/>
        </w:rPr>
        <w:t> </w:t>
      </w:r>
      <w:r>
        <w:rPr>
          <w:spacing w:val="-1"/>
          <w:w w:val="100"/>
          <w:sz w:val="21"/>
        </w:rPr>
        <w:t>b</w:t>
      </w:r>
      <w:r>
        <w:rPr>
          <w:spacing w:val="-3"/>
          <w:w w:val="100"/>
          <w:sz w:val="21"/>
        </w:rPr>
        <w:t>e</w:t>
      </w:r>
      <w:r>
        <w:rPr>
          <w:w w:val="100"/>
          <w:sz w:val="21"/>
        </w:rPr>
        <w:t>cau</w:t>
      </w:r>
      <w:r>
        <w:rPr>
          <w:spacing w:val="-3"/>
          <w:w w:val="100"/>
          <w:sz w:val="21"/>
        </w:rPr>
        <w:t>s</w:t>
      </w:r>
      <w:r>
        <w:rPr>
          <w:w w:val="100"/>
          <w:sz w:val="21"/>
        </w:rPr>
        <w:t>e</w:t>
      </w:r>
      <w:r>
        <w:rPr>
          <w:spacing w:val="25"/>
          <w:sz w:val="21"/>
        </w:rPr>
        <w:t> </w:t>
      </w:r>
      <w:r>
        <w:rPr>
          <w:spacing w:val="-4"/>
          <w:w w:val="100"/>
          <w:sz w:val="21"/>
        </w:rPr>
        <w:t>t</w:t>
      </w:r>
      <w:r>
        <w:rPr>
          <w:spacing w:val="-1"/>
          <w:w w:val="100"/>
          <w:sz w:val="21"/>
        </w:rPr>
        <w:t>he</w:t>
      </w:r>
      <w:r>
        <w:rPr>
          <w:w w:val="100"/>
          <w:sz w:val="21"/>
        </w:rPr>
        <w:t>y</w:t>
      </w:r>
      <w:r>
        <w:rPr>
          <w:spacing w:val="23"/>
          <w:sz w:val="21"/>
        </w:rPr>
        <w:t> </w:t>
      </w:r>
      <w:r>
        <w:rPr>
          <w:spacing w:val="-1"/>
          <w:w w:val="100"/>
          <w:sz w:val="21"/>
        </w:rPr>
        <w:t>ar</w:t>
      </w:r>
      <w:r>
        <w:rPr>
          <w:w w:val="100"/>
          <w:sz w:val="21"/>
        </w:rPr>
        <w:t>e</w:t>
      </w:r>
      <w:r>
        <w:rPr>
          <w:spacing w:val="22"/>
          <w:sz w:val="21"/>
        </w:rPr>
        <w:t> </w:t>
      </w:r>
      <w:r>
        <w:rPr>
          <w:w w:val="100"/>
          <w:sz w:val="21"/>
        </w:rPr>
        <w:t>a</w:t>
      </w:r>
      <w:r>
        <w:rPr>
          <w:spacing w:val="25"/>
          <w:sz w:val="21"/>
        </w:rPr>
        <w:t> </w:t>
      </w:r>
      <w:r>
        <w:rPr>
          <w:spacing w:val="-1"/>
          <w:w w:val="33"/>
          <w:sz w:val="21"/>
        </w:rPr>
        <w:t>―</w:t>
      </w:r>
      <w:r>
        <w:rPr>
          <w:spacing w:val="-2"/>
          <w:w w:val="100"/>
          <w:sz w:val="21"/>
        </w:rPr>
        <w:t>j</w:t>
      </w:r>
      <w:r>
        <w:rPr>
          <w:spacing w:val="-1"/>
          <w:w w:val="100"/>
          <w:sz w:val="21"/>
        </w:rPr>
        <w:t>uris</w:t>
      </w:r>
      <w:r>
        <w:rPr>
          <w:spacing w:val="-3"/>
          <w:w w:val="100"/>
          <w:sz w:val="21"/>
        </w:rPr>
        <w:t>t</w:t>
      </w:r>
      <w:r>
        <w:rPr>
          <w:w w:val="100"/>
          <w:sz w:val="21"/>
        </w:rPr>
        <w:t>ic</w:t>
      </w:r>
      <w:r>
        <w:rPr>
          <w:spacing w:val="22"/>
          <w:sz w:val="21"/>
        </w:rPr>
        <w:t> </w:t>
      </w:r>
      <w:r>
        <w:rPr>
          <w:spacing w:val="-1"/>
          <w:w w:val="100"/>
          <w:sz w:val="21"/>
        </w:rPr>
        <w:t>pers</w:t>
      </w:r>
      <w:r>
        <w:rPr>
          <w:spacing w:val="-3"/>
          <w:w w:val="100"/>
          <w:sz w:val="21"/>
        </w:rPr>
        <w:t>on</w:t>
      </w:r>
      <w:r>
        <w:rPr>
          <w:w w:val="81"/>
          <w:sz w:val="21"/>
        </w:rPr>
        <w:t>‖</w:t>
      </w:r>
      <w:r>
        <w:rPr>
          <w:spacing w:val="24"/>
          <w:sz w:val="21"/>
        </w:rPr>
        <w:t> </w:t>
      </w:r>
      <w:r>
        <w:rPr>
          <w:w w:val="100"/>
          <w:sz w:val="21"/>
        </w:rPr>
        <w:t>i</w:t>
      </w:r>
      <w:r>
        <w:rPr>
          <w:spacing w:val="-1"/>
          <w:w w:val="100"/>
          <w:sz w:val="21"/>
        </w:rPr>
        <w:t>n</w:t>
      </w:r>
      <w:r>
        <w:rPr>
          <w:spacing w:val="-3"/>
          <w:w w:val="100"/>
          <w:sz w:val="21"/>
        </w:rPr>
        <w:t>v</w:t>
      </w:r>
      <w:r>
        <w:rPr>
          <w:spacing w:val="-1"/>
          <w:w w:val="100"/>
          <w:sz w:val="21"/>
        </w:rPr>
        <w:t>o</w:t>
      </w:r>
      <w:r>
        <w:rPr>
          <w:spacing w:val="1"/>
          <w:w w:val="100"/>
          <w:sz w:val="21"/>
        </w:rPr>
        <w:t>l</w:t>
      </w:r>
      <w:r>
        <w:rPr>
          <w:spacing w:val="-3"/>
          <w:w w:val="100"/>
          <w:sz w:val="21"/>
        </w:rPr>
        <w:t>v</w:t>
      </w:r>
      <w:r>
        <w:rPr>
          <w:spacing w:val="-1"/>
          <w:w w:val="100"/>
          <w:sz w:val="21"/>
        </w:rPr>
        <w:t>e</w:t>
      </w:r>
      <w:r>
        <w:rPr>
          <w:w w:val="100"/>
          <w:sz w:val="21"/>
        </w:rPr>
        <w:t>s</w:t>
      </w:r>
      <w:r>
        <w:rPr>
          <w:spacing w:val="23"/>
          <w:sz w:val="21"/>
        </w:rPr>
        <w:t> </w:t>
      </w:r>
      <w:r>
        <w:rPr>
          <w:w w:val="100"/>
          <w:sz w:val="21"/>
        </w:rPr>
        <w:t>a </w:t>
      </w:r>
      <w:r>
        <w:rPr>
          <w:sz w:val="21"/>
        </w:rPr>
        <w:t>number of misconceptions. It is wholly inconsistent with many decisions whereby a worshipper or the mutwalli has been permitted to maintain a suit to recover the land and buildings for the purposes of the wakf by ejectment of a trespasser… That there should be any supposed analogy between the position in law of a building dedicated as a place of prayer for Muslims and the individual deities of the Hindu religion </w:t>
      </w:r>
      <w:r>
        <w:rPr>
          <w:spacing w:val="2"/>
          <w:sz w:val="21"/>
        </w:rPr>
        <w:t>is </w:t>
      </w:r>
      <w:r>
        <w:rPr>
          <w:sz w:val="21"/>
        </w:rPr>
        <w:t>a matter of some surprise to their Lordships… the procedure in India takes account necessarily of the polytheistic and other features of the Hindu religion and recognizes certain doctrines of Hindu law as essential thereto, e.g. that an </w:t>
      </w:r>
      <w:r>
        <w:rPr>
          <w:b/>
          <w:sz w:val="21"/>
        </w:rPr>
        <w:t>idol may be the owner of</w:t>
      </w:r>
      <w:r>
        <w:rPr>
          <w:b/>
          <w:spacing w:val="-5"/>
          <w:sz w:val="21"/>
        </w:rPr>
        <w:t> </w:t>
      </w:r>
      <w:r>
        <w:rPr>
          <w:b/>
          <w:sz w:val="21"/>
        </w:rPr>
        <w:t>property</w:t>
      </w:r>
      <w:r>
        <w:rPr>
          <w:sz w:val="21"/>
        </w:rPr>
        <w:t>…</w:t>
      </w:r>
    </w:p>
    <w:p>
      <w:pPr>
        <w:spacing w:line="276" w:lineRule="auto" w:before="1"/>
        <w:ind w:left="1940" w:right="2173" w:firstLine="0"/>
        <w:jc w:val="both"/>
        <w:rPr>
          <w:sz w:val="21"/>
        </w:rPr>
      </w:pPr>
      <w:r>
        <w:rPr>
          <w:w w:val="100"/>
          <w:sz w:val="21"/>
        </w:rPr>
        <w:t>The</w:t>
      </w:r>
      <w:r>
        <w:rPr>
          <w:sz w:val="21"/>
        </w:rPr>
        <w:t>  </w:t>
      </w:r>
      <w:r>
        <w:rPr>
          <w:spacing w:val="-1"/>
          <w:w w:val="100"/>
          <w:sz w:val="21"/>
        </w:rPr>
        <w:t>de</w:t>
      </w:r>
      <w:r>
        <w:rPr>
          <w:spacing w:val="-3"/>
          <w:w w:val="100"/>
          <w:sz w:val="21"/>
        </w:rPr>
        <w:t>c</w:t>
      </w:r>
      <w:r>
        <w:rPr>
          <w:w w:val="100"/>
          <w:sz w:val="21"/>
        </w:rPr>
        <w:t>i</w:t>
      </w:r>
      <w:r>
        <w:rPr>
          <w:spacing w:val="-3"/>
          <w:w w:val="100"/>
          <w:sz w:val="21"/>
        </w:rPr>
        <w:t>s</w:t>
      </w:r>
      <w:r>
        <w:rPr>
          <w:w w:val="100"/>
          <w:sz w:val="21"/>
        </w:rPr>
        <w:t>i</w:t>
      </w:r>
      <w:r>
        <w:rPr>
          <w:spacing w:val="-1"/>
          <w:w w:val="100"/>
          <w:sz w:val="21"/>
        </w:rPr>
        <w:t>on</w:t>
      </w:r>
      <w:r>
        <w:rPr>
          <w:w w:val="100"/>
          <w:sz w:val="21"/>
        </w:rPr>
        <w:t>s</w:t>
      </w:r>
      <w:r>
        <w:rPr>
          <w:sz w:val="21"/>
        </w:rPr>
        <w:t> </w:t>
      </w:r>
      <w:r>
        <w:rPr>
          <w:spacing w:val="3"/>
          <w:sz w:val="21"/>
        </w:rPr>
        <w:t> </w:t>
      </w:r>
      <w:r>
        <w:rPr>
          <w:spacing w:val="-4"/>
          <w:w w:val="100"/>
          <w:sz w:val="21"/>
        </w:rPr>
        <w:t>r</w:t>
      </w:r>
      <w:r>
        <w:rPr>
          <w:spacing w:val="-1"/>
          <w:w w:val="100"/>
          <w:sz w:val="21"/>
        </w:rPr>
        <w:t>ec</w:t>
      </w:r>
      <w:r>
        <w:rPr>
          <w:spacing w:val="-3"/>
          <w:w w:val="100"/>
          <w:sz w:val="21"/>
        </w:rPr>
        <w:t>o</w:t>
      </w:r>
      <w:r>
        <w:rPr>
          <w:spacing w:val="-1"/>
          <w:w w:val="100"/>
          <w:sz w:val="21"/>
        </w:rPr>
        <w:t>gn</w:t>
      </w:r>
      <w:r>
        <w:rPr>
          <w:spacing w:val="1"/>
          <w:w w:val="100"/>
          <w:sz w:val="21"/>
        </w:rPr>
        <w:t>i</w:t>
      </w:r>
      <w:r>
        <w:rPr>
          <w:spacing w:val="-3"/>
          <w:w w:val="100"/>
          <w:sz w:val="21"/>
        </w:rPr>
        <w:t>z</w:t>
      </w:r>
      <w:r>
        <w:rPr>
          <w:spacing w:val="-2"/>
          <w:w w:val="100"/>
          <w:sz w:val="21"/>
        </w:rPr>
        <w:t>i</w:t>
      </w:r>
      <w:r>
        <w:rPr>
          <w:spacing w:val="-3"/>
          <w:w w:val="100"/>
          <w:sz w:val="21"/>
        </w:rPr>
        <w:t>n</w:t>
      </w:r>
      <w:r>
        <w:rPr>
          <w:w w:val="100"/>
          <w:sz w:val="21"/>
        </w:rPr>
        <w:t>g</w:t>
      </w:r>
      <w:r>
        <w:rPr>
          <w:sz w:val="21"/>
        </w:rPr>
        <w:t> </w:t>
      </w:r>
      <w:r>
        <w:rPr>
          <w:spacing w:val="3"/>
          <w:sz w:val="21"/>
        </w:rPr>
        <w:t> </w:t>
      </w:r>
      <w:r>
        <w:rPr>
          <w:w w:val="100"/>
          <w:sz w:val="21"/>
        </w:rPr>
        <w:t>a</w:t>
      </w:r>
      <w:r>
        <w:rPr>
          <w:sz w:val="21"/>
        </w:rPr>
        <w:t>  </w:t>
      </w:r>
      <w:r>
        <w:rPr>
          <w:spacing w:val="1"/>
          <w:w w:val="100"/>
          <w:sz w:val="21"/>
        </w:rPr>
        <w:t>m</w:t>
      </w:r>
      <w:r>
        <w:rPr>
          <w:spacing w:val="-1"/>
          <w:w w:val="100"/>
          <w:sz w:val="21"/>
        </w:rPr>
        <w:t>o</w:t>
      </w:r>
      <w:r>
        <w:rPr>
          <w:spacing w:val="-3"/>
          <w:w w:val="100"/>
          <w:sz w:val="21"/>
        </w:rPr>
        <w:t>s</w:t>
      </w:r>
      <w:r>
        <w:rPr>
          <w:spacing w:val="-1"/>
          <w:w w:val="100"/>
          <w:sz w:val="21"/>
        </w:rPr>
        <w:t>qu</w:t>
      </w:r>
      <w:r>
        <w:rPr>
          <w:w w:val="100"/>
          <w:sz w:val="21"/>
        </w:rPr>
        <w:t>e</w:t>
      </w:r>
      <w:r>
        <w:rPr>
          <w:sz w:val="21"/>
        </w:rPr>
        <w:t> </w:t>
      </w:r>
      <w:r>
        <w:rPr>
          <w:spacing w:val="1"/>
          <w:sz w:val="21"/>
        </w:rPr>
        <w:t> </w:t>
      </w:r>
      <w:r>
        <w:rPr>
          <w:spacing w:val="-1"/>
          <w:w w:val="100"/>
          <w:sz w:val="21"/>
        </w:rPr>
        <w:t>a</w:t>
      </w:r>
      <w:r>
        <w:rPr>
          <w:w w:val="100"/>
          <w:sz w:val="21"/>
        </w:rPr>
        <w:t>s</w:t>
      </w:r>
      <w:r>
        <w:rPr>
          <w:sz w:val="21"/>
        </w:rPr>
        <w:t> </w:t>
      </w:r>
      <w:r>
        <w:rPr>
          <w:spacing w:val="3"/>
          <w:sz w:val="21"/>
        </w:rPr>
        <w:t> </w:t>
      </w:r>
      <w:r>
        <w:rPr>
          <w:w w:val="100"/>
          <w:sz w:val="21"/>
        </w:rPr>
        <w:t>a</w:t>
      </w:r>
      <w:r>
        <w:rPr>
          <w:sz w:val="21"/>
        </w:rPr>
        <w:t> </w:t>
      </w:r>
      <w:r>
        <w:rPr>
          <w:spacing w:val="3"/>
          <w:sz w:val="21"/>
        </w:rPr>
        <w:t> </w:t>
      </w:r>
      <w:r>
        <w:rPr>
          <w:spacing w:val="-4"/>
          <w:w w:val="33"/>
          <w:sz w:val="21"/>
        </w:rPr>
        <w:t>―</w:t>
      </w:r>
      <w:r>
        <w:rPr>
          <w:w w:val="100"/>
          <w:sz w:val="21"/>
        </w:rPr>
        <w:t>j</w:t>
      </w:r>
      <w:r>
        <w:rPr>
          <w:spacing w:val="-1"/>
          <w:w w:val="100"/>
          <w:sz w:val="21"/>
        </w:rPr>
        <w:t>u</w:t>
      </w:r>
      <w:r>
        <w:rPr>
          <w:spacing w:val="-3"/>
          <w:w w:val="100"/>
          <w:sz w:val="21"/>
        </w:rPr>
        <w:t>r</w:t>
      </w:r>
      <w:r>
        <w:rPr>
          <w:w w:val="100"/>
          <w:sz w:val="21"/>
        </w:rPr>
        <w:t>is</w:t>
      </w:r>
      <w:r>
        <w:rPr>
          <w:spacing w:val="-4"/>
          <w:w w:val="100"/>
          <w:sz w:val="21"/>
        </w:rPr>
        <w:t>t</w:t>
      </w:r>
      <w:r>
        <w:rPr>
          <w:w w:val="100"/>
          <w:sz w:val="21"/>
        </w:rPr>
        <w:t>ic</w:t>
      </w:r>
      <w:r>
        <w:rPr>
          <w:sz w:val="21"/>
        </w:rPr>
        <w:t> </w:t>
      </w:r>
      <w:r>
        <w:rPr>
          <w:spacing w:val="3"/>
          <w:sz w:val="21"/>
        </w:rPr>
        <w:t> </w:t>
      </w:r>
      <w:r>
        <w:rPr>
          <w:spacing w:val="-3"/>
          <w:w w:val="100"/>
          <w:sz w:val="21"/>
        </w:rPr>
        <w:t>p</w:t>
      </w:r>
      <w:r>
        <w:rPr>
          <w:spacing w:val="-1"/>
          <w:w w:val="97"/>
          <w:sz w:val="21"/>
        </w:rPr>
        <w:t>erson‖ </w:t>
      </w:r>
      <w:r>
        <w:rPr>
          <w:sz w:val="21"/>
        </w:rPr>
        <w:t>appear to be confined to the Punjab : 153 PR 1884; Shankar Das</w:t>
      </w:r>
      <w:r>
        <w:rPr>
          <w:spacing w:val="19"/>
          <w:sz w:val="21"/>
        </w:rPr>
        <w:t> </w:t>
      </w:r>
      <w:r>
        <w:rPr>
          <w:sz w:val="21"/>
        </w:rPr>
        <w:t>v.</w:t>
      </w:r>
      <w:r>
        <w:rPr>
          <w:spacing w:val="20"/>
          <w:sz w:val="21"/>
        </w:rPr>
        <w:t> </w:t>
      </w:r>
      <w:r>
        <w:rPr>
          <w:sz w:val="21"/>
        </w:rPr>
        <w:t>Said</w:t>
      </w:r>
      <w:r>
        <w:rPr>
          <w:spacing w:val="20"/>
          <w:sz w:val="21"/>
        </w:rPr>
        <w:t> </w:t>
      </w:r>
      <w:r>
        <w:rPr>
          <w:sz w:val="21"/>
        </w:rPr>
        <w:t>Ahmad</w:t>
      </w:r>
      <w:r>
        <w:rPr>
          <w:spacing w:val="22"/>
          <w:sz w:val="21"/>
        </w:rPr>
        <w:t> </w:t>
      </w:r>
      <w:r>
        <w:rPr>
          <w:sz w:val="21"/>
        </w:rPr>
        <w:t>(1884)</w:t>
      </w:r>
      <w:r>
        <w:rPr>
          <w:spacing w:val="22"/>
          <w:sz w:val="21"/>
        </w:rPr>
        <w:t> </w:t>
      </w:r>
      <w:r>
        <w:rPr>
          <w:sz w:val="21"/>
        </w:rPr>
        <w:t>153</w:t>
      </w:r>
      <w:r>
        <w:rPr>
          <w:spacing w:val="19"/>
          <w:sz w:val="21"/>
        </w:rPr>
        <w:t> </w:t>
      </w:r>
      <w:r>
        <w:rPr>
          <w:sz w:val="21"/>
        </w:rPr>
        <w:t>PR</w:t>
      </w:r>
      <w:r>
        <w:rPr>
          <w:spacing w:val="20"/>
          <w:sz w:val="21"/>
        </w:rPr>
        <w:t> </w:t>
      </w:r>
      <w:r>
        <w:rPr>
          <w:sz w:val="21"/>
        </w:rPr>
        <w:t>1884</w:t>
      </w:r>
      <w:r>
        <w:rPr>
          <w:spacing w:val="21"/>
          <w:sz w:val="21"/>
        </w:rPr>
        <w:t> </w:t>
      </w:r>
      <w:r>
        <w:rPr>
          <w:sz w:val="21"/>
        </w:rPr>
        <w:t>59</w:t>
      </w:r>
      <w:r>
        <w:rPr>
          <w:spacing w:val="20"/>
          <w:sz w:val="21"/>
        </w:rPr>
        <w:t> </w:t>
      </w:r>
      <w:r>
        <w:rPr>
          <w:sz w:val="21"/>
        </w:rPr>
        <w:t>PR</w:t>
      </w:r>
      <w:r>
        <w:rPr>
          <w:spacing w:val="23"/>
          <w:sz w:val="21"/>
        </w:rPr>
        <w:t> </w:t>
      </w:r>
      <w:r>
        <w:rPr>
          <w:sz w:val="21"/>
        </w:rPr>
        <w:t>1914;</w:t>
      </w:r>
      <w:r>
        <w:rPr>
          <w:spacing w:val="21"/>
          <w:sz w:val="21"/>
        </w:rPr>
        <w:t> </w:t>
      </w:r>
      <w:r>
        <w:rPr>
          <w:sz w:val="21"/>
        </w:rPr>
        <w:t>Maula</w:t>
      </w:r>
    </w:p>
    <w:p>
      <w:pPr>
        <w:spacing w:line="276" w:lineRule="auto" w:before="0"/>
        <w:ind w:left="1940" w:right="2170" w:firstLine="0"/>
        <w:jc w:val="both"/>
        <w:rPr>
          <w:b/>
          <w:sz w:val="21"/>
        </w:rPr>
      </w:pPr>
      <w:r>
        <w:rPr>
          <w:sz w:val="21"/>
        </w:rPr>
        <w:t>Bux v. Hafizuddin (1926) 13 AIR Lah 372 AIR 1926 Lah 372.6 In none of those cases was a mosque party to the suit, and in none except perhaps the last is the fictitious personality attributed to the mosque as a matter of decision. </w:t>
      </w:r>
      <w:r>
        <w:rPr>
          <w:b/>
          <w:sz w:val="21"/>
        </w:rPr>
        <w:t>But so far as they go these cases support the recognition as a fictitious person of a mosque as an institution </w:t>
      </w:r>
      <w:r>
        <w:rPr>
          <w:sz w:val="21"/>
        </w:rPr>
        <w:t>- </w:t>
      </w:r>
      <w:r>
        <w:rPr>
          <w:b/>
          <w:sz w:val="21"/>
        </w:rPr>
        <w:t>apparently hypostatizing an abstraction</w:t>
      </w:r>
      <w:r>
        <w:rPr>
          <w:sz w:val="21"/>
        </w:rPr>
        <w:t>. </w:t>
      </w:r>
      <w:r>
        <w:rPr>
          <w:b/>
          <w:sz w:val="21"/>
        </w:rPr>
        <w:t>This, as the learned Chief Justice   in   the   present  case  has  pointed   out,   is</w:t>
      </w:r>
      <w:r>
        <w:rPr>
          <w:b/>
          <w:spacing w:val="-9"/>
          <w:sz w:val="21"/>
        </w:rPr>
        <w:t> </w:t>
      </w:r>
      <w:r>
        <w:rPr>
          <w:b/>
          <w:sz w:val="21"/>
        </w:rPr>
        <w:t>very</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346" w:firstLine="0"/>
        <w:jc w:val="left"/>
        <w:rPr>
          <w:sz w:val="21"/>
        </w:rPr>
      </w:pPr>
      <w:r>
        <w:rPr>
          <w:b/>
          <w:sz w:val="21"/>
        </w:rPr>
        <w:t>different from conferring personality upon a building so as to deprive it of its character as immovable</w:t>
      </w:r>
      <w:r>
        <w:rPr>
          <w:b/>
          <w:spacing w:val="-26"/>
          <w:sz w:val="21"/>
        </w:rPr>
        <w:t> </w:t>
      </w:r>
      <w:r>
        <w:rPr>
          <w:b/>
          <w:sz w:val="21"/>
        </w:rPr>
        <w:t>property</w:t>
      </w:r>
      <w:r>
        <w:rPr>
          <w:sz w:val="21"/>
        </w:rPr>
        <w:t>.‖</w:t>
      </w:r>
    </w:p>
    <w:p>
      <w:pPr>
        <w:spacing w:line="241" w:lineRule="exact" w:before="0"/>
        <w:ind w:left="5889" w:right="0" w:firstLine="0"/>
        <w:jc w:val="left"/>
        <w:rPr>
          <w:sz w:val="21"/>
        </w:rPr>
      </w:pPr>
      <w:r>
        <w:rPr>
          <w:sz w:val="21"/>
        </w:rPr>
        <w:t>(Emphasis supplied)</w:t>
      </w:r>
    </w:p>
    <w:p>
      <w:pPr>
        <w:pStyle w:val="BodyText"/>
        <w:spacing w:before="4"/>
        <w:rPr>
          <w:sz w:val="28"/>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The Privy Council noted that if the mosque was a juristic person, this may </w:t>
      </w:r>
      <w:r>
        <w:rPr>
          <w:w w:val="99"/>
          <w:sz w:val="25"/>
        </w:rPr>
        <w:t>m</w:t>
      </w:r>
      <w:r>
        <w:rPr>
          <w:spacing w:val="-1"/>
          <w:w w:val="99"/>
          <w:sz w:val="25"/>
        </w:rPr>
        <w:t>e</w:t>
      </w:r>
      <w:r>
        <w:rPr>
          <w:w w:val="99"/>
          <w:sz w:val="25"/>
        </w:rPr>
        <w:t>an</w:t>
      </w:r>
      <w:r>
        <w:rPr>
          <w:spacing w:val="17"/>
          <w:sz w:val="25"/>
        </w:rPr>
        <w:t> </w:t>
      </w:r>
      <w:r>
        <w:rPr>
          <w:w w:val="99"/>
          <w:sz w:val="25"/>
        </w:rPr>
        <w:t>that</w:t>
      </w:r>
      <w:r>
        <w:rPr>
          <w:spacing w:val="16"/>
          <w:sz w:val="25"/>
        </w:rPr>
        <w:t> </w:t>
      </w:r>
      <w:r>
        <w:rPr>
          <w:spacing w:val="-1"/>
          <w:w w:val="99"/>
          <w:sz w:val="25"/>
        </w:rPr>
        <w:t>limit</w:t>
      </w:r>
      <w:r>
        <w:rPr>
          <w:w w:val="99"/>
          <w:sz w:val="25"/>
        </w:rPr>
        <w:t>ation</w:t>
      </w:r>
      <w:r>
        <w:rPr>
          <w:spacing w:val="17"/>
          <w:sz w:val="25"/>
        </w:rPr>
        <w:t> </w:t>
      </w:r>
      <w:r>
        <w:rPr>
          <w:spacing w:val="-3"/>
          <w:w w:val="99"/>
          <w:sz w:val="25"/>
        </w:rPr>
        <w:t>d</w:t>
      </w:r>
      <w:r>
        <w:rPr>
          <w:spacing w:val="-1"/>
          <w:w w:val="99"/>
          <w:sz w:val="25"/>
        </w:rPr>
        <w:t>o</w:t>
      </w:r>
      <w:r>
        <w:rPr>
          <w:w w:val="99"/>
          <w:sz w:val="25"/>
        </w:rPr>
        <w:t>es</w:t>
      </w:r>
      <w:r>
        <w:rPr>
          <w:spacing w:val="16"/>
          <w:sz w:val="25"/>
        </w:rPr>
        <w:t> </w:t>
      </w:r>
      <w:r>
        <w:rPr>
          <w:spacing w:val="-1"/>
          <w:w w:val="99"/>
          <w:sz w:val="25"/>
        </w:rPr>
        <w:t>n</w:t>
      </w:r>
      <w:r>
        <w:rPr>
          <w:w w:val="99"/>
          <w:sz w:val="25"/>
        </w:rPr>
        <w:t>ot</w:t>
      </w:r>
      <w:r>
        <w:rPr>
          <w:spacing w:val="16"/>
          <w:sz w:val="25"/>
        </w:rPr>
        <w:t> </w:t>
      </w:r>
      <w:r>
        <w:rPr>
          <w:spacing w:val="-1"/>
          <w:w w:val="99"/>
          <w:sz w:val="25"/>
        </w:rPr>
        <w:t>a</w:t>
      </w:r>
      <w:r>
        <w:rPr>
          <w:w w:val="99"/>
          <w:sz w:val="25"/>
        </w:rPr>
        <w:t>p</w:t>
      </w:r>
      <w:r>
        <w:rPr>
          <w:spacing w:val="-1"/>
          <w:w w:val="99"/>
          <w:sz w:val="25"/>
        </w:rPr>
        <w:t>pl</w:t>
      </w:r>
      <w:r>
        <w:rPr>
          <w:w w:val="99"/>
          <w:sz w:val="25"/>
        </w:rPr>
        <w:t>y</w:t>
      </w:r>
      <w:r>
        <w:rPr>
          <w:spacing w:val="14"/>
          <w:sz w:val="25"/>
        </w:rPr>
        <w:t> </w:t>
      </w:r>
      <w:r>
        <w:rPr>
          <w:w w:val="99"/>
          <w:sz w:val="25"/>
        </w:rPr>
        <w:t>to</w:t>
      </w:r>
      <w:r>
        <w:rPr>
          <w:spacing w:val="17"/>
          <w:sz w:val="25"/>
        </w:rPr>
        <w:t> </w:t>
      </w:r>
      <w:r>
        <w:rPr>
          <w:spacing w:val="-1"/>
          <w:w w:val="99"/>
          <w:sz w:val="25"/>
        </w:rPr>
        <w:t>i</w:t>
      </w:r>
      <w:r>
        <w:rPr>
          <w:w w:val="99"/>
          <w:sz w:val="25"/>
        </w:rPr>
        <w:t>t</w:t>
      </w:r>
      <w:r>
        <w:rPr>
          <w:spacing w:val="16"/>
          <w:sz w:val="25"/>
        </w:rPr>
        <w:t> </w:t>
      </w:r>
      <w:r>
        <w:rPr>
          <w:spacing w:val="-1"/>
          <w:w w:val="99"/>
          <w:sz w:val="25"/>
        </w:rPr>
        <w:t>a</w:t>
      </w:r>
      <w:r>
        <w:rPr>
          <w:spacing w:val="2"/>
          <w:w w:val="99"/>
          <w:sz w:val="25"/>
        </w:rPr>
        <w:t>n</w:t>
      </w:r>
      <w:r>
        <w:rPr>
          <w:w w:val="99"/>
          <w:sz w:val="25"/>
        </w:rPr>
        <w:t>d</w:t>
      </w:r>
      <w:r>
        <w:rPr>
          <w:spacing w:val="17"/>
          <w:sz w:val="25"/>
        </w:rPr>
        <w:t> </w:t>
      </w:r>
      <w:r>
        <w:rPr>
          <w:w w:val="99"/>
          <w:sz w:val="25"/>
        </w:rPr>
        <w:t>that</w:t>
      </w:r>
      <w:r>
        <w:rPr>
          <w:spacing w:val="16"/>
          <w:sz w:val="25"/>
        </w:rPr>
        <w:t> </w:t>
      </w:r>
      <w:r>
        <w:rPr>
          <w:w w:val="33"/>
          <w:sz w:val="25"/>
        </w:rPr>
        <w:t>―</w:t>
      </w:r>
      <w:r>
        <w:rPr>
          <w:spacing w:val="-1"/>
          <w:w w:val="99"/>
          <w:sz w:val="25"/>
        </w:rPr>
        <w:t>i</w:t>
      </w:r>
      <w:r>
        <w:rPr>
          <w:w w:val="99"/>
          <w:sz w:val="25"/>
        </w:rPr>
        <w:t>t</w:t>
      </w:r>
      <w:r>
        <w:rPr>
          <w:spacing w:val="16"/>
          <w:sz w:val="25"/>
        </w:rPr>
        <w:t> </w:t>
      </w:r>
      <w:r>
        <w:rPr>
          <w:spacing w:val="-1"/>
          <w:w w:val="99"/>
          <w:sz w:val="25"/>
        </w:rPr>
        <w:t>i</w:t>
      </w:r>
      <w:r>
        <w:rPr>
          <w:w w:val="99"/>
          <w:sz w:val="25"/>
        </w:rPr>
        <w:t>s</w:t>
      </w:r>
      <w:r>
        <w:rPr>
          <w:spacing w:val="16"/>
          <w:sz w:val="25"/>
        </w:rPr>
        <w:t> </w:t>
      </w:r>
      <w:r>
        <w:rPr>
          <w:spacing w:val="-1"/>
          <w:w w:val="99"/>
          <w:sz w:val="25"/>
        </w:rPr>
        <w:t>n</w:t>
      </w:r>
      <w:r>
        <w:rPr>
          <w:w w:val="99"/>
          <w:sz w:val="25"/>
        </w:rPr>
        <w:t>ot</w:t>
      </w:r>
      <w:r>
        <w:rPr>
          <w:spacing w:val="16"/>
          <w:sz w:val="25"/>
        </w:rPr>
        <w:t> </w:t>
      </w:r>
      <w:r>
        <w:rPr>
          <w:spacing w:val="-1"/>
          <w:w w:val="99"/>
          <w:sz w:val="25"/>
        </w:rPr>
        <w:t>p</w:t>
      </w:r>
      <w:r>
        <w:rPr>
          <w:w w:val="99"/>
          <w:sz w:val="25"/>
        </w:rPr>
        <w:t>r</w:t>
      </w:r>
      <w:r>
        <w:rPr>
          <w:spacing w:val="-1"/>
          <w:w w:val="99"/>
          <w:sz w:val="25"/>
        </w:rPr>
        <w:t>o</w:t>
      </w:r>
      <w:r>
        <w:rPr>
          <w:w w:val="99"/>
          <w:sz w:val="25"/>
        </w:rPr>
        <w:t>p</w:t>
      </w:r>
      <w:r>
        <w:rPr>
          <w:spacing w:val="-1"/>
          <w:w w:val="99"/>
          <w:sz w:val="25"/>
        </w:rPr>
        <w:t>e</w:t>
      </w:r>
      <w:r>
        <w:rPr>
          <w:spacing w:val="-2"/>
          <w:w w:val="99"/>
          <w:sz w:val="25"/>
        </w:rPr>
        <w:t>r</w:t>
      </w:r>
      <w:r>
        <w:rPr>
          <w:w w:val="99"/>
          <w:sz w:val="25"/>
        </w:rPr>
        <w:t>ty</w:t>
      </w:r>
      <w:r>
        <w:rPr>
          <w:spacing w:val="14"/>
          <w:sz w:val="25"/>
        </w:rPr>
        <w:t> </w:t>
      </w:r>
      <w:r>
        <w:rPr>
          <w:spacing w:val="-1"/>
          <w:w w:val="99"/>
          <w:sz w:val="25"/>
        </w:rPr>
        <w:t>b</w:t>
      </w:r>
      <w:r>
        <w:rPr>
          <w:w w:val="99"/>
          <w:sz w:val="25"/>
        </w:rPr>
        <w:t>ut</w:t>
      </w:r>
      <w:r>
        <w:rPr>
          <w:spacing w:val="16"/>
          <w:sz w:val="25"/>
        </w:rPr>
        <w:t> </w:t>
      </w:r>
      <w:r>
        <w:rPr>
          <w:spacing w:val="-1"/>
          <w:w w:val="99"/>
          <w:sz w:val="25"/>
        </w:rPr>
        <w:t>a</w:t>
      </w:r>
      <w:r>
        <w:rPr>
          <w:w w:val="99"/>
          <w:sz w:val="25"/>
        </w:rPr>
        <w:t>n</w:t>
      </w:r>
      <w:r>
        <w:rPr>
          <w:spacing w:val="17"/>
          <w:sz w:val="25"/>
        </w:rPr>
        <w:t> </w:t>
      </w:r>
      <w:r>
        <w:rPr>
          <w:spacing w:val="-1"/>
          <w:w w:val="99"/>
          <w:sz w:val="25"/>
        </w:rPr>
        <w:t>own</w:t>
      </w:r>
      <w:r>
        <w:rPr>
          <w:w w:val="99"/>
          <w:sz w:val="25"/>
        </w:rPr>
        <w:t>er </w:t>
      </w:r>
      <w:r>
        <w:rPr>
          <w:sz w:val="25"/>
        </w:rPr>
        <w:t>of property.‖ Underlying the line of reasoning adopted by the Privy Council is that the conferral of legal personality on immovable property could lead to the property losing its character as immoveable property. Immoveable property, by its very nature, admits competing proprietary claims over it. Immoveable property may be divided. However, the recognition of the land itself as a juristic person may potentially lead to the loss of these essential characteristics. Where juristic personality was recognised in corporeal property itself such as the idol, it served the larger purpose for which juristic personality was conferred – to ensure the execution and protection of the pious purpose set out by a donor and the ultimate protection of the beneficial interest of the worshippers. However, to confer legal personality on immoveable property leads to consequences that fundamentally have no nexus to the limited purpose for which juristic personality is conferred. It sets apart immoveable property on which a juristic character is conferred from all other species of immoveable property. This will lead to the claim that the legal regime which applies to the latter (‗ordinary immoveable property‘) will not apply to that class of immoveable property which is recognised as a juristic person in and of itself. The principles of adverse possession and limitation would, if the argument were to be accepted, not apply to the land as a legal person which is </w:t>
      </w:r>
      <w:r>
        <w:rPr>
          <w:spacing w:val="-1"/>
          <w:w w:val="99"/>
          <w:sz w:val="25"/>
        </w:rPr>
        <w:t>inca</w:t>
      </w:r>
      <w:r>
        <w:rPr>
          <w:w w:val="99"/>
          <w:sz w:val="25"/>
        </w:rPr>
        <w:t>p</w:t>
      </w:r>
      <w:r>
        <w:rPr>
          <w:spacing w:val="-1"/>
          <w:w w:val="99"/>
          <w:sz w:val="25"/>
        </w:rPr>
        <w:t>a</w:t>
      </w:r>
      <w:r>
        <w:rPr>
          <w:w w:val="99"/>
          <w:sz w:val="25"/>
        </w:rPr>
        <w:t>b</w:t>
      </w:r>
      <w:r>
        <w:rPr>
          <w:spacing w:val="-1"/>
          <w:w w:val="99"/>
          <w:sz w:val="25"/>
        </w:rPr>
        <w:t>l</w:t>
      </w:r>
      <w:r>
        <w:rPr>
          <w:w w:val="99"/>
          <w:sz w:val="25"/>
        </w:rPr>
        <w:t>e</w:t>
      </w:r>
      <w:r>
        <w:rPr>
          <w:spacing w:val="21"/>
          <w:sz w:val="25"/>
        </w:rPr>
        <w:t> </w:t>
      </w:r>
      <w:r>
        <w:rPr>
          <w:spacing w:val="-1"/>
          <w:w w:val="99"/>
          <w:sz w:val="25"/>
        </w:rPr>
        <w:t>o</w:t>
      </w:r>
      <w:r>
        <w:rPr>
          <w:w w:val="99"/>
          <w:sz w:val="25"/>
        </w:rPr>
        <w:t>f</w:t>
      </w:r>
      <w:r>
        <w:rPr>
          <w:spacing w:val="22"/>
          <w:sz w:val="25"/>
        </w:rPr>
        <w:t> </w:t>
      </w:r>
      <w:r>
        <w:rPr>
          <w:spacing w:val="-1"/>
          <w:w w:val="99"/>
          <w:sz w:val="25"/>
        </w:rPr>
        <w:t>b</w:t>
      </w:r>
      <w:r>
        <w:rPr>
          <w:w w:val="99"/>
          <w:sz w:val="25"/>
        </w:rPr>
        <w:t>e</w:t>
      </w:r>
      <w:r>
        <w:rPr>
          <w:spacing w:val="-1"/>
          <w:w w:val="99"/>
          <w:sz w:val="25"/>
        </w:rPr>
        <w:t>in</w:t>
      </w:r>
      <w:r>
        <w:rPr>
          <w:w w:val="99"/>
          <w:sz w:val="25"/>
        </w:rPr>
        <w:t>g</w:t>
      </w:r>
      <w:r>
        <w:rPr>
          <w:spacing w:val="22"/>
          <w:sz w:val="25"/>
        </w:rPr>
        <w:t> </w:t>
      </w:r>
      <w:r>
        <w:rPr>
          <w:w w:val="33"/>
          <w:sz w:val="25"/>
        </w:rPr>
        <w:t>―</w:t>
      </w:r>
      <w:r>
        <w:rPr>
          <w:spacing w:val="-1"/>
          <w:w w:val="99"/>
          <w:sz w:val="25"/>
        </w:rPr>
        <w:t>p</w:t>
      </w:r>
      <w:r>
        <w:rPr>
          <w:w w:val="99"/>
          <w:sz w:val="25"/>
        </w:rPr>
        <w:t>ossesse</w:t>
      </w:r>
      <w:r>
        <w:rPr>
          <w:spacing w:val="-1"/>
          <w:w w:val="91"/>
          <w:sz w:val="25"/>
        </w:rPr>
        <w:t>d</w:t>
      </w:r>
      <w:r>
        <w:rPr>
          <w:w w:val="91"/>
          <w:sz w:val="25"/>
        </w:rPr>
        <w:t>‖</w:t>
      </w:r>
      <w:r>
        <w:rPr>
          <w:w w:val="99"/>
          <w:sz w:val="25"/>
        </w:rPr>
        <w:t>.</w:t>
      </w:r>
      <w:r>
        <w:rPr>
          <w:spacing w:val="21"/>
          <w:sz w:val="25"/>
        </w:rPr>
        <w:t> </w:t>
      </w:r>
      <w:r>
        <w:rPr>
          <w:w w:val="99"/>
          <w:sz w:val="25"/>
        </w:rPr>
        <w:t>T</w:t>
      </w:r>
      <w:r>
        <w:rPr>
          <w:spacing w:val="-1"/>
          <w:w w:val="99"/>
          <w:sz w:val="25"/>
        </w:rPr>
        <w:t>h</w:t>
      </w:r>
      <w:r>
        <w:rPr>
          <w:w w:val="99"/>
          <w:sz w:val="25"/>
        </w:rPr>
        <w:t>e</w:t>
      </w:r>
      <w:r>
        <w:rPr>
          <w:spacing w:val="21"/>
          <w:sz w:val="25"/>
        </w:rPr>
        <w:t> </w:t>
      </w:r>
      <w:r>
        <w:rPr>
          <w:w w:val="99"/>
          <w:sz w:val="25"/>
        </w:rPr>
        <w:t>conf</w:t>
      </w:r>
      <w:r>
        <w:rPr>
          <w:spacing w:val="-2"/>
          <w:w w:val="99"/>
          <w:sz w:val="25"/>
        </w:rPr>
        <w:t>e</w:t>
      </w:r>
      <w:r>
        <w:rPr>
          <w:w w:val="99"/>
          <w:sz w:val="25"/>
        </w:rPr>
        <w:t>rr</w:t>
      </w:r>
      <w:r>
        <w:rPr>
          <w:spacing w:val="-1"/>
          <w:w w:val="99"/>
          <w:sz w:val="25"/>
        </w:rPr>
        <w:t>a</w:t>
      </w:r>
      <w:r>
        <w:rPr>
          <w:w w:val="99"/>
          <w:sz w:val="25"/>
        </w:rPr>
        <w:t>l</w:t>
      </w:r>
      <w:r>
        <w:rPr>
          <w:spacing w:val="21"/>
          <w:sz w:val="25"/>
        </w:rPr>
        <w:t> </w:t>
      </w:r>
      <w:r>
        <w:rPr>
          <w:spacing w:val="-1"/>
          <w:w w:val="99"/>
          <w:sz w:val="25"/>
        </w:rPr>
        <w:t>o</w:t>
      </w:r>
      <w:r>
        <w:rPr>
          <w:w w:val="99"/>
          <w:sz w:val="25"/>
        </w:rPr>
        <w:t>f</w:t>
      </w:r>
      <w:r>
        <w:rPr>
          <w:spacing w:val="22"/>
          <w:sz w:val="25"/>
        </w:rPr>
        <w:t> </w:t>
      </w:r>
      <w:r>
        <w:rPr>
          <w:spacing w:val="-1"/>
          <w:w w:val="99"/>
          <w:sz w:val="25"/>
        </w:rPr>
        <w:t>leg</w:t>
      </w:r>
      <w:r>
        <w:rPr>
          <w:w w:val="99"/>
          <w:sz w:val="25"/>
        </w:rPr>
        <w:t>al</w:t>
      </w:r>
      <w:r>
        <w:rPr>
          <w:spacing w:val="21"/>
          <w:sz w:val="25"/>
        </w:rPr>
        <w:t> </w:t>
      </w:r>
      <w:r>
        <w:rPr>
          <w:spacing w:val="-1"/>
          <w:w w:val="99"/>
          <w:sz w:val="25"/>
        </w:rPr>
        <w:t>p</w:t>
      </w:r>
      <w:r>
        <w:rPr>
          <w:w w:val="99"/>
          <w:sz w:val="25"/>
        </w:rPr>
        <w:t>erson</w:t>
      </w:r>
      <w:r>
        <w:rPr>
          <w:spacing w:val="-1"/>
          <w:w w:val="99"/>
          <w:sz w:val="25"/>
        </w:rPr>
        <w:t>alit</w:t>
      </w:r>
      <w:r>
        <w:rPr>
          <w:w w:val="99"/>
          <w:sz w:val="25"/>
        </w:rPr>
        <w:t>y</w:t>
      </w:r>
      <w:r>
        <w:rPr>
          <w:spacing w:val="19"/>
          <w:sz w:val="25"/>
        </w:rPr>
        <w:t> </w:t>
      </w:r>
      <w:r>
        <w:rPr>
          <w:spacing w:val="-1"/>
          <w:w w:val="99"/>
          <w:sz w:val="25"/>
        </w:rPr>
        <w:t>i</w:t>
      </w:r>
      <w:r>
        <w:rPr>
          <w:w w:val="99"/>
          <w:sz w:val="25"/>
        </w:rPr>
        <w:t>n</w:t>
      </w:r>
      <w:r>
        <w:rPr>
          <w:spacing w:val="21"/>
          <w:sz w:val="25"/>
        </w:rPr>
        <w:t> </w:t>
      </w:r>
      <w:r>
        <w:rPr>
          <w:w w:val="99"/>
          <w:sz w:val="25"/>
        </w:rPr>
        <w:t>the</w:t>
      </w:r>
      <w:r>
        <w:rPr>
          <w:spacing w:val="22"/>
          <w:sz w:val="25"/>
        </w:rPr>
        <w:t> </w:t>
      </w:r>
      <w:r>
        <w:rPr>
          <w:w w:val="99"/>
          <w:sz w:val="25"/>
        </w:rPr>
        <w:t>cont</w:t>
      </w:r>
      <w:r>
        <w:rPr>
          <w:spacing w:val="2"/>
          <w:w w:val="99"/>
          <w:sz w:val="25"/>
        </w:rPr>
        <w:t>e</w:t>
      </w:r>
      <w:r>
        <w:rPr>
          <w:spacing w:val="-3"/>
          <w:w w:val="99"/>
          <w:sz w:val="25"/>
        </w:rPr>
        <w:t>x</w:t>
      </w:r>
      <w:r>
        <w:rPr>
          <w:w w:val="99"/>
          <w:sz w:val="25"/>
        </w:rPr>
        <w:t>t </w:t>
      </w:r>
      <w:r>
        <w:rPr>
          <w:sz w:val="25"/>
        </w:rPr>
        <w:t>of</w:t>
      </w:r>
      <w:r>
        <w:rPr>
          <w:spacing w:val="22"/>
          <w:sz w:val="25"/>
        </w:rPr>
        <w:t> </w:t>
      </w:r>
      <w:r>
        <w:rPr>
          <w:sz w:val="25"/>
        </w:rPr>
        <w:t>endowments</w:t>
      </w:r>
      <w:r>
        <w:rPr>
          <w:spacing w:val="22"/>
          <w:sz w:val="25"/>
        </w:rPr>
        <w:t> </w:t>
      </w:r>
      <w:r>
        <w:rPr>
          <w:sz w:val="25"/>
        </w:rPr>
        <w:t>was</w:t>
      </w:r>
      <w:r>
        <w:rPr>
          <w:spacing w:val="21"/>
          <w:sz w:val="25"/>
        </w:rPr>
        <w:t> </w:t>
      </w:r>
      <w:r>
        <w:rPr>
          <w:sz w:val="25"/>
        </w:rPr>
        <w:t>to</w:t>
      </w:r>
      <w:r>
        <w:rPr>
          <w:spacing w:val="21"/>
          <w:sz w:val="25"/>
        </w:rPr>
        <w:t> </w:t>
      </w:r>
      <w:r>
        <w:rPr>
          <w:sz w:val="25"/>
        </w:rPr>
        <w:t>ensure</w:t>
      </w:r>
      <w:r>
        <w:rPr>
          <w:spacing w:val="21"/>
          <w:sz w:val="25"/>
        </w:rPr>
        <w:t> </w:t>
      </w:r>
      <w:r>
        <w:rPr>
          <w:sz w:val="25"/>
        </w:rPr>
        <w:t>the</w:t>
      </w:r>
      <w:r>
        <w:rPr>
          <w:spacing w:val="22"/>
          <w:sz w:val="25"/>
        </w:rPr>
        <w:t> </w:t>
      </w:r>
      <w:r>
        <w:rPr>
          <w:sz w:val="25"/>
        </w:rPr>
        <w:t>legal</w:t>
      </w:r>
      <w:r>
        <w:rPr>
          <w:spacing w:val="21"/>
          <w:sz w:val="25"/>
        </w:rPr>
        <w:t> </w:t>
      </w:r>
      <w:r>
        <w:rPr>
          <w:sz w:val="25"/>
        </w:rPr>
        <w:t>protection</w:t>
      </w:r>
      <w:r>
        <w:rPr>
          <w:spacing w:val="21"/>
          <w:sz w:val="25"/>
        </w:rPr>
        <w:t> </w:t>
      </w:r>
      <w:r>
        <w:rPr>
          <w:sz w:val="25"/>
        </w:rPr>
        <w:t>of</w:t>
      </w:r>
      <w:r>
        <w:rPr>
          <w:spacing w:val="22"/>
          <w:sz w:val="25"/>
        </w:rPr>
        <w:t> </w:t>
      </w:r>
      <w:r>
        <w:rPr>
          <w:sz w:val="25"/>
        </w:rPr>
        <w:t>the</w:t>
      </w:r>
      <w:r>
        <w:rPr>
          <w:spacing w:val="22"/>
          <w:sz w:val="25"/>
        </w:rPr>
        <w:t> </w:t>
      </w:r>
      <w:r>
        <w:rPr>
          <w:sz w:val="25"/>
        </w:rPr>
        <w:t>endowed</w:t>
      </w:r>
      <w:r>
        <w:rPr>
          <w:spacing w:val="21"/>
          <w:sz w:val="25"/>
        </w:rPr>
        <w:t> </w:t>
      </w:r>
      <w:r>
        <w:rPr>
          <w:sz w:val="25"/>
        </w:rPr>
        <w:t>property,</w:t>
      </w:r>
      <w:r>
        <w:rPr>
          <w:spacing w:val="21"/>
          <w:sz w:val="25"/>
        </w:rPr>
        <w:t> </w:t>
      </w:r>
      <w:r>
        <w:rPr>
          <w:sz w:val="25"/>
        </w:rPr>
        <w:t>not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to confer upon the property legal impregnability by placing it outside the reach of the law. The elevation of land to the status of a juristic person fundamentally alters its characteristics as immoveable property, a severe consequence against which a court must guard. Nor is it a valid safeguard to postulate that the court will decide on a case to case basis where a particular immoveable property should have a juristic status. Absent any objective standard of application the process of drawing lines will be rendered inherently subjective, denuding the efficacy of the judicial</w:t>
      </w:r>
      <w:r>
        <w:rPr>
          <w:spacing w:val="-3"/>
        </w:rPr>
        <w:t> </w:t>
      </w:r>
      <w:r>
        <w:rPr/>
        <w:t>process.</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The land in question has been treated as immoveable property by all the parties to the present dispute, including those from the Hindu community until 1989. The litigation over the disputed property dated back to 1885, and at no point, until Suit 5 in 1989 was a plea taken that the land in question was anything possessed of a juristic personality. Apart from the reasons which have been outlined above, it would not be open for the court to treat the property differently now, solely on the basis of the novel plea urged by the plaintiffs in Suit 5 in</w:t>
      </w:r>
      <w:r>
        <w:rPr>
          <w:spacing w:val="-28"/>
          <w:sz w:val="25"/>
        </w:rPr>
        <w:t> </w:t>
      </w:r>
      <w:r>
        <w:rPr>
          <w:sz w:val="25"/>
        </w:rPr>
        <w:t>1989.</w:t>
      </w:r>
    </w:p>
    <w:p>
      <w:pPr>
        <w:pStyle w:val="BodyText"/>
        <w:spacing w:before="4"/>
        <w:rPr>
          <w:sz w:val="26"/>
        </w:rPr>
      </w:pPr>
    </w:p>
    <w:p>
      <w:pPr>
        <w:pStyle w:val="Heading4"/>
        <w:rPr>
          <w:i/>
        </w:rPr>
      </w:pPr>
      <w:r>
        <w:rPr>
          <w:i/>
        </w:rPr>
        <w:t>Addressing title claims in a conventional framework</w:t>
      </w:r>
    </w:p>
    <w:p>
      <w:pPr>
        <w:pStyle w:val="BodyText"/>
        <w:rPr>
          <w:i/>
          <w:sz w:val="28"/>
        </w:rPr>
      </w:pPr>
    </w:p>
    <w:p>
      <w:pPr>
        <w:pStyle w:val="BodyText"/>
        <w:spacing w:before="10"/>
        <w:rPr>
          <w:i/>
          <w:sz w:val="22"/>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The facts of the present case raise questions of </w:t>
      </w:r>
      <w:r>
        <w:rPr>
          <w:i/>
          <w:sz w:val="25"/>
        </w:rPr>
        <w:t>access of the devotees </w:t>
      </w:r>
      <w:r>
        <w:rPr>
          <w:sz w:val="25"/>
        </w:rPr>
        <w:t>to the site of religious worship and the question of who has title to the land. The former may be protected by the court in several ways without the creation of an artificial legal person. The protection against mismanagement squarely falls within the domain of who should be recognised as a shebait, and this is addressed</w:t>
      </w:r>
      <w:r>
        <w:rPr>
          <w:spacing w:val="51"/>
          <w:sz w:val="25"/>
        </w:rPr>
        <w:t> </w:t>
      </w:r>
      <w:r>
        <w:rPr>
          <w:sz w:val="25"/>
        </w:rPr>
        <w:t>elsewhere</w:t>
      </w:r>
      <w:r>
        <w:rPr>
          <w:spacing w:val="51"/>
          <w:sz w:val="25"/>
        </w:rPr>
        <w:t> </w:t>
      </w:r>
      <w:r>
        <w:rPr>
          <w:sz w:val="25"/>
        </w:rPr>
        <w:t>in</w:t>
      </w:r>
      <w:r>
        <w:rPr>
          <w:spacing w:val="51"/>
          <w:sz w:val="25"/>
        </w:rPr>
        <w:t> </w:t>
      </w:r>
      <w:r>
        <w:rPr>
          <w:sz w:val="25"/>
        </w:rPr>
        <w:t>the</w:t>
      </w:r>
      <w:r>
        <w:rPr>
          <w:spacing w:val="52"/>
          <w:sz w:val="25"/>
        </w:rPr>
        <w:t> </w:t>
      </w:r>
      <w:r>
        <w:rPr>
          <w:sz w:val="25"/>
        </w:rPr>
        <w:t>course</w:t>
      </w:r>
      <w:r>
        <w:rPr>
          <w:spacing w:val="51"/>
          <w:sz w:val="25"/>
        </w:rPr>
        <w:t> </w:t>
      </w:r>
      <w:r>
        <w:rPr>
          <w:sz w:val="25"/>
        </w:rPr>
        <w:t>of</w:t>
      </w:r>
      <w:r>
        <w:rPr>
          <w:spacing w:val="52"/>
          <w:sz w:val="25"/>
        </w:rPr>
        <w:t> </w:t>
      </w:r>
      <w:r>
        <w:rPr>
          <w:sz w:val="25"/>
        </w:rPr>
        <w:t>the</w:t>
      </w:r>
      <w:r>
        <w:rPr>
          <w:spacing w:val="52"/>
          <w:sz w:val="25"/>
        </w:rPr>
        <w:t> </w:t>
      </w:r>
      <w:r>
        <w:rPr>
          <w:sz w:val="25"/>
        </w:rPr>
        <w:t>present</w:t>
      </w:r>
      <w:r>
        <w:rPr>
          <w:spacing w:val="52"/>
          <w:sz w:val="25"/>
        </w:rPr>
        <w:t> </w:t>
      </w:r>
      <w:r>
        <w:rPr>
          <w:sz w:val="25"/>
        </w:rPr>
        <w:t>judgement.</w:t>
      </w:r>
      <w:r>
        <w:rPr>
          <w:spacing w:val="51"/>
          <w:sz w:val="25"/>
        </w:rPr>
        <w:t> </w:t>
      </w:r>
      <w:r>
        <w:rPr>
          <w:sz w:val="25"/>
        </w:rPr>
        <w:t>Generally</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speaking, the court is empowered to address such situations upon an application under Section 92 of the Code of Civil Procedure 1908. The question of title can be adjudicated upon using the existing legal regime applicable to immoveable property. There is no reason bearing on necessity or convenience that would compel the court to adopt the novel argument set forth by the plaintiffs in Suit 5 that juristic personality must be conferred on the disputed</w:t>
      </w:r>
      <w:r>
        <w:rPr>
          <w:spacing w:val="-9"/>
        </w:rPr>
        <w:t> </w:t>
      </w:r>
      <w:r>
        <w:rPr/>
        <w:t>land.</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The conferral of juristic personality is a legal innovation applied by courts in situations where the existing law of the day has certain shortcomings or such conferral increases the convenience of adjudication. In the present case, the existing law is adequately equipped to protect the interests of the devotees and ensure against maladministration without recognising the land itself as a legal person. Where the law is capable of adequately protecting the interests of the devotees and ensuring the accountable management of religious sites without  the conferral of legal personality, it is not necessary to embark on the journey of creating legal fictions that may have unintended consequences in the future. There is therefore no merit in the argument that faith and belief, and the protection of faith and belief alone may necessitate the conferral of legal personality on the second plaintiff. On the contrary, there exists a substantial risk with adopting this argument. It may be contended by a section of a religion that a particular plot of land is the birth-place, place of marriage, or a place where the human incarnation of a deity departed for a heavenly abode; according to the faith and belief of the devotees. Corporeal property may be associated with myriad</w:t>
      </w:r>
      <w:r>
        <w:rPr>
          <w:spacing w:val="16"/>
          <w:sz w:val="25"/>
        </w:rPr>
        <w:t> </w:t>
      </w:r>
      <w:r>
        <w:rPr>
          <w:sz w:val="25"/>
        </w:rPr>
        <w:t>incidents</w:t>
      </w:r>
      <w:r>
        <w:rPr>
          <w:spacing w:val="18"/>
          <w:sz w:val="25"/>
        </w:rPr>
        <w:t> </w:t>
      </w:r>
      <w:r>
        <w:rPr>
          <w:sz w:val="25"/>
        </w:rPr>
        <w:t>associated</w:t>
      </w:r>
      <w:r>
        <w:rPr>
          <w:spacing w:val="16"/>
          <w:sz w:val="25"/>
        </w:rPr>
        <w:t> </w:t>
      </w:r>
      <w:r>
        <w:rPr>
          <w:sz w:val="25"/>
        </w:rPr>
        <w:t>with</w:t>
      </w:r>
      <w:r>
        <w:rPr>
          <w:spacing w:val="16"/>
          <w:sz w:val="25"/>
        </w:rPr>
        <w:t> </w:t>
      </w:r>
      <w:r>
        <w:rPr>
          <w:sz w:val="25"/>
        </w:rPr>
        <w:t>the</w:t>
      </w:r>
      <w:r>
        <w:rPr>
          <w:spacing w:val="16"/>
          <w:sz w:val="25"/>
        </w:rPr>
        <w:t> </w:t>
      </w:r>
      <w:r>
        <w:rPr>
          <w:sz w:val="25"/>
        </w:rPr>
        <w:t>human</w:t>
      </w:r>
      <w:r>
        <w:rPr>
          <w:spacing w:val="16"/>
          <w:sz w:val="25"/>
        </w:rPr>
        <w:t> </w:t>
      </w:r>
      <w:r>
        <w:rPr>
          <w:sz w:val="25"/>
        </w:rPr>
        <w:t>incarnation</w:t>
      </w:r>
      <w:r>
        <w:rPr>
          <w:spacing w:val="16"/>
          <w:sz w:val="25"/>
        </w:rPr>
        <w:t> </w:t>
      </w:r>
      <w:r>
        <w:rPr>
          <w:sz w:val="25"/>
        </w:rPr>
        <w:t>of</w:t>
      </w:r>
      <w:r>
        <w:rPr>
          <w:spacing w:val="17"/>
          <w:sz w:val="25"/>
        </w:rPr>
        <w:t> </w:t>
      </w:r>
      <w:r>
        <w:rPr>
          <w:sz w:val="25"/>
        </w:rPr>
        <w:t>a</w:t>
      </w:r>
      <w:r>
        <w:rPr>
          <w:spacing w:val="16"/>
          <w:sz w:val="25"/>
        </w:rPr>
        <w:t> </w:t>
      </w:r>
      <w:r>
        <w:rPr>
          <w:sz w:val="25"/>
        </w:rPr>
        <w:t>deity</w:t>
      </w:r>
      <w:r>
        <w:rPr>
          <w:spacing w:val="13"/>
          <w:sz w:val="25"/>
        </w:rPr>
        <w:t> </w:t>
      </w:r>
      <w:r>
        <w:rPr>
          <w:sz w:val="25"/>
        </w:rPr>
        <w:t>each</w:t>
      </w:r>
      <w:r>
        <w:rPr>
          <w:spacing w:val="18"/>
          <w:sz w:val="25"/>
        </w:rPr>
        <w:t> </w:t>
      </w:r>
      <w:r>
        <w:rPr>
          <w:sz w:val="25"/>
        </w:rPr>
        <w:t>of</w:t>
      </w:r>
      <w:r>
        <w:rPr>
          <w:spacing w:val="17"/>
          <w:sz w:val="25"/>
        </w:rPr>
        <w:t> </w:t>
      </w:r>
      <w:r>
        <w:rPr>
          <w:sz w:val="25"/>
        </w:rPr>
        <w:t>which</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holds a significant place in the faith and belief of the worshippers. Where does the court draw the line to assess the significance of the belief as the basis to confer juristic personality on property? In the absence of an objective criterion, the exercise will be fraught with subjectivity. Adopting the argument of the plaintiffs in Suit 5 may result in the conferral of legal personality on all such  claims to land. This conferral would be to the detriment of </w:t>
      </w:r>
      <w:r>
        <w:rPr>
          <w:i/>
        </w:rPr>
        <w:t>bona fide </w:t>
      </w:r>
      <w:r>
        <w:rPr/>
        <w:t>litigants outside the faith – who may not share the same beliefs and yet find their title extinguished. Further, such conferral of legal personality on immovable property would be on the basis of the faith and belief of the devotees, which is fundamentally subjective and incapable of being questioned by this</w:t>
      </w:r>
      <w:r>
        <w:rPr>
          <w:spacing w:val="-14"/>
        </w:rPr>
        <w:t> </w:t>
      </w:r>
      <w:r>
        <w:rPr/>
        <w:t>Court.</w:t>
      </w:r>
    </w:p>
    <w:p>
      <w:pPr>
        <w:pStyle w:val="BodyText"/>
        <w:spacing w:before="10"/>
        <w:rPr>
          <w:sz w:val="24"/>
        </w:rPr>
      </w:pPr>
    </w:p>
    <w:p>
      <w:pPr>
        <w:pStyle w:val="ListParagraph"/>
        <w:numPr>
          <w:ilvl w:val="0"/>
          <w:numId w:val="3"/>
        </w:numPr>
        <w:tabs>
          <w:tab w:pos="1221" w:val="left" w:leader="none"/>
        </w:tabs>
        <w:spacing w:line="480" w:lineRule="auto" w:before="1" w:after="0"/>
        <w:ind w:left="500" w:right="440" w:firstLine="0"/>
        <w:jc w:val="both"/>
        <w:rPr>
          <w:sz w:val="25"/>
        </w:rPr>
      </w:pPr>
      <w:r>
        <w:rPr>
          <w:sz w:val="25"/>
        </w:rPr>
        <w:t>The purpose for which juristic personality is conferred cannot be ‗evolved‘ into a trojan horse that permits, on the basis of religious faith and belief, the extinguishing of all competing proprietary claims over property as well stripping the property itself of the essential characteristic of immoveable property. If the contention urged on the behalf of the plaintiffs in Suit 5 is accepted, it results in a position in law where claims to ‗absolute title‘ can be sustained merely on the basis of the faith and belief of the devotees. The conferral of legal personality on corporeal property would immunise property not merely from competing title claims, but also render vast swathes of the law that are essential for courts to meaningfully adjudicate upon civil suits, such as limitation, ownership, possession and division, entirely otiose. At best, the contention urged on behalf of the plaintiffs in Suit 5 would sustain a claim that the specific site is a location of religious significance for the devotees. It cannot however be extended to sustain proprietary</w:t>
      </w:r>
      <w:r>
        <w:rPr>
          <w:spacing w:val="46"/>
          <w:sz w:val="25"/>
        </w:rPr>
        <w:t> </w:t>
      </w:r>
      <w:r>
        <w:rPr>
          <w:sz w:val="25"/>
        </w:rPr>
        <w:t>claims</w:t>
      </w:r>
      <w:r>
        <w:rPr>
          <w:spacing w:val="49"/>
          <w:sz w:val="25"/>
        </w:rPr>
        <w:t> </w:t>
      </w:r>
      <w:r>
        <w:rPr>
          <w:sz w:val="25"/>
        </w:rPr>
        <w:t>to</w:t>
      </w:r>
      <w:r>
        <w:rPr>
          <w:spacing w:val="50"/>
          <w:sz w:val="25"/>
        </w:rPr>
        <w:t> </w:t>
      </w:r>
      <w:r>
        <w:rPr>
          <w:sz w:val="25"/>
        </w:rPr>
        <w:t>the</w:t>
      </w:r>
      <w:r>
        <w:rPr>
          <w:spacing w:val="49"/>
          <w:sz w:val="25"/>
        </w:rPr>
        <w:t> </w:t>
      </w:r>
      <w:r>
        <w:rPr>
          <w:sz w:val="25"/>
        </w:rPr>
        <w:t>law</w:t>
      </w:r>
      <w:r>
        <w:rPr>
          <w:spacing w:val="49"/>
          <w:sz w:val="25"/>
        </w:rPr>
        <w:t> </w:t>
      </w:r>
      <w:r>
        <w:rPr>
          <w:sz w:val="25"/>
        </w:rPr>
        <w:t>or</w:t>
      </w:r>
      <w:r>
        <w:rPr>
          <w:spacing w:val="50"/>
          <w:sz w:val="25"/>
        </w:rPr>
        <w:t> </w:t>
      </w:r>
      <w:r>
        <w:rPr>
          <w:sz w:val="25"/>
        </w:rPr>
        <w:t>to</w:t>
      </w:r>
      <w:r>
        <w:rPr>
          <w:spacing w:val="49"/>
          <w:sz w:val="25"/>
        </w:rPr>
        <w:t> </w:t>
      </w:r>
      <w:r>
        <w:rPr>
          <w:sz w:val="25"/>
        </w:rPr>
        <w:t>immunise</w:t>
      </w:r>
      <w:r>
        <w:rPr>
          <w:spacing w:val="50"/>
          <w:sz w:val="25"/>
        </w:rPr>
        <w:t> </w:t>
      </w:r>
      <w:r>
        <w:rPr>
          <w:sz w:val="25"/>
        </w:rPr>
        <w:t>the</w:t>
      </w:r>
      <w:r>
        <w:rPr>
          <w:spacing w:val="50"/>
          <w:sz w:val="25"/>
        </w:rPr>
        <w:t> </w:t>
      </w:r>
      <w:r>
        <w:rPr>
          <w:sz w:val="25"/>
        </w:rPr>
        <w:t>land</w:t>
      </w:r>
      <w:r>
        <w:rPr>
          <w:spacing w:val="49"/>
          <w:sz w:val="25"/>
        </w:rPr>
        <w:t> </w:t>
      </w:r>
      <w:r>
        <w:rPr>
          <w:sz w:val="25"/>
        </w:rPr>
        <w:t>from</w:t>
      </w:r>
      <w:r>
        <w:rPr>
          <w:spacing w:val="50"/>
          <w:sz w:val="25"/>
        </w:rPr>
        <w:t> </w:t>
      </w:r>
      <w:r>
        <w:rPr>
          <w:sz w:val="25"/>
        </w:rPr>
        <w:t>proprietary</w:t>
      </w:r>
      <w:r>
        <w:rPr>
          <w:spacing w:val="47"/>
          <w:sz w:val="25"/>
        </w:rPr>
        <w:t> </w:t>
      </w:r>
      <w:r>
        <w:rPr>
          <w:sz w:val="25"/>
        </w:rPr>
        <w:t>or</w:t>
      </w:r>
      <w:r>
        <w:rPr>
          <w:spacing w:val="50"/>
          <w:sz w:val="25"/>
        </w:rPr>
        <w:t> </w:t>
      </w:r>
      <w:r>
        <w:rPr>
          <w:sz w:val="25"/>
        </w:rPr>
        <w:t>title</w:t>
      </w:r>
    </w:p>
    <w:p>
      <w:pPr>
        <w:spacing w:after="0" w:line="480" w:lineRule="auto"/>
        <w:jc w:val="both"/>
        <w:rPr>
          <w:sz w:val="25"/>
        </w:rPr>
        <w:sectPr>
          <w:pgSz w:w="11910" w:h="16840"/>
          <w:pgMar w:header="721" w:footer="1014" w:top="1300" w:bottom="1200" w:left="940" w:right="1000"/>
        </w:sectPr>
      </w:pPr>
    </w:p>
    <w:p>
      <w:pPr>
        <w:pStyle w:val="BodyText"/>
        <w:spacing w:before="124"/>
        <w:ind w:left="500"/>
      </w:pPr>
      <w:r>
        <w:rPr/>
        <w:t>based claims of others by conferring juristic personality on the land itself.</w:t>
      </w:r>
    </w:p>
    <w:p>
      <w:pPr>
        <w:pStyle w:val="BodyText"/>
        <w:rPr>
          <w:sz w:val="28"/>
        </w:rPr>
      </w:pPr>
    </w:p>
    <w:p>
      <w:pPr>
        <w:pStyle w:val="BodyText"/>
        <w:spacing w:before="1"/>
        <w:rPr>
          <w:sz w:val="22"/>
        </w:rPr>
      </w:pPr>
    </w:p>
    <w:p>
      <w:pPr>
        <w:pStyle w:val="Heading4"/>
        <w:jc w:val="left"/>
        <w:rPr>
          <w:i/>
        </w:rPr>
      </w:pPr>
      <w:r>
        <w:rPr>
          <w:i/>
        </w:rPr>
        <w:t>Commitment to constitutional values</w:t>
      </w:r>
    </w:p>
    <w:p>
      <w:pPr>
        <w:pStyle w:val="BodyText"/>
        <w:rPr>
          <w:i/>
          <w:sz w:val="28"/>
        </w:rPr>
      </w:pPr>
    </w:p>
    <w:p>
      <w:pPr>
        <w:pStyle w:val="ListParagraph"/>
        <w:numPr>
          <w:ilvl w:val="0"/>
          <w:numId w:val="3"/>
        </w:numPr>
        <w:tabs>
          <w:tab w:pos="1221" w:val="left" w:leader="none"/>
        </w:tabs>
        <w:spacing w:line="480" w:lineRule="auto" w:before="250" w:after="0"/>
        <w:ind w:left="500" w:right="437" w:firstLine="0"/>
        <w:jc w:val="both"/>
        <w:rPr>
          <w:sz w:val="25"/>
        </w:rPr>
      </w:pPr>
      <w:r>
        <w:rPr>
          <w:sz w:val="25"/>
        </w:rPr>
        <w:t>A final observation must be made on this aspect of the case which is of significant importance. The rejection of the contention urged on behalf of the plaintiffs in Suit 5 touches upon the heart of our constitutional commitment to secularism. The method of worship on the basis of which a proprietary claim may be sustained is relatable to a particular religion. The conferral of legal personality on idols stemming from religious endowments is a legal development applicable only to a practice of the Hindu community.  The performance of the </w:t>
      </w:r>
      <w:r>
        <w:rPr>
          <w:i/>
          <w:sz w:val="25"/>
        </w:rPr>
        <w:t>parikrama </w:t>
      </w:r>
      <w:r>
        <w:rPr>
          <w:sz w:val="25"/>
        </w:rPr>
        <w:t>is  a method of worship confined largely to Hinduism. Putting aside the fact that the argument raised by the plaintiffs in Suit 5 is a novel extension of the law applicable to Hindu religious endowments, this is a significant matter which requires our</w:t>
      </w:r>
      <w:r>
        <w:rPr>
          <w:spacing w:val="-2"/>
          <w:sz w:val="25"/>
        </w:rPr>
        <w:t> </w:t>
      </w:r>
      <w:r>
        <w:rPr>
          <w:sz w:val="25"/>
        </w:rPr>
        <w:t>consideration.</w:t>
      </w:r>
    </w:p>
    <w:p>
      <w:pPr>
        <w:pStyle w:val="BodyText"/>
        <w:rPr>
          <w:sz w:val="28"/>
        </w:rPr>
      </w:pPr>
    </w:p>
    <w:p>
      <w:pPr>
        <w:pStyle w:val="BodyText"/>
        <w:spacing w:before="2"/>
        <w:rPr>
          <w:sz w:val="22"/>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Religious diversity undoubtedly requires the protection of diverse methods of offering worship and performing religious ceremonies. However, that a method of offering worship unique to one religion should result in the conferral of an absolute title to parties from one religion over parties from another religion in an adjudication over civil property claims cannot be sustained under our Constitution. This would render the law, which ought to be the ultimate impartial arbiter, conferring a benefit on a party with respect to her or his legal claims, not on the basis of the merits of a particular case, but on the basis of the structure or fabric of the religion to which they belong. If the contention urged on behalf of</w:t>
      </w:r>
      <w:r>
        <w:rPr>
          <w:spacing w:val="51"/>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plaintiffs in Suit 5 is accepted, the method of worship performed by one religion alone will be conferred with the power to extinguish all contesting proprietary claims over disputed property.</w:t>
      </w:r>
    </w:p>
    <w:p>
      <w:pPr>
        <w:pStyle w:val="BodyText"/>
        <w:spacing w:before="10"/>
        <w:rPr>
          <w:sz w:val="24"/>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It is true that the connection between a person and what they consider divine is deeply internal. It lies in the realm of a personal sphere in which no other person must intrude. It is for this reason that the Constitution protects the freedom to profess, practice and propagate religion equally to all citizens. Often, the human condition finds solace in worship. But worship may not be confined into a straightjacket formula. It is on the basis of the deep entrenchment of religion into the social fabric of Indian society that the right to religious freedom was not made absolute. An attempt has been made in the jurisprudence of this court to demarcate the religious from the secular. The adjudication of civil claims over private property must remain within the domain of the secular if the commitment to constitutional values is to be upheld. Over four decades ago, the Constitution was amended and a specific reference to its secular fabric was incorporated in the Preamble. At its heart, this reiterated what the Constitution always respected and accepted: the equality of all faiths. Secularism cannot be a writ lost in the sands of time by being oblivious to the exercise of religious freedom by</w:t>
      </w:r>
      <w:r>
        <w:rPr>
          <w:spacing w:val="-3"/>
          <w:sz w:val="25"/>
        </w:rPr>
        <w:t> </w:t>
      </w:r>
      <w:r>
        <w:rPr>
          <w:sz w:val="25"/>
        </w:rPr>
        <w:t>everyone.</w:t>
      </w:r>
    </w:p>
    <w:p>
      <w:pPr>
        <w:pStyle w:val="BodyText"/>
        <w:spacing w:before="2"/>
      </w:pPr>
    </w:p>
    <w:p>
      <w:pPr>
        <w:pStyle w:val="ListParagraph"/>
        <w:numPr>
          <w:ilvl w:val="0"/>
          <w:numId w:val="3"/>
        </w:numPr>
        <w:tabs>
          <w:tab w:pos="1221" w:val="left" w:leader="none"/>
        </w:tabs>
        <w:spacing w:line="480" w:lineRule="auto" w:before="0" w:after="0"/>
        <w:ind w:left="500" w:right="438" w:firstLine="0"/>
        <w:jc w:val="both"/>
        <w:rPr>
          <w:sz w:val="25"/>
        </w:rPr>
      </w:pPr>
      <w:r>
        <w:rPr>
          <w:sz w:val="25"/>
        </w:rPr>
        <w:t>It is for all the reasons highlighted above that the law has till today yet to accept the conferral of legal personality on immoveable property. Religiosity has moved hearts and minds. The court cannot adopt a position that accords primacy to</w:t>
      </w:r>
      <w:r>
        <w:rPr>
          <w:spacing w:val="51"/>
          <w:sz w:val="25"/>
        </w:rPr>
        <w:t> </w:t>
      </w:r>
      <w:r>
        <w:rPr>
          <w:sz w:val="25"/>
        </w:rPr>
        <w:t>the</w:t>
      </w:r>
      <w:r>
        <w:rPr>
          <w:spacing w:val="51"/>
          <w:sz w:val="25"/>
        </w:rPr>
        <w:t> </w:t>
      </w:r>
      <w:r>
        <w:rPr>
          <w:sz w:val="25"/>
        </w:rPr>
        <w:t>faith</w:t>
      </w:r>
      <w:r>
        <w:rPr>
          <w:spacing w:val="52"/>
          <w:sz w:val="25"/>
        </w:rPr>
        <w:t> </w:t>
      </w:r>
      <w:r>
        <w:rPr>
          <w:sz w:val="25"/>
        </w:rPr>
        <w:t>and</w:t>
      </w:r>
      <w:r>
        <w:rPr>
          <w:spacing w:val="49"/>
          <w:sz w:val="25"/>
        </w:rPr>
        <w:t> </w:t>
      </w:r>
      <w:r>
        <w:rPr>
          <w:sz w:val="25"/>
        </w:rPr>
        <w:t>belief</w:t>
      </w:r>
      <w:r>
        <w:rPr>
          <w:spacing w:val="52"/>
          <w:sz w:val="25"/>
        </w:rPr>
        <w:t> </w:t>
      </w:r>
      <w:r>
        <w:rPr>
          <w:sz w:val="25"/>
        </w:rPr>
        <w:t>of</w:t>
      </w:r>
      <w:r>
        <w:rPr>
          <w:spacing w:val="51"/>
          <w:sz w:val="25"/>
        </w:rPr>
        <w:t> </w:t>
      </w:r>
      <w:r>
        <w:rPr>
          <w:sz w:val="25"/>
        </w:rPr>
        <w:t>a</w:t>
      </w:r>
      <w:r>
        <w:rPr>
          <w:spacing w:val="52"/>
          <w:sz w:val="25"/>
        </w:rPr>
        <w:t> </w:t>
      </w:r>
      <w:r>
        <w:rPr>
          <w:sz w:val="25"/>
        </w:rPr>
        <w:t>single</w:t>
      </w:r>
      <w:r>
        <w:rPr>
          <w:spacing w:val="51"/>
          <w:sz w:val="25"/>
        </w:rPr>
        <w:t> </w:t>
      </w:r>
      <w:r>
        <w:rPr>
          <w:sz w:val="25"/>
        </w:rPr>
        <w:t>religion</w:t>
      </w:r>
      <w:r>
        <w:rPr>
          <w:spacing w:val="52"/>
          <w:sz w:val="25"/>
        </w:rPr>
        <w:t> </w:t>
      </w:r>
      <w:r>
        <w:rPr>
          <w:sz w:val="25"/>
        </w:rPr>
        <w:t>as</w:t>
      </w:r>
      <w:r>
        <w:rPr>
          <w:spacing w:val="51"/>
          <w:sz w:val="25"/>
        </w:rPr>
        <w:t> </w:t>
      </w:r>
      <w:r>
        <w:rPr>
          <w:sz w:val="25"/>
        </w:rPr>
        <w:t>the</w:t>
      </w:r>
      <w:r>
        <w:rPr>
          <w:spacing w:val="52"/>
          <w:sz w:val="25"/>
        </w:rPr>
        <w:t> </w:t>
      </w:r>
      <w:r>
        <w:rPr>
          <w:sz w:val="25"/>
        </w:rPr>
        <w:t>basis</w:t>
      </w:r>
      <w:r>
        <w:rPr>
          <w:spacing w:val="51"/>
          <w:sz w:val="25"/>
        </w:rPr>
        <w:t> </w:t>
      </w:r>
      <w:r>
        <w:rPr>
          <w:sz w:val="25"/>
        </w:rPr>
        <w:t>to</w:t>
      </w:r>
      <w:r>
        <w:rPr>
          <w:spacing w:val="52"/>
          <w:sz w:val="25"/>
        </w:rPr>
        <w:t> </w:t>
      </w:r>
      <w:r>
        <w:rPr>
          <w:sz w:val="25"/>
        </w:rPr>
        <w:t>confer</w:t>
      </w:r>
      <w:r>
        <w:rPr>
          <w:spacing w:val="51"/>
          <w:sz w:val="25"/>
        </w:rPr>
        <w:t> </w:t>
      </w:r>
      <w:r>
        <w:rPr>
          <w:sz w:val="25"/>
        </w:rPr>
        <w:t>both</w:t>
      </w:r>
      <w:r>
        <w:rPr>
          <w:spacing w:val="52"/>
          <w:sz w:val="25"/>
        </w:rPr>
        <w:t> </w:t>
      </w:r>
      <w:r>
        <w:rPr>
          <w:sz w:val="25"/>
        </w:rPr>
        <w:t>judicial</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firstLine="69"/>
        <w:jc w:val="both"/>
      </w:pPr>
      <w:r>
        <w:rPr/>
        <w:t>insulation as well as primacy over the legal system as a whole. From Shahid Gunj to Ayodhya, in a country like ours where contesting claims over property by religious communities are inevitable, our courts cannot reduce questions of title, which fall firmly within the secular domain and outside the rubric of religion, to a question of which community‘s faith is stronger.</w:t>
      </w:r>
    </w:p>
    <w:p>
      <w:pPr>
        <w:pStyle w:val="BodyText"/>
      </w:pPr>
    </w:p>
    <w:p>
      <w:pPr>
        <w:pStyle w:val="BodyText"/>
        <w:spacing w:line="480" w:lineRule="auto" w:before="1"/>
        <w:ind w:left="500" w:right="435"/>
        <w:jc w:val="both"/>
      </w:pPr>
      <w:r>
        <w:rPr/>
        <w:t>On a consideration of all the factors outlined above, it is thus held that the second plaintiff in Suit 5 – ‗Asthan Shri Ram Janam Bhumi‘ is not a juristic person.</w:t>
      </w:r>
    </w:p>
    <w:p>
      <w:pPr>
        <w:pStyle w:val="BodyText"/>
        <w:spacing w:before="5"/>
        <w:rPr>
          <w:sz w:val="35"/>
        </w:rPr>
      </w:pPr>
    </w:p>
    <w:p>
      <w:pPr>
        <w:pStyle w:val="Heading3"/>
        <w:numPr>
          <w:ilvl w:val="0"/>
          <w:numId w:val="56"/>
        </w:numPr>
        <w:tabs>
          <w:tab w:pos="1221" w:val="left" w:leader="none"/>
        </w:tabs>
        <w:spacing w:line="240" w:lineRule="auto" w:before="1" w:after="0"/>
        <w:ind w:left="1220" w:right="0" w:hanging="721"/>
        <w:jc w:val="both"/>
      </w:pPr>
      <w:r>
        <w:rPr/>
        <w:t>Analysis of the</w:t>
      </w:r>
      <w:r>
        <w:rPr>
          <w:spacing w:val="-3"/>
        </w:rPr>
        <w:t> </w:t>
      </w:r>
      <w:r>
        <w:rPr/>
        <w:t>suits</w:t>
      </w:r>
    </w:p>
    <w:p>
      <w:pPr>
        <w:pStyle w:val="BodyText"/>
        <w:rPr>
          <w:b/>
          <w:sz w:val="28"/>
        </w:rPr>
      </w:pPr>
    </w:p>
    <w:p>
      <w:pPr>
        <w:pStyle w:val="ListParagraph"/>
        <w:numPr>
          <w:ilvl w:val="0"/>
          <w:numId w:val="3"/>
        </w:numPr>
        <w:tabs>
          <w:tab w:pos="1221" w:val="left" w:leader="none"/>
        </w:tabs>
        <w:spacing w:line="480" w:lineRule="auto" w:before="216" w:after="0"/>
        <w:ind w:left="500" w:right="434" w:firstLine="0"/>
        <w:jc w:val="both"/>
        <w:rPr>
          <w:sz w:val="25"/>
        </w:rPr>
      </w:pPr>
      <w:r>
        <w:rPr>
          <w:sz w:val="25"/>
        </w:rPr>
        <w:t>Suit 1 filed by Gopal Singh Visharad is essentially a suit by a worshipper for enforcement of his right to worship Lord Ram at the Janmabhumi. Suit 3 filed by Nirmohi Akhara is for handing over the management and charge of the Janmabhumi temple to it. Suit 4 filed by </w:t>
      </w:r>
      <w:r>
        <w:rPr>
          <w:color w:val="000009"/>
          <w:sz w:val="25"/>
        </w:rPr>
        <w:t>Sunni Central Waqf Board </w:t>
      </w:r>
      <w:r>
        <w:rPr>
          <w:sz w:val="25"/>
        </w:rPr>
        <w:t>is for a declaration that the entirety of the disputed site, including Babri Masjid </w:t>
      </w:r>
      <w:r>
        <w:rPr>
          <w:spacing w:val="2"/>
          <w:sz w:val="25"/>
        </w:rPr>
        <w:t>and </w:t>
      </w:r>
      <w:r>
        <w:rPr>
          <w:sz w:val="25"/>
        </w:rPr>
        <w:t>the surrounding</w:t>
      </w:r>
      <w:r>
        <w:rPr>
          <w:spacing w:val="12"/>
          <w:sz w:val="25"/>
        </w:rPr>
        <w:t> </w:t>
      </w:r>
      <w:r>
        <w:rPr>
          <w:sz w:val="25"/>
        </w:rPr>
        <w:t>graveyard,</w:t>
      </w:r>
      <w:r>
        <w:rPr>
          <w:spacing w:val="13"/>
          <w:sz w:val="25"/>
        </w:rPr>
        <w:t> </w:t>
      </w:r>
      <w:r>
        <w:rPr>
          <w:sz w:val="25"/>
        </w:rPr>
        <w:t>is</w:t>
      </w:r>
      <w:r>
        <w:rPr>
          <w:spacing w:val="12"/>
          <w:sz w:val="25"/>
        </w:rPr>
        <w:t> </w:t>
      </w:r>
      <w:r>
        <w:rPr>
          <w:sz w:val="25"/>
        </w:rPr>
        <w:t>a</w:t>
      </w:r>
      <w:r>
        <w:rPr>
          <w:spacing w:val="13"/>
          <w:sz w:val="25"/>
        </w:rPr>
        <w:t> </w:t>
      </w:r>
      <w:r>
        <w:rPr>
          <w:sz w:val="25"/>
        </w:rPr>
        <w:t>public</w:t>
      </w:r>
      <w:r>
        <w:rPr>
          <w:spacing w:val="12"/>
          <w:sz w:val="25"/>
        </w:rPr>
        <w:t> </w:t>
      </w:r>
      <w:r>
        <w:rPr>
          <w:sz w:val="25"/>
        </w:rPr>
        <w:t>mosque</w:t>
      </w:r>
      <w:r>
        <w:rPr>
          <w:spacing w:val="13"/>
          <w:sz w:val="25"/>
        </w:rPr>
        <w:t> </w:t>
      </w:r>
      <w:r>
        <w:rPr>
          <w:sz w:val="25"/>
        </w:rPr>
        <w:t>and</w:t>
      </w:r>
      <w:r>
        <w:rPr>
          <w:spacing w:val="12"/>
          <w:sz w:val="25"/>
        </w:rPr>
        <w:t> </w:t>
      </w:r>
      <w:r>
        <w:rPr>
          <w:sz w:val="25"/>
        </w:rPr>
        <w:t>for</w:t>
      </w:r>
      <w:r>
        <w:rPr>
          <w:spacing w:val="14"/>
          <w:sz w:val="25"/>
        </w:rPr>
        <w:t> </w:t>
      </w:r>
      <w:r>
        <w:rPr>
          <w:sz w:val="25"/>
        </w:rPr>
        <w:t>a</w:t>
      </w:r>
      <w:r>
        <w:rPr>
          <w:spacing w:val="12"/>
          <w:sz w:val="25"/>
        </w:rPr>
        <w:t> </w:t>
      </w:r>
      <w:r>
        <w:rPr>
          <w:sz w:val="25"/>
        </w:rPr>
        <w:t>decree</w:t>
      </w:r>
      <w:r>
        <w:rPr>
          <w:spacing w:val="13"/>
          <w:sz w:val="25"/>
        </w:rPr>
        <w:t> </w:t>
      </w:r>
      <w:r>
        <w:rPr>
          <w:sz w:val="25"/>
        </w:rPr>
        <w:t>for</w:t>
      </w:r>
      <w:r>
        <w:rPr>
          <w:spacing w:val="10"/>
          <w:sz w:val="25"/>
        </w:rPr>
        <w:t> </w:t>
      </w:r>
      <w:r>
        <w:rPr>
          <w:sz w:val="25"/>
        </w:rPr>
        <w:t>possession.</w:t>
      </w:r>
      <w:r>
        <w:rPr>
          <w:spacing w:val="13"/>
          <w:sz w:val="25"/>
        </w:rPr>
        <w:t> </w:t>
      </w:r>
      <w:r>
        <w:rPr>
          <w:sz w:val="25"/>
        </w:rPr>
        <w:t>Suit</w:t>
      </w:r>
    </w:p>
    <w:p>
      <w:pPr>
        <w:pStyle w:val="BodyText"/>
        <w:spacing w:line="480" w:lineRule="auto"/>
        <w:ind w:left="500" w:right="442"/>
        <w:jc w:val="both"/>
      </w:pPr>
      <w:r>
        <w:rPr/>
        <w:t>5 is filed by the deity of Lord Ram and the Janmasthan (both of whom are asserted to be juridical persons) through a next friend impleaded as a third plaintiff for a declaration that the entire premises comprised of annexures 1, 2 and 3 to the plaint constitute Ram Janmabhumi and for an injunction against interference in the construction of a new temple after the demolition of the existing</w:t>
      </w:r>
      <w:r>
        <w:rPr>
          <w:spacing w:val="-1"/>
        </w:rPr>
        <w:t> </w:t>
      </w:r>
      <w:r>
        <w:rPr/>
        <w:t>building.</w:t>
      </w:r>
    </w:p>
    <w:p>
      <w:pPr>
        <w:spacing w:after="0" w:line="480" w:lineRule="auto"/>
        <w:jc w:val="both"/>
        <w:sectPr>
          <w:headerReference w:type="default" r:id="rId72"/>
          <w:footerReference w:type="default" r:id="rId73"/>
          <w:pgSz w:w="11910" w:h="16840"/>
          <w:pgMar w:header="721" w:footer="1014" w:top="1300" w:bottom="1200" w:left="940" w:right="1000"/>
          <w:pgNumType w:start="224"/>
        </w:sectPr>
      </w:pPr>
    </w:p>
    <w:p>
      <w:pPr>
        <w:pStyle w:val="BodyText"/>
        <w:spacing w:line="480" w:lineRule="auto" w:before="124"/>
        <w:ind w:left="500" w:right="444"/>
        <w:jc w:val="both"/>
      </w:pPr>
      <w:r>
        <w:rPr/>
        <w:t>The judgment now proceeds to analyse and adjudicate upon the claims in the suits.</w:t>
      </w:r>
    </w:p>
    <w:p>
      <w:pPr>
        <w:pStyle w:val="BodyText"/>
        <w:spacing w:before="5"/>
        <w:rPr>
          <w:sz w:val="35"/>
        </w:rPr>
      </w:pPr>
    </w:p>
    <w:p>
      <w:pPr>
        <w:pStyle w:val="Heading3"/>
        <w:numPr>
          <w:ilvl w:val="0"/>
          <w:numId w:val="56"/>
        </w:numPr>
        <w:tabs>
          <w:tab w:pos="1221" w:val="left" w:leader="none"/>
        </w:tabs>
        <w:spacing w:line="360" w:lineRule="auto" w:before="0" w:after="0"/>
        <w:ind w:left="1220" w:right="439" w:hanging="720"/>
        <w:jc w:val="both"/>
      </w:pPr>
      <w:r>
        <w:rPr/>
        <w:t>Suit 1: Gopal Singh Visharad since deceased and survived </w:t>
      </w:r>
      <w:r>
        <w:rPr>
          <w:spacing w:val="3"/>
        </w:rPr>
        <w:t>by </w:t>
      </w:r>
      <w:r>
        <w:rPr/>
        <w:t>Rajendra Singh v Zahoor Ahmad and</w:t>
      </w:r>
      <w:r>
        <w:rPr>
          <w:spacing w:val="1"/>
        </w:rPr>
        <w:t> </w:t>
      </w:r>
      <w:r>
        <w:rPr/>
        <w:t>others</w:t>
      </w:r>
    </w:p>
    <w:p>
      <w:pPr>
        <w:pStyle w:val="BodyText"/>
        <w:rPr>
          <w:b/>
          <w:sz w:val="28"/>
        </w:rPr>
      </w:pPr>
    </w:p>
    <w:p>
      <w:pPr>
        <w:pStyle w:val="BodyText"/>
        <w:spacing w:before="2"/>
        <w:rPr>
          <w:b/>
          <w:sz w:val="28"/>
        </w:rPr>
      </w:pPr>
    </w:p>
    <w:p>
      <w:pPr>
        <w:pStyle w:val="ListParagraph"/>
        <w:numPr>
          <w:ilvl w:val="1"/>
          <w:numId w:val="56"/>
        </w:numPr>
        <w:tabs>
          <w:tab w:pos="1221" w:val="left" w:leader="none"/>
        </w:tabs>
        <w:spacing w:line="240" w:lineRule="auto" w:before="0" w:after="0"/>
        <w:ind w:left="1220" w:right="0" w:hanging="721"/>
        <w:jc w:val="both"/>
        <w:rPr>
          <w:b/>
          <w:sz w:val="26"/>
        </w:rPr>
      </w:pPr>
      <w:r>
        <w:rPr>
          <w:b/>
          <w:sz w:val="26"/>
        </w:rPr>
        <w:t>Pleadings</w:t>
      </w:r>
    </w:p>
    <w:p>
      <w:pPr>
        <w:pStyle w:val="BodyText"/>
        <w:rPr>
          <w:b/>
          <w:sz w:val="28"/>
        </w:rPr>
      </w:pPr>
    </w:p>
    <w:p>
      <w:pPr>
        <w:pStyle w:val="ListParagraph"/>
        <w:numPr>
          <w:ilvl w:val="0"/>
          <w:numId w:val="3"/>
        </w:numPr>
        <w:tabs>
          <w:tab w:pos="1221" w:val="left" w:leader="none"/>
        </w:tabs>
        <w:spacing w:line="480" w:lineRule="auto" w:before="220" w:after="0"/>
        <w:ind w:left="500" w:right="434" w:firstLine="0"/>
        <w:jc w:val="both"/>
        <w:rPr>
          <w:sz w:val="25"/>
        </w:rPr>
      </w:pPr>
      <w:r>
        <w:rPr>
          <w:sz w:val="25"/>
        </w:rPr>
        <w:t>On 16 January </w:t>
      </w:r>
      <w:r>
        <w:rPr>
          <w:color w:val="000009"/>
          <w:sz w:val="25"/>
        </w:rPr>
        <w:t>1950</w:t>
      </w:r>
      <w:r>
        <w:rPr>
          <w:sz w:val="25"/>
        </w:rPr>
        <w:t>, a suit was instituted by Gopal Singh Visharad before the Civil Judge at Faizabad, describing himself as a Hindu devotee. He is a resident of Ayodhya and follower of ‗Santan Dharm‘. His grievance was that he was being prevented by officials of the government from entering the inner courtyard of the structure to offer worship. The plaintiff claims that he is entitled to worship the deity of Lord Ram. The following reliefs were</w:t>
      </w:r>
      <w:r>
        <w:rPr>
          <w:spacing w:val="-9"/>
          <w:sz w:val="25"/>
        </w:rPr>
        <w:t> </w:t>
      </w:r>
      <w:r>
        <w:rPr>
          <w:sz w:val="25"/>
        </w:rPr>
        <w:t>sought:</w:t>
      </w:r>
    </w:p>
    <w:p>
      <w:pPr>
        <w:pStyle w:val="ListParagraph"/>
        <w:numPr>
          <w:ilvl w:val="0"/>
          <w:numId w:val="64"/>
        </w:numPr>
        <w:tabs>
          <w:tab w:pos="1221" w:val="left" w:leader="none"/>
        </w:tabs>
        <w:spacing w:line="480" w:lineRule="auto" w:before="0" w:after="0"/>
        <w:ind w:left="1220" w:right="436" w:hanging="720"/>
        <w:jc w:val="both"/>
        <w:rPr>
          <w:sz w:val="25"/>
        </w:rPr>
      </w:pPr>
      <w:r>
        <w:rPr>
          <w:sz w:val="25"/>
        </w:rPr>
        <w:t>A declaration of his entitlement to worship and seek the darshan of Lord </w:t>
      </w:r>
      <w:r>
        <w:rPr>
          <w:w w:val="99"/>
          <w:sz w:val="25"/>
        </w:rPr>
        <w:t>Ram</w:t>
      </w:r>
      <w:r>
        <w:rPr>
          <w:w w:val="99"/>
          <w:sz w:val="25"/>
        </w:rPr>
        <w:t>,</w:t>
      </w:r>
      <w:r>
        <w:rPr>
          <w:sz w:val="25"/>
        </w:rPr>
        <w:t> </w:t>
      </w:r>
      <w:r>
        <w:rPr>
          <w:spacing w:val="27"/>
          <w:sz w:val="25"/>
        </w:rPr>
        <w:t> </w:t>
      </w:r>
      <w:r>
        <w:rPr>
          <w:w w:val="33"/>
          <w:sz w:val="25"/>
        </w:rPr>
        <w:t>―</w:t>
      </w:r>
      <w:r>
        <w:rPr>
          <w:w w:val="99"/>
          <w:sz w:val="25"/>
        </w:rPr>
        <w:t>acco</w:t>
      </w:r>
      <w:r>
        <w:rPr>
          <w:w w:val="99"/>
          <w:sz w:val="25"/>
        </w:rPr>
        <w:t>r</w:t>
      </w:r>
      <w:r>
        <w:rPr>
          <w:w w:val="99"/>
          <w:sz w:val="25"/>
        </w:rPr>
        <w:t>ding</w:t>
      </w:r>
      <w:r>
        <w:rPr>
          <w:sz w:val="25"/>
        </w:rPr>
        <w:t> </w:t>
      </w:r>
      <w:r>
        <w:rPr>
          <w:spacing w:val="27"/>
          <w:sz w:val="25"/>
        </w:rPr>
        <w:t> </w:t>
      </w:r>
      <w:r>
        <w:rPr>
          <w:spacing w:val="-3"/>
          <w:w w:val="99"/>
          <w:sz w:val="25"/>
        </w:rPr>
        <w:t>t</w:t>
      </w:r>
      <w:r>
        <w:rPr>
          <w:w w:val="99"/>
          <w:sz w:val="25"/>
        </w:rPr>
        <w:t>o</w:t>
      </w:r>
      <w:r>
        <w:rPr>
          <w:sz w:val="25"/>
        </w:rPr>
        <w:t> </w:t>
      </w:r>
      <w:r>
        <w:rPr>
          <w:spacing w:val="24"/>
          <w:sz w:val="25"/>
        </w:rPr>
        <w:t> </w:t>
      </w:r>
      <w:r>
        <w:rPr>
          <w:w w:val="99"/>
          <w:sz w:val="25"/>
        </w:rPr>
        <w:t>r</w:t>
      </w:r>
      <w:r>
        <w:rPr>
          <w:w w:val="99"/>
          <w:sz w:val="25"/>
        </w:rPr>
        <w:t>eligion</w:t>
      </w:r>
      <w:r>
        <w:rPr>
          <w:sz w:val="25"/>
        </w:rPr>
        <w:t> </w:t>
      </w:r>
      <w:r>
        <w:rPr>
          <w:spacing w:val="27"/>
          <w:sz w:val="25"/>
        </w:rPr>
        <w:t> </w:t>
      </w:r>
      <w:r>
        <w:rPr>
          <w:w w:val="99"/>
          <w:sz w:val="25"/>
        </w:rPr>
        <w:t>and</w:t>
      </w:r>
      <w:r>
        <w:rPr>
          <w:sz w:val="25"/>
        </w:rPr>
        <w:t> </w:t>
      </w:r>
      <w:r>
        <w:rPr>
          <w:spacing w:val="26"/>
          <w:sz w:val="25"/>
        </w:rPr>
        <w:t> </w:t>
      </w:r>
      <w:r>
        <w:rPr>
          <w:w w:val="99"/>
          <w:sz w:val="25"/>
        </w:rPr>
        <w:t>cust</w:t>
      </w:r>
      <w:r>
        <w:rPr>
          <w:spacing w:val="-2"/>
          <w:w w:val="99"/>
          <w:sz w:val="25"/>
        </w:rPr>
        <w:t>o</w:t>
      </w:r>
      <w:r>
        <w:rPr>
          <w:spacing w:val="4"/>
          <w:w w:val="99"/>
          <w:sz w:val="25"/>
        </w:rPr>
        <w:t>m</w:t>
      </w:r>
      <w:r>
        <w:rPr>
          <w:w w:val="80"/>
          <w:sz w:val="25"/>
        </w:rPr>
        <w:t>‖</w:t>
      </w:r>
      <w:r>
        <w:rPr>
          <w:sz w:val="25"/>
        </w:rPr>
        <w:t> </w:t>
      </w:r>
      <w:r>
        <w:rPr>
          <w:spacing w:val="27"/>
          <w:sz w:val="25"/>
        </w:rPr>
        <w:t> </w:t>
      </w:r>
      <w:r>
        <w:rPr>
          <w:w w:val="99"/>
          <w:sz w:val="25"/>
        </w:rPr>
        <w:t>at</w:t>
      </w:r>
      <w:r>
        <w:rPr>
          <w:sz w:val="25"/>
        </w:rPr>
        <w:t> </w:t>
      </w:r>
      <w:r>
        <w:rPr>
          <w:spacing w:val="27"/>
          <w:sz w:val="25"/>
        </w:rPr>
        <w:t> </w:t>
      </w:r>
      <w:r>
        <w:rPr>
          <w:w w:val="99"/>
          <w:sz w:val="25"/>
        </w:rPr>
        <w:t>the</w:t>
      </w:r>
      <w:r>
        <w:rPr>
          <w:sz w:val="25"/>
        </w:rPr>
        <w:t> </w:t>
      </w:r>
      <w:r>
        <w:rPr>
          <w:spacing w:val="25"/>
          <w:sz w:val="25"/>
        </w:rPr>
        <w:t> </w:t>
      </w:r>
      <w:r>
        <w:rPr>
          <w:w w:val="99"/>
          <w:sz w:val="25"/>
        </w:rPr>
        <w:t>Jan</w:t>
      </w:r>
      <w:r>
        <w:rPr>
          <w:w w:val="99"/>
          <w:sz w:val="25"/>
        </w:rPr>
        <w:t>m</w:t>
      </w:r>
      <w:r>
        <w:rPr>
          <w:w w:val="99"/>
          <w:sz w:val="25"/>
        </w:rPr>
        <w:t>ab</w:t>
      </w:r>
      <w:r>
        <w:rPr>
          <w:spacing w:val="-2"/>
          <w:w w:val="99"/>
          <w:sz w:val="25"/>
        </w:rPr>
        <w:t>h</w:t>
      </w:r>
      <w:r>
        <w:rPr>
          <w:w w:val="99"/>
          <w:sz w:val="25"/>
        </w:rPr>
        <w:t>u</w:t>
      </w:r>
      <w:r>
        <w:rPr>
          <w:spacing w:val="1"/>
          <w:w w:val="99"/>
          <w:sz w:val="25"/>
        </w:rPr>
        <w:t>m</w:t>
      </w:r>
      <w:r>
        <w:rPr>
          <w:w w:val="99"/>
          <w:sz w:val="25"/>
        </w:rPr>
        <w:t>i</w:t>
      </w:r>
      <w:r>
        <w:rPr>
          <w:sz w:val="25"/>
        </w:rPr>
        <w:t> </w:t>
      </w:r>
      <w:r>
        <w:rPr>
          <w:spacing w:val="26"/>
          <w:sz w:val="25"/>
        </w:rPr>
        <w:t> </w:t>
      </w:r>
      <w:r>
        <w:rPr>
          <w:w w:val="99"/>
          <w:sz w:val="25"/>
        </w:rPr>
        <w:t>te</w:t>
      </w:r>
      <w:r>
        <w:rPr>
          <w:spacing w:val="1"/>
          <w:w w:val="99"/>
          <w:sz w:val="25"/>
        </w:rPr>
        <w:t>m</w:t>
      </w:r>
      <w:r>
        <w:rPr>
          <w:w w:val="99"/>
          <w:sz w:val="25"/>
        </w:rPr>
        <w:t>ple </w:t>
      </w:r>
      <w:r>
        <w:rPr>
          <w:sz w:val="25"/>
        </w:rPr>
        <w:t>without hindrance;</w:t>
      </w:r>
      <w:r>
        <w:rPr>
          <w:spacing w:val="-2"/>
          <w:sz w:val="25"/>
        </w:rPr>
        <w:t> </w:t>
      </w:r>
      <w:r>
        <w:rPr>
          <w:sz w:val="25"/>
        </w:rPr>
        <w:t>and</w:t>
      </w:r>
    </w:p>
    <w:p>
      <w:pPr>
        <w:pStyle w:val="ListParagraph"/>
        <w:numPr>
          <w:ilvl w:val="0"/>
          <w:numId w:val="64"/>
        </w:numPr>
        <w:tabs>
          <w:tab w:pos="1221" w:val="left" w:leader="none"/>
        </w:tabs>
        <w:spacing w:line="480" w:lineRule="auto" w:before="0" w:after="0"/>
        <w:ind w:left="1220" w:right="435" w:hanging="720"/>
        <w:jc w:val="both"/>
        <w:rPr>
          <w:sz w:val="25"/>
        </w:rPr>
      </w:pPr>
      <w:r>
        <w:rPr>
          <w:sz w:val="25"/>
        </w:rPr>
        <w:t>A permanent and perpetual injunction restraining defendants 1 to 10 from removing the idols of the deity and other idols from the place where they were installed; from closing the way leading to the idols; or interfering in worship and</w:t>
      </w:r>
      <w:r>
        <w:rPr>
          <w:spacing w:val="-2"/>
          <w:sz w:val="25"/>
        </w:rPr>
        <w:t> </w:t>
      </w:r>
      <w:r>
        <w:rPr>
          <w:sz w:val="25"/>
        </w:rPr>
        <w:t>darshan.</w:t>
      </w:r>
    </w:p>
    <w:p>
      <w:pPr>
        <w:pStyle w:val="BodyText"/>
        <w:rPr>
          <w:sz w:val="28"/>
        </w:rPr>
      </w:pPr>
    </w:p>
    <w:p>
      <w:pPr>
        <w:pStyle w:val="BodyText"/>
        <w:spacing w:line="480" w:lineRule="auto" w:before="252"/>
        <w:ind w:left="500" w:right="448"/>
        <w:jc w:val="both"/>
      </w:pPr>
      <w:r>
        <w:rPr/>
        <w:t>The cause of action for Suit 1 is stated to have arisen on 14 January 1950, when the employees of the government are alleged to have unlawfully prevented the </w:t>
      </w:r>
      <w:r>
        <w:rPr>
          <w:w w:val="99"/>
        </w:rPr>
        <w:t>plaintiff</w:t>
      </w:r>
      <w:r>
        <w:rPr/>
        <w:t> </w:t>
      </w:r>
      <w:r>
        <w:rPr>
          <w:w w:val="33"/>
        </w:rPr>
        <w:t>―</w:t>
      </w:r>
      <w:r>
        <w:rPr>
          <w:w w:val="99"/>
        </w:rPr>
        <w:t>from</w:t>
      </w:r>
      <w:r>
        <w:rPr/>
        <w:t> </w:t>
      </w:r>
      <w:r>
        <w:rPr>
          <w:w w:val="99"/>
        </w:rPr>
        <w:t>going</w:t>
      </w:r>
      <w:r>
        <w:rPr/>
        <w:t> </w:t>
      </w:r>
      <w:r>
        <w:rPr>
          <w:w w:val="99"/>
        </w:rPr>
        <w:t>inside</w:t>
      </w:r>
      <w:r>
        <w:rPr/>
        <w:t> </w:t>
      </w:r>
      <w:r>
        <w:rPr>
          <w:w w:val="99"/>
        </w:rPr>
        <w:t>the</w:t>
      </w:r>
      <w:r>
        <w:rPr/>
        <w:t> </w:t>
      </w:r>
      <w:r>
        <w:rPr>
          <w:w w:val="99"/>
        </w:rPr>
        <w:t>place</w:t>
      </w:r>
      <w:r>
        <w:rPr>
          <w:w w:val="80"/>
        </w:rPr>
        <w:t>‖</w:t>
      </w:r>
      <w:r>
        <w:rPr/>
        <w:t> </w:t>
      </w:r>
      <w:r>
        <w:rPr>
          <w:w w:val="99"/>
        </w:rPr>
        <w:t>and</w:t>
      </w:r>
      <w:r>
        <w:rPr/>
        <w:t> </w:t>
      </w:r>
      <w:r>
        <w:rPr>
          <w:w w:val="99"/>
        </w:rPr>
        <w:t>exercising</w:t>
      </w:r>
      <w:r>
        <w:rPr/>
        <w:t> </w:t>
      </w:r>
      <w:r>
        <w:rPr>
          <w:w w:val="99"/>
        </w:rPr>
        <w:t>his</w:t>
      </w:r>
      <w:r>
        <w:rPr/>
        <w:t> </w:t>
      </w:r>
      <w:r>
        <w:rPr>
          <w:w w:val="99"/>
        </w:rPr>
        <w:t>right</w:t>
      </w:r>
      <w:r>
        <w:rPr/>
        <w:t> </w:t>
      </w:r>
      <w:r>
        <w:rPr>
          <w:w w:val="99"/>
        </w:rPr>
        <w:t>of</w:t>
      </w:r>
      <w:r>
        <w:rPr/>
        <w:t> </w:t>
      </w:r>
      <w:r>
        <w:rPr>
          <w:w w:val="99"/>
        </w:rPr>
        <w:t>worship.</w:t>
      </w:r>
      <w:r>
        <w:rPr/>
        <w:t> </w:t>
      </w:r>
      <w:r>
        <w:rPr>
          <w:w w:val="99"/>
        </w:rPr>
        <w:t>It</w:t>
      </w:r>
      <w:r>
        <w:rPr/>
        <w:t> </w:t>
      </w:r>
      <w:r>
        <w:rPr>
          <w:w w:val="99"/>
        </w:rPr>
        <w:t>was</w:t>
      </w:r>
    </w:p>
    <w:p>
      <w:pPr>
        <w:spacing w:after="0" w:line="480" w:lineRule="auto"/>
        <w:jc w:val="both"/>
        <w:sectPr>
          <w:headerReference w:type="default" r:id="rId74"/>
          <w:footerReference w:type="default" r:id="rId75"/>
          <w:pgSz w:w="11910" w:h="16840"/>
          <w:pgMar w:header="721" w:footer="1014" w:top="1300" w:bottom="1200" w:left="940" w:right="1000"/>
          <w:pgNumType w:start="225"/>
        </w:sectPr>
      </w:pPr>
    </w:p>
    <w:p>
      <w:pPr>
        <w:pStyle w:val="BodyText"/>
        <w:spacing w:line="480" w:lineRule="auto" w:before="124"/>
        <w:ind w:left="500" w:right="436"/>
        <w:jc w:val="both"/>
      </w:pPr>
      <w:r>
        <w:rPr>
          <w:w w:val="99"/>
        </w:rPr>
        <w:t>alleged</w:t>
      </w:r>
      <w:r>
        <w:rPr/>
        <w:t> </w:t>
      </w:r>
      <w:r>
        <w:rPr>
          <w:w w:val="99"/>
        </w:rPr>
        <w:t>tha</w:t>
      </w:r>
      <w:r>
        <w:rPr>
          <w:w w:val="99"/>
        </w:rPr>
        <w:t>t</w:t>
      </w:r>
      <w:r>
        <w:rPr/>
        <w:t> </w:t>
      </w:r>
      <w:r>
        <w:rPr>
          <w:w w:val="99"/>
        </w:rPr>
        <w:t>t</w:t>
      </w:r>
      <w:r>
        <w:rPr>
          <w:w w:val="99"/>
        </w:rPr>
        <w:t>he</w:t>
      </w:r>
      <w:r>
        <w:rPr/>
        <w:t> </w:t>
      </w:r>
      <w:r>
        <w:rPr>
          <w:w w:val="33"/>
        </w:rPr>
        <w:t>―</w:t>
      </w:r>
      <w:r>
        <w:rPr>
          <w:w w:val="99"/>
        </w:rPr>
        <w:t>Stat</w:t>
      </w:r>
      <w:r>
        <w:rPr>
          <w:w w:val="91"/>
        </w:rPr>
        <w:t>e‖</w:t>
      </w:r>
      <w:r>
        <w:rPr/>
        <w:t> </w:t>
      </w:r>
      <w:r>
        <w:rPr>
          <w:w w:val="99"/>
        </w:rPr>
        <w:t>adopted</w:t>
      </w:r>
      <w:r>
        <w:rPr/>
        <w:t> </w:t>
      </w:r>
      <w:r>
        <w:rPr>
          <w:w w:val="99"/>
        </w:rPr>
        <w:t>this</w:t>
      </w:r>
      <w:r>
        <w:rPr/>
        <w:t> </w:t>
      </w:r>
      <w:r>
        <w:rPr>
          <w:w w:val="99"/>
        </w:rPr>
        <w:t>action</w:t>
      </w:r>
      <w:r>
        <w:rPr/>
        <w:t> </w:t>
      </w:r>
      <w:r>
        <w:rPr>
          <w:w w:val="99"/>
        </w:rPr>
        <w:t>at</w:t>
      </w:r>
      <w:r>
        <w:rPr/>
        <w:t> </w:t>
      </w:r>
      <w:r>
        <w:rPr>
          <w:w w:val="99"/>
        </w:rPr>
        <w:t>the</w:t>
      </w:r>
      <w:r>
        <w:rPr/>
        <w:t> </w:t>
      </w:r>
      <w:r>
        <w:rPr>
          <w:w w:val="99"/>
        </w:rPr>
        <w:t>behest</w:t>
      </w:r>
      <w:r>
        <w:rPr/>
        <w:t> </w:t>
      </w:r>
      <w:r>
        <w:rPr>
          <w:w w:val="99"/>
        </w:rPr>
        <w:t>of</w:t>
      </w:r>
      <w:r>
        <w:rPr/>
        <w:t> </w:t>
      </w:r>
      <w:r>
        <w:rPr>
          <w:w w:val="99"/>
        </w:rPr>
        <w:t>the</w:t>
      </w:r>
      <w:r>
        <w:rPr/>
        <w:t> </w:t>
      </w:r>
      <w:r>
        <w:rPr>
          <w:w w:val="99"/>
        </w:rPr>
        <w:t>Muslim</w:t>
      </w:r>
      <w:r>
        <w:rPr/>
        <w:t> </w:t>
      </w:r>
      <w:r>
        <w:rPr>
          <w:w w:val="99"/>
        </w:rPr>
        <w:t>res</w:t>
      </w:r>
      <w:r>
        <w:rPr>
          <w:w w:val="99"/>
        </w:rPr>
        <w:t>iden</w:t>
      </w:r>
      <w:r>
        <w:rPr>
          <w:w w:val="99"/>
        </w:rPr>
        <w:t>ts </w:t>
      </w:r>
      <w:r>
        <w:rPr/>
        <w:t>represented by defendant nos 1 to 5, as a result of which the Hindus were stated </w:t>
      </w:r>
      <w:r>
        <w:rPr>
          <w:w w:val="99"/>
        </w:rPr>
        <w:t>to</w:t>
      </w:r>
      <w:r>
        <w:rPr/>
        <w:t> </w:t>
      </w:r>
      <w:r>
        <w:rPr>
          <w:w w:val="99"/>
        </w:rPr>
        <w:t>been</w:t>
      </w:r>
      <w:r>
        <w:rPr/>
        <w:t> </w:t>
      </w:r>
      <w:r>
        <w:rPr>
          <w:w w:val="99"/>
        </w:rPr>
        <w:t>deprived</w:t>
      </w:r>
      <w:r>
        <w:rPr/>
        <w:t> </w:t>
      </w:r>
      <w:r>
        <w:rPr>
          <w:w w:val="99"/>
        </w:rPr>
        <w:t>of</w:t>
      </w:r>
      <w:r>
        <w:rPr/>
        <w:t> </w:t>
      </w:r>
      <w:r>
        <w:rPr>
          <w:w w:val="99"/>
        </w:rPr>
        <w:t>their</w:t>
      </w:r>
      <w:r>
        <w:rPr/>
        <w:t> </w:t>
      </w:r>
      <w:r>
        <w:rPr>
          <w:w w:val="33"/>
        </w:rPr>
        <w:t>―</w:t>
      </w:r>
      <w:r>
        <w:rPr>
          <w:w w:val="99"/>
        </w:rPr>
        <w:t>legitimate</w:t>
      </w:r>
      <w:r>
        <w:rPr/>
        <w:t> </w:t>
      </w:r>
      <w:r>
        <w:rPr>
          <w:w w:val="99"/>
        </w:rPr>
        <w:t>right</w:t>
      </w:r>
      <w:r>
        <w:rPr/>
        <w:t> </w:t>
      </w:r>
      <w:r>
        <w:rPr>
          <w:w w:val="99"/>
        </w:rPr>
        <w:t>of</w:t>
      </w:r>
      <w:r>
        <w:rPr/>
        <w:t> </w:t>
      </w:r>
      <w:r>
        <w:rPr>
          <w:w w:val="99"/>
        </w:rPr>
        <w:t>wor</w:t>
      </w:r>
      <w:r>
        <w:rPr>
          <w:w w:val="96"/>
        </w:rPr>
        <w:t>ship‖</w:t>
      </w:r>
      <w:r>
        <w:rPr>
          <w:w w:val="99"/>
        </w:rPr>
        <w:t>.</w:t>
      </w:r>
      <w:r>
        <w:rPr/>
        <w:t> </w:t>
      </w:r>
      <w:r>
        <w:rPr>
          <w:w w:val="99"/>
        </w:rPr>
        <w:t>The</w:t>
      </w:r>
      <w:r>
        <w:rPr/>
        <w:t> </w:t>
      </w:r>
      <w:r>
        <w:rPr>
          <w:w w:val="99"/>
        </w:rPr>
        <w:t>plaintiff</w:t>
      </w:r>
      <w:r>
        <w:rPr/>
        <w:t> </w:t>
      </w:r>
      <w:r>
        <w:rPr>
          <w:w w:val="99"/>
        </w:rPr>
        <w:t>apprehended </w:t>
      </w:r>
      <w:r>
        <w:rPr/>
        <w:t>that the idols, including the idol of Lord Ram, would be removed. These actions </w:t>
      </w:r>
      <w:r>
        <w:rPr>
          <w:w w:val="99"/>
        </w:rPr>
        <w:t>were</w:t>
      </w:r>
      <w:r>
        <w:rPr/>
        <w:t> </w:t>
      </w:r>
      <w:r>
        <w:rPr>
          <w:w w:val="99"/>
        </w:rPr>
        <w:t>alleged</w:t>
      </w:r>
      <w:r>
        <w:rPr/>
        <w:t> </w:t>
      </w:r>
      <w:r>
        <w:rPr>
          <w:w w:val="99"/>
        </w:rPr>
        <w:t>to</w:t>
      </w:r>
      <w:r>
        <w:rPr/>
        <w:t> </w:t>
      </w:r>
      <w:r>
        <w:rPr>
          <w:w w:val="99"/>
        </w:rPr>
        <w:t>constitute</w:t>
      </w:r>
      <w:r>
        <w:rPr/>
        <w:t> </w:t>
      </w:r>
      <w:r>
        <w:rPr>
          <w:w w:val="99"/>
        </w:rPr>
        <w:t>a</w:t>
      </w:r>
      <w:r>
        <w:rPr/>
        <w:t> </w:t>
      </w:r>
      <w:r>
        <w:rPr>
          <w:w w:val="33"/>
        </w:rPr>
        <w:t>―</w:t>
      </w:r>
      <w:r>
        <w:rPr>
          <w:w w:val="99"/>
        </w:rPr>
        <w:t>direct</w:t>
      </w:r>
      <w:r>
        <w:rPr/>
        <w:t> </w:t>
      </w:r>
      <w:r>
        <w:rPr>
          <w:w w:val="99"/>
        </w:rPr>
        <w:t>attack</w:t>
      </w:r>
      <w:r>
        <w:rPr/>
        <w:t> </w:t>
      </w:r>
      <w:r>
        <w:rPr>
          <w:w w:val="99"/>
        </w:rPr>
        <w:t>on</w:t>
      </w:r>
      <w:r>
        <w:rPr/>
        <w:t> </w:t>
      </w:r>
      <w:r>
        <w:rPr>
          <w:w w:val="99"/>
        </w:rPr>
        <w:t>the</w:t>
      </w:r>
      <w:r>
        <w:rPr/>
        <w:t> </w:t>
      </w:r>
      <w:r>
        <w:rPr>
          <w:w w:val="99"/>
        </w:rPr>
        <w:t>right</w:t>
      </w:r>
      <w:r>
        <w:rPr/>
        <w:t> </w:t>
      </w:r>
      <w:r>
        <w:rPr>
          <w:w w:val="99"/>
        </w:rPr>
        <w:t>and</w:t>
      </w:r>
      <w:r>
        <w:rPr/>
        <w:t> </w:t>
      </w:r>
      <w:r>
        <w:rPr>
          <w:w w:val="99"/>
        </w:rPr>
        <w:t>title</w:t>
      </w:r>
      <w:r>
        <w:rPr/>
        <w:t> </w:t>
      </w:r>
      <w:r>
        <w:rPr>
          <w:w w:val="99"/>
        </w:rPr>
        <w:t>of</w:t>
      </w:r>
      <w:r>
        <w:rPr/>
        <w:t> </w:t>
      </w:r>
      <w:r>
        <w:rPr>
          <w:w w:val="99"/>
        </w:rPr>
        <w:t>the</w:t>
      </w:r>
      <w:r>
        <w:rPr/>
        <w:t> </w:t>
      </w:r>
      <w:r>
        <w:rPr>
          <w:w w:val="99"/>
        </w:rPr>
        <w:t>plain</w:t>
      </w:r>
      <w:r>
        <w:rPr>
          <w:w w:val="94"/>
        </w:rPr>
        <w:t>tiff‖</w:t>
      </w:r>
      <w:r>
        <w:rPr/>
        <w:t> </w:t>
      </w:r>
      <w:r>
        <w:rPr>
          <w:w w:val="99"/>
        </w:rPr>
        <w:t>and was</w:t>
      </w:r>
      <w:r>
        <w:rPr/>
        <w:t> </w:t>
      </w:r>
      <w:r>
        <w:rPr>
          <w:w w:val="99"/>
        </w:rPr>
        <w:t>stated</w:t>
      </w:r>
      <w:r>
        <w:rPr/>
        <w:t> </w:t>
      </w:r>
      <w:r>
        <w:rPr>
          <w:w w:val="99"/>
        </w:rPr>
        <w:t>to</w:t>
      </w:r>
      <w:r>
        <w:rPr/>
        <w:t> </w:t>
      </w:r>
      <w:r>
        <w:rPr>
          <w:w w:val="99"/>
        </w:rPr>
        <w:t>be</w:t>
      </w:r>
      <w:r>
        <w:rPr/>
        <w:t> </w:t>
      </w:r>
      <w:r>
        <w:rPr>
          <w:w w:val="99"/>
        </w:rPr>
        <w:t>an</w:t>
      </w:r>
      <w:r>
        <w:rPr/>
        <w:t> </w:t>
      </w:r>
      <w:r>
        <w:rPr>
          <w:w w:val="33"/>
        </w:rPr>
        <w:t>―</w:t>
      </w:r>
      <w:r>
        <w:rPr>
          <w:w w:val="99"/>
        </w:rPr>
        <w:t>oppressive</w:t>
      </w:r>
      <w:r>
        <w:rPr/>
        <w:t> </w:t>
      </w:r>
      <w:r>
        <w:rPr>
          <w:w w:val="99"/>
        </w:rPr>
        <w:t>a</w:t>
      </w:r>
      <w:r>
        <w:rPr>
          <w:w w:val="93"/>
        </w:rPr>
        <w:t>ct‖</w:t>
      </w:r>
      <w:r>
        <w:rPr>
          <w:w w:val="99"/>
        </w:rPr>
        <w:t>,</w:t>
      </w:r>
      <w:r>
        <w:rPr/>
        <w:t> </w:t>
      </w:r>
      <w:r>
        <w:rPr>
          <w:w w:val="99"/>
        </w:rPr>
        <w:t>contrary</w:t>
      </w:r>
      <w:r>
        <w:rPr/>
        <w:t> </w:t>
      </w:r>
      <w:r>
        <w:rPr>
          <w:w w:val="99"/>
        </w:rPr>
        <w:t>to</w:t>
      </w:r>
      <w:r>
        <w:rPr/>
        <w:t> </w:t>
      </w:r>
      <w:r>
        <w:rPr>
          <w:w w:val="99"/>
        </w:rPr>
        <w:t>law.</w:t>
      </w:r>
    </w:p>
    <w:p>
      <w:pPr>
        <w:pStyle w:val="BodyText"/>
      </w:pPr>
    </w:p>
    <w:p>
      <w:pPr>
        <w:pStyle w:val="ListParagraph"/>
        <w:numPr>
          <w:ilvl w:val="0"/>
          <w:numId w:val="3"/>
        </w:numPr>
        <w:tabs>
          <w:tab w:pos="1221" w:val="left" w:leader="none"/>
        </w:tabs>
        <w:spacing w:line="480" w:lineRule="auto" w:before="0" w:after="0"/>
        <w:ind w:left="500" w:right="435" w:firstLine="0"/>
        <w:jc w:val="both"/>
        <w:rPr>
          <w:sz w:val="25"/>
        </w:rPr>
      </w:pPr>
      <w:r>
        <w:rPr>
          <w:sz w:val="25"/>
        </w:rPr>
        <w:t>Denying the allegations contained in the plaint, the Muslim defendant nos  1 to 5 stated in their written statement</w:t>
      </w:r>
      <w:r>
        <w:rPr>
          <w:spacing w:val="-6"/>
          <w:sz w:val="25"/>
        </w:rPr>
        <w:t> </w:t>
      </w:r>
      <w:r>
        <w:rPr>
          <w:sz w:val="25"/>
        </w:rPr>
        <w:t>that:</w:t>
      </w:r>
    </w:p>
    <w:p>
      <w:pPr>
        <w:pStyle w:val="ListParagraph"/>
        <w:numPr>
          <w:ilvl w:val="0"/>
          <w:numId w:val="65"/>
        </w:numPr>
        <w:tabs>
          <w:tab w:pos="1221" w:val="left" w:leader="none"/>
        </w:tabs>
        <w:spacing w:line="480" w:lineRule="auto" w:before="0" w:after="0"/>
        <w:ind w:left="1220" w:right="436" w:hanging="720"/>
        <w:jc w:val="both"/>
        <w:rPr>
          <w:sz w:val="25"/>
        </w:rPr>
      </w:pPr>
      <w:r>
        <w:rPr>
          <w:sz w:val="25"/>
        </w:rPr>
        <w:t>The property in respect of which the case has been instituted is not Janmabhumi but a mosque constructed by Babur. The </w:t>
      </w:r>
      <w:r>
        <w:rPr>
          <w:color w:val="000009"/>
          <w:sz w:val="25"/>
        </w:rPr>
        <w:t>mosque was </w:t>
      </w:r>
      <w:r>
        <w:rPr>
          <w:sz w:val="25"/>
        </w:rPr>
        <w:t>built in 1528 on the instructions of Babur by Mir Baqi, who was the Commander of his forces, following the conquest of the sub-continent by the Mughal emperor;</w:t>
      </w:r>
    </w:p>
    <w:p>
      <w:pPr>
        <w:pStyle w:val="ListParagraph"/>
        <w:numPr>
          <w:ilvl w:val="0"/>
          <w:numId w:val="65"/>
        </w:numPr>
        <w:tabs>
          <w:tab w:pos="1221" w:val="left" w:leader="none"/>
        </w:tabs>
        <w:spacing w:line="480" w:lineRule="auto" w:before="0" w:after="0"/>
        <w:ind w:left="1220" w:right="443" w:hanging="720"/>
        <w:jc w:val="both"/>
        <w:rPr>
          <w:sz w:val="25"/>
        </w:rPr>
      </w:pPr>
      <w:r>
        <w:rPr>
          <w:sz w:val="25"/>
        </w:rPr>
        <w:t>The mosque was dedicated as a waqf for Muslims, who have a right to worship there. Babur laid out annual grants for the maintenance and expenditure of the mosque, which were continued and enhanced by the Nawab of Awadh and the British</w:t>
      </w:r>
      <w:r>
        <w:rPr>
          <w:spacing w:val="-4"/>
          <w:sz w:val="25"/>
        </w:rPr>
        <w:t> </w:t>
      </w:r>
      <w:r>
        <w:rPr>
          <w:sz w:val="25"/>
        </w:rPr>
        <w:t>Government;</w:t>
      </w:r>
    </w:p>
    <w:p>
      <w:pPr>
        <w:pStyle w:val="ListParagraph"/>
        <w:numPr>
          <w:ilvl w:val="0"/>
          <w:numId w:val="65"/>
        </w:numPr>
        <w:tabs>
          <w:tab w:pos="1221" w:val="left" w:leader="none"/>
        </w:tabs>
        <w:spacing w:line="480" w:lineRule="auto" w:before="0" w:after="0"/>
        <w:ind w:left="1220" w:right="437" w:hanging="720"/>
        <w:jc w:val="both"/>
        <w:rPr>
          <w:sz w:val="25"/>
        </w:rPr>
      </w:pPr>
      <w:r>
        <w:rPr>
          <w:sz w:val="25"/>
        </w:rPr>
        <w:t>The Suit of 1885 was a suit for declaration of ownership by Mahant Raghubar Das only in respect of the Ramchabutra and hence, the claim that the entire building represented the Janmasthan was baseless. As a </w:t>
      </w:r>
      <w:r>
        <w:rPr>
          <w:w w:val="99"/>
          <w:sz w:val="25"/>
        </w:rPr>
        <w:t>consequence</w:t>
      </w:r>
      <w:r>
        <w:rPr>
          <w:spacing w:val="14"/>
          <w:sz w:val="25"/>
        </w:rPr>
        <w:t> </w:t>
      </w:r>
      <w:r>
        <w:rPr>
          <w:w w:val="99"/>
          <w:sz w:val="25"/>
        </w:rPr>
        <w:t>of</w:t>
      </w:r>
      <w:r>
        <w:rPr>
          <w:spacing w:val="14"/>
          <w:sz w:val="25"/>
        </w:rPr>
        <w:t> </w:t>
      </w:r>
      <w:r>
        <w:rPr>
          <w:w w:val="99"/>
          <w:sz w:val="25"/>
        </w:rPr>
        <w:t>the</w:t>
      </w:r>
      <w:r>
        <w:rPr>
          <w:spacing w:val="13"/>
          <w:sz w:val="25"/>
        </w:rPr>
        <w:t> </w:t>
      </w:r>
      <w:r>
        <w:rPr>
          <w:spacing w:val="-2"/>
          <w:w w:val="99"/>
          <w:sz w:val="25"/>
        </w:rPr>
        <w:t>d</w:t>
      </w:r>
      <w:r>
        <w:rPr>
          <w:w w:val="99"/>
          <w:sz w:val="25"/>
        </w:rPr>
        <w:t>ismissa</w:t>
      </w:r>
      <w:r>
        <w:rPr>
          <w:w w:val="99"/>
          <w:sz w:val="25"/>
        </w:rPr>
        <w:t>l</w:t>
      </w:r>
      <w:r>
        <w:rPr>
          <w:spacing w:val="14"/>
          <w:sz w:val="25"/>
        </w:rPr>
        <w:t> </w:t>
      </w:r>
      <w:r>
        <w:rPr>
          <w:w w:val="99"/>
          <w:sz w:val="25"/>
        </w:rPr>
        <w:t>of</w:t>
      </w:r>
      <w:r>
        <w:rPr>
          <w:spacing w:val="14"/>
          <w:sz w:val="25"/>
        </w:rPr>
        <w:t> </w:t>
      </w:r>
      <w:r>
        <w:rPr>
          <w:spacing w:val="3"/>
          <w:w w:val="99"/>
          <w:sz w:val="25"/>
        </w:rPr>
        <w:t>t</w:t>
      </w:r>
      <w:r>
        <w:rPr>
          <w:w w:val="99"/>
          <w:sz w:val="25"/>
        </w:rPr>
        <w:t>he</w:t>
      </w:r>
      <w:r>
        <w:rPr>
          <w:spacing w:val="14"/>
          <w:sz w:val="25"/>
        </w:rPr>
        <w:t> </w:t>
      </w:r>
      <w:r>
        <w:rPr>
          <w:w w:val="99"/>
          <w:sz w:val="25"/>
        </w:rPr>
        <w:t>suit</w:t>
      </w:r>
      <w:r>
        <w:rPr>
          <w:spacing w:val="12"/>
          <w:sz w:val="25"/>
        </w:rPr>
        <w:t> </w:t>
      </w:r>
      <w:r>
        <w:rPr>
          <w:w w:val="99"/>
          <w:sz w:val="25"/>
        </w:rPr>
        <w:t>on</w:t>
      </w:r>
      <w:r>
        <w:rPr>
          <w:spacing w:val="12"/>
          <w:sz w:val="25"/>
        </w:rPr>
        <w:t> </w:t>
      </w:r>
      <w:r>
        <w:rPr>
          <w:w w:val="99"/>
          <w:sz w:val="25"/>
        </w:rPr>
        <w:t>24</w:t>
      </w:r>
      <w:r>
        <w:rPr>
          <w:spacing w:val="14"/>
          <w:sz w:val="25"/>
        </w:rPr>
        <w:t> </w:t>
      </w:r>
      <w:r>
        <w:rPr>
          <w:w w:val="99"/>
          <w:sz w:val="25"/>
        </w:rPr>
        <w:t>Dece</w:t>
      </w:r>
      <w:r>
        <w:rPr>
          <w:spacing w:val="1"/>
          <w:w w:val="99"/>
          <w:sz w:val="25"/>
        </w:rPr>
        <w:t>m</w:t>
      </w:r>
      <w:r>
        <w:rPr>
          <w:w w:val="99"/>
          <w:sz w:val="25"/>
        </w:rPr>
        <w:t>be</w:t>
      </w:r>
      <w:r>
        <w:rPr>
          <w:w w:val="99"/>
          <w:sz w:val="25"/>
        </w:rPr>
        <w:t>r</w:t>
      </w:r>
      <w:r>
        <w:rPr>
          <w:spacing w:val="12"/>
          <w:sz w:val="25"/>
        </w:rPr>
        <w:t> </w:t>
      </w:r>
      <w:r>
        <w:rPr>
          <w:w w:val="99"/>
          <w:sz w:val="25"/>
        </w:rPr>
        <w:t>1885</w:t>
      </w:r>
      <w:r>
        <w:rPr>
          <w:w w:val="99"/>
          <w:sz w:val="25"/>
        </w:rPr>
        <w:t>,</w:t>
      </w:r>
      <w:r>
        <w:rPr>
          <w:spacing w:val="12"/>
          <w:sz w:val="25"/>
        </w:rPr>
        <w:t> </w:t>
      </w:r>
      <w:r>
        <w:rPr>
          <w:w w:val="33"/>
          <w:sz w:val="25"/>
        </w:rPr>
        <w:t>―</w:t>
      </w:r>
      <w:r>
        <w:rPr>
          <w:w w:val="99"/>
          <w:sz w:val="25"/>
        </w:rPr>
        <w:t>the</w:t>
      </w:r>
      <w:r>
        <w:rPr>
          <w:spacing w:val="15"/>
          <w:sz w:val="25"/>
        </w:rPr>
        <w:t> </w:t>
      </w:r>
      <w:r>
        <w:rPr>
          <w:w w:val="99"/>
          <w:sz w:val="25"/>
        </w:rPr>
        <w:t>case </w:t>
      </w:r>
      <w:r>
        <w:rPr>
          <w:sz w:val="25"/>
        </w:rPr>
        <w:t>respecting the Chabutra was not</w:t>
      </w:r>
      <w:r>
        <w:rPr>
          <w:spacing w:val="-8"/>
          <w:sz w:val="25"/>
        </w:rPr>
        <w:t> </w:t>
      </w:r>
      <w:r>
        <w:rPr>
          <w:sz w:val="25"/>
        </w:rPr>
        <w:t>entertained‖;</w:t>
      </w:r>
    </w:p>
    <w:p>
      <w:pPr>
        <w:pStyle w:val="ListParagraph"/>
        <w:numPr>
          <w:ilvl w:val="0"/>
          <w:numId w:val="65"/>
        </w:numPr>
        <w:tabs>
          <w:tab w:pos="1290" w:val="left" w:leader="none"/>
        </w:tabs>
        <w:spacing w:line="482" w:lineRule="auto" w:before="1" w:after="0"/>
        <w:ind w:left="1220" w:right="444" w:hanging="720"/>
        <w:jc w:val="both"/>
        <w:rPr>
          <w:sz w:val="25"/>
        </w:rPr>
      </w:pPr>
      <w:r>
        <w:rPr/>
        <w:tab/>
      </w:r>
      <w:r>
        <w:rPr>
          <w:sz w:val="25"/>
        </w:rPr>
        <w:t>The Chief Commissioner, Waqf appointed under the Muslim Waqf Act 1936 had held the mosque to be a Sunni</w:t>
      </w:r>
      <w:r>
        <w:rPr>
          <w:spacing w:val="-5"/>
          <w:sz w:val="25"/>
        </w:rPr>
        <w:t> </w:t>
      </w:r>
      <w:r>
        <w:rPr>
          <w:sz w:val="25"/>
        </w:rPr>
        <w:t>Waqf;</w:t>
      </w:r>
    </w:p>
    <w:p>
      <w:pPr>
        <w:spacing w:after="0" w:line="482" w:lineRule="auto"/>
        <w:jc w:val="both"/>
        <w:rPr>
          <w:sz w:val="25"/>
        </w:rPr>
        <w:sectPr>
          <w:pgSz w:w="11910" w:h="16840"/>
          <w:pgMar w:header="721" w:footer="1014" w:top="1300" w:bottom="1200" w:left="940" w:right="1000"/>
        </w:sectPr>
      </w:pPr>
    </w:p>
    <w:p>
      <w:pPr>
        <w:pStyle w:val="ListParagraph"/>
        <w:numPr>
          <w:ilvl w:val="0"/>
          <w:numId w:val="65"/>
        </w:numPr>
        <w:tabs>
          <w:tab w:pos="1221" w:val="left" w:leader="none"/>
        </w:tabs>
        <w:spacing w:line="480" w:lineRule="auto" w:before="124" w:after="0"/>
        <w:ind w:left="1220" w:right="439" w:hanging="720"/>
        <w:jc w:val="both"/>
        <w:rPr>
          <w:sz w:val="25"/>
        </w:rPr>
      </w:pPr>
      <w:r>
        <w:rPr>
          <w:sz w:val="25"/>
        </w:rPr>
        <w:t>Muslims have always been in possession of the mosque. This position </w:t>
      </w:r>
      <w:r>
        <w:rPr>
          <w:spacing w:val="-1"/>
          <w:w w:val="99"/>
          <w:sz w:val="25"/>
        </w:rPr>
        <w:t>b</w:t>
      </w:r>
      <w:r>
        <w:rPr>
          <w:w w:val="99"/>
          <w:sz w:val="25"/>
        </w:rPr>
        <w:t>e</w:t>
      </w:r>
      <w:r>
        <w:rPr>
          <w:spacing w:val="-1"/>
          <w:w w:val="99"/>
          <w:sz w:val="25"/>
        </w:rPr>
        <w:t>g</w:t>
      </w:r>
      <w:r>
        <w:rPr>
          <w:w w:val="99"/>
          <w:sz w:val="25"/>
        </w:rPr>
        <w:t>an</w:t>
      </w:r>
      <w:r>
        <w:rPr>
          <w:spacing w:val="-1"/>
          <w:sz w:val="25"/>
        </w:rPr>
        <w:t> </w:t>
      </w:r>
      <w:r>
        <w:rPr>
          <w:spacing w:val="-1"/>
          <w:w w:val="99"/>
          <w:sz w:val="25"/>
        </w:rPr>
        <w:t>i</w:t>
      </w:r>
      <w:r>
        <w:rPr>
          <w:w w:val="99"/>
          <w:sz w:val="25"/>
        </w:rPr>
        <w:t>n</w:t>
      </w:r>
      <w:r>
        <w:rPr>
          <w:sz w:val="25"/>
        </w:rPr>
        <w:t> </w:t>
      </w:r>
      <w:r>
        <w:rPr>
          <w:spacing w:val="-1"/>
          <w:w w:val="99"/>
          <w:sz w:val="25"/>
        </w:rPr>
        <w:t>1</w:t>
      </w:r>
      <w:r>
        <w:rPr>
          <w:w w:val="99"/>
          <w:sz w:val="25"/>
        </w:rPr>
        <w:t>5</w:t>
      </w:r>
      <w:r>
        <w:rPr>
          <w:spacing w:val="-1"/>
          <w:w w:val="99"/>
          <w:sz w:val="25"/>
        </w:rPr>
        <w:t>2</w:t>
      </w:r>
      <w:r>
        <w:rPr>
          <w:w w:val="99"/>
          <w:sz w:val="25"/>
        </w:rPr>
        <w:t>8</w:t>
      </w:r>
      <w:r>
        <w:rPr>
          <w:sz w:val="25"/>
        </w:rPr>
        <w:t> </w:t>
      </w:r>
      <w:r>
        <w:rPr>
          <w:spacing w:val="-1"/>
          <w:w w:val="99"/>
          <w:sz w:val="25"/>
        </w:rPr>
        <w:t>a</w:t>
      </w:r>
      <w:r>
        <w:rPr>
          <w:w w:val="99"/>
          <w:sz w:val="25"/>
        </w:rPr>
        <w:t>nd</w:t>
      </w:r>
      <w:r>
        <w:rPr>
          <w:spacing w:val="-1"/>
          <w:sz w:val="25"/>
        </w:rPr>
        <w:t> </w:t>
      </w:r>
      <w:r>
        <w:rPr>
          <w:w w:val="99"/>
          <w:sz w:val="25"/>
        </w:rPr>
        <w:t>c</w:t>
      </w:r>
      <w:r>
        <w:rPr>
          <w:spacing w:val="3"/>
          <w:w w:val="99"/>
          <w:sz w:val="25"/>
        </w:rPr>
        <w:t>o</w:t>
      </w:r>
      <w:r>
        <w:rPr>
          <w:spacing w:val="-1"/>
          <w:w w:val="99"/>
          <w:sz w:val="25"/>
        </w:rPr>
        <w:t>nti</w:t>
      </w:r>
      <w:r>
        <w:rPr>
          <w:w w:val="99"/>
          <w:sz w:val="25"/>
        </w:rPr>
        <w:t>n</w:t>
      </w:r>
      <w:r>
        <w:rPr>
          <w:spacing w:val="-1"/>
          <w:w w:val="99"/>
          <w:sz w:val="25"/>
        </w:rPr>
        <w:t>u</w:t>
      </w:r>
      <w:r>
        <w:rPr>
          <w:w w:val="99"/>
          <w:sz w:val="25"/>
        </w:rPr>
        <w:t>ed</w:t>
      </w:r>
      <w:r>
        <w:rPr>
          <w:spacing w:val="-1"/>
          <w:sz w:val="25"/>
        </w:rPr>
        <w:t> </w:t>
      </w:r>
      <w:r>
        <w:rPr>
          <w:w w:val="99"/>
          <w:sz w:val="25"/>
        </w:rPr>
        <w:t>t</w:t>
      </w:r>
      <w:r>
        <w:rPr>
          <w:spacing w:val="-1"/>
          <w:w w:val="99"/>
          <w:sz w:val="25"/>
        </w:rPr>
        <w:t>h</w:t>
      </w:r>
      <w:r>
        <w:rPr>
          <w:w w:val="99"/>
          <w:sz w:val="25"/>
        </w:rPr>
        <w:t>er</w:t>
      </w:r>
      <w:r>
        <w:rPr>
          <w:spacing w:val="-1"/>
          <w:w w:val="99"/>
          <w:sz w:val="25"/>
        </w:rPr>
        <w:t>e</w:t>
      </w:r>
      <w:r>
        <w:rPr>
          <w:w w:val="99"/>
          <w:sz w:val="25"/>
        </w:rPr>
        <w:t>after,</w:t>
      </w:r>
      <w:r>
        <w:rPr>
          <w:sz w:val="25"/>
        </w:rPr>
        <w:t> </w:t>
      </w:r>
      <w:r>
        <w:rPr>
          <w:w w:val="99"/>
          <w:sz w:val="25"/>
        </w:rPr>
        <w:t>a</w:t>
      </w:r>
      <w:r>
        <w:rPr>
          <w:spacing w:val="-3"/>
          <w:w w:val="99"/>
          <w:sz w:val="25"/>
        </w:rPr>
        <w:t>n</w:t>
      </w:r>
      <w:r>
        <w:rPr>
          <w:w w:val="99"/>
          <w:sz w:val="25"/>
        </w:rPr>
        <w:t>d</w:t>
      </w:r>
      <w:r>
        <w:rPr>
          <w:spacing w:val="-1"/>
          <w:sz w:val="25"/>
        </w:rPr>
        <w:t> </w:t>
      </w:r>
      <w:r>
        <w:rPr>
          <w:w w:val="99"/>
          <w:sz w:val="25"/>
        </w:rPr>
        <w:t>co</w:t>
      </w:r>
      <w:r>
        <w:rPr>
          <w:spacing w:val="-1"/>
          <w:w w:val="99"/>
          <w:sz w:val="25"/>
        </w:rPr>
        <w:t>ns</w:t>
      </w:r>
      <w:r>
        <w:rPr>
          <w:w w:val="99"/>
          <w:sz w:val="25"/>
        </w:rPr>
        <w:t>e</w:t>
      </w:r>
      <w:r>
        <w:rPr>
          <w:spacing w:val="-1"/>
          <w:w w:val="99"/>
          <w:sz w:val="25"/>
        </w:rPr>
        <w:t>q</w:t>
      </w:r>
      <w:r>
        <w:rPr>
          <w:w w:val="99"/>
          <w:sz w:val="25"/>
        </w:rPr>
        <w:t>u</w:t>
      </w:r>
      <w:r>
        <w:rPr>
          <w:spacing w:val="-1"/>
          <w:w w:val="99"/>
          <w:sz w:val="25"/>
        </w:rPr>
        <w:t>e</w:t>
      </w:r>
      <w:r>
        <w:rPr>
          <w:w w:val="99"/>
          <w:sz w:val="25"/>
        </w:rPr>
        <w:t>ntl</w:t>
      </w:r>
      <w:r>
        <w:rPr>
          <w:spacing w:val="-3"/>
          <w:w w:val="99"/>
          <w:sz w:val="25"/>
        </w:rPr>
        <w:t>y</w:t>
      </w:r>
      <w:r>
        <w:rPr>
          <w:w w:val="99"/>
          <w:sz w:val="25"/>
        </w:rPr>
        <w:t>,</w:t>
      </w:r>
      <w:r>
        <w:rPr>
          <w:sz w:val="25"/>
        </w:rPr>
        <w:t> </w:t>
      </w:r>
      <w:r>
        <w:rPr>
          <w:spacing w:val="3"/>
          <w:w w:val="33"/>
          <w:sz w:val="25"/>
        </w:rPr>
        <w:t>―</w:t>
      </w:r>
      <w:r>
        <w:rPr>
          <w:spacing w:val="-2"/>
          <w:w w:val="99"/>
          <w:sz w:val="25"/>
        </w:rPr>
        <w:t>M</w:t>
      </w:r>
      <w:r>
        <w:rPr>
          <w:spacing w:val="-1"/>
          <w:w w:val="99"/>
          <w:sz w:val="25"/>
        </w:rPr>
        <w:t>us</w:t>
      </w:r>
      <w:r>
        <w:rPr>
          <w:spacing w:val="2"/>
          <w:w w:val="99"/>
          <w:sz w:val="25"/>
        </w:rPr>
        <w:t>l</w:t>
      </w:r>
      <w:r>
        <w:rPr>
          <w:spacing w:val="-1"/>
          <w:w w:val="99"/>
          <w:sz w:val="25"/>
        </w:rPr>
        <w:t>im</w:t>
      </w:r>
      <w:r>
        <w:rPr>
          <w:w w:val="99"/>
          <w:sz w:val="25"/>
        </w:rPr>
        <w:t>s</w:t>
      </w:r>
      <w:r>
        <w:rPr>
          <w:sz w:val="25"/>
        </w:rPr>
        <w:t> </w:t>
      </w:r>
      <w:r>
        <w:rPr>
          <w:spacing w:val="-1"/>
          <w:w w:val="99"/>
          <w:sz w:val="25"/>
        </w:rPr>
        <w:t>a</w:t>
      </w:r>
      <w:r>
        <w:rPr>
          <w:w w:val="99"/>
          <w:sz w:val="25"/>
        </w:rPr>
        <w:t>re</w:t>
      </w:r>
      <w:r>
        <w:rPr>
          <w:spacing w:val="-1"/>
          <w:sz w:val="25"/>
        </w:rPr>
        <w:t> </w:t>
      </w:r>
      <w:r>
        <w:rPr>
          <w:spacing w:val="-1"/>
          <w:w w:val="99"/>
          <w:sz w:val="25"/>
        </w:rPr>
        <w:t>in </w:t>
      </w:r>
      <w:r>
        <w:rPr>
          <w:sz w:val="25"/>
        </w:rPr>
        <w:t>possession of that property… by way of an adverse</w:t>
      </w:r>
      <w:r>
        <w:rPr>
          <w:spacing w:val="-23"/>
          <w:sz w:val="25"/>
        </w:rPr>
        <w:t> </w:t>
      </w:r>
      <w:r>
        <w:rPr>
          <w:sz w:val="25"/>
        </w:rPr>
        <w:t>possession‖;</w:t>
      </w:r>
    </w:p>
    <w:p>
      <w:pPr>
        <w:pStyle w:val="ListParagraph"/>
        <w:numPr>
          <w:ilvl w:val="0"/>
          <w:numId w:val="65"/>
        </w:numPr>
        <w:tabs>
          <w:tab w:pos="1221" w:val="left" w:leader="none"/>
        </w:tabs>
        <w:spacing w:line="480" w:lineRule="auto" w:before="0" w:after="0"/>
        <w:ind w:left="1220" w:right="436" w:hanging="720"/>
        <w:jc w:val="both"/>
        <w:rPr>
          <w:sz w:val="25"/>
        </w:rPr>
      </w:pPr>
      <w:r>
        <w:rPr>
          <w:sz w:val="25"/>
        </w:rPr>
        <w:t>Namaz had been offered at Babri Masjid until 16 December 1949 at which point there were no idols under the central dome. </w:t>
      </w:r>
      <w:r>
        <w:rPr>
          <w:spacing w:val="3"/>
          <w:sz w:val="25"/>
        </w:rPr>
        <w:t>If </w:t>
      </w:r>
      <w:r>
        <w:rPr>
          <w:sz w:val="25"/>
        </w:rPr>
        <w:t>any person had placed </w:t>
      </w:r>
      <w:r>
        <w:rPr>
          <w:w w:val="99"/>
          <w:sz w:val="25"/>
        </w:rPr>
        <w:t>an</w:t>
      </w:r>
      <w:r>
        <w:rPr>
          <w:w w:val="99"/>
          <w:sz w:val="25"/>
        </w:rPr>
        <w:t>y</w:t>
      </w:r>
      <w:r>
        <w:rPr>
          <w:spacing w:val="14"/>
          <w:sz w:val="25"/>
        </w:rPr>
        <w:t> </w:t>
      </w:r>
      <w:r>
        <w:rPr>
          <w:w w:val="99"/>
          <w:sz w:val="25"/>
        </w:rPr>
        <w:t>idol</w:t>
      </w:r>
      <w:r>
        <w:rPr>
          <w:spacing w:val="14"/>
          <w:sz w:val="25"/>
        </w:rPr>
        <w:t> </w:t>
      </w:r>
      <w:r>
        <w:rPr>
          <w:w w:val="99"/>
          <w:sz w:val="25"/>
        </w:rPr>
        <w:t>inside</w:t>
      </w:r>
      <w:r>
        <w:rPr>
          <w:spacing w:val="17"/>
          <w:sz w:val="25"/>
        </w:rPr>
        <w:t> </w:t>
      </w:r>
      <w:r>
        <w:rPr>
          <w:w w:val="99"/>
          <w:sz w:val="25"/>
        </w:rPr>
        <w:t>the</w:t>
      </w:r>
      <w:r>
        <w:rPr>
          <w:spacing w:val="15"/>
          <w:sz w:val="25"/>
        </w:rPr>
        <w:t> </w:t>
      </w:r>
      <w:r>
        <w:rPr>
          <w:spacing w:val="3"/>
          <w:w w:val="99"/>
          <w:sz w:val="25"/>
        </w:rPr>
        <w:t>m</w:t>
      </w:r>
      <w:r>
        <w:rPr>
          <w:w w:val="99"/>
          <w:sz w:val="25"/>
        </w:rPr>
        <w:t>osque</w:t>
      </w:r>
      <w:r>
        <w:rPr>
          <w:spacing w:val="14"/>
          <w:sz w:val="25"/>
        </w:rPr>
        <w:t> </w:t>
      </w:r>
      <w:r>
        <w:rPr>
          <w:w w:val="99"/>
          <w:sz w:val="25"/>
        </w:rPr>
        <w:t>with</w:t>
      </w:r>
      <w:r>
        <w:rPr>
          <w:spacing w:val="14"/>
          <w:sz w:val="25"/>
        </w:rPr>
        <w:t> </w:t>
      </w:r>
      <w:r>
        <w:rPr>
          <w:w w:val="99"/>
          <w:sz w:val="25"/>
        </w:rPr>
        <w:t>a</w:t>
      </w:r>
      <w:r>
        <w:rPr>
          <w:spacing w:val="21"/>
          <w:sz w:val="25"/>
        </w:rPr>
        <w:t> </w:t>
      </w:r>
      <w:r>
        <w:rPr>
          <w:i/>
          <w:spacing w:val="-2"/>
          <w:w w:val="99"/>
          <w:sz w:val="25"/>
        </w:rPr>
        <w:t>m</w:t>
      </w:r>
      <w:r>
        <w:rPr>
          <w:i/>
          <w:w w:val="99"/>
          <w:sz w:val="25"/>
        </w:rPr>
        <w:t>ala</w:t>
      </w:r>
      <w:r>
        <w:rPr>
          <w:i/>
          <w:spacing w:val="17"/>
          <w:sz w:val="25"/>
        </w:rPr>
        <w:t> </w:t>
      </w:r>
      <w:r>
        <w:rPr>
          <w:i/>
          <w:w w:val="99"/>
          <w:sz w:val="25"/>
        </w:rPr>
        <w:t>fi</w:t>
      </w:r>
      <w:r>
        <w:rPr>
          <w:i/>
          <w:spacing w:val="2"/>
          <w:w w:val="99"/>
          <w:sz w:val="25"/>
        </w:rPr>
        <w:t>d</w:t>
      </w:r>
      <w:r>
        <w:rPr>
          <w:i/>
          <w:w w:val="99"/>
          <w:sz w:val="25"/>
        </w:rPr>
        <w:t>e</w:t>
      </w:r>
      <w:r>
        <w:rPr>
          <w:i/>
          <w:spacing w:val="16"/>
          <w:sz w:val="25"/>
        </w:rPr>
        <w:t> </w:t>
      </w:r>
      <w:r>
        <w:rPr>
          <w:w w:val="99"/>
          <w:sz w:val="25"/>
        </w:rPr>
        <w:t>inte</w:t>
      </w:r>
      <w:r>
        <w:rPr>
          <w:w w:val="99"/>
          <w:sz w:val="25"/>
        </w:rPr>
        <w:t>nt</w:t>
      </w:r>
      <w:r>
        <w:rPr>
          <w:w w:val="99"/>
          <w:sz w:val="25"/>
        </w:rPr>
        <w:t>,</w:t>
      </w:r>
      <w:r>
        <w:rPr>
          <w:spacing w:val="14"/>
          <w:sz w:val="25"/>
        </w:rPr>
        <w:t> </w:t>
      </w:r>
      <w:r>
        <w:rPr>
          <w:w w:val="33"/>
          <w:sz w:val="25"/>
        </w:rPr>
        <w:t>―</w:t>
      </w:r>
      <w:r>
        <w:rPr>
          <w:w w:val="99"/>
          <w:sz w:val="25"/>
        </w:rPr>
        <w:t>the</w:t>
      </w:r>
      <w:r>
        <w:rPr>
          <w:spacing w:val="15"/>
          <w:sz w:val="25"/>
        </w:rPr>
        <w:t> </w:t>
      </w:r>
      <w:r>
        <w:rPr>
          <w:spacing w:val="-1"/>
          <w:w w:val="99"/>
          <w:sz w:val="25"/>
        </w:rPr>
        <w:t>d</w:t>
      </w:r>
      <w:r>
        <w:rPr>
          <w:w w:val="99"/>
          <w:sz w:val="25"/>
        </w:rPr>
        <w:t>e</w:t>
      </w:r>
      <w:r>
        <w:rPr>
          <w:spacing w:val="-1"/>
          <w:w w:val="99"/>
          <w:sz w:val="25"/>
        </w:rPr>
        <w:t>g</w:t>
      </w:r>
      <w:r>
        <w:rPr>
          <w:w w:val="99"/>
          <w:sz w:val="25"/>
        </w:rPr>
        <w:t>r</w:t>
      </w:r>
      <w:r>
        <w:rPr>
          <w:spacing w:val="-1"/>
          <w:w w:val="99"/>
          <w:sz w:val="25"/>
        </w:rPr>
        <w:t>a</w:t>
      </w:r>
      <w:r>
        <w:rPr>
          <w:w w:val="99"/>
          <w:sz w:val="25"/>
        </w:rPr>
        <w:t>d</w:t>
      </w:r>
      <w:r>
        <w:rPr>
          <w:spacing w:val="-1"/>
          <w:w w:val="99"/>
          <w:sz w:val="25"/>
        </w:rPr>
        <w:t>ati</w:t>
      </w:r>
      <w:r>
        <w:rPr>
          <w:w w:val="99"/>
          <w:sz w:val="25"/>
        </w:rPr>
        <w:t>on</w:t>
      </w:r>
      <w:r>
        <w:rPr>
          <w:spacing w:val="14"/>
          <w:sz w:val="25"/>
        </w:rPr>
        <w:t> </w:t>
      </w:r>
      <w:r>
        <w:rPr>
          <w:spacing w:val="-1"/>
          <w:w w:val="99"/>
          <w:sz w:val="25"/>
        </w:rPr>
        <w:t>o</w:t>
      </w:r>
      <w:r>
        <w:rPr>
          <w:w w:val="99"/>
          <w:sz w:val="25"/>
        </w:rPr>
        <w:t>f</w:t>
      </w:r>
      <w:r>
        <w:rPr>
          <w:spacing w:val="14"/>
          <w:sz w:val="25"/>
        </w:rPr>
        <w:t> </w:t>
      </w:r>
      <w:r>
        <w:rPr>
          <w:w w:val="99"/>
          <w:sz w:val="25"/>
        </w:rPr>
        <w:t>the </w:t>
      </w:r>
      <w:r>
        <w:rPr>
          <w:sz w:val="25"/>
        </w:rPr>
        <w:t>mosque is evident and the accused persons are liable to be</w:t>
      </w:r>
      <w:r>
        <w:rPr>
          <w:spacing w:val="-33"/>
          <w:sz w:val="25"/>
        </w:rPr>
        <w:t> </w:t>
      </w:r>
      <w:r>
        <w:rPr>
          <w:sz w:val="25"/>
        </w:rPr>
        <w:t>prosecuted‖;</w:t>
      </w:r>
    </w:p>
    <w:p>
      <w:pPr>
        <w:pStyle w:val="ListParagraph"/>
        <w:numPr>
          <w:ilvl w:val="0"/>
          <w:numId w:val="65"/>
        </w:numPr>
        <w:tabs>
          <w:tab w:pos="1221" w:val="left" w:leader="none"/>
        </w:tabs>
        <w:spacing w:line="480" w:lineRule="auto" w:before="0" w:after="0"/>
        <w:ind w:left="1220" w:right="444" w:hanging="720"/>
        <w:jc w:val="both"/>
        <w:rPr>
          <w:sz w:val="25"/>
        </w:rPr>
      </w:pPr>
      <w:r>
        <w:rPr>
          <w:sz w:val="25"/>
        </w:rPr>
        <w:t>Any attempt of the plaintiff or any other person to enter the mosque to offer worship or for darshan would violate the law. Proceedings under Section 145 of the CrPC 1898 had been initiated;</w:t>
      </w:r>
      <w:r>
        <w:rPr>
          <w:spacing w:val="-8"/>
          <w:sz w:val="25"/>
        </w:rPr>
        <w:t> </w:t>
      </w:r>
      <w:r>
        <w:rPr>
          <w:sz w:val="25"/>
        </w:rPr>
        <w:t>and</w:t>
      </w:r>
    </w:p>
    <w:p>
      <w:pPr>
        <w:pStyle w:val="ListParagraph"/>
        <w:numPr>
          <w:ilvl w:val="0"/>
          <w:numId w:val="65"/>
        </w:numPr>
        <w:tabs>
          <w:tab w:pos="1221" w:val="left" w:leader="none"/>
        </w:tabs>
        <w:spacing w:line="480" w:lineRule="auto" w:before="1" w:after="0"/>
        <w:ind w:left="1220" w:right="438" w:hanging="720"/>
        <w:jc w:val="both"/>
        <w:rPr>
          <w:sz w:val="25"/>
        </w:rPr>
      </w:pPr>
      <w:r>
        <w:rPr>
          <w:sz w:val="25"/>
        </w:rPr>
        <w:t>The present suit claiming Babri Masjid as the place of the Janmasthan is without basis as there exists, for quite long, another temple with idols of Lord Ram and others, which is the actual place of the Janmasthan of Lord Ram.</w:t>
      </w:r>
    </w:p>
    <w:p>
      <w:pPr>
        <w:pStyle w:val="BodyText"/>
        <w:rPr>
          <w:sz w:val="28"/>
        </w:rPr>
      </w:pPr>
    </w:p>
    <w:p>
      <w:pPr>
        <w:pStyle w:val="BodyText"/>
        <w:spacing w:before="165"/>
        <w:ind w:left="500"/>
      </w:pPr>
      <w:r>
        <w:rPr/>
        <w:t>A written statement was filed by defendant no 6, the State, submitting that:</w:t>
      </w:r>
    </w:p>
    <w:p>
      <w:pPr>
        <w:pStyle w:val="BodyText"/>
        <w:rPr>
          <w:sz w:val="28"/>
        </w:rPr>
      </w:pPr>
    </w:p>
    <w:p>
      <w:pPr>
        <w:pStyle w:val="BodyText"/>
        <w:spacing w:before="11"/>
        <w:rPr>
          <w:sz w:val="21"/>
        </w:rPr>
      </w:pPr>
    </w:p>
    <w:p>
      <w:pPr>
        <w:pStyle w:val="ListParagraph"/>
        <w:numPr>
          <w:ilvl w:val="0"/>
          <w:numId w:val="66"/>
        </w:numPr>
        <w:tabs>
          <w:tab w:pos="1221" w:val="left" w:leader="none"/>
        </w:tabs>
        <w:spacing w:line="480" w:lineRule="auto" w:before="0" w:after="0"/>
        <w:ind w:left="1220" w:right="442" w:hanging="720"/>
        <w:jc w:val="both"/>
        <w:rPr>
          <w:sz w:val="25"/>
        </w:rPr>
      </w:pPr>
      <w:r>
        <w:rPr>
          <w:sz w:val="25"/>
        </w:rPr>
        <w:t>The property in suit known as Babri Masjid has been used as a mosque for the purpose of worship by Muslims for a long period and has not been used as a temple of Lord</w:t>
      </w:r>
      <w:r>
        <w:rPr>
          <w:spacing w:val="-4"/>
          <w:sz w:val="25"/>
        </w:rPr>
        <w:t> </w:t>
      </w:r>
      <w:r>
        <w:rPr>
          <w:sz w:val="25"/>
        </w:rPr>
        <w:t>Ram;</w:t>
      </w:r>
    </w:p>
    <w:p>
      <w:pPr>
        <w:pStyle w:val="ListParagraph"/>
        <w:numPr>
          <w:ilvl w:val="0"/>
          <w:numId w:val="66"/>
        </w:numPr>
        <w:tabs>
          <w:tab w:pos="1221" w:val="left" w:leader="none"/>
        </w:tabs>
        <w:spacing w:line="480" w:lineRule="auto" w:before="1" w:after="0"/>
        <w:ind w:left="1220" w:right="434" w:hanging="720"/>
        <w:jc w:val="both"/>
        <w:rPr>
          <w:sz w:val="25"/>
        </w:rPr>
      </w:pPr>
      <w:r>
        <w:rPr>
          <w:sz w:val="25"/>
        </w:rPr>
        <w:t>On the night of 22 December 1949, the idols of Lord Ram were surreptitiously placed inside the mosque imperilling public peace and tranquillity. On 23 December 1949, the City Magistrate passed an order under Section 144 of CrPC 1898 which was followed by an order of the same date passed by the Additional City Magistrate under Section</w:t>
      </w:r>
      <w:r>
        <w:rPr>
          <w:spacing w:val="13"/>
          <w:sz w:val="25"/>
        </w:rPr>
        <w:t> </w:t>
      </w:r>
      <w:r>
        <w:rPr>
          <w:sz w:val="25"/>
        </w:rPr>
        <w:t>145</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512"/>
      </w:pPr>
      <w:r>
        <w:rPr/>
        <w:t>attaching the disputed property. These orders were passed to maintain public peace; and</w:t>
      </w:r>
    </w:p>
    <w:p>
      <w:pPr>
        <w:pStyle w:val="ListParagraph"/>
        <w:numPr>
          <w:ilvl w:val="0"/>
          <w:numId w:val="66"/>
        </w:numPr>
        <w:tabs>
          <w:tab w:pos="1221" w:val="left" w:leader="none"/>
        </w:tabs>
        <w:spacing w:line="480" w:lineRule="auto" w:before="0" w:after="0"/>
        <w:ind w:left="1220" w:right="446" w:hanging="720"/>
        <w:jc w:val="both"/>
        <w:rPr>
          <w:sz w:val="25"/>
        </w:rPr>
      </w:pPr>
      <w:r>
        <w:rPr>
          <w:sz w:val="25"/>
        </w:rPr>
        <w:t>The City Magistrate appointed Shri Priya Datt Ram, Chairman, Municipal Board, Faizabad-cum Ayodhya as a receiver of the</w:t>
      </w:r>
      <w:r>
        <w:rPr>
          <w:spacing w:val="-8"/>
          <w:sz w:val="25"/>
        </w:rPr>
        <w:t> </w:t>
      </w:r>
      <w:r>
        <w:rPr>
          <w:sz w:val="25"/>
        </w:rPr>
        <w:t>property.</w:t>
      </w:r>
    </w:p>
    <w:p>
      <w:pPr>
        <w:pStyle w:val="BodyText"/>
        <w:rPr>
          <w:sz w:val="28"/>
        </w:rPr>
      </w:pPr>
    </w:p>
    <w:p>
      <w:pPr>
        <w:pStyle w:val="BodyText"/>
        <w:spacing w:line="482" w:lineRule="auto" w:before="164"/>
        <w:ind w:left="500" w:right="512"/>
      </w:pPr>
      <w:r>
        <w:rPr/>
        <w:t>Similar written statements were filed by defendant no 8, the Additional City Magistrate and defendant no 9, the Superintendent of Police.</w:t>
      </w:r>
    </w:p>
    <w:p>
      <w:pPr>
        <w:pStyle w:val="BodyText"/>
        <w:spacing w:before="7"/>
        <w:rPr>
          <w:sz w:val="24"/>
        </w:rPr>
      </w:pPr>
    </w:p>
    <w:p>
      <w:pPr>
        <w:pStyle w:val="BodyText"/>
        <w:ind w:left="500"/>
      </w:pPr>
      <w:r>
        <w:rPr/>
        <w:t>Defendant no 10, the </w:t>
      </w:r>
      <w:r>
        <w:rPr>
          <w:color w:val="000009"/>
        </w:rPr>
        <w:t>Sunni Central Waqf Board </w:t>
      </w:r>
      <w:r>
        <w:rPr/>
        <w:t>filed its written statement stating:</w:t>
      </w:r>
    </w:p>
    <w:p>
      <w:pPr>
        <w:pStyle w:val="BodyText"/>
        <w:rPr>
          <w:sz w:val="28"/>
        </w:rPr>
      </w:pPr>
    </w:p>
    <w:p>
      <w:pPr>
        <w:pStyle w:val="BodyText"/>
        <w:spacing w:before="1"/>
        <w:rPr>
          <w:sz w:val="22"/>
        </w:rPr>
      </w:pPr>
    </w:p>
    <w:p>
      <w:pPr>
        <w:pStyle w:val="ListParagraph"/>
        <w:numPr>
          <w:ilvl w:val="1"/>
          <w:numId w:val="66"/>
        </w:numPr>
        <w:tabs>
          <w:tab w:pos="1312" w:val="left" w:leader="none"/>
        </w:tabs>
        <w:spacing w:line="480" w:lineRule="auto" w:before="0" w:after="0"/>
        <w:ind w:left="1311" w:right="434" w:hanging="720"/>
        <w:jc w:val="both"/>
        <w:rPr>
          <w:sz w:val="25"/>
        </w:rPr>
      </w:pPr>
      <w:r>
        <w:rPr>
          <w:sz w:val="25"/>
        </w:rPr>
        <w:t>The building in dispute is not the Janmasthan of Lord Ram and no idols were ever installed in</w:t>
      </w:r>
      <w:r>
        <w:rPr>
          <w:spacing w:val="-1"/>
          <w:sz w:val="25"/>
        </w:rPr>
        <w:t> </w:t>
      </w:r>
      <w:r>
        <w:rPr>
          <w:sz w:val="25"/>
        </w:rPr>
        <w:t>it;</w:t>
      </w:r>
    </w:p>
    <w:p>
      <w:pPr>
        <w:pStyle w:val="ListParagraph"/>
        <w:numPr>
          <w:ilvl w:val="1"/>
          <w:numId w:val="66"/>
        </w:numPr>
        <w:tabs>
          <w:tab w:pos="1312" w:val="left" w:leader="none"/>
        </w:tabs>
        <w:spacing w:line="480" w:lineRule="auto" w:before="0" w:after="0"/>
        <w:ind w:left="1311" w:right="442" w:hanging="720"/>
        <w:jc w:val="both"/>
        <w:rPr>
          <w:sz w:val="25"/>
        </w:rPr>
      </w:pPr>
      <w:r>
        <w:rPr>
          <w:sz w:val="25"/>
        </w:rPr>
        <w:t>The property in suit was a mosque known as the Babri mosque constructed during the regime of Emperor Babur who had laid out annual grants for its maintenance and expenditure and they were continued and enhanced by the Nawab of Awadh and the British</w:t>
      </w:r>
      <w:r>
        <w:rPr>
          <w:spacing w:val="-8"/>
          <w:sz w:val="25"/>
        </w:rPr>
        <w:t> </w:t>
      </w:r>
      <w:r>
        <w:rPr>
          <w:sz w:val="25"/>
        </w:rPr>
        <w:t>Government;</w:t>
      </w:r>
    </w:p>
    <w:p>
      <w:pPr>
        <w:pStyle w:val="ListParagraph"/>
        <w:numPr>
          <w:ilvl w:val="1"/>
          <w:numId w:val="66"/>
        </w:numPr>
        <w:tabs>
          <w:tab w:pos="1312" w:val="left" w:leader="none"/>
        </w:tabs>
        <w:spacing w:line="480" w:lineRule="auto" w:before="0" w:after="0"/>
        <w:ind w:left="1311" w:right="442" w:hanging="720"/>
        <w:jc w:val="both"/>
        <w:rPr>
          <w:sz w:val="25"/>
        </w:rPr>
      </w:pPr>
      <w:r>
        <w:rPr>
          <w:sz w:val="25"/>
        </w:rPr>
        <w:t>On the night of 22-23 December 1949, the idols were surreptitiously brought into the</w:t>
      </w:r>
      <w:r>
        <w:rPr>
          <w:spacing w:val="-3"/>
          <w:sz w:val="25"/>
        </w:rPr>
        <w:t> </w:t>
      </w:r>
      <w:r>
        <w:rPr>
          <w:sz w:val="25"/>
        </w:rPr>
        <w:t>mosque;</w:t>
      </w:r>
    </w:p>
    <w:p>
      <w:pPr>
        <w:pStyle w:val="ListParagraph"/>
        <w:numPr>
          <w:ilvl w:val="1"/>
          <w:numId w:val="66"/>
        </w:numPr>
        <w:tabs>
          <w:tab w:pos="1312" w:val="left" w:leader="none"/>
        </w:tabs>
        <w:spacing w:line="480" w:lineRule="auto" w:before="0" w:after="0"/>
        <w:ind w:left="1311" w:right="434" w:hanging="720"/>
        <w:jc w:val="both"/>
        <w:rPr>
          <w:sz w:val="25"/>
        </w:rPr>
      </w:pPr>
      <w:r>
        <w:rPr>
          <w:sz w:val="25"/>
        </w:rPr>
        <w:t>The Muslims alone had remained in possession of the mosque from 1528 up to 29 December 1949 when it was attached under Section 145. They had regularly offered prayers up to 23 December 1949 and Friday prayers up to 16 December</w:t>
      </w:r>
      <w:r>
        <w:rPr>
          <w:spacing w:val="-1"/>
          <w:sz w:val="25"/>
        </w:rPr>
        <w:t> </w:t>
      </w:r>
      <w:r>
        <w:rPr>
          <w:sz w:val="25"/>
        </w:rPr>
        <w:t>1949;</w:t>
      </w:r>
    </w:p>
    <w:p>
      <w:pPr>
        <w:pStyle w:val="ListParagraph"/>
        <w:numPr>
          <w:ilvl w:val="1"/>
          <w:numId w:val="66"/>
        </w:numPr>
        <w:tabs>
          <w:tab w:pos="1312" w:val="left" w:leader="none"/>
        </w:tabs>
        <w:spacing w:line="240" w:lineRule="auto" w:before="0" w:after="0"/>
        <w:ind w:left="1311" w:right="0" w:hanging="721"/>
        <w:jc w:val="both"/>
        <w:rPr>
          <w:sz w:val="25"/>
        </w:rPr>
      </w:pPr>
      <w:r>
        <w:rPr>
          <w:sz w:val="25"/>
        </w:rPr>
        <w:t>The mosque had the character of a waqf and its ownership vested in</w:t>
      </w:r>
      <w:r>
        <w:rPr>
          <w:spacing w:val="-6"/>
          <w:sz w:val="25"/>
        </w:rPr>
        <w:t> </w:t>
      </w:r>
      <w:r>
        <w:rPr>
          <w:sz w:val="25"/>
        </w:rPr>
        <w:t>God;</w:t>
      </w:r>
    </w:p>
    <w:p>
      <w:pPr>
        <w:pStyle w:val="BodyText"/>
      </w:pPr>
    </w:p>
    <w:p>
      <w:pPr>
        <w:pStyle w:val="ListParagraph"/>
        <w:numPr>
          <w:ilvl w:val="1"/>
          <w:numId w:val="66"/>
        </w:numPr>
        <w:tabs>
          <w:tab w:pos="1312" w:val="left" w:leader="none"/>
        </w:tabs>
        <w:spacing w:line="482" w:lineRule="auto" w:before="1" w:after="0"/>
        <w:ind w:left="1311" w:right="439" w:hanging="720"/>
        <w:jc w:val="both"/>
        <w:rPr>
          <w:sz w:val="25"/>
        </w:rPr>
      </w:pPr>
      <w:r>
        <w:rPr>
          <w:sz w:val="25"/>
        </w:rPr>
        <w:t>The plaintiff was estopped from claiming the mosque as the Janmabhumi of</w:t>
      </w:r>
      <w:r>
        <w:rPr>
          <w:spacing w:val="9"/>
          <w:sz w:val="25"/>
        </w:rPr>
        <w:t> </w:t>
      </w:r>
      <w:r>
        <w:rPr>
          <w:sz w:val="25"/>
        </w:rPr>
        <w:t>Lord</w:t>
      </w:r>
      <w:r>
        <w:rPr>
          <w:spacing w:val="9"/>
          <w:sz w:val="25"/>
        </w:rPr>
        <w:t> </w:t>
      </w:r>
      <w:r>
        <w:rPr>
          <w:sz w:val="25"/>
        </w:rPr>
        <w:t>Ram</w:t>
      </w:r>
      <w:r>
        <w:rPr>
          <w:spacing w:val="9"/>
          <w:sz w:val="25"/>
        </w:rPr>
        <w:t> </w:t>
      </w:r>
      <w:r>
        <w:rPr>
          <w:sz w:val="25"/>
        </w:rPr>
        <w:t>as</w:t>
      </w:r>
      <w:r>
        <w:rPr>
          <w:spacing w:val="11"/>
          <w:sz w:val="25"/>
        </w:rPr>
        <w:t> </w:t>
      </w:r>
      <w:r>
        <w:rPr>
          <w:sz w:val="25"/>
        </w:rPr>
        <w:t>the</w:t>
      </w:r>
      <w:r>
        <w:rPr>
          <w:spacing w:val="11"/>
          <w:sz w:val="25"/>
        </w:rPr>
        <w:t> </w:t>
      </w:r>
      <w:r>
        <w:rPr>
          <w:sz w:val="25"/>
        </w:rPr>
        <w:t>claim</w:t>
      </w:r>
      <w:r>
        <w:rPr>
          <w:spacing w:val="9"/>
          <w:sz w:val="25"/>
        </w:rPr>
        <w:t> </w:t>
      </w:r>
      <w:r>
        <w:rPr>
          <w:sz w:val="25"/>
        </w:rPr>
        <w:t>in</w:t>
      </w:r>
      <w:r>
        <w:rPr>
          <w:spacing w:val="10"/>
          <w:sz w:val="25"/>
        </w:rPr>
        <w:t> </w:t>
      </w:r>
      <w:r>
        <w:rPr>
          <w:sz w:val="25"/>
        </w:rPr>
        <w:t>the</w:t>
      </w:r>
      <w:r>
        <w:rPr>
          <w:spacing w:val="9"/>
          <w:sz w:val="25"/>
        </w:rPr>
        <w:t> </w:t>
      </w:r>
      <w:r>
        <w:rPr>
          <w:sz w:val="25"/>
        </w:rPr>
        <w:t>Suit</w:t>
      </w:r>
      <w:r>
        <w:rPr>
          <w:spacing w:val="11"/>
          <w:sz w:val="25"/>
        </w:rPr>
        <w:t> </w:t>
      </w:r>
      <w:r>
        <w:rPr>
          <w:sz w:val="25"/>
        </w:rPr>
        <w:t>of</w:t>
      </w:r>
      <w:r>
        <w:rPr>
          <w:spacing w:val="8"/>
          <w:sz w:val="25"/>
        </w:rPr>
        <w:t> </w:t>
      </w:r>
      <w:r>
        <w:rPr>
          <w:sz w:val="25"/>
        </w:rPr>
        <w:t>1885</w:t>
      </w:r>
      <w:r>
        <w:rPr>
          <w:spacing w:val="13"/>
          <w:sz w:val="25"/>
        </w:rPr>
        <w:t> </w:t>
      </w:r>
      <w:r>
        <w:rPr>
          <w:sz w:val="25"/>
        </w:rPr>
        <w:t>instituted</w:t>
      </w:r>
      <w:r>
        <w:rPr>
          <w:spacing w:val="10"/>
          <w:sz w:val="25"/>
        </w:rPr>
        <w:t> </w:t>
      </w:r>
      <w:r>
        <w:rPr>
          <w:sz w:val="25"/>
        </w:rPr>
        <w:t>by</w:t>
      </w:r>
      <w:r>
        <w:rPr>
          <w:spacing w:val="11"/>
          <w:sz w:val="25"/>
        </w:rPr>
        <w:t> </w:t>
      </w:r>
      <w:r>
        <w:rPr>
          <w:sz w:val="25"/>
        </w:rPr>
        <w:t>Mahant</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1311" w:right="437"/>
        <w:jc w:val="both"/>
      </w:pPr>
      <w:r>
        <w:rPr/>
        <w:t>Raghubar Das (described to be the plaintiff‘s predecessor) was confined only to the Ramchabutra measuring seventeen feet by twenty one feet outside the mosque; and</w:t>
      </w:r>
    </w:p>
    <w:p>
      <w:pPr>
        <w:pStyle w:val="ListParagraph"/>
        <w:numPr>
          <w:ilvl w:val="1"/>
          <w:numId w:val="66"/>
        </w:numPr>
        <w:tabs>
          <w:tab w:pos="1312" w:val="left" w:leader="none"/>
        </w:tabs>
        <w:spacing w:line="480" w:lineRule="auto" w:before="0" w:after="0"/>
        <w:ind w:left="1311" w:right="438" w:hanging="720"/>
        <w:jc w:val="both"/>
        <w:rPr>
          <w:sz w:val="25"/>
        </w:rPr>
      </w:pPr>
      <w:r>
        <w:rPr>
          <w:sz w:val="25"/>
        </w:rPr>
        <w:t>There already existed a Ram Janmasthan Mandir, a short distance away from Babri</w:t>
      </w:r>
      <w:r>
        <w:rPr>
          <w:spacing w:val="-2"/>
          <w:sz w:val="25"/>
        </w:rPr>
        <w:t> </w:t>
      </w:r>
      <w:r>
        <w:rPr>
          <w:sz w:val="25"/>
        </w:rPr>
        <w:t>Masjid.</w:t>
      </w:r>
    </w:p>
    <w:p>
      <w:pPr>
        <w:pStyle w:val="BodyText"/>
        <w:rPr>
          <w:sz w:val="28"/>
        </w:rPr>
      </w:pPr>
    </w:p>
    <w:p>
      <w:pPr>
        <w:pStyle w:val="BodyText"/>
        <w:spacing w:before="8"/>
        <w:rPr>
          <w:sz w:val="31"/>
        </w:rPr>
      </w:pPr>
    </w:p>
    <w:p>
      <w:pPr>
        <w:pStyle w:val="BodyText"/>
        <w:spacing w:line="480" w:lineRule="auto" w:before="1"/>
        <w:ind w:left="500" w:right="436"/>
        <w:jc w:val="both"/>
      </w:pPr>
      <w:r>
        <w:rPr/>
        <w:t>In the plaintiff‘s replication to the written statement of defendant nos 1 to 5, it was averred that the disputed site had never been used as a mosque since 1934. It </w:t>
      </w:r>
      <w:r>
        <w:rPr>
          <w:spacing w:val="-1"/>
          <w:w w:val="99"/>
        </w:rPr>
        <w:t>wa</w:t>
      </w:r>
      <w:r>
        <w:rPr>
          <w:w w:val="99"/>
        </w:rPr>
        <w:t>s</w:t>
      </w:r>
      <w:r>
        <w:rPr/>
        <w:t>  </w:t>
      </w:r>
      <w:r>
        <w:rPr>
          <w:spacing w:val="-34"/>
        </w:rPr>
        <w:t> </w:t>
      </w:r>
      <w:r>
        <w:rPr>
          <w:w w:val="99"/>
        </w:rPr>
        <w:t>fu</w:t>
      </w:r>
      <w:r>
        <w:rPr>
          <w:spacing w:val="1"/>
          <w:w w:val="99"/>
        </w:rPr>
        <w:t>r</w:t>
      </w:r>
      <w:r>
        <w:rPr>
          <w:w w:val="99"/>
        </w:rPr>
        <w:t>ther</w:t>
      </w:r>
      <w:r>
        <w:rPr/>
        <w:t>  </w:t>
      </w:r>
      <w:r>
        <w:rPr>
          <w:spacing w:val="-33"/>
        </w:rPr>
        <w:t> </w:t>
      </w:r>
      <w:r>
        <w:rPr>
          <w:w w:val="99"/>
        </w:rPr>
        <w:t>stat</w:t>
      </w:r>
      <w:r>
        <w:rPr>
          <w:spacing w:val="-1"/>
          <w:w w:val="99"/>
        </w:rPr>
        <w:t>e</w:t>
      </w:r>
      <w:r>
        <w:rPr>
          <w:w w:val="99"/>
        </w:rPr>
        <w:t>d</w:t>
      </w:r>
      <w:r>
        <w:rPr/>
        <w:t>  </w:t>
      </w:r>
      <w:r>
        <w:rPr>
          <w:spacing w:val="-33"/>
        </w:rPr>
        <w:t> </w:t>
      </w:r>
      <w:r>
        <w:rPr>
          <w:w w:val="99"/>
        </w:rPr>
        <w:t>that</w:t>
      </w:r>
      <w:r>
        <w:rPr/>
        <w:t>  </w:t>
      </w:r>
      <w:r>
        <w:rPr>
          <w:spacing w:val="-34"/>
        </w:rPr>
        <w:t> </w:t>
      </w:r>
      <w:r>
        <w:rPr>
          <w:spacing w:val="-1"/>
          <w:w w:val="99"/>
        </w:rPr>
        <w:t>i</w:t>
      </w:r>
      <w:r>
        <w:rPr>
          <w:w w:val="99"/>
        </w:rPr>
        <w:t>t</w:t>
      </w:r>
      <w:r>
        <w:rPr/>
        <w:t>  </w:t>
      </w:r>
      <w:r>
        <w:rPr>
          <w:spacing w:val="-34"/>
        </w:rPr>
        <w:t> </w:t>
      </w:r>
      <w:r>
        <w:rPr>
          <w:spacing w:val="-1"/>
          <w:w w:val="99"/>
        </w:rPr>
        <w:t>wa</w:t>
      </w:r>
      <w:r>
        <w:rPr>
          <w:w w:val="99"/>
        </w:rPr>
        <w:t>s</w:t>
      </w:r>
      <w:r>
        <w:rPr/>
        <w:t>  </w:t>
      </w:r>
      <w:r>
        <w:rPr>
          <w:spacing w:val="-32"/>
        </w:rPr>
        <w:t> </w:t>
      </w:r>
      <w:r>
        <w:rPr>
          <w:w w:val="33"/>
        </w:rPr>
        <w:t>―</w:t>
      </w:r>
      <w:r>
        <w:rPr>
          <w:w w:val="99"/>
        </w:rPr>
        <w:t>co</w:t>
      </w:r>
      <w:r>
        <w:rPr>
          <w:spacing w:val="1"/>
          <w:w w:val="99"/>
        </w:rPr>
        <w:t>m</w:t>
      </w:r>
      <w:r>
        <w:rPr>
          <w:w w:val="99"/>
        </w:rPr>
        <w:t>m</w:t>
      </w:r>
      <w:r>
        <w:rPr>
          <w:spacing w:val="-1"/>
          <w:w w:val="99"/>
        </w:rPr>
        <w:t>o</w:t>
      </w:r>
      <w:r>
        <w:rPr>
          <w:w w:val="99"/>
        </w:rPr>
        <w:t>n</w:t>
      </w:r>
      <w:r>
        <w:rPr/>
        <w:t>  </w:t>
      </w:r>
      <w:r>
        <w:rPr>
          <w:spacing w:val="-33"/>
        </w:rPr>
        <w:t> </w:t>
      </w:r>
      <w:r>
        <w:rPr>
          <w:w w:val="99"/>
        </w:rPr>
        <w:t>kno</w:t>
      </w:r>
      <w:r>
        <w:rPr>
          <w:spacing w:val="-1"/>
          <w:w w:val="99"/>
        </w:rPr>
        <w:t>wled</w:t>
      </w:r>
      <w:r>
        <w:rPr>
          <w:w w:val="99"/>
        </w:rPr>
        <w:t>g</w:t>
      </w:r>
      <w:r>
        <w:rPr>
          <w:spacing w:val="-1"/>
          <w:w w:val="91"/>
        </w:rPr>
        <w:t>e</w:t>
      </w:r>
      <w:r>
        <w:rPr>
          <w:w w:val="91"/>
        </w:rPr>
        <w:t>‖</w:t>
      </w:r>
      <w:r>
        <w:rPr/>
        <w:t>  </w:t>
      </w:r>
      <w:r>
        <w:rPr>
          <w:spacing w:val="-33"/>
        </w:rPr>
        <w:t> </w:t>
      </w:r>
      <w:r>
        <w:rPr>
          <w:w w:val="99"/>
        </w:rPr>
        <w:t>that</w:t>
      </w:r>
      <w:r>
        <w:rPr/>
        <w:t>  </w:t>
      </w:r>
      <w:r>
        <w:rPr>
          <w:spacing w:val="-31"/>
        </w:rPr>
        <w:t> </w:t>
      </w:r>
      <w:r>
        <w:rPr>
          <w:spacing w:val="-1"/>
          <w:w w:val="99"/>
        </w:rPr>
        <w:t>Hind</w:t>
      </w:r>
      <w:r>
        <w:rPr>
          <w:w w:val="99"/>
        </w:rPr>
        <w:t>us</w:t>
      </w:r>
      <w:r>
        <w:rPr/>
        <w:t>  </w:t>
      </w:r>
      <w:r>
        <w:rPr>
          <w:spacing w:val="-34"/>
        </w:rPr>
        <w:t> </w:t>
      </w:r>
      <w:r>
        <w:rPr>
          <w:spacing w:val="-1"/>
          <w:w w:val="99"/>
        </w:rPr>
        <w:t>we</w:t>
      </w:r>
      <w:r>
        <w:rPr>
          <w:w w:val="99"/>
        </w:rPr>
        <w:t>re</w:t>
      </w:r>
      <w:r>
        <w:rPr/>
        <w:t>  </w:t>
      </w:r>
      <w:r>
        <w:rPr>
          <w:spacing w:val="-33"/>
        </w:rPr>
        <w:t> </w:t>
      </w:r>
      <w:r>
        <w:rPr>
          <w:spacing w:val="-1"/>
          <w:w w:val="99"/>
        </w:rPr>
        <w:t>in </w:t>
      </w:r>
      <w:r>
        <w:rPr/>
        <w:t>continuous possession by virtue of which the claim of the defendants</w:t>
      </w:r>
      <w:r>
        <w:rPr>
          <w:spacing w:val="-13"/>
        </w:rPr>
        <w:t> </w:t>
      </w:r>
      <w:r>
        <w:rPr/>
        <w:t>ceased.</w:t>
      </w:r>
    </w:p>
    <w:p>
      <w:pPr>
        <w:pStyle w:val="BodyText"/>
        <w:spacing w:before="5"/>
        <w:rPr>
          <w:sz w:val="35"/>
        </w:rPr>
      </w:pPr>
    </w:p>
    <w:p>
      <w:pPr>
        <w:pStyle w:val="Heading3"/>
        <w:numPr>
          <w:ilvl w:val="1"/>
          <w:numId w:val="56"/>
        </w:numPr>
        <w:tabs>
          <w:tab w:pos="1220" w:val="left" w:leader="none"/>
          <w:tab w:pos="1221" w:val="left" w:leader="none"/>
        </w:tabs>
        <w:spacing w:line="240" w:lineRule="auto" w:before="0" w:after="0"/>
        <w:ind w:left="1220" w:right="0" w:hanging="721"/>
        <w:jc w:val="left"/>
      </w:pPr>
      <w:r>
        <w:rPr/>
        <w:t>Issues and findings of the High</w:t>
      </w:r>
      <w:r>
        <w:rPr>
          <w:spacing w:val="-3"/>
        </w:rPr>
        <w:t> </w:t>
      </w:r>
      <w:r>
        <w:rPr/>
        <w:t>Court</w:t>
      </w:r>
    </w:p>
    <w:p>
      <w:pPr>
        <w:pStyle w:val="BodyText"/>
        <w:rPr>
          <w:b/>
          <w:sz w:val="28"/>
        </w:rPr>
      </w:pPr>
    </w:p>
    <w:p>
      <w:pPr>
        <w:pStyle w:val="Heading5"/>
        <w:numPr>
          <w:ilvl w:val="0"/>
          <w:numId w:val="3"/>
        </w:numPr>
        <w:tabs>
          <w:tab w:pos="1132" w:val="left" w:leader="none"/>
        </w:tabs>
        <w:spacing w:line="480" w:lineRule="auto" w:before="214" w:after="0"/>
        <w:ind w:left="1131" w:right="444" w:hanging="632"/>
        <w:jc w:val="both"/>
      </w:pPr>
      <w:r>
        <w:rPr>
          <w:b w:val="0"/>
          <w:color w:val="212121"/>
        </w:rPr>
        <w:t>1. </w:t>
      </w:r>
      <w:r>
        <w:rPr>
          <w:color w:val="212121"/>
        </w:rPr>
        <w:t>Is the property in suit the site of Janam Bhumi of Sri Ram Chandraji?</w:t>
      </w:r>
    </w:p>
    <w:p>
      <w:pPr>
        <w:pStyle w:val="BodyText"/>
        <w:rPr>
          <w:b/>
        </w:rPr>
      </w:pPr>
    </w:p>
    <w:p>
      <w:pPr>
        <w:pStyle w:val="ListParagraph"/>
        <w:numPr>
          <w:ilvl w:val="0"/>
          <w:numId w:val="67"/>
        </w:numPr>
        <w:tabs>
          <w:tab w:pos="1221" w:val="left" w:leader="none"/>
        </w:tabs>
        <w:spacing w:line="475" w:lineRule="auto" w:before="0" w:after="0"/>
        <w:ind w:left="1220" w:right="434" w:hanging="360"/>
        <w:jc w:val="both"/>
        <w:rPr>
          <w:sz w:val="25"/>
        </w:rPr>
      </w:pPr>
      <w:r>
        <w:rPr>
          <w:b/>
          <w:sz w:val="25"/>
        </w:rPr>
        <w:t>Justice S U Khan </w:t>
      </w:r>
      <w:r>
        <w:rPr>
          <w:sz w:val="25"/>
        </w:rPr>
        <w:t>- No temple was demolished for constructing the mosque. Until the mosque was constructed during the period of </w:t>
      </w:r>
      <w:r>
        <w:rPr>
          <w:spacing w:val="-3"/>
          <w:sz w:val="25"/>
        </w:rPr>
        <w:t>Babur, </w:t>
      </w:r>
      <w:r>
        <w:rPr>
          <w:sz w:val="25"/>
        </w:rPr>
        <w:t>the premises in dispute were not treated as or believed to be the birth-place of Lord</w:t>
      </w:r>
      <w:r>
        <w:rPr>
          <w:spacing w:val="-2"/>
          <w:sz w:val="25"/>
        </w:rPr>
        <w:t> </w:t>
      </w:r>
      <w:r>
        <w:rPr>
          <w:sz w:val="25"/>
        </w:rPr>
        <w:t>Ram.</w:t>
      </w:r>
    </w:p>
    <w:p>
      <w:pPr>
        <w:pStyle w:val="ListParagraph"/>
        <w:numPr>
          <w:ilvl w:val="0"/>
          <w:numId w:val="67"/>
        </w:numPr>
        <w:tabs>
          <w:tab w:pos="1221" w:val="left" w:leader="none"/>
        </w:tabs>
        <w:spacing w:line="472" w:lineRule="auto" w:before="5" w:after="0"/>
        <w:ind w:left="1220" w:right="439" w:hanging="360"/>
        <w:jc w:val="both"/>
        <w:rPr>
          <w:sz w:val="25"/>
        </w:rPr>
      </w:pPr>
      <w:r>
        <w:rPr>
          <w:b/>
          <w:sz w:val="25"/>
        </w:rPr>
        <w:t>Justice Sudhir Agarwal </w:t>
      </w:r>
      <w:r>
        <w:rPr>
          <w:sz w:val="25"/>
        </w:rPr>
        <w:t>- The place of birth as believed and worshiped by the Hindus is the area covered under the central dome of the disputed structure in the inner</w:t>
      </w:r>
      <w:r>
        <w:rPr>
          <w:spacing w:val="-5"/>
          <w:sz w:val="25"/>
        </w:rPr>
        <w:t> </w:t>
      </w:r>
      <w:r>
        <w:rPr>
          <w:sz w:val="25"/>
        </w:rPr>
        <w:t>courtyard.</w:t>
      </w:r>
    </w:p>
    <w:p>
      <w:pPr>
        <w:pStyle w:val="ListParagraph"/>
        <w:numPr>
          <w:ilvl w:val="0"/>
          <w:numId w:val="67"/>
        </w:numPr>
        <w:tabs>
          <w:tab w:pos="1221" w:val="left" w:leader="none"/>
        </w:tabs>
        <w:spacing w:line="240" w:lineRule="auto" w:before="4" w:after="0"/>
        <w:ind w:left="1220" w:right="0" w:hanging="361"/>
        <w:jc w:val="both"/>
        <w:rPr>
          <w:sz w:val="25"/>
        </w:rPr>
      </w:pPr>
      <w:r>
        <w:rPr>
          <w:b/>
          <w:sz w:val="25"/>
        </w:rPr>
        <w:t>Justice D V Sharma </w:t>
      </w:r>
      <w:r>
        <w:rPr>
          <w:sz w:val="25"/>
        </w:rPr>
        <w:t>- Decided against the</w:t>
      </w:r>
      <w:r>
        <w:rPr>
          <w:spacing w:val="-7"/>
          <w:sz w:val="25"/>
        </w:rPr>
        <w:t> </w:t>
      </w:r>
      <w:r>
        <w:rPr>
          <w:sz w:val="25"/>
        </w:rPr>
        <w:t>defendants.</w:t>
      </w:r>
    </w:p>
    <w:p>
      <w:pPr>
        <w:spacing w:after="0" w:line="240" w:lineRule="auto"/>
        <w:jc w:val="both"/>
        <w:rPr>
          <w:sz w:val="25"/>
        </w:rPr>
        <w:sectPr>
          <w:pgSz w:w="11910" w:h="16840"/>
          <w:pgMar w:header="721" w:footer="1014" w:top="1300" w:bottom="1200" w:left="940" w:right="1000"/>
        </w:sectPr>
      </w:pPr>
    </w:p>
    <w:p>
      <w:pPr>
        <w:pStyle w:val="Heading5"/>
        <w:numPr>
          <w:ilvl w:val="0"/>
          <w:numId w:val="68"/>
        </w:numPr>
        <w:tabs>
          <w:tab w:pos="1221" w:val="left" w:leader="none"/>
        </w:tabs>
        <w:spacing w:line="480" w:lineRule="auto" w:before="121" w:after="0"/>
        <w:ind w:left="1220" w:right="435" w:hanging="233"/>
        <w:jc w:val="both"/>
      </w:pPr>
      <w:r>
        <w:rPr/>
        <w:t>Are there any idols of Bhagwan Ram Chandra Ji and are his Charan Paduka situated in the site in</w:t>
      </w:r>
      <w:r>
        <w:rPr>
          <w:spacing w:val="-5"/>
        </w:rPr>
        <w:t> </w:t>
      </w:r>
      <w:r>
        <w:rPr/>
        <w:t>suit?</w:t>
      </w:r>
    </w:p>
    <w:p>
      <w:pPr>
        <w:pStyle w:val="ListParagraph"/>
        <w:numPr>
          <w:ilvl w:val="0"/>
          <w:numId w:val="67"/>
        </w:numPr>
        <w:tabs>
          <w:tab w:pos="1221" w:val="left" w:leader="none"/>
        </w:tabs>
        <w:spacing w:line="465" w:lineRule="auto" w:before="0" w:after="0"/>
        <w:ind w:left="1220" w:right="442" w:hanging="360"/>
        <w:jc w:val="both"/>
        <w:rPr>
          <w:sz w:val="25"/>
        </w:rPr>
      </w:pPr>
      <w:r>
        <w:rPr>
          <w:b/>
          <w:sz w:val="25"/>
        </w:rPr>
        <w:t>Justice S U Khan </w:t>
      </w:r>
      <w:r>
        <w:rPr>
          <w:sz w:val="25"/>
        </w:rPr>
        <w:t>– Idols were kept on the pulpit inside the mosque for the first time during the night of 22-23 December</w:t>
      </w:r>
      <w:r>
        <w:rPr>
          <w:spacing w:val="-8"/>
          <w:sz w:val="25"/>
        </w:rPr>
        <w:t> </w:t>
      </w:r>
      <w:r>
        <w:rPr>
          <w:sz w:val="25"/>
        </w:rPr>
        <w:t>1949.</w:t>
      </w:r>
    </w:p>
    <w:p>
      <w:pPr>
        <w:pStyle w:val="ListParagraph"/>
        <w:numPr>
          <w:ilvl w:val="0"/>
          <w:numId w:val="67"/>
        </w:numPr>
        <w:tabs>
          <w:tab w:pos="1221" w:val="left" w:leader="none"/>
        </w:tabs>
        <w:spacing w:line="472" w:lineRule="auto" w:before="14" w:after="0"/>
        <w:ind w:left="1220" w:right="439" w:hanging="360"/>
        <w:jc w:val="both"/>
        <w:rPr>
          <w:sz w:val="25"/>
        </w:rPr>
      </w:pPr>
      <w:r>
        <w:rPr>
          <w:b/>
          <w:sz w:val="25"/>
        </w:rPr>
        <w:t>Justice Sudhir Agarwal </w:t>
      </w:r>
      <w:r>
        <w:rPr>
          <w:sz w:val="25"/>
        </w:rPr>
        <w:t>– Idols were placed under the central dome of the disputed structure, within the inner courtyard, during the night of 22-23 December 1949 but before it they existed in the outer</w:t>
      </w:r>
      <w:r>
        <w:rPr>
          <w:spacing w:val="-16"/>
          <w:sz w:val="25"/>
        </w:rPr>
        <w:t> </w:t>
      </w:r>
      <w:r>
        <w:rPr>
          <w:sz w:val="25"/>
        </w:rPr>
        <w:t>courtyard.</w:t>
      </w:r>
    </w:p>
    <w:p>
      <w:pPr>
        <w:pStyle w:val="ListParagraph"/>
        <w:numPr>
          <w:ilvl w:val="0"/>
          <w:numId w:val="67"/>
        </w:numPr>
        <w:tabs>
          <w:tab w:pos="1221" w:val="left" w:leader="none"/>
        </w:tabs>
        <w:spacing w:line="240" w:lineRule="auto" w:before="7" w:after="0"/>
        <w:ind w:left="1220" w:right="0" w:hanging="361"/>
        <w:jc w:val="both"/>
        <w:rPr>
          <w:sz w:val="25"/>
        </w:rPr>
      </w:pPr>
      <w:r>
        <w:rPr>
          <w:b/>
          <w:sz w:val="25"/>
        </w:rPr>
        <w:t>Justice D V Sharma </w:t>
      </w:r>
      <w:r>
        <w:rPr>
          <w:sz w:val="25"/>
        </w:rPr>
        <w:t>- Decided against the</w:t>
      </w:r>
      <w:r>
        <w:rPr>
          <w:spacing w:val="-7"/>
          <w:sz w:val="25"/>
        </w:rPr>
        <w:t> </w:t>
      </w:r>
      <w:r>
        <w:rPr>
          <w:sz w:val="25"/>
        </w:rPr>
        <w:t>defendants.</w:t>
      </w:r>
    </w:p>
    <w:p>
      <w:pPr>
        <w:pStyle w:val="BodyText"/>
        <w:rPr>
          <w:sz w:val="30"/>
        </w:rPr>
      </w:pPr>
    </w:p>
    <w:p>
      <w:pPr>
        <w:pStyle w:val="BodyText"/>
        <w:spacing w:before="9"/>
        <w:rPr>
          <w:sz w:val="44"/>
        </w:rPr>
      </w:pPr>
    </w:p>
    <w:p>
      <w:pPr>
        <w:pStyle w:val="Heading5"/>
        <w:numPr>
          <w:ilvl w:val="0"/>
          <w:numId w:val="68"/>
        </w:numPr>
        <w:tabs>
          <w:tab w:pos="1221" w:val="left" w:leader="none"/>
        </w:tabs>
        <w:spacing w:line="480" w:lineRule="auto" w:before="1" w:after="0"/>
        <w:ind w:left="1220" w:right="435" w:hanging="303"/>
        <w:jc w:val="both"/>
      </w:pPr>
      <w:r>
        <w:rPr/>
        <w:t>Has the plaintiff any right to worship the ‗Charan Paduka‘ and the idols situated in the place in</w:t>
      </w:r>
      <w:r>
        <w:rPr>
          <w:spacing w:val="-3"/>
        </w:rPr>
        <w:t> </w:t>
      </w:r>
      <w:r>
        <w:rPr/>
        <w:t>suit?</w:t>
      </w:r>
    </w:p>
    <w:p>
      <w:pPr>
        <w:pStyle w:val="ListParagraph"/>
        <w:numPr>
          <w:ilvl w:val="0"/>
          <w:numId w:val="67"/>
        </w:numPr>
        <w:tabs>
          <w:tab w:pos="1221" w:val="left" w:leader="none"/>
        </w:tabs>
        <w:spacing w:line="472" w:lineRule="auto" w:before="0" w:after="0"/>
        <w:ind w:left="1220" w:right="441" w:hanging="360"/>
        <w:jc w:val="both"/>
        <w:rPr>
          <w:sz w:val="25"/>
        </w:rPr>
      </w:pPr>
      <w:r>
        <w:rPr>
          <w:b/>
          <w:sz w:val="25"/>
        </w:rPr>
        <w:t>Justice S U Khan </w:t>
      </w:r>
      <w:r>
        <w:rPr>
          <w:sz w:val="25"/>
        </w:rPr>
        <w:t>– The only thing which can be said is that Ramchabutra came</w:t>
      </w:r>
      <w:r>
        <w:rPr>
          <w:spacing w:val="-6"/>
          <w:sz w:val="25"/>
        </w:rPr>
        <w:t> </w:t>
      </w:r>
      <w:r>
        <w:rPr>
          <w:sz w:val="25"/>
        </w:rPr>
        <w:t>into</w:t>
      </w:r>
      <w:r>
        <w:rPr>
          <w:spacing w:val="-5"/>
          <w:sz w:val="25"/>
        </w:rPr>
        <w:t> </w:t>
      </w:r>
      <w:r>
        <w:rPr>
          <w:sz w:val="25"/>
        </w:rPr>
        <w:t>existence</w:t>
      </w:r>
      <w:r>
        <w:rPr>
          <w:spacing w:val="-5"/>
          <w:sz w:val="25"/>
        </w:rPr>
        <w:t> </w:t>
      </w:r>
      <w:r>
        <w:rPr>
          <w:sz w:val="25"/>
        </w:rPr>
        <w:t>before</w:t>
      </w:r>
      <w:r>
        <w:rPr>
          <w:spacing w:val="-6"/>
          <w:sz w:val="25"/>
        </w:rPr>
        <w:t> </w:t>
      </w:r>
      <w:r>
        <w:rPr>
          <w:sz w:val="25"/>
        </w:rPr>
        <w:t>the</w:t>
      </w:r>
      <w:r>
        <w:rPr>
          <w:spacing w:val="-4"/>
          <w:sz w:val="25"/>
        </w:rPr>
        <w:t> </w:t>
      </w:r>
      <w:r>
        <w:rPr>
          <w:sz w:val="25"/>
        </w:rPr>
        <w:t>visit</w:t>
      </w:r>
      <w:r>
        <w:rPr>
          <w:spacing w:val="-6"/>
          <w:sz w:val="25"/>
        </w:rPr>
        <w:t> </w:t>
      </w:r>
      <w:r>
        <w:rPr>
          <w:sz w:val="25"/>
        </w:rPr>
        <w:t>of</w:t>
      </w:r>
      <w:r>
        <w:rPr>
          <w:spacing w:val="-9"/>
          <w:sz w:val="25"/>
        </w:rPr>
        <w:t> </w:t>
      </w:r>
      <w:r>
        <w:rPr>
          <w:sz w:val="25"/>
        </w:rPr>
        <w:t>Tieffenthaler</w:t>
      </w:r>
      <w:r>
        <w:rPr>
          <w:spacing w:val="-5"/>
          <w:sz w:val="25"/>
        </w:rPr>
        <w:t> </w:t>
      </w:r>
      <w:r>
        <w:rPr>
          <w:sz w:val="25"/>
        </w:rPr>
        <w:t>but</w:t>
      </w:r>
      <w:r>
        <w:rPr>
          <w:spacing w:val="-4"/>
          <w:sz w:val="25"/>
        </w:rPr>
        <w:t> </w:t>
      </w:r>
      <w:r>
        <w:rPr>
          <w:sz w:val="25"/>
        </w:rPr>
        <w:t>after</w:t>
      </w:r>
      <w:r>
        <w:rPr>
          <w:spacing w:val="-5"/>
          <w:sz w:val="25"/>
        </w:rPr>
        <w:t> </w:t>
      </w:r>
      <w:r>
        <w:rPr>
          <w:sz w:val="25"/>
        </w:rPr>
        <w:t>construction</w:t>
      </w:r>
      <w:r>
        <w:rPr>
          <w:spacing w:val="-5"/>
          <w:sz w:val="25"/>
        </w:rPr>
        <w:t> </w:t>
      </w:r>
      <w:r>
        <w:rPr>
          <w:sz w:val="25"/>
        </w:rPr>
        <w:t>of the mosque. Both parties were in joint</w:t>
      </w:r>
      <w:r>
        <w:rPr>
          <w:spacing w:val="-5"/>
          <w:sz w:val="25"/>
        </w:rPr>
        <w:t> </w:t>
      </w:r>
      <w:r>
        <w:rPr>
          <w:sz w:val="25"/>
        </w:rPr>
        <w:t>possession.</w:t>
      </w:r>
    </w:p>
    <w:p>
      <w:pPr>
        <w:pStyle w:val="ListParagraph"/>
        <w:numPr>
          <w:ilvl w:val="0"/>
          <w:numId w:val="67"/>
        </w:numPr>
        <w:tabs>
          <w:tab w:pos="1221" w:val="left" w:leader="none"/>
        </w:tabs>
        <w:spacing w:line="465" w:lineRule="auto" w:before="6" w:after="0"/>
        <w:ind w:left="1220" w:right="444" w:hanging="360"/>
        <w:jc w:val="both"/>
        <w:rPr>
          <w:sz w:val="25"/>
        </w:rPr>
      </w:pPr>
      <w:r>
        <w:rPr>
          <w:b/>
          <w:sz w:val="25"/>
        </w:rPr>
        <w:t>Justice Sudhir Agarwal </w:t>
      </w:r>
      <w:r>
        <w:rPr>
          <w:sz w:val="25"/>
        </w:rPr>
        <w:t>– The plaintiff has a right to worship subject to reasonable restrictions like </w:t>
      </w:r>
      <w:r>
        <w:rPr>
          <w:spacing w:val="-4"/>
          <w:sz w:val="25"/>
        </w:rPr>
        <w:t>safety, </w:t>
      </w:r>
      <w:r>
        <w:rPr>
          <w:sz w:val="25"/>
        </w:rPr>
        <w:t>maintenance and</w:t>
      </w:r>
      <w:r>
        <w:rPr>
          <w:spacing w:val="-4"/>
          <w:sz w:val="25"/>
        </w:rPr>
        <w:t> </w:t>
      </w:r>
      <w:r>
        <w:rPr>
          <w:spacing w:val="-3"/>
          <w:sz w:val="25"/>
        </w:rPr>
        <w:t>security.</w:t>
      </w:r>
    </w:p>
    <w:p>
      <w:pPr>
        <w:pStyle w:val="ListParagraph"/>
        <w:numPr>
          <w:ilvl w:val="0"/>
          <w:numId w:val="67"/>
        </w:numPr>
        <w:tabs>
          <w:tab w:pos="1221" w:val="left" w:leader="none"/>
        </w:tabs>
        <w:spacing w:line="240" w:lineRule="auto" w:before="15" w:after="0"/>
        <w:ind w:left="1220" w:right="0" w:hanging="361"/>
        <w:jc w:val="both"/>
        <w:rPr>
          <w:sz w:val="25"/>
        </w:rPr>
      </w:pPr>
      <w:r>
        <w:rPr>
          <w:b/>
          <w:sz w:val="25"/>
        </w:rPr>
        <w:t>Justice D V Sharma </w:t>
      </w:r>
      <w:r>
        <w:rPr>
          <w:sz w:val="25"/>
        </w:rPr>
        <w:t>- Decided in favour of the</w:t>
      </w:r>
      <w:r>
        <w:rPr>
          <w:spacing w:val="-7"/>
          <w:sz w:val="25"/>
        </w:rPr>
        <w:t> </w:t>
      </w:r>
      <w:r>
        <w:rPr>
          <w:sz w:val="25"/>
        </w:rPr>
        <w:t>defendants.</w:t>
      </w:r>
    </w:p>
    <w:p>
      <w:pPr>
        <w:pStyle w:val="BodyText"/>
        <w:rPr>
          <w:sz w:val="30"/>
        </w:rPr>
      </w:pPr>
    </w:p>
    <w:p>
      <w:pPr>
        <w:pStyle w:val="BodyText"/>
        <w:spacing w:before="9"/>
        <w:rPr>
          <w:sz w:val="44"/>
        </w:rPr>
      </w:pPr>
    </w:p>
    <w:p>
      <w:pPr>
        <w:pStyle w:val="Heading5"/>
        <w:numPr>
          <w:ilvl w:val="0"/>
          <w:numId w:val="68"/>
        </w:numPr>
        <w:tabs>
          <w:tab w:pos="1221" w:val="left" w:leader="none"/>
        </w:tabs>
        <w:spacing w:line="240" w:lineRule="auto" w:before="0" w:after="0"/>
        <w:ind w:left="1220" w:right="0" w:hanging="303"/>
        <w:jc w:val="left"/>
      </w:pPr>
      <w:r>
        <w:rPr/>
        <w:t>Has the plaintiff the right to have darshan of the place in</w:t>
      </w:r>
      <w:r>
        <w:rPr>
          <w:spacing w:val="-19"/>
        </w:rPr>
        <w:t> </w:t>
      </w:r>
      <w:r>
        <w:rPr/>
        <w:t>suit?</w:t>
      </w:r>
    </w:p>
    <w:p>
      <w:pPr>
        <w:pStyle w:val="BodyText"/>
        <w:spacing w:before="1"/>
        <w:rPr>
          <w:b/>
        </w:rPr>
      </w:pPr>
    </w:p>
    <w:p>
      <w:pPr>
        <w:pStyle w:val="ListParagraph"/>
        <w:numPr>
          <w:ilvl w:val="0"/>
          <w:numId w:val="67"/>
        </w:numPr>
        <w:tabs>
          <w:tab w:pos="1221" w:val="left" w:leader="none"/>
        </w:tabs>
        <w:spacing w:line="472" w:lineRule="auto" w:before="0" w:after="0"/>
        <w:ind w:left="1220" w:right="441" w:hanging="360"/>
        <w:jc w:val="both"/>
        <w:rPr>
          <w:sz w:val="25"/>
        </w:rPr>
      </w:pPr>
      <w:r>
        <w:rPr>
          <w:b/>
          <w:sz w:val="25"/>
        </w:rPr>
        <w:t>Justice S U Khan </w:t>
      </w:r>
      <w:r>
        <w:rPr>
          <w:sz w:val="25"/>
        </w:rPr>
        <w:t>– The only thing which can be said is that Ramchabutra came</w:t>
      </w:r>
      <w:r>
        <w:rPr>
          <w:spacing w:val="-6"/>
          <w:sz w:val="25"/>
        </w:rPr>
        <w:t> </w:t>
      </w:r>
      <w:r>
        <w:rPr>
          <w:sz w:val="25"/>
        </w:rPr>
        <w:t>into</w:t>
      </w:r>
      <w:r>
        <w:rPr>
          <w:spacing w:val="-5"/>
          <w:sz w:val="25"/>
        </w:rPr>
        <w:t> </w:t>
      </w:r>
      <w:r>
        <w:rPr>
          <w:sz w:val="25"/>
        </w:rPr>
        <w:t>existence</w:t>
      </w:r>
      <w:r>
        <w:rPr>
          <w:spacing w:val="-5"/>
          <w:sz w:val="25"/>
        </w:rPr>
        <w:t> </w:t>
      </w:r>
      <w:r>
        <w:rPr>
          <w:sz w:val="25"/>
        </w:rPr>
        <w:t>before</w:t>
      </w:r>
      <w:r>
        <w:rPr>
          <w:spacing w:val="-6"/>
          <w:sz w:val="25"/>
        </w:rPr>
        <w:t> </w:t>
      </w:r>
      <w:r>
        <w:rPr>
          <w:sz w:val="25"/>
        </w:rPr>
        <w:t>the</w:t>
      </w:r>
      <w:r>
        <w:rPr>
          <w:spacing w:val="-4"/>
          <w:sz w:val="25"/>
        </w:rPr>
        <w:t> </w:t>
      </w:r>
      <w:r>
        <w:rPr>
          <w:sz w:val="25"/>
        </w:rPr>
        <w:t>visit</w:t>
      </w:r>
      <w:r>
        <w:rPr>
          <w:spacing w:val="-6"/>
          <w:sz w:val="25"/>
        </w:rPr>
        <w:t> </w:t>
      </w:r>
      <w:r>
        <w:rPr>
          <w:sz w:val="25"/>
        </w:rPr>
        <w:t>of</w:t>
      </w:r>
      <w:r>
        <w:rPr>
          <w:spacing w:val="-9"/>
          <w:sz w:val="25"/>
        </w:rPr>
        <w:t> </w:t>
      </w:r>
      <w:r>
        <w:rPr>
          <w:sz w:val="25"/>
        </w:rPr>
        <w:t>Tieffenthaler</w:t>
      </w:r>
      <w:r>
        <w:rPr>
          <w:spacing w:val="-5"/>
          <w:sz w:val="25"/>
        </w:rPr>
        <w:t> </w:t>
      </w:r>
      <w:r>
        <w:rPr>
          <w:sz w:val="25"/>
        </w:rPr>
        <w:t>but</w:t>
      </w:r>
      <w:r>
        <w:rPr>
          <w:spacing w:val="-4"/>
          <w:sz w:val="25"/>
        </w:rPr>
        <w:t> </w:t>
      </w:r>
      <w:r>
        <w:rPr>
          <w:sz w:val="25"/>
        </w:rPr>
        <w:t>after</w:t>
      </w:r>
      <w:r>
        <w:rPr>
          <w:spacing w:val="-5"/>
          <w:sz w:val="25"/>
        </w:rPr>
        <w:t> </w:t>
      </w:r>
      <w:r>
        <w:rPr>
          <w:sz w:val="25"/>
        </w:rPr>
        <w:t>construction</w:t>
      </w:r>
      <w:r>
        <w:rPr>
          <w:spacing w:val="-5"/>
          <w:sz w:val="25"/>
        </w:rPr>
        <w:t> </w:t>
      </w:r>
      <w:r>
        <w:rPr>
          <w:sz w:val="25"/>
        </w:rPr>
        <w:t>of the mosque. Both parties were in joint</w:t>
      </w:r>
      <w:r>
        <w:rPr>
          <w:spacing w:val="-5"/>
          <w:sz w:val="25"/>
        </w:rPr>
        <w:t> </w:t>
      </w:r>
      <w:r>
        <w:rPr>
          <w:sz w:val="25"/>
        </w:rPr>
        <w:t>possession.</w:t>
      </w:r>
    </w:p>
    <w:p>
      <w:pPr>
        <w:pStyle w:val="ListParagraph"/>
        <w:numPr>
          <w:ilvl w:val="0"/>
          <w:numId w:val="67"/>
        </w:numPr>
        <w:tabs>
          <w:tab w:pos="1221" w:val="left" w:leader="none"/>
        </w:tabs>
        <w:spacing w:line="465" w:lineRule="auto" w:before="7" w:after="0"/>
        <w:ind w:left="1220" w:right="441" w:hanging="360"/>
        <w:jc w:val="both"/>
        <w:rPr>
          <w:sz w:val="25"/>
        </w:rPr>
      </w:pPr>
      <w:r>
        <w:rPr>
          <w:b/>
          <w:sz w:val="25"/>
        </w:rPr>
        <w:t>Justice Sudhir Agarwal </w:t>
      </w:r>
      <w:r>
        <w:rPr>
          <w:sz w:val="25"/>
        </w:rPr>
        <w:t>– The plaintiff has a right to worship subject to reasonable restrictions like </w:t>
      </w:r>
      <w:r>
        <w:rPr>
          <w:spacing w:val="-4"/>
          <w:sz w:val="25"/>
        </w:rPr>
        <w:t>safety, </w:t>
      </w:r>
      <w:r>
        <w:rPr>
          <w:sz w:val="25"/>
        </w:rPr>
        <w:t>maintenance and</w:t>
      </w:r>
      <w:r>
        <w:rPr>
          <w:spacing w:val="-4"/>
          <w:sz w:val="25"/>
        </w:rPr>
        <w:t> </w:t>
      </w:r>
      <w:r>
        <w:rPr>
          <w:spacing w:val="-3"/>
          <w:sz w:val="25"/>
        </w:rPr>
        <w:t>security.</w:t>
      </w:r>
    </w:p>
    <w:p>
      <w:pPr>
        <w:spacing w:after="0" w:line="465" w:lineRule="auto"/>
        <w:jc w:val="both"/>
        <w:rPr>
          <w:sz w:val="25"/>
        </w:rPr>
        <w:sectPr>
          <w:pgSz w:w="11910" w:h="16840"/>
          <w:pgMar w:header="721" w:footer="1014" w:top="1300" w:bottom="1200" w:left="940" w:right="1000"/>
        </w:sectPr>
      </w:pPr>
    </w:p>
    <w:p>
      <w:pPr>
        <w:pStyle w:val="ListParagraph"/>
        <w:numPr>
          <w:ilvl w:val="0"/>
          <w:numId w:val="67"/>
        </w:numPr>
        <w:tabs>
          <w:tab w:pos="1221" w:val="left" w:leader="none"/>
        </w:tabs>
        <w:spacing w:line="240" w:lineRule="auto" w:before="121" w:after="0"/>
        <w:ind w:left="1220" w:right="0" w:hanging="361"/>
        <w:jc w:val="both"/>
        <w:rPr>
          <w:sz w:val="25"/>
        </w:rPr>
      </w:pPr>
      <w:r>
        <w:rPr>
          <w:b/>
          <w:sz w:val="25"/>
        </w:rPr>
        <w:t>Justice D V Sharma </w:t>
      </w:r>
      <w:r>
        <w:rPr>
          <w:sz w:val="25"/>
        </w:rPr>
        <w:t>– Decided in favour of the</w:t>
      </w:r>
      <w:r>
        <w:rPr>
          <w:spacing w:val="-8"/>
          <w:sz w:val="25"/>
        </w:rPr>
        <w:t> </w:t>
      </w:r>
      <w:r>
        <w:rPr>
          <w:sz w:val="25"/>
        </w:rPr>
        <w:t>defendants.</w:t>
      </w:r>
    </w:p>
    <w:p>
      <w:pPr>
        <w:pStyle w:val="BodyText"/>
        <w:rPr>
          <w:sz w:val="30"/>
        </w:rPr>
      </w:pPr>
    </w:p>
    <w:p>
      <w:pPr>
        <w:pStyle w:val="BodyText"/>
        <w:spacing w:before="9"/>
        <w:rPr>
          <w:sz w:val="44"/>
        </w:rPr>
      </w:pPr>
    </w:p>
    <w:p>
      <w:pPr>
        <w:pStyle w:val="Heading5"/>
        <w:spacing w:line="480" w:lineRule="auto"/>
        <w:ind w:right="441"/>
      </w:pPr>
      <w:r>
        <w:rPr>
          <w:b w:val="0"/>
        </w:rPr>
        <w:t>5(a). </w:t>
      </w:r>
      <w:r>
        <w:rPr/>
        <w:t>Was the property in suit involved in original Suit no 61/280 of 1885 in the court of sub-judge (Faizabad Raghubar Das Mahant v Secretary of State for India and others)?</w:t>
      </w:r>
    </w:p>
    <w:p>
      <w:pPr>
        <w:pStyle w:val="ListParagraph"/>
        <w:numPr>
          <w:ilvl w:val="0"/>
          <w:numId w:val="67"/>
        </w:numPr>
        <w:tabs>
          <w:tab w:pos="1221" w:val="left" w:leader="none"/>
        </w:tabs>
        <w:spacing w:line="465" w:lineRule="auto" w:before="1" w:after="0"/>
        <w:ind w:left="1220" w:right="442" w:hanging="360"/>
        <w:jc w:val="both"/>
        <w:rPr>
          <w:sz w:val="25"/>
        </w:rPr>
      </w:pPr>
      <w:r>
        <w:rPr>
          <w:b/>
          <w:sz w:val="25"/>
        </w:rPr>
        <w:t>Justice S U Khan </w:t>
      </w:r>
      <w:r>
        <w:rPr>
          <w:sz w:val="25"/>
        </w:rPr>
        <w:t>– Nothing was decided in the Suit of 1885 and res judicata does not</w:t>
      </w:r>
      <w:r>
        <w:rPr>
          <w:spacing w:val="-2"/>
          <w:sz w:val="25"/>
        </w:rPr>
        <w:t> </w:t>
      </w:r>
      <w:r>
        <w:rPr>
          <w:spacing w:val="-5"/>
          <w:sz w:val="25"/>
        </w:rPr>
        <w:t>apply.</w:t>
      </w:r>
    </w:p>
    <w:p>
      <w:pPr>
        <w:pStyle w:val="ListParagraph"/>
        <w:numPr>
          <w:ilvl w:val="0"/>
          <w:numId w:val="67"/>
        </w:numPr>
        <w:tabs>
          <w:tab w:pos="1221" w:val="left" w:leader="none"/>
        </w:tabs>
        <w:spacing w:line="240" w:lineRule="auto" w:before="15" w:after="0"/>
        <w:ind w:left="1220" w:right="0" w:hanging="361"/>
        <w:jc w:val="both"/>
        <w:rPr>
          <w:sz w:val="25"/>
        </w:rPr>
      </w:pPr>
      <w:r>
        <w:rPr>
          <w:b/>
          <w:sz w:val="25"/>
        </w:rPr>
        <w:t>Justice Sudhir Agarwal </w:t>
      </w:r>
      <w:r>
        <w:rPr>
          <w:sz w:val="25"/>
        </w:rPr>
        <w:t>– Answered in the</w:t>
      </w:r>
      <w:r>
        <w:rPr>
          <w:spacing w:val="-26"/>
          <w:sz w:val="25"/>
        </w:rPr>
        <w:t> </w:t>
      </w:r>
      <w:r>
        <w:rPr>
          <w:sz w:val="25"/>
        </w:rPr>
        <w:t>negative.</w:t>
      </w:r>
    </w:p>
    <w:p>
      <w:pPr>
        <w:pStyle w:val="BodyText"/>
        <w:spacing w:before="11"/>
        <w:rPr>
          <w:sz w:val="24"/>
        </w:rPr>
      </w:pPr>
    </w:p>
    <w:p>
      <w:pPr>
        <w:pStyle w:val="ListParagraph"/>
        <w:numPr>
          <w:ilvl w:val="0"/>
          <w:numId w:val="67"/>
        </w:numPr>
        <w:tabs>
          <w:tab w:pos="1221" w:val="left" w:leader="none"/>
        </w:tabs>
        <w:spacing w:line="240" w:lineRule="auto" w:before="0" w:after="0"/>
        <w:ind w:left="1220" w:right="0" w:hanging="361"/>
        <w:jc w:val="both"/>
        <w:rPr>
          <w:sz w:val="25"/>
        </w:rPr>
      </w:pPr>
      <w:r>
        <w:rPr>
          <w:b/>
          <w:sz w:val="25"/>
        </w:rPr>
        <w:t>Justice D V Sharma </w:t>
      </w:r>
      <w:r>
        <w:rPr>
          <w:sz w:val="25"/>
        </w:rPr>
        <w:t>– Property existed as nazul</w:t>
      </w:r>
      <w:r>
        <w:rPr>
          <w:spacing w:val="-5"/>
          <w:sz w:val="25"/>
        </w:rPr>
        <w:t> </w:t>
      </w:r>
      <w:r>
        <w:rPr>
          <w:sz w:val="25"/>
        </w:rPr>
        <w:t>land.</w:t>
      </w:r>
    </w:p>
    <w:p>
      <w:pPr>
        <w:pStyle w:val="BodyText"/>
        <w:rPr>
          <w:sz w:val="30"/>
        </w:rPr>
      </w:pPr>
    </w:p>
    <w:p>
      <w:pPr>
        <w:pStyle w:val="BodyText"/>
        <w:rPr>
          <w:sz w:val="30"/>
        </w:rPr>
      </w:pPr>
    </w:p>
    <w:p>
      <w:pPr>
        <w:pStyle w:val="BodyText"/>
        <w:spacing w:before="7"/>
        <w:rPr>
          <w:sz w:val="39"/>
        </w:rPr>
      </w:pPr>
    </w:p>
    <w:p>
      <w:pPr>
        <w:pStyle w:val="Heading5"/>
        <w:tabs>
          <w:tab w:pos="1220" w:val="left" w:leader="none"/>
        </w:tabs>
        <w:ind w:left="500" w:firstLine="0"/>
        <w:jc w:val="left"/>
      </w:pPr>
      <w:r>
        <w:rPr>
          <w:b w:val="0"/>
        </w:rPr>
        <w:t>5(b).</w:t>
        <w:tab/>
      </w:r>
      <w:r>
        <w:rPr>
          <w:spacing w:val="-4"/>
        </w:rPr>
        <w:t>Was </w:t>
      </w:r>
      <w:r>
        <w:rPr/>
        <w:t>it decided against the</w:t>
      </w:r>
      <w:r>
        <w:rPr>
          <w:spacing w:val="-1"/>
        </w:rPr>
        <w:t> </w:t>
      </w:r>
      <w:r>
        <w:rPr/>
        <w:t>plaintiff?</w:t>
      </w:r>
    </w:p>
    <w:p>
      <w:pPr>
        <w:pStyle w:val="BodyText"/>
        <w:spacing w:before="1"/>
        <w:rPr>
          <w:b/>
        </w:rPr>
      </w:pPr>
    </w:p>
    <w:p>
      <w:pPr>
        <w:pStyle w:val="ListParagraph"/>
        <w:numPr>
          <w:ilvl w:val="0"/>
          <w:numId w:val="67"/>
        </w:numPr>
        <w:tabs>
          <w:tab w:pos="1221" w:val="left" w:leader="none"/>
        </w:tabs>
        <w:spacing w:line="465" w:lineRule="auto" w:before="1" w:after="0"/>
        <w:ind w:left="1220" w:right="444" w:hanging="360"/>
        <w:jc w:val="both"/>
        <w:rPr>
          <w:sz w:val="25"/>
        </w:rPr>
      </w:pPr>
      <w:r>
        <w:rPr>
          <w:b/>
          <w:sz w:val="25"/>
        </w:rPr>
        <w:t>Justice Sudhir Agarwal </w:t>
      </w:r>
      <w:r>
        <w:rPr>
          <w:sz w:val="25"/>
        </w:rPr>
        <w:t>– Suit of 1885 was decided against Mahant Bhaskar Das and no relief was granted to</w:t>
      </w:r>
      <w:r>
        <w:rPr>
          <w:spacing w:val="-6"/>
          <w:sz w:val="25"/>
        </w:rPr>
        <w:t> </w:t>
      </w:r>
      <w:r>
        <w:rPr>
          <w:sz w:val="25"/>
        </w:rPr>
        <w:t>him.</w:t>
      </w:r>
    </w:p>
    <w:p>
      <w:pPr>
        <w:pStyle w:val="ListParagraph"/>
        <w:numPr>
          <w:ilvl w:val="0"/>
          <w:numId w:val="67"/>
        </w:numPr>
        <w:tabs>
          <w:tab w:pos="1221" w:val="left" w:leader="none"/>
        </w:tabs>
        <w:spacing w:line="240" w:lineRule="auto" w:before="14" w:after="0"/>
        <w:ind w:left="1220" w:right="0" w:hanging="361"/>
        <w:jc w:val="both"/>
        <w:rPr>
          <w:sz w:val="25"/>
        </w:rPr>
      </w:pPr>
      <w:r>
        <w:rPr>
          <w:b/>
          <w:sz w:val="25"/>
        </w:rPr>
        <w:t>Justice D V Sharma </w:t>
      </w:r>
      <w:r>
        <w:rPr>
          <w:sz w:val="25"/>
        </w:rPr>
        <w:t>- Property existed as nazul</w:t>
      </w:r>
      <w:r>
        <w:rPr>
          <w:spacing w:val="-6"/>
          <w:sz w:val="25"/>
        </w:rPr>
        <w:t> </w:t>
      </w:r>
      <w:r>
        <w:rPr>
          <w:sz w:val="25"/>
        </w:rPr>
        <w:t>land.</w:t>
      </w:r>
    </w:p>
    <w:p>
      <w:pPr>
        <w:pStyle w:val="BodyText"/>
        <w:rPr>
          <w:sz w:val="30"/>
        </w:rPr>
      </w:pPr>
    </w:p>
    <w:p>
      <w:pPr>
        <w:pStyle w:val="Heading5"/>
        <w:spacing w:line="480" w:lineRule="auto" w:before="230"/>
        <w:ind w:right="440" w:hanging="651"/>
      </w:pPr>
      <w:r>
        <w:rPr>
          <w:b w:val="0"/>
        </w:rPr>
        <w:t>5(c). </w:t>
      </w:r>
      <w:r>
        <w:rPr/>
        <w:t>Was that suit within the knowledge of Hindus in general and were all Hindus interested in the same?</w:t>
      </w:r>
    </w:p>
    <w:p>
      <w:pPr>
        <w:pStyle w:val="ListParagraph"/>
        <w:numPr>
          <w:ilvl w:val="0"/>
          <w:numId w:val="67"/>
        </w:numPr>
        <w:tabs>
          <w:tab w:pos="1221" w:val="left" w:leader="none"/>
        </w:tabs>
        <w:spacing w:line="472" w:lineRule="auto" w:before="0" w:after="0"/>
        <w:ind w:left="1220" w:right="439" w:hanging="360"/>
        <w:jc w:val="both"/>
        <w:rPr>
          <w:sz w:val="25"/>
        </w:rPr>
      </w:pPr>
      <w:r>
        <w:rPr>
          <w:b/>
          <w:sz w:val="25"/>
        </w:rPr>
        <w:t>Justice Sudhir Agarwal </w:t>
      </w:r>
      <w:r>
        <w:rPr>
          <w:sz w:val="25"/>
        </w:rPr>
        <w:t>– Answered in the negative. No material on record to justify that the suit was filed by Mahant Raghubar Das in a representative</w:t>
      </w:r>
      <w:r>
        <w:rPr>
          <w:spacing w:val="-2"/>
          <w:sz w:val="25"/>
        </w:rPr>
        <w:t> </w:t>
      </w:r>
      <w:r>
        <w:rPr>
          <w:spacing w:val="-3"/>
          <w:sz w:val="25"/>
        </w:rPr>
        <w:t>capacity.</w:t>
      </w:r>
    </w:p>
    <w:p>
      <w:pPr>
        <w:pStyle w:val="ListParagraph"/>
        <w:numPr>
          <w:ilvl w:val="0"/>
          <w:numId w:val="67"/>
        </w:numPr>
        <w:tabs>
          <w:tab w:pos="1221" w:val="left" w:leader="none"/>
        </w:tabs>
        <w:spacing w:line="240" w:lineRule="auto" w:before="4" w:after="0"/>
        <w:ind w:left="1220" w:right="0" w:hanging="361"/>
        <w:jc w:val="both"/>
        <w:rPr>
          <w:sz w:val="25"/>
        </w:rPr>
      </w:pPr>
      <w:r>
        <w:rPr>
          <w:b/>
          <w:sz w:val="25"/>
        </w:rPr>
        <w:t>Justice D V Sharma </w:t>
      </w:r>
      <w:r>
        <w:rPr>
          <w:sz w:val="25"/>
        </w:rPr>
        <w:t>– Decided in favour of the</w:t>
      </w:r>
      <w:r>
        <w:rPr>
          <w:spacing w:val="-8"/>
          <w:sz w:val="25"/>
        </w:rPr>
        <w:t> </w:t>
      </w:r>
      <w:r>
        <w:rPr>
          <w:sz w:val="25"/>
        </w:rPr>
        <w:t>defendants.</w:t>
      </w:r>
    </w:p>
    <w:p>
      <w:pPr>
        <w:pStyle w:val="BodyText"/>
        <w:rPr>
          <w:sz w:val="30"/>
        </w:rPr>
      </w:pPr>
    </w:p>
    <w:p>
      <w:pPr>
        <w:pStyle w:val="Heading5"/>
        <w:spacing w:line="480" w:lineRule="auto" w:before="229"/>
        <w:ind w:right="436" w:hanging="651"/>
      </w:pPr>
      <w:r>
        <w:rPr>
          <w:b w:val="0"/>
        </w:rPr>
        <w:t>5(d). </w:t>
      </w:r>
      <w:r>
        <w:rPr/>
        <w:t>Does the decision in same bar the present suit by principles of </w:t>
      </w:r>
      <w:r>
        <w:rPr>
          <w:i/>
        </w:rPr>
        <w:t>res </w:t>
      </w:r>
      <w:r>
        <w:rPr>
          <w:i/>
        </w:rPr>
        <w:t>judicata </w:t>
      </w:r>
      <w:r>
        <w:rPr/>
        <w:t>and in any other way?</w:t>
      </w:r>
    </w:p>
    <w:p>
      <w:pPr>
        <w:pStyle w:val="ListParagraph"/>
        <w:numPr>
          <w:ilvl w:val="0"/>
          <w:numId w:val="67"/>
        </w:numPr>
        <w:tabs>
          <w:tab w:pos="1221" w:val="left" w:leader="none"/>
        </w:tabs>
        <w:spacing w:line="240" w:lineRule="auto" w:before="1" w:after="0"/>
        <w:ind w:left="1220" w:right="0" w:hanging="361"/>
        <w:jc w:val="both"/>
        <w:rPr>
          <w:sz w:val="25"/>
        </w:rPr>
      </w:pPr>
      <w:r>
        <w:rPr>
          <w:b/>
          <w:sz w:val="25"/>
        </w:rPr>
        <w:t>Justice Sudhir Agarwal </w:t>
      </w:r>
      <w:r>
        <w:rPr>
          <w:sz w:val="25"/>
        </w:rPr>
        <w:t>– Answered in the</w:t>
      </w:r>
      <w:r>
        <w:rPr>
          <w:spacing w:val="-26"/>
          <w:sz w:val="25"/>
        </w:rPr>
        <w:t> </w:t>
      </w:r>
      <w:r>
        <w:rPr>
          <w:sz w:val="25"/>
        </w:rPr>
        <w:t>negative.</w:t>
      </w:r>
    </w:p>
    <w:p>
      <w:pPr>
        <w:spacing w:after="0" w:line="240" w:lineRule="auto"/>
        <w:jc w:val="both"/>
        <w:rPr>
          <w:sz w:val="25"/>
        </w:rPr>
        <w:sectPr>
          <w:pgSz w:w="11910" w:h="16840"/>
          <w:pgMar w:header="721" w:footer="1014" w:top="1300" w:bottom="1200" w:left="940" w:right="1000"/>
        </w:sectPr>
      </w:pPr>
    </w:p>
    <w:p>
      <w:pPr>
        <w:pStyle w:val="ListParagraph"/>
        <w:numPr>
          <w:ilvl w:val="0"/>
          <w:numId w:val="67"/>
        </w:numPr>
        <w:tabs>
          <w:tab w:pos="1221" w:val="left" w:leader="none"/>
        </w:tabs>
        <w:spacing w:line="240" w:lineRule="auto" w:before="121" w:after="0"/>
        <w:ind w:left="1220" w:right="0" w:hanging="361"/>
        <w:jc w:val="both"/>
        <w:rPr>
          <w:sz w:val="25"/>
        </w:rPr>
      </w:pPr>
      <w:r>
        <w:rPr>
          <w:b/>
          <w:sz w:val="25"/>
        </w:rPr>
        <w:t>Justice D V Sharma </w:t>
      </w:r>
      <w:r>
        <w:rPr>
          <w:sz w:val="25"/>
        </w:rPr>
        <w:t>– Decided in favour of the</w:t>
      </w:r>
      <w:r>
        <w:rPr>
          <w:spacing w:val="-8"/>
          <w:sz w:val="25"/>
        </w:rPr>
        <w:t> </w:t>
      </w:r>
      <w:r>
        <w:rPr>
          <w:sz w:val="25"/>
        </w:rPr>
        <w:t>defendants.</w:t>
      </w:r>
    </w:p>
    <w:p>
      <w:pPr>
        <w:pStyle w:val="BodyText"/>
        <w:rPr>
          <w:sz w:val="30"/>
        </w:rPr>
      </w:pPr>
    </w:p>
    <w:p>
      <w:pPr>
        <w:pStyle w:val="Heading5"/>
        <w:numPr>
          <w:ilvl w:val="0"/>
          <w:numId w:val="69"/>
        </w:numPr>
        <w:tabs>
          <w:tab w:pos="1221" w:val="left" w:leader="none"/>
        </w:tabs>
        <w:spacing w:line="480" w:lineRule="auto" w:before="227" w:after="0"/>
        <w:ind w:left="1220" w:right="444" w:hanging="372"/>
        <w:jc w:val="both"/>
      </w:pPr>
      <w:r>
        <w:rPr/>
        <w:t>Is the property in suit a mosque constructed by Babur commonly known as Babri Mosque, in 1528</w:t>
      </w:r>
      <w:r>
        <w:rPr>
          <w:spacing w:val="-8"/>
        </w:rPr>
        <w:t> </w:t>
      </w:r>
      <w:r>
        <w:rPr/>
        <w:t>A.D?</w:t>
      </w:r>
    </w:p>
    <w:p>
      <w:pPr>
        <w:pStyle w:val="ListParagraph"/>
        <w:numPr>
          <w:ilvl w:val="0"/>
          <w:numId w:val="67"/>
        </w:numPr>
        <w:tabs>
          <w:tab w:pos="1221" w:val="left" w:leader="none"/>
        </w:tabs>
        <w:spacing w:line="477" w:lineRule="auto" w:before="0" w:after="0"/>
        <w:ind w:left="1220" w:right="439" w:hanging="360"/>
        <w:jc w:val="both"/>
        <w:rPr>
          <w:sz w:val="25"/>
        </w:rPr>
      </w:pPr>
      <w:r>
        <w:rPr>
          <w:b/>
          <w:sz w:val="25"/>
        </w:rPr>
        <w:t>Justice S U Khan </w:t>
      </w:r>
      <w:r>
        <w:rPr>
          <w:sz w:val="25"/>
        </w:rPr>
        <w:t>– The construction of a mosque took place by or under the orders of </w:t>
      </w:r>
      <w:r>
        <w:rPr>
          <w:spacing w:val="-3"/>
          <w:sz w:val="25"/>
        </w:rPr>
        <w:t>Babur. </w:t>
      </w:r>
      <w:r>
        <w:rPr>
          <w:sz w:val="25"/>
        </w:rPr>
        <w:t>Whether it was actually built by Mir Baqi or someone else is not material. Muslims offered regular prayers until 1934, after which until 22 December 1949 only Friday prayers were offered. This is sufficient for continuous possession and use. No temple was demolished for the construction of the</w:t>
      </w:r>
      <w:r>
        <w:rPr>
          <w:spacing w:val="-3"/>
          <w:sz w:val="25"/>
        </w:rPr>
        <w:t> </w:t>
      </w:r>
      <w:r>
        <w:rPr>
          <w:sz w:val="25"/>
        </w:rPr>
        <w:t>mosque.</w:t>
      </w:r>
    </w:p>
    <w:p>
      <w:pPr>
        <w:pStyle w:val="ListParagraph"/>
        <w:numPr>
          <w:ilvl w:val="0"/>
          <w:numId w:val="67"/>
        </w:numPr>
        <w:tabs>
          <w:tab w:pos="1221" w:val="left" w:leader="none"/>
        </w:tabs>
        <w:spacing w:line="465" w:lineRule="auto" w:before="0" w:after="0"/>
        <w:ind w:left="1220" w:right="439" w:hanging="360"/>
        <w:jc w:val="both"/>
        <w:rPr>
          <w:sz w:val="25"/>
        </w:rPr>
      </w:pPr>
      <w:r>
        <w:rPr>
          <w:b/>
          <w:sz w:val="25"/>
        </w:rPr>
        <w:t>Justice Sudhir Agarwal </w:t>
      </w:r>
      <w:r>
        <w:rPr>
          <w:sz w:val="25"/>
        </w:rPr>
        <w:t>– Plaintiffs have failed to prove the construction of the structure by Babur in 1528 A.</w:t>
      </w:r>
      <w:r>
        <w:rPr>
          <w:spacing w:val="-20"/>
          <w:sz w:val="25"/>
        </w:rPr>
        <w:t> </w:t>
      </w:r>
      <w:r>
        <w:rPr>
          <w:sz w:val="25"/>
        </w:rPr>
        <w:t>D.</w:t>
      </w:r>
    </w:p>
    <w:p>
      <w:pPr>
        <w:pStyle w:val="ListParagraph"/>
        <w:numPr>
          <w:ilvl w:val="0"/>
          <w:numId w:val="67"/>
        </w:numPr>
        <w:tabs>
          <w:tab w:pos="1221" w:val="left" w:leader="none"/>
        </w:tabs>
        <w:spacing w:line="240" w:lineRule="auto" w:before="14" w:after="0"/>
        <w:ind w:left="1220" w:right="0" w:hanging="361"/>
        <w:jc w:val="both"/>
        <w:rPr>
          <w:sz w:val="25"/>
        </w:rPr>
      </w:pPr>
      <w:r>
        <w:rPr>
          <w:b/>
          <w:sz w:val="25"/>
        </w:rPr>
        <w:t>Justice D V Sharma </w:t>
      </w:r>
      <w:r>
        <w:rPr>
          <w:sz w:val="25"/>
        </w:rPr>
        <w:t>– Decided against the</w:t>
      </w:r>
      <w:r>
        <w:rPr>
          <w:spacing w:val="-6"/>
          <w:sz w:val="25"/>
        </w:rPr>
        <w:t> </w:t>
      </w:r>
      <w:r>
        <w:rPr>
          <w:sz w:val="25"/>
        </w:rPr>
        <w:t>defendants.</w:t>
      </w:r>
    </w:p>
    <w:p>
      <w:pPr>
        <w:pStyle w:val="BodyText"/>
        <w:rPr>
          <w:sz w:val="30"/>
        </w:rPr>
      </w:pPr>
    </w:p>
    <w:p>
      <w:pPr>
        <w:pStyle w:val="BodyText"/>
        <w:spacing w:before="9"/>
        <w:rPr>
          <w:sz w:val="44"/>
        </w:rPr>
      </w:pPr>
    </w:p>
    <w:p>
      <w:pPr>
        <w:pStyle w:val="Heading5"/>
        <w:numPr>
          <w:ilvl w:val="0"/>
          <w:numId w:val="69"/>
        </w:numPr>
        <w:tabs>
          <w:tab w:pos="1221" w:val="left" w:leader="none"/>
        </w:tabs>
        <w:spacing w:line="480" w:lineRule="auto" w:before="0" w:after="0"/>
        <w:ind w:left="1220" w:right="445" w:hanging="303"/>
        <w:jc w:val="both"/>
      </w:pPr>
      <w:r>
        <w:rPr/>
        <w:t>Have the Muslims been in possession of the property in suit from 1528 A.D. </w:t>
      </w:r>
      <w:r>
        <w:rPr>
          <w:spacing w:val="-3"/>
        </w:rPr>
        <w:t>continuously, </w:t>
      </w:r>
      <w:r>
        <w:rPr/>
        <w:t>openly and to the knowledge of the defendants and Hindus in general? If so, its</w:t>
      </w:r>
      <w:r>
        <w:rPr>
          <w:spacing w:val="-12"/>
        </w:rPr>
        <w:t> </w:t>
      </w:r>
      <w:r>
        <w:rPr/>
        <w:t>effect?</w:t>
      </w:r>
    </w:p>
    <w:p>
      <w:pPr>
        <w:pStyle w:val="ListParagraph"/>
        <w:numPr>
          <w:ilvl w:val="0"/>
          <w:numId w:val="67"/>
        </w:numPr>
        <w:tabs>
          <w:tab w:pos="1221" w:val="left" w:leader="none"/>
        </w:tabs>
        <w:spacing w:line="465" w:lineRule="auto" w:before="1" w:after="0"/>
        <w:ind w:left="1220" w:right="444" w:hanging="360"/>
        <w:jc w:val="both"/>
        <w:rPr>
          <w:sz w:val="25"/>
        </w:rPr>
      </w:pPr>
      <w:r>
        <w:rPr>
          <w:b/>
          <w:sz w:val="25"/>
        </w:rPr>
        <w:t>Justice S U Khan </w:t>
      </w:r>
      <w:r>
        <w:rPr>
          <w:sz w:val="25"/>
        </w:rPr>
        <w:t>– </w:t>
      </w:r>
      <w:r>
        <w:rPr>
          <w:spacing w:val="-3"/>
          <w:sz w:val="25"/>
        </w:rPr>
        <w:t>Title </w:t>
      </w:r>
      <w:r>
        <w:rPr>
          <w:sz w:val="25"/>
        </w:rPr>
        <w:t>follows possession and both parties were in joint possession of the disputed</w:t>
      </w:r>
      <w:r>
        <w:rPr>
          <w:spacing w:val="-3"/>
          <w:sz w:val="25"/>
        </w:rPr>
        <w:t> </w:t>
      </w:r>
      <w:r>
        <w:rPr>
          <w:sz w:val="25"/>
        </w:rPr>
        <w:t>premises.</w:t>
      </w:r>
    </w:p>
    <w:p>
      <w:pPr>
        <w:pStyle w:val="ListParagraph"/>
        <w:numPr>
          <w:ilvl w:val="0"/>
          <w:numId w:val="67"/>
        </w:numPr>
        <w:tabs>
          <w:tab w:pos="1221" w:val="left" w:leader="none"/>
        </w:tabs>
        <w:spacing w:line="240" w:lineRule="auto" w:before="15" w:after="0"/>
        <w:ind w:left="1220" w:right="0" w:hanging="361"/>
        <w:jc w:val="both"/>
        <w:rPr>
          <w:sz w:val="25"/>
        </w:rPr>
      </w:pPr>
      <w:r>
        <w:rPr>
          <w:b/>
          <w:sz w:val="25"/>
        </w:rPr>
        <w:t>Justice Sudhir Agarwal </w:t>
      </w:r>
      <w:r>
        <w:rPr>
          <w:sz w:val="25"/>
        </w:rPr>
        <w:t>– Decided in favour of the</w:t>
      </w:r>
      <w:r>
        <w:rPr>
          <w:spacing w:val="-45"/>
          <w:sz w:val="25"/>
        </w:rPr>
        <w:t> </w:t>
      </w:r>
      <w:r>
        <w:rPr>
          <w:sz w:val="25"/>
        </w:rPr>
        <w:t>plaintiff.</w:t>
      </w:r>
    </w:p>
    <w:p>
      <w:pPr>
        <w:pStyle w:val="BodyText"/>
        <w:spacing w:before="10"/>
        <w:rPr>
          <w:sz w:val="24"/>
        </w:rPr>
      </w:pPr>
    </w:p>
    <w:p>
      <w:pPr>
        <w:pStyle w:val="ListParagraph"/>
        <w:numPr>
          <w:ilvl w:val="0"/>
          <w:numId w:val="67"/>
        </w:numPr>
        <w:tabs>
          <w:tab w:pos="1221" w:val="left" w:leader="none"/>
        </w:tabs>
        <w:spacing w:line="240" w:lineRule="auto" w:before="0" w:after="0"/>
        <w:ind w:left="1220" w:right="0" w:hanging="361"/>
        <w:jc w:val="both"/>
        <w:rPr>
          <w:sz w:val="25"/>
        </w:rPr>
      </w:pPr>
      <w:r>
        <w:rPr>
          <w:b/>
          <w:sz w:val="25"/>
        </w:rPr>
        <w:t>Justice D V Sharma </w:t>
      </w:r>
      <w:r>
        <w:rPr>
          <w:sz w:val="25"/>
        </w:rPr>
        <w:t>– Decided in favour of the</w:t>
      </w:r>
      <w:r>
        <w:rPr>
          <w:spacing w:val="-32"/>
          <w:sz w:val="25"/>
        </w:rPr>
        <w:t> </w:t>
      </w:r>
      <w:r>
        <w:rPr>
          <w:sz w:val="25"/>
        </w:rPr>
        <w:t>defendants.</w:t>
      </w:r>
    </w:p>
    <w:p>
      <w:pPr>
        <w:pStyle w:val="BodyText"/>
        <w:rPr>
          <w:sz w:val="30"/>
        </w:rPr>
      </w:pPr>
    </w:p>
    <w:p>
      <w:pPr>
        <w:pStyle w:val="Heading5"/>
        <w:numPr>
          <w:ilvl w:val="0"/>
          <w:numId w:val="69"/>
        </w:numPr>
        <w:tabs>
          <w:tab w:pos="1221" w:val="left" w:leader="none"/>
        </w:tabs>
        <w:spacing w:line="240" w:lineRule="auto" w:before="227" w:after="0"/>
        <w:ind w:left="1220" w:right="0" w:hanging="373"/>
        <w:jc w:val="left"/>
      </w:pPr>
      <w:r>
        <w:rPr/>
        <w:t>Is the suit barred by proviso to Section 42 of the Specific Relief</w:t>
      </w:r>
      <w:r>
        <w:rPr>
          <w:spacing w:val="-25"/>
        </w:rPr>
        <w:t> </w:t>
      </w:r>
      <w:r>
        <w:rPr>
          <w:spacing w:val="-3"/>
        </w:rPr>
        <w:t>Act?</w:t>
      </w:r>
    </w:p>
    <w:p>
      <w:pPr>
        <w:pStyle w:val="BodyText"/>
        <w:spacing w:before="1"/>
        <w:rPr>
          <w:b/>
        </w:rPr>
      </w:pPr>
    </w:p>
    <w:p>
      <w:pPr>
        <w:pStyle w:val="ListParagraph"/>
        <w:numPr>
          <w:ilvl w:val="0"/>
          <w:numId w:val="67"/>
        </w:numPr>
        <w:tabs>
          <w:tab w:pos="1220" w:val="left" w:leader="none"/>
          <w:tab w:pos="1221" w:val="left" w:leader="none"/>
        </w:tabs>
        <w:spacing w:line="240" w:lineRule="auto" w:before="0" w:after="0"/>
        <w:ind w:left="1220" w:right="0" w:hanging="361"/>
        <w:jc w:val="left"/>
        <w:rPr>
          <w:sz w:val="25"/>
        </w:rPr>
      </w:pPr>
      <w:r>
        <w:rPr>
          <w:b/>
          <w:sz w:val="25"/>
        </w:rPr>
        <w:t>Justice S U Khan </w:t>
      </w:r>
      <w:r>
        <w:rPr>
          <w:sz w:val="25"/>
        </w:rPr>
        <w:t>– Not</w:t>
      </w:r>
      <w:r>
        <w:rPr>
          <w:spacing w:val="-4"/>
          <w:sz w:val="25"/>
        </w:rPr>
        <w:t> </w:t>
      </w:r>
      <w:r>
        <w:rPr>
          <w:sz w:val="25"/>
        </w:rPr>
        <w:t>barred.</w:t>
      </w:r>
    </w:p>
    <w:p>
      <w:pPr>
        <w:pStyle w:val="BodyText"/>
        <w:spacing w:before="9"/>
        <w:rPr>
          <w:sz w:val="24"/>
        </w:rPr>
      </w:pPr>
    </w:p>
    <w:p>
      <w:pPr>
        <w:pStyle w:val="ListParagraph"/>
        <w:numPr>
          <w:ilvl w:val="0"/>
          <w:numId w:val="67"/>
        </w:numPr>
        <w:tabs>
          <w:tab w:pos="1220" w:val="left" w:leader="none"/>
          <w:tab w:pos="1221" w:val="left" w:leader="none"/>
        </w:tabs>
        <w:spacing w:line="240" w:lineRule="auto" w:before="0" w:after="0"/>
        <w:ind w:left="1220" w:right="0" w:hanging="361"/>
        <w:jc w:val="left"/>
        <w:rPr>
          <w:sz w:val="25"/>
        </w:rPr>
      </w:pPr>
      <w:r>
        <w:rPr>
          <w:b/>
          <w:sz w:val="25"/>
        </w:rPr>
        <w:t>Justice Sudhir Agarwal </w:t>
      </w:r>
      <w:r>
        <w:rPr>
          <w:sz w:val="25"/>
        </w:rPr>
        <w:t>– Not</w:t>
      </w:r>
      <w:r>
        <w:rPr>
          <w:spacing w:val="-9"/>
          <w:sz w:val="25"/>
        </w:rPr>
        <w:t> </w:t>
      </w:r>
      <w:r>
        <w:rPr>
          <w:sz w:val="25"/>
        </w:rPr>
        <w:t>barred.</w:t>
      </w:r>
    </w:p>
    <w:p>
      <w:pPr>
        <w:spacing w:after="0" w:line="240" w:lineRule="auto"/>
        <w:jc w:val="left"/>
        <w:rPr>
          <w:sz w:val="25"/>
        </w:rPr>
        <w:sectPr>
          <w:pgSz w:w="11910" w:h="16840"/>
          <w:pgMar w:header="721" w:footer="1014" w:top="1300" w:bottom="1200" w:left="940" w:right="1000"/>
        </w:sectPr>
      </w:pPr>
    </w:p>
    <w:p>
      <w:pPr>
        <w:pStyle w:val="ListParagraph"/>
        <w:numPr>
          <w:ilvl w:val="0"/>
          <w:numId w:val="67"/>
        </w:numPr>
        <w:tabs>
          <w:tab w:pos="1220" w:val="left" w:leader="none"/>
          <w:tab w:pos="1221" w:val="left" w:leader="none"/>
        </w:tabs>
        <w:spacing w:line="240" w:lineRule="auto" w:before="121" w:after="0"/>
        <w:ind w:left="1220" w:right="0" w:hanging="361"/>
        <w:jc w:val="left"/>
        <w:rPr>
          <w:sz w:val="25"/>
        </w:rPr>
      </w:pPr>
      <w:r>
        <w:rPr>
          <w:b/>
          <w:sz w:val="25"/>
        </w:rPr>
        <w:t>Justice D V Sharma </w:t>
      </w:r>
      <w:r>
        <w:rPr>
          <w:sz w:val="25"/>
        </w:rPr>
        <w:t>– Decided in favour of the</w:t>
      </w:r>
      <w:r>
        <w:rPr>
          <w:spacing w:val="-8"/>
          <w:sz w:val="25"/>
        </w:rPr>
        <w:t> </w:t>
      </w:r>
      <w:r>
        <w:rPr>
          <w:sz w:val="25"/>
        </w:rPr>
        <w:t>defendants.</w:t>
      </w:r>
    </w:p>
    <w:p>
      <w:pPr>
        <w:pStyle w:val="BodyText"/>
        <w:rPr>
          <w:sz w:val="30"/>
        </w:rPr>
      </w:pPr>
    </w:p>
    <w:p>
      <w:pPr>
        <w:pStyle w:val="Heading5"/>
        <w:numPr>
          <w:ilvl w:val="0"/>
          <w:numId w:val="69"/>
        </w:numPr>
        <w:tabs>
          <w:tab w:pos="1221" w:val="left" w:leader="none"/>
        </w:tabs>
        <w:spacing w:line="480" w:lineRule="auto" w:before="227" w:after="0"/>
        <w:ind w:left="1220" w:right="449" w:hanging="372"/>
        <w:jc w:val="left"/>
      </w:pPr>
      <w:r>
        <w:rPr/>
        <w:t>Is the suit barred by the provisions of Section 5(3) of the Muslim </w:t>
      </w:r>
      <w:r>
        <w:rPr>
          <w:spacing w:val="-3"/>
        </w:rPr>
        <w:t>Waqf </w:t>
      </w:r>
      <w:r>
        <w:rPr/>
        <w:t>Act </w:t>
      </w:r>
      <w:r>
        <w:rPr>
          <w:spacing w:val="-7"/>
        </w:rPr>
        <w:t>(U.P. </w:t>
      </w:r>
      <w:r>
        <w:rPr>
          <w:spacing w:val="-2"/>
        </w:rPr>
        <w:t>Act </w:t>
      </w:r>
      <w:r>
        <w:rPr/>
        <w:t>13 of</w:t>
      </w:r>
      <w:r>
        <w:rPr>
          <w:spacing w:val="3"/>
        </w:rPr>
        <w:t> </w:t>
      </w:r>
      <w:r>
        <w:rPr/>
        <w:t>1936)?</w:t>
      </w:r>
    </w:p>
    <w:p>
      <w:pPr>
        <w:pStyle w:val="ListParagraph"/>
        <w:numPr>
          <w:ilvl w:val="0"/>
          <w:numId w:val="67"/>
        </w:numPr>
        <w:tabs>
          <w:tab w:pos="1220" w:val="left" w:leader="none"/>
          <w:tab w:pos="1221" w:val="left" w:leader="none"/>
        </w:tabs>
        <w:spacing w:line="306" w:lineRule="exact" w:before="0" w:after="0"/>
        <w:ind w:left="1220" w:right="0" w:hanging="361"/>
        <w:jc w:val="left"/>
        <w:rPr>
          <w:sz w:val="25"/>
        </w:rPr>
      </w:pPr>
      <w:r>
        <w:rPr>
          <w:b/>
          <w:sz w:val="25"/>
        </w:rPr>
        <w:t>Justice S U Khan </w:t>
      </w:r>
      <w:r>
        <w:rPr>
          <w:sz w:val="25"/>
        </w:rPr>
        <w:t>– Agrees with the findings of Justice Sudhir</w:t>
      </w:r>
      <w:r>
        <w:rPr>
          <w:spacing w:val="-47"/>
          <w:sz w:val="25"/>
        </w:rPr>
        <w:t> </w:t>
      </w:r>
      <w:r>
        <w:rPr>
          <w:sz w:val="25"/>
        </w:rPr>
        <w:t>Agarwal.</w:t>
      </w:r>
    </w:p>
    <w:p>
      <w:pPr>
        <w:pStyle w:val="BodyText"/>
        <w:spacing w:before="11"/>
        <w:rPr>
          <w:sz w:val="24"/>
        </w:rPr>
      </w:pPr>
    </w:p>
    <w:p>
      <w:pPr>
        <w:pStyle w:val="ListParagraph"/>
        <w:numPr>
          <w:ilvl w:val="0"/>
          <w:numId w:val="67"/>
        </w:numPr>
        <w:tabs>
          <w:tab w:pos="1220" w:val="left" w:leader="none"/>
          <w:tab w:pos="1221" w:val="left" w:leader="none"/>
        </w:tabs>
        <w:spacing w:line="240" w:lineRule="auto" w:before="0" w:after="0"/>
        <w:ind w:left="1220" w:right="0" w:hanging="361"/>
        <w:jc w:val="left"/>
        <w:rPr>
          <w:sz w:val="25"/>
        </w:rPr>
      </w:pPr>
      <w:r>
        <w:rPr>
          <w:b/>
          <w:sz w:val="25"/>
        </w:rPr>
        <w:t>Justice Sudhir Agarwal </w:t>
      </w:r>
      <w:r>
        <w:rPr>
          <w:sz w:val="25"/>
        </w:rPr>
        <w:t>– Decided in favour of the</w:t>
      </w:r>
      <w:r>
        <w:rPr>
          <w:spacing w:val="-47"/>
          <w:sz w:val="25"/>
        </w:rPr>
        <w:t> </w:t>
      </w:r>
      <w:r>
        <w:rPr>
          <w:sz w:val="25"/>
        </w:rPr>
        <w:t>plaintiff.</w:t>
      </w:r>
    </w:p>
    <w:p>
      <w:pPr>
        <w:pStyle w:val="BodyText"/>
        <w:spacing w:before="10"/>
        <w:rPr>
          <w:sz w:val="24"/>
        </w:rPr>
      </w:pPr>
    </w:p>
    <w:p>
      <w:pPr>
        <w:pStyle w:val="ListParagraph"/>
        <w:numPr>
          <w:ilvl w:val="0"/>
          <w:numId w:val="67"/>
        </w:numPr>
        <w:tabs>
          <w:tab w:pos="1220" w:val="left" w:leader="none"/>
          <w:tab w:pos="1221" w:val="left" w:leader="none"/>
        </w:tabs>
        <w:spacing w:line="240" w:lineRule="auto" w:before="0" w:after="0"/>
        <w:ind w:left="1220" w:right="0" w:hanging="361"/>
        <w:jc w:val="left"/>
        <w:rPr>
          <w:sz w:val="25"/>
        </w:rPr>
      </w:pPr>
      <w:r>
        <w:rPr>
          <w:b/>
          <w:sz w:val="25"/>
        </w:rPr>
        <w:t>Justice D V Sharma </w:t>
      </w:r>
      <w:r>
        <w:rPr>
          <w:sz w:val="25"/>
        </w:rPr>
        <w:t>– Decided in favour of the</w:t>
      </w:r>
      <w:r>
        <w:rPr>
          <w:spacing w:val="-32"/>
          <w:sz w:val="25"/>
        </w:rPr>
        <w:t> </w:t>
      </w:r>
      <w:r>
        <w:rPr>
          <w:sz w:val="25"/>
        </w:rPr>
        <w:t>defendants.</w:t>
      </w:r>
    </w:p>
    <w:p>
      <w:pPr>
        <w:pStyle w:val="BodyText"/>
        <w:rPr>
          <w:sz w:val="30"/>
        </w:rPr>
      </w:pPr>
    </w:p>
    <w:p>
      <w:pPr>
        <w:pStyle w:val="Heading5"/>
        <w:spacing w:line="480" w:lineRule="auto" w:before="228"/>
        <w:ind w:right="445" w:hanging="581"/>
      </w:pPr>
      <w:r>
        <w:rPr>
          <w:b w:val="0"/>
        </w:rPr>
        <w:t>9(a). </w:t>
      </w:r>
      <w:r>
        <w:rPr/>
        <w:t>Has the said Act no application to the right of Hindus in general and plaintiff of the present suit, in particular to his right of worship?</w:t>
      </w:r>
    </w:p>
    <w:p>
      <w:pPr>
        <w:pStyle w:val="ListParagraph"/>
        <w:numPr>
          <w:ilvl w:val="0"/>
          <w:numId w:val="67"/>
        </w:numPr>
        <w:tabs>
          <w:tab w:pos="1220" w:val="left" w:leader="none"/>
          <w:tab w:pos="1221" w:val="left" w:leader="none"/>
        </w:tabs>
        <w:spacing w:line="306" w:lineRule="exact" w:before="0" w:after="0"/>
        <w:ind w:left="1220" w:right="0" w:hanging="361"/>
        <w:jc w:val="left"/>
        <w:rPr>
          <w:sz w:val="25"/>
        </w:rPr>
      </w:pPr>
      <w:r>
        <w:rPr>
          <w:b/>
          <w:sz w:val="25"/>
        </w:rPr>
        <w:t>Justice S U Khan </w:t>
      </w:r>
      <w:r>
        <w:rPr>
          <w:sz w:val="25"/>
        </w:rPr>
        <w:t>– Agrees with the findings of Justice Sudhir</w:t>
      </w:r>
      <w:r>
        <w:rPr>
          <w:spacing w:val="-46"/>
          <w:sz w:val="25"/>
        </w:rPr>
        <w:t> </w:t>
      </w:r>
      <w:r>
        <w:rPr>
          <w:sz w:val="25"/>
        </w:rPr>
        <w:t>Agarwal.</w:t>
      </w:r>
    </w:p>
    <w:p>
      <w:pPr>
        <w:pStyle w:val="BodyText"/>
        <w:spacing w:before="11"/>
        <w:rPr>
          <w:sz w:val="24"/>
        </w:rPr>
      </w:pPr>
    </w:p>
    <w:p>
      <w:pPr>
        <w:pStyle w:val="ListParagraph"/>
        <w:numPr>
          <w:ilvl w:val="0"/>
          <w:numId w:val="67"/>
        </w:numPr>
        <w:tabs>
          <w:tab w:pos="1220" w:val="left" w:leader="none"/>
          <w:tab w:pos="1221" w:val="left" w:leader="none"/>
        </w:tabs>
        <w:spacing w:line="240" w:lineRule="auto" w:before="0" w:after="0"/>
        <w:ind w:left="1220" w:right="0" w:hanging="361"/>
        <w:jc w:val="left"/>
        <w:rPr>
          <w:sz w:val="25"/>
        </w:rPr>
      </w:pPr>
      <w:r>
        <w:rPr>
          <w:b/>
          <w:sz w:val="25"/>
        </w:rPr>
        <w:t>Justice Sudhir Agarwal </w:t>
      </w:r>
      <w:r>
        <w:rPr>
          <w:sz w:val="25"/>
        </w:rPr>
        <w:t>– In favour of the Hindu parties in</w:t>
      </w:r>
      <w:r>
        <w:rPr>
          <w:spacing w:val="-22"/>
          <w:sz w:val="25"/>
        </w:rPr>
        <w:t> </w:t>
      </w:r>
      <w:r>
        <w:rPr>
          <w:sz w:val="25"/>
        </w:rPr>
        <w:t>general.</w:t>
      </w:r>
    </w:p>
    <w:p>
      <w:pPr>
        <w:pStyle w:val="BodyText"/>
        <w:spacing w:before="8"/>
        <w:rPr>
          <w:sz w:val="24"/>
        </w:rPr>
      </w:pPr>
    </w:p>
    <w:p>
      <w:pPr>
        <w:pStyle w:val="ListParagraph"/>
        <w:numPr>
          <w:ilvl w:val="0"/>
          <w:numId w:val="67"/>
        </w:numPr>
        <w:tabs>
          <w:tab w:pos="1220" w:val="left" w:leader="none"/>
          <w:tab w:pos="1221" w:val="left" w:leader="none"/>
        </w:tabs>
        <w:spacing w:line="240" w:lineRule="auto" w:before="0" w:after="0"/>
        <w:ind w:left="1220" w:right="0" w:hanging="361"/>
        <w:jc w:val="left"/>
        <w:rPr>
          <w:sz w:val="25"/>
        </w:rPr>
      </w:pPr>
      <w:r>
        <w:rPr>
          <w:b/>
          <w:sz w:val="25"/>
        </w:rPr>
        <w:t>Justice D V Sharma </w:t>
      </w:r>
      <w:r>
        <w:rPr>
          <w:sz w:val="25"/>
        </w:rPr>
        <w:t>– Decided in favour of the</w:t>
      </w:r>
      <w:r>
        <w:rPr>
          <w:spacing w:val="-8"/>
          <w:sz w:val="25"/>
        </w:rPr>
        <w:t> </w:t>
      </w:r>
      <w:r>
        <w:rPr>
          <w:sz w:val="25"/>
        </w:rPr>
        <w:t>defendants.</w:t>
      </w:r>
    </w:p>
    <w:p>
      <w:pPr>
        <w:pStyle w:val="BodyText"/>
        <w:rPr>
          <w:sz w:val="30"/>
        </w:rPr>
      </w:pPr>
    </w:p>
    <w:p>
      <w:pPr>
        <w:pStyle w:val="Heading5"/>
        <w:spacing w:line="480" w:lineRule="auto" w:before="230"/>
        <w:ind w:right="436" w:hanging="581"/>
      </w:pPr>
      <w:r>
        <w:rPr>
          <w:b w:val="0"/>
        </w:rPr>
        <w:t>9(b). </w:t>
      </w:r>
      <w:r>
        <w:rPr/>
        <w:t>Were the proceedings under the said Act, referred to in para 15 of the written statement, collusive? If so its effect?</w:t>
      </w:r>
    </w:p>
    <w:p>
      <w:pPr>
        <w:pStyle w:val="ListParagraph"/>
        <w:numPr>
          <w:ilvl w:val="0"/>
          <w:numId w:val="67"/>
        </w:numPr>
        <w:tabs>
          <w:tab w:pos="1220" w:val="left" w:leader="none"/>
          <w:tab w:pos="1221" w:val="left" w:leader="none"/>
        </w:tabs>
        <w:spacing w:line="306" w:lineRule="exact" w:before="0" w:after="0"/>
        <w:ind w:left="1220" w:right="0" w:hanging="361"/>
        <w:jc w:val="left"/>
        <w:rPr>
          <w:sz w:val="25"/>
        </w:rPr>
      </w:pPr>
      <w:r>
        <w:rPr>
          <w:b/>
          <w:sz w:val="25"/>
        </w:rPr>
        <w:t>Justice S U Khan </w:t>
      </w:r>
      <w:r>
        <w:rPr>
          <w:sz w:val="25"/>
        </w:rPr>
        <w:t>– Agrees with the findings of Justice Sudhir</w:t>
      </w:r>
      <w:r>
        <w:rPr>
          <w:spacing w:val="-47"/>
          <w:sz w:val="25"/>
        </w:rPr>
        <w:t> </w:t>
      </w:r>
      <w:r>
        <w:rPr>
          <w:sz w:val="25"/>
        </w:rPr>
        <w:t>Agarwal.</w:t>
      </w:r>
    </w:p>
    <w:p>
      <w:pPr>
        <w:pStyle w:val="BodyText"/>
        <w:spacing w:before="8"/>
        <w:rPr>
          <w:sz w:val="24"/>
        </w:rPr>
      </w:pPr>
    </w:p>
    <w:p>
      <w:pPr>
        <w:pStyle w:val="ListParagraph"/>
        <w:numPr>
          <w:ilvl w:val="0"/>
          <w:numId w:val="67"/>
        </w:numPr>
        <w:tabs>
          <w:tab w:pos="1220" w:val="left" w:leader="none"/>
          <w:tab w:pos="1221" w:val="left" w:leader="none"/>
        </w:tabs>
        <w:spacing w:line="240" w:lineRule="auto" w:before="0" w:after="0"/>
        <w:ind w:left="1220" w:right="0" w:hanging="361"/>
        <w:jc w:val="left"/>
        <w:rPr>
          <w:sz w:val="25"/>
        </w:rPr>
      </w:pPr>
      <w:r>
        <w:rPr>
          <w:b/>
          <w:sz w:val="25"/>
        </w:rPr>
        <w:t>Justice Sudhir Agarwal </w:t>
      </w:r>
      <w:r>
        <w:rPr>
          <w:sz w:val="25"/>
        </w:rPr>
        <w:t>– Decided against the</w:t>
      </w:r>
      <w:r>
        <w:rPr>
          <w:spacing w:val="-15"/>
          <w:sz w:val="25"/>
        </w:rPr>
        <w:t> </w:t>
      </w:r>
      <w:r>
        <w:rPr>
          <w:sz w:val="25"/>
        </w:rPr>
        <w:t>plaintiff.</w:t>
      </w:r>
    </w:p>
    <w:p>
      <w:pPr>
        <w:pStyle w:val="BodyText"/>
        <w:spacing w:before="10"/>
        <w:rPr>
          <w:sz w:val="24"/>
        </w:rPr>
      </w:pPr>
    </w:p>
    <w:p>
      <w:pPr>
        <w:pStyle w:val="ListParagraph"/>
        <w:numPr>
          <w:ilvl w:val="0"/>
          <w:numId w:val="67"/>
        </w:numPr>
        <w:tabs>
          <w:tab w:pos="1220" w:val="left" w:leader="none"/>
          <w:tab w:pos="1221" w:val="left" w:leader="none"/>
        </w:tabs>
        <w:spacing w:line="240" w:lineRule="auto" w:before="1" w:after="0"/>
        <w:ind w:left="1220" w:right="0" w:hanging="361"/>
        <w:jc w:val="left"/>
        <w:rPr>
          <w:sz w:val="25"/>
        </w:rPr>
      </w:pPr>
      <w:r>
        <w:rPr>
          <w:b/>
          <w:sz w:val="25"/>
        </w:rPr>
        <w:t>Justice D V Sharma </w:t>
      </w:r>
      <w:r>
        <w:rPr>
          <w:sz w:val="25"/>
        </w:rPr>
        <w:t>– Decided in favour of the</w:t>
      </w:r>
      <w:r>
        <w:rPr>
          <w:spacing w:val="-8"/>
          <w:sz w:val="25"/>
        </w:rPr>
        <w:t> </w:t>
      </w:r>
      <w:r>
        <w:rPr>
          <w:sz w:val="25"/>
        </w:rPr>
        <w:t>defendant.</w:t>
      </w:r>
    </w:p>
    <w:p>
      <w:pPr>
        <w:pStyle w:val="BodyText"/>
        <w:rPr>
          <w:sz w:val="30"/>
        </w:rPr>
      </w:pPr>
    </w:p>
    <w:p>
      <w:pPr>
        <w:pStyle w:val="Heading5"/>
        <w:spacing w:line="480" w:lineRule="auto" w:before="227"/>
        <w:ind w:right="446" w:hanging="651"/>
      </w:pPr>
      <w:r>
        <w:rPr>
          <w:b w:val="0"/>
        </w:rPr>
        <w:t>9(c). </w:t>
      </w:r>
      <w:r>
        <w:rPr/>
        <w:t>Are the said provisions of the U.P. Act 13 of 1936 ultra vires for reasons given in the statement of plaintiff's counsel dated 9.3.62 recorded on paper no. 454-A?</w:t>
      </w:r>
    </w:p>
    <w:p>
      <w:pPr>
        <w:pStyle w:val="ListParagraph"/>
        <w:numPr>
          <w:ilvl w:val="0"/>
          <w:numId w:val="67"/>
        </w:numPr>
        <w:tabs>
          <w:tab w:pos="1221" w:val="left" w:leader="none"/>
        </w:tabs>
        <w:spacing w:line="240" w:lineRule="auto" w:before="1" w:after="0"/>
        <w:ind w:left="1220" w:right="0" w:hanging="361"/>
        <w:jc w:val="both"/>
        <w:rPr>
          <w:sz w:val="25"/>
        </w:rPr>
      </w:pPr>
      <w:r>
        <w:rPr>
          <w:b/>
          <w:sz w:val="25"/>
        </w:rPr>
        <w:t>Justice S U Khan </w:t>
      </w:r>
      <w:r>
        <w:rPr>
          <w:sz w:val="25"/>
        </w:rPr>
        <w:t>– Agrees with the findings of Justice Sudhir</w:t>
      </w:r>
      <w:r>
        <w:rPr>
          <w:spacing w:val="-47"/>
          <w:sz w:val="25"/>
        </w:rPr>
        <w:t> </w:t>
      </w:r>
      <w:r>
        <w:rPr>
          <w:sz w:val="25"/>
        </w:rPr>
        <w:t>Agarwal.</w:t>
      </w:r>
    </w:p>
    <w:p>
      <w:pPr>
        <w:pStyle w:val="BodyText"/>
        <w:spacing w:before="10"/>
        <w:rPr>
          <w:sz w:val="24"/>
        </w:rPr>
      </w:pPr>
    </w:p>
    <w:p>
      <w:pPr>
        <w:pStyle w:val="ListParagraph"/>
        <w:numPr>
          <w:ilvl w:val="0"/>
          <w:numId w:val="67"/>
        </w:numPr>
        <w:tabs>
          <w:tab w:pos="1221" w:val="left" w:leader="none"/>
        </w:tabs>
        <w:spacing w:line="240" w:lineRule="auto" w:before="1" w:after="0"/>
        <w:ind w:left="1220" w:right="0" w:hanging="361"/>
        <w:jc w:val="both"/>
        <w:rPr>
          <w:sz w:val="25"/>
        </w:rPr>
      </w:pPr>
      <w:r>
        <w:rPr>
          <w:b/>
          <w:sz w:val="25"/>
        </w:rPr>
        <w:t>Justice Sudhir Agarwal </w:t>
      </w:r>
      <w:r>
        <w:rPr>
          <w:sz w:val="25"/>
        </w:rPr>
        <w:t>– Answered in the</w:t>
      </w:r>
      <w:r>
        <w:rPr>
          <w:spacing w:val="-26"/>
          <w:sz w:val="25"/>
        </w:rPr>
        <w:t> </w:t>
      </w:r>
      <w:r>
        <w:rPr>
          <w:sz w:val="25"/>
        </w:rPr>
        <w:t>negative.</w:t>
      </w:r>
    </w:p>
    <w:p>
      <w:pPr>
        <w:spacing w:after="0" w:line="240" w:lineRule="auto"/>
        <w:jc w:val="both"/>
        <w:rPr>
          <w:sz w:val="25"/>
        </w:rPr>
        <w:sectPr>
          <w:pgSz w:w="11910" w:h="16840"/>
          <w:pgMar w:header="721" w:footer="1014" w:top="1300" w:bottom="1200" w:left="940" w:right="1000"/>
        </w:sectPr>
      </w:pPr>
    </w:p>
    <w:p>
      <w:pPr>
        <w:pStyle w:val="Heading5"/>
        <w:numPr>
          <w:ilvl w:val="0"/>
          <w:numId w:val="69"/>
        </w:numPr>
        <w:tabs>
          <w:tab w:pos="1221" w:val="left" w:leader="none"/>
        </w:tabs>
        <w:spacing w:line="240" w:lineRule="auto" w:before="121" w:after="0"/>
        <w:ind w:left="1220" w:right="0" w:hanging="443"/>
        <w:jc w:val="both"/>
      </w:pPr>
      <w:r>
        <w:rPr/>
        <w:t>Is the present suit barred by</w:t>
      </w:r>
      <w:r>
        <w:rPr>
          <w:spacing w:val="-7"/>
        </w:rPr>
        <w:t> </w:t>
      </w:r>
      <w:r>
        <w:rPr/>
        <w:t>time?</w:t>
      </w:r>
    </w:p>
    <w:p>
      <w:pPr>
        <w:pStyle w:val="BodyText"/>
        <w:spacing w:before="1"/>
        <w:rPr>
          <w:b/>
        </w:rPr>
      </w:pPr>
    </w:p>
    <w:p>
      <w:pPr>
        <w:pStyle w:val="ListParagraph"/>
        <w:numPr>
          <w:ilvl w:val="0"/>
          <w:numId w:val="67"/>
        </w:numPr>
        <w:tabs>
          <w:tab w:pos="1220" w:val="left" w:leader="none"/>
          <w:tab w:pos="1221" w:val="left" w:leader="none"/>
        </w:tabs>
        <w:spacing w:line="465" w:lineRule="auto" w:before="0" w:after="0"/>
        <w:ind w:left="1220" w:right="433" w:hanging="360"/>
        <w:jc w:val="left"/>
        <w:rPr>
          <w:sz w:val="25"/>
        </w:rPr>
      </w:pPr>
      <w:r>
        <w:rPr>
          <w:b/>
          <w:sz w:val="25"/>
        </w:rPr>
        <w:t>Justice S U Khan, Justice Sudhir Agarwal and Justice D V Sharma </w:t>
      </w:r>
      <w:r>
        <w:rPr>
          <w:sz w:val="25"/>
        </w:rPr>
        <w:t>– The suit is not barred by</w:t>
      </w:r>
      <w:r>
        <w:rPr>
          <w:spacing w:val="-8"/>
          <w:sz w:val="25"/>
        </w:rPr>
        <w:t> </w:t>
      </w:r>
      <w:r>
        <w:rPr>
          <w:sz w:val="25"/>
        </w:rPr>
        <w:t>limitation.</w:t>
      </w:r>
    </w:p>
    <w:p>
      <w:pPr>
        <w:pStyle w:val="BodyText"/>
        <w:spacing w:before="1"/>
        <w:rPr>
          <w:sz w:val="26"/>
        </w:rPr>
      </w:pPr>
    </w:p>
    <w:p>
      <w:pPr>
        <w:pStyle w:val="Heading5"/>
        <w:spacing w:line="480" w:lineRule="auto"/>
        <w:ind w:right="446" w:hanging="651"/>
      </w:pPr>
      <w:r>
        <w:rPr>
          <w:b w:val="0"/>
        </w:rPr>
        <w:t>11(a).</w:t>
      </w:r>
      <w:r>
        <w:rPr/>
        <w:t>Are the provisions of section 91 C.P.C. applicable to the present suit? If so, is the suit bad for want of consent in writing by the Advocate General?</w:t>
      </w:r>
    </w:p>
    <w:p>
      <w:pPr>
        <w:pStyle w:val="ListParagraph"/>
        <w:numPr>
          <w:ilvl w:val="0"/>
          <w:numId w:val="67"/>
        </w:numPr>
        <w:tabs>
          <w:tab w:pos="1221" w:val="left" w:leader="none"/>
        </w:tabs>
        <w:spacing w:line="240" w:lineRule="auto" w:before="2" w:after="0"/>
        <w:ind w:left="1220" w:right="0" w:hanging="361"/>
        <w:jc w:val="both"/>
        <w:rPr>
          <w:sz w:val="25"/>
        </w:rPr>
      </w:pPr>
      <w:r>
        <w:rPr>
          <w:b/>
          <w:sz w:val="25"/>
        </w:rPr>
        <w:t>Justice S U Khan </w:t>
      </w:r>
      <w:r>
        <w:rPr>
          <w:sz w:val="25"/>
        </w:rPr>
        <w:t>– Agrees with the findings of Justice Sudhir</w:t>
      </w:r>
      <w:r>
        <w:rPr>
          <w:spacing w:val="-45"/>
          <w:sz w:val="25"/>
        </w:rPr>
        <w:t> </w:t>
      </w:r>
      <w:r>
        <w:rPr>
          <w:sz w:val="25"/>
        </w:rPr>
        <w:t>Agarwal</w:t>
      </w:r>
    </w:p>
    <w:p>
      <w:pPr>
        <w:pStyle w:val="BodyText"/>
        <w:spacing w:before="10"/>
        <w:rPr>
          <w:sz w:val="24"/>
        </w:rPr>
      </w:pPr>
    </w:p>
    <w:p>
      <w:pPr>
        <w:pStyle w:val="ListParagraph"/>
        <w:numPr>
          <w:ilvl w:val="0"/>
          <w:numId w:val="67"/>
        </w:numPr>
        <w:tabs>
          <w:tab w:pos="1221" w:val="left" w:leader="none"/>
        </w:tabs>
        <w:spacing w:line="240" w:lineRule="auto" w:before="0" w:after="0"/>
        <w:ind w:left="1220" w:right="0" w:hanging="361"/>
        <w:jc w:val="both"/>
        <w:rPr>
          <w:sz w:val="25"/>
        </w:rPr>
      </w:pPr>
      <w:r>
        <w:rPr>
          <w:b/>
          <w:sz w:val="25"/>
        </w:rPr>
        <w:t>Justice Sudhir Agarwal </w:t>
      </w:r>
      <w:r>
        <w:rPr>
          <w:sz w:val="25"/>
        </w:rPr>
        <w:t>– Answered in the</w:t>
      </w:r>
      <w:r>
        <w:rPr>
          <w:spacing w:val="-26"/>
          <w:sz w:val="25"/>
        </w:rPr>
        <w:t> </w:t>
      </w:r>
      <w:r>
        <w:rPr>
          <w:sz w:val="25"/>
        </w:rPr>
        <w:t>negative.</w:t>
      </w:r>
    </w:p>
    <w:p>
      <w:pPr>
        <w:pStyle w:val="BodyText"/>
        <w:spacing w:before="8"/>
        <w:rPr>
          <w:sz w:val="24"/>
        </w:rPr>
      </w:pPr>
    </w:p>
    <w:p>
      <w:pPr>
        <w:pStyle w:val="ListParagraph"/>
        <w:numPr>
          <w:ilvl w:val="0"/>
          <w:numId w:val="67"/>
        </w:numPr>
        <w:tabs>
          <w:tab w:pos="1221" w:val="left" w:leader="none"/>
        </w:tabs>
        <w:spacing w:line="240" w:lineRule="auto" w:before="0" w:after="0"/>
        <w:ind w:left="1220" w:right="0" w:hanging="361"/>
        <w:jc w:val="both"/>
        <w:rPr>
          <w:sz w:val="25"/>
        </w:rPr>
      </w:pPr>
      <w:r>
        <w:rPr>
          <w:b/>
          <w:sz w:val="25"/>
        </w:rPr>
        <w:t>Justice D V Sharma </w:t>
      </w:r>
      <w:r>
        <w:rPr>
          <w:sz w:val="25"/>
        </w:rPr>
        <w:t>– Decided in favour of the</w:t>
      </w:r>
      <w:r>
        <w:rPr>
          <w:spacing w:val="-8"/>
          <w:sz w:val="25"/>
        </w:rPr>
        <w:t> </w:t>
      </w:r>
      <w:r>
        <w:rPr>
          <w:sz w:val="25"/>
        </w:rPr>
        <w:t>plaintiff.</w:t>
      </w:r>
    </w:p>
    <w:p>
      <w:pPr>
        <w:pStyle w:val="BodyText"/>
        <w:rPr>
          <w:sz w:val="30"/>
        </w:rPr>
      </w:pPr>
    </w:p>
    <w:p>
      <w:pPr>
        <w:pStyle w:val="Heading5"/>
        <w:spacing w:line="480" w:lineRule="auto" w:before="230"/>
        <w:ind w:right="447"/>
      </w:pPr>
      <w:r>
        <w:rPr>
          <w:b w:val="0"/>
        </w:rPr>
        <w:t>11(b). </w:t>
      </w:r>
      <w:r>
        <w:rPr/>
        <w:t>Are the rights set up by the plaintiff in this suit independent of the provisions of section 91 CPC? If not, its effect.</w:t>
      </w:r>
    </w:p>
    <w:p>
      <w:pPr>
        <w:pStyle w:val="ListParagraph"/>
        <w:numPr>
          <w:ilvl w:val="0"/>
          <w:numId w:val="67"/>
        </w:numPr>
        <w:tabs>
          <w:tab w:pos="1221" w:val="left" w:leader="none"/>
        </w:tabs>
        <w:spacing w:line="240" w:lineRule="auto" w:before="0" w:after="0"/>
        <w:ind w:left="1220" w:right="0" w:hanging="361"/>
        <w:jc w:val="both"/>
        <w:rPr>
          <w:sz w:val="25"/>
        </w:rPr>
      </w:pPr>
      <w:r>
        <w:rPr>
          <w:b/>
          <w:sz w:val="25"/>
        </w:rPr>
        <w:t>Justice S U Khan </w:t>
      </w:r>
      <w:r>
        <w:rPr>
          <w:sz w:val="25"/>
        </w:rPr>
        <w:t>– Agrees with the findings of Justice Sudhir</w:t>
      </w:r>
      <w:r>
        <w:rPr>
          <w:spacing w:val="-46"/>
          <w:sz w:val="25"/>
        </w:rPr>
        <w:t> </w:t>
      </w:r>
      <w:r>
        <w:rPr>
          <w:sz w:val="25"/>
        </w:rPr>
        <w:t>Agarwal.</w:t>
      </w:r>
    </w:p>
    <w:p>
      <w:pPr>
        <w:pStyle w:val="BodyText"/>
        <w:spacing w:before="8"/>
        <w:rPr>
          <w:sz w:val="24"/>
        </w:rPr>
      </w:pPr>
    </w:p>
    <w:p>
      <w:pPr>
        <w:pStyle w:val="ListParagraph"/>
        <w:numPr>
          <w:ilvl w:val="0"/>
          <w:numId w:val="67"/>
        </w:numPr>
        <w:tabs>
          <w:tab w:pos="1221" w:val="left" w:leader="none"/>
        </w:tabs>
        <w:spacing w:line="240" w:lineRule="auto" w:before="0" w:after="0"/>
        <w:ind w:left="1220" w:right="0" w:hanging="361"/>
        <w:jc w:val="both"/>
        <w:rPr>
          <w:sz w:val="25"/>
        </w:rPr>
      </w:pPr>
      <w:r>
        <w:rPr>
          <w:b/>
          <w:sz w:val="25"/>
        </w:rPr>
        <w:t>Justice Sudhir Agarwal </w:t>
      </w:r>
      <w:r>
        <w:rPr>
          <w:sz w:val="25"/>
        </w:rPr>
        <w:t>– Answered in the</w:t>
      </w:r>
      <w:r>
        <w:rPr>
          <w:spacing w:val="-27"/>
          <w:sz w:val="25"/>
        </w:rPr>
        <w:t> </w:t>
      </w:r>
      <w:r>
        <w:rPr>
          <w:sz w:val="25"/>
        </w:rPr>
        <w:t>affirmative.</w:t>
      </w:r>
    </w:p>
    <w:p>
      <w:pPr>
        <w:pStyle w:val="BodyText"/>
        <w:spacing w:before="11"/>
        <w:rPr>
          <w:sz w:val="24"/>
        </w:rPr>
      </w:pPr>
    </w:p>
    <w:p>
      <w:pPr>
        <w:pStyle w:val="ListParagraph"/>
        <w:numPr>
          <w:ilvl w:val="0"/>
          <w:numId w:val="67"/>
        </w:numPr>
        <w:tabs>
          <w:tab w:pos="1221" w:val="left" w:leader="none"/>
        </w:tabs>
        <w:spacing w:line="240" w:lineRule="auto" w:before="0" w:after="0"/>
        <w:ind w:left="1220" w:right="0" w:hanging="361"/>
        <w:jc w:val="both"/>
        <w:rPr>
          <w:sz w:val="25"/>
        </w:rPr>
      </w:pPr>
      <w:r>
        <w:rPr>
          <w:b/>
          <w:sz w:val="25"/>
        </w:rPr>
        <w:t>Justice D V Sharma </w:t>
      </w:r>
      <w:r>
        <w:rPr>
          <w:sz w:val="25"/>
        </w:rPr>
        <w:t>– Decided in favour of the</w:t>
      </w:r>
      <w:r>
        <w:rPr>
          <w:spacing w:val="-8"/>
          <w:sz w:val="25"/>
        </w:rPr>
        <w:t> </w:t>
      </w:r>
      <w:r>
        <w:rPr>
          <w:sz w:val="25"/>
        </w:rPr>
        <w:t>plaintiff.</w:t>
      </w:r>
    </w:p>
    <w:p>
      <w:pPr>
        <w:pStyle w:val="BodyText"/>
        <w:rPr>
          <w:sz w:val="30"/>
        </w:rPr>
      </w:pPr>
    </w:p>
    <w:p>
      <w:pPr>
        <w:pStyle w:val="BodyText"/>
        <w:spacing w:before="9"/>
        <w:rPr>
          <w:sz w:val="44"/>
        </w:rPr>
      </w:pPr>
    </w:p>
    <w:p>
      <w:pPr>
        <w:pStyle w:val="Heading5"/>
        <w:numPr>
          <w:ilvl w:val="0"/>
          <w:numId w:val="70"/>
        </w:numPr>
        <w:tabs>
          <w:tab w:pos="1221" w:val="left" w:leader="none"/>
        </w:tabs>
        <w:spacing w:line="482" w:lineRule="auto" w:before="0" w:after="0"/>
        <w:ind w:left="1220" w:right="443" w:hanging="442"/>
        <w:jc w:val="left"/>
      </w:pPr>
      <w:r>
        <w:rPr/>
        <w:t>Is the suit bad for want of steps and notice under Order 1, Rule 8 CPC? If so, its</w:t>
      </w:r>
      <w:r>
        <w:rPr>
          <w:spacing w:val="-3"/>
        </w:rPr>
        <w:t> </w:t>
      </w:r>
      <w:r>
        <w:rPr/>
        <w:t>effect?</w:t>
      </w:r>
    </w:p>
    <w:p>
      <w:pPr>
        <w:pStyle w:val="ListParagraph"/>
        <w:numPr>
          <w:ilvl w:val="1"/>
          <w:numId w:val="70"/>
        </w:numPr>
        <w:tabs>
          <w:tab w:pos="1220" w:val="left" w:leader="none"/>
          <w:tab w:pos="1221" w:val="left" w:leader="none"/>
        </w:tabs>
        <w:spacing w:line="301" w:lineRule="exact" w:before="0" w:after="0"/>
        <w:ind w:left="1220" w:right="0" w:hanging="361"/>
        <w:jc w:val="left"/>
        <w:rPr>
          <w:sz w:val="25"/>
        </w:rPr>
      </w:pPr>
      <w:r>
        <w:rPr>
          <w:b/>
          <w:sz w:val="25"/>
        </w:rPr>
        <w:t>Justice S U Khan </w:t>
      </w:r>
      <w:r>
        <w:rPr>
          <w:sz w:val="25"/>
        </w:rPr>
        <w:t>– Agrees with the findings of Justice Sudhir</w:t>
      </w:r>
      <w:r>
        <w:rPr>
          <w:spacing w:val="-44"/>
          <w:sz w:val="25"/>
        </w:rPr>
        <w:t> </w:t>
      </w:r>
      <w:r>
        <w:rPr>
          <w:sz w:val="25"/>
        </w:rPr>
        <w:t>Agarwal.</w:t>
      </w:r>
    </w:p>
    <w:p>
      <w:pPr>
        <w:pStyle w:val="BodyText"/>
        <w:spacing w:before="10"/>
        <w:rPr>
          <w:sz w:val="24"/>
        </w:rPr>
      </w:pPr>
    </w:p>
    <w:p>
      <w:pPr>
        <w:pStyle w:val="ListParagraph"/>
        <w:numPr>
          <w:ilvl w:val="1"/>
          <w:numId w:val="70"/>
        </w:numPr>
        <w:tabs>
          <w:tab w:pos="1220" w:val="left" w:leader="none"/>
          <w:tab w:pos="1221" w:val="left" w:leader="none"/>
        </w:tabs>
        <w:spacing w:line="465" w:lineRule="auto" w:before="1" w:after="0"/>
        <w:ind w:left="1220" w:right="436" w:hanging="360"/>
        <w:jc w:val="left"/>
        <w:rPr>
          <w:sz w:val="25"/>
        </w:rPr>
      </w:pPr>
      <w:r>
        <w:rPr>
          <w:b/>
          <w:sz w:val="25"/>
        </w:rPr>
        <w:t>Justice Sudhir Agarwal </w:t>
      </w:r>
      <w:r>
        <w:rPr>
          <w:sz w:val="25"/>
        </w:rPr>
        <w:t>and </w:t>
      </w:r>
      <w:r>
        <w:rPr>
          <w:b/>
          <w:sz w:val="25"/>
        </w:rPr>
        <w:t>Justice D V Sharma </w:t>
      </w:r>
      <w:r>
        <w:rPr>
          <w:sz w:val="25"/>
        </w:rPr>
        <w:t>– Answered in favour of the</w:t>
      </w:r>
      <w:r>
        <w:rPr>
          <w:spacing w:val="-1"/>
          <w:sz w:val="25"/>
        </w:rPr>
        <w:t> </w:t>
      </w:r>
      <w:r>
        <w:rPr>
          <w:sz w:val="25"/>
        </w:rPr>
        <w:t>plaintiff.</w:t>
      </w:r>
    </w:p>
    <w:p>
      <w:pPr>
        <w:pStyle w:val="BodyText"/>
        <w:spacing w:before="3"/>
        <w:rPr>
          <w:sz w:val="26"/>
        </w:rPr>
      </w:pPr>
    </w:p>
    <w:p>
      <w:pPr>
        <w:pStyle w:val="Heading5"/>
        <w:numPr>
          <w:ilvl w:val="0"/>
          <w:numId w:val="70"/>
        </w:numPr>
        <w:tabs>
          <w:tab w:pos="1221" w:val="left" w:leader="none"/>
        </w:tabs>
        <w:spacing w:line="480" w:lineRule="auto" w:before="0" w:after="0"/>
        <w:ind w:left="1220" w:right="446" w:hanging="442"/>
        <w:jc w:val="left"/>
      </w:pPr>
      <w:r>
        <w:rPr/>
        <w:t>Is the Suit 2 of 50 (Shri Gopal Singh Visharad v Zahoor Ahmad) bad for want of notice under Section 80</w:t>
      </w:r>
      <w:r>
        <w:rPr>
          <w:spacing w:val="-7"/>
        </w:rPr>
        <w:t> </w:t>
      </w:r>
      <w:r>
        <w:rPr/>
        <w:t>CPC?</w:t>
      </w:r>
    </w:p>
    <w:p>
      <w:pPr>
        <w:spacing w:after="0" w:line="480" w:lineRule="auto"/>
        <w:jc w:val="left"/>
        <w:sectPr>
          <w:pgSz w:w="11910" w:h="16840"/>
          <w:pgMar w:header="721" w:footer="1014" w:top="1300" w:bottom="1200" w:left="940" w:right="1000"/>
        </w:sectPr>
      </w:pPr>
    </w:p>
    <w:p>
      <w:pPr>
        <w:pStyle w:val="ListParagraph"/>
        <w:numPr>
          <w:ilvl w:val="1"/>
          <w:numId w:val="70"/>
        </w:numPr>
        <w:tabs>
          <w:tab w:pos="1220" w:val="left" w:leader="none"/>
          <w:tab w:pos="1221" w:val="left" w:leader="none"/>
        </w:tabs>
        <w:spacing w:line="240" w:lineRule="auto" w:before="121" w:after="0"/>
        <w:ind w:left="1220" w:right="0" w:hanging="361"/>
        <w:jc w:val="left"/>
        <w:rPr>
          <w:sz w:val="25"/>
        </w:rPr>
      </w:pPr>
      <w:r>
        <w:rPr>
          <w:b/>
          <w:sz w:val="25"/>
        </w:rPr>
        <w:t>Justice S U Khan </w:t>
      </w:r>
      <w:r>
        <w:rPr>
          <w:sz w:val="25"/>
        </w:rPr>
        <w:t>– Agrees with the findings of Justice Sudhir</w:t>
      </w:r>
      <w:r>
        <w:rPr>
          <w:spacing w:val="-46"/>
          <w:sz w:val="25"/>
        </w:rPr>
        <w:t> </w:t>
      </w:r>
      <w:r>
        <w:rPr>
          <w:sz w:val="25"/>
        </w:rPr>
        <w:t>Agarwal.</w:t>
      </w:r>
    </w:p>
    <w:p>
      <w:pPr>
        <w:pStyle w:val="BodyText"/>
        <w:spacing w:before="10"/>
        <w:rPr>
          <w:sz w:val="24"/>
        </w:rPr>
      </w:pPr>
    </w:p>
    <w:p>
      <w:pPr>
        <w:pStyle w:val="ListParagraph"/>
        <w:numPr>
          <w:ilvl w:val="1"/>
          <w:numId w:val="70"/>
        </w:numPr>
        <w:tabs>
          <w:tab w:pos="1220" w:val="left" w:leader="none"/>
          <w:tab w:pos="1221" w:val="left" w:leader="none"/>
        </w:tabs>
        <w:spacing w:line="240" w:lineRule="auto" w:before="1" w:after="0"/>
        <w:ind w:left="1220" w:right="0" w:hanging="361"/>
        <w:jc w:val="left"/>
        <w:rPr>
          <w:sz w:val="25"/>
        </w:rPr>
      </w:pPr>
      <w:r>
        <w:rPr>
          <w:b/>
          <w:sz w:val="25"/>
        </w:rPr>
        <w:t>Justice Sudhir Agarwal </w:t>
      </w:r>
      <w:r>
        <w:rPr>
          <w:sz w:val="25"/>
        </w:rPr>
        <w:t>– Not rejected as</w:t>
      </w:r>
      <w:r>
        <w:rPr>
          <w:spacing w:val="-13"/>
          <w:sz w:val="25"/>
        </w:rPr>
        <w:t> </w:t>
      </w:r>
      <w:r>
        <w:rPr>
          <w:sz w:val="25"/>
        </w:rPr>
        <w:t>barred.</w:t>
      </w:r>
    </w:p>
    <w:p>
      <w:pPr>
        <w:pStyle w:val="BodyText"/>
        <w:spacing w:before="8"/>
        <w:rPr>
          <w:sz w:val="24"/>
        </w:rPr>
      </w:pPr>
    </w:p>
    <w:p>
      <w:pPr>
        <w:pStyle w:val="ListParagraph"/>
        <w:numPr>
          <w:ilvl w:val="1"/>
          <w:numId w:val="70"/>
        </w:numPr>
        <w:tabs>
          <w:tab w:pos="1220" w:val="left" w:leader="none"/>
          <w:tab w:pos="1221" w:val="left" w:leader="none"/>
        </w:tabs>
        <w:spacing w:line="240" w:lineRule="auto" w:before="0" w:after="0"/>
        <w:ind w:left="1220" w:right="0" w:hanging="361"/>
        <w:jc w:val="left"/>
        <w:rPr>
          <w:sz w:val="25"/>
        </w:rPr>
      </w:pPr>
      <w:r>
        <w:rPr>
          <w:b/>
          <w:sz w:val="25"/>
        </w:rPr>
        <w:t>Justice D V Sharma </w:t>
      </w:r>
      <w:r>
        <w:rPr>
          <w:sz w:val="25"/>
        </w:rPr>
        <w:t>– Decided in favour of the</w:t>
      </w:r>
      <w:r>
        <w:rPr>
          <w:spacing w:val="-8"/>
          <w:sz w:val="25"/>
        </w:rPr>
        <w:t> </w:t>
      </w:r>
      <w:r>
        <w:rPr>
          <w:sz w:val="25"/>
        </w:rPr>
        <w:t>defendants.</w:t>
      </w:r>
    </w:p>
    <w:p>
      <w:pPr>
        <w:pStyle w:val="BodyText"/>
        <w:rPr>
          <w:sz w:val="30"/>
        </w:rPr>
      </w:pPr>
    </w:p>
    <w:p>
      <w:pPr>
        <w:pStyle w:val="Heading5"/>
        <w:numPr>
          <w:ilvl w:val="0"/>
          <w:numId w:val="70"/>
        </w:numPr>
        <w:tabs>
          <w:tab w:pos="1221" w:val="left" w:leader="none"/>
        </w:tabs>
        <w:spacing w:line="480" w:lineRule="auto" w:before="229" w:after="0"/>
        <w:ind w:left="1220" w:right="442" w:hanging="442"/>
        <w:jc w:val="left"/>
      </w:pPr>
      <w:r>
        <w:rPr/>
        <w:t>Is the Suit no 25 of 50 Param Hans Ram Chandra </w:t>
      </w:r>
      <w:r>
        <w:rPr>
          <w:b w:val="0"/>
        </w:rPr>
        <w:t>v </w:t>
      </w:r>
      <w:r>
        <w:rPr/>
        <w:t>Zahoor Ahmad bad for want of valid notice under Section 80</w:t>
      </w:r>
      <w:r>
        <w:rPr>
          <w:spacing w:val="-11"/>
        </w:rPr>
        <w:t> </w:t>
      </w:r>
      <w:r>
        <w:rPr/>
        <w:t>CPC?</w:t>
      </w:r>
    </w:p>
    <w:p>
      <w:pPr>
        <w:pStyle w:val="ListParagraph"/>
        <w:numPr>
          <w:ilvl w:val="1"/>
          <w:numId w:val="70"/>
        </w:numPr>
        <w:tabs>
          <w:tab w:pos="1220" w:val="left" w:leader="none"/>
          <w:tab w:pos="1221" w:val="left" w:leader="none"/>
        </w:tabs>
        <w:spacing w:line="306" w:lineRule="exact" w:before="0" w:after="0"/>
        <w:ind w:left="1220" w:right="0" w:hanging="361"/>
        <w:jc w:val="left"/>
        <w:rPr>
          <w:sz w:val="25"/>
        </w:rPr>
      </w:pPr>
      <w:r>
        <w:rPr>
          <w:b/>
          <w:sz w:val="25"/>
        </w:rPr>
        <w:t>Justice S U Khan </w:t>
      </w:r>
      <w:r>
        <w:rPr>
          <w:sz w:val="25"/>
        </w:rPr>
        <w:t>– Agrees with the findings of Justice Sudhir</w:t>
      </w:r>
      <w:r>
        <w:rPr>
          <w:spacing w:val="-47"/>
          <w:sz w:val="25"/>
        </w:rPr>
        <w:t> </w:t>
      </w:r>
      <w:r>
        <w:rPr>
          <w:sz w:val="25"/>
        </w:rPr>
        <w:t>Agarwal.</w:t>
      </w:r>
    </w:p>
    <w:p>
      <w:pPr>
        <w:pStyle w:val="BodyText"/>
        <w:spacing w:before="9"/>
        <w:rPr>
          <w:sz w:val="24"/>
        </w:rPr>
      </w:pPr>
    </w:p>
    <w:p>
      <w:pPr>
        <w:pStyle w:val="ListParagraph"/>
        <w:numPr>
          <w:ilvl w:val="1"/>
          <w:numId w:val="70"/>
        </w:numPr>
        <w:tabs>
          <w:tab w:pos="1220" w:val="left" w:leader="none"/>
          <w:tab w:pos="1221" w:val="left" w:leader="none"/>
        </w:tabs>
        <w:spacing w:line="465" w:lineRule="auto" w:before="0" w:after="0"/>
        <w:ind w:left="1220" w:right="436" w:hanging="360"/>
        <w:jc w:val="left"/>
        <w:rPr>
          <w:sz w:val="25"/>
        </w:rPr>
      </w:pPr>
      <w:r>
        <w:rPr>
          <w:b/>
          <w:sz w:val="25"/>
        </w:rPr>
        <w:t>Justice Sudhir Agarwal and Justice D V Sharam </w:t>
      </w:r>
      <w:r>
        <w:rPr>
          <w:sz w:val="25"/>
        </w:rPr>
        <w:t>– Issue redundant after dismissal of the suit as</w:t>
      </w:r>
      <w:r>
        <w:rPr>
          <w:spacing w:val="-8"/>
          <w:sz w:val="25"/>
        </w:rPr>
        <w:t> </w:t>
      </w:r>
      <w:r>
        <w:rPr>
          <w:sz w:val="25"/>
        </w:rPr>
        <w:t>withdrawn.</w:t>
      </w:r>
    </w:p>
    <w:p>
      <w:pPr>
        <w:pStyle w:val="BodyText"/>
        <w:spacing w:before="4"/>
        <w:rPr>
          <w:sz w:val="26"/>
        </w:rPr>
      </w:pPr>
    </w:p>
    <w:p>
      <w:pPr>
        <w:pStyle w:val="Heading5"/>
        <w:numPr>
          <w:ilvl w:val="0"/>
          <w:numId w:val="70"/>
        </w:numPr>
        <w:tabs>
          <w:tab w:pos="1221" w:val="left" w:leader="none"/>
        </w:tabs>
        <w:spacing w:line="240" w:lineRule="auto" w:before="0" w:after="0"/>
        <w:ind w:left="1220" w:right="0" w:hanging="443"/>
        <w:jc w:val="left"/>
      </w:pPr>
      <w:r>
        <w:rPr/>
        <w:t>Is the suit bad for non-joinder of the</w:t>
      </w:r>
      <w:r>
        <w:rPr>
          <w:spacing w:val="-10"/>
        </w:rPr>
        <w:t> </w:t>
      </w:r>
      <w:r>
        <w:rPr/>
        <w:t>defendants?</w:t>
      </w:r>
    </w:p>
    <w:p>
      <w:pPr>
        <w:pStyle w:val="BodyText"/>
        <w:spacing w:before="1"/>
        <w:rPr>
          <w:b/>
        </w:rPr>
      </w:pPr>
    </w:p>
    <w:p>
      <w:pPr>
        <w:pStyle w:val="ListParagraph"/>
        <w:numPr>
          <w:ilvl w:val="1"/>
          <w:numId w:val="70"/>
        </w:numPr>
        <w:tabs>
          <w:tab w:pos="1220" w:val="left" w:leader="none"/>
          <w:tab w:pos="1221" w:val="left" w:leader="none"/>
        </w:tabs>
        <w:spacing w:line="240" w:lineRule="auto" w:before="0" w:after="0"/>
        <w:ind w:left="1220" w:right="0" w:hanging="361"/>
        <w:jc w:val="left"/>
        <w:rPr>
          <w:sz w:val="25"/>
        </w:rPr>
      </w:pPr>
      <w:r>
        <w:rPr>
          <w:b/>
          <w:sz w:val="25"/>
        </w:rPr>
        <w:t>Justice S U Khan </w:t>
      </w:r>
      <w:r>
        <w:rPr>
          <w:sz w:val="25"/>
        </w:rPr>
        <w:t>– Agrees with the findings of Justice Sudhir</w:t>
      </w:r>
      <w:r>
        <w:rPr>
          <w:spacing w:val="-47"/>
          <w:sz w:val="25"/>
        </w:rPr>
        <w:t> </w:t>
      </w:r>
      <w:r>
        <w:rPr>
          <w:sz w:val="25"/>
        </w:rPr>
        <w:t>Agarwal.</w:t>
      </w:r>
    </w:p>
    <w:p>
      <w:pPr>
        <w:pStyle w:val="BodyText"/>
        <w:spacing w:before="8"/>
        <w:rPr>
          <w:sz w:val="24"/>
        </w:rPr>
      </w:pPr>
    </w:p>
    <w:p>
      <w:pPr>
        <w:pStyle w:val="ListParagraph"/>
        <w:numPr>
          <w:ilvl w:val="1"/>
          <w:numId w:val="70"/>
        </w:numPr>
        <w:tabs>
          <w:tab w:pos="1220" w:val="left" w:leader="none"/>
          <w:tab w:pos="1221" w:val="left" w:leader="none"/>
        </w:tabs>
        <w:spacing w:line="465" w:lineRule="auto" w:before="0" w:after="0"/>
        <w:ind w:left="1220" w:right="436" w:hanging="360"/>
        <w:jc w:val="left"/>
        <w:rPr>
          <w:sz w:val="25"/>
        </w:rPr>
      </w:pPr>
      <w:r>
        <w:rPr>
          <w:b/>
          <w:sz w:val="25"/>
        </w:rPr>
        <w:t>Justice Sudhir Agarwal </w:t>
      </w:r>
      <w:r>
        <w:rPr>
          <w:sz w:val="25"/>
        </w:rPr>
        <w:t>and </w:t>
      </w:r>
      <w:r>
        <w:rPr>
          <w:b/>
          <w:sz w:val="25"/>
        </w:rPr>
        <w:t>Justice D V Sharma </w:t>
      </w:r>
      <w:r>
        <w:rPr>
          <w:sz w:val="25"/>
        </w:rPr>
        <w:t>– Answered in the negative and in favour of the</w:t>
      </w:r>
      <w:r>
        <w:rPr>
          <w:spacing w:val="-6"/>
          <w:sz w:val="25"/>
        </w:rPr>
        <w:t> </w:t>
      </w:r>
      <w:r>
        <w:rPr>
          <w:sz w:val="25"/>
        </w:rPr>
        <w:t>plaintiff.</w:t>
      </w:r>
    </w:p>
    <w:p>
      <w:pPr>
        <w:pStyle w:val="BodyText"/>
        <w:spacing w:before="4"/>
        <w:rPr>
          <w:sz w:val="26"/>
        </w:rPr>
      </w:pPr>
    </w:p>
    <w:p>
      <w:pPr>
        <w:pStyle w:val="Heading5"/>
        <w:numPr>
          <w:ilvl w:val="0"/>
          <w:numId w:val="70"/>
        </w:numPr>
        <w:tabs>
          <w:tab w:pos="1221" w:val="left" w:leader="none"/>
        </w:tabs>
        <w:spacing w:line="480" w:lineRule="auto" w:before="0" w:after="0"/>
        <w:ind w:left="1220" w:right="442" w:hanging="512"/>
        <w:jc w:val="left"/>
      </w:pPr>
      <w:r>
        <w:rPr/>
        <w:t>Are the defendants or any of them entitled to special costs under Section 35-A</w:t>
      </w:r>
      <w:r>
        <w:rPr>
          <w:spacing w:val="-8"/>
        </w:rPr>
        <w:t> </w:t>
      </w:r>
      <w:r>
        <w:rPr/>
        <w:t>CPC?</w:t>
      </w:r>
    </w:p>
    <w:p>
      <w:pPr>
        <w:pStyle w:val="ListParagraph"/>
        <w:numPr>
          <w:ilvl w:val="1"/>
          <w:numId w:val="70"/>
        </w:numPr>
        <w:tabs>
          <w:tab w:pos="1220" w:val="left" w:leader="none"/>
          <w:tab w:pos="1221" w:val="left" w:leader="none"/>
        </w:tabs>
        <w:spacing w:line="306" w:lineRule="exact" w:before="0" w:after="0"/>
        <w:ind w:left="1220" w:right="0" w:hanging="361"/>
        <w:jc w:val="left"/>
        <w:rPr>
          <w:sz w:val="25"/>
        </w:rPr>
      </w:pPr>
      <w:r>
        <w:rPr>
          <w:b/>
          <w:sz w:val="25"/>
        </w:rPr>
        <w:t>Justice S U Khan </w:t>
      </w:r>
      <w:r>
        <w:rPr>
          <w:sz w:val="25"/>
        </w:rPr>
        <w:t>– Agrees with the findings of Justice Sudhir</w:t>
      </w:r>
      <w:r>
        <w:rPr>
          <w:spacing w:val="-47"/>
          <w:sz w:val="25"/>
        </w:rPr>
        <w:t> </w:t>
      </w:r>
      <w:r>
        <w:rPr>
          <w:sz w:val="25"/>
        </w:rPr>
        <w:t>Agarwal.</w:t>
      </w:r>
    </w:p>
    <w:p>
      <w:pPr>
        <w:pStyle w:val="BodyText"/>
        <w:spacing w:before="10"/>
        <w:rPr>
          <w:sz w:val="24"/>
        </w:rPr>
      </w:pPr>
    </w:p>
    <w:p>
      <w:pPr>
        <w:pStyle w:val="ListParagraph"/>
        <w:numPr>
          <w:ilvl w:val="1"/>
          <w:numId w:val="70"/>
        </w:numPr>
        <w:tabs>
          <w:tab w:pos="1220" w:val="left" w:leader="none"/>
          <w:tab w:pos="1221" w:val="left" w:leader="none"/>
        </w:tabs>
        <w:spacing w:line="240" w:lineRule="auto" w:before="0" w:after="0"/>
        <w:ind w:left="1220" w:right="0" w:hanging="361"/>
        <w:jc w:val="left"/>
        <w:rPr>
          <w:sz w:val="25"/>
        </w:rPr>
      </w:pPr>
      <w:r>
        <w:rPr>
          <w:b/>
          <w:sz w:val="25"/>
        </w:rPr>
        <w:t>Justice Sudhir Agarwal </w:t>
      </w:r>
      <w:r>
        <w:rPr>
          <w:sz w:val="25"/>
        </w:rPr>
        <w:t>– Counsel did not press the</w:t>
      </w:r>
      <w:r>
        <w:rPr>
          <w:spacing w:val="-16"/>
          <w:sz w:val="25"/>
        </w:rPr>
        <w:t> </w:t>
      </w:r>
      <w:r>
        <w:rPr>
          <w:sz w:val="25"/>
        </w:rPr>
        <w:t>issue.</w:t>
      </w:r>
    </w:p>
    <w:p>
      <w:pPr>
        <w:pStyle w:val="BodyText"/>
      </w:pPr>
    </w:p>
    <w:p>
      <w:pPr>
        <w:pStyle w:val="ListParagraph"/>
        <w:numPr>
          <w:ilvl w:val="1"/>
          <w:numId w:val="70"/>
        </w:numPr>
        <w:tabs>
          <w:tab w:pos="1220" w:val="left" w:leader="none"/>
          <w:tab w:pos="1221" w:val="left" w:leader="none"/>
        </w:tabs>
        <w:spacing w:line="465" w:lineRule="auto" w:before="0" w:after="0"/>
        <w:ind w:left="1220" w:right="434" w:hanging="360"/>
        <w:jc w:val="left"/>
        <w:rPr>
          <w:sz w:val="25"/>
        </w:rPr>
      </w:pPr>
      <w:r>
        <w:rPr>
          <w:b/>
          <w:sz w:val="25"/>
        </w:rPr>
        <w:t>Justice D V Sharma </w:t>
      </w:r>
      <w:r>
        <w:rPr>
          <w:sz w:val="25"/>
        </w:rPr>
        <w:t>– Plaintiff is not entitled for relief and suit dismissed with easy</w:t>
      </w:r>
      <w:r>
        <w:rPr>
          <w:spacing w:val="-5"/>
          <w:sz w:val="25"/>
        </w:rPr>
        <w:t> </w:t>
      </w:r>
      <w:r>
        <w:rPr>
          <w:sz w:val="25"/>
        </w:rPr>
        <w:t>costs.</w:t>
      </w:r>
    </w:p>
    <w:p>
      <w:pPr>
        <w:pStyle w:val="BodyText"/>
        <w:spacing w:before="1"/>
        <w:rPr>
          <w:sz w:val="26"/>
        </w:rPr>
      </w:pPr>
    </w:p>
    <w:p>
      <w:pPr>
        <w:pStyle w:val="Heading5"/>
        <w:numPr>
          <w:ilvl w:val="0"/>
          <w:numId w:val="70"/>
        </w:numPr>
        <w:tabs>
          <w:tab w:pos="1221" w:val="left" w:leader="none"/>
        </w:tabs>
        <w:spacing w:line="240" w:lineRule="auto" w:before="0" w:after="0"/>
        <w:ind w:left="1220" w:right="0" w:hanging="443"/>
        <w:jc w:val="left"/>
      </w:pPr>
      <w:r>
        <w:rPr/>
        <w:t>To what reliefs, if </w:t>
      </w:r>
      <w:r>
        <w:rPr>
          <w:spacing w:val="-3"/>
        </w:rPr>
        <w:t>any, </w:t>
      </w:r>
      <w:r>
        <w:rPr/>
        <w:t>is the plaintiff</w:t>
      </w:r>
      <w:r>
        <w:rPr>
          <w:spacing w:val="-2"/>
        </w:rPr>
        <w:t> </w:t>
      </w:r>
      <w:r>
        <w:rPr/>
        <w:t>entitled?</w:t>
      </w:r>
    </w:p>
    <w:p>
      <w:pPr>
        <w:pStyle w:val="BodyText"/>
        <w:spacing w:before="1"/>
        <w:rPr>
          <w:b/>
        </w:rPr>
      </w:pPr>
    </w:p>
    <w:p>
      <w:pPr>
        <w:pStyle w:val="ListParagraph"/>
        <w:numPr>
          <w:ilvl w:val="1"/>
          <w:numId w:val="70"/>
        </w:numPr>
        <w:tabs>
          <w:tab w:pos="1220" w:val="left" w:leader="none"/>
          <w:tab w:pos="1221" w:val="left" w:leader="none"/>
        </w:tabs>
        <w:spacing w:line="240" w:lineRule="auto" w:before="0" w:after="0"/>
        <w:ind w:left="1220" w:right="0" w:hanging="361"/>
        <w:jc w:val="left"/>
        <w:rPr>
          <w:sz w:val="25"/>
        </w:rPr>
      </w:pPr>
      <w:r>
        <w:rPr>
          <w:b/>
          <w:sz w:val="25"/>
        </w:rPr>
        <w:t>Justice S U Khan </w:t>
      </w:r>
      <w:r>
        <w:rPr>
          <w:sz w:val="25"/>
        </w:rPr>
        <w:t>– Agrees with the findings of Justice Sudhir</w:t>
      </w:r>
      <w:r>
        <w:rPr>
          <w:spacing w:val="-45"/>
          <w:sz w:val="25"/>
        </w:rPr>
        <w:t> </w:t>
      </w:r>
      <w:r>
        <w:rPr>
          <w:sz w:val="25"/>
        </w:rPr>
        <w:t>Agarwal</w:t>
      </w:r>
    </w:p>
    <w:p>
      <w:pPr>
        <w:pStyle w:val="BodyText"/>
        <w:spacing w:before="11"/>
        <w:rPr>
          <w:sz w:val="24"/>
        </w:rPr>
      </w:pPr>
    </w:p>
    <w:p>
      <w:pPr>
        <w:pStyle w:val="ListParagraph"/>
        <w:numPr>
          <w:ilvl w:val="1"/>
          <w:numId w:val="70"/>
        </w:numPr>
        <w:tabs>
          <w:tab w:pos="1220" w:val="left" w:leader="none"/>
          <w:tab w:pos="1221" w:val="left" w:leader="none"/>
        </w:tabs>
        <w:spacing w:line="465" w:lineRule="auto" w:before="0" w:after="0"/>
        <w:ind w:left="1220" w:right="438" w:hanging="360"/>
        <w:jc w:val="left"/>
        <w:rPr>
          <w:sz w:val="25"/>
        </w:rPr>
      </w:pPr>
      <w:r>
        <w:rPr>
          <w:b/>
          <w:sz w:val="25"/>
        </w:rPr>
        <w:t>Justice Sudhir Agarwal </w:t>
      </w:r>
      <w:r>
        <w:rPr>
          <w:sz w:val="25"/>
        </w:rPr>
        <w:t>– The plaintiff‘s right of worship cannot be doubted since the site in dispute includes part of the land which is</w:t>
      </w:r>
      <w:r>
        <w:rPr>
          <w:spacing w:val="4"/>
          <w:sz w:val="25"/>
        </w:rPr>
        <w:t> </w:t>
      </w:r>
      <w:r>
        <w:rPr>
          <w:sz w:val="25"/>
        </w:rPr>
        <w:t>believed</w:t>
      </w:r>
    </w:p>
    <w:p>
      <w:pPr>
        <w:spacing w:after="0" w:line="465" w:lineRule="auto"/>
        <w:jc w:val="left"/>
        <w:rPr>
          <w:sz w:val="25"/>
        </w:rPr>
        <w:sectPr>
          <w:pgSz w:w="11910" w:h="16840"/>
          <w:pgMar w:header="721" w:footer="1014" w:top="1300" w:bottom="1200" w:left="940" w:right="1000"/>
        </w:sectPr>
      </w:pPr>
    </w:p>
    <w:p>
      <w:pPr>
        <w:pStyle w:val="BodyText"/>
        <w:spacing w:line="480" w:lineRule="auto" w:before="124"/>
        <w:ind w:left="1220" w:right="440"/>
        <w:jc w:val="both"/>
      </w:pPr>
      <w:r>
        <w:rPr/>
        <w:t>to be the place of birth of Lord Ram. </w:t>
      </w:r>
      <w:r>
        <w:rPr>
          <w:spacing w:val="-14"/>
        </w:rPr>
        <w:t>To </w:t>
      </w:r>
      <w:r>
        <w:rPr/>
        <w:t>this extent the plaintiff is entitled for a declaration subject to restrictions which may </w:t>
      </w:r>
      <w:r>
        <w:rPr>
          <w:spacing w:val="3"/>
        </w:rPr>
        <w:t>be </w:t>
      </w:r>
      <w:r>
        <w:rPr/>
        <w:t>necessary on account of </w:t>
      </w:r>
      <w:r>
        <w:rPr>
          <w:spacing w:val="-3"/>
        </w:rPr>
        <w:t>security, </w:t>
      </w:r>
      <w:r>
        <w:rPr/>
        <w:t>safety and maintenance of the place of worship.</w:t>
      </w:r>
    </w:p>
    <w:p>
      <w:pPr>
        <w:pStyle w:val="ListParagraph"/>
        <w:numPr>
          <w:ilvl w:val="1"/>
          <w:numId w:val="70"/>
        </w:numPr>
        <w:tabs>
          <w:tab w:pos="1221" w:val="left" w:leader="none"/>
        </w:tabs>
        <w:spacing w:line="465" w:lineRule="auto" w:before="0" w:after="0"/>
        <w:ind w:left="1220" w:right="443" w:hanging="360"/>
        <w:jc w:val="both"/>
        <w:rPr>
          <w:sz w:val="25"/>
        </w:rPr>
      </w:pPr>
      <w:r>
        <w:rPr>
          <w:b/>
          <w:sz w:val="25"/>
        </w:rPr>
        <w:t>Justice D V Sharma </w:t>
      </w:r>
      <w:r>
        <w:rPr>
          <w:sz w:val="25"/>
        </w:rPr>
        <w:t>– Plaintiff is not entitled for relief and suit is dismissed with easy</w:t>
      </w:r>
      <w:r>
        <w:rPr>
          <w:spacing w:val="-5"/>
          <w:sz w:val="25"/>
        </w:rPr>
        <w:t> </w:t>
      </w:r>
      <w:r>
        <w:rPr>
          <w:sz w:val="25"/>
        </w:rPr>
        <w:t>costs.</w:t>
      </w:r>
    </w:p>
    <w:p>
      <w:pPr>
        <w:pStyle w:val="BodyText"/>
        <w:spacing w:before="10"/>
        <w:rPr>
          <w:sz w:val="36"/>
        </w:rPr>
      </w:pPr>
    </w:p>
    <w:p>
      <w:pPr>
        <w:pStyle w:val="Heading3"/>
        <w:numPr>
          <w:ilvl w:val="1"/>
          <w:numId w:val="56"/>
        </w:numPr>
        <w:tabs>
          <w:tab w:pos="1221" w:val="left" w:leader="none"/>
        </w:tabs>
        <w:spacing w:line="240" w:lineRule="auto" w:before="0" w:after="0"/>
        <w:ind w:left="1220" w:right="0" w:hanging="721"/>
        <w:jc w:val="both"/>
      </w:pPr>
      <w:r>
        <w:rPr/>
        <w:t>Analysis</w:t>
      </w:r>
    </w:p>
    <w:p>
      <w:pPr>
        <w:pStyle w:val="BodyText"/>
        <w:rPr>
          <w:b/>
          <w:sz w:val="28"/>
        </w:rPr>
      </w:pPr>
    </w:p>
    <w:p>
      <w:pPr>
        <w:pStyle w:val="ListParagraph"/>
        <w:numPr>
          <w:ilvl w:val="0"/>
          <w:numId w:val="3"/>
        </w:numPr>
        <w:tabs>
          <w:tab w:pos="1221" w:val="left" w:leader="none"/>
        </w:tabs>
        <w:spacing w:line="480" w:lineRule="auto" w:before="216" w:after="0"/>
        <w:ind w:left="500" w:right="434" w:firstLine="0"/>
        <w:jc w:val="both"/>
        <w:rPr>
          <w:sz w:val="25"/>
        </w:rPr>
      </w:pPr>
      <w:r>
        <w:rPr>
          <w:sz w:val="25"/>
        </w:rPr>
        <w:t>Mr Ranjit Kumar, learned Senior Counsel appearing on behalf of the Plaintiff in Suit 1 adverted to the order of the Magistrate dated 29 December 1949, under Section 145 CrPC by which the disputed premises were attached and a receiver was appointed. Learned Counsel stated that fourteen affidavits were filed by certain Muslims under Order XIX, Rule 1 of the CPC between 8-16 February 1950, stating</w:t>
      </w:r>
      <w:r>
        <w:rPr>
          <w:spacing w:val="-6"/>
          <w:sz w:val="25"/>
        </w:rPr>
        <w:t> </w:t>
      </w:r>
      <w:r>
        <w:rPr>
          <w:sz w:val="25"/>
        </w:rPr>
        <w:t>that:</w:t>
      </w:r>
    </w:p>
    <w:p>
      <w:pPr>
        <w:pStyle w:val="ListParagraph"/>
        <w:numPr>
          <w:ilvl w:val="0"/>
          <w:numId w:val="71"/>
        </w:numPr>
        <w:tabs>
          <w:tab w:pos="1221" w:val="left" w:leader="none"/>
        </w:tabs>
        <w:spacing w:line="480" w:lineRule="auto" w:before="0" w:after="0"/>
        <w:ind w:left="1220" w:right="437" w:hanging="720"/>
        <w:jc w:val="both"/>
        <w:rPr>
          <w:sz w:val="25"/>
        </w:rPr>
      </w:pPr>
      <w:r>
        <w:rPr>
          <w:sz w:val="25"/>
        </w:rPr>
        <w:t>The place where the Babri Masjid was situated is the birth-place of Lord Ram.</w:t>
      </w:r>
      <w:r>
        <w:rPr>
          <w:spacing w:val="-13"/>
          <w:sz w:val="25"/>
        </w:rPr>
        <w:t> </w:t>
      </w:r>
      <w:r>
        <w:rPr>
          <w:sz w:val="25"/>
        </w:rPr>
        <w:t>The</w:t>
      </w:r>
      <w:r>
        <w:rPr>
          <w:spacing w:val="-8"/>
          <w:sz w:val="25"/>
        </w:rPr>
        <w:t> </w:t>
      </w:r>
      <w:r>
        <w:rPr>
          <w:sz w:val="25"/>
        </w:rPr>
        <w:t>Babri</w:t>
      </w:r>
      <w:r>
        <w:rPr>
          <w:spacing w:val="-9"/>
          <w:sz w:val="25"/>
        </w:rPr>
        <w:t> </w:t>
      </w:r>
      <w:r>
        <w:rPr>
          <w:sz w:val="25"/>
        </w:rPr>
        <w:t>Masjid</w:t>
      </w:r>
      <w:r>
        <w:rPr>
          <w:spacing w:val="-10"/>
          <w:sz w:val="25"/>
        </w:rPr>
        <w:t> </w:t>
      </w:r>
      <w:r>
        <w:rPr>
          <w:sz w:val="25"/>
        </w:rPr>
        <w:t>was</w:t>
      </w:r>
      <w:r>
        <w:rPr>
          <w:spacing w:val="-9"/>
          <w:sz w:val="25"/>
        </w:rPr>
        <w:t> </w:t>
      </w:r>
      <w:r>
        <w:rPr>
          <w:sz w:val="25"/>
        </w:rPr>
        <w:t>built</w:t>
      </w:r>
      <w:r>
        <w:rPr>
          <w:spacing w:val="-9"/>
          <w:sz w:val="25"/>
        </w:rPr>
        <w:t> </w:t>
      </w:r>
      <w:r>
        <w:rPr>
          <w:sz w:val="25"/>
        </w:rPr>
        <w:t>by</w:t>
      </w:r>
      <w:r>
        <w:rPr>
          <w:spacing w:val="-11"/>
          <w:sz w:val="25"/>
        </w:rPr>
        <w:t> </w:t>
      </w:r>
      <w:r>
        <w:rPr>
          <w:sz w:val="25"/>
        </w:rPr>
        <w:t>‗breaking‘</w:t>
      </w:r>
      <w:r>
        <w:rPr>
          <w:spacing w:val="-17"/>
          <w:sz w:val="25"/>
        </w:rPr>
        <w:t> </w:t>
      </w:r>
      <w:r>
        <w:rPr>
          <w:sz w:val="25"/>
        </w:rPr>
        <w:t>the</w:t>
      </w:r>
      <w:r>
        <w:rPr>
          <w:spacing w:val="-9"/>
          <w:sz w:val="25"/>
        </w:rPr>
        <w:t> </w:t>
      </w:r>
      <w:r>
        <w:rPr>
          <w:sz w:val="25"/>
        </w:rPr>
        <w:t>birth-place</w:t>
      </w:r>
      <w:r>
        <w:rPr>
          <w:spacing w:val="-8"/>
          <w:sz w:val="25"/>
        </w:rPr>
        <w:t> </w:t>
      </w:r>
      <w:r>
        <w:rPr>
          <w:sz w:val="25"/>
        </w:rPr>
        <w:t>of</w:t>
      </w:r>
      <w:r>
        <w:rPr>
          <w:spacing w:val="-8"/>
          <w:sz w:val="25"/>
        </w:rPr>
        <w:t> </w:t>
      </w:r>
      <w:r>
        <w:rPr>
          <w:sz w:val="25"/>
        </w:rPr>
        <w:t>Lord</w:t>
      </w:r>
      <w:r>
        <w:rPr>
          <w:spacing w:val="-9"/>
          <w:sz w:val="25"/>
        </w:rPr>
        <w:t> </w:t>
      </w:r>
      <w:r>
        <w:rPr>
          <w:sz w:val="25"/>
        </w:rPr>
        <w:t>Ram;</w:t>
      </w:r>
    </w:p>
    <w:p>
      <w:pPr>
        <w:pStyle w:val="ListParagraph"/>
        <w:numPr>
          <w:ilvl w:val="0"/>
          <w:numId w:val="71"/>
        </w:numPr>
        <w:tabs>
          <w:tab w:pos="1221" w:val="left" w:leader="none"/>
        </w:tabs>
        <w:spacing w:line="287" w:lineRule="exact" w:before="0" w:after="0"/>
        <w:ind w:left="1220" w:right="0" w:hanging="721"/>
        <w:jc w:val="both"/>
        <w:rPr>
          <w:sz w:val="25"/>
        </w:rPr>
      </w:pPr>
      <w:r>
        <w:rPr>
          <w:sz w:val="25"/>
        </w:rPr>
        <w:t>After British Rule, Muslims were only reading Friday namaz in the</w:t>
      </w:r>
      <w:r>
        <w:rPr>
          <w:spacing w:val="-24"/>
          <w:sz w:val="25"/>
        </w:rPr>
        <w:t> </w:t>
      </w:r>
      <w:r>
        <w:rPr>
          <w:sz w:val="25"/>
        </w:rPr>
        <w:t>mosque;</w:t>
      </w:r>
    </w:p>
    <w:p>
      <w:pPr>
        <w:pStyle w:val="BodyText"/>
      </w:pPr>
    </w:p>
    <w:p>
      <w:pPr>
        <w:pStyle w:val="ListParagraph"/>
        <w:numPr>
          <w:ilvl w:val="0"/>
          <w:numId w:val="71"/>
        </w:numPr>
        <w:tabs>
          <w:tab w:pos="1221" w:val="left" w:leader="none"/>
        </w:tabs>
        <w:spacing w:line="480" w:lineRule="auto" w:before="1" w:after="0"/>
        <w:ind w:left="1220" w:right="442" w:hanging="720"/>
        <w:jc w:val="both"/>
        <w:rPr>
          <w:sz w:val="25"/>
        </w:rPr>
      </w:pPr>
      <w:r>
        <w:rPr>
          <w:sz w:val="25"/>
        </w:rPr>
        <w:t>After the construction of the Masjid, Hindus did not give up their possession and continued to worship</w:t>
      </w:r>
      <w:r>
        <w:rPr>
          <w:spacing w:val="-5"/>
          <w:sz w:val="25"/>
        </w:rPr>
        <w:t> </w:t>
      </w:r>
      <w:r>
        <w:rPr>
          <w:sz w:val="25"/>
        </w:rPr>
        <w:t>there;</w:t>
      </w:r>
    </w:p>
    <w:p>
      <w:pPr>
        <w:pStyle w:val="ListParagraph"/>
        <w:numPr>
          <w:ilvl w:val="0"/>
          <w:numId w:val="71"/>
        </w:numPr>
        <w:tabs>
          <w:tab w:pos="1221" w:val="left" w:leader="none"/>
        </w:tabs>
        <w:spacing w:line="240" w:lineRule="auto" w:before="0" w:after="0"/>
        <w:ind w:left="1220" w:right="0" w:hanging="721"/>
        <w:jc w:val="both"/>
        <w:rPr>
          <w:sz w:val="25"/>
        </w:rPr>
      </w:pPr>
      <w:r>
        <w:rPr>
          <w:sz w:val="25"/>
        </w:rPr>
        <w:t>Both Hindus and Muslims continued to worship at the disputed</w:t>
      </w:r>
      <w:r>
        <w:rPr>
          <w:spacing w:val="-14"/>
          <w:sz w:val="25"/>
        </w:rPr>
        <w:t> </w:t>
      </w:r>
      <w:r>
        <w:rPr>
          <w:sz w:val="25"/>
        </w:rPr>
        <w:t>site;</w:t>
      </w:r>
    </w:p>
    <w:p>
      <w:pPr>
        <w:pStyle w:val="BodyText"/>
        <w:spacing w:before="1"/>
      </w:pPr>
    </w:p>
    <w:p>
      <w:pPr>
        <w:pStyle w:val="ListParagraph"/>
        <w:numPr>
          <w:ilvl w:val="0"/>
          <w:numId w:val="71"/>
        </w:numPr>
        <w:tabs>
          <w:tab w:pos="1221" w:val="left" w:leader="none"/>
        </w:tabs>
        <w:spacing w:line="480" w:lineRule="auto" w:before="0" w:after="0"/>
        <w:ind w:left="1220" w:right="441" w:hanging="720"/>
        <w:jc w:val="both"/>
        <w:rPr>
          <w:sz w:val="25"/>
        </w:rPr>
      </w:pPr>
      <w:r>
        <w:rPr>
          <w:sz w:val="25"/>
        </w:rPr>
        <w:t>Post the riots of 1934, Muslims had stopped going to the Masjid out of fear and ever since, the Hindus had taken possession of the main place in the mosque;</w:t>
      </w:r>
      <w:r>
        <w:rPr>
          <w:spacing w:val="-1"/>
          <w:sz w:val="25"/>
        </w:rPr>
        <w:t> </w:t>
      </w:r>
      <w:r>
        <w:rPr>
          <w:sz w:val="25"/>
        </w:rPr>
        <w:t>and</w:t>
      </w:r>
    </w:p>
    <w:p>
      <w:pPr>
        <w:pStyle w:val="ListParagraph"/>
        <w:numPr>
          <w:ilvl w:val="0"/>
          <w:numId w:val="71"/>
        </w:numPr>
        <w:tabs>
          <w:tab w:pos="1221" w:val="left" w:leader="none"/>
        </w:tabs>
        <w:spacing w:line="482" w:lineRule="auto" w:before="0" w:after="0"/>
        <w:ind w:left="1220" w:right="443" w:hanging="720"/>
        <w:jc w:val="both"/>
        <w:rPr>
          <w:sz w:val="25"/>
        </w:rPr>
      </w:pPr>
      <w:r>
        <w:rPr>
          <w:sz w:val="25"/>
        </w:rPr>
        <w:t>There was no objection if the possession of the mosque was to be handed over to the Hindus as reading namaz at that place was against the</w:t>
      </w:r>
      <w:r>
        <w:rPr>
          <w:spacing w:val="-40"/>
          <w:sz w:val="25"/>
        </w:rPr>
        <w:t> </w:t>
      </w:r>
      <w:r>
        <w:rPr>
          <w:sz w:val="25"/>
        </w:rPr>
        <w:t>Shariat.</w:t>
      </w:r>
    </w:p>
    <w:p>
      <w:pPr>
        <w:spacing w:after="0" w:line="482" w:lineRule="auto"/>
        <w:jc w:val="both"/>
        <w:rPr>
          <w:sz w:val="25"/>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8" w:firstLine="0"/>
        <w:jc w:val="both"/>
        <w:rPr>
          <w:sz w:val="25"/>
        </w:rPr>
      </w:pPr>
      <w:r>
        <w:rPr>
          <w:sz w:val="25"/>
        </w:rPr>
        <w:t>Justice Sudhir Agarwal did not pay any credence to the affidavits and held that:</w:t>
      </w:r>
    </w:p>
    <w:p>
      <w:pPr>
        <w:spacing w:line="276" w:lineRule="auto" w:before="0"/>
        <w:ind w:left="1940" w:right="2259" w:firstLine="0"/>
        <w:jc w:val="both"/>
        <w:rPr>
          <w:sz w:val="21"/>
        </w:rPr>
      </w:pPr>
      <w:r>
        <w:rPr>
          <w:spacing w:val="-1"/>
          <w:w w:val="33"/>
          <w:sz w:val="21"/>
        </w:rPr>
        <w:t>―</w:t>
      </w:r>
      <w:r>
        <w:rPr>
          <w:spacing w:val="-1"/>
          <w:w w:val="100"/>
          <w:sz w:val="21"/>
        </w:rPr>
        <w:t>302</w:t>
      </w:r>
      <w:r>
        <w:rPr>
          <w:w w:val="100"/>
          <w:sz w:val="21"/>
        </w:rPr>
        <w:t>0</w:t>
      </w:r>
      <w:r>
        <w:rPr>
          <w:spacing w:val="-2"/>
          <w:w w:val="100"/>
          <w:sz w:val="21"/>
        </w:rPr>
        <w:t>..</w:t>
      </w:r>
      <w:r>
        <w:rPr>
          <w:w w:val="100"/>
          <w:sz w:val="21"/>
        </w:rPr>
        <w:t>.</w:t>
      </w:r>
      <w:r>
        <w:rPr>
          <w:spacing w:val="24"/>
          <w:sz w:val="21"/>
        </w:rPr>
        <w:t> </w:t>
      </w:r>
      <w:r>
        <w:rPr>
          <w:w w:val="100"/>
          <w:sz w:val="21"/>
        </w:rPr>
        <w:t>The</w:t>
      </w:r>
      <w:r>
        <w:rPr>
          <w:spacing w:val="25"/>
          <w:sz w:val="21"/>
        </w:rPr>
        <w:t> </w:t>
      </w:r>
      <w:r>
        <w:rPr>
          <w:spacing w:val="-3"/>
          <w:w w:val="100"/>
          <w:sz w:val="21"/>
        </w:rPr>
        <w:t>a</w:t>
      </w:r>
      <w:r>
        <w:rPr>
          <w:spacing w:val="1"/>
          <w:w w:val="100"/>
          <w:sz w:val="21"/>
        </w:rPr>
        <w:t>f</w:t>
      </w:r>
      <w:r>
        <w:rPr>
          <w:spacing w:val="-1"/>
          <w:w w:val="100"/>
          <w:sz w:val="21"/>
        </w:rPr>
        <w:t>or</w:t>
      </w:r>
      <w:r>
        <w:rPr>
          <w:spacing w:val="-3"/>
          <w:w w:val="100"/>
          <w:sz w:val="21"/>
        </w:rPr>
        <w:t>e</w:t>
      </w:r>
      <w:r>
        <w:rPr>
          <w:w w:val="100"/>
          <w:sz w:val="21"/>
        </w:rPr>
        <w:t>sa</w:t>
      </w:r>
      <w:r>
        <w:rPr>
          <w:spacing w:val="-2"/>
          <w:w w:val="100"/>
          <w:sz w:val="21"/>
        </w:rPr>
        <w:t>i</w:t>
      </w:r>
      <w:r>
        <w:rPr>
          <w:w w:val="100"/>
          <w:sz w:val="21"/>
        </w:rPr>
        <w:t>d</w:t>
      </w:r>
      <w:r>
        <w:rPr>
          <w:spacing w:val="25"/>
          <w:sz w:val="21"/>
        </w:rPr>
        <w:t> </w:t>
      </w:r>
      <w:r>
        <w:rPr>
          <w:spacing w:val="-1"/>
          <w:w w:val="100"/>
          <w:sz w:val="21"/>
        </w:rPr>
        <w:t>d</w:t>
      </w:r>
      <w:r>
        <w:rPr>
          <w:spacing w:val="-3"/>
          <w:w w:val="100"/>
          <w:sz w:val="21"/>
        </w:rPr>
        <w:t>o</w:t>
      </w:r>
      <w:r>
        <w:rPr>
          <w:w w:val="100"/>
          <w:sz w:val="21"/>
        </w:rPr>
        <w:t>c</w:t>
      </w:r>
      <w:r>
        <w:rPr>
          <w:spacing w:val="-3"/>
          <w:w w:val="100"/>
          <w:sz w:val="21"/>
        </w:rPr>
        <w:t>u</w:t>
      </w:r>
      <w:r>
        <w:rPr>
          <w:spacing w:val="1"/>
          <w:w w:val="100"/>
          <w:sz w:val="21"/>
        </w:rPr>
        <w:t>m</w:t>
      </w:r>
      <w:r>
        <w:rPr>
          <w:spacing w:val="-1"/>
          <w:w w:val="100"/>
          <w:sz w:val="21"/>
        </w:rPr>
        <w:t>ent</w:t>
      </w:r>
      <w:r>
        <w:rPr>
          <w:w w:val="100"/>
          <w:sz w:val="21"/>
        </w:rPr>
        <w:t>s</w:t>
      </w:r>
      <w:r>
        <w:rPr>
          <w:spacing w:val="25"/>
          <w:sz w:val="21"/>
        </w:rPr>
        <w:t> </w:t>
      </w:r>
      <w:r>
        <w:rPr>
          <w:spacing w:val="-2"/>
          <w:w w:val="100"/>
          <w:sz w:val="21"/>
        </w:rPr>
        <w:t>t</w:t>
      </w:r>
      <w:r>
        <w:rPr>
          <w:w w:val="100"/>
          <w:sz w:val="21"/>
        </w:rPr>
        <w:t>o</w:t>
      </w:r>
      <w:r>
        <w:rPr>
          <w:spacing w:val="25"/>
          <w:sz w:val="21"/>
        </w:rPr>
        <w:t> </w:t>
      </w:r>
      <w:r>
        <w:rPr>
          <w:spacing w:val="-2"/>
          <w:w w:val="100"/>
          <w:sz w:val="21"/>
        </w:rPr>
        <w:t>t</w:t>
      </w:r>
      <w:r>
        <w:rPr>
          <w:spacing w:val="-1"/>
          <w:w w:val="100"/>
          <w:sz w:val="21"/>
        </w:rPr>
        <w:t>h</w:t>
      </w:r>
      <w:r>
        <w:rPr>
          <w:w w:val="100"/>
          <w:sz w:val="21"/>
        </w:rPr>
        <w:t>e</w:t>
      </w:r>
      <w:r>
        <w:rPr>
          <w:spacing w:val="25"/>
          <w:sz w:val="21"/>
        </w:rPr>
        <w:t> </w:t>
      </w:r>
      <w:r>
        <w:rPr>
          <w:spacing w:val="-1"/>
          <w:w w:val="100"/>
          <w:sz w:val="21"/>
        </w:rPr>
        <w:t>ext</w:t>
      </w:r>
      <w:r>
        <w:rPr>
          <w:spacing w:val="-3"/>
          <w:w w:val="100"/>
          <w:sz w:val="21"/>
        </w:rPr>
        <w:t>e</w:t>
      </w:r>
      <w:r>
        <w:rPr>
          <w:spacing w:val="-1"/>
          <w:w w:val="100"/>
          <w:sz w:val="21"/>
        </w:rPr>
        <w:t>n</w:t>
      </w:r>
      <w:r>
        <w:rPr>
          <w:w w:val="100"/>
          <w:sz w:val="21"/>
        </w:rPr>
        <w:t>t</w:t>
      </w:r>
      <w:r>
        <w:rPr>
          <w:spacing w:val="24"/>
          <w:sz w:val="21"/>
        </w:rPr>
        <w:t> </w:t>
      </w:r>
      <w:r>
        <w:rPr>
          <w:spacing w:val="-2"/>
          <w:w w:val="100"/>
          <w:sz w:val="21"/>
        </w:rPr>
        <w:t>t</w:t>
      </w:r>
      <w:r>
        <w:rPr>
          <w:w w:val="100"/>
          <w:sz w:val="21"/>
        </w:rPr>
        <w:t>o</w:t>
      </w:r>
      <w:r>
        <w:rPr>
          <w:spacing w:val="25"/>
          <w:sz w:val="21"/>
        </w:rPr>
        <w:t> </w:t>
      </w:r>
      <w:r>
        <w:rPr>
          <w:spacing w:val="-1"/>
          <w:w w:val="100"/>
          <w:sz w:val="21"/>
        </w:rPr>
        <w:t>pro</w:t>
      </w:r>
      <w:r>
        <w:rPr>
          <w:spacing w:val="-3"/>
          <w:w w:val="100"/>
          <w:sz w:val="21"/>
        </w:rPr>
        <w:t>v</w:t>
      </w:r>
      <w:r>
        <w:rPr>
          <w:w w:val="100"/>
          <w:sz w:val="21"/>
        </w:rPr>
        <w:t>e</w:t>
      </w:r>
      <w:r>
        <w:rPr>
          <w:spacing w:val="25"/>
          <w:sz w:val="21"/>
        </w:rPr>
        <w:t> </w:t>
      </w:r>
      <w:r>
        <w:rPr>
          <w:spacing w:val="-2"/>
          <w:w w:val="100"/>
          <w:sz w:val="21"/>
        </w:rPr>
        <w:t>t</w:t>
      </w:r>
      <w:r>
        <w:rPr>
          <w:spacing w:val="-1"/>
          <w:w w:val="100"/>
          <w:sz w:val="21"/>
        </w:rPr>
        <w:t>he </w:t>
      </w:r>
      <w:r>
        <w:rPr>
          <w:sz w:val="21"/>
        </w:rPr>
        <w:t>fact that the same were filed before the Magistrate and constitute part of the record of 145 Cr.P.C. proceeding before the City Magistrate is not disputed but to believe the contents thereof, in our view, it was necessary to produce the authors of the documents and to give an opportunity of cross- examination to the other parties against whose interest the documents contain certain averments. None of the author of the said documents have been produced and they are also not party to the proceedings individually. </w:t>
      </w:r>
      <w:r>
        <w:rPr>
          <w:spacing w:val="3"/>
          <w:sz w:val="21"/>
        </w:rPr>
        <w:t>We </w:t>
      </w:r>
      <w:r>
        <w:rPr>
          <w:sz w:val="21"/>
        </w:rPr>
        <w:t>have no benefit of testifying the correctness of the contents of the said documents. In the absence of any one available to prove the contents of the said documents, in our view, the same cannot be relied and therefore, nothing turns out from the aforesaid documents either in favour or against any of the</w:t>
      </w:r>
      <w:r>
        <w:rPr>
          <w:spacing w:val="-34"/>
          <w:sz w:val="21"/>
        </w:rPr>
        <w:t> </w:t>
      </w:r>
      <w:r>
        <w:rPr>
          <w:sz w:val="21"/>
        </w:rPr>
        <w:t>parties.‖</w:t>
      </w:r>
    </w:p>
    <w:p>
      <w:pPr>
        <w:pStyle w:val="BodyText"/>
        <w:rPr>
          <w:sz w:val="24"/>
        </w:rPr>
      </w:pPr>
    </w:p>
    <w:p>
      <w:pPr>
        <w:pStyle w:val="BodyText"/>
        <w:spacing w:before="11"/>
      </w:pPr>
    </w:p>
    <w:p>
      <w:pPr>
        <w:pStyle w:val="BodyText"/>
        <w:spacing w:line="480" w:lineRule="auto"/>
        <w:ind w:left="500" w:right="437"/>
        <w:jc w:val="both"/>
      </w:pPr>
      <w:r>
        <w:rPr/>
        <w:t>Justice S U Khan agreed with the observations made by Justice Sudhir Agarwal. However, Justice D V Sharma has held the affidavits to be admissible and observed that:</w:t>
      </w:r>
    </w:p>
    <w:p>
      <w:pPr>
        <w:spacing w:line="276" w:lineRule="auto" w:before="0"/>
        <w:ind w:left="1918" w:right="2598" w:firstLine="0"/>
        <w:jc w:val="both"/>
        <w:rPr>
          <w:sz w:val="21"/>
        </w:rPr>
      </w:pPr>
      <w:r>
        <w:rPr>
          <w:spacing w:val="-1"/>
          <w:w w:val="33"/>
          <w:sz w:val="21"/>
        </w:rPr>
        <w:t>―</w:t>
      </w:r>
      <w:r>
        <w:rPr>
          <w:spacing w:val="-2"/>
          <w:w w:val="100"/>
          <w:sz w:val="21"/>
        </w:rPr>
        <w:t>...</w:t>
      </w:r>
      <w:r>
        <w:rPr>
          <w:spacing w:val="-1"/>
          <w:w w:val="100"/>
          <w:sz w:val="21"/>
        </w:rPr>
        <w:t>a</w:t>
      </w:r>
      <w:r>
        <w:rPr>
          <w:spacing w:val="1"/>
          <w:w w:val="100"/>
          <w:sz w:val="21"/>
        </w:rPr>
        <w:t>ff</w:t>
      </w:r>
      <w:r>
        <w:rPr>
          <w:spacing w:val="-2"/>
          <w:w w:val="100"/>
          <w:sz w:val="21"/>
        </w:rPr>
        <w:t>i</w:t>
      </w:r>
      <w:r>
        <w:rPr>
          <w:spacing w:val="-1"/>
          <w:w w:val="100"/>
          <w:sz w:val="21"/>
        </w:rPr>
        <w:t>da</w:t>
      </w:r>
      <w:r>
        <w:rPr>
          <w:spacing w:val="-3"/>
          <w:w w:val="100"/>
          <w:sz w:val="21"/>
        </w:rPr>
        <w:t>v</w:t>
      </w:r>
      <w:r>
        <w:rPr>
          <w:w w:val="100"/>
          <w:sz w:val="21"/>
        </w:rPr>
        <w:t>i</w:t>
      </w:r>
      <w:r>
        <w:rPr>
          <w:spacing w:val="-2"/>
          <w:w w:val="100"/>
          <w:sz w:val="21"/>
        </w:rPr>
        <w:t>t</w:t>
      </w:r>
      <w:r>
        <w:rPr>
          <w:w w:val="100"/>
          <w:sz w:val="21"/>
        </w:rPr>
        <w:t>s</w:t>
      </w:r>
      <w:r>
        <w:rPr>
          <w:sz w:val="21"/>
        </w:rPr>
        <w:t> </w:t>
      </w:r>
      <w:r>
        <w:rPr>
          <w:spacing w:val="-9"/>
          <w:sz w:val="21"/>
        </w:rPr>
        <w:t> </w:t>
      </w:r>
      <w:r>
        <w:rPr>
          <w:spacing w:val="-1"/>
          <w:w w:val="100"/>
          <w:sz w:val="21"/>
        </w:rPr>
        <w:t>o</w:t>
      </w:r>
      <w:r>
        <w:rPr>
          <w:w w:val="100"/>
          <w:sz w:val="21"/>
        </w:rPr>
        <w:t>f</w:t>
      </w:r>
      <w:r>
        <w:rPr>
          <w:sz w:val="21"/>
        </w:rPr>
        <w:t> </w:t>
      </w:r>
      <w:r>
        <w:rPr>
          <w:spacing w:val="-8"/>
          <w:sz w:val="21"/>
        </w:rPr>
        <w:t> </w:t>
      </w:r>
      <w:r>
        <w:rPr>
          <w:spacing w:val="-2"/>
          <w:w w:val="100"/>
          <w:sz w:val="21"/>
        </w:rPr>
        <w:t>t</w:t>
      </w:r>
      <w:r>
        <w:rPr>
          <w:spacing w:val="-1"/>
          <w:w w:val="100"/>
          <w:sz w:val="21"/>
        </w:rPr>
        <w:t>h</w:t>
      </w:r>
      <w:r>
        <w:rPr>
          <w:w w:val="100"/>
          <w:sz w:val="21"/>
        </w:rPr>
        <w:t>e</w:t>
      </w:r>
      <w:r>
        <w:rPr>
          <w:sz w:val="21"/>
        </w:rPr>
        <w:t> </w:t>
      </w:r>
      <w:r>
        <w:rPr>
          <w:spacing w:val="-9"/>
          <w:sz w:val="21"/>
        </w:rPr>
        <w:t> </w:t>
      </w:r>
      <w:r>
        <w:rPr>
          <w:spacing w:val="-1"/>
          <w:w w:val="100"/>
          <w:sz w:val="21"/>
        </w:rPr>
        <w:t>per</w:t>
      </w:r>
      <w:r>
        <w:rPr>
          <w:spacing w:val="-3"/>
          <w:w w:val="100"/>
          <w:sz w:val="21"/>
        </w:rPr>
        <w:t>so</w:t>
      </w:r>
      <w:r>
        <w:rPr>
          <w:spacing w:val="-1"/>
          <w:w w:val="100"/>
          <w:sz w:val="21"/>
        </w:rPr>
        <w:t>n</w:t>
      </w:r>
      <w:r>
        <w:rPr>
          <w:w w:val="100"/>
          <w:sz w:val="21"/>
        </w:rPr>
        <w:t>s</w:t>
      </w:r>
      <w:r>
        <w:rPr>
          <w:sz w:val="21"/>
        </w:rPr>
        <w:t> </w:t>
      </w:r>
      <w:r>
        <w:rPr>
          <w:spacing w:val="-9"/>
          <w:sz w:val="21"/>
        </w:rPr>
        <w:t> </w:t>
      </w:r>
      <w:r>
        <w:rPr>
          <w:spacing w:val="-1"/>
          <w:w w:val="100"/>
          <w:sz w:val="21"/>
        </w:rPr>
        <w:t>und</w:t>
      </w:r>
      <w:r>
        <w:rPr>
          <w:w w:val="100"/>
          <w:sz w:val="21"/>
        </w:rPr>
        <w:t>er</w:t>
      </w:r>
      <w:r>
        <w:rPr>
          <w:sz w:val="21"/>
        </w:rPr>
        <w:t> </w:t>
      </w:r>
      <w:r>
        <w:rPr>
          <w:spacing w:val="-10"/>
          <w:sz w:val="21"/>
        </w:rPr>
        <w:t> </w:t>
      </w:r>
      <w:r>
        <w:rPr>
          <w:spacing w:val="-1"/>
          <w:w w:val="100"/>
          <w:sz w:val="21"/>
        </w:rPr>
        <w:t>o</w:t>
      </w:r>
      <w:r>
        <w:rPr>
          <w:w w:val="100"/>
          <w:sz w:val="21"/>
        </w:rPr>
        <w:t>r</w:t>
      </w:r>
      <w:r>
        <w:rPr>
          <w:sz w:val="21"/>
        </w:rPr>
        <w:t> </w:t>
      </w:r>
      <w:r>
        <w:rPr>
          <w:spacing w:val="-10"/>
          <w:sz w:val="21"/>
        </w:rPr>
        <w:t> </w:t>
      </w:r>
      <w:r>
        <w:rPr>
          <w:spacing w:val="-2"/>
          <w:w w:val="100"/>
          <w:sz w:val="21"/>
        </w:rPr>
        <w:t>t</w:t>
      </w:r>
      <w:r>
        <w:rPr>
          <w:spacing w:val="-1"/>
          <w:w w:val="100"/>
          <w:sz w:val="21"/>
        </w:rPr>
        <w:t>hro</w:t>
      </w:r>
      <w:r>
        <w:rPr>
          <w:spacing w:val="-3"/>
          <w:w w:val="100"/>
          <w:sz w:val="21"/>
        </w:rPr>
        <w:t>u</w:t>
      </w:r>
      <w:r>
        <w:rPr>
          <w:spacing w:val="-1"/>
          <w:w w:val="100"/>
          <w:sz w:val="21"/>
        </w:rPr>
        <w:t>g</w:t>
      </w:r>
      <w:r>
        <w:rPr>
          <w:w w:val="100"/>
          <w:sz w:val="21"/>
        </w:rPr>
        <w:t>h</w:t>
      </w:r>
      <w:r>
        <w:rPr>
          <w:sz w:val="21"/>
        </w:rPr>
        <w:t> </w:t>
      </w:r>
      <w:r>
        <w:rPr>
          <w:spacing w:val="-9"/>
          <w:sz w:val="21"/>
        </w:rPr>
        <w:t> </w:t>
      </w:r>
      <w:r>
        <w:rPr>
          <w:spacing w:val="-2"/>
          <w:w w:val="100"/>
          <w:sz w:val="21"/>
        </w:rPr>
        <w:t>w</w:t>
      </w:r>
      <w:r>
        <w:rPr>
          <w:spacing w:val="-3"/>
          <w:w w:val="100"/>
          <w:sz w:val="21"/>
        </w:rPr>
        <w:t>h</w:t>
      </w:r>
      <w:r>
        <w:rPr>
          <w:spacing w:val="-1"/>
          <w:w w:val="100"/>
          <w:sz w:val="21"/>
        </w:rPr>
        <w:t>o</w:t>
      </w:r>
      <w:r>
        <w:rPr>
          <w:w w:val="100"/>
          <w:sz w:val="21"/>
        </w:rPr>
        <w:t>m</w:t>
      </w:r>
      <w:r>
        <w:rPr>
          <w:sz w:val="21"/>
        </w:rPr>
        <w:t> </w:t>
      </w:r>
      <w:r>
        <w:rPr>
          <w:spacing w:val="-8"/>
          <w:sz w:val="21"/>
        </w:rPr>
        <w:t> </w:t>
      </w:r>
      <w:r>
        <w:rPr>
          <w:spacing w:val="-2"/>
          <w:w w:val="100"/>
          <w:sz w:val="21"/>
        </w:rPr>
        <w:t>t</w:t>
      </w:r>
      <w:r>
        <w:rPr>
          <w:spacing w:val="-1"/>
          <w:w w:val="100"/>
          <w:sz w:val="21"/>
        </w:rPr>
        <w:t>he </w:t>
      </w:r>
      <w:r>
        <w:rPr>
          <w:sz w:val="21"/>
        </w:rPr>
        <w:t>plaintiffs are claiming were sworn before an official empowered by the Magistrate are admissible</w:t>
      </w:r>
      <w:r>
        <w:rPr>
          <w:spacing w:val="-38"/>
          <w:sz w:val="21"/>
        </w:rPr>
        <w:t> </w:t>
      </w:r>
      <w:r>
        <w:rPr>
          <w:sz w:val="21"/>
        </w:rPr>
        <w:t>evidence...‖</w:t>
      </w:r>
    </w:p>
    <w:p>
      <w:pPr>
        <w:pStyle w:val="BodyText"/>
        <w:rPr>
          <w:sz w:val="24"/>
        </w:rPr>
      </w:pPr>
    </w:p>
    <w:p>
      <w:pPr>
        <w:pStyle w:val="BodyText"/>
        <w:spacing w:before="2"/>
        <w:rPr>
          <w:sz w:val="26"/>
        </w:rPr>
      </w:pPr>
    </w:p>
    <w:p>
      <w:pPr>
        <w:pStyle w:val="ListParagraph"/>
        <w:numPr>
          <w:ilvl w:val="0"/>
          <w:numId w:val="3"/>
        </w:numPr>
        <w:tabs>
          <w:tab w:pos="1221" w:val="left" w:leader="none"/>
        </w:tabs>
        <w:spacing w:line="240" w:lineRule="auto" w:before="0" w:after="0"/>
        <w:ind w:left="1220" w:right="0" w:hanging="721"/>
        <w:jc w:val="both"/>
        <w:rPr>
          <w:sz w:val="25"/>
        </w:rPr>
      </w:pPr>
      <w:r>
        <w:rPr>
          <w:sz w:val="25"/>
        </w:rPr>
        <w:t>Mr Ranjit Kumar, has made the following submissions:</w:t>
      </w:r>
    </w:p>
    <w:p>
      <w:pPr>
        <w:pStyle w:val="BodyText"/>
        <w:spacing w:before="10"/>
        <w:rPr>
          <w:sz w:val="24"/>
        </w:rPr>
      </w:pPr>
    </w:p>
    <w:p>
      <w:pPr>
        <w:pStyle w:val="ListParagraph"/>
        <w:numPr>
          <w:ilvl w:val="0"/>
          <w:numId w:val="72"/>
        </w:numPr>
        <w:tabs>
          <w:tab w:pos="1221" w:val="left" w:leader="none"/>
        </w:tabs>
        <w:spacing w:line="480" w:lineRule="auto" w:before="0" w:after="0"/>
        <w:ind w:left="1220" w:right="436" w:hanging="720"/>
        <w:jc w:val="both"/>
        <w:rPr>
          <w:sz w:val="25"/>
        </w:rPr>
      </w:pPr>
      <w:r>
        <w:rPr>
          <w:sz w:val="25"/>
        </w:rPr>
        <w:t>The Suit of 1885 will have no impact on the present suit as in the earlier suit the relief sought was for the permission to establish a temple over a platform which was confined to the Chabutra outside the mosque. </w:t>
      </w:r>
      <w:r>
        <w:rPr>
          <w:spacing w:val="-3"/>
          <w:sz w:val="25"/>
        </w:rPr>
        <w:t>However, </w:t>
      </w:r>
      <w:r>
        <w:rPr>
          <w:sz w:val="25"/>
        </w:rPr>
        <w:t>the present suit is with respect to the right to worship and seek </w:t>
      </w:r>
      <w:r>
        <w:rPr>
          <w:w w:val="99"/>
          <w:sz w:val="25"/>
        </w:rPr>
        <w:t>the</w:t>
      </w:r>
      <w:r>
        <w:rPr>
          <w:sz w:val="25"/>
        </w:rPr>
        <w:t> </w:t>
      </w:r>
      <w:r>
        <w:rPr>
          <w:spacing w:val="17"/>
          <w:sz w:val="25"/>
        </w:rPr>
        <w:t> </w:t>
      </w:r>
      <w:r>
        <w:rPr>
          <w:spacing w:val="-1"/>
          <w:w w:val="99"/>
          <w:sz w:val="25"/>
        </w:rPr>
        <w:t>d</w:t>
      </w:r>
      <w:r>
        <w:rPr>
          <w:w w:val="99"/>
          <w:sz w:val="25"/>
        </w:rPr>
        <w:t>arshan</w:t>
      </w:r>
      <w:r>
        <w:rPr>
          <w:sz w:val="25"/>
        </w:rPr>
        <w:t> </w:t>
      </w:r>
      <w:r>
        <w:rPr>
          <w:spacing w:val="14"/>
          <w:sz w:val="25"/>
        </w:rPr>
        <w:t> </w:t>
      </w:r>
      <w:r>
        <w:rPr>
          <w:spacing w:val="-1"/>
          <w:w w:val="99"/>
          <w:sz w:val="25"/>
        </w:rPr>
        <w:t>o</w:t>
      </w:r>
      <w:r>
        <w:rPr>
          <w:w w:val="99"/>
          <w:sz w:val="25"/>
        </w:rPr>
        <w:t>f</w:t>
      </w:r>
      <w:r>
        <w:rPr>
          <w:sz w:val="25"/>
        </w:rPr>
        <w:t> </w:t>
      </w:r>
      <w:r>
        <w:rPr>
          <w:spacing w:val="17"/>
          <w:sz w:val="25"/>
        </w:rPr>
        <w:t> </w:t>
      </w:r>
      <w:r>
        <w:rPr>
          <w:spacing w:val="-1"/>
          <w:w w:val="99"/>
          <w:sz w:val="25"/>
        </w:rPr>
        <w:t>L</w:t>
      </w:r>
      <w:r>
        <w:rPr>
          <w:spacing w:val="-2"/>
          <w:w w:val="99"/>
          <w:sz w:val="25"/>
        </w:rPr>
        <w:t>o</w:t>
      </w:r>
      <w:r>
        <w:rPr>
          <w:w w:val="99"/>
          <w:sz w:val="25"/>
        </w:rPr>
        <w:t>rd</w:t>
      </w:r>
      <w:r>
        <w:rPr>
          <w:sz w:val="25"/>
        </w:rPr>
        <w:t> </w:t>
      </w:r>
      <w:r>
        <w:rPr>
          <w:spacing w:val="14"/>
          <w:sz w:val="25"/>
        </w:rPr>
        <w:t> </w:t>
      </w:r>
      <w:r>
        <w:rPr>
          <w:spacing w:val="-1"/>
          <w:w w:val="99"/>
          <w:sz w:val="25"/>
        </w:rPr>
        <w:t>Ra</w:t>
      </w:r>
      <w:r>
        <w:rPr>
          <w:w w:val="99"/>
          <w:sz w:val="25"/>
        </w:rPr>
        <w:t>m,</w:t>
      </w:r>
      <w:r>
        <w:rPr>
          <w:sz w:val="25"/>
        </w:rPr>
        <w:t> </w:t>
      </w:r>
      <w:r>
        <w:rPr>
          <w:spacing w:val="20"/>
          <w:sz w:val="25"/>
        </w:rPr>
        <w:t> </w:t>
      </w:r>
      <w:r>
        <w:rPr>
          <w:w w:val="33"/>
          <w:sz w:val="25"/>
        </w:rPr>
        <w:t>―</w:t>
      </w:r>
      <w:r>
        <w:rPr>
          <w:spacing w:val="-1"/>
          <w:w w:val="99"/>
          <w:sz w:val="25"/>
        </w:rPr>
        <w:t>acc</w:t>
      </w:r>
      <w:r>
        <w:rPr>
          <w:spacing w:val="-2"/>
          <w:w w:val="99"/>
          <w:sz w:val="25"/>
        </w:rPr>
        <w:t>o</w:t>
      </w:r>
      <w:r>
        <w:rPr>
          <w:w w:val="99"/>
          <w:sz w:val="25"/>
        </w:rPr>
        <w:t>r</w:t>
      </w:r>
      <w:r>
        <w:rPr>
          <w:spacing w:val="-1"/>
          <w:w w:val="99"/>
          <w:sz w:val="25"/>
        </w:rPr>
        <w:t>din</w:t>
      </w:r>
      <w:r>
        <w:rPr>
          <w:w w:val="99"/>
          <w:sz w:val="25"/>
        </w:rPr>
        <w:t>g</w:t>
      </w:r>
      <w:r>
        <w:rPr>
          <w:sz w:val="25"/>
        </w:rPr>
        <w:t> </w:t>
      </w:r>
      <w:r>
        <w:rPr>
          <w:spacing w:val="17"/>
          <w:sz w:val="25"/>
        </w:rPr>
        <w:t> </w:t>
      </w:r>
      <w:r>
        <w:rPr>
          <w:w w:val="99"/>
          <w:sz w:val="25"/>
        </w:rPr>
        <w:t>to</w:t>
      </w:r>
      <w:r>
        <w:rPr>
          <w:sz w:val="25"/>
        </w:rPr>
        <w:t> </w:t>
      </w:r>
      <w:r>
        <w:rPr>
          <w:spacing w:val="15"/>
          <w:sz w:val="25"/>
        </w:rPr>
        <w:t> </w:t>
      </w:r>
      <w:r>
        <w:rPr>
          <w:w w:val="99"/>
          <w:sz w:val="25"/>
        </w:rPr>
        <w:t>r</w:t>
      </w:r>
      <w:r>
        <w:rPr>
          <w:spacing w:val="-1"/>
          <w:w w:val="99"/>
          <w:sz w:val="25"/>
        </w:rPr>
        <w:t>eligio</w:t>
      </w:r>
      <w:r>
        <w:rPr>
          <w:w w:val="99"/>
          <w:sz w:val="25"/>
        </w:rPr>
        <w:t>n</w:t>
      </w:r>
      <w:r>
        <w:rPr>
          <w:sz w:val="25"/>
        </w:rPr>
        <w:t> </w:t>
      </w:r>
      <w:r>
        <w:rPr>
          <w:spacing w:val="17"/>
          <w:sz w:val="25"/>
        </w:rPr>
        <w:t> </w:t>
      </w:r>
      <w:r>
        <w:rPr>
          <w:spacing w:val="-1"/>
          <w:w w:val="99"/>
          <w:sz w:val="25"/>
        </w:rPr>
        <w:t>a</w:t>
      </w:r>
      <w:r>
        <w:rPr>
          <w:w w:val="99"/>
          <w:sz w:val="25"/>
        </w:rPr>
        <w:t>nd</w:t>
      </w:r>
      <w:r>
        <w:rPr>
          <w:sz w:val="25"/>
        </w:rPr>
        <w:t> </w:t>
      </w:r>
      <w:r>
        <w:rPr>
          <w:spacing w:val="14"/>
          <w:sz w:val="25"/>
        </w:rPr>
        <w:t> </w:t>
      </w:r>
      <w:r>
        <w:rPr>
          <w:w w:val="99"/>
          <w:sz w:val="25"/>
        </w:rPr>
        <w:t>cust</w:t>
      </w:r>
      <w:r>
        <w:rPr>
          <w:spacing w:val="-2"/>
          <w:w w:val="99"/>
          <w:sz w:val="25"/>
        </w:rPr>
        <w:t>o</w:t>
      </w:r>
      <w:r>
        <w:rPr>
          <w:spacing w:val="3"/>
          <w:w w:val="99"/>
          <w:sz w:val="25"/>
        </w:rPr>
        <w:t>m</w:t>
      </w:r>
      <w:r>
        <w:rPr>
          <w:w w:val="80"/>
          <w:sz w:val="25"/>
        </w:rPr>
        <w:t>‖</w:t>
      </w:r>
      <w:r>
        <w:rPr>
          <w:sz w:val="25"/>
        </w:rPr>
        <w:t> </w:t>
      </w:r>
      <w:r>
        <w:rPr>
          <w:spacing w:val="17"/>
          <w:sz w:val="25"/>
        </w:rPr>
        <w:t> </w:t>
      </w:r>
      <w:r>
        <w:rPr>
          <w:spacing w:val="-1"/>
          <w:w w:val="99"/>
          <w:sz w:val="25"/>
        </w:rPr>
        <w:t>a</w:t>
      </w:r>
      <w:r>
        <w:rPr>
          <w:w w:val="99"/>
          <w:sz w:val="25"/>
        </w:rPr>
        <w:t>t</w:t>
      </w:r>
      <w:r>
        <w:rPr>
          <w:sz w:val="25"/>
        </w:rPr>
        <w:t> </w:t>
      </w:r>
      <w:r>
        <w:rPr>
          <w:spacing w:val="15"/>
          <w:sz w:val="25"/>
        </w:rPr>
        <w:t> </w:t>
      </w:r>
      <w:r>
        <w:rPr>
          <w:w w:val="99"/>
          <w:sz w:val="25"/>
        </w:rPr>
        <w:t>the </w:t>
      </w:r>
      <w:r>
        <w:rPr>
          <w:sz w:val="25"/>
        </w:rPr>
        <w:t>Janmabhumi</w:t>
      </w:r>
      <w:r>
        <w:rPr>
          <w:spacing w:val="-2"/>
          <w:sz w:val="25"/>
        </w:rPr>
        <w:t> </w:t>
      </w:r>
      <w:r>
        <w:rPr>
          <w:sz w:val="25"/>
        </w:rPr>
        <w:t>temple;</w:t>
      </w:r>
    </w:p>
    <w:p>
      <w:pPr>
        <w:pStyle w:val="ListParagraph"/>
        <w:numPr>
          <w:ilvl w:val="0"/>
          <w:numId w:val="72"/>
        </w:numPr>
        <w:tabs>
          <w:tab w:pos="1221" w:val="left" w:leader="none"/>
        </w:tabs>
        <w:spacing w:line="480" w:lineRule="auto" w:before="2" w:after="0"/>
        <w:ind w:left="1220" w:right="440" w:hanging="720"/>
        <w:jc w:val="both"/>
        <w:rPr>
          <w:sz w:val="25"/>
        </w:rPr>
      </w:pPr>
      <w:r>
        <w:rPr>
          <w:sz w:val="25"/>
        </w:rPr>
        <w:t>On 3 March 1951, the </w:t>
      </w:r>
      <w:r>
        <w:rPr>
          <w:spacing w:val="-3"/>
          <w:sz w:val="25"/>
        </w:rPr>
        <w:t>Trial </w:t>
      </w:r>
      <w:r>
        <w:rPr>
          <w:sz w:val="25"/>
        </w:rPr>
        <w:t>Court confirmed the ad-interim order dated 19 January</w:t>
      </w:r>
      <w:r>
        <w:rPr>
          <w:spacing w:val="31"/>
          <w:sz w:val="25"/>
        </w:rPr>
        <w:t> </w:t>
      </w:r>
      <w:r>
        <w:rPr>
          <w:sz w:val="25"/>
        </w:rPr>
        <w:t>1950</w:t>
      </w:r>
      <w:r>
        <w:rPr>
          <w:spacing w:val="33"/>
          <w:sz w:val="25"/>
        </w:rPr>
        <w:t> </w:t>
      </w:r>
      <w:r>
        <w:rPr>
          <w:sz w:val="25"/>
        </w:rPr>
        <w:t>passed</w:t>
      </w:r>
      <w:r>
        <w:rPr>
          <w:spacing w:val="33"/>
          <w:sz w:val="25"/>
        </w:rPr>
        <w:t> </w:t>
      </w:r>
      <w:r>
        <w:rPr>
          <w:sz w:val="25"/>
        </w:rPr>
        <w:t>in</w:t>
      </w:r>
      <w:r>
        <w:rPr>
          <w:spacing w:val="34"/>
          <w:sz w:val="25"/>
        </w:rPr>
        <w:t> </w:t>
      </w:r>
      <w:r>
        <w:rPr>
          <w:sz w:val="25"/>
        </w:rPr>
        <w:t>Suit</w:t>
      </w:r>
      <w:r>
        <w:rPr>
          <w:spacing w:val="35"/>
          <w:sz w:val="25"/>
        </w:rPr>
        <w:t> </w:t>
      </w:r>
      <w:r>
        <w:rPr>
          <w:sz w:val="25"/>
        </w:rPr>
        <w:t>1</w:t>
      </w:r>
      <w:r>
        <w:rPr>
          <w:spacing w:val="34"/>
          <w:sz w:val="25"/>
        </w:rPr>
        <w:t> </w:t>
      </w:r>
      <w:r>
        <w:rPr>
          <w:sz w:val="25"/>
        </w:rPr>
        <w:t>by</w:t>
      </w:r>
      <w:r>
        <w:rPr>
          <w:spacing w:val="33"/>
          <w:sz w:val="25"/>
        </w:rPr>
        <w:t> </w:t>
      </w:r>
      <w:r>
        <w:rPr>
          <w:sz w:val="25"/>
        </w:rPr>
        <w:t>which</w:t>
      </w:r>
      <w:r>
        <w:rPr>
          <w:spacing w:val="43"/>
          <w:sz w:val="25"/>
        </w:rPr>
        <w:t> </w:t>
      </w:r>
      <w:r>
        <w:rPr>
          <w:sz w:val="25"/>
        </w:rPr>
        <w:t>the</w:t>
      </w:r>
      <w:r>
        <w:rPr>
          <w:spacing w:val="34"/>
          <w:sz w:val="25"/>
        </w:rPr>
        <w:t> </w:t>
      </w:r>
      <w:r>
        <w:rPr>
          <w:sz w:val="25"/>
        </w:rPr>
        <w:t>injunction</w:t>
      </w:r>
      <w:r>
        <w:rPr>
          <w:spacing w:val="33"/>
          <w:sz w:val="25"/>
        </w:rPr>
        <w:t> </w:t>
      </w:r>
      <w:r>
        <w:rPr>
          <w:sz w:val="25"/>
        </w:rPr>
        <w:t>was</w:t>
      </w:r>
      <w:r>
        <w:rPr>
          <w:spacing w:val="34"/>
          <w:sz w:val="25"/>
        </w:rPr>
        <w:t> </w:t>
      </w:r>
      <w:r>
        <w:rPr>
          <w:sz w:val="25"/>
        </w:rPr>
        <w:t>modified</w:t>
      </w:r>
      <w:r>
        <w:rPr>
          <w:spacing w:val="67"/>
          <w:sz w:val="25"/>
        </w:rPr>
        <w:t> </w:t>
      </w:r>
      <w:r>
        <w:rPr>
          <w:sz w:val="25"/>
        </w:rPr>
        <w:t>to</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39"/>
        <w:jc w:val="both"/>
      </w:pPr>
      <w:r>
        <w:rPr/>
        <w:t>prevent the idols from being removed from the disputed site and from causing interference in the performance of puja. The trial judge referred to the affidavits of certain Muslim residents of Ayodhya and stated that at </w:t>
      </w:r>
      <w:r>
        <w:rPr>
          <w:spacing w:val="-1"/>
          <w:w w:val="99"/>
        </w:rPr>
        <w:t>leas</w:t>
      </w:r>
      <w:r>
        <w:rPr>
          <w:w w:val="99"/>
        </w:rPr>
        <w:t>t</w:t>
      </w:r>
      <w:r>
        <w:rPr>
          <w:spacing w:val="14"/>
        </w:rPr>
        <w:t> </w:t>
      </w:r>
      <w:r>
        <w:rPr>
          <w:w w:val="99"/>
        </w:rPr>
        <w:t>fr</w:t>
      </w:r>
      <w:r>
        <w:rPr>
          <w:spacing w:val="-1"/>
          <w:w w:val="99"/>
        </w:rPr>
        <w:t>o</w:t>
      </w:r>
      <w:r>
        <w:rPr>
          <w:w w:val="99"/>
        </w:rPr>
        <w:t>m</w:t>
      </w:r>
      <w:r>
        <w:rPr>
          <w:spacing w:val="15"/>
        </w:rPr>
        <w:t> </w:t>
      </w:r>
      <w:r>
        <w:rPr>
          <w:spacing w:val="-1"/>
          <w:w w:val="99"/>
        </w:rPr>
        <w:t>1</w:t>
      </w:r>
      <w:r>
        <w:rPr>
          <w:w w:val="99"/>
        </w:rPr>
        <w:t>9</w:t>
      </w:r>
      <w:r>
        <w:rPr>
          <w:spacing w:val="-1"/>
          <w:w w:val="99"/>
        </w:rPr>
        <w:t>3</w:t>
      </w:r>
      <w:r>
        <w:rPr>
          <w:w w:val="99"/>
        </w:rPr>
        <w:t>6</w:t>
      </w:r>
      <w:r>
        <w:rPr>
          <w:spacing w:val="14"/>
        </w:rPr>
        <w:t> </w:t>
      </w:r>
      <w:r>
        <w:rPr>
          <w:w w:val="33"/>
        </w:rPr>
        <w:t>―</w:t>
      </w:r>
      <w:r>
        <w:rPr>
          <w:w w:val="99"/>
        </w:rPr>
        <w:t>the</w:t>
      </w:r>
      <w:r>
        <w:rPr>
          <w:spacing w:val="12"/>
        </w:rPr>
        <w:t> </w:t>
      </w:r>
      <w:r>
        <w:rPr>
          <w:spacing w:val="-2"/>
          <w:w w:val="99"/>
        </w:rPr>
        <w:t>M</w:t>
      </w:r>
      <w:r>
        <w:rPr>
          <w:spacing w:val="-1"/>
          <w:w w:val="99"/>
        </w:rPr>
        <w:t>usli</w:t>
      </w:r>
      <w:r>
        <w:rPr>
          <w:w w:val="99"/>
        </w:rPr>
        <w:t>ms</w:t>
      </w:r>
      <w:r>
        <w:rPr>
          <w:spacing w:val="14"/>
        </w:rPr>
        <w:t> </w:t>
      </w:r>
      <w:r>
        <w:rPr>
          <w:spacing w:val="-1"/>
          <w:w w:val="99"/>
        </w:rPr>
        <w:t>h</w:t>
      </w:r>
      <w:r>
        <w:rPr>
          <w:spacing w:val="2"/>
          <w:w w:val="99"/>
        </w:rPr>
        <w:t>a</w:t>
      </w:r>
      <w:r>
        <w:rPr>
          <w:spacing w:val="-3"/>
          <w:w w:val="99"/>
        </w:rPr>
        <w:t>v</w:t>
      </w:r>
      <w:r>
        <w:rPr>
          <w:w w:val="99"/>
        </w:rPr>
        <w:t>e</w:t>
      </w:r>
      <w:r>
        <w:rPr>
          <w:spacing w:val="14"/>
        </w:rPr>
        <w:t> </w:t>
      </w:r>
      <w:r>
        <w:rPr>
          <w:spacing w:val="-1"/>
          <w:w w:val="99"/>
        </w:rPr>
        <w:t>n</w:t>
      </w:r>
      <w:r>
        <w:rPr>
          <w:w w:val="99"/>
        </w:rPr>
        <w:t>e</w:t>
      </w:r>
      <w:r>
        <w:rPr>
          <w:spacing w:val="-1"/>
          <w:w w:val="99"/>
        </w:rPr>
        <w:t>ith</w:t>
      </w:r>
      <w:r>
        <w:rPr>
          <w:w w:val="99"/>
        </w:rPr>
        <w:t>er</w:t>
      </w:r>
      <w:r>
        <w:rPr>
          <w:spacing w:val="17"/>
        </w:rPr>
        <w:t> </w:t>
      </w:r>
      <w:r>
        <w:rPr>
          <w:spacing w:val="-1"/>
          <w:w w:val="99"/>
        </w:rPr>
        <w:t>us</w:t>
      </w:r>
      <w:r>
        <w:rPr>
          <w:w w:val="99"/>
        </w:rPr>
        <w:t>ed</w:t>
      </w:r>
      <w:r>
        <w:rPr>
          <w:spacing w:val="14"/>
        </w:rPr>
        <w:t> </w:t>
      </w:r>
      <w:r>
        <w:rPr>
          <w:w w:val="99"/>
        </w:rPr>
        <w:t>this</w:t>
      </w:r>
      <w:r>
        <w:rPr>
          <w:spacing w:val="14"/>
        </w:rPr>
        <w:t> </w:t>
      </w:r>
      <w:r>
        <w:rPr>
          <w:w w:val="99"/>
        </w:rPr>
        <w:t>site</w:t>
      </w:r>
      <w:r>
        <w:rPr>
          <w:spacing w:val="14"/>
        </w:rPr>
        <w:t> </w:t>
      </w:r>
      <w:r>
        <w:rPr>
          <w:spacing w:val="-1"/>
          <w:w w:val="99"/>
        </w:rPr>
        <w:t>a</w:t>
      </w:r>
      <w:r>
        <w:rPr>
          <w:w w:val="99"/>
        </w:rPr>
        <w:t>s</w:t>
      </w:r>
      <w:r>
        <w:rPr>
          <w:spacing w:val="14"/>
        </w:rPr>
        <w:t> </w:t>
      </w:r>
      <w:r>
        <w:rPr>
          <w:w w:val="99"/>
        </w:rPr>
        <w:t>a</w:t>
      </w:r>
      <w:r>
        <w:rPr>
          <w:spacing w:val="14"/>
        </w:rPr>
        <w:t> </w:t>
      </w:r>
      <w:r>
        <w:rPr>
          <w:w w:val="99"/>
        </w:rPr>
        <w:t>m</w:t>
      </w:r>
      <w:r>
        <w:rPr>
          <w:spacing w:val="-1"/>
          <w:w w:val="99"/>
        </w:rPr>
        <w:t>os</w:t>
      </w:r>
      <w:r>
        <w:rPr>
          <w:w w:val="99"/>
        </w:rPr>
        <w:t>q</w:t>
      </w:r>
      <w:r>
        <w:rPr>
          <w:spacing w:val="-1"/>
          <w:w w:val="99"/>
        </w:rPr>
        <w:t>u</w:t>
      </w:r>
      <w:r>
        <w:rPr>
          <w:w w:val="99"/>
        </w:rPr>
        <w:t>e</w:t>
      </w:r>
      <w:r>
        <w:rPr>
          <w:spacing w:val="14"/>
        </w:rPr>
        <w:t> </w:t>
      </w:r>
      <w:r>
        <w:rPr>
          <w:spacing w:val="-1"/>
          <w:w w:val="99"/>
        </w:rPr>
        <w:t>n</w:t>
      </w:r>
      <w:r>
        <w:rPr>
          <w:w w:val="99"/>
        </w:rPr>
        <w:t>or </w:t>
      </w:r>
      <w:r>
        <w:rPr>
          <w:spacing w:val="-1"/>
          <w:w w:val="99"/>
        </w:rPr>
        <w:t>o</w:t>
      </w:r>
      <w:r>
        <w:rPr>
          <w:spacing w:val="-5"/>
          <w:w w:val="99"/>
        </w:rPr>
        <w:t>f</w:t>
      </w:r>
      <w:r>
        <w:rPr>
          <w:w w:val="99"/>
        </w:rPr>
        <w:t>fe</w:t>
      </w:r>
      <w:r>
        <w:rPr>
          <w:spacing w:val="1"/>
          <w:w w:val="99"/>
        </w:rPr>
        <w:t>r</w:t>
      </w:r>
      <w:r>
        <w:rPr>
          <w:spacing w:val="-1"/>
          <w:w w:val="99"/>
        </w:rPr>
        <w:t>e</w:t>
      </w:r>
      <w:r>
        <w:rPr>
          <w:w w:val="99"/>
        </w:rPr>
        <w:t>d</w:t>
      </w:r>
      <w:r>
        <w:rPr/>
        <w:t> </w:t>
      </w:r>
      <w:r>
        <w:rPr>
          <w:spacing w:val="-17"/>
        </w:rPr>
        <w:t> </w:t>
      </w:r>
      <w:r>
        <w:rPr>
          <w:spacing w:val="-1"/>
          <w:w w:val="99"/>
        </w:rPr>
        <w:t>p</w:t>
      </w:r>
      <w:r>
        <w:rPr>
          <w:w w:val="99"/>
        </w:rPr>
        <w:t>r</w:t>
      </w:r>
      <w:r>
        <w:rPr>
          <w:spacing w:val="-1"/>
          <w:w w:val="99"/>
        </w:rPr>
        <w:t>a</w:t>
      </w:r>
      <w:r>
        <w:rPr>
          <w:spacing w:val="-3"/>
          <w:w w:val="99"/>
        </w:rPr>
        <w:t>y</w:t>
      </w:r>
      <w:r>
        <w:rPr>
          <w:spacing w:val="-1"/>
          <w:w w:val="99"/>
        </w:rPr>
        <w:t>e</w:t>
      </w:r>
      <w:r>
        <w:rPr>
          <w:w w:val="99"/>
        </w:rPr>
        <w:t>rs</w:t>
      </w:r>
      <w:r>
        <w:rPr/>
        <w:t> </w:t>
      </w:r>
      <w:r>
        <w:rPr>
          <w:spacing w:val="-17"/>
        </w:rPr>
        <w:t> </w:t>
      </w:r>
      <w:r>
        <w:rPr>
          <w:w w:val="99"/>
        </w:rPr>
        <w:t>ther</w:t>
      </w:r>
      <w:r>
        <w:rPr>
          <w:spacing w:val="-3"/>
          <w:w w:val="99"/>
        </w:rPr>
        <w:t>e</w:t>
      </w:r>
      <w:r>
        <w:rPr>
          <w:w w:val="80"/>
        </w:rPr>
        <w:t>‖</w:t>
      </w:r>
      <w:r>
        <w:rPr/>
        <w:t> </w:t>
      </w:r>
      <w:r>
        <w:rPr>
          <w:spacing w:val="-17"/>
        </w:rPr>
        <w:t> </w:t>
      </w:r>
      <w:r>
        <w:rPr>
          <w:spacing w:val="-1"/>
          <w:w w:val="99"/>
        </w:rPr>
        <w:t>a</w:t>
      </w:r>
      <w:r>
        <w:rPr>
          <w:w w:val="99"/>
        </w:rPr>
        <w:t>nd</w:t>
      </w:r>
      <w:r>
        <w:rPr/>
        <w:t> </w:t>
      </w:r>
      <w:r>
        <w:rPr>
          <w:spacing w:val="-17"/>
        </w:rPr>
        <w:t> </w:t>
      </w:r>
      <w:r>
        <w:rPr>
          <w:w w:val="33"/>
        </w:rPr>
        <w:t>―</w:t>
      </w:r>
      <w:r>
        <w:rPr>
          <w:w w:val="99"/>
        </w:rPr>
        <w:t>t</w:t>
      </w:r>
      <w:r>
        <w:rPr>
          <w:spacing w:val="-2"/>
          <w:w w:val="99"/>
        </w:rPr>
        <w:t>h</w:t>
      </w:r>
      <w:r>
        <w:rPr>
          <w:w w:val="99"/>
        </w:rPr>
        <w:t>e</w:t>
      </w:r>
      <w:r>
        <w:rPr/>
        <w:t> </w:t>
      </w:r>
      <w:r>
        <w:rPr>
          <w:spacing w:val="-17"/>
        </w:rPr>
        <w:t> </w:t>
      </w:r>
      <w:r>
        <w:rPr>
          <w:spacing w:val="-1"/>
          <w:w w:val="99"/>
        </w:rPr>
        <w:t>a</w:t>
      </w:r>
      <w:r>
        <w:rPr>
          <w:spacing w:val="-5"/>
          <w:w w:val="99"/>
        </w:rPr>
        <w:t>f</w:t>
      </w:r>
      <w:r>
        <w:rPr>
          <w:w w:val="99"/>
        </w:rPr>
        <w:t>fida</w:t>
      </w:r>
      <w:r>
        <w:rPr>
          <w:spacing w:val="-3"/>
          <w:w w:val="99"/>
        </w:rPr>
        <w:t>v</w:t>
      </w:r>
      <w:r>
        <w:rPr>
          <w:spacing w:val="-1"/>
          <w:w w:val="99"/>
        </w:rPr>
        <w:t>it</w:t>
      </w:r>
      <w:r>
        <w:rPr>
          <w:w w:val="99"/>
        </w:rPr>
        <w:t>s</w:t>
      </w:r>
      <w:r>
        <w:rPr/>
        <w:t> </w:t>
      </w:r>
      <w:r>
        <w:rPr>
          <w:spacing w:val="-17"/>
        </w:rPr>
        <w:t> </w:t>
      </w:r>
      <w:r>
        <w:rPr>
          <w:w w:val="99"/>
        </w:rPr>
        <w:t>r</w:t>
      </w:r>
      <w:r>
        <w:rPr>
          <w:spacing w:val="-1"/>
          <w:w w:val="99"/>
        </w:rPr>
        <w:t>ef</w:t>
      </w:r>
      <w:r>
        <w:rPr>
          <w:w w:val="99"/>
        </w:rPr>
        <w:t>err</w:t>
      </w:r>
      <w:r>
        <w:rPr>
          <w:spacing w:val="-1"/>
          <w:w w:val="99"/>
        </w:rPr>
        <w:t>e</w:t>
      </w:r>
      <w:r>
        <w:rPr>
          <w:w w:val="99"/>
        </w:rPr>
        <w:t>d</w:t>
      </w:r>
      <w:r>
        <w:rPr/>
        <w:t> </w:t>
      </w:r>
      <w:r>
        <w:rPr>
          <w:spacing w:val="-12"/>
        </w:rPr>
        <w:t> </w:t>
      </w:r>
      <w:r>
        <w:rPr>
          <w:w w:val="99"/>
        </w:rPr>
        <w:t>do</w:t>
      </w:r>
      <w:r>
        <w:rPr/>
        <w:t> </w:t>
      </w:r>
      <w:r>
        <w:rPr>
          <w:spacing w:val="-17"/>
        </w:rPr>
        <w:t> </w:t>
      </w:r>
      <w:r>
        <w:rPr>
          <w:w w:val="99"/>
        </w:rPr>
        <w:t>m</w:t>
      </w:r>
      <w:r>
        <w:rPr>
          <w:spacing w:val="-1"/>
          <w:w w:val="99"/>
        </w:rPr>
        <w:t>ak</w:t>
      </w:r>
      <w:r>
        <w:rPr>
          <w:w w:val="99"/>
        </w:rPr>
        <w:t>e</w:t>
      </w:r>
      <w:r>
        <w:rPr/>
        <w:t> </w:t>
      </w:r>
      <w:r>
        <w:rPr>
          <w:spacing w:val="-19"/>
        </w:rPr>
        <w:t> </w:t>
      </w:r>
      <w:r>
        <w:rPr>
          <w:spacing w:val="-1"/>
          <w:w w:val="99"/>
        </w:rPr>
        <w:t>o</w:t>
      </w:r>
      <w:r>
        <w:rPr>
          <w:spacing w:val="-2"/>
          <w:w w:val="99"/>
        </w:rPr>
        <w:t>u</w:t>
      </w:r>
      <w:r>
        <w:rPr>
          <w:w w:val="99"/>
        </w:rPr>
        <w:t>t</w:t>
      </w:r>
      <w:r>
        <w:rPr/>
        <w:t> </w:t>
      </w:r>
      <w:r>
        <w:rPr>
          <w:spacing w:val="-17"/>
        </w:rPr>
        <w:t> </w:t>
      </w:r>
      <w:r>
        <w:rPr>
          <w:w w:val="99"/>
        </w:rPr>
        <w:t>a</w:t>
      </w:r>
      <w:r>
        <w:rPr/>
        <w:t> </w:t>
      </w:r>
      <w:r>
        <w:rPr>
          <w:spacing w:val="-15"/>
        </w:rPr>
        <w:t> </w:t>
      </w:r>
      <w:r>
        <w:rPr>
          <w:i/>
          <w:spacing w:val="-1"/>
          <w:w w:val="99"/>
        </w:rPr>
        <w:t>p</w:t>
      </w:r>
      <w:r>
        <w:rPr>
          <w:i/>
          <w:w w:val="99"/>
        </w:rPr>
        <w:t>r</w:t>
      </w:r>
      <w:r>
        <w:rPr>
          <w:i/>
          <w:spacing w:val="-1"/>
          <w:w w:val="99"/>
        </w:rPr>
        <w:t>i</w:t>
      </w:r>
      <w:r>
        <w:rPr>
          <w:i/>
          <w:spacing w:val="-5"/>
          <w:w w:val="99"/>
        </w:rPr>
        <w:t>m</w:t>
      </w:r>
      <w:r>
        <w:rPr>
          <w:i/>
          <w:w w:val="99"/>
        </w:rPr>
        <w:t>a</w:t>
      </w:r>
      <w:r>
        <w:rPr>
          <w:i/>
          <w:w w:val="99"/>
        </w:rPr>
        <w:t> </w:t>
      </w:r>
      <w:r>
        <w:rPr>
          <w:i/>
        </w:rPr>
        <w:t>facie </w:t>
      </w:r>
      <w:r>
        <w:rPr/>
        <w:t>case in favour of the plaintiff‖. The above order was confirmed by a Division Bench of the High Court of Allahabad in appeal on 26 April 1955, though the High Court made an observation that taking on record the affidavits after the judgment had been reserved, was not</w:t>
      </w:r>
      <w:r>
        <w:rPr>
          <w:spacing w:val="-17"/>
        </w:rPr>
        <w:t> </w:t>
      </w:r>
      <w:r>
        <w:rPr/>
        <w:t>correct;</w:t>
      </w:r>
    </w:p>
    <w:p>
      <w:pPr>
        <w:pStyle w:val="ListParagraph"/>
        <w:numPr>
          <w:ilvl w:val="0"/>
          <w:numId w:val="72"/>
        </w:numPr>
        <w:tabs>
          <w:tab w:pos="1221" w:val="left" w:leader="none"/>
        </w:tabs>
        <w:spacing w:line="480" w:lineRule="auto" w:before="0" w:after="0"/>
        <w:ind w:left="1220" w:right="438" w:hanging="720"/>
        <w:jc w:val="both"/>
        <w:rPr>
          <w:sz w:val="25"/>
        </w:rPr>
      </w:pPr>
      <w:r>
        <w:rPr>
          <w:sz w:val="25"/>
        </w:rPr>
        <w:t>Despite the publication of public notices in three newspapers calling objections with respect to the Section 145 proceedings, none of the Muslim defendants filed any contrary</w:t>
      </w:r>
      <w:r>
        <w:rPr>
          <w:spacing w:val="-7"/>
          <w:sz w:val="25"/>
        </w:rPr>
        <w:t> </w:t>
      </w:r>
      <w:r>
        <w:rPr>
          <w:sz w:val="25"/>
        </w:rPr>
        <w:t>statements;</w:t>
      </w:r>
    </w:p>
    <w:p>
      <w:pPr>
        <w:pStyle w:val="ListParagraph"/>
        <w:numPr>
          <w:ilvl w:val="0"/>
          <w:numId w:val="72"/>
        </w:numPr>
        <w:tabs>
          <w:tab w:pos="1221" w:val="left" w:leader="none"/>
        </w:tabs>
        <w:spacing w:line="480" w:lineRule="auto" w:before="1" w:after="0"/>
        <w:ind w:left="1220" w:right="436" w:hanging="720"/>
        <w:jc w:val="both"/>
        <w:rPr>
          <w:sz w:val="25"/>
        </w:rPr>
      </w:pPr>
      <w:r>
        <w:rPr>
          <w:sz w:val="25"/>
        </w:rPr>
        <w:t>These affidavits have corroborative value: when defendant nos 1 to 5 filed their written statements in Suit 1 on 21 February 1950, despite having knowledge of the affidavits filed in the Section 145 proceedings, they did not object to the stand taken by</w:t>
      </w:r>
      <w:r>
        <w:rPr>
          <w:spacing w:val="-7"/>
          <w:sz w:val="25"/>
        </w:rPr>
        <w:t> </w:t>
      </w:r>
      <w:r>
        <w:rPr>
          <w:sz w:val="25"/>
        </w:rPr>
        <w:t>Muslims;</w:t>
      </w:r>
    </w:p>
    <w:p>
      <w:pPr>
        <w:pStyle w:val="ListParagraph"/>
        <w:numPr>
          <w:ilvl w:val="0"/>
          <w:numId w:val="72"/>
        </w:numPr>
        <w:tabs>
          <w:tab w:pos="1221" w:val="left" w:leader="none"/>
        </w:tabs>
        <w:spacing w:line="480" w:lineRule="auto" w:before="0" w:after="0"/>
        <w:ind w:left="1220" w:right="442" w:hanging="720"/>
        <w:jc w:val="both"/>
        <w:rPr>
          <w:sz w:val="25"/>
        </w:rPr>
      </w:pPr>
      <w:r>
        <w:rPr>
          <w:sz w:val="25"/>
        </w:rPr>
        <w:t>Before the High Court, the affidavits had been brought on record in the present suit and were duly exhibited. They form part of relevant historical facts and could not be rejected</w:t>
      </w:r>
      <w:r>
        <w:rPr>
          <w:spacing w:val="-7"/>
          <w:sz w:val="25"/>
        </w:rPr>
        <w:t> </w:t>
      </w:r>
      <w:r>
        <w:rPr>
          <w:sz w:val="25"/>
        </w:rPr>
        <w:t>outright;</w:t>
      </w:r>
    </w:p>
    <w:p>
      <w:pPr>
        <w:pStyle w:val="ListParagraph"/>
        <w:numPr>
          <w:ilvl w:val="0"/>
          <w:numId w:val="72"/>
        </w:numPr>
        <w:tabs>
          <w:tab w:pos="1221" w:val="left" w:leader="none"/>
        </w:tabs>
        <w:spacing w:line="480" w:lineRule="auto" w:before="1" w:after="0"/>
        <w:ind w:left="1220" w:right="441" w:hanging="720"/>
        <w:jc w:val="both"/>
        <w:rPr>
          <w:sz w:val="25"/>
        </w:rPr>
      </w:pPr>
      <w:r>
        <w:rPr>
          <w:sz w:val="25"/>
        </w:rPr>
        <w:t>Defendant nos 1 to 5 filed an application praying that Suit 1 be treated as a representative suit under Order I Rule 8, which was opposed by the plaintiff. The Civil Judge by an order dated 27 October dismissed the application;</w:t>
      </w:r>
    </w:p>
    <w:p>
      <w:pPr>
        <w:spacing w:after="0" w:line="480" w:lineRule="auto"/>
        <w:jc w:val="both"/>
        <w:rPr>
          <w:sz w:val="25"/>
        </w:rPr>
        <w:sectPr>
          <w:pgSz w:w="11910" w:h="16840"/>
          <w:pgMar w:header="721" w:footer="1014" w:top="1300" w:bottom="1200" w:left="940" w:right="1000"/>
        </w:sectPr>
      </w:pPr>
    </w:p>
    <w:p>
      <w:pPr>
        <w:pStyle w:val="ListParagraph"/>
        <w:numPr>
          <w:ilvl w:val="0"/>
          <w:numId w:val="72"/>
        </w:numPr>
        <w:tabs>
          <w:tab w:pos="1221" w:val="left" w:leader="none"/>
        </w:tabs>
        <w:spacing w:line="480" w:lineRule="auto" w:before="124" w:after="0"/>
        <w:ind w:left="1220" w:right="441" w:hanging="720"/>
        <w:jc w:val="both"/>
        <w:rPr>
          <w:sz w:val="25"/>
        </w:rPr>
      </w:pPr>
      <w:r>
        <w:rPr>
          <w:sz w:val="25"/>
        </w:rPr>
        <w:t>During the course of arguments before this Court, in the exhibits relied upon by the Sunni Central Waqf Board to show possession from 1858 the </w:t>
      </w:r>
      <w:r>
        <w:rPr>
          <w:spacing w:val="-1"/>
          <w:w w:val="99"/>
          <w:sz w:val="25"/>
        </w:rPr>
        <w:t>disp</w:t>
      </w:r>
      <w:r>
        <w:rPr>
          <w:w w:val="99"/>
          <w:sz w:val="25"/>
        </w:rPr>
        <w:t>uted</w:t>
      </w:r>
      <w:r>
        <w:rPr>
          <w:sz w:val="25"/>
        </w:rPr>
        <w:t> </w:t>
      </w:r>
      <w:r>
        <w:rPr>
          <w:spacing w:val="-26"/>
          <w:sz w:val="25"/>
        </w:rPr>
        <w:t> </w:t>
      </w:r>
      <w:r>
        <w:rPr>
          <w:w w:val="99"/>
          <w:sz w:val="25"/>
        </w:rPr>
        <w:t>site</w:t>
      </w:r>
      <w:r>
        <w:rPr>
          <w:sz w:val="25"/>
        </w:rPr>
        <w:t> </w:t>
      </w:r>
      <w:r>
        <w:rPr>
          <w:spacing w:val="-26"/>
          <w:sz w:val="25"/>
        </w:rPr>
        <w:t> </w:t>
      </w:r>
      <w:r>
        <w:rPr>
          <w:spacing w:val="-1"/>
          <w:w w:val="99"/>
          <w:sz w:val="25"/>
        </w:rPr>
        <w:t>h</w:t>
      </w:r>
      <w:r>
        <w:rPr>
          <w:w w:val="99"/>
          <w:sz w:val="25"/>
        </w:rPr>
        <w:t>as</w:t>
      </w:r>
      <w:r>
        <w:rPr>
          <w:sz w:val="25"/>
        </w:rPr>
        <w:t> </w:t>
      </w:r>
      <w:r>
        <w:rPr>
          <w:spacing w:val="-27"/>
          <w:sz w:val="25"/>
        </w:rPr>
        <w:t> </w:t>
      </w:r>
      <w:r>
        <w:rPr>
          <w:spacing w:val="-1"/>
          <w:w w:val="99"/>
          <w:sz w:val="25"/>
        </w:rPr>
        <w:t>b</w:t>
      </w:r>
      <w:r>
        <w:rPr>
          <w:spacing w:val="-2"/>
          <w:w w:val="99"/>
          <w:sz w:val="25"/>
        </w:rPr>
        <w:t>e</w:t>
      </w:r>
      <w:r>
        <w:rPr>
          <w:spacing w:val="-1"/>
          <w:w w:val="99"/>
          <w:sz w:val="25"/>
        </w:rPr>
        <w:t>e</w:t>
      </w:r>
      <w:r>
        <w:rPr>
          <w:w w:val="99"/>
          <w:sz w:val="25"/>
        </w:rPr>
        <w:t>n</w:t>
      </w:r>
      <w:r>
        <w:rPr>
          <w:sz w:val="25"/>
        </w:rPr>
        <w:t> </w:t>
      </w:r>
      <w:r>
        <w:rPr>
          <w:spacing w:val="-26"/>
          <w:sz w:val="25"/>
        </w:rPr>
        <w:t> </w:t>
      </w:r>
      <w:r>
        <w:rPr>
          <w:w w:val="99"/>
          <w:sz w:val="25"/>
        </w:rPr>
        <w:t>r</w:t>
      </w:r>
      <w:r>
        <w:rPr>
          <w:spacing w:val="-1"/>
          <w:w w:val="99"/>
          <w:sz w:val="25"/>
        </w:rPr>
        <w:t>ef</w:t>
      </w:r>
      <w:r>
        <w:rPr>
          <w:w w:val="99"/>
          <w:sz w:val="25"/>
        </w:rPr>
        <w:t>e</w:t>
      </w:r>
      <w:r>
        <w:rPr>
          <w:spacing w:val="-2"/>
          <w:w w:val="99"/>
          <w:sz w:val="25"/>
        </w:rPr>
        <w:t>r</w:t>
      </w:r>
      <w:r>
        <w:rPr>
          <w:w w:val="99"/>
          <w:sz w:val="25"/>
        </w:rPr>
        <w:t>r</w:t>
      </w:r>
      <w:r>
        <w:rPr>
          <w:spacing w:val="-1"/>
          <w:w w:val="99"/>
          <w:sz w:val="25"/>
        </w:rPr>
        <w:t>e</w:t>
      </w:r>
      <w:r>
        <w:rPr>
          <w:w w:val="99"/>
          <w:sz w:val="25"/>
        </w:rPr>
        <w:t>d</w:t>
      </w:r>
      <w:r>
        <w:rPr>
          <w:sz w:val="25"/>
        </w:rPr>
        <w:t> </w:t>
      </w:r>
      <w:r>
        <w:rPr>
          <w:spacing w:val="-26"/>
          <w:sz w:val="25"/>
        </w:rPr>
        <w:t> </w:t>
      </w:r>
      <w:r>
        <w:rPr>
          <w:w w:val="99"/>
          <w:sz w:val="25"/>
        </w:rPr>
        <w:t>to</w:t>
      </w:r>
      <w:r>
        <w:rPr>
          <w:sz w:val="25"/>
        </w:rPr>
        <w:t> </w:t>
      </w:r>
      <w:r>
        <w:rPr>
          <w:spacing w:val="-26"/>
          <w:sz w:val="25"/>
        </w:rPr>
        <w:t> </w:t>
      </w:r>
      <w:r>
        <w:rPr>
          <w:spacing w:val="4"/>
          <w:w w:val="99"/>
          <w:sz w:val="25"/>
        </w:rPr>
        <w:t>a</w:t>
      </w:r>
      <w:r>
        <w:rPr>
          <w:w w:val="99"/>
          <w:sz w:val="25"/>
        </w:rPr>
        <w:t>s</w:t>
      </w:r>
      <w:r>
        <w:rPr>
          <w:sz w:val="25"/>
        </w:rPr>
        <w:t> </w:t>
      </w:r>
      <w:r>
        <w:rPr>
          <w:spacing w:val="-29"/>
          <w:sz w:val="25"/>
        </w:rPr>
        <w:t> </w:t>
      </w:r>
      <w:r>
        <w:rPr>
          <w:w w:val="33"/>
          <w:sz w:val="25"/>
        </w:rPr>
        <w:t>―</w:t>
      </w:r>
      <w:r>
        <w:rPr>
          <w:w w:val="99"/>
          <w:sz w:val="25"/>
        </w:rPr>
        <w:t>J</w:t>
      </w:r>
      <w:r>
        <w:rPr>
          <w:spacing w:val="-2"/>
          <w:w w:val="99"/>
          <w:sz w:val="25"/>
        </w:rPr>
        <w:t>a</w:t>
      </w:r>
      <w:r>
        <w:rPr>
          <w:spacing w:val="-1"/>
          <w:w w:val="99"/>
          <w:sz w:val="25"/>
        </w:rPr>
        <w:t>n</w:t>
      </w:r>
      <w:r>
        <w:rPr>
          <w:w w:val="99"/>
          <w:sz w:val="25"/>
        </w:rPr>
        <w:t>am</w:t>
      </w:r>
      <w:r>
        <w:rPr>
          <w:spacing w:val="29"/>
          <w:sz w:val="25"/>
        </w:rPr>
        <w:t> </w:t>
      </w:r>
      <w:r>
        <w:rPr>
          <w:spacing w:val="-1"/>
          <w:w w:val="99"/>
          <w:sz w:val="25"/>
        </w:rPr>
        <w:t>A</w:t>
      </w:r>
      <w:r>
        <w:rPr>
          <w:w w:val="99"/>
          <w:sz w:val="25"/>
        </w:rPr>
        <w:t>sthan</w:t>
      </w:r>
      <w:r>
        <w:rPr>
          <w:sz w:val="25"/>
        </w:rPr>
        <w:t> </w:t>
      </w:r>
      <w:r>
        <w:rPr>
          <w:spacing w:val="-26"/>
          <w:sz w:val="25"/>
        </w:rPr>
        <w:t> </w:t>
      </w:r>
      <w:r>
        <w:rPr>
          <w:spacing w:val="-4"/>
          <w:w w:val="99"/>
          <w:sz w:val="25"/>
        </w:rPr>
        <w:t>M</w:t>
      </w:r>
      <w:r>
        <w:rPr>
          <w:spacing w:val="-1"/>
          <w:w w:val="99"/>
          <w:sz w:val="25"/>
        </w:rPr>
        <w:t>a</w:t>
      </w:r>
      <w:r>
        <w:rPr>
          <w:spacing w:val="2"/>
          <w:w w:val="99"/>
          <w:sz w:val="25"/>
        </w:rPr>
        <w:t>s</w:t>
      </w:r>
      <w:r>
        <w:rPr>
          <w:spacing w:val="-1"/>
          <w:w w:val="94"/>
          <w:sz w:val="25"/>
        </w:rPr>
        <w:t>jid</w:t>
      </w:r>
      <w:r>
        <w:rPr>
          <w:w w:val="94"/>
          <w:sz w:val="25"/>
        </w:rPr>
        <w:t>‖</w:t>
      </w:r>
      <w:r>
        <w:rPr>
          <w:sz w:val="25"/>
        </w:rPr>
        <w:t> </w:t>
      </w:r>
      <w:r>
        <w:rPr>
          <w:spacing w:val="-26"/>
          <w:sz w:val="25"/>
        </w:rPr>
        <w:t> </w:t>
      </w:r>
      <w:r>
        <w:rPr>
          <w:spacing w:val="-1"/>
          <w:w w:val="99"/>
          <w:sz w:val="25"/>
        </w:rPr>
        <w:t>o</w:t>
      </w:r>
      <w:r>
        <w:rPr>
          <w:w w:val="99"/>
          <w:sz w:val="25"/>
        </w:rPr>
        <w:t>r</w:t>
      </w:r>
      <w:r>
        <w:rPr>
          <w:sz w:val="25"/>
        </w:rPr>
        <w:t> </w:t>
      </w:r>
      <w:r>
        <w:rPr>
          <w:spacing w:val="-26"/>
          <w:sz w:val="25"/>
        </w:rPr>
        <w:t> </w:t>
      </w:r>
      <w:r>
        <w:rPr>
          <w:w w:val="33"/>
          <w:sz w:val="25"/>
        </w:rPr>
        <w:t>―</w:t>
      </w:r>
      <w:r>
        <w:rPr>
          <w:spacing w:val="-4"/>
          <w:w w:val="99"/>
          <w:sz w:val="25"/>
        </w:rPr>
        <w:t>M</w:t>
      </w:r>
      <w:r>
        <w:rPr>
          <w:spacing w:val="-1"/>
          <w:w w:val="99"/>
          <w:sz w:val="25"/>
        </w:rPr>
        <w:t>asjid </w:t>
      </w:r>
      <w:r>
        <w:rPr>
          <w:sz w:val="25"/>
        </w:rPr>
        <w:t>Janam Asthan‖ signifying that the site was always referred to as the Janmasthan or birth-place of Lord</w:t>
      </w:r>
      <w:r>
        <w:rPr>
          <w:spacing w:val="-2"/>
          <w:sz w:val="25"/>
        </w:rPr>
        <w:t> </w:t>
      </w:r>
      <w:r>
        <w:rPr>
          <w:sz w:val="25"/>
        </w:rPr>
        <w:t>Ram;</w:t>
      </w:r>
    </w:p>
    <w:p>
      <w:pPr>
        <w:pStyle w:val="ListParagraph"/>
        <w:numPr>
          <w:ilvl w:val="0"/>
          <w:numId w:val="72"/>
        </w:numPr>
        <w:tabs>
          <w:tab w:pos="1221" w:val="left" w:leader="none"/>
        </w:tabs>
        <w:spacing w:line="480" w:lineRule="auto" w:before="0" w:after="0"/>
        <w:ind w:left="1220" w:right="435" w:hanging="720"/>
        <w:jc w:val="both"/>
        <w:rPr>
          <w:sz w:val="25"/>
        </w:rPr>
      </w:pPr>
      <w:r>
        <w:rPr>
          <w:w w:val="99"/>
          <w:sz w:val="25"/>
        </w:rPr>
        <w:t>T</w:t>
      </w:r>
      <w:r>
        <w:rPr>
          <w:spacing w:val="-1"/>
          <w:w w:val="99"/>
          <w:sz w:val="25"/>
        </w:rPr>
        <w:t>h</w:t>
      </w:r>
      <w:r>
        <w:rPr>
          <w:w w:val="99"/>
          <w:sz w:val="25"/>
        </w:rPr>
        <w:t>e</w:t>
      </w:r>
      <w:r>
        <w:rPr>
          <w:spacing w:val="9"/>
          <w:sz w:val="25"/>
        </w:rPr>
        <w:t> </w:t>
      </w:r>
      <w:r>
        <w:rPr>
          <w:w w:val="99"/>
          <w:sz w:val="25"/>
        </w:rPr>
        <w:t>r</w:t>
      </w:r>
      <w:r>
        <w:rPr>
          <w:spacing w:val="-1"/>
          <w:w w:val="99"/>
          <w:sz w:val="25"/>
        </w:rPr>
        <w:t>igh</w:t>
      </w:r>
      <w:r>
        <w:rPr>
          <w:w w:val="99"/>
          <w:sz w:val="25"/>
        </w:rPr>
        <w:t>t</w:t>
      </w:r>
      <w:r>
        <w:rPr>
          <w:spacing w:val="9"/>
          <w:sz w:val="25"/>
        </w:rPr>
        <w:t> </w:t>
      </w:r>
      <w:r>
        <w:rPr>
          <w:spacing w:val="-1"/>
          <w:w w:val="99"/>
          <w:sz w:val="25"/>
        </w:rPr>
        <w:t>o</w:t>
      </w:r>
      <w:r>
        <w:rPr>
          <w:w w:val="99"/>
          <w:sz w:val="25"/>
        </w:rPr>
        <w:t>f</w:t>
      </w:r>
      <w:r>
        <w:rPr>
          <w:spacing w:val="12"/>
          <w:sz w:val="25"/>
        </w:rPr>
        <w:t> </w:t>
      </w:r>
      <w:r>
        <w:rPr>
          <w:spacing w:val="-1"/>
          <w:w w:val="99"/>
          <w:sz w:val="25"/>
        </w:rPr>
        <w:t>e</w:t>
      </w:r>
      <w:r>
        <w:rPr>
          <w:w w:val="99"/>
          <w:sz w:val="25"/>
        </w:rPr>
        <w:t>ntry</w:t>
      </w:r>
      <w:r>
        <w:rPr>
          <w:spacing w:val="8"/>
          <w:sz w:val="25"/>
        </w:rPr>
        <w:t> </w:t>
      </w:r>
      <w:r>
        <w:rPr>
          <w:spacing w:val="-1"/>
          <w:w w:val="99"/>
          <w:sz w:val="25"/>
        </w:rPr>
        <w:t>int</w:t>
      </w:r>
      <w:r>
        <w:rPr>
          <w:w w:val="99"/>
          <w:sz w:val="25"/>
        </w:rPr>
        <w:t>o</w:t>
      </w:r>
      <w:r>
        <w:rPr>
          <w:spacing w:val="12"/>
          <w:sz w:val="25"/>
        </w:rPr>
        <w:t> </w:t>
      </w:r>
      <w:r>
        <w:rPr>
          <w:w w:val="99"/>
          <w:sz w:val="25"/>
        </w:rPr>
        <w:t>the</w:t>
      </w:r>
      <w:r>
        <w:rPr>
          <w:spacing w:val="10"/>
          <w:sz w:val="25"/>
        </w:rPr>
        <w:t> </w:t>
      </w:r>
      <w:r>
        <w:rPr>
          <w:w w:val="99"/>
          <w:sz w:val="25"/>
        </w:rPr>
        <w:t>te</w:t>
      </w:r>
      <w:r>
        <w:rPr>
          <w:spacing w:val="1"/>
          <w:w w:val="99"/>
          <w:sz w:val="25"/>
        </w:rPr>
        <w:t>m</w:t>
      </w:r>
      <w:r>
        <w:rPr>
          <w:spacing w:val="-1"/>
          <w:w w:val="99"/>
          <w:sz w:val="25"/>
        </w:rPr>
        <w:t>pl</w:t>
      </w:r>
      <w:r>
        <w:rPr>
          <w:w w:val="99"/>
          <w:sz w:val="25"/>
        </w:rPr>
        <w:t>e</w:t>
      </w:r>
      <w:r>
        <w:rPr>
          <w:spacing w:val="10"/>
          <w:sz w:val="25"/>
        </w:rPr>
        <w:t> </w:t>
      </w:r>
      <w:r>
        <w:rPr>
          <w:w w:val="99"/>
          <w:sz w:val="25"/>
        </w:rPr>
        <w:t>for</w:t>
      </w:r>
      <w:r>
        <w:rPr>
          <w:spacing w:val="10"/>
          <w:sz w:val="25"/>
        </w:rPr>
        <w:t> </w:t>
      </w:r>
      <w:r>
        <w:rPr>
          <w:spacing w:val="-1"/>
          <w:w w:val="99"/>
          <w:sz w:val="25"/>
        </w:rPr>
        <w:t>p</w:t>
      </w:r>
      <w:r>
        <w:rPr>
          <w:w w:val="99"/>
          <w:sz w:val="25"/>
        </w:rPr>
        <w:t>ur</w:t>
      </w:r>
      <w:r>
        <w:rPr>
          <w:spacing w:val="-1"/>
          <w:w w:val="99"/>
          <w:sz w:val="25"/>
        </w:rPr>
        <w:t>p</w:t>
      </w:r>
      <w:r>
        <w:rPr>
          <w:w w:val="99"/>
          <w:sz w:val="25"/>
        </w:rPr>
        <w:t>oses</w:t>
      </w:r>
      <w:r>
        <w:rPr>
          <w:spacing w:val="9"/>
          <w:sz w:val="25"/>
        </w:rPr>
        <w:t> </w:t>
      </w:r>
      <w:r>
        <w:rPr>
          <w:spacing w:val="-1"/>
          <w:w w:val="99"/>
          <w:sz w:val="25"/>
        </w:rPr>
        <w:t>o</w:t>
      </w:r>
      <w:r>
        <w:rPr>
          <w:w w:val="99"/>
          <w:sz w:val="25"/>
        </w:rPr>
        <w:t>f</w:t>
      </w:r>
      <w:r>
        <w:rPr>
          <w:spacing w:val="10"/>
          <w:sz w:val="25"/>
        </w:rPr>
        <w:t> </w:t>
      </w:r>
      <w:r>
        <w:rPr>
          <w:w w:val="33"/>
          <w:sz w:val="25"/>
        </w:rPr>
        <w:t>―</w:t>
      </w:r>
      <w:r>
        <w:rPr>
          <w:spacing w:val="-1"/>
          <w:w w:val="99"/>
          <w:sz w:val="25"/>
        </w:rPr>
        <w:t>d</w:t>
      </w:r>
      <w:r>
        <w:rPr>
          <w:w w:val="99"/>
          <w:sz w:val="25"/>
        </w:rPr>
        <w:t>arsha</w:t>
      </w:r>
      <w:r>
        <w:rPr>
          <w:spacing w:val="-1"/>
          <w:w w:val="91"/>
          <w:sz w:val="25"/>
        </w:rPr>
        <w:t>n</w:t>
      </w:r>
      <w:r>
        <w:rPr>
          <w:w w:val="91"/>
          <w:sz w:val="25"/>
        </w:rPr>
        <w:t>‖</w:t>
      </w:r>
      <w:r>
        <w:rPr>
          <w:spacing w:val="10"/>
          <w:sz w:val="25"/>
        </w:rPr>
        <w:t> </w:t>
      </w:r>
      <w:r>
        <w:rPr>
          <w:spacing w:val="-1"/>
          <w:w w:val="99"/>
          <w:sz w:val="25"/>
        </w:rPr>
        <w:t>o</w:t>
      </w:r>
      <w:r>
        <w:rPr>
          <w:w w:val="99"/>
          <w:sz w:val="25"/>
        </w:rPr>
        <w:t>r</w:t>
      </w:r>
      <w:r>
        <w:rPr>
          <w:spacing w:val="10"/>
          <w:sz w:val="25"/>
        </w:rPr>
        <w:t> </w:t>
      </w:r>
      <w:r>
        <w:rPr>
          <w:spacing w:val="-1"/>
          <w:w w:val="99"/>
          <w:sz w:val="25"/>
        </w:rPr>
        <w:t>wo</w:t>
      </w:r>
      <w:r>
        <w:rPr>
          <w:w w:val="99"/>
          <w:sz w:val="25"/>
        </w:rPr>
        <w:t>rship</w:t>
      </w:r>
      <w:r>
        <w:rPr>
          <w:spacing w:val="10"/>
          <w:sz w:val="25"/>
        </w:rPr>
        <w:t> </w:t>
      </w:r>
      <w:r>
        <w:rPr>
          <w:spacing w:val="-1"/>
          <w:w w:val="99"/>
          <w:sz w:val="25"/>
        </w:rPr>
        <w:t>i</w:t>
      </w:r>
      <w:r>
        <w:rPr>
          <w:w w:val="99"/>
          <w:sz w:val="25"/>
        </w:rPr>
        <w:t>s</w:t>
      </w:r>
      <w:r>
        <w:rPr>
          <w:spacing w:val="9"/>
          <w:sz w:val="25"/>
        </w:rPr>
        <w:t> </w:t>
      </w:r>
      <w:r>
        <w:rPr>
          <w:w w:val="99"/>
          <w:sz w:val="25"/>
        </w:rPr>
        <w:t>a </w:t>
      </w:r>
      <w:r>
        <w:rPr>
          <w:sz w:val="25"/>
        </w:rPr>
        <w:t>right which flows from the nature of the institution itself (</w:t>
      </w:r>
      <w:r>
        <w:rPr>
          <w:b/>
          <w:sz w:val="25"/>
        </w:rPr>
        <w:t>Nar Hari Shastri </w:t>
      </w:r>
      <w:r>
        <w:rPr>
          <w:sz w:val="25"/>
        </w:rPr>
        <w:t>v </w:t>
      </w:r>
      <w:r>
        <w:rPr>
          <w:b/>
          <w:sz w:val="25"/>
        </w:rPr>
        <w:t>Shri Badrinath </w:t>
      </w:r>
      <w:r>
        <w:rPr>
          <w:b/>
          <w:spacing w:val="-4"/>
          <w:sz w:val="25"/>
        </w:rPr>
        <w:t>Temple </w:t>
      </w:r>
      <w:r>
        <w:rPr>
          <w:b/>
          <w:sz w:val="25"/>
        </w:rPr>
        <w:t>Committee</w:t>
      </w:r>
      <w:r>
        <w:rPr>
          <w:sz w:val="25"/>
          <w:vertAlign w:val="superscript"/>
        </w:rPr>
        <w:t>122</w:t>
      </w:r>
      <w:r>
        <w:rPr>
          <w:sz w:val="25"/>
          <w:vertAlign w:val="baseline"/>
        </w:rPr>
        <w:t>). Worship includes attendance at the temple for the purpose of darshan of a deity or deities in the precincts (</w:t>
      </w:r>
      <w:r>
        <w:rPr>
          <w:b/>
          <w:sz w:val="25"/>
          <w:vertAlign w:val="baseline"/>
        </w:rPr>
        <w:t>Sastri Yagnapurushadji </w:t>
      </w:r>
      <w:r>
        <w:rPr>
          <w:sz w:val="25"/>
          <w:vertAlign w:val="baseline"/>
        </w:rPr>
        <w:t>v </w:t>
      </w:r>
      <w:r>
        <w:rPr>
          <w:b/>
          <w:sz w:val="25"/>
          <w:vertAlign w:val="baseline"/>
        </w:rPr>
        <w:t>Muldas Bhudardas Vaishya</w:t>
      </w:r>
      <w:r>
        <w:rPr>
          <w:sz w:val="25"/>
          <w:vertAlign w:val="superscript"/>
        </w:rPr>
        <w:t>123</w:t>
      </w:r>
      <w:r>
        <w:rPr>
          <w:sz w:val="25"/>
          <w:vertAlign w:val="baseline"/>
        </w:rPr>
        <w:t>). If the general public have always made use of the temple for public worship and devotion in the same way as they do in other temples, it is a strong circumstance in favour of the conclusive existence of a public temple (</w:t>
      </w:r>
      <w:r>
        <w:rPr>
          <w:b/>
          <w:sz w:val="25"/>
          <w:vertAlign w:val="baseline"/>
        </w:rPr>
        <w:t>Bala Shankar Maha Shanker Bhattjee </w:t>
      </w:r>
      <w:r>
        <w:rPr>
          <w:sz w:val="25"/>
          <w:vertAlign w:val="baseline"/>
        </w:rPr>
        <w:t>v </w:t>
      </w:r>
      <w:r>
        <w:rPr>
          <w:b/>
          <w:sz w:val="25"/>
          <w:vertAlign w:val="baseline"/>
        </w:rPr>
        <w:t>Charity Commissioner, Gujarat State</w:t>
      </w:r>
      <w:r>
        <w:rPr>
          <w:sz w:val="25"/>
          <w:vertAlign w:val="superscript"/>
        </w:rPr>
        <w:t>124</w:t>
      </w:r>
      <w:r>
        <w:rPr>
          <w:sz w:val="25"/>
          <w:vertAlign w:val="baseline"/>
        </w:rPr>
        <w:t>).</w:t>
      </w:r>
    </w:p>
    <w:p>
      <w:pPr>
        <w:pStyle w:val="BodyText"/>
        <w:rPr>
          <w:sz w:val="32"/>
        </w:rPr>
      </w:pPr>
    </w:p>
    <w:p>
      <w:pPr>
        <w:pStyle w:val="BodyText"/>
        <w:spacing w:line="480" w:lineRule="auto" w:before="208"/>
        <w:ind w:left="500" w:right="437"/>
        <w:jc w:val="both"/>
      </w:pPr>
      <w:r>
        <w:rPr/>
        <w:t>Mr Ranjit Kumar, learned Senior Counsel referred to the order of the Magistrate dated 30 July 1953, by which the file in the proceedings under Section 145 was consigned to the record in view of the temporary injunction granted on 3 March 1951.</w:t>
      </w:r>
      <w:r>
        <w:rPr>
          <w:spacing w:val="22"/>
        </w:rPr>
        <w:t> </w:t>
      </w:r>
      <w:r>
        <w:rPr/>
        <w:t>The</w:t>
      </w:r>
      <w:r>
        <w:rPr>
          <w:spacing w:val="24"/>
        </w:rPr>
        <w:t> </w:t>
      </w:r>
      <w:r>
        <w:rPr/>
        <w:t>Magistrate</w:t>
      </w:r>
      <w:r>
        <w:rPr>
          <w:spacing w:val="23"/>
        </w:rPr>
        <w:t> </w:t>
      </w:r>
      <w:r>
        <w:rPr/>
        <w:t>noted</w:t>
      </w:r>
      <w:r>
        <w:rPr>
          <w:spacing w:val="22"/>
        </w:rPr>
        <w:t> </w:t>
      </w:r>
      <w:r>
        <w:rPr/>
        <w:t>that</w:t>
      </w:r>
      <w:r>
        <w:rPr>
          <w:spacing w:val="23"/>
        </w:rPr>
        <w:t> </w:t>
      </w:r>
      <w:r>
        <w:rPr/>
        <w:t>the</w:t>
      </w:r>
      <w:r>
        <w:rPr>
          <w:spacing w:val="22"/>
        </w:rPr>
        <w:t> </w:t>
      </w:r>
      <w:r>
        <w:rPr/>
        <w:t>case</w:t>
      </w:r>
      <w:r>
        <w:rPr>
          <w:spacing w:val="24"/>
        </w:rPr>
        <w:t> </w:t>
      </w:r>
      <w:r>
        <w:rPr/>
        <w:t>under</w:t>
      </w:r>
      <w:r>
        <w:rPr>
          <w:spacing w:val="23"/>
        </w:rPr>
        <w:t> </w:t>
      </w:r>
      <w:r>
        <w:rPr/>
        <w:t>Section</w:t>
      </w:r>
      <w:r>
        <w:rPr>
          <w:spacing w:val="22"/>
        </w:rPr>
        <w:t> </w:t>
      </w:r>
      <w:r>
        <w:rPr/>
        <w:t>145</w:t>
      </w:r>
      <w:r>
        <w:rPr>
          <w:spacing w:val="23"/>
        </w:rPr>
        <w:t> </w:t>
      </w:r>
      <w:r>
        <w:rPr/>
        <w:t>had</w:t>
      </w:r>
      <w:r>
        <w:rPr>
          <w:spacing w:val="22"/>
        </w:rPr>
        <w:t> </w:t>
      </w:r>
      <w:r>
        <w:rPr/>
        <w:t>been</w:t>
      </w:r>
      <w:r>
        <w:rPr>
          <w:spacing w:val="23"/>
        </w:rPr>
        <w:t> </w:t>
      </w:r>
      <w:r>
        <w:rPr/>
        <w:t>pending</w:t>
      </w:r>
    </w:p>
    <w:p>
      <w:pPr>
        <w:pStyle w:val="BodyText"/>
        <w:spacing w:line="480" w:lineRule="auto"/>
        <w:ind w:left="500" w:right="447"/>
        <w:jc w:val="both"/>
      </w:pPr>
      <w:r>
        <w:rPr/>
        <w:t>‗unnecessarily‘ and dates were being fixed in the hope that the civil suit will be disposed of or the temporary injunction will be vacated. However, the Magistrate noted that the finding of the civil court was binding on the criminal court and</w:t>
      </w:r>
      <w:r>
        <w:rPr>
          <w:spacing w:val="18"/>
        </w:rPr>
        <w:t> </w:t>
      </w:r>
      <w:r>
        <w:rPr/>
        <w:t>there</w:t>
      </w:r>
    </w:p>
    <w:p>
      <w:pPr>
        <w:pStyle w:val="BodyText"/>
        <w:spacing w:line="20" w:lineRule="exact"/>
        <w:ind w:left="500"/>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spacing w:line="207" w:lineRule="exact" w:before="97"/>
        <w:ind w:left="500" w:right="0" w:firstLine="0"/>
        <w:jc w:val="left"/>
        <w:rPr>
          <w:sz w:val="18"/>
        </w:rPr>
      </w:pPr>
      <w:r>
        <w:rPr>
          <w:sz w:val="18"/>
          <w:vertAlign w:val="superscript"/>
        </w:rPr>
        <w:t>122</w:t>
      </w:r>
      <w:r>
        <w:rPr>
          <w:sz w:val="18"/>
          <w:vertAlign w:val="baseline"/>
        </w:rPr>
        <w:t> 1952 SCR 849</w:t>
      </w:r>
    </w:p>
    <w:p>
      <w:pPr>
        <w:spacing w:line="207" w:lineRule="exact" w:before="0"/>
        <w:ind w:left="500" w:right="0" w:firstLine="0"/>
        <w:jc w:val="left"/>
        <w:rPr>
          <w:sz w:val="18"/>
        </w:rPr>
      </w:pPr>
      <w:r>
        <w:rPr>
          <w:sz w:val="18"/>
          <w:vertAlign w:val="superscript"/>
        </w:rPr>
        <w:t>123</w:t>
      </w:r>
      <w:r>
        <w:rPr>
          <w:sz w:val="18"/>
          <w:vertAlign w:val="baseline"/>
        </w:rPr>
        <w:t> (1966) 3 SCR 242</w:t>
      </w:r>
    </w:p>
    <w:p>
      <w:pPr>
        <w:spacing w:before="2"/>
        <w:ind w:left="500" w:right="0" w:firstLine="0"/>
        <w:jc w:val="left"/>
        <w:rPr>
          <w:sz w:val="18"/>
        </w:rPr>
      </w:pPr>
      <w:r>
        <w:rPr>
          <w:sz w:val="18"/>
          <w:vertAlign w:val="superscript"/>
        </w:rPr>
        <w:t>124</w:t>
      </w:r>
      <w:r>
        <w:rPr>
          <w:sz w:val="18"/>
          <w:vertAlign w:val="baseline"/>
        </w:rPr>
        <w:t> 1995 Supp (1) SCC 485</w:t>
      </w:r>
    </w:p>
    <w:p>
      <w:pPr>
        <w:spacing w:after="0"/>
        <w:jc w:val="left"/>
        <w:rPr>
          <w:sz w:val="18"/>
        </w:rPr>
        <w:sectPr>
          <w:pgSz w:w="11910" w:h="16840"/>
          <w:pgMar w:header="721" w:footer="1014" w:top="1300" w:bottom="1200" w:left="940" w:right="1000"/>
        </w:sectPr>
      </w:pPr>
    </w:p>
    <w:p>
      <w:pPr>
        <w:pStyle w:val="BodyText"/>
        <w:spacing w:line="480" w:lineRule="auto" w:before="124"/>
        <w:ind w:left="500" w:right="444"/>
        <w:jc w:val="both"/>
      </w:pPr>
      <w:r>
        <w:rPr/>
        <w:t>was no purpose in starting the proceedings separately under Section 145. Mr Ranjit Kumar drew this Court‘s attention to the application dated 22 July 1954 filed by Gopal Singh Visharad before the Magistrate requesting him to preserve all files with respect to the proceedings under Section 145 and not to weed them out till the finality of the decision of the civil</w:t>
      </w:r>
      <w:r>
        <w:rPr>
          <w:spacing w:val="-9"/>
        </w:rPr>
        <w:t> </w:t>
      </w:r>
      <w:r>
        <w:rPr/>
        <w:t>court.</w:t>
      </w:r>
    </w:p>
    <w:p>
      <w:pPr>
        <w:pStyle w:val="BodyText"/>
      </w:pPr>
    </w:p>
    <w:p>
      <w:pPr>
        <w:pStyle w:val="ListParagraph"/>
        <w:numPr>
          <w:ilvl w:val="0"/>
          <w:numId w:val="3"/>
        </w:numPr>
        <w:tabs>
          <w:tab w:pos="1221" w:val="left" w:leader="none"/>
        </w:tabs>
        <w:spacing w:line="480" w:lineRule="auto" w:before="1" w:after="0"/>
        <w:ind w:left="500" w:right="442" w:firstLine="0"/>
        <w:jc w:val="both"/>
        <w:rPr>
          <w:sz w:val="25"/>
        </w:rPr>
      </w:pPr>
      <w:r>
        <w:rPr>
          <w:sz w:val="25"/>
        </w:rPr>
        <w:t>Dr Rajeev Dhavan, learned Senior Counsel appearing for the Sunni Central Waqf Board, has raised the following submissions in</w:t>
      </w:r>
      <w:r>
        <w:rPr>
          <w:spacing w:val="-11"/>
          <w:sz w:val="25"/>
        </w:rPr>
        <w:t> </w:t>
      </w:r>
      <w:r>
        <w:rPr>
          <w:sz w:val="25"/>
        </w:rPr>
        <w:t>reply:</w:t>
      </w:r>
    </w:p>
    <w:p>
      <w:pPr>
        <w:pStyle w:val="ListParagraph"/>
        <w:numPr>
          <w:ilvl w:val="0"/>
          <w:numId w:val="73"/>
        </w:numPr>
        <w:tabs>
          <w:tab w:pos="1221" w:val="left" w:leader="none"/>
        </w:tabs>
        <w:spacing w:line="480" w:lineRule="auto" w:before="0" w:after="0"/>
        <w:ind w:left="1220" w:right="437" w:hanging="720"/>
        <w:jc w:val="both"/>
        <w:rPr>
          <w:sz w:val="25"/>
        </w:rPr>
      </w:pPr>
      <w:r>
        <w:rPr>
          <w:sz w:val="25"/>
        </w:rPr>
        <w:t>The written statements filed by defendant nos 1 to 5 do not include the Sunni Central Waqf</w:t>
      </w:r>
      <w:r>
        <w:rPr>
          <w:spacing w:val="-7"/>
          <w:sz w:val="25"/>
        </w:rPr>
        <w:t> </w:t>
      </w:r>
      <w:r>
        <w:rPr>
          <w:sz w:val="25"/>
        </w:rPr>
        <w:t>Board;</w:t>
      </w:r>
    </w:p>
    <w:p>
      <w:pPr>
        <w:pStyle w:val="ListParagraph"/>
        <w:numPr>
          <w:ilvl w:val="0"/>
          <w:numId w:val="73"/>
        </w:numPr>
        <w:tabs>
          <w:tab w:pos="1221" w:val="left" w:leader="none"/>
        </w:tabs>
        <w:spacing w:line="480" w:lineRule="auto" w:before="0" w:after="0"/>
        <w:ind w:left="1220" w:right="440" w:hanging="720"/>
        <w:jc w:val="both"/>
        <w:rPr>
          <w:sz w:val="25"/>
        </w:rPr>
      </w:pPr>
      <w:r>
        <w:rPr>
          <w:sz w:val="25"/>
        </w:rPr>
        <w:t>The mosque was constructed by Babur through his Commander Mir Baqi and was dedicated as a valid waqf. Under the Muslims Waqf Act 1936, the Chief Commissioner </w:t>
      </w:r>
      <w:r>
        <w:rPr>
          <w:spacing w:val="-3"/>
          <w:sz w:val="25"/>
        </w:rPr>
        <w:t>Waqf </w:t>
      </w:r>
      <w:r>
        <w:rPr>
          <w:sz w:val="25"/>
        </w:rPr>
        <w:t>decided that the mosque was a Sunni</w:t>
      </w:r>
      <w:r>
        <w:rPr>
          <w:spacing w:val="-29"/>
          <w:sz w:val="25"/>
        </w:rPr>
        <w:t> </w:t>
      </w:r>
      <w:r>
        <w:rPr>
          <w:sz w:val="25"/>
        </w:rPr>
        <w:t>Waqf;</w:t>
      </w:r>
    </w:p>
    <w:p>
      <w:pPr>
        <w:pStyle w:val="ListParagraph"/>
        <w:numPr>
          <w:ilvl w:val="0"/>
          <w:numId w:val="73"/>
        </w:numPr>
        <w:tabs>
          <w:tab w:pos="1221" w:val="left" w:leader="none"/>
        </w:tabs>
        <w:spacing w:line="480" w:lineRule="auto" w:before="1" w:after="0"/>
        <w:ind w:left="1220" w:right="439" w:hanging="720"/>
        <w:jc w:val="both"/>
        <w:rPr>
          <w:sz w:val="25"/>
        </w:rPr>
      </w:pPr>
      <w:r>
        <w:rPr>
          <w:sz w:val="25"/>
        </w:rPr>
        <w:t>The Muslims have been in possession of the mosque since 1528 and by virtue of being in possession for more than 400 years, affirmed their right</w:t>
      </w:r>
      <w:r>
        <w:rPr>
          <w:spacing w:val="-46"/>
          <w:sz w:val="25"/>
        </w:rPr>
        <w:t> </w:t>
      </w:r>
      <w:r>
        <w:rPr>
          <w:sz w:val="25"/>
        </w:rPr>
        <w:t>of adverse possession over the disputed</w:t>
      </w:r>
      <w:r>
        <w:rPr>
          <w:spacing w:val="-5"/>
          <w:sz w:val="25"/>
        </w:rPr>
        <w:t> </w:t>
      </w:r>
      <w:r>
        <w:rPr>
          <w:sz w:val="25"/>
        </w:rPr>
        <w:t>property;</w:t>
      </w:r>
    </w:p>
    <w:p>
      <w:pPr>
        <w:pStyle w:val="ListParagraph"/>
        <w:numPr>
          <w:ilvl w:val="0"/>
          <w:numId w:val="73"/>
        </w:numPr>
        <w:tabs>
          <w:tab w:pos="1221" w:val="left" w:leader="none"/>
        </w:tabs>
        <w:spacing w:line="480" w:lineRule="auto" w:before="0" w:after="0"/>
        <w:ind w:left="1220" w:right="442" w:hanging="720"/>
        <w:jc w:val="both"/>
        <w:rPr>
          <w:sz w:val="25"/>
        </w:rPr>
      </w:pPr>
      <w:r>
        <w:rPr>
          <w:sz w:val="25"/>
        </w:rPr>
        <w:t>Suit 1 has been primarily filed against the State authorities as the main grievance was against the authorities preventing the plaintiff from offering worship inside the disputed</w:t>
      </w:r>
      <w:r>
        <w:rPr>
          <w:spacing w:val="-5"/>
          <w:sz w:val="25"/>
        </w:rPr>
        <w:t> </w:t>
      </w:r>
      <w:r>
        <w:rPr>
          <w:sz w:val="25"/>
        </w:rPr>
        <w:t>premises;</w:t>
      </w:r>
    </w:p>
    <w:p>
      <w:pPr>
        <w:pStyle w:val="ListParagraph"/>
        <w:numPr>
          <w:ilvl w:val="0"/>
          <w:numId w:val="73"/>
        </w:numPr>
        <w:tabs>
          <w:tab w:pos="1221" w:val="left" w:leader="none"/>
        </w:tabs>
        <w:spacing w:line="480" w:lineRule="auto" w:before="0" w:after="0"/>
        <w:ind w:left="1220" w:right="445" w:hanging="720"/>
        <w:jc w:val="both"/>
        <w:rPr>
          <w:sz w:val="25"/>
        </w:rPr>
      </w:pPr>
      <w:r>
        <w:rPr>
          <w:sz w:val="25"/>
        </w:rPr>
        <w:t>The suit was filed to enforce a personal right of the plaintiff i.e. the right to worship inside the disputed structure and thus, the right gets automatically extinguished on his</w:t>
      </w:r>
      <w:r>
        <w:rPr>
          <w:spacing w:val="-4"/>
          <w:sz w:val="25"/>
        </w:rPr>
        <w:t> </w:t>
      </w:r>
      <w:r>
        <w:rPr>
          <w:sz w:val="25"/>
        </w:rPr>
        <w:t>death;</w:t>
      </w:r>
    </w:p>
    <w:p>
      <w:pPr>
        <w:pStyle w:val="ListParagraph"/>
        <w:numPr>
          <w:ilvl w:val="0"/>
          <w:numId w:val="73"/>
        </w:numPr>
        <w:tabs>
          <w:tab w:pos="1221" w:val="left" w:leader="none"/>
        </w:tabs>
        <w:spacing w:line="480" w:lineRule="auto" w:before="0" w:after="0"/>
        <w:ind w:left="1220" w:right="440" w:hanging="720"/>
        <w:jc w:val="both"/>
        <w:rPr>
          <w:sz w:val="25"/>
        </w:rPr>
      </w:pPr>
      <w:r>
        <w:rPr>
          <w:sz w:val="25"/>
        </w:rPr>
        <w:t>The fourteen affidavits filed by the Muslim persons of Ayodhya in the proceedings under Section 145 proceedings are not admissible in evidence</w:t>
      </w:r>
      <w:r>
        <w:rPr>
          <w:spacing w:val="22"/>
          <w:sz w:val="25"/>
        </w:rPr>
        <w:t> </w:t>
      </w:r>
      <w:r>
        <w:rPr>
          <w:sz w:val="25"/>
        </w:rPr>
        <w:t>under</w:t>
      </w:r>
      <w:r>
        <w:rPr>
          <w:spacing w:val="23"/>
          <w:sz w:val="25"/>
        </w:rPr>
        <w:t> </w:t>
      </w:r>
      <w:r>
        <w:rPr>
          <w:sz w:val="25"/>
        </w:rPr>
        <w:t>Section</w:t>
      </w:r>
      <w:r>
        <w:rPr>
          <w:spacing w:val="23"/>
          <w:sz w:val="25"/>
        </w:rPr>
        <w:t> </w:t>
      </w:r>
      <w:r>
        <w:rPr>
          <w:sz w:val="25"/>
        </w:rPr>
        <w:t>3</w:t>
      </w:r>
      <w:r>
        <w:rPr>
          <w:spacing w:val="22"/>
          <w:sz w:val="25"/>
        </w:rPr>
        <w:t> </w:t>
      </w:r>
      <w:r>
        <w:rPr>
          <w:sz w:val="25"/>
        </w:rPr>
        <w:t>of</w:t>
      </w:r>
      <w:r>
        <w:rPr>
          <w:spacing w:val="23"/>
          <w:sz w:val="25"/>
        </w:rPr>
        <w:t> </w:t>
      </w:r>
      <w:r>
        <w:rPr>
          <w:sz w:val="25"/>
        </w:rPr>
        <w:t>the</w:t>
      </w:r>
      <w:r>
        <w:rPr>
          <w:spacing w:val="23"/>
          <w:sz w:val="25"/>
        </w:rPr>
        <w:t> </w:t>
      </w:r>
      <w:r>
        <w:rPr>
          <w:sz w:val="25"/>
        </w:rPr>
        <w:t>Indian</w:t>
      </w:r>
      <w:r>
        <w:rPr>
          <w:spacing w:val="23"/>
          <w:sz w:val="25"/>
        </w:rPr>
        <w:t> </w:t>
      </w:r>
      <w:r>
        <w:rPr>
          <w:sz w:val="25"/>
        </w:rPr>
        <w:t>Evidence</w:t>
      </w:r>
      <w:r>
        <w:rPr>
          <w:spacing w:val="9"/>
          <w:sz w:val="25"/>
        </w:rPr>
        <w:t> </w:t>
      </w:r>
      <w:r>
        <w:rPr>
          <w:sz w:val="25"/>
        </w:rPr>
        <w:t>Act.</w:t>
      </w:r>
      <w:r>
        <w:rPr>
          <w:spacing w:val="18"/>
          <w:sz w:val="25"/>
        </w:rPr>
        <w:t> </w:t>
      </w:r>
      <w:r>
        <w:rPr>
          <w:sz w:val="25"/>
        </w:rPr>
        <w:t>The</w:t>
      </w:r>
      <w:r>
        <w:rPr>
          <w:spacing w:val="22"/>
          <w:sz w:val="25"/>
        </w:rPr>
        <w:t> </w:t>
      </w:r>
      <w:r>
        <w:rPr>
          <w:sz w:val="25"/>
        </w:rPr>
        <w:t>affidavits</w:t>
      </w:r>
      <w:r>
        <w:rPr>
          <w:spacing w:val="23"/>
          <w:sz w:val="25"/>
        </w:rPr>
        <w:t> </w:t>
      </w:r>
      <w:r>
        <w:rPr>
          <w:sz w:val="25"/>
        </w:rPr>
        <w:t>have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1"/>
        <w:jc w:val="both"/>
      </w:pPr>
      <w:r>
        <w:rPr/>
        <w:t>no relevance as the authors of the affidavits have not been cross  examined and since they are not parties to any of the suits </w:t>
      </w:r>
      <w:r>
        <w:rPr>
          <w:spacing w:val="-3"/>
        </w:rPr>
        <w:t>individually, </w:t>
      </w:r>
      <w:r>
        <w:rPr/>
        <w:t>they cannot be relied upon. Justice Sudhir Agarwal has found these affidavits to be</w:t>
      </w:r>
      <w:r>
        <w:rPr>
          <w:spacing w:val="-2"/>
        </w:rPr>
        <w:t> </w:t>
      </w:r>
      <w:r>
        <w:rPr/>
        <w:t>unreliable;</w:t>
      </w:r>
    </w:p>
    <w:p>
      <w:pPr>
        <w:pStyle w:val="ListParagraph"/>
        <w:numPr>
          <w:ilvl w:val="0"/>
          <w:numId w:val="73"/>
        </w:numPr>
        <w:tabs>
          <w:tab w:pos="1221" w:val="left" w:leader="none"/>
        </w:tabs>
        <w:spacing w:line="480" w:lineRule="auto" w:before="0" w:after="0"/>
        <w:ind w:left="1220" w:right="442" w:hanging="720"/>
        <w:jc w:val="both"/>
        <w:rPr>
          <w:sz w:val="25"/>
        </w:rPr>
      </w:pPr>
      <w:r>
        <w:rPr>
          <w:sz w:val="25"/>
        </w:rPr>
        <w:t>There is no clear mention of whether the plaintiff had earlier carried out</w:t>
      </w:r>
      <w:r>
        <w:rPr>
          <w:spacing w:val="-46"/>
          <w:sz w:val="25"/>
        </w:rPr>
        <w:t> </w:t>
      </w:r>
      <w:r>
        <w:rPr>
          <w:sz w:val="25"/>
        </w:rPr>
        <w:t>any worship inside the disputed structure and he has not mentioned the exact place of birth of Lord Ram below the central dome;</w:t>
      </w:r>
      <w:r>
        <w:rPr>
          <w:spacing w:val="-12"/>
          <w:sz w:val="25"/>
        </w:rPr>
        <w:t> </w:t>
      </w:r>
      <w:r>
        <w:rPr>
          <w:sz w:val="25"/>
        </w:rPr>
        <w:t>and</w:t>
      </w:r>
    </w:p>
    <w:p>
      <w:pPr>
        <w:pStyle w:val="ListParagraph"/>
        <w:numPr>
          <w:ilvl w:val="0"/>
          <w:numId w:val="73"/>
        </w:numPr>
        <w:tabs>
          <w:tab w:pos="1221" w:val="left" w:leader="none"/>
        </w:tabs>
        <w:spacing w:line="480" w:lineRule="auto" w:before="0" w:after="0"/>
        <w:ind w:left="1220" w:right="442" w:hanging="720"/>
        <w:jc w:val="both"/>
        <w:rPr>
          <w:sz w:val="25"/>
        </w:rPr>
      </w:pPr>
      <w:r>
        <w:rPr>
          <w:sz w:val="25"/>
        </w:rPr>
        <w:t>The exhibits relied upon by the Sunni Central Waqf Board clearly show</w:t>
      </w:r>
      <w:r>
        <w:rPr>
          <w:spacing w:val="-42"/>
          <w:sz w:val="25"/>
        </w:rPr>
        <w:t> </w:t>
      </w:r>
      <w:r>
        <w:rPr>
          <w:sz w:val="25"/>
        </w:rPr>
        <w:t>that the Hindu parties had access to only the outer courtyard restricted to the Ramchabutra and Sita Rasoi. All efforts of trespass in the inner courtyard were thwarted and the authorities passed directions evicting those who tried to enter the inner</w:t>
      </w:r>
      <w:r>
        <w:rPr>
          <w:spacing w:val="-4"/>
          <w:sz w:val="25"/>
        </w:rPr>
        <w:t> </w:t>
      </w:r>
      <w:r>
        <w:rPr>
          <w:sz w:val="25"/>
        </w:rPr>
        <w:t>courtyard.</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40" w:firstLine="0"/>
        <w:jc w:val="both"/>
        <w:rPr>
          <w:sz w:val="25"/>
        </w:rPr>
      </w:pPr>
      <w:r>
        <w:rPr>
          <w:sz w:val="25"/>
        </w:rPr>
        <w:t>None of the persons who are alleged to have filed affidavits in the proceedings under Section 145 were examined in evidence during the course of the civil trial before the High Court. The credibility of a statement made by a person on affidavit can only be accepted if the witness is produced in evidence. However, in the present case, the Muslim residents who presented the affidavits before the Magistrate in the proceedings under Section 145 were not cited or produced as witnesses. In the absence of any opportunity to the opposite side to challenge the statements made in the affidavits, no reliance can be placed upon the contents of the</w:t>
      </w:r>
      <w:r>
        <w:rPr>
          <w:spacing w:val="-4"/>
          <w:sz w:val="25"/>
        </w:rPr>
        <w:t> </w:t>
      </w:r>
      <w:r>
        <w:rPr>
          <w:sz w:val="25"/>
        </w:rPr>
        <w:t>affidavits.</w:t>
      </w:r>
    </w:p>
    <w:p>
      <w:pPr>
        <w:spacing w:after="0" w:line="480" w:lineRule="auto"/>
        <w:jc w:val="both"/>
        <w:rPr>
          <w:sz w:val="25"/>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7" w:firstLine="0"/>
        <w:jc w:val="both"/>
        <w:rPr>
          <w:sz w:val="25"/>
        </w:rPr>
      </w:pPr>
      <w:r>
        <w:rPr>
          <w:sz w:val="25"/>
        </w:rPr>
        <w:t>The original plaintiff Gopal Singh Visharad passed away during the pendency of the suit and was substituted </w:t>
      </w:r>
      <w:r>
        <w:rPr>
          <w:spacing w:val="3"/>
          <w:sz w:val="25"/>
        </w:rPr>
        <w:t>by </w:t>
      </w:r>
      <w:r>
        <w:rPr>
          <w:sz w:val="25"/>
        </w:rPr>
        <w:t>his son, Rajendra Singh Visharad pursuant to the court‘s order dated 22 February 1986. It was contended that the original plaintiff instituted the suit for enforcing his private right to worship at the disputed property and that upon his death, such right was extinguished, and the suit stood abated. It is necessary to advert to the pleadings in Suit 1 to determine whether the right asserted by the original plaintiff was a private right or involved a larger public right claimed in common with other worshippers. Paragraph 3 of the plaint in Suit 1 reads as</w:t>
      </w:r>
      <w:r>
        <w:rPr>
          <w:spacing w:val="-5"/>
          <w:sz w:val="25"/>
        </w:rPr>
        <w:t> </w:t>
      </w:r>
      <w:r>
        <w:rPr>
          <w:sz w:val="25"/>
        </w:rPr>
        <w:t>follows:</w:t>
      </w:r>
    </w:p>
    <w:p>
      <w:pPr>
        <w:spacing w:line="276" w:lineRule="auto" w:before="0"/>
        <w:ind w:left="1940" w:right="2261" w:firstLine="57"/>
        <w:jc w:val="both"/>
        <w:rPr>
          <w:sz w:val="21"/>
        </w:rPr>
      </w:pPr>
      <w:r>
        <w:rPr>
          <w:spacing w:val="-1"/>
          <w:w w:val="33"/>
          <w:sz w:val="21"/>
        </w:rPr>
        <w:t>―</w:t>
      </w:r>
      <w:r>
        <w:rPr>
          <w:w w:val="100"/>
          <w:sz w:val="21"/>
        </w:rPr>
        <w:t>…D</w:t>
      </w:r>
      <w:r>
        <w:rPr>
          <w:spacing w:val="-3"/>
          <w:w w:val="100"/>
          <w:sz w:val="21"/>
        </w:rPr>
        <w:t>e</w:t>
      </w:r>
      <w:r>
        <w:rPr>
          <w:spacing w:val="1"/>
          <w:w w:val="100"/>
          <w:sz w:val="21"/>
        </w:rPr>
        <w:t>f</w:t>
      </w:r>
      <w:r>
        <w:rPr>
          <w:spacing w:val="-3"/>
          <w:w w:val="100"/>
          <w:sz w:val="21"/>
        </w:rPr>
        <w:t>e</w:t>
      </w:r>
      <w:r>
        <w:rPr>
          <w:spacing w:val="-1"/>
          <w:w w:val="100"/>
          <w:sz w:val="21"/>
        </w:rPr>
        <w:t>nd</w:t>
      </w:r>
      <w:r>
        <w:rPr>
          <w:spacing w:val="-2"/>
          <w:w w:val="100"/>
          <w:sz w:val="21"/>
        </w:rPr>
        <w:t>a</w:t>
      </w:r>
      <w:r>
        <w:rPr>
          <w:spacing w:val="-1"/>
          <w:w w:val="100"/>
          <w:sz w:val="21"/>
        </w:rPr>
        <w:t>n</w:t>
      </w:r>
      <w:r>
        <w:rPr>
          <w:w w:val="100"/>
          <w:sz w:val="21"/>
        </w:rPr>
        <w:t>t</w:t>
      </w:r>
      <w:r>
        <w:rPr>
          <w:sz w:val="21"/>
        </w:rPr>
        <w:t> </w:t>
      </w:r>
      <w:r>
        <w:rPr>
          <w:spacing w:val="-27"/>
          <w:sz w:val="21"/>
        </w:rPr>
        <w:t> </w:t>
      </w:r>
      <w:r>
        <w:rPr>
          <w:spacing w:val="-2"/>
          <w:w w:val="100"/>
          <w:sz w:val="21"/>
        </w:rPr>
        <w:t>N</w:t>
      </w:r>
      <w:r>
        <w:rPr>
          <w:spacing w:val="-1"/>
          <w:w w:val="100"/>
          <w:sz w:val="21"/>
        </w:rPr>
        <w:t>o.</w:t>
      </w:r>
      <w:r>
        <w:rPr>
          <w:w w:val="100"/>
          <w:sz w:val="21"/>
        </w:rPr>
        <w:t>6</w:t>
      </w:r>
      <w:r>
        <w:rPr>
          <w:sz w:val="21"/>
        </w:rPr>
        <w:t> </w:t>
      </w:r>
      <w:r>
        <w:rPr>
          <w:spacing w:val="-26"/>
          <w:sz w:val="21"/>
        </w:rPr>
        <w:t> </w:t>
      </w:r>
      <w:r>
        <w:rPr>
          <w:spacing w:val="-1"/>
          <w:w w:val="100"/>
          <w:sz w:val="21"/>
        </w:rPr>
        <w:t>pre</w:t>
      </w:r>
      <w:r>
        <w:rPr>
          <w:spacing w:val="-6"/>
          <w:w w:val="100"/>
          <w:sz w:val="21"/>
        </w:rPr>
        <w:t>v</w:t>
      </w:r>
      <w:r>
        <w:rPr>
          <w:spacing w:val="-1"/>
          <w:w w:val="100"/>
          <w:sz w:val="21"/>
        </w:rPr>
        <w:t>ente</w:t>
      </w:r>
      <w:r>
        <w:rPr>
          <w:w w:val="100"/>
          <w:sz w:val="21"/>
        </w:rPr>
        <w:t>d</w:t>
      </w:r>
      <w:r>
        <w:rPr>
          <w:sz w:val="21"/>
        </w:rPr>
        <w:t> </w:t>
      </w:r>
      <w:r>
        <w:rPr>
          <w:spacing w:val="-26"/>
          <w:sz w:val="21"/>
        </w:rPr>
        <w:t> </w:t>
      </w:r>
      <w:r>
        <w:rPr>
          <w:spacing w:val="-2"/>
          <w:w w:val="100"/>
          <w:sz w:val="21"/>
        </w:rPr>
        <w:t>t</w:t>
      </w:r>
      <w:r>
        <w:rPr>
          <w:spacing w:val="-3"/>
          <w:w w:val="100"/>
          <w:sz w:val="21"/>
        </w:rPr>
        <w:t>h</w:t>
      </w:r>
      <w:r>
        <w:rPr>
          <w:w w:val="100"/>
          <w:sz w:val="21"/>
        </w:rPr>
        <w:t>e</w:t>
      </w:r>
      <w:r>
        <w:rPr>
          <w:sz w:val="21"/>
        </w:rPr>
        <w:t> </w:t>
      </w:r>
      <w:r>
        <w:rPr>
          <w:spacing w:val="-26"/>
          <w:sz w:val="21"/>
        </w:rPr>
        <w:t> </w:t>
      </w:r>
      <w:r>
        <w:rPr>
          <w:spacing w:val="-3"/>
          <w:w w:val="100"/>
          <w:sz w:val="21"/>
        </w:rPr>
        <w:t>p</w:t>
      </w:r>
      <w:r>
        <w:rPr>
          <w:w w:val="100"/>
          <w:sz w:val="21"/>
        </w:rPr>
        <w:t>l</w:t>
      </w:r>
      <w:r>
        <w:rPr>
          <w:spacing w:val="-3"/>
          <w:w w:val="100"/>
          <w:sz w:val="21"/>
        </w:rPr>
        <w:t>a</w:t>
      </w:r>
      <w:r>
        <w:rPr>
          <w:w w:val="100"/>
          <w:sz w:val="21"/>
        </w:rPr>
        <w:t>i</w:t>
      </w:r>
      <w:r>
        <w:rPr>
          <w:spacing w:val="-1"/>
          <w:w w:val="100"/>
          <w:sz w:val="21"/>
        </w:rPr>
        <w:t>nt</w:t>
      </w:r>
      <w:r>
        <w:rPr>
          <w:spacing w:val="-2"/>
          <w:w w:val="100"/>
          <w:sz w:val="21"/>
        </w:rPr>
        <w:t>i</w:t>
      </w:r>
      <w:r>
        <w:rPr>
          <w:spacing w:val="1"/>
          <w:w w:val="100"/>
          <w:sz w:val="21"/>
        </w:rPr>
        <w:t>f</w:t>
      </w:r>
      <w:r>
        <w:rPr>
          <w:w w:val="100"/>
          <w:sz w:val="21"/>
        </w:rPr>
        <w:t>f</w:t>
      </w:r>
      <w:r>
        <w:rPr>
          <w:sz w:val="21"/>
        </w:rPr>
        <w:t> </w:t>
      </w:r>
      <w:r>
        <w:rPr>
          <w:spacing w:val="-27"/>
          <w:sz w:val="21"/>
        </w:rPr>
        <w:t> </w:t>
      </w:r>
      <w:r>
        <w:rPr>
          <w:spacing w:val="1"/>
          <w:w w:val="100"/>
          <w:sz w:val="21"/>
        </w:rPr>
        <w:t>f</w:t>
      </w:r>
      <w:r>
        <w:rPr>
          <w:spacing w:val="-4"/>
          <w:w w:val="100"/>
          <w:sz w:val="21"/>
        </w:rPr>
        <w:t>r</w:t>
      </w:r>
      <w:r>
        <w:rPr>
          <w:spacing w:val="-3"/>
          <w:w w:val="100"/>
          <w:sz w:val="21"/>
        </w:rPr>
        <w:t>o</w:t>
      </w:r>
      <w:r>
        <w:rPr>
          <w:w w:val="100"/>
          <w:sz w:val="21"/>
        </w:rPr>
        <w:t>m</w:t>
      </w:r>
      <w:r>
        <w:rPr>
          <w:sz w:val="21"/>
        </w:rPr>
        <w:t> </w:t>
      </w:r>
      <w:r>
        <w:rPr>
          <w:spacing w:val="-25"/>
          <w:sz w:val="21"/>
        </w:rPr>
        <w:t> </w:t>
      </w:r>
      <w:r>
        <w:rPr>
          <w:spacing w:val="-3"/>
          <w:w w:val="100"/>
          <w:sz w:val="21"/>
        </w:rPr>
        <w:t>g</w:t>
      </w:r>
      <w:r>
        <w:rPr>
          <w:spacing w:val="-1"/>
          <w:w w:val="100"/>
          <w:sz w:val="21"/>
        </w:rPr>
        <w:t>o</w:t>
      </w:r>
      <w:r>
        <w:rPr>
          <w:spacing w:val="1"/>
          <w:w w:val="100"/>
          <w:sz w:val="21"/>
        </w:rPr>
        <w:t>i</w:t>
      </w:r>
      <w:r>
        <w:rPr>
          <w:spacing w:val="-3"/>
          <w:w w:val="100"/>
          <w:sz w:val="21"/>
        </w:rPr>
        <w:t>n</w:t>
      </w:r>
      <w:r>
        <w:rPr>
          <w:w w:val="100"/>
          <w:sz w:val="21"/>
        </w:rPr>
        <w:t>g</w:t>
      </w:r>
      <w:r>
        <w:rPr>
          <w:sz w:val="21"/>
        </w:rPr>
        <w:t> </w:t>
      </w:r>
      <w:r>
        <w:rPr>
          <w:spacing w:val="-26"/>
          <w:sz w:val="21"/>
        </w:rPr>
        <w:t> </w:t>
      </w:r>
      <w:r>
        <w:rPr>
          <w:spacing w:val="-2"/>
          <w:w w:val="100"/>
          <w:sz w:val="21"/>
        </w:rPr>
        <w:t>i</w:t>
      </w:r>
      <w:r>
        <w:rPr>
          <w:spacing w:val="-1"/>
          <w:w w:val="100"/>
          <w:sz w:val="21"/>
        </w:rPr>
        <w:t>ns</w:t>
      </w:r>
      <w:r>
        <w:rPr>
          <w:spacing w:val="-2"/>
          <w:w w:val="100"/>
          <w:sz w:val="21"/>
        </w:rPr>
        <w:t>i</w:t>
      </w:r>
      <w:r>
        <w:rPr>
          <w:spacing w:val="-1"/>
          <w:w w:val="100"/>
          <w:sz w:val="21"/>
        </w:rPr>
        <w:t>de </w:t>
      </w:r>
      <w:r>
        <w:rPr>
          <w:sz w:val="21"/>
        </w:rPr>
        <w:t>the place where the idol of Shri Ramchandra Ji and others  are placed and it was learnt that after getting influence with the baseless and false perversity of the Defendants No.1 to 5 and their other fellows, </w:t>
      </w:r>
      <w:r>
        <w:rPr>
          <w:b/>
          <w:sz w:val="21"/>
        </w:rPr>
        <w:t>Defendant No.7 to 9 have deprived the Hindu public from their legitimate right of performing worship </w:t>
      </w:r>
      <w:r>
        <w:rPr>
          <w:sz w:val="21"/>
        </w:rPr>
        <w:t>and having darshan and because of undue insistence of the Defendants No.1 to 5 etc., </w:t>
      </w:r>
      <w:r>
        <w:rPr>
          <w:b/>
          <w:sz w:val="21"/>
        </w:rPr>
        <w:t>Defendant No. 6 declares that Hindu Public shall be deprived from their above rights in the same manner in future also </w:t>
      </w:r>
      <w:r>
        <w:rPr>
          <w:sz w:val="21"/>
        </w:rPr>
        <w:t>and because of the above unjustifiable act, proprietary right of original plaintiff which he had always used, is being infringed and in the above circumstances, present plaintiff has the complete apprehension and fear of improper and </w:t>
      </w:r>
      <w:r>
        <w:rPr>
          <w:b/>
          <w:sz w:val="21"/>
        </w:rPr>
        <w:t>unlawful interference in the Defendants in exercise of the above religious</w:t>
      </w:r>
      <w:r>
        <w:rPr>
          <w:b/>
          <w:spacing w:val="-2"/>
          <w:sz w:val="21"/>
        </w:rPr>
        <w:t> </w:t>
      </w:r>
      <w:r>
        <w:rPr>
          <w:b/>
          <w:sz w:val="21"/>
        </w:rPr>
        <w:t>rights</w:t>
      </w:r>
      <w:r>
        <w:rPr>
          <w:sz w:val="21"/>
        </w:rPr>
        <w:t>.‖</w:t>
      </w:r>
    </w:p>
    <w:p>
      <w:pPr>
        <w:spacing w:line="240" w:lineRule="exact" w:before="0"/>
        <w:ind w:left="5798" w:right="0" w:firstLine="0"/>
        <w:jc w:val="left"/>
        <w:rPr>
          <w:sz w:val="21"/>
        </w:rPr>
      </w:pPr>
      <w:r>
        <w:rPr>
          <w:sz w:val="21"/>
        </w:rPr>
        <w:t>(Emphasis supplied)</w:t>
      </w:r>
    </w:p>
    <w:p>
      <w:pPr>
        <w:pStyle w:val="BodyText"/>
        <w:rPr>
          <w:sz w:val="24"/>
        </w:rPr>
      </w:pPr>
    </w:p>
    <w:p>
      <w:pPr>
        <w:pStyle w:val="BodyText"/>
        <w:rPr>
          <w:sz w:val="24"/>
        </w:rPr>
      </w:pPr>
    </w:p>
    <w:p>
      <w:pPr>
        <w:pStyle w:val="BodyText"/>
        <w:spacing w:line="480" w:lineRule="auto" w:before="149"/>
        <w:ind w:left="500" w:right="437"/>
        <w:jc w:val="both"/>
      </w:pPr>
      <w:r>
        <w:rPr/>
        <w:t>Defendant no 6 is the State of Uttar Pradesh defendants nos 7 to 9 are the Deputy Commissioner, Additional City Magistrate and the Superintendent of Police, Faizabad respectively. The pleadings indicate that the right asserted was not a private right, but a right in common with and for the benefit of other Hindu devotees</w:t>
      </w:r>
      <w:r>
        <w:rPr>
          <w:spacing w:val="54"/>
        </w:rPr>
        <w:t> </w:t>
      </w:r>
      <w:r>
        <w:rPr/>
        <w:t>to</w:t>
      </w:r>
      <w:r>
        <w:rPr>
          <w:spacing w:val="54"/>
        </w:rPr>
        <w:t> </w:t>
      </w:r>
      <w:r>
        <w:rPr/>
        <w:t>pray</w:t>
      </w:r>
      <w:r>
        <w:rPr>
          <w:spacing w:val="51"/>
        </w:rPr>
        <w:t> </w:t>
      </w:r>
      <w:r>
        <w:rPr/>
        <w:t>at</w:t>
      </w:r>
      <w:r>
        <w:rPr>
          <w:spacing w:val="58"/>
        </w:rPr>
        <w:t> </w:t>
      </w:r>
      <w:r>
        <w:rPr/>
        <w:t>the</w:t>
      </w:r>
      <w:r>
        <w:rPr>
          <w:spacing w:val="54"/>
        </w:rPr>
        <w:t> </w:t>
      </w:r>
      <w:r>
        <w:rPr/>
        <w:t>disputed</w:t>
      </w:r>
      <w:r>
        <w:rPr>
          <w:spacing w:val="55"/>
        </w:rPr>
        <w:t> </w:t>
      </w:r>
      <w:r>
        <w:rPr/>
        <w:t>property.</w:t>
      </w:r>
      <w:r>
        <w:rPr>
          <w:spacing w:val="53"/>
        </w:rPr>
        <w:t> </w:t>
      </w:r>
      <w:r>
        <w:rPr/>
        <w:t>The</w:t>
      </w:r>
      <w:r>
        <w:rPr>
          <w:spacing w:val="54"/>
        </w:rPr>
        <w:t> </w:t>
      </w:r>
      <w:r>
        <w:rPr/>
        <w:t>right</w:t>
      </w:r>
      <w:r>
        <w:rPr>
          <w:spacing w:val="54"/>
        </w:rPr>
        <w:t> </w:t>
      </w:r>
      <w:r>
        <w:rPr/>
        <w:t>claimed</w:t>
      </w:r>
      <w:r>
        <w:rPr>
          <w:spacing w:val="56"/>
        </w:rPr>
        <w:t> </w:t>
      </w:r>
      <w:r>
        <w:rPr/>
        <w:t>was</w:t>
      </w:r>
      <w:r>
        <w:rPr>
          <w:spacing w:val="53"/>
        </w:rPr>
        <w:t> </w:t>
      </w:r>
      <w:r>
        <w:rPr/>
        <w:t>that</w:t>
      </w:r>
      <w:r>
        <w:rPr>
          <w:spacing w:val="54"/>
        </w:rPr>
        <w:t> </w:t>
      </w:r>
      <w:r>
        <w:rPr/>
        <w:t>of</w:t>
      </w:r>
      <w:r>
        <w:rPr>
          <w:spacing w:val="54"/>
        </w:rPr>
        <w:t> </w:t>
      </w:r>
      <w:r>
        <w:rPr/>
        <w:t>the</w:t>
      </w:r>
    </w:p>
    <w:p>
      <w:pPr>
        <w:pStyle w:val="BodyText"/>
        <w:spacing w:line="286" w:lineRule="exact"/>
        <w:ind w:left="500"/>
        <w:jc w:val="both"/>
      </w:pPr>
      <w:r>
        <w:rPr>
          <w:w w:val="33"/>
        </w:rPr>
        <w:t>―</w:t>
      </w:r>
      <w:r>
        <w:rPr>
          <w:spacing w:val="-1"/>
          <w:w w:val="99"/>
        </w:rPr>
        <w:t>Hind</w:t>
      </w:r>
      <w:r>
        <w:rPr>
          <w:w w:val="99"/>
        </w:rPr>
        <w:t>u</w:t>
      </w:r>
      <w:r>
        <w:rPr>
          <w:spacing w:val="12"/>
        </w:rPr>
        <w:t> </w:t>
      </w:r>
      <w:r>
        <w:rPr>
          <w:spacing w:val="-1"/>
          <w:w w:val="99"/>
        </w:rPr>
        <w:t>p</w:t>
      </w:r>
      <w:r>
        <w:rPr>
          <w:w w:val="99"/>
        </w:rPr>
        <w:t>u</w:t>
      </w:r>
      <w:r>
        <w:rPr>
          <w:spacing w:val="-1"/>
          <w:w w:val="95"/>
        </w:rPr>
        <w:t>blic</w:t>
      </w:r>
      <w:r>
        <w:rPr>
          <w:w w:val="95"/>
        </w:rPr>
        <w:t>‖</w:t>
      </w:r>
      <w:r>
        <w:rPr>
          <w:spacing w:val="12"/>
        </w:rPr>
        <w:t> </w:t>
      </w:r>
      <w:r>
        <w:rPr>
          <w:w w:val="99"/>
        </w:rPr>
        <w:t>to</w:t>
      </w:r>
      <w:r>
        <w:rPr>
          <w:spacing w:val="12"/>
        </w:rPr>
        <w:t> </w:t>
      </w:r>
      <w:r>
        <w:rPr>
          <w:spacing w:val="-1"/>
          <w:w w:val="99"/>
        </w:rPr>
        <w:t>wo</w:t>
      </w:r>
      <w:r>
        <w:rPr>
          <w:w w:val="99"/>
        </w:rPr>
        <w:t>r</w:t>
      </w:r>
      <w:r>
        <w:rPr>
          <w:spacing w:val="-3"/>
          <w:w w:val="99"/>
        </w:rPr>
        <w:t>s</w:t>
      </w:r>
      <w:r>
        <w:rPr>
          <w:spacing w:val="-1"/>
          <w:w w:val="99"/>
        </w:rPr>
        <w:t>hi</w:t>
      </w:r>
      <w:r>
        <w:rPr>
          <w:w w:val="99"/>
        </w:rPr>
        <w:t>p</w:t>
      </w:r>
      <w:r>
        <w:rPr>
          <w:spacing w:val="12"/>
        </w:rPr>
        <w:t> </w:t>
      </w:r>
      <w:r>
        <w:rPr>
          <w:spacing w:val="-1"/>
          <w:w w:val="99"/>
        </w:rPr>
        <w:t>a</w:t>
      </w:r>
      <w:r>
        <w:rPr>
          <w:w w:val="99"/>
        </w:rPr>
        <w:t>t</w:t>
      </w:r>
      <w:r>
        <w:rPr>
          <w:spacing w:val="12"/>
        </w:rPr>
        <w:t> </w:t>
      </w:r>
      <w:r>
        <w:rPr>
          <w:w w:val="99"/>
        </w:rPr>
        <w:t>the</w:t>
      </w:r>
      <w:r>
        <w:rPr>
          <w:spacing w:val="12"/>
        </w:rPr>
        <w:t> </w:t>
      </w:r>
      <w:r>
        <w:rPr>
          <w:spacing w:val="-1"/>
          <w:w w:val="99"/>
        </w:rPr>
        <w:t>disp</w:t>
      </w:r>
      <w:r>
        <w:rPr>
          <w:w w:val="99"/>
        </w:rPr>
        <w:t>uted</w:t>
      </w:r>
      <w:r>
        <w:rPr>
          <w:spacing w:val="12"/>
        </w:rPr>
        <w:t> </w:t>
      </w:r>
      <w:r>
        <w:rPr>
          <w:spacing w:val="-1"/>
          <w:w w:val="99"/>
        </w:rPr>
        <w:t>p</w:t>
      </w:r>
      <w:r>
        <w:rPr>
          <w:spacing w:val="-2"/>
          <w:w w:val="99"/>
        </w:rPr>
        <w:t>r</w:t>
      </w:r>
      <w:r>
        <w:rPr>
          <w:spacing w:val="-1"/>
          <w:w w:val="99"/>
        </w:rPr>
        <w:t>o</w:t>
      </w:r>
      <w:r>
        <w:rPr>
          <w:w w:val="99"/>
        </w:rPr>
        <w:t>p</w:t>
      </w:r>
      <w:r>
        <w:rPr>
          <w:spacing w:val="-1"/>
          <w:w w:val="99"/>
        </w:rPr>
        <w:t>e</w:t>
      </w:r>
      <w:r>
        <w:rPr>
          <w:w w:val="99"/>
        </w:rPr>
        <w:t>rty</w:t>
      </w:r>
      <w:r>
        <w:rPr>
          <w:spacing w:val="9"/>
        </w:rPr>
        <w:t> </w:t>
      </w:r>
      <w:r>
        <w:rPr>
          <w:spacing w:val="-1"/>
          <w:w w:val="99"/>
        </w:rPr>
        <w:t>witho</w:t>
      </w:r>
      <w:r>
        <w:rPr>
          <w:w w:val="99"/>
        </w:rPr>
        <w:t>ut</w:t>
      </w:r>
      <w:r>
        <w:rPr>
          <w:spacing w:val="12"/>
        </w:rPr>
        <w:t> </w:t>
      </w:r>
      <w:r>
        <w:rPr>
          <w:spacing w:val="-1"/>
          <w:w w:val="99"/>
        </w:rPr>
        <w:t>u</w:t>
      </w:r>
      <w:r>
        <w:rPr>
          <w:w w:val="99"/>
        </w:rPr>
        <w:t>n</w:t>
      </w:r>
      <w:r>
        <w:rPr>
          <w:spacing w:val="-1"/>
          <w:w w:val="99"/>
        </w:rPr>
        <w:t>d</w:t>
      </w:r>
      <w:r>
        <w:rPr>
          <w:w w:val="99"/>
        </w:rPr>
        <w:t>ue</w:t>
      </w:r>
      <w:r>
        <w:rPr>
          <w:spacing w:val="12"/>
        </w:rPr>
        <w:t> </w:t>
      </w:r>
      <w:r>
        <w:rPr>
          <w:spacing w:val="-1"/>
          <w:w w:val="99"/>
        </w:rPr>
        <w:t>int</w:t>
      </w:r>
      <w:r>
        <w:rPr>
          <w:w w:val="99"/>
        </w:rPr>
        <w:t>erfe</w:t>
      </w:r>
      <w:r>
        <w:rPr>
          <w:spacing w:val="1"/>
          <w:w w:val="99"/>
        </w:rPr>
        <w:t>r</w:t>
      </w:r>
      <w:r>
        <w:rPr>
          <w:spacing w:val="-1"/>
          <w:w w:val="99"/>
        </w:rPr>
        <w:t>e</w:t>
      </w:r>
      <w:r>
        <w:rPr>
          <w:w w:val="99"/>
        </w:rPr>
        <w:t>nce.</w:t>
      </w:r>
      <w:r>
        <w:rPr>
          <w:spacing w:val="12"/>
        </w:rPr>
        <w:t> </w:t>
      </w:r>
      <w:r>
        <w:rPr>
          <w:spacing w:val="-1"/>
          <w:w w:val="99"/>
        </w:rPr>
        <w:t>B</w:t>
      </w:r>
      <w:r>
        <w:rPr>
          <w:w w:val="99"/>
        </w:rPr>
        <w:t>y</w:t>
      </w:r>
    </w:p>
    <w:p>
      <w:pPr>
        <w:spacing w:after="0" w:line="286" w:lineRule="exact"/>
        <w:jc w:val="both"/>
        <w:sectPr>
          <w:pgSz w:w="11910" w:h="16840"/>
          <w:pgMar w:header="721" w:footer="1014" w:top="1300" w:bottom="1200" w:left="940" w:right="1000"/>
        </w:sectPr>
      </w:pPr>
    </w:p>
    <w:p>
      <w:pPr>
        <w:pStyle w:val="BodyText"/>
        <w:spacing w:line="480" w:lineRule="auto" w:before="124"/>
        <w:ind w:left="500" w:right="438"/>
        <w:jc w:val="both"/>
      </w:pPr>
      <w:r>
        <w:rPr/>
        <w:t>an order dated 22 February 1986, the court permitted Rajendra Singh Visharad, the son of the original plaintiff, to be substituted as the first plaintiff in Suit 1. </w:t>
      </w:r>
      <w:r>
        <w:rPr>
          <w:w w:val="99"/>
        </w:rPr>
        <w:t>Rajen</w:t>
      </w:r>
      <w:r>
        <w:rPr>
          <w:w w:val="99"/>
        </w:rPr>
        <w:t>d</w:t>
      </w:r>
      <w:r>
        <w:rPr>
          <w:spacing w:val="1"/>
          <w:w w:val="99"/>
        </w:rPr>
        <w:t>r</w:t>
      </w:r>
      <w:r>
        <w:rPr>
          <w:w w:val="99"/>
        </w:rPr>
        <w:t>a</w:t>
      </w:r>
      <w:r>
        <w:rPr>
          <w:spacing w:val="-1"/>
        </w:rPr>
        <w:t> </w:t>
      </w:r>
      <w:r>
        <w:rPr>
          <w:w w:val="99"/>
        </w:rPr>
        <w:t>Singh</w:t>
      </w:r>
      <w:r>
        <w:rPr/>
        <w:t> </w:t>
      </w:r>
      <w:r>
        <w:rPr>
          <w:w w:val="99"/>
        </w:rPr>
        <w:t>V</w:t>
      </w:r>
      <w:r>
        <w:rPr>
          <w:spacing w:val="-1"/>
          <w:w w:val="99"/>
        </w:rPr>
        <w:t>i</w:t>
      </w:r>
      <w:r>
        <w:rPr>
          <w:w w:val="99"/>
        </w:rPr>
        <w:t>sh</w:t>
      </w:r>
      <w:r>
        <w:rPr>
          <w:spacing w:val="3"/>
          <w:w w:val="99"/>
        </w:rPr>
        <w:t>a</w:t>
      </w:r>
      <w:r>
        <w:rPr>
          <w:w w:val="99"/>
        </w:rPr>
        <w:t>r</w:t>
      </w:r>
      <w:r>
        <w:rPr>
          <w:w w:val="99"/>
        </w:rPr>
        <w:t>ad</w:t>
      </w:r>
      <w:r>
        <w:rPr/>
        <w:t> </w:t>
      </w:r>
      <w:r>
        <w:rPr>
          <w:w w:val="99"/>
        </w:rPr>
        <w:t>is</w:t>
      </w:r>
      <w:r>
        <w:rPr>
          <w:spacing w:val="-1"/>
        </w:rPr>
        <w:t> </w:t>
      </w:r>
      <w:r>
        <w:rPr>
          <w:w w:val="99"/>
        </w:rPr>
        <w:t>also</w:t>
      </w:r>
      <w:r>
        <w:rPr/>
        <w:t> </w:t>
      </w:r>
      <w:r>
        <w:rPr>
          <w:w w:val="99"/>
        </w:rPr>
        <w:t>a</w:t>
      </w:r>
      <w:r>
        <w:rPr/>
        <w:t> </w:t>
      </w:r>
      <w:r>
        <w:rPr>
          <w:w w:val="99"/>
        </w:rPr>
        <w:t>followe</w:t>
      </w:r>
      <w:r>
        <w:rPr>
          <w:w w:val="99"/>
        </w:rPr>
        <w:t>r</w:t>
      </w:r>
      <w:r>
        <w:rPr>
          <w:spacing w:val="2"/>
        </w:rPr>
        <w:t> </w:t>
      </w:r>
      <w:r>
        <w:rPr>
          <w:w w:val="99"/>
        </w:rPr>
        <w:t>of</w:t>
      </w:r>
      <w:r>
        <w:rPr/>
        <w:t> </w:t>
      </w:r>
      <w:r>
        <w:rPr>
          <w:w w:val="99"/>
        </w:rPr>
        <w:t>the</w:t>
      </w:r>
      <w:r>
        <w:rPr>
          <w:spacing w:val="5"/>
        </w:rPr>
        <w:t> </w:t>
      </w:r>
      <w:r>
        <w:rPr>
          <w:spacing w:val="-1"/>
          <w:w w:val="40"/>
        </w:rPr>
        <w:t>‗</w:t>
      </w:r>
      <w:r>
        <w:rPr>
          <w:i/>
          <w:spacing w:val="-1"/>
          <w:w w:val="99"/>
        </w:rPr>
        <w:t>S</w:t>
      </w:r>
      <w:r>
        <w:rPr>
          <w:i/>
          <w:w w:val="99"/>
        </w:rPr>
        <w:t>anatan</w:t>
      </w:r>
      <w:r>
        <w:rPr>
          <w:i/>
          <w:spacing w:val="-1"/>
        </w:rPr>
        <w:t> </w:t>
      </w:r>
      <w:r>
        <w:rPr>
          <w:i/>
          <w:w w:val="99"/>
        </w:rPr>
        <w:t>Dha</w:t>
      </w:r>
      <w:r>
        <w:rPr>
          <w:i/>
          <w:spacing w:val="1"/>
          <w:w w:val="99"/>
        </w:rPr>
        <w:t>r</w:t>
      </w:r>
      <w:r>
        <w:rPr>
          <w:i/>
          <w:spacing w:val="-1"/>
          <w:w w:val="99"/>
        </w:rPr>
        <w:t>m</w:t>
      </w:r>
      <w:r>
        <w:rPr>
          <w:w w:val="99"/>
        </w:rPr>
        <w:t>‘</w:t>
      </w:r>
      <w:r>
        <w:rPr>
          <w:spacing w:val="-1"/>
        </w:rPr>
        <w:t> </w:t>
      </w:r>
      <w:r>
        <w:rPr>
          <w:w w:val="99"/>
        </w:rPr>
        <w:t>and</w:t>
      </w:r>
      <w:r>
        <w:rPr>
          <w:spacing w:val="-1"/>
        </w:rPr>
        <w:t> </w:t>
      </w:r>
      <w:r>
        <w:rPr>
          <w:w w:val="99"/>
        </w:rPr>
        <w:t>pe</w:t>
      </w:r>
      <w:r>
        <w:rPr>
          <w:spacing w:val="1"/>
          <w:w w:val="99"/>
        </w:rPr>
        <w:t>r</w:t>
      </w:r>
      <w:r>
        <w:rPr>
          <w:w w:val="99"/>
        </w:rPr>
        <w:t>fo</w:t>
      </w:r>
      <w:r>
        <w:rPr>
          <w:spacing w:val="1"/>
          <w:w w:val="99"/>
        </w:rPr>
        <w:t>r</w:t>
      </w:r>
      <w:r>
        <w:rPr>
          <w:w w:val="99"/>
        </w:rPr>
        <w:t>m</w:t>
      </w:r>
      <w:r>
        <w:rPr>
          <w:w w:val="99"/>
        </w:rPr>
        <w:t>ed worship</w:t>
      </w:r>
      <w:r>
        <w:rPr/>
        <w:t> </w:t>
      </w:r>
      <w:r>
        <w:rPr>
          <w:spacing w:val="-29"/>
        </w:rPr>
        <w:t> </w:t>
      </w:r>
      <w:r>
        <w:rPr>
          <w:w w:val="99"/>
        </w:rPr>
        <w:t>at</w:t>
      </w:r>
      <w:r>
        <w:rPr/>
        <w:t> </w:t>
      </w:r>
      <w:r>
        <w:rPr>
          <w:spacing w:val="-29"/>
        </w:rPr>
        <w:t> </w:t>
      </w:r>
      <w:r>
        <w:rPr>
          <w:w w:val="99"/>
        </w:rPr>
        <w:t>the</w:t>
      </w:r>
      <w:r>
        <w:rPr/>
        <w:t> </w:t>
      </w:r>
      <w:r>
        <w:rPr>
          <w:spacing w:val="-29"/>
        </w:rPr>
        <w:t> </w:t>
      </w:r>
      <w:r>
        <w:rPr>
          <w:w w:val="99"/>
        </w:rPr>
        <w:t>dispu</w:t>
      </w:r>
      <w:r>
        <w:rPr>
          <w:w w:val="99"/>
        </w:rPr>
        <w:t>ted</w:t>
      </w:r>
      <w:r>
        <w:rPr/>
        <w:t> </w:t>
      </w:r>
      <w:r>
        <w:rPr>
          <w:spacing w:val="-29"/>
        </w:rPr>
        <w:t> </w:t>
      </w:r>
      <w:r>
        <w:rPr>
          <w:w w:val="99"/>
        </w:rPr>
        <w:t>site.</w:t>
      </w:r>
      <w:r>
        <w:rPr/>
        <w:t> </w:t>
      </w:r>
      <w:r>
        <w:rPr>
          <w:spacing w:val="-29"/>
        </w:rPr>
        <w:t> </w:t>
      </w:r>
      <w:r>
        <w:rPr>
          <w:w w:val="99"/>
        </w:rPr>
        <w:t>T</w:t>
      </w:r>
      <w:r>
        <w:rPr>
          <w:w w:val="99"/>
        </w:rPr>
        <w:t>he</w:t>
      </w:r>
      <w:r>
        <w:rPr/>
        <w:t> </w:t>
      </w:r>
      <w:r>
        <w:rPr>
          <w:spacing w:val="-29"/>
        </w:rPr>
        <w:t> </w:t>
      </w:r>
      <w:r>
        <w:rPr>
          <w:w w:val="99"/>
        </w:rPr>
        <w:t>r</w:t>
      </w:r>
      <w:r>
        <w:rPr>
          <w:w w:val="99"/>
        </w:rPr>
        <w:t>ight</w:t>
      </w:r>
      <w:r>
        <w:rPr/>
        <w:t> </w:t>
      </w:r>
      <w:r>
        <w:rPr>
          <w:spacing w:val="-29"/>
        </w:rPr>
        <w:t> </w:t>
      </w:r>
      <w:r>
        <w:rPr>
          <w:w w:val="99"/>
        </w:rPr>
        <w:t>a</w:t>
      </w:r>
      <w:r>
        <w:rPr>
          <w:spacing w:val="-2"/>
          <w:w w:val="99"/>
        </w:rPr>
        <w:t>s</w:t>
      </w:r>
      <w:r>
        <w:rPr>
          <w:w w:val="99"/>
        </w:rPr>
        <w:t>se</w:t>
      </w:r>
      <w:r>
        <w:rPr>
          <w:spacing w:val="1"/>
          <w:w w:val="99"/>
        </w:rPr>
        <w:t>r</w:t>
      </w:r>
      <w:r>
        <w:rPr>
          <w:w w:val="99"/>
        </w:rPr>
        <w:t>ted</w:t>
      </w:r>
      <w:r>
        <w:rPr/>
        <w:t> </w:t>
      </w:r>
      <w:r>
        <w:rPr>
          <w:spacing w:val="-29"/>
        </w:rPr>
        <w:t> </w:t>
      </w:r>
      <w:r>
        <w:rPr>
          <w:spacing w:val="6"/>
          <w:w w:val="99"/>
        </w:rPr>
        <w:t>o</w:t>
      </w:r>
      <w:r>
        <w:rPr>
          <w:w w:val="99"/>
        </w:rPr>
        <w:t>n</w:t>
      </w:r>
      <w:r>
        <w:rPr/>
        <w:t> </w:t>
      </w:r>
      <w:r>
        <w:rPr>
          <w:spacing w:val="-29"/>
        </w:rPr>
        <w:t> </w:t>
      </w:r>
      <w:r>
        <w:rPr>
          <w:spacing w:val="-1"/>
          <w:w w:val="99"/>
        </w:rPr>
        <w:t>b</w:t>
      </w:r>
      <w:r>
        <w:rPr>
          <w:w w:val="99"/>
        </w:rPr>
        <w:t>e</w:t>
      </w:r>
      <w:r>
        <w:rPr>
          <w:spacing w:val="-1"/>
          <w:w w:val="99"/>
        </w:rPr>
        <w:t>h</w:t>
      </w:r>
      <w:r>
        <w:rPr>
          <w:w w:val="99"/>
        </w:rPr>
        <w:t>a</w:t>
      </w:r>
      <w:r>
        <w:rPr>
          <w:spacing w:val="-1"/>
          <w:w w:val="99"/>
        </w:rPr>
        <w:t>l</w:t>
      </w:r>
      <w:r>
        <w:rPr>
          <w:w w:val="99"/>
        </w:rPr>
        <w:t>f</w:t>
      </w:r>
      <w:r>
        <w:rPr/>
        <w:t> </w:t>
      </w:r>
      <w:r>
        <w:rPr>
          <w:spacing w:val="-29"/>
        </w:rPr>
        <w:t> </w:t>
      </w:r>
      <w:r>
        <w:rPr>
          <w:spacing w:val="-1"/>
          <w:w w:val="99"/>
        </w:rPr>
        <w:t>o</w:t>
      </w:r>
      <w:r>
        <w:rPr>
          <w:w w:val="99"/>
        </w:rPr>
        <w:t>f</w:t>
      </w:r>
      <w:r>
        <w:rPr/>
        <w:t> </w:t>
      </w:r>
      <w:r>
        <w:rPr>
          <w:spacing w:val="-29"/>
        </w:rPr>
        <w:t> </w:t>
      </w:r>
      <w:r>
        <w:rPr>
          <w:spacing w:val="-3"/>
          <w:w w:val="99"/>
        </w:rPr>
        <w:t>t</w:t>
      </w:r>
      <w:r>
        <w:rPr>
          <w:spacing w:val="-1"/>
          <w:w w:val="99"/>
        </w:rPr>
        <w:t>h</w:t>
      </w:r>
      <w:r>
        <w:rPr>
          <w:w w:val="99"/>
        </w:rPr>
        <w:t>e</w:t>
      </w:r>
      <w:r>
        <w:rPr/>
        <w:t> </w:t>
      </w:r>
      <w:r>
        <w:rPr>
          <w:spacing w:val="-29"/>
        </w:rPr>
        <w:t> </w:t>
      </w:r>
      <w:r>
        <w:rPr>
          <w:spacing w:val="-1"/>
          <w:w w:val="99"/>
        </w:rPr>
        <w:t>la</w:t>
      </w:r>
      <w:r>
        <w:rPr>
          <w:w w:val="99"/>
        </w:rPr>
        <w:t>r</w:t>
      </w:r>
      <w:r>
        <w:rPr>
          <w:spacing w:val="-1"/>
          <w:w w:val="99"/>
        </w:rPr>
        <w:t>g</w:t>
      </w:r>
      <w:r>
        <w:rPr>
          <w:w w:val="99"/>
        </w:rPr>
        <w:t>er</w:t>
      </w:r>
      <w:r>
        <w:rPr/>
        <w:t> </w:t>
      </w:r>
      <w:r>
        <w:rPr>
          <w:spacing w:val="-29"/>
        </w:rPr>
        <w:t> </w:t>
      </w:r>
      <w:r>
        <w:rPr>
          <w:w w:val="33"/>
        </w:rPr>
        <w:t>―</w:t>
      </w:r>
      <w:r>
        <w:rPr>
          <w:spacing w:val="-1"/>
          <w:w w:val="99"/>
        </w:rPr>
        <w:t>Hindu </w:t>
      </w:r>
      <w:r>
        <w:rPr/>
        <w:t>public‖ does not stand extinguished upon the death of the original plaintiff and can be pursued by his son who is also a</w:t>
      </w:r>
      <w:r>
        <w:rPr>
          <w:spacing w:val="-11"/>
        </w:rPr>
        <w:t> </w:t>
      </w:r>
      <w:r>
        <w:rPr/>
        <w:t>worshipper.</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44" w:firstLine="0"/>
        <w:jc w:val="both"/>
        <w:rPr>
          <w:sz w:val="25"/>
        </w:rPr>
      </w:pPr>
      <w:r>
        <w:rPr>
          <w:sz w:val="25"/>
        </w:rPr>
        <w:t>The remaining issues in contention in Suit 1 are connected with the ones argued in Suit 5. The relief sought in Suit 5 will have a direct impact on the plaintiff‘s right to pray as claimed in Suit 1. Accordingly, we will deal with the contentions raised in Suit 1 at the time of addressing the contentions in Suit</w:t>
      </w:r>
      <w:r>
        <w:rPr>
          <w:spacing w:val="-22"/>
          <w:sz w:val="25"/>
        </w:rPr>
        <w:t> </w:t>
      </w:r>
      <w:r>
        <w:rPr>
          <w:sz w:val="25"/>
        </w:rPr>
        <w:t>5.</w:t>
      </w:r>
    </w:p>
    <w:p>
      <w:pPr>
        <w:pStyle w:val="BodyText"/>
        <w:spacing w:before="6"/>
        <w:rPr>
          <w:sz w:val="35"/>
        </w:rPr>
      </w:pPr>
    </w:p>
    <w:p>
      <w:pPr>
        <w:pStyle w:val="Heading3"/>
        <w:numPr>
          <w:ilvl w:val="0"/>
          <w:numId w:val="56"/>
        </w:numPr>
        <w:tabs>
          <w:tab w:pos="1221" w:val="left" w:leader="none"/>
        </w:tabs>
        <w:spacing w:line="240" w:lineRule="auto" w:before="0" w:after="0"/>
        <w:ind w:left="1220" w:right="0" w:hanging="721"/>
        <w:jc w:val="both"/>
      </w:pPr>
      <w:r>
        <w:rPr/>
        <w:t>Suit 3: Nirmohi</w:t>
      </w:r>
      <w:r>
        <w:rPr>
          <w:spacing w:val="5"/>
        </w:rPr>
        <w:t> </w:t>
      </w:r>
      <w:r>
        <w:rPr/>
        <w:t>Akhara</w:t>
      </w:r>
    </w:p>
    <w:p>
      <w:pPr>
        <w:pStyle w:val="BodyText"/>
        <w:rPr>
          <w:b/>
          <w:sz w:val="28"/>
        </w:rPr>
      </w:pPr>
    </w:p>
    <w:p>
      <w:pPr>
        <w:pStyle w:val="ListParagraph"/>
        <w:numPr>
          <w:ilvl w:val="1"/>
          <w:numId w:val="56"/>
        </w:numPr>
        <w:tabs>
          <w:tab w:pos="1221" w:val="left" w:leader="none"/>
        </w:tabs>
        <w:spacing w:line="240" w:lineRule="auto" w:before="217" w:after="0"/>
        <w:ind w:left="1220" w:right="0" w:hanging="721"/>
        <w:jc w:val="both"/>
        <w:rPr>
          <w:b/>
          <w:sz w:val="26"/>
        </w:rPr>
      </w:pPr>
      <w:r>
        <w:rPr>
          <w:b/>
          <w:sz w:val="26"/>
        </w:rPr>
        <w:t>Pleadings</w:t>
      </w:r>
    </w:p>
    <w:p>
      <w:pPr>
        <w:pStyle w:val="BodyText"/>
        <w:rPr>
          <w:b/>
          <w:sz w:val="28"/>
        </w:rPr>
      </w:pPr>
    </w:p>
    <w:p>
      <w:pPr>
        <w:pStyle w:val="BodyText"/>
        <w:rPr>
          <w:b/>
          <w:sz w:val="28"/>
        </w:rPr>
      </w:pPr>
    </w:p>
    <w:p>
      <w:pPr>
        <w:pStyle w:val="ListParagraph"/>
        <w:numPr>
          <w:ilvl w:val="0"/>
          <w:numId w:val="3"/>
        </w:numPr>
        <w:tabs>
          <w:tab w:pos="1221" w:val="left" w:leader="none"/>
        </w:tabs>
        <w:spacing w:line="480" w:lineRule="auto" w:before="194" w:after="0"/>
        <w:ind w:left="500" w:right="438" w:firstLine="0"/>
        <w:jc w:val="both"/>
        <w:rPr>
          <w:sz w:val="25"/>
        </w:rPr>
      </w:pPr>
      <w:r>
        <w:rPr>
          <w:sz w:val="25"/>
        </w:rPr>
        <w:t>Nirmohi Akhara claims that the Janmasthan, commonly known as </w:t>
      </w:r>
      <w:r>
        <w:rPr>
          <w:w w:val="99"/>
          <w:sz w:val="25"/>
        </w:rPr>
        <w:t>Jan</w:t>
      </w:r>
      <w:r>
        <w:rPr>
          <w:w w:val="99"/>
          <w:sz w:val="25"/>
        </w:rPr>
        <w:t>m</w:t>
      </w:r>
      <w:r>
        <w:rPr>
          <w:w w:val="99"/>
          <w:sz w:val="25"/>
        </w:rPr>
        <w:t>abhu</w:t>
      </w:r>
      <w:r>
        <w:rPr>
          <w:w w:val="99"/>
          <w:sz w:val="25"/>
        </w:rPr>
        <w:t>mi,</w:t>
      </w:r>
      <w:r>
        <w:rPr>
          <w:sz w:val="25"/>
        </w:rPr>
        <w:t> </w:t>
      </w:r>
      <w:r>
        <w:rPr>
          <w:spacing w:val="-12"/>
          <w:sz w:val="25"/>
        </w:rPr>
        <w:t> </w:t>
      </w:r>
      <w:r>
        <w:rPr>
          <w:w w:val="99"/>
          <w:sz w:val="25"/>
        </w:rPr>
        <w:t>which</w:t>
      </w:r>
      <w:r>
        <w:rPr>
          <w:sz w:val="25"/>
        </w:rPr>
        <w:t> </w:t>
      </w:r>
      <w:r>
        <w:rPr>
          <w:spacing w:val="-12"/>
          <w:sz w:val="25"/>
        </w:rPr>
        <w:t> </w:t>
      </w:r>
      <w:r>
        <w:rPr>
          <w:spacing w:val="2"/>
          <w:w w:val="99"/>
          <w:sz w:val="25"/>
        </w:rPr>
        <w:t>i</w:t>
      </w:r>
      <w:r>
        <w:rPr>
          <w:w w:val="99"/>
          <w:sz w:val="25"/>
        </w:rPr>
        <w:t>s</w:t>
      </w:r>
      <w:r>
        <w:rPr>
          <w:sz w:val="25"/>
        </w:rPr>
        <w:t> </w:t>
      </w:r>
      <w:r>
        <w:rPr>
          <w:spacing w:val="-12"/>
          <w:sz w:val="25"/>
        </w:rPr>
        <w:t> </w:t>
      </w:r>
      <w:r>
        <w:rPr>
          <w:w w:val="99"/>
          <w:sz w:val="25"/>
        </w:rPr>
        <w:t>the</w:t>
      </w:r>
      <w:r>
        <w:rPr>
          <w:sz w:val="25"/>
        </w:rPr>
        <w:t> </w:t>
      </w:r>
      <w:r>
        <w:rPr>
          <w:spacing w:val="-12"/>
          <w:sz w:val="25"/>
        </w:rPr>
        <w:t> </w:t>
      </w:r>
      <w:r>
        <w:rPr>
          <w:w w:val="99"/>
          <w:sz w:val="25"/>
        </w:rPr>
        <w:t>bir</w:t>
      </w:r>
      <w:r>
        <w:rPr>
          <w:w w:val="99"/>
          <w:sz w:val="25"/>
        </w:rPr>
        <w:t>t</w:t>
      </w:r>
      <w:r>
        <w:rPr>
          <w:spacing w:val="4"/>
          <w:w w:val="99"/>
          <w:sz w:val="25"/>
        </w:rPr>
        <w:t>h</w:t>
      </w:r>
      <w:r>
        <w:rPr>
          <w:w w:val="99"/>
          <w:sz w:val="25"/>
        </w:rPr>
        <w:t>-</w:t>
      </w:r>
      <w:r>
        <w:rPr>
          <w:spacing w:val="-1"/>
          <w:w w:val="99"/>
          <w:sz w:val="25"/>
        </w:rPr>
        <w:t>plac</w:t>
      </w:r>
      <w:r>
        <w:rPr>
          <w:w w:val="99"/>
          <w:sz w:val="25"/>
        </w:rPr>
        <w:t>e</w:t>
      </w:r>
      <w:r>
        <w:rPr>
          <w:sz w:val="25"/>
        </w:rPr>
        <w:t> </w:t>
      </w:r>
      <w:r>
        <w:rPr>
          <w:spacing w:val="-12"/>
          <w:sz w:val="25"/>
        </w:rPr>
        <w:t> </w:t>
      </w:r>
      <w:r>
        <w:rPr>
          <w:spacing w:val="-1"/>
          <w:w w:val="99"/>
          <w:sz w:val="25"/>
        </w:rPr>
        <w:t>o</w:t>
      </w:r>
      <w:r>
        <w:rPr>
          <w:w w:val="99"/>
          <w:sz w:val="25"/>
        </w:rPr>
        <w:t>f</w:t>
      </w:r>
      <w:r>
        <w:rPr>
          <w:sz w:val="25"/>
        </w:rPr>
        <w:t> </w:t>
      </w:r>
      <w:r>
        <w:rPr>
          <w:spacing w:val="-9"/>
          <w:sz w:val="25"/>
        </w:rPr>
        <w:t> </w:t>
      </w:r>
      <w:r>
        <w:rPr>
          <w:spacing w:val="-1"/>
          <w:w w:val="99"/>
          <w:sz w:val="25"/>
        </w:rPr>
        <w:t>L</w:t>
      </w:r>
      <w:r>
        <w:rPr>
          <w:w w:val="99"/>
          <w:sz w:val="25"/>
        </w:rPr>
        <w:t>ord</w:t>
      </w:r>
      <w:r>
        <w:rPr>
          <w:sz w:val="25"/>
        </w:rPr>
        <w:t> </w:t>
      </w:r>
      <w:r>
        <w:rPr>
          <w:spacing w:val="-12"/>
          <w:sz w:val="25"/>
        </w:rPr>
        <w:t> </w:t>
      </w:r>
      <w:r>
        <w:rPr>
          <w:spacing w:val="-1"/>
          <w:w w:val="99"/>
          <w:sz w:val="25"/>
        </w:rPr>
        <w:t>Ra</w:t>
      </w:r>
      <w:r>
        <w:rPr>
          <w:w w:val="99"/>
          <w:sz w:val="25"/>
        </w:rPr>
        <w:t>m</w:t>
      </w:r>
      <w:r>
        <w:rPr>
          <w:sz w:val="25"/>
        </w:rPr>
        <w:t> </w:t>
      </w:r>
      <w:r>
        <w:rPr>
          <w:spacing w:val="-12"/>
          <w:sz w:val="25"/>
        </w:rPr>
        <w:t> </w:t>
      </w:r>
      <w:r>
        <w:rPr>
          <w:w w:val="33"/>
          <w:sz w:val="25"/>
        </w:rPr>
        <w:t>―</w:t>
      </w:r>
      <w:r>
        <w:rPr>
          <w:spacing w:val="-1"/>
          <w:w w:val="99"/>
          <w:sz w:val="25"/>
        </w:rPr>
        <w:t>b</w:t>
      </w:r>
      <w:r>
        <w:rPr>
          <w:w w:val="99"/>
          <w:sz w:val="25"/>
        </w:rPr>
        <w:t>e</w:t>
      </w:r>
      <w:r>
        <w:rPr>
          <w:spacing w:val="-1"/>
          <w:w w:val="99"/>
          <w:sz w:val="25"/>
        </w:rPr>
        <w:t>lon</w:t>
      </w:r>
      <w:r>
        <w:rPr>
          <w:w w:val="99"/>
          <w:sz w:val="25"/>
        </w:rPr>
        <w:t>gs</w:t>
      </w:r>
      <w:r>
        <w:rPr>
          <w:sz w:val="25"/>
        </w:rPr>
        <w:t> </w:t>
      </w:r>
      <w:r>
        <w:rPr>
          <w:spacing w:val="-12"/>
          <w:sz w:val="25"/>
        </w:rPr>
        <w:t> </w:t>
      </w:r>
      <w:r>
        <w:rPr>
          <w:spacing w:val="-1"/>
          <w:w w:val="99"/>
          <w:sz w:val="25"/>
        </w:rPr>
        <w:t>a</w:t>
      </w:r>
      <w:r>
        <w:rPr>
          <w:w w:val="99"/>
          <w:sz w:val="25"/>
        </w:rPr>
        <w:t>nd</w:t>
      </w:r>
      <w:r>
        <w:rPr>
          <w:sz w:val="25"/>
        </w:rPr>
        <w:t> </w:t>
      </w:r>
      <w:r>
        <w:rPr>
          <w:spacing w:val="-12"/>
          <w:sz w:val="25"/>
        </w:rPr>
        <w:t> </w:t>
      </w:r>
      <w:r>
        <w:rPr>
          <w:spacing w:val="-1"/>
          <w:w w:val="99"/>
          <w:sz w:val="25"/>
        </w:rPr>
        <w:t>h</w:t>
      </w:r>
      <w:r>
        <w:rPr>
          <w:w w:val="99"/>
          <w:sz w:val="25"/>
        </w:rPr>
        <w:t>as</w:t>
      </w:r>
      <w:r>
        <w:rPr>
          <w:sz w:val="25"/>
        </w:rPr>
        <w:t> </w:t>
      </w:r>
      <w:r>
        <w:rPr>
          <w:spacing w:val="-12"/>
          <w:sz w:val="25"/>
        </w:rPr>
        <w:t> </w:t>
      </w:r>
      <w:r>
        <w:rPr>
          <w:spacing w:val="-1"/>
          <w:w w:val="99"/>
          <w:sz w:val="25"/>
        </w:rPr>
        <w:t>alw</w:t>
      </w:r>
      <w:r>
        <w:rPr>
          <w:spacing w:val="2"/>
          <w:w w:val="99"/>
          <w:sz w:val="25"/>
        </w:rPr>
        <w:t>a</w:t>
      </w:r>
      <w:r>
        <w:rPr>
          <w:spacing w:val="-3"/>
          <w:w w:val="99"/>
          <w:sz w:val="25"/>
        </w:rPr>
        <w:t>y</w:t>
      </w:r>
      <w:r>
        <w:rPr>
          <w:w w:val="99"/>
          <w:sz w:val="25"/>
        </w:rPr>
        <w:t>s </w:t>
      </w:r>
      <w:r>
        <w:rPr>
          <w:spacing w:val="-1"/>
          <w:w w:val="99"/>
          <w:sz w:val="25"/>
        </w:rPr>
        <w:t>b</w:t>
      </w:r>
      <w:r>
        <w:rPr>
          <w:w w:val="99"/>
          <w:sz w:val="25"/>
        </w:rPr>
        <w:t>e</w:t>
      </w:r>
      <w:r>
        <w:rPr>
          <w:spacing w:val="-1"/>
          <w:w w:val="99"/>
          <w:sz w:val="25"/>
        </w:rPr>
        <w:t>lon</w:t>
      </w:r>
      <w:r>
        <w:rPr>
          <w:w w:val="99"/>
          <w:sz w:val="25"/>
        </w:rPr>
        <w:t>g</w:t>
      </w:r>
      <w:r>
        <w:rPr>
          <w:spacing w:val="-1"/>
          <w:w w:val="99"/>
          <w:sz w:val="25"/>
        </w:rPr>
        <w:t>e</w:t>
      </w:r>
      <w:r>
        <w:rPr>
          <w:w w:val="99"/>
          <w:sz w:val="25"/>
        </w:rPr>
        <w:t>d</w:t>
      </w:r>
      <w:r>
        <w:rPr>
          <w:w w:val="80"/>
          <w:sz w:val="25"/>
        </w:rPr>
        <w:t>‖</w:t>
      </w:r>
      <w:r>
        <w:rPr>
          <w:spacing w:val="22"/>
          <w:sz w:val="25"/>
        </w:rPr>
        <w:t> </w:t>
      </w:r>
      <w:r>
        <w:rPr>
          <w:w w:val="99"/>
          <w:sz w:val="25"/>
        </w:rPr>
        <w:t>to</w:t>
      </w:r>
      <w:r>
        <w:rPr>
          <w:spacing w:val="22"/>
          <w:sz w:val="25"/>
        </w:rPr>
        <w:t> </w:t>
      </w:r>
      <w:r>
        <w:rPr>
          <w:spacing w:val="-1"/>
          <w:w w:val="99"/>
          <w:sz w:val="25"/>
        </w:rPr>
        <w:t>i</w:t>
      </w:r>
      <w:r>
        <w:rPr>
          <w:w w:val="99"/>
          <w:sz w:val="25"/>
        </w:rPr>
        <w:t>t</w:t>
      </w:r>
      <w:r>
        <w:rPr>
          <w:spacing w:val="21"/>
          <w:sz w:val="25"/>
        </w:rPr>
        <w:t> </w:t>
      </w:r>
      <w:r>
        <w:rPr>
          <w:spacing w:val="-1"/>
          <w:w w:val="99"/>
          <w:sz w:val="25"/>
        </w:rPr>
        <w:t>a</w:t>
      </w:r>
      <w:r>
        <w:rPr>
          <w:w w:val="99"/>
          <w:sz w:val="25"/>
        </w:rPr>
        <w:t>nd</w:t>
      </w:r>
      <w:r>
        <w:rPr>
          <w:spacing w:val="21"/>
          <w:sz w:val="25"/>
        </w:rPr>
        <w:t> </w:t>
      </w:r>
      <w:r>
        <w:rPr>
          <w:spacing w:val="-1"/>
          <w:w w:val="99"/>
          <w:sz w:val="25"/>
        </w:rPr>
        <w:t>i</w:t>
      </w:r>
      <w:r>
        <w:rPr>
          <w:w w:val="99"/>
          <w:sz w:val="25"/>
        </w:rPr>
        <w:t>t</w:t>
      </w:r>
      <w:r>
        <w:rPr>
          <w:spacing w:val="26"/>
          <w:sz w:val="25"/>
        </w:rPr>
        <w:t> </w:t>
      </w:r>
      <w:r>
        <w:rPr>
          <w:spacing w:val="-1"/>
          <w:w w:val="99"/>
          <w:sz w:val="25"/>
        </w:rPr>
        <w:t>h</w:t>
      </w:r>
      <w:r>
        <w:rPr>
          <w:w w:val="99"/>
          <w:sz w:val="25"/>
        </w:rPr>
        <w:t>as</w:t>
      </w:r>
      <w:r>
        <w:rPr>
          <w:spacing w:val="21"/>
          <w:sz w:val="25"/>
        </w:rPr>
        <w:t> </w:t>
      </w:r>
      <w:r>
        <w:rPr>
          <w:spacing w:val="-1"/>
          <w:w w:val="99"/>
          <w:sz w:val="25"/>
        </w:rPr>
        <w:t>b</w:t>
      </w:r>
      <w:r>
        <w:rPr>
          <w:w w:val="99"/>
          <w:sz w:val="25"/>
        </w:rPr>
        <w:t>e</w:t>
      </w:r>
      <w:r>
        <w:rPr>
          <w:spacing w:val="-1"/>
          <w:w w:val="99"/>
          <w:sz w:val="25"/>
        </w:rPr>
        <w:t>e</w:t>
      </w:r>
      <w:r>
        <w:rPr>
          <w:w w:val="99"/>
          <w:sz w:val="25"/>
        </w:rPr>
        <w:t>n</w:t>
      </w:r>
      <w:r>
        <w:rPr>
          <w:spacing w:val="21"/>
          <w:sz w:val="25"/>
        </w:rPr>
        <w:t> </w:t>
      </w:r>
      <w:r>
        <w:rPr>
          <w:w w:val="33"/>
          <w:sz w:val="25"/>
        </w:rPr>
        <w:t>―</w:t>
      </w:r>
      <w:r>
        <w:rPr>
          <w:w w:val="99"/>
          <w:sz w:val="25"/>
        </w:rPr>
        <w:t>m</w:t>
      </w:r>
      <w:r>
        <w:rPr>
          <w:spacing w:val="-1"/>
          <w:w w:val="99"/>
          <w:sz w:val="25"/>
        </w:rPr>
        <w:t>a</w:t>
      </w:r>
      <w:r>
        <w:rPr>
          <w:w w:val="99"/>
          <w:sz w:val="25"/>
        </w:rPr>
        <w:t>n</w:t>
      </w:r>
      <w:r>
        <w:rPr>
          <w:spacing w:val="-1"/>
          <w:w w:val="99"/>
          <w:sz w:val="25"/>
        </w:rPr>
        <w:t>a</w:t>
      </w:r>
      <w:r>
        <w:rPr>
          <w:w w:val="99"/>
          <w:sz w:val="25"/>
        </w:rPr>
        <w:t>g</w:t>
      </w:r>
      <w:r>
        <w:rPr>
          <w:spacing w:val="-1"/>
          <w:w w:val="99"/>
          <w:sz w:val="25"/>
        </w:rPr>
        <w:t>in</w:t>
      </w:r>
      <w:r>
        <w:rPr>
          <w:w w:val="99"/>
          <w:sz w:val="25"/>
        </w:rPr>
        <w:t>g</w:t>
      </w:r>
      <w:r>
        <w:rPr>
          <w:spacing w:val="22"/>
          <w:sz w:val="25"/>
        </w:rPr>
        <w:t> </w:t>
      </w:r>
      <w:r>
        <w:rPr>
          <w:spacing w:val="-1"/>
          <w:w w:val="99"/>
          <w:sz w:val="25"/>
        </w:rPr>
        <w:t>i</w:t>
      </w:r>
      <w:r>
        <w:rPr>
          <w:w w:val="99"/>
          <w:sz w:val="25"/>
        </w:rPr>
        <w:t>t</w:t>
      </w:r>
      <w:r>
        <w:rPr>
          <w:spacing w:val="21"/>
          <w:sz w:val="25"/>
        </w:rPr>
        <w:t> </w:t>
      </w:r>
      <w:r>
        <w:rPr>
          <w:spacing w:val="-1"/>
          <w:w w:val="99"/>
          <w:sz w:val="25"/>
        </w:rPr>
        <w:t>a</w:t>
      </w:r>
      <w:r>
        <w:rPr>
          <w:w w:val="99"/>
          <w:sz w:val="25"/>
        </w:rPr>
        <w:t>nd</w:t>
      </w:r>
      <w:r>
        <w:rPr>
          <w:spacing w:val="21"/>
          <w:sz w:val="25"/>
        </w:rPr>
        <w:t> </w:t>
      </w:r>
      <w:r>
        <w:rPr>
          <w:w w:val="99"/>
          <w:sz w:val="25"/>
        </w:rPr>
        <w:t>r</w:t>
      </w:r>
      <w:r>
        <w:rPr>
          <w:spacing w:val="-1"/>
          <w:w w:val="99"/>
          <w:sz w:val="25"/>
        </w:rPr>
        <w:t>ec</w:t>
      </w:r>
      <w:r>
        <w:rPr>
          <w:w w:val="99"/>
          <w:sz w:val="25"/>
        </w:rPr>
        <w:t>e</w:t>
      </w:r>
      <w:r>
        <w:rPr>
          <w:spacing w:val="1"/>
          <w:w w:val="99"/>
          <w:sz w:val="25"/>
        </w:rPr>
        <w:t>i</w:t>
      </w:r>
      <w:r>
        <w:rPr>
          <w:spacing w:val="-3"/>
          <w:w w:val="99"/>
          <w:sz w:val="25"/>
        </w:rPr>
        <w:t>v</w:t>
      </w:r>
      <w:r>
        <w:rPr>
          <w:spacing w:val="-1"/>
          <w:w w:val="99"/>
          <w:sz w:val="25"/>
        </w:rPr>
        <w:t>in</w:t>
      </w:r>
      <w:r>
        <w:rPr>
          <w:w w:val="99"/>
          <w:sz w:val="25"/>
        </w:rPr>
        <w:t>g</w:t>
      </w:r>
      <w:r>
        <w:rPr>
          <w:spacing w:val="22"/>
          <w:sz w:val="25"/>
        </w:rPr>
        <w:t> </w:t>
      </w:r>
      <w:r>
        <w:rPr>
          <w:spacing w:val="-1"/>
          <w:w w:val="99"/>
          <w:sz w:val="25"/>
        </w:rPr>
        <w:t>of</w:t>
      </w:r>
      <w:r>
        <w:rPr>
          <w:w w:val="99"/>
          <w:sz w:val="25"/>
        </w:rPr>
        <w:t>f</w:t>
      </w:r>
      <w:r>
        <w:rPr>
          <w:spacing w:val="-1"/>
          <w:w w:val="99"/>
          <w:sz w:val="25"/>
        </w:rPr>
        <w:t>e</w:t>
      </w:r>
      <w:r>
        <w:rPr>
          <w:w w:val="99"/>
          <w:sz w:val="25"/>
        </w:rPr>
        <w:t>r</w:t>
      </w:r>
      <w:r>
        <w:rPr>
          <w:spacing w:val="1"/>
          <w:w w:val="99"/>
          <w:sz w:val="25"/>
        </w:rPr>
        <w:t>i</w:t>
      </w:r>
      <w:r>
        <w:rPr>
          <w:spacing w:val="-1"/>
          <w:w w:val="99"/>
          <w:sz w:val="25"/>
        </w:rPr>
        <w:t>n</w:t>
      </w:r>
      <w:r>
        <w:rPr>
          <w:w w:val="99"/>
          <w:sz w:val="25"/>
        </w:rPr>
        <w:t>gs</w:t>
      </w:r>
      <w:r>
        <w:rPr>
          <w:spacing w:val="21"/>
          <w:sz w:val="25"/>
        </w:rPr>
        <w:t> </w:t>
      </w:r>
      <w:r>
        <w:rPr>
          <w:w w:val="99"/>
          <w:sz w:val="25"/>
        </w:rPr>
        <w:t>th</w:t>
      </w:r>
      <w:r>
        <w:rPr>
          <w:spacing w:val="1"/>
          <w:w w:val="99"/>
          <w:sz w:val="25"/>
        </w:rPr>
        <w:t>r</w:t>
      </w:r>
      <w:r>
        <w:rPr>
          <w:spacing w:val="-1"/>
          <w:w w:val="99"/>
          <w:sz w:val="25"/>
        </w:rPr>
        <w:t>o</w:t>
      </w:r>
      <w:r>
        <w:rPr>
          <w:w w:val="99"/>
          <w:sz w:val="25"/>
        </w:rPr>
        <w:t>u</w:t>
      </w:r>
      <w:r>
        <w:rPr>
          <w:spacing w:val="-1"/>
          <w:w w:val="99"/>
          <w:sz w:val="25"/>
        </w:rPr>
        <w:t>g</w:t>
      </w:r>
      <w:r>
        <w:rPr>
          <w:w w:val="99"/>
          <w:sz w:val="25"/>
        </w:rPr>
        <w:t>h</w:t>
      </w:r>
      <w:r>
        <w:rPr>
          <w:spacing w:val="21"/>
          <w:sz w:val="25"/>
        </w:rPr>
        <w:t> </w:t>
      </w:r>
      <w:r>
        <w:rPr>
          <w:w w:val="99"/>
          <w:sz w:val="25"/>
        </w:rPr>
        <w:t>the </w:t>
      </w:r>
      <w:r>
        <w:rPr>
          <w:sz w:val="25"/>
        </w:rPr>
        <w:t>reigning Mahant and Sarbrahkar‖. Besides the receiver, the second to fifth defendants are official respondents represented by the State of Uttar Pradesh </w:t>
      </w:r>
      <w:r>
        <w:rPr>
          <w:spacing w:val="-1"/>
          <w:w w:val="99"/>
          <w:sz w:val="25"/>
        </w:rPr>
        <w:t>a</w:t>
      </w:r>
      <w:r>
        <w:rPr>
          <w:w w:val="99"/>
          <w:sz w:val="25"/>
        </w:rPr>
        <w:t>nd</w:t>
      </w:r>
      <w:r>
        <w:rPr>
          <w:spacing w:val="17"/>
          <w:sz w:val="25"/>
        </w:rPr>
        <w:t> </w:t>
      </w:r>
      <w:r>
        <w:rPr>
          <w:spacing w:val="-1"/>
          <w:w w:val="99"/>
          <w:sz w:val="25"/>
        </w:rPr>
        <w:t>it</w:t>
      </w:r>
      <w:r>
        <w:rPr>
          <w:w w:val="99"/>
          <w:sz w:val="25"/>
        </w:rPr>
        <w:t>s</w:t>
      </w:r>
      <w:r>
        <w:rPr>
          <w:spacing w:val="16"/>
          <w:sz w:val="25"/>
        </w:rPr>
        <w:t> </w:t>
      </w:r>
      <w:r>
        <w:rPr>
          <w:spacing w:val="-1"/>
          <w:w w:val="99"/>
          <w:sz w:val="25"/>
        </w:rPr>
        <w:t>of</w:t>
      </w:r>
      <w:r>
        <w:rPr>
          <w:w w:val="99"/>
          <w:sz w:val="25"/>
        </w:rPr>
        <w:t>f</w:t>
      </w:r>
      <w:r>
        <w:rPr>
          <w:spacing w:val="-1"/>
          <w:w w:val="99"/>
          <w:sz w:val="25"/>
        </w:rPr>
        <w:t>ice</w:t>
      </w:r>
      <w:r>
        <w:rPr>
          <w:w w:val="99"/>
          <w:sz w:val="25"/>
        </w:rPr>
        <w:t>rs.</w:t>
      </w:r>
      <w:r>
        <w:rPr>
          <w:spacing w:val="16"/>
          <w:sz w:val="25"/>
        </w:rPr>
        <w:t> </w:t>
      </w:r>
      <w:r>
        <w:rPr>
          <w:w w:val="99"/>
          <w:sz w:val="25"/>
        </w:rPr>
        <w:t>T</w:t>
      </w:r>
      <w:r>
        <w:rPr>
          <w:spacing w:val="-1"/>
          <w:w w:val="99"/>
          <w:sz w:val="25"/>
        </w:rPr>
        <w:t>h</w:t>
      </w:r>
      <w:r>
        <w:rPr>
          <w:w w:val="99"/>
          <w:sz w:val="25"/>
        </w:rPr>
        <w:t>e</w:t>
      </w:r>
      <w:r>
        <w:rPr>
          <w:spacing w:val="17"/>
          <w:sz w:val="25"/>
        </w:rPr>
        <w:t> </w:t>
      </w:r>
      <w:r>
        <w:rPr>
          <w:spacing w:val="-1"/>
          <w:w w:val="99"/>
          <w:sz w:val="25"/>
        </w:rPr>
        <w:t>plai</w:t>
      </w:r>
      <w:r>
        <w:rPr>
          <w:w w:val="99"/>
          <w:sz w:val="25"/>
        </w:rPr>
        <w:t>nt</w:t>
      </w:r>
      <w:r>
        <w:rPr>
          <w:spacing w:val="16"/>
          <w:sz w:val="25"/>
        </w:rPr>
        <w:t> </w:t>
      </w:r>
      <w:r>
        <w:rPr>
          <w:w w:val="99"/>
          <w:sz w:val="25"/>
        </w:rPr>
        <w:t>contains</w:t>
      </w:r>
      <w:r>
        <w:rPr>
          <w:spacing w:val="16"/>
          <w:sz w:val="25"/>
        </w:rPr>
        <w:t> </w:t>
      </w:r>
      <w:r>
        <w:rPr>
          <w:spacing w:val="-1"/>
          <w:w w:val="99"/>
          <w:sz w:val="25"/>
        </w:rPr>
        <w:t>a</w:t>
      </w:r>
      <w:r>
        <w:rPr>
          <w:w w:val="99"/>
          <w:sz w:val="25"/>
        </w:rPr>
        <w:t>n</w:t>
      </w:r>
      <w:r>
        <w:rPr>
          <w:spacing w:val="17"/>
          <w:sz w:val="25"/>
        </w:rPr>
        <w:t> </w:t>
      </w:r>
      <w:r>
        <w:rPr>
          <w:spacing w:val="2"/>
          <w:w w:val="99"/>
          <w:sz w:val="25"/>
        </w:rPr>
        <w:t>a</w:t>
      </w:r>
      <w:r>
        <w:rPr>
          <w:w w:val="99"/>
          <w:sz w:val="25"/>
        </w:rPr>
        <w:t>ve</w:t>
      </w:r>
      <w:r>
        <w:rPr>
          <w:spacing w:val="1"/>
          <w:w w:val="99"/>
          <w:sz w:val="25"/>
        </w:rPr>
        <w:t>r</w:t>
      </w:r>
      <w:r>
        <w:rPr>
          <w:w w:val="99"/>
          <w:sz w:val="25"/>
        </w:rPr>
        <w:t>m</w:t>
      </w:r>
      <w:r>
        <w:rPr>
          <w:spacing w:val="-1"/>
          <w:w w:val="99"/>
          <w:sz w:val="25"/>
        </w:rPr>
        <w:t>e</w:t>
      </w:r>
      <w:r>
        <w:rPr>
          <w:w w:val="99"/>
          <w:sz w:val="25"/>
        </w:rPr>
        <w:t>nt</w:t>
      </w:r>
      <w:r>
        <w:rPr>
          <w:spacing w:val="16"/>
          <w:sz w:val="25"/>
        </w:rPr>
        <w:t> </w:t>
      </w:r>
      <w:r>
        <w:rPr>
          <w:w w:val="99"/>
          <w:sz w:val="25"/>
        </w:rPr>
        <w:t>that</w:t>
      </w:r>
      <w:r>
        <w:rPr>
          <w:spacing w:val="16"/>
          <w:sz w:val="25"/>
        </w:rPr>
        <w:t> </w:t>
      </w:r>
      <w:r>
        <w:rPr>
          <w:w w:val="99"/>
          <w:sz w:val="25"/>
        </w:rPr>
        <w:t>the</w:t>
      </w:r>
      <w:r>
        <w:rPr>
          <w:spacing w:val="17"/>
          <w:sz w:val="25"/>
        </w:rPr>
        <w:t> </w:t>
      </w:r>
      <w:r>
        <w:rPr>
          <w:w w:val="99"/>
          <w:sz w:val="25"/>
        </w:rPr>
        <w:t>te</w:t>
      </w:r>
      <w:r>
        <w:rPr>
          <w:spacing w:val="1"/>
          <w:w w:val="99"/>
          <w:sz w:val="25"/>
        </w:rPr>
        <w:t>m</w:t>
      </w:r>
      <w:r>
        <w:rPr>
          <w:spacing w:val="-1"/>
          <w:w w:val="99"/>
          <w:sz w:val="25"/>
        </w:rPr>
        <w:t>p</w:t>
      </w:r>
      <w:r>
        <w:rPr>
          <w:spacing w:val="-3"/>
          <w:w w:val="99"/>
          <w:sz w:val="25"/>
        </w:rPr>
        <w:t>l</w:t>
      </w:r>
      <w:r>
        <w:rPr>
          <w:w w:val="99"/>
          <w:sz w:val="25"/>
        </w:rPr>
        <w:t>e</w:t>
      </w:r>
      <w:r>
        <w:rPr>
          <w:spacing w:val="17"/>
          <w:sz w:val="25"/>
        </w:rPr>
        <w:t> </w:t>
      </w:r>
      <w:r>
        <w:rPr>
          <w:spacing w:val="-1"/>
          <w:w w:val="99"/>
          <w:sz w:val="25"/>
        </w:rPr>
        <w:t>h</w:t>
      </w:r>
      <w:r>
        <w:rPr>
          <w:w w:val="99"/>
          <w:sz w:val="25"/>
        </w:rPr>
        <w:t>as</w:t>
      </w:r>
      <w:r>
        <w:rPr>
          <w:spacing w:val="16"/>
          <w:sz w:val="25"/>
        </w:rPr>
        <w:t> </w:t>
      </w:r>
      <w:r>
        <w:rPr>
          <w:w w:val="33"/>
          <w:sz w:val="25"/>
        </w:rPr>
        <w:t>―</w:t>
      </w:r>
      <w:r>
        <w:rPr>
          <w:spacing w:val="-1"/>
          <w:w w:val="99"/>
          <w:sz w:val="25"/>
        </w:rPr>
        <w:t>e</w:t>
      </w:r>
      <w:r>
        <w:rPr>
          <w:spacing w:val="-3"/>
          <w:w w:val="99"/>
          <w:sz w:val="25"/>
        </w:rPr>
        <w:t>v</w:t>
      </w:r>
      <w:r>
        <w:rPr>
          <w:spacing w:val="-1"/>
          <w:w w:val="99"/>
          <w:sz w:val="25"/>
        </w:rPr>
        <w:t>e</w:t>
      </w:r>
      <w:r>
        <w:rPr>
          <w:w w:val="99"/>
          <w:sz w:val="25"/>
        </w:rPr>
        <w:t>r</w:t>
      </w:r>
      <w:r>
        <w:rPr>
          <w:spacing w:val="17"/>
          <w:sz w:val="25"/>
        </w:rPr>
        <w:t> </w:t>
      </w:r>
      <w:r>
        <w:rPr>
          <w:w w:val="99"/>
          <w:sz w:val="25"/>
        </w:rPr>
        <w:t>sin</w:t>
      </w:r>
      <w:r>
        <w:rPr>
          <w:spacing w:val="2"/>
          <w:w w:val="99"/>
          <w:sz w:val="25"/>
        </w:rPr>
        <w:t>c</w:t>
      </w:r>
      <w:r>
        <w:rPr>
          <w:w w:val="99"/>
          <w:sz w:val="25"/>
        </w:rPr>
        <w:t>e </w:t>
      </w:r>
      <w:r>
        <w:rPr>
          <w:sz w:val="25"/>
        </w:rPr>
        <w:t>been in the possession of‖ Nirmohi Akhara and only Hindus have been allowed to enter and worship in it, at least since 1934. In other words, Nirmohi Akhara denies the status of the disputed structure as a mosque. The basis for</w:t>
      </w:r>
      <w:r>
        <w:rPr>
          <w:spacing w:val="29"/>
          <w:sz w:val="25"/>
        </w:rPr>
        <w:t> </w:t>
      </w:r>
      <w:r>
        <w:rPr>
          <w:sz w:val="25"/>
        </w:rPr>
        <w:t>the</w:t>
      </w:r>
    </w:p>
    <w:p>
      <w:pPr>
        <w:spacing w:after="0" w:line="480" w:lineRule="auto"/>
        <w:jc w:val="both"/>
        <w:rPr>
          <w:sz w:val="25"/>
        </w:rPr>
        <w:sectPr>
          <w:headerReference w:type="default" r:id="rId76"/>
          <w:footerReference w:type="default" r:id="rId77"/>
          <w:pgSz w:w="11910" w:h="16840"/>
          <w:pgMar w:header="721" w:footer="1014" w:top="1300" w:bottom="1200" w:left="940" w:right="1000"/>
          <w:pgNumType w:start="243"/>
        </w:sectPr>
      </w:pPr>
    </w:p>
    <w:p>
      <w:pPr>
        <w:pStyle w:val="BodyText"/>
        <w:spacing w:line="480" w:lineRule="auto" w:before="124"/>
        <w:ind w:left="500" w:right="435"/>
        <w:jc w:val="both"/>
      </w:pPr>
      <w:r>
        <w:rPr/>
        <w:t>institution of the suit is the initiation of the proceedings under Section 145 of the CrPC 1898 by the City Magistrate. The proceedings are alleged to be without </w:t>
      </w:r>
      <w:r>
        <w:rPr>
          <w:spacing w:val="-1"/>
          <w:w w:val="99"/>
        </w:rPr>
        <w:t>lawfu</w:t>
      </w:r>
      <w:r>
        <w:rPr>
          <w:w w:val="99"/>
        </w:rPr>
        <w:t>l</w:t>
      </w:r>
      <w:r>
        <w:rPr>
          <w:spacing w:val="5"/>
        </w:rPr>
        <w:t> </w:t>
      </w:r>
      <w:r>
        <w:rPr>
          <w:w w:val="99"/>
        </w:rPr>
        <w:t>cause</w:t>
      </w:r>
      <w:r>
        <w:rPr>
          <w:spacing w:val="5"/>
        </w:rPr>
        <w:t> </w:t>
      </w:r>
      <w:r>
        <w:rPr>
          <w:spacing w:val="-1"/>
          <w:w w:val="99"/>
        </w:rPr>
        <w:t>a</w:t>
      </w:r>
      <w:r>
        <w:rPr>
          <w:w w:val="99"/>
        </w:rPr>
        <w:t>nd</w:t>
      </w:r>
      <w:r>
        <w:rPr>
          <w:spacing w:val="5"/>
        </w:rPr>
        <w:t> </w:t>
      </w:r>
      <w:r>
        <w:rPr>
          <w:spacing w:val="-1"/>
          <w:w w:val="99"/>
        </w:rPr>
        <w:t>u</w:t>
      </w:r>
      <w:r>
        <w:rPr>
          <w:w w:val="99"/>
        </w:rPr>
        <w:t>n</w:t>
      </w:r>
      <w:r>
        <w:rPr>
          <w:spacing w:val="-3"/>
          <w:w w:val="99"/>
        </w:rPr>
        <w:t>d</w:t>
      </w:r>
      <w:r>
        <w:rPr>
          <w:spacing w:val="-1"/>
          <w:w w:val="99"/>
        </w:rPr>
        <w:t>e</w:t>
      </w:r>
      <w:r>
        <w:rPr>
          <w:w w:val="99"/>
        </w:rPr>
        <w:t>r</w:t>
      </w:r>
      <w:r>
        <w:rPr>
          <w:spacing w:val="5"/>
        </w:rPr>
        <w:t> </w:t>
      </w:r>
      <w:r>
        <w:rPr>
          <w:w w:val="99"/>
        </w:rPr>
        <w:t>the</w:t>
      </w:r>
      <w:r>
        <w:rPr>
          <w:spacing w:val="5"/>
        </w:rPr>
        <w:t> </w:t>
      </w:r>
      <w:r>
        <w:rPr>
          <w:w w:val="33"/>
        </w:rPr>
        <w:t>―</w:t>
      </w:r>
      <w:r>
        <w:rPr>
          <w:spacing w:val="-1"/>
          <w:w w:val="99"/>
        </w:rPr>
        <w:t>wr</w:t>
      </w:r>
      <w:r>
        <w:rPr>
          <w:w w:val="99"/>
        </w:rPr>
        <w:t>o</w:t>
      </w:r>
      <w:r>
        <w:rPr>
          <w:spacing w:val="-3"/>
          <w:w w:val="99"/>
        </w:rPr>
        <w:t>n</w:t>
      </w:r>
      <w:r>
        <w:rPr>
          <w:w w:val="99"/>
        </w:rPr>
        <w:t>g</w:t>
      </w:r>
      <w:r>
        <w:rPr>
          <w:spacing w:val="5"/>
        </w:rPr>
        <w:t> </w:t>
      </w:r>
      <w:r>
        <w:rPr>
          <w:spacing w:val="-1"/>
          <w:w w:val="99"/>
        </w:rPr>
        <w:t>p</w:t>
      </w:r>
      <w:r>
        <w:rPr>
          <w:w w:val="99"/>
        </w:rPr>
        <w:t>ersua</w:t>
      </w:r>
      <w:r>
        <w:rPr>
          <w:spacing w:val="-3"/>
          <w:w w:val="99"/>
        </w:rPr>
        <w:t>s</w:t>
      </w:r>
      <w:r>
        <w:rPr>
          <w:spacing w:val="-1"/>
          <w:w w:val="95"/>
        </w:rPr>
        <w:t>ion</w:t>
      </w:r>
      <w:r>
        <w:rPr>
          <w:w w:val="95"/>
        </w:rPr>
        <w:t>‖</w:t>
      </w:r>
      <w:r>
        <w:rPr>
          <w:spacing w:val="5"/>
        </w:rPr>
        <w:t> </w:t>
      </w:r>
      <w:r>
        <w:rPr>
          <w:spacing w:val="-1"/>
          <w:w w:val="99"/>
        </w:rPr>
        <w:t>o</w:t>
      </w:r>
      <w:r>
        <w:rPr>
          <w:w w:val="99"/>
        </w:rPr>
        <w:t>f</w:t>
      </w:r>
      <w:r>
        <w:rPr>
          <w:spacing w:val="5"/>
        </w:rPr>
        <w:t> </w:t>
      </w:r>
      <w:r>
        <w:rPr>
          <w:w w:val="99"/>
        </w:rPr>
        <w:t>the</w:t>
      </w:r>
      <w:r>
        <w:rPr>
          <w:spacing w:val="5"/>
        </w:rPr>
        <w:t> </w:t>
      </w:r>
      <w:r>
        <w:rPr>
          <w:spacing w:val="-4"/>
          <w:w w:val="99"/>
        </w:rPr>
        <w:t>M</w:t>
      </w:r>
      <w:r>
        <w:rPr>
          <w:spacing w:val="-1"/>
          <w:w w:val="99"/>
        </w:rPr>
        <w:t>usli</w:t>
      </w:r>
      <w:r>
        <w:rPr>
          <w:w w:val="99"/>
        </w:rPr>
        <w:t>m</w:t>
      </w:r>
      <w:r>
        <w:rPr>
          <w:spacing w:val="5"/>
        </w:rPr>
        <w:t> </w:t>
      </w:r>
      <w:r>
        <w:rPr>
          <w:spacing w:val="-1"/>
          <w:w w:val="99"/>
        </w:rPr>
        <w:t>p</w:t>
      </w:r>
      <w:r>
        <w:rPr>
          <w:w w:val="99"/>
        </w:rPr>
        <w:t>arties</w:t>
      </w:r>
      <w:r>
        <w:rPr>
          <w:spacing w:val="5"/>
        </w:rPr>
        <w:t> </w:t>
      </w:r>
      <w:r>
        <w:rPr>
          <w:w w:val="99"/>
        </w:rPr>
        <w:t>r</w:t>
      </w:r>
      <w:r>
        <w:rPr>
          <w:spacing w:val="-1"/>
          <w:w w:val="99"/>
        </w:rPr>
        <w:t>e</w:t>
      </w:r>
      <w:r>
        <w:rPr>
          <w:w w:val="99"/>
        </w:rPr>
        <w:t>pr</w:t>
      </w:r>
      <w:r>
        <w:rPr>
          <w:spacing w:val="-1"/>
          <w:w w:val="99"/>
        </w:rPr>
        <w:t>es</w:t>
      </w:r>
      <w:r>
        <w:rPr>
          <w:w w:val="99"/>
        </w:rPr>
        <w:t>e</w:t>
      </w:r>
      <w:r>
        <w:rPr>
          <w:spacing w:val="-1"/>
          <w:w w:val="99"/>
        </w:rPr>
        <w:t>nt</w:t>
      </w:r>
      <w:r>
        <w:rPr>
          <w:w w:val="99"/>
        </w:rPr>
        <w:t>ed </w:t>
      </w:r>
      <w:r>
        <w:rPr/>
        <w:t>by the sixth and eighth defendants. As a result, the Nirmohis allege that they </w:t>
      </w:r>
      <w:r>
        <w:rPr>
          <w:w w:val="99"/>
        </w:rPr>
        <w:t>were</w:t>
      </w:r>
      <w:r>
        <w:rPr>
          <w:spacing w:val="33"/>
        </w:rPr>
        <w:t> </w:t>
      </w:r>
      <w:r>
        <w:rPr>
          <w:w w:val="99"/>
        </w:rPr>
        <w:t>wro</w:t>
      </w:r>
      <w:r>
        <w:rPr>
          <w:spacing w:val="1"/>
          <w:w w:val="99"/>
        </w:rPr>
        <w:t>n</w:t>
      </w:r>
      <w:r>
        <w:rPr>
          <w:spacing w:val="-1"/>
          <w:w w:val="99"/>
        </w:rPr>
        <w:t>gf</w:t>
      </w:r>
      <w:r>
        <w:rPr>
          <w:w w:val="99"/>
        </w:rPr>
        <w:t>u</w:t>
      </w:r>
      <w:r>
        <w:rPr>
          <w:spacing w:val="-1"/>
          <w:w w:val="99"/>
        </w:rPr>
        <w:t>ll</w:t>
      </w:r>
      <w:r>
        <w:rPr>
          <w:w w:val="99"/>
        </w:rPr>
        <w:t>y</w:t>
      </w:r>
      <w:r>
        <w:rPr>
          <w:spacing w:val="30"/>
        </w:rPr>
        <w:t> </w:t>
      </w:r>
      <w:r>
        <w:rPr>
          <w:spacing w:val="-1"/>
          <w:w w:val="99"/>
        </w:rPr>
        <w:t>d</w:t>
      </w:r>
      <w:r>
        <w:rPr>
          <w:w w:val="99"/>
        </w:rPr>
        <w:t>e</w:t>
      </w:r>
      <w:r>
        <w:rPr>
          <w:spacing w:val="-1"/>
          <w:w w:val="99"/>
        </w:rPr>
        <w:t>p</w:t>
      </w:r>
      <w:r>
        <w:rPr>
          <w:w w:val="99"/>
        </w:rPr>
        <w:t>r</w:t>
      </w:r>
      <w:r>
        <w:rPr>
          <w:spacing w:val="-1"/>
          <w:w w:val="99"/>
        </w:rPr>
        <w:t>i</w:t>
      </w:r>
      <w:r>
        <w:rPr>
          <w:spacing w:val="-3"/>
          <w:w w:val="99"/>
        </w:rPr>
        <w:t>v</w:t>
      </w:r>
      <w:r>
        <w:rPr>
          <w:spacing w:val="-1"/>
          <w:w w:val="99"/>
        </w:rPr>
        <w:t>e</w:t>
      </w:r>
      <w:r>
        <w:rPr>
          <w:w w:val="99"/>
        </w:rPr>
        <w:t>d</w:t>
      </w:r>
      <w:r>
        <w:rPr>
          <w:spacing w:val="33"/>
        </w:rPr>
        <w:t> </w:t>
      </w:r>
      <w:r>
        <w:rPr>
          <w:w w:val="33"/>
        </w:rPr>
        <w:t>―</w:t>
      </w:r>
      <w:r>
        <w:rPr>
          <w:spacing w:val="-1"/>
          <w:w w:val="99"/>
        </w:rPr>
        <w:t>o</w:t>
      </w:r>
      <w:r>
        <w:rPr>
          <w:w w:val="99"/>
        </w:rPr>
        <w:t>f</w:t>
      </w:r>
      <w:r>
        <w:rPr>
          <w:spacing w:val="34"/>
        </w:rPr>
        <w:t> </w:t>
      </w:r>
      <w:r>
        <w:rPr>
          <w:w w:val="99"/>
        </w:rPr>
        <w:t>the</w:t>
      </w:r>
      <w:r>
        <w:rPr>
          <w:spacing w:val="-1"/>
          <w:w w:val="99"/>
        </w:rPr>
        <w:t>i</w:t>
      </w:r>
      <w:r>
        <w:rPr>
          <w:w w:val="99"/>
        </w:rPr>
        <w:t>r</w:t>
      </w:r>
      <w:r>
        <w:rPr>
          <w:spacing w:val="34"/>
        </w:rPr>
        <w:t> </w:t>
      </w:r>
      <w:r>
        <w:rPr>
          <w:w w:val="99"/>
        </w:rPr>
        <w:t>m</w:t>
      </w:r>
      <w:r>
        <w:rPr>
          <w:spacing w:val="-1"/>
          <w:w w:val="99"/>
        </w:rPr>
        <w:t>a</w:t>
      </w:r>
      <w:r>
        <w:rPr>
          <w:w w:val="99"/>
        </w:rPr>
        <w:t>n</w:t>
      </w:r>
      <w:r>
        <w:rPr>
          <w:spacing w:val="-1"/>
          <w:w w:val="99"/>
        </w:rPr>
        <w:t>a</w:t>
      </w:r>
      <w:r>
        <w:rPr>
          <w:w w:val="99"/>
        </w:rPr>
        <w:t>g</w:t>
      </w:r>
      <w:r>
        <w:rPr>
          <w:spacing w:val="-3"/>
          <w:w w:val="99"/>
        </w:rPr>
        <w:t>e</w:t>
      </w:r>
      <w:r>
        <w:rPr>
          <w:w w:val="99"/>
        </w:rPr>
        <w:t>m</w:t>
      </w:r>
      <w:r>
        <w:rPr>
          <w:spacing w:val="-1"/>
          <w:w w:val="99"/>
        </w:rPr>
        <w:t>e</w:t>
      </w:r>
      <w:r>
        <w:rPr>
          <w:w w:val="99"/>
        </w:rPr>
        <w:t>nt</w:t>
      </w:r>
      <w:r>
        <w:rPr>
          <w:spacing w:val="33"/>
        </w:rPr>
        <w:t> </w:t>
      </w:r>
      <w:r>
        <w:rPr>
          <w:spacing w:val="-1"/>
          <w:w w:val="99"/>
        </w:rPr>
        <w:t>a</w:t>
      </w:r>
      <w:r>
        <w:rPr>
          <w:w w:val="99"/>
        </w:rPr>
        <w:t>nd</w:t>
      </w:r>
      <w:r>
        <w:rPr>
          <w:spacing w:val="33"/>
        </w:rPr>
        <w:t> </w:t>
      </w:r>
      <w:r>
        <w:rPr>
          <w:w w:val="99"/>
        </w:rPr>
        <w:t>char</w:t>
      </w:r>
      <w:r>
        <w:rPr>
          <w:spacing w:val="-1"/>
          <w:w w:val="99"/>
        </w:rPr>
        <w:t>g</w:t>
      </w:r>
      <w:r>
        <w:rPr>
          <w:w w:val="99"/>
        </w:rPr>
        <w:t>e</w:t>
      </w:r>
      <w:r>
        <w:rPr>
          <w:spacing w:val="33"/>
        </w:rPr>
        <w:t> </w:t>
      </w:r>
      <w:r>
        <w:rPr>
          <w:spacing w:val="-1"/>
          <w:w w:val="99"/>
        </w:rPr>
        <w:t>o</w:t>
      </w:r>
      <w:r>
        <w:rPr>
          <w:w w:val="99"/>
        </w:rPr>
        <w:t>f</w:t>
      </w:r>
      <w:r>
        <w:rPr>
          <w:spacing w:val="31"/>
        </w:rPr>
        <w:t> </w:t>
      </w:r>
      <w:r>
        <w:rPr>
          <w:spacing w:val="-3"/>
          <w:w w:val="99"/>
        </w:rPr>
        <w:t>t</w:t>
      </w:r>
      <w:r>
        <w:rPr>
          <w:spacing w:val="-1"/>
          <w:w w:val="99"/>
        </w:rPr>
        <w:t>h</w:t>
      </w:r>
      <w:r>
        <w:rPr>
          <w:w w:val="99"/>
        </w:rPr>
        <w:t>e</w:t>
      </w:r>
      <w:r>
        <w:rPr>
          <w:spacing w:val="33"/>
        </w:rPr>
        <w:t> </w:t>
      </w:r>
      <w:r>
        <w:rPr>
          <w:w w:val="99"/>
        </w:rPr>
        <w:t>said</w:t>
      </w:r>
      <w:r>
        <w:rPr>
          <w:spacing w:val="34"/>
        </w:rPr>
        <w:t> </w:t>
      </w:r>
      <w:r>
        <w:rPr>
          <w:w w:val="99"/>
        </w:rPr>
        <w:t>te</w:t>
      </w:r>
      <w:r>
        <w:rPr>
          <w:spacing w:val="1"/>
          <w:w w:val="99"/>
        </w:rPr>
        <w:t>m</w:t>
      </w:r>
      <w:r>
        <w:rPr>
          <w:spacing w:val="-1"/>
          <w:w w:val="95"/>
        </w:rPr>
        <w:t>ple‖ </w:t>
      </w:r>
      <w:r>
        <w:rPr/>
        <w:t>and that though they were awaiting the conclusion of the proceedings under Section 145, the proceedings have been unduly prolonged with the connivance of the</w:t>
      </w:r>
      <w:r>
        <w:rPr>
          <w:spacing w:val="-1"/>
        </w:rPr>
        <w:t> </w:t>
      </w:r>
      <w:r>
        <w:rPr/>
        <w:t>defendants.</w:t>
      </w:r>
    </w:p>
    <w:p>
      <w:pPr>
        <w:pStyle w:val="BodyText"/>
        <w:rPr>
          <w:sz w:val="28"/>
        </w:rPr>
      </w:pPr>
    </w:p>
    <w:p>
      <w:pPr>
        <w:pStyle w:val="BodyText"/>
        <w:rPr>
          <w:sz w:val="22"/>
        </w:rPr>
      </w:pPr>
    </w:p>
    <w:p>
      <w:pPr>
        <w:pStyle w:val="BodyText"/>
        <w:spacing w:line="480" w:lineRule="auto"/>
        <w:ind w:left="500" w:right="434"/>
        <w:jc w:val="both"/>
      </w:pPr>
      <w:r>
        <w:rPr/>
        <w:t>The Muslim parties have been impleaded because they are alleged to be interested in ensuring that the charge and management of the temple is not handed over to Nirmohi Akhara. The cause of action for the suit is stated to have arisen on 5 January 1950 when the receiver is alleged to have illegally taken over management and charge of the temple from Nirmohi Akhara. Following the incident which took place on 6 December 1992 (which the Nirmohis claim as the </w:t>
      </w:r>
      <w:r>
        <w:rPr>
          <w:spacing w:val="-1"/>
          <w:w w:val="99"/>
        </w:rPr>
        <w:t>d</w:t>
      </w:r>
      <w:r>
        <w:rPr>
          <w:w w:val="99"/>
        </w:rPr>
        <w:t>em</w:t>
      </w:r>
      <w:r>
        <w:rPr>
          <w:spacing w:val="-1"/>
          <w:w w:val="99"/>
        </w:rPr>
        <w:t>olitio</w:t>
      </w:r>
      <w:r>
        <w:rPr>
          <w:w w:val="99"/>
        </w:rPr>
        <w:t>n</w:t>
      </w:r>
      <w:r>
        <w:rPr/>
        <w:t> </w:t>
      </w:r>
      <w:r>
        <w:rPr>
          <w:spacing w:val="-29"/>
        </w:rPr>
        <w:t> </w:t>
      </w:r>
      <w:r>
        <w:rPr>
          <w:spacing w:val="-1"/>
          <w:w w:val="99"/>
        </w:rPr>
        <w:t>o</w:t>
      </w:r>
      <w:r>
        <w:rPr>
          <w:w w:val="99"/>
        </w:rPr>
        <w:t>f</w:t>
      </w:r>
      <w:r>
        <w:rPr/>
        <w:t> </w:t>
      </w:r>
      <w:r>
        <w:rPr>
          <w:spacing w:val="-29"/>
        </w:rPr>
        <w:t> </w:t>
      </w:r>
      <w:r>
        <w:rPr>
          <w:w w:val="99"/>
        </w:rPr>
        <w:t>the</w:t>
      </w:r>
      <w:r>
        <w:rPr/>
        <w:t> </w:t>
      </w:r>
      <w:r>
        <w:rPr>
          <w:spacing w:val="-31"/>
        </w:rPr>
        <w:t> </w:t>
      </w:r>
      <w:r>
        <w:rPr>
          <w:spacing w:val="-1"/>
          <w:w w:val="99"/>
        </w:rPr>
        <w:t>p</w:t>
      </w:r>
      <w:r>
        <w:rPr>
          <w:w w:val="99"/>
        </w:rPr>
        <w:t>r</w:t>
      </w:r>
      <w:r>
        <w:rPr>
          <w:spacing w:val="-3"/>
          <w:w w:val="99"/>
        </w:rPr>
        <w:t>o</w:t>
      </w:r>
      <w:r>
        <w:rPr>
          <w:spacing w:val="-1"/>
          <w:w w:val="99"/>
        </w:rPr>
        <w:t>p</w:t>
      </w:r>
      <w:r>
        <w:rPr>
          <w:w w:val="99"/>
        </w:rPr>
        <w:t>erty</w:t>
      </w:r>
      <w:r>
        <w:rPr/>
        <w:t> </w:t>
      </w:r>
      <w:r>
        <w:rPr>
          <w:spacing w:val="-32"/>
        </w:rPr>
        <w:t> </w:t>
      </w:r>
      <w:r>
        <w:rPr>
          <w:spacing w:val="-1"/>
          <w:w w:val="99"/>
        </w:rPr>
        <w:t>o</w:t>
      </w:r>
      <w:r>
        <w:rPr>
          <w:w w:val="99"/>
        </w:rPr>
        <w:t>f</w:t>
      </w:r>
      <w:r>
        <w:rPr/>
        <w:t> </w:t>
      </w:r>
      <w:r>
        <w:rPr>
          <w:spacing w:val="-29"/>
        </w:rPr>
        <w:t> </w:t>
      </w:r>
      <w:r>
        <w:rPr>
          <w:w w:val="99"/>
        </w:rPr>
        <w:t>the</w:t>
      </w:r>
      <w:r>
        <w:rPr/>
        <w:t> </w:t>
      </w:r>
      <w:r>
        <w:rPr>
          <w:spacing w:val="-29"/>
        </w:rPr>
        <w:t> </w:t>
      </w:r>
      <w:r>
        <w:rPr>
          <w:w w:val="99"/>
        </w:rPr>
        <w:t>te</w:t>
      </w:r>
      <w:r>
        <w:rPr>
          <w:spacing w:val="1"/>
          <w:w w:val="99"/>
        </w:rPr>
        <w:t>m</w:t>
      </w:r>
      <w:r>
        <w:rPr>
          <w:spacing w:val="-1"/>
          <w:w w:val="99"/>
        </w:rPr>
        <w:t>pl</w:t>
      </w:r>
      <w:r>
        <w:rPr>
          <w:w w:val="99"/>
        </w:rPr>
        <w:t>e</w:t>
      </w:r>
      <w:r>
        <w:rPr/>
        <w:t> </w:t>
      </w:r>
      <w:r>
        <w:rPr>
          <w:spacing w:val="-31"/>
        </w:rPr>
        <w:t> </w:t>
      </w:r>
      <w:r>
        <w:rPr>
          <w:spacing w:val="-3"/>
          <w:w w:val="99"/>
        </w:rPr>
        <w:t>b</w:t>
      </w:r>
      <w:r>
        <w:rPr>
          <w:w w:val="99"/>
        </w:rPr>
        <w:t>y</w:t>
      </w:r>
      <w:r>
        <w:rPr/>
        <w:t> </w:t>
      </w:r>
      <w:r>
        <w:rPr>
          <w:spacing w:val="-32"/>
        </w:rPr>
        <w:t> </w:t>
      </w:r>
      <w:r>
        <w:rPr>
          <w:w w:val="33"/>
        </w:rPr>
        <w:t>―</w:t>
      </w:r>
      <w:r>
        <w:rPr>
          <w:w w:val="99"/>
        </w:rPr>
        <w:t>so</w:t>
      </w:r>
      <w:r>
        <w:rPr>
          <w:spacing w:val="1"/>
          <w:w w:val="99"/>
        </w:rPr>
        <w:t>m</w:t>
      </w:r>
      <w:r>
        <w:rPr>
          <w:w w:val="99"/>
        </w:rPr>
        <w:t>e</w:t>
      </w:r>
      <w:r>
        <w:rPr/>
        <w:t> </w:t>
      </w:r>
      <w:r>
        <w:rPr>
          <w:spacing w:val="-29"/>
        </w:rPr>
        <w:t> </w:t>
      </w:r>
      <w:r>
        <w:rPr>
          <w:w w:val="99"/>
        </w:rPr>
        <w:t>m</w:t>
      </w:r>
      <w:r>
        <w:rPr>
          <w:spacing w:val="-1"/>
          <w:w w:val="99"/>
        </w:rPr>
        <w:t>i</w:t>
      </w:r>
      <w:r>
        <w:rPr>
          <w:spacing w:val="6"/>
          <w:w w:val="99"/>
        </w:rPr>
        <w:t>s</w:t>
      </w:r>
      <w:r>
        <w:rPr>
          <w:w w:val="99"/>
        </w:rPr>
        <w:t>cr</w:t>
      </w:r>
      <w:r>
        <w:rPr>
          <w:spacing w:val="-1"/>
          <w:w w:val="99"/>
        </w:rPr>
        <w:t>e</w:t>
      </w:r>
      <w:r>
        <w:rPr>
          <w:w w:val="99"/>
        </w:rPr>
        <w:t>a</w:t>
      </w:r>
      <w:r>
        <w:rPr>
          <w:spacing w:val="-1"/>
          <w:w w:val="95"/>
        </w:rPr>
        <w:t>nts</w:t>
      </w:r>
      <w:r>
        <w:rPr>
          <w:spacing w:val="1"/>
          <w:w w:val="95"/>
        </w:rPr>
        <w:t>‖</w:t>
      </w:r>
      <w:r>
        <w:rPr>
          <w:spacing w:val="-2"/>
          <w:w w:val="99"/>
        </w:rPr>
        <w:t>)</w:t>
      </w:r>
      <w:r>
        <w:rPr>
          <w:w w:val="99"/>
        </w:rPr>
        <w:t>,</w:t>
      </w:r>
      <w:r>
        <w:rPr/>
        <w:t> </w:t>
      </w:r>
      <w:r>
        <w:rPr>
          <w:spacing w:val="-29"/>
        </w:rPr>
        <w:t> </w:t>
      </w:r>
      <w:r>
        <w:rPr>
          <w:w w:val="99"/>
        </w:rPr>
        <w:t>the</w:t>
      </w:r>
      <w:r>
        <w:rPr/>
        <w:t> </w:t>
      </w:r>
      <w:r>
        <w:rPr>
          <w:spacing w:val="-29"/>
        </w:rPr>
        <w:t> </w:t>
      </w:r>
      <w:r>
        <w:rPr>
          <w:spacing w:val="-1"/>
          <w:w w:val="99"/>
        </w:rPr>
        <w:t>plai</w:t>
      </w:r>
      <w:r>
        <w:rPr>
          <w:w w:val="99"/>
        </w:rPr>
        <w:t>nt</w:t>
      </w:r>
      <w:r>
        <w:rPr/>
        <w:t> </w:t>
      </w:r>
      <w:r>
        <w:rPr>
          <w:spacing w:val="-29"/>
        </w:rPr>
        <w:t> </w:t>
      </w:r>
      <w:r>
        <w:rPr>
          <w:spacing w:val="-1"/>
          <w:w w:val="99"/>
        </w:rPr>
        <w:t>was </w:t>
      </w:r>
      <w:r>
        <w:rPr/>
        <w:t>amended. The amended plaint refers to the trust deed executed by Nirmohi Akhara on 19 March 1949 reducing its existence into writing. The Akhara claims to own several temples and properties, which vest in it. The relief that is claimed </w:t>
      </w:r>
      <w:r>
        <w:rPr>
          <w:spacing w:val="-1"/>
          <w:w w:val="99"/>
        </w:rPr>
        <w:t>i</w:t>
      </w:r>
      <w:r>
        <w:rPr>
          <w:w w:val="99"/>
        </w:rPr>
        <w:t>n</w:t>
      </w:r>
      <w:r>
        <w:rPr>
          <w:spacing w:val="7"/>
        </w:rPr>
        <w:t> </w:t>
      </w:r>
      <w:r>
        <w:rPr>
          <w:w w:val="99"/>
        </w:rPr>
        <w:t>the</w:t>
      </w:r>
      <w:r>
        <w:rPr>
          <w:spacing w:val="7"/>
        </w:rPr>
        <w:t> </w:t>
      </w:r>
      <w:r>
        <w:rPr>
          <w:w w:val="99"/>
        </w:rPr>
        <w:t>suit</w:t>
      </w:r>
      <w:r>
        <w:rPr>
          <w:spacing w:val="7"/>
        </w:rPr>
        <w:t> </w:t>
      </w:r>
      <w:r>
        <w:rPr>
          <w:spacing w:val="-1"/>
          <w:w w:val="99"/>
        </w:rPr>
        <w:t>i</w:t>
      </w:r>
      <w:r>
        <w:rPr>
          <w:w w:val="99"/>
        </w:rPr>
        <w:t>s</w:t>
      </w:r>
      <w:r>
        <w:rPr>
          <w:spacing w:val="6"/>
        </w:rPr>
        <w:t> </w:t>
      </w:r>
      <w:r>
        <w:rPr>
          <w:w w:val="99"/>
        </w:rPr>
        <w:t>for</w:t>
      </w:r>
      <w:r>
        <w:rPr>
          <w:spacing w:val="8"/>
        </w:rPr>
        <w:t> </w:t>
      </w:r>
      <w:r>
        <w:rPr>
          <w:w w:val="99"/>
        </w:rPr>
        <w:t>the</w:t>
      </w:r>
      <w:r>
        <w:rPr>
          <w:spacing w:val="7"/>
        </w:rPr>
        <w:t> </w:t>
      </w:r>
      <w:r>
        <w:rPr>
          <w:w w:val="99"/>
        </w:rPr>
        <w:t>r</w:t>
      </w:r>
      <w:r>
        <w:rPr>
          <w:spacing w:val="2"/>
          <w:w w:val="99"/>
        </w:rPr>
        <w:t>e</w:t>
      </w:r>
      <w:r>
        <w:rPr>
          <w:w w:val="99"/>
        </w:rPr>
        <w:t>m</w:t>
      </w:r>
      <w:r>
        <w:rPr>
          <w:spacing w:val="-1"/>
          <w:w w:val="99"/>
        </w:rPr>
        <w:t>o</w:t>
      </w:r>
      <w:r>
        <w:rPr>
          <w:spacing w:val="-3"/>
          <w:w w:val="99"/>
        </w:rPr>
        <w:t>v</w:t>
      </w:r>
      <w:r>
        <w:rPr>
          <w:spacing w:val="-1"/>
          <w:w w:val="99"/>
        </w:rPr>
        <w:t>a</w:t>
      </w:r>
      <w:r>
        <w:rPr>
          <w:w w:val="99"/>
        </w:rPr>
        <w:t>l</w:t>
      </w:r>
      <w:r>
        <w:rPr>
          <w:spacing w:val="7"/>
        </w:rPr>
        <w:t> </w:t>
      </w:r>
      <w:r>
        <w:rPr>
          <w:spacing w:val="-1"/>
          <w:w w:val="99"/>
        </w:rPr>
        <w:t>o</w:t>
      </w:r>
      <w:r>
        <w:rPr>
          <w:w w:val="99"/>
        </w:rPr>
        <w:t>f</w:t>
      </w:r>
      <w:r>
        <w:rPr>
          <w:spacing w:val="7"/>
        </w:rPr>
        <w:t> </w:t>
      </w:r>
      <w:r>
        <w:rPr>
          <w:w w:val="99"/>
        </w:rPr>
        <w:t>the</w:t>
      </w:r>
      <w:r>
        <w:rPr>
          <w:spacing w:val="7"/>
        </w:rPr>
        <w:t> </w:t>
      </w:r>
      <w:r>
        <w:rPr>
          <w:w w:val="99"/>
        </w:rPr>
        <w:t>r</w:t>
      </w:r>
      <w:r>
        <w:rPr>
          <w:spacing w:val="-1"/>
          <w:w w:val="99"/>
        </w:rPr>
        <w:t>ec</w:t>
      </w:r>
      <w:r>
        <w:rPr>
          <w:w w:val="99"/>
        </w:rPr>
        <w:t>e</w:t>
      </w:r>
      <w:r>
        <w:rPr>
          <w:spacing w:val="1"/>
          <w:w w:val="99"/>
        </w:rPr>
        <w:t>i</w:t>
      </w:r>
      <w:r>
        <w:rPr>
          <w:spacing w:val="-3"/>
          <w:w w:val="99"/>
        </w:rPr>
        <w:t>v</w:t>
      </w:r>
      <w:r>
        <w:rPr>
          <w:spacing w:val="-1"/>
          <w:w w:val="99"/>
        </w:rPr>
        <w:t>e</w:t>
      </w:r>
      <w:r>
        <w:rPr>
          <w:w w:val="99"/>
        </w:rPr>
        <w:t>r</w:t>
      </w:r>
      <w:r>
        <w:rPr>
          <w:spacing w:val="10"/>
        </w:rPr>
        <w:t> </w:t>
      </w:r>
      <w:r>
        <w:rPr>
          <w:w w:val="33"/>
        </w:rPr>
        <w:t>―</w:t>
      </w:r>
      <w:r>
        <w:rPr>
          <w:w w:val="99"/>
        </w:rPr>
        <w:t>fr</w:t>
      </w:r>
      <w:r>
        <w:rPr>
          <w:spacing w:val="-1"/>
          <w:w w:val="99"/>
        </w:rPr>
        <w:t>o</w:t>
      </w:r>
      <w:r>
        <w:rPr>
          <w:w w:val="99"/>
        </w:rPr>
        <w:t>m</w:t>
      </w:r>
      <w:r>
        <w:rPr>
          <w:spacing w:val="8"/>
        </w:rPr>
        <w:t> </w:t>
      </w:r>
      <w:r>
        <w:rPr>
          <w:w w:val="99"/>
        </w:rPr>
        <w:t>the</w:t>
      </w:r>
      <w:r>
        <w:rPr>
          <w:spacing w:val="7"/>
        </w:rPr>
        <w:t> </w:t>
      </w:r>
      <w:r>
        <w:rPr>
          <w:w w:val="99"/>
        </w:rPr>
        <w:t>m</w:t>
      </w:r>
      <w:r>
        <w:rPr>
          <w:spacing w:val="-1"/>
          <w:w w:val="99"/>
        </w:rPr>
        <w:t>a</w:t>
      </w:r>
      <w:r>
        <w:rPr>
          <w:w w:val="99"/>
        </w:rPr>
        <w:t>n</w:t>
      </w:r>
      <w:r>
        <w:rPr>
          <w:spacing w:val="-1"/>
          <w:w w:val="99"/>
        </w:rPr>
        <w:t>a</w:t>
      </w:r>
      <w:r>
        <w:rPr>
          <w:w w:val="99"/>
        </w:rPr>
        <w:t>g</w:t>
      </w:r>
      <w:r>
        <w:rPr>
          <w:spacing w:val="-1"/>
          <w:w w:val="99"/>
        </w:rPr>
        <w:t>e</w:t>
      </w:r>
      <w:r>
        <w:rPr>
          <w:w w:val="99"/>
        </w:rPr>
        <w:t>m</w:t>
      </w:r>
      <w:r>
        <w:rPr>
          <w:spacing w:val="-3"/>
          <w:w w:val="99"/>
        </w:rPr>
        <w:t>e</w:t>
      </w:r>
      <w:r>
        <w:rPr>
          <w:spacing w:val="-1"/>
          <w:w w:val="99"/>
        </w:rPr>
        <w:t>n</w:t>
      </w:r>
      <w:r>
        <w:rPr>
          <w:w w:val="99"/>
        </w:rPr>
        <w:t>t</w:t>
      </w:r>
      <w:r>
        <w:rPr>
          <w:spacing w:val="7"/>
        </w:rPr>
        <w:t> </w:t>
      </w:r>
      <w:r>
        <w:rPr>
          <w:spacing w:val="-1"/>
          <w:w w:val="99"/>
        </w:rPr>
        <w:t>a</w:t>
      </w:r>
      <w:r>
        <w:rPr>
          <w:w w:val="99"/>
        </w:rPr>
        <w:t>nd</w:t>
      </w:r>
      <w:r>
        <w:rPr>
          <w:spacing w:val="7"/>
        </w:rPr>
        <w:t> </w:t>
      </w:r>
      <w:r>
        <w:rPr>
          <w:w w:val="99"/>
        </w:rPr>
        <w:t>char</w:t>
      </w:r>
      <w:r>
        <w:rPr>
          <w:spacing w:val="-1"/>
          <w:w w:val="99"/>
        </w:rPr>
        <w:t>g</w:t>
      </w:r>
      <w:r>
        <w:rPr>
          <w:w w:val="99"/>
        </w:rPr>
        <w:t>e</w:t>
      </w:r>
      <w:r>
        <w:rPr>
          <w:spacing w:val="7"/>
        </w:rPr>
        <w:t> </w:t>
      </w:r>
      <w:r>
        <w:rPr>
          <w:spacing w:val="-1"/>
          <w:w w:val="99"/>
        </w:rPr>
        <w:t>of </w:t>
      </w:r>
      <w:r>
        <w:rPr/>
        <w:t>the said temple of Janmabhoomi‖ and for delivering it to the</w:t>
      </w:r>
      <w:r>
        <w:rPr>
          <w:spacing w:val="-23"/>
        </w:rPr>
        <w:t> </w:t>
      </w:r>
      <w:r>
        <w:rPr/>
        <w:t>plaintiff.</w:t>
      </w:r>
    </w:p>
    <w:p>
      <w:pPr>
        <w:pStyle w:val="BodyText"/>
        <w:spacing w:before="2"/>
      </w:pPr>
    </w:p>
    <w:p>
      <w:pPr>
        <w:pStyle w:val="BodyText"/>
        <w:spacing w:line="480" w:lineRule="auto"/>
        <w:ind w:left="500" w:right="443"/>
        <w:jc w:val="both"/>
      </w:pPr>
      <w:r>
        <w:rPr/>
        <w:t>The averments contained in the plaint as well as the reliefs which have been claimed by Nirmohi Akhara indicate that the claim is founded on an entitlement, which is asserted to be the charge and management of the temple. In that</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4"/>
        <w:jc w:val="both"/>
      </w:pPr>
      <w:r>
        <w:rPr/>
        <w:t>capacity, the Nirmohis state that they have been in possession of the Janmabhumi temple and have received offerings made by devotees. The plaint contains a reference to the temples that are owned and managed by Nirmohi Akhara. There is a reference to the possession of the Janmasthan temple by the Akhara. Ultimately, the claim for relief is a direction simpliciter to the receiver to handover the management and charge of the temple to it.</w:t>
      </w:r>
    </w:p>
    <w:p>
      <w:pPr>
        <w:pStyle w:val="BodyText"/>
      </w:pPr>
    </w:p>
    <w:p>
      <w:pPr>
        <w:pStyle w:val="ListParagraph"/>
        <w:numPr>
          <w:ilvl w:val="0"/>
          <w:numId w:val="3"/>
        </w:numPr>
        <w:tabs>
          <w:tab w:pos="1221" w:val="left" w:leader="none"/>
        </w:tabs>
        <w:spacing w:line="480" w:lineRule="auto" w:before="0" w:after="0"/>
        <w:ind w:left="500" w:right="439" w:firstLine="0"/>
        <w:jc w:val="both"/>
        <w:rPr>
          <w:sz w:val="25"/>
        </w:rPr>
      </w:pPr>
      <w:r>
        <w:rPr>
          <w:sz w:val="25"/>
        </w:rPr>
        <w:t>In the written statement, which was filed by the Muslim parties (defendant nos 6 to 8), the plea taken was that in the Suit of 1885 which was instituted by Mahant Raghubar Das, the relief was confined to the Chabutra outside the mosque and no objection was taken in respect of the mosque which was depicted in the site</w:t>
      </w:r>
      <w:r>
        <w:rPr>
          <w:spacing w:val="-3"/>
          <w:sz w:val="25"/>
        </w:rPr>
        <w:t> </w:t>
      </w:r>
      <w:r>
        <w:rPr>
          <w:sz w:val="25"/>
        </w:rPr>
        <w:t>plan.</w:t>
      </w:r>
    </w:p>
    <w:p>
      <w:pPr>
        <w:pStyle w:val="BodyText"/>
        <w:rPr>
          <w:sz w:val="28"/>
        </w:rPr>
      </w:pPr>
    </w:p>
    <w:p>
      <w:pPr>
        <w:pStyle w:val="BodyText"/>
        <w:spacing w:before="1"/>
        <w:rPr>
          <w:sz w:val="22"/>
        </w:rPr>
      </w:pPr>
    </w:p>
    <w:p>
      <w:pPr>
        <w:pStyle w:val="BodyText"/>
        <w:spacing w:line="480" w:lineRule="auto" w:before="1"/>
        <w:ind w:left="500" w:right="436"/>
        <w:jc w:val="both"/>
      </w:pPr>
      <w:r>
        <w:rPr/>
        <w:t>In its replication, Nirmohi Akhara expressed ignorance about the suit filed by Mahant Raghubar Das. The Akhara claims that it has been wrongfully deprived of charge and the right to manage the temple as a result of the proceedings. Though in the plaint it appears that the claim in the suit was in respect of the inner courtyard, in the replication filed by Nirmohi Akhara </w:t>
      </w:r>
      <w:r>
        <w:rPr>
          <w:spacing w:val="3"/>
        </w:rPr>
        <w:t>to </w:t>
      </w:r>
      <w:r>
        <w:rPr/>
        <w:t>the written statement of the tenth defendant, it has been stated that the outer enclosure was in its possession and was owned and managed by it until 1982 when it came into possession of the receiver in a suit </w:t>
      </w:r>
      <w:r>
        <w:rPr>
          <w:i/>
        </w:rPr>
        <w:t>inter se </w:t>
      </w:r>
      <w:r>
        <w:rPr/>
        <w:t>being Regular Suit 39 of</w:t>
      </w:r>
      <w:r>
        <w:rPr>
          <w:spacing w:val="-8"/>
        </w:rPr>
        <w:t> </w:t>
      </w:r>
      <w:r>
        <w:rPr/>
        <w:t>1982.</w:t>
      </w:r>
    </w:p>
    <w:p>
      <w:pPr>
        <w:pStyle w:val="BodyText"/>
        <w:spacing w:before="11"/>
        <w:rPr>
          <w:sz w:val="24"/>
        </w:rPr>
      </w:pPr>
    </w:p>
    <w:p>
      <w:pPr>
        <w:pStyle w:val="ListParagraph"/>
        <w:numPr>
          <w:ilvl w:val="0"/>
          <w:numId w:val="3"/>
        </w:numPr>
        <w:tabs>
          <w:tab w:pos="1221" w:val="left" w:leader="none"/>
        </w:tabs>
        <w:spacing w:line="480" w:lineRule="auto" w:before="0" w:after="0"/>
        <w:ind w:left="500" w:right="445" w:firstLine="0"/>
        <w:jc w:val="both"/>
        <w:rPr>
          <w:sz w:val="25"/>
        </w:rPr>
      </w:pPr>
      <w:r>
        <w:rPr>
          <w:sz w:val="25"/>
        </w:rPr>
        <w:t>The averments contained in the pleadings of Nirmohi Akhara in Suit 3 must be read together with the nature of their defence to Suit 5. Suit 5 has been instituted on behalf of the deity of Lord Ram and the Janmasthan by a next</w:t>
      </w:r>
      <w:r>
        <w:rPr>
          <w:spacing w:val="-21"/>
          <w:sz w:val="25"/>
        </w:rPr>
        <w:t> </w:t>
      </w:r>
      <w:r>
        <w:rPr>
          <w:sz w:val="25"/>
        </w:rPr>
        <w:t>friend.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Nirmohi Akhara in its written statement in Suit 5 opposes the maintainability of the Suit on the ground that the Janmasthan is not a juridical person and the next friend had no right or authority to institute a suit on behalf of the deity and the Janmasthan. Nirmohi Akhara has distanced itself from Suit 5, claiming that the </w:t>
      </w:r>
      <w:r>
        <w:rPr>
          <w:spacing w:val="-1"/>
          <w:w w:val="99"/>
        </w:rPr>
        <w:t>ido</w:t>
      </w:r>
      <w:r>
        <w:rPr>
          <w:w w:val="99"/>
        </w:rPr>
        <w:t>l</w:t>
      </w:r>
      <w:r>
        <w:rPr>
          <w:spacing w:val="5"/>
        </w:rPr>
        <w:t> </w:t>
      </w:r>
      <w:r>
        <w:rPr>
          <w:spacing w:val="-1"/>
          <w:w w:val="99"/>
        </w:rPr>
        <w:t>o</w:t>
      </w:r>
      <w:r>
        <w:rPr>
          <w:w w:val="99"/>
        </w:rPr>
        <w:t>f</w:t>
      </w:r>
      <w:r>
        <w:rPr>
          <w:spacing w:val="5"/>
        </w:rPr>
        <w:t> </w:t>
      </w:r>
      <w:r>
        <w:rPr>
          <w:spacing w:val="-1"/>
          <w:w w:val="99"/>
        </w:rPr>
        <w:t>L</w:t>
      </w:r>
      <w:r>
        <w:rPr>
          <w:w w:val="99"/>
        </w:rPr>
        <w:t>ord</w:t>
      </w:r>
      <w:r>
        <w:rPr>
          <w:spacing w:val="5"/>
        </w:rPr>
        <w:t> </w:t>
      </w:r>
      <w:r>
        <w:rPr>
          <w:spacing w:val="-1"/>
          <w:w w:val="99"/>
        </w:rPr>
        <w:t>Ra</w:t>
      </w:r>
      <w:r>
        <w:rPr>
          <w:w w:val="99"/>
        </w:rPr>
        <w:t>m</w:t>
      </w:r>
      <w:r>
        <w:rPr>
          <w:spacing w:val="5"/>
        </w:rPr>
        <w:t> </w:t>
      </w:r>
      <w:r>
        <w:rPr>
          <w:spacing w:val="-1"/>
          <w:w w:val="99"/>
        </w:rPr>
        <w:t>i</w:t>
      </w:r>
      <w:r>
        <w:rPr>
          <w:w w:val="99"/>
        </w:rPr>
        <w:t>s</w:t>
      </w:r>
      <w:r>
        <w:rPr>
          <w:spacing w:val="4"/>
        </w:rPr>
        <w:t> </w:t>
      </w:r>
      <w:r>
        <w:rPr>
          <w:spacing w:val="2"/>
          <w:w w:val="99"/>
        </w:rPr>
        <w:t>n</w:t>
      </w:r>
      <w:r>
        <w:rPr>
          <w:spacing w:val="-1"/>
          <w:w w:val="99"/>
        </w:rPr>
        <w:t>o</w:t>
      </w:r>
      <w:r>
        <w:rPr>
          <w:w w:val="99"/>
        </w:rPr>
        <w:t>t</w:t>
      </w:r>
      <w:r>
        <w:rPr>
          <w:spacing w:val="5"/>
        </w:rPr>
        <w:t> </w:t>
      </w:r>
      <w:r>
        <w:rPr>
          <w:w w:val="99"/>
        </w:rPr>
        <w:t>kno</w:t>
      </w:r>
      <w:r>
        <w:rPr>
          <w:spacing w:val="-1"/>
          <w:w w:val="99"/>
        </w:rPr>
        <w:t>w</w:t>
      </w:r>
      <w:r>
        <w:rPr>
          <w:w w:val="99"/>
        </w:rPr>
        <w:t>n</w:t>
      </w:r>
      <w:r>
        <w:rPr>
          <w:spacing w:val="4"/>
        </w:rPr>
        <w:t> </w:t>
      </w:r>
      <w:r>
        <w:rPr>
          <w:spacing w:val="-1"/>
          <w:w w:val="99"/>
        </w:rPr>
        <w:t>a</w:t>
      </w:r>
      <w:r>
        <w:rPr>
          <w:w w:val="99"/>
        </w:rPr>
        <w:t>s</w:t>
      </w:r>
      <w:r>
        <w:rPr>
          <w:spacing w:val="5"/>
        </w:rPr>
        <w:t> </w:t>
      </w:r>
      <w:r>
        <w:rPr>
          <w:w w:val="33"/>
        </w:rPr>
        <w:t>―</w:t>
      </w:r>
      <w:r>
        <w:rPr>
          <w:spacing w:val="-1"/>
          <w:w w:val="99"/>
        </w:rPr>
        <w:t>Ra</w:t>
      </w:r>
      <w:r>
        <w:rPr>
          <w:w w:val="99"/>
        </w:rPr>
        <w:t>m</w:t>
      </w:r>
      <w:r>
        <w:rPr>
          <w:spacing w:val="5"/>
        </w:rPr>
        <w:t> </w:t>
      </w:r>
      <w:r>
        <w:rPr>
          <w:spacing w:val="-1"/>
          <w:w w:val="99"/>
        </w:rPr>
        <w:t>L</w:t>
      </w:r>
      <w:r>
        <w:rPr>
          <w:w w:val="99"/>
        </w:rPr>
        <w:t>a</w:t>
      </w:r>
      <w:r>
        <w:rPr>
          <w:spacing w:val="1"/>
          <w:w w:val="99"/>
        </w:rPr>
        <w:t>l</w:t>
      </w:r>
      <w:r>
        <w:rPr>
          <w:w w:val="99"/>
        </w:rPr>
        <w:t>a</w:t>
      </w:r>
      <w:r>
        <w:rPr>
          <w:spacing w:val="5"/>
        </w:rPr>
        <w:t> </w:t>
      </w:r>
      <w:r>
        <w:rPr>
          <w:spacing w:val="-1"/>
          <w:w w:val="99"/>
        </w:rPr>
        <w:t>Vir</w:t>
      </w:r>
      <w:r>
        <w:rPr>
          <w:w w:val="99"/>
        </w:rPr>
        <w:t>a</w:t>
      </w:r>
      <w:r>
        <w:rPr>
          <w:spacing w:val="-1"/>
          <w:w w:val="99"/>
        </w:rPr>
        <w:t>ja</w:t>
      </w:r>
      <w:r>
        <w:rPr>
          <w:w w:val="99"/>
        </w:rPr>
        <w:t>m</w:t>
      </w:r>
      <w:r>
        <w:rPr>
          <w:spacing w:val="-1"/>
          <w:w w:val="99"/>
        </w:rPr>
        <w:t>a</w:t>
      </w:r>
      <w:r>
        <w:rPr>
          <w:w w:val="99"/>
        </w:rPr>
        <w:t>n</w:t>
      </w:r>
      <w:r>
        <w:rPr>
          <w:w w:val="80"/>
        </w:rPr>
        <w:t>‖</w:t>
      </w:r>
      <w:r>
        <w:rPr>
          <w:spacing w:val="5"/>
        </w:rPr>
        <w:t> </w:t>
      </w:r>
      <w:r>
        <w:rPr>
          <w:spacing w:val="-1"/>
          <w:w w:val="99"/>
        </w:rPr>
        <w:t>a</w:t>
      </w:r>
      <w:r>
        <w:rPr>
          <w:w w:val="99"/>
        </w:rPr>
        <w:t>nd</w:t>
      </w:r>
      <w:r>
        <w:rPr>
          <w:spacing w:val="5"/>
        </w:rPr>
        <w:t> </w:t>
      </w:r>
      <w:r>
        <w:rPr>
          <w:w w:val="99"/>
        </w:rPr>
        <w:t>that</w:t>
      </w:r>
      <w:r>
        <w:rPr>
          <w:spacing w:val="5"/>
        </w:rPr>
        <w:t> </w:t>
      </w:r>
      <w:r>
        <w:rPr>
          <w:w w:val="99"/>
        </w:rPr>
        <w:t>the</w:t>
      </w:r>
      <w:r>
        <w:rPr>
          <w:spacing w:val="5"/>
        </w:rPr>
        <w:t> </w:t>
      </w:r>
      <w:r>
        <w:rPr>
          <w:w w:val="99"/>
        </w:rPr>
        <w:t>Janm</w:t>
      </w:r>
      <w:r>
        <w:rPr>
          <w:spacing w:val="-1"/>
          <w:w w:val="99"/>
        </w:rPr>
        <w:t>ast</w:t>
      </w:r>
      <w:r>
        <w:rPr>
          <w:w w:val="99"/>
        </w:rPr>
        <w:t>h</w:t>
      </w:r>
      <w:r>
        <w:rPr>
          <w:spacing w:val="-1"/>
          <w:w w:val="99"/>
        </w:rPr>
        <w:t>an </w:t>
      </w:r>
      <w:r>
        <w:rPr/>
        <w:t>is simply a place and not a juridical</w:t>
      </w:r>
      <w:r>
        <w:rPr>
          <w:spacing w:val="-5"/>
        </w:rPr>
        <w:t> </w:t>
      </w:r>
      <w:r>
        <w:rPr/>
        <w:t>person.</w:t>
      </w:r>
    </w:p>
    <w:p>
      <w:pPr>
        <w:pStyle w:val="BodyText"/>
      </w:pPr>
    </w:p>
    <w:p>
      <w:pPr>
        <w:pStyle w:val="BodyText"/>
        <w:spacing w:line="480" w:lineRule="auto"/>
        <w:ind w:left="500" w:right="441"/>
        <w:jc w:val="both"/>
      </w:pPr>
      <w:r>
        <w:rPr>
          <w:w w:val="99"/>
        </w:rPr>
        <w:t>Nirmohi</w:t>
      </w:r>
      <w:r>
        <w:rPr/>
        <w:t> </w:t>
      </w:r>
      <w:r>
        <w:rPr>
          <w:w w:val="99"/>
        </w:rPr>
        <w:t>Akhara</w:t>
      </w:r>
      <w:r>
        <w:rPr/>
        <w:t> </w:t>
      </w:r>
      <w:r>
        <w:rPr>
          <w:w w:val="99"/>
        </w:rPr>
        <w:t>has</w:t>
      </w:r>
      <w:r>
        <w:rPr/>
        <w:t> </w:t>
      </w:r>
      <w:r>
        <w:rPr>
          <w:w w:val="99"/>
        </w:rPr>
        <w:t>claimed</w:t>
      </w:r>
      <w:r>
        <w:rPr/>
        <w:t> </w:t>
      </w:r>
      <w:r>
        <w:rPr>
          <w:w w:val="99"/>
        </w:rPr>
        <w:t>in</w:t>
      </w:r>
      <w:r>
        <w:rPr/>
        <w:t> </w:t>
      </w:r>
      <w:r>
        <w:rPr>
          <w:w w:val="99"/>
        </w:rPr>
        <w:t>its</w:t>
      </w:r>
      <w:r>
        <w:rPr/>
        <w:t> </w:t>
      </w:r>
      <w:r>
        <w:rPr>
          <w:w w:val="99"/>
        </w:rPr>
        <w:t>written</w:t>
      </w:r>
      <w:r>
        <w:rPr/>
        <w:t> </w:t>
      </w:r>
      <w:r>
        <w:rPr>
          <w:w w:val="99"/>
        </w:rPr>
        <w:t>submissions</w:t>
      </w:r>
      <w:r>
        <w:rPr/>
        <w:t> </w:t>
      </w:r>
      <w:r>
        <w:rPr>
          <w:w w:val="99"/>
        </w:rPr>
        <w:t>that</w:t>
      </w:r>
      <w:r>
        <w:rPr/>
        <w:t> </w:t>
      </w:r>
      <w:r>
        <w:rPr>
          <w:w w:val="99"/>
        </w:rPr>
        <w:t>it</w:t>
      </w:r>
      <w:r>
        <w:rPr/>
        <w:t> </w:t>
      </w:r>
      <w:r>
        <w:rPr>
          <w:w w:val="99"/>
        </w:rPr>
        <w:t>is</w:t>
      </w:r>
      <w:r>
        <w:rPr/>
        <w:t> </w:t>
      </w:r>
      <w:r>
        <w:rPr>
          <w:w w:val="99"/>
        </w:rPr>
        <w:t>the</w:t>
      </w:r>
      <w:r>
        <w:rPr/>
        <w:t> </w:t>
      </w:r>
      <w:r>
        <w:rPr>
          <w:w w:val="33"/>
        </w:rPr>
        <w:t>―</w:t>
      </w:r>
      <w:r>
        <w:rPr>
          <w:w w:val="99"/>
        </w:rPr>
        <w:t>Shebait</w:t>
      </w:r>
      <w:r>
        <w:rPr/>
        <w:t> </w:t>
      </w:r>
      <w:r>
        <w:rPr>
          <w:w w:val="99"/>
        </w:rPr>
        <w:t>of B</w:t>
      </w:r>
      <w:r>
        <w:rPr>
          <w:w w:val="99"/>
        </w:rPr>
        <w:t>hag</w:t>
      </w:r>
      <w:r>
        <w:rPr>
          <w:w w:val="99"/>
        </w:rPr>
        <w:t>wan</w:t>
      </w:r>
      <w:r>
        <w:rPr/>
        <w:t> </w:t>
      </w:r>
      <w:r>
        <w:rPr>
          <w:w w:val="99"/>
        </w:rPr>
        <w:t>Shri</w:t>
      </w:r>
      <w:r>
        <w:rPr/>
        <w:t> </w:t>
      </w:r>
      <w:r>
        <w:rPr>
          <w:w w:val="99"/>
        </w:rPr>
        <w:t>Ram</w:t>
      </w:r>
      <w:r>
        <w:rPr/>
        <w:t> </w:t>
      </w:r>
      <w:r>
        <w:rPr>
          <w:w w:val="99"/>
        </w:rPr>
        <w:t>installed</w:t>
      </w:r>
      <w:r>
        <w:rPr/>
        <w:t> </w:t>
      </w:r>
      <w:r>
        <w:rPr>
          <w:w w:val="99"/>
        </w:rPr>
        <w:t>in</w:t>
      </w:r>
      <w:r>
        <w:rPr/>
        <w:t> </w:t>
      </w:r>
      <w:r>
        <w:rPr>
          <w:w w:val="99"/>
        </w:rPr>
        <w:t>the</w:t>
      </w:r>
      <w:r>
        <w:rPr/>
        <w:t> </w:t>
      </w:r>
      <w:r>
        <w:rPr>
          <w:w w:val="99"/>
        </w:rPr>
        <w:t>temple</w:t>
      </w:r>
      <w:r>
        <w:rPr/>
        <w:t> </w:t>
      </w:r>
      <w:r>
        <w:rPr>
          <w:w w:val="99"/>
        </w:rPr>
        <w:t>in</w:t>
      </w:r>
      <w:r>
        <w:rPr/>
        <w:t> </w:t>
      </w:r>
      <w:r>
        <w:rPr>
          <w:w w:val="99"/>
        </w:rPr>
        <w:t>dispu</w:t>
      </w:r>
      <w:r>
        <w:rPr>
          <w:w w:val="93"/>
        </w:rPr>
        <w:t>te‖</w:t>
      </w:r>
      <w:r>
        <w:rPr/>
        <w:t> </w:t>
      </w:r>
      <w:r>
        <w:rPr>
          <w:w w:val="99"/>
        </w:rPr>
        <w:t>and</w:t>
      </w:r>
      <w:r>
        <w:rPr/>
        <w:t> </w:t>
      </w:r>
      <w:r>
        <w:rPr>
          <w:w w:val="99"/>
        </w:rPr>
        <w:t>that</w:t>
      </w:r>
      <w:r>
        <w:rPr/>
        <w:t> </w:t>
      </w:r>
      <w:r>
        <w:rPr>
          <w:w w:val="99"/>
        </w:rPr>
        <w:t>the</w:t>
      </w:r>
      <w:r>
        <w:rPr/>
        <w:t> </w:t>
      </w:r>
      <w:r>
        <w:rPr>
          <w:w w:val="99"/>
        </w:rPr>
        <w:t>Akhara</w:t>
      </w:r>
      <w:r>
        <w:rPr/>
        <w:t> </w:t>
      </w:r>
      <w:r>
        <w:rPr>
          <w:w w:val="33"/>
        </w:rPr>
        <w:t>―</w:t>
      </w:r>
      <w:r>
        <w:rPr>
          <w:w w:val="99"/>
        </w:rPr>
        <w:t>alone</w:t>
      </w:r>
      <w:r>
        <w:rPr>
          <w:w w:val="80"/>
        </w:rPr>
        <w:t>‖ </w:t>
      </w:r>
      <w:r>
        <w:rPr/>
        <w:t>has the right to control, supervise and repair or even to reconstruct the temple, if </w:t>
      </w:r>
      <w:r>
        <w:rPr>
          <w:w w:val="99"/>
        </w:rPr>
        <w:t>necessary.</w:t>
      </w:r>
      <w:r>
        <w:rPr/>
        <w:t> </w:t>
      </w:r>
      <w:r>
        <w:rPr>
          <w:w w:val="99"/>
        </w:rPr>
        <w:t>It</w:t>
      </w:r>
      <w:r>
        <w:rPr/>
        <w:t> </w:t>
      </w:r>
      <w:r>
        <w:rPr>
          <w:w w:val="99"/>
        </w:rPr>
        <w:t>claims</w:t>
      </w:r>
      <w:r>
        <w:rPr/>
        <w:t> </w:t>
      </w:r>
      <w:r>
        <w:rPr>
          <w:w w:val="99"/>
        </w:rPr>
        <w:t>that</w:t>
      </w:r>
      <w:r>
        <w:rPr/>
        <w:t> </w:t>
      </w:r>
      <w:r>
        <w:rPr>
          <w:w w:val="99"/>
        </w:rPr>
        <w:t>in</w:t>
      </w:r>
      <w:r>
        <w:rPr/>
        <w:t> </w:t>
      </w:r>
      <w:r>
        <w:rPr>
          <w:w w:val="99"/>
        </w:rPr>
        <w:t>its</w:t>
      </w:r>
      <w:r>
        <w:rPr/>
        <w:t> </w:t>
      </w:r>
      <w:r>
        <w:rPr>
          <w:w w:val="99"/>
        </w:rPr>
        <w:t>capacity</w:t>
      </w:r>
      <w:r>
        <w:rPr/>
        <w:t> </w:t>
      </w:r>
      <w:r>
        <w:rPr>
          <w:w w:val="99"/>
        </w:rPr>
        <w:t>as</w:t>
      </w:r>
      <w:r>
        <w:rPr/>
        <w:t> </w:t>
      </w:r>
      <w:r>
        <w:rPr>
          <w:w w:val="99"/>
        </w:rPr>
        <w:t>the</w:t>
      </w:r>
      <w:r>
        <w:rPr/>
        <w:t> </w:t>
      </w:r>
      <w:r>
        <w:rPr>
          <w:w w:val="99"/>
        </w:rPr>
        <w:t>shebait</w:t>
      </w:r>
      <w:r>
        <w:rPr/>
        <w:t> </w:t>
      </w:r>
      <w:r>
        <w:rPr>
          <w:w w:val="99"/>
        </w:rPr>
        <w:t>and</w:t>
      </w:r>
      <w:r>
        <w:rPr/>
        <w:t> </w:t>
      </w:r>
      <w:r>
        <w:rPr>
          <w:w w:val="99"/>
        </w:rPr>
        <w:t>manager,</w:t>
      </w:r>
      <w:r>
        <w:rPr/>
        <w:t> </w:t>
      </w:r>
      <w:r>
        <w:rPr>
          <w:w w:val="33"/>
        </w:rPr>
        <w:t>―</w:t>
      </w:r>
      <w:r>
        <w:rPr>
          <w:w w:val="99"/>
        </w:rPr>
        <w:t>the</w:t>
      </w:r>
      <w:r>
        <w:rPr/>
        <w:t> </w:t>
      </w:r>
      <w:r>
        <w:rPr>
          <w:w w:val="99"/>
        </w:rPr>
        <w:t>temple </w:t>
      </w:r>
      <w:r>
        <w:rPr>
          <w:w w:val="99"/>
        </w:rPr>
        <w:t>belong</w:t>
      </w:r>
      <w:r>
        <w:rPr>
          <w:w w:val="99"/>
        </w:rPr>
        <w:t>s</w:t>
      </w:r>
      <w:r>
        <w:rPr/>
        <w:t> </w:t>
      </w:r>
      <w:r>
        <w:rPr>
          <w:w w:val="99"/>
        </w:rPr>
        <w:t>to</w:t>
      </w:r>
      <w:r>
        <w:rPr/>
        <w:t> </w:t>
      </w:r>
      <w:r>
        <w:rPr>
          <w:w w:val="99"/>
        </w:rPr>
        <w:t>N</w:t>
      </w:r>
      <w:r>
        <w:rPr>
          <w:w w:val="99"/>
        </w:rPr>
        <w:t>irmohi</w:t>
      </w:r>
      <w:r>
        <w:rPr/>
        <w:t> </w:t>
      </w:r>
      <w:r>
        <w:rPr>
          <w:w w:val="99"/>
        </w:rPr>
        <w:t>Akhar</w:t>
      </w:r>
      <w:r>
        <w:rPr>
          <w:w w:val="91"/>
        </w:rPr>
        <w:t>a‖</w:t>
      </w:r>
      <w:r>
        <w:rPr/>
        <w:t> </w:t>
      </w:r>
      <w:r>
        <w:rPr>
          <w:w w:val="99"/>
        </w:rPr>
        <w:t>and</w:t>
      </w:r>
      <w:r>
        <w:rPr/>
        <w:t> </w:t>
      </w:r>
      <w:r>
        <w:rPr>
          <w:w w:val="99"/>
        </w:rPr>
        <w:t>the</w:t>
      </w:r>
      <w:r>
        <w:rPr/>
        <w:t> </w:t>
      </w:r>
      <w:r>
        <w:rPr>
          <w:w w:val="99"/>
        </w:rPr>
        <w:t>plaintiffs</w:t>
      </w:r>
      <w:r>
        <w:rPr/>
        <w:t> </w:t>
      </w:r>
      <w:r>
        <w:rPr>
          <w:w w:val="99"/>
        </w:rPr>
        <w:t>in</w:t>
      </w:r>
      <w:r>
        <w:rPr/>
        <w:t> </w:t>
      </w:r>
      <w:r>
        <w:rPr>
          <w:w w:val="99"/>
        </w:rPr>
        <w:t>Suit</w:t>
      </w:r>
      <w:r>
        <w:rPr/>
        <w:t> </w:t>
      </w:r>
      <w:r>
        <w:rPr>
          <w:w w:val="99"/>
        </w:rPr>
        <w:t>5</w:t>
      </w:r>
      <w:r>
        <w:rPr/>
        <w:t> </w:t>
      </w:r>
      <w:r>
        <w:rPr>
          <w:w w:val="33"/>
        </w:rPr>
        <w:t>―</w:t>
      </w:r>
      <w:r>
        <w:rPr>
          <w:w w:val="99"/>
        </w:rPr>
        <w:t>have</w:t>
      </w:r>
      <w:r>
        <w:rPr/>
        <w:t> </w:t>
      </w:r>
      <w:r>
        <w:rPr>
          <w:w w:val="99"/>
        </w:rPr>
        <w:t>no</w:t>
      </w:r>
      <w:r>
        <w:rPr/>
        <w:t> </w:t>
      </w:r>
      <w:r>
        <w:rPr>
          <w:w w:val="99"/>
        </w:rPr>
        <w:t>real</w:t>
      </w:r>
      <w:r>
        <w:rPr/>
        <w:t> </w:t>
      </w:r>
      <w:r>
        <w:rPr>
          <w:w w:val="99"/>
        </w:rPr>
        <w:t>title</w:t>
      </w:r>
      <w:r>
        <w:rPr/>
        <w:t> </w:t>
      </w:r>
      <w:r>
        <w:rPr>
          <w:w w:val="99"/>
        </w:rPr>
        <w:t>to</w:t>
      </w:r>
      <w:r>
        <w:rPr/>
        <w:t> </w:t>
      </w:r>
      <w:r>
        <w:rPr>
          <w:w w:val="99"/>
        </w:rPr>
        <w:t>sue</w:t>
      </w:r>
      <w:r>
        <w:rPr>
          <w:w w:val="80"/>
        </w:rPr>
        <w:t>‖</w:t>
      </w:r>
      <w:r>
        <w:rPr>
          <w:w w:val="99"/>
        </w:rPr>
        <w:t>.</w:t>
      </w:r>
      <w:r>
        <w:rPr/>
        <w:t> </w:t>
      </w:r>
      <w:r>
        <w:rPr>
          <w:w w:val="99"/>
        </w:rPr>
        <w:t>It </w:t>
      </w:r>
      <w:r>
        <w:rPr/>
        <w:t>has been urged that Suit 5 encroaches upon the rights of Nirmohi Akhara to manage the temple. Nirmohi Akhara urges that the entire premises belong to it and the plaintiffs in Suit 5 have no right of declaration against the right and title of Nirmohi Akhara. In the additional written statement, it has been claimed that the outer part was in the management and charge of Nirmohi Akhara till it was attached when the receiver was appointed in Regular Suit 239 of 1982.</w:t>
      </w:r>
    </w:p>
    <w:p>
      <w:pPr>
        <w:pStyle w:val="BodyText"/>
        <w:spacing w:before="6"/>
        <w:rPr>
          <w:sz w:val="35"/>
        </w:rPr>
      </w:pPr>
    </w:p>
    <w:p>
      <w:pPr>
        <w:pStyle w:val="Heading3"/>
        <w:numPr>
          <w:ilvl w:val="1"/>
          <w:numId w:val="56"/>
        </w:numPr>
        <w:tabs>
          <w:tab w:pos="1220" w:val="left" w:leader="none"/>
          <w:tab w:pos="1221" w:val="left" w:leader="none"/>
        </w:tabs>
        <w:spacing w:line="240" w:lineRule="auto" w:before="0" w:after="0"/>
        <w:ind w:left="1220" w:right="0" w:hanging="721"/>
        <w:jc w:val="left"/>
      </w:pPr>
      <w:r>
        <w:rPr/>
        <w:t>Conflict between Suit 3 and Suit</w:t>
      </w:r>
      <w:r>
        <w:rPr>
          <w:spacing w:val="-3"/>
        </w:rPr>
        <w:t> </w:t>
      </w:r>
      <w:r>
        <w:rPr/>
        <w:t>5</w:t>
      </w:r>
    </w:p>
    <w:p>
      <w:pPr>
        <w:pStyle w:val="BodyText"/>
        <w:rPr>
          <w:b/>
          <w:sz w:val="28"/>
        </w:rPr>
      </w:pPr>
    </w:p>
    <w:p>
      <w:pPr>
        <w:pStyle w:val="ListParagraph"/>
        <w:numPr>
          <w:ilvl w:val="0"/>
          <w:numId w:val="3"/>
        </w:numPr>
        <w:tabs>
          <w:tab w:pos="1220" w:val="left" w:leader="none"/>
          <w:tab w:pos="1221" w:val="left" w:leader="none"/>
        </w:tabs>
        <w:spacing w:line="480" w:lineRule="auto" w:before="217" w:after="0"/>
        <w:ind w:left="500" w:right="444" w:firstLine="0"/>
        <w:jc w:val="left"/>
        <w:rPr>
          <w:sz w:val="25"/>
        </w:rPr>
      </w:pPr>
      <w:r>
        <w:rPr>
          <w:sz w:val="25"/>
        </w:rPr>
        <w:t>The following position emerges from an analysis of the pleadings of Nirmohi Akhara in Suit 3 and as a defendant in Suit</w:t>
      </w:r>
      <w:r>
        <w:rPr>
          <w:spacing w:val="-10"/>
          <w:sz w:val="25"/>
        </w:rPr>
        <w:t> </w:t>
      </w:r>
      <w:r>
        <w:rPr>
          <w:sz w:val="25"/>
        </w:rPr>
        <w:t>5:</w:t>
      </w:r>
    </w:p>
    <w:p>
      <w:pPr>
        <w:pStyle w:val="ListParagraph"/>
        <w:numPr>
          <w:ilvl w:val="0"/>
          <w:numId w:val="74"/>
        </w:numPr>
        <w:tabs>
          <w:tab w:pos="1220" w:val="left" w:leader="none"/>
          <w:tab w:pos="1221" w:val="left" w:leader="none"/>
        </w:tabs>
        <w:spacing w:line="480" w:lineRule="auto" w:before="0" w:after="0"/>
        <w:ind w:left="1220" w:right="441" w:hanging="720"/>
        <w:jc w:val="left"/>
        <w:rPr>
          <w:sz w:val="25"/>
        </w:rPr>
      </w:pPr>
      <w:r>
        <w:rPr>
          <w:sz w:val="25"/>
        </w:rPr>
        <w:t>The claim of Nirmohi Akhara is for the management and charge of Ram Janmabhumi</w:t>
      </w:r>
      <w:r>
        <w:rPr>
          <w:spacing w:val="-2"/>
          <w:sz w:val="25"/>
        </w:rPr>
        <w:t> </w:t>
      </w:r>
      <w:r>
        <w:rPr>
          <w:sz w:val="25"/>
        </w:rPr>
        <w:t>temple;</w:t>
      </w:r>
    </w:p>
    <w:p>
      <w:pPr>
        <w:spacing w:after="0" w:line="480" w:lineRule="auto"/>
        <w:jc w:val="left"/>
        <w:rPr>
          <w:sz w:val="25"/>
        </w:rPr>
        <w:sectPr>
          <w:pgSz w:w="11910" w:h="16840"/>
          <w:pgMar w:header="721" w:footer="1014" w:top="1300" w:bottom="1200" w:left="940" w:right="1000"/>
        </w:sectPr>
      </w:pPr>
    </w:p>
    <w:p>
      <w:pPr>
        <w:pStyle w:val="ListParagraph"/>
        <w:numPr>
          <w:ilvl w:val="0"/>
          <w:numId w:val="74"/>
        </w:numPr>
        <w:tabs>
          <w:tab w:pos="1221" w:val="left" w:leader="none"/>
        </w:tabs>
        <w:spacing w:line="480" w:lineRule="auto" w:before="124" w:after="0"/>
        <w:ind w:left="1220" w:right="447" w:hanging="720"/>
        <w:jc w:val="both"/>
        <w:rPr>
          <w:sz w:val="25"/>
        </w:rPr>
      </w:pPr>
      <w:r>
        <w:rPr>
          <w:sz w:val="25"/>
        </w:rPr>
        <w:t>The relief sought is for handing over of the management and charge of the temple by the receiver to</w:t>
      </w:r>
      <w:r>
        <w:rPr>
          <w:spacing w:val="-5"/>
          <w:sz w:val="25"/>
        </w:rPr>
        <w:t> </w:t>
      </w:r>
      <w:r>
        <w:rPr>
          <w:sz w:val="25"/>
        </w:rPr>
        <w:t>it;</w:t>
      </w:r>
    </w:p>
    <w:p>
      <w:pPr>
        <w:pStyle w:val="ListParagraph"/>
        <w:numPr>
          <w:ilvl w:val="0"/>
          <w:numId w:val="74"/>
        </w:numPr>
        <w:tabs>
          <w:tab w:pos="1221" w:val="left" w:leader="none"/>
        </w:tabs>
        <w:spacing w:line="480" w:lineRule="auto" w:before="0" w:after="0"/>
        <w:ind w:left="1220" w:right="442" w:hanging="720"/>
        <w:jc w:val="both"/>
        <w:rPr>
          <w:sz w:val="25"/>
        </w:rPr>
      </w:pPr>
      <w:r>
        <w:rPr>
          <w:sz w:val="25"/>
        </w:rPr>
        <w:t>In the context of (i) and (ii) above, Nirmohi Akhara has claimed that it was in possession of the</w:t>
      </w:r>
      <w:r>
        <w:rPr>
          <w:spacing w:val="-2"/>
          <w:sz w:val="25"/>
        </w:rPr>
        <w:t> </w:t>
      </w:r>
      <w:r>
        <w:rPr>
          <w:sz w:val="25"/>
        </w:rPr>
        <w:t>temple;</w:t>
      </w:r>
    </w:p>
    <w:p>
      <w:pPr>
        <w:pStyle w:val="ListParagraph"/>
        <w:numPr>
          <w:ilvl w:val="0"/>
          <w:numId w:val="74"/>
        </w:numPr>
        <w:tabs>
          <w:tab w:pos="1221" w:val="left" w:leader="none"/>
        </w:tabs>
        <w:spacing w:line="480" w:lineRule="auto" w:before="0" w:after="0"/>
        <w:ind w:left="1220" w:right="449" w:hanging="720"/>
        <w:jc w:val="both"/>
        <w:rPr>
          <w:sz w:val="25"/>
        </w:rPr>
      </w:pPr>
      <w:r>
        <w:rPr>
          <w:sz w:val="25"/>
        </w:rPr>
        <w:t>The deprivation of the right claimed arose when the receiver took over management and charge on 5 January</w:t>
      </w:r>
      <w:r>
        <w:rPr>
          <w:spacing w:val="-6"/>
          <w:sz w:val="25"/>
        </w:rPr>
        <w:t> </w:t>
      </w:r>
      <w:r>
        <w:rPr>
          <w:sz w:val="25"/>
        </w:rPr>
        <w:t>1950;</w:t>
      </w:r>
    </w:p>
    <w:p>
      <w:pPr>
        <w:pStyle w:val="ListParagraph"/>
        <w:numPr>
          <w:ilvl w:val="0"/>
          <w:numId w:val="74"/>
        </w:numPr>
        <w:tabs>
          <w:tab w:pos="1221" w:val="left" w:leader="none"/>
        </w:tabs>
        <w:spacing w:line="480" w:lineRule="auto" w:before="0" w:after="0"/>
        <w:ind w:left="1220" w:right="445" w:hanging="720"/>
        <w:jc w:val="both"/>
        <w:rPr>
          <w:sz w:val="25"/>
        </w:rPr>
      </w:pPr>
      <w:r>
        <w:rPr>
          <w:sz w:val="25"/>
        </w:rPr>
        <w:t>The claim of Nirmohi Akhara is in the capacity of a shebait and as a manager of the</w:t>
      </w:r>
      <w:r>
        <w:rPr>
          <w:spacing w:val="-2"/>
          <w:sz w:val="25"/>
        </w:rPr>
        <w:t> </w:t>
      </w:r>
      <w:r>
        <w:rPr>
          <w:sz w:val="25"/>
        </w:rPr>
        <w:t>temple;</w:t>
      </w:r>
    </w:p>
    <w:p>
      <w:pPr>
        <w:pStyle w:val="ListParagraph"/>
        <w:numPr>
          <w:ilvl w:val="0"/>
          <w:numId w:val="74"/>
        </w:numPr>
        <w:tabs>
          <w:tab w:pos="1221" w:val="left" w:leader="none"/>
        </w:tabs>
        <w:spacing w:line="480" w:lineRule="auto" w:before="1" w:after="0"/>
        <w:ind w:left="1220" w:right="439" w:hanging="720"/>
        <w:jc w:val="both"/>
        <w:rPr>
          <w:sz w:val="25"/>
        </w:rPr>
      </w:pPr>
      <w:r>
        <w:rPr>
          <w:sz w:val="25"/>
        </w:rPr>
        <w:t>Nirmohi Akhara opposes the maintainability of Suit 5 on the ground that as a shebait, it alone is entitled to represent the deity of Lord</w:t>
      </w:r>
      <w:r>
        <w:rPr>
          <w:spacing w:val="-13"/>
          <w:sz w:val="25"/>
        </w:rPr>
        <w:t> </w:t>
      </w:r>
      <w:r>
        <w:rPr>
          <w:sz w:val="25"/>
        </w:rPr>
        <w:t>Ram;</w:t>
      </w:r>
    </w:p>
    <w:p>
      <w:pPr>
        <w:pStyle w:val="ListParagraph"/>
        <w:numPr>
          <w:ilvl w:val="0"/>
          <w:numId w:val="74"/>
        </w:numPr>
        <w:tabs>
          <w:tab w:pos="1221" w:val="left" w:leader="none"/>
        </w:tabs>
        <w:spacing w:line="480" w:lineRule="auto" w:before="0" w:after="0"/>
        <w:ind w:left="1220" w:right="433" w:hanging="720"/>
        <w:jc w:val="both"/>
        <w:rPr>
          <w:sz w:val="25"/>
        </w:rPr>
      </w:pPr>
      <w:r>
        <w:rPr>
          <w:sz w:val="25"/>
        </w:rPr>
        <w:t>The entitlement of Nirmohi Akhara to sue is to the exclusion of any third party and hence, Suit 5 which has been instituted through a next friend, is asserted as not being maintainable;</w:t>
      </w:r>
      <w:r>
        <w:rPr>
          <w:spacing w:val="-4"/>
          <w:sz w:val="25"/>
        </w:rPr>
        <w:t> </w:t>
      </w:r>
      <w:r>
        <w:rPr>
          <w:sz w:val="25"/>
        </w:rPr>
        <w:t>and</w:t>
      </w:r>
    </w:p>
    <w:p>
      <w:pPr>
        <w:pStyle w:val="ListParagraph"/>
        <w:numPr>
          <w:ilvl w:val="0"/>
          <w:numId w:val="74"/>
        </w:numPr>
        <w:tabs>
          <w:tab w:pos="1221" w:val="left" w:leader="none"/>
        </w:tabs>
        <w:spacing w:line="480" w:lineRule="auto" w:before="0" w:after="0"/>
        <w:ind w:left="1220" w:right="443" w:hanging="720"/>
        <w:jc w:val="both"/>
        <w:rPr>
          <w:sz w:val="25"/>
        </w:rPr>
      </w:pPr>
      <w:r>
        <w:rPr>
          <w:sz w:val="25"/>
        </w:rPr>
        <w:t>The status of Ram Janmasthan as a juristic entity is denied and hence it would (according to Nirmohi Akhara) not be entitled to pursue the claim in Suit</w:t>
      </w:r>
      <w:r>
        <w:rPr>
          <w:spacing w:val="-2"/>
          <w:sz w:val="25"/>
        </w:rPr>
        <w:t> </w:t>
      </w:r>
      <w:r>
        <w:rPr>
          <w:sz w:val="25"/>
        </w:rPr>
        <w:t>5.</w:t>
      </w:r>
    </w:p>
    <w:p>
      <w:pPr>
        <w:pStyle w:val="BodyText"/>
      </w:pPr>
    </w:p>
    <w:p>
      <w:pPr>
        <w:pStyle w:val="BodyText"/>
        <w:spacing w:line="480" w:lineRule="auto"/>
        <w:ind w:left="500" w:right="439"/>
        <w:jc w:val="both"/>
      </w:pPr>
      <w:r>
        <w:rPr/>
        <w:t>Both on the basis of the pleadings and the submissions which have been urged during the course of the hearing, a clear conflict of claims and entitlements has emerged between the plaintiffs in Suit 3 and Suit 5.</w:t>
      </w:r>
    </w:p>
    <w:p>
      <w:pPr>
        <w:pStyle w:val="BodyText"/>
        <w:spacing w:before="11"/>
        <w:rPr>
          <w:sz w:val="24"/>
        </w:rPr>
      </w:pPr>
    </w:p>
    <w:p>
      <w:pPr>
        <w:pStyle w:val="ListParagraph"/>
        <w:numPr>
          <w:ilvl w:val="0"/>
          <w:numId w:val="3"/>
        </w:numPr>
        <w:tabs>
          <w:tab w:pos="1221" w:val="left" w:leader="none"/>
        </w:tabs>
        <w:spacing w:line="480" w:lineRule="auto" w:before="0" w:after="0"/>
        <w:ind w:left="500" w:right="445" w:firstLine="0"/>
        <w:jc w:val="both"/>
        <w:rPr>
          <w:sz w:val="25"/>
        </w:rPr>
      </w:pPr>
      <w:r>
        <w:rPr>
          <w:sz w:val="25"/>
        </w:rPr>
        <w:t>Mr K Parasaran, learned Senior Counsel appearing on behalf of the plaintiffs in Suit 5 has submitted that Suit 3 is barred by limitation, a submission which has also been urged on behalf of the plaintiff in Suit 4 by Dr Dhavan. On the other hand, it must be noted that Dr Dhavan submitted that Nirmohi Akhara</w:t>
      </w:r>
      <w:r>
        <w:rPr>
          <w:spacing w:val="38"/>
          <w:sz w:val="25"/>
        </w:rPr>
        <w:t> </w:t>
      </w:r>
      <w:r>
        <w:rPr>
          <w:sz w:val="25"/>
        </w:rPr>
        <w:t>is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as a matter of fact and evidence entitled to claim shebaiti rights in respect of the idols of Lord Ram at the Janmabhumi. He however maintains that Suit 3 is barred by limitation and hence, no relief should or could have been granted in their suit. Hence, from the arguments before this Court it has emerged that:</w:t>
      </w:r>
    </w:p>
    <w:p>
      <w:pPr>
        <w:pStyle w:val="ListParagraph"/>
        <w:numPr>
          <w:ilvl w:val="0"/>
          <w:numId w:val="75"/>
        </w:numPr>
        <w:tabs>
          <w:tab w:pos="1220" w:val="left" w:leader="none"/>
          <w:tab w:pos="1221" w:val="left" w:leader="none"/>
        </w:tabs>
        <w:spacing w:line="480" w:lineRule="auto" w:before="0" w:after="0"/>
        <w:ind w:left="1220" w:right="445" w:hanging="720"/>
        <w:jc w:val="left"/>
        <w:rPr>
          <w:sz w:val="25"/>
        </w:rPr>
      </w:pPr>
      <w:r>
        <w:rPr>
          <w:sz w:val="25"/>
        </w:rPr>
        <w:t>The plaintiffs in Suit 4 and Suit 5 have challenged Suit 3 on the ground of the bar of</w:t>
      </w:r>
      <w:r>
        <w:rPr>
          <w:spacing w:val="-1"/>
          <w:sz w:val="25"/>
        </w:rPr>
        <w:t> </w:t>
      </w:r>
      <w:r>
        <w:rPr>
          <w:sz w:val="25"/>
        </w:rPr>
        <w:t>limitation;</w:t>
      </w:r>
    </w:p>
    <w:p>
      <w:pPr>
        <w:pStyle w:val="ListParagraph"/>
        <w:numPr>
          <w:ilvl w:val="0"/>
          <w:numId w:val="75"/>
        </w:numPr>
        <w:tabs>
          <w:tab w:pos="1220" w:val="left" w:leader="none"/>
          <w:tab w:pos="1221" w:val="left" w:leader="none"/>
        </w:tabs>
        <w:spacing w:line="480" w:lineRule="auto" w:before="0" w:after="0"/>
        <w:ind w:left="1220" w:right="445" w:hanging="720"/>
        <w:jc w:val="left"/>
        <w:rPr>
          <w:sz w:val="25"/>
        </w:rPr>
      </w:pPr>
      <w:r>
        <w:rPr>
          <w:sz w:val="25"/>
        </w:rPr>
        <w:t>The plaintiffs in Suit 5 oppose the claim of the plaintiff in Suit 3 to be the shebait of the idols of Lord Ram;</w:t>
      </w:r>
      <w:r>
        <w:rPr>
          <w:spacing w:val="-9"/>
          <w:sz w:val="25"/>
        </w:rPr>
        <w:t> </w:t>
      </w:r>
      <w:r>
        <w:rPr>
          <w:sz w:val="25"/>
        </w:rPr>
        <w:t>and</w:t>
      </w:r>
    </w:p>
    <w:p>
      <w:pPr>
        <w:pStyle w:val="ListParagraph"/>
        <w:numPr>
          <w:ilvl w:val="0"/>
          <w:numId w:val="75"/>
        </w:numPr>
        <w:tabs>
          <w:tab w:pos="1220" w:val="left" w:leader="none"/>
          <w:tab w:pos="1221" w:val="left" w:leader="none"/>
        </w:tabs>
        <w:spacing w:line="480" w:lineRule="auto" w:before="1" w:after="0"/>
        <w:ind w:left="1220" w:right="440" w:hanging="720"/>
        <w:jc w:val="left"/>
        <w:rPr>
          <w:sz w:val="25"/>
        </w:rPr>
      </w:pPr>
      <w:r>
        <w:rPr>
          <w:sz w:val="25"/>
        </w:rPr>
        <w:t>The plaintiff in Suit 4 accepts the entitlement of the plaintiff in Suit 3 as a shebait, subject to the caveat that the suit itself is barred by</w:t>
      </w:r>
      <w:r>
        <w:rPr>
          <w:spacing w:val="-17"/>
          <w:sz w:val="25"/>
        </w:rPr>
        <w:t> </w:t>
      </w:r>
      <w:r>
        <w:rPr>
          <w:sz w:val="25"/>
        </w:rPr>
        <w:t>limitation.</w:t>
      </w:r>
    </w:p>
    <w:p>
      <w:pPr>
        <w:pStyle w:val="BodyText"/>
        <w:spacing w:before="9"/>
        <w:rPr>
          <w:sz w:val="24"/>
        </w:rPr>
      </w:pPr>
    </w:p>
    <w:p>
      <w:pPr>
        <w:pStyle w:val="ListParagraph"/>
        <w:numPr>
          <w:ilvl w:val="0"/>
          <w:numId w:val="3"/>
        </w:numPr>
        <w:tabs>
          <w:tab w:pos="1221" w:val="left" w:leader="none"/>
        </w:tabs>
        <w:spacing w:line="480" w:lineRule="auto" w:before="1" w:after="0"/>
        <w:ind w:left="500" w:right="440" w:firstLine="0"/>
        <w:jc w:val="both"/>
        <w:rPr>
          <w:sz w:val="25"/>
        </w:rPr>
      </w:pPr>
      <w:r>
        <w:rPr>
          <w:sz w:val="25"/>
        </w:rPr>
        <w:t>A query was addressed by this Court to Mr S K Jain, learned Senior Counsel appearing for the plaintiff in Suit 3 as to whether it is open to a shebait to assert title or ownership in a manner hostile to the claim of the deity. In response, Mr Jain submitted that the claim of Nirmohi Akhara is for management and charge of the temple in its character as a shebait and no more. Hence, though it has used the phrases ‗own‘ and ‗belong‘, they are not intended to assert a claim of full ownership, over and above or any higher than as a shebait. This aspect of Mr Jain‘s submission will be examined shortly in the context of the issue of limitation. However, it must be also noted at this stage that, during the course of the hearing, Mr Jain tendered a statement on the stand of Nirmohi Akhara on the maintainability of Suit 5 in the following</w:t>
      </w:r>
      <w:r>
        <w:rPr>
          <w:spacing w:val="-6"/>
          <w:sz w:val="25"/>
        </w:rPr>
        <w:t> </w:t>
      </w:r>
      <w:r>
        <w:rPr>
          <w:sz w:val="25"/>
        </w:rPr>
        <w:t>terms:</w:t>
      </w:r>
    </w:p>
    <w:p>
      <w:pPr>
        <w:pStyle w:val="BodyText"/>
      </w:pPr>
    </w:p>
    <w:p>
      <w:pPr>
        <w:spacing w:line="276" w:lineRule="auto" w:before="0"/>
        <w:ind w:left="1940" w:right="2265" w:firstLine="0"/>
        <w:jc w:val="both"/>
        <w:rPr>
          <w:sz w:val="21"/>
        </w:rPr>
      </w:pPr>
      <w:r>
        <w:rPr>
          <w:spacing w:val="-1"/>
          <w:w w:val="33"/>
          <w:sz w:val="21"/>
        </w:rPr>
        <w:t>―</w:t>
      </w:r>
      <w:r>
        <w:rPr>
          <w:spacing w:val="-1"/>
          <w:w w:val="100"/>
          <w:sz w:val="21"/>
        </w:rPr>
        <w:t>1</w:t>
      </w:r>
      <w:r>
        <w:rPr>
          <w:w w:val="100"/>
          <w:sz w:val="21"/>
        </w:rPr>
        <w:t>.</w:t>
      </w:r>
      <w:r>
        <w:rPr>
          <w:sz w:val="21"/>
        </w:rPr>
        <w:t>       </w:t>
      </w:r>
      <w:r>
        <w:rPr>
          <w:spacing w:val="7"/>
          <w:sz w:val="21"/>
        </w:rPr>
        <w:t> </w:t>
      </w:r>
      <w:r>
        <w:rPr>
          <w:w w:val="100"/>
          <w:sz w:val="21"/>
        </w:rPr>
        <w:t>Th</w:t>
      </w:r>
      <w:r>
        <w:rPr>
          <w:w w:val="100"/>
          <w:sz w:val="21"/>
        </w:rPr>
        <w:t>e</w:t>
      </w:r>
      <w:r>
        <w:rPr>
          <w:sz w:val="21"/>
        </w:rPr>
        <w:t> </w:t>
      </w:r>
      <w:r>
        <w:rPr>
          <w:spacing w:val="3"/>
          <w:sz w:val="21"/>
        </w:rPr>
        <w:t> </w:t>
      </w:r>
      <w:r>
        <w:rPr>
          <w:spacing w:val="-2"/>
          <w:w w:val="100"/>
          <w:sz w:val="21"/>
        </w:rPr>
        <w:t>N</w:t>
      </w:r>
      <w:r>
        <w:rPr>
          <w:w w:val="100"/>
          <w:sz w:val="21"/>
        </w:rPr>
        <w:t>i</w:t>
      </w:r>
      <w:r>
        <w:rPr>
          <w:spacing w:val="-4"/>
          <w:w w:val="100"/>
          <w:sz w:val="21"/>
        </w:rPr>
        <w:t>r</w:t>
      </w:r>
      <w:r>
        <w:rPr>
          <w:spacing w:val="1"/>
          <w:w w:val="100"/>
          <w:sz w:val="21"/>
        </w:rPr>
        <w:t>m</w:t>
      </w:r>
      <w:r>
        <w:rPr>
          <w:w w:val="100"/>
          <w:sz w:val="21"/>
        </w:rPr>
        <w:t>o</w:t>
      </w:r>
      <w:r>
        <w:rPr>
          <w:spacing w:val="-3"/>
          <w:w w:val="100"/>
          <w:sz w:val="21"/>
        </w:rPr>
        <w:t>h</w:t>
      </w:r>
      <w:r>
        <w:rPr>
          <w:w w:val="100"/>
          <w:sz w:val="21"/>
        </w:rPr>
        <w:t>i</w:t>
      </w:r>
      <w:r>
        <w:rPr>
          <w:sz w:val="21"/>
        </w:rPr>
        <w:t> </w:t>
      </w:r>
      <w:r>
        <w:rPr>
          <w:spacing w:val="3"/>
          <w:sz w:val="21"/>
        </w:rPr>
        <w:t> </w:t>
      </w:r>
      <w:r>
        <w:rPr>
          <w:spacing w:val="-2"/>
          <w:w w:val="100"/>
          <w:sz w:val="21"/>
        </w:rPr>
        <w:t>A</w:t>
      </w:r>
      <w:r>
        <w:rPr>
          <w:spacing w:val="2"/>
          <w:w w:val="100"/>
          <w:sz w:val="21"/>
        </w:rPr>
        <w:t>k</w:t>
      </w:r>
      <w:r>
        <w:rPr>
          <w:w w:val="100"/>
          <w:sz w:val="21"/>
        </w:rPr>
        <w:t>ha</w:t>
      </w:r>
      <w:r>
        <w:rPr>
          <w:spacing w:val="-3"/>
          <w:w w:val="100"/>
          <w:sz w:val="21"/>
        </w:rPr>
        <w:t>r</w:t>
      </w:r>
      <w:r>
        <w:rPr>
          <w:w w:val="100"/>
          <w:sz w:val="21"/>
        </w:rPr>
        <w:t>a</w:t>
      </w:r>
      <w:r>
        <w:rPr>
          <w:sz w:val="21"/>
        </w:rPr>
        <w:t> </w:t>
      </w:r>
      <w:r>
        <w:rPr>
          <w:spacing w:val="5"/>
          <w:sz w:val="21"/>
        </w:rPr>
        <w:t> </w:t>
      </w:r>
      <w:r>
        <w:rPr>
          <w:spacing w:val="-2"/>
          <w:w w:val="100"/>
          <w:sz w:val="21"/>
        </w:rPr>
        <w:t>w</w:t>
      </w:r>
      <w:r>
        <w:rPr>
          <w:spacing w:val="-3"/>
          <w:w w:val="100"/>
          <w:sz w:val="21"/>
        </w:rPr>
        <w:t>o</w:t>
      </w:r>
      <w:r>
        <w:rPr>
          <w:w w:val="100"/>
          <w:sz w:val="21"/>
        </w:rPr>
        <w:t>u</w:t>
      </w:r>
      <w:r>
        <w:rPr>
          <w:spacing w:val="1"/>
          <w:w w:val="100"/>
          <w:sz w:val="21"/>
        </w:rPr>
        <w:t>l</w:t>
      </w:r>
      <w:r>
        <w:rPr>
          <w:w w:val="100"/>
          <w:sz w:val="21"/>
        </w:rPr>
        <w:t>d</w:t>
      </w:r>
      <w:r>
        <w:rPr>
          <w:sz w:val="21"/>
        </w:rPr>
        <w:t> </w:t>
      </w:r>
      <w:r>
        <w:rPr>
          <w:spacing w:val="3"/>
          <w:sz w:val="21"/>
        </w:rPr>
        <w:t> </w:t>
      </w:r>
      <w:r>
        <w:rPr>
          <w:w w:val="100"/>
          <w:sz w:val="21"/>
        </w:rPr>
        <w:t>not</w:t>
      </w:r>
      <w:r>
        <w:rPr>
          <w:sz w:val="21"/>
        </w:rPr>
        <w:t> </w:t>
      </w:r>
      <w:r>
        <w:rPr>
          <w:spacing w:val="4"/>
          <w:sz w:val="21"/>
        </w:rPr>
        <w:t> </w:t>
      </w:r>
      <w:r>
        <w:rPr>
          <w:w w:val="100"/>
          <w:sz w:val="21"/>
        </w:rPr>
        <w:t>pre</w:t>
      </w:r>
      <w:r>
        <w:rPr>
          <w:spacing w:val="-3"/>
          <w:w w:val="100"/>
          <w:sz w:val="21"/>
        </w:rPr>
        <w:t>s</w:t>
      </w:r>
      <w:r>
        <w:rPr>
          <w:w w:val="100"/>
          <w:sz w:val="21"/>
        </w:rPr>
        <w:t>s</w:t>
      </w:r>
      <w:r>
        <w:rPr>
          <w:sz w:val="21"/>
        </w:rPr>
        <w:t> </w:t>
      </w:r>
      <w:r>
        <w:rPr>
          <w:spacing w:val="5"/>
          <w:sz w:val="21"/>
        </w:rPr>
        <w:t> </w:t>
      </w:r>
      <w:r>
        <w:rPr>
          <w:spacing w:val="-2"/>
          <w:w w:val="100"/>
          <w:sz w:val="21"/>
        </w:rPr>
        <w:t>t</w:t>
      </w:r>
      <w:r>
        <w:rPr>
          <w:w w:val="100"/>
          <w:sz w:val="21"/>
        </w:rPr>
        <w:t>he</w:t>
      </w:r>
      <w:r>
        <w:rPr>
          <w:sz w:val="21"/>
        </w:rPr>
        <w:t> </w:t>
      </w:r>
      <w:r>
        <w:rPr>
          <w:spacing w:val="3"/>
          <w:sz w:val="21"/>
        </w:rPr>
        <w:t> </w:t>
      </w:r>
      <w:r>
        <w:rPr>
          <w:w w:val="100"/>
          <w:sz w:val="21"/>
        </w:rPr>
        <w:t>i</w:t>
      </w:r>
      <w:r>
        <w:rPr>
          <w:w w:val="100"/>
          <w:sz w:val="21"/>
        </w:rPr>
        <w:t>s</w:t>
      </w:r>
      <w:r>
        <w:rPr>
          <w:spacing w:val="-3"/>
          <w:w w:val="100"/>
          <w:sz w:val="21"/>
        </w:rPr>
        <w:t>s</w:t>
      </w:r>
      <w:r>
        <w:rPr>
          <w:w w:val="100"/>
          <w:sz w:val="21"/>
        </w:rPr>
        <w:t>ue</w:t>
      </w:r>
      <w:r>
        <w:rPr>
          <w:sz w:val="21"/>
        </w:rPr>
        <w:t> </w:t>
      </w:r>
      <w:r>
        <w:rPr>
          <w:spacing w:val="3"/>
          <w:sz w:val="21"/>
        </w:rPr>
        <w:t> </w:t>
      </w:r>
      <w:r>
        <w:rPr>
          <w:w w:val="100"/>
          <w:sz w:val="21"/>
        </w:rPr>
        <w:t>of </w:t>
      </w:r>
      <w:r>
        <w:rPr>
          <w:sz w:val="21"/>
        </w:rPr>
        <w:t>maintainability of Suit No. OOS No. 5 of 1989 which has  been filed on behalf of the deities Plaintiff No. 1 and 2 through Plaintiff No. 3 as their next friend under Order 32 Rule 1</w:t>
      </w:r>
      <w:r>
        <w:rPr>
          <w:spacing w:val="50"/>
          <w:sz w:val="21"/>
        </w:rPr>
        <w:t> </w:t>
      </w:r>
      <w:r>
        <w:rPr>
          <w:sz w:val="21"/>
        </w:rPr>
        <w:t>CPC</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6" w:firstLine="0"/>
        <w:jc w:val="both"/>
        <w:rPr>
          <w:sz w:val="21"/>
        </w:rPr>
      </w:pPr>
      <w:r>
        <w:rPr>
          <w:sz w:val="21"/>
        </w:rPr>
        <w:t>provided the other Hindu Parties i.e. Plaintiff of </w:t>
      </w:r>
      <w:r>
        <w:rPr>
          <w:spacing w:val="-2"/>
          <w:sz w:val="21"/>
        </w:rPr>
        <w:t>OOS </w:t>
      </w:r>
      <w:r>
        <w:rPr>
          <w:sz w:val="21"/>
        </w:rPr>
        <w:t>No. 1 of 1989 and Plaintiff No. 3 of OOS No. 5 of 1989 do not press or question the Shebaiti right of Nirmohi Akhara in relation to the deities in question and the maintainability of Suit OOS No. 3 of 1989 by the Plaintiff Nirmohi</w:t>
      </w:r>
      <w:r>
        <w:rPr>
          <w:spacing w:val="-13"/>
          <w:sz w:val="21"/>
        </w:rPr>
        <w:t> </w:t>
      </w:r>
      <w:r>
        <w:rPr>
          <w:sz w:val="21"/>
        </w:rPr>
        <w:t>Akhara.</w:t>
      </w:r>
    </w:p>
    <w:p>
      <w:pPr>
        <w:pStyle w:val="ListParagraph"/>
        <w:numPr>
          <w:ilvl w:val="0"/>
          <w:numId w:val="76"/>
        </w:numPr>
        <w:tabs>
          <w:tab w:pos="2241" w:val="left" w:leader="none"/>
        </w:tabs>
        <w:spacing w:line="276" w:lineRule="auto" w:before="2" w:after="0"/>
        <w:ind w:left="1940" w:right="2261" w:firstLine="0"/>
        <w:jc w:val="both"/>
        <w:rPr>
          <w:sz w:val="21"/>
        </w:rPr>
      </w:pPr>
      <w:r>
        <w:rPr>
          <w:sz w:val="21"/>
        </w:rPr>
        <w:t>It is submitted that the plaintiff – Nirmohi Akhara can independently maintain the suit even in the absence of deities as parties in Suit OOS No. 3 of 1989 as the identity of the deities is merged in the identity of the Shebait – Nirmohi </w:t>
      </w:r>
      <w:r>
        <w:rPr>
          <w:spacing w:val="-2"/>
          <w:w w:val="100"/>
          <w:sz w:val="21"/>
        </w:rPr>
        <w:t>A</w:t>
      </w:r>
      <w:r>
        <w:rPr>
          <w:spacing w:val="2"/>
          <w:w w:val="100"/>
          <w:sz w:val="21"/>
        </w:rPr>
        <w:t>k</w:t>
      </w:r>
      <w:r>
        <w:rPr>
          <w:spacing w:val="-3"/>
          <w:w w:val="100"/>
          <w:sz w:val="21"/>
        </w:rPr>
        <w:t>h</w:t>
      </w:r>
      <w:r>
        <w:rPr>
          <w:w w:val="100"/>
          <w:sz w:val="21"/>
        </w:rPr>
        <w:t>ara.</w:t>
      </w:r>
      <w:r>
        <w:rPr>
          <w:spacing w:val="9"/>
          <w:sz w:val="21"/>
        </w:rPr>
        <w:t> </w:t>
      </w:r>
      <w:r>
        <w:rPr>
          <w:w w:val="100"/>
          <w:sz w:val="21"/>
        </w:rPr>
        <w:t>A</w:t>
      </w:r>
      <w:r>
        <w:rPr>
          <w:spacing w:val="9"/>
          <w:sz w:val="21"/>
        </w:rPr>
        <w:t> </w:t>
      </w:r>
      <w:r>
        <w:rPr>
          <w:spacing w:val="-3"/>
          <w:w w:val="100"/>
          <w:sz w:val="21"/>
        </w:rPr>
        <w:t>s</w:t>
      </w:r>
      <w:r>
        <w:rPr>
          <w:w w:val="100"/>
          <w:sz w:val="21"/>
        </w:rPr>
        <w:t>u</w:t>
      </w:r>
      <w:r>
        <w:rPr>
          <w:spacing w:val="1"/>
          <w:w w:val="100"/>
          <w:sz w:val="21"/>
        </w:rPr>
        <w:t>i</w:t>
      </w:r>
      <w:r>
        <w:rPr>
          <w:w w:val="100"/>
          <w:sz w:val="21"/>
        </w:rPr>
        <w:t>t</w:t>
      </w:r>
      <w:r>
        <w:rPr>
          <w:spacing w:val="7"/>
          <w:sz w:val="21"/>
        </w:rPr>
        <w:t> </w:t>
      </w:r>
      <w:r>
        <w:rPr>
          <w:spacing w:val="1"/>
          <w:w w:val="100"/>
          <w:sz w:val="21"/>
        </w:rPr>
        <w:t>f</w:t>
      </w:r>
      <w:r>
        <w:rPr>
          <w:spacing w:val="-2"/>
          <w:w w:val="100"/>
          <w:sz w:val="21"/>
        </w:rPr>
        <w:t>i</w:t>
      </w:r>
      <w:r>
        <w:rPr>
          <w:w w:val="100"/>
          <w:sz w:val="21"/>
        </w:rPr>
        <w:t>l</w:t>
      </w:r>
      <w:r>
        <w:rPr>
          <w:spacing w:val="-3"/>
          <w:w w:val="100"/>
          <w:sz w:val="21"/>
        </w:rPr>
        <w:t>e</w:t>
      </w:r>
      <w:r>
        <w:rPr>
          <w:w w:val="100"/>
          <w:sz w:val="21"/>
        </w:rPr>
        <w:t>d</w:t>
      </w:r>
      <w:r>
        <w:rPr>
          <w:spacing w:val="11"/>
          <w:sz w:val="21"/>
        </w:rPr>
        <w:t> </w:t>
      </w:r>
      <w:r>
        <w:rPr>
          <w:w w:val="100"/>
          <w:sz w:val="21"/>
        </w:rPr>
        <w:t>by</w:t>
      </w:r>
      <w:r>
        <w:rPr>
          <w:spacing w:val="8"/>
          <w:sz w:val="21"/>
        </w:rPr>
        <w:t> </w:t>
      </w:r>
      <w:r>
        <w:rPr>
          <w:spacing w:val="-2"/>
          <w:w w:val="100"/>
          <w:sz w:val="21"/>
        </w:rPr>
        <w:t>t</w:t>
      </w:r>
      <w:r>
        <w:rPr>
          <w:w w:val="100"/>
          <w:sz w:val="21"/>
        </w:rPr>
        <w:t>he</w:t>
      </w:r>
      <w:r>
        <w:rPr>
          <w:spacing w:val="9"/>
          <w:sz w:val="21"/>
        </w:rPr>
        <w:t> </w:t>
      </w:r>
      <w:r>
        <w:rPr>
          <w:spacing w:val="-2"/>
          <w:w w:val="100"/>
          <w:sz w:val="21"/>
        </w:rPr>
        <w:t>N</w:t>
      </w:r>
      <w:r>
        <w:rPr>
          <w:w w:val="100"/>
          <w:sz w:val="21"/>
        </w:rPr>
        <w:t>i</w:t>
      </w:r>
      <w:r>
        <w:rPr>
          <w:spacing w:val="-4"/>
          <w:w w:val="100"/>
          <w:sz w:val="21"/>
        </w:rPr>
        <w:t>r</w:t>
      </w:r>
      <w:r>
        <w:rPr>
          <w:spacing w:val="1"/>
          <w:w w:val="100"/>
          <w:sz w:val="21"/>
        </w:rPr>
        <w:t>m</w:t>
      </w:r>
      <w:r>
        <w:rPr>
          <w:w w:val="100"/>
          <w:sz w:val="21"/>
        </w:rPr>
        <w:t>o</w:t>
      </w:r>
      <w:r>
        <w:rPr>
          <w:spacing w:val="-3"/>
          <w:w w:val="100"/>
          <w:sz w:val="21"/>
        </w:rPr>
        <w:t>h</w:t>
      </w:r>
      <w:r>
        <w:rPr>
          <w:w w:val="100"/>
          <w:sz w:val="21"/>
        </w:rPr>
        <w:t>i</w:t>
      </w:r>
      <w:r>
        <w:rPr>
          <w:spacing w:val="9"/>
          <w:sz w:val="21"/>
        </w:rPr>
        <w:t> </w:t>
      </w:r>
      <w:r>
        <w:rPr>
          <w:spacing w:val="-2"/>
          <w:w w:val="100"/>
          <w:sz w:val="21"/>
        </w:rPr>
        <w:t>A</w:t>
      </w:r>
      <w:r>
        <w:rPr>
          <w:w w:val="100"/>
          <w:sz w:val="21"/>
        </w:rPr>
        <w:t>khara</w:t>
      </w:r>
      <w:r>
        <w:rPr>
          <w:spacing w:val="12"/>
          <w:sz w:val="21"/>
        </w:rPr>
        <w:t> </w:t>
      </w:r>
      <w:r>
        <w:rPr>
          <w:i/>
          <w:spacing w:val="-1"/>
          <w:w w:val="33"/>
          <w:sz w:val="21"/>
        </w:rPr>
        <w:t>―</w:t>
      </w:r>
      <w:r>
        <w:rPr>
          <w:w w:val="100"/>
          <w:sz w:val="21"/>
        </w:rPr>
        <w:t>as</w:t>
      </w:r>
      <w:r>
        <w:rPr>
          <w:spacing w:val="8"/>
          <w:sz w:val="21"/>
        </w:rPr>
        <w:t> </w:t>
      </w:r>
      <w:r>
        <w:rPr>
          <w:w w:val="100"/>
          <w:sz w:val="21"/>
        </w:rPr>
        <w:t>a</w:t>
      </w:r>
      <w:r>
        <w:rPr>
          <w:spacing w:val="8"/>
          <w:sz w:val="21"/>
        </w:rPr>
        <w:t> </w:t>
      </w:r>
      <w:r>
        <w:rPr>
          <w:w w:val="100"/>
          <w:sz w:val="21"/>
        </w:rPr>
        <w:t>S</w:t>
      </w:r>
      <w:r>
        <w:rPr>
          <w:spacing w:val="-3"/>
          <w:w w:val="100"/>
          <w:sz w:val="21"/>
        </w:rPr>
        <w:t>h</w:t>
      </w:r>
      <w:r>
        <w:rPr>
          <w:w w:val="100"/>
          <w:sz w:val="21"/>
        </w:rPr>
        <w:t>eb</w:t>
      </w:r>
      <w:r>
        <w:rPr>
          <w:spacing w:val="-2"/>
          <w:w w:val="100"/>
          <w:sz w:val="21"/>
        </w:rPr>
        <w:t>a</w:t>
      </w:r>
      <w:r>
        <w:rPr>
          <w:w w:val="100"/>
          <w:sz w:val="21"/>
        </w:rPr>
        <w:t>i</w:t>
      </w:r>
      <w:r>
        <w:rPr>
          <w:w w:val="100"/>
          <w:sz w:val="21"/>
        </w:rPr>
        <w:t>t</w:t>
      </w:r>
      <w:r>
        <w:rPr>
          <w:i/>
          <w:w w:val="81"/>
          <w:sz w:val="21"/>
        </w:rPr>
        <w:t>‖</w:t>
      </w:r>
      <w:r>
        <w:rPr>
          <w:i/>
          <w:spacing w:val="8"/>
          <w:sz w:val="21"/>
        </w:rPr>
        <w:t> </w:t>
      </w:r>
      <w:r>
        <w:rPr>
          <w:w w:val="100"/>
          <w:sz w:val="21"/>
        </w:rPr>
        <w:t>i</w:t>
      </w:r>
      <w:r>
        <w:rPr>
          <w:w w:val="100"/>
          <w:sz w:val="21"/>
        </w:rPr>
        <w:t>s</w:t>
      </w:r>
      <w:r>
        <w:rPr>
          <w:spacing w:val="8"/>
          <w:sz w:val="21"/>
        </w:rPr>
        <w:t> </w:t>
      </w:r>
      <w:r>
        <w:rPr>
          <w:w w:val="100"/>
          <w:sz w:val="21"/>
        </w:rPr>
        <w:t>a </w:t>
      </w:r>
      <w:r>
        <w:rPr>
          <w:sz w:val="21"/>
        </w:rPr>
        <w:t>suit filed by and on behalf of the</w:t>
      </w:r>
      <w:r>
        <w:rPr>
          <w:spacing w:val="-10"/>
          <w:sz w:val="21"/>
        </w:rPr>
        <w:t> </w:t>
      </w:r>
      <w:r>
        <w:rPr>
          <w:sz w:val="21"/>
        </w:rPr>
        <w:t>deities.</w:t>
      </w:r>
    </w:p>
    <w:p>
      <w:pPr>
        <w:pStyle w:val="ListParagraph"/>
        <w:numPr>
          <w:ilvl w:val="0"/>
          <w:numId w:val="76"/>
        </w:numPr>
        <w:tabs>
          <w:tab w:pos="2202" w:val="left" w:leader="none"/>
        </w:tabs>
        <w:spacing w:line="241" w:lineRule="exact" w:before="0" w:after="0"/>
        <w:ind w:left="2201" w:right="0" w:hanging="262"/>
        <w:jc w:val="both"/>
        <w:rPr>
          <w:sz w:val="21"/>
        </w:rPr>
      </w:pPr>
      <w:r>
        <w:rPr>
          <w:sz w:val="21"/>
        </w:rPr>
        <w:t>It</w:t>
      </w:r>
      <w:r>
        <w:rPr>
          <w:spacing w:val="25"/>
          <w:sz w:val="21"/>
        </w:rPr>
        <w:t> </w:t>
      </w:r>
      <w:r>
        <w:rPr>
          <w:sz w:val="21"/>
        </w:rPr>
        <w:t>is</w:t>
      </w:r>
      <w:r>
        <w:rPr>
          <w:spacing w:val="27"/>
          <w:sz w:val="21"/>
        </w:rPr>
        <w:t> </w:t>
      </w:r>
      <w:r>
        <w:rPr>
          <w:sz w:val="21"/>
        </w:rPr>
        <w:t>stated</w:t>
      </w:r>
      <w:r>
        <w:rPr>
          <w:spacing w:val="28"/>
          <w:sz w:val="21"/>
        </w:rPr>
        <w:t> </w:t>
      </w:r>
      <w:r>
        <w:rPr>
          <w:sz w:val="21"/>
        </w:rPr>
        <w:t>that,</w:t>
      </w:r>
      <w:r>
        <w:rPr>
          <w:spacing w:val="26"/>
          <w:sz w:val="21"/>
        </w:rPr>
        <w:t> </w:t>
      </w:r>
      <w:r>
        <w:rPr>
          <w:sz w:val="21"/>
        </w:rPr>
        <w:t>the</w:t>
      </w:r>
      <w:r>
        <w:rPr>
          <w:spacing w:val="28"/>
          <w:sz w:val="21"/>
        </w:rPr>
        <w:t> </w:t>
      </w:r>
      <w:r>
        <w:rPr>
          <w:sz w:val="21"/>
        </w:rPr>
        <w:t>reliefs</w:t>
      </w:r>
      <w:r>
        <w:rPr>
          <w:spacing w:val="25"/>
          <w:sz w:val="21"/>
        </w:rPr>
        <w:t> </w:t>
      </w:r>
      <w:r>
        <w:rPr>
          <w:sz w:val="21"/>
        </w:rPr>
        <w:t>sought</w:t>
      </w:r>
      <w:r>
        <w:rPr>
          <w:spacing w:val="26"/>
          <w:sz w:val="21"/>
        </w:rPr>
        <w:t> </w:t>
      </w:r>
      <w:r>
        <w:rPr>
          <w:sz w:val="21"/>
        </w:rPr>
        <w:t>by</w:t>
      </w:r>
      <w:r>
        <w:rPr>
          <w:spacing w:val="25"/>
          <w:sz w:val="21"/>
        </w:rPr>
        <w:t> </w:t>
      </w:r>
      <w:r>
        <w:rPr>
          <w:sz w:val="21"/>
        </w:rPr>
        <w:t>the</w:t>
      </w:r>
      <w:r>
        <w:rPr>
          <w:spacing w:val="28"/>
          <w:sz w:val="21"/>
        </w:rPr>
        <w:t> </w:t>
      </w:r>
      <w:r>
        <w:rPr>
          <w:sz w:val="21"/>
        </w:rPr>
        <w:t>Nirmohi</w:t>
      </w:r>
      <w:r>
        <w:rPr>
          <w:spacing w:val="26"/>
          <w:sz w:val="21"/>
        </w:rPr>
        <w:t> </w:t>
      </w:r>
      <w:r>
        <w:rPr>
          <w:sz w:val="21"/>
        </w:rPr>
        <w:t>Akhara</w:t>
      </w:r>
    </w:p>
    <w:p>
      <w:pPr>
        <w:spacing w:line="276" w:lineRule="auto" w:before="37"/>
        <w:ind w:left="1940" w:right="2264" w:firstLine="0"/>
        <w:jc w:val="both"/>
        <w:rPr>
          <w:sz w:val="21"/>
        </w:rPr>
      </w:pPr>
      <w:r>
        <w:rPr>
          <w:spacing w:val="-1"/>
          <w:w w:val="33"/>
          <w:sz w:val="21"/>
        </w:rPr>
        <w:t>―</w:t>
      </w:r>
      <w:r>
        <w:rPr>
          <w:w w:val="100"/>
          <w:sz w:val="21"/>
        </w:rPr>
        <w:t>For</w:t>
      </w:r>
      <w:r>
        <w:rPr>
          <w:sz w:val="21"/>
        </w:rPr>
        <w:t>  </w:t>
      </w:r>
      <w:r>
        <w:rPr>
          <w:spacing w:val="6"/>
          <w:sz w:val="21"/>
        </w:rPr>
        <w:t> </w:t>
      </w:r>
      <w:r>
        <w:rPr>
          <w:spacing w:val="-1"/>
          <w:w w:val="100"/>
          <w:sz w:val="21"/>
        </w:rPr>
        <w:t>restora</w:t>
      </w:r>
      <w:r>
        <w:rPr>
          <w:spacing w:val="-2"/>
          <w:w w:val="100"/>
          <w:sz w:val="21"/>
        </w:rPr>
        <w:t>ti</w:t>
      </w:r>
      <w:r>
        <w:rPr>
          <w:spacing w:val="-1"/>
          <w:w w:val="100"/>
          <w:sz w:val="21"/>
        </w:rPr>
        <w:t>o</w:t>
      </w:r>
      <w:r>
        <w:rPr>
          <w:w w:val="100"/>
          <w:sz w:val="21"/>
        </w:rPr>
        <w:t>n</w:t>
      </w:r>
      <w:r>
        <w:rPr>
          <w:sz w:val="21"/>
        </w:rPr>
        <w:t>  </w:t>
      </w:r>
      <w:r>
        <w:rPr>
          <w:spacing w:val="7"/>
          <w:sz w:val="21"/>
        </w:rPr>
        <w:t> </w:t>
      </w:r>
      <w:r>
        <w:rPr>
          <w:spacing w:val="-3"/>
          <w:w w:val="100"/>
          <w:sz w:val="21"/>
        </w:rPr>
        <w:t>o</w:t>
      </w:r>
      <w:r>
        <w:rPr>
          <w:w w:val="100"/>
          <w:sz w:val="21"/>
        </w:rPr>
        <w:t>f</w:t>
      </w:r>
      <w:r>
        <w:rPr>
          <w:sz w:val="21"/>
        </w:rPr>
        <w:t>  </w:t>
      </w:r>
      <w:r>
        <w:rPr>
          <w:spacing w:val="8"/>
          <w:sz w:val="21"/>
        </w:rPr>
        <w:t> </w:t>
      </w:r>
      <w:r>
        <w:rPr>
          <w:spacing w:val="-3"/>
          <w:w w:val="100"/>
          <w:sz w:val="21"/>
        </w:rPr>
        <w:t>c</w:t>
      </w:r>
      <w:r>
        <w:rPr>
          <w:spacing w:val="-1"/>
          <w:w w:val="100"/>
          <w:sz w:val="21"/>
        </w:rPr>
        <w:t>h</w:t>
      </w:r>
      <w:r>
        <w:rPr>
          <w:spacing w:val="-3"/>
          <w:w w:val="100"/>
          <w:sz w:val="21"/>
        </w:rPr>
        <w:t>a</w:t>
      </w:r>
      <w:r>
        <w:rPr>
          <w:spacing w:val="-1"/>
          <w:w w:val="100"/>
          <w:sz w:val="21"/>
        </w:rPr>
        <w:t>rg</w:t>
      </w:r>
      <w:r>
        <w:rPr>
          <w:w w:val="100"/>
          <w:sz w:val="21"/>
        </w:rPr>
        <w:t>e</w:t>
      </w:r>
      <w:r>
        <w:rPr>
          <w:sz w:val="21"/>
        </w:rPr>
        <w:t>  </w:t>
      </w:r>
      <w:r>
        <w:rPr>
          <w:spacing w:val="7"/>
          <w:sz w:val="21"/>
        </w:rPr>
        <w:t> </w:t>
      </w:r>
      <w:r>
        <w:rPr>
          <w:spacing w:val="-1"/>
          <w:w w:val="100"/>
          <w:sz w:val="21"/>
        </w:rPr>
        <w:t>an</w:t>
      </w:r>
      <w:r>
        <w:rPr>
          <w:w w:val="100"/>
          <w:sz w:val="21"/>
        </w:rPr>
        <w:t>d</w:t>
      </w:r>
      <w:r>
        <w:rPr>
          <w:sz w:val="21"/>
        </w:rPr>
        <w:t>  </w:t>
      </w:r>
      <w:r>
        <w:rPr>
          <w:spacing w:val="5"/>
          <w:sz w:val="21"/>
        </w:rPr>
        <w:t> </w:t>
      </w:r>
      <w:r>
        <w:rPr>
          <w:spacing w:val="-1"/>
          <w:w w:val="100"/>
          <w:sz w:val="21"/>
        </w:rPr>
        <w:t>ma</w:t>
      </w:r>
      <w:r>
        <w:rPr>
          <w:spacing w:val="-3"/>
          <w:w w:val="100"/>
          <w:sz w:val="21"/>
        </w:rPr>
        <w:t>n</w:t>
      </w:r>
      <w:r>
        <w:rPr>
          <w:spacing w:val="-1"/>
          <w:w w:val="100"/>
          <w:sz w:val="21"/>
        </w:rPr>
        <w:t>ag</w:t>
      </w:r>
      <w:r>
        <w:rPr>
          <w:spacing w:val="-2"/>
          <w:w w:val="100"/>
          <w:sz w:val="21"/>
        </w:rPr>
        <w:t>e</w:t>
      </w:r>
      <w:r>
        <w:rPr>
          <w:spacing w:val="-1"/>
          <w:w w:val="100"/>
          <w:sz w:val="21"/>
        </w:rPr>
        <w:t>men</w:t>
      </w:r>
      <w:r>
        <w:rPr>
          <w:w w:val="100"/>
          <w:sz w:val="21"/>
        </w:rPr>
        <w:t>t</w:t>
      </w:r>
      <w:r>
        <w:rPr>
          <w:sz w:val="21"/>
        </w:rPr>
        <w:t>  </w:t>
      </w:r>
      <w:r>
        <w:rPr>
          <w:spacing w:val="3"/>
          <w:sz w:val="21"/>
        </w:rPr>
        <w:t> </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8"/>
          <w:sz w:val="21"/>
        </w:rPr>
        <w:t> </w:t>
      </w:r>
      <w:r>
        <w:rPr>
          <w:spacing w:val="-2"/>
          <w:w w:val="100"/>
          <w:sz w:val="21"/>
        </w:rPr>
        <w:t>t</w:t>
      </w:r>
      <w:r>
        <w:rPr>
          <w:spacing w:val="-1"/>
          <w:w w:val="100"/>
          <w:sz w:val="21"/>
        </w:rPr>
        <w:t>he rece</w:t>
      </w:r>
      <w:r>
        <w:rPr>
          <w:spacing w:val="1"/>
          <w:w w:val="100"/>
          <w:sz w:val="21"/>
        </w:rPr>
        <w:t>i</w:t>
      </w:r>
      <w:r>
        <w:rPr>
          <w:spacing w:val="-3"/>
          <w:w w:val="100"/>
          <w:sz w:val="21"/>
        </w:rPr>
        <w:t>v</w:t>
      </w:r>
      <w:r>
        <w:rPr>
          <w:spacing w:val="-1"/>
          <w:w w:val="94"/>
          <w:sz w:val="21"/>
        </w:rPr>
        <w:t>er</w:t>
      </w:r>
      <w:r>
        <w:rPr>
          <w:w w:val="94"/>
          <w:sz w:val="21"/>
        </w:rPr>
        <w:t>‖</w:t>
      </w:r>
      <w:r>
        <w:rPr>
          <w:sz w:val="21"/>
        </w:rPr>
        <w:t>  </w:t>
      </w:r>
      <w:r>
        <w:rPr>
          <w:spacing w:val="-19"/>
          <w:sz w:val="21"/>
        </w:rPr>
        <w:t> </w:t>
      </w:r>
      <w:r>
        <w:rPr>
          <w:spacing w:val="-3"/>
          <w:w w:val="100"/>
          <w:sz w:val="21"/>
        </w:rPr>
        <w:t>c</w:t>
      </w:r>
      <w:r>
        <w:rPr>
          <w:spacing w:val="-1"/>
          <w:w w:val="100"/>
          <w:sz w:val="21"/>
        </w:rPr>
        <w:t>an</w:t>
      </w:r>
      <w:r>
        <w:rPr>
          <w:spacing w:val="-2"/>
          <w:w w:val="100"/>
          <w:sz w:val="21"/>
        </w:rPr>
        <w:t>n</w:t>
      </w:r>
      <w:r>
        <w:rPr>
          <w:spacing w:val="-1"/>
          <w:w w:val="100"/>
          <w:sz w:val="21"/>
        </w:rPr>
        <w:t>o</w:t>
      </w:r>
      <w:r>
        <w:rPr>
          <w:w w:val="100"/>
          <w:sz w:val="21"/>
        </w:rPr>
        <w:t>t</w:t>
      </w:r>
      <w:r>
        <w:rPr>
          <w:sz w:val="21"/>
        </w:rPr>
        <w:t>  </w:t>
      </w:r>
      <w:r>
        <w:rPr>
          <w:spacing w:val="-18"/>
          <w:sz w:val="21"/>
        </w:rPr>
        <w:t> </w:t>
      </w:r>
      <w:r>
        <w:rPr>
          <w:spacing w:val="-1"/>
          <w:w w:val="100"/>
          <w:sz w:val="21"/>
        </w:rPr>
        <w:t>b</w:t>
      </w:r>
      <w:r>
        <w:rPr>
          <w:w w:val="100"/>
          <w:sz w:val="21"/>
        </w:rPr>
        <w:t>e</w:t>
      </w:r>
      <w:r>
        <w:rPr>
          <w:sz w:val="21"/>
        </w:rPr>
        <w:t>  </w:t>
      </w:r>
      <w:r>
        <w:rPr>
          <w:spacing w:val="-19"/>
          <w:sz w:val="21"/>
        </w:rPr>
        <w:t> </w:t>
      </w:r>
      <w:r>
        <w:rPr>
          <w:w w:val="100"/>
          <w:sz w:val="21"/>
        </w:rPr>
        <w:t>ca</w:t>
      </w:r>
      <w:r>
        <w:rPr>
          <w:spacing w:val="-4"/>
          <w:w w:val="100"/>
          <w:sz w:val="21"/>
        </w:rPr>
        <w:t>t</w:t>
      </w:r>
      <w:r>
        <w:rPr>
          <w:spacing w:val="-1"/>
          <w:w w:val="100"/>
          <w:sz w:val="21"/>
        </w:rPr>
        <w:t>egor</w:t>
      </w:r>
      <w:r>
        <w:rPr>
          <w:w w:val="100"/>
          <w:sz w:val="21"/>
        </w:rPr>
        <w:t>i</w:t>
      </w:r>
      <w:r>
        <w:rPr>
          <w:spacing w:val="-3"/>
          <w:w w:val="100"/>
          <w:sz w:val="21"/>
        </w:rPr>
        <w:t>z</w:t>
      </w:r>
      <w:r>
        <w:rPr>
          <w:spacing w:val="-1"/>
          <w:w w:val="100"/>
          <w:sz w:val="21"/>
        </w:rPr>
        <w:t>e</w:t>
      </w:r>
      <w:r>
        <w:rPr>
          <w:w w:val="100"/>
          <w:sz w:val="21"/>
        </w:rPr>
        <w:t>d</w:t>
      </w:r>
      <w:r>
        <w:rPr>
          <w:sz w:val="21"/>
        </w:rPr>
        <w:t>  </w:t>
      </w:r>
      <w:r>
        <w:rPr>
          <w:spacing w:val="-19"/>
          <w:sz w:val="21"/>
        </w:rPr>
        <w:t> </w:t>
      </w:r>
      <w:r>
        <w:rPr>
          <w:spacing w:val="-1"/>
          <w:w w:val="100"/>
          <w:sz w:val="21"/>
        </w:rPr>
        <w:t>a</w:t>
      </w:r>
      <w:r>
        <w:rPr>
          <w:w w:val="100"/>
          <w:sz w:val="21"/>
        </w:rPr>
        <w:t>s</w:t>
      </w:r>
      <w:r>
        <w:rPr>
          <w:sz w:val="21"/>
        </w:rPr>
        <w:t>  </w:t>
      </w:r>
      <w:r>
        <w:rPr>
          <w:spacing w:val="-20"/>
          <w:sz w:val="21"/>
        </w:rPr>
        <w:t> </w:t>
      </w:r>
      <w:r>
        <w:rPr>
          <w:spacing w:val="-1"/>
          <w:w w:val="100"/>
          <w:sz w:val="21"/>
        </w:rPr>
        <w:t>re</w:t>
      </w:r>
      <w:r>
        <w:rPr>
          <w:spacing w:val="-2"/>
          <w:w w:val="100"/>
          <w:sz w:val="21"/>
        </w:rPr>
        <w:t>l</w:t>
      </w:r>
      <w:r>
        <w:rPr>
          <w:w w:val="100"/>
          <w:sz w:val="21"/>
        </w:rPr>
        <w:t>i</w:t>
      </w:r>
      <w:r>
        <w:rPr>
          <w:spacing w:val="-3"/>
          <w:w w:val="100"/>
          <w:sz w:val="21"/>
        </w:rPr>
        <w:t>e</w:t>
      </w:r>
      <w:r>
        <w:rPr>
          <w:spacing w:val="1"/>
          <w:w w:val="100"/>
          <w:sz w:val="21"/>
        </w:rPr>
        <w:t>f</w:t>
      </w:r>
      <w:r>
        <w:rPr>
          <w:w w:val="100"/>
          <w:sz w:val="21"/>
        </w:rPr>
        <w:t>s</w:t>
      </w:r>
      <w:r>
        <w:rPr>
          <w:sz w:val="21"/>
        </w:rPr>
        <w:t>  </w:t>
      </w:r>
      <w:r>
        <w:rPr>
          <w:spacing w:val="-20"/>
          <w:sz w:val="21"/>
        </w:rPr>
        <w:t> </w:t>
      </w:r>
      <w:r>
        <w:rPr>
          <w:spacing w:val="-1"/>
          <w:w w:val="33"/>
          <w:sz w:val="21"/>
        </w:rPr>
        <w:t>―</w:t>
      </w:r>
      <w:r>
        <w:rPr>
          <w:spacing w:val="-1"/>
          <w:w w:val="100"/>
          <w:sz w:val="21"/>
        </w:rPr>
        <w:t>a</w:t>
      </w:r>
      <w:r>
        <w:rPr>
          <w:spacing w:val="-3"/>
          <w:w w:val="100"/>
          <w:sz w:val="21"/>
        </w:rPr>
        <w:t>g</w:t>
      </w:r>
      <w:r>
        <w:rPr>
          <w:spacing w:val="-1"/>
          <w:w w:val="100"/>
          <w:sz w:val="21"/>
        </w:rPr>
        <w:t>a</w:t>
      </w:r>
      <w:r>
        <w:rPr>
          <w:spacing w:val="1"/>
          <w:w w:val="100"/>
          <w:sz w:val="21"/>
        </w:rPr>
        <w:t>i</w:t>
      </w:r>
      <w:r>
        <w:rPr>
          <w:spacing w:val="-1"/>
          <w:w w:val="100"/>
          <w:sz w:val="21"/>
        </w:rPr>
        <w:t>nst</w:t>
      </w:r>
      <w:r>
        <w:rPr>
          <w:w w:val="81"/>
          <w:sz w:val="21"/>
        </w:rPr>
        <w:t>‖</w:t>
      </w:r>
      <w:r>
        <w:rPr>
          <w:sz w:val="21"/>
        </w:rPr>
        <w:t>  </w:t>
      </w:r>
      <w:r>
        <w:rPr>
          <w:spacing w:val="-18"/>
          <w:sz w:val="21"/>
        </w:rPr>
        <w:t> </w:t>
      </w:r>
      <w:r>
        <w:rPr>
          <w:spacing w:val="-2"/>
          <w:w w:val="100"/>
          <w:sz w:val="21"/>
        </w:rPr>
        <w:t>t</w:t>
      </w:r>
      <w:r>
        <w:rPr>
          <w:spacing w:val="-3"/>
          <w:w w:val="100"/>
          <w:sz w:val="21"/>
        </w:rPr>
        <w:t>h</w:t>
      </w:r>
      <w:r>
        <w:rPr>
          <w:w w:val="100"/>
          <w:sz w:val="21"/>
        </w:rPr>
        <w:t>e </w:t>
      </w:r>
      <w:r>
        <w:rPr>
          <w:sz w:val="21"/>
        </w:rPr>
        <w:t>interest of the deities for which it can be said that they should be represented as a defendant through a disinterested next friend.‖</w:t>
      </w:r>
    </w:p>
    <w:p>
      <w:pPr>
        <w:pStyle w:val="BodyText"/>
        <w:rPr>
          <w:sz w:val="24"/>
        </w:rPr>
      </w:pPr>
    </w:p>
    <w:p>
      <w:pPr>
        <w:pStyle w:val="BodyText"/>
        <w:spacing w:before="7"/>
        <w:rPr>
          <w:sz w:val="33"/>
        </w:rPr>
      </w:pPr>
    </w:p>
    <w:p>
      <w:pPr>
        <w:pStyle w:val="BodyText"/>
        <w:spacing w:line="480" w:lineRule="auto"/>
        <w:ind w:left="500" w:right="435"/>
        <w:jc w:val="both"/>
      </w:pPr>
      <w:r>
        <w:rPr/>
        <w:t>In other words, the stand of Nirmohi Akhara is that it alone is entitled to represent the interest of the deity in its character as a shebait which it has done in Suit 3. Moreover, absent any allegation of mismanagement on the part of the shebait, a suit cannot be instituted in the name of the deity by a next friend, as has been done in Suit 5. This aspect will be explored in greater detail when the maintainability of Suit 5 is analysed. At this stage, we must also notice the implications of Dr Dhavan having accepted the shebaiti claim of Nirmohi Akhara. The concession cannot exist in a vacuum. The assertion of the claim can only take place in a context which acknowledges the existence of a deity whom the shebait seeks to represent. Hence, a specific query was posed to Dr Dhavan as to whether, quite independent of the issue of limitation, the concession which has been made on his behalf would necessarily result in a legal consequence in regard to the position of the deity‘s presence at Ram Janmasthan. To this, it must be noted that the response of Dr Dhavan was that the presence of the deity at Ramchabutra, in his submission, envisaged only an easementary right to</w:t>
      </w:r>
      <w:r>
        <w:rPr>
          <w:spacing w:val="30"/>
        </w:rPr>
        <w:t> </w:t>
      </w:r>
      <w:r>
        <w:rPr/>
        <w:t>worship</w:t>
      </w:r>
    </w:p>
    <w:p>
      <w:pPr>
        <w:spacing w:after="0" w:line="480" w:lineRule="auto"/>
        <w:jc w:val="both"/>
        <w:sectPr>
          <w:pgSz w:w="11910" w:h="16840"/>
          <w:pgMar w:header="721" w:footer="1014" w:top="1300" w:bottom="1200" w:left="940" w:right="1000"/>
        </w:sectPr>
      </w:pPr>
    </w:p>
    <w:p>
      <w:pPr>
        <w:pStyle w:val="BodyText"/>
        <w:spacing w:line="480" w:lineRule="auto" w:before="124"/>
        <w:ind w:left="500" w:right="512"/>
      </w:pPr>
      <w:r>
        <w:rPr/>
        <w:t>for the Hindu devotees to pray and, for that purpose, to gain access to the courtyard.</w:t>
      </w:r>
    </w:p>
    <w:p>
      <w:pPr>
        <w:pStyle w:val="BodyText"/>
        <w:spacing w:before="5"/>
        <w:rPr>
          <w:sz w:val="35"/>
        </w:rPr>
      </w:pPr>
    </w:p>
    <w:p>
      <w:pPr>
        <w:pStyle w:val="Heading3"/>
        <w:numPr>
          <w:ilvl w:val="1"/>
          <w:numId w:val="56"/>
        </w:numPr>
        <w:tabs>
          <w:tab w:pos="1221" w:val="left" w:leader="none"/>
        </w:tabs>
        <w:spacing w:line="240" w:lineRule="auto" w:before="0" w:after="0"/>
        <w:ind w:left="1220" w:right="0" w:hanging="721"/>
        <w:jc w:val="both"/>
      </w:pPr>
      <w:r>
        <w:rPr/>
        <w:t>Issues and findings of the High</w:t>
      </w:r>
      <w:r>
        <w:rPr>
          <w:spacing w:val="-3"/>
        </w:rPr>
        <w:t> </w:t>
      </w:r>
      <w:r>
        <w:rPr/>
        <w:t>Court</w:t>
      </w:r>
    </w:p>
    <w:p>
      <w:pPr>
        <w:pStyle w:val="BodyText"/>
        <w:rPr>
          <w:b/>
          <w:sz w:val="28"/>
        </w:rPr>
      </w:pPr>
    </w:p>
    <w:p>
      <w:pPr>
        <w:pStyle w:val="ListParagraph"/>
        <w:numPr>
          <w:ilvl w:val="0"/>
          <w:numId w:val="3"/>
        </w:numPr>
        <w:tabs>
          <w:tab w:pos="1221" w:val="left" w:leader="none"/>
        </w:tabs>
        <w:spacing w:line="480" w:lineRule="auto" w:before="216" w:after="0"/>
        <w:ind w:left="500" w:right="444" w:firstLine="0"/>
        <w:jc w:val="both"/>
        <w:rPr>
          <w:sz w:val="25"/>
        </w:rPr>
      </w:pPr>
      <w:r>
        <w:rPr>
          <w:sz w:val="25"/>
        </w:rPr>
        <w:t>Before proceeding with our analysis any further, it is necessary at this stage to enumerate the issues which were framed in Suit 3 and the findings of the High</w:t>
      </w:r>
      <w:r>
        <w:rPr>
          <w:spacing w:val="-1"/>
          <w:sz w:val="25"/>
        </w:rPr>
        <w:t> </w:t>
      </w:r>
      <w:r>
        <w:rPr>
          <w:sz w:val="25"/>
        </w:rPr>
        <w:t>Court.</w:t>
      </w:r>
    </w:p>
    <w:p>
      <w:pPr>
        <w:pStyle w:val="Heading5"/>
        <w:numPr>
          <w:ilvl w:val="0"/>
          <w:numId w:val="77"/>
        </w:numPr>
        <w:tabs>
          <w:tab w:pos="1221" w:val="left" w:leader="none"/>
        </w:tabs>
        <w:spacing w:line="480" w:lineRule="auto" w:before="0" w:after="0"/>
        <w:ind w:left="1220" w:right="439" w:hanging="720"/>
        <w:jc w:val="both"/>
      </w:pPr>
      <w:r>
        <w:rPr/>
        <w:t>Is there a temple of Janmabhumi with idols installed therein as alleged in para 3 of the plaint in Suit</w:t>
      </w:r>
      <w:r>
        <w:rPr>
          <w:spacing w:val="-7"/>
        </w:rPr>
        <w:t> </w:t>
      </w:r>
      <w:r>
        <w:rPr/>
        <w:t>3?</w:t>
      </w:r>
    </w:p>
    <w:p>
      <w:pPr>
        <w:pStyle w:val="ListParagraph"/>
        <w:numPr>
          <w:ilvl w:val="1"/>
          <w:numId w:val="77"/>
        </w:numPr>
        <w:tabs>
          <w:tab w:pos="1941" w:val="left" w:leader="none"/>
        </w:tabs>
        <w:spacing w:line="472" w:lineRule="auto" w:before="0" w:after="0"/>
        <w:ind w:left="1940" w:right="444" w:hanging="720"/>
        <w:jc w:val="both"/>
        <w:rPr>
          <w:sz w:val="25"/>
        </w:rPr>
      </w:pPr>
      <w:r>
        <w:rPr>
          <w:b/>
          <w:sz w:val="25"/>
        </w:rPr>
        <w:t>Justice S U Khan </w:t>
      </w:r>
      <w:r>
        <w:rPr>
          <w:sz w:val="25"/>
        </w:rPr>
        <w:t>- The idols were held to have been placed in the pulpit inside the constructed portion of the mosque for the first time during the night of 22/23 December</w:t>
      </w:r>
      <w:r>
        <w:rPr>
          <w:spacing w:val="-2"/>
          <w:sz w:val="25"/>
        </w:rPr>
        <w:t> </w:t>
      </w:r>
      <w:r>
        <w:rPr>
          <w:sz w:val="25"/>
        </w:rPr>
        <w:t>1949.</w:t>
      </w:r>
    </w:p>
    <w:p>
      <w:pPr>
        <w:pStyle w:val="ListParagraph"/>
        <w:numPr>
          <w:ilvl w:val="1"/>
          <w:numId w:val="77"/>
        </w:numPr>
        <w:tabs>
          <w:tab w:pos="1941" w:val="left" w:leader="none"/>
        </w:tabs>
        <w:spacing w:line="472" w:lineRule="auto" w:before="6" w:after="0"/>
        <w:ind w:left="1940" w:right="444" w:hanging="720"/>
        <w:jc w:val="both"/>
        <w:rPr>
          <w:sz w:val="25"/>
        </w:rPr>
      </w:pPr>
      <w:r>
        <w:rPr>
          <w:b/>
          <w:sz w:val="25"/>
        </w:rPr>
        <w:t>Justice Sudhir Agarwal </w:t>
      </w:r>
      <w:r>
        <w:rPr>
          <w:sz w:val="25"/>
        </w:rPr>
        <w:t>– The premises in dispute cannot be treated to be a temple in the manner as claimed by the plaintiffs in Suit 3. Hence, issue 1 was answered in the</w:t>
      </w:r>
      <w:r>
        <w:rPr>
          <w:spacing w:val="-9"/>
          <w:sz w:val="25"/>
        </w:rPr>
        <w:t> </w:t>
      </w:r>
      <w:r>
        <w:rPr>
          <w:sz w:val="25"/>
        </w:rPr>
        <w:t>negative.</w:t>
      </w:r>
    </w:p>
    <w:p>
      <w:pPr>
        <w:pStyle w:val="ListParagraph"/>
        <w:numPr>
          <w:ilvl w:val="1"/>
          <w:numId w:val="77"/>
        </w:numPr>
        <w:tabs>
          <w:tab w:pos="1941" w:val="left" w:leader="none"/>
        </w:tabs>
        <w:spacing w:line="472" w:lineRule="auto" w:before="4" w:after="0"/>
        <w:ind w:left="1940" w:right="440" w:hanging="720"/>
        <w:jc w:val="both"/>
        <w:rPr>
          <w:sz w:val="25"/>
        </w:rPr>
      </w:pPr>
      <w:r>
        <w:rPr>
          <w:b/>
          <w:sz w:val="25"/>
        </w:rPr>
        <w:t>Justice D V Sharma </w:t>
      </w:r>
      <w:r>
        <w:rPr>
          <w:sz w:val="25"/>
        </w:rPr>
        <w:t>– There is no evidence to establish that there was any temple belonging to Nirmohi Akhara inside the structure in which idols have been installed from time</w:t>
      </w:r>
      <w:r>
        <w:rPr>
          <w:spacing w:val="-7"/>
          <w:sz w:val="25"/>
        </w:rPr>
        <w:t> </w:t>
      </w:r>
      <w:r>
        <w:rPr>
          <w:sz w:val="25"/>
        </w:rPr>
        <w:t>immemorial.</w:t>
      </w:r>
    </w:p>
    <w:p>
      <w:pPr>
        <w:pStyle w:val="Heading5"/>
        <w:numPr>
          <w:ilvl w:val="0"/>
          <w:numId w:val="77"/>
        </w:numPr>
        <w:tabs>
          <w:tab w:pos="1221" w:val="left" w:leader="none"/>
        </w:tabs>
        <w:spacing w:line="240" w:lineRule="auto" w:before="206" w:after="0"/>
        <w:ind w:left="1220" w:right="0" w:hanging="721"/>
        <w:jc w:val="both"/>
      </w:pPr>
      <w:r>
        <w:rPr/>
        <w:t>Does the property in Suit belong to the plaintiff in Suit</w:t>
      </w:r>
      <w:r>
        <w:rPr>
          <w:spacing w:val="-9"/>
        </w:rPr>
        <w:t> </w:t>
      </w:r>
      <w:r>
        <w:rPr/>
        <w:t>3?</w:t>
      </w:r>
    </w:p>
    <w:p>
      <w:pPr>
        <w:pStyle w:val="BodyText"/>
        <w:spacing w:before="1"/>
        <w:rPr>
          <w:b/>
        </w:rPr>
      </w:pPr>
    </w:p>
    <w:p>
      <w:pPr>
        <w:pStyle w:val="ListParagraph"/>
        <w:numPr>
          <w:ilvl w:val="1"/>
          <w:numId w:val="77"/>
        </w:numPr>
        <w:tabs>
          <w:tab w:pos="1941" w:val="left" w:leader="none"/>
        </w:tabs>
        <w:spacing w:line="475" w:lineRule="auto" w:before="0" w:after="0"/>
        <w:ind w:left="1940" w:right="441" w:hanging="720"/>
        <w:jc w:val="both"/>
        <w:rPr>
          <w:sz w:val="25"/>
        </w:rPr>
      </w:pPr>
      <w:r>
        <w:rPr>
          <w:b/>
          <w:sz w:val="25"/>
        </w:rPr>
        <w:t>Justice Sudhir Agarwal </w:t>
      </w:r>
      <w:r>
        <w:rPr>
          <w:sz w:val="25"/>
        </w:rPr>
        <w:t>- The property which forms the subject matter of the claim in Suit 3 consists of the premises in the inner courtyard. There is no documentary evidence to establish title nor is there any evidence to establish adverse</w:t>
      </w:r>
      <w:r>
        <w:rPr>
          <w:spacing w:val="-8"/>
          <w:sz w:val="25"/>
        </w:rPr>
        <w:t> </w:t>
      </w:r>
      <w:r>
        <w:rPr>
          <w:sz w:val="25"/>
        </w:rPr>
        <w:t>possession.</w:t>
      </w:r>
    </w:p>
    <w:p>
      <w:pPr>
        <w:pStyle w:val="ListParagraph"/>
        <w:numPr>
          <w:ilvl w:val="1"/>
          <w:numId w:val="77"/>
        </w:numPr>
        <w:tabs>
          <w:tab w:pos="1941" w:val="left" w:leader="none"/>
        </w:tabs>
        <w:spacing w:line="240" w:lineRule="auto" w:before="2" w:after="0"/>
        <w:ind w:left="1940" w:right="0" w:hanging="721"/>
        <w:jc w:val="both"/>
        <w:rPr>
          <w:sz w:val="25"/>
        </w:rPr>
      </w:pPr>
      <w:r>
        <w:rPr>
          <w:b/>
          <w:sz w:val="25"/>
        </w:rPr>
        <w:t>Justice D V Sharma </w:t>
      </w:r>
      <w:r>
        <w:rPr>
          <w:sz w:val="25"/>
        </w:rPr>
        <w:t>held against the</w:t>
      </w:r>
      <w:r>
        <w:rPr>
          <w:spacing w:val="-2"/>
          <w:sz w:val="25"/>
        </w:rPr>
        <w:t> </w:t>
      </w:r>
      <w:r>
        <w:rPr>
          <w:sz w:val="25"/>
        </w:rPr>
        <w:t>plaintiff.</w:t>
      </w:r>
    </w:p>
    <w:p>
      <w:pPr>
        <w:spacing w:after="0" w:line="240" w:lineRule="auto"/>
        <w:jc w:val="both"/>
        <w:rPr>
          <w:sz w:val="25"/>
        </w:rPr>
        <w:sectPr>
          <w:pgSz w:w="11910" w:h="16840"/>
          <w:pgMar w:header="721" w:footer="1014" w:top="1300" w:bottom="1200" w:left="940" w:right="1000"/>
        </w:sectPr>
      </w:pPr>
    </w:p>
    <w:p>
      <w:pPr>
        <w:pStyle w:val="Heading5"/>
        <w:numPr>
          <w:ilvl w:val="0"/>
          <w:numId w:val="77"/>
        </w:numPr>
        <w:tabs>
          <w:tab w:pos="1220" w:val="left" w:leader="none"/>
          <w:tab w:pos="1221" w:val="left" w:leader="none"/>
        </w:tabs>
        <w:spacing w:line="480" w:lineRule="auto" w:before="121" w:after="0"/>
        <w:ind w:left="1220" w:right="443" w:hanging="720"/>
        <w:jc w:val="left"/>
      </w:pPr>
      <w:r>
        <w:rPr/>
        <w:t>Have plaintiffs acquired title by adverse possession for over 12 years?</w:t>
      </w:r>
    </w:p>
    <w:p>
      <w:pPr>
        <w:pStyle w:val="ListParagraph"/>
        <w:numPr>
          <w:ilvl w:val="1"/>
          <w:numId w:val="77"/>
        </w:numPr>
        <w:tabs>
          <w:tab w:pos="1940" w:val="left" w:leader="none"/>
          <w:tab w:pos="1941" w:val="left" w:leader="none"/>
        </w:tabs>
        <w:spacing w:line="465" w:lineRule="auto" w:before="0" w:after="0"/>
        <w:ind w:left="1940" w:right="442" w:hanging="720"/>
        <w:jc w:val="left"/>
        <w:rPr>
          <w:sz w:val="25"/>
        </w:rPr>
      </w:pPr>
      <w:r>
        <w:rPr>
          <w:b/>
          <w:sz w:val="25"/>
        </w:rPr>
        <w:t>Justice S U Khan </w:t>
      </w:r>
      <w:r>
        <w:rPr>
          <w:sz w:val="25"/>
        </w:rPr>
        <w:t>– For the period before 1855, there is no need to decide the question of adverse</w:t>
      </w:r>
      <w:r>
        <w:rPr>
          <w:spacing w:val="-7"/>
          <w:sz w:val="25"/>
        </w:rPr>
        <w:t> </w:t>
      </w:r>
      <w:r>
        <w:rPr>
          <w:sz w:val="25"/>
        </w:rPr>
        <w:t>possession.</w:t>
      </w:r>
    </w:p>
    <w:p>
      <w:pPr>
        <w:pStyle w:val="ListParagraph"/>
        <w:numPr>
          <w:ilvl w:val="1"/>
          <w:numId w:val="77"/>
        </w:numPr>
        <w:tabs>
          <w:tab w:pos="1940" w:val="left" w:leader="none"/>
          <w:tab w:pos="1941" w:val="left" w:leader="none"/>
        </w:tabs>
        <w:spacing w:line="240" w:lineRule="auto" w:before="14" w:after="0"/>
        <w:ind w:left="1940" w:right="0" w:hanging="721"/>
        <w:jc w:val="left"/>
        <w:rPr>
          <w:sz w:val="25"/>
        </w:rPr>
      </w:pPr>
      <w:r>
        <w:rPr>
          <w:b/>
          <w:sz w:val="25"/>
        </w:rPr>
        <w:t>Justice Sudhir Agarwal </w:t>
      </w:r>
      <w:r>
        <w:rPr>
          <w:sz w:val="25"/>
        </w:rPr>
        <w:t>held against the</w:t>
      </w:r>
      <w:r>
        <w:rPr>
          <w:spacing w:val="1"/>
          <w:sz w:val="25"/>
        </w:rPr>
        <w:t> </w:t>
      </w:r>
      <w:r>
        <w:rPr>
          <w:sz w:val="25"/>
        </w:rPr>
        <w:t>plaintiff.</w:t>
      </w:r>
    </w:p>
    <w:p>
      <w:pPr>
        <w:pStyle w:val="BodyText"/>
        <w:spacing w:before="11"/>
        <w:rPr>
          <w:sz w:val="24"/>
        </w:rPr>
      </w:pPr>
    </w:p>
    <w:p>
      <w:pPr>
        <w:pStyle w:val="ListParagraph"/>
        <w:numPr>
          <w:ilvl w:val="1"/>
          <w:numId w:val="77"/>
        </w:numPr>
        <w:tabs>
          <w:tab w:pos="1940" w:val="left" w:leader="none"/>
          <w:tab w:pos="1941" w:val="left" w:leader="none"/>
        </w:tabs>
        <w:spacing w:line="240" w:lineRule="auto" w:before="0" w:after="0"/>
        <w:ind w:left="1940" w:right="0" w:hanging="721"/>
        <w:jc w:val="left"/>
        <w:rPr>
          <w:sz w:val="25"/>
        </w:rPr>
      </w:pPr>
      <w:r>
        <w:rPr>
          <w:b/>
          <w:sz w:val="25"/>
        </w:rPr>
        <w:t>Justice D V Sharma </w:t>
      </w:r>
      <w:r>
        <w:rPr>
          <w:sz w:val="25"/>
        </w:rPr>
        <w:t>held against the</w:t>
      </w:r>
      <w:r>
        <w:rPr>
          <w:spacing w:val="-2"/>
          <w:sz w:val="25"/>
        </w:rPr>
        <w:t> </w:t>
      </w:r>
      <w:r>
        <w:rPr>
          <w:sz w:val="25"/>
        </w:rPr>
        <w:t>plaintiff.</w:t>
      </w:r>
    </w:p>
    <w:p>
      <w:pPr>
        <w:pStyle w:val="BodyText"/>
        <w:rPr>
          <w:sz w:val="30"/>
        </w:rPr>
      </w:pPr>
    </w:p>
    <w:p>
      <w:pPr>
        <w:pStyle w:val="BodyText"/>
        <w:spacing w:before="4"/>
        <w:rPr>
          <w:sz w:val="37"/>
        </w:rPr>
      </w:pPr>
    </w:p>
    <w:p>
      <w:pPr>
        <w:pStyle w:val="Heading5"/>
        <w:numPr>
          <w:ilvl w:val="0"/>
          <w:numId w:val="77"/>
        </w:numPr>
        <w:tabs>
          <w:tab w:pos="1221" w:val="left" w:leader="none"/>
        </w:tabs>
        <w:spacing w:line="480" w:lineRule="auto" w:before="0" w:after="0"/>
        <w:ind w:left="1220" w:right="441" w:hanging="720"/>
        <w:jc w:val="both"/>
      </w:pPr>
      <w:r>
        <w:rPr/>
        <w:t>Are plaintiffs entitled to get management and charge of the said temple?</w:t>
      </w:r>
    </w:p>
    <w:p>
      <w:pPr>
        <w:pStyle w:val="ListParagraph"/>
        <w:numPr>
          <w:ilvl w:val="1"/>
          <w:numId w:val="77"/>
        </w:numPr>
        <w:tabs>
          <w:tab w:pos="1941" w:val="left" w:leader="none"/>
        </w:tabs>
        <w:spacing w:line="477" w:lineRule="auto" w:before="0" w:after="0"/>
        <w:ind w:left="1940" w:right="441" w:hanging="720"/>
        <w:jc w:val="both"/>
        <w:rPr>
          <w:sz w:val="25"/>
        </w:rPr>
      </w:pPr>
      <w:r>
        <w:rPr>
          <w:b/>
          <w:sz w:val="25"/>
        </w:rPr>
        <w:t>Justice Sudhir Agarwal </w:t>
      </w:r>
      <w:r>
        <w:rPr>
          <w:sz w:val="25"/>
        </w:rPr>
        <w:t>held against the plaintiff. The idols were placed under the central dome on the night intervening 22/23 December 1949. The plaintiff having disputed this cannot be treated as shebaits of the idols placed under the central dome since there is no evidence of their taking care of the deity in the inner courtyard under the central</w:t>
      </w:r>
      <w:r>
        <w:rPr>
          <w:spacing w:val="-3"/>
          <w:sz w:val="25"/>
        </w:rPr>
        <w:t> </w:t>
      </w:r>
      <w:r>
        <w:rPr>
          <w:sz w:val="25"/>
        </w:rPr>
        <w:t>dome.</w:t>
      </w:r>
    </w:p>
    <w:p>
      <w:pPr>
        <w:pStyle w:val="ListParagraph"/>
        <w:numPr>
          <w:ilvl w:val="1"/>
          <w:numId w:val="77"/>
        </w:numPr>
        <w:tabs>
          <w:tab w:pos="1941" w:val="left" w:leader="none"/>
        </w:tabs>
        <w:spacing w:line="302" w:lineRule="exact" w:before="0" w:after="0"/>
        <w:ind w:left="1940" w:right="0" w:hanging="721"/>
        <w:jc w:val="both"/>
        <w:rPr>
          <w:sz w:val="25"/>
        </w:rPr>
      </w:pPr>
      <w:r>
        <w:rPr>
          <w:b/>
          <w:sz w:val="25"/>
        </w:rPr>
        <w:t>Justice D V Sharma </w:t>
      </w:r>
      <w:r>
        <w:rPr>
          <w:sz w:val="25"/>
        </w:rPr>
        <w:t>held against the</w:t>
      </w:r>
      <w:r>
        <w:rPr>
          <w:spacing w:val="-2"/>
          <w:sz w:val="25"/>
        </w:rPr>
        <w:t> </w:t>
      </w:r>
      <w:r>
        <w:rPr>
          <w:sz w:val="25"/>
        </w:rPr>
        <w:t>plaintiff.</w:t>
      </w:r>
    </w:p>
    <w:p>
      <w:pPr>
        <w:pStyle w:val="BodyText"/>
        <w:rPr>
          <w:sz w:val="30"/>
        </w:rPr>
      </w:pPr>
    </w:p>
    <w:p>
      <w:pPr>
        <w:pStyle w:val="BodyText"/>
        <w:spacing w:before="3"/>
        <w:rPr>
          <w:sz w:val="37"/>
        </w:rPr>
      </w:pPr>
    </w:p>
    <w:p>
      <w:pPr>
        <w:pStyle w:val="Heading5"/>
        <w:numPr>
          <w:ilvl w:val="0"/>
          <w:numId w:val="77"/>
        </w:numPr>
        <w:tabs>
          <w:tab w:pos="1221" w:val="left" w:leader="none"/>
        </w:tabs>
        <w:spacing w:line="480" w:lineRule="auto" w:before="0" w:after="0"/>
        <w:ind w:left="1220" w:right="437" w:hanging="720"/>
        <w:jc w:val="both"/>
      </w:pPr>
      <w:r>
        <w:rPr/>
        <w:t>Is the property in suit a mosque made by Emperor Babur known as Babri</w:t>
      </w:r>
      <w:r>
        <w:rPr>
          <w:spacing w:val="-1"/>
        </w:rPr>
        <w:t> </w:t>
      </w:r>
      <w:r>
        <w:rPr/>
        <w:t>Masjid?</w:t>
      </w:r>
    </w:p>
    <w:p>
      <w:pPr>
        <w:pStyle w:val="ListParagraph"/>
        <w:numPr>
          <w:ilvl w:val="1"/>
          <w:numId w:val="77"/>
        </w:numPr>
        <w:tabs>
          <w:tab w:pos="1941" w:val="left" w:leader="none"/>
        </w:tabs>
        <w:spacing w:line="475" w:lineRule="auto" w:before="0" w:after="0"/>
        <w:ind w:left="1940" w:right="439" w:hanging="720"/>
        <w:jc w:val="both"/>
        <w:rPr>
          <w:sz w:val="25"/>
        </w:rPr>
      </w:pPr>
      <w:r>
        <w:rPr>
          <w:b/>
          <w:sz w:val="25"/>
        </w:rPr>
        <w:t>Justice S U Khan </w:t>
      </w:r>
      <w:r>
        <w:rPr>
          <w:sz w:val="25"/>
        </w:rPr>
        <w:t>– The constructed portion of the disputed premises was put up as a mosque by or under the orders of Babur. It was not material if it was built by Mir Baqi or someone else. However, it is not proved by direct evidence that the premises in dispute including the constructed portion belonged to Babur or to</w:t>
      </w:r>
      <w:r>
        <w:rPr>
          <w:spacing w:val="-7"/>
          <w:sz w:val="25"/>
        </w:rPr>
        <w:t> </w:t>
      </w:r>
      <w:r>
        <w:rPr>
          <w:sz w:val="25"/>
        </w:rPr>
        <w:t>the</w:t>
      </w:r>
    </w:p>
    <w:p>
      <w:pPr>
        <w:spacing w:after="0" w:line="475" w:lineRule="auto"/>
        <w:jc w:val="both"/>
        <w:rPr>
          <w:sz w:val="25"/>
        </w:rPr>
        <w:sectPr>
          <w:pgSz w:w="11910" w:h="16840"/>
          <w:pgMar w:header="721" w:footer="1014" w:top="1300" w:bottom="1200" w:left="940" w:right="1000"/>
        </w:sectPr>
      </w:pPr>
    </w:p>
    <w:p>
      <w:pPr>
        <w:pStyle w:val="BodyText"/>
        <w:spacing w:line="480" w:lineRule="auto" w:before="124"/>
        <w:ind w:left="1940" w:right="444"/>
        <w:jc w:val="both"/>
      </w:pPr>
      <w:r>
        <w:rPr/>
        <w:t>person who constructed the mosque. On the basis of  the inscriptions alone it cannot be held that the building was constructed by or under the orders of Babur or that it was constructed in 1528.</w:t>
      </w:r>
    </w:p>
    <w:p>
      <w:pPr>
        <w:pStyle w:val="ListParagraph"/>
        <w:numPr>
          <w:ilvl w:val="1"/>
          <w:numId w:val="77"/>
        </w:numPr>
        <w:tabs>
          <w:tab w:pos="1941" w:val="left" w:leader="none"/>
        </w:tabs>
        <w:spacing w:line="465" w:lineRule="auto" w:before="0" w:after="0"/>
        <w:ind w:left="1940" w:right="442" w:hanging="720"/>
        <w:jc w:val="both"/>
        <w:rPr>
          <w:sz w:val="25"/>
        </w:rPr>
      </w:pPr>
      <w:r>
        <w:rPr>
          <w:b/>
          <w:sz w:val="25"/>
        </w:rPr>
        <w:t>Justice Sudhir Agarwal </w:t>
      </w:r>
      <w:r>
        <w:rPr>
          <w:sz w:val="25"/>
        </w:rPr>
        <w:t>– The defendants failed to prove that the property in dispute was constructed by Babur in</w:t>
      </w:r>
      <w:r>
        <w:rPr>
          <w:spacing w:val="-13"/>
          <w:sz w:val="25"/>
        </w:rPr>
        <w:t> </w:t>
      </w:r>
      <w:r>
        <w:rPr>
          <w:sz w:val="25"/>
        </w:rPr>
        <w:t>1528.</w:t>
      </w:r>
    </w:p>
    <w:p>
      <w:pPr>
        <w:pStyle w:val="ListParagraph"/>
        <w:numPr>
          <w:ilvl w:val="1"/>
          <w:numId w:val="77"/>
        </w:numPr>
        <w:tabs>
          <w:tab w:pos="1941" w:val="left" w:leader="none"/>
        </w:tabs>
        <w:spacing w:line="465" w:lineRule="auto" w:before="12" w:after="0"/>
        <w:ind w:left="1940" w:right="441" w:hanging="720"/>
        <w:jc w:val="both"/>
        <w:rPr>
          <w:sz w:val="25"/>
        </w:rPr>
      </w:pPr>
      <w:r>
        <w:rPr>
          <w:b/>
          <w:sz w:val="25"/>
        </w:rPr>
        <w:t>Justice D V Sharma </w:t>
      </w:r>
      <w:r>
        <w:rPr>
          <w:sz w:val="25"/>
        </w:rPr>
        <w:t>– The property in dispute has been constructed by</w:t>
      </w:r>
      <w:r>
        <w:rPr>
          <w:spacing w:val="-5"/>
          <w:sz w:val="25"/>
        </w:rPr>
        <w:t> </w:t>
      </w:r>
      <w:r>
        <w:rPr>
          <w:sz w:val="25"/>
        </w:rPr>
        <w:t>Babur.</w:t>
      </w:r>
    </w:p>
    <w:p>
      <w:pPr>
        <w:pStyle w:val="Heading5"/>
        <w:numPr>
          <w:ilvl w:val="0"/>
          <w:numId w:val="77"/>
        </w:numPr>
        <w:tabs>
          <w:tab w:pos="1221" w:val="left" w:leader="none"/>
        </w:tabs>
        <w:spacing w:line="480" w:lineRule="auto" w:before="215" w:after="0"/>
        <w:ind w:left="1220" w:right="439" w:hanging="720"/>
        <w:jc w:val="both"/>
      </w:pPr>
      <w:r>
        <w:rPr/>
        <w:t>Was the alleged mosque dedicated by Emperor Babur for worship </w:t>
      </w:r>
      <w:r>
        <w:rPr>
          <w:spacing w:val="2"/>
        </w:rPr>
        <w:t>by </w:t>
      </w:r>
      <w:r>
        <w:rPr/>
        <w:t>Muslims in general and made a public waqf</w:t>
      </w:r>
      <w:r>
        <w:rPr>
          <w:spacing w:val="-12"/>
        </w:rPr>
        <w:t> </w:t>
      </w:r>
      <w:r>
        <w:rPr/>
        <w:t>property?</w:t>
      </w:r>
    </w:p>
    <w:p>
      <w:pPr>
        <w:pStyle w:val="ListParagraph"/>
        <w:numPr>
          <w:ilvl w:val="1"/>
          <w:numId w:val="77"/>
        </w:numPr>
        <w:tabs>
          <w:tab w:pos="1941" w:val="left" w:leader="none"/>
        </w:tabs>
        <w:spacing w:line="472" w:lineRule="auto" w:before="0" w:after="0"/>
        <w:ind w:left="1940" w:right="442" w:hanging="720"/>
        <w:jc w:val="both"/>
        <w:rPr>
          <w:sz w:val="25"/>
        </w:rPr>
      </w:pPr>
      <w:r>
        <w:rPr>
          <w:b/>
          <w:sz w:val="25"/>
        </w:rPr>
        <w:t>Justice S U Khan </w:t>
      </w:r>
      <w:r>
        <w:rPr>
          <w:sz w:val="25"/>
        </w:rPr>
        <w:t>– It cannot be held that the mosque was not a valid mosque, having been constructed over the land of someone else.</w:t>
      </w:r>
    </w:p>
    <w:p>
      <w:pPr>
        <w:pStyle w:val="ListParagraph"/>
        <w:numPr>
          <w:ilvl w:val="1"/>
          <w:numId w:val="77"/>
        </w:numPr>
        <w:tabs>
          <w:tab w:pos="1941" w:val="left" w:leader="none"/>
        </w:tabs>
        <w:spacing w:line="472" w:lineRule="auto" w:before="6" w:after="0"/>
        <w:ind w:left="1940" w:right="440" w:hanging="720"/>
        <w:jc w:val="both"/>
        <w:rPr>
          <w:sz w:val="25"/>
        </w:rPr>
      </w:pPr>
      <w:r>
        <w:rPr>
          <w:b/>
          <w:sz w:val="25"/>
        </w:rPr>
        <w:t>Justice Sudhir Agarwal </w:t>
      </w:r>
      <w:r>
        <w:rPr>
          <w:sz w:val="25"/>
        </w:rPr>
        <w:t>– In the absence of evidence direct, circumstantial or otherwise issue no 6 has not been proved and is answered in the</w:t>
      </w:r>
      <w:r>
        <w:rPr>
          <w:spacing w:val="-2"/>
          <w:sz w:val="25"/>
        </w:rPr>
        <w:t> </w:t>
      </w:r>
      <w:r>
        <w:rPr>
          <w:sz w:val="25"/>
        </w:rPr>
        <w:t>negative.</w:t>
      </w:r>
    </w:p>
    <w:p>
      <w:pPr>
        <w:pStyle w:val="ListParagraph"/>
        <w:numPr>
          <w:ilvl w:val="1"/>
          <w:numId w:val="77"/>
        </w:numPr>
        <w:tabs>
          <w:tab w:pos="1941" w:val="left" w:leader="none"/>
        </w:tabs>
        <w:spacing w:line="240" w:lineRule="auto" w:before="7" w:after="0"/>
        <w:ind w:left="1940" w:right="0" w:hanging="721"/>
        <w:jc w:val="both"/>
        <w:rPr>
          <w:sz w:val="25"/>
        </w:rPr>
      </w:pPr>
      <w:r>
        <w:rPr>
          <w:b/>
          <w:sz w:val="25"/>
        </w:rPr>
        <w:t>Justice D V Sharma </w:t>
      </w:r>
      <w:r>
        <w:rPr>
          <w:sz w:val="25"/>
        </w:rPr>
        <w:t>– Decided together with issue no</w:t>
      </w:r>
      <w:r>
        <w:rPr>
          <w:spacing w:val="-6"/>
          <w:sz w:val="25"/>
        </w:rPr>
        <w:t> </w:t>
      </w:r>
      <w:r>
        <w:rPr>
          <w:sz w:val="25"/>
        </w:rPr>
        <w:t>1.</w:t>
      </w:r>
    </w:p>
    <w:p>
      <w:pPr>
        <w:pStyle w:val="BodyText"/>
        <w:spacing w:before="2"/>
        <w:rPr>
          <w:sz w:val="42"/>
        </w:rPr>
      </w:pPr>
    </w:p>
    <w:p>
      <w:pPr>
        <w:pStyle w:val="Heading5"/>
        <w:tabs>
          <w:tab w:pos="1220" w:val="left" w:leader="none"/>
        </w:tabs>
        <w:spacing w:line="480" w:lineRule="auto"/>
        <w:ind w:right="512"/>
        <w:jc w:val="left"/>
      </w:pPr>
      <w:r>
        <w:rPr>
          <w:b w:val="0"/>
        </w:rPr>
        <w:t>7(a)</w:t>
        <w:tab/>
      </w:r>
      <w:r>
        <w:rPr/>
        <w:t>Has there been a notification under Muslim Waqf </w:t>
      </w:r>
      <w:r>
        <w:rPr>
          <w:spacing w:val="-3"/>
        </w:rPr>
        <w:t>Act </w:t>
      </w:r>
      <w:r>
        <w:rPr/>
        <w:t>(Act no 13 of 1936) declaring this property in suit as a Sunni</w:t>
      </w:r>
      <w:r>
        <w:rPr>
          <w:spacing w:val="-14"/>
        </w:rPr>
        <w:t> </w:t>
      </w:r>
      <w:r>
        <w:rPr/>
        <w:t>Waqf?</w:t>
      </w:r>
    </w:p>
    <w:p>
      <w:pPr>
        <w:pStyle w:val="ListParagraph"/>
        <w:numPr>
          <w:ilvl w:val="1"/>
          <w:numId w:val="77"/>
        </w:numPr>
        <w:tabs>
          <w:tab w:pos="1941" w:val="left" w:leader="none"/>
        </w:tabs>
        <w:spacing w:line="240" w:lineRule="auto" w:before="1" w:after="0"/>
        <w:ind w:left="1940" w:right="0" w:hanging="721"/>
        <w:jc w:val="both"/>
        <w:rPr>
          <w:sz w:val="25"/>
        </w:rPr>
      </w:pPr>
      <w:r>
        <w:rPr>
          <w:b/>
          <w:sz w:val="25"/>
        </w:rPr>
        <w:t>Justice Sudhir Agarwal </w:t>
      </w:r>
      <w:r>
        <w:rPr>
          <w:sz w:val="25"/>
        </w:rPr>
        <w:t>– Answered in the negative.</w:t>
      </w:r>
    </w:p>
    <w:p>
      <w:pPr>
        <w:pStyle w:val="BodyText"/>
        <w:spacing w:before="8"/>
        <w:rPr>
          <w:sz w:val="24"/>
        </w:rPr>
      </w:pPr>
    </w:p>
    <w:p>
      <w:pPr>
        <w:pStyle w:val="ListParagraph"/>
        <w:numPr>
          <w:ilvl w:val="1"/>
          <w:numId w:val="77"/>
        </w:numPr>
        <w:tabs>
          <w:tab w:pos="1940" w:val="left" w:leader="none"/>
          <w:tab w:pos="1941" w:val="left" w:leader="none"/>
        </w:tabs>
        <w:spacing w:line="240" w:lineRule="auto" w:before="0" w:after="0"/>
        <w:ind w:left="1940" w:right="0" w:hanging="721"/>
        <w:jc w:val="left"/>
        <w:rPr>
          <w:sz w:val="25"/>
        </w:rPr>
      </w:pPr>
      <w:r>
        <w:rPr>
          <w:b/>
          <w:sz w:val="25"/>
        </w:rPr>
        <w:t>Justice D V Sharma </w:t>
      </w:r>
      <w:r>
        <w:rPr>
          <w:sz w:val="25"/>
        </w:rPr>
        <w:t>– As per the conclusions drawn in Suit</w:t>
      </w:r>
      <w:r>
        <w:rPr>
          <w:spacing w:val="-9"/>
          <w:sz w:val="25"/>
        </w:rPr>
        <w:t> </w:t>
      </w:r>
      <w:r>
        <w:rPr>
          <w:sz w:val="25"/>
        </w:rPr>
        <w:t>4.</w:t>
      </w:r>
    </w:p>
    <w:p>
      <w:pPr>
        <w:pStyle w:val="BodyText"/>
        <w:spacing w:before="2"/>
        <w:rPr>
          <w:sz w:val="42"/>
        </w:rPr>
      </w:pPr>
    </w:p>
    <w:p>
      <w:pPr>
        <w:pStyle w:val="Heading5"/>
        <w:tabs>
          <w:tab w:pos="1220" w:val="left" w:leader="none"/>
        </w:tabs>
        <w:spacing w:before="1"/>
        <w:ind w:left="500" w:firstLine="0"/>
        <w:jc w:val="left"/>
      </w:pPr>
      <w:r>
        <w:rPr>
          <w:b w:val="0"/>
        </w:rPr>
        <w:t>7(b)</w:t>
        <w:tab/>
      </w:r>
      <w:r>
        <w:rPr/>
        <w:t>Is the said notification final and binding? Its</w:t>
      </w:r>
      <w:r>
        <w:rPr>
          <w:spacing w:val="-8"/>
        </w:rPr>
        <w:t> </w:t>
      </w:r>
      <w:r>
        <w:rPr/>
        <w:t>effect.</w:t>
      </w:r>
    </w:p>
    <w:p>
      <w:pPr>
        <w:pStyle w:val="BodyText"/>
        <w:rPr>
          <w:b/>
        </w:rPr>
      </w:pPr>
    </w:p>
    <w:p>
      <w:pPr>
        <w:pStyle w:val="ListParagraph"/>
        <w:numPr>
          <w:ilvl w:val="1"/>
          <w:numId w:val="77"/>
        </w:numPr>
        <w:tabs>
          <w:tab w:pos="1940" w:val="left" w:leader="none"/>
          <w:tab w:pos="1941" w:val="left" w:leader="none"/>
        </w:tabs>
        <w:spacing w:line="240" w:lineRule="auto" w:before="1" w:after="0"/>
        <w:ind w:left="1940" w:right="0" w:hanging="721"/>
        <w:jc w:val="left"/>
        <w:rPr>
          <w:sz w:val="25"/>
        </w:rPr>
      </w:pPr>
      <w:r>
        <w:rPr>
          <w:b/>
          <w:sz w:val="25"/>
        </w:rPr>
        <w:t>Justice Sudhir Agarwal </w:t>
      </w:r>
      <w:r>
        <w:rPr>
          <w:sz w:val="25"/>
        </w:rPr>
        <w:t>– Answered In the</w:t>
      </w:r>
      <w:r>
        <w:rPr>
          <w:spacing w:val="1"/>
          <w:sz w:val="25"/>
        </w:rPr>
        <w:t> </w:t>
      </w:r>
      <w:r>
        <w:rPr>
          <w:sz w:val="25"/>
        </w:rPr>
        <w:t>negative.</w:t>
      </w:r>
    </w:p>
    <w:p>
      <w:pPr>
        <w:pStyle w:val="BodyText"/>
        <w:spacing w:before="10"/>
        <w:rPr>
          <w:sz w:val="24"/>
        </w:rPr>
      </w:pPr>
    </w:p>
    <w:p>
      <w:pPr>
        <w:pStyle w:val="ListParagraph"/>
        <w:numPr>
          <w:ilvl w:val="1"/>
          <w:numId w:val="77"/>
        </w:numPr>
        <w:tabs>
          <w:tab w:pos="1940" w:val="left" w:leader="none"/>
          <w:tab w:pos="1941" w:val="left" w:leader="none"/>
        </w:tabs>
        <w:spacing w:line="240" w:lineRule="auto" w:before="1" w:after="0"/>
        <w:ind w:left="1940" w:right="0" w:hanging="721"/>
        <w:jc w:val="left"/>
        <w:rPr>
          <w:sz w:val="25"/>
        </w:rPr>
      </w:pPr>
      <w:r>
        <w:rPr>
          <w:b/>
          <w:sz w:val="25"/>
        </w:rPr>
        <w:t>Justice D V Sharma </w:t>
      </w:r>
      <w:r>
        <w:rPr>
          <w:sz w:val="25"/>
        </w:rPr>
        <w:t>– As per the conclusions drawn in Suit</w:t>
      </w:r>
      <w:r>
        <w:rPr>
          <w:spacing w:val="-9"/>
          <w:sz w:val="25"/>
        </w:rPr>
        <w:t> </w:t>
      </w:r>
      <w:r>
        <w:rPr>
          <w:sz w:val="25"/>
        </w:rPr>
        <w:t>4.</w:t>
      </w:r>
    </w:p>
    <w:p>
      <w:pPr>
        <w:spacing w:after="0" w:line="240" w:lineRule="auto"/>
        <w:jc w:val="left"/>
        <w:rPr>
          <w:sz w:val="25"/>
        </w:rPr>
        <w:sectPr>
          <w:pgSz w:w="11910" w:h="16840"/>
          <w:pgMar w:header="721" w:footer="1014" w:top="1300" w:bottom="1200" w:left="940" w:right="1000"/>
        </w:sectPr>
      </w:pPr>
    </w:p>
    <w:p>
      <w:pPr>
        <w:pStyle w:val="Heading5"/>
        <w:numPr>
          <w:ilvl w:val="0"/>
          <w:numId w:val="78"/>
        </w:numPr>
        <w:tabs>
          <w:tab w:pos="1221" w:val="left" w:leader="none"/>
        </w:tabs>
        <w:spacing w:line="480" w:lineRule="auto" w:before="121" w:after="0"/>
        <w:ind w:left="1220" w:right="446" w:hanging="720"/>
        <w:jc w:val="both"/>
      </w:pPr>
      <w:r>
        <w:rPr/>
        <w:t>Have the rights of the plaintiffs been extinguished for want of possession for over 12 years prior to the</w:t>
      </w:r>
      <w:r>
        <w:rPr>
          <w:spacing w:val="-7"/>
        </w:rPr>
        <w:t> </w:t>
      </w:r>
      <w:r>
        <w:rPr/>
        <w:t>suit?</w:t>
      </w:r>
    </w:p>
    <w:p>
      <w:pPr>
        <w:pStyle w:val="ListParagraph"/>
        <w:numPr>
          <w:ilvl w:val="1"/>
          <w:numId w:val="78"/>
        </w:numPr>
        <w:tabs>
          <w:tab w:pos="1941" w:val="left" w:leader="none"/>
        </w:tabs>
        <w:spacing w:line="472" w:lineRule="auto" w:before="0" w:after="0"/>
        <w:ind w:left="1940" w:right="436" w:hanging="720"/>
        <w:jc w:val="both"/>
        <w:rPr>
          <w:sz w:val="25"/>
        </w:rPr>
      </w:pPr>
      <w:r>
        <w:rPr>
          <w:b/>
          <w:sz w:val="25"/>
        </w:rPr>
        <w:t>Justice S U Khan </w:t>
      </w:r>
      <w:r>
        <w:rPr>
          <w:sz w:val="25"/>
        </w:rPr>
        <w:t>– Parties are enjoying joint possession and hence, it was not necessary to decide the issue of adverse possession.</w:t>
      </w:r>
    </w:p>
    <w:p>
      <w:pPr>
        <w:pStyle w:val="ListParagraph"/>
        <w:numPr>
          <w:ilvl w:val="1"/>
          <w:numId w:val="78"/>
        </w:numPr>
        <w:tabs>
          <w:tab w:pos="1941" w:val="left" w:leader="none"/>
        </w:tabs>
        <w:spacing w:line="477" w:lineRule="auto" w:before="6" w:after="0"/>
        <w:ind w:left="1940" w:right="439" w:hanging="720"/>
        <w:jc w:val="both"/>
        <w:rPr>
          <w:sz w:val="25"/>
        </w:rPr>
      </w:pPr>
      <w:r>
        <w:rPr>
          <w:b/>
          <w:sz w:val="25"/>
        </w:rPr>
        <w:t>Justice Sudhir Agarwal </w:t>
      </w:r>
      <w:r>
        <w:rPr>
          <w:sz w:val="25"/>
        </w:rPr>
        <w:t>– The suit was instituted in 1959 and it cannot be said that in the preceding 12 years, the plaintiffs never had possession of the inner courtyard. Neither of the plaintiffs have discharged the burden of establishing that they were owners of the property in dispute nor have the defendants established that the plaintiffs remain dispossessed for over 12 years and that the defendants have fulfilled the requirements of adverse possession. The issue is accordingly answered in the</w:t>
      </w:r>
      <w:r>
        <w:rPr>
          <w:spacing w:val="-8"/>
          <w:sz w:val="25"/>
        </w:rPr>
        <w:t> </w:t>
      </w:r>
      <w:r>
        <w:rPr>
          <w:sz w:val="25"/>
        </w:rPr>
        <w:t>negative.</w:t>
      </w:r>
    </w:p>
    <w:p>
      <w:pPr>
        <w:pStyle w:val="ListParagraph"/>
        <w:numPr>
          <w:ilvl w:val="1"/>
          <w:numId w:val="78"/>
        </w:numPr>
        <w:tabs>
          <w:tab w:pos="1941" w:val="left" w:leader="none"/>
        </w:tabs>
        <w:spacing w:line="465" w:lineRule="auto" w:before="2" w:after="0"/>
        <w:ind w:left="1940" w:right="443" w:hanging="720"/>
        <w:jc w:val="both"/>
        <w:rPr>
          <w:sz w:val="25"/>
        </w:rPr>
      </w:pPr>
      <w:r>
        <w:rPr>
          <w:b/>
          <w:sz w:val="25"/>
        </w:rPr>
        <w:t>Justice D V Sharma </w:t>
      </w:r>
      <w:r>
        <w:rPr>
          <w:sz w:val="25"/>
        </w:rPr>
        <w:t>– Answered against the plaintiff and as per the conclusions drawn in Suit</w:t>
      </w:r>
      <w:r>
        <w:rPr>
          <w:spacing w:val="-4"/>
          <w:sz w:val="25"/>
        </w:rPr>
        <w:t> </w:t>
      </w:r>
      <w:r>
        <w:rPr>
          <w:sz w:val="25"/>
        </w:rPr>
        <w:t>4.</w:t>
      </w:r>
    </w:p>
    <w:p>
      <w:pPr>
        <w:pStyle w:val="Heading5"/>
        <w:numPr>
          <w:ilvl w:val="0"/>
          <w:numId w:val="78"/>
        </w:numPr>
        <w:tabs>
          <w:tab w:pos="1220" w:val="left" w:leader="none"/>
          <w:tab w:pos="1221" w:val="left" w:leader="none"/>
        </w:tabs>
        <w:spacing w:line="240" w:lineRule="auto" w:before="217" w:after="0"/>
        <w:ind w:left="1220" w:right="0" w:hanging="721"/>
        <w:jc w:val="left"/>
      </w:pPr>
      <w:r>
        <w:rPr/>
        <w:t>Is the suit within</w:t>
      </w:r>
      <w:r>
        <w:rPr>
          <w:spacing w:val="-6"/>
        </w:rPr>
        <w:t> </w:t>
      </w:r>
      <w:r>
        <w:rPr/>
        <w:t>time?</w:t>
      </w:r>
    </w:p>
    <w:p>
      <w:pPr>
        <w:pStyle w:val="BodyText"/>
        <w:spacing w:before="9"/>
        <w:rPr>
          <w:b/>
          <w:sz w:val="24"/>
        </w:rPr>
      </w:pPr>
    </w:p>
    <w:p>
      <w:pPr>
        <w:pStyle w:val="ListParagraph"/>
        <w:numPr>
          <w:ilvl w:val="1"/>
          <w:numId w:val="78"/>
        </w:numPr>
        <w:tabs>
          <w:tab w:pos="1941" w:val="left" w:leader="none"/>
        </w:tabs>
        <w:spacing w:line="240" w:lineRule="auto" w:before="1" w:after="0"/>
        <w:ind w:left="1940" w:right="0" w:hanging="721"/>
        <w:jc w:val="both"/>
        <w:rPr>
          <w:sz w:val="25"/>
        </w:rPr>
      </w:pPr>
      <w:r>
        <w:rPr>
          <w:b/>
          <w:sz w:val="25"/>
        </w:rPr>
        <w:t>Justice S U Khan </w:t>
      </w:r>
      <w:r>
        <w:rPr>
          <w:sz w:val="25"/>
        </w:rPr>
        <w:t>– The suit was within</w:t>
      </w:r>
      <w:r>
        <w:rPr>
          <w:spacing w:val="-4"/>
          <w:sz w:val="25"/>
        </w:rPr>
        <w:t> </w:t>
      </w:r>
      <w:r>
        <w:rPr>
          <w:sz w:val="25"/>
        </w:rPr>
        <w:t>limitation.</w:t>
      </w:r>
    </w:p>
    <w:p>
      <w:pPr>
        <w:pStyle w:val="BodyText"/>
        <w:spacing w:before="11"/>
        <w:rPr>
          <w:sz w:val="24"/>
        </w:rPr>
      </w:pPr>
    </w:p>
    <w:p>
      <w:pPr>
        <w:pStyle w:val="ListParagraph"/>
        <w:numPr>
          <w:ilvl w:val="1"/>
          <w:numId w:val="78"/>
        </w:numPr>
        <w:tabs>
          <w:tab w:pos="1941" w:val="left" w:leader="none"/>
        </w:tabs>
        <w:spacing w:line="472" w:lineRule="auto" w:before="0" w:after="0"/>
        <w:ind w:left="1940" w:right="442" w:hanging="720"/>
        <w:jc w:val="both"/>
        <w:rPr>
          <w:sz w:val="25"/>
        </w:rPr>
      </w:pPr>
      <w:r>
        <w:rPr>
          <w:b/>
          <w:sz w:val="25"/>
        </w:rPr>
        <w:t>Justice Sudhir Agarwal </w:t>
      </w:r>
      <w:r>
        <w:rPr>
          <w:sz w:val="25"/>
        </w:rPr>
        <w:t>– The suit is barred by limitation under Article 120 of the Limitation Act. Articles 47, 142 and 144 of the Limitation Act were</w:t>
      </w:r>
      <w:r>
        <w:rPr>
          <w:spacing w:val="-4"/>
          <w:sz w:val="25"/>
        </w:rPr>
        <w:t> </w:t>
      </w:r>
      <w:r>
        <w:rPr>
          <w:sz w:val="25"/>
        </w:rPr>
        <w:t>inapplicable.</w:t>
      </w:r>
    </w:p>
    <w:p>
      <w:pPr>
        <w:pStyle w:val="ListParagraph"/>
        <w:numPr>
          <w:ilvl w:val="1"/>
          <w:numId w:val="78"/>
        </w:numPr>
        <w:tabs>
          <w:tab w:pos="1941" w:val="left" w:leader="none"/>
        </w:tabs>
        <w:spacing w:line="240" w:lineRule="auto" w:before="6" w:after="0"/>
        <w:ind w:left="1940" w:right="0" w:hanging="721"/>
        <w:jc w:val="both"/>
        <w:rPr>
          <w:sz w:val="25"/>
        </w:rPr>
      </w:pPr>
      <w:r>
        <w:rPr>
          <w:b/>
          <w:sz w:val="25"/>
        </w:rPr>
        <w:t>Justice D V Sharma </w:t>
      </w:r>
      <w:r>
        <w:rPr>
          <w:sz w:val="25"/>
        </w:rPr>
        <w:t>– The suit is barred by</w:t>
      </w:r>
      <w:r>
        <w:rPr>
          <w:spacing w:val="-6"/>
          <w:sz w:val="25"/>
        </w:rPr>
        <w:t> </w:t>
      </w:r>
      <w:r>
        <w:rPr>
          <w:sz w:val="25"/>
        </w:rPr>
        <w:t>limitation.</w:t>
      </w:r>
    </w:p>
    <w:p>
      <w:pPr>
        <w:pStyle w:val="BodyText"/>
        <w:spacing w:before="3"/>
        <w:rPr>
          <w:sz w:val="42"/>
        </w:rPr>
      </w:pPr>
    </w:p>
    <w:p>
      <w:pPr>
        <w:pStyle w:val="Heading5"/>
        <w:ind w:left="500" w:firstLine="0"/>
        <w:jc w:val="left"/>
      </w:pPr>
      <w:r>
        <w:rPr>
          <w:b w:val="0"/>
        </w:rPr>
        <w:t>10(a) </w:t>
      </w:r>
      <w:r>
        <w:rPr/>
        <w:t>Is the suit bad for want of notice u/s 80C?</w:t>
      </w:r>
    </w:p>
    <w:p>
      <w:pPr>
        <w:pStyle w:val="BodyText"/>
        <w:spacing w:before="10"/>
        <w:rPr>
          <w:b/>
          <w:sz w:val="24"/>
        </w:rPr>
      </w:pPr>
    </w:p>
    <w:p>
      <w:pPr>
        <w:pStyle w:val="ListParagraph"/>
        <w:numPr>
          <w:ilvl w:val="1"/>
          <w:numId w:val="78"/>
        </w:numPr>
        <w:tabs>
          <w:tab w:pos="1940" w:val="left" w:leader="none"/>
          <w:tab w:pos="1941" w:val="left" w:leader="none"/>
        </w:tabs>
        <w:spacing w:line="240" w:lineRule="auto" w:before="1" w:after="0"/>
        <w:ind w:left="1940" w:right="0" w:hanging="721"/>
        <w:jc w:val="left"/>
        <w:rPr>
          <w:sz w:val="25"/>
        </w:rPr>
      </w:pPr>
      <w:r>
        <w:rPr>
          <w:b/>
          <w:sz w:val="25"/>
        </w:rPr>
        <w:t>Justice Sudhir Agarwal – </w:t>
      </w:r>
      <w:r>
        <w:rPr>
          <w:sz w:val="25"/>
        </w:rPr>
        <w:t>answered in favour of the</w:t>
      </w:r>
      <w:r>
        <w:rPr>
          <w:spacing w:val="-3"/>
          <w:sz w:val="25"/>
        </w:rPr>
        <w:t> </w:t>
      </w:r>
      <w:r>
        <w:rPr>
          <w:sz w:val="25"/>
        </w:rPr>
        <w:t>plaintiffs.</w:t>
      </w:r>
    </w:p>
    <w:p>
      <w:pPr>
        <w:spacing w:after="0" w:line="240" w:lineRule="auto"/>
        <w:jc w:val="left"/>
        <w:rPr>
          <w:sz w:val="25"/>
        </w:rPr>
        <w:sectPr>
          <w:pgSz w:w="11910" w:h="16840"/>
          <w:pgMar w:header="721" w:footer="1014" w:top="1300" w:bottom="1200" w:left="940" w:right="1000"/>
        </w:sectPr>
      </w:pPr>
    </w:p>
    <w:p>
      <w:pPr>
        <w:pStyle w:val="ListParagraph"/>
        <w:numPr>
          <w:ilvl w:val="1"/>
          <w:numId w:val="78"/>
        </w:numPr>
        <w:tabs>
          <w:tab w:pos="1940" w:val="left" w:leader="none"/>
          <w:tab w:pos="1941" w:val="left" w:leader="none"/>
        </w:tabs>
        <w:spacing w:line="240" w:lineRule="auto" w:before="121" w:after="0"/>
        <w:ind w:left="1940" w:right="0" w:hanging="721"/>
        <w:jc w:val="left"/>
        <w:rPr>
          <w:sz w:val="25"/>
        </w:rPr>
      </w:pPr>
      <w:r>
        <w:rPr>
          <w:b/>
          <w:sz w:val="25"/>
        </w:rPr>
        <w:t>Justice D V Sharma – </w:t>
      </w:r>
      <w:r>
        <w:rPr>
          <w:sz w:val="25"/>
        </w:rPr>
        <w:t>answered in favour of the</w:t>
      </w:r>
      <w:r>
        <w:rPr>
          <w:spacing w:val="-5"/>
          <w:sz w:val="25"/>
        </w:rPr>
        <w:t> </w:t>
      </w:r>
      <w:r>
        <w:rPr>
          <w:sz w:val="25"/>
        </w:rPr>
        <w:t>plaintiffs.</w:t>
      </w:r>
    </w:p>
    <w:p>
      <w:pPr>
        <w:pStyle w:val="BodyText"/>
        <w:spacing w:before="3"/>
        <w:rPr>
          <w:sz w:val="42"/>
        </w:rPr>
      </w:pPr>
    </w:p>
    <w:p>
      <w:pPr>
        <w:pStyle w:val="Heading5"/>
        <w:ind w:left="500" w:firstLine="0"/>
        <w:jc w:val="left"/>
      </w:pPr>
      <w:r>
        <w:rPr>
          <w:b w:val="0"/>
        </w:rPr>
        <w:t>10(b) </w:t>
      </w:r>
      <w:r>
        <w:rPr/>
        <w:t>Is the above plea available to contesting defendants?</w:t>
      </w:r>
    </w:p>
    <w:p>
      <w:pPr>
        <w:pStyle w:val="BodyText"/>
        <w:spacing w:before="10"/>
        <w:rPr>
          <w:b/>
          <w:sz w:val="24"/>
        </w:rPr>
      </w:pPr>
    </w:p>
    <w:p>
      <w:pPr>
        <w:pStyle w:val="ListParagraph"/>
        <w:numPr>
          <w:ilvl w:val="1"/>
          <w:numId w:val="78"/>
        </w:numPr>
        <w:tabs>
          <w:tab w:pos="1940" w:val="left" w:leader="none"/>
          <w:tab w:pos="1941" w:val="left" w:leader="none"/>
        </w:tabs>
        <w:spacing w:line="240" w:lineRule="auto" w:before="0" w:after="0"/>
        <w:ind w:left="1940" w:right="0" w:hanging="721"/>
        <w:jc w:val="left"/>
        <w:rPr>
          <w:sz w:val="25"/>
        </w:rPr>
      </w:pPr>
      <w:r>
        <w:rPr>
          <w:b/>
          <w:sz w:val="25"/>
        </w:rPr>
        <w:t>Justice Sudhir Agarwal – </w:t>
      </w:r>
      <w:r>
        <w:rPr>
          <w:sz w:val="25"/>
        </w:rPr>
        <w:t>answered in favour of the</w:t>
      </w:r>
      <w:r>
        <w:rPr>
          <w:spacing w:val="-12"/>
          <w:sz w:val="25"/>
        </w:rPr>
        <w:t> </w:t>
      </w:r>
      <w:r>
        <w:rPr>
          <w:sz w:val="25"/>
        </w:rPr>
        <w:t>plaintiffs.</w:t>
      </w:r>
    </w:p>
    <w:p>
      <w:pPr>
        <w:pStyle w:val="BodyText"/>
        <w:spacing w:before="10"/>
        <w:rPr>
          <w:sz w:val="24"/>
        </w:rPr>
      </w:pPr>
    </w:p>
    <w:p>
      <w:pPr>
        <w:pStyle w:val="ListParagraph"/>
        <w:numPr>
          <w:ilvl w:val="1"/>
          <w:numId w:val="78"/>
        </w:numPr>
        <w:tabs>
          <w:tab w:pos="1940" w:val="left" w:leader="none"/>
          <w:tab w:pos="1941" w:val="left" w:leader="none"/>
        </w:tabs>
        <w:spacing w:line="240" w:lineRule="auto" w:before="1" w:after="0"/>
        <w:ind w:left="1940" w:right="0" w:hanging="721"/>
        <w:jc w:val="left"/>
        <w:rPr>
          <w:sz w:val="25"/>
        </w:rPr>
      </w:pPr>
      <w:r>
        <w:rPr>
          <w:b/>
          <w:sz w:val="25"/>
        </w:rPr>
        <w:t>Justice D V Sharma – </w:t>
      </w:r>
      <w:r>
        <w:rPr>
          <w:sz w:val="25"/>
        </w:rPr>
        <w:t>answered in favour of the</w:t>
      </w:r>
      <w:r>
        <w:rPr>
          <w:spacing w:val="-15"/>
          <w:sz w:val="25"/>
        </w:rPr>
        <w:t> </w:t>
      </w:r>
      <w:r>
        <w:rPr>
          <w:sz w:val="25"/>
        </w:rPr>
        <w:t>plaintiffs.</w:t>
      </w:r>
    </w:p>
    <w:p>
      <w:pPr>
        <w:pStyle w:val="BodyText"/>
        <w:spacing w:before="2"/>
        <w:rPr>
          <w:sz w:val="42"/>
        </w:rPr>
      </w:pPr>
    </w:p>
    <w:p>
      <w:pPr>
        <w:pStyle w:val="Heading5"/>
        <w:numPr>
          <w:ilvl w:val="0"/>
          <w:numId w:val="79"/>
        </w:numPr>
        <w:tabs>
          <w:tab w:pos="1220" w:val="left" w:leader="none"/>
          <w:tab w:pos="1221" w:val="left" w:leader="none"/>
        </w:tabs>
        <w:spacing w:line="240" w:lineRule="auto" w:before="0" w:after="0"/>
        <w:ind w:left="1220" w:right="0" w:hanging="721"/>
        <w:jc w:val="left"/>
      </w:pPr>
      <w:r>
        <w:rPr/>
        <w:t>Is the suit bad for non-joinder of necessary</w:t>
      </w:r>
      <w:r>
        <w:rPr>
          <w:spacing w:val="-11"/>
        </w:rPr>
        <w:t> </w:t>
      </w:r>
      <w:r>
        <w:rPr/>
        <w:t>defendants?</w:t>
      </w:r>
    </w:p>
    <w:p>
      <w:pPr>
        <w:pStyle w:val="BodyText"/>
        <w:spacing w:before="2"/>
        <w:rPr>
          <w:b/>
        </w:rPr>
      </w:pPr>
    </w:p>
    <w:p>
      <w:pPr>
        <w:pStyle w:val="ListParagraph"/>
        <w:numPr>
          <w:ilvl w:val="1"/>
          <w:numId w:val="79"/>
        </w:numPr>
        <w:tabs>
          <w:tab w:pos="1941" w:val="left" w:leader="none"/>
        </w:tabs>
        <w:spacing w:line="472" w:lineRule="auto" w:before="0" w:after="0"/>
        <w:ind w:left="1940" w:right="441" w:hanging="720"/>
        <w:jc w:val="both"/>
        <w:rPr>
          <w:sz w:val="25"/>
        </w:rPr>
      </w:pPr>
      <w:r>
        <w:rPr>
          <w:b/>
          <w:sz w:val="25"/>
        </w:rPr>
        <w:t>Justice S U Khan </w:t>
      </w:r>
      <w:r>
        <w:rPr>
          <w:sz w:val="25"/>
        </w:rPr>
        <w:t>– though the issue has not been dealt with specifically, he has agreed with the findings of Justice Sudhir Agarwal which are not inconsistent with his own</w:t>
      </w:r>
      <w:r>
        <w:rPr>
          <w:spacing w:val="-8"/>
          <w:sz w:val="25"/>
        </w:rPr>
        <w:t> </w:t>
      </w:r>
      <w:r>
        <w:rPr>
          <w:sz w:val="25"/>
        </w:rPr>
        <w:t>findings.</w:t>
      </w:r>
    </w:p>
    <w:p>
      <w:pPr>
        <w:pStyle w:val="ListParagraph"/>
        <w:numPr>
          <w:ilvl w:val="1"/>
          <w:numId w:val="79"/>
        </w:numPr>
        <w:tabs>
          <w:tab w:pos="1941" w:val="left" w:leader="none"/>
        </w:tabs>
        <w:spacing w:line="465" w:lineRule="auto" w:before="4" w:after="0"/>
        <w:ind w:left="1940" w:right="441" w:hanging="720"/>
        <w:jc w:val="both"/>
        <w:rPr>
          <w:sz w:val="25"/>
        </w:rPr>
      </w:pPr>
      <w:r>
        <w:rPr>
          <w:b/>
          <w:sz w:val="25"/>
        </w:rPr>
        <w:t>Justice Sudhir Agarwal – </w:t>
      </w:r>
      <w:r>
        <w:rPr>
          <w:sz w:val="25"/>
        </w:rPr>
        <w:t>answered in favour of plaintiffs as not pressed.</w:t>
      </w:r>
    </w:p>
    <w:p>
      <w:pPr>
        <w:pStyle w:val="ListParagraph"/>
        <w:numPr>
          <w:ilvl w:val="1"/>
          <w:numId w:val="79"/>
        </w:numPr>
        <w:tabs>
          <w:tab w:pos="1941" w:val="left" w:leader="none"/>
        </w:tabs>
        <w:spacing w:line="465" w:lineRule="auto" w:before="15" w:after="0"/>
        <w:ind w:left="1940" w:right="442" w:hanging="720"/>
        <w:jc w:val="both"/>
        <w:rPr>
          <w:sz w:val="25"/>
        </w:rPr>
      </w:pPr>
      <w:r>
        <w:rPr>
          <w:b/>
          <w:sz w:val="25"/>
        </w:rPr>
        <w:t>Justice D V Sharma – </w:t>
      </w:r>
      <w:r>
        <w:rPr>
          <w:sz w:val="25"/>
        </w:rPr>
        <w:t>decided in terms of the findings on issue 21 in Suit</w:t>
      </w:r>
      <w:r>
        <w:rPr>
          <w:spacing w:val="-3"/>
          <w:sz w:val="25"/>
        </w:rPr>
        <w:t> </w:t>
      </w:r>
      <w:r>
        <w:rPr>
          <w:sz w:val="25"/>
        </w:rPr>
        <w:t>4.</w:t>
      </w:r>
    </w:p>
    <w:p>
      <w:pPr>
        <w:pStyle w:val="Heading5"/>
        <w:numPr>
          <w:ilvl w:val="0"/>
          <w:numId w:val="79"/>
        </w:numPr>
        <w:tabs>
          <w:tab w:pos="1220" w:val="left" w:leader="none"/>
          <w:tab w:pos="1221" w:val="left" w:leader="none"/>
        </w:tabs>
        <w:spacing w:line="240" w:lineRule="auto" w:before="216" w:after="0"/>
        <w:ind w:left="1220" w:right="0" w:hanging="721"/>
        <w:jc w:val="left"/>
      </w:pPr>
      <w:r>
        <w:rPr/>
        <w:t>Are defendants entitled to special costs u/s 35</w:t>
      </w:r>
      <w:r>
        <w:rPr>
          <w:spacing w:val="-4"/>
        </w:rPr>
        <w:t> </w:t>
      </w:r>
      <w:r>
        <w:rPr/>
        <w:t>CPC?</w:t>
      </w:r>
    </w:p>
    <w:p>
      <w:pPr>
        <w:pStyle w:val="BodyText"/>
        <w:spacing w:before="10"/>
        <w:rPr>
          <w:b/>
          <w:sz w:val="24"/>
        </w:rPr>
      </w:pPr>
    </w:p>
    <w:p>
      <w:pPr>
        <w:pStyle w:val="ListParagraph"/>
        <w:numPr>
          <w:ilvl w:val="1"/>
          <w:numId w:val="79"/>
        </w:numPr>
        <w:tabs>
          <w:tab w:pos="1941" w:val="left" w:leader="none"/>
        </w:tabs>
        <w:spacing w:line="465" w:lineRule="auto" w:before="0" w:after="0"/>
        <w:ind w:left="1940" w:right="441" w:hanging="720"/>
        <w:jc w:val="both"/>
        <w:rPr>
          <w:sz w:val="25"/>
        </w:rPr>
      </w:pPr>
      <w:r>
        <w:rPr>
          <w:b/>
          <w:sz w:val="25"/>
        </w:rPr>
        <w:t>Justice Sudhir Agarwal – </w:t>
      </w:r>
      <w:r>
        <w:rPr>
          <w:sz w:val="25"/>
        </w:rPr>
        <w:t>answered in favour of the plaintiffs as  not</w:t>
      </w:r>
      <w:r>
        <w:rPr>
          <w:spacing w:val="-2"/>
          <w:sz w:val="25"/>
        </w:rPr>
        <w:t> </w:t>
      </w:r>
      <w:r>
        <w:rPr>
          <w:sz w:val="25"/>
        </w:rPr>
        <w:t>pressed.</w:t>
      </w:r>
    </w:p>
    <w:p>
      <w:pPr>
        <w:pStyle w:val="ListParagraph"/>
        <w:numPr>
          <w:ilvl w:val="1"/>
          <w:numId w:val="79"/>
        </w:numPr>
        <w:tabs>
          <w:tab w:pos="1940" w:val="left" w:leader="none"/>
          <w:tab w:pos="1941" w:val="left" w:leader="none"/>
        </w:tabs>
        <w:spacing w:line="240" w:lineRule="auto" w:before="17" w:after="0"/>
        <w:ind w:left="1940" w:right="0" w:hanging="721"/>
        <w:jc w:val="left"/>
        <w:rPr>
          <w:sz w:val="25"/>
        </w:rPr>
      </w:pPr>
      <w:r>
        <w:rPr>
          <w:b/>
          <w:sz w:val="25"/>
        </w:rPr>
        <w:t>Justice D V Sharma – </w:t>
      </w:r>
      <w:r>
        <w:rPr>
          <w:sz w:val="25"/>
        </w:rPr>
        <w:t>answered in the</w:t>
      </w:r>
      <w:r>
        <w:rPr>
          <w:spacing w:val="-2"/>
          <w:sz w:val="25"/>
        </w:rPr>
        <w:t> </w:t>
      </w:r>
      <w:r>
        <w:rPr>
          <w:sz w:val="25"/>
        </w:rPr>
        <w:t>negative.</w:t>
      </w:r>
    </w:p>
    <w:p>
      <w:pPr>
        <w:pStyle w:val="BodyText"/>
        <w:spacing w:before="1"/>
        <w:rPr>
          <w:sz w:val="42"/>
        </w:rPr>
      </w:pPr>
    </w:p>
    <w:p>
      <w:pPr>
        <w:pStyle w:val="Heading5"/>
        <w:numPr>
          <w:ilvl w:val="0"/>
          <w:numId w:val="79"/>
        </w:numPr>
        <w:tabs>
          <w:tab w:pos="1220" w:val="left" w:leader="none"/>
          <w:tab w:pos="1221" w:val="left" w:leader="none"/>
        </w:tabs>
        <w:spacing w:line="240" w:lineRule="auto" w:before="0" w:after="0"/>
        <w:ind w:left="1220" w:right="0" w:hanging="721"/>
        <w:jc w:val="left"/>
      </w:pPr>
      <w:r>
        <w:rPr/>
        <w:t>To what relief, if any, is the plaintiff</w:t>
      </w:r>
      <w:r>
        <w:rPr>
          <w:spacing w:val="-8"/>
        </w:rPr>
        <w:t> </w:t>
      </w:r>
      <w:r>
        <w:rPr/>
        <w:t>entitled?</w:t>
      </w:r>
    </w:p>
    <w:p>
      <w:pPr>
        <w:pStyle w:val="BodyText"/>
        <w:spacing w:before="1"/>
        <w:rPr>
          <w:b/>
        </w:rPr>
      </w:pPr>
    </w:p>
    <w:p>
      <w:pPr>
        <w:pStyle w:val="ListParagraph"/>
        <w:numPr>
          <w:ilvl w:val="1"/>
          <w:numId w:val="79"/>
        </w:numPr>
        <w:tabs>
          <w:tab w:pos="1941" w:val="left" w:leader="none"/>
        </w:tabs>
        <w:spacing w:line="475" w:lineRule="auto" w:before="0" w:after="0"/>
        <w:ind w:left="1940" w:right="440" w:hanging="720"/>
        <w:jc w:val="both"/>
        <w:rPr>
          <w:sz w:val="25"/>
        </w:rPr>
      </w:pPr>
      <w:r>
        <w:rPr>
          <w:b/>
          <w:sz w:val="25"/>
        </w:rPr>
        <w:t>Justice S U Khan </w:t>
      </w:r>
      <w:r>
        <w:rPr>
          <w:sz w:val="25"/>
        </w:rPr>
        <w:t>– Each of the three parties (Muslims, Hindus and Nirmohi Akhara) is entitled to a declaration of joint title and possession to the extent of one-third share each and a preliminary decree is passed to that effect.</w:t>
      </w:r>
    </w:p>
    <w:p>
      <w:pPr>
        <w:pStyle w:val="ListParagraph"/>
        <w:numPr>
          <w:ilvl w:val="1"/>
          <w:numId w:val="79"/>
        </w:numPr>
        <w:tabs>
          <w:tab w:pos="1941" w:val="left" w:leader="none"/>
        </w:tabs>
        <w:spacing w:line="465" w:lineRule="auto" w:before="2" w:after="0"/>
        <w:ind w:left="1940" w:right="439" w:hanging="720"/>
        <w:jc w:val="both"/>
        <w:rPr>
          <w:sz w:val="25"/>
        </w:rPr>
      </w:pPr>
      <w:r>
        <w:rPr>
          <w:b/>
          <w:sz w:val="25"/>
        </w:rPr>
        <w:t>Justice Sudhir Agarwal </w:t>
      </w:r>
      <w:r>
        <w:rPr>
          <w:sz w:val="25"/>
        </w:rPr>
        <w:t>– The plaintiff in Suit 3 is not entitled to any</w:t>
      </w:r>
      <w:r>
        <w:rPr>
          <w:spacing w:val="8"/>
          <w:sz w:val="25"/>
        </w:rPr>
        <w:t> </w:t>
      </w:r>
      <w:r>
        <w:rPr>
          <w:sz w:val="25"/>
        </w:rPr>
        <w:t>relief.</w:t>
      </w:r>
      <w:r>
        <w:rPr>
          <w:spacing w:val="11"/>
          <w:sz w:val="25"/>
        </w:rPr>
        <w:t> </w:t>
      </w:r>
      <w:r>
        <w:rPr>
          <w:sz w:val="25"/>
        </w:rPr>
        <w:t>Despite</w:t>
      </w:r>
      <w:r>
        <w:rPr>
          <w:spacing w:val="12"/>
          <w:sz w:val="25"/>
        </w:rPr>
        <w:t> </w:t>
      </w:r>
      <w:r>
        <w:rPr>
          <w:sz w:val="25"/>
        </w:rPr>
        <w:t>this,</w:t>
      </w:r>
      <w:r>
        <w:rPr>
          <w:spacing w:val="11"/>
          <w:sz w:val="25"/>
        </w:rPr>
        <w:t> </w:t>
      </w:r>
      <w:r>
        <w:rPr>
          <w:sz w:val="25"/>
        </w:rPr>
        <w:t>it</w:t>
      </w:r>
      <w:r>
        <w:rPr>
          <w:spacing w:val="11"/>
          <w:sz w:val="25"/>
        </w:rPr>
        <w:t> </w:t>
      </w:r>
      <w:r>
        <w:rPr>
          <w:sz w:val="25"/>
        </w:rPr>
        <w:t>has</w:t>
      </w:r>
      <w:r>
        <w:rPr>
          <w:spacing w:val="10"/>
          <w:sz w:val="25"/>
        </w:rPr>
        <w:t> </w:t>
      </w:r>
      <w:r>
        <w:rPr>
          <w:sz w:val="25"/>
        </w:rPr>
        <w:t>been</w:t>
      </w:r>
      <w:r>
        <w:rPr>
          <w:spacing w:val="12"/>
          <w:sz w:val="25"/>
        </w:rPr>
        <w:t> </w:t>
      </w:r>
      <w:r>
        <w:rPr>
          <w:sz w:val="25"/>
        </w:rPr>
        <w:t>held</w:t>
      </w:r>
      <w:r>
        <w:rPr>
          <w:spacing w:val="11"/>
          <w:sz w:val="25"/>
        </w:rPr>
        <w:t> </w:t>
      </w:r>
      <w:r>
        <w:rPr>
          <w:sz w:val="25"/>
        </w:rPr>
        <w:t>that</w:t>
      </w:r>
      <w:r>
        <w:rPr>
          <w:spacing w:val="12"/>
          <w:sz w:val="25"/>
        </w:rPr>
        <w:t> </w:t>
      </w:r>
      <w:r>
        <w:rPr>
          <w:sz w:val="25"/>
        </w:rPr>
        <w:t>possession</w:t>
      </w:r>
      <w:r>
        <w:rPr>
          <w:spacing w:val="11"/>
          <w:sz w:val="25"/>
        </w:rPr>
        <w:t> </w:t>
      </w:r>
      <w:r>
        <w:rPr>
          <w:sz w:val="25"/>
        </w:rPr>
        <w:t>of</w:t>
      </w:r>
      <w:r>
        <w:rPr>
          <w:spacing w:val="12"/>
          <w:sz w:val="25"/>
        </w:rPr>
        <w:t> </w:t>
      </w:r>
      <w:r>
        <w:rPr>
          <w:sz w:val="25"/>
        </w:rPr>
        <w:t>the</w:t>
      </w:r>
      <w:r>
        <w:rPr>
          <w:spacing w:val="11"/>
          <w:sz w:val="25"/>
        </w:rPr>
        <w:t> </w:t>
      </w:r>
      <w:r>
        <w:rPr>
          <w:sz w:val="25"/>
        </w:rPr>
        <w:t>area</w:t>
      </w:r>
    </w:p>
    <w:p>
      <w:pPr>
        <w:spacing w:after="0" w:line="465" w:lineRule="auto"/>
        <w:jc w:val="both"/>
        <w:rPr>
          <w:sz w:val="25"/>
        </w:rPr>
        <w:sectPr>
          <w:pgSz w:w="11910" w:h="16840"/>
          <w:pgMar w:header="721" w:footer="1014" w:top="1300" w:bottom="1200" w:left="940" w:right="1000"/>
        </w:sectPr>
      </w:pPr>
    </w:p>
    <w:p>
      <w:pPr>
        <w:pStyle w:val="BodyText"/>
        <w:spacing w:line="480" w:lineRule="auto" w:before="124"/>
        <w:ind w:left="1940" w:right="440"/>
        <w:jc w:val="both"/>
      </w:pPr>
      <w:r>
        <w:rPr/>
        <w:t>governed by </w:t>
      </w:r>
      <w:r>
        <w:rPr>
          <w:color w:val="000009"/>
        </w:rPr>
        <w:t>Ramchabutra</w:t>
      </w:r>
      <w:r>
        <w:rPr/>
        <w:t>, Sita Rasoi and Bhandar in the outer courtyard is declared to be the share of Nirmohi Akhara in the absence of any claim for better title. Moreover, the open area in the outer courtyard shall be shared by Nirmohi Akhara with the plaintiffs in Suit 5.</w:t>
      </w:r>
    </w:p>
    <w:p>
      <w:pPr>
        <w:pStyle w:val="ListParagraph"/>
        <w:numPr>
          <w:ilvl w:val="1"/>
          <w:numId w:val="79"/>
        </w:numPr>
        <w:tabs>
          <w:tab w:pos="1941" w:val="left" w:leader="none"/>
        </w:tabs>
        <w:spacing w:line="465" w:lineRule="auto" w:before="0" w:after="0"/>
        <w:ind w:left="1940" w:right="443" w:hanging="720"/>
        <w:jc w:val="both"/>
        <w:rPr>
          <w:sz w:val="25"/>
        </w:rPr>
      </w:pPr>
      <w:r>
        <w:rPr>
          <w:b/>
          <w:sz w:val="25"/>
        </w:rPr>
        <w:t>Justice D V Sharma </w:t>
      </w:r>
      <w:r>
        <w:rPr>
          <w:sz w:val="25"/>
        </w:rPr>
        <w:t>– the suit is dismissed and Nirmohi Akhara is not entitled to any</w:t>
      </w:r>
      <w:r>
        <w:rPr>
          <w:spacing w:val="-4"/>
          <w:sz w:val="25"/>
        </w:rPr>
        <w:t> </w:t>
      </w:r>
      <w:r>
        <w:rPr>
          <w:sz w:val="25"/>
        </w:rPr>
        <w:t>relief.</w:t>
      </w:r>
    </w:p>
    <w:p>
      <w:pPr>
        <w:pStyle w:val="Heading5"/>
        <w:numPr>
          <w:ilvl w:val="0"/>
          <w:numId w:val="79"/>
        </w:numPr>
        <w:tabs>
          <w:tab w:pos="1220" w:val="left" w:leader="none"/>
          <w:tab w:pos="1221" w:val="left" w:leader="none"/>
        </w:tabs>
        <w:spacing w:line="240" w:lineRule="auto" w:before="212" w:after="0"/>
        <w:ind w:left="1220" w:right="0" w:hanging="721"/>
        <w:jc w:val="left"/>
      </w:pPr>
      <w:r>
        <w:rPr/>
        <w:t>Is the suit not maintainable as</w:t>
      </w:r>
      <w:r>
        <w:rPr>
          <w:spacing w:val="-5"/>
        </w:rPr>
        <w:t> </w:t>
      </w:r>
      <w:r>
        <w:rPr/>
        <w:t>framed?</w:t>
      </w:r>
    </w:p>
    <w:p>
      <w:pPr>
        <w:pStyle w:val="BodyText"/>
        <w:spacing w:before="1"/>
        <w:rPr>
          <w:b/>
        </w:rPr>
      </w:pPr>
    </w:p>
    <w:p>
      <w:pPr>
        <w:pStyle w:val="ListParagraph"/>
        <w:numPr>
          <w:ilvl w:val="1"/>
          <w:numId w:val="79"/>
        </w:numPr>
        <w:tabs>
          <w:tab w:pos="1941" w:val="left" w:leader="none"/>
        </w:tabs>
        <w:spacing w:line="472" w:lineRule="auto" w:before="0" w:after="0"/>
        <w:ind w:left="1940" w:right="440" w:hanging="720"/>
        <w:jc w:val="both"/>
        <w:rPr>
          <w:sz w:val="25"/>
        </w:rPr>
      </w:pPr>
      <w:r>
        <w:rPr>
          <w:b/>
          <w:sz w:val="25"/>
        </w:rPr>
        <w:t>Justice S U Khan </w:t>
      </w:r>
      <w:r>
        <w:rPr>
          <w:sz w:val="25"/>
        </w:rPr>
        <w:t>– Issue not decided specifically. Miscellaneous findings – he has agreed with Justice Sudhir Agarwal, subject to anything contrary in his (Justice S U Khan‘s)</w:t>
      </w:r>
      <w:r>
        <w:rPr>
          <w:spacing w:val="-14"/>
          <w:sz w:val="25"/>
        </w:rPr>
        <w:t> </w:t>
      </w:r>
      <w:r>
        <w:rPr>
          <w:sz w:val="25"/>
        </w:rPr>
        <w:t>judgment.</w:t>
      </w:r>
    </w:p>
    <w:p>
      <w:pPr>
        <w:pStyle w:val="ListParagraph"/>
        <w:numPr>
          <w:ilvl w:val="1"/>
          <w:numId w:val="79"/>
        </w:numPr>
        <w:tabs>
          <w:tab w:pos="1941" w:val="left" w:leader="none"/>
        </w:tabs>
        <w:spacing w:line="477" w:lineRule="auto" w:before="7" w:after="0"/>
        <w:ind w:left="1940" w:right="435" w:hanging="720"/>
        <w:jc w:val="both"/>
        <w:rPr>
          <w:sz w:val="25"/>
        </w:rPr>
      </w:pPr>
      <w:r>
        <w:rPr>
          <w:b/>
          <w:sz w:val="25"/>
        </w:rPr>
        <w:t>Justice Sudhir Agarwal </w:t>
      </w:r>
      <w:r>
        <w:rPr>
          <w:sz w:val="25"/>
        </w:rPr>
        <w:t>– suit held not maintainable. Upon the attachment of the property under Section 145 of the CrPC 1898, the plaintiffs could have filed an objection before the Magistrate. The plaintiff did not file any objections or seek any declaration of title, in the absence of which the civil judge could not have directed the handing over of charge by the receiver to the</w:t>
      </w:r>
      <w:r>
        <w:rPr>
          <w:spacing w:val="-6"/>
          <w:sz w:val="25"/>
        </w:rPr>
        <w:t> </w:t>
      </w:r>
      <w:r>
        <w:rPr>
          <w:sz w:val="25"/>
        </w:rPr>
        <w:t>plaintiff.</w:t>
      </w:r>
    </w:p>
    <w:p>
      <w:pPr>
        <w:pStyle w:val="ListParagraph"/>
        <w:numPr>
          <w:ilvl w:val="1"/>
          <w:numId w:val="79"/>
        </w:numPr>
        <w:tabs>
          <w:tab w:pos="1941" w:val="left" w:leader="none"/>
        </w:tabs>
        <w:spacing w:line="465" w:lineRule="auto" w:before="0" w:after="0"/>
        <w:ind w:left="1940" w:right="440" w:hanging="720"/>
        <w:jc w:val="both"/>
        <w:rPr>
          <w:sz w:val="25"/>
        </w:rPr>
      </w:pPr>
      <w:r>
        <w:rPr>
          <w:b/>
          <w:sz w:val="25"/>
        </w:rPr>
        <w:t>Justice D V Sharma </w:t>
      </w:r>
      <w:r>
        <w:rPr>
          <w:sz w:val="25"/>
        </w:rPr>
        <w:t>– The issue is decided in favour of the plaintiffs.</w:t>
      </w:r>
    </w:p>
    <w:p>
      <w:pPr>
        <w:pStyle w:val="Heading5"/>
        <w:numPr>
          <w:ilvl w:val="0"/>
          <w:numId w:val="79"/>
        </w:numPr>
        <w:tabs>
          <w:tab w:pos="1220" w:val="left" w:leader="none"/>
          <w:tab w:pos="1221" w:val="left" w:leader="none"/>
        </w:tabs>
        <w:spacing w:line="240" w:lineRule="auto" w:before="210" w:after="0"/>
        <w:ind w:left="1220" w:right="0" w:hanging="721"/>
        <w:jc w:val="left"/>
      </w:pPr>
      <w:r>
        <w:rPr/>
        <w:t>Is the suit property valued and court-fee paid</w:t>
      </w:r>
      <w:r>
        <w:rPr>
          <w:spacing w:val="-8"/>
        </w:rPr>
        <w:t> </w:t>
      </w:r>
      <w:r>
        <w:rPr/>
        <w:t>sufficient?</w:t>
      </w:r>
    </w:p>
    <w:p>
      <w:pPr>
        <w:pStyle w:val="BodyText"/>
        <w:spacing w:before="1"/>
        <w:rPr>
          <w:b/>
        </w:rPr>
      </w:pPr>
    </w:p>
    <w:p>
      <w:pPr>
        <w:pStyle w:val="ListParagraph"/>
        <w:numPr>
          <w:ilvl w:val="1"/>
          <w:numId w:val="79"/>
        </w:numPr>
        <w:tabs>
          <w:tab w:pos="1940" w:val="left" w:leader="none"/>
          <w:tab w:pos="1941" w:val="left" w:leader="none"/>
        </w:tabs>
        <w:spacing w:line="465" w:lineRule="auto" w:before="0" w:after="0"/>
        <w:ind w:left="1940" w:right="441" w:hanging="809"/>
        <w:jc w:val="both"/>
        <w:rPr>
          <w:sz w:val="25"/>
        </w:rPr>
      </w:pPr>
      <w:r>
        <w:rPr>
          <w:b/>
          <w:sz w:val="25"/>
        </w:rPr>
        <w:t>Justice Sudhir Agarwal – </w:t>
      </w:r>
      <w:r>
        <w:rPr>
          <w:sz w:val="25"/>
        </w:rPr>
        <w:t>answered in favour of the plaintiffs as  not</w:t>
      </w:r>
      <w:r>
        <w:rPr>
          <w:spacing w:val="-2"/>
          <w:sz w:val="25"/>
        </w:rPr>
        <w:t> </w:t>
      </w:r>
      <w:r>
        <w:rPr>
          <w:sz w:val="25"/>
        </w:rPr>
        <w:t>pressed.</w:t>
      </w:r>
    </w:p>
    <w:p>
      <w:pPr>
        <w:spacing w:after="0" w:line="465" w:lineRule="auto"/>
        <w:jc w:val="both"/>
        <w:rPr>
          <w:sz w:val="25"/>
        </w:rPr>
        <w:sectPr>
          <w:pgSz w:w="11910" w:h="16840"/>
          <w:pgMar w:header="721" w:footer="1014" w:top="1300" w:bottom="1200" w:left="940" w:right="1000"/>
        </w:sectPr>
      </w:pPr>
    </w:p>
    <w:p>
      <w:pPr>
        <w:pStyle w:val="Heading5"/>
        <w:numPr>
          <w:ilvl w:val="0"/>
          <w:numId w:val="79"/>
        </w:numPr>
        <w:tabs>
          <w:tab w:pos="1220" w:val="left" w:leader="none"/>
          <w:tab w:pos="1221" w:val="left" w:leader="none"/>
        </w:tabs>
        <w:spacing w:line="240" w:lineRule="auto" w:before="121" w:after="0"/>
        <w:ind w:left="1220" w:right="0" w:hanging="721"/>
        <w:jc w:val="left"/>
      </w:pPr>
      <w:r>
        <w:rPr/>
        <w:t>Is the suit bad for want of notice u/s 83 of U.P. </w:t>
      </w:r>
      <w:r>
        <w:rPr>
          <w:spacing w:val="-3"/>
        </w:rPr>
        <w:t>Act </w:t>
      </w:r>
      <w:r>
        <w:rPr/>
        <w:t>13 of</w:t>
      </w:r>
      <w:r>
        <w:rPr>
          <w:spacing w:val="-7"/>
        </w:rPr>
        <w:t> </w:t>
      </w:r>
      <w:r>
        <w:rPr/>
        <w:t>1936?</w:t>
      </w:r>
    </w:p>
    <w:p>
      <w:pPr>
        <w:pStyle w:val="BodyText"/>
        <w:spacing w:before="1"/>
        <w:rPr>
          <w:b/>
        </w:rPr>
      </w:pPr>
    </w:p>
    <w:p>
      <w:pPr>
        <w:pStyle w:val="ListParagraph"/>
        <w:numPr>
          <w:ilvl w:val="1"/>
          <w:numId w:val="79"/>
        </w:numPr>
        <w:tabs>
          <w:tab w:pos="1941" w:val="left" w:leader="none"/>
        </w:tabs>
        <w:spacing w:line="240" w:lineRule="auto" w:before="0" w:after="0"/>
        <w:ind w:left="1940" w:right="0" w:hanging="721"/>
        <w:jc w:val="both"/>
        <w:rPr>
          <w:sz w:val="25"/>
        </w:rPr>
      </w:pPr>
      <w:r>
        <w:rPr>
          <w:b/>
          <w:sz w:val="25"/>
        </w:rPr>
        <w:t>Justice Sudhir Agarwal </w:t>
      </w:r>
      <w:r>
        <w:rPr>
          <w:sz w:val="25"/>
        </w:rPr>
        <w:t>– </w:t>
      </w:r>
      <w:r>
        <w:rPr>
          <w:b/>
          <w:sz w:val="25"/>
        </w:rPr>
        <w:t>– </w:t>
      </w:r>
      <w:r>
        <w:rPr>
          <w:sz w:val="25"/>
        </w:rPr>
        <w:t>answered in the negative.</w:t>
      </w:r>
    </w:p>
    <w:p>
      <w:pPr>
        <w:pStyle w:val="BodyText"/>
        <w:rPr>
          <w:sz w:val="42"/>
        </w:rPr>
      </w:pPr>
    </w:p>
    <w:p>
      <w:pPr>
        <w:pStyle w:val="Heading5"/>
        <w:numPr>
          <w:ilvl w:val="0"/>
          <w:numId w:val="79"/>
        </w:numPr>
        <w:tabs>
          <w:tab w:pos="1221" w:val="left" w:leader="none"/>
        </w:tabs>
        <w:spacing w:line="480" w:lineRule="auto" w:before="1" w:after="0"/>
        <w:ind w:left="1220" w:right="442" w:hanging="720"/>
        <w:jc w:val="both"/>
      </w:pPr>
      <w:r>
        <w:rPr/>
        <w:t>Whether Nirmohi Akhara, the Plaintiff, is a Panchayati Math of Ramanand sect of Bairagis and as such, is a religious denomination following its religious faith and per suit according to its own customs? (added by Hon‘ble High Court‘s order dated 23 February 1996)</w:t>
      </w:r>
    </w:p>
    <w:p>
      <w:pPr>
        <w:pStyle w:val="ListParagraph"/>
        <w:numPr>
          <w:ilvl w:val="1"/>
          <w:numId w:val="79"/>
        </w:numPr>
        <w:tabs>
          <w:tab w:pos="1941" w:val="left" w:leader="none"/>
        </w:tabs>
        <w:spacing w:line="240" w:lineRule="auto" w:before="1" w:after="0"/>
        <w:ind w:left="1940" w:right="0" w:hanging="721"/>
        <w:jc w:val="both"/>
        <w:rPr>
          <w:sz w:val="25"/>
        </w:rPr>
      </w:pPr>
      <w:r>
        <w:rPr>
          <w:b/>
          <w:sz w:val="25"/>
        </w:rPr>
        <w:t>Justice Sudhir Agarwal – </w:t>
      </w:r>
      <w:r>
        <w:rPr>
          <w:sz w:val="25"/>
        </w:rPr>
        <w:t>answered in favour of the</w:t>
      </w:r>
      <w:r>
        <w:rPr>
          <w:spacing w:val="-15"/>
          <w:sz w:val="25"/>
        </w:rPr>
        <w:t> </w:t>
      </w:r>
      <w:r>
        <w:rPr>
          <w:sz w:val="25"/>
        </w:rPr>
        <w:t>plaintiffs.</w:t>
      </w:r>
    </w:p>
    <w:p>
      <w:pPr>
        <w:pStyle w:val="BodyText"/>
        <w:spacing w:before="10"/>
        <w:rPr>
          <w:sz w:val="24"/>
        </w:rPr>
      </w:pPr>
    </w:p>
    <w:p>
      <w:pPr>
        <w:pStyle w:val="ListParagraph"/>
        <w:numPr>
          <w:ilvl w:val="1"/>
          <w:numId w:val="79"/>
        </w:numPr>
        <w:tabs>
          <w:tab w:pos="1941" w:val="left" w:leader="none"/>
        </w:tabs>
        <w:spacing w:line="240" w:lineRule="auto" w:before="0" w:after="0"/>
        <w:ind w:left="1940" w:right="0" w:hanging="721"/>
        <w:jc w:val="both"/>
        <w:rPr>
          <w:sz w:val="25"/>
        </w:rPr>
      </w:pPr>
      <w:r>
        <w:rPr>
          <w:b/>
          <w:sz w:val="25"/>
        </w:rPr>
        <w:t>Justice D V Sharma – </w:t>
      </w:r>
      <w:r>
        <w:rPr>
          <w:sz w:val="25"/>
        </w:rPr>
        <w:t>answered held in favour of the</w:t>
      </w:r>
      <w:r>
        <w:rPr>
          <w:spacing w:val="-18"/>
          <w:sz w:val="25"/>
        </w:rPr>
        <w:t> </w:t>
      </w:r>
      <w:r>
        <w:rPr>
          <w:sz w:val="25"/>
        </w:rPr>
        <w:t>plaintiffs.</w:t>
      </w:r>
    </w:p>
    <w:p>
      <w:pPr>
        <w:pStyle w:val="BodyText"/>
        <w:rPr>
          <w:sz w:val="30"/>
        </w:rPr>
      </w:pPr>
    </w:p>
    <w:p>
      <w:pPr>
        <w:pStyle w:val="BodyText"/>
        <w:spacing w:before="6"/>
        <w:rPr>
          <w:sz w:val="37"/>
        </w:rPr>
      </w:pPr>
    </w:p>
    <w:p>
      <w:pPr>
        <w:pStyle w:val="Heading3"/>
        <w:numPr>
          <w:ilvl w:val="1"/>
          <w:numId w:val="56"/>
        </w:numPr>
        <w:tabs>
          <w:tab w:pos="1220" w:val="left" w:leader="none"/>
          <w:tab w:pos="1221" w:val="left" w:leader="none"/>
        </w:tabs>
        <w:spacing w:line="240" w:lineRule="auto" w:before="0" w:after="0"/>
        <w:ind w:left="1220" w:right="0" w:hanging="721"/>
        <w:jc w:val="left"/>
      </w:pPr>
      <w:r>
        <w:rPr/>
        <w:t>Limitation in Suit</w:t>
      </w:r>
      <w:r>
        <w:rPr>
          <w:spacing w:val="-4"/>
        </w:rPr>
        <w:t> </w:t>
      </w:r>
      <w:r>
        <w:rPr/>
        <w:t>3</w:t>
      </w:r>
    </w:p>
    <w:p>
      <w:pPr>
        <w:pStyle w:val="BodyText"/>
        <w:rPr>
          <w:b/>
          <w:sz w:val="28"/>
        </w:rPr>
      </w:pPr>
    </w:p>
    <w:p>
      <w:pPr>
        <w:pStyle w:val="ListParagraph"/>
        <w:numPr>
          <w:ilvl w:val="0"/>
          <w:numId w:val="3"/>
        </w:numPr>
        <w:tabs>
          <w:tab w:pos="1221" w:val="left" w:leader="none"/>
        </w:tabs>
        <w:spacing w:line="480" w:lineRule="auto" w:before="217" w:after="0"/>
        <w:ind w:left="500" w:right="436" w:firstLine="0"/>
        <w:jc w:val="both"/>
        <w:rPr>
          <w:sz w:val="25"/>
        </w:rPr>
      </w:pPr>
      <w:r>
        <w:rPr>
          <w:sz w:val="25"/>
        </w:rPr>
        <w:t>Suit 3 was instituted on 17 December 1959. The Limitation Act of 1908 was in force on the date of the institution of the Suit. Section 3 of the Limitation Act provides that subject to the provisions contained in Sections 4 to 25 (inclusive) every suit instituted, appeal preferred, and application made, after the period of limitation prescribed by the first schedule shall be dismissed, although limitation has not been set up as a defence. Section 31(b)</w:t>
      </w:r>
      <w:r>
        <w:rPr>
          <w:sz w:val="25"/>
          <w:vertAlign w:val="superscript"/>
        </w:rPr>
        <w:t>125</w:t>
      </w:r>
      <w:r>
        <w:rPr>
          <w:sz w:val="25"/>
          <w:vertAlign w:val="baseline"/>
        </w:rPr>
        <w:t> of the Limitation Act 1963 saves suits, appeals and applications which were pending on the date of its commencement from the application of the legislation. As a result, the issue of limitation for the purpose of Suit 3 is governed by the Limitation Act</w:t>
      </w:r>
      <w:r>
        <w:rPr>
          <w:spacing w:val="-17"/>
          <w:sz w:val="25"/>
          <w:vertAlign w:val="baseline"/>
        </w:rPr>
        <w:t> </w:t>
      </w:r>
      <w:r>
        <w:rPr>
          <w:sz w:val="25"/>
          <w:vertAlign w:val="baseline"/>
        </w:rPr>
        <w:t>1908.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pict>
          <v:rect style="position:absolute;margin-left:72.024002pt;margin-top:18.681854pt;width:144.020pt;height:.60004pt;mso-position-horizontal-relative:page;mso-position-vertical-relative:paragraph;z-index:-15691264;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125</w:t>
      </w:r>
      <w:r>
        <w:rPr>
          <w:sz w:val="18"/>
          <w:vertAlign w:val="baseline"/>
        </w:rPr>
        <w:t> Section 31. Provisions as to barred or pending suits, etc...</w:t>
      </w:r>
    </w:p>
    <w:p>
      <w:pPr>
        <w:spacing w:before="0"/>
        <w:ind w:left="500" w:right="512" w:firstLine="0"/>
        <w:jc w:val="left"/>
        <w:rPr>
          <w:sz w:val="18"/>
        </w:rPr>
      </w:pPr>
      <w:r>
        <w:rPr>
          <w:sz w:val="18"/>
        </w:rPr>
        <w:t>(b) affect any suit, appeal or application instituted, preferred or made before, and pending at, such commencement.</w:t>
      </w:r>
    </w:p>
    <w:p>
      <w:pPr>
        <w:spacing w:after="0"/>
        <w:jc w:val="left"/>
        <w:rPr>
          <w:sz w:val="18"/>
        </w:rPr>
        <w:sectPr>
          <w:pgSz w:w="11910" w:h="16840"/>
          <w:pgMar w:header="721" w:footer="1014" w:top="1300" w:bottom="1200" w:left="940" w:right="1000"/>
        </w:sectPr>
      </w:pPr>
    </w:p>
    <w:p>
      <w:pPr>
        <w:pStyle w:val="BodyText"/>
        <w:spacing w:line="480" w:lineRule="auto" w:before="124"/>
        <w:ind w:left="500"/>
      </w:pPr>
      <w:r>
        <w:rPr/>
        <w:t>By a split 2:1 verdict, the High Court held that Suit 3 was barred by limitation, the dissenting judge on this issue being Justice S U Khan.</w:t>
      </w:r>
    </w:p>
    <w:p>
      <w:pPr>
        <w:pStyle w:val="BodyText"/>
      </w:pPr>
    </w:p>
    <w:p>
      <w:pPr>
        <w:pStyle w:val="ListParagraph"/>
        <w:numPr>
          <w:ilvl w:val="0"/>
          <w:numId w:val="3"/>
        </w:numPr>
        <w:tabs>
          <w:tab w:pos="1221" w:val="left" w:leader="none"/>
        </w:tabs>
        <w:spacing w:line="480" w:lineRule="auto" w:before="0" w:after="4"/>
        <w:ind w:left="500" w:right="444" w:firstLine="0"/>
        <w:jc w:val="both"/>
        <w:rPr>
          <w:sz w:val="25"/>
        </w:rPr>
      </w:pPr>
      <w:r>
        <w:rPr>
          <w:sz w:val="25"/>
        </w:rPr>
        <w:t>Three articles of the schedule to the Limitation Act 1908 have been pressed in aid and the issue is which of those articles would stand attracted. The relevant articles are Articles 47, 120 and 142. These articles are extracted in the table</w:t>
      </w:r>
      <w:r>
        <w:rPr>
          <w:spacing w:val="-2"/>
          <w:sz w:val="25"/>
        </w:rPr>
        <w:t> </w:t>
      </w:r>
      <w:r>
        <w:rPr>
          <w:sz w:val="25"/>
        </w:rPr>
        <w:t>below:</w:t>
      </w:r>
    </w:p>
    <w:tbl>
      <w:tblPr>
        <w:tblW w:w="0" w:type="auto"/>
        <w:jc w:val="left"/>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0"/>
        <w:gridCol w:w="3082"/>
        <w:gridCol w:w="3082"/>
      </w:tblGrid>
      <w:tr>
        <w:trPr>
          <w:trHeight w:val="724" w:hRule="atLeast"/>
        </w:trPr>
        <w:tc>
          <w:tcPr>
            <w:tcW w:w="3080" w:type="dxa"/>
            <w:shd w:val="clear" w:color="auto" w:fill="BEBEBE"/>
          </w:tcPr>
          <w:p>
            <w:pPr>
              <w:pStyle w:val="TableParagraph"/>
              <w:spacing w:line="236" w:lineRule="exact"/>
              <w:rPr>
                <w:b/>
                <w:sz w:val="21"/>
              </w:rPr>
            </w:pPr>
            <w:r>
              <w:rPr>
                <w:b/>
                <w:sz w:val="21"/>
              </w:rPr>
              <w:t>Description of suit</w:t>
            </w:r>
          </w:p>
        </w:tc>
        <w:tc>
          <w:tcPr>
            <w:tcW w:w="3082" w:type="dxa"/>
            <w:shd w:val="clear" w:color="auto" w:fill="BEBEBE"/>
          </w:tcPr>
          <w:p>
            <w:pPr>
              <w:pStyle w:val="TableParagraph"/>
              <w:spacing w:line="236" w:lineRule="exact"/>
              <w:rPr>
                <w:b/>
                <w:sz w:val="21"/>
              </w:rPr>
            </w:pPr>
            <w:r>
              <w:rPr>
                <w:b/>
                <w:sz w:val="21"/>
              </w:rPr>
              <w:t>Period of limitation</w:t>
            </w:r>
          </w:p>
        </w:tc>
        <w:tc>
          <w:tcPr>
            <w:tcW w:w="3082" w:type="dxa"/>
            <w:shd w:val="clear" w:color="auto" w:fill="BEBEBE"/>
          </w:tcPr>
          <w:p>
            <w:pPr>
              <w:pStyle w:val="TableParagraph"/>
              <w:spacing w:line="236" w:lineRule="exact"/>
              <w:rPr>
                <w:b/>
                <w:sz w:val="21"/>
              </w:rPr>
            </w:pPr>
            <w:r>
              <w:rPr>
                <w:b/>
                <w:sz w:val="21"/>
              </w:rPr>
              <w:t>Time from which period</w:t>
            </w:r>
          </w:p>
          <w:p>
            <w:pPr>
              <w:pStyle w:val="TableParagraph"/>
              <w:spacing w:before="121"/>
              <w:rPr>
                <w:b/>
                <w:sz w:val="21"/>
              </w:rPr>
            </w:pPr>
            <w:r>
              <w:rPr>
                <w:b/>
                <w:sz w:val="21"/>
              </w:rPr>
              <w:t>begins to run</w:t>
            </w:r>
          </w:p>
        </w:tc>
      </w:tr>
      <w:tr>
        <w:trPr>
          <w:trHeight w:val="3624" w:hRule="atLeast"/>
        </w:trPr>
        <w:tc>
          <w:tcPr>
            <w:tcW w:w="3080" w:type="dxa"/>
          </w:tcPr>
          <w:p>
            <w:pPr>
              <w:pStyle w:val="TableParagraph"/>
              <w:spacing w:line="360" w:lineRule="auto"/>
              <w:ind w:right="97"/>
              <w:rPr>
                <w:sz w:val="21"/>
              </w:rPr>
            </w:pPr>
            <w:r>
              <w:rPr>
                <w:sz w:val="21"/>
              </w:rPr>
              <w:t>47. By any person bound by an order respecting the possession of immoveable property made under the Code of Criminal Procedure, 1898, or the Mamlatdars Courts Act, 1906, or by any one claiming under such person, to recover the property comprised</w:t>
            </w:r>
            <w:r>
              <w:rPr>
                <w:spacing w:val="-6"/>
                <w:sz w:val="21"/>
              </w:rPr>
              <w:t> </w:t>
            </w:r>
            <w:r>
              <w:rPr>
                <w:sz w:val="21"/>
              </w:rPr>
              <w:t>in</w:t>
            </w:r>
          </w:p>
          <w:p>
            <w:pPr>
              <w:pStyle w:val="TableParagraph"/>
              <w:rPr>
                <w:sz w:val="21"/>
              </w:rPr>
            </w:pPr>
            <w:r>
              <w:rPr>
                <w:sz w:val="21"/>
              </w:rPr>
              <w:t>such order.</w:t>
            </w:r>
          </w:p>
        </w:tc>
        <w:tc>
          <w:tcPr>
            <w:tcW w:w="3082" w:type="dxa"/>
          </w:tcPr>
          <w:p>
            <w:pPr>
              <w:pStyle w:val="TableParagraph"/>
              <w:spacing w:line="236" w:lineRule="exact"/>
              <w:rPr>
                <w:sz w:val="21"/>
              </w:rPr>
            </w:pPr>
            <w:r>
              <w:rPr>
                <w:sz w:val="21"/>
              </w:rPr>
              <w:t>[Three years]</w:t>
            </w:r>
          </w:p>
        </w:tc>
        <w:tc>
          <w:tcPr>
            <w:tcW w:w="3082" w:type="dxa"/>
          </w:tcPr>
          <w:p>
            <w:pPr>
              <w:pStyle w:val="TableParagraph"/>
              <w:spacing w:line="360" w:lineRule="auto"/>
              <w:ind w:right="318"/>
              <w:rPr>
                <w:sz w:val="21"/>
              </w:rPr>
            </w:pPr>
            <w:r>
              <w:rPr>
                <w:sz w:val="21"/>
              </w:rPr>
              <w:t>The date of the final order in the case.</w:t>
            </w:r>
          </w:p>
        </w:tc>
      </w:tr>
      <w:tr>
        <w:trPr>
          <w:trHeight w:val="1086" w:hRule="atLeast"/>
        </w:trPr>
        <w:tc>
          <w:tcPr>
            <w:tcW w:w="3080" w:type="dxa"/>
          </w:tcPr>
          <w:p>
            <w:pPr>
              <w:pStyle w:val="TableParagraph"/>
              <w:spacing w:line="360" w:lineRule="auto"/>
              <w:ind w:right="281"/>
              <w:rPr>
                <w:sz w:val="21"/>
              </w:rPr>
            </w:pPr>
            <w:r>
              <w:rPr>
                <w:sz w:val="21"/>
              </w:rPr>
              <w:t>120. Suit for which no period of limitation is provided</w:t>
            </w:r>
          </w:p>
          <w:p>
            <w:pPr>
              <w:pStyle w:val="TableParagraph"/>
              <w:rPr>
                <w:sz w:val="21"/>
              </w:rPr>
            </w:pPr>
            <w:r>
              <w:rPr>
                <w:sz w:val="21"/>
              </w:rPr>
              <w:t>elsewhere in this schedule.</w:t>
            </w:r>
          </w:p>
        </w:tc>
        <w:tc>
          <w:tcPr>
            <w:tcW w:w="3082" w:type="dxa"/>
          </w:tcPr>
          <w:p>
            <w:pPr>
              <w:pStyle w:val="TableParagraph"/>
              <w:spacing w:line="236" w:lineRule="exact"/>
              <w:rPr>
                <w:sz w:val="21"/>
              </w:rPr>
            </w:pPr>
            <w:r>
              <w:rPr>
                <w:sz w:val="21"/>
              </w:rPr>
              <w:t>[Six years]</w:t>
            </w:r>
          </w:p>
        </w:tc>
        <w:tc>
          <w:tcPr>
            <w:tcW w:w="3082" w:type="dxa"/>
          </w:tcPr>
          <w:p>
            <w:pPr>
              <w:pStyle w:val="TableParagraph"/>
              <w:spacing w:line="236" w:lineRule="exact"/>
              <w:rPr>
                <w:sz w:val="21"/>
              </w:rPr>
            </w:pPr>
            <w:r>
              <w:rPr>
                <w:sz w:val="21"/>
              </w:rPr>
              <w:t>When the right to sue accrues.</w:t>
            </w:r>
          </w:p>
        </w:tc>
      </w:tr>
      <w:tr>
        <w:trPr>
          <w:trHeight w:val="2172" w:hRule="atLeast"/>
        </w:trPr>
        <w:tc>
          <w:tcPr>
            <w:tcW w:w="3080" w:type="dxa"/>
          </w:tcPr>
          <w:p>
            <w:pPr>
              <w:pStyle w:val="TableParagraph"/>
              <w:spacing w:line="360" w:lineRule="auto"/>
              <w:ind w:right="120"/>
              <w:rPr>
                <w:sz w:val="21"/>
              </w:rPr>
            </w:pPr>
            <w:r>
              <w:rPr>
                <w:sz w:val="21"/>
              </w:rPr>
              <w:t>142. For possession of immoveable property when the plaintiff, while in possession of the property, has been dispossessed or</w:t>
            </w:r>
            <w:r>
              <w:rPr>
                <w:spacing w:val="-3"/>
                <w:sz w:val="21"/>
              </w:rPr>
              <w:t> </w:t>
            </w:r>
            <w:r>
              <w:rPr>
                <w:spacing w:val="-4"/>
                <w:sz w:val="21"/>
              </w:rPr>
              <w:t>has</w:t>
            </w:r>
          </w:p>
          <w:p>
            <w:pPr>
              <w:pStyle w:val="TableParagraph"/>
              <w:spacing w:line="241" w:lineRule="exact"/>
              <w:rPr>
                <w:sz w:val="21"/>
              </w:rPr>
            </w:pPr>
            <w:r>
              <w:rPr>
                <w:sz w:val="21"/>
              </w:rPr>
              <w:t>discontinued the possession.</w:t>
            </w:r>
          </w:p>
        </w:tc>
        <w:tc>
          <w:tcPr>
            <w:tcW w:w="3082" w:type="dxa"/>
          </w:tcPr>
          <w:p>
            <w:pPr>
              <w:pStyle w:val="TableParagraph"/>
              <w:spacing w:line="236" w:lineRule="exact"/>
              <w:rPr>
                <w:sz w:val="21"/>
              </w:rPr>
            </w:pPr>
            <w:r>
              <w:rPr>
                <w:sz w:val="21"/>
              </w:rPr>
              <w:t>[Twelve years]</w:t>
            </w:r>
          </w:p>
        </w:tc>
        <w:tc>
          <w:tcPr>
            <w:tcW w:w="3082" w:type="dxa"/>
          </w:tcPr>
          <w:p>
            <w:pPr>
              <w:pStyle w:val="TableParagraph"/>
              <w:spacing w:line="360" w:lineRule="auto"/>
              <w:ind w:right="154"/>
              <w:rPr>
                <w:sz w:val="21"/>
              </w:rPr>
            </w:pPr>
            <w:r>
              <w:rPr>
                <w:sz w:val="21"/>
              </w:rPr>
              <w:t>The date of the dispossession or discontinuance.</w:t>
            </w:r>
          </w:p>
        </w:tc>
      </w:tr>
    </w:tbl>
    <w:p>
      <w:pPr>
        <w:pStyle w:val="BodyText"/>
        <w:rPr>
          <w:sz w:val="28"/>
        </w:rPr>
      </w:pPr>
    </w:p>
    <w:p>
      <w:pPr>
        <w:pStyle w:val="BodyText"/>
        <w:rPr>
          <w:sz w:val="23"/>
        </w:rPr>
      </w:pPr>
    </w:p>
    <w:p>
      <w:pPr>
        <w:pStyle w:val="Heading4"/>
        <w:jc w:val="left"/>
        <w:rPr>
          <w:i/>
        </w:rPr>
      </w:pPr>
      <w:r>
        <w:rPr>
          <w:i/>
        </w:rPr>
        <w:t>Relevant dates</w:t>
      </w:r>
    </w:p>
    <w:p>
      <w:pPr>
        <w:pStyle w:val="BodyText"/>
        <w:rPr>
          <w:i/>
          <w:sz w:val="28"/>
        </w:rPr>
      </w:pPr>
    </w:p>
    <w:p>
      <w:pPr>
        <w:pStyle w:val="BodyText"/>
        <w:spacing w:before="9"/>
        <w:rPr>
          <w:i/>
          <w:sz w:val="23"/>
        </w:rPr>
      </w:pPr>
    </w:p>
    <w:p>
      <w:pPr>
        <w:pStyle w:val="ListParagraph"/>
        <w:numPr>
          <w:ilvl w:val="0"/>
          <w:numId w:val="3"/>
        </w:numPr>
        <w:tabs>
          <w:tab w:pos="1221" w:val="left" w:leader="none"/>
        </w:tabs>
        <w:spacing w:line="480" w:lineRule="auto" w:before="0" w:after="0"/>
        <w:ind w:left="500" w:right="445" w:firstLine="0"/>
        <w:jc w:val="both"/>
        <w:rPr>
          <w:sz w:val="25"/>
        </w:rPr>
      </w:pPr>
      <w:r>
        <w:rPr>
          <w:sz w:val="25"/>
        </w:rPr>
        <w:t>Before we enter upon the issue of limitation, it is necessary to recapitulate the relevant dates bearing on the issue. They are as</w:t>
      </w:r>
      <w:r>
        <w:rPr>
          <w:spacing w:val="-11"/>
          <w:sz w:val="25"/>
        </w:rPr>
        <w:t> </w:t>
      </w:r>
      <w:r>
        <w:rPr>
          <w:sz w:val="25"/>
        </w:rPr>
        <w:t>follows:</w:t>
      </w:r>
    </w:p>
    <w:p>
      <w:pPr>
        <w:spacing w:after="0" w:line="480" w:lineRule="auto"/>
        <w:jc w:val="both"/>
        <w:rPr>
          <w:sz w:val="25"/>
        </w:rPr>
        <w:sectPr>
          <w:pgSz w:w="11910" w:h="16840"/>
          <w:pgMar w:header="721" w:footer="1014" w:top="1300" w:bottom="1200" w:left="940" w:right="1000"/>
        </w:sectPr>
      </w:pPr>
    </w:p>
    <w:p>
      <w:pPr>
        <w:pStyle w:val="ListParagraph"/>
        <w:numPr>
          <w:ilvl w:val="0"/>
          <w:numId w:val="80"/>
        </w:numPr>
        <w:tabs>
          <w:tab w:pos="1221" w:val="left" w:leader="none"/>
        </w:tabs>
        <w:spacing w:line="480" w:lineRule="auto" w:before="124" w:after="0"/>
        <w:ind w:left="1220" w:right="442" w:hanging="720"/>
        <w:jc w:val="both"/>
        <w:rPr>
          <w:sz w:val="25"/>
        </w:rPr>
      </w:pPr>
      <w:r>
        <w:rPr>
          <w:sz w:val="25"/>
        </w:rPr>
        <w:t>On 29 December 1949, a preliminary order was passed under Section 145 of the CrPC 1898 by the Additional City Magistrate and while ordering attachment, a receiver was</w:t>
      </w:r>
      <w:r>
        <w:rPr>
          <w:spacing w:val="-3"/>
          <w:sz w:val="25"/>
        </w:rPr>
        <w:t> </w:t>
      </w:r>
      <w:r>
        <w:rPr>
          <w:sz w:val="25"/>
        </w:rPr>
        <w:t>appointed;</w:t>
      </w:r>
    </w:p>
    <w:p>
      <w:pPr>
        <w:pStyle w:val="ListParagraph"/>
        <w:numPr>
          <w:ilvl w:val="0"/>
          <w:numId w:val="80"/>
        </w:numPr>
        <w:tabs>
          <w:tab w:pos="1221" w:val="left" w:leader="none"/>
        </w:tabs>
        <w:spacing w:line="480" w:lineRule="auto" w:before="0" w:after="0"/>
        <w:ind w:left="1220" w:right="438" w:hanging="720"/>
        <w:jc w:val="both"/>
        <w:rPr>
          <w:sz w:val="25"/>
        </w:rPr>
      </w:pPr>
      <w:r>
        <w:rPr>
          <w:sz w:val="25"/>
        </w:rPr>
        <w:t>On 5 January 1950, the receiver took charge and made an inventory of the attached</w:t>
      </w:r>
      <w:r>
        <w:rPr>
          <w:spacing w:val="-1"/>
          <w:sz w:val="25"/>
        </w:rPr>
        <w:t> </w:t>
      </w:r>
      <w:r>
        <w:rPr>
          <w:sz w:val="25"/>
        </w:rPr>
        <w:t>properties;</w:t>
      </w:r>
    </w:p>
    <w:p>
      <w:pPr>
        <w:pStyle w:val="ListParagraph"/>
        <w:numPr>
          <w:ilvl w:val="0"/>
          <w:numId w:val="80"/>
        </w:numPr>
        <w:tabs>
          <w:tab w:pos="1221" w:val="left" w:leader="none"/>
        </w:tabs>
        <w:spacing w:line="480" w:lineRule="auto" w:before="0" w:after="0"/>
        <w:ind w:left="1220" w:right="434" w:hanging="720"/>
        <w:jc w:val="both"/>
        <w:rPr>
          <w:sz w:val="25"/>
        </w:rPr>
      </w:pPr>
      <w:r>
        <w:rPr>
          <w:sz w:val="25"/>
        </w:rPr>
        <w:t>On 16 January 1950, Suit 1 was instituted by Gopal Singh Visharad seeking a declaration that he was entitled to worship and offer prayers at the main Janmabhumi near the idols. On the same date, an </w:t>
      </w:r>
      <w:r>
        <w:rPr>
          <w:i/>
          <w:sz w:val="25"/>
        </w:rPr>
        <w:t>ad interim </w:t>
      </w:r>
      <w:r>
        <w:rPr>
          <w:sz w:val="25"/>
        </w:rPr>
        <w:t>injunction was granted in the</w:t>
      </w:r>
      <w:r>
        <w:rPr>
          <w:spacing w:val="-3"/>
          <w:sz w:val="25"/>
        </w:rPr>
        <w:t> </w:t>
      </w:r>
      <w:r>
        <w:rPr>
          <w:sz w:val="25"/>
        </w:rPr>
        <w:t>Suit;</w:t>
      </w:r>
    </w:p>
    <w:p>
      <w:pPr>
        <w:pStyle w:val="ListParagraph"/>
        <w:numPr>
          <w:ilvl w:val="0"/>
          <w:numId w:val="80"/>
        </w:numPr>
        <w:tabs>
          <w:tab w:pos="1221" w:val="left" w:leader="none"/>
        </w:tabs>
        <w:spacing w:line="480" w:lineRule="auto" w:before="0" w:after="0"/>
        <w:ind w:left="1220" w:right="444" w:hanging="720"/>
        <w:jc w:val="both"/>
        <w:rPr>
          <w:sz w:val="25"/>
        </w:rPr>
      </w:pPr>
      <w:r>
        <w:rPr>
          <w:sz w:val="25"/>
        </w:rPr>
        <w:t>On 19 January 1950, the </w:t>
      </w:r>
      <w:r>
        <w:rPr>
          <w:i/>
          <w:sz w:val="25"/>
        </w:rPr>
        <w:t>ad interim </w:t>
      </w:r>
      <w:r>
        <w:rPr>
          <w:sz w:val="25"/>
        </w:rPr>
        <w:t>injunction in Suit 1 was modified in the following</w:t>
      </w:r>
      <w:r>
        <w:rPr>
          <w:spacing w:val="-1"/>
          <w:sz w:val="25"/>
        </w:rPr>
        <w:t> </w:t>
      </w:r>
      <w:r>
        <w:rPr>
          <w:sz w:val="25"/>
        </w:rPr>
        <w:t>terms:</w:t>
      </w:r>
    </w:p>
    <w:p>
      <w:pPr>
        <w:spacing w:line="276" w:lineRule="auto" w:before="200"/>
        <w:ind w:left="1940" w:right="2598" w:firstLine="0"/>
        <w:jc w:val="both"/>
        <w:rPr>
          <w:sz w:val="21"/>
        </w:rPr>
      </w:pPr>
      <w:r>
        <w:rPr>
          <w:w w:val="33"/>
          <w:sz w:val="21"/>
        </w:rPr>
        <w:t>―</w:t>
      </w:r>
      <w:r>
        <w:rPr>
          <w:w w:val="100"/>
          <w:sz w:val="21"/>
        </w:rPr>
        <w:t>The</w:t>
      </w:r>
      <w:r>
        <w:rPr>
          <w:sz w:val="21"/>
        </w:rPr>
        <w:t> </w:t>
      </w:r>
      <w:r>
        <w:rPr>
          <w:w w:val="100"/>
          <w:sz w:val="21"/>
        </w:rPr>
        <w:t>opposite</w:t>
      </w:r>
      <w:r>
        <w:rPr>
          <w:sz w:val="21"/>
        </w:rPr>
        <w:t> </w:t>
      </w:r>
      <w:r>
        <w:rPr>
          <w:w w:val="100"/>
          <w:sz w:val="21"/>
        </w:rPr>
        <w:t>parties</w:t>
      </w:r>
      <w:r>
        <w:rPr>
          <w:sz w:val="21"/>
        </w:rPr>
        <w:t> </w:t>
      </w:r>
      <w:r>
        <w:rPr>
          <w:w w:val="100"/>
          <w:sz w:val="21"/>
        </w:rPr>
        <w:t>are</w:t>
      </w:r>
      <w:r>
        <w:rPr>
          <w:sz w:val="21"/>
        </w:rPr>
        <w:t> </w:t>
      </w:r>
      <w:r>
        <w:rPr>
          <w:w w:val="100"/>
          <w:sz w:val="21"/>
        </w:rPr>
        <w:t>hereby</w:t>
      </w:r>
      <w:r>
        <w:rPr>
          <w:sz w:val="21"/>
        </w:rPr>
        <w:t> </w:t>
      </w:r>
      <w:r>
        <w:rPr>
          <w:w w:val="100"/>
          <w:sz w:val="21"/>
        </w:rPr>
        <w:t>restrained</w:t>
      </w:r>
      <w:r>
        <w:rPr>
          <w:sz w:val="21"/>
        </w:rPr>
        <w:t> </w:t>
      </w:r>
      <w:r>
        <w:rPr>
          <w:w w:val="100"/>
          <w:sz w:val="21"/>
        </w:rPr>
        <w:t>by</w:t>
      </w:r>
      <w:r>
        <w:rPr>
          <w:sz w:val="21"/>
        </w:rPr>
        <w:t> </w:t>
      </w:r>
      <w:r>
        <w:rPr>
          <w:w w:val="100"/>
          <w:sz w:val="21"/>
        </w:rPr>
        <w:t>means</w:t>
      </w:r>
      <w:r>
        <w:rPr>
          <w:sz w:val="21"/>
        </w:rPr>
        <w:t> </w:t>
      </w:r>
      <w:r>
        <w:rPr>
          <w:w w:val="100"/>
          <w:sz w:val="21"/>
        </w:rPr>
        <w:t>of </w:t>
      </w:r>
      <w:r>
        <w:rPr>
          <w:sz w:val="21"/>
        </w:rPr>
        <w:t>temporary injunction to refrain from removing the idols in question from the site in dispute and from interfering with puja etc. as at present carried on. The order dated 16.01.1950 stands modified accordingly.‖</w:t>
      </w:r>
    </w:p>
    <w:p>
      <w:pPr>
        <w:pStyle w:val="BodyText"/>
        <w:spacing w:before="3"/>
        <w:rPr>
          <w:sz w:val="24"/>
        </w:rPr>
      </w:pPr>
    </w:p>
    <w:p>
      <w:pPr>
        <w:pStyle w:val="ListParagraph"/>
        <w:numPr>
          <w:ilvl w:val="0"/>
          <w:numId w:val="80"/>
        </w:numPr>
        <w:tabs>
          <w:tab w:pos="1221" w:val="left" w:leader="none"/>
        </w:tabs>
        <w:spacing w:line="480" w:lineRule="auto" w:before="0" w:after="0"/>
        <w:ind w:left="1220" w:right="448" w:hanging="720"/>
        <w:jc w:val="both"/>
        <w:rPr>
          <w:sz w:val="25"/>
        </w:rPr>
      </w:pPr>
      <w:r>
        <w:rPr>
          <w:sz w:val="25"/>
        </w:rPr>
        <w:t>On 3 March 1951, the order of temporary injunction dated 16 January 1950 as modified on 19 January 1950 was</w:t>
      </w:r>
      <w:r>
        <w:rPr>
          <w:spacing w:val="-5"/>
          <w:sz w:val="25"/>
        </w:rPr>
        <w:t> </w:t>
      </w:r>
      <w:r>
        <w:rPr>
          <w:sz w:val="25"/>
        </w:rPr>
        <w:t>confirmed;</w:t>
      </w:r>
    </w:p>
    <w:p>
      <w:pPr>
        <w:pStyle w:val="ListParagraph"/>
        <w:numPr>
          <w:ilvl w:val="0"/>
          <w:numId w:val="80"/>
        </w:numPr>
        <w:tabs>
          <w:tab w:pos="1221" w:val="left" w:leader="none"/>
        </w:tabs>
        <w:spacing w:line="480" w:lineRule="auto" w:before="0" w:after="0"/>
        <w:ind w:left="1220" w:right="444" w:hanging="720"/>
        <w:jc w:val="both"/>
        <w:rPr>
          <w:sz w:val="25"/>
        </w:rPr>
      </w:pPr>
      <w:r>
        <w:rPr>
          <w:sz w:val="25"/>
        </w:rPr>
        <w:t>On 30 July 1953, the Additional City Magistrate passed the following order in the proceedings under Section</w:t>
      </w:r>
      <w:r>
        <w:rPr>
          <w:spacing w:val="-3"/>
          <w:sz w:val="25"/>
        </w:rPr>
        <w:t> </w:t>
      </w:r>
      <w:r>
        <w:rPr>
          <w:sz w:val="25"/>
        </w:rPr>
        <w:t>145:</w:t>
      </w:r>
    </w:p>
    <w:p>
      <w:pPr>
        <w:spacing w:line="276" w:lineRule="auto" w:before="198"/>
        <w:ind w:left="1940" w:right="2596" w:firstLine="0"/>
        <w:jc w:val="both"/>
        <w:rPr>
          <w:sz w:val="21"/>
        </w:rPr>
      </w:pPr>
      <w:r>
        <w:rPr>
          <w:w w:val="33"/>
          <w:sz w:val="21"/>
        </w:rPr>
        <w:t>―</w:t>
      </w:r>
      <w:r>
        <w:rPr>
          <w:w w:val="100"/>
          <w:sz w:val="21"/>
        </w:rPr>
        <w:t>The</w:t>
      </w:r>
      <w:r>
        <w:rPr>
          <w:sz w:val="21"/>
        </w:rPr>
        <w:t>  </w:t>
      </w:r>
      <w:r>
        <w:rPr>
          <w:w w:val="100"/>
          <w:sz w:val="21"/>
        </w:rPr>
        <w:t>finding</w:t>
      </w:r>
      <w:r>
        <w:rPr>
          <w:sz w:val="21"/>
        </w:rPr>
        <w:t>  </w:t>
      </w:r>
      <w:r>
        <w:rPr>
          <w:w w:val="100"/>
          <w:sz w:val="21"/>
        </w:rPr>
        <w:t>of</w:t>
      </w:r>
      <w:r>
        <w:rPr>
          <w:sz w:val="21"/>
        </w:rPr>
        <w:t>  </w:t>
      </w:r>
      <w:r>
        <w:rPr>
          <w:w w:val="100"/>
          <w:sz w:val="21"/>
        </w:rPr>
        <w:t>the</w:t>
      </w:r>
      <w:r>
        <w:rPr>
          <w:sz w:val="21"/>
        </w:rPr>
        <w:t>  </w:t>
      </w:r>
      <w:r>
        <w:rPr>
          <w:w w:val="100"/>
          <w:sz w:val="21"/>
        </w:rPr>
        <w:t>Civil</w:t>
      </w:r>
      <w:r>
        <w:rPr>
          <w:sz w:val="21"/>
        </w:rPr>
        <w:t>  </w:t>
      </w:r>
      <w:r>
        <w:rPr>
          <w:w w:val="100"/>
          <w:sz w:val="21"/>
        </w:rPr>
        <w:t>Court</w:t>
      </w:r>
      <w:r>
        <w:rPr>
          <w:sz w:val="21"/>
        </w:rPr>
        <w:t>  </w:t>
      </w:r>
      <w:r>
        <w:rPr>
          <w:w w:val="100"/>
          <w:sz w:val="21"/>
        </w:rPr>
        <w:t>will</w:t>
      </w:r>
      <w:r>
        <w:rPr>
          <w:sz w:val="21"/>
        </w:rPr>
        <w:t>  </w:t>
      </w:r>
      <w:r>
        <w:rPr>
          <w:w w:val="100"/>
          <w:sz w:val="21"/>
        </w:rPr>
        <w:t>be</w:t>
      </w:r>
      <w:r>
        <w:rPr>
          <w:sz w:val="21"/>
        </w:rPr>
        <w:t>  </w:t>
      </w:r>
      <w:r>
        <w:rPr>
          <w:w w:val="100"/>
          <w:sz w:val="21"/>
        </w:rPr>
        <w:t>binding</w:t>
      </w:r>
      <w:r>
        <w:rPr>
          <w:sz w:val="21"/>
        </w:rPr>
        <w:t>  </w:t>
      </w:r>
      <w:r>
        <w:rPr>
          <w:w w:val="100"/>
          <w:sz w:val="21"/>
        </w:rPr>
        <w:t>on</w:t>
      </w:r>
      <w:r>
        <w:rPr>
          <w:sz w:val="21"/>
        </w:rPr>
        <w:t>  </w:t>
      </w:r>
      <w:r>
        <w:rPr>
          <w:w w:val="100"/>
          <w:sz w:val="21"/>
        </w:rPr>
        <w:t>the </w:t>
      </w:r>
      <w:r>
        <w:rPr>
          <w:sz w:val="21"/>
        </w:rPr>
        <w:t>Criminal Court. It is no use starting proceedings in this case under Section 145 Cr.P.C. and recording evidence specially when a temporary injunction stands, as it cannot be said that what may be the finding of this Court after recording the evidence of parties. From the administrative point of view the property is already under attachment and no breach of peace can occur.</w:t>
      </w:r>
    </w:p>
    <w:p>
      <w:pPr>
        <w:spacing w:line="276" w:lineRule="auto" w:before="1"/>
        <w:ind w:left="1940" w:right="2597" w:firstLine="0"/>
        <w:jc w:val="both"/>
        <w:rPr>
          <w:sz w:val="21"/>
        </w:rPr>
      </w:pPr>
      <w:r>
        <w:rPr>
          <w:sz w:val="21"/>
        </w:rPr>
        <w:t>I, therefore, order that the file under Section 145 Cr.P.C. be consigned to records as it is and will be taken out for</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3049" w:firstLine="0"/>
        <w:jc w:val="left"/>
        <w:rPr>
          <w:sz w:val="21"/>
        </w:rPr>
      </w:pPr>
      <w:r>
        <w:rPr>
          <w:sz w:val="21"/>
        </w:rPr>
        <w:t>proceedings further when the temporary injunction is vacated.‖</w:t>
      </w:r>
    </w:p>
    <w:p>
      <w:pPr>
        <w:pStyle w:val="BodyText"/>
        <w:spacing w:before="1"/>
      </w:pPr>
    </w:p>
    <w:p>
      <w:pPr>
        <w:pStyle w:val="ListParagraph"/>
        <w:numPr>
          <w:ilvl w:val="0"/>
          <w:numId w:val="80"/>
        </w:numPr>
        <w:tabs>
          <w:tab w:pos="1221" w:val="left" w:leader="none"/>
        </w:tabs>
        <w:spacing w:line="480" w:lineRule="auto" w:before="0" w:after="0"/>
        <w:ind w:left="1220" w:right="444" w:hanging="720"/>
        <w:jc w:val="both"/>
        <w:rPr>
          <w:sz w:val="25"/>
        </w:rPr>
      </w:pPr>
      <w:r>
        <w:rPr>
          <w:sz w:val="25"/>
        </w:rPr>
        <w:t>On 31 July 1954, the Additional City Magistrate issued the following directions:</w:t>
      </w:r>
    </w:p>
    <w:p>
      <w:pPr>
        <w:spacing w:before="201"/>
        <w:ind w:left="1918" w:right="0" w:firstLine="0"/>
        <w:jc w:val="left"/>
        <w:rPr>
          <w:sz w:val="21"/>
        </w:rPr>
      </w:pPr>
      <w:r>
        <w:rPr>
          <w:spacing w:val="-1"/>
          <w:w w:val="33"/>
          <w:sz w:val="21"/>
        </w:rPr>
        <w:t>―</w:t>
      </w:r>
      <w:r>
        <w:rPr>
          <w:w w:val="100"/>
          <w:sz w:val="21"/>
        </w:rPr>
        <w:t>Th</w:t>
      </w:r>
      <w:r>
        <w:rPr>
          <w:spacing w:val="-2"/>
          <w:w w:val="100"/>
          <w:sz w:val="21"/>
        </w:rPr>
        <w:t>i</w:t>
      </w:r>
      <w:r>
        <w:rPr>
          <w:w w:val="100"/>
          <w:sz w:val="21"/>
        </w:rPr>
        <w:t>s</w:t>
      </w:r>
      <w:r>
        <w:rPr>
          <w:spacing w:val="13"/>
          <w:sz w:val="21"/>
        </w:rPr>
        <w:t> </w:t>
      </w:r>
      <w:r>
        <w:rPr>
          <w:spacing w:val="1"/>
          <w:w w:val="100"/>
          <w:sz w:val="21"/>
        </w:rPr>
        <w:t>f</w:t>
      </w:r>
      <w:r>
        <w:rPr>
          <w:spacing w:val="-2"/>
          <w:w w:val="100"/>
          <w:sz w:val="21"/>
        </w:rPr>
        <w:t>i</w:t>
      </w:r>
      <w:r>
        <w:rPr>
          <w:w w:val="100"/>
          <w:sz w:val="21"/>
        </w:rPr>
        <w:t>le</w:t>
      </w:r>
      <w:r>
        <w:rPr>
          <w:spacing w:val="13"/>
          <w:sz w:val="21"/>
        </w:rPr>
        <w:t> </w:t>
      </w:r>
      <w:r>
        <w:rPr>
          <w:w w:val="100"/>
          <w:sz w:val="21"/>
        </w:rPr>
        <w:t>ca</w:t>
      </w:r>
      <w:r>
        <w:rPr>
          <w:spacing w:val="-3"/>
          <w:w w:val="100"/>
          <w:sz w:val="21"/>
        </w:rPr>
        <w:t>n</w:t>
      </w:r>
      <w:r>
        <w:rPr>
          <w:spacing w:val="-1"/>
          <w:w w:val="100"/>
          <w:sz w:val="21"/>
        </w:rPr>
        <w:t>no</w:t>
      </w:r>
      <w:r>
        <w:rPr>
          <w:w w:val="100"/>
          <w:sz w:val="21"/>
        </w:rPr>
        <w:t>t</w:t>
      </w:r>
      <w:r>
        <w:rPr>
          <w:spacing w:val="14"/>
          <w:sz w:val="21"/>
        </w:rPr>
        <w:t> </w:t>
      </w:r>
      <w:r>
        <w:rPr>
          <w:spacing w:val="-3"/>
          <w:w w:val="100"/>
          <w:sz w:val="21"/>
        </w:rPr>
        <w:t>b</w:t>
      </w:r>
      <w:r>
        <w:rPr>
          <w:w w:val="100"/>
          <w:sz w:val="21"/>
        </w:rPr>
        <w:t>e</w:t>
      </w:r>
      <w:r>
        <w:rPr>
          <w:spacing w:val="15"/>
          <w:sz w:val="21"/>
        </w:rPr>
        <w:t> </w:t>
      </w:r>
      <w:r>
        <w:rPr>
          <w:spacing w:val="-2"/>
          <w:w w:val="100"/>
          <w:sz w:val="21"/>
        </w:rPr>
        <w:t>w</w:t>
      </w:r>
      <w:r>
        <w:rPr>
          <w:spacing w:val="-1"/>
          <w:w w:val="100"/>
          <w:sz w:val="21"/>
        </w:rPr>
        <w:t>e</w:t>
      </w:r>
      <w:r>
        <w:rPr>
          <w:spacing w:val="-3"/>
          <w:w w:val="100"/>
          <w:sz w:val="21"/>
        </w:rPr>
        <w:t>ed</w:t>
      </w:r>
      <w:r>
        <w:rPr>
          <w:spacing w:val="-1"/>
          <w:w w:val="100"/>
          <w:sz w:val="21"/>
        </w:rPr>
        <w:t>e</w:t>
      </w:r>
      <w:r>
        <w:rPr>
          <w:w w:val="100"/>
          <w:sz w:val="21"/>
        </w:rPr>
        <w:t>d</w:t>
      </w:r>
      <w:r>
        <w:rPr>
          <w:spacing w:val="16"/>
          <w:sz w:val="21"/>
        </w:rPr>
        <w:t> </w:t>
      </w:r>
      <w:r>
        <w:rPr>
          <w:spacing w:val="-3"/>
          <w:w w:val="100"/>
          <w:sz w:val="21"/>
        </w:rPr>
        <w:t>a</w:t>
      </w:r>
      <w:r>
        <w:rPr>
          <w:w w:val="100"/>
          <w:sz w:val="21"/>
        </w:rPr>
        <w:t>s</w:t>
      </w:r>
      <w:r>
        <w:rPr>
          <w:spacing w:val="15"/>
          <w:sz w:val="21"/>
        </w:rPr>
        <w:t> </w:t>
      </w:r>
      <w:r>
        <w:rPr>
          <w:w w:val="100"/>
          <w:sz w:val="21"/>
        </w:rPr>
        <w:t>it</w:t>
      </w:r>
      <w:r>
        <w:rPr>
          <w:spacing w:val="12"/>
          <w:sz w:val="21"/>
        </w:rPr>
        <w:t> </w:t>
      </w:r>
      <w:r>
        <w:rPr>
          <w:w w:val="100"/>
          <w:sz w:val="21"/>
        </w:rPr>
        <w:t>is</w:t>
      </w:r>
      <w:r>
        <w:rPr>
          <w:spacing w:val="13"/>
          <w:sz w:val="21"/>
        </w:rPr>
        <w:t> </w:t>
      </w:r>
      <w:r>
        <w:rPr>
          <w:spacing w:val="-1"/>
          <w:w w:val="100"/>
          <w:sz w:val="21"/>
        </w:rPr>
        <w:t>no</w:t>
      </w:r>
      <w:r>
        <w:rPr>
          <w:w w:val="100"/>
          <w:sz w:val="21"/>
        </w:rPr>
        <w:t>t</w:t>
      </w:r>
      <w:r>
        <w:rPr>
          <w:spacing w:val="12"/>
          <w:sz w:val="21"/>
        </w:rPr>
        <w:t> </w:t>
      </w:r>
      <w:r>
        <w:rPr>
          <w:w w:val="100"/>
          <w:sz w:val="21"/>
        </w:rPr>
        <w:t>a</w:t>
      </w:r>
      <w:r>
        <w:rPr>
          <w:spacing w:val="15"/>
          <w:sz w:val="21"/>
        </w:rPr>
        <w:t> </w:t>
      </w:r>
      <w:r>
        <w:rPr>
          <w:spacing w:val="-3"/>
          <w:w w:val="100"/>
          <w:sz w:val="21"/>
        </w:rPr>
        <w:t>d</w:t>
      </w:r>
      <w:r>
        <w:rPr>
          <w:w w:val="100"/>
          <w:sz w:val="21"/>
        </w:rPr>
        <w:t>is</w:t>
      </w:r>
      <w:r>
        <w:rPr>
          <w:spacing w:val="-3"/>
          <w:w w:val="100"/>
          <w:sz w:val="21"/>
        </w:rPr>
        <w:t>p</w:t>
      </w:r>
      <w:r>
        <w:rPr>
          <w:spacing w:val="-1"/>
          <w:w w:val="100"/>
          <w:sz w:val="21"/>
        </w:rPr>
        <w:t>os</w:t>
      </w:r>
      <w:r>
        <w:rPr>
          <w:spacing w:val="-3"/>
          <w:w w:val="100"/>
          <w:sz w:val="21"/>
        </w:rPr>
        <w:t>e</w:t>
      </w:r>
      <w:r>
        <w:rPr>
          <w:w w:val="100"/>
          <w:sz w:val="21"/>
        </w:rPr>
        <w:t>d</w:t>
      </w:r>
      <w:r>
        <w:rPr>
          <w:spacing w:val="13"/>
          <w:sz w:val="21"/>
        </w:rPr>
        <w:t> </w:t>
      </w:r>
      <w:r>
        <w:rPr>
          <w:spacing w:val="-1"/>
          <w:w w:val="100"/>
          <w:sz w:val="21"/>
        </w:rPr>
        <w:t>o</w:t>
      </w:r>
      <w:r>
        <w:rPr>
          <w:w w:val="100"/>
          <w:sz w:val="21"/>
        </w:rPr>
        <w:t>f</w:t>
      </w:r>
      <w:r>
        <w:rPr>
          <w:spacing w:val="14"/>
          <w:sz w:val="21"/>
        </w:rPr>
        <w:t> </w:t>
      </w:r>
      <w:r>
        <w:rPr>
          <w:spacing w:val="-2"/>
          <w:w w:val="100"/>
          <w:sz w:val="21"/>
        </w:rPr>
        <w:t>f</w:t>
      </w:r>
      <w:r>
        <w:rPr>
          <w:w w:val="100"/>
          <w:sz w:val="21"/>
        </w:rPr>
        <w:t>i</w:t>
      </w:r>
      <w:r>
        <w:rPr>
          <w:spacing w:val="-2"/>
          <w:w w:val="100"/>
          <w:sz w:val="21"/>
        </w:rPr>
        <w:t>l</w:t>
      </w:r>
      <w:r>
        <w:rPr>
          <w:spacing w:val="-1"/>
          <w:w w:val="100"/>
          <w:sz w:val="21"/>
        </w:rPr>
        <w:t>e.</w:t>
      </w:r>
    </w:p>
    <w:p>
      <w:pPr>
        <w:spacing w:before="34"/>
        <w:ind w:left="1918" w:right="0" w:firstLine="0"/>
        <w:jc w:val="left"/>
        <w:rPr>
          <w:sz w:val="21"/>
        </w:rPr>
      </w:pPr>
      <w:r>
        <w:rPr>
          <w:sz w:val="21"/>
        </w:rPr>
        <w:t>How do you report that it will be weeded of?‖</w:t>
      </w:r>
    </w:p>
    <w:p>
      <w:pPr>
        <w:pStyle w:val="BodyText"/>
        <w:rPr>
          <w:sz w:val="24"/>
        </w:rPr>
      </w:pPr>
    </w:p>
    <w:p>
      <w:pPr>
        <w:pStyle w:val="BodyText"/>
        <w:spacing w:before="5"/>
        <w:rPr>
          <w:sz w:val="24"/>
        </w:rPr>
      </w:pPr>
    </w:p>
    <w:p>
      <w:pPr>
        <w:pStyle w:val="ListParagraph"/>
        <w:numPr>
          <w:ilvl w:val="0"/>
          <w:numId w:val="80"/>
        </w:numPr>
        <w:tabs>
          <w:tab w:pos="1221" w:val="left" w:leader="none"/>
        </w:tabs>
        <w:spacing w:line="480" w:lineRule="auto" w:before="0" w:after="0"/>
        <w:ind w:left="1220" w:right="434" w:hanging="720"/>
        <w:jc w:val="both"/>
        <w:rPr>
          <w:sz w:val="25"/>
        </w:rPr>
      </w:pPr>
      <w:r>
        <w:rPr>
          <w:sz w:val="25"/>
        </w:rPr>
        <w:t>On 26 April 1955, an appeal against the order dated 3 March 1951 under Order XLIII, Rule 1(r) of the Code of Civil Procedure 1908 was dismissed by the High Court;</w:t>
      </w:r>
      <w:r>
        <w:rPr>
          <w:spacing w:val="-6"/>
          <w:sz w:val="25"/>
        </w:rPr>
        <w:t> </w:t>
      </w:r>
      <w:r>
        <w:rPr>
          <w:sz w:val="25"/>
        </w:rPr>
        <w:t>and</w:t>
      </w:r>
    </w:p>
    <w:p>
      <w:pPr>
        <w:pStyle w:val="ListParagraph"/>
        <w:numPr>
          <w:ilvl w:val="0"/>
          <w:numId w:val="80"/>
        </w:numPr>
        <w:tabs>
          <w:tab w:pos="1221" w:val="left" w:leader="none"/>
        </w:tabs>
        <w:spacing w:line="480" w:lineRule="auto" w:before="1" w:after="0"/>
        <w:ind w:left="1220" w:right="442" w:hanging="720"/>
        <w:jc w:val="both"/>
        <w:rPr>
          <w:sz w:val="25"/>
        </w:rPr>
      </w:pPr>
      <w:r>
        <w:rPr>
          <w:sz w:val="25"/>
        </w:rPr>
        <w:t>On 17 December 1959, Suit 3 was instituted by Nirmohi Akhara for a decree against the receiver for handing over charge and management of the</w:t>
      </w:r>
      <w:r>
        <w:rPr>
          <w:spacing w:val="-1"/>
          <w:sz w:val="25"/>
        </w:rPr>
        <w:t> </w:t>
      </w:r>
      <w:r>
        <w:rPr>
          <w:sz w:val="25"/>
        </w:rPr>
        <w:t>temple.</w:t>
      </w:r>
    </w:p>
    <w:p>
      <w:pPr>
        <w:pStyle w:val="BodyText"/>
        <w:spacing w:before="4"/>
      </w:pPr>
    </w:p>
    <w:p>
      <w:pPr>
        <w:pStyle w:val="Heading4"/>
        <w:jc w:val="left"/>
        <w:rPr>
          <w:i/>
        </w:rPr>
      </w:pPr>
      <w:r>
        <w:rPr>
          <w:i/>
        </w:rPr>
        <w:t>Reasons of the High Court</w:t>
      </w:r>
    </w:p>
    <w:p>
      <w:pPr>
        <w:pStyle w:val="BodyText"/>
        <w:rPr>
          <w:i/>
          <w:sz w:val="28"/>
        </w:rPr>
      </w:pPr>
    </w:p>
    <w:p>
      <w:pPr>
        <w:pStyle w:val="BodyText"/>
        <w:spacing w:before="7"/>
        <w:rPr>
          <w:i/>
          <w:sz w:val="23"/>
        </w:rPr>
      </w:pPr>
    </w:p>
    <w:p>
      <w:pPr>
        <w:pStyle w:val="ListParagraph"/>
        <w:numPr>
          <w:ilvl w:val="0"/>
          <w:numId w:val="3"/>
        </w:numPr>
        <w:tabs>
          <w:tab w:pos="1221" w:val="left" w:leader="none"/>
        </w:tabs>
        <w:spacing w:line="480" w:lineRule="auto" w:before="0" w:after="0"/>
        <w:ind w:left="500" w:right="446" w:firstLine="0"/>
        <w:jc w:val="both"/>
        <w:rPr>
          <w:sz w:val="25"/>
        </w:rPr>
      </w:pPr>
      <w:r>
        <w:rPr>
          <w:sz w:val="25"/>
        </w:rPr>
        <w:t>Justice S U Khan adduced the following reasons for holding that the suit was not barred by</w:t>
      </w:r>
      <w:r>
        <w:rPr>
          <w:spacing w:val="-4"/>
          <w:sz w:val="25"/>
        </w:rPr>
        <w:t> </w:t>
      </w:r>
      <w:r>
        <w:rPr>
          <w:sz w:val="25"/>
        </w:rPr>
        <w:t>limitation:</w:t>
      </w:r>
    </w:p>
    <w:p>
      <w:pPr>
        <w:pStyle w:val="ListParagraph"/>
        <w:numPr>
          <w:ilvl w:val="0"/>
          <w:numId w:val="81"/>
        </w:numPr>
        <w:tabs>
          <w:tab w:pos="1221" w:val="left" w:leader="none"/>
        </w:tabs>
        <w:spacing w:line="480" w:lineRule="auto" w:before="0" w:after="0"/>
        <w:ind w:left="1220" w:right="436" w:hanging="720"/>
        <w:jc w:val="both"/>
        <w:rPr>
          <w:sz w:val="25"/>
        </w:rPr>
      </w:pPr>
      <w:r>
        <w:rPr>
          <w:sz w:val="25"/>
        </w:rPr>
        <w:t>First, the last order which was passed in the proceedings under Section 145 was on 30 July 1953 (except for an order in 1970 for replacing the receiver on the death of the incumbent). This order and the subsequent order of the Magistrate dated 31 July 1954 indicated that the proceedings under Section 145 had not been dropped or finalised. In the event that the Magistrate had passed some final order either after the dismissal of the appeal against the order granting an interim injunction or on some other date, it would have provided a fresh starting point for the purpose of limitation to file a suit for a</w:t>
      </w:r>
      <w:r>
        <w:rPr>
          <w:spacing w:val="-1"/>
          <w:sz w:val="25"/>
        </w:rPr>
        <w:t> </w:t>
      </w:r>
      <w:r>
        <w:rPr>
          <w:sz w:val="25"/>
        </w:rPr>
        <w:t>declaration;</w:t>
      </w:r>
    </w:p>
    <w:p>
      <w:pPr>
        <w:spacing w:after="0" w:line="480" w:lineRule="auto"/>
        <w:jc w:val="both"/>
        <w:rPr>
          <w:sz w:val="25"/>
        </w:rPr>
        <w:sectPr>
          <w:pgSz w:w="11910" w:h="16840"/>
          <w:pgMar w:header="721" w:footer="1014" w:top="1300" w:bottom="1200" w:left="940" w:right="1000"/>
        </w:sectPr>
      </w:pPr>
    </w:p>
    <w:p>
      <w:pPr>
        <w:pStyle w:val="ListParagraph"/>
        <w:numPr>
          <w:ilvl w:val="0"/>
          <w:numId w:val="81"/>
        </w:numPr>
        <w:tabs>
          <w:tab w:pos="1221" w:val="left" w:leader="none"/>
        </w:tabs>
        <w:spacing w:line="480" w:lineRule="auto" w:before="124" w:after="0"/>
        <w:ind w:left="1220" w:right="436" w:hanging="720"/>
        <w:jc w:val="both"/>
        <w:rPr>
          <w:sz w:val="25"/>
        </w:rPr>
      </w:pPr>
      <w:r>
        <w:rPr>
          <w:sz w:val="25"/>
        </w:rPr>
        <w:t>Even if it were to be held that Suit 3 is barred by limitation, the rights and entitlement of the contesting parties would have to be decided in Suit 1 which was instituted within the period of limitation. A decision on the title of Nirmohi Akhara in Suit 1 would be sufficient for the purpose of Section 146(1) of the</w:t>
      </w:r>
      <w:r>
        <w:rPr>
          <w:spacing w:val="-2"/>
          <w:sz w:val="25"/>
        </w:rPr>
        <w:t> </w:t>
      </w:r>
      <w:r>
        <w:rPr>
          <w:sz w:val="25"/>
        </w:rPr>
        <w:t>CrPC;</w:t>
      </w:r>
    </w:p>
    <w:p>
      <w:pPr>
        <w:pStyle w:val="ListParagraph"/>
        <w:numPr>
          <w:ilvl w:val="0"/>
          <w:numId w:val="81"/>
        </w:numPr>
        <w:tabs>
          <w:tab w:pos="1221" w:val="left" w:leader="none"/>
        </w:tabs>
        <w:spacing w:line="480" w:lineRule="auto" w:before="0" w:after="0"/>
        <w:ind w:left="1220" w:right="436" w:hanging="720"/>
        <w:jc w:val="both"/>
        <w:rPr>
          <w:sz w:val="25"/>
        </w:rPr>
      </w:pPr>
      <w:r>
        <w:rPr>
          <w:sz w:val="25"/>
        </w:rPr>
        <w:t>The demolition of the constructed portion of the premises on 6 December 1992, acquisition of the premises and the adjoining area by the Union Government and the decision of the Supreme Court in </w:t>
      </w:r>
      <w:r>
        <w:rPr>
          <w:b/>
          <w:sz w:val="25"/>
        </w:rPr>
        <w:t>Dr M Ismail Faruqui </w:t>
      </w:r>
      <w:r>
        <w:rPr>
          <w:sz w:val="25"/>
        </w:rPr>
        <w:t>v </w:t>
      </w:r>
      <w:r>
        <w:rPr>
          <w:b/>
          <w:sz w:val="25"/>
        </w:rPr>
        <w:t>Union of India</w:t>
      </w:r>
      <w:r>
        <w:rPr>
          <w:sz w:val="25"/>
          <w:vertAlign w:val="superscript"/>
        </w:rPr>
        <w:t>126</w:t>
      </w:r>
      <w:r>
        <w:rPr>
          <w:sz w:val="25"/>
          <w:vertAlign w:val="baseline"/>
        </w:rPr>
        <w:t>, gave a fresh starting point for limitation. Even if the remedy of all parties (except the plaintiff in Suit 1) was barred by limitation, its rights still subsisted. The demolition of the structure gave a fresh cause of action for a declaratory suit under Section 42 of the Specific Relief Act</w:t>
      </w:r>
      <w:r>
        <w:rPr>
          <w:spacing w:val="-3"/>
          <w:sz w:val="25"/>
          <w:vertAlign w:val="baseline"/>
        </w:rPr>
        <w:t> </w:t>
      </w:r>
      <w:r>
        <w:rPr>
          <w:sz w:val="25"/>
          <w:vertAlign w:val="baseline"/>
        </w:rPr>
        <w:t>1877;</w:t>
      </w:r>
    </w:p>
    <w:p>
      <w:pPr>
        <w:pStyle w:val="ListParagraph"/>
        <w:numPr>
          <w:ilvl w:val="0"/>
          <w:numId w:val="81"/>
        </w:numPr>
        <w:tabs>
          <w:tab w:pos="1221" w:val="left" w:leader="none"/>
        </w:tabs>
        <w:spacing w:line="480" w:lineRule="auto" w:before="0" w:after="0"/>
        <w:ind w:left="1220" w:right="436" w:hanging="720"/>
        <w:jc w:val="both"/>
        <w:rPr>
          <w:sz w:val="25"/>
        </w:rPr>
      </w:pPr>
      <w:r>
        <w:rPr>
          <w:sz w:val="25"/>
        </w:rPr>
        <w:t>The receiver appointed under Section 145 of the Magistrate cannot hold the property indefinitely after attachment. Hence, a liberal view would have to be taken in the absence of which uncertainty would be created. Where due to the attachment, a suit for possession could not be filed, Section 28 would not extinguish the rights of the parties. Moreover, the principle of a continuing wrong under Section 23 of the Limitation Act 1908 was applicable and Nirmohi Akhara was being constantly denied their right to charge and management;</w:t>
      </w:r>
      <w:r>
        <w:rPr>
          <w:spacing w:val="-3"/>
          <w:sz w:val="25"/>
        </w:rPr>
        <w:t> </w:t>
      </w:r>
      <w:r>
        <w:rPr>
          <w:sz w:val="25"/>
        </w:rPr>
        <w:t>and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rect style="position:absolute;margin-left:72.024002pt;margin-top:9.085547pt;width:144.020pt;height:.599980pt;mso-position-horizontal-relative:page;mso-position-vertical-relative:paragraph;z-index:-1569075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126</w:t>
      </w:r>
      <w:r>
        <w:rPr>
          <w:sz w:val="18"/>
          <w:vertAlign w:val="baseline"/>
        </w:rPr>
        <w:t> (1994) 6 SCC 360</w:t>
      </w:r>
    </w:p>
    <w:p>
      <w:pPr>
        <w:spacing w:after="0"/>
        <w:jc w:val="left"/>
        <w:rPr>
          <w:sz w:val="18"/>
        </w:rPr>
        <w:sectPr>
          <w:pgSz w:w="11910" w:h="16840"/>
          <w:pgMar w:header="721" w:footer="1014" w:top="1300" w:bottom="1200" w:left="940" w:right="1000"/>
        </w:sectPr>
      </w:pPr>
    </w:p>
    <w:p>
      <w:pPr>
        <w:pStyle w:val="ListParagraph"/>
        <w:numPr>
          <w:ilvl w:val="0"/>
          <w:numId w:val="81"/>
        </w:numPr>
        <w:tabs>
          <w:tab w:pos="1221" w:val="left" w:leader="none"/>
        </w:tabs>
        <w:spacing w:line="480" w:lineRule="auto" w:before="124" w:after="0"/>
        <w:ind w:left="1220" w:right="440" w:hanging="720"/>
        <w:jc w:val="both"/>
        <w:rPr>
          <w:sz w:val="25"/>
        </w:rPr>
      </w:pPr>
      <w:r>
        <w:rPr>
          <w:sz w:val="25"/>
        </w:rPr>
        <w:t>In any event, even if the suit was barred by limitation, the court was bound to pronounce on all issues as required by Order XIV Rule 2(1) of the Code of Civil Procedure</w:t>
      </w:r>
      <w:r>
        <w:rPr>
          <w:spacing w:val="-3"/>
          <w:sz w:val="25"/>
        </w:rPr>
        <w:t> </w:t>
      </w:r>
      <w:r>
        <w:rPr>
          <w:sz w:val="25"/>
        </w:rPr>
        <w:t>1908.</w:t>
      </w:r>
    </w:p>
    <w:p>
      <w:pPr>
        <w:pStyle w:val="BodyText"/>
        <w:rPr>
          <w:sz w:val="28"/>
        </w:rPr>
      </w:pPr>
    </w:p>
    <w:p>
      <w:pPr>
        <w:pStyle w:val="BodyText"/>
        <w:spacing w:before="10"/>
        <w:rPr>
          <w:sz w:val="21"/>
        </w:rPr>
      </w:pPr>
    </w:p>
    <w:p>
      <w:pPr>
        <w:pStyle w:val="BodyText"/>
        <w:spacing w:line="480" w:lineRule="auto"/>
        <w:ind w:left="500" w:right="448"/>
        <w:jc w:val="both"/>
      </w:pPr>
      <w:r>
        <w:rPr/>
        <w:t>Justice Sudhir Agarwal adduced the following reasons for holding that Suit 3 was barred by limitation:</w:t>
      </w:r>
    </w:p>
    <w:p>
      <w:pPr>
        <w:pStyle w:val="ListParagraph"/>
        <w:numPr>
          <w:ilvl w:val="0"/>
          <w:numId w:val="82"/>
        </w:numPr>
        <w:tabs>
          <w:tab w:pos="1221" w:val="left" w:leader="none"/>
        </w:tabs>
        <w:spacing w:line="480" w:lineRule="auto" w:before="1" w:after="0"/>
        <w:ind w:left="1220" w:right="447" w:hanging="720"/>
        <w:jc w:val="both"/>
        <w:rPr>
          <w:sz w:val="25"/>
        </w:rPr>
      </w:pPr>
      <w:r>
        <w:rPr>
          <w:sz w:val="25"/>
        </w:rPr>
        <w:t>The cause of action for the Suit arose on 5 January 1950 upon the receiver taking charge of the inner</w:t>
      </w:r>
      <w:r>
        <w:rPr>
          <w:spacing w:val="-3"/>
          <w:sz w:val="25"/>
        </w:rPr>
        <w:t> </w:t>
      </w:r>
      <w:r>
        <w:rPr>
          <w:sz w:val="25"/>
        </w:rPr>
        <w:t>courtyard;</w:t>
      </w:r>
    </w:p>
    <w:p>
      <w:pPr>
        <w:pStyle w:val="ListParagraph"/>
        <w:numPr>
          <w:ilvl w:val="0"/>
          <w:numId w:val="82"/>
        </w:numPr>
        <w:tabs>
          <w:tab w:pos="1221" w:val="left" w:leader="none"/>
        </w:tabs>
        <w:spacing w:line="480" w:lineRule="auto" w:before="2" w:after="0"/>
        <w:ind w:left="1220" w:right="439" w:hanging="720"/>
        <w:jc w:val="both"/>
        <w:rPr>
          <w:sz w:val="25"/>
        </w:rPr>
      </w:pPr>
      <w:r>
        <w:rPr>
          <w:sz w:val="25"/>
        </w:rPr>
        <w:t>Suit 3 was confined to the premises of the inner courtyard. The plaintiffs in their pleadings have neither sought a declaration of title nor have they claimed to have been dispossessed illegally by anyone. The claim is that the City Magistrate had illegally taken over management and charge of the temple. The City Magistrate passed a statutory order under Section 145 and pursuant to the order of attachment the possession of the inner courtyard was given to the receiver. An order of attachment under Section 145 could not constitute a deprivation of the right to possession of the real owner but the receiver is said to hold the property on behalf of the true owner. There being no dispossession of Nirmohi Akhara, Article 142 had no application;</w:t>
      </w:r>
      <w:r>
        <w:rPr>
          <w:spacing w:val="-1"/>
          <w:sz w:val="25"/>
        </w:rPr>
        <w:t> </w:t>
      </w:r>
      <w:r>
        <w:rPr>
          <w:sz w:val="25"/>
        </w:rPr>
        <w:t>and</w:t>
      </w:r>
    </w:p>
    <w:p>
      <w:pPr>
        <w:pStyle w:val="ListParagraph"/>
        <w:numPr>
          <w:ilvl w:val="0"/>
          <w:numId w:val="82"/>
        </w:numPr>
        <w:tabs>
          <w:tab w:pos="1221" w:val="left" w:leader="none"/>
        </w:tabs>
        <w:spacing w:line="480" w:lineRule="auto" w:before="0" w:after="0"/>
        <w:ind w:left="1220" w:right="442" w:hanging="720"/>
        <w:jc w:val="both"/>
        <w:rPr>
          <w:sz w:val="25"/>
        </w:rPr>
      </w:pPr>
      <w:r>
        <w:rPr>
          <w:sz w:val="25"/>
        </w:rPr>
        <w:t>Article 47 is also not applicable. Hence, the issue of limitation was required to be adjudicated upon with reference to Article 120. The suit was instituted beyond the period of six years specified in Article 120 and hence was barred by</w:t>
      </w:r>
      <w:r>
        <w:rPr>
          <w:spacing w:val="-4"/>
          <w:sz w:val="25"/>
        </w:rPr>
        <w:t> </w:t>
      </w:r>
      <w:r>
        <w:rPr>
          <w:sz w:val="25"/>
        </w:rPr>
        <w:t>limitation.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Justice D V Sharma held that for the purposes of determining limitation in Suit 3, Article 120 was applicable. Suit 3 was filed on 17 December 1959. The suit not having been filed within six years of the accrual of the cause of action, it was barred by limitation.</w:t>
      </w:r>
    </w:p>
    <w:p>
      <w:pPr>
        <w:pStyle w:val="BodyText"/>
        <w:spacing w:before="2"/>
      </w:pPr>
    </w:p>
    <w:p>
      <w:pPr>
        <w:pStyle w:val="Heading4"/>
        <w:rPr>
          <w:i/>
        </w:rPr>
      </w:pPr>
      <w:r>
        <w:rPr>
          <w:i/>
        </w:rPr>
        <w:t>Submissions of Nirmohi Akhara</w:t>
      </w:r>
    </w:p>
    <w:p>
      <w:pPr>
        <w:pStyle w:val="BodyText"/>
        <w:spacing w:before="8"/>
        <w:rPr>
          <w:i/>
          <w:sz w:val="38"/>
        </w:rPr>
      </w:pPr>
    </w:p>
    <w:p>
      <w:pPr>
        <w:pStyle w:val="ListParagraph"/>
        <w:numPr>
          <w:ilvl w:val="0"/>
          <w:numId w:val="3"/>
        </w:numPr>
        <w:tabs>
          <w:tab w:pos="1221" w:val="left" w:leader="none"/>
        </w:tabs>
        <w:spacing w:line="480" w:lineRule="auto" w:before="1" w:after="0"/>
        <w:ind w:left="500" w:right="444" w:firstLine="0"/>
        <w:jc w:val="both"/>
        <w:rPr>
          <w:sz w:val="25"/>
        </w:rPr>
      </w:pPr>
      <w:r>
        <w:rPr>
          <w:sz w:val="25"/>
        </w:rPr>
        <w:t>Mr S K Jain, learned Senior Counsel for the plaintiffs in Suit 3 made the following submissions with respect to</w:t>
      </w:r>
      <w:r>
        <w:rPr>
          <w:spacing w:val="-2"/>
          <w:sz w:val="25"/>
        </w:rPr>
        <w:t> </w:t>
      </w:r>
      <w:r>
        <w:rPr>
          <w:sz w:val="25"/>
        </w:rPr>
        <w:t>limitation:</w:t>
      </w:r>
    </w:p>
    <w:p>
      <w:pPr>
        <w:pStyle w:val="Heading5"/>
        <w:numPr>
          <w:ilvl w:val="0"/>
          <w:numId w:val="83"/>
        </w:numPr>
        <w:tabs>
          <w:tab w:pos="1221" w:val="left" w:leader="none"/>
        </w:tabs>
        <w:spacing w:line="480" w:lineRule="auto" w:before="0" w:after="0"/>
        <w:ind w:left="1220" w:right="443" w:hanging="720"/>
        <w:jc w:val="both"/>
      </w:pPr>
      <w:r>
        <w:rPr/>
        <w:t>No final order has been passed in the proceedings under Section 145. Hence, limitation under Article 47 of the Limitation </w:t>
      </w:r>
      <w:r>
        <w:rPr>
          <w:spacing w:val="-3"/>
        </w:rPr>
        <w:t>Act </w:t>
      </w:r>
      <w:r>
        <w:rPr/>
        <w:t>1908 has not commenced:</w:t>
      </w:r>
    </w:p>
    <w:p>
      <w:pPr>
        <w:pStyle w:val="ListParagraph"/>
        <w:numPr>
          <w:ilvl w:val="1"/>
          <w:numId w:val="83"/>
        </w:numPr>
        <w:tabs>
          <w:tab w:pos="1941" w:val="left" w:leader="none"/>
        </w:tabs>
        <w:spacing w:line="482" w:lineRule="auto" w:before="0" w:after="0"/>
        <w:ind w:left="1940" w:right="446" w:hanging="720"/>
        <w:jc w:val="both"/>
        <w:rPr>
          <w:sz w:val="25"/>
        </w:rPr>
      </w:pPr>
      <w:r>
        <w:rPr>
          <w:sz w:val="25"/>
        </w:rPr>
        <w:t>The cause of action in the Suit arose on 5 January 1950 when the receiver took charge of the inner</w:t>
      </w:r>
      <w:r>
        <w:rPr>
          <w:spacing w:val="-4"/>
          <w:sz w:val="25"/>
        </w:rPr>
        <w:t> </w:t>
      </w:r>
      <w:r>
        <w:rPr>
          <w:sz w:val="25"/>
        </w:rPr>
        <w:t>courtyard;</w:t>
      </w:r>
    </w:p>
    <w:p>
      <w:pPr>
        <w:pStyle w:val="ListParagraph"/>
        <w:numPr>
          <w:ilvl w:val="1"/>
          <w:numId w:val="83"/>
        </w:numPr>
        <w:tabs>
          <w:tab w:pos="1941" w:val="left" w:leader="none"/>
        </w:tabs>
        <w:spacing w:line="480" w:lineRule="auto" w:before="0" w:after="0"/>
        <w:ind w:left="1940" w:right="434" w:hanging="720"/>
        <w:jc w:val="both"/>
        <w:rPr>
          <w:sz w:val="25"/>
        </w:rPr>
      </w:pPr>
      <w:r>
        <w:rPr>
          <w:sz w:val="25"/>
        </w:rPr>
        <w:t>The Magistrate‘s order under Section 145 dated 29 December 1949 was a preliminary order and provided the cause of action. However, the limitation for such a suit would commence only upon passing of a final order in the proceedings under Section 145. In the present case, as noted by the Magistrate in the order dated 31 July 1954, the proceedings under Section 145 had </w:t>
      </w:r>
      <w:r>
        <w:rPr>
          <w:b/>
          <w:sz w:val="25"/>
        </w:rPr>
        <w:t>not been disposed of </w:t>
      </w:r>
      <w:r>
        <w:rPr>
          <w:sz w:val="25"/>
        </w:rPr>
        <w:t>and therefore, the </w:t>
      </w:r>
      <w:r>
        <w:rPr>
          <w:b/>
          <w:sz w:val="25"/>
        </w:rPr>
        <w:t>final order had still not been passed</w:t>
      </w:r>
      <w:r>
        <w:rPr>
          <w:sz w:val="25"/>
        </w:rPr>
        <w:t>. The proceedings under Section 145 continue to remain pending;</w:t>
      </w:r>
      <w:r>
        <w:rPr>
          <w:spacing w:val="-9"/>
          <w:sz w:val="25"/>
        </w:rPr>
        <w:t> </w:t>
      </w:r>
      <w:r>
        <w:rPr>
          <w:spacing w:val="2"/>
          <w:sz w:val="25"/>
        </w:rPr>
        <w:t>and</w:t>
      </w:r>
    </w:p>
    <w:p>
      <w:pPr>
        <w:pStyle w:val="ListParagraph"/>
        <w:numPr>
          <w:ilvl w:val="1"/>
          <w:numId w:val="83"/>
        </w:numPr>
        <w:tabs>
          <w:tab w:pos="1941" w:val="left" w:leader="none"/>
        </w:tabs>
        <w:spacing w:line="480" w:lineRule="auto" w:before="0" w:after="0"/>
        <w:ind w:left="1940" w:right="434" w:hanging="720"/>
        <w:jc w:val="both"/>
        <w:rPr>
          <w:sz w:val="25"/>
        </w:rPr>
      </w:pPr>
      <w:r>
        <w:rPr>
          <w:sz w:val="25"/>
        </w:rPr>
        <w:t>The suit is governed by Article 47 of the Limitation Act 1908. The limitation of three years for a suit under Article 47 commences from the</w:t>
      </w:r>
      <w:r>
        <w:rPr>
          <w:spacing w:val="47"/>
          <w:sz w:val="25"/>
        </w:rPr>
        <w:t> </w:t>
      </w:r>
      <w:r>
        <w:rPr>
          <w:sz w:val="25"/>
        </w:rPr>
        <w:t>date</w:t>
      </w:r>
      <w:r>
        <w:rPr>
          <w:spacing w:val="48"/>
          <w:sz w:val="25"/>
        </w:rPr>
        <w:t> </w:t>
      </w:r>
      <w:r>
        <w:rPr>
          <w:sz w:val="25"/>
        </w:rPr>
        <w:t>of</w:t>
      </w:r>
      <w:r>
        <w:rPr>
          <w:spacing w:val="48"/>
          <w:sz w:val="25"/>
        </w:rPr>
        <w:t> </w:t>
      </w:r>
      <w:r>
        <w:rPr>
          <w:sz w:val="25"/>
        </w:rPr>
        <w:t>the</w:t>
      </w:r>
      <w:r>
        <w:rPr>
          <w:spacing w:val="48"/>
          <w:sz w:val="25"/>
        </w:rPr>
        <w:t> </w:t>
      </w:r>
      <w:r>
        <w:rPr>
          <w:sz w:val="25"/>
        </w:rPr>
        <w:t>final</w:t>
      </w:r>
      <w:r>
        <w:rPr>
          <w:spacing w:val="49"/>
          <w:sz w:val="25"/>
        </w:rPr>
        <w:t> </w:t>
      </w:r>
      <w:r>
        <w:rPr>
          <w:sz w:val="25"/>
        </w:rPr>
        <w:t>order</w:t>
      </w:r>
      <w:r>
        <w:rPr>
          <w:spacing w:val="52"/>
          <w:sz w:val="25"/>
        </w:rPr>
        <w:t> </w:t>
      </w:r>
      <w:r>
        <w:rPr>
          <w:sz w:val="25"/>
        </w:rPr>
        <w:t>in</w:t>
      </w:r>
      <w:r>
        <w:rPr>
          <w:spacing w:val="47"/>
          <w:sz w:val="25"/>
        </w:rPr>
        <w:t> </w:t>
      </w:r>
      <w:r>
        <w:rPr>
          <w:sz w:val="25"/>
        </w:rPr>
        <w:t>the</w:t>
      </w:r>
      <w:r>
        <w:rPr>
          <w:spacing w:val="48"/>
          <w:sz w:val="25"/>
        </w:rPr>
        <w:t> </w:t>
      </w:r>
      <w:r>
        <w:rPr>
          <w:sz w:val="25"/>
        </w:rPr>
        <w:t>case.</w:t>
      </w:r>
      <w:r>
        <w:rPr>
          <w:spacing w:val="47"/>
          <w:sz w:val="25"/>
        </w:rPr>
        <w:t> </w:t>
      </w:r>
      <w:r>
        <w:rPr>
          <w:sz w:val="25"/>
        </w:rPr>
        <w:t>Under</w:t>
      </w:r>
      <w:r>
        <w:rPr>
          <w:spacing w:val="48"/>
          <w:sz w:val="25"/>
        </w:rPr>
        <w:t> </w:t>
      </w:r>
      <w:r>
        <w:rPr>
          <w:sz w:val="25"/>
        </w:rPr>
        <w:t>Article</w:t>
      </w:r>
      <w:r>
        <w:rPr>
          <w:spacing w:val="47"/>
          <w:sz w:val="25"/>
        </w:rPr>
        <w:t> </w:t>
      </w:r>
      <w:r>
        <w:rPr>
          <w:sz w:val="25"/>
        </w:rPr>
        <w:t>47,</w:t>
      </w:r>
      <w:r>
        <w:rPr>
          <w:spacing w:val="47"/>
          <w:sz w:val="25"/>
        </w:rPr>
        <w:t> </w:t>
      </w:r>
      <w:r>
        <w:rPr>
          <w:sz w:val="25"/>
        </w:rPr>
        <w:t>the</w:t>
      </w:r>
      <w:r>
        <w:rPr>
          <w:spacing w:val="48"/>
          <w:sz w:val="25"/>
        </w:rPr>
        <w:t> </w:t>
      </w:r>
      <w:r>
        <w:rPr>
          <w:sz w:val="25"/>
        </w:rPr>
        <w:t>first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940" w:right="436"/>
        <w:jc w:val="both"/>
      </w:pPr>
      <w:r>
        <w:rPr/>
        <w:t>column contains the description of the suit and refers to a person bound by </w:t>
      </w:r>
      <w:r>
        <w:rPr>
          <w:b/>
        </w:rPr>
        <w:t>an order respecting the possession of immovable property made under the CrPC</w:t>
      </w:r>
      <w:r>
        <w:rPr/>
        <w:t>. The third column under Article 47 specifies the time from which limitation begins to run and mentions the commencement of limitation from the date of the passing of the </w:t>
      </w:r>
      <w:r>
        <w:rPr>
          <w:b/>
        </w:rPr>
        <w:t>final order</w:t>
      </w:r>
      <w:r>
        <w:rPr/>
        <w:t>. A suit that is categorised in the first column would be governed only by that, unaffected by the use of the words in the </w:t>
      </w:r>
      <w:r>
        <w:rPr>
          <w:w w:val="99"/>
        </w:rPr>
        <w:t>third</w:t>
      </w:r>
      <w:r>
        <w:rPr/>
        <w:t> </w:t>
      </w:r>
      <w:r>
        <w:rPr>
          <w:w w:val="99"/>
        </w:rPr>
        <w:t>column.</w:t>
      </w:r>
      <w:r>
        <w:rPr/>
        <w:t> </w:t>
      </w:r>
      <w:r>
        <w:rPr>
          <w:w w:val="99"/>
        </w:rPr>
        <w:t>The</w:t>
      </w:r>
      <w:r>
        <w:rPr/>
        <w:t> </w:t>
      </w:r>
      <w:r>
        <w:rPr>
          <w:w w:val="99"/>
        </w:rPr>
        <w:t>Limitation</w:t>
      </w:r>
      <w:r>
        <w:rPr/>
        <w:t> </w:t>
      </w:r>
      <w:r>
        <w:rPr>
          <w:w w:val="99"/>
        </w:rPr>
        <w:t>Act</w:t>
      </w:r>
      <w:r>
        <w:rPr/>
        <w:t> </w:t>
      </w:r>
      <w:r>
        <w:rPr>
          <w:w w:val="99"/>
        </w:rPr>
        <w:t>bars</w:t>
      </w:r>
      <w:r>
        <w:rPr/>
        <w:t> </w:t>
      </w:r>
      <w:r>
        <w:rPr>
          <w:w w:val="99"/>
        </w:rPr>
        <w:t>suits</w:t>
      </w:r>
      <w:r>
        <w:rPr/>
        <w:t> </w:t>
      </w:r>
      <w:r>
        <w:rPr>
          <w:w w:val="99"/>
        </w:rPr>
        <w:t>filed</w:t>
      </w:r>
      <w:r>
        <w:rPr/>
        <w:t> </w:t>
      </w:r>
      <w:r>
        <w:rPr>
          <w:w w:val="33"/>
        </w:rPr>
        <w:t>―</w:t>
      </w:r>
      <w:r>
        <w:rPr>
          <w:w w:val="99"/>
        </w:rPr>
        <w:t>after</w:t>
      </w:r>
      <w:r>
        <w:rPr>
          <w:w w:val="80"/>
        </w:rPr>
        <w:t>‖</w:t>
      </w:r>
      <w:r>
        <w:rPr/>
        <w:t> </w:t>
      </w:r>
      <w:r>
        <w:rPr>
          <w:w w:val="99"/>
        </w:rPr>
        <w:t>the</w:t>
      </w:r>
      <w:r>
        <w:rPr/>
        <w:t> </w:t>
      </w:r>
      <w:r>
        <w:rPr>
          <w:w w:val="99"/>
        </w:rPr>
        <w:t>limitation </w:t>
      </w:r>
      <w:r>
        <w:rPr>
          <w:w w:val="99"/>
        </w:rPr>
        <w:t>pe</w:t>
      </w:r>
      <w:r>
        <w:rPr>
          <w:w w:val="99"/>
        </w:rPr>
        <w:t>r</w:t>
      </w:r>
      <w:r>
        <w:rPr>
          <w:w w:val="99"/>
        </w:rPr>
        <w:t>iod</w:t>
      </w:r>
      <w:r>
        <w:rPr/>
        <w:t> </w:t>
      </w:r>
      <w:r>
        <w:rPr>
          <w:w w:val="99"/>
        </w:rPr>
        <w:t>bu</w:t>
      </w:r>
      <w:r>
        <w:rPr>
          <w:w w:val="99"/>
        </w:rPr>
        <w:t>t</w:t>
      </w:r>
      <w:r>
        <w:rPr/>
        <w:t> </w:t>
      </w:r>
      <w:r>
        <w:rPr>
          <w:w w:val="99"/>
        </w:rPr>
        <w:t>do</w:t>
      </w:r>
      <w:r>
        <w:rPr>
          <w:w w:val="99"/>
        </w:rPr>
        <w:t>es</w:t>
      </w:r>
      <w:r>
        <w:rPr/>
        <w:t> </w:t>
      </w:r>
      <w:r>
        <w:rPr>
          <w:w w:val="99"/>
        </w:rPr>
        <w:t>no</w:t>
      </w:r>
      <w:r>
        <w:rPr>
          <w:w w:val="99"/>
        </w:rPr>
        <w:t>t</w:t>
      </w:r>
      <w:r>
        <w:rPr/>
        <w:t> </w:t>
      </w:r>
      <w:r>
        <w:rPr>
          <w:w w:val="99"/>
        </w:rPr>
        <w:t>preven</w:t>
      </w:r>
      <w:r>
        <w:rPr>
          <w:w w:val="99"/>
        </w:rPr>
        <w:t>t</w:t>
      </w:r>
      <w:r>
        <w:rPr/>
        <w:t> </w:t>
      </w:r>
      <w:r>
        <w:rPr>
          <w:w w:val="99"/>
        </w:rPr>
        <w:t>sui</w:t>
      </w:r>
      <w:r>
        <w:rPr>
          <w:w w:val="99"/>
        </w:rPr>
        <w:t>ts</w:t>
      </w:r>
      <w:r>
        <w:rPr/>
        <w:t> </w:t>
      </w:r>
      <w:r>
        <w:rPr>
          <w:w w:val="99"/>
        </w:rPr>
        <w:t>from</w:t>
      </w:r>
      <w:r>
        <w:rPr/>
        <w:t> </w:t>
      </w:r>
      <w:r>
        <w:rPr>
          <w:w w:val="99"/>
        </w:rPr>
        <w:t>being</w:t>
      </w:r>
      <w:r>
        <w:rPr/>
        <w:t> </w:t>
      </w:r>
      <w:r>
        <w:rPr>
          <w:w w:val="99"/>
        </w:rPr>
        <w:t>instituted</w:t>
      </w:r>
      <w:r>
        <w:rPr/>
        <w:t> </w:t>
      </w:r>
      <w:r>
        <w:rPr>
          <w:w w:val="33"/>
        </w:rPr>
        <w:t>―</w:t>
      </w:r>
      <w:r>
        <w:rPr>
          <w:w w:val="99"/>
        </w:rPr>
        <w:t>befor</w:t>
      </w:r>
      <w:r>
        <w:rPr>
          <w:w w:val="91"/>
        </w:rPr>
        <w:t>e‖</w:t>
      </w:r>
      <w:r>
        <w:rPr/>
        <w:t> </w:t>
      </w:r>
      <w:r>
        <w:rPr>
          <w:w w:val="99"/>
        </w:rPr>
        <w:t>the </w:t>
      </w:r>
      <w:r>
        <w:rPr/>
        <w:t>period has commenced.</w:t>
      </w:r>
    </w:p>
    <w:p>
      <w:pPr>
        <w:pStyle w:val="BodyText"/>
        <w:spacing w:before="8"/>
        <w:rPr>
          <w:sz w:val="24"/>
        </w:rPr>
      </w:pPr>
    </w:p>
    <w:p>
      <w:pPr>
        <w:pStyle w:val="Heading5"/>
        <w:numPr>
          <w:ilvl w:val="0"/>
          <w:numId w:val="83"/>
        </w:numPr>
        <w:tabs>
          <w:tab w:pos="1221" w:val="left" w:leader="none"/>
        </w:tabs>
        <w:spacing w:line="480" w:lineRule="auto" w:before="0" w:after="0"/>
        <w:ind w:left="1220" w:right="437" w:hanging="720"/>
        <w:jc w:val="both"/>
      </w:pPr>
      <w:r>
        <w:rPr/>
        <w:t>Denial of Nirmohi Akhara‘s ‗absolute‘ shebaiti rights of management and charge is a continuing wrong. By virtue of Section 23 of the Limitation </w:t>
      </w:r>
      <w:r>
        <w:rPr>
          <w:spacing w:val="-3"/>
        </w:rPr>
        <w:t>Act </w:t>
      </w:r>
      <w:r>
        <w:rPr/>
        <w:t>1908, a fresh cause of action arose every</w:t>
      </w:r>
      <w:r>
        <w:rPr>
          <w:spacing w:val="-8"/>
        </w:rPr>
        <w:t> </w:t>
      </w:r>
      <w:r>
        <w:rPr/>
        <w:t>day:</w:t>
      </w:r>
    </w:p>
    <w:p>
      <w:pPr>
        <w:pStyle w:val="ListParagraph"/>
        <w:numPr>
          <w:ilvl w:val="1"/>
          <w:numId w:val="83"/>
        </w:numPr>
        <w:tabs>
          <w:tab w:pos="1941" w:val="left" w:leader="none"/>
        </w:tabs>
        <w:spacing w:line="480" w:lineRule="auto" w:before="4" w:after="0"/>
        <w:ind w:left="1940" w:right="438" w:hanging="720"/>
        <w:jc w:val="both"/>
        <w:rPr>
          <w:sz w:val="25"/>
        </w:rPr>
      </w:pPr>
      <w:r>
        <w:rPr>
          <w:sz w:val="25"/>
        </w:rPr>
        <w:t>The limitation for Suit 3 is governed by Article 142 as the plaintiffs were dispossessed of their property. Article 142 is applicable when the suit is filed for possession of immovable property when the plaintiff, while in possession of the property, has been dispossessed or has discontinued the possession. The plaintiffs in Suit 3 had the management and charge over the idols and the temple as they were performing the puja, taking care of the pilgrims and performing other duties. The rights to do puja, et al. i.e. the shebaiti rights are attached to the possession of the immovable property. The plaintiff relied on the following precedents to illustrate its proprietary interest in the</w:t>
      </w:r>
      <w:r>
        <w:rPr>
          <w:spacing w:val="-3"/>
          <w:sz w:val="25"/>
        </w:rPr>
        <w:t> </w:t>
      </w:r>
      <w:r>
        <w:rPr>
          <w:sz w:val="25"/>
        </w:rPr>
        <w:t>property:</w:t>
      </w:r>
    </w:p>
    <w:p>
      <w:pPr>
        <w:spacing w:after="0" w:line="480" w:lineRule="auto"/>
        <w:jc w:val="both"/>
        <w:rPr>
          <w:sz w:val="25"/>
        </w:rPr>
        <w:sectPr>
          <w:pgSz w:w="11910" w:h="16840"/>
          <w:pgMar w:header="721" w:footer="1014" w:top="1300" w:bottom="1200" w:left="940" w:right="1000"/>
        </w:sectPr>
      </w:pPr>
    </w:p>
    <w:p>
      <w:pPr>
        <w:pStyle w:val="ListParagraph"/>
        <w:numPr>
          <w:ilvl w:val="2"/>
          <w:numId w:val="83"/>
        </w:numPr>
        <w:tabs>
          <w:tab w:pos="2661" w:val="left" w:leader="none"/>
        </w:tabs>
        <w:spacing w:line="480" w:lineRule="auto" w:before="121" w:after="0"/>
        <w:ind w:left="2660" w:right="434" w:hanging="720"/>
        <w:jc w:val="both"/>
        <w:rPr>
          <w:sz w:val="25"/>
        </w:rPr>
      </w:pPr>
      <w:r>
        <w:rPr>
          <w:b/>
          <w:sz w:val="25"/>
        </w:rPr>
        <w:t>Angurbala Mullick </w:t>
      </w:r>
      <w:r>
        <w:rPr>
          <w:sz w:val="25"/>
        </w:rPr>
        <w:t>v </w:t>
      </w:r>
      <w:r>
        <w:rPr>
          <w:b/>
          <w:sz w:val="25"/>
        </w:rPr>
        <w:t>Debabrata Mullick</w:t>
      </w:r>
      <w:r>
        <w:rPr>
          <w:sz w:val="25"/>
          <w:vertAlign w:val="superscript"/>
        </w:rPr>
        <w:t>127</w:t>
      </w:r>
      <w:r>
        <w:rPr>
          <w:sz w:val="25"/>
          <w:vertAlign w:val="baseline"/>
        </w:rPr>
        <w:t> where it was held that a shebait enjoys some sort of right or interest in the endowed property which partially at least has the character of a proprietary right;</w:t>
      </w:r>
      <w:r>
        <w:rPr>
          <w:spacing w:val="-6"/>
          <w:sz w:val="25"/>
          <w:vertAlign w:val="baseline"/>
        </w:rPr>
        <w:t> </w:t>
      </w:r>
      <w:r>
        <w:rPr>
          <w:sz w:val="25"/>
          <w:vertAlign w:val="baseline"/>
        </w:rPr>
        <w:t>and</w:t>
      </w:r>
    </w:p>
    <w:p>
      <w:pPr>
        <w:pStyle w:val="ListParagraph"/>
        <w:numPr>
          <w:ilvl w:val="2"/>
          <w:numId w:val="83"/>
        </w:numPr>
        <w:tabs>
          <w:tab w:pos="2661" w:val="left" w:leader="none"/>
        </w:tabs>
        <w:spacing w:line="480" w:lineRule="auto" w:before="0" w:after="0"/>
        <w:ind w:left="2660" w:right="438" w:hanging="720"/>
        <w:jc w:val="both"/>
        <w:rPr>
          <w:sz w:val="25"/>
        </w:rPr>
      </w:pPr>
      <w:r>
        <w:rPr>
          <w:b/>
          <w:sz w:val="25"/>
        </w:rPr>
        <w:t>Commissioner, Hindu Religious Endowments </w:t>
      </w:r>
      <w:r>
        <w:rPr>
          <w:sz w:val="25"/>
        </w:rPr>
        <w:t>v </w:t>
      </w:r>
      <w:r>
        <w:rPr>
          <w:b/>
          <w:sz w:val="25"/>
        </w:rPr>
        <w:t>Sri Lakshmindra Thirtha Swamiar of Sri Shirur Mutt</w:t>
      </w:r>
      <w:r>
        <w:rPr>
          <w:sz w:val="25"/>
          <w:vertAlign w:val="superscript"/>
        </w:rPr>
        <w:t>128</w:t>
      </w:r>
      <w:r>
        <w:rPr>
          <w:sz w:val="25"/>
          <w:vertAlign w:val="baseline"/>
        </w:rPr>
        <w:t> where it was held that in shebaitship both the elements of office and property, of duties and personal interest are blended together. The office of the Mahant has the character of a proprietary right which, though anomalous to some extent, is still a genuine legal</w:t>
      </w:r>
      <w:r>
        <w:rPr>
          <w:spacing w:val="-2"/>
          <w:sz w:val="25"/>
          <w:vertAlign w:val="baseline"/>
        </w:rPr>
        <w:t> </w:t>
      </w:r>
      <w:r>
        <w:rPr>
          <w:sz w:val="25"/>
          <w:vertAlign w:val="baseline"/>
        </w:rPr>
        <w:t>right.</w:t>
      </w:r>
    </w:p>
    <w:p>
      <w:pPr>
        <w:pStyle w:val="BodyText"/>
        <w:spacing w:before="3"/>
      </w:pPr>
    </w:p>
    <w:p>
      <w:pPr>
        <w:pStyle w:val="ListParagraph"/>
        <w:numPr>
          <w:ilvl w:val="1"/>
          <w:numId w:val="83"/>
        </w:numPr>
        <w:tabs>
          <w:tab w:pos="1941" w:val="left" w:leader="none"/>
        </w:tabs>
        <w:spacing w:line="480" w:lineRule="auto" w:before="1" w:after="0"/>
        <w:ind w:left="1940" w:right="443" w:hanging="720"/>
        <w:jc w:val="both"/>
        <w:rPr>
          <w:sz w:val="25"/>
        </w:rPr>
      </w:pPr>
      <w:r>
        <w:rPr>
          <w:sz w:val="25"/>
        </w:rPr>
        <w:t>A suit for restoration of shebaiti rights would be for recovery of possession and restoration of management. Article 142 would be attracted which provides a limitation of 12 years from the date of dispossession;</w:t>
      </w:r>
    </w:p>
    <w:p>
      <w:pPr>
        <w:pStyle w:val="ListParagraph"/>
        <w:numPr>
          <w:ilvl w:val="1"/>
          <w:numId w:val="83"/>
        </w:numPr>
        <w:tabs>
          <w:tab w:pos="1941" w:val="left" w:leader="none"/>
        </w:tabs>
        <w:spacing w:line="480" w:lineRule="auto" w:before="0" w:after="0"/>
        <w:ind w:left="1940" w:right="436" w:hanging="720"/>
        <w:jc w:val="both"/>
        <w:rPr>
          <w:sz w:val="25"/>
        </w:rPr>
      </w:pPr>
      <w:r>
        <w:rPr>
          <w:sz w:val="25"/>
        </w:rPr>
        <w:t>The cause of action arose on 5 January 1949 by which Nirmohi Akhara was denied its absolute right as a shebait and it continues to be denied those rights. The obstruction of the plaintiff‘s right to manage the </w:t>
      </w:r>
      <w:r>
        <w:rPr>
          <w:i/>
          <w:sz w:val="25"/>
        </w:rPr>
        <w:t>bhog </w:t>
      </w:r>
      <w:r>
        <w:rPr>
          <w:sz w:val="25"/>
        </w:rPr>
        <w:t>and prayers independently is a continuing wrong under Section 23 of the Limitation Act and every obstruction provides a fresh cause of action. Reliance was placed upon the judgement</w:t>
      </w:r>
      <w:r>
        <w:rPr>
          <w:spacing w:val="24"/>
          <w:sz w:val="25"/>
        </w:rPr>
        <w:t> </w:t>
      </w:r>
      <w:r>
        <w:rPr>
          <w:sz w:val="25"/>
        </w:rPr>
        <w:t>of</w:t>
      </w:r>
      <w:r>
        <w:rPr>
          <w:spacing w:val="26"/>
          <w:sz w:val="25"/>
        </w:rPr>
        <w:t> </w:t>
      </w:r>
      <w:r>
        <w:rPr>
          <w:sz w:val="25"/>
        </w:rPr>
        <w:t>the</w:t>
      </w:r>
      <w:r>
        <w:rPr>
          <w:spacing w:val="25"/>
          <w:sz w:val="25"/>
        </w:rPr>
        <w:t> </w:t>
      </w:r>
      <w:r>
        <w:rPr>
          <w:sz w:val="25"/>
        </w:rPr>
        <w:t>Privy</w:t>
      </w:r>
      <w:r>
        <w:rPr>
          <w:spacing w:val="22"/>
          <w:sz w:val="25"/>
        </w:rPr>
        <w:t> </w:t>
      </w:r>
      <w:r>
        <w:rPr>
          <w:sz w:val="25"/>
        </w:rPr>
        <w:t>Council</w:t>
      </w:r>
      <w:r>
        <w:rPr>
          <w:spacing w:val="24"/>
          <w:sz w:val="25"/>
        </w:rPr>
        <w:t> </w:t>
      </w:r>
      <w:r>
        <w:rPr>
          <w:sz w:val="25"/>
        </w:rPr>
        <w:t>in</w:t>
      </w:r>
      <w:r>
        <w:rPr>
          <w:spacing w:val="32"/>
          <w:sz w:val="25"/>
        </w:rPr>
        <w:t> </w:t>
      </w:r>
      <w:r>
        <w:rPr>
          <w:b/>
          <w:sz w:val="25"/>
        </w:rPr>
        <w:t>Sir</w:t>
      </w:r>
      <w:r>
        <w:rPr>
          <w:b/>
          <w:spacing w:val="26"/>
          <w:sz w:val="25"/>
        </w:rPr>
        <w:t> </w:t>
      </w:r>
      <w:r>
        <w:rPr>
          <w:b/>
          <w:sz w:val="25"/>
        </w:rPr>
        <w:t>Seth</w:t>
      </w:r>
      <w:r>
        <w:rPr>
          <w:b/>
          <w:spacing w:val="26"/>
          <w:sz w:val="25"/>
        </w:rPr>
        <w:t> </w:t>
      </w:r>
      <w:r>
        <w:rPr>
          <w:b/>
          <w:sz w:val="25"/>
        </w:rPr>
        <w:t>Hukum</w:t>
      </w:r>
      <w:r>
        <w:rPr>
          <w:b/>
          <w:spacing w:val="24"/>
          <w:sz w:val="25"/>
        </w:rPr>
        <w:t> </w:t>
      </w:r>
      <w:r>
        <w:rPr>
          <w:b/>
          <w:sz w:val="25"/>
        </w:rPr>
        <w:t>Chand</w:t>
      </w:r>
      <w:r>
        <w:rPr>
          <w:b/>
          <w:spacing w:val="27"/>
          <w:sz w:val="25"/>
        </w:rPr>
        <w:t> </w:t>
      </w:r>
      <w:r>
        <w:rPr>
          <w:sz w:val="25"/>
        </w:rPr>
        <w:t>v</w:t>
      </w:r>
    </w:p>
    <w:p>
      <w:pPr>
        <w:pStyle w:val="BodyText"/>
        <w:rPr>
          <w:sz w:val="20"/>
        </w:rPr>
      </w:pPr>
    </w:p>
    <w:p>
      <w:pPr>
        <w:pStyle w:val="BodyText"/>
        <w:spacing w:before="4"/>
        <w:rPr>
          <w:sz w:val="19"/>
        </w:rPr>
      </w:pPr>
      <w:r>
        <w:rPr/>
        <w:pict>
          <v:rect style="position:absolute;margin-left:72.024002pt;margin-top:13.089327pt;width:144.020pt;height:.599980pt;mso-position-horizontal-relative:page;mso-position-vertical-relative:paragraph;z-index:-1569024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127</w:t>
      </w:r>
      <w:r>
        <w:rPr>
          <w:sz w:val="18"/>
          <w:vertAlign w:val="baseline"/>
        </w:rPr>
        <w:t> 1951 SCR</w:t>
      </w:r>
      <w:r>
        <w:rPr>
          <w:spacing w:val="-9"/>
          <w:sz w:val="18"/>
          <w:vertAlign w:val="baseline"/>
        </w:rPr>
        <w:t> </w:t>
      </w:r>
      <w:r>
        <w:rPr>
          <w:sz w:val="18"/>
          <w:vertAlign w:val="baseline"/>
        </w:rPr>
        <w:t>1125</w:t>
      </w:r>
    </w:p>
    <w:p>
      <w:pPr>
        <w:spacing w:before="2"/>
        <w:ind w:left="500" w:right="0" w:firstLine="0"/>
        <w:jc w:val="left"/>
        <w:rPr>
          <w:sz w:val="18"/>
        </w:rPr>
      </w:pPr>
      <w:r>
        <w:rPr>
          <w:sz w:val="18"/>
          <w:vertAlign w:val="superscript"/>
        </w:rPr>
        <w:t>128</w:t>
      </w:r>
      <w:r>
        <w:rPr>
          <w:sz w:val="18"/>
          <w:vertAlign w:val="baseline"/>
        </w:rPr>
        <w:t> 1954 SCR</w:t>
      </w:r>
      <w:r>
        <w:rPr>
          <w:spacing w:val="-9"/>
          <w:sz w:val="18"/>
          <w:vertAlign w:val="baseline"/>
        </w:rPr>
        <w:t> </w:t>
      </w:r>
      <w:r>
        <w:rPr>
          <w:sz w:val="18"/>
          <w:vertAlign w:val="baseline"/>
        </w:rPr>
        <w:t>1005</w:t>
      </w:r>
    </w:p>
    <w:p>
      <w:pPr>
        <w:spacing w:after="0"/>
        <w:jc w:val="left"/>
        <w:rPr>
          <w:sz w:val="18"/>
        </w:rPr>
        <w:sectPr>
          <w:pgSz w:w="11910" w:h="16840"/>
          <w:pgMar w:header="721" w:footer="1014" w:top="1300" w:bottom="1200" w:left="940" w:right="1000"/>
        </w:sectPr>
      </w:pPr>
    </w:p>
    <w:p>
      <w:pPr>
        <w:pStyle w:val="BodyText"/>
        <w:spacing w:line="482" w:lineRule="auto" w:before="121"/>
        <w:ind w:left="1940" w:right="441"/>
        <w:jc w:val="both"/>
      </w:pPr>
      <w:r>
        <w:rPr>
          <w:b/>
        </w:rPr>
        <w:t>Maharaj Bahadur Singh</w:t>
      </w:r>
      <w:r>
        <w:rPr>
          <w:vertAlign w:val="superscript"/>
        </w:rPr>
        <w:t>129</w:t>
      </w:r>
      <w:r>
        <w:rPr>
          <w:vertAlign w:val="baseline"/>
        </w:rPr>
        <w:t> where the obstruction of prayer and worship has been held to be a continuing wrong.</w:t>
      </w:r>
    </w:p>
    <w:p>
      <w:pPr>
        <w:pStyle w:val="BodyText"/>
        <w:spacing w:before="6"/>
        <w:rPr>
          <w:sz w:val="24"/>
        </w:rPr>
      </w:pPr>
    </w:p>
    <w:p>
      <w:pPr>
        <w:pStyle w:val="Heading5"/>
        <w:numPr>
          <w:ilvl w:val="0"/>
          <w:numId w:val="83"/>
        </w:numPr>
        <w:tabs>
          <w:tab w:pos="1221" w:val="left" w:leader="none"/>
        </w:tabs>
        <w:spacing w:line="480" w:lineRule="auto" w:before="0" w:after="0"/>
        <w:ind w:left="1220" w:right="438" w:hanging="720"/>
        <w:jc w:val="both"/>
      </w:pPr>
      <w:r>
        <w:rPr/>
        <w:t>Article 120 of the Limitation </w:t>
      </w:r>
      <w:r>
        <w:rPr>
          <w:spacing w:val="-3"/>
        </w:rPr>
        <w:t>Act </w:t>
      </w:r>
      <w:r>
        <w:rPr/>
        <w:t>1908 is a residuary provision and is applicable when no other provision, including Articles 47 and 142 applies. The doctrine of merger applies, and the preliminary order dated 29 December 1949 passed under Section 145 merges with the order dated 26 April 1955 by which the ad-interim injunction in Suit 1 was upheld by the High</w:t>
      </w:r>
      <w:r>
        <w:rPr>
          <w:spacing w:val="-11"/>
        </w:rPr>
        <w:t> </w:t>
      </w:r>
      <w:r>
        <w:rPr/>
        <w:t>Court:</w:t>
      </w:r>
    </w:p>
    <w:p>
      <w:pPr>
        <w:pStyle w:val="ListParagraph"/>
        <w:numPr>
          <w:ilvl w:val="1"/>
          <w:numId w:val="83"/>
        </w:numPr>
        <w:tabs>
          <w:tab w:pos="1941" w:val="left" w:leader="none"/>
        </w:tabs>
        <w:spacing w:line="480" w:lineRule="auto" w:before="2" w:after="0"/>
        <w:ind w:left="1940" w:right="443" w:hanging="720"/>
        <w:jc w:val="both"/>
        <w:rPr>
          <w:sz w:val="25"/>
        </w:rPr>
      </w:pPr>
      <w:r>
        <w:rPr>
          <w:sz w:val="25"/>
        </w:rPr>
        <w:t>The submission is on the assumption (without conceding) that Articles 47 and 142 are not applicable and Article 120</w:t>
      </w:r>
      <w:r>
        <w:rPr>
          <w:spacing w:val="-16"/>
          <w:sz w:val="25"/>
        </w:rPr>
        <w:t> </w:t>
      </w:r>
      <w:r>
        <w:rPr>
          <w:sz w:val="25"/>
        </w:rPr>
        <w:t>applies;</w:t>
      </w:r>
    </w:p>
    <w:p>
      <w:pPr>
        <w:pStyle w:val="ListParagraph"/>
        <w:numPr>
          <w:ilvl w:val="1"/>
          <w:numId w:val="83"/>
        </w:numPr>
        <w:tabs>
          <w:tab w:pos="1941" w:val="left" w:leader="none"/>
        </w:tabs>
        <w:spacing w:line="480" w:lineRule="auto" w:before="0" w:after="0"/>
        <w:ind w:left="1940" w:right="436" w:hanging="720"/>
        <w:jc w:val="both"/>
        <w:rPr>
          <w:sz w:val="25"/>
        </w:rPr>
      </w:pPr>
      <w:r>
        <w:rPr>
          <w:sz w:val="25"/>
        </w:rPr>
        <w:t>By virtue of the doctrine of merger, the order of the Additional City Magistrate dated 29 December 1949 in the proceedings under Section 145 of the CrPC merged with the order of the High Court dated 26 April 1955 in the appeal against the interim order to maintain </w:t>
      </w:r>
      <w:r>
        <w:rPr>
          <w:i/>
          <w:sz w:val="25"/>
        </w:rPr>
        <w:t>status quo </w:t>
      </w:r>
      <w:r>
        <w:rPr>
          <w:sz w:val="25"/>
        </w:rPr>
        <w:t>in Suit 1. Therefore, the plaintiff‘s right to sue accrued on 26 April 1955. Suit 3 which was filed on 17 December 1959 was within the period of limitation of six years. Reliance was placed upon the decisions of this Court</w:t>
      </w:r>
      <w:r>
        <w:rPr>
          <w:spacing w:val="-7"/>
          <w:sz w:val="25"/>
        </w:rPr>
        <w:t> </w:t>
      </w:r>
      <w:r>
        <w:rPr>
          <w:sz w:val="25"/>
        </w:rPr>
        <w:t>in:</w:t>
      </w:r>
    </w:p>
    <w:p>
      <w:pPr>
        <w:pStyle w:val="ListParagraph"/>
        <w:numPr>
          <w:ilvl w:val="2"/>
          <w:numId w:val="83"/>
        </w:numPr>
        <w:tabs>
          <w:tab w:pos="2661" w:val="left" w:leader="none"/>
        </w:tabs>
        <w:spacing w:line="480" w:lineRule="auto" w:before="0" w:after="0"/>
        <w:ind w:left="2660" w:right="437" w:hanging="720"/>
        <w:jc w:val="both"/>
        <w:rPr>
          <w:sz w:val="25"/>
        </w:rPr>
      </w:pPr>
      <w:r>
        <w:rPr/>
        <w:pict>
          <v:rect style="position:absolute;margin-left:72.024002pt;margin-top:139.664871pt;width:144.020pt;height:.599980pt;mso-position-horizontal-relative:page;mso-position-vertical-relative:paragraph;z-index:-23885312" filled="true" fillcolor="#000000" stroked="false">
            <v:fill type="solid"/>
            <w10:wrap type="none"/>
          </v:rect>
        </w:pict>
      </w:r>
      <w:r>
        <w:rPr>
          <w:b/>
          <w:sz w:val="25"/>
        </w:rPr>
        <w:t>Chandi Prasad </w:t>
      </w:r>
      <w:r>
        <w:rPr>
          <w:sz w:val="25"/>
        </w:rPr>
        <w:t>v </w:t>
      </w:r>
      <w:r>
        <w:rPr>
          <w:b/>
          <w:sz w:val="25"/>
        </w:rPr>
        <w:t>Jagdish Prasad</w:t>
      </w:r>
      <w:r>
        <w:rPr>
          <w:sz w:val="25"/>
          <w:vertAlign w:val="superscript"/>
        </w:rPr>
        <w:t>130</w:t>
      </w:r>
      <w:r>
        <w:rPr>
          <w:sz w:val="25"/>
          <w:vertAlign w:val="baseline"/>
        </w:rPr>
        <w:t>, where it was held that the doctrine of merger postulates that there cannot be more than one operative decree governing the same subject-matter at a given point of time. When the appellate court passes a decree, the decree of the trial court merges with the decree</w:t>
      </w:r>
      <w:r>
        <w:rPr>
          <w:spacing w:val="27"/>
          <w:sz w:val="25"/>
          <w:vertAlign w:val="baseline"/>
        </w:rPr>
        <w:t> </w:t>
      </w:r>
      <w:r>
        <w:rPr>
          <w:sz w:val="25"/>
          <w:vertAlign w:val="baseline"/>
        </w:rPr>
        <w:t>of</w:t>
      </w:r>
    </w:p>
    <w:p>
      <w:pPr>
        <w:spacing w:before="37"/>
        <w:ind w:left="500" w:right="0" w:firstLine="0"/>
        <w:jc w:val="left"/>
        <w:rPr>
          <w:sz w:val="18"/>
        </w:rPr>
      </w:pPr>
      <w:r>
        <w:rPr>
          <w:sz w:val="18"/>
          <w:vertAlign w:val="superscript"/>
        </w:rPr>
        <w:t>129</w:t>
      </w:r>
      <w:r>
        <w:rPr>
          <w:sz w:val="18"/>
          <w:vertAlign w:val="baseline"/>
        </w:rPr>
        <w:t> (1933) 38 LW 306 (PC)</w:t>
      </w:r>
    </w:p>
    <w:p>
      <w:pPr>
        <w:spacing w:after="0"/>
        <w:jc w:val="left"/>
        <w:rPr>
          <w:sz w:val="18"/>
        </w:rPr>
        <w:sectPr>
          <w:headerReference w:type="default" r:id="rId78"/>
          <w:footerReference w:type="default" r:id="rId79"/>
          <w:pgSz w:w="11910" w:h="16840"/>
          <w:pgMar w:header="721" w:footer="1367" w:top="1300" w:bottom="1560" w:left="940" w:right="1000"/>
          <w:pgNumType w:start="130"/>
        </w:sectPr>
      </w:pPr>
    </w:p>
    <w:p>
      <w:pPr>
        <w:pStyle w:val="BodyText"/>
        <w:spacing w:line="480" w:lineRule="auto" w:before="124"/>
        <w:ind w:left="2660" w:right="445"/>
        <w:jc w:val="both"/>
      </w:pPr>
      <w:r>
        <w:rPr/>
        <w:t>the appellate court, irrespective of whether the appellate court affirms, modifies or reverses the decree passed by the trial court; and</w:t>
      </w:r>
    </w:p>
    <w:p>
      <w:pPr>
        <w:pStyle w:val="ListParagraph"/>
        <w:numPr>
          <w:ilvl w:val="2"/>
          <w:numId w:val="83"/>
        </w:numPr>
        <w:tabs>
          <w:tab w:pos="2661" w:val="left" w:leader="none"/>
        </w:tabs>
        <w:spacing w:line="480" w:lineRule="auto" w:before="0" w:after="0"/>
        <w:ind w:left="2660" w:right="437" w:hanging="720"/>
        <w:jc w:val="both"/>
        <w:rPr>
          <w:sz w:val="25"/>
        </w:rPr>
      </w:pPr>
      <w:r>
        <w:rPr>
          <w:b/>
          <w:sz w:val="25"/>
        </w:rPr>
        <w:t>S S Rathore </w:t>
      </w:r>
      <w:r>
        <w:rPr>
          <w:sz w:val="25"/>
        </w:rPr>
        <w:t>v </w:t>
      </w:r>
      <w:r>
        <w:rPr>
          <w:b/>
          <w:sz w:val="25"/>
        </w:rPr>
        <w:t>State of Madhya Pradesh</w:t>
      </w:r>
      <w:r>
        <w:rPr>
          <w:sz w:val="25"/>
          <w:vertAlign w:val="superscript"/>
        </w:rPr>
        <w:t>131</w:t>
      </w:r>
      <w:r>
        <w:rPr>
          <w:sz w:val="25"/>
          <w:vertAlign w:val="baseline"/>
        </w:rPr>
        <w:t>, where it was held that a decree of a court of first instance merges in the decree passed in</w:t>
      </w:r>
      <w:r>
        <w:rPr>
          <w:spacing w:val="-2"/>
          <w:sz w:val="25"/>
          <w:vertAlign w:val="baseline"/>
        </w:rPr>
        <w:t> </w:t>
      </w:r>
      <w:r>
        <w:rPr>
          <w:sz w:val="25"/>
          <w:vertAlign w:val="baseline"/>
        </w:rPr>
        <w:t>appeal.</w:t>
      </w:r>
    </w:p>
    <w:p>
      <w:pPr>
        <w:pStyle w:val="BodyText"/>
        <w:spacing w:before="9"/>
        <w:rPr>
          <w:sz w:val="24"/>
        </w:rPr>
      </w:pPr>
    </w:p>
    <w:p>
      <w:pPr>
        <w:pStyle w:val="Heading5"/>
        <w:numPr>
          <w:ilvl w:val="0"/>
          <w:numId w:val="83"/>
        </w:numPr>
        <w:tabs>
          <w:tab w:pos="1221" w:val="left" w:leader="none"/>
        </w:tabs>
        <w:spacing w:line="480" w:lineRule="auto" w:before="0" w:after="0"/>
        <w:ind w:left="1220" w:right="441" w:hanging="720"/>
        <w:jc w:val="both"/>
      </w:pPr>
      <w:r>
        <w:rPr/>
        <w:t>In a suit for restoration of possession from a receiver, the question of limitation can never arise and such suits can never be barred by limitation.</w:t>
      </w:r>
    </w:p>
    <w:p>
      <w:pPr>
        <w:pStyle w:val="BodyText"/>
        <w:spacing w:before="3"/>
        <w:rPr>
          <w:b/>
        </w:rPr>
      </w:pPr>
    </w:p>
    <w:p>
      <w:pPr>
        <w:pStyle w:val="ListParagraph"/>
        <w:numPr>
          <w:ilvl w:val="1"/>
          <w:numId w:val="83"/>
        </w:numPr>
        <w:tabs>
          <w:tab w:pos="1941" w:val="left" w:leader="none"/>
        </w:tabs>
        <w:spacing w:line="480" w:lineRule="auto" w:before="1" w:after="0"/>
        <w:ind w:left="1940" w:right="440" w:hanging="720"/>
        <w:jc w:val="both"/>
        <w:rPr>
          <w:sz w:val="25"/>
        </w:rPr>
      </w:pPr>
      <w:r>
        <w:rPr>
          <w:sz w:val="25"/>
        </w:rPr>
        <w:t>So long as the property of a person from whom possession was taken continues to be under a receiver, the question of limitation can never arise;</w:t>
      </w:r>
      <w:r>
        <w:rPr>
          <w:spacing w:val="-2"/>
          <w:sz w:val="25"/>
        </w:rPr>
        <w:t> </w:t>
      </w:r>
      <w:r>
        <w:rPr>
          <w:sz w:val="25"/>
        </w:rPr>
        <w:t>and</w:t>
      </w:r>
    </w:p>
    <w:p>
      <w:pPr>
        <w:pStyle w:val="ListParagraph"/>
        <w:numPr>
          <w:ilvl w:val="1"/>
          <w:numId w:val="83"/>
        </w:numPr>
        <w:tabs>
          <w:tab w:pos="1941" w:val="left" w:leader="none"/>
        </w:tabs>
        <w:spacing w:line="480" w:lineRule="auto" w:before="0" w:after="0"/>
        <w:ind w:left="1940" w:right="439" w:hanging="720"/>
        <w:jc w:val="both"/>
        <w:rPr>
          <w:sz w:val="25"/>
        </w:rPr>
      </w:pPr>
      <w:r>
        <w:rPr>
          <w:sz w:val="25"/>
        </w:rPr>
        <w:t>The property cannot remain </w:t>
      </w:r>
      <w:r>
        <w:rPr>
          <w:i/>
          <w:sz w:val="25"/>
        </w:rPr>
        <w:t>custodia legis ad-infinitum </w:t>
      </w:r>
      <w:r>
        <w:rPr>
          <w:sz w:val="25"/>
        </w:rPr>
        <w:t>and it is incumbent for the court to adjudicate upon the issue of title and the suit cannot be dismissed as barred by</w:t>
      </w:r>
      <w:r>
        <w:rPr>
          <w:spacing w:val="-8"/>
          <w:sz w:val="25"/>
        </w:rPr>
        <w:t> </w:t>
      </w:r>
      <w:r>
        <w:rPr>
          <w:sz w:val="25"/>
        </w:rPr>
        <w:t>limitation.</w:t>
      </w:r>
    </w:p>
    <w:p>
      <w:pPr>
        <w:pStyle w:val="Heading5"/>
        <w:numPr>
          <w:ilvl w:val="0"/>
          <w:numId w:val="83"/>
        </w:numPr>
        <w:tabs>
          <w:tab w:pos="1221" w:val="left" w:leader="none"/>
        </w:tabs>
        <w:spacing w:line="480" w:lineRule="auto" w:before="0" w:after="0"/>
        <w:ind w:left="1220" w:right="440" w:hanging="720"/>
        <w:jc w:val="both"/>
      </w:pPr>
      <w:r>
        <w:rPr/>
        <w:t>In determining the entitlement to </w:t>
      </w:r>
      <w:r>
        <w:rPr>
          <w:i/>
        </w:rPr>
        <w:t>mesne </w:t>
      </w:r>
      <w:r>
        <w:rPr/>
        <w:t>profits, the question of title will have to be adjudicated upon and possession will have to be delivered by the receiver to the true</w:t>
      </w:r>
      <w:r>
        <w:rPr>
          <w:spacing w:val="-8"/>
        </w:rPr>
        <w:t> </w:t>
      </w:r>
      <w:r>
        <w:rPr/>
        <w:t>owner:</w:t>
      </w:r>
    </w:p>
    <w:p>
      <w:pPr>
        <w:pStyle w:val="BodyText"/>
        <w:spacing w:before="10"/>
        <w:rPr>
          <w:b/>
          <w:sz w:val="24"/>
        </w:rPr>
      </w:pPr>
    </w:p>
    <w:p>
      <w:pPr>
        <w:pStyle w:val="BodyText"/>
        <w:spacing w:line="480" w:lineRule="auto"/>
        <w:ind w:left="1220" w:right="434"/>
        <w:jc w:val="both"/>
      </w:pPr>
      <w:r>
        <w:rPr/>
        <w:pict>
          <v:rect style="position:absolute;margin-left:72.024002pt;margin-top:121.184875pt;width:144.020pt;height:.599980pt;mso-position-horizontal-relative:page;mso-position-vertical-relative:paragraph;z-index:-15689216;mso-wrap-distance-left:0;mso-wrap-distance-right:0" filled="true" fillcolor="#000000" stroked="false">
            <v:fill type="solid"/>
            <w10:wrap type="topAndBottom"/>
          </v:rect>
        </w:pict>
      </w:r>
      <w:r>
        <w:rPr/>
        <w:t>As the property is under the control of the receiver, a suit for </w:t>
      </w:r>
      <w:r>
        <w:rPr>
          <w:i/>
        </w:rPr>
        <w:t>mesne </w:t>
      </w:r>
      <w:r>
        <w:rPr/>
        <w:t>profits for income derived by the receiver can be filed by the true owner and in such a suit, any benefit which accrues would give rise to a continuing cause of</w:t>
      </w:r>
      <w:r>
        <w:rPr>
          <w:spacing w:val="-3"/>
        </w:rPr>
        <w:t> </w:t>
      </w:r>
      <w:r>
        <w:rPr/>
        <w:t>action.</w:t>
      </w:r>
    </w:p>
    <w:p>
      <w:pPr>
        <w:spacing w:after="0" w:line="480" w:lineRule="auto"/>
        <w:jc w:val="both"/>
        <w:sectPr>
          <w:headerReference w:type="default" r:id="rId80"/>
          <w:footerReference w:type="default" r:id="rId81"/>
          <w:pgSz w:w="11910" w:h="16840"/>
          <w:pgMar w:header="721" w:footer="1476" w:top="1300" w:bottom="1660" w:left="940" w:right="1000"/>
        </w:sectPr>
      </w:pPr>
    </w:p>
    <w:p>
      <w:pPr>
        <w:pStyle w:val="Heading5"/>
        <w:numPr>
          <w:ilvl w:val="0"/>
          <w:numId w:val="83"/>
        </w:numPr>
        <w:tabs>
          <w:tab w:pos="1221" w:val="left" w:leader="none"/>
        </w:tabs>
        <w:spacing w:line="480" w:lineRule="auto" w:before="121" w:after="0"/>
        <w:ind w:left="1220" w:right="439" w:hanging="720"/>
        <w:jc w:val="both"/>
      </w:pPr>
      <w:r>
        <w:rPr/>
        <w:t>It is the plaintiff‘s claim that Nirmohi Akhara is also the shebait of the janmasthan and the idols. For the same reason that Suit 5 of 1989 was held to be within limitation i.e. the deity </w:t>
      </w:r>
      <w:r>
        <w:rPr>
          <w:spacing w:val="2"/>
        </w:rPr>
        <w:t>was </w:t>
      </w:r>
      <w:r>
        <w:rPr/>
        <w:t>a perpetual minor, the suit of the plaintiff cannot be barred by</w:t>
      </w:r>
      <w:r>
        <w:rPr>
          <w:spacing w:val="-19"/>
        </w:rPr>
        <w:t> </w:t>
      </w:r>
      <w:r>
        <w:rPr/>
        <w:t>limitation.</w:t>
      </w:r>
    </w:p>
    <w:p>
      <w:pPr>
        <w:pStyle w:val="BodyText"/>
        <w:rPr>
          <w:b/>
          <w:sz w:val="28"/>
        </w:rPr>
      </w:pPr>
    </w:p>
    <w:p>
      <w:pPr>
        <w:pStyle w:val="BodyText"/>
        <w:spacing w:before="3"/>
        <w:rPr>
          <w:b/>
          <w:sz w:val="22"/>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Mr K Parasaran, learned Senior Counsel for the plaintiffs in Suit 5 refuted the submissions made by Mr S K Jain and made the following submissions with respect to limitation and the maintainability of Suit</w:t>
      </w:r>
      <w:r>
        <w:rPr>
          <w:spacing w:val="-5"/>
          <w:sz w:val="25"/>
        </w:rPr>
        <w:t> </w:t>
      </w:r>
      <w:r>
        <w:rPr>
          <w:sz w:val="25"/>
        </w:rPr>
        <w:t>3:</w:t>
      </w:r>
    </w:p>
    <w:p>
      <w:pPr>
        <w:pStyle w:val="Heading5"/>
        <w:numPr>
          <w:ilvl w:val="0"/>
          <w:numId w:val="84"/>
        </w:numPr>
        <w:tabs>
          <w:tab w:pos="1221" w:val="left" w:leader="none"/>
        </w:tabs>
        <w:spacing w:line="480" w:lineRule="auto" w:before="0" w:after="0"/>
        <w:ind w:left="1220" w:right="441" w:hanging="720"/>
        <w:jc w:val="both"/>
      </w:pPr>
      <w:r>
        <w:rPr/>
        <w:t>The Magistrate‘s order under Section 145 is an exercise of police powers for securing peace and does not determine title or possession over the property. Since such an order does not purport to give possession to any party, the question of Nirmohi Akahara being dispossessed on account of an order in proceedings under Section 145 proceedings does not</w:t>
      </w:r>
      <w:r>
        <w:rPr>
          <w:spacing w:val="-4"/>
        </w:rPr>
        <w:t> </w:t>
      </w:r>
      <w:r>
        <w:rPr/>
        <w:t>arise.</w:t>
      </w:r>
    </w:p>
    <w:p>
      <w:pPr>
        <w:pStyle w:val="ListParagraph"/>
        <w:numPr>
          <w:ilvl w:val="1"/>
          <w:numId w:val="84"/>
        </w:numPr>
        <w:tabs>
          <w:tab w:pos="1941" w:val="left" w:leader="none"/>
        </w:tabs>
        <w:spacing w:line="480" w:lineRule="auto" w:before="1" w:after="0"/>
        <w:ind w:left="1940" w:right="437" w:hanging="720"/>
        <w:jc w:val="both"/>
        <w:rPr>
          <w:sz w:val="25"/>
        </w:rPr>
      </w:pPr>
      <w:r>
        <w:rPr>
          <w:sz w:val="25"/>
        </w:rPr>
        <w:t>An order under Section 145 is an exercise of police powers for securing peace. It is only for preventing breach of peace and does not determine the rights of parties with respect to title over property. Section 145 proceedings simply freeze or protect the rights of the rightful owner. An order of the Magistrate in exercise of the executive function can never be a wrongful act or cause injury. The order of a civil court cannot be considered as a ‗wrong‘ giving rise</w:t>
      </w:r>
      <w:r>
        <w:rPr>
          <w:spacing w:val="-37"/>
          <w:sz w:val="25"/>
        </w:rPr>
        <w:t> </w:t>
      </w:r>
      <w:r>
        <w:rPr>
          <w:sz w:val="25"/>
        </w:rPr>
        <w:t>to a cause of action. Only a judicial authority has the power to decide whether the action of the civil court is wrong. Questions relating to title</w:t>
      </w:r>
      <w:r>
        <w:rPr>
          <w:spacing w:val="25"/>
          <w:sz w:val="25"/>
        </w:rPr>
        <w:t> </w:t>
      </w:r>
      <w:r>
        <w:rPr>
          <w:sz w:val="25"/>
        </w:rPr>
        <w:t>and</w:t>
      </w:r>
      <w:r>
        <w:rPr>
          <w:spacing w:val="25"/>
          <w:sz w:val="25"/>
        </w:rPr>
        <w:t> </w:t>
      </w:r>
      <w:r>
        <w:rPr>
          <w:sz w:val="25"/>
        </w:rPr>
        <w:t>possession</w:t>
      </w:r>
      <w:r>
        <w:rPr>
          <w:spacing w:val="30"/>
          <w:sz w:val="25"/>
        </w:rPr>
        <w:t> </w:t>
      </w:r>
      <w:r>
        <w:rPr>
          <w:sz w:val="25"/>
        </w:rPr>
        <w:t>are</w:t>
      </w:r>
      <w:r>
        <w:rPr>
          <w:spacing w:val="26"/>
          <w:sz w:val="25"/>
        </w:rPr>
        <w:t> </w:t>
      </w:r>
      <w:r>
        <w:rPr>
          <w:sz w:val="25"/>
        </w:rPr>
        <w:t>exclusively</w:t>
      </w:r>
      <w:r>
        <w:rPr>
          <w:spacing w:val="22"/>
          <w:sz w:val="25"/>
        </w:rPr>
        <w:t> </w:t>
      </w:r>
      <w:r>
        <w:rPr>
          <w:sz w:val="25"/>
        </w:rPr>
        <w:t>matters</w:t>
      </w:r>
      <w:r>
        <w:rPr>
          <w:spacing w:val="25"/>
          <w:sz w:val="25"/>
        </w:rPr>
        <w:t> </w:t>
      </w:r>
      <w:r>
        <w:rPr>
          <w:sz w:val="25"/>
        </w:rPr>
        <w:t>for</w:t>
      </w:r>
      <w:r>
        <w:rPr>
          <w:spacing w:val="32"/>
          <w:sz w:val="25"/>
        </w:rPr>
        <w:t> </w:t>
      </w:r>
      <w:r>
        <w:rPr>
          <w:sz w:val="25"/>
        </w:rPr>
        <w:t>civil</w:t>
      </w:r>
      <w:r>
        <w:rPr>
          <w:spacing w:val="28"/>
          <w:sz w:val="25"/>
        </w:rPr>
        <w:t> </w:t>
      </w:r>
      <w:r>
        <w:rPr>
          <w:sz w:val="25"/>
        </w:rPr>
        <w:t>courts</w:t>
      </w:r>
      <w:r>
        <w:rPr>
          <w:spacing w:val="26"/>
          <w:sz w:val="25"/>
        </w:rPr>
        <w:t> </w:t>
      </w:r>
      <w:r>
        <w:rPr>
          <w:sz w:val="25"/>
        </w:rPr>
        <w:t>and</w:t>
      </w:r>
      <w:r>
        <w:rPr>
          <w:spacing w:val="25"/>
          <w:sz w:val="25"/>
        </w:rPr>
        <w:t> </w:t>
      </w:r>
      <w:r>
        <w:rPr>
          <w:sz w:val="25"/>
        </w:rPr>
        <w:t>the</w:t>
      </w:r>
    </w:p>
    <w:p>
      <w:pPr>
        <w:spacing w:after="0" w:line="480" w:lineRule="auto"/>
        <w:jc w:val="both"/>
        <w:rPr>
          <w:sz w:val="25"/>
        </w:rPr>
        <w:sectPr>
          <w:headerReference w:type="default" r:id="rId82"/>
          <w:footerReference w:type="default" r:id="rId83"/>
          <w:pgSz w:w="11910" w:h="16840"/>
          <w:pgMar w:header="721" w:footer="1014" w:top="1300" w:bottom="1200" w:left="940" w:right="1000"/>
          <w:pgNumType w:start="267"/>
        </w:sectPr>
      </w:pPr>
    </w:p>
    <w:p>
      <w:pPr>
        <w:pStyle w:val="BodyText"/>
        <w:spacing w:line="480" w:lineRule="auto" w:before="124"/>
        <w:ind w:left="1940" w:right="448"/>
        <w:jc w:val="both"/>
      </w:pPr>
      <w:r>
        <w:rPr/>
        <w:t>Magistrate‘s order under Section 145 cannot oust the jurisdiction of the civil court;</w:t>
      </w:r>
    </w:p>
    <w:p>
      <w:pPr>
        <w:pStyle w:val="ListParagraph"/>
        <w:numPr>
          <w:ilvl w:val="1"/>
          <w:numId w:val="84"/>
        </w:numPr>
        <w:tabs>
          <w:tab w:pos="1941" w:val="left" w:leader="none"/>
        </w:tabs>
        <w:spacing w:line="480" w:lineRule="auto" w:before="0" w:after="0"/>
        <w:ind w:left="1940" w:right="434" w:hanging="720"/>
        <w:jc w:val="both"/>
        <w:rPr>
          <w:sz w:val="25"/>
        </w:rPr>
      </w:pPr>
      <w:r>
        <w:rPr>
          <w:sz w:val="25"/>
        </w:rPr>
        <w:t>The proceedings under Section 145 are distinct and there exists no bar for parties to file a civil suit for title or possession after the order has been passed by the Magistrate. The jurisdiction of the civil court is not curtailed by the order of the Magistrate under Section 145 and civil proceedings can be pursued independently. Reliance was placed upon the decisions of this Court in the following</w:t>
      </w:r>
      <w:r>
        <w:rPr>
          <w:spacing w:val="-12"/>
          <w:sz w:val="25"/>
        </w:rPr>
        <w:t> </w:t>
      </w:r>
      <w:r>
        <w:rPr>
          <w:sz w:val="25"/>
        </w:rPr>
        <w:t>cases:</w:t>
      </w:r>
    </w:p>
    <w:p>
      <w:pPr>
        <w:pStyle w:val="ListParagraph"/>
        <w:numPr>
          <w:ilvl w:val="2"/>
          <w:numId w:val="84"/>
        </w:numPr>
        <w:tabs>
          <w:tab w:pos="2661" w:val="left" w:leader="none"/>
        </w:tabs>
        <w:spacing w:line="480" w:lineRule="auto" w:before="0" w:after="0"/>
        <w:ind w:left="2660" w:right="437" w:hanging="720"/>
        <w:jc w:val="both"/>
        <w:rPr>
          <w:sz w:val="25"/>
        </w:rPr>
      </w:pPr>
      <w:r>
        <w:rPr>
          <w:b/>
          <w:sz w:val="25"/>
        </w:rPr>
        <w:t>Bhinka </w:t>
      </w:r>
      <w:r>
        <w:rPr>
          <w:sz w:val="25"/>
        </w:rPr>
        <w:t>v </w:t>
      </w:r>
      <w:r>
        <w:rPr>
          <w:b/>
          <w:sz w:val="25"/>
        </w:rPr>
        <w:t>Charan Singh</w:t>
      </w:r>
      <w:r>
        <w:rPr>
          <w:sz w:val="25"/>
          <w:vertAlign w:val="superscript"/>
        </w:rPr>
        <w:t>132</w:t>
      </w:r>
      <w:r>
        <w:rPr>
          <w:sz w:val="25"/>
          <w:vertAlign w:val="baseline"/>
        </w:rPr>
        <w:t>, where it was held that </w:t>
      </w:r>
      <w:r>
        <w:rPr>
          <w:spacing w:val="-3"/>
          <w:sz w:val="25"/>
          <w:vertAlign w:val="baseline"/>
        </w:rPr>
        <w:t>under </w:t>
      </w:r>
      <w:r>
        <w:rPr>
          <w:sz w:val="25"/>
          <w:vertAlign w:val="baseline"/>
        </w:rPr>
        <w:t>Section 145(1), the Magistrate‘s jurisdiction is confined only to decide whether, any and if so, which of the parties was on the date of the preliminary order in possession of the land in dispute. The order only declares the actual possession of a party on a specified date and does not purport to give possession or authorise any party to take</w:t>
      </w:r>
      <w:r>
        <w:rPr>
          <w:spacing w:val="-11"/>
          <w:sz w:val="25"/>
          <w:vertAlign w:val="baseline"/>
        </w:rPr>
        <w:t> </w:t>
      </w:r>
      <w:r>
        <w:rPr>
          <w:sz w:val="25"/>
          <w:vertAlign w:val="baseline"/>
        </w:rPr>
        <w:t>possession;</w:t>
      </w:r>
    </w:p>
    <w:p>
      <w:pPr>
        <w:pStyle w:val="ListParagraph"/>
        <w:numPr>
          <w:ilvl w:val="2"/>
          <w:numId w:val="84"/>
        </w:numPr>
        <w:tabs>
          <w:tab w:pos="2661" w:val="left" w:leader="none"/>
        </w:tabs>
        <w:spacing w:line="480" w:lineRule="auto" w:before="0" w:after="0"/>
        <w:ind w:left="2660" w:right="433" w:hanging="720"/>
        <w:jc w:val="both"/>
        <w:rPr>
          <w:sz w:val="25"/>
        </w:rPr>
      </w:pPr>
      <w:r>
        <w:rPr>
          <w:b/>
          <w:sz w:val="25"/>
        </w:rPr>
        <w:t>Jhummamal alias Devandas </w:t>
      </w:r>
      <w:r>
        <w:rPr>
          <w:sz w:val="25"/>
        </w:rPr>
        <w:t>v </w:t>
      </w:r>
      <w:r>
        <w:rPr>
          <w:b/>
          <w:sz w:val="25"/>
        </w:rPr>
        <w:t>State of Madhya Pradesh</w:t>
      </w:r>
      <w:r>
        <w:rPr>
          <w:sz w:val="25"/>
          <w:vertAlign w:val="superscript"/>
        </w:rPr>
        <w:t>133</w:t>
      </w:r>
      <w:r>
        <w:rPr>
          <w:sz w:val="25"/>
          <w:vertAlign w:val="baseline"/>
        </w:rPr>
        <w:t>, where it was held that an order made under Section 145 deals only with the factum of possession of the party as on a particular day. It confers no title to remain in possession of the disputed property. The unsuccessful party therefore must get relief only in the civil court in a properly constituted suit. A party may file a suit for declaration and prove</w:t>
      </w:r>
      <w:r>
        <w:rPr>
          <w:spacing w:val="42"/>
          <w:sz w:val="25"/>
          <w:vertAlign w:val="baseline"/>
        </w:rPr>
        <w:t> </w:t>
      </w:r>
      <w:r>
        <w:rPr>
          <w:sz w:val="25"/>
          <w:vertAlign w:val="baseline"/>
        </w:rPr>
        <w:t>a</w:t>
      </w:r>
      <w:r>
        <w:rPr>
          <w:spacing w:val="42"/>
          <w:sz w:val="25"/>
          <w:vertAlign w:val="baseline"/>
        </w:rPr>
        <w:t> </w:t>
      </w:r>
      <w:r>
        <w:rPr>
          <w:sz w:val="25"/>
          <w:vertAlign w:val="baseline"/>
        </w:rPr>
        <w:t>better</w:t>
      </w:r>
      <w:r>
        <w:rPr>
          <w:spacing w:val="42"/>
          <w:sz w:val="25"/>
          <w:vertAlign w:val="baseline"/>
        </w:rPr>
        <w:t> </w:t>
      </w:r>
      <w:r>
        <w:rPr>
          <w:sz w:val="25"/>
          <w:vertAlign w:val="baseline"/>
        </w:rPr>
        <w:t>right</w:t>
      </w:r>
      <w:r>
        <w:rPr>
          <w:spacing w:val="42"/>
          <w:sz w:val="25"/>
          <w:vertAlign w:val="baseline"/>
        </w:rPr>
        <w:t> </w:t>
      </w:r>
      <w:r>
        <w:rPr>
          <w:sz w:val="25"/>
          <w:vertAlign w:val="baseline"/>
        </w:rPr>
        <w:t>to</w:t>
      </w:r>
      <w:r>
        <w:rPr>
          <w:spacing w:val="43"/>
          <w:sz w:val="25"/>
          <w:vertAlign w:val="baseline"/>
        </w:rPr>
        <w:t> </w:t>
      </w:r>
      <w:r>
        <w:rPr>
          <w:sz w:val="25"/>
          <w:vertAlign w:val="baseline"/>
        </w:rPr>
        <w:t>possession.</w:t>
      </w:r>
      <w:r>
        <w:rPr>
          <w:spacing w:val="42"/>
          <w:sz w:val="25"/>
          <w:vertAlign w:val="baseline"/>
        </w:rPr>
        <w:t> </w:t>
      </w:r>
      <w:r>
        <w:rPr>
          <w:sz w:val="25"/>
          <w:vertAlign w:val="baseline"/>
        </w:rPr>
        <w:t>The</w:t>
      </w:r>
      <w:r>
        <w:rPr>
          <w:spacing w:val="48"/>
          <w:sz w:val="25"/>
          <w:vertAlign w:val="baseline"/>
        </w:rPr>
        <w:t> </w:t>
      </w:r>
      <w:r>
        <w:rPr>
          <w:sz w:val="25"/>
          <w:vertAlign w:val="baseline"/>
        </w:rPr>
        <w:t>civil</w:t>
      </w:r>
      <w:r>
        <w:rPr>
          <w:spacing w:val="41"/>
          <w:sz w:val="25"/>
          <w:vertAlign w:val="baseline"/>
        </w:rPr>
        <w:t> </w:t>
      </w:r>
      <w:r>
        <w:rPr>
          <w:sz w:val="25"/>
          <w:vertAlign w:val="baseline"/>
        </w:rPr>
        <w:t>court</w:t>
      </w:r>
      <w:r>
        <w:rPr>
          <w:spacing w:val="44"/>
          <w:sz w:val="25"/>
          <w:vertAlign w:val="baseline"/>
        </w:rPr>
        <w:t> </w:t>
      </w:r>
      <w:r>
        <w:rPr>
          <w:sz w:val="25"/>
          <w:vertAlign w:val="baseline"/>
        </w:rPr>
        <w:t>has</w:t>
      </w:r>
    </w:p>
    <w:p>
      <w:pPr>
        <w:pStyle w:val="BodyText"/>
        <w:spacing w:before="5"/>
        <w:rPr>
          <w:sz w:val="14"/>
        </w:rPr>
      </w:pPr>
      <w:r>
        <w:rPr/>
        <w:pict>
          <v:rect style="position:absolute;margin-left:72.024002pt;margin-top:10.264571pt;width:144.020pt;height:.599980pt;mso-position-horizontal-relative:page;mso-position-vertical-relative:paragraph;z-index:-1568870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132</w:t>
      </w:r>
      <w:r>
        <w:rPr>
          <w:sz w:val="18"/>
          <w:vertAlign w:val="baseline"/>
        </w:rPr>
        <w:t> 1959 Supp (2) SCR 798</w:t>
      </w:r>
    </w:p>
    <w:p>
      <w:pPr>
        <w:spacing w:before="2"/>
        <w:ind w:left="500" w:right="0" w:firstLine="0"/>
        <w:jc w:val="left"/>
        <w:rPr>
          <w:sz w:val="18"/>
        </w:rPr>
      </w:pPr>
      <w:r>
        <w:rPr>
          <w:sz w:val="18"/>
          <w:vertAlign w:val="superscript"/>
        </w:rPr>
        <w:t>133</w:t>
      </w:r>
      <w:r>
        <w:rPr>
          <w:sz w:val="18"/>
          <w:vertAlign w:val="baseline"/>
        </w:rPr>
        <w:t> (1988) 4 SCC 452</w:t>
      </w:r>
    </w:p>
    <w:p>
      <w:pPr>
        <w:spacing w:after="0"/>
        <w:jc w:val="left"/>
        <w:rPr>
          <w:sz w:val="18"/>
        </w:rPr>
        <w:sectPr>
          <w:pgSz w:w="11910" w:h="16840"/>
          <w:pgMar w:header="721" w:footer="1014" w:top="1300" w:bottom="1200" w:left="940" w:right="1000"/>
        </w:sectPr>
      </w:pPr>
    </w:p>
    <w:p>
      <w:pPr>
        <w:pStyle w:val="BodyText"/>
        <w:spacing w:line="480" w:lineRule="auto" w:before="124"/>
        <w:ind w:left="2660" w:right="441"/>
        <w:jc w:val="both"/>
      </w:pPr>
      <w:r>
        <w:rPr/>
        <w:t>jurisdiction to give a finding different from that which the Magistrate has reached in the proceedings under Section 145;</w:t>
      </w:r>
      <w:r>
        <w:rPr>
          <w:spacing w:val="-1"/>
        </w:rPr>
        <w:t> </w:t>
      </w:r>
      <w:r>
        <w:rPr/>
        <w:t>and</w:t>
      </w:r>
    </w:p>
    <w:p>
      <w:pPr>
        <w:pStyle w:val="ListParagraph"/>
        <w:numPr>
          <w:ilvl w:val="2"/>
          <w:numId w:val="84"/>
        </w:numPr>
        <w:tabs>
          <w:tab w:pos="2661" w:val="left" w:leader="none"/>
        </w:tabs>
        <w:spacing w:line="480" w:lineRule="auto" w:before="0" w:after="0"/>
        <w:ind w:left="2660" w:right="436" w:hanging="720"/>
        <w:jc w:val="both"/>
        <w:rPr>
          <w:sz w:val="25"/>
        </w:rPr>
      </w:pPr>
      <w:r>
        <w:rPr>
          <w:b/>
          <w:sz w:val="25"/>
        </w:rPr>
        <w:t>Deokuer </w:t>
      </w:r>
      <w:r>
        <w:rPr>
          <w:sz w:val="25"/>
        </w:rPr>
        <w:t>v </w:t>
      </w:r>
      <w:r>
        <w:rPr>
          <w:b/>
          <w:sz w:val="25"/>
        </w:rPr>
        <w:t>Sheoprasad Singh</w:t>
      </w:r>
      <w:r>
        <w:rPr>
          <w:sz w:val="25"/>
          <w:vertAlign w:val="superscript"/>
        </w:rPr>
        <w:t>134</w:t>
      </w:r>
      <w:r>
        <w:rPr>
          <w:sz w:val="25"/>
          <w:vertAlign w:val="baseline"/>
        </w:rPr>
        <w:t>, where it was held that in </w:t>
      </w:r>
      <w:r>
        <w:rPr>
          <w:spacing w:val="-12"/>
          <w:sz w:val="25"/>
          <w:vertAlign w:val="baseline"/>
        </w:rPr>
        <w:t>a </w:t>
      </w:r>
      <w:r>
        <w:rPr>
          <w:sz w:val="25"/>
          <w:vertAlign w:val="baseline"/>
        </w:rPr>
        <w:t>suit for declaration of title to property filed when the property is attached under Section 145, it is not necessary to ask for further relief of delivery of</w:t>
      </w:r>
      <w:r>
        <w:rPr>
          <w:spacing w:val="-5"/>
          <w:sz w:val="25"/>
          <w:vertAlign w:val="baseline"/>
        </w:rPr>
        <w:t> </w:t>
      </w:r>
      <w:r>
        <w:rPr>
          <w:sz w:val="25"/>
          <w:vertAlign w:val="baseline"/>
        </w:rPr>
        <w:t>possession.</w:t>
      </w:r>
    </w:p>
    <w:p>
      <w:pPr>
        <w:pStyle w:val="ListParagraph"/>
        <w:numPr>
          <w:ilvl w:val="1"/>
          <w:numId w:val="84"/>
        </w:numPr>
        <w:tabs>
          <w:tab w:pos="1852" w:val="left" w:leader="none"/>
        </w:tabs>
        <w:spacing w:line="480" w:lineRule="auto" w:before="0" w:after="0"/>
        <w:ind w:left="1851" w:right="436" w:hanging="632"/>
        <w:jc w:val="both"/>
        <w:rPr>
          <w:sz w:val="25"/>
        </w:rPr>
      </w:pPr>
      <w:r>
        <w:rPr>
          <w:sz w:val="25"/>
        </w:rPr>
        <w:t>Mr S K Jain‘s submission in Suit 3 stating that the proceedings under Section 145 have not attained finality and therefore, the limitation under Article 47 cannot begin to run cannot be accepted. Irrespective of the proceedings under Section 145, Nirmohi Akhara could independently have filed a suit for title and</w:t>
      </w:r>
      <w:r>
        <w:rPr>
          <w:spacing w:val="-5"/>
          <w:sz w:val="25"/>
        </w:rPr>
        <w:t> </w:t>
      </w:r>
      <w:r>
        <w:rPr>
          <w:sz w:val="25"/>
        </w:rPr>
        <w:t>possession.</w:t>
      </w:r>
    </w:p>
    <w:p>
      <w:pPr>
        <w:pStyle w:val="BodyText"/>
        <w:spacing w:before="11"/>
        <w:rPr>
          <w:sz w:val="24"/>
        </w:rPr>
      </w:pPr>
    </w:p>
    <w:p>
      <w:pPr>
        <w:pStyle w:val="Heading5"/>
        <w:numPr>
          <w:ilvl w:val="0"/>
          <w:numId w:val="84"/>
        </w:numPr>
        <w:tabs>
          <w:tab w:pos="1221" w:val="left" w:leader="none"/>
        </w:tabs>
        <w:spacing w:line="480" w:lineRule="auto" w:before="0" w:after="0"/>
        <w:ind w:left="1220" w:right="443" w:hanging="720"/>
        <w:jc w:val="both"/>
      </w:pPr>
      <w:r>
        <w:rPr/>
        <w:t>Section 3 of the Limitation </w:t>
      </w:r>
      <w:r>
        <w:rPr>
          <w:spacing w:val="-3"/>
        </w:rPr>
        <w:t>Act </w:t>
      </w:r>
      <w:r>
        <w:rPr/>
        <w:t>1908 provides that every suit instituted after the period of limitation shall be dismissed. The Supreme Court can dispose of appeals only on the ground of limitation. Unlike the Trial Court that has to decide on all issues, the Supreme Court is not bound to do so once it comes to the conclusion that a suit is barred by</w:t>
      </w:r>
      <w:r>
        <w:rPr>
          <w:spacing w:val="-5"/>
        </w:rPr>
        <w:t> </w:t>
      </w:r>
      <w:r>
        <w:rPr/>
        <w:t>limitation.</w:t>
      </w:r>
    </w:p>
    <w:p>
      <w:pPr>
        <w:pStyle w:val="ListParagraph"/>
        <w:numPr>
          <w:ilvl w:val="1"/>
          <w:numId w:val="84"/>
        </w:numPr>
        <w:tabs>
          <w:tab w:pos="1919" w:val="left" w:leader="none"/>
        </w:tabs>
        <w:spacing w:line="480" w:lineRule="auto" w:before="0" w:after="0"/>
        <w:ind w:left="1918" w:right="435" w:hanging="699"/>
        <w:jc w:val="both"/>
        <w:rPr>
          <w:sz w:val="25"/>
        </w:rPr>
      </w:pPr>
      <w:r>
        <w:rPr>
          <w:sz w:val="25"/>
        </w:rPr>
        <w:t>Reliance was placed upon the decision of this Court in </w:t>
      </w:r>
      <w:r>
        <w:rPr>
          <w:b/>
          <w:sz w:val="25"/>
        </w:rPr>
        <w:t>Yeswant Deorao Deshmukh </w:t>
      </w:r>
      <w:r>
        <w:rPr>
          <w:sz w:val="25"/>
        </w:rPr>
        <w:t>v </w:t>
      </w:r>
      <w:r>
        <w:rPr>
          <w:b/>
          <w:sz w:val="25"/>
        </w:rPr>
        <w:t>Walchand Ramchand Kothari</w:t>
      </w:r>
      <w:r>
        <w:rPr>
          <w:sz w:val="25"/>
          <w:vertAlign w:val="superscript"/>
        </w:rPr>
        <w:t>135</w:t>
      </w:r>
      <w:r>
        <w:rPr>
          <w:sz w:val="25"/>
          <w:vertAlign w:val="baseline"/>
        </w:rPr>
        <w:t>, where </w:t>
      </w:r>
      <w:r>
        <w:rPr>
          <w:spacing w:val="-7"/>
          <w:sz w:val="25"/>
          <w:vertAlign w:val="baseline"/>
        </w:rPr>
        <w:t>it </w:t>
      </w:r>
      <w:r>
        <w:rPr>
          <w:sz w:val="25"/>
          <w:vertAlign w:val="baseline"/>
        </w:rPr>
        <w:t>was observed that the rules of equity have no application where there are definitive statutory provisions specifying the grounds</w:t>
      </w:r>
      <w:r>
        <w:rPr>
          <w:spacing w:val="-25"/>
          <w:sz w:val="25"/>
          <w:vertAlign w:val="baseline"/>
        </w:rPr>
        <w:t> </w:t>
      </w:r>
      <w:r>
        <w:rPr>
          <w:sz w:val="25"/>
          <w:vertAlign w:val="baseline"/>
        </w:rPr>
        <w:t>on</w:t>
      </w:r>
    </w:p>
    <w:p>
      <w:pPr>
        <w:pStyle w:val="BodyText"/>
        <w:spacing w:before="1"/>
        <w:ind w:left="1918"/>
        <w:jc w:val="both"/>
      </w:pPr>
      <w:r>
        <w:rPr/>
        <w:t>the basis of which alone stoppage or suspension of the running of</w:t>
      </w:r>
    </w:p>
    <w:p>
      <w:pPr>
        <w:spacing w:after="0"/>
        <w:jc w:val="both"/>
        <w:sectPr>
          <w:headerReference w:type="default" r:id="rId84"/>
          <w:footerReference w:type="default" r:id="rId85"/>
          <w:pgSz w:w="11910" w:h="16840"/>
          <w:pgMar w:header="721" w:footer="1773" w:top="1300" w:bottom="1960" w:left="940" w:right="1000"/>
          <w:pgNumType w:start="269"/>
        </w:sectPr>
      </w:pPr>
    </w:p>
    <w:p>
      <w:pPr>
        <w:pStyle w:val="BodyText"/>
        <w:spacing w:line="480" w:lineRule="auto" w:before="124"/>
        <w:ind w:left="1918" w:right="443"/>
        <w:jc w:val="both"/>
      </w:pPr>
      <w:r>
        <w:rPr>
          <w:w w:val="99"/>
        </w:rPr>
        <w:t>time</w:t>
      </w:r>
      <w:r>
        <w:rPr/>
        <w:t>  </w:t>
      </w:r>
      <w:r>
        <w:rPr>
          <w:spacing w:val="2"/>
        </w:rPr>
        <w:t> </w:t>
      </w:r>
      <w:r>
        <w:rPr>
          <w:w w:val="99"/>
        </w:rPr>
        <w:t>can</w:t>
      </w:r>
      <w:r>
        <w:rPr/>
        <w:t>  </w:t>
      </w:r>
      <w:r>
        <w:rPr>
          <w:spacing w:val="3"/>
        </w:rPr>
        <w:t> </w:t>
      </w:r>
      <w:r>
        <w:rPr>
          <w:spacing w:val="-1"/>
          <w:w w:val="99"/>
        </w:rPr>
        <w:t>a</w:t>
      </w:r>
      <w:r>
        <w:rPr>
          <w:w w:val="99"/>
        </w:rPr>
        <w:t>r</w:t>
      </w:r>
      <w:r>
        <w:rPr>
          <w:spacing w:val="-1"/>
          <w:w w:val="99"/>
        </w:rPr>
        <w:t>ise</w:t>
      </w:r>
      <w:r>
        <w:rPr>
          <w:w w:val="99"/>
        </w:rPr>
        <w:t>.</w:t>
      </w:r>
      <w:r>
        <w:rPr/>
        <w:t>  </w:t>
      </w:r>
      <w:r>
        <w:rPr>
          <w:spacing w:val="-5"/>
        </w:rPr>
        <w:t> </w:t>
      </w:r>
      <w:r>
        <w:rPr>
          <w:spacing w:val="4"/>
          <w:w w:val="99"/>
        </w:rPr>
        <w:t>W</w:t>
      </w:r>
      <w:r>
        <w:rPr>
          <w:spacing w:val="-1"/>
          <w:w w:val="99"/>
        </w:rPr>
        <w:t>hil</w:t>
      </w:r>
      <w:r>
        <w:rPr>
          <w:w w:val="99"/>
        </w:rPr>
        <w:t>e</w:t>
      </w:r>
      <w:r>
        <w:rPr/>
        <w:t>  </w:t>
      </w:r>
      <w:r>
        <w:rPr>
          <w:spacing w:val="2"/>
        </w:rPr>
        <w:t> </w:t>
      </w:r>
      <w:r>
        <w:rPr>
          <w:w w:val="99"/>
        </w:rPr>
        <w:t>the</w:t>
      </w:r>
      <w:r>
        <w:rPr/>
        <w:t>  </w:t>
      </w:r>
      <w:r>
        <w:rPr>
          <w:spacing w:val="3"/>
        </w:rPr>
        <w:t> </w:t>
      </w:r>
      <w:r>
        <w:rPr>
          <w:w w:val="99"/>
        </w:rPr>
        <w:t>courts</w:t>
      </w:r>
      <w:r>
        <w:rPr/>
        <w:t>  </w:t>
      </w:r>
      <w:r>
        <w:rPr>
          <w:spacing w:val="2"/>
        </w:rPr>
        <w:t> </w:t>
      </w:r>
      <w:r>
        <w:rPr>
          <w:spacing w:val="-1"/>
          <w:w w:val="99"/>
        </w:rPr>
        <w:t>n</w:t>
      </w:r>
      <w:r>
        <w:rPr>
          <w:w w:val="99"/>
        </w:rPr>
        <w:t>e</w:t>
      </w:r>
      <w:r>
        <w:rPr>
          <w:spacing w:val="-3"/>
          <w:w w:val="99"/>
        </w:rPr>
        <w:t>c</w:t>
      </w:r>
      <w:r>
        <w:rPr>
          <w:spacing w:val="-1"/>
          <w:w w:val="99"/>
        </w:rPr>
        <w:t>ess</w:t>
      </w:r>
      <w:r>
        <w:rPr>
          <w:w w:val="99"/>
        </w:rPr>
        <w:t>ar</w:t>
      </w:r>
      <w:r>
        <w:rPr>
          <w:spacing w:val="-1"/>
          <w:w w:val="99"/>
        </w:rPr>
        <w:t>il</w:t>
      </w:r>
      <w:r>
        <w:rPr>
          <w:w w:val="99"/>
        </w:rPr>
        <w:t>y</w:t>
      </w:r>
      <w:r>
        <w:rPr/>
        <w:t>  </w:t>
      </w:r>
      <w:r>
        <w:rPr>
          <w:spacing w:val="-1"/>
        </w:rPr>
        <w:t> </w:t>
      </w:r>
      <w:r>
        <w:rPr>
          <w:spacing w:val="-1"/>
          <w:w w:val="99"/>
        </w:rPr>
        <w:t>a</w:t>
      </w:r>
      <w:r>
        <w:rPr>
          <w:w w:val="99"/>
        </w:rPr>
        <w:t>re</w:t>
      </w:r>
      <w:r>
        <w:rPr/>
        <w:t>  </w:t>
      </w:r>
      <w:r>
        <w:rPr>
          <w:spacing w:val="2"/>
        </w:rPr>
        <w:t> </w:t>
      </w:r>
      <w:r>
        <w:rPr>
          <w:w w:val="33"/>
        </w:rPr>
        <w:t>―</w:t>
      </w:r>
      <w:r>
        <w:rPr>
          <w:spacing w:val="-1"/>
          <w:w w:val="99"/>
        </w:rPr>
        <w:t>ast</w:t>
      </w:r>
      <w:r>
        <w:rPr>
          <w:w w:val="99"/>
        </w:rPr>
        <w:t>ute</w:t>
      </w:r>
      <w:r>
        <w:rPr/>
        <w:t>  </w:t>
      </w:r>
      <w:r>
        <w:rPr>
          <w:spacing w:val="3"/>
        </w:rPr>
        <w:t> </w:t>
      </w:r>
      <w:r>
        <w:rPr>
          <w:spacing w:val="-1"/>
          <w:w w:val="99"/>
        </w:rPr>
        <w:t>in </w:t>
      </w:r>
      <w:r>
        <w:rPr/>
        <w:t>checkmating or fighting fraud‖, it should be equally borne in mind that statutes of limitation are statutes of</w:t>
      </w:r>
      <w:r>
        <w:rPr>
          <w:spacing w:val="-7"/>
        </w:rPr>
        <w:t> </w:t>
      </w:r>
      <w:r>
        <w:rPr/>
        <w:t>repose.</w:t>
      </w:r>
    </w:p>
    <w:p>
      <w:pPr>
        <w:pStyle w:val="BodyText"/>
        <w:spacing w:before="7"/>
        <w:rPr>
          <w:sz w:val="24"/>
        </w:rPr>
      </w:pPr>
    </w:p>
    <w:p>
      <w:pPr>
        <w:pStyle w:val="Heading5"/>
        <w:numPr>
          <w:ilvl w:val="0"/>
          <w:numId w:val="84"/>
        </w:numPr>
        <w:tabs>
          <w:tab w:pos="1221" w:val="left" w:leader="none"/>
        </w:tabs>
        <w:spacing w:line="480" w:lineRule="auto" w:before="1" w:after="0"/>
        <w:ind w:left="1220" w:right="446" w:hanging="720"/>
        <w:jc w:val="both"/>
      </w:pPr>
      <w:r>
        <w:rPr/>
        <w:t>The High Court‘s decision has to be set aside. The decree is contrary to the law of pleadings. No prayer for a partition of land was sought by Nirmohi Akhara. The High Court‘s order has not been passed in pursuance of the ends of justice but is an end of</w:t>
      </w:r>
      <w:r>
        <w:rPr>
          <w:spacing w:val="-13"/>
        </w:rPr>
        <w:t> </w:t>
      </w:r>
      <w:r>
        <w:rPr/>
        <w:t>justice.</w:t>
      </w:r>
    </w:p>
    <w:p>
      <w:pPr>
        <w:pStyle w:val="BodyText"/>
        <w:spacing w:before="2"/>
        <w:rPr>
          <w:b/>
        </w:rPr>
      </w:pPr>
    </w:p>
    <w:p>
      <w:pPr>
        <w:pStyle w:val="ListParagraph"/>
        <w:numPr>
          <w:ilvl w:val="0"/>
          <w:numId w:val="84"/>
        </w:numPr>
        <w:tabs>
          <w:tab w:pos="1221" w:val="left" w:leader="none"/>
        </w:tabs>
        <w:spacing w:line="480" w:lineRule="auto" w:before="0" w:after="0"/>
        <w:ind w:left="1220" w:right="439" w:hanging="720"/>
        <w:jc w:val="both"/>
        <w:rPr>
          <w:b/>
          <w:sz w:val="25"/>
        </w:rPr>
      </w:pPr>
      <w:r>
        <w:rPr>
          <w:b/>
          <w:sz w:val="25"/>
        </w:rPr>
        <w:t>Section 28 of the Limitation </w:t>
      </w:r>
      <w:r>
        <w:rPr>
          <w:b/>
          <w:spacing w:val="-3"/>
          <w:sz w:val="25"/>
        </w:rPr>
        <w:t>Act </w:t>
      </w:r>
      <w:r>
        <w:rPr>
          <w:b/>
          <w:sz w:val="25"/>
        </w:rPr>
        <w:t>1908 extinguishes the substantive rights of a person. Accordingly, if the party fails on the issue of limitation, then it also fails on all other substantive issues and therefore, this Court cannot give any relief to Nirmohi Akhara in Suit 3.</w:t>
      </w:r>
    </w:p>
    <w:p>
      <w:pPr>
        <w:pStyle w:val="BodyText"/>
        <w:spacing w:before="11"/>
        <w:rPr>
          <w:b/>
          <w:sz w:val="24"/>
        </w:rPr>
      </w:pPr>
    </w:p>
    <w:p>
      <w:pPr>
        <w:pStyle w:val="ListParagraph"/>
        <w:numPr>
          <w:ilvl w:val="0"/>
          <w:numId w:val="84"/>
        </w:numPr>
        <w:tabs>
          <w:tab w:pos="1221" w:val="left" w:leader="none"/>
        </w:tabs>
        <w:spacing w:line="480" w:lineRule="auto" w:before="0" w:after="0"/>
        <w:ind w:left="1220" w:right="447" w:hanging="720"/>
        <w:jc w:val="both"/>
        <w:rPr>
          <w:b/>
          <w:sz w:val="25"/>
        </w:rPr>
      </w:pPr>
      <w:r>
        <w:rPr>
          <w:b/>
          <w:sz w:val="25"/>
        </w:rPr>
        <w:t>Article 120 alone governs the suit filed by Nirmohi Akhara. Articles 142 and 144 of the Limitation </w:t>
      </w:r>
      <w:r>
        <w:rPr>
          <w:b/>
          <w:spacing w:val="-3"/>
          <w:sz w:val="25"/>
        </w:rPr>
        <w:t>Act </w:t>
      </w:r>
      <w:r>
        <w:rPr>
          <w:b/>
          <w:sz w:val="25"/>
        </w:rPr>
        <w:t>are not applicable. Once limitation starts to run, it cannot be</w:t>
      </w:r>
      <w:r>
        <w:rPr>
          <w:b/>
          <w:spacing w:val="-4"/>
          <w:sz w:val="25"/>
        </w:rPr>
        <w:t> </w:t>
      </w:r>
      <w:r>
        <w:rPr>
          <w:b/>
          <w:sz w:val="25"/>
        </w:rPr>
        <w:t>stopped.</w:t>
      </w:r>
    </w:p>
    <w:p>
      <w:pPr>
        <w:pStyle w:val="ListParagraph"/>
        <w:numPr>
          <w:ilvl w:val="1"/>
          <w:numId w:val="84"/>
        </w:numPr>
        <w:tabs>
          <w:tab w:pos="1919" w:val="left" w:leader="none"/>
        </w:tabs>
        <w:spacing w:line="480" w:lineRule="auto" w:before="1" w:after="0"/>
        <w:ind w:left="1918" w:right="436" w:hanging="567"/>
        <w:jc w:val="both"/>
        <w:rPr>
          <w:sz w:val="25"/>
        </w:rPr>
      </w:pPr>
      <w:r>
        <w:rPr/>
        <w:pict>
          <v:rect style="position:absolute;margin-left:72.024002pt;margin-top:207.544876pt;width:144.020pt;height:.599980pt;mso-position-horizontal-relative:page;mso-position-vertical-relative:paragraph;z-index:-15688192;mso-wrap-distance-left:0;mso-wrap-distance-right:0" filled="true" fillcolor="#000000" stroked="false">
            <v:fill type="solid"/>
            <w10:wrap type="topAndBottom"/>
          </v:rect>
        </w:pict>
      </w:r>
      <w:r>
        <w:rPr>
          <w:sz w:val="25"/>
        </w:rPr>
        <w:t>Reliance was placed upon the decision of the Privy Council in </w:t>
      </w:r>
      <w:r>
        <w:rPr>
          <w:b/>
          <w:sz w:val="25"/>
        </w:rPr>
        <w:t>Raja Rajgan Maharaja Jagatjit Singh </w:t>
      </w:r>
      <w:r>
        <w:rPr>
          <w:sz w:val="25"/>
        </w:rPr>
        <w:t>v </w:t>
      </w:r>
      <w:r>
        <w:rPr>
          <w:b/>
          <w:sz w:val="25"/>
        </w:rPr>
        <w:t>Raja Partab Bahadur </w:t>
      </w:r>
      <w:r>
        <w:rPr>
          <w:b/>
          <w:spacing w:val="-3"/>
          <w:sz w:val="25"/>
        </w:rPr>
        <w:t>Singh</w:t>
      </w:r>
      <w:r>
        <w:rPr>
          <w:spacing w:val="-3"/>
          <w:sz w:val="25"/>
          <w:vertAlign w:val="superscript"/>
        </w:rPr>
        <w:t>136</w:t>
      </w:r>
      <w:r>
        <w:rPr>
          <w:spacing w:val="-3"/>
          <w:sz w:val="25"/>
          <w:vertAlign w:val="baseline"/>
        </w:rPr>
        <w:t>, </w:t>
      </w:r>
      <w:r>
        <w:rPr>
          <w:sz w:val="25"/>
          <w:vertAlign w:val="baseline"/>
        </w:rPr>
        <w:t>where it was held with regard to the statutory period of limitation,  that Article 47 does not apply, as there has been no order for possession by the Magistrate under Section 145. In a suit for declaration of title, Articles 142 and 144 do not apply and the suit is governed by Article</w:t>
      </w:r>
      <w:r>
        <w:rPr>
          <w:spacing w:val="-4"/>
          <w:sz w:val="25"/>
          <w:vertAlign w:val="baseline"/>
        </w:rPr>
        <w:t> </w:t>
      </w:r>
      <w:r>
        <w:rPr>
          <w:sz w:val="25"/>
          <w:vertAlign w:val="baseline"/>
        </w:rPr>
        <w:t>120.</w:t>
      </w:r>
    </w:p>
    <w:p>
      <w:pPr>
        <w:spacing w:before="80"/>
        <w:ind w:left="500" w:right="0" w:firstLine="0"/>
        <w:jc w:val="left"/>
        <w:rPr>
          <w:sz w:val="18"/>
        </w:rPr>
      </w:pPr>
      <w:r>
        <w:rPr>
          <w:sz w:val="18"/>
          <w:vertAlign w:val="superscript"/>
        </w:rPr>
        <w:t>136</w:t>
      </w:r>
      <w:r>
        <w:rPr>
          <w:sz w:val="18"/>
          <w:vertAlign w:val="baseline"/>
        </w:rPr>
        <w:t> (1942) 2 Mad LJ 384</w:t>
      </w:r>
    </w:p>
    <w:p>
      <w:pPr>
        <w:spacing w:after="0"/>
        <w:jc w:val="left"/>
        <w:rPr>
          <w:sz w:val="18"/>
        </w:rPr>
        <w:sectPr>
          <w:headerReference w:type="default" r:id="rId86"/>
          <w:footerReference w:type="default" r:id="rId87"/>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45" w:firstLine="0"/>
        <w:jc w:val="both"/>
        <w:rPr>
          <w:sz w:val="25"/>
        </w:rPr>
      </w:pPr>
      <w:r>
        <w:rPr>
          <w:sz w:val="25"/>
        </w:rPr>
        <w:t>Dr Rajeev Dhavan, learned Senior Counsel for the plaintiff in Suit 4 made the following submissions with respect to limitation of Suit</w:t>
      </w:r>
      <w:r>
        <w:rPr>
          <w:spacing w:val="-5"/>
          <w:sz w:val="25"/>
        </w:rPr>
        <w:t> </w:t>
      </w:r>
      <w:r>
        <w:rPr>
          <w:sz w:val="25"/>
        </w:rPr>
        <w:t>3:</w:t>
      </w:r>
    </w:p>
    <w:p>
      <w:pPr>
        <w:pStyle w:val="Heading5"/>
        <w:numPr>
          <w:ilvl w:val="0"/>
          <w:numId w:val="85"/>
        </w:numPr>
        <w:tabs>
          <w:tab w:pos="1221" w:val="left" w:leader="none"/>
        </w:tabs>
        <w:spacing w:line="480" w:lineRule="auto" w:before="0" w:after="0"/>
        <w:ind w:left="1220" w:right="441" w:hanging="720"/>
        <w:jc w:val="both"/>
      </w:pPr>
      <w:r>
        <w:rPr/>
        <w:t>The relief which Nirmohi Akhara has sought in Suit 3 is for management and charge. However in its plaint, it has claimed that Janmasthan ‗belongs‘ and ‗has always belonged to it‘ and the use of these</w:t>
      </w:r>
      <w:r>
        <w:rPr>
          <w:spacing w:val="31"/>
        </w:rPr>
        <w:t> </w:t>
      </w:r>
      <w:r>
        <w:rPr/>
        <w:t>terms</w:t>
      </w:r>
      <w:r>
        <w:rPr>
          <w:spacing w:val="31"/>
        </w:rPr>
        <w:t> </w:t>
      </w:r>
      <w:r>
        <w:rPr/>
        <w:t>in</w:t>
      </w:r>
      <w:r>
        <w:rPr>
          <w:spacing w:val="32"/>
        </w:rPr>
        <w:t> </w:t>
      </w:r>
      <w:r>
        <w:rPr/>
        <w:t>a</w:t>
      </w:r>
      <w:r>
        <w:rPr>
          <w:spacing w:val="35"/>
        </w:rPr>
        <w:t> </w:t>
      </w:r>
      <w:r>
        <w:rPr/>
        <w:t>loose</w:t>
      </w:r>
      <w:r>
        <w:rPr>
          <w:spacing w:val="33"/>
        </w:rPr>
        <w:t> </w:t>
      </w:r>
      <w:r>
        <w:rPr/>
        <w:t>sense</w:t>
      </w:r>
      <w:r>
        <w:rPr>
          <w:spacing w:val="31"/>
        </w:rPr>
        <w:t> </w:t>
      </w:r>
      <w:r>
        <w:rPr/>
        <w:t>may</w:t>
      </w:r>
      <w:r>
        <w:rPr>
          <w:spacing w:val="26"/>
        </w:rPr>
        <w:t> </w:t>
      </w:r>
      <w:r>
        <w:rPr/>
        <w:t>in</w:t>
      </w:r>
      <w:r>
        <w:rPr>
          <w:spacing w:val="32"/>
        </w:rPr>
        <w:t> </w:t>
      </w:r>
      <w:r>
        <w:rPr/>
        <w:t>a</w:t>
      </w:r>
      <w:r>
        <w:rPr>
          <w:spacing w:val="32"/>
        </w:rPr>
        <w:t> </w:t>
      </w:r>
      <w:r>
        <w:rPr/>
        <w:t>given</w:t>
      </w:r>
      <w:r>
        <w:rPr>
          <w:spacing w:val="32"/>
        </w:rPr>
        <w:t> </w:t>
      </w:r>
      <w:r>
        <w:rPr/>
        <w:t>context</w:t>
      </w:r>
      <w:r>
        <w:rPr>
          <w:spacing w:val="39"/>
        </w:rPr>
        <w:t> </w:t>
      </w:r>
      <w:r>
        <w:rPr/>
        <w:t>be</w:t>
      </w:r>
      <w:r>
        <w:rPr>
          <w:spacing w:val="31"/>
        </w:rPr>
        <w:t> </w:t>
      </w:r>
      <w:r>
        <w:rPr/>
        <w:t>inferred</w:t>
      </w:r>
      <w:r>
        <w:rPr>
          <w:spacing w:val="32"/>
        </w:rPr>
        <w:t> </w:t>
      </w:r>
      <w:r>
        <w:rPr/>
        <w:t>as</w:t>
      </w:r>
    </w:p>
    <w:p>
      <w:pPr>
        <w:spacing w:before="0"/>
        <w:ind w:left="1220" w:right="0" w:firstLine="0"/>
        <w:jc w:val="both"/>
        <w:rPr>
          <w:b/>
          <w:sz w:val="25"/>
        </w:rPr>
      </w:pPr>
      <w:r>
        <w:rPr>
          <w:b/>
          <w:sz w:val="25"/>
        </w:rPr>
        <w:t>‗possession‘, ‗ownership‘ and ‗implied title‘.</w:t>
      </w:r>
    </w:p>
    <w:p>
      <w:pPr>
        <w:pStyle w:val="BodyText"/>
        <w:rPr>
          <w:b/>
        </w:rPr>
      </w:pPr>
    </w:p>
    <w:p>
      <w:pPr>
        <w:pStyle w:val="ListParagraph"/>
        <w:numPr>
          <w:ilvl w:val="1"/>
          <w:numId w:val="85"/>
        </w:numPr>
        <w:tabs>
          <w:tab w:pos="1919" w:val="left" w:leader="none"/>
        </w:tabs>
        <w:spacing w:line="480" w:lineRule="auto" w:before="0" w:after="0"/>
        <w:ind w:left="1918" w:right="440" w:hanging="699"/>
        <w:jc w:val="both"/>
        <w:rPr>
          <w:sz w:val="25"/>
        </w:rPr>
      </w:pPr>
      <w:r>
        <w:rPr>
          <w:sz w:val="25"/>
        </w:rPr>
        <w:t>The relief sought by Nirmohi Akhara was only with respect to management and charge of the idols of Lord Ram. The case of Nirmohi Akhara is based on the deprivation of shebaiti rights by an order under Section 145 of the CrPC 1898. The claim is against the State for possession of usufruct and to render services to the deity. </w:t>
      </w:r>
      <w:r>
        <w:rPr>
          <w:spacing w:val="6"/>
          <w:w w:val="99"/>
          <w:sz w:val="25"/>
        </w:rPr>
        <w:t>W</w:t>
      </w:r>
      <w:r>
        <w:rPr>
          <w:spacing w:val="-2"/>
          <w:w w:val="99"/>
          <w:sz w:val="25"/>
        </w:rPr>
        <w:t>o</w:t>
      </w:r>
      <w:r>
        <w:rPr>
          <w:spacing w:val="-2"/>
          <w:w w:val="99"/>
          <w:sz w:val="25"/>
        </w:rPr>
        <w:t>r</w:t>
      </w:r>
      <w:r>
        <w:rPr>
          <w:w w:val="99"/>
          <w:sz w:val="25"/>
        </w:rPr>
        <w:t>ds</w:t>
      </w:r>
      <w:r>
        <w:rPr>
          <w:sz w:val="25"/>
        </w:rPr>
        <w:t> </w:t>
      </w:r>
      <w:r>
        <w:rPr>
          <w:spacing w:val="-5"/>
          <w:sz w:val="25"/>
        </w:rPr>
        <w:t> </w:t>
      </w:r>
      <w:r>
        <w:rPr>
          <w:w w:val="99"/>
          <w:sz w:val="25"/>
        </w:rPr>
        <w:t>such</w:t>
      </w:r>
      <w:r>
        <w:rPr>
          <w:sz w:val="25"/>
        </w:rPr>
        <w:t> </w:t>
      </w:r>
      <w:r>
        <w:rPr>
          <w:spacing w:val="-5"/>
          <w:sz w:val="25"/>
        </w:rPr>
        <w:t> </w:t>
      </w:r>
      <w:r>
        <w:rPr>
          <w:w w:val="99"/>
          <w:sz w:val="25"/>
        </w:rPr>
        <w:t>as</w:t>
      </w:r>
      <w:r>
        <w:rPr>
          <w:sz w:val="25"/>
        </w:rPr>
        <w:t> </w:t>
      </w:r>
      <w:r>
        <w:rPr>
          <w:spacing w:val="-3"/>
          <w:sz w:val="25"/>
        </w:rPr>
        <w:t> </w:t>
      </w:r>
      <w:r>
        <w:rPr>
          <w:w w:val="33"/>
          <w:sz w:val="25"/>
        </w:rPr>
        <w:t>―</w:t>
      </w:r>
      <w:r>
        <w:rPr>
          <w:spacing w:val="-1"/>
          <w:w w:val="99"/>
          <w:sz w:val="25"/>
        </w:rPr>
        <w:t>b</w:t>
      </w:r>
      <w:r>
        <w:rPr>
          <w:w w:val="99"/>
          <w:sz w:val="25"/>
        </w:rPr>
        <w:t>e</w:t>
      </w:r>
      <w:r>
        <w:rPr>
          <w:spacing w:val="-1"/>
          <w:w w:val="99"/>
          <w:sz w:val="25"/>
        </w:rPr>
        <w:t>lon</w:t>
      </w:r>
      <w:r>
        <w:rPr>
          <w:w w:val="99"/>
          <w:sz w:val="25"/>
        </w:rPr>
        <w:t>g</w:t>
      </w:r>
      <w:r>
        <w:rPr>
          <w:w w:val="80"/>
          <w:sz w:val="25"/>
        </w:rPr>
        <w:t>‖</w:t>
      </w:r>
      <w:r>
        <w:rPr>
          <w:sz w:val="25"/>
        </w:rPr>
        <w:t> </w:t>
      </w:r>
      <w:r>
        <w:rPr>
          <w:spacing w:val="-5"/>
          <w:sz w:val="25"/>
        </w:rPr>
        <w:t> </w:t>
      </w:r>
      <w:r>
        <w:rPr>
          <w:spacing w:val="-1"/>
          <w:w w:val="99"/>
          <w:sz w:val="25"/>
        </w:rPr>
        <w:t>o</w:t>
      </w:r>
      <w:r>
        <w:rPr>
          <w:w w:val="99"/>
          <w:sz w:val="25"/>
        </w:rPr>
        <w:t>r</w:t>
      </w:r>
      <w:r>
        <w:rPr>
          <w:sz w:val="25"/>
        </w:rPr>
        <w:t> </w:t>
      </w:r>
      <w:r>
        <w:rPr>
          <w:spacing w:val="-4"/>
          <w:sz w:val="25"/>
        </w:rPr>
        <w:t> </w:t>
      </w:r>
      <w:r>
        <w:rPr>
          <w:w w:val="33"/>
          <w:sz w:val="25"/>
        </w:rPr>
        <w:t>―</w:t>
      </w:r>
      <w:r>
        <w:rPr>
          <w:spacing w:val="-1"/>
          <w:w w:val="99"/>
          <w:sz w:val="25"/>
        </w:rPr>
        <w:t>b</w:t>
      </w:r>
      <w:r>
        <w:rPr>
          <w:w w:val="99"/>
          <w:sz w:val="25"/>
        </w:rPr>
        <w:t>e</w:t>
      </w:r>
      <w:r>
        <w:rPr>
          <w:spacing w:val="-1"/>
          <w:w w:val="99"/>
          <w:sz w:val="25"/>
        </w:rPr>
        <w:t>lon</w:t>
      </w:r>
      <w:r>
        <w:rPr>
          <w:w w:val="99"/>
          <w:sz w:val="25"/>
        </w:rPr>
        <w:t>g</w:t>
      </w:r>
      <w:r>
        <w:rPr>
          <w:spacing w:val="-1"/>
          <w:w w:val="95"/>
          <w:sz w:val="25"/>
        </w:rPr>
        <w:t>ing</w:t>
      </w:r>
      <w:r>
        <w:rPr>
          <w:w w:val="95"/>
          <w:sz w:val="25"/>
        </w:rPr>
        <w:t>‖</w:t>
      </w:r>
      <w:r>
        <w:rPr>
          <w:sz w:val="25"/>
        </w:rPr>
        <w:t> </w:t>
      </w:r>
      <w:r>
        <w:rPr>
          <w:spacing w:val="-6"/>
          <w:sz w:val="25"/>
        </w:rPr>
        <w:t> </w:t>
      </w:r>
      <w:r>
        <w:rPr>
          <w:spacing w:val="-1"/>
          <w:w w:val="99"/>
          <w:sz w:val="25"/>
        </w:rPr>
        <w:t>h</w:t>
      </w:r>
      <w:r>
        <w:rPr>
          <w:w w:val="99"/>
          <w:sz w:val="25"/>
        </w:rPr>
        <w:t>a</w:t>
      </w:r>
      <w:r>
        <w:rPr>
          <w:spacing w:val="-3"/>
          <w:w w:val="99"/>
          <w:sz w:val="25"/>
        </w:rPr>
        <w:t>v</w:t>
      </w:r>
      <w:r>
        <w:rPr>
          <w:w w:val="99"/>
          <w:sz w:val="25"/>
        </w:rPr>
        <w:t>e</w:t>
      </w:r>
      <w:r>
        <w:rPr>
          <w:sz w:val="25"/>
        </w:rPr>
        <w:t> </w:t>
      </w:r>
      <w:r>
        <w:rPr>
          <w:spacing w:val="-5"/>
          <w:sz w:val="25"/>
        </w:rPr>
        <w:t> </w:t>
      </w:r>
      <w:r>
        <w:rPr>
          <w:w w:val="99"/>
          <w:sz w:val="25"/>
        </w:rPr>
        <w:t>a</w:t>
      </w:r>
      <w:r>
        <w:rPr>
          <w:sz w:val="25"/>
        </w:rPr>
        <w:t> </w:t>
      </w:r>
      <w:r>
        <w:rPr>
          <w:spacing w:val="-5"/>
          <w:sz w:val="25"/>
        </w:rPr>
        <w:t> </w:t>
      </w:r>
      <w:r>
        <w:rPr>
          <w:w w:val="99"/>
          <w:sz w:val="25"/>
        </w:rPr>
        <w:t>fl</w:t>
      </w:r>
      <w:r>
        <w:rPr>
          <w:spacing w:val="2"/>
          <w:w w:val="99"/>
          <w:sz w:val="25"/>
        </w:rPr>
        <w:t>e</w:t>
      </w:r>
      <w:r>
        <w:rPr>
          <w:w w:val="99"/>
          <w:sz w:val="25"/>
        </w:rPr>
        <w:t>xible</w:t>
      </w:r>
      <w:r>
        <w:rPr>
          <w:sz w:val="25"/>
        </w:rPr>
        <w:t> </w:t>
      </w:r>
      <w:r>
        <w:rPr>
          <w:spacing w:val="-5"/>
          <w:sz w:val="25"/>
        </w:rPr>
        <w:t> </w:t>
      </w:r>
      <w:r>
        <w:rPr>
          <w:w w:val="99"/>
          <w:sz w:val="25"/>
        </w:rPr>
        <w:t>m</w:t>
      </w:r>
      <w:r>
        <w:rPr>
          <w:spacing w:val="-1"/>
          <w:w w:val="99"/>
          <w:sz w:val="25"/>
        </w:rPr>
        <w:t>e</w:t>
      </w:r>
      <w:r>
        <w:rPr>
          <w:spacing w:val="2"/>
          <w:w w:val="99"/>
          <w:sz w:val="25"/>
        </w:rPr>
        <w:t>a</w:t>
      </w:r>
      <w:r>
        <w:rPr>
          <w:spacing w:val="-1"/>
          <w:w w:val="99"/>
          <w:sz w:val="25"/>
        </w:rPr>
        <w:t>nin</w:t>
      </w:r>
      <w:r>
        <w:rPr>
          <w:w w:val="99"/>
          <w:sz w:val="25"/>
        </w:rPr>
        <w:t>g. </w:t>
      </w:r>
      <w:r>
        <w:rPr>
          <w:sz w:val="25"/>
        </w:rPr>
        <w:t>Reliance was placed upon the decisions of this Court</w:t>
      </w:r>
      <w:r>
        <w:rPr>
          <w:spacing w:val="-8"/>
          <w:sz w:val="25"/>
        </w:rPr>
        <w:t> </w:t>
      </w:r>
      <w:r>
        <w:rPr>
          <w:sz w:val="25"/>
        </w:rPr>
        <w:t>in:</w:t>
      </w:r>
    </w:p>
    <w:p>
      <w:pPr>
        <w:pStyle w:val="ListParagraph"/>
        <w:numPr>
          <w:ilvl w:val="2"/>
          <w:numId w:val="85"/>
        </w:numPr>
        <w:tabs>
          <w:tab w:pos="2730" w:val="left" w:leader="none"/>
        </w:tabs>
        <w:spacing w:line="480" w:lineRule="auto" w:before="0" w:after="0"/>
        <w:ind w:left="2660" w:right="438" w:hanging="720"/>
        <w:jc w:val="both"/>
        <w:rPr>
          <w:sz w:val="25"/>
        </w:rPr>
      </w:pPr>
      <w:r>
        <w:rPr/>
        <w:tab/>
      </w:r>
      <w:r>
        <w:rPr>
          <w:b/>
          <w:sz w:val="25"/>
        </w:rPr>
        <w:t>Late Nawab Sir Mir Osman </w:t>
      </w:r>
      <w:r>
        <w:rPr>
          <w:b/>
          <w:spacing w:val="-3"/>
          <w:sz w:val="25"/>
        </w:rPr>
        <w:t>Ali </w:t>
      </w:r>
      <w:r>
        <w:rPr>
          <w:b/>
          <w:sz w:val="25"/>
        </w:rPr>
        <w:t>Khan </w:t>
      </w:r>
      <w:r>
        <w:rPr>
          <w:sz w:val="25"/>
        </w:rPr>
        <w:t>v </w:t>
      </w:r>
      <w:r>
        <w:rPr>
          <w:b/>
          <w:sz w:val="25"/>
        </w:rPr>
        <w:t>Commissioner of Wealth Tax, Hyderabad</w:t>
      </w:r>
      <w:r>
        <w:rPr>
          <w:sz w:val="25"/>
          <w:vertAlign w:val="superscript"/>
        </w:rPr>
        <w:t>137</w:t>
      </w:r>
      <w:r>
        <w:rPr>
          <w:sz w:val="25"/>
          <w:vertAlign w:val="baseline"/>
        </w:rPr>
        <w:t> in relation to the discussion </w:t>
      </w:r>
      <w:r>
        <w:rPr>
          <w:spacing w:val="-6"/>
          <w:sz w:val="25"/>
          <w:vertAlign w:val="baseline"/>
        </w:rPr>
        <w:t>on  </w:t>
      </w:r>
      <w:r>
        <w:rPr>
          <w:sz w:val="25"/>
          <w:vertAlign w:val="baseline"/>
        </w:rPr>
        <w:t>the meaning of ‗belonging to‘;</w:t>
      </w:r>
      <w:r>
        <w:rPr>
          <w:spacing w:val="-12"/>
          <w:sz w:val="25"/>
          <w:vertAlign w:val="baseline"/>
        </w:rPr>
        <w:t> </w:t>
      </w:r>
      <w:r>
        <w:rPr>
          <w:sz w:val="25"/>
          <w:vertAlign w:val="baseline"/>
        </w:rPr>
        <w:t>and</w:t>
      </w:r>
    </w:p>
    <w:p>
      <w:pPr>
        <w:pStyle w:val="ListParagraph"/>
        <w:numPr>
          <w:ilvl w:val="2"/>
          <w:numId w:val="85"/>
        </w:numPr>
        <w:tabs>
          <w:tab w:pos="2661" w:val="left" w:leader="none"/>
        </w:tabs>
        <w:spacing w:line="480" w:lineRule="auto" w:before="0" w:after="0"/>
        <w:ind w:left="2660" w:right="436" w:hanging="720"/>
        <w:jc w:val="both"/>
        <w:rPr>
          <w:sz w:val="25"/>
        </w:rPr>
      </w:pPr>
      <w:r>
        <w:rPr>
          <w:b/>
          <w:sz w:val="25"/>
        </w:rPr>
        <w:t>Raja Mohammad Amir Ahmad Khan </w:t>
      </w:r>
      <w:r>
        <w:rPr>
          <w:sz w:val="25"/>
        </w:rPr>
        <w:t>v </w:t>
      </w:r>
      <w:r>
        <w:rPr>
          <w:b/>
          <w:sz w:val="25"/>
        </w:rPr>
        <w:t>Municipal Board Sitapur</w:t>
      </w:r>
      <w:r>
        <w:rPr>
          <w:sz w:val="25"/>
          <w:vertAlign w:val="superscript"/>
        </w:rPr>
        <w:t>138</w:t>
      </w:r>
      <w:r>
        <w:rPr>
          <w:sz w:val="25"/>
          <w:vertAlign w:val="baseline"/>
        </w:rPr>
        <w:t> in relation to the discussion on making unequivocal assertions in the plaint and reading the plaint in its entirety to decipher the true</w:t>
      </w:r>
      <w:r>
        <w:rPr>
          <w:spacing w:val="-2"/>
          <w:sz w:val="25"/>
          <w:vertAlign w:val="baseline"/>
        </w:rPr>
        <w:t> </w:t>
      </w:r>
      <w:r>
        <w:rPr>
          <w:sz w:val="25"/>
          <w:vertAlign w:val="baseline"/>
        </w:rPr>
        <w:t>meaning.</w:t>
      </w:r>
    </w:p>
    <w:p>
      <w:pPr>
        <w:pStyle w:val="BodyText"/>
        <w:spacing w:before="2"/>
      </w:pPr>
    </w:p>
    <w:p>
      <w:pPr>
        <w:pStyle w:val="ListParagraph"/>
        <w:numPr>
          <w:ilvl w:val="1"/>
          <w:numId w:val="85"/>
        </w:numPr>
        <w:tabs>
          <w:tab w:pos="1919" w:val="left" w:leader="none"/>
        </w:tabs>
        <w:spacing w:line="480" w:lineRule="auto" w:before="0" w:after="0"/>
        <w:ind w:left="1918" w:right="436" w:hanging="699"/>
        <w:jc w:val="both"/>
        <w:rPr>
          <w:sz w:val="25"/>
        </w:rPr>
      </w:pPr>
      <w:r>
        <w:rPr/>
        <w:pict>
          <v:rect style="position:absolute;margin-left:72.024002pt;margin-top:53.264866pt;width:144.020pt;height:.599980pt;mso-position-horizontal-relative:page;mso-position-vertical-relative:paragraph;z-index:-23883264" filled="true" fillcolor="#000000" stroked="false">
            <v:fill type="solid"/>
            <w10:wrap type="none"/>
          </v:rect>
        </w:pict>
      </w:r>
      <w:r>
        <w:rPr>
          <w:sz w:val="25"/>
        </w:rPr>
        <w:t>Nirmohi Akhara had claimed in paragraph 2 of its plaint that the Jamnasthan</w:t>
      </w:r>
      <w:r>
        <w:rPr>
          <w:spacing w:val="24"/>
          <w:sz w:val="25"/>
        </w:rPr>
        <w:t> </w:t>
      </w:r>
      <w:r>
        <w:rPr>
          <w:sz w:val="25"/>
        </w:rPr>
        <w:t>belongs</w:t>
      </w:r>
      <w:r>
        <w:rPr>
          <w:spacing w:val="22"/>
          <w:sz w:val="25"/>
        </w:rPr>
        <w:t> </w:t>
      </w:r>
      <w:r>
        <w:rPr>
          <w:sz w:val="25"/>
        </w:rPr>
        <w:t>and</w:t>
      </w:r>
      <w:r>
        <w:rPr>
          <w:spacing w:val="25"/>
          <w:sz w:val="25"/>
        </w:rPr>
        <w:t> </w:t>
      </w:r>
      <w:r>
        <w:rPr>
          <w:sz w:val="25"/>
        </w:rPr>
        <w:t>has</w:t>
      </w:r>
      <w:r>
        <w:rPr>
          <w:spacing w:val="24"/>
          <w:sz w:val="25"/>
        </w:rPr>
        <w:t> </w:t>
      </w:r>
      <w:r>
        <w:rPr>
          <w:sz w:val="25"/>
        </w:rPr>
        <w:t>always</w:t>
      </w:r>
      <w:r>
        <w:rPr>
          <w:spacing w:val="25"/>
          <w:sz w:val="25"/>
        </w:rPr>
        <w:t> </w:t>
      </w:r>
      <w:r>
        <w:rPr>
          <w:sz w:val="25"/>
        </w:rPr>
        <w:t>belonged</w:t>
      </w:r>
      <w:r>
        <w:rPr>
          <w:spacing w:val="30"/>
          <w:sz w:val="25"/>
        </w:rPr>
        <w:t> </w:t>
      </w:r>
      <w:r>
        <w:rPr>
          <w:sz w:val="25"/>
        </w:rPr>
        <w:t>to</w:t>
      </w:r>
      <w:r>
        <w:rPr>
          <w:spacing w:val="25"/>
          <w:sz w:val="25"/>
        </w:rPr>
        <w:t> </w:t>
      </w:r>
      <w:r>
        <w:rPr>
          <w:sz w:val="25"/>
        </w:rPr>
        <w:t>it.</w:t>
      </w:r>
      <w:r>
        <w:rPr>
          <w:spacing w:val="23"/>
          <w:sz w:val="25"/>
        </w:rPr>
        <w:t> </w:t>
      </w:r>
      <w:r>
        <w:rPr>
          <w:sz w:val="25"/>
        </w:rPr>
        <w:t>Further,</w:t>
      </w:r>
      <w:r>
        <w:rPr>
          <w:spacing w:val="24"/>
          <w:sz w:val="25"/>
        </w:rPr>
        <w:t> </w:t>
      </w:r>
      <w:r>
        <w:rPr>
          <w:sz w:val="25"/>
        </w:rPr>
        <w:t>it</w:t>
      </w:r>
      <w:r>
        <w:rPr>
          <w:spacing w:val="22"/>
          <w:sz w:val="25"/>
        </w:rPr>
        <w:t> </w:t>
      </w:r>
      <w:r>
        <w:rPr>
          <w:sz w:val="25"/>
        </w:rPr>
        <w:t>has</w:t>
      </w:r>
    </w:p>
    <w:p>
      <w:pPr>
        <w:spacing w:before="35"/>
        <w:ind w:left="500" w:right="0" w:firstLine="0"/>
        <w:jc w:val="left"/>
        <w:rPr>
          <w:sz w:val="18"/>
        </w:rPr>
      </w:pPr>
      <w:r>
        <w:rPr>
          <w:sz w:val="18"/>
          <w:vertAlign w:val="superscript"/>
        </w:rPr>
        <w:t>137</w:t>
      </w:r>
      <w:r>
        <w:rPr>
          <w:sz w:val="18"/>
          <w:vertAlign w:val="baseline"/>
        </w:rPr>
        <w:t> 1986 Supp SCC 700</w:t>
      </w:r>
    </w:p>
    <w:p>
      <w:pPr>
        <w:spacing w:before="1"/>
        <w:ind w:left="500" w:right="0" w:firstLine="0"/>
        <w:jc w:val="left"/>
        <w:rPr>
          <w:sz w:val="18"/>
        </w:rPr>
      </w:pPr>
      <w:r>
        <w:rPr>
          <w:sz w:val="18"/>
          <w:vertAlign w:val="superscript"/>
        </w:rPr>
        <w:t>138</w:t>
      </w:r>
      <w:r>
        <w:rPr>
          <w:sz w:val="18"/>
          <w:vertAlign w:val="baseline"/>
        </w:rPr>
        <w:t> AIR 1965 SC 1923</w:t>
      </w:r>
    </w:p>
    <w:p>
      <w:pPr>
        <w:spacing w:after="0"/>
        <w:jc w:val="left"/>
        <w:rPr>
          <w:sz w:val="18"/>
        </w:rPr>
        <w:sectPr>
          <w:headerReference w:type="default" r:id="rId88"/>
          <w:footerReference w:type="default" r:id="rId89"/>
          <w:pgSz w:w="11910" w:h="16840"/>
          <w:pgMar w:header="721" w:footer="1014" w:top="1300" w:bottom="1200" w:left="940" w:right="1000"/>
          <w:pgNumType w:start="271"/>
        </w:sectPr>
      </w:pPr>
    </w:p>
    <w:p>
      <w:pPr>
        <w:pStyle w:val="BodyText"/>
        <w:spacing w:line="480" w:lineRule="auto" w:before="124"/>
        <w:ind w:left="1918" w:right="442"/>
        <w:jc w:val="both"/>
      </w:pPr>
      <w:r>
        <w:rPr/>
        <w:t>been claimed in paragraph 4 of the plaint that the temple has been in the possession of the plaintiff. However, in the written submissions, the plaintiff has adverted to a claim of ownership and possession.</w:t>
      </w:r>
    </w:p>
    <w:p>
      <w:pPr>
        <w:pStyle w:val="ListParagraph"/>
        <w:numPr>
          <w:ilvl w:val="1"/>
          <w:numId w:val="85"/>
        </w:numPr>
        <w:tabs>
          <w:tab w:pos="1941" w:val="left" w:leader="none"/>
        </w:tabs>
        <w:spacing w:line="480" w:lineRule="auto" w:before="201" w:after="0"/>
        <w:ind w:left="1940" w:right="442" w:hanging="720"/>
        <w:jc w:val="both"/>
        <w:rPr>
          <w:sz w:val="25"/>
        </w:rPr>
      </w:pPr>
      <w:r>
        <w:rPr>
          <w:sz w:val="25"/>
        </w:rPr>
        <w:t>Use of the terms ‗belongs‘ or ‗belonging to‘ may in a given context be</w:t>
      </w:r>
      <w:r>
        <w:rPr>
          <w:spacing w:val="-11"/>
          <w:sz w:val="25"/>
        </w:rPr>
        <w:t> </w:t>
      </w:r>
      <w:r>
        <w:rPr>
          <w:sz w:val="25"/>
        </w:rPr>
        <w:t>inferred</w:t>
      </w:r>
      <w:r>
        <w:rPr>
          <w:spacing w:val="-10"/>
          <w:sz w:val="25"/>
        </w:rPr>
        <w:t> </w:t>
      </w:r>
      <w:r>
        <w:rPr>
          <w:sz w:val="25"/>
        </w:rPr>
        <w:t>as</w:t>
      </w:r>
      <w:r>
        <w:rPr>
          <w:spacing w:val="-11"/>
          <w:sz w:val="25"/>
        </w:rPr>
        <w:t> </w:t>
      </w:r>
      <w:r>
        <w:rPr>
          <w:sz w:val="25"/>
        </w:rPr>
        <w:t>‗possession‘,</w:t>
      </w:r>
      <w:r>
        <w:rPr>
          <w:spacing w:val="-10"/>
          <w:sz w:val="25"/>
        </w:rPr>
        <w:t> </w:t>
      </w:r>
      <w:r>
        <w:rPr>
          <w:sz w:val="25"/>
        </w:rPr>
        <w:t>‗ownership‘</w:t>
      </w:r>
      <w:r>
        <w:rPr>
          <w:spacing w:val="-10"/>
          <w:sz w:val="25"/>
        </w:rPr>
        <w:t> </w:t>
      </w:r>
      <w:r>
        <w:rPr>
          <w:sz w:val="25"/>
        </w:rPr>
        <w:t>and</w:t>
      </w:r>
      <w:r>
        <w:rPr>
          <w:spacing w:val="-11"/>
          <w:sz w:val="25"/>
        </w:rPr>
        <w:t> </w:t>
      </w:r>
      <w:r>
        <w:rPr>
          <w:sz w:val="25"/>
        </w:rPr>
        <w:t>‗implied</w:t>
      </w:r>
      <w:r>
        <w:rPr>
          <w:spacing w:val="-10"/>
          <w:sz w:val="25"/>
        </w:rPr>
        <w:t> </w:t>
      </w:r>
      <w:r>
        <w:rPr>
          <w:sz w:val="25"/>
        </w:rPr>
        <w:t>title‘.</w:t>
      </w:r>
      <w:r>
        <w:rPr>
          <w:spacing w:val="-11"/>
          <w:sz w:val="25"/>
        </w:rPr>
        <w:t> </w:t>
      </w:r>
      <w:r>
        <w:rPr>
          <w:sz w:val="25"/>
        </w:rPr>
        <w:t>The</w:t>
      </w:r>
      <w:r>
        <w:rPr>
          <w:spacing w:val="-10"/>
          <w:sz w:val="25"/>
        </w:rPr>
        <w:t> </w:t>
      </w:r>
      <w:r>
        <w:rPr>
          <w:sz w:val="25"/>
        </w:rPr>
        <w:t>term</w:t>
      </w:r>
    </w:p>
    <w:p>
      <w:pPr>
        <w:pStyle w:val="BodyText"/>
        <w:spacing w:line="480" w:lineRule="auto"/>
        <w:ind w:left="1940" w:right="445"/>
        <w:jc w:val="both"/>
      </w:pPr>
      <w:r>
        <w:rPr/>
        <w:t>‗belongs‘ or ‗belonging to‘ is not a term of art and does not have a definitive meaning. Its interpretation can be open.</w:t>
      </w:r>
    </w:p>
    <w:p>
      <w:pPr>
        <w:pStyle w:val="BodyText"/>
        <w:spacing w:before="9"/>
        <w:rPr>
          <w:sz w:val="24"/>
        </w:rPr>
      </w:pPr>
    </w:p>
    <w:p>
      <w:pPr>
        <w:pStyle w:val="Heading5"/>
        <w:numPr>
          <w:ilvl w:val="0"/>
          <w:numId w:val="85"/>
        </w:numPr>
        <w:tabs>
          <w:tab w:pos="1221" w:val="left" w:leader="none"/>
        </w:tabs>
        <w:spacing w:line="480" w:lineRule="auto" w:before="0" w:after="0"/>
        <w:ind w:left="1220" w:right="435" w:hanging="720"/>
        <w:jc w:val="both"/>
      </w:pPr>
      <w:r>
        <w:rPr/>
        <w:t>Nirmohi Akhara is using the term ‗belongs‘ to claim title and obviate the bar of limitation. The term ‗belongs‘ should be given its ordinary meaning. If Nirmohi Akhara claims title for itself then it is at odds with the suit of the deity. It can only claim ancillary</w:t>
      </w:r>
      <w:r>
        <w:rPr>
          <w:spacing w:val="-16"/>
        </w:rPr>
        <w:t> </w:t>
      </w:r>
      <w:r>
        <w:rPr/>
        <w:t>rights:</w:t>
      </w:r>
    </w:p>
    <w:p>
      <w:pPr>
        <w:pStyle w:val="ListParagraph"/>
        <w:numPr>
          <w:ilvl w:val="1"/>
          <w:numId w:val="85"/>
        </w:numPr>
        <w:tabs>
          <w:tab w:pos="1941" w:val="left" w:leader="none"/>
        </w:tabs>
        <w:spacing w:line="480" w:lineRule="auto" w:before="2" w:after="0"/>
        <w:ind w:left="1940" w:right="444" w:hanging="720"/>
        <w:jc w:val="both"/>
        <w:rPr>
          <w:sz w:val="25"/>
        </w:rPr>
      </w:pPr>
      <w:r>
        <w:rPr>
          <w:sz w:val="25"/>
        </w:rPr>
        <w:t>Nirmohi Akhara merely claims to serve the idol and is not claiming the idol itself. Nirmohi Akhara is claiming a duty and not the right to ownership and title. Accordingly, only Article 120 can apply;</w:t>
      </w:r>
      <w:r>
        <w:rPr>
          <w:spacing w:val="-16"/>
          <w:sz w:val="25"/>
        </w:rPr>
        <w:t> </w:t>
      </w:r>
      <w:r>
        <w:rPr>
          <w:sz w:val="25"/>
        </w:rPr>
        <w:t>and</w:t>
      </w:r>
    </w:p>
    <w:p>
      <w:pPr>
        <w:pStyle w:val="ListParagraph"/>
        <w:numPr>
          <w:ilvl w:val="1"/>
          <w:numId w:val="85"/>
        </w:numPr>
        <w:tabs>
          <w:tab w:pos="1941" w:val="left" w:leader="none"/>
        </w:tabs>
        <w:spacing w:line="480" w:lineRule="auto" w:before="1" w:after="0"/>
        <w:ind w:left="1940" w:right="436" w:hanging="720"/>
        <w:jc w:val="both"/>
        <w:rPr>
          <w:sz w:val="25"/>
        </w:rPr>
      </w:pPr>
      <w:r>
        <w:rPr>
          <w:sz w:val="25"/>
        </w:rPr>
        <w:t>Unlike the law of trusts in the United Kingdom, in India, no ownership or title devolves upon the shebait. The shebait is not the owner of the property of the</w:t>
      </w:r>
      <w:r>
        <w:rPr>
          <w:spacing w:val="-6"/>
          <w:sz w:val="25"/>
        </w:rPr>
        <w:t> </w:t>
      </w:r>
      <w:r>
        <w:rPr>
          <w:sz w:val="25"/>
        </w:rPr>
        <w:t>idol.</w:t>
      </w:r>
    </w:p>
    <w:p>
      <w:pPr>
        <w:pStyle w:val="BodyText"/>
        <w:spacing w:before="9"/>
        <w:rPr>
          <w:sz w:val="24"/>
        </w:rPr>
      </w:pPr>
    </w:p>
    <w:p>
      <w:pPr>
        <w:pStyle w:val="Heading5"/>
        <w:numPr>
          <w:ilvl w:val="0"/>
          <w:numId w:val="85"/>
        </w:numPr>
        <w:tabs>
          <w:tab w:pos="1221" w:val="left" w:leader="none"/>
        </w:tabs>
        <w:spacing w:line="480" w:lineRule="auto" w:before="0" w:after="0"/>
        <w:ind w:left="1220" w:right="434" w:hanging="720"/>
        <w:jc w:val="both"/>
      </w:pPr>
      <w:r>
        <w:rPr/>
        <w:t>Nirmohi Akhara has used the proceedings under Section 145 to urge that the action of the government in denying them absolute shebait rights is a continuing</w:t>
      </w:r>
      <w:r>
        <w:rPr>
          <w:spacing w:val="-5"/>
        </w:rPr>
        <w:t> </w:t>
      </w:r>
      <w:r>
        <w:rPr/>
        <w:t>wrong:</w:t>
      </w:r>
    </w:p>
    <w:p>
      <w:pPr>
        <w:spacing w:after="0" w:line="480" w:lineRule="auto"/>
        <w:jc w:val="both"/>
        <w:sectPr>
          <w:pgSz w:w="11910" w:h="16840"/>
          <w:pgMar w:header="721" w:footer="1014" w:top="1300" w:bottom="1200" w:left="940" w:right="1000"/>
        </w:sectPr>
      </w:pPr>
    </w:p>
    <w:p>
      <w:pPr>
        <w:pStyle w:val="ListParagraph"/>
        <w:numPr>
          <w:ilvl w:val="1"/>
          <w:numId w:val="85"/>
        </w:numPr>
        <w:tabs>
          <w:tab w:pos="1941" w:val="left" w:leader="none"/>
        </w:tabs>
        <w:spacing w:line="480" w:lineRule="auto" w:before="124" w:after="0"/>
        <w:ind w:left="1940" w:right="442" w:hanging="720"/>
        <w:jc w:val="both"/>
        <w:rPr>
          <w:sz w:val="25"/>
        </w:rPr>
      </w:pPr>
      <w:r>
        <w:rPr>
          <w:sz w:val="25"/>
        </w:rPr>
        <w:t>Section 145 proceedings are not for determining claims for title or ownership. Nothing prevented Nirmohi Akhara from filing a declaratory suit for possession and title;</w:t>
      </w:r>
      <w:r>
        <w:rPr>
          <w:spacing w:val="-6"/>
          <w:sz w:val="25"/>
        </w:rPr>
        <w:t> </w:t>
      </w:r>
      <w:r>
        <w:rPr>
          <w:sz w:val="25"/>
        </w:rPr>
        <w:t>and</w:t>
      </w:r>
    </w:p>
    <w:p>
      <w:pPr>
        <w:pStyle w:val="ListParagraph"/>
        <w:numPr>
          <w:ilvl w:val="1"/>
          <w:numId w:val="85"/>
        </w:numPr>
        <w:tabs>
          <w:tab w:pos="1941" w:val="left" w:leader="none"/>
        </w:tabs>
        <w:spacing w:line="480" w:lineRule="auto" w:before="0" w:after="0"/>
        <w:ind w:left="1940" w:right="440" w:hanging="720"/>
        <w:jc w:val="both"/>
        <w:rPr>
          <w:sz w:val="25"/>
        </w:rPr>
      </w:pPr>
      <w:r>
        <w:rPr>
          <w:sz w:val="25"/>
        </w:rPr>
        <w:t>The specific date pleaded of when the cause of action arose was 5 January 1950. Where the law has interfered to take away possession under the order of the Magistrate, the period of six years started on that date and there was no scope for invoking a continuing wrong because the action was complete, and remedies lay</w:t>
      </w:r>
      <w:r>
        <w:rPr>
          <w:spacing w:val="-4"/>
          <w:sz w:val="25"/>
        </w:rPr>
        <w:t> </w:t>
      </w:r>
      <w:r>
        <w:rPr>
          <w:sz w:val="25"/>
        </w:rPr>
        <w:t>elsewhere.</w:t>
      </w:r>
    </w:p>
    <w:p>
      <w:pPr>
        <w:pStyle w:val="BodyText"/>
        <w:rPr>
          <w:sz w:val="28"/>
        </w:rPr>
      </w:pPr>
    </w:p>
    <w:p>
      <w:pPr>
        <w:pStyle w:val="BodyText"/>
        <w:spacing w:before="1"/>
        <w:rPr>
          <w:sz w:val="22"/>
        </w:rPr>
      </w:pPr>
    </w:p>
    <w:p>
      <w:pPr>
        <w:pStyle w:val="BodyText"/>
        <w:spacing w:line="480" w:lineRule="auto"/>
        <w:ind w:left="500" w:right="439"/>
        <w:jc w:val="both"/>
      </w:pPr>
      <w:r>
        <w:rPr/>
        <w:t>Having adverted to the submissions which were urged by the learned Senior Counsel on the issue of whether Suit 3 is barred by limitation, we now proceed to analyse various provisions of the CrPC 1898 and Articles of the Limitation Act 1908.</w:t>
      </w:r>
    </w:p>
    <w:p>
      <w:pPr>
        <w:pStyle w:val="BodyText"/>
        <w:spacing w:before="3"/>
      </w:pPr>
    </w:p>
    <w:p>
      <w:pPr>
        <w:pStyle w:val="Heading4"/>
        <w:rPr>
          <w:i/>
        </w:rPr>
      </w:pPr>
      <w:r>
        <w:rPr>
          <w:i/>
        </w:rPr>
        <w:t>Nature and Scope of Section 145 proceedings</w:t>
      </w:r>
    </w:p>
    <w:p>
      <w:pPr>
        <w:pStyle w:val="BodyText"/>
        <w:rPr>
          <w:i/>
          <w:sz w:val="28"/>
        </w:rPr>
      </w:pPr>
    </w:p>
    <w:p>
      <w:pPr>
        <w:pStyle w:val="ListParagraph"/>
        <w:numPr>
          <w:ilvl w:val="0"/>
          <w:numId w:val="3"/>
        </w:numPr>
        <w:tabs>
          <w:tab w:pos="1221" w:val="left" w:leader="none"/>
        </w:tabs>
        <w:spacing w:line="480" w:lineRule="auto" w:before="214" w:after="0"/>
        <w:ind w:left="500" w:right="439" w:firstLine="0"/>
        <w:jc w:val="both"/>
        <w:rPr>
          <w:sz w:val="25"/>
        </w:rPr>
      </w:pPr>
      <w:r>
        <w:rPr>
          <w:sz w:val="25"/>
        </w:rPr>
        <w:t>The Magistrate attached the property by an order dated 29 December 1949 made under Section 145 of the CrPC 1898. The plaintiffs in Suit 3 state that the cause of action arose on 5 January 1950 when the receiver took charge of the property and they were denied charge and management of the</w:t>
      </w:r>
      <w:r>
        <w:rPr>
          <w:spacing w:val="-17"/>
          <w:sz w:val="25"/>
        </w:rPr>
        <w:t> </w:t>
      </w:r>
      <w:r>
        <w:rPr>
          <w:sz w:val="25"/>
        </w:rPr>
        <w:t>temple.</w:t>
      </w:r>
    </w:p>
    <w:p>
      <w:pPr>
        <w:pStyle w:val="BodyText"/>
        <w:rPr>
          <w:sz w:val="28"/>
        </w:rPr>
      </w:pPr>
    </w:p>
    <w:p>
      <w:pPr>
        <w:pStyle w:val="BodyText"/>
        <w:spacing w:before="11"/>
        <w:rPr>
          <w:sz w:val="23"/>
        </w:rPr>
      </w:pPr>
    </w:p>
    <w:p>
      <w:pPr>
        <w:pStyle w:val="ListParagraph"/>
        <w:numPr>
          <w:ilvl w:val="0"/>
          <w:numId w:val="3"/>
        </w:numPr>
        <w:tabs>
          <w:tab w:pos="1221" w:val="left" w:leader="none"/>
        </w:tabs>
        <w:spacing w:line="240" w:lineRule="auto" w:before="0" w:after="0"/>
        <w:ind w:left="1220" w:right="0" w:hanging="721"/>
        <w:jc w:val="both"/>
        <w:rPr>
          <w:sz w:val="25"/>
        </w:rPr>
      </w:pPr>
      <w:r>
        <w:rPr>
          <w:sz w:val="25"/>
        </w:rPr>
        <w:t>Section</w:t>
      </w:r>
      <w:r>
        <w:rPr>
          <w:spacing w:val="8"/>
          <w:sz w:val="25"/>
        </w:rPr>
        <w:t> </w:t>
      </w:r>
      <w:r>
        <w:rPr>
          <w:sz w:val="25"/>
        </w:rPr>
        <w:t>145</w:t>
      </w:r>
      <w:r>
        <w:rPr>
          <w:spacing w:val="9"/>
          <w:sz w:val="25"/>
        </w:rPr>
        <w:t> </w:t>
      </w:r>
      <w:r>
        <w:rPr>
          <w:sz w:val="25"/>
        </w:rPr>
        <w:t>was</w:t>
      </w:r>
      <w:r>
        <w:rPr>
          <w:spacing w:val="8"/>
          <w:sz w:val="25"/>
        </w:rPr>
        <w:t> </w:t>
      </w:r>
      <w:r>
        <w:rPr>
          <w:sz w:val="25"/>
        </w:rPr>
        <w:t>included</w:t>
      </w:r>
      <w:r>
        <w:rPr>
          <w:spacing w:val="9"/>
          <w:sz w:val="25"/>
        </w:rPr>
        <w:t> </w:t>
      </w:r>
      <w:r>
        <w:rPr>
          <w:sz w:val="25"/>
        </w:rPr>
        <w:t>in</w:t>
      </w:r>
      <w:r>
        <w:rPr>
          <w:spacing w:val="7"/>
          <w:sz w:val="25"/>
        </w:rPr>
        <w:t> </w:t>
      </w:r>
      <w:r>
        <w:rPr>
          <w:sz w:val="25"/>
        </w:rPr>
        <w:t>Chapter</w:t>
      </w:r>
      <w:r>
        <w:rPr>
          <w:spacing w:val="7"/>
          <w:sz w:val="25"/>
        </w:rPr>
        <w:t> </w:t>
      </w:r>
      <w:r>
        <w:rPr>
          <w:sz w:val="25"/>
        </w:rPr>
        <w:t>XII</w:t>
      </w:r>
      <w:r>
        <w:rPr>
          <w:spacing w:val="9"/>
          <w:sz w:val="25"/>
        </w:rPr>
        <w:t> </w:t>
      </w:r>
      <w:r>
        <w:rPr>
          <w:sz w:val="25"/>
        </w:rPr>
        <w:t>of</w:t>
      </w:r>
      <w:r>
        <w:rPr>
          <w:spacing w:val="9"/>
          <w:sz w:val="25"/>
        </w:rPr>
        <w:t> </w:t>
      </w:r>
      <w:r>
        <w:rPr>
          <w:sz w:val="25"/>
        </w:rPr>
        <w:t>the</w:t>
      </w:r>
      <w:r>
        <w:rPr>
          <w:spacing w:val="6"/>
          <w:sz w:val="25"/>
        </w:rPr>
        <w:t> </w:t>
      </w:r>
      <w:r>
        <w:rPr>
          <w:sz w:val="25"/>
        </w:rPr>
        <w:t>Code</w:t>
      </w:r>
      <w:r>
        <w:rPr>
          <w:spacing w:val="9"/>
          <w:sz w:val="25"/>
        </w:rPr>
        <w:t> </w:t>
      </w:r>
      <w:r>
        <w:rPr>
          <w:sz w:val="25"/>
        </w:rPr>
        <w:t>of</w:t>
      </w:r>
      <w:r>
        <w:rPr>
          <w:spacing w:val="6"/>
          <w:sz w:val="25"/>
        </w:rPr>
        <w:t> </w:t>
      </w:r>
      <w:r>
        <w:rPr>
          <w:sz w:val="25"/>
        </w:rPr>
        <w:t>1898,</w:t>
      </w:r>
      <w:r>
        <w:rPr>
          <w:spacing w:val="9"/>
          <w:sz w:val="25"/>
        </w:rPr>
        <w:t> </w:t>
      </w:r>
      <w:r>
        <w:rPr>
          <w:sz w:val="25"/>
        </w:rPr>
        <w:t>titled</w:t>
      </w:r>
    </w:p>
    <w:p>
      <w:pPr>
        <w:pStyle w:val="BodyText"/>
        <w:spacing w:before="1"/>
      </w:pPr>
    </w:p>
    <w:p>
      <w:pPr>
        <w:pStyle w:val="BodyText"/>
        <w:ind w:left="500"/>
        <w:jc w:val="both"/>
      </w:pPr>
      <w:r>
        <w:rPr>
          <w:w w:val="33"/>
        </w:rPr>
        <w:t>―</w:t>
      </w:r>
      <w:r>
        <w:rPr>
          <w:spacing w:val="-1"/>
          <w:w w:val="99"/>
        </w:rPr>
        <w:t>Disput</w:t>
      </w:r>
      <w:r>
        <w:rPr>
          <w:w w:val="99"/>
        </w:rPr>
        <w:t>es</w:t>
      </w:r>
      <w:r>
        <w:rPr>
          <w:spacing w:val="-1"/>
        </w:rPr>
        <w:t> </w:t>
      </w:r>
      <w:r>
        <w:rPr>
          <w:spacing w:val="-1"/>
          <w:w w:val="99"/>
        </w:rPr>
        <w:t>a</w:t>
      </w:r>
      <w:r>
        <w:rPr>
          <w:w w:val="99"/>
        </w:rPr>
        <w:t>s</w:t>
      </w:r>
      <w:r>
        <w:rPr/>
        <w:t> </w:t>
      </w:r>
      <w:r>
        <w:rPr>
          <w:w w:val="99"/>
        </w:rPr>
        <w:t>to</w:t>
      </w:r>
      <w:r>
        <w:rPr/>
        <w:t> </w:t>
      </w:r>
      <w:r>
        <w:rPr>
          <w:w w:val="99"/>
        </w:rPr>
        <w:t>Imm</w:t>
      </w:r>
      <w:r>
        <w:rPr>
          <w:spacing w:val="-3"/>
          <w:w w:val="99"/>
        </w:rPr>
        <w:t>ov</w:t>
      </w:r>
      <w:r>
        <w:rPr>
          <w:spacing w:val="-1"/>
          <w:w w:val="99"/>
        </w:rPr>
        <w:t>a</w:t>
      </w:r>
      <w:r>
        <w:rPr>
          <w:w w:val="99"/>
        </w:rPr>
        <w:t>b</w:t>
      </w:r>
      <w:r>
        <w:rPr>
          <w:spacing w:val="-1"/>
          <w:w w:val="99"/>
        </w:rPr>
        <w:t>l</w:t>
      </w:r>
      <w:r>
        <w:rPr>
          <w:w w:val="99"/>
        </w:rPr>
        <w:t>e</w:t>
      </w:r>
      <w:r>
        <w:rPr>
          <w:spacing w:val="-1"/>
        </w:rPr>
        <w:t> </w:t>
      </w:r>
      <w:r>
        <w:rPr>
          <w:w w:val="99"/>
        </w:rPr>
        <w:t>Pro</w:t>
      </w:r>
      <w:r>
        <w:rPr>
          <w:spacing w:val="-1"/>
          <w:w w:val="99"/>
        </w:rPr>
        <w:t>p</w:t>
      </w:r>
      <w:r>
        <w:rPr>
          <w:w w:val="99"/>
        </w:rPr>
        <w:t>er</w:t>
      </w:r>
      <w:r>
        <w:rPr>
          <w:spacing w:val="2"/>
          <w:w w:val="99"/>
        </w:rPr>
        <w:t>t</w:t>
      </w:r>
      <w:r>
        <w:rPr>
          <w:spacing w:val="-3"/>
          <w:w w:val="99"/>
        </w:rPr>
        <w:t>y</w:t>
      </w:r>
      <w:r>
        <w:rPr>
          <w:w w:val="80"/>
        </w:rPr>
        <w:t>‖</w:t>
      </w:r>
      <w:r>
        <w:rPr>
          <w:w w:val="99"/>
        </w:rPr>
        <w:t>.</w:t>
      </w:r>
      <w:r>
        <w:rPr/>
        <w:t> </w:t>
      </w:r>
      <w:r>
        <w:rPr>
          <w:w w:val="99"/>
        </w:rPr>
        <w:t>Sect</w:t>
      </w:r>
      <w:r>
        <w:rPr>
          <w:spacing w:val="2"/>
          <w:w w:val="99"/>
        </w:rPr>
        <w:t>i</w:t>
      </w:r>
      <w:r>
        <w:rPr>
          <w:spacing w:val="-1"/>
          <w:w w:val="99"/>
        </w:rPr>
        <w:t>o</w:t>
      </w:r>
      <w:r>
        <w:rPr>
          <w:w w:val="99"/>
        </w:rPr>
        <w:t>n</w:t>
      </w:r>
      <w:r>
        <w:rPr/>
        <w:t> </w:t>
      </w:r>
      <w:r>
        <w:rPr>
          <w:spacing w:val="-1"/>
          <w:w w:val="99"/>
        </w:rPr>
        <w:t>1</w:t>
      </w:r>
      <w:r>
        <w:rPr>
          <w:w w:val="99"/>
        </w:rPr>
        <w:t>45</w:t>
      </w:r>
      <w:r>
        <w:rPr>
          <w:spacing w:val="-1"/>
        </w:rPr>
        <w:t> </w:t>
      </w:r>
      <w:r>
        <w:rPr>
          <w:w w:val="99"/>
        </w:rPr>
        <w:t>st</w:t>
      </w:r>
      <w:r>
        <w:rPr>
          <w:spacing w:val="-1"/>
          <w:w w:val="99"/>
        </w:rPr>
        <w:t>at</w:t>
      </w:r>
      <w:r>
        <w:rPr>
          <w:w w:val="99"/>
        </w:rPr>
        <w:t>es</w:t>
      </w:r>
      <w:r>
        <w:rPr>
          <w:spacing w:val="-1"/>
        </w:rPr>
        <w:t> </w:t>
      </w:r>
      <w:r>
        <w:rPr>
          <w:w w:val="99"/>
        </w:rPr>
        <w:t>th</w:t>
      </w:r>
      <w:r>
        <w:rPr>
          <w:spacing w:val="-1"/>
          <w:w w:val="99"/>
        </w:rPr>
        <w:t>us:</w:t>
      </w:r>
    </w:p>
    <w:p>
      <w:pPr>
        <w:spacing w:after="0"/>
        <w:jc w:val="both"/>
        <w:sectPr>
          <w:pgSz w:w="11910" w:h="16840"/>
          <w:pgMar w:header="721" w:footer="1014" w:top="1300" w:bottom="1200" w:left="940" w:right="1000"/>
        </w:sectPr>
      </w:pPr>
    </w:p>
    <w:p>
      <w:pPr>
        <w:spacing w:line="276" w:lineRule="auto" w:before="122"/>
        <w:ind w:left="1940" w:right="2265" w:firstLine="0"/>
        <w:jc w:val="both"/>
        <w:rPr>
          <w:sz w:val="21"/>
        </w:rPr>
      </w:pPr>
      <w:r>
        <w:rPr>
          <w:w w:val="33"/>
          <w:sz w:val="21"/>
        </w:rPr>
        <w:t>―</w:t>
      </w:r>
      <w:r>
        <w:rPr>
          <w:w w:val="100"/>
          <w:sz w:val="21"/>
        </w:rPr>
        <w:t>Section</w:t>
      </w:r>
      <w:r>
        <w:rPr>
          <w:sz w:val="21"/>
        </w:rPr>
        <w:t> </w:t>
      </w:r>
      <w:r>
        <w:rPr>
          <w:w w:val="100"/>
          <w:sz w:val="21"/>
        </w:rPr>
        <w:t>145.</w:t>
      </w:r>
      <w:r>
        <w:rPr>
          <w:sz w:val="21"/>
        </w:rPr>
        <w:t> </w:t>
      </w:r>
      <w:r>
        <w:rPr>
          <w:w w:val="100"/>
          <w:sz w:val="21"/>
        </w:rPr>
        <w:t>Procedure</w:t>
      </w:r>
      <w:r>
        <w:rPr>
          <w:sz w:val="21"/>
        </w:rPr>
        <w:t> </w:t>
      </w:r>
      <w:r>
        <w:rPr>
          <w:w w:val="100"/>
          <w:sz w:val="21"/>
        </w:rPr>
        <w:t>where</w:t>
      </w:r>
      <w:r>
        <w:rPr>
          <w:sz w:val="21"/>
        </w:rPr>
        <w:t> </w:t>
      </w:r>
      <w:r>
        <w:rPr>
          <w:w w:val="100"/>
          <w:sz w:val="21"/>
        </w:rPr>
        <w:t>dispute</w:t>
      </w:r>
      <w:r>
        <w:rPr>
          <w:sz w:val="21"/>
        </w:rPr>
        <w:t> </w:t>
      </w:r>
      <w:r>
        <w:rPr>
          <w:w w:val="100"/>
          <w:sz w:val="21"/>
        </w:rPr>
        <w:t>concerning</w:t>
      </w:r>
      <w:r>
        <w:rPr>
          <w:sz w:val="21"/>
        </w:rPr>
        <w:t> </w:t>
      </w:r>
      <w:r>
        <w:rPr>
          <w:w w:val="100"/>
          <w:sz w:val="21"/>
        </w:rPr>
        <w:t>land,</w:t>
      </w:r>
      <w:r>
        <w:rPr>
          <w:sz w:val="21"/>
        </w:rPr>
        <w:t> </w:t>
      </w:r>
      <w:r>
        <w:rPr>
          <w:w w:val="100"/>
          <w:sz w:val="21"/>
        </w:rPr>
        <w:t>etc., </w:t>
      </w:r>
      <w:r>
        <w:rPr>
          <w:sz w:val="21"/>
        </w:rPr>
        <w:t>is likely to cause breach of peace</w:t>
      </w:r>
    </w:p>
    <w:p>
      <w:pPr>
        <w:pStyle w:val="BodyText"/>
        <w:spacing w:before="2"/>
        <w:rPr>
          <w:sz w:val="24"/>
        </w:rPr>
      </w:pPr>
    </w:p>
    <w:p>
      <w:pPr>
        <w:pStyle w:val="ListParagraph"/>
        <w:numPr>
          <w:ilvl w:val="0"/>
          <w:numId w:val="86"/>
        </w:numPr>
        <w:tabs>
          <w:tab w:pos="2661" w:val="left" w:leader="none"/>
        </w:tabs>
        <w:spacing w:line="276" w:lineRule="auto" w:before="0" w:after="0"/>
        <w:ind w:left="1940" w:right="2260" w:firstLine="0"/>
        <w:jc w:val="both"/>
        <w:rPr>
          <w:sz w:val="21"/>
        </w:rPr>
      </w:pPr>
      <w:r>
        <w:rPr>
          <w:sz w:val="21"/>
        </w:rPr>
        <w:t>Whenever a District Magistrate, Sub-Divisional Magistrate or Magistrate of the first class is satisfied from a police report or other information that a dispute likely to cause a breach of the peace exists concerning any land or water or the boundaries thereof, within the local limits of his jurisdiction, he shall make an order in writing, stating the grounds of his being so satisfied, and requiring the parties concerned in such dispute to attend his Court in person or by pleader, within a time to be fixed by such Magistrate, and to put in written statements of their respective claims as respects the fact of actual possession of the subject of dispute.</w:t>
      </w:r>
    </w:p>
    <w:p>
      <w:pPr>
        <w:pStyle w:val="ListParagraph"/>
        <w:numPr>
          <w:ilvl w:val="0"/>
          <w:numId w:val="86"/>
        </w:numPr>
        <w:tabs>
          <w:tab w:pos="2661" w:val="left" w:leader="none"/>
        </w:tabs>
        <w:spacing w:line="276" w:lineRule="auto" w:before="2" w:after="0"/>
        <w:ind w:left="1940" w:right="2263" w:firstLine="0"/>
        <w:jc w:val="both"/>
        <w:rPr>
          <w:sz w:val="21"/>
        </w:rPr>
      </w:pPr>
      <w:r>
        <w:rPr>
          <w:sz w:val="21"/>
        </w:rPr>
        <w:t>For the purposes of this section the expression "land or water" includes building, markets, fisheries, crops or other produce of land, and the rents or profits of any such</w:t>
      </w:r>
      <w:r>
        <w:rPr>
          <w:spacing w:val="-15"/>
          <w:sz w:val="21"/>
        </w:rPr>
        <w:t> </w:t>
      </w:r>
      <w:r>
        <w:rPr>
          <w:sz w:val="21"/>
        </w:rPr>
        <w:t>property.</w:t>
      </w:r>
    </w:p>
    <w:p>
      <w:pPr>
        <w:pStyle w:val="ListParagraph"/>
        <w:numPr>
          <w:ilvl w:val="0"/>
          <w:numId w:val="86"/>
        </w:numPr>
        <w:tabs>
          <w:tab w:pos="2661" w:val="left" w:leader="none"/>
        </w:tabs>
        <w:spacing w:line="276" w:lineRule="auto" w:before="0" w:after="0"/>
        <w:ind w:left="1940" w:right="2262" w:firstLine="0"/>
        <w:jc w:val="both"/>
        <w:rPr>
          <w:sz w:val="21"/>
        </w:rPr>
      </w:pPr>
      <w:r>
        <w:rPr>
          <w:sz w:val="21"/>
        </w:rPr>
        <w:t>A copy of the order shall be served in the manner provided by this Code for the service of a summons upon such person or persons as the Magistrate may direct, and at least one copy shall be published by being affixed to some conspicuous place at or near the subject of</w:t>
      </w:r>
      <w:r>
        <w:rPr>
          <w:spacing w:val="-9"/>
          <w:sz w:val="21"/>
        </w:rPr>
        <w:t> </w:t>
      </w:r>
      <w:r>
        <w:rPr>
          <w:sz w:val="21"/>
        </w:rPr>
        <w:t>dispute.</w:t>
      </w:r>
    </w:p>
    <w:p>
      <w:pPr>
        <w:pStyle w:val="ListParagraph"/>
        <w:numPr>
          <w:ilvl w:val="0"/>
          <w:numId w:val="86"/>
        </w:numPr>
        <w:tabs>
          <w:tab w:pos="2661" w:val="left" w:leader="none"/>
        </w:tabs>
        <w:spacing w:line="276" w:lineRule="auto" w:before="0" w:after="0"/>
        <w:ind w:left="1940" w:right="2262" w:firstLine="0"/>
        <w:jc w:val="both"/>
        <w:rPr>
          <w:sz w:val="21"/>
        </w:rPr>
      </w:pPr>
      <w:r>
        <w:rPr>
          <w:sz w:val="21"/>
        </w:rPr>
        <w:t>The Magistrate shall then, without reference to the merits of the claims of any of such parties to a right to possess the subject of dispute, peruse the statements so put in, hear the parties, receive all such evidence as may be produced by them respectively, consider the effect of such evidence, take such further evidence (if any) as he thinks necessary, and, if possible, decide whether any and which of the parties was at the date of the order before mentioned in such possession of the said</w:t>
      </w:r>
      <w:r>
        <w:rPr>
          <w:spacing w:val="-4"/>
          <w:sz w:val="21"/>
        </w:rPr>
        <w:t> </w:t>
      </w:r>
      <w:r>
        <w:rPr>
          <w:sz w:val="21"/>
        </w:rPr>
        <w:t>subject:</w:t>
      </w:r>
    </w:p>
    <w:p>
      <w:pPr>
        <w:spacing w:line="276" w:lineRule="auto" w:before="0"/>
        <w:ind w:left="1940" w:right="2263" w:firstLine="0"/>
        <w:jc w:val="both"/>
        <w:rPr>
          <w:sz w:val="21"/>
        </w:rPr>
      </w:pPr>
      <w:r>
        <w:rPr>
          <w:sz w:val="21"/>
        </w:rPr>
        <w:t>Provided that, if it appears to the Magistrate that any party has within two months next before the date of such order been forcibly and wrongfully dispossessed, he may treat the party so dispossessed as if he had been in possession at such</w:t>
      </w:r>
      <w:r>
        <w:rPr>
          <w:spacing w:val="-1"/>
          <w:sz w:val="21"/>
        </w:rPr>
        <w:t> </w:t>
      </w:r>
      <w:r>
        <w:rPr>
          <w:sz w:val="21"/>
        </w:rPr>
        <w:t>date:</w:t>
      </w:r>
    </w:p>
    <w:p>
      <w:pPr>
        <w:spacing w:line="276" w:lineRule="auto" w:before="0"/>
        <w:ind w:left="1940" w:right="2263" w:firstLine="0"/>
        <w:jc w:val="both"/>
        <w:rPr>
          <w:sz w:val="21"/>
        </w:rPr>
      </w:pPr>
      <w:r>
        <w:rPr>
          <w:sz w:val="21"/>
        </w:rPr>
        <w:t>Provided also, that if the Magistrate considers the case one of emergency, he may at any time attach the subject of dispute, pending his decision under this section.</w:t>
      </w:r>
    </w:p>
    <w:p>
      <w:pPr>
        <w:pStyle w:val="ListParagraph"/>
        <w:numPr>
          <w:ilvl w:val="0"/>
          <w:numId w:val="86"/>
        </w:numPr>
        <w:tabs>
          <w:tab w:pos="2661" w:val="left" w:leader="none"/>
        </w:tabs>
        <w:spacing w:line="276" w:lineRule="auto" w:before="0" w:after="0"/>
        <w:ind w:left="1940" w:right="2260" w:firstLine="0"/>
        <w:jc w:val="both"/>
        <w:rPr>
          <w:sz w:val="21"/>
        </w:rPr>
      </w:pPr>
      <w:r>
        <w:rPr>
          <w:sz w:val="21"/>
        </w:rPr>
        <w:t>Nothing in this section shall preclude any party so required to attend, or any other person interested, from showing that no such dispute as aforesaid exists or has existed; and in such case the Magistrate shall cancel his said order, and all further proceedings thereon shall be stayed, but, subject to such cancellation, the order of the Magistrate under sub-section (1) shall be</w:t>
      </w:r>
      <w:r>
        <w:rPr>
          <w:spacing w:val="-7"/>
          <w:sz w:val="21"/>
        </w:rPr>
        <w:t> </w:t>
      </w:r>
      <w:r>
        <w:rPr>
          <w:sz w:val="21"/>
        </w:rPr>
        <w:t>final.</w:t>
      </w:r>
    </w:p>
    <w:p>
      <w:pPr>
        <w:pStyle w:val="ListParagraph"/>
        <w:numPr>
          <w:ilvl w:val="0"/>
          <w:numId w:val="86"/>
        </w:numPr>
        <w:tabs>
          <w:tab w:pos="2661" w:val="left" w:leader="none"/>
        </w:tabs>
        <w:spacing w:line="276" w:lineRule="auto" w:before="0" w:after="0"/>
        <w:ind w:left="1940" w:right="2261" w:firstLine="0"/>
        <w:jc w:val="both"/>
        <w:rPr>
          <w:sz w:val="21"/>
        </w:rPr>
      </w:pPr>
      <w:r>
        <w:rPr>
          <w:sz w:val="21"/>
        </w:rPr>
        <w:t>If the Magistrate decides that one of the parties was or should under the first proviso to sub-section (4) be treated as being in such possession of the said subject, he</w:t>
      </w:r>
      <w:r>
        <w:rPr>
          <w:spacing w:val="-3"/>
          <w:sz w:val="21"/>
        </w:rPr>
        <w:t> </w:t>
      </w:r>
      <w:r>
        <w:rPr>
          <w:sz w:val="21"/>
        </w:rPr>
        <w:t>shall</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8" w:firstLine="0"/>
        <w:jc w:val="both"/>
        <w:rPr>
          <w:sz w:val="21"/>
        </w:rPr>
      </w:pPr>
      <w:r>
        <w:rPr>
          <w:sz w:val="21"/>
        </w:rPr>
        <w:t>issue an order declaring such party to be entitled to possession thereof until evicted therefrom in due course of law, and forbidding all disturbance of such possession until such eviction and when he proceeds under the first proviso to sub-section (4), may restore to possession the party forcibly and wrongfully dispossessed.</w:t>
      </w:r>
    </w:p>
    <w:p>
      <w:pPr>
        <w:pStyle w:val="ListParagraph"/>
        <w:numPr>
          <w:ilvl w:val="0"/>
          <w:numId w:val="86"/>
        </w:numPr>
        <w:tabs>
          <w:tab w:pos="2661" w:val="left" w:leader="none"/>
        </w:tabs>
        <w:spacing w:line="276" w:lineRule="auto" w:before="0" w:after="0"/>
        <w:ind w:left="1940" w:right="2261" w:firstLine="0"/>
        <w:jc w:val="both"/>
        <w:rPr>
          <w:sz w:val="21"/>
        </w:rPr>
      </w:pPr>
      <w:r>
        <w:rPr>
          <w:sz w:val="21"/>
        </w:rPr>
        <w:t>When any party to any such proceeding dies, the Magistrate may cause the legal representative of the deceased party to be made a party to the proceeding and shall thereupon continue the inquiry, and if any question arises as to who the legal representative of a deceased party for the purpose of such proceeding is, all persons claiming to be representatives of the deceased party shall be made parties</w:t>
      </w:r>
      <w:r>
        <w:rPr>
          <w:spacing w:val="-1"/>
          <w:sz w:val="21"/>
        </w:rPr>
        <w:t> </w:t>
      </w:r>
      <w:r>
        <w:rPr>
          <w:sz w:val="21"/>
        </w:rPr>
        <w:t>thereto.</w:t>
      </w:r>
    </w:p>
    <w:p>
      <w:pPr>
        <w:pStyle w:val="ListParagraph"/>
        <w:numPr>
          <w:ilvl w:val="0"/>
          <w:numId w:val="86"/>
        </w:numPr>
        <w:tabs>
          <w:tab w:pos="2661" w:val="left" w:leader="none"/>
        </w:tabs>
        <w:spacing w:line="276" w:lineRule="auto" w:before="1" w:after="0"/>
        <w:ind w:left="1940" w:right="2261" w:firstLine="0"/>
        <w:jc w:val="both"/>
        <w:rPr>
          <w:sz w:val="21"/>
        </w:rPr>
      </w:pPr>
      <w:r>
        <w:rPr>
          <w:sz w:val="21"/>
        </w:rPr>
        <w:t>If the Magistrate is of opinion that any crop or other produce of the property, the subject of dispute in  a proceeding under this section pending before him, is subject to speedy and natural decay, he may make an order for the proper custody or sale of such property, and, upon the completion of the inquiry, shall make such order for the disposal of such property, or the sale-proceeds thereof, as he thinks</w:t>
      </w:r>
      <w:r>
        <w:rPr>
          <w:spacing w:val="-4"/>
          <w:sz w:val="21"/>
        </w:rPr>
        <w:t> </w:t>
      </w:r>
      <w:r>
        <w:rPr>
          <w:sz w:val="21"/>
        </w:rPr>
        <w:t>fit.</w:t>
      </w:r>
    </w:p>
    <w:p>
      <w:pPr>
        <w:pStyle w:val="ListParagraph"/>
        <w:numPr>
          <w:ilvl w:val="0"/>
          <w:numId w:val="86"/>
        </w:numPr>
        <w:tabs>
          <w:tab w:pos="2661" w:val="left" w:leader="none"/>
        </w:tabs>
        <w:spacing w:line="276" w:lineRule="auto" w:before="1" w:after="0"/>
        <w:ind w:left="1940" w:right="2263" w:firstLine="0"/>
        <w:jc w:val="both"/>
        <w:rPr>
          <w:sz w:val="21"/>
        </w:rPr>
      </w:pPr>
      <w:r>
        <w:rPr>
          <w:sz w:val="21"/>
        </w:rPr>
        <w:t>The Magistrate may, if he thinks fit, at  any stage of the proceedings under this section, on the application of either party, issue a summons to any witness directing him to attend or to produce any document or</w:t>
      </w:r>
      <w:r>
        <w:rPr>
          <w:spacing w:val="-10"/>
          <w:sz w:val="21"/>
        </w:rPr>
        <w:t> </w:t>
      </w:r>
      <w:r>
        <w:rPr>
          <w:sz w:val="21"/>
        </w:rPr>
        <w:t>thing.</w:t>
      </w:r>
    </w:p>
    <w:p>
      <w:pPr>
        <w:pStyle w:val="ListParagraph"/>
        <w:numPr>
          <w:ilvl w:val="0"/>
          <w:numId w:val="86"/>
        </w:numPr>
        <w:tabs>
          <w:tab w:pos="2661" w:val="left" w:leader="none"/>
        </w:tabs>
        <w:spacing w:line="276" w:lineRule="auto" w:before="0" w:after="0"/>
        <w:ind w:left="1940" w:right="2263" w:firstLine="0"/>
        <w:jc w:val="both"/>
        <w:rPr>
          <w:sz w:val="21"/>
        </w:rPr>
      </w:pPr>
      <w:r>
        <w:rPr>
          <w:sz w:val="21"/>
        </w:rPr>
        <w:t>Nothing in this section shall be deemed to be in derogation of the powers of the Magistrate to proceed under section</w:t>
      </w:r>
      <w:r>
        <w:rPr>
          <w:spacing w:val="-2"/>
          <w:sz w:val="21"/>
        </w:rPr>
        <w:t> </w:t>
      </w:r>
      <w:r>
        <w:rPr>
          <w:sz w:val="21"/>
        </w:rPr>
        <w:t>107.‖</w:t>
      </w:r>
    </w:p>
    <w:p>
      <w:pPr>
        <w:pStyle w:val="BodyText"/>
        <w:rPr>
          <w:sz w:val="24"/>
        </w:rPr>
      </w:pPr>
    </w:p>
    <w:p>
      <w:pPr>
        <w:pStyle w:val="BodyText"/>
        <w:spacing w:before="9"/>
        <w:rPr>
          <w:sz w:val="34"/>
        </w:rPr>
      </w:pPr>
    </w:p>
    <w:p>
      <w:pPr>
        <w:pStyle w:val="BodyText"/>
        <w:spacing w:line="480" w:lineRule="auto"/>
        <w:ind w:left="500" w:right="434"/>
        <w:jc w:val="both"/>
      </w:pPr>
      <w:r>
        <w:rPr/>
        <w:t>Section 145 is recognised to be a branch of the preventive jurisdiction of the Magistrate.</w:t>
      </w:r>
      <w:r>
        <w:rPr>
          <w:vertAlign w:val="superscript"/>
        </w:rPr>
        <w:t>139</w:t>
      </w:r>
      <w:r>
        <w:rPr>
          <w:vertAlign w:val="baseline"/>
        </w:rPr>
        <w:t> Section 145(1) can be invoked on the satisfaction of the Magistrate </w:t>
      </w:r>
      <w:r>
        <w:rPr>
          <w:w w:val="99"/>
          <w:vertAlign w:val="baseline"/>
        </w:rPr>
        <w:t>that</w:t>
      </w:r>
      <w:r>
        <w:rPr>
          <w:vertAlign w:val="baseline"/>
        </w:rPr>
        <w:t> </w:t>
      </w:r>
      <w:r>
        <w:rPr>
          <w:spacing w:val="-22"/>
          <w:vertAlign w:val="baseline"/>
        </w:rPr>
        <w:t> </w:t>
      </w:r>
      <w:r>
        <w:rPr>
          <w:w w:val="33"/>
          <w:vertAlign w:val="baseline"/>
        </w:rPr>
        <w:t>―</w:t>
      </w:r>
      <w:r>
        <w:rPr>
          <w:w w:val="99"/>
          <w:vertAlign w:val="baseline"/>
        </w:rPr>
        <w:t>a</w:t>
      </w:r>
      <w:r>
        <w:rPr>
          <w:vertAlign w:val="baseline"/>
        </w:rPr>
        <w:t> </w:t>
      </w:r>
      <w:r>
        <w:rPr>
          <w:spacing w:val="-22"/>
          <w:vertAlign w:val="baseline"/>
        </w:rPr>
        <w:t> </w:t>
      </w:r>
      <w:r>
        <w:rPr>
          <w:spacing w:val="-1"/>
          <w:w w:val="99"/>
          <w:vertAlign w:val="baseline"/>
        </w:rPr>
        <w:t>disp</w:t>
      </w:r>
      <w:r>
        <w:rPr>
          <w:w w:val="99"/>
          <w:vertAlign w:val="baseline"/>
        </w:rPr>
        <w:t>ute</w:t>
      </w:r>
      <w:r>
        <w:rPr>
          <w:vertAlign w:val="baseline"/>
        </w:rPr>
        <w:t> </w:t>
      </w:r>
      <w:r>
        <w:rPr>
          <w:spacing w:val="-21"/>
          <w:vertAlign w:val="baseline"/>
        </w:rPr>
        <w:t> </w:t>
      </w:r>
      <w:r>
        <w:rPr>
          <w:spacing w:val="-1"/>
          <w:w w:val="99"/>
          <w:vertAlign w:val="baseline"/>
        </w:rPr>
        <w:t>like</w:t>
      </w:r>
      <w:r>
        <w:rPr>
          <w:spacing w:val="1"/>
          <w:w w:val="99"/>
          <w:vertAlign w:val="baseline"/>
        </w:rPr>
        <w:t>l</w:t>
      </w:r>
      <w:r>
        <w:rPr>
          <w:w w:val="99"/>
          <w:vertAlign w:val="baseline"/>
        </w:rPr>
        <w:t>y</w:t>
      </w:r>
      <w:r>
        <w:rPr>
          <w:vertAlign w:val="baseline"/>
        </w:rPr>
        <w:t> </w:t>
      </w:r>
      <w:r>
        <w:rPr>
          <w:spacing w:val="-22"/>
          <w:vertAlign w:val="baseline"/>
        </w:rPr>
        <w:t> </w:t>
      </w:r>
      <w:r>
        <w:rPr>
          <w:w w:val="99"/>
          <w:vertAlign w:val="baseline"/>
        </w:rPr>
        <w:t>to</w:t>
      </w:r>
      <w:r>
        <w:rPr>
          <w:vertAlign w:val="baseline"/>
        </w:rPr>
        <w:t> </w:t>
      </w:r>
      <w:r>
        <w:rPr>
          <w:spacing w:val="-21"/>
          <w:vertAlign w:val="baseline"/>
        </w:rPr>
        <w:t> </w:t>
      </w:r>
      <w:r>
        <w:rPr>
          <w:w w:val="99"/>
          <w:vertAlign w:val="baseline"/>
        </w:rPr>
        <w:t>cause</w:t>
      </w:r>
      <w:r>
        <w:rPr>
          <w:vertAlign w:val="baseline"/>
        </w:rPr>
        <w:t> </w:t>
      </w:r>
      <w:r>
        <w:rPr>
          <w:spacing w:val="-22"/>
          <w:vertAlign w:val="baseline"/>
        </w:rPr>
        <w:t> </w:t>
      </w:r>
      <w:r>
        <w:rPr>
          <w:w w:val="99"/>
          <w:vertAlign w:val="baseline"/>
        </w:rPr>
        <w:t>a</w:t>
      </w:r>
      <w:r>
        <w:rPr>
          <w:vertAlign w:val="baseline"/>
        </w:rPr>
        <w:t> </w:t>
      </w:r>
      <w:r>
        <w:rPr>
          <w:spacing w:val="-22"/>
          <w:vertAlign w:val="baseline"/>
        </w:rPr>
        <w:t> </w:t>
      </w:r>
      <w:r>
        <w:rPr>
          <w:spacing w:val="-1"/>
          <w:w w:val="99"/>
          <w:vertAlign w:val="baseline"/>
        </w:rPr>
        <w:t>b</w:t>
      </w:r>
      <w:r>
        <w:rPr>
          <w:w w:val="99"/>
          <w:vertAlign w:val="baseline"/>
        </w:rPr>
        <w:t>r</w:t>
      </w:r>
      <w:r>
        <w:rPr>
          <w:spacing w:val="-1"/>
          <w:w w:val="99"/>
          <w:vertAlign w:val="baseline"/>
        </w:rPr>
        <w:t>e</w:t>
      </w:r>
      <w:r>
        <w:rPr>
          <w:w w:val="99"/>
          <w:vertAlign w:val="baseline"/>
        </w:rPr>
        <w:t>ach</w:t>
      </w:r>
      <w:r>
        <w:rPr>
          <w:vertAlign w:val="baseline"/>
        </w:rPr>
        <w:t> </w:t>
      </w:r>
      <w:r>
        <w:rPr>
          <w:spacing w:val="-22"/>
          <w:vertAlign w:val="baseline"/>
        </w:rPr>
        <w:t> </w:t>
      </w:r>
      <w:r>
        <w:rPr>
          <w:spacing w:val="-1"/>
          <w:w w:val="99"/>
          <w:vertAlign w:val="baseline"/>
        </w:rPr>
        <w:t>o</w:t>
      </w:r>
      <w:r>
        <w:rPr>
          <w:w w:val="99"/>
          <w:vertAlign w:val="baseline"/>
        </w:rPr>
        <w:t>f</w:t>
      </w:r>
      <w:r>
        <w:rPr>
          <w:vertAlign w:val="baseline"/>
        </w:rPr>
        <w:t> </w:t>
      </w:r>
      <w:r>
        <w:rPr>
          <w:spacing w:val="-21"/>
          <w:vertAlign w:val="baseline"/>
        </w:rPr>
        <w:t> </w:t>
      </w:r>
      <w:r>
        <w:rPr>
          <w:w w:val="99"/>
          <w:vertAlign w:val="baseline"/>
        </w:rPr>
        <w:t>the</w:t>
      </w:r>
      <w:r>
        <w:rPr>
          <w:vertAlign w:val="baseline"/>
        </w:rPr>
        <w:t> </w:t>
      </w:r>
      <w:r>
        <w:rPr>
          <w:spacing w:val="-21"/>
          <w:vertAlign w:val="baseline"/>
        </w:rPr>
        <w:t> </w:t>
      </w:r>
      <w:r>
        <w:rPr>
          <w:spacing w:val="-1"/>
          <w:w w:val="99"/>
          <w:vertAlign w:val="baseline"/>
        </w:rPr>
        <w:t>p</w:t>
      </w:r>
      <w:r>
        <w:rPr>
          <w:w w:val="99"/>
          <w:vertAlign w:val="baseline"/>
        </w:rPr>
        <w:t>e</w:t>
      </w:r>
      <w:r>
        <w:rPr>
          <w:spacing w:val="-1"/>
          <w:w w:val="99"/>
          <w:vertAlign w:val="baseline"/>
        </w:rPr>
        <w:t>ac</w:t>
      </w:r>
      <w:r>
        <w:rPr>
          <w:w w:val="99"/>
          <w:vertAlign w:val="baseline"/>
        </w:rPr>
        <w:t>e</w:t>
      </w:r>
      <w:r>
        <w:rPr>
          <w:vertAlign w:val="baseline"/>
        </w:rPr>
        <w:t> </w:t>
      </w:r>
      <w:r>
        <w:rPr>
          <w:spacing w:val="-22"/>
          <w:vertAlign w:val="baseline"/>
        </w:rPr>
        <w:t> </w:t>
      </w:r>
      <w:r>
        <w:rPr>
          <w:spacing w:val="-1"/>
          <w:w w:val="99"/>
          <w:vertAlign w:val="baseline"/>
        </w:rPr>
        <w:t>e</w:t>
      </w:r>
      <w:r>
        <w:rPr>
          <w:spacing w:val="-3"/>
          <w:w w:val="99"/>
          <w:vertAlign w:val="baseline"/>
        </w:rPr>
        <w:t>x</w:t>
      </w:r>
      <w:r>
        <w:rPr>
          <w:spacing w:val="-1"/>
          <w:w w:val="99"/>
          <w:vertAlign w:val="baseline"/>
        </w:rPr>
        <w:t>ist</w:t>
      </w:r>
      <w:r>
        <w:rPr>
          <w:spacing w:val="2"/>
          <w:w w:val="99"/>
          <w:vertAlign w:val="baseline"/>
        </w:rPr>
        <w:t>s</w:t>
      </w:r>
      <w:r>
        <w:rPr>
          <w:w w:val="94"/>
          <w:vertAlign w:val="baseline"/>
        </w:rPr>
        <w:t>…‖</w:t>
      </w:r>
      <w:r>
        <w:rPr>
          <w:w w:val="99"/>
          <w:vertAlign w:val="baseline"/>
        </w:rPr>
        <w:t>.</w:t>
      </w:r>
      <w:r>
        <w:rPr>
          <w:vertAlign w:val="baseline"/>
        </w:rPr>
        <w:t> </w:t>
      </w:r>
      <w:r>
        <w:rPr>
          <w:spacing w:val="-22"/>
          <w:vertAlign w:val="baseline"/>
        </w:rPr>
        <w:t> </w:t>
      </w:r>
      <w:r>
        <w:rPr>
          <w:w w:val="99"/>
          <w:vertAlign w:val="baseline"/>
        </w:rPr>
        <w:t>T</w:t>
      </w:r>
      <w:r>
        <w:rPr>
          <w:spacing w:val="-1"/>
          <w:w w:val="99"/>
          <w:vertAlign w:val="baseline"/>
        </w:rPr>
        <w:t>h</w:t>
      </w:r>
      <w:r>
        <w:rPr>
          <w:w w:val="99"/>
          <w:vertAlign w:val="baseline"/>
        </w:rPr>
        <w:t>e</w:t>
      </w:r>
      <w:r>
        <w:rPr>
          <w:vertAlign w:val="baseline"/>
        </w:rPr>
        <w:t> </w:t>
      </w:r>
      <w:r>
        <w:rPr>
          <w:spacing w:val="-22"/>
          <w:vertAlign w:val="baseline"/>
        </w:rPr>
        <w:t> </w:t>
      </w:r>
      <w:r>
        <w:rPr>
          <w:spacing w:val="-1"/>
          <w:w w:val="99"/>
          <w:vertAlign w:val="baseline"/>
        </w:rPr>
        <w:t>p</w:t>
      </w:r>
      <w:r>
        <w:rPr>
          <w:w w:val="99"/>
          <w:vertAlign w:val="baseline"/>
        </w:rPr>
        <w:t>r</w:t>
      </w:r>
      <w:r>
        <w:rPr>
          <w:spacing w:val="-1"/>
          <w:w w:val="99"/>
          <w:vertAlign w:val="baseline"/>
        </w:rPr>
        <w:t>o</w:t>
      </w:r>
      <w:r>
        <w:rPr>
          <w:spacing w:val="-3"/>
          <w:w w:val="99"/>
          <w:vertAlign w:val="baseline"/>
        </w:rPr>
        <w:t>v</w:t>
      </w:r>
      <w:r>
        <w:rPr>
          <w:spacing w:val="-1"/>
          <w:w w:val="99"/>
          <w:vertAlign w:val="baseline"/>
        </w:rPr>
        <w:t>ision </w:t>
      </w:r>
      <w:r>
        <w:rPr>
          <w:vertAlign w:val="baseline"/>
        </w:rPr>
        <w:t>relates to disputes regarding possession of land or water or its boundaries which may result in breach of the peace. The function of the Magistrate is not to go into questions of title, but to meet the urgency of the situation by maintaining the party in possession. The Magistrate is empowered to call upon the parties to put in </w:t>
      </w:r>
      <w:r>
        <w:rPr>
          <w:spacing w:val="-1"/>
          <w:w w:val="99"/>
          <w:vertAlign w:val="baseline"/>
        </w:rPr>
        <w:t>writ</w:t>
      </w:r>
      <w:r>
        <w:rPr>
          <w:w w:val="99"/>
          <w:vertAlign w:val="baseline"/>
        </w:rPr>
        <w:t>t</w:t>
      </w:r>
      <w:r>
        <w:rPr>
          <w:spacing w:val="-1"/>
          <w:w w:val="99"/>
          <w:vertAlign w:val="baseline"/>
        </w:rPr>
        <w:t>e</w:t>
      </w:r>
      <w:r>
        <w:rPr>
          <w:w w:val="99"/>
          <w:vertAlign w:val="baseline"/>
        </w:rPr>
        <w:t>n</w:t>
      </w:r>
      <w:r>
        <w:rPr>
          <w:spacing w:val="12"/>
          <w:vertAlign w:val="baseline"/>
        </w:rPr>
        <w:t> </w:t>
      </w:r>
      <w:r>
        <w:rPr>
          <w:w w:val="99"/>
          <w:vertAlign w:val="baseline"/>
        </w:rPr>
        <w:t>stat</w:t>
      </w:r>
      <w:r>
        <w:rPr>
          <w:spacing w:val="-1"/>
          <w:w w:val="99"/>
          <w:vertAlign w:val="baseline"/>
        </w:rPr>
        <w:t>e</w:t>
      </w:r>
      <w:r>
        <w:rPr>
          <w:w w:val="99"/>
          <w:vertAlign w:val="baseline"/>
        </w:rPr>
        <w:t>m</w:t>
      </w:r>
      <w:r>
        <w:rPr>
          <w:spacing w:val="-1"/>
          <w:w w:val="99"/>
          <w:vertAlign w:val="baseline"/>
        </w:rPr>
        <w:t>e</w:t>
      </w:r>
      <w:r>
        <w:rPr>
          <w:w w:val="99"/>
          <w:vertAlign w:val="baseline"/>
        </w:rPr>
        <w:t>nts</w:t>
      </w:r>
      <w:r>
        <w:rPr>
          <w:spacing w:val="9"/>
          <w:vertAlign w:val="baseline"/>
        </w:rPr>
        <w:t> </w:t>
      </w:r>
      <w:r>
        <w:rPr>
          <w:spacing w:val="-1"/>
          <w:w w:val="99"/>
          <w:vertAlign w:val="baseline"/>
        </w:rPr>
        <w:t>i</w:t>
      </w:r>
      <w:r>
        <w:rPr>
          <w:w w:val="99"/>
          <w:vertAlign w:val="baseline"/>
        </w:rPr>
        <w:t>n</w:t>
      </w:r>
      <w:r>
        <w:rPr>
          <w:spacing w:val="9"/>
          <w:vertAlign w:val="baseline"/>
        </w:rPr>
        <w:t> </w:t>
      </w:r>
      <w:r>
        <w:rPr>
          <w:w w:val="99"/>
          <w:vertAlign w:val="baseline"/>
        </w:rPr>
        <w:t>sup</w:t>
      </w:r>
      <w:r>
        <w:rPr>
          <w:spacing w:val="-1"/>
          <w:w w:val="99"/>
          <w:vertAlign w:val="baseline"/>
        </w:rPr>
        <w:t>p</w:t>
      </w:r>
      <w:r>
        <w:rPr>
          <w:w w:val="99"/>
          <w:vertAlign w:val="baseline"/>
        </w:rPr>
        <w:t>ort</w:t>
      </w:r>
      <w:r>
        <w:rPr>
          <w:spacing w:val="12"/>
          <w:vertAlign w:val="baseline"/>
        </w:rPr>
        <w:t> </w:t>
      </w:r>
      <w:r>
        <w:rPr>
          <w:spacing w:val="-1"/>
          <w:w w:val="99"/>
          <w:vertAlign w:val="baseline"/>
        </w:rPr>
        <w:t>o</w:t>
      </w:r>
      <w:r>
        <w:rPr>
          <w:w w:val="99"/>
          <w:vertAlign w:val="baseline"/>
        </w:rPr>
        <w:t>f</w:t>
      </w:r>
      <w:r>
        <w:rPr>
          <w:spacing w:val="10"/>
          <w:vertAlign w:val="baseline"/>
        </w:rPr>
        <w:t> </w:t>
      </w:r>
      <w:r>
        <w:rPr>
          <w:w w:val="99"/>
          <w:vertAlign w:val="baseline"/>
        </w:rPr>
        <w:t>the</w:t>
      </w:r>
      <w:r>
        <w:rPr>
          <w:spacing w:val="-1"/>
          <w:w w:val="99"/>
          <w:vertAlign w:val="baseline"/>
        </w:rPr>
        <w:t>i</w:t>
      </w:r>
      <w:r>
        <w:rPr>
          <w:w w:val="99"/>
          <w:vertAlign w:val="baseline"/>
        </w:rPr>
        <w:t>r</w:t>
      </w:r>
      <w:r>
        <w:rPr>
          <w:spacing w:val="12"/>
          <w:vertAlign w:val="baseline"/>
        </w:rPr>
        <w:t> </w:t>
      </w:r>
      <w:r>
        <w:rPr>
          <w:w w:val="99"/>
          <w:vertAlign w:val="baseline"/>
        </w:rPr>
        <w:t>claim</w:t>
      </w:r>
      <w:r>
        <w:rPr>
          <w:spacing w:val="7"/>
          <w:vertAlign w:val="baseline"/>
        </w:rPr>
        <w:t> </w:t>
      </w:r>
      <w:r>
        <w:rPr>
          <w:w w:val="99"/>
          <w:vertAlign w:val="baseline"/>
        </w:rPr>
        <w:t>to</w:t>
      </w:r>
      <w:r>
        <w:rPr>
          <w:spacing w:val="12"/>
          <w:vertAlign w:val="baseline"/>
        </w:rPr>
        <w:t> </w:t>
      </w:r>
      <w:r>
        <w:rPr>
          <w:spacing w:val="6"/>
          <w:w w:val="33"/>
          <w:vertAlign w:val="baseline"/>
        </w:rPr>
        <w:t>―</w:t>
      </w:r>
      <w:r>
        <w:rPr>
          <w:w w:val="99"/>
          <w:vertAlign w:val="baseline"/>
        </w:rPr>
        <w:t>actu</w:t>
      </w:r>
      <w:r>
        <w:rPr>
          <w:w w:val="99"/>
          <w:vertAlign w:val="baseline"/>
        </w:rPr>
        <w:t>al</w:t>
      </w:r>
      <w:r>
        <w:rPr>
          <w:spacing w:val="12"/>
          <w:vertAlign w:val="baseline"/>
        </w:rPr>
        <w:t> </w:t>
      </w:r>
      <w:r>
        <w:rPr>
          <w:w w:val="99"/>
          <w:vertAlign w:val="baseline"/>
        </w:rPr>
        <w:t>po</w:t>
      </w:r>
      <w:r>
        <w:rPr>
          <w:w w:val="99"/>
          <w:vertAlign w:val="baseline"/>
        </w:rPr>
        <w:t>ssessio</w:t>
      </w:r>
      <w:r>
        <w:rPr>
          <w:spacing w:val="1"/>
          <w:w w:val="99"/>
          <w:vertAlign w:val="baseline"/>
        </w:rPr>
        <w:t>n</w:t>
      </w:r>
      <w:r>
        <w:rPr>
          <w:spacing w:val="-2"/>
          <w:w w:val="80"/>
          <w:vertAlign w:val="baseline"/>
        </w:rPr>
        <w:t>‖</w:t>
      </w:r>
      <w:r>
        <w:rPr>
          <w:w w:val="99"/>
          <w:vertAlign w:val="baseline"/>
        </w:rPr>
        <w:t>.</w:t>
      </w:r>
      <w:r>
        <w:rPr>
          <w:spacing w:val="12"/>
          <w:vertAlign w:val="baseline"/>
        </w:rPr>
        <w:t> </w:t>
      </w:r>
      <w:r>
        <w:rPr>
          <w:spacing w:val="-1"/>
          <w:w w:val="99"/>
          <w:vertAlign w:val="baseline"/>
        </w:rPr>
        <w:t>Suc</w:t>
      </w:r>
      <w:r>
        <w:rPr>
          <w:w w:val="99"/>
          <w:vertAlign w:val="baseline"/>
        </w:rPr>
        <w:t>h</w:t>
      </w:r>
      <w:r>
        <w:rPr>
          <w:spacing w:val="12"/>
          <w:vertAlign w:val="baseline"/>
        </w:rPr>
        <w:t> </w:t>
      </w:r>
      <w:r>
        <w:rPr>
          <w:spacing w:val="-1"/>
          <w:w w:val="99"/>
          <w:vertAlign w:val="baseline"/>
        </w:rPr>
        <w:t>a</w:t>
      </w:r>
      <w:r>
        <w:rPr>
          <w:w w:val="99"/>
          <w:vertAlign w:val="baseline"/>
        </w:rPr>
        <w:t>n</w:t>
      </w:r>
      <w:r>
        <w:rPr>
          <w:spacing w:val="12"/>
          <w:vertAlign w:val="baseline"/>
        </w:rPr>
        <w:t> </w:t>
      </w:r>
      <w:r>
        <w:rPr>
          <w:spacing w:val="-1"/>
          <w:w w:val="99"/>
          <w:vertAlign w:val="baseline"/>
        </w:rPr>
        <w:t>o</w:t>
      </w:r>
      <w:r>
        <w:rPr>
          <w:w w:val="99"/>
          <w:vertAlign w:val="baseline"/>
        </w:rPr>
        <w:t>r</w:t>
      </w:r>
      <w:r>
        <w:rPr>
          <w:spacing w:val="-3"/>
          <w:w w:val="99"/>
          <w:vertAlign w:val="baseline"/>
        </w:rPr>
        <w:t>d</w:t>
      </w:r>
      <w:r>
        <w:rPr>
          <w:spacing w:val="-1"/>
          <w:w w:val="99"/>
          <w:vertAlign w:val="baseline"/>
        </w:rPr>
        <w:t>er</w:t>
      </w:r>
    </w:p>
    <w:p>
      <w:pPr>
        <w:spacing w:after="0" w:line="480" w:lineRule="auto"/>
        <w:jc w:val="both"/>
        <w:sectPr>
          <w:headerReference w:type="default" r:id="rId90"/>
          <w:footerReference w:type="default" r:id="rId91"/>
          <w:pgSz w:w="11910" w:h="16840"/>
          <w:pgMar w:header="721" w:footer="1566" w:top="1300" w:bottom="1760" w:left="940" w:right="1000"/>
          <w:pgNumType w:start="139"/>
        </w:sectPr>
      </w:pPr>
    </w:p>
    <w:p>
      <w:pPr>
        <w:pStyle w:val="BodyText"/>
        <w:spacing w:line="480" w:lineRule="auto" w:before="124"/>
        <w:ind w:left="500" w:right="438"/>
        <w:jc w:val="both"/>
      </w:pPr>
      <w:r>
        <w:rPr/>
        <w:t>is to be served as a summons upon the parties. The Magistrate is to peruse the statements, hear the parties and weigh the evidence, in order to ascertain who was in possession at the date of the order. The Magistrate may make that </w:t>
      </w:r>
      <w:r>
        <w:rPr>
          <w:spacing w:val="-1"/>
          <w:w w:val="99"/>
        </w:rPr>
        <w:t>d</w:t>
      </w:r>
      <w:r>
        <w:rPr>
          <w:w w:val="99"/>
        </w:rPr>
        <w:t>ete</w:t>
      </w:r>
      <w:r>
        <w:rPr>
          <w:spacing w:val="1"/>
          <w:w w:val="99"/>
        </w:rPr>
        <w:t>r</w:t>
      </w:r>
      <w:r>
        <w:rPr>
          <w:w w:val="99"/>
        </w:rPr>
        <w:t>m</w:t>
      </w:r>
      <w:r>
        <w:rPr>
          <w:spacing w:val="-1"/>
          <w:w w:val="99"/>
        </w:rPr>
        <w:t>ina</w:t>
      </w:r>
      <w:r>
        <w:rPr>
          <w:w w:val="99"/>
        </w:rPr>
        <w:t>t</w:t>
      </w:r>
      <w:r>
        <w:rPr>
          <w:spacing w:val="-1"/>
          <w:w w:val="99"/>
        </w:rPr>
        <w:t>io</w:t>
      </w:r>
      <w:r>
        <w:rPr>
          <w:w w:val="99"/>
        </w:rPr>
        <w:t>n</w:t>
      </w:r>
      <w:r>
        <w:rPr/>
        <w:t> </w:t>
      </w:r>
      <w:r>
        <w:rPr>
          <w:spacing w:val="-17"/>
        </w:rPr>
        <w:t> </w:t>
      </w:r>
      <w:r>
        <w:rPr>
          <w:w w:val="33"/>
        </w:rPr>
        <w:t>―</w:t>
      </w:r>
      <w:r>
        <w:rPr>
          <w:spacing w:val="-1"/>
          <w:w w:val="99"/>
        </w:rPr>
        <w:t>i</w:t>
      </w:r>
      <w:r>
        <w:rPr>
          <w:w w:val="99"/>
        </w:rPr>
        <w:t>f</w:t>
      </w:r>
      <w:r>
        <w:rPr/>
        <w:t> </w:t>
      </w:r>
      <w:r>
        <w:rPr>
          <w:spacing w:val="-17"/>
        </w:rPr>
        <w:t> </w:t>
      </w:r>
      <w:r>
        <w:rPr>
          <w:spacing w:val="-3"/>
          <w:w w:val="99"/>
        </w:rPr>
        <w:t>p</w:t>
      </w:r>
      <w:r>
        <w:rPr>
          <w:spacing w:val="-1"/>
          <w:w w:val="99"/>
        </w:rPr>
        <w:t>ossibl</w:t>
      </w:r>
      <w:r>
        <w:rPr>
          <w:w w:val="99"/>
        </w:rPr>
        <w:t>e</w:t>
      </w:r>
      <w:r>
        <w:rPr>
          <w:w w:val="80"/>
        </w:rPr>
        <w:t>‖</w:t>
      </w:r>
      <w:r>
        <w:rPr/>
        <w:t> </w:t>
      </w:r>
      <w:r>
        <w:rPr>
          <w:spacing w:val="-17"/>
        </w:rPr>
        <w:t> </w:t>
      </w:r>
      <w:r>
        <w:rPr>
          <w:w w:val="99"/>
        </w:rPr>
        <w:t>to</w:t>
      </w:r>
      <w:r>
        <w:rPr/>
        <w:t> </w:t>
      </w:r>
      <w:r>
        <w:rPr>
          <w:spacing w:val="-17"/>
        </w:rPr>
        <w:t> </w:t>
      </w:r>
      <w:r>
        <w:rPr>
          <w:spacing w:val="-1"/>
          <w:w w:val="99"/>
        </w:rPr>
        <w:t>d</w:t>
      </w:r>
      <w:r>
        <w:rPr>
          <w:w w:val="99"/>
        </w:rPr>
        <w:t>o</w:t>
      </w:r>
      <w:r>
        <w:rPr/>
        <w:t> </w:t>
      </w:r>
      <w:r>
        <w:rPr>
          <w:spacing w:val="-17"/>
        </w:rPr>
        <w:t> </w:t>
      </w:r>
      <w:r>
        <w:rPr>
          <w:w w:val="99"/>
        </w:rPr>
        <w:t>so.</w:t>
      </w:r>
      <w:r>
        <w:rPr/>
        <w:t> </w:t>
      </w:r>
      <w:r>
        <w:rPr>
          <w:spacing w:val="-17"/>
        </w:rPr>
        <w:t> </w:t>
      </w:r>
      <w:r>
        <w:rPr>
          <w:spacing w:val="-4"/>
          <w:w w:val="99"/>
        </w:rPr>
        <w:t>M</w:t>
      </w:r>
      <w:r>
        <w:rPr>
          <w:spacing w:val="-1"/>
          <w:w w:val="99"/>
        </w:rPr>
        <w:t>o</w:t>
      </w:r>
      <w:r>
        <w:rPr>
          <w:w w:val="99"/>
        </w:rPr>
        <w:t>r</w:t>
      </w:r>
      <w:r>
        <w:rPr>
          <w:spacing w:val="-1"/>
          <w:w w:val="99"/>
        </w:rPr>
        <w:t>e</w:t>
      </w:r>
      <w:r>
        <w:rPr>
          <w:w w:val="99"/>
        </w:rPr>
        <w:t>o</w:t>
      </w:r>
      <w:r>
        <w:rPr>
          <w:spacing w:val="-3"/>
          <w:w w:val="99"/>
        </w:rPr>
        <w:t>v</w:t>
      </w:r>
      <w:r>
        <w:rPr>
          <w:spacing w:val="-1"/>
          <w:w w:val="99"/>
        </w:rPr>
        <w:t>e</w:t>
      </w:r>
      <w:r>
        <w:rPr>
          <w:w w:val="99"/>
        </w:rPr>
        <w:t>r,</w:t>
      </w:r>
      <w:r>
        <w:rPr/>
        <w:t> </w:t>
      </w:r>
      <w:r>
        <w:rPr>
          <w:spacing w:val="-17"/>
        </w:rPr>
        <w:t> </w:t>
      </w:r>
      <w:r>
        <w:rPr>
          <w:w w:val="99"/>
        </w:rPr>
        <w:t>the</w:t>
      </w:r>
      <w:r>
        <w:rPr/>
        <w:t> </w:t>
      </w:r>
      <w:r>
        <w:rPr>
          <w:spacing w:val="-17"/>
        </w:rPr>
        <w:t> </w:t>
      </w:r>
      <w:r>
        <w:rPr>
          <w:spacing w:val="-1"/>
          <w:w w:val="99"/>
        </w:rPr>
        <w:t>d</w:t>
      </w:r>
      <w:r>
        <w:rPr>
          <w:w w:val="99"/>
        </w:rPr>
        <w:t>ete</w:t>
      </w:r>
      <w:r>
        <w:rPr>
          <w:spacing w:val="1"/>
          <w:w w:val="99"/>
        </w:rPr>
        <w:t>r</w:t>
      </w:r>
      <w:r>
        <w:rPr>
          <w:w w:val="99"/>
        </w:rPr>
        <w:t>m</w:t>
      </w:r>
      <w:r>
        <w:rPr>
          <w:spacing w:val="-1"/>
          <w:w w:val="99"/>
        </w:rPr>
        <w:t>in</w:t>
      </w:r>
      <w:r>
        <w:rPr>
          <w:spacing w:val="-2"/>
          <w:w w:val="99"/>
        </w:rPr>
        <w:t>a</w:t>
      </w:r>
      <w:r>
        <w:rPr>
          <w:w w:val="99"/>
        </w:rPr>
        <w:t>tion</w:t>
      </w:r>
      <w:r>
        <w:rPr/>
        <w:t> </w:t>
      </w:r>
      <w:r>
        <w:rPr>
          <w:spacing w:val="-17"/>
        </w:rPr>
        <w:t> </w:t>
      </w:r>
      <w:r>
        <w:rPr>
          <w:spacing w:val="-1"/>
          <w:w w:val="99"/>
        </w:rPr>
        <w:t>i</w:t>
      </w:r>
      <w:r>
        <w:rPr>
          <w:w w:val="99"/>
        </w:rPr>
        <w:t>s</w:t>
      </w:r>
      <w:r>
        <w:rPr/>
        <w:t> </w:t>
      </w:r>
      <w:r>
        <w:rPr>
          <w:spacing w:val="-17"/>
        </w:rPr>
        <w:t> </w:t>
      </w:r>
      <w:r>
        <w:rPr>
          <w:spacing w:val="-1"/>
          <w:w w:val="99"/>
        </w:rPr>
        <w:t>a</w:t>
      </w:r>
      <w:r>
        <w:rPr>
          <w:w w:val="99"/>
        </w:rPr>
        <w:t>b</w:t>
      </w:r>
      <w:r>
        <w:rPr>
          <w:spacing w:val="-1"/>
          <w:w w:val="99"/>
        </w:rPr>
        <w:t>o</w:t>
      </w:r>
      <w:r>
        <w:rPr>
          <w:w w:val="99"/>
        </w:rPr>
        <w:t>ut</w:t>
      </w:r>
      <w:r>
        <w:rPr/>
        <w:t> </w:t>
      </w:r>
      <w:r>
        <w:rPr>
          <w:spacing w:val="-17"/>
        </w:rPr>
        <w:t> </w:t>
      </w:r>
      <w:r>
        <w:rPr>
          <w:w w:val="99"/>
        </w:rPr>
        <w:t>the fact</w:t>
      </w:r>
      <w:r>
        <w:rPr>
          <w:spacing w:val="-1"/>
          <w:w w:val="99"/>
        </w:rPr>
        <w:t>u</w:t>
      </w:r>
      <w:r>
        <w:rPr>
          <w:w w:val="99"/>
        </w:rPr>
        <w:t>m</w:t>
      </w:r>
      <w:r>
        <w:rPr>
          <w:spacing w:val="15"/>
        </w:rPr>
        <w:t> </w:t>
      </w:r>
      <w:r>
        <w:rPr>
          <w:spacing w:val="-1"/>
          <w:w w:val="99"/>
        </w:rPr>
        <w:t>o</w:t>
      </w:r>
      <w:r>
        <w:rPr>
          <w:w w:val="99"/>
        </w:rPr>
        <w:t>f</w:t>
      </w:r>
      <w:r>
        <w:rPr>
          <w:spacing w:val="14"/>
        </w:rPr>
        <w:t> </w:t>
      </w:r>
      <w:r>
        <w:rPr>
          <w:spacing w:val="-1"/>
          <w:w w:val="99"/>
        </w:rPr>
        <w:t>p</w:t>
      </w:r>
      <w:r>
        <w:rPr>
          <w:w w:val="99"/>
        </w:rPr>
        <w:t>ossession</w:t>
      </w:r>
      <w:r>
        <w:rPr>
          <w:spacing w:val="15"/>
        </w:rPr>
        <w:t> </w:t>
      </w:r>
      <w:r>
        <w:rPr>
          <w:spacing w:val="-1"/>
          <w:w w:val="99"/>
        </w:rPr>
        <w:t>o</w:t>
      </w:r>
      <w:r>
        <w:rPr>
          <w:w w:val="99"/>
        </w:rPr>
        <w:t>n</w:t>
      </w:r>
      <w:r>
        <w:rPr>
          <w:spacing w:val="14"/>
        </w:rPr>
        <w:t> </w:t>
      </w:r>
      <w:r>
        <w:rPr>
          <w:w w:val="99"/>
        </w:rPr>
        <w:t>the</w:t>
      </w:r>
      <w:r>
        <w:rPr>
          <w:spacing w:val="15"/>
        </w:rPr>
        <w:t> </w:t>
      </w:r>
      <w:r>
        <w:rPr>
          <w:spacing w:val="-1"/>
          <w:w w:val="99"/>
        </w:rPr>
        <w:t>d</w:t>
      </w:r>
      <w:r>
        <w:rPr>
          <w:w w:val="99"/>
        </w:rPr>
        <w:t>ate</w:t>
      </w:r>
      <w:r>
        <w:rPr>
          <w:spacing w:val="15"/>
        </w:rPr>
        <w:t> </w:t>
      </w:r>
      <w:r>
        <w:rPr>
          <w:spacing w:val="-1"/>
          <w:w w:val="99"/>
        </w:rPr>
        <w:t>o</w:t>
      </w:r>
      <w:r>
        <w:rPr>
          <w:w w:val="99"/>
        </w:rPr>
        <w:t>f</w:t>
      </w:r>
      <w:r>
        <w:rPr>
          <w:spacing w:val="14"/>
        </w:rPr>
        <w:t> </w:t>
      </w:r>
      <w:r>
        <w:rPr>
          <w:w w:val="99"/>
        </w:rPr>
        <w:t>the</w:t>
      </w:r>
      <w:r>
        <w:rPr>
          <w:spacing w:val="15"/>
        </w:rPr>
        <w:t> </w:t>
      </w:r>
      <w:r>
        <w:rPr>
          <w:spacing w:val="-1"/>
          <w:w w:val="99"/>
        </w:rPr>
        <w:t>o</w:t>
      </w:r>
      <w:r>
        <w:rPr>
          <w:spacing w:val="3"/>
          <w:w w:val="99"/>
        </w:rPr>
        <w:t>r</w:t>
      </w:r>
      <w:r>
        <w:rPr>
          <w:spacing w:val="-1"/>
          <w:w w:val="99"/>
        </w:rPr>
        <w:t>d</w:t>
      </w:r>
      <w:r>
        <w:rPr>
          <w:w w:val="99"/>
        </w:rPr>
        <w:t>er</w:t>
      </w:r>
      <w:r>
        <w:rPr>
          <w:spacing w:val="15"/>
        </w:rPr>
        <w:t> </w:t>
      </w:r>
      <w:r>
        <w:rPr>
          <w:w w:val="33"/>
        </w:rPr>
        <w:t>―</w:t>
      </w:r>
      <w:r>
        <w:rPr>
          <w:spacing w:val="-1"/>
          <w:w w:val="99"/>
        </w:rPr>
        <w:t>witho</w:t>
      </w:r>
      <w:r>
        <w:rPr>
          <w:w w:val="99"/>
        </w:rPr>
        <w:t>ut</w:t>
      </w:r>
      <w:r>
        <w:rPr>
          <w:spacing w:val="14"/>
        </w:rPr>
        <w:t> </w:t>
      </w:r>
      <w:r>
        <w:rPr>
          <w:w w:val="99"/>
        </w:rPr>
        <w:t>r</w:t>
      </w:r>
      <w:r>
        <w:rPr>
          <w:spacing w:val="-1"/>
          <w:w w:val="99"/>
        </w:rPr>
        <w:t>ef</w:t>
      </w:r>
      <w:r>
        <w:rPr>
          <w:w w:val="99"/>
        </w:rPr>
        <w:t>er</w:t>
      </w:r>
      <w:r>
        <w:rPr>
          <w:spacing w:val="-1"/>
          <w:w w:val="99"/>
        </w:rPr>
        <w:t>e</w:t>
      </w:r>
      <w:r>
        <w:rPr>
          <w:w w:val="99"/>
        </w:rPr>
        <w:t>n</w:t>
      </w:r>
      <w:r>
        <w:rPr>
          <w:spacing w:val="-3"/>
          <w:w w:val="99"/>
        </w:rPr>
        <w:t>c</w:t>
      </w:r>
      <w:r>
        <w:rPr>
          <w:w w:val="99"/>
        </w:rPr>
        <w:t>e</w:t>
      </w:r>
      <w:r>
        <w:rPr>
          <w:spacing w:val="14"/>
        </w:rPr>
        <w:t> </w:t>
      </w:r>
      <w:r>
        <w:rPr>
          <w:w w:val="99"/>
        </w:rPr>
        <w:t>to</w:t>
      </w:r>
      <w:r>
        <w:rPr>
          <w:spacing w:val="15"/>
        </w:rPr>
        <w:t> </w:t>
      </w:r>
      <w:r>
        <w:rPr>
          <w:w w:val="99"/>
        </w:rPr>
        <w:t>the</w:t>
      </w:r>
      <w:r>
        <w:rPr>
          <w:spacing w:val="15"/>
        </w:rPr>
        <w:t> </w:t>
      </w:r>
      <w:r>
        <w:rPr>
          <w:w w:val="99"/>
        </w:rPr>
        <w:t>m</w:t>
      </w:r>
      <w:r>
        <w:rPr>
          <w:spacing w:val="-1"/>
          <w:w w:val="99"/>
        </w:rPr>
        <w:t>e</w:t>
      </w:r>
      <w:r>
        <w:rPr>
          <w:w w:val="99"/>
        </w:rPr>
        <w:t>r</w:t>
      </w:r>
      <w:r>
        <w:rPr>
          <w:spacing w:val="-1"/>
          <w:w w:val="99"/>
        </w:rPr>
        <w:t>it</w:t>
      </w:r>
      <w:r>
        <w:rPr>
          <w:w w:val="99"/>
        </w:rPr>
        <w:t>s</w:t>
      </w:r>
      <w:r>
        <w:rPr>
          <w:spacing w:val="14"/>
        </w:rPr>
        <w:t> </w:t>
      </w:r>
      <w:r>
        <w:rPr>
          <w:spacing w:val="-1"/>
          <w:w w:val="99"/>
        </w:rPr>
        <w:t>of </w:t>
      </w:r>
      <w:r>
        <w:rPr/>
        <w:t>the claim of any of such parties to a </w:t>
      </w:r>
      <w:r>
        <w:rPr>
          <w:b/>
        </w:rPr>
        <w:t>right </w:t>
      </w:r>
      <w:r>
        <w:rPr/>
        <w:t>to possess the subject of the dispute‖. These words indicate that the Magistrate does not decide or adjudicate upon the contesting rights to possess or the merits of conflicting claims. The Magistrate is concerned with determining only who was in possession on the date of the order. If possession has been wrongfully taken within two months of the order, the person so dispossessed is to be taken as the person in possession. In cases of emergency, the Magistrate can attach the subject of the dispute, pending decision. The action ultimately contemplated under Section 145 is not punitive, but preventive, and for that purpose is provisional only till a final or formal adjudication of rights is done by a competent court in the due course of law. Thus, nothing affecting the past, present and future rights of parties is contemplated under the</w:t>
      </w:r>
      <w:r>
        <w:rPr>
          <w:spacing w:val="-1"/>
        </w:rPr>
        <w:t> </w:t>
      </w:r>
      <w:r>
        <w:rPr/>
        <w:t>provision.</w:t>
      </w:r>
    </w:p>
    <w:p>
      <w:pPr>
        <w:pStyle w:val="BodyText"/>
        <w:rPr>
          <w:sz w:val="28"/>
        </w:rPr>
      </w:pPr>
    </w:p>
    <w:p>
      <w:pPr>
        <w:pStyle w:val="ListParagraph"/>
        <w:numPr>
          <w:ilvl w:val="0"/>
          <w:numId w:val="3"/>
        </w:numPr>
        <w:tabs>
          <w:tab w:pos="1221" w:val="left" w:leader="none"/>
        </w:tabs>
        <w:spacing w:line="480" w:lineRule="auto" w:before="167" w:after="0"/>
        <w:ind w:left="500" w:right="437" w:firstLine="0"/>
        <w:jc w:val="both"/>
        <w:rPr>
          <w:sz w:val="25"/>
        </w:rPr>
      </w:pPr>
      <w:r>
        <w:rPr>
          <w:sz w:val="25"/>
        </w:rPr>
        <w:t>The object of the provision is merely to maintain law and order and to prevent a breach of the peace by maintaining one or other of the parties in possession, which the Magistrate finds they had immediately before the dispute, until the actual right of one of the parties has been determined by a civil court.</w:t>
      </w:r>
      <w:r>
        <w:rPr>
          <w:sz w:val="25"/>
          <w:vertAlign w:val="superscript"/>
        </w:rPr>
        <w:t>140</w:t>
      </w:r>
      <w:r>
        <w:rPr>
          <w:sz w:val="25"/>
          <w:vertAlign w:val="baseline"/>
        </w:rPr>
        <w:t> The</w:t>
      </w:r>
      <w:r>
        <w:rPr>
          <w:spacing w:val="32"/>
          <w:sz w:val="25"/>
          <w:vertAlign w:val="baseline"/>
        </w:rPr>
        <w:t> </w:t>
      </w:r>
      <w:r>
        <w:rPr>
          <w:sz w:val="25"/>
          <w:vertAlign w:val="baseline"/>
        </w:rPr>
        <w:t>object</w:t>
      </w:r>
      <w:r>
        <w:rPr>
          <w:spacing w:val="32"/>
          <w:sz w:val="25"/>
          <w:vertAlign w:val="baseline"/>
        </w:rPr>
        <w:t> </w:t>
      </w:r>
      <w:r>
        <w:rPr>
          <w:sz w:val="25"/>
          <w:vertAlign w:val="baseline"/>
        </w:rPr>
        <w:t>is</w:t>
      </w:r>
      <w:r>
        <w:rPr>
          <w:spacing w:val="32"/>
          <w:sz w:val="25"/>
          <w:vertAlign w:val="baseline"/>
        </w:rPr>
        <w:t> </w:t>
      </w:r>
      <w:r>
        <w:rPr>
          <w:sz w:val="25"/>
          <w:vertAlign w:val="baseline"/>
        </w:rPr>
        <w:t>to</w:t>
      </w:r>
      <w:r>
        <w:rPr>
          <w:spacing w:val="34"/>
          <w:sz w:val="25"/>
          <w:vertAlign w:val="baseline"/>
        </w:rPr>
        <w:t> </w:t>
      </w:r>
      <w:r>
        <w:rPr>
          <w:sz w:val="25"/>
          <w:vertAlign w:val="baseline"/>
        </w:rPr>
        <w:t>take</w:t>
      </w:r>
      <w:r>
        <w:rPr>
          <w:spacing w:val="35"/>
          <w:sz w:val="25"/>
          <w:vertAlign w:val="baseline"/>
        </w:rPr>
        <w:t> </w:t>
      </w:r>
      <w:r>
        <w:rPr>
          <w:sz w:val="25"/>
          <w:vertAlign w:val="baseline"/>
        </w:rPr>
        <w:t>the</w:t>
      </w:r>
      <w:r>
        <w:rPr>
          <w:spacing w:val="34"/>
          <w:sz w:val="25"/>
          <w:vertAlign w:val="baseline"/>
        </w:rPr>
        <w:t> </w:t>
      </w:r>
      <w:r>
        <w:rPr>
          <w:sz w:val="25"/>
          <w:vertAlign w:val="baseline"/>
        </w:rPr>
        <w:t>subject</w:t>
      </w:r>
      <w:r>
        <w:rPr>
          <w:spacing w:val="32"/>
          <w:sz w:val="25"/>
          <w:vertAlign w:val="baseline"/>
        </w:rPr>
        <w:t> </w:t>
      </w:r>
      <w:r>
        <w:rPr>
          <w:sz w:val="25"/>
          <w:vertAlign w:val="baseline"/>
        </w:rPr>
        <w:t>of</w:t>
      </w:r>
      <w:r>
        <w:rPr>
          <w:spacing w:val="33"/>
          <w:sz w:val="25"/>
          <w:vertAlign w:val="baseline"/>
        </w:rPr>
        <w:t> </w:t>
      </w:r>
      <w:r>
        <w:rPr>
          <w:sz w:val="25"/>
          <w:vertAlign w:val="baseline"/>
        </w:rPr>
        <w:t>dispute</w:t>
      </w:r>
      <w:r>
        <w:rPr>
          <w:spacing w:val="33"/>
          <w:sz w:val="25"/>
          <w:vertAlign w:val="baseline"/>
        </w:rPr>
        <w:t> </w:t>
      </w:r>
      <w:r>
        <w:rPr>
          <w:sz w:val="25"/>
          <w:vertAlign w:val="baseline"/>
        </w:rPr>
        <w:t>out</w:t>
      </w:r>
      <w:r>
        <w:rPr>
          <w:spacing w:val="33"/>
          <w:sz w:val="25"/>
          <w:vertAlign w:val="baseline"/>
        </w:rPr>
        <w:t> </w:t>
      </w:r>
      <w:r>
        <w:rPr>
          <w:sz w:val="25"/>
          <w:vertAlign w:val="baseline"/>
        </w:rPr>
        <w:t>of</w:t>
      </w:r>
      <w:r>
        <w:rPr>
          <w:spacing w:val="33"/>
          <w:sz w:val="25"/>
          <w:vertAlign w:val="baseline"/>
        </w:rPr>
        <w:t> </w:t>
      </w:r>
      <w:r>
        <w:rPr>
          <w:sz w:val="25"/>
          <w:vertAlign w:val="baseline"/>
        </w:rPr>
        <w:t>the</w:t>
      </w:r>
      <w:r>
        <w:rPr>
          <w:spacing w:val="33"/>
          <w:sz w:val="25"/>
          <w:vertAlign w:val="baseline"/>
        </w:rPr>
        <w:t> </w:t>
      </w:r>
      <w:r>
        <w:rPr>
          <w:sz w:val="25"/>
          <w:vertAlign w:val="baseline"/>
        </w:rPr>
        <w:t>hands</w:t>
      </w:r>
      <w:r>
        <w:rPr>
          <w:spacing w:val="33"/>
          <w:sz w:val="25"/>
          <w:vertAlign w:val="baseline"/>
        </w:rPr>
        <w:t> </w:t>
      </w:r>
      <w:r>
        <w:rPr>
          <w:sz w:val="25"/>
          <w:vertAlign w:val="baseline"/>
        </w:rPr>
        <w:t>of</w:t>
      </w:r>
      <w:r>
        <w:rPr>
          <w:spacing w:val="34"/>
          <w:sz w:val="25"/>
          <w:vertAlign w:val="baseline"/>
        </w:rPr>
        <w:t> </w:t>
      </w:r>
      <w:r>
        <w:rPr>
          <w:sz w:val="25"/>
          <w:vertAlign w:val="baseline"/>
        </w:rPr>
        <w:t>the</w:t>
      </w:r>
      <w:r>
        <w:rPr>
          <w:spacing w:val="34"/>
          <w:sz w:val="25"/>
          <w:vertAlign w:val="baseline"/>
        </w:rPr>
        <w:t> </w:t>
      </w:r>
      <w:r>
        <w:rPr>
          <w:sz w:val="25"/>
          <w:vertAlign w:val="baseline"/>
        </w:rPr>
        <w:t>disputants,</w:t>
      </w:r>
    </w:p>
    <w:p>
      <w:pPr>
        <w:pStyle w:val="BodyText"/>
        <w:spacing w:before="1"/>
        <w:ind w:left="500"/>
        <w:jc w:val="both"/>
      </w:pPr>
      <w:r>
        <w:rPr/>
        <w:t>allowing the custodian to protect the right, until one of the parties has</w:t>
      </w:r>
      <w:r>
        <w:rPr>
          <w:spacing w:val="53"/>
        </w:rPr>
        <w:t> </w:t>
      </w:r>
      <w:r>
        <w:rPr/>
        <w:t>established</w:t>
      </w:r>
    </w:p>
    <w:p>
      <w:pPr>
        <w:spacing w:after="0"/>
        <w:jc w:val="both"/>
        <w:sectPr>
          <w:headerReference w:type="default" r:id="rId92"/>
          <w:footerReference w:type="default" r:id="rId93"/>
          <w:pgSz w:w="11910" w:h="16840"/>
          <w:pgMar w:header="721" w:footer="1566" w:top="1300" w:bottom="1760" w:left="940" w:right="1000"/>
        </w:sectPr>
      </w:pPr>
    </w:p>
    <w:p>
      <w:pPr>
        <w:pStyle w:val="BodyText"/>
        <w:spacing w:line="480" w:lineRule="auto" w:before="124"/>
        <w:ind w:left="500" w:right="435"/>
        <w:jc w:val="both"/>
      </w:pPr>
      <w:r>
        <w:rPr/>
        <w:t>her right (if any) to possession in a civil court.</w:t>
      </w:r>
      <w:r>
        <w:rPr>
          <w:vertAlign w:val="superscript"/>
        </w:rPr>
        <w:t>141</w:t>
      </w:r>
      <w:r>
        <w:rPr>
          <w:vertAlign w:val="baseline"/>
        </w:rPr>
        <w:t> This is evident from the provisions of sub-section (6) of Section 146. The Magistrate declares the party </w:t>
      </w:r>
      <w:r>
        <w:rPr>
          <w:spacing w:val="-1"/>
          <w:w w:val="99"/>
          <w:vertAlign w:val="baseline"/>
        </w:rPr>
        <w:t>whic</w:t>
      </w:r>
      <w:r>
        <w:rPr>
          <w:w w:val="99"/>
          <w:vertAlign w:val="baseline"/>
        </w:rPr>
        <w:t>h</w:t>
      </w:r>
      <w:r>
        <w:rPr>
          <w:vertAlign w:val="baseline"/>
        </w:rPr>
        <w:t> </w:t>
      </w:r>
      <w:r>
        <w:rPr>
          <w:spacing w:val="-19"/>
          <w:vertAlign w:val="baseline"/>
        </w:rPr>
        <w:t> </w:t>
      </w:r>
      <w:r>
        <w:rPr>
          <w:spacing w:val="-1"/>
          <w:w w:val="99"/>
          <w:vertAlign w:val="baseline"/>
        </w:rPr>
        <w:t>i</w:t>
      </w:r>
      <w:r>
        <w:rPr>
          <w:w w:val="99"/>
          <w:vertAlign w:val="baseline"/>
        </w:rPr>
        <w:t>s</w:t>
      </w:r>
      <w:r>
        <w:rPr>
          <w:vertAlign w:val="baseline"/>
        </w:rPr>
        <w:t> </w:t>
      </w:r>
      <w:r>
        <w:rPr>
          <w:spacing w:val="-20"/>
          <w:vertAlign w:val="baseline"/>
        </w:rPr>
        <w:t> </w:t>
      </w:r>
      <w:r>
        <w:rPr>
          <w:spacing w:val="-1"/>
          <w:w w:val="99"/>
          <w:vertAlign w:val="baseline"/>
        </w:rPr>
        <w:t>e</w:t>
      </w:r>
      <w:r>
        <w:rPr>
          <w:w w:val="99"/>
          <w:vertAlign w:val="baseline"/>
        </w:rPr>
        <w:t>ntitled</w:t>
      </w:r>
      <w:r>
        <w:rPr>
          <w:vertAlign w:val="baseline"/>
        </w:rPr>
        <w:t> </w:t>
      </w:r>
      <w:r>
        <w:rPr>
          <w:spacing w:val="-19"/>
          <w:vertAlign w:val="baseline"/>
        </w:rPr>
        <w:t> </w:t>
      </w:r>
      <w:r>
        <w:rPr>
          <w:w w:val="99"/>
          <w:vertAlign w:val="baseline"/>
        </w:rPr>
        <w:t>to</w:t>
      </w:r>
      <w:r>
        <w:rPr>
          <w:vertAlign w:val="baseline"/>
        </w:rPr>
        <w:t> </w:t>
      </w:r>
      <w:r>
        <w:rPr>
          <w:spacing w:val="-19"/>
          <w:vertAlign w:val="baseline"/>
        </w:rPr>
        <w:t> </w:t>
      </w:r>
      <w:r>
        <w:rPr>
          <w:spacing w:val="-1"/>
          <w:w w:val="99"/>
          <w:vertAlign w:val="baseline"/>
        </w:rPr>
        <w:t>p</w:t>
      </w:r>
      <w:r>
        <w:rPr>
          <w:w w:val="99"/>
          <w:vertAlign w:val="baseline"/>
        </w:rPr>
        <w:t>ossession</w:t>
      </w:r>
      <w:r>
        <w:rPr>
          <w:vertAlign w:val="baseline"/>
        </w:rPr>
        <w:t> </w:t>
      </w:r>
      <w:r>
        <w:rPr>
          <w:spacing w:val="-19"/>
          <w:vertAlign w:val="baseline"/>
        </w:rPr>
        <w:t> </w:t>
      </w:r>
      <w:r>
        <w:rPr>
          <w:w w:val="33"/>
          <w:vertAlign w:val="baseline"/>
        </w:rPr>
        <w:t>―</w:t>
      </w:r>
      <w:r>
        <w:rPr>
          <w:spacing w:val="-1"/>
          <w:w w:val="99"/>
          <w:vertAlign w:val="baseline"/>
        </w:rPr>
        <w:t>u</w:t>
      </w:r>
      <w:r>
        <w:rPr>
          <w:w w:val="99"/>
          <w:vertAlign w:val="baseline"/>
        </w:rPr>
        <w:t>ntil</w:t>
      </w:r>
      <w:r>
        <w:rPr>
          <w:vertAlign w:val="baseline"/>
        </w:rPr>
        <w:t> </w:t>
      </w:r>
      <w:r>
        <w:rPr>
          <w:spacing w:val="-20"/>
          <w:vertAlign w:val="baseline"/>
        </w:rPr>
        <w:t> </w:t>
      </w:r>
      <w:r>
        <w:rPr>
          <w:spacing w:val="-1"/>
          <w:w w:val="99"/>
          <w:vertAlign w:val="baseline"/>
        </w:rPr>
        <w:t>e</w:t>
      </w:r>
      <w:r>
        <w:rPr>
          <w:spacing w:val="-3"/>
          <w:w w:val="99"/>
          <w:vertAlign w:val="baseline"/>
        </w:rPr>
        <w:t>v</w:t>
      </w:r>
      <w:r>
        <w:rPr>
          <w:spacing w:val="-1"/>
          <w:w w:val="99"/>
          <w:vertAlign w:val="baseline"/>
        </w:rPr>
        <w:t>ic</w:t>
      </w:r>
      <w:r>
        <w:rPr>
          <w:spacing w:val="2"/>
          <w:w w:val="99"/>
          <w:vertAlign w:val="baseline"/>
        </w:rPr>
        <w:t>t</w:t>
      </w:r>
      <w:r>
        <w:rPr>
          <w:spacing w:val="-1"/>
          <w:w w:val="99"/>
          <w:vertAlign w:val="baseline"/>
        </w:rPr>
        <w:t>e</w:t>
      </w:r>
      <w:r>
        <w:rPr>
          <w:w w:val="99"/>
          <w:vertAlign w:val="baseline"/>
        </w:rPr>
        <w:t>d</w:t>
      </w:r>
      <w:r>
        <w:rPr>
          <w:vertAlign w:val="baseline"/>
        </w:rPr>
        <w:t> </w:t>
      </w:r>
      <w:r>
        <w:rPr>
          <w:spacing w:val="-19"/>
          <w:vertAlign w:val="baseline"/>
        </w:rPr>
        <w:t> </w:t>
      </w:r>
      <w:r>
        <w:rPr>
          <w:w w:val="99"/>
          <w:vertAlign w:val="baseline"/>
        </w:rPr>
        <w:t>ther</w:t>
      </w:r>
      <w:r>
        <w:rPr>
          <w:spacing w:val="-1"/>
          <w:w w:val="99"/>
          <w:vertAlign w:val="baseline"/>
        </w:rPr>
        <w:t>ef</w:t>
      </w:r>
      <w:r>
        <w:rPr>
          <w:spacing w:val="1"/>
          <w:w w:val="99"/>
          <w:vertAlign w:val="baseline"/>
        </w:rPr>
        <w:t>r</w:t>
      </w:r>
      <w:r>
        <w:rPr>
          <w:spacing w:val="-1"/>
          <w:w w:val="99"/>
          <w:vertAlign w:val="baseline"/>
        </w:rPr>
        <w:t>o</w:t>
      </w:r>
      <w:r>
        <w:rPr>
          <w:w w:val="99"/>
          <w:vertAlign w:val="baseline"/>
        </w:rPr>
        <w:t>m</w:t>
      </w:r>
      <w:r>
        <w:rPr>
          <w:vertAlign w:val="baseline"/>
        </w:rPr>
        <w:t> </w:t>
      </w:r>
      <w:r>
        <w:rPr>
          <w:spacing w:val="-19"/>
          <w:vertAlign w:val="baseline"/>
        </w:rPr>
        <w:t> </w:t>
      </w:r>
      <w:r>
        <w:rPr>
          <w:spacing w:val="-1"/>
          <w:w w:val="99"/>
          <w:vertAlign w:val="baseline"/>
        </w:rPr>
        <w:t>i</w:t>
      </w:r>
      <w:r>
        <w:rPr>
          <w:w w:val="99"/>
          <w:vertAlign w:val="baseline"/>
        </w:rPr>
        <w:t>n</w:t>
      </w:r>
      <w:r>
        <w:rPr>
          <w:vertAlign w:val="baseline"/>
        </w:rPr>
        <w:t> </w:t>
      </w:r>
      <w:r>
        <w:rPr>
          <w:spacing w:val="-19"/>
          <w:vertAlign w:val="baseline"/>
        </w:rPr>
        <w:t> </w:t>
      </w:r>
      <w:r>
        <w:rPr>
          <w:spacing w:val="-1"/>
          <w:w w:val="99"/>
          <w:vertAlign w:val="baseline"/>
        </w:rPr>
        <w:t>d</w:t>
      </w:r>
      <w:r>
        <w:rPr>
          <w:spacing w:val="-2"/>
          <w:w w:val="99"/>
          <w:vertAlign w:val="baseline"/>
        </w:rPr>
        <w:t>u</w:t>
      </w:r>
      <w:r>
        <w:rPr>
          <w:w w:val="99"/>
          <w:vertAlign w:val="baseline"/>
        </w:rPr>
        <w:t>e</w:t>
      </w:r>
      <w:r>
        <w:rPr>
          <w:vertAlign w:val="baseline"/>
        </w:rPr>
        <w:t> </w:t>
      </w:r>
      <w:r>
        <w:rPr>
          <w:spacing w:val="-22"/>
          <w:vertAlign w:val="baseline"/>
        </w:rPr>
        <w:t> </w:t>
      </w:r>
      <w:r>
        <w:rPr>
          <w:w w:val="99"/>
          <w:vertAlign w:val="baseline"/>
        </w:rPr>
        <w:t>course</w:t>
      </w:r>
      <w:r>
        <w:rPr>
          <w:vertAlign w:val="baseline"/>
        </w:rPr>
        <w:t> </w:t>
      </w:r>
      <w:r>
        <w:rPr>
          <w:spacing w:val="-19"/>
          <w:vertAlign w:val="baseline"/>
        </w:rPr>
        <w:t> </w:t>
      </w:r>
      <w:r>
        <w:rPr>
          <w:spacing w:val="-1"/>
          <w:w w:val="99"/>
          <w:vertAlign w:val="baseline"/>
        </w:rPr>
        <w:t>o</w:t>
      </w:r>
      <w:r>
        <w:rPr>
          <w:w w:val="99"/>
          <w:vertAlign w:val="baseline"/>
        </w:rPr>
        <w:t>f</w:t>
      </w:r>
      <w:r>
        <w:rPr>
          <w:vertAlign w:val="baseline"/>
        </w:rPr>
        <w:t> </w:t>
      </w:r>
      <w:r>
        <w:rPr>
          <w:spacing w:val="-19"/>
          <w:vertAlign w:val="baseline"/>
        </w:rPr>
        <w:t> </w:t>
      </w:r>
      <w:r>
        <w:rPr>
          <w:spacing w:val="-1"/>
          <w:w w:val="96"/>
          <w:vertAlign w:val="baseline"/>
        </w:rPr>
        <w:t>law.‖ </w:t>
      </w:r>
      <w:r>
        <w:rPr>
          <w:vertAlign w:val="baseline"/>
        </w:rPr>
        <w:t>While proceeding under the first proviso, the Magistrate may restore possession to a party which has been wrongfully and forcibly dispossessed. No party can be allowed to use the provisions of Section 145 for ulterior purposes or as a substitute for civil remedies. The jurisdiction and power of the civil court cannot in any manner be</w:t>
      </w:r>
      <w:r>
        <w:rPr>
          <w:spacing w:val="-4"/>
          <w:vertAlign w:val="baseline"/>
        </w:rPr>
        <w:t> </w:t>
      </w:r>
      <w:r>
        <w:rPr>
          <w:vertAlign w:val="baseline"/>
        </w:rPr>
        <w:t>hampered.</w:t>
      </w:r>
      <w:r>
        <w:rPr>
          <w:vertAlign w:val="superscript"/>
        </w:rPr>
        <w:t>142</w:t>
      </w:r>
    </w:p>
    <w:p>
      <w:pPr>
        <w:pStyle w:val="BodyText"/>
        <w:spacing w:before="5"/>
        <w:rPr>
          <w:sz w:val="42"/>
        </w:rPr>
      </w:pPr>
    </w:p>
    <w:p>
      <w:pPr>
        <w:pStyle w:val="ListParagraph"/>
        <w:numPr>
          <w:ilvl w:val="0"/>
          <w:numId w:val="3"/>
        </w:numPr>
        <w:tabs>
          <w:tab w:pos="1220" w:val="left" w:leader="none"/>
          <w:tab w:pos="1221" w:val="left" w:leader="none"/>
        </w:tabs>
        <w:spacing w:line="480" w:lineRule="auto" w:before="1" w:after="0"/>
        <w:ind w:left="500" w:right="443" w:firstLine="0"/>
        <w:jc w:val="left"/>
        <w:rPr>
          <w:sz w:val="25"/>
        </w:rPr>
      </w:pPr>
      <w:r>
        <w:rPr>
          <w:sz w:val="25"/>
        </w:rPr>
        <w:t>This Court has analysed the nature and scope of proceedings under Section 145 in the following</w:t>
      </w:r>
      <w:r>
        <w:rPr>
          <w:spacing w:val="-4"/>
          <w:sz w:val="25"/>
        </w:rPr>
        <w:t> </w:t>
      </w:r>
      <w:r>
        <w:rPr>
          <w:sz w:val="25"/>
        </w:rPr>
        <w:t>cases:</w:t>
      </w:r>
    </w:p>
    <w:p>
      <w:pPr>
        <w:pStyle w:val="ListParagraph"/>
        <w:numPr>
          <w:ilvl w:val="0"/>
          <w:numId w:val="87"/>
        </w:numPr>
        <w:tabs>
          <w:tab w:pos="1220" w:val="left" w:leader="none"/>
          <w:tab w:pos="1221" w:val="left" w:leader="none"/>
        </w:tabs>
        <w:spacing w:line="285" w:lineRule="exact" w:before="0" w:after="0"/>
        <w:ind w:left="1220" w:right="0" w:hanging="721"/>
        <w:jc w:val="left"/>
        <w:rPr>
          <w:color w:val="212121"/>
          <w:sz w:val="25"/>
        </w:rPr>
      </w:pPr>
      <w:r>
        <w:rPr>
          <w:color w:val="212121"/>
          <w:sz w:val="25"/>
        </w:rPr>
        <w:t>In </w:t>
      </w:r>
      <w:r>
        <w:rPr>
          <w:b/>
          <w:color w:val="212121"/>
          <w:sz w:val="25"/>
        </w:rPr>
        <w:t>Bhinka </w:t>
      </w:r>
      <w:r>
        <w:rPr>
          <w:color w:val="212121"/>
          <w:sz w:val="25"/>
        </w:rPr>
        <w:t>v </w:t>
      </w:r>
      <w:r>
        <w:rPr>
          <w:b/>
          <w:color w:val="212121"/>
          <w:sz w:val="25"/>
        </w:rPr>
        <w:t>Charan Singh</w:t>
      </w:r>
      <w:r>
        <w:rPr>
          <w:color w:val="212121"/>
          <w:sz w:val="25"/>
          <w:vertAlign w:val="superscript"/>
        </w:rPr>
        <w:t>143</w:t>
      </w:r>
      <w:r>
        <w:rPr>
          <w:color w:val="212121"/>
          <w:sz w:val="25"/>
          <w:vertAlign w:val="baseline"/>
        </w:rPr>
        <w:t>, the respondent, claimed the lands in</w:t>
      </w:r>
      <w:r>
        <w:rPr>
          <w:color w:val="212121"/>
          <w:spacing w:val="-7"/>
          <w:sz w:val="25"/>
          <w:vertAlign w:val="baseline"/>
        </w:rPr>
        <w:t> </w:t>
      </w:r>
      <w:r>
        <w:rPr>
          <w:color w:val="212121"/>
          <w:sz w:val="25"/>
          <w:vertAlign w:val="baseline"/>
        </w:rPr>
        <w:t>dispute</w:t>
      </w:r>
    </w:p>
    <w:p>
      <w:pPr>
        <w:pStyle w:val="BodyText"/>
        <w:spacing w:before="1"/>
      </w:pPr>
    </w:p>
    <w:p>
      <w:pPr>
        <w:pStyle w:val="BodyText"/>
        <w:spacing w:line="480" w:lineRule="auto"/>
        <w:ind w:left="1220" w:right="434"/>
        <w:jc w:val="both"/>
      </w:pPr>
      <w:r>
        <w:rPr>
          <w:color w:val="212121"/>
          <w:w w:val="33"/>
        </w:rPr>
        <w:t>―</w:t>
      </w:r>
      <w:r>
        <w:rPr>
          <w:color w:val="212121"/>
          <w:w w:val="99"/>
        </w:rPr>
        <w:t>to</w:t>
      </w:r>
      <w:r>
        <w:rPr>
          <w:color w:val="212121"/>
        </w:rPr>
        <w:t> </w:t>
      </w:r>
      <w:r>
        <w:rPr>
          <w:color w:val="212121"/>
          <w:w w:val="99"/>
        </w:rPr>
        <w:t>be</w:t>
      </w:r>
      <w:r>
        <w:rPr>
          <w:color w:val="212121"/>
        </w:rPr>
        <w:t> </w:t>
      </w:r>
      <w:r>
        <w:rPr>
          <w:color w:val="212121"/>
          <w:w w:val="99"/>
        </w:rPr>
        <w:t>his</w:t>
      </w:r>
      <w:r>
        <w:rPr>
          <w:color w:val="212121"/>
        </w:rPr>
        <w:t> </w:t>
      </w:r>
      <w:r>
        <w:rPr>
          <w:color w:val="212121"/>
          <w:w w:val="94"/>
        </w:rPr>
        <w:t>sir‖</w:t>
      </w:r>
      <w:r>
        <w:rPr>
          <w:color w:val="212121"/>
          <w:w w:val="99"/>
        </w:rPr>
        <w:t>,</w:t>
      </w:r>
      <w:r>
        <w:rPr>
          <w:color w:val="212121"/>
        </w:rPr>
        <w:t> </w:t>
      </w:r>
      <w:r>
        <w:rPr>
          <w:color w:val="212121"/>
          <w:w w:val="99"/>
        </w:rPr>
        <w:t>while</w:t>
      </w:r>
      <w:r>
        <w:rPr>
          <w:color w:val="212121"/>
        </w:rPr>
        <w:t> </w:t>
      </w:r>
      <w:r>
        <w:rPr>
          <w:color w:val="212121"/>
          <w:w w:val="99"/>
        </w:rPr>
        <w:t>the</w:t>
      </w:r>
      <w:r>
        <w:rPr>
          <w:color w:val="212121"/>
        </w:rPr>
        <w:t> </w:t>
      </w:r>
      <w:r>
        <w:rPr>
          <w:color w:val="212121"/>
          <w:w w:val="99"/>
        </w:rPr>
        <w:t>appellants</w:t>
      </w:r>
      <w:r>
        <w:rPr>
          <w:color w:val="212121"/>
        </w:rPr>
        <w:t> </w:t>
      </w:r>
      <w:r>
        <w:rPr>
          <w:color w:val="212121"/>
          <w:w w:val="99"/>
        </w:rPr>
        <w:t>claimed</w:t>
      </w:r>
      <w:r>
        <w:rPr>
          <w:color w:val="212121"/>
        </w:rPr>
        <w:t> </w:t>
      </w:r>
      <w:r>
        <w:rPr>
          <w:color w:val="212121"/>
          <w:w w:val="99"/>
        </w:rPr>
        <w:t>to</w:t>
      </w:r>
      <w:r>
        <w:rPr>
          <w:color w:val="212121"/>
        </w:rPr>
        <w:t> </w:t>
      </w:r>
      <w:r>
        <w:rPr>
          <w:color w:val="212121"/>
          <w:w w:val="99"/>
        </w:rPr>
        <w:t>be</w:t>
      </w:r>
      <w:r>
        <w:rPr>
          <w:color w:val="212121"/>
        </w:rPr>
        <w:t> </w:t>
      </w:r>
      <w:r>
        <w:rPr>
          <w:color w:val="212121"/>
          <w:w w:val="99"/>
        </w:rPr>
        <w:t>in</w:t>
      </w:r>
      <w:r>
        <w:rPr>
          <w:color w:val="212121"/>
        </w:rPr>
        <w:t> </w:t>
      </w:r>
      <w:r>
        <w:rPr>
          <w:color w:val="212121"/>
          <w:w w:val="99"/>
        </w:rPr>
        <w:t>possession</w:t>
      </w:r>
      <w:r>
        <w:rPr>
          <w:color w:val="212121"/>
        </w:rPr>
        <w:t> </w:t>
      </w:r>
      <w:r>
        <w:rPr>
          <w:color w:val="212121"/>
          <w:w w:val="99"/>
        </w:rPr>
        <w:t>of</w:t>
      </w:r>
      <w:r>
        <w:rPr>
          <w:color w:val="212121"/>
        </w:rPr>
        <w:t> </w:t>
      </w:r>
      <w:r>
        <w:rPr>
          <w:color w:val="212121"/>
          <w:w w:val="99"/>
        </w:rPr>
        <w:t>the</w:t>
      </w:r>
      <w:r>
        <w:rPr>
          <w:color w:val="212121"/>
        </w:rPr>
        <w:t> </w:t>
      </w:r>
      <w:r>
        <w:rPr>
          <w:color w:val="212121"/>
          <w:w w:val="99"/>
        </w:rPr>
        <w:t>lands </w:t>
      </w:r>
      <w:r>
        <w:rPr>
          <w:color w:val="212121"/>
        </w:rPr>
        <w:t>as hereditary tenants. The Magistrate initiated proceedings under Section 145, attached the lands in dispute and directed them to be placed in possession of a superdgidar pending disposal of those proceedings. After enquiries, the Magistrate concluded that the appellants were entitled to be in possession until evicted in due course of law. Thereafter, the respondent filed a suit before the Revenue Courts. The appeal before the Supreme Court arose from that proceeding. </w:t>
      </w:r>
      <w:r>
        <w:rPr/>
        <w:t>One of the issues before this Court was whether the appellants had taken possession in accordance with the provisions of Section 145. Justice Subba Rao, speaking for a three judge</w:t>
      </w:r>
    </w:p>
    <w:p>
      <w:pPr>
        <w:pStyle w:val="BodyText"/>
        <w:rPr>
          <w:sz w:val="20"/>
        </w:rPr>
      </w:pPr>
    </w:p>
    <w:p>
      <w:pPr>
        <w:pStyle w:val="BodyText"/>
        <w:spacing w:before="10"/>
        <w:rPr>
          <w:sz w:val="15"/>
        </w:rPr>
      </w:pPr>
      <w:r>
        <w:rPr/>
        <w:pict>
          <v:rect style="position:absolute;margin-left:72.024002pt;margin-top:11.117817pt;width:144.020pt;height:.599980pt;mso-position-horizontal-relative:page;mso-position-vertical-relative:paragraph;z-index:-15687168;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141</w:t>
      </w:r>
      <w:r>
        <w:rPr>
          <w:spacing w:val="-3"/>
          <w:sz w:val="18"/>
          <w:vertAlign w:val="baseline"/>
        </w:rPr>
        <w:t> </w:t>
      </w:r>
      <w:r>
        <w:rPr>
          <w:sz w:val="18"/>
          <w:vertAlign w:val="baseline"/>
        </w:rPr>
        <w:t>Commentary</w:t>
      </w:r>
      <w:r>
        <w:rPr>
          <w:spacing w:val="-4"/>
          <w:sz w:val="18"/>
          <w:vertAlign w:val="baseline"/>
        </w:rPr>
        <w:t> </w:t>
      </w:r>
      <w:r>
        <w:rPr>
          <w:sz w:val="18"/>
          <w:vertAlign w:val="baseline"/>
        </w:rPr>
        <w:t>on</w:t>
      </w:r>
      <w:r>
        <w:rPr>
          <w:spacing w:val="-3"/>
          <w:sz w:val="18"/>
          <w:vertAlign w:val="baseline"/>
        </w:rPr>
        <w:t> </w:t>
      </w:r>
      <w:r>
        <w:rPr>
          <w:sz w:val="18"/>
          <w:vertAlign w:val="baseline"/>
        </w:rPr>
        <w:t>the</w:t>
      </w:r>
      <w:r>
        <w:rPr>
          <w:spacing w:val="-4"/>
          <w:sz w:val="18"/>
          <w:vertAlign w:val="baseline"/>
        </w:rPr>
        <w:t> </w:t>
      </w:r>
      <w:r>
        <w:rPr>
          <w:sz w:val="18"/>
          <w:vertAlign w:val="baseline"/>
        </w:rPr>
        <w:t>Criminal</w:t>
      </w:r>
      <w:r>
        <w:rPr>
          <w:spacing w:val="-4"/>
          <w:sz w:val="18"/>
          <w:vertAlign w:val="baseline"/>
        </w:rPr>
        <w:t> </w:t>
      </w:r>
      <w:r>
        <w:rPr>
          <w:sz w:val="18"/>
          <w:vertAlign w:val="baseline"/>
        </w:rPr>
        <w:t>Procedure</w:t>
      </w:r>
      <w:r>
        <w:rPr>
          <w:spacing w:val="-3"/>
          <w:sz w:val="18"/>
          <w:vertAlign w:val="baseline"/>
        </w:rPr>
        <w:t> </w:t>
      </w:r>
      <w:r>
        <w:rPr>
          <w:sz w:val="18"/>
          <w:vertAlign w:val="baseline"/>
        </w:rPr>
        <w:t>Code</w:t>
      </w:r>
      <w:r>
        <w:rPr>
          <w:spacing w:val="-2"/>
          <w:sz w:val="18"/>
          <w:vertAlign w:val="baseline"/>
        </w:rPr>
        <w:t> </w:t>
      </w:r>
      <w:r>
        <w:rPr>
          <w:sz w:val="18"/>
          <w:vertAlign w:val="baseline"/>
        </w:rPr>
        <w:t>by</w:t>
      </w:r>
      <w:r>
        <w:rPr>
          <w:spacing w:val="-5"/>
          <w:sz w:val="18"/>
          <w:vertAlign w:val="baseline"/>
        </w:rPr>
        <w:t> </w:t>
      </w:r>
      <w:r>
        <w:rPr>
          <w:sz w:val="18"/>
          <w:vertAlign w:val="baseline"/>
        </w:rPr>
        <w:t>Ratanlal</w:t>
      </w:r>
      <w:r>
        <w:rPr>
          <w:spacing w:val="-2"/>
          <w:sz w:val="18"/>
          <w:vertAlign w:val="baseline"/>
        </w:rPr>
        <w:t> </w:t>
      </w:r>
      <w:r>
        <w:rPr>
          <w:sz w:val="18"/>
          <w:vertAlign w:val="baseline"/>
        </w:rPr>
        <w:t>and</w:t>
      </w:r>
      <w:r>
        <w:rPr>
          <w:spacing w:val="-2"/>
          <w:sz w:val="18"/>
          <w:vertAlign w:val="baseline"/>
        </w:rPr>
        <w:t> </w:t>
      </w:r>
      <w:r>
        <w:rPr>
          <w:sz w:val="18"/>
          <w:vertAlign w:val="baseline"/>
        </w:rPr>
        <w:t>Dhirajlal</w:t>
      </w:r>
      <w:r>
        <w:rPr>
          <w:spacing w:val="3"/>
          <w:sz w:val="18"/>
          <w:vertAlign w:val="baseline"/>
        </w:rPr>
        <w:t> </w:t>
      </w:r>
      <w:r>
        <w:rPr>
          <w:sz w:val="18"/>
          <w:vertAlign w:val="baseline"/>
        </w:rPr>
        <w:t>,</w:t>
      </w:r>
      <w:r>
        <w:rPr>
          <w:spacing w:val="-4"/>
          <w:sz w:val="18"/>
          <w:vertAlign w:val="baseline"/>
        </w:rPr>
        <w:t> </w:t>
      </w:r>
      <w:r>
        <w:rPr>
          <w:sz w:val="18"/>
          <w:vertAlign w:val="baseline"/>
        </w:rPr>
        <w:t>20</w:t>
      </w:r>
      <w:r>
        <w:rPr>
          <w:sz w:val="18"/>
          <w:vertAlign w:val="superscript"/>
        </w:rPr>
        <w:t>th</w:t>
      </w:r>
      <w:r>
        <w:rPr>
          <w:spacing w:val="-5"/>
          <w:sz w:val="18"/>
          <w:vertAlign w:val="baseline"/>
        </w:rPr>
        <w:t> </w:t>
      </w:r>
      <w:r>
        <w:rPr>
          <w:sz w:val="18"/>
          <w:vertAlign w:val="baseline"/>
        </w:rPr>
        <w:t>edition</w:t>
      </w:r>
      <w:r>
        <w:rPr>
          <w:spacing w:val="-2"/>
          <w:sz w:val="18"/>
          <w:vertAlign w:val="baseline"/>
        </w:rPr>
        <w:t> </w:t>
      </w:r>
      <w:r>
        <w:rPr>
          <w:sz w:val="18"/>
          <w:vertAlign w:val="baseline"/>
        </w:rPr>
        <w:t>(2016)</w:t>
      </w:r>
      <w:r>
        <w:rPr>
          <w:spacing w:val="-3"/>
          <w:sz w:val="18"/>
          <w:vertAlign w:val="baseline"/>
        </w:rPr>
        <w:t> </w:t>
      </w:r>
      <w:r>
        <w:rPr>
          <w:sz w:val="18"/>
          <w:vertAlign w:val="baseline"/>
        </w:rPr>
        <w:t>at</w:t>
      </w:r>
      <w:r>
        <w:rPr>
          <w:spacing w:val="-2"/>
          <w:sz w:val="18"/>
          <w:vertAlign w:val="baseline"/>
        </w:rPr>
        <w:t> </w:t>
      </w:r>
      <w:r>
        <w:rPr>
          <w:sz w:val="18"/>
          <w:vertAlign w:val="baseline"/>
        </w:rPr>
        <w:t>page</w:t>
      </w:r>
      <w:r>
        <w:rPr>
          <w:spacing w:val="-2"/>
          <w:sz w:val="18"/>
          <w:vertAlign w:val="baseline"/>
        </w:rPr>
        <w:t> </w:t>
      </w:r>
      <w:r>
        <w:rPr>
          <w:sz w:val="18"/>
          <w:vertAlign w:val="baseline"/>
        </w:rPr>
        <w:t>427</w:t>
      </w:r>
    </w:p>
    <w:p>
      <w:pPr>
        <w:spacing w:line="207" w:lineRule="exact" w:before="0"/>
        <w:ind w:left="500" w:right="0" w:firstLine="0"/>
        <w:jc w:val="left"/>
        <w:rPr>
          <w:sz w:val="18"/>
        </w:rPr>
      </w:pPr>
      <w:r>
        <w:rPr>
          <w:sz w:val="18"/>
          <w:vertAlign w:val="superscript"/>
        </w:rPr>
        <w:t>142</w:t>
      </w:r>
      <w:r>
        <w:rPr>
          <w:spacing w:val="-3"/>
          <w:sz w:val="18"/>
          <w:vertAlign w:val="baseline"/>
        </w:rPr>
        <w:t> </w:t>
      </w:r>
      <w:r>
        <w:rPr>
          <w:sz w:val="18"/>
          <w:vertAlign w:val="baseline"/>
        </w:rPr>
        <w:t>Commentary</w:t>
      </w:r>
      <w:r>
        <w:rPr>
          <w:spacing w:val="-4"/>
          <w:sz w:val="18"/>
          <w:vertAlign w:val="baseline"/>
        </w:rPr>
        <w:t> </w:t>
      </w:r>
      <w:r>
        <w:rPr>
          <w:sz w:val="18"/>
          <w:vertAlign w:val="baseline"/>
        </w:rPr>
        <w:t>on</w:t>
      </w:r>
      <w:r>
        <w:rPr>
          <w:spacing w:val="-3"/>
          <w:sz w:val="18"/>
          <w:vertAlign w:val="baseline"/>
        </w:rPr>
        <w:t> </w:t>
      </w:r>
      <w:r>
        <w:rPr>
          <w:sz w:val="18"/>
          <w:vertAlign w:val="baseline"/>
        </w:rPr>
        <w:t>the</w:t>
      </w:r>
      <w:r>
        <w:rPr>
          <w:spacing w:val="-4"/>
          <w:sz w:val="18"/>
          <w:vertAlign w:val="baseline"/>
        </w:rPr>
        <w:t> </w:t>
      </w:r>
      <w:r>
        <w:rPr>
          <w:sz w:val="18"/>
          <w:vertAlign w:val="baseline"/>
        </w:rPr>
        <w:t>Criminal</w:t>
      </w:r>
      <w:r>
        <w:rPr>
          <w:spacing w:val="-4"/>
          <w:sz w:val="18"/>
          <w:vertAlign w:val="baseline"/>
        </w:rPr>
        <w:t> </w:t>
      </w:r>
      <w:r>
        <w:rPr>
          <w:sz w:val="18"/>
          <w:vertAlign w:val="baseline"/>
        </w:rPr>
        <w:t>Procedure</w:t>
      </w:r>
      <w:r>
        <w:rPr>
          <w:spacing w:val="-3"/>
          <w:sz w:val="18"/>
          <w:vertAlign w:val="baseline"/>
        </w:rPr>
        <w:t> </w:t>
      </w:r>
      <w:r>
        <w:rPr>
          <w:sz w:val="18"/>
          <w:vertAlign w:val="baseline"/>
        </w:rPr>
        <w:t>Code</w:t>
      </w:r>
      <w:r>
        <w:rPr>
          <w:spacing w:val="-2"/>
          <w:sz w:val="18"/>
          <w:vertAlign w:val="baseline"/>
        </w:rPr>
        <w:t> </w:t>
      </w:r>
      <w:r>
        <w:rPr>
          <w:sz w:val="18"/>
          <w:vertAlign w:val="baseline"/>
        </w:rPr>
        <w:t>by</w:t>
      </w:r>
      <w:r>
        <w:rPr>
          <w:spacing w:val="-5"/>
          <w:sz w:val="18"/>
          <w:vertAlign w:val="baseline"/>
        </w:rPr>
        <w:t> </w:t>
      </w:r>
      <w:r>
        <w:rPr>
          <w:sz w:val="18"/>
          <w:vertAlign w:val="baseline"/>
        </w:rPr>
        <w:t>Ratanlal</w:t>
      </w:r>
      <w:r>
        <w:rPr>
          <w:spacing w:val="-2"/>
          <w:sz w:val="18"/>
          <w:vertAlign w:val="baseline"/>
        </w:rPr>
        <w:t> </w:t>
      </w:r>
      <w:r>
        <w:rPr>
          <w:sz w:val="18"/>
          <w:vertAlign w:val="baseline"/>
        </w:rPr>
        <w:t>and</w:t>
      </w:r>
      <w:r>
        <w:rPr>
          <w:spacing w:val="-2"/>
          <w:sz w:val="18"/>
          <w:vertAlign w:val="baseline"/>
        </w:rPr>
        <w:t> </w:t>
      </w:r>
      <w:r>
        <w:rPr>
          <w:sz w:val="18"/>
          <w:vertAlign w:val="baseline"/>
        </w:rPr>
        <w:t>Dhirajlal</w:t>
      </w:r>
      <w:r>
        <w:rPr>
          <w:spacing w:val="3"/>
          <w:sz w:val="18"/>
          <w:vertAlign w:val="baseline"/>
        </w:rPr>
        <w:t> </w:t>
      </w:r>
      <w:r>
        <w:rPr>
          <w:sz w:val="18"/>
          <w:vertAlign w:val="baseline"/>
        </w:rPr>
        <w:t>,</w:t>
      </w:r>
      <w:r>
        <w:rPr>
          <w:spacing w:val="-4"/>
          <w:sz w:val="18"/>
          <w:vertAlign w:val="baseline"/>
        </w:rPr>
        <w:t> </w:t>
      </w:r>
      <w:r>
        <w:rPr>
          <w:sz w:val="18"/>
          <w:vertAlign w:val="baseline"/>
        </w:rPr>
        <w:t>20</w:t>
      </w:r>
      <w:r>
        <w:rPr>
          <w:sz w:val="18"/>
          <w:vertAlign w:val="superscript"/>
        </w:rPr>
        <w:t>th</w:t>
      </w:r>
      <w:r>
        <w:rPr>
          <w:spacing w:val="-5"/>
          <w:sz w:val="18"/>
          <w:vertAlign w:val="baseline"/>
        </w:rPr>
        <w:t> </w:t>
      </w:r>
      <w:r>
        <w:rPr>
          <w:sz w:val="18"/>
          <w:vertAlign w:val="baseline"/>
        </w:rPr>
        <w:t>edition</w:t>
      </w:r>
      <w:r>
        <w:rPr>
          <w:spacing w:val="-2"/>
          <w:sz w:val="18"/>
          <w:vertAlign w:val="baseline"/>
        </w:rPr>
        <w:t> </w:t>
      </w:r>
      <w:r>
        <w:rPr>
          <w:sz w:val="18"/>
          <w:vertAlign w:val="baseline"/>
        </w:rPr>
        <w:t>(2016)</w:t>
      </w:r>
      <w:r>
        <w:rPr>
          <w:spacing w:val="-3"/>
          <w:sz w:val="18"/>
          <w:vertAlign w:val="baseline"/>
        </w:rPr>
        <w:t> </w:t>
      </w:r>
      <w:r>
        <w:rPr>
          <w:sz w:val="18"/>
          <w:vertAlign w:val="baseline"/>
        </w:rPr>
        <w:t>at</w:t>
      </w:r>
      <w:r>
        <w:rPr>
          <w:spacing w:val="-2"/>
          <w:sz w:val="18"/>
          <w:vertAlign w:val="baseline"/>
        </w:rPr>
        <w:t> </w:t>
      </w:r>
      <w:r>
        <w:rPr>
          <w:sz w:val="18"/>
          <w:vertAlign w:val="baseline"/>
        </w:rPr>
        <w:t>page</w:t>
      </w:r>
      <w:r>
        <w:rPr>
          <w:spacing w:val="-2"/>
          <w:sz w:val="18"/>
          <w:vertAlign w:val="baseline"/>
        </w:rPr>
        <w:t> </w:t>
      </w:r>
      <w:r>
        <w:rPr>
          <w:sz w:val="18"/>
          <w:vertAlign w:val="baseline"/>
        </w:rPr>
        <w:t>451</w:t>
      </w:r>
    </w:p>
    <w:p>
      <w:pPr>
        <w:spacing w:after="0" w:line="207" w:lineRule="exact"/>
        <w:jc w:val="left"/>
        <w:rPr>
          <w:sz w:val="18"/>
        </w:rPr>
        <w:sectPr>
          <w:headerReference w:type="default" r:id="rId94"/>
          <w:footerReference w:type="default" r:id="rId95"/>
          <w:pgSz w:w="11910" w:h="16840"/>
          <w:pgMar w:header="721" w:footer="1476" w:top="1300" w:bottom="1660" w:left="940" w:right="1000"/>
        </w:sectPr>
      </w:pPr>
    </w:p>
    <w:p>
      <w:pPr>
        <w:pStyle w:val="BodyText"/>
        <w:spacing w:before="124"/>
        <w:ind w:left="1220"/>
      </w:pPr>
      <w:r>
        <w:rPr/>
        <w:t>Bench of this Court, held thus:</w:t>
      </w:r>
    </w:p>
    <w:p>
      <w:pPr>
        <w:pStyle w:val="BodyText"/>
        <w:spacing w:before="6"/>
        <w:rPr>
          <w:sz w:val="33"/>
        </w:rPr>
      </w:pPr>
    </w:p>
    <w:p>
      <w:pPr>
        <w:spacing w:line="276" w:lineRule="auto" w:before="0"/>
        <w:ind w:left="1940" w:right="2260" w:firstLine="0"/>
        <w:jc w:val="both"/>
        <w:rPr>
          <w:sz w:val="21"/>
        </w:rPr>
      </w:pPr>
      <w:r>
        <w:rPr>
          <w:spacing w:val="-1"/>
          <w:w w:val="33"/>
          <w:sz w:val="21"/>
        </w:rPr>
        <w:t>―</w:t>
      </w:r>
      <w:r>
        <w:rPr>
          <w:spacing w:val="-1"/>
          <w:w w:val="100"/>
          <w:sz w:val="21"/>
        </w:rPr>
        <w:t>16</w:t>
      </w:r>
      <w:r>
        <w:rPr>
          <w:w w:val="100"/>
          <w:sz w:val="21"/>
        </w:rPr>
        <w:t>…</w:t>
      </w:r>
      <w:r>
        <w:rPr>
          <w:sz w:val="21"/>
        </w:rPr>
        <w:t> </w:t>
      </w:r>
      <w:r>
        <w:rPr>
          <w:spacing w:val="3"/>
          <w:sz w:val="21"/>
        </w:rPr>
        <w:t> </w:t>
      </w:r>
      <w:r>
        <w:rPr>
          <w:spacing w:val="-2"/>
          <w:w w:val="100"/>
          <w:sz w:val="21"/>
        </w:rPr>
        <w:t>U</w:t>
      </w:r>
      <w:r>
        <w:rPr>
          <w:spacing w:val="-1"/>
          <w:w w:val="100"/>
          <w:sz w:val="21"/>
        </w:rPr>
        <w:t>nde</w:t>
      </w:r>
      <w:r>
        <w:rPr>
          <w:w w:val="100"/>
          <w:sz w:val="21"/>
        </w:rPr>
        <w:t>r</w:t>
      </w:r>
      <w:r>
        <w:rPr>
          <w:sz w:val="21"/>
        </w:rPr>
        <w:t> </w:t>
      </w:r>
      <w:r>
        <w:rPr>
          <w:spacing w:val="3"/>
          <w:sz w:val="21"/>
        </w:rPr>
        <w:t> </w:t>
      </w:r>
      <w:r>
        <w:rPr>
          <w:spacing w:val="-2"/>
          <w:w w:val="100"/>
          <w:sz w:val="21"/>
        </w:rPr>
        <w:t>S</w:t>
      </w:r>
      <w:r>
        <w:rPr>
          <w:spacing w:val="-1"/>
          <w:w w:val="100"/>
          <w:sz w:val="21"/>
        </w:rPr>
        <w:t>ect</w:t>
      </w:r>
      <w:r>
        <w:rPr>
          <w:w w:val="100"/>
          <w:sz w:val="21"/>
        </w:rPr>
        <w:t>i</w:t>
      </w:r>
      <w:r>
        <w:rPr>
          <w:spacing w:val="-3"/>
          <w:w w:val="100"/>
          <w:sz w:val="21"/>
        </w:rPr>
        <w:t>o</w:t>
      </w:r>
      <w:r>
        <w:rPr>
          <w:w w:val="100"/>
          <w:sz w:val="21"/>
        </w:rPr>
        <w:t>n</w:t>
      </w:r>
      <w:r>
        <w:rPr>
          <w:sz w:val="21"/>
        </w:rPr>
        <w:t> </w:t>
      </w:r>
      <w:r>
        <w:rPr>
          <w:spacing w:val="3"/>
          <w:sz w:val="21"/>
        </w:rPr>
        <w:t> </w:t>
      </w:r>
      <w:r>
        <w:rPr>
          <w:spacing w:val="-1"/>
          <w:w w:val="100"/>
          <w:sz w:val="21"/>
        </w:rPr>
        <w:t>1</w:t>
      </w:r>
      <w:r>
        <w:rPr>
          <w:spacing w:val="-3"/>
          <w:w w:val="100"/>
          <w:sz w:val="21"/>
        </w:rPr>
        <w:t>4</w:t>
      </w:r>
      <w:r>
        <w:rPr>
          <w:spacing w:val="-1"/>
          <w:w w:val="100"/>
          <w:sz w:val="21"/>
        </w:rPr>
        <w:t>5(6</w:t>
      </w:r>
      <w:r>
        <w:rPr>
          <w:w w:val="100"/>
          <w:sz w:val="21"/>
        </w:rPr>
        <w:t>)</w:t>
      </w:r>
      <w:r>
        <w:rPr>
          <w:sz w:val="21"/>
        </w:rPr>
        <w:t> </w:t>
      </w:r>
      <w:r>
        <w:rPr>
          <w:spacing w:val="4"/>
          <w:sz w:val="21"/>
        </w:rPr>
        <w:t> </w:t>
      </w:r>
      <w:r>
        <w:rPr>
          <w:spacing w:val="-3"/>
          <w:w w:val="100"/>
          <w:sz w:val="21"/>
        </w:rPr>
        <w:t>o</w:t>
      </w:r>
      <w:r>
        <w:rPr>
          <w:w w:val="100"/>
          <w:sz w:val="21"/>
        </w:rPr>
        <w:t>f</w:t>
      </w:r>
      <w:r>
        <w:rPr>
          <w:sz w:val="21"/>
        </w:rPr>
        <w:t> </w:t>
      </w:r>
      <w:r>
        <w:rPr>
          <w:spacing w:val="6"/>
          <w:sz w:val="21"/>
        </w:rPr>
        <w:t> </w:t>
      </w:r>
      <w:r>
        <w:rPr>
          <w:spacing w:val="-2"/>
          <w:w w:val="100"/>
          <w:sz w:val="21"/>
        </w:rPr>
        <w:t>t</w:t>
      </w:r>
      <w:r>
        <w:rPr>
          <w:spacing w:val="-3"/>
          <w:w w:val="100"/>
          <w:sz w:val="21"/>
        </w:rPr>
        <w:t>h</w:t>
      </w:r>
      <w:r>
        <w:rPr>
          <w:w w:val="100"/>
          <w:sz w:val="21"/>
        </w:rPr>
        <w:t>e</w:t>
      </w:r>
      <w:r>
        <w:rPr>
          <w:sz w:val="21"/>
        </w:rPr>
        <w:t> </w:t>
      </w:r>
      <w:r>
        <w:rPr>
          <w:spacing w:val="3"/>
          <w:sz w:val="21"/>
        </w:rPr>
        <w:t> </w:t>
      </w:r>
      <w:r>
        <w:rPr>
          <w:w w:val="100"/>
          <w:sz w:val="21"/>
        </w:rPr>
        <w:t>C</w:t>
      </w:r>
      <w:r>
        <w:rPr>
          <w:spacing w:val="-3"/>
          <w:w w:val="100"/>
          <w:sz w:val="21"/>
        </w:rPr>
        <w:t>o</w:t>
      </w:r>
      <w:r>
        <w:rPr>
          <w:spacing w:val="-1"/>
          <w:w w:val="100"/>
          <w:sz w:val="21"/>
        </w:rPr>
        <w:t>de</w:t>
      </w:r>
      <w:r>
        <w:rPr>
          <w:w w:val="100"/>
          <w:sz w:val="21"/>
        </w:rPr>
        <w:t>,</w:t>
      </w:r>
      <w:r>
        <w:rPr>
          <w:sz w:val="21"/>
        </w:rPr>
        <w:t> </w:t>
      </w:r>
      <w:r>
        <w:rPr>
          <w:spacing w:val="2"/>
          <w:sz w:val="21"/>
        </w:rPr>
        <w:t> </w:t>
      </w:r>
      <w:r>
        <w:rPr>
          <w:w w:val="100"/>
          <w:sz w:val="21"/>
        </w:rPr>
        <w:t>a</w:t>
      </w:r>
      <w:r>
        <w:rPr>
          <w:sz w:val="21"/>
        </w:rPr>
        <w:t> </w:t>
      </w:r>
      <w:r>
        <w:rPr>
          <w:spacing w:val="5"/>
          <w:sz w:val="21"/>
        </w:rPr>
        <w:t> </w:t>
      </w:r>
      <w:r>
        <w:rPr>
          <w:spacing w:val="-4"/>
          <w:w w:val="100"/>
          <w:sz w:val="21"/>
        </w:rPr>
        <w:t>M</w:t>
      </w:r>
      <w:r>
        <w:rPr>
          <w:spacing w:val="-3"/>
          <w:w w:val="100"/>
          <w:sz w:val="21"/>
        </w:rPr>
        <w:t>a</w:t>
      </w:r>
      <w:r>
        <w:rPr>
          <w:spacing w:val="-1"/>
          <w:w w:val="100"/>
          <w:sz w:val="21"/>
        </w:rPr>
        <w:t>g</w:t>
      </w:r>
      <w:r>
        <w:rPr>
          <w:spacing w:val="1"/>
          <w:w w:val="100"/>
          <w:sz w:val="21"/>
        </w:rPr>
        <w:t>i</w:t>
      </w:r>
      <w:r>
        <w:rPr>
          <w:w w:val="100"/>
          <w:sz w:val="21"/>
        </w:rPr>
        <w:t>s</w:t>
      </w:r>
      <w:r>
        <w:rPr>
          <w:spacing w:val="-2"/>
          <w:w w:val="100"/>
          <w:sz w:val="21"/>
        </w:rPr>
        <w:t>t</w:t>
      </w:r>
      <w:r>
        <w:rPr>
          <w:spacing w:val="-1"/>
          <w:w w:val="100"/>
          <w:sz w:val="21"/>
        </w:rPr>
        <w:t>rat</w:t>
      </w:r>
      <w:r>
        <w:rPr>
          <w:w w:val="100"/>
          <w:sz w:val="21"/>
        </w:rPr>
        <w:t>e</w:t>
      </w:r>
      <w:r>
        <w:rPr>
          <w:sz w:val="21"/>
        </w:rPr>
        <w:t> </w:t>
      </w:r>
      <w:r>
        <w:rPr>
          <w:spacing w:val="3"/>
          <w:sz w:val="21"/>
        </w:rPr>
        <w:t> </w:t>
      </w:r>
      <w:r>
        <w:rPr>
          <w:w w:val="100"/>
          <w:sz w:val="21"/>
        </w:rPr>
        <w:t>is </w:t>
      </w:r>
      <w:r>
        <w:rPr>
          <w:sz w:val="21"/>
        </w:rPr>
        <w:t>authorized to issue an order declaring a party to be entitled to possession of a land until evicted therefrom in due course of law. </w:t>
      </w:r>
      <w:r>
        <w:rPr>
          <w:b/>
          <w:sz w:val="21"/>
        </w:rPr>
        <w:t>The Magistrate does not purport to decide a party's title or right to possession of the land but expressly reserves that question to be decided in due course of law. The foundation of his jurisdiction is on  apprehension of the breach of the peace, and, with that object, he makes a temporary order irrespective of the rights of the parties, which will have to be agitated and disposed of in the manner provided by law. The life of the said order is co-terminus with the passing of a decree by a civil court and the moment a civil court makes an order of eviction, it displaces the order of the criminal court. </w:t>
      </w:r>
      <w:r>
        <w:rPr>
          <w:sz w:val="21"/>
        </w:rPr>
        <w:t>The Privy Council in Dinomoni Chowdhrani v. Brojo Mohini Chowdhrani [(1901) LR 29 IA 24, 33] tersely states the effect of orders under Section 145 of the Code of Criminal Procedure</w:t>
      </w:r>
      <w:r>
        <w:rPr>
          <w:spacing w:val="-2"/>
          <w:sz w:val="21"/>
        </w:rPr>
        <w:t> </w:t>
      </w:r>
      <w:r>
        <w:rPr>
          <w:sz w:val="21"/>
        </w:rPr>
        <w:t>thus:</w:t>
      </w:r>
    </w:p>
    <w:p>
      <w:pPr>
        <w:spacing w:line="276" w:lineRule="auto" w:before="1"/>
        <w:ind w:left="1940" w:right="2263" w:firstLine="0"/>
        <w:jc w:val="both"/>
        <w:rPr>
          <w:b/>
          <w:sz w:val="21"/>
        </w:rPr>
      </w:pPr>
      <w:r>
        <w:rPr>
          <w:b/>
          <w:sz w:val="21"/>
        </w:rPr>
        <w:t>―These orders are merely police orders made to prevent breaches of the peace. They decide no question of title…‖.</w:t>
      </w:r>
    </w:p>
    <w:p>
      <w:pPr>
        <w:spacing w:line="276" w:lineRule="auto" w:before="0"/>
        <w:ind w:left="1940" w:right="2265" w:firstLine="0"/>
        <w:jc w:val="both"/>
        <w:rPr>
          <w:sz w:val="21"/>
        </w:rPr>
      </w:pPr>
      <w:r>
        <w:rPr>
          <w:sz w:val="21"/>
        </w:rPr>
        <w:t>We, therefore, hold that a provisional order of a Magistrate in regard to possession irrespective of the rights of the parties cannot enable a person to resist the suit under Section 180 of the</w:t>
      </w:r>
      <w:r>
        <w:rPr>
          <w:spacing w:val="-2"/>
          <w:sz w:val="21"/>
        </w:rPr>
        <w:t> </w:t>
      </w:r>
      <w:r>
        <w:rPr>
          <w:sz w:val="21"/>
        </w:rPr>
        <w:t>Act.‖</w:t>
      </w:r>
    </w:p>
    <w:p>
      <w:pPr>
        <w:spacing w:before="1"/>
        <w:ind w:left="5440" w:right="0" w:firstLine="0"/>
        <w:jc w:val="left"/>
        <w:rPr>
          <w:sz w:val="21"/>
        </w:rPr>
      </w:pPr>
      <w:r>
        <w:rPr>
          <w:sz w:val="21"/>
        </w:rPr>
        <w:t>(Emphasis supplied)</w:t>
      </w:r>
    </w:p>
    <w:p>
      <w:pPr>
        <w:pStyle w:val="BodyText"/>
        <w:rPr>
          <w:sz w:val="24"/>
        </w:rPr>
      </w:pPr>
    </w:p>
    <w:p>
      <w:pPr>
        <w:pStyle w:val="ListParagraph"/>
        <w:numPr>
          <w:ilvl w:val="0"/>
          <w:numId w:val="87"/>
        </w:numPr>
        <w:tabs>
          <w:tab w:pos="1221" w:val="left" w:leader="none"/>
        </w:tabs>
        <w:spacing w:line="480" w:lineRule="auto" w:before="146" w:after="0"/>
        <w:ind w:left="1220" w:right="436" w:hanging="720"/>
        <w:jc w:val="both"/>
        <w:rPr>
          <w:sz w:val="25"/>
        </w:rPr>
      </w:pPr>
      <w:r>
        <w:rPr>
          <w:sz w:val="25"/>
        </w:rPr>
        <w:t>In </w:t>
      </w:r>
      <w:r>
        <w:rPr>
          <w:b/>
          <w:sz w:val="25"/>
        </w:rPr>
        <w:t>R H Bhutani </w:t>
      </w:r>
      <w:r>
        <w:rPr>
          <w:sz w:val="25"/>
        </w:rPr>
        <w:t>v </w:t>
      </w:r>
      <w:r>
        <w:rPr>
          <w:b/>
          <w:sz w:val="25"/>
        </w:rPr>
        <w:t>Miss Mani J Desai</w:t>
      </w:r>
      <w:r>
        <w:rPr>
          <w:sz w:val="25"/>
          <w:vertAlign w:val="superscript"/>
        </w:rPr>
        <w:t>144</w:t>
      </w:r>
      <w:r>
        <w:rPr>
          <w:sz w:val="25"/>
          <w:vertAlign w:val="baseline"/>
        </w:rPr>
        <w:t>, the appellant entered into a leave and license agreement with the first respondent to occupy a cabin owned by her. When a dispute over increase in compensation arose between the parties, the first respondent sought to evict the appellant and also hand over the possession of the cabin to the second and third respondents. Thereafter, the appellant filed an application under Section 145 and the Magistrate commenced the proceedings. While the proceedings were pending, the respondent filed a civil suit. The Magistrate concluded that appellant</w:t>
      </w:r>
      <w:r>
        <w:rPr>
          <w:spacing w:val="56"/>
          <w:sz w:val="25"/>
          <w:vertAlign w:val="baseline"/>
        </w:rPr>
        <w:t> </w:t>
      </w:r>
      <w:r>
        <w:rPr>
          <w:sz w:val="25"/>
          <w:vertAlign w:val="baseline"/>
        </w:rPr>
        <w:t>was</w:t>
      </w:r>
      <w:r>
        <w:rPr>
          <w:spacing w:val="57"/>
          <w:sz w:val="25"/>
          <w:vertAlign w:val="baseline"/>
        </w:rPr>
        <w:t> </w:t>
      </w:r>
      <w:r>
        <w:rPr>
          <w:sz w:val="25"/>
          <w:vertAlign w:val="baseline"/>
        </w:rPr>
        <w:t>in</w:t>
      </w:r>
      <w:r>
        <w:rPr>
          <w:spacing w:val="57"/>
          <w:sz w:val="25"/>
          <w:vertAlign w:val="baseline"/>
        </w:rPr>
        <w:t> </w:t>
      </w:r>
      <w:r>
        <w:rPr>
          <w:sz w:val="25"/>
          <w:vertAlign w:val="baseline"/>
        </w:rPr>
        <w:t>actual</w:t>
      </w:r>
      <w:r>
        <w:rPr>
          <w:spacing w:val="57"/>
          <w:sz w:val="25"/>
          <w:vertAlign w:val="baseline"/>
        </w:rPr>
        <w:t> </w:t>
      </w:r>
      <w:r>
        <w:rPr>
          <w:sz w:val="25"/>
          <w:vertAlign w:val="baseline"/>
        </w:rPr>
        <w:t>possession</w:t>
      </w:r>
      <w:r>
        <w:rPr>
          <w:spacing w:val="57"/>
          <w:sz w:val="25"/>
          <w:vertAlign w:val="baseline"/>
        </w:rPr>
        <w:t> </w:t>
      </w:r>
      <w:r>
        <w:rPr>
          <w:sz w:val="25"/>
          <w:vertAlign w:val="baseline"/>
        </w:rPr>
        <w:t>of</w:t>
      </w:r>
      <w:r>
        <w:rPr>
          <w:spacing w:val="57"/>
          <w:sz w:val="25"/>
          <w:vertAlign w:val="baseline"/>
        </w:rPr>
        <w:t> </w:t>
      </w:r>
      <w:r>
        <w:rPr>
          <w:sz w:val="25"/>
          <w:vertAlign w:val="baseline"/>
        </w:rPr>
        <w:t>the</w:t>
      </w:r>
      <w:r>
        <w:rPr>
          <w:spacing w:val="57"/>
          <w:sz w:val="25"/>
          <w:vertAlign w:val="baseline"/>
        </w:rPr>
        <w:t> </w:t>
      </w:r>
      <w:r>
        <w:rPr>
          <w:sz w:val="25"/>
          <w:vertAlign w:val="baseline"/>
        </w:rPr>
        <w:t>cabin</w:t>
      </w:r>
      <w:r>
        <w:rPr>
          <w:spacing w:val="56"/>
          <w:sz w:val="25"/>
          <w:vertAlign w:val="baseline"/>
        </w:rPr>
        <w:t> </w:t>
      </w:r>
      <w:r>
        <w:rPr>
          <w:sz w:val="25"/>
          <w:vertAlign w:val="baseline"/>
        </w:rPr>
        <w:t>and</w:t>
      </w:r>
      <w:r>
        <w:rPr>
          <w:spacing w:val="57"/>
          <w:sz w:val="25"/>
          <w:vertAlign w:val="baseline"/>
        </w:rPr>
        <w:t> </w:t>
      </w:r>
      <w:r>
        <w:rPr>
          <w:sz w:val="25"/>
          <w:vertAlign w:val="baseline"/>
        </w:rPr>
        <w:t>had</w:t>
      </w:r>
      <w:r>
        <w:rPr>
          <w:spacing w:val="57"/>
          <w:sz w:val="25"/>
          <w:vertAlign w:val="baseline"/>
        </w:rPr>
        <w:t> </w:t>
      </w:r>
      <w:r>
        <w:rPr>
          <w:sz w:val="25"/>
          <w:vertAlign w:val="baseline"/>
        </w:rPr>
        <w:t>been</w:t>
      </w:r>
      <w:r>
        <w:rPr>
          <w:spacing w:val="57"/>
          <w:sz w:val="25"/>
          <w:vertAlign w:val="baseline"/>
        </w:rPr>
        <w:t> </w:t>
      </w:r>
      <w:r>
        <w:rPr>
          <w:sz w:val="25"/>
          <w:vertAlign w:val="baseline"/>
        </w:rPr>
        <w:t>forcibly</w:t>
      </w:r>
    </w:p>
    <w:p>
      <w:pPr>
        <w:pStyle w:val="BodyText"/>
        <w:spacing w:before="3"/>
        <w:rPr>
          <w:sz w:val="12"/>
        </w:rPr>
      </w:pPr>
      <w:r>
        <w:rPr/>
        <w:pict>
          <v:rect style="position:absolute;margin-left:72.024002pt;margin-top:9.003651pt;width:144.020pt;height:.599980pt;mso-position-horizontal-relative:page;mso-position-vertical-relative:paragraph;z-index:-1568665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144</w:t>
      </w:r>
      <w:r>
        <w:rPr>
          <w:sz w:val="18"/>
          <w:vertAlign w:val="baseline"/>
        </w:rPr>
        <w:t> (1969) 1 SCR 80</w:t>
      </w:r>
    </w:p>
    <w:p>
      <w:pPr>
        <w:spacing w:after="0"/>
        <w:jc w:val="left"/>
        <w:rPr>
          <w:sz w:val="18"/>
        </w:rPr>
        <w:sectPr>
          <w:headerReference w:type="default" r:id="rId96"/>
          <w:footerReference w:type="default" r:id="rId97"/>
          <w:pgSz w:w="11910" w:h="16840"/>
          <w:pgMar w:header="721" w:footer="1014" w:top="1300" w:bottom="1200" w:left="940" w:right="1000"/>
        </w:sectPr>
      </w:pPr>
    </w:p>
    <w:p>
      <w:pPr>
        <w:pStyle w:val="BodyText"/>
        <w:spacing w:line="480" w:lineRule="auto" w:before="124"/>
        <w:ind w:left="1220" w:right="442"/>
        <w:jc w:val="both"/>
      </w:pPr>
      <w:r>
        <w:rPr/>
        <w:t>dispossessed. In the Revision Petition before the High Court, the Magistrate‘s order was set aside and it was held that the Magistrate had breached the scope of his powers under Section 145. The order of the High Court was assailed before this Court, which set aside the order of the High Court and restored the order of the Magistrate. Justice JM Shelat, speaking for a three judge Bench of this Court discussed the scope of proceedings under Section 145 if the following</w:t>
      </w:r>
      <w:r>
        <w:rPr>
          <w:spacing w:val="-4"/>
        </w:rPr>
        <w:t> </w:t>
      </w:r>
      <w:r>
        <w:rPr/>
        <w:t>terms:</w:t>
      </w:r>
    </w:p>
    <w:p>
      <w:pPr>
        <w:spacing w:line="276" w:lineRule="auto" w:before="100"/>
        <w:ind w:left="1940" w:right="2260" w:firstLine="0"/>
        <w:jc w:val="both"/>
        <w:rPr>
          <w:sz w:val="21"/>
        </w:rPr>
      </w:pPr>
      <w:r>
        <w:rPr>
          <w:spacing w:val="-1"/>
          <w:w w:val="33"/>
          <w:sz w:val="21"/>
        </w:rPr>
        <w:t>―</w:t>
      </w:r>
      <w:r>
        <w:rPr>
          <w:spacing w:val="-1"/>
          <w:w w:val="100"/>
          <w:sz w:val="21"/>
        </w:rPr>
        <w:t>8</w:t>
      </w:r>
      <w:r>
        <w:rPr>
          <w:w w:val="100"/>
          <w:sz w:val="21"/>
        </w:rPr>
        <w:t>.</w:t>
      </w:r>
      <w:r>
        <w:rPr>
          <w:sz w:val="21"/>
        </w:rPr>
        <w:t> </w:t>
      </w:r>
      <w:r>
        <w:rPr>
          <w:spacing w:val="-5"/>
          <w:sz w:val="21"/>
        </w:rPr>
        <w:t> </w:t>
      </w:r>
      <w:r>
        <w:rPr>
          <w:b/>
          <w:w w:val="100"/>
          <w:sz w:val="21"/>
        </w:rPr>
        <w:t>Th</w:t>
      </w:r>
      <w:r>
        <w:rPr>
          <w:b/>
          <w:w w:val="100"/>
          <w:sz w:val="21"/>
        </w:rPr>
        <w:t>e</w:t>
      </w:r>
      <w:r>
        <w:rPr>
          <w:b/>
          <w:sz w:val="21"/>
        </w:rPr>
        <w:t> </w:t>
      </w:r>
      <w:r>
        <w:rPr>
          <w:b/>
          <w:spacing w:val="-7"/>
          <w:sz w:val="21"/>
        </w:rPr>
        <w:t> </w:t>
      </w:r>
      <w:r>
        <w:rPr>
          <w:b/>
          <w:w w:val="100"/>
          <w:sz w:val="21"/>
        </w:rPr>
        <w:t>ob</w:t>
      </w:r>
      <w:r>
        <w:rPr>
          <w:b/>
          <w:spacing w:val="-2"/>
          <w:w w:val="100"/>
          <w:sz w:val="21"/>
        </w:rPr>
        <w:t>j</w:t>
      </w:r>
      <w:r>
        <w:rPr>
          <w:b/>
          <w:spacing w:val="-3"/>
          <w:w w:val="100"/>
          <w:sz w:val="21"/>
        </w:rPr>
        <w:t>e</w:t>
      </w:r>
      <w:r>
        <w:rPr>
          <w:b/>
          <w:w w:val="100"/>
          <w:sz w:val="21"/>
        </w:rPr>
        <w:t>ct</w:t>
      </w:r>
      <w:r>
        <w:rPr>
          <w:b/>
          <w:sz w:val="21"/>
        </w:rPr>
        <w:t> </w:t>
      </w:r>
      <w:r>
        <w:rPr>
          <w:b/>
          <w:spacing w:val="-5"/>
          <w:sz w:val="21"/>
        </w:rPr>
        <w:t> </w:t>
      </w:r>
      <w:r>
        <w:rPr>
          <w:b/>
          <w:w w:val="100"/>
          <w:sz w:val="21"/>
        </w:rPr>
        <w:t>of</w:t>
      </w:r>
      <w:r>
        <w:rPr>
          <w:b/>
          <w:sz w:val="21"/>
        </w:rPr>
        <w:t> </w:t>
      </w:r>
      <w:r>
        <w:rPr>
          <w:b/>
          <w:spacing w:val="-7"/>
          <w:sz w:val="21"/>
        </w:rPr>
        <w:t> </w:t>
      </w:r>
      <w:r>
        <w:rPr>
          <w:b/>
          <w:w w:val="100"/>
          <w:sz w:val="21"/>
        </w:rPr>
        <w:t>S</w:t>
      </w:r>
      <w:r>
        <w:rPr>
          <w:b/>
          <w:w w:val="100"/>
          <w:sz w:val="21"/>
        </w:rPr>
        <w:t>e</w:t>
      </w:r>
      <w:r>
        <w:rPr>
          <w:b/>
          <w:spacing w:val="2"/>
          <w:w w:val="100"/>
          <w:sz w:val="21"/>
        </w:rPr>
        <w:t>c</w:t>
      </w:r>
      <w:r>
        <w:rPr>
          <w:b/>
          <w:spacing w:val="-1"/>
          <w:w w:val="100"/>
          <w:sz w:val="21"/>
        </w:rPr>
        <w:t>t</w:t>
      </w:r>
      <w:r>
        <w:rPr>
          <w:b/>
          <w:spacing w:val="-4"/>
          <w:w w:val="100"/>
          <w:sz w:val="21"/>
        </w:rPr>
        <w:t>i</w:t>
      </w:r>
      <w:r>
        <w:rPr>
          <w:b/>
          <w:w w:val="100"/>
          <w:sz w:val="21"/>
        </w:rPr>
        <w:t>on</w:t>
      </w:r>
      <w:r>
        <w:rPr>
          <w:b/>
          <w:sz w:val="21"/>
        </w:rPr>
        <w:t> </w:t>
      </w:r>
      <w:r>
        <w:rPr>
          <w:b/>
          <w:spacing w:val="-4"/>
          <w:sz w:val="21"/>
        </w:rPr>
        <w:t> </w:t>
      </w:r>
      <w:r>
        <w:rPr>
          <w:b/>
          <w:spacing w:val="-3"/>
          <w:w w:val="100"/>
          <w:sz w:val="21"/>
        </w:rPr>
        <w:t>1</w:t>
      </w:r>
      <w:r>
        <w:rPr>
          <w:b/>
          <w:w w:val="100"/>
          <w:sz w:val="21"/>
        </w:rPr>
        <w:t>45,</w:t>
      </w:r>
      <w:r>
        <w:rPr>
          <w:b/>
          <w:sz w:val="21"/>
        </w:rPr>
        <w:t> </w:t>
      </w:r>
      <w:r>
        <w:rPr>
          <w:b/>
          <w:spacing w:val="-5"/>
          <w:sz w:val="21"/>
        </w:rPr>
        <w:t> </w:t>
      </w:r>
      <w:r>
        <w:rPr>
          <w:b/>
          <w:spacing w:val="-2"/>
          <w:w w:val="100"/>
          <w:sz w:val="21"/>
        </w:rPr>
        <w:t>n</w:t>
      </w:r>
      <w:r>
        <w:rPr>
          <w:b/>
          <w:w w:val="100"/>
          <w:sz w:val="21"/>
        </w:rPr>
        <w:t>o</w:t>
      </w:r>
      <w:r>
        <w:rPr>
          <w:b/>
          <w:sz w:val="21"/>
        </w:rPr>
        <w:t> </w:t>
      </w:r>
      <w:r>
        <w:rPr>
          <w:b/>
          <w:spacing w:val="-4"/>
          <w:sz w:val="21"/>
        </w:rPr>
        <w:t> </w:t>
      </w:r>
      <w:r>
        <w:rPr>
          <w:b/>
          <w:spacing w:val="-2"/>
          <w:w w:val="100"/>
          <w:sz w:val="21"/>
        </w:rPr>
        <w:t>do</w:t>
      </w:r>
      <w:r>
        <w:rPr>
          <w:b/>
          <w:w w:val="100"/>
          <w:sz w:val="21"/>
        </w:rPr>
        <w:t>ub</w:t>
      </w:r>
      <w:r>
        <w:rPr>
          <w:b/>
          <w:spacing w:val="-1"/>
          <w:w w:val="100"/>
          <w:sz w:val="21"/>
        </w:rPr>
        <w:t>t</w:t>
      </w:r>
      <w:r>
        <w:rPr>
          <w:b/>
          <w:w w:val="100"/>
          <w:sz w:val="21"/>
        </w:rPr>
        <w:t>,</w:t>
      </w:r>
      <w:r>
        <w:rPr>
          <w:b/>
          <w:sz w:val="21"/>
        </w:rPr>
        <w:t> </w:t>
      </w:r>
      <w:r>
        <w:rPr>
          <w:b/>
          <w:spacing w:val="-6"/>
          <w:sz w:val="21"/>
        </w:rPr>
        <w:t> </w:t>
      </w:r>
      <w:r>
        <w:rPr>
          <w:b/>
          <w:spacing w:val="-2"/>
          <w:w w:val="100"/>
          <w:sz w:val="21"/>
        </w:rPr>
        <w:t>i</w:t>
      </w:r>
      <w:r>
        <w:rPr>
          <w:b/>
          <w:w w:val="100"/>
          <w:sz w:val="21"/>
        </w:rPr>
        <w:t>s</w:t>
      </w:r>
      <w:r>
        <w:rPr>
          <w:b/>
          <w:sz w:val="21"/>
        </w:rPr>
        <w:t> </w:t>
      </w:r>
      <w:r>
        <w:rPr>
          <w:b/>
          <w:spacing w:val="-4"/>
          <w:sz w:val="21"/>
        </w:rPr>
        <w:t> </w:t>
      </w:r>
      <w:r>
        <w:rPr>
          <w:b/>
          <w:spacing w:val="-1"/>
          <w:w w:val="100"/>
          <w:sz w:val="21"/>
        </w:rPr>
        <w:t>t</w:t>
      </w:r>
      <w:r>
        <w:rPr>
          <w:b/>
          <w:w w:val="100"/>
          <w:sz w:val="21"/>
        </w:rPr>
        <w:t>o</w:t>
      </w:r>
      <w:r>
        <w:rPr>
          <w:b/>
          <w:sz w:val="21"/>
        </w:rPr>
        <w:t> </w:t>
      </w:r>
      <w:r>
        <w:rPr>
          <w:b/>
          <w:spacing w:val="-4"/>
          <w:sz w:val="21"/>
        </w:rPr>
        <w:t> </w:t>
      </w:r>
      <w:r>
        <w:rPr>
          <w:b/>
          <w:w w:val="100"/>
          <w:sz w:val="21"/>
        </w:rPr>
        <w:t>pre</w:t>
      </w:r>
      <w:r>
        <w:rPr>
          <w:b/>
          <w:spacing w:val="-3"/>
          <w:w w:val="100"/>
          <w:sz w:val="21"/>
        </w:rPr>
        <w:t>ve</w:t>
      </w:r>
      <w:r>
        <w:rPr>
          <w:b/>
          <w:w w:val="100"/>
          <w:sz w:val="21"/>
        </w:rPr>
        <w:t>nt </w:t>
      </w:r>
      <w:r>
        <w:rPr>
          <w:b/>
          <w:sz w:val="21"/>
        </w:rPr>
        <w:t>breach of peace </w:t>
      </w:r>
      <w:r>
        <w:rPr>
          <w:sz w:val="21"/>
        </w:rPr>
        <w:t>and for that end to provide a speedy remedy by bringing the parties before the court </w:t>
      </w:r>
      <w:r>
        <w:rPr>
          <w:b/>
          <w:sz w:val="21"/>
        </w:rPr>
        <w:t>and ascertaining who of them was in actual possession and to maintain status quo until their rights are  determined by a competent court… The enquiry under Section 145 is limited to the question as to who was in actual possession on the date of the preliminary order irrespective of the rights of the</w:t>
      </w:r>
      <w:r>
        <w:rPr>
          <w:b/>
          <w:spacing w:val="-11"/>
          <w:sz w:val="21"/>
        </w:rPr>
        <w:t> </w:t>
      </w:r>
      <w:r>
        <w:rPr>
          <w:b/>
          <w:sz w:val="21"/>
        </w:rPr>
        <w:t>parties</w:t>
      </w:r>
      <w:r>
        <w:rPr>
          <w:sz w:val="21"/>
        </w:rPr>
        <w:t>.‖</w:t>
      </w:r>
    </w:p>
    <w:p>
      <w:pPr>
        <w:spacing w:line="241" w:lineRule="exact" w:before="0"/>
        <w:ind w:left="5440" w:right="0" w:firstLine="0"/>
        <w:jc w:val="both"/>
        <w:rPr>
          <w:sz w:val="21"/>
        </w:rPr>
      </w:pPr>
      <w:r>
        <w:rPr>
          <w:sz w:val="21"/>
        </w:rPr>
        <w:t>(Emphasis supplied)</w:t>
      </w:r>
    </w:p>
    <w:p>
      <w:pPr>
        <w:pStyle w:val="BodyText"/>
        <w:rPr>
          <w:sz w:val="24"/>
        </w:rPr>
      </w:pPr>
    </w:p>
    <w:p>
      <w:pPr>
        <w:pStyle w:val="ListParagraph"/>
        <w:numPr>
          <w:ilvl w:val="0"/>
          <w:numId w:val="87"/>
        </w:numPr>
        <w:tabs>
          <w:tab w:pos="1221" w:val="left" w:leader="none"/>
        </w:tabs>
        <w:spacing w:line="480" w:lineRule="auto" w:before="189" w:after="0"/>
        <w:ind w:left="1220" w:right="438" w:hanging="720"/>
        <w:jc w:val="both"/>
        <w:rPr>
          <w:sz w:val="25"/>
        </w:rPr>
      </w:pPr>
      <w:r>
        <w:rPr>
          <w:sz w:val="25"/>
        </w:rPr>
        <w:t>In </w:t>
      </w:r>
      <w:r>
        <w:rPr>
          <w:b/>
          <w:sz w:val="25"/>
        </w:rPr>
        <w:t>Shanti Kumar Panda </w:t>
      </w:r>
      <w:r>
        <w:rPr>
          <w:sz w:val="25"/>
        </w:rPr>
        <w:t>v </w:t>
      </w:r>
      <w:r>
        <w:rPr>
          <w:b/>
          <w:sz w:val="25"/>
        </w:rPr>
        <w:t>Shakuntala Devi</w:t>
      </w:r>
      <w:r>
        <w:rPr>
          <w:sz w:val="25"/>
          <w:vertAlign w:val="superscript"/>
        </w:rPr>
        <w:t>145</w:t>
      </w:r>
      <w:r>
        <w:rPr>
          <w:sz w:val="25"/>
          <w:vertAlign w:val="baseline"/>
        </w:rPr>
        <w:t>, there was a dispute between the parties regarding a shop. Proceedings under Section 145 were commenced on the basis of a complaint filed by the appellant and the Magistrate attached the property. The respondent, who claimed to be interested in the subject-matter of the dispute was not allowed to be impleaded in the proceedings. The final order under Section 145 was in favour of the appellant. Revision petitions against the order were dismissed. Thereafter, the respondent filed a civil suit and secured an injunction. The injunction was however, vacated by the District Court on the ground that since Section 145 proceedings had terminated in the appellant‘s favour, the Trial Court was not justified in issuing the</w:t>
      </w:r>
      <w:r>
        <w:rPr>
          <w:spacing w:val="6"/>
          <w:sz w:val="25"/>
          <w:vertAlign w:val="baseline"/>
        </w:rPr>
        <w:t> </w:t>
      </w:r>
      <w:r>
        <w:rPr>
          <w:sz w:val="25"/>
          <w:vertAlign w:val="baseline"/>
        </w:rPr>
        <w:t>injunction</w:t>
      </w:r>
    </w:p>
    <w:p>
      <w:pPr>
        <w:pStyle w:val="BodyText"/>
        <w:spacing w:line="20" w:lineRule="exact"/>
        <w:ind w:left="500"/>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spacing w:before="82"/>
        <w:ind w:left="500" w:right="0" w:firstLine="0"/>
        <w:jc w:val="left"/>
        <w:rPr>
          <w:sz w:val="18"/>
        </w:rPr>
      </w:pPr>
      <w:r>
        <w:rPr>
          <w:sz w:val="18"/>
          <w:vertAlign w:val="superscript"/>
        </w:rPr>
        <w:t>145</w:t>
      </w:r>
      <w:r>
        <w:rPr>
          <w:sz w:val="18"/>
          <w:vertAlign w:val="baseline"/>
        </w:rPr>
        <w:t> (2004) 1 SCC 438</w:t>
      </w:r>
    </w:p>
    <w:p>
      <w:pPr>
        <w:spacing w:after="0"/>
        <w:jc w:val="left"/>
        <w:rPr>
          <w:sz w:val="18"/>
        </w:rPr>
        <w:sectPr>
          <w:headerReference w:type="default" r:id="rId98"/>
          <w:footerReference w:type="default" r:id="rId99"/>
          <w:pgSz w:w="11910" w:h="16840"/>
          <w:pgMar w:header="721" w:footer="1014" w:top="1300" w:bottom="1200" w:left="940" w:right="1000"/>
          <w:pgNumType w:start="27"/>
        </w:sectPr>
      </w:pPr>
    </w:p>
    <w:p>
      <w:pPr>
        <w:pStyle w:val="BodyText"/>
        <w:spacing w:line="480" w:lineRule="auto" w:before="124"/>
        <w:ind w:left="1220" w:right="443"/>
        <w:jc w:val="both"/>
      </w:pPr>
      <w:r>
        <w:rPr/>
        <w:t>unless and until the order of the Magistrate was superseded by a civil court‘s decree and no injunction could be granted while the property was</w:t>
      </w:r>
    </w:p>
    <w:p>
      <w:pPr>
        <w:pStyle w:val="BodyText"/>
        <w:spacing w:line="480" w:lineRule="auto"/>
        <w:ind w:left="1220" w:right="434"/>
        <w:jc w:val="both"/>
      </w:pPr>
      <w:r>
        <w:rPr>
          <w:spacing w:val="-1"/>
          <w:w w:val="40"/>
        </w:rPr>
        <w:t>‗</w:t>
      </w:r>
      <w:r>
        <w:rPr>
          <w:i/>
          <w:w w:val="99"/>
        </w:rPr>
        <w:t>custo</w:t>
      </w:r>
      <w:r>
        <w:rPr>
          <w:i/>
          <w:w w:val="99"/>
        </w:rPr>
        <w:t>dia</w:t>
      </w:r>
      <w:r>
        <w:rPr>
          <w:i/>
        </w:rPr>
        <w:t> </w:t>
      </w:r>
      <w:r>
        <w:rPr>
          <w:i/>
          <w:spacing w:val="-21"/>
        </w:rPr>
        <w:t> </w:t>
      </w:r>
      <w:r>
        <w:rPr>
          <w:i/>
          <w:w w:val="99"/>
        </w:rPr>
        <w:t>legis</w:t>
      </w:r>
      <w:r>
        <w:rPr>
          <w:spacing w:val="-1"/>
          <w:w w:val="99"/>
        </w:rPr>
        <w:t>‘</w:t>
      </w:r>
      <w:r>
        <w:rPr>
          <w:w w:val="99"/>
        </w:rPr>
        <w:t>.</w:t>
      </w:r>
      <w:r>
        <w:rPr/>
        <w:t> </w:t>
      </w:r>
      <w:r>
        <w:rPr>
          <w:spacing w:val="-22"/>
        </w:rPr>
        <w:t> </w:t>
      </w:r>
      <w:r>
        <w:rPr>
          <w:w w:val="99"/>
        </w:rPr>
        <w:t>T</w:t>
      </w:r>
      <w:r>
        <w:rPr>
          <w:spacing w:val="-1"/>
          <w:w w:val="99"/>
        </w:rPr>
        <w:t>h</w:t>
      </w:r>
      <w:r>
        <w:rPr>
          <w:w w:val="99"/>
        </w:rPr>
        <w:t>e</w:t>
      </w:r>
      <w:r>
        <w:rPr/>
        <w:t> </w:t>
      </w:r>
      <w:r>
        <w:rPr>
          <w:spacing w:val="-24"/>
        </w:rPr>
        <w:t> </w:t>
      </w:r>
      <w:r>
        <w:rPr>
          <w:spacing w:val="-1"/>
          <w:w w:val="99"/>
        </w:rPr>
        <w:t>Hig</w:t>
      </w:r>
      <w:r>
        <w:rPr>
          <w:w w:val="99"/>
        </w:rPr>
        <w:t>h</w:t>
      </w:r>
      <w:r>
        <w:rPr/>
        <w:t> </w:t>
      </w:r>
      <w:r>
        <w:rPr>
          <w:spacing w:val="-22"/>
        </w:rPr>
        <w:t> </w:t>
      </w:r>
      <w:r>
        <w:rPr>
          <w:spacing w:val="-1"/>
          <w:w w:val="99"/>
        </w:rPr>
        <w:t>Cou</w:t>
      </w:r>
      <w:r>
        <w:rPr>
          <w:spacing w:val="1"/>
          <w:w w:val="99"/>
        </w:rPr>
        <w:t>r</w:t>
      </w:r>
      <w:r>
        <w:rPr>
          <w:w w:val="99"/>
        </w:rPr>
        <w:t>t</w:t>
      </w:r>
      <w:r>
        <w:rPr/>
        <w:t> </w:t>
      </w:r>
      <w:r>
        <w:rPr>
          <w:spacing w:val="-22"/>
        </w:rPr>
        <w:t> </w:t>
      </w:r>
      <w:r>
        <w:rPr>
          <w:w w:val="99"/>
        </w:rPr>
        <w:t>r</w:t>
      </w:r>
      <w:r>
        <w:rPr>
          <w:spacing w:val="-1"/>
          <w:w w:val="99"/>
        </w:rPr>
        <w:t>e</w:t>
      </w:r>
      <w:r>
        <w:rPr>
          <w:spacing w:val="-3"/>
          <w:w w:val="99"/>
        </w:rPr>
        <w:t>v</w:t>
      </w:r>
      <w:r>
        <w:rPr>
          <w:spacing w:val="-1"/>
          <w:w w:val="99"/>
        </w:rPr>
        <w:t>e</w:t>
      </w:r>
      <w:r>
        <w:rPr>
          <w:w w:val="99"/>
        </w:rPr>
        <w:t>rsed</w:t>
      </w:r>
      <w:r>
        <w:rPr/>
        <w:t> </w:t>
      </w:r>
      <w:r>
        <w:rPr>
          <w:spacing w:val="-24"/>
        </w:rPr>
        <w:t> </w:t>
      </w:r>
      <w:r>
        <w:rPr>
          <w:w w:val="99"/>
        </w:rPr>
        <w:t>the</w:t>
      </w:r>
      <w:r>
        <w:rPr/>
        <w:t> </w:t>
      </w:r>
      <w:r>
        <w:rPr>
          <w:spacing w:val="-21"/>
        </w:rPr>
        <w:t> </w:t>
      </w:r>
      <w:r>
        <w:rPr>
          <w:spacing w:val="-1"/>
          <w:w w:val="99"/>
        </w:rPr>
        <w:t>Distric</w:t>
      </w:r>
      <w:r>
        <w:rPr>
          <w:w w:val="99"/>
        </w:rPr>
        <w:t>t</w:t>
      </w:r>
      <w:r>
        <w:rPr/>
        <w:t> </w:t>
      </w:r>
      <w:r>
        <w:rPr>
          <w:spacing w:val="-21"/>
        </w:rPr>
        <w:t> </w:t>
      </w:r>
      <w:r>
        <w:rPr>
          <w:spacing w:val="-1"/>
          <w:w w:val="99"/>
        </w:rPr>
        <w:t>Cou</w:t>
      </w:r>
      <w:r>
        <w:rPr>
          <w:spacing w:val="1"/>
          <w:w w:val="99"/>
        </w:rPr>
        <w:t>r</w:t>
      </w:r>
      <w:r>
        <w:rPr>
          <w:w w:val="99"/>
        </w:rPr>
        <w:t>t‘s</w:t>
      </w:r>
      <w:r>
        <w:rPr/>
        <w:t> </w:t>
      </w:r>
      <w:r>
        <w:rPr>
          <w:spacing w:val="-22"/>
        </w:rPr>
        <w:t> </w:t>
      </w:r>
      <w:r>
        <w:rPr>
          <w:spacing w:val="-3"/>
          <w:w w:val="99"/>
        </w:rPr>
        <w:t>o</w:t>
      </w:r>
      <w:r>
        <w:rPr>
          <w:w w:val="99"/>
        </w:rPr>
        <w:t>r</w:t>
      </w:r>
      <w:r>
        <w:rPr>
          <w:spacing w:val="-1"/>
          <w:w w:val="99"/>
        </w:rPr>
        <w:t>d</w:t>
      </w:r>
      <w:r>
        <w:rPr>
          <w:w w:val="99"/>
        </w:rPr>
        <w:t>er.</w:t>
      </w:r>
      <w:r>
        <w:rPr/>
        <w:t> </w:t>
      </w:r>
      <w:r>
        <w:rPr>
          <w:spacing w:val="-24"/>
        </w:rPr>
        <w:t> </w:t>
      </w:r>
      <w:r>
        <w:rPr>
          <w:w w:val="99"/>
        </w:rPr>
        <w:t>T</w:t>
      </w:r>
      <w:r>
        <w:rPr>
          <w:spacing w:val="-3"/>
          <w:w w:val="99"/>
        </w:rPr>
        <w:t>h</w:t>
      </w:r>
      <w:r>
        <w:rPr>
          <w:w w:val="99"/>
        </w:rPr>
        <w:t>e </w:t>
      </w:r>
      <w:r>
        <w:rPr/>
        <w:t>decision of the High Court was assailed before this Court. A three judge Bench of this Court dismissed the appeal and dealt with the nature of proceedings under Section 145. Justice J M Shelat, speaking for the Court held:</w:t>
      </w:r>
    </w:p>
    <w:p>
      <w:pPr>
        <w:spacing w:line="276" w:lineRule="auto" w:before="100"/>
        <w:ind w:left="1940" w:right="2260" w:firstLine="0"/>
        <w:jc w:val="both"/>
        <w:rPr>
          <w:sz w:val="21"/>
        </w:rPr>
      </w:pPr>
      <w:r>
        <w:rPr>
          <w:spacing w:val="-1"/>
          <w:w w:val="33"/>
          <w:sz w:val="21"/>
        </w:rPr>
        <w:t>―</w:t>
      </w:r>
      <w:r>
        <w:rPr>
          <w:spacing w:val="-1"/>
          <w:w w:val="100"/>
          <w:sz w:val="21"/>
        </w:rPr>
        <w:t>10</w:t>
      </w:r>
      <w:r>
        <w:rPr>
          <w:w w:val="100"/>
          <w:sz w:val="21"/>
        </w:rPr>
        <w:t>.</w:t>
      </w:r>
      <w:r>
        <w:rPr>
          <w:sz w:val="21"/>
        </w:rPr>
        <w:t> </w:t>
      </w:r>
      <w:r>
        <w:rPr>
          <w:spacing w:val="-15"/>
          <w:sz w:val="21"/>
        </w:rPr>
        <w:t> </w:t>
      </w:r>
      <w:r>
        <w:rPr>
          <w:w w:val="100"/>
          <w:sz w:val="21"/>
        </w:rPr>
        <w:t>T</w:t>
      </w:r>
      <w:r>
        <w:rPr>
          <w:spacing w:val="-2"/>
          <w:w w:val="100"/>
          <w:sz w:val="21"/>
        </w:rPr>
        <w:t>h</w:t>
      </w:r>
      <w:r>
        <w:rPr>
          <w:w w:val="100"/>
          <w:sz w:val="21"/>
        </w:rPr>
        <w:t>e</w:t>
      </w:r>
      <w:r>
        <w:rPr>
          <w:sz w:val="21"/>
        </w:rPr>
        <w:t> </w:t>
      </w:r>
      <w:r>
        <w:rPr>
          <w:spacing w:val="-14"/>
          <w:sz w:val="21"/>
        </w:rPr>
        <w:t> </w:t>
      </w:r>
      <w:r>
        <w:rPr>
          <w:spacing w:val="-1"/>
          <w:w w:val="100"/>
          <w:sz w:val="21"/>
        </w:rPr>
        <w:t>pr</w:t>
      </w:r>
      <w:r>
        <w:rPr>
          <w:spacing w:val="-3"/>
          <w:w w:val="100"/>
          <w:sz w:val="21"/>
        </w:rPr>
        <w:t>o</w:t>
      </w:r>
      <w:r>
        <w:rPr>
          <w:w w:val="100"/>
          <w:sz w:val="21"/>
        </w:rPr>
        <w:t>ce</w:t>
      </w:r>
      <w:r>
        <w:rPr>
          <w:spacing w:val="-3"/>
          <w:w w:val="100"/>
          <w:sz w:val="21"/>
        </w:rPr>
        <w:t>e</w:t>
      </w:r>
      <w:r>
        <w:rPr>
          <w:spacing w:val="-1"/>
          <w:w w:val="100"/>
          <w:sz w:val="21"/>
        </w:rPr>
        <w:t>d</w:t>
      </w:r>
      <w:r>
        <w:rPr>
          <w:spacing w:val="-2"/>
          <w:w w:val="100"/>
          <w:sz w:val="21"/>
        </w:rPr>
        <w:t>i</w:t>
      </w:r>
      <w:r>
        <w:rPr>
          <w:spacing w:val="-1"/>
          <w:w w:val="100"/>
          <w:sz w:val="21"/>
        </w:rPr>
        <w:t>ng</w:t>
      </w:r>
      <w:r>
        <w:rPr>
          <w:w w:val="100"/>
          <w:sz w:val="21"/>
        </w:rPr>
        <w:t>s</w:t>
      </w:r>
      <w:r>
        <w:rPr>
          <w:sz w:val="21"/>
        </w:rPr>
        <w:t> </w:t>
      </w:r>
      <w:r>
        <w:rPr>
          <w:spacing w:val="-16"/>
          <w:sz w:val="21"/>
        </w:rPr>
        <w:t> </w:t>
      </w:r>
      <w:r>
        <w:rPr>
          <w:spacing w:val="-1"/>
          <w:w w:val="100"/>
          <w:sz w:val="21"/>
        </w:rPr>
        <w:t>u</w:t>
      </w:r>
      <w:r>
        <w:rPr>
          <w:spacing w:val="-3"/>
          <w:w w:val="100"/>
          <w:sz w:val="21"/>
        </w:rPr>
        <w:t>n</w:t>
      </w:r>
      <w:r>
        <w:rPr>
          <w:spacing w:val="-1"/>
          <w:w w:val="100"/>
          <w:sz w:val="21"/>
        </w:rPr>
        <w:t>de</w:t>
      </w:r>
      <w:r>
        <w:rPr>
          <w:w w:val="100"/>
          <w:sz w:val="21"/>
        </w:rPr>
        <w:t>r</w:t>
      </w:r>
      <w:r>
        <w:rPr>
          <w:sz w:val="21"/>
        </w:rPr>
        <w:t> </w:t>
      </w:r>
      <w:r>
        <w:rPr>
          <w:spacing w:val="-15"/>
          <w:sz w:val="21"/>
        </w:rPr>
        <w:t> </w:t>
      </w:r>
      <w:r>
        <w:rPr>
          <w:spacing w:val="-2"/>
          <w:w w:val="100"/>
          <w:sz w:val="21"/>
        </w:rPr>
        <w:t>S</w:t>
      </w:r>
      <w:r>
        <w:rPr>
          <w:spacing w:val="-1"/>
          <w:w w:val="100"/>
          <w:sz w:val="21"/>
        </w:rPr>
        <w:t>ect</w:t>
      </w:r>
      <w:r>
        <w:rPr>
          <w:spacing w:val="-2"/>
          <w:w w:val="100"/>
          <w:sz w:val="21"/>
        </w:rPr>
        <w:t>i</w:t>
      </w:r>
      <w:r>
        <w:rPr>
          <w:spacing w:val="-1"/>
          <w:w w:val="100"/>
          <w:sz w:val="21"/>
        </w:rPr>
        <w:t>on</w:t>
      </w:r>
      <w:r>
        <w:rPr>
          <w:w w:val="100"/>
          <w:sz w:val="21"/>
        </w:rPr>
        <w:t>s</w:t>
      </w:r>
      <w:r>
        <w:rPr>
          <w:sz w:val="21"/>
        </w:rPr>
        <w:t> </w:t>
      </w:r>
      <w:r>
        <w:rPr>
          <w:spacing w:val="-16"/>
          <w:sz w:val="21"/>
        </w:rPr>
        <w:t> </w:t>
      </w:r>
      <w:r>
        <w:rPr>
          <w:spacing w:val="-1"/>
          <w:w w:val="100"/>
          <w:sz w:val="21"/>
        </w:rPr>
        <w:t>145/</w:t>
      </w:r>
      <w:r>
        <w:rPr>
          <w:spacing w:val="-3"/>
          <w:w w:val="100"/>
          <w:sz w:val="21"/>
        </w:rPr>
        <w:t>1</w:t>
      </w:r>
      <w:r>
        <w:rPr>
          <w:spacing w:val="-1"/>
          <w:w w:val="100"/>
          <w:sz w:val="21"/>
        </w:rPr>
        <w:t>4</w:t>
      </w:r>
      <w:r>
        <w:rPr>
          <w:w w:val="100"/>
          <w:sz w:val="21"/>
        </w:rPr>
        <w:t>6</w:t>
      </w:r>
      <w:r>
        <w:rPr>
          <w:sz w:val="21"/>
        </w:rPr>
        <w:t> </w:t>
      </w:r>
      <w:r>
        <w:rPr>
          <w:spacing w:val="-16"/>
          <w:sz w:val="21"/>
        </w:rPr>
        <w:t> </w:t>
      </w:r>
      <w:r>
        <w:rPr>
          <w:spacing w:val="-1"/>
          <w:w w:val="100"/>
          <w:sz w:val="21"/>
        </w:rPr>
        <w:t>o</w:t>
      </w:r>
      <w:r>
        <w:rPr>
          <w:w w:val="100"/>
          <w:sz w:val="21"/>
        </w:rPr>
        <w:t>f</w:t>
      </w:r>
      <w:r>
        <w:rPr>
          <w:sz w:val="21"/>
        </w:rPr>
        <w:t> </w:t>
      </w:r>
      <w:r>
        <w:rPr>
          <w:spacing w:val="-15"/>
          <w:sz w:val="21"/>
        </w:rPr>
        <w:t> </w:t>
      </w:r>
      <w:r>
        <w:rPr>
          <w:spacing w:val="-2"/>
          <w:w w:val="100"/>
          <w:sz w:val="21"/>
        </w:rPr>
        <w:t>t</w:t>
      </w:r>
      <w:r>
        <w:rPr>
          <w:spacing w:val="-1"/>
          <w:w w:val="100"/>
          <w:sz w:val="21"/>
        </w:rPr>
        <w:t>h</w:t>
      </w:r>
      <w:r>
        <w:rPr>
          <w:w w:val="100"/>
          <w:sz w:val="21"/>
        </w:rPr>
        <w:t>e</w:t>
      </w:r>
      <w:r>
        <w:rPr>
          <w:sz w:val="21"/>
        </w:rPr>
        <w:t> </w:t>
      </w:r>
      <w:r>
        <w:rPr>
          <w:spacing w:val="-14"/>
          <w:sz w:val="21"/>
        </w:rPr>
        <w:t> </w:t>
      </w:r>
      <w:r>
        <w:rPr>
          <w:spacing w:val="-2"/>
          <w:w w:val="100"/>
          <w:sz w:val="21"/>
        </w:rPr>
        <w:t>C</w:t>
      </w:r>
      <w:r>
        <w:rPr>
          <w:spacing w:val="-1"/>
          <w:w w:val="100"/>
          <w:sz w:val="21"/>
        </w:rPr>
        <w:t>o</w:t>
      </w:r>
      <w:r>
        <w:rPr>
          <w:spacing w:val="-3"/>
          <w:w w:val="100"/>
          <w:sz w:val="21"/>
        </w:rPr>
        <w:t>d</w:t>
      </w:r>
      <w:r>
        <w:rPr>
          <w:w w:val="100"/>
          <w:sz w:val="21"/>
        </w:rPr>
        <w:t>e </w:t>
      </w:r>
      <w:r>
        <w:rPr>
          <w:sz w:val="21"/>
        </w:rPr>
        <w:t>have been held to be quasi-civil, quasi-criminal in nature or  an executive or police action. The purpose of the provisions is to provide a speedy and summary remedy so as to prevent a breach of the peace by submitting the dispute to the Executive Magistrate for resolution as between the parties disputing the question of possession over the property. The Magistrate having taken cognizance of the dispute would confine himself to ascertaining which of the disputing parties was in possession by reference to the date of the preliminary order or within two months next before the said date, as referred to in the proviso to sub-section (4) of Section 145  and maintain the </w:t>
      </w:r>
      <w:r>
        <w:rPr>
          <w:i/>
          <w:sz w:val="21"/>
        </w:rPr>
        <w:t>status quo </w:t>
      </w:r>
      <w:r>
        <w:rPr>
          <w:sz w:val="21"/>
        </w:rPr>
        <w:t>as to possession until the entitlement to possession was determined by a court, having competence to enter into adjudication of civil rights, which an Executive Magistrate cannot. The Executive Magistrate would not take cognizance of the dispute if it is referable only to ownership or right to possession and is not over possession simpliciter…‖</w:t>
      </w:r>
    </w:p>
    <w:p>
      <w:pPr>
        <w:pStyle w:val="BodyText"/>
        <w:rPr>
          <w:sz w:val="24"/>
        </w:rPr>
      </w:pPr>
    </w:p>
    <w:p>
      <w:pPr>
        <w:pStyle w:val="BodyText"/>
        <w:rPr>
          <w:sz w:val="24"/>
        </w:rPr>
      </w:pPr>
    </w:p>
    <w:p>
      <w:pPr>
        <w:pStyle w:val="BodyText"/>
        <w:spacing w:line="480" w:lineRule="auto" w:before="174"/>
        <w:ind w:left="500" w:right="438"/>
      </w:pPr>
      <w:r>
        <w:rPr/>
        <w:t>The Court in the following observations dealt with the interplay between the order of a Magistrate and the jurisdiction of a civil court:</w:t>
      </w:r>
    </w:p>
    <w:p>
      <w:pPr>
        <w:spacing w:line="276" w:lineRule="auto" w:before="0"/>
        <w:ind w:left="1940" w:right="2260" w:firstLine="0"/>
        <w:jc w:val="both"/>
        <w:rPr>
          <w:sz w:val="21"/>
        </w:rPr>
      </w:pPr>
      <w:r>
        <w:rPr>
          <w:spacing w:val="-1"/>
          <w:w w:val="33"/>
          <w:sz w:val="21"/>
        </w:rPr>
        <w:t>―</w:t>
      </w:r>
      <w:r>
        <w:rPr>
          <w:spacing w:val="-1"/>
          <w:w w:val="100"/>
          <w:sz w:val="21"/>
        </w:rPr>
        <w:t>15</w:t>
      </w:r>
      <w:r>
        <w:rPr>
          <w:w w:val="100"/>
          <w:sz w:val="21"/>
        </w:rPr>
        <w:t>.</w:t>
      </w:r>
      <w:r>
        <w:rPr>
          <w:spacing w:val="17"/>
          <w:sz w:val="21"/>
        </w:rPr>
        <w:t> </w:t>
      </w:r>
      <w:r>
        <w:rPr>
          <w:spacing w:val="-2"/>
          <w:w w:val="100"/>
          <w:sz w:val="21"/>
        </w:rPr>
        <w:t>I</w:t>
      </w:r>
      <w:r>
        <w:rPr>
          <w:w w:val="100"/>
          <w:sz w:val="21"/>
        </w:rPr>
        <w:t>t</w:t>
      </w:r>
      <w:r>
        <w:rPr>
          <w:spacing w:val="17"/>
          <w:sz w:val="21"/>
        </w:rPr>
        <w:t> </w:t>
      </w:r>
      <w:r>
        <w:rPr>
          <w:w w:val="100"/>
          <w:sz w:val="21"/>
        </w:rPr>
        <w:t>is</w:t>
      </w:r>
      <w:r>
        <w:rPr>
          <w:spacing w:val="18"/>
          <w:sz w:val="21"/>
        </w:rPr>
        <w:t> </w:t>
      </w:r>
      <w:r>
        <w:rPr>
          <w:spacing w:val="-2"/>
          <w:w w:val="100"/>
          <w:sz w:val="21"/>
        </w:rPr>
        <w:t>w</w:t>
      </w:r>
      <w:r>
        <w:rPr>
          <w:spacing w:val="-1"/>
          <w:w w:val="100"/>
          <w:sz w:val="21"/>
        </w:rPr>
        <w:t>e</w:t>
      </w:r>
      <w:r>
        <w:rPr>
          <w:spacing w:val="1"/>
          <w:w w:val="100"/>
          <w:sz w:val="21"/>
        </w:rPr>
        <w:t>l</w:t>
      </w:r>
      <w:r>
        <w:rPr>
          <w:w w:val="100"/>
          <w:sz w:val="21"/>
        </w:rPr>
        <w:t>l</w:t>
      </w:r>
      <w:r>
        <w:rPr>
          <w:spacing w:val="19"/>
          <w:sz w:val="21"/>
        </w:rPr>
        <w:t> </w:t>
      </w:r>
      <w:r>
        <w:rPr>
          <w:w w:val="100"/>
          <w:sz w:val="21"/>
        </w:rPr>
        <w:t>se</w:t>
      </w:r>
      <w:r>
        <w:rPr>
          <w:spacing w:val="-1"/>
          <w:w w:val="100"/>
          <w:sz w:val="21"/>
        </w:rPr>
        <w:t>t</w:t>
      </w:r>
      <w:r>
        <w:rPr>
          <w:spacing w:val="-2"/>
          <w:w w:val="100"/>
          <w:sz w:val="21"/>
        </w:rPr>
        <w:t>tl</w:t>
      </w:r>
      <w:r>
        <w:rPr>
          <w:spacing w:val="-1"/>
          <w:w w:val="100"/>
          <w:sz w:val="21"/>
        </w:rPr>
        <w:t>e</w:t>
      </w:r>
      <w:r>
        <w:rPr>
          <w:w w:val="100"/>
          <w:sz w:val="21"/>
        </w:rPr>
        <w:t>d</w:t>
      </w:r>
      <w:r>
        <w:rPr>
          <w:spacing w:val="18"/>
          <w:sz w:val="21"/>
        </w:rPr>
        <w:t> </w:t>
      </w:r>
      <w:r>
        <w:rPr>
          <w:spacing w:val="-2"/>
          <w:w w:val="100"/>
          <w:sz w:val="21"/>
        </w:rPr>
        <w:t>t</w:t>
      </w:r>
      <w:r>
        <w:rPr>
          <w:spacing w:val="-1"/>
          <w:w w:val="100"/>
          <w:sz w:val="21"/>
        </w:rPr>
        <w:t>ha</w:t>
      </w:r>
      <w:r>
        <w:rPr>
          <w:w w:val="100"/>
          <w:sz w:val="21"/>
        </w:rPr>
        <w:t>t</w:t>
      </w:r>
      <w:r>
        <w:rPr>
          <w:spacing w:val="14"/>
          <w:sz w:val="21"/>
        </w:rPr>
        <w:t> </w:t>
      </w:r>
      <w:r>
        <w:rPr>
          <w:w w:val="100"/>
          <w:sz w:val="21"/>
        </w:rPr>
        <w:t>a</w:t>
      </w:r>
      <w:r>
        <w:rPr>
          <w:spacing w:val="18"/>
          <w:sz w:val="21"/>
        </w:rPr>
        <w:t> </w:t>
      </w:r>
      <w:r>
        <w:rPr>
          <w:spacing w:val="-1"/>
          <w:w w:val="100"/>
          <w:sz w:val="21"/>
        </w:rPr>
        <w:t>de</w:t>
      </w:r>
      <w:r>
        <w:rPr>
          <w:spacing w:val="-3"/>
          <w:w w:val="100"/>
          <w:sz w:val="21"/>
        </w:rPr>
        <w:t>c</w:t>
      </w:r>
      <w:r>
        <w:rPr>
          <w:w w:val="100"/>
          <w:sz w:val="21"/>
        </w:rPr>
        <w:t>is</w:t>
      </w:r>
      <w:r>
        <w:rPr>
          <w:spacing w:val="-2"/>
          <w:w w:val="100"/>
          <w:sz w:val="21"/>
        </w:rPr>
        <w:t>i</w:t>
      </w:r>
      <w:r>
        <w:rPr>
          <w:spacing w:val="-1"/>
          <w:w w:val="100"/>
          <w:sz w:val="21"/>
        </w:rPr>
        <w:t>o</w:t>
      </w:r>
      <w:r>
        <w:rPr>
          <w:w w:val="100"/>
          <w:sz w:val="21"/>
        </w:rPr>
        <w:t>n</w:t>
      </w:r>
      <w:r>
        <w:rPr>
          <w:spacing w:val="18"/>
          <w:sz w:val="21"/>
        </w:rPr>
        <w:t> </w:t>
      </w:r>
      <w:r>
        <w:rPr>
          <w:spacing w:val="-1"/>
          <w:w w:val="100"/>
          <w:sz w:val="21"/>
        </w:rPr>
        <w:t>b</w:t>
      </w:r>
      <w:r>
        <w:rPr>
          <w:w w:val="100"/>
          <w:sz w:val="21"/>
        </w:rPr>
        <w:t>y</w:t>
      </w:r>
      <w:r>
        <w:rPr>
          <w:spacing w:val="15"/>
          <w:sz w:val="21"/>
        </w:rPr>
        <w:t> </w:t>
      </w:r>
      <w:r>
        <w:rPr>
          <w:w w:val="100"/>
          <w:sz w:val="21"/>
        </w:rPr>
        <w:t>a</w:t>
      </w:r>
      <w:r>
        <w:rPr>
          <w:spacing w:val="18"/>
          <w:sz w:val="21"/>
        </w:rPr>
        <w:t> </w:t>
      </w:r>
      <w:r>
        <w:rPr>
          <w:w w:val="100"/>
          <w:sz w:val="21"/>
        </w:rPr>
        <w:t>c</w:t>
      </w:r>
      <w:r>
        <w:rPr>
          <w:spacing w:val="-1"/>
          <w:w w:val="100"/>
          <w:sz w:val="21"/>
        </w:rPr>
        <w:t>r</w:t>
      </w:r>
      <w:r>
        <w:rPr>
          <w:spacing w:val="-2"/>
          <w:w w:val="100"/>
          <w:sz w:val="21"/>
        </w:rPr>
        <w:t>i</w:t>
      </w:r>
      <w:r>
        <w:rPr>
          <w:spacing w:val="-1"/>
          <w:w w:val="100"/>
          <w:sz w:val="21"/>
        </w:rPr>
        <w:t>m</w:t>
      </w:r>
      <w:r>
        <w:rPr>
          <w:w w:val="100"/>
          <w:sz w:val="21"/>
        </w:rPr>
        <w:t>i</w:t>
      </w:r>
      <w:r>
        <w:rPr>
          <w:spacing w:val="-1"/>
          <w:w w:val="100"/>
          <w:sz w:val="21"/>
        </w:rPr>
        <w:t>n</w:t>
      </w:r>
      <w:r>
        <w:rPr>
          <w:spacing w:val="-3"/>
          <w:w w:val="100"/>
          <w:sz w:val="21"/>
        </w:rPr>
        <w:t>a</w:t>
      </w:r>
      <w:r>
        <w:rPr>
          <w:w w:val="100"/>
          <w:sz w:val="21"/>
        </w:rPr>
        <w:t>l</w:t>
      </w:r>
      <w:r>
        <w:rPr>
          <w:spacing w:val="19"/>
          <w:sz w:val="21"/>
        </w:rPr>
        <w:t> </w:t>
      </w:r>
      <w:r>
        <w:rPr>
          <w:spacing w:val="-3"/>
          <w:w w:val="100"/>
          <w:sz w:val="21"/>
        </w:rPr>
        <w:t>c</w:t>
      </w:r>
      <w:r>
        <w:rPr>
          <w:spacing w:val="-1"/>
          <w:w w:val="100"/>
          <w:sz w:val="21"/>
        </w:rPr>
        <w:t>our</w:t>
      </w:r>
      <w:r>
        <w:rPr>
          <w:w w:val="100"/>
          <w:sz w:val="21"/>
        </w:rPr>
        <w:t>t</w:t>
      </w:r>
      <w:r>
        <w:rPr>
          <w:spacing w:val="16"/>
          <w:sz w:val="21"/>
        </w:rPr>
        <w:t> </w:t>
      </w:r>
      <w:r>
        <w:rPr>
          <w:spacing w:val="-1"/>
          <w:w w:val="100"/>
          <w:sz w:val="21"/>
        </w:rPr>
        <w:t>does </w:t>
      </w:r>
      <w:r>
        <w:rPr>
          <w:sz w:val="21"/>
        </w:rPr>
        <w:t>not bind the civil court while a decision by the civil court binds the criminal court. (See </w:t>
      </w:r>
      <w:r>
        <w:rPr>
          <w:i/>
          <w:sz w:val="21"/>
        </w:rPr>
        <w:t>Sarkar on Evidence</w:t>
      </w:r>
      <w:r>
        <w:rPr>
          <w:sz w:val="21"/>
        </w:rPr>
        <w:t>, 15th Edn., p. 845.) A decision given under Section 145 of the Code has relevance and is admissible in evidence to show: (i) that there was a dispute relating to a particular property; (ii) that the dispute was between </w:t>
      </w:r>
      <w:r>
        <w:rPr>
          <w:spacing w:val="-3"/>
          <w:sz w:val="21"/>
        </w:rPr>
        <w:t>the </w:t>
      </w:r>
      <w:r>
        <w:rPr>
          <w:sz w:val="21"/>
        </w:rPr>
        <w:t>particular parties; (iii) that such dispute led to the passing of a preliminary order under Section 145(1) or an attachment under Section 146(1), on</w:t>
      </w:r>
      <w:r>
        <w:rPr>
          <w:spacing w:val="22"/>
          <w:sz w:val="21"/>
        </w:rPr>
        <w:t> </w:t>
      </w:r>
      <w:r>
        <w:rPr>
          <w:sz w:val="21"/>
        </w:rPr>
        <w:t>the</w:t>
      </w:r>
    </w:p>
    <w:p>
      <w:pPr>
        <w:spacing w:after="0" w:line="276" w:lineRule="auto"/>
        <w:jc w:val="both"/>
        <w:rPr>
          <w:sz w:val="21"/>
        </w:rPr>
        <w:sectPr>
          <w:headerReference w:type="default" r:id="rId100"/>
          <w:footerReference w:type="default" r:id="rId101"/>
          <w:pgSz w:w="11910" w:h="16840"/>
          <w:pgMar w:header="721" w:footer="1014" w:top="1300" w:bottom="1200" w:left="940" w:right="1000"/>
        </w:sectPr>
      </w:pPr>
    </w:p>
    <w:p>
      <w:pPr>
        <w:spacing w:line="276" w:lineRule="auto" w:before="122"/>
        <w:ind w:left="1940" w:right="2260" w:firstLine="0"/>
        <w:jc w:val="both"/>
        <w:rPr>
          <w:sz w:val="21"/>
        </w:rPr>
      </w:pPr>
      <w:r>
        <w:rPr>
          <w:sz w:val="21"/>
        </w:rPr>
        <w:t>given date; and (iv) that the Magistrate found one of the parties to be in possession or fictional possession of the disputed property on the date of the preliminary order. </w:t>
      </w:r>
      <w:r>
        <w:rPr>
          <w:b/>
          <w:sz w:val="21"/>
        </w:rPr>
        <w:t>The reasoning recorded by the Magistrate or other findings arrived at by him have no relevance and are not admissible in evidence before the competent court and the competent court is not bound by the findings arrived at by the Magistrate even on the question of possession though, as between the parties, the order of the Magistrate would be </w:t>
      </w:r>
      <w:r>
        <w:rPr>
          <w:b/>
          <w:i/>
          <w:sz w:val="21"/>
        </w:rPr>
        <w:t>evidence of possession</w:t>
      </w:r>
      <w:r>
        <w:rPr>
          <w:b/>
          <w:sz w:val="21"/>
        </w:rPr>
        <w:t>. The finding recorded by the Magistrate does </w:t>
      </w:r>
      <w:r>
        <w:rPr>
          <w:b/>
          <w:i/>
          <w:sz w:val="21"/>
        </w:rPr>
        <w:t>not bind </w:t>
      </w:r>
      <w:r>
        <w:rPr>
          <w:b/>
          <w:sz w:val="21"/>
        </w:rPr>
        <w:t>the court. The competent court has jurisdiction and would  be justified in arriving at a finding inconsistent with the one arrived at by the Executive Magistrate even on the question of possession</w:t>
      </w:r>
      <w:r>
        <w:rPr>
          <w:sz w:val="21"/>
        </w:rPr>
        <w:t>.‖</w:t>
      </w:r>
    </w:p>
    <w:p>
      <w:pPr>
        <w:spacing w:before="2"/>
        <w:ind w:left="5440" w:right="0" w:firstLine="0"/>
        <w:jc w:val="left"/>
        <w:rPr>
          <w:sz w:val="21"/>
        </w:rPr>
      </w:pPr>
      <w:r>
        <w:rPr>
          <w:sz w:val="21"/>
        </w:rPr>
        <w:t>(Emphasis supplied)</w:t>
      </w:r>
    </w:p>
    <w:p>
      <w:pPr>
        <w:pStyle w:val="BodyText"/>
        <w:rPr>
          <w:sz w:val="24"/>
        </w:rPr>
      </w:pPr>
    </w:p>
    <w:p>
      <w:pPr>
        <w:pStyle w:val="BodyText"/>
        <w:spacing w:line="480" w:lineRule="auto" w:before="206"/>
        <w:ind w:left="500" w:right="464"/>
        <w:jc w:val="both"/>
      </w:pPr>
      <w:r>
        <w:rPr/>
        <w:t>The Court held that the order passed by the Magistrate will not be treated as binding even the interlocutory jurisdiction of the civil court under Order XXXIX of the Code of Civil Procedure:</w:t>
      </w:r>
    </w:p>
    <w:p>
      <w:pPr>
        <w:spacing w:line="276" w:lineRule="auto" w:before="0"/>
        <w:ind w:left="1940" w:right="2260" w:firstLine="0"/>
        <w:jc w:val="both"/>
        <w:rPr>
          <w:sz w:val="21"/>
        </w:rPr>
      </w:pPr>
      <w:r>
        <w:rPr>
          <w:spacing w:val="-1"/>
          <w:w w:val="33"/>
          <w:sz w:val="21"/>
        </w:rPr>
        <w:t>―</w:t>
      </w:r>
      <w:r>
        <w:rPr>
          <w:spacing w:val="-1"/>
          <w:w w:val="100"/>
          <w:sz w:val="21"/>
        </w:rPr>
        <w:t>22</w:t>
      </w:r>
      <w:r>
        <w:rPr>
          <w:spacing w:val="-3"/>
          <w:w w:val="100"/>
          <w:sz w:val="21"/>
        </w:rPr>
        <w:t>…</w:t>
      </w:r>
      <w:r>
        <w:rPr>
          <w:w w:val="100"/>
          <w:sz w:val="21"/>
        </w:rPr>
        <w:t>The</w:t>
      </w:r>
      <w:r>
        <w:rPr>
          <w:spacing w:val="15"/>
          <w:sz w:val="21"/>
        </w:rPr>
        <w:t> </w:t>
      </w:r>
      <w:r>
        <w:rPr>
          <w:spacing w:val="-3"/>
          <w:w w:val="100"/>
          <w:sz w:val="21"/>
        </w:rPr>
        <w:t>c</w:t>
      </w:r>
      <w:r>
        <w:rPr>
          <w:w w:val="100"/>
          <w:sz w:val="21"/>
        </w:rPr>
        <w:t>i</w:t>
      </w:r>
      <w:r>
        <w:rPr>
          <w:spacing w:val="-3"/>
          <w:w w:val="100"/>
          <w:sz w:val="21"/>
        </w:rPr>
        <w:t>v</w:t>
      </w:r>
      <w:r>
        <w:rPr>
          <w:w w:val="100"/>
          <w:sz w:val="21"/>
        </w:rPr>
        <w:t>il</w:t>
      </w:r>
      <w:r>
        <w:rPr>
          <w:spacing w:val="16"/>
          <w:sz w:val="21"/>
        </w:rPr>
        <w:t> </w:t>
      </w:r>
      <w:r>
        <w:rPr>
          <w:w w:val="100"/>
          <w:sz w:val="21"/>
        </w:rPr>
        <w:t>c</w:t>
      </w:r>
      <w:r>
        <w:rPr>
          <w:spacing w:val="-3"/>
          <w:w w:val="100"/>
          <w:sz w:val="21"/>
        </w:rPr>
        <w:t>o</w:t>
      </w:r>
      <w:r>
        <w:rPr>
          <w:spacing w:val="-1"/>
          <w:w w:val="100"/>
          <w:sz w:val="21"/>
        </w:rPr>
        <w:t>ur</w:t>
      </w:r>
      <w:r>
        <w:rPr>
          <w:w w:val="100"/>
          <w:sz w:val="21"/>
        </w:rPr>
        <w:t>t</w:t>
      </w:r>
      <w:r>
        <w:rPr>
          <w:spacing w:val="14"/>
          <w:sz w:val="21"/>
        </w:rPr>
        <w:t> </w:t>
      </w:r>
      <w:r>
        <w:rPr>
          <w:w w:val="100"/>
          <w:sz w:val="21"/>
        </w:rPr>
        <w:t>sha</w:t>
      </w:r>
      <w:r>
        <w:rPr>
          <w:spacing w:val="-1"/>
          <w:w w:val="100"/>
          <w:sz w:val="21"/>
        </w:rPr>
        <w:t>l</w:t>
      </w:r>
      <w:r>
        <w:rPr>
          <w:w w:val="100"/>
          <w:sz w:val="21"/>
        </w:rPr>
        <w:t>l</w:t>
      </w:r>
      <w:r>
        <w:rPr>
          <w:spacing w:val="16"/>
          <w:sz w:val="21"/>
        </w:rPr>
        <w:t> </w:t>
      </w:r>
      <w:r>
        <w:rPr>
          <w:spacing w:val="-1"/>
          <w:w w:val="100"/>
          <w:sz w:val="21"/>
        </w:rPr>
        <w:t>a</w:t>
      </w:r>
      <w:r>
        <w:rPr>
          <w:spacing w:val="1"/>
          <w:w w:val="100"/>
          <w:sz w:val="21"/>
        </w:rPr>
        <w:t>l</w:t>
      </w:r>
      <w:r>
        <w:rPr>
          <w:w w:val="100"/>
          <w:sz w:val="21"/>
        </w:rPr>
        <w:t>so</w:t>
      </w:r>
      <w:r>
        <w:rPr>
          <w:spacing w:val="16"/>
          <w:sz w:val="21"/>
        </w:rPr>
        <w:t> </w:t>
      </w:r>
      <w:r>
        <w:rPr>
          <w:spacing w:val="-1"/>
          <w:w w:val="100"/>
          <w:sz w:val="21"/>
        </w:rPr>
        <w:t>r</w:t>
      </w:r>
      <w:r>
        <w:rPr>
          <w:spacing w:val="-3"/>
          <w:w w:val="100"/>
          <w:sz w:val="21"/>
        </w:rPr>
        <w:t>e</w:t>
      </w:r>
      <w:r>
        <w:rPr>
          <w:w w:val="100"/>
          <w:sz w:val="21"/>
        </w:rPr>
        <w:t>spect</w:t>
      </w:r>
      <w:r>
        <w:rPr>
          <w:spacing w:val="14"/>
          <w:sz w:val="21"/>
        </w:rPr>
        <w:t> </w:t>
      </w:r>
      <w:r>
        <w:rPr>
          <w:w w:val="100"/>
          <w:sz w:val="21"/>
        </w:rPr>
        <w:t>s</w:t>
      </w:r>
      <w:r>
        <w:rPr>
          <w:spacing w:val="-3"/>
          <w:w w:val="100"/>
          <w:sz w:val="21"/>
        </w:rPr>
        <w:t>u</w:t>
      </w:r>
      <w:r>
        <w:rPr>
          <w:w w:val="100"/>
          <w:sz w:val="21"/>
        </w:rPr>
        <w:t>ch</w:t>
      </w:r>
      <w:r>
        <w:rPr>
          <w:spacing w:val="16"/>
          <w:sz w:val="21"/>
        </w:rPr>
        <w:t> </w:t>
      </w:r>
      <w:r>
        <w:rPr>
          <w:spacing w:val="-1"/>
          <w:w w:val="100"/>
          <w:sz w:val="21"/>
        </w:rPr>
        <w:t>orde</w:t>
      </w:r>
      <w:r>
        <w:rPr>
          <w:w w:val="100"/>
          <w:sz w:val="21"/>
        </w:rPr>
        <w:t>r</w:t>
      </w:r>
      <w:r>
        <w:rPr>
          <w:spacing w:val="14"/>
          <w:sz w:val="21"/>
        </w:rPr>
        <w:t> </w:t>
      </w:r>
      <w:r>
        <w:rPr>
          <w:spacing w:val="-3"/>
          <w:w w:val="100"/>
          <w:sz w:val="21"/>
        </w:rPr>
        <w:t>a</w:t>
      </w:r>
      <w:r>
        <w:rPr>
          <w:spacing w:val="-1"/>
          <w:w w:val="100"/>
          <w:sz w:val="21"/>
        </w:rPr>
        <w:t>n</w:t>
      </w:r>
      <w:r>
        <w:rPr>
          <w:w w:val="100"/>
          <w:sz w:val="21"/>
        </w:rPr>
        <w:t>d</w:t>
      </w:r>
      <w:r>
        <w:rPr>
          <w:spacing w:val="16"/>
          <w:sz w:val="21"/>
        </w:rPr>
        <w:t> </w:t>
      </w:r>
      <w:r>
        <w:rPr>
          <w:spacing w:val="-2"/>
          <w:w w:val="100"/>
          <w:sz w:val="21"/>
        </w:rPr>
        <w:t>w</w:t>
      </w:r>
      <w:r>
        <w:rPr>
          <w:w w:val="100"/>
          <w:sz w:val="21"/>
        </w:rPr>
        <w:t>i</w:t>
      </w:r>
      <w:r>
        <w:rPr>
          <w:spacing w:val="-2"/>
          <w:w w:val="100"/>
          <w:sz w:val="21"/>
        </w:rPr>
        <w:t>l</w:t>
      </w:r>
      <w:r>
        <w:rPr>
          <w:w w:val="100"/>
          <w:sz w:val="21"/>
        </w:rPr>
        <w:t>l</w:t>
      </w:r>
      <w:r>
        <w:rPr>
          <w:spacing w:val="16"/>
          <w:sz w:val="21"/>
        </w:rPr>
        <w:t> </w:t>
      </w:r>
      <w:r>
        <w:rPr>
          <w:spacing w:val="-3"/>
          <w:w w:val="100"/>
          <w:sz w:val="21"/>
        </w:rPr>
        <w:t>b</w:t>
      </w:r>
      <w:r>
        <w:rPr>
          <w:w w:val="100"/>
          <w:sz w:val="21"/>
        </w:rPr>
        <w:t>e </w:t>
      </w:r>
      <w:r>
        <w:rPr>
          <w:sz w:val="21"/>
        </w:rPr>
        <w:t>loath to arrive at an interim arrangement inconsistent with the one made by the Executive Magistrate. </w:t>
      </w:r>
      <w:r>
        <w:rPr>
          <w:b/>
          <w:sz w:val="21"/>
        </w:rPr>
        <w:t>However, this is far from holding that </w:t>
      </w:r>
      <w:r>
        <w:rPr>
          <w:b/>
          <w:spacing w:val="-2"/>
          <w:sz w:val="21"/>
        </w:rPr>
        <w:t>the </w:t>
      </w:r>
      <w:r>
        <w:rPr>
          <w:b/>
          <w:sz w:val="21"/>
        </w:rPr>
        <w:t>civil court does not have jurisdiction to make an order of injunction inconsistent with the order of the Executive Magistrate. The jurisdiction is there but the same shall be exercised not as a rule but as an exception. There may be cases such as one where the order of the Executive Magistrate can be shown to be without jurisdiction, palpably wrong or containing self-contradictory findings. For example, the Magistrate may have made an order treating the party dispossessed beyond two months to be as in possession. There may be cases where in spite of the order made by the Executive Magistrate based on the evidence adduced before it, the competent court, based on the material produced before such court, may be inclined to hold that prima facie a very strong case for retaining or placing one of the parties in possession of the suit property is made out or where it will be totally unjust or inequitable to continue one party in possession of the property as ordered by the Executive Magistrate. </w:t>
      </w:r>
      <w:r>
        <w:rPr>
          <w:sz w:val="21"/>
        </w:rPr>
        <w:t>In such exceptional situations, the competent court (which will mostly be a civil court) may have jurisdiction for granting an order of injunction in departure from the findings recorded and the declaration made by the Executive Magistrate</w:t>
      </w:r>
      <w:r>
        <w:rPr>
          <w:spacing w:val="25"/>
          <w:sz w:val="21"/>
        </w:rPr>
        <w:t> </w:t>
      </w:r>
      <w:r>
        <w:rPr>
          <w:sz w:val="21"/>
        </w:rPr>
        <w:t>under</w:t>
      </w:r>
    </w:p>
    <w:p>
      <w:pPr>
        <w:spacing w:after="0" w:line="276" w:lineRule="auto"/>
        <w:jc w:val="both"/>
        <w:rPr>
          <w:sz w:val="21"/>
        </w:rPr>
        <w:sectPr>
          <w:headerReference w:type="default" r:id="rId102"/>
          <w:footerReference w:type="default" r:id="rId103"/>
          <w:pgSz w:w="11910" w:h="16840"/>
          <w:pgMar w:header="721" w:footer="1014" w:top="1300" w:bottom="1200" w:left="940" w:right="1000"/>
          <w:pgNumType w:start="281"/>
        </w:sectPr>
      </w:pPr>
    </w:p>
    <w:p>
      <w:pPr>
        <w:spacing w:line="276" w:lineRule="auto" w:before="122"/>
        <w:ind w:left="1940" w:right="2260" w:firstLine="0"/>
        <w:jc w:val="both"/>
        <w:rPr>
          <w:sz w:val="21"/>
        </w:rPr>
      </w:pPr>
      <w:r>
        <w:rPr>
          <w:sz w:val="21"/>
        </w:rPr>
        <w:t>Section 145 of the Code of Criminal Procedure. The order under Section 146 of the Code would not pose a problem of that magnitude. Inasmuch as the property is under attachment and is placed in the hands of a receiver, the civil court can comfortably examine whether it would be just and expedient to continue with the attachment and with the same receiver or to appoint another receiver or to make some other interim arrangement during the pendency of the civil</w:t>
      </w:r>
      <w:r>
        <w:rPr>
          <w:spacing w:val="-31"/>
          <w:sz w:val="21"/>
        </w:rPr>
        <w:t> </w:t>
      </w:r>
      <w:r>
        <w:rPr>
          <w:sz w:val="21"/>
        </w:rPr>
        <w:t>suit.‖</w:t>
      </w:r>
    </w:p>
    <w:p>
      <w:pPr>
        <w:pStyle w:val="BodyText"/>
        <w:spacing w:before="1"/>
        <w:rPr>
          <w:sz w:val="24"/>
        </w:rPr>
      </w:pPr>
    </w:p>
    <w:p>
      <w:pPr>
        <w:spacing w:before="1"/>
        <w:ind w:left="5798" w:right="0" w:firstLine="0"/>
        <w:jc w:val="left"/>
        <w:rPr>
          <w:sz w:val="21"/>
        </w:rPr>
      </w:pPr>
      <w:r>
        <w:rPr>
          <w:sz w:val="21"/>
        </w:rPr>
        <w:t>(Emphasis supplied)</w:t>
      </w:r>
    </w:p>
    <w:p>
      <w:pPr>
        <w:pStyle w:val="BodyText"/>
        <w:rPr>
          <w:sz w:val="24"/>
        </w:rPr>
      </w:pPr>
    </w:p>
    <w:p>
      <w:pPr>
        <w:pStyle w:val="ListParagraph"/>
        <w:numPr>
          <w:ilvl w:val="0"/>
          <w:numId w:val="87"/>
        </w:numPr>
        <w:tabs>
          <w:tab w:pos="1221" w:val="left" w:leader="none"/>
        </w:tabs>
        <w:spacing w:line="480" w:lineRule="auto" w:before="148" w:after="0"/>
        <w:ind w:left="1220" w:right="439" w:hanging="720"/>
        <w:jc w:val="both"/>
        <w:rPr>
          <w:sz w:val="25"/>
        </w:rPr>
      </w:pPr>
      <w:r>
        <w:rPr>
          <w:sz w:val="25"/>
        </w:rPr>
        <w:t>In </w:t>
      </w:r>
      <w:r>
        <w:rPr>
          <w:b/>
          <w:sz w:val="25"/>
        </w:rPr>
        <w:t>Surinder Pal Kaur </w:t>
      </w:r>
      <w:r>
        <w:rPr>
          <w:sz w:val="25"/>
        </w:rPr>
        <w:t>v </w:t>
      </w:r>
      <w:r>
        <w:rPr>
          <w:b/>
          <w:sz w:val="25"/>
        </w:rPr>
        <w:t>Satpal</w:t>
      </w:r>
      <w:r>
        <w:rPr>
          <w:sz w:val="25"/>
          <w:vertAlign w:val="superscript"/>
        </w:rPr>
        <w:t>146</w:t>
      </w:r>
      <w:r>
        <w:rPr>
          <w:sz w:val="25"/>
          <w:vertAlign w:val="baseline"/>
        </w:rPr>
        <w:t>, reliance was placed upon the decision in </w:t>
      </w:r>
      <w:r>
        <w:rPr>
          <w:b/>
          <w:sz w:val="25"/>
          <w:vertAlign w:val="baseline"/>
        </w:rPr>
        <w:t>Shanti Kumar Panda</w:t>
      </w:r>
      <w:r>
        <w:rPr>
          <w:sz w:val="25"/>
          <w:vertAlign w:val="baseline"/>
        </w:rPr>
        <w:t>. Justice Dipak Misra (as the learned Chief Justice then was) speaking for the two judge Bench, held</w:t>
      </w:r>
      <w:r>
        <w:rPr>
          <w:spacing w:val="-7"/>
          <w:sz w:val="25"/>
          <w:vertAlign w:val="baseline"/>
        </w:rPr>
        <w:t> </w:t>
      </w:r>
      <w:r>
        <w:rPr>
          <w:sz w:val="25"/>
          <w:vertAlign w:val="baseline"/>
        </w:rPr>
        <w:t>thus:</w:t>
      </w:r>
    </w:p>
    <w:p>
      <w:pPr>
        <w:spacing w:line="276" w:lineRule="auto" w:before="101"/>
        <w:ind w:left="1940" w:right="2261" w:firstLine="0"/>
        <w:jc w:val="both"/>
        <w:rPr>
          <w:sz w:val="21"/>
        </w:rPr>
      </w:pPr>
      <w:r>
        <w:rPr>
          <w:spacing w:val="-1"/>
          <w:w w:val="33"/>
          <w:sz w:val="21"/>
        </w:rPr>
        <w:t>―</w:t>
      </w:r>
      <w:r>
        <w:rPr>
          <w:spacing w:val="-1"/>
          <w:w w:val="100"/>
          <w:sz w:val="21"/>
        </w:rPr>
        <w:t>10.</w:t>
      </w:r>
      <w:r>
        <w:rPr>
          <w:spacing w:val="-2"/>
          <w:w w:val="100"/>
          <w:sz w:val="21"/>
        </w:rPr>
        <w:t>.</w:t>
      </w:r>
      <w:r>
        <w:rPr>
          <w:w w:val="100"/>
          <w:sz w:val="21"/>
        </w:rPr>
        <w:t>.</w:t>
      </w:r>
      <w:r>
        <w:rPr>
          <w:spacing w:val="5"/>
          <w:sz w:val="21"/>
        </w:rPr>
        <w:t> </w:t>
      </w:r>
      <w:r>
        <w:rPr>
          <w:spacing w:val="-2"/>
          <w:w w:val="100"/>
          <w:sz w:val="21"/>
        </w:rPr>
        <w:t>I</w:t>
      </w:r>
      <w:r>
        <w:rPr>
          <w:w w:val="100"/>
          <w:sz w:val="21"/>
        </w:rPr>
        <w:t>t</w:t>
      </w:r>
      <w:r>
        <w:rPr>
          <w:spacing w:val="5"/>
          <w:sz w:val="21"/>
        </w:rPr>
        <w:t> </w:t>
      </w:r>
      <w:r>
        <w:rPr>
          <w:w w:val="100"/>
          <w:sz w:val="21"/>
        </w:rPr>
        <w:t>is</w:t>
      </w:r>
      <w:r>
        <w:rPr>
          <w:spacing w:val="6"/>
          <w:sz w:val="21"/>
        </w:rPr>
        <w:t> </w:t>
      </w:r>
      <w:r>
        <w:rPr>
          <w:w w:val="100"/>
          <w:sz w:val="21"/>
        </w:rPr>
        <w:t>a</w:t>
      </w:r>
      <w:r>
        <w:rPr>
          <w:spacing w:val="6"/>
          <w:sz w:val="21"/>
        </w:rPr>
        <w:t> </w:t>
      </w:r>
      <w:r>
        <w:rPr>
          <w:spacing w:val="-3"/>
          <w:w w:val="100"/>
          <w:sz w:val="21"/>
        </w:rPr>
        <w:t>s</w:t>
      </w:r>
      <w:r>
        <w:rPr>
          <w:spacing w:val="-1"/>
          <w:w w:val="100"/>
          <w:sz w:val="21"/>
        </w:rPr>
        <w:t>et</w:t>
      </w:r>
      <w:r>
        <w:rPr>
          <w:spacing w:val="-2"/>
          <w:w w:val="100"/>
          <w:sz w:val="21"/>
        </w:rPr>
        <w:t>t</w:t>
      </w:r>
      <w:r>
        <w:rPr>
          <w:w w:val="100"/>
          <w:sz w:val="21"/>
        </w:rPr>
        <w:t>l</w:t>
      </w:r>
      <w:r>
        <w:rPr>
          <w:spacing w:val="-1"/>
          <w:w w:val="100"/>
          <w:sz w:val="21"/>
        </w:rPr>
        <w:t>e</w:t>
      </w:r>
      <w:r>
        <w:rPr>
          <w:w w:val="100"/>
          <w:sz w:val="21"/>
        </w:rPr>
        <w:t>d</w:t>
      </w:r>
      <w:r>
        <w:rPr>
          <w:spacing w:val="4"/>
          <w:sz w:val="21"/>
        </w:rPr>
        <w:t> </w:t>
      </w:r>
      <w:r>
        <w:rPr>
          <w:spacing w:val="-1"/>
          <w:w w:val="100"/>
          <w:sz w:val="21"/>
        </w:rPr>
        <w:t>p</w:t>
      </w:r>
      <w:r>
        <w:rPr>
          <w:spacing w:val="-3"/>
          <w:w w:val="100"/>
          <w:sz w:val="21"/>
        </w:rPr>
        <w:t>o</w:t>
      </w:r>
      <w:r>
        <w:rPr>
          <w:w w:val="100"/>
          <w:sz w:val="21"/>
        </w:rPr>
        <w:t>si</w:t>
      </w:r>
      <w:r>
        <w:rPr>
          <w:spacing w:val="-2"/>
          <w:w w:val="100"/>
          <w:sz w:val="21"/>
        </w:rPr>
        <w:t>ti</w:t>
      </w:r>
      <w:r>
        <w:rPr>
          <w:spacing w:val="-3"/>
          <w:w w:val="100"/>
          <w:sz w:val="21"/>
        </w:rPr>
        <w:t>o</w:t>
      </w:r>
      <w:r>
        <w:rPr>
          <w:w w:val="100"/>
          <w:sz w:val="21"/>
        </w:rPr>
        <w:t>n</w:t>
      </w:r>
      <w:r>
        <w:rPr>
          <w:spacing w:val="6"/>
          <w:sz w:val="21"/>
        </w:rPr>
        <w:t> </w:t>
      </w:r>
      <w:r>
        <w:rPr>
          <w:spacing w:val="-3"/>
          <w:w w:val="100"/>
          <w:sz w:val="21"/>
        </w:rPr>
        <w:t>o</w:t>
      </w:r>
      <w:r>
        <w:rPr>
          <w:w w:val="100"/>
          <w:sz w:val="21"/>
        </w:rPr>
        <w:t>f</w:t>
      </w:r>
      <w:r>
        <w:rPr>
          <w:spacing w:val="7"/>
          <w:sz w:val="21"/>
        </w:rPr>
        <w:t> </w:t>
      </w:r>
      <w:r>
        <w:rPr>
          <w:spacing w:val="-2"/>
          <w:w w:val="100"/>
          <w:sz w:val="21"/>
        </w:rPr>
        <w:t>l</w:t>
      </w:r>
      <w:r>
        <w:rPr>
          <w:spacing w:val="-1"/>
          <w:w w:val="100"/>
          <w:sz w:val="21"/>
        </w:rPr>
        <w:t>a</w:t>
      </w:r>
      <w:r>
        <w:rPr>
          <w:w w:val="100"/>
          <w:sz w:val="21"/>
        </w:rPr>
        <w:t>w</w:t>
      </w:r>
      <w:r>
        <w:rPr>
          <w:spacing w:val="5"/>
          <w:sz w:val="21"/>
        </w:rPr>
        <w:t> </w:t>
      </w:r>
      <w:r>
        <w:rPr>
          <w:spacing w:val="-2"/>
          <w:w w:val="100"/>
          <w:sz w:val="21"/>
        </w:rPr>
        <w:t>t</w:t>
      </w:r>
      <w:r>
        <w:rPr>
          <w:spacing w:val="-1"/>
          <w:w w:val="100"/>
          <w:sz w:val="21"/>
        </w:rPr>
        <w:t>ha</w:t>
      </w:r>
      <w:r>
        <w:rPr>
          <w:w w:val="100"/>
          <w:sz w:val="21"/>
        </w:rPr>
        <w:t>t</w:t>
      </w:r>
      <w:r>
        <w:rPr>
          <w:spacing w:val="5"/>
          <w:sz w:val="21"/>
        </w:rPr>
        <w:t> </w:t>
      </w:r>
      <w:r>
        <w:rPr>
          <w:spacing w:val="-2"/>
          <w:w w:val="100"/>
          <w:sz w:val="21"/>
        </w:rPr>
        <w:t>t</w:t>
      </w:r>
      <w:r>
        <w:rPr>
          <w:spacing w:val="-3"/>
          <w:w w:val="100"/>
          <w:sz w:val="21"/>
        </w:rPr>
        <w:t>h</w:t>
      </w:r>
      <w:r>
        <w:rPr>
          <w:w w:val="100"/>
          <w:sz w:val="21"/>
        </w:rPr>
        <w:t>e</w:t>
      </w:r>
      <w:r>
        <w:rPr>
          <w:spacing w:val="6"/>
          <w:sz w:val="21"/>
        </w:rPr>
        <w:t> </w:t>
      </w:r>
      <w:r>
        <w:rPr>
          <w:spacing w:val="-3"/>
          <w:w w:val="100"/>
          <w:sz w:val="21"/>
        </w:rPr>
        <w:t>o</w:t>
      </w:r>
      <w:r>
        <w:rPr>
          <w:spacing w:val="-1"/>
          <w:w w:val="100"/>
          <w:sz w:val="21"/>
        </w:rPr>
        <w:t>bser</w:t>
      </w:r>
      <w:r>
        <w:rPr>
          <w:spacing w:val="-3"/>
          <w:w w:val="100"/>
          <w:sz w:val="21"/>
        </w:rPr>
        <w:t>v</w:t>
      </w:r>
      <w:r>
        <w:rPr>
          <w:spacing w:val="-1"/>
          <w:w w:val="100"/>
          <w:sz w:val="21"/>
        </w:rPr>
        <w:t>at</w:t>
      </w:r>
      <w:r>
        <w:rPr>
          <w:spacing w:val="-2"/>
          <w:w w:val="100"/>
          <w:sz w:val="21"/>
        </w:rPr>
        <w:t>i</w:t>
      </w:r>
      <w:r>
        <w:rPr>
          <w:spacing w:val="-1"/>
          <w:w w:val="100"/>
          <w:sz w:val="21"/>
        </w:rPr>
        <w:t>on</w:t>
      </w:r>
      <w:r>
        <w:rPr>
          <w:w w:val="100"/>
          <w:sz w:val="21"/>
        </w:rPr>
        <w:t>s</w:t>
      </w:r>
      <w:r>
        <w:rPr>
          <w:spacing w:val="4"/>
          <w:sz w:val="21"/>
        </w:rPr>
        <w:t> </w:t>
      </w:r>
      <w:r>
        <w:rPr>
          <w:spacing w:val="-1"/>
          <w:w w:val="100"/>
          <w:sz w:val="21"/>
        </w:rPr>
        <w:t>made </w:t>
      </w:r>
      <w:r>
        <w:rPr>
          <w:sz w:val="21"/>
        </w:rPr>
        <w:t>in the proceedings drawn under Section 145 CrPC do not bind the competent court in a legal proceeding initiated before it.‖</w:t>
      </w:r>
    </w:p>
    <w:p>
      <w:pPr>
        <w:pStyle w:val="BodyText"/>
        <w:rPr>
          <w:sz w:val="24"/>
        </w:rPr>
      </w:pPr>
    </w:p>
    <w:p>
      <w:pPr>
        <w:pStyle w:val="BodyText"/>
        <w:rPr>
          <w:sz w:val="26"/>
        </w:rPr>
      </w:pPr>
    </w:p>
    <w:p>
      <w:pPr>
        <w:pStyle w:val="ListParagraph"/>
        <w:numPr>
          <w:ilvl w:val="0"/>
          <w:numId w:val="3"/>
        </w:numPr>
        <w:tabs>
          <w:tab w:pos="1221" w:val="left" w:leader="none"/>
        </w:tabs>
        <w:spacing w:line="480" w:lineRule="auto" w:before="0" w:after="0"/>
        <w:ind w:left="500" w:right="440" w:firstLine="0"/>
        <w:jc w:val="both"/>
        <w:rPr>
          <w:sz w:val="25"/>
        </w:rPr>
      </w:pPr>
      <w:r>
        <w:rPr>
          <w:sz w:val="25"/>
        </w:rPr>
        <w:t>Section 145 proceedings do not purport to decide a party's title or right to possession of the land. The property held in attachment in proceedings under </w:t>
      </w:r>
      <w:r>
        <w:rPr>
          <w:spacing w:val="-1"/>
          <w:w w:val="99"/>
          <w:sz w:val="25"/>
        </w:rPr>
        <w:t>S</w:t>
      </w:r>
      <w:r>
        <w:rPr>
          <w:w w:val="99"/>
          <w:sz w:val="25"/>
        </w:rPr>
        <w:t>ectio</w:t>
      </w:r>
      <w:r>
        <w:rPr>
          <w:w w:val="99"/>
          <w:sz w:val="25"/>
        </w:rPr>
        <w:t>n</w:t>
      </w:r>
      <w:r>
        <w:rPr>
          <w:spacing w:val="29"/>
          <w:sz w:val="25"/>
        </w:rPr>
        <w:t> </w:t>
      </w:r>
      <w:r>
        <w:rPr>
          <w:w w:val="99"/>
          <w:sz w:val="25"/>
        </w:rPr>
        <w:t>145</w:t>
      </w:r>
      <w:r>
        <w:rPr>
          <w:spacing w:val="29"/>
          <w:sz w:val="25"/>
        </w:rPr>
        <w:t> </w:t>
      </w:r>
      <w:r>
        <w:rPr>
          <w:w w:val="99"/>
          <w:sz w:val="25"/>
        </w:rPr>
        <w:t>is</w:t>
      </w:r>
      <w:r>
        <w:rPr>
          <w:spacing w:val="29"/>
          <w:sz w:val="25"/>
        </w:rPr>
        <w:t> </w:t>
      </w:r>
      <w:r>
        <w:rPr>
          <w:spacing w:val="-1"/>
          <w:w w:val="40"/>
          <w:sz w:val="25"/>
        </w:rPr>
        <w:t>‗</w:t>
      </w:r>
      <w:r>
        <w:rPr>
          <w:i/>
          <w:w w:val="99"/>
          <w:sz w:val="25"/>
        </w:rPr>
        <w:t>custo</w:t>
      </w:r>
      <w:r>
        <w:rPr>
          <w:i/>
          <w:spacing w:val="-1"/>
          <w:w w:val="99"/>
          <w:sz w:val="25"/>
        </w:rPr>
        <w:t>di</w:t>
      </w:r>
      <w:r>
        <w:rPr>
          <w:i/>
          <w:w w:val="99"/>
          <w:sz w:val="25"/>
        </w:rPr>
        <w:t>a</w:t>
      </w:r>
      <w:r>
        <w:rPr>
          <w:i/>
          <w:spacing w:val="29"/>
          <w:sz w:val="25"/>
        </w:rPr>
        <w:t> </w:t>
      </w:r>
      <w:r>
        <w:rPr>
          <w:i/>
          <w:spacing w:val="-1"/>
          <w:w w:val="99"/>
          <w:sz w:val="25"/>
        </w:rPr>
        <w:t>legi</w:t>
      </w:r>
      <w:r>
        <w:rPr>
          <w:i/>
          <w:spacing w:val="2"/>
          <w:w w:val="99"/>
          <w:sz w:val="25"/>
        </w:rPr>
        <w:t>s</w:t>
      </w:r>
      <w:r>
        <w:rPr>
          <w:i/>
          <w:spacing w:val="-4"/>
          <w:w w:val="99"/>
          <w:sz w:val="25"/>
        </w:rPr>
        <w:t>‘</w:t>
      </w:r>
      <w:r>
        <w:rPr>
          <w:w w:val="99"/>
          <w:sz w:val="25"/>
        </w:rPr>
        <w:t>.</w:t>
      </w:r>
      <w:r>
        <w:rPr>
          <w:spacing w:val="28"/>
          <w:sz w:val="25"/>
        </w:rPr>
        <w:t> </w:t>
      </w:r>
      <w:r>
        <w:rPr>
          <w:w w:val="99"/>
          <w:sz w:val="25"/>
        </w:rPr>
        <w:t>Hence</w:t>
      </w:r>
      <w:r>
        <w:rPr>
          <w:w w:val="99"/>
          <w:sz w:val="25"/>
        </w:rPr>
        <w:t>,</w:t>
      </w:r>
      <w:r>
        <w:rPr>
          <w:spacing w:val="28"/>
          <w:sz w:val="25"/>
        </w:rPr>
        <w:t> </w:t>
      </w:r>
      <w:r>
        <w:rPr>
          <w:w w:val="99"/>
          <w:sz w:val="25"/>
        </w:rPr>
        <w:t>it</w:t>
      </w:r>
      <w:r>
        <w:rPr>
          <w:spacing w:val="28"/>
          <w:sz w:val="25"/>
        </w:rPr>
        <w:t> </w:t>
      </w:r>
      <w:r>
        <w:rPr>
          <w:spacing w:val="2"/>
          <w:w w:val="99"/>
          <w:sz w:val="25"/>
        </w:rPr>
        <w:t>i</w:t>
      </w:r>
      <w:r>
        <w:rPr>
          <w:w w:val="99"/>
          <w:sz w:val="25"/>
        </w:rPr>
        <w:t>s</w:t>
      </w:r>
      <w:r>
        <w:rPr>
          <w:spacing w:val="28"/>
          <w:sz w:val="25"/>
        </w:rPr>
        <w:t> </w:t>
      </w:r>
      <w:r>
        <w:rPr>
          <w:w w:val="99"/>
          <w:sz w:val="25"/>
        </w:rPr>
        <w:t>no</w:t>
      </w:r>
      <w:r>
        <w:rPr>
          <w:w w:val="99"/>
          <w:sz w:val="25"/>
        </w:rPr>
        <w:t>t</w:t>
      </w:r>
      <w:r>
        <w:rPr>
          <w:spacing w:val="28"/>
          <w:sz w:val="25"/>
        </w:rPr>
        <w:t> </w:t>
      </w:r>
      <w:r>
        <w:rPr>
          <w:w w:val="99"/>
          <w:sz w:val="25"/>
        </w:rPr>
        <w:t>ne</w:t>
      </w:r>
      <w:r>
        <w:rPr>
          <w:w w:val="99"/>
          <w:sz w:val="25"/>
        </w:rPr>
        <w:t>cessar</w:t>
      </w:r>
      <w:r>
        <w:rPr>
          <w:w w:val="99"/>
          <w:sz w:val="25"/>
        </w:rPr>
        <w:t>y</w:t>
      </w:r>
      <w:r>
        <w:rPr>
          <w:spacing w:val="26"/>
          <w:sz w:val="25"/>
        </w:rPr>
        <w:t> </w:t>
      </w:r>
      <w:r>
        <w:rPr>
          <w:w w:val="99"/>
          <w:sz w:val="25"/>
        </w:rPr>
        <w:t>to</w:t>
      </w:r>
      <w:r>
        <w:rPr>
          <w:spacing w:val="29"/>
          <w:sz w:val="25"/>
        </w:rPr>
        <w:t> </w:t>
      </w:r>
      <w:r>
        <w:rPr>
          <w:w w:val="99"/>
          <w:sz w:val="25"/>
        </w:rPr>
        <w:t>secu</w:t>
      </w:r>
      <w:r>
        <w:rPr>
          <w:w w:val="99"/>
          <w:sz w:val="25"/>
        </w:rPr>
        <w:t>r</w:t>
      </w:r>
      <w:r>
        <w:rPr>
          <w:w w:val="99"/>
          <w:sz w:val="25"/>
        </w:rPr>
        <w:t>e</w:t>
      </w:r>
      <w:r>
        <w:rPr>
          <w:spacing w:val="29"/>
          <w:sz w:val="25"/>
        </w:rPr>
        <w:t> </w:t>
      </w:r>
      <w:r>
        <w:rPr>
          <w:w w:val="99"/>
          <w:sz w:val="25"/>
        </w:rPr>
        <w:t>po</w:t>
      </w:r>
      <w:r>
        <w:rPr>
          <w:w w:val="99"/>
          <w:sz w:val="25"/>
        </w:rPr>
        <w:t>ssession </w:t>
      </w:r>
      <w:r>
        <w:rPr>
          <w:sz w:val="25"/>
        </w:rPr>
        <w:t>from a party who is not in possession and is hence, not in a position to deliver possession. This Court has analysed the nature of the property under attachment in the following</w:t>
      </w:r>
      <w:r>
        <w:rPr>
          <w:spacing w:val="-3"/>
          <w:sz w:val="25"/>
        </w:rPr>
        <w:t> </w:t>
      </w:r>
      <w:r>
        <w:rPr>
          <w:sz w:val="25"/>
        </w:rPr>
        <w:t>decisions:</w:t>
      </w:r>
    </w:p>
    <w:p>
      <w:pPr>
        <w:pStyle w:val="ListParagraph"/>
        <w:numPr>
          <w:ilvl w:val="0"/>
          <w:numId w:val="88"/>
        </w:numPr>
        <w:tabs>
          <w:tab w:pos="1221" w:val="left" w:leader="none"/>
        </w:tabs>
        <w:spacing w:line="480" w:lineRule="auto" w:before="0" w:after="0"/>
        <w:ind w:left="1220" w:right="434" w:hanging="720"/>
        <w:jc w:val="both"/>
        <w:rPr>
          <w:sz w:val="25"/>
        </w:rPr>
      </w:pPr>
      <w:r>
        <w:rPr>
          <w:sz w:val="25"/>
        </w:rPr>
        <w:t>In </w:t>
      </w:r>
      <w:r>
        <w:rPr>
          <w:b/>
          <w:sz w:val="25"/>
        </w:rPr>
        <w:t>Deokuer </w:t>
      </w:r>
      <w:r>
        <w:rPr>
          <w:sz w:val="25"/>
        </w:rPr>
        <w:t>v </w:t>
      </w:r>
      <w:r>
        <w:rPr>
          <w:b/>
          <w:sz w:val="25"/>
        </w:rPr>
        <w:t>Sheoprasad Singh</w:t>
      </w:r>
      <w:r>
        <w:rPr>
          <w:sz w:val="25"/>
          <w:vertAlign w:val="superscript"/>
        </w:rPr>
        <w:t>147</w:t>
      </w:r>
      <w:r>
        <w:rPr>
          <w:sz w:val="25"/>
          <w:vertAlign w:val="baseline"/>
        </w:rPr>
        <w:t>, a three judge Bench of this Court, </w:t>
      </w:r>
      <w:r>
        <w:rPr>
          <w:spacing w:val="-1"/>
          <w:w w:val="99"/>
          <w:sz w:val="25"/>
          <w:vertAlign w:val="baseline"/>
        </w:rPr>
        <w:t>h</w:t>
      </w:r>
      <w:r>
        <w:rPr>
          <w:w w:val="99"/>
          <w:sz w:val="25"/>
          <w:vertAlign w:val="baseline"/>
        </w:rPr>
        <w:t>e</w:t>
      </w:r>
      <w:r>
        <w:rPr>
          <w:spacing w:val="-1"/>
          <w:w w:val="99"/>
          <w:sz w:val="25"/>
          <w:vertAlign w:val="baseline"/>
        </w:rPr>
        <w:t>l</w:t>
      </w:r>
      <w:r>
        <w:rPr>
          <w:w w:val="99"/>
          <w:sz w:val="25"/>
          <w:vertAlign w:val="baseline"/>
        </w:rPr>
        <w:t>d</w:t>
      </w:r>
      <w:r>
        <w:rPr>
          <w:sz w:val="25"/>
          <w:vertAlign w:val="baseline"/>
        </w:rPr>
        <w:t> </w:t>
      </w:r>
      <w:r>
        <w:rPr>
          <w:spacing w:val="-29"/>
          <w:sz w:val="25"/>
          <w:vertAlign w:val="baseline"/>
        </w:rPr>
        <w:t> </w:t>
      </w:r>
      <w:r>
        <w:rPr>
          <w:w w:val="99"/>
          <w:sz w:val="25"/>
          <w:vertAlign w:val="baseline"/>
        </w:rPr>
        <w:t>that</w:t>
      </w:r>
      <w:r>
        <w:rPr>
          <w:sz w:val="25"/>
          <w:vertAlign w:val="baseline"/>
        </w:rPr>
        <w:t> </w:t>
      </w:r>
      <w:r>
        <w:rPr>
          <w:spacing w:val="-29"/>
          <w:sz w:val="25"/>
          <w:vertAlign w:val="baseline"/>
        </w:rPr>
        <w:t> </w:t>
      </w:r>
      <w:r>
        <w:rPr>
          <w:spacing w:val="-3"/>
          <w:w w:val="99"/>
          <w:sz w:val="25"/>
          <w:vertAlign w:val="baseline"/>
        </w:rPr>
        <w:t>p</w:t>
      </w:r>
      <w:r>
        <w:rPr>
          <w:w w:val="99"/>
          <w:sz w:val="25"/>
          <w:vertAlign w:val="baseline"/>
        </w:rPr>
        <w:t>r</w:t>
      </w:r>
      <w:r>
        <w:rPr>
          <w:spacing w:val="-1"/>
          <w:w w:val="99"/>
          <w:sz w:val="25"/>
          <w:vertAlign w:val="baseline"/>
        </w:rPr>
        <w:t>o</w:t>
      </w:r>
      <w:r>
        <w:rPr>
          <w:w w:val="99"/>
          <w:sz w:val="25"/>
          <w:vertAlign w:val="baseline"/>
        </w:rPr>
        <w:t>p</w:t>
      </w:r>
      <w:r>
        <w:rPr>
          <w:spacing w:val="-1"/>
          <w:w w:val="99"/>
          <w:sz w:val="25"/>
          <w:vertAlign w:val="baseline"/>
        </w:rPr>
        <w:t>e</w:t>
      </w:r>
      <w:r>
        <w:rPr>
          <w:w w:val="99"/>
          <w:sz w:val="25"/>
          <w:vertAlign w:val="baseline"/>
        </w:rPr>
        <w:t>rty</w:t>
      </w:r>
      <w:r>
        <w:rPr>
          <w:sz w:val="25"/>
          <w:vertAlign w:val="baseline"/>
        </w:rPr>
        <w:t> </w:t>
      </w:r>
      <w:r>
        <w:rPr>
          <w:spacing w:val="-32"/>
          <w:sz w:val="25"/>
          <w:vertAlign w:val="baseline"/>
        </w:rPr>
        <w:t> </w:t>
      </w:r>
      <w:r>
        <w:rPr>
          <w:spacing w:val="-1"/>
          <w:w w:val="99"/>
          <w:sz w:val="25"/>
          <w:vertAlign w:val="baseline"/>
        </w:rPr>
        <w:t>h</w:t>
      </w:r>
      <w:r>
        <w:rPr>
          <w:spacing w:val="-2"/>
          <w:w w:val="99"/>
          <w:sz w:val="25"/>
          <w:vertAlign w:val="baseline"/>
        </w:rPr>
        <w:t>e</w:t>
      </w:r>
      <w:r>
        <w:rPr>
          <w:spacing w:val="-1"/>
          <w:w w:val="99"/>
          <w:sz w:val="25"/>
          <w:vertAlign w:val="baseline"/>
        </w:rPr>
        <w:t>l</w:t>
      </w:r>
      <w:r>
        <w:rPr>
          <w:w w:val="99"/>
          <w:sz w:val="25"/>
          <w:vertAlign w:val="baseline"/>
        </w:rPr>
        <w:t>d</w:t>
      </w:r>
      <w:r>
        <w:rPr>
          <w:sz w:val="25"/>
          <w:vertAlign w:val="baseline"/>
        </w:rPr>
        <w:t> </w:t>
      </w:r>
      <w:r>
        <w:rPr>
          <w:spacing w:val="-29"/>
          <w:sz w:val="25"/>
          <w:vertAlign w:val="baseline"/>
        </w:rPr>
        <w:t> </w:t>
      </w:r>
      <w:r>
        <w:rPr>
          <w:spacing w:val="-1"/>
          <w:w w:val="99"/>
          <w:sz w:val="25"/>
          <w:vertAlign w:val="baseline"/>
        </w:rPr>
        <w:t>u</w:t>
      </w:r>
      <w:r>
        <w:rPr>
          <w:w w:val="99"/>
          <w:sz w:val="25"/>
          <w:vertAlign w:val="baseline"/>
        </w:rPr>
        <w:t>n</w:t>
      </w:r>
      <w:r>
        <w:rPr>
          <w:spacing w:val="-1"/>
          <w:w w:val="99"/>
          <w:sz w:val="25"/>
          <w:vertAlign w:val="baseline"/>
        </w:rPr>
        <w:t>d</w:t>
      </w:r>
      <w:r>
        <w:rPr>
          <w:w w:val="99"/>
          <w:sz w:val="25"/>
          <w:vertAlign w:val="baseline"/>
        </w:rPr>
        <w:t>er</w:t>
      </w:r>
      <w:r>
        <w:rPr>
          <w:sz w:val="25"/>
          <w:vertAlign w:val="baseline"/>
        </w:rPr>
        <w:t> </w:t>
      </w:r>
      <w:r>
        <w:rPr>
          <w:spacing w:val="-29"/>
          <w:sz w:val="25"/>
          <w:vertAlign w:val="baseline"/>
        </w:rPr>
        <w:t> </w:t>
      </w:r>
      <w:r>
        <w:rPr>
          <w:spacing w:val="-3"/>
          <w:w w:val="99"/>
          <w:sz w:val="25"/>
          <w:vertAlign w:val="baseline"/>
        </w:rPr>
        <w:t>a</w:t>
      </w:r>
      <w:r>
        <w:rPr>
          <w:w w:val="99"/>
          <w:sz w:val="25"/>
          <w:vertAlign w:val="baseline"/>
        </w:rPr>
        <w:t>ttach</w:t>
      </w:r>
      <w:r>
        <w:rPr>
          <w:spacing w:val="1"/>
          <w:w w:val="99"/>
          <w:sz w:val="25"/>
          <w:vertAlign w:val="baseline"/>
        </w:rPr>
        <w:t>m</w:t>
      </w:r>
      <w:r>
        <w:rPr>
          <w:spacing w:val="-1"/>
          <w:w w:val="99"/>
          <w:sz w:val="25"/>
          <w:vertAlign w:val="baseline"/>
        </w:rPr>
        <w:t>e</w:t>
      </w:r>
      <w:r>
        <w:rPr>
          <w:w w:val="99"/>
          <w:sz w:val="25"/>
          <w:vertAlign w:val="baseline"/>
        </w:rPr>
        <w:t>nt</w:t>
      </w:r>
      <w:r>
        <w:rPr>
          <w:sz w:val="25"/>
          <w:vertAlign w:val="baseline"/>
        </w:rPr>
        <w:t> </w:t>
      </w:r>
      <w:r>
        <w:rPr>
          <w:spacing w:val="-31"/>
          <w:sz w:val="25"/>
          <w:vertAlign w:val="baseline"/>
        </w:rPr>
        <w:t> </w:t>
      </w:r>
      <w:r>
        <w:rPr>
          <w:spacing w:val="-1"/>
          <w:w w:val="99"/>
          <w:sz w:val="25"/>
          <w:vertAlign w:val="baseline"/>
        </w:rPr>
        <w:t>u</w:t>
      </w:r>
      <w:r>
        <w:rPr>
          <w:w w:val="99"/>
          <w:sz w:val="25"/>
          <w:vertAlign w:val="baseline"/>
        </w:rPr>
        <w:t>n</w:t>
      </w:r>
      <w:r>
        <w:rPr>
          <w:spacing w:val="-1"/>
          <w:w w:val="99"/>
          <w:sz w:val="25"/>
          <w:vertAlign w:val="baseline"/>
        </w:rPr>
        <w:t>d</w:t>
      </w:r>
      <w:r>
        <w:rPr>
          <w:w w:val="99"/>
          <w:sz w:val="25"/>
          <w:vertAlign w:val="baseline"/>
        </w:rPr>
        <w:t>er</w:t>
      </w:r>
      <w:r>
        <w:rPr>
          <w:sz w:val="25"/>
          <w:vertAlign w:val="baseline"/>
        </w:rPr>
        <w:t> </w:t>
      </w:r>
      <w:r>
        <w:rPr>
          <w:spacing w:val="-29"/>
          <w:sz w:val="25"/>
          <w:vertAlign w:val="baseline"/>
        </w:rPr>
        <w:t> </w:t>
      </w:r>
      <w:r>
        <w:rPr>
          <w:spacing w:val="-1"/>
          <w:w w:val="99"/>
          <w:sz w:val="25"/>
          <w:vertAlign w:val="baseline"/>
        </w:rPr>
        <w:t>Secti</w:t>
      </w:r>
      <w:r>
        <w:rPr>
          <w:w w:val="99"/>
          <w:sz w:val="25"/>
          <w:vertAlign w:val="baseline"/>
        </w:rPr>
        <w:t>on</w:t>
      </w:r>
      <w:r>
        <w:rPr>
          <w:sz w:val="25"/>
          <w:vertAlign w:val="baseline"/>
        </w:rPr>
        <w:t> </w:t>
      </w:r>
      <w:r>
        <w:rPr>
          <w:spacing w:val="-29"/>
          <w:sz w:val="25"/>
          <w:vertAlign w:val="baseline"/>
        </w:rPr>
        <w:t> </w:t>
      </w:r>
      <w:r>
        <w:rPr>
          <w:spacing w:val="-1"/>
          <w:w w:val="99"/>
          <w:sz w:val="25"/>
          <w:vertAlign w:val="baseline"/>
        </w:rPr>
        <w:t>1</w:t>
      </w:r>
      <w:r>
        <w:rPr>
          <w:w w:val="99"/>
          <w:sz w:val="25"/>
          <w:vertAlign w:val="baseline"/>
        </w:rPr>
        <w:t>45</w:t>
      </w:r>
      <w:r>
        <w:rPr>
          <w:sz w:val="25"/>
          <w:vertAlign w:val="baseline"/>
        </w:rPr>
        <w:t> </w:t>
      </w:r>
      <w:r>
        <w:rPr>
          <w:spacing w:val="-31"/>
          <w:sz w:val="25"/>
          <w:vertAlign w:val="baseline"/>
        </w:rPr>
        <w:t> </w:t>
      </w:r>
      <w:r>
        <w:rPr>
          <w:spacing w:val="-1"/>
          <w:w w:val="99"/>
          <w:sz w:val="25"/>
          <w:vertAlign w:val="baseline"/>
        </w:rPr>
        <w:t>i</w:t>
      </w:r>
      <w:r>
        <w:rPr>
          <w:w w:val="99"/>
          <w:sz w:val="25"/>
          <w:vertAlign w:val="baseline"/>
        </w:rPr>
        <w:t>s</w:t>
      </w:r>
      <w:r>
        <w:rPr>
          <w:sz w:val="25"/>
          <w:vertAlign w:val="baseline"/>
        </w:rPr>
        <w:t> </w:t>
      </w:r>
      <w:r>
        <w:rPr>
          <w:spacing w:val="-30"/>
          <w:sz w:val="25"/>
          <w:vertAlign w:val="baseline"/>
        </w:rPr>
        <w:t> </w:t>
      </w:r>
      <w:r>
        <w:rPr>
          <w:spacing w:val="9"/>
          <w:w w:val="40"/>
          <w:sz w:val="25"/>
          <w:vertAlign w:val="baseline"/>
        </w:rPr>
        <w:t>‗</w:t>
      </w:r>
      <w:r>
        <w:rPr>
          <w:i/>
          <w:w w:val="99"/>
          <w:sz w:val="25"/>
          <w:vertAlign w:val="baseline"/>
        </w:rPr>
        <w:t>custo</w:t>
      </w:r>
      <w:r>
        <w:rPr>
          <w:i/>
          <w:w w:val="99"/>
          <w:sz w:val="25"/>
          <w:vertAlign w:val="baseline"/>
        </w:rPr>
        <w:t>dia</w:t>
      </w:r>
      <w:r>
        <w:rPr>
          <w:i/>
          <w:w w:val="99"/>
          <w:sz w:val="25"/>
          <w:vertAlign w:val="baseline"/>
        </w:rPr>
        <w:t> </w:t>
      </w:r>
      <w:r>
        <w:rPr>
          <w:i/>
          <w:sz w:val="25"/>
          <w:vertAlign w:val="baseline"/>
        </w:rPr>
        <w:t>legis</w:t>
      </w:r>
      <w:r>
        <w:rPr>
          <w:sz w:val="25"/>
          <w:vertAlign w:val="baseline"/>
        </w:rPr>
        <w:t>‘. The appeal arose out of a suit brought by the appellants in 1947 for a declaration that the respondents had acquired no right or title to a property under certain deeds and that the deeds were inoperative</w:t>
      </w:r>
      <w:r>
        <w:rPr>
          <w:spacing w:val="1"/>
          <w:sz w:val="25"/>
          <w:vertAlign w:val="baseline"/>
        </w:rPr>
        <w:t> </w:t>
      </w:r>
      <w:r>
        <w:rPr>
          <w:sz w:val="25"/>
          <w:vertAlign w:val="baseline"/>
        </w:rPr>
        <w:t>and</w:t>
      </w:r>
    </w:p>
    <w:p>
      <w:pPr>
        <w:pStyle w:val="BodyText"/>
        <w:rPr>
          <w:sz w:val="20"/>
        </w:rPr>
      </w:pPr>
    </w:p>
    <w:p>
      <w:pPr>
        <w:pStyle w:val="BodyText"/>
        <w:rPr>
          <w:sz w:val="14"/>
        </w:rPr>
      </w:pPr>
      <w:r>
        <w:rPr/>
        <w:pict>
          <v:rect style="position:absolute;margin-left:72.024002pt;margin-top:10.003535pt;width:144.020pt;height:.599980pt;mso-position-horizontal-relative:page;mso-position-vertical-relative:paragraph;z-index:-1568563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146</w:t>
      </w:r>
      <w:r>
        <w:rPr>
          <w:sz w:val="18"/>
          <w:vertAlign w:val="baseline"/>
        </w:rPr>
        <w:t> (2015) 13 SCC</w:t>
      </w:r>
      <w:r>
        <w:rPr>
          <w:spacing w:val="-11"/>
          <w:sz w:val="18"/>
          <w:vertAlign w:val="baseline"/>
        </w:rPr>
        <w:t> </w:t>
      </w:r>
      <w:r>
        <w:rPr>
          <w:sz w:val="18"/>
          <w:vertAlign w:val="baseline"/>
        </w:rPr>
        <w:t>25</w:t>
      </w:r>
    </w:p>
    <w:p>
      <w:pPr>
        <w:spacing w:before="2"/>
        <w:ind w:left="500" w:right="0" w:firstLine="0"/>
        <w:jc w:val="left"/>
        <w:rPr>
          <w:sz w:val="18"/>
        </w:rPr>
      </w:pPr>
      <w:r>
        <w:rPr>
          <w:sz w:val="18"/>
          <w:vertAlign w:val="superscript"/>
        </w:rPr>
        <w:t>147</w:t>
      </w:r>
      <w:r>
        <w:rPr>
          <w:sz w:val="18"/>
          <w:vertAlign w:val="baseline"/>
        </w:rPr>
        <w:t> (1965) 3 SCR</w:t>
      </w:r>
      <w:r>
        <w:rPr>
          <w:spacing w:val="-11"/>
          <w:sz w:val="18"/>
          <w:vertAlign w:val="baseline"/>
        </w:rPr>
        <w:t> </w:t>
      </w:r>
      <w:r>
        <w:rPr>
          <w:sz w:val="18"/>
          <w:vertAlign w:val="baseline"/>
        </w:rPr>
        <w:t>655</w:t>
      </w:r>
    </w:p>
    <w:p>
      <w:pPr>
        <w:spacing w:after="0"/>
        <w:jc w:val="left"/>
        <w:rPr>
          <w:sz w:val="18"/>
        </w:rPr>
        <w:sectPr>
          <w:pgSz w:w="11910" w:h="16840"/>
          <w:pgMar w:header="721" w:footer="1014" w:top="1300" w:bottom="1200" w:left="940" w:right="1000"/>
        </w:sectPr>
      </w:pPr>
    </w:p>
    <w:p>
      <w:pPr>
        <w:pStyle w:val="BodyText"/>
        <w:spacing w:line="480" w:lineRule="auto" w:before="124"/>
        <w:ind w:left="1220" w:right="436"/>
        <w:jc w:val="both"/>
      </w:pPr>
      <w:r>
        <w:rPr/>
        <w:t>void. The suit was decreed by the Trial Court, but on appeal, the High Court set aside the decree. The High Court held that as the appellants were not in possession of the property at the date of the suit, their suit must fail under the proviso to Section 42 of the Specific Relief Act as they had failed to ask for the further relief of recovery of possession from the respondents. On the date of the suit, the property in dispute had been attached by the Magistrate, exercising his powers under Section 145 and was not in the possession of any party. The issue that arose before this Court was whether in view of the attachment, the appellants could have in their suit, sought the relief for delivery of possession to them. Speaking for the three judge Bench, Justice A K Sarkar held</w:t>
      </w:r>
      <w:r>
        <w:rPr>
          <w:spacing w:val="-2"/>
        </w:rPr>
        <w:t> </w:t>
      </w:r>
      <w:r>
        <w:rPr/>
        <w:t>thus:</w:t>
      </w:r>
    </w:p>
    <w:p>
      <w:pPr>
        <w:spacing w:line="276" w:lineRule="auto" w:before="100"/>
        <w:ind w:left="1940" w:right="2260" w:firstLine="0"/>
        <w:jc w:val="both"/>
        <w:rPr>
          <w:sz w:val="21"/>
        </w:rPr>
      </w:pPr>
      <w:r>
        <w:rPr>
          <w:w w:val="33"/>
          <w:sz w:val="21"/>
        </w:rPr>
        <w:t>―</w:t>
      </w:r>
      <w:r>
        <w:rPr>
          <w:w w:val="100"/>
          <w:sz w:val="21"/>
        </w:rPr>
        <w:t>4.</w:t>
      </w:r>
      <w:r>
        <w:rPr>
          <w:sz w:val="21"/>
        </w:rPr>
        <w:t> </w:t>
      </w:r>
      <w:r>
        <w:rPr>
          <w:w w:val="100"/>
          <w:sz w:val="21"/>
        </w:rPr>
        <w:t>In</w:t>
      </w:r>
      <w:r>
        <w:rPr>
          <w:sz w:val="21"/>
        </w:rPr>
        <w:t> </w:t>
      </w:r>
      <w:r>
        <w:rPr>
          <w:w w:val="100"/>
          <w:sz w:val="21"/>
        </w:rPr>
        <w:t>our</w:t>
      </w:r>
      <w:r>
        <w:rPr>
          <w:sz w:val="21"/>
        </w:rPr>
        <w:t> </w:t>
      </w:r>
      <w:r>
        <w:rPr>
          <w:w w:val="100"/>
          <w:sz w:val="21"/>
        </w:rPr>
        <w:t>view,</w:t>
      </w:r>
      <w:r>
        <w:rPr>
          <w:sz w:val="21"/>
        </w:rPr>
        <w:t> </w:t>
      </w:r>
      <w:r>
        <w:rPr>
          <w:w w:val="100"/>
          <w:sz w:val="21"/>
        </w:rPr>
        <w:t>in</w:t>
      </w:r>
      <w:r>
        <w:rPr>
          <w:sz w:val="21"/>
        </w:rPr>
        <w:t> </w:t>
      </w:r>
      <w:r>
        <w:rPr>
          <w:w w:val="100"/>
          <w:sz w:val="21"/>
        </w:rPr>
        <w:t>a</w:t>
      </w:r>
      <w:r>
        <w:rPr>
          <w:sz w:val="21"/>
        </w:rPr>
        <w:t> </w:t>
      </w:r>
      <w:r>
        <w:rPr>
          <w:w w:val="100"/>
          <w:sz w:val="21"/>
        </w:rPr>
        <w:t>suit</w:t>
      </w:r>
      <w:r>
        <w:rPr>
          <w:sz w:val="21"/>
        </w:rPr>
        <w:t> </w:t>
      </w:r>
      <w:r>
        <w:rPr>
          <w:w w:val="100"/>
          <w:sz w:val="21"/>
        </w:rPr>
        <w:t>for</w:t>
      </w:r>
      <w:r>
        <w:rPr>
          <w:sz w:val="21"/>
        </w:rPr>
        <w:t> </w:t>
      </w:r>
      <w:r>
        <w:rPr>
          <w:w w:val="100"/>
          <w:sz w:val="21"/>
        </w:rPr>
        <w:t>declaration</w:t>
      </w:r>
      <w:r>
        <w:rPr>
          <w:sz w:val="21"/>
        </w:rPr>
        <w:t> </w:t>
      </w:r>
      <w:r>
        <w:rPr>
          <w:w w:val="100"/>
          <w:sz w:val="21"/>
        </w:rPr>
        <w:t>of</w:t>
      </w:r>
      <w:r>
        <w:rPr>
          <w:sz w:val="21"/>
        </w:rPr>
        <w:t> </w:t>
      </w:r>
      <w:r>
        <w:rPr>
          <w:w w:val="100"/>
          <w:sz w:val="21"/>
        </w:rPr>
        <w:t>title</w:t>
      </w:r>
      <w:r>
        <w:rPr>
          <w:sz w:val="21"/>
        </w:rPr>
        <w:t> </w:t>
      </w:r>
      <w:r>
        <w:rPr>
          <w:w w:val="100"/>
          <w:sz w:val="21"/>
        </w:rPr>
        <w:t>to</w:t>
      </w:r>
      <w:r>
        <w:rPr>
          <w:sz w:val="21"/>
        </w:rPr>
        <w:t> </w:t>
      </w:r>
      <w:r>
        <w:rPr>
          <w:w w:val="100"/>
          <w:sz w:val="21"/>
        </w:rPr>
        <w:t>property</w:t>
      </w:r>
      <w:r>
        <w:rPr>
          <w:sz w:val="21"/>
        </w:rPr>
        <w:t> </w:t>
      </w:r>
      <w:r>
        <w:rPr>
          <w:w w:val="100"/>
          <w:sz w:val="21"/>
        </w:rPr>
        <w:t>filed </w:t>
      </w:r>
      <w:r>
        <w:rPr>
          <w:sz w:val="21"/>
        </w:rPr>
        <w:t>when it stands attached under Section 145 of the Code, it is not necessary to ask for the further relief of delivery of possession. The fact, if it be so, that in the case of such an attachment, the Magistrate holds possession on behalf of the party whom he ultimately finds to have been in possession is, in our opinion, irrelevant. On the question however whether the Magistrate actually does so or not, it is unnecessary to express any opinion in the present case.</w:t>
      </w:r>
    </w:p>
    <w:p>
      <w:pPr>
        <w:spacing w:line="276" w:lineRule="auto" w:before="0"/>
        <w:ind w:left="1940" w:right="2260" w:firstLine="0"/>
        <w:jc w:val="both"/>
        <w:rPr>
          <w:sz w:val="21"/>
        </w:rPr>
      </w:pPr>
      <w:r>
        <w:rPr>
          <w:sz w:val="21"/>
        </w:rPr>
        <w:t>5. The authorities clearly show that where the defendant is not in possession and not in a position to deliver possession to the plaintiff it is not necessary for the plaintiff in a suit for a declaration of title to property to claim possession: see </w:t>
      </w:r>
      <w:r>
        <w:rPr>
          <w:i/>
          <w:sz w:val="21"/>
        </w:rPr>
        <w:t>Sunder Singh — Mallah Singh Sanatan Dharam High School, </w:t>
      </w:r>
      <w:r>
        <w:rPr>
          <w:i/>
          <w:sz w:val="21"/>
        </w:rPr>
        <w:t>Trust v. Managing Committee, Sunder Singh-Mallah Singh Rajput High School [(1957) LR 65 IA 106] </w:t>
      </w:r>
      <w:r>
        <w:rPr>
          <w:sz w:val="21"/>
        </w:rPr>
        <w:t>. Now it is obvious that in the present case, the respondents were not in possession after the attachment and were not in a position to deliver possession to the appellants. The Magistrate was in possession, for whomsoever, it does not matter, and he was not of course a party to the suit. It is pertinent to observe that in </w:t>
      </w:r>
      <w:r>
        <w:rPr>
          <w:i/>
          <w:sz w:val="21"/>
        </w:rPr>
        <w:t>Nawab Humayun Begam v. Nawab Shah Mohammad Khan </w:t>
      </w:r>
      <w:r>
        <w:rPr>
          <w:i/>
          <w:sz w:val="21"/>
        </w:rPr>
        <w:t>[AIR (1943) PC 94] </w:t>
      </w:r>
      <w:r>
        <w:rPr>
          <w:sz w:val="21"/>
        </w:rPr>
        <w:t>it has been held that the further relief contemplated by the proviso to Section 42 of the Specific Relief Act is relief against the defendant only. </w:t>
      </w:r>
      <w:r>
        <w:rPr>
          <w:spacing w:val="3"/>
          <w:sz w:val="21"/>
        </w:rPr>
        <w:t>We </w:t>
      </w:r>
      <w:r>
        <w:rPr>
          <w:sz w:val="21"/>
        </w:rPr>
        <w:t>may add that in </w:t>
      </w:r>
      <w:r>
        <w:rPr>
          <w:i/>
          <w:sz w:val="21"/>
        </w:rPr>
        <w:t>K. Sundaresa Iyer v. Sarvajana Sowkiabil Virdhi Nidhi </w:t>
      </w:r>
      <w:r>
        <w:rPr>
          <w:i/>
          <w:sz w:val="21"/>
        </w:rPr>
        <w:t>Ltd. [(1939) ILR Mad 986] </w:t>
      </w:r>
      <w:r>
        <w:rPr>
          <w:sz w:val="21"/>
        </w:rPr>
        <w:t>it was held that it</w:t>
      </w:r>
      <w:r>
        <w:rPr>
          <w:spacing w:val="9"/>
          <w:sz w:val="21"/>
        </w:rPr>
        <w:t> </w:t>
      </w:r>
      <w:r>
        <w:rPr>
          <w:sz w:val="21"/>
        </w:rPr>
        <w:t>was not</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sz w:val="21"/>
        </w:rPr>
      </w:pPr>
      <w:r>
        <w:rPr>
          <w:sz w:val="21"/>
        </w:rPr>
        <w:t>necessary to ask for possession when property was in custodia legis. There is no doubt that property under attachment under Section 145 of the Code is in  </w:t>
      </w:r>
      <w:r>
        <w:rPr>
          <w:i/>
          <w:sz w:val="21"/>
        </w:rPr>
        <w:t>custodia </w:t>
      </w:r>
      <w:r>
        <w:rPr>
          <w:i/>
          <w:sz w:val="21"/>
        </w:rPr>
        <w:t>legis</w:t>
      </w:r>
      <w:r>
        <w:rPr>
          <w:sz w:val="21"/>
        </w:rPr>
        <w:t>. These cases clearly establish that it was not necessary for the appellants to have asked for</w:t>
      </w:r>
      <w:r>
        <w:rPr>
          <w:spacing w:val="-19"/>
          <w:sz w:val="21"/>
        </w:rPr>
        <w:t> </w:t>
      </w:r>
      <w:r>
        <w:rPr>
          <w:sz w:val="21"/>
        </w:rPr>
        <w:t>possession.‖</w:t>
      </w:r>
    </w:p>
    <w:p>
      <w:pPr>
        <w:pStyle w:val="BodyText"/>
        <w:spacing w:before="10"/>
        <w:rPr>
          <w:sz w:val="24"/>
        </w:rPr>
      </w:pPr>
    </w:p>
    <w:p>
      <w:pPr>
        <w:pStyle w:val="ListParagraph"/>
        <w:numPr>
          <w:ilvl w:val="0"/>
          <w:numId w:val="88"/>
        </w:numPr>
        <w:tabs>
          <w:tab w:pos="1221" w:val="left" w:leader="none"/>
        </w:tabs>
        <w:spacing w:line="480" w:lineRule="auto" w:before="0" w:after="0"/>
        <w:ind w:left="1220" w:right="441" w:hanging="720"/>
        <w:jc w:val="both"/>
        <w:rPr>
          <w:sz w:val="25"/>
        </w:rPr>
      </w:pPr>
      <w:r>
        <w:rPr>
          <w:sz w:val="25"/>
        </w:rPr>
        <w:t>In </w:t>
      </w:r>
      <w:r>
        <w:rPr>
          <w:b/>
          <w:sz w:val="25"/>
        </w:rPr>
        <w:t>Shanti Kumar Panda</w:t>
      </w:r>
      <w:r>
        <w:rPr>
          <w:sz w:val="25"/>
        </w:rPr>
        <w:t>, this Court formulated the legal principles governing the effect of the order of a Magistrate under Section 145/146 when legal proceedings are instituted before a court of competent jurisdiction:</w:t>
      </w:r>
    </w:p>
    <w:p>
      <w:pPr>
        <w:spacing w:line="276" w:lineRule="auto" w:before="102"/>
        <w:ind w:left="1940" w:right="2260" w:firstLine="0"/>
        <w:jc w:val="both"/>
        <w:rPr>
          <w:sz w:val="21"/>
        </w:rPr>
      </w:pPr>
      <w:r>
        <w:rPr>
          <w:w w:val="33"/>
          <w:sz w:val="21"/>
        </w:rPr>
        <w:t>―</w:t>
      </w:r>
      <w:r>
        <w:rPr>
          <w:w w:val="100"/>
          <w:sz w:val="21"/>
        </w:rPr>
        <w:t>(1)</w:t>
      </w:r>
      <w:r>
        <w:rPr>
          <w:sz w:val="21"/>
        </w:rPr>
        <w:t> </w:t>
      </w:r>
      <w:r>
        <w:rPr>
          <w:w w:val="100"/>
          <w:sz w:val="21"/>
        </w:rPr>
        <w:t>The</w:t>
      </w:r>
      <w:r>
        <w:rPr>
          <w:sz w:val="21"/>
        </w:rPr>
        <w:t> </w:t>
      </w:r>
      <w:r>
        <w:rPr>
          <w:w w:val="100"/>
          <w:sz w:val="21"/>
        </w:rPr>
        <w:t>words</w:t>
      </w:r>
      <w:r>
        <w:rPr>
          <w:sz w:val="21"/>
        </w:rPr>
        <w:t> </w:t>
      </w:r>
      <w:r>
        <w:rPr>
          <w:w w:val="33"/>
          <w:sz w:val="21"/>
        </w:rPr>
        <w:t>―</w:t>
      </w:r>
      <w:r>
        <w:rPr>
          <w:w w:val="100"/>
          <w:sz w:val="21"/>
        </w:rPr>
        <w:t>competent</w:t>
      </w:r>
      <w:r>
        <w:rPr>
          <w:sz w:val="21"/>
        </w:rPr>
        <w:t> </w:t>
      </w:r>
      <w:r>
        <w:rPr>
          <w:w w:val="100"/>
          <w:sz w:val="21"/>
        </w:rPr>
        <w:t>court</w:t>
      </w:r>
      <w:r>
        <w:rPr>
          <w:w w:val="81"/>
          <w:sz w:val="21"/>
        </w:rPr>
        <w:t>‖</w:t>
      </w:r>
      <w:r>
        <w:rPr>
          <w:sz w:val="21"/>
        </w:rPr>
        <w:t> </w:t>
      </w:r>
      <w:r>
        <w:rPr>
          <w:w w:val="100"/>
          <w:sz w:val="21"/>
        </w:rPr>
        <w:t>as</w:t>
      </w:r>
      <w:r>
        <w:rPr>
          <w:sz w:val="21"/>
        </w:rPr>
        <w:t> </w:t>
      </w:r>
      <w:r>
        <w:rPr>
          <w:w w:val="100"/>
          <w:sz w:val="21"/>
        </w:rPr>
        <w:t>used</w:t>
      </w:r>
      <w:r>
        <w:rPr>
          <w:sz w:val="21"/>
        </w:rPr>
        <w:t> </w:t>
      </w:r>
      <w:r>
        <w:rPr>
          <w:w w:val="100"/>
          <w:sz w:val="21"/>
        </w:rPr>
        <w:t>in</w:t>
      </w:r>
      <w:r>
        <w:rPr>
          <w:sz w:val="21"/>
        </w:rPr>
        <w:t> </w:t>
      </w:r>
      <w:r>
        <w:rPr>
          <w:w w:val="100"/>
          <w:sz w:val="21"/>
        </w:rPr>
        <w:t>sub-sect</w:t>
      </w:r>
      <w:r>
        <w:rPr>
          <w:w w:val="100"/>
          <w:sz w:val="21"/>
        </w:rPr>
        <w:t>i</w:t>
      </w:r>
      <w:r>
        <w:rPr>
          <w:w w:val="100"/>
          <w:sz w:val="21"/>
        </w:rPr>
        <w:t>on</w:t>
      </w:r>
      <w:r>
        <w:rPr>
          <w:sz w:val="21"/>
        </w:rPr>
        <w:t> </w:t>
      </w:r>
      <w:r>
        <w:rPr>
          <w:w w:val="100"/>
          <w:sz w:val="21"/>
        </w:rPr>
        <w:t>(</w:t>
      </w:r>
      <w:r>
        <w:rPr>
          <w:w w:val="100"/>
          <w:sz w:val="21"/>
        </w:rPr>
        <w:t>1) </w:t>
      </w:r>
      <w:r>
        <w:rPr>
          <w:sz w:val="21"/>
        </w:rPr>
        <w:t>of Section 146 of the Code do not necessarily mean a civil court only. A competent court is one which has the jurisdictional competence to determine the question of title or the rights of the parties with regard to the entitlement as to possession over the property forming the subject-matter of proceedings before the Executive Magistrate:</w:t>
      </w:r>
    </w:p>
    <w:p>
      <w:pPr>
        <w:pStyle w:val="ListParagraph"/>
        <w:numPr>
          <w:ilvl w:val="0"/>
          <w:numId w:val="89"/>
        </w:numPr>
        <w:tabs>
          <w:tab w:pos="2303" w:val="left" w:leader="none"/>
        </w:tabs>
        <w:spacing w:line="276" w:lineRule="auto" w:before="0" w:after="0"/>
        <w:ind w:left="1940" w:right="2260" w:firstLine="0"/>
        <w:jc w:val="both"/>
        <w:rPr>
          <w:b/>
          <w:sz w:val="21"/>
        </w:rPr>
      </w:pPr>
      <w:r>
        <w:rPr>
          <w:sz w:val="21"/>
        </w:rPr>
        <w:t>A party unsuccessful in an order under Section 145(1) would initiate proceedings in a competent court to establish  its entitlement to possession over the disputed property against the successful party. Ordinarily, a relief of recovery of possession would be appropriate to be sought for. </w:t>
      </w:r>
      <w:r>
        <w:rPr>
          <w:b/>
          <w:sz w:val="21"/>
        </w:rPr>
        <w:t>In legal proceedings initiated before a competent court consequent upon attachment under Section 146(1) of the Code it is not necessary to seek relief of recovery of possession. </w:t>
      </w:r>
      <w:r>
        <w:rPr>
          <w:b/>
          <w:spacing w:val="-4"/>
          <w:sz w:val="21"/>
        </w:rPr>
        <w:t>As </w:t>
      </w:r>
      <w:r>
        <w:rPr>
          <w:b/>
          <w:sz w:val="21"/>
        </w:rPr>
        <w:t>the property is held </w:t>
      </w:r>
      <w:r>
        <w:rPr>
          <w:b/>
          <w:i/>
          <w:sz w:val="21"/>
        </w:rPr>
        <w:t>custodia legis </w:t>
      </w:r>
      <w:r>
        <w:rPr>
          <w:b/>
          <w:sz w:val="21"/>
        </w:rPr>
        <w:t>by the Magistrate for and on behalf of the party who would ultimately succeed from the court, it would suffice if only determination of the rights with regard to the entitlement to the possession is sought for. Such a suit shall not be bad for not asking for the relief of</w:t>
      </w:r>
      <w:r>
        <w:rPr>
          <w:b/>
          <w:spacing w:val="-9"/>
          <w:sz w:val="21"/>
        </w:rPr>
        <w:t> </w:t>
      </w:r>
      <w:r>
        <w:rPr>
          <w:b/>
          <w:sz w:val="21"/>
        </w:rPr>
        <w:t>possession.</w:t>
      </w:r>
    </w:p>
    <w:p>
      <w:pPr>
        <w:pStyle w:val="ListParagraph"/>
        <w:numPr>
          <w:ilvl w:val="0"/>
          <w:numId w:val="89"/>
        </w:numPr>
        <w:tabs>
          <w:tab w:pos="2265" w:val="left" w:leader="none"/>
        </w:tabs>
        <w:spacing w:line="276" w:lineRule="auto" w:before="1" w:after="0"/>
        <w:ind w:left="1940" w:right="2261" w:firstLine="0"/>
        <w:jc w:val="both"/>
        <w:rPr>
          <w:sz w:val="21"/>
        </w:rPr>
      </w:pPr>
      <w:r>
        <w:rPr>
          <w:sz w:val="21"/>
        </w:rPr>
        <w:t>A decision by a criminal court does not bind the civil court while a decision by the civil court binds the criminal court. An order passed by the Executive Magistrate in proceedings under Sections 145/146 of the Code is an order by a criminal court and that too based on a summary enquiry. The order is entitled to respect and weight before the competent court at the interlocutory stage. At the stage of final adjudication of rights, which would be on the evidence adduced before the court, the order of the Magistrate is only one out of several pieces of</w:t>
      </w:r>
      <w:r>
        <w:rPr>
          <w:spacing w:val="-2"/>
          <w:sz w:val="21"/>
        </w:rPr>
        <w:t> </w:t>
      </w:r>
      <w:r>
        <w:rPr>
          <w:sz w:val="21"/>
        </w:rPr>
        <w:t>evidence.</w:t>
      </w:r>
    </w:p>
    <w:p>
      <w:pPr>
        <w:pStyle w:val="ListParagraph"/>
        <w:numPr>
          <w:ilvl w:val="0"/>
          <w:numId w:val="89"/>
        </w:numPr>
        <w:tabs>
          <w:tab w:pos="2334" w:val="left" w:leader="none"/>
        </w:tabs>
        <w:spacing w:line="276" w:lineRule="auto" w:before="0" w:after="0"/>
        <w:ind w:left="1940" w:right="2263" w:firstLine="0"/>
        <w:jc w:val="both"/>
        <w:rPr>
          <w:sz w:val="21"/>
        </w:rPr>
      </w:pPr>
      <w:r>
        <w:rPr>
          <w:sz w:val="21"/>
        </w:rPr>
        <w:t>The court will be loath to issue an order of interim injunction or to order an interim arrangement inconsistent with the one made by the Executive Magistrate. However, to say so</w:t>
      </w:r>
      <w:r>
        <w:rPr>
          <w:spacing w:val="13"/>
          <w:sz w:val="21"/>
        </w:rPr>
        <w:t> </w:t>
      </w:r>
      <w:r>
        <w:rPr>
          <w:sz w:val="21"/>
        </w:rPr>
        <w:t>is</w:t>
      </w:r>
      <w:r>
        <w:rPr>
          <w:spacing w:val="11"/>
          <w:sz w:val="21"/>
        </w:rPr>
        <w:t> </w:t>
      </w:r>
      <w:r>
        <w:rPr>
          <w:sz w:val="21"/>
        </w:rPr>
        <w:t>merely</w:t>
      </w:r>
      <w:r>
        <w:rPr>
          <w:spacing w:val="12"/>
          <w:sz w:val="21"/>
        </w:rPr>
        <w:t> </w:t>
      </w:r>
      <w:r>
        <w:rPr>
          <w:sz w:val="21"/>
        </w:rPr>
        <w:t>stating</w:t>
      </w:r>
      <w:r>
        <w:rPr>
          <w:spacing w:val="13"/>
          <w:sz w:val="21"/>
        </w:rPr>
        <w:t> </w:t>
      </w:r>
      <w:r>
        <w:rPr>
          <w:sz w:val="21"/>
        </w:rPr>
        <w:t>a</w:t>
      </w:r>
      <w:r>
        <w:rPr>
          <w:spacing w:val="14"/>
          <w:sz w:val="21"/>
        </w:rPr>
        <w:t> </w:t>
      </w:r>
      <w:r>
        <w:rPr>
          <w:sz w:val="21"/>
        </w:rPr>
        <w:t>rule</w:t>
      </w:r>
      <w:r>
        <w:rPr>
          <w:spacing w:val="11"/>
          <w:sz w:val="21"/>
        </w:rPr>
        <w:t> </w:t>
      </w:r>
      <w:r>
        <w:rPr>
          <w:sz w:val="21"/>
        </w:rPr>
        <w:t>of</w:t>
      </w:r>
      <w:r>
        <w:rPr>
          <w:spacing w:val="15"/>
          <w:sz w:val="21"/>
        </w:rPr>
        <w:t> </w:t>
      </w:r>
      <w:r>
        <w:rPr>
          <w:sz w:val="21"/>
        </w:rPr>
        <w:t>caution</w:t>
      </w:r>
      <w:r>
        <w:rPr>
          <w:spacing w:val="13"/>
          <w:sz w:val="21"/>
        </w:rPr>
        <w:t> </w:t>
      </w:r>
      <w:r>
        <w:rPr>
          <w:sz w:val="21"/>
        </w:rPr>
        <w:t>or</w:t>
      </w:r>
      <w:r>
        <w:rPr>
          <w:spacing w:val="13"/>
          <w:sz w:val="21"/>
        </w:rPr>
        <w:t> </w:t>
      </w:r>
      <w:r>
        <w:rPr>
          <w:sz w:val="21"/>
        </w:rPr>
        <w:t>restraint,</w:t>
      </w:r>
      <w:r>
        <w:rPr>
          <w:spacing w:val="12"/>
          <w:sz w:val="21"/>
        </w:rPr>
        <w:t> </w:t>
      </w:r>
      <w:r>
        <w:rPr>
          <w:sz w:val="21"/>
        </w:rPr>
        <w:t>on</w:t>
      </w:r>
      <w:r>
        <w:rPr>
          <w:spacing w:val="12"/>
          <w:sz w:val="21"/>
        </w:rPr>
        <w:t> </w:t>
      </w:r>
      <w:r>
        <w:rPr>
          <w:sz w:val="21"/>
        </w:rPr>
        <w:t>exercise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sz w:val="21"/>
        </w:rPr>
      </w:pPr>
      <w:r>
        <w:rPr>
          <w:sz w:val="21"/>
        </w:rPr>
        <w:t>of discretion by court, dictated by prudence and regard for the urgent/emergent executive orders made within jurisdiction by their makers; and certainly not a tab on the power of court. The court does have jurisdiction to make an interim order including an order of ad interim injunction inconsistent with the order of the Executive Magistrate. The jurisdiction is there but the same shall be exercised not as a rule but as an exception. Even at the stage of passing an ad interim order the party unsuccessful before the Executive Magistrate may on material placed before the court succeed in making out a strong prima facie case demonstrating the findings of the Executive Magistrate to be without jurisdiction, palpably wrong or self-inconsistent in which or the like cases the court may, after recording its reasons and satisfaction, make an order inconsistent with, or in departure from, the one made by the Executive Magistrate. The order of the court — final or interlocutory, would have the effect of declaring one of the parties entitled to possession and evicting therefrom the party successful before the Executive Magistrate within the meaning of sub-section (6) of Section</w:t>
      </w:r>
      <w:r>
        <w:rPr>
          <w:spacing w:val="-10"/>
          <w:sz w:val="21"/>
        </w:rPr>
        <w:t> </w:t>
      </w:r>
      <w:r>
        <w:rPr>
          <w:sz w:val="21"/>
        </w:rPr>
        <w:t>145.‖</w:t>
      </w:r>
    </w:p>
    <w:p>
      <w:pPr>
        <w:spacing w:before="1"/>
        <w:ind w:left="5440" w:right="0" w:firstLine="0"/>
        <w:jc w:val="both"/>
        <w:rPr>
          <w:sz w:val="21"/>
        </w:rPr>
      </w:pPr>
      <w:r>
        <w:rPr>
          <w:sz w:val="21"/>
        </w:rPr>
        <w:t>(Emphasis supplied)</w:t>
      </w:r>
    </w:p>
    <w:p>
      <w:pPr>
        <w:pStyle w:val="BodyText"/>
        <w:rPr>
          <w:sz w:val="24"/>
        </w:rPr>
      </w:pPr>
    </w:p>
    <w:p>
      <w:pPr>
        <w:pStyle w:val="BodyText"/>
        <w:rPr>
          <w:sz w:val="24"/>
        </w:rPr>
      </w:pPr>
    </w:p>
    <w:p>
      <w:pPr>
        <w:spacing w:line="480" w:lineRule="auto" w:before="175"/>
        <w:ind w:left="500" w:right="431" w:firstLine="0"/>
        <w:jc w:val="left"/>
        <w:rPr>
          <w:sz w:val="25"/>
        </w:rPr>
      </w:pPr>
      <w:r>
        <w:rPr>
          <w:sz w:val="25"/>
        </w:rPr>
        <w:t>The above formulation is essentially a restatement of the principles which emerge from a consistent line of precedent of the Court [See also </w:t>
      </w:r>
      <w:r>
        <w:rPr>
          <w:b/>
          <w:sz w:val="25"/>
        </w:rPr>
        <w:t>Jhummamal alias Devandas </w:t>
      </w:r>
      <w:r>
        <w:rPr>
          <w:sz w:val="25"/>
        </w:rPr>
        <w:t>v </w:t>
      </w:r>
      <w:r>
        <w:rPr>
          <w:b/>
          <w:sz w:val="25"/>
        </w:rPr>
        <w:t>State of Madhya Pradesh</w:t>
      </w:r>
      <w:r>
        <w:rPr>
          <w:sz w:val="25"/>
          <w:vertAlign w:val="superscript"/>
        </w:rPr>
        <w:t>148</w:t>
      </w:r>
      <w:r>
        <w:rPr>
          <w:sz w:val="25"/>
          <w:vertAlign w:val="baseline"/>
        </w:rPr>
        <w:t>.]</w:t>
      </w:r>
    </w:p>
    <w:p>
      <w:pPr>
        <w:pStyle w:val="BodyText"/>
        <w:rPr>
          <w:sz w:val="32"/>
        </w:rPr>
      </w:pPr>
    </w:p>
    <w:p>
      <w:pPr>
        <w:pStyle w:val="ListParagraph"/>
        <w:numPr>
          <w:ilvl w:val="0"/>
          <w:numId w:val="3"/>
        </w:numPr>
        <w:tabs>
          <w:tab w:pos="1221" w:val="left" w:leader="none"/>
        </w:tabs>
        <w:spacing w:line="480" w:lineRule="auto" w:before="206" w:after="0"/>
        <w:ind w:left="500" w:right="442" w:firstLine="0"/>
        <w:jc w:val="both"/>
        <w:rPr>
          <w:sz w:val="25"/>
        </w:rPr>
      </w:pPr>
      <w:r>
        <w:rPr>
          <w:sz w:val="25"/>
        </w:rPr>
        <w:t>Where a suit is instituted for possession or for declaration of title before a competent civil court, the proceedings under Section 145 should not continue. This Court has analysed the above proposition of law in the following</w:t>
      </w:r>
      <w:r>
        <w:rPr>
          <w:spacing w:val="-18"/>
          <w:sz w:val="25"/>
        </w:rPr>
        <w:t> </w:t>
      </w:r>
      <w:r>
        <w:rPr>
          <w:sz w:val="25"/>
        </w:rPr>
        <w:t>cases:</w:t>
      </w:r>
    </w:p>
    <w:p>
      <w:pPr>
        <w:pStyle w:val="BodyText"/>
        <w:spacing w:before="9"/>
        <w:rPr>
          <w:sz w:val="24"/>
        </w:rPr>
      </w:pPr>
    </w:p>
    <w:p>
      <w:pPr>
        <w:spacing w:line="482" w:lineRule="auto" w:before="0"/>
        <w:ind w:left="1220" w:right="460" w:hanging="720"/>
        <w:jc w:val="both"/>
        <w:rPr>
          <w:sz w:val="25"/>
        </w:rPr>
      </w:pPr>
      <w:r>
        <w:rPr>
          <w:sz w:val="25"/>
        </w:rPr>
        <w:t>(i) In </w:t>
      </w:r>
      <w:r>
        <w:rPr>
          <w:b/>
          <w:sz w:val="25"/>
        </w:rPr>
        <w:t>Amresh Tiwari </w:t>
      </w:r>
      <w:r>
        <w:rPr>
          <w:sz w:val="25"/>
        </w:rPr>
        <w:t>v </w:t>
      </w:r>
      <w:r>
        <w:rPr>
          <w:b/>
          <w:sz w:val="25"/>
        </w:rPr>
        <w:t>Lalta  Prasad  Dubey</w:t>
      </w:r>
      <w:r>
        <w:rPr>
          <w:sz w:val="25"/>
          <w:vertAlign w:val="superscript"/>
        </w:rPr>
        <w:t>149</w:t>
      </w:r>
      <w:r>
        <w:rPr>
          <w:sz w:val="25"/>
          <w:vertAlign w:val="baseline"/>
        </w:rPr>
        <w:t>,  Justice  S  N  Variava, speaking for a three judge Bench of this Court held</w:t>
      </w:r>
      <w:r>
        <w:rPr>
          <w:spacing w:val="-5"/>
          <w:sz w:val="25"/>
          <w:vertAlign w:val="baseline"/>
        </w:rPr>
        <w:t> </w:t>
      </w:r>
      <w:r>
        <w:rPr>
          <w:sz w:val="25"/>
          <w:vertAlign w:val="baseline"/>
        </w:rPr>
        <w:t>thus:</w:t>
      </w:r>
    </w:p>
    <w:p>
      <w:pPr>
        <w:spacing w:line="276" w:lineRule="auto" w:before="197"/>
        <w:ind w:left="1940" w:right="2262" w:firstLine="0"/>
        <w:jc w:val="both"/>
        <w:rPr>
          <w:sz w:val="21"/>
        </w:rPr>
      </w:pPr>
      <w:r>
        <w:rPr>
          <w:spacing w:val="-1"/>
          <w:w w:val="33"/>
          <w:sz w:val="21"/>
        </w:rPr>
        <w:t>―</w:t>
      </w:r>
      <w:r>
        <w:rPr>
          <w:spacing w:val="-1"/>
          <w:w w:val="100"/>
          <w:sz w:val="21"/>
        </w:rPr>
        <w:t>12</w:t>
      </w:r>
      <w:r>
        <w:rPr>
          <w:w w:val="100"/>
          <w:sz w:val="21"/>
        </w:rPr>
        <w:t>…</w:t>
      </w:r>
      <w:r>
        <w:rPr>
          <w:spacing w:val="13"/>
          <w:sz w:val="21"/>
        </w:rPr>
        <w:t> </w:t>
      </w:r>
      <w:r>
        <w:rPr>
          <w:w w:val="100"/>
          <w:sz w:val="21"/>
        </w:rPr>
        <w:t>The</w:t>
      </w:r>
      <w:r>
        <w:rPr>
          <w:spacing w:val="13"/>
          <w:sz w:val="21"/>
        </w:rPr>
        <w:t> </w:t>
      </w:r>
      <w:r>
        <w:rPr>
          <w:w w:val="100"/>
          <w:sz w:val="21"/>
        </w:rPr>
        <w:t>l</w:t>
      </w:r>
      <w:r>
        <w:rPr>
          <w:spacing w:val="-1"/>
          <w:w w:val="100"/>
          <w:sz w:val="21"/>
        </w:rPr>
        <w:t>a</w:t>
      </w:r>
      <w:r>
        <w:rPr>
          <w:w w:val="100"/>
          <w:sz w:val="21"/>
        </w:rPr>
        <w:t>w</w:t>
      </w:r>
      <w:r>
        <w:rPr>
          <w:spacing w:val="12"/>
          <w:sz w:val="21"/>
        </w:rPr>
        <w:t> </w:t>
      </w:r>
      <w:r>
        <w:rPr>
          <w:spacing w:val="-1"/>
          <w:w w:val="100"/>
          <w:sz w:val="21"/>
        </w:rPr>
        <w:t>o</w:t>
      </w:r>
      <w:r>
        <w:rPr>
          <w:w w:val="100"/>
          <w:sz w:val="21"/>
        </w:rPr>
        <w:t>n</w:t>
      </w:r>
      <w:r>
        <w:rPr>
          <w:spacing w:val="16"/>
          <w:sz w:val="21"/>
        </w:rPr>
        <w:t> </w:t>
      </w:r>
      <w:r>
        <w:rPr>
          <w:spacing w:val="-2"/>
          <w:w w:val="100"/>
          <w:sz w:val="21"/>
        </w:rPr>
        <w:t>t</w:t>
      </w:r>
      <w:r>
        <w:rPr>
          <w:spacing w:val="-3"/>
          <w:w w:val="100"/>
          <w:sz w:val="21"/>
        </w:rPr>
        <w:t>h</w:t>
      </w:r>
      <w:r>
        <w:rPr>
          <w:w w:val="100"/>
          <w:sz w:val="21"/>
        </w:rPr>
        <w:t>is</w:t>
      </w:r>
      <w:r>
        <w:rPr>
          <w:spacing w:val="15"/>
          <w:sz w:val="21"/>
        </w:rPr>
        <w:t> </w:t>
      </w:r>
      <w:r>
        <w:rPr>
          <w:spacing w:val="-3"/>
          <w:w w:val="100"/>
          <w:sz w:val="21"/>
        </w:rPr>
        <w:t>su</w:t>
      </w:r>
      <w:r>
        <w:rPr>
          <w:spacing w:val="-1"/>
          <w:w w:val="100"/>
          <w:sz w:val="21"/>
        </w:rPr>
        <w:t>b</w:t>
      </w:r>
      <w:r>
        <w:rPr>
          <w:spacing w:val="1"/>
          <w:w w:val="100"/>
          <w:sz w:val="21"/>
        </w:rPr>
        <w:t>j</w:t>
      </w:r>
      <w:r>
        <w:rPr>
          <w:spacing w:val="-1"/>
          <w:w w:val="100"/>
          <w:sz w:val="21"/>
        </w:rPr>
        <w:t>ec</w:t>
      </w:r>
      <w:r>
        <w:rPr>
          <w:spacing w:val="1"/>
          <w:w w:val="100"/>
          <w:sz w:val="21"/>
        </w:rPr>
        <w:t>t</w:t>
      </w:r>
      <w:r>
        <w:rPr>
          <w:spacing w:val="-4"/>
          <w:w w:val="100"/>
          <w:sz w:val="21"/>
        </w:rPr>
        <w:t>-</w:t>
      </w:r>
      <w:r>
        <w:rPr>
          <w:spacing w:val="1"/>
          <w:w w:val="100"/>
          <w:sz w:val="21"/>
        </w:rPr>
        <w:t>m</w:t>
      </w:r>
      <w:r>
        <w:rPr>
          <w:w w:val="100"/>
          <w:sz w:val="21"/>
        </w:rPr>
        <w:t>a</w:t>
      </w:r>
      <w:r>
        <w:rPr>
          <w:spacing w:val="-1"/>
          <w:w w:val="100"/>
          <w:sz w:val="21"/>
        </w:rPr>
        <w:t>t</w:t>
      </w:r>
      <w:r>
        <w:rPr>
          <w:spacing w:val="-2"/>
          <w:w w:val="100"/>
          <w:sz w:val="21"/>
        </w:rPr>
        <w:t>t</w:t>
      </w:r>
      <w:r>
        <w:rPr>
          <w:w w:val="100"/>
          <w:sz w:val="21"/>
        </w:rPr>
        <w:t>er</w:t>
      </w:r>
      <w:r>
        <w:rPr>
          <w:spacing w:val="12"/>
          <w:sz w:val="21"/>
        </w:rPr>
        <w:t> </w:t>
      </w:r>
      <w:r>
        <w:rPr>
          <w:w w:val="100"/>
          <w:sz w:val="21"/>
        </w:rPr>
        <w:t>has</w:t>
      </w:r>
      <w:r>
        <w:rPr>
          <w:spacing w:val="13"/>
          <w:sz w:val="21"/>
        </w:rPr>
        <w:t> </w:t>
      </w:r>
      <w:r>
        <w:rPr>
          <w:w w:val="100"/>
          <w:sz w:val="21"/>
        </w:rPr>
        <w:t>be</w:t>
      </w:r>
      <w:r>
        <w:rPr>
          <w:spacing w:val="-2"/>
          <w:w w:val="100"/>
          <w:sz w:val="21"/>
        </w:rPr>
        <w:t>e</w:t>
      </w:r>
      <w:r>
        <w:rPr>
          <w:w w:val="100"/>
          <w:sz w:val="21"/>
        </w:rPr>
        <w:t>n</w:t>
      </w:r>
      <w:r>
        <w:rPr>
          <w:spacing w:val="16"/>
          <w:sz w:val="21"/>
        </w:rPr>
        <w:t> </w:t>
      </w:r>
      <w:r>
        <w:rPr>
          <w:w w:val="100"/>
          <w:sz w:val="21"/>
        </w:rPr>
        <w:t>se</w:t>
      </w:r>
      <w:r>
        <w:rPr>
          <w:spacing w:val="-4"/>
          <w:w w:val="100"/>
          <w:sz w:val="21"/>
        </w:rPr>
        <w:t>t</w:t>
      </w:r>
      <w:r>
        <w:rPr>
          <w:spacing w:val="-2"/>
          <w:w w:val="100"/>
          <w:sz w:val="21"/>
        </w:rPr>
        <w:t>t</w:t>
      </w:r>
      <w:r>
        <w:rPr>
          <w:w w:val="100"/>
          <w:sz w:val="21"/>
        </w:rPr>
        <w:t>l</w:t>
      </w:r>
      <w:r>
        <w:rPr>
          <w:w w:val="100"/>
          <w:sz w:val="21"/>
        </w:rPr>
        <w:t>ed</w:t>
      </w:r>
      <w:r>
        <w:rPr>
          <w:spacing w:val="16"/>
          <w:sz w:val="21"/>
        </w:rPr>
        <w:t> </w:t>
      </w:r>
      <w:r>
        <w:rPr>
          <w:w w:val="100"/>
          <w:sz w:val="21"/>
        </w:rPr>
        <w:t>by</w:t>
      </w:r>
      <w:r>
        <w:rPr>
          <w:spacing w:val="13"/>
          <w:sz w:val="21"/>
        </w:rPr>
        <w:t> </w:t>
      </w:r>
      <w:r>
        <w:rPr>
          <w:spacing w:val="-2"/>
          <w:w w:val="100"/>
          <w:sz w:val="21"/>
        </w:rPr>
        <w:t>t</w:t>
      </w:r>
      <w:r>
        <w:rPr>
          <w:w w:val="100"/>
          <w:sz w:val="21"/>
        </w:rPr>
        <w:t>he </w:t>
      </w:r>
      <w:r>
        <w:rPr>
          <w:sz w:val="21"/>
        </w:rPr>
        <w:t>decision of this Court in the case of Ram  Sumer  Puri  Mahant</w:t>
      </w:r>
      <w:r>
        <w:rPr>
          <w:spacing w:val="-2"/>
          <w:sz w:val="21"/>
        </w:rPr>
        <w:t> </w:t>
      </w:r>
      <w:r>
        <w:rPr>
          <w:sz w:val="21"/>
        </w:rPr>
        <w:t>v.</w:t>
      </w:r>
      <w:r>
        <w:rPr>
          <w:spacing w:val="-2"/>
          <w:sz w:val="21"/>
        </w:rPr>
        <w:t> </w:t>
      </w:r>
      <w:r>
        <w:rPr>
          <w:sz w:val="21"/>
        </w:rPr>
        <w:t>State</w:t>
      </w:r>
      <w:r>
        <w:rPr>
          <w:spacing w:val="18"/>
          <w:sz w:val="21"/>
        </w:rPr>
        <w:t> </w:t>
      </w:r>
      <w:r>
        <w:rPr>
          <w:sz w:val="21"/>
        </w:rPr>
        <w:t>of</w:t>
      </w:r>
      <w:r>
        <w:rPr>
          <w:spacing w:val="18"/>
          <w:sz w:val="21"/>
        </w:rPr>
        <w:t> </w:t>
      </w:r>
      <w:r>
        <w:rPr>
          <w:sz w:val="21"/>
        </w:rPr>
        <w:t>U.P.</w:t>
      </w:r>
      <w:r>
        <w:rPr>
          <w:spacing w:val="-1"/>
          <w:sz w:val="21"/>
        </w:rPr>
        <w:t> </w:t>
      </w:r>
      <w:r>
        <w:rPr>
          <w:sz w:val="21"/>
        </w:rPr>
        <w:t>[(1985)</w:t>
      </w:r>
      <w:r>
        <w:rPr>
          <w:spacing w:val="17"/>
          <w:sz w:val="21"/>
        </w:rPr>
        <w:t> </w:t>
      </w:r>
      <w:r>
        <w:rPr>
          <w:sz w:val="21"/>
        </w:rPr>
        <w:t>1</w:t>
      </w:r>
      <w:r>
        <w:rPr>
          <w:spacing w:val="16"/>
          <w:sz w:val="21"/>
        </w:rPr>
        <w:t> </w:t>
      </w:r>
      <w:r>
        <w:rPr>
          <w:sz w:val="21"/>
        </w:rPr>
        <w:t>SCC</w:t>
      </w:r>
      <w:r>
        <w:rPr>
          <w:spacing w:val="17"/>
          <w:sz w:val="21"/>
        </w:rPr>
        <w:t> </w:t>
      </w:r>
      <w:r>
        <w:rPr>
          <w:sz w:val="21"/>
        </w:rPr>
        <w:t>427</w:t>
      </w:r>
      <w:r>
        <w:rPr>
          <w:spacing w:val="18"/>
          <w:sz w:val="21"/>
        </w:rPr>
        <w:t> </w:t>
      </w:r>
      <w:r>
        <w:rPr>
          <w:sz w:val="21"/>
        </w:rPr>
        <w:t>:</w:t>
      </w:r>
      <w:r>
        <w:rPr>
          <w:spacing w:val="17"/>
          <w:sz w:val="21"/>
        </w:rPr>
        <w:t> </w:t>
      </w:r>
      <w:r>
        <w:rPr>
          <w:sz w:val="21"/>
        </w:rPr>
        <w:t>1985</w:t>
      </w:r>
      <w:r>
        <w:rPr>
          <w:spacing w:val="17"/>
          <w:sz w:val="21"/>
        </w:rPr>
        <w:t> </w:t>
      </w:r>
      <w:r>
        <w:rPr>
          <w:sz w:val="21"/>
        </w:rPr>
        <w:t>SCC</w:t>
      </w:r>
      <w:r>
        <w:rPr>
          <w:spacing w:val="19"/>
          <w:sz w:val="21"/>
        </w:rPr>
        <w:t> </w:t>
      </w:r>
      <w:r>
        <w:rPr>
          <w:sz w:val="21"/>
        </w:rPr>
        <w:t>(Cri)</w:t>
      </w:r>
    </w:p>
    <w:p>
      <w:pPr>
        <w:pStyle w:val="BodyText"/>
        <w:rPr>
          <w:sz w:val="20"/>
        </w:rPr>
      </w:pPr>
    </w:p>
    <w:p>
      <w:pPr>
        <w:pStyle w:val="BodyText"/>
        <w:spacing w:before="6"/>
        <w:rPr>
          <w:sz w:val="12"/>
        </w:rPr>
      </w:pPr>
      <w:r>
        <w:rPr/>
        <w:pict>
          <v:rect style="position:absolute;margin-left:72.024002pt;margin-top:9.165926pt;width:144.020pt;height:.599980pt;mso-position-horizontal-relative:page;mso-position-vertical-relative:paragraph;z-index:-1568512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148</w:t>
      </w:r>
      <w:r>
        <w:rPr>
          <w:sz w:val="18"/>
          <w:vertAlign w:val="baseline"/>
        </w:rPr>
        <w:t> (1988) 4 SCC 452</w:t>
      </w:r>
    </w:p>
    <w:p>
      <w:pPr>
        <w:spacing w:after="0"/>
        <w:jc w:val="left"/>
        <w:rPr>
          <w:sz w:val="18"/>
        </w:rPr>
        <w:sectPr>
          <w:headerReference w:type="default" r:id="rId104"/>
          <w:footerReference w:type="default" r:id="rId105"/>
          <w:pgSz w:w="11910" w:h="16840"/>
          <w:pgMar w:header="721" w:footer="1367" w:top="1300" w:bottom="1560" w:left="940" w:right="1000"/>
          <w:pgNumType w:start="149"/>
        </w:sectPr>
      </w:pPr>
    </w:p>
    <w:p>
      <w:pPr>
        <w:spacing w:line="276" w:lineRule="auto" w:before="122"/>
        <w:ind w:left="1940" w:right="2262" w:firstLine="0"/>
        <w:jc w:val="both"/>
        <w:rPr>
          <w:sz w:val="21"/>
        </w:rPr>
      </w:pPr>
      <w:r>
        <w:rPr>
          <w:sz w:val="21"/>
        </w:rPr>
        <w:t>98] In this case it has been held as follows: (SCC pp. 428-29, para 2)</w:t>
      </w:r>
    </w:p>
    <w:p>
      <w:pPr>
        <w:spacing w:line="276" w:lineRule="auto" w:before="0"/>
        <w:ind w:left="1940" w:right="2260"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w:t>
      </w:r>
      <w:r>
        <w:rPr>
          <w:w w:val="100"/>
          <w:sz w:val="21"/>
        </w:rPr>
        <w:t>n</w:t>
      </w:r>
      <w:r>
        <w:rPr>
          <w:spacing w:val="6"/>
          <w:sz w:val="21"/>
        </w:rPr>
        <w:t> </w:t>
      </w:r>
      <w:r>
        <w:rPr>
          <w:w w:val="100"/>
          <w:sz w:val="21"/>
        </w:rPr>
        <w:t>a</w:t>
      </w:r>
      <w:r>
        <w:rPr>
          <w:spacing w:val="8"/>
          <w:sz w:val="21"/>
        </w:rPr>
        <w:t> </w:t>
      </w:r>
      <w:r>
        <w:rPr>
          <w:spacing w:val="-3"/>
          <w:w w:val="100"/>
          <w:sz w:val="21"/>
        </w:rPr>
        <w:t>c</w:t>
      </w:r>
      <w:r>
        <w:rPr>
          <w:w w:val="100"/>
          <w:sz w:val="21"/>
        </w:rPr>
        <w:t>i</w:t>
      </w:r>
      <w:r>
        <w:rPr>
          <w:spacing w:val="-3"/>
          <w:w w:val="100"/>
          <w:sz w:val="21"/>
        </w:rPr>
        <w:t>v</w:t>
      </w:r>
      <w:r>
        <w:rPr>
          <w:w w:val="100"/>
          <w:sz w:val="21"/>
        </w:rPr>
        <w:t>il</w:t>
      </w:r>
      <w:r>
        <w:rPr>
          <w:spacing w:val="7"/>
          <w:sz w:val="21"/>
        </w:rPr>
        <w:t> </w:t>
      </w:r>
      <w:r>
        <w:rPr>
          <w:w w:val="100"/>
          <w:sz w:val="21"/>
        </w:rPr>
        <w:t>li</w:t>
      </w:r>
      <w:r>
        <w:rPr>
          <w:spacing w:val="-2"/>
          <w:w w:val="100"/>
          <w:sz w:val="21"/>
        </w:rPr>
        <w:t>ti</w:t>
      </w:r>
      <w:r>
        <w:rPr>
          <w:spacing w:val="-1"/>
          <w:w w:val="100"/>
          <w:sz w:val="21"/>
        </w:rPr>
        <w:t>gat</w:t>
      </w:r>
      <w:r>
        <w:rPr>
          <w:spacing w:val="-2"/>
          <w:w w:val="100"/>
          <w:sz w:val="21"/>
        </w:rPr>
        <w:t>i</w:t>
      </w:r>
      <w:r>
        <w:rPr>
          <w:spacing w:val="-1"/>
          <w:w w:val="100"/>
          <w:sz w:val="21"/>
        </w:rPr>
        <w:t>o</w:t>
      </w:r>
      <w:r>
        <w:rPr>
          <w:w w:val="100"/>
          <w:sz w:val="21"/>
        </w:rPr>
        <w:t>n</w:t>
      </w:r>
      <w:r>
        <w:rPr>
          <w:spacing w:val="6"/>
          <w:sz w:val="21"/>
        </w:rPr>
        <w:t> </w:t>
      </w:r>
      <w:r>
        <w:rPr>
          <w:w w:val="100"/>
          <w:sz w:val="21"/>
        </w:rPr>
        <w:t>is</w:t>
      </w:r>
      <w:r>
        <w:rPr>
          <w:spacing w:val="6"/>
          <w:sz w:val="21"/>
        </w:rPr>
        <w:t> </w:t>
      </w:r>
      <w:r>
        <w:rPr>
          <w:spacing w:val="-1"/>
          <w:w w:val="100"/>
          <w:sz w:val="21"/>
        </w:rPr>
        <w:t>pen</w:t>
      </w:r>
      <w:r>
        <w:rPr>
          <w:spacing w:val="-2"/>
          <w:w w:val="100"/>
          <w:sz w:val="21"/>
        </w:rPr>
        <w:t>d</w:t>
      </w:r>
      <w:r>
        <w:rPr>
          <w:w w:val="100"/>
          <w:sz w:val="21"/>
        </w:rPr>
        <w:t>i</w:t>
      </w:r>
      <w:r>
        <w:rPr>
          <w:spacing w:val="-3"/>
          <w:w w:val="100"/>
          <w:sz w:val="21"/>
        </w:rPr>
        <w:t>n</w:t>
      </w:r>
      <w:r>
        <w:rPr>
          <w:w w:val="100"/>
          <w:sz w:val="21"/>
        </w:rPr>
        <w:t>g</w:t>
      </w:r>
      <w:r>
        <w:rPr>
          <w:spacing w:val="8"/>
          <w:sz w:val="21"/>
        </w:rPr>
        <w:t> </w:t>
      </w:r>
      <w:r>
        <w:rPr>
          <w:spacing w:val="-2"/>
          <w:w w:val="100"/>
          <w:sz w:val="21"/>
        </w:rPr>
        <w:t>f</w:t>
      </w:r>
      <w:r>
        <w:rPr>
          <w:spacing w:val="-1"/>
          <w:w w:val="100"/>
          <w:sz w:val="21"/>
        </w:rPr>
        <w:t>o</w:t>
      </w:r>
      <w:r>
        <w:rPr>
          <w:w w:val="100"/>
          <w:sz w:val="21"/>
        </w:rPr>
        <w:t>r</w:t>
      </w:r>
      <w:r>
        <w:rPr>
          <w:spacing w:val="8"/>
          <w:sz w:val="21"/>
        </w:rPr>
        <w:t> </w:t>
      </w:r>
      <w:r>
        <w:rPr>
          <w:spacing w:val="-2"/>
          <w:w w:val="100"/>
          <w:sz w:val="21"/>
        </w:rPr>
        <w:t>t</w:t>
      </w:r>
      <w:r>
        <w:rPr>
          <w:spacing w:val="-1"/>
          <w:w w:val="100"/>
          <w:sz w:val="21"/>
        </w:rPr>
        <w:t>h</w:t>
      </w:r>
      <w:r>
        <w:rPr>
          <w:w w:val="100"/>
          <w:sz w:val="21"/>
        </w:rPr>
        <w:t>e</w:t>
      </w:r>
      <w:r>
        <w:rPr>
          <w:spacing w:val="8"/>
          <w:sz w:val="21"/>
        </w:rPr>
        <w:t> </w:t>
      </w:r>
      <w:r>
        <w:rPr>
          <w:spacing w:val="-1"/>
          <w:w w:val="100"/>
          <w:sz w:val="21"/>
        </w:rPr>
        <w:t>p</w:t>
      </w:r>
      <w:r>
        <w:rPr>
          <w:spacing w:val="-3"/>
          <w:w w:val="100"/>
          <w:sz w:val="21"/>
        </w:rPr>
        <w:t>r</w:t>
      </w:r>
      <w:r>
        <w:rPr>
          <w:spacing w:val="-1"/>
          <w:w w:val="100"/>
          <w:sz w:val="21"/>
        </w:rPr>
        <w:t>oper</w:t>
      </w:r>
      <w:r>
        <w:rPr>
          <w:spacing w:val="-2"/>
          <w:w w:val="100"/>
          <w:sz w:val="21"/>
        </w:rPr>
        <w:t>t</w:t>
      </w:r>
      <w:r>
        <w:rPr>
          <w:w w:val="100"/>
          <w:sz w:val="21"/>
        </w:rPr>
        <w:t>y</w:t>
      </w:r>
      <w:r>
        <w:rPr>
          <w:spacing w:val="6"/>
          <w:sz w:val="21"/>
        </w:rPr>
        <w:t> </w:t>
      </w:r>
      <w:r>
        <w:rPr>
          <w:spacing w:val="-2"/>
          <w:w w:val="100"/>
          <w:sz w:val="21"/>
        </w:rPr>
        <w:t>w</w:t>
      </w:r>
      <w:r>
        <w:rPr>
          <w:spacing w:val="-1"/>
          <w:w w:val="100"/>
          <w:sz w:val="21"/>
        </w:rPr>
        <w:t>here</w:t>
      </w:r>
      <w:r>
        <w:rPr>
          <w:spacing w:val="-2"/>
          <w:w w:val="100"/>
          <w:sz w:val="21"/>
        </w:rPr>
        <w:t>i</w:t>
      </w:r>
      <w:r>
        <w:rPr>
          <w:w w:val="100"/>
          <w:sz w:val="21"/>
        </w:rPr>
        <w:t>n</w:t>
      </w:r>
      <w:r>
        <w:rPr>
          <w:spacing w:val="8"/>
          <w:sz w:val="21"/>
        </w:rPr>
        <w:t> </w:t>
      </w:r>
      <w:r>
        <w:rPr>
          <w:spacing w:val="-2"/>
          <w:w w:val="100"/>
          <w:sz w:val="21"/>
        </w:rPr>
        <w:t>t</w:t>
      </w:r>
      <w:r>
        <w:rPr>
          <w:spacing w:val="-1"/>
          <w:w w:val="100"/>
          <w:sz w:val="21"/>
        </w:rPr>
        <w:t>he </w:t>
      </w:r>
      <w:r>
        <w:rPr>
          <w:sz w:val="21"/>
        </w:rPr>
        <w:t>question of possession is involved and has been adjudicated, we see hardly any justification for initiating a parallel criminal proceeding under Section 145 of the Code. There is no scope to doubt or dispute the position that the decree of the civil court is binding on the criminal court in a matter like the one before us…parallel proceedings should not be permitted to continue and in the event of a decree of the civil court, the criminal court should not be allowed to invoke its jurisdiction particularly when possession is being examined by the civil court and parties are in a position to approach the civil court for interim orders such as injunction or appointment of receiver for adequate protection of the property during pendency of the dispute. Multiplicity of litigation is not in the interest of the parties nor should public time be allowed to be wasted over meaningless litigation. We are, therefore, satisfied that parallel proceedings should not</w:t>
      </w:r>
      <w:r>
        <w:rPr>
          <w:spacing w:val="-25"/>
          <w:sz w:val="21"/>
        </w:rPr>
        <w:t> </w:t>
      </w:r>
      <w:r>
        <w:rPr>
          <w:sz w:val="21"/>
        </w:rPr>
        <w:t>continue….‖</w:t>
      </w:r>
    </w:p>
    <w:p>
      <w:pPr>
        <w:pStyle w:val="BodyText"/>
        <w:rPr>
          <w:sz w:val="24"/>
        </w:rPr>
      </w:pPr>
    </w:p>
    <w:p>
      <w:pPr>
        <w:spacing w:line="480" w:lineRule="auto" w:before="207"/>
        <w:ind w:left="500" w:right="460" w:firstLine="0"/>
        <w:jc w:val="both"/>
        <w:rPr>
          <w:sz w:val="25"/>
        </w:rPr>
      </w:pPr>
      <w:r>
        <w:rPr>
          <w:sz w:val="25"/>
        </w:rPr>
        <w:t>The Court rejected the submission that the principle in </w:t>
      </w:r>
      <w:r>
        <w:rPr>
          <w:b/>
          <w:sz w:val="25"/>
        </w:rPr>
        <w:t>Ram Sumer  Puri  Mahant </w:t>
      </w:r>
      <w:r>
        <w:rPr>
          <w:sz w:val="25"/>
        </w:rPr>
        <w:t>v </w:t>
      </w:r>
      <w:r>
        <w:rPr>
          <w:b/>
          <w:sz w:val="25"/>
        </w:rPr>
        <w:t>State of UP</w:t>
      </w:r>
      <w:r>
        <w:rPr>
          <w:sz w:val="25"/>
          <w:vertAlign w:val="superscript"/>
        </w:rPr>
        <w:t>150</w:t>
      </w:r>
      <w:r>
        <w:rPr>
          <w:sz w:val="25"/>
          <w:vertAlign w:val="baseline"/>
        </w:rPr>
        <w:t> will apply only after the civil court has adjudicated on the</w:t>
      </w:r>
      <w:r>
        <w:rPr>
          <w:spacing w:val="-1"/>
          <w:sz w:val="25"/>
          <w:vertAlign w:val="baseline"/>
        </w:rPr>
        <w:t> </w:t>
      </w:r>
      <w:r>
        <w:rPr>
          <w:sz w:val="25"/>
          <w:vertAlign w:val="baseline"/>
        </w:rPr>
        <w:t>issue:</w:t>
      </w:r>
    </w:p>
    <w:p>
      <w:pPr>
        <w:spacing w:line="276" w:lineRule="auto" w:before="1"/>
        <w:ind w:left="1940" w:right="2260" w:firstLine="0"/>
        <w:jc w:val="both"/>
        <w:rPr>
          <w:sz w:val="21"/>
        </w:rPr>
      </w:pPr>
      <w:r>
        <w:rPr>
          <w:spacing w:val="-1"/>
          <w:w w:val="33"/>
          <w:sz w:val="21"/>
        </w:rPr>
        <w:t>―</w:t>
      </w:r>
      <w:r>
        <w:rPr>
          <w:spacing w:val="-1"/>
          <w:w w:val="100"/>
          <w:sz w:val="21"/>
        </w:rPr>
        <w:t>13</w:t>
      </w:r>
      <w:r>
        <w:rPr>
          <w:w w:val="100"/>
          <w:sz w:val="21"/>
        </w:rPr>
        <w:t>.</w:t>
      </w:r>
      <w:r>
        <w:rPr>
          <w:spacing w:val="-7"/>
          <w:sz w:val="21"/>
        </w:rPr>
        <w:t> </w:t>
      </w:r>
      <w:r>
        <w:rPr>
          <w:spacing w:val="6"/>
          <w:w w:val="100"/>
          <w:sz w:val="21"/>
        </w:rPr>
        <w:t>W</w:t>
      </w:r>
      <w:r>
        <w:rPr>
          <w:w w:val="100"/>
          <w:sz w:val="21"/>
        </w:rPr>
        <w:t>e</w:t>
      </w:r>
      <w:r>
        <w:rPr>
          <w:sz w:val="21"/>
        </w:rPr>
        <w:t>  </w:t>
      </w:r>
      <w:r>
        <w:rPr>
          <w:spacing w:val="-15"/>
          <w:sz w:val="21"/>
        </w:rPr>
        <w:t> </w:t>
      </w:r>
      <w:r>
        <w:rPr>
          <w:w w:val="100"/>
          <w:sz w:val="21"/>
        </w:rPr>
        <w:t>are</w:t>
      </w:r>
      <w:r>
        <w:rPr>
          <w:sz w:val="21"/>
        </w:rPr>
        <w:t>  </w:t>
      </w:r>
      <w:r>
        <w:rPr>
          <w:spacing w:val="-13"/>
          <w:sz w:val="21"/>
        </w:rPr>
        <w:t> </w:t>
      </w:r>
      <w:r>
        <w:rPr>
          <w:w w:val="100"/>
          <w:sz w:val="21"/>
        </w:rPr>
        <w:t>un</w:t>
      </w:r>
      <w:r>
        <w:rPr>
          <w:spacing w:val="-2"/>
          <w:w w:val="100"/>
          <w:sz w:val="21"/>
        </w:rPr>
        <w:t>a</w:t>
      </w:r>
      <w:r>
        <w:rPr>
          <w:w w:val="100"/>
          <w:sz w:val="21"/>
        </w:rPr>
        <w:t>b</w:t>
      </w:r>
      <w:r>
        <w:rPr>
          <w:spacing w:val="-2"/>
          <w:w w:val="100"/>
          <w:sz w:val="21"/>
        </w:rPr>
        <w:t>l</w:t>
      </w:r>
      <w:r>
        <w:rPr>
          <w:w w:val="100"/>
          <w:sz w:val="21"/>
        </w:rPr>
        <w:t>e</w:t>
      </w:r>
      <w:r>
        <w:rPr>
          <w:sz w:val="21"/>
        </w:rPr>
        <w:t>  </w:t>
      </w:r>
      <w:r>
        <w:rPr>
          <w:spacing w:val="-12"/>
          <w:sz w:val="21"/>
        </w:rPr>
        <w:t> </w:t>
      </w:r>
      <w:r>
        <w:rPr>
          <w:spacing w:val="-2"/>
          <w:w w:val="100"/>
          <w:sz w:val="21"/>
        </w:rPr>
        <w:t>t</w:t>
      </w:r>
      <w:r>
        <w:rPr>
          <w:w w:val="100"/>
          <w:sz w:val="21"/>
        </w:rPr>
        <w:t>o</w:t>
      </w:r>
      <w:r>
        <w:rPr>
          <w:sz w:val="21"/>
        </w:rPr>
        <w:t>  </w:t>
      </w:r>
      <w:r>
        <w:rPr>
          <w:spacing w:val="-12"/>
          <w:sz w:val="21"/>
        </w:rPr>
        <w:t> </w:t>
      </w:r>
      <w:r>
        <w:rPr>
          <w:w w:val="100"/>
          <w:sz w:val="21"/>
        </w:rPr>
        <w:t>accept</w:t>
      </w:r>
      <w:r>
        <w:rPr>
          <w:sz w:val="21"/>
        </w:rPr>
        <w:t>  </w:t>
      </w:r>
      <w:r>
        <w:rPr>
          <w:spacing w:val="-13"/>
          <w:sz w:val="21"/>
        </w:rPr>
        <w:t> </w:t>
      </w:r>
      <w:r>
        <w:rPr>
          <w:spacing w:val="-2"/>
          <w:w w:val="100"/>
          <w:sz w:val="21"/>
        </w:rPr>
        <w:t>t</w:t>
      </w:r>
      <w:r>
        <w:rPr>
          <w:w w:val="100"/>
          <w:sz w:val="21"/>
        </w:rPr>
        <w:t>he</w:t>
      </w:r>
      <w:r>
        <w:rPr>
          <w:sz w:val="21"/>
        </w:rPr>
        <w:t>  </w:t>
      </w:r>
      <w:r>
        <w:rPr>
          <w:spacing w:val="-12"/>
          <w:sz w:val="21"/>
        </w:rPr>
        <w:t> </w:t>
      </w:r>
      <w:r>
        <w:rPr>
          <w:w w:val="100"/>
          <w:sz w:val="21"/>
        </w:rPr>
        <w:t>su</w:t>
      </w:r>
      <w:r>
        <w:rPr>
          <w:spacing w:val="-3"/>
          <w:w w:val="100"/>
          <w:sz w:val="21"/>
        </w:rPr>
        <w:t>b</w:t>
      </w:r>
      <w:r>
        <w:rPr>
          <w:spacing w:val="-1"/>
          <w:w w:val="100"/>
          <w:sz w:val="21"/>
        </w:rPr>
        <w:t>m</w:t>
      </w:r>
      <w:r>
        <w:rPr>
          <w:w w:val="100"/>
          <w:sz w:val="21"/>
        </w:rPr>
        <w:t>i</w:t>
      </w:r>
      <w:r>
        <w:rPr>
          <w:spacing w:val="-3"/>
          <w:w w:val="100"/>
          <w:sz w:val="21"/>
        </w:rPr>
        <w:t>s</w:t>
      </w:r>
      <w:r>
        <w:rPr>
          <w:w w:val="100"/>
          <w:sz w:val="21"/>
        </w:rPr>
        <w:t>si</w:t>
      </w:r>
      <w:r>
        <w:rPr>
          <w:spacing w:val="-3"/>
          <w:w w:val="100"/>
          <w:sz w:val="21"/>
        </w:rPr>
        <w:t>o</w:t>
      </w:r>
      <w:r>
        <w:rPr>
          <w:w w:val="100"/>
          <w:sz w:val="21"/>
        </w:rPr>
        <w:t>n</w:t>
      </w:r>
      <w:r>
        <w:rPr>
          <w:sz w:val="21"/>
        </w:rPr>
        <w:t>  </w:t>
      </w:r>
      <w:r>
        <w:rPr>
          <w:spacing w:val="-15"/>
          <w:sz w:val="21"/>
        </w:rPr>
        <w:t> </w:t>
      </w:r>
      <w:r>
        <w:rPr>
          <w:spacing w:val="-2"/>
          <w:w w:val="100"/>
          <w:sz w:val="21"/>
        </w:rPr>
        <w:t>t</w:t>
      </w:r>
      <w:r>
        <w:rPr>
          <w:w w:val="100"/>
          <w:sz w:val="21"/>
        </w:rPr>
        <w:t>hat</w:t>
      </w:r>
      <w:r>
        <w:rPr>
          <w:sz w:val="21"/>
        </w:rPr>
        <w:t>  </w:t>
      </w:r>
      <w:r>
        <w:rPr>
          <w:spacing w:val="-13"/>
          <w:sz w:val="21"/>
        </w:rPr>
        <w:t> </w:t>
      </w:r>
      <w:r>
        <w:rPr>
          <w:spacing w:val="-2"/>
          <w:w w:val="100"/>
          <w:sz w:val="21"/>
        </w:rPr>
        <w:t>t</w:t>
      </w:r>
      <w:r>
        <w:rPr>
          <w:w w:val="100"/>
          <w:sz w:val="21"/>
        </w:rPr>
        <w:t>he </w:t>
      </w:r>
      <w:r>
        <w:rPr>
          <w:sz w:val="21"/>
        </w:rPr>
        <w:t>principles laid down in Ram Sumer case [(1985) 1 SCC 427 : 1985 SCC (Cri) 98] would only apply if the civil court has already adjudicated on the dispute regarding the property and given a finding. In our view Ram Sumer case [(1985) 1 SCC 427 : 1985 SCC (Cri) 98] is laying down that multiplicity of litigation should be avoided as it is not in the interest of the parties and public time would be wasted over meaningless litigation. On this principle it has been held that when possession is being examined by the civil court and parties are in a position to approach the civil court for adequate protection of the property during the pendency of the dispute, the parallel proceedings i.e. Section 145 proceedings should not</w:t>
      </w:r>
      <w:r>
        <w:rPr>
          <w:spacing w:val="-3"/>
          <w:sz w:val="21"/>
        </w:rPr>
        <w:t> </w:t>
      </w:r>
      <w:r>
        <w:rPr>
          <w:sz w:val="21"/>
        </w:rPr>
        <w:t>continue.‖</w:t>
      </w:r>
    </w:p>
    <w:p>
      <w:pPr>
        <w:pStyle w:val="BodyText"/>
        <w:rPr>
          <w:sz w:val="24"/>
        </w:rPr>
      </w:pPr>
    </w:p>
    <w:p>
      <w:pPr>
        <w:pStyle w:val="BodyText"/>
        <w:spacing w:line="480" w:lineRule="auto" w:before="210"/>
        <w:ind w:left="500" w:right="443"/>
        <w:jc w:val="both"/>
      </w:pPr>
      <w:r>
        <w:rPr/>
        <w:t>Dealing with the issue as to when the proceedings under Section 145 should not be pursued any further on the institution of a suit for adjudication, this Court held:</w:t>
      </w:r>
    </w:p>
    <w:p>
      <w:pPr>
        <w:pStyle w:val="BodyText"/>
        <w:rPr>
          <w:sz w:val="20"/>
        </w:rPr>
      </w:pPr>
    </w:p>
    <w:p>
      <w:pPr>
        <w:pStyle w:val="BodyText"/>
        <w:rPr>
          <w:sz w:val="20"/>
        </w:rPr>
      </w:pPr>
    </w:p>
    <w:p>
      <w:pPr>
        <w:pStyle w:val="BodyText"/>
        <w:spacing w:before="3"/>
        <w:rPr>
          <w:sz w:val="11"/>
        </w:rPr>
      </w:pPr>
      <w:r>
        <w:rPr/>
        <w:pict>
          <v:rect style="position:absolute;margin-left:72.024002pt;margin-top:8.437586pt;width:144.020pt;height:.599980pt;mso-position-horizontal-relative:page;mso-position-vertical-relative:paragraph;z-index:-15684608;mso-wrap-distance-left:0;mso-wrap-distance-right:0" filled="true" fillcolor="#000000" stroked="false">
            <v:fill type="solid"/>
            <w10:wrap type="topAndBottom"/>
          </v:rect>
        </w:pict>
      </w:r>
    </w:p>
    <w:p>
      <w:pPr>
        <w:spacing w:after="0"/>
        <w:rPr>
          <w:sz w:val="11"/>
        </w:rPr>
        <w:sectPr>
          <w:headerReference w:type="default" r:id="rId106"/>
          <w:footerReference w:type="default" r:id="rId107"/>
          <w:pgSz w:w="11910" w:h="16840"/>
          <w:pgMar w:header="721" w:footer="1476" w:top="1300" w:bottom="1660" w:left="940" w:right="1000"/>
        </w:sectPr>
      </w:pPr>
    </w:p>
    <w:p>
      <w:pPr>
        <w:spacing w:line="276" w:lineRule="auto" w:before="122"/>
        <w:ind w:left="1940" w:right="2260" w:firstLine="0"/>
        <w:jc w:val="both"/>
        <w:rPr>
          <w:sz w:val="21"/>
        </w:rPr>
      </w:pPr>
      <w:r>
        <w:rPr>
          <w:spacing w:val="-1"/>
          <w:w w:val="33"/>
          <w:sz w:val="21"/>
        </w:rPr>
        <w:t>―</w:t>
      </w:r>
      <w:r>
        <w:rPr>
          <w:spacing w:val="-1"/>
          <w:w w:val="100"/>
          <w:sz w:val="21"/>
        </w:rPr>
        <w:t>14</w:t>
      </w:r>
      <w:r>
        <w:rPr>
          <w:w w:val="100"/>
          <w:sz w:val="21"/>
        </w:rPr>
        <w:t>.</w:t>
      </w:r>
      <w:r>
        <w:rPr>
          <w:spacing w:val="-2"/>
          <w:sz w:val="21"/>
        </w:rPr>
        <w:t> </w:t>
      </w:r>
      <w:r>
        <w:rPr>
          <w:w w:val="100"/>
          <w:sz w:val="21"/>
        </w:rPr>
        <w:t>R</w:t>
      </w:r>
      <w:r>
        <w:rPr>
          <w:spacing w:val="-3"/>
          <w:w w:val="100"/>
          <w:sz w:val="21"/>
        </w:rPr>
        <w:t>e</w:t>
      </w:r>
      <w:r>
        <w:rPr>
          <w:w w:val="100"/>
          <w:sz w:val="21"/>
        </w:rPr>
        <w:t>li</w:t>
      </w:r>
      <w:r>
        <w:rPr>
          <w:spacing w:val="-3"/>
          <w:w w:val="100"/>
          <w:sz w:val="21"/>
        </w:rPr>
        <w:t>a</w:t>
      </w:r>
      <w:r>
        <w:rPr>
          <w:w w:val="100"/>
          <w:sz w:val="21"/>
        </w:rPr>
        <w:t>nce</w:t>
      </w:r>
      <w:r>
        <w:rPr>
          <w:sz w:val="21"/>
        </w:rPr>
        <w:t>     </w:t>
      </w:r>
      <w:r>
        <w:rPr>
          <w:spacing w:val="2"/>
          <w:sz w:val="21"/>
        </w:rPr>
        <w:t> </w:t>
      </w:r>
      <w:r>
        <w:rPr>
          <w:w w:val="100"/>
          <w:sz w:val="21"/>
        </w:rPr>
        <w:t>has</w:t>
      </w:r>
      <w:r>
        <w:rPr>
          <w:sz w:val="21"/>
        </w:rPr>
        <w:t>     </w:t>
      </w:r>
      <w:r>
        <w:rPr>
          <w:spacing w:val="2"/>
          <w:sz w:val="21"/>
        </w:rPr>
        <w:t> </w:t>
      </w:r>
      <w:r>
        <w:rPr>
          <w:spacing w:val="-3"/>
          <w:w w:val="100"/>
          <w:sz w:val="21"/>
        </w:rPr>
        <w:t>b</w:t>
      </w:r>
      <w:r>
        <w:rPr>
          <w:w w:val="100"/>
          <w:sz w:val="21"/>
        </w:rPr>
        <w:t>een</w:t>
      </w:r>
      <w:r>
        <w:rPr>
          <w:sz w:val="21"/>
        </w:rPr>
        <w:t>     </w:t>
      </w:r>
      <w:r>
        <w:rPr>
          <w:spacing w:val="5"/>
          <w:sz w:val="21"/>
        </w:rPr>
        <w:t> </w:t>
      </w:r>
      <w:r>
        <w:rPr>
          <w:spacing w:val="-3"/>
          <w:w w:val="100"/>
          <w:sz w:val="21"/>
        </w:rPr>
        <w:t>p</w:t>
      </w:r>
      <w:r>
        <w:rPr>
          <w:w w:val="100"/>
          <w:sz w:val="21"/>
        </w:rPr>
        <w:t>l</w:t>
      </w:r>
      <w:r>
        <w:rPr>
          <w:spacing w:val="-3"/>
          <w:w w:val="100"/>
          <w:sz w:val="21"/>
        </w:rPr>
        <w:t>a</w:t>
      </w:r>
      <w:r>
        <w:rPr>
          <w:w w:val="100"/>
          <w:sz w:val="21"/>
        </w:rPr>
        <w:t>ced</w:t>
      </w:r>
      <w:r>
        <w:rPr>
          <w:sz w:val="21"/>
        </w:rPr>
        <w:t>     </w:t>
      </w:r>
      <w:r>
        <w:rPr>
          <w:spacing w:val="2"/>
          <w:sz w:val="21"/>
        </w:rPr>
        <w:t> </w:t>
      </w:r>
      <w:r>
        <w:rPr>
          <w:w w:val="100"/>
          <w:sz w:val="21"/>
        </w:rPr>
        <w:t>on</w:t>
      </w:r>
      <w:r>
        <w:rPr>
          <w:sz w:val="21"/>
        </w:rPr>
        <w:t>     </w:t>
      </w:r>
      <w:r>
        <w:rPr>
          <w:spacing w:val="5"/>
          <w:sz w:val="21"/>
        </w:rPr>
        <w:t> </w:t>
      </w:r>
      <w:r>
        <w:rPr>
          <w:spacing w:val="-2"/>
          <w:w w:val="100"/>
          <w:sz w:val="21"/>
        </w:rPr>
        <w:t>t</w:t>
      </w:r>
      <w:r>
        <w:rPr>
          <w:spacing w:val="-3"/>
          <w:w w:val="100"/>
          <w:sz w:val="21"/>
        </w:rPr>
        <w:t>h</w:t>
      </w:r>
      <w:r>
        <w:rPr>
          <w:w w:val="100"/>
          <w:sz w:val="21"/>
        </w:rPr>
        <w:t>e</w:t>
      </w:r>
      <w:r>
        <w:rPr>
          <w:sz w:val="21"/>
        </w:rPr>
        <w:t>     </w:t>
      </w:r>
      <w:r>
        <w:rPr>
          <w:spacing w:val="5"/>
          <w:sz w:val="21"/>
        </w:rPr>
        <w:t> </w:t>
      </w:r>
      <w:r>
        <w:rPr>
          <w:w w:val="100"/>
          <w:sz w:val="21"/>
        </w:rPr>
        <w:t>ca</w:t>
      </w:r>
      <w:r>
        <w:rPr>
          <w:spacing w:val="-3"/>
          <w:w w:val="100"/>
          <w:sz w:val="21"/>
        </w:rPr>
        <w:t>s</w:t>
      </w:r>
      <w:r>
        <w:rPr>
          <w:w w:val="100"/>
          <w:sz w:val="21"/>
        </w:rPr>
        <w:t>e </w:t>
      </w:r>
      <w:r>
        <w:rPr>
          <w:sz w:val="21"/>
        </w:rPr>
        <w:t>of Jhummamal v. State of M.P. [(1988) 4 SCC 452 : 1988 SCC (Cri) 974] It is submitted that this authority lays down that merely because a civil suit is pending does not mean that proceedings under Section 145 of the Criminal Procedure Code should be set at naught. In our view this authority does not lay down any such broad proposition. In this case the proceedings under Section 145 of the Criminal Procedure Code had resulted in a concluded order. Thereafter the party, who had lost, filed civil proceedings. After filing the civil proceedings he prayed that the final order passed in the Section 145 proceedings be quashed. It is in that context that this Court held that merely because a civil suit had been filed did not mean that the concluded order under Section 145 of the Criminal Procedure Code should be quashed. This is entirely a different situation. In this case the civil suit  had been filed first. An order of status quo had already been passed by the competent civil court. Thereafter Section 145 proceedings were commenced. No final order had been passed in the proceedings under Section 145. In our view on the facts of the present case the ratio laid down in Ram Sumer case [(1985) 1 SCC 427 : 1985 SCC (Cri) 98] fully applies. </w:t>
      </w:r>
      <w:r>
        <w:rPr>
          <w:b/>
          <w:sz w:val="21"/>
        </w:rPr>
        <w:t>We clarify that we are not stating that in every case where a civil suit is filed, Section 145 proceedings would never lie. It is only in cases where civil suit is for possession or for declaration of title in respect of the same property and where reliefs regarding protection of the property concerned can be applied for and  granted by the civil court that proceedings under Section 145 should not be allowed to continue. This is because the civil court is competent to decide the question of title as well as possession between the parties and the orders of the civil court would be binding on the</w:t>
      </w:r>
      <w:r>
        <w:rPr>
          <w:b/>
          <w:spacing w:val="-18"/>
          <w:sz w:val="21"/>
        </w:rPr>
        <w:t> </w:t>
      </w:r>
      <w:r>
        <w:rPr>
          <w:b/>
          <w:sz w:val="21"/>
        </w:rPr>
        <w:t>Magistrate</w:t>
      </w:r>
      <w:r>
        <w:rPr>
          <w:sz w:val="21"/>
        </w:rPr>
        <w:t>.‖</w:t>
      </w:r>
    </w:p>
    <w:p>
      <w:pPr>
        <w:spacing w:before="1"/>
        <w:ind w:left="5795" w:right="0" w:firstLine="0"/>
        <w:jc w:val="both"/>
        <w:rPr>
          <w:sz w:val="21"/>
        </w:rPr>
      </w:pPr>
      <w:r>
        <w:rPr>
          <w:sz w:val="21"/>
        </w:rPr>
        <w:t>(Emphasis supplied)</w:t>
      </w:r>
    </w:p>
    <w:p>
      <w:pPr>
        <w:pStyle w:val="BodyText"/>
        <w:rPr>
          <w:sz w:val="24"/>
        </w:rPr>
      </w:pPr>
    </w:p>
    <w:p>
      <w:pPr>
        <w:pStyle w:val="BodyText"/>
        <w:spacing w:before="1"/>
        <w:rPr>
          <w:sz w:val="22"/>
        </w:rPr>
      </w:pPr>
    </w:p>
    <w:p>
      <w:pPr>
        <w:pStyle w:val="BodyText"/>
        <w:spacing w:line="480" w:lineRule="auto"/>
        <w:ind w:left="500" w:right="441"/>
        <w:jc w:val="both"/>
      </w:pPr>
      <w:r>
        <w:rPr/>
        <w:t>Having set out the position established in law with respect to Section 145 proceedings, we now advert to the application of the law to the set of facts in the present case. The provisions of Section 145 can be invoked only when there is a danger of a breach of peace. The jurisdiction of the Magistrate does not extend to adjudicate into disputed questions of title. The Magistrate has been vested with the authority to meet the urgency of the situation and maintain peace. The determination of the Magistrate is confined to which party was in actual</w:t>
      </w:r>
    </w:p>
    <w:p>
      <w:pPr>
        <w:spacing w:after="0" w:line="480" w:lineRule="auto"/>
        <w:jc w:val="both"/>
        <w:sectPr>
          <w:headerReference w:type="default" r:id="rId108"/>
          <w:footerReference w:type="default" r:id="rId109"/>
          <w:pgSz w:w="11910" w:h="16840"/>
          <w:pgMar w:header="721" w:footer="1014" w:top="1300" w:bottom="1200" w:left="940" w:right="1000"/>
          <w:pgNumType w:start="287"/>
        </w:sectPr>
      </w:pPr>
    </w:p>
    <w:p>
      <w:pPr>
        <w:pStyle w:val="BodyText"/>
        <w:spacing w:line="480" w:lineRule="auto" w:before="124"/>
        <w:ind w:left="500" w:right="445"/>
        <w:jc w:val="both"/>
      </w:pPr>
      <w:r>
        <w:rPr/>
        <w:t>possession on the date of the order. The real purpose is to decide who has actual physical possession and not legal possession supported by title over the land. To initiate proceedings under Section 145, the Magistrate has to be satisfied of the existence of a dispute which is likely to cause a breach of peace. The enquiry by the Magistrate is of a summary nature, the object being to ensure tranquillity in the locality when the dispute is likely to result in a breach of</w:t>
      </w:r>
      <w:r>
        <w:rPr>
          <w:spacing w:val="-14"/>
        </w:rPr>
        <w:t> </w:t>
      </w:r>
      <w:r>
        <w:rPr/>
        <w:t>peace.</w:t>
      </w:r>
    </w:p>
    <w:p>
      <w:pPr>
        <w:pStyle w:val="BodyText"/>
        <w:rPr>
          <w:sz w:val="28"/>
        </w:rPr>
      </w:pPr>
    </w:p>
    <w:p>
      <w:pPr>
        <w:pStyle w:val="BodyText"/>
        <w:rPr>
          <w:sz w:val="22"/>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On 29 December 1949, a preliminary order under sub-section (1) of Section 145 was issued by the Additional City Magistrate, Faizabad-cum- Ayodhya. Simultaneously an order of attachment was also passed under the second proviso to sub-section (4) treating the situation to be one of emergency. On 5 January 1950, the receiver took charge and made an inventory of the attached items. Pursuant to the order of the Magistrate, only two or three pujaris were permitted to go inside the place where idols were kept to perform religious ceremonies like </w:t>
      </w:r>
      <w:r>
        <w:rPr>
          <w:i/>
          <w:sz w:val="25"/>
        </w:rPr>
        <w:t>bhog </w:t>
      </w:r>
      <w:r>
        <w:rPr>
          <w:sz w:val="25"/>
        </w:rPr>
        <w:t>and puja and the general public was permitted to have darshan only from beyond the grill-brick wall. The proceedings under Section 145 were not judicial; the Magistrate while exercising authority under the provision was not empowered to deal with the substantive rights of the parties. The proceedings under Section 145 are not akin to a civil proceeding. Adjudication of substantive claims over title and ownership over a property can be decided in a competent civil proceeding. Proceedings under Section 145 are not in the nature of a trial before a civil court and are merely in the nature of police proceedings. The Magistrate‘s order cannot adversely impact the substantive rights of parties. Upon</w:t>
      </w:r>
      <w:r>
        <w:rPr>
          <w:spacing w:val="30"/>
          <w:sz w:val="25"/>
        </w:rPr>
        <w:t> </w:t>
      </w:r>
      <w:r>
        <w:rPr>
          <w:sz w:val="25"/>
        </w:rPr>
        <w:t>the</w:t>
      </w:r>
      <w:r>
        <w:rPr>
          <w:spacing w:val="30"/>
          <w:sz w:val="25"/>
        </w:rPr>
        <w:t> </w:t>
      </w:r>
      <w:r>
        <w:rPr>
          <w:sz w:val="25"/>
        </w:rPr>
        <w:t>attachment</w:t>
      </w:r>
      <w:r>
        <w:rPr>
          <w:spacing w:val="29"/>
          <w:sz w:val="25"/>
        </w:rPr>
        <w:t> </w:t>
      </w:r>
      <w:r>
        <w:rPr>
          <w:sz w:val="25"/>
        </w:rPr>
        <w:t>of</w:t>
      </w:r>
      <w:r>
        <w:rPr>
          <w:spacing w:val="30"/>
          <w:sz w:val="25"/>
        </w:rPr>
        <w:t> </w:t>
      </w:r>
      <w:r>
        <w:rPr>
          <w:sz w:val="25"/>
        </w:rPr>
        <w:t>the</w:t>
      </w:r>
      <w:r>
        <w:rPr>
          <w:spacing w:val="30"/>
          <w:sz w:val="25"/>
        </w:rPr>
        <w:t> </w:t>
      </w:r>
      <w:r>
        <w:rPr>
          <w:sz w:val="25"/>
        </w:rPr>
        <w:t>property</w:t>
      </w:r>
      <w:r>
        <w:rPr>
          <w:spacing w:val="28"/>
          <w:sz w:val="25"/>
        </w:rPr>
        <w:t> </w:t>
      </w:r>
      <w:r>
        <w:rPr>
          <w:sz w:val="25"/>
        </w:rPr>
        <w:t>and</w:t>
      </w:r>
      <w:r>
        <w:rPr>
          <w:spacing w:val="31"/>
          <w:sz w:val="25"/>
        </w:rPr>
        <w:t> </w:t>
      </w:r>
      <w:r>
        <w:rPr>
          <w:sz w:val="25"/>
        </w:rPr>
        <w:t>after</w:t>
      </w:r>
      <w:r>
        <w:rPr>
          <w:spacing w:val="31"/>
          <w:sz w:val="25"/>
        </w:rPr>
        <w:t> </w:t>
      </w:r>
      <w:r>
        <w:rPr>
          <w:sz w:val="25"/>
        </w:rPr>
        <w:t>the</w:t>
      </w:r>
      <w:r>
        <w:rPr>
          <w:spacing w:val="30"/>
          <w:sz w:val="25"/>
        </w:rPr>
        <w:t> </w:t>
      </w:r>
      <w:r>
        <w:rPr>
          <w:sz w:val="25"/>
        </w:rPr>
        <w:t>appointment</w:t>
      </w:r>
      <w:r>
        <w:rPr>
          <w:spacing w:val="27"/>
          <w:sz w:val="25"/>
        </w:rPr>
        <w:t> </w:t>
      </w:r>
      <w:r>
        <w:rPr>
          <w:sz w:val="25"/>
        </w:rPr>
        <w:t>of</w:t>
      </w:r>
      <w:r>
        <w:rPr>
          <w:spacing w:val="30"/>
          <w:sz w:val="25"/>
        </w:rPr>
        <w:t> </w:t>
      </w:r>
      <w:r>
        <w:rPr>
          <w:sz w:val="25"/>
        </w:rPr>
        <w:t>the</w:t>
      </w:r>
      <w:r>
        <w:rPr>
          <w:spacing w:val="30"/>
          <w:sz w:val="25"/>
        </w:rPr>
        <w:t> </w:t>
      </w:r>
      <w:r>
        <w:rPr>
          <w:sz w:val="25"/>
        </w:rPr>
        <w:t>receiver,</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the property became </w:t>
      </w:r>
      <w:r>
        <w:rPr>
          <w:i/>
        </w:rPr>
        <w:t>custodia legis </w:t>
      </w:r>
      <w:r>
        <w:rPr/>
        <w:t>and the receiver held the property for the benefit of the true owner. The receiver so appointed could not be described as a party interested in the dispute. By his subsequent orders dated 30 July 1953 and 31 July 1954, the Magistrate deferred the proceedings and continued the order of attachment.</w:t>
      </w:r>
    </w:p>
    <w:p>
      <w:pPr>
        <w:pStyle w:val="BodyText"/>
        <w:rPr>
          <w:sz w:val="28"/>
        </w:rPr>
      </w:pPr>
    </w:p>
    <w:p>
      <w:pPr>
        <w:pStyle w:val="BodyText"/>
        <w:spacing w:before="11"/>
        <w:rPr>
          <w:sz w:val="21"/>
        </w:rPr>
      </w:pPr>
    </w:p>
    <w:p>
      <w:pPr>
        <w:pStyle w:val="ListParagraph"/>
        <w:numPr>
          <w:ilvl w:val="0"/>
          <w:numId w:val="3"/>
        </w:numPr>
        <w:tabs>
          <w:tab w:pos="1221" w:val="left" w:leader="none"/>
        </w:tabs>
        <w:spacing w:line="480" w:lineRule="auto" w:before="0" w:after="0"/>
        <w:ind w:left="500" w:right="435" w:firstLine="0"/>
        <w:jc w:val="both"/>
        <w:rPr>
          <w:sz w:val="25"/>
        </w:rPr>
      </w:pPr>
      <w:r>
        <w:rPr>
          <w:sz w:val="25"/>
        </w:rPr>
        <w:t>Justice Sudhir Agarwal correctly observed that in view of the </w:t>
      </w:r>
      <w:r>
        <w:rPr>
          <w:i/>
          <w:sz w:val="25"/>
        </w:rPr>
        <w:t>ad-interim </w:t>
      </w:r>
      <w:r>
        <w:rPr>
          <w:sz w:val="25"/>
        </w:rPr>
        <w:t>injunction in Suit 1 by which </w:t>
      </w:r>
      <w:r>
        <w:rPr>
          <w:i/>
          <w:sz w:val="25"/>
        </w:rPr>
        <w:t>status quo </w:t>
      </w:r>
      <w:r>
        <w:rPr>
          <w:sz w:val="25"/>
        </w:rPr>
        <w:t>was ordered and sewa-puja was continued, the proceedings under Section 145 could not have been dropped as it would have disturbed the status quo. Justice Agarwal</w:t>
      </w:r>
      <w:r>
        <w:rPr>
          <w:spacing w:val="-7"/>
          <w:sz w:val="25"/>
        </w:rPr>
        <w:t> </w:t>
      </w:r>
      <w:r>
        <w:rPr>
          <w:sz w:val="25"/>
        </w:rPr>
        <w:t>observed:</w:t>
      </w:r>
    </w:p>
    <w:p>
      <w:pPr>
        <w:spacing w:line="276" w:lineRule="auto" w:before="1"/>
        <w:ind w:left="1940" w:right="2259" w:firstLine="0"/>
        <w:jc w:val="both"/>
        <w:rPr>
          <w:sz w:val="21"/>
        </w:rPr>
      </w:pPr>
      <w:r>
        <w:rPr>
          <w:spacing w:val="-1"/>
          <w:w w:val="33"/>
          <w:sz w:val="21"/>
        </w:rPr>
        <w:t>―</w:t>
      </w:r>
      <w:r>
        <w:rPr>
          <w:spacing w:val="-1"/>
          <w:w w:val="100"/>
          <w:sz w:val="21"/>
        </w:rPr>
        <w:t>224</w:t>
      </w:r>
      <w:r>
        <w:rPr>
          <w:w w:val="100"/>
          <w:sz w:val="21"/>
        </w:rPr>
        <w:t>4.</w:t>
      </w:r>
      <w:r>
        <w:rPr>
          <w:spacing w:val="12"/>
          <w:sz w:val="21"/>
        </w:rPr>
        <w:t> </w:t>
      </w:r>
      <w:r>
        <w:rPr>
          <w:w w:val="100"/>
          <w:sz w:val="21"/>
        </w:rPr>
        <w:t>…</w:t>
      </w:r>
      <w:r>
        <w:rPr>
          <w:spacing w:val="14"/>
          <w:sz w:val="21"/>
        </w:rPr>
        <w:t> </w:t>
      </w:r>
      <w:r>
        <w:rPr>
          <w:b/>
          <w:w w:val="100"/>
          <w:sz w:val="21"/>
        </w:rPr>
        <w:t>From</w:t>
      </w:r>
      <w:r>
        <w:rPr>
          <w:b/>
          <w:spacing w:val="13"/>
          <w:sz w:val="21"/>
        </w:rPr>
        <w:t> </w:t>
      </w:r>
      <w:r>
        <w:rPr>
          <w:b/>
          <w:spacing w:val="-2"/>
          <w:w w:val="100"/>
          <w:sz w:val="21"/>
        </w:rPr>
        <w:t>p</w:t>
      </w:r>
      <w:r>
        <w:rPr>
          <w:b/>
          <w:w w:val="100"/>
          <w:sz w:val="21"/>
        </w:rPr>
        <w:t>er</w:t>
      </w:r>
      <w:r>
        <w:rPr>
          <w:b/>
          <w:spacing w:val="-3"/>
          <w:w w:val="100"/>
          <w:sz w:val="21"/>
        </w:rPr>
        <w:t>u</w:t>
      </w:r>
      <w:r>
        <w:rPr>
          <w:b/>
          <w:w w:val="100"/>
          <w:sz w:val="21"/>
        </w:rPr>
        <w:t>sal</w:t>
      </w:r>
      <w:r>
        <w:rPr>
          <w:b/>
          <w:spacing w:val="12"/>
          <w:sz w:val="21"/>
        </w:rPr>
        <w:t> </w:t>
      </w:r>
      <w:r>
        <w:rPr>
          <w:b/>
          <w:w w:val="100"/>
          <w:sz w:val="21"/>
        </w:rPr>
        <w:t>of</w:t>
      </w:r>
      <w:r>
        <w:rPr>
          <w:b/>
          <w:spacing w:val="15"/>
          <w:sz w:val="21"/>
        </w:rPr>
        <w:t> </w:t>
      </w:r>
      <w:r>
        <w:rPr>
          <w:b/>
          <w:spacing w:val="-2"/>
          <w:w w:val="100"/>
          <w:sz w:val="21"/>
        </w:rPr>
        <w:t>i</w:t>
      </w:r>
      <w:r>
        <w:rPr>
          <w:b/>
          <w:w w:val="100"/>
          <w:sz w:val="21"/>
        </w:rPr>
        <w:t>nj</w:t>
      </w:r>
      <w:r>
        <w:rPr>
          <w:b/>
          <w:spacing w:val="-3"/>
          <w:w w:val="100"/>
          <w:sz w:val="21"/>
        </w:rPr>
        <w:t>u</w:t>
      </w:r>
      <w:r>
        <w:rPr>
          <w:b/>
          <w:w w:val="100"/>
          <w:sz w:val="21"/>
        </w:rPr>
        <w:t>nc</w:t>
      </w:r>
      <w:r>
        <w:rPr>
          <w:b/>
          <w:spacing w:val="-1"/>
          <w:w w:val="100"/>
          <w:sz w:val="21"/>
        </w:rPr>
        <w:t>t</w:t>
      </w:r>
      <w:r>
        <w:rPr>
          <w:b/>
          <w:spacing w:val="-2"/>
          <w:w w:val="100"/>
          <w:sz w:val="21"/>
        </w:rPr>
        <w:t>io</w:t>
      </w:r>
      <w:r>
        <w:rPr>
          <w:b/>
          <w:w w:val="100"/>
          <w:sz w:val="21"/>
        </w:rPr>
        <w:t>n</w:t>
      </w:r>
      <w:r>
        <w:rPr>
          <w:b/>
          <w:spacing w:val="14"/>
          <w:sz w:val="21"/>
        </w:rPr>
        <w:t> </w:t>
      </w:r>
      <w:r>
        <w:rPr>
          <w:b/>
          <w:w w:val="100"/>
          <w:sz w:val="21"/>
        </w:rPr>
        <w:t>or</w:t>
      </w:r>
      <w:r>
        <w:rPr>
          <w:b/>
          <w:spacing w:val="-2"/>
          <w:w w:val="100"/>
          <w:sz w:val="21"/>
        </w:rPr>
        <w:t>d</w:t>
      </w:r>
      <w:r>
        <w:rPr>
          <w:b/>
          <w:w w:val="100"/>
          <w:sz w:val="21"/>
        </w:rPr>
        <w:t>er</w:t>
      </w:r>
      <w:r>
        <w:rPr>
          <w:b/>
          <w:spacing w:val="13"/>
          <w:sz w:val="21"/>
        </w:rPr>
        <w:t> </w:t>
      </w:r>
      <w:r>
        <w:rPr>
          <w:b/>
          <w:w w:val="100"/>
          <w:sz w:val="21"/>
        </w:rPr>
        <w:t>pa</w:t>
      </w:r>
      <w:r>
        <w:rPr>
          <w:b/>
          <w:spacing w:val="-3"/>
          <w:w w:val="100"/>
          <w:sz w:val="21"/>
        </w:rPr>
        <w:t>ss</w:t>
      </w:r>
      <w:r>
        <w:rPr>
          <w:b/>
          <w:w w:val="100"/>
          <w:sz w:val="21"/>
        </w:rPr>
        <w:t>ed</w:t>
      </w:r>
      <w:r>
        <w:rPr>
          <w:b/>
          <w:spacing w:val="13"/>
          <w:sz w:val="21"/>
        </w:rPr>
        <w:t> </w:t>
      </w:r>
      <w:r>
        <w:rPr>
          <w:b/>
          <w:w w:val="100"/>
          <w:sz w:val="21"/>
        </w:rPr>
        <w:t>by</w:t>
      </w:r>
      <w:r>
        <w:rPr>
          <w:b/>
          <w:spacing w:val="11"/>
          <w:sz w:val="21"/>
        </w:rPr>
        <w:t> </w:t>
      </w:r>
      <w:r>
        <w:rPr>
          <w:b/>
          <w:spacing w:val="-1"/>
          <w:w w:val="100"/>
          <w:sz w:val="21"/>
        </w:rPr>
        <w:t>t</w:t>
      </w:r>
      <w:r>
        <w:rPr>
          <w:b/>
          <w:w w:val="100"/>
          <w:sz w:val="21"/>
        </w:rPr>
        <w:t>he </w:t>
      </w:r>
      <w:r>
        <w:rPr>
          <w:b/>
          <w:sz w:val="21"/>
        </w:rPr>
        <w:t>Civil Court, we find that on 16th January, 1950 a simple order, in terms of the prayer made in the interim injunction application, was passed directing the parties to maintain status quo. Thereafter on 19th January, 1950, the order was modified but the Civil Court did not appoint a Receiver of its own and also did not direct the City Magistrate to get the possession transferred to any other person or another Receiver of the Court instead of the Receiver appointed by the Magistrate. On the contrary, in Suit-1, the City Magistrate was also impleaded as one </w:t>
      </w:r>
      <w:r>
        <w:rPr>
          <w:b/>
          <w:spacing w:val="3"/>
          <w:sz w:val="21"/>
        </w:rPr>
        <w:t>of </w:t>
      </w:r>
      <w:r>
        <w:rPr>
          <w:b/>
          <w:sz w:val="21"/>
        </w:rPr>
        <w:t>the defendants and </w:t>
      </w:r>
      <w:r>
        <w:rPr>
          <w:b/>
          <w:spacing w:val="-2"/>
          <w:sz w:val="21"/>
        </w:rPr>
        <w:t>the </w:t>
      </w:r>
      <w:r>
        <w:rPr>
          <w:b/>
          <w:sz w:val="21"/>
        </w:rPr>
        <w:t>Civil Court passed an order directing the defendants to maintain status quo. It also clarified that the Sewa, Puja as was going on, shall continue…the Magistrate could not have ignored this order by dropping the proceedings as that would have resulted in discharge of Receiver and release of the property attached and placed in his charge. In other words, it could have been construed by the Civil Judge as an order disobeying the order of status quo. Had the Civil Judge passed an order appointing a Court's Receiver and directing the Magistrate to hand over possession of the property to him, the position might have been different. In these circumstances, if the Magistrate did not drop the proceedings but deferred it, we find no fault on his part. </w:t>
      </w:r>
      <w:r>
        <w:rPr>
          <w:sz w:val="21"/>
        </w:rPr>
        <w:t>Moreover, when the earlier order of the Magistrate, attaching the property and placing it in the charge of Receiver, could not have resulted in giving a cause</w:t>
      </w:r>
      <w:r>
        <w:rPr>
          <w:spacing w:val="33"/>
          <w:sz w:val="21"/>
        </w:rPr>
        <w:t> </w:t>
      </w:r>
      <w:r>
        <w:rPr>
          <w:sz w:val="21"/>
        </w:rPr>
        <w:t>of</w:t>
      </w:r>
      <w:r>
        <w:rPr>
          <w:spacing w:val="36"/>
          <w:sz w:val="21"/>
        </w:rPr>
        <w:t> </w:t>
      </w:r>
      <w:r>
        <w:rPr>
          <w:sz w:val="21"/>
        </w:rPr>
        <w:t>action</w:t>
      </w:r>
      <w:r>
        <w:rPr>
          <w:spacing w:val="36"/>
          <w:sz w:val="21"/>
        </w:rPr>
        <w:t> </w:t>
      </w:r>
      <w:r>
        <w:rPr>
          <w:sz w:val="21"/>
        </w:rPr>
        <w:t>to</w:t>
      </w:r>
      <w:r>
        <w:rPr>
          <w:spacing w:val="32"/>
          <w:sz w:val="21"/>
        </w:rPr>
        <w:t> </w:t>
      </w:r>
      <w:r>
        <w:rPr>
          <w:sz w:val="21"/>
        </w:rPr>
        <w:t>the</w:t>
      </w:r>
      <w:r>
        <w:rPr>
          <w:spacing w:val="33"/>
          <w:sz w:val="21"/>
        </w:rPr>
        <w:t> </w:t>
      </w:r>
      <w:r>
        <w:rPr>
          <w:sz w:val="21"/>
        </w:rPr>
        <w:t>plaintiffs</w:t>
      </w:r>
      <w:r>
        <w:rPr>
          <w:spacing w:val="36"/>
          <w:sz w:val="21"/>
        </w:rPr>
        <w:t> </w:t>
      </w:r>
      <w:r>
        <w:rPr>
          <w:sz w:val="21"/>
        </w:rPr>
        <w:t>to</w:t>
      </w:r>
      <w:r>
        <w:rPr>
          <w:spacing w:val="33"/>
          <w:sz w:val="21"/>
        </w:rPr>
        <w:t> </w:t>
      </w:r>
      <w:r>
        <w:rPr>
          <w:sz w:val="21"/>
        </w:rPr>
        <w:t>file</w:t>
      </w:r>
      <w:r>
        <w:rPr>
          <w:spacing w:val="35"/>
          <w:sz w:val="21"/>
        </w:rPr>
        <w:t> </w:t>
      </w:r>
      <w:r>
        <w:rPr>
          <w:sz w:val="21"/>
        </w:rPr>
        <w:t>suit,</w:t>
      </w:r>
      <w:r>
        <w:rPr>
          <w:spacing w:val="35"/>
          <w:sz w:val="21"/>
        </w:rPr>
        <w:t> </w:t>
      </w:r>
      <w:r>
        <w:rPr>
          <w:sz w:val="21"/>
        </w:rPr>
        <w:t>we</w:t>
      </w:r>
      <w:r>
        <w:rPr>
          <w:spacing w:val="35"/>
          <w:sz w:val="21"/>
        </w:rPr>
        <w:t> </w:t>
      </w:r>
      <w:r>
        <w:rPr>
          <w:sz w:val="21"/>
        </w:rPr>
        <w:t>fail</w:t>
      </w:r>
      <w:r>
        <w:rPr>
          <w:spacing w:val="34"/>
          <w:sz w:val="21"/>
        </w:rPr>
        <w:t> </w:t>
      </w:r>
      <w:r>
        <w:rPr>
          <w:sz w:val="21"/>
        </w:rPr>
        <w:t>to</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0" w:firstLine="0"/>
        <w:jc w:val="both"/>
        <w:rPr>
          <w:sz w:val="21"/>
        </w:rPr>
      </w:pPr>
      <w:r>
        <w:rPr>
          <w:sz w:val="21"/>
        </w:rPr>
        <w:t>understand as to how the subsequent order, which merely deferred the pending proceedings, would lend any help. The order of attachment passed by the Magistrate itself does not give a cause of action and on the contrary it only makes the things known to the party that there appears to be some dispute about the title and/or possession of the property concerned and also there is apprehension of disturbance of public peace and order. The cause of action virtually is known to the party that there exists some dispute and not the order of the Magistrate whereby he attached the property in question and placed it in the charge of the</w:t>
      </w:r>
      <w:r>
        <w:rPr>
          <w:spacing w:val="-24"/>
          <w:sz w:val="21"/>
        </w:rPr>
        <w:t> </w:t>
      </w:r>
      <w:r>
        <w:rPr>
          <w:sz w:val="21"/>
        </w:rPr>
        <w:t>Receiver.‖</w:t>
      </w:r>
    </w:p>
    <w:p>
      <w:pPr>
        <w:spacing w:before="1"/>
        <w:ind w:left="5341" w:right="0" w:firstLine="0"/>
        <w:jc w:val="both"/>
        <w:rPr>
          <w:sz w:val="21"/>
        </w:rPr>
      </w:pPr>
      <w:r>
        <w:rPr>
          <w:sz w:val="21"/>
        </w:rPr>
        <w:t>(Emphasis supplied)</w:t>
      </w:r>
    </w:p>
    <w:p>
      <w:pPr>
        <w:pStyle w:val="BodyText"/>
        <w:rPr>
          <w:sz w:val="24"/>
        </w:rPr>
      </w:pPr>
    </w:p>
    <w:p>
      <w:pPr>
        <w:pStyle w:val="BodyText"/>
        <w:spacing w:before="3"/>
        <w:rPr>
          <w:sz w:val="29"/>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In view of the settled position in law, as it emerges from the decisions of this Court, after the Magistrate‘s order dated 29 December 1949 for attachment  of property, nothing prevented Nirmohi Akhara from filing a declaratory suit for possession and title. The Magistrate‘s order did not decide or adjudicate upon the contesting rights to possess or the merits of conflicting claims of any of the parties. Substantive rights with respect to title and possession of the property could have been dealt with only in civil proceedings before a civil court. The Magistrate did not have jurisdiction to determine questions of ownership and title. The proceedings under Section 145 could not have resulted in any adjudication upon title or possession of the rightful owner </w:t>
      </w:r>
      <w:r>
        <w:rPr>
          <w:spacing w:val="3"/>
          <w:sz w:val="25"/>
        </w:rPr>
        <w:t>as </w:t>
      </w:r>
      <w:r>
        <w:rPr>
          <w:sz w:val="25"/>
        </w:rPr>
        <w:t>that is within the exclusive domain of civil courts. Nirmohi Akhara cannot take the defence that no final order had been passed in Section 145 proceedings and as a result limitation did not commence. The Magistrate simply complied with the directions given by a civil court with respect to maintaining </w:t>
      </w:r>
      <w:r>
        <w:rPr>
          <w:i/>
          <w:sz w:val="25"/>
        </w:rPr>
        <w:t>status quo </w:t>
      </w:r>
      <w:r>
        <w:rPr>
          <w:sz w:val="25"/>
        </w:rPr>
        <w:t>in Suit 1 and accordingly, deferred the proceedings under Section</w:t>
      </w:r>
      <w:r>
        <w:rPr>
          <w:spacing w:val="-1"/>
          <w:sz w:val="25"/>
        </w:rPr>
        <w:t> </w:t>
      </w:r>
      <w:r>
        <w:rPr>
          <w:sz w:val="25"/>
        </w:rPr>
        <w:t>145.</w:t>
      </w:r>
    </w:p>
    <w:p>
      <w:pPr>
        <w:spacing w:after="0" w:line="480" w:lineRule="auto"/>
        <w:jc w:val="both"/>
        <w:rPr>
          <w:sz w:val="25"/>
        </w:rPr>
        <w:sectPr>
          <w:pgSz w:w="11910" w:h="16840"/>
          <w:pgMar w:header="721" w:footer="1014" w:top="1300" w:bottom="1200" w:left="940" w:right="1000"/>
        </w:sectPr>
      </w:pPr>
    </w:p>
    <w:p>
      <w:pPr>
        <w:pStyle w:val="Heading4"/>
        <w:spacing w:before="126"/>
        <w:jc w:val="left"/>
        <w:rPr>
          <w:i/>
        </w:rPr>
      </w:pPr>
      <w:r>
        <w:rPr>
          <w:i/>
        </w:rPr>
        <w:t>The case under Article 142 of the Limitation Act 1898</w:t>
      </w:r>
    </w:p>
    <w:p>
      <w:pPr>
        <w:pStyle w:val="BodyText"/>
        <w:spacing w:before="8"/>
        <w:rPr>
          <w:i/>
          <w:sz w:val="38"/>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Article 142 governs a suit for possession of immoveable property when the </w:t>
      </w:r>
      <w:r>
        <w:rPr>
          <w:spacing w:val="-1"/>
          <w:w w:val="99"/>
          <w:sz w:val="25"/>
        </w:rPr>
        <w:t>plai</w:t>
      </w:r>
      <w:r>
        <w:rPr>
          <w:w w:val="99"/>
          <w:sz w:val="25"/>
        </w:rPr>
        <w:t>ntiff</w:t>
      </w:r>
      <w:r>
        <w:rPr>
          <w:sz w:val="25"/>
        </w:rPr>
        <w:t> </w:t>
      </w:r>
      <w:r>
        <w:rPr>
          <w:spacing w:val="-10"/>
          <w:sz w:val="25"/>
        </w:rPr>
        <w:t> </w:t>
      </w:r>
      <w:r>
        <w:rPr>
          <w:spacing w:val="-1"/>
          <w:w w:val="99"/>
          <w:sz w:val="25"/>
        </w:rPr>
        <w:t>whil</w:t>
      </w:r>
      <w:r>
        <w:rPr>
          <w:w w:val="99"/>
          <w:sz w:val="25"/>
        </w:rPr>
        <w:t>e</w:t>
      </w:r>
      <w:r>
        <w:rPr>
          <w:sz w:val="25"/>
        </w:rPr>
        <w:t> </w:t>
      </w:r>
      <w:r>
        <w:rPr>
          <w:spacing w:val="-10"/>
          <w:sz w:val="25"/>
        </w:rPr>
        <w:t> </w:t>
      </w:r>
      <w:r>
        <w:rPr>
          <w:spacing w:val="-1"/>
          <w:w w:val="99"/>
          <w:sz w:val="25"/>
        </w:rPr>
        <w:t>i</w:t>
      </w:r>
      <w:r>
        <w:rPr>
          <w:w w:val="99"/>
          <w:sz w:val="25"/>
        </w:rPr>
        <w:t>n</w:t>
      </w:r>
      <w:r>
        <w:rPr>
          <w:sz w:val="25"/>
        </w:rPr>
        <w:t> </w:t>
      </w:r>
      <w:r>
        <w:rPr>
          <w:spacing w:val="-10"/>
          <w:sz w:val="25"/>
        </w:rPr>
        <w:t> </w:t>
      </w:r>
      <w:r>
        <w:rPr>
          <w:spacing w:val="-1"/>
          <w:w w:val="99"/>
          <w:sz w:val="25"/>
        </w:rPr>
        <w:t>p</w:t>
      </w:r>
      <w:r>
        <w:rPr>
          <w:w w:val="99"/>
          <w:sz w:val="25"/>
        </w:rPr>
        <w:t>o</w:t>
      </w:r>
      <w:r>
        <w:rPr>
          <w:spacing w:val="-3"/>
          <w:w w:val="99"/>
          <w:sz w:val="25"/>
        </w:rPr>
        <w:t>s</w:t>
      </w:r>
      <w:r>
        <w:rPr>
          <w:w w:val="99"/>
          <w:sz w:val="25"/>
        </w:rPr>
        <w:t>session</w:t>
      </w:r>
      <w:r>
        <w:rPr>
          <w:sz w:val="25"/>
        </w:rPr>
        <w:t> </w:t>
      </w:r>
      <w:r>
        <w:rPr>
          <w:spacing w:val="-9"/>
          <w:sz w:val="25"/>
        </w:rPr>
        <w:t> </w:t>
      </w:r>
      <w:r>
        <w:rPr>
          <w:spacing w:val="-1"/>
          <w:w w:val="99"/>
          <w:sz w:val="25"/>
        </w:rPr>
        <w:t>h</w:t>
      </w:r>
      <w:r>
        <w:rPr>
          <w:w w:val="99"/>
          <w:sz w:val="25"/>
        </w:rPr>
        <w:t>as</w:t>
      </w:r>
      <w:r>
        <w:rPr>
          <w:sz w:val="25"/>
        </w:rPr>
        <w:t> </w:t>
      </w:r>
      <w:r>
        <w:rPr>
          <w:spacing w:val="-10"/>
          <w:sz w:val="25"/>
        </w:rPr>
        <w:t> </w:t>
      </w:r>
      <w:r>
        <w:rPr>
          <w:spacing w:val="-1"/>
          <w:w w:val="99"/>
          <w:sz w:val="25"/>
        </w:rPr>
        <w:t>b</w:t>
      </w:r>
      <w:r>
        <w:rPr>
          <w:w w:val="99"/>
          <w:sz w:val="25"/>
        </w:rPr>
        <w:t>e</w:t>
      </w:r>
      <w:r>
        <w:rPr>
          <w:spacing w:val="-1"/>
          <w:w w:val="99"/>
          <w:sz w:val="25"/>
        </w:rPr>
        <w:t>e</w:t>
      </w:r>
      <w:r>
        <w:rPr>
          <w:w w:val="99"/>
          <w:sz w:val="25"/>
        </w:rPr>
        <w:t>n</w:t>
      </w:r>
      <w:r>
        <w:rPr>
          <w:sz w:val="25"/>
        </w:rPr>
        <w:t> </w:t>
      </w:r>
      <w:r>
        <w:rPr>
          <w:spacing w:val="-12"/>
          <w:sz w:val="25"/>
        </w:rPr>
        <w:t> </w:t>
      </w:r>
      <w:r>
        <w:rPr>
          <w:spacing w:val="-1"/>
          <w:w w:val="99"/>
          <w:sz w:val="25"/>
        </w:rPr>
        <w:t>disp</w:t>
      </w:r>
      <w:r>
        <w:rPr>
          <w:w w:val="99"/>
          <w:sz w:val="25"/>
        </w:rPr>
        <w:t>ossessed</w:t>
      </w:r>
      <w:r>
        <w:rPr>
          <w:sz w:val="25"/>
        </w:rPr>
        <w:t> </w:t>
      </w:r>
      <w:r>
        <w:rPr>
          <w:spacing w:val="-10"/>
          <w:sz w:val="25"/>
        </w:rPr>
        <w:t> </w:t>
      </w:r>
      <w:r>
        <w:rPr>
          <w:spacing w:val="-1"/>
          <w:w w:val="99"/>
          <w:sz w:val="25"/>
        </w:rPr>
        <w:t>o</w:t>
      </w:r>
      <w:r>
        <w:rPr>
          <w:w w:val="99"/>
          <w:sz w:val="25"/>
        </w:rPr>
        <w:t>r</w:t>
      </w:r>
      <w:r>
        <w:rPr>
          <w:sz w:val="25"/>
        </w:rPr>
        <w:t> </w:t>
      </w:r>
      <w:r>
        <w:rPr>
          <w:spacing w:val="-9"/>
          <w:sz w:val="25"/>
        </w:rPr>
        <w:t> </w:t>
      </w:r>
      <w:r>
        <w:rPr>
          <w:spacing w:val="-2"/>
          <w:w w:val="33"/>
          <w:sz w:val="25"/>
        </w:rPr>
        <w:t>―</w:t>
      </w:r>
      <w:r>
        <w:rPr>
          <w:spacing w:val="-1"/>
          <w:w w:val="99"/>
          <w:sz w:val="25"/>
        </w:rPr>
        <w:t>h</w:t>
      </w:r>
      <w:r>
        <w:rPr>
          <w:w w:val="99"/>
          <w:sz w:val="25"/>
        </w:rPr>
        <w:t>as</w:t>
      </w:r>
      <w:r>
        <w:rPr>
          <w:sz w:val="25"/>
        </w:rPr>
        <w:t> </w:t>
      </w:r>
      <w:r>
        <w:rPr>
          <w:spacing w:val="-12"/>
          <w:sz w:val="25"/>
        </w:rPr>
        <w:t> </w:t>
      </w:r>
      <w:r>
        <w:rPr>
          <w:spacing w:val="-1"/>
          <w:w w:val="99"/>
          <w:sz w:val="25"/>
        </w:rPr>
        <w:t>disco</w:t>
      </w:r>
      <w:r>
        <w:rPr>
          <w:w w:val="99"/>
          <w:sz w:val="25"/>
        </w:rPr>
        <w:t>ntinu</w:t>
      </w:r>
      <w:r>
        <w:rPr>
          <w:spacing w:val="-1"/>
          <w:w w:val="99"/>
          <w:sz w:val="25"/>
        </w:rPr>
        <w:t>e</w:t>
      </w:r>
      <w:r>
        <w:rPr>
          <w:w w:val="99"/>
          <w:sz w:val="25"/>
        </w:rPr>
        <w:t>d</w:t>
      </w:r>
      <w:r>
        <w:rPr>
          <w:sz w:val="25"/>
        </w:rPr>
        <w:t> </w:t>
      </w:r>
      <w:r>
        <w:rPr>
          <w:spacing w:val="-10"/>
          <w:sz w:val="25"/>
        </w:rPr>
        <w:t> </w:t>
      </w:r>
      <w:r>
        <w:rPr>
          <w:w w:val="99"/>
          <w:sz w:val="25"/>
        </w:rPr>
        <w:t>the </w:t>
      </w:r>
      <w:r>
        <w:rPr>
          <w:sz w:val="25"/>
        </w:rPr>
        <w:t>possession‖.</w:t>
      </w:r>
      <w:r>
        <w:rPr>
          <w:spacing w:val="-5"/>
          <w:sz w:val="25"/>
        </w:rPr>
        <w:t> </w:t>
      </w:r>
      <w:r>
        <w:rPr>
          <w:sz w:val="25"/>
        </w:rPr>
        <w:t>The</w:t>
      </w:r>
      <w:r>
        <w:rPr>
          <w:spacing w:val="-4"/>
          <w:sz w:val="25"/>
        </w:rPr>
        <w:t> </w:t>
      </w:r>
      <w:r>
        <w:rPr>
          <w:sz w:val="25"/>
        </w:rPr>
        <w:t>period</w:t>
      </w:r>
      <w:r>
        <w:rPr>
          <w:spacing w:val="-4"/>
          <w:sz w:val="25"/>
        </w:rPr>
        <w:t> </w:t>
      </w:r>
      <w:r>
        <w:rPr>
          <w:sz w:val="25"/>
        </w:rPr>
        <w:t>of</w:t>
      </w:r>
      <w:r>
        <w:rPr>
          <w:spacing w:val="-4"/>
          <w:sz w:val="25"/>
        </w:rPr>
        <w:t> </w:t>
      </w:r>
      <w:r>
        <w:rPr>
          <w:sz w:val="25"/>
        </w:rPr>
        <w:t>limitation</w:t>
      </w:r>
      <w:r>
        <w:rPr>
          <w:spacing w:val="-4"/>
          <w:sz w:val="25"/>
        </w:rPr>
        <w:t> </w:t>
      </w:r>
      <w:r>
        <w:rPr>
          <w:sz w:val="25"/>
        </w:rPr>
        <w:t>under</w:t>
      </w:r>
      <w:r>
        <w:rPr>
          <w:spacing w:val="-4"/>
          <w:sz w:val="25"/>
        </w:rPr>
        <w:t> </w:t>
      </w:r>
      <w:r>
        <w:rPr>
          <w:sz w:val="25"/>
        </w:rPr>
        <w:t>Article</w:t>
      </w:r>
      <w:r>
        <w:rPr>
          <w:spacing w:val="-5"/>
          <w:sz w:val="25"/>
        </w:rPr>
        <w:t> </w:t>
      </w:r>
      <w:r>
        <w:rPr>
          <w:sz w:val="25"/>
        </w:rPr>
        <w:t>142</w:t>
      </w:r>
      <w:r>
        <w:rPr>
          <w:spacing w:val="-4"/>
          <w:sz w:val="25"/>
        </w:rPr>
        <w:t> </w:t>
      </w:r>
      <w:r>
        <w:rPr>
          <w:sz w:val="25"/>
        </w:rPr>
        <w:t>is</w:t>
      </w:r>
      <w:r>
        <w:rPr>
          <w:spacing w:val="-5"/>
          <w:sz w:val="25"/>
        </w:rPr>
        <w:t> </w:t>
      </w:r>
      <w:r>
        <w:rPr>
          <w:sz w:val="25"/>
        </w:rPr>
        <w:t>12</w:t>
      </w:r>
      <w:r>
        <w:rPr>
          <w:spacing w:val="-2"/>
          <w:sz w:val="25"/>
        </w:rPr>
        <w:t> </w:t>
      </w:r>
      <w:r>
        <w:rPr>
          <w:sz w:val="25"/>
        </w:rPr>
        <w:t>years.</w:t>
      </w:r>
      <w:r>
        <w:rPr>
          <w:spacing w:val="-5"/>
          <w:sz w:val="25"/>
        </w:rPr>
        <w:t> </w:t>
      </w:r>
      <w:r>
        <w:rPr>
          <w:sz w:val="25"/>
        </w:rPr>
        <w:t>Time</w:t>
      </w:r>
      <w:r>
        <w:rPr>
          <w:spacing w:val="-4"/>
          <w:sz w:val="25"/>
        </w:rPr>
        <w:t> </w:t>
      </w:r>
      <w:r>
        <w:rPr>
          <w:sz w:val="25"/>
        </w:rPr>
        <w:t>begins</w:t>
      </w:r>
      <w:r>
        <w:rPr>
          <w:spacing w:val="-4"/>
          <w:sz w:val="25"/>
        </w:rPr>
        <w:t> </w:t>
      </w:r>
      <w:r>
        <w:rPr>
          <w:sz w:val="25"/>
        </w:rPr>
        <w:t>to run from the date of the dispossession or discontinuance. Nirmohi Akhara claims that the cause of action arose on 5 January 1950 and the suit which was instituted on 17 December 1959 is within the limitation of twelve</w:t>
      </w:r>
      <w:r>
        <w:rPr>
          <w:spacing w:val="-9"/>
          <w:sz w:val="25"/>
        </w:rPr>
        <w:t> </w:t>
      </w:r>
      <w:r>
        <w:rPr>
          <w:sz w:val="25"/>
        </w:rPr>
        <w:t>years.</w:t>
      </w:r>
    </w:p>
    <w:p>
      <w:pPr>
        <w:pStyle w:val="BodyText"/>
        <w:rPr>
          <w:sz w:val="28"/>
        </w:rPr>
      </w:pPr>
    </w:p>
    <w:p>
      <w:pPr>
        <w:pStyle w:val="BodyText"/>
        <w:spacing w:before="3"/>
        <w:rPr>
          <w:sz w:val="22"/>
        </w:rPr>
      </w:pPr>
    </w:p>
    <w:p>
      <w:pPr>
        <w:pStyle w:val="Heading4"/>
        <w:jc w:val="left"/>
        <w:rPr>
          <w:i/>
        </w:rPr>
      </w:pPr>
      <w:r>
        <w:rPr>
          <w:i/>
        </w:rPr>
        <w:t>The concepts of dispossession and discontinuance of possession</w:t>
      </w:r>
    </w:p>
    <w:p>
      <w:pPr>
        <w:pStyle w:val="BodyText"/>
        <w:rPr>
          <w:i/>
          <w:sz w:val="28"/>
        </w:rPr>
      </w:pPr>
    </w:p>
    <w:p>
      <w:pPr>
        <w:pStyle w:val="BodyText"/>
        <w:spacing w:before="9"/>
        <w:rPr>
          <w:i/>
          <w:sz w:val="36"/>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Besides the absence of specific relief in Nirmohi‘s Suit with respect to seeking possession of the Janmasthan temple, there is another aspect to be explored with respect to the applicability of the concepts of dispossession and discontinuance of possession in the facts of the present case. Article 142 of the Limitation Act 1908 encompasses a suit for possession of immovable property. It covers those suits for possession of immoveable property which fall within either of two descriptions. The first is when the plaintiff while in possession of the property has been dispossessed. The second covers a situation where the plaintiff while in possession has discontinued the possession. In other words, Article 142 which deals with suits for possession of immoveable property qualifies this with the requirement that the plaintiff should have been in possession of the property when either of the two events have taken place namely, the event of being dispossessed or, as the case may be, the event of having discontinued </w:t>
      </w:r>
      <w:r>
        <w:rPr>
          <w:spacing w:val="3"/>
          <w:sz w:val="25"/>
        </w:rPr>
        <w:t>the </w:t>
      </w:r>
      <w:r>
        <w:rPr>
          <w:sz w:val="25"/>
        </w:rPr>
        <w:t>possession.</w:t>
      </w:r>
      <w:r>
        <w:rPr>
          <w:spacing w:val="31"/>
          <w:sz w:val="25"/>
        </w:rPr>
        <w:t> </w:t>
      </w:r>
      <w:r>
        <w:rPr>
          <w:sz w:val="25"/>
        </w:rPr>
        <w:t>Article</w:t>
      </w:r>
      <w:r>
        <w:rPr>
          <w:spacing w:val="32"/>
          <w:sz w:val="25"/>
        </w:rPr>
        <w:t> </w:t>
      </w:r>
      <w:r>
        <w:rPr>
          <w:sz w:val="25"/>
        </w:rPr>
        <w:t>142</w:t>
      </w:r>
      <w:r>
        <w:rPr>
          <w:spacing w:val="32"/>
          <w:sz w:val="25"/>
        </w:rPr>
        <w:t> </w:t>
      </w:r>
      <w:r>
        <w:rPr>
          <w:sz w:val="25"/>
        </w:rPr>
        <w:t>has</w:t>
      </w:r>
      <w:r>
        <w:rPr>
          <w:spacing w:val="31"/>
          <w:sz w:val="25"/>
        </w:rPr>
        <w:t> </w:t>
      </w:r>
      <w:r>
        <w:rPr>
          <w:sz w:val="25"/>
        </w:rPr>
        <w:t>not</w:t>
      </w:r>
      <w:r>
        <w:rPr>
          <w:spacing w:val="32"/>
          <w:sz w:val="25"/>
        </w:rPr>
        <w:t> </w:t>
      </w:r>
      <w:r>
        <w:rPr>
          <w:sz w:val="25"/>
        </w:rPr>
        <w:t>confined</w:t>
      </w:r>
      <w:r>
        <w:rPr>
          <w:spacing w:val="32"/>
          <w:sz w:val="25"/>
        </w:rPr>
        <w:t> </w:t>
      </w:r>
      <w:r>
        <w:rPr>
          <w:sz w:val="25"/>
        </w:rPr>
        <w:t>the</w:t>
      </w:r>
      <w:r>
        <w:rPr>
          <w:spacing w:val="31"/>
          <w:sz w:val="25"/>
        </w:rPr>
        <w:t> </w:t>
      </w:r>
      <w:r>
        <w:rPr>
          <w:sz w:val="25"/>
        </w:rPr>
        <w:t>description</w:t>
      </w:r>
      <w:r>
        <w:rPr>
          <w:spacing w:val="33"/>
          <w:sz w:val="25"/>
        </w:rPr>
        <w:t> </w:t>
      </w:r>
      <w:r>
        <w:rPr>
          <w:sz w:val="25"/>
        </w:rPr>
        <w:t>of</w:t>
      </w:r>
      <w:r>
        <w:rPr>
          <w:spacing w:val="33"/>
          <w:sz w:val="25"/>
        </w:rPr>
        <w:t> </w:t>
      </w:r>
      <w:r>
        <w:rPr>
          <w:sz w:val="25"/>
        </w:rPr>
        <w:t>the</w:t>
      </w:r>
      <w:r>
        <w:rPr>
          <w:spacing w:val="29"/>
          <w:sz w:val="25"/>
        </w:rPr>
        <w:t> </w:t>
      </w:r>
      <w:r>
        <w:rPr>
          <w:sz w:val="25"/>
        </w:rPr>
        <w:t>suit</w:t>
      </w:r>
      <w:r>
        <w:rPr>
          <w:spacing w:val="32"/>
          <w:sz w:val="25"/>
        </w:rPr>
        <w:t> </w:t>
      </w:r>
      <w:r>
        <w:rPr>
          <w:sz w:val="25"/>
        </w:rPr>
        <w:t>to</w:t>
      </w:r>
      <w:r>
        <w:rPr>
          <w:spacing w:val="33"/>
          <w:sz w:val="25"/>
        </w:rPr>
        <w:t> </w:t>
      </w:r>
      <w:r>
        <w:rPr>
          <w:sz w:val="25"/>
        </w:rPr>
        <w:t>simply</w:t>
      </w:r>
      <w:r>
        <w:rPr>
          <w:spacing w:val="32"/>
          <w:sz w:val="25"/>
        </w:rPr>
        <w:t> </w:t>
      </w:r>
      <w:r>
        <w:rPr>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suit for possession of immoveable property. The provision incorporates a requirement of prior possession of the plaintiff and either the dispossession or the discontinuance of possession while the plaintiff was in possession. The period of limitation is 12 years and time begins to run from the date of dispossession or discontinuance.</w:t>
      </w:r>
    </w:p>
    <w:p>
      <w:pPr>
        <w:pStyle w:val="BodyText"/>
      </w:pPr>
    </w:p>
    <w:p>
      <w:pPr>
        <w:pStyle w:val="ListParagraph"/>
        <w:numPr>
          <w:ilvl w:val="0"/>
          <w:numId w:val="3"/>
        </w:numPr>
        <w:tabs>
          <w:tab w:pos="1221" w:val="left" w:leader="none"/>
        </w:tabs>
        <w:spacing w:line="480" w:lineRule="auto" w:before="1" w:after="0"/>
        <w:ind w:left="500" w:right="438" w:firstLine="0"/>
        <w:jc w:val="both"/>
        <w:rPr>
          <w:sz w:val="25"/>
        </w:rPr>
      </w:pPr>
      <w:r>
        <w:rPr>
          <w:sz w:val="25"/>
        </w:rPr>
        <w:t>Article 144 is a residuary provision dealing with suits for possession of immoveable property or any interest in immoveable property not specifically provided for elsewhere. As a residuary provision, Article 144 applies to suits for possession of immoveable property which do not fall within a description which is specially enumerated in the articles of the schedule. In the case of Article 144, the period of limitation is 12 years and time begins to run when the possession of the defendant has become adverse to the</w:t>
      </w:r>
      <w:r>
        <w:rPr>
          <w:spacing w:val="-6"/>
          <w:sz w:val="25"/>
        </w:rPr>
        <w:t> </w:t>
      </w:r>
      <w:r>
        <w:rPr>
          <w:sz w:val="25"/>
        </w:rPr>
        <w:t>plaintiff.</w:t>
      </w:r>
    </w:p>
    <w:p>
      <w:pPr>
        <w:pStyle w:val="BodyText"/>
        <w:spacing w:before="10"/>
        <w:rPr>
          <w:sz w:val="24"/>
        </w:rPr>
      </w:pPr>
    </w:p>
    <w:p>
      <w:pPr>
        <w:pStyle w:val="ListParagraph"/>
        <w:numPr>
          <w:ilvl w:val="0"/>
          <w:numId w:val="3"/>
        </w:numPr>
        <w:tabs>
          <w:tab w:pos="1221" w:val="left" w:leader="none"/>
        </w:tabs>
        <w:spacing w:line="480" w:lineRule="auto" w:before="0" w:after="0"/>
        <w:ind w:left="500" w:right="433" w:firstLine="0"/>
        <w:jc w:val="both"/>
        <w:rPr>
          <w:sz w:val="25"/>
        </w:rPr>
      </w:pPr>
      <w:r>
        <w:rPr>
          <w:sz w:val="25"/>
        </w:rPr>
        <w:t>Article 142, as seen above, incorporates two distinct concepts. The first is of dispossession and the second is of discontinuance of possession. Dispossession connotes an ouster; it involves a situation where a person is deprived of her/his possession with the coming of another person into possession. Dispossession implies deprivation of a right to possess which is not voluntary and involves an act of ouster which displaces the person who was in possession of the property. The expression ‗dispossession‘ is defined in </w:t>
      </w:r>
      <w:r>
        <w:rPr>
          <w:b/>
          <w:sz w:val="25"/>
        </w:rPr>
        <w:t>Black‘s Law Dictionary</w:t>
      </w:r>
      <w:r>
        <w:rPr>
          <w:sz w:val="25"/>
          <w:vertAlign w:val="superscript"/>
        </w:rPr>
        <w:t>151</w:t>
      </w:r>
      <w:r>
        <w:rPr>
          <w:sz w:val="25"/>
          <w:vertAlign w:val="baseline"/>
        </w:rPr>
        <w:t> as</w:t>
      </w:r>
      <w:r>
        <w:rPr>
          <w:spacing w:val="1"/>
          <w:sz w:val="25"/>
          <w:vertAlign w:val="baseline"/>
        </w:rPr>
        <w:t> </w:t>
      </w:r>
      <w:r>
        <w:rPr>
          <w:sz w:val="25"/>
          <w:vertAlign w:val="baseline"/>
        </w:rPr>
        <w:t>follows:</w:t>
      </w:r>
    </w:p>
    <w:p>
      <w:pPr>
        <w:spacing w:line="276" w:lineRule="auto" w:before="1"/>
        <w:ind w:left="1940" w:right="2264" w:firstLine="0"/>
        <w:jc w:val="both"/>
        <w:rPr>
          <w:sz w:val="21"/>
        </w:rPr>
      </w:pPr>
      <w:r>
        <w:rPr>
          <w:spacing w:val="-1"/>
          <w:w w:val="33"/>
          <w:sz w:val="21"/>
        </w:rPr>
        <w:t>―</w:t>
      </w:r>
      <w:r>
        <w:rPr>
          <w:w w:val="100"/>
          <w:sz w:val="21"/>
        </w:rPr>
        <w:t>D</w:t>
      </w:r>
      <w:r>
        <w:rPr>
          <w:spacing w:val="-1"/>
          <w:w w:val="100"/>
          <w:sz w:val="21"/>
        </w:rPr>
        <w:t>ep</w:t>
      </w:r>
      <w:r>
        <w:rPr>
          <w:spacing w:val="-3"/>
          <w:w w:val="100"/>
          <w:sz w:val="21"/>
        </w:rPr>
        <w:t>r</w:t>
      </w:r>
      <w:r>
        <w:rPr>
          <w:w w:val="100"/>
          <w:sz w:val="21"/>
        </w:rPr>
        <w:t>i</w:t>
      </w:r>
      <w:r>
        <w:rPr>
          <w:spacing w:val="-3"/>
          <w:w w:val="100"/>
          <w:sz w:val="21"/>
        </w:rPr>
        <w:t>v</w:t>
      </w:r>
      <w:r>
        <w:rPr>
          <w:spacing w:val="-1"/>
          <w:w w:val="100"/>
          <w:sz w:val="21"/>
        </w:rPr>
        <w:t>at</w:t>
      </w:r>
      <w:r>
        <w:rPr>
          <w:w w:val="100"/>
          <w:sz w:val="21"/>
        </w:rPr>
        <w:t>i</w:t>
      </w:r>
      <w:r>
        <w:rPr>
          <w:spacing w:val="-1"/>
          <w:w w:val="100"/>
          <w:sz w:val="21"/>
        </w:rPr>
        <w:t>o</w:t>
      </w:r>
      <w:r>
        <w:rPr>
          <w:w w:val="100"/>
          <w:sz w:val="21"/>
        </w:rPr>
        <w:t>n</w:t>
      </w:r>
      <w:r>
        <w:rPr>
          <w:sz w:val="21"/>
        </w:rPr>
        <w:t>  </w:t>
      </w:r>
      <w:r>
        <w:rPr>
          <w:spacing w:val="-10"/>
          <w:sz w:val="21"/>
        </w:rPr>
        <w:t> </w:t>
      </w:r>
      <w:r>
        <w:rPr>
          <w:spacing w:val="-3"/>
          <w:w w:val="100"/>
          <w:sz w:val="21"/>
        </w:rPr>
        <w:t>o</w:t>
      </w:r>
      <w:r>
        <w:rPr>
          <w:spacing w:val="1"/>
          <w:w w:val="100"/>
          <w:sz w:val="21"/>
        </w:rPr>
        <w:t>f</w:t>
      </w:r>
      <w:r>
        <w:rPr>
          <w:w w:val="100"/>
          <w:sz w:val="21"/>
        </w:rPr>
        <w:t>,</w:t>
      </w:r>
      <w:r>
        <w:rPr>
          <w:sz w:val="21"/>
        </w:rPr>
        <w:t>  </w:t>
      </w:r>
      <w:r>
        <w:rPr>
          <w:spacing w:val="-11"/>
          <w:sz w:val="21"/>
        </w:rPr>
        <w:t> </w:t>
      </w:r>
      <w:r>
        <w:rPr>
          <w:spacing w:val="-1"/>
          <w:w w:val="100"/>
          <w:sz w:val="21"/>
        </w:rPr>
        <w:t>o</w:t>
      </w:r>
      <w:r>
        <w:rPr>
          <w:w w:val="100"/>
          <w:sz w:val="21"/>
        </w:rPr>
        <w:t>r</w:t>
      </w:r>
      <w:r>
        <w:rPr>
          <w:sz w:val="21"/>
        </w:rPr>
        <w:t>  </w:t>
      </w:r>
      <w:r>
        <w:rPr>
          <w:spacing w:val="-11"/>
          <w:sz w:val="21"/>
        </w:rPr>
        <w:t> </w:t>
      </w:r>
      <w:r>
        <w:rPr>
          <w:spacing w:val="-1"/>
          <w:w w:val="100"/>
          <w:sz w:val="21"/>
        </w:rPr>
        <w:t>e</w:t>
      </w:r>
      <w:r>
        <w:rPr>
          <w:spacing w:val="-3"/>
          <w:w w:val="100"/>
          <w:sz w:val="21"/>
        </w:rPr>
        <w:t>v</w:t>
      </w:r>
      <w:r>
        <w:rPr>
          <w:w w:val="100"/>
          <w:sz w:val="21"/>
        </w:rPr>
        <w:t>ic</w:t>
      </w:r>
      <w:r>
        <w:rPr>
          <w:spacing w:val="-2"/>
          <w:w w:val="100"/>
          <w:sz w:val="21"/>
        </w:rPr>
        <w:t>t</w:t>
      </w:r>
      <w:r>
        <w:rPr>
          <w:w w:val="100"/>
          <w:sz w:val="21"/>
        </w:rPr>
        <w:t>i</w:t>
      </w:r>
      <w:r>
        <w:rPr>
          <w:w w:val="100"/>
          <w:sz w:val="21"/>
        </w:rPr>
        <w:t>on</w:t>
      </w:r>
      <w:r>
        <w:rPr>
          <w:sz w:val="21"/>
        </w:rPr>
        <w:t>  </w:t>
      </w:r>
      <w:r>
        <w:rPr>
          <w:spacing w:val="-10"/>
          <w:sz w:val="21"/>
        </w:rPr>
        <w:t> </w:t>
      </w:r>
      <w:r>
        <w:rPr>
          <w:spacing w:val="1"/>
          <w:w w:val="100"/>
          <w:sz w:val="21"/>
        </w:rPr>
        <w:t>f</w:t>
      </w:r>
      <w:r>
        <w:rPr>
          <w:spacing w:val="-4"/>
          <w:w w:val="100"/>
          <w:sz w:val="21"/>
        </w:rPr>
        <w:t>r</w:t>
      </w:r>
      <w:r>
        <w:rPr>
          <w:spacing w:val="-3"/>
          <w:w w:val="100"/>
          <w:sz w:val="21"/>
        </w:rPr>
        <w:t>o</w:t>
      </w:r>
      <w:r>
        <w:rPr>
          <w:spacing w:val="1"/>
          <w:w w:val="100"/>
          <w:sz w:val="21"/>
        </w:rPr>
        <w:t>m</w:t>
      </w:r>
      <w:r>
        <w:rPr>
          <w:w w:val="100"/>
          <w:sz w:val="21"/>
        </w:rPr>
        <w:t>,</w:t>
      </w:r>
      <w:r>
        <w:rPr>
          <w:sz w:val="21"/>
        </w:rPr>
        <w:t>  </w:t>
      </w:r>
      <w:r>
        <w:rPr>
          <w:spacing w:val="-11"/>
          <w:sz w:val="21"/>
        </w:rPr>
        <w:t> </w:t>
      </w:r>
      <w:r>
        <w:rPr>
          <w:spacing w:val="-1"/>
          <w:w w:val="100"/>
          <w:sz w:val="21"/>
        </w:rPr>
        <w:t>r</w:t>
      </w:r>
      <w:r>
        <w:rPr>
          <w:w w:val="100"/>
          <w:sz w:val="21"/>
        </w:rPr>
        <w:t>i</w:t>
      </w:r>
      <w:r>
        <w:rPr>
          <w:w w:val="100"/>
          <w:sz w:val="21"/>
        </w:rPr>
        <w:t>gh</w:t>
      </w:r>
      <w:r>
        <w:rPr>
          <w:spacing w:val="-4"/>
          <w:w w:val="100"/>
          <w:sz w:val="21"/>
        </w:rPr>
        <w:t>t</w:t>
      </w:r>
      <w:r>
        <w:rPr>
          <w:spacing w:val="1"/>
          <w:w w:val="100"/>
          <w:sz w:val="21"/>
        </w:rPr>
        <w:t>f</w:t>
      </w:r>
      <w:r>
        <w:rPr>
          <w:spacing w:val="-3"/>
          <w:w w:val="100"/>
          <w:sz w:val="21"/>
        </w:rPr>
        <w:t>u</w:t>
      </w:r>
      <w:r>
        <w:rPr>
          <w:w w:val="100"/>
          <w:sz w:val="21"/>
        </w:rPr>
        <w:t>l</w:t>
      </w:r>
      <w:r>
        <w:rPr>
          <w:sz w:val="21"/>
        </w:rPr>
        <w:t>  </w:t>
      </w:r>
      <w:r>
        <w:rPr>
          <w:spacing w:val="-9"/>
          <w:sz w:val="21"/>
        </w:rPr>
        <w:t> </w:t>
      </w:r>
      <w:r>
        <w:rPr>
          <w:w w:val="100"/>
          <w:sz w:val="21"/>
        </w:rPr>
        <w:t>po</w:t>
      </w:r>
      <w:r>
        <w:rPr>
          <w:spacing w:val="-3"/>
          <w:w w:val="100"/>
          <w:sz w:val="21"/>
        </w:rPr>
        <w:t>s</w:t>
      </w:r>
      <w:r>
        <w:rPr>
          <w:spacing w:val="-3"/>
          <w:w w:val="100"/>
          <w:sz w:val="21"/>
        </w:rPr>
        <w:t>s</w:t>
      </w:r>
      <w:r>
        <w:rPr>
          <w:w w:val="100"/>
          <w:sz w:val="21"/>
        </w:rPr>
        <w:t>ess</w:t>
      </w:r>
      <w:r>
        <w:rPr>
          <w:spacing w:val="-2"/>
          <w:w w:val="100"/>
          <w:sz w:val="21"/>
        </w:rPr>
        <w:t>i</w:t>
      </w:r>
      <w:r>
        <w:rPr>
          <w:w w:val="100"/>
          <w:sz w:val="21"/>
        </w:rPr>
        <w:t>on</w:t>
      </w:r>
      <w:r>
        <w:rPr>
          <w:sz w:val="21"/>
        </w:rPr>
        <w:t>  </w:t>
      </w:r>
      <w:r>
        <w:rPr>
          <w:spacing w:val="-10"/>
          <w:sz w:val="21"/>
        </w:rPr>
        <w:t> </w:t>
      </w:r>
      <w:r>
        <w:rPr>
          <w:spacing w:val="-3"/>
          <w:w w:val="100"/>
          <w:sz w:val="21"/>
        </w:rPr>
        <w:t>o</w:t>
      </w:r>
      <w:r>
        <w:rPr>
          <w:w w:val="100"/>
          <w:sz w:val="21"/>
        </w:rPr>
        <w:t>f </w:t>
      </w:r>
      <w:r>
        <w:rPr>
          <w:sz w:val="21"/>
        </w:rPr>
        <w:t>property; the wrongful taking or withholding of possession of land from the person lawfully entitled to it;</w:t>
      </w:r>
      <w:r>
        <w:rPr>
          <w:spacing w:val="-22"/>
          <w:sz w:val="21"/>
        </w:rPr>
        <w:t> </w:t>
      </w:r>
      <w:r>
        <w:rPr>
          <w:sz w:val="21"/>
        </w:rPr>
        <w:t>ouster.‖</w:t>
      </w:r>
    </w:p>
    <w:p>
      <w:pPr>
        <w:pStyle w:val="BodyText"/>
        <w:rPr>
          <w:sz w:val="20"/>
        </w:rPr>
      </w:pPr>
    </w:p>
    <w:p>
      <w:pPr>
        <w:pStyle w:val="BodyText"/>
        <w:rPr>
          <w:sz w:val="20"/>
        </w:rPr>
      </w:pPr>
    </w:p>
    <w:p>
      <w:pPr>
        <w:pStyle w:val="BodyText"/>
        <w:spacing w:before="10"/>
        <w:rPr>
          <w:sz w:val="19"/>
        </w:rPr>
      </w:pPr>
      <w:r>
        <w:rPr/>
        <w:pict>
          <v:rect style="position:absolute;margin-left:72.024002pt;margin-top:13.40138pt;width:144.020pt;height:.599980pt;mso-position-horizontal-relative:page;mso-position-vertical-relative:paragraph;z-index:-1568409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151</w:t>
      </w:r>
      <w:r>
        <w:rPr>
          <w:sz w:val="18"/>
          <w:vertAlign w:val="baseline"/>
        </w:rPr>
        <w:t>Black‘s Law Dictionary, Tenth Edition at p. 572</w:t>
      </w:r>
    </w:p>
    <w:p>
      <w:pPr>
        <w:spacing w:after="0"/>
        <w:jc w:val="left"/>
        <w:rPr>
          <w:sz w:val="18"/>
        </w:rPr>
        <w:sectPr>
          <w:pgSz w:w="11910" w:h="16840"/>
          <w:pgMar w:header="721" w:footer="1014" w:top="1300" w:bottom="1200" w:left="940" w:right="1000"/>
        </w:sectPr>
      </w:pPr>
    </w:p>
    <w:p>
      <w:pPr>
        <w:spacing w:line="480" w:lineRule="auto" w:before="121"/>
        <w:ind w:left="500" w:right="437" w:firstLine="0"/>
        <w:jc w:val="both"/>
        <w:rPr>
          <w:sz w:val="25"/>
        </w:rPr>
      </w:pPr>
      <w:r>
        <w:rPr>
          <w:sz w:val="25"/>
        </w:rPr>
        <w:t>The expressions ‗discontinuance‘ and ‗dispossession‘ have been defined in </w:t>
      </w:r>
      <w:r>
        <w:rPr>
          <w:b/>
          <w:sz w:val="25"/>
        </w:rPr>
        <w:t>P Ramanatha Aiyar‘s Advanced Law Lexicon</w:t>
      </w:r>
      <w:r>
        <w:rPr>
          <w:sz w:val="25"/>
          <w:vertAlign w:val="superscript"/>
        </w:rPr>
        <w:t>152</w:t>
      </w:r>
      <w:r>
        <w:rPr>
          <w:sz w:val="25"/>
          <w:vertAlign w:val="baseline"/>
        </w:rPr>
        <w:t>:</w:t>
      </w:r>
    </w:p>
    <w:p>
      <w:pPr>
        <w:spacing w:line="276" w:lineRule="auto" w:before="1"/>
        <w:ind w:left="1940" w:right="2264" w:firstLine="0"/>
        <w:jc w:val="both"/>
        <w:rPr>
          <w:sz w:val="21"/>
        </w:rPr>
      </w:pPr>
      <w:r>
        <w:rPr>
          <w:w w:val="33"/>
          <w:sz w:val="21"/>
        </w:rPr>
        <w:t>―</w:t>
      </w:r>
      <w:r>
        <w:rPr>
          <w:w w:val="100"/>
          <w:sz w:val="21"/>
        </w:rPr>
        <w:t>Discontinuance</w:t>
      </w:r>
      <w:r>
        <w:rPr>
          <w:sz w:val="21"/>
        </w:rPr>
        <w:t> </w:t>
      </w:r>
      <w:r>
        <w:rPr>
          <w:w w:val="100"/>
          <w:sz w:val="21"/>
        </w:rPr>
        <w:t>means</w:t>
      </w:r>
      <w:r>
        <w:rPr>
          <w:sz w:val="21"/>
        </w:rPr>
        <w:t> </w:t>
      </w:r>
      <w:r>
        <w:rPr>
          <w:w w:val="100"/>
          <w:sz w:val="21"/>
        </w:rPr>
        <w:t>that</w:t>
      </w:r>
      <w:r>
        <w:rPr>
          <w:sz w:val="21"/>
        </w:rPr>
        <w:t> </w:t>
      </w:r>
      <w:r>
        <w:rPr>
          <w:w w:val="100"/>
          <w:sz w:val="21"/>
        </w:rPr>
        <w:t>a</w:t>
      </w:r>
      <w:r>
        <w:rPr>
          <w:sz w:val="21"/>
        </w:rPr>
        <w:t> </w:t>
      </w:r>
      <w:r>
        <w:rPr>
          <w:w w:val="100"/>
          <w:sz w:val="21"/>
        </w:rPr>
        <w:t>person</w:t>
      </w:r>
      <w:r>
        <w:rPr>
          <w:sz w:val="21"/>
        </w:rPr>
        <w:t> </w:t>
      </w:r>
      <w:r>
        <w:rPr>
          <w:w w:val="100"/>
          <w:sz w:val="21"/>
        </w:rPr>
        <w:t>in</w:t>
      </w:r>
      <w:r>
        <w:rPr>
          <w:sz w:val="21"/>
        </w:rPr>
        <w:t> </w:t>
      </w:r>
      <w:r>
        <w:rPr>
          <w:w w:val="100"/>
          <w:sz w:val="21"/>
        </w:rPr>
        <w:t>possession</w:t>
      </w:r>
      <w:r>
        <w:rPr>
          <w:sz w:val="21"/>
        </w:rPr>
        <w:t> </w:t>
      </w:r>
      <w:r>
        <w:rPr>
          <w:w w:val="100"/>
          <w:sz w:val="21"/>
        </w:rPr>
        <w:t>goes</w:t>
      </w:r>
      <w:r>
        <w:rPr>
          <w:sz w:val="21"/>
        </w:rPr>
        <w:t> </w:t>
      </w:r>
      <w:r>
        <w:rPr>
          <w:w w:val="100"/>
          <w:sz w:val="21"/>
        </w:rPr>
        <w:t>out </w:t>
      </w:r>
      <w:r>
        <w:rPr>
          <w:sz w:val="21"/>
        </w:rPr>
        <w:t>and is followed into possession by another person. It implies that all indications of occupation have been withdrawn.‖</w:t>
      </w:r>
    </w:p>
    <w:p>
      <w:pPr>
        <w:spacing w:line="276" w:lineRule="auto" w:before="0"/>
        <w:ind w:left="1940" w:right="2262" w:firstLine="57"/>
        <w:jc w:val="both"/>
        <w:rPr>
          <w:sz w:val="21"/>
        </w:rPr>
      </w:pPr>
      <w:r>
        <w:rPr>
          <w:spacing w:val="-1"/>
          <w:w w:val="33"/>
          <w:sz w:val="21"/>
        </w:rPr>
        <w:t>―</w:t>
      </w:r>
      <w:r>
        <w:rPr>
          <w:w w:val="100"/>
          <w:sz w:val="21"/>
        </w:rPr>
        <w:t>Dis</w:t>
      </w:r>
      <w:r>
        <w:rPr>
          <w:spacing w:val="-3"/>
          <w:w w:val="100"/>
          <w:sz w:val="21"/>
        </w:rPr>
        <w:t>p</w:t>
      </w:r>
      <w:r>
        <w:rPr>
          <w:spacing w:val="-1"/>
          <w:w w:val="100"/>
          <w:sz w:val="21"/>
        </w:rPr>
        <w:t>os</w:t>
      </w:r>
      <w:r>
        <w:rPr>
          <w:spacing w:val="-3"/>
          <w:w w:val="100"/>
          <w:sz w:val="21"/>
        </w:rPr>
        <w:t>s</w:t>
      </w:r>
      <w:r>
        <w:rPr>
          <w:spacing w:val="-1"/>
          <w:w w:val="100"/>
          <w:sz w:val="21"/>
        </w:rPr>
        <w:t>es</w:t>
      </w:r>
      <w:r>
        <w:rPr>
          <w:spacing w:val="-3"/>
          <w:w w:val="100"/>
          <w:sz w:val="21"/>
        </w:rPr>
        <w:t>s</w:t>
      </w:r>
      <w:r>
        <w:rPr>
          <w:w w:val="100"/>
          <w:sz w:val="21"/>
        </w:rPr>
        <w:t>i</w:t>
      </w:r>
      <w:r>
        <w:rPr>
          <w:spacing w:val="-1"/>
          <w:w w:val="100"/>
          <w:sz w:val="21"/>
        </w:rPr>
        <w:t>o</w:t>
      </w:r>
      <w:r>
        <w:rPr>
          <w:w w:val="100"/>
          <w:sz w:val="21"/>
        </w:rPr>
        <w:t>n</w:t>
      </w:r>
      <w:r>
        <w:rPr>
          <w:spacing w:val="28"/>
          <w:sz w:val="21"/>
        </w:rPr>
        <w:t> </w:t>
      </w:r>
      <w:r>
        <w:rPr>
          <w:spacing w:val="-1"/>
          <w:w w:val="100"/>
          <w:sz w:val="21"/>
        </w:rPr>
        <w:t>o</w:t>
      </w:r>
      <w:r>
        <w:rPr>
          <w:w w:val="100"/>
          <w:sz w:val="21"/>
        </w:rPr>
        <w:t>r</w:t>
      </w:r>
      <w:r>
        <w:rPr>
          <w:sz w:val="21"/>
        </w:rPr>
        <w:t> </w:t>
      </w:r>
      <w:r>
        <w:rPr>
          <w:spacing w:val="-29"/>
          <w:sz w:val="21"/>
        </w:rPr>
        <w:t> </w:t>
      </w:r>
      <w:r>
        <w:rPr>
          <w:spacing w:val="-1"/>
          <w:w w:val="100"/>
          <w:sz w:val="21"/>
        </w:rPr>
        <w:t>ouste</w:t>
      </w:r>
      <w:r>
        <w:rPr>
          <w:w w:val="100"/>
          <w:sz w:val="21"/>
        </w:rPr>
        <w:t>r</w:t>
      </w:r>
      <w:r>
        <w:rPr>
          <w:spacing w:val="27"/>
          <w:sz w:val="21"/>
        </w:rPr>
        <w:t> </w:t>
      </w:r>
      <w:r>
        <w:rPr>
          <w:w w:val="100"/>
          <w:sz w:val="21"/>
        </w:rPr>
        <w:t>is</w:t>
      </w:r>
      <w:r>
        <w:rPr>
          <w:sz w:val="21"/>
        </w:rPr>
        <w:t> </w:t>
      </w:r>
      <w:r>
        <w:rPr>
          <w:spacing w:val="-29"/>
          <w:sz w:val="21"/>
        </w:rPr>
        <w:t> </w:t>
      </w:r>
      <w:r>
        <w:rPr>
          <w:spacing w:val="-2"/>
          <w:w w:val="100"/>
          <w:sz w:val="21"/>
        </w:rPr>
        <w:t>w</w:t>
      </w:r>
      <w:r>
        <w:rPr>
          <w:spacing w:val="-1"/>
          <w:w w:val="100"/>
          <w:sz w:val="21"/>
        </w:rPr>
        <w:t>ron</w:t>
      </w:r>
      <w:r>
        <w:rPr>
          <w:spacing w:val="-2"/>
          <w:w w:val="100"/>
          <w:sz w:val="21"/>
        </w:rPr>
        <w:t>g</w:t>
      </w:r>
      <w:r>
        <w:rPr>
          <w:spacing w:val="1"/>
          <w:w w:val="100"/>
          <w:sz w:val="21"/>
        </w:rPr>
        <w:t>f</w:t>
      </w:r>
      <w:r>
        <w:rPr>
          <w:spacing w:val="-3"/>
          <w:w w:val="100"/>
          <w:sz w:val="21"/>
        </w:rPr>
        <w:t>u</w:t>
      </w:r>
      <w:r>
        <w:rPr>
          <w:w w:val="100"/>
          <w:sz w:val="21"/>
        </w:rPr>
        <w:t>lly</w:t>
      </w:r>
      <w:r>
        <w:rPr>
          <w:spacing w:val="27"/>
          <w:sz w:val="21"/>
        </w:rPr>
        <w:t> </w:t>
      </w:r>
      <w:r>
        <w:rPr>
          <w:spacing w:val="-2"/>
          <w:w w:val="100"/>
          <w:sz w:val="21"/>
        </w:rPr>
        <w:t>t</w:t>
      </w:r>
      <w:r>
        <w:rPr>
          <w:spacing w:val="-3"/>
          <w:w w:val="100"/>
          <w:sz w:val="21"/>
        </w:rPr>
        <w:t>a</w:t>
      </w:r>
      <w:r>
        <w:rPr>
          <w:spacing w:val="2"/>
          <w:w w:val="100"/>
          <w:sz w:val="21"/>
        </w:rPr>
        <w:t>k</w:t>
      </w:r>
      <w:r>
        <w:rPr>
          <w:spacing w:val="-2"/>
          <w:w w:val="100"/>
          <w:sz w:val="21"/>
        </w:rPr>
        <w:t>i</w:t>
      </w:r>
      <w:r>
        <w:rPr>
          <w:spacing w:val="5"/>
          <w:w w:val="100"/>
          <w:sz w:val="21"/>
        </w:rPr>
        <w:t>n</w:t>
      </w:r>
      <w:r>
        <w:rPr>
          <w:w w:val="100"/>
          <w:sz w:val="21"/>
        </w:rPr>
        <w:t>g</w:t>
      </w:r>
      <w:r>
        <w:rPr>
          <w:sz w:val="21"/>
        </w:rPr>
        <w:t> </w:t>
      </w:r>
      <w:r>
        <w:rPr>
          <w:spacing w:val="-28"/>
          <w:sz w:val="21"/>
        </w:rPr>
        <w:t> </w:t>
      </w:r>
      <w:r>
        <w:rPr>
          <w:w w:val="100"/>
          <w:sz w:val="21"/>
        </w:rPr>
        <w:t>p</w:t>
      </w:r>
      <w:r>
        <w:rPr>
          <w:spacing w:val="-3"/>
          <w:w w:val="100"/>
          <w:sz w:val="21"/>
        </w:rPr>
        <w:t>o</w:t>
      </w:r>
      <w:r>
        <w:rPr>
          <w:spacing w:val="-3"/>
          <w:w w:val="100"/>
          <w:sz w:val="21"/>
        </w:rPr>
        <w:t>s</w:t>
      </w:r>
      <w:r>
        <w:rPr>
          <w:w w:val="100"/>
          <w:sz w:val="21"/>
        </w:rPr>
        <w:t>ses</w:t>
      </w:r>
      <w:r>
        <w:rPr>
          <w:spacing w:val="-3"/>
          <w:w w:val="100"/>
          <w:sz w:val="21"/>
        </w:rPr>
        <w:t>s</w:t>
      </w:r>
      <w:r>
        <w:rPr>
          <w:w w:val="100"/>
          <w:sz w:val="21"/>
        </w:rPr>
        <w:t>i</w:t>
      </w:r>
      <w:r>
        <w:rPr>
          <w:w w:val="100"/>
          <w:sz w:val="21"/>
        </w:rPr>
        <w:t>on</w:t>
      </w:r>
      <w:r>
        <w:rPr>
          <w:sz w:val="21"/>
        </w:rPr>
        <w:t> </w:t>
      </w:r>
      <w:r>
        <w:rPr>
          <w:spacing w:val="-28"/>
          <w:sz w:val="21"/>
        </w:rPr>
        <w:t> </w:t>
      </w:r>
      <w:r>
        <w:rPr>
          <w:spacing w:val="-3"/>
          <w:w w:val="100"/>
          <w:sz w:val="21"/>
        </w:rPr>
        <w:t>o</w:t>
      </w:r>
      <w:r>
        <w:rPr>
          <w:w w:val="100"/>
          <w:sz w:val="21"/>
        </w:rPr>
        <w:t>f </w:t>
      </w:r>
      <w:r>
        <w:rPr>
          <w:sz w:val="21"/>
        </w:rPr>
        <w:t>land from its rightful owner. The dispossession applies only to cases where the owner of land has, by the act of some person, been deprived altogether of his dominion over the land itself, or the receipt of its profits. A person cannot be dispossessed of immoveable property unless he was possessed thereof at the</w:t>
      </w:r>
      <w:r>
        <w:rPr>
          <w:spacing w:val="-7"/>
          <w:sz w:val="21"/>
        </w:rPr>
        <w:t> </w:t>
      </w:r>
      <w:r>
        <w:rPr>
          <w:sz w:val="21"/>
        </w:rPr>
        <w:t>time.‖</w:t>
      </w:r>
    </w:p>
    <w:p>
      <w:pPr>
        <w:pStyle w:val="BodyText"/>
        <w:rPr>
          <w:sz w:val="24"/>
        </w:rPr>
      </w:pPr>
    </w:p>
    <w:p>
      <w:pPr>
        <w:pStyle w:val="BodyText"/>
        <w:spacing w:line="480" w:lineRule="auto" w:before="208"/>
        <w:ind w:left="500" w:right="435"/>
        <w:jc w:val="both"/>
      </w:pPr>
      <w:r>
        <w:rPr/>
        <w:t>Dispossession presupposes the pre-existing possession of the person at a given time who was subsequently dispossessed. A person who is not in possession cannot be said to be dispossessed. Discontinuance on the other hand, embodies a notion of abandonment of possession and is sometimes described as a voluntary act of the person who discontinues possession on his own accord. </w:t>
      </w:r>
      <w:r>
        <w:rPr>
          <w:b/>
        </w:rPr>
        <w:t>G W </w:t>
      </w:r>
      <w:r>
        <w:rPr>
          <w:b/>
          <w:spacing w:val="-1"/>
          <w:w w:val="99"/>
        </w:rPr>
        <w:t>P</w:t>
      </w:r>
      <w:r>
        <w:rPr>
          <w:b/>
          <w:w w:val="99"/>
        </w:rPr>
        <w:t>a</w:t>
      </w:r>
      <w:r>
        <w:rPr>
          <w:b/>
          <w:spacing w:val="1"/>
          <w:w w:val="99"/>
        </w:rPr>
        <w:t>t</w:t>
      </w:r>
      <w:r>
        <w:rPr>
          <w:b/>
          <w:w w:val="99"/>
        </w:rPr>
        <w:t>o</w:t>
      </w:r>
      <w:r>
        <w:rPr>
          <w:b/>
          <w:spacing w:val="-1"/>
          <w:w w:val="99"/>
        </w:rPr>
        <w:t>n</w:t>
      </w:r>
      <w:r>
        <w:rPr>
          <w:spacing w:val="-1"/>
          <w:w w:val="101"/>
          <w:vertAlign w:val="superscript"/>
        </w:rPr>
        <w:t>15</w:t>
      </w:r>
      <w:r>
        <w:rPr>
          <w:w w:val="101"/>
          <w:vertAlign w:val="superscript"/>
        </w:rPr>
        <w:t>3</w:t>
      </w:r>
      <w:r>
        <w:rPr>
          <w:vertAlign w:val="baseline"/>
        </w:rPr>
        <w:t> </w:t>
      </w:r>
      <w:r>
        <w:rPr>
          <w:spacing w:val="-18"/>
          <w:vertAlign w:val="baseline"/>
        </w:rPr>
        <w:t> </w:t>
      </w:r>
      <w:r>
        <w:rPr>
          <w:spacing w:val="-1"/>
          <w:w w:val="99"/>
          <w:vertAlign w:val="baseline"/>
        </w:rPr>
        <w:t>i</w:t>
      </w:r>
      <w:r>
        <w:rPr>
          <w:w w:val="99"/>
          <w:vertAlign w:val="baseline"/>
        </w:rPr>
        <w:t>n</w:t>
      </w:r>
      <w:r>
        <w:rPr>
          <w:vertAlign w:val="baseline"/>
        </w:rPr>
        <w:t> </w:t>
      </w:r>
      <w:r>
        <w:rPr>
          <w:spacing w:val="-17"/>
          <w:vertAlign w:val="baseline"/>
        </w:rPr>
        <w:t> </w:t>
      </w:r>
      <w:r>
        <w:rPr>
          <w:spacing w:val="-1"/>
          <w:w w:val="99"/>
          <w:vertAlign w:val="baseline"/>
        </w:rPr>
        <w:t>hi</w:t>
      </w:r>
      <w:r>
        <w:rPr>
          <w:w w:val="99"/>
          <w:vertAlign w:val="baseline"/>
        </w:rPr>
        <w:t>s</w:t>
      </w:r>
      <w:r>
        <w:rPr>
          <w:vertAlign w:val="baseline"/>
        </w:rPr>
        <w:t> </w:t>
      </w:r>
      <w:r>
        <w:rPr>
          <w:spacing w:val="-17"/>
          <w:vertAlign w:val="baseline"/>
        </w:rPr>
        <w:t> </w:t>
      </w:r>
      <w:r>
        <w:rPr>
          <w:w w:val="99"/>
          <w:vertAlign w:val="baseline"/>
        </w:rPr>
        <w:t>se</w:t>
      </w:r>
      <w:r>
        <w:rPr>
          <w:spacing w:val="1"/>
          <w:w w:val="99"/>
          <w:vertAlign w:val="baseline"/>
        </w:rPr>
        <w:t>m</w:t>
      </w:r>
      <w:r>
        <w:rPr>
          <w:spacing w:val="-1"/>
          <w:w w:val="99"/>
          <w:vertAlign w:val="baseline"/>
        </w:rPr>
        <w:t>ina</w:t>
      </w:r>
      <w:r>
        <w:rPr>
          <w:w w:val="99"/>
          <w:vertAlign w:val="baseline"/>
        </w:rPr>
        <w:t>l</w:t>
      </w:r>
      <w:r>
        <w:rPr>
          <w:vertAlign w:val="baseline"/>
        </w:rPr>
        <w:t> </w:t>
      </w:r>
      <w:r>
        <w:rPr>
          <w:spacing w:val="-17"/>
          <w:vertAlign w:val="baseline"/>
        </w:rPr>
        <w:t> </w:t>
      </w:r>
      <w:r>
        <w:rPr>
          <w:w w:val="99"/>
          <w:vertAlign w:val="baseline"/>
        </w:rPr>
        <w:t>tr</w:t>
      </w:r>
      <w:r>
        <w:rPr>
          <w:spacing w:val="-1"/>
          <w:w w:val="99"/>
          <w:vertAlign w:val="baseline"/>
        </w:rPr>
        <w:t>e</w:t>
      </w:r>
      <w:r>
        <w:rPr>
          <w:w w:val="99"/>
          <w:vertAlign w:val="baseline"/>
        </w:rPr>
        <w:t>atise</w:t>
      </w:r>
      <w:r>
        <w:rPr>
          <w:vertAlign w:val="baseline"/>
        </w:rPr>
        <w:t> </w:t>
      </w:r>
      <w:r>
        <w:rPr>
          <w:spacing w:val="-17"/>
          <w:vertAlign w:val="baseline"/>
        </w:rPr>
        <w:t> </w:t>
      </w:r>
      <w:r>
        <w:rPr>
          <w:spacing w:val="-1"/>
          <w:w w:val="99"/>
          <w:vertAlign w:val="baseline"/>
        </w:rPr>
        <w:t>o</w:t>
      </w:r>
      <w:r>
        <w:rPr>
          <w:w w:val="99"/>
          <w:vertAlign w:val="baseline"/>
        </w:rPr>
        <w:t>n</w:t>
      </w:r>
      <w:r>
        <w:rPr>
          <w:vertAlign w:val="baseline"/>
        </w:rPr>
        <w:t> </w:t>
      </w:r>
      <w:r>
        <w:rPr>
          <w:spacing w:val="-19"/>
          <w:vertAlign w:val="baseline"/>
        </w:rPr>
        <w:t> </w:t>
      </w:r>
      <w:r>
        <w:rPr>
          <w:spacing w:val="4"/>
          <w:w w:val="33"/>
          <w:vertAlign w:val="baseline"/>
        </w:rPr>
        <w:t>―</w:t>
      </w:r>
      <w:r>
        <w:rPr>
          <w:b/>
          <w:w w:val="99"/>
          <w:vertAlign w:val="baseline"/>
        </w:rPr>
        <w:t>J</w:t>
      </w:r>
      <w:r>
        <w:rPr>
          <w:b/>
          <w:spacing w:val="1"/>
          <w:w w:val="99"/>
          <w:vertAlign w:val="baseline"/>
        </w:rPr>
        <w:t>u</w:t>
      </w:r>
      <w:r>
        <w:rPr>
          <w:b/>
          <w:spacing w:val="-1"/>
          <w:w w:val="99"/>
          <w:vertAlign w:val="baseline"/>
        </w:rPr>
        <w:t>r</w:t>
      </w:r>
      <w:r>
        <w:rPr>
          <w:b/>
          <w:w w:val="99"/>
          <w:vertAlign w:val="baseline"/>
        </w:rPr>
        <w:t>is</w:t>
      </w:r>
      <w:r>
        <w:rPr>
          <w:b/>
          <w:spacing w:val="1"/>
          <w:w w:val="99"/>
          <w:vertAlign w:val="baseline"/>
        </w:rPr>
        <w:t>p</w:t>
      </w:r>
      <w:r>
        <w:rPr>
          <w:b/>
          <w:spacing w:val="-1"/>
          <w:w w:val="99"/>
          <w:vertAlign w:val="baseline"/>
        </w:rPr>
        <w:t>r</w:t>
      </w:r>
      <w:r>
        <w:rPr>
          <w:b/>
          <w:w w:val="99"/>
          <w:vertAlign w:val="baseline"/>
        </w:rPr>
        <w:t>ud</w:t>
      </w:r>
      <w:r>
        <w:rPr>
          <w:b/>
          <w:w w:val="99"/>
          <w:vertAlign w:val="baseline"/>
        </w:rPr>
        <w:t>e</w:t>
      </w:r>
      <w:r>
        <w:rPr>
          <w:b/>
          <w:spacing w:val="1"/>
          <w:w w:val="99"/>
          <w:vertAlign w:val="baseline"/>
        </w:rPr>
        <w:t>n</w:t>
      </w:r>
      <w:r>
        <w:rPr>
          <w:b/>
          <w:w w:val="99"/>
          <w:vertAlign w:val="baseline"/>
        </w:rPr>
        <w:t>ce</w:t>
      </w:r>
      <w:r>
        <w:rPr>
          <w:w w:val="80"/>
          <w:vertAlign w:val="baseline"/>
        </w:rPr>
        <w:t>‖</w:t>
      </w:r>
      <w:r>
        <w:rPr>
          <w:vertAlign w:val="baseline"/>
        </w:rPr>
        <w:t> </w:t>
      </w:r>
      <w:r>
        <w:rPr>
          <w:spacing w:val="-16"/>
          <w:vertAlign w:val="baseline"/>
        </w:rPr>
        <w:t> </w:t>
      </w:r>
      <w:r>
        <w:rPr>
          <w:spacing w:val="-1"/>
          <w:w w:val="99"/>
          <w:vertAlign w:val="baseline"/>
        </w:rPr>
        <w:t>n</w:t>
      </w:r>
      <w:r>
        <w:rPr>
          <w:w w:val="99"/>
          <w:vertAlign w:val="baseline"/>
        </w:rPr>
        <w:t>otes</w:t>
      </w:r>
      <w:r>
        <w:rPr>
          <w:vertAlign w:val="baseline"/>
        </w:rPr>
        <w:t> </w:t>
      </w:r>
      <w:r>
        <w:rPr>
          <w:spacing w:val="-17"/>
          <w:vertAlign w:val="baseline"/>
        </w:rPr>
        <w:t> </w:t>
      </w:r>
      <w:r>
        <w:rPr>
          <w:w w:val="99"/>
          <w:vertAlign w:val="baseline"/>
        </w:rPr>
        <w:t>th</w:t>
      </w:r>
      <w:r>
        <w:rPr>
          <w:spacing w:val="-2"/>
          <w:w w:val="99"/>
          <w:vertAlign w:val="baseline"/>
        </w:rPr>
        <w:t>a</w:t>
      </w:r>
      <w:r>
        <w:rPr>
          <w:w w:val="99"/>
          <w:vertAlign w:val="baseline"/>
        </w:rPr>
        <w:t>t</w:t>
      </w:r>
      <w:r>
        <w:rPr>
          <w:vertAlign w:val="baseline"/>
        </w:rPr>
        <w:t> </w:t>
      </w:r>
      <w:r>
        <w:rPr>
          <w:spacing w:val="-17"/>
          <w:vertAlign w:val="baseline"/>
        </w:rPr>
        <w:t> </w:t>
      </w:r>
      <w:r>
        <w:rPr>
          <w:spacing w:val="-2"/>
          <w:w w:val="33"/>
          <w:vertAlign w:val="baseline"/>
        </w:rPr>
        <w:t>―</w:t>
      </w:r>
      <w:r>
        <w:rPr>
          <w:spacing w:val="-1"/>
          <w:w w:val="99"/>
          <w:vertAlign w:val="baseline"/>
        </w:rPr>
        <w:t>a</w:t>
      </w:r>
      <w:r>
        <w:rPr>
          <w:w w:val="99"/>
          <w:vertAlign w:val="baseline"/>
        </w:rPr>
        <w:t>s</w:t>
      </w:r>
      <w:r>
        <w:rPr>
          <w:vertAlign w:val="baseline"/>
        </w:rPr>
        <w:t> </w:t>
      </w:r>
      <w:r>
        <w:rPr>
          <w:spacing w:val="-17"/>
          <w:vertAlign w:val="baseline"/>
        </w:rPr>
        <w:t> </w:t>
      </w:r>
      <w:r>
        <w:rPr>
          <w:spacing w:val="-1"/>
          <w:w w:val="99"/>
          <w:vertAlign w:val="baseline"/>
        </w:rPr>
        <w:t>wit</w:t>
      </w:r>
      <w:r>
        <w:rPr>
          <w:w w:val="99"/>
          <w:vertAlign w:val="baseline"/>
        </w:rPr>
        <w:t>h</w:t>
      </w:r>
      <w:r>
        <w:rPr>
          <w:vertAlign w:val="baseline"/>
        </w:rPr>
        <w:t> </w:t>
      </w:r>
      <w:r>
        <w:rPr>
          <w:spacing w:val="-17"/>
          <w:vertAlign w:val="baseline"/>
        </w:rPr>
        <w:t> </w:t>
      </w:r>
      <w:r>
        <w:rPr>
          <w:w w:val="99"/>
          <w:vertAlign w:val="baseline"/>
        </w:rPr>
        <w:t>m</w:t>
      </w:r>
      <w:r>
        <w:rPr>
          <w:spacing w:val="-1"/>
          <w:w w:val="99"/>
          <w:vertAlign w:val="baseline"/>
        </w:rPr>
        <w:t>ost </w:t>
      </w:r>
      <w:r>
        <w:rPr>
          <w:vertAlign w:val="baseline"/>
        </w:rPr>
        <w:t>words in the English language, the word ‗possession‘ has a variety of uses and a variety</w:t>
      </w:r>
      <w:r>
        <w:rPr>
          <w:spacing w:val="18"/>
          <w:vertAlign w:val="baseline"/>
        </w:rPr>
        <w:t> </w:t>
      </w:r>
      <w:r>
        <w:rPr>
          <w:vertAlign w:val="baseline"/>
        </w:rPr>
        <w:t>of</w:t>
      </w:r>
      <w:r>
        <w:rPr>
          <w:spacing w:val="22"/>
          <w:vertAlign w:val="baseline"/>
        </w:rPr>
        <w:t> </w:t>
      </w:r>
      <w:r>
        <w:rPr>
          <w:vertAlign w:val="baseline"/>
        </w:rPr>
        <w:t>meanings,</w:t>
      </w:r>
      <w:r>
        <w:rPr>
          <w:spacing w:val="24"/>
          <w:vertAlign w:val="baseline"/>
        </w:rPr>
        <w:t> </w:t>
      </w:r>
      <w:r>
        <w:rPr>
          <w:vertAlign w:val="baseline"/>
        </w:rPr>
        <w:t>depending</w:t>
      </w:r>
      <w:r>
        <w:rPr>
          <w:spacing w:val="21"/>
          <w:vertAlign w:val="baseline"/>
        </w:rPr>
        <w:t> </w:t>
      </w:r>
      <w:r>
        <w:rPr>
          <w:vertAlign w:val="baseline"/>
        </w:rPr>
        <w:t>upon</w:t>
      </w:r>
      <w:r>
        <w:rPr>
          <w:spacing w:val="22"/>
          <w:vertAlign w:val="baseline"/>
        </w:rPr>
        <w:t> </w:t>
      </w:r>
      <w:r>
        <w:rPr>
          <w:vertAlign w:val="baseline"/>
        </w:rPr>
        <w:t>context</w:t>
      </w:r>
      <w:r>
        <w:rPr>
          <w:spacing w:val="22"/>
          <w:vertAlign w:val="baseline"/>
        </w:rPr>
        <w:t> </w:t>
      </w:r>
      <w:r>
        <w:rPr>
          <w:vertAlign w:val="baseline"/>
        </w:rPr>
        <w:t>and</w:t>
      </w:r>
      <w:r>
        <w:rPr>
          <w:spacing w:val="21"/>
          <w:vertAlign w:val="baseline"/>
        </w:rPr>
        <w:t> </w:t>
      </w:r>
      <w:r>
        <w:rPr>
          <w:vertAlign w:val="baseline"/>
        </w:rPr>
        <w:t>use‖.</w:t>
      </w:r>
      <w:r>
        <w:rPr>
          <w:spacing w:val="22"/>
          <w:vertAlign w:val="baseline"/>
        </w:rPr>
        <w:t> </w:t>
      </w:r>
      <w:r>
        <w:rPr>
          <w:vertAlign w:val="baseline"/>
        </w:rPr>
        <w:t>The</w:t>
      </w:r>
      <w:r>
        <w:rPr>
          <w:spacing w:val="22"/>
          <w:vertAlign w:val="baseline"/>
        </w:rPr>
        <w:t> </w:t>
      </w:r>
      <w:r>
        <w:rPr>
          <w:vertAlign w:val="baseline"/>
        </w:rPr>
        <w:t>author</w:t>
      </w:r>
      <w:r>
        <w:rPr>
          <w:spacing w:val="22"/>
          <w:vertAlign w:val="baseline"/>
        </w:rPr>
        <w:t> </w:t>
      </w:r>
      <w:r>
        <w:rPr>
          <w:vertAlign w:val="baseline"/>
        </w:rPr>
        <w:t>tells</w:t>
      </w:r>
      <w:r>
        <w:rPr>
          <w:spacing w:val="22"/>
          <w:vertAlign w:val="baseline"/>
        </w:rPr>
        <w:t> </w:t>
      </w:r>
      <w:r>
        <w:rPr>
          <w:vertAlign w:val="baseline"/>
        </w:rPr>
        <w:t>us</w:t>
      </w:r>
      <w:r>
        <w:rPr>
          <w:spacing w:val="22"/>
          <w:vertAlign w:val="baseline"/>
        </w:rPr>
        <w:t> </w:t>
      </w:r>
      <w:r>
        <w:rPr>
          <w:vertAlign w:val="baseline"/>
        </w:rPr>
        <w:t>that</w:t>
      </w:r>
    </w:p>
    <w:p>
      <w:pPr>
        <w:pStyle w:val="BodyText"/>
        <w:spacing w:line="480" w:lineRule="auto" w:before="2"/>
        <w:ind w:left="500" w:right="437"/>
        <w:jc w:val="both"/>
      </w:pPr>
      <w:r>
        <w:rPr>
          <w:w w:val="33"/>
        </w:rPr>
        <w:t>―</w:t>
      </w:r>
      <w:r>
        <w:rPr>
          <w:w w:val="99"/>
        </w:rPr>
        <w:t>the</w:t>
      </w:r>
      <w:r>
        <w:rPr/>
        <w:t> </w:t>
      </w:r>
      <w:r>
        <w:rPr>
          <w:w w:val="99"/>
        </w:rPr>
        <w:t>search</w:t>
      </w:r>
      <w:r>
        <w:rPr/>
        <w:t> </w:t>
      </w:r>
      <w:r>
        <w:rPr>
          <w:w w:val="99"/>
        </w:rPr>
        <w:t>for</w:t>
      </w:r>
      <w:r>
        <w:rPr/>
        <w:t> </w:t>
      </w:r>
      <w:r>
        <w:rPr>
          <w:w w:val="99"/>
        </w:rPr>
        <w:t>one</w:t>
      </w:r>
      <w:r>
        <w:rPr/>
        <w:t> </w:t>
      </w:r>
      <w:r>
        <w:rPr>
          <w:w w:val="99"/>
        </w:rPr>
        <w:t>appropriate,</w:t>
      </w:r>
      <w:r>
        <w:rPr/>
        <w:t> </w:t>
      </w:r>
      <w:r>
        <w:rPr>
          <w:w w:val="99"/>
        </w:rPr>
        <w:t>complete</w:t>
      </w:r>
      <w:r>
        <w:rPr/>
        <w:t> </w:t>
      </w:r>
      <w:r>
        <w:rPr>
          <w:w w:val="99"/>
        </w:rPr>
        <w:t>meaning</w:t>
      </w:r>
      <w:r>
        <w:rPr/>
        <w:t> </w:t>
      </w:r>
      <w:r>
        <w:rPr>
          <w:w w:val="99"/>
        </w:rPr>
        <w:t>for</w:t>
      </w:r>
      <w:r>
        <w:rPr/>
        <w:t> </w:t>
      </w:r>
      <w:r>
        <w:rPr>
          <w:w w:val="99"/>
        </w:rPr>
        <w:t>the</w:t>
      </w:r>
      <w:r>
        <w:rPr/>
        <w:t> </w:t>
      </w:r>
      <w:r>
        <w:rPr>
          <w:w w:val="99"/>
        </w:rPr>
        <w:t>word</w:t>
      </w:r>
      <w:r>
        <w:rPr/>
        <w:t> </w:t>
      </w:r>
      <w:r>
        <w:rPr>
          <w:w w:val="99"/>
        </w:rPr>
        <w:t>is</w:t>
      </w:r>
      <w:r>
        <w:rPr/>
        <w:t> </w:t>
      </w:r>
      <w:r>
        <w:rPr>
          <w:w w:val="99"/>
        </w:rPr>
        <w:t>like</w:t>
      </w:r>
      <w:r>
        <w:rPr>
          <w:w w:val="99"/>
        </w:rPr>
        <w:t>l</w:t>
      </w:r>
      <w:r>
        <w:rPr>
          <w:w w:val="99"/>
        </w:rPr>
        <w:t>y</w:t>
      </w:r>
      <w:r>
        <w:rPr/>
        <w:t> </w:t>
      </w:r>
      <w:r>
        <w:rPr>
          <w:w w:val="99"/>
        </w:rPr>
        <w:t>to</w:t>
      </w:r>
      <w:r>
        <w:rPr/>
        <w:t> </w:t>
      </w:r>
      <w:r>
        <w:rPr>
          <w:w w:val="99"/>
        </w:rPr>
        <w:t>be</w:t>
      </w:r>
      <w:r>
        <w:rPr/>
        <w:t> </w:t>
      </w:r>
      <w:r>
        <w:rPr>
          <w:w w:val="99"/>
        </w:rPr>
        <w:t>a </w:t>
      </w:r>
      <w:r>
        <w:rPr/>
        <w:t>fruitless one‖.</w:t>
      </w:r>
    </w:p>
    <w:p>
      <w:pPr>
        <w:pStyle w:val="BodyText"/>
        <w:rPr>
          <w:sz w:val="28"/>
        </w:rPr>
      </w:pPr>
    </w:p>
    <w:p>
      <w:pPr>
        <w:spacing w:before="252"/>
        <w:ind w:left="500" w:right="0" w:firstLine="0"/>
        <w:jc w:val="both"/>
        <w:rPr>
          <w:sz w:val="25"/>
        </w:rPr>
      </w:pPr>
      <w:r>
        <w:rPr>
          <w:b/>
          <w:sz w:val="25"/>
        </w:rPr>
        <w:t>Black‘s Law Dictionary</w:t>
      </w:r>
      <w:r>
        <w:rPr>
          <w:sz w:val="25"/>
          <w:vertAlign w:val="superscript"/>
        </w:rPr>
        <w:t>154</w:t>
      </w:r>
      <w:r>
        <w:rPr>
          <w:sz w:val="25"/>
          <w:vertAlign w:val="baseline"/>
        </w:rPr>
        <w:t> defines the expression ‗possession‘ thus:</w:t>
      </w:r>
    </w:p>
    <w:p>
      <w:pPr>
        <w:spacing w:line="276" w:lineRule="auto" w:before="287"/>
        <w:ind w:left="1940" w:right="2265" w:firstLine="0"/>
        <w:jc w:val="both"/>
        <w:rPr>
          <w:sz w:val="21"/>
        </w:rPr>
      </w:pPr>
      <w:r>
        <w:rPr>
          <w:w w:val="33"/>
          <w:sz w:val="21"/>
        </w:rPr>
        <w:t>―</w:t>
      </w:r>
      <w:r>
        <w:rPr>
          <w:w w:val="100"/>
          <w:sz w:val="21"/>
        </w:rPr>
        <w:t>1.</w:t>
      </w:r>
      <w:r>
        <w:rPr>
          <w:sz w:val="21"/>
        </w:rPr>
        <w:t> </w:t>
      </w:r>
      <w:r>
        <w:rPr>
          <w:w w:val="100"/>
          <w:sz w:val="21"/>
        </w:rPr>
        <w:t>The</w:t>
      </w:r>
      <w:r>
        <w:rPr>
          <w:sz w:val="21"/>
        </w:rPr>
        <w:t> </w:t>
      </w:r>
      <w:r>
        <w:rPr>
          <w:w w:val="100"/>
          <w:sz w:val="21"/>
        </w:rPr>
        <w:t>fact</w:t>
      </w:r>
      <w:r>
        <w:rPr>
          <w:sz w:val="21"/>
        </w:rPr>
        <w:t> </w:t>
      </w:r>
      <w:r>
        <w:rPr>
          <w:w w:val="100"/>
          <w:sz w:val="21"/>
        </w:rPr>
        <w:t>of</w:t>
      </w:r>
      <w:r>
        <w:rPr>
          <w:sz w:val="21"/>
        </w:rPr>
        <w:t> </w:t>
      </w:r>
      <w:r>
        <w:rPr>
          <w:w w:val="100"/>
          <w:sz w:val="21"/>
        </w:rPr>
        <w:t>having</w:t>
      </w:r>
      <w:r>
        <w:rPr>
          <w:sz w:val="21"/>
        </w:rPr>
        <w:t> </w:t>
      </w:r>
      <w:r>
        <w:rPr>
          <w:w w:val="100"/>
          <w:sz w:val="21"/>
        </w:rPr>
        <w:t>or</w:t>
      </w:r>
      <w:r>
        <w:rPr>
          <w:sz w:val="21"/>
        </w:rPr>
        <w:t> </w:t>
      </w:r>
      <w:r>
        <w:rPr>
          <w:w w:val="100"/>
          <w:sz w:val="21"/>
        </w:rPr>
        <w:t>holding</w:t>
      </w:r>
      <w:r>
        <w:rPr>
          <w:sz w:val="21"/>
        </w:rPr>
        <w:t> </w:t>
      </w:r>
      <w:r>
        <w:rPr>
          <w:w w:val="100"/>
          <w:sz w:val="21"/>
        </w:rPr>
        <w:t>property</w:t>
      </w:r>
      <w:r>
        <w:rPr>
          <w:sz w:val="21"/>
        </w:rPr>
        <w:t> </w:t>
      </w:r>
      <w:r>
        <w:rPr>
          <w:w w:val="100"/>
          <w:sz w:val="21"/>
        </w:rPr>
        <w:t>in</w:t>
      </w:r>
      <w:r>
        <w:rPr>
          <w:sz w:val="21"/>
        </w:rPr>
        <w:t> </w:t>
      </w:r>
      <w:r>
        <w:rPr>
          <w:w w:val="100"/>
          <w:sz w:val="21"/>
        </w:rPr>
        <w:t>one‘s</w:t>
      </w:r>
      <w:r>
        <w:rPr>
          <w:sz w:val="21"/>
        </w:rPr>
        <w:t> </w:t>
      </w:r>
      <w:r>
        <w:rPr>
          <w:w w:val="100"/>
          <w:sz w:val="21"/>
        </w:rPr>
        <w:t>power;</w:t>
      </w:r>
      <w:r>
        <w:rPr>
          <w:sz w:val="21"/>
        </w:rPr>
        <w:t> </w:t>
      </w:r>
      <w:r>
        <w:rPr>
          <w:w w:val="100"/>
          <w:sz w:val="21"/>
        </w:rPr>
        <w:t>the </w:t>
      </w:r>
      <w:r>
        <w:rPr>
          <w:sz w:val="21"/>
        </w:rPr>
        <w:t>exercise of dominion over property.</w:t>
      </w:r>
    </w:p>
    <w:p>
      <w:pPr>
        <w:spacing w:line="276" w:lineRule="auto" w:before="2"/>
        <w:ind w:left="1940" w:right="2265" w:firstLine="0"/>
        <w:jc w:val="both"/>
        <w:rPr>
          <w:sz w:val="21"/>
        </w:rPr>
      </w:pPr>
      <w:r>
        <w:rPr>
          <w:sz w:val="21"/>
        </w:rPr>
        <w:t>2. The right under which one may exercise control over something to the exclusion of all others; the continuing exercise of a claim to the exclusive use of a material object.‖</w:t>
      </w:r>
    </w:p>
    <w:p>
      <w:pPr>
        <w:pStyle w:val="BodyText"/>
        <w:spacing w:before="10"/>
        <w:rPr>
          <w:sz w:val="23"/>
        </w:rPr>
      </w:pPr>
      <w:r>
        <w:rPr/>
        <w:pict>
          <v:rect style="position:absolute;margin-left:72.024002pt;margin-top:15.710413pt;width:144.020pt;height:.599980pt;mso-position-horizontal-relative:page;mso-position-vertical-relative:paragraph;z-index:-15683584;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152</w:t>
      </w:r>
      <w:r>
        <w:rPr>
          <w:sz w:val="18"/>
          <w:vertAlign w:val="baseline"/>
        </w:rPr>
        <w:t> P Ramanantha Aiyar‘s Advanced Law Lexicon, Fifth Edition at pgs. 1537 and 1563</w:t>
      </w:r>
    </w:p>
    <w:p>
      <w:pPr>
        <w:spacing w:before="0"/>
        <w:ind w:left="500" w:right="512" w:firstLine="0"/>
        <w:jc w:val="left"/>
        <w:rPr>
          <w:sz w:val="18"/>
        </w:rPr>
      </w:pPr>
      <w:r>
        <w:rPr>
          <w:sz w:val="18"/>
          <w:vertAlign w:val="superscript"/>
        </w:rPr>
        <w:t>153</w:t>
      </w:r>
      <w:r>
        <w:rPr>
          <w:sz w:val="18"/>
          <w:vertAlign w:val="baseline"/>
        </w:rPr>
        <w:t> G. </w:t>
      </w:r>
      <w:r>
        <w:rPr>
          <w:spacing w:val="3"/>
          <w:sz w:val="18"/>
          <w:vertAlign w:val="baseline"/>
        </w:rPr>
        <w:t>W. </w:t>
      </w:r>
      <w:r>
        <w:rPr>
          <w:sz w:val="18"/>
          <w:vertAlign w:val="baseline"/>
        </w:rPr>
        <w:t>Paton and David P. Derham, A Text-book of Jurisprudence, 3</w:t>
      </w:r>
      <w:r>
        <w:rPr>
          <w:sz w:val="18"/>
          <w:vertAlign w:val="superscript"/>
        </w:rPr>
        <w:t>rd</w:t>
      </w:r>
      <w:r>
        <w:rPr>
          <w:sz w:val="18"/>
          <w:vertAlign w:val="baseline"/>
        </w:rPr>
        <w:t> Edition, Oxford: Clarendon  Press (1964)</w:t>
      </w:r>
    </w:p>
    <w:p>
      <w:pPr>
        <w:spacing w:before="1"/>
        <w:ind w:left="500" w:right="0" w:firstLine="0"/>
        <w:jc w:val="left"/>
        <w:rPr>
          <w:sz w:val="18"/>
        </w:rPr>
      </w:pPr>
      <w:r>
        <w:rPr>
          <w:sz w:val="18"/>
          <w:vertAlign w:val="superscript"/>
        </w:rPr>
        <w:t>154</w:t>
      </w:r>
      <w:r>
        <w:rPr>
          <w:sz w:val="18"/>
          <w:vertAlign w:val="baseline"/>
        </w:rPr>
        <w:t> Black‘s Law Dictionary, Tenth Edition at page 1351</w:t>
      </w:r>
    </w:p>
    <w:p>
      <w:pPr>
        <w:spacing w:after="0"/>
        <w:jc w:val="left"/>
        <w:rPr>
          <w:sz w:val="18"/>
        </w:rPr>
        <w:sectPr>
          <w:pgSz w:w="11910" w:h="16840"/>
          <w:pgMar w:header="721" w:footer="1014" w:top="1300" w:bottom="1200" w:left="940" w:right="1000"/>
        </w:sectPr>
      </w:pPr>
    </w:p>
    <w:p>
      <w:pPr>
        <w:pStyle w:val="BodyText"/>
        <w:spacing w:line="480" w:lineRule="auto" w:before="121"/>
        <w:ind w:left="500" w:right="435"/>
        <w:jc w:val="both"/>
      </w:pPr>
      <w:r>
        <w:rPr/>
        <w:t>In </w:t>
      </w:r>
      <w:r>
        <w:rPr>
          <w:b/>
        </w:rPr>
        <w:t>Supdt and Remembrancer of Legal Affairs West Bengal </w:t>
      </w:r>
      <w:r>
        <w:rPr/>
        <w:t>v </w:t>
      </w:r>
      <w:r>
        <w:rPr>
          <w:b/>
        </w:rPr>
        <w:t>Anil Kumar </w:t>
      </w:r>
      <w:r>
        <w:rPr>
          <w:b/>
          <w:w w:val="99"/>
        </w:rPr>
        <w:t>Bh</w:t>
      </w:r>
      <w:r>
        <w:rPr>
          <w:b/>
          <w:w w:val="99"/>
        </w:rPr>
        <w:t>un</w:t>
      </w:r>
      <w:r>
        <w:rPr>
          <w:b/>
          <w:w w:val="99"/>
        </w:rPr>
        <w:t>j</w:t>
      </w:r>
      <w:r>
        <w:rPr>
          <w:b/>
          <w:spacing w:val="-1"/>
          <w:w w:val="99"/>
        </w:rPr>
        <w:t>a</w:t>
      </w:r>
      <w:r>
        <w:rPr>
          <w:spacing w:val="-1"/>
          <w:w w:val="101"/>
          <w:vertAlign w:val="superscript"/>
        </w:rPr>
        <w:t>155</w:t>
      </w:r>
      <w:r>
        <w:rPr>
          <w:w w:val="99"/>
          <w:vertAlign w:val="baseline"/>
        </w:rPr>
        <w:t>,</w:t>
      </w:r>
      <w:r>
        <w:rPr>
          <w:vertAlign w:val="baseline"/>
        </w:rPr>
        <w:t> </w:t>
      </w:r>
      <w:r>
        <w:rPr>
          <w:spacing w:val="-29"/>
          <w:vertAlign w:val="baseline"/>
        </w:rPr>
        <w:t> </w:t>
      </w:r>
      <w:r>
        <w:rPr>
          <w:w w:val="99"/>
          <w:vertAlign w:val="baseline"/>
        </w:rPr>
        <w:t>this</w:t>
      </w:r>
      <w:r>
        <w:rPr>
          <w:vertAlign w:val="baseline"/>
        </w:rPr>
        <w:t> </w:t>
      </w:r>
      <w:r>
        <w:rPr>
          <w:spacing w:val="-29"/>
          <w:vertAlign w:val="baseline"/>
        </w:rPr>
        <w:t> </w:t>
      </w:r>
      <w:r>
        <w:rPr>
          <w:spacing w:val="-1"/>
          <w:w w:val="99"/>
          <w:vertAlign w:val="baseline"/>
        </w:rPr>
        <w:t>Cou</w:t>
      </w:r>
      <w:r>
        <w:rPr>
          <w:spacing w:val="1"/>
          <w:w w:val="99"/>
          <w:vertAlign w:val="baseline"/>
        </w:rPr>
        <w:t>r</w:t>
      </w:r>
      <w:r>
        <w:rPr>
          <w:w w:val="99"/>
          <w:vertAlign w:val="baseline"/>
        </w:rPr>
        <w:t>t</w:t>
      </w:r>
      <w:r>
        <w:rPr>
          <w:vertAlign w:val="baseline"/>
        </w:rPr>
        <w:t> </w:t>
      </w:r>
      <w:r>
        <w:rPr>
          <w:spacing w:val="-29"/>
          <w:vertAlign w:val="baseline"/>
        </w:rPr>
        <w:t> </w:t>
      </w:r>
      <w:r>
        <w:rPr>
          <w:spacing w:val="-1"/>
          <w:w w:val="99"/>
          <w:vertAlign w:val="baseline"/>
        </w:rPr>
        <w:t>o</w:t>
      </w:r>
      <w:r>
        <w:rPr>
          <w:w w:val="99"/>
          <w:vertAlign w:val="baseline"/>
        </w:rPr>
        <w:t>bse</w:t>
      </w:r>
      <w:r>
        <w:rPr>
          <w:spacing w:val="1"/>
          <w:w w:val="99"/>
          <w:vertAlign w:val="baseline"/>
        </w:rPr>
        <w:t>r</w:t>
      </w:r>
      <w:r>
        <w:rPr>
          <w:spacing w:val="-3"/>
          <w:w w:val="99"/>
          <w:vertAlign w:val="baseline"/>
        </w:rPr>
        <w:t>v</w:t>
      </w:r>
      <w:r>
        <w:rPr>
          <w:spacing w:val="-1"/>
          <w:w w:val="99"/>
          <w:vertAlign w:val="baseline"/>
        </w:rPr>
        <w:t>e</w:t>
      </w:r>
      <w:r>
        <w:rPr>
          <w:w w:val="99"/>
          <w:vertAlign w:val="baseline"/>
        </w:rPr>
        <w:t>d</w:t>
      </w:r>
      <w:r>
        <w:rPr>
          <w:vertAlign w:val="baseline"/>
        </w:rPr>
        <w:t> </w:t>
      </w:r>
      <w:r>
        <w:rPr>
          <w:spacing w:val="-29"/>
          <w:vertAlign w:val="baseline"/>
        </w:rPr>
        <w:t> </w:t>
      </w:r>
      <w:r>
        <w:rPr>
          <w:w w:val="99"/>
          <w:vertAlign w:val="baseline"/>
        </w:rPr>
        <w:t>that</w:t>
      </w:r>
      <w:r>
        <w:rPr>
          <w:vertAlign w:val="baseline"/>
        </w:rPr>
        <w:t> </w:t>
      </w:r>
      <w:r>
        <w:rPr>
          <w:spacing w:val="-29"/>
          <w:vertAlign w:val="baseline"/>
        </w:rPr>
        <w:t> </w:t>
      </w:r>
      <w:r>
        <w:rPr>
          <w:w w:val="33"/>
          <w:vertAlign w:val="baseline"/>
        </w:rPr>
        <w:t>―</w:t>
      </w:r>
      <w:r>
        <w:rPr>
          <w:spacing w:val="-1"/>
          <w:w w:val="99"/>
          <w:vertAlign w:val="baseline"/>
        </w:rPr>
        <w:t>p</w:t>
      </w:r>
      <w:r>
        <w:rPr>
          <w:w w:val="99"/>
          <w:vertAlign w:val="baseline"/>
        </w:rPr>
        <w:t>ossession</w:t>
      </w:r>
      <w:r>
        <w:rPr>
          <w:vertAlign w:val="baseline"/>
        </w:rPr>
        <w:t> </w:t>
      </w:r>
      <w:r>
        <w:rPr>
          <w:spacing w:val="-29"/>
          <w:vertAlign w:val="baseline"/>
        </w:rPr>
        <w:t> </w:t>
      </w:r>
      <w:r>
        <w:rPr>
          <w:spacing w:val="-1"/>
          <w:w w:val="99"/>
          <w:vertAlign w:val="baseline"/>
        </w:rPr>
        <w:t>i</w:t>
      </w:r>
      <w:r>
        <w:rPr>
          <w:w w:val="99"/>
          <w:vertAlign w:val="baseline"/>
        </w:rPr>
        <w:t>s</w:t>
      </w:r>
      <w:r>
        <w:rPr>
          <w:vertAlign w:val="baseline"/>
        </w:rPr>
        <w:t> </w:t>
      </w:r>
      <w:r>
        <w:rPr>
          <w:spacing w:val="-30"/>
          <w:vertAlign w:val="baseline"/>
        </w:rPr>
        <w:t> </w:t>
      </w:r>
      <w:r>
        <w:rPr>
          <w:w w:val="99"/>
          <w:vertAlign w:val="baseline"/>
        </w:rPr>
        <w:t>a</w:t>
      </w:r>
      <w:r>
        <w:rPr>
          <w:vertAlign w:val="baseline"/>
        </w:rPr>
        <w:t> </w:t>
      </w:r>
      <w:r>
        <w:rPr>
          <w:spacing w:val="-29"/>
          <w:vertAlign w:val="baseline"/>
        </w:rPr>
        <w:t> </w:t>
      </w:r>
      <w:r>
        <w:rPr>
          <w:spacing w:val="-1"/>
          <w:w w:val="99"/>
          <w:vertAlign w:val="baseline"/>
        </w:rPr>
        <w:t>p</w:t>
      </w:r>
      <w:r>
        <w:rPr>
          <w:w w:val="99"/>
          <w:vertAlign w:val="baseline"/>
        </w:rPr>
        <w:t>o</w:t>
      </w:r>
      <w:r>
        <w:rPr>
          <w:spacing w:val="-1"/>
          <w:w w:val="99"/>
          <w:vertAlign w:val="baseline"/>
        </w:rPr>
        <w:t>l</w:t>
      </w:r>
      <w:r>
        <w:rPr>
          <w:spacing w:val="-3"/>
          <w:w w:val="99"/>
          <w:vertAlign w:val="baseline"/>
        </w:rPr>
        <w:t>y</w:t>
      </w:r>
      <w:r>
        <w:rPr>
          <w:w w:val="99"/>
          <w:vertAlign w:val="baseline"/>
        </w:rPr>
        <w:t>m</w:t>
      </w:r>
      <w:r>
        <w:rPr>
          <w:spacing w:val="-1"/>
          <w:w w:val="99"/>
          <w:vertAlign w:val="baseline"/>
        </w:rPr>
        <w:t>o</w:t>
      </w:r>
      <w:r>
        <w:rPr>
          <w:w w:val="99"/>
          <w:vertAlign w:val="baseline"/>
        </w:rPr>
        <w:t>r</w:t>
      </w:r>
      <w:r>
        <w:rPr>
          <w:spacing w:val="-1"/>
          <w:w w:val="99"/>
          <w:vertAlign w:val="baseline"/>
        </w:rPr>
        <w:t>p</w:t>
      </w:r>
      <w:r>
        <w:rPr>
          <w:w w:val="99"/>
          <w:vertAlign w:val="baseline"/>
        </w:rPr>
        <w:t>h</w:t>
      </w:r>
      <w:r>
        <w:rPr>
          <w:spacing w:val="-1"/>
          <w:w w:val="99"/>
          <w:vertAlign w:val="baseline"/>
        </w:rPr>
        <w:t>o</w:t>
      </w:r>
      <w:r>
        <w:rPr>
          <w:w w:val="99"/>
          <w:vertAlign w:val="baseline"/>
        </w:rPr>
        <w:t>us</w:t>
      </w:r>
      <w:r>
        <w:rPr>
          <w:vertAlign w:val="baseline"/>
        </w:rPr>
        <w:t> </w:t>
      </w:r>
      <w:r>
        <w:rPr>
          <w:spacing w:val="-29"/>
          <w:vertAlign w:val="baseline"/>
        </w:rPr>
        <w:t> </w:t>
      </w:r>
      <w:r>
        <w:rPr>
          <w:w w:val="99"/>
          <w:vertAlign w:val="baseline"/>
        </w:rPr>
        <w:t>te</w:t>
      </w:r>
      <w:r>
        <w:rPr>
          <w:spacing w:val="9"/>
          <w:w w:val="99"/>
          <w:vertAlign w:val="baseline"/>
        </w:rPr>
        <w:t>r</w:t>
      </w:r>
      <w:r>
        <w:rPr>
          <w:w w:val="99"/>
          <w:vertAlign w:val="baseline"/>
        </w:rPr>
        <w:t>m</w:t>
      </w:r>
      <w:r>
        <w:rPr>
          <w:w w:val="80"/>
          <w:vertAlign w:val="baseline"/>
        </w:rPr>
        <w:t>‖</w:t>
      </w:r>
      <w:r>
        <w:rPr>
          <w:vertAlign w:val="baseline"/>
        </w:rPr>
        <w:t> </w:t>
      </w:r>
      <w:r>
        <w:rPr>
          <w:spacing w:val="-29"/>
          <w:vertAlign w:val="baseline"/>
        </w:rPr>
        <w:t> </w:t>
      </w:r>
      <w:r>
        <w:rPr>
          <w:spacing w:val="-1"/>
          <w:w w:val="99"/>
          <w:vertAlign w:val="baseline"/>
        </w:rPr>
        <w:t>a</w:t>
      </w:r>
      <w:r>
        <w:rPr>
          <w:w w:val="99"/>
          <w:vertAlign w:val="baseline"/>
        </w:rPr>
        <w:t>n</w:t>
      </w:r>
      <w:r>
        <w:rPr>
          <w:spacing w:val="-1"/>
          <w:w w:val="99"/>
          <w:vertAlign w:val="baseline"/>
        </w:rPr>
        <w:t>d, </w:t>
      </w:r>
      <w:r>
        <w:rPr>
          <w:vertAlign w:val="baseline"/>
        </w:rPr>
        <w:t>therefore, it was not possible to ascribe a meaning which would apply in every context. Drawing sustenance from Salmond‘s Jurisprudence, the Court noted that possession implies a right and a fact; the right to enjoy annexed to the right to property and the fact of the real intention. Possession as a concept</w:t>
      </w:r>
      <w:r>
        <w:rPr>
          <w:spacing w:val="34"/>
          <w:vertAlign w:val="baseline"/>
        </w:rPr>
        <w:t> </w:t>
      </w:r>
      <w:r>
        <w:rPr>
          <w:vertAlign w:val="baseline"/>
        </w:rPr>
        <w:t>comprehends</w:t>
      </w:r>
    </w:p>
    <w:p>
      <w:pPr>
        <w:pStyle w:val="BodyText"/>
        <w:spacing w:line="480" w:lineRule="auto" w:before="2"/>
        <w:ind w:left="500" w:right="443"/>
        <w:jc w:val="both"/>
      </w:pPr>
      <w:r>
        <w:rPr>
          <w:w w:val="33"/>
        </w:rPr>
        <w:t>―</w:t>
      </w:r>
      <w:r>
        <w:rPr>
          <w:i/>
          <w:w w:val="99"/>
        </w:rPr>
        <w:t>cor</w:t>
      </w:r>
      <w:r>
        <w:rPr>
          <w:i/>
          <w:w w:val="99"/>
        </w:rPr>
        <w:t>pu</w:t>
      </w:r>
      <w:r>
        <w:rPr>
          <w:i/>
          <w:w w:val="99"/>
        </w:rPr>
        <w:t>s</w:t>
      </w:r>
      <w:r>
        <w:rPr>
          <w:i/>
        </w:rPr>
        <w:t> </w:t>
      </w:r>
      <w:r>
        <w:rPr>
          <w:i/>
          <w:w w:val="99"/>
        </w:rPr>
        <w:t>po</w:t>
      </w:r>
      <w:r>
        <w:rPr>
          <w:i/>
          <w:w w:val="99"/>
        </w:rPr>
        <w:t>ssessionis</w:t>
      </w:r>
      <w:r>
        <w:rPr>
          <w:i/>
        </w:rPr>
        <w:t> </w:t>
      </w:r>
      <w:r>
        <w:rPr>
          <w:w w:val="99"/>
        </w:rPr>
        <w:t>and</w:t>
      </w:r>
      <w:r>
        <w:rPr/>
        <w:t> </w:t>
      </w:r>
      <w:r>
        <w:rPr>
          <w:i/>
          <w:w w:val="99"/>
        </w:rPr>
        <w:t>an</w:t>
      </w:r>
      <w:r>
        <w:rPr>
          <w:i/>
          <w:w w:val="99"/>
        </w:rPr>
        <w:t>i</w:t>
      </w:r>
      <w:r>
        <w:rPr>
          <w:i/>
          <w:w w:val="99"/>
        </w:rPr>
        <w:t>m</w:t>
      </w:r>
      <w:r>
        <w:rPr>
          <w:i/>
          <w:w w:val="99"/>
        </w:rPr>
        <w:t>us</w:t>
      </w:r>
      <w:r>
        <w:rPr>
          <w:i/>
        </w:rPr>
        <w:t> </w:t>
      </w:r>
      <w:r>
        <w:rPr>
          <w:i/>
          <w:w w:val="99"/>
        </w:rPr>
        <w:t>possiden</w:t>
      </w:r>
      <w:r>
        <w:rPr>
          <w:i/>
          <w:w w:val="99"/>
        </w:rPr>
        <w:t>di</w:t>
      </w:r>
      <w:r>
        <w:rPr>
          <w:w w:val="80"/>
        </w:rPr>
        <w:t>‖</w:t>
      </w:r>
      <w:r>
        <w:rPr>
          <w:w w:val="99"/>
        </w:rPr>
        <w:t>.</w:t>
      </w:r>
      <w:r>
        <w:rPr/>
        <w:t> </w:t>
      </w:r>
      <w:r>
        <w:rPr>
          <w:w w:val="99"/>
        </w:rPr>
        <w:t>T</w:t>
      </w:r>
      <w:r>
        <w:rPr>
          <w:w w:val="99"/>
        </w:rPr>
        <w:t>he</w:t>
      </w:r>
      <w:r>
        <w:rPr/>
        <w:t> </w:t>
      </w:r>
      <w:r>
        <w:rPr>
          <w:w w:val="99"/>
        </w:rPr>
        <w:t>form</w:t>
      </w:r>
      <w:r>
        <w:rPr>
          <w:w w:val="99"/>
        </w:rPr>
        <w:t>er</w:t>
      </w:r>
      <w:r>
        <w:rPr/>
        <w:t> </w:t>
      </w:r>
      <w:r>
        <w:rPr>
          <w:w w:val="99"/>
        </w:rPr>
        <w:t>em</w:t>
      </w:r>
      <w:r>
        <w:rPr>
          <w:w w:val="99"/>
        </w:rPr>
        <w:t>b</w:t>
      </w:r>
      <w:r>
        <w:rPr>
          <w:w w:val="99"/>
        </w:rPr>
        <w:t>r</w:t>
      </w:r>
      <w:r>
        <w:rPr>
          <w:w w:val="99"/>
        </w:rPr>
        <w:t>a</w:t>
      </w:r>
      <w:r>
        <w:rPr>
          <w:w w:val="99"/>
        </w:rPr>
        <w:t>ces</w:t>
      </w:r>
      <w:r>
        <w:rPr/>
        <w:t> </w:t>
      </w:r>
      <w:r>
        <w:rPr>
          <w:w w:val="99"/>
        </w:rPr>
        <w:t>t</w:t>
      </w:r>
      <w:r>
        <w:rPr>
          <w:w w:val="99"/>
        </w:rPr>
        <w:t>he</w:t>
      </w:r>
      <w:r>
        <w:rPr/>
        <w:t> </w:t>
      </w:r>
      <w:r>
        <w:rPr>
          <w:w w:val="99"/>
        </w:rPr>
        <w:t>power</w:t>
      </w:r>
      <w:r>
        <w:rPr/>
        <w:t> </w:t>
      </w:r>
      <w:r>
        <w:rPr>
          <w:w w:val="99"/>
        </w:rPr>
        <w:t>to </w:t>
      </w:r>
      <w:r>
        <w:rPr/>
        <w:t>use the thing in possession and the existence of a ground of expectation that the use of the possession shall not be interfered with. The latter postulates the intent to appropriate to oneself the exclusive use of the thing which is possessed.</w:t>
      </w:r>
    </w:p>
    <w:p>
      <w:pPr>
        <w:pStyle w:val="BodyText"/>
        <w:spacing w:before="9"/>
        <w:rPr>
          <w:sz w:val="24"/>
        </w:rPr>
      </w:pPr>
    </w:p>
    <w:p>
      <w:pPr>
        <w:pStyle w:val="ListParagraph"/>
        <w:numPr>
          <w:ilvl w:val="0"/>
          <w:numId w:val="3"/>
        </w:numPr>
        <w:tabs>
          <w:tab w:pos="1221" w:val="left" w:leader="none"/>
        </w:tabs>
        <w:spacing w:line="482" w:lineRule="auto" w:before="0" w:after="0"/>
        <w:ind w:left="500" w:right="437" w:firstLine="0"/>
        <w:jc w:val="both"/>
        <w:rPr>
          <w:sz w:val="25"/>
        </w:rPr>
      </w:pPr>
      <w:r>
        <w:rPr>
          <w:sz w:val="25"/>
        </w:rPr>
        <w:t>In </w:t>
      </w:r>
      <w:r>
        <w:rPr>
          <w:b/>
          <w:sz w:val="25"/>
        </w:rPr>
        <w:t>Shyam Sunder Prasad </w:t>
      </w:r>
      <w:r>
        <w:rPr>
          <w:sz w:val="25"/>
        </w:rPr>
        <w:t>v </w:t>
      </w:r>
      <w:r>
        <w:rPr>
          <w:b/>
          <w:sz w:val="25"/>
        </w:rPr>
        <w:t>Raj Pal Singh</w:t>
      </w:r>
      <w:r>
        <w:rPr>
          <w:sz w:val="25"/>
          <w:vertAlign w:val="superscript"/>
        </w:rPr>
        <w:t>156</w:t>
      </w:r>
      <w:r>
        <w:rPr>
          <w:sz w:val="25"/>
          <w:vertAlign w:val="baseline"/>
        </w:rPr>
        <w:t>, this Court speaking through a Bench of three judges elaborated on the distinction between Articles 142 and 144 of the Limitation Act 1908. The Court</w:t>
      </w:r>
      <w:r>
        <w:rPr>
          <w:spacing w:val="-10"/>
          <w:sz w:val="25"/>
          <w:vertAlign w:val="baseline"/>
        </w:rPr>
        <w:t> </w:t>
      </w:r>
      <w:r>
        <w:rPr>
          <w:sz w:val="25"/>
          <w:vertAlign w:val="baseline"/>
        </w:rPr>
        <w:t>observed:</w:t>
      </w:r>
    </w:p>
    <w:p>
      <w:pPr>
        <w:spacing w:line="276" w:lineRule="auto" w:before="0"/>
        <w:ind w:left="1940" w:right="2263" w:firstLine="0"/>
        <w:jc w:val="both"/>
        <w:rPr>
          <w:sz w:val="21"/>
        </w:rPr>
      </w:pPr>
      <w:r>
        <w:rPr>
          <w:w w:val="33"/>
          <w:sz w:val="21"/>
        </w:rPr>
        <w:t>―</w:t>
      </w:r>
      <w:r>
        <w:rPr>
          <w:w w:val="100"/>
          <w:sz w:val="21"/>
        </w:rPr>
        <w:t>3…Under</w:t>
      </w:r>
      <w:r>
        <w:rPr>
          <w:sz w:val="21"/>
        </w:rPr>
        <w:t>  </w:t>
      </w:r>
      <w:r>
        <w:rPr>
          <w:w w:val="100"/>
          <w:sz w:val="21"/>
        </w:rPr>
        <w:t>the</w:t>
      </w:r>
      <w:r>
        <w:rPr>
          <w:sz w:val="21"/>
        </w:rPr>
        <w:t>  </w:t>
      </w:r>
      <w:r>
        <w:rPr>
          <w:w w:val="100"/>
          <w:sz w:val="21"/>
        </w:rPr>
        <w:t>old</w:t>
      </w:r>
      <w:r>
        <w:rPr>
          <w:sz w:val="21"/>
        </w:rPr>
        <w:t>  </w:t>
      </w:r>
      <w:r>
        <w:rPr>
          <w:w w:val="100"/>
          <w:sz w:val="21"/>
        </w:rPr>
        <w:t>Limitation</w:t>
      </w:r>
      <w:r>
        <w:rPr>
          <w:sz w:val="21"/>
        </w:rPr>
        <w:t>  </w:t>
      </w:r>
      <w:r>
        <w:rPr>
          <w:w w:val="100"/>
          <w:sz w:val="21"/>
        </w:rPr>
        <w:t>Act</w:t>
      </w:r>
      <w:r>
        <w:rPr>
          <w:w w:val="100"/>
          <w:sz w:val="21"/>
        </w:rPr>
        <w:t>,</w:t>
      </w:r>
      <w:r>
        <w:rPr>
          <w:sz w:val="21"/>
        </w:rPr>
        <w:t>  </w:t>
      </w:r>
      <w:r>
        <w:rPr>
          <w:w w:val="100"/>
          <w:sz w:val="21"/>
        </w:rPr>
        <w:t>al</w:t>
      </w:r>
      <w:r>
        <w:rPr>
          <w:w w:val="100"/>
          <w:sz w:val="21"/>
        </w:rPr>
        <w:t>l</w:t>
      </w:r>
      <w:r>
        <w:rPr>
          <w:sz w:val="21"/>
        </w:rPr>
        <w:t>  </w:t>
      </w:r>
      <w:r>
        <w:rPr>
          <w:w w:val="100"/>
          <w:sz w:val="21"/>
        </w:rPr>
        <w:t>su</w:t>
      </w:r>
      <w:r>
        <w:rPr>
          <w:w w:val="100"/>
          <w:sz w:val="21"/>
        </w:rPr>
        <w:t>i</w:t>
      </w:r>
      <w:r>
        <w:rPr>
          <w:w w:val="100"/>
          <w:sz w:val="21"/>
        </w:rPr>
        <w:t>t</w:t>
      </w:r>
      <w:r>
        <w:rPr>
          <w:w w:val="100"/>
          <w:sz w:val="21"/>
        </w:rPr>
        <w:t>s</w:t>
      </w:r>
      <w:r>
        <w:rPr>
          <w:sz w:val="21"/>
        </w:rPr>
        <w:t>  </w:t>
      </w:r>
      <w:r>
        <w:rPr>
          <w:w w:val="100"/>
          <w:sz w:val="21"/>
        </w:rPr>
        <w:t>f</w:t>
      </w:r>
      <w:r>
        <w:rPr>
          <w:w w:val="100"/>
          <w:sz w:val="21"/>
        </w:rPr>
        <w:t>or</w:t>
      </w:r>
      <w:r>
        <w:rPr>
          <w:sz w:val="21"/>
        </w:rPr>
        <w:t>  </w:t>
      </w:r>
      <w:r>
        <w:rPr>
          <w:w w:val="100"/>
          <w:sz w:val="21"/>
        </w:rPr>
        <w:t>posse</w:t>
      </w:r>
      <w:r>
        <w:rPr>
          <w:w w:val="100"/>
          <w:sz w:val="21"/>
        </w:rPr>
        <w:t>ss</w:t>
      </w:r>
      <w:r>
        <w:rPr>
          <w:w w:val="100"/>
          <w:sz w:val="21"/>
        </w:rPr>
        <w:t>i</w:t>
      </w:r>
      <w:r>
        <w:rPr>
          <w:w w:val="100"/>
          <w:sz w:val="21"/>
        </w:rPr>
        <w:t>on </w:t>
      </w:r>
      <w:r>
        <w:rPr>
          <w:sz w:val="21"/>
        </w:rPr>
        <w:t>whether based on title or on the ground of previous possession were governed by Article 142 wherein the plaintiff while in possession was dispossessed or discontinued in possession. Where the case was not one of dispossession of the plaintiff or discontinuance of possession by him, Article</w:t>
      </w:r>
    </w:p>
    <w:p>
      <w:pPr>
        <w:spacing w:line="276" w:lineRule="auto" w:before="0"/>
        <w:ind w:left="1940" w:right="2262" w:firstLine="0"/>
        <w:jc w:val="both"/>
        <w:rPr>
          <w:sz w:val="21"/>
        </w:rPr>
      </w:pPr>
      <w:r>
        <w:rPr>
          <w:sz w:val="21"/>
        </w:rPr>
        <w:t>142 did not apply. Suits based on title alone and not on possession or discontinuance of possession were governed by Article 144 unless they were specifically provided for by some other articles. Therefore, for application of Article 142, the suit is not only on the basis of title but also for possession.‖</w:t>
      </w:r>
    </w:p>
    <w:p>
      <w:pPr>
        <w:pStyle w:val="BodyText"/>
        <w:rPr>
          <w:sz w:val="24"/>
        </w:rPr>
      </w:pPr>
    </w:p>
    <w:p>
      <w:pPr>
        <w:pStyle w:val="BodyText"/>
        <w:spacing w:before="7"/>
      </w:pPr>
    </w:p>
    <w:p>
      <w:pPr>
        <w:pStyle w:val="ListParagraph"/>
        <w:numPr>
          <w:ilvl w:val="0"/>
          <w:numId w:val="3"/>
        </w:numPr>
        <w:tabs>
          <w:tab w:pos="1221" w:val="left" w:leader="none"/>
        </w:tabs>
        <w:spacing w:line="480" w:lineRule="auto" w:before="0" w:after="0"/>
        <w:ind w:left="500" w:right="441" w:firstLine="0"/>
        <w:jc w:val="both"/>
        <w:rPr>
          <w:sz w:val="25"/>
        </w:rPr>
      </w:pPr>
      <w:r>
        <w:rPr>
          <w:sz w:val="25"/>
        </w:rPr>
        <w:t>In order to bring the suit within the purview of Article 142, the following requirements must be</w:t>
      </w:r>
      <w:r>
        <w:rPr>
          <w:spacing w:val="-5"/>
          <w:sz w:val="25"/>
        </w:rPr>
        <w:t> </w:t>
      </w:r>
      <w:r>
        <w:rPr>
          <w:sz w:val="25"/>
        </w:rPr>
        <w:t>fulfilled:</w:t>
      </w:r>
    </w:p>
    <w:p>
      <w:pPr>
        <w:pStyle w:val="ListParagraph"/>
        <w:numPr>
          <w:ilvl w:val="0"/>
          <w:numId w:val="90"/>
        </w:numPr>
        <w:tabs>
          <w:tab w:pos="1221" w:val="left" w:leader="none"/>
        </w:tabs>
        <w:spacing w:line="287" w:lineRule="exact" w:before="0" w:after="0"/>
        <w:ind w:left="1220" w:right="0" w:hanging="721"/>
        <w:jc w:val="both"/>
        <w:rPr>
          <w:sz w:val="25"/>
        </w:rPr>
      </w:pPr>
      <w:r>
        <w:rPr>
          <w:sz w:val="25"/>
        </w:rPr>
        <w:t>The suit must be for possession of immoveable</w:t>
      </w:r>
      <w:r>
        <w:rPr>
          <w:spacing w:val="-2"/>
          <w:sz w:val="25"/>
        </w:rPr>
        <w:t> </w:t>
      </w:r>
      <w:r>
        <w:rPr>
          <w:sz w:val="25"/>
        </w:rPr>
        <w:t>property;</w:t>
      </w:r>
    </w:p>
    <w:p>
      <w:pPr>
        <w:pStyle w:val="BodyText"/>
        <w:spacing w:before="7"/>
        <w:rPr>
          <w:sz w:val="24"/>
        </w:rPr>
      </w:pPr>
      <w:r>
        <w:rPr/>
        <w:pict>
          <v:rect style="position:absolute;margin-left:72.024002pt;margin-top:16.112875pt;width:144.020pt;height:.599980pt;mso-position-horizontal-relative:page;mso-position-vertical-relative:paragraph;z-index:-1568307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155</w:t>
      </w:r>
      <w:r>
        <w:rPr>
          <w:sz w:val="18"/>
          <w:vertAlign w:val="baseline"/>
        </w:rPr>
        <w:t> (1979) 4 SCC</w:t>
      </w:r>
      <w:r>
        <w:rPr>
          <w:spacing w:val="-11"/>
          <w:sz w:val="18"/>
          <w:vertAlign w:val="baseline"/>
        </w:rPr>
        <w:t> </w:t>
      </w:r>
      <w:r>
        <w:rPr>
          <w:sz w:val="18"/>
          <w:vertAlign w:val="baseline"/>
        </w:rPr>
        <w:t>274</w:t>
      </w:r>
    </w:p>
    <w:p>
      <w:pPr>
        <w:spacing w:before="2"/>
        <w:ind w:left="500" w:right="0" w:firstLine="0"/>
        <w:jc w:val="left"/>
        <w:rPr>
          <w:sz w:val="18"/>
        </w:rPr>
      </w:pPr>
      <w:r>
        <w:rPr>
          <w:sz w:val="18"/>
          <w:vertAlign w:val="superscript"/>
        </w:rPr>
        <w:t>156</w:t>
      </w:r>
      <w:r>
        <w:rPr>
          <w:sz w:val="18"/>
          <w:vertAlign w:val="baseline"/>
        </w:rPr>
        <w:t> (1995) 1 SCC</w:t>
      </w:r>
      <w:r>
        <w:rPr>
          <w:spacing w:val="-11"/>
          <w:sz w:val="18"/>
          <w:vertAlign w:val="baseline"/>
        </w:rPr>
        <w:t> </w:t>
      </w:r>
      <w:r>
        <w:rPr>
          <w:sz w:val="18"/>
          <w:vertAlign w:val="baseline"/>
        </w:rPr>
        <w:t>311</w:t>
      </w:r>
    </w:p>
    <w:p>
      <w:pPr>
        <w:spacing w:after="0"/>
        <w:jc w:val="left"/>
        <w:rPr>
          <w:sz w:val="18"/>
        </w:rPr>
        <w:sectPr>
          <w:pgSz w:w="11910" w:h="16840"/>
          <w:pgMar w:header="721" w:footer="1014" w:top="1300" w:bottom="1200" w:left="940" w:right="1000"/>
        </w:sectPr>
      </w:pPr>
    </w:p>
    <w:p>
      <w:pPr>
        <w:pStyle w:val="ListParagraph"/>
        <w:numPr>
          <w:ilvl w:val="0"/>
          <w:numId w:val="90"/>
        </w:numPr>
        <w:tabs>
          <w:tab w:pos="1221" w:val="left" w:leader="none"/>
        </w:tabs>
        <w:spacing w:line="240" w:lineRule="auto" w:before="124" w:after="0"/>
        <w:ind w:left="1220" w:right="0" w:hanging="721"/>
        <w:jc w:val="both"/>
        <w:rPr>
          <w:sz w:val="25"/>
        </w:rPr>
      </w:pPr>
      <w:r>
        <w:rPr>
          <w:sz w:val="25"/>
        </w:rPr>
        <w:t>The plaintiff must establish having been in possession of the property;</w:t>
      </w:r>
      <w:r>
        <w:rPr>
          <w:spacing w:val="-13"/>
          <w:sz w:val="25"/>
        </w:rPr>
        <w:t> </w:t>
      </w:r>
      <w:r>
        <w:rPr>
          <w:sz w:val="25"/>
        </w:rPr>
        <w:t>and</w:t>
      </w:r>
    </w:p>
    <w:p>
      <w:pPr>
        <w:pStyle w:val="BodyText"/>
      </w:pPr>
    </w:p>
    <w:p>
      <w:pPr>
        <w:pStyle w:val="ListParagraph"/>
        <w:numPr>
          <w:ilvl w:val="0"/>
          <w:numId w:val="90"/>
        </w:numPr>
        <w:tabs>
          <w:tab w:pos="1220" w:val="left" w:leader="none"/>
          <w:tab w:pos="1221" w:val="left" w:leader="none"/>
        </w:tabs>
        <w:spacing w:line="480" w:lineRule="auto" w:before="1" w:after="0"/>
        <w:ind w:left="1220" w:right="444" w:hanging="720"/>
        <w:jc w:val="left"/>
        <w:rPr>
          <w:sz w:val="25"/>
        </w:rPr>
      </w:pPr>
      <w:r>
        <w:rPr>
          <w:sz w:val="25"/>
        </w:rPr>
        <w:t>The plaintiff should have been dispossessed or must have discontinued possession while in possession of the</w:t>
      </w:r>
      <w:r>
        <w:rPr>
          <w:spacing w:val="-4"/>
          <w:sz w:val="25"/>
        </w:rPr>
        <w:t> </w:t>
      </w:r>
      <w:r>
        <w:rPr>
          <w:sz w:val="25"/>
        </w:rPr>
        <w:t>property.</w:t>
      </w:r>
    </w:p>
    <w:p>
      <w:pPr>
        <w:pStyle w:val="BodyText"/>
        <w:spacing w:before="9"/>
        <w:rPr>
          <w:sz w:val="24"/>
        </w:rPr>
      </w:pPr>
    </w:p>
    <w:p>
      <w:pPr>
        <w:pStyle w:val="BodyText"/>
        <w:ind w:left="500"/>
      </w:pPr>
      <w:r>
        <w:rPr/>
        <w:t>For Article 142 to apply, these requirements must cumulatively be established.</w:t>
      </w:r>
    </w:p>
    <w:p>
      <w:pPr>
        <w:pStyle w:val="BodyText"/>
        <w:rPr>
          <w:sz w:val="28"/>
        </w:rPr>
      </w:pPr>
    </w:p>
    <w:p>
      <w:pPr>
        <w:pStyle w:val="BodyText"/>
        <w:spacing w:before="1"/>
        <w:rPr>
          <w:sz w:val="22"/>
        </w:rPr>
      </w:pPr>
    </w:p>
    <w:p>
      <w:pPr>
        <w:pStyle w:val="ListParagraph"/>
        <w:numPr>
          <w:ilvl w:val="0"/>
          <w:numId w:val="3"/>
        </w:numPr>
        <w:tabs>
          <w:tab w:pos="1221" w:val="left" w:leader="none"/>
        </w:tabs>
        <w:spacing w:line="480" w:lineRule="auto" w:before="1" w:after="0"/>
        <w:ind w:left="500" w:right="436" w:firstLine="0"/>
        <w:jc w:val="both"/>
        <w:rPr>
          <w:sz w:val="25"/>
        </w:rPr>
      </w:pPr>
      <w:r>
        <w:rPr>
          <w:sz w:val="25"/>
        </w:rPr>
        <w:t>The Suit by Nirmohi Akhara postulates that the Janmasthan, commonly </w:t>
      </w:r>
      <w:r>
        <w:rPr>
          <w:w w:val="99"/>
          <w:sz w:val="25"/>
        </w:rPr>
        <w:t>known</w:t>
      </w:r>
      <w:r>
        <w:rPr>
          <w:spacing w:val="28"/>
          <w:sz w:val="25"/>
        </w:rPr>
        <w:t> </w:t>
      </w:r>
      <w:r>
        <w:rPr>
          <w:w w:val="99"/>
          <w:sz w:val="25"/>
        </w:rPr>
        <w:t>as</w:t>
      </w:r>
      <w:r>
        <w:rPr>
          <w:spacing w:val="29"/>
          <w:sz w:val="25"/>
        </w:rPr>
        <w:t> </w:t>
      </w:r>
      <w:r>
        <w:rPr>
          <w:w w:val="99"/>
          <w:sz w:val="25"/>
        </w:rPr>
        <w:t>Jan</w:t>
      </w:r>
      <w:r>
        <w:rPr>
          <w:w w:val="99"/>
          <w:sz w:val="25"/>
        </w:rPr>
        <w:t>m</w:t>
      </w:r>
      <w:r>
        <w:rPr>
          <w:w w:val="99"/>
          <w:sz w:val="25"/>
        </w:rPr>
        <w:t>abhu</w:t>
      </w:r>
      <w:r>
        <w:rPr>
          <w:w w:val="99"/>
          <w:sz w:val="25"/>
        </w:rPr>
        <w:t>mi,</w:t>
      </w:r>
      <w:r>
        <w:rPr>
          <w:spacing w:val="28"/>
          <w:sz w:val="25"/>
        </w:rPr>
        <w:t> </w:t>
      </w:r>
      <w:r>
        <w:rPr>
          <w:w w:val="99"/>
          <w:sz w:val="25"/>
        </w:rPr>
        <w:t>which</w:t>
      </w:r>
      <w:r>
        <w:rPr>
          <w:spacing w:val="29"/>
          <w:sz w:val="25"/>
        </w:rPr>
        <w:t> </w:t>
      </w:r>
      <w:r>
        <w:rPr>
          <w:w w:val="99"/>
          <w:sz w:val="25"/>
        </w:rPr>
        <w:t>is</w:t>
      </w:r>
      <w:r>
        <w:rPr>
          <w:spacing w:val="28"/>
          <w:sz w:val="25"/>
        </w:rPr>
        <w:t> </w:t>
      </w:r>
      <w:r>
        <w:rPr>
          <w:w w:val="99"/>
          <w:sz w:val="25"/>
        </w:rPr>
        <w:t>the</w:t>
      </w:r>
      <w:r>
        <w:rPr>
          <w:spacing w:val="29"/>
          <w:sz w:val="25"/>
        </w:rPr>
        <w:t> </w:t>
      </w:r>
      <w:r>
        <w:rPr>
          <w:w w:val="99"/>
          <w:sz w:val="25"/>
        </w:rPr>
        <w:t>bir</w:t>
      </w:r>
      <w:r>
        <w:rPr>
          <w:w w:val="99"/>
          <w:sz w:val="25"/>
        </w:rPr>
        <w:t>t</w:t>
      </w:r>
      <w:r>
        <w:rPr>
          <w:spacing w:val="7"/>
          <w:w w:val="99"/>
          <w:sz w:val="25"/>
        </w:rPr>
        <w:t>h</w:t>
      </w:r>
      <w:r>
        <w:rPr>
          <w:w w:val="99"/>
          <w:sz w:val="25"/>
        </w:rPr>
        <w:t>-</w:t>
      </w:r>
      <w:r>
        <w:rPr>
          <w:spacing w:val="-1"/>
          <w:w w:val="99"/>
          <w:sz w:val="25"/>
        </w:rPr>
        <w:t>plac</w:t>
      </w:r>
      <w:r>
        <w:rPr>
          <w:w w:val="99"/>
          <w:sz w:val="25"/>
        </w:rPr>
        <w:t>e</w:t>
      </w:r>
      <w:r>
        <w:rPr>
          <w:spacing w:val="29"/>
          <w:sz w:val="25"/>
        </w:rPr>
        <w:t> </w:t>
      </w:r>
      <w:r>
        <w:rPr>
          <w:spacing w:val="-1"/>
          <w:w w:val="99"/>
          <w:sz w:val="25"/>
        </w:rPr>
        <w:t>o</w:t>
      </w:r>
      <w:r>
        <w:rPr>
          <w:w w:val="99"/>
          <w:sz w:val="25"/>
        </w:rPr>
        <w:t>f</w:t>
      </w:r>
      <w:r>
        <w:rPr>
          <w:spacing w:val="29"/>
          <w:sz w:val="25"/>
        </w:rPr>
        <w:t> </w:t>
      </w:r>
      <w:r>
        <w:rPr>
          <w:spacing w:val="-1"/>
          <w:w w:val="99"/>
          <w:sz w:val="25"/>
        </w:rPr>
        <w:t>L</w:t>
      </w:r>
      <w:r>
        <w:rPr>
          <w:w w:val="99"/>
          <w:sz w:val="25"/>
        </w:rPr>
        <w:t>ord</w:t>
      </w:r>
      <w:r>
        <w:rPr>
          <w:spacing w:val="29"/>
          <w:sz w:val="25"/>
        </w:rPr>
        <w:t> </w:t>
      </w:r>
      <w:r>
        <w:rPr>
          <w:spacing w:val="-1"/>
          <w:w w:val="99"/>
          <w:sz w:val="25"/>
        </w:rPr>
        <w:t>Ra</w:t>
      </w:r>
      <w:r>
        <w:rPr>
          <w:w w:val="99"/>
          <w:sz w:val="25"/>
        </w:rPr>
        <w:t>m</w:t>
      </w:r>
      <w:r>
        <w:rPr>
          <w:spacing w:val="29"/>
          <w:sz w:val="25"/>
        </w:rPr>
        <w:t> </w:t>
      </w:r>
      <w:r>
        <w:rPr>
          <w:w w:val="33"/>
          <w:sz w:val="25"/>
        </w:rPr>
        <w:t>―</w:t>
      </w:r>
      <w:r>
        <w:rPr>
          <w:spacing w:val="-1"/>
          <w:w w:val="99"/>
          <w:sz w:val="25"/>
        </w:rPr>
        <w:t>b</w:t>
      </w:r>
      <w:r>
        <w:rPr>
          <w:w w:val="99"/>
          <w:sz w:val="25"/>
        </w:rPr>
        <w:t>e</w:t>
      </w:r>
      <w:r>
        <w:rPr>
          <w:spacing w:val="-1"/>
          <w:w w:val="99"/>
          <w:sz w:val="25"/>
        </w:rPr>
        <w:t>lon</w:t>
      </w:r>
      <w:r>
        <w:rPr>
          <w:w w:val="99"/>
          <w:sz w:val="25"/>
        </w:rPr>
        <w:t>gs</w:t>
      </w:r>
      <w:r>
        <w:rPr>
          <w:spacing w:val="28"/>
          <w:sz w:val="25"/>
        </w:rPr>
        <w:t> </w:t>
      </w:r>
      <w:r>
        <w:rPr>
          <w:spacing w:val="-1"/>
          <w:w w:val="99"/>
          <w:sz w:val="25"/>
        </w:rPr>
        <w:t>a</w:t>
      </w:r>
      <w:r>
        <w:rPr>
          <w:w w:val="99"/>
          <w:sz w:val="25"/>
        </w:rPr>
        <w:t>nd</w:t>
      </w:r>
      <w:r>
        <w:rPr>
          <w:spacing w:val="29"/>
          <w:sz w:val="25"/>
        </w:rPr>
        <w:t> </w:t>
      </w:r>
      <w:r>
        <w:rPr>
          <w:spacing w:val="-1"/>
          <w:w w:val="99"/>
          <w:sz w:val="25"/>
        </w:rPr>
        <w:t>h</w:t>
      </w:r>
      <w:r>
        <w:rPr>
          <w:w w:val="99"/>
          <w:sz w:val="25"/>
        </w:rPr>
        <w:t>as </w:t>
      </w:r>
      <w:r>
        <w:rPr>
          <w:spacing w:val="-1"/>
          <w:w w:val="99"/>
          <w:sz w:val="25"/>
        </w:rPr>
        <w:t>alwa</w:t>
      </w:r>
      <w:r>
        <w:rPr>
          <w:spacing w:val="-3"/>
          <w:w w:val="99"/>
          <w:sz w:val="25"/>
        </w:rPr>
        <w:t>y</w:t>
      </w:r>
      <w:r>
        <w:rPr>
          <w:w w:val="99"/>
          <w:sz w:val="25"/>
        </w:rPr>
        <w:t>s</w:t>
      </w:r>
      <w:r>
        <w:rPr>
          <w:spacing w:val="19"/>
          <w:sz w:val="25"/>
        </w:rPr>
        <w:t> </w:t>
      </w:r>
      <w:r>
        <w:rPr>
          <w:spacing w:val="-1"/>
          <w:w w:val="99"/>
          <w:sz w:val="25"/>
        </w:rPr>
        <w:t>b</w:t>
      </w:r>
      <w:r>
        <w:rPr>
          <w:w w:val="99"/>
          <w:sz w:val="25"/>
        </w:rPr>
        <w:t>e</w:t>
      </w:r>
      <w:r>
        <w:rPr>
          <w:spacing w:val="-1"/>
          <w:w w:val="99"/>
          <w:sz w:val="25"/>
        </w:rPr>
        <w:t>lon</w:t>
      </w:r>
      <w:r>
        <w:rPr>
          <w:w w:val="99"/>
          <w:sz w:val="25"/>
        </w:rPr>
        <w:t>g</w:t>
      </w:r>
      <w:r>
        <w:rPr>
          <w:spacing w:val="-1"/>
          <w:w w:val="99"/>
          <w:sz w:val="25"/>
        </w:rPr>
        <w:t>e</w:t>
      </w:r>
      <w:r>
        <w:rPr>
          <w:w w:val="99"/>
          <w:sz w:val="25"/>
        </w:rPr>
        <w:t>d</w:t>
      </w:r>
      <w:r>
        <w:rPr>
          <w:w w:val="80"/>
          <w:sz w:val="25"/>
        </w:rPr>
        <w:t>‖</w:t>
      </w:r>
      <w:r>
        <w:rPr>
          <w:spacing w:val="19"/>
          <w:sz w:val="25"/>
        </w:rPr>
        <w:t> </w:t>
      </w:r>
      <w:r>
        <w:rPr>
          <w:w w:val="99"/>
          <w:sz w:val="25"/>
        </w:rPr>
        <w:t>to</w:t>
      </w:r>
      <w:r>
        <w:rPr>
          <w:spacing w:val="17"/>
          <w:sz w:val="25"/>
        </w:rPr>
        <w:t> </w:t>
      </w:r>
      <w:r>
        <w:rPr>
          <w:spacing w:val="-1"/>
          <w:w w:val="99"/>
          <w:sz w:val="25"/>
        </w:rPr>
        <w:t>Nir</w:t>
      </w:r>
      <w:r>
        <w:rPr>
          <w:w w:val="99"/>
          <w:sz w:val="25"/>
        </w:rPr>
        <w:t>m</w:t>
      </w:r>
      <w:r>
        <w:rPr>
          <w:spacing w:val="-1"/>
          <w:w w:val="99"/>
          <w:sz w:val="25"/>
        </w:rPr>
        <w:t>o</w:t>
      </w:r>
      <w:r>
        <w:rPr>
          <w:w w:val="99"/>
          <w:sz w:val="25"/>
        </w:rPr>
        <w:t>hi</w:t>
      </w:r>
      <w:r>
        <w:rPr>
          <w:spacing w:val="18"/>
          <w:sz w:val="25"/>
        </w:rPr>
        <w:t> </w:t>
      </w:r>
      <w:r>
        <w:rPr>
          <w:spacing w:val="-1"/>
          <w:w w:val="99"/>
          <w:sz w:val="25"/>
        </w:rPr>
        <w:t>A</w:t>
      </w:r>
      <w:r>
        <w:rPr>
          <w:w w:val="99"/>
          <w:sz w:val="25"/>
        </w:rPr>
        <w:t>kh</w:t>
      </w:r>
      <w:r>
        <w:rPr>
          <w:spacing w:val="4"/>
          <w:w w:val="99"/>
          <w:sz w:val="25"/>
        </w:rPr>
        <w:t>a</w:t>
      </w:r>
      <w:r>
        <w:rPr>
          <w:w w:val="99"/>
          <w:sz w:val="25"/>
        </w:rPr>
        <w:t>ra</w:t>
      </w:r>
      <w:r>
        <w:rPr>
          <w:spacing w:val="19"/>
          <w:sz w:val="25"/>
        </w:rPr>
        <w:t> </w:t>
      </w:r>
      <w:r>
        <w:rPr>
          <w:spacing w:val="-1"/>
          <w:w w:val="99"/>
          <w:sz w:val="25"/>
        </w:rPr>
        <w:t>whic</w:t>
      </w:r>
      <w:r>
        <w:rPr>
          <w:w w:val="99"/>
          <w:sz w:val="25"/>
        </w:rPr>
        <w:t>h</w:t>
      </w:r>
      <w:r>
        <w:rPr>
          <w:spacing w:val="19"/>
          <w:sz w:val="25"/>
        </w:rPr>
        <w:t> </w:t>
      </w:r>
      <w:r>
        <w:rPr>
          <w:spacing w:val="-1"/>
          <w:w w:val="99"/>
          <w:sz w:val="25"/>
        </w:rPr>
        <w:t>h</w:t>
      </w:r>
      <w:r>
        <w:rPr>
          <w:w w:val="99"/>
          <w:sz w:val="25"/>
        </w:rPr>
        <w:t>as</w:t>
      </w:r>
      <w:r>
        <w:rPr>
          <w:spacing w:val="19"/>
          <w:sz w:val="25"/>
        </w:rPr>
        <w:t> </w:t>
      </w:r>
      <w:r>
        <w:rPr>
          <w:spacing w:val="-1"/>
          <w:w w:val="99"/>
          <w:sz w:val="25"/>
        </w:rPr>
        <w:t>b</w:t>
      </w:r>
      <w:r>
        <w:rPr>
          <w:w w:val="99"/>
          <w:sz w:val="25"/>
        </w:rPr>
        <w:t>e</w:t>
      </w:r>
      <w:r>
        <w:rPr>
          <w:spacing w:val="-1"/>
          <w:w w:val="99"/>
          <w:sz w:val="25"/>
        </w:rPr>
        <w:t>e</w:t>
      </w:r>
      <w:r>
        <w:rPr>
          <w:w w:val="99"/>
          <w:sz w:val="25"/>
        </w:rPr>
        <w:t>n</w:t>
      </w:r>
      <w:r>
        <w:rPr>
          <w:spacing w:val="17"/>
          <w:sz w:val="25"/>
        </w:rPr>
        <w:t> </w:t>
      </w:r>
      <w:r>
        <w:rPr>
          <w:w w:val="33"/>
          <w:sz w:val="25"/>
        </w:rPr>
        <w:t>―</w:t>
      </w:r>
      <w:r>
        <w:rPr>
          <w:w w:val="99"/>
          <w:sz w:val="25"/>
        </w:rPr>
        <w:t>m</w:t>
      </w:r>
      <w:r>
        <w:rPr>
          <w:spacing w:val="-1"/>
          <w:w w:val="99"/>
          <w:sz w:val="25"/>
        </w:rPr>
        <w:t>a</w:t>
      </w:r>
      <w:r>
        <w:rPr>
          <w:w w:val="99"/>
          <w:sz w:val="25"/>
        </w:rPr>
        <w:t>n</w:t>
      </w:r>
      <w:r>
        <w:rPr>
          <w:spacing w:val="-1"/>
          <w:w w:val="99"/>
          <w:sz w:val="25"/>
        </w:rPr>
        <w:t>a</w:t>
      </w:r>
      <w:r>
        <w:rPr>
          <w:w w:val="99"/>
          <w:sz w:val="25"/>
        </w:rPr>
        <w:t>g</w:t>
      </w:r>
      <w:r>
        <w:rPr>
          <w:spacing w:val="-1"/>
          <w:w w:val="99"/>
          <w:sz w:val="25"/>
        </w:rPr>
        <w:t>i</w:t>
      </w:r>
      <w:r>
        <w:rPr>
          <w:spacing w:val="-3"/>
          <w:w w:val="99"/>
          <w:sz w:val="25"/>
        </w:rPr>
        <w:t>n</w:t>
      </w:r>
      <w:r>
        <w:rPr>
          <w:w w:val="99"/>
          <w:sz w:val="25"/>
        </w:rPr>
        <w:t>g</w:t>
      </w:r>
      <w:r>
        <w:rPr>
          <w:spacing w:val="19"/>
          <w:sz w:val="25"/>
        </w:rPr>
        <w:t> </w:t>
      </w:r>
      <w:r>
        <w:rPr>
          <w:spacing w:val="-1"/>
          <w:w w:val="99"/>
          <w:sz w:val="25"/>
        </w:rPr>
        <w:t>i</w:t>
      </w:r>
      <w:r>
        <w:rPr>
          <w:w w:val="99"/>
          <w:sz w:val="25"/>
        </w:rPr>
        <w:t>t</w:t>
      </w:r>
      <w:r>
        <w:rPr>
          <w:spacing w:val="19"/>
          <w:sz w:val="25"/>
        </w:rPr>
        <w:t> </w:t>
      </w:r>
      <w:r>
        <w:rPr>
          <w:spacing w:val="-1"/>
          <w:w w:val="99"/>
          <w:sz w:val="25"/>
        </w:rPr>
        <w:t>a</w:t>
      </w:r>
      <w:r>
        <w:rPr>
          <w:w w:val="99"/>
          <w:sz w:val="25"/>
        </w:rPr>
        <w:t>nd</w:t>
      </w:r>
      <w:r>
        <w:rPr>
          <w:spacing w:val="17"/>
          <w:sz w:val="25"/>
        </w:rPr>
        <w:t> </w:t>
      </w:r>
      <w:r>
        <w:rPr>
          <w:w w:val="99"/>
          <w:sz w:val="25"/>
        </w:rPr>
        <w:t>r</w:t>
      </w:r>
      <w:r>
        <w:rPr>
          <w:spacing w:val="-1"/>
          <w:w w:val="99"/>
          <w:sz w:val="25"/>
        </w:rPr>
        <w:t>ec</w:t>
      </w:r>
      <w:r>
        <w:rPr>
          <w:w w:val="99"/>
          <w:sz w:val="25"/>
        </w:rPr>
        <w:t>e</w:t>
      </w:r>
      <w:r>
        <w:rPr>
          <w:spacing w:val="-1"/>
          <w:w w:val="99"/>
          <w:sz w:val="25"/>
        </w:rPr>
        <w:t>i</w:t>
      </w:r>
      <w:r>
        <w:rPr>
          <w:spacing w:val="-3"/>
          <w:w w:val="99"/>
          <w:sz w:val="25"/>
        </w:rPr>
        <w:t>v</w:t>
      </w:r>
      <w:r>
        <w:rPr>
          <w:spacing w:val="-1"/>
          <w:w w:val="99"/>
          <w:sz w:val="25"/>
        </w:rPr>
        <w:t>ing </w:t>
      </w:r>
      <w:r>
        <w:rPr>
          <w:sz w:val="25"/>
        </w:rPr>
        <w:t>offerings‖. According to the plaintiffs, the temple has ever since been in the possession of Nirmohi Akhara. The grievance in the Suit is that the plaintiffs were wrongfully deprived of their management and charge of the temple as a result of the order of attachment under Section 145 and the proceedings have been unduly prolonged by the Magistrate with the connivance to the Muslim parties. Nirmohi Akhara prays for the removal of the receiver from management and charge and for delivering it to the plaintiffs. Essentially, it is on the basis of the </w:t>
      </w:r>
      <w:r>
        <w:rPr>
          <w:spacing w:val="-1"/>
          <w:w w:val="99"/>
          <w:sz w:val="25"/>
        </w:rPr>
        <w:t>e</w:t>
      </w:r>
      <w:r>
        <w:rPr>
          <w:spacing w:val="-3"/>
          <w:w w:val="99"/>
          <w:sz w:val="25"/>
        </w:rPr>
        <w:t>x</w:t>
      </w:r>
      <w:r>
        <w:rPr>
          <w:spacing w:val="-1"/>
          <w:w w:val="99"/>
          <w:sz w:val="25"/>
        </w:rPr>
        <w:t>p</w:t>
      </w:r>
      <w:r>
        <w:rPr>
          <w:w w:val="99"/>
          <w:sz w:val="25"/>
        </w:rPr>
        <w:t>r</w:t>
      </w:r>
      <w:r>
        <w:rPr>
          <w:spacing w:val="-1"/>
          <w:w w:val="99"/>
          <w:sz w:val="25"/>
        </w:rPr>
        <w:t>essio</w:t>
      </w:r>
      <w:r>
        <w:rPr>
          <w:w w:val="99"/>
          <w:sz w:val="25"/>
        </w:rPr>
        <w:t>ns</w:t>
      </w:r>
      <w:r>
        <w:rPr>
          <w:sz w:val="25"/>
        </w:rPr>
        <w:t> </w:t>
      </w:r>
      <w:r>
        <w:rPr>
          <w:spacing w:val="-20"/>
          <w:sz w:val="25"/>
        </w:rPr>
        <w:t> </w:t>
      </w:r>
      <w:r>
        <w:rPr>
          <w:w w:val="33"/>
          <w:sz w:val="25"/>
        </w:rPr>
        <w:t>―</w:t>
      </w:r>
      <w:r>
        <w:rPr>
          <w:spacing w:val="-1"/>
          <w:w w:val="99"/>
          <w:sz w:val="25"/>
        </w:rPr>
        <w:t>b</w:t>
      </w:r>
      <w:r>
        <w:rPr>
          <w:w w:val="99"/>
          <w:sz w:val="25"/>
        </w:rPr>
        <w:t>e</w:t>
      </w:r>
      <w:r>
        <w:rPr>
          <w:spacing w:val="-1"/>
          <w:w w:val="99"/>
          <w:sz w:val="25"/>
        </w:rPr>
        <w:t>lon</w:t>
      </w:r>
      <w:r>
        <w:rPr>
          <w:w w:val="99"/>
          <w:sz w:val="25"/>
        </w:rPr>
        <w:t>g</w:t>
      </w:r>
      <w:r>
        <w:rPr>
          <w:w w:val="91"/>
          <w:sz w:val="25"/>
        </w:rPr>
        <w:t>s‖</w:t>
      </w:r>
      <w:r>
        <w:rPr>
          <w:sz w:val="25"/>
        </w:rPr>
        <w:t> </w:t>
      </w:r>
      <w:r>
        <w:rPr>
          <w:spacing w:val="-19"/>
          <w:sz w:val="25"/>
        </w:rPr>
        <w:t> </w:t>
      </w:r>
      <w:r>
        <w:rPr>
          <w:spacing w:val="-1"/>
          <w:w w:val="99"/>
          <w:sz w:val="25"/>
        </w:rPr>
        <w:t>i</w:t>
      </w:r>
      <w:r>
        <w:rPr>
          <w:w w:val="99"/>
          <w:sz w:val="25"/>
        </w:rPr>
        <w:t>n</w:t>
      </w:r>
      <w:r>
        <w:rPr>
          <w:sz w:val="25"/>
        </w:rPr>
        <w:t> </w:t>
      </w:r>
      <w:r>
        <w:rPr>
          <w:spacing w:val="-19"/>
          <w:sz w:val="25"/>
        </w:rPr>
        <w:t> </w:t>
      </w:r>
      <w:r>
        <w:rPr>
          <w:spacing w:val="-1"/>
          <w:w w:val="99"/>
          <w:sz w:val="25"/>
        </w:rPr>
        <w:t>p</w:t>
      </w:r>
      <w:r>
        <w:rPr>
          <w:w w:val="99"/>
          <w:sz w:val="25"/>
        </w:rPr>
        <w:t>ar</w:t>
      </w:r>
      <w:r>
        <w:rPr>
          <w:spacing w:val="-1"/>
          <w:w w:val="99"/>
          <w:sz w:val="25"/>
        </w:rPr>
        <w:t>a</w:t>
      </w:r>
      <w:r>
        <w:rPr>
          <w:spacing w:val="-2"/>
          <w:w w:val="99"/>
          <w:sz w:val="25"/>
        </w:rPr>
        <w:t>g</w:t>
      </w:r>
      <w:r>
        <w:rPr>
          <w:w w:val="99"/>
          <w:sz w:val="25"/>
        </w:rPr>
        <w:t>r</w:t>
      </w:r>
      <w:r>
        <w:rPr>
          <w:spacing w:val="-1"/>
          <w:w w:val="99"/>
          <w:sz w:val="25"/>
        </w:rPr>
        <w:t>a</w:t>
      </w:r>
      <w:r>
        <w:rPr>
          <w:w w:val="99"/>
          <w:sz w:val="25"/>
        </w:rPr>
        <w:t>ph</w:t>
      </w:r>
      <w:r>
        <w:rPr>
          <w:sz w:val="25"/>
        </w:rPr>
        <w:t> </w:t>
      </w:r>
      <w:r>
        <w:rPr>
          <w:spacing w:val="-19"/>
          <w:sz w:val="25"/>
        </w:rPr>
        <w:t> </w:t>
      </w:r>
      <w:r>
        <w:rPr>
          <w:w w:val="99"/>
          <w:sz w:val="25"/>
        </w:rPr>
        <w:t>2</w:t>
      </w:r>
      <w:r>
        <w:rPr>
          <w:sz w:val="25"/>
        </w:rPr>
        <w:t> </w:t>
      </w:r>
      <w:r>
        <w:rPr>
          <w:spacing w:val="-22"/>
          <w:sz w:val="25"/>
        </w:rPr>
        <w:t> </w:t>
      </w:r>
      <w:r>
        <w:rPr>
          <w:spacing w:val="-1"/>
          <w:w w:val="99"/>
          <w:sz w:val="25"/>
        </w:rPr>
        <w:t>a</w:t>
      </w:r>
      <w:r>
        <w:rPr>
          <w:w w:val="99"/>
          <w:sz w:val="25"/>
        </w:rPr>
        <w:t>nd</w:t>
      </w:r>
      <w:r>
        <w:rPr>
          <w:sz w:val="25"/>
        </w:rPr>
        <w:t> </w:t>
      </w:r>
      <w:r>
        <w:rPr>
          <w:spacing w:val="-22"/>
          <w:sz w:val="25"/>
        </w:rPr>
        <w:t> </w:t>
      </w:r>
      <w:r>
        <w:rPr>
          <w:w w:val="33"/>
          <w:sz w:val="25"/>
        </w:rPr>
        <w:t>―</w:t>
      </w:r>
      <w:r>
        <w:rPr>
          <w:spacing w:val="-1"/>
          <w:w w:val="99"/>
          <w:sz w:val="25"/>
        </w:rPr>
        <w:t>p</w:t>
      </w:r>
      <w:r>
        <w:rPr>
          <w:w w:val="99"/>
          <w:sz w:val="25"/>
        </w:rPr>
        <w:t>ossession</w:t>
      </w:r>
      <w:r>
        <w:rPr>
          <w:w w:val="80"/>
          <w:sz w:val="25"/>
        </w:rPr>
        <w:t>‖</w:t>
      </w:r>
      <w:r>
        <w:rPr>
          <w:sz w:val="25"/>
        </w:rPr>
        <w:t> </w:t>
      </w:r>
      <w:r>
        <w:rPr>
          <w:spacing w:val="-19"/>
          <w:sz w:val="25"/>
        </w:rPr>
        <w:t> </w:t>
      </w:r>
      <w:r>
        <w:rPr>
          <w:spacing w:val="-1"/>
          <w:w w:val="99"/>
          <w:sz w:val="25"/>
        </w:rPr>
        <w:t>i</w:t>
      </w:r>
      <w:r>
        <w:rPr>
          <w:w w:val="99"/>
          <w:sz w:val="25"/>
        </w:rPr>
        <w:t>n</w:t>
      </w:r>
      <w:r>
        <w:rPr>
          <w:sz w:val="25"/>
        </w:rPr>
        <w:t> </w:t>
      </w:r>
      <w:r>
        <w:rPr>
          <w:spacing w:val="-19"/>
          <w:sz w:val="25"/>
        </w:rPr>
        <w:t> </w:t>
      </w:r>
      <w:r>
        <w:rPr>
          <w:spacing w:val="-1"/>
          <w:w w:val="99"/>
          <w:sz w:val="25"/>
        </w:rPr>
        <w:t>p</w:t>
      </w:r>
      <w:r>
        <w:rPr>
          <w:spacing w:val="-2"/>
          <w:w w:val="99"/>
          <w:sz w:val="25"/>
        </w:rPr>
        <w:t>ar</w:t>
      </w:r>
      <w:r>
        <w:rPr>
          <w:spacing w:val="-1"/>
          <w:w w:val="99"/>
          <w:sz w:val="25"/>
        </w:rPr>
        <w:t>a</w:t>
      </w:r>
      <w:r>
        <w:rPr>
          <w:w w:val="99"/>
          <w:sz w:val="25"/>
        </w:rPr>
        <w:t>gr</w:t>
      </w:r>
      <w:r>
        <w:rPr>
          <w:spacing w:val="-1"/>
          <w:w w:val="99"/>
          <w:sz w:val="25"/>
        </w:rPr>
        <w:t>a</w:t>
      </w:r>
      <w:r>
        <w:rPr>
          <w:w w:val="99"/>
          <w:sz w:val="25"/>
        </w:rPr>
        <w:t>ph</w:t>
      </w:r>
      <w:r>
        <w:rPr>
          <w:sz w:val="25"/>
        </w:rPr>
        <w:t> </w:t>
      </w:r>
      <w:r>
        <w:rPr>
          <w:spacing w:val="-19"/>
          <w:sz w:val="25"/>
        </w:rPr>
        <w:t> </w:t>
      </w:r>
      <w:r>
        <w:rPr>
          <w:w w:val="99"/>
          <w:sz w:val="25"/>
        </w:rPr>
        <w:t>4</w:t>
      </w:r>
      <w:r>
        <w:rPr>
          <w:sz w:val="25"/>
        </w:rPr>
        <w:t> </w:t>
      </w:r>
      <w:r>
        <w:rPr>
          <w:spacing w:val="-19"/>
          <w:sz w:val="25"/>
        </w:rPr>
        <w:t> </w:t>
      </w:r>
      <w:r>
        <w:rPr>
          <w:spacing w:val="-1"/>
          <w:w w:val="99"/>
          <w:sz w:val="25"/>
        </w:rPr>
        <w:t>o</w:t>
      </w:r>
      <w:r>
        <w:rPr>
          <w:w w:val="99"/>
          <w:sz w:val="25"/>
        </w:rPr>
        <w:t>f</w:t>
      </w:r>
      <w:r>
        <w:rPr>
          <w:sz w:val="25"/>
        </w:rPr>
        <w:t> </w:t>
      </w:r>
      <w:r>
        <w:rPr>
          <w:spacing w:val="-21"/>
          <w:sz w:val="25"/>
        </w:rPr>
        <w:t> </w:t>
      </w:r>
      <w:r>
        <w:rPr>
          <w:w w:val="99"/>
          <w:sz w:val="25"/>
        </w:rPr>
        <w:t>the </w:t>
      </w:r>
      <w:r>
        <w:rPr>
          <w:sz w:val="25"/>
        </w:rPr>
        <w:t>pleadings that Nirmohi Akhara has sought to bring the suit within the purview of Article 142 (and hence, outside the purview of residuary Article</w:t>
      </w:r>
      <w:r>
        <w:rPr>
          <w:spacing w:val="-14"/>
          <w:sz w:val="25"/>
        </w:rPr>
        <w:t> </w:t>
      </w:r>
      <w:r>
        <w:rPr>
          <w:sz w:val="25"/>
        </w:rPr>
        <w:t>120).</w:t>
      </w:r>
    </w:p>
    <w:p>
      <w:pPr>
        <w:pStyle w:val="BodyText"/>
        <w:spacing w:before="1"/>
      </w:pPr>
    </w:p>
    <w:p>
      <w:pPr>
        <w:pStyle w:val="ListParagraph"/>
        <w:numPr>
          <w:ilvl w:val="0"/>
          <w:numId w:val="3"/>
        </w:numPr>
        <w:tabs>
          <w:tab w:pos="1221" w:val="left" w:leader="none"/>
        </w:tabs>
        <w:spacing w:line="480" w:lineRule="auto" w:before="0" w:after="0"/>
        <w:ind w:left="500" w:right="440" w:firstLine="0"/>
        <w:jc w:val="both"/>
        <w:rPr>
          <w:sz w:val="25"/>
        </w:rPr>
      </w:pPr>
      <w:r>
        <w:rPr>
          <w:sz w:val="25"/>
        </w:rPr>
        <w:t>Dr Rajeev Dhavan, learned Senior Counsel appearing on behalf of the Sunni Central Waqf Board, has made a painstaking effort to demonstrate how a careful attempt has been made on behalf of Nirmohi Akhara to travel beyond the pleadings and more specifically the relief which has been claimed in the suit by seeking to expand the scope of the suit in the written</w:t>
      </w:r>
      <w:r>
        <w:rPr>
          <w:spacing w:val="-10"/>
          <w:sz w:val="25"/>
        </w:rPr>
        <w:t> </w:t>
      </w:r>
      <w:r>
        <w:rPr>
          <w:sz w:val="25"/>
        </w:rPr>
        <w:t>submissions.</w:t>
      </w:r>
    </w:p>
    <w:p>
      <w:pPr>
        <w:spacing w:after="0" w:line="480" w:lineRule="auto"/>
        <w:jc w:val="both"/>
        <w:rPr>
          <w:sz w:val="25"/>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4" w:firstLine="0"/>
        <w:jc w:val="both"/>
        <w:rPr>
          <w:sz w:val="25"/>
        </w:rPr>
      </w:pPr>
      <w:r>
        <w:rPr>
          <w:sz w:val="25"/>
        </w:rPr>
        <w:t>In our view, it would be instructive having set out the ambit of Suit 3, to demonstrate how the written submissions attempt (through the craft of Counsel) to change the nature of the suit in order to bring it within limitation. As a matter of first principle, the plaint must be read as a whole. However, this is quite distinct from permitting the plaintiff to a suit to alter its nature on the basis of written submissions in appeal. Any alteration in the content of a plaint can only take place by an amendment under Order VI Rule 17 of the CPC. Instead, as we shall see, an ingenious effort has been made to gloss over the contents of the suit in the written submissions. This is impermissible. Mr S K Jain, learned Senior Counsel appearing on behalf of the plaintiff in Suit 3, made the following submission in paragraph 13(d) of his written</w:t>
      </w:r>
      <w:r>
        <w:rPr>
          <w:spacing w:val="-1"/>
          <w:sz w:val="25"/>
        </w:rPr>
        <w:t> </w:t>
      </w:r>
      <w:r>
        <w:rPr>
          <w:sz w:val="25"/>
        </w:rPr>
        <w:t>submissions:</w:t>
      </w:r>
    </w:p>
    <w:p>
      <w:pPr>
        <w:spacing w:line="276" w:lineRule="auto" w:before="0"/>
        <w:ind w:left="1940" w:right="2261" w:firstLine="0"/>
        <w:jc w:val="both"/>
        <w:rPr>
          <w:sz w:val="21"/>
        </w:rPr>
      </w:pPr>
      <w:r>
        <w:rPr>
          <w:w w:val="33"/>
          <w:sz w:val="21"/>
        </w:rPr>
        <w:t>―</w:t>
      </w:r>
      <w:r>
        <w:rPr>
          <w:w w:val="100"/>
          <w:sz w:val="21"/>
        </w:rPr>
        <w:t>(d)</w:t>
      </w:r>
      <w:r>
        <w:rPr>
          <w:sz w:val="21"/>
        </w:rPr>
        <w:t> </w:t>
      </w:r>
      <w:r>
        <w:rPr>
          <w:b/>
          <w:w w:val="100"/>
          <w:sz w:val="21"/>
        </w:rPr>
        <w:t>Th</w:t>
      </w:r>
      <w:r>
        <w:rPr>
          <w:b/>
          <w:w w:val="100"/>
          <w:sz w:val="21"/>
        </w:rPr>
        <w:t>e</w:t>
      </w:r>
      <w:r>
        <w:rPr>
          <w:b/>
          <w:sz w:val="21"/>
        </w:rPr>
        <w:t> </w:t>
      </w:r>
      <w:r>
        <w:rPr>
          <w:b/>
          <w:w w:val="100"/>
          <w:sz w:val="21"/>
        </w:rPr>
        <w:t>plaintiff</w:t>
      </w:r>
      <w:r>
        <w:rPr>
          <w:b/>
          <w:sz w:val="21"/>
        </w:rPr>
        <w:t> </w:t>
      </w:r>
      <w:r>
        <w:rPr>
          <w:b/>
          <w:w w:val="100"/>
          <w:sz w:val="21"/>
        </w:rPr>
        <w:t>–</w:t>
      </w:r>
      <w:r>
        <w:rPr>
          <w:b/>
          <w:sz w:val="21"/>
        </w:rPr>
        <w:t> </w:t>
      </w:r>
      <w:r>
        <w:rPr>
          <w:b/>
          <w:w w:val="100"/>
          <w:sz w:val="21"/>
        </w:rPr>
        <w:t>N</w:t>
      </w:r>
      <w:r>
        <w:rPr>
          <w:b/>
          <w:w w:val="100"/>
          <w:sz w:val="21"/>
        </w:rPr>
        <w:t>i</w:t>
      </w:r>
      <w:r>
        <w:rPr>
          <w:b/>
          <w:w w:val="100"/>
          <w:sz w:val="21"/>
        </w:rPr>
        <w:t>rm</w:t>
      </w:r>
      <w:r>
        <w:rPr>
          <w:b/>
          <w:w w:val="100"/>
          <w:sz w:val="21"/>
        </w:rPr>
        <w:t>ohi</w:t>
      </w:r>
      <w:r>
        <w:rPr>
          <w:b/>
          <w:sz w:val="21"/>
        </w:rPr>
        <w:t> </w:t>
      </w:r>
      <w:r>
        <w:rPr>
          <w:b/>
          <w:w w:val="100"/>
          <w:sz w:val="21"/>
        </w:rPr>
        <w:t>A</w:t>
      </w:r>
      <w:r>
        <w:rPr>
          <w:b/>
          <w:w w:val="100"/>
          <w:sz w:val="21"/>
        </w:rPr>
        <w:t>kh</w:t>
      </w:r>
      <w:r>
        <w:rPr>
          <w:b/>
          <w:w w:val="100"/>
          <w:sz w:val="21"/>
        </w:rPr>
        <w:t>ara</w:t>
      </w:r>
      <w:r>
        <w:rPr>
          <w:b/>
          <w:sz w:val="21"/>
        </w:rPr>
        <w:t> </w:t>
      </w:r>
      <w:r>
        <w:rPr>
          <w:b/>
          <w:w w:val="100"/>
          <w:sz w:val="21"/>
        </w:rPr>
        <w:t>w</w:t>
      </w:r>
      <w:r>
        <w:rPr>
          <w:b/>
          <w:w w:val="100"/>
          <w:sz w:val="21"/>
        </w:rPr>
        <w:t>as</w:t>
      </w:r>
      <w:r>
        <w:rPr>
          <w:b/>
          <w:sz w:val="21"/>
        </w:rPr>
        <w:t> </w:t>
      </w:r>
      <w:r>
        <w:rPr>
          <w:b/>
          <w:w w:val="100"/>
          <w:sz w:val="21"/>
        </w:rPr>
        <w:t>not</w:t>
      </w:r>
      <w:r>
        <w:rPr>
          <w:b/>
          <w:sz w:val="21"/>
        </w:rPr>
        <w:t> </w:t>
      </w:r>
      <w:r>
        <w:rPr>
          <w:b/>
          <w:w w:val="100"/>
          <w:sz w:val="21"/>
        </w:rPr>
        <w:t>onl</w:t>
      </w:r>
      <w:r>
        <w:rPr>
          <w:b/>
          <w:w w:val="100"/>
          <w:sz w:val="21"/>
        </w:rPr>
        <w:t>y</w:t>
      </w:r>
      <w:r>
        <w:rPr>
          <w:b/>
          <w:sz w:val="21"/>
        </w:rPr>
        <w:t> </w:t>
      </w:r>
      <w:r>
        <w:rPr>
          <w:b/>
          <w:w w:val="100"/>
          <w:sz w:val="21"/>
        </w:rPr>
        <w:t>claimi</w:t>
      </w:r>
      <w:r>
        <w:rPr>
          <w:b/>
          <w:w w:val="100"/>
          <w:sz w:val="21"/>
        </w:rPr>
        <w:t>ng </w:t>
      </w:r>
      <w:r>
        <w:rPr>
          <w:b/>
          <w:sz w:val="21"/>
        </w:rPr>
        <w:t>ownership and possession of the property </w:t>
      </w:r>
      <w:r>
        <w:rPr>
          <w:sz w:val="21"/>
        </w:rPr>
        <w:t>i.e. the Main Temple or the Inner Courtyard but was also claiming to be the </w:t>
      </w:r>
      <w:r>
        <w:rPr>
          <w:w w:val="100"/>
          <w:sz w:val="21"/>
        </w:rPr>
        <w:t>Manager</w:t>
      </w:r>
      <w:r>
        <w:rPr>
          <w:sz w:val="21"/>
        </w:rPr>
        <w:t> </w:t>
      </w:r>
      <w:r>
        <w:rPr>
          <w:w w:val="100"/>
          <w:sz w:val="21"/>
        </w:rPr>
        <w:t>(Shebiat)</w:t>
      </w:r>
      <w:r>
        <w:rPr>
          <w:sz w:val="21"/>
        </w:rPr>
        <w:t> </w:t>
      </w:r>
      <w:r>
        <w:rPr>
          <w:w w:val="100"/>
          <w:sz w:val="21"/>
        </w:rPr>
        <w:t>of</w:t>
      </w:r>
      <w:r>
        <w:rPr>
          <w:sz w:val="21"/>
        </w:rPr>
        <w:t> </w:t>
      </w:r>
      <w:r>
        <w:rPr>
          <w:w w:val="33"/>
          <w:sz w:val="21"/>
        </w:rPr>
        <w:t>―</w:t>
      </w:r>
      <w:r>
        <w:rPr>
          <w:w w:val="100"/>
          <w:sz w:val="21"/>
        </w:rPr>
        <w:t>Janma</w:t>
      </w:r>
      <w:r>
        <w:rPr>
          <w:sz w:val="21"/>
        </w:rPr>
        <w:t> </w:t>
      </w:r>
      <w:r>
        <w:rPr>
          <w:w w:val="100"/>
          <w:sz w:val="21"/>
        </w:rPr>
        <w:t>Asth</w:t>
      </w:r>
      <w:r>
        <w:rPr>
          <w:w w:val="95"/>
          <w:sz w:val="21"/>
        </w:rPr>
        <w:t>an‖</w:t>
      </w:r>
      <w:r>
        <w:rPr>
          <w:sz w:val="21"/>
        </w:rPr>
        <w:t> </w:t>
      </w:r>
      <w:r>
        <w:rPr>
          <w:w w:val="100"/>
          <w:sz w:val="21"/>
        </w:rPr>
        <w:t>as</w:t>
      </w:r>
      <w:r>
        <w:rPr>
          <w:sz w:val="21"/>
        </w:rPr>
        <w:t> </w:t>
      </w:r>
      <w:r>
        <w:rPr>
          <w:w w:val="100"/>
          <w:sz w:val="21"/>
        </w:rPr>
        <w:t>well</w:t>
      </w:r>
      <w:r>
        <w:rPr>
          <w:sz w:val="21"/>
        </w:rPr>
        <w:t> </w:t>
      </w:r>
      <w:r>
        <w:rPr>
          <w:w w:val="100"/>
          <w:sz w:val="21"/>
        </w:rPr>
        <w:t>as</w:t>
      </w:r>
      <w:r>
        <w:rPr>
          <w:sz w:val="21"/>
        </w:rPr>
        <w:t> </w:t>
      </w:r>
      <w:r>
        <w:rPr>
          <w:w w:val="100"/>
          <w:sz w:val="21"/>
        </w:rPr>
        <w:t>the</w:t>
      </w:r>
      <w:r>
        <w:rPr>
          <w:sz w:val="21"/>
        </w:rPr>
        <w:t> </w:t>
      </w:r>
      <w:r>
        <w:rPr>
          <w:w w:val="100"/>
          <w:sz w:val="21"/>
        </w:rPr>
        <w:t>idols</w:t>
      </w:r>
      <w:r>
        <w:rPr>
          <w:sz w:val="21"/>
        </w:rPr>
        <w:t> </w:t>
      </w:r>
      <w:r>
        <w:rPr>
          <w:w w:val="100"/>
          <w:sz w:val="21"/>
        </w:rPr>
        <w:t>of </w:t>
      </w:r>
      <w:r>
        <w:rPr>
          <w:sz w:val="21"/>
        </w:rPr>
        <w:t>Lord Ram Chandra, Laxmanji, Hanumanji and Saligramji.‖</w:t>
      </w:r>
    </w:p>
    <w:p>
      <w:pPr>
        <w:spacing w:before="0"/>
        <w:ind w:left="5440" w:right="0" w:firstLine="0"/>
        <w:jc w:val="both"/>
        <w:rPr>
          <w:sz w:val="21"/>
        </w:rPr>
      </w:pPr>
      <w:r>
        <w:rPr>
          <w:sz w:val="21"/>
        </w:rPr>
        <w:t>(Emphasis supplied)</w:t>
      </w:r>
    </w:p>
    <w:p>
      <w:pPr>
        <w:pStyle w:val="BodyText"/>
        <w:rPr>
          <w:sz w:val="24"/>
        </w:rPr>
      </w:pPr>
    </w:p>
    <w:p>
      <w:pPr>
        <w:pStyle w:val="BodyText"/>
        <w:spacing w:before="3"/>
        <w:rPr>
          <w:sz w:val="21"/>
        </w:rPr>
      </w:pPr>
    </w:p>
    <w:p>
      <w:pPr>
        <w:pStyle w:val="BodyText"/>
        <w:ind w:left="500"/>
      </w:pPr>
      <w:r>
        <w:rPr/>
        <w:t>In paragraph 17(j) of the written submissions, it has been urged:</w:t>
      </w:r>
    </w:p>
    <w:p>
      <w:pPr>
        <w:pStyle w:val="BodyText"/>
        <w:spacing w:before="9"/>
        <w:rPr>
          <w:sz w:val="24"/>
        </w:rPr>
      </w:pPr>
    </w:p>
    <w:p>
      <w:pPr>
        <w:spacing w:line="276" w:lineRule="auto" w:before="0"/>
        <w:ind w:left="1940" w:right="2261" w:firstLine="0"/>
        <w:jc w:val="both"/>
        <w:rPr>
          <w:sz w:val="21"/>
        </w:rPr>
      </w:pPr>
      <w:r>
        <w:rPr>
          <w:spacing w:val="-1"/>
          <w:w w:val="33"/>
          <w:sz w:val="21"/>
        </w:rPr>
        <w:t>―</w:t>
      </w:r>
      <w:r>
        <w:rPr>
          <w:spacing w:val="-1"/>
          <w:w w:val="100"/>
          <w:sz w:val="21"/>
        </w:rPr>
        <w:t>(</w:t>
      </w:r>
      <w:r>
        <w:rPr>
          <w:w w:val="100"/>
          <w:sz w:val="21"/>
        </w:rPr>
        <w:t>j)</w:t>
      </w:r>
      <w:r>
        <w:rPr>
          <w:sz w:val="21"/>
        </w:rPr>
        <w:t> </w:t>
      </w:r>
      <w:r>
        <w:rPr>
          <w:spacing w:val="7"/>
          <w:sz w:val="21"/>
        </w:rPr>
        <w:t> </w:t>
      </w:r>
      <w:r>
        <w:rPr>
          <w:spacing w:val="-2"/>
          <w:w w:val="100"/>
          <w:sz w:val="21"/>
        </w:rPr>
        <w:t>S</w:t>
      </w:r>
      <w:r>
        <w:rPr>
          <w:w w:val="100"/>
          <w:sz w:val="21"/>
        </w:rPr>
        <w:t>i</w:t>
      </w:r>
      <w:r>
        <w:rPr>
          <w:spacing w:val="-1"/>
          <w:w w:val="100"/>
          <w:sz w:val="21"/>
        </w:rPr>
        <w:t>n</w:t>
      </w:r>
      <w:r>
        <w:rPr>
          <w:spacing w:val="-3"/>
          <w:w w:val="100"/>
          <w:sz w:val="21"/>
        </w:rPr>
        <w:t>c</w:t>
      </w:r>
      <w:r>
        <w:rPr>
          <w:w w:val="100"/>
          <w:sz w:val="21"/>
        </w:rPr>
        <w:t>e</w:t>
      </w:r>
      <w:r>
        <w:rPr>
          <w:sz w:val="21"/>
        </w:rPr>
        <w:t> </w:t>
      </w:r>
      <w:r>
        <w:rPr>
          <w:spacing w:val="8"/>
          <w:sz w:val="21"/>
        </w:rPr>
        <w:t> </w:t>
      </w:r>
      <w:r>
        <w:rPr>
          <w:spacing w:val="-2"/>
          <w:w w:val="100"/>
          <w:sz w:val="21"/>
        </w:rPr>
        <w:t>t</w:t>
      </w:r>
      <w:r>
        <w:rPr>
          <w:spacing w:val="-1"/>
          <w:w w:val="100"/>
          <w:sz w:val="21"/>
        </w:rPr>
        <w:t>h</w:t>
      </w:r>
      <w:r>
        <w:rPr>
          <w:w w:val="100"/>
          <w:sz w:val="21"/>
        </w:rPr>
        <w:t>e</w:t>
      </w:r>
      <w:r>
        <w:rPr>
          <w:sz w:val="21"/>
        </w:rPr>
        <w:t> </w:t>
      </w:r>
      <w:r>
        <w:rPr>
          <w:spacing w:val="5"/>
          <w:sz w:val="21"/>
        </w:rPr>
        <w:t> </w:t>
      </w:r>
      <w:r>
        <w:rPr>
          <w:spacing w:val="-1"/>
          <w:w w:val="100"/>
          <w:sz w:val="21"/>
        </w:rPr>
        <w:t>pr</w:t>
      </w:r>
      <w:r>
        <w:rPr>
          <w:spacing w:val="-3"/>
          <w:w w:val="100"/>
          <w:sz w:val="21"/>
        </w:rPr>
        <w:t>o</w:t>
      </w:r>
      <w:r>
        <w:rPr>
          <w:spacing w:val="-1"/>
          <w:w w:val="100"/>
          <w:sz w:val="21"/>
        </w:rPr>
        <w:t>per</w:t>
      </w:r>
      <w:r>
        <w:rPr>
          <w:spacing w:val="-2"/>
          <w:w w:val="100"/>
          <w:sz w:val="21"/>
        </w:rPr>
        <w:t>t</w:t>
      </w:r>
      <w:r>
        <w:rPr>
          <w:w w:val="100"/>
          <w:sz w:val="21"/>
        </w:rPr>
        <w:t>y</w:t>
      </w:r>
      <w:r>
        <w:rPr>
          <w:sz w:val="21"/>
        </w:rPr>
        <w:t> </w:t>
      </w:r>
      <w:r>
        <w:rPr>
          <w:spacing w:val="5"/>
          <w:sz w:val="21"/>
        </w:rPr>
        <w:t> </w:t>
      </w:r>
      <w:r>
        <w:rPr>
          <w:spacing w:val="-2"/>
          <w:w w:val="100"/>
          <w:sz w:val="21"/>
        </w:rPr>
        <w:t>w</w:t>
      </w:r>
      <w:r>
        <w:rPr>
          <w:spacing w:val="-1"/>
          <w:w w:val="100"/>
          <w:sz w:val="21"/>
        </w:rPr>
        <w:t>a</w:t>
      </w:r>
      <w:r>
        <w:rPr>
          <w:w w:val="100"/>
          <w:sz w:val="21"/>
        </w:rPr>
        <w:t>s</w:t>
      </w:r>
      <w:r>
        <w:rPr>
          <w:sz w:val="21"/>
        </w:rPr>
        <w:t> </w:t>
      </w:r>
      <w:r>
        <w:rPr>
          <w:spacing w:val="8"/>
          <w:sz w:val="21"/>
        </w:rPr>
        <w:t> </w:t>
      </w:r>
      <w:r>
        <w:rPr>
          <w:spacing w:val="-1"/>
          <w:w w:val="100"/>
          <w:sz w:val="21"/>
        </w:rPr>
        <w:t>at</w:t>
      </w:r>
      <w:r>
        <w:rPr>
          <w:spacing w:val="-2"/>
          <w:w w:val="100"/>
          <w:sz w:val="21"/>
        </w:rPr>
        <w:t>t</w:t>
      </w:r>
      <w:r>
        <w:rPr>
          <w:spacing w:val="-1"/>
          <w:w w:val="100"/>
          <w:sz w:val="21"/>
        </w:rPr>
        <w:t>ac</w:t>
      </w:r>
      <w:r>
        <w:rPr>
          <w:spacing w:val="-3"/>
          <w:w w:val="100"/>
          <w:sz w:val="21"/>
        </w:rPr>
        <w:t>h</w:t>
      </w:r>
      <w:r>
        <w:rPr>
          <w:spacing w:val="-1"/>
          <w:w w:val="100"/>
          <w:sz w:val="21"/>
        </w:rPr>
        <w:t>e</w:t>
      </w:r>
      <w:r>
        <w:rPr>
          <w:w w:val="100"/>
          <w:sz w:val="21"/>
        </w:rPr>
        <w:t>d</w:t>
      </w:r>
      <w:r>
        <w:rPr>
          <w:sz w:val="21"/>
        </w:rPr>
        <w:t> </w:t>
      </w:r>
      <w:r>
        <w:rPr>
          <w:spacing w:val="5"/>
          <w:sz w:val="21"/>
        </w:rPr>
        <w:t> </w:t>
      </w:r>
      <w:r>
        <w:rPr>
          <w:spacing w:val="-1"/>
          <w:w w:val="100"/>
          <w:sz w:val="21"/>
        </w:rPr>
        <w:t>a</w:t>
      </w:r>
      <w:r>
        <w:rPr>
          <w:spacing w:val="-3"/>
          <w:w w:val="100"/>
          <w:sz w:val="21"/>
        </w:rPr>
        <w:t>n</w:t>
      </w:r>
      <w:r>
        <w:rPr>
          <w:w w:val="100"/>
          <w:sz w:val="21"/>
        </w:rPr>
        <w:t>d</w:t>
      </w:r>
      <w:r>
        <w:rPr>
          <w:sz w:val="21"/>
        </w:rPr>
        <w:t> </w:t>
      </w:r>
      <w:r>
        <w:rPr>
          <w:spacing w:val="8"/>
          <w:sz w:val="21"/>
        </w:rPr>
        <w:t> </w:t>
      </w:r>
      <w:r>
        <w:rPr>
          <w:spacing w:val="-3"/>
          <w:w w:val="100"/>
          <w:sz w:val="21"/>
        </w:rPr>
        <w:t>p</w:t>
      </w:r>
      <w:r>
        <w:rPr>
          <w:w w:val="100"/>
          <w:sz w:val="21"/>
        </w:rPr>
        <w:t>l</w:t>
      </w:r>
      <w:r>
        <w:rPr>
          <w:spacing w:val="-1"/>
          <w:w w:val="100"/>
          <w:sz w:val="21"/>
        </w:rPr>
        <w:t>a</w:t>
      </w:r>
      <w:r>
        <w:rPr>
          <w:spacing w:val="-3"/>
          <w:w w:val="100"/>
          <w:sz w:val="21"/>
        </w:rPr>
        <w:t>ce</w:t>
      </w:r>
      <w:r>
        <w:rPr>
          <w:w w:val="100"/>
          <w:sz w:val="21"/>
        </w:rPr>
        <w:t>d</w:t>
      </w:r>
      <w:r>
        <w:rPr>
          <w:sz w:val="21"/>
        </w:rPr>
        <w:t> </w:t>
      </w:r>
      <w:r>
        <w:rPr>
          <w:spacing w:val="8"/>
          <w:sz w:val="21"/>
        </w:rPr>
        <w:t> </w:t>
      </w:r>
      <w:r>
        <w:rPr>
          <w:spacing w:val="-1"/>
          <w:w w:val="100"/>
          <w:sz w:val="21"/>
        </w:rPr>
        <w:t>u</w:t>
      </w:r>
      <w:r>
        <w:rPr>
          <w:spacing w:val="-3"/>
          <w:w w:val="100"/>
          <w:sz w:val="21"/>
        </w:rPr>
        <w:t>n</w:t>
      </w:r>
      <w:r>
        <w:rPr>
          <w:spacing w:val="-1"/>
          <w:w w:val="100"/>
          <w:sz w:val="21"/>
        </w:rPr>
        <w:t>de</w:t>
      </w:r>
      <w:r>
        <w:rPr>
          <w:w w:val="100"/>
          <w:sz w:val="21"/>
        </w:rPr>
        <w:t>r</w:t>
      </w:r>
      <w:r>
        <w:rPr>
          <w:sz w:val="21"/>
        </w:rPr>
        <w:t> </w:t>
      </w:r>
      <w:r>
        <w:rPr>
          <w:spacing w:val="5"/>
          <w:sz w:val="21"/>
        </w:rPr>
        <w:t> </w:t>
      </w:r>
      <w:r>
        <w:rPr>
          <w:w w:val="100"/>
          <w:sz w:val="21"/>
        </w:rPr>
        <w:t>a </w:t>
      </w:r>
      <w:r>
        <w:rPr>
          <w:sz w:val="21"/>
        </w:rPr>
        <w:t>receiver, </w:t>
      </w:r>
      <w:r>
        <w:rPr>
          <w:b/>
          <w:sz w:val="21"/>
        </w:rPr>
        <w:t>it is incumbent for the court to decide and adjudicate the issue of title </w:t>
      </w:r>
      <w:r>
        <w:rPr>
          <w:sz w:val="21"/>
        </w:rPr>
        <w:t>and the suits cannot be dismissed as barred by limitation. The property must revert to the rightful owner and cannot remain </w:t>
      </w:r>
      <w:r>
        <w:rPr>
          <w:i/>
          <w:sz w:val="21"/>
        </w:rPr>
        <w:t>custodia legis </w:t>
      </w:r>
      <w:r>
        <w:rPr>
          <w:sz w:val="21"/>
        </w:rPr>
        <w:t>for time ad-infinitum. Hence in a suit for restoration of  possession from a receiver, the question of limitation can never arise and such suits cannot (sic) never become barred by limitation so long as such property continues to be under a receiver at least of a person from whom possession was</w:t>
      </w:r>
      <w:r>
        <w:rPr>
          <w:spacing w:val="-13"/>
          <w:sz w:val="21"/>
        </w:rPr>
        <w:t> </w:t>
      </w:r>
      <w:r>
        <w:rPr>
          <w:sz w:val="21"/>
        </w:rPr>
        <w:t>taken.‖</w:t>
      </w:r>
    </w:p>
    <w:p>
      <w:pPr>
        <w:spacing w:before="1"/>
        <w:ind w:left="5440" w:right="0" w:firstLine="0"/>
        <w:jc w:val="both"/>
        <w:rPr>
          <w:sz w:val="21"/>
        </w:rPr>
      </w:pPr>
      <w:r>
        <w:rPr>
          <w:sz w:val="21"/>
        </w:rPr>
        <w:t>(Emphasis supplied)</w:t>
      </w:r>
    </w:p>
    <w:p>
      <w:pPr>
        <w:pStyle w:val="BodyText"/>
        <w:rPr>
          <w:sz w:val="24"/>
        </w:rPr>
      </w:pPr>
    </w:p>
    <w:p>
      <w:pPr>
        <w:pStyle w:val="BodyText"/>
        <w:spacing w:before="208"/>
        <w:ind w:left="500"/>
      </w:pPr>
      <w:r>
        <w:rPr/>
        <w:t>Again, in paragraph 18(k), it has been stated:</w:t>
      </w:r>
    </w:p>
    <w:p>
      <w:pPr>
        <w:pStyle w:val="BodyText"/>
      </w:pPr>
    </w:p>
    <w:p>
      <w:pPr>
        <w:spacing w:line="276" w:lineRule="auto" w:before="1"/>
        <w:ind w:left="1940" w:right="2264" w:firstLine="0"/>
        <w:jc w:val="both"/>
        <w:rPr>
          <w:sz w:val="21"/>
        </w:rPr>
      </w:pPr>
      <w:r>
        <w:rPr>
          <w:w w:val="33"/>
          <w:sz w:val="21"/>
        </w:rPr>
        <w:t>―</w:t>
      </w:r>
      <w:r>
        <w:rPr>
          <w:w w:val="100"/>
          <w:sz w:val="21"/>
        </w:rPr>
        <w:t>(k).</w:t>
      </w:r>
      <w:r>
        <w:rPr>
          <w:sz w:val="21"/>
        </w:rPr>
        <w:t> </w:t>
      </w:r>
      <w:r>
        <w:rPr>
          <w:w w:val="100"/>
          <w:sz w:val="21"/>
        </w:rPr>
        <w:t>Since</w:t>
      </w:r>
      <w:r>
        <w:rPr>
          <w:sz w:val="21"/>
        </w:rPr>
        <w:t> </w:t>
      </w:r>
      <w:r>
        <w:rPr>
          <w:w w:val="100"/>
          <w:sz w:val="21"/>
        </w:rPr>
        <w:t>the</w:t>
      </w:r>
      <w:r>
        <w:rPr>
          <w:sz w:val="21"/>
        </w:rPr>
        <w:t> </w:t>
      </w:r>
      <w:r>
        <w:rPr>
          <w:w w:val="100"/>
          <w:sz w:val="21"/>
        </w:rPr>
        <w:t>property</w:t>
      </w:r>
      <w:r>
        <w:rPr>
          <w:sz w:val="21"/>
        </w:rPr>
        <w:t> </w:t>
      </w:r>
      <w:r>
        <w:rPr>
          <w:w w:val="100"/>
          <w:sz w:val="21"/>
        </w:rPr>
        <w:t>is</w:t>
      </w:r>
      <w:r>
        <w:rPr>
          <w:sz w:val="21"/>
        </w:rPr>
        <w:t> </w:t>
      </w:r>
      <w:r>
        <w:rPr>
          <w:w w:val="100"/>
          <w:sz w:val="21"/>
        </w:rPr>
        <w:t>under</w:t>
      </w:r>
      <w:r>
        <w:rPr>
          <w:sz w:val="21"/>
        </w:rPr>
        <w:t> </w:t>
      </w:r>
      <w:r>
        <w:rPr>
          <w:w w:val="100"/>
          <w:sz w:val="21"/>
        </w:rPr>
        <w:t>the</w:t>
      </w:r>
      <w:r>
        <w:rPr>
          <w:sz w:val="21"/>
        </w:rPr>
        <w:t> </w:t>
      </w:r>
      <w:r>
        <w:rPr>
          <w:w w:val="100"/>
          <w:sz w:val="21"/>
        </w:rPr>
        <w:t>control</w:t>
      </w:r>
      <w:r>
        <w:rPr>
          <w:sz w:val="21"/>
        </w:rPr>
        <w:t> </w:t>
      </w:r>
      <w:r>
        <w:rPr>
          <w:w w:val="100"/>
          <w:sz w:val="21"/>
        </w:rPr>
        <w:t>of</w:t>
      </w:r>
      <w:r>
        <w:rPr>
          <w:sz w:val="21"/>
        </w:rPr>
        <w:t> </w:t>
      </w:r>
      <w:r>
        <w:rPr>
          <w:w w:val="100"/>
          <w:sz w:val="21"/>
        </w:rPr>
        <w:t>the</w:t>
      </w:r>
      <w:r>
        <w:rPr>
          <w:sz w:val="21"/>
        </w:rPr>
        <w:t> </w:t>
      </w:r>
      <w:r>
        <w:rPr>
          <w:w w:val="100"/>
          <w:sz w:val="21"/>
        </w:rPr>
        <w:t>receiver,</w:t>
      </w:r>
      <w:r>
        <w:rPr>
          <w:sz w:val="21"/>
        </w:rPr>
        <w:t> </w:t>
      </w:r>
      <w:r>
        <w:rPr>
          <w:w w:val="100"/>
          <w:sz w:val="21"/>
        </w:rPr>
        <w:t>a </w:t>
      </w:r>
      <w:r>
        <w:rPr>
          <w:sz w:val="21"/>
        </w:rPr>
        <w:t>suit for mesne profits for incomes derived by the receiver can still be filed by the true owner and in such a suit, for which</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sz w:val="21"/>
        </w:rPr>
      </w:pPr>
      <w:r>
        <w:rPr>
          <w:sz w:val="21"/>
        </w:rPr>
        <w:t>cause of action arises any benefit accrues would thus give rise to a continuous cause of action. </w:t>
      </w:r>
      <w:r>
        <w:rPr>
          <w:b/>
          <w:sz w:val="21"/>
        </w:rPr>
        <w:t>While determining the issue of entitlement of mesne profits, the question of title will have to be adjudicated </w:t>
      </w:r>
      <w:r>
        <w:rPr>
          <w:sz w:val="21"/>
        </w:rPr>
        <w:t>and upon adjudication possession will have to be delivered by the receiver to the true</w:t>
      </w:r>
      <w:r>
        <w:rPr>
          <w:spacing w:val="-1"/>
          <w:sz w:val="21"/>
        </w:rPr>
        <w:t> </w:t>
      </w:r>
      <w:r>
        <w:rPr>
          <w:sz w:val="21"/>
        </w:rPr>
        <w:t>owner.</w:t>
      </w:r>
    </w:p>
    <w:p>
      <w:pPr>
        <w:pStyle w:val="ListParagraph"/>
        <w:numPr>
          <w:ilvl w:val="1"/>
          <w:numId w:val="3"/>
        </w:numPr>
        <w:tabs>
          <w:tab w:pos="2661" w:val="left" w:leader="none"/>
        </w:tabs>
        <w:spacing w:line="276" w:lineRule="auto" w:before="0" w:after="0"/>
        <w:ind w:left="1940" w:right="2265" w:firstLine="180"/>
        <w:jc w:val="both"/>
        <w:rPr>
          <w:sz w:val="21"/>
        </w:rPr>
      </w:pPr>
      <w:r>
        <w:rPr>
          <w:sz w:val="21"/>
        </w:rPr>
        <w:t>Ellappa Naicken vs Lakshmana Naicken AIR 1949 Madras</w:t>
      </w:r>
      <w:r>
        <w:rPr>
          <w:spacing w:val="-1"/>
          <w:sz w:val="21"/>
        </w:rPr>
        <w:t> </w:t>
      </w:r>
      <w:r>
        <w:rPr>
          <w:sz w:val="21"/>
        </w:rPr>
        <w:t>71</w:t>
      </w:r>
    </w:p>
    <w:p>
      <w:pPr>
        <w:pStyle w:val="ListParagraph"/>
        <w:numPr>
          <w:ilvl w:val="1"/>
          <w:numId w:val="3"/>
        </w:numPr>
        <w:tabs>
          <w:tab w:pos="2661" w:val="left" w:leader="none"/>
          <w:tab w:pos="4518" w:val="left" w:leader="none"/>
        </w:tabs>
        <w:spacing w:line="264" w:lineRule="auto" w:before="2" w:after="0"/>
        <w:ind w:left="1940" w:right="2266" w:firstLine="180"/>
        <w:jc w:val="both"/>
        <w:rPr>
          <w:sz w:val="25"/>
        </w:rPr>
      </w:pPr>
      <w:r>
        <w:rPr>
          <w:sz w:val="21"/>
        </w:rPr>
        <w:t>Rajab of Venkatagiri v. Isakapalli Subbiah, ILR 26 Madras</w:t>
      </w:r>
      <w:r>
        <w:rPr>
          <w:spacing w:val="-8"/>
          <w:sz w:val="21"/>
        </w:rPr>
        <w:t> </w:t>
      </w:r>
      <w:r>
        <w:rPr>
          <w:sz w:val="21"/>
        </w:rPr>
        <w:t>410.‖</w:t>
        <w:tab/>
        <w:t>(Emphasis</w:t>
      </w:r>
      <w:r>
        <w:rPr>
          <w:spacing w:val="-1"/>
          <w:sz w:val="21"/>
        </w:rPr>
        <w:t> </w:t>
      </w:r>
      <w:r>
        <w:rPr>
          <w:sz w:val="21"/>
        </w:rPr>
        <w:t>supplied)</w:t>
      </w:r>
    </w:p>
    <w:p>
      <w:pPr>
        <w:pStyle w:val="BodyText"/>
        <w:rPr>
          <w:sz w:val="24"/>
        </w:rPr>
      </w:pPr>
    </w:p>
    <w:p>
      <w:pPr>
        <w:pStyle w:val="BodyText"/>
        <w:spacing w:before="4"/>
        <w:rPr>
          <w:sz w:val="19"/>
        </w:rPr>
      </w:pPr>
    </w:p>
    <w:p>
      <w:pPr>
        <w:pStyle w:val="BodyText"/>
        <w:spacing w:before="1"/>
        <w:ind w:left="500"/>
      </w:pPr>
      <w:r>
        <w:rPr/>
        <w:t>Then, in paragraph 18(m), it has been stated:</w:t>
      </w:r>
    </w:p>
    <w:p>
      <w:pPr>
        <w:pStyle w:val="BodyText"/>
        <w:spacing w:before="9"/>
        <w:rPr>
          <w:sz w:val="24"/>
        </w:rPr>
      </w:pPr>
    </w:p>
    <w:p>
      <w:pPr>
        <w:spacing w:line="276" w:lineRule="auto" w:before="0"/>
        <w:ind w:left="1940" w:right="2168" w:firstLine="0"/>
        <w:jc w:val="both"/>
        <w:rPr>
          <w:sz w:val="21"/>
        </w:rPr>
      </w:pPr>
      <w:r>
        <w:rPr>
          <w:spacing w:val="-1"/>
          <w:w w:val="33"/>
          <w:sz w:val="21"/>
        </w:rPr>
        <w:t>―</w:t>
      </w:r>
      <w:r>
        <w:rPr>
          <w:spacing w:val="-1"/>
          <w:w w:val="100"/>
          <w:sz w:val="21"/>
        </w:rPr>
        <w:t>(</w:t>
      </w:r>
      <w:r>
        <w:rPr>
          <w:spacing w:val="1"/>
          <w:w w:val="100"/>
          <w:sz w:val="21"/>
        </w:rPr>
        <w:t>m</w:t>
      </w:r>
      <w:r>
        <w:rPr>
          <w:w w:val="100"/>
          <w:sz w:val="21"/>
        </w:rPr>
        <w:t>)</w:t>
      </w:r>
      <w:r>
        <w:rPr>
          <w:spacing w:val="17"/>
          <w:sz w:val="21"/>
        </w:rPr>
        <w:t> </w:t>
      </w:r>
      <w:r>
        <w:rPr>
          <w:b/>
          <w:w w:val="100"/>
          <w:sz w:val="21"/>
        </w:rPr>
        <w:t>Th</w:t>
      </w:r>
      <w:r>
        <w:rPr>
          <w:b/>
          <w:w w:val="100"/>
          <w:sz w:val="21"/>
        </w:rPr>
        <w:t>e</w:t>
      </w:r>
      <w:r>
        <w:rPr>
          <w:b/>
          <w:spacing w:val="18"/>
          <w:sz w:val="21"/>
        </w:rPr>
        <w:t> </w:t>
      </w:r>
      <w:r>
        <w:rPr>
          <w:b/>
          <w:w w:val="100"/>
          <w:sz w:val="21"/>
        </w:rPr>
        <w:t>pla</w:t>
      </w:r>
      <w:r>
        <w:rPr>
          <w:b/>
          <w:spacing w:val="-4"/>
          <w:w w:val="100"/>
          <w:sz w:val="21"/>
        </w:rPr>
        <w:t>i</w:t>
      </w:r>
      <w:r>
        <w:rPr>
          <w:b/>
          <w:w w:val="100"/>
          <w:sz w:val="21"/>
        </w:rPr>
        <w:t>nt</w:t>
      </w:r>
      <w:r>
        <w:rPr>
          <w:b/>
          <w:spacing w:val="-2"/>
          <w:w w:val="100"/>
          <w:sz w:val="21"/>
        </w:rPr>
        <w:t>i</w:t>
      </w:r>
      <w:r>
        <w:rPr>
          <w:b/>
          <w:spacing w:val="-1"/>
          <w:w w:val="100"/>
          <w:sz w:val="21"/>
        </w:rPr>
        <w:t>f</w:t>
      </w:r>
      <w:r>
        <w:rPr>
          <w:b/>
          <w:w w:val="100"/>
          <w:sz w:val="21"/>
        </w:rPr>
        <w:t>f</w:t>
      </w:r>
      <w:r>
        <w:rPr>
          <w:b/>
          <w:spacing w:val="21"/>
          <w:sz w:val="21"/>
        </w:rPr>
        <w:t> </w:t>
      </w:r>
      <w:r>
        <w:rPr>
          <w:b/>
          <w:w w:val="100"/>
          <w:sz w:val="21"/>
        </w:rPr>
        <w:t>–</w:t>
      </w:r>
      <w:r>
        <w:rPr>
          <w:b/>
          <w:spacing w:val="18"/>
          <w:sz w:val="21"/>
        </w:rPr>
        <w:t> </w:t>
      </w:r>
      <w:r>
        <w:rPr>
          <w:b/>
          <w:w w:val="100"/>
          <w:sz w:val="21"/>
        </w:rPr>
        <w:t>N</w:t>
      </w:r>
      <w:r>
        <w:rPr>
          <w:b/>
          <w:spacing w:val="-2"/>
          <w:w w:val="100"/>
          <w:sz w:val="21"/>
        </w:rPr>
        <w:t>i</w:t>
      </w:r>
      <w:r>
        <w:rPr>
          <w:b/>
          <w:w w:val="100"/>
          <w:sz w:val="21"/>
        </w:rPr>
        <w:t>r</w:t>
      </w:r>
      <w:r>
        <w:rPr>
          <w:b/>
          <w:spacing w:val="-4"/>
          <w:w w:val="100"/>
          <w:sz w:val="21"/>
        </w:rPr>
        <w:t>m</w:t>
      </w:r>
      <w:r>
        <w:rPr>
          <w:b/>
          <w:w w:val="100"/>
          <w:sz w:val="21"/>
        </w:rPr>
        <w:t>ohi</w:t>
      </w:r>
      <w:r>
        <w:rPr>
          <w:b/>
          <w:spacing w:val="20"/>
          <w:sz w:val="21"/>
        </w:rPr>
        <w:t> </w:t>
      </w:r>
      <w:r>
        <w:rPr>
          <w:b/>
          <w:spacing w:val="-7"/>
          <w:w w:val="100"/>
          <w:sz w:val="21"/>
        </w:rPr>
        <w:t>A</w:t>
      </w:r>
      <w:r>
        <w:rPr>
          <w:b/>
          <w:w w:val="100"/>
          <w:sz w:val="21"/>
        </w:rPr>
        <w:t>kh</w:t>
      </w:r>
      <w:r>
        <w:rPr>
          <w:b/>
          <w:w w:val="100"/>
          <w:sz w:val="21"/>
        </w:rPr>
        <w:t>ara</w:t>
      </w:r>
      <w:r>
        <w:rPr>
          <w:b/>
          <w:spacing w:val="18"/>
          <w:sz w:val="21"/>
        </w:rPr>
        <w:t> </w:t>
      </w:r>
      <w:r>
        <w:rPr>
          <w:b/>
          <w:spacing w:val="1"/>
          <w:w w:val="100"/>
          <w:sz w:val="21"/>
        </w:rPr>
        <w:t>w</w:t>
      </w:r>
      <w:r>
        <w:rPr>
          <w:b/>
          <w:w w:val="100"/>
          <w:sz w:val="21"/>
        </w:rPr>
        <w:t>as</w:t>
      </w:r>
      <w:r>
        <w:rPr>
          <w:b/>
          <w:spacing w:val="18"/>
          <w:sz w:val="21"/>
        </w:rPr>
        <w:t> </w:t>
      </w:r>
      <w:r>
        <w:rPr>
          <w:b/>
          <w:spacing w:val="-2"/>
          <w:w w:val="100"/>
          <w:sz w:val="21"/>
        </w:rPr>
        <w:t>n</w:t>
      </w:r>
      <w:r>
        <w:rPr>
          <w:b/>
          <w:w w:val="100"/>
          <w:sz w:val="21"/>
        </w:rPr>
        <w:t>ot</w:t>
      </w:r>
      <w:r>
        <w:rPr>
          <w:b/>
          <w:spacing w:val="18"/>
          <w:sz w:val="21"/>
        </w:rPr>
        <w:t> </w:t>
      </w:r>
      <w:r>
        <w:rPr>
          <w:b/>
          <w:w w:val="100"/>
          <w:sz w:val="21"/>
        </w:rPr>
        <w:t>on</w:t>
      </w:r>
      <w:r>
        <w:rPr>
          <w:b/>
          <w:spacing w:val="-4"/>
          <w:w w:val="100"/>
          <w:sz w:val="21"/>
        </w:rPr>
        <w:t>l</w:t>
      </w:r>
      <w:r>
        <w:rPr>
          <w:b/>
          <w:w w:val="100"/>
          <w:sz w:val="21"/>
        </w:rPr>
        <w:t>y</w:t>
      </w:r>
      <w:r>
        <w:rPr>
          <w:b/>
          <w:spacing w:val="16"/>
          <w:sz w:val="21"/>
        </w:rPr>
        <w:t> </w:t>
      </w:r>
      <w:r>
        <w:rPr>
          <w:b/>
          <w:w w:val="100"/>
          <w:sz w:val="21"/>
        </w:rPr>
        <w:t>c</w:t>
      </w:r>
      <w:r>
        <w:rPr>
          <w:b/>
          <w:spacing w:val="-1"/>
          <w:w w:val="100"/>
          <w:sz w:val="21"/>
        </w:rPr>
        <w:t>l</w:t>
      </w:r>
      <w:r>
        <w:rPr>
          <w:b/>
          <w:w w:val="100"/>
          <w:sz w:val="21"/>
        </w:rPr>
        <w:t>a</w:t>
      </w:r>
      <w:r>
        <w:rPr>
          <w:b/>
          <w:spacing w:val="-1"/>
          <w:w w:val="100"/>
          <w:sz w:val="21"/>
        </w:rPr>
        <w:t>i</w:t>
      </w:r>
      <w:r>
        <w:rPr>
          <w:b/>
          <w:w w:val="100"/>
          <w:sz w:val="21"/>
        </w:rPr>
        <w:t>m</w:t>
      </w:r>
      <w:r>
        <w:rPr>
          <w:b/>
          <w:spacing w:val="-2"/>
          <w:w w:val="100"/>
          <w:sz w:val="21"/>
        </w:rPr>
        <w:t>i</w:t>
      </w:r>
      <w:r>
        <w:rPr>
          <w:b/>
          <w:w w:val="100"/>
          <w:sz w:val="21"/>
        </w:rPr>
        <w:t>ng </w:t>
      </w:r>
      <w:r>
        <w:rPr>
          <w:b/>
          <w:sz w:val="21"/>
        </w:rPr>
        <w:t>ownership and possession of the property i.e. the Main Temple or the Inner Courtyard but was also claiming to </w:t>
      </w:r>
      <w:r>
        <w:rPr>
          <w:b/>
          <w:spacing w:val="-1"/>
          <w:w w:val="100"/>
          <w:sz w:val="21"/>
        </w:rPr>
        <w:t>t</w:t>
      </w:r>
      <w:r>
        <w:rPr>
          <w:b/>
          <w:w w:val="100"/>
          <w:sz w:val="21"/>
        </w:rPr>
        <w:t>he</w:t>
      </w:r>
      <w:r>
        <w:rPr>
          <w:b/>
          <w:spacing w:val="6"/>
          <w:sz w:val="21"/>
        </w:rPr>
        <w:t> </w:t>
      </w:r>
      <w:r>
        <w:rPr>
          <w:b/>
          <w:spacing w:val="1"/>
          <w:w w:val="100"/>
          <w:sz w:val="21"/>
        </w:rPr>
        <w:t>M</w:t>
      </w:r>
      <w:r>
        <w:rPr>
          <w:b/>
          <w:spacing w:val="-3"/>
          <w:w w:val="100"/>
          <w:sz w:val="21"/>
        </w:rPr>
        <w:t>a</w:t>
      </w:r>
      <w:r>
        <w:rPr>
          <w:b/>
          <w:w w:val="100"/>
          <w:sz w:val="21"/>
        </w:rPr>
        <w:t>n</w:t>
      </w:r>
      <w:r>
        <w:rPr>
          <w:b/>
          <w:spacing w:val="-2"/>
          <w:w w:val="100"/>
          <w:sz w:val="21"/>
        </w:rPr>
        <w:t>a</w:t>
      </w:r>
      <w:r>
        <w:rPr>
          <w:b/>
          <w:w w:val="100"/>
          <w:sz w:val="21"/>
        </w:rPr>
        <w:t>ge</w:t>
      </w:r>
      <w:r>
        <w:rPr>
          <w:b/>
          <w:w w:val="100"/>
          <w:sz w:val="21"/>
        </w:rPr>
        <w:t>r</w:t>
      </w:r>
      <w:r>
        <w:rPr>
          <w:b/>
          <w:spacing w:val="8"/>
          <w:sz w:val="21"/>
        </w:rPr>
        <w:t> </w:t>
      </w:r>
      <w:r>
        <w:rPr>
          <w:b/>
          <w:spacing w:val="-4"/>
          <w:w w:val="100"/>
          <w:sz w:val="21"/>
        </w:rPr>
        <w:t>(</w:t>
      </w:r>
      <w:r>
        <w:rPr>
          <w:b/>
          <w:w w:val="100"/>
          <w:sz w:val="21"/>
        </w:rPr>
        <w:t>S</w:t>
      </w:r>
      <w:r>
        <w:rPr>
          <w:b/>
          <w:spacing w:val="-2"/>
          <w:w w:val="100"/>
          <w:sz w:val="21"/>
        </w:rPr>
        <w:t>h</w:t>
      </w:r>
      <w:r>
        <w:rPr>
          <w:b/>
          <w:w w:val="100"/>
          <w:sz w:val="21"/>
        </w:rPr>
        <w:t>eb</w:t>
      </w:r>
      <w:r>
        <w:rPr>
          <w:b/>
          <w:spacing w:val="-2"/>
          <w:w w:val="100"/>
          <w:sz w:val="21"/>
        </w:rPr>
        <w:t>i</w:t>
      </w:r>
      <w:r>
        <w:rPr>
          <w:b/>
          <w:w w:val="100"/>
          <w:sz w:val="21"/>
        </w:rPr>
        <w:t>at)</w:t>
      </w:r>
      <w:r>
        <w:rPr>
          <w:b/>
          <w:spacing w:val="10"/>
          <w:sz w:val="21"/>
        </w:rPr>
        <w:t> </w:t>
      </w:r>
      <w:r>
        <w:rPr>
          <w:spacing w:val="-3"/>
          <w:w w:val="100"/>
          <w:sz w:val="21"/>
        </w:rPr>
        <w:t>o</w:t>
      </w:r>
      <w:r>
        <w:rPr>
          <w:w w:val="100"/>
          <w:sz w:val="21"/>
        </w:rPr>
        <w:t>f</w:t>
      </w:r>
      <w:r>
        <w:rPr>
          <w:spacing w:val="7"/>
          <w:sz w:val="21"/>
        </w:rPr>
        <w:t> </w:t>
      </w:r>
      <w:r>
        <w:rPr>
          <w:spacing w:val="-1"/>
          <w:w w:val="33"/>
          <w:sz w:val="21"/>
        </w:rPr>
        <w:t>―</w:t>
      </w:r>
      <w:r>
        <w:rPr>
          <w:w w:val="100"/>
          <w:sz w:val="21"/>
        </w:rPr>
        <w:t>Ja</w:t>
      </w:r>
      <w:r>
        <w:rPr>
          <w:spacing w:val="-3"/>
          <w:w w:val="100"/>
          <w:sz w:val="21"/>
        </w:rPr>
        <w:t>n</w:t>
      </w:r>
      <w:r>
        <w:rPr>
          <w:spacing w:val="1"/>
          <w:w w:val="100"/>
          <w:sz w:val="21"/>
        </w:rPr>
        <w:t>m</w:t>
      </w:r>
      <w:r>
        <w:rPr>
          <w:w w:val="100"/>
          <w:sz w:val="21"/>
        </w:rPr>
        <w:t>a</w:t>
      </w:r>
      <w:r>
        <w:rPr>
          <w:spacing w:val="6"/>
          <w:sz w:val="21"/>
        </w:rPr>
        <w:t> </w:t>
      </w:r>
      <w:r>
        <w:rPr>
          <w:w w:val="100"/>
          <w:sz w:val="21"/>
        </w:rPr>
        <w:t>As</w:t>
      </w:r>
      <w:r>
        <w:rPr>
          <w:spacing w:val="-2"/>
          <w:w w:val="100"/>
          <w:sz w:val="21"/>
        </w:rPr>
        <w:t>t</w:t>
      </w:r>
      <w:r>
        <w:rPr>
          <w:spacing w:val="-3"/>
          <w:w w:val="100"/>
          <w:sz w:val="21"/>
        </w:rPr>
        <w:t>h</w:t>
      </w:r>
      <w:r>
        <w:rPr>
          <w:spacing w:val="-1"/>
          <w:w w:val="100"/>
          <w:sz w:val="21"/>
        </w:rPr>
        <w:t>a</w:t>
      </w:r>
      <w:r>
        <w:rPr>
          <w:spacing w:val="-3"/>
          <w:w w:val="100"/>
          <w:sz w:val="21"/>
        </w:rPr>
        <w:t>n</w:t>
      </w:r>
      <w:r>
        <w:rPr>
          <w:w w:val="100"/>
          <w:sz w:val="21"/>
        </w:rPr>
        <w:t>‘</w:t>
      </w:r>
      <w:r>
        <w:rPr>
          <w:spacing w:val="9"/>
          <w:sz w:val="21"/>
        </w:rPr>
        <w:t> </w:t>
      </w:r>
      <w:r>
        <w:rPr>
          <w:spacing w:val="-1"/>
          <w:w w:val="100"/>
          <w:sz w:val="21"/>
        </w:rPr>
        <w:t>a</w:t>
      </w:r>
      <w:r>
        <w:rPr>
          <w:w w:val="100"/>
          <w:sz w:val="21"/>
        </w:rPr>
        <w:t>s</w:t>
      </w:r>
      <w:r>
        <w:rPr>
          <w:spacing w:val="6"/>
          <w:sz w:val="21"/>
        </w:rPr>
        <w:t> </w:t>
      </w:r>
      <w:r>
        <w:rPr>
          <w:spacing w:val="-2"/>
          <w:w w:val="100"/>
          <w:sz w:val="21"/>
        </w:rPr>
        <w:t>w</w:t>
      </w:r>
      <w:r>
        <w:rPr>
          <w:spacing w:val="-1"/>
          <w:w w:val="100"/>
          <w:sz w:val="21"/>
        </w:rPr>
        <w:t>e</w:t>
      </w:r>
      <w:r>
        <w:rPr>
          <w:spacing w:val="-2"/>
          <w:w w:val="100"/>
          <w:sz w:val="21"/>
        </w:rPr>
        <w:t>l</w:t>
      </w:r>
      <w:r>
        <w:rPr>
          <w:w w:val="100"/>
          <w:sz w:val="21"/>
        </w:rPr>
        <w:t>l</w:t>
      </w:r>
      <w:r>
        <w:rPr>
          <w:spacing w:val="9"/>
          <w:sz w:val="21"/>
        </w:rPr>
        <w:t> </w:t>
      </w:r>
      <w:r>
        <w:rPr>
          <w:spacing w:val="-3"/>
          <w:w w:val="100"/>
          <w:sz w:val="21"/>
        </w:rPr>
        <w:t>a</w:t>
      </w:r>
      <w:r>
        <w:rPr>
          <w:w w:val="100"/>
          <w:sz w:val="21"/>
        </w:rPr>
        <w:t>s</w:t>
      </w:r>
      <w:r>
        <w:rPr>
          <w:spacing w:val="8"/>
          <w:sz w:val="21"/>
        </w:rPr>
        <w:t> </w:t>
      </w:r>
      <w:r>
        <w:rPr>
          <w:spacing w:val="-2"/>
          <w:w w:val="100"/>
          <w:sz w:val="21"/>
        </w:rPr>
        <w:t>t</w:t>
      </w:r>
      <w:r>
        <w:rPr>
          <w:spacing w:val="-1"/>
          <w:w w:val="100"/>
          <w:sz w:val="21"/>
        </w:rPr>
        <w:t>h</w:t>
      </w:r>
      <w:r>
        <w:rPr>
          <w:w w:val="100"/>
          <w:sz w:val="21"/>
        </w:rPr>
        <w:t>e</w:t>
      </w:r>
      <w:r>
        <w:rPr>
          <w:spacing w:val="8"/>
          <w:sz w:val="21"/>
        </w:rPr>
        <w:t> </w:t>
      </w:r>
      <w:r>
        <w:rPr>
          <w:spacing w:val="-2"/>
          <w:w w:val="100"/>
          <w:sz w:val="21"/>
        </w:rPr>
        <w:t>i</w:t>
      </w:r>
      <w:r>
        <w:rPr>
          <w:spacing w:val="-1"/>
          <w:w w:val="100"/>
          <w:sz w:val="21"/>
        </w:rPr>
        <w:t>d</w:t>
      </w:r>
      <w:r>
        <w:rPr>
          <w:spacing w:val="-3"/>
          <w:w w:val="100"/>
          <w:sz w:val="21"/>
        </w:rPr>
        <w:t>o</w:t>
      </w:r>
      <w:r>
        <w:rPr>
          <w:w w:val="100"/>
          <w:sz w:val="21"/>
        </w:rPr>
        <w:t>ls </w:t>
      </w:r>
      <w:r>
        <w:rPr>
          <w:sz w:val="21"/>
        </w:rPr>
        <w:t>of Lord Ram Chandra, Laxmanji, Hanumanji and Sabgramji. It is stated for the reasons which found favour with the court to hold that the suit OOS No. 5 of 1989 is within limitation that the deity was a perpetual minor, the suit of the plaintiff Nirmohi Akhara cannot also be held to be barred by</w:t>
      </w:r>
      <w:r>
        <w:rPr>
          <w:spacing w:val="-27"/>
          <w:sz w:val="21"/>
        </w:rPr>
        <w:t> </w:t>
      </w:r>
      <w:r>
        <w:rPr>
          <w:sz w:val="21"/>
        </w:rPr>
        <w:t>limitation.‖</w:t>
      </w:r>
    </w:p>
    <w:p>
      <w:pPr>
        <w:spacing w:before="1"/>
        <w:ind w:left="5887" w:right="0" w:firstLine="0"/>
        <w:jc w:val="both"/>
        <w:rPr>
          <w:sz w:val="21"/>
        </w:rPr>
      </w:pPr>
      <w:r>
        <w:rPr>
          <w:sz w:val="21"/>
        </w:rPr>
        <w:t>(Emphasis supplied)</w:t>
      </w:r>
    </w:p>
    <w:p>
      <w:pPr>
        <w:pStyle w:val="BodyText"/>
        <w:rPr>
          <w:sz w:val="24"/>
        </w:rPr>
      </w:pPr>
    </w:p>
    <w:p>
      <w:pPr>
        <w:pStyle w:val="BodyText"/>
        <w:rPr>
          <w:sz w:val="24"/>
        </w:rPr>
      </w:pPr>
    </w:p>
    <w:p>
      <w:pPr>
        <w:pStyle w:val="BodyText"/>
        <w:spacing w:before="209"/>
        <w:ind w:left="500"/>
      </w:pPr>
      <w:r>
        <w:rPr/>
        <w:t>Finally, it has been stated in paragraph 18 that:</w:t>
      </w:r>
    </w:p>
    <w:p>
      <w:pPr>
        <w:pStyle w:val="BodyText"/>
      </w:pPr>
    </w:p>
    <w:p>
      <w:pPr>
        <w:spacing w:line="276" w:lineRule="auto" w:before="0"/>
        <w:ind w:left="1940" w:right="2260" w:firstLine="0"/>
        <w:jc w:val="both"/>
        <w:rPr>
          <w:sz w:val="21"/>
        </w:rPr>
      </w:pPr>
      <w:r>
        <w:rPr>
          <w:spacing w:val="-1"/>
          <w:w w:val="33"/>
          <w:sz w:val="21"/>
        </w:rPr>
        <w:t>―</w:t>
      </w:r>
      <w:r>
        <w:rPr>
          <w:spacing w:val="-1"/>
          <w:w w:val="100"/>
          <w:sz w:val="21"/>
        </w:rPr>
        <w:t>18</w:t>
      </w:r>
      <w:r>
        <w:rPr>
          <w:w w:val="100"/>
          <w:sz w:val="21"/>
        </w:rPr>
        <w:t>.</w:t>
      </w:r>
      <w:r>
        <w:rPr>
          <w:sz w:val="21"/>
        </w:rPr>
        <w:t> </w:t>
      </w:r>
      <w:r>
        <w:rPr>
          <w:w w:val="100"/>
          <w:sz w:val="21"/>
        </w:rPr>
        <w:t>The</w:t>
      </w:r>
      <w:r>
        <w:rPr>
          <w:spacing w:val="1"/>
          <w:sz w:val="21"/>
        </w:rPr>
        <w:t> </w:t>
      </w:r>
      <w:r>
        <w:rPr>
          <w:w w:val="100"/>
          <w:sz w:val="21"/>
        </w:rPr>
        <w:t>c</w:t>
      </w:r>
      <w:r>
        <w:rPr>
          <w:spacing w:val="-2"/>
          <w:w w:val="100"/>
          <w:sz w:val="21"/>
        </w:rPr>
        <w:t>l</w:t>
      </w:r>
      <w:r>
        <w:rPr>
          <w:spacing w:val="-1"/>
          <w:w w:val="100"/>
          <w:sz w:val="21"/>
        </w:rPr>
        <w:t>a</w:t>
      </w:r>
      <w:r>
        <w:rPr>
          <w:spacing w:val="-2"/>
          <w:w w:val="100"/>
          <w:sz w:val="21"/>
        </w:rPr>
        <w:t>i</w:t>
      </w:r>
      <w:r>
        <w:rPr>
          <w:w w:val="100"/>
          <w:sz w:val="21"/>
        </w:rPr>
        <w:t>m</w:t>
      </w:r>
      <w:r>
        <w:rPr>
          <w:spacing w:val="2"/>
          <w:sz w:val="21"/>
        </w:rPr>
        <w:t> </w:t>
      </w:r>
      <w:r>
        <w:rPr>
          <w:spacing w:val="-3"/>
          <w:w w:val="100"/>
          <w:sz w:val="21"/>
        </w:rPr>
        <w:t>o</w:t>
      </w:r>
      <w:r>
        <w:rPr>
          <w:w w:val="100"/>
          <w:sz w:val="21"/>
        </w:rPr>
        <w:t>f</w:t>
      </w:r>
      <w:r>
        <w:rPr>
          <w:spacing w:val="2"/>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pr</w:t>
      </w:r>
      <w:r>
        <w:rPr>
          <w:spacing w:val="-3"/>
          <w:w w:val="100"/>
          <w:sz w:val="21"/>
        </w:rPr>
        <w:t>op</w:t>
      </w:r>
      <w:r>
        <w:rPr>
          <w:spacing w:val="-1"/>
          <w:w w:val="100"/>
          <w:sz w:val="21"/>
        </w:rPr>
        <w:t>er</w:t>
      </w:r>
      <w:r>
        <w:rPr>
          <w:spacing w:val="-2"/>
          <w:w w:val="100"/>
          <w:sz w:val="21"/>
        </w:rPr>
        <w:t>t</w:t>
      </w:r>
      <w:r>
        <w:rPr>
          <w:w w:val="100"/>
          <w:sz w:val="21"/>
        </w:rPr>
        <w:t>y</w:t>
      </w:r>
      <w:r>
        <w:rPr>
          <w:spacing w:val="-1"/>
          <w:sz w:val="21"/>
        </w:rPr>
        <w:t> </w:t>
      </w:r>
      <w:r>
        <w:rPr>
          <w:spacing w:val="-1"/>
          <w:w w:val="33"/>
          <w:sz w:val="21"/>
        </w:rPr>
        <w:t>―</w:t>
      </w:r>
      <w:r>
        <w:rPr>
          <w:spacing w:val="-1"/>
          <w:w w:val="100"/>
          <w:sz w:val="21"/>
        </w:rPr>
        <w:t>be</w:t>
      </w:r>
      <w:r>
        <w:rPr>
          <w:spacing w:val="1"/>
          <w:w w:val="100"/>
          <w:sz w:val="21"/>
        </w:rPr>
        <w:t>l</w:t>
      </w:r>
      <w:r>
        <w:rPr>
          <w:spacing w:val="-1"/>
          <w:w w:val="100"/>
          <w:sz w:val="21"/>
        </w:rPr>
        <w:t>ongi</w:t>
      </w:r>
      <w:r>
        <w:rPr>
          <w:spacing w:val="-1"/>
          <w:w w:val="95"/>
          <w:sz w:val="21"/>
        </w:rPr>
        <w:t>ng</w:t>
      </w:r>
      <w:r>
        <w:rPr>
          <w:w w:val="95"/>
          <w:sz w:val="21"/>
        </w:rPr>
        <w:t>‖</w:t>
      </w:r>
      <w:r>
        <w:rPr>
          <w:sz w:val="21"/>
        </w:rPr>
        <w:t> </w:t>
      </w:r>
      <w:r>
        <w:rPr>
          <w:spacing w:val="-2"/>
          <w:w w:val="100"/>
          <w:sz w:val="21"/>
        </w:rPr>
        <w:t>t</w:t>
      </w:r>
      <w:r>
        <w:rPr>
          <w:w w:val="100"/>
          <w:sz w:val="21"/>
        </w:rPr>
        <w:t>o</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p</w:t>
      </w:r>
      <w:r>
        <w:rPr>
          <w:spacing w:val="1"/>
          <w:w w:val="100"/>
          <w:sz w:val="21"/>
        </w:rPr>
        <w:t>l</w:t>
      </w:r>
      <w:r>
        <w:rPr>
          <w:spacing w:val="-3"/>
          <w:w w:val="100"/>
          <w:sz w:val="21"/>
        </w:rPr>
        <w:t>a</w:t>
      </w:r>
      <w:r>
        <w:rPr>
          <w:spacing w:val="-2"/>
          <w:w w:val="100"/>
          <w:sz w:val="21"/>
        </w:rPr>
        <w:t>i</w:t>
      </w:r>
      <w:r>
        <w:rPr>
          <w:spacing w:val="-1"/>
          <w:w w:val="100"/>
          <w:sz w:val="21"/>
        </w:rPr>
        <w:t>nt</w:t>
      </w:r>
      <w:r>
        <w:rPr>
          <w:w w:val="100"/>
          <w:sz w:val="21"/>
        </w:rPr>
        <w:t>i</w:t>
      </w:r>
      <w:r>
        <w:rPr>
          <w:spacing w:val="-2"/>
          <w:w w:val="100"/>
          <w:sz w:val="21"/>
        </w:rPr>
        <w:t>f</w:t>
      </w:r>
      <w:r>
        <w:rPr>
          <w:w w:val="100"/>
          <w:sz w:val="21"/>
        </w:rPr>
        <w:t>f</w:t>
      </w:r>
      <w:r>
        <w:rPr>
          <w:spacing w:val="2"/>
          <w:sz w:val="21"/>
        </w:rPr>
        <w:t> </w:t>
      </w:r>
      <w:r>
        <w:rPr>
          <w:w w:val="100"/>
          <w:sz w:val="21"/>
        </w:rPr>
        <w:t>in</w:t>
      </w:r>
      <w:r>
        <w:rPr>
          <w:spacing w:val="1"/>
          <w:sz w:val="21"/>
        </w:rPr>
        <w:t> </w:t>
      </w:r>
      <w:r>
        <w:rPr>
          <w:spacing w:val="-2"/>
          <w:w w:val="100"/>
          <w:sz w:val="21"/>
        </w:rPr>
        <w:t>t</w:t>
      </w:r>
      <w:r>
        <w:rPr>
          <w:spacing w:val="-1"/>
          <w:w w:val="100"/>
          <w:sz w:val="21"/>
        </w:rPr>
        <w:t>he </w:t>
      </w:r>
      <w:r>
        <w:rPr>
          <w:sz w:val="21"/>
        </w:rPr>
        <w:t>plaint is based on two-fold submissions – (i) that the property belongs to the plaintiff in the capacity of manager/shebait;  and (ii) </w:t>
      </w:r>
      <w:r>
        <w:rPr>
          <w:b/>
          <w:sz w:val="21"/>
        </w:rPr>
        <w:t>that the Plaintiff being in possession acquires possessory title in view of Section 110 Evidence </w:t>
      </w:r>
      <w:r>
        <w:rPr>
          <w:b/>
          <w:spacing w:val="-3"/>
          <w:sz w:val="21"/>
        </w:rPr>
        <w:t>Act </w:t>
      </w:r>
      <w:r>
        <w:rPr>
          <w:b/>
          <w:sz w:val="21"/>
        </w:rPr>
        <w:t>and is entitled to be and continue in possession </w:t>
      </w:r>
      <w:r>
        <w:rPr>
          <w:sz w:val="21"/>
        </w:rPr>
        <w:t>unless the defendant can show a better title than the</w:t>
      </w:r>
      <w:r>
        <w:rPr>
          <w:spacing w:val="-22"/>
          <w:sz w:val="21"/>
        </w:rPr>
        <w:t> </w:t>
      </w:r>
      <w:r>
        <w:rPr>
          <w:sz w:val="21"/>
        </w:rPr>
        <w:t>Plaintiff.‖</w:t>
      </w:r>
    </w:p>
    <w:p>
      <w:pPr>
        <w:spacing w:before="1"/>
        <w:ind w:left="5459" w:right="0" w:firstLine="0"/>
        <w:jc w:val="both"/>
        <w:rPr>
          <w:sz w:val="21"/>
        </w:rPr>
      </w:pPr>
      <w:r>
        <w:rPr>
          <w:sz w:val="21"/>
        </w:rPr>
        <w:t>(Emphasis supplied)</w:t>
      </w:r>
    </w:p>
    <w:p>
      <w:pPr>
        <w:pStyle w:val="BodyText"/>
        <w:rPr>
          <w:sz w:val="24"/>
        </w:rPr>
      </w:pPr>
    </w:p>
    <w:p>
      <w:pPr>
        <w:pStyle w:val="BodyText"/>
        <w:spacing w:before="1"/>
        <w:rPr>
          <w:sz w:val="22"/>
        </w:rPr>
      </w:pPr>
    </w:p>
    <w:p>
      <w:pPr>
        <w:pStyle w:val="BodyText"/>
        <w:ind w:left="500"/>
      </w:pPr>
      <w:r>
        <w:rPr/>
        <w:t>This is completely at variance with the pleadigns in the suit.</w:t>
      </w:r>
    </w:p>
    <w:p>
      <w:pPr>
        <w:pStyle w:val="BodyText"/>
        <w:rPr>
          <w:sz w:val="28"/>
        </w:rPr>
      </w:pPr>
    </w:p>
    <w:p>
      <w:pPr>
        <w:pStyle w:val="BodyText"/>
        <w:rPr>
          <w:sz w:val="28"/>
        </w:rPr>
      </w:pPr>
    </w:p>
    <w:p>
      <w:pPr>
        <w:pStyle w:val="BodyText"/>
        <w:spacing w:before="10"/>
        <w:rPr>
          <w:sz w:val="35"/>
        </w:rPr>
      </w:pPr>
    </w:p>
    <w:p>
      <w:pPr>
        <w:pStyle w:val="ListParagraph"/>
        <w:numPr>
          <w:ilvl w:val="0"/>
          <w:numId w:val="3"/>
        </w:numPr>
        <w:tabs>
          <w:tab w:pos="1220" w:val="left" w:leader="none"/>
          <w:tab w:pos="1221" w:val="left" w:leader="none"/>
        </w:tabs>
        <w:spacing w:line="480" w:lineRule="auto" w:before="0" w:after="0"/>
        <w:ind w:left="500" w:right="435" w:firstLine="0"/>
        <w:jc w:val="left"/>
        <w:rPr>
          <w:b/>
          <w:sz w:val="25"/>
        </w:rPr>
      </w:pPr>
      <w:r>
        <w:rPr>
          <w:w w:val="99"/>
          <w:sz w:val="25"/>
        </w:rPr>
        <w:t>T</w:t>
      </w:r>
      <w:r>
        <w:rPr>
          <w:spacing w:val="-1"/>
          <w:w w:val="99"/>
          <w:sz w:val="25"/>
        </w:rPr>
        <w:t>h</w:t>
      </w:r>
      <w:r>
        <w:rPr>
          <w:w w:val="99"/>
          <w:sz w:val="25"/>
        </w:rPr>
        <w:t>e</w:t>
      </w:r>
      <w:r>
        <w:rPr>
          <w:sz w:val="25"/>
        </w:rPr>
        <w:t> </w:t>
      </w:r>
      <w:r>
        <w:rPr>
          <w:spacing w:val="-34"/>
          <w:sz w:val="25"/>
        </w:rPr>
        <w:t> </w:t>
      </w:r>
      <w:r>
        <w:rPr>
          <w:spacing w:val="-1"/>
          <w:w w:val="99"/>
          <w:sz w:val="25"/>
        </w:rPr>
        <w:t>e</w:t>
      </w:r>
      <w:r>
        <w:rPr>
          <w:spacing w:val="-3"/>
          <w:w w:val="99"/>
          <w:sz w:val="25"/>
        </w:rPr>
        <w:t>x</w:t>
      </w:r>
      <w:r>
        <w:rPr>
          <w:spacing w:val="-1"/>
          <w:w w:val="99"/>
          <w:sz w:val="25"/>
        </w:rPr>
        <w:t>p</w:t>
      </w:r>
      <w:r>
        <w:rPr>
          <w:w w:val="99"/>
          <w:sz w:val="25"/>
        </w:rPr>
        <w:t>r</w:t>
      </w:r>
      <w:r>
        <w:rPr>
          <w:spacing w:val="-1"/>
          <w:w w:val="99"/>
          <w:sz w:val="25"/>
        </w:rPr>
        <w:t>essio</w:t>
      </w:r>
      <w:r>
        <w:rPr>
          <w:w w:val="99"/>
          <w:sz w:val="25"/>
        </w:rPr>
        <w:t>n</w:t>
      </w:r>
      <w:r>
        <w:rPr>
          <w:sz w:val="25"/>
        </w:rPr>
        <w:t> </w:t>
      </w:r>
      <w:r>
        <w:rPr>
          <w:spacing w:val="-33"/>
          <w:sz w:val="25"/>
        </w:rPr>
        <w:t> </w:t>
      </w:r>
      <w:r>
        <w:rPr>
          <w:w w:val="33"/>
          <w:sz w:val="25"/>
        </w:rPr>
        <w:t>―</w:t>
      </w:r>
      <w:r>
        <w:rPr>
          <w:spacing w:val="3"/>
          <w:w w:val="99"/>
          <w:sz w:val="25"/>
        </w:rPr>
        <w:t>b</w:t>
      </w:r>
      <w:r>
        <w:rPr>
          <w:spacing w:val="-1"/>
          <w:w w:val="99"/>
          <w:sz w:val="25"/>
        </w:rPr>
        <w:t>el</w:t>
      </w:r>
      <w:r>
        <w:rPr>
          <w:spacing w:val="2"/>
          <w:w w:val="99"/>
          <w:sz w:val="25"/>
        </w:rPr>
        <w:t>o</w:t>
      </w:r>
      <w:r>
        <w:rPr>
          <w:spacing w:val="-1"/>
          <w:w w:val="99"/>
          <w:sz w:val="25"/>
        </w:rPr>
        <w:t>n</w:t>
      </w:r>
      <w:r>
        <w:rPr>
          <w:w w:val="99"/>
          <w:sz w:val="25"/>
        </w:rPr>
        <w:t>g</w:t>
      </w:r>
      <w:r>
        <w:rPr>
          <w:spacing w:val="-1"/>
          <w:w w:val="99"/>
          <w:sz w:val="25"/>
        </w:rPr>
        <w:t>in</w:t>
      </w:r>
      <w:r>
        <w:rPr>
          <w:w w:val="99"/>
          <w:sz w:val="25"/>
        </w:rPr>
        <w:t>g</w:t>
      </w:r>
      <w:r>
        <w:rPr>
          <w:sz w:val="25"/>
        </w:rPr>
        <w:t> </w:t>
      </w:r>
      <w:r>
        <w:rPr>
          <w:spacing w:val="-33"/>
          <w:sz w:val="25"/>
        </w:rPr>
        <w:t> </w:t>
      </w:r>
      <w:r>
        <w:rPr>
          <w:w w:val="93"/>
          <w:sz w:val="25"/>
        </w:rPr>
        <w:t>to‖</w:t>
      </w:r>
      <w:r>
        <w:rPr>
          <w:sz w:val="25"/>
        </w:rPr>
        <w:t> </w:t>
      </w:r>
      <w:r>
        <w:rPr>
          <w:spacing w:val="-33"/>
          <w:sz w:val="25"/>
        </w:rPr>
        <w:t> </w:t>
      </w:r>
      <w:r>
        <w:rPr>
          <w:spacing w:val="-1"/>
          <w:w w:val="99"/>
          <w:sz w:val="25"/>
        </w:rPr>
        <w:t>i</w:t>
      </w:r>
      <w:r>
        <w:rPr>
          <w:w w:val="99"/>
          <w:sz w:val="25"/>
        </w:rPr>
        <w:t>s</w:t>
      </w:r>
      <w:r>
        <w:rPr>
          <w:sz w:val="25"/>
        </w:rPr>
        <w:t> </w:t>
      </w:r>
      <w:r>
        <w:rPr>
          <w:spacing w:val="-34"/>
          <w:sz w:val="25"/>
        </w:rPr>
        <w:t> </w:t>
      </w:r>
      <w:r>
        <w:rPr>
          <w:spacing w:val="-1"/>
          <w:w w:val="99"/>
          <w:sz w:val="25"/>
        </w:rPr>
        <w:t>n</w:t>
      </w:r>
      <w:r>
        <w:rPr>
          <w:w w:val="99"/>
          <w:sz w:val="25"/>
        </w:rPr>
        <w:t>ot</w:t>
      </w:r>
      <w:r>
        <w:rPr>
          <w:sz w:val="25"/>
        </w:rPr>
        <w:t> </w:t>
      </w:r>
      <w:r>
        <w:rPr>
          <w:spacing w:val="-34"/>
          <w:sz w:val="25"/>
        </w:rPr>
        <w:t> </w:t>
      </w:r>
      <w:r>
        <w:rPr>
          <w:w w:val="99"/>
          <w:sz w:val="25"/>
        </w:rPr>
        <w:t>a</w:t>
      </w:r>
      <w:r>
        <w:rPr>
          <w:sz w:val="25"/>
        </w:rPr>
        <w:t> </w:t>
      </w:r>
      <w:r>
        <w:rPr>
          <w:spacing w:val="-32"/>
          <w:sz w:val="25"/>
        </w:rPr>
        <w:t> </w:t>
      </w:r>
      <w:r>
        <w:rPr>
          <w:w w:val="99"/>
          <w:sz w:val="25"/>
        </w:rPr>
        <w:t>te</w:t>
      </w:r>
      <w:r>
        <w:rPr>
          <w:spacing w:val="1"/>
          <w:w w:val="99"/>
          <w:sz w:val="25"/>
        </w:rPr>
        <w:t>r</w:t>
      </w:r>
      <w:r>
        <w:rPr>
          <w:w w:val="99"/>
          <w:sz w:val="25"/>
        </w:rPr>
        <w:t>m</w:t>
      </w:r>
      <w:r>
        <w:rPr>
          <w:sz w:val="25"/>
        </w:rPr>
        <w:t> </w:t>
      </w:r>
      <w:r>
        <w:rPr>
          <w:spacing w:val="-33"/>
          <w:sz w:val="25"/>
        </w:rPr>
        <w:t> </w:t>
      </w:r>
      <w:r>
        <w:rPr>
          <w:spacing w:val="-1"/>
          <w:w w:val="99"/>
          <w:sz w:val="25"/>
        </w:rPr>
        <w:t>o</w:t>
      </w:r>
      <w:r>
        <w:rPr>
          <w:w w:val="99"/>
          <w:sz w:val="25"/>
        </w:rPr>
        <w:t>f</w:t>
      </w:r>
      <w:r>
        <w:rPr>
          <w:sz w:val="25"/>
        </w:rPr>
        <w:t> </w:t>
      </w:r>
      <w:r>
        <w:rPr>
          <w:spacing w:val="-33"/>
          <w:sz w:val="25"/>
        </w:rPr>
        <w:t> </w:t>
      </w:r>
      <w:r>
        <w:rPr>
          <w:spacing w:val="-1"/>
          <w:w w:val="99"/>
          <w:sz w:val="25"/>
        </w:rPr>
        <w:t>a</w:t>
      </w:r>
      <w:r>
        <w:rPr>
          <w:w w:val="99"/>
          <w:sz w:val="25"/>
        </w:rPr>
        <w:t>rt</w:t>
      </w:r>
      <w:r>
        <w:rPr>
          <w:sz w:val="25"/>
        </w:rPr>
        <w:t> </w:t>
      </w:r>
      <w:r>
        <w:rPr>
          <w:spacing w:val="-34"/>
          <w:sz w:val="25"/>
        </w:rPr>
        <w:t> </w:t>
      </w:r>
      <w:r>
        <w:rPr>
          <w:spacing w:val="-1"/>
          <w:w w:val="99"/>
          <w:sz w:val="25"/>
        </w:rPr>
        <w:t>a</w:t>
      </w:r>
      <w:r>
        <w:rPr>
          <w:w w:val="99"/>
          <w:sz w:val="25"/>
        </w:rPr>
        <w:t>nd</w:t>
      </w:r>
      <w:r>
        <w:rPr>
          <w:sz w:val="25"/>
        </w:rPr>
        <w:t> </w:t>
      </w:r>
      <w:r>
        <w:rPr>
          <w:spacing w:val="-34"/>
          <w:sz w:val="25"/>
        </w:rPr>
        <w:t> </w:t>
      </w:r>
      <w:r>
        <w:rPr>
          <w:spacing w:val="-1"/>
          <w:w w:val="99"/>
          <w:sz w:val="25"/>
        </w:rPr>
        <w:t>it</w:t>
      </w:r>
      <w:r>
        <w:rPr>
          <w:w w:val="99"/>
          <w:sz w:val="25"/>
        </w:rPr>
        <w:t>s</w:t>
      </w:r>
      <w:r>
        <w:rPr>
          <w:sz w:val="25"/>
        </w:rPr>
        <w:t> </w:t>
      </w:r>
      <w:r>
        <w:rPr>
          <w:spacing w:val="-34"/>
          <w:sz w:val="25"/>
        </w:rPr>
        <w:t> </w:t>
      </w:r>
      <w:r>
        <w:rPr>
          <w:w w:val="99"/>
          <w:sz w:val="25"/>
        </w:rPr>
        <w:t>con</w:t>
      </w:r>
      <w:r>
        <w:rPr>
          <w:spacing w:val="2"/>
          <w:w w:val="99"/>
          <w:sz w:val="25"/>
        </w:rPr>
        <w:t>t</w:t>
      </w:r>
      <w:r>
        <w:rPr>
          <w:spacing w:val="-1"/>
          <w:w w:val="99"/>
          <w:sz w:val="25"/>
        </w:rPr>
        <w:t>e</w:t>
      </w:r>
      <w:r>
        <w:rPr>
          <w:w w:val="99"/>
          <w:sz w:val="25"/>
        </w:rPr>
        <w:t>nt</w:t>
      </w:r>
      <w:r>
        <w:rPr>
          <w:sz w:val="25"/>
        </w:rPr>
        <w:t> </w:t>
      </w:r>
      <w:r>
        <w:rPr>
          <w:spacing w:val="-34"/>
          <w:sz w:val="25"/>
        </w:rPr>
        <w:t> </w:t>
      </w:r>
      <w:r>
        <w:rPr>
          <w:spacing w:val="-3"/>
          <w:w w:val="99"/>
          <w:sz w:val="25"/>
        </w:rPr>
        <w:t>v</w:t>
      </w:r>
      <w:r>
        <w:rPr>
          <w:spacing w:val="-1"/>
          <w:w w:val="99"/>
          <w:sz w:val="25"/>
        </w:rPr>
        <w:t>a</w:t>
      </w:r>
      <w:r>
        <w:rPr>
          <w:w w:val="99"/>
          <w:sz w:val="25"/>
        </w:rPr>
        <w:t>r</w:t>
      </w:r>
      <w:r>
        <w:rPr>
          <w:spacing w:val="-1"/>
          <w:w w:val="99"/>
          <w:sz w:val="25"/>
        </w:rPr>
        <w:t>ies </w:t>
      </w:r>
      <w:r>
        <w:rPr>
          <w:sz w:val="25"/>
        </w:rPr>
        <w:t>according to context. In </w:t>
      </w:r>
      <w:r>
        <w:rPr>
          <w:b/>
          <w:sz w:val="25"/>
        </w:rPr>
        <w:t>Raja Mohammad Amir Ahmad Khan </w:t>
      </w:r>
      <w:r>
        <w:rPr>
          <w:sz w:val="25"/>
        </w:rPr>
        <w:t>v</w:t>
      </w:r>
      <w:r>
        <w:rPr>
          <w:spacing w:val="11"/>
          <w:sz w:val="25"/>
        </w:rPr>
        <w:t> </w:t>
      </w:r>
      <w:r>
        <w:rPr>
          <w:b/>
          <w:sz w:val="25"/>
        </w:rPr>
        <w:t>Municipal</w:t>
      </w:r>
    </w:p>
    <w:p>
      <w:pPr>
        <w:spacing w:after="0" w:line="480" w:lineRule="auto"/>
        <w:jc w:val="left"/>
        <w:rPr>
          <w:sz w:val="25"/>
        </w:rPr>
        <w:sectPr>
          <w:pgSz w:w="11910" w:h="16840"/>
          <w:pgMar w:header="721" w:footer="1014" w:top="1300" w:bottom="1200" w:left="940" w:right="1000"/>
        </w:sectPr>
      </w:pPr>
    </w:p>
    <w:p>
      <w:pPr>
        <w:pStyle w:val="BodyText"/>
        <w:spacing w:line="480" w:lineRule="auto" w:before="121"/>
        <w:ind w:left="500" w:right="439"/>
        <w:jc w:val="both"/>
      </w:pPr>
      <w:r>
        <w:rPr>
          <w:b/>
        </w:rPr>
        <w:t>Board of Sitapur</w:t>
      </w:r>
      <w:r>
        <w:rPr>
          <w:vertAlign w:val="superscript"/>
        </w:rPr>
        <w:t>157</w:t>
      </w:r>
      <w:r>
        <w:rPr>
          <w:vertAlign w:val="baseline"/>
        </w:rPr>
        <w:t>, a three judge Bench of this Court considered whether the </w:t>
      </w:r>
      <w:r>
        <w:rPr>
          <w:spacing w:val="-1"/>
          <w:w w:val="99"/>
          <w:vertAlign w:val="baseline"/>
        </w:rPr>
        <w:t>us</w:t>
      </w:r>
      <w:r>
        <w:rPr>
          <w:w w:val="99"/>
          <w:vertAlign w:val="baseline"/>
        </w:rPr>
        <w:t>e</w:t>
      </w:r>
      <w:r>
        <w:rPr>
          <w:spacing w:val="9"/>
          <w:vertAlign w:val="baseline"/>
        </w:rPr>
        <w:t> </w:t>
      </w:r>
      <w:r>
        <w:rPr>
          <w:spacing w:val="-1"/>
          <w:w w:val="99"/>
          <w:vertAlign w:val="baseline"/>
        </w:rPr>
        <w:t>o</w:t>
      </w:r>
      <w:r>
        <w:rPr>
          <w:w w:val="99"/>
          <w:vertAlign w:val="baseline"/>
        </w:rPr>
        <w:t>f</w:t>
      </w:r>
      <w:r>
        <w:rPr>
          <w:spacing w:val="10"/>
          <w:vertAlign w:val="baseline"/>
        </w:rPr>
        <w:t> </w:t>
      </w:r>
      <w:r>
        <w:rPr>
          <w:w w:val="99"/>
          <w:vertAlign w:val="baseline"/>
        </w:rPr>
        <w:t>the</w:t>
      </w:r>
      <w:r>
        <w:rPr>
          <w:spacing w:val="10"/>
          <w:vertAlign w:val="baseline"/>
        </w:rPr>
        <w:t> </w:t>
      </w:r>
      <w:r>
        <w:rPr>
          <w:spacing w:val="-1"/>
          <w:w w:val="99"/>
          <w:vertAlign w:val="baseline"/>
        </w:rPr>
        <w:t>e</w:t>
      </w:r>
      <w:r>
        <w:rPr>
          <w:spacing w:val="-3"/>
          <w:w w:val="99"/>
          <w:vertAlign w:val="baseline"/>
        </w:rPr>
        <w:t>x</w:t>
      </w:r>
      <w:r>
        <w:rPr>
          <w:spacing w:val="-1"/>
          <w:w w:val="99"/>
          <w:vertAlign w:val="baseline"/>
        </w:rPr>
        <w:t>p</w:t>
      </w:r>
      <w:r>
        <w:rPr>
          <w:w w:val="99"/>
          <w:vertAlign w:val="baseline"/>
        </w:rPr>
        <w:t>r</w:t>
      </w:r>
      <w:r>
        <w:rPr>
          <w:spacing w:val="-1"/>
          <w:w w:val="99"/>
          <w:vertAlign w:val="baseline"/>
        </w:rPr>
        <w:t>essio</w:t>
      </w:r>
      <w:r>
        <w:rPr>
          <w:w w:val="99"/>
          <w:vertAlign w:val="baseline"/>
        </w:rPr>
        <w:t>n</w:t>
      </w:r>
      <w:r>
        <w:rPr>
          <w:spacing w:val="10"/>
          <w:vertAlign w:val="baseline"/>
        </w:rPr>
        <w:t> </w:t>
      </w:r>
      <w:r>
        <w:rPr>
          <w:w w:val="33"/>
          <w:vertAlign w:val="baseline"/>
        </w:rPr>
        <w:t>―</w:t>
      </w:r>
      <w:r>
        <w:rPr>
          <w:spacing w:val="-1"/>
          <w:w w:val="99"/>
          <w:vertAlign w:val="baseline"/>
        </w:rPr>
        <w:t>b</w:t>
      </w:r>
      <w:r>
        <w:rPr>
          <w:w w:val="99"/>
          <w:vertAlign w:val="baseline"/>
        </w:rPr>
        <w:t>e</w:t>
      </w:r>
      <w:r>
        <w:rPr>
          <w:spacing w:val="-1"/>
          <w:w w:val="99"/>
          <w:vertAlign w:val="baseline"/>
        </w:rPr>
        <w:t>lon</w:t>
      </w:r>
      <w:r>
        <w:rPr>
          <w:w w:val="99"/>
          <w:vertAlign w:val="baseline"/>
        </w:rPr>
        <w:t>g</w:t>
      </w:r>
      <w:r>
        <w:rPr>
          <w:spacing w:val="-1"/>
          <w:w w:val="99"/>
          <w:vertAlign w:val="baseline"/>
        </w:rPr>
        <w:t>in</w:t>
      </w:r>
      <w:r>
        <w:rPr>
          <w:w w:val="99"/>
          <w:vertAlign w:val="baseline"/>
        </w:rPr>
        <w:t>g</w:t>
      </w:r>
      <w:r>
        <w:rPr>
          <w:spacing w:val="10"/>
          <w:vertAlign w:val="baseline"/>
        </w:rPr>
        <w:t> </w:t>
      </w:r>
      <w:r>
        <w:rPr>
          <w:w w:val="99"/>
          <w:vertAlign w:val="baseline"/>
        </w:rPr>
        <w:t>to</w:t>
      </w:r>
      <w:r>
        <w:rPr>
          <w:spacing w:val="10"/>
          <w:vertAlign w:val="baseline"/>
        </w:rPr>
        <w:t> </w:t>
      </w:r>
      <w:r>
        <w:rPr>
          <w:spacing w:val="-1"/>
          <w:w w:val="99"/>
          <w:vertAlign w:val="baseline"/>
        </w:rPr>
        <w:t>hi</w:t>
      </w:r>
      <w:r>
        <w:rPr>
          <w:w w:val="99"/>
          <w:vertAlign w:val="baseline"/>
        </w:rPr>
        <w:t>m</w:t>
      </w:r>
      <w:r>
        <w:rPr>
          <w:w w:val="80"/>
          <w:vertAlign w:val="baseline"/>
        </w:rPr>
        <w:t>‖</w:t>
      </w:r>
      <w:r>
        <w:rPr>
          <w:spacing w:val="7"/>
          <w:vertAlign w:val="baseline"/>
        </w:rPr>
        <w:t> </w:t>
      </w:r>
      <w:r>
        <w:rPr>
          <w:spacing w:val="-1"/>
          <w:w w:val="99"/>
          <w:vertAlign w:val="baseline"/>
        </w:rPr>
        <w:t>b</w:t>
      </w:r>
      <w:r>
        <w:rPr>
          <w:w w:val="99"/>
          <w:vertAlign w:val="baseline"/>
        </w:rPr>
        <w:t>y</w:t>
      </w:r>
      <w:r>
        <w:rPr>
          <w:spacing w:val="7"/>
          <w:vertAlign w:val="baseline"/>
        </w:rPr>
        <w:t> </w:t>
      </w:r>
      <w:r>
        <w:rPr>
          <w:w w:val="99"/>
          <w:vertAlign w:val="baseline"/>
        </w:rPr>
        <w:t>a</w:t>
      </w:r>
      <w:r>
        <w:rPr>
          <w:spacing w:val="9"/>
          <w:vertAlign w:val="baseline"/>
        </w:rPr>
        <w:t> </w:t>
      </w:r>
      <w:r>
        <w:rPr>
          <w:w w:val="99"/>
          <w:vertAlign w:val="baseline"/>
        </w:rPr>
        <w:t>ten</w:t>
      </w:r>
      <w:r>
        <w:rPr>
          <w:spacing w:val="-1"/>
          <w:w w:val="99"/>
          <w:vertAlign w:val="baseline"/>
        </w:rPr>
        <w:t>a</w:t>
      </w:r>
      <w:r>
        <w:rPr>
          <w:w w:val="99"/>
          <w:vertAlign w:val="baseline"/>
        </w:rPr>
        <w:t>nt</w:t>
      </w:r>
      <w:r>
        <w:rPr>
          <w:spacing w:val="9"/>
          <w:vertAlign w:val="baseline"/>
        </w:rPr>
        <w:t> </w:t>
      </w:r>
      <w:r>
        <w:rPr>
          <w:spacing w:val="-1"/>
          <w:w w:val="99"/>
          <w:vertAlign w:val="baseline"/>
        </w:rPr>
        <w:t>a</w:t>
      </w:r>
      <w:r>
        <w:rPr>
          <w:w w:val="99"/>
          <w:vertAlign w:val="baseline"/>
        </w:rPr>
        <w:t>m</w:t>
      </w:r>
      <w:r>
        <w:rPr>
          <w:spacing w:val="7"/>
          <w:w w:val="99"/>
          <w:vertAlign w:val="baseline"/>
        </w:rPr>
        <w:t>o</w:t>
      </w:r>
      <w:r>
        <w:rPr>
          <w:w w:val="99"/>
          <w:vertAlign w:val="baseline"/>
        </w:rPr>
        <w:t>un</w:t>
      </w:r>
      <w:r>
        <w:rPr>
          <w:w w:val="99"/>
          <w:vertAlign w:val="baseline"/>
        </w:rPr>
        <w:t>ted</w:t>
      </w:r>
      <w:r>
        <w:rPr>
          <w:spacing w:val="8"/>
          <w:vertAlign w:val="baseline"/>
        </w:rPr>
        <w:t> </w:t>
      </w:r>
      <w:r>
        <w:rPr>
          <w:spacing w:val="-3"/>
          <w:w w:val="99"/>
          <w:vertAlign w:val="baseline"/>
        </w:rPr>
        <w:t>t</w:t>
      </w:r>
      <w:r>
        <w:rPr>
          <w:w w:val="99"/>
          <w:vertAlign w:val="baseline"/>
        </w:rPr>
        <w:t>o</w:t>
      </w:r>
      <w:r>
        <w:rPr>
          <w:spacing w:val="9"/>
          <w:vertAlign w:val="baseline"/>
        </w:rPr>
        <w:t> </w:t>
      </w:r>
      <w:r>
        <w:rPr>
          <w:w w:val="99"/>
          <w:vertAlign w:val="baseline"/>
        </w:rPr>
        <w:t>a</w:t>
      </w:r>
      <w:r>
        <w:rPr>
          <w:spacing w:val="9"/>
          <w:vertAlign w:val="baseline"/>
        </w:rPr>
        <w:t> </w:t>
      </w:r>
      <w:r>
        <w:rPr>
          <w:w w:val="99"/>
          <w:vertAlign w:val="baseline"/>
        </w:rPr>
        <w:t>disclaimer</w:t>
      </w:r>
      <w:r>
        <w:rPr>
          <w:spacing w:val="10"/>
          <w:vertAlign w:val="baseline"/>
        </w:rPr>
        <w:t> </w:t>
      </w:r>
      <w:r>
        <w:rPr>
          <w:w w:val="99"/>
          <w:vertAlign w:val="baseline"/>
        </w:rPr>
        <w:t>of </w:t>
      </w:r>
      <w:r>
        <w:rPr>
          <w:vertAlign w:val="baseline"/>
        </w:rPr>
        <w:t>the reversionary interest of the Government. In that context, Justice N  Rajagopala Ayyangar, speaking for the three judge Bench,</w:t>
      </w:r>
      <w:r>
        <w:rPr>
          <w:spacing w:val="-10"/>
          <w:vertAlign w:val="baseline"/>
        </w:rPr>
        <w:t> </w:t>
      </w:r>
      <w:r>
        <w:rPr>
          <w:vertAlign w:val="baseline"/>
        </w:rPr>
        <w:t>observed:</w:t>
      </w:r>
    </w:p>
    <w:p>
      <w:pPr>
        <w:spacing w:line="276" w:lineRule="auto" w:before="1"/>
        <w:ind w:left="1940" w:right="2260" w:firstLine="0"/>
        <w:jc w:val="both"/>
        <w:rPr>
          <w:sz w:val="21"/>
        </w:rPr>
      </w:pPr>
      <w:r>
        <w:rPr>
          <w:spacing w:val="-1"/>
          <w:w w:val="33"/>
          <w:sz w:val="21"/>
        </w:rPr>
        <w:t>―</w:t>
      </w:r>
      <w:r>
        <w:rPr>
          <w:spacing w:val="-1"/>
          <w:w w:val="100"/>
          <w:sz w:val="21"/>
        </w:rPr>
        <w:t>24</w:t>
      </w:r>
      <w:r>
        <w:rPr>
          <w:spacing w:val="-3"/>
          <w:w w:val="100"/>
          <w:sz w:val="21"/>
        </w:rPr>
        <w:t>…</w:t>
      </w:r>
      <w:r>
        <w:rPr>
          <w:w w:val="100"/>
          <w:sz w:val="21"/>
        </w:rPr>
        <w:t>Th</w:t>
      </w:r>
      <w:r>
        <w:rPr>
          <w:spacing w:val="-3"/>
          <w:w w:val="100"/>
          <w:sz w:val="21"/>
        </w:rPr>
        <w:t>o</w:t>
      </w:r>
      <w:r>
        <w:rPr>
          <w:spacing w:val="-1"/>
          <w:w w:val="100"/>
          <w:sz w:val="21"/>
        </w:rPr>
        <w:t>ug</w:t>
      </w:r>
      <w:r>
        <w:rPr>
          <w:w w:val="100"/>
          <w:sz w:val="21"/>
        </w:rPr>
        <w:t>h</w:t>
      </w:r>
      <w:r>
        <w:rPr>
          <w:sz w:val="21"/>
        </w:rPr>
        <w:t> </w:t>
      </w:r>
      <w:r>
        <w:rPr>
          <w:spacing w:val="-4"/>
          <w:sz w:val="21"/>
        </w:rPr>
        <w:t> </w:t>
      </w:r>
      <w:r>
        <w:rPr>
          <w:spacing w:val="-2"/>
          <w:w w:val="100"/>
          <w:sz w:val="21"/>
        </w:rPr>
        <w:t>t</w:t>
      </w:r>
      <w:r>
        <w:rPr>
          <w:spacing w:val="-1"/>
          <w:w w:val="100"/>
          <w:sz w:val="21"/>
        </w:rPr>
        <w:t>h</w:t>
      </w:r>
      <w:r>
        <w:rPr>
          <w:w w:val="100"/>
          <w:sz w:val="21"/>
        </w:rPr>
        <w:t>e</w:t>
      </w:r>
      <w:r>
        <w:rPr>
          <w:sz w:val="21"/>
        </w:rPr>
        <w:t> </w:t>
      </w:r>
      <w:r>
        <w:rPr>
          <w:spacing w:val="-2"/>
          <w:sz w:val="21"/>
        </w:rPr>
        <w:t> </w:t>
      </w:r>
      <w:r>
        <w:rPr>
          <w:spacing w:val="-2"/>
          <w:w w:val="100"/>
          <w:sz w:val="21"/>
        </w:rPr>
        <w:t>w</w:t>
      </w:r>
      <w:r>
        <w:rPr>
          <w:spacing w:val="-1"/>
          <w:w w:val="100"/>
          <w:sz w:val="21"/>
        </w:rPr>
        <w:t>o</w:t>
      </w:r>
      <w:r>
        <w:rPr>
          <w:spacing w:val="-3"/>
          <w:w w:val="100"/>
          <w:sz w:val="21"/>
        </w:rPr>
        <w:t>r</w:t>
      </w:r>
      <w:r>
        <w:rPr>
          <w:w w:val="100"/>
          <w:sz w:val="21"/>
        </w:rPr>
        <w:t>d</w:t>
      </w:r>
      <w:r>
        <w:rPr>
          <w:sz w:val="21"/>
        </w:rPr>
        <w:t> </w:t>
      </w:r>
      <w:r>
        <w:rPr>
          <w:spacing w:val="-2"/>
          <w:sz w:val="21"/>
        </w:rPr>
        <w:t> </w:t>
      </w:r>
      <w:r>
        <w:rPr>
          <w:spacing w:val="-4"/>
          <w:w w:val="33"/>
          <w:sz w:val="21"/>
        </w:rPr>
        <w:t>―</w:t>
      </w:r>
      <w:r>
        <w:rPr>
          <w:spacing w:val="-1"/>
          <w:w w:val="100"/>
          <w:sz w:val="21"/>
        </w:rPr>
        <w:t>belon</w:t>
      </w:r>
      <w:r>
        <w:rPr>
          <w:spacing w:val="-2"/>
          <w:w w:val="100"/>
          <w:sz w:val="21"/>
        </w:rPr>
        <w:t>g</w:t>
      </w:r>
      <w:r>
        <w:rPr>
          <w:w w:val="100"/>
          <w:sz w:val="21"/>
        </w:rPr>
        <w:t>i</w:t>
      </w:r>
      <w:r>
        <w:rPr>
          <w:spacing w:val="-1"/>
          <w:w w:val="95"/>
          <w:sz w:val="21"/>
        </w:rPr>
        <w:t>ng</w:t>
      </w:r>
      <w:r>
        <w:rPr>
          <w:w w:val="95"/>
          <w:sz w:val="21"/>
        </w:rPr>
        <w:t>‖</w:t>
      </w:r>
      <w:r>
        <w:rPr>
          <w:sz w:val="21"/>
        </w:rPr>
        <w:t> </w:t>
      </w:r>
      <w:r>
        <w:rPr>
          <w:spacing w:val="-5"/>
          <w:sz w:val="21"/>
        </w:rPr>
        <w:t> </w:t>
      </w:r>
      <w:r>
        <w:rPr>
          <w:spacing w:val="-1"/>
          <w:w w:val="100"/>
          <w:sz w:val="21"/>
        </w:rPr>
        <w:t>n</w:t>
      </w:r>
      <w:r>
        <w:rPr>
          <w:w w:val="100"/>
          <w:sz w:val="21"/>
        </w:rPr>
        <w:t>o</w:t>
      </w:r>
      <w:r>
        <w:rPr>
          <w:sz w:val="21"/>
        </w:rPr>
        <w:t> </w:t>
      </w:r>
      <w:r>
        <w:rPr>
          <w:spacing w:val="-4"/>
          <w:sz w:val="21"/>
        </w:rPr>
        <w:t> </w:t>
      </w:r>
      <w:r>
        <w:rPr>
          <w:spacing w:val="-1"/>
          <w:w w:val="100"/>
          <w:sz w:val="21"/>
        </w:rPr>
        <w:t>d</w:t>
      </w:r>
      <w:r>
        <w:rPr>
          <w:spacing w:val="-3"/>
          <w:w w:val="100"/>
          <w:sz w:val="21"/>
        </w:rPr>
        <w:t>o</w:t>
      </w:r>
      <w:r>
        <w:rPr>
          <w:spacing w:val="-1"/>
          <w:w w:val="100"/>
          <w:sz w:val="21"/>
        </w:rPr>
        <w:t>ub</w:t>
      </w:r>
      <w:r>
        <w:rPr>
          <w:w w:val="100"/>
          <w:sz w:val="21"/>
        </w:rPr>
        <w:t>t</w:t>
      </w:r>
      <w:r>
        <w:rPr>
          <w:sz w:val="21"/>
        </w:rPr>
        <w:t> </w:t>
      </w:r>
      <w:r>
        <w:rPr>
          <w:spacing w:val="-5"/>
          <w:sz w:val="21"/>
        </w:rPr>
        <w:t> </w:t>
      </w:r>
      <w:r>
        <w:rPr>
          <w:w w:val="100"/>
          <w:sz w:val="21"/>
        </w:rPr>
        <w:t>is</w:t>
      </w:r>
      <w:r>
        <w:rPr>
          <w:sz w:val="21"/>
        </w:rPr>
        <w:t> </w:t>
      </w:r>
      <w:r>
        <w:rPr>
          <w:spacing w:val="-2"/>
          <w:sz w:val="21"/>
        </w:rPr>
        <w:t> </w:t>
      </w:r>
      <w:r>
        <w:rPr>
          <w:spacing w:val="-3"/>
          <w:w w:val="100"/>
          <w:sz w:val="21"/>
        </w:rPr>
        <w:t>c</w:t>
      </w:r>
      <w:r>
        <w:rPr>
          <w:spacing w:val="-1"/>
          <w:w w:val="100"/>
          <w:sz w:val="21"/>
        </w:rPr>
        <w:t>apa</w:t>
      </w:r>
      <w:r>
        <w:rPr>
          <w:spacing w:val="-2"/>
          <w:w w:val="100"/>
          <w:sz w:val="21"/>
        </w:rPr>
        <w:t>b</w:t>
      </w:r>
      <w:r>
        <w:rPr>
          <w:w w:val="100"/>
          <w:sz w:val="21"/>
        </w:rPr>
        <w:t>le</w:t>
      </w:r>
      <w:r>
        <w:rPr>
          <w:sz w:val="21"/>
        </w:rPr>
        <w:t> </w:t>
      </w:r>
      <w:r>
        <w:rPr>
          <w:spacing w:val="-5"/>
          <w:sz w:val="21"/>
        </w:rPr>
        <w:t> </w:t>
      </w:r>
      <w:r>
        <w:rPr>
          <w:spacing w:val="-3"/>
          <w:w w:val="100"/>
          <w:sz w:val="21"/>
        </w:rPr>
        <w:t>o</w:t>
      </w:r>
      <w:r>
        <w:rPr>
          <w:w w:val="100"/>
          <w:sz w:val="21"/>
        </w:rPr>
        <w:t>f </w:t>
      </w:r>
      <w:r>
        <w:rPr>
          <w:sz w:val="21"/>
        </w:rPr>
        <w:t>denoting an absolute title, is nevertheless not confined to connoting that sense. Even possession of an interest less than that of full ownership could signified by that word. In </w:t>
      </w:r>
      <w:r>
        <w:rPr>
          <w:spacing w:val="4"/>
          <w:w w:val="100"/>
          <w:sz w:val="21"/>
        </w:rPr>
        <w:t>W</w:t>
      </w:r>
      <w:r>
        <w:rPr>
          <w:spacing w:val="-3"/>
          <w:w w:val="100"/>
          <w:sz w:val="21"/>
        </w:rPr>
        <w:t>eb</w:t>
      </w:r>
      <w:r>
        <w:rPr>
          <w:w w:val="100"/>
          <w:sz w:val="21"/>
        </w:rPr>
        <w:t>s</w:t>
      </w:r>
      <w:r>
        <w:rPr>
          <w:spacing w:val="-2"/>
          <w:w w:val="100"/>
          <w:sz w:val="21"/>
        </w:rPr>
        <w:t>t</w:t>
      </w:r>
      <w:r>
        <w:rPr>
          <w:spacing w:val="-1"/>
          <w:w w:val="100"/>
          <w:sz w:val="21"/>
        </w:rPr>
        <w:t>e</w:t>
      </w:r>
      <w:r>
        <w:rPr>
          <w:w w:val="100"/>
          <w:sz w:val="21"/>
        </w:rPr>
        <w:t>r</w:t>
      </w:r>
      <w:r>
        <w:rPr>
          <w:spacing w:val="15"/>
          <w:sz w:val="21"/>
        </w:rPr>
        <w:t> </w:t>
      </w:r>
      <w:r>
        <w:rPr>
          <w:spacing w:val="-4"/>
          <w:w w:val="33"/>
          <w:sz w:val="21"/>
        </w:rPr>
        <w:t>―</w:t>
      </w:r>
      <w:r>
        <w:rPr>
          <w:spacing w:val="-1"/>
          <w:w w:val="100"/>
          <w:sz w:val="21"/>
        </w:rPr>
        <w:t>belon</w:t>
      </w:r>
      <w:r>
        <w:rPr>
          <w:w w:val="100"/>
          <w:sz w:val="21"/>
        </w:rPr>
        <w:t>g</w:t>
      </w:r>
      <w:r>
        <w:rPr>
          <w:spacing w:val="13"/>
          <w:sz w:val="21"/>
        </w:rPr>
        <w:t> </w:t>
      </w:r>
      <w:r>
        <w:rPr>
          <w:spacing w:val="-2"/>
          <w:w w:val="100"/>
          <w:sz w:val="21"/>
        </w:rPr>
        <w:t>t</w:t>
      </w:r>
      <w:r>
        <w:rPr>
          <w:spacing w:val="-1"/>
          <w:w w:val="92"/>
          <w:sz w:val="21"/>
        </w:rPr>
        <w:t>o</w:t>
      </w:r>
      <w:r>
        <w:rPr>
          <w:w w:val="92"/>
          <w:sz w:val="21"/>
        </w:rPr>
        <w:t>‖</w:t>
      </w:r>
      <w:r>
        <w:rPr>
          <w:spacing w:val="15"/>
          <w:sz w:val="21"/>
        </w:rPr>
        <w:t> </w:t>
      </w:r>
      <w:r>
        <w:rPr>
          <w:w w:val="100"/>
          <w:sz w:val="21"/>
        </w:rPr>
        <w:t>is</w:t>
      </w:r>
      <w:r>
        <w:rPr>
          <w:spacing w:val="13"/>
          <w:sz w:val="21"/>
        </w:rPr>
        <w:t> </w:t>
      </w:r>
      <w:r>
        <w:rPr>
          <w:spacing w:val="-1"/>
          <w:w w:val="100"/>
          <w:sz w:val="21"/>
        </w:rPr>
        <w:t>e</w:t>
      </w:r>
      <w:r>
        <w:rPr>
          <w:spacing w:val="-3"/>
          <w:w w:val="100"/>
          <w:sz w:val="21"/>
        </w:rPr>
        <w:t>x</w:t>
      </w:r>
      <w:r>
        <w:rPr>
          <w:spacing w:val="-1"/>
          <w:w w:val="100"/>
          <w:sz w:val="21"/>
        </w:rPr>
        <w:t>p</w:t>
      </w:r>
      <w:r>
        <w:rPr>
          <w:spacing w:val="1"/>
          <w:w w:val="100"/>
          <w:sz w:val="21"/>
        </w:rPr>
        <w:t>l</w:t>
      </w:r>
      <w:r>
        <w:rPr>
          <w:spacing w:val="-3"/>
          <w:w w:val="100"/>
          <w:sz w:val="21"/>
        </w:rPr>
        <w:t>a</w:t>
      </w:r>
      <w:r>
        <w:rPr>
          <w:w w:val="100"/>
          <w:sz w:val="21"/>
        </w:rPr>
        <w:t>i</w:t>
      </w:r>
      <w:r>
        <w:rPr>
          <w:spacing w:val="-1"/>
          <w:w w:val="100"/>
          <w:sz w:val="21"/>
        </w:rPr>
        <w:t>n</w:t>
      </w:r>
      <w:r>
        <w:rPr>
          <w:spacing w:val="-3"/>
          <w:w w:val="100"/>
          <w:sz w:val="21"/>
        </w:rPr>
        <w:t>e</w:t>
      </w:r>
      <w:r>
        <w:rPr>
          <w:w w:val="100"/>
          <w:sz w:val="21"/>
        </w:rPr>
        <w:t>d</w:t>
      </w:r>
      <w:r>
        <w:rPr>
          <w:spacing w:val="15"/>
          <w:sz w:val="21"/>
        </w:rPr>
        <w:t> </w:t>
      </w:r>
      <w:r>
        <w:rPr>
          <w:spacing w:val="-3"/>
          <w:w w:val="100"/>
          <w:sz w:val="21"/>
        </w:rPr>
        <w:t>a</w:t>
      </w:r>
      <w:r>
        <w:rPr>
          <w:w w:val="100"/>
          <w:sz w:val="21"/>
        </w:rPr>
        <w:t>s</w:t>
      </w:r>
      <w:r>
        <w:rPr>
          <w:spacing w:val="13"/>
          <w:sz w:val="21"/>
        </w:rPr>
        <w:t> </w:t>
      </w:r>
      <w:r>
        <w:rPr>
          <w:spacing w:val="1"/>
          <w:w w:val="100"/>
          <w:sz w:val="21"/>
        </w:rPr>
        <w:t>m</w:t>
      </w:r>
      <w:r>
        <w:rPr>
          <w:spacing w:val="-1"/>
          <w:w w:val="100"/>
          <w:sz w:val="21"/>
        </w:rPr>
        <w:t>e</w:t>
      </w:r>
      <w:r>
        <w:rPr>
          <w:spacing w:val="-3"/>
          <w:w w:val="100"/>
          <w:sz w:val="21"/>
        </w:rPr>
        <w:t>a</w:t>
      </w:r>
      <w:r>
        <w:rPr>
          <w:spacing w:val="-1"/>
          <w:w w:val="100"/>
          <w:sz w:val="21"/>
        </w:rPr>
        <w:t>n</w:t>
      </w:r>
      <w:r>
        <w:rPr>
          <w:spacing w:val="-2"/>
          <w:w w:val="100"/>
          <w:sz w:val="21"/>
        </w:rPr>
        <w:t>i</w:t>
      </w:r>
      <w:r>
        <w:rPr>
          <w:spacing w:val="-1"/>
          <w:w w:val="100"/>
          <w:sz w:val="21"/>
        </w:rPr>
        <w:t>n</w:t>
      </w:r>
      <w:r>
        <w:rPr>
          <w:w w:val="100"/>
          <w:sz w:val="21"/>
        </w:rPr>
        <w:t>g</w:t>
      </w:r>
      <w:r>
        <w:rPr>
          <w:spacing w:val="13"/>
          <w:sz w:val="21"/>
        </w:rPr>
        <w:t> </w:t>
      </w:r>
      <w:r>
        <w:rPr>
          <w:w w:val="100"/>
          <w:sz w:val="21"/>
        </w:rPr>
        <w:t>i</w:t>
      </w:r>
      <w:r>
        <w:rPr>
          <w:spacing w:val="-1"/>
          <w:w w:val="100"/>
          <w:sz w:val="21"/>
        </w:rPr>
        <w:t>nte</w:t>
      </w:r>
      <w:r>
        <w:rPr>
          <w:w w:val="100"/>
          <w:sz w:val="21"/>
        </w:rPr>
        <w:t>r</w:t>
      </w:r>
      <w:r>
        <w:rPr>
          <w:spacing w:val="12"/>
          <w:sz w:val="21"/>
        </w:rPr>
        <w:t> </w:t>
      </w:r>
      <w:r>
        <w:rPr>
          <w:spacing w:val="-1"/>
          <w:w w:val="100"/>
          <w:sz w:val="21"/>
        </w:rPr>
        <w:t>a</w:t>
      </w:r>
      <w:r>
        <w:rPr>
          <w:spacing w:val="1"/>
          <w:w w:val="100"/>
          <w:sz w:val="21"/>
        </w:rPr>
        <w:t>l</w:t>
      </w:r>
      <w:r>
        <w:rPr>
          <w:spacing w:val="-2"/>
          <w:w w:val="100"/>
          <w:sz w:val="21"/>
        </w:rPr>
        <w:t>i</w:t>
      </w:r>
      <w:r>
        <w:rPr>
          <w:w w:val="100"/>
          <w:sz w:val="21"/>
        </w:rPr>
        <w:t>a</w:t>
      </w:r>
      <w:r>
        <w:rPr>
          <w:spacing w:val="15"/>
          <w:sz w:val="21"/>
        </w:rPr>
        <w:t> </w:t>
      </w:r>
      <w:r>
        <w:rPr>
          <w:spacing w:val="-1"/>
          <w:w w:val="33"/>
          <w:sz w:val="21"/>
        </w:rPr>
        <w:t>―</w:t>
      </w:r>
      <w:r>
        <w:rPr>
          <w:spacing w:val="-2"/>
          <w:w w:val="100"/>
          <w:sz w:val="21"/>
        </w:rPr>
        <w:t>t</w:t>
      </w:r>
      <w:r>
        <w:rPr>
          <w:w w:val="100"/>
          <w:sz w:val="21"/>
        </w:rPr>
        <w:t>o</w:t>
      </w:r>
      <w:r>
        <w:rPr>
          <w:spacing w:val="15"/>
          <w:sz w:val="21"/>
        </w:rPr>
        <w:t> </w:t>
      </w:r>
      <w:r>
        <w:rPr>
          <w:spacing w:val="-3"/>
          <w:w w:val="100"/>
          <w:sz w:val="21"/>
        </w:rPr>
        <w:t>b</w:t>
      </w:r>
      <w:r>
        <w:rPr>
          <w:w w:val="100"/>
          <w:sz w:val="21"/>
        </w:rPr>
        <w:t>e </w:t>
      </w:r>
      <w:r>
        <w:rPr>
          <w:sz w:val="21"/>
        </w:rPr>
        <w:t>owned by, be the possession of‖. The precise sense which the word was meant to convey can therefore be gathered only by reading the document as a whole and adverting to the context in which it</w:t>
      </w:r>
      <w:r>
        <w:rPr>
          <w:spacing w:val="-11"/>
          <w:sz w:val="21"/>
        </w:rPr>
        <w:t> </w:t>
      </w:r>
      <w:r>
        <w:rPr>
          <w:sz w:val="21"/>
        </w:rPr>
        <w:t>occurs.‖</w:t>
      </w:r>
    </w:p>
    <w:p>
      <w:pPr>
        <w:pStyle w:val="BodyText"/>
        <w:rPr>
          <w:sz w:val="24"/>
        </w:rPr>
      </w:pPr>
    </w:p>
    <w:p>
      <w:pPr>
        <w:pStyle w:val="BodyText"/>
        <w:spacing w:before="7"/>
        <w:rPr>
          <w:sz w:val="28"/>
        </w:rPr>
      </w:pPr>
    </w:p>
    <w:p>
      <w:pPr>
        <w:pStyle w:val="BodyText"/>
        <w:spacing w:line="480" w:lineRule="auto" w:before="1"/>
        <w:ind w:left="500" w:right="440"/>
        <w:jc w:val="both"/>
      </w:pPr>
      <w:r>
        <w:rPr/>
        <w:t>On the facts of the case, it was held that the circumstances of the tenancy were material for determining the nature of the assertion. The origin of the tenancy was not definitely known, the lessee had constructed super structures and the appellant and his ancestors had been enjoying the property for three quarters of a century and more. Transfers had been affected and the property had been the subject of inheritance. There was a public document to the effect that though it was government land, there was a permanent heritable and transferable right. In </w:t>
      </w:r>
      <w:r>
        <w:rPr>
          <w:w w:val="99"/>
        </w:rPr>
        <w:t>this</w:t>
      </w:r>
      <w:r>
        <w:rPr/>
        <w:t> </w:t>
      </w:r>
      <w:r>
        <w:rPr>
          <w:spacing w:val="-10"/>
        </w:rPr>
        <w:t> </w:t>
      </w:r>
      <w:r>
        <w:rPr>
          <w:w w:val="99"/>
        </w:rPr>
        <w:t>con</w:t>
      </w:r>
      <w:r>
        <w:rPr>
          <w:w w:val="99"/>
        </w:rPr>
        <w:t>te</w:t>
      </w:r>
      <w:r>
        <w:rPr>
          <w:spacing w:val="-2"/>
          <w:w w:val="99"/>
        </w:rPr>
        <w:t>x</w:t>
      </w:r>
      <w:r>
        <w:rPr>
          <w:w w:val="99"/>
        </w:rPr>
        <w:t>t,</w:t>
      </w:r>
      <w:r>
        <w:rPr/>
        <w:t> </w:t>
      </w:r>
      <w:r>
        <w:rPr>
          <w:spacing w:val="-8"/>
        </w:rPr>
        <w:t> </w:t>
      </w:r>
      <w:r>
        <w:rPr>
          <w:w w:val="99"/>
        </w:rPr>
        <w:t>it</w:t>
      </w:r>
      <w:r>
        <w:rPr/>
        <w:t> </w:t>
      </w:r>
      <w:r>
        <w:rPr>
          <w:spacing w:val="-10"/>
        </w:rPr>
        <w:t> </w:t>
      </w:r>
      <w:r>
        <w:rPr>
          <w:w w:val="99"/>
        </w:rPr>
        <w:t>was</w:t>
      </w:r>
      <w:r>
        <w:rPr/>
        <w:t> </w:t>
      </w:r>
      <w:r>
        <w:rPr>
          <w:spacing w:val="-5"/>
        </w:rPr>
        <w:t> </w:t>
      </w:r>
      <w:r>
        <w:rPr>
          <w:w w:val="99"/>
        </w:rPr>
        <w:t>he</w:t>
      </w:r>
      <w:r>
        <w:rPr>
          <w:w w:val="99"/>
        </w:rPr>
        <w:t>ld</w:t>
      </w:r>
      <w:r>
        <w:rPr/>
        <w:t> </w:t>
      </w:r>
      <w:r>
        <w:rPr>
          <w:spacing w:val="-10"/>
        </w:rPr>
        <w:t> </w:t>
      </w:r>
      <w:r>
        <w:rPr>
          <w:w w:val="99"/>
        </w:rPr>
        <w:t>tha</w:t>
      </w:r>
      <w:r>
        <w:rPr>
          <w:w w:val="99"/>
        </w:rPr>
        <w:t>t</w:t>
      </w:r>
      <w:r>
        <w:rPr/>
        <w:t> </w:t>
      </w:r>
      <w:r>
        <w:rPr>
          <w:spacing w:val="-10"/>
        </w:rPr>
        <w:t> </w:t>
      </w:r>
      <w:r>
        <w:rPr>
          <w:w w:val="99"/>
        </w:rPr>
        <w:t>use</w:t>
      </w:r>
      <w:r>
        <w:rPr/>
        <w:t> </w:t>
      </w:r>
      <w:r>
        <w:rPr>
          <w:spacing w:val="-10"/>
        </w:rPr>
        <w:t> </w:t>
      </w:r>
      <w:r>
        <w:rPr>
          <w:w w:val="99"/>
        </w:rPr>
        <w:t>of</w:t>
      </w:r>
      <w:r>
        <w:rPr/>
        <w:t> </w:t>
      </w:r>
      <w:r>
        <w:rPr>
          <w:spacing w:val="-9"/>
        </w:rPr>
        <w:t> </w:t>
      </w:r>
      <w:r>
        <w:rPr>
          <w:w w:val="99"/>
        </w:rPr>
        <w:t>the</w:t>
      </w:r>
      <w:r>
        <w:rPr/>
        <w:t> </w:t>
      </w:r>
      <w:r>
        <w:rPr>
          <w:spacing w:val="-7"/>
        </w:rPr>
        <w:t> </w:t>
      </w:r>
      <w:r>
        <w:rPr>
          <w:w w:val="99"/>
        </w:rPr>
        <w:t>word</w:t>
      </w:r>
      <w:r>
        <w:rPr/>
        <w:t> </w:t>
      </w:r>
      <w:r>
        <w:rPr>
          <w:spacing w:val="-3"/>
        </w:rPr>
        <w:t> </w:t>
      </w:r>
      <w:r>
        <w:rPr>
          <w:w w:val="33"/>
        </w:rPr>
        <w:t>―</w:t>
      </w:r>
      <w:r>
        <w:rPr>
          <w:spacing w:val="-1"/>
          <w:w w:val="99"/>
        </w:rPr>
        <w:t>b</w:t>
      </w:r>
      <w:r>
        <w:rPr>
          <w:w w:val="99"/>
        </w:rPr>
        <w:t>e</w:t>
      </w:r>
      <w:r>
        <w:rPr>
          <w:spacing w:val="-1"/>
          <w:w w:val="99"/>
        </w:rPr>
        <w:t>lon</w:t>
      </w:r>
      <w:r>
        <w:rPr>
          <w:w w:val="99"/>
        </w:rPr>
        <w:t>g</w:t>
      </w:r>
      <w:r>
        <w:rPr>
          <w:spacing w:val="-1"/>
          <w:w w:val="95"/>
        </w:rPr>
        <w:t>ing</w:t>
      </w:r>
      <w:r>
        <w:rPr>
          <w:w w:val="95"/>
        </w:rPr>
        <w:t>‖</w:t>
      </w:r>
      <w:r>
        <w:rPr/>
        <w:t> </w:t>
      </w:r>
      <w:r>
        <w:rPr>
          <w:spacing w:val="-9"/>
        </w:rPr>
        <w:t> </w:t>
      </w:r>
      <w:r>
        <w:rPr>
          <w:spacing w:val="-1"/>
          <w:w w:val="99"/>
        </w:rPr>
        <w:t>di</w:t>
      </w:r>
      <w:r>
        <w:rPr>
          <w:w w:val="99"/>
        </w:rPr>
        <w:t>d</w:t>
      </w:r>
      <w:r>
        <w:rPr/>
        <w:t> </w:t>
      </w:r>
      <w:r>
        <w:rPr>
          <w:spacing w:val="-9"/>
        </w:rPr>
        <w:t> </w:t>
      </w:r>
      <w:r>
        <w:rPr>
          <w:spacing w:val="-1"/>
          <w:w w:val="99"/>
        </w:rPr>
        <w:t>n</w:t>
      </w:r>
      <w:r>
        <w:rPr>
          <w:w w:val="99"/>
        </w:rPr>
        <w:t>ot</w:t>
      </w:r>
      <w:r>
        <w:rPr/>
        <w:t> </w:t>
      </w:r>
      <w:r>
        <w:rPr>
          <w:spacing w:val="-10"/>
        </w:rPr>
        <w:t> </w:t>
      </w:r>
      <w:r>
        <w:rPr>
          <w:spacing w:val="-1"/>
          <w:w w:val="99"/>
        </w:rPr>
        <w:t>a</w:t>
      </w:r>
      <w:r>
        <w:rPr>
          <w:w w:val="99"/>
        </w:rPr>
        <w:t>m</w:t>
      </w:r>
      <w:r>
        <w:rPr>
          <w:spacing w:val="-1"/>
          <w:w w:val="99"/>
        </w:rPr>
        <w:t>o</w:t>
      </w:r>
      <w:r>
        <w:rPr>
          <w:w w:val="99"/>
        </w:rPr>
        <w:t>u</w:t>
      </w:r>
      <w:r>
        <w:rPr>
          <w:spacing w:val="-1"/>
          <w:w w:val="99"/>
        </w:rPr>
        <w:t>n</w:t>
      </w:r>
      <w:r>
        <w:rPr>
          <w:w w:val="99"/>
        </w:rPr>
        <w:t>t</w:t>
      </w:r>
      <w:r>
        <w:rPr/>
        <w:t> </w:t>
      </w:r>
      <w:r>
        <w:rPr>
          <w:spacing w:val="-9"/>
        </w:rPr>
        <w:t> </w:t>
      </w:r>
      <w:r>
        <w:rPr>
          <w:w w:val="99"/>
        </w:rPr>
        <w:t>to </w:t>
      </w:r>
      <w:r>
        <w:rPr/>
        <w:t>repudiation of the title of the government. Similarly, the Court held that the use of the expression owner did not denote ownership in an absolute sense so as to amount to a renunciation or disclaimer of</w:t>
      </w:r>
      <w:r>
        <w:rPr>
          <w:spacing w:val="-3"/>
        </w:rPr>
        <w:t> </w:t>
      </w:r>
      <w:r>
        <w:rPr/>
        <w:t>tenancy:</w:t>
      </w:r>
    </w:p>
    <w:p>
      <w:pPr>
        <w:spacing w:line="276" w:lineRule="auto" w:before="0"/>
        <w:ind w:left="1940" w:right="2262" w:firstLine="0"/>
        <w:jc w:val="both"/>
        <w:rPr>
          <w:sz w:val="21"/>
        </w:rPr>
      </w:pPr>
      <w:r>
        <w:rPr>
          <w:spacing w:val="-1"/>
          <w:w w:val="33"/>
          <w:sz w:val="21"/>
        </w:rPr>
        <w:t>―</w:t>
      </w:r>
      <w:r>
        <w:rPr>
          <w:spacing w:val="-1"/>
          <w:w w:val="100"/>
          <w:sz w:val="21"/>
        </w:rPr>
        <w:t>25</w:t>
      </w:r>
      <w:r>
        <w:rPr>
          <w:spacing w:val="-3"/>
          <w:w w:val="100"/>
          <w:sz w:val="21"/>
        </w:rPr>
        <w:t>…</w:t>
      </w:r>
      <w:r>
        <w:rPr>
          <w:w w:val="100"/>
          <w:sz w:val="21"/>
        </w:rPr>
        <w:t>Th</w:t>
      </w:r>
      <w:r>
        <w:rPr>
          <w:spacing w:val="-3"/>
          <w:w w:val="100"/>
          <w:sz w:val="21"/>
        </w:rPr>
        <w:t>o</w:t>
      </w:r>
      <w:r>
        <w:rPr>
          <w:spacing w:val="-1"/>
          <w:w w:val="100"/>
          <w:sz w:val="21"/>
        </w:rPr>
        <w:t>ug</w:t>
      </w:r>
      <w:r>
        <w:rPr>
          <w:w w:val="100"/>
          <w:sz w:val="21"/>
        </w:rPr>
        <w:t>h</w:t>
      </w:r>
      <w:r>
        <w:rPr>
          <w:sz w:val="21"/>
        </w:rPr>
        <w:t> </w:t>
      </w:r>
      <w:r>
        <w:rPr>
          <w:spacing w:val="20"/>
          <w:sz w:val="21"/>
        </w:rPr>
        <w:t> </w:t>
      </w:r>
      <w:r>
        <w:rPr>
          <w:spacing w:val="-1"/>
          <w:w w:val="100"/>
          <w:sz w:val="21"/>
        </w:rPr>
        <w:t>d</w:t>
      </w:r>
      <w:r>
        <w:rPr>
          <w:spacing w:val="2"/>
          <w:w w:val="100"/>
          <w:sz w:val="21"/>
        </w:rPr>
        <w:t>i</w:t>
      </w:r>
      <w:r>
        <w:rPr>
          <w:spacing w:val="-3"/>
          <w:w w:val="100"/>
          <w:sz w:val="21"/>
        </w:rPr>
        <w:t>v</w:t>
      </w:r>
      <w:r>
        <w:rPr>
          <w:w w:val="100"/>
          <w:sz w:val="21"/>
        </w:rPr>
        <w:t>orced</w:t>
      </w:r>
      <w:r>
        <w:rPr>
          <w:sz w:val="21"/>
        </w:rPr>
        <w:t> </w:t>
      </w:r>
      <w:r>
        <w:rPr>
          <w:spacing w:val="19"/>
          <w:sz w:val="21"/>
        </w:rPr>
        <w:t> </w:t>
      </w:r>
      <w:r>
        <w:rPr>
          <w:spacing w:val="1"/>
          <w:w w:val="100"/>
          <w:sz w:val="21"/>
        </w:rPr>
        <w:t>f</w:t>
      </w:r>
      <w:r>
        <w:rPr>
          <w:spacing w:val="-4"/>
          <w:w w:val="100"/>
          <w:sz w:val="21"/>
        </w:rPr>
        <w:t>r</w:t>
      </w:r>
      <w:r>
        <w:rPr>
          <w:w w:val="100"/>
          <w:sz w:val="21"/>
        </w:rPr>
        <w:t>om</w:t>
      </w:r>
      <w:r>
        <w:rPr>
          <w:sz w:val="21"/>
        </w:rPr>
        <w:t> </w:t>
      </w:r>
      <w:r>
        <w:rPr>
          <w:spacing w:val="23"/>
          <w:sz w:val="21"/>
        </w:rPr>
        <w:t> </w:t>
      </w:r>
      <w:r>
        <w:rPr>
          <w:spacing w:val="-2"/>
          <w:w w:val="100"/>
          <w:sz w:val="21"/>
        </w:rPr>
        <w:t>t</w:t>
      </w:r>
      <w:r>
        <w:rPr>
          <w:spacing w:val="-3"/>
          <w:w w:val="100"/>
          <w:sz w:val="21"/>
        </w:rPr>
        <w:t>h</w:t>
      </w:r>
      <w:r>
        <w:rPr>
          <w:w w:val="100"/>
          <w:sz w:val="21"/>
        </w:rPr>
        <w:t>e</w:t>
      </w:r>
      <w:r>
        <w:rPr>
          <w:sz w:val="21"/>
        </w:rPr>
        <w:t> </w:t>
      </w:r>
      <w:r>
        <w:rPr>
          <w:spacing w:val="22"/>
          <w:sz w:val="21"/>
        </w:rPr>
        <w:t> </w:t>
      </w:r>
      <w:r>
        <w:rPr>
          <w:w w:val="100"/>
          <w:sz w:val="21"/>
        </w:rPr>
        <w:t>c</w:t>
      </w:r>
      <w:r>
        <w:rPr>
          <w:spacing w:val="-3"/>
          <w:w w:val="100"/>
          <w:sz w:val="21"/>
        </w:rPr>
        <w:t>o</w:t>
      </w:r>
      <w:r>
        <w:rPr>
          <w:w w:val="100"/>
          <w:sz w:val="21"/>
        </w:rPr>
        <w:t>n</w:t>
      </w:r>
      <w:r>
        <w:rPr>
          <w:spacing w:val="-1"/>
          <w:w w:val="100"/>
          <w:sz w:val="21"/>
        </w:rPr>
        <w:t>t</w:t>
      </w:r>
      <w:r>
        <w:rPr>
          <w:w w:val="100"/>
          <w:sz w:val="21"/>
        </w:rPr>
        <w:t>ext</w:t>
      </w:r>
      <w:r>
        <w:rPr>
          <w:sz w:val="21"/>
        </w:rPr>
        <w:t> </w:t>
      </w:r>
      <w:r>
        <w:rPr>
          <w:spacing w:val="21"/>
          <w:sz w:val="21"/>
        </w:rPr>
        <w:t> </w:t>
      </w:r>
      <w:r>
        <w:rPr>
          <w:spacing w:val="-2"/>
          <w:w w:val="100"/>
          <w:sz w:val="21"/>
        </w:rPr>
        <w:t>t</w:t>
      </w:r>
      <w:r>
        <w:rPr>
          <w:w w:val="100"/>
          <w:sz w:val="21"/>
        </w:rPr>
        <w:t>he</w:t>
      </w:r>
      <w:r>
        <w:rPr>
          <w:spacing w:val="-3"/>
          <w:w w:val="100"/>
          <w:sz w:val="21"/>
        </w:rPr>
        <w:t>s</w:t>
      </w:r>
      <w:r>
        <w:rPr>
          <w:w w:val="100"/>
          <w:sz w:val="21"/>
        </w:rPr>
        <w:t>e</w:t>
      </w:r>
      <w:r>
        <w:rPr>
          <w:sz w:val="21"/>
        </w:rPr>
        <w:t> </w:t>
      </w:r>
      <w:r>
        <w:rPr>
          <w:spacing w:val="20"/>
          <w:sz w:val="21"/>
        </w:rPr>
        <w:t> </w:t>
      </w:r>
      <w:r>
        <w:rPr>
          <w:spacing w:val="-2"/>
          <w:w w:val="100"/>
          <w:sz w:val="21"/>
        </w:rPr>
        <w:t>w</w:t>
      </w:r>
      <w:r>
        <w:rPr>
          <w:w w:val="100"/>
          <w:sz w:val="21"/>
        </w:rPr>
        <w:t>ords</w:t>
      </w:r>
      <w:r>
        <w:rPr>
          <w:sz w:val="21"/>
        </w:rPr>
        <w:t> </w:t>
      </w:r>
      <w:r>
        <w:rPr>
          <w:spacing w:val="21"/>
          <w:sz w:val="21"/>
        </w:rPr>
        <w:t> </w:t>
      </w:r>
      <w:r>
        <w:rPr>
          <w:w w:val="100"/>
          <w:sz w:val="21"/>
        </w:rPr>
        <w:t>are </w:t>
      </w:r>
      <w:r>
        <w:rPr>
          <w:sz w:val="21"/>
        </w:rPr>
        <w:t>capable of being construed as an assertion of absolute ownership, they cannot, in our opinion, in the setting in which they occur and bearing in mind the history of the enjoyment by the appellant and his predecessors of this property, be deemed</w:t>
      </w:r>
      <w:r>
        <w:rPr>
          <w:spacing w:val="34"/>
          <w:sz w:val="21"/>
        </w:rPr>
        <w:t> </w:t>
      </w:r>
      <w:r>
        <w:rPr>
          <w:sz w:val="21"/>
        </w:rPr>
        <w:t>an</w:t>
      </w:r>
      <w:r>
        <w:rPr>
          <w:spacing w:val="34"/>
          <w:sz w:val="21"/>
        </w:rPr>
        <w:t> </w:t>
      </w:r>
      <w:r>
        <w:rPr>
          <w:sz w:val="21"/>
        </w:rPr>
        <w:t>assertion</w:t>
      </w:r>
      <w:r>
        <w:rPr>
          <w:spacing w:val="34"/>
          <w:sz w:val="21"/>
        </w:rPr>
        <w:t> </w:t>
      </w:r>
      <w:r>
        <w:rPr>
          <w:sz w:val="21"/>
        </w:rPr>
        <w:t>unequivocal</w:t>
      </w:r>
      <w:r>
        <w:rPr>
          <w:spacing w:val="35"/>
          <w:sz w:val="21"/>
        </w:rPr>
        <w:t> </w:t>
      </w:r>
      <w:r>
        <w:rPr>
          <w:sz w:val="21"/>
        </w:rPr>
        <w:t>in</w:t>
      </w:r>
      <w:r>
        <w:rPr>
          <w:spacing w:val="34"/>
          <w:sz w:val="21"/>
        </w:rPr>
        <w:t> </w:t>
      </w:r>
      <w:r>
        <w:rPr>
          <w:sz w:val="21"/>
        </w:rPr>
        <w:t>nature</w:t>
      </w:r>
      <w:r>
        <w:rPr>
          <w:spacing w:val="33"/>
          <w:sz w:val="21"/>
        </w:rPr>
        <w:t> </w:t>
      </w:r>
      <w:r>
        <w:rPr>
          <w:sz w:val="21"/>
        </w:rPr>
        <w:t>of</w:t>
      </w:r>
      <w:r>
        <w:rPr>
          <w:spacing w:val="33"/>
          <w:sz w:val="21"/>
        </w:rPr>
        <w:t> </w:t>
      </w:r>
      <w:r>
        <w:rPr>
          <w:sz w:val="21"/>
        </w:rPr>
        <w:t>absolute</w:t>
      </w:r>
    </w:p>
    <w:p>
      <w:pPr>
        <w:pStyle w:val="BodyText"/>
        <w:spacing w:before="7"/>
        <w:rPr>
          <w:sz w:val="17"/>
        </w:rPr>
      </w:pPr>
      <w:r>
        <w:rPr/>
        <w:pict>
          <v:rect style="position:absolute;margin-left:72.024002pt;margin-top:12.091516pt;width:144.020pt;height:.599980pt;mso-position-horizontal-relative:page;mso-position-vertical-relative:paragraph;z-index:-1568256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157</w:t>
      </w:r>
      <w:r>
        <w:rPr>
          <w:sz w:val="18"/>
          <w:vertAlign w:val="baseline"/>
        </w:rPr>
        <w:t> AIR 1965 SC 1923</w:t>
      </w:r>
    </w:p>
    <w:p>
      <w:pPr>
        <w:spacing w:after="0"/>
        <w:jc w:val="left"/>
        <w:rPr>
          <w:sz w:val="18"/>
        </w:rPr>
        <w:sectPr>
          <w:pgSz w:w="11910" w:h="16840"/>
          <w:pgMar w:header="721" w:footer="1014" w:top="1300" w:bottom="1200" w:left="940" w:right="1000"/>
        </w:sectPr>
      </w:pPr>
    </w:p>
    <w:p>
      <w:pPr>
        <w:spacing w:line="276" w:lineRule="auto" w:before="122"/>
        <w:ind w:left="1940" w:right="2260" w:firstLine="0"/>
        <w:jc w:val="both"/>
        <w:rPr>
          <w:sz w:val="21"/>
        </w:rPr>
      </w:pPr>
      <w:r>
        <w:rPr>
          <w:sz w:val="21"/>
        </w:rPr>
        <w:t>ownership sufficient to entail a forfeiture of a permanent tenancy of this nature. In this connection it might be noticed that this enjoyment is stated to be with the consent of the Government. If the assertion were understood to be as an absolute owner in derogation of the rights of the Government as landlord, the reference to the consent of Government to such an enjoyment would be wholly inappropriate. Consent would have relevance only if the Government had interest in the property and we, therefore, understand the passage to mean that the permanent, transferable and heritable, particularly the right to transfer which was being denied by the municipality, was stated to have been enjoyed with the consent of the Government. That is an additional reason for our holding that at the worst the assertion was not unequivocal as to entail a forfeiture of the</w:t>
      </w:r>
      <w:r>
        <w:rPr>
          <w:spacing w:val="-21"/>
          <w:sz w:val="21"/>
        </w:rPr>
        <w:t> </w:t>
      </w:r>
      <w:r>
        <w:rPr>
          <w:sz w:val="21"/>
        </w:rPr>
        <w:t>tenancy.‖</w:t>
      </w:r>
    </w:p>
    <w:p>
      <w:pPr>
        <w:pStyle w:val="BodyText"/>
        <w:rPr>
          <w:sz w:val="24"/>
        </w:rPr>
      </w:pPr>
    </w:p>
    <w:p>
      <w:pPr>
        <w:pStyle w:val="BodyText"/>
        <w:rPr>
          <w:sz w:val="24"/>
        </w:rPr>
      </w:pPr>
    </w:p>
    <w:p>
      <w:pPr>
        <w:pStyle w:val="ListParagraph"/>
        <w:numPr>
          <w:ilvl w:val="0"/>
          <w:numId w:val="3"/>
        </w:numPr>
        <w:tabs>
          <w:tab w:pos="1221" w:val="left" w:leader="none"/>
        </w:tabs>
        <w:spacing w:line="480" w:lineRule="auto" w:before="166" w:after="0"/>
        <w:ind w:left="500" w:right="435" w:firstLine="0"/>
        <w:jc w:val="both"/>
        <w:rPr>
          <w:sz w:val="25"/>
        </w:rPr>
      </w:pPr>
      <w:r>
        <w:rPr>
          <w:sz w:val="25"/>
        </w:rPr>
        <w:t>In </w:t>
      </w:r>
      <w:r>
        <w:rPr>
          <w:b/>
          <w:sz w:val="25"/>
        </w:rPr>
        <w:t>Late Nawab Sir Mir Osman </w:t>
      </w:r>
      <w:r>
        <w:rPr>
          <w:b/>
          <w:spacing w:val="-3"/>
          <w:sz w:val="25"/>
        </w:rPr>
        <w:t>Ali </w:t>
      </w:r>
      <w:r>
        <w:rPr>
          <w:b/>
          <w:sz w:val="25"/>
        </w:rPr>
        <w:t>Khan </w:t>
      </w:r>
      <w:r>
        <w:rPr>
          <w:sz w:val="25"/>
        </w:rPr>
        <w:t>v </w:t>
      </w:r>
      <w:r>
        <w:rPr>
          <w:b/>
          <w:sz w:val="25"/>
        </w:rPr>
        <w:t>Commissioner of Wealth </w:t>
      </w:r>
      <w:r>
        <w:rPr>
          <w:b/>
          <w:spacing w:val="-2"/>
          <w:w w:val="99"/>
          <w:sz w:val="25"/>
        </w:rPr>
        <w:t>T</w:t>
      </w:r>
      <w:r>
        <w:rPr>
          <w:b/>
          <w:w w:val="99"/>
          <w:sz w:val="25"/>
        </w:rPr>
        <w:t>a</w:t>
      </w:r>
      <w:r>
        <w:rPr>
          <w:b/>
          <w:spacing w:val="3"/>
          <w:w w:val="99"/>
          <w:sz w:val="25"/>
        </w:rPr>
        <w:t>x</w:t>
      </w:r>
      <w:r>
        <w:rPr>
          <w:spacing w:val="-1"/>
          <w:w w:val="101"/>
          <w:sz w:val="25"/>
          <w:vertAlign w:val="superscript"/>
        </w:rPr>
        <w:t>158</w:t>
      </w:r>
      <w:r>
        <w:rPr>
          <w:w w:val="99"/>
          <w:sz w:val="25"/>
          <w:vertAlign w:val="baseline"/>
        </w:rPr>
        <w:t>,</w:t>
      </w:r>
      <w:r>
        <w:rPr>
          <w:spacing w:val="29"/>
          <w:sz w:val="25"/>
          <w:vertAlign w:val="baseline"/>
        </w:rPr>
        <w:t> </w:t>
      </w:r>
      <w:r>
        <w:rPr>
          <w:w w:val="99"/>
          <w:sz w:val="25"/>
          <w:vertAlign w:val="baseline"/>
        </w:rPr>
        <w:t>a</w:t>
      </w:r>
      <w:r>
        <w:rPr>
          <w:spacing w:val="29"/>
          <w:sz w:val="25"/>
          <w:vertAlign w:val="baseline"/>
        </w:rPr>
        <w:t> </w:t>
      </w:r>
      <w:r>
        <w:rPr>
          <w:w w:val="99"/>
          <w:sz w:val="25"/>
          <w:vertAlign w:val="baseline"/>
        </w:rPr>
        <w:t>two</w:t>
      </w:r>
      <w:r>
        <w:rPr>
          <w:spacing w:val="27"/>
          <w:sz w:val="25"/>
          <w:vertAlign w:val="baseline"/>
        </w:rPr>
        <w:t> </w:t>
      </w:r>
      <w:r>
        <w:rPr>
          <w:spacing w:val="-1"/>
          <w:w w:val="99"/>
          <w:sz w:val="25"/>
          <w:vertAlign w:val="baseline"/>
        </w:rPr>
        <w:t>jud</w:t>
      </w:r>
      <w:r>
        <w:rPr>
          <w:w w:val="99"/>
          <w:sz w:val="25"/>
          <w:vertAlign w:val="baseline"/>
        </w:rPr>
        <w:t>ge</w:t>
      </w:r>
      <w:r>
        <w:rPr>
          <w:spacing w:val="29"/>
          <w:sz w:val="25"/>
          <w:vertAlign w:val="baseline"/>
        </w:rPr>
        <w:t> </w:t>
      </w:r>
      <w:r>
        <w:rPr>
          <w:spacing w:val="-1"/>
          <w:w w:val="99"/>
          <w:sz w:val="25"/>
          <w:vertAlign w:val="baseline"/>
        </w:rPr>
        <w:t>B</w:t>
      </w:r>
      <w:r>
        <w:rPr>
          <w:spacing w:val="-3"/>
          <w:w w:val="99"/>
          <w:sz w:val="25"/>
          <w:vertAlign w:val="baseline"/>
        </w:rPr>
        <w:t>e</w:t>
      </w:r>
      <w:r>
        <w:rPr>
          <w:spacing w:val="-1"/>
          <w:w w:val="99"/>
          <w:sz w:val="25"/>
          <w:vertAlign w:val="baseline"/>
        </w:rPr>
        <w:t>nc</w:t>
      </w:r>
      <w:r>
        <w:rPr>
          <w:w w:val="99"/>
          <w:sz w:val="25"/>
          <w:vertAlign w:val="baseline"/>
        </w:rPr>
        <w:t>h</w:t>
      </w:r>
      <w:r>
        <w:rPr>
          <w:spacing w:val="29"/>
          <w:sz w:val="25"/>
          <w:vertAlign w:val="baseline"/>
        </w:rPr>
        <w:t> </w:t>
      </w:r>
      <w:r>
        <w:rPr>
          <w:spacing w:val="-1"/>
          <w:w w:val="99"/>
          <w:sz w:val="25"/>
          <w:vertAlign w:val="baseline"/>
        </w:rPr>
        <w:t>o</w:t>
      </w:r>
      <w:r>
        <w:rPr>
          <w:w w:val="99"/>
          <w:sz w:val="25"/>
          <w:vertAlign w:val="baseline"/>
        </w:rPr>
        <w:t>f</w:t>
      </w:r>
      <w:r>
        <w:rPr>
          <w:spacing w:val="29"/>
          <w:sz w:val="25"/>
          <w:vertAlign w:val="baseline"/>
        </w:rPr>
        <w:t> </w:t>
      </w:r>
      <w:r>
        <w:rPr>
          <w:w w:val="99"/>
          <w:sz w:val="25"/>
          <w:vertAlign w:val="baseline"/>
        </w:rPr>
        <w:t>this</w:t>
      </w:r>
      <w:r>
        <w:rPr>
          <w:spacing w:val="29"/>
          <w:sz w:val="25"/>
          <w:vertAlign w:val="baseline"/>
        </w:rPr>
        <w:t> </w:t>
      </w:r>
      <w:r>
        <w:rPr>
          <w:spacing w:val="-1"/>
          <w:w w:val="99"/>
          <w:sz w:val="25"/>
          <w:vertAlign w:val="baseline"/>
        </w:rPr>
        <w:t>Cou</w:t>
      </w:r>
      <w:r>
        <w:rPr>
          <w:spacing w:val="1"/>
          <w:w w:val="99"/>
          <w:sz w:val="25"/>
          <w:vertAlign w:val="baseline"/>
        </w:rPr>
        <w:t>r</w:t>
      </w:r>
      <w:r>
        <w:rPr>
          <w:w w:val="99"/>
          <w:sz w:val="25"/>
          <w:vertAlign w:val="baseline"/>
        </w:rPr>
        <w:t>t</w:t>
      </w:r>
      <w:r>
        <w:rPr>
          <w:spacing w:val="26"/>
          <w:sz w:val="25"/>
          <w:vertAlign w:val="baseline"/>
        </w:rPr>
        <w:t> </w:t>
      </w:r>
      <w:r>
        <w:rPr>
          <w:w w:val="99"/>
          <w:sz w:val="25"/>
          <w:vertAlign w:val="baseline"/>
        </w:rPr>
        <w:t>co</w:t>
      </w:r>
      <w:r>
        <w:rPr>
          <w:spacing w:val="-2"/>
          <w:w w:val="99"/>
          <w:sz w:val="25"/>
          <w:vertAlign w:val="baseline"/>
        </w:rPr>
        <w:t>n</w:t>
      </w:r>
      <w:r>
        <w:rPr>
          <w:w w:val="99"/>
          <w:sz w:val="25"/>
          <w:vertAlign w:val="baseline"/>
        </w:rPr>
        <w:t>str</w:t>
      </w:r>
      <w:r>
        <w:rPr>
          <w:spacing w:val="-1"/>
          <w:w w:val="99"/>
          <w:sz w:val="25"/>
          <w:vertAlign w:val="baseline"/>
        </w:rPr>
        <w:t>u</w:t>
      </w:r>
      <w:r>
        <w:rPr>
          <w:w w:val="99"/>
          <w:sz w:val="25"/>
          <w:vertAlign w:val="baseline"/>
        </w:rPr>
        <w:t>ed</w:t>
      </w:r>
      <w:r>
        <w:rPr>
          <w:spacing w:val="29"/>
          <w:sz w:val="25"/>
          <w:vertAlign w:val="baseline"/>
        </w:rPr>
        <w:t> </w:t>
      </w:r>
      <w:r>
        <w:rPr>
          <w:w w:val="99"/>
          <w:sz w:val="25"/>
          <w:vertAlign w:val="baseline"/>
        </w:rPr>
        <w:t>the</w:t>
      </w:r>
      <w:r>
        <w:rPr>
          <w:spacing w:val="29"/>
          <w:sz w:val="25"/>
          <w:vertAlign w:val="baseline"/>
        </w:rPr>
        <w:t> </w:t>
      </w:r>
      <w:r>
        <w:rPr>
          <w:spacing w:val="-1"/>
          <w:w w:val="99"/>
          <w:sz w:val="25"/>
          <w:vertAlign w:val="baseline"/>
        </w:rPr>
        <w:t>e</w:t>
      </w:r>
      <w:r>
        <w:rPr>
          <w:spacing w:val="-3"/>
          <w:w w:val="99"/>
          <w:sz w:val="25"/>
          <w:vertAlign w:val="baseline"/>
        </w:rPr>
        <w:t>x</w:t>
      </w:r>
      <w:r>
        <w:rPr>
          <w:spacing w:val="-1"/>
          <w:w w:val="99"/>
          <w:sz w:val="25"/>
          <w:vertAlign w:val="baseline"/>
        </w:rPr>
        <w:t>p</w:t>
      </w:r>
      <w:r>
        <w:rPr>
          <w:w w:val="99"/>
          <w:sz w:val="25"/>
          <w:vertAlign w:val="baseline"/>
        </w:rPr>
        <w:t>r</w:t>
      </w:r>
      <w:r>
        <w:rPr>
          <w:spacing w:val="-1"/>
          <w:w w:val="99"/>
          <w:sz w:val="25"/>
          <w:vertAlign w:val="baseline"/>
        </w:rPr>
        <w:t>essio</w:t>
      </w:r>
      <w:r>
        <w:rPr>
          <w:w w:val="99"/>
          <w:sz w:val="25"/>
          <w:vertAlign w:val="baseline"/>
        </w:rPr>
        <w:t>n</w:t>
      </w:r>
      <w:r>
        <w:rPr>
          <w:spacing w:val="27"/>
          <w:sz w:val="25"/>
          <w:vertAlign w:val="baseline"/>
        </w:rPr>
        <w:t> </w:t>
      </w:r>
      <w:r>
        <w:rPr>
          <w:w w:val="33"/>
          <w:sz w:val="25"/>
          <w:vertAlign w:val="baseline"/>
        </w:rPr>
        <w:t>―</w:t>
      </w:r>
      <w:r>
        <w:rPr>
          <w:spacing w:val="-1"/>
          <w:w w:val="99"/>
          <w:sz w:val="25"/>
          <w:vertAlign w:val="baseline"/>
        </w:rPr>
        <w:t>b</w:t>
      </w:r>
      <w:r>
        <w:rPr>
          <w:w w:val="99"/>
          <w:sz w:val="25"/>
          <w:vertAlign w:val="baseline"/>
        </w:rPr>
        <w:t>e</w:t>
      </w:r>
      <w:r>
        <w:rPr>
          <w:spacing w:val="-1"/>
          <w:w w:val="99"/>
          <w:sz w:val="25"/>
          <w:vertAlign w:val="baseline"/>
        </w:rPr>
        <w:t>lon</w:t>
      </w:r>
      <w:r>
        <w:rPr>
          <w:w w:val="99"/>
          <w:sz w:val="25"/>
          <w:vertAlign w:val="baseline"/>
        </w:rPr>
        <w:t>g</w:t>
      </w:r>
      <w:r>
        <w:rPr>
          <w:spacing w:val="-1"/>
          <w:w w:val="99"/>
          <w:sz w:val="25"/>
          <w:vertAlign w:val="baseline"/>
        </w:rPr>
        <w:t>in</w:t>
      </w:r>
      <w:r>
        <w:rPr>
          <w:w w:val="99"/>
          <w:sz w:val="25"/>
          <w:vertAlign w:val="baseline"/>
        </w:rPr>
        <w:t>g</w:t>
      </w:r>
      <w:r>
        <w:rPr>
          <w:spacing w:val="29"/>
          <w:sz w:val="25"/>
          <w:vertAlign w:val="baseline"/>
        </w:rPr>
        <w:t> </w:t>
      </w:r>
      <w:r>
        <w:rPr>
          <w:w w:val="99"/>
          <w:sz w:val="25"/>
          <w:vertAlign w:val="baseline"/>
        </w:rPr>
        <w:t>to </w:t>
      </w:r>
      <w:r>
        <w:rPr>
          <w:sz w:val="25"/>
          <w:vertAlign w:val="baseline"/>
        </w:rPr>
        <w:t>the assessee on the valuation date‖ in Section 2(m) of the Wealth Tax Act 1957. In the context of the statutory provision which was being interpreted, this Court held that mere possession without a legal right would not bring the property within </w:t>
      </w:r>
      <w:r>
        <w:rPr>
          <w:w w:val="99"/>
          <w:sz w:val="25"/>
          <w:vertAlign w:val="baseline"/>
        </w:rPr>
        <w:t>the</w:t>
      </w:r>
      <w:r>
        <w:rPr>
          <w:sz w:val="25"/>
          <w:vertAlign w:val="baseline"/>
        </w:rPr>
        <w:t> </w:t>
      </w:r>
      <w:r>
        <w:rPr>
          <w:spacing w:val="-29"/>
          <w:sz w:val="25"/>
          <w:vertAlign w:val="baseline"/>
        </w:rPr>
        <w:t> </w:t>
      </w:r>
      <w:r>
        <w:rPr>
          <w:w w:val="99"/>
          <w:sz w:val="25"/>
          <w:vertAlign w:val="baseline"/>
        </w:rPr>
        <w:t>m</w:t>
      </w:r>
      <w:r>
        <w:rPr>
          <w:spacing w:val="-1"/>
          <w:w w:val="99"/>
          <w:sz w:val="25"/>
          <w:vertAlign w:val="baseline"/>
        </w:rPr>
        <w:t>e</w:t>
      </w:r>
      <w:r>
        <w:rPr>
          <w:w w:val="99"/>
          <w:sz w:val="25"/>
          <w:vertAlign w:val="baseline"/>
        </w:rPr>
        <w:t>a</w:t>
      </w:r>
      <w:r>
        <w:rPr>
          <w:spacing w:val="-1"/>
          <w:w w:val="99"/>
          <w:sz w:val="25"/>
          <w:vertAlign w:val="baseline"/>
        </w:rPr>
        <w:t>nin</w:t>
      </w:r>
      <w:r>
        <w:rPr>
          <w:w w:val="99"/>
          <w:sz w:val="25"/>
          <w:vertAlign w:val="baseline"/>
        </w:rPr>
        <w:t>g</w:t>
      </w:r>
      <w:r>
        <w:rPr>
          <w:sz w:val="25"/>
          <w:vertAlign w:val="baseline"/>
        </w:rPr>
        <w:t> </w:t>
      </w:r>
      <w:r>
        <w:rPr>
          <w:spacing w:val="-29"/>
          <w:sz w:val="25"/>
          <w:vertAlign w:val="baseline"/>
        </w:rPr>
        <w:t> </w:t>
      </w:r>
      <w:r>
        <w:rPr>
          <w:spacing w:val="-1"/>
          <w:w w:val="99"/>
          <w:sz w:val="25"/>
          <w:vertAlign w:val="baseline"/>
        </w:rPr>
        <w:t>o</w:t>
      </w:r>
      <w:r>
        <w:rPr>
          <w:w w:val="99"/>
          <w:sz w:val="25"/>
          <w:vertAlign w:val="baseline"/>
        </w:rPr>
        <w:t>f</w:t>
      </w:r>
      <w:r>
        <w:rPr>
          <w:sz w:val="25"/>
          <w:vertAlign w:val="baseline"/>
        </w:rPr>
        <w:t> </w:t>
      </w:r>
      <w:r>
        <w:rPr>
          <w:spacing w:val="-31"/>
          <w:sz w:val="25"/>
          <w:vertAlign w:val="baseline"/>
        </w:rPr>
        <w:t> </w:t>
      </w:r>
      <w:r>
        <w:rPr>
          <w:w w:val="99"/>
          <w:sz w:val="25"/>
          <w:vertAlign w:val="baseline"/>
        </w:rPr>
        <w:t>the</w:t>
      </w:r>
      <w:r>
        <w:rPr>
          <w:sz w:val="25"/>
          <w:vertAlign w:val="baseline"/>
        </w:rPr>
        <w:t> </w:t>
      </w:r>
      <w:r>
        <w:rPr>
          <w:spacing w:val="-29"/>
          <w:sz w:val="25"/>
          <w:vertAlign w:val="baseline"/>
        </w:rPr>
        <w:t> </w:t>
      </w:r>
      <w:r>
        <w:rPr>
          <w:spacing w:val="-3"/>
          <w:w w:val="99"/>
          <w:sz w:val="25"/>
          <w:vertAlign w:val="baseline"/>
        </w:rPr>
        <w:t>ex</w:t>
      </w:r>
      <w:r>
        <w:rPr>
          <w:spacing w:val="-1"/>
          <w:w w:val="99"/>
          <w:sz w:val="25"/>
          <w:vertAlign w:val="baseline"/>
        </w:rPr>
        <w:t>p</w:t>
      </w:r>
      <w:r>
        <w:rPr>
          <w:w w:val="99"/>
          <w:sz w:val="25"/>
          <w:vertAlign w:val="baseline"/>
        </w:rPr>
        <w:t>r</w:t>
      </w:r>
      <w:r>
        <w:rPr>
          <w:spacing w:val="-1"/>
          <w:w w:val="99"/>
          <w:sz w:val="25"/>
          <w:vertAlign w:val="baseline"/>
        </w:rPr>
        <w:t>essio</w:t>
      </w:r>
      <w:r>
        <w:rPr>
          <w:w w:val="99"/>
          <w:sz w:val="25"/>
          <w:vertAlign w:val="baseline"/>
        </w:rPr>
        <w:t>n</w:t>
      </w:r>
      <w:r>
        <w:rPr>
          <w:sz w:val="25"/>
          <w:vertAlign w:val="baseline"/>
        </w:rPr>
        <w:t> </w:t>
      </w:r>
      <w:r>
        <w:rPr>
          <w:spacing w:val="-29"/>
          <w:sz w:val="25"/>
          <w:vertAlign w:val="baseline"/>
        </w:rPr>
        <w:t> </w:t>
      </w:r>
      <w:r>
        <w:rPr>
          <w:w w:val="33"/>
          <w:sz w:val="25"/>
          <w:vertAlign w:val="baseline"/>
        </w:rPr>
        <w:t>―</w:t>
      </w:r>
      <w:r>
        <w:rPr>
          <w:spacing w:val="-1"/>
          <w:w w:val="99"/>
          <w:sz w:val="25"/>
          <w:vertAlign w:val="baseline"/>
        </w:rPr>
        <w:t>n</w:t>
      </w:r>
      <w:r>
        <w:rPr>
          <w:w w:val="99"/>
          <w:sz w:val="25"/>
          <w:vertAlign w:val="baseline"/>
        </w:rPr>
        <w:t>e</w:t>
      </w:r>
      <w:r>
        <w:rPr>
          <w:spacing w:val="4"/>
          <w:w w:val="99"/>
          <w:sz w:val="25"/>
          <w:vertAlign w:val="baseline"/>
        </w:rPr>
        <w:t>t</w:t>
      </w:r>
      <w:r>
        <w:rPr>
          <w:w w:val="99"/>
          <w:sz w:val="25"/>
          <w:vertAlign w:val="baseline"/>
        </w:rPr>
        <w:t>-</w:t>
      </w:r>
      <w:r>
        <w:rPr>
          <w:spacing w:val="-1"/>
          <w:w w:val="99"/>
          <w:sz w:val="25"/>
          <w:vertAlign w:val="baseline"/>
        </w:rPr>
        <w:t>wealt</w:t>
      </w:r>
      <w:r>
        <w:rPr>
          <w:w w:val="99"/>
          <w:sz w:val="25"/>
          <w:vertAlign w:val="baseline"/>
        </w:rPr>
        <w:t>h</w:t>
      </w:r>
      <w:r>
        <w:rPr>
          <w:w w:val="80"/>
          <w:sz w:val="25"/>
          <w:vertAlign w:val="baseline"/>
        </w:rPr>
        <w:t>‖</w:t>
      </w:r>
      <w:r>
        <w:rPr>
          <w:sz w:val="25"/>
          <w:vertAlign w:val="baseline"/>
        </w:rPr>
        <w:t> </w:t>
      </w:r>
      <w:r>
        <w:rPr>
          <w:spacing w:val="-29"/>
          <w:sz w:val="25"/>
          <w:vertAlign w:val="baseline"/>
        </w:rPr>
        <w:t> </w:t>
      </w:r>
      <w:r>
        <w:rPr>
          <w:w w:val="99"/>
          <w:sz w:val="25"/>
          <w:vertAlign w:val="baseline"/>
        </w:rPr>
        <w:t>for</w:t>
      </w:r>
      <w:r>
        <w:rPr>
          <w:sz w:val="25"/>
          <w:vertAlign w:val="baseline"/>
        </w:rPr>
        <w:t> </w:t>
      </w:r>
      <w:r>
        <w:rPr>
          <w:spacing w:val="-28"/>
          <w:sz w:val="25"/>
          <w:vertAlign w:val="baseline"/>
        </w:rPr>
        <w:t> </w:t>
      </w:r>
      <w:r>
        <w:rPr>
          <w:spacing w:val="-1"/>
          <w:w w:val="99"/>
          <w:sz w:val="25"/>
          <w:vertAlign w:val="baseline"/>
        </w:rPr>
        <w:t>i</w:t>
      </w:r>
      <w:r>
        <w:rPr>
          <w:w w:val="99"/>
          <w:sz w:val="25"/>
          <w:vertAlign w:val="baseline"/>
        </w:rPr>
        <w:t>t</w:t>
      </w:r>
      <w:r>
        <w:rPr>
          <w:sz w:val="25"/>
          <w:vertAlign w:val="baseline"/>
        </w:rPr>
        <w:t> </w:t>
      </w:r>
      <w:r>
        <w:rPr>
          <w:spacing w:val="-32"/>
          <w:sz w:val="25"/>
          <w:vertAlign w:val="baseline"/>
        </w:rPr>
        <w:t> </w:t>
      </w:r>
      <w:r>
        <w:rPr>
          <w:spacing w:val="-1"/>
          <w:w w:val="99"/>
          <w:sz w:val="25"/>
          <w:vertAlign w:val="baseline"/>
        </w:rPr>
        <w:t>woul</w:t>
      </w:r>
      <w:r>
        <w:rPr>
          <w:w w:val="99"/>
          <w:sz w:val="25"/>
          <w:vertAlign w:val="baseline"/>
        </w:rPr>
        <w:t>d</w:t>
      </w:r>
      <w:r>
        <w:rPr>
          <w:sz w:val="25"/>
          <w:vertAlign w:val="baseline"/>
        </w:rPr>
        <w:t> </w:t>
      </w:r>
      <w:r>
        <w:rPr>
          <w:spacing w:val="-29"/>
          <w:sz w:val="25"/>
          <w:vertAlign w:val="baseline"/>
        </w:rPr>
        <w:t> </w:t>
      </w:r>
      <w:r>
        <w:rPr>
          <w:spacing w:val="-1"/>
          <w:w w:val="99"/>
          <w:sz w:val="25"/>
          <w:vertAlign w:val="baseline"/>
        </w:rPr>
        <w:t>n</w:t>
      </w:r>
      <w:r>
        <w:rPr>
          <w:w w:val="99"/>
          <w:sz w:val="25"/>
          <w:vertAlign w:val="baseline"/>
        </w:rPr>
        <w:t>ot</w:t>
      </w:r>
      <w:r>
        <w:rPr>
          <w:sz w:val="25"/>
          <w:vertAlign w:val="baseline"/>
        </w:rPr>
        <w:t> </w:t>
      </w:r>
      <w:r>
        <w:rPr>
          <w:spacing w:val="-29"/>
          <w:sz w:val="25"/>
          <w:vertAlign w:val="baseline"/>
        </w:rPr>
        <w:t> </w:t>
      </w:r>
      <w:r>
        <w:rPr>
          <w:spacing w:val="-3"/>
          <w:w w:val="99"/>
          <w:sz w:val="25"/>
          <w:vertAlign w:val="baseline"/>
        </w:rPr>
        <w:t>b</w:t>
      </w:r>
      <w:r>
        <w:rPr>
          <w:w w:val="99"/>
          <w:sz w:val="25"/>
          <w:vertAlign w:val="baseline"/>
        </w:rPr>
        <w:t>e</w:t>
      </w:r>
      <w:r>
        <w:rPr>
          <w:sz w:val="25"/>
          <w:vertAlign w:val="baseline"/>
        </w:rPr>
        <w:t> </w:t>
      </w:r>
      <w:r>
        <w:rPr>
          <w:spacing w:val="-31"/>
          <w:sz w:val="25"/>
          <w:vertAlign w:val="baseline"/>
        </w:rPr>
        <w:t> </w:t>
      </w:r>
      <w:r>
        <w:rPr>
          <w:spacing w:val="-1"/>
          <w:w w:val="99"/>
          <w:sz w:val="25"/>
          <w:vertAlign w:val="baseline"/>
        </w:rPr>
        <w:t>a</w:t>
      </w:r>
      <w:r>
        <w:rPr>
          <w:w w:val="99"/>
          <w:sz w:val="25"/>
          <w:vertAlign w:val="baseline"/>
        </w:rPr>
        <w:t>n</w:t>
      </w:r>
      <w:r>
        <w:rPr>
          <w:sz w:val="25"/>
          <w:vertAlign w:val="baseline"/>
        </w:rPr>
        <w:t> </w:t>
      </w:r>
      <w:r>
        <w:rPr>
          <w:spacing w:val="-29"/>
          <w:sz w:val="25"/>
          <w:vertAlign w:val="baseline"/>
        </w:rPr>
        <w:t> </w:t>
      </w:r>
      <w:r>
        <w:rPr>
          <w:spacing w:val="-1"/>
          <w:w w:val="99"/>
          <w:sz w:val="25"/>
          <w:vertAlign w:val="baseline"/>
        </w:rPr>
        <w:t>ass</w:t>
      </w:r>
      <w:r>
        <w:rPr>
          <w:w w:val="99"/>
          <w:sz w:val="25"/>
          <w:vertAlign w:val="baseline"/>
        </w:rPr>
        <w:t>et</w:t>
      </w:r>
      <w:r>
        <w:rPr>
          <w:sz w:val="25"/>
          <w:vertAlign w:val="baseline"/>
        </w:rPr>
        <w:t> </w:t>
      </w:r>
      <w:r>
        <w:rPr>
          <w:spacing w:val="-29"/>
          <w:sz w:val="25"/>
          <w:vertAlign w:val="baseline"/>
        </w:rPr>
        <w:t> </w:t>
      </w:r>
      <w:r>
        <w:rPr>
          <w:spacing w:val="-1"/>
          <w:w w:val="99"/>
          <w:sz w:val="25"/>
          <w:vertAlign w:val="baseline"/>
        </w:rPr>
        <w:t>which </w:t>
      </w:r>
      <w:r>
        <w:rPr>
          <w:sz w:val="25"/>
          <w:vertAlign w:val="baseline"/>
        </w:rPr>
        <w:t>belongs to the assessee. The Court adverted to the decision in </w:t>
      </w:r>
      <w:r>
        <w:rPr>
          <w:b/>
          <w:sz w:val="25"/>
          <w:vertAlign w:val="baseline"/>
        </w:rPr>
        <w:t>Raja Mohammad </w:t>
      </w:r>
      <w:r>
        <w:rPr>
          <w:spacing w:val="-1"/>
          <w:w w:val="99"/>
          <w:sz w:val="25"/>
          <w:vertAlign w:val="baseline"/>
        </w:rPr>
        <w:t>n</w:t>
      </w:r>
      <w:r>
        <w:rPr>
          <w:w w:val="99"/>
          <w:sz w:val="25"/>
          <w:vertAlign w:val="baseline"/>
        </w:rPr>
        <w:t>oting</w:t>
      </w:r>
      <w:r>
        <w:rPr>
          <w:spacing w:val="5"/>
          <w:sz w:val="25"/>
          <w:vertAlign w:val="baseline"/>
        </w:rPr>
        <w:t> </w:t>
      </w:r>
      <w:r>
        <w:rPr>
          <w:w w:val="99"/>
          <w:sz w:val="25"/>
          <w:vertAlign w:val="baseline"/>
        </w:rPr>
        <w:t>that</w:t>
      </w:r>
      <w:r>
        <w:rPr>
          <w:spacing w:val="5"/>
          <w:sz w:val="25"/>
          <w:vertAlign w:val="baseline"/>
        </w:rPr>
        <w:t> </w:t>
      </w:r>
      <w:r>
        <w:rPr>
          <w:w w:val="99"/>
          <w:sz w:val="25"/>
          <w:vertAlign w:val="baseline"/>
        </w:rPr>
        <w:t>tho</w:t>
      </w:r>
      <w:r>
        <w:rPr>
          <w:spacing w:val="-3"/>
          <w:w w:val="99"/>
          <w:sz w:val="25"/>
          <w:vertAlign w:val="baseline"/>
        </w:rPr>
        <w:t>u</w:t>
      </w:r>
      <w:r>
        <w:rPr>
          <w:spacing w:val="-1"/>
          <w:w w:val="99"/>
          <w:sz w:val="25"/>
          <w:vertAlign w:val="baseline"/>
        </w:rPr>
        <w:t>g</w:t>
      </w:r>
      <w:r>
        <w:rPr>
          <w:w w:val="99"/>
          <w:sz w:val="25"/>
          <w:vertAlign w:val="baseline"/>
        </w:rPr>
        <w:t>h</w:t>
      </w:r>
      <w:r>
        <w:rPr>
          <w:spacing w:val="5"/>
          <w:sz w:val="25"/>
          <w:vertAlign w:val="baseline"/>
        </w:rPr>
        <w:t> </w:t>
      </w:r>
      <w:r>
        <w:rPr>
          <w:w w:val="99"/>
          <w:sz w:val="25"/>
          <w:vertAlign w:val="baseline"/>
        </w:rPr>
        <w:t>the</w:t>
      </w:r>
      <w:r>
        <w:rPr>
          <w:spacing w:val="3"/>
          <w:sz w:val="25"/>
          <w:vertAlign w:val="baseline"/>
        </w:rPr>
        <w:t> </w:t>
      </w:r>
      <w:r>
        <w:rPr>
          <w:spacing w:val="-1"/>
          <w:w w:val="99"/>
          <w:sz w:val="25"/>
          <w:vertAlign w:val="baseline"/>
        </w:rPr>
        <w:t>p</w:t>
      </w:r>
      <w:r>
        <w:rPr>
          <w:w w:val="99"/>
          <w:sz w:val="25"/>
          <w:vertAlign w:val="baseline"/>
        </w:rPr>
        <w:t>hr</w:t>
      </w:r>
      <w:r>
        <w:rPr>
          <w:spacing w:val="-1"/>
          <w:w w:val="99"/>
          <w:sz w:val="25"/>
          <w:vertAlign w:val="baseline"/>
        </w:rPr>
        <w:t>as</w:t>
      </w:r>
      <w:r>
        <w:rPr>
          <w:w w:val="99"/>
          <w:sz w:val="25"/>
          <w:vertAlign w:val="baseline"/>
        </w:rPr>
        <w:t>e</w:t>
      </w:r>
      <w:r>
        <w:rPr>
          <w:spacing w:val="2"/>
          <w:sz w:val="25"/>
          <w:vertAlign w:val="baseline"/>
        </w:rPr>
        <w:t> </w:t>
      </w:r>
      <w:r>
        <w:rPr>
          <w:w w:val="33"/>
          <w:sz w:val="25"/>
          <w:vertAlign w:val="baseline"/>
        </w:rPr>
        <w:t>―</w:t>
      </w:r>
      <w:r>
        <w:rPr>
          <w:spacing w:val="-1"/>
          <w:w w:val="99"/>
          <w:sz w:val="25"/>
          <w:vertAlign w:val="baseline"/>
        </w:rPr>
        <w:t>b</w:t>
      </w:r>
      <w:r>
        <w:rPr>
          <w:w w:val="99"/>
          <w:sz w:val="25"/>
          <w:vertAlign w:val="baseline"/>
        </w:rPr>
        <w:t>e</w:t>
      </w:r>
      <w:r>
        <w:rPr>
          <w:spacing w:val="-1"/>
          <w:w w:val="99"/>
          <w:sz w:val="25"/>
          <w:vertAlign w:val="baseline"/>
        </w:rPr>
        <w:t>lon</w:t>
      </w:r>
      <w:r>
        <w:rPr>
          <w:w w:val="99"/>
          <w:sz w:val="25"/>
          <w:vertAlign w:val="baseline"/>
        </w:rPr>
        <w:t>g</w:t>
      </w:r>
      <w:r>
        <w:rPr>
          <w:spacing w:val="-1"/>
          <w:w w:val="99"/>
          <w:sz w:val="25"/>
          <w:vertAlign w:val="baseline"/>
        </w:rPr>
        <w:t>in</w:t>
      </w:r>
      <w:r>
        <w:rPr>
          <w:w w:val="99"/>
          <w:sz w:val="25"/>
          <w:vertAlign w:val="baseline"/>
        </w:rPr>
        <w:t>g</w:t>
      </w:r>
      <w:r>
        <w:rPr>
          <w:spacing w:val="5"/>
          <w:sz w:val="25"/>
          <w:vertAlign w:val="baseline"/>
        </w:rPr>
        <w:t> </w:t>
      </w:r>
      <w:r>
        <w:rPr>
          <w:w w:val="99"/>
          <w:sz w:val="25"/>
          <w:vertAlign w:val="baseline"/>
        </w:rPr>
        <w:t>t</w:t>
      </w:r>
      <w:r>
        <w:rPr>
          <w:spacing w:val="-2"/>
          <w:w w:val="99"/>
          <w:sz w:val="25"/>
          <w:vertAlign w:val="baseline"/>
        </w:rPr>
        <w:t>o</w:t>
      </w:r>
      <w:r>
        <w:rPr>
          <w:w w:val="80"/>
          <w:sz w:val="25"/>
          <w:vertAlign w:val="baseline"/>
        </w:rPr>
        <w:t>‖</w:t>
      </w:r>
      <w:r>
        <w:rPr>
          <w:spacing w:val="8"/>
          <w:sz w:val="25"/>
          <w:vertAlign w:val="baseline"/>
        </w:rPr>
        <w:t> </w:t>
      </w:r>
      <w:r>
        <w:rPr>
          <w:w w:val="99"/>
          <w:sz w:val="25"/>
          <w:vertAlign w:val="baseline"/>
        </w:rPr>
        <w:t>was</w:t>
      </w:r>
      <w:r>
        <w:rPr>
          <w:spacing w:val="5"/>
          <w:sz w:val="25"/>
          <w:vertAlign w:val="baseline"/>
        </w:rPr>
        <w:t> </w:t>
      </w:r>
      <w:r>
        <w:rPr>
          <w:w w:val="99"/>
          <w:sz w:val="25"/>
          <w:vertAlign w:val="baseline"/>
        </w:rPr>
        <w:t>capab</w:t>
      </w:r>
      <w:r>
        <w:rPr>
          <w:w w:val="99"/>
          <w:sz w:val="25"/>
          <w:vertAlign w:val="baseline"/>
        </w:rPr>
        <w:t>le</w:t>
      </w:r>
      <w:r>
        <w:rPr>
          <w:spacing w:val="4"/>
          <w:sz w:val="25"/>
          <w:vertAlign w:val="baseline"/>
        </w:rPr>
        <w:t> </w:t>
      </w:r>
      <w:r>
        <w:rPr>
          <w:w w:val="99"/>
          <w:sz w:val="25"/>
          <w:vertAlign w:val="baseline"/>
        </w:rPr>
        <w:t>of</w:t>
      </w:r>
      <w:r>
        <w:rPr>
          <w:spacing w:val="2"/>
          <w:sz w:val="25"/>
          <w:vertAlign w:val="baseline"/>
        </w:rPr>
        <w:t> </w:t>
      </w:r>
      <w:r>
        <w:rPr>
          <w:w w:val="99"/>
          <w:sz w:val="25"/>
          <w:vertAlign w:val="baseline"/>
        </w:rPr>
        <w:t>deno</w:t>
      </w:r>
      <w:r>
        <w:rPr>
          <w:spacing w:val="-3"/>
          <w:w w:val="99"/>
          <w:sz w:val="25"/>
          <w:vertAlign w:val="baseline"/>
        </w:rPr>
        <w:t>t</w:t>
      </w:r>
      <w:r>
        <w:rPr>
          <w:w w:val="99"/>
          <w:sz w:val="25"/>
          <w:vertAlign w:val="baseline"/>
        </w:rPr>
        <w:t>ing</w:t>
      </w:r>
      <w:r>
        <w:rPr>
          <w:spacing w:val="5"/>
          <w:sz w:val="25"/>
          <w:vertAlign w:val="baseline"/>
        </w:rPr>
        <w:t> </w:t>
      </w:r>
      <w:r>
        <w:rPr>
          <w:w w:val="99"/>
          <w:sz w:val="25"/>
          <w:vertAlign w:val="baseline"/>
        </w:rPr>
        <w:t>an</w:t>
      </w:r>
      <w:r>
        <w:rPr>
          <w:spacing w:val="5"/>
          <w:sz w:val="25"/>
          <w:vertAlign w:val="baseline"/>
        </w:rPr>
        <w:t> </w:t>
      </w:r>
      <w:r>
        <w:rPr>
          <w:w w:val="99"/>
          <w:sz w:val="25"/>
          <w:vertAlign w:val="baseline"/>
        </w:rPr>
        <w:t>ab</w:t>
      </w:r>
      <w:r>
        <w:rPr>
          <w:w w:val="99"/>
          <w:sz w:val="25"/>
          <w:vertAlign w:val="baseline"/>
        </w:rPr>
        <w:t>solut</w:t>
      </w:r>
      <w:r>
        <w:rPr>
          <w:w w:val="99"/>
          <w:sz w:val="25"/>
          <w:vertAlign w:val="baseline"/>
        </w:rPr>
        <w:t>e </w:t>
      </w:r>
      <w:r>
        <w:rPr>
          <w:sz w:val="25"/>
          <w:vertAlign w:val="baseline"/>
        </w:rPr>
        <w:t>title, it was nevertheless not confined to connoting that sense. In the case at hand, the Court</w:t>
      </w:r>
      <w:r>
        <w:rPr>
          <w:spacing w:val="-4"/>
          <w:sz w:val="25"/>
          <w:vertAlign w:val="baseline"/>
        </w:rPr>
        <w:t> </w:t>
      </w:r>
      <w:r>
        <w:rPr>
          <w:sz w:val="25"/>
          <w:vertAlign w:val="baseline"/>
        </w:rPr>
        <w:t>held:</w:t>
      </w:r>
    </w:p>
    <w:p>
      <w:pPr>
        <w:spacing w:line="276" w:lineRule="auto" w:before="4"/>
        <w:ind w:left="1940" w:right="2261" w:firstLine="0"/>
        <w:jc w:val="both"/>
        <w:rPr>
          <w:sz w:val="21"/>
        </w:rPr>
      </w:pPr>
      <w:r>
        <w:rPr>
          <w:spacing w:val="-1"/>
          <w:w w:val="33"/>
          <w:sz w:val="21"/>
        </w:rPr>
        <w:t>―</w:t>
      </w:r>
      <w:r>
        <w:rPr>
          <w:spacing w:val="-1"/>
          <w:w w:val="100"/>
          <w:sz w:val="21"/>
        </w:rPr>
        <w:t>29</w:t>
      </w:r>
      <w:r>
        <w:rPr>
          <w:spacing w:val="-5"/>
          <w:w w:val="100"/>
          <w:sz w:val="21"/>
        </w:rPr>
        <w:t>…</w:t>
      </w:r>
      <w:r>
        <w:rPr>
          <w:spacing w:val="4"/>
          <w:w w:val="100"/>
          <w:sz w:val="21"/>
        </w:rPr>
        <w:t>W</w:t>
      </w:r>
      <w:r>
        <w:rPr>
          <w:w w:val="100"/>
          <w:sz w:val="21"/>
        </w:rPr>
        <w:t>e</w:t>
      </w:r>
      <w:r>
        <w:rPr>
          <w:sz w:val="21"/>
        </w:rPr>
        <w:t> </w:t>
      </w:r>
      <w:r>
        <w:rPr>
          <w:spacing w:val="10"/>
          <w:sz w:val="21"/>
        </w:rPr>
        <w:t> </w:t>
      </w:r>
      <w:r>
        <w:rPr>
          <w:spacing w:val="-3"/>
          <w:w w:val="100"/>
          <w:sz w:val="21"/>
        </w:rPr>
        <w:t>h</w:t>
      </w:r>
      <w:r>
        <w:rPr>
          <w:spacing w:val="-1"/>
          <w:w w:val="100"/>
          <w:sz w:val="21"/>
        </w:rPr>
        <w:t>a</w:t>
      </w:r>
      <w:r>
        <w:rPr>
          <w:spacing w:val="-3"/>
          <w:w w:val="100"/>
          <w:sz w:val="21"/>
        </w:rPr>
        <w:t>v</w:t>
      </w:r>
      <w:r>
        <w:rPr>
          <w:w w:val="100"/>
          <w:sz w:val="21"/>
        </w:rPr>
        <w:t>e</w:t>
      </w:r>
      <w:r>
        <w:rPr>
          <w:sz w:val="21"/>
        </w:rPr>
        <w:t> </w:t>
      </w:r>
      <w:r>
        <w:rPr>
          <w:spacing w:val="12"/>
          <w:sz w:val="21"/>
        </w:rPr>
        <w:t> </w:t>
      </w:r>
      <w:r>
        <w:rPr>
          <w:spacing w:val="-1"/>
          <w:w w:val="100"/>
          <w:sz w:val="21"/>
        </w:rPr>
        <w:t>d</w:t>
      </w:r>
      <w:r>
        <w:rPr>
          <w:spacing w:val="-2"/>
          <w:w w:val="100"/>
          <w:sz w:val="21"/>
        </w:rPr>
        <w:t>i</w:t>
      </w:r>
      <w:r>
        <w:rPr>
          <w:w w:val="100"/>
          <w:sz w:val="21"/>
        </w:rPr>
        <w:t>scu</w:t>
      </w:r>
      <w:r>
        <w:rPr>
          <w:spacing w:val="-3"/>
          <w:w w:val="100"/>
          <w:sz w:val="21"/>
        </w:rPr>
        <w:t>s</w:t>
      </w:r>
      <w:r>
        <w:rPr>
          <w:w w:val="100"/>
          <w:sz w:val="21"/>
        </w:rPr>
        <w:t>s</w:t>
      </w:r>
      <w:r>
        <w:rPr>
          <w:spacing w:val="-3"/>
          <w:w w:val="100"/>
          <w:sz w:val="21"/>
        </w:rPr>
        <w:t>e</w:t>
      </w:r>
      <w:r>
        <w:rPr>
          <w:w w:val="100"/>
          <w:sz w:val="21"/>
        </w:rPr>
        <w:t>d</w:t>
      </w:r>
      <w:r>
        <w:rPr>
          <w:sz w:val="21"/>
        </w:rPr>
        <w:t> </w:t>
      </w:r>
      <w:r>
        <w:rPr>
          <w:spacing w:val="12"/>
          <w:sz w:val="21"/>
        </w:rPr>
        <w:t> </w:t>
      </w:r>
      <w:r>
        <w:rPr>
          <w:spacing w:val="-2"/>
          <w:w w:val="100"/>
          <w:sz w:val="21"/>
        </w:rPr>
        <w:t>t</w:t>
      </w:r>
      <w:r>
        <w:rPr>
          <w:spacing w:val="-1"/>
          <w:w w:val="100"/>
          <w:sz w:val="21"/>
        </w:rPr>
        <w:t>h</w:t>
      </w:r>
      <w:r>
        <w:rPr>
          <w:w w:val="100"/>
          <w:sz w:val="21"/>
        </w:rPr>
        <w:t>e</w:t>
      </w:r>
      <w:r>
        <w:rPr>
          <w:sz w:val="21"/>
        </w:rPr>
        <w:t> </w:t>
      </w:r>
      <w:r>
        <w:rPr>
          <w:spacing w:val="12"/>
          <w:sz w:val="21"/>
        </w:rPr>
        <w:t> </w:t>
      </w:r>
      <w:r>
        <w:rPr>
          <w:spacing w:val="-3"/>
          <w:w w:val="100"/>
          <w:sz w:val="21"/>
        </w:rPr>
        <w:t>c</w:t>
      </w:r>
      <w:r>
        <w:rPr>
          <w:spacing w:val="-1"/>
          <w:w w:val="100"/>
          <w:sz w:val="21"/>
        </w:rPr>
        <w:t>ase</w:t>
      </w:r>
      <w:r>
        <w:rPr>
          <w:w w:val="100"/>
          <w:sz w:val="21"/>
        </w:rPr>
        <w:t>s</w:t>
      </w:r>
      <w:r>
        <w:rPr>
          <w:sz w:val="21"/>
        </w:rPr>
        <w:t> </w:t>
      </w:r>
      <w:r>
        <w:rPr>
          <w:spacing w:val="10"/>
          <w:sz w:val="21"/>
        </w:rPr>
        <w:t> </w:t>
      </w:r>
      <w:r>
        <w:rPr>
          <w:spacing w:val="-2"/>
          <w:w w:val="100"/>
          <w:sz w:val="21"/>
        </w:rPr>
        <w:t>w</w:t>
      </w:r>
      <w:r>
        <w:rPr>
          <w:spacing w:val="-1"/>
          <w:w w:val="100"/>
          <w:sz w:val="21"/>
        </w:rPr>
        <w:t>her</w:t>
      </w:r>
      <w:r>
        <w:rPr>
          <w:w w:val="100"/>
          <w:sz w:val="21"/>
        </w:rPr>
        <w:t>e</w:t>
      </w:r>
      <w:r>
        <w:rPr>
          <w:sz w:val="21"/>
        </w:rPr>
        <w:t> </w:t>
      </w:r>
      <w:r>
        <w:rPr>
          <w:spacing w:val="12"/>
          <w:sz w:val="21"/>
        </w:rPr>
        <w:t> </w:t>
      </w:r>
      <w:r>
        <w:rPr>
          <w:spacing w:val="-4"/>
          <w:w w:val="100"/>
          <w:sz w:val="21"/>
        </w:rPr>
        <w:t>t</w:t>
      </w:r>
      <w:r>
        <w:rPr>
          <w:spacing w:val="-1"/>
          <w:w w:val="100"/>
          <w:sz w:val="21"/>
        </w:rPr>
        <w:t>h</w:t>
      </w:r>
      <w:r>
        <w:rPr>
          <w:w w:val="100"/>
          <w:sz w:val="21"/>
        </w:rPr>
        <w:t>e</w:t>
      </w:r>
      <w:r>
        <w:rPr>
          <w:sz w:val="21"/>
        </w:rPr>
        <w:t> </w:t>
      </w:r>
      <w:r>
        <w:rPr>
          <w:spacing w:val="10"/>
          <w:sz w:val="21"/>
        </w:rPr>
        <w:t> </w:t>
      </w:r>
      <w:r>
        <w:rPr>
          <w:spacing w:val="-1"/>
          <w:w w:val="100"/>
          <w:sz w:val="21"/>
        </w:rPr>
        <w:t>d</w:t>
      </w:r>
      <w:r>
        <w:rPr>
          <w:spacing w:val="1"/>
          <w:w w:val="100"/>
          <w:sz w:val="21"/>
        </w:rPr>
        <w:t>i</w:t>
      </w:r>
      <w:r>
        <w:rPr>
          <w:w w:val="100"/>
          <w:sz w:val="21"/>
        </w:rPr>
        <w:t>s</w:t>
      </w:r>
      <w:r>
        <w:rPr>
          <w:spacing w:val="-4"/>
          <w:w w:val="100"/>
          <w:sz w:val="21"/>
        </w:rPr>
        <w:t>t</w:t>
      </w:r>
      <w:r>
        <w:rPr>
          <w:w w:val="100"/>
          <w:sz w:val="21"/>
        </w:rPr>
        <w:t>i</w:t>
      </w:r>
      <w:r>
        <w:rPr>
          <w:spacing w:val="-1"/>
          <w:w w:val="100"/>
          <w:sz w:val="21"/>
        </w:rPr>
        <w:t>nct</w:t>
      </w:r>
      <w:r>
        <w:rPr>
          <w:spacing w:val="-2"/>
          <w:w w:val="100"/>
          <w:sz w:val="21"/>
        </w:rPr>
        <w:t>i</w:t>
      </w:r>
      <w:r>
        <w:rPr>
          <w:spacing w:val="-1"/>
          <w:w w:val="100"/>
          <w:sz w:val="21"/>
        </w:rPr>
        <w:t>on bet</w:t>
      </w:r>
      <w:r>
        <w:rPr>
          <w:spacing w:val="-2"/>
          <w:w w:val="100"/>
          <w:sz w:val="21"/>
        </w:rPr>
        <w:t>w</w:t>
      </w:r>
      <w:r>
        <w:rPr>
          <w:spacing w:val="-1"/>
          <w:w w:val="100"/>
          <w:sz w:val="21"/>
        </w:rPr>
        <w:t>ee</w:t>
      </w:r>
      <w:r>
        <w:rPr>
          <w:w w:val="100"/>
          <w:sz w:val="21"/>
        </w:rPr>
        <w:t>n</w:t>
      </w:r>
      <w:r>
        <w:rPr>
          <w:sz w:val="21"/>
        </w:rPr>
        <w:t>   </w:t>
      </w:r>
      <w:r>
        <w:rPr>
          <w:spacing w:val="14"/>
          <w:sz w:val="21"/>
        </w:rPr>
        <w:t> </w:t>
      </w:r>
      <w:r>
        <w:rPr>
          <w:spacing w:val="-1"/>
          <w:w w:val="33"/>
          <w:sz w:val="21"/>
        </w:rPr>
        <w:t>―</w:t>
      </w:r>
      <w:r>
        <w:rPr>
          <w:spacing w:val="-1"/>
          <w:w w:val="100"/>
          <w:sz w:val="21"/>
        </w:rPr>
        <w:t>b</w:t>
      </w:r>
      <w:r>
        <w:rPr>
          <w:spacing w:val="-3"/>
          <w:w w:val="100"/>
          <w:sz w:val="21"/>
        </w:rPr>
        <w:t>e</w:t>
      </w:r>
      <w:r>
        <w:rPr>
          <w:w w:val="100"/>
          <w:sz w:val="21"/>
        </w:rPr>
        <w:t>l</w:t>
      </w:r>
      <w:r>
        <w:rPr>
          <w:spacing w:val="-3"/>
          <w:w w:val="100"/>
          <w:sz w:val="21"/>
        </w:rPr>
        <w:t>o</w:t>
      </w:r>
      <w:r>
        <w:rPr>
          <w:spacing w:val="-1"/>
          <w:w w:val="100"/>
          <w:sz w:val="21"/>
        </w:rPr>
        <w:t>n</w:t>
      </w:r>
      <w:r>
        <w:rPr>
          <w:spacing w:val="-3"/>
          <w:w w:val="100"/>
          <w:sz w:val="21"/>
        </w:rPr>
        <w:t>g</w:t>
      </w:r>
      <w:r>
        <w:rPr>
          <w:w w:val="100"/>
          <w:sz w:val="21"/>
        </w:rPr>
        <w:t>i</w:t>
      </w:r>
      <w:r>
        <w:rPr>
          <w:spacing w:val="-1"/>
          <w:w w:val="100"/>
          <w:sz w:val="21"/>
        </w:rPr>
        <w:t>n</w:t>
      </w:r>
      <w:r>
        <w:rPr>
          <w:w w:val="100"/>
          <w:sz w:val="21"/>
        </w:rPr>
        <w:t>g</w:t>
      </w:r>
      <w:r>
        <w:rPr>
          <w:sz w:val="21"/>
        </w:rPr>
        <w:t>   </w:t>
      </w:r>
      <w:r>
        <w:rPr>
          <w:spacing w:val="13"/>
          <w:sz w:val="21"/>
        </w:rPr>
        <w:t> </w:t>
      </w:r>
      <w:r>
        <w:rPr>
          <w:spacing w:val="-2"/>
          <w:w w:val="100"/>
          <w:sz w:val="21"/>
        </w:rPr>
        <w:t>t</w:t>
      </w:r>
      <w:r>
        <w:rPr>
          <w:spacing w:val="-3"/>
          <w:w w:val="100"/>
          <w:sz w:val="21"/>
        </w:rPr>
        <w:t>o</w:t>
      </w:r>
      <w:r>
        <w:rPr>
          <w:w w:val="81"/>
          <w:sz w:val="21"/>
        </w:rPr>
        <w:t>‖</w:t>
      </w:r>
      <w:r>
        <w:rPr>
          <w:sz w:val="21"/>
        </w:rPr>
        <w:t>   </w:t>
      </w:r>
      <w:r>
        <w:rPr>
          <w:spacing w:val="12"/>
          <w:sz w:val="21"/>
        </w:rPr>
        <w:t> </w:t>
      </w:r>
      <w:r>
        <w:rPr>
          <w:spacing w:val="-1"/>
          <w:w w:val="100"/>
          <w:sz w:val="21"/>
        </w:rPr>
        <w:t>an</w:t>
      </w:r>
      <w:r>
        <w:rPr>
          <w:w w:val="100"/>
          <w:sz w:val="21"/>
        </w:rPr>
        <w:t>d</w:t>
      </w:r>
      <w:r>
        <w:rPr>
          <w:sz w:val="21"/>
        </w:rPr>
        <w:t>   </w:t>
      </w:r>
      <w:r>
        <w:rPr>
          <w:spacing w:val="14"/>
          <w:sz w:val="21"/>
        </w:rPr>
        <w:t> </w:t>
      </w:r>
      <w:r>
        <w:rPr>
          <w:spacing w:val="-1"/>
          <w:w w:val="33"/>
          <w:sz w:val="21"/>
        </w:rPr>
        <w:t>―</w:t>
      </w:r>
      <w:r>
        <w:rPr>
          <w:spacing w:val="-1"/>
          <w:w w:val="100"/>
          <w:sz w:val="21"/>
        </w:rPr>
        <w:t>o</w:t>
      </w:r>
      <w:r>
        <w:rPr>
          <w:spacing w:val="-2"/>
          <w:w w:val="100"/>
          <w:sz w:val="21"/>
        </w:rPr>
        <w:t>w</w:t>
      </w:r>
      <w:r>
        <w:rPr>
          <w:spacing w:val="-1"/>
          <w:w w:val="100"/>
          <w:sz w:val="21"/>
        </w:rPr>
        <w:t>ners</w:t>
      </w:r>
      <w:r>
        <w:rPr>
          <w:spacing w:val="-3"/>
          <w:w w:val="100"/>
          <w:sz w:val="21"/>
        </w:rPr>
        <w:t>h</w:t>
      </w:r>
      <w:r>
        <w:rPr>
          <w:w w:val="100"/>
          <w:sz w:val="21"/>
        </w:rPr>
        <w:t>i</w:t>
      </w:r>
      <w:r>
        <w:rPr>
          <w:spacing w:val="-1"/>
          <w:w w:val="92"/>
          <w:sz w:val="21"/>
        </w:rPr>
        <w:t>p</w:t>
      </w:r>
      <w:r>
        <w:rPr>
          <w:w w:val="92"/>
          <w:sz w:val="21"/>
        </w:rPr>
        <w:t>‖</w:t>
      </w:r>
      <w:r>
        <w:rPr>
          <w:sz w:val="21"/>
        </w:rPr>
        <w:t>   </w:t>
      </w:r>
      <w:r>
        <w:rPr>
          <w:spacing w:val="13"/>
          <w:sz w:val="21"/>
        </w:rPr>
        <w:t> </w:t>
      </w:r>
      <w:r>
        <w:rPr>
          <w:spacing w:val="-3"/>
          <w:w w:val="100"/>
          <w:sz w:val="21"/>
        </w:rPr>
        <w:t>h</w:t>
      </w:r>
      <w:r>
        <w:rPr>
          <w:spacing w:val="-1"/>
          <w:w w:val="100"/>
          <w:sz w:val="21"/>
        </w:rPr>
        <w:t>a</w:t>
      </w:r>
      <w:r>
        <w:rPr>
          <w:w w:val="100"/>
          <w:sz w:val="21"/>
        </w:rPr>
        <w:t>s</w:t>
      </w:r>
      <w:r>
        <w:rPr>
          <w:sz w:val="21"/>
        </w:rPr>
        <w:t>   </w:t>
      </w:r>
      <w:r>
        <w:rPr>
          <w:spacing w:val="13"/>
          <w:sz w:val="21"/>
        </w:rPr>
        <w:t> </w:t>
      </w:r>
      <w:r>
        <w:rPr>
          <w:spacing w:val="-1"/>
          <w:w w:val="100"/>
          <w:sz w:val="21"/>
        </w:rPr>
        <w:t>be</w:t>
      </w:r>
      <w:r>
        <w:rPr>
          <w:spacing w:val="-2"/>
          <w:w w:val="100"/>
          <w:sz w:val="21"/>
        </w:rPr>
        <w:t>e</w:t>
      </w:r>
      <w:r>
        <w:rPr>
          <w:w w:val="100"/>
          <w:sz w:val="21"/>
        </w:rPr>
        <w:t>n </w:t>
      </w:r>
      <w:r>
        <w:rPr>
          <w:sz w:val="21"/>
        </w:rPr>
        <w:t>considered. The following facts emerge here: (</w:t>
      </w:r>
      <w:r>
        <w:rPr>
          <w:i/>
          <w:sz w:val="21"/>
        </w:rPr>
        <w:t>1</w:t>
      </w:r>
      <w:r>
        <w:rPr>
          <w:sz w:val="21"/>
        </w:rPr>
        <w:t>) the assessee has parted with the possession which is one of the essentials of ownership. (</w:t>
      </w:r>
      <w:r>
        <w:rPr>
          <w:i/>
          <w:sz w:val="21"/>
        </w:rPr>
        <w:t>2</w:t>
      </w:r>
      <w:r>
        <w:rPr>
          <w:sz w:val="21"/>
        </w:rPr>
        <w:t>) The assessee was disentitled to recover possession from the vendee and the assessee alone until the document of title is executed was entitled to sue for possession against others i.e. other than the vendee in possession in this case. The title </w:t>
      </w:r>
      <w:r>
        <w:rPr>
          <w:i/>
          <w:sz w:val="21"/>
        </w:rPr>
        <w:t>in rem </w:t>
      </w:r>
      <w:r>
        <w:rPr>
          <w:sz w:val="21"/>
        </w:rPr>
        <w:t>vested in the assessee.</w:t>
      </w:r>
      <w:r>
        <w:rPr>
          <w:spacing w:val="16"/>
          <w:sz w:val="21"/>
        </w:rPr>
        <w:t> </w:t>
      </w:r>
      <w:r>
        <w:rPr>
          <w:sz w:val="21"/>
        </w:rPr>
        <w:t>(</w:t>
      </w:r>
      <w:r>
        <w:rPr>
          <w:i/>
          <w:sz w:val="21"/>
        </w:rPr>
        <w:t>3</w:t>
      </w:r>
      <w:r>
        <w:rPr>
          <w:sz w:val="21"/>
        </w:rPr>
        <w:t>)</w:t>
      </w:r>
      <w:r>
        <w:rPr>
          <w:spacing w:val="15"/>
          <w:sz w:val="21"/>
        </w:rPr>
        <w:t> </w:t>
      </w:r>
      <w:r>
        <w:rPr>
          <w:sz w:val="21"/>
        </w:rPr>
        <w:t>The</w:t>
      </w:r>
      <w:r>
        <w:rPr>
          <w:spacing w:val="18"/>
          <w:sz w:val="21"/>
        </w:rPr>
        <w:t> </w:t>
      </w:r>
      <w:r>
        <w:rPr>
          <w:sz w:val="21"/>
        </w:rPr>
        <w:t>vendee</w:t>
      </w:r>
      <w:r>
        <w:rPr>
          <w:spacing w:val="17"/>
          <w:sz w:val="21"/>
        </w:rPr>
        <w:t> </w:t>
      </w:r>
      <w:r>
        <w:rPr>
          <w:sz w:val="21"/>
        </w:rPr>
        <w:t>was</w:t>
      </w:r>
      <w:r>
        <w:rPr>
          <w:spacing w:val="16"/>
          <w:sz w:val="21"/>
        </w:rPr>
        <w:t> </w:t>
      </w:r>
      <w:r>
        <w:rPr>
          <w:sz w:val="21"/>
        </w:rPr>
        <w:t>in</w:t>
      </w:r>
      <w:r>
        <w:rPr>
          <w:spacing w:val="18"/>
          <w:sz w:val="21"/>
        </w:rPr>
        <w:t> </w:t>
      </w:r>
      <w:r>
        <w:rPr>
          <w:sz w:val="21"/>
        </w:rPr>
        <w:t>rightful</w:t>
      </w:r>
      <w:r>
        <w:rPr>
          <w:spacing w:val="15"/>
          <w:sz w:val="21"/>
        </w:rPr>
        <w:t> </w:t>
      </w:r>
      <w:r>
        <w:rPr>
          <w:sz w:val="21"/>
        </w:rPr>
        <w:t>possession</w:t>
      </w:r>
      <w:r>
        <w:rPr>
          <w:spacing w:val="18"/>
          <w:sz w:val="21"/>
        </w:rPr>
        <w:t> </w:t>
      </w:r>
      <w:r>
        <w:rPr>
          <w:sz w:val="21"/>
        </w:rPr>
        <w:t>against</w:t>
      </w:r>
    </w:p>
    <w:p>
      <w:pPr>
        <w:spacing w:after="0" w:line="276" w:lineRule="auto"/>
        <w:jc w:val="both"/>
        <w:rPr>
          <w:sz w:val="21"/>
        </w:rPr>
        <w:sectPr>
          <w:headerReference w:type="default" r:id="rId110"/>
          <w:footerReference w:type="default" r:id="rId111"/>
          <w:pgSz w:w="11910" w:h="16840"/>
          <w:pgMar w:header="721" w:footer="1566" w:top="1300" w:bottom="1760" w:left="940" w:right="1000"/>
          <w:pgNumType w:start="299"/>
        </w:sectPr>
      </w:pPr>
    </w:p>
    <w:p>
      <w:pPr>
        <w:spacing w:line="276" w:lineRule="auto" w:before="122"/>
        <w:ind w:left="1940" w:right="2264" w:firstLine="0"/>
        <w:jc w:val="both"/>
        <w:rPr>
          <w:sz w:val="21"/>
        </w:rPr>
      </w:pPr>
      <w:r>
        <w:rPr>
          <w:sz w:val="21"/>
        </w:rPr>
        <w:t>the vendor. (</w:t>
      </w:r>
      <w:r>
        <w:rPr>
          <w:i/>
          <w:sz w:val="21"/>
        </w:rPr>
        <w:t>4</w:t>
      </w:r>
      <w:r>
        <w:rPr>
          <w:sz w:val="21"/>
        </w:rPr>
        <w:t>) The legal title, however, belonged to the vendor. (5) The assessee had not the totality of the rights that constitute title but a mere husk of it and a very important element of the husk.‖</w:t>
      </w:r>
    </w:p>
    <w:p>
      <w:pPr>
        <w:pStyle w:val="BodyText"/>
        <w:rPr>
          <w:sz w:val="24"/>
        </w:rPr>
      </w:pPr>
    </w:p>
    <w:p>
      <w:pPr>
        <w:pStyle w:val="BodyText"/>
        <w:rPr>
          <w:sz w:val="26"/>
        </w:rPr>
      </w:pPr>
    </w:p>
    <w:p>
      <w:pPr>
        <w:pStyle w:val="BodyText"/>
        <w:spacing w:line="480" w:lineRule="auto" w:before="1"/>
        <w:ind w:left="500" w:right="442"/>
        <w:jc w:val="both"/>
      </w:pPr>
      <w:r>
        <w:rPr/>
        <w:t>Both these decisions, which have been pressed in aid by Dr Dhavan indicate that the expression ‗belonging to‘ must receive a meaning based on context. In a given context, the words may convey the meaning of an absolute title but in other factual situations the words may convey something which falls short of an absolute interest.</w:t>
      </w:r>
    </w:p>
    <w:p>
      <w:pPr>
        <w:pStyle w:val="BodyText"/>
        <w:spacing w:before="1"/>
      </w:pPr>
    </w:p>
    <w:p>
      <w:pPr>
        <w:pStyle w:val="ListParagraph"/>
        <w:numPr>
          <w:ilvl w:val="0"/>
          <w:numId w:val="3"/>
        </w:numPr>
        <w:tabs>
          <w:tab w:pos="1221" w:val="left" w:leader="none"/>
        </w:tabs>
        <w:spacing w:line="480" w:lineRule="auto" w:before="0" w:after="0"/>
        <w:ind w:left="500" w:right="437" w:firstLine="0"/>
        <w:jc w:val="both"/>
        <w:rPr>
          <w:sz w:val="25"/>
        </w:rPr>
      </w:pPr>
      <w:r>
        <w:rPr>
          <w:sz w:val="25"/>
        </w:rPr>
        <w:t>In</w:t>
      </w:r>
      <w:r>
        <w:rPr>
          <w:spacing w:val="-5"/>
          <w:sz w:val="25"/>
        </w:rPr>
        <w:t> </w:t>
      </w:r>
      <w:r>
        <w:rPr>
          <w:sz w:val="25"/>
        </w:rPr>
        <w:t>the</w:t>
      </w:r>
      <w:r>
        <w:rPr>
          <w:spacing w:val="-5"/>
          <w:sz w:val="25"/>
        </w:rPr>
        <w:t> </w:t>
      </w:r>
      <w:r>
        <w:rPr>
          <w:sz w:val="25"/>
        </w:rPr>
        <w:t>present</w:t>
      </w:r>
      <w:r>
        <w:rPr>
          <w:spacing w:val="-5"/>
          <w:sz w:val="25"/>
        </w:rPr>
        <w:t> </w:t>
      </w:r>
      <w:r>
        <w:rPr>
          <w:sz w:val="25"/>
        </w:rPr>
        <w:t>case,</w:t>
      </w:r>
      <w:r>
        <w:rPr>
          <w:spacing w:val="-5"/>
          <w:sz w:val="25"/>
        </w:rPr>
        <w:t> </w:t>
      </w:r>
      <w:r>
        <w:rPr>
          <w:sz w:val="25"/>
        </w:rPr>
        <w:t>it</w:t>
      </w:r>
      <w:r>
        <w:rPr>
          <w:spacing w:val="-4"/>
          <w:sz w:val="25"/>
        </w:rPr>
        <w:t> </w:t>
      </w:r>
      <w:r>
        <w:rPr>
          <w:sz w:val="25"/>
        </w:rPr>
        <w:t>is</w:t>
      </w:r>
      <w:r>
        <w:rPr>
          <w:spacing w:val="-5"/>
          <w:sz w:val="25"/>
        </w:rPr>
        <w:t> </w:t>
      </w:r>
      <w:r>
        <w:rPr>
          <w:sz w:val="25"/>
        </w:rPr>
        <w:t>evident</w:t>
      </w:r>
      <w:r>
        <w:rPr>
          <w:spacing w:val="-3"/>
          <w:sz w:val="25"/>
        </w:rPr>
        <w:t> </w:t>
      </w:r>
      <w:r>
        <w:rPr>
          <w:sz w:val="25"/>
        </w:rPr>
        <w:t>that</w:t>
      </w:r>
      <w:r>
        <w:rPr>
          <w:spacing w:val="-5"/>
          <w:sz w:val="25"/>
        </w:rPr>
        <w:t> </w:t>
      </w:r>
      <w:r>
        <w:rPr>
          <w:sz w:val="25"/>
        </w:rPr>
        <w:t>the</w:t>
      </w:r>
      <w:r>
        <w:rPr>
          <w:spacing w:val="-5"/>
          <w:sz w:val="25"/>
        </w:rPr>
        <w:t> </w:t>
      </w:r>
      <w:r>
        <w:rPr>
          <w:sz w:val="25"/>
        </w:rPr>
        <w:t>use</w:t>
      </w:r>
      <w:r>
        <w:rPr>
          <w:spacing w:val="-5"/>
          <w:sz w:val="25"/>
        </w:rPr>
        <w:t> </w:t>
      </w:r>
      <w:r>
        <w:rPr>
          <w:sz w:val="25"/>
        </w:rPr>
        <w:t>of</w:t>
      </w:r>
      <w:r>
        <w:rPr>
          <w:spacing w:val="-5"/>
          <w:sz w:val="25"/>
        </w:rPr>
        <w:t> </w:t>
      </w:r>
      <w:r>
        <w:rPr>
          <w:sz w:val="25"/>
        </w:rPr>
        <w:t>the</w:t>
      </w:r>
      <w:r>
        <w:rPr>
          <w:spacing w:val="-5"/>
          <w:sz w:val="25"/>
        </w:rPr>
        <w:t> </w:t>
      </w:r>
      <w:r>
        <w:rPr>
          <w:sz w:val="25"/>
        </w:rPr>
        <w:t>expression</w:t>
      </w:r>
      <w:r>
        <w:rPr>
          <w:spacing w:val="-5"/>
          <w:sz w:val="25"/>
        </w:rPr>
        <w:t> </w:t>
      </w:r>
      <w:r>
        <w:rPr>
          <w:sz w:val="25"/>
        </w:rPr>
        <w:t>‗belongs‘</w:t>
      </w:r>
      <w:r>
        <w:rPr>
          <w:spacing w:val="-4"/>
          <w:sz w:val="25"/>
        </w:rPr>
        <w:t> </w:t>
      </w:r>
      <w:r>
        <w:rPr>
          <w:sz w:val="25"/>
        </w:rPr>
        <w:t>by the Nirmohi Akhara in the plaint has been deployed only in the context of management and charge. The entire case of Nirmohi Akhara is of the deprivation of its shebaiti rights by the Magistrate‘s order under Section 145. The claim of Nirmohi Akhara is against the state so as to enable the plaintiff to utilise the usufruct to render services to the deity. Nirmohi Akhara, in other words, claims ancillary rights with reference to management and charge. Indeed, </w:t>
      </w:r>
      <w:r>
        <w:rPr>
          <w:spacing w:val="3"/>
          <w:sz w:val="25"/>
        </w:rPr>
        <w:t>the </w:t>
      </w:r>
      <w:r>
        <w:rPr>
          <w:sz w:val="25"/>
        </w:rPr>
        <w:t>most significant aspect which emerges from the relief which has been claimed in Suit 3 </w:t>
      </w:r>
      <w:r>
        <w:rPr>
          <w:spacing w:val="-1"/>
          <w:w w:val="99"/>
          <w:sz w:val="25"/>
        </w:rPr>
        <w:t>i</w:t>
      </w:r>
      <w:r>
        <w:rPr>
          <w:w w:val="99"/>
          <w:sz w:val="25"/>
        </w:rPr>
        <w:t>s</w:t>
      </w:r>
      <w:r>
        <w:rPr>
          <w:sz w:val="25"/>
        </w:rPr>
        <w:t> </w:t>
      </w:r>
      <w:r>
        <w:rPr>
          <w:spacing w:val="-22"/>
          <w:sz w:val="25"/>
        </w:rPr>
        <w:t> </w:t>
      </w:r>
      <w:r>
        <w:rPr>
          <w:w w:val="99"/>
          <w:sz w:val="25"/>
        </w:rPr>
        <w:t>a</w:t>
      </w:r>
      <w:r>
        <w:rPr>
          <w:sz w:val="25"/>
        </w:rPr>
        <w:t> </w:t>
      </w:r>
      <w:r>
        <w:rPr>
          <w:spacing w:val="-22"/>
          <w:sz w:val="25"/>
        </w:rPr>
        <w:t> </w:t>
      </w:r>
      <w:r>
        <w:rPr>
          <w:spacing w:val="-1"/>
          <w:w w:val="99"/>
          <w:sz w:val="25"/>
        </w:rPr>
        <w:t>d</w:t>
      </w:r>
      <w:r>
        <w:rPr>
          <w:w w:val="99"/>
          <w:sz w:val="25"/>
        </w:rPr>
        <w:t>ecr</w:t>
      </w:r>
      <w:r>
        <w:rPr>
          <w:spacing w:val="-1"/>
          <w:w w:val="99"/>
          <w:sz w:val="25"/>
        </w:rPr>
        <w:t>e</w:t>
      </w:r>
      <w:r>
        <w:rPr>
          <w:w w:val="99"/>
          <w:sz w:val="25"/>
        </w:rPr>
        <w:t>e</w:t>
      </w:r>
      <w:r>
        <w:rPr>
          <w:sz w:val="25"/>
        </w:rPr>
        <w:t> </w:t>
      </w:r>
      <w:r>
        <w:rPr>
          <w:spacing w:val="-22"/>
          <w:sz w:val="25"/>
        </w:rPr>
        <w:t> </w:t>
      </w:r>
      <w:r>
        <w:rPr>
          <w:w w:val="99"/>
          <w:sz w:val="25"/>
        </w:rPr>
        <w:t>for</w:t>
      </w:r>
      <w:r>
        <w:rPr>
          <w:sz w:val="25"/>
        </w:rPr>
        <w:t> </w:t>
      </w:r>
      <w:r>
        <w:rPr>
          <w:spacing w:val="-21"/>
          <w:sz w:val="25"/>
        </w:rPr>
        <w:t> </w:t>
      </w:r>
      <w:r>
        <w:rPr>
          <w:w w:val="99"/>
          <w:sz w:val="25"/>
        </w:rPr>
        <w:t>the</w:t>
      </w:r>
      <w:r>
        <w:rPr>
          <w:sz w:val="25"/>
        </w:rPr>
        <w:t> </w:t>
      </w:r>
      <w:r>
        <w:rPr>
          <w:spacing w:val="-21"/>
          <w:sz w:val="25"/>
        </w:rPr>
        <w:t> </w:t>
      </w:r>
      <w:r>
        <w:rPr>
          <w:w w:val="99"/>
          <w:sz w:val="25"/>
        </w:rPr>
        <w:t>r</w:t>
      </w:r>
      <w:r>
        <w:rPr>
          <w:spacing w:val="-1"/>
          <w:w w:val="99"/>
          <w:sz w:val="25"/>
        </w:rPr>
        <w:t>e</w:t>
      </w:r>
      <w:r>
        <w:rPr>
          <w:w w:val="99"/>
          <w:sz w:val="25"/>
        </w:rPr>
        <w:t>m</w:t>
      </w:r>
      <w:r>
        <w:rPr>
          <w:spacing w:val="-1"/>
          <w:w w:val="99"/>
          <w:sz w:val="25"/>
        </w:rPr>
        <w:t>o</w:t>
      </w:r>
      <w:r>
        <w:rPr>
          <w:spacing w:val="-3"/>
          <w:w w:val="99"/>
          <w:sz w:val="25"/>
        </w:rPr>
        <w:t>v</w:t>
      </w:r>
      <w:r>
        <w:rPr>
          <w:spacing w:val="-1"/>
          <w:w w:val="99"/>
          <w:sz w:val="25"/>
        </w:rPr>
        <w:t>a</w:t>
      </w:r>
      <w:r>
        <w:rPr>
          <w:w w:val="99"/>
          <w:sz w:val="25"/>
        </w:rPr>
        <w:t>l</w:t>
      </w:r>
      <w:r>
        <w:rPr>
          <w:sz w:val="25"/>
        </w:rPr>
        <w:t> </w:t>
      </w:r>
      <w:r>
        <w:rPr>
          <w:spacing w:val="-22"/>
          <w:sz w:val="25"/>
        </w:rPr>
        <w:t> </w:t>
      </w:r>
      <w:r>
        <w:rPr>
          <w:spacing w:val="-1"/>
          <w:w w:val="99"/>
          <w:sz w:val="25"/>
        </w:rPr>
        <w:t>o</w:t>
      </w:r>
      <w:r>
        <w:rPr>
          <w:w w:val="99"/>
          <w:sz w:val="25"/>
        </w:rPr>
        <w:t>f</w:t>
      </w:r>
      <w:r>
        <w:rPr>
          <w:sz w:val="25"/>
        </w:rPr>
        <w:t> </w:t>
      </w:r>
      <w:r>
        <w:rPr>
          <w:spacing w:val="-21"/>
          <w:sz w:val="25"/>
        </w:rPr>
        <w:t> </w:t>
      </w:r>
      <w:r>
        <w:rPr>
          <w:w w:val="99"/>
          <w:sz w:val="25"/>
        </w:rPr>
        <w:t>the</w:t>
      </w:r>
      <w:r>
        <w:rPr>
          <w:sz w:val="25"/>
        </w:rPr>
        <w:t> </w:t>
      </w:r>
      <w:r>
        <w:rPr>
          <w:spacing w:val="-21"/>
          <w:sz w:val="25"/>
        </w:rPr>
        <w:t> </w:t>
      </w:r>
      <w:r>
        <w:rPr>
          <w:w w:val="99"/>
          <w:sz w:val="25"/>
        </w:rPr>
        <w:t>first</w:t>
      </w:r>
      <w:r>
        <w:rPr>
          <w:sz w:val="25"/>
        </w:rPr>
        <w:t> </w:t>
      </w:r>
      <w:r>
        <w:rPr>
          <w:spacing w:val="-22"/>
          <w:sz w:val="25"/>
        </w:rPr>
        <w:t> </w:t>
      </w:r>
      <w:r>
        <w:rPr>
          <w:spacing w:val="2"/>
          <w:w w:val="99"/>
          <w:sz w:val="25"/>
        </w:rPr>
        <w:t>d</w:t>
      </w:r>
      <w:r>
        <w:rPr>
          <w:spacing w:val="-1"/>
          <w:w w:val="99"/>
          <w:sz w:val="25"/>
        </w:rPr>
        <w:t>ef</w:t>
      </w:r>
      <w:r>
        <w:rPr>
          <w:w w:val="99"/>
          <w:sz w:val="25"/>
        </w:rPr>
        <w:t>e</w:t>
      </w:r>
      <w:r>
        <w:rPr>
          <w:spacing w:val="-1"/>
          <w:w w:val="99"/>
          <w:sz w:val="25"/>
        </w:rPr>
        <w:t>n</w:t>
      </w:r>
      <w:r>
        <w:rPr>
          <w:w w:val="99"/>
          <w:sz w:val="25"/>
        </w:rPr>
        <w:t>d</w:t>
      </w:r>
      <w:r>
        <w:rPr>
          <w:spacing w:val="-1"/>
          <w:w w:val="99"/>
          <w:sz w:val="25"/>
        </w:rPr>
        <w:t>a</w:t>
      </w:r>
      <w:r>
        <w:rPr>
          <w:w w:val="99"/>
          <w:sz w:val="25"/>
        </w:rPr>
        <w:t>nt</w:t>
      </w:r>
      <w:r>
        <w:rPr>
          <w:sz w:val="25"/>
        </w:rPr>
        <w:t> </w:t>
      </w:r>
      <w:r>
        <w:rPr>
          <w:spacing w:val="-22"/>
          <w:sz w:val="25"/>
        </w:rPr>
        <w:t> </w:t>
      </w:r>
      <w:r>
        <w:rPr>
          <w:w w:val="33"/>
          <w:sz w:val="25"/>
        </w:rPr>
        <w:t>―</w:t>
      </w:r>
      <w:r>
        <w:rPr>
          <w:w w:val="99"/>
          <w:sz w:val="25"/>
        </w:rPr>
        <w:t>fr</w:t>
      </w:r>
      <w:r>
        <w:rPr>
          <w:spacing w:val="-1"/>
          <w:w w:val="99"/>
          <w:sz w:val="25"/>
        </w:rPr>
        <w:t>o</w:t>
      </w:r>
      <w:r>
        <w:rPr>
          <w:w w:val="99"/>
          <w:sz w:val="25"/>
        </w:rPr>
        <w:t>m</w:t>
      </w:r>
      <w:r>
        <w:rPr>
          <w:sz w:val="25"/>
        </w:rPr>
        <w:t> </w:t>
      </w:r>
      <w:r>
        <w:rPr>
          <w:spacing w:val="-21"/>
          <w:sz w:val="25"/>
        </w:rPr>
        <w:t> </w:t>
      </w:r>
      <w:r>
        <w:rPr>
          <w:w w:val="99"/>
          <w:sz w:val="25"/>
        </w:rPr>
        <w:t>the</w:t>
      </w:r>
      <w:r>
        <w:rPr>
          <w:sz w:val="25"/>
        </w:rPr>
        <w:t> </w:t>
      </w:r>
      <w:r>
        <w:rPr>
          <w:spacing w:val="-24"/>
          <w:sz w:val="25"/>
        </w:rPr>
        <w:t> </w:t>
      </w:r>
      <w:r>
        <w:rPr>
          <w:w w:val="99"/>
          <w:sz w:val="25"/>
        </w:rPr>
        <w:t>m</w:t>
      </w:r>
      <w:r>
        <w:rPr>
          <w:spacing w:val="-1"/>
          <w:w w:val="99"/>
          <w:sz w:val="25"/>
        </w:rPr>
        <w:t>a</w:t>
      </w:r>
      <w:r>
        <w:rPr>
          <w:w w:val="99"/>
          <w:sz w:val="25"/>
        </w:rPr>
        <w:t>n</w:t>
      </w:r>
      <w:r>
        <w:rPr>
          <w:spacing w:val="-1"/>
          <w:w w:val="99"/>
          <w:sz w:val="25"/>
        </w:rPr>
        <w:t>a</w:t>
      </w:r>
      <w:r>
        <w:rPr>
          <w:w w:val="99"/>
          <w:sz w:val="25"/>
        </w:rPr>
        <w:t>g</w:t>
      </w:r>
      <w:r>
        <w:rPr>
          <w:spacing w:val="-1"/>
          <w:w w:val="99"/>
          <w:sz w:val="25"/>
        </w:rPr>
        <w:t>e</w:t>
      </w:r>
      <w:r>
        <w:rPr>
          <w:w w:val="99"/>
          <w:sz w:val="25"/>
        </w:rPr>
        <w:t>m</w:t>
      </w:r>
      <w:r>
        <w:rPr>
          <w:spacing w:val="-1"/>
          <w:w w:val="99"/>
          <w:sz w:val="25"/>
        </w:rPr>
        <w:t>e</w:t>
      </w:r>
      <w:r>
        <w:rPr>
          <w:w w:val="99"/>
          <w:sz w:val="25"/>
        </w:rPr>
        <w:t>nt</w:t>
      </w:r>
      <w:r>
        <w:rPr>
          <w:sz w:val="25"/>
        </w:rPr>
        <w:t> </w:t>
      </w:r>
      <w:r>
        <w:rPr>
          <w:spacing w:val="-22"/>
          <w:sz w:val="25"/>
        </w:rPr>
        <w:t> </w:t>
      </w:r>
      <w:r>
        <w:rPr>
          <w:spacing w:val="-1"/>
          <w:w w:val="99"/>
          <w:sz w:val="25"/>
        </w:rPr>
        <w:t>a</w:t>
      </w:r>
      <w:r>
        <w:rPr>
          <w:w w:val="99"/>
          <w:sz w:val="25"/>
        </w:rPr>
        <w:t>nd </w:t>
      </w:r>
      <w:r>
        <w:rPr>
          <w:sz w:val="25"/>
        </w:rPr>
        <w:t>charge of the said temple of Janmabhumi and for delivering the same to the plaintiff‖. Suit 3 filed by Nirmohi Akhara is therefore not a suit for possession which falls within the meaning and ambit of Article</w:t>
      </w:r>
      <w:r>
        <w:rPr>
          <w:spacing w:val="-8"/>
          <w:sz w:val="25"/>
        </w:rPr>
        <w:t> </w:t>
      </w:r>
      <w:r>
        <w:rPr>
          <w:sz w:val="25"/>
        </w:rPr>
        <w:t>142.</w:t>
      </w:r>
    </w:p>
    <w:p>
      <w:pPr>
        <w:pStyle w:val="BodyText"/>
        <w:spacing w:before="2"/>
      </w:pPr>
    </w:p>
    <w:p>
      <w:pPr>
        <w:pStyle w:val="ListParagraph"/>
        <w:numPr>
          <w:ilvl w:val="0"/>
          <w:numId w:val="3"/>
        </w:numPr>
        <w:tabs>
          <w:tab w:pos="1221" w:val="left" w:leader="none"/>
        </w:tabs>
        <w:spacing w:line="477" w:lineRule="auto" w:before="0" w:after="0"/>
        <w:ind w:left="500" w:right="437" w:firstLine="0"/>
        <w:jc w:val="both"/>
        <w:rPr>
          <w:sz w:val="25"/>
        </w:rPr>
      </w:pPr>
      <w:r>
        <w:rPr>
          <w:sz w:val="25"/>
        </w:rPr>
        <w:t>Nirmohi Akhara has instituted Suit 3 claiming to be a shebait. A four judge Bench</w:t>
      </w:r>
      <w:r>
        <w:rPr>
          <w:spacing w:val="15"/>
          <w:sz w:val="25"/>
        </w:rPr>
        <w:t> </w:t>
      </w:r>
      <w:r>
        <w:rPr>
          <w:sz w:val="25"/>
        </w:rPr>
        <w:t>of</w:t>
      </w:r>
      <w:r>
        <w:rPr>
          <w:spacing w:val="16"/>
          <w:sz w:val="25"/>
        </w:rPr>
        <w:t> </w:t>
      </w:r>
      <w:r>
        <w:rPr>
          <w:sz w:val="25"/>
        </w:rPr>
        <w:t>this</w:t>
      </w:r>
      <w:r>
        <w:rPr>
          <w:spacing w:val="15"/>
          <w:sz w:val="25"/>
        </w:rPr>
        <w:t> </w:t>
      </w:r>
      <w:r>
        <w:rPr>
          <w:sz w:val="25"/>
        </w:rPr>
        <w:t>Court</w:t>
      </w:r>
      <w:r>
        <w:rPr>
          <w:spacing w:val="15"/>
          <w:sz w:val="25"/>
        </w:rPr>
        <w:t> </w:t>
      </w:r>
      <w:r>
        <w:rPr>
          <w:sz w:val="25"/>
        </w:rPr>
        <w:t>in</w:t>
      </w:r>
      <w:r>
        <w:rPr>
          <w:spacing w:val="22"/>
          <w:sz w:val="25"/>
        </w:rPr>
        <w:t> </w:t>
      </w:r>
      <w:r>
        <w:rPr>
          <w:b/>
          <w:sz w:val="25"/>
        </w:rPr>
        <w:t>Angurbala</w:t>
      </w:r>
      <w:r>
        <w:rPr>
          <w:b/>
          <w:spacing w:val="15"/>
          <w:sz w:val="25"/>
        </w:rPr>
        <w:t> </w:t>
      </w:r>
      <w:r>
        <w:rPr>
          <w:b/>
          <w:sz w:val="25"/>
        </w:rPr>
        <w:t>Mullick</w:t>
      </w:r>
      <w:r>
        <w:rPr>
          <w:b/>
          <w:spacing w:val="16"/>
          <w:sz w:val="25"/>
        </w:rPr>
        <w:t> </w:t>
      </w:r>
      <w:r>
        <w:rPr>
          <w:sz w:val="25"/>
        </w:rPr>
        <w:t>v</w:t>
      </w:r>
      <w:r>
        <w:rPr>
          <w:spacing w:val="12"/>
          <w:sz w:val="25"/>
        </w:rPr>
        <w:t> </w:t>
      </w:r>
      <w:r>
        <w:rPr>
          <w:b/>
          <w:sz w:val="25"/>
        </w:rPr>
        <w:t>Debabrata</w:t>
      </w:r>
      <w:r>
        <w:rPr>
          <w:b/>
          <w:spacing w:val="16"/>
          <w:sz w:val="25"/>
        </w:rPr>
        <w:t> </w:t>
      </w:r>
      <w:r>
        <w:rPr>
          <w:b/>
          <w:sz w:val="25"/>
        </w:rPr>
        <w:t>Mullick</w:t>
      </w:r>
      <w:r>
        <w:rPr>
          <w:sz w:val="25"/>
          <w:vertAlign w:val="superscript"/>
        </w:rPr>
        <w:t>159</w:t>
      </w:r>
      <w:r>
        <w:rPr>
          <w:spacing w:val="15"/>
          <w:sz w:val="25"/>
          <w:vertAlign w:val="baseline"/>
        </w:rPr>
        <w:t> </w:t>
      </w:r>
      <w:r>
        <w:rPr>
          <w:sz w:val="25"/>
          <w:vertAlign w:val="baseline"/>
        </w:rPr>
        <w:t>dealt</w:t>
      </w:r>
      <w:r>
        <w:rPr>
          <w:spacing w:val="15"/>
          <w:sz w:val="25"/>
          <w:vertAlign w:val="baseline"/>
        </w:rPr>
        <w:t> </w:t>
      </w:r>
      <w:r>
        <w:rPr>
          <w:sz w:val="25"/>
          <w:vertAlign w:val="baseline"/>
        </w:rPr>
        <w:t>with</w:t>
      </w:r>
      <w:r>
        <w:rPr>
          <w:spacing w:val="15"/>
          <w:sz w:val="25"/>
          <w:vertAlign w:val="baseline"/>
        </w:rPr>
        <w:t> </w:t>
      </w:r>
      <w:r>
        <w:rPr>
          <w:sz w:val="25"/>
          <w:vertAlign w:val="baseline"/>
        </w:rPr>
        <w:t>the</w:t>
      </w:r>
    </w:p>
    <w:p>
      <w:pPr>
        <w:pStyle w:val="BodyText"/>
        <w:rPr>
          <w:sz w:val="20"/>
        </w:rPr>
      </w:pPr>
    </w:p>
    <w:p>
      <w:pPr>
        <w:pStyle w:val="BodyText"/>
        <w:spacing w:before="1"/>
        <w:rPr>
          <w:sz w:val="16"/>
        </w:rPr>
      </w:pPr>
      <w:r>
        <w:rPr/>
        <w:pict>
          <v:rect style="position:absolute;margin-left:72.024002pt;margin-top:11.227857pt;width:144.020pt;height:.599980pt;mso-position-horizontal-relative:page;mso-position-vertical-relative:paragraph;z-index:-15682048;mso-wrap-distance-left:0;mso-wrap-distance-right:0" filled="true" fillcolor="#000000" stroked="false">
            <v:fill type="solid"/>
            <w10:wrap type="topAndBottom"/>
          </v:rect>
        </w:pict>
      </w:r>
    </w:p>
    <w:p>
      <w:pPr>
        <w:spacing w:after="0"/>
        <w:rPr>
          <w:sz w:val="16"/>
        </w:rPr>
        <w:sectPr>
          <w:headerReference w:type="default" r:id="rId112"/>
          <w:footerReference w:type="default" r:id="rId113"/>
          <w:pgSz w:w="11910" w:h="16840"/>
          <w:pgMar w:header="721" w:footer="1367" w:top="1300" w:bottom="1560" w:left="940" w:right="1000"/>
          <w:pgNumType w:start="300"/>
        </w:sectPr>
      </w:pPr>
    </w:p>
    <w:p>
      <w:pPr>
        <w:pStyle w:val="BodyText"/>
        <w:spacing w:line="480" w:lineRule="auto" w:before="124"/>
        <w:ind w:left="500" w:right="437"/>
        <w:jc w:val="both"/>
      </w:pPr>
      <w:r>
        <w:rPr/>
        <w:t>nature and position of a shebait. Justice B K Mukherjea (as he then was) speaking for the Court held that the position of a shebait in regard to the debutter property does not exactly correspond to that of a trustee in English law. In  English law, the legal estate in trust property vests in the trustee. On the other hand, in the case of a Hindu religious endowment, the ownership of the dedicated property is transferred to the deity or institution as a juristic person and the shebait is a mere manager who handles the affairs with respect to the deity‘s properties. Referring to the extract from the Privy Council‘s decision in </w:t>
      </w:r>
      <w:r>
        <w:rPr>
          <w:b/>
        </w:rPr>
        <w:t>Vidya Varuthi Thirtha </w:t>
      </w:r>
      <w:r>
        <w:rPr/>
        <w:t>v </w:t>
      </w:r>
      <w:r>
        <w:rPr>
          <w:b/>
        </w:rPr>
        <w:t>Balusami Ayyar</w:t>
      </w:r>
      <w:r>
        <w:rPr>
          <w:vertAlign w:val="superscript"/>
        </w:rPr>
        <w:t>160</w:t>
      </w:r>
      <w:r>
        <w:rPr>
          <w:vertAlign w:val="baseline"/>
        </w:rPr>
        <w:t>, this Court observed that though, the shebait</w:t>
      </w:r>
      <w:r>
        <w:rPr>
          <w:spacing w:val="-5"/>
          <w:vertAlign w:val="baseline"/>
        </w:rPr>
        <w:t> </w:t>
      </w:r>
      <w:r>
        <w:rPr>
          <w:vertAlign w:val="baseline"/>
        </w:rPr>
        <w:t>is</w:t>
      </w:r>
      <w:r>
        <w:rPr>
          <w:spacing w:val="-5"/>
          <w:vertAlign w:val="baseline"/>
        </w:rPr>
        <w:t> </w:t>
      </w:r>
      <w:r>
        <w:rPr>
          <w:vertAlign w:val="baseline"/>
        </w:rPr>
        <w:t>a</w:t>
      </w:r>
      <w:r>
        <w:rPr>
          <w:spacing w:val="-4"/>
          <w:vertAlign w:val="baseline"/>
        </w:rPr>
        <w:t> </w:t>
      </w:r>
      <w:r>
        <w:rPr>
          <w:vertAlign w:val="baseline"/>
        </w:rPr>
        <w:t>manager</w:t>
      </w:r>
      <w:r>
        <w:rPr>
          <w:spacing w:val="-5"/>
          <w:vertAlign w:val="baseline"/>
        </w:rPr>
        <w:t> </w:t>
      </w:r>
      <w:r>
        <w:rPr>
          <w:vertAlign w:val="baseline"/>
        </w:rPr>
        <w:t>and</w:t>
      </w:r>
      <w:r>
        <w:rPr>
          <w:spacing w:val="-5"/>
          <w:vertAlign w:val="baseline"/>
        </w:rPr>
        <w:t> </w:t>
      </w:r>
      <w:r>
        <w:rPr>
          <w:vertAlign w:val="baseline"/>
        </w:rPr>
        <w:t>not</w:t>
      </w:r>
      <w:r>
        <w:rPr>
          <w:spacing w:val="-4"/>
          <w:vertAlign w:val="baseline"/>
        </w:rPr>
        <w:t> </w:t>
      </w:r>
      <w:r>
        <w:rPr>
          <w:vertAlign w:val="baseline"/>
        </w:rPr>
        <w:t>a</w:t>
      </w:r>
      <w:r>
        <w:rPr>
          <w:spacing w:val="-5"/>
          <w:vertAlign w:val="baseline"/>
        </w:rPr>
        <w:t> </w:t>
      </w:r>
      <w:r>
        <w:rPr>
          <w:vertAlign w:val="baseline"/>
        </w:rPr>
        <w:t>trustee,</w:t>
      </w:r>
      <w:r>
        <w:rPr>
          <w:spacing w:val="-4"/>
          <w:vertAlign w:val="baseline"/>
        </w:rPr>
        <w:t> </w:t>
      </w:r>
      <w:r>
        <w:rPr>
          <w:vertAlign w:val="baseline"/>
        </w:rPr>
        <w:t>shebaitship</w:t>
      </w:r>
      <w:r>
        <w:rPr>
          <w:spacing w:val="-3"/>
          <w:vertAlign w:val="baseline"/>
        </w:rPr>
        <w:t> </w:t>
      </w:r>
      <w:r>
        <w:rPr>
          <w:vertAlign w:val="baseline"/>
        </w:rPr>
        <w:t>is</w:t>
      </w:r>
      <w:r>
        <w:rPr>
          <w:spacing w:val="-5"/>
          <w:vertAlign w:val="baseline"/>
        </w:rPr>
        <w:t> </w:t>
      </w:r>
      <w:r>
        <w:rPr>
          <w:vertAlign w:val="baseline"/>
        </w:rPr>
        <w:t>not</w:t>
      </w:r>
      <w:r>
        <w:rPr>
          <w:spacing w:val="-4"/>
          <w:vertAlign w:val="baseline"/>
        </w:rPr>
        <w:t> </w:t>
      </w:r>
      <w:r>
        <w:rPr>
          <w:vertAlign w:val="baseline"/>
        </w:rPr>
        <w:t>a</w:t>
      </w:r>
      <w:r>
        <w:rPr>
          <w:spacing w:val="-4"/>
          <w:vertAlign w:val="baseline"/>
        </w:rPr>
        <w:t> </w:t>
      </w:r>
      <w:r>
        <w:rPr>
          <w:vertAlign w:val="baseline"/>
        </w:rPr>
        <w:t>‗mere</w:t>
      </w:r>
      <w:r>
        <w:rPr>
          <w:spacing w:val="-6"/>
          <w:vertAlign w:val="baseline"/>
        </w:rPr>
        <w:t> </w:t>
      </w:r>
      <w:r>
        <w:rPr>
          <w:vertAlign w:val="baseline"/>
        </w:rPr>
        <w:t>office‘:</w:t>
      </w:r>
    </w:p>
    <w:p>
      <w:pPr>
        <w:pStyle w:val="BodyText"/>
        <w:spacing w:before="10"/>
        <w:rPr>
          <w:sz w:val="24"/>
        </w:rPr>
      </w:pPr>
    </w:p>
    <w:p>
      <w:pPr>
        <w:spacing w:line="276" w:lineRule="auto" w:before="0"/>
        <w:ind w:left="1940" w:right="2260" w:firstLine="0"/>
        <w:jc w:val="both"/>
        <w:rPr>
          <w:sz w:val="21"/>
        </w:rPr>
      </w:pPr>
      <w:r>
        <w:rPr>
          <w:spacing w:val="-1"/>
          <w:w w:val="33"/>
          <w:sz w:val="21"/>
        </w:rPr>
        <w:t>―</w:t>
      </w:r>
      <w:r>
        <w:rPr>
          <w:spacing w:val="-1"/>
          <w:w w:val="100"/>
          <w:sz w:val="21"/>
        </w:rPr>
        <w:t>12</w:t>
      </w:r>
      <w:r>
        <w:rPr>
          <w:spacing w:val="-3"/>
          <w:w w:val="100"/>
          <w:sz w:val="21"/>
        </w:rPr>
        <w:t>…</w:t>
      </w:r>
      <w:r>
        <w:rPr>
          <w:w w:val="100"/>
          <w:sz w:val="21"/>
        </w:rPr>
        <w:t>The</w:t>
      </w:r>
      <w:r>
        <w:rPr>
          <w:sz w:val="21"/>
        </w:rPr>
        <w:t>  </w:t>
      </w:r>
      <w:r>
        <w:rPr>
          <w:spacing w:val="-3"/>
          <w:sz w:val="21"/>
        </w:rPr>
        <w:t> </w:t>
      </w:r>
      <w:r>
        <w:rPr>
          <w:spacing w:val="-3"/>
          <w:w w:val="100"/>
          <w:sz w:val="21"/>
        </w:rPr>
        <w:t>s</w:t>
      </w:r>
      <w:r>
        <w:rPr>
          <w:spacing w:val="-1"/>
          <w:w w:val="100"/>
          <w:sz w:val="21"/>
        </w:rPr>
        <w:t>he</w:t>
      </w:r>
      <w:r>
        <w:rPr>
          <w:spacing w:val="-2"/>
          <w:w w:val="100"/>
          <w:sz w:val="21"/>
        </w:rPr>
        <w:t>b</w:t>
      </w:r>
      <w:r>
        <w:rPr>
          <w:spacing w:val="-1"/>
          <w:w w:val="100"/>
          <w:sz w:val="21"/>
        </w:rPr>
        <w:t>a</w:t>
      </w:r>
      <w:r>
        <w:rPr>
          <w:spacing w:val="1"/>
          <w:w w:val="100"/>
          <w:sz w:val="21"/>
        </w:rPr>
        <w:t>i</w:t>
      </w:r>
      <w:r>
        <w:rPr>
          <w:w w:val="100"/>
          <w:sz w:val="21"/>
        </w:rPr>
        <w:t>t</w:t>
      </w:r>
      <w:r>
        <w:rPr>
          <w:sz w:val="21"/>
        </w:rPr>
        <w:t>  </w:t>
      </w:r>
      <w:r>
        <w:rPr>
          <w:spacing w:val="-4"/>
          <w:sz w:val="21"/>
        </w:rPr>
        <w:t> </w:t>
      </w:r>
      <w:r>
        <w:rPr>
          <w:spacing w:val="-3"/>
          <w:w w:val="100"/>
          <w:sz w:val="21"/>
        </w:rPr>
        <w:t>h</w:t>
      </w:r>
      <w:r>
        <w:rPr>
          <w:spacing w:val="-1"/>
          <w:w w:val="100"/>
          <w:sz w:val="21"/>
        </w:rPr>
        <w:t>a</w:t>
      </w:r>
      <w:r>
        <w:rPr>
          <w:w w:val="100"/>
          <w:sz w:val="21"/>
        </w:rPr>
        <w:t>s</w:t>
      </w:r>
      <w:r>
        <w:rPr>
          <w:sz w:val="21"/>
        </w:rPr>
        <w:t>  </w:t>
      </w:r>
      <w:r>
        <w:rPr>
          <w:spacing w:val="-5"/>
          <w:sz w:val="21"/>
        </w:rPr>
        <w:t> </w:t>
      </w:r>
      <w:r>
        <w:rPr>
          <w:spacing w:val="-1"/>
          <w:w w:val="100"/>
          <w:sz w:val="21"/>
        </w:rPr>
        <w:t>no</w:t>
      </w:r>
      <w:r>
        <w:rPr>
          <w:w w:val="100"/>
          <w:sz w:val="21"/>
        </w:rPr>
        <w:t>t</w:t>
      </w:r>
      <w:r>
        <w:rPr>
          <w:sz w:val="21"/>
        </w:rPr>
        <w:t>  </w:t>
      </w:r>
      <w:r>
        <w:rPr>
          <w:spacing w:val="-4"/>
          <w:sz w:val="21"/>
        </w:rPr>
        <w:t> </w:t>
      </w:r>
      <w:r>
        <w:rPr>
          <w:spacing w:val="-1"/>
          <w:w w:val="100"/>
          <w:sz w:val="21"/>
        </w:rPr>
        <w:t>o</w:t>
      </w:r>
      <w:r>
        <w:rPr>
          <w:spacing w:val="-3"/>
          <w:w w:val="100"/>
          <w:sz w:val="21"/>
        </w:rPr>
        <w:t>n</w:t>
      </w:r>
      <w:r>
        <w:rPr>
          <w:w w:val="100"/>
          <w:sz w:val="21"/>
        </w:rPr>
        <w:t>ly</w:t>
      </w:r>
      <w:r>
        <w:rPr>
          <w:sz w:val="21"/>
        </w:rPr>
        <w:t>  </w:t>
      </w:r>
      <w:r>
        <w:rPr>
          <w:spacing w:val="-5"/>
          <w:sz w:val="21"/>
        </w:rPr>
        <w:t> </w:t>
      </w:r>
      <w:r>
        <w:rPr>
          <w:spacing w:val="-1"/>
          <w:w w:val="100"/>
          <w:sz w:val="21"/>
        </w:rPr>
        <w:t>dut</w:t>
      </w:r>
      <w:r>
        <w:rPr>
          <w:w w:val="100"/>
          <w:sz w:val="21"/>
        </w:rPr>
        <w:t>i</w:t>
      </w:r>
      <w:r>
        <w:rPr>
          <w:spacing w:val="-1"/>
          <w:w w:val="100"/>
          <w:sz w:val="21"/>
        </w:rPr>
        <w:t>e</w:t>
      </w:r>
      <w:r>
        <w:rPr>
          <w:w w:val="100"/>
          <w:sz w:val="21"/>
        </w:rPr>
        <w:t>s</w:t>
      </w:r>
      <w:r>
        <w:rPr>
          <w:sz w:val="21"/>
        </w:rPr>
        <w:t>  </w:t>
      </w:r>
      <w:r>
        <w:rPr>
          <w:spacing w:val="-3"/>
          <w:sz w:val="21"/>
        </w:rPr>
        <w:t> </w:t>
      </w:r>
      <w:r>
        <w:rPr>
          <w:spacing w:val="-2"/>
          <w:w w:val="100"/>
          <w:sz w:val="21"/>
        </w:rPr>
        <w:t>t</w:t>
      </w:r>
      <w:r>
        <w:rPr>
          <w:w w:val="100"/>
          <w:sz w:val="21"/>
        </w:rPr>
        <w:t>o</w:t>
      </w:r>
      <w:r>
        <w:rPr>
          <w:sz w:val="21"/>
        </w:rPr>
        <w:t>  </w:t>
      </w:r>
      <w:r>
        <w:rPr>
          <w:spacing w:val="-5"/>
          <w:sz w:val="21"/>
        </w:rPr>
        <w:t> </w:t>
      </w:r>
      <w:r>
        <w:rPr>
          <w:spacing w:val="-1"/>
          <w:w w:val="100"/>
          <w:sz w:val="21"/>
        </w:rPr>
        <w:t>d</w:t>
      </w:r>
      <w:r>
        <w:rPr>
          <w:spacing w:val="1"/>
          <w:w w:val="100"/>
          <w:sz w:val="21"/>
        </w:rPr>
        <w:t>i</w:t>
      </w:r>
      <w:r>
        <w:rPr>
          <w:spacing w:val="-3"/>
          <w:w w:val="100"/>
          <w:sz w:val="21"/>
        </w:rPr>
        <w:t>s</w:t>
      </w:r>
      <w:r>
        <w:rPr>
          <w:w w:val="100"/>
          <w:sz w:val="21"/>
        </w:rPr>
        <w:t>charge</w:t>
      </w:r>
      <w:r>
        <w:rPr>
          <w:sz w:val="21"/>
        </w:rPr>
        <w:t>  </w:t>
      </w:r>
      <w:r>
        <w:rPr>
          <w:spacing w:val="-5"/>
          <w:sz w:val="21"/>
        </w:rPr>
        <w:t> </w:t>
      </w:r>
      <w:r>
        <w:rPr>
          <w:spacing w:val="-2"/>
          <w:w w:val="100"/>
          <w:sz w:val="21"/>
        </w:rPr>
        <w:t>i</w:t>
      </w:r>
      <w:r>
        <w:rPr>
          <w:w w:val="100"/>
          <w:sz w:val="21"/>
        </w:rPr>
        <w:t>n </w:t>
      </w:r>
      <w:r>
        <w:rPr>
          <w:sz w:val="21"/>
        </w:rPr>
        <w:t>connection with the endowment, but he has a beneficial interest in the debutter property. As the Judicial Committee observed in the above case, in almost all such endowments the shebait has a share in the usufruct of the debutter property which depends upon the terms of the grant or upon custom or usage. Even where no emoluments are attached to the office of the shebait, he enjoys some sort of right or interest in the endowed property which partially at least has the character of a proprietary right. Thus, in the conception   of </w:t>
      </w:r>
      <w:r>
        <w:rPr>
          <w:i/>
          <w:sz w:val="21"/>
        </w:rPr>
        <w:t>shebaiti </w:t>
      </w:r>
      <w:r>
        <w:rPr>
          <w:sz w:val="21"/>
        </w:rPr>
        <w:t>both the elements of office and property, of duties and personal interest, are mixed up and blended together; and one of the elements cannot be detached from the other. It is the presence of this personal or beneficial interest in the endowed property which invests shebaitship with the character of proprietary rights and attaches to it the legal incidents of</w:t>
      </w:r>
      <w:r>
        <w:rPr>
          <w:spacing w:val="-2"/>
          <w:sz w:val="21"/>
        </w:rPr>
        <w:t> </w:t>
      </w:r>
      <w:r>
        <w:rPr>
          <w:sz w:val="21"/>
        </w:rPr>
        <w:t>property.‖</w:t>
      </w:r>
    </w:p>
    <w:p>
      <w:pPr>
        <w:pStyle w:val="BodyText"/>
        <w:rPr>
          <w:sz w:val="24"/>
        </w:rPr>
      </w:pPr>
    </w:p>
    <w:p>
      <w:pPr>
        <w:pStyle w:val="BodyText"/>
        <w:spacing w:before="2"/>
        <w:rPr>
          <w:sz w:val="26"/>
        </w:rPr>
      </w:pPr>
    </w:p>
    <w:p>
      <w:pPr>
        <w:pStyle w:val="ListParagraph"/>
        <w:numPr>
          <w:ilvl w:val="0"/>
          <w:numId w:val="3"/>
        </w:numPr>
        <w:tabs>
          <w:tab w:pos="1221" w:val="left" w:leader="none"/>
        </w:tabs>
        <w:spacing w:line="480" w:lineRule="auto" w:before="1" w:after="0"/>
        <w:ind w:left="500" w:right="438" w:firstLine="0"/>
        <w:jc w:val="both"/>
        <w:rPr>
          <w:sz w:val="25"/>
        </w:rPr>
      </w:pPr>
      <w:r>
        <w:rPr>
          <w:sz w:val="25"/>
        </w:rPr>
        <w:t>A Constitution Bench of this Court speaking through Chief Justice B K Mukherjea in </w:t>
      </w:r>
      <w:r>
        <w:rPr>
          <w:b/>
          <w:sz w:val="25"/>
        </w:rPr>
        <w:t>Commissioner, Hindu Religious Endowments Madras </w:t>
      </w:r>
      <w:r>
        <w:rPr>
          <w:sz w:val="25"/>
        </w:rPr>
        <w:t>v </w:t>
      </w:r>
      <w:r>
        <w:rPr>
          <w:b/>
          <w:sz w:val="25"/>
        </w:rPr>
        <w:t>Sri Lakshmindra</w:t>
      </w:r>
      <w:r>
        <w:rPr>
          <w:b/>
          <w:spacing w:val="16"/>
          <w:sz w:val="25"/>
        </w:rPr>
        <w:t> </w:t>
      </w:r>
      <w:r>
        <w:rPr>
          <w:b/>
          <w:sz w:val="25"/>
        </w:rPr>
        <w:t>Thirtha</w:t>
      </w:r>
      <w:r>
        <w:rPr>
          <w:b/>
          <w:spacing w:val="16"/>
          <w:sz w:val="25"/>
        </w:rPr>
        <w:t> </w:t>
      </w:r>
      <w:r>
        <w:rPr>
          <w:b/>
          <w:sz w:val="25"/>
        </w:rPr>
        <w:t>Swamiar</w:t>
      </w:r>
      <w:r>
        <w:rPr>
          <w:b/>
          <w:spacing w:val="14"/>
          <w:sz w:val="25"/>
        </w:rPr>
        <w:t> </w:t>
      </w:r>
      <w:r>
        <w:rPr>
          <w:b/>
          <w:sz w:val="25"/>
        </w:rPr>
        <w:t>Of</w:t>
      </w:r>
      <w:r>
        <w:rPr>
          <w:b/>
          <w:spacing w:val="16"/>
          <w:sz w:val="25"/>
        </w:rPr>
        <w:t> </w:t>
      </w:r>
      <w:r>
        <w:rPr>
          <w:b/>
          <w:sz w:val="25"/>
        </w:rPr>
        <w:t>Sri</w:t>
      </w:r>
      <w:r>
        <w:rPr>
          <w:b/>
          <w:spacing w:val="15"/>
          <w:sz w:val="25"/>
        </w:rPr>
        <w:t> </w:t>
      </w:r>
      <w:r>
        <w:rPr>
          <w:b/>
          <w:sz w:val="25"/>
        </w:rPr>
        <w:t>Shirur</w:t>
      </w:r>
      <w:r>
        <w:rPr>
          <w:b/>
          <w:spacing w:val="14"/>
          <w:sz w:val="25"/>
        </w:rPr>
        <w:t> </w:t>
      </w:r>
      <w:r>
        <w:rPr>
          <w:b/>
          <w:sz w:val="25"/>
        </w:rPr>
        <w:t>Mutt</w:t>
      </w:r>
      <w:r>
        <w:rPr>
          <w:sz w:val="25"/>
          <w:vertAlign w:val="superscript"/>
        </w:rPr>
        <w:t>161</w:t>
      </w:r>
      <w:r>
        <w:rPr>
          <w:sz w:val="25"/>
          <w:vertAlign w:val="baseline"/>
        </w:rPr>
        <w:t>,</w:t>
      </w:r>
      <w:r>
        <w:rPr>
          <w:spacing w:val="15"/>
          <w:sz w:val="25"/>
          <w:vertAlign w:val="baseline"/>
        </w:rPr>
        <w:t> </w:t>
      </w:r>
      <w:r>
        <w:rPr>
          <w:sz w:val="25"/>
          <w:vertAlign w:val="baseline"/>
        </w:rPr>
        <w:t>construed</w:t>
      </w:r>
      <w:r>
        <w:rPr>
          <w:spacing w:val="16"/>
          <w:sz w:val="25"/>
          <w:vertAlign w:val="baseline"/>
        </w:rPr>
        <w:t> </w:t>
      </w:r>
      <w:r>
        <w:rPr>
          <w:sz w:val="25"/>
          <w:vertAlign w:val="baseline"/>
        </w:rPr>
        <w:t>the</w:t>
      </w:r>
      <w:r>
        <w:rPr>
          <w:spacing w:val="16"/>
          <w:sz w:val="25"/>
          <w:vertAlign w:val="baseline"/>
        </w:rPr>
        <w:t> </w:t>
      </w:r>
      <w:r>
        <w:rPr>
          <w:sz w:val="25"/>
          <w:vertAlign w:val="baseline"/>
        </w:rPr>
        <w:t>position</w:t>
      </w:r>
      <w:r>
        <w:rPr>
          <w:spacing w:val="16"/>
          <w:sz w:val="25"/>
          <w:vertAlign w:val="baseline"/>
        </w:rPr>
        <w:t> </w:t>
      </w:r>
      <w:r>
        <w:rPr>
          <w:sz w:val="25"/>
          <w:vertAlign w:val="baseline"/>
        </w:rPr>
        <w:t>of</w:t>
      </w:r>
    </w:p>
    <w:p>
      <w:pPr>
        <w:pStyle w:val="BodyText"/>
        <w:spacing w:before="8"/>
        <w:rPr>
          <w:sz w:val="28"/>
        </w:rPr>
      </w:pPr>
      <w:r>
        <w:rPr/>
        <w:pict>
          <v:rect style="position:absolute;margin-left:72.024002pt;margin-top:18.497566pt;width:144.020pt;height:.599980pt;mso-position-horizontal-relative:page;mso-position-vertical-relative:paragraph;z-index:-15681536;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160</w:t>
      </w:r>
      <w:r>
        <w:rPr>
          <w:sz w:val="18"/>
          <w:vertAlign w:val="baseline"/>
        </w:rPr>
        <w:t> AIR 1922 PC 123</w:t>
      </w:r>
    </w:p>
    <w:p>
      <w:pPr>
        <w:spacing w:after="0"/>
        <w:jc w:val="left"/>
        <w:rPr>
          <w:sz w:val="18"/>
        </w:rPr>
        <w:sectPr>
          <w:pgSz w:w="11910" w:h="16840"/>
          <w:pgMar w:header="721" w:footer="1367" w:top="1300" w:bottom="1560" w:left="940" w:right="1000"/>
        </w:sectPr>
      </w:pPr>
    </w:p>
    <w:p>
      <w:pPr>
        <w:pStyle w:val="BodyText"/>
        <w:spacing w:line="480" w:lineRule="auto" w:before="121"/>
        <w:ind w:left="500" w:right="434"/>
        <w:jc w:val="both"/>
      </w:pPr>
      <w:r>
        <w:rPr/>
        <w:t>a Matadhipati. Adverting to the earlier decision in </w:t>
      </w:r>
      <w:r>
        <w:rPr>
          <w:b/>
        </w:rPr>
        <w:t>Angurbala Mullick</w:t>
      </w:r>
      <w:r>
        <w:rPr/>
        <w:t>, this Court held that as in the case of a shebait so also in a case involving a mahant, both elements of office and property are blended together:</w:t>
      </w:r>
    </w:p>
    <w:p>
      <w:pPr>
        <w:spacing w:line="276" w:lineRule="auto" w:before="2"/>
        <w:ind w:left="1940" w:right="2260" w:firstLine="0"/>
        <w:jc w:val="both"/>
        <w:rPr>
          <w:sz w:val="21"/>
        </w:rPr>
      </w:pPr>
      <w:r>
        <w:rPr>
          <w:spacing w:val="-1"/>
          <w:w w:val="33"/>
          <w:sz w:val="21"/>
        </w:rPr>
        <w:t>―</w:t>
      </w:r>
      <w:r>
        <w:rPr>
          <w:spacing w:val="-1"/>
          <w:w w:val="100"/>
          <w:sz w:val="21"/>
        </w:rPr>
        <w:t>11</w:t>
      </w:r>
      <w:r>
        <w:rPr>
          <w:w w:val="100"/>
          <w:sz w:val="21"/>
        </w:rPr>
        <w:t>.</w:t>
      </w:r>
      <w:r>
        <w:rPr>
          <w:spacing w:val="-2"/>
          <w:sz w:val="21"/>
        </w:rPr>
        <w:t> </w:t>
      </w:r>
      <w:r>
        <w:rPr>
          <w:w w:val="100"/>
          <w:sz w:val="21"/>
        </w:rPr>
        <w:t>As</w:t>
      </w:r>
      <w:r>
        <w:rPr>
          <w:spacing w:val="25"/>
          <w:sz w:val="21"/>
        </w:rPr>
        <w:t> </w:t>
      </w:r>
      <w:r>
        <w:rPr>
          <w:spacing w:val="-1"/>
          <w:w w:val="100"/>
          <w:sz w:val="21"/>
        </w:rPr>
        <w:t>r</w:t>
      </w:r>
      <w:r>
        <w:rPr>
          <w:w w:val="100"/>
          <w:sz w:val="21"/>
        </w:rPr>
        <w:t>e</w:t>
      </w:r>
      <w:r>
        <w:rPr>
          <w:spacing w:val="-2"/>
          <w:w w:val="100"/>
          <w:sz w:val="21"/>
        </w:rPr>
        <w:t>g</w:t>
      </w:r>
      <w:r>
        <w:rPr>
          <w:w w:val="100"/>
          <w:sz w:val="21"/>
        </w:rPr>
        <w:t>ards</w:t>
      </w:r>
      <w:r>
        <w:rPr>
          <w:spacing w:val="25"/>
          <w:sz w:val="21"/>
        </w:rPr>
        <w:t> </w:t>
      </w:r>
      <w:r>
        <w:rPr>
          <w:spacing w:val="-2"/>
          <w:w w:val="100"/>
          <w:sz w:val="21"/>
        </w:rPr>
        <w:t>t</w:t>
      </w:r>
      <w:r>
        <w:rPr>
          <w:spacing w:val="-3"/>
          <w:w w:val="100"/>
          <w:sz w:val="21"/>
        </w:rPr>
        <w:t>h</w:t>
      </w:r>
      <w:r>
        <w:rPr>
          <w:w w:val="100"/>
          <w:sz w:val="21"/>
        </w:rPr>
        <w:t>e</w:t>
      </w:r>
      <w:r>
        <w:rPr>
          <w:spacing w:val="25"/>
          <w:sz w:val="21"/>
        </w:rPr>
        <w:t> </w:t>
      </w:r>
      <w:r>
        <w:rPr>
          <w:w w:val="100"/>
          <w:sz w:val="21"/>
        </w:rPr>
        <w:t>pr</w:t>
      </w:r>
      <w:r>
        <w:rPr>
          <w:spacing w:val="-3"/>
          <w:w w:val="100"/>
          <w:sz w:val="21"/>
        </w:rPr>
        <w:t>op</w:t>
      </w:r>
      <w:r>
        <w:rPr>
          <w:w w:val="100"/>
          <w:sz w:val="21"/>
        </w:rPr>
        <w:t>er</w:t>
      </w:r>
      <w:r>
        <w:rPr>
          <w:spacing w:val="-2"/>
          <w:w w:val="100"/>
          <w:sz w:val="21"/>
        </w:rPr>
        <w:t>t</w:t>
      </w:r>
      <w:r>
        <w:rPr>
          <w:w w:val="100"/>
          <w:sz w:val="21"/>
        </w:rPr>
        <w:t>y</w:t>
      </w:r>
      <w:r>
        <w:rPr>
          <w:spacing w:val="23"/>
          <w:sz w:val="21"/>
        </w:rPr>
        <w:t> </w:t>
      </w:r>
      <w:r>
        <w:rPr>
          <w:spacing w:val="-1"/>
          <w:w w:val="100"/>
          <w:sz w:val="21"/>
        </w:rPr>
        <w:t>r</w:t>
      </w:r>
      <w:r>
        <w:rPr>
          <w:w w:val="100"/>
          <w:sz w:val="21"/>
        </w:rPr>
        <w:t>i</w:t>
      </w:r>
      <w:r>
        <w:rPr>
          <w:w w:val="100"/>
          <w:sz w:val="21"/>
        </w:rPr>
        <w:t>gh</w:t>
      </w:r>
      <w:r>
        <w:rPr>
          <w:spacing w:val="-1"/>
          <w:w w:val="100"/>
          <w:sz w:val="21"/>
        </w:rPr>
        <w:t>t</w:t>
      </w:r>
      <w:r>
        <w:rPr>
          <w:w w:val="100"/>
          <w:sz w:val="21"/>
        </w:rPr>
        <w:t>s</w:t>
      </w:r>
      <w:r>
        <w:rPr>
          <w:spacing w:val="25"/>
          <w:sz w:val="21"/>
        </w:rPr>
        <w:t> </w:t>
      </w:r>
      <w:r>
        <w:rPr>
          <w:w w:val="100"/>
          <w:sz w:val="21"/>
        </w:rPr>
        <w:t>of</w:t>
      </w:r>
      <w:r>
        <w:rPr>
          <w:spacing w:val="24"/>
          <w:sz w:val="21"/>
        </w:rPr>
        <w:t> </w:t>
      </w:r>
      <w:r>
        <w:rPr>
          <w:w w:val="100"/>
          <w:sz w:val="21"/>
        </w:rPr>
        <w:t>a</w:t>
      </w:r>
      <w:r>
        <w:rPr>
          <w:spacing w:val="25"/>
          <w:sz w:val="21"/>
        </w:rPr>
        <w:t> </w:t>
      </w:r>
      <w:r>
        <w:rPr>
          <w:spacing w:val="-4"/>
          <w:w w:val="100"/>
          <w:sz w:val="21"/>
        </w:rPr>
        <w:t>M</w:t>
      </w:r>
      <w:r>
        <w:rPr>
          <w:w w:val="100"/>
          <w:sz w:val="21"/>
        </w:rPr>
        <w:t>a</w:t>
      </w:r>
      <w:r>
        <w:rPr>
          <w:spacing w:val="-1"/>
          <w:w w:val="100"/>
          <w:sz w:val="21"/>
        </w:rPr>
        <w:t>t</w:t>
      </w:r>
      <w:r>
        <w:rPr>
          <w:w w:val="100"/>
          <w:sz w:val="21"/>
        </w:rPr>
        <w:t>ha</w:t>
      </w:r>
      <w:r>
        <w:rPr>
          <w:spacing w:val="-2"/>
          <w:w w:val="100"/>
          <w:sz w:val="21"/>
        </w:rPr>
        <w:t>d</w:t>
      </w:r>
      <w:r>
        <w:rPr>
          <w:w w:val="100"/>
          <w:sz w:val="21"/>
        </w:rPr>
        <w:t>h</w:t>
      </w:r>
      <w:r>
        <w:rPr>
          <w:spacing w:val="-2"/>
          <w:w w:val="100"/>
          <w:sz w:val="21"/>
        </w:rPr>
        <w:t>i</w:t>
      </w:r>
      <w:r>
        <w:rPr>
          <w:w w:val="100"/>
          <w:sz w:val="21"/>
        </w:rPr>
        <w:t>pa</w:t>
      </w:r>
      <w:r>
        <w:rPr>
          <w:spacing w:val="-1"/>
          <w:w w:val="100"/>
          <w:sz w:val="21"/>
        </w:rPr>
        <w:t>t</w:t>
      </w:r>
      <w:r>
        <w:rPr>
          <w:w w:val="100"/>
          <w:sz w:val="21"/>
        </w:rPr>
        <w:t>i</w:t>
      </w:r>
      <w:r>
        <w:rPr>
          <w:w w:val="100"/>
          <w:sz w:val="21"/>
        </w:rPr>
        <w:t>,</w:t>
      </w:r>
      <w:r>
        <w:rPr>
          <w:spacing w:val="24"/>
          <w:sz w:val="21"/>
        </w:rPr>
        <w:t> </w:t>
      </w:r>
      <w:r>
        <w:rPr>
          <w:w w:val="100"/>
          <w:sz w:val="21"/>
        </w:rPr>
        <w:t>i</w:t>
      </w:r>
      <w:r>
        <w:rPr>
          <w:w w:val="100"/>
          <w:sz w:val="21"/>
        </w:rPr>
        <w:t>t</w:t>
      </w:r>
      <w:r>
        <w:rPr>
          <w:spacing w:val="21"/>
          <w:sz w:val="21"/>
        </w:rPr>
        <w:t> </w:t>
      </w:r>
      <w:r>
        <w:rPr>
          <w:spacing w:val="-1"/>
          <w:w w:val="100"/>
          <w:sz w:val="21"/>
        </w:rPr>
        <w:t>m</w:t>
      </w:r>
      <w:r>
        <w:rPr>
          <w:w w:val="100"/>
          <w:sz w:val="21"/>
        </w:rPr>
        <w:t>ay </w:t>
      </w:r>
      <w:r>
        <w:rPr>
          <w:sz w:val="21"/>
        </w:rPr>
        <w:t>not be possible to say in view of the pronouncements of the Judicial Committee, which have been accepted as good law in this country ever since 1921, that a Mathadhipati holds the Math property as a life tenant or that his position is similar to that of a Hindu widow in respect to her husband's estate or of an English Bishop holding a benefice. He is certainly not a trustee in the strict sense. He may be, as the Privy Council [ Vide </w:t>
      </w:r>
      <w:r>
        <w:rPr>
          <w:i/>
          <w:sz w:val="21"/>
        </w:rPr>
        <w:t>Vidya Varuthi </w:t>
      </w:r>
      <w:r>
        <w:rPr>
          <w:sz w:val="21"/>
        </w:rPr>
        <w:t>v. </w:t>
      </w:r>
      <w:r>
        <w:rPr>
          <w:i/>
          <w:sz w:val="21"/>
        </w:rPr>
        <w:t>Balusami</w:t>
      </w:r>
      <w:r>
        <w:rPr>
          <w:sz w:val="21"/>
        </w:rPr>
        <w:t>, 48 IA 302] says, a manager or custodian of the institution who has to discharge the duties of a trustee and is answerable as such; but he is not a mere manager and it would not be right to describe Mahantship as a mere office. A superior of a Math has not only duties to discharge in connection with the endowment but he has a personal interest of a beneficial character which is sanctioned by custom and is much larger than that of a Shebait in the debutter property. It was held by a Full Bench of the Calcutta High Court [ Vide </w:t>
      </w:r>
      <w:r>
        <w:rPr>
          <w:i/>
          <w:sz w:val="21"/>
        </w:rPr>
        <w:t>Monahar </w:t>
      </w:r>
      <w:r>
        <w:rPr>
          <w:sz w:val="21"/>
        </w:rPr>
        <w:t>v. </w:t>
      </w:r>
      <w:r>
        <w:rPr>
          <w:i/>
          <w:sz w:val="21"/>
        </w:rPr>
        <w:t>Bhupendra</w:t>
      </w:r>
      <w:r>
        <w:rPr>
          <w:sz w:val="21"/>
        </w:rPr>
        <w:t>, 60 Cal 452] that Shebaitship itself is property, and this decision was approved of by the Judicial Committee in </w:t>
      </w:r>
      <w:r>
        <w:rPr>
          <w:i/>
          <w:sz w:val="21"/>
        </w:rPr>
        <w:t>Ganesh </w:t>
      </w:r>
      <w:r>
        <w:rPr>
          <w:sz w:val="21"/>
        </w:rPr>
        <w:t>v. </w:t>
      </w:r>
      <w:r>
        <w:rPr>
          <w:i/>
          <w:sz w:val="21"/>
        </w:rPr>
        <w:t>Lal Behary </w:t>
      </w:r>
      <w:r>
        <w:rPr>
          <w:sz w:val="21"/>
        </w:rPr>
        <w:t>[63 IA 448] and again in </w:t>
      </w:r>
      <w:r>
        <w:rPr>
          <w:i/>
          <w:sz w:val="21"/>
        </w:rPr>
        <w:t>Bhabatarini </w:t>
      </w:r>
      <w:r>
        <w:rPr>
          <w:sz w:val="21"/>
        </w:rPr>
        <w:t>v. </w:t>
      </w:r>
      <w:r>
        <w:rPr>
          <w:i/>
          <w:sz w:val="21"/>
        </w:rPr>
        <w:t>Ashalata </w:t>
      </w:r>
      <w:r>
        <w:rPr>
          <w:sz w:val="21"/>
        </w:rPr>
        <w:t>[70 IA 57]. The effect of the first two decisions, as the Privy Council pointed out in the last case, was to emphasise the proprietary  element in the Shebaiti right and to show that though in some respects an anomaly, it was an anomaly to be accepted as having been admitted into Hindu law from an early date. This view   was   adopted    in    its    entirety    by    this    Court    in </w:t>
      </w:r>
      <w:r>
        <w:rPr>
          <w:i/>
          <w:sz w:val="21"/>
        </w:rPr>
        <w:t>Angurbala </w:t>
      </w:r>
      <w:r>
        <w:rPr>
          <w:sz w:val="21"/>
        </w:rPr>
        <w:t>v. </w:t>
      </w:r>
      <w:r>
        <w:rPr>
          <w:i/>
          <w:sz w:val="21"/>
        </w:rPr>
        <w:t>Debabrata </w:t>
      </w:r>
      <w:r>
        <w:rPr>
          <w:sz w:val="21"/>
        </w:rPr>
        <w:t>[1951 SCR 1125] and what was said in that case in respect to Shebaiti right could, with equal propriety, be applied to the office of a Mahant. Thus, in the conception of Mahantship, as in Shebaitship, both the elements of office and property, of duties and personal interest are blended together and neither can be detached from the other. The personal or beneficial interest of the Mahant in the endowments attached to an institution is manifested in his large powers of disposal and administration and his right to create derivative tenures in respect to endowed properties; and these and other rights of a similar character invest the office of the Mahant with the character of proprietary right which, though anomalous to some extent, is still a genuine legal right. It is true that the Mahantship is not heritable like ordinary property, but that is because of its peculiar nature and the fact that the office is generally held by an ascetic, whose connection with his natural family</w:t>
      </w:r>
      <w:r>
        <w:rPr>
          <w:spacing w:val="9"/>
          <w:sz w:val="21"/>
        </w:rPr>
        <w:t> </w:t>
      </w:r>
      <w:r>
        <w:rPr>
          <w:sz w:val="21"/>
        </w:rPr>
        <w:t>being</w:t>
      </w:r>
    </w:p>
    <w:p>
      <w:pPr>
        <w:spacing w:after="0" w:line="276" w:lineRule="auto"/>
        <w:jc w:val="both"/>
        <w:rPr>
          <w:sz w:val="21"/>
        </w:rPr>
        <w:sectPr>
          <w:headerReference w:type="default" r:id="rId114"/>
          <w:footerReference w:type="default" r:id="rId115"/>
          <w:pgSz w:w="11910" w:h="16840"/>
          <w:pgMar w:header="721" w:footer="1014" w:top="1300" w:bottom="1200" w:left="940" w:right="1000"/>
          <w:pgNumType w:start="302"/>
        </w:sectPr>
      </w:pPr>
    </w:p>
    <w:p>
      <w:pPr>
        <w:spacing w:line="276" w:lineRule="auto" w:before="122"/>
        <w:ind w:left="1940" w:right="2346" w:firstLine="0"/>
        <w:jc w:val="left"/>
        <w:rPr>
          <w:sz w:val="21"/>
        </w:rPr>
      </w:pPr>
      <w:r>
        <w:rPr>
          <w:sz w:val="21"/>
        </w:rPr>
        <w:t>completely cut off, the ordinary rules of succession do not apply.‖</w:t>
      </w:r>
    </w:p>
    <w:p>
      <w:pPr>
        <w:pStyle w:val="BodyText"/>
        <w:rPr>
          <w:sz w:val="24"/>
        </w:rPr>
      </w:pPr>
    </w:p>
    <w:p>
      <w:pPr>
        <w:pStyle w:val="BodyText"/>
        <w:spacing w:before="2"/>
        <w:rPr>
          <w:sz w:val="22"/>
        </w:rPr>
      </w:pPr>
    </w:p>
    <w:p>
      <w:pPr>
        <w:pStyle w:val="BodyText"/>
        <w:spacing w:line="480" w:lineRule="auto"/>
        <w:ind w:left="500" w:right="434"/>
        <w:jc w:val="both"/>
      </w:pPr>
      <w:r>
        <w:rPr/>
        <w:t>The claim of Nirmohi Akhara for management and charge therefore rests on its assertion of being a shebait. In the case of a shebait as the above decisions authoritatively explained, the elements of office and of a proprietary interest are blended together. The Suit by Nirmohi Akhara was a suit for restoration of management and charge so as to enable the Akhara to have the benefit of the usufruct in the discharge of its obligations towards the deity. The suit was therefore not a suit for possession within the meaning of Article 142. Despite the ingenuity of counsel in seeking to expand the nature and ambit of </w:t>
      </w:r>
      <w:r>
        <w:rPr>
          <w:spacing w:val="3"/>
        </w:rPr>
        <w:t>the </w:t>
      </w:r>
      <w:r>
        <w:rPr/>
        <w:t>suit, we are categorically of the view that written submissions filed in the appeal cannot be a valid basis to reconfigure the nature of the suit. The suit has to be read on the basis of the original plaint in the trial court. Despite the amendment to </w:t>
      </w:r>
      <w:r>
        <w:rPr>
          <w:spacing w:val="2"/>
        </w:rPr>
        <w:t>the </w:t>
      </w:r>
      <w:r>
        <w:rPr/>
        <w:t>plaint in Suit 3, the relief as it stands does not bring it within the ambit of Article 142. It may also be noted at this stage that during the course of the submissions, Mr S K </w:t>
      </w:r>
      <w:r>
        <w:rPr>
          <w:w w:val="99"/>
        </w:rPr>
        <w:t>Jain,</w:t>
      </w:r>
      <w:r>
        <w:rPr/>
        <w:t> </w:t>
      </w:r>
      <w:r>
        <w:rPr>
          <w:spacing w:val="-24"/>
        </w:rPr>
        <w:t> </w:t>
      </w:r>
      <w:r>
        <w:rPr>
          <w:w w:val="99"/>
        </w:rPr>
        <w:t>clar</w:t>
      </w:r>
      <w:r>
        <w:rPr>
          <w:spacing w:val="-1"/>
          <w:w w:val="99"/>
        </w:rPr>
        <w:t>ifie</w:t>
      </w:r>
      <w:r>
        <w:rPr>
          <w:w w:val="99"/>
        </w:rPr>
        <w:t>d</w:t>
      </w:r>
      <w:r>
        <w:rPr/>
        <w:t> </w:t>
      </w:r>
      <w:r>
        <w:rPr>
          <w:spacing w:val="-24"/>
        </w:rPr>
        <w:t> </w:t>
      </w:r>
      <w:r>
        <w:rPr>
          <w:w w:val="99"/>
        </w:rPr>
        <w:t>that</w:t>
      </w:r>
      <w:r>
        <w:rPr/>
        <w:t> </w:t>
      </w:r>
      <w:r>
        <w:rPr>
          <w:spacing w:val="-27"/>
        </w:rPr>
        <w:t> </w:t>
      </w:r>
      <w:r>
        <w:rPr>
          <w:spacing w:val="-1"/>
          <w:w w:val="99"/>
        </w:rPr>
        <w:t>Nir</w:t>
      </w:r>
      <w:r>
        <w:rPr>
          <w:w w:val="99"/>
        </w:rPr>
        <w:t>m</w:t>
      </w:r>
      <w:r>
        <w:rPr>
          <w:spacing w:val="-1"/>
          <w:w w:val="99"/>
        </w:rPr>
        <w:t>o</w:t>
      </w:r>
      <w:r>
        <w:rPr>
          <w:w w:val="99"/>
        </w:rPr>
        <w:t>hi</w:t>
      </w:r>
      <w:r>
        <w:rPr/>
        <w:t> </w:t>
      </w:r>
      <w:r>
        <w:rPr>
          <w:spacing w:val="-25"/>
        </w:rPr>
        <w:t> </w:t>
      </w:r>
      <w:r>
        <w:rPr>
          <w:spacing w:val="-1"/>
          <w:w w:val="99"/>
        </w:rPr>
        <w:t>A</w:t>
      </w:r>
      <w:r>
        <w:rPr>
          <w:w w:val="99"/>
        </w:rPr>
        <w:t>khara</w:t>
      </w:r>
      <w:r>
        <w:rPr/>
        <w:t> </w:t>
      </w:r>
      <w:r>
        <w:rPr>
          <w:spacing w:val="-24"/>
        </w:rPr>
        <w:t> </w:t>
      </w:r>
      <w:r>
        <w:rPr>
          <w:spacing w:val="-1"/>
          <w:w w:val="99"/>
        </w:rPr>
        <w:t>b</w:t>
      </w:r>
      <w:r>
        <w:rPr>
          <w:w w:val="99"/>
        </w:rPr>
        <w:t>y</w:t>
      </w:r>
      <w:r>
        <w:rPr/>
        <w:t> </w:t>
      </w:r>
      <w:r>
        <w:rPr>
          <w:spacing w:val="-26"/>
        </w:rPr>
        <w:t> </w:t>
      </w:r>
      <w:r>
        <w:rPr>
          <w:spacing w:val="-1"/>
          <w:w w:val="99"/>
        </w:rPr>
        <w:t>us</w:t>
      </w:r>
      <w:r>
        <w:rPr>
          <w:spacing w:val="-3"/>
          <w:w w:val="99"/>
        </w:rPr>
        <w:t>i</w:t>
      </w:r>
      <w:r>
        <w:rPr>
          <w:spacing w:val="-1"/>
          <w:w w:val="99"/>
        </w:rPr>
        <w:t>n</w:t>
      </w:r>
      <w:r>
        <w:rPr>
          <w:w w:val="99"/>
        </w:rPr>
        <w:t>g</w:t>
      </w:r>
      <w:r>
        <w:rPr/>
        <w:t> </w:t>
      </w:r>
      <w:r>
        <w:rPr>
          <w:spacing w:val="-24"/>
        </w:rPr>
        <w:t> </w:t>
      </w:r>
      <w:r>
        <w:rPr>
          <w:w w:val="99"/>
        </w:rPr>
        <w:t>the</w:t>
      </w:r>
      <w:r>
        <w:rPr/>
        <w:t> </w:t>
      </w:r>
      <w:r>
        <w:rPr>
          <w:spacing w:val="-24"/>
        </w:rPr>
        <w:t> </w:t>
      </w:r>
      <w:r>
        <w:rPr>
          <w:spacing w:val="-1"/>
          <w:w w:val="99"/>
        </w:rPr>
        <w:t>e</w:t>
      </w:r>
      <w:r>
        <w:rPr>
          <w:spacing w:val="-3"/>
          <w:w w:val="99"/>
        </w:rPr>
        <w:t>x</w:t>
      </w:r>
      <w:r>
        <w:rPr>
          <w:spacing w:val="-1"/>
          <w:w w:val="99"/>
        </w:rPr>
        <w:t>p</w:t>
      </w:r>
      <w:r>
        <w:rPr>
          <w:w w:val="99"/>
        </w:rPr>
        <w:t>r</w:t>
      </w:r>
      <w:r>
        <w:rPr>
          <w:spacing w:val="-1"/>
          <w:w w:val="99"/>
        </w:rPr>
        <w:t>essio</w:t>
      </w:r>
      <w:r>
        <w:rPr>
          <w:w w:val="99"/>
        </w:rPr>
        <w:t>n</w:t>
      </w:r>
      <w:r>
        <w:rPr/>
        <w:t> </w:t>
      </w:r>
      <w:r>
        <w:rPr>
          <w:spacing w:val="-24"/>
        </w:rPr>
        <w:t> </w:t>
      </w:r>
      <w:r>
        <w:rPr>
          <w:w w:val="33"/>
        </w:rPr>
        <w:t>―</w:t>
      </w:r>
      <w:r>
        <w:rPr>
          <w:spacing w:val="-3"/>
          <w:w w:val="99"/>
        </w:rPr>
        <w:t>b</w:t>
      </w:r>
      <w:r>
        <w:rPr>
          <w:spacing w:val="-1"/>
          <w:w w:val="99"/>
        </w:rPr>
        <w:t>elo</w:t>
      </w:r>
      <w:r>
        <w:rPr>
          <w:w w:val="99"/>
        </w:rPr>
        <w:t>n</w:t>
      </w:r>
      <w:r>
        <w:rPr>
          <w:spacing w:val="-1"/>
          <w:w w:val="99"/>
        </w:rPr>
        <w:t>g</w:t>
      </w:r>
      <w:r>
        <w:rPr>
          <w:w w:val="99"/>
        </w:rPr>
        <w:t>s</w:t>
      </w:r>
      <w:r>
        <w:rPr/>
        <w:t> </w:t>
      </w:r>
      <w:r>
        <w:rPr>
          <w:spacing w:val="-24"/>
        </w:rPr>
        <w:t> </w:t>
      </w:r>
      <w:r>
        <w:rPr>
          <w:w w:val="93"/>
        </w:rPr>
        <w:t>to‖</w:t>
      </w:r>
      <w:r>
        <w:rPr/>
        <w:t> </w:t>
      </w:r>
      <w:r>
        <w:rPr>
          <w:spacing w:val="-23"/>
        </w:rPr>
        <w:t> </w:t>
      </w:r>
      <w:r>
        <w:rPr>
          <w:spacing w:val="-1"/>
          <w:w w:val="99"/>
        </w:rPr>
        <w:t>i</w:t>
      </w:r>
      <w:r>
        <w:rPr>
          <w:w w:val="99"/>
        </w:rPr>
        <w:t>s</w:t>
      </w:r>
      <w:r>
        <w:rPr/>
        <w:t> </w:t>
      </w:r>
      <w:r>
        <w:rPr>
          <w:spacing w:val="-19"/>
        </w:rPr>
        <w:t> </w:t>
      </w:r>
      <w:r>
        <w:rPr>
          <w:w w:val="99"/>
        </w:rPr>
        <w:t>no</w:t>
      </w:r>
      <w:r>
        <w:rPr>
          <w:w w:val="99"/>
        </w:rPr>
        <w:t>t </w:t>
      </w:r>
      <w:r>
        <w:rPr/>
        <w:t>claiming title or ownership to the property. The Suit by Nirmohi Akhara is not a suit for possession. Hence, neither Article 142 nor Article 144 has any application.</w:t>
      </w:r>
    </w:p>
    <w:p>
      <w:pPr>
        <w:pStyle w:val="BodyText"/>
        <w:spacing w:before="10"/>
        <w:rPr>
          <w:sz w:val="24"/>
        </w:rPr>
      </w:pPr>
    </w:p>
    <w:p>
      <w:pPr>
        <w:pStyle w:val="ListParagraph"/>
        <w:numPr>
          <w:ilvl w:val="0"/>
          <w:numId w:val="3"/>
        </w:numPr>
        <w:tabs>
          <w:tab w:pos="1221" w:val="left" w:leader="none"/>
        </w:tabs>
        <w:spacing w:line="480" w:lineRule="auto" w:before="0" w:after="0"/>
        <w:ind w:left="500" w:right="439" w:firstLine="0"/>
        <w:jc w:val="both"/>
        <w:rPr>
          <w:sz w:val="25"/>
        </w:rPr>
      </w:pPr>
      <w:r>
        <w:rPr>
          <w:sz w:val="25"/>
        </w:rPr>
        <w:t>In </w:t>
      </w:r>
      <w:r>
        <w:rPr>
          <w:b/>
          <w:sz w:val="25"/>
        </w:rPr>
        <w:t>Ramiah </w:t>
      </w:r>
      <w:r>
        <w:rPr>
          <w:sz w:val="25"/>
        </w:rPr>
        <w:t>v </w:t>
      </w:r>
      <w:r>
        <w:rPr>
          <w:b/>
          <w:sz w:val="25"/>
        </w:rPr>
        <w:t>N Narayana Reddy</w:t>
      </w:r>
      <w:r>
        <w:rPr>
          <w:sz w:val="25"/>
          <w:vertAlign w:val="superscript"/>
        </w:rPr>
        <w:t>162</w:t>
      </w:r>
      <w:r>
        <w:rPr>
          <w:sz w:val="25"/>
          <w:vertAlign w:val="baseline"/>
        </w:rPr>
        <w:t>, a two judge Bench of this </w:t>
      </w:r>
      <w:r>
        <w:rPr>
          <w:spacing w:val="-3"/>
          <w:sz w:val="25"/>
          <w:vertAlign w:val="baseline"/>
        </w:rPr>
        <w:t>Court </w:t>
      </w:r>
      <w:r>
        <w:rPr>
          <w:sz w:val="25"/>
          <w:vertAlign w:val="baseline"/>
        </w:rPr>
        <w:t>elaborated on the distinction between Articles 142 and 144 of the Limitation Act 1908 (corresponding to Articles 64 and 65 of the Limitation Act 1963)</w:t>
      </w:r>
      <w:r>
        <w:rPr>
          <w:spacing w:val="-17"/>
          <w:sz w:val="25"/>
          <w:vertAlign w:val="baseline"/>
        </w:rPr>
        <w:t> </w:t>
      </w:r>
      <w:r>
        <w:rPr>
          <w:sz w:val="25"/>
          <w:vertAlign w:val="baseline"/>
        </w:rPr>
        <w:t>thus:</w:t>
      </w:r>
    </w:p>
    <w:p>
      <w:pPr>
        <w:spacing w:line="276" w:lineRule="auto" w:before="2"/>
        <w:ind w:left="1940" w:right="2169" w:firstLine="0"/>
        <w:jc w:val="left"/>
        <w:rPr>
          <w:sz w:val="21"/>
        </w:rPr>
      </w:pPr>
      <w:r>
        <w:rPr>
          <w:w w:val="33"/>
          <w:sz w:val="21"/>
        </w:rPr>
        <w:t>―</w:t>
      </w:r>
      <w:r>
        <w:rPr>
          <w:w w:val="100"/>
          <w:sz w:val="21"/>
        </w:rPr>
        <w:t>9…Article</w:t>
      </w:r>
      <w:r>
        <w:rPr>
          <w:sz w:val="21"/>
        </w:rPr>
        <w:t>  </w:t>
      </w:r>
      <w:r>
        <w:rPr>
          <w:w w:val="100"/>
          <w:sz w:val="21"/>
        </w:rPr>
        <w:t>64</w:t>
      </w:r>
      <w:r>
        <w:rPr>
          <w:sz w:val="21"/>
        </w:rPr>
        <w:t>  </w:t>
      </w:r>
      <w:r>
        <w:rPr>
          <w:w w:val="100"/>
          <w:sz w:val="21"/>
        </w:rPr>
        <w:t>of</w:t>
      </w:r>
      <w:r>
        <w:rPr>
          <w:sz w:val="21"/>
        </w:rPr>
        <w:t>  </w:t>
      </w:r>
      <w:r>
        <w:rPr>
          <w:w w:val="100"/>
          <w:sz w:val="21"/>
        </w:rPr>
        <w:t>the</w:t>
      </w:r>
      <w:r>
        <w:rPr>
          <w:sz w:val="21"/>
        </w:rPr>
        <w:t>  </w:t>
      </w:r>
      <w:r>
        <w:rPr>
          <w:w w:val="100"/>
          <w:sz w:val="21"/>
        </w:rPr>
        <w:t>Limitation</w:t>
      </w:r>
      <w:r>
        <w:rPr>
          <w:sz w:val="21"/>
        </w:rPr>
        <w:t> </w:t>
      </w:r>
      <w:r>
        <w:rPr>
          <w:w w:val="100"/>
          <w:sz w:val="21"/>
        </w:rPr>
        <w:t>Act,</w:t>
      </w:r>
      <w:r>
        <w:rPr>
          <w:sz w:val="21"/>
        </w:rPr>
        <w:t> </w:t>
      </w:r>
      <w:r>
        <w:rPr>
          <w:w w:val="100"/>
          <w:sz w:val="21"/>
        </w:rPr>
        <w:t>1963</w:t>
      </w:r>
      <w:r>
        <w:rPr>
          <w:sz w:val="21"/>
        </w:rPr>
        <w:t>  </w:t>
      </w:r>
      <w:r>
        <w:rPr>
          <w:w w:val="100"/>
          <w:sz w:val="21"/>
        </w:rPr>
        <w:t>(Article</w:t>
      </w:r>
      <w:r>
        <w:rPr>
          <w:sz w:val="21"/>
        </w:rPr>
        <w:t> </w:t>
      </w:r>
      <w:r>
        <w:rPr>
          <w:w w:val="100"/>
          <w:sz w:val="21"/>
        </w:rPr>
        <w:t>142</w:t>
      </w:r>
      <w:r>
        <w:rPr>
          <w:sz w:val="21"/>
        </w:rPr>
        <w:t> </w:t>
      </w:r>
      <w:r>
        <w:rPr>
          <w:w w:val="100"/>
          <w:sz w:val="21"/>
        </w:rPr>
        <w:t>of</w:t>
      </w:r>
      <w:r>
        <w:rPr>
          <w:sz w:val="21"/>
        </w:rPr>
        <w:t>  </w:t>
      </w:r>
      <w:r>
        <w:rPr>
          <w:w w:val="100"/>
          <w:sz w:val="21"/>
        </w:rPr>
        <w:t>the </w:t>
      </w:r>
      <w:r>
        <w:rPr>
          <w:sz w:val="21"/>
        </w:rPr>
        <w:t>Limitation Act, 1908) is restricted to suits for possession on</w:t>
      </w:r>
    </w:p>
    <w:p>
      <w:pPr>
        <w:pStyle w:val="BodyText"/>
        <w:spacing w:before="8"/>
        <w:rPr>
          <w:sz w:val="14"/>
        </w:rPr>
      </w:pPr>
      <w:r>
        <w:rPr/>
        <w:pict>
          <v:rect style="position:absolute;margin-left:72.024002pt;margin-top:10.440381pt;width:144.020pt;height:.599980pt;mso-position-horizontal-relative:page;mso-position-vertical-relative:paragraph;z-index:-1568102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162</w:t>
      </w:r>
      <w:r>
        <w:rPr>
          <w:sz w:val="18"/>
          <w:vertAlign w:val="baseline"/>
        </w:rPr>
        <w:t> (2004) 7 SCC 541</w:t>
      </w:r>
    </w:p>
    <w:p>
      <w:pPr>
        <w:spacing w:after="0"/>
        <w:jc w:val="left"/>
        <w:rPr>
          <w:sz w:val="18"/>
        </w:rPr>
        <w:sectPr>
          <w:pgSz w:w="11910" w:h="16840"/>
          <w:pgMar w:header="721" w:footer="1014" w:top="1300" w:bottom="1200" w:left="940" w:right="1000"/>
        </w:sectPr>
      </w:pPr>
    </w:p>
    <w:p>
      <w:pPr>
        <w:spacing w:line="276" w:lineRule="auto" w:before="122"/>
        <w:ind w:left="1940" w:right="2261" w:firstLine="0"/>
        <w:jc w:val="both"/>
        <w:rPr>
          <w:sz w:val="21"/>
        </w:rPr>
      </w:pPr>
      <w:r>
        <w:rPr>
          <w:sz w:val="21"/>
        </w:rPr>
        <w:t>dispossession or discontinuance of possession. In order to bring a suit within the purview of that article, it must be shown that the suit is in terms as well as in substance based on the allegation of the plaintiff having been in possession and having subsequently lost the possession either by dispossession or by discontinuance. Article 65 of the Limitation Act, 1963 (Article 144 of the Limitation Act, 1908), on the other hand, is a residuary article applying to suits for possession not otherwise provided for. Suits based on the plaintiff's title in which there is no allegation of prior possession and subsequent dispossession alone can fall within Article 65. The question whether the article of limitation applicable to a particular suit is Article 64 or Article 65, has to be decided by reference to</w:t>
      </w:r>
      <w:r>
        <w:rPr>
          <w:spacing w:val="-10"/>
          <w:sz w:val="21"/>
        </w:rPr>
        <w:t> </w:t>
      </w:r>
      <w:r>
        <w:rPr>
          <w:sz w:val="21"/>
        </w:rPr>
        <w:t>pleadings.‖</w:t>
      </w:r>
    </w:p>
    <w:p>
      <w:pPr>
        <w:pStyle w:val="BodyText"/>
        <w:rPr>
          <w:sz w:val="24"/>
        </w:rPr>
      </w:pPr>
    </w:p>
    <w:p>
      <w:pPr>
        <w:pStyle w:val="BodyText"/>
        <w:spacing w:before="1"/>
        <w:rPr>
          <w:sz w:val="26"/>
        </w:rPr>
      </w:pPr>
    </w:p>
    <w:p>
      <w:pPr>
        <w:pStyle w:val="BodyText"/>
        <w:spacing w:line="480" w:lineRule="auto"/>
        <w:ind w:left="500" w:right="436"/>
        <w:jc w:val="both"/>
      </w:pPr>
      <w:r>
        <w:rPr/>
        <w:t>There is a fundamental reason why the Suit instituted by Nirmohi Akhara is not maintainable, quite apart from the bar of limitation. Nirmohi Akhara sought a relief simpliciter of the handing over of management and charge of the Janmasthan by the receiver to it. The receiver was appointed by the Magistrate in the proceedings under Section 145. The Magistrate who attached the property holds it for the true owner who obtains an adjudication of rights before the court of competent jurisdiction. Nirmohi Akhara sought no declaration of its status or rights. It merely sought a decree against a Magistrate for the handing over of management and charge. It had to seek relief against someone interested in opposing its claim and by getting its own right adjudicated. Instead, without doing so, it merely sought a decree for the handing over of management and charge against the Magistrate. Such a suit was indeed not</w:t>
      </w:r>
      <w:r>
        <w:rPr>
          <w:spacing w:val="-9"/>
        </w:rPr>
        <w:t> </w:t>
      </w:r>
      <w:r>
        <w:rPr/>
        <w:t>maintainable.</w:t>
      </w:r>
    </w:p>
    <w:p>
      <w:pPr>
        <w:pStyle w:val="BodyText"/>
        <w:spacing w:before="2"/>
      </w:pPr>
    </w:p>
    <w:p>
      <w:pPr>
        <w:pStyle w:val="ListParagraph"/>
        <w:numPr>
          <w:ilvl w:val="0"/>
          <w:numId w:val="3"/>
        </w:numPr>
        <w:tabs>
          <w:tab w:pos="1221" w:val="left" w:leader="none"/>
        </w:tabs>
        <w:spacing w:line="480" w:lineRule="auto" w:before="0" w:after="0"/>
        <w:ind w:left="500" w:right="439" w:firstLine="0"/>
        <w:jc w:val="both"/>
        <w:rPr>
          <w:sz w:val="25"/>
        </w:rPr>
      </w:pPr>
      <w:r>
        <w:rPr>
          <w:sz w:val="25"/>
        </w:rPr>
        <w:t>Once it has been held that neither Article 47 nor Article 142 is attracted, Suit 3 filed by Nirmohi Akhara is governed by the provisions of Article 120, </w:t>
      </w:r>
      <w:r>
        <w:rPr>
          <w:spacing w:val="3"/>
          <w:sz w:val="25"/>
        </w:rPr>
        <w:t>the </w:t>
      </w:r>
      <w:r>
        <w:rPr>
          <w:sz w:val="25"/>
        </w:rPr>
        <w:t>residuary</w:t>
      </w:r>
      <w:r>
        <w:rPr>
          <w:spacing w:val="15"/>
          <w:sz w:val="25"/>
        </w:rPr>
        <w:t> </w:t>
      </w:r>
      <w:r>
        <w:rPr>
          <w:sz w:val="25"/>
        </w:rPr>
        <w:t>article</w:t>
      </w:r>
      <w:r>
        <w:rPr>
          <w:spacing w:val="19"/>
          <w:sz w:val="25"/>
        </w:rPr>
        <w:t> </w:t>
      </w:r>
      <w:r>
        <w:rPr>
          <w:sz w:val="25"/>
        </w:rPr>
        <w:t>in</w:t>
      </w:r>
      <w:r>
        <w:rPr>
          <w:spacing w:val="20"/>
          <w:sz w:val="25"/>
        </w:rPr>
        <w:t> </w:t>
      </w:r>
      <w:r>
        <w:rPr>
          <w:sz w:val="25"/>
        </w:rPr>
        <w:t>the</w:t>
      </w:r>
      <w:r>
        <w:rPr>
          <w:spacing w:val="19"/>
          <w:sz w:val="25"/>
        </w:rPr>
        <w:t> </w:t>
      </w:r>
      <w:r>
        <w:rPr>
          <w:sz w:val="25"/>
        </w:rPr>
        <w:t>Limitation</w:t>
      </w:r>
      <w:r>
        <w:rPr>
          <w:spacing w:val="18"/>
          <w:sz w:val="25"/>
        </w:rPr>
        <w:t> </w:t>
      </w:r>
      <w:r>
        <w:rPr>
          <w:sz w:val="25"/>
        </w:rPr>
        <w:t>Act</w:t>
      </w:r>
      <w:r>
        <w:rPr>
          <w:spacing w:val="20"/>
          <w:sz w:val="25"/>
        </w:rPr>
        <w:t> </w:t>
      </w:r>
      <w:r>
        <w:rPr>
          <w:sz w:val="25"/>
        </w:rPr>
        <w:t>1908.</w:t>
      </w:r>
      <w:r>
        <w:rPr>
          <w:spacing w:val="19"/>
          <w:sz w:val="25"/>
        </w:rPr>
        <w:t> </w:t>
      </w:r>
      <w:r>
        <w:rPr>
          <w:sz w:val="25"/>
        </w:rPr>
        <w:t>The</w:t>
      </w:r>
      <w:r>
        <w:rPr>
          <w:spacing w:val="18"/>
          <w:sz w:val="25"/>
        </w:rPr>
        <w:t> </w:t>
      </w:r>
      <w:r>
        <w:rPr>
          <w:sz w:val="25"/>
        </w:rPr>
        <w:t>period</w:t>
      </w:r>
      <w:r>
        <w:rPr>
          <w:spacing w:val="18"/>
          <w:sz w:val="25"/>
        </w:rPr>
        <w:t> </w:t>
      </w:r>
      <w:r>
        <w:rPr>
          <w:sz w:val="25"/>
        </w:rPr>
        <w:t>of</w:t>
      </w:r>
      <w:r>
        <w:rPr>
          <w:spacing w:val="18"/>
          <w:sz w:val="25"/>
        </w:rPr>
        <w:t> </w:t>
      </w:r>
      <w:r>
        <w:rPr>
          <w:sz w:val="25"/>
        </w:rPr>
        <w:t>limitation</w:t>
      </w:r>
      <w:r>
        <w:rPr>
          <w:spacing w:val="18"/>
          <w:sz w:val="25"/>
        </w:rPr>
        <w:t> </w:t>
      </w:r>
      <w:r>
        <w:rPr>
          <w:sz w:val="25"/>
        </w:rPr>
        <w:t>under</w:t>
      </w:r>
      <w:r>
        <w:rPr>
          <w:spacing w:val="18"/>
          <w:sz w:val="25"/>
        </w:rPr>
        <w:t> </w:t>
      </w:r>
      <w:r>
        <w:rPr>
          <w:sz w:val="25"/>
        </w:rPr>
        <w:t>Article</w:t>
      </w:r>
    </w:p>
    <w:p>
      <w:pPr>
        <w:pStyle w:val="BodyText"/>
        <w:spacing w:before="1"/>
        <w:ind w:left="500"/>
        <w:jc w:val="both"/>
      </w:pPr>
      <w:r>
        <w:rPr/>
        <w:t>120  is  six years.  Nirmohi  Akhara  claims that  the  cause of action  arose  on </w:t>
      </w:r>
      <w:r>
        <w:rPr>
          <w:spacing w:val="49"/>
        </w:rPr>
        <w:t> </w:t>
      </w:r>
      <w:r>
        <w:rPr/>
        <w:t>5</w:t>
      </w:r>
    </w:p>
    <w:p>
      <w:pPr>
        <w:spacing w:after="0"/>
        <w:jc w:val="both"/>
        <w:sectPr>
          <w:pgSz w:w="11910" w:h="16840"/>
          <w:pgMar w:header="721" w:footer="1014" w:top="1300" w:bottom="1200" w:left="940" w:right="1000"/>
        </w:sectPr>
      </w:pPr>
    </w:p>
    <w:p>
      <w:pPr>
        <w:pStyle w:val="BodyText"/>
        <w:spacing w:line="480" w:lineRule="auto" w:before="124"/>
        <w:ind w:left="500" w:right="433"/>
        <w:jc w:val="both"/>
      </w:pPr>
      <w:r>
        <w:rPr/>
        <w:t>January 1950. The suit was instituted on 17 December 1959. Hence, the suit is outside the prescribed period of limitation and is barred.</w:t>
      </w:r>
    </w:p>
    <w:p>
      <w:pPr>
        <w:pStyle w:val="BodyText"/>
        <w:rPr>
          <w:sz w:val="28"/>
        </w:rPr>
      </w:pPr>
    </w:p>
    <w:p>
      <w:pPr>
        <w:pStyle w:val="BodyText"/>
        <w:spacing w:before="3"/>
        <w:rPr>
          <w:sz w:val="22"/>
        </w:rPr>
      </w:pPr>
    </w:p>
    <w:p>
      <w:pPr>
        <w:pStyle w:val="Heading4"/>
        <w:rPr>
          <w:i/>
        </w:rPr>
      </w:pPr>
      <w:r>
        <w:rPr>
          <w:i/>
        </w:rPr>
        <w:t>Continuing wrong</w:t>
      </w:r>
    </w:p>
    <w:p>
      <w:pPr>
        <w:pStyle w:val="BodyText"/>
        <w:rPr>
          <w:i/>
          <w:sz w:val="28"/>
        </w:rPr>
      </w:pPr>
    </w:p>
    <w:p>
      <w:pPr>
        <w:pStyle w:val="BodyText"/>
        <w:spacing w:before="7"/>
        <w:rPr>
          <w:i/>
          <w:sz w:val="23"/>
        </w:rPr>
      </w:pPr>
    </w:p>
    <w:p>
      <w:pPr>
        <w:pStyle w:val="ListParagraph"/>
        <w:numPr>
          <w:ilvl w:val="0"/>
          <w:numId w:val="3"/>
        </w:numPr>
        <w:tabs>
          <w:tab w:pos="1221" w:val="left" w:leader="none"/>
        </w:tabs>
        <w:spacing w:line="480" w:lineRule="auto" w:before="0" w:after="0"/>
        <w:ind w:left="500" w:right="439" w:firstLine="0"/>
        <w:jc w:val="both"/>
        <w:rPr>
          <w:sz w:val="25"/>
        </w:rPr>
      </w:pPr>
      <w:r>
        <w:rPr>
          <w:sz w:val="25"/>
        </w:rPr>
        <w:t>The alternate submission which has been urged on behalf of the Nirmohi Akhara by Mr S K Jain is based on the provisions of Section 23 of the Limitation Act 1908. It is submitted that the denial or obstruction of Nirmohi</w:t>
      </w:r>
      <w:r>
        <w:rPr>
          <w:spacing w:val="19"/>
          <w:sz w:val="25"/>
        </w:rPr>
        <w:t> </w:t>
      </w:r>
      <w:r>
        <w:rPr>
          <w:sz w:val="25"/>
        </w:rPr>
        <w:t>Akhara‘s</w:t>
      </w:r>
    </w:p>
    <w:p>
      <w:pPr>
        <w:pStyle w:val="BodyText"/>
        <w:spacing w:line="480" w:lineRule="auto" w:before="1"/>
        <w:ind w:left="500" w:right="439"/>
        <w:jc w:val="both"/>
      </w:pPr>
      <w:r>
        <w:rPr/>
        <w:t>‗absolute‘</w:t>
      </w:r>
      <w:r>
        <w:rPr>
          <w:spacing w:val="-6"/>
        </w:rPr>
        <w:t> </w:t>
      </w:r>
      <w:r>
        <w:rPr/>
        <w:t>shebait</w:t>
      </w:r>
      <w:r>
        <w:rPr>
          <w:spacing w:val="-5"/>
        </w:rPr>
        <w:t> </w:t>
      </w:r>
      <w:r>
        <w:rPr/>
        <w:t>rights</w:t>
      </w:r>
      <w:r>
        <w:rPr>
          <w:spacing w:val="-4"/>
        </w:rPr>
        <w:t> </w:t>
      </w:r>
      <w:r>
        <w:rPr/>
        <w:t>of</w:t>
      </w:r>
      <w:r>
        <w:rPr>
          <w:spacing w:val="-5"/>
        </w:rPr>
        <w:t> </w:t>
      </w:r>
      <w:r>
        <w:rPr/>
        <w:t>management</w:t>
      </w:r>
      <w:r>
        <w:rPr>
          <w:spacing w:val="-5"/>
        </w:rPr>
        <w:t> </w:t>
      </w:r>
      <w:r>
        <w:rPr/>
        <w:t>and</w:t>
      </w:r>
      <w:r>
        <w:rPr>
          <w:spacing w:val="-4"/>
        </w:rPr>
        <w:t> </w:t>
      </w:r>
      <w:r>
        <w:rPr/>
        <w:t>charge</w:t>
      </w:r>
      <w:r>
        <w:rPr>
          <w:spacing w:val="-5"/>
        </w:rPr>
        <w:t> </w:t>
      </w:r>
      <w:r>
        <w:rPr/>
        <w:t>is</w:t>
      </w:r>
      <w:r>
        <w:rPr>
          <w:spacing w:val="-6"/>
        </w:rPr>
        <w:t> </w:t>
      </w:r>
      <w:r>
        <w:rPr/>
        <w:t>a</w:t>
      </w:r>
      <w:r>
        <w:rPr>
          <w:spacing w:val="-5"/>
        </w:rPr>
        <w:t> </w:t>
      </w:r>
      <w:r>
        <w:rPr/>
        <w:t>continuing</w:t>
      </w:r>
      <w:r>
        <w:rPr>
          <w:spacing w:val="-4"/>
        </w:rPr>
        <w:t> </w:t>
      </w:r>
      <w:r>
        <w:rPr/>
        <w:t>wrong</w:t>
      </w:r>
      <w:r>
        <w:rPr>
          <w:spacing w:val="-4"/>
        </w:rPr>
        <w:t> </w:t>
      </w:r>
      <w:r>
        <w:rPr/>
        <w:t>and</w:t>
      </w:r>
      <w:r>
        <w:rPr>
          <w:spacing w:val="-7"/>
        </w:rPr>
        <w:t> </w:t>
      </w:r>
      <w:r>
        <w:rPr/>
        <w:t>by virtue of Section 23, a fresh cause of action arose every day. Section 23 reads as follows:</w:t>
      </w:r>
    </w:p>
    <w:p>
      <w:pPr>
        <w:spacing w:line="276" w:lineRule="auto" w:before="0"/>
        <w:ind w:left="1940" w:right="2261" w:firstLine="0"/>
        <w:jc w:val="both"/>
        <w:rPr>
          <w:sz w:val="21"/>
        </w:rPr>
      </w:pPr>
      <w:r>
        <w:rPr>
          <w:spacing w:val="-1"/>
          <w:w w:val="33"/>
          <w:sz w:val="21"/>
        </w:rPr>
        <w:t>―</w:t>
      </w:r>
      <w:r>
        <w:rPr>
          <w:spacing w:val="-1"/>
          <w:w w:val="100"/>
          <w:sz w:val="21"/>
        </w:rPr>
        <w:t>23</w:t>
      </w:r>
      <w:r>
        <w:rPr>
          <w:w w:val="100"/>
          <w:sz w:val="21"/>
        </w:rPr>
        <w:t>.</w:t>
      </w:r>
      <w:r>
        <w:rPr>
          <w:sz w:val="21"/>
        </w:rPr>
        <w:t>  </w:t>
      </w:r>
      <w:r>
        <w:rPr>
          <w:spacing w:val="-2"/>
          <w:w w:val="100"/>
          <w:sz w:val="21"/>
        </w:rPr>
        <w:t>C</w:t>
      </w:r>
      <w:r>
        <w:rPr>
          <w:w w:val="100"/>
          <w:sz w:val="21"/>
        </w:rPr>
        <w:t>on</w:t>
      </w:r>
      <w:r>
        <w:rPr>
          <w:spacing w:val="-1"/>
          <w:w w:val="100"/>
          <w:sz w:val="21"/>
        </w:rPr>
        <w:t>t</w:t>
      </w:r>
      <w:r>
        <w:rPr>
          <w:w w:val="100"/>
          <w:sz w:val="21"/>
        </w:rPr>
        <w:t>i</w:t>
      </w:r>
      <w:r>
        <w:rPr>
          <w:spacing w:val="-3"/>
          <w:w w:val="100"/>
          <w:sz w:val="21"/>
        </w:rPr>
        <w:t>n</w:t>
      </w:r>
      <w:r>
        <w:rPr>
          <w:w w:val="100"/>
          <w:sz w:val="21"/>
        </w:rPr>
        <w:t>u</w:t>
      </w:r>
      <w:r>
        <w:rPr>
          <w:spacing w:val="-2"/>
          <w:w w:val="100"/>
          <w:sz w:val="21"/>
        </w:rPr>
        <w:t>i</w:t>
      </w:r>
      <w:r>
        <w:rPr>
          <w:w w:val="100"/>
          <w:sz w:val="21"/>
        </w:rPr>
        <w:t>ng</w:t>
      </w:r>
      <w:r>
        <w:rPr>
          <w:sz w:val="21"/>
        </w:rPr>
        <w:t>  </w:t>
      </w:r>
      <w:r>
        <w:rPr>
          <w:w w:val="100"/>
          <w:sz w:val="21"/>
        </w:rPr>
        <w:t>b</w:t>
      </w:r>
      <w:r>
        <w:rPr>
          <w:spacing w:val="-3"/>
          <w:w w:val="100"/>
          <w:sz w:val="21"/>
        </w:rPr>
        <w:t>r</w:t>
      </w:r>
      <w:r>
        <w:rPr>
          <w:w w:val="100"/>
          <w:sz w:val="21"/>
        </w:rPr>
        <w:t>ea</w:t>
      </w:r>
      <w:r>
        <w:rPr>
          <w:spacing w:val="-3"/>
          <w:w w:val="100"/>
          <w:sz w:val="21"/>
        </w:rPr>
        <w:t>c</w:t>
      </w:r>
      <w:r>
        <w:rPr>
          <w:w w:val="100"/>
          <w:sz w:val="21"/>
        </w:rPr>
        <w:t>h</w:t>
      </w:r>
      <w:r>
        <w:rPr>
          <w:spacing w:val="-3"/>
          <w:w w:val="100"/>
          <w:sz w:val="21"/>
        </w:rPr>
        <w:t>e</w:t>
      </w:r>
      <w:r>
        <w:rPr>
          <w:w w:val="100"/>
          <w:sz w:val="21"/>
        </w:rPr>
        <w:t>s</w:t>
      </w:r>
      <w:r>
        <w:rPr>
          <w:sz w:val="21"/>
        </w:rPr>
        <w:t>  </w:t>
      </w:r>
      <w:r>
        <w:rPr>
          <w:w w:val="100"/>
          <w:sz w:val="21"/>
        </w:rPr>
        <w:t>and</w:t>
      </w:r>
      <w:r>
        <w:rPr>
          <w:sz w:val="21"/>
        </w:rPr>
        <w:t>  </w:t>
      </w:r>
      <w:r>
        <w:rPr>
          <w:spacing w:val="-2"/>
          <w:w w:val="100"/>
          <w:sz w:val="21"/>
        </w:rPr>
        <w:t>w</w:t>
      </w:r>
      <w:r>
        <w:rPr>
          <w:spacing w:val="-1"/>
          <w:w w:val="100"/>
          <w:sz w:val="21"/>
        </w:rPr>
        <w:t>r</w:t>
      </w:r>
      <w:r>
        <w:rPr>
          <w:w w:val="100"/>
          <w:sz w:val="21"/>
        </w:rPr>
        <w:t>ongs.</w:t>
      </w:r>
      <w:r>
        <w:rPr>
          <w:sz w:val="21"/>
        </w:rPr>
        <w:t>  </w:t>
      </w:r>
      <w:r>
        <w:rPr>
          <w:w w:val="100"/>
          <w:sz w:val="21"/>
        </w:rPr>
        <w:t>-</w:t>
      </w:r>
      <w:r>
        <w:rPr>
          <w:sz w:val="21"/>
        </w:rPr>
        <w:t>  </w:t>
      </w:r>
      <w:r>
        <w:rPr>
          <w:spacing w:val="-2"/>
          <w:w w:val="100"/>
          <w:sz w:val="21"/>
        </w:rPr>
        <w:t>I</w:t>
      </w:r>
      <w:r>
        <w:rPr>
          <w:w w:val="100"/>
          <w:sz w:val="21"/>
        </w:rPr>
        <w:t>n</w:t>
      </w:r>
      <w:r>
        <w:rPr>
          <w:sz w:val="21"/>
        </w:rPr>
        <w:t>  </w:t>
      </w:r>
      <w:r>
        <w:rPr>
          <w:spacing w:val="-2"/>
          <w:w w:val="100"/>
          <w:sz w:val="21"/>
        </w:rPr>
        <w:t>t</w:t>
      </w:r>
      <w:r>
        <w:rPr>
          <w:w w:val="100"/>
          <w:sz w:val="21"/>
        </w:rPr>
        <w:t>he</w:t>
      </w:r>
      <w:r>
        <w:rPr>
          <w:sz w:val="21"/>
        </w:rPr>
        <w:t>  </w:t>
      </w:r>
      <w:r>
        <w:rPr>
          <w:w w:val="100"/>
          <w:sz w:val="21"/>
        </w:rPr>
        <w:t>case</w:t>
      </w:r>
      <w:r>
        <w:rPr>
          <w:sz w:val="21"/>
        </w:rPr>
        <w:t>  </w:t>
      </w:r>
      <w:r>
        <w:rPr>
          <w:w w:val="100"/>
          <w:sz w:val="21"/>
        </w:rPr>
        <w:t>of</w:t>
      </w:r>
      <w:r>
        <w:rPr>
          <w:sz w:val="21"/>
        </w:rPr>
        <w:t>  </w:t>
      </w:r>
      <w:r>
        <w:rPr>
          <w:w w:val="100"/>
          <w:sz w:val="21"/>
        </w:rPr>
        <w:t>a </w:t>
      </w:r>
      <w:r>
        <w:rPr>
          <w:sz w:val="21"/>
        </w:rPr>
        <w:t>continuing breach of contract and in the case of a continuing wrong independent of contract, a fresh period of limitation begins to run at every moment of the time during which the breach or the wrong, as the case may be, continues.‖</w:t>
      </w:r>
    </w:p>
    <w:p>
      <w:pPr>
        <w:pStyle w:val="BodyText"/>
        <w:rPr>
          <w:sz w:val="24"/>
        </w:rPr>
      </w:pPr>
    </w:p>
    <w:p>
      <w:pPr>
        <w:pStyle w:val="ListParagraph"/>
        <w:numPr>
          <w:ilvl w:val="0"/>
          <w:numId w:val="3"/>
        </w:numPr>
        <w:tabs>
          <w:tab w:pos="1221" w:val="left" w:leader="none"/>
        </w:tabs>
        <w:spacing w:line="480" w:lineRule="auto" w:before="209" w:after="0"/>
        <w:ind w:left="500" w:right="437" w:firstLine="0"/>
        <w:jc w:val="both"/>
        <w:rPr>
          <w:sz w:val="25"/>
        </w:rPr>
      </w:pPr>
      <w:r>
        <w:rPr/>
        <w:pict>
          <v:rect style="position:absolute;margin-left:72.024002pt;margin-top:294.984863pt;width:144.020pt;height:.599980pt;mso-position-horizontal-relative:page;mso-position-vertical-relative:paragraph;z-index:-23876096" filled="true" fillcolor="#000000" stroked="false">
            <v:fill type="solid"/>
            <w10:wrap type="none"/>
          </v:rect>
        </w:pict>
      </w:r>
      <w:r>
        <w:rPr>
          <w:sz w:val="25"/>
        </w:rPr>
        <w:t>The contention of Mr S K Jain is that upon the order of attachment, the charge and management, along with property related rights of the Janmasthan temple have been taken over and are the subject matter of Suit 3. This, it is urged, constitutes a continuing wrong so long as they are not restored. In this context, reliance has been placed on the decision of the Privy Council in </w:t>
      </w:r>
      <w:r>
        <w:rPr>
          <w:b/>
          <w:sz w:val="25"/>
        </w:rPr>
        <w:t>Sir Seth Hukum Chand </w:t>
      </w:r>
      <w:r>
        <w:rPr>
          <w:sz w:val="25"/>
        </w:rPr>
        <w:t>v </w:t>
      </w:r>
      <w:r>
        <w:rPr>
          <w:b/>
          <w:sz w:val="25"/>
        </w:rPr>
        <w:t>Maharaj Bahadur Singh</w:t>
      </w:r>
      <w:r>
        <w:rPr>
          <w:sz w:val="25"/>
          <w:vertAlign w:val="superscript"/>
        </w:rPr>
        <w:t>163</w:t>
      </w:r>
      <w:r>
        <w:rPr>
          <w:sz w:val="25"/>
          <w:vertAlign w:val="baseline"/>
        </w:rPr>
        <w:t>, in support of the submission that obstruction of prayer and worship is a continuing wrong. The submission is that the obstruction of the plaintiffs‘ right to manage the </w:t>
      </w:r>
      <w:r>
        <w:rPr>
          <w:i/>
          <w:sz w:val="25"/>
          <w:vertAlign w:val="baseline"/>
        </w:rPr>
        <w:t>bhog </w:t>
      </w:r>
      <w:r>
        <w:rPr>
          <w:sz w:val="25"/>
          <w:vertAlign w:val="baseline"/>
        </w:rPr>
        <w:t>and prayers independently, as a result of the appointment of a receiver is a continuing wrong within</w:t>
      </w:r>
      <w:r>
        <w:rPr>
          <w:spacing w:val="16"/>
          <w:sz w:val="25"/>
          <w:vertAlign w:val="baseline"/>
        </w:rPr>
        <w:t> </w:t>
      </w:r>
      <w:r>
        <w:rPr>
          <w:sz w:val="25"/>
          <w:vertAlign w:val="baseline"/>
        </w:rPr>
        <w:t>the</w:t>
      </w:r>
      <w:r>
        <w:rPr>
          <w:spacing w:val="17"/>
          <w:sz w:val="25"/>
          <w:vertAlign w:val="baseline"/>
        </w:rPr>
        <w:t> </w:t>
      </w:r>
      <w:r>
        <w:rPr>
          <w:sz w:val="25"/>
          <w:vertAlign w:val="baseline"/>
        </w:rPr>
        <w:t>meaning</w:t>
      </w:r>
      <w:r>
        <w:rPr>
          <w:spacing w:val="17"/>
          <w:sz w:val="25"/>
          <w:vertAlign w:val="baseline"/>
        </w:rPr>
        <w:t> </w:t>
      </w:r>
      <w:r>
        <w:rPr>
          <w:sz w:val="25"/>
          <w:vertAlign w:val="baseline"/>
        </w:rPr>
        <w:t>of</w:t>
      </w:r>
      <w:r>
        <w:rPr>
          <w:spacing w:val="16"/>
          <w:sz w:val="25"/>
          <w:vertAlign w:val="baseline"/>
        </w:rPr>
        <w:t> </w:t>
      </w:r>
      <w:r>
        <w:rPr>
          <w:sz w:val="25"/>
          <w:vertAlign w:val="baseline"/>
        </w:rPr>
        <w:t>Section</w:t>
      </w:r>
      <w:r>
        <w:rPr>
          <w:spacing w:val="17"/>
          <w:sz w:val="25"/>
          <w:vertAlign w:val="baseline"/>
        </w:rPr>
        <w:t> </w:t>
      </w:r>
      <w:r>
        <w:rPr>
          <w:sz w:val="25"/>
          <w:vertAlign w:val="baseline"/>
        </w:rPr>
        <w:t>23</w:t>
      </w:r>
      <w:r>
        <w:rPr>
          <w:spacing w:val="17"/>
          <w:sz w:val="25"/>
          <w:vertAlign w:val="baseline"/>
        </w:rPr>
        <w:t> </w:t>
      </w:r>
      <w:r>
        <w:rPr>
          <w:sz w:val="25"/>
          <w:vertAlign w:val="baseline"/>
        </w:rPr>
        <w:t>and</w:t>
      </w:r>
      <w:r>
        <w:rPr>
          <w:spacing w:val="16"/>
          <w:sz w:val="25"/>
          <w:vertAlign w:val="baseline"/>
        </w:rPr>
        <w:t> </w:t>
      </w:r>
      <w:r>
        <w:rPr>
          <w:sz w:val="25"/>
          <w:vertAlign w:val="baseline"/>
        </w:rPr>
        <w:t>hence,</w:t>
      </w:r>
      <w:r>
        <w:rPr>
          <w:spacing w:val="17"/>
          <w:sz w:val="25"/>
          <w:vertAlign w:val="baseline"/>
        </w:rPr>
        <w:t> </w:t>
      </w:r>
      <w:r>
        <w:rPr>
          <w:sz w:val="25"/>
          <w:vertAlign w:val="baseline"/>
        </w:rPr>
        <w:t>every</w:t>
      </w:r>
      <w:r>
        <w:rPr>
          <w:spacing w:val="14"/>
          <w:sz w:val="25"/>
          <w:vertAlign w:val="baseline"/>
        </w:rPr>
        <w:t> </w:t>
      </w:r>
      <w:r>
        <w:rPr>
          <w:sz w:val="25"/>
          <w:vertAlign w:val="baseline"/>
        </w:rPr>
        <w:t>act</w:t>
      </w:r>
      <w:r>
        <w:rPr>
          <w:spacing w:val="17"/>
          <w:sz w:val="25"/>
          <w:vertAlign w:val="baseline"/>
        </w:rPr>
        <w:t> </w:t>
      </w:r>
      <w:r>
        <w:rPr>
          <w:sz w:val="25"/>
          <w:vertAlign w:val="baseline"/>
        </w:rPr>
        <w:t>of</w:t>
      </w:r>
      <w:r>
        <w:rPr>
          <w:spacing w:val="18"/>
          <w:sz w:val="25"/>
          <w:vertAlign w:val="baseline"/>
        </w:rPr>
        <w:t> </w:t>
      </w:r>
      <w:r>
        <w:rPr>
          <w:sz w:val="25"/>
          <w:vertAlign w:val="baseline"/>
        </w:rPr>
        <w:t>obstruction</w:t>
      </w:r>
      <w:r>
        <w:rPr>
          <w:spacing w:val="17"/>
          <w:sz w:val="25"/>
          <w:vertAlign w:val="baseline"/>
        </w:rPr>
        <w:t> </w:t>
      </w:r>
      <w:r>
        <w:rPr>
          <w:sz w:val="25"/>
          <w:vertAlign w:val="baseline"/>
        </w:rPr>
        <w:t>provides</w:t>
      </w:r>
      <w:r>
        <w:rPr>
          <w:spacing w:val="19"/>
          <w:sz w:val="25"/>
          <w:vertAlign w:val="baseline"/>
        </w:rPr>
        <w:t> </w:t>
      </w:r>
      <w:r>
        <w:rPr>
          <w:sz w:val="25"/>
          <w:vertAlign w:val="baseline"/>
        </w:rPr>
        <w:t>a</w:t>
      </w:r>
    </w:p>
    <w:p>
      <w:pPr>
        <w:spacing w:before="63"/>
        <w:ind w:left="500" w:right="0" w:firstLine="0"/>
        <w:jc w:val="left"/>
        <w:rPr>
          <w:sz w:val="18"/>
        </w:rPr>
      </w:pPr>
      <w:r>
        <w:rPr>
          <w:sz w:val="18"/>
          <w:vertAlign w:val="superscript"/>
        </w:rPr>
        <w:t>163</w:t>
      </w:r>
      <w:r>
        <w:rPr>
          <w:sz w:val="18"/>
          <w:vertAlign w:val="baseline"/>
        </w:rPr>
        <w:t> (1933) 38 LW 306 (PC)</w:t>
      </w:r>
    </w:p>
    <w:p>
      <w:pPr>
        <w:spacing w:after="0"/>
        <w:jc w:val="left"/>
        <w:rPr>
          <w:sz w:val="18"/>
        </w:rPr>
        <w:sectPr>
          <w:pgSz w:w="11910" w:h="16840"/>
          <w:pgMar w:header="721" w:footer="1014" w:top="1300" w:bottom="1200" w:left="940" w:right="1000"/>
        </w:sectPr>
      </w:pPr>
    </w:p>
    <w:p>
      <w:pPr>
        <w:pStyle w:val="BodyText"/>
        <w:spacing w:before="124"/>
        <w:ind w:left="500"/>
      </w:pPr>
      <w:r>
        <w:rPr/>
        <w:t>fresh cause of action and a fresh starting point for limitation.</w:t>
      </w:r>
    </w:p>
    <w:p>
      <w:pPr>
        <w:pStyle w:val="BodyText"/>
        <w:rPr>
          <w:sz w:val="28"/>
        </w:rPr>
      </w:pPr>
    </w:p>
    <w:p>
      <w:pPr>
        <w:pStyle w:val="BodyText"/>
        <w:rPr>
          <w:sz w:val="28"/>
        </w:rPr>
      </w:pPr>
    </w:p>
    <w:p>
      <w:pPr>
        <w:pStyle w:val="ListParagraph"/>
        <w:numPr>
          <w:ilvl w:val="0"/>
          <w:numId w:val="3"/>
        </w:numPr>
        <w:tabs>
          <w:tab w:pos="1221" w:val="left" w:leader="none"/>
        </w:tabs>
        <w:spacing w:line="480" w:lineRule="auto" w:before="215" w:after="0"/>
        <w:ind w:left="500" w:right="436" w:firstLine="0"/>
        <w:jc w:val="both"/>
        <w:rPr>
          <w:sz w:val="25"/>
        </w:rPr>
      </w:pPr>
      <w:r>
        <w:rPr>
          <w:sz w:val="25"/>
        </w:rPr>
        <w:t>The decision in </w:t>
      </w:r>
      <w:r>
        <w:rPr>
          <w:b/>
          <w:sz w:val="25"/>
        </w:rPr>
        <w:t>Hukum Chand</w:t>
      </w:r>
      <w:r>
        <w:rPr>
          <w:sz w:val="25"/>
        </w:rPr>
        <w:t>, involved a contest between the Swetambari and Digambari Jain sects over the right of worship of Parasnath hill. The Swetambaris acquired the proprietary rights of the Raja of Palgunj in the hill by purchase. They commenced the construction of dwellings for watchmen on  the top of the hill and for other temple employees, besides constructing dharamsalas. This was objected to by the Digambaris who instituted a suit against the Swetambaris claiming that the entire hill was sacred. There were </w:t>
      </w:r>
      <w:r>
        <w:rPr>
          <w:i/>
          <w:sz w:val="25"/>
        </w:rPr>
        <w:t>Charans </w:t>
      </w:r>
      <w:r>
        <w:rPr>
          <w:sz w:val="25"/>
        </w:rPr>
        <w:t>in the old shrines containing impressions of the footprints of saints, bearing a lotus mark. The Swetambaris evolved another form of </w:t>
      </w:r>
      <w:r>
        <w:rPr>
          <w:i/>
          <w:sz w:val="25"/>
        </w:rPr>
        <w:t>Charan </w:t>
      </w:r>
      <w:r>
        <w:rPr>
          <w:sz w:val="25"/>
        </w:rPr>
        <w:t>which was opposed by the Digambaris who refused to worship it as being a representation of a detached part of the human body. Both the lower courts held that the action of placing the </w:t>
      </w:r>
      <w:r>
        <w:rPr>
          <w:i/>
          <w:sz w:val="25"/>
        </w:rPr>
        <w:t>Charans </w:t>
      </w:r>
      <w:r>
        <w:rPr>
          <w:sz w:val="25"/>
        </w:rPr>
        <w:t>in the shrines was wrong in respect of which the Digambaris were entitled to complain. One of the questions which arose before the Privy Council was in regard to the finding of the Subordinate judge that the suit brought by the Digambaris was within limitation. In that  context, Sir John Wallis delivering the judgment of the Privy Council</w:t>
      </w:r>
      <w:r>
        <w:rPr>
          <w:spacing w:val="-12"/>
          <w:sz w:val="25"/>
        </w:rPr>
        <w:t> </w:t>
      </w:r>
      <w:r>
        <w:rPr>
          <w:sz w:val="25"/>
        </w:rPr>
        <w:t>held:</w:t>
      </w:r>
    </w:p>
    <w:p>
      <w:pPr>
        <w:spacing w:line="276" w:lineRule="auto" w:before="3"/>
        <w:ind w:left="1940" w:right="2260" w:firstLine="0"/>
        <w:jc w:val="both"/>
        <w:rPr>
          <w:sz w:val="21"/>
        </w:rPr>
      </w:pPr>
      <w:r>
        <w:rPr>
          <w:spacing w:val="-1"/>
          <w:w w:val="33"/>
          <w:sz w:val="21"/>
        </w:rPr>
        <w:t>―</w:t>
      </w:r>
      <w:r>
        <w:rPr>
          <w:w w:val="100"/>
          <w:sz w:val="21"/>
        </w:rPr>
        <w:t>As</w:t>
      </w:r>
      <w:r>
        <w:rPr>
          <w:sz w:val="21"/>
        </w:rPr>
        <w:t> </w:t>
      </w:r>
      <w:r>
        <w:rPr>
          <w:spacing w:val="-26"/>
          <w:sz w:val="21"/>
        </w:rPr>
        <w:t> </w:t>
      </w:r>
      <w:r>
        <w:rPr>
          <w:spacing w:val="-1"/>
          <w:w w:val="100"/>
          <w:sz w:val="21"/>
        </w:rPr>
        <w:t>re</w:t>
      </w:r>
      <w:r>
        <w:rPr>
          <w:spacing w:val="-3"/>
          <w:w w:val="100"/>
          <w:sz w:val="21"/>
        </w:rPr>
        <w:t>g</w:t>
      </w:r>
      <w:r>
        <w:rPr>
          <w:spacing w:val="-1"/>
          <w:w w:val="100"/>
          <w:sz w:val="21"/>
        </w:rPr>
        <w:t>ard</w:t>
      </w:r>
      <w:r>
        <w:rPr>
          <w:w w:val="100"/>
          <w:sz w:val="21"/>
        </w:rPr>
        <w:t>s</w:t>
      </w:r>
      <w:r>
        <w:rPr>
          <w:sz w:val="21"/>
        </w:rPr>
        <w:t> </w:t>
      </w:r>
      <w:r>
        <w:rPr>
          <w:spacing w:val="-29"/>
          <w:sz w:val="21"/>
        </w:rPr>
        <w:t> </w:t>
      </w:r>
      <w:r>
        <w:rPr>
          <w:w w:val="100"/>
          <w:sz w:val="21"/>
        </w:rPr>
        <w:t>l</w:t>
      </w:r>
      <w:r>
        <w:rPr>
          <w:spacing w:val="-2"/>
          <w:w w:val="100"/>
          <w:sz w:val="21"/>
        </w:rPr>
        <w:t>i</w:t>
      </w:r>
      <w:r>
        <w:rPr>
          <w:spacing w:val="-1"/>
          <w:w w:val="100"/>
          <w:sz w:val="21"/>
        </w:rPr>
        <w:t>m</w:t>
      </w:r>
      <w:r>
        <w:rPr>
          <w:w w:val="100"/>
          <w:sz w:val="21"/>
        </w:rPr>
        <w:t>i</w:t>
      </w:r>
      <w:r>
        <w:rPr>
          <w:spacing w:val="-2"/>
          <w:w w:val="100"/>
          <w:sz w:val="21"/>
        </w:rPr>
        <w:t>t</w:t>
      </w:r>
      <w:r>
        <w:rPr>
          <w:spacing w:val="-1"/>
          <w:w w:val="100"/>
          <w:sz w:val="21"/>
        </w:rPr>
        <w:t>at</w:t>
      </w:r>
      <w:r>
        <w:rPr>
          <w:spacing w:val="-2"/>
          <w:w w:val="100"/>
          <w:sz w:val="21"/>
        </w:rPr>
        <w:t>i</w:t>
      </w:r>
      <w:r>
        <w:rPr>
          <w:spacing w:val="-1"/>
          <w:w w:val="100"/>
          <w:sz w:val="21"/>
        </w:rPr>
        <w:t>o</w:t>
      </w:r>
      <w:r>
        <w:rPr>
          <w:w w:val="100"/>
          <w:sz w:val="21"/>
        </w:rPr>
        <w:t>n</w:t>
      </w:r>
      <w:r>
        <w:rPr>
          <w:sz w:val="21"/>
        </w:rPr>
        <w:t> </w:t>
      </w:r>
      <w:r>
        <w:rPr>
          <w:spacing w:val="-26"/>
          <w:sz w:val="21"/>
        </w:rPr>
        <w:t> </w:t>
      </w:r>
      <w:r>
        <w:rPr>
          <w:spacing w:val="-2"/>
          <w:w w:val="100"/>
          <w:sz w:val="21"/>
        </w:rPr>
        <w:t>t</w:t>
      </w:r>
      <w:r>
        <w:rPr>
          <w:spacing w:val="-1"/>
          <w:w w:val="100"/>
          <w:sz w:val="21"/>
        </w:rPr>
        <w:t>h</w:t>
      </w:r>
      <w:r>
        <w:rPr>
          <w:w w:val="100"/>
          <w:sz w:val="21"/>
        </w:rPr>
        <w:t>e</w:t>
      </w:r>
      <w:r>
        <w:rPr>
          <w:sz w:val="21"/>
        </w:rPr>
        <w:t> </w:t>
      </w:r>
      <w:r>
        <w:rPr>
          <w:spacing w:val="-28"/>
          <w:sz w:val="21"/>
        </w:rPr>
        <w:t> </w:t>
      </w:r>
      <w:r>
        <w:rPr>
          <w:w w:val="100"/>
          <w:sz w:val="21"/>
        </w:rPr>
        <w:t>S</w:t>
      </w:r>
      <w:r>
        <w:rPr>
          <w:spacing w:val="-1"/>
          <w:w w:val="100"/>
          <w:sz w:val="21"/>
        </w:rPr>
        <w:t>u</w:t>
      </w:r>
      <w:r>
        <w:rPr>
          <w:spacing w:val="-3"/>
          <w:w w:val="100"/>
          <w:sz w:val="21"/>
        </w:rPr>
        <w:t>b</w:t>
      </w:r>
      <w:r>
        <w:rPr>
          <w:spacing w:val="-1"/>
          <w:w w:val="100"/>
          <w:sz w:val="21"/>
        </w:rPr>
        <w:t>ord</w:t>
      </w:r>
      <w:r>
        <w:rPr>
          <w:spacing w:val="-2"/>
          <w:w w:val="100"/>
          <w:sz w:val="21"/>
        </w:rPr>
        <w:t>i</w:t>
      </w:r>
      <w:r>
        <w:rPr>
          <w:spacing w:val="-1"/>
          <w:w w:val="100"/>
          <w:sz w:val="21"/>
        </w:rPr>
        <w:t>nat</w:t>
      </w:r>
      <w:r>
        <w:rPr>
          <w:w w:val="100"/>
          <w:sz w:val="21"/>
        </w:rPr>
        <w:t>e</w:t>
      </w:r>
      <w:r>
        <w:rPr>
          <w:sz w:val="21"/>
        </w:rPr>
        <w:t> </w:t>
      </w:r>
      <w:r>
        <w:rPr>
          <w:spacing w:val="-26"/>
          <w:sz w:val="21"/>
        </w:rPr>
        <w:t> </w:t>
      </w:r>
      <w:r>
        <w:rPr>
          <w:spacing w:val="-3"/>
          <w:w w:val="100"/>
          <w:sz w:val="21"/>
        </w:rPr>
        <w:t>J</w:t>
      </w:r>
      <w:r>
        <w:rPr>
          <w:spacing w:val="-1"/>
          <w:w w:val="100"/>
          <w:sz w:val="21"/>
        </w:rPr>
        <w:t>ud</w:t>
      </w:r>
      <w:r>
        <w:rPr>
          <w:spacing w:val="-2"/>
          <w:w w:val="100"/>
          <w:sz w:val="21"/>
        </w:rPr>
        <w:t>g</w:t>
      </w:r>
      <w:r>
        <w:rPr>
          <w:w w:val="100"/>
          <w:sz w:val="21"/>
        </w:rPr>
        <w:t>e</w:t>
      </w:r>
      <w:r>
        <w:rPr>
          <w:sz w:val="21"/>
        </w:rPr>
        <w:t> </w:t>
      </w:r>
      <w:r>
        <w:rPr>
          <w:spacing w:val="-26"/>
          <w:sz w:val="21"/>
        </w:rPr>
        <w:t> </w:t>
      </w:r>
      <w:r>
        <w:rPr>
          <w:spacing w:val="-1"/>
          <w:w w:val="100"/>
          <w:sz w:val="21"/>
        </w:rPr>
        <w:t>h</w:t>
      </w:r>
      <w:r>
        <w:rPr>
          <w:spacing w:val="-3"/>
          <w:w w:val="100"/>
          <w:sz w:val="21"/>
        </w:rPr>
        <w:t>e</w:t>
      </w:r>
      <w:r>
        <w:rPr>
          <w:w w:val="100"/>
          <w:sz w:val="21"/>
        </w:rPr>
        <w:t>ld</w:t>
      </w:r>
      <w:r>
        <w:rPr>
          <w:sz w:val="21"/>
        </w:rPr>
        <w:t> </w:t>
      </w:r>
      <w:r>
        <w:rPr>
          <w:spacing w:val="-29"/>
          <w:sz w:val="21"/>
        </w:rPr>
        <w:t> </w:t>
      </w:r>
      <w:r>
        <w:rPr>
          <w:spacing w:val="-1"/>
          <w:w w:val="100"/>
          <w:sz w:val="21"/>
        </w:rPr>
        <w:t>o</w:t>
      </w:r>
      <w:r>
        <w:rPr>
          <w:w w:val="100"/>
          <w:sz w:val="21"/>
        </w:rPr>
        <w:t>n</w:t>
      </w:r>
      <w:r>
        <w:rPr>
          <w:sz w:val="21"/>
        </w:rPr>
        <w:t> </w:t>
      </w:r>
      <w:r>
        <w:rPr>
          <w:spacing w:val="-26"/>
          <w:sz w:val="21"/>
        </w:rPr>
        <w:t> </w:t>
      </w:r>
      <w:r>
        <w:rPr>
          <w:spacing w:val="-1"/>
          <w:w w:val="100"/>
          <w:sz w:val="21"/>
        </w:rPr>
        <w:t>rath</w:t>
      </w:r>
      <w:r>
        <w:rPr>
          <w:spacing w:val="-3"/>
          <w:w w:val="100"/>
          <w:sz w:val="21"/>
        </w:rPr>
        <w:t>e</w:t>
      </w:r>
      <w:r>
        <w:rPr>
          <w:w w:val="100"/>
          <w:sz w:val="21"/>
        </w:rPr>
        <w:t>r </w:t>
      </w:r>
      <w:r>
        <w:rPr>
          <w:sz w:val="21"/>
        </w:rPr>
        <w:t>insufficient grounds that the acts complained of took place within six years of suit so that this part of the claim could not be barred by Article 120, but he also held that it could not be barred under that article as it was a continuing wrong, as to which under section 23 of the Limitation Act a fresh period begins to run at every moment of the day on which the wrong continues. The High Court on the other hand were of opinion that it was not a continuing wrong and that the claim was barred under article 120. In their Lordships' opinion the Subordinate Judge was right in holding that the acts complained of were a continuing wrong and consequently that this part of the claim is not barred. This question is</w:t>
      </w:r>
      <w:r>
        <w:rPr>
          <w:spacing w:val="21"/>
          <w:sz w:val="21"/>
        </w:rPr>
        <w:t> </w:t>
      </w:r>
      <w:r>
        <w:rPr>
          <w:sz w:val="21"/>
        </w:rPr>
        <w:t>covered</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4" w:firstLine="0"/>
        <w:jc w:val="both"/>
        <w:rPr>
          <w:sz w:val="21"/>
        </w:rPr>
      </w:pPr>
      <w:r>
        <w:rPr>
          <w:sz w:val="21"/>
        </w:rPr>
        <w:t>by the decision of this  Board  in </w:t>
      </w:r>
      <w:r>
        <w:rPr>
          <w:i/>
          <w:sz w:val="21"/>
        </w:rPr>
        <w:t>Rajrup  Koer </w:t>
      </w:r>
      <w:r>
        <w:rPr>
          <w:sz w:val="21"/>
        </w:rPr>
        <w:t>v. </w:t>
      </w:r>
      <w:r>
        <w:rPr>
          <w:i/>
          <w:sz w:val="21"/>
        </w:rPr>
        <w:t>Abul  </w:t>
      </w:r>
      <w:r>
        <w:rPr>
          <w:i/>
          <w:sz w:val="21"/>
        </w:rPr>
        <w:t>Hossein </w:t>
      </w:r>
      <w:r>
        <w:rPr>
          <w:sz w:val="21"/>
        </w:rPr>
        <w:t>[(1880) I.L.R. 6 Cal. 394 : L.R. 7 I.A. 240.] ,</w:t>
      </w:r>
      <w:r>
        <w:rPr>
          <w:spacing w:val="51"/>
          <w:sz w:val="21"/>
        </w:rPr>
        <w:t> </w:t>
      </w:r>
      <w:r>
        <w:rPr>
          <w:sz w:val="21"/>
        </w:rPr>
        <w:t>of</w:t>
      </w:r>
    </w:p>
    <w:p>
      <w:pPr>
        <w:spacing w:line="276" w:lineRule="auto" w:before="0"/>
        <w:ind w:left="1940" w:right="2259" w:firstLine="0"/>
        <w:jc w:val="both"/>
        <w:rPr>
          <w:sz w:val="21"/>
        </w:rPr>
      </w:pPr>
      <w:r>
        <w:rPr>
          <w:sz w:val="21"/>
        </w:rPr>
        <w:t>diverting an artificial water course and cutting off the water- supply of the plaintiff's lower lying lands.‖</w:t>
      </w:r>
    </w:p>
    <w:p>
      <w:pPr>
        <w:pStyle w:val="BodyText"/>
        <w:rPr>
          <w:sz w:val="24"/>
        </w:rPr>
      </w:pPr>
    </w:p>
    <w:p>
      <w:pPr>
        <w:pStyle w:val="BodyText"/>
        <w:spacing w:before="4"/>
        <w:rPr>
          <w:sz w:val="24"/>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The above extract has been relied upon in support of the submission that a deprivation of the right to worship is a continuing wrong. Significantly, the Privy Council relied upon its earlier decision in </w:t>
      </w:r>
      <w:r>
        <w:rPr>
          <w:b/>
          <w:sz w:val="25"/>
        </w:rPr>
        <w:t>Maharani Rajroop Koer </w:t>
      </w:r>
      <w:r>
        <w:rPr>
          <w:sz w:val="25"/>
        </w:rPr>
        <w:t>v </w:t>
      </w:r>
      <w:r>
        <w:rPr>
          <w:b/>
          <w:sz w:val="25"/>
        </w:rPr>
        <w:t>Syed Abul Hossein</w:t>
      </w:r>
      <w:r>
        <w:rPr>
          <w:sz w:val="25"/>
          <w:vertAlign w:val="superscript"/>
        </w:rPr>
        <w:t>164</w:t>
      </w:r>
      <w:r>
        <w:rPr>
          <w:sz w:val="25"/>
          <w:vertAlign w:val="baseline"/>
        </w:rPr>
        <w:t> which involved an asserted right to an artificial water-course by cutting of the water supply of the lands belonging to the plaintiffs. In </w:t>
      </w:r>
      <w:r>
        <w:rPr>
          <w:b/>
          <w:sz w:val="25"/>
          <w:vertAlign w:val="baseline"/>
        </w:rPr>
        <w:t>Maharani Rajroop Koer</w:t>
      </w:r>
      <w:r>
        <w:rPr>
          <w:sz w:val="25"/>
          <w:vertAlign w:val="baseline"/>
        </w:rPr>
        <w:t>, the Privy Council held, speaking through Sir Montague E Smith, that obstructions which interfered with the flow of water to the plaintiff were in the nature of continuing</w:t>
      </w:r>
      <w:r>
        <w:rPr>
          <w:spacing w:val="-3"/>
          <w:sz w:val="25"/>
          <w:vertAlign w:val="baseline"/>
        </w:rPr>
        <w:t> </w:t>
      </w:r>
      <w:r>
        <w:rPr>
          <w:sz w:val="25"/>
          <w:vertAlign w:val="baseline"/>
        </w:rPr>
        <w:t>nuisances:</w:t>
      </w:r>
    </w:p>
    <w:p>
      <w:pPr>
        <w:spacing w:line="276" w:lineRule="auto" w:before="1"/>
        <w:ind w:left="1940" w:right="2261" w:firstLine="0"/>
        <w:jc w:val="both"/>
        <w:rPr>
          <w:sz w:val="21"/>
        </w:rPr>
      </w:pPr>
      <w:r>
        <w:rPr>
          <w:color w:val="333333"/>
          <w:spacing w:val="-1"/>
          <w:w w:val="33"/>
          <w:sz w:val="21"/>
        </w:rPr>
        <w:t>―</w:t>
      </w:r>
      <w:r>
        <w:rPr>
          <w:color w:val="333333"/>
          <w:spacing w:val="-2"/>
          <w:w w:val="100"/>
          <w:sz w:val="21"/>
        </w:rPr>
        <w:t>I</w:t>
      </w:r>
      <w:r>
        <w:rPr>
          <w:color w:val="333333"/>
          <w:w w:val="100"/>
          <w:sz w:val="21"/>
        </w:rPr>
        <w:t>f</w:t>
      </w:r>
      <w:r>
        <w:rPr>
          <w:color w:val="333333"/>
          <w:spacing w:val="9"/>
          <w:sz w:val="21"/>
        </w:rPr>
        <w:t> </w:t>
      </w:r>
      <w:r>
        <w:rPr>
          <w:color w:val="333333"/>
          <w:spacing w:val="-2"/>
          <w:w w:val="100"/>
          <w:sz w:val="21"/>
        </w:rPr>
        <w:t>t</w:t>
      </w:r>
      <w:r>
        <w:rPr>
          <w:color w:val="333333"/>
          <w:spacing w:val="-1"/>
          <w:w w:val="100"/>
          <w:sz w:val="21"/>
        </w:rPr>
        <w:t>h</w:t>
      </w:r>
      <w:r>
        <w:rPr>
          <w:color w:val="333333"/>
          <w:w w:val="100"/>
          <w:sz w:val="21"/>
        </w:rPr>
        <w:t>e</w:t>
      </w:r>
      <w:r>
        <w:rPr>
          <w:color w:val="333333"/>
          <w:spacing w:val="6"/>
          <w:sz w:val="21"/>
        </w:rPr>
        <w:t> </w:t>
      </w:r>
      <w:r>
        <w:rPr>
          <w:color w:val="333333"/>
          <w:w w:val="100"/>
          <w:sz w:val="21"/>
        </w:rPr>
        <w:t>Ju</w:t>
      </w:r>
      <w:r>
        <w:rPr>
          <w:color w:val="333333"/>
          <w:spacing w:val="-3"/>
          <w:w w:val="100"/>
          <w:sz w:val="21"/>
        </w:rPr>
        <w:t>d</w:t>
      </w:r>
      <w:r>
        <w:rPr>
          <w:color w:val="333333"/>
          <w:spacing w:val="-1"/>
          <w:w w:val="100"/>
          <w:sz w:val="21"/>
        </w:rPr>
        <w:t>ge</w:t>
      </w:r>
      <w:r>
        <w:rPr>
          <w:color w:val="333333"/>
          <w:w w:val="100"/>
          <w:sz w:val="21"/>
        </w:rPr>
        <w:t>s</w:t>
      </w:r>
      <w:r>
        <w:rPr>
          <w:color w:val="333333"/>
          <w:spacing w:val="6"/>
          <w:sz w:val="21"/>
        </w:rPr>
        <w:t> </w:t>
      </w:r>
      <w:r>
        <w:rPr>
          <w:color w:val="333333"/>
          <w:spacing w:val="-1"/>
          <w:w w:val="100"/>
          <w:sz w:val="21"/>
        </w:rPr>
        <w:t>re</w:t>
      </w:r>
      <w:r>
        <w:rPr>
          <w:color w:val="333333"/>
          <w:spacing w:val="-3"/>
          <w:w w:val="100"/>
          <w:sz w:val="21"/>
        </w:rPr>
        <w:t>a</w:t>
      </w:r>
      <w:r>
        <w:rPr>
          <w:color w:val="333333"/>
          <w:w w:val="100"/>
          <w:sz w:val="21"/>
        </w:rPr>
        <w:t>lly</w:t>
      </w:r>
      <w:r>
        <w:rPr>
          <w:color w:val="333333"/>
          <w:spacing w:val="3"/>
          <w:sz w:val="21"/>
        </w:rPr>
        <w:t> </w:t>
      </w:r>
      <w:r>
        <w:rPr>
          <w:color w:val="333333"/>
          <w:spacing w:val="1"/>
          <w:w w:val="100"/>
          <w:sz w:val="21"/>
        </w:rPr>
        <w:t>m</w:t>
      </w:r>
      <w:r>
        <w:rPr>
          <w:color w:val="333333"/>
          <w:spacing w:val="-3"/>
          <w:w w:val="100"/>
          <w:sz w:val="21"/>
        </w:rPr>
        <w:t>e</w:t>
      </w:r>
      <w:r>
        <w:rPr>
          <w:color w:val="333333"/>
          <w:spacing w:val="-1"/>
          <w:w w:val="100"/>
          <w:sz w:val="21"/>
        </w:rPr>
        <w:t>a</w:t>
      </w:r>
      <w:r>
        <w:rPr>
          <w:color w:val="333333"/>
          <w:spacing w:val="-3"/>
          <w:w w:val="100"/>
          <w:sz w:val="21"/>
        </w:rPr>
        <w:t>n</w:t>
      </w:r>
      <w:r>
        <w:rPr>
          <w:color w:val="333333"/>
          <w:w w:val="100"/>
          <w:sz w:val="21"/>
        </w:rPr>
        <w:t>t</w:t>
      </w:r>
      <w:r>
        <w:rPr>
          <w:color w:val="333333"/>
          <w:spacing w:val="7"/>
          <w:sz w:val="21"/>
        </w:rPr>
        <w:t> </w:t>
      </w:r>
      <w:r>
        <w:rPr>
          <w:color w:val="333333"/>
          <w:spacing w:val="-2"/>
          <w:w w:val="100"/>
          <w:sz w:val="21"/>
        </w:rPr>
        <w:t>t</w:t>
      </w:r>
      <w:r>
        <w:rPr>
          <w:color w:val="333333"/>
          <w:w w:val="100"/>
          <w:sz w:val="21"/>
        </w:rPr>
        <w:t>o</w:t>
      </w:r>
      <w:r>
        <w:rPr>
          <w:color w:val="333333"/>
          <w:spacing w:val="8"/>
          <w:sz w:val="21"/>
        </w:rPr>
        <w:t> </w:t>
      </w:r>
      <w:r>
        <w:rPr>
          <w:color w:val="333333"/>
          <w:spacing w:val="-1"/>
          <w:w w:val="100"/>
          <w:sz w:val="21"/>
        </w:rPr>
        <w:t>ap</w:t>
      </w:r>
      <w:r>
        <w:rPr>
          <w:color w:val="333333"/>
          <w:spacing w:val="-2"/>
          <w:w w:val="100"/>
          <w:sz w:val="21"/>
        </w:rPr>
        <w:t>p</w:t>
      </w:r>
      <w:r>
        <w:rPr>
          <w:color w:val="333333"/>
          <w:w w:val="100"/>
          <w:sz w:val="21"/>
        </w:rPr>
        <w:t>ly</w:t>
      </w:r>
      <w:r>
        <w:rPr>
          <w:color w:val="333333"/>
          <w:spacing w:val="6"/>
          <w:sz w:val="21"/>
        </w:rPr>
        <w:t> </w:t>
      </w:r>
      <w:r>
        <w:rPr>
          <w:color w:val="333333"/>
          <w:spacing w:val="-2"/>
          <w:w w:val="100"/>
          <w:sz w:val="21"/>
        </w:rPr>
        <w:t>t</w:t>
      </w:r>
      <w:r>
        <w:rPr>
          <w:color w:val="333333"/>
          <w:spacing w:val="-1"/>
          <w:w w:val="100"/>
          <w:sz w:val="21"/>
        </w:rPr>
        <w:t>h</w:t>
      </w:r>
      <w:r>
        <w:rPr>
          <w:color w:val="333333"/>
          <w:w w:val="100"/>
          <w:sz w:val="21"/>
        </w:rPr>
        <w:t>e</w:t>
      </w:r>
      <w:r>
        <w:rPr>
          <w:color w:val="333333"/>
          <w:spacing w:val="6"/>
          <w:sz w:val="21"/>
        </w:rPr>
        <w:t> </w:t>
      </w:r>
      <w:r>
        <w:rPr>
          <w:color w:val="333333"/>
          <w:spacing w:val="-2"/>
          <w:w w:val="100"/>
          <w:sz w:val="21"/>
        </w:rPr>
        <w:t>li</w:t>
      </w:r>
      <w:r>
        <w:rPr>
          <w:color w:val="333333"/>
          <w:spacing w:val="1"/>
          <w:w w:val="100"/>
          <w:sz w:val="21"/>
        </w:rPr>
        <w:t>m</w:t>
      </w:r>
      <w:r>
        <w:rPr>
          <w:color w:val="333333"/>
          <w:w w:val="100"/>
          <w:sz w:val="21"/>
        </w:rPr>
        <w:t>i</w:t>
      </w:r>
      <w:r>
        <w:rPr>
          <w:color w:val="333333"/>
          <w:spacing w:val="-2"/>
          <w:w w:val="100"/>
          <w:sz w:val="21"/>
        </w:rPr>
        <w:t>t</w:t>
      </w:r>
      <w:r>
        <w:rPr>
          <w:color w:val="333333"/>
          <w:spacing w:val="-1"/>
          <w:w w:val="100"/>
          <w:sz w:val="21"/>
        </w:rPr>
        <w:t>at</w:t>
      </w:r>
      <w:r>
        <w:rPr>
          <w:color w:val="333333"/>
          <w:spacing w:val="-2"/>
          <w:w w:val="100"/>
          <w:sz w:val="21"/>
        </w:rPr>
        <w:t>i</w:t>
      </w:r>
      <w:r>
        <w:rPr>
          <w:color w:val="333333"/>
          <w:spacing w:val="-1"/>
          <w:w w:val="100"/>
          <w:sz w:val="21"/>
        </w:rPr>
        <w:t>o</w:t>
      </w:r>
      <w:r>
        <w:rPr>
          <w:color w:val="333333"/>
          <w:w w:val="100"/>
          <w:sz w:val="21"/>
        </w:rPr>
        <w:t>n</w:t>
      </w:r>
      <w:r>
        <w:rPr>
          <w:color w:val="333333"/>
          <w:spacing w:val="6"/>
          <w:sz w:val="21"/>
        </w:rPr>
        <w:t> </w:t>
      </w:r>
      <w:r>
        <w:rPr>
          <w:color w:val="333333"/>
          <w:spacing w:val="-3"/>
          <w:w w:val="100"/>
          <w:sz w:val="21"/>
        </w:rPr>
        <w:t>o</w:t>
      </w:r>
      <w:r>
        <w:rPr>
          <w:color w:val="333333"/>
          <w:w w:val="100"/>
          <w:sz w:val="21"/>
        </w:rPr>
        <w:t>f</w:t>
      </w:r>
      <w:r>
        <w:rPr>
          <w:color w:val="333333"/>
          <w:spacing w:val="7"/>
          <w:sz w:val="21"/>
        </w:rPr>
        <w:t> </w:t>
      </w:r>
      <w:r>
        <w:rPr>
          <w:color w:val="333333"/>
          <w:w w:val="100"/>
          <w:sz w:val="21"/>
        </w:rPr>
        <w:t>A</w:t>
      </w:r>
      <w:r>
        <w:rPr>
          <w:color w:val="333333"/>
          <w:spacing w:val="-1"/>
          <w:w w:val="100"/>
          <w:sz w:val="21"/>
        </w:rPr>
        <w:t>r</w:t>
      </w:r>
      <w:r>
        <w:rPr>
          <w:color w:val="333333"/>
          <w:spacing w:val="-2"/>
          <w:w w:val="100"/>
          <w:sz w:val="21"/>
        </w:rPr>
        <w:t>t</w:t>
      </w:r>
      <w:r>
        <w:rPr>
          <w:color w:val="333333"/>
          <w:w w:val="100"/>
          <w:sz w:val="21"/>
        </w:rPr>
        <w:t>i</w:t>
      </w:r>
      <w:r>
        <w:rPr>
          <w:color w:val="333333"/>
          <w:spacing w:val="-3"/>
          <w:w w:val="100"/>
          <w:sz w:val="21"/>
        </w:rPr>
        <w:t>c</w:t>
      </w:r>
      <w:r>
        <w:rPr>
          <w:color w:val="333333"/>
          <w:w w:val="100"/>
          <w:sz w:val="21"/>
        </w:rPr>
        <w:t>le</w:t>
      </w:r>
      <w:r>
        <w:rPr>
          <w:color w:val="333333"/>
          <w:spacing w:val="6"/>
          <w:sz w:val="21"/>
        </w:rPr>
        <w:t> </w:t>
      </w:r>
      <w:r>
        <w:rPr>
          <w:color w:val="333333"/>
          <w:spacing w:val="-1"/>
          <w:w w:val="100"/>
          <w:sz w:val="21"/>
        </w:rPr>
        <w:t>34 </w:t>
      </w:r>
      <w:r>
        <w:rPr>
          <w:color w:val="333333"/>
          <w:sz w:val="21"/>
        </w:rPr>
        <w:t>above referred to, their decision is clearly wrong; for the obstructions which interfered with the flow of water to the Plaintiff's mehal were in the nature of continuing nuisances, as to which the cause of action  was  renewed </w:t>
      </w:r>
      <w:r>
        <w:rPr>
          <w:i/>
          <w:color w:val="333333"/>
          <w:sz w:val="21"/>
        </w:rPr>
        <w:t>de  die  in  </w:t>
      </w:r>
      <w:r>
        <w:rPr>
          <w:i/>
          <w:color w:val="333333"/>
          <w:sz w:val="21"/>
        </w:rPr>
        <w:t>diem </w:t>
      </w:r>
      <w:r>
        <w:rPr>
          <w:color w:val="333333"/>
          <w:sz w:val="21"/>
        </w:rPr>
        <w:t>so long as the obstructions causing such interference were allowed to continue. Indeed, sect. 24 of the statute contains express provision to that</w:t>
      </w:r>
      <w:r>
        <w:rPr>
          <w:color w:val="333333"/>
          <w:spacing w:val="-12"/>
          <w:sz w:val="21"/>
        </w:rPr>
        <w:t> </w:t>
      </w:r>
      <w:r>
        <w:rPr>
          <w:color w:val="333333"/>
          <w:sz w:val="21"/>
        </w:rPr>
        <w:t>effect.‖</w:t>
      </w:r>
    </w:p>
    <w:p>
      <w:pPr>
        <w:pStyle w:val="BodyText"/>
        <w:rPr>
          <w:sz w:val="24"/>
        </w:rPr>
      </w:pPr>
    </w:p>
    <w:p>
      <w:pPr>
        <w:pStyle w:val="BodyText"/>
        <w:rPr>
          <w:sz w:val="24"/>
        </w:rPr>
      </w:pPr>
    </w:p>
    <w:p>
      <w:pPr>
        <w:pStyle w:val="ListParagraph"/>
        <w:numPr>
          <w:ilvl w:val="0"/>
          <w:numId w:val="3"/>
        </w:numPr>
        <w:tabs>
          <w:tab w:pos="1221" w:val="left" w:leader="none"/>
        </w:tabs>
        <w:spacing w:line="480" w:lineRule="auto" w:before="168" w:after="0"/>
        <w:ind w:left="500" w:right="433" w:firstLine="0"/>
        <w:jc w:val="both"/>
        <w:rPr>
          <w:sz w:val="25"/>
        </w:rPr>
      </w:pPr>
      <w:r>
        <w:rPr>
          <w:sz w:val="25"/>
        </w:rPr>
        <w:t>The notion of what constitutes a continuing wrong has evolved through the decisions of this Court, depending on the factual context involved in each case. The decision of two judges in </w:t>
      </w:r>
      <w:r>
        <w:rPr>
          <w:b/>
          <w:sz w:val="25"/>
        </w:rPr>
        <w:t>State of Bihar </w:t>
      </w:r>
      <w:r>
        <w:rPr>
          <w:sz w:val="25"/>
        </w:rPr>
        <w:t>v </w:t>
      </w:r>
      <w:r>
        <w:rPr>
          <w:b/>
          <w:sz w:val="25"/>
        </w:rPr>
        <w:t>Deokaran Nenshi</w:t>
      </w:r>
      <w:r>
        <w:rPr>
          <w:sz w:val="25"/>
          <w:vertAlign w:val="superscript"/>
        </w:rPr>
        <w:t>165</w:t>
      </w:r>
      <w:r>
        <w:rPr>
          <w:sz w:val="25"/>
          <w:vertAlign w:val="baseline"/>
        </w:rPr>
        <w:t>, dealt with the provisions of Sections 66 and 79 of the Mines Act 1952. Section 66 provides a penalty for an omission to file a return which may extend to Rs. 1000/-. However, Section 79 stipulates that no court shall take cognizance of any offence unless</w:t>
      </w:r>
      <w:r>
        <w:rPr>
          <w:spacing w:val="13"/>
          <w:sz w:val="25"/>
          <w:vertAlign w:val="baseline"/>
        </w:rPr>
        <w:t> </w:t>
      </w:r>
      <w:r>
        <w:rPr>
          <w:sz w:val="25"/>
          <w:vertAlign w:val="baseline"/>
        </w:rPr>
        <w:t>a</w:t>
      </w:r>
      <w:r>
        <w:rPr>
          <w:spacing w:val="13"/>
          <w:sz w:val="25"/>
          <w:vertAlign w:val="baseline"/>
        </w:rPr>
        <w:t> </w:t>
      </w:r>
      <w:r>
        <w:rPr>
          <w:sz w:val="25"/>
          <w:vertAlign w:val="baseline"/>
        </w:rPr>
        <w:t>complaint</w:t>
      </w:r>
      <w:r>
        <w:rPr>
          <w:spacing w:val="13"/>
          <w:sz w:val="25"/>
          <w:vertAlign w:val="baseline"/>
        </w:rPr>
        <w:t> </w:t>
      </w:r>
      <w:r>
        <w:rPr>
          <w:sz w:val="25"/>
          <w:vertAlign w:val="baseline"/>
        </w:rPr>
        <w:t>is</w:t>
      </w:r>
      <w:r>
        <w:rPr>
          <w:spacing w:val="14"/>
          <w:sz w:val="25"/>
          <w:vertAlign w:val="baseline"/>
        </w:rPr>
        <w:t> </w:t>
      </w:r>
      <w:r>
        <w:rPr>
          <w:sz w:val="25"/>
          <w:vertAlign w:val="baseline"/>
        </w:rPr>
        <w:t>filed</w:t>
      </w:r>
      <w:r>
        <w:rPr>
          <w:spacing w:val="14"/>
          <w:sz w:val="25"/>
          <w:vertAlign w:val="baseline"/>
        </w:rPr>
        <w:t> </w:t>
      </w:r>
      <w:r>
        <w:rPr>
          <w:sz w:val="25"/>
          <w:vertAlign w:val="baseline"/>
        </w:rPr>
        <w:t>within</w:t>
      </w:r>
      <w:r>
        <w:rPr>
          <w:spacing w:val="13"/>
          <w:sz w:val="25"/>
          <w:vertAlign w:val="baseline"/>
        </w:rPr>
        <w:t> </w:t>
      </w:r>
      <w:r>
        <w:rPr>
          <w:sz w:val="25"/>
          <w:vertAlign w:val="baseline"/>
        </w:rPr>
        <w:t>six</w:t>
      </w:r>
      <w:r>
        <w:rPr>
          <w:spacing w:val="10"/>
          <w:sz w:val="25"/>
          <w:vertAlign w:val="baseline"/>
        </w:rPr>
        <w:t> </w:t>
      </w:r>
      <w:r>
        <w:rPr>
          <w:sz w:val="25"/>
          <w:vertAlign w:val="baseline"/>
        </w:rPr>
        <w:t>months</w:t>
      </w:r>
      <w:r>
        <w:rPr>
          <w:spacing w:val="15"/>
          <w:sz w:val="25"/>
          <w:vertAlign w:val="baseline"/>
        </w:rPr>
        <w:t> </w:t>
      </w:r>
      <w:r>
        <w:rPr>
          <w:sz w:val="25"/>
          <w:vertAlign w:val="baseline"/>
        </w:rPr>
        <w:t>from</w:t>
      </w:r>
      <w:r>
        <w:rPr>
          <w:spacing w:val="14"/>
          <w:sz w:val="25"/>
          <w:vertAlign w:val="baseline"/>
        </w:rPr>
        <w:t> </w:t>
      </w:r>
      <w:r>
        <w:rPr>
          <w:sz w:val="25"/>
          <w:vertAlign w:val="baseline"/>
        </w:rPr>
        <w:t>the</w:t>
      </w:r>
      <w:r>
        <w:rPr>
          <w:spacing w:val="14"/>
          <w:sz w:val="25"/>
          <w:vertAlign w:val="baseline"/>
        </w:rPr>
        <w:t> </w:t>
      </w:r>
      <w:r>
        <w:rPr>
          <w:sz w:val="25"/>
          <w:vertAlign w:val="baseline"/>
        </w:rPr>
        <w:t>date</w:t>
      </w:r>
      <w:r>
        <w:rPr>
          <w:spacing w:val="12"/>
          <w:sz w:val="25"/>
          <w:vertAlign w:val="baseline"/>
        </w:rPr>
        <w:t> </w:t>
      </w:r>
      <w:r>
        <w:rPr>
          <w:sz w:val="25"/>
          <w:vertAlign w:val="baseline"/>
        </w:rPr>
        <w:t>of</w:t>
      </w:r>
      <w:r>
        <w:rPr>
          <w:spacing w:val="14"/>
          <w:sz w:val="25"/>
          <w:vertAlign w:val="baseline"/>
        </w:rPr>
        <w:t> </w:t>
      </w:r>
      <w:r>
        <w:rPr>
          <w:sz w:val="25"/>
          <w:vertAlign w:val="baseline"/>
        </w:rPr>
        <w:t>the</w:t>
      </w:r>
      <w:r>
        <w:rPr>
          <w:spacing w:val="14"/>
          <w:sz w:val="25"/>
          <w:vertAlign w:val="baseline"/>
        </w:rPr>
        <w:t> </w:t>
      </w:r>
      <w:r>
        <w:rPr>
          <w:sz w:val="25"/>
          <w:vertAlign w:val="baseline"/>
        </w:rPr>
        <w:t>alleged</w:t>
      </w:r>
    </w:p>
    <w:p>
      <w:pPr>
        <w:pStyle w:val="BodyText"/>
        <w:spacing w:before="9"/>
        <w:rPr>
          <w:sz w:val="13"/>
        </w:rPr>
      </w:pPr>
      <w:r>
        <w:rPr/>
        <w:pict>
          <v:rect style="position:absolute;margin-left:72.024002pt;margin-top:9.878878pt;width:144.020pt;height:.599980pt;mso-position-horizontal-relative:page;mso-position-vertical-relative:paragraph;z-index:-1568000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164</w:t>
      </w:r>
      <w:r>
        <w:rPr>
          <w:sz w:val="18"/>
          <w:vertAlign w:val="baseline"/>
        </w:rPr>
        <w:t>(1879-80) 7 IA</w:t>
      </w:r>
      <w:r>
        <w:rPr>
          <w:spacing w:val="-11"/>
          <w:sz w:val="18"/>
          <w:vertAlign w:val="baseline"/>
        </w:rPr>
        <w:t> </w:t>
      </w:r>
      <w:r>
        <w:rPr>
          <w:sz w:val="18"/>
          <w:vertAlign w:val="baseline"/>
        </w:rPr>
        <w:t>240</w:t>
      </w:r>
    </w:p>
    <w:p>
      <w:pPr>
        <w:spacing w:before="2"/>
        <w:ind w:left="500" w:right="0" w:firstLine="0"/>
        <w:jc w:val="left"/>
        <w:rPr>
          <w:sz w:val="18"/>
        </w:rPr>
      </w:pPr>
      <w:r>
        <w:rPr>
          <w:sz w:val="18"/>
          <w:vertAlign w:val="superscript"/>
        </w:rPr>
        <w:t>165</w:t>
      </w:r>
      <w:r>
        <w:rPr>
          <w:sz w:val="18"/>
          <w:vertAlign w:val="baseline"/>
        </w:rPr>
        <w:t> (1972) 2 SCC</w:t>
      </w:r>
      <w:r>
        <w:rPr>
          <w:spacing w:val="-11"/>
          <w:sz w:val="18"/>
          <w:vertAlign w:val="baseline"/>
        </w:rPr>
        <w:t> </w:t>
      </w:r>
      <w:r>
        <w:rPr>
          <w:sz w:val="18"/>
          <w:vertAlign w:val="baseline"/>
        </w:rPr>
        <w:t>890</w:t>
      </w:r>
    </w:p>
    <w:p>
      <w:pPr>
        <w:spacing w:after="0"/>
        <w:jc w:val="left"/>
        <w:rPr>
          <w:sz w:val="18"/>
        </w:rPr>
        <w:sectPr>
          <w:pgSz w:w="11910" w:h="16840"/>
          <w:pgMar w:header="721" w:footer="1014" w:top="1300" w:bottom="1200" w:left="940" w:right="1000"/>
        </w:sectPr>
      </w:pPr>
    </w:p>
    <w:p>
      <w:pPr>
        <w:pStyle w:val="BodyText"/>
        <w:spacing w:line="480" w:lineRule="auto" w:before="124"/>
        <w:ind w:left="500" w:right="440"/>
        <w:jc w:val="both"/>
      </w:pPr>
      <w:r>
        <w:rPr/>
        <w:t>commission of offence or within six months from the date on which the alleged commission of offence came to the knowledge of the inspector, whichever is later. However, the explanation stipulates that if the offence is a continuing offence, the limitation shall be computed with reference to every point of time during which the offence continued. Under regulation 3, annual returns in the preceding year were required to be filed on </w:t>
      </w:r>
      <w:r>
        <w:rPr>
          <w:spacing w:val="3"/>
        </w:rPr>
        <w:t>or </w:t>
      </w:r>
      <w:r>
        <w:rPr/>
        <w:t>before the twenty-first day of January each year. Dealing with the question of limitation, this Court considered whether an offence involving a failure to file a return is covered by the substantive part of Section 79 (in which case the complaint was time barred) or by the explanation, involving a continuing offence. Justice J M Shelat, speaking for the Bench</w:t>
      </w:r>
      <w:r>
        <w:rPr>
          <w:spacing w:val="-2"/>
        </w:rPr>
        <w:t> </w:t>
      </w:r>
      <w:r>
        <w:rPr/>
        <w:t>observed:</w:t>
      </w:r>
    </w:p>
    <w:p>
      <w:pPr>
        <w:spacing w:line="276" w:lineRule="auto" w:before="0"/>
        <w:ind w:left="1940" w:right="2260" w:firstLine="0"/>
        <w:jc w:val="both"/>
        <w:rPr>
          <w:sz w:val="21"/>
        </w:rPr>
      </w:pPr>
      <w:r>
        <w:rPr>
          <w:spacing w:val="-1"/>
          <w:w w:val="33"/>
          <w:sz w:val="21"/>
        </w:rPr>
        <w:t>―</w:t>
      </w:r>
      <w:r>
        <w:rPr>
          <w:spacing w:val="-1"/>
          <w:w w:val="100"/>
          <w:sz w:val="21"/>
        </w:rPr>
        <w:t>5</w:t>
      </w:r>
      <w:r>
        <w:rPr>
          <w:w w:val="100"/>
          <w:sz w:val="21"/>
        </w:rPr>
        <w:t>.</w:t>
      </w:r>
      <w:r>
        <w:rPr>
          <w:spacing w:val="-2"/>
          <w:sz w:val="21"/>
        </w:rPr>
        <w:t> </w:t>
      </w:r>
      <w:r>
        <w:rPr>
          <w:w w:val="100"/>
          <w:sz w:val="21"/>
        </w:rPr>
        <w:t>A</w:t>
      </w:r>
      <w:r>
        <w:rPr>
          <w:sz w:val="21"/>
        </w:rPr>
        <w:t>  </w:t>
      </w:r>
      <w:r>
        <w:rPr>
          <w:spacing w:val="-19"/>
          <w:sz w:val="21"/>
        </w:rPr>
        <w:t> </w:t>
      </w:r>
      <w:r>
        <w:rPr>
          <w:w w:val="100"/>
          <w:sz w:val="21"/>
        </w:rPr>
        <w:t>con</w:t>
      </w:r>
      <w:r>
        <w:rPr>
          <w:spacing w:val="-1"/>
          <w:w w:val="100"/>
          <w:sz w:val="21"/>
        </w:rPr>
        <w:t>t</w:t>
      </w:r>
      <w:r>
        <w:rPr>
          <w:w w:val="100"/>
          <w:sz w:val="21"/>
        </w:rPr>
        <w:t>i</w:t>
      </w:r>
      <w:r>
        <w:rPr>
          <w:spacing w:val="-3"/>
          <w:w w:val="100"/>
          <w:sz w:val="21"/>
        </w:rPr>
        <w:t>n</w:t>
      </w:r>
      <w:r>
        <w:rPr>
          <w:w w:val="100"/>
          <w:sz w:val="21"/>
        </w:rPr>
        <w:t>u</w:t>
      </w:r>
      <w:r>
        <w:rPr>
          <w:spacing w:val="-2"/>
          <w:w w:val="100"/>
          <w:sz w:val="21"/>
        </w:rPr>
        <w:t>i</w:t>
      </w:r>
      <w:r>
        <w:rPr>
          <w:w w:val="100"/>
          <w:sz w:val="21"/>
        </w:rPr>
        <w:t>ng</w:t>
      </w:r>
      <w:r>
        <w:rPr>
          <w:sz w:val="21"/>
        </w:rPr>
        <w:t>  </w:t>
      </w:r>
      <w:r>
        <w:rPr>
          <w:spacing w:val="-19"/>
          <w:sz w:val="21"/>
        </w:rPr>
        <w:t> </w:t>
      </w:r>
      <w:r>
        <w:rPr>
          <w:spacing w:val="-3"/>
          <w:w w:val="100"/>
          <w:sz w:val="21"/>
        </w:rPr>
        <w:t>o</w:t>
      </w:r>
      <w:r>
        <w:rPr>
          <w:spacing w:val="1"/>
          <w:w w:val="100"/>
          <w:sz w:val="21"/>
        </w:rPr>
        <w:t>f</w:t>
      </w:r>
      <w:r>
        <w:rPr>
          <w:spacing w:val="-2"/>
          <w:w w:val="100"/>
          <w:sz w:val="21"/>
        </w:rPr>
        <w:t>f</w:t>
      </w:r>
      <w:r>
        <w:rPr>
          <w:w w:val="100"/>
          <w:sz w:val="21"/>
        </w:rPr>
        <w:t>en</w:t>
      </w:r>
      <w:r>
        <w:rPr>
          <w:spacing w:val="-3"/>
          <w:w w:val="100"/>
          <w:sz w:val="21"/>
        </w:rPr>
        <w:t>c</w:t>
      </w:r>
      <w:r>
        <w:rPr>
          <w:w w:val="100"/>
          <w:sz w:val="21"/>
        </w:rPr>
        <w:t>e</w:t>
      </w:r>
      <w:r>
        <w:rPr>
          <w:sz w:val="21"/>
        </w:rPr>
        <w:t>  </w:t>
      </w:r>
      <w:r>
        <w:rPr>
          <w:spacing w:val="-22"/>
          <w:sz w:val="21"/>
        </w:rPr>
        <w:t> </w:t>
      </w:r>
      <w:r>
        <w:rPr>
          <w:w w:val="100"/>
          <w:sz w:val="21"/>
        </w:rPr>
        <w:t>i</w:t>
      </w:r>
      <w:r>
        <w:rPr>
          <w:w w:val="100"/>
          <w:sz w:val="21"/>
        </w:rPr>
        <w:t>s</w:t>
      </w:r>
      <w:r>
        <w:rPr>
          <w:sz w:val="21"/>
        </w:rPr>
        <w:t>  </w:t>
      </w:r>
      <w:r>
        <w:rPr>
          <w:spacing w:val="-20"/>
          <w:sz w:val="21"/>
        </w:rPr>
        <w:t> </w:t>
      </w:r>
      <w:r>
        <w:rPr>
          <w:w w:val="100"/>
          <w:sz w:val="21"/>
        </w:rPr>
        <w:t>one</w:t>
      </w:r>
      <w:r>
        <w:rPr>
          <w:sz w:val="21"/>
        </w:rPr>
        <w:t>  </w:t>
      </w:r>
      <w:r>
        <w:rPr>
          <w:spacing w:val="-19"/>
          <w:sz w:val="21"/>
        </w:rPr>
        <w:t> </w:t>
      </w:r>
      <w:r>
        <w:rPr>
          <w:spacing w:val="-2"/>
          <w:w w:val="100"/>
          <w:sz w:val="21"/>
        </w:rPr>
        <w:t>w</w:t>
      </w:r>
      <w:r>
        <w:rPr>
          <w:spacing w:val="-3"/>
          <w:w w:val="100"/>
          <w:sz w:val="21"/>
        </w:rPr>
        <w:t>h</w:t>
      </w:r>
      <w:r>
        <w:rPr>
          <w:w w:val="100"/>
          <w:sz w:val="21"/>
        </w:rPr>
        <w:t>i</w:t>
      </w:r>
      <w:r>
        <w:rPr>
          <w:w w:val="100"/>
          <w:sz w:val="21"/>
        </w:rPr>
        <w:t>ch</w:t>
      </w:r>
      <w:r>
        <w:rPr>
          <w:sz w:val="21"/>
        </w:rPr>
        <w:t>  </w:t>
      </w:r>
      <w:r>
        <w:rPr>
          <w:spacing w:val="-20"/>
          <w:sz w:val="21"/>
        </w:rPr>
        <w:t> </w:t>
      </w:r>
      <w:r>
        <w:rPr>
          <w:spacing w:val="-2"/>
          <w:w w:val="100"/>
          <w:sz w:val="21"/>
        </w:rPr>
        <w:t>i</w:t>
      </w:r>
      <w:r>
        <w:rPr>
          <w:w w:val="100"/>
          <w:sz w:val="21"/>
        </w:rPr>
        <w:t>s</w:t>
      </w:r>
      <w:r>
        <w:rPr>
          <w:sz w:val="21"/>
        </w:rPr>
        <w:t>  </w:t>
      </w:r>
      <w:r>
        <w:rPr>
          <w:spacing w:val="-20"/>
          <w:sz w:val="21"/>
        </w:rPr>
        <w:t> </w:t>
      </w:r>
      <w:r>
        <w:rPr>
          <w:w w:val="100"/>
          <w:sz w:val="21"/>
        </w:rPr>
        <w:t>sus</w:t>
      </w:r>
      <w:r>
        <w:rPr>
          <w:spacing w:val="-3"/>
          <w:w w:val="100"/>
          <w:sz w:val="21"/>
        </w:rPr>
        <w:t>c</w:t>
      </w:r>
      <w:r>
        <w:rPr>
          <w:w w:val="100"/>
          <w:sz w:val="21"/>
        </w:rPr>
        <w:t>ep</w:t>
      </w:r>
      <w:r>
        <w:rPr>
          <w:spacing w:val="-1"/>
          <w:w w:val="100"/>
          <w:sz w:val="21"/>
        </w:rPr>
        <w:t>t</w:t>
      </w:r>
      <w:r>
        <w:rPr>
          <w:w w:val="100"/>
          <w:sz w:val="21"/>
        </w:rPr>
        <w:t>i</w:t>
      </w:r>
      <w:r>
        <w:rPr>
          <w:spacing w:val="-3"/>
          <w:w w:val="100"/>
          <w:sz w:val="21"/>
        </w:rPr>
        <w:t>b</w:t>
      </w:r>
      <w:r>
        <w:rPr>
          <w:w w:val="100"/>
          <w:sz w:val="21"/>
        </w:rPr>
        <w:t>l</w:t>
      </w:r>
      <w:r>
        <w:rPr>
          <w:w w:val="100"/>
          <w:sz w:val="21"/>
        </w:rPr>
        <w:t>e</w:t>
      </w:r>
      <w:r>
        <w:rPr>
          <w:sz w:val="21"/>
        </w:rPr>
        <w:t>  </w:t>
      </w:r>
      <w:r>
        <w:rPr>
          <w:spacing w:val="-20"/>
          <w:sz w:val="21"/>
        </w:rPr>
        <w:t> </w:t>
      </w:r>
      <w:r>
        <w:rPr>
          <w:spacing w:val="-3"/>
          <w:w w:val="100"/>
          <w:sz w:val="21"/>
        </w:rPr>
        <w:t>o</w:t>
      </w:r>
      <w:r>
        <w:rPr>
          <w:w w:val="100"/>
          <w:sz w:val="21"/>
        </w:rPr>
        <w:t>f </w:t>
      </w:r>
      <w:r>
        <w:rPr>
          <w:sz w:val="21"/>
        </w:rPr>
        <w:t>continuance and is distinguishable from the one which is committed once and for all. It is one of those offences which arises out of a failure to obey or comply with a rule or its requirement and which involves a penalty, the liability for which continues until the rule or its requirement is obeyed or complied with. On every occasion that such disobedience or non-compliance occurs and reoccurs, there is the offence committed. The distinction between the two kinds of offences is between an act or omission which constitutes an offence once and for all and an act or omission which continues, and therefore, constitutes a fresh offence every time or occasion on which it</w:t>
      </w:r>
      <w:r>
        <w:rPr>
          <w:spacing w:val="-5"/>
          <w:sz w:val="21"/>
        </w:rPr>
        <w:t> </w:t>
      </w:r>
      <w:r>
        <w:rPr>
          <w:sz w:val="21"/>
        </w:rPr>
        <w:t>continues.‖</w:t>
      </w:r>
    </w:p>
    <w:p>
      <w:pPr>
        <w:pStyle w:val="BodyText"/>
        <w:rPr>
          <w:sz w:val="24"/>
        </w:rPr>
      </w:pPr>
    </w:p>
    <w:p>
      <w:pPr>
        <w:pStyle w:val="BodyText"/>
        <w:spacing w:before="1"/>
        <w:rPr>
          <w:sz w:val="26"/>
        </w:rPr>
      </w:pPr>
    </w:p>
    <w:p>
      <w:pPr>
        <w:pStyle w:val="BodyText"/>
        <w:spacing w:line="480" w:lineRule="auto"/>
        <w:ind w:left="500" w:right="435"/>
        <w:jc w:val="both"/>
      </w:pPr>
      <w:r>
        <w:rPr/>
        <w:t>The Court held that the infringement occurred upon the failure to file annual returns on or before January 21 of the relevant year and was complete on the owner failing to furnish the annual returns by that day. The Court held that the provision does not stipulate that the owner or manager would be guilty if he continues to carry on the mine without furnishing the returns or that the offence continues until the requirement of regulation 3 is complied with. In other words:</w:t>
      </w:r>
    </w:p>
    <w:p>
      <w:pPr>
        <w:spacing w:after="0" w:line="480" w:lineRule="auto"/>
        <w:jc w:val="both"/>
        <w:sectPr>
          <w:pgSz w:w="11910" w:h="16840"/>
          <w:pgMar w:header="721" w:footer="1014" w:top="1300" w:bottom="1200" w:left="940" w:right="1000"/>
        </w:sectPr>
      </w:pPr>
    </w:p>
    <w:p>
      <w:pPr>
        <w:spacing w:line="276" w:lineRule="auto" w:before="122"/>
        <w:ind w:left="1940" w:right="2264" w:firstLine="0"/>
        <w:jc w:val="both"/>
        <w:rPr>
          <w:sz w:val="21"/>
        </w:rPr>
      </w:pPr>
      <w:r>
        <w:rPr>
          <w:w w:val="33"/>
          <w:sz w:val="21"/>
        </w:rPr>
        <w:t>―</w:t>
      </w:r>
      <w:r>
        <w:rPr>
          <w:w w:val="100"/>
          <w:sz w:val="21"/>
        </w:rPr>
        <w:t>9…As</w:t>
      </w:r>
      <w:r>
        <w:rPr>
          <w:sz w:val="21"/>
        </w:rPr>
        <w:t> </w:t>
      </w:r>
      <w:r>
        <w:rPr>
          <w:w w:val="100"/>
          <w:sz w:val="21"/>
        </w:rPr>
        <w:t>in</w:t>
      </w:r>
      <w:r>
        <w:rPr>
          <w:sz w:val="21"/>
        </w:rPr>
        <w:t> </w:t>
      </w:r>
      <w:r>
        <w:rPr>
          <w:w w:val="100"/>
          <w:sz w:val="21"/>
        </w:rPr>
        <w:t>the</w:t>
      </w:r>
      <w:r>
        <w:rPr>
          <w:sz w:val="21"/>
        </w:rPr>
        <w:t> </w:t>
      </w:r>
      <w:r>
        <w:rPr>
          <w:w w:val="100"/>
          <w:sz w:val="21"/>
        </w:rPr>
        <w:t>case</w:t>
      </w:r>
      <w:r>
        <w:rPr>
          <w:sz w:val="21"/>
        </w:rPr>
        <w:t> </w:t>
      </w:r>
      <w:r>
        <w:rPr>
          <w:w w:val="100"/>
          <w:sz w:val="21"/>
        </w:rPr>
        <w:t>of</w:t>
      </w:r>
      <w:r>
        <w:rPr>
          <w:sz w:val="21"/>
        </w:rPr>
        <w:t> </w:t>
      </w:r>
      <w:r>
        <w:rPr>
          <w:w w:val="100"/>
          <w:sz w:val="21"/>
        </w:rPr>
        <w:t>a</w:t>
      </w:r>
      <w:r>
        <w:rPr>
          <w:sz w:val="21"/>
        </w:rPr>
        <w:t> </w:t>
      </w:r>
      <w:r>
        <w:rPr>
          <w:w w:val="100"/>
          <w:sz w:val="21"/>
        </w:rPr>
        <w:t>construction</w:t>
      </w:r>
      <w:r>
        <w:rPr>
          <w:sz w:val="21"/>
        </w:rPr>
        <w:t> </w:t>
      </w:r>
      <w:r>
        <w:rPr>
          <w:w w:val="100"/>
          <w:sz w:val="21"/>
        </w:rPr>
        <w:t>of</w:t>
      </w:r>
      <w:r>
        <w:rPr>
          <w:sz w:val="21"/>
        </w:rPr>
        <w:t> </w:t>
      </w:r>
      <w:r>
        <w:rPr>
          <w:w w:val="100"/>
          <w:sz w:val="21"/>
        </w:rPr>
        <w:t>a</w:t>
      </w:r>
      <w:r>
        <w:rPr>
          <w:sz w:val="21"/>
        </w:rPr>
        <w:t> </w:t>
      </w:r>
      <w:r>
        <w:rPr>
          <w:w w:val="100"/>
          <w:sz w:val="21"/>
        </w:rPr>
        <w:t>wall</w:t>
      </w:r>
      <w:r>
        <w:rPr>
          <w:sz w:val="21"/>
        </w:rPr>
        <w:t> </w:t>
      </w:r>
      <w:r>
        <w:rPr>
          <w:w w:val="100"/>
          <w:sz w:val="21"/>
        </w:rPr>
        <w:t>in</w:t>
      </w:r>
      <w:r>
        <w:rPr>
          <w:sz w:val="21"/>
        </w:rPr>
        <w:t> </w:t>
      </w:r>
      <w:r>
        <w:rPr>
          <w:w w:val="100"/>
          <w:sz w:val="21"/>
        </w:rPr>
        <w:t>violation</w:t>
      </w:r>
      <w:r>
        <w:rPr>
          <w:sz w:val="21"/>
        </w:rPr>
        <w:t> </w:t>
      </w:r>
      <w:r>
        <w:rPr>
          <w:w w:val="100"/>
          <w:sz w:val="21"/>
        </w:rPr>
        <w:t>of</w:t>
      </w:r>
      <w:r>
        <w:rPr>
          <w:sz w:val="21"/>
        </w:rPr>
        <w:t> </w:t>
      </w:r>
      <w:r>
        <w:rPr>
          <w:w w:val="100"/>
          <w:sz w:val="21"/>
        </w:rPr>
        <w:t>a </w:t>
      </w:r>
      <w:r>
        <w:rPr>
          <w:sz w:val="21"/>
        </w:rPr>
        <w:t>rule of a bye-law of a local body, the offence would be complete once and for all as soon as such construction is made, a default occurs in furnishing the returns by the prescribed date.‖</w:t>
      </w:r>
    </w:p>
    <w:p>
      <w:pPr>
        <w:pStyle w:val="BodyText"/>
        <w:rPr>
          <w:sz w:val="24"/>
        </w:rPr>
      </w:pPr>
    </w:p>
    <w:p>
      <w:pPr>
        <w:pStyle w:val="ListParagraph"/>
        <w:numPr>
          <w:ilvl w:val="0"/>
          <w:numId w:val="3"/>
        </w:numPr>
        <w:tabs>
          <w:tab w:pos="1221" w:val="left" w:leader="none"/>
        </w:tabs>
        <w:spacing w:line="480" w:lineRule="auto" w:before="207" w:after="0"/>
        <w:ind w:left="500" w:right="437" w:firstLine="0"/>
        <w:jc w:val="both"/>
        <w:rPr>
          <w:sz w:val="25"/>
        </w:rPr>
      </w:pPr>
      <w:r>
        <w:rPr>
          <w:sz w:val="25"/>
        </w:rPr>
        <w:t>Another decision of a two judge of this Court in </w:t>
      </w:r>
      <w:r>
        <w:rPr>
          <w:b/>
          <w:sz w:val="25"/>
        </w:rPr>
        <w:t>Commissioner of Wealth Tax, Amritsar </w:t>
      </w:r>
      <w:r>
        <w:rPr>
          <w:sz w:val="25"/>
        </w:rPr>
        <w:t>v </w:t>
      </w:r>
      <w:r>
        <w:rPr>
          <w:b/>
          <w:sz w:val="25"/>
        </w:rPr>
        <w:t>Suresh Seth</w:t>
      </w:r>
      <w:r>
        <w:rPr>
          <w:sz w:val="25"/>
          <w:vertAlign w:val="superscript"/>
        </w:rPr>
        <w:t>166</w:t>
      </w:r>
      <w:r>
        <w:rPr>
          <w:sz w:val="25"/>
          <w:vertAlign w:val="baseline"/>
        </w:rPr>
        <w:t>, was based on the provisions of the Wealth Tax Act. Section 18(1)(a) provided for the levy of a penalty for failure to file a return of net-wealth without reasonable cause. The issue before this Court was whether the default in filing a return amounts to a continuing wrong. Justice E S Venkataramiah (as the learned Chief Justice then was) speaking for this Court held:</w:t>
      </w:r>
    </w:p>
    <w:p>
      <w:pPr>
        <w:spacing w:line="276" w:lineRule="auto" w:before="2"/>
        <w:ind w:left="1940" w:right="2260" w:firstLine="0"/>
        <w:jc w:val="both"/>
        <w:rPr>
          <w:sz w:val="21"/>
        </w:rPr>
      </w:pPr>
      <w:r>
        <w:rPr>
          <w:spacing w:val="-1"/>
          <w:w w:val="33"/>
          <w:sz w:val="21"/>
        </w:rPr>
        <w:t>―</w:t>
      </w:r>
      <w:r>
        <w:rPr>
          <w:spacing w:val="-1"/>
          <w:w w:val="100"/>
          <w:sz w:val="21"/>
        </w:rPr>
        <w:t>11</w:t>
      </w:r>
      <w:r>
        <w:rPr>
          <w:w w:val="100"/>
          <w:sz w:val="21"/>
        </w:rPr>
        <w:t>.</w:t>
      </w:r>
      <w:r>
        <w:rPr>
          <w:spacing w:val="-2"/>
          <w:sz w:val="21"/>
        </w:rPr>
        <w:t> </w:t>
      </w:r>
      <w:r>
        <w:rPr>
          <w:w w:val="100"/>
          <w:sz w:val="21"/>
        </w:rPr>
        <w:t>A</w:t>
      </w:r>
      <w:r>
        <w:rPr>
          <w:sz w:val="21"/>
        </w:rPr>
        <w:t>  </w:t>
      </w:r>
      <w:r>
        <w:rPr>
          <w:spacing w:val="-24"/>
          <w:sz w:val="21"/>
        </w:rPr>
        <w:t> </w:t>
      </w:r>
      <w:r>
        <w:rPr>
          <w:w w:val="100"/>
          <w:sz w:val="21"/>
        </w:rPr>
        <w:t>l</w:t>
      </w:r>
      <w:r>
        <w:rPr>
          <w:spacing w:val="-2"/>
          <w:w w:val="100"/>
          <w:sz w:val="21"/>
        </w:rPr>
        <w:t>i</w:t>
      </w:r>
      <w:r>
        <w:rPr>
          <w:w w:val="100"/>
          <w:sz w:val="21"/>
        </w:rPr>
        <w:t>ab</w:t>
      </w:r>
      <w:r>
        <w:rPr>
          <w:spacing w:val="-1"/>
          <w:w w:val="100"/>
          <w:sz w:val="21"/>
        </w:rPr>
        <w:t>i</w:t>
      </w:r>
      <w:r>
        <w:rPr>
          <w:spacing w:val="-2"/>
          <w:w w:val="100"/>
          <w:sz w:val="21"/>
        </w:rPr>
        <w:t>l</w:t>
      </w:r>
      <w:r>
        <w:rPr>
          <w:w w:val="100"/>
          <w:sz w:val="21"/>
        </w:rPr>
        <w:t>i</w:t>
      </w:r>
      <w:r>
        <w:rPr>
          <w:spacing w:val="-2"/>
          <w:w w:val="100"/>
          <w:sz w:val="21"/>
        </w:rPr>
        <w:t>t</w:t>
      </w:r>
      <w:r>
        <w:rPr>
          <w:w w:val="100"/>
          <w:sz w:val="21"/>
        </w:rPr>
        <w:t>y</w:t>
      </w:r>
      <w:r>
        <w:rPr>
          <w:sz w:val="21"/>
        </w:rPr>
        <w:t>  </w:t>
      </w:r>
      <w:r>
        <w:rPr>
          <w:spacing w:val="-27"/>
          <w:sz w:val="21"/>
        </w:rPr>
        <w:t> </w:t>
      </w:r>
      <w:r>
        <w:rPr>
          <w:w w:val="100"/>
          <w:sz w:val="21"/>
        </w:rPr>
        <w:t>i</w:t>
      </w:r>
      <w:r>
        <w:rPr>
          <w:w w:val="100"/>
          <w:sz w:val="21"/>
        </w:rPr>
        <w:t>n</w:t>
      </w:r>
      <w:r>
        <w:rPr>
          <w:sz w:val="21"/>
        </w:rPr>
        <w:t>  </w:t>
      </w:r>
      <w:r>
        <w:rPr>
          <w:spacing w:val="-24"/>
          <w:sz w:val="21"/>
        </w:rPr>
        <w:t> </w:t>
      </w:r>
      <w:r>
        <w:rPr>
          <w:w w:val="100"/>
          <w:sz w:val="21"/>
        </w:rPr>
        <w:t>l</w:t>
      </w:r>
      <w:r>
        <w:rPr>
          <w:w w:val="100"/>
          <w:sz w:val="21"/>
        </w:rPr>
        <w:t>aw</w:t>
      </w:r>
      <w:r>
        <w:rPr>
          <w:sz w:val="21"/>
        </w:rPr>
        <w:t>  </w:t>
      </w:r>
      <w:r>
        <w:rPr>
          <w:spacing w:val="-26"/>
          <w:sz w:val="21"/>
        </w:rPr>
        <w:t> </w:t>
      </w:r>
      <w:r>
        <w:rPr>
          <w:w w:val="100"/>
          <w:sz w:val="21"/>
        </w:rPr>
        <w:t>ordina</w:t>
      </w:r>
      <w:r>
        <w:rPr>
          <w:spacing w:val="-3"/>
          <w:w w:val="100"/>
          <w:sz w:val="21"/>
        </w:rPr>
        <w:t>r</w:t>
      </w:r>
      <w:r>
        <w:rPr>
          <w:w w:val="100"/>
          <w:sz w:val="21"/>
        </w:rPr>
        <w:t>il</w:t>
      </w:r>
      <w:r>
        <w:rPr>
          <w:w w:val="100"/>
          <w:sz w:val="21"/>
        </w:rPr>
        <w:t>y</w:t>
      </w:r>
      <w:r>
        <w:rPr>
          <w:sz w:val="21"/>
        </w:rPr>
        <w:t>  </w:t>
      </w:r>
      <w:r>
        <w:rPr>
          <w:spacing w:val="-27"/>
          <w:sz w:val="21"/>
        </w:rPr>
        <w:t> </w:t>
      </w:r>
      <w:r>
        <w:rPr>
          <w:w w:val="100"/>
          <w:sz w:val="21"/>
        </w:rPr>
        <w:t>ari</w:t>
      </w:r>
      <w:r>
        <w:rPr>
          <w:spacing w:val="-2"/>
          <w:w w:val="100"/>
          <w:sz w:val="21"/>
        </w:rPr>
        <w:t>s</w:t>
      </w:r>
      <w:r>
        <w:rPr>
          <w:w w:val="100"/>
          <w:sz w:val="21"/>
        </w:rPr>
        <w:t>es</w:t>
      </w:r>
      <w:r>
        <w:rPr>
          <w:sz w:val="21"/>
        </w:rPr>
        <w:t>  </w:t>
      </w:r>
      <w:r>
        <w:rPr>
          <w:spacing w:val="-24"/>
          <w:sz w:val="21"/>
        </w:rPr>
        <w:t> </w:t>
      </w:r>
      <w:r>
        <w:rPr>
          <w:w w:val="100"/>
          <w:sz w:val="21"/>
        </w:rPr>
        <w:t>out</w:t>
      </w:r>
      <w:r>
        <w:rPr>
          <w:sz w:val="21"/>
        </w:rPr>
        <w:t>  </w:t>
      </w:r>
      <w:r>
        <w:rPr>
          <w:spacing w:val="-25"/>
          <w:sz w:val="21"/>
        </w:rPr>
        <w:t> </w:t>
      </w:r>
      <w:r>
        <w:rPr>
          <w:w w:val="100"/>
          <w:sz w:val="21"/>
        </w:rPr>
        <w:t>of</w:t>
      </w:r>
      <w:r>
        <w:rPr>
          <w:sz w:val="21"/>
        </w:rPr>
        <w:t>  </w:t>
      </w:r>
      <w:r>
        <w:rPr>
          <w:spacing w:val="-26"/>
          <w:sz w:val="21"/>
        </w:rPr>
        <w:t> </w:t>
      </w:r>
      <w:r>
        <w:rPr>
          <w:w w:val="100"/>
          <w:sz w:val="21"/>
        </w:rPr>
        <w:t>an</w:t>
      </w:r>
      <w:r>
        <w:rPr>
          <w:sz w:val="21"/>
        </w:rPr>
        <w:t>  </w:t>
      </w:r>
      <w:r>
        <w:rPr>
          <w:spacing w:val="-24"/>
          <w:sz w:val="21"/>
        </w:rPr>
        <w:t> </w:t>
      </w:r>
      <w:r>
        <w:rPr>
          <w:w w:val="100"/>
          <w:sz w:val="21"/>
        </w:rPr>
        <w:t>act</w:t>
      </w:r>
      <w:r>
        <w:rPr>
          <w:sz w:val="21"/>
        </w:rPr>
        <w:t>  </w:t>
      </w:r>
      <w:r>
        <w:rPr>
          <w:spacing w:val="-25"/>
          <w:sz w:val="21"/>
        </w:rPr>
        <w:t> </w:t>
      </w:r>
      <w:r>
        <w:rPr>
          <w:w w:val="100"/>
          <w:sz w:val="21"/>
        </w:rPr>
        <w:t>of </w:t>
      </w:r>
      <w:r>
        <w:rPr>
          <w:sz w:val="21"/>
        </w:rPr>
        <w:t>commission or an act of omission. When a person does an act, which law prohibits him from doing it and attaches a penalty for doing it, he is stated to have committed an act of commission which amounts to a wrong in the eye of law. Similarly, when a person omits to do an act which is required by law to be performed by him and attaches a penalty for such omission, he is said to have committed an act of omission which is also a wrong in the eye of law. Ordinarily a wrongful act or failure to perform an act required by law to be done becomes a completed act of commission or of omission, as the case may be, as soon as the wrongful act is committed in the former case and when the time prescribed by law to perform an act expires in the latter case and the liability arising therefrom gets fastened as soon as the act of commission or of omission is</w:t>
      </w:r>
      <w:r>
        <w:rPr>
          <w:spacing w:val="-9"/>
          <w:sz w:val="21"/>
        </w:rPr>
        <w:t> </w:t>
      </w:r>
      <w:r>
        <w:rPr>
          <w:sz w:val="21"/>
        </w:rPr>
        <w:t>completed.‖</w:t>
      </w:r>
    </w:p>
    <w:p>
      <w:pPr>
        <w:pStyle w:val="BodyText"/>
        <w:rPr>
          <w:sz w:val="24"/>
        </w:rPr>
      </w:pPr>
    </w:p>
    <w:p>
      <w:pPr>
        <w:pStyle w:val="BodyText"/>
        <w:spacing w:before="2"/>
        <w:rPr>
          <w:sz w:val="26"/>
        </w:rPr>
      </w:pPr>
    </w:p>
    <w:p>
      <w:pPr>
        <w:pStyle w:val="BodyText"/>
        <w:spacing w:line="480" w:lineRule="auto"/>
        <w:ind w:left="500"/>
      </w:pPr>
      <w:r>
        <w:rPr/>
        <w:t>This Court made a distinction between a continuing wrong and a wrong or default which is complete when it is committed in the following observations:</w:t>
      </w:r>
    </w:p>
    <w:p>
      <w:pPr>
        <w:spacing w:line="276" w:lineRule="auto" w:before="0"/>
        <w:ind w:left="1940" w:right="2262" w:firstLine="0"/>
        <w:jc w:val="both"/>
        <w:rPr>
          <w:sz w:val="21"/>
        </w:rPr>
      </w:pPr>
      <w:r>
        <w:rPr>
          <w:w w:val="33"/>
          <w:sz w:val="21"/>
        </w:rPr>
        <w:t>―</w:t>
      </w:r>
      <w:r>
        <w:rPr>
          <w:w w:val="100"/>
          <w:sz w:val="21"/>
        </w:rPr>
        <w:t>11…The</w:t>
      </w:r>
      <w:r>
        <w:rPr>
          <w:sz w:val="21"/>
        </w:rPr>
        <w:t> </w:t>
      </w:r>
      <w:r>
        <w:rPr>
          <w:w w:val="100"/>
          <w:sz w:val="21"/>
        </w:rPr>
        <w:t>distinctive</w:t>
      </w:r>
      <w:r>
        <w:rPr>
          <w:sz w:val="21"/>
        </w:rPr>
        <w:t> </w:t>
      </w:r>
      <w:r>
        <w:rPr>
          <w:w w:val="100"/>
          <w:sz w:val="21"/>
        </w:rPr>
        <w:t>nature</w:t>
      </w:r>
      <w:r>
        <w:rPr>
          <w:sz w:val="21"/>
        </w:rPr>
        <w:t> </w:t>
      </w:r>
      <w:r>
        <w:rPr>
          <w:w w:val="100"/>
          <w:sz w:val="21"/>
        </w:rPr>
        <w:t>of</w:t>
      </w:r>
      <w:r>
        <w:rPr>
          <w:sz w:val="21"/>
        </w:rPr>
        <w:t> </w:t>
      </w:r>
      <w:r>
        <w:rPr>
          <w:w w:val="100"/>
          <w:sz w:val="21"/>
        </w:rPr>
        <w:t>a</w:t>
      </w:r>
      <w:r>
        <w:rPr>
          <w:sz w:val="21"/>
        </w:rPr>
        <w:t> </w:t>
      </w:r>
      <w:r>
        <w:rPr>
          <w:w w:val="100"/>
          <w:sz w:val="21"/>
        </w:rPr>
        <w:t>continuing</w:t>
      </w:r>
      <w:r>
        <w:rPr>
          <w:sz w:val="21"/>
        </w:rPr>
        <w:t> </w:t>
      </w:r>
      <w:r>
        <w:rPr>
          <w:w w:val="100"/>
          <w:sz w:val="21"/>
        </w:rPr>
        <w:t>wrong</w:t>
      </w:r>
      <w:r>
        <w:rPr>
          <w:sz w:val="21"/>
        </w:rPr>
        <w:t> </w:t>
      </w:r>
      <w:r>
        <w:rPr>
          <w:w w:val="100"/>
          <w:sz w:val="21"/>
        </w:rPr>
        <w:t>is</w:t>
      </w:r>
      <w:r>
        <w:rPr>
          <w:sz w:val="21"/>
        </w:rPr>
        <w:t> </w:t>
      </w:r>
      <w:r>
        <w:rPr>
          <w:w w:val="100"/>
          <w:sz w:val="21"/>
        </w:rPr>
        <w:t>that</w:t>
      </w:r>
      <w:r>
        <w:rPr>
          <w:sz w:val="21"/>
        </w:rPr>
        <w:t> </w:t>
      </w:r>
      <w:r>
        <w:rPr>
          <w:w w:val="100"/>
          <w:sz w:val="21"/>
        </w:rPr>
        <w:t>the </w:t>
      </w:r>
      <w:r>
        <w:rPr>
          <w:sz w:val="21"/>
        </w:rPr>
        <w:t>law that is violated makes the wrongdoer continuously liable for penalty. A wrong or default which is complete but whose effect may continue to be felt even after its completion is, however, not a continuing wrong or default.‖</w:t>
      </w:r>
    </w:p>
    <w:p>
      <w:pPr>
        <w:spacing w:after="0" w:line="276" w:lineRule="auto"/>
        <w:jc w:val="both"/>
        <w:rPr>
          <w:sz w:val="21"/>
        </w:rPr>
        <w:sectPr>
          <w:headerReference w:type="default" r:id="rId116"/>
          <w:footerReference w:type="default" r:id="rId117"/>
          <w:pgSz w:w="11910" w:h="16840"/>
          <w:pgMar w:header="721" w:footer="1566" w:top="1300" w:bottom="1760" w:left="940" w:right="1000"/>
          <w:pgNumType w:start="166"/>
        </w:sectPr>
      </w:pPr>
    </w:p>
    <w:p>
      <w:pPr>
        <w:pStyle w:val="BodyText"/>
        <w:spacing w:line="480" w:lineRule="auto" w:before="124"/>
        <w:ind w:left="500" w:right="436"/>
        <w:jc w:val="both"/>
      </w:pPr>
      <w:r>
        <w:rPr/>
        <w:t>Dealing with the provisions of the statute, this Court held that the default is only one which takes place on the expiry of the last date of filing a return and is not a continuing wrong. Consequently, the default does not give rise to a fresh cause of action every day. Indicating in the following passage illustrations of continuing wrongs, the Court held:</w:t>
      </w:r>
    </w:p>
    <w:p>
      <w:pPr>
        <w:spacing w:line="276" w:lineRule="auto" w:before="0"/>
        <w:ind w:left="1940" w:right="2261" w:firstLine="0"/>
        <w:jc w:val="both"/>
        <w:rPr>
          <w:i/>
          <w:sz w:val="21"/>
        </w:rPr>
      </w:pPr>
      <w:r>
        <w:rPr>
          <w:spacing w:val="-1"/>
          <w:w w:val="33"/>
          <w:sz w:val="21"/>
        </w:rPr>
        <w:t>―</w:t>
      </w:r>
      <w:r>
        <w:rPr>
          <w:spacing w:val="-1"/>
          <w:w w:val="100"/>
          <w:sz w:val="21"/>
        </w:rPr>
        <w:t>17</w:t>
      </w:r>
      <w:r>
        <w:rPr>
          <w:w w:val="100"/>
          <w:sz w:val="21"/>
        </w:rPr>
        <w:t>.</w:t>
      </w:r>
      <w:r>
        <w:rPr>
          <w:spacing w:val="-2"/>
          <w:sz w:val="21"/>
        </w:rPr>
        <w:t> </w:t>
      </w:r>
      <w:r>
        <w:rPr>
          <w:w w:val="100"/>
          <w:sz w:val="21"/>
        </w:rPr>
        <w:t>Th</w:t>
      </w:r>
      <w:r>
        <w:rPr>
          <w:w w:val="100"/>
          <w:sz w:val="21"/>
        </w:rPr>
        <w:t>e</w:t>
      </w:r>
      <w:r>
        <w:rPr>
          <w:sz w:val="21"/>
        </w:rPr>
        <w:t> </w:t>
      </w:r>
      <w:r>
        <w:rPr>
          <w:spacing w:val="-19"/>
          <w:sz w:val="21"/>
        </w:rPr>
        <w:t> </w:t>
      </w:r>
      <w:r>
        <w:rPr>
          <w:spacing w:val="-2"/>
          <w:w w:val="100"/>
          <w:sz w:val="21"/>
        </w:rPr>
        <w:t>t</w:t>
      </w:r>
      <w:r>
        <w:rPr>
          <w:spacing w:val="-1"/>
          <w:w w:val="100"/>
          <w:sz w:val="21"/>
        </w:rPr>
        <w:t>r</w:t>
      </w:r>
      <w:r>
        <w:rPr>
          <w:spacing w:val="-3"/>
          <w:w w:val="100"/>
          <w:sz w:val="21"/>
        </w:rPr>
        <w:t>u</w:t>
      </w:r>
      <w:r>
        <w:rPr>
          <w:w w:val="100"/>
          <w:sz w:val="21"/>
        </w:rPr>
        <w:t>e</w:t>
      </w:r>
      <w:r>
        <w:rPr>
          <w:sz w:val="21"/>
        </w:rPr>
        <w:t> </w:t>
      </w:r>
      <w:r>
        <w:rPr>
          <w:spacing w:val="-19"/>
          <w:sz w:val="21"/>
        </w:rPr>
        <w:t> </w:t>
      </w:r>
      <w:r>
        <w:rPr>
          <w:w w:val="100"/>
          <w:sz w:val="21"/>
        </w:rPr>
        <w:t>p</w:t>
      </w:r>
      <w:r>
        <w:rPr>
          <w:spacing w:val="-3"/>
          <w:w w:val="100"/>
          <w:sz w:val="21"/>
        </w:rPr>
        <w:t>r</w:t>
      </w:r>
      <w:r>
        <w:rPr>
          <w:w w:val="100"/>
          <w:sz w:val="21"/>
        </w:rPr>
        <w:t>i</w:t>
      </w:r>
      <w:r>
        <w:rPr>
          <w:w w:val="100"/>
          <w:sz w:val="21"/>
        </w:rPr>
        <w:t>n</w:t>
      </w:r>
      <w:r>
        <w:rPr>
          <w:spacing w:val="-3"/>
          <w:w w:val="100"/>
          <w:sz w:val="21"/>
        </w:rPr>
        <w:t>c</w:t>
      </w:r>
      <w:r>
        <w:rPr>
          <w:w w:val="100"/>
          <w:sz w:val="21"/>
        </w:rPr>
        <w:t>i</w:t>
      </w:r>
      <w:r>
        <w:rPr>
          <w:spacing w:val="-3"/>
          <w:w w:val="100"/>
          <w:sz w:val="21"/>
        </w:rPr>
        <w:t>p</w:t>
      </w:r>
      <w:r>
        <w:rPr>
          <w:w w:val="100"/>
          <w:sz w:val="21"/>
        </w:rPr>
        <w:t>l</w:t>
      </w:r>
      <w:r>
        <w:rPr>
          <w:w w:val="100"/>
          <w:sz w:val="21"/>
        </w:rPr>
        <w:t>e</w:t>
      </w:r>
      <w:r>
        <w:rPr>
          <w:sz w:val="21"/>
        </w:rPr>
        <w:t> </w:t>
      </w:r>
      <w:r>
        <w:rPr>
          <w:spacing w:val="-21"/>
          <w:sz w:val="21"/>
        </w:rPr>
        <w:t> </w:t>
      </w:r>
      <w:r>
        <w:rPr>
          <w:w w:val="100"/>
          <w:sz w:val="21"/>
        </w:rPr>
        <w:t>a</w:t>
      </w:r>
      <w:r>
        <w:rPr>
          <w:spacing w:val="-3"/>
          <w:w w:val="100"/>
          <w:sz w:val="21"/>
        </w:rPr>
        <w:t>p</w:t>
      </w:r>
      <w:r>
        <w:rPr>
          <w:w w:val="100"/>
          <w:sz w:val="21"/>
        </w:rPr>
        <w:t>pears</w:t>
      </w:r>
      <w:r>
        <w:rPr>
          <w:sz w:val="21"/>
        </w:rPr>
        <w:t> </w:t>
      </w:r>
      <w:r>
        <w:rPr>
          <w:spacing w:val="-19"/>
          <w:sz w:val="21"/>
        </w:rPr>
        <w:t> </w:t>
      </w:r>
      <w:r>
        <w:rPr>
          <w:spacing w:val="-2"/>
          <w:w w:val="100"/>
          <w:sz w:val="21"/>
        </w:rPr>
        <w:t>t</w:t>
      </w:r>
      <w:r>
        <w:rPr>
          <w:w w:val="100"/>
          <w:sz w:val="21"/>
        </w:rPr>
        <w:t>o</w:t>
      </w:r>
      <w:r>
        <w:rPr>
          <w:sz w:val="21"/>
        </w:rPr>
        <w:t> </w:t>
      </w:r>
      <w:r>
        <w:rPr>
          <w:spacing w:val="-21"/>
          <w:sz w:val="21"/>
        </w:rPr>
        <w:t> </w:t>
      </w:r>
      <w:r>
        <w:rPr>
          <w:w w:val="100"/>
          <w:sz w:val="21"/>
        </w:rPr>
        <w:t>be</w:t>
      </w:r>
      <w:r>
        <w:rPr>
          <w:sz w:val="21"/>
        </w:rPr>
        <w:t> </w:t>
      </w:r>
      <w:r>
        <w:rPr>
          <w:spacing w:val="-21"/>
          <w:sz w:val="21"/>
        </w:rPr>
        <w:t> </w:t>
      </w:r>
      <w:r>
        <w:rPr>
          <w:spacing w:val="-2"/>
          <w:w w:val="100"/>
          <w:sz w:val="21"/>
        </w:rPr>
        <w:t>t</w:t>
      </w:r>
      <w:r>
        <w:rPr>
          <w:w w:val="100"/>
          <w:sz w:val="21"/>
        </w:rPr>
        <w:t>hat</w:t>
      </w:r>
      <w:r>
        <w:rPr>
          <w:sz w:val="21"/>
        </w:rPr>
        <w:t> </w:t>
      </w:r>
      <w:r>
        <w:rPr>
          <w:spacing w:val="-20"/>
          <w:sz w:val="21"/>
        </w:rPr>
        <w:t> </w:t>
      </w:r>
      <w:r>
        <w:rPr>
          <w:spacing w:val="-2"/>
          <w:w w:val="100"/>
          <w:sz w:val="21"/>
        </w:rPr>
        <w:t>w</w:t>
      </w:r>
      <w:r>
        <w:rPr>
          <w:w w:val="100"/>
          <w:sz w:val="21"/>
        </w:rPr>
        <w:t>here</w:t>
      </w:r>
      <w:r>
        <w:rPr>
          <w:sz w:val="21"/>
        </w:rPr>
        <w:t> </w:t>
      </w:r>
      <w:r>
        <w:rPr>
          <w:spacing w:val="-22"/>
          <w:sz w:val="21"/>
        </w:rPr>
        <w:t> </w:t>
      </w:r>
      <w:r>
        <w:rPr>
          <w:spacing w:val="-2"/>
          <w:w w:val="100"/>
          <w:sz w:val="21"/>
        </w:rPr>
        <w:t>t</w:t>
      </w:r>
      <w:r>
        <w:rPr>
          <w:w w:val="100"/>
          <w:sz w:val="21"/>
        </w:rPr>
        <w:t>he</w:t>
      </w:r>
      <w:r>
        <w:rPr>
          <w:sz w:val="21"/>
        </w:rPr>
        <w:t> </w:t>
      </w:r>
      <w:r>
        <w:rPr>
          <w:spacing w:val="-19"/>
          <w:sz w:val="21"/>
        </w:rPr>
        <w:t> </w:t>
      </w:r>
      <w:r>
        <w:rPr>
          <w:spacing w:val="-2"/>
          <w:w w:val="100"/>
          <w:sz w:val="21"/>
        </w:rPr>
        <w:t>w</w:t>
      </w:r>
      <w:r>
        <w:rPr>
          <w:spacing w:val="-1"/>
          <w:w w:val="100"/>
          <w:sz w:val="21"/>
        </w:rPr>
        <w:t>r</w:t>
      </w:r>
      <w:r>
        <w:rPr>
          <w:w w:val="100"/>
          <w:sz w:val="21"/>
        </w:rPr>
        <w:t>o</w:t>
      </w:r>
      <w:r>
        <w:rPr>
          <w:spacing w:val="-3"/>
          <w:w w:val="100"/>
          <w:sz w:val="21"/>
        </w:rPr>
        <w:t>n</w:t>
      </w:r>
      <w:r>
        <w:rPr>
          <w:w w:val="100"/>
          <w:sz w:val="21"/>
        </w:rPr>
        <w:t>g </w:t>
      </w:r>
      <w:r>
        <w:rPr>
          <w:sz w:val="21"/>
        </w:rPr>
        <w:t>complained of is the omission to perform a positive duty requiring a person to do a certain act the test to determine whether such a wrong is a continuing one is whether the duty in question is one which requires him to continue to do that act. Breach of a covenant to keep the premises in good repair, breach of a continuing guarantee, obstruction to a right of way, obstruction to the right of a person to the  unobstructed flow of water, refusal by a man to maintain his wife and children whom he is bound to maintain under law and the carrying on of mining operations or the running of a factory without complying with the measures intended for the safety and well-being of workmen may be illustrations of continuing breaches or wrongs giving rise to civil or criminal liability, as the case may be, </w:t>
      </w:r>
      <w:r>
        <w:rPr>
          <w:i/>
          <w:sz w:val="21"/>
        </w:rPr>
        <w:t>de die in</w:t>
      </w:r>
      <w:r>
        <w:rPr>
          <w:i/>
          <w:spacing w:val="-22"/>
          <w:sz w:val="21"/>
        </w:rPr>
        <w:t> </w:t>
      </w:r>
      <w:r>
        <w:rPr>
          <w:i/>
          <w:sz w:val="21"/>
        </w:rPr>
        <w:t>diem.‖</w:t>
      </w:r>
    </w:p>
    <w:p>
      <w:pPr>
        <w:pStyle w:val="BodyText"/>
        <w:rPr>
          <w:i/>
          <w:sz w:val="24"/>
        </w:rPr>
      </w:pPr>
    </w:p>
    <w:p>
      <w:pPr>
        <w:pStyle w:val="BodyText"/>
        <w:rPr>
          <w:i/>
          <w:sz w:val="24"/>
        </w:rPr>
      </w:pPr>
    </w:p>
    <w:p>
      <w:pPr>
        <w:pStyle w:val="BodyText"/>
        <w:spacing w:before="1"/>
        <w:rPr>
          <w:i/>
          <w:sz w:val="27"/>
        </w:rPr>
      </w:pPr>
    </w:p>
    <w:p>
      <w:pPr>
        <w:pStyle w:val="BodyText"/>
        <w:spacing w:line="480" w:lineRule="auto"/>
        <w:ind w:left="500" w:right="439"/>
        <w:jc w:val="both"/>
      </w:pPr>
      <w:r>
        <w:rPr/>
        <w:t>In the view of this Court, non-performance of any of the acts mentioned in Section 18(1)(a) gives rise to a single breach and to a single penalty, the measure of which however relates to the time lag between the last date on which the return has to be filed and the date on which it is actually</w:t>
      </w:r>
      <w:r>
        <w:rPr>
          <w:spacing w:val="-16"/>
        </w:rPr>
        <w:t> </w:t>
      </w:r>
      <w:r>
        <w:rPr/>
        <w:t>filed.</w:t>
      </w:r>
    </w:p>
    <w:p>
      <w:pPr>
        <w:pStyle w:val="BodyText"/>
      </w:pPr>
    </w:p>
    <w:p>
      <w:pPr>
        <w:pStyle w:val="ListParagraph"/>
        <w:numPr>
          <w:ilvl w:val="0"/>
          <w:numId w:val="3"/>
        </w:numPr>
        <w:tabs>
          <w:tab w:pos="1221" w:val="left" w:leader="none"/>
        </w:tabs>
        <w:spacing w:line="480" w:lineRule="auto" w:before="1" w:after="0"/>
        <w:ind w:left="500" w:right="441" w:firstLine="0"/>
        <w:jc w:val="both"/>
        <w:rPr>
          <w:sz w:val="25"/>
        </w:rPr>
      </w:pPr>
      <w:r>
        <w:rPr>
          <w:sz w:val="25"/>
        </w:rPr>
        <w:t>The provisions of another revenue statute, the Income Tax Act 1961 came up for consideration before a three judge Bench of this Court in </w:t>
      </w:r>
      <w:r>
        <w:rPr>
          <w:b/>
          <w:sz w:val="25"/>
        </w:rPr>
        <w:t>Maya Rani Punj </w:t>
      </w:r>
      <w:r>
        <w:rPr>
          <w:sz w:val="25"/>
        </w:rPr>
        <w:t>v </w:t>
      </w:r>
      <w:r>
        <w:rPr>
          <w:b/>
          <w:sz w:val="25"/>
        </w:rPr>
        <w:t>CIT</w:t>
      </w:r>
      <w:r>
        <w:rPr>
          <w:sz w:val="25"/>
          <w:vertAlign w:val="superscript"/>
        </w:rPr>
        <w:t>167</w:t>
      </w:r>
      <w:r>
        <w:rPr>
          <w:sz w:val="25"/>
          <w:vertAlign w:val="baseline"/>
        </w:rPr>
        <w:t>. In this case, Section 271(1)(a) of the Income Tax Act 1961 entailed imposing a penalty for filing late returns. The penalty was imposable not only for the first default but as long as the default continued. The assessee filed its</w:t>
      </w:r>
      <w:r>
        <w:rPr>
          <w:spacing w:val="10"/>
          <w:sz w:val="25"/>
          <w:vertAlign w:val="baseline"/>
        </w:rPr>
        <w:t> </w:t>
      </w:r>
      <w:r>
        <w:rPr>
          <w:sz w:val="25"/>
          <w:vertAlign w:val="baseline"/>
        </w:rPr>
        <w:t>return</w:t>
      </w:r>
    </w:p>
    <w:p>
      <w:pPr>
        <w:spacing w:after="0" w:line="480" w:lineRule="auto"/>
        <w:jc w:val="both"/>
        <w:rPr>
          <w:sz w:val="25"/>
        </w:rPr>
        <w:sectPr>
          <w:headerReference w:type="default" r:id="rId118"/>
          <w:footerReference w:type="default" r:id="rId119"/>
          <w:pgSz w:w="11910" w:h="16840"/>
          <w:pgMar w:header="721" w:footer="1566" w:top="1300" w:bottom="1760" w:left="940" w:right="1000"/>
          <w:pgNumType w:start="167"/>
        </w:sectPr>
      </w:pPr>
    </w:p>
    <w:p>
      <w:pPr>
        <w:pStyle w:val="BodyText"/>
        <w:spacing w:line="480" w:lineRule="auto" w:before="124"/>
        <w:ind w:left="500" w:right="434"/>
        <w:jc w:val="both"/>
      </w:pPr>
      <w:r>
        <w:rPr/>
        <w:t>more than seven months after the due date. The three judge Bench disapproved of the decision in </w:t>
      </w:r>
      <w:r>
        <w:rPr>
          <w:b/>
        </w:rPr>
        <w:t>Suresh Seth. </w:t>
      </w:r>
      <w:r>
        <w:rPr/>
        <w:t>Justice Sabyasachi Mukherji (as the learned Chief Justice then was) held that the default continued so long as a return was not filed and was hence a continuing</w:t>
      </w:r>
      <w:r>
        <w:rPr>
          <w:spacing w:val="-5"/>
        </w:rPr>
        <w:t> </w:t>
      </w:r>
      <w:r>
        <w:rPr/>
        <w:t>wrong:</w:t>
      </w:r>
    </w:p>
    <w:p>
      <w:pPr>
        <w:spacing w:line="276" w:lineRule="auto" w:before="39"/>
        <w:ind w:left="1940" w:right="2260" w:firstLine="0"/>
        <w:jc w:val="both"/>
        <w:rPr>
          <w:sz w:val="21"/>
        </w:rPr>
      </w:pPr>
      <w:r>
        <w:rPr>
          <w:spacing w:val="-1"/>
          <w:w w:val="33"/>
          <w:sz w:val="21"/>
        </w:rPr>
        <w:t>―</w:t>
      </w:r>
      <w:r>
        <w:rPr>
          <w:spacing w:val="-1"/>
          <w:w w:val="100"/>
          <w:sz w:val="21"/>
        </w:rPr>
        <w:t>19</w:t>
      </w:r>
      <w:r>
        <w:rPr>
          <w:w w:val="100"/>
          <w:sz w:val="21"/>
        </w:rPr>
        <w:t>.</w:t>
      </w:r>
      <w:r>
        <w:rPr>
          <w:spacing w:val="-2"/>
          <w:sz w:val="21"/>
        </w:rPr>
        <w:t> </w:t>
      </w:r>
      <w:r>
        <w:rPr>
          <w:w w:val="100"/>
          <w:sz w:val="21"/>
        </w:rPr>
        <w:t>Th</w:t>
      </w:r>
      <w:r>
        <w:rPr>
          <w:w w:val="100"/>
          <w:sz w:val="21"/>
        </w:rPr>
        <w:t>e</w:t>
      </w:r>
      <w:r>
        <w:rPr>
          <w:spacing w:val="13"/>
          <w:sz w:val="21"/>
        </w:rPr>
        <w:t> </w:t>
      </w:r>
      <w:r>
        <w:rPr>
          <w:spacing w:val="-2"/>
          <w:w w:val="100"/>
          <w:sz w:val="21"/>
        </w:rPr>
        <w:t>i</w:t>
      </w:r>
      <w:r>
        <w:rPr>
          <w:spacing w:val="-1"/>
          <w:w w:val="100"/>
          <w:sz w:val="21"/>
        </w:rPr>
        <w:t>m</w:t>
      </w:r>
      <w:r>
        <w:rPr>
          <w:w w:val="100"/>
          <w:sz w:val="21"/>
        </w:rPr>
        <w:t>po</w:t>
      </w:r>
      <w:r>
        <w:rPr>
          <w:spacing w:val="-3"/>
          <w:w w:val="100"/>
          <w:sz w:val="21"/>
        </w:rPr>
        <w:t>s</w:t>
      </w:r>
      <w:r>
        <w:rPr>
          <w:w w:val="100"/>
          <w:sz w:val="21"/>
        </w:rPr>
        <w:t>i</w:t>
      </w:r>
      <w:r>
        <w:rPr>
          <w:spacing w:val="-2"/>
          <w:w w:val="100"/>
          <w:sz w:val="21"/>
        </w:rPr>
        <w:t>t</w:t>
      </w:r>
      <w:r>
        <w:rPr>
          <w:w w:val="100"/>
          <w:sz w:val="21"/>
        </w:rPr>
        <w:t>i</w:t>
      </w:r>
      <w:r>
        <w:rPr>
          <w:spacing w:val="-3"/>
          <w:w w:val="100"/>
          <w:sz w:val="21"/>
        </w:rPr>
        <w:t>o</w:t>
      </w:r>
      <w:r>
        <w:rPr>
          <w:w w:val="100"/>
          <w:sz w:val="21"/>
        </w:rPr>
        <w:t>n</w:t>
      </w:r>
      <w:r>
        <w:rPr>
          <w:spacing w:val="13"/>
          <w:sz w:val="21"/>
        </w:rPr>
        <w:t> </w:t>
      </w:r>
      <w:r>
        <w:rPr>
          <w:w w:val="100"/>
          <w:sz w:val="21"/>
        </w:rPr>
        <w:t>of</w:t>
      </w:r>
      <w:r>
        <w:rPr>
          <w:spacing w:val="14"/>
          <w:sz w:val="21"/>
        </w:rPr>
        <w:t> </w:t>
      </w:r>
      <w:r>
        <w:rPr>
          <w:w w:val="100"/>
          <w:sz w:val="21"/>
        </w:rPr>
        <w:t>p</w:t>
      </w:r>
      <w:r>
        <w:rPr>
          <w:spacing w:val="-3"/>
          <w:w w:val="100"/>
          <w:sz w:val="21"/>
        </w:rPr>
        <w:t>e</w:t>
      </w:r>
      <w:r>
        <w:rPr>
          <w:w w:val="100"/>
          <w:sz w:val="21"/>
        </w:rPr>
        <w:t>na</w:t>
      </w:r>
      <w:r>
        <w:rPr>
          <w:spacing w:val="1"/>
          <w:w w:val="100"/>
          <w:sz w:val="21"/>
        </w:rPr>
        <w:t>l</w:t>
      </w:r>
      <w:r>
        <w:rPr>
          <w:spacing w:val="-2"/>
          <w:w w:val="100"/>
          <w:sz w:val="21"/>
        </w:rPr>
        <w:t>t</w:t>
      </w:r>
      <w:r>
        <w:rPr>
          <w:w w:val="100"/>
          <w:sz w:val="21"/>
        </w:rPr>
        <w:t>y</w:t>
      </w:r>
      <w:r>
        <w:rPr>
          <w:spacing w:val="11"/>
          <w:sz w:val="21"/>
        </w:rPr>
        <w:t> </w:t>
      </w:r>
      <w:r>
        <w:rPr>
          <w:w w:val="100"/>
          <w:sz w:val="21"/>
        </w:rPr>
        <w:t>not</w:t>
      </w:r>
      <w:r>
        <w:rPr>
          <w:spacing w:val="12"/>
          <w:sz w:val="21"/>
        </w:rPr>
        <w:t> </w:t>
      </w:r>
      <w:r>
        <w:rPr>
          <w:w w:val="100"/>
          <w:sz w:val="21"/>
        </w:rPr>
        <w:t>con</w:t>
      </w:r>
      <w:r>
        <w:rPr>
          <w:spacing w:val="-1"/>
          <w:w w:val="100"/>
          <w:sz w:val="21"/>
        </w:rPr>
        <w:t>f</w:t>
      </w:r>
      <w:r>
        <w:rPr>
          <w:w w:val="100"/>
          <w:sz w:val="21"/>
        </w:rPr>
        <w:t>i</w:t>
      </w:r>
      <w:r>
        <w:rPr>
          <w:w w:val="100"/>
          <w:sz w:val="21"/>
        </w:rPr>
        <w:t>n</w:t>
      </w:r>
      <w:r>
        <w:rPr>
          <w:spacing w:val="-3"/>
          <w:w w:val="100"/>
          <w:sz w:val="21"/>
        </w:rPr>
        <w:t>e</w:t>
      </w:r>
      <w:r>
        <w:rPr>
          <w:w w:val="100"/>
          <w:sz w:val="21"/>
        </w:rPr>
        <w:t>d</w:t>
      </w:r>
      <w:r>
        <w:rPr>
          <w:spacing w:val="13"/>
          <w:sz w:val="21"/>
        </w:rPr>
        <w:t> </w:t>
      </w:r>
      <w:r>
        <w:rPr>
          <w:spacing w:val="-2"/>
          <w:w w:val="100"/>
          <w:sz w:val="21"/>
        </w:rPr>
        <w:t>t</w:t>
      </w:r>
      <w:r>
        <w:rPr>
          <w:w w:val="100"/>
          <w:sz w:val="21"/>
        </w:rPr>
        <w:t>o</w:t>
      </w:r>
      <w:r>
        <w:rPr>
          <w:spacing w:val="13"/>
          <w:sz w:val="21"/>
        </w:rPr>
        <w:t> </w:t>
      </w:r>
      <w:r>
        <w:rPr>
          <w:spacing w:val="-2"/>
          <w:w w:val="100"/>
          <w:sz w:val="21"/>
        </w:rPr>
        <w:t>t</w:t>
      </w:r>
      <w:r>
        <w:rPr>
          <w:w w:val="100"/>
          <w:sz w:val="21"/>
        </w:rPr>
        <w:t>he</w:t>
      </w:r>
      <w:r>
        <w:rPr>
          <w:spacing w:val="13"/>
          <w:sz w:val="21"/>
        </w:rPr>
        <w:t> </w:t>
      </w:r>
      <w:r>
        <w:rPr>
          <w:spacing w:val="1"/>
          <w:w w:val="100"/>
          <w:sz w:val="21"/>
        </w:rPr>
        <w:t>f</w:t>
      </w:r>
      <w:r>
        <w:rPr>
          <w:w w:val="100"/>
          <w:sz w:val="21"/>
        </w:rPr>
        <w:t>i</w:t>
      </w:r>
      <w:r>
        <w:rPr>
          <w:spacing w:val="-1"/>
          <w:w w:val="100"/>
          <w:sz w:val="21"/>
        </w:rPr>
        <w:t>r</w:t>
      </w:r>
      <w:r>
        <w:rPr>
          <w:w w:val="100"/>
          <w:sz w:val="21"/>
        </w:rPr>
        <w:t>st</w:t>
      </w:r>
      <w:r>
        <w:rPr>
          <w:spacing w:val="12"/>
          <w:sz w:val="21"/>
        </w:rPr>
        <w:t> </w:t>
      </w:r>
      <w:r>
        <w:rPr>
          <w:w w:val="100"/>
          <w:sz w:val="21"/>
        </w:rPr>
        <w:t>de</w:t>
      </w:r>
      <w:r>
        <w:rPr>
          <w:spacing w:val="-1"/>
          <w:w w:val="100"/>
          <w:sz w:val="21"/>
        </w:rPr>
        <w:t>f</w:t>
      </w:r>
      <w:r>
        <w:rPr>
          <w:w w:val="100"/>
          <w:sz w:val="21"/>
        </w:rPr>
        <w:t>au</w:t>
      </w:r>
      <w:r>
        <w:rPr>
          <w:spacing w:val="-1"/>
          <w:w w:val="100"/>
          <w:sz w:val="21"/>
        </w:rPr>
        <w:t>l</w:t>
      </w:r>
      <w:r>
        <w:rPr>
          <w:w w:val="100"/>
          <w:sz w:val="21"/>
        </w:rPr>
        <w:t>t </w:t>
      </w:r>
      <w:r>
        <w:rPr>
          <w:sz w:val="21"/>
        </w:rPr>
        <w:t>but with reference to the continued default is obviously on the footing that non-compliance with the obligation of making a return is an infraction as long as the default continued. Without sanction of law no penalty is imposable with reference to the defaulting conduct. The position that penalty is imposable not only for the first default but as long as the default continues and such penalty is to be calculated at a prescribed rate on monthly basis is indicative of the legislative intention in unmistakable terms that as long as the assessee does not comply with the requirements of law he continues to be guilty of the infraction and exposes himself to the penalty provided by</w:t>
      </w:r>
      <w:r>
        <w:rPr>
          <w:spacing w:val="-5"/>
          <w:sz w:val="21"/>
        </w:rPr>
        <w:t> </w:t>
      </w:r>
      <w:r>
        <w:rPr>
          <w:sz w:val="21"/>
        </w:rPr>
        <w:t>law.‖</w:t>
      </w:r>
    </w:p>
    <w:p>
      <w:pPr>
        <w:pStyle w:val="BodyText"/>
        <w:rPr>
          <w:sz w:val="24"/>
        </w:rPr>
      </w:pPr>
    </w:p>
    <w:p>
      <w:pPr>
        <w:pStyle w:val="BodyText"/>
        <w:spacing w:before="2"/>
        <w:rPr>
          <w:sz w:val="26"/>
        </w:rPr>
      </w:pPr>
    </w:p>
    <w:p>
      <w:pPr>
        <w:pStyle w:val="ListParagraph"/>
        <w:numPr>
          <w:ilvl w:val="0"/>
          <w:numId w:val="3"/>
        </w:numPr>
        <w:tabs>
          <w:tab w:pos="1221" w:val="left" w:leader="none"/>
        </w:tabs>
        <w:spacing w:line="480" w:lineRule="auto" w:before="0" w:after="0"/>
        <w:ind w:left="500" w:right="435" w:firstLine="0"/>
        <w:jc w:val="both"/>
        <w:rPr>
          <w:sz w:val="25"/>
        </w:rPr>
      </w:pPr>
      <w:r>
        <w:rPr>
          <w:sz w:val="25"/>
        </w:rPr>
        <w:t>The application of the principle of continuing wrong in the context of service jurisprudence came up before a two judge Bench of this Court in </w:t>
      </w:r>
      <w:r>
        <w:rPr>
          <w:b/>
          <w:sz w:val="25"/>
        </w:rPr>
        <w:t>Union of India </w:t>
      </w:r>
      <w:r>
        <w:rPr>
          <w:sz w:val="25"/>
        </w:rPr>
        <w:t>v </w:t>
      </w:r>
      <w:r>
        <w:rPr>
          <w:b/>
          <w:sz w:val="25"/>
        </w:rPr>
        <w:t>Tarsem Singh</w:t>
      </w:r>
      <w:r>
        <w:rPr>
          <w:sz w:val="25"/>
          <w:vertAlign w:val="superscript"/>
        </w:rPr>
        <w:t>168</w:t>
      </w:r>
      <w:r>
        <w:rPr>
          <w:sz w:val="25"/>
          <w:vertAlign w:val="baseline"/>
        </w:rPr>
        <w:t>. In that case, the respondent was invalidated out of the Indian Army on medical grounds in November 1983. He approached the High Court in 1999 seeking disability pension. The High Court issued a </w:t>
      </w:r>
      <w:r>
        <w:rPr>
          <w:i/>
          <w:sz w:val="25"/>
          <w:vertAlign w:val="baseline"/>
        </w:rPr>
        <w:t>mandamus </w:t>
      </w:r>
      <w:r>
        <w:rPr>
          <w:sz w:val="25"/>
          <w:vertAlign w:val="baseline"/>
        </w:rPr>
        <w:t>for the payment of disability pension but restricted it to a period of 38 months prior to the institution of the writ petition. The claim of the respondent however was that disability pension should be granted with effect from November 1983 which was allowed by the Division Bench of the High Court in a Letters Patent Appeal. In a challenge before this Court to the above decision of the Division Bench of the High Court, Justice R V Raveendran, speaking for the two judge Bench,  observed</w:t>
      </w:r>
      <w:r>
        <w:rPr>
          <w:spacing w:val="15"/>
          <w:sz w:val="25"/>
          <w:vertAlign w:val="baseline"/>
        </w:rPr>
        <w:t> </w:t>
      </w:r>
      <w:r>
        <w:rPr>
          <w:sz w:val="25"/>
          <w:vertAlign w:val="baseline"/>
        </w:rPr>
        <w:t>that</w:t>
      </w:r>
      <w:r>
        <w:rPr>
          <w:spacing w:val="15"/>
          <w:sz w:val="25"/>
          <w:vertAlign w:val="baseline"/>
        </w:rPr>
        <w:t> </w:t>
      </w:r>
      <w:r>
        <w:rPr>
          <w:sz w:val="25"/>
          <w:vertAlign w:val="baseline"/>
        </w:rPr>
        <w:t>to</w:t>
      </w:r>
      <w:r>
        <w:rPr>
          <w:spacing w:val="16"/>
          <w:sz w:val="25"/>
          <w:vertAlign w:val="baseline"/>
        </w:rPr>
        <w:t> </w:t>
      </w:r>
      <w:r>
        <w:rPr>
          <w:sz w:val="25"/>
          <w:vertAlign w:val="baseline"/>
        </w:rPr>
        <w:t>the</w:t>
      </w:r>
      <w:r>
        <w:rPr>
          <w:spacing w:val="13"/>
          <w:sz w:val="25"/>
          <w:vertAlign w:val="baseline"/>
        </w:rPr>
        <w:t> </w:t>
      </w:r>
      <w:r>
        <w:rPr>
          <w:sz w:val="25"/>
          <w:vertAlign w:val="baseline"/>
        </w:rPr>
        <w:t>principle</w:t>
      </w:r>
      <w:r>
        <w:rPr>
          <w:spacing w:val="19"/>
          <w:sz w:val="25"/>
          <w:vertAlign w:val="baseline"/>
        </w:rPr>
        <w:t> </w:t>
      </w:r>
      <w:r>
        <w:rPr>
          <w:sz w:val="25"/>
          <w:vertAlign w:val="baseline"/>
        </w:rPr>
        <w:t>that</w:t>
      </w:r>
      <w:r>
        <w:rPr>
          <w:spacing w:val="15"/>
          <w:sz w:val="25"/>
          <w:vertAlign w:val="baseline"/>
        </w:rPr>
        <w:t> </w:t>
      </w:r>
      <w:r>
        <w:rPr>
          <w:sz w:val="25"/>
          <w:vertAlign w:val="baseline"/>
        </w:rPr>
        <w:t>a</w:t>
      </w:r>
      <w:r>
        <w:rPr>
          <w:spacing w:val="15"/>
          <w:sz w:val="25"/>
          <w:vertAlign w:val="baseline"/>
        </w:rPr>
        <w:t> </w:t>
      </w:r>
      <w:r>
        <w:rPr>
          <w:sz w:val="25"/>
          <w:vertAlign w:val="baseline"/>
        </w:rPr>
        <w:t>belated</w:t>
      </w:r>
      <w:r>
        <w:rPr>
          <w:spacing w:val="16"/>
          <w:sz w:val="25"/>
          <w:vertAlign w:val="baseline"/>
        </w:rPr>
        <w:t> </w:t>
      </w:r>
      <w:r>
        <w:rPr>
          <w:sz w:val="25"/>
          <w:vertAlign w:val="baseline"/>
        </w:rPr>
        <w:t>service</w:t>
      </w:r>
      <w:r>
        <w:rPr>
          <w:spacing w:val="15"/>
          <w:sz w:val="25"/>
          <w:vertAlign w:val="baseline"/>
        </w:rPr>
        <w:t> </w:t>
      </w:r>
      <w:r>
        <w:rPr>
          <w:sz w:val="25"/>
          <w:vertAlign w:val="baseline"/>
        </w:rPr>
        <w:t>claim</w:t>
      </w:r>
      <w:r>
        <w:rPr>
          <w:spacing w:val="15"/>
          <w:sz w:val="25"/>
          <w:vertAlign w:val="baseline"/>
        </w:rPr>
        <w:t> </w:t>
      </w:r>
      <w:r>
        <w:rPr>
          <w:sz w:val="25"/>
          <w:vertAlign w:val="baseline"/>
        </w:rPr>
        <w:t>is</w:t>
      </w:r>
      <w:r>
        <w:rPr>
          <w:spacing w:val="15"/>
          <w:sz w:val="25"/>
          <w:vertAlign w:val="baseline"/>
        </w:rPr>
        <w:t> </w:t>
      </w:r>
      <w:r>
        <w:rPr>
          <w:sz w:val="25"/>
          <w:vertAlign w:val="baseline"/>
        </w:rPr>
        <w:t>liable</w:t>
      </w:r>
      <w:r>
        <w:rPr>
          <w:spacing w:val="16"/>
          <w:sz w:val="25"/>
          <w:vertAlign w:val="baseline"/>
        </w:rPr>
        <w:t> </w:t>
      </w:r>
      <w:r>
        <w:rPr>
          <w:sz w:val="25"/>
          <w:vertAlign w:val="baseline"/>
        </w:rPr>
        <w:t>to</w:t>
      </w:r>
      <w:r>
        <w:rPr>
          <w:spacing w:val="15"/>
          <w:sz w:val="25"/>
          <w:vertAlign w:val="baseline"/>
        </w:rPr>
        <w:t> </w:t>
      </w:r>
      <w:r>
        <w:rPr>
          <w:sz w:val="25"/>
          <w:vertAlign w:val="baseline"/>
        </w:rPr>
        <w:t>be</w:t>
      </w:r>
      <w:r>
        <w:rPr>
          <w:spacing w:val="16"/>
          <w:sz w:val="25"/>
          <w:vertAlign w:val="baseline"/>
        </w:rPr>
        <w:t> </w:t>
      </w:r>
      <w:r>
        <w:rPr>
          <w:sz w:val="25"/>
          <w:vertAlign w:val="baseline"/>
        </w:rPr>
        <w:t>rejected</w:t>
      </w:r>
    </w:p>
    <w:p>
      <w:pPr>
        <w:spacing w:after="0" w:line="480" w:lineRule="auto"/>
        <w:jc w:val="both"/>
        <w:rPr>
          <w:sz w:val="25"/>
        </w:rPr>
        <w:sectPr>
          <w:pgSz w:w="11910" w:h="16840"/>
          <w:pgMar w:header="721" w:footer="1566" w:top="1300" w:bottom="1760" w:left="940" w:right="1000"/>
        </w:sectPr>
      </w:pPr>
    </w:p>
    <w:p>
      <w:pPr>
        <w:pStyle w:val="BodyText"/>
        <w:spacing w:line="480" w:lineRule="auto" w:before="124"/>
        <w:ind w:left="500" w:right="437"/>
        <w:jc w:val="both"/>
      </w:pPr>
      <w:r>
        <w:rPr/>
        <w:t>on the ground of delay and laches, there is a settled exception in relation to a continuing wrong. However, there is a further exception to the exception where the grievance is in respect of a decision which is liable to affect others in the service prejudicially. This Court held:</w:t>
      </w:r>
    </w:p>
    <w:p>
      <w:pPr>
        <w:spacing w:line="276" w:lineRule="auto" w:before="39"/>
        <w:ind w:left="1940" w:right="2260" w:firstLine="0"/>
        <w:jc w:val="both"/>
        <w:rPr>
          <w:sz w:val="21"/>
        </w:rPr>
      </w:pPr>
      <w:r>
        <w:rPr>
          <w:spacing w:val="-1"/>
          <w:w w:val="33"/>
          <w:sz w:val="21"/>
        </w:rPr>
        <w:t>―</w:t>
      </w:r>
      <w:r>
        <w:rPr>
          <w:spacing w:val="-1"/>
          <w:w w:val="100"/>
          <w:sz w:val="21"/>
        </w:rPr>
        <w:t>7</w:t>
      </w:r>
      <w:r>
        <w:rPr>
          <w:w w:val="100"/>
          <w:sz w:val="21"/>
        </w:rPr>
        <w:t>.</w:t>
      </w:r>
      <w:r>
        <w:rPr>
          <w:spacing w:val="-2"/>
          <w:sz w:val="21"/>
        </w:rPr>
        <w:t> </w:t>
      </w:r>
      <w:r>
        <w:rPr>
          <w:w w:val="100"/>
          <w:sz w:val="21"/>
        </w:rPr>
        <w:t>To</w:t>
      </w:r>
      <w:r>
        <w:rPr>
          <w:sz w:val="21"/>
        </w:rPr>
        <w:t> </w:t>
      </w:r>
      <w:r>
        <w:rPr>
          <w:spacing w:val="-16"/>
          <w:sz w:val="21"/>
        </w:rPr>
        <w:t> </w:t>
      </w:r>
      <w:r>
        <w:rPr>
          <w:w w:val="100"/>
          <w:sz w:val="21"/>
        </w:rPr>
        <w:t>s</w:t>
      </w:r>
      <w:r>
        <w:rPr>
          <w:spacing w:val="-3"/>
          <w:w w:val="100"/>
          <w:sz w:val="21"/>
        </w:rPr>
        <w:t>u</w:t>
      </w:r>
      <w:r>
        <w:rPr>
          <w:spacing w:val="-1"/>
          <w:w w:val="100"/>
          <w:sz w:val="21"/>
        </w:rPr>
        <w:t>mm</w:t>
      </w:r>
      <w:r>
        <w:rPr>
          <w:w w:val="100"/>
          <w:sz w:val="21"/>
        </w:rPr>
        <w:t>ari</w:t>
      </w:r>
      <w:r>
        <w:rPr>
          <w:spacing w:val="-2"/>
          <w:w w:val="100"/>
          <w:sz w:val="21"/>
        </w:rPr>
        <w:t>s</w:t>
      </w:r>
      <w:r>
        <w:rPr>
          <w:w w:val="100"/>
          <w:sz w:val="21"/>
        </w:rPr>
        <w:t>e,</w:t>
      </w:r>
      <w:r>
        <w:rPr>
          <w:sz w:val="21"/>
        </w:rPr>
        <w:t> </w:t>
      </w:r>
      <w:r>
        <w:rPr>
          <w:spacing w:val="-17"/>
          <w:sz w:val="21"/>
        </w:rPr>
        <w:t> </w:t>
      </w:r>
      <w:r>
        <w:rPr>
          <w:w w:val="100"/>
          <w:sz w:val="21"/>
        </w:rPr>
        <w:t>no</w:t>
      </w:r>
      <w:r>
        <w:rPr>
          <w:spacing w:val="-3"/>
          <w:w w:val="100"/>
          <w:sz w:val="21"/>
        </w:rPr>
        <w:t>r</w:t>
      </w:r>
      <w:r>
        <w:rPr>
          <w:spacing w:val="-1"/>
          <w:w w:val="100"/>
          <w:sz w:val="21"/>
        </w:rPr>
        <w:t>m</w:t>
      </w:r>
      <w:r>
        <w:rPr>
          <w:spacing w:val="-3"/>
          <w:w w:val="100"/>
          <w:sz w:val="21"/>
        </w:rPr>
        <w:t>a</w:t>
      </w:r>
      <w:r>
        <w:rPr>
          <w:w w:val="100"/>
          <w:sz w:val="21"/>
        </w:rPr>
        <w:t>ll</w:t>
      </w:r>
      <w:r>
        <w:rPr>
          <w:spacing w:val="-3"/>
          <w:w w:val="100"/>
          <w:sz w:val="21"/>
        </w:rPr>
        <w:t>y</w:t>
      </w:r>
      <w:r>
        <w:rPr>
          <w:w w:val="100"/>
          <w:sz w:val="21"/>
        </w:rPr>
        <w:t>,</w:t>
      </w:r>
      <w:r>
        <w:rPr>
          <w:sz w:val="21"/>
        </w:rPr>
        <w:t> </w:t>
      </w:r>
      <w:r>
        <w:rPr>
          <w:spacing w:val="-18"/>
          <w:sz w:val="21"/>
        </w:rPr>
        <w:t> </w:t>
      </w:r>
      <w:r>
        <w:rPr>
          <w:w w:val="100"/>
          <w:sz w:val="21"/>
        </w:rPr>
        <w:t>a</w:t>
      </w:r>
      <w:r>
        <w:rPr>
          <w:sz w:val="21"/>
        </w:rPr>
        <w:t> </w:t>
      </w:r>
      <w:r>
        <w:rPr>
          <w:spacing w:val="-16"/>
          <w:sz w:val="21"/>
        </w:rPr>
        <w:t> </w:t>
      </w:r>
      <w:r>
        <w:rPr>
          <w:spacing w:val="-3"/>
          <w:w w:val="100"/>
          <w:sz w:val="21"/>
        </w:rPr>
        <w:t>b</w:t>
      </w:r>
      <w:r>
        <w:rPr>
          <w:w w:val="100"/>
          <w:sz w:val="21"/>
        </w:rPr>
        <w:t>e</w:t>
      </w:r>
      <w:r>
        <w:rPr>
          <w:spacing w:val="1"/>
          <w:w w:val="100"/>
          <w:sz w:val="21"/>
        </w:rPr>
        <w:t>l</w:t>
      </w:r>
      <w:r>
        <w:rPr>
          <w:w w:val="100"/>
          <w:sz w:val="21"/>
        </w:rPr>
        <w:t>a</w:t>
      </w:r>
      <w:r>
        <w:rPr>
          <w:spacing w:val="-1"/>
          <w:w w:val="100"/>
          <w:sz w:val="21"/>
        </w:rPr>
        <w:t>t</w:t>
      </w:r>
      <w:r>
        <w:rPr>
          <w:spacing w:val="-3"/>
          <w:w w:val="100"/>
          <w:sz w:val="21"/>
        </w:rPr>
        <w:t>e</w:t>
      </w:r>
      <w:r>
        <w:rPr>
          <w:w w:val="100"/>
          <w:sz w:val="21"/>
        </w:rPr>
        <w:t>d</w:t>
      </w:r>
      <w:r>
        <w:rPr>
          <w:sz w:val="21"/>
        </w:rPr>
        <w:t> </w:t>
      </w:r>
      <w:r>
        <w:rPr>
          <w:spacing w:val="-16"/>
          <w:sz w:val="21"/>
        </w:rPr>
        <w:t> </w:t>
      </w:r>
      <w:r>
        <w:rPr>
          <w:spacing w:val="-3"/>
          <w:w w:val="100"/>
          <w:sz w:val="21"/>
        </w:rPr>
        <w:t>s</w:t>
      </w:r>
      <w:r>
        <w:rPr>
          <w:w w:val="100"/>
          <w:sz w:val="21"/>
        </w:rPr>
        <w:t>er</w:t>
      </w:r>
      <w:r>
        <w:rPr>
          <w:spacing w:val="-3"/>
          <w:w w:val="100"/>
          <w:sz w:val="21"/>
        </w:rPr>
        <w:t>v</w:t>
      </w:r>
      <w:r>
        <w:rPr>
          <w:w w:val="100"/>
          <w:sz w:val="21"/>
        </w:rPr>
        <w:t>i</w:t>
      </w:r>
      <w:r>
        <w:rPr>
          <w:w w:val="100"/>
          <w:sz w:val="21"/>
        </w:rPr>
        <w:t>c</w:t>
      </w:r>
      <w:r>
        <w:rPr>
          <w:spacing w:val="3"/>
          <w:w w:val="100"/>
          <w:sz w:val="21"/>
        </w:rPr>
        <w:t>e</w:t>
      </w:r>
      <w:r>
        <w:rPr>
          <w:spacing w:val="-1"/>
          <w:w w:val="100"/>
          <w:sz w:val="21"/>
        </w:rPr>
        <w:t>-r</w:t>
      </w:r>
      <w:r>
        <w:rPr>
          <w:w w:val="100"/>
          <w:sz w:val="21"/>
        </w:rPr>
        <w:t>e</w:t>
      </w:r>
      <w:r>
        <w:rPr>
          <w:spacing w:val="-2"/>
          <w:w w:val="100"/>
          <w:sz w:val="21"/>
        </w:rPr>
        <w:t>l</w:t>
      </w:r>
      <w:r>
        <w:rPr>
          <w:spacing w:val="-3"/>
          <w:w w:val="100"/>
          <w:sz w:val="21"/>
        </w:rPr>
        <w:t>a</w:t>
      </w:r>
      <w:r>
        <w:rPr>
          <w:spacing w:val="-2"/>
          <w:w w:val="100"/>
          <w:sz w:val="21"/>
        </w:rPr>
        <w:t>t</w:t>
      </w:r>
      <w:r>
        <w:rPr>
          <w:w w:val="100"/>
          <w:sz w:val="21"/>
        </w:rPr>
        <w:t>ed</w:t>
      </w:r>
      <w:r>
        <w:rPr>
          <w:sz w:val="21"/>
        </w:rPr>
        <w:t> </w:t>
      </w:r>
      <w:r>
        <w:rPr>
          <w:spacing w:val="-16"/>
          <w:sz w:val="21"/>
        </w:rPr>
        <w:t> </w:t>
      </w:r>
      <w:r>
        <w:rPr>
          <w:w w:val="100"/>
          <w:sz w:val="21"/>
        </w:rPr>
        <w:t>c</w:t>
      </w:r>
      <w:r>
        <w:rPr>
          <w:spacing w:val="-2"/>
          <w:w w:val="100"/>
          <w:sz w:val="21"/>
        </w:rPr>
        <w:t>l</w:t>
      </w:r>
      <w:r>
        <w:rPr>
          <w:w w:val="100"/>
          <w:sz w:val="21"/>
        </w:rPr>
        <w:t>a</w:t>
      </w:r>
      <w:r>
        <w:rPr>
          <w:spacing w:val="-2"/>
          <w:w w:val="100"/>
          <w:sz w:val="21"/>
        </w:rPr>
        <w:t>i</w:t>
      </w:r>
      <w:r>
        <w:rPr>
          <w:w w:val="100"/>
          <w:sz w:val="21"/>
        </w:rPr>
        <w:t>m </w:t>
      </w:r>
      <w:r>
        <w:rPr>
          <w:sz w:val="21"/>
        </w:rPr>
        <w:t>will be rejected on the ground of delay and laches (where remedy is sought by filing a writ petition) or limitation (where remedy is sought by an application to the Administrative Tribunal). One of the exceptions to the said rule is cases relating to a continuing wrong. Where a service-related claim is based on a continuing wrong, relief can be granted even if there is a long delay in seeking remedy, with reference to the date on which the continuing wrong commenced, if such continuing wrong creates a continuing source of injury. But there is an exception to the exception. If the grievance is in respect of any order or administrative decision which related to or affected several others also, and if the reopening of the issue would affect the settled rights of third parties, then the claim will not be entertained. For example, if the issue relates to payment or re-fixation of pay or pension, relief may be granted in spite of delay as it does not affect the rights of third parties. But if the claim involved issues relating to seniority or promotion, etc., affecting others, delay would render the claim stale and doctrine of laches/limitation will be applied. Insofar as the consequential relief of recovery of arrears for a past period is concerned, the principles relating to recurring/successive wrongs will</w:t>
      </w:r>
      <w:r>
        <w:rPr>
          <w:spacing w:val="-4"/>
          <w:sz w:val="21"/>
        </w:rPr>
        <w:t> </w:t>
      </w:r>
      <w:r>
        <w:rPr>
          <w:sz w:val="21"/>
        </w:rPr>
        <w:t>apply.‖</w:t>
      </w:r>
    </w:p>
    <w:p>
      <w:pPr>
        <w:pStyle w:val="BodyText"/>
        <w:rPr>
          <w:sz w:val="24"/>
        </w:rPr>
      </w:pPr>
    </w:p>
    <w:p>
      <w:pPr>
        <w:pStyle w:val="BodyText"/>
        <w:spacing w:before="11"/>
        <w:rPr>
          <w:sz w:val="29"/>
        </w:rPr>
      </w:pPr>
    </w:p>
    <w:p>
      <w:pPr>
        <w:pStyle w:val="BodyText"/>
        <w:spacing w:line="480" w:lineRule="auto"/>
        <w:ind w:left="500" w:right="442"/>
        <w:jc w:val="both"/>
      </w:pPr>
      <w:r>
        <w:rPr/>
        <w:t>The High Court in appeal was held not to be justified in directing the payment of arrears for the payment beyond three years before the institution of the writ petition.</w:t>
      </w:r>
    </w:p>
    <w:p>
      <w:pPr>
        <w:pStyle w:val="BodyText"/>
        <w:spacing w:before="11"/>
        <w:rPr>
          <w:sz w:val="24"/>
        </w:rPr>
      </w:pPr>
    </w:p>
    <w:p>
      <w:pPr>
        <w:pStyle w:val="ListParagraph"/>
        <w:numPr>
          <w:ilvl w:val="0"/>
          <w:numId w:val="3"/>
        </w:numPr>
        <w:tabs>
          <w:tab w:pos="1221" w:val="left" w:leader="none"/>
        </w:tabs>
        <w:spacing w:line="480" w:lineRule="auto" w:before="0" w:after="0"/>
        <w:ind w:left="500" w:right="438" w:firstLine="0"/>
        <w:jc w:val="both"/>
        <w:rPr>
          <w:sz w:val="25"/>
        </w:rPr>
      </w:pPr>
      <w:r>
        <w:rPr>
          <w:sz w:val="25"/>
        </w:rPr>
        <w:t>Many of the above judgments have adverted to a three judge Bench decision in </w:t>
      </w:r>
      <w:r>
        <w:rPr>
          <w:b/>
          <w:sz w:val="25"/>
        </w:rPr>
        <w:t>Balakrishna Savalram Pujari Waghmare </w:t>
      </w:r>
      <w:r>
        <w:rPr>
          <w:sz w:val="25"/>
        </w:rPr>
        <w:t>v </w:t>
      </w:r>
      <w:r>
        <w:rPr>
          <w:b/>
          <w:sz w:val="25"/>
        </w:rPr>
        <w:t>Shree Dhyaneshwar Maharaj Sansthan</w:t>
      </w:r>
      <w:r>
        <w:rPr>
          <w:sz w:val="25"/>
          <w:vertAlign w:val="superscript"/>
        </w:rPr>
        <w:t>169</w:t>
      </w:r>
      <w:r>
        <w:rPr>
          <w:sz w:val="25"/>
          <w:vertAlign w:val="baseline"/>
        </w:rPr>
        <w:t>. The appellants claimed rights of hereditary worshippers in</w:t>
      </w:r>
    </w:p>
    <w:p>
      <w:pPr>
        <w:pStyle w:val="BodyText"/>
        <w:spacing w:before="8"/>
        <w:rPr>
          <w:sz w:val="26"/>
        </w:rPr>
      </w:pPr>
      <w:r>
        <w:rPr/>
        <w:pict>
          <v:rect style="position:absolute;margin-left:72.024002pt;margin-top:17.304964pt;width:144.020pt;height:.599980pt;mso-position-horizontal-relative:page;mso-position-vertical-relative:paragraph;z-index:-15679488;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169</w:t>
      </w:r>
      <w:r>
        <w:rPr>
          <w:sz w:val="18"/>
          <w:vertAlign w:val="baseline"/>
        </w:rPr>
        <w:t>1959 Supp (2) SCR 476</w:t>
      </w:r>
    </w:p>
    <w:p>
      <w:pPr>
        <w:spacing w:after="0"/>
        <w:jc w:val="left"/>
        <w:rPr>
          <w:sz w:val="18"/>
        </w:rPr>
        <w:sectPr>
          <w:headerReference w:type="default" r:id="rId120"/>
          <w:footerReference w:type="default" r:id="rId121"/>
          <w:pgSz w:w="11910" w:h="16840"/>
          <w:pgMar w:header="721" w:footer="1014" w:top="1300" w:bottom="1200" w:left="940" w:right="1000"/>
          <w:pgNumType w:start="312"/>
        </w:sectPr>
      </w:pPr>
    </w:p>
    <w:p>
      <w:pPr>
        <w:pStyle w:val="BodyText"/>
        <w:spacing w:line="480" w:lineRule="auto" w:before="124"/>
        <w:ind w:left="500" w:right="438"/>
        <w:jc w:val="both"/>
      </w:pPr>
      <w:r>
        <w:rPr/>
        <w:t>a religious institution and that their ancestors were in possession of a temple and in the management of its affairs including the worship of a shrine. The trustees dismissed some pujaris for misconduct. Meantime, in 1922, the pujaris obtained forcible possession of the temple. The trustees instituted a suit which resulted in a decree. Possession of the temple was recovered in execution of the decree. Later, the pujaris instituted a suit claiming hereditary rights under the religious institution. In an appeal arising from the decree in the suit, the High Court held that Article 120 of the Limitation Act applied, and the suit had been initiated beyond the period of six years prescribed by the article. In appeal before this Court, it was urged that the suit was not barred under Article 120 because Section 23 of the Limitation Act applied, the conduct of the trustees being a continuing wrong. While considering the argument, Justice PB Gajendragadkar (as the learned Chief Justice then was)</w:t>
      </w:r>
      <w:r>
        <w:rPr>
          <w:spacing w:val="-5"/>
        </w:rPr>
        <w:t> </w:t>
      </w:r>
      <w:r>
        <w:rPr/>
        <w:t>held:</w:t>
      </w:r>
    </w:p>
    <w:p>
      <w:pPr>
        <w:spacing w:line="276" w:lineRule="auto" w:before="0"/>
        <w:ind w:left="1940" w:right="2171" w:firstLine="0"/>
        <w:jc w:val="both"/>
        <w:rPr>
          <w:sz w:val="21"/>
        </w:rPr>
      </w:pPr>
      <w:r>
        <w:rPr>
          <w:w w:val="33"/>
          <w:sz w:val="21"/>
        </w:rPr>
        <w:t>―</w:t>
      </w:r>
      <w:r>
        <w:rPr>
          <w:w w:val="100"/>
          <w:sz w:val="21"/>
        </w:rPr>
        <w:t>31…</w:t>
      </w:r>
      <w:r>
        <w:rPr>
          <w:sz w:val="21"/>
        </w:rPr>
        <w:t> </w:t>
      </w:r>
      <w:r>
        <w:rPr>
          <w:w w:val="100"/>
          <w:sz w:val="21"/>
        </w:rPr>
        <w:t>I</w:t>
      </w:r>
      <w:r>
        <w:rPr>
          <w:w w:val="100"/>
          <w:sz w:val="21"/>
        </w:rPr>
        <w:t>n</w:t>
      </w:r>
      <w:r>
        <w:rPr>
          <w:sz w:val="21"/>
        </w:rPr>
        <w:t> </w:t>
      </w:r>
      <w:r>
        <w:rPr>
          <w:w w:val="100"/>
          <w:sz w:val="21"/>
        </w:rPr>
        <w:t>dea</w:t>
      </w:r>
      <w:r>
        <w:rPr>
          <w:w w:val="100"/>
          <w:sz w:val="21"/>
        </w:rPr>
        <w:t>li</w:t>
      </w:r>
      <w:r>
        <w:rPr>
          <w:w w:val="100"/>
          <w:sz w:val="21"/>
        </w:rPr>
        <w:t>ng</w:t>
      </w:r>
      <w:r>
        <w:rPr>
          <w:sz w:val="21"/>
        </w:rPr>
        <w:t> </w:t>
      </w:r>
      <w:r>
        <w:rPr>
          <w:w w:val="100"/>
          <w:sz w:val="21"/>
        </w:rPr>
        <w:t>w</w:t>
      </w:r>
      <w:r>
        <w:rPr>
          <w:w w:val="100"/>
          <w:sz w:val="21"/>
        </w:rPr>
        <w:t>i</w:t>
      </w:r>
      <w:r>
        <w:rPr>
          <w:w w:val="100"/>
          <w:sz w:val="21"/>
        </w:rPr>
        <w:t>t</w:t>
      </w:r>
      <w:r>
        <w:rPr>
          <w:w w:val="100"/>
          <w:sz w:val="21"/>
        </w:rPr>
        <w:t>h</w:t>
      </w:r>
      <w:r>
        <w:rPr>
          <w:sz w:val="21"/>
        </w:rPr>
        <w:t> </w:t>
      </w:r>
      <w:r>
        <w:rPr>
          <w:w w:val="100"/>
          <w:sz w:val="21"/>
        </w:rPr>
        <w:t>t</w:t>
      </w:r>
      <w:r>
        <w:rPr>
          <w:w w:val="100"/>
          <w:sz w:val="21"/>
        </w:rPr>
        <w:t>h</w:t>
      </w:r>
      <w:r>
        <w:rPr>
          <w:w w:val="100"/>
          <w:sz w:val="21"/>
        </w:rPr>
        <w:t>i</w:t>
      </w:r>
      <w:r>
        <w:rPr>
          <w:w w:val="100"/>
          <w:sz w:val="21"/>
        </w:rPr>
        <w:t>s</w:t>
      </w:r>
      <w:r>
        <w:rPr>
          <w:sz w:val="21"/>
        </w:rPr>
        <w:t> </w:t>
      </w:r>
      <w:r>
        <w:rPr>
          <w:w w:val="100"/>
          <w:sz w:val="21"/>
        </w:rPr>
        <w:t>argu</w:t>
      </w:r>
      <w:r>
        <w:rPr>
          <w:w w:val="100"/>
          <w:sz w:val="21"/>
        </w:rPr>
        <w:t>m</w:t>
      </w:r>
      <w:r>
        <w:rPr>
          <w:w w:val="100"/>
          <w:sz w:val="21"/>
        </w:rPr>
        <w:t>e</w:t>
      </w:r>
      <w:r>
        <w:rPr>
          <w:w w:val="100"/>
          <w:sz w:val="21"/>
        </w:rPr>
        <w:t>nt</w:t>
      </w:r>
      <w:r>
        <w:rPr>
          <w:sz w:val="21"/>
        </w:rPr>
        <w:t> </w:t>
      </w:r>
      <w:r>
        <w:rPr>
          <w:w w:val="100"/>
          <w:sz w:val="21"/>
        </w:rPr>
        <w:t>i</w:t>
      </w:r>
      <w:r>
        <w:rPr>
          <w:w w:val="100"/>
          <w:sz w:val="21"/>
        </w:rPr>
        <w:t>t</w:t>
      </w:r>
      <w:r>
        <w:rPr>
          <w:sz w:val="21"/>
        </w:rPr>
        <w:t> </w:t>
      </w:r>
      <w:r>
        <w:rPr>
          <w:w w:val="100"/>
          <w:sz w:val="21"/>
        </w:rPr>
        <w:t>i</w:t>
      </w:r>
      <w:r>
        <w:rPr>
          <w:w w:val="100"/>
          <w:sz w:val="21"/>
        </w:rPr>
        <w:t>s</w:t>
      </w:r>
      <w:r>
        <w:rPr>
          <w:sz w:val="21"/>
        </w:rPr>
        <w:t> </w:t>
      </w:r>
      <w:r>
        <w:rPr>
          <w:w w:val="100"/>
          <w:sz w:val="21"/>
        </w:rPr>
        <w:t>necessary</w:t>
      </w:r>
      <w:r>
        <w:rPr>
          <w:sz w:val="21"/>
        </w:rPr>
        <w:t> </w:t>
      </w:r>
      <w:r>
        <w:rPr>
          <w:w w:val="100"/>
          <w:sz w:val="21"/>
        </w:rPr>
        <w:t>t</w:t>
      </w:r>
      <w:r>
        <w:rPr>
          <w:w w:val="100"/>
          <w:sz w:val="21"/>
        </w:rPr>
        <w:t>o</w:t>
      </w:r>
      <w:r>
        <w:rPr>
          <w:sz w:val="21"/>
        </w:rPr>
        <w:t> </w:t>
      </w:r>
      <w:r>
        <w:rPr>
          <w:w w:val="100"/>
          <w:sz w:val="21"/>
        </w:rPr>
        <w:t>bear</w:t>
      </w:r>
      <w:r>
        <w:rPr>
          <w:sz w:val="21"/>
        </w:rPr>
        <w:t> </w:t>
      </w:r>
      <w:r>
        <w:rPr>
          <w:w w:val="100"/>
          <w:sz w:val="21"/>
        </w:rPr>
        <w:t>i</w:t>
      </w:r>
      <w:r>
        <w:rPr>
          <w:w w:val="100"/>
          <w:sz w:val="21"/>
        </w:rPr>
        <w:t>n </w:t>
      </w:r>
      <w:r>
        <w:rPr>
          <w:sz w:val="21"/>
        </w:rPr>
        <w:t>mind that Section 23 refers not to a continuing right but to a continuing wrong. It is the very essence of a continuing wrong that it is an act which creates a continuing source of injury and renders the doer of the act responsible and liable for the continuance of the said injury. If the wrongful act causes an injury which is complete, there is no continuing wrong even though the damage resulting from the act may continue. If, however, a wrongful act is of such a character that the injury caused by it itself continues, then the act constitutes a continuing wrong. In this connection it is necessary to draw a distinction between the injury caused by the wrongful act and what may be described as the effect of the said injury. It is only in regard to acts which can be properly characterised as continuing wrongs that Section 23 can be invoked.‖</w:t>
      </w:r>
    </w:p>
    <w:p>
      <w:pPr>
        <w:pStyle w:val="BodyText"/>
        <w:rPr>
          <w:sz w:val="24"/>
        </w:rPr>
      </w:pPr>
    </w:p>
    <w:p>
      <w:pPr>
        <w:pStyle w:val="BodyText"/>
        <w:rPr>
          <w:sz w:val="24"/>
        </w:rPr>
      </w:pPr>
    </w:p>
    <w:p>
      <w:pPr>
        <w:pStyle w:val="ListParagraph"/>
        <w:numPr>
          <w:ilvl w:val="0"/>
          <w:numId w:val="3"/>
        </w:numPr>
        <w:tabs>
          <w:tab w:pos="1221" w:val="left" w:leader="none"/>
        </w:tabs>
        <w:spacing w:line="480" w:lineRule="auto" w:before="167" w:after="0"/>
        <w:ind w:left="500" w:right="441" w:firstLine="0"/>
        <w:jc w:val="both"/>
        <w:rPr>
          <w:sz w:val="25"/>
        </w:rPr>
      </w:pPr>
      <w:r>
        <w:rPr>
          <w:sz w:val="25"/>
        </w:rPr>
        <w:t>This Court held that the act of the trustees in discontinuing the alleged rights of the appellants as hereditary worshippers and in claiming and obtaining possession from them in the suit in 1922 could not held to be a continuing</w:t>
      </w:r>
      <w:r>
        <w:rPr>
          <w:spacing w:val="43"/>
          <w:sz w:val="25"/>
        </w:rPr>
        <w:t> </w:t>
      </w:r>
      <w:r>
        <w:rPr>
          <w:sz w:val="25"/>
        </w:rPr>
        <w:t>wrong.</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The Court held that the decree obtained by the trustees, had effectively and completely injured the rights of the appellants though the damage may have subsequently continued. Upon the execution of the decree, the rights of the appellants were completely injured and though their dispossession continued, it was held not to constitute a continuing wrong. In that context, the Court noted:</w:t>
      </w:r>
    </w:p>
    <w:p>
      <w:pPr>
        <w:spacing w:line="276" w:lineRule="auto" w:before="0"/>
        <w:ind w:left="1940" w:right="2263" w:firstLine="0"/>
        <w:jc w:val="both"/>
        <w:rPr>
          <w:sz w:val="21"/>
        </w:rPr>
      </w:pPr>
      <w:r>
        <w:rPr>
          <w:w w:val="33"/>
          <w:sz w:val="21"/>
        </w:rPr>
        <w:t>―</w:t>
      </w:r>
      <w:r>
        <w:rPr>
          <w:w w:val="100"/>
          <w:sz w:val="21"/>
        </w:rPr>
        <w:t>We</w:t>
      </w:r>
      <w:r>
        <w:rPr>
          <w:sz w:val="21"/>
        </w:rPr>
        <w:t> </w:t>
      </w:r>
      <w:r>
        <w:rPr>
          <w:w w:val="100"/>
          <w:sz w:val="21"/>
        </w:rPr>
        <w:t>think</w:t>
      </w:r>
      <w:r>
        <w:rPr>
          <w:sz w:val="21"/>
        </w:rPr>
        <w:t> </w:t>
      </w:r>
      <w:r>
        <w:rPr>
          <w:w w:val="100"/>
          <w:sz w:val="21"/>
        </w:rPr>
        <w:t>there</w:t>
      </w:r>
      <w:r>
        <w:rPr>
          <w:sz w:val="21"/>
        </w:rPr>
        <w:t> </w:t>
      </w:r>
      <w:r>
        <w:rPr>
          <w:w w:val="100"/>
          <w:sz w:val="21"/>
        </w:rPr>
        <w:t>can</w:t>
      </w:r>
      <w:r>
        <w:rPr>
          <w:sz w:val="21"/>
        </w:rPr>
        <w:t> </w:t>
      </w:r>
      <w:r>
        <w:rPr>
          <w:w w:val="100"/>
          <w:sz w:val="21"/>
        </w:rPr>
        <w:t>be</w:t>
      </w:r>
      <w:r>
        <w:rPr>
          <w:sz w:val="21"/>
        </w:rPr>
        <w:t> </w:t>
      </w:r>
      <w:r>
        <w:rPr>
          <w:w w:val="100"/>
          <w:sz w:val="21"/>
        </w:rPr>
        <w:t>no</w:t>
      </w:r>
      <w:r>
        <w:rPr>
          <w:sz w:val="21"/>
        </w:rPr>
        <w:t> </w:t>
      </w:r>
      <w:r>
        <w:rPr>
          <w:w w:val="100"/>
          <w:sz w:val="21"/>
        </w:rPr>
        <w:t>doubt</w:t>
      </w:r>
      <w:r>
        <w:rPr>
          <w:sz w:val="21"/>
        </w:rPr>
        <w:t> </w:t>
      </w:r>
      <w:r>
        <w:rPr>
          <w:w w:val="100"/>
          <w:sz w:val="21"/>
        </w:rPr>
        <w:t>that</w:t>
      </w:r>
      <w:r>
        <w:rPr>
          <w:sz w:val="21"/>
        </w:rPr>
        <w:t> </w:t>
      </w:r>
      <w:r>
        <w:rPr>
          <w:w w:val="100"/>
          <w:sz w:val="21"/>
        </w:rPr>
        <w:t>where</w:t>
      </w:r>
      <w:r>
        <w:rPr>
          <w:sz w:val="21"/>
        </w:rPr>
        <w:t> </w:t>
      </w:r>
      <w:r>
        <w:rPr>
          <w:w w:val="100"/>
          <w:sz w:val="21"/>
        </w:rPr>
        <w:t>the</w:t>
      </w:r>
      <w:r>
        <w:rPr>
          <w:sz w:val="21"/>
        </w:rPr>
        <w:t> </w:t>
      </w:r>
      <w:r>
        <w:rPr>
          <w:w w:val="100"/>
          <w:sz w:val="21"/>
        </w:rPr>
        <w:t>wrongful</w:t>
      </w:r>
      <w:r>
        <w:rPr>
          <w:sz w:val="21"/>
        </w:rPr>
        <w:t> </w:t>
      </w:r>
      <w:r>
        <w:rPr>
          <w:w w:val="100"/>
          <w:sz w:val="21"/>
        </w:rPr>
        <w:t>act </w:t>
      </w:r>
      <w:r>
        <w:rPr>
          <w:sz w:val="21"/>
        </w:rPr>
        <w:t>complained of amounts to ouster, the resulting injury to the right is complete at the date of the ouster and so there would be no scope for the application of Section 23 in such a case. That is the view which the High Court has taken and we see no reason to differ from it.‖</w:t>
      </w:r>
    </w:p>
    <w:p>
      <w:pPr>
        <w:pStyle w:val="BodyText"/>
        <w:rPr>
          <w:sz w:val="24"/>
        </w:rPr>
      </w:pPr>
    </w:p>
    <w:p>
      <w:pPr>
        <w:pStyle w:val="BodyText"/>
        <w:rPr>
          <w:sz w:val="24"/>
        </w:rPr>
      </w:pPr>
    </w:p>
    <w:p>
      <w:pPr>
        <w:pStyle w:val="BodyText"/>
        <w:spacing w:line="480" w:lineRule="auto"/>
        <w:ind w:left="500" w:right="436"/>
        <w:jc w:val="both"/>
      </w:pPr>
      <w:r>
        <w:rPr/>
        <w:t>This Court distinguished the decision of the Privy Council in </w:t>
      </w:r>
      <w:r>
        <w:rPr>
          <w:b/>
        </w:rPr>
        <w:t>Maharani Rajroop Koer </w:t>
      </w:r>
      <w:r>
        <w:rPr/>
        <w:t>v </w:t>
      </w:r>
      <w:r>
        <w:rPr>
          <w:b/>
        </w:rPr>
        <w:t>Syed Abul Hossein</w:t>
      </w:r>
      <w:r>
        <w:rPr>
          <w:vertAlign w:val="superscript"/>
        </w:rPr>
        <w:t>170</w:t>
      </w:r>
      <w:r>
        <w:rPr>
          <w:vertAlign w:val="baseline"/>
        </w:rPr>
        <w:t> on the ground that it was a case where a continuing obstruction caused to the flow of water was held to be in the nature of continuing nuisances. Similarly, the decision in </w:t>
      </w:r>
      <w:r>
        <w:rPr>
          <w:b/>
          <w:vertAlign w:val="baseline"/>
        </w:rPr>
        <w:t>Sir Seth Hukum Chand </w:t>
      </w:r>
      <w:r>
        <w:rPr>
          <w:vertAlign w:val="baseline"/>
        </w:rPr>
        <w:t>v </w:t>
      </w:r>
      <w:r>
        <w:rPr>
          <w:b/>
          <w:vertAlign w:val="baseline"/>
        </w:rPr>
        <w:t>Maharaj Bahadur Singh</w:t>
      </w:r>
      <w:r>
        <w:rPr>
          <w:vertAlign w:val="superscript"/>
        </w:rPr>
        <w:t>171</w:t>
      </w:r>
      <w:r>
        <w:rPr>
          <w:vertAlign w:val="baseline"/>
        </w:rPr>
        <w:t> relied on the earlier decision in </w:t>
      </w:r>
      <w:r>
        <w:rPr>
          <w:b/>
          <w:vertAlign w:val="baseline"/>
        </w:rPr>
        <w:t>Maharani Rajroop Koer</w:t>
      </w:r>
      <w:r>
        <w:rPr>
          <w:vertAlign w:val="baseline"/>
        </w:rPr>
        <w:t>. Distinguishing the decision, this Court held that the action which was impugned did not amount to ouster or complete dispossession of the plaintiffs.</w:t>
      </w:r>
    </w:p>
    <w:p>
      <w:pPr>
        <w:pStyle w:val="BodyText"/>
        <w:spacing w:before="1"/>
      </w:pPr>
    </w:p>
    <w:p>
      <w:pPr>
        <w:pStyle w:val="ListParagraph"/>
        <w:numPr>
          <w:ilvl w:val="0"/>
          <w:numId w:val="3"/>
        </w:numPr>
        <w:tabs>
          <w:tab w:pos="1221" w:val="left" w:leader="none"/>
        </w:tabs>
        <w:spacing w:line="480" w:lineRule="auto" w:before="0" w:after="0"/>
        <w:ind w:left="500" w:right="434" w:firstLine="0"/>
        <w:jc w:val="both"/>
        <w:rPr>
          <w:sz w:val="25"/>
        </w:rPr>
      </w:pPr>
      <w:r>
        <w:rPr>
          <w:sz w:val="25"/>
        </w:rPr>
        <w:t>A continuing wrong, as this Court held in </w:t>
      </w:r>
      <w:r>
        <w:rPr>
          <w:b/>
          <w:sz w:val="25"/>
        </w:rPr>
        <w:t>Balakrishna Savalram </w:t>
      </w:r>
      <w:r>
        <w:rPr>
          <w:sz w:val="25"/>
        </w:rPr>
        <w:t>is an act which creates a continuing source of injury. This makes the doer of the act liable for the continuance of the injury. However, where a wrongful act amounts to an ouster, as in the present case, the resulting injury is complete on the date of the ouster itself. A wrong or default as a result of which the injury is complete is not a continuing wrong or default even though its effect continues to be felt despite its completion.</w:t>
      </w:r>
    </w:p>
    <w:p>
      <w:pPr>
        <w:pStyle w:val="BodyText"/>
        <w:spacing w:line="20" w:lineRule="exact"/>
        <w:ind w:left="500"/>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spacing w:before="97"/>
        <w:ind w:left="500" w:right="0" w:firstLine="0"/>
        <w:jc w:val="left"/>
        <w:rPr>
          <w:sz w:val="18"/>
        </w:rPr>
      </w:pPr>
      <w:r>
        <w:rPr>
          <w:sz w:val="18"/>
          <w:vertAlign w:val="superscript"/>
        </w:rPr>
        <w:t>170</w:t>
      </w:r>
      <w:r>
        <w:rPr>
          <w:sz w:val="18"/>
          <w:vertAlign w:val="baseline"/>
        </w:rPr>
        <w:t> (1879-80) 7 IA 240</w:t>
      </w:r>
    </w:p>
    <w:p>
      <w:pPr>
        <w:spacing w:before="2"/>
        <w:ind w:left="500" w:right="0" w:firstLine="0"/>
        <w:jc w:val="left"/>
        <w:rPr>
          <w:sz w:val="18"/>
        </w:rPr>
      </w:pPr>
      <w:r>
        <w:rPr>
          <w:sz w:val="18"/>
          <w:vertAlign w:val="superscript"/>
        </w:rPr>
        <w:t>171</w:t>
      </w:r>
      <w:r>
        <w:rPr>
          <w:sz w:val="18"/>
          <w:vertAlign w:val="baseline"/>
        </w:rPr>
        <w:t> (1933) 38 LW 306 (PC)</w:t>
      </w:r>
    </w:p>
    <w:p>
      <w:pPr>
        <w:spacing w:after="0"/>
        <w:jc w:val="left"/>
        <w:rPr>
          <w:sz w:val="18"/>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6" w:firstLine="0"/>
        <w:jc w:val="both"/>
        <w:rPr>
          <w:sz w:val="25"/>
        </w:rPr>
      </w:pPr>
      <w:r>
        <w:rPr>
          <w:sz w:val="25"/>
        </w:rPr>
        <w:t>The submission of Nirmohi Akhara is based on the principle of continuing wrong as a defence to a plea of limitation. In assessing the submission, a distinction must be made between the source of a legal injury and the effect of the injury. The source of a legal injury is founded </w:t>
      </w:r>
      <w:r>
        <w:rPr>
          <w:spacing w:val="3"/>
          <w:sz w:val="25"/>
        </w:rPr>
        <w:t>in </w:t>
      </w:r>
      <w:r>
        <w:rPr>
          <w:sz w:val="25"/>
        </w:rPr>
        <w:t>a breach of an obligation. A continuing wrong arises where there is an obligation imposed by law, agreement or otherwise to continue to act or to desist from acting in a particular manner. The breach of such an obligation extends beyond a single completed act or omission. The breach is of a continuing nature, giving rise to a legal injury which assumes the nature of a continuing wrong. For a continuing wrong to arise, there must in the first place be a wrong which is actionable because in the absence of a wrong, there can be no continuing wrong. It is when there is a wrong that a further line of enquiry of whether there is a continuing wrong would arise. Without a wrong  there cannot be a continuing wrong. A wrong postulates a breach of an obligation imposed on an individual, where positive or negative, to act or desist from acting in a particular manner. The obligation on one individual finds a corresponding reflection of a right which inheres in another. A continuing wrong postulates a breach of a continuing duty or a breach of an obligation which is of a continuing nature. This indeed was the basis on which the three judge Bench in </w:t>
      </w:r>
      <w:r>
        <w:rPr>
          <w:b/>
          <w:sz w:val="25"/>
        </w:rPr>
        <w:t>Maya Rani Punj </w:t>
      </w:r>
      <w:r>
        <w:rPr>
          <w:sz w:val="25"/>
        </w:rPr>
        <w:t>approved the statement in a decision of the Calcutta High Court in the following</w:t>
      </w:r>
      <w:r>
        <w:rPr>
          <w:spacing w:val="-1"/>
          <w:sz w:val="25"/>
        </w:rPr>
        <w:t> </w:t>
      </w:r>
      <w:r>
        <w:rPr>
          <w:sz w:val="25"/>
        </w:rPr>
        <w:t>terms:</w:t>
      </w:r>
    </w:p>
    <w:p>
      <w:pPr>
        <w:spacing w:line="276" w:lineRule="auto" w:before="0"/>
        <w:ind w:left="1940" w:right="2262" w:firstLine="0"/>
        <w:jc w:val="both"/>
        <w:rPr>
          <w:sz w:val="21"/>
        </w:rPr>
      </w:pPr>
      <w:r>
        <w:rPr>
          <w:spacing w:val="-1"/>
          <w:w w:val="33"/>
          <w:sz w:val="21"/>
        </w:rPr>
        <w:t>―</w:t>
      </w:r>
      <w:r>
        <w:rPr>
          <w:spacing w:val="-2"/>
          <w:w w:val="100"/>
          <w:sz w:val="21"/>
        </w:rPr>
        <w:t>I</w:t>
      </w:r>
      <w:r>
        <w:rPr>
          <w:w w:val="100"/>
          <w:sz w:val="21"/>
        </w:rPr>
        <w:t>n</w:t>
      </w:r>
      <w:r>
        <w:rPr>
          <w:spacing w:val="-1"/>
          <w:sz w:val="21"/>
        </w:rPr>
        <w:t> </w:t>
      </w:r>
      <w:r>
        <w:rPr>
          <w:spacing w:val="-2"/>
          <w:w w:val="100"/>
          <w:sz w:val="21"/>
        </w:rPr>
        <w:t>G</w:t>
      </w:r>
      <w:r>
        <w:rPr>
          <w:spacing w:val="-2"/>
          <w:w w:val="100"/>
          <w:sz w:val="21"/>
        </w:rPr>
        <w:t>.</w:t>
      </w:r>
      <w:r>
        <w:rPr>
          <w:w w:val="100"/>
          <w:sz w:val="21"/>
        </w:rPr>
        <w:t>D</w:t>
      </w:r>
      <w:r>
        <w:rPr>
          <w:w w:val="100"/>
          <w:sz w:val="21"/>
        </w:rPr>
        <w:t>.</w:t>
      </w:r>
      <w:r>
        <w:rPr>
          <w:spacing w:val="26"/>
          <w:sz w:val="21"/>
        </w:rPr>
        <w:t> </w:t>
      </w:r>
      <w:r>
        <w:rPr>
          <w:w w:val="100"/>
          <w:sz w:val="21"/>
        </w:rPr>
        <w:t>B</w:t>
      </w:r>
      <w:r>
        <w:rPr>
          <w:w w:val="100"/>
          <w:sz w:val="21"/>
        </w:rPr>
        <w:t>ha</w:t>
      </w:r>
      <w:r>
        <w:rPr>
          <w:spacing w:val="-1"/>
          <w:w w:val="100"/>
          <w:sz w:val="21"/>
        </w:rPr>
        <w:t>t</w:t>
      </w:r>
      <w:r>
        <w:rPr>
          <w:spacing w:val="-2"/>
          <w:w w:val="100"/>
          <w:sz w:val="21"/>
        </w:rPr>
        <w:t>t</w:t>
      </w:r>
      <w:r>
        <w:rPr>
          <w:w w:val="100"/>
          <w:sz w:val="21"/>
        </w:rPr>
        <w:t>ar</w:t>
      </w:r>
      <w:r>
        <w:rPr>
          <w:spacing w:val="-1"/>
          <w:sz w:val="21"/>
        </w:rPr>
        <w:t> </w:t>
      </w:r>
      <w:r>
        <w:rPr>
          <w:spacing w:val="-3"/>
          <w:w w:val="100"/>
          <w:sz w:val="21"/>
        </w:rPr>
        <w:t>v</w:t>
      </w:r>
      <w:r>
        <w:rPr>
          <w:w w:val="100"/>
          <w:sz w:val="21"/>
        </w:rPr>
        <w:t>.</w:t>
      </w:r>
      <w:r>
        <w:rPr>
          <w:spacing w:val="-2"/>
          <w:sz w:val="21"/>
        </w:rPr>
        <w:t> </w:t>
      </w:r>
      <w:r>
        <w:rPr>
          <w:w w:val="100"/>
          <w:sz w:val="21"/>
        </w:rPr>
        <w:t>S</w:t>
      </w:r>
      <w:r>
        <w:rPr>
          <w:spacing w:val="-2"/>
          <w:w w:val="100"/>
          <w:sz w:val="21"/>
        </w:rPr>
        <w:t>t</w:t>
      </w:r>
      <w:r>
        <w:rPr>
          <w:w w:val="100"/>
          <w:sz w:val="21"/>
        </w:rPr>
        <w:t>a</w:t>
      </w:r>
      <w:r>
        <w:rPr>
          <w:spacing w:val="-1"/>
          <w:w w:val="100"/>
          <w:sz w:val="21"/>
        </w:rPr>
        <w:t>t</w:t>
      </w:r>
      <w:r>
        <w:rPr>
          <w:w w:val="100"/>
          <w:sz w:val="21"/>
        </w:rPr>
        <w:t>e</w:t>
      </w:r>
      <w:r>
        <w:rPr>
          <w:spacing w:val="-1"/>
          <w:sz w:val="21"/>
        </w:rPr>
        <w:t> </w:t>
      </w:r>
      <w:r>
        <w:rPr>
          <w:spacing w:val="1"/>
          <w:w w:val="100"/>
          <w:sz w:val="21"/>
        </w:rPr>
        <w:t>[</w:t>
      </w:r>
      <w:r>
        <w:rPr>
          <w:w w:val="100"/>
          <w:sz w:val="21"/>
        </w:rPr>
        <w:t>A</w:t>
      </w:r>
      <w:r>
        <w:rPr>
          <w:spacing w:val="-2"/>
          <w:w w:val="100"/>
          <w:sz w:val="21"/>
        </w:rPr>
        <w:t>I</w:t>
      </w:r>
      <w:r>
        <w:rPr>
          <w:w w:val="100"/>
          <w:sz w:val="21"/>
        </w:rPr>
        <w:t>R</w:t>
      </w:r>
      <w:r>
        <w:rPr>
          <w:spacing w:val="26"/>
          <w:sz w:val="21"/>
        </w:rPr>
        <w:t> </w:t>
      </w:r>
      <w:r>
        <w:rPr>
          <w:w w:val="100"/>
          <w:sz w:val="21"/>
        </w:rPr>
        <w:t>19</w:t>
      </w:r>
      <w:r>
        <w:rPr>
          <w:spacing w:val="-2"/>
          <w:w w:val="100"/>
          <w:sz w:val="21"/>
        </w:rPr>
        <w:t>5</w:t>
      </w:r>
      <w:r>
        <w:rPr>
          <w:w w:val="100"/>
          <w:sz w:val="21"/>
        </w:rPr>
        <w:t>7</w:t>
      </w:r>
      <w:r>
        <w:rPr>
          <w:spacing w:val="28"/>
          <w:sz w:val="21"/>
        </w:rPr>
        <w:t> </w:t>
      </w:r>
      <w:r>
        <w:rPr>
          <w:spacing w:val="-2"/>
          <w:w w:val="100"/>
          <w:sz w:val="21"/>
        </w:rPr>
        <w:t>C</w:t>
      </w:r>
      <w:r>
        <w:rPr>
          <w:w w:val="100"/>
          <w:sz w:val="21"/>
        </w:rPr>
        <w:t>al</w:t>
      </w:r>
      <w:r>
        <w:rPr>
          <w:spacing w:val="26"/>
          <w:sz w:val="21"/>
        </w:rPr>
        <w:t> </w:t>
      </w:r>
      <w:r>
        <w:rPr>
          <w:w w:val="100"/>
          <w:sz w:val="21"/>
        </w:rPr>
        <w:t>483</w:t>
      </w:r>
      <w:r>
        <w:rPr>
          <w:spacing w:val="28"/>
          <w:sz w:val="21"/>
        </w:rPr>
        <w:t> </w:t>
      </w:r>
      <w:r>
        <w:rPr>
          <w:w w:val="100"/>
          <w:sz w:val="21"/>
        </w:rPr>
        <w:t>:</w:t>
      </w:r>
      <w:r>
        <w:rPr>
          <w:spacing w:val="24"/>
          <w:sz w:val="21"/>
        </w:rPr>
        <w:t> </w:t>
      </w:r>
      <w:r>
        <w:rPr>
          <w:w w:val="100"/>
          <w:sz w:val="21"/>
        </w:rPr>
        <w:t>61</w:t>
      </w:r>
      <w:r>
        <w:rPr>
          <w:spacing w:val="25"/>
          <w:sz w:val="21"/>
        </w:rPr>
        <w:t> </w:t>
      </w:r>
      <w:r>
        <w:rPr>
          <w:spacing w:val="-2"/>
          <w:w w:val="100"/>
          <w:sz w:val="21"/>
        </w:rPr>
        <w:t>C</w:t>
      </w:r>
      <w:r>
        <w:rPr>
          <w:spacing w:val="4"/>
          <w:w w:val="100"/>
          <w:sz w:val="21"/>
        </w:rPr>
        <w:t>W</w:t>
      </w:r>
      <w:r>
        <w:rPr>
          <w:w w:val="100"/>
          <w:sz w:val="21"/>
        </w:rPr>
        <w:t>N</w:t>
      </w:r>
      <w:r>
        <w:rPr>
          <w:spacing w:val="24"/>
          <w:sz w:val="21"/>
        </w:rPr>
        <w:t> </w:t>
      </w:r>
      <w:r>
        <w:rPr>
          <w:spacing w:val="-3"/>
          <w:w w:val="100"/>
          <w:sz w:val="21"/>
        </w:rPr>
        <w:t>6</w:t>
      </w:r>
      <w:r>
        <w:rPr>
          <w:w w:val="100"/>
          <w:sz w:val="21"/>
        </w:rPr>
        <w:t>60</w:t>
      </w:r>
      <w:r>
        <w:rPr>
          <w:spacing w:val="28"/>
          <w:sz w:val="21"/>
        </w:rPr>
        <w:t> </w:t>
      </w:r>
      <w:r>
        <w:rPr>
          <w:w w:val="100"/>
          <w:sz w:val="21"/>
        </w:rPr>
        <w:t>: </w:t>
      </w:r>
      <w:r>
        <w:rPr>
          <w:sz w:val="21"/>
        </w:rPr>
        <w:t>1957 Cri LJ 834] it was pointed out that a continuing offence or a continuing wrong is after all a continuing breach of the duty which itself is continuing. If a duty continues from day to day, the non-performance of that duty from day to day is a continuing</w:t>
      </w:r>
      <w:r>
        <w:rPr>
          <w:spacing w:val="-2"/>
          <w:sz w:val="21"/>
        </w:rPr>
        <w:t> </w:t>
      </w:r>
      <w:r>
        <w:rPr>
          <w:sz w:val="21"/>
        </w:rPr>
        <w:t>wrong.‖</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6"/>
        <w:jc w:val="both"/>
      </w:pPr>
      <w:r>
        <w:rPr/>
        <w:t>Hence, in evaluating whether there is a continuing wrong within the meaning of Section 23, the mere fact that the effect of the injury caused has continued is not sufficient to constitute it as a continuing wrong. For instance, when the wrong is complete as a result of the act or omission which is complained of, no continuing wrong arises even though the effect or damage that is sustained may enure in  the future. What makes a wrong, a wrong of a continuing nature is the breach of  a duty which has not ceased but which continues to subsist. The breach of such  a duty creates a continuing wrong and hence a defence to a plea of</w:t>
      </w:r>
      <w:r>
        <w:rPr>
          <w:spacing w:val="-22"/>
        </w:rPr>
        <w:t> </w:t>
      </w:r>
      <w:r>
        <w:rPr/>
        <w:t>limitation.</w:t>
      </w:r>
    </w:p>
    <w:p>
      <w:pPr>
        <w:pStyle w:val="BodyText"/>
        <w:spacing w:before="11"/>
        <w:rPr>
          <w:sz w:val="24"/>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In the present case, there are several difficulties in accepting the submission of Nirmohi Akhara that there was a continuing wrong. First and foremost, the purpose and object of the order of the Magistrate under Section  145 is to prevent a breach of peace by securing possession, as the Magistrate finds, on the date of the order. The Magistrate does not adjudicate upon rights nor does the proceeding culminate into a decision on a question of title. The  order of the Magistrate is subordinate to the decree or order of a civil court. Hence, to postulate that the order of the Magistrate would give rise to a wrong and consequently to a continuing wrong is inherently fallacious. Secondly, would the surreptitious installation of the idols on the night between 22 and 23 December 1949 create a right in favour of Nirmohi Akhara? Nirmohi Akhara denies the incident completely. The right which Nirmohi Akhara has to assert cannot be founded on such basis and if there is no right, there can be no corresponding wrong which can furnish the foundation of a continuing wrong. There was no right inhering in Nirmohi Akhara which was disturbed by the order of the Magistrate. The claim of Nirmohi Akhara was in the capacity of a shebait</w:t>
      </w:r>
      <w:r>
        <w:rPr>
          <w:spacing w:val="21"/>
          <w:sz w:val="25"/>
        </w:rPr>
        <w:t> </w:t>
      </w:r>
      <w:r>
        <w:rPr>
          <w:sz w:val="25"/>
        </w:rPr>
        <w:t>to</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secure management and charge of the inner courtyard. Nirmohi Akhara has itself pleaded that the cause of action for the suit arose on 5 January 1950. Proceeding on the basis of this assertion, it is evident that the ouster which the Akhara asserts from its role as a shebait had taken place and hence, there was no question of the principle of continuing wrong being</w:t>
      </w:r>
      <w:r>
        <w:rPr>
          <w:spacing w:val="-10"/>
        </w:rPr>
        <w:t> </w:t>
      </w:r>
      <w:r>
        <w:rPr/>
        <w:t>attracted.</w:t>
      </w:r>
    </w:p>
    <w:p>
      <w:pPr>
        <w:pStyle w:val="BodyText"/>
        <w:spacing w:before="9"/>
        <w:rPr>
          <w:sz w:val="24"/>
        </w:rPr>
      </w:pPr>
    </w:p>
    <w:p>
      <w:pPr>
        <w:pStyle w:val="ListParagraph"/>
        <w:numPr>
          <w:ilvl w:val="0"/>
          <w:numId w:val="3"/>
        </w:numPr>
        <w:tabs>
          <w:tab w:pos="1221" w:val="left" w:leader="none"/>
        </w:tabs>
        <w:spacing w:line="480" w:lineRule="auto" w:before="1" w:after="0"/>
        <w:ind w:left="500" w:right="438" w:firstLine="0"/>
        <w:jc w:val="both"/>
        <w:rPr>
          <w:sz w:val="25"/>
        </w:rPr>
      </w:pPr>
      <w:r>
        <w:rPr/>
        <w:pict>
          <v:rect style="position:absolute;margin-left:72.024002pt;margin-top:523.794922pt;width:144.020pt;height:.599980pt;mso-position-horizontal-relative:page;mso-position-vertical-relative:paragraph;z-index:-15678464;mso-wrap-distance-left:0;mso-wrap-distance-right:0" filled="true" fillcolor="#000000" stroked="false">
            <v:fill type="solid"/>
            <w10:wrap type="topAndBottom"/>
          </v:rect>
        </w:pict>
      </w:r>
      <w:r>
        <w:rPr>
          <w:sz w:val="25"/>
        </w:rPr>
        <w:t>The decision of the Madras High Court in </w:t>
      </w:r>
      <w:r>
        <w:rPr>
          <w:b/>
          <w:sz w:val="25"/>
        </w:rPr>
        <w:t>Ellappa Naicken </w:t>
      </w:r>
      <w:r>
        <w:rPr>
          <w:sz w:val="25"/>
        </w:rPr>
        <w:t>v </w:t>
      </w:r>
      <w:r>
        <w:rPr>
          <w:b/>
          <w:sz w:val="25"/>
        </w:rPr>
        <w:t>K Lakshmana Naicken</w:t>
      </w:r>
      <w:r>
        <w:rPr>
          <w:sz w:val="25"/>
          <w:vertAlign w:val="superscript"/>
        </w:rPr>
        <w:t>172</w:t>
      </w:r>
      <w:r>
        <w:rPr>
          <w:sz w:val="25"/>
          <w:vertAlign w:val="baseline"/>
        </w:rPr>
        <w:t> is of no assistance to the Nirmohi Akhara. That was a case where during the pendency of the proceedings under Section 145, the Magistrate had passed an order under Section 146 for the appointment of a receiver as the court was unable to satisfy itself as to which of the parties was in possession. The respondents had filed a suit for a declaration of title and possession which was dismissed in default and an application to set aside the order under Order IX of Rule 9 of the CPC was also dismissed. An appeal from the order was also dismissed. Thereafter the petitioner who was the defendant applied for possession before the Magistrate after the dismissal of the suit on the ground that the District Munsif had determined his rights. The Magistrate passed an order holding that there was no declaration by a civil court as to who was entitled to the suit premises and therefore the land would continue in the possession of the receiver. It is in that context, that the learned Judge held that either party to a decision under Section 146 has to file a suit for declaration of title within the period of limitation or to bring a suit for the recovery of the profits of the land. In such a suit, the question as to who is entitled to the profits will be decided with</w:t>
      </w:r>
      <w:r>
        <w:rPr>
          <w:spacing w:val="18"/>
          <w:sz w:val="25"/>
          <w:vertAlign w:val="baseline"/>
        </w:rPr>
        <w:t> </w:t>
      </w:r>
      <w:r>
        <w:rPr>
          <w:sz w:val="25"/>
          <w:vertAlign w:val="baseline"/>
        </w:rPr>
        <w:t>the</w:t>
      </w:r>
      <w:r>
        <w:rPr>
          <w:spacing w:val="19"/>
          <w:sz w:val="25"/>
          <w:vertAlign w:val="baseline"/>
        </w:rPr>
        <w:t> </w:t>
      </w:r>
      <w:r>
        <w:rPr>
          <w:sz w:val="25"/>
          <w:vertAlign w:val="baseline"/>
        </w:rPr>
        <w:t>result</w:t>
      </w:r>
      <w:r>
        <w:rPr>
          <w:spacing w:val="18"/>
          <w:sz w:val="25"/>
          <w:vertAlign w:val="baseline"/>
        </w:rPr>
        <w:t> </w:t>
      </w:r>
      <w:r>
        <w:rPr>
          <w:sz w:val="25"/>
          <w:vertAlign w:val="baseline"/>
        </w:rPr>
        <w:t>that</w:t>
      </w:r>
      <w:r>
        <w:rPr>
          <w:spacing w:val="18"/>
          <w:sz w:val="25"/>
          <w:vertAlign w:val="baseline"/>
        </w:rPr>
        <w:t> </w:t>
      </w:r>
      <w:r>
        <w:rPr>
          <w:sz w:val="25"/>
          <w:vertAlign w:val="baseline"/>
        </w:rPr>
        <w:t>the</w:t>
      </w:r>
      <w:r>
        <w:rPr>
          <w:spacing w:val="19"/>
          <w:sz w:val="25"/>
          <w:vertAlign w:val="baseline"/>
        </w:rPr>
        <w:t> </w:t>
      </w:r>
      <w:r>
        <w:rPr>
          <w:sz w:val="25"/>
          <w:vertAlign w:val="baseline"/>
        </w:rPr>
        <w:t>question</w:t>
      </w:r>
      <w:r>
        <w:rPr>
          <w:spacing w:val="18"/>
          <w:sz w:val="25"/>
          <w:vertAlign w:val="baseline"/>
        </w:rPr>
        <w:t> </w:t>
      </w:r>
      <w:r>
        <w:rPr>
          <w:sz w:val="25"/>
          <w:vertAlign w:val="baseline"/>
        </w:rPr>
        <w:t>of</w:t>
      </w:r>
      <w:r>
        <w:rPr>
          <w:spacing w:val="18"/>
          <w:sz w:val="25"/>
          <w:vertAlign w:val="baseline"/>
        </w:rPr>
        <w:t> </w:t>
      </w:r>
      <w:r>
        <w:rPr>
          <w:sz w:val="25"/>
          <w:vertAlign w:val="baseline"/>
        </w:rPr>
        <w:t>title</w:t>
      </w:r>
      <w:r>
        <w:rPr>
          <w:spacing w:val="18"/>
          <w:sz w:val="25"/>
          <w:vertAlign w:val="baseline"/>
        </w:rPr>
        <w:t> </w:t>
      </w:r>
      <w:r>
        <w:rPr>
          <w:sz w:val="25"/>
          <w:vertAlign w:val="baseline"/>
        </w:rPr>
        <w:t>would</w:t>
      </w:r>
      <w:r>
        <w:rPr>
          <w:spacing w:val="19"/>
          <w:sz w:val="25"/>
          <w:vertAlign w:val="baseline"/>
        </w:rPr>
        <w:t> </w:t>
      </w:r>
      <w:r>
        <w:rPr>
          <w:sz w:val="25"/>
          <w:vertAlign w:val="baseline"/>
        </w:rPr>
        <w:t>also</w:t>
      </w:r>
      <w:r>
        <w:rPr>
          <w:spacing w:val="18"/>
          <w:sz w:val="25"/>
          <w:vertAlign w:val="baseline"/>
        </w:rPr>
        <w:t> </w:t>
      </w:r>
      <w:r>
        <w:rPr>
          <w:sz w:val="25"/>
          <w:vertAlign w:val="baseline"/>
        </w:rPr>
        <w:t>to</w:t>
      </w:r>
      <w:r>
        <w:rPr>
          <w:spacing w:val="18"/>
          <w:sz w:val="25"/>
          <w:vertAlign w:val="baseline"/>
        </w:rPr>
        <w:t> </w:t>
      </w:r>
      <w:r>
        <w:rPr>
          <w:sz w:val="25"/>
          <w:vertAlign w:val="baseline"/>
        </w:rPr>
        <w:t>be</w:t>
      </w:r>
      <w:r>
        <w:rPr>
          <w:spacing w:val="18"/>
          <w:sz w:val="25"/>
          <w:vertAlign w:val="baseline"/>
        </w:rPr>
        <w:t> </w:t>
      </w:r>
      <w:r>
        <w:rPr>
          <w:sz w:val="25"/>
          <w:vertAlign w:val="baseline"/>
        </w:rPr>
        <w:t>adjudicated.</w:t>
      </w:r>
      <w:r>
        <w:rPr>
          <w:spacing w:val="19"/>
          <w:sz w:val="25"/>
          <w:vertAlign w:val="baseline"/>
        </w:rPr>
        <w:t> </w:t>
      </w:r>
      <w:r>
        <w:rPr>
          <w:sz w:val="25"/>
          <w:vertAlign w:val="baseline"/>
        </w:rPr>
        <w:t>This</w:t>
      </w:r>
      <w:r>
        <w:rPr>
          <w:spacing w:val="18"/>
          <w:sz w:val="25"/>
          <w:vertAlign w:val="baseline"/>
        </w:rPr>
        <w:t> </w:t>
      </w:r>
      <w:r>
        <w:rPr>
          <w:sz w:val="25"/>
          <w:vertAlign w:val="baseline"/>
        </w:rPr>
        <w:t>would</w:t>
      </w:r>
    </w:p>
    <w:p>
      <w:pPr>
        <w:spacing w:before="80"/>
        <w:ind w:left="500" w:right="0" w:firstLine="0"/>
        <w:jc w:val="left"/>
        <w:rPr>
          <w:sz w:val="18"/>
        </w:rPr>
      </w:pPr>
      <w:r>
        <w:rPr>
          <w:sz w:val="18"/>
          <w:vertAlign w:val="superscript"/>
        </w:rPr>
        <w:t>172</w:t>
      </w:r>
      <w:r>
        <w:rPr>
          <w:sz w:val="18"/>
          <w:vertAlign w:val="baseline"/>
        </w:rPr>
        <w:t> AIR 1949 Madras 71</w:t>
      </w:r>
    </w:p>
    <w:p>
      <w:pPr>
        <w:spacing w:after="0"/>
        <w:jc w:val="left"/>
        <w:rPr>
          <w:sz w:val="18"/>
        </w:rPr>
        <w:sectPr>
          <w:pgSz w:w="11910" w:h="16840"/>
          <w:pgMar w:header="721" w:footer="1014" w:top="1300" w:bottom="1200" w:left="940" w:right="1000"/>
        </w:sectPr>
      </w:pPr>
    </w:p>
    <w:p>
      <w:pPr>
        <w:pStyle w:val="BodyText"/>
        <w:spacing w:line="480" w:lineRule="auto" w:before="124"/>
        <w:ind w:left="500" w:right="434"/>
        <w:jc w:val="both"/>
      </w:pPr>
      <w:r>
        <w:rPr/>
        <w:t>operate as </w:t>
      </w:r>
      <w:r>
        <w:rPr>
          <w:i/>
        </w:rPr>
        <w:t>res judicata </w:t>
      </w:r>
      <w:r>
        <w:rPr/>
        <w:t>for the purpose of Section 146. These observations were made by the learned Single Judge of the Madras High Court in support of the ruling that it was not as if parties were without remedy, resulting in the property remaining </w:t>
      </w:r>
      <w:r>
        <w:rPr>
          <w:i/>
        </w:rPr>
        <w:t>custodia legis </w:t>
      </w:r>
      <w:r>
        <w:rPr/>
        <w:t>for all time. Either party was entitled to bring a suit for recovery of profits within limitation where the question of title would be adjudicated. This decision is of no assistance to the Nirmohi Akhara. Certain decisions have been relied upon by Nirmohi Akhara but these are in regard to the commencement of limitation for the enforcement of a decree by execution. In </w:t>
      </w:r>
      <w:r>
        <w:rPr>
          <w:b/>
        </w:rPr>
        <w:t>Chandi Prasad </w:t>
      </w:r>
      <w:r>
        <w:rPr/>
        <w:t>v </w:t>
      </w:r>
      <w:r>
        <w:rPr>
          <w:b/>
        </w:rPr>
        <w:t>Jagdish Prasad</w:t>
      </w:r>
      <w:r>
        <w:rPr>
          <w:vertAlign w:val="superscript"/>
        </w:rPr>
        <w:t>173</w:t>
      </w:r>
      <w:r>
        <w:rPr>
          <w:vertAlign w:val="baseline"/>
        </w:rPr>
        <w:t>, a two judge Bench of this Court held that an appeal under the statute is a continuation of the suit for all intents and purposes. Hence, when a higher forum entertains an appeal and passes an order on merit, the doctrine of merger applies and there is a merger of the decree of the trial court with the order of the appellate court. Hence, once a decree is sought to be enforced for the purpose of execution, irrespective of being original or appellate, the date of the decree or any subsequent order directing payment of money or delivery of property at a certain date would be considered to be the commencement of limitation. The same principle has been emphasized by a three judge Bench in </w:t>
      </w:r>
      <w:r>
        <w:rPr>
          <w:b/>
          <w:vertAlign w:val="baseline"/>
        </w:rPr>
        <w:t>Union of India </w:t>
      </w:r>
      <w:r>
        <w:rPr>
          <w:vertAlign w:val="baseline"/>
        </w:rPr>
        <w:t>v </w:t>
      </w:r>
      <w:r>
        <w:rPr>
          <w:b/>
          <w:vertAlign w:val="baseline"/>
        </w:rPr>
        <w:t>West Coast Paper Mills Ltd.</w:t>
      </w:r>
      <w:r>
        <w:rPr>
          <w:vertAlign w:val="superscript"/>
        </w:rPr>
        <w:t>174</w:t>
      </w:r>
      <w:r>
        <w:rPr>
          <w:vertAlign w:val="baseline"/>
        </w:rPr>
        <w:t> and in </w:t>
      </w:r>
      <w:r>
        <w:rPr>
          <w:b/>
          <w:vertAlign w:val="baseline"/>
        </w:rPr>
        <w:t>Shanti </w:t>
      </w:r>
      <w:r>
        <w:rPr>
          <w:vertAlign w:val="baseline"/>
        </w:rPr>
        <w:t>v </w:t>
      </w:r>
      <w:r>
        <w:rPr>
          <w:b/>
          <w:vertAlign w:val="baseline"/>
        </w:rPr>
        <w:t>T D Vishwanathan</w:t>
      </w:r>
      <w:r>
        <w:rPr>
          <w:vertAlign w:val="superscript"/>
        </w:rPr>
        <w:t>175</w:t>
      </w:r>
      <w:r>
        <w:rPr>
          <w:vertAlign w:val="baseline"/>
        </w:rPr>
        <w:t>. The essential issue is whether their suit was within limitation and for the reasons which have been indicated, the answer to that must be in the</w:t>
      </w:r>
      <w:r>
        <w:rPr>
          <w:spacing w:val="-3"/>
          <w:vertAlign w:val="baseline"/>
        </w:rPr>
        <w:t> </w:t>
      </w:r>
      <w:r>
        <w:rPr>
          <w:vertAlign w:val="baseline"/>
        </w:rPr>
        <w:t>negative.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rect style="position:absolute;margin-left:72.024002pt;margin-top:11.303535pt;width:144.020pt;height:.60004pt;mso-position-horizontal-relative:page;mso-position-vertical-relative:paragraph;z-index:-15677952;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173</w:t>
      </w:r>
      <w:r>
        <w:rPr>
          <w:sz w:val="18"/>
          <w:vertAlign w:val="baseline"/>
        </w:rPr>
        <w:t> (2004) 8 SCC</w:t>
      </w:r>
      <w:r>
        <w:rPr>
          <w:spacing w:val="-11"/>
          <w:sz w:val="18"/>
          <w:vertAlign w:val="baseline"/>
        </w:rPr>
        <w:t> </w:t>
      </w:r>
      <w:r>
        <w:rPr>
          <w:sz w:val="18"/>
          <w:vertAlign w:val="baseline"/>
        </w:rPr>
        <w:t>724</w:t>
      </w:r>
    </w:p>
    <w:p>
      <w:pPr>
        <w:spacing w:line="207" w:lineRule="exact" w:before="0"/>
        <w:ind w:left="500" w:right="0" w:firstLine="0"/>
        <w:jc w:val="left"/>
        <w:rPr>
          <w:sz w:val="18"/>
        </w:rPr>
      </w:pPr>
      <w:r>
        <w:rPr>
          <w:sz w:val="18"/>
          <w:vertAlign w:val="superscript"/>
        </w:rPr>
        <w:t>174</w:t>
      </w:r>
      <w:r>
        <w:rPr>
          <w:sz w:val="18"/>
          <w:vertAlign w:val="baseline"/>
        </w:rPr>
        <w:t> (2004) 2 SCC</w:t>
      </w:r>
      <w:r>
        <w:rPr>
          <w:spacing w:val="-11"/>
          <w:sz w:val="18"/>
          <w:vertAlign w:val="baseline"/>
        </w:rPr>
        <w:t> </w:t>
      </w:r>
      <w:r>
        <w:rPr>
          <w:sz w:val="18"/>
          <w:vertAlign w:val="baseline"/>
        </w:rPr>
        <w:t>747</w:t>
      </w:r>
    </w:p>
    <w:p>
      <w:pPr>
        <w:spacing w:before="1"/>
        <w:ind w:left="500" w:right="0" w:firstLine="0"/>
        <w:jc w:val="left"/>
        <w:rPr>
          <w:sz w:val="18"/>
        </w:rPr>
      </w:pPr>
      <w:r>
        <w:rPr>
          <w:sz w:val="18"/>
          <w:vertAlign w:val="superscript"/>
        </w:rPr>
        <w:t>175</w:t>
      </w:r>
      <w:r>
        <w:rPr>
          <w:sz w:val="18"/>
          <w:vertAlign w:val="baseline"/>
        </w:rPr>
        <w:t> 2018 SCCOnLine SC 2196</w:t>
      </w:r>
    </w:p>
    <w:p>
      <w:pPr>
        <w:spacing w:after="0"/>
        <w:jc w:val="left"/>
        <w:rPr>
          <w:sz w:val="18"/>
        </w:rPr>
        <w:sectPr>
          <w:pgSz w:w="11910" w:h="16840"/>
          <w:pgMar w:header="721" w:footer="1014" w:top="1300" w:bottom="1200" w:left="940" w:right="1000"/>
        </w:sectPr>
      </w:pPr>
    </w:p>
    <w:p>
      <w:pPr>
        <w:pStyle w:val="Heading3"/>
        <w:numPr>
          <w:ilvl w:val="1"/>
          <w:numId w:val="56"/>
        </w:numPr>
        <w:tabs>
          <w:tab w:pos="1221" w:val="left" w:leader="none"/>
        </w:tabs>
        <w:spacing w:line="240" w:lineRule="auto" w:before="124" w:after="0"/>
        <w:ind w:left="1220" w:right="0" w:hanging="721"/>
        <w:jc w:val="both"/>
      </w:pPr>
      <w:r>
        <w:rPr/>
        <w:t>Oral testimony of the Nirmohi</w:t>
      </w:r>
      <w:r>
        <w:rPr>
          <w:spacing w:val="-11"/>
        </w:rPr>
        <w:t> </w:t>
      </w:r>
      <w:r>
        <w:rPr/>
        <w:t>witnesses</w:t>
      </w:r>
    </w:p>
    <w:p>
      <w:pPr>
        <w:pStyle w:val="BodyText"/>
        <w:rPr>
          <w:b/>
          <w:sz w:val="28"/>
        </w:rPr>
      </w:pPr>
    </w:p>
    <w:p>
      <w:pPr>
        <w:pStyle w:val="ListParagraph"/>
        <w:numPr>
          <w:ilvl w:val="0"/>
          <w:numId w:val="3"/>
        </w:numPr>
        <w:tabs>
          <w:tab w:pos="1221" w:val="left" w:leader="none"/>
        </w:tabs>
        <w:spacing w:line="480" w:lineRule="auto" w:before="216" w:after="0"/>
        <w:ind w:left="500" w:right="436" w:firstLine="0"/>
        <w:jc w:val="both"/>
        <w:rPr>
          <w:sz w:val="25"/>
        </w:rPr>
      </w:pPr>
      <w:r>
        <w:rPr>
          <w:sz w:val="25"/>
        </w:rPr>
        <w:t>Having held that Suit 3 instituted by Nirmohi Akhara is barred by limitation, it does not strictly speaking become necessary for this Court to deal with the evidence, oral and documentary. Mr Parasaran urged, that unlike the Trial Court, this Court is not required to answer all the questions which arise in the first appeal and if limitation alone concludes the issue it is unnecessary to deal with all the issues in contest. The Trial Court, it was urged, has to deal with all issues since its decision is subject to appeal. Having carefully evaluated this submission, it is appropriate to scrutinize the evidence adduced </w:t>
      </w:r>
      <w:r>
        <w:rPr>
          <w:spacing w:val="3"/>
          <w:sz w:val="25"/>
        </w:rPr>
        <w:t>by </w:t>
      </w:r>
      <w:r>
        <w:rPr>
          <w:sz w:val="25"/>
        </w:rPr>
        <w:t>Nirmohi Akhara and to render a full adjudication, having regard to the nature of the controversy. The evidence recorded in all the suits has been relied upon during the hearing of the appeals. Hence it becomes necessary to advert to the oral evidence. Nirmohi Akhara has relied on the oral evidence of the following witnesses during the course of the</w:t>
      </w:r>
      <w:r>
        <w:rPr>
          <w:spacing w:val="-4"/>
          <w:sz w:val="25"/>
        </w:rPr>
        <w:t> </w:t>
      </w:r>
      <w:r>
        <w:rPr>
          <w:sz w:val="25"/>
        </w:rPr>
        <w:t>hearing:</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1" w:after="0"/>
        <w:ind w:left="500" w:right="436" w:firstLine="0"/>
        <w:jc w:val="both"/>
        <w:rPr>
          <w:sz w:val="25"/>
        </w:rPr>
      </w:pPr>
      <w:r>
        <w:rPr>
          <w:b/>
          <w:sz w:val="25"/>
        </w:rPr>
        <w:t>Mahant Bhaskar Das (DW 3/1): </w:t>
      </w:r>
      <w:r>
        <w:rPr>
          <w:sz w:val="25"/>
        </w:rPr>
        <w:t>The date of the Examination-in-Chief of the witness is 29 August 2003. He was 75 years of age on the date of the deposition and claimed to be a disciple of Baba Baldeo Das. He was the Sarpanch of Shri Manch Ramanandiya Nirmohi Akhara and prior to it claimed to be a Panch and pujari of the Ram Janmabhumi temple. The witness stated</w:t>
      </w:r>
      <w:r>
        <w:rPr>
          <w:spacing w:val="-17"/>
          <w:sz w:val="25"/>
        </w:rPr>
        <w:t> </w:t>
      </w:r>
      <w:r>
        <w:rPr>
          <w:sz w:val="25"/>
        </w:rPr>
        <w:t>that:</w:t>
      </w:r>
    </w:p>
    <w:p>
      <w:pPr>
        <w:pStyle w:val="ListParagraph"/>
        <w:numPr>
          <w:ilvl w:val="0"/>
          <w:numId w:val="91"/>
        </w:numPr>
        <w:tabs>
          <w:tab w:pos="1221" w:val="left" w:leader="none"/>
        </w:tabs>
        <w:spacing w:line="480" w:lineRule="auto" w:before="3" w:after="0"/>
        <w:ind w:left="1220" w:right="444" w:hanging="720"/>
        <w:jc w:val="both"/>
        <w:rPr>
          <w:sz w:val="25"/>
        </w:rPr>
      </w:pPr>
      <w:r>
        <w:rPr>
          <w:sz w:val="25"/>
        </w:rPr>
        <w:t>Nirmohi Akhara is the owner of the idols, the disputed temple, Ram Janmabhumi and other temples in the vicinity for several hundred</w:t>
      </w:r>
      <w:r>
        <w:rPr>
          <w:spacing w:val="-21"/>
          <w:sz w:val="25"/>
        </w:rPr>
        <w:t> </w:t>
      </w:r>
      <w:r>
        <w:rPr>
          <w:sz w:val="25"/>
        </w:rPr>
        <w:t>years;</w:t>
      </w:r>
    </w:p>
    <w:p>
      <w:pPr>
        <w:pStyle w:val="ListParagraph"/>
        <w:numPr>
          <w:ilvl w:val="0"/>
          <w:numId w:val="91"/>
        </w:numPr>
        <w:tabs>
          <w:tab w:pos="1221" w:val="left" w:leader="none"/>
        </w:tabs>
        <w:spacing w:line="482" w:lineRule="auto" w:before="0" w:after="0"/>
        <w:ind w:left="1220" w:right="443" w:hanging="720"/>
        <w:jc w:val="both"/>
        <w:rPr>
          <w:sz w:val="25"/>
        </w:rPr>
      </w:pPr>
      <w:r>
        <w:rPr>
          <w:sz w:val="25"/>
        </w:rPr>
        <w:t>The consecration of Lord Ram seated in Ram Janmabhumi temple and Ramchabutra was performed by a Mahant of Nirmohi</w:t>
      </w:r>
      <w:r>
        <w:rPr>
          <w:spacing w:val="-10"/>
          <w:sz w:val="25"/>
        </w:rPr>
        <w:t> </w:t>
      </w:r>
      <w:r>
        <w:rPr>
          <w:sz w:val="25"/>
        </w:rPr>
        <w:t>Akhara;</w:t>
      </w:r>
    </w:p>
    <w:p>
      <w:pPr>
        <w:spacing w:after="0" w:line="482" w:lineRule="auto"/>
        <w:jc w:val="both"/>
        <w:rPr>
          <w:sz w:val="25"/>
        </w:rPr>
        <w:sectPr>
          <w:pgSz w:w="11910" w:h="16840"/>
          <w:pgMar w:header="721" w:footer="1014" w:top="1300" w:bottom="1200" w:left="940" w:right="1000"/>
        </w:sectPr>
      </w:pPr>
    </w:p>
    <w:p>
      <w:pPr>
        <w:pStyle w:val="ListParagraph"/>
        <w:numPr>
          <w:ilvl w:val="0"/>
          <w:numId w:val="91"/>
        </w:numPr>
        <w:tabs>
          <w:tab w:pos="1221" w:val="left" w:leader="none"/>
        </w:tabs>
        <w:spacing w:line="480" w:lineRule="auto" w:before="124" w:after="0"/>
        <w:ind w:left="1220" w:right="444" w:hanging="720"/>
        <w:jc w:val="both"/>
        <w:rPr>
          <w:sz w:val="25"/>
        </w:rPr>
      </w:pPr>
      <w:r>
        <w:rPr>
          <w:sz w:val="25"/>
        </w:rPr>
        <w:t>This information was passed down to disciples from their old preceptors from generation to</w:t>
      </w:r>
      <w:r>
        <w:rPr>
          <w:spacing w:val="-3"/>
          <w:sz w:val="25"/>
        </w:rPr>
        <w:t> </w:t>
      </w:r>
      <w:r>
        <w:rPr>
          <w:sz w:val="25"/>
        </w:rPr>
        <w:t>generation;</w:t>
      </w:r>
    </w:p>
    <w:p>
      <w:pPr>
        <w:pStyle w:val="ListParagraph"/>
        <w:numPr>
          <w:ilvl w:val="0"/>
          <w:numId w:val="91"/>
        </w:numPr>
        <w:tabs>
          <w:tab w:pos="1221" w:val="left" w:leader="none"/>
        </w:tabs>
        <w:spacing w:line="480" w:lineRule="auto" w:before="0" w:after="0"/>
        <w:ind w:left="1220" w:right="446" w:hanging="720"/>
        <w:jc w:val="both"/>
        <w:rPr>
          <w:sz w:val="25"/>
        </w:rPr>
      </w:pPr>
      <w:r>
        <w:rPr>
          <w:sz w:val="25"/>
        </w:rPr>
        <w:t>That he was performing worship and aarti in the Ramchabutra temple from 1946-1949;</w:t>
      </w:r>
    </w:p>
    <w:p>
      <w:pPr>
        <w:pStyle w:val="ListParagraph"/>
        <w:numPr>
          <w:ilvl w:val="0"/>
          <w:numId w:val="91"/>
        </w:numPr>
        <w:tabs>
          <w:tab w:pos="1221" w:val="left" w:leader="none"/>
        </w:tabs>
        <w:spacing w:line="480" w:lineRule="auto" w:before="0" w:after="0"/>
        <w:ind w:left="1220" w:right="436" w:hanging="720"/>
        <w:jc w:val="both"/>
        <w:rPr>
          <w:sz w:val="25"/>
        </w:rPr>
      </w:pPr>
      <w:r>
        <w:rPr>
          <w:sz w:val="25"/>
        </w:rPr>
        <w:t>Both the inner and outer courtyards have always been in the possession </w:t>
      </w:r>
      <w:r>
        <w:rPr>
          <w:spacing w:val="6"/>
          <w:sz w:val="25"/>
        </w:rPr>
        <w:t>of </w:t>
      </w:r>
      <w:r>
        <w:rPr>
          <w:sz w:val="25"/>
        </w:rPr>
        <w:t>Nirmohi Akhara, there was a sanctum sanctorum in the inner part of which the attachment was</w:t>
      </w:r>
      <w:r>
        <w:rPr>
          <w:spacing w:val="-2"/>
          <w:sz w:val="25"/>
        </w:rPr>
        <w:t> </w:t>
      </w:r>
      <w:r>
        <w:rPr>
          <w:sz w:val="25"/>
        </w:rPr>
        <w:t>made;</w:t>
      </w:r>
    </w:p>
    <w:p>
      <w:pPr>
        <w:pStyle w:val="ListParagraph"/>
        <w:numPr>
          <w:ilvl w:val="0"/>
          <w:numId w:val="91"/>
        </w:numPr>
        <w:tabs>
          <w:tab w:pos="1221" w:val="left" w:leader="none"/>
        </w:tabs>
        <w:spacing w:line="480" w:lineRule="auto" w:before="0" w:after="0"/>
        <w:ind w:left="1220" w:right="442" w:hanging="720"/>
        <w:jc w:val="both"/>
        <w:rPr>
          <w:sz w:val="25"/>
        </w:rPr>
      </w:pPr>
      <w:r>
        <w:rPr>
          <w:sz w:val="25"/>
        </w:rPr>
        <w:t>The entire outer part was in possession of Nirmohi Akhara since time immemorial;</w:t>
      </w:r>
    </w:p>
    <w:p>
      <w:pPr>
        <w:pStyle w:val="ListParagraph"/>
        <w:numPr>
          <w:ilvl w:val="0"/>
          <w:numId w:val="91"/>
        </w:numPr>
        <w:tabs>
          <w:tab w:pos="1221" w:val="left" w:leader="none"/>
        </w:tabs>
        <w:spacing w:line="480" w:lineRule="auto" w:before="0" w:after="0"/>
        <w:ind w:left="1220" w:right="439" w:hanging="720"/>
        <w:jc w:val="both"/>
        <w:rPr>
          <w:sz w:val="25"/>
        </w:rPr>
      </w:pPr>
      <w:r>
        <w:rPr>
          <w:sz w:val="25"/>
        </w:rPr>
        <w:t>No incident took place during the night of 22/23 December 1949, when he was asleep below the northern dome of the disputed</w:t>
      </w:r>
      <w:r>
        <w:rPr>
          <w:spacing w:val="-13"/>
          <w:sz w:val="25"/>
        </w:rPr>
        <w:t> </w:t>
      </w:r>
      <w:r>
        <w:rPr>
          <w:sz w:val="25"/>
        </w:rPr>
        <w:t>structure;</w:t>
      </w:r>
    </w:p>
    <w:p>
      <w:pPr>
        <w:pStyle w:val="ListParagraph"/>
        <w:numPr>
          <w:ilvl w:val="0"/>
          <w:numId w:val="91"/>
        </w:numPr>
        <w:tabs>
          <w:tab w:pos="1221" w:val="left" w:leader="none"/>
        </w:tabs>
        <w:spacing w:line="480" w:lineRule="auto" w:before="0" w:after="0"/>
        <w:ind w:left="1220" w:right="444" w:hanging="720"/>
        <w:jc w:val="both"/>
        <w:rPr>
          <w:sz w:val="25"/>
        </w:rPr>
      </w:pPr>
      <w:r>
        <w:rPr>
          <w:sz w:val="25"/>
        </w:rPr>
        <w:t>Aarti and worship of Lord Ram was being conducted in the sanctum sanctorum even prior to 29 December 1949 and the inner temple was attached on 19 December</w:t>
      </w:r>
      <w:r>
        <w:rPr>
          <w:spacing w:val="-1"/>
          <w:sz w:val="25"/>
        </w:rPr>
        <w:t> </w:t>
      </w:r>
      <w:r>
        <w:rPr>
          <w:sz w:val="25"/>
        </w:rPr>
        <w:t>1949;</w:t>
      </w:r>
    </w:p>
    <w:p>
      <w:pPr>
        <w:pStyle w:val="ListParagraph"/>
        <w:numPr>
          <w:ilvl w:val="0"/>
          <w:numId w:val="91"/>
        </w:numPr>
        <w:tabs>
          <w:tab w:pos="1221" w:val="left" w:leader="none"/>
        </w:tabs>
        <w:spacing w:line="480" w:lineRule="auto" w:before="1" w:after="0"/>
        <w:ind w:left="1220" w:right="442" w:hanging="720"/>
        <w:jc w:val="both"/>
        <w:rPr>
          <w:sz w:val="25"/>
        </w:rPr>
      </w:pPr>
      <w:r>
        <w:rPr>
          <w:sz w:val="25"/>
        </w:rPr>
        <w:t>After the riot of 1934, no Muslim had visited the disputed site to offer namaz;</w:t>
      </w:r>
    </w:p>
    <w:p>
      <w:pPr>
        <w:pStyle w:val="ListParagraph"/>
        <w:numPr>
          <w:ilvl w:val="0"/>
          <w:numId w:val="91"/>
        </w:numPr>
        <w:tabs>
          <w:tab w:pos="1221" w:val="left" w:leader="none"/>
        </w:tabs>
        <w:spacing w:line="480" w:lineRule="auto" w:before="0" w:after="0"/>
        <w:ind w:left="1220" w:right="443" w:hanging="720"/>
        <w:jc w:val="both"/>
        <w:rPr>
          <w:sz w:val="25"/>
        </w:rPr>
      </w:pPr>
      <w:r>
        <w:rPr>
          <w:sz w:val="25"/>
        </w:rPr>
        <w:t>No idol was taken from Ramchabutra temple on 22/23 December 1949 and the possession of the disputed temple had all along been with Nirmohi Akhara;</w:t>
      </w:r>
    </w:p>
    <w:p>
      <w:pPr>
        <w:pStyle w:val="ListParagraph"/>
        <w:numPr>
          <w:ilvl w:val="0"/>
          <w:numId w:val="91"/>
        </w:numPr>
        <w:tabs>
          <w:tab w:pos="1221" w:val="left" w:leader="none"/>
        </w:tabs>
        <w:spacing w:line="480" w:lineRule="auto" w:before="1" w:after="0"/>
        <w:ind w:left="1220" w:right="436" w:hanging="720"/>
        <w:jc w:val="both"/>
        <w:rPr>
          <w:sz w:val="25"/>
        </w:rPr>
      </w:pPr>
      <w:r>
        <w:rPr>
          <w:sz w:val="25"/>
        </w:rPr>
        <w:t>The servicing rights in respect of the main temple had been with Nirmohi Akhara until 29 December 1949. Nirmohi Akhara had been performing worship of Lord Ram and other idols in the outer premises till the second attachment in February 1982;</w:t>
      </w:r>
      <w:r>
        <w:rPr>
          <w:spacing w:val="-6"/>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ListParagraph"/>
        <w:numPr>
          <w:ilvl w:val="0"/>
          <w:numId w:val="91"/>
        </w:numPr>
        <w:tabs>
          <w:tab w:pos="1221" w:val="left" w:leader="none"/>
        </w:tabs>
        <w:spacing w:line="480" w:lineRule="auto" w:before="124" w:after="0"/>
        <w:ind w:left="1220" w:right="444" w:hanging="720"/>
        <w:jc w:val="both"/>
        <w:rPr>
          <w:sz w:val="25"/>
        </w:rPr>
      </w:pPr>
      <w:r>
        <w:rPr>
          <w:sz w:val="25"/>
        </w:rPr>
        <w:t>Lord Ram was seated in the inner part even prior to 1934, which was in continuous possession of Nirmohi Akhara since</w:t>
      </w:r>
      <w:r>
        <w:rPr>
          <w:spacing w:val="-5"/>
          <w:sz w:val="25"/>
        </w:rPr>
        <w:t> </w:t>
      </w:r>
      <w:r>
        <w:rPr>
          <w:sz w:val="25"/>
        </w:rPr>
        <w:t>then.</w:t>
      </w:r>
    </w:p>
    <w:p>
      <w:pPr>
        <w:pStyle w:val="BodyText"/>
      </w:pPr>
    </w:p>
    <w:p>
      <w:pPr>
        <w:pStyle w:val="BodyText"/>
        <w:spacing w:line="480" w:lineRule="auto"/>
        <w:ind w:left="500" w:right="444"/>
        <w:jc w:val="both"/>
      </w:pPr>
      <w:r>
        <w:rPr/>
        <w:t>Dr Dhavan, learned Senior Counsel appearing on behalf of the Sunni Central Waqf Board, has pointed out the following contradictions in the evidence of the witness:</w:t>
      </w:r>
    </w:p>
    <w:p>
      <w:pPr>
        <w:pStyle w:val="ListParagraph"/>
        <w:numPr>
          <w:ilvl w:val="0"/>
          <w:numId w:val="92"/>
        </w:numPr>
        <w:tabs>
          <w:tab w:pos="1221" w:val="left" w:leader="none"/>
        </w:tabs>
        <w:spacing w:line="480" w:lineRule="auto" w:before="1" w:after="0"/>
        <w:ind w:left="1220" w:right="438" w:hanging="720"/>
        <w:jc w:val="both"/>
        <w:rPr>
          <w:sz w:val="25"/>
        </w:rPr>
      </w:pPr>
      <w:r>
        <w:rPr>
          <w:sz w:val="25"/>
        </w:rPr>
        <w:t>While the witness stated that there was </w:t>
      </w:r>
      <w:r>
        <w:rPr>
          <w:spacing w:val="2"/>
          <w:sz w:val="25"/>
        </w:rPr>
        <w:t>no </w:t>
      </w:r>
      <w:r>
        <w:rPr>
          <w:sz w:val="25"/>
        </w:rPr>
        <w:t>incident on 22/23 December 1949, and that he was sleeping below the northern dome of the disputed structure, the High Court has recorded the statement of Counsel for Nirmohi Akhara to the effect that the idols were shifted from Ramchabutra and kept under the central dome of the disputed building;</w:t>
      </w:r>
      <w:r>
        <w:rPr>
          <w:spacing w:val="-9"/>
          <w:sz w:val="25"/>
        </w:rPr>
        <w:t> </w:t>
      </w:r>
      <w:r>
        <w:rPr>
          <w:sz w:val="25"/>
        </w:rPr>
        <w:t>and</w:t>
      </w:r>
    </w:p>
    <w:p>
      <w:pPr>
        <w:pStyle w:val="ListParagraph"/>
        <w:numPr>
          <w:ilvl w:val="0"/>
          <w:numId w:val="92"/>
        </w:numPr>
        <w:tabs>
          <w:tab w:pos="1221" w:val="left" w:leader="none"/>
        </w:tabs>
        <w:spacing w:line="480" w:lineRule="auto" w:before="0" w:after="0"/>
        <w:ind w:left="1220" w:right="434" w:hanging="720"/>
        <w:jc w:val="both"/>
        <w:rPr>
          <w:sz w:val="25"/>
        </w:rPr>
      </w:pPr>
      <w:r>
        <w:rPr>
          <w:sz w:val="25"/>
        </w:rPr>
        <w:t>The witness initially stated that there were two idols of Ram Lalla in the disputed building; one on the throne and one on the stairs but he subsequently clarified that by two idols he meant one of Ram Lalla and another of Lakshman. Moreover, the witness claims that he had himself performed Aarti of Lord Ram inside the disputed site prior to its attachment on 29 December 1949 in spite of which he was not able to make any statement in regard to the number of idols inside the disputed structure. Moreover, while on the one hand, the witness stated that the </w:t>
      </w:r>
      <w:r>
        <w:rPr>
          <w:i/>
          <w:sz w:val="25"/>
        </w:rPr>
        <w:t>parikrama </w:t>
      </w:r>
      <w:r>
        <w:rPr>
          <w:sz w:val="25"/>
        </w:rPr>
        <w:t>was at the back of the disputed structure later on he stated that </w:t>
      </w:r>
      <w:r>
        <w:rPr>
          <w:i/>
          <w:sz w:val="25"/>
        </w:rPr>
        <w:t>parikrama </w:t>
      </w:r>
      <w:r>
        <w:rPr>
          <w:sz w:val="25"/>
        </w:rPr>
        <w:t>was being performed around</w:t>
      </w:r>
      <w:r>
        <w:rPr>
          <w:spacing w:val="-4"/>
          <w:sz w:val="25"/>
        </w:rPr>
        <w:t> </w:t>
      </w:r>
      <w:r>
        <w:rPr>
          <w:sz w:val="25"/>
        </w:rPr>
        <w:t>Ramchabutra.</w:t>
      </w:r>
    </w:p>
    <w:p>
      <w:pPr>
        <w:pStyle w:val="BodyText"/>
      </w:pPr>
    </w:p>
    <w:p>
      <w:pPr>
        <w:pStyle w:val="ListParagraph"/>
        <w:numPr>
          <w:ilvl w:val="0"/>
          <w:numId w:val="3"/>
        </w:numPr>
        <w:tabs>
          <w:tab w:pos="1220" w:val="left" w:leader="none"/>
          <w:tab w:pos="1221" w:val="left" w:leader="none"/>
        </w:tabs>
        <w:spacing w:line="240" w:lineRule="auto" w:before="1" w:after="0"/>
        <w:ind w:left="1220" w:right="0" w:hanging="721"/>
        <w:jc w:val="left"/>
        <w:rPr>
          <w:sz w:val="25"/>
        </w:rPr>
      </w:pPr>
      <w:r>
        <w:rPr>
          <w:sz w:val="25"/>
        </w:rPr>
        <w:t>The</w:t>
      </w:r>
      <w:r>
        <w:rPr>
          <w:spacing w:val="10"/>
          <w:sz w:val="25"/>
        </w:rPr>
        <w:t> </w:t>
      </w:r>
      <w:r>
        <w:rPr>
          <w:sz w:val="25"/>
        </w:rPr>
        <w:t>testimony</w:t>
      </w:r>
      <w:r>
        <w:rPr>
          <w:spacing w:val="8"/>
          <w:sz w:val="25"/>
        </w:rPr>
        <w:t> </w:t>
      </w:r>
      <w:r>
        <w:rPr>
          <w:sz w:val="25"/>
        </w:rPr>
        <w:t>of</w:t>
      </w:r>
      <w:r>
        <w:rPr>
          <w:spacing w:val="11"/>
          <w:sz w:val="25"/>
        </w:rPr>
        <w:t> </w:t>
      </w:r>
      <w:r>
        <w:rPr>
          <w:sz w:val="25"/>
        </w:rPr>
        <w:t>the</w:t>
      </w:r>
      <w:r>
        <w:rPr>
          <w:spacing w:val="7"/>
          <w:sz w:val="25"/>
        </w:rPr>
        <w:t> </w:t>
      </w:r>
      <w:r>
        <w:rPr>
          <w:sz w:val="25"/>
        </w:rPr>
        <w:t>witness</w:t>
      </w:r>
      <w:r>
        <w:rPr>
          <w:spacing w:val="10"/>
          <w:sz w:val="25"/>
        </w:rPr>
        <w:t> </w:t>
      </w:r>
      <w:r>
        <w:rPr>
          <w:sz w:val="25"/>
        </w:rPr>
        <w:t>on</w:t>
      </w:r>
      <w:r>
        <w:rPr>
          <w:spacing w:val="11"/>
          <w:sz w:val="25"/>
        </w:rPr>
        <w:t> </w:t>
      </w:r>
      <w:r>
        <w:rPr>
          <w:sz w:val="25"/>
        </w:rPr>
        <w:t>certain</w:t>
      </w:r>
      <w:r>
        <w:rPr>
          <w:spacing w:val="11"/>
          <w:sz w:val="25"/>
        </w:rPr>
        <w:t> </w:t>
      </w:r>
      <w:r>
        <w:rPr>
          <w:sz w:val="25"/>
        </w:rPr>
        <w:t>other</w:t>
      </w:r>
      <w:r>
        <w:rPr>
          <w:spacing w:val="11"/>
          <w:sz w:val="25"/>
        </w:rPr>
        <w:t> </w:t>
      </w:r>
      <w:r>
        <w:rPr>
          <w:sz w:val="25"/>
        </w:rPr>
        <w:t>aspects</w:t>
      </w:r>
      <w:r>
        <w:rPr>
          <w:spacing w:val="16"/>
          <w:sz w:val="25"/>
        </w:rPr>
        <w:t> </w:t>
      </w:r>
      <w:r>
        <w:rPr>
          <w:sz w:val="25"/>
        </w:rPr>
        <w:t>also</w:t>
      </w:r>
      <w:r>
        <w:rPr>
          <w:spacing w:val="9"/>
          <w:sz w:val="25"/>
        </w:rPr>
        <w:t> </w:t>
      </w:r>
      <w:r>
        <w:rPr>
          <w:sz w:val="25"/>
        </w:rPr>
        <w:t>merits</w:t>
      </w:r>
      <w:r>
        <w:rPr>
          <w:spacing w:val="10"/>
          <w:sz w:val="25"/>
        </w:rPr>
        <w:t> </w:t>
      </w:r>
      <w:r>
        <w:rPr>
          <w:sz w:val="25"/>
        </w:rPr>
        <w:t>scrutiny.</w:t>
      </w:r>
    </w:p>
    <w:p>
      <w:pPr>
        <w:pStyle w:val="BodyText"/>
        <w:spacing w:before="10"/>
        <w:rPr>
          <w:sz w:val="24"/>
        </w:rPr>
      </w:pPr>
    </w:p>
    <w:p>
      <w:pPr>
        <w:pStyle w:val="BodyText"/>
        <w:spacing w:line="482" w:lineRule="auto"/>
        <w:ind w:left="500" w:right="448"/>
        <w:jc w:val="both"/>
      </w:pPr>
      <w:r>
        <w:rPr/>
        <w:t>The witness stated that Babri Masjid was built in 1528 by demolishing the Ram Janmabhumi temple. Then he stated that:</w:t>
      </w:r>
    </w:p>
    <w:p>
      <w:pPr>
        <w:spacing w:after="0" w:line="482" w:lineRule="auto"/>
        <w:jc w:val="both"/>
        <w:sectPr>
          <w:pgSz w:w="11910" w:h="16840"/>
          <w:pgMar w:header="721" w:footer="1014" w:top="1300" w:bottom="1200" w:left="940" w:right="1000"/>
        </w:sectPr>
      </w:pPr>
    </w:p>
    <w:p>
      <w:pPr>
        <w:spacing w:line="276" w:lineRule="auto" w:before="122"/>
        <w:ind w:left="1940" w:right="2263" w:firstLine="0"/>
        <w:jc w:val="both"/>
        <w:rPr>
          <w:sz w:val="21"/>
        </w:rPr>
      </w:pPr>
      <w:r>
        <w:rPr>
          <w:spacing w:val="-1"/>
          <w:w w:val="33"/>
          <w:sz w:val="21"/>
        </w:rPr>
        <w:t>―</w:t>
      </w:r>
      <w:r>
        <w:rPr>
          <w:w w:val="100"/>
          <w:sz w:val="21"/>
        </w:rPr>
        <w:t>Si</w:t>
      </w:r>
      <w:r>
        <w:rPr>
          <w:spacing w:val="-3"/>
          <w:w w:val="100"/>
          <w:sz w:val="21"/>
        </w:rPr>
        <w:t>n</w:t>
      </w:r>
      <w:r>
        <w:rPr>
          <w:w w:val="100"/>
          <w:sz w:val="21"/>
        </w:rPr>
        <w:t>ce</w:t>
      </w:r>
      <w:r>
        <w:rPr>
          <w:sz w:val="21"/>
        </w:rPr>
        <w:t> </w:t>
      </w:r>
      <w:r>
        <w:rPr>
          <w:spacing w:val="-19"/>
          <w:sz w:val="21"/>
        </w:rPr>
        <w:t> </w:t>
      </w:r>
      <w:r>
        <w:rPr>
          <w:spacing w:val="-2"/>
          <w:w w:val="100"/>
          <w:sz w:val="21"/>
        </w:rPr>
        <w:t>t</w:t>
      </w:r>
      <w:r>
        <w:rPr>
          <w:spacing w:val="-1"/>
          <w:w w:val="100"/>
          <w:sz w:val="21"/>
        </w:rPr>
        <w:t>h</w:t>
      </w:r>
      <w:r>
        <w:rPr>
          <w:w w:val="100"/>
          <w:sz w:val="21"/>
        </w:rPr>
        <w:t>e</w:t>
      </w:r>
      <w:r>
        <w:rPr>
          <w:sz w:val="21"/>
        </w:rPr>
        <w:t> </w:t>
      </w:r>
      <w:r>
        <w:rPr>
          <w:spacing w:val="-21"/>
          <w:sz w:val="21"/>
        </w:rPr>
        <w:t> </w:t>
      </w:r>
      <w:r>
        <w:rPr>
          <w:spacing w:val="-1"/>
          <w:w w:val="100"/>
          <w:sz w:val="21"/>
        </w:rPr>
        <w:t>b</w:t>
      </w:r>
      <w:r>
        <w:rPr>
          <w:spacing w:val="-3"/>
          <w:w w:val="100"/>
          <w:sz w:val="21"/>
        </w:rPr>
        <w:t>u</w:t>
      </w:r>
      <w:r>
        <w:rPr>
          <w:w w:val="100"/>
          <w:sz w:val="21"/>
        </w:rPr>
        <w:t>il</w:t>
      </w:r>
      <w:r>
        <w:rPr>
          <w:spacing w:val="-3"/>
          <w:w w:val="100"/>
          <w:sz w:val="21"/>
        </w:rPr>
        <w:t>d</w:t>
      </w:r>
      <w:r>
        <w:rPr>
          <w:w w:val="100"/>
          <w:sz w:val="21"/>
        </w:rPr>
        <w:t>i</w:t>
      </w:r>
      <w:r>
        <w:rPr>
          <w:spacing w:val="-3"/>
          <w:w w:val="100"/>
          <w:sz w:val="21"/>
        </w:rPr>
        <w:t>n</w:t>
      </w:r>
      <w:r>
        <w:rPr>
          <w:spacing w:val="-1"/>
          <w:w w:val="100"/>
          <w:sz w:val="21"/>
        </w:rPr>
        <w:t>g</w:t>
      </w:r>
      <w:r>
        <w:rPr>
          <w:w w:val="100"/>
          <w:sz w:val="21"/>
        </w:rPr>
        <w:t>s</w:t>
      </w:r>
      <w:r>
        <w:rPr>
          <w:sz w:val="21"/>
        </w:rPr>
        <w:t> </w:t>
      </w:r>
      <w:r>
        <w:rPr>
          <w:spacing w:val="-19"/>
          <w:sz w:val="21"/>
        </w:rPr>
        <w:t> </w:t>
      </w:r>
      <w:r>
        <w:rPr>
          <w:spacing w:val="-3"/>
          <w:w w:val="100"/>
          <w:sz w:val="21"/>
        </w:rPr>
        <w:t>b</w:t>
      </w:r>
      <w:r>
        <w:rPr>
          <w:spacing w:val="-1"/>
          <w:w w:val="100"/>
          <w:sz w:val="21"/>
        </w:rPr>
        <w:t>u</w:t>
      </w:r>
      <w:r>
        <w:rPr>
          <w:spacing w:val="-2"/>
          <w:w w:val="100"/>
          <w:sz w:val="21"/>
        </w:rPr>
        <w:t>i</w:t>
      </w:r>
      <w:r>
        <w:rPr>
          <w:w w:val="100"/>
          <w:sz w:val="21"/>
        </w:rPr>
        <w:t>lt</w:t>
      </w:r>
      <w:r>
        <w:rPr>
          <w:sz w:val="21"/>
        </w:rPr>
        <w:t> </w:t>
      </w:r>
      <w:r>
        <w:rPr>
          <w:spacing w:val="-20"/>
          <w:sz w:val="21"/>
        </w:rPr>
        <w:t> </w:t>
      </w:r>
      <w:r>
        <w:rPr>
          <w:spacing w:val="-1"/>
          <w:w w:val="100"/>
          <w:sz w:val="21"/>
        </w:rPr>
        <w:t>b</w:t>
      </w:r>
      <w:r>
        <w:rPr>
          <w:w w:val="100"/>
          <w:sz w:val="21"/>
        </w:rPr>
        <w:t>y</w:t>
      </w:r>
      <w:r>
        <w:rPr>
          <w:sz w:val="21"/>
        </w:rPr>
        <w:t> </w:t>
      </w:r>
      <w:r>
        <w:rPr>
          <w:spacing w:val="-21"/>
          <w:sz w:val="21"/>
        </w:rPr>
        <w:t> </w:t>
      </w:r>
      <w:r>
        <w:rPr>
          <w:w w:val="100"/>
          <w:sz w:val="21"/>
        </w:rPr>
        <w:t>V</w:t>
      </w:r>
      <w:r>
        <w:rPr>
          <w:spacing w:val="-2"/>
          <w:w w:val="100"/>
          <w:sz w:val="21"/>
        </w:rPr>
        <w:t>i</w:t>
      </w:r>
      <w:r>
        <w:rPr>
          <w:spacing w:val="2"/>
          <w:w w:val="100"/>
          <w:sz w:val="21"/>
        </w:rPr>
        <w:t>k</w:t>
      </w:r>
      <w:r>
        <w:rPr>
          <w:spacing w:val="-1"/>
          <w:w w:val="100"/>
          <w:sz w:val="21"/>
        </w:rPr>
        <w:t>r</w:t>
      </w:r>
      <w:r>
        <w:rPr>
          <w:spacing w:val="-3"/>
          <w:w w:val="100"/>
          <w:sz w:val="21"/>
        </w:rPr>
        <w:t>a</w:t>
      </w:r>
      <w:r>
        <w:rPr>
          <w:spacing w:val="-1"/>
          <w:w w:val="100"/>
          <w:sz w:val="21"/>
        </w:rPr>
        <w:t>ma</w:t>
      </w:r>
      <w:r>
        <w:rPr>
          <w:spacing w:val="-3"/>
          <w:w w:val="100"/>
          <w:sz w:val="21"/>
        </w:rPr>
        <w:t>d</w:t>
      </w:r>
      <w:r>
        <w:rPr>
          <w:w w:val="100"/>
          <w:sz w:val="21"/>
        </w:rPr>
        <w:t>i</w:t>
      </w:r>
      <w:r>
        <w:rPr>
          <w:spacing w:val="-2"/>
          <w:w w:val="100"/>
          <w:sz w:val="21"/>
        </w:rPr>
        <w:t>t</w:t>
      </w:r>
      <w:r>
        <w:rPr>
          <w:spacing w:val="-3"/>
          <w:w w:val="100"/>
          <w:sz w:val="21"/>
        </w:rPr>
        <w:t>y</w:t>
      </w:r>
      <w:r>
        <w:rPr>
          <w:w w:val="100"/>
          <w:sz w:val="21"/>
        </w:rPr>
        <w:t>a</w:t>
      </w:r>
      <w:r>
        <w:rPr>
          <w:sz w:val="21"/>
        </w:rPr>
        <w:t> </w:t>
      </w:r>
      <w:r>
        <w:rPr>
          <w:spacing w:val="-19"/>
          <w:sz w:val="21"/>
        </w:rPr>
        <w:t> </w:t>
      </w:r>
      <w:r>
        <w:rPr>
          <w:spacing w:val="-2"/>
          <w:w w:val="100"/>
          <w:sz w:val="21"/>
        </w:rPr>
        <w:t>w</w:t>
      </w:r>
      <w:r>
        <w:rPr>
          <w:spacing w:val="-1"/>
          <w:w w:val="100"/>
          <w:sz w:val="21"/>
        </w:rPr>
        <w:t>er</w:t>
      </w:r>
      <w:r>
        <w:rPr>
          <w:w w:val="100"/>
          <w:sz w:val="21"/>
        </w:rPr>
        <w:t>e</w:t>
      </w:r>
      <w:r>
        <w:rPr>
          <w:sz w:val="21"/>
        </w:rPr>
        <w:t> </w:t>
      </w:r>
      <w:r>
        <w:rPr>
          <w:spacing w:val="-19"/>
          <w:sz w:val="21"/>
        </w:rPr>
        <w:t> </w:t>
      </w:r>
      <w:r>
        <w:rPr>
          <w:spacing w:val="-1"/>
          <w:w w:val="100"/>
          <w:sz w:val="21"/>
        </w:rPr>
        <w:t>250</w:t>
      </w:r>
      <w:r>
        <w:rPr>
          <w:w w:val="100"/>
          <w:sz w:val="21"/>
        </w:rPr>
        <w:t>0</w:t>
      </w:r>
      <w:r>
        <w:rPr>
          <w:sz w:val="21"/>
        </w:rPr>
        <w:t> </w:t>
      </w:r>
      <w:r>
        <w:rPr>
          <w:spacing w:val="-19"/>
          <w:sz w:val="21"/>
        </w:rPr>
        <w:t> </w:t>
      </w:r>
      <w:r>
        <w:rPr>
          <w:spacing w:val="-3"/>
          <w:w w:val="100"/>
          <w:sz w:val="21"/>
        </w:rPr>
        <w:t>y</w:t>
      </w:r>
      <w:r>
        <w:rPr>
          <w:spacing w:val="-1"/>
          <w:w w:val="100"/>
          <w:sz w:val="21"/>
        </w:rPr>
        <w:t>ea</w:t>
      </w:r>
      <w:r>
        <w:rPr>
          <w:spacing w:val="-3"/>
          <w:w w:val="100"/>
          <w:sz w:val="21"/>
        </w:rPr>
        <w:t>r</w:t>
      </w:r>
      <w:r>
        <w:rPr>
          <w:w w:val="100"/>
          <w:sz w:val="21"/>
        </w:rPr>
        <w:t>s </w:t>
      </w:r>
      <w:r>
        <w:rPr>
          <w:sz w:val="21"/>
        </w:rPr>
        <w:t>old, they collapsed on their own and the Janmbhumi temple was demolished in the year 1528. The building which was demolished in the year 1528, was originally built by Vikramaditya.‖</w:t>
      </w:r>
    </w:p>
    <w:p>
      <w:pPr>
        <w:pStyle w:val="BodyText"/>
        <w:rPr>
          <w:sz w:val="24"/>
        </w:rPr>
      </w:pPr>
    </w:p>
    <w:p>
      <w:pPr>
        <w:pStyle w:val="BodyText"/>
        <w:spacing w:before="1"/>
        <w:rPr>
          <w:sz w:val="26"/>
        </w:rPr>
      </w:pPr>
    </w:p>
    <w:p>
      <w:pPr>
        <w:pStyle w:val="BodyText"/>
        <w:spacing w:line="480" w:lineRule="auto"/>
        <w:ind w:left="500" w:right="441"/>
        <w:jc w:val="both"/>
      </w:pPr>
      <w:r>
        <w:rPr/>
        <w:t>The witness stated that the building of a Ram Janmabhumi temple by Vikramaditya and the construction of the disputed structure in 1528 upon the demolition of the temple was what he heard from his ancestors and was not read by him anywhere. According to the witness, worship in the mosque had been continuing by the Hindus before 1934. According to him, the idols had been installed prior to 1934 but he was unaware by whom they were installed. The witness then stated:</w:t>
      </w:r>
    </w:p>
    <w:p>
      <w:pPr>
        <w:spacing w:line="276" w:lineRule="auto" w:before="0"/>
        <w:ind w:left="1940" w:right="2262" w:firstLine="0"/>
        <w:jc w:val="both"/>
        <w:rPr>
          <w:sz w:val="21"/>
        </w:rPr>
      </w:pPr>
      <w:r>
        <w:rPr>
          <w:w w:val="33"/>
          <w:sz w:val="21"/>
        </w:rPr>
        <w:t>―</w:t>
      </w:r>
      <w:r>
        <w:rPr>
          <w:w w:val="100"/>
          <w:sz w:val="21"/>
        </w:rPr>
        <w:t>I</w:t>
      </w:r>
      <w:r>
        <w:rPr>
          <w:sz w:val="21"/>
        </w:rPr>
        <w:t> </w:t>
      </w:r>
      <w:r>
        <w:rPr>
          <w:w w:val="100"/>
          <w:sz w:val="21"/>
        </w:rPr>
        <w:t>had</w:t>
      </w:r>
      <w:r>
        <w:rPr>
          <w:sz w:val="21"/>
        </w:rPr>
        <w:t> </w:t>
      </w:r>
      <w:r>
        <w:rPr>
          <w:w w:val="100"/>
          <w:sz w:val="21"/>
        </w:rPr>
        <w:t>heard</w:t>
      </w:r>
      <w:r>
        <w:rPr>
          <w:sz w:val="21"/>
        </w:rPr>
        <w:t> </w:t>
      </w:r>
      <w:r>
        <w:rPr>
          <w:w w:val="100"/>
          <w:sz w:val="21"/>
        </w:rPr>
        <w:t>it</w:t>
      </w:r>
      <w:r>
        <w:rPr>
          <w:sz w:val="21"/>
        </w:rPr>
        <w:t> </w:t>
      </w:r>
      <w:r>
        <w:rPr>
          <w:w w:val="100"/>
          <w:sz w:val="21"/>
        </w:rPr>
        <w:t>from</w:t>
      </w:r>
      <w:r>
        <w:rPr>
          <w:sz w:val="21"/>
        </w:rPr>
        <w:t> </w:t>
      </w:r>
      <w:r>
        <w:rPr>
          <w:w w:val="100"/>
          <w:sz w:val="21"/>
        </w:rPr>
        <w:t>my</w:t>
      </w:r>
      <w:r>
        <w:rPr>
          <w:sz w:val="21"/>
        </w:rPr>
        <w:t> </w:t>
      </w:r>
      <w:r>
        <w:rPr>
          <w:w w:val="100"/>
          <w:sz w:val="21"/>
        </w:rPr>
        <w:t>ancestors</w:t>
      </w:r>
      <w:r>
        <w:rPr>
          <w:sz w:val="21"/>
        </w:rPr>
        <w:t> </w:t>
      </w:r>
      <w:r>
        <w:rPr>
          <w:w w:val="100"/>
          <w:sz w:val="21"/>
        </w:rPr>
        <w:t>that</w:t>
      </w:r>
      <w:r>
        <w:rPr>
          <w:sz w:val="21"/>
        </w:rPr>
        <w:t> </w:t>
      </w:r>
      <w:r>
        <w:rPr>
          <w:w w:val="100"/>
          <w:sz w:val="21"/>
        </w:rPr>
        <w:t>the</w:t>
      </w:r>
      <w:r>
        <w:rPr>
          <w:sz w:val="21"/>
        </w:rPr>
        <w:t> </w:t>
      </w:r>
      <w:r>
        <w:rPr>
          <w:w w:val="100"/>
          <w:sz w:val="21"/>
        </w:rPr>
        <w:t>idols</w:t>
      </w:r>
      <w:r>
        <w:rPr>
          <w:sz w:val="21"/>
        </w:rPr>
        <w:t> </w:t>
      </w:r>
      <w:r>
        <w:rPr>
          <w:w w:val="100"/>
          <w:sz w:val="21"/>
        </w:rPr>
        <w:t>existed</w:t>
      </w:r>
      <w:r>
        <w:rPr>
          <w:sz w:val="21"/>
        </w:rPr>
        <w:t> </w:t>
      </w:r>
      <w:r>
        <w:rPr>
          <w:w w:val="100"/>
          <w:sz w:val="21"/>
        </w:rPr>
        <w:t>over </w:t>
      </w:r>
      <w:r>
        <w:rPr>
          <w:sz w:val="21"/>
        </w:rPr>
        <w:t>there from before the year 1934. I will also not be able to tell how many years after the construction of the three domed disputed structure i.e. after the year 1528, were the idols installed in the disputed structure.‖</w:t>
      </w:r>
    </w:p>
    <w:p>
      <w:pPr>
        <w:pStyle w:val="BodyText"/>
      </w:pPr>
    </w:p>
    <w:p>
      <w:pPr>
        <w:pStyle w:val="BodyText"/>
        <w:spacing w:line="480" w:lineRule="auto" w:before="1"/>
        <w:ind w:left="500" w:right="437"/>
        <w:jc w:val="both"/>
      </w:pPr>
      <w:r>
        <w:rPr/>
        <w:t>According to the witness, in 1946, the gates of the grill-brick wall were opened for devotees and the temple used to remain open. He stated that namaz was not offered in the disputed structure till December 1949. As regards the incident on 22/23 December 1949, the witness has the following explanation:</w:t>
      </w:r>
    </w:p>
    <w:p>
      <w:pPr>
        <w:spacing w:line="276" w:lineRule="auto" w:before="1"/>
        <w:ind w:left="1940" w:right="2262" w:firstLine="0"/>
        <w:jc w:val="both"/>
        <w:rPr>
          <w:sz w:val="21"/>
        </w:rPr>
      </w:pPr>
      <w:r>
        <w:rPr>
          <w:spacing w:val="-1"/>
          <w:w w:val="33"/>
          <w:sz w:val="21"/>
        </w:rPr>
        <w:t>―</w:t>
      </w:r>
      <w:r>
        <w:rPr>
          <w:w w:val="100"/>
          <w:sz w:val="21"/>
        </w:rPr>
        <w:t>No</w:t>
      </w:r>
      <w:r>
        <w:rPr>
          <w:spacing w:val="13"/>
          <w:sz w:val="21"/>
        </w:rPr>
        <w:t> </w:t>
      </w:r>
      <w:r>
        <w:rPr>
          <w:spacing w:val="-2"/>
          <w:w w:val="100"/>
          <w:sz w:val="21"/>
        </w:rPr>
        <w:t>i</w:t>
      </w:r>
      <w:r>
        <w:rPr>
          <w:spacing w:val="-1"/>
          <w:w w:val="100"/>
          <w:sz w:val="21"/>
        </w:rPr>
        <w:t>nc</w:t>
      </w:r>
      <w:r>
        <w:rPr>
          <w:spacing w:val="-2"/>
          <w:w w:val="100"/>
          <w:sz w:val="21"/>
        </w:rPr>
        <w:t>i</w:t>
      </w:r>
      <w:r>
        <w:rPr>
          <w:spacing w:val="-1"/>
          <w:w w:val="100"/>
          <w:sz w:val="21"/>
        </w:rPr>
        <w:t>den</w:t>
      </w:r>
      <w:r>
        <w:rPr>
          <w:w w:val="100"/>
          <w:sz w:val="21"/>
        </w:rPr>
        <w:t>t</w:t>
      </w:r>
      <w:r>
        <w:rPr>
          <w:spacing w:val="12"/>
          <w:sz w:val="21"/>
        </w:rPr>
        <w:t> </w:t>
      </w:r>
      <w:r>
        <w:rPr>
          <w:spacing w:val="-1"/>
          <w:w w:val="100"/>
          <w:sz w:val="21"/>
        </w:rPr>
        <w:t>oc</w:t>
      </w:r>
      <w:r>
        <w:rPr>
          <w:spacing w:val="-3"/>
          <w:w w:val="100"/>
          <w:sz w:val="21"/>
        </w:rPr>
        <w:t>c</w:t>
      </w:r>
      <w:r>
        <w:rPr>
          <w:spacing w:val="-1"/>
          <w:w w:val="100"/>
          <w:sz w:val="21"/>
        </w:rPr>
        <w:t>ur</w:t>
      </w:r>
      <w:r>
        <w:rPr>
          <w:spacing w:val="-2"/>
          <w:w w:val="100"/>
          <w:sz w:val="21"/>
        </w:rPr>
        <w:t>r</w:t>
      </w:r>
      <w:r>
        <w:rPr>
          <w:spacing w:val="-1"/>
          <w:w w:val="100"/>
          <w:sz w:val="21"/>
        </w:rPr>
        <w:t>e</w:t>
      </w:r>
      <w:r>
        <w:rPr>
          <w:w w:val="100"/>
          <w:sz w:val="21"/>
        </w:rPr>
        <w:t>d</w:t>
      </w:r>
      <w:r>
        <w:rPr>
          <w:spacing w:val="13"/>
          <w:sz w:val="21"/>
        </w:rPr>
        <w:t> </w:t>
      </w:r>
      <w:r>
        <w:rPr>
          <w:spacing w:val="-2"/>
          <w:w w:val="100"/>
          <w:sz w:val="21"/>
        </w:rPr>
        <w:t>i</w:t>
      </w:r>
      <w:r>
        <w:rPr>
          <w:w w:val="100"/>
          <w:sz w:val="21"/>
        </w:rPr>
        <w:t>n</w:t>
      </w:r>
      <w:r>
        <w:rPr>
          <w:spacing w:val="13"/>
          <w:sz w:val="21"/>
        </w:rPr>
        <w:t> </w:t>
      </w:r>
      <w:r>
        <w:rPr>
          <w:spacing w:val="-2"/>
          <w:w w:val="100"/>
          <w:sz w:val="21"/>
        </w:rPr>
        <w:t>t</w:t>
      </w:r>
      <w:r>
        <w:rPr>
          <w:spacing w:val="-1"/>
          <w:w w:val="100"/>
          <w:sz w:val="21"/>
        </w:rPr>
        <w:t>h</w:t>
      </w:r>
      <w:r>
        <w:rPr>
          <w:w w:val="100"/>
          <w:sz w:val="21"/>
        </w:rPr>
        <w:t>e</w:t>
      </w:r>
      <w:r>
        <w:rPr>
          <w:spacing w:val="13"/>
          <w:sz w:val="21"/>
        </w:rPr>
        <w:t> </w:t>
      </w:r>
      <w:r>
        <w:rPr>
          <w:spacing w:val="-1"/>
          <w:w w:val="100"/>
          <w:sz w:val="21"/>
        </w:rPr>
        <w:t>d</w:t>
      </w:r>
      <w:r>
        <w:rPr>
          <w:spacing w:val="1"/>
          <w:w w:val="100"/>
          <w:sz w:val="21"/>
        </w:rPr>
        <w:t>i</w:t>
      </w:r>
      <w:r>
        <w:rPr>
          <w:spacing w:val="-3"/>
          <w:w w:val="100"/>
          <w:sz w:val="21"/>
        </w:rPr>
        <w:t>s</w:t>
      </w:r>
      <w:r>
        <w:rPr>
          <w:spacing w:val="-1"/>
          <w:w w:val="100"/>
          <w:sz w:val="21"/>
        </w:rPr>
        <w:t>p</w:t>
      </w:r>
      <w:r>
        <w:rPr>
          <w:spacing w:val="2"/>
          <w:w w:val="100"/>
          <w:sz w:val="21"/>
        </w:rPr>
        <w:t>u</w:t>
      </w:r>
      <w:r>
        <w:rPr>
          <w:spacing w:val="-2"/>
          <w:w w:val="100"/>
          <w:sz w:val="21"/>
        </w:rPr>
        <w:t>t</w:t>
      </w:r>
      <w:r>
        <w:rPr>
          <w:w w:val="100"/>
          <w:sz w:val="21"/>
        </w:rPr>
        <w:t>ed</w:t>
      </w:r>
      <w:r>
        <w:rPr>
          <w:spacing w:val="13"/>
          <w:sz w:val="21"/>
        </w:rPr>
        <w:t> </w:t>
      </w:r>
      <w:r>
        <w:rPr>
          <w:w w:val="100"/>
          <w:sz w:val="21"/>
        </w:rPr>
        <w:t>s</w:t>
      </w:r>
      <w:r>
        <w:rPr>
          <w:spacing w:val="-2"/>
          <w:w w:val="100"/>
          <w:sz w:val="21"/>
        </w:rPr>
        <w:t>t</w:t>
      </w:r>
      <w:r>
        <w:rPr>
          <w:spacing w:val="-1"/>
          <w:w w:val="100"/>
          <w:sz w:val="21"/>
        </w:rPr>
        <w:t>r</w:t>
      </w:r>
      <w:r>
        <w:rPr>
          <w:w w:val="100"/>
          <w:sz w:val="21"/>
        </w:rPr>
        <w:t>uc</w:t>
      </w:r>
      <w:r>
        <w:rPr>
          <w:spacing w:val="-1"/>
          <w:w w:val="100"/>
          <w:sz w:val="21"/>
        </w:rPr>
        <w:t>t</w:t>
      </w:r>
      <w:r>
        <w:rPr>
          <w:w w:val="100"/>
          <w:sz w:val="21"/>
        </w:rPr>
        <w:t>u</w:t>
      </w:r>
      <w:r>
        <w:rPr>
          <w:spacing w:val="-3"/>
          <w:w w:val="100"/>
          <w:sz w:val="21"/>
        </w:rPr>
        <w:t>r</w:t>
      </w:r>
      <w:r>
        <w:rPr>
          <w:w w:val="100"/>
          <w:sz w:val="21"/>
        </w:rPr>
        <w:t>e</w:t>
      </w:r>
      <w:r>
        <w:rPr>
          <w:spacing w:val="13"/>
          <w:sz w:val="21"/>
        </w:rPr>
        <w:t> </w:t>
      </w:r>
      <w:r>
        <w:rPr>
          <w:w w:val="100"/>
          <w:sz w:val="21"/>
        </w:rPr>
        <w:t>i</w:t>
      </w:r>
      <w:r>
        <w:rPr>
          <w:w w:val="100"/>
          <w:sz w:val="21"/>
        </w:rPr>
        <w:t>n</w:t>
      </w:r>
      <w:r>
        <w:rPr>
          <w:spacing w:val="13"/>
          <w:sz w:val="21"/>
        </w:rPr>
        <w:t> </w:t>
      </w:r>
      <w:r>
        <w:rPr>
          <w:spacing w:val="-4"/>
          <w:w w:val="100"/>
          <w:sz w:val="21"/>
        </w:rPr>
        <w:t>t</w:t>
      </w:r>
      <w:r>
        <w:rPr>
          <w:w w:val="100"/>
          <w:sz w:val="21"/>
        </w:rPr>
        <w:t>he</w:t>
      </w:r>
      <w:r>
        <w:rPr>
          <w:spacing w:val="13"/>
          <w:sz w:val="21"/>
        </w:rPr>
        <w:t> </w:t>
      </w:r>
      <w:r>
        <w:rPr>
          <w:w w:val="100"/>
          <w:sz w:val="21"/>
        </w:rPr>
        <w:t>n</w:t>
      </w:r>
      <w:r>
        <w:rPr>
          <w:spacing w:val="-2"/>
          <w:w w:val="100"/>
          <w:sz w:val="21"/>
        </w:rPr>
        <w:t>i</w:t>
      </w:r>
      <w:r>
        <w:rPr>
          <w:w w:val="100"/>
          <w:sz w:val="21"/>
        </w:rPr>
        <w:t>ght</w:t>
      </w:r>
      <w:r>
        <w:rPr>
          <w:spacing w:val="12"/>
          <w:sz w:val="21"/>
        </w:rPr>
        <w:t> </w:t>
      </w:r>
      <w:r>
        <w:rPr>
          <w:w w:val="100"/>
          <w:sz w:val="21"/>
        </w:rPr>
        <w:t>of </w:t>
      </w:r>
      <w:r>
        <w:rPr>
          <w:sz w:val="21"/>
        </w:rPr>
        <w:t>22/23 December, 1949. If somebody claims that some incidents occurred in the disputed structure in the night of 22/23 December, 1949, then he is stating wrongly. In the night of 22/23 December, 1949 I was present in the disputed premises. I go to bed at 11.30 PM and get up at 4.30 AM. I must have slept so in that night i.e. in the night of 22/23 December, 1949. At that time i.e. in that night, I had slept at the place beneath the</w:t>
      </w:r>
      <w:r>
        <w:rPr>
          <w:spacing w:val="-7"/>
          <w:sz w:val="21"/>
        </w:rPr>
        <w:t> </w:t>
      </w:r>
      <w:r>
        <w:rPr>
          <w:sz w:val="21"/>
        </w:rPr>
        <w:t>dome.‖</w:t>
      </w:r>
    </w:p>
    <w:p>
      <w:pPr>
        <w:pStyle w:val="BodyText"/>
        <w:rPr>
          <w:sz w:val="24"/>
        </w:rPr>
      </w:pPr>
    </w:p>
    <w:p>
      <w:pPr>
        <w:pStyle w:val="BodyText"/>
        <w:spacing w:before="2"/>
        <w:rPr>
          <w:sz w:val="24"/>
        </w:rPr>
      </w:pPr>
    </w:p>
    <w:p>
      <w:pPr>
        <w:pStyle w:val="BodyText"/>
        <w:spacing w:line="482" w:lineRule="auto" w:before="1"/>
        <w:ind w:left="500" w:right="439"/>
        <w:jc w:val="both"/>
      </w:pPr>
      <w:r>
        <w:rPr/>
        <w:t>The ignorance which the witness feigns of the incident is evident. The deposition of the witness assumes importance because he was the Panch of</w:t>
      </w:r>
      <w:r>
        <w:rPr>
          <w:spacing w:val="62"/>
        </w:rPr>
        <w:t> </w:t>
      </w:r>
      <w:r>
        <w:rPr/>
        <w:t>Nirmohi</w:t>
      </w:r>
    </w:p>
    <w:p>
      <w:pPr>
        <w:spacing w:after="0" w:line="482" w:lineRule="auto"/>
        <w:jc w:val="both"/>
        <w:sectPr>
          <w:pgSz w:w="11910" w:h="16840"/>
          <w:pgMar w:header="721" w:footer="1014" w:top="1300" w:bottom="1200" w:left="940" w:right="1000"/>
        </w:sectPr>
      </w:pPr>
    </w:p>
    <w:p>
      <w:pPr>
        <w:pStyle w:val="BodyText"/>
        <w:spacing w:line="480" w:lineRule="auto" w:before="124"/>
        <w:ind w:left="500" w:right="447"/>
        <w:jc w:val="both"/>
      </w:pPr>
      <w:r>
        <w:rPr/>
        <w:t>Akhara since 1950 and was at the material time the Sarpanch. His evidence has several contradictions. He stated:</w:t>
      </w:r>
    </w:p>
    <w:p>
      <w:pPr>
        <w:spacing w:line="276" w:lineRule="auto" w:before="0"/>
        <w:ind w:left="2031" w:right="2263" w:firstLine="0"/>
        <w:jc w:val="both"/>
        <w:rPr>
          <w:sz w:val="21"/>
        </w:rPr>
      </w:pPr>
      <w:r>
        <w:rPr>
          <w:w w:val="33"/>
          <w:sz w:val="21"/>
        </w:rPr>
        <w:t>―</w:t>
      </w:r>
      <w:r>
        <w:rPr>
          <w:w w:val="100"/>
          <w:sz w:val="21"/>
        </w:rPr>
        <w:t>This</w:t>
      </w:r>
      <w:r>
        <w:rPr>
          <w:sz w:val="21"/>
        </w:rPr>
        <w:t> </w:t>
      </w:r>
      <w:r>
        <w:rPr>
          <w:w w:val="100"/>
          <w:sz w:val="21"/>
        </w:rPr>
        <w:t>throne</w:t>
      </w:r>
      <w:r>
        <w:rPr>
          <w:sz w:val="21"/>
        </w:rPr>
        <w:t> </w:t>
      </w:r>
      <w:r>
        <w:rPr>
          <w:w w:val="100"/>
          <w:sz w:val="21"/>
        </w:rPr>
        <w:t>existed</w:t>
      </w:r>
      <w:r>
        <w:rPr>
          <w:sz w:val="21"/>
        </w:rPr>
        <w:t> </w:t>
      </w:r>
      <w:r>
        <w:rPr>
          <w:w w:val="100"/>
          <w:sz w:val="21"/>
        </w:rPr>
        <w:t>in</w:t>
      </w:r>
      <w:r>
        <w:rPr>
          <w:sz w:val="21"/>
        </w:rPr>
        <w:t> </w:t>
      </w:r>
      <w:r>
        <w:rPr>
          <w:w w:val="100"/>
          <w:sz w:val="21"/>
        </w:rPr>
        <w:t>the</w:t>
      </w:r>
      <w:r>
        <w:rPr>
          <w:sz w:val="21"/>
        </w:rPr>
        <w:t> </w:t>
      </w:r>
      <w:r>
        <w:rPr>
          <w:w w:val="100"/>
          <w:sz w:val="21"/>
        </w:rPr>
        <w:t>disput</w:t>
      </w:r>
      <w:r>
        <w:rPr>
          <w:w w:val="100"/>
          <w:sz w:val="21"/>
        </w:rPr>
        <w:t>ed</w:t>
      </w:r>
      <w:r>
        <w:rPr>
          <w:sz w:val="21"/>
        </w:rPr>
        <w:t> </w:t>
      </w:r>
      <w:r>
        <w:rPr>
          <w:w w:val="100"/>
          <w:sz w:val="21"/>
        </w:rPr>
        <w:t>st</w:t>
      </w:r>
      <w:r>
        <w:rPr>
          <w:w w:val="100"/>
          <w:sz w:val="21"/>
        </w:rPr>
        <w:t>ruct</w:t>
      </w:r>
      <w:r>
        <w:rPr>
          <w:w w:val="100"/>
          <w:sz w:val="21"/>
        </w:rPr>
        <w:t>ure</w:t>
      </w:r>
      <w:r>
        <w:rPr>
          <w:sz w:val="21"/>
        </w:rPr>
        <w:t> </w:t>
      </w:r>
      <w:r>
        <w:rPr>
          <w:w w:val="100"/>
          <w:sz w:val="21"/>
        </w:rPr>
        <w:t>f</w:t>
      </w:r>
      <w:r>
        <w:rPr>
          <w:w w:val="100"/>
          <w:sz w:val="21"/>
        </w:rPr>
        <w:t>r</w:t>
      </w:r>
      <w:r>
        <w:rPr>
          <w:w w:val="100"/>
          <w:sz w:val="21"/>
        </w:rPr>
        <w:t>o</w:t>
      </w:r>
      <w:r>
        <w:rPr>
          <w:w w:val="100"/>
          <w:sz w:val="21"/>
        </w:rPr>
        <w:t>m</w:t>
      </w:r>
      <w:r>
        <w:rPr>
          <w:sz w:val="21"/>
        </w:rPr>
        <w:t> </w:t>
      </w:r>
      <w:r>
        <w:rPr>
          <w:w w:val="100"/>
          <w:sz w:val="21"/>
        </w:rPr>
        <w:t>b</w:t>
      </w:r>
      <w:r>
        <w:rPr>
          <w:w w:val="100"/>
          <w:sz w:val="21"/>
        </w:rPr>
        <w:t>ef</w:t>
      </w:r>
      <w:r>
        <w:rPr>
          <w:w w:val="100"/>
          <w:sz w:val="21"/>
        </w:rPr>
        <w:t>ore</w:t>
      </w:r>
      <w:r>
        <w:rPr>
          <w:sz w:val="21"/>
        </w:rPr>
        <w:t> </w:t>
      </w:r>
      <w:r>
        <w:rPr>
          <w:w w:val="100"/>
          <w:sz w:val="21"/>
        </w:rPr>
        <w:t>t</w:t>
      </w:r>
      <w:r>
        <w:rPr>
          <w:w w:val="100"/>
          <w:sz w:val="21"/>
        </w:rPr>
        <w:t>he </w:t>
      </w:r>
      <w:r>
        <w:rPr>
          <w:sz w:val="21"/>
        </w:rPr>
        <w:t>year 1950. This throne was present in the disputed structure, from ten years before the year 1950. This throne was in the disputed structure in the year 1950, but it had not been attached."</w:t>
      </w:r>
    </w:p>
    <w:p>
      <w:pPr>
        <w:pStyle w:val="BodyText"/>
        <w:rPr>
          <w:sz w:val="24"/>
        </w:rPr>
      </w:pPr>
    </w:p>
    <w:p>
      <w:pPr>
        <w:pStyle w:val="BodyText"/>
        <w:spacing w:before="3"/>
        <w:rPr>
          <w:sz w:val="24"/>
        </w:rPr>
      </w:pPr>
    </w:p>
    <w:p>
      <w:pPr>
        <w:pStyle w:val="BodyText"/>
        <w:ind w:left="500"/>
        <w:jc w:val="both"/>
      </w:pPr>
      <w:r>
        <w:rPr/>
        <w:t>On the other hand, the witness stated:</w:t>
      </w:r>
    </w:p>
    <w:p>
      <w:pPr>
        <w:pStyle w:val="BodyText"/>
      </w:pPr>
    </w:p>
    <w:p>
      <w:pPr>
        <w:spacing w:line="276" w:lineRule="auto" w:before="1"/>
        <w:ind w:left="1940" w:right="2264" w:firstLine="0"/>
        <w:jc w:val="both"/>
        <w:rPr>
          <w:sz w:val="21"/>
        </w:rPr>
      </w:pPr>
      <w:r>
        <w:rPr>
          <w:spacing w:val="-1"/>
          <w:w w:val="33"/>
          <w:sz w:val="21"/>
        </w:rPr>
        <w:t>―</w:t>
      </w:r>
      <w:r>
        <w:rPr>
          <w:w w:val="100"/>
          <w:sz w:val="21"/>
        </w:rPr>
        <w:t>B</w:t>
      </w:r>
      <w:r>
        <w:rPr>
          <w:spacing w:val="-3"/>
          <w:w w:val="100"/>
          <w:sz w:val="21"/>
        </w:rPr>
        <w:t>e</w:t>
      </w:r>
      <w:r>
        <w:rPr>
          <w:spacing w:val="1"/>
          <w:w w:val="100"/>
          <w:sz w:val="21"/>
        </w:rPr>
        <w:t>f</w:t>
      </w:r>
      <w:r>
        <w:rPr>
          <w:spacing w:val="-1"/>
          <w:w w:val="100"/>
          <w:sz w:val="21"/>
        </w:rPr>
        <w:t>or</w:t>
      </w:r>
      <w:r>
        <w:rPr>
          <w:w w:val="100"/>
          <w:sz w:val="21"/>
        </w:rPr>
        <w:t>e</w:t>
      </w:r>
      <w:r>
        <w:rPr>
          <w:sz w:val="21"/>
        </w:rPr>
        <w:t> </w:t>
      </w:r>
      <w:r>
        <w:rPr>
          <w:spacing w:val="-3"/>
          <w:w w:val="100"/>
          <w:sz w:val="21"/>
        </w:rPr>
        <w:t>1</w:t>
      </w:r>
      <w:r>
        <w:rPr>
          <w:spacing w:val="-1"/>
          <w:w w:val="100"/>
          <w:sz w:val="21"/>
        </w:rPr>
        <w:t>986</w:t>
      </w:r>
      <w:r>
        <w:rPr>
          <w:w w:val="100"/>
          <w:sz w:val="21"/>
        </w:rPr>
        <w:t>,</w:t>
      </w:r>
      <w:r>
        <w:rPr>
          <w:sz w:val="21"/>
        </w:rPr>
        <w:t> </w:t>
      </w:r>
      <w:r>
        <w:rPr>
          <w:spacing w:val="-2"/>
          <w:w w:val="100"/>
          <w:sz w:val="21"/>
        </w:rPr>
        <w:t>t</w:t>
      </w:r>
      <w:r>
        <w:rPr>
          <w:spacing w:val="-1"/>
          <w:w w:val="100"/>
          <w:sz w:val="21"/>
        </w:rPr>
        <w:t>h</w:t>
      </w:r>
      <w:r>
        <w:rPr>
          <w:w w:val="100"/>
          <w:sz w:val="21"/>
        </w:rPr>
        <w:t>e</w:t>
      </w:r>
      <w:r>
        <w:rPr>
          <w:spacing w:val="1"/>
          <w:sz w:val="21"/>
        </w:rPr>
        <w:t> </w:t>
      </w:r>
      <w:r>
        <w:rPr>
          <w:spacing w:val="-2"/>
          <w:w w:val="100"/>
          <w:sz w:val="21"/>
        </w:rPr>
        <w:t>t</w:t>
      </w:r>
      <w:r>
        <w:rPr>
          <w:spacing w:val="-1"/>
          <w:w w:val="100"/>
          <w:sz w:val="21"/>
        </w:rPr>
        <w:t>hr</w:t>
      </w:r>
      <w:r>
        <w:rPr>
          <w:spacing w:val="-3"/>
          <w:w w:val="100"/>
          <w:sz w:val="21"/>
        </w:rPr>
        <w:t>o</w:t>
      </w:r>
      <w:r>
        <w:rPr>
          <w:spacing w:val="-1"/>
          <w:w w:val="100"/>
          <w:sz w:val="21"/>
        </w:rPr>
        <w:t>ne</w:t>
      </w:r>
      <w:r>
        <w:rPr>
          <w:w w:val="100"/>
          <w:sz w:val="21"/>
        </w:rPr>
        <w:t>,</w:t>
      </w:r>
      <w:r>
        <w:rPr>
          <w:spacing w:val="-2"/>
          <w:sz w:val="21"/>
        </w:rPr>
        <w:t> </w:t>
      </w:r>
      <w:r>
        <w:rPr>
          <w:spacing w:val="-3"/>
          <w:w w:val="100"/>
          <w:sz w:val="21"/>
        </w:rPr>
        <w:t>v</w:t>
      </w:r>
      <w:r>
        <w:rPr>
          <w:w w:val="100"/>
          <w:sz w:val="21"/>
        </w:rPr>
        <w:t>isi</w:t>
      </w:r>
      <w:r>
        <w:rPr>
          <w:spacing w:val="-3"/>
          <w:w w:val="100"/>
          <w:sz w:val="21"/>
        </w:rPr>
        <w:t>b</w:t>
      </w:r>
      <w:r>
        <w:rPr>
          <w:w w:val="100"/>
          <w:sz w:val="21"/>
        </w:rPr>
        <w:t>le</w:t>
      </w:r>
      <w:r>
        <w:rPr>
          <w:spacing w:val="1"/>
          <w:sz w:val="21"/>
        </w:rPr>
        <w:t> </w:t>
      </w:r>
      <w:r>
        <w:rPr>
          <w:spacing w:val="-2"/>
          <w:w w:val="100"/>
          <w:sz w:val="21"/>
        </w:rPr>
        <w:t>i</w:t>
      </w:r>
      <w:r>
        <w:rPr>
          <w:w w:val="100"/>
          <w:sz w:val="21"/>
        </w:rPr>
        <w:t>n</w:t>
      </w:r>
      <w:r>
        <w:rPr>
          <w:spacing w:val="1"/>
          <w:sz w:val="21"/>
        </w:rPr>
        <w:t> </w:t>
      </w:r>
      <w:r>
        <w:rPr>
          <w:spacing w:val="-2"/>
          <w:w w:val="100"/>
          <w:sz w:val="21"/>
        </w:rPr>
        <w:t>t</w:t>
      </w:r>
      <w:r>
        <w:rPr>
          <w:spacing w:val="-1"/>
          <w:w w:val="100"/>
          <w:sz w:val="21"/>
        </w:rPr>
        <w:t>he</w:t>
      </w:r>
      <w:r>
        <w:rPr>
          <w:spacing w:val="-3"/>
          <w:w w:val="100"/>
          <w:sz w:val="21"/>
        </w:rPr>
        <w:t>s</w:t>
      </w:r>
      <w:r>
        <w:rPr>
          <w:w w:val="100"/>
          <w:sz w:val="21"/>
        </w:rPr>
        <w:t>e</w:t>
      </w:r>
      <w:r>
        <w:rPr>
          <w:spacing w:val="1"/>
          <w:sz w:val="21"/>
        </w:rPr>
        <w:t> </w:t>
      </w:r>
      <w:r>
        <w:rPr>
          <w:spacing w:val="-1"/>
          <w:w w:val="100"/>
          <w:sz w:val="21"/>
        </w:rPr>
        <w:t>phot</w:t>
      </w:r>
      <w:r>
        <w:rPr>
          <w:spacing w:val="-3"/>
          <w:w w:val="100"/>
          <w:sz w:val="21"/>
        </w:rPr>
        <w:t>o</w:t>
      </w:r>
      <w:r>
        <w:rPr>
          <w:spacing w:val="-1"/>
          <w:w w:val="100"/>
          <w:sz w:val="21"/>
        </w:rPr>
        <w:t>gra</w:t>
      </w:r>
      <w:r>
        <w:rPr>
          <w:spacing w:val="-3"/>
          <w:w w:val="100"/>
          <w:sz w:val="21"/>
        </w:rPr>
        <w:t>p</w:t>
      </w:r>
      <w:r>
        <w:rPr>
          <w:spacing w:val="-1"/>
          <w:w w:val="100"/>
          <w:sz w:val="21"/>
        </w:rPr>
        <w:t>hs</w:t>
      </w:r>
      <w:r>
        <w:rPr>
          <w:w w:val="100"/>
          <w:sz w:val="21"/>
        </w:rPr>
        <w:t>,</w:t>
      </w:r>
      <w:r>
        <w:rPr>
          <w:sz w:val="21"/>
        </w:rPr>
        <w:t> </w:t>
      </w:r>
      <w:r>
        <w:rPr>
          <w:spacing w:val="-1"/>
          <w:w w:val="100"/>
          <w:sz w:val="21"/>
        </w:rPr>
        <w:t>d</w:t>
      </w:r>
      <w:r>
        <w:rPr>
          <w:spacing w:val="1"/>
          <w:w w:val="100"/>
          <w:sz w:val="21"/>
        </w:rPr>
        <w:t>i</w:t>
      </w:r>
      <w:r>
        <w:rPr>
          <w:w w:val="100"/>
          <w:sz w:val="21"/>
        </w:rPr>
        <w:t>d</w:t>
      </w:r>
      <w:r>
        <w:rPr>
          <w:spacing w:val="-1"/>
          <w:sz w:val="21"/>
        </w:rPr>
        <w:t> </w:t>
      </w:r>
      <w:r>
        <w:rPr>
          <w:spacing w:val="-1"/>
          <w:w w:val="100"/>
          <w:sz w:val="21"/>
        </w:rPr>
        <w:t>not </w:t>
      </w:r>
      <w:r>
        <w:rPr>
          <w:sz w:val="21"/>
        </w:rPr>
        <w:t>exist at the disputed site. This throne may have been placed in the disputed building after its lock was opened in</w:t>
      </w:r>
      <w:r>
        <w:rPr>
          <w:spacing w:val="-31"/>
          <w:sz w:val="21"/>
        </w:rPr>
        <w:t> </w:t>
      </w:r>
      <w:r>
        <w:rPr>
          <w:sz w:val="21"/>
        </w:rPr>
        <w:t>1986.‖</w:t>
      </w:r>
    </w:p>
    <w:p>
      <w:pPr>
        <w:pStyle w:val="BodyText"/>
        <w:rPr>
          <w:sz w:val="24"/>
        </w:rPr>
      </w:pPr>
    </w:p>
    <w:p>
      <w:pPr>
        <w:pStyle w:val="BodyText"/>
        <w:spacing w:before="10"/>
      </w:pPr>
    </w:p>
    <w:p>
      <w:pPr>
        <w:pStyle w:val="BodyText"/>
        <w:spacing w:line="480" w:lineRule="auto"/>
        <w:ind w:left="500" w:right="436"/>
        <w:jc w:val="both"/>
      </w:pPr>
      <w:r>
        <w:rPr/>
        <w:t>The witness then admitted that he had referred to two idols of Lord Ram when there was only one idol of Lord Ram and one of Lakshman. As regards the idols at Ramchabutra, the witness stated that they were installed during Akbar‘s reign. While on the one hand, the witness stated that namaz had never been offered in the mosque since the days of Babur, on the other hand, when he deposed about the idol of Ram Lalla in the disputed structure, he stated that it was prior to 1934 but the exact date and period was not known to him. According to the witness, the idol of Ram Lalla seated on the throne was a chal – vigrah or moveable</w:t>
      </w:r>
      <w:r>
        <w:rPr>
          <w:spacing w:val="-15"/>
        </w:rPr>
        <w:t> </w:t>
      </w:r>
      <w:r>
        <w:rPr/>
        <w:t>idol.</w:t>
      </w:r>
    </w:p>
    <w:p>
      <w:pPr>
        <w:pStyle w:val="BodyText"/>
        <w:spacing w:before="3"/>
      </w:pPr>
    </w:p>
    <w:p>
      <w:pPr>
        <w:pStyle w:val="BodyText"/>
        <w:spacing w:line="480" w:lineRule="auto"/>
        <w:ind w:left="500" w:right="439"/>
        <w:jc w:val="both"/>
      </w:pPr>
      <w:r>
        <w:rPr/>
        <w:t>Much of the evidence of the witness is hearsay in nature. His statements are based on what has been communicated to him by others. The explanation of the witness that he was asleep in the disputed premises on 22/23 December 1949 and that no incident had taken place is a figment of his imagination. The statement that the idols of Ram Lalla have been placed in the disputed structure much prior to 1934 is unworthy of credence.</w:t>
      </w:r>
    </w:p>
    <w:p>
      <w:pPr>
        <w:spacing w:after="0" w:line="480" w:lineRule="auto"/>
        <w:jc w:val="both"/>
        <w:sectPr>
          <w:pgSz w:w="11910" w:h="16840"/>
          <w:pgMar w:header="721" w:footer="1014" w:top="1300" w:bottom="1200" w:left="940" w:right="1000"/>
        </w:sectPr>
      </w:pPr>
    </w:p>
    <w:p>
      <w:pPr>
        <w:pStyle w:val="ListParagraph"/>
        <w:numPr>
          <w:ilvl w:val="0"/>
          <w:numId w:val="3"/>
        </w:numPr>
        <w:tabs>
          <w:tab w:pos="1221" w:val="left" w:leader="none"/>
        </w:tabs>
        <w:spacing w:line="480" w:lineRule="auto" w:before="121" w:after="0"/>
        <w:ind w:left="500" w:right="437" w:firstLine="0"/>
        <w:jc w:val="both"/>
        <w:rPr>
          <w:sz w:val="25"/>
        </w:rPr>
      </w:pPr>
      <w:r>
        <w:rPr>
          <w:b/>
          <w:sz w:val="25"/>
        </w:rPr>
        <w:t>Raja Ram Pandey (DW 3/2): </w:t>
      </w:r>
      <w:r>
        <w:rPr>
          <w:sz w:val="25"/>
        </w:rPr>
        <w:t>The date of the Examination-in-Chief of the witness is 22 September 2003. The witness stated that he was 87 years old at the time of deposition and that he had come to Ayodhya in 1930 since when he claimed to have been visited the Ram Janmabhumi temple. The witness stated that:</w:t>
      </w:r>
    </w:p>
    <w:p>
      <w:pPr>
        <w:pStyle w:val="ListParagraph"/>
        <w:numPr>
          <w:ilvl w:val="0"/>
          <w:numId w:val="93"/>
        </w:numPr>
        <w:tabs>
          <w:tab w:pos="1221" w:val="left" w:leader="none"/>
        </w:tabs>
        <w:spacing w:line="480" w:lineRule="auto" w:before="3" w:after="0"/>
        <w:ind w:left="1220" w:right="447" w:hanging="720"/>
        <w:jc w:val="both"/>
        <w:rPr>
          <w:sz w:val="25"/>
        </w:rPr>
      </w:pPr>
      <w:r>
        <w:rPr>
          <w:sz w:val="25"/>
        </w:rPr>
        <w:t>He had seen the Nirmohi Akhara Aarti prior to the attachment of the inner courtyard;</w:t>
      </w:r>
    </w:p>
    <w:p>
      <w:pPr>
        <w:pStyle w:val="ListParagraph"/>
        <w:numPr>
          <w:ilvl w:val="0"/>
          <w:numId w:val="93"/>
        </w:numPr>
        <w:tabs>
          <w:tab w:pos="1221" w:val="left" w:leader="none"/>
        </w:tabs>
        <w:spacing w:line="480" w:lineRule="auto" w:before="0" w:after="0"/>
        <w:ind w:left="1220" w:right="448" w:hanging="720"/>
        <w:jc w:val="both"/>
        <w:rPr>
          <w:sz w:val="25"/>
        </w:rPr>
      </w:pPr>
      <w:r>
        <w:rPr>
          <w:sz w:val="25"/>
        </w:rPr>
        <w:t>The duty of opening and closing the gates of the outer courtyard was performed by Nirmohi</w:t>
      </w:r>
      <w:r>
        <w:rPr>
          <w:spacing w:val="-6"/>
          <w:sz w:val="25"/>
        </w:rPr>
        <w:t> </w:t>
      </w:r>
      <w:r>
        <w:rPr>
          <w:sz w:val="25"/>
        </w:rPr>
        <w:t>Akhara;</w:t>
      </w:r>
    </w:p>
    <w:p>
      <w:pPr>
        <w:pStyle w:val="ListParagraph"/>
        <w:numPr>
          <w:ilvl w:val="0"/>
          <w:numId w:val="93"/>
        </w:numPr>
        <w:tabs>
          <w:tab w:pos="1221" w:val="left" w:leader="none"/>
        </w:tabs>
        <w:spacing w:line="480" w:lineRule="auto" w:before="0" w:after="0"/>
        <w:ind w:left="1220" w:right="436" w:hanging="720"/>
        <w:jc w:val="both"/>
        <w:rPr>
          <w:sz w:val="25"/>
        </w:rPr>
      </w:pPr>
      <w:r>
        <w:rPr>
          <w:sz w:val="25"/>
        </w:rPr>
        <w:t>No Muslims were allowed to enter from the outer gate between 1930-1949 and he was able to view the inner part of the sanctum sanctorum where some idols had been engraved;</w:t>
      </w:r>
      <w:r>
        <w:rPr>
          <w:spacing w:val="-6"/>
          <w:sz w:val="25"/>
        </w:rPr>
        <w:t> </w:t>
      </w:r>
      <w:r>
        <w:rPr>
          <w:sz w:val="25"/>
        </w:rPr>
        <w:t>and</w:t>
      </w:r>
    </w:p>
    <w:p>
      <w:pPr>
        <w:pStyle w:val="ListParagraph"/>
        <w:numPr>
          <w:ilvl w:val="0"/>
          <w:numId w:val="93"/>
        </w:numPr>
        <w:tabs>
          <w:tab w:pos="1221" w:val="left" w:leader="none"/>
        </w:tabs>
        <w:spacing w:line="480" w:lineRule="auto" w:before="1" w:after="0"/>
        <w:ind w:left="1220" w:right="441" w:hanging="720"/>
        <w:jc w:val="both"/>
        <w:rPr>
          <w:sz w:val="25"/>
        </w:rPr>
      </w:pPr>
      <w:r>
        <w:rPr>
          <w:sz w:val="25"/>
        </w:rPr>
        <w:t>Ever since his arrival until the date of attachment, the premises have never been used as a</w:t>
      </w:r>
      <w:r>
        <w:rPr>
          <w:spacing w:val="-3"/>
          <w:sz w:val="25"/>
        </w:rPr>
        <w:t> </w:t>
      </w:r>
      <w:r>
        <w:rPr>
          <w:sz w:val="25"/>
        </w:rPr>
        <w:t>mosque.</w:t>
      </w:r>
    </w:p>
    <w:p>
      <w:pPr>
        <w:pStyle w:val="BodyText"/>
        <w:rPr>
          <w:sz w:val="28"/>
        </w:rPr>
      </w:pPr>
    </w:p>
    <w:p>
      <w:pPr>
        <w:pStyle w:val="BodyText"/>
        <w:spacing w:line="480" w:lineRule="auto" w:before="251"/>
        <w:ind w:left="500" w:right="445"/>
        <w:jc w:val="both"/>
      </w:pPr>
      <w:r>
        <w:rPr/>
        <w:t>Dr Dhavan has during the course of his submissions emphasized the following aspects of the cross-examination:</w:t>
      </w:r>
    </w:p>
    <w:p>
      <w:pPr>
        <w:pStyle w:val="ListParagraph"/>
        <w:numPr>
          <w:ilvl w:val="0"/>
          <w:numId w:val="94"/>
        </w:numPr>
        <w:tabs>
          <w:tab w:pos="1221" w:val="left" w:leader="none"/>
        </w:tabs>
        <w:spacing w:line="480" w:lineRule="auto" w:before="162" w:after="0"/>
        <w:ind w:left="1220" w:right="444" w:hanging="720"/>
        <w:jc w:val="both"/>
        <w:rPr>
          <w:sz w:val="25"/>
        </w:rPr>
      </w:pPr>
      <w:r>
        <w:rPr>
          <w:sz w:val="25"/>
        </w:rPr>
        <w:t>The witness has accepted that earlier the Chabutra was known as Janmabhumi</w:t>
      </w:r>
      <w:r>
        <w:rPr>
          <w:spacing w:val="-2"/>
          <w:sz w:val="25"/>
        </w:rPr>
        <w:t> </w:t>
      </w:r>
      <w:r>
        <w:rPr>
          <w:sz w:val="25"/>
        </w:rPr>
        <w:t>temple;</w:t>
      </w:r>
    </w:p>
    <w:p>
      <w:pPr>
        <w:pStyle w:val="ListParagraph"/>
        <w:numPr>
          <w:ilvl w:val="0"/>
          <w:numId w:val="94"/>
        </w:numPr>
        <w:tabs>
          <w:tab w:pos="1221" w:val="left" w:leader="none"/>
        </w:tabs>
        <w:spacing w:line="480" w:lineRule="auto" w:before="0" w:after="0"/>
        <w:ind w:left="1220" w:right="441" w:hanging="720"/>
        <w:jc w:val="both"/>
        <w:rPr>
          <w:sz w:val="25"/>
        </w:rPr>
      </w:pPr>
      <w:r>
        <w:rPr>
          <w:sz w:val="25"/>
        </w:rPr>
        <w:t>The witness was unaware as to when the disputed structure with three domes was built and who had got it built; he had no knowledge as to when and who had installed the idols inside the disputed structure;</w:t>
      </w:r>
      <w:r>
        <w:rPr>
          <w:spacing w:val="-9"/>
          <w:sz w:val="25"/>
        </w:rPr>
        <w:t> </w:t>
      </w:r>
      <w:r>
        <w:rPr>
          <w:sz w:val="25"/>
        </w:rPr>
        <w:t>and</w:t>
      </w:r>
    </w:p>
    <w:p>
      <w:pPr>
        <w:pStyle w:val="ListParagraph"/>
        <w:numPr>
          <w:ilvl w:val="0"/>
          <w:numId w:val="94"/>
        </w:numPr>
        <w:tabs>
          <w:tab w:pos="1221" w:val="left" w:leader="none"/>
        </w:tabs>
        <w:spacing w:line="482" w:lineRule="auto" w:before="0" w:after="0"/>
        <w:ind w:left="1220" w:right="436" w:hanging="720"/>
        <w:jc w:val="both"/>
        <w:rPr>
          <w:sz w:val="25"/>
        </w:rPr>
      </w:pPr>
      <w:r>
        <w:rPr>
          <w:sz w:val="25"/>
        </w:rPr>
        <w:t>The witness was unaware as to when and by whom Nirmohi Akhara </w:t>
      </w:r>
      <w:r>
        <w:rPr>
          <w:spacing w:val="2"/>
          <w:sz w:val="25"/>
        </w:rPr>
        <w:t>was </w:t>
      </w:r>
      <w:r>
        <w:rPr>
          <w:sz w:val="25"/>
        </w:rPr>
        <w:t>made the owner of Ram Janmabhumi</w:t>
      </w:r>
      <w:r>
        <w:rPr>
          <w:spacing w:val="-4"/>
          <w:sz w:val="25"/>
        </w:rPr>
        <w:t> </w:t>
      </w:r>
      <w:r>
        <w:rPr>
          <w:sz w:val="25"/>
        </w:rPr>
        <w:t>temple.</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The witness stated during the course of his examination that he was hearing of the Babri mosque since 1949 but he was unaware where in Ayodhya it is or was situated. He stated that he came to know later from the cross-examination that the building which he called the Ram Janmabhumi temple is called the Babri mosque by Muslims. Though, he stated he had held meetings with Muslims in 1992-93, he stated he was not informed by any of them that the mosque has been demolished on 6 December 1992. On his own ability to recall events, the witness</w:t>
      </w:r>
      <w:r>
        <w:rPr>
          <w:spacing w:val="-1"/>
        </w:rPr>
        <w:t> </w:t>
      </w:r>
      <w:r>
        <w:rPr/>
        <w:t>stated:</w:t>
      </w:r>
    </w:p>
    <w:p>
      <w:pPr>
        <w:spacing w:line="276" w:lineRule="auto" w:before="0"/>
        <w:ind w:left="1940" w:right="2261" w:firstLine="0"/>
        <w:jc w:val="both"/>
        <w:rPr>
          <w:sz w:val="21"/>
        </w:rPr>
      </w:pPr>
      <w:r>
        <w:rPr>
          <w:w w:val="33"/>
          <w:sz w:val="21"/>
        </w:rPr>
        <w:t>―</w:t>
      </w:r>
      <w:r>
        <w:rPr>
          <w:w w:val="100"/>
          <w:sz w:val="21"/>
        </w:rPr>
        <w:t>I</w:t>
      </w:r>
      <w:r>
        <w:rPr>
          <w:sz w:val="21"/>
        </w:rPr>
        <w:t> </w:t>
      </w:r>
      <w:r>
        <w:rPr>
          <w:w w:val="100"/>
          <w:sz w:val="21"/>
        </w:rPr>
        <w:t>have</w:t>
      </w:r>
      <w:r>
        <w:rPr>
          <w:sz w:val="21"/>
        </w:rPr>
        <w:t> </w:t>
      </w:r>
      <w:r>
        <w:rPr>
          <w:w w:val="100"/>
          <w:sz w:val="21"/>
        </w:rPr>
        <w:t>grown</w:t>
      </w:r>
      <w:r>
        <w:rPr>
          <w:sz w:val="21"/>
        </w:rPr>
        <w:t> </w:t>
      </w:r>
      <w:r>
        <w:rPr>
          <w:w w:val="100"/>
          <w:sz w:val="21"/>
        </w:rPr>
        <w:t>87</w:t>
      </w:r>
      <w:r>
        <w:rPr>
          <w:sz w:val="21"/>
        </w:rPr>
        <w:t> </w:t>
      </w:r>
      <w:r>
        <w:rPr>
          <w:w w:val="100"/>
          <w:sz w:val="21"/>
        </w:rPr>
        <w:t>years</w:t>
      </w:r>
      <w:r>
        <w:rPr>
          <w:sz w:val="21"/>
        </w:rPr>
        <w:t> </w:t>
      </w:r>
      <w:r>
        <w:rPr>
          <w:w w:val="100"/>
          <w:sz w:val="21"/>
        </w:rPr>
        <w:t>old</w:t>
      </w:r>
      <w:r>
        <w:rPr>
          <w:sz w:val="21"/>
        </w:rPr>
        <w:t> </w:t>
      </w:r>
      <w:r>
        <w:rPr>
          <w:w w:val="100"/>
          <w:sz w:val="21"/>
        </w:rPr>
        <w:t>and</w:t>
      </w:r>
      <w:r>
        <w:rPr>
          <w:sz w:val="21"/>
        </w:rPr>
        <w:t> </w:t>
      </w:r>
      <w:r>
        <w:rPr>
          <w:w w:val="100"/>
          <w:sz w:val="21"/>
        </w:rPr>
        <w:t>my</w:t>
      </w:r>
      <w:r>
        <w:rPr>
          <w:sz w:val="21"/>
        </w:rPr>
        <w:t> </w:t>
      </w:r>
      <w:r>
        <w:rPr>
          <w:w w:val="100"/>
          <w:sz w:val="21"/>
        </w:rPr>
        <w:t>discretion</w:t>
      </w:r>
      <w:r>
        <w:rPr>
          <w:sz w:val="21"/>
        </w:rPr>
        <w:t> </w:t>
      </w:r>
      <w:r>
        <w:rPr>
          <w:w w:val="100"/>
          <w:sz w:val="21"/>
        </w:rPr>
        <w:t>does</w:t>
      </w:r>
      <w:r>
        <w:rPr>
          <w:sz w:val="21"/>
        </w:rPr>
        <w:t> </w:t>
      </w:r>
      <w:r>
        <w:rPr>
          <w:w w:val="100"/>
          <w:sz w:val="21"/>
        </w:rPr>
        <w:t>not</w:t>
      </w:r>
      <w:r>
        <w:rPr>
          <w:sz w:val="21"/>
        </w:rPr>
        <w:t> </w:t>
      </w:r>
      <w:r>
        <w:rPr>
          <w:w w:val="100"/>
          <w:sz w:val="21"/>
        </w:rPr>
        <w:t>work </w:t>
      </w:r>
      <w:r>
        <w:rPr>
          <w:sz w:val="21"/>
        </w:rPr>
        <w:t>in a proper manner. For this reason, I fail to remember which particular thing I stated at a particular time. Of the aforesaid statements, the above mentioned statement given by me today is correct; I have wrongly given the statement dated 30.09.2003.‖</w:t>
      </w:r>
    </w:p>
    <w:p>
      <w:pPr>
        <w:pStyle w:val="BodyText"/>
        <w:spacing w:before="1"/>
      </w:pPr>
    </w:p>
    <w:p>
      <w:pPr>
        <w:pStyle w:val="BodyText"/>
        <w:spacing w:line="480" w:lineRule="auto" w:before="1"/>
        <w:ind w:left="500" w:right="434"/>
        <w:jc w:val="both"/>
      </w:pPr>
      <w:r>
        <w:rPr/>
        <w:t>The witness deposed that he had no knowledge of who had installed the idols in the three domed disputed structure but claimed to have been seeing them ever since he was visiting it. While on the one hand, the witness admitted to the weakness of his memory, he purported to depose to what had taken place in 1930, 73 years earlier when he visited the disputed structure for darshan. According to him, his father had stated that the pillars contained images of Lord Hanuman.</w:t>
      </w:r>
    </w:p>
    <w:p>
      <w:pPr>
        <w:pStyle w:val="BodyText"/>
        <w:rPr>
          <w:sz w:val="28"/>
        </w:rPr>
      </w:pPr>
    </w:p>
    <w:p>
      <w:pPr>
        <w:pStyle w:val="ListParagraph"/>
        <w:numPr>
          <w:ilvl w:val="0"/>
          <w:numId w:val="3"/>
        </w:numPr>
        <w:tabs>
          <w:tab w:pos="1221" w:val="left" w:leader="none"/>
        </w:tabs>
        <w:spacing w:line="480" w:lineRule="auto" w:before="250" w:after="0"/>
        <w:ind w:left="500" w:right="437" w:firstLine="0"/>
        <w:jc w:val="both"/>
        <w:rPr>
          <w:sz w:val="25"/>
        </w:rPr>
      </w:pPr>
      <w:r>
        <w:rPr>
          <w:b/>
          <w:sz w:val="25"/>
        </w:rPr>
        <w:t>Satya Narain Tripathi (DW 3/3): </w:t>
      </w:r>
      <w:r>
        <w:rPr>
          <w:sz w:val="25"/>
        </w:rPr>
        <w:t>The Examination-in-Chief of the witness was on 30 October 2003 when he was 72 years old. The witness stated that he had first visited the Ram Janmabhumi temple in 1941 when he was ten years old and had been continuously visiting since then. The witness stated that no namaz was offered at the disputed site nor had any Muslims offered prayer. Though,</w:t>
      </w:r>
      <w:r>
        <w:rPr>
          <w:spacing w:val="66"/>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witness stated that he has been continuously visiting the disputed structure, when asked about the physical features, he stated that he never saw any part of the disputed structure with much attention.</w:t>
      </w:r>
    </w:p>
    <w:p>
      <w:pPr>
        <w:pStyle w:val="BodyText"/>
        <w:spacing w:before="10"/>
        <w:rPr>
          <w:sz w:val="24"/>
        </w:rPr>
      </w:pPr>
    </w:p>
    <w:p>
      <w:pPr>
        <w:pStyle w:val="BodyText"/>
        <w:spacing w:line="480" w:lineRule="auto"/>
        <w:ind w:left="500" w:right="434"/>
        <w:jc w:val="both"/>
      </w:pPr>
      <w:r>
        <w:rPr/>
        <w:t>The witness expressed ignorance about whether certain individuals had entered the mosque and placed idols on the night of 23 December 1949. The High Court has noted that most of the statements of this witness are on assumption and hearsay. While on the one hand, he referred to the idols which were placed on the </w:t>
      </w:r>
      <w:r>
        <w:rPr>
          <w:i/>
        </w:rPr>
        <w:t>sinhasan </w:t>
      </w:r>
      <w:r>
        <w:rPr/>
        <w:t>in the disputed structure which remained there from 1941-1992, he later retracted the statement when shown the photographs and stated that it </w:t>
      </w:r>
      <w:r>
        <w:rPr>
          <w:spacing w:val="3"/>
        </w:rPr>
        <w:t>was </w:t>
      </w:r>
      <w:r>
        <w:rPr/>
        <w:t>not clear to him when he used to visit and in what manner the idols were</w:t>
      </w:r>
      <w:r>
        <w:rPr>
          <w:spacing w:val="-21"/>
        </w:rPr>
        <w:t> </w:t>
      </w:r>
      <w:r>
        <w:rPr/>
        <w:t>kept.</w:t>
      </w:r>
    </w:p>
    <w:p>
      <w:pPr>
        <w:pStyle w:val="BodyText"/>
        <w:spacing w:before="10"/>
        <w:rPr>
          <w:sz w:val="24"/>
        </w:rPr>
      </w:pPr>
    </w:p>
    <w:p>
      <w:pPr>
        <w:pStyle w:val="ListParagraph"/>
        <w:numPr>
          <w:ilvl w:val="0"/>
          <w:numId w:val="3"/>
        </w:numPr>
        <w:tabs>
          <w:tab w:pos="1221" w:val="left" w:leader="none"/>
        </w:tabs>
        <w:spacing w:line="480" w:lineRule="auto" w:before="0" w:after="0"/>
        <w:ind w:left="500" w:right="437" w:firstLine="0"/>
        <w:jc w:val="both"/>
        <w:rPr>
          <w:sz w:val="25"/>
        </w:rPr>
      </w:pPr>
      <w:r>
        <w:rPr>
          <w:b/>
          <w:sz w:val="25"/>
        </w:rPr>
        <w:t>Mahant Shiv Saran Das (DW 3/4): </w:t>
      </w:r>
      <w:r>
        <w:rPr>
          <w:sz w:val="25"/>
        </w:rPr>
        <w:t>The witness was examined on 14 November 2003. He was 83 years old. He stated that he had been going for darshan to Shri Ram Janmabhumi since 1933 and had darshan of Lord Ram inside the sanctum sanctorum until attachment in</w:t>
      </w:r>
      <w:r>
        <w:rPr>
          <w:spacing w:val="-5"/>
          <w:sz w:val="25"/>
        </w:rPr>
        <w:t> </w:t>
      </w:r>
      <w:r>
        <w:rPr>
          <w:sz w:val="25"/>
        </w:rPr>
        <w:t>1949.</w:t>
      </w:r>
    </w:p>
    <w:p>
      <w:pPr>
        <w:pStyle w:val="BodyText"/>
        <w:spacing w:before="3"/>
      </w:pPr>
    </w:p>
    <w:p>
      <w:pPr>
        <w:pStyle w:val="BodyText"/>
        <w:spacing w:line="480" w:lineRule="auto"/>
        <w:ind w:left="500" w:right="442"/>
        <w:jc w:val="both"/>
      </w:pPr>
      <w:r>
        <w:rPr/>
        <w:t>Dr Dhavan, learned Senior Counsel appearing for the Sunni Central Waqf Board, has emphasized the following aspects of the testimony of this witness:</w:t>
      </w:r>
    </w:p>
    <w:p>
      <w:pPr>
        <w:pStyle w:val="ListParagraph"/>
        <w:numPr>
          <w:ilvl w:val="0"/>
          <w:numId w:val="95"/>
        </w:numPr>
        <w:tabs>
          <w:tab w:pos="1221" w:val="left" w:leader="none"/>
        </w:tabs>
        <w:spacing w:line="480" w:lineRule="auto" w:before="0" w:after="0"/>
        <w:ind w:left="1220" w:right="440" w:hanging="720"/>
        <w:jc w:val="both"/>
        <w:rPr>
          <w:sz w:val="25"/>
        </w:rPr>
      </w:pPr>
      <w:r>
        <w:rPr>
          <w:sz w:val="25"/>
        </w:rPr>
        <w:t>The witness submitted that he had read his affidavit of evidence only cursorily and had not read it</w:t>
      </w:r>
      <w:r>
        <w:rPr>
          <w:spacing w:val="-7"/>
          <w:sz w:val="25"/>
        </w:rPr>
        <w:t> </w:t>
      </w:r>
      <w:r>
        <w:rPr>
          <w:sz w:val="25"/>
        </w:rPr>
        <w:t>completely;</w:t>
      </w:r>
    </w:p>
    <w:p>
      <w:pPr>
        <w:pStyle w:val="ListParagraph"/>
        <w:numPr>
          <w:ilvl w:val="0"/>
          <w:numId w:val="95"/>
        </w:numPr>
        <w:tabs>
          <w:tab w:pos="1221" w:val="left" w:leader="none"/>
        </w:tabs>
        <w:spacing w:line="480" w:lineRule="auto" w:before="0" w:after="0"/>
        <w:ind w:left="1220" w:right="436" w:hanging="720"/>
        <w:jc w:val="both"/>
        <w:rPr>
          <w:sz w:val="25"/>
        </w:rPr>
      </w:pPr>
      <w:r>
        <w:rPr>
          <w:sz w:val="25"/>
        </w:rPr>
        <w:t>Though the witness stated that when he visited the disputed site in 1936, there were no walls or iron-bars, it is relevant to note that grill-brick wall was placed in 1856-57 to separate the inner and the outer courtyards;</w:t>
      </w:r>
      <w:r>
        <w:rPr>
          <w:spacing w:val="-16"/>
          <w:sz w:val="25"/>
        </w:rPr>
        <w:t> </w:t>
      </w:r>
      <w:r>
        <w:rPr>
          <w:sz w:val="25"/>
        </w:rPr>
        <w:t>and</w:t>
      </w:r>
    </w:p>
    <w:p>
      <w:pPr>
        <w:pStyle w:val="ListParagraph"/>
        <w:numPr>
          <w:ilvl w:val="0"/>
          <w:numId w:val="95"/>
        </w:numPr>
        <w:tabs>
          <w:tab w:pos="1221" w:val="left" w:leader="none"/>
        </w:tabs>
        <w:spacing w:line="482" w:lineRule="auto" w:before="1" w:after="0"/>
        <w:ind w:left="1220" w:right="441" w:hanging="720"/>
        <w:jc w:val="both"/>
        <w:rPr>
          <w:sz w:val="25"/>
        </w:rPr>
      </w:pPr>
      <w:r>
        <w:rPr>
          <w:sz w:val="25"/>
        </w:rPr>
        <w:t>Though, in the course of his Examination-in-Chief, the witness stated that he</w:t>
      </w:r>
      <w:r>
        <w:rPr>
          <w:spacing w:val="12"/>
          <w:sz w:val="25"/>
        </w:rPr>
        <w:t> </w:t>
      </w:r>
      <w:r>
        <w:rPr>
          <w:sz w:val="25"/>
        </w:rPr>
        <w:t>had</w:t>
      </w:r>
      <w:r>
        <w:rPr>
          <w:spacing w:val="13"/>
          <w:sz w:val="25"/>
        </w:rPr>
        <w:t> </w:t>
      </w:r>
      <w:r>
        <w:rPr>
          <w:sz w:val="25"/>
        </w:rPr>
        <w:t>taken</w:t>
      </w:r>
      <w:r>
        <w:rPr>
          <w:spacing w:val="13"/>
          <w:sz w:val="25"/>
        </w:rPr>
        <w:t> </w:t>
      </w:r>
      <w:r>
        <w:rPr>
          <w:sz w:val="25"/>
        </w:rPr>
        <w:t>darshan</w:t>
      </w:r>
      <w:r>
        <w:rPr>
          <w:spacing w:val="13"/>
          <w:sz w:val="25"/>
        </w:rPr>
        <w:t> </w:t>
      </w:r>
      <w:r>
        <w:rPr>
          <w:sz w:val="25"/>
        </w:rPr>
        <w:t>of</w:t>
      </w:r>
      <w:r>
        <w:rPr>
          <w:spacing w:val="12"/>
          <w:sz w:val="25"/>
        </w:rPr>
        <w:t> </w:t>
      </w:r>
      <w:r>
        <w:rPr>
          <w:sz w:val="25"/>
        </w:rPr>
        <w:t>the</w:t>
      </w:r>
      <w:r>
        <w:rPr>
          <w:spacing w:val="14"/>
          <w:sz w:val="25"/>
        </w:rPr>
        <w:t> </w:t>
      </w:r>
      <w:r>
        <w:rPr>
          <w:sz w:val="25"/>
        </w:rPr>
        <w:t>inner</w:t>
      </w:r>
      <w:r>
        <w:rPr>
          <w:spacing w:val="14"/>
          <w:sz w:val="25"/>
        </w:rPr>
        <w:t> </w:t>
      </w:r>
      <w:r>
        <w:rPr>
          <w:sz w:val="25"/>
        </w:rPr>
        <w:t>sanctum</w:t>
      </w:r>
      <w:r>
        <w:rPr>
          <w:spacing w:val="14"/>
          <w:sz w:val="25"/>
        </w:rPr>
        <w:t> </w:t>
      </w:r>
      <w:r>
        <w:rPr>
          <w:sz w:val="25"/>
        </w:rPr>
        <w:t>sanctorum</w:t>
      </w:r>
      <w:r>
        <w:rPr>
          <w:spacing w:val="13"/>
          <w:sz w:val="25"/>
        </w:rPr>
        <w:t> </w:t>
      </w:r>
      <w:r>
        <w:rPr>
          <w:sz w:val="25"/>
        </w:rPr>
        <w:t>until</w:t>
      </w:r>
      <w:r>
        <w:rPr>
          <w:spacing w:val="13"/>
          <w:sz w:val="25"/>
        </w:rPr>
        <w:t> </w:t>
      </w:r>
      <w:r>
        <w:rPr>
          <w:sz w:val="25"/>
        </w:rPr>
        <w:t>its</w:t>
      </w:r>
      <w:r>
        <w:rPr>
          <w:spacing w:val="13"/>
          <w:sz w:val="25"/>
        </w:rPr>
        <w:t> </w:t>
      </w:r>
      <w:r>
        <w:rPr>
          <w:sz w:val="25"/>
        </w:rPr>
        <w:t>attachment</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1220" w:right="441"/>
        <w:jc w:val="both"/>
      </w:pPr>
      <w:r>
        <w:rPr/>
        <w:t>in 1949, during his cross-examination he stated that he had not visited the disputed building before 1986. On the above basis, it is urged that as a matter of fact, the witness has not visited the disputed site at the material time.</w:t>
      </w:r>
    </w:p>
    <w:p>
      <w:pPr>
        <w:pStyle w:val="BodyText"/>
        <w:spacing w:before="11"/>
        <w:rPr>
          <w:sz w:val="24"/>
        </w:rPr>
      </w:pPr>
    </w:p>
    <w:p>
      <w:pPr>
        <w:pStyle w:val="BodyText"/>
        <w:ind w:left="500"/>
        <w:jc w:val="both"/>
      </w:pPr>
      <w:r>
        <w:rPr/>
        <w:t>On his residence in Ayodhya, the witness stated:</w:t>
      </w:r>
    </w:p>
    <w:p>
      <w:pPr>
        <w:pStyle w:val="BodyText"/>
      </w:pPr>
    </w:p>
    <w:p>
      <w:pPr>
        <w:spacing w:line="276" w:lineRule="auto" w:before="0"/>
        <w:ind w:left="1940" w:right="2263" w:firstLine="0"/>
        <w:jc w:val="both"/>
        <w:rPr>
          <w:sz w:val="21"/>
        </w:rPr>
      </w:pPr>
      <w:r>
        <w:rPr>
          <w:spacing w:val="-1"/>
          <w:w w:val="33"/>
          <w:sz w:val="21"/>
        </w:rPr>
        <w:t>―</w:t>
      </w:r>
      <w:r>
        <w:rPr>
          <w:w w:val="100"/>
          <w:sz w:val="21"/>
        </w:rPr>
        <w:t>I</w:t>
      </w:r>
      <w:r>
        <w:rPr>
          <w:spacing w:val="-2"/>
          <w:sz w:val="21"/>
        </w:rPr>
        <w:t> </w:t>
      </w:r>
      <w:r>
        <w:rPr>
          <w:spacing w:val="-1"/>
          <w:w w:val="100"/>
          <w:sz w:val="21"/>
        </w:rPr>
        <w:t>d</w:t>
      </w:r>
      <w:r>
        <w:rPr>
          <w:spacing w:val="1"/>
          <w:w w:val="100"/>
          <w:sz w:val="21"/>
        </w:rPr>
        <w:t>i</w:t>
      </w:r>
      <w:r>
        <w:rPr>
          <w:w w:val="100"/>
          <w:sz w:val="21"/>
        </w:rPr>
        <w:t>d</w:t>
      </w:r>
      <w:r>
        <w:rPr>
          <w:spacing w:val="-1"/>
          <w:sz w:val="21"/>
        </w:rPr>
        <w:t> </w:t>
      </w:r>
      <w:r>
        <w:rPr>
          <w:spacing w:val="-1"/>
          <w:w w:val="100"/>
          <w:sz w:val="21"/>
        </w:rPr>
        <w:t>no</w:t>
      </w:r>
      <w:r>
        <w:rPr>
          <w:w w:val="100"/>
          <w:sz w:val="21"/>
        </w:rPr>
        <w:t>t</w:t>
      </w:r>
      <w:r>
        <w:rPr>
          <w:spacing w:val="-2"/>
          <w:sz w:val="21"/>
        </w:rPr>
        <w:t> </w:t>
      </w:r>
      <w:r>
        <w:rPr>
          <w:spacing w:val="-1"/>
          <w:w w:val="100"/>
          <w:sz w:val="21"/>
        </w:rPr>
        <w:t>r</w:t>
      </w:r>
      <w:r>
        <w:rPr>
          <w:w w:val="100"/>
          <w:sz w:val="21"/>
        </w:rPr>
        <w:t>es</w:t>
      </w:r>
      <w:r>
        <w:rPr>
          <w:spacing w:val="1"/>
          <w:w w:val="100"/>
          <w:sz w:val="21"/>
        </w:rPr>
        <w:t>i</w:t>
      </w:r>
      <w:r>
        <w:rPr>
          <w:w w:val="100"/>
          <w:sz w:val="21"/>
        </w:rPr>
        <w:t>de</w:t>
      </w:r>
      <w:r>
        <w:rPr>
          <w:spacing w:val="-1"/>
          <w:sz w:val="21"/>
        </w:rPr>
        <w:t> </w:t>
      </w:r>
      <w:r>
        <w:rPr>
          <w:w w:val="100"/>
          <w:sz w:val="21"/>
        </w:rPr>
        <w:t>at</w:t>
      </w:r>
      <w:r>
        <w:rPr>
          <w:spacing w:val="-2"/>
          <w:sz w:val="21"/>
        </w:rPr>
        <w:t> </w:t>
      </w:r>
      <w:r>
        <w:rPr>
          <w:w w:val="100"/>
          <w:sz w:val="21"/>
        </w:rPr>
        <w:t>A</w:t>
      </w:r>
      <w:r>
        <w:rPr>
          <w:spacing w:val="-3"/>
          <w:w w:val="100"/>
          <w:sz w:val="21"/>
        </w:rPr>
        <w:t>y</w:t>
      </w:r>
      <w:r>
        <w:rPr>
          <w:w w:val="100"/>
          <w:sz w:val="21"/>
        </w:rPr>
        <w:t>odh</w:t>
      </w:r>
      <w:r>
        <w:rPr>
          <w:spacing w:val="-5"/>
          <w:w w:val="100"/>
          <w:sz w:val="21"/>
        </w:rPr>
        <w:t>y</w:t>
      </w:r>
      <w:r>
        <w:rPr>
          <w:w w:val="100"/>
          <w:sz w:val="21"/>
        </w:rPr>
        <w:t>a</w:t>
      </w:r>
      <w:r>
        <w:rPr>
          <w:spacing w:val="-1"/>
          <w:sz w:val="21"/>
        </w:rPr>
        <w:t> </w:t>
      </w:r>
      <w:r>
        <w:rPr>
          <w:spacing w:val="1"/>
          <w:w w:val="100"/>
          <w:sz w:val="21"/>
        </w:rPr>
        <w:t>f</w:t>
      </w:r>
      <w:r>
        <w:rPr>
          <w:spacing w:val="-1"/>
          <w:w w:val="100"/>
          <w:sz w:val="21"/>
        </w:rPr>
        <w:t>r</w:t>
      </w:r>
      <w:r>
        <w:rPr>
          <w:spacing w:val="-3"/>
          <w:w w:val="100"/>
          <w:sz w:val="21"/>
        </w:rPr>
        <w:t>o</w:t>
      </w:r>
      <w:r>
        <w:rPr>
          <w:w w:val="100"/>
          <w:sz w:val="21"/>
        </w:rPr>
        <w:t>m</w:t>
      </w:r>
      <w:r>
        <w:rPr>
          <w:sz w:val="21"/>
        </w:rPr>
        <w:t> </w:t>
      </w:r>
      <w:r>
        <w:rPr>
          <w:w w:val="100"/>
          <w:sz w:val="21"/>
        </w:rPr>
        <w:t>19</w:t>
      </w:r>
      <w:r>
        <w:rPr>
          <w:spacing w:val="-2"/>
          <w:w w:val="100"/>
          <w:sz w:val="21"/>
        </w:rPr>
        <w:t>3</w:t>
      </w:r>
      <w:r>
        <w:rPr>
          <w:w w:val="100"/>
          <w:sz w:val="21"/>
        </w:rPr>
        <w:t>8</w:t>
      </w:r>
      <w:r>
        <w:rPr>
          <w:spacing w:val="-1"/>
          <w:sz w:val="21"/>
        </w:rPr>
        <w:t> </w:t>
      </w:r>
      <w:r>
        <w:rPr>
          <w:spacing w:val="-2"/>
          <w:w w:val="100"/>
          <w:sz w:val="21"/>
        </w:rPr>
        <w:t>t</w:t>
      </w:r>
      <w:r>
        <w:rPr>
          <w:w w:val="100"/>
          <w:sz w:val="21"/>
        </w:rPr>
        <w:t>o</w:t>
      </w:r>
      <w:r>
        <w:rPr>
          <w:spacing w:val="-1"/>
          <w:sz w:val="21"/>
        </w:rPr>
        <w:t> </w:t>
      </w:r>
      <w:r>
        <w:rPr>
          <w:w w:val="100"/>
          <w:sz w:val="21"/>
        </w:rPr>
        <w:t>1950</w:t>
      </w:r>
      <w:r>
        <w:rPr>
          <w:spacing w:val="-1"/>
          <w:sz w:val="21"/>
        </w:rPr>
        <w:t> </w:t>
      </w:r>
      <w:r>
        <w:rPr>
          <w:w w:val="100"/>
          <w:sz w:val="21"/>
        </w:rPr>
        <w:t>but</w:t>
      </w:r>
      <w:r>
        <w:rPr>
          <w:spacing w:val="-2"/>
          <w:sz w:val="21"/>
        </w:rPr>
        <w:t> </w:t>
      </w:r>
      <w:r>
        <w:rPr>
          <w:spacing w:val="-2"/>
          <w:w w:val="100"/>
          <w:sz w:val="21"/>
        </w:rPr>
        <w:t>w</w:t>
      </w:r>
      <w:r>
        <w:rPr>
          <w:w w:val="100"/>
          <w:sz w:val="21"/>
        </w:rPr>
        <w:t>hene</w:t>
      </w:r>
      <w:r>
        <w:rPr>
          <w:spacing w:val="-3"/>
          <w:w w:val="100"/>
          <w:sz w:val="21"/>
        </w:rPr>
        <w:t>v</w:t>
      </w:r>
      <w:r>
        <w:rPr>
          <w:w w:val="100"/>
          <w:sz w:val="21"/>
        </w:rPr>
        <w:t>er</w:t>
      </w:r>
      <w:r>
        <w:rPr>
          <w:spacing w:val="-2"/>
          <w:sz w:val="21"/>
        </w:rPr>
        <w:t> </w:t>
      </w:r>
      <w:r>
        <w:rPr>
          <w:w w:val="100"/>
          <w:sz w:val="21"/>
        </w:rPr>
        <w:t>I </w:t>
      </w:r>
      <w:r>
        <w:rPr>
          <w:sz w:val="21"/>
        </w:rPr>
        <w:t>came to Ayodhya I did not go towards the disputed site and if I at all went there I returned from outside after saluting the place with folded</w:t>
      </w:r>
      <w:r>
        <w:rPr>
          <w:spacing w:val="-5"/>
          <w:sz w:val="21"/>
        </w:rPr>
        <w:t> </w:t>
      </w:r>
      <w:r>
        <w:rPr>
          <w:sz w:val="21"/>
        </w:rPr>
        <w:t>hands.‖</w:t>
      </w:r>
    </w:p>
    <w:p>
      <w:pPr>
        <w:pStyle w:val="BodyText"/>
        <w:spacing w:before="2"/>
        <w:rPr>
          <w:sz w:val="24"/>
        </w:rPr>
      </w:pPr>
    </w:p>
    <w:p>
      <w:pPr>
        <w:pStyle w:val="BodyText"/>
        <w:spacing w:line="480" w:lineRule="auto"/>
        <w:ind w:left="500" w:right="437"/>
        <w:jc w:val="both"/>
      </w:pPr>
      <w:r>
        <w:rPr/>
        <w:t>The witness stated that he was a priest at the disputed structure which he must have visited several hundred times. However, he did not remember the year in which he was a priest. During the course of his cross-examination, the witness </w:t>
      </w:r>
      <w:r>
        <w:rPr>
          <w:w w:val="99"/>
        </w:rPr>
        <w:t>stated</w:t>
      </w:r>
      <w:r>
        <w:rPr/>
        <w:t> </w:t>
      </w:r>
      <w:r>
        <w:rPr>
          <w:w w:val="99"/>
        </w:rPr>
        <w:t>that</w:t>
      </w:r>
      <w:r>
        <w:rPr/>
        <w:t> </w:t>
      </w:r>
      <w:r>
        <w:rPr>
          <w:w w:val="99"/>
        </w:rPr>
        <w:t>he</w:t>
      </w:r>
      <w:r>
        <w:rPr/>
        <w:t> </w:t>
      </w:r>
      <w:r>
        <w:rPr>
          <w:w w:val="99"/>
        </w:rPr>
        <w:t>was</w:t>
      </w:r>
      <w:r>
        <w:rPr/>
        <w:t> </w:t>
      </w:r>
      <w:r>
        <w:rPr>
          <w:w w:val="99"/>
        </w:rPr>
        <w:t>a</w:t>
      </w:r>
      <w:r>
        <w:rPr/>
        <w:t> </w:t>
      </w:r>
      <w:r>
        <w:rPr>
          <w:w w:val="99"/>
        </w:rPr>
        <w:t>priest</w:t>
      </w:r>
      <w:r>
        <w:rPr/>
        <w:t> </w:t>
      </w:r>
      <w:r>
        <w:rPr>
          <w:w w:val="99"/>
        </w:rPr>
        <w:t>at</w:t>
      </w:r>
      <w:r>
        <w:rPr/>
        <w:t> </w:t>
      </w:r>
      <w:r>
        <w:rPr>
          <w:w w:val="99"/>
        </w:rPr>
        <w:t>the</w:t>
      </w:r>
      <w:r>
        <w:rPr/>
        <w:t> </w:t>
      </w:r>
      <w:r>
        <w:rPr>
          <w:w w:val="99"/>
        </w:rPr>
        <w:t>three</w:t>
      </w:r>
      <w:r>
        <w:rPr/>
        <w:t> </w:t>
      </w:r>
      <w:r>
        <w:rPr>
          <w:w w:val="99"/>
        </w:rPr>
        <w:t>domed</w:t>
      </w:r>
      <w:r>
        <w:rPr/>
        <w:t> </w:t>
      </w:r>
      <w:r>
        <w:rPr>
          <w:w w:val="99"/>
        </w:rPr>
        <w:t>structure</w:t>
      </w:r>
      <w:r>
        <w:rPr/>
        <w:t> </w:t>
      </w:r>
      <w:r>
        <w:rPr>
          <w:w w:val="99"/>
        </w:rPr>
        <w:t>for</w:t>
      </w:r>
      <w:r>
        <w:rPr/>
        <w:t> </w:t>
      </w:r>
      <w:r>
        <w:rPr>
          <w:w w:val="33"/>
        </w:rPr>
        <w:t>―</w:t>
      </w:r>
      <w:r>
        <w:rPr>
          <w:w w:val="99"/>
        </w:rPr>
        <w:t>2-4</w:t>
      </w:r>
      <w:r>
        <w:rPr/>
        <w:t> </w:t>
      </w:r>
      <w:r>
        <w:rPr>
          <w:w w:val="99"/>
        </w:rPr>
        <w:t>year</w:t>
      </w:r>
      <w:r>
        <w:rPr>
          <w:w w:val="91"/>
        </w:rPr>
        <w:t>s‖</w:t>
      </w:r>
      <w:r>
        <w:rPr/>
        <w:t> </w:t>
      </w:r>
      <w:r>
        <w:rPr>
          <w:w w:val="99"/>
        </w:rPr>
        <w:t>bu</w:t>
      </w:r>
      <w:r>
        <w:rPr>
          <w:w w:val="99"/>
        </w:rPr>
        <w:t>t</w:t>
      </w:r>
      <w:r>
        <w:rPr/>
        <w:t> </w:t>
      </w:r>
      <w:r>
        <w:rPr>
          <w:w w:val="99"/>
        </w:rPr>
        <w:t>late</w:t>
      </w:r>
      <w:r>
        <w:rPr>
          <w:w w:val="99"/>
        </w:rPr>
        <w:t>r </w:t>
      </w:r>
      <w:r>
        <w:rPr/>
        <w:t>admitted that his statement was wrong:</w:t>
      </w:r>
    </w:p>
    <w:p>
      <w:pPr>
        <w:spacing w:line="276" w:lineRule="auto" w:before="0"/>
        <w:ind w:left="1940" w:right="2260" w:firstLine="0"/>
        <w:jc w:val="both"/>
        <w:rPr>
          <w:sz w:val="21"/>
        </w:rPr>
      </w:pPr>
      <w:r>
        <w:rPr>
          <w:w w:val="33"/>
          <w:sz w:val="21"/>
        </w:rPr>
        <w:t>―</w:t>
      </w:r>
      <w:r>
        <w:rPr>
          <w:b/>
          <w:w w:val="100"/>
          <w:sz w:val="21"/>
        </w:rPr>
        <w:t>Q</w:t>
      </w:r>
      <w:r>
        <w:rPr>
          <w:b/>
          <w:w w:val="100"/>
          <w:sz w:val="21"/>
        </w:rPr>
        <w:t>uesti</w:t>
      </w:r>
      <w:r>
        <w:rPr>
          <w:b/>
          <w:w w:val="100"/>
          <w:sz w:val="21"/>
        </w:rPr>
        <w:t>on</w:t>
      </w:r>
      <w:r>
        <w:rPr>
          <w:w w:val="100"/>
          <w:sz w:val="21"/>
        </w:rPr>
        <w:t>:</w:t>
      </w:r>
      <w:r>
        <w:rPr>
          <w:sz w:val="21"/>
        </w:rPr>
        <w:t> </w:t>
      </w:r>
      <w:r>
        <w:rPr>
          <w:w w:val="100"/>
          <w:sz w:val="21"/>
        </w:rPr>
        <w:t>As</w:t>
      </w:r>
      <w:r>
        <w:rPr>
          <w:sz w:val="21"/>
        </w:rPr>
        <w:t> </w:t>
      </w:r>
      <w:r>
        <w:rPr>
          <w:w w:val="100"/>
          <w:sz w:val="21"/>
        </w:rPr>
        <w:t>per</w:t>
      </w:r>
      <w:r>
        <w:rPr>
          <w:sz w:val="21"/>
        </w:rPr>
        <w:t> </w:t>
      </w:r>
      <w:r>
        <w:rPr>
          <w:w w:val="100"/>
          <w:sz w:val="21"/>
        </w:rPr>
        <w:t>t</w:t>
      </w:r>
      <w:r>
        <w:rPr>
          <w:w w:val="100"/>
          <w:sz w:val="21"/>
        </w:rPr>
        <w:t>he</w:t>
      </w:r>
      <w:r>
        <w:rPr>
          <w:sz w:val="21"/>
        </w:rPr>
        <w:t> </w:t>
      </w:r>
      <w:r>
        <w:rPr>
          <w:w w:val="100"/>
          <w:sz w:val="21"/>
        </w:rPr>
        <w:t>a</w:t>
      </w:r>
      <w:r>
        <w:rPr>
          <w:w w:val="100"/>
          <w:sz w:val="21"/>
        </w:rPr>
        <w:t>f</w:t>
      </w:r>
      <w:r>
        <w:rPr>
          <w:w w:val="100"/>
          <w:sz w:val="21"/>
        </w:rPr>
        <w:t>oresa</w:t>
      </w:r>
      <w:r>
        <w:rPr>
          <w:w w:val="100"/>
          <w:sz w:val="21"/>
        </w:rPr>
        <w:t>i</w:t>
      </w:r>
      <w:r>
        <w:rPr>
          <w:w w:val="100"/>
          <w:sz w:val="21"/>
        </w:rPr>
        <w:t>d</w:t>
      </w:r>
      <w:r>
        <w:rPr>
          <w:sz w:val="21"/>
        </w:rPr>
        <w:t> </w:t>
      </w:r>
      <w:r>
        <w:rPr>
          <w:w w:val="100"/>
          <w:sz w:val="21"/>
        </w:rPr>
        <w:t>st</w:t>
      </w:r>
      <w:r>
        <w:rPr>
          <w:w w:val="100"/>
          <w:sz w:val="21"/>
        </w:rPr>
        <w:t>at</w:t>
      </w:r>
      <w:r>
        <w:rPr>
          <w:w w:val="100"/>
          <w:sz w:val="21"/>
        </w:rPr>
        <w:t>e</w:t>
      </w:r>
      <w:r>
        <w:rPr>
          <w:w w:val="100"/>
          <w:sz w:val="21"/>
        </w:rPr>
        <w:t>ment</w:t>
      </w:r>
      <w:r>
        <w:rPr>
          <w:sz w:val="21"/>
        </w:rPr>
        <w:t> </w:t>
      </w:r>
      <w:r>
        <w:rPr>
          <w:w w:val="100"/>
          <w:sz w:val="21"/>
        </w:rPr>
        <w:t>of</w:t>
      </w:r>
      <w:r>
        <w:rPr>
          <w:sz w:val="21"/>
        </w:rPr>
        <w:t> </w:t>
      </w:r>
      <w:r>
        <w:rPr>
          <w:w w:val="100"/>
          <w:sz w:val="21"/>
        </w:rPr>
        <w:t>y</w:t>
      </w:r>
      <w:r>
        <w:rPr>
          <w:w w:val="100"/>
          <w:sz w:val="21"/>
        </w:rPr>
        <w:t>our</w:t>
      </w:r>
      <w:r>
        <w:rPr>
          <w:sz w:val="21"/>
        </w:rPr>
        <w:t> </w:t>
      </w:r>
      <w:r>
        <w:rPr>
          <w:w w:val="100"/>
          <w:sz w:val="21"/>
        </w:rPr>
        <w:t>ow</w:t>
      </w:r>
      <w:r>
        <w:rPr>
          <w:w w:val="100"/>
          <w:sz w:val="21"/>
        </w:rPr>
        <w:t>n,</w:t>
      </w:r>
      <w:r>
        <w:rPr>
          <w:sz w:val="21"/>
        </w:rPr>
        <w:t> </w:t>
      </w:r>
      <w:r>
        <w:rPr>
          <w:w w:val="100"/>
          <w:sz w:val="21"/>
        </w:rPr>
        <w:t>y</w:t>
      </w:r>
      <w:r>
        <w:rPr>
          <w:w w:val="100"/>
          <w:sz w:val="21"/>
        </w:rPr>
        <w:t>ou </w:t>
      </w:r>
      <w:r>
        <w:rPr>
          <w:sz w:val="21"/>
        </w:rPr>
        <w:t>have been at Ayodhya continuously for only 5-6 months between 1931 and 1957. Is it true?</w:t>
      </w:r>
    </w:p>
    <w:p>
      <w:pPr>
        <w:spacing w:line="241" w:lineRule="exact" w:before="0"/>
        <w:ind w:left="1940" w:right="0" w:firstLine="0"/>
        <w:jc w:val="both"/>
        <w:rPr>
          <w:sz w:val="21"/>
        </w:rPr>
      </w:pPr>
      <w:r>
        <w:rPr>
          <w:b/>
          <w:sz w:val="21"/>
        </w:rPr>
        <w:t>Answer</w:t>
      </w:r>
      <w:r>
        <w:rPr>
          <w:sz w:val="21"/>
        </w:rPr>
        <w:t>: Yes, Sir. It is true.</w:t>
      </w:r>
    </w:p>
    <w:p>
      <w:pPr>
        <w:spacing w:line="276" w:lineRule="auto" w:before="37"/>
        <w:ind w:left="1940" w:right="2259" w:firstLine="0"/>
        <w:jc w:val="both"/>
        <w:rPr>
          <w:sz w:val="21"/>
        </w:rPr>
      </w:pPr>
      <w:r>
        <w:rPr>
          <w:b/>
          <w:sz w:val="21"/>
        </w:rPr>
        <w:t>Question: </w:t>
      </w:r>
      <w:r>
        <w:rPr>
          <w:sz w:val="21"/>
        </w:rPr>
        <w:t>Then I have to say that your statement dated 5th February, 2004 – mentioned on page 74 and reading as 'You served as a priest at the three domed disputed building for 2- 4 years' – goes wrong. What have you to say in this respect? </w:t>
      </w:r>
      <w:r>
        <w:rPr>
          <w:b/>
          <w:sz w:val="21"/>
        </w:rPr>
        <w:t>Answer</w:t>
      </w:r>
      <w:r>
        <w:rPr>
          <w:sz w:val="21"/>
        </w:rPr>
        <w:t>: Going through the aforesaid the witness stated – this statement of mine has gone</w:t>
      </w:r>
      <w:r>
        <w:rPr>
          <w:spacing w:val="-15"/>
          <w:sz w:val="21"/>
        </w:rPr>
        <w:t> </w:t>
      </w:r>
      <w:r>
        <w:rPr>
          <w:sz w:val="21"/>
        </w:rPr>
        <w:t>wrong.‖</w:t>
      </w:r>
    </w:p>
    <w:p>
      <w:pPr>
        <w:pStyle w:val="BodyText"/>
        <w:rPr>
          <w:sz w:val="24"/>
        </w:rPr>
      </w:pPr>
    </w:p>
    <w:p>
      <w:pPr>
        <w:pStyle w:val="BodyText"/>
        <w:spacing w:before="2"/>
        <w:rPr>
          <w:sz w:val="26"/>
        </w:rPr>
      </w:pPr>
    </w:p>
    <w:p>
      <w:pPr>
        <w:pStyle w:val="BodyText"/>
        <w:spacing w:line="480" w:lineRule="auto"/>
        <w:ind w:left="500" w:right="435"/>
        <w:jc w:val="both"/>
      </w:pPr>
      <w:r>
        <w:rPr/>
        <w:t>Later, he admitted that his statement in the Examination-in-Chief that he was going for darshan to the Ram Janmabhumi since 1933 contained a wrong reference to the year. Moreover, the witness accepted that he did not remember whether or not he had visited the disputed building before February 1986. The witness also stated that he had wrongly made a reference to his residing in Ayodhya continuously from 1930-42.</w:t>
      </w:r>
    </w:p>
    <w:p>
      <w:pPr>
        <w:spacing w:after="0" w:line="480" w:lineRule="auto"/>
        <w:jc w:val="both"/>
        <w:sectPr>
          <w:pgSz w:w="11910" w:h="16840"/>
          <w:pgMar w:header="721" w:footer="1014" w:top="1300" w:bottom="1200" w:left="940" w:right="1000"/>
        </w:sectPr>
      </w:pPr>
    </w:p>
    <w:p>
      <w:pPr>
        <w:pStyle w:val="ListParagraph"/>
        <w:numPr>
          <w:ilvl w:val="0"/>
          <w:numId w:val="3"/>
        </w:numPr>
        <w:tabs>
          <w:tab w:pos="1221" w:val="left" w:leader="none"/>
        </w:tabs>
        <w:spacing w:line="480" w:lineRule="auto" w:before="121" w:after="0"/>
        <w:ind w:left="500" w:right="435" w:firstLine="0"/>
        <w:jc w:val="both"/>
        <w:rPr>
          <w:sz w:val="25"/>
        </w:rPr>
      </w:pPr>
      <w:r>
        <w:rPr>
          <w:b/>
          <w:sz w:val="25"/>
        </w:rPr>
        <w:t>Raghunath Prasad Pandey (DW 3/5): </w:t>
      </w:r>
      <w:r>
        <w:rPr>
          <w:sz w:val="25"/>
        </w:rPr>
        <w:t>The Examination-in-Chief of the witness is dated 18 November 2003. The witness was 73 years old when he deposed. According to him, the Ram Janmabhumi temple is about 16 or 17 kilometres from his village and he has visited it since the age of</w:t>
      </w:r>
      <w:r>
        <w:rPr>
          <w:spacing w:val="-13"/>
          <w:sz w:val="25"/>
        </w:rPr>
        <w:t> </w:t>
      </w:r>
      <w:r>
        <w:rPr>
          <w:sz w:val="25"/>
        </w:rPr>
        <w:t>7.</w:t>
      </w:r>
    </w:p>
    <w:p>
      <w:pPr>
        <w:pStyle w:val="BodyText"/>
        <w:spacing w:before="2"/>
      </w:pPr>
    </w:p>
    <w:p>
      <w:pPr>
        <w:pStyle w:val="ListParagraph"/>
        <w:numPr>
          <w:ilvl w:val="0"/>
          <w:numId w:val="3"/>
        </w:numPr>
        <w:tabs>
          <w:tab w:pos="1221" w:val="left" w:leader="none"/>
        </w:tabs>
        <w:spacing w:line="480" w:lineRule="auto" w:before="0" w:after="0"/>
        <w:ind w:left="500" w:right="438" w:firstLine="0"/>
        <w:jc w:val="both"/>
        <w:rPr>
          <w:sz w:val="25"/>
        </w:rPr>
      </w:pPr>
      <w:r>
        <w:rPr>
          <w:sz w:val="25"/>
        </w:rPr>
        <w:t>The following aspects of the cross-examination have been emphasized by Dr</w:t>
      </w:r>
      <w:r>
        <w:rPr>
          <w:spacing w:val="-1"/>
          <w:sz w:val="25"/>
        </w:rPr>
        <w:t> </w:t>
      </w:r>
      <w:r>
        <w:rPr>
          <w:sz w:val="25"/>
        </w:rPr>
        <w:t>Dhavan:</w:t>
      </w:r>
    </w:p>
    <w:p>
      <w:pPr>
        <w:pStyle w:val="ListParagraph"/>
        <w:numPr>
          <w:ilvl w:val="0"/>
          <w:numId w:val="96"/>
        </w:numPr>
        <w:tabs>
          <w:tab w:pos="1221" w:val="left" w:leader="none"/>
        </w:tabs>
        <w:spacing w:line="480" w:lineRule="auto" w:before="1" w:after="0"/>
        <w:ind w:left="1220" w:right="442" w:hanging="720"/>
        <w:jc w:val="both"/>
        <w:rPr>
          <w:sz w:val="25"/>
        </w:rPr>
      </w:pPr>
      <w:r>
        <w:rPr>
          <w:sz w:val="25"/>
        </w:rPr>
        <w:t>The witness had no knowledge of whether the pictures were of the west side wall or the lower portion of the middle dome of the disputed building because he had gone for darshan and had not paid careful attention to the walls;</w:t>
      </w:r>
    </w:p>
    <w:p>
      <w:pPr>
        <w:pStyle w:val="ListParagraph"/>
        <w:numPr>
          <w:ilvl w:val="0"/>
          <w:numId w:val="96"/>
        </w:numPr>
        <w:tabs>
          <w:tab w:pos="1221" w:val="left" w:leader="none"/>
        </w:tabs>
        <w:spacing w:line="482" w:lineRule="auto" w:before="0" w:after="0"/>
        <w:ind w:left="1220" w:right="441" w:hanging="720"/>
        <w:jc w:val="both"/>
        <w:rPr>
          <w:sz w:val="25"/>
        </w:rPr>
      </w:pPr>
      <w:r>
        <w:rPr>
          <w:sz w:val="25"/>
        </w:rPr>
        <w:t>Though, he had seen the grill-brick wall, he did not remember if one had to pass through the barricades to enter the disputed structure;</w:t>
      </w:r>
      <w:r>
        <w:rPr>
          <w:spacing w:val="-11"/>
          <w:sz w:val="25"/>
        </w:rPr>
        <w:t> </w:t>
      </w:r>
      <w:r>
        <w:rPr>
          <w:sz w:val="25"/>
        </w:rPr>
        <w:t>and</w:t>
      </w:r>
    </w:p>
    <w:p>
      <w:pPr>
        <w:pStyle w:val="ListParagraph"/>
        <w:numPr>
          <w:ilvl w:val="0"/>
          <w:numId w:val="96"/>
        </w:numPr>
        <w:tabs>
          <w:tab w:pos="1221" w:val="left" w:leader="none"/>
        </w:tabs>
        <w:spacing w:line="480" w:lineRule="auto" w:before="0" w:after="0"/>
        <w:ind w:left="1220" w:right="436" w:hanging="720"/>
        <w:jc w:val="both"/>
        <w:rPr>
          <w:sz w:val="25"/>
        </w:rPr>
      </w:pPr>
      <w:r>
        <w:rPr>
          <w:sz w:val="25"/>
        </w:rPr>
        <w:t>Though the witness claimed to have visited Ayodhya with his mother from 1937-1948, and that the idols of Lord Ram Lalla were inside the building under the central dome, he subsequently contradicted himself when confronted with various</w:t>
      </w:r>
      <w:r>
        <w:rPr>
          <w:spacing w:val="-2"/>
          <w:sz w:val="25"/>
        </w:rPr>
        <w:t> </w:t>
      </w:r>
      <w:r>
        <w:rPr>
          <w:sz w:val="25"/>
        </w:rPr>
        <w:t>photographs.</w:t>
      </w:r>
    </w:p>
    <w:p>
      <w:pPr>
        <w:pStyle w:val="BodyText"/>
        <w:spacing w:before="8"/>
        <w:rPr>
          <w:sz w:val="24"/>
        </w:rPr>
      </w:pPr>
    </w:p>
    <w:p>
      <w:pPr>
        <w:pStyle w:val="BodyText"/>
        <w:spacing w:line="480" w:lineRule="auto"/>
        <w:ind w:left="500" w:right="434"/>
        <w:jc w:val="both"/>
      </w:pPr>
      <w:r>
        <w:rPr/>
        <w:t>The High Court has noted that most of his statements travelled into antiquity and were inadmissible since he had no personal knowledge of the facts. When questioned about the source of his knowledge, he stated that he had heard stories from his teachers. Initially, the witness stated that the three domed structure was constructed by Vikramaditya. He then stated that the building constructed by Vikramaditya was demolished and the disputed building was constructed.</w:t>
      </w:r>
      <w:r>
        <w:rPr>
          <w:spacing w:val="42"/>
        </w:rPr>
        <w:t> </w:t>
      </w:r>
      <w:r>
        <w:rPr/>
        <w:t>Though,</w:t>
      </w:r>
      <w:r>
        <w:rPr>
          <w:spacing w:val="41"/>
        </w:rPr>
        <w:t> </w:t>
      </w:r>
      <w:r>
        <w:rPr/>
        <w:t>he</w:t>
      </w:r>
      <w:r>
        <w:rPr>
          <w:spacing w:val="43"/>
        </w:rPr>
        <w:t> </w:t>
      </w:r>
      <w:r>
        <w:rPr/>
        <w:t>attributed</w:t>
      </w:r>
      <w:r>
        <w:rPr>
          <w:spacing w:val="43"/>
        </w:rPr>
        <w:t> </w:t>
      </w:r>
      <w:r>
        <w:rPr/>
        <w:t>this</w:t>
      </w:r>
      <w:r>
        <w:rPr>
          <w:spacing w:val="43"/>
        </w:rPr>
        <w:t> </w:t>
      </w:r>
      <w:r>
        <w:rPr/>
        <w:t>information</w:t>
      </w:r>
      <w:r>
        <w:rPr>
          <w:spacing w:val="42"/>
        </w:rPr>
        <w:t> </w:t>
      </w:r>
      <w:r>
        <w:rPr/>
        <w:t>to</w:t>
      </w:r>
      <w:r>
        <w:rPr>
          <w:spacing w:val="43"/>
        </w:rPr>
        <w:t> </w:t>
      </w:r>
      <w:r>
        <w:rPr/>
        <w:t>the</w:t>
      </w:r>
      <w:r>
        <w:rPr>
          <w:spacing w:val="43"/>
        </w:rPr>
        <w:t> </w:t>
      </w:r>
      <w:r>
        <w:rPr/>
        <w:t>Ayodhya</w:t>
      </w:r>
      <w:r>
        <w:rPr>
          <w:spacing w:val="45"/>
        </w:rPr>
        <w:t> </w:t>
      </w:r>
      <w:r>
        <w:rPr/>
        <w:t>Mahatmya,</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0"/>
        <w:jc w:val="both"/>
      </w:pPr>
      <w:r>
        <w:rPr/>
        <w:t>counsel for Nirmohi Akhara conceded before the High Court that the document does not mention that the building was constructed by Vikramaditya and was demolished after which the disputed structure was constructed. Though, the witness had served in the Indian Railways from 1948-1988, he claimed to have heard the name of Babri mosque for the first time on 18 November 2003.</w:t>
      </w:r>
    </w:p>
    <w:p>
      <w:pPr>
        <w:pStyle w:val="BodyText"/>
        <w:rPr>
          <w:sz w:val="28"/>
        </w:rPr>
      </w:pPr>
    </w:p>
    <w:p>
      <w:pPr>
        <w:pStyle w:val="BodyText"/>
        <w:spacing w:before="7"/>
        <w:rPr>
          <w:sz w:val="24"/>
        </w:rPr>
      </w:pPr>
    </w:p>
    <w:p>
      <w:pPr>
        <w:pStyle w:val="ListParagraph"/>
        <w:numPr>
          <w:ilvl w:val="0"/>
          <w:numId w:val="3"/>
        </w:numPr>
        <w:tabs>
          <w:tab w:pos="1221" w:val="left" w:leader="none"/>
        </w:tabs>
        <w:spacing w:line="480" w:lineRule="auto" w:before="0" w:after="0"/>
        <w:ind w:left="500" w:right="437" w:firstLine="0"/>
        <w:jc w:val="both"/>
        <w:rPr>
          <w:sz w:val="25"/>
        </w:rPr>
      </w:pPr>
      <w:r>
        <w:rPr>
          <w:b/>
          <w:sz w:val="25"/>
        </w:rPr>
        <w:t>Sri Sita Ram Yadav (DW 3/6): </w:t>
      </w:r>
      <w:r>
        <w:rPr>
          <w:sz w:val="25"/>
        </w:rPr>
        <w:t>The date of the Examination-in-Chief of the witness is 6 January 2004. The witness stated that he was born in 1943 and that he attained the age of understanding in 1951 when he was 8 years of age. The statements of this witness were therefore not relevant to the controversy since his factual knowledge pertains to the period after 1951. This witness was born in 1943 and had no personal knowledge of the facts up to December 1949. The evidence of the witness was hearsay in</w:t>
      </w:r>
      <w:r>
        <w:rPr>
          <w:spacing w:val="-10"/>
          <w:sz w:val="25"/>
        </w:rPr>
        <w:t> </w:t>
      </w:r>
      <w:r>
        <w:rPr>
          <w:sz w:val="25"/>
        </w:rPr>
        <w:t>nature.</w:t>
      </w:r>
    </w:p>
    <w:p>
      <w:pPr>
        <w:pStyle w:val="BodyText"/>
        <w:spacing w:before="1"/>
      </w:pPr>
    </w:p>
    <w:p>
      <w:pPr>
        <w:pStyle w:val="ListParagraph"/>
        <w:numPr>
          <w:ilvl w:val="0"/>
          <w:numId w:val="3"/>
        </w:numPr>
        <w:tabs>
          <w:tab w:pos="1221" w:val="left" w:leader="none"/>
        </w:tabs>
        <w:spacing w:line="480" w:lineRule="auto" w:before="1" w:after="0"/>
        <w:ind w:left="500" w:right="441" w:firstLine="0"/>
        <w:jc w:val="both"/>
        <w:rPr>
          <w:sz w:val="25"/>
        </w:rPr>
      </w:pPr>
      <w:r>
        <w:rPr>
          <w:b/>
          <w:sz w:val="25"/>
        </w:rPr>
        <w:t>Mahant Ramji Das (DW 3/7): </w:t>
      </w:r>
      <w:r>
        <w:rPr>
          <w:sz w:val="25"/>
        </w:rPr>
        <w:t>The following aspects of the testimony have been emphasized by Dr</w:t>
      </w:r>
      <w:r>
        <w:rPr>
          <w:spacing w:val="-3"/>
          <w:sz w:val="25"/>
        </w:rPr>
        <w:t> </w:t>
      </w:r>
      <w:r>
        <w:rPr>
          <w:sz w:val="25"/>
        </w:rPr>
        <w:t>Dhavan:</w:t>
      </w:r>
    </w:p>
    <w:p>
      <w:pPr>
        <w:pStyle w:val="ListParagraph"/>
        <w:numPr>
          <w:ilvl w:val="0"/>
          <w:numId w:val="97"/>
        </w:numPr>
        <w:tabs>
          <w:tab w:pos="1221" w:val="left" w:leader="none"/>
        </w:tabs>
        <w:spacing w:line="480" w:lineRule="auto" w:before="2" w:after="0"/>
        <w:ind w:left="1220" w:right="443" w:hanging="720"/>
        <w:jc w:val="both"/>
        <w:rPr>
          <w:sz w:val="25"/>
        </w:rPr>
      </w:pPr>
      <w:r>
        <w:rPr>
          <w:sz w:val="25"/>
        </w:rPr>
        <w:t>The witness accepted that the disputed building was built by Emperor Babur but he stated that it was constructed as Sita Pak but not as a mosque, which is contrary to the stand of Nirmohi Akhara in its written statement;</w:t>
      </w:r>
    </w:p>
    <w:p>
      <w:pPr>
        <w:pStyle w:val="ListParagraph"/>
        <w:numPr>
          <w:ilvl w:val="0"/>
          <w:numId w:val="97"/>
        </w:numPr>
        <w:tabs>
          <w:tab w:pos="1221" w:val="left" w:leader="none"/>
        </w:tabs>
        <w:spacing w:line="480" w:lineRule="auto" w:before="0" w:after="0"/>
        <w:ind w:left="1220" w:right="439" w:hanging="720"/>
        <w:jc w:val="both"/>
        <w:rPr>
          <w:sz w:val="25"/>
        </w:rPr>
      </w:pPr>
      <w:r>
        <w:rPr>
          <w:sz w:val="25"/>
        </w:rPr>
        <w:t>According to the witness, the disputed temple was constructed after the demolition of Janmasthan Mandir by Emperor Babur by way of Goodar Baba (which is not the pleaded case of any of the Hindu Parties);</w:t>
      </w:r>
      <w:r>
        <w:rPr>
          <w:spacing w:val="-16"/>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ListParagraph"/>
        <w:numPr>
          <w:ilvl w:val="0"/>
          <w:numId w:val="97"/>
        </w:numPr>
        <w:tabs>
          <w:tab w:pos="1221" w:val="left" w:leader="none"/>
        </w:tabs>
        <w:spacing w:line="480" w:lineRule="auto" w:before="124" w:after="0"/>
        <w:ind w:left="1220" w:right="444" w:hanging="720"/>
        <w:jc w:val="both"/>
        <w:rPr>
          <w:sz w:val="25"/>
        </w:rPr>
      </w:pPr>
      <w:r>
        <w:rPr>
          <w:sz w:val="25"/>
        </w:rPr>
        <w:t>Babur got ‗Sita Pak‘ written on the disputed building because he was unable to construct the mosque because Hanumanji would demolish the structure whenever an attempt was made to build a</w:t>
      </w:r>
      <w:r>
        <w:rPr>
          <w:spacing w:val="-9"/>
          <w:sz w:val="25"/>
        </w:rPr>
        <w:t> </w:t>
      </w:r>
      <w:r>
        <w:rPr>
          <w:sz w:val="25"/>
        </w:rPr>
        <w:t>mosque.</w:t>
      </w:r>
    </w:p>
    <w:p>
      <w:pPr>
        <w:pStyle w:val="BodyText"/>
        <w:rPr>
          <w:sz w:val="28"/>
        </w:rPr>
      </w:pPr>
    </w:p>
    <w:p>
      <w:pPr>
        <w:pStyle w:val="BodyText"/>
        <w:spacing w:before="166"/>
        <w:ind w:left="500"/>
      </w:pPr>
      <w:r>
        <w:rPr/>
        <w:t>As to his own personal knowledge, the witness stated:</w:t>
      </w:r>
    </w:p>
    <w:p>
      <w:pPr>
        <w:pStyle w:val="BodyText"/>
        <w:spacing w:before="9"/>
        <w:rPr>
          <w:sz w:val="24"/>
        </w:rPr>
      </w:pPr>
    </w:p>
    <w:p>
      <w:pPr>
        <w:spacing w:line="276" w:lineRule="auto" w:before="0"/>
        <w:ind w:left="1940" w:right="2261" w:firstLine="0"/>
        <w:jc w:val="both"/>
        <w:rPr>
          <w:sz w:val="21"/>
        </w:rPr>
      </w:pPr>
      <w:r>
        <w:rPr>
          <w:spacing w:val="-1"/>
          <w:w w:val="33"/>
          <w:sz w:val="21"/>
        </w:rPr>
        <w:t>―</w:t>
      </w:r>
      <w:r>
        <w:rPr>
          <w:w w:val="100"/>
          <w:sz w:val="21"/>
        </w:rPr>
        <w:t>I</w:t>
      </w:r>
      <w:r>
        <w:rPr>
          <w:sz w:val="21"/>
        </w:rPr>
        <w:t> </w:t>
      </w:r>
      <w:r>
        <w:rPr>
          <w:spacing w:val="-25"/>
          <w:sz w:val="21"/>
        </w:rPr>
        <w:t> </w:t>
      </w:r>
      <w:r>
        <w:rPr>
          <w:w w:val="100"/>
          <w:sz w:val="21"/>
        </w:rPr>
        <w:t>cannot</w:t>
      </w:r>
      <w:r>
        <w:rPr>
          <w:sz w:val="21"/>
        </w:rPr>
        <w:t> </w:t>
      </w:r>
      <w:r>
        <w:rPr>
          <w:spacing w:val="-25"/>
          <w:sz w:val="21"/>
        </w:rPr>
        <w:t> </w:t>
      </w:r>
      <w:r>
        <w:rPr>
          <w:spacing w:val="-1"/>
          <w:w w:val="100"/>
          <w:sz w:val="21"/>
        </w:rPr>
        <w:t>d</w:t>
      </w:r>
      <w:r>
        <w:rPr>
          <w:spacing w:val="-3"/>
          <w:w w:val="100"/>
          <w:sz w:val="21"/>
        </w:rPr>
        <w:t>e</w:t>
      </w:r>
      <w:r>
        <w:rPr>
          <w:spacing w:val="-2"/>
          <w:w w:val="100"/>
          <w:sz w:val="21"/>
        </w:rPr>
        <w:t>f</w:t>
      </w:r>
      <w:r>
        <w:rPr>
          <w:w w:val="100"/>
          <w:sz w:val="21"/>
        </w:rPr>
        <w:t>i</w:t>
      </w:r>
      <w:r>
        <w:rPr>
          <w:spacing w:val="-1"/>
          <w:w w:val="100"/>
          <w:sz w:val="21"/>
        </w:rPr>
        <w:t>n</w:t>
      </w:r>
      <w:r>
        <w:rPr>
          <w:spacing w:val="1"/>
          <w:w w:val="100"/>
          <w:sz w:val="21"/>
        </w:rPr>
        <w:t>i</w:t>
      </w:r>
      <w:r>
        <w:rPr>
          <w:spacing w:val="-2"/>
          <w:w w:val="100"/>
          <w:sz w:val="21"/>
        </w:rPr>
        <w:t>t</w:t>
      </w:r>
      <w:r>
        <w:rPr>
          <w:spacing w:val="-3"/>
          <w:w w:val="100"/>
          <w:sz w:val="21"/>
        </w:rPr>
        <w:t>e</w:t>
      </w:r>
      <w:r>
        <w:rPr>
          <w:w w:val="100"/>
          <w:sz w:val="21"/>
        </w:rPr>
        <w:t>ly</w:t>
      </w:r>
      <w:r>
        <w:rPr>
          <w:sz w:val="21"/>
        </w:rPr>
        <w:t> </w:t>
      </w:r>
      <w:r>
        <w:rPr>
          <w:spacing w:val="-26"/>
          <w:sz w:val="21"/>
        </w:rPr>
        <w:t> </w:t>
      </w:r>
      <w:r>
        <w:rPr>
          <w:spacing w:val="-2"/>
          <w:w w:val="100"/>
          <w:sz w:val="21"/>
        </w:rPr>
        <w:t>t</w:t>
      </w:r>
      <w:r>
        <w:rPr>
          <w:spacing w:val="-1"/>
          <w:w w:val="100"/>
          <w:sz w:val="21"/>
        </w:rPr>
        <w:t>e</w:t>
      </w:r>
      <w:r>
        <w:rPr>
          <w:spacing w:val="1"/>
          <w:w w:val="100"/>
          <w:sz w:val="21"/>
        </w:rPr>
        <w:t>l</w:t>
      </w:r>
      <w:r>
        <w:rPr>
          <w:w w:val="100"/>
          <w:sz w:val="21"/>
        </w:rPr>
        <w:t>l</w:t>
      </w:r>
      <w:r>
        <w:rPr>
          <w:sz w:val="21"/>
        </w:rPr>
        <w:t> </w:t>
      </w:r>
      <w:r>
        <w:rPr>
          <w:spacing w:val="-25"/>
          <w:sz w:val="21"/>
        </w:rPr>
        <w:t> </w:t>
      </w:r>
      <w:r>
        <w:rPr>
          <w:spacing w:val="-1"/>
          <w:w w:val="100"/>
          <w:sz w:val="21"/>
        </w:rPr>
        <w:t>a</w:t>
      </w:r>
      <w:r>
        <w:rPr>
          <w:w w:val="100"/>
          <w:sz w:val="21"/>
        </w:rPr>
        <w:t>s</w:t>
      </w:r>
      <w:r>
        <w:rPr>
          <w:sz w:val="21"/>
        </w:rPr>
        <w:t> </w:t>
      </w:r>
      <w:r>
        <w:rPr>
          <w:spacing w:val="-26"/>
          <w:sz w:val="21"/>
        </w:rPr>
        <w:t> </w:t>
      </w:r>
      <w:r>
        <w:rPr>
          <w:spacing w:val="-2"/>
          <w:w w:val="100"/>
          <w:sz w:val="21"/>
        </w:rPr>
        <w:t>t</w:t>
      </w:r>
      <w:r>
        <w:rPr>
          <w:w w:val="100"/>
          <w:sz w:val="21"/>
        </w:rPr>
        <w:t>o</w:t>
      </w:r>
      <w:r>
        <w:rPr>
          <w:sz w:val="21"/>
        </w:rPr>
        <w:t> </w:t>
      </w:r>
      <w:r>
        <w:rPr>
          <w:spacing w:val="-24"/>
          <w:sz w:val="21"/>
        </w:rPr>
        <w:t> </w:t>
      </w:r>
      <w:r>
        <w:rPr>
          <w:spacing w:val="-1"/>
          <w:w w:val="100"/>
          <w:sz w:val="21"/>
        </w:rPr>
        <w:t>o</w:t>
      </w:r>
      <w:r>
        <w:rPr>
          <w:w w:val="100"/>
          <w:sz w:val="21"/>
        </w:rPr>
        <w:t>n</w:t>
      </w:r>
      <w:r>
        <w:rPr>
          <w:sz w:val="21"/>
        </w:rPr>
        <w:t> </w:t>
      </w:r>
      <w:r>
        <w:rPr>
          <w:spacing w:val="-23"/>
          <w:sz w:val="21"/>
        </w:rPr>
        <w:t> </w:t>
      </w:r>
      <w:r>
        <w:rPr>
          <w:spacing w:val="-1"/>
          <w:w w:val="100"/>
          <w:sz w:val="21"/>
        </w:rPr>
        <w:t>ho</w:t>
      </w:r>
      <w:r>
        <w:rPr>
          <w:w w:val="100"/>
          <w:sz w:val="21"/>
        </w:rPr>
        <w:t>w</w:t>
      </w:r>
      <w:r>
        <w:rPr>
          <w:sz w:val="21"/>
        </w:rPr>
        <w:t> </w:t>
      </w:r>
      <w:r>
        <w:rPr>
          <w:spacing w:val="-27"/>
          <w:sz w:val="21"/>
        </w:rPr>
        <w:t> </w:t>
      </w:r>
      <w:r>
        <w:rPr>
          <w:spacing w:val="1"/>
          <w:w w:val="100"/>
          <w:sz w:val="21"/>
        </w:rPr>
        <w:t>m</w:t>
      </w:r>
      <w:r>
        <w:rPr>
          <w:spacing w:val="-3"/>
          <w:w w:val="100"/>
          <w:sz w:val="21"/>
        </w:rPr>
        <w:t>a</w:t>
      </w:r>
      <w:r>
        <w:rPr>
          <w:spacing w:val="-1"/>
          <w:w w:val="100"/>
          <w:sz w:val="21"/>
        </w:rPr>
        <w:t>n</w:t>
      </w:r>
      <w:r>
        <w:rPr>
          <w:w w:val="100"/>
          <w:sz w:val="21"/>
        </w:rPr>
        <w:t>y</w:t>
      </w:r>
      <w:r>
        <w:rPr>
          <w:sz w:val="21"/>
        </w:rPr>
        <w:t> </w:t>
      </w:r>
      <w:r>
        <w:rPr>
          <w:spacing w:val="-26"/>
          <w:sz w:val="21"/>
        </w:rPr>
        <w:t> </w:t>
      </w:r>
      <w:r>
        <w:rPr>
          <w:spacing w:val="-1"/>
          <w:w w:val="100"/>
          <w:sz w:val="21"/>
        </w:rPr>
        <w:t>occa</w:t>
      </w:r>
      <w:r>
        <w:rPr>
          <w:spacing w:val="-3"/>
          <w:w w:val="100"/>
          <w:sz w:val="21"/>
        </w:rPr>
        <w:t>s</w:t>
      </w:r>
      <w:r>
        <w:rPr>
          <w:spacing w:val="-2"/>
          <w:w w:val="100"/>
          <w:sz w:val="21"/>
        </w:rPr>
        <w:t>i</w:t>
      </w:r>
      <w:r>
        <w:rPr>
          <w:spacing w:val="-1"/>
          <w:w w:val="100"/>
          <w:sz w:val="21"/>
        </w:rPr>
        <w:t>on</w:t>
      </w:r>
      <w:r>
        <w:rPr>
          <w:w w:val="100"/>
          <w:sz w:val="21"/>
        </w:rPr>
        <w:t>s</w:t>
      </w:r>
      <w:r>
        <w:rPr>
          <w:sz w:val="21"/>
        </w:rPr>
        <w:t> </w:t>
      </w:r>
      <w:r>
        <w:rPr>
          <w:spacing w:val="-23"/>
          <w:sz w:val="21"/>
        </w:rPr>
        <w:t> </w:t>
      </w:r>
      <w:r>
        <w:rPr>
          <w:spacing w:val="-1"/>
          <w:w w:val="100"/>
          <w:sz w:val="21"/>
        </w:rPr>
        <w:t>h</w:t>
      </w:r>
      <w:r>
        <w:rPr>
          <w:spacing w:val="-3"/>
          <w:w w:val="100"/>
          <w:sz w:val="21"/>
        </w:rPr>
        <w:t>a</w:t>
      </w:r>
      <w:r>
        <w:rPr>
          <w:w w:val="100"/>
          <w:sz w:val="21"/>
        </w:rPr>
        <w:t>d</w:t>
      </w:r>
      <w:r>
        <w:rPr>
          <w:sz w:val="21"/>
        </w:rPr>
        <w:t> </w:t>
      </w:r>
      <w:r>
        <w:rPr>
          <w:spacing w:val="-24"/>
          <w:sz w:val="21"/>
        </w:rPr>
        <w:t> </w:t>
      </w:r>
      <w:r>
        <w:rPr>
          <w:w w:val="100"/>
          <w:sz w:val="21"/>
        </w:rPr>
        <w:t>I </w:t>
      </w:r>
      <w:r>
        <w:rPr>
          <w:sz w:val="21"/>
        </w:rPr>
        <w:t>gone to Ayodhya between the years 1934 to 1948. I do not remember as to what </w:t>
      </w:r>
      <w:r>
        <w:rPr>
          <w:spacing w:val="-3"/>
          <w:sz w:val="21"/>
        </w:rPr>
        <w:t>was </w:t>
      </w:r>
      <w:r>
        <w:rPr>
          <w:sz w:val="21"/>
        </w:rPr>
        <w:t>my age, when I visited Ayodhya between the years 1934 to 1948. When I had gone along with my father. I do not remember as to when did I first go to Ayodhya after the year 1934, but when I first went to Ayodhya after the year 1934, I stayed for 3-4</w:t>
      </w:r>
      <w:r>
        <w:rPr>
          <w:spacing w:val="-17"/>
          <w:sz w:val="21"/>
        </w:rPr>
        <w:t> </w:t>
      </w:r>
      <w:r>
        <w:rPr>
          <w:sz w:val="21"/>
        </w:rPr>
        <w:t>days.‖</w:t>
      </w:r>
    </w:p>
    <w:p>
      <w:pPr>
        <w:pStyle w:val="BodyText"/>
        <w:spacing w:before="2"/>
      </w:pPr>
    </w:p>
    <w:p>
      <w:pPr>
        <w:pStyle w:val="BodyText"/>
        <w:spacing w:line="480" w:lineRule="auto"/>
        <w:ind w:left="500" w:right="438"/>
      </w:pPr>
      <w:r>
        <w:rPr/>
        <w:t>Contrary to the stand of the Nirmohi Akhara, he stated that the disputed structure was built by Babur, though in the shape of Sita Pak:</w:t>
      </w:r>
    </w:p>
    <w:p>
      <w:pPr>
        <w:spacing w:line="276" w:lineRule="auto" w:before="0"/>
        <w:ind w:left="1940" w:right="2349" w:firstLine="0"/>
        <w:jc w:val="both"/>
        <w:rPr>
          <w:sz w:val="21"/>
        </w:rPr>
      </w:pPr>
      <w:r>
        <w:rPr>
          <w:spacing w:val="-1"/>
          <w:w w:val="33"/>
          <w:sz w:val="21"/>
        </w:rPr>
        <w:t>―</w:t>
      </w:r>
      <w:r>
        <w:rPr>
          <w:w w:val="100"/>
          <w:sz w:val="21"/>
        </w:rPr>
        <w:t>Th</w:t>
      </w:r>
      <w:r>
        <w:rPr>
          <w:w w:val="100"/>
          <w:sz w:val="21"/>
        </w:rPr>
        <w:t>e</w:t>
      </w:r>
      <w:r>
        <w:rPr>
          <w:sz w:val="21"/>
        </w:rPr>
        <w:t>  </w:t>
      </w:r>
      <w:r>
        <w:rPr>
          <w:spacing w:val="-24"/>
          <w:sz w:val="21"/>
        </w:rPr>
        <w:t> </w:t>
      </w:r>
      <w:r>
        <w:rPr>
          <w:spacing w:val="-3"/>
          <w:w w:val="100"/>
          <w:sz w:val="21"/>
        </w:rPr>
        <w:t>d</w:t>
      </w:r>
      <w:r>
        <w:rPr>
          <w:w w:val="100"/>
          <w:sz w:val="21"/>
        </w:rPr>
        <w:t>i</w:t>
      </w:r>
      <w:r>
        <w:rPr>
          <w:w w:val="100"/>
          <w:sz w:val="21"/>
        </w:rPr>
        <w:t>s</w:t>
      </w:r>
      <w:r>
        <w:rPr>
          <w:spacing w:val="-3"/>
          <w:w w:val="100"/>
          <w:sz w:val="21"/>
        </w:rPr>
        <w:t>p</w:t>
      </w:r>
      <w:r>
        <w:rPr>
          <w:w w:val="100"/>
          <w:sz w:val="21"/>
        </w:rPr>
        <w:t>u</w:t>
      </w:r>
      <w:r>
        <w:rPr>
          <w:spacing w:val="-1"/>
          <w:w w:val="100"/>
          <w:sz w:val="21"/>
        </w:rPr>
        <w:t>t</w:t>
      </w:r>
      <w:r>
        <w:rPr>
          <w:w w:val="100"/>
          <w:sz w:val="21"/>
        </w:rPr>
        <w:t>ed</w:t>
      </w:r>
      <w:r>
        <w:rPr>
          <w:sz w:val="21"/>
        </w:rPr>
        <w:t>  </w:t>
      </w:r>
      <w:r>
        <w:rPr>
          <w:spacing w:val="-24"/>
          <w:sz w:val="21"/>
        </w:rPr>
        <w:t> </w:t>
      </w:r>
      <w:r>
        <w:rPr>
          <w:w w:val="100"/>
          <w:sz w:val="21"/>
        </w:rPr>
        <w:t>s</w:t>
      </w:r>
      <w:r>
        <w:rPr>
          <w:spacing w:val="-2"/>
          <w:w w:val="100"/>
          <w:sz w:val="21"/>
        </w:rPr>
        <w:t>t</w:t>
      </w:r>
      <w:r>
        <w:rPr>
          <w:spacing w:val="-1"/>
          <w:w w:val="100"/>
          <w:sz w:val="21"/>
        </w:rPr>
        <w:t>r</w:t>
      </w:r>
      <w:r>
        <w:rPr>
          <w:spacing w:val="-3"/>
          <w:w w:val="100"/>
          <w:sz w:val="21"/>
        </w:rPr>
        <w:t>u</w:t>
      </w:r>
      <w:r>
        <w:rPr>
          <w:w w:val="100"/>
          <w:sz w:val="21"/>
        </w:rPr>
        <w:t>c</w:t>
      </w:r>
      <w:r>
        <w:rPr>
          <w:spacing w:val="-2"/>
          <w:w w:val="100"/>
          <w:sz w:val="21"/>
        </w:rPr>
        <w:t>t</w:t>
      </w:r>
      <w:r>
        <w:rPr>
          <w:w w:val="100"/>
          <w:sz w:val="21"/>
        </w:rPr>
        <w:t>ure,</w:t>
      </w:r>
      <w:r>
        <w:rPr>
          <w:sz w:val="21"/>
        </w:rPr>
        <w:t>  </w:t>
      </w:r>
      <w:r>
        <w:rPr>
          <w:spacing w:val="-26"/>
          <w:sz w:val="21"/>
        </w:rPr>
        <w:t> </w:t>
      </w:r>
      <w:r>
        <w:rPr>
          <w:spacing w:val="-2"/>
          <w:w w:val="100"/>
          <w:sz w:val="21"/>
        </w:rPr>
        <w:t>w</w:t>
      </w:r>
      <w:r>
        <w:rPr>
          <w:w w:val="100"/>
          <w:sz w:val="21"/>
        </w:rPr>
        <w:t>h</w:t>
      </w:r>
      <w:r>
        <w:rPr>
          <w:spacing w:val="1"/>
          <w:w w:val="100"/>
          <w:sz w:val="21"/>
        </w:rPr>
        <w:t>i</w:t>
      </w:r>
      <w:r>
        <w:rPr>
          <w:w w:val="100"/>
          <w:sz w:val="21"/>
        </w:rPr>
        <w:t>ch</w:t>
      </w:r>
      <w:r>
        <w:rPr>
          <w:sz w:val="21"/>
        </w:rPr>
        <w:t>  </w:t>
      </w:r>
      <w:r>
        <w:rPr>
          <w:spacing w:val="-24"/>
          <w:sz w:val="21"/>
        </w:rPr>
        <w:t> </w:t>
      </w:r>
      <w:r>
        <w:rPr>
          <w:spacing w:val="-2"/>
          <w:w w:val="100"/>
          <w:sz w:val="21"/>
        </w:rPr>
        <w:t>w</w:t>
      </w:r>
      <w:r>
        <w:rPr>
          <w:spacing w:val="-3"/>
          <w:w w:val="100"/>
          <w:sz w:val="21"/>
        </w:rPr>
        <w:t>a</w:t>
      </w:r>
      <w:r>
        <w:rPr>
          <w:w w:val="100"/>
          <w:sz w:val="21"/>
        </w:rPr>
        <w:t>s</w:t>
      </w:r>
      <w:r>
        <w:rPr>
          <w:sz w:val="21"/>
        </w:rPr>
        <w:t>  </w:t>
      </w:r>
      <w:r>
        <w:rPr>
          <w:spacing w:val="-25"/>
          <w:sz w:val="21"/>
        </w:rPr>
        <w:t> </w:t>
      </w:r>
      <w:r>
        <w:rPr>
          <w:w w:val="100"/>
          <w:sz w:val="21"/>
        </w:rPr>
        <w:t>d</w:t>
      </w:r>
      <w:r>
        <w:rPr>
          <w:spacing w:val="-3"/>
          <w:w w:val="100"/>
          <w:sz w:val="21"/>
        </w:rPr>
        <w:t>e</w:t>
      </w:r>
      <w:r>
        <w:rPr>
          <w:spacing w:val="-1"/>
          <w:w w:val="100"/>
          <w:sz w:val="21"/>
        </w:rPr>
        <w:t>m</w:t>
      </w:r>
      <w:r>
        <w:rPr>
          <w:w w:val="100"/>
          <w:sz w:val="21"/>
        </w:rPr>
        <w:t>o</w:t>
      </w:r>
      <w:r>
        <w:rPr>
          <w:spacing w:val="-2"/>
          <w:w w:val="100"/>
          <w:sz w:val="21"/>
        </w:rPr>
        <w:t>l</w:t>
      </w:r>
      <w:r>
        <w:rPr>
          <w:w w:val="100"/>
          <w:sz w:val="21"/>
        </w:rPr>
        <w:t>i</w:t>
      </w:r>
      <w:r>
        <w:rPr>
          <w:w w:val="100"/>
          <w:sz w:val="21"/>
        </w:rPr>
        <w:t>s</w:t>
      </w:r>
      <w:r>
        <w:rPr>
          <w:spacing w:val="-3"/>
          <w:w w:val="100"/>
          <w:sz w:val="21"/>
        </w:rPr>
        <w:t>h</w:t>
      </w:r>
      <w:r>
        <w:rPr>
          <w:w w:val="100"/>
          <w:sz w:val="21"/>
        </w:rPr>
        <w:t>ed</w:t>
      </w:r>
      <w:r>
        <w:rPr>
          <w:sz w:val="21"/>
        </w:rPr>
        <w:t>  </w:t>
      </w:r>
      <w:r>
        <w:rPr>
          <w:spacing w:val="-27"/>
          <w:sz w:val="21"/>
        </w:rPr>
        <w:t> </w:t>
      </w:r>
      <w:r>
        <w:rPr>
          <w:w w:val="100"/>
          <w:sz w:val="21"/>
        </w:rPr>
        <w:t>on</w:t>
      </w:r>
      <w:r>
        <w:rPr>
          <w:sz w:val="21"/>
        </w:rPr>
        <w:t>  </w:t>
      </w:r>
      <w:r>
        <w:rPr>
          <w:spacing w:val="-24"/>
          <w:sz w:val="21"/>
        </w:rPr>
        <w:t> </w:t>
      </w:r>
      <w:r>
        <w:rPr>
          <w:w w:val="100"/>
          <w:sz w:val="21"/>
        </w:rPr>
        <w:t>6</w:t>
      </w:r>
      <w:r>
        <w:rPr>
          <w:spacing w:val="-1"/>
          <w:w w:val="100"/>
          <w:sz w:val="21"/>
        </w:rPr>
        <w:t>t</w:t>
      </w:r>
      <w:r>
        <w:rPr>
          <w:w w:val="100"/>
          <w:sz w:val="21"/>
        </w:rPr>
        <w:t>h </w:t>
      </w:r>
      <w:r>
        <w:rPr>
          <w:sz w:val="21"/>
        </w:rPr>
        <w:t>December, 1992, was built by Babar in the shape of 'Sita Pak', (and) not in shape of mosque... In the period of Akbar, Muslims had the permission to offer Jumma namaz in the disputed structure and for the remaining period, Hindus were permitted to carry out prayer-worship. It is not found in literature or history as to whether in the period between Babar to Akbar, namaz was offered by Muslims in the disputed structure or not, or whether the prayer-worship of Lord Rama was carried out or not. To the best of </w:t>
      </w:r>
      <w:r>
        <w:rPr>
          <w:spacing w:val="2"/>
          <w:sz w:val="21"/>
        </w:rPr>
        <w:t>my </w:t>
      </w:r>
      <w:r>
        <w:rPr>
          <w:sz w:val="21"/>
        </w:rPr>
        <w:t>knowledge and as told to me, namaz was never offered in the disputed structure after the riot of the year 1934 and instead prayer-worship was regularly carried out over there in the later days. As per my knowledge, which is based on hearsay, the Jumma namaz was offered at the disputed structure from the times of Akbar till the year 1934. Namaz was not offered on other</w:t>
      </w:r>
      <w:r>
        <w:rPr>
          <w:spacing w:val="-9"/>
          <w:sz w:val="21"/>
        </w:rPr>
        <w:t> </w:t>
      </w:r>
      <w:r>
        <w:rPr>
          <w:sz w:val="21"/>
        </w:rPr>
        <w:t>days.‖</w:t>
      </w:r>
    </w:p>
    <w:p>
      <w:pPr>
        <w:pStyle w:val="BodyText"/>
        <w:spacing w:before="1"/>
      </w:pPr>
    </w:p>
    <w:p>
      <w:pPr>
        <w:pStyle w:val="BodyText"/>
        <w:spacing w:line="480" w:lineRule="auto"/>
        <w:ind w:left="500" w:right="449"/>
      </w:pPr>
      <w:r>
        <w:rPr/>
        <w:t>Eventually, the witness stated that he had not read his affidavit by way of Examination-in-Chief at the time of signing it and had read it in the court room.</w:t>
      </w:r>
    </w:p>
    <w:p>
      <w:pPr>
        <w:pStyle w:val="BodyText"/>
        <w:spacing w:before="9"/>
        <w:rPr>
          <w:sz w:val="24"/>
        </w:rPr>
      </w:pPr>
    </w:p>
    <w:p>
      <w:pPr>
        <w:pStyle w:val="ListParagraph"/>
        <w:numPr>
          <w:ilvl w:val="0"/>
          <w:numId w:val="3"/>
        </w:numPr>
        <w:tabs>
          <w:tab w:pos="1220" w:val="left" w:leader="none"/>
          <w:tab w:pos="1221" w:val="left" w:leader="none"/>
        </w:tabs>
        <w:spacing w:line="482" w:lineRule="auto" w:before="0" w:after="0"/>
        <w:ind w:left="500" w:right="439" w:firstLine="0"/>
        <w:jc w:val="left"/>
        <w:rPr>
          <w:sz w:val="25"/>
        </w:rPr>
      </w:pPr>
      <w:r>
        <w:rPr>
          <w:b/>
          <w:sz w:val="25"/>
        </w:rPr>
        <w:t>Pt Shyam Sundar Mishra (DW 3/8): </w:t>
      </w:r>
      <w:r>
        <w:rPr>
          <w:sz w:val="25"/>
        </w:rPr>
        <w:t>He was born in 1914 and stated that Ram Janmabhumi is situated at a distance of less than 400 yards from his</w:t>
      </w:r>
      <w:r>
        <w:rPr>
          <w:spacing w:val="-1"/>
          <w:sz w:val="25"/>
        </w:rPr>
        <w:t> </w:t>
      </w:r>
      <w:r>
        <w:rPr>
          <w:sz w:val="25"/>
        </w:rPr>
        <w:t>house.</w:t>
      </w:r>
    </w:p>
    <w:p>
      <w:pPr>
        <w:spacing w:after="0" w:line="482" w:lineRule="auto"/>
        <w:jc w:val="left"/>
        <w:rPr>
          <w:sz w:val="25"/>
        </w:rPr>
        <w:sectPr>
          <w:pgSz w:w="11910" w:h="16840"/>
          <w:pgMar w:header="721" w:footer="1014" w:top="1300" w:bottom="1200" w:left="940" w:right="1000"/>
        </w:sectPr>
      </w:pPr>
    </w:p>
    <w:p>
      <w:pPr>
        <w:pStyle w:val="BodyText"/>
        <w:spacing w:before="124"/>
        <w:ind w:left="500"/>
        <w:jc w:val="both"/>
      </w:pPr>
      <w:r>
        <w:rPr/>
        <w:t>He was 90 years old at the time of deposing.</w:t>
      </w:r>
    </w:p>
    <w:p>
      <w:pPr>
        <w:pStyle w:val="BodyText"/>
        <w:rPr>
          <w:sz w:val="28"/>
        </w:rPr>
      </w:pPr>
    </w:p>
    <w:p>
      <w:pPr>
        <w:pStyle w:val="BodyText"/>
        <w:rPr>
          <w:sz w:val="28"/>
        </w:rPr>
      </w:pPr>
    </w:p>
    <w:p>
      <w:pPr>
        <w:pStyle w:val="ListParagraph"/>
        <w:numPr>
          <w:ilvl w:val="0"/>
          <w:numId w:val="3"/>
        </w:numPr>
        <w:tabs>
          <w:tab w:pos="1221" w:val="left" w:leader="none"/>
        </w:tabs>
        <w:spacing w:line="480" w:lineRule="auto" w:before="218" w:after="0"/>
        <w:ind w:left="500" w:right="446" w:firstLine="0"/>
        <w:jc w:val="both"/>
        <w:rPr>
          <w:sz w:val="25"/>
        </w:rPr>
      </w:pPr>
      <w:r>
        <w:rPr>
          <w:sz w:val="25"/>
        </w:rPr>
        <w:t>The following aspects of the testimony of the witness have been emphasised by Dr</w:t>
      </w:r>
      <w:r>
        <w:rPr>
          <w:spacing w:val="-3"/>
          <w:sz w:val="25"/>
        </w:rPr>
        <w:t> </w:t>
      </w:r>
      <w:r>
        <w:rPr>
          <w:sz w:val="25"/>
        </w:rPr>
        <w:t>Dhavan:</w:t>
      </w:r>
    </w:p>
    <w:p>
      <w:pPr>
        <w:pStyle w:val="ListParagraph"/>
        <w:numPr>
          <w:ilvl w:val="0"/>
          <w:numId w:val="98"/>
        </w:numPr>
        <w:tabs>
          <w:tab w:pos="1221" w:val="left" w:leader="none"/>
        </w:tabs>
        <w:spacing w:line="480" w:lineRule="auto" w:before="0" w:after="0"/>
        <w:ind w:left="1220" w:right="438" w:hanging="720"/>
        <w:jc w:val="both"/>
        <w:rPr>
          <w:sz w:val="25"/>
        </w:rPr>
      </w:pPr>
      <w:r>
        <w:rPr>
          <w:sz w:val="25"/>
        </w:rPr>
        <w:t>The statement of the witness that the central dome is </w:t>
      </w:r>
      <w:r>
        <w:rPr>
          <w:i/>
          <w:sz w:val="25"/>
        </w:rPr>
        <w:t>swayambhu </w:t>
      </w:r>
      <w:r>
        <w:rPr>
          <w:sz w:val="25"/>
        </w:rPr>
        <w:t>is against the pleaded case of Nirmohi</w:t>
      </w:r>
      <w:r>
        <w:rPr>
          <w:spacing w:val="-4"/>
          <w:sz w:val="25"/>
        </w:rPr>
        <w:t> </w:t>
      </w:r>
      <w:r>
        <w:rPr>
          <w:sz w:val="25"/>
        </w:rPr>
        <w:t>Akhara;</w:t>
      </w:r>
    </w:p>
    <w:p>
      <w:pPr>
        <w:pStyle w:val="ListParagraph"/>
        <w:numPr>
          <w:ilvl w:val="0"/>
          <w:numId w:val="98"/>
        </w:numPr>
        <w:tabs>
          <w:tab w:pos="1221" w:val="left" w:leader="none"/>
        </w:tabs>
        <w:spacing w:line="480" w:lineRule="auto" w:before="0" w:after="0"/>
        <w:ind w:left="1220" w:right="434" w:hanging="720"/>
        <w:jc w:val="both"/>
        <w:rPr>
          <w:sz w:val="25"/>
        </w:rPr>
      </w:pPr>
      <w:r>
        <w:rPr>
          <w:sz w:val="25"/>
        </w:rPr>
        <w:t>According to the witness, in 1992 the dome of the janmasthan temple came down due to its antiquity and due to lack of proper maintenance;</w:t>
      </w:r>
      <w:r>
        <w:rPr>
          <w:spacing w:val="-25"/>
          <w:sz w:val="25"/>
        </w:rPr>
        <w:t> </w:t>
      </w:r>
      <w:r>
        <w:rPr>
          <w:sz w:val="25"/>
        </w:rPr>
        <w:t>and</w:t>
      </w:r>
    </w:p>
    <w:p>
      <w:pPr>
        <w:pStyle w:val="ListParagraph"/>
        <w:numPr>
          <w:ilvl w:val="0"/>
          <w:numId w:val="98"/>
        </w:numPr>
        <w:tabs>
          <w:tab w:pos="1221" w:val="left" w:leader="none"/>
        </w:tabs>
        <w:spacing w:line="480" w:lineRule="auto" w:before="2" w:after="0"/>
        <w:ind w:left="1220" w:right="440" w:hanging="720"/>
        <w:jc w:val="both"/>
        <w:rPr>
          <w:sz w:val="25"/>
        </w:rPr>
      </w:pPr>
      <w:r>
        <w:rPr>
          <w:sz w:val="25"/>
        </w:rPr>
        <w:t>While deposing, the witness seems to distinguish between Ramchabutra </w:t>
      </w:r>
      <w:r>
        <w:rPr>
          <w:w w:val="99"/>
          <w:sz w:val="25"/>
        </w:rPr>
        <w:t>te</w:t>
      </w:r>
      <w:r>
        <w:rPr>
          <w:spacing w:val="1"/>
          <w:w w:val="99"/>
          <w:sz w:val="25"/>
        </w:rPr>
        <w:t>m</w:t>
      </w:r>
      <w:r>
        <w:rPr>
          <w:spacing w:val="-1"/>
          <w:w w:val="99"/>
          <w:sz w:val="25"/>
        </w:rPr>
        <w:t>pl</w:t>
      </w:r>
      <w:r>
        <w:rPr>
          <w:w w:val="99"/>
          <w:sz w:val="25"/>
        </w:rPr>
        <w:t>e</w:t>
      </w:r>
      <w:r>
        <w:rPr>
          <w:sz w:val="25"/>
        </w:rPr>
        <w:t>  </w:t>
      </w:r>
      <w:r>
        <w:rPr>
          <w:spacing w:val="-5"/>
          <w:sz w:val="25"/>
        </w:rPr>
        <w:t> </w:t>
      </w:r>
      <w:r>
        <w:rPr>
          <w:spacing w:val="-1"/>
          <w:w w:val="99"/>
          <w:sz w:val="25"/>
        </w:rPr>
        <w:t>a</w:t>
      </w:r>
      <w:r>
        <w:rPr>
          <w:w w:val="99"/>
          <w:sz w:val="25"/>
        </w:rPr>
        <w:t>nd</w:t>
      </w:r>
      <w:r>
        <w:rPr>
          <w:sz w:val="25"/>
        </w:rPr>
        <w:t>  </w:t>
      </w:r>
      <w:r>
        <w:rPr>
          <w:spacing w:val="-5"/>
          <w:sz w:val="25"/>
        </w:rPr>
        <w:t> </w:t>
      </w:r>
      <w:r>
        <w:rPr>
          <w:w w:val="99"/>
          <w:sz w:val="25"/>
        </w:rPr>
        <w:t>the</w:t>
      </w:r>
      <w:r>
        <w:rPr>
          <w:sz w:val="25"/>
        </w:rPr>
        <w:t>  </w:t>
      </w:r>
      <w:r>
        <w:rPr>
          <w:spacing w:val="-4"/>
          <w:sz w:val="25"/>
        </w:rPr>
        <w:t> </w:t>
      </w:r>
      <w:r>
        <w:rPr>
          <w:w w:val="33"/>
          <w:sz w:val="25"/>
        </w:rPr>
        <w:t>―</w:t>
      </w:r>
      <w:r>
        <w:rPr>
          <w:w w:val="99"/>
          <w:sz w:val="25"/>
        </w:rPr>
        <w:t>t</w:t>
      </w:r>
      <w:r>
        <w:rPr>
          <w:spacing w:val="-2"/>
          <w:w w:val="99"/>
          <w:sz w:val="25"/>
        </w:rPr>
        <w:t>h</w:t>
      </w:r>
      <w:r>
        <w:rPr>
          <w:w w:val="99"/>
          <w:sz w:val="25"/>
        </w:rPr>
        <w:t>r</w:t>
      </w:r>
      <w:r>
        <w:rPr>
          <w:spacing w:val="-1"/>
          <w:w w:val="99"/>
          <w:sz w:val="25"/>
        </w:rPr>
        <w:t>e</w:t>
      </w:r>
      <w:r>
        <w:rPr>
          <w:w w:val="99"/>
          <w:sz w:val="25"/>
        </w:rPr>
        <w:t>e</w:t>
      </w:r>
      <w:r>
        <w:rPr>
          <w:sz w:val="25"/>
        </w:rPr>
        <w:t>  </w:t>
      </w:r>
      <w:r>
        <w:rPr>
          <w:spacing w:val="-5"/>
          <w:sz w:val="25"/>
        </w:rPr>
        <w:t> </w:t>
      </w:r>
      <w:r>
        <w:rPr>
          <w:spacing w:val="-1"/>
          <w:w w:val="99"/>
          <w:sz w:val="25"/>
        </w:rPr>
        <w:t>d</w:t>
      </w:r>
      <w:r>
        <w:rPr>
          <w:w w:val="99"/>
          <w:sz w:val="25"/>
        </w:rPr>
        <w:t>ome</w:t>
      </w:r>
      <w:r>
        <w:rPr>
          <w:sz w:val="25"/>
        </w:rPr>
        <w:t>  </w:t>
      </w:r>
      <w:r>
        <w:rPr>
          <w:spacing w:val="-5"/>
          <w:sz w:val="25"/>
        </w:rPr>
        <w:t> </w:t>
      </w:r>
      <w:r>
        <w:rPr>
          <w:w w:val="99"/>
          <w:sz w:val="25"/>
        </w:rPr>
        <w:t>te</w:t>
      </w:r>
      <w:r>
        <w:rPr>
          <w:spacing w:val="1"/>
          <w:w w:val="99"/>
          <w:sz w:val="25"/>
        </w:rPr>
        <w:t>m</w:t>
      </w:r>
      <w:r>
        <w:rPr>
          <w:spacing w:val="-1"/>
          <w:w w:val="95"/>
          <w:sz w:val="25"/>
        </w:rPr>
        <w:t>ple</w:t>
      </w:r>
      <w:r>
        <w:rPr>
          <w:w w:val="95"/>
          <w:sz w:val="25"/>
        </w:rPr>
        <w:t>‖</w:t>
      </w:r>
      <w:r>
        <w:rPr>
          <w:sz w:val="25"/>
        </w:rPr>
        <w:t>  </w:t>
      </w:r>
      <w:r>
        <w:rPr>
          <w:spacing w:val="-6"/>
          <w:sz w:val="25"/>
        </w:rPr>
        <w:t> </w:t>
      </w:r>
      <w:r>
        <w:rPr>
          <w:spacing w:val="-1"/>
          <w:w w:val="99"/>
          <w:sz w:val="25"/>
        </w:rPr>
        <w:t>a</w:t>
      </w:r>
      <w:r>
        <w:rPr>
          <w:w w:val="99"/>
          <w:sz w:val="25"/>
        </w:rPr>
        <w:t>nd</w:t>
      </w:r>
      <w:r>
        <w:rPr>
          <w:sz w:val="25"/>
        </w:rPr>
        <w:t>  </w:t>
      </w:r>
      <w:r>
        <w:rPr>
          <w:spacing w:val="-5"/>
          <w:sz w:val="25"/>
        </w:rPr>
        <w:t> </w:t>
      </w:r>
      <w:r>
        <w:rPr>
          <w:w w:val="99"/>
          <w:sz w:val="25"/>
        </w:rPr>
        <w:t>stat</w:t>
      </w:r>
      <w:r>
        <w:rPr>
          <w:spacing w:val="-1"/>
          <w:w w:val="99"/>
          <w:sz w:val="25"/>
        </w:rPr>
        <w:t>e</w:t>
      </w:r>
      <w:r>
        <w:rPr>
          <w:w w:val="99"/>
          <w:sz w:val="25"/>
        </w:rPr>
        <w:t>d</w:t>
      </w:r>
      <w:r>
        <w:rPr>
          <w:sz w:val="25"/>
        </w:rPr>
        <w:t>  </w:t>
      </w:r>
      <w:r>
        <w:rPr>
          <w:spacing w:val="-5"/>
          <w:sz w:val="25"/>
        </w:rPr>
        <w:t> </w:t>
      </w:r>
      <w:r>
        <w:rPr>
          <w:w w:val="99"/>
          <w:sz w:val="25"/>
        </w:rPr>
        <w:t>that</w:t>
      </w:r>
      <w:r>
        <w:rPr>
          <w:sz w:val="25"/>
        </w:rPr>
        <w:t>  </w:t>
      </w:r>
      <w:r>
        <w:rPr>
          <w:spacing w:val="-5"/>
          <w:sz w:val="25"/>
        </w:rPr>
        <w:t> </w:t>
      </w:r>
      <w:r>
        <w:rPr>
          <w:spacing w:val="-1"/>
          <w:w w:val="99"/>
          <w:sz w:val="25"/>
        </w:rPr>
        <w:t>i</w:t>
      </w:r>
      <w:r>
        <w:rPr>
          <w:w w:val="99"/>
          <w:sz w:val="25"/>
        </w:rPr>
        <w:t>t</w:t>
      </w:r>
      <w:r>
        <w:rPr>
          <w:sz w:val="25"/>
        </w:rPr>
        <w:t>  </w:t>
      </w:r>
      <w:r>
        <w:rPr>
          <w:spacing w:val="-5"/>
          <w:sz w:val="25"/>
        </w:rPr>
        <w:t> </w:t>
      </w:r>
      <w:r>
        <w:rPr>
          <w:spacing w:val="-1"/>
          <w:w w:val="99"/>
          <w:sz w:val="25"/>
        </w:rPr>
        <w:t>wa</w:t>
      </w:r>
      <w:r>
        <w:rPr>
          <w:w w:val="99"/>
          <w:sz w:val="25"/>
        </w:rPr>
        <w:t>s</w:t>
      </w:r>
      <w:r>
        <w:rPr>
          <w:sz w:val="25"/>
        </w:rPr>
        <w:t>  </w:t>
      </w:r>
      <w:r>
        <w:rPr>
          <w:spacing w:val="-5"/>
          <w:sz w:val="25"/>
        </w:rPr>
        <w:t> </w:t>
      </w:r>
      <w:r>
        <w:rPr>
          <w:w w:val="99"/>
          <w:sz w:val="25"/>
        </w:rPr>
        <w:t>the </w:t>
      </w:r>
      <w:r>
        <w:rPr>
          <w:sz w:val="25"/>
        </w:rPr>
        <w:t>Ramchabutra temple which was in the ownership of Nirmohi Akhara and </w:t>
      </w:r>
      <w:r>
        <w:rPr>
          <w:w w:val="99"/>
          <w:sz w:val="25"/>
        </w:rPr>
        <w:t>r</w:t>
      </w:r>
      <w:r>
        <w:rPr>
          <w:spacing w:val="-1"/>
          <w:w w:val="99"/>
          <w:sz w:val="25"/>
        </w:rPr>
        <w:t>e</w:t>
      </w:r>
      <w:r>
        <w:rPr>
          <w:w w:val="99"/>
          <w:sz w:val="25"/>
        </w:rPr>
        <w:t>m</w:t>
      </w:r>
      <w:r>
        <w:rPr>
          <w:spacing w:val="-1"/>
          <w:w w:val="99"/>
          <w:sz w:val="25"/>
        </w:rPr>
        <w:t>ain</w:t>
      </w:r>
      <w:r>
        <w:rPr>
          <w:w w:val="99"/>
          <w:sz w:val="25"/>
        </w:rPr>
        <w:t>ed</w:t>
      </w:r>
      <w:r>
        <w:rPr>
          <w:spacing w:val="2"/>
          <w:sz w:val="25"/>
        </w:rPr>
        <w:t> </w:t>
      </w:r>
      <w:r>
        <w:rPr>
          <w:w w:val="99"/>
          <w:sz w:val="25"/>
        </w:rPr>
        <w:t>silent</w:t>
      </w:r>
      <w:r>
        <w:rPr>
          <w:spacing w:val="2"/>
          <w:sz w:val="25"/>
        </w:rPr>
        <w:t> </w:t>
      </w:r>
      <w:r>
        <w:rPr>
          <w:spacing w:val="-1"/>
          <w:w w:val="99"/>
          <w:sz w:val="25"/>
        </w:rPr>
        <w:t>a</w:t>
      </w:r>
      <w:r>
        <w:rPr>
          <w:w w:val="99"/>
          <w:sz w:val="25"/>
        </w:rPr>
        <w:t>b</w:t>
      </w:r>
      <w:r>
        <w:rPr>
          <w:spacing w:val="-1"/>
          <w:w w:val="99"/>
          <w:sz w:val="25"/>
        </w:rPr>
        <w:t>o</w:t>
      </w:r>
      <w:r>
        <w:rPr>
          <w:w w:val="99"/>
          <w:sz w:val="25"/>
        </w:rPr>
        <w:t>ut</w:t>
      </w:r>
      <w:r>
        <w:rPr>
          <w:spacing w:val="-1"/>
          <w:sz w:val="25"/>
        </w:rPr>
        <w:t> </w:t>
      </w:r>
      <w:r>
        <w:rPr>
          <w:w w:val="99"/>
          <w:sz w:val="25"/>
        </w:rPr>
        <w:t>the</w:t>
      </w:r>
      <w:r>
        <w:rPr>
          <w:spacing w:val="2"/>
          <w:sz w:val="25"/>
        </w:rPr>
        <w:t> </w:t>
      </w:r>
      <w:r>
        <w:rPr>
          <w:w w:val="99"/>
          <w:sz w:val="25"/>
        </w:rPr>
        <w:t>m</w:t>
      </w:r>
      <w:r>
        <w:rPr>
          <w:spacing w:val="-1"/>
          <w:w w:val="99"/>
          <w:sz w:val="25"/>
        </w:rPr>
        <w:t>a</w:t>
      </w:r>
      <w:r>
        <w:rPr>
          <w:w w:val="99"/>
          <w:sz w:val="25"/>
        </w:rPr>
        <w:t>n</w:t>
      </w:r>
      <w:r>
        <w:rPr>
          <w:spacing w:val="-1"/>
          <w:w w:val="99"/>
          <w:sz w:val="25"/>
        </w:rPr>
        <w:t>a</w:t>
      </w:r>
      <w:r>
        <w:rPr>
          <w:w w:val="99"/>
          <w:sz w:val="25"/>
        </w:rPr>
        <w:t>g</w:t>
      </w:r>
      <w:r>
        <w:rPr>
          <w:spacing w:val="-1"/>
          <w:w w:val="99"/>
          <w:sz w:val="25"/>
        </w:rPr>
        <w:t>e</w:t>
      </w:r>
      <w:r>
        <w:rPr>
          <w:w w:val="99"/>
          <w:sz w:val="25"/>
        </w:rPr>
        <w:t>m</w:t>
      </w:r>
      <w:r>
        <w:rPr>
          <w:spacing w:val="-1"/>
          <w:w w:val="99"/>
          <w:sz w:val="25"/>
        </w:rPr>
        <w:t>e</w:t>
      </w:r>
      <w:r>
        <w:rPr>
          <w:w w:val="99"/>
          <w:sz w:val="25"/>
        </w:rPr>
        <w:t>nt</w:t>
      </w:r>
      <w:r>
        <w:rPr>
          <w:spacing w:val="2"/>
          <w:sz w:val="25"/>
        </w:rPr>
        <w:t> </w:t>
      </w:r>
      <w:r>
        <w:rPr>
          <w:spacing w:val="-3"/>
          <w:w w:val="99"/>
          <w:sz w:val="25"/>
        </w:rPr>
        <w:t>a</w:t>
      </w:r>
      <w:r>
        <w:rPr>
          <w:spacing w:val="-1"/>
          <w:w w:val="99"/>
          <w:sz w:val="25"/>
        </w:rPr>
        <w:t>n</w:t>
      </w:r>
      <w:r>
        <w:rPr>
          <w:w w:val="99"/>
          <w:sz w:val="25"/>
        </w:rPr>
        <w:t>d</w:t>
      </w:r>
      <w:r>
        <w:rPr>
          <w:sz w:val="25"/>
        </w:rPr>
        <w:t> </w:t>
      </w:r>
      <w:r>
        <w:rPr>
          <w:spacing w:val="-1"/>
          <w:w w:val="99"/>
          <w:sz w:val="25"/>
        </w:rPr>
        <w:t>own</w:t>
      </w:r>
      <w:r>
        <w:rPr>
          <w:w w:val="99"/>
          <w:sz w:val="25"/>
        </w:rPr>
        <w:t>ership</w:t>
      </w:r>
      <w:r>
        <w:rPr>
          <w:spacing w:val="2"/>
          <w:sz w:val="25"/>
        </w:rPr>
        <w:t> </w:t>
      </w:r>
      <w:r>
        <w:rPr>
          <w:spacing w:val="-1"/>
          <w:w w:val="99"/>
          <w:sz w:val="25"/>
        </w:rPr>
        <w:t>o</w:t>
      </w:r>
      <w:r>
        <w:rPr>
          <w:w w:val="99"/>
          <w:sz w:val="25"/>
        </w:rPr>
        <w:t>f</w:t>
      </w:r>
      <w:r>
        <w:rPr>
          <w:spacing w:val="2"/>
          <w:sz w:val="25"/>
        </w:rPr>
        <w:t> </w:t>
      </w:r>
      <w:r>
        <w:rPr>
          <w:w w:val="99"/>
          <w:sz w:val="25"/>
        </w:rPr>
        <w:t>the</w:t>
      </w:r>
      <w:r>
        <w:rPr>
          <w:spacing w:val="2"/>
          <w:sz w:val="25"/>
        </w:rPr>
        <w:t> </w:t>
      </w:r>
      <w:r>
        <w:rPr>
          <w:w w:val="33"/>
          <w:sz w:val="25"/>
        </w:rPr>
        <w:t>―</w:t>
      </w:r>
      <w:r>
        <w:rPr>
          <w:w w:val="99"/>
          <w:sz w:val="25"/>
        </w:rPr>
        <w:t>t</w:t>
      </w:r>
      <w:r>
        <w:rPr>
          <w:spacing w:val="-2"/>
          <w:w w:val="99"/>
          <w:sz w:val="25"/>
        </w:rPr>
        <w:t>hr</w:t>
      </w:r>
      <w:r>
        <w:rPr>
          <w:spacing w:val="-1"/>
          <w:w w:val="99"/>
          <w:sz w:val="25"/>
        </w:rPr>
        <w:t>e</w:t>
      </w:r>
      <w:r>
        <w:rPr>
          <w:w w:val="99"/>
          <w:sz w:val="25"/>
        </w:rPr>
        <w:t>e</w:t>
      </w:r>
      <w:r>
        <w:rPr>
          <w:spacing w:val="2"/>
          <w:sz w:val="25"/>
        </w:rPr>
        <w:t> </w:t>
      </w:r>
      <w:r>
        <w:rPr>
          <w:spacing w:val="-1"/>
          <w:w w:val="99"/>
          <w:sz w:val="25"/>
        </w:rPr>
        <w:t>d</w:t>
      </w:r>
      <w:r>
        <w:rPr>
          <w:w w:val="99"/>
          <w:sz w:val="25"/>
        </w:rPr>
        <w:t>om</w:t>
      </w:r>
      <w:r>
        <w:rPr>
          <w:spacing w:val="-1"/>
          <w:w w:val="99"/>
          <w:sz w:val="25"/>
        </w:rPr>
        <w:t>ed </w:t>
      </w:r>
      <w:r>
        <w:rPr>
          <w:sz w:val="25"/>
        </w:rPr>
        <w:t>temple‖.</w:t>
      </w:r>
    </w:p>
    <w:p>
      <w:pPr>
        <w:pStyle w:val="BodyText"/>
        <w:spacing w:before="10"/>
        <w:rPr>
          <w:sz w:val="24"/>
        </w:rPr>
      </w:pPr>
    </w:p>
    <w:p>
      <w:pPr>
        <w:pStyle w:val="BodyText"/>
        <w:spacing w:line="480" w:lineRule="auto"/>
        <w:ind w:left="500" w:right="434"/>
        <w:jc w:val="both"/>
      </w:pPr>
      <w:r>
        <w:rPr/>
        <w:t>The witness stated that he had no knowledge about the observance or </w:t>
      </w:r>
      <w:r>
        <w:rPr>
          <w:spacing w:val="2"/>
        </w:rPr>
        <w:t>non- </w:t>
      </w:r>
      <w:r>
        <w:rPr/>
        <w:t>observance of worship at the disputed site before he attained the age of 14  years.</w:t>
      </w:r>
    </w:p>
    <w:p>
      <w:pPr>
        <w:pStyle w:val="BodyText"/>
        <w:rPr>
          <w:sz w:val="28"/>
        </w:rPr>
      </w:pPr>
    </w:p>
    <w:p>
      <w:pPr>
        <w:pStyle w:val="ListParagraph"/>
        <w:numPr>
          <w:ilvl w:val="0"/>
          <w:numId w:val="3"/>
        </w:numPr>
        <w:tabs>
          <w:tab w:pos="1221" w:val="left" w:leader="none"/>
        </w:tabs>
        <w:spacing w:line="480" w:lineRule="auto" w:before="251" w:after="0"/>
        <w:ind w:left="500" w:right="435" w:firstLine="0"/>
        <w:jc w:val="both"/>
        <w:rPr>
          <w:sz w:val="25"/>
        </w:rPr>
      </w:pPr>
      <w:r>
        <w:rPr>
          <w:b/>
          <w:sz w:val="25"/>
        </w:rPr>
        <w:t>Sri Ram Ashrey Yadav (DW 3/9): </w:t>
      </w:r>
      <w:r>
        <w:rPr>
          <w:sz w:val="25"/>
        </w:rPr>
        <w:t>The Examination-in-Chief of the  witness was recorded on 22 March 2004 when he was 72 years of age. He claims to reside in close proximity to the Ram Janmabhumi</w:t>
      </w:r>
      <w:r>
        <w:rPr>
          <w:spacing w:val="-13"/>
          <w:sz w:val="25"/>
        </w:rPr>
        <w:t> </w:t>
      </w:r>
      <w:r>
        <w:rPr>
          <w:sz w:val="25"/>
        </w:rPr>
        <w:t>temple.</w:t>
      </w:r>
    </w:p>
    <w:p>
      <w:pPr>
        <w:pStyle w:val="BodyText"/>
        <w:rPr>
          <w:sz w:val="28"/>
        </w:rPr>
      </w:pPr>
    </w:p>
    <w:p>
      <w:pPr>
        <w:pStyle w:val="BodyText"/>
        <w:spacing w:before="4"/>
        <w:rPr>
          <w:sz w:val="22"/>
        </w:rPr>
      </w:pPr>
    </w:p>
    <w:p>
      <w:pPr>
        <w:pStyle w:val="ListParagraph"/>
        <w:numPr>
          <w:ilvl w:val="0"/>
          <w:numId w:val="3"/>
        </w:numPr>
        <w:tabs>
          <w:tab w:pos="1221" w:val="left" w:leader="none"/>
        </w:tabs>
        <w:spacing w:line="480" w:lineRule="auto" w:before="0" w:after="0"/>
        <w:ind w:left="500" w:right="440" w:firstLine="0"/>
        <w:jc w:val="both"/>
        <w:rPr>
          <w:sz w:val="25"/>
        </w:rPr>
      </w:pPr>
      <w:r>
        <w:rPr>
          <w:sz w:val="25"/>
        </w:rPr>
        <w:t>Dr Dhavan has submitted that this witness is completely unaware of what is stated in his Examination-in-Chief, which needs to be completely disregarded for the following</w:t>
      </w:r>
      <w:r>
        <w:rPr>
          <w:spacing w:val="-1"/>
          <w:sz w:val="25"/>
        </w:rPr>
        <w:t> </w:t>
      </w:r>
      <w:r>
        <w:rPr>
          <w:sz w:val="25"/>
        </w:rPr>
        <w:t>reasons:</w:t>
      </w:r>
    </w:p>
    <w:p>
      <w:pPr>
        <w:spacing w:after="0" w:line="480" w:lineRule="auto"/>
        <w:jc w:val="both"/>
        <w:rPr>
          <w:sz w:val="25"/>
        </w:rPr>
        <w:sectPr>
          <w:pgSz w:w="11910" w:h="16840"/>
          <w:pgMar w:header="721" w:footer="1014" w:top="1300" w:bottom="1200" w:left="940" w:right="1000"/>
        </w:sectPr>
      </w:pPr>
    </w:p>
    <w:p>
      <w:pPr>
        <w:pStyle w:val="ListParagraph"/>
        <w:numPr>
          <w:ilvl w:val="0"/>
          <w:numId w:val="99"/>
        </w:numPr>
        <w:tabs>
          <w:tab w:pos="1221" w:val="left" w:leader="none"/>
        </w:tabs>
        <w:spacing w:line="480" w:lineRule="auto" w:before="124" w:after="0"/>
        <w:ind w:left="1220" w:right="437" w:hanging="720"/>
        <w:jc w:val="both"/>
        <w:rPr>
          <w:sz w:val="25"/>
        </w:rPr>
      </w:pPr>
      <w:r>
        <w:rPr>
          <w:sz w:val="25"/>
        </w:rPr>
        <w:t>In the course of his cross-examination, the witness admitted that while he had no knowledge of what was written in his affidavit, he cannot recollect what exactly was written though it was read out to</w:t>
      </w:r>
      <w:r>
        <w:rPr>
          <w:spacing w:val="-8"/>
          <w:sz w:val="25"/>
        </w:rPr>
        <w:t> </w:t>
      </w:r>
      <w:r>
        <w:rPr>
          <w:sz w:val="25"/>
        </w:rPr>
        <w:t>him;</w:t>
      </w:r>
    </w:p>
    <w:p>
      <w:pPr>
        <w:pStyle w:val="ListParagraph"/>
        <w:numPr>
          <w:ilvl w:val="0"/>
          <w:numId w:val="99"/>
        </w:numPr>
        <w:tabs>
          <w:tab w:pos="1221" w:val="left" w:leader="none"/>
        </w:tabs>
        <w:spacing w:line="480" w:lineRule="auto" w:before="0" w:after="0"/>
        <w:ind w:left="1220" w:right="445" w:hanging="720"/>
        <w:jc w:val="both"/>
        <w:rPr>
          <w:sz w:val="25"/>
        </w:rPr>
      </w:pPr>
      <w:r>
        <w:rPr>
          <w:sz w:val="25"/>
        </w:rPr>
        <w:t>The answers which he has furnished maybe right or wrong and that his memory had been</w:t>
      </w:r>
      <w:r>
        <w:rPr>
          <w:spacing w:val="-6"/>
          <w:sz w:val="25"/>
        </w:rPr>
        <w:t> </w:t>
      </w:r>
      <w:r>
        <w:rPr>
          <w:sz w:val="25"/>
        </w:rPr>
        <w:t>affected;</w:t>
      </w:r>
    </w:p>
    <w:p>
      <w:pPr>
        <w:pStyle w:val="ListParagraph"/>
        <w:numPr>
          <w:ilvl w:val="0"/>
          <w:numId w:val="99"/>
        </w:numPr>
        <w:tabs>
          <w:tab w:pos="1221" w:val="left" w:leader="none"/>
        </w:tabs>
        <w:spacing w:line="480" w:lineRule="auto" w:before="0" w:after="0"/>
        <w:ind w:left="1220" w:right="441" w:hanging="720"/>
        <w:jc w:val="both"/>
        <w:rPr>
          <w:sz w:val="25"/>
        </w:rPr>
      </w:pPr>
      <w:r>
        <w:rPr>
          <w:sz w:val="25"/>
        </w:rPr>
        <w:t>He was unaware whether the main affidavit was typed in Faizabad or Lucknow;</w:t>
      </w:r>
    </w:p>
    <w:p>
      <w:pPr>
        <w:pStyle w:val="ListParagraph"/>
        <w:numPr>
          <w:ilvl w:val="0"/>
          <w:numId w:val="99"/>
        </w:numPr>
        <w:tabs>
          <w:tab w:pos="1221" w:val="left" w:leader="none"/>
        </w:tabs>
        <w:spacing w:line="480" w:lineRule="auto" w:before="0" w:after="0"/>
        <w:ind w:left="1220" w:right="443" w:hanging="720"/>
        <w:jc w:val="both"/>
        <w:rPr>
          <w:sz w:val="25"/>
        </w:rPr>
      </w:pPr>
      <w:r>
        <w:rPr>
          <w:sz w:val="25"/>
        </w:rPr>
        <w:t>He had visited the sanctum sanctorum for darshan even before 22/23 December 1949 and the statement that an idol was placed on those dates was untrue;</w:t>
      </w:r>
      <w:r>
        <w:rPr>
          <w:spacing w:val="-3"/>
          <w:sz w:val="25"/>
        </w:rPr>
        <w:t> </w:t>
      </w:r>
      <w:r>
        <w:rPr>
          <w:sz w:val="25"/>
        </w:rPr>
        <w:t>and</w:t>
      </w:r>
    </w:p>
    <w:p>
      <w:pPr>
        <w:pStyle w:val="ListParagraph"/>
        <w:numPr>
          <w:ilvl w:val="0"/>
          <w:numId w:val="99"/>
        </w:numPr>
        <w:tabs>
          <w:tab w:pos="1221" w:val="left" w:leader="none"/>
        </w:tabs>
        <w:spacing w:line="480" w:lineRule="auto" w:before="1" w:after="0"/>
        <w:ind w:left="1220" w:right="442" w:hanging="720"/>
        <w:jc w:val="both"/>
        <w:rPr>
          <w:sz w:val="25"/>
        </w:rPr>
      </w:pPr>
      <w:r>
        <w:rPr>
          <w:sz w:val="25"/>
        </w:rPr>
        <w:t>The witness was unaware whether the dates 22/23 December pertained to the year 1949 or not.</w:t>
      </w:r>
    </w:p>
    <w:p>
      <w:pPr>
        <w:pStyle w:val="BodyText"/>
      </w:pPr>
    </w:p>
    <w:p>
      <w:pPr>
        <w:pStyle w:val="BodyText"/>
        <w:spacing w:line="480" w:lineRule="auto" w:before="1"/>
        <w:ind w:left="500" w:right="443"/>
        <w:jc w:val="both"/>
      </w:pPr>
      <w:r>
        <w:rPr/>
        <w:t>Though, the affidavit was prepared merely ten months earlier, the witness was unable to recollect anything from the document. He was unaware of the history of Nirmohi Akhara and had no knowledge whether the disputed shrine was attached. This witness stated that he was unaware of the contents of his affidavit by way of</w:t>
      </w:r>
      <w:r>
        <w:rPr>
          <w:spacing w:val="-7"/>
        </w:rPr>
        <w:t> </w:t>
      </w:r>
      <w:r>
        <w:rPr/>
        <w:t>Examination-in-Chief:</w:t>
      </w:r>
    </w:p>
    <w:p>
      <w:pPr>
        <w:spacing w:line="276" w:lineRule="auto" w:before="158"/>
        <w:ind w:left="1940" w:right="2261" w:firstLine="0"/>
        <w:jc w:val="both"/>
        <w:rPr>
          <w:sz w:val="21"/>
        </w:rPr>
      </w:pPr>
      <w:r>
        <w:rPr>
          <w:w w:val="33"/>
          <w:sz w:val="21"/>
        </w:rPr>
        <w:t>―</w:t>
      </w:r>
      <w:r>
        <w:rPr>
          <w:w w:val="100"/>
          <w:sz w:val="21"/>
        </w:rPr>
        <w:t>Today,</w:t>
      </w:r>
      <w:r>
        <w:rPr>
          <w:sz w:val="21"/>
        </w:rPr>
        <w:t> </w:t>
      </w:r>
      <w:r>
        <w:rPr>
          <w:w w:val="100"/>
          <w:sz w:val="21"/>
        </w:rPr>
        <w:t>I</w:t>
      </w:r>
      <w:r>
        <w:rPr>
          <w:sz w:val="21"/>
        </w:rPr>
        <w:t> </w:t>
      </w:r>
      <w:r>
        <w:rPr>
          <w:w w:val="100"/>
          <w:sz w:val="21"/>
        </w:rPr>
        <w:t>have</w:t>
      </w:r>
      <w:r>
        <w:rPr>
          <w:sz w:val="21"/>
        </w:rPr>
        <w:t> </w:t>
      </w:r>
      <w:r>
        <w:rPr>
          <w:w w:val="100"/>
          <w:sz w:val="21"/>
        </w:rPr>
        <w:t>filed</w:t>
      </w:r>
      <w:r>
        <w:rPr>
          <w:sz w:val="21"/>
        </w:rPr>
        <w:t> </w:t>
      </w:r>
      <w:r>
        <w:rPr>
          <w:w w:val="100"/>
          <w:sz w:val="21"/>
        </w:rPr>
        <w:t>an</w:t>
      </w:r>
      <w:r>
        <w:rPr>
          <w:sz w:val="21"/>
        </w:rPr>
        <w:t> </w:t>
      </w:r>
      <w:r>
        <w:rPr>
          <w:w w:val="100"/>
          <w:sz w:val="21"/>
        </w:rPr>
        <w:t>affidavit</w:t>
      </w:r>
      <w:r>
        <w:rPr>
          <w:sz w:val="21"/>
        </w:rPr>
        <w:t> </w:t>
      </w:r>
      <w:r>
        <w:rPr>
          <w:w w:val="100"/>
          <w:sz w:val="21"/>
        </w:rPr>
        <w:t>in</w:t>
      </w:r>
      <w:r>
        <w:rPr>
          <w:sz w:val="21"/>
        </w:rPr>
        <w:t> </w:t>
      </w:r>
      <w:r>
        <w:rPr>
          <w:w w:val="100"/>
          <w:sz w:val="21"/>
        </w:rPr>
        <w:t>this</w:t>
      </w:r>
      <w:r>
        <w:rPr>
          <w:sz w:val="21"/>
        </w:rPr>
        <w:t> </w:t>
      </w:r>
      <w:r>
        <w:rPr>
          <w:w w:val="100"/>
          <w:sz w:val="21"/>
        </w:rPr>
        <w:t>Court.</w:t>
      </w:r>
      <w:r>
        <w:rPr>
          <w:sz w:val="21"/>
        </w:rPr>
        <w:t> </w:t>
      </w:r>
      <w:r>
        <w:rPr>
          <w:w w:val="100"/>
          <w:sz w:val="21"/>
        </w:rPr>
        <w:t>I</w:t>
      </w:r>
      <w:r>
        <w:rPr>
          <w:sz w:val="21"/>
        </w:rPr>
        <w:t> </w:t>
      </w:r>
      <w:r>
        <w:rPr>
          <w:w w:val="100"/>
          <w:sz w:val="21"/>
        </w:rPr>
        <w:t>was</w:t>
      </w:r>
      <w:r>
        <w:rPr>
          <w:sz w:val="21"/>
        </w:rPr>
        <w:t> </w:t>
      </w:r>
      <w:r>
        <w:rPr>
          <w:w w:val="100"/>
          <w:sz w:val="21"/>
        </w:rPr>
        <w:t>not</w:t>
      </w:r>
      <w:r>
        <w:rPr>
          <w:sz w:val="21"/>
        </w:rPr>
        <w:t> </w:t>
      </w:r>
      <w:r>
        <w:rPr>
          <w:w w:val="100"/>
          <w:sz w:val="21"/>
        </w:rPr>
        <w:t>able</w:t>
      </w:r>
      <w:r>
        <w:rPr>
          <w:sz w:val="21"/>
        </w:rPr>
        <w:t> </w:t>
      </w:r>
      <w:r>
        <w:rPr>
          <w:w w:val="100"/>
          <w:sz w:val="21"/>
        </w:rPr>
        <w:t>to </w:t>
      </w:r>
      <w:r>
        <w:rPr>
          <w:sz w:val="21"/>
        </w:rPr>
        <w:t>read on my own as to what was written in the affidavit filed by me. This affidavit was read out to me by the 'Munshi' (advocate clerk), but I do not remember his name. I had only put my signature on the affidavit after hearing the same, but I do not know about its contents. This affidavit ran into three or four pages.‖</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9"/>
        <w:jc w:val="both"/>
      </w:pPr>
      <w:r>
        <w:rPr/>
        <w:t>Later, he stated that his mind was not functioning properly for eight to ten months and his memory had become weak. He stated:</w:t>
      </w:r>
    </w:p>
    <w:p>
      <w:pPr>
        <w:spacing w:line="276" w:lineRule="auto" w:before="0"/>
        <w:ind w:left="1940" w:right="2260" w:firstLine="0"/>
        <w:jc w:val="both"/>
        <w:rPr>
          <w:sz w:val="21"/>
        </w:rPr>
      </w:pPr>
      <w:r>
        <w:rPr>
          <w:spacing w:val="-1"/>
          <w:w w:val="33"/>
          <w:sz w:val="21"/>
        </w:rPr>
        <w:t>―</w:t>
      </w:r>
      <w:r>
        <w:rPr>
          <w:w w:val="100"/>
          <w:sz w:val="21"/>
        </w:rPr>
        <w:t>I</w:t>
      </w:r>
      <w:r>
        <w:rPr>
          <w:sz w:val="21"/>
        </w:rPr>
        <w:t>  </w:t>
      </w:r>
      <w:r>
        <w:rPr>
          <w:spacing w:val="-26"/>
          <w:sz w:val="21"/>
        </w:rPr>
        <w:t> </w:t>
      </w:r>
      <w:r>
        <w:rPr>
          <w:spacing w:val="-1"/>
          <w:w w:val="100"/>
          <w:sz w:val="21"/>
        </w:rPr>
        <w:t>d</w:t>
      </w:r>
      <w:r>
        <w:rPr>
          <w:w w:val="100"/>
          <w:sz w:val="21"/>
        </w:rPr>
        <w:t>o</w:t>
      </w:r>
      <w:r>
        <w:rPr>
          <w:sz w:val="21"/>
        </w:rPr>
        <w:t>  </w:t>
      </w:r>
      <w:r>
        <w:rPr>
          <w:spacing w:val="-24"/>
          <w:sz w:val="21"/>
        </w:rPr>
        <w:t> </w:t>
      </w:r>
      <w:r>
        <w:rPr>
          <w:spacing w:val="-1"/>
          <w:w w:val="100"/>
          <w:sz w:val="21"/>
        </w:rPr>
        <w:t>no</w:t>
      </w:r>
      <w:r>
        <w:rPr>
          <w:w w:val="100"/>
          <w:sz w:val="21"/>
        </w:rPr>
        <w:t>t</w:t>
      </w:r>
      <w:r>
        <w:rPr>
          <w:sz w:val="21"/>
        </w:rPr>
        <w:t>  </w:t>
      </w:r>
      <w:r>
        <w:rPr>
          <w:spacing w:val="-25"/>
          <w:sz w:val="21"/>
        </w:rPr>
        <w:t> </w:t>
      </w:r>
      <w:r>
        <w:rPr>
          <w:spacing w:val="-1"/>
          <w:w w:val="100"/>
          <w:sz w:val="21"/>
        </w:rPr>
        <w:t>reco</w:t>
      </w:r>
      <w:r>
        <w:rPr>
          <w:spacing w:val="1"/>
          <w:w w:val="100"/>
          <w:sz w:val="21"/>
        </w:rPr>
        <w:t>l</w:t>
      </w:r>
      <w:r>
        <w:rPr>
          <w:w w:val="100"/>
          <w:sz w:val="21"/>
        </w:rPr>
        <w:t>l</w:t>
      </w:r>
      <w:r>
        <w:rPr>
          <w:spacing w:val="-3"/>
          <w:w w:val="100"/>
          <w:sz w:val="21"/>
        </w:rPr>
        <w:t>e</w:t>
      </w:r>
      <w:r>
        <w:rPr>
          <w:w w:val="100"/>
          <w:sz w:val="21"/>
        </w:rPr>
        <w:t>ct</w:t>
      </w:r>
      <w:r>
        <w:rPr>
          <w:sz w:val="21"/>
        </w:rPr>
        <w:t>  </w:t>
      </w:r>
      <w:r>
        <w:rPr>
          <w:spacing w:val="-26"/>
          <w:sz w:val="21"/>
        </w:rPr>
        <w:t> </w:t>
      </w:r>
      <w:r>
        <w:rPr>
          <w:spacing w:val="-2"/>
          <w:w w:val="100"/>
          <w:sz w:val="21"/>
        </w:rPr>
        <w:t>w</w:t>
      </w:r>
      <w:r>
        <w:rPr>
          <w:spacing w:val="-1"/>
          <w:w w:val="100"/>
          <w:sz w:val="21"/>
        </w:rPr>
        <w:t>hethe</w:t>
      </w:r>
      <w:r>
        <w:rPr>
          <w:w w:val="100"/>
          <w:sz w:val="21"/>
        </w:rPr>
        <w:t>r</w:t>
      </w:r>
      <w:r>
        <w:rPr>
          <w:sz w:val="21"/>
        </w:rPr>
        <w:t>  </w:t>
      </w:r>
      <w:r>
        <w:rPr>
          <w:spacing w:val="-25"/>
          <w:sz w:val="21"/>
        </w:rPr>
        <w:t> </w:t>
      </w:r>
      <w:r>
        <w:rPr>
          <w:spacing w:val="-2"/>
          <w:w w:val="100"/>
          <w:sz w:val="21"/>
        </w:rPr>
        <w:t>t</w:t>
      </w:r>
      <w:r>
        <w:rPr>
          <w:spacing w:val="-1"/>
          <w:w w:val="100"/>
          <w:sz w:val="21"/>
        </w:rPr>
        <w:t>h</w:t>
      </w:r>
      <w:r>
        <w:rPr>
          <w:w w:val="100"/>
          <w:sz w:val="21"/>
        </w:rPr>
        <w:t>e</w:t>
      </w:r>
      <w:r>
        <w:rPr>
          <w:sz w:val="21"/>
        </w:rPr>
        <w:t>  </w:t>
      </w:r>
      <w:r>
        <w:rPr>
          <w:spacing w:val="-24"/>
          <w:sz w:val="21"/>
        </w:rPr>
        <w:t> </w:t>
      </w:r>
      <w:r>
        <w:rPr>
          <w:spacing w:val="1"/>
          <w:w w:val="100"/>
          <w:sz w:val="21"/>
        </w:rPr>
        <w:t>f</w:t>
      </w:r>
      <w:r>
        <w:rPr>
          <w:spacing w:val="-1"/>
          <w:w w:val="100"/>
          <w:sz w:val="21"/>
        </w:rPr>
        <w:t>act</w:t>
      </w:r>
      <w:r>
        <w:rPr>
          <w:w w:val="100"/>
          <w:sz w:val="21"/>
        </w:rPr>
        <w:t>s</w:t>
      </w:r>
      <w:r>
        <w:rPr>
          <w:sz w:val="21"/>
        </w:rPr>
        <w:t>  </w:t>
      </w:r>
      <w:r>
        <w:rPr>
          <w:spacing w:val="-25"/>
          <w:sz w:val="21"/>
        </w:rPr>
        <w:t> </w:t>
      </w:r>
      <w:r>
        <w:rPr>
          <w:spacing w:val="-1"/>
          <w:w w:val="100"/>
          <w:sz w:val="21"/>
        </w:rPr>
        <w:t>ment</w:t>
      </w:r>
      <w:r>
        <w:rPr>
          <w:spacing w:val="-2"/>
          <w:w w:val="100"/>
          <w:sz w:val="21"/>
        </w:rPr>
        <w:t>i</w:t>
      </w:r>
      <w:r>
        <w:rPr>
          <w:spacing w:val="-1"/>
          <w:w w:val="100"/>
          <w:sz w:val="21"/>
        </w:rPr>
        <w:t>on</w:t>
      </w:r>
      <w:r>
        <w:rPr>
          <w:spacing w:val="-2"/>
          <w:w w:val="100"/>
          <w:sz w:val="21"/>
        </w:rPr>
        <w:t>e</w:t>
      </w:r>
      <w:r>
        <w:rPr>
          <w:w w:val="100"/>
          <w:sz w:val="21"/>
        </w:rPr>
        <w:t>d</w:t>
      </w:r>
      <w:r>
        <w:rPr>
          <w:sz w:val="21"/>
        </w:rPr>
        <w:t>  </w:t>
      </w:r>
      <w:r>
        <w:rPr>
          <w:spacing w:val="-24"/>
          <w:sz w:val="21"/>
        </w:rPr>
        <w:t> </w:t>
      </w:r>
      <w:r>
        <w:rPr>
          <w:w w:val="100"/>
          <w:sz w:val="21"/>
        </w:rPr>
        <w:t>in</w:t>
      </w:r>
      <w:r>
        <w:rPr>
          <w:sz w:val="21"/>
        </w:rPr>
        <w:t>  </w:t>
      </w:r>
      <w:r>
        <w:rPr>
          <w:spacing w:val="-24"/>
          <w:sz w:val="21"/>
        </w:rPr>
        <w:t> </w:t>
      </w:r>
      <w:r>
        <w:rPr>
          <w:spacing w:val="-2"/>
          <w:w w:val="100"/>
          <w:sz w:val="21"/>
        </w:rPr>
        <w:t>t</w:t>
      </w:r>
      <w:r>
        <w:rPr>
          <w:spacing w:val="-1"/>
          <w:w w:val="100"/>
          <w:sz w:val="21"/>
        </w:rPr>
        <w:t>h</w:t>
      </w:r>
      <w:r>
        <w:rPr>
          <w:spacing w:val="-2"/>
          <w:w w:val="100"/>
          <w:sz w:val="21"/>
        </w:rPr>
        <w:t>i</w:t>
      </w:r>
      <w:r>
        <w:rPr>
          <w:w w:val="100"/>
          <w:sz w:val="21"/>
        </w:rPr>
        <w:t>s </w:t>
      </w:r>
      <w:r>
        <w:rPr>
          <w:sz w:val="21"/>
        </w:rPr>
        <w:t>paragraph, had been got incorporated by me or not. … In second and third line of this paragraph, I have mentioned that 'the placement of idols in the 'Garbh-grih' portion on 22-23 December, is totally wrong'. I do not remember whether this fact is related to the incident of 1949 or not. In this very paragraph, I have also mentioned that 'few local Muslims. … got the forged action taken'. I do not recollect as to in which behalf, was this forged action. Stated on his own that I cannot tell whether the forged action mentioned by me was related to the incident of year 1934 or</w:t>
      </w:r>
      <w:r>
        <w:rPr>
          <w:spacing w:val="-12"/>
          <w:sz w:val="21"/>
        </w:rPr>
        <w:t> </w:t>
      </w:r>
      <w:r>
        <w:rPr>
          <w:sz w:val="21"/>
        </w:rPr>
        <w:t>not.‖</w:t>
      </w:r>
    </w:p>
    <w:p>
      <w:pPr>
        <w:pStyle w:val="BodyText"/>
        <w:rPr>
          <w:sz w:val="24"/>
        </w:rPr>
      </w:pPr>
    </w:p>
    <w:p>
      <w:pPr>
        <w:pStyle w:val="BodyText"/>
        <w:rPr>
          <w:sz w:val="24"/>
        </w:rPr>
      </w:pPr>
    </w:p>
    <w:p>
      <w:pPr>
        <w:pStyle w:val="BodyText"/>
        <w:spacing w:before="1"/>
      </w:pPr>
    </w:p>
    <w:p>
      <w:pPr>
        <w:pStyle w:val="ListParagraph"/>
        <w:numPr>
          <w:ilvl w:val="0"/>
          <w:numId w:val="3"/>
        </w:numPr>
        <w:tabs>
          <w:tab w:pos="1221" w:val="left" w:leader="none"/>
        </w:tabs>
        <w:spacing w:line="480" w:lineRule="auto" w:before="0" w:after="0"/>
        <w:ind w:left="500" w:right="435" w:firstLine="0"/>
        <w:jc w:val="both"/>
        <w:rPr>
          <w:sz w:val="25"/>
        </w:rPr>
      </w:pPr>
      <w:r>
        <w:rPr>
          <w:b/>
          <w:sz w:val="25"/>
        </w:rPr>
        <w:t>Sri Pateshwari Dutt Pandey (DW 3/10): </w:t>
      </w:r>
      <w:r>
        <w:rPr>
          <w:sz w:val="25"/>
        </w:rPr>
        <w:t>The Examination-in-Chief of the witness is dated 23 March 2004. The witness who was 74 years of age stated that he was the local commissioner who performed a site survey in relation to another case (</w:t>
      </w:r>
      <w:r>
        <w:rPr>
          <w:b/>
          <w:sz w:val="25"/>
        </w:rPr>
        <w:t>Nirmohi Akhara </w:t>
      </w:r>
      <w:r>
        <w:rPr>
          <w:sz w:val="25"/>
        </w:rPr>
        <w:t>v </w:t>
      </w:r>
      <w:r>
        <w:rPr>
          <w:b/>
          <w:sz w:val="25"/>
        </w:rPr>
        <w:t>Ram Lakhan Sharan Das – Suit 9 of</w:t>
      </w:r>
      <w:r>
        <w:rPr>
          <w:b/>
          <w:spacing w:val="-6"/>
          <w:sz w:val="25"/>
        </w:rPr>
        <w:t> </w:t>
      </w:r>
      <w:r>
        <w:rPr>
          <w:b/>
          <w:sz w:val="25"/>
        </w:rPr>
        <w:t>1973</w:t>
      </w:r>
      <w:r>
        <w:rPr>
          <w:sz w:val="25"/>
        </w:rPr>
        <w:t>).</w:t>
      </w:r>
    </w:p>
    <w:p>
      <w:pPr>
        <w:pStyle w:val="BodyText"/>
        <w:rPr>
          <w:sz w:val="28"/>
        </w:rPr>
      </w:pPr>
    </w:p>
    <w:p>
      <w:pPr>
        <w:pStyle w:val="BodyText"/>
        <w:spacing w:before="3"/>
        <w:rPr>
          <w:sz w:val="22"/>
        </w:rPr>
      </w:pPr>
    </w:p>
    <w:p>
      <w:pPr>
        <w:pStyle w:val="BodyText"/>
        <w:spacing w:line="480" w:lineRule="auto"/>
        <w:ind w:left="500" w:right="445"/>
        <w:jc w:val="both"/>
      </w:pPr>
      <w:r>
        <w:rPr/>
        <w:t>Dr Dhavan has adverted to the following points in regard to the testimony to the witness:</w:t>
      </w:r>
    </w:p>
    <w:p>
      <w:pPr>
        <w:pStyle w:val="ListParagraph"/>
        <w:numPr>
          <w:ilvl w:val="0"/>
          <w:numId w:val="100"/>
        </w:numPr>
        <w:tabs>
          <w:tab w:pos="1221" w:val="left" w:leader="none"/>
        </w:tabs>
        <w:spacing w:line="480" w:lineRule="auto" w:before="0" w:after="0"/>
        <w:ind w:left="1220" w:right="434" w:hanging="720"/>
        <w:jc w:val="both"/>
        <w:rPr>
          <w:sz w:val="25"/>
        </w:rPr>
      </w:pPr>
      <w:r>
        <w:rPr>
          <w:sz w:val="25"/>
        </w:rPr>
        <w:t>Though, his report marks the existence of a Mandir at the disputed site, he </w:t>
      </w:r>
      <w:r>
        <w:rPr>
          <w:spacing w:val="-1"/>
          <w:w w:val="99"/>
          <w:sz w:val="25"/>
        </w:rPr>
        <w:t>acc</w:t>
      </w:r>
      <w:r>
        <w:rPr>
          <w:w w:val="99"/>
          <w:sz w:val="25"/>
        </w:rPr>
        <w:t>e</w:t>
      </w:r>
      <w:r>
        <w:rPr>
          <w:spacing w:val="-1"/>
          <w:w w:val="99"/>
          <w:sz w:val="25"/>
        </w:rPr>
        <w:t>pt</w:t>
      </w:r>
      <w:r>
        <w:rPr>
          <w:w w:val="99"/>
          <w:sz w:val="25"/>
        </w:rPr>
        <w:t>ed</w:t>
      </w:r>
      <w:r>
        <w:rPr>
          <w:spacing w:val="12"/>
          <w:sz w:val="25"/>
        </w:rPr>
        <w:t> </w:t>
      </w:r>
      <w:r>
        <w:rPr>
          <w:w w:val="99"/>
          <w:sz w:val="25"/>
        </w:rPr>
        <w:t>that</w:t>
      </w:r>
      <w:r>
        <w:rPr>
          <w:spacing w:val="12"/>
          <w:sz w:val="25"/>
        </w:rPr>
        <w:t> </w:t>
      </w:r>
      <w:r>
        <w:rPr>
          <w:w w:val="99"/>
          <w:sz w:val="25"/>
        </w:rPr>
        <w:t>the</w:t>
      </w:r>
      <w:r>
        <w:rPr>
          <w:spacing w:val="12"/>
          <w:sz w:val="25"/>
        </w:rPr>
        <w:t> </w:t>
      </w:r>
      <w:r>
        <w:rPr>
          <w:spacing w:val="-1"/>
          <w:w w:val="99"/>
          <w:sz w:val="25"/>
        </w:rPr>
        <w:t>wo</w:t>
      </w:r>
      <w:r>
        <w:rPr>
          <w:w w:val="99"/>
          <w:sz w:val="25"/>
        </w:rPr>
        <w:t>rd</w:t>
      </w:r>
      <w:r>
        <w:rPr>
          <w:spacing w:val="12"/>
          <w:sz w:val="25"/>
        </w:rPr>
        <w:t> </w:t>
      </w:r>
      <w:r>
        <w:rPr>
          <w:spacing w:val="1"/>
          <w:w w:val="40"/>
          <w:sz w:val="25"/>
        </w:rPr>
        <w:t>‗</w:t>
      </w:r>
      <w:r>
        <w:rPr>
          <w:spacing w:val="-4"/>
          <w:w w:val="99"/>
          <w:sz w:val="25"/>
        </w:rPr>
        <w:t>M</w:t>
      </w:r>
      <w:r>
        <w:rPr>
          <w:spacing w:val="-1"/>
          <w:w w:val="99"/>
          <w:sz w:val="25"/>
        </w:rPr>
        <w:t>a</w:t>
      </w:r>
      <w:r>
        <w:rPr>
          <w:w w:val="99"/>
          <w:sz w:val="25"/>
        </w:rPr>
        <w:t>n</w:t>
      </w:r>
      <w:r>
        <w:rPr>
          <w:spacing w:val="-1"/>
          <w:w w:val="99"/>
          <w:sz w:val="25"/>
        </w:rPr>
        <w:t>di</w:t>
      </w:r>
      <w:r>
        <w:rPr>
          <w:w w:val="99"/>
          <w:sz w:val="25"/>
        </w:rPr>
        <w:t>r‘</w:t>
      </w:r>
      <w:r>
        <w:rPr>
          <w:spacing w:val="11"/>
          <w:sz w:val="25"/>
        </w:rPr>
        <w:t> </w:t>
      </w:r>
      <w:r>
        <w:rPr>
          <w:spacing w:val="-1"/>
          <w:w w:val="99"/>
          <w:sz w:val="25"/>
        </w:rPr>
        <w:t>h</w:t>
      </w:r>
      <w:r>
        <w:rPr>
          <w:w w:val="99"/>
          <w:sz w:val="25"/>
        </w:rPr>
        <w:t>ad</w:t>
      </w:r>
      <w:r>
        <w:rPr>
          <w:spacing w:val="12"/>
          <w:sz w:val="25"/>
        </w:rPr>
        <w:t> </w:t>
      </w:r>
      <w:r>
        <w:rPr>
          <w:spacing w:val="-1"/>
          <w:w w:val="99"/>
          <w:sz w:val="25"/>
        </w:rPr>
        <w:t>b</w:t>
      </w:r>
      <w:r>
        <w:rPr>
          <w:w w:val="99"/>
          <w:sz w:val="25"/>
        </w:rPr>
        <w:t>e</w:t>
      </w:r>
      <w:r>
        <w:rPr>
          <w:spacing w:val="-1"/>
          <w:w w:val="99"/>
          <w:sz w:val="25"/>
        </w:rPr>
        <w:t>e</w:t>
      </w:r>
      <w:r>
        <w:rPr>
          <w:w w:val="99"/>
          <w:sz w:val="25"/>
        </w:rPr>
        <w:t>n</w:t>
      </w:r>
      <w:r>
        <w:rPr>
          <w:spacing w:val="12"/>
          <w:sz w:val="25"/>
        </w:rPr>
        <w:t> </w:t>
      </w:r>
      <w:r>
        <w:rPr>
          <w:spacing w:val="1"/>
          <w:w w:val="99"/>
          <w:sz w:val="25"/>
        </w:rPr>
        <w:t>i</w:t>
      </w:r>
      <w:r>
        <w:rPr>
          <w:spacing w:val="-1"/>
          <w:w w:val="99"/>
          <w:sz w:val="25"/>
        </w:rPr>
        <w:t>ns</w:t>
      </w:r>
      <w:r>
        <w:rPr>
          <w:w w:val="99"/>
          <w:sz w:val="25"/>
        </w:rPr>
        <w:t>erted</w:t>
      </w:r>
      <w:r>
        <w:rPr>
          <w:spacing w:val="12"/>
          <w:sz w:val="25"/>
        </w:rPr>
        <w:t> </w:t>
      </w:r>
      <w:r>
        <w:rPr>
          <w:spacing w:val="-1"/>
          <w:w w:val="99"/>
          <w:sz w:val="25"/>
        </w:rPr>
        <w:t>b</w:t>
      </w:r>
      <w:r>
        <w:rPr>
          <w:w w:val="99"/>
          <w:sz w:val="25"/>
        </w:rPr>
        <w:t>y</w:t>
      </w:r>
      <w:r>
        <w:rPr>
          <w:spacing w:val="9"/>
          <w:sz w:val="25"/>
        </w:rPr>
        <w:t> </w:t>
      </w:r>
      <w:r>
        <w:rPr>
          <w:spacing w:val="-1"/>
          <w:w w:val="99"/>
          <w:sz w:val="25"/>
        </w:rPr>
        <w:t>hi</w:t>
      </w:r>
      <w:r>
        <w:rPr>
          <w:w w:val="99"/>
          <w:sz w:val="25"/>
        </w:rPr>
        <w:t>m</w:t>
      </w:r>
      <w:r>
        <w:rPr>
          <w:spacing w:val="12"/>
          <w:sz w:val="25"/>
        </w:rPr>
        <w:t> </w:t>
      </w:r>
      <w:r>
        <w:rPr>
          <w:spacing w:val="-1"/>
          <w:w w:val="99"/>
          <w:sz w:val="25"/>
        </w:rPr>
        <w:t>a</w:t>
      </w:r>
      <w:r>
        <w:rPr>
          <w:w w:val="99"/>
          <w:sz w:val="25"/>
        </w:rPr>
        <w:t>t</w:t>
      </w:r>
      <w:r>
        <w:rPr>
          <w:spacing w:val="12"/>
          <w:sz w:val="25"/>
        </w:rPr>
        <w:t> </w:t>
      </w:r>
      <w:r>
        <w:rPr>
          <w:w w:val="99"/>
          <w:sz w:val="25"/>
        </w:rPr>
        <w:t>the</w:t>
      </w:r>
      <w:r>
        <w:rPr>
          <w:spacing w:val="15"/>
          <w:sz w:val="25"/>
        </w:rPr>
        <w:t> </w:t>
      </w:r>
      <w:r>
        <w:rPr>
          <w:spacing w:val="-1"/>
          <w:w w:val="99"/>
          <w:sz w:val="25"/>
        </w:rPr>
        <w:t>b</w:t>
      </w:r>
      <w:r>
        <w:rPr>
          <w:w w:val="99"/>
          <w:sz w:val="25"/>
        </w:rPr>
        <w:t>e</w:t>
      </w:r>
      <w:r>
        <w:rPr>
          <w:spacing w:val="-1"/>
          <w:w w:val="99"/>
          <w:sz w:val="25"/>
        </w:rPr>
        <w:t>h</w:t>
      </w:r>
      <w:r>
        <w:rPr>
          <w:spacing w:val="10"/>
          <w:w w:val="99"/>
          <w:sz w:val="25"/>
        </w:rPr>
        <w:t>e</w:t>
      </w:r>
      <w:r>
        <w:rPr>
          <w:w w:val="99"/>
          <w:sz w:val="25"/>
        </w:rPr>
        <w:t>st</w:t>
      </w:r>
      <w:r>
        <w:rPr>
          <w:spacing w:val="12"/>
          <w:sz w:val="25"/>
        </w:rPr>
        <w:t> </w:t>
      </w:r>
      <w:r>
        <w:rPr>
          <w:w w:val="99"/>
          <w:sz w:val="25"/>
        </w:rPr>
        <w:t>of </w:t>
      </w:r>
      <w:r>
        <w:rPr>
          <w:sz w:val="25"/>
        </w:rPr>
        <w:t>certain other persons. He did not know whether the place was Babri Masjid or otherwise and stated that he had written what was informed to him by others;</w:t>
      </w:r>
      <w:r>
        <w:rPr>
          <w:spacing w:val="-1"/>
          <w:sz w:val="25"/>
        </w:rPr>
        <w:t> </w:t>
      </w:r>
      <w:r>
        <w:rPr>
          <w:sz w:val="25"/>
        </w:rPr>
        <w:t>and</w:t>
      </w:r>
    </w:p>
    <w:p>
      <w:pPr>
        <w:pStyle w:val="ListParagraph"/>
        <w:numPr>
          <w:ilvl w:val="0"/>
          <w:numId w:val="100"/>
        </w:numPr>
        <w:tabs>
          <w:tab w:pos="1221" w:val="left" w:leader="none"/>
        </w:tabs>
        <w:spacing w:line="480" w:lineRule="auto" w:before="1" w:after="0"/>
        <w:ind w:left="1220" w:right="439" w:hanging="720"/>
        <w:jc w:val="both"/>
        <w:rPr>
          <w:sz w:val="25"/>
        </w:rPr>
      </w:pPr>
      <w:r>
        <w:rPr>
          <w:sz w:val="25"/>
        </w:rPr>
        <w:t>Consequently, the report of the witness cannot be relied upon to establish that the disputed structure was a temple as he marked it as a temple only on the suggestion of</w:t>
      </w:r>
      <w:r>
        <w:rPr>
          <w:spacing w:val="-6"/>
          <w:sz w:val="25"/>
        </w:rPr>
        <w:t> </w:t>
      </w:r>
      <w:r>
        <w:rPr>
          <w:sz w:val="25"/>
        </w:rPr>
        <w:t>others.</w:t>
      </w:r>
    </w:p>
    <w:p>
      <w:pPr>
        <w:spacing w:after="0" w:line="480" w:lineRule="auto"/>
        <w:jc w:val="both"/>
        <w:rPr>
          <w:sz w:val="25"/>
        </w:rPr>
        <w:sectPr>
          <w:pgSz w:w="11910" w:h="16840"/>
          <w:pgMar w:header="721" w:footer="1014" w:top="1300" w:bottom="1200" w:left="940" w:right="1000"/>
        </w:sectPr>
      </w:pPr>
    </w:p>
    <w:p>
      <w:pPr>
        <w:pStyle w:val="BodyText"/>
        <w:spacing w:before="124"/>
        <w:ind w:left="500"/>
      </w:pPr>
      <w:r>
        <w:rPr/>
        <w:t>These admissions of the witness cast serious doubt on his credibility.</w:t>
      </w:r>
    </w:p>
    <w:p>
      <w:pPr>
        <w:pStyle w:val="BodyText"/>
        <w:rPr>
          <w:sz w:val="28"/>
        </w:rPr>
      </w:pPr>
    </w:p>
    <w:p>
      <w:pPr>
        <w:pStyle w:val="ListParagraph"/>
        <w:numPr>
          <w:ilvl w:val="0"/>
          <w:numId w:val="3"/>
        </w:numPr>
        <w:tabs>
          <w:tab w:pos="1221" w:val="left" w:leader="none"/>
        </w:tabs>
        <w:spacing w:line="480" w:lineRule="auto" w:before="249" w:after="0"/>
        <w:ind w:left="500" w:right="434" w:firstLine="0"/>
        <w:jc w:val="both"/>
        <w:rPr>
          <w:sz w:val="25"/>
        </w:rPr>
      </w:pPr>
      <w:r>
        <w:rPr>
          <w:b/>
          <w:sz w:val="25"/>
        </w:rPr>
        <w:t>Sri Bhanu Pratap Singh (DW 3/11): </w:t>
      </w:r>
      <w:r>
        <w:rPr>
          <w:sz w:val="25"/>
        </w:rPr>
        <w:t>The Examination-in-Chief of this witness was recorded on 28 April 2004 when he was 70 years of age. He claimed to be visiting the Ram Janmabhumi temple since the age of 10. The witness stated that his memory is weak. He was unable to state whether any other temple apart from the Ram Janmabhumi temple is related to Nirmohi Akhara. When confronted with his Examination-in-Chief, he</w:t>
      </w:r>
      <w:r>
        <w:rPr>
          <w:spacing w:val="-2"/>
          <w:sz w:val="25"/>
        </w:rPr>
        <w:t> </w:t>
      </w:r>
      <w:r>
        <w:rPr>
          <w:sz w:val="25"/>
        </w:rPr>
        <w:t>stated:</w:t>
      </w:r>
    </w:p>
    <w:p>
      <w:pPr>
        <w:spacing w:line="276" w:lineRule="auto" w:before="4"/>
        <w:ind w:left="1940" w:right="2264" w:firstLine="0"/>
        <w:jc w:val="both"/>
        <w:rPr>
          <w:sz w:val="21"/>
        </w:rPr>
      </w:pPr>
      <w:r>
        <w:rPr>
          <w:spacing w:val="-1"/>
          <w:w w:val="33"/>
          <w:sz w:val="21"/>
        </w:rPr>
        <w:t>―</w:t>
      </w:r>
      <w:r>
        <w:rPr>
          <w:w w:val="100"/>
          <w:sz w:val="21"/>
        </w:rPr>
        <w:t>The</w:t>
      </w:r>
      <w:r>
        <w:rPr>
          <w:sz w:val="21"/>
        </w:rPr>
        <w:t> </w:t>
      </w:r>
      <w:r>
        <w:rPr>
          <w:spacing w:val="-26"/>
          <w:sz w:val="21"/>
        </w:rPr>
        <w:t> </w:t>
      </w:r>
      <w:r>
        <w:rPr>
          <w:spacing w:val="-1"/>
          <w:w w:val="100"/>
          <w:sz w:val="21"/>
        </w:rPr>
        <w:t>por</w:t>
      </w:r>
      <w:r>
        <w:rPr>
          <w:spacing w:val="-2"/>
          <w:w w:val="100"/>
          <w:sz w:val="21"/>
        </w:rPr>
        <w:t>ti</w:t>
      </w:r>
      <w:r>
        <w:rPr>
          <w:spacing w:val="-1"/>
          <w:w w:val="100"/>
          <w:sz w:val="21"/>
        </w:rPr>
        <w:t>o</w:t>
      </w:r>
      <w:r>
        <w:rPr>
          <w:w w:val="100"/>
          <w:sz w:val="21"/>
        </w:rPr>
        <w:t>n</w:t>
      </w:r>
      <w:r>
        <w:rPr>
          <w:sz w:val="21"/>
        </w:rPr>
        <w:t> </w:t>
      </w:r>
      <w:r>
        <w:rPr>
          <w:spacing w:val="-26"/>
          <w:sz w:val="21"/>
        </w:rPr>
        <w:t> </w:t>
      </w:r>
      <w:r>
        <w:rPr>
          <w:w w:val="40"/>
          <w:sz w:val="21"/>
        </w:rPr>
        <w:t>‗</w:t>
      </w:r>
      <w:r>
        <w:rPr>
          <w:spacing w:val="-2"/>
          <w:w w:val="100"/>
          <w:sz w:val="21"/>
        </w:rPr>
        <w:t>t</w:t>
      </w:r>
      <w:r>
        <w:rPr>
          <w:spacing w:val="-3"/>
          <w:w w:val="100"/>
          <w:sz w:val="21"/>
        </w:rPr>
        <w:t>e</w:t>
      </w:r>
      <w:r>
        <w:rPr>
          <w:spacing w:val="1"/>
          <w:w w:val="100"/>
          <w:sz w:val="21"/>
        </w:rPr>
        <w:t>m</w:t>
      </w:r>
      <w:r>
        <w:rPr>
          <w:spacing w:val="-3"/>
          <w:w w:val="100"/>
          <w:sz w:val="21"/>
        </w:rPr>
        <w:t>p</w:t>
      </w:r>
      <w:r>
        <w:rPr>
          <w:w w:val="100"/>
          <w:sz w:val="21"/>
        </w:rPr>
        <w:t>l</w:t>
      </w:r>
      <w:r>
        <w:rPr>
          <w:spacing w:val="-1"/>
          <w:w w:val="100"/>
          <w:sz w:val="21"/>
        </w:rPr>
        <w:t>e</w:t>
      </w:r>
      <w:r>
        <w:rPr>
          <w:w w:val="100"/>
          <w:sz w:val="21"/>
        </w:rPr>
        <w:t>s</w:t>
      </w:r>
      <w:r>
        <w:rPr>
          <w:sz w:val="21"/>
        </w:rPr>
        <w:t> </w:t>
      </w:r>
      <w:r>
        <w:rPr>
          <w:spacing w:val="-26"/>
          <w:sz w:val="21"/>
        </w:rPr>
        <w:t> </w:t>
      </w:r>
      <w:r>
        <w:rPr>
          <w:spacing w:val="-3"/>
          <w:w w:val="100"/>
          <w:sz w:val="21"/>
        </w:rPr>
        <w:t>a</w:t>
      </w:r>
      <w:r>
        <w:rPr>
          <w:w w:val="100"/>
          <w:sz w:val="21"/>
        </w:rPr>
        <w:t>ll</w:t>
      </w:r>
      <w:r>
        <w:rPr>
          <w:sz w:val="21"/>
        </w:rPr>
        <w:t> </w:t>
      </w:r>
      <w:r>
        <w:rPr>
          <w:spacing w:val="-27"/>
          <w:sz w:val="21"/>
        </w:rPr>
        <w:t> </w:t>
      </w:r>
      <w:r>
        <w:rPr>
          <w:spacing w:val="-1"/>
          <w:w w:val="100"/>
          <w:sz w:val="21"/>
        </w:rPr>
        <w:t>arou</w:t>
      </w:r>
      <w:r>
        <w:rPr>
          <w:spacing w:val="-3"/>
          <w:w w:val="100"/>
          <w:sz w:val="21"/>
        </w:rPr>
        <w:t>n</w:t>
      </w:r>
      <w:r>
        <w:rPr>
          <w:spacing w:val="-1"/>
          <w:w w:val="100"/>
          <w:sz w:val="21"/>
        </w:rPr>
        <w:t>d</w:t>
      </w:r>
      <w:r>
        <w:rPr>
          <w:w w:val="100"/>
          <w:sz w:val="21"/>
        </w:rPr>
        <w:t>‘</w:t>
      </w:r>
      <w:r>
        <w:rPr>
          <w:sz w:val="21"/>
        </w:rPr>
        <w:t> </w:t>
      </w:r>
      <w:r>
        <w:rPr>
          <w:spacing w:val="-25"/>
          <w:sz w:val="21"/>
        </w:rPr>
        <w:t> </w:t>
      </w:r>
      <w:r>
        <w:rPr>
          <w:spacing w:val="-1"/>
          <w:w w:val="100"/>
          <w:sz w:val="21"/>
        </w:rPr>
        <w:t>o</w:t>
      </w:r>
      <w:r>
        <w:rPr>
          <w:w w:val="100"/>
          <w:sz w:val="21"/>
        </w:rPr>
        <w:t>f</w:t>
      </w:r>
      <w:r>
        <w:rPr>
          <w:sz w:val="21"/>
        </w:rPr>
        <w:t> </w:t>
      </w:r>
      <w:r>
        <w:rPr>
          <w:spacing w:val="-27"/>
          <w:sz w:val="21"/>
        </w:rPr>
        <w:t> </w:t>
      </w:r>
      <w:r>
        <w:rPr>
          <w:spacing w:val="1"/>
          <w:w w:val="100"/>
          <w:sz w:val="21"/>
        </w:rPr>
        <w:t>m</w:t>
      </w:r>
      <w:r>
        <w:rPr>
          <w:w w:val="100"/>
          <w:sz w:val="21"/>
        </w:rPr>
        <w:t>y</w:t>
      </w:r>
      <w:r>
        <w:rPr>
          <w:sz w:val="21"/>
        </w:rPr>
        <w:t> </w:t>
      </w:r>
      <w:r>
        <w:rPr>
          <w:spacing w:val="-26"/>
          <w:sz w:val="21"/>
        </w:rPr>
        <w:t> </w:t>
      </w:r>
      <w:r>
        <w:rPr>
          <w:spacing w:val="-1"/>
          <w:w w:val="100"/>
          <w:sz w:val="21"/>
        </w:rPr>
        <w:t>a</w:t>
      </w:r>
      <w:r>
        <w:rPr>
          <w:spacing w:val="-3"/>
          <w:w w:val="100"/>
          <w:sz w:val="21"/>
        </w:rPr>
        <w:t>b</w:t>
      </w:r>
      <w:r>
        <w:rPr>
          <w:spacing w:val="-1"/>
          <w:w w:val="100"/>
          <w:sz w:val="21"/>
        </w:rPr>
        <w:t>o</w:t>
      </w:r>
      <w:r>
        <w:rPr>
          <w:spacing w:val="-3"/>
          <w:w w:val="100"/>
          <w:sz w:val="21"/>
        </w:rPr>
        <w:t>v</w:t>
      </w:r>
      <w:r>
        <w:rPr>
          <w:w w:val="100"/>
          <w:sz w:val="21"/>
        </w:rPr>
        <w:t>e</w:t>
      </w:r>
      <w:r>
        <w:rPr>
          <w:sz w:val="21"/>
        </w:rPr>
        <w:t> </w:t>
      </w:r>
      <w:r>
        <w:rPr>
          <w:spacing w:val="-24"/>
          <w:sz w:val="21"/>
        </w:rPr>
        <w:t> </w:t>
      </w:r>
      <w:r>
        <w:rPr>
          <w:w w:val="100"/>
          <w:sz w:val="21"/>
        </w:rPr>
        <w:t>s</w:t>
      </w:r>
      <w:r>
        <w:rPr>
          <w:spacing w:val="-2"/>
          <w:w w:val="100"/>
          <w:sz w:val="21"/>
        </w:rPr>
        <w:t>t</w:t>
      </w:r>
      <w:r>
        <w:rPr>
          <w:spacing w:val="-1"/>
          <w:w w:val="100"/>
          <w:sz w:val="21"/>
        </w:rPr>
        <w:t>a</w:t>
      </w:r>
      <w:r>
        <w:rPr>
          <w:spacing w:val="-4"/>
          <w:w w:val="100"/>
          <w:sz w:val="21"/>
        </w:rPr>
        <w:t>t</w:t>
      </w:r>
      <w:r>
        <w:rPr>
          <w:spacing w:val="-1"/>
          <w:w w:val="100"/>
          <w:sz w:val="21"/>
        </w:rPr>
        <w:t>emen</w:t>
      </w:r>
      <w:r>
        <w:rPr>
          <w:spacing w:val="-2"/>
          <w:w w:val="100"/>
          <w:sz w:val="21"/>
        </w:rPr>
        <w:t>t</w:t>
      </w:r>
      <w:r>
        <w:rPr>
          <w:w w:val="100"/>
          <w:sz w:val="21"/>
        </w:rPr>
        <w:t>,</w:t>
      </w:r>
      <w:r>
        <w:rPr>
          <w:sz w:val="21"/>
        </w:rPr>
        <w:t> </w:t>
      </w:r>
      <w:r>
        <w:rPr>
          <w:spacing w:val="-25"/>
          <w:sz w:val="21"/>
        </w:rPr>
        <w:t> </w:t>
      </w:r>
      <w:r>
        <w:rPr>
          <w:spacing w:val="-2"/>
          <w:w w:val="100"/>
          <w:sz w:val="21"/>
        </w:rPr>
        <w:t>i</w:t>
      </w:r>
      <w:r>
        <w:rPr>
          <w:w w:val="100"/>
          <w:sz w:val="21"/>
        </w:rPr>
        <w:t>s </w:t>
      </w:r>
      <w:r>
        <w:rPr>
          <w:sz w:val="21"/>
        </w:rPr>
        <w:t>wrong because temples were only on two sides… In this behalf, I cannot give any reason for making wrong statement. I forget few facts due to which such statements are made. By forgetting, I mean that I do not remember those facts at that time.‖</w:t>
      </w:r>
    </w:p>
    <w:p>
      <w:pPr>
        <w:pStyle w:val="BodyText"/>
        <w:rPr>
          <w:sz w:val="24"/>
        </w:rPr>
      </w:pPr>
    </w:p>
    <w:p>
      <w:pPr>
        <w:pStyle w:val="BodyText"/>
        <w:rPr>
          <w:sz w:val="24"/>
        </w:rPr>
      </w:pPr>
    </w:p>
    <w:p>
      <w:pPr>
        <w:pStyle w:val="BodyText"/>
        <w:spacing w:before="1"/>
      </w:pPr>
    </w:p>
    <w:p>
      <w:pPr>
        <w:pStyle w:val="ListParagraph"/>
        <w:numPr>
          <w:ilvl w:val="0"/>
          <w:numId w:val="3"/>
        </w:numPr>
        <w:tabs>
          <w:tab w:pos="1221" w:val="left" w:leader="none"/>
        </w:tabs>
        <w:spacing w:line="480" w:lineRule="auto" w:before="0" w:after="0"/>
        <w:ind w:left="500" w:right="434" w:firstLine="0"/>
        <w:jc w:val="both"/>
        <w:rPr>
          <w:sz w:val="25"/>
        </w:rPr>
      </w:pPr>
      <w:r>
        <w:rPr>
          <w:b/>
          <w:sz w:val="25"/>
        </w:rPr>
        <w:t>Sri Ram Akshaibar Pandey (DW 3/12): </w:t>
      </w:r>
      <w:r>
        <w:rPr>
          <w:sz w:val="25"/>
        </w:rPr>
        <w:t>The Examination-in-Chief was recorded on 25 May 2004. The witness who was 70 years of age stated that he was visiting the Ram Janmabhumi temple since the age of</w:t>
      </w:r>
      <w:r>
        <w:rPr>
          <w:spacing w:val="-8"/>
          <w:sz w:val="25"/>
        </w:rPr>
        <w:t> </w:t>
      </w:r>
      <w:r>
        <w:rPr>
          <w:sz w:val="25"/>
        </w:rPr>
        <w:t>12.</w:t>
      </w:r>
    </w:p>
    <w:p>
      <w:pPr>
        <w:pStyle w:val="BodyText"/>
        <w:spacing w:before="4"/>
      </w:pPr>
    </w:p>
    <w:p>
      <w:pPr>
        <w:pStyle w:val="BodyText"/>
        <w:ind w:left="500"/>
      </w:pPr>
      <w:r>
        <w:rPr/>
        <w:t>The following aspects of the testimony of the witness are significant:</w:t>
      </w:r>
    </w:p>
    <w:p>
      <w:pPr>
        <w:pStyle w:val="BodyText"/>
        <w:spacing w:before="10"/>
        <w:rPr>
          <w:sz w:val="24"/>
        </w:rPr>
      </w:pPr>
    </w:p>
    <w:p>
      <w:pPr>
        <w:pStyle w:val="ListParagraph"/>
        <w:numPr>
          <w:ilvl w:val="0"/>
          <w:numId w:val="101"/>
        </w:numPr>
        <w:tabs>
          <w:tab w:pos="1221" w:val="left" w:leader="none"/>
        </w:tabs>
        <w:spacing w:line="482" w:lineRule="auto" w:before="0" w:after="0"/>
        <w:ind w:left="1220" w:right="446" w:hanging="720"/>
        <w:jc w:val="both"/>
        <w:rPr>
          <w:sz w:val="25"/>
        </w:rPr>
      </w:pPr>
      <w:r>
        <w:rPr>
          <w:sz w:val="25"/>
        </w:rPr>
        <w:t>The witness admitted that his information about the disputed structure had been gathered from his</w:t>
      </w:r>
      <w:r>
        <w:rPr>
          <w:spacing w:val="-2"/>
          <w:sz w:val="25"/>
        </w:rPr>
        <w:t> </w:t>
      </w:r>
      <w:r>
        <w:rPr>
          <w:sz w:val="25"/>
        </w:rPr>
        <w:t>grandfather;</w:t>
      </w:r>
    </w:p>
    <w:p>
      <w:pPr>
        <w:pStyle w:val="ListParagraph"/>
        <w:numPr>
          <w:ilvl w:val="0"/>
          <w:numId w:val="101"/>
        </w:numPr>
        <w:tabs>
          <w:tab w:pos="1221" w:val="left" w:leader="none"/>
        </w:tabs>
        <w:spacing w:line="480" w:lineRule="auto" w:before="0" w:after="0"/>
        <w:ind w:left="1220" w:right="441" w:hanging="720"/>
        <w:jc w:val="both"/>
        <w:rPr>
          <w:sz w:val="25"/>
        </w:rPr>
      </w:pPr>
      <w:r>
        <w:rPr>
          <w:sz w:val="25"/>
        </w:rPr>
        <w:t>Though, in his Examination-in-Chief, he stated that he used to do the </w:t>
      </w:r>
      <w:r>
        <w:rPr>
          <w:i/>
          <w:sz w:val="25"/>
        </w:rPr>
        <w:t>parikrama</w:t>
      </w:r>
      <w:r>
        <w:rPr>
          <w:sz w:val="25"/>
        </w:rPr>
        <w:t>, in the course of his cross-examination, he stated that he had never seen the three domes from behind the</w:t>
      </w:r>
      <w:r>
        <w:rPr>
          <w:spacing w:val="-6"/>
          <w:sz w:val="25"/>
        </w:rPr>
        <w:t> </w:t>
      </w:r>
      <w:r>
        <w:rPr>
          <w:sz w:val="25"/>
        </w:rPr>
        <w:t>structure;</w:t>
      </w:r>
    </w:p>
    <w:p>
      <w:pPr>
        <w:pStyle w:val="ListParagraph"/>
        <w:numPr>
          <w:ilvl w:val="0"/>
          <w:numId w:val="101"/>
        </w:numPr>
        <w:tabs>
          <w:tab w:pos="1221" w:val="left" w:leader="none"/>
        </w:tabs>
        <w:spacing w:line="480" w:lineRule="auto" w:before="0" w:after="0"/>
        <w:ind w:left="1220" w:right="437" w:hanging="720"/>
        <w:jc w:val="both"/>
        <w:rPr>
          <w:sz w:val="25"/>
        </w:rPr>
      </w:pPr>
      <w:r>
        <w:rPr>
          <w:sz w:val="25"/>
        </w:rPr>
        <w:t>The witness stated that he had not performed the </w:t>
      </w:r>
      <w:r>
        <w:rPr>
          <w:i/>
          <w:sz w:val="25"/>
        </w:rPr>
        <w:t>parikrama </w:t>
      </w:r>
      <w:r>
        <w:rPr>
          <w:sz w:val="25"/>
        </w:rPr>
        <w:t>of the Ram Janmabhumi but of</w:t>
      </w:r>
      <w:r>
        <w:rPr>
          <w:spacing w:val="-4"/>
          <w:sz w:val="25"/>
        </w:rPr>
        <w:t> </w:t>
      </w:r>
      <w:r>
        <w:rPr>
          <w:sz w:val="25"/>
        </w:rPr>
        <w:t>Ramchabutra;</w:t>
      </w:r>
    </w:p>
    <w:p>
      <w:pPr>
        <w:spacing w:after="0" w:line="480" w:lineRule="auto"/>
        <w:jc w:val="both"/>
        <w:rPr>
          <w:sz w:val="25"/>
        </w:rPr>
        <w:sectPr>
          <w:pgSz w:w="11910" w:h="16840"/>
          <w:pgMar w:header="721" w:footer="1014" w:top="1300" w:bottom="1200" w:left="940" w:right="1000"/>
        </w:sectPr>
      </w:pPr>
    </w:p>
    <w:p>
      <w:pPr>
        <w:pStyle w:val="ListParagraph"/>
        <w:numPr>
          <w:ilvl w:val="0"/>
          <w:numId w:val="101"/>
        </w:numPr>
        <w:tabs>
          <w:tab w:pos="1221" w:val="left" w:leader="none"/>
        </w:tabs>
        <w:spacing w:line="480" w:lineRule="auto" w:before="124" w:after="0"/>
        <w:ind w:left="1220" w:right="444" w:hanging="720"/>
        <w:jc w:val="both"/>
        <w:rPr>
          <w:sz w:val="25"/>
        </w:rPr>
      </w:pPr>
      <w:r>
        <w:rPr>
          <w:sz w:val="25"/>
        </w:rPr>
        <w:t>According to the witness, he was informed by the villagers that the Ram Janmabhumi in which Ram Lalla was present had collapsed as it was old; and</w:t>
      </w:r>
    </w:p>
    <w:p>
      <w:pPr>
        <w:pStyle w:val="ListParagraph"/>
        <w:numPr>
          <w:ilvl w:val="0"/>
          <w:numId w:val="101"/>
        </w:numPr>
        <w:tabs>
          <w:tab w:pos="1221" w:val="left" w:leader="none"/>
        </w:tabs>
        <w:spacing w:line="480" w:lineRule="auto" w:before="0" w:after="0"/>
        <w:ind w:left="1220" w:right="442" w:hanging="720"/>
        <w:jc w:val="both"/>
        <w:rPr>
          <w:sz w:val="25"/>
        </w:rPr>
      </w:pPr>
      <w:r>
        <w:rPr>
          <w:sz w:val="25"/>
        </w:rPr>
        <w:t>The witness stated that he neither read nor heard about who had constructed the disputed structure with three domes. The witness eventually accepted the weakness of his own memory rendering him unreliable.</w:t>
      </w:r>
    </w:p>
    <w:p>
      <w:pPr>
        <w:pStyle w:val="BodyText"/>
        <w:rPr>
          <w:sz w:val="28"/>
        </w:rPr>
      </w:pPr>
    </w:p>
    <w:p>
      <w:pPr>
        <w:pStyle w:val="BodyText"/>
        <w:spacing w:before="10"/>
        <w:rPr>
          <w:sz w:val="21"/>
        </w:rPr>
      </w:pPr>
    </w:p>
    <w:p>
      <w:pPr>
        <w:pStyle w:val="ListParagraph"/>
        <w:numPr>
          <w:ilvl w:val="0"/>
          <w:numId w:val="3"/>
        </w:numPr>
        <w:tabs>
          <w:tab w:pos="1221" w:val="left" w:leader="none"/>
        </w:tabs>
        <w:spacing w:line="480" w:lineRule="auto" w:before="0" w:after="0"/>
        <w:ind w:left="500" w:right="436" w:firstLine="0"/>
        <w:jc w:val="both"/>
        <w:rPr>
          <w:sz w:val="25"/>
        </w:rPr>
      </w:pPr>
      <w:r>
        <w:rPr>
          <w:b/>
          <w:sz w:val="25"/>
        </w:rPr>
        <w:t>Mahant Ram Subhag Shashtri (DW 3/13): </w:t>
      </w:r>
      <w:r>
        <w:rPr>
          <w:sz w:val="25"/>
        </w:rPr>
        <w:t>The Examination-in-Chief was recorded on 25 May 2004. The witness was 86 years of age and stated that he had come to Ayodhya in 1933 and his guru was connected to Nirmohi Akhara. The following aspects of the testimony of witness are</w:t>
      </w:r>
      <w:r>
        <w:rPr>
          <w:spacing w:val="-12"/>
          <w:sz w:val="25"/>
        </w:rPr>
        <w:t> </w:t>
      </w:r>
      <w:r>
        <w:rPr>
          <w:sz w:val="25"/>
        </w:rPr>
        <w:t>relevant:</w:t>
      </w:r>
    </w:p>
    <w:p>
      <w:pPr>
        <w:pStyle w:val="ListParagraph"/>
        <w:numPr>
          <w:ilvl w:val="0"/>
          <w:numId w:val="102"/>
        </w:numPr>
        <w:tabs>
          <w:tab w:pos="1221" w:val="left" w:leader="none"/>
        </w:tabs>
        <w:spacing w:line="480" w:lineRule="auto" w:before="3" w:after="0"/>
        <w:ind w:left="1220" w:right="439" w:hanging="720"/>
        <w:jc w:val="both"/>
        <w:rPr>
          <w:sz w:val="25"/>
        </w:rPr>
      </w:pPr>
      <w:r>
        <w:rPr>
          <w:sz w:val="25"/>
        </w:rPr>
        <w:t>The witness stated that there was a disturbance on the night of 22/23 December 1949 in the disputed structure and though he was not aware about the arrangements which were made on that night, it transpired that new idols were</w:t>
      </w:r>
      <w:r>
        <w:rPr>
          <w:spacing w:val="-4"/>
          <w:sz w:val="25"/>
        </w:rPr>
        <w:t> </w:t>
      </w:r>
      <w:r>
        <w:rPr>
          <w:sz w:val="25"/>
        </w:rPr>
        <w:t>installed;</w:t>
      </w:r>
    </w:p>
    <w:p>
      <w:pPr>
        <w:pStyle w:val="ListParagraph"/>
        <w:numPr>
          <w:ilvl w:val="0"/>
          <w:numId w:val="102"/>
        </w:numPr>
        <w:tabs>
          <w:tab w:pos="1221" w:val="left" w:leader="none"/>
        </w:tabs>
        <w:spacing w:line="287" w:lineRule="exact" w:before="0" w:after="0"/>
        <w:ind w:left="1220" w:right="0" w:hanging="721"/>
        <w:jc w:val="both"/>
        <w:rPr>
          <w:sz w:val="25"/>
        </w:rPr>
      </w:pPr>
      <w:r>
        <w:rPr>
          <w:sz w:val="25"/>
        </w:rPr>
        <w:t>As regards the construction of the mosque, the witness</w:t>
      </w:r>
      <w:r>
        <w:rPr>
          <w:spacing w:val="-13"/>
          <w:sz w:val="25"/>
        </w:rPr>
        <w:t> </w:t>
      </w:r>
      <w:r>
        <w:rPr>
          <w:sz w:val="25"/>
        </w:rPr>
        <w:t>stated:</w:t>
      </w:r>
    </w:p>
    <w:p>
      <w:pPr>
        <w:pStyle w:val="BodyText"/>
      </w:pPr>
    </w:p>
    <w:p>
      <w:pPr>
        <w:spacing w:line="276" w:lineRule="auto" w:before="0"/>
        <w:ind w:left="1940" w:right="2346" w:firstLine="0"/>
        <w:jc w:val="left"/>
        <w:rPr>
          <w:sz w:val="21"/>
        </w:rPr>
      </w:pPr>
      <w:r>
        <w:rPr>
          <w:w w:val="33"/>
          <w:sz w:val="21"/>
        </w:rPr>
        <w:t>―</w:t>
      </w:r>
      <w:r>
        <w:rPr>
          <w:w w:val="100"/>
          <w:sz w:val="21"/>
        </w:rPr>
        <w:t>Babar</w:t>
      </w:r>
      <w:r>
        <w:rPr>
          <w:sz w:val="21"/>
        </w:rPr>
        <w:t> </w:t>
      </w:r>
      <w:r>
        <w:rPr>
          <w:w w:val="100"/>
          <w:sz w:val="21"/>
        </w:rPr>
        <w:t>had</w:t>
      </w:r>
      <w:r>
        <w:rPr>
          <w:sz w:val="21"/>
        </w:rPr>
        <w:t> </w:t>
      </w:r>
      <w:r>
        <w:rPr>
          <w:w w:val="100"/>
          <w:sz w:val="21"/>
        </w:rPr>
        <w:t>built</w:t>
      </w:r>
      <w:r>
        <w:rPr>
          <w:sz w:val="21"/>
        </w:rPr>
        <w:t> </w:t>
      </w:r>
      <w:r>
        <w:rPr>
          <w:w w:val="100"/>
          <w:sz w:val="21"/>
        </w:rPr>
        <w:t>the</w:t>
      </w:r>
      <w:r>
        <w:rPr>
          <w:sz w:val="21"/>
        </w:rPr>
        <w:t> </w:t>
      </w:r>
      <w:r>
        <w:rPr>
          <w:w w:val="100"/>
          <w:sz w:val="21"/>
        </w:rPr>
        <w:t>mosque</w:t>
      </w:r>
      <w:r>
        <w:rPr>
          <w:sz w:val="21"/>
        </w:rPr>
        <w:t> </w:t>
      </w:r>
      <w:r>
        <w:rPr>
          <w:w w:val="100"/>
          <w:sz w:val="21"/>
        </w:rPr>
        <w:t>by</w:t>
      </w:r>
      <w:r>
        <w:rPr>
          <w:sz w:val="21"/>
        </w:rPr>
        <w:t> </w:t>
      </w:r>
      <w:r>
        <w:rPr>
          <w:w w:val="100"/>
          <w:sz w:val="21"/>
        </w:rPr>
        <w:t>demolishing</w:t>
      </w:r>
      <w:r>
        <w:rPr>
          <w:sz w:val="21"/>
        </w:rPr>
        <w:t> </w:t>
      </w:r>
      <w:r>
        <w:rPr>
          <w:w w:val="100"/>
          <w:sz w:val="21"/>
        </w:rPr>
        <w:t>the</w:t>
      </w:r>
      <w:r>
        <w:rPr>
          <w:sz w:val="21"/>
        </w:rPr>
        <w:t> </w:t>
      </w:r>
      <w:r>
        <w:rPr>
          <w:w w:val="100"/>
          <w:sz w:val="21"/>
        </w:rPr>
        <w:t>s</w:t>
      </w:r>
      <w:r>
        <w:rPr>
          <w:w w:val="100"/>
          <w:sz w:val="21"/>
        </w:rPr>
        <w:t>t</w:t>
      </w:r>
      <w:r>
        <w:rPr>
          <w:w w:val="100"/>
          <w:sz w:val="21"/>
        </w:rPr>
        <w:t>ruct</w:t>
      </w:r>
      <w:r>
        <w:rPr>
          <w:w w:val="100"/>
          <w:sz w:val="21"/>
        </w:rPr>
        <w:t>ure</w:t>
      </w:r>
      <w:r>
        <w:rPr>
          <w:sz w:val="21"/>
        </w:rPr>
        <w:t> </w:t>
      </w:r>
      <w:r>
        <w:rPr>
          <w:w w:val="100"/>
          <w:sz w:val="21"/>
        </w:rPr>
        <w:t>o</w:t>
      </w:r>
      <w:r>
        <w:rPr>
          <w:w w:val="100"/>
          <w:sz w:val="21"/>
        </w:rPr>
        <w:t>f </w:t>
      </w:r>
      <w:r>
        <w:rPr>
          <w:sz w:val="21"/>
        </w:rPr>
        <w:t>temple, but he was unable to make it a mosque completely.</w:t>
      </w:r>
    </w:p>
    <w:p>
      <w:pPr>
        <w:spacing w:line="276" w:lineRule="auto" w:before="0"/>
        <w:ind w:left="1940" w:right="2346" w:firstLine="0"/>
        <w:jc w:val="left"/>
        <w:rPr>
          <w:sz w:val="21"/>
        </w:rPr>
      </w:pPr>
      <w:r>
        <w:rPr>
          <w:sz w:val="21"/>
        </w:rPr>
        <w:t>14 pillars were fixed in this structure, which had idols engraved over them, and as such it became a place of</w:t>
      </w:r>
      <w:r>
        <w:rPr>
          <w:spacing w:val="-40"/>
          <w:sz w:val="21"/>
        </w:rPr>
        <w:t> </w:t>
      </w:r>
      <w:r>
        <w:rPr>
          <w:sz w:val="21"/>
        </w:rPr>
        <w:t>idol.‖</w:t>
      </w:r>
    </w:p>
    <w:p>
      <w:pPr>
        <w:pStyle w:val="BodyText"/>
        <w:spacing w:before="2"/>
        <w:rPr>
          <w:sz w:val="24"/>
        </w:rPr>
      </w:pPr>
    </w:p>
    <w:p>
      <w:pPr>
        <w:pStyle w:val="ListParagraph"/>
        <w:numPr>
          <w:ilvl w:val="0"/>
          <w:numId w:val="102"/>
        </w:numPr>
        <w:tabs>
          <w:tab w:pos="1221" w:val="left" w:leader="none"/>
        </w:tabs>
        <w:spacing w:line="480" w:lineRule="auto" w:before="0" w:after="0"/>
        <w:ind w:left="1220" w:right="434" w:hanging="720"/>
        <w:jc w:val="both"/>
        <w:rPr>
          <w:sz w:val="25"/>
        </w:rPr>
      </w:pPr>
      <w:r>
        <w:rPr>
          <w:sz w:val="25"/>
        </w:rPr>
        <w:t>The witness stated that possibly facts pertaining to the period after 1933- 34 had vanished from his memory. The statement of the witness that the idols were installed in the disputed structure on the night of 22/23 December 1949 is contrary to the case of Nirmohi Akhara. According to Nirmohi</w:t>
      </w:r>
      <w:r>
        <w:rPr>
          <w:spacing w:val="19"/>
          <w:sz w:val="25"/>
        </w:rPr>
        <w:t> </w:t>
      </w:r>
      <w:r>
        <w:rPr>
          <w:sz w:val="25"/>
        </w:rPr>
        <w:t>Akhara,</w:t>
      </w:r>
      <w:r>
        <w:rPr>
          <w:spacing w:val="20"/>
          <w:sz w:val="25"/>
        </w:rPr>
        <w:t> </w:t>
      </w:r>
      <w:r>
        <w:rPr>
          <w:sz w:val="25"/>
        </w:rPr>
        <w:t>there</w:t>
      </w:r>
      <w:r>
        <w:rPr>
          <w:spacing w:val="19"/>
          <w:sz w:val="25"/>
        </w:rPr>
        <w:t> </w:t>
      </w:r>
      <w:r>
        <w:rPr>
          <w:sz w:val="25"/>
        </w:rPr>
        <w:t>never</w:t>
      </w:r>
      <w:r>
        <w:rPr>
          <w:spacing w:val="20"/>
          <w:sz w:val="25"/>
        </w:rPr>
        <w:t> </w:t>
      </w:r>
      <w:r>
        <w:rPr>
          <w:sz w:val="25"/>
        </w:rPr>
        <w:t>existed</w:t>
      </w:r>
      <w:r>
        <w:rPr>
          <w:spacing w:val="20"/>
          <w:sz w:val="25"/>
        </w:rPr>
        <w:t> </w:t>
      </w:r>
      <w:r>
        <w:rPr>
          <w:sz w:val="25"/>
        </w:rPr>
        <w:t>any</w:t>
      </w:r>
      <w:r>
        <w:rPr>
          <w:spacing w:val="16"/>
          <w:sz w:val="25"/>
        </w:rPr>
        <w:t> </w:t>
      </w:r>
      <w:r>
        <w:rPr>
          <w:sz w:val="25"/>
        </w:rPr>
        <w:t>mosque</w:t>
      </w:r>
      <w:r>
        <w:rPr>
          <w:spacing w:val="19"/>
          <w:sz w:val="25"/>
        </w:rPr>
        <w:t> </w:t>
      </w:r>
      <w:r>
        <w:rPr>
          <w:sz w:val="25"/>
        </w:rPr>
        <w:t>at</w:t>
      </w:r>
      <w:r>
        <w:rPr>
          <w:spacing w:val="20"/>
          <w:sz w:val="25"/>
        </w:rPr>
        <w:t> </w:t>
      </w:r>
      <w:r>
        <w:rPr>
          <w:sz w:val="25"/>
        </w:rPr>
        <w:t>the</w:t>
      </w:r>
      <w:r>
        <w:rPr>
          <w:spacing w:val="18"/>
          <w:sz w:val="25"/>
        </w:rPr>
        <w:t> </w:t>
      </w:r>
      <w:r>
        <w:rPr>
          <w:sz w:val="25"/>
        </w:rPr>
        <w:t>disputed</w:t>
      </w:r>
      <w:r>
        <w:rPr>
          <w:spacing w:val="19"/>
          <w:sz w:val="25"/>
        </w:rPr>
        <w:t> </w:t>
      </w:r>
      <w:r>
        <w:rPr>
          <w:sz w:val="25"/>
        </w:rPr>
        <w:t>site</w:t>
      </w:r>
      <w:r>
        <w:rPr>
          <w:spacing w:val="19"/>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1"/>
        <w:jc w:val="both"/>
      </w:pPr>
      <w:r>
        <w:rPr/>
        <w:t>all along there was a temple which was in its management, and that no incident had taken place on 22/23 December 1949.</w:t>
      </w:r>
    </w:p>
    <w:p>
      <w:pPr>
        <w:pStyle w:val="BodyText"/>
        <w:spacing w:before="9"/>
        <w:rPr>
          <w:sz w:val="24"/>
        </w:rPr>
      </w:pPr>
    </w:p>
    <w:p>
      <w:pPr>
        <w:pStyle w:val="ListParagraph"/>
        <w:numPr>
          <w:ilvl w:val="0"/>
          <w:numId w:val="3"/>
        </w:numPr>
        <w:tabs>
          <w:tab w:pos="1221" w:val="left" w:leader="none"/>
        </w:tabs>
        <w:spacing w:line="480" w:lineRule="auto" w:before="0" w:after="0"/>
        <w:ind w:left="500" w:right="434" w:firstLine="0"/>
        <w:jc w:val="both"/>
        <w:rPr>
          <w:sz w:val="25"/>
        </w:rPr>
      </w:pPr>
      <w:r>
        <w:rPr>
          <w:b/>
          <w:sz w:val="25"/>
        </w:rPr>
        <w:t>Jagad Guru Ramanandacharya Swami Haryacharya (DW 3/14): </w:t>
      </w:r>
      <w:r>
        <w:rPr>
          <w:sz w:val="25"/>
        </w:rPr>
        <w:t>The Examination-in-Chief was recorded on 23 July 2004 when the witness was 69 years old. He was the head of Ramanand Sampradaya since 1985-86. He came to Ayodhya in 1949 at the age of 10. According to him, he had seen the idol of Ram Lalla inside the disputed structure under the central dome as well as outside at Ramchabutra. The witness deposed when he first had darshan from a distance of 15 feet, it was not from under the dome but from the courtyard. The witness had no information whether namaz was offered in the disputed structure before he came to Ayodhya. The witness did not rule out the possibility that the idols were placed inside the disputed structure in 1949, when he</w:t>
      </w:r>
      <w:r>
        <w:rPr>
          <w:spacing w:val="-9"/>
          <w:sz w:val="25"/>
        </w:rPr>
        <w:t> </w:t>
      </w:r>
      <w:r>
        <w:rPr>
          <w:sz w:val="25"/>
        </w:rPr>
        <w:t>stated:</w:t>
      </w:r>
    </w:p>
    <w:p>
      <w:pPr>
        <w:spacing w:line="276" w:lineRule="auto" w:before="3"/>
        <w:ind w:left="1940" w:right="2261" w:firstLine="0"/>
        <w:jc w:val="both"/>
        <w:rPr>
          <w:sz w:val="21"/>
        </w:rPr>
      </w:pPr>
      <w:r>
        <w:rPr>
          <w:w w:val="33"/>
          <w:sz w:val="21"/>
        </w:rPr>
        <w:t>―</w:t>
      </w:r>
      <w:r>
        <w:rPr>
          <w:w w:val="100"/>
          <w:sz w:val="21"/>
        </w:rPr>
        <w:t>It</w:t>
      </w:r>
      <w:r>
        <w:rPr>
          <w:sz w:val="21"/>
        </w:rPr>
        <w:t> </w:t>
      </w:r>
      <w:r>
        <w:rPr>
          <w:w w:val="100"/>
          <w:sz w:val="21"/>
        </w:rPr>
        <w:t>is</w:t>
      </w:r>
      <w:r>
        <w:rPr>
          <w:sz w:val="21"/>
        </w:rPr>
        <w:t> </w:t>
      </w:r>
      <w:r>
        <w:rPr>
          <w:w w:val="100"/>
          <w:sz w:val="21"/>
        </w:rPr>
        <w:t>possible</w:t>
      </w:r>
      <w:r>
        <w:rPr>
          <w:sz w:val="21"/>
        </w:rPr>
        <w:t> </w:t>
      </w:r>
      <w:r>
        <w:rPr>
          <w:w w:val="100"/>
          <w:sz w:val="21"/>
        </w:rPr>
        <w:t>that</w:t>
      </w:r>
      <w:r>
        <w:rPr>
          <w:sz w:val="21"/>
        </w:rPr>
        <w:t> </w:t>
      </w:r>
      <w:r>
        <w:rPr>
          <w:w w:val="100"/>
          <w:sz w:val="21"/>
        </w:rPr>
        <w:t>in</w:t>
      </w:r>
      <w:r>
        <w:rPr>
          <w:sz w:val="21"/>
        </w:rPr>
        <w:t> </w:t>
      </w:r>
      <w:r>
        <w:rPr>
          <w:w w:val="100"/>
          <w:sz w:val="21"/>
        </w:rPr>
        <w:t>the</w:t>
      </w:r>
      <w:r>
        <w:rPr>
          <w:sz w:val="21"/>
        </w:rPr>
        <w:t> </w:t>
      </w:r>
      <w:r>
        <w:rPr>
          <w:w w:val="100"/>
          <w:sz w:val="21"/>
        </w:rPr>
        <w:t>dispute</w:t>
      </w:r>
      <w:r>
        <w:rPr>
          <w:sz w:val="21"/>
        </w:rPr>
        <w:t> </w:t>
      </w:r>
      <w:r>
        <w:rPr>
          <w:w w:val="100"/>
          <w:sz w:val="21"/>
        </w:rPr>
        <w:t>that</w:t>
      </w:r>
      <w:r>
        <w:rPr>
          <w:sz w:val="21"/>
        </w:rPr>
        <w:t> </w:t>
      </w:r>
      <w:r>
        <w:rPr>
          <w:w w:val="100"/>
          <w:sz w:val="21"/>
        </w:rPr>
        <w:t>occurred</w:t>
      </w:r>
      <w:r>
        <w:rPr>
          <w:sz w:val="21"/>
        </w:rPr>
        <w:t> </w:t>
      </w:r>
      <w:r>
        <w:rPr>
          <w:w w:val="100"/>
          <w:sz w:val="21"/>
        </w:rPr>
        <w:t>in</w:t>
      </w:r>
      <w:r>
        <w:rPr>
          <w:sz w:val="21"/>
        </w:rPr>
        <w:t> </w:t>
      </w:r>
      <w:r>
        <w:rPr>
          <w:w w:val="100"/>
          <w:sz w:val="21"/>
        </w:rPr>
        <w:t>1949</w:t>
      </w:r>
      <w:r>
        <w:rPr>
          <w:sz w:val="21"/>
        </w:rPr>
        <w:t> </w:t>
      </w:r>
      <w:r>
        <w:rPr>
          <w:w w:val="100"/>
          <w:sz w:val="21"/>
        </w:rPr>
        <w:t>and</w:t>
      </w:r>
      <w:r>
        <w:rPr>
          <w:sz w:val="21"/>
        </w:rPr>
        <w:t> </w:t>
      </w:r>
      <w:r>
        <w:rPr>
          <w:w w:val="100"/>
          <w:sz w:val="21"/>
        </w:rPr>
        <w:t>i</w:t>
      </w:r>
      <w:r>
        <w:rPr>
          <w:w w:val="100"/>
          <w:sz w:val="21"/>
        </w:rPr>
        <w:t>n </w:t>
      </w:r>
      <w:r>
        <w:rPr>
          <w:sz w:val="21"/>
        </w:rPr>
        <w:t>the incident in which idol had been placed in the disputed building, the local Hindus of Ayodhya had no role; rather, outsider ascetic saints were responsible for the same.‖</w:t>
      </w:r>
    </w:p>
    <w:p>
      <w:pPr>
        <w:pStyle w:val="BodyText"/>
        <w:rPr>
          <w:sz w:val="24"/>
        </w:rPr>
      </w:pPr>
    </w:p>
    <w:p>
      <w:pPr>
        <w:pStyle w:val="BodyText"/>
        <w:spacing w:before="1"/>
        <w:rPr>
          <w:sz w:val="24"/>
        </w:rPr>
      </w:pPr>
    </w:p>
    <w:p>
      <w:pPr>
        <w:pStyle w:val="ListParagraph"/>
        <w:numPr>
          <w:ilvl w:val="0"/>
          <w:numId w:val="3"/>
        </w:numPr>
        <w:tabs>
          <w:tab w:pos="1221" w:val="left" w:leader="none"/>
        </w:tabs>
        <w:spacing w:line="480" w:lineRule="auto" w:before="1" w:after="0"/>
        <w:ind w:left="500" w:right="436" w:firstLine="0"/>
        <w:jc w:val="both"/>
        <w:rPr>
          <w:sz w:val="25"/>
        </w:rPr>
      </w:pPr>
      <w:r>
        <w:rPr>
          <w:b/>
          <w:sz w:val="25"/>
        </w:rPr>
        <w:t>Narendra Bahadur Singh (DW 3/15)</w:t>
      </w:r>
      <w:r>
        <w:rPr>
          <w:sz w:val="25"/>
        </w:rPr>
        <w:t>: The Examination-in-Chief was recorded on 17 August 2004. The witness was 72 years of age. According to him, when he was 11 years old, he went to Ram Janmabhumi with his parents and saw the idol of Ram Lalla seated under the central dome. He claimed that since the age of 15, he was going alone to the temple until</w:t>
      </w:r>
      <w:r>
        <w:rPr>
          <w:spacing w:val="-11"/>
          <w:sz w:val="25"/>
        </w:rPr>
        <w:t> </w:t>
      </w:r>
      <w:r>
        <w:rPr>
          <w:sz w:val="25"/>
        </w:rPr>
        <w:t>demolition.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5"/>
        <w:jc w:val="both"/>
      </w:pPr>
      <w:r>
        <w:rPr/>
        <w:t>Dr Dhavan has adverted to the following points in regard to the testimony of the witness:</w:t>
      </w:r>
    </w:p>
    <w:p>
      <w:pPr>
        <w:pStyle w:val="ListParagraph"/>
        <w:numPr>
          <w:ilvl w:val="0"/>
          <w:numId w:val="103"/>
        </w:numPr>
        <w:tabs>
          <w:tab w:pos="1221" w:val="left" w:leader="none"/>
        </w:tabs>
        <w:spacing w:line="480" w:lineRule="auto" w:before="0" w:after="0"/>
        <w:ind w:left="1220" w:right="438" w:hanging="720"/>
        <w:jc w:val="both"/>
        <w:rPr>
          <w:sz w:val="25"/>
        </w:rPr>
      </w:pPr>
      <w:r>
        <w:rPr>
          <w:sz w:val="25"/>
        </w:rPr>
        <w:t>The witness needs to be completely disregarded for having furnished varied time periods of when he commenced visiting the disputed site. Though, he stated in his Examination-in-Chief that he first visited at the age of 11, in his cross-examination, he stated that he had seen the Nirmohis managing the disputed structure since the age of </w:t>
      </w:r>
      <w:r>
        <w:rPr>
          <w:spacing w:val="2"/>
          <w:sz w:val="25"/>
        </w:rPr>
        <w:t>5-6 </w:t>
      </w:r>
      <w:r>
        <w:rPr>
          <w:sz w:val="25"/>
        </w:rPr>
        <w:t>years and 8-9</w:t>
      </w:r>
      <w:r>
        <w:rPr>
          <w:spacing w:val="-2"/>
          <w:sz w:val="25"/>
        </w:rPr>
        <w:t> </w:t>
      </w:r>
      <w:r>
        <w:rPr>
          <w:sz w:val="25"/>
        </w:rPr>
        <w:t>years;</w:t>
      </w:r>
    </w:p>
    <w:p>
      <w:pPr>
        <w:pStyle w:val="ListParagraph"/>
        <w:numPr>
          <w:ilvl w:val="0"/>
          <w:numId w:val="103"/>
        </w:numPr>
        <w:tabs>
          <w:tab w:pos="1221" w:val="left" w:leader="none"/>
        </w:tabs>
        <w:spacing w:line="480" w:lineRule="auto" w:before="1" w:after="0"/>
        <w:ind w:left="1220" w:right="434" w:hanging="720"/>
        <w:jc w:val="both"/>
        <w:rPr>
          <w:sz w:val="25"/>
        </w:rPr>
      </w:pPr>
      <w:r>
        <w:rPr>
          <w:sz w:val="25"/>
        </w:rPr>
        <w:t>Regarding his statement that he had never seen any namaz at the disputed site, he stated that he was not there at the site and hence could not see whether namaz was being conducted;</w:t>
      </w:r>
      <w:r>
        <w:rPr>
          <w:spacing w:val="-7"/>
          <w:sz w:val="25"/>
        </w:rPr>
        <w:t> </w:t>
      </w:r>
      <w:r>
        <w:rPr>
          <w:sz w:val="25"/>
        </w:rPr>
        <w:t>and</w:t>
      </w:r>
    </w:p>
    <w:p>
      <w:pPr>
        <w:pStyle w:val="ListParagraph"/>
        <w:numPr>
          <w:ilvl w:val="0"/>
          <w:numId w:val="103"/>
        </w:numPr>
        <w:tabs>
          <w:tab w:pos="1221" w:val="left" w:leader="none"/>
        </w:tabs>
        <w:spacing w:line="482" w:lineRule="auto" w:before="0" w:after="0"/>
        <w:ind w:left="1220" w:right="447" w:hanging="720"/>
        <w:jc w:val="both"/>
        <w:rPr>
          <w:sz w:val="25"/>
        </w:rPr>
      </w:pPr>
      <w:r>
        <w:rPr>
          <w:sz w:val="25"/>
        </w:rPr>
        <w:t>The witness denied the existence of the Janmasthan Mandir on the north side which has been accepted by Nirmohi Akhara in its</w:t>
      </w:r>
      <w:r>
        <w:rPr>
          <w:spacing w:val="-8"/>
          <w:sz w:val="25"/>
        </w:rPr>
        <w:t> </w:t>
      </w:r>
      <w:r>
        <w:rPr>
          <w:sz w:val="25"/>
        </w:rPr>
        <w:t>replication.</w:t>
      </w:r>
    </w:p>
    <w:p>
      <w:pPr>
        <w:pStyle w:val="BodyText"/>
        <w:spacing w:before="2"/>
        <w:rPr>
          <w:sz w:val="24"/>
        </w:rPr>
      </w:pPr>
    </w:p>
    <w:p>
      <w:pPr>
        <w:pStyle w:val="ListParagraph"/>
        <w:numPr>
          <w:ilvl w:val="0"/>
          <w:numId w:val="3"/>
        </w:numPr>
        <w:tabs>
          <w:tab w:pos="1221" w:val="left" w:leader="none"/>
        </w:tabs>
        <w:spacing w:line="480" w:lineRule="auto" w:before="1" w:after="0"/>
        <w:ind w:left="500" w:right="434" w:firstLine="0"/>
        <w:jc w:val="both"/>
        <w:rPr>
          <w:sz w:val="25"/>
        </w:rPr>
      </w:pPr>
      <w:r>
        <w:rPr>
          <w:b/>
          <w:sz w:val="25"/>
        </w:rPr>
        <w:t>Shiv Bhikh Singh (DW 3/16): </w:t>
      </w:r>
      <w:r>
        <w:rPr>
          <w:sz w:val="25"/>
        </w:rPr>
        <w:t>The witness was 79 years of age on the date on which his affidavit, by way of Examination-in-Chief, dated 24 August  2004 was sworn. He claimed that he had been visiting Ram Janmabhumi temple since the age of 12 and had seen the idol of Lord Ram under the central dome. The witness stated that the idol of Ram Lalla was situated in the Ram Janmabhumi temple and there were three caves. He denied that the idols were placed in the disputed structure on 23 December 1949. According to him, the idols existed at the disputed structure even before his forefathers. The witness spoke about darshan in the three domed structure where the idol existed but stated that circumambulation was performed inside the grill-brick wall. According to him there was no place called Sita Rasoi in the disputed premises.</w:t>
      </w:r>
      <w:r>
        <w:rPr>
          <w:spacing w:val="47"/>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3"/>
        <w:jc w:val="both"/>
      </w:pPr>
      <w:r>
        <w:rPr/>
        <w:t>witness also stated that when he had first gone to the three domed structure, he had not been exactly under the central dome and that he had taken darshan from the gate in the front of the lower side of the dome.</w:t>
      </w:r>
    </w:p>
    <w:p>
      <w:pPr>
        <w:pStyle w:val="BodyText"/>
        <w:spacing w:before="7"/>
        <w:rPr>
          <w:sz w:val="24"/>
        </w:rPr>
      </w:pPr>
    </w:p>
    <w:p>
      <w:pPr>
        <w:pStyle w:val="ListParagraph"/>
        <w:numPr>
          <w:ilvl w:val="0"/>
          <w:numId w:val="3"/>
        </w:numPr>
        <w:tabs>
          <w:tab w:pos="1221" w:val="left" w:leader="none"/>
        </w:tabs>
        <w:spacing w:line="480" w:lineRule="auto" w:before="1" w:after="0"/>
        <w:ind w:left="500" w:right="437" w:firstLine="0"/>
        <w:jc w:val="both"/>
        <w:rPr>
          <w:sz w:val="25"/>
        </w:rPr>
      </w:pPr>
      <w:r>
        <w:rPr>
          <w:b/>
          <w:sz w:val="25"/>
        </w:rPr>
        <w:t>Sri Mata Badal Tewari (DW 3/17)</w:t>
      </w:r>
      <w:r>
        <w:rPr>
          <w:sz w:val="25"/>
        </w:rPr>
        <w:t>: The witness was 84 years of age on the date of his Examination-in-Chief dated 31 August 2004. He claimed that he had visited the Ram Janmabhumi temple for the first time in 1935 at the </w:t>
      </w:r>
      <w:r>
        <w:rPr>
          <w:spacing w:val="2"/>
          <w:sz w:val="25"/>
        </w:rPr>
        <w:t>age </w:t>
      </w:r>
      <w:r>
        <w:rPr>
          <w:sz w:val="25"/>
        </w:rPr>
        <w:t>of 15 and has visited Ayodhya since then. The witness had no knowledge about the Babri Masjid at Ayodhya or where it is situated. He however stated that he heard of the mosque. The lack of awareness of this witness about the mosque is contradicted by his account of the riots of</w:t>
      </w:r>
      <w:r>
        <w:rPr>
          <w:spacing w:val="-5"/>
          <w:sz w:val="25"/>
        </w:rPr>
        <w:t> </w:t>
      </w:r>
      <w:r>
        <w:rPr>
          <w:sz w:val="25"/>
        </w:rPr>
        <w:t>1934:</w:t>
      </w:r>
    </w:p>
    <w:p>
      <w:pPr>
        <w:spacing w:line="276" w:lineRule="auto" w:before="2"/>
        <w:ind w:left="1940" w:right="2264" w:firstLine="0"/>
        <w:jc w:val="both"/>
        <w:rPr>
          <w:sz w:val="21"/>
        </w:rPr>
      </w:pPr>
      <w:r>
        <w:rPr>
          <w:spacing w:val="-1"/>
          <w:w w:val="33"/>
          <w:sz w:val="21"/>
        </w:rPr>
        <w:t>―</w:t>
      </w:r>
      <w:r>
        <w:rPr>
          <w:w w:val="100"/>
          <w:sz w:val="21"/>
        </w:rPr>
        <w:t>I</w:t>
      </w:r>
      <w:r>
        <w:rPr>
          <w:sz w:val="21"/>
        </w:rPr>
        <w:t>  </w:t>
      </w:r>
      <w:r>
        <w:rPr>
          <w:spacing w:val="-28"/>
          <w:sz w:val="21"/>
        </w:rPr>
        <w:t> </w:t>
      </w:r>
      <w:r>
        <w:rPr>
          <w:spacing w:val="-1"/>
          <w:w w:val="100"/>
          <w:sz w:val="21"/>
        </w:rPr>
        <w:t>ha</w:t>
      </w:r>
      <w:r>
        <w:rPr>
          <w:spacing w:val="-3"/>
          <w:w w:val="100"/>
          <w:sz w:val="21"/>
        </w:rPr>
        <w:t>v</w:t>
      </w:r>
      <w:r>
        <w:rPr>
          <w:w w:val="100"/>
          <w:sz w:val="21"/>
        </w:rPr>
        <w:t>e</w:t>
      </w:r>
      <w:r>
        <w:rPr>
          <w:sz w:val="21"/>
        </w:rPr>
        <w:t>  </w:t>
      </w:r>
      <w:r>
        <w:rPr>
          <w:spacing w:val="-27"/>
          <w:sz w:val="21"/>
        </w:rPr>
        <w:t> </w:t>
      </w:r>
      <w:r>
        <w:rPr>
          <w:spacing w:val="1"/>
          <w:w w:val="100"/>
          <w:sz w:val="21"/>
        </w:rPr>
        <w:t>m</w:t>
      </w:r>
      <w:r>
        <w:rPr>
          <w:spacing w:val="-1"/>
          <w:w w:val="100"/>
          <w:sz w:val="21"/>
        </w:rPr>
        <w:t>ent</w:t>
      </w:r>
      <w:r>
        <w:rPr>
          <w:w w:val="100"/>
          <w:sz w:val="21"/>
        </w:rPr>
        <w:t>i</w:t>
      </w:r>
      <w:r>
        <w:rPr>
          <w:spacing w:val="-3"/>
          <w:w w:val="100"/>
          <w:sz w:val="21"/>
        </w:rPr>
        <w:t>o</w:t>
      </w:r>
      <w:r>
        <w:rPr>
          <w:spacing w:val="-1"/>
          <w:w w:val="100"/>
          <w:sz w:val="21"/>
        </w:rPr>
        <w:t>ne</w:t>
      </w:r>
      <w:r>
        <w:rPr>
          <w:w w:val="100"/>
          <w:sz w:val="21"/>
        </w:rPr>
        <w:t>d</w:t>
      </w:r>
      <w:r>
        <w:rPr>
          <w:sz w:val="21"/>
        </w:rPr>
        <w:t>  </w:t>
      </w:r>
      <w:r>
        <w:rPr>
          <w:spacing w:val="-26"/>
          <w:sz w:val="21"/>
        </w:rPr>
        <w:t> </w:t>
      </w:r>
      <w:r>
        <w:rPr>
          <w:spacing w:val="-3"/>
          <w:w w:val="100"/>
          <w:sz w:val="21"/>
        </w:rPr>
        <w:t>a</w:t>
      </w:r>
      <w:r>
        <w:rPr>
          <w:spacing w:val="-1"/>
          <w:w w:val="100"/>
          <w:sz w:val="21"/>
        </w:rPr>
        <w:t>b</w:t>
      </w:r>
      <w:r>
        <w:rPr>
          <w:spacing w:val="-3"/>
          <w:w w:val="100"/>
          <w:sz w:val="21"/>
        </w:rPr>
        <w:t>o</w:t>
      </w:r>
      <w:r>
        <w:rPr>
          <w:spacing w:val="-1"/>
          <w:w w:val="100"/>
          <w:sz w:val="21"/>
        </w:rPr>
        <w:t>u</w:t>
      </w:r>
      <w:r>
        <w:rPr>
          <w:w w:val="100"/>
          <w:sz w:val="21"/>
        </w:rPr>
        <w:t>t</w:t>
      </w:r>
      <w:r>
        <w:rPr>
          <w:sz w:val="21"/>
        </w:rPr>
        <w:t>  </w:t>
      </w:r>
      <w:r>
        <w:rPr>
          <w:spacing w:val="-28"/>
          <w:sz w:val="21"/>
        </w:rPr>
        <w:t> </w:t>
      </w:r>
      <w:r>
        <w:rPr>
          <w:spacing w:val="-2"/>
          <w:w w:val="100"/>
          <w:sz w:val="21"/>
        </w:rPr>
        <w:t>t</w:t>
      </w:r>
      <w:r>
        <w:rPr>
          <w:spacing w:val="-1"/>
          <w:w w:val="100"/>
          <w:sz w:val="21"/>
        </w:rPr>
        <w:t>h</w:t>
      </w:r>
      <w:r>
        <w:rPr>
          <w:w w:val="100"/>
          <w:sz w:val="21"/>
        </w:rPr>
        <w:t>e</w:t>
      </w:r>
      <w:r>
        <w:rPr>
          <w:sz w:val="21"/>
        </w:rPr>
        <w:t>  </w:t>
      </w:r>
      <w:r>
        <w:rPr>
          <w:spacing w:val="-27"/>
          <w:sz w:val="21"/>
        </w:rPr>
        <w:t> </w:t>
      </w:r>
      <w:r>
        <w:rPr>
          <w:spacing w:val="-1"/>
          <w:w w:val="100"/>
          <w:sz w:val="21"/>
        </w:rPr>
        <w:t>r</w:t>
      </w:r>
      <w:r>
        <w:rPr>
          <w:w w:val="100"/>
          <w:sz w:val="21"/>
        </w:rPr>
        <w:t>i</w:t>
      </w:r>
      <w:r>
        <w:rPr>
          <w:spacing w:val="-1"/>
          <w:w w:val="100"/>
          <w:sz w:val="21"/>
        </w:rPr>
        <w:t>o</w:t>
      </w:r>
      <w:r>
        <w:rPr>
          <w:w w:val="100"/>
          <w:sz w:val="21"/>
        </w:rPr>
        <w:t>t</w:t>
      </w:r>
      <w:r>
        <w:rPr>
          <w:sz w:val="21"/>
        </w:rPr>
        <w:t>  </w:t>
      </w:r>
      <w:r>
        <w:rPr>
          <w:spacing w:val="-28"/>
          <w:sz w:val="21"/>
        </w:rPr>
        <w:t> </w:t>
      </w:r>
      <w:r>
        <w:rPr>
          <w:spacing w:val="-1"/>
          <w:w w:val="100"/>
          <w:sz w:val="21"/>
        </w:rPr>
        <w:t>o</w:t>
      </w:r>
      <w:r>
        <w:rPr>
          <w:w w:val="100"/>
          <w:sz w:val="21"/>
        </w:rPr>
        <w:t>f</w:t>
      </w:r>
      <w:r>
        <w:rPr>
          <w:sz w:val="21"/>
        </w:rPr>
        <w:t>  </w:t>
      </w:r>
      <w:r>
        <w:rPr>
          <w:spacing w:val="-26"/>
          <w:sz w:val="21"/>
        </w:rPr>
        <w:t> </w:t>
      </w:r>
      <w:r>
        <w:rPr>
          <w:w w:val="100"/>
          <w:sz w:val="21"/>
        </w:rPr>
        <w:t>A</w:t>
      </w:r>
      <w:r>
        <w:rPr>
          <w:spacing w:val="-3"/>
          <w:w w:val="100"/>
          <w:sz w:val="21"/>
        </w:rPr>
        <w:t>y</w:t>
      </w:r>
      <w:r>
        <w:rPr>
          <w:spacing w:val="-1"/>
          <w:w w:val="100"/>
          <w:sz w:val="21"/>
        </w:rPr>
        <w:t>odh</w:t>
      </w:r>
      <w:r>
        <w:rPr>
          <w:spacing w:val="-2"/>
          <w:w w:val="100"/>
          <w:sz w:val="21"/>
        </w:rPr>
        <w:t>y</w:t>
      </w:r>
      <w:r>
        <w:rPr>
          <w:spacing w:val="-1"/>
          <w:w w:val="100"/>
          <w:sz w:val="21"/>
        </w:rPr>
        <w:t>a</w:t>
      </w:r>
      <w:r>
        <w:rPr>
          <w:w w:val="100"/>
          <w:sz w:val="21"/>
        </w:rPr>
        <w:t>.</w:t>
      </w:r>
      <w:r>
        <w:rPr>
          <w:sz w:val="21"/>
        </w:rPr>
        <w:t>  </w:t>
      </w:r>
      <w:r>
        <w:rPr>
          <w:spacing w:val="-28"/>
          <w:sz w:val="21"/>
        </w:rPr>
        <w:t> </w:t>
      </w:r>
      <w:r>
        <w:rPr>
          <w:w w:val="100"/>
          <w:sz w:val="21"/>
        </w:rPr>
        <w:t>This</w:t>
      </w:r>
      <w:r>
        <w:rPr>
          <w:sz w:val="21"/>
        </w:rPr>
        <w:t>  </w:t>
      </w:r>
      <w:r>
        <w:rPr>
          <w:spacing w:val="-27"/>
          <w:sz w:val="21"/>
        </w:rPr>
        <w:t> </w:t>
      </w:r>
      <w:r>
        <w:rPr>
          <w:spacing w:val="-1"/>
          <w:w w:val="100"/>
          <w:sz w:val="21"/>
        </w:rPr>
        <w:t>r</w:t>
      </w:r>
      <w:r>
        <w:rPr>
          <w:spacing w:val="-2"/>
          <w:w w:val="100"/>
          <w:sz w:val="21"/>
        </w:rPr>
        <w:t>i</w:t>
      </w:r>
      <w:r>
        <w:rPr>
          <w:spacing w:val="-1"/>
          <w:w w:val="100"/>
          <w:sz w:val="21"/>
        </w:rPr>
        <w:t>ot </w:t>
      </w:r>
      <w:r>
        <w:rPr>
          <w:sz w:val="21"/>
        </w:rPr>
        <w:t>occurred in the year 1934. Some part of the disputed structure had been damaged at that time. Those domes were damaged by many people. The damagers were followers of Hindu</w:t>
      </w:r>
      <w:r>
        <w:rPr>
          <w:spacing w:val="-2"/>
          <w:sz w:val="21"/>
        </w:rPr>
        <w:t> </w:t>
      </w:r>
      <w:r>
        <w:rPr>
          <w:sz w:val="21"/>
        </w:rPr>
        <w:t>religion.‖</w:t>
      </w:r>
    </w:p>
    <w:p>
      <w:pPr>
        <w:pStyle w:val="BodyText"/>
        <w:rPr>
          <w:sz w:val="24"/>
        </w:rPr>
      </w:pPr>
    </w:p>
    <w:p>
      <w:pPr>
        <w:pStyle w:val="BodyText"/>
        <w:spacing w:before="3"/>
      </w:pPr>
    </w:p>
    <w:p>
      <w:pPr>
        <w:pStyle w:val="BodyText"/>
        <w:spacing w:line="480" w:lineRule="auto"/>
        <w:ind w:left="500" w:right="442"/>
        <w:jc w:val="both"/>
      </w:pPr>
      <w:r>
        <w:rPr/>
        <w:t>If, according to the witness, the persons who damaged the domes in 1934 were Hindus by religion, it is impossible to accept his lack of awareness about the existence of the mosque.</w:t>
      </w:r>
    </w:p>
    <w:p>
      <w:pPr>
        <w:pStyle w:val="BodyText"/>
        <w:spacing w:before="11"/>
        <w:rPr>
          <w:sz w:val="24"/>
        </w:rPr>
      </w:pPr>
    </w:p>
    <w:p>
      <w:pPr>
        <w:pStyle w:val="ListParagraph"/>
        <w:numPr>
          <w:ilvl w:val="0"/>
          <w:numId w:val="3"/>
        </w:numPr>
        <w:tabs>
          <w:tab w:pos="1221" w:val="left" w:leader="none"/>
        </w:tabs>
        <w:spacing w:line="480" w:lineRule="auto" w:before="0" w:after="0"/>
        <w:ind w:left="500" w:right="438" w:firstLine="0"/>
        <w:jc w:val="both"/>
        <w:rPr>
          <w:sz w:val="25"/>
        </w:rPr>
      </w:pPr>
      <w:r>
        <w:rPr>
          <w:b/>
          <w:sz w:val="25"/>
        </w:rPr>
        <w:t>Sri Acharya Mahant Bansidhar Das (DW 3/18): </w:t>
      </w:r>
      <w:r>
        <w:rPr>
          <w:sz w:val="25"/>
        </w:rPr>
        <w:t>The witness who was born in 1905, stated that he had come to Ayodhya in 1930. He was 99 years of age on the date of his Examination-in-Chief on 15 September 2004. He stated that he was continuously visiting the disputed structure and worshipping idols in the inner courtyard. The following aspects of the testimony of this witness need to be</w:t>
      </w:r>
      <w:r>
        <w:rPr>
          <w:spacing w:val="-1"/>
          <w:sz w:val="25"/>
        </w:rPr>
        <w:t> </w:t>
      </w:r>
      <w:r>
        <w:rPr>
          <w:sz w:val="25"/>
        </w:rPr>
        <w:t>noted:</w:t>
      </w:r>
    </w:p>
    <w:p>
      <w:pPr>
        <w:spacing w:after="0" w:line="480" w:lineRule="auto"/>
        <w:jc w:val="both"/>
        <w:rPr>
          <w:sz w:val="25"/>
        </w:rPr>
        <w:sectPr>
          <w:pgSz w:w="11910" w:h="16840"/>
          <w:pgMar w:header="721" w:footer="1014" w:top="1300" w:bottom="1200" w:left="940" w:right="1000"/>
        </w:sectPr>
      </w:pPr>
    </w:p>
    <w:p>
      <w:pPr>
        <w:pStyle w:val="ListParagraph"/>
        <w:numPr>
          <w:ilvl w:val="0"/>
          <w:numId w:val="104"/>
        </w:numPr>
        <w:tabs>
          <w:tab w:pos="1221" w:val="left" w:leader="none"/>
        </w:tabs>
        <w:spacing w:line="480" w:lineRule="auto" w:before="124" w:after="0"/>
        <w:ind w:left="1220" w:right="440" w:hanging="720"/>
        <w:jc w:val="both"/>
        <w:rPr>
          <w:sz w:val="25"/>
        </w:rPr>
      </w:pPr>
      <w:r>
        <w:rPr>
          <w:sz w:val="25"/>
        </w:rPr>
        <w:t>The witness deposed that Ramchabutra is also called </w:t>
      </w:r>
      <w:r>
        <w:rPr>
          <w:i/>
          <w:sz w:val="25"/>
        </w:rPr>
        <w:t>Bedi </w:t>
      </w:r>
      <w:r>
        <w:rPr>
          <w:sz w:val="25"/>
        </w:rPr>
        <w:t>and the word can be used for a small or large</w:t>
      </w:r>
      <w:r>
        <w:rPr>
          <w:spacing w:val="-3"/>
          <w:sz w:val="25"/>
        </w:rPr>
        <w:t> </w:t>
      </w:r>
      <w:r>
        <w:rPr>
          <w:sz w:val="25"/>
        </w:rPr>
        <w:t>Chabutra;</w:t>
      </w:r>
    </w:p>
    <w:p>
      <w:pPr>
        <w:pStyle w:val="ListParagraph"/>
        <w:numPr>
          <w:ilvl w:val="0"/>
          <w:numId w:val="104"/>
        </w:numPr>
        <w:tabs>
          <w:tab w:pos="1221" w:val="left" w:leader="none"/>
        </w:tabs>
        <w:spacing w:line="480" w:lineRule="auto" w:before="0" w:after="0"/>
        <w:ind w:left="1220" w:right="438" w:hanging="720"/>
        <w:jc w:val="both"/>
        <w:rPr>
          <w:sz w:val="25"/>
        </w:rPr>
      </w:pPr>
      <w:r>
        <w:rPr>
          <w:sz w:val="25"/>
        </w:rPr>
        <w:t>The witness stated that there is no harm in telling a lie if there is a religious place and if someone is acquiring it through wrong means or forcibly occupying</w:t>
      </w:r>
      <w:r>
        <w:rPr>
          <w:spacing w:val="-1"/>
          <w:sz w:val="25"/>
        </w:rPr>
        <w:t> </w:t>
      </w:r>
      <w:r>
        <w:rPr>
          <w:sz w:val="25"/>
        </w:rPr>
        <w:t>it;</w:t>
      </w:r>
    </w:p>
    <w:p>
      <w:pPr>
        <w:pStyle w:val="ListParagraph"/>
        <w:numPr>
          <w:ilvl w:val="0"/>
          <w:numId w:val="104"/>
        </w:numPr>
        <w:tabs>
          <w:tab w:pos="1221" w:val="left" w:leader="none"/>
        </w:tabs>
        <w:spacing w:line="240" w:lineRule="auto" w:before="0" w:after="0"/>
        <w:ind w:left="1220" w:right="0" w:hanging="721"/>
        <w:jc w:val="both"/>
        <w:rPr>
          <w:sz w:val="25"/>
        </w:rPr>
      </w:pPr>
      <w:r>
        <w:rPr>
          <w:sz w:val="25"/>
        </w:rPr>
        <w:t>The witness admitted that his memory was not good due to</w:t>
      </w:r>
      <w:r>
        <w:rPr>
          <w:spacing w:val="-14"/>
          <w:sz w:val="25"/>
        </w:rPr>
        <w:t> </w:t>
      </w:r>
      <w:r>
        <w:rPr>
          <w:sz w:val="25"/>
        </w:rPr>
        <w:t>age;</w:t>
      </w:r>
    </w:p>
    <w:p>
      <w:pPr>
        <w:pStyle w:val="BodyText"/>
        <w:spacing w:before="11"/>
        <w:rPr>
          <w:sz w:val="24"/>
        </w:rPr>
      </w:pPr>
    </w:p>
    <w:p>
      <w:pPr>
        <w:pStyle w:val="ListParagraph"/>
        <w:numPr>
          <w:ilvl w:val="0"/>
          <w:numId w:val="104"/>
        </w:numPr>
        <w:tabs>
          <w:tab w:pos="1221" w:val="left" w:leader="none"/>
        </w:tabs>
        <w:spacing w:line="480" w:lineRule="auto" w:before="0" w:after="0"/>
        <w:ind w:left="1220" w:right="440" w:hanging="720"/>
        <w:jc w:val="both"/>
        <w:rPr>
          <w:sz w:val="25"/>
        </w:rPr>
      </w:pPr>
      <w:r>
        <w:rPr>
          <w:sz w:val="25"/>
        </w:rPr>
        <w:t>The witness had given testimony in about two hundred suits. The witness had varied theories about the construction of the temple contrary to the pleaded case of the litigating Hindu</w:t>
      </w:r>
      <w:r>
        <w:rPr>
          <w:spacing w:val="-5"/>
          <w:sz w:val="25"/>
        </w:rPr>
        <w:t> </w:t>
      </w:r>
      <w:r>
        <w:rPr>
          <w:sz w:val="25"/>
        </w:rPr>
        <w:t>parties:</w:t>
      </w:r>
    </w:p>
    <w:p>
      <w:pPr>
        <w:pStyle w:val="ListParagraph"/>
        <w:numPr>
          <w:ilvl w:val="1"/>
          <w:numId w:val="104"/>
        </w:numPr>
        <w:tabs>
          <w:tab w:pos="1941" w:val="left" w:leader="none"/>
        </w:tabs>
        <w:spacing w:line="480" w:lineRule="auto" w:before="1" w:after="0"/>
        <w:ind w:left="1940" w:right="444" w:hanging="720"/>
        <w:jc w:val="both"/>
        <w:rPr>
          <w:sz w:val="25"/>
        </w:rPr>
      </w:pPr>
      <w:r>
        <w:rPr>
          <w:sz w:val="25"/>
        </w:rPr>
        <w:t>According to him, the repairs of the Ram Janmabhumi was carried by Nirmohi Akhara during the last 700</w:t>
      </w:r>
      <w:r>
        <w:rPr>
          <w:spacing w:val="-8"/>
          <w:sz w:val="25"/>
        </w:rPr>
        <w:t> </w:t>
      </w:r>
      <w:r>
        <w:rPr>
          <w:sz w:val="25"/>
        </w:rPr>
        <w:t>years;</w:t>
      </w:r>
    </w:p>
    <w:p>
      <w:pPr>
        <w:pStyle w:val="ListParagraph"/>
        <w:numPr>
          <w:ilvl w:val="1"/>
          <w:numId w:val="104"/>
        </w:numPr>
        <w:tabs>
          <w:tab w:pos="1941" w:val="left" w:leader="none"/>
        </w:tabs>
        <w:spacing w:line="482" w:lineRule="auto" w:before="0" w:after="0"/>
        <w:ind w:left="1940" w:right="440" w:hanging="720"/>
        <w:jc w:val="both"/>
        <w:rPr>
          <w:sz w:val="25"/>
        </w:rPr>
      </w:pPr>
      <w:r>
        <w:rPr>
          <w:sz w:val="25"/>
        </w:rPr>
        <w:t>The temple of Kasauti black stones was constructed by Nirmohi Akhara;</w:t>
      </w:r>
    </w:p>
    <w:p>
      <w:pPr>
        <w:pStyle w:val="ListParagraph"/>
        <w:numPr>
          <w:ilvl w:val="1"/>
          <w:numId w:val="104"/>
        </w:numPr>
        <w:tabs>
          <w:tab w:pos="1941" w:val="left" w:leader="none"/>
        </w:tabs>
        <w:spacing w:line="480" w:lineRule="auto" w:before="0" w:after="0"/>
        <w:ind w:left="1940" w:right="444" w:hanging="720"/>
        <w:jc w:val="both"/>
        <w:rPr>
          <w:sz w:val="25"/>
        </w:rPr>
      </w:pPr>
      <w:r>
        <w:rPr>
          <w:sz w:val="25"/>
        </w:rPr>
        <w:t>The temple said to be made during the time of Vikramaditya was constructed by the King of Kannuz and not by the King of</w:t>
      </w:r>
      <w:r>
        <w:rPr>
          <w:spacing w:val="-23"/>
          <w:sz w:val="25"/>
        </w:rPr>
        <w:t> </w:t>
      </w:r>
      <w:r>
        <w:rPr>
          <w:sz w:val="25"/>
        </w:rPr>
        <w:t>Ayodhya;</w:t>
      </w:r>
    </w:p>
    <w:p>
      <w:pPr>
        <w:pStyle w:val="ListParagraph"/>
        <w:numPr>
          <w:ilvl w:val="1"/>
          <w:numId w:val="104"/>
        </w:numPr>
        <w:tabs>
          <w:tab w:pos="1941" w:val="left" w:leader="none"/>
        </w:tabs>
        <w:spacing w:line="480" w:lineRule="auto" w:before="0" w:after="0"/>
        <w:ind w:left="1940" w:right="436" w:hanging="720"/>
        <w:jc w:val="both"/>
        <w:rPr>
          <w:sz w:val="25"/>
        </w:rPr>
      </w:pPr>
      <w:r>
        <w:rPr>
          <w:sz w:val="25"/>
        </w:rPr>
        <w:t>Mir Baki destroyed the Ram temple but did not construct the Masjid, the temple was reconstructed by Govind Das who was the Mahant of Nirmohi Akhara during the regime of</w:t>
      </w:r>
      <w:r>
        <w:rPr>
          <w:spacing w:val="-4"/>
          <w:sz w:val="25"/>
        </w:rPr>
        <w:t> </w:t>
      </w:r>
      <w:r>
        <w:rPr>
          <w:sz w:val="25"/>
        </w:rPr>
        <w:t>Babur;</w:t>
      </w:r>
    </w:p>
    <w:p>
      <w:pPr>
        <w:pStyle w:val="ListParagraph"/>
        <w:numPr>
          <w:ilvl w:val="1"/>
          <w:numId w:val="104"/>
        </w:numPr>
        <w:tabs>
          <w:tab w:pos="1941" w:val="left" w:leader="none"/>
        </w:tabs>
        <w:spacing w:line="240" w:lineRule="auto" w:before="0" w:after="0"/>
        <w:ind w:left="1940" w:right="0" w:hanging="721"/>
        <w:jc w:val="both"/>
        <w:rPr>
          <w:sz w:val="25"/>
        </w:rPr>
      </w:pPr>
      <w:r>
        <w:rPr>
          <w:sz w:val="25"/>
        </w:rPr>
        <w:t>Govind Das Ji constructed the building with three</w:t>
      </w:r>
      <w:r>
        <w:rPr>
          <w:spacing w:val="-6"/>
          <w:sz w:val="25"/>
        </w:rPr>
        <w:t> </w:t>
      </w:r>
      <w:r>
        <w:rPr>
          <w:sz w:val="25"/>
        </w:rPr>
        <w:t>domes;</w:t>
      </w:r>
    </w:p>
    <w:p>
      <w:pPr>
        <w:pStyle w:val="BodyText"/>
        <w:spacing w:before="7"/>
        <w:rPr>
          <w:sz w:val="24"/>
        </w:rPr>
      </w:pPr>
    </w:p>
    <w:p>
      <w:pPr>
        <w:pStyle w:val="ListParagraph"/>
        <w:numPr>
          <w:ilvl w:val="1"/>
          <w:numId w:val="104"/>
        </w:numPr>
        <w:tabs>
          <w:tab w:pos="1941" w:val="left" w:leader="none"/>
        </w:tabs>
        <w:spacing w:line="480" w:lineRule="auto" w:before="0" w:after="0"/>
        <w:ind w:left="1940" w:right="438" w:hanging="720"/>
        <w:jc w:val="both"/>
        <w:rPr>
          <w:sz w:val="25"/>
        </w:rPr>
      </w:pPr>
      <w:r>
        <w:rPr>
          <w:sz w:val="25"/>
        </w:rPr>
        <w:t>Some part of the temple was constructed during the regime of Babur which was destroyed during the regime of Humayun but was reconstructed by Govind Das Ji;</w:t>
      </w:r>
      <w:r>
        <w:rPr>
          <w:spacing w:val="-6"/>
          <w:sz w:val="25"/>
        </w:rPr>
        <w:t> </w:t>
      </w:r>
      <w:r>
        <w:rPr>
          <w:sz w:val="25"/>
        </w:rPr>
        <w:t>and</w:t>
      </w:r>
    </w:p>
    <w:p>
      <w:pPr>
        <w:pStyle w:val="ListParagraph"/>
        <w:numPr>
          <w:ilvl w:val="1"/>
          <w:numId w:val="104"/>
        </w:numPr>
        <w:tabs>
          <w:tab w:pos="1941" w:val="left" w:leader="none"/>
        </w:tabs>
        <w:spacing w:line="482" w:lineRule="auto" w:before="0" w:after="0"/>
        <w:ind w:left="1940" w:right="443" w:hanging="720"/>
        <w:jc w:val="both"/>
        <w:rPr>
          <w:sz w:val="25"/>
        </w:rPr>
      </w:pPr>
      <w:r>
        <w:rPr>
          <w:sz w:val="25"/>
        </w:rPr>
        <w:t>Anantananda, disciple of Ramanand, reconstructed the temple at the disputed</w:t>
      </w:r>
      <w:r>
        <w:rPr>
          <w:spacing w:val="-2"/>
          <w:sz w:val="25"/>
        </w:rPr>
        <w:t> </w:t>
      </w:r>
      <w:r>
        <w:rPr>
          <w:sz w:val="25"/>
        </w:rPr>
        <w:t>site.</w:t>
      </w:r>
    </w:p>
    <w:p>
      <w:pPr>
        <w:spacing w:after="0" w:line="482" w:lineRule="auto"/>
        <w:jc w:val="both"/>
        <w:rPr>
          <w:sz w:val="25"/>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1" w:after="0"/>
        <w:ind w:left="500" w:right="439" w:firstLine="0"/>
        <w:jc w:val="both"/>
        <w:rPr>
          <w:sz w:val="25"/>
        </w:rPr>
      </w:pPr>
      <w:r>
        <w:rPr>
          <w:b/>
          <w:sz w:val="25"/>
        </w:rPr>
        <w:t>Sri Ram Milan Singh (DW 3/19): </w:t>
      </w:r>
      <w:r>
        <w:rPr>
          <w:sz w:val="25"/>
        </w:rPr>
        <w:t>The witness was 75 years of age on 17 August 2004 when his Examination-in-Chief was recorded. He sought to prove the existence of idols under the central dome in the inner courtyard and on the Ramchabutra, stating that he had been visiting since 1940 till 1951 and occasionally after 1952. When questioned about his affidavit, he</w:t>
      </w:r>
      <w:r>
        <w:rPr>
          <w:spacing w:val="-14"/>
          <w:sz w:val="25"/>
        </w:rPr>
        <w:t> </w:t>
      </w:r>
      <w:r>
        <w:rPr>
          <w:sz w:val="25"/>
        </w:rPr>
        <w:t>stated:</w:t>
      </w:r>
    </w:p>
    <w:p>
      <w:pPr>
        <w:spacing w:line="276" w:lineRule="auto" w:before="2"/>
        <w:ind w:left="1940" w:right="2259" w:firstLine="0"/>
        <w:jc w:val="both"/>
        <w:rPr>
          <w:sz w:val="21"/>
        </w:rPr>
      </w:pPr>
      <w:r>
        <w:rPr>
          <w:sz w:val="21"/>
        </w:rPr>
        <w:t>―The</w:t>
      </w:r>
      <w:r>
        <w:rPr>
          <w:spacing w:val="-10"/>
          <w:sz w:val="21"/>
        </w:rPr>
        <w:t> </w:t>
      </w:r>
      <w:r>
        <w:rPr>
          <w:sz w:val="21"/>
        </w:rPr>
        <w:t>person</w:t>
      </w:r>
      <w:r>
        <w:rPr>
          <w:spacing w:val="-7"/>
          <w:sz w:val="21"/>
        </w:rPr>
        <w:t> </w:t>
      </w:r>
      <w:r>
        <w:rPr>
          <w:sz w:val="21"/>
        </w:rPr>
        <w:t>having</w:t>
      </w:r>
      <w:r>
        <w:rPr>
          <w:spacing w:val="-9"/>
          <w:sz w:val="21"/>
        </w:rPr>
        <w:t> </w:t>
      </w:r>
      <w:r>
        <w:rPr>
          <w:sz w:val="21"/>
        </w:rPr>
        <w:t>prepared</w:t>
      </w:r>
      <w:r>
        <w:rPr>
          <w:spacing w:val="-7"/>
          <w:sz w:val="21"/>
        </w:rPr>
        <w:t> </w:t>
      </w:r>
      <w:r>
        <w:rPr>
          <w:sz w:val="21"/>
        </w:rPr>
        <w:t>this</w:t>
      </w:r>
      <w:r>
        <w:rPr>
          <w:spacing w:val="-8"/>
          <w:sz w:val="21"/>
        </w:rPr>
        <w:t> </w:t>
      </w:r>
      <w:r>
        <w:rPr>
          <w:sz w:val="21"/>
        </w:rPr>
        <w:t>affidavit,</w:t>
      </w:r>
      <w:r>
        <w:rPr>
          <w:spacing w:val="-8"/>
          <w:sz w:val="21"/>
        </w:rPr>
        <w:t> </w:t>
      </w:r>
      <w:r>
        <w:rPr>
          <w:sz w:val="21"/>
        </w:rPr>
        <w:t>can</w:t>
      </w:r>
      <w:r>
        <w:rPr>
          <w:spacing w:val="-9"/>
          <w:sz w:val="21"/>
        </w:rPr>
        <w:t> </w:t>
      </w:r>
      <w:r>
        <w:rPr>
          <w:sz w:val="21"/>
        </w:rPr>
        <w:t>only</w:t>
      </w:r>
      <w:r>
        <w:rPr>
          <w:spacing w:val="-12"/>
          <w:sz w:val="21"/>
        </w:rPr>
        <w:t> </w:t>
      </w:r>
      <w:r>
        <w:rPr>
          <w:sz w:val="21"/>
        </w:rPr>
        <w:t>tell</w:t>
      </w:r>
      <w:r>
        <w:rPr>
          <w:spacing w:val="-8"/>
          <w:sz w:val="21"/>
        </w:rPr>
        <w:t> </w:t>
      </w:r>
      <w:r>
        <w:rPr>
          <w:sz w:val="21"/>
        </w:rPr>
        <w:t>about this. I had not completely read the affidavit of examination-in- chief before signing it… I had put my signature on the affidavit at the High Court, Lucknow. I cannot tell whether this affidavit had been typed out at Lucknow or not. At the time when the draft of this affidavit of mine had been prepared, I was at the </w:t>
      </w:r>
      <w:r>
        <w:rPr>
          <w:spacing w:val="-1"/>
          <w:w w:val="100"/>
          <w:sz w:val="21"/>
        </w:rPr>
        <w:t>p</w:t>
      </w:r>
      <w:r>
        <w:rPr>
          <w:spacing w:val="1"/>
          <w:w w:val="100"/>
          <w:sz w:val="21"/>
        </w:rPr>
        <w:t>l</w:t>
      </w:r>
      <w:r>
        <w:rPr>
          <w:spacing w:val="-1"/>
          <w:w w:val="100"/>
          <w:sz w:val="21"/>
        </w:rPr>
        <w:t>a</w:t>
      </w:r>
      <w:r>
        <w:rPr>
          <w:spacing w:val="-3"/>
          <w:w w:val="100"/>
          <w:sz w:val="21"/>
        </w:rPr>
        <w:t>c</w:t>
      </w:r>
      <w:r>
        <w:rPr>
          <w:w w:val="100"/>
          <w:sz w:val="21"/>
        </w:rPr>
        <w:t>e</w:t>
      </w:r>
      <w:r>
        <w:rPr>
          <w:sz w:val="21"/>
        </w:rPr>
        <w:t> </w:t>
      </w:r>
      <w:r>
        <w:rPr>
          <w:spacing w:val="3"/>
          <w:sz w:val="21"/>
        </w:rPr>
        <w:t> </w:t>
      </w:r>
      <w:r>
        <w:rPr>
          <w:spacing w:val="-1"/>
          <w:w w:val="100"/>
          <w:sz w:val="21"/>
        </w:rPr>
        <w:t>o</w:t>
      </w:r>
      <w:r>
        <w:rPr>
          <w:w w:val="100"/>
          <w:sz w:val="21"/>
        </w:rPr>
        <w:t>f</w:t>
      </w:r>
      <w:r>
        <w:rPr>
          <w:sz w:val="21"/>
        </w:rPr>
        <w:t> </w:t>
      </w:r>
      <w:r>
        <w:rPr>
          <w:spacing w:val="2"/>
          <w:sz w:val="21"/>
        </w:rPr>
        <w:t> </w:t>
      </w:r>
      <w:r>
        <w:rPr>
          <w:spacing w:val="1"/>
          <w:w w:val="100"/>
          <w:sz w:val="21"/>
        </w:rPr>
        <w:t>m</w:t>
      </w:r>
      <w:r>
        <w:rPr>
          <w:w w:val="100"/>
          <w:sz w:val="21"/>
        </w:rPr>
        <w:t>y</w:t>
      </w:r>
      <w:r>
        <w:rPr>
          <w:sz w:val="21"/>
        </w:rPr>
        <w:t> </w:t>
      </w:r>
      <w:r>
        <w:rPr>
          <w:spacing w:val="3"/>
          <w:sz w:val="21"/>
        </w:rPr>
        <w:t> </w:t>
      </w:r>
      <w:r>
        <w:rPr>
          <w:w w:val="100"/>
          <w:sz w:val="21"/>
        </w:rPr>
        <w:t>co</w:t>
      </w:r>
      <w:r>
        <w:rPr>
          <w:spacing w:val="-3"/>
          <w:w w:val="100"/>
          <w:sz w:val="21"/>
        </w:rPr>
        <w:t>u</w:t>
      </w:r>
      <w:r>
        <w:rPr>
          <w:spacing w:val="-1"/>
          <w:w w:val="100"/>
          <w:sz w:val="21"/>
        </w:rPr>
        <w:t>ns</w:t>
      </w:r>
      <w:r>
        <w:rPr>
          <w:spacing w:val="-3"/>
          <w:w w:val="100"/>
          <w:sz w:val="21"/>
        </w:rPr>
        <w:t>e</w:t>
      </w:r>
      <w:r>
        <w:rPr>
          <w:w w:val="100"/>
          <w:sz w:val="21"/>
        </w:rPr>
        <w:t>l</w:t>
      </w:r>
      <w:r>
        <w:rPr>
          <w:sz w:val="21"/>
        </w:rPr>
        <w:t> </w:t>
      </w:r>
      <w:r>
        <w:rPr>
          <w:spacing w:val="3"/>
          <w:sz w:val="21"/>
        </w:rPr>
        <w:t> </w:t>
      </w:r>
      <w:r>
        <w:rPr>
          <w:w w:val="100"/>
          <w:sz w:val="21"/>
        </w:rPr>
        <w:t>in</w:t>
      </w:r>
      <w:r>
        <w:rPr>
          <w:sz w:val="21"/>
        </w:rPr>
        <w:t> </w:t>
      </w:r>
      <w:r>
        <w:rPr>
          <w:spacing w:val="3"/>
          <w:sz w:val="21"/>
        </w:rPr>
        <w:t> </w:t>
      </w:r>
      <w:r>
        <w:rPr>
          <w:w w:val="100"/>
          <w:sz w:val="21"/>
        </w:rPr>
        <w:t>A</w:t>
      </w:r>
      <w:r>
        <w:rPr>
          <w:spacing w:val="-3"/>
          <w:w w:val="100"/>
          <w:sz w:val="21"/>
        </w:rPr>
        <w:t>y</w:t>
      </w:r>
      <w:r>
        <w:rPr>
          <w:spacing w:val="-1"/>
          <w:w w:val="100"/>
          <w:sz w:val="21"/>
        </w:rPr>
        <w:t>odh</w:t>
      </w:r>
      <w:r>
        <w:rPr>
          <w:spacing w:val="-2"/>
          <w:w w:val="100"/>
          <w:sz w:val="21"/>
        </w:rPr>
        <w:t>y</w:t>
      </w:r>
      <w:r>
        <w:rPr>
          <w:spacing w:val="-1"/>
          <w:w w:val="100"/>
          <w:sz w:val="21"/>
        </w:rPr>
        <w:t>a</w:t>
      </w:r>
      <w:r>
        <w:rPr>
          <w:w w:val="100"/>
          <w:sz w:val="21"/>
        </w:rPr>
        <w:t>.</w:t>
      </w:r>
      <w:r>
        <w:rPr>
          <w:sz w:val="21"/>
        </w:rPr>
        <w:t> </w:t>
      </w:r>
      <w:r>
        <w:rPr>
          <w:spacing w:val="4"/>
          <w:sz w:val="21"/>
        </w:rPr>
        <w:t> </w:t>
      </w:r>
      <w:r>
        <w:rPr>
          <w:spacing w:val="-2"/>
          <w:w w:val="100"/>
          <w:sz w:val="21"/>
        </w:rPr>
        <w:t>H</w:t>
      </w:r>
      <w:r>
        <w:rPr>
          <w:w w:val="100"/>
          <w:sz w:val="21"/>
        </w:rPr>
        <w:t>e</w:t>
      </w:r>
      <w:r>
        <w:rPr>
          <w:sz w:val="21"/>
        </w:rPr>
        <w:t> </w:t>
      </w:r>
      <w:r>
        <w:rPr>
          <w:spacing w:val="5"/>
          <w:sz w:val="21"/>
        </w:rPr>
        <w:t> </w:t>
      </w:r>
      <w:r>
        <w:rPr>
          <w:spacing w:val="-3"/>
          <w:w w:val="100"/>
          <w:sz w:val="21"/>
        </w:rPr>
        <w:t>h</w:t>
      </w:r>
      <w:r>
        <w:rPr>
          <w:spacing w:val="-1"/>
          <w:w w:val="100"/>
          <w:sz w:val="21"/>
        </w:rPr>
        <w:t>a</w:t>
      </w:r>
      <w:r>
        <w:rPr>
          <w:w w:val="100"/>
          <w:sz w:val="21"/>
        </w:rPr>
        <w:t>d</w:t>
      </w:r>
      <w:r>
        <w:rPr>
          <w:sz w:val="21"/>
        </w:rPr>
        <w:t> </w:t>
      </w:r>
      <w:r>
        <w:rPr>
          <w:spacing w:val="5"/>
          <w:sz w:val="21"/>
        </w:rPr>
        <w:t> </w:t>
      </w:r>
      <w:r>
        <w:rPr>
          <w:spacing w:val="-4"/>
          <w:w w:val="100"/>
          <w:sz w:val="21"/>
        </w:rPr>
        <w:t>t</w:t>
      </w:r>
      <w:r>
        <w:rPr>
          <w:spacing w:val="-1"/>
          <w:w w:val="100"/>
          <w:sz w:val="21"/>
        </w:rPr>
        <w:t>o</w:t>
      </w:r>
      <w:r>
        <w:rPr>
          <w:spacing w:val="1"/>
          <w:w w:val="100"/>
          <w:sz w:val="21"/>
        </w:rPr>
        <w:t>l</w:t>
      </w:r>
      <w:r>
        <w:rPr>
          <w:w w:val="100"/>
          <w:sz w:val="21"/>
        </w:rPr>
        <w:t>d</w:t>
      </w:r>
      <w:r>
        <w:rPr>
          <w:sz w:val="21"/>
        </w:rPr>
        <w:t> </w:t>
      </w:r>
      <w:r>
        <w:rPr>
          <w:spacing w:val="3"/>
          <w:sz w:val="21"/>
        </w:rPr>
        <w:t> </w:t>
      </w:r>
      <w:r>
        <w:rPr>
          <w:spacing w:val="-2"/>
          <w:w w:val="100"/>
          <w:sz w:val="21"/>
        </w:rPr>
        <w:t>t</w:t>
      </w:r>
      <w:r>
        <w:rPr>
          <w:spacing w:val="-1"/>
          <w:w w:val="100"/>
          <w:sz w:val="21"/>
        </w:rPr>
        <w:t>ha</w:t>
      </w:r>
      <w:r>
        <w:rPr>
          <w:w w:val="100"/>
          <w:sz w:val="21"/>
        </w:rPr>
        <w:t>t</w:t>
      </w:r>
      <w:r>
        <w:rPr>
          <w:sz w:val="21"/>
        </w:rPr>
        <w:t> </w:t>
      </w:r>
      <w:r>
        <w:rPr>
          <w:spacing w:val="4"/>
          <w:sz w:val="21"/>
        </w:rPr>
        <w:t> </w:t>
      </w:r>
      <w:r>
        <w:rPr>
          <w:w w:val="40"/>
          <w:sz w:val="21"/>
        </w:rPr>
        <w:t>‗</w:t>
      </w:r>
      <w:r>
        <w:rPr>
          <w:w w:val="100"/>
          <w:sz w:val="21"/>
        </w:rPr>
        <w:t>I</w:t>
      </w:r>
      <w:r>
        <w:rPr>
          <w:sz w:val="21"/>
        </w:rPr>
        <w:t> </w:t>
      </w:r>
      <w:r>
        <w:rPr>
          <w:spacing w:val="-1"/>
          <w:sz w:val="21"/>
        </w:rPr>
        <w:t> </w:t>
      </w:r>
      <w:r>
        <w:rPr>
          <w:spacing w:val="-3"/>
          <w:w w:val="100"/>
          <w:sz w:val="21"/>
        </w:rPr>
        <w:t>a</w:t>
      </w:r>
      <w:r>
        <w:rPr>
          <w:w w:val="100"/>
          <w:sz w:val="21"/>
        </w:rPr>
        <w:t>m </w:t>
      </w:r>
      <w:r>
        <w:rPr>
          <w:sz w:val="21"/>
        </w:rPr>
        <w:t>preparing the draft of your affidavit‘. I had not seen the contents of the draft of the affidavit, after it was</w:t>
      </w:r>
      <w:r>
        <w:rPr>
          <w:spacing w:val="-32"/>
          <w:sz w:val="21"/>
        </w:rPr>
        <w:t> </w:t>
      </w:r>
      <w:r>
        <w:rPr>
          <w:sz w:val="21"/>
        </w:rPr>
        <w:t>prepared.‖</w:t>
      </w:r>
    </w:p>
    <w:p>
      <w:pPr>
        <w:pStyle w:val="BodyText"/>
        <w:rPr>
          <w:sz w:val="24"/>
        </w:rPr>
      </w:pPr>
    </w:p>
    <w:p>
      <w:pPr>
        <w:pStyle w:val="BodyText"/>
        <w:spacing w:before="3"/>
      </w:pPr>
    </w:p>
    <w:p>
      <w:pPr>
        <w:pStyle w:val="BodyText"/>
        <w:spacing w:line="480" w:lineRule="auto" w:before="1"/>
        <w:ind w:left="500"/>
      </w:pPr>
      <w:r>
        <w:rPr/>
        <w:t>The above admission renders his evidence untrustworthy and not deserving of credence.</w:t>
      </w:r>
    </w:p>
    <w:p>
      <w:pPr>
        <w:pStyle w:val="BodyText"/>
        <w:rPr>
          <w:sz w:val="28"/>
        </w:rPr>
      </w:pPr>
    </w:p>
    <w:p>
      <w:pPr>
        <w:pStyle w:val="ListParagraph"/>
        <w:numPr>
          <w:ilvl w:val="0"/>
          <w:numId w:val="3"/>
        </w:numPr>
        <w:tabs>
          <w:tab w:pos="1221" w:val="left" w:leader="none"/>
        </w:tabs>
        <w:spacing w:line="480" w:lineRule="auto" w:before="249" w:after="0"/>
        <w:ind w:left="500" w:right="438" w:firstLine="0"/>
        <w:jc w:val="both"/>
        <w:rPr>
          <w:sz w:val="25"/>
        </w:rPr>
      </w:pPr>
      <w:r>
        <w:rPr>
          <w:b/>
          <w:sz w:val="25"/>
        </w:rPr>
        <w:t>Mahant Raja Ramchanbdr-Acharya (DW 3/20): </w:t>
      </w:r>
      <w:r>
        <w:rPr>
          <w:sz w:val="25"/>
        </w:rPr>
        <w:t>The witness was 76 years old on the date of the Examination-in-Chief on 27 October 2004. He was a pupil of Mahant Raghunath Das, the second plaintiff in Suit 3. The witness stated that in 1943, when he first came to Ayodhya, the Babri Masjid did not exist and that the disputed building is not a</w:t>
      </w:r>
      <w:r>
        <w:rPr>
          <w:spacing w:val="-6"/>
          <w:sz w:val="25"/>
        </w:rPr>
        <w:t> </w:t>
      </w:r>
      <w:r>
        <w:rPr>
          <w:sz w:val="25"/>
        </w:rPr>
        <w:t>mosque:</w:t>
      </w:r>
    </w:p>
    <w:p>
      <w:pPr>
        <w:spacing w:line="276" w:lineRule="auto" w:before="3"/>
        <w:ind w:left="1940" w:right="2262" w:firstLine="0"/>
        <w:jc w:val="both"/>
        <w:rPr>
          <w:sz w:val="21"/>
        </w:rPr>
      </w:pPr>
      <w:r>
        <w:rPr>
          <w:spacing w:val="-1"/>
          <w:w w:val="33"/>
          <w:sz w:val="21"/>
        </w:rPr>
        <w:t>―</w:t>
      </w:r>
      <w:r>
        <w:rPr>
          <w:spacing w:val="-2"/>
          <w:w w:val="100"/>
          <w:sz w:val="21"/>
        </w:rPr>
        <w:t>I</w:t>
      </w:r>
      <w:r>
        <w:rPr>
          <w:w w:val="100"/>
          <w:sz w:val="21"/>
        </w:rPr>
        <w:t>n</w:t>
      </w:r>
      <w:r>
        <w:rPr>
          <w:sz w:val="21"/>
        </w:rPr>
        <w:t> </w:t>
      </w:r>
      <w:r>
        <w:rPr>
          <w:spacing w:val="-17"/>
          <w:sz w:val="21"/>
        </w:rPr>
        <w:t> </w:t>
      </w:r>
      <w:r>
        <w:rPr>
          <w:spacing w:val="-1"/>
          <w:w w:val="100"/>
          <w:sz w:val="21"/>
        </w:rPr>
        <w:t>19</w:t>
      </w:r>
      <w:r>
        <w:rPr>
          <w:spacing w:val="-2"/>
          <w:w w:val="100"/>
          <w:sz w:val="21"/>
        </w:rPr>
        <w:t>4</w:t>
      </w:r>
      <w:r>
        <w:rPr>
          <w:spacing w:val="-1"/>
          <w:w w:val="100"/>
          <w:sz w:val="21"/>
        </w:rPr>
        <w:t>3</w:t>
      </w:r>
      <w:r>
        <w:rPr>
          <w:w w:val="100"/>
          <w:sz w:val="21"/>
        </w:rPr>
        <w:t>,</w:t>
      </w:r>
      <w:r>
        <w:rPr>
          <w:sz w:val="21"/>
        </w:rPr>
        <w:t> </w:t>
      </w:r>
      <w:r>
        <w:rPr>
          <w:spacing w:val="-18"/>
          <w:sz w:val="21"/>
        </w:rPr>
        <w:t> </w:t>
      </w:r>
      <w:r>
        <w:rPr>
          <w:spacing w:val="-2"/>
          <w:w w:val="100"/>
          <w:sz w:val="21"/>
        </w:rPr>
        <w:t>w</w:t>
      </w:r>
      <w:r>
        <w:rPr>
          <w:spacing w:val="-1"/>
          <w:w w:val="100"/>
          <w:sz w:val="21"/>
        </w:rPr>
        <w:t>h</w:t>
      </w:r>
      <w:r>
        <w:rPr>
          <w:spacing w:val="-3"/>
          <w:w w:val="100"/>
          <w:sz w:val="21"/>
        </w:rPr>
        <w:t>e</w:t>
      </w:r>
      <w:r>
        <w:rPr>
          <w:w w:val="100"/>
          <w:sz w:val="21"/>
        </w:rPr>
        <w:t>n</w:t>
      </w:r>
      <w:r>
        <w:rPr>
          <w:sz w:val="21"/>
        </w:rPr>
        <w:t> </w:t>
      </w:r>
      <w:r>
        <w:rPr>
          <w:spacing w:val="-17"/>
          <w:sz w:val="21"/>
        </w:rPr>
        <w:t> </w:t>
      </w:r>
      <w:r>
        <w:rPr>
          <w:w w:val="100"/>
          <w:sz w:val="21"/>
        </w:rPr>
        <w:t>I</w:t>
      </w:r>
      <w:r>
        <w:rPr>
          <w:sz w:val="21"/>
        </w:rPr>
        <w:t> </w:t>
      </w:r>
      <w:r>
        <w:rPr>
          <w:spacing w:val="-20"/>
          <w:sz w:val="21"/>
        </w:rPr>
        <w:t> </w:t>
      </w:r>
      <w:r>
        <w:rPr>
          <w:spacing w:val="1"/>
          <w:w w:val="100"/>
          <w:sz w:val="21"/>
        </w:rPr>
        <w:t>f</w:t>
      </w:r>
      <w:r>
        <w:rPr>
          <w:w w:val="100"/>
          <w:sz w:val="21"/>
        </w:rPr>
        <w:t>i</w:t>
      </w:r>
      <w:r>
        <w:rPr>
          <w:spacing w:val="-4"/>
          <w:w w:val="100"/>
          <w:sz w:val="21"/>
        </w:rPr>
        <w:t>r</w:t>
      </w:r>
      <w:r>
        <w:rPr>
          <w:w w:val="100"/>
          <w:sz w:val="21"/>
        </w:rPr>
        <w:t>st</w:t>
      </w:r>
      <w:r>
        <w:rPr>
          <w:sz w:val="21"/>
        </w:rPr>
        <w:t> </w:t>
      </w:r>
      <w:r>
        <w:rPr>
          <w:spacing w:val="-18"/>
          <w:sz w:val="21"/>
        </w:rPr>
        <w:t> </w:t>
      </w:r>
      <w:r>
        <w:rPr>
          <w:w w:val="100"/>
          <w:sz w:val="21"/>
        </w:rPr>
        <w:t>c</w:t>
      </w:r>
      <w:r>
        <w:rPr>
          <w:spacing w:val="-3"/>
          <w:w w:val="100"/>
          <w:sz w:val="21"/>
        </w:rPr>
        <w:t>a</w:t>
      </w:r>
      <w:r>
        <w:rPr>
          <w:spacing w:val="1"/>
          <w:w w:val="100"/>
          <w:sz w:val="21"/>
        </w:rPr>
        <w:t>m</w:t>
      </w:r>
      <w:r>
        <w:rPr>
          <w:w w:val="100"/>
          <w:sz w:val="21"/>
        </w:rPr>
        <w:t>e</w:t>
      </w:r>
      <w:r>
        <w:rPr>
          <w:sz w:val="21"/>
        </w:rPr>
        <w:t> </w:t>
      </w:r>
      <w:r>
        <w:rPr>
          <w:spacing w:val="-19"/>
          <w:sz w:val="21"/>
        </w:rPr>
        <w:t> </w:t>
      </w:r>
      <w:r>
        <w:rPr>
          <w:spacing w:val="-2"/>
          <w:w w:val="100"/>
          <w:sz w:val="21"/>
        </w:rPr>
        <w:t>t</w:t>
      </w:r>
      <w:r>
        <w:rPr>
          <w:w w:val="100"/>
          <w:sz w:val="21"/>
        </w:rPr>
        <w:t>o</w:t>
      </w:r>
      <w:r>
        <w:rPr>
          <w:sz w:val="21"/>
        </w:rPr>
        <w:t> </w:t>
      </w:r>
      <w:r>
        <w:rPr>
          <w:spacing w:val="-19"/>
          <w:sz w:val="21"/>
        </w:rPr>
        <w:t> </w:t>
      </w:r>
      <w:r>
        <w:rPr>
          <w:w w:val="100"/>
          <w:sz w:val="21"/>
        </w:rPr>
        <w:t>A</w:t>
      </w:r>
      <w:r>
        <w:rPr>
          <w:spacing w:val="-3"/>
          <w:w w:val="100"/>
          <w:sz w:val="21"/>
        </w:rPr>
        <w:t>y</w:t>
      </w:r>
      <w:r>
        <w:rPr>
          <w:spacing w:val="-1"/>
          <w:w w:val="100"/>
          <w:sz w:val="21"/>
        </w:rPr>
        <w:t>odh</w:t>
      </w:r>
      <w:r>
        <w:rPr>
          <w:spacing w:val="-2"/>
          <w:w w:val="100"/>
          <w:sz w:val="21"/>
        </w:rPr>
        <w:t>y</w:t>
      </w:r>
      <w:r>
        <w:rPr>
          <w:spacing w:val="-1"/>
          <w:w w:val="100"/>
          <w:sz w:val="21"/>
        </w:rPr>
        <w:t>a</w:t>
      </w:r>
      <w:r>
        <w:rPr>
          <w:w w:val="100"/>
          <w:sz w:val="21"/>
        </w:rPr>
        <w:t>,</w:t>
      </w:r>
      <w:r>
        <w:rPr>
          <w:sz w:val="21"/>
        </w:rPr>
        <w:t> </w:t>
      </w:r>
      <w:r>
        <w:rPr>
          <w:spacing w:val="-18"/>
          <w:sz w:val="21"/>
        </w:rPr>
        <w:t> </w:t>
      </w:r>
      <w:r>
        <w:rPr>
          <w:spacing w:val="-2"/>
          <w:w w:val="100"/>
          <w:sz w:val="21"/>
        </w:rPr>
        <w:t>t</w:t>
      </w:r>
      <w:r>
        <w:rPr>
          <w:spacing w:val="-1"/>
          <w:w w:val="100"/>
          <w:sz w:val="21"/>
        </w:rPr>
        <w:t>h</w:t>
      </w:r>
      <w:r>
        <w:rPr>
          <w:w w:val="100"/>
          <w:sz w:val="21"/>
        </w:rPr>
        <w:t>e</w:t>
      </w:r>
      <w:r>
        <w:rPr>
          <w:sz w:val="21"/>
        </w:rPr>
        <w:t> </w:t>
      </w:r>
      <w:r>
        <w:rPr>
          <w:spacing w:val="-19"/>
          <w:sz w:val="21"/>
        </w:rPr>
        <w:t> </w:t>
      </w:r>
      <w:r>
        <w:rPr>
          <w:spacing w:val="-2"/>
          <w:w w:val="100"/>
          <w:sz w:val="21"/>
        </w:rPr>
        <w:t>B</w:t>
      </w:r>
      <w:r>
        <w:rPr>
          <w:spacing w:val="-1"/>
          <w:w w:val="100"/>
          <w:sz w:val="21"/>
        </w:rPr>
        <w:t>a</w:t>
      </w:r>
      <w:r>
        <w:rPr>
          <w:spacing w:val="-3"/>
          <w:w w:val="100"/>
          <w:sz w:val="21"/>
        </w:rPr>
        <w:t>b</w:t>
      </w:r>
      <w:r>
        <w:rPr>
          <w:spacing w:val="-1"/>
          <w:w w:val="100"/>
          <w:sz w:val="21"/>
        </w:rPr>
        <w:t>r</w:t>
      </w:r>
      <w:r>
        <w:rPr>
          <w:w w:val="100"/>
          <w:sz w:val="21"/>
        </w:rPr>
        <w:t>i</w:t>
      </w:r>
      <w:r>
        <w:rPr>
          <w:sz w:val="21"/>
        </w:rPr>
        <w:t> </w:t>
      </w:r>
      <w:r>
        <w:rPr>
          <w:spacing w:val="-18"/>
          <w:sz w:val="21"/>
        </w:rPr>
        <w:t> </w:t>
      </w:r>
      <w:r>
        <w:rPr>
          <w:spacing w:val="1"/>
          <w:w w:val="100"/>
          <w:sz w:val="21"/>
        </w:rPr>
        <w:t>m</w:t>
      </w:r>
      <w:r>
        <w:rPr>
          <w:spacing w:val="-3"/>
          <w:w w:val="100"/>
          <w:sz w:val="21"/>
        </w:rPr>
        <w:t>o</w:t>
      </w:r>
      <w:r>
        <w:rPr>
          <w:w w:val="100"/>
          <w:sz w:val="21"/>
        </w:rPr>
        <w:t>sq</w:t>
      </w:r>
      <w:r>
        <w:rPr>
          <w:spacing w:val="-3"/>
          <w:w w:val="100"/>
          <w:sz w:val="21"/>
        </w:rPr>
        <w:t>u</w:t>
      </w:r>
      <w:r>
        <w:rPr>
          <w:w w:val="100"/>
          <w:sz w:val="21"/>
        </w:rPr>
        <w:t>e </w:t>
      </w:r>
      <w:r>
        <w:rPr>
          <w:sz w:val="21"/>
        </w:rPr>
        <w:t>was not at all existing there. There was no mosque on the disputed site in 1943, because there used to be worship of idols over there. I have heard the name of the Babri mosque. The disputed building is the Babri mosque. (Again stated) It is not the Babri mosque; it is a temple. The disputed building has three domes. It is not a mosque. It is the birthplace of Lord Rama. In 1943, when I first visited Ayodhya I did not see the Babri mosque at all. I never saw namaz being offered in the disputed building. I have seen Pooja being performed there. (Stated on his own) No question arises of offering namaz</w:t>
      </w:r>
      <w:r>
        <w:rPr>
          <w:spacing w:val="11"/>
          <w:sz w:val="21"/>
        </w:rPr>
        <w:t> </w:t>
      </w:r>
      <w:r>
        <w:rPr>
          <w:sz w:val="21"/>
        </w:rPr>
        <w:t>at</w:t>
      </w:r>
      <w:r>
        <w:rPr>
          <w:spacing w:val="12"/>
          <w:sz w:val="21"/>
        </w:rPr>
        <w:t> </w:t>
      </w:r>
      <w:r>
        <w:rPr>
          <w:sz w:val="21"/>
        </w:rPr>
        <w:t>a</w:t>
      </w:r>
      <w:r>
        <w:rPr>
          <w:spacing w:val="14"/>
          <w:sz w:val="21"/>
        </w:rPr>
        <w:t> </w:t>
      </w:r>
      <w:r>
        <w:rPr>
          <w:sz w:val="21"/>
        </w:rPr>
        <w:t>place</w:t>
      </w:r>
      <w:r>
        <w:rPr>
          <w:spacing w:val="13"/>
          <w:sz w:val="21"/>
        </w:rPr>
        <w:t> </w:t>
      </w:r>
      <w:r>
        <w:rPr>
          <w:sz w:val="21"/>
        </w:rPr>
        <w:t>where</w:t>
      </w:r>
      <w:r>
        <w:rPr>
          <w:spacing w:val="10"/>
          <w:sz w:val="21"/>
        </w:rPr>
        <w:t> </w:t>
      </w:r>
      <w:r>
        <w:rPr>
          <w:sz w:val="21"/>
        </w:rPr>
        <w:t>Pooja</w:t>
      </w:r>
      <w:r>
        <w:rPr>
          <w:spacing w:val="12"/>
          <w:sz w:val="21"/>
        </w:rPr>
        <w:t> </w:t>
      </w:r>
      <w:r>
        <w:rPr>
          <w:sz w:val="21"/>
        </w:rPr>
        <w:t>is</w:t>
      </w:r>
      <w:r>
        <w:rPr>
          <w:spacing w:val="13"/>
          <w:sz w:val="21"/>
        </w:rPr>
        <w:t> </w:t>
      </w:r>
      <w:r>
        <w:rPr>
          <w:sz w:val="21"/>
        </w:rPr>
        <w:t>performed.</w:t>
      </w:r>
      <w:r>
        <w:rPr>
          <w:spacing w:val="13"/>
          <w:sz w:val="21"/>
        </w:rPr>
        <w:t> </w:t>
      </w:r>
      <w:r>
        <w:rPr>
          <w:sz w:val="21"/>
        </w:rPr>
        <w:t>In</w:t>
      </w:r>
      <w:r>
        <w:rPr>
          <w:spacing w:val="13"/>
          <w:sz w:val="21"/>
        </w:rPr>
        <w:t> </w:t>
      </w:r>
      <w:r>
        <w:rPr>
          <w:sz w:val="21"/>
        </w:rPr>
        <w:t>1943,</w:t>
      </w:r>
      <w:r>
        <w:rPr>
          <w:spacing w:val="12"/>
          <w:sz w:val="21"/>
        </w:rPr>
        <w:t> </w:t>
      </w:r>
      <w:r>
        <w:rPr>
          <w:sz w:val="21"/>
        </w:rPr>
        <w:t>when</w:t>
      </w:r>
      <w:r>
        <w:rPr>
          <w:spacing w:val="14"/>
          <w:sz w:val="21"/>
        </w:rPr>
        <w:t> </w:t>
      </w:r>
      <w:r>
        <w:rPr>
          <w:sz w:val="21"/>
        </w:rPr>
        <w:t>I</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sz w:val="21"/>
        </w:rPr>
      </w:pPr>
      <w:r>
        <w:rPr>
          <w:sz w:val="21"/>
        </w:rPr>
        <w:t>first visited Ayodhya, I saw a temple, not a mosque, on the disputed site. (Stated on his own) There used to be Pooja- Sewa (offering worship and rendering service) over there. Three domes were built in the disputed building.‖</w:t>
      </w:r>
    </w:p>
    <w:p>
      <w:pPr>
        <w:pStyle w:val="BodyText"/>
        <w:spacing w:before="4"/>
        <w:rPr>
          <w:sz w:val="24"/>
        </w:rPr>
      </w:pPr>
    </w:p>
    <w:p>
      <w:pPr>
        <w:pStyle w:val="BodyText"/>
        <w:spacing w:line="480" w:lineRule="auto"/>
        <w:ind w:left="500" w:right="442"/>
        <w:jc w:val="both"/>
      </w:pPr>
      <w:r>
        <w:rPr/>
        <w:t>According to the witness, namaz was not offered at the disputed building from 1943 to 1950 and puja was being performed; and the sanctum sanctorum was situated beneath the three domed structure of the disputed building.</w:t>
      </w:r>
    </w:p>
    <w:p>
      <w:pPr>
        <w:pStyle w:val="BodyText"/>
      </w:pPr>
    </w:p>
    <w:p>
      <w:pPr>
        <w:pStyle w:val="ListParagraph"/>
        <w:numPr>
          <w:ilvl w:val="0"/>
          <w:numId w:val="3"/>
        </w:numPr>
        <w:tabs>
          <w:tab w:pos="1221" w:val="left" w:leader="none"/>
        </w:tabs>
        <w:spacing w:line="480" w:lineRule="auto" w:before="0" w:after="0"/>
        <w:ind w:left="500" w:right="436" w:firstLine="0"/>
        <w:jc w:val="both"/>
        <w:rPr>
          <w:sz w:val="25"/>
        </w:rPr>
      </w:pPr>
      <w:r>
        <w:rPr>
          <w:sz w:val="25"/>
        </w:rPr>
        <w:t>The above account of the oral evidence of the witnesses who deposed in support of the Nirmohi Akhara indicates that their statements are replete with hearsay. Witnesses who claimed to have visited the disputed site on numerous occasions were unable to record its physical features. Though, the witnesses have purported to state that no incident had taken place on 22/23 December 1949 and one of them feigned ignorance on the ground that he was sleeping inside the disputed structure at the time, it is impossible to accept this as a credible or trustworthy account. The statements of the witnesses are replete with inconsistencies and contradictions. The witnesses were unclear about the nature of the </w:t>
      </w:r>
      <w:r>
        <w:rPr>
          <w:i/>
          <w:sz w:val="25"/>
        </w:rPr>
        <w:t>parikrama </w:t>
      </w:r>
      <w:r>
        <w:rPr>
          <w:sz w:val="25"/>
        </w:rPr>
        <w:t>route and the number of idols. While furnishing a description of the idols inside the disputed structure, many witnesses acknowledged that they had not entered the disputed structure. Many of the witnesses had not read their affidavits in lieu of the Examination-in-Chief and had merely appended their signatures without understanding the contents. Many of the witnesses have not been able to confirm their assertions in the Examination-in-Chief and have in fact contradicted their own statements. Many of the witnesses offered accounts with respect to the disputed structure which are at variance with the pleaded case of Nirmohi</w:t>
      </w:r>
      <w:r>
        <w:rPr>
          <w:spacing w:val="16"/>
          <w:sz w:val="25"/>
        </w:rPr>
        <w:t> </w:t>
      </w:r>
      <w:r>
        <w:rPr>
          <w:sz w:val="25"/>
        </w:rPr>
        <w:t>Akhara.</w:t>
      </w:r>
      <w:r>
        <w:rPr>
          <w:spacing w:val="18"/>
          <w:sz w:val="25"/>
        </w:rPr>
        <w:t> </w:t>
      </w:r>
      <w:r>
        <w:rPr>
          <w:sz w:val="25"/>
        </w:rPr>
        <w:t>Some</w:t>
      </w:r>
      <w:r>
        <w:rPr>
          <w:spacing w:val="18"/>
          <w:sz w:val="25"/>
        </w:rPr>
        <w:t> </w:t>
      </w:r>
      <w:r>
        <w:rPr>
          <w:sz w:val="25"/>
        </w:rPr>
        <w:t>of</w:t>
      </w:r>
      <w:r>
        <w:rPr>
          <w:spacing w:val="18"/>
          <w:sz w:val="25"/>
        </w:rPr>
        <w:t> </w:t>
      </w:r>
      <w:r>
        <w:rPr>
          <w:sz w:val="25"/>
        </w:rPr>
        <w:t>the</w:t>
      </w:r>
      <w:r>
        <w:rPr>
          <w:spacing w:val="15"/>
          <w:sz w:val="25"/>
        </w:rPr>
        <w:t> </w:t>
      </w:r>
      <w:r>
        <w:rPr>
          <w:sz w:val="25"/>
        </w:rPr>
        <w:t>witnesses</w:t>
      </w:r>
      <w:r>
        <w:rPr>
          <w:spacing w:val="18"/>
          <w:sz w:val="25"/>
        </w:rPr>
        <w:t> </w:t>
      </w:r>
      <w:r>
        <w:rPr>
          <w:sz w:val="25"/>
        </w:rPr>
        <w:t>in</w:t>
      </w:r>
      <w:r>
        <w:rPr>
          <w:spacing w:val="15"/>
          <w:sz w:val="25"/>
        </w:rPr>
        <w:t> </w:t>
      </w:r>
      <w:r>
        <w:rPr>
          <w:sz w:val="25"/>
        </w:rPr>
        <w:t>fact</w:t>
      </w:r>
      <w:r>
        <w:rPr>
          <w:spacing w:val="18"/>
          <w:sz w:val="25"/>
        </w:rPr>
        <w:t> </w:t>
      </w:r>
      <w:r>
        <w:rPr>
          <w:sz w:val="25"/>
        </w:rPr>
        <w:t>supported</w:t>
      </w:r>
      <w:r>
        <w:rPr>
          <w:spacing w:val="16"/>
          <w:sz w:val="25"/>
        </w:rPr>
        <w:t> </w:t>
      </w:r>
      <w:r>
        <w:rPr>
          <w:sz w:val="25"/>
        </w:rPr>
        <w:t>the</w:t>
      </w:r>
      <w:r>
        <w:rPr>
          <w:spacing w:val="17"/>
          <w:sz w:val="25"/>
        </w:rPr>
        <w:t> </w:t>
      </w:r>
      <w:r>
        <w:rPr>
          <w:sz w:val="25"/>
        </w:rPr>
        <w:t>case</w:t>
      </w:r>
      <w:r>
        <w:rPr>
          <w:spacing w:val="18"/>
          <w:sz w:val="25"/>
        </w:rPr>
        <w:t> </w:t>
      </w:r>
      <w:r>
        <w:rPr>
          <w:sz w:val="25"/>
        </w:rPr>
        <w:t>in</w:t>
      </w:r>
      <w:r>
        <w:rPr>
          <w:spacing w:val="18"/>
          <w:sz w:val="25"/>
        </w:rPr>
        <w:t> </w:t>
      </w:r>
      <w:r>
        <w:rPr>
          <w:sz w:val="25"/>
        </w:rPr>
        <w:t>Suit</w:t>
      </w:r>
      <w:r>
        <w:rPr>
          <w:spacing w:val="18"/>
          <w:sz w:val="25"/>
        </w:rPr>
        <w:t> </w:t>
      </w:r>
      <w:r>
        <w:rPr>
          <w:sz w:val="25"/>
        </w:rPr>
        <w:t>4</w:t>
      </w:r>
      <w:r>
        <w:rPr>
          <w:spacing w:val="17"/>
          <w:sz w:val="25"/>
        </w:rPr>
        <w:t> </w:t>
      </w:r>
      <w:r>
        <w:rPr>
          <w:sz w:val="25"/>
        </w:rPr>
        <w:t>that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6"/>
        <w:jc w:val="both"/>
      </w:pPr>
      <w:r>
        <w:rPr/>
        <w:t>Babri Masjid existed where prayers had been conducted. Consequently, the witness accounts cannot be regarded as credible proof in support of the case of Nirmohi Akhara.</w:t>
      </w:r>
    </w:p>
    <w:p>
      <w:pPr>
        <w:pStyle w:val="BodyText"/>
        <w:rPr>
          <w:sz w:val="28"/>
        </w:rPr>
      </w:pPr>
    </w:p>
    <w:p>
      <w:pPr>
        <w:pStyle w:val="Heading3"/>
        <w:numPr>
          <w:ilvl w:val="1"/>
          <w:numId w:val="56"/>
        </w:numPr>
        <w:tabs>
          <w:tab w:pos="1221" w:val="left" w:leader="none"/>
        </w:tabs>
        <w:spacing w:line="240" w:lineRule="auto" w:before="245" w:after="0"/>
        <w:ind w:left="1220" w:right="0" w:hanging="721"/>
        <w:jc w:val="both"/>
      </w:pPr>
      <w:r>
        <w:rPr/>
        <w:t>Nirmohi Akhara‘s claim to possession of the inner</w:t>
      </w:r>
      <w:r>
        <w:rPr>
          <w:spacing w:val="-10"/>
        </w:rPr>
        <w:t> </w:t>
      </w:r>
      <w:r>
        <w:rPr/>
        <w:t>courtyard</w:t>
      </w:r>
    </w:p>
    <w:p>
      <w:pPr>
        <w:pStyle w:val="BodyText"/>
        <w:rPr>
          <w:b/>
          <w:sz w:val="28"/>
        </w:rPr>
      </w:pPr>
    </w:p>
    <w:p>
      <w:pPr>
        <w:pStyle w:val="BodyText"/>
        <w:rPr>
          <w:b/>
          <w:sz w:val="28"/>
        </w:rPr>
      </w:pPr>
    </w:p>
    <w:p>
      <w:pPr>
        <w:pStyle w:val="ListParagraph"/>
        <w:numPr>
          <w:ilvl w:val="0"/>
          <w:numId w:val="3"/>
        </w:numPr>
        <w:tabs>
          <w:tab w:pos="1221" w:val="left" w:leader="none"/>
        </w:tabs>
        <w:spacing w:line="480" w:lineRule="auto" w:before="183" w:after="0"/>
        <w:ind w:left="500" w:right="435" w:firstLine="0"/>
        <w:jc w:val="both"/>
        <w:rPr>
          <w:sz w:val="25"/>
        </w:rPr>
      </w:pPr>
      <w:r>
        <w:rPr>
          <w:sz w:val="25"/>
        </w:rPr>
        <w:t>The claim of Nirmohi Akhara in Suit 3 is in respect of the inner courtyard, including the three domed structure of the mosque. Nirmohi Akhara denies the incident of 22/23 December 1949 during the course of which the idols were surreptitiously installed into the disputed structure. According to Nirmohi Akhara, the structure is a temple and not a mosque. The oral evidence which has been adduced to support this submission has been analysed earlier. The oral evidence does not indicate any cogent, credible or trustworthy account of Nirmohi Akhara being in possession of the inner courtyard or structure. With this state of the record in regard to the oral accounts of the witnesses produced by Nirmohi Akhara, it becomes necessary to scrutinise whether the documentary evidence supports the case of Nirmohi Akhara being in possession of the inner courtyard and</w:t>
      </w:r>
      <w:r>
        <w:rPr>
          <w:spacing w:val="-2"/>
          <w:sz w:val="25"/>
        </w:rPr>
        <w:t> </w:t>
      </w:r>
      <w:r>
        <w:rPr>
          <w:sz w:val="25"/>
        </w:rPr>
        <w:t>structure.</w:t>
      </w:r>
    </w:p>
    <w:p>
      <w:pPr>
        <w:pStyle w:val="BodyText"/>
        <w:spacing w:before="11"/>
        <w:rPr>
          <w:sz w:val="38"/>
        </w:rPr>
      </w:pPr>
    </w:p>
    <w:p>
      <w:pPr>
        <w:pStyle w:val="ListParagraph"/>
        <w:numPr>
          <w:ilvl w:val="0"/>
          <w:numId w:val="3"/>
        </w:numPr>
        <w:tabs>
          <w:tab w:pos="1221" w:val="left" w:leader="none"/>
        </w:tabs>
        <w:spacing w:line="480" w:lineRule="auto" w:before="0" w:after="0"/>
        <w:ind w:left="500" w:right="441" w:firstLine="0"/>
        <w:jc w:val="both"/>
        <w:rPr>
          <w:sz w:val="25"/>
        </w:rPr>
      </w:pPr>
      <w:r>
        <w:rPr>
          <w:sz w:val="25"/>
        </w:rPr>
        <w:t>Mr S K Jain, learned Senior Counsel appearing on behalf of the plaintiffs in Suit 3, emphasized the findings contained in the judgments of Justice Sudhir Agarwal and Justice D V Sharma that Nirmohi Akhara had a presence at Ayodhya from 1734 after Mahant Govind Das left Jaipur to come to Ayodhya. Justice Sudhir Agarwal observed, while deciding issue 17 in Suit 3</w:t>
      </w:r>
      <w:r>
        <w:rPr>
          <w:spacing w:val="-5"/>
          <w:sz w:val="25"/>
        </w:rPr>
        <w:t> </w:t>
      </w:r>
      <w:r>
        <w:rPr>
          <w:sz w:val="25"/>
        </w:rPr>
        <w:t>that:</w:t>
      </w:r>
    </w:p>
    <w:p>
      <w:pPr>
        <w:spacing w:after="0" w:line="480" w:lineRule="auto"/>
        <w:jc w:val="both"/>
        <w:rPr>
          <w:sz w:val="25"/>
        </w:rPr>
        <w:sectPr>
          <w:pgSz w:w="11910" w:h="16840"/>
          <w:pgMar w:header="721" w:footer="1014" w:top="1300" w:bottom="1200" w:left="940" w:right="1000"/>
        </w:sectPr>
      </w:pPr>
    </w:p>
    <w:p>
      <w:pPr>
        <w:spacing w:line="276" w:lineRule="auto" w:before="122"/>
        <w:ind w:left="1940" w:right="2263" w:firstLine="0"/>
        <w:jc w:val="both"/>
        <w:rPr>
          <w:sz w:val="21"/>
        </w:rPr>
      </w:pPr>
      <w:r>
        <w:rPr>
          <w:spacing w:val="-1"/>
          <w:w w:val="33"/>
          <w:sz w:val="21"/>
        </w:rPr>
        <w:t>―</w:t>
      </w:r>
      <w:r>
        <w:rPr>
          <w:spacing w:val="-1"/>
          <w:w w:val="100"/>
          <w:sz w:val="21"/>
        </w:rPr>
        <w:t>799</w:t>
      </w:r>
      <w:r>
        <w:rPr>
          <w:spacing w:val="-2"/>
          <w:w w:val="100"/>
          <w:sz w:val="21"/>
        </w:rPr>
        <w:t>…N</w:t>
      </w:r>
      <w:r>
        <w:rPr>
          <w:w w:val="100"/>
          <w:sz w:val="21"/>
        </w:rPr>
        <w:t>i</w:t>
      </w:r>
      <w:r>
        <w:rPr>
          <w:spacing w:val="-4"/>
          <w:w w:val="100"/>
          <w:sz w:val="21"/>
        </w:rPr>
        <w:t>r</w:t>
      </w:r>
      <w:r>
        <w:rPr>
          <w:spacing w:val="1"/>
          <w:w w:val="100"/>
          <w:sz w:val="21"/>
        </w:rPr>
        <w:t>m</w:t>
      </w:r>
      <w:r>
        <w:rPr>
          <w:spacing w:val="-1"/>
          <w:w w:val="100"/>
          <w:sz w:val="21"/>
        </w:rPr>
        <w:t>o</w:t>
      </w:r>
      <w:r>
        <w:rPr>
          <w:spacing w:val="-3"/>
          <w:w w:val="100"/>
          <w:sz w:val="21"/>
        </w:rPr>
        <w:t>h</w:t>
      </w:r>
      <w:r>
        <w:rPr>
          <w:w w:val="100"/>
          <w:sz w:val="21"/>
        </w:rPr>
        <w:t>i</w:t>
      </w:r>
      <w:r>
        <w:rPr>
          <w:spacing w:val="14"/>
          <w:sz w:val="21"/>
        </w:rPr>
        <w:t> </w:t>
      </w:r>
      <w:r>
        <w:rPr>
          <w:spacing w:val="-2"/>
          <w:w w:val="100"/>
          <w:sz w:val="21"/>
        </w:rPr>
        <w:t>A</w:t>
      </w:r>
      <w:r>
        <w:rPr>
          <w:w w:val="100"/>
          <w:sz w:val="21"/>
        </w:rPr>
        <w:t>khara,</w:t>
      </w:r>
      <w:r>
        <w:rPr>
          <w:spacing w:val="12"/>
          <w:sz w:val="21"/>
        </w:rPr>
        <w:t> </w:t>
      </w:r>
      <w:r>
        <w:rPr>
          <w:spacing w:val="-1"/>
          <w:w w:val="100"/>
          <w:sz w:val="21"/>
        </w:rPr>
        <w:t>p</w:t>
      </w:r>
      <w:r>
        <w:rPr>
          <w:spacing w:val="-2"/>
          <w:w w:val="100"/>
          <w:sz w:val="21"/>
        </w:rPr>
        <w:t>l</w:t>
      </w:r>
      <w:r>
        <w:rPr>
          <w:spacing w:val="-1"/>
          <w:w w:val="100"/>
          <w:sz w:val="21"/>
        </w:rPr>
        <w:t>a</w:t>
      </w:r>
      <w:r>
        <w:rPr>
          <w:spacing w:val="1"/>
          <w:w w:val="100"/>
          <w:sz w:val="21"/>
        </w:rPr>
        <w:t>i</w:t>
      </w:r>
      <w:r>
        <w:rPr>
          <w:spacing w:val="-1"/>
          <w:w w:val="100"/>
          <w:sz w:val="21"/>
        </w:rPr>
        <w:t>nt</w:t>
      </w:r>
      <w:r>
        <w:rPr>
          <w:spacing w:val="-2"/>
          <w:w w:val="100"/>
          <w:sz w:val="21"/>
        </w:rPr>
        <w:t>if</w:t>
      </w:r>
      <w:r>
        <w:rPr>
          <w:w w:val="100"/>
          <w:sz w:val="21"/>
        </w:rPr>
        <w:t>f</w:t>
      </w:r>
      <w:r>
        <w:rPr>
          <w:spacing w:val="14"/>
          <w:sz w:val="21"/>
        </w:rPr>
        <w:t> </w:t>
      </w:r>
      <w:r>
        <w:rPr>
          <w:spacing w:val="-1"/>
          <w:w w:val="100"/>
          <w:sz w:val="21"/>
        </w:rPr>
        <w:t>no</w:t>
      </w:r>
      <w:r>
        <w:rPr>
          <w:w w:val="100"/>
          <w:sz w:val="21"/>
        </w:rPr>
        <w:t>.</w:t>
      </w:r>
      <w:r>
        <w:rPr>
          <w:spacing w:val="12"/>
          <w:sz w:val="21"/>
        </w:rPr>
        <w:t> </w:t>
      </w:r>
      <w:r>
        <w:rPr>
          <w:w w:val="100"/>
          <w:sz w:val="21"/>
        </w:rPr>
        <w:t>1</w:t>
      </w:r>
      <w:r>
        <w:rPr>
          <w:spacing w:val="13"/>
          <w:sz w:val="21"/>
        </w:rPr>
        <w:t> </w:t>
      </w:r>
      <w:r>
        <w:rPr>
          <w:w w:val="100"/>
          <w:sz w:val="21"/>
        </w:rPr>
        <w:t>is</w:t>
      </w:r>
      <w:r>
        <w:rPr>
          <w:spacing w:val="13"/>
          <w:sz w:val="21"/>
        </w:rPr>
        <w:t> </w:t>
      </w:r>
      <w:r>
        <w:rPr>
          <w:w w:val="100"/>
          <w:sz w:val="21"/>
        </w:rPr>
        <w:t>a</w:t>
      </w:r>
      <w:r>
        <w:rPr>
          <w:spacing w:val="13"/>
          <w:sz w:val="21"/>
        </w:rPr>
        <w:t> </w:t>
      </w:r>
      <w:r>
        <w:rPr>
          <w:w w:val="100"/>
          <w:sz w:val="21"/>
        </w:rPr>
        <w:t>P</w:t>
      </w:r>
      <w:r>
        <w:rPr>
          <w:spacing w:val="-1"/>
          <w:w w:val="100"/>
          <w:sz w:val="21"/>
        </w:rPr>
        <w:t>a</w:t>
      </w:r>
      <w:r>
        <w:rPr>
          <w:spacing w:val="-3"/>
          <w:w w:val="100"/>
          <w:sz w:val="21"/>
        </w:rPr>
        <w:t>n</w:t>
      </w:r>
      <w:r>
        <w:rPr>
          <w:w w:val="100"/>
          <w:sz w:val="21"/>
        </w:rPr>
        <w:t>cha</w:t>
      </w:r>
      <w:r>
        <w:rPr>
          <w:spacing w:val="-5"/>
          <w:w w:val="100"/>
          <w:sz w:val="21"/>
        </w:rPr>
        <w:t>y</w:t>
      </w:r>
      <w:r>
        <w:rPr>
          <w:spacing w:val="-1"/>
          <w:w w:val="100"/>
          <w:sz w:val="21"/>
        </w:rPr>
        <w:t>at</w:t>
      </w:r>
      <w:r>
        <w:rPr>
          <w:w w:val="100"/>
          <w:sz w:val="21"/>
        </w:rPr>
        <w:t>i</w:t>
      </w:r>
      <w:r>
        <w:rPr>
          <w:spacing w:val="16"/>
          <w:sz w:val="21"/>
        </w:rPr>
        <w:t> </w:t>
      </w:r>
      <w:r>
        <w:rPr>
          <w:spacing w:val="-4"/>
          <w:w w:val="100"/>
          <w:sz w:val="21"/>
        </w:rPr>
        <w:t>M</w:t>
      </w:r>
      <w:r>
        <w:rPr>
          <w:spacing w:val="-1"/>
          <w:w w:val="100"/>
          <w:sz w:val="21"/>
        </w:rPr>
        <w:t>at</w:t>
      </w:r>
      <w:r>
        <w:rPr>
          <w:w w:val="100"/>
          <w:sz w:val="21"/>
        </w:rPr>
        <w:t>h</w:t>
      </w:r>
      <w:r>
        <w:rPr>
          <w:spacing w:val="15"/>
          <w:sz w:val="21"/>
        </w:rPr>
        <w:t> </w:t>
      </w:r>
      <w:r>
        <w:rPr>
          <w:spacing w:val="-3"/>
          <w:w w:val="100"/>
          <w:sz w:val="21"/>
        </w:rPr>
        <w:t>o</w:t>
      </w:r>
      <w:r>
        <w:rPr>
          <w:w w:val="100"/>
          <w:sz w:val="21"/>
        </w:rPr>
        <w:t>f </w:t>
      </w:r>
      <w:r>
        <w:rPr>
          <w:sz w:val="21"/>
        </w:rPr>
        <w:t>Ramanandi Sect of Bairagies and as such is a religious denomination following its religious faith and  pursuit according to its own custom. We however further hold that its continuance in Ayodhya find sometimes (sic) after 1734 AD and not earlier</w:t>
      </w:r>
      <w:r>
        <w:rPr>
          <w:spacing w:val="-6"/>
          <w:sz w:val="21"/>
        </w:rPr>
        <w:t> </w:t>
      </w:r>
      <w:r>
        <w:rPr>
          <w:sz w:val="21"/>
        </w:rPr>
        <w:t>thereto.‖</w:t>
      </w:r>
    </w:p>
    <w:p>
      <w:pPr>
        <w:pStyle w:val="BodyText"/>
        <w:rPr>
          <w:sz w:val="24"/>
        </w:rPr>
      </w:pPr>
    </w:p>
    <w:p>
      <w:pPr>
        <w:pStyle w:val="BodyText"/>
        <w:spacing w:before="2"/>
        <w:rPr>
          <w:sz w:val="26"/>
        </w:rPr>
      </w:pPr>
    </w:p>
    <w:p>
      <w:pPr>
        <w:pStyle w:val="BodyText"/>
        <w:spacing w:line="480" w:lineRule="auto"/>
        <w:ind w:left="500" w:right="512"/>
      </w:pPr>
      <w:r>
        <w:rPr/>
        <w:t>Justice D V Sharma placed reliance on the evidence of Mahant Bhaskar Das (DW 3/1) and Raja Ramachandracharya (DW 3/20) to hold</w:t>
      </w:r>
      <w:r>
        <w:rPr>
          <w:spacing w:val="1"/>
        </w:rPr>
        <w:t> </w:t>
      </w:r>
      <w:r>
        <w:rPr/>
        <w:t>that:</w:t>
      </w:r>
    </w:p>
    <w:p>
      <w:pPr>
        <w:spacing w:line="276" w:lineRule="auto" w:before="0"/>
        <w:ind w:left="1940" w:right="2264" w:firstLine="0"/>
        <w:jc w:val="both"/>
        <w:rPr>
          <w:sz w:val="21"/>
        </w:rPr>
      </w:pPr>
      <w:r>
        <w:rPr>
          <w:spacing w:val="-1"/>
          <w:w w:val="33"/>
          <w:sz w:val="21"/>
        </w:rPr>
        <w:t>―</w:t>
      </w:r>
      <w:r>
        <w:rPr>
          <w:w w:val="100"/>
          <w:sz w:val="21"/>
        </w:rPr>
        <w:t>Ni</w:t>
      </w:r>
      <w:r>
        <w:rPr>
          <w:spacing w:val="-4"/>
          <w:w w:val="100"/>
          <w:sz w:val="21"/>
        </w:rPr>
        <w:t>r</w:t>
      </w:r>
      <w:r>
        <w:rPr>
          <w:spacing w:val="-1"/>
          <w:w w:val="100"/>
          <w:sz w:val="21"/>
        </w:rPr>
        <w:t>moh</w:t>
      </w:r>
      <w:r>
        <w:rPr>
          <w:w w:val="100"/>
          <w:sz w:val="21"/>
        </w:rPr>
        <w:t>i</w:t>
      </w:r>
      <w:r>
        <w:rPr>
          <w:sz w:val="21"/>
        </w:rPr>
        <w:t>  </w:t>
      </w:r>
      <w:r>
        <w:rPr>
          <w:spacing w:val="-27"/>
          <w:sz w:val="21"/>
        </w:rPr>
        <w:t> </w:t>
      </w:r>
      <w:r>
        <w:rPr>
          <w:spacing w:val="-2"/>
          <w:w w:val="100"/>
          <w:sz w:val="21"/>
        </w:rPr>
        <w:t>A</w:t>
      </w:r>
      <w:r>
        <w:rPr>
          <w:w w:val="100"/>
          <w:sz w:val="21"/>
        </w:rPr>
        <w:t>khara</w:t>
      </w:r>
      <w:r>
        <w:rPr>
          <w:sz w:val="21"/>
        </w:rPr>
        <w:t>  </w:t>
      </w:r>
      <w:r>
        <w:rPr>
          <w:spacing w:val="-29"/>
          <w:sz w:val="21"/>
        </w:rPr>
        <w:t> </w:t>
      </w:r>
      <w:r>
        <w:rPr>
          <w:spacing w:val="-2"/>
          <w:w w:val="100"/>
          <w:sz w:val="21"/>
        </w:rPr>
        <w:t>i</w:t>
      </w:r>
      <w:r>
        <w:rPr>
          <w:w w:val="100"/>
          <w:sz w:val="21"/>
        </w:rPr>
        <w:t>s</w:t>
      </w:r>
      <w:r>
        <w:rPr>
          <w:sz w:val="21"/>
        </w:rPr>
        <w:t>  </w:t>
      </w:r>
      <w:r>
        <w:rPr>
          <w:spacing w:val="-27"/>
          <w:sz w:val="21"/>
        </w:rPr>
        <w:t> </w:t>
      </w:r>
      <w:r>
        <w:rPr>
          <w:w w:val="100"/>
          <w:sz w:val="21"/>
        </w:rPr>
        <w:t>a</w:t>
      </w:r>
      <w:r>
        <w:rPr>
          <w:sz w:val="21"/>
        </w:rPr>
        <w:t> </w:t>
      </w:r>
      <w:r>
        <w:rPr>
          <w:spacing w:val="27"/>
          <w:sz w:val="21"/>
        </w:rPr>
        <w:t> </w:t>
      </w:r>
      <w:r>
        <w:rPr>
          <w:w w:val="100"/>
          <w:sz w:val="21"/>
        </w:rPr>
        <w:t>P</w:t>
      </w:r>
      <w:r>
        <w:rPr>
          <w:w w:val="100"/>
          <w:sz w:val="21"/>
        </w:rPr>
        <w:t>a</w:t>
      </w:r>
      <w:r>
        <w:rPr>
          <w:spacing w:val="-3"/>
          <w:w w:val="100"/>
          <w:sz w:val="21"/>
        </w:rPr>
        <w:t>n</w:t>
      </w:r>
      <w:r>
        <w:rPr>
          <w:w w:val="100"/>
          <w:sz w:val="21"/>
        </w:rPr>
        <w:t>cha</w:t>
      </w:r>
      <w:r>
        <w:rPr>
          <w:spacing w:val="-3"/>
          <w:w w:val="100"/>
          <w:sz w:val="21"/>
        </w:rPr>
        <w:t>y</w:t>
      </w:r>
      <w:r>
        <w:rPr>
          <w:w w:val="100"/>
          <w:sz w:val="21"/>
        </w:rPr>
        <w:t>a</w:t>
      </w:r>
      <w:r>
        <w:rPr>
          <w:spacing w:val="-1"/>
          <w:w w:val="100"/>
          <w:sz w:val="21"/>
        </w:rPr>
        <w:t>t</w:t>
      </w:r>
      <w:r>
        <w:rPr>
          <w:w w:val="100"/>
          <w:sz w:val="21"/>
        </w:rPr>
        <w:t>i</w:t>
      </w:r>
      <w:r>
        <w:rPr>
          <w:sz w:val="21"/>
        </w:rPr>
        <w:t>  </w:t>
      </w:r>
      <w:r>
        <w:rPr>
          <w:spacing w:val="-29"/>
          <w:sz w:val="21"/>
        </w:rPr>
        <w:t> </w:t>
      </w:r>
      <w:r>
        <w:rPr>
          <w:w w:val="100"/>
          <w:sz w:val="21"/>
        </w:rPr>
        <w:t>of</w:t>
      </w:r>
      <w:r>
        <w:rPr>
          <w:sz w:val="21"/>
        </w:rPr>
        <w:t>  </w:t>
      </w:r>
      <w:r>
        <w:rPr>
          <w:spacing w:val="-28"/>
          <w:sz w:val="21"/>
        </w:rPr>
        <w:t> </w:t>
      </w:r>
      <w:r>
        <w:rPr>
          <w:spacing w:val="-2"/>
          <w:w w:val="100"/>
          <w:sz w:val="21"/>
        </w:rPr>
        <w:t>R</w:t>
      </w:r>
      <w:r>
        <w:rPr>
          <w:spacing w:val="-3"/>
          <w:w w:val="100"/>
          <w:sz w:val="21"/>
        </w:rPr>
        <w:t>a</w:t>
      </w:r>
      <w:r>
        <w:rPr>
          <w:spacing w:val="1"/>
          <w:w w:val="100"/>
          <w:sz w:val="21"/>
        </w:rPr>
        <w:t>m</w:t>
      </w:r>
      <w:r>
        <w:rPr>
          <w:spacing w:val="-3"/>
          <w:w w:val="100"/>
          <w:sz w:val="21"/>
        </w:rPr>
        <w:t>a</w:t>
      </w:r>
      <w:r>
        <w:rPr>
          <w:w w:val="100"/>
          <w:sz w:val="21"/>
        </w:rPr>
        <w:t>na</w:t>
      </w:r>
      <w:r>
        <w:rPr>
          <w:spacing w:val="-2"/>
          <w:w w:val="100"/>
          <w:sz w:val="21"/>
        </w:rPr>
        <w:t>n</w:t>
      </w:r>
      <w:r>
        <w:rPr>
          <w:w w:val="100"/>
          <w:sz w:val="21"/>
        </w:rPr>
        <w:t>di</w:t>
      </w:r>
      <w:r>
        <w:rPr>
          <w:sz w:val="21"/>
        </w:rPr>
        <w:t>  </w:t>
      </w:r>
      <w:r>
        <w:rPr>
          <w:spacing w:val="-26"/>
          <w:sz w:val="21"/>
        </w:rPr>
        <w:t> </w:t>
      </w:r>
      <w:r>
        <w:rPr>
          <w:spacing w:val="-3"/>
          <w:w w:val="100"/>
          <w:sz w:val="21"/>
        </w:rPr>
        <w:t>s</w:t>
      </w:r>
      <w:r>
        <w:rPr>
          <w:w w:val="100"/>
          <w:sz w:val="21"/>
        </w:rPr>
        <w:t>ect</w:t>
      </w:r>
      <w:r>
        <w:rPr>
          <w:sz w:val="21"/>
        </w:rPr>
        <w:t>  </w:t>
      </w:r>
      <w:r>
        <w:rPr>
          <w:spacing w:val="-28"/>
          <w:sz w:val="21"/>
        </w:rPr>
        <w:t> </w:t>
      </w:r>
      <w:r>
        <w:rPr>
          <w:spacing w:val="-3"/>
          <w:w w:val="100"/>
          <w:sz w:val="21"/>
        </w:rPr>
        <w:t>o</w:t>
      </w:r>
      <w:r>
        <w:rPr>
          <w:w w:val="100"/>
          <w:sz w:val="21"/>
        </w:rPr>
        <w:t>f </w:t>
      </w:r>
      <w:r>
        <w:rPr>
          <w:sz w:val="21"/>
        </w:rPr>
        <w:t>Bairagies and as such is religious denomination. The custom has already been registered in the year</w:t>
      </w:r>
      <w:r>
        <w:rPr>
          <w:spacing w:val="-17"/>
          <w:sz w:val="21"/>
        </w:rPr>
        <w:t> </w:t>
      </w:r>
      <w:r>
        <w:rPr>
          <w:sz w:val="21"/>
        </w:rPr>
        <w:t>1949.‖</w:t>
      </w:r>
    </w:p>
    <w:p>
      <w:pPr>
        <w:pStyle w:val="BodyText"/>
        <w:rPr>
          <w:sz w:val="24"/>
        </w:rPr>
      </w:pPr>
    </w:p>
    <w:p>
      <w:pPr>
        <w:pStyle w:val="BodyText"/>
        <w:spacing w:before="1"/>
        <w:rPr>
          <w:sz w:val="26"/>
        </w:rPr>
      </w:pPr>
    </w:p>
    <w:p>
      <w:pPr>
        <w:pStyle w:val="ListParagraph"/>
        <w:numPr>
          <w:ilvl w:val="0"/>
          <w:numId w:val="3"/>
        </w:numPr>
        <w:tabs>
          <w:tab w:pos="1221" w:val="left" w:leader="none"/>
        </w:tabs>
        <w:spacing w:line="480" w:lineRule="auto" w:before="0" w:after="0"/>
        <w:ind w:left="500" w:right="434" w:firstLine="0"/>
        <w:jc w:val="both"/>
        <w:rPr>
          <w:sz w:val="25"/>
        </w:rPr>
      </w:pPr>
      <w:r>
        <w:rPr>
          <w:sz w:val="25"/>
        </w:rPr>
        <w:t>These findings do not establish Nirmohis being in possession of the inner courtyard. While scrutinizing the documentary evidence which has been relied upon by them, a distinction must be drawn between a mere presence of Nirmohi Akhara at Ayodhya or around the disputed site and actual possession of the disputed structure. Mr S K Jain in that context adverted to the account of </w:t>
      </w:r>
      <w:r>
        <w:rPr>
          <w:b/>
          <w:sz w:val="25"/>
        </w:rPr>
        <w:t>Tieffenthaler </w:t>
      </w:r>
      <w:r>
        <w:rPr>
          <w:sz w:val="25"/>
        </w:rPr>
        <w:t>of 1770 which refers to the presence of the </w:t>
      </w:r>
      <w:r>
        <w:rPr>
          <w:i/>
          <w:sz w:val="25"/>
        </w:rPr>
        <w:t>Bedi </w:t>
      </w:r>
      <w:r>
        <w:rPr>
          <w:sz w:val="25"/>
        </w:rPr>
        <w:t>or cradle symbolizing the place of birth of Lord Ram. The reference to the cradle in </w:t>
      </w:r>
      <w:r>
        <w:rPr>
          <w:b/>
          <w:sz w:val="25"/>
        </w:rPr>
        <w:t>Tieffenthaler‘s </w:t>
      </w:r>
      <w:r>
        <w:rPr>
          <w:sz w:val="25"/>
        </w:rPr>
        <w:t>account cannot be regarded as indicative of the Nirmohi Akhara being in possession of the disputed structure or inner courtyard of the mosque. </w:t>
      </w:r>
      <w:r>
        <w:rPr>
          <w:b/>
          <w:sz w:val="25"/>
        </w:rPr>
        <w:t>Sri Acharya Mahant Bansidhar Das alias Uriya Baba </w:t>
      </w:r>
      <w:r>
        <w:rPr>
          <w:sz w:val="25"/>
        </w:rPr>
        <w:t>(</w:t>
      </w:r>
      <w:r>
        <w:rPr>
          <w:b/>
          <w:sz w:val="25"/>
        </w:rPr>
        <w:t>DW 3/18</w:t>
      </w:r>
      <w:r>
        <w:rPr>
          <w:sz w:val="25"/>
        </w:rPr>
        <w:t>), who was a witness for Nirmohi Akhara stated that Ramchabutra is also called </w:t>
      </w:r>
      <w:r>
        <w:rPr>
          <w:i/>
          <w:sz w:val="25"/>
        </w:rPr>
        <w:t>Bedi. </w:t>
      </w:r>
      <w:r>
        <w:rPr>
          <w:sz w:val="25"/>
        </w:rPr>
        <w:t>The statement of this witness to the effect that the </w:t>
      </w:r>
      <w:r>
        <w:rPr>
          <w:i/>
          <w:sz w:val="25"/>
        </w:rPr>
        <w:t>Bedi </w:t>
      </w:r>
      <w:r>
        <w:rPr>
          <w:sz w:val="25"/>
        </w:rPr>
        <w:t>/ cradle was at Ramchabutra cannot be taken out of context and has to be read in the light of the entirety of the evidence, including </w:t>
      </w:r>
      <w:r>
        <w:rPr>
          <w:b/>
          <w:sz w:val="25"/>
        </w:rPr>
        <w:t>Tieffenthaler‘s </w:t>
      </w:r>
      <w:r>
        <w:rPr>
          <w:sz w:val="25"/>
        </w:rPr>
        <w:t>observations on what he had noticed. Among the other documents, which have been relied upon</w:t>
      </w:r>
      <w:r>
        <w:rPr>
          <w:spacing w:val="-2"/>
          <w:sz w:val="25"/>
        </w:rPr>
        <w:t> </w:t>
      </w:r>
      <w:r>
        <w:rPr>
          <w:sz w:val="25"/>
        </w:rPr>
        <w:t>are:</w:t>
      </w:r>
    </w:p>
    <w:p>
      <w:pPr>
        <w:pStyle w:val="ListParagraph"/>
        <w:numPr>
          <w:ilvl w:val="0"/>
          <w:numId w:val="105"/>
        </w:numPr>
        <w:tabs>
          <w:tab w:pos="1221" w:val="left" w:leader="none"/>
        </w:tabs>
        <w:spacing w:line="240" w:lineRule="auto" w:before="159" w:after="0"/>
        <w:ind w:left="1220" w:right="0" w:hanging="721"/>
        <w:jc w:val="both"/>
        <w:rPr>
          <w:sz w:val="25"/>
        </w:rPr>
      </w:pPr>
      <w:r>
        <w:rPr>
          <w:w w:val="33"/>
          <w:sz w:val="25"/>
        </w:rPr>
        <w:t>―</w:t>
      </w:r>
      <w:r>
        <w:rPr>
          <w:spacing w:val="-1"/>
          <w:w w:val="99"/>
          <w:sz w:val="25"/>
        </w:rPr>
        <w:t>Eas</w:t>
      </w:r>
      <w:r>
        <w:rPr>
          <w:w w:val="99"/>
          <w:sz w:val="25"/>
        </w:rPr>
        <w:t>t</w:t>
      </w:r>
      <w:r>
        <w:rPr>
          <w:sz w:val="25"/>
        </w:rPr>
        <w:t> </w:t>
      </w:r>
      <w:r>
        <w:rPr>
          <w:w w:val="99"/>
          <w:sz w:val="25"/>
        </w:rPr>
        <w:t>Ind</w:t>
      </w:r>
      <w:r>
        <w:rPr>
          <w:spacing w:val="-1"/>
          <w:w w:val="99"/>
          <w:sz w:val="25"/>
        </w:rPr>
        <w:t>i</w:t>
      </w:r>
      <w:r>
        <w:rPr>
          <w:w w:val="99"/>
          <w:sz w:val="25"/>
        </w:rPr>
        <w:t>a</w:t>
      </w:r>
      <w:r>
        <w:rPr>
          <w:spacing w:val="-1"/>
          <w:sz w:val="25"/>
        </w:rPr>
        <w:t> </w:t>
      </w:r>
      <w:r>
        <w:rPr>
          <w:w w:val="99"/>
          <w:sz w:val="25"/>
        </w:rPr>
        <w:t>Gazett</w:t>
      </w:r>
      <w:r>
        <w:rPr>
          <w:spacing w:val="-1"/>
          <w:w w:val="99"/>
          <w:sz w:val="25"/>
        </w:rPr>
        <w:t>e</w:t>
      </w:r>
      <w:r>
        <w:rPr>
          <w:w w:val="99"/>
          <w:sz w:val="25"/>
        </w:rPr>
        <w:t>er</w:t>
      </w:r>
      <w:r>
        <w:rPr>
          <w:spacing w:val="-2"/>
          <w:sz w:val="25"/>
        </w:rPr>
        <w:t> </w:t>
      </w:r>
      <w:r>
        <w:rPr>
          <w:spacing w:val="-1"/>
          <w:w w:val="99"/>
          <w:sz w:val="25"/>
        </w:rPr>
        <w:t>o</w:t>
      </w:r>
      <w:r>
        <w:rPr>
          <w:w w:val="99"/>
          <w:sz w:val="25"/>
        </w:rPr>
        <w:t>f</w:t>
      </w:r>
      <w:r>
        <w:rPr>
          <w:sz w:val="25"/>
        </w:rPr>
        <w:t> </w:t>
      </w:r>
      <w:r>
        <w:rPr>
          <w:spacing w:val="-1"/>
          <w:w w:val="99"/>
          <w:sz w:val="25"/>
        </w:rPr>
        <w:t>Hind</w:t>
      </w:r>
      <w:r>
        <w:rPr>
          <w:w w:val="99"/>
          <w:sz w:val="25"/>
        </w:rPr>
        <w:t>ustan</w:t>
      </w:r>
      <w:r>
        <w:rPr>
          <w:w w:val="80"/>
          <w:sz w:val="25"/>
        </w:rPr>
        <w:t>‖</w:t>
      </w:r>
      <w:r>
        <w:rPr>
          <w:sz w:val="25"/>
        </w:rPr>
        <w:t> </w:t>
      </w:r>
      <w:r>
        <w:rPr>
          <w:spacing w:val="-1"/>
          <w:w w:val="99"/>
          <w:sz w:val="25"/>
        </w:rPr>
        <w:t>b</w:t>
      </w:r>
      <w:r>
        <w:rPr>
          <w:w w:val="99"/>
          <w:sz w:val="25"/>
        </w:rPr>
        <w:t>y</w:t>
      </w:r>
      <w:r>
        <w:rPr>
          <w:spacing w:val="2"/>
          <w:sz w:val="25"/>
        </w:rPr>
        <w:t> </w:t>
      </w:r>
      <w:r>
        <w:rPr>
          <w:b/>
          <w:w w:val="99"/>
          <w:sz w:val="25"/>
        </w:rPr>
        <w:t>Walt</w:t>
      </w:r>
      <w:r>
        <w:rPr>
          <w:b/>
          <w:w w:val="99"/>
          <w:sz w:val="25"/>
        </w:rPr>
        <w:t>er</w:t>
      </w:r>
      <w:r>
        <w:rPr>
          <w:b/>
          <w:spacing w:val="-1"/>
          <w:sz w:val="25"/>
        </w:rPr>
        <w:t> </w:t>
      </w:r>
      <w:r>
        <w:rPr>
          <w:b/>
          <w:w w:val="99"/>
          <w:sz w:val="25"/>
        </w:rPr>
        <w:t>Ha</w:t>
      </w:r>
      <w:r>
        <w:rPr>
          <w:b/>
          <w:spacing w:val="-2"/>
          <w:w w:val="99"/>
          <w:sz w:val="25"/>
        </w:rPr>
        <w:t>m</w:t>
      </w:r>
      <w:r>
        <w:rPr>
          <w:b/>
          <w:w w:val="99"/>
          <w:sz w:val="25"/>
        </w:rPr>
        <w:t>il</w:t>
      </w:r>
      <w:r>
        <w:rPr>
          <w:b/>
          <w:spacing w:val="1"/>
          <w:w w:val="99"/>
          <w:sz w:val="25"/>
        </w:rPr>
        <w:t>t</w:t>
      </w:r>
      <w:r>
        <w:rPr>
          <w:b/>
          <w:w w:val="99"/>
          <w:sz w:val="25"/>
        </w:rPr>
        <w:t>o</w:t>
      </w:r>
      <w:r>
        <w:rPr>
          <w:b/>
          <w:spacing w:val="2"/>
          <w:w w:val="99"/>
          <w:sz w:val="25"/>
        </w:rPr>
        <w:t>n</w:t>
      </w:r>
      <w:r>
        <w:rPr>
          <w:w w:val="99"/>
          <w:sz w:val="25"/>
        </w:rPr>
        <w:t>;</w:t>
      </w:r>
    </w:p>
    <w:p>
      <w:pPr>
        <w:spacing w:after="0" w:line="240" w:lineRule="auto"/>
        <w:jc w:val="both"/>
        <w:rPr>
          <w:sz w:val="25"/>
        </w:rPr>
        <w:sectPr>
          <w:pgSz w:w="11910" w:h="16840"/>
          <w:pgMar w:header="721" w:footer="1014" w:top="1300" w:bottom="1200" w:left="940" w:right="1000"/>
        </w:sectPr>
      </w:pPr>
    </w:p>
    <w:p>
      <w:pPr>
        <w:pStyle w:val="ListParagraph"/>
        <w:numPr>
          <w:ilvl w:val="0"/>
          <w:numId w:val="105"/>
        </w:numPr>
        <w:tabs>
          <w:tab w:pos="1221" w:val="left" w:leader="none"/>
        </w:tabs>
        <w:spacing w:line="482" w:lineRule="auto" w:before="121" w:after="0"/>
        <w:ind w:left="1220" w:right="440" w:hanging="720"/>
        <w:jc w:val="both"/>
        <w:rPr>
          <w:sz w:val="25"/>
        </w:rPr>
      </w:pPr>
      <w:r>
        <w:rPr>
          <w:b/>
          <w:spacing w:val="-1"/>
          <w:w w:val="99"/>
          <w:sz w:val="25"/>
        </w:rPr>
        <w:t>E</w:t>
      </w:r>
      <w:r>
        <w:rPr>
          <w:b/>
          <w:spacing w:val="-2"/>
          <w:w w:val="99"/>
          <w:sz w:val="25"/>
        </w:rPr>
        <w:t>d</w:t>
      </w:r>
      <w:r>
        <w:rPr>
          <w:b/>
          <w:spacing w:val="4"/>
          <w:w w:val="99"/>
          <w:sz w:val="25"/>
        </w:rPr>
        <w:t>w</w:t>
      </w:r>
      <w:r>
        <w:rPr>
          <w:b/>
          <w:spacing w:val="-1"/>
          <w:w w:val="99"/>
          <w:sz w:val="25"/>
        </w:rPr>
        <w:t>ar</w:t>
      </w:r>
      <w:r>
        <w:rPr>
          <w:b/>
          <w:w w:val="99"/>
          <w:sz w:val="25"/>
        </w:rPr>
        <w:t>d</w:t>
      </w:r>
      <w:r>
        <w:rPr>
          <w:b/>
          <w:sz w:val="25"/>
        </w:rPr>
        <w:t>  </w:t>
      </w:r>
      <w:r>
        <w:rPr>
          <w:b/>
          <w:spacing w:val="19"/>
          <w:sz w:val="25"/>
        </w:rPr>
        <w:t> </w:t>
      </w:r>
      <w:r>
        <w:rPr>
          <w:b/>
          <w:spacing w:val="-2"/>
          <w:w w:val="99"/>
          <w:sz w:val="25"/>
        </w:rPr>
        <w:t>T</w:t>
      </w:r>
      <w:r>
        <w:rPr>
          <w:b/>
          <w:w w:val="99"/>
          <w:sz w:val="25"/>
        </w:rPr>
        <w:t>ho</w:t>
      </w:r>
      <w:r>
        <w:rPr>
          <w:b/>
          <w:spacing w:val="-2"/>
          <w:w w:val="99"/>
          <w:sz w:val="25"/>
        </w:rPr>
        <w:t>r</w:t>
      </w:r>
      <w:r>
        <w:rPr>
          <w:b/>
          <w:w w:val="99"/>
          <w:sz w:val="25"/>
        </w:rPr>
        <w:t>n</w:t>
      </w:r>
      <w:r>
        <w:rPr>
          <w:b/>
          <w:spacing w:val="-2"/>
          <w:w w:val="99"/>
          <w:sz w:val="25"/>
        </w:rPr>
        <w:t>t</w:t>
      </w:r>
      <w:r>
        <w:rPr>
          <w:b/>
          <w:w w:val="99"/>
          <w:sz w:val="25"/>
        </w:rPr>
        <w:t>on‘s</w:t>
      </w:r>
      <w:r>
        <w:rPr>
          <w:b/>
          <w:sz w:val="25"/>
        </w:rPr>
        <w:t>  </w:t>
      </w:r>
      <w:r>
        <w:rPr>
          <w:b/>
          <w:spacing w:val="20"/>
          <w:sz w:val="25"/>
        </w:rPr>
        <w:t> </w:t>
      </w:r>
      <w:r>
        <w:rPr>
          <w:w w:val="33"/>
          <w:sz w:val="25"/>
        </w:rPr>
        <w:t>―</w:t>
      </w:r>
      <w:r>
        <w:rPr>
          <w:w w:val="99"/>
          <w:sz w:val="25"/>
        </w:rPr>
        <w:t>T</w:t>
      </w:r>
      <w:r>
        <w:rPr>
          <w:spacing w:val="-1"/>
          <w:w w:val="99"/>
          <w:sz w:val="25"/>
        </w:rPr>
        <w:t>h</w:t>
      </w:r>
      <w:r>
        <w:rPr>
          <w:w w:val="99"/>
          <w:sz w:val="25"/>
        </w:rPr>
        <w:t>e</w:t>
      </w:r>
      <w:r>
        <w:rPr>
          <w:sz w:val="25"/>
        </w:rPr>
        <w:t>  </w:t>
      </w:r>
      <w:r>
        <w:rPr>
          <w:spacing w:val="19"/>
          <w:sz w:val="25"/>
        </w:rPr>
        <w:t> </w:t>
      </w:r>
      <w:r>
        <w:rPr>
          <w:w w:val="99"/>
          <w:sz w:val="25"/>
        </w:rPr>
        <w:t>Gaze</w:t>
      </w:r>
      <w:r>
        <w:rPr>
          <w:spacing w:val="-3"/>
          <w:w w:val="99"/>
          <w:sz w:val="25"/>
        </w:rPr>
        <w:t>t</w:t>
      </w:r>
      <w:r>
        <w:rPr>
          <w:w w:val="99"/>
          <w:sz w:val="25"/>
        </w:rPr>
        <w:t>teer</w:t>
      </w:r>
      <w:r>
        <w:rPr>
          <w:sz w:val="25"/>
        </w:rPr>
        <w:t>  </w:t>
      </w:r>
      <w:r>
        <w:rPr>
          <w:spacing w:val="20"/>
          <w:sz w:val="25"/>
        </w:rPr>
        <w:t> </w:t>
      </w:r>
      <w:r>
        <w:rPr>
          <w:spacing w:val="-3"/>
          <w:w w:val="99"/>
          <w:sz w:val="25"/>
        </w:rPr>
        <w:t>o</w:t>
      </w:r>
      <w:r>
        <w:rPr>
          <w:w w:val="99"/>
          <w:sz w:val="25"/>
        </w:rPr>
        <w:t>f</w:t>
      </w:r>
      <w:r>
        <w:rPr>
          <w:sz w:val="25"/>
        </w:rPr>
        <w:t>  </w:t>
      </w:r>
      <w:r>
        <w:rPr>
          <w:spacing w:val="19"/>
          <w:sz w:val="25"/>
        </w:rPr>
        <w:t> </w:t>
      </w:r>
      <w:r>
        <w:rPr>
          <w:w w:val="99"/>
          <w:sz w:val="25"/>
        </w:rPr>
        <w:t>the</w:t>
      </w:r>
      <w:r>
        <w:rPr>
          <w:sz w:val="25"/>
        </w:rPr>
        <w:t>  </w:t>
      </w:r>
      <w:r>
        <w:rPr>
          <w:spacing w:val="20"/>
          <w:sz w:val="25"/>
        </w:rPr>
        <w:t> </w:t>
      </w:r>
      <w:r>
        <w:rPr>
          <w:w w:val="99"/>
          <w:sz w:val="25"/>
        </w:rPr>
        <w:t>T</w:t>
      </w:r>
      <w:r>
        <w:rPr>
          <w:spacing w:val="-3"/>
          <w:w w:val="99"/>
          <w:sz w:val="25"/>
        </w:rPr>
        <w:t>e</w:t>
      </w:r>
      <w:r>
        <w:rPr>
          <w:w w:val="99"/>
          <w:sz w:val="25"/>
        </w:rPr>
        <w:t>rr</w:t>
      </w:r>
      <w:r>
        <w:rPr>
          <w:spacing w:val="-1"/>
          <w:w w:val="99"/>
          <w:sz w:val="25"/>
        </w:rPr>
        <w:t>ito</w:t>
      </w:r>
      <w:r>
        <w:rPr>
          <w:w w:val="99"/>
          <w:sz w:val="25"/>
        </w:rPr>
        <w:t>r</w:t>
      </w:r>
      <w:r>
        <w:rPr>
          <w:spacing w:val="-1"/>
          <w:w w:val="99"/>
          <w:sz w:val="25"/>
        </w:rPr>
        <w:t>ie</w:t>
      </w:r>
      <w:r>
        <w:rPr>
          <w:w w:val="99"/>
          <w:sz w:val="25"/>
        </w:rPr>
        <w:t>s</w:t>
      </w:r>
      <w:r>
        <w:rPr>
          <w:sz w:val="25"/>
        </w:rPr>
        <w:t>  </w:t>
      </w:r>
      <w:r>
        <w:rPr>
          <w:spacing w:val="19"/>
          <w:sz w:val="25"/>
        </w:rPr>
        <w:t> </w:t>
      </w:r>
      <w:r>
        <w:rPr>
          <w:spacing w:val="-3"/>
          <w:w w:val="99"/>
          <w:sz w:val="25"/>
        </w:rPr>
        <w:t>u</w:t>
      </w:r>
      <w:r>
        <w:rPr>
          <w:spacing w:val="-1"/>
          <w:w w:val="99"/>
          <w:sz w:val="25"/>
        </w:rPr>
        <w:t>n</w:t>
      </w:r>
      <w:r>
        <w:rPr>
          <w:w w:val="99"/>
          <w:sz w:val="25"/>
        </w:rPr>
        <w:t>d</w:t>
      </w:r>
      <w:r>
        <w:rPr>
          <w:spacing w:val="-1"/>
          <w:w w:val="99"/>
          <w:sz w:val="25"/>
        </w:rPr>
        <w:t>e</w:t>
      </w:r>
      <w:r>
        <w:rPr>
          <w:w w:val="99"/>
          <w:sz w:val="25"/>
        </w:rPr>
        <w:t>r</w:t>
      </w:r>
      <w:r>
        <w:rPr>
          <w:sz w:val="25"/>
        </w:rPr>
        <w:t>  </w:t>
      </w:r>
      <w:r>
        <w:rPr>
          <w:spacing w:val="20"/>
          <w:sz w:val="25"/>
        </w:rPr>
        <w:t> </w:t>
      </w:r>
      <w:r>
        <w:rPr>
          <w:w w:val="99"/>
          <w:sz w:val="25"/>
        </w:rPr>
        <w:t>t</w:t>
      </w:r>
      <w:r>
        <w:rPr>
          <w:spacing w:val="-2"/>
          <w:w w:val="99"/>
          <w:sz w:val="25"/>
        </w:rPr>
        <w:t>h</w:t>
      </w:r>
      <w:r>
        <w:rPr>
          <w:w w:val="99"/>
          <w:sz w:val="25"/>
        </w:rPr>
        <w:t>e </w:t>
      </w:r>
      <w:r>
        <w:rPr>
          <w:sz w:val="25"/>
        </w:rPr>
        <w:t>Government of East India</w:t>
      </w:r>
      <w:r>
        <w:rPr>
          <w:spacing w:val="-4"/>
          <w:sz w:val="25"/>
        </w:rPr>
        <w:t> </w:t>
      </w:r>
      <w:r>
        <w:rPr>
          <w:sz w:val="25"/>
        </w:rPr>
        <w:t>Company‖;</w:t>
      </w:r>
    </w:p>
    <w:p>
      <w:pPr>
        <w:pStyle w:val="ListParagraph"/>
        <w:numPr>
          <w:ilvl w:val="0"/>
          <w:numId w:val="105"/>
        </w:numPr>
        <w:tabs>
          <w:tab w:pos="1221" w:val="left" w:leader="none"/>
        </w:tabs>
        <w:spacing w:line="480" w:lineRule="auto" w:before="0" w:after="0"/>
        <w:ind w:left="1220" w:right="445" w:hanging="720"/>
        <w:jc w:val="both"/>
        <w:rPr>
          <w:sz w:val="25"/>
        </w:rPr>
      </w:pPr>
      <w:r>
        <w:rPr>
          <w:sz w:val="25"/>
        </w:rPr>
        <w:t>The complaint of 25 September 1866 by Meer Rajab Ali Khateeb regarding </w:t>
      </w:r>
      <w:r>
        <w:rPr>
          <w:w w:val="99"/>
          <w:sz w:val="25"/>
        </w:rPr>
        <w:t>the</w:t>
      </w:r>
      <w:r>
        <w:rPr>
          <w:sz w:val="25"/>
        </w:rPr>
        <w:t> </w:t>
      </w:r>
      <w:r>
        <w:rPr>
          <w:spacing w:val="-19"/>
          <w:sz w:val="25"/>
        </w:rPr>
        <w:t> </w:t>
      </w:r>
      <w:r>
        <w:rPr>
          <w:w w:val="33"/>
          <w:sz w:val="25"/>
        </w:rPr>
        <w:t>―</w:t>
      </w:r>
      <w:r>
        <w:rPr>
          <w:spacing w:val="-1"/>
          <w:w w:val="99"/>
          <w:sz w:val="25"/>
        </w:rPr>
        <w:t>Kot</w:t>
      </w:r>
      <w:r>
        <w:rPr>
          <w:w w:val="99"/>
          <w:sz w:val="25"/>
        </w:rPr>
        <w:t>hr</w:t>
      </w:r>
      <w:r>
        <w:rPr>
          <w:spacing w:val="-1"/>
          <w:w w:val="87"/>
          <w:sz w:val="25"/>
        </w:rPr>
        <w:t>i</w:t>
      </w:r>
      <w:r>
        <w:rPr>
          <w:w w:val="87"/>
          <w:sz w:val="25"/>
        </w:rPr>
        <w:t>‖</w:t>
      </w:r>
      <w:r>
        <w:rPr>
          <w:sz w:val="25"/>
        </w:rPr>
        <w:t> </w:t>
      </w:r>
      <w:r>
        <w:rPr>
          <w:spacing w:val="-19"/>
          <w:sz w:val="25"/>
        </w:rPr>
        <w:t> </w:t>
      </w:r>
      <w:r>
        <w:rPr>
          <w:w w:val="99"/>
          <w:sz w:val="25"/>
        </w:rPr>
        <w:t>constr</w:t>
      </w:r>
      <w:r>
        <w:rPr>
          <w:spacing w:val="-1"/>
          <w:w w:val="99"/>
          <w:sz w:val="25"/>
        </w:rPr>
        <w:t>u</w:t>
      </w:r>
      <w:r>
        <w:rPr>
          <w:spacing w:val="3"/>
          <w:w w:val="99"/>
          <w:sz w:val="25"/>
        </w:rPr>
        <w:t>c</w:t>
      </w:r>
      <w:r>
        <w:rPr>
          <w:spacing w:val="-3"/>
          <w:w w:val="99"/>
          <w:sz w:val="25"/>
        </w:rPr>
        <w:t>t</w:t>
      </w:r>
      <w:r>
        <w:rPr>
          <w:w w:val="99"/>
          <w:sz w:val="25"/>
        </w:rPr>
        <w:t>ed</w:t>
      </w:r>
      <w:r>
        <w:rPr>
          <w:sz w:val="25"/>
        </w:rPr>
        <w:t> </w:t>
      </w:r>
      <w:r>
        <w:rPr>
          <w:spacing w:val="-19"/>
          <w:sz w:val="25"/>
        </w:rPr>
        <w:t> </w:t>
      </w:r>
      <w:r>
        <w:rPr>
          <w:w w:val="99"/>
          <w:sz w:val="25"/>
        </w:rPr>
        <w:t>by</w:t>
      </w:r>
      <w:r>
        <w:rPr>
          <w:sz w:val="25"/>
        </w:rPr>
        <w:t> </w:t>
      </w:r>
      <w:r>
        <w:rPr>
          <w:spacing w:val="-22"/>
          <w:sz w:val="25"/>
        </w:rPr>
        <w:t> </w:t>
      </w:r>
      <w:r>
        <w:rPr>
          <w:w w:val="99"/>
          <w:sz w:val="25"/>
        </w:rPr>
        <w:t>ce</w:t>
      </w:r>
      <w:r>
        <w:rPr>
          <w:spacing w:val="1"/>
          <w:w w:val="99"/>
          <w:sz w:val="25"/>
        </w:rPr>
        <w:t>r</w:t>
      </w:r>
      <w:r>
        <w:rPr>
          <w:w w:val="99"/>
          <w:sz w:val="25"/>
        </w:rPr>
        <w:t>tain</w:t>
      </w:r>
      <w:r>
        <w:rPr>
          <w:sz w:val="25"/>
        </w:rPr>
        <w:t> </w:t>
      </w:r>
      <w:r>
        <w:rPr>
          <w:spacing w:val="-17"/>
          <w:sz w:val="25"/>
        </w:rPr>
        <w:t> </w:t>
      </w:r>
      <w:r>
        <w:rPr>
          <w:spacing w:val="-1"/>
          <w:w w:val="99"/>
          <w:sz w:val="25"/>
        </w:rPr>
        <w:t>B</w:t>
      </w:r>
      <w:r>
        <w:rPr>
          <w:w w:val="99"/>
          <w:sz w:val="25"/>
        </w:rPr>
        <w:t>airagis</w:t>
      </w:r>
      <w:r>
        <w:rPr>
          <w:sz w:val="25"/>
        </w:rPr>
        <w:t> </w:t>
      </w:r>
      <w:r>
        <w:rPr>
          <w:spacing w:val="-20"/>
          <w:sz w:val="25"/>
        </w:rPr>
        <w:t> </w:t>
      </w:r>
      <w:r>
        <w:rPr>
          <w:w w:val="99"/>
          <w:sz w:val="25"/>
        </w:rPr>
        <w:t>inside</w:t>
      </w:r>
      <w:r>
        <w:rPr>
          <w:sz w:val="25"/>
        </w:rPr>
        <w:t> </w:t>
      </w:r>
      <w:r>
        <w:rPr>
          <w:spacing w:val="-19"/>
          <w:sz w:val="25"/>
        </w:rPr>
        <w:t> </w:t>
      </w:r>
      <w:r>
        <w:rPr>
          <w:w w:val="99"/>
          <w:sz w:val="25"/>
        </w:rPr>
        <w:t>the</w:t>
      </w:r>
      <w:r>
        <w:rPr>
          <w:sz w:val="25"/>
        </w:rPr>
        <w:t> </w:t>
      </w:r>
      <w:r>
        <w:rPr>
          <w:spacing w:val="-19"/>
          <w:sz w:val="25"/>
        </w:rPr>
        <w:t> </w:t>
      </w:r>
      <w:r>
        <w:rPr>
          <w:w w:val="99"/>
          <w:sz w:val="25"/>
        </w:rPr>
        <w:t>co</w:t>
      </w:r>
      <w:r>
        <w:rPr>
          <w:spacing w:val="1"/>
          <w:w w:val="99"/>
          <w:sz w:val="25"/>
        </w:rPr>
        <w:t>m</w:t>
      </w:r>
      <w:r>
        <w:rPr>
          <w:w w:val="99"/>
          <w:sz w:val="25"/>
        </w:rPr>
        <w:t>pound</w:t>
      </w:r>
      <w:r>
        <w:rPr>
          <w:sz w:val="25"/>
        </w:rPr>
        <w:t> </w:t>
      </w:r>
      <w:r>
        <w:rPr>
          <w:spacing w:val="-19"/>
          <w:sz w:val="25"/>
        </w:rPr>
        <w:t> </w:t>
      </w:r>
      <w:r>
        <w:rPr>
          <w:w w:val="99"/>
          <w:sz w:val="25"/>
        </w:rPr>
        <w:t>of</w:t>
      </w:r>
      <w:r>
        <w:rPr>
          <w:sz w:val="25"/>
        </w:rPr>
        <w:t> </w:t>
      </w:r>
      <w:r>
        <w:rPr>
          <w:spacing w:val="-19"/>
          <w:sz w:val="25"/>
        </w:rPr>
        <w:t> </w:t>
      </w:r>
      <w:r>
        <w:rPr>
          <w:w w:val="99"/>
          <w:sz w:val="25"/>
        </w:rPr>
        <w:t>the </w:t>
      </w:r>
      <w:r>
        <w:rPr>
          <w:sz w:val="25"/>
        </w:rPr>
        <w:t>mosque;</w:t>
      </w:r>
    </w:p>
    <w:p>
      <w:pPr>
        <w:pStyle w:val="ListParagraph"/>
        <w:numPr>
          <w:ilvl w:val="0"/>
          <w:numId w:val="105"/>
        </w:numPr>
        <w:tabs>
          <w:tab w:pos="1220" w:val="left" w:leader="none"/>
          <w:tab w:pos="1221" w:val="left" w:leader="none"/>
        </w:tabs>
        <w:spacing w:line="286" w:lineRule="exact" w:before="0" w:after="0"/>
        <w:ind w:left="1220" w:right="0" w:hanging="721"/>
        <w:jc w:val="left"/>
        <w:rPr>
          <w:sz w:val="25"/>
        </w:rPr>
      </w:pPr>
      <w:r>
        <w:rPr>
          <w:b/>
          <w:spacing w:val="-1"/>
          <w:w w:val="99"/>
          <w:sz w:val="25"/>
        </w:rPr>
        <w:t>Ca</w:t>
      </w:r>
      <w:r>
        <w:rPr>
          <w:b/>
          <w:spacing w:val="-2"/>
          <w:w w:val="99"/>
          <w:sz w:val="25"/>
        </w:rPr>
        <w:t>r</w:t>
      </w:r>
      <w:r>
        <w:rPr>
          <w:b/>
          <w:w w:val="99"/>
          <w:sz w:val="25"/>
        </w:rPr>
        <w:t>n</w:t>
      </w:r>
      <w:r>
        <w:rPr>
          <w:b/>
          <w:spacing w:val="-1"/>
          <w:w w:val="99"/>
          <w:sz w:val="25"/>
        </w:rPr>
        <w:t>e</w:t>
      </w:r>
      <w:r>
        <w:rPr>
          <w:b/>
          <w:spacing w:val="1"/>
          <w:w w:val="99"/>
          <w:sz w:val="25"/>
        </w:rPr>
        <w:t>g</w:t>
      </w:r>
      <w:r>
        <w:rPr>
          <w:b/>
          <w:w w:val="99"/>
          <w:sz w:val="25"/>
        </w:rPr>
        <w:t>ie‘s</w:t>
      </w:r>
      <w:r>
        <w:rPr>
          <w:b/>
          <w:spacing w:val="1"/>
          <w:sz w:val="25"/>
        </w:rPr>
        <w:t> </w:t>
      </w:r>
      <w:r>
        <w:rPr>
          <w:w w:val="33"/>
          <w:sz w:val="25"/>
        </w:rPr>
        <w:t>―</w:t>
      </w:r>
      <w:r>
        <w:rPr>
          <w:spacing w:val="-1"/>
          <w:w w:val="99"/>
          <w:sz w:val="25"/>
        </w:rPr>
        <w:t>Histo</w:t>
      </w:r>
      <w:r>
        <w:rPr>
          <w:w w:val="99"/>
          <w:sz w:val="25"/>
        </w:rPr>
        <w:t>r</w:t>
      </w:r>
      <w:r>
        <w:rPr>
          <w:spacing w:val="-1"/>
          <w:w w:val="99"/>
          <w:sz w:val="25"/>
        </w:rPr>
        <w:t>ica</w:t>
      </w:r>
      <w:r>
        <w:rPr>
          <w:w w:val="99"/>
          <w:sz w:val="25"/>
        </w:rPr>
        <w:t>l</w:t>
      </w:r>
      <w:r>
        <w:rPr>
          <w:spacing w:val="-1"/>
          <w:sz w:val="25"/>
        </w:rPr>
        <w:t> </w:t>
      </w:r>
      <w:r>
        <w:rPr>
          <w:w w:val="99"/>
          <w:sz w:val="25"/>
        </w:rPr>
        <w:t>Sketch</w:t>
      </w:r>
      <w:r>
        <w:rPr>
          <w:spacing w:val="-1"/>
          <w:sz w:val="25"/>
        </w:rPr>
        <w:t> </w:t>
      </w:r>
      <w:r>
        <w:rPr>
          <w:w w:val="99"/>
          <w:sz w:val="25"/>
        </w:rPr>
        <w:t>of</w:t>
      </w:r>
      <w:r>
        <w:rPr>
          <w:sz w:val="25"/>
        </w:rPr>
        <w:t> </w:t>
      </w:r>
      <w:r>
        <w:rPr>
          <w:spacing w:val="1"/>
          <w:w w:val="99"/>
          <w:sz w:val="25"/>
        </w:rPr>
        <w:t>F</w:t>
      </w:r>
      <w:r>
        <w:rPr>
          <w:spacing w:val="-1"/>
          <w:w w:val="99"/>
          <w:sz w:val="25"/>
        </w:rPr>
        <w:t>aiza</w:t>
      </w:r>
      <w:r>
        <w:rPr>
          <w:w w:val="99"/>
          <w:sz w:val="25"/>
        </w:rPr>
        <w:t>b</w:t>
      </w:r>
      <w:r>
        <w:rPr>
          <w:spacing w:val="-1"/>
          <w:w w:val="99"/>
          <w:sz w:val="25"/>
        </w:rPr>
        <w:t>a</w:t>
      </w:r>
      <w:r>
        <w:rPr>
          <w:w w:val="99"/>
          <w:sz w:val="25"/>
        </w:rPr>
        <w:t>d</w:t>
      </w:r>
      <w:r>
        <w:rPr>
          <w:w w:val="80"/>
          <w:sz w:val="25"/>
        </w:rPr>
        <w:t>‖</w:t>
      </w:r>
      <w:r>
        <w:rPr>
          <w:w w:val="99"/>
          <w:sz w:val="25"/>
        </w:rPr>
        <w:t>;</w:t>
      </w:r>
    </w:p>
    <w:p>
      <w:pPr>
        <w:pStyle w:val="BodyText"/>
        <w:spacing w:before="9"/>
        <w:rPr>
          <w:sz w:val="24"/>
        </w:rPr>
      </w:pPr>
    </w:p>
    <w:p>
      <w:pPr>
        <w:pStyle w:val="ListParagraph"/>
        <w:numPr>
          <w:ilvl w:val="0"/>
          <w:numId w:val="105"/>
        </w:numPr>
        <w:tabs>
          <w:tab w:pos="1221" w:val="left" w:leader="none"/>
        </w:tabs>
        <w:spacing w:line="480" w:lineRule="auto" w:before="1" w:after="0"/>
        <w:ind w:left="1220" w:right="447" w:hanging="720"/>
        <w:jc w:val="both"/>
        <w:rPr>
          <w:sz w:val="25"/>
        </w:rPr>
      </w:pPr>
      <w:r>
        <w:rPr>
          <w:sz w:val="25"/>
        </w:rPr>
        <w:t>Permission granted to Mahant Khem Das on 13 April 1877 for the construction of a new gate on the northern</w:t>
      </w:r>
      <w:r>
        <w:rPr>
          <w:spacing w:val="-9"/>
          <w:sz w:val="25"/>
        </w:rPr>
        <w:t> </w:t>
      </w:r>
      <w:r>
        <w:rPr>
          <w:sz w:val="25"/>
        </w:rPr>
        <w:t>side;</w:t>
      </w:r>
    </w:p>
    <w:p>
      <w:pPr>
        <w:pStyle w:val="ListParagraph"/>
        <w:numPr>
          <w:ilvl w:val="0"/>
          <w:numId w:val="105"/>
        </w:numPr>
        <w:tabs>
          <w:tab w:pos="1221" w:val="left" w:leader="none"/>
        </w:tabs>
        <w:spacing w:line="480" w:lineRule="auto" w:before="2" w:after="0"/>
        <w:ind w:left="1220" w:right="438" w:hanging="720"/>
        <w:jc w:val="both"/>
        <w:rPr>
          <w:sz w:val="25"/>
        </w:rPr>
      </w:pPr>
      <w:r>
        <w:rPr>
          <w:sz w:val="25"/>
        </w:rPr>
        <w:t>The appeal filed on 13 December 1877 against the grant of permission for the new</w:t>
      </w:r>
      <w:r>
        <w:rPr>
          <w:spacing w:val="-2"/>
          <w:sz w:val="25"/>
        </w:rPr>
        <w:t> </w:t>
      </w:r>
      <w:r>
        <w:rPr>
          <w:sz w:val="25"/>
        </w:rPr>
        <w:t>gate;</w:t>
      </w:r>
    </w:p>
    <w:p>
      <w:pPr>
        <w:pStyle w:val="ListParagraph"/>
        <w:numPr>
          <w:ilvl w:val="0"/>
          <w:numId w:val="105"/>
        </w:numPr>
        <w:tabs>
          <w:tab w:pos="1220" w:val="left" w:leader="none"/>
          <w:tab w:pos="1221" w:val="left" w:leader="none"/>
        </w:tabs>
        <w:spacing w:line="287" w:lineRule="exact" w:before="0" w:after="0"/>
        <w:ind w:left="1220" w:right="0" w:hanging="721"/>
        <w:jc w:val="left"/>
        <w:rPr>
          <w:sz w:val="25"/>
        </w:rPr>
      </w:pPr>
      <w:r>
        <w:rPr>
          <w:sz w:val="25"/>
        </w:rPr>
        <w:t>The report made by the Deputy Commissioner in view of the above</w:t>
      </w:r>
      <w:r>
        <w:rPr>
          <w:spacing w:val="-24"/>
          <w:sz w:val="25"/>
        </w:rPr>
        <w:t> </w:t>
      </w:r>
      <w:r>
        <w:rPr>
          <w:sz w:val="25"/>
        </w:rPr>
        <w:t>appeal;</w:t>
      </w:r>
    </w:p>
    <w:p>
      <w:pPr>
        <w:pStyle w:val="BodyText"/>
        <w:spacing w:before="10"/>
        <w:rPr>
          <w:sz w:val="24"/>
        </w:rPr>
      </w:pPr>
    </w:p>
    <w:p>
      <w:pPr>
        <w:pStyle w:val="ListParagraph"/>
        <w:numPr>
          <w:ilvl w:val="0"/>
          <w:numId w:val="105"/>
        </w:numPr>
        <w:tabs>
          <w:tab w:pos="1221" w:val="left" w:leader="none"/>
        </w:tabs>
        <w:spacing w:line="482" w:lineRule="auto" w:before="0" w:after="0"/>
        <w:ind w:left="1220" w:right="445" w:hanging="720"/>
        <w:jc w:val="both"/>
        <w:rPr>
          <w:sz w:val="25"/>
        </w:rPr>
      </w:pPr>
      <w:r>
        <w:rPr>
          <w:sz w:val="25"/>
        </w:rPr>
        <w:t>The order of the Commissioner dated 13 December 1877 dismissing the appeal;</w:t>
      </w:r>
    </w:p>
    <w:p>
      <w:pPr>
        <w:pStyle w:val="ListParagraph"/>
        <w:numPr>
          <w:ilvl w:val="0"/>
          <w:numId w:val="105"/>
        </w:numPr>
        <w:tabs>
          <w:tab w:pos="1220" w:val="left" w:leader="none"/>
          <w:tab w:pos="1221" w:val="left" w:leader="none"/>
        </w:tabs>
        <w:spacing w:line="282" w:lineRule="exact" w:before="0" w:after="0"/>
        <w:ind w:left="1220" w:right="0" w:hanging="721"/>
        <w:jc w:val="left"/>
        <w:rPr>
          <w:sz w:val="25"/>
        </w:rPr>
      </w:pPr>
      <w:r>
        <w:rPr>
          <w:sz w:val="25"/>
        </w:rPr>
        <w:t>Gazetteer of the Province of Oudh</w:t>
      </w:r>
      <w:r>
        <w:rPr>
          <w:spacing w:val="-3"/>
          <w:sz w:val="25"/>
        </w:rPr>
        <w:t> </w:t>
      </w:r>
      <w:r>
        <w:rPr>
          <w:sz w:val="25"/>
        </w:rPr>
        <w:t>(1877-78);</w:t>
      </w:r>
    </w:p>
    <w:p>
      <w:pPr>
        <w:pStyle w:val="BodyText"/>
        <w:spacing w:before="1"/>
      </w:pPr>
    </w:p>
    <w:p>
      <w:pPr>
        <w:pStyle w:val="ListParagraph"/>
        <w:numPr>
          <w:ilvl w:val="0"/>
          <w:numId w:val="105"/>
        </w:numPr>
        <w:tabs>
          <w:tab w:pos="1221" w:val="left" w:leader="none"/>
        </w:tabs>
        <w:spacing w:line="480" w:lineRule="auto" w:before="0" w:after="0"/>
        <w:ind w:left="1220" w:right="442" w:hanging="720"/>
        <w:jc w:val="both"/>
        <w:rPr>
          <w:sz w:val="25"/>
        </w:rPr>
      </w:pPr>
      <w:r>
        <w:rPr>
          <w:sz w:val="25"/>
        </w:rPr>
        <w:t>The plaint in the suit instituted by Syed Mohd Asghar against Mahant Raghubar Das on 8 November 1882 seeking rent for the use of the Chabutra;</w:t>
      </w:r>
    </w:p>
    <w:p>
      <w:pPr>
        <w:pStyle w:val="ListParagraph"/>
        <w:numPr>
          <w:ilvl w:val="0"/>
          <w:numId w:val="105"/>
        </w:numPr>
        <w:tabs>
          <w:tab w:pos="1221" w:val="left" w:leader="none"/>
        </w:tabs>
        <w:spacing w:line="480" w:lineRule="auto" w:before="1" w:after="0"/>
        <w:ind w:left="1220" w:right="440" w:hanging="720"/>
        <w:jc w:val="both"/>
        <w:rPr>
          <w:sz w:val="25"/>
        </w:rPr>
      </w:pPr>
      <w:r>
        <w:rPr>
          <w:sz w:val="25"/>
        </w:rPr>
        <w:t>The order of the Sub-Judge, Faizabad dated 18 June 1883 dismissing the suit;</w:t>
      </w:r>
    </w:p>
    <w:p>
      <w:pPr>
        <w:pStyle w:val="ListParagraph"/>
        <w:numPr>
          <w:ilvl w:val="0"/>
          <w:numId w:val="105"/>
        </w:numPr>
        <w:tabs>
          <w:tab w:pos="1221" w:val="left" w:leader="none"/>
        </w:tabs>
        <w:spacing w:line="480" w:lineRule="auto" w:before="0" w:after="0"/>
        <w:ind w:left="1220" w:right="436" w:hanging="720"/>
        <w:jc w:val="both"/>
        <w:rPr>
          <w:sz w:val="25"/>
        </w:rPr>
      </w:pPr>
      <w:r>
        <w:rPr>
          <w:sz w:val="25"/>
        </w:rPr>
        <w:t>The application filed by Syed Mohd Asghar on 2 November 1883 for permission to carry out repairs of the</w:t>
      </w:r>
      <w:r>
        <w:rPr>
          <w:spacing w:val="-10"/>
          <w:sz w:val="25"/>
        </w:rPr>
        <w:t> </w:t>
      </w:r>
      <w:r>
        <w:rPr>
          <w:sz w:val="25"/>
        </w:rPr>
        <w:t>mosque;</w:t>
      </w:r>
    </w:p>
    <w:p>
      <w:pPr>
        <w:pStyle w:val="ListParagraph"/>
        <w:numPr>
          <w:ilvl w:val="0"/>
          <w:numId w:val="105"/>
        </w:numPr>
        <w:tabs>
          <w:tab w:pos="1220" w:val="left" w:leader="none"/>
          <w:tab w:pos="1221" w:val="left" w:leader="none"/>
        </w:tabs>
        <w:spacing w:line="287" w:lineRule="exact" w:before="0" w:after="0"/>
        <w:ind w:left="1220" w:right="0" w:hanging="721"/>
        <w:jc w:val="left"/>
        <w:rPr>
          <w:sz w:val="25"/>
        </w:rPr>
      </w:pPr>
      <w:r>
        <w:rPr>
          <w:sz w:val="25"/>
        </w:rPr>
        <w:t>The order of the Deputy Commissioner dated 12 January</w:t>
      </w:r>
      <w:r>
        <w:rPr>
          <w:spacing w:val="-12"/>
          <w:sz w:val="25"/>
        </w:rPr>
        <w:t> </w:t>
      </w:r>
      <w:r>
        <w:rPr>
          <w:sz w:val="25"/>
        </w:rPr>
        <w:t>1884;</w:t>
      </w:r>
    </w:p>
    <w:p>
      <w:pPr>
        <w:pStyle w:val="BodyText"/>
        <w:spacing w:before="10"/>
        <w:rPr>
          <w:sz w:val="24"/>
        </w:rPr>
      </w:pPr>
    </w:p>
    <w:p>
      <w:pPr>
        <w:pStyle w:val="ListParagraph"/>
        <w:numPr>
          <w:ilvl w:val="0"/>
          <w:numId w:val="105"/>
        </w:numPr>
        <w:tabs>
          <w:tab w:pos="1220" w:val="left" w:leader="none"/>
          <w:tab w:pos="1221" w:val="left" w:leader="none"/>
        </w:tabs>
        <w:spacing w:line="240" w:lineRule="auto" w:before="0" w:after="0"/>
        <w:ind w:left="1220" w:right="0" w:hanging="721"/>
        <w:jc w:val="left"/>
        <w:rPr>
          <w:sz w:val="25"/>
        </w:rPr>
      </w:pPr>
      <w:r>
        <w:rPr>
          <w:sz w:val="25"/>
        </w:rPr>
        <w:t>The order of the Assistant Commissioner dated 22 January 1884;</w:t>
      </w:r>
      <w:r>
        <w:rPr>
          <w:spacing w:val="-12"/>
          <w:sz w:val="25"/>
        </w:rPr>
        <w:t> </w:t>
      </w:r>
      <w:r>
        <w:rPr>
          <w:sz w:val="25"/>
        </w:rPr>
        <w:t>and</w:t>
      </w:r>
    </w:p>
    <w:p>
      <w:pPr>
        <w:spacing w:after="0" w:line="240" w:lineRule="auto"/>
        <w:jc w:val="left"/>
        <w:rPr>
          <w:sz w:val="25"/>
        </w:rPr>
        <w:sectPr>
          <w:pgSz w:w="11910" w:h="16840"/>
          <w:pgMar w:header="721" w:footer="1014" w:top="1300" w:bottom="1200" w:left="940" w:right="1000"/>
        </w:sectPr>
      </w:pPr>
    </w:p>
    <w:p>
      <w:pPr>
        <w:pStyle w:val="ListParagraph"/>
        <w:numPr>
          <w:ilvl w:val="0"/>
          <w:numId w:val="105"/>
        </w:numPr>
        <w:tabs>
          <w:tab w:pos="1221" w:val="left" w:leader="none"/>
        </w:tabs>
        <w:spacing w:line="480" w:lineRule="auto" w:before="124" w:after="0"/>
        <w:ind w:left="1220" w:right="446" w:hanging="720"/>
        <w:jc w:val="both"/>
        <w:rPr>
          <w:sz w:val="25"/>
        </w:rPr>
      </w:pPr>
      <w:r>
        <w:rPr>
          <w:sz w:val="25"/>
        </w:rPr>
        <w:t>The complaint by Mahant Raghubar Das dated 27 June 1884 seeking spot inspection in view of the work being carried out by Syed Mohd Asghar for white washing the walls of the</w:t>
      </w:r>
      <w:r>
        <w:rPr>
          <w:spacing w:val="-4"/>
          <w:sz w:val="25"/>
        </w:rPr>
        <w:t> </w:t>
      </w:r>
      <w:r>
        <w:rPr>
          <w:sz w:val="25"/>
        </w:rPr>
        <w:t>mosque.</w:t>
      </w:r>
    </w:p>
    <w:p>
      <w:pPr>
        <w:pStyle w:val="BodyText"/>
        <w:spacing w:before="10"/>
        <w:rPr>
          <w:sz w:val="24"/>
        </w:rPr>
      </w:pPr>
    </w:p>
    <w:p>
      <w:pPr>
        <w:pStyle w:val="ListParagraph"/>
        <w:numPr>
          <w:ilvl w:val="0"/>
          <w:numId w:val="3"/>
        </w:numPr>
        <w:tabs>
          <w:tab w:pos="1221" w:val="left" w:leader="none"/>
        </w:tabs>
        <w:spacing w:line="480" w:lineRule="auto" w:before="0" w:after="0"/>
        <w:ind w:left="500" w:right="436" w:firstLine="0"/>
        <w:jc w:val="both"/>
        <w:rPr>
          <w:sz w:val="25"/>
        </w:rPr>
      </w:pPr>
      <w:r>
        <w:rPr>
          <w:sz w:val="25"/>
        </w:rPr>
        <w:t>These documents have been analysed in the judgment of Justice Sudhir Agarwal who observed that the idol existed at Ramchabutra and Nirmohi Akhara was likely looking after the worship of the idol, which was not seriously disputed by the other Hindu parties. However, Justice Agarwal observed that there was no basis to hold that Nirmohi Akhara continued to do so even after the idols were shifted inside the structure on 22/23 December 1949. This finding was because Nirmohi Akhara plainly denied that any incident had taken place on 22/23 December 1949 and they had no cogent explanation to offer of the events which took place on the intervening night. A careful scrutiny of the documents which have been relied upon by Nirmohi Akhara does not lead to the inference that Nirmohi Akhara had exclusive possession of the disputed structure. </w:t>
      </w:r>
      <w:r>
        <w:rPr>
          <w:spacing w:val="3"/>
          <w:sz w:val="25"/>
        </w:rPr>
        <w:t>We </w:t>
      </w:r>
      <w:r>
        <w:rPr>
          <w:sz w:val="25"/>
        </w:rPr>
        <w:t>must bear in mind the submission of Mr S K Jain that the disputed structure of the mosque was landlocked and that the outer courtyard which included Ramchabutra, Sita Rasoi and the Bhandar had to be traversed in order to gain entry to the mosque. There were two gates to the outer courtyard namely Singh Dwar and Hanumat Dwar. But, would the landlocked character of the disputed structure lead </w:t>
      </w:r>
      <w:r>
        <w:rPr>
          <w:i/>
          <w:sz w:val="25"/>
        </w:rPr>
        <w:t>ipso facto </w:t>
      </w:r>
      <w:r>
        <w:rPr>
          <w:sz w:val="25"/>
        </w:rPr>
        <w:t>of the conclusion that Nirmohi Akhara was in possession of the inner structure? It is not possible to draw that inference on a preponderance of</w:t>
      </w:r>
      <w:r>
        <w:rPr>
          <w:spacing w:val="-3"/>
          <w:sz w:val="25"/>
        </w:rPr>
        <w:t> </w:t>
      </w:r>
      <w:r>
        <w:rPr>
          <w:sz w:val="25"/>
        </w:rPr>
        <w:t>probabilities.</w:t>
      </w:r>
    </w:p>
    <w:p>
      <w:pPr>
        <w:spacing w:after="0" w:line="480" w:lineRule="auto"/>
        <w:jc w:val="both"/>
        <w:rPr>
          <w:sz w:val="25"/>
        </w:rPr>
        <w:sectPr>
          <w:pgSz w:w="11910" w:h="16840"/>
          <w:pgMar w:header="721" w:footer="1014" w:top="1300" w:bottom="1200" w:left="940" w:right="1000"/>
        </w:sectPr>
      </w:pPr>
    </w:p>
    <w:p>
      <w:pPr>
        <w:pStyle w:val="ListParagraph"/>
        <w:numPr>
          <w:ilvl w:val="0"/>
          <w:numId w:val="3"/>
        </w:numPr>
        <w:tabs>
          <w:tab w:pos="1221" w:val="left" w:leader="none"/>
        </w:tabs>
        <w:spacing w:line="480" w:lineRule="auto" w:before="124" w:after="0"/>
        <w:ind w:left="500" w:right="434" w:firstLine="0"/>
        <w:jc w:val="both"/>
        <w:rPr>
          <w:sz w:val="25"/>
        </w:rPr>
      </w:pPr>
      <w:r>
        <w:rPr>
          <w:sz w:val="25"/>
        </w:rPr>
        <w:t>In 1885, a suit was instituted by Mahant Raghubar Das seeking permission for the construction of the temple on the Chabutra. The Sub-Judge at Faizabad in his judgment dated 24 December 1985 observed that though the area occupied by the Chabutra was in the possession and ownership of the plaintiff, permission for carrying out construction should be refused on the ground that it was not in public interest and would lay the seeds of conflict between the Hindus and Muslim communities. In appeal, the District Judge Faizabad on 18/26 March  1886 deleted the observations on the ownership of the Chabutra made in favour of Mahant Raghubar Das. Mr S K Jain, in his written submissions has fairly accepted that the events arising out of the Suit of 1885 have been relied upon to show the presence of Mahant Raghubar Das at the Ramchabutra in the outer courtyard. Besides this, the Nirmohis have been ambivalent about the Suit of 1885 indicating unawareness about it at one stage and then adopting an inconsistent position at other</w:t>
      </w:r>
      <w:r>
        <w:rPr>
          <w:spacing w:val="-2"/>
          <w:sz w:val="25"/>
        </w:rPr>
        <w:t> </w:t>
      </w:r>
      <w:r>
        <w:rPr>
          <w:sz w:val="25"/>
        </w:rPr>
        <w:t>times.</w:t>
      </w:r>
    </w:p>
    <w:p>
      <w:pPr>
        <w:pStyle w:val="BodyText"/>
        <w:spacing w:before="10"/>
        <w:rPr>
          <w:sz w:val="38"/>
        </w:rPr>
      </w:pPr>
    </w:p>
    <w:p>
      <w:pPr>
        <w:pStyle w:val="ListParagraph"/>
        <w:numPr>
          <w:ilvl w:val="0"/>
          <w:numId w:val="3"/>
        </w:numPr>
        <w:tabs>
          <w:tab w:pos="1221" w:val="left" w:leader="none"/>
        </w:tabs>
        <w:spacing w:line="480" w:lineRule="auto" w:before="0" w:after="0"/>
        <w:ind w:left="500" w:right="444" w:firstLine="0"/>
        <w:jc w:val="both"/>
        <w:rPr>
          <w:sz w:val="25"/>
        </w:rPr>
      </w:pPr>
      <w:r>
        <w:rPr>
          <w:sz w:val="25"/>
        </w:rPr>
        <w:t>The next set of documents relied on by Nirmohi Akhara commence from 1900. These documents are set out</w:t>
      </w:r>
      <w:r>
        <w:rPr>
          <w:spacing w:val="-5"/>
          <w:sz w:val="25"/>
        </w:rPr>
        <w:t> </w:t>
      </w:r>
      <w:r>
        <w:rPr>
          <w:sz w:val="25"/>
        </w:rPr>
        <w:t>below:</w:t>
      </w:r>
    </w:p>
    <w:p>
      <w:pPr>
        <w:pStyle w:val="ListParagraph"/>
        <w:numPr>
          <w:ilvl w:val="0"/>
          <w:numId w:val="106"/>
        </w:numPr>
        <w:tabs>
          <w:tab w:pos="1221" w:val="left" w:leader="none"/>
        </w:tabs>
        <w:spacing w:line="240" w:lineRule="auto" w:before="161" w:after="0"/>
        <w:ind w:left="1220" w:right="0" w:hanging="721"/>
        <w:jc w:val="both"/>
        <w:rPr>
          <w:sz w:val="25"/>
        </w:rPr>
      </w:pPr>
      <w:r>
        <w:rPr>
          <w:sz w:val="25"/>
        </w:rPr>
        <w:t>Agreement permitting Jhingoo to provide drinking water to</w:t>
      </w:r>
      <w:r>
        <w:rPr>
          <w:spacing w:val="-7"/>
          <w:sz w:val="25"/>
        </w:rPr>
        <w:t> </w:t>
      </w:r>
      <w:r>
        <w:rPr>
          <w:sz w:val="25"/>
        </w:rPr>
        <w:t>pilgrims</w:t>
      </w:r>
      <w:r>
        <w:rPr>
          <w:sz w:val="25"/>
          <w:vertAlign w:val="superscript"/>
        </w:rPr>
        <w:t>176</w:t>
      </w:r>
      <w:r>
        <w:rPr>
          <w:sz w:val="25"/>
          <w:vertAlign w:val="baseline"/>
        </w:rPr>
        <w:t>;</w:t>
      </w:r>
    </w:p>
    <w:p>
      <w:pPr>
        <w:pStyle w:val="BodyText"/>
        <w:spacing w:before="1"/>
      </w:pPr>
    </w:p>
    <w:p>
      <w:pPr>
        <w:pStyle w:val="ListParagraph"/>
        <w:numPr>
          <w:ilvl w:val="0"/>
          <w:numId w:val="106"/>
        </w:numPr>
        <w:tabs>
          <w:tab w:pos="1221" w:val="left" w:leader="none"/>
        </w:tabs>
        <w:spacing w:line="480" w:lineRule="auto" w:before="0" w:after="0"/>
        <w:ind w:left="1220" w:right="435" w:hanging="720"/>
        <w:jc w:val="both"/>
        <w:rPr>
          <w:sz w:val="25"/>
        </w:rPr>
      </w:pPr>
      <w:r>
        <w:rPr>
          <w:w w:val="99"/>
          <w:sz w:val="25"/>
        </w:rPr>
        <w:t>H</w:t>
      </w:r>
      <w:r>
        <w:rPr>
          <w:sz w:val="25"/>
        </w:rPr>
        <w:t> </w:t>
      </w:r>
      <w:r>
        <w:rPr>
          <w:spacing w:val="-22"/>
          <w:sz w:val="25"/>
        </w:rPr>
        <w:t> </w:t>
      </w:r>
      <w:r>
        <w:rPr>
          <w:w w:val="99"/>
          <w:sz w:val="25"/>
        </w:rPr>
        <w:t>R</w:t>
      </w:r>
      <w:r>
        <w:rPr>
          <w:sz w:val="25"/>
        </w:rPr>
        <w:t> </w:t>
      </w:r>
      <w:r>
        <w:rPr>
          <w:spacing w:val="-22"/>
          <w:sz w:val="25"/>
        </w:rPr>
        <w:t> </w:t>
      </w:r>
      <w:r>
        <w:rPr>
          <w:spacing w:val="-1"/>
          <w:w w:val="99"/>
          <w:sz w:val="25"/>
        </w:rPr>
        <w:t>Ne</w:t>
      </w:r>
      <w:r>
        <w:rPr>
          <w:spacing w:val="-3"/>
          <w:w w:val="99"/>
          <w:sz w:val="25"/>
        </w:rPr>
        <w:t>v</w:t>
      </w:r>
      <w:r>
        <w:rPr>
          <w:spacing w:val="-1"/>
          <w:w w:val="99"/>
          <w:sz w:val="25"/>
        </w:rPr>
        <w:t>il</w:t>
      </w:r>
      <w:r>
        <w:rPr>
          <w:spacing w:val="1"/>
          <w:w w:val="99"/>
          <w:sz w:val="25"/>
        </w:rPr>
        <w:t>l</w:t>
      </w:r>
      <w:r>
        <w:rPr>
          <w:spacing w:val="-1"/>
          <w:w w:val="99"/>
          <w:sz w:val="25"/>
        </w:rPr>
        <w:t>‘</w:t>
      </w:r>
      <w:r>
        <w:rPr>
          <w:w w:val="99"/>
          <w:sz w:val="25"/>
        </w:rPr>
        <w:t>s</w:t>
      </w:r>
      <w:r>
        <w:rPr>
          <w:sz w:val="25"/>
        </w:rPr>
        <w:t> </w:t>
      </w:r>
      <w:r>
        <w:rPr>
          <w:spacing w:val="-22"/>
          <w:sz w:val="25"/>
        </w:rPr>
        <w:t> </w:t>
      </w:r>
      <w:r>
        <w:rPr>
          <w:w w:val="33"/>
          <w:sz w:val="25"/>
        </w:rPr>
        <w:t>―</w:t>
      </w:r>
      <w:r>
        <w:rPr>
          <w:w w:val="99"/>
          <w:sz w:val="25"/>
        </w:rPr>
        <w:t>T</w:t>
      </w:r>
      <w:r>
        <w:rPr>
          <w:spacing w:val="-1"/>
          <w:w w:val="99"/>
          <w:sz w:val="25"/>
        </w:rPr>
        <w:t>h</w:t>
      </w:r>
      <w:r>
        <w:rPr>
          <w:w w:val="99"/>
          <w:sz w:val="25"/>
        </w:rPr>
        <w:t>e</w:t>
      </w:r>
      <w:r>
        <w:rPr>
          <w:sz w:val="25"/>
        </w:rPr>
        <w:t> </w:t>
      </w:r>
      <w:r>
        <w:rPr>
          <w:spacing w:val="-22"/>
          <w:sz w:val="25"/>
        </w:rPr>
        <w:t> </w:t>
      </w:r>
      <w:r>
        <w:rPr>
          <w:spacing w:val="-3"/>
          <w:w w:val="99"/>
          <w:sz w:val="25"/>
        </w:rPr>
        <w:t>G</w:t>
      </w:r>
      <w:r>
        <w:rPr>
          <w:spacing w:val="-1"/>
          <w:w w:val="99"/>
          <w:sz w:val="25"/>
        </w:rPr>
        <w:t>az</w:t>
      </w:r>
      <w:r>
        <w:rPr>
          <w:w w:val="99"/>
          <w:sz w:val="25"/>
        </w:rPr>
        <w:t>ette</w:t>
      </w:r>
      <w:r>
        <w:rPr>
          <w:spacing w:val="-1"/>
          <w:w w:val="99"/>
          <w:sz w:val="25"/>
        </w:rPr>
        <w:t>e</w:t>
      </w:r>
      <w:r>
        <w:rPr>
          <w:w w:val="99"/>
          <w:sz w:val="25"/>
        </w:rPr>
        <w:t>r</w:t>
      </w:r>
      <w:r>
        <w:rPr>
          <w:sz w:val="25"/>
        </w:rPr>
        <w:t> </w:t>
      </w:r>
      <w:r>
        <w:rPr>
          <w:spacing w:val="-21"/>
          <w:sz w:val="25"/>
        </w:rPr>
        <w:t> </w:t>
      </w:r>
      <w:r>
        <w:rPr>
          <w:spacing w:val="-1"/>
          <w:w w:val="99"/>
          <w:sz w:val="25"/>
        </w:rPr>
        <w:t>o</w:t>
      </w:r>
      <w:r>
        <w:rPr>
          <w:w w:val="99"/>
          <w:sz w:val="25"/>
        </w:rPr>
        <w:t>f</w:t>
      </w:r>
      <w:r>
        <w:rPr>
          <w:sz w:val="25"/>
        </w:rPr>
        <w:t> </w:t>
      </w:r>
      <w:r>
        <w:rPr>
          <w:spacing w:val="-24"/>
          <w:sz w:val="25"/>
        </w:rPr>
        <w:t> </w:t>
      </w:r>
      <w:r>
        <w:rPr>
          <w:w w:val="99"/>
          <w:sz w:val="25"/>
        </w:rPr>
        <w:t>the</w:t>
      </w:r>
      <w:r>
        <w:rPr>
          <w:sz w:val="25"/>
        </w:rPr>
        <w:t> </w:t>
      </w:r>
      <w:r>
        <w:rPr>
          <w:spacing w:val="-21"/>
          <w:sz w:val="25"/>
        </w:rPr>
        <w:t> </w:t>
      </w:r>
      <w:r>
        <w:rPr>
          <w:spacing w:val="-1"/>
          <w:w w:val="99"/>
          <w:sz w:val="25"/>
        </w:rPr>
        <w:t>Unit</w:t>
      </w:r>
      <w:r>
        <w:rPr>
          <w:spacing w:val="-2"/>
          <w:w w:val="99"/>
          <w:sz w:val="25"/>
        </w:rPr>
        <w:t>e</w:t>
      </w:r>
      <w:r>
        <w:rPr>
          <w:w w:val="99"/>
          <w:sz w:val="25"/>
        </w:rPr>
        <w:t>d</w:t>
      </w:r>
      <w:r>
        <w:rPr>
          <w:sz w:val="25"/>
        </w:rPr>
        <w:t> </w:t>
      </w:r>
      <w:r>
        <w:rPr>
          <w:spacing w:val="-22"/>
          <w:sz w:val="25"/>
        </w:rPr>
        <w:t> </w:t>
      </w:r>
      <w:r>
        <w:rPr>
          <w:spacing w:val="-1"/>
          <w:w w:val="99"/>
          <w:sz w:val="25"/>
        </w:rPr>
        <w:t>P</w:t>
      </w:r>
      <w:r>
        <w:rPr>
          <w:w w:val="99"/>
          <w:sz w:val="25"/>
        </w:rPr>
        <w:t>r</w:t>
      </w:r>
      <w:r>
        <w:rPr>
          <w:spacing w:val="-1"/>
          <w:w w:val="99"/>
          <w:sz w:val="25"/>
        </w:rPr>
        <w:t>o</w:t>
      </w:r>
      <w:r>
        <w:rPr>
          <w:spacing w:val="-3"/>
          <w:w w:val="99"/>
          <w:sz w:val="25"/>
        </w:rPr>
        <w:t>v</w:t>
      </w:r>
      <w:r>
        <w:rPr>
          <w:spacing w:val="-1"/>
          <w:w w:val="99"/>
          <w:sz w:val="25"/>
        </w:rPr>
        <w:t>ince</w:t>
      </w:r>
      <w:r>
        <w:rPr>
          <w:w w:val="99"/>
          <w:sz w:val="25"/>
        </w:rPr>
        <w:t>s</w:t>
      </w:r>
      <w:r>
        <w:rPr>
          <w:sz w:val="25"/>
        </w:rPr>
        <w:t> </w:t>
      </w:r>
      <w:r>
        <w:rPr>
          <w:spacing w:val="-21"/>
          <w:sz w:val="25"/>
        </w:rPr>
        <w:t> </w:t>
      </w:r>
      <w:r>
        <w:rPr>
          <w:spacing w:val="-1"/>
          <w:w w:val="99"/>
          <w:sz w:val="25"/>
        </w:rPr>
        <w:t>o</w:t>
      </w:r>
      <w:r>
        <w:rPr>
          <w:w w:val="99"/>
          <w:sz w:val="25"/>
        </w:rPr>
        <w:t>f</w:t>
      </w:r>
      <w:r>
        <w:rPr>
          <w:sz w:val="25"/>
        </w:rPr>
        <w:t> </w:t>
      </w:r>
      <w:r>
        <w:rPr>
          <w:spacing w:val="-21"/>
          <w:sz w:val="25"/>
        </w:rPr>
        <w:t> </w:t>
      </w:r>
      <w:r>
        <w:rPr>
          <w:spacing w:val="-1"/>
          <w:w w:val="99"/>
          <w:sz w:val="25"/>
        </w:rPr>
        <w:t>A</w:t>
      </w:r>
      <w:r>
        <w:rPr>
          <w:spacing w:val="8"/>
          <w:w w:val="99"/>
          <w:sz w:val="25"/>
        </w:rPr>
        <w:t>g</w:t>
      </w:r>
      <w:r>
        <w:rPr>
          <w:w w:val="99"/>
          <w:sz w:val="25"/>
        </w:rPr>
        <w:t>r</w:t>
      </w:r>
      <w:r>
        <w:rPr>
          <w:w w:val="99"/>
          <w:sz w:val="25"/>
        </w:rPr>
        <w:t>a</w:t>
      </w:r>
      <w:r>
        <w:rPr>
          <w:sz w:val="25"/>
        </w:rPr>
        <w:t> </w:t>
      </w:r>
      <w:r>
        <w:rPr>
          <w:spacing w:val="-22"/>
          <w:sz w:val="25"/>
        </w:rPr>
        <w:t> </w:t>
      </w:r>
      <w:r>
        <w:rPr>
          <w:w w:val="99"/>
          <w:sz w:val="25"/>
        </w:rPr>
        <w:t>and</w:t>
      </w:r>
      <w:r>
        <w:rPr>
          <w:sz w:val="25"/>
        </w:rPr>
        <w:t> </w:t>
      </w:r>
      <w:r>
        <w:rPr>
          <w:spacing w:val="-22"/>
          <w:sz w:val="25"/>
        </w:rPr>
        <w:t> </w:t>
      </w:r>
      <w:r>
        <w:rPr>
          <w:w w:val="99"/>
          <w:sz w:val="25"/>
        </w:rPr>
        <w:t>Oud</w:t>
      </w:r>
      <w:r>
        <w:rPr>
          <w:w w:val="99"/>
          <w:sz w:val="25"/>
        </w:rPr>
        <w:t>h </w:t>
      </w:r>
      <w:r>
        <w:rPr>
          <w:sz w:val="25"/>
        </w:rPr>
        <w:t>1905‖ stating that the Nirmohi Akhara sect formerly held the Ram Janmabhumi temple in Ramkot, the remains of which still belong to</w:t>
      </w:r>
      <w:r>
        <w:rPr>
          <w:spacing w:val="-16"/>
          <w:sz w:val="25"/>
        </w:rPr>
        <w:t> </w:t>
      </w:r>
      <w:r>
        <w:rPr>
          <w:sz w:val="25"/>
        </w:rPr>
        <w:t>them;</w:t>
      </w:r>
    </w:p>
    <w:p>
      <w:pPr>
        <w:pStyle w:val="ListParagraph"/>
        <w:numPr>
          <w:ilvl w:val="0"/>
          <w:numId w:val="106"/>
        </w:numPr>
        <w:tabs>
          <w:tab w:pos="1221" w:val="left" w:leader="none"/>
        </w:tabs>
        <w:spacing w:line="286" w:lineRule="exact" w:before="0" w:after="0"/>
        <w:ind w:left="1220" w:right="0" w:hanging="721"/>
        <w:jc w:val="both"/>
        <w:rPr>
          <w:sz w:val="25"/>
        </w:rPr>
      </w:pPr>
      <w:r>
        <w:rPr>
          <w:sz w:val="25"/>
        </w:rPr>
        <w:t>Mutation entry in favour of the Mahant Raghunath</w:t>
      </w:r>
      <w:r>
        <w:rPr>
          <w:spacing w:val="-7"/>
          <w:sz w:val="25"/>
        </w:rPr>
        <w:t> </w:t>
      </w:r>
      <w:r>
        <w:rPr>
          <w:sz w:val="25"/>
        </w:rPr>
        <w:t>Das</w:t>
      </w:r>
      <w:r>
        <w:rPr>
          <w:sz w:val="25"/>
          <w:vertAlign w:val="superscript"/>
        </w:rPr>
        <w:t>177</w:t>
      </w:r>
      <w:r>
        <w:rPr>
          <w:sz w:val="25"/>
          <w:vertAlign w:val="baseline"/>
        </w:rPr>
        <w:t>;</w:t>
      </w:r>
    </w:p>
    <w:p>
      <w:pPr>
        <w:pStyle w:val="BodyText"/>
        <w:spacing w:before="1"/>
      </w:pPr>
    </w:p>
    <w:p>
      <w:pPr>
        <w:pStyle w:val="ListParagraph"/>
        <w:numPr>
          <w:ilvl w:val="0"/>
          <w:numId w:val="106"/>
        </w:numPr>
        <w:tabs>
          <w:tab w:pos="1221" w:val="left" w:leader="none"/>
        </w:tabs>
        <w:spacing w:line="240" w:lineRule="auto" w:before="0" w:after="0"/>
        <w:ind w:left="1220" w:right="0" w:hanging="721"/>
        <w:jc w:val="both"/>
        <w:rPr>
          <w:sz w:val="25"/>
        </w:rPr>
      </w:pPr>
      <w:r>
        <w:rPr>
          <w:sz w:val="25"/>
        </w:rPr>
        <w:t>Agreement of Theka shop dated 13 October</w:t>
      </w:r>
      <w:r>
        <w:rPr>
          <w:spacing w:val="-8"/>
          <w:sz w:val="25"/>
        </w:rPr>
        <w:t> </w:t>
      </w:r>
      <w:r>
        <w:rPr>
          <w:sz w:val="25"/>
        </w:rPr>
        <w:t>1942</w:t>
      </w:r>
      <w:r>
        <w:rPr>
          <w:sz w:val="25"/>
          <w:vertAlign w:val="superscript"/>
        </w:rPr>
        <w:t>178</w:t>
      </w:r>
      <w:r>
        <w:rPr>
          <w:sz w:val="25"/>
          <w:vertAlign w:val="baseline"/>
        </w:rPr>
        <w:t>;</w:t>
      </w:r>
    </w:p>
    <w:p>
      <w:pPr>
        <w:pStyle w:val="BodyText"/>
        <w:rPr>
          <w:sz w:val="20"/>
        </w:rPr>
      </w:pPr>
    </w:p>
    <w:p>
      <w:pPr>
        <w:pStyle w:val="BodyText"/>
        <w:spacing w:before="6"/>
        <w:rPr>
          <w:sz w:val="16"/>
        </w:rPr>
      </w:pPr>
      <w:r>
        <w:rPr/>
        <w:pict>
          <v:rect style="position:absolute;margin-left:72.024002pt;margin-top:11.471428pt;width:144.020pt;height:.599980pt;mso-position-horizontal-relative:page;mso-position-vertical-relative:paragraph;z-index:-1567744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176</w:t>
      </w:r>
      <w:r>
        <w:rPr>
          <w:sz w:val="18"/>
          <w:vertAlign w:val="baseline"/>
        </w:rPr>
        <w:t> Exhibit 8</w:t>
      </w:r>
    </w:p>
    <w:p>
      <w:pPr>
        <w:spacing w:before="2"/>
        <w:ind w:left="500" w:right="0" w:firstLine="0"/>
        <w:jc w:val="left"/>
        <w:rPr>
          <w:sz w:val="18"/>
        </w:rPr>
      </w:pPr>
      <w:r>
        <w:rPr>
          <w:sz w:val="18"/>
          <w:vertAlign w:val="superscript"/>
        </w:rPr>
        <w:t>177</w:t>
      </w:r>
      <w:r>
        <w:rPr>
          <w:sz w:val="18"/>
          <w:vertAlign w:val="baseline"/>
        </w:rPr>
        <w:t> Exhibit 49</w:t>
      </w:r>
    </w:p>
    <w:p>
      <w:pPr>
        <w:spacing w:after="0"/>
        <w:jc w:val="left"/>
        <w:rPr>
          <w:sz w:val="18"/>
        </w:rPr>
        <w:sectPr>
          <w:pgSz w:w="11910" w:h="16840"/>
          <w:pgMar w:header="721" w:footer="1014" w:top="1300" w:bottom="1200" w:left="940" w:right="1000"/>
        </w:sectPr>
      </w:pPr>
    </w:p>
    <w:p>
      <w:pPr>
        <w:pStyle w:val="ListParagraph"/>
        <w:numPr>
          <w:ilvl w:val="0"/>
          <w:numId w:val="106"/>
        </w:numPr>
        <w:tabs>
          <w:tab w:pos="1221" w:val="left" w:leader="none"/>
        </w:tabs>
        <w:spacing w:line="480" w:lineRule="auto" w:before="124" w:after="0"/>
        <w:ind w:left="1220" w:right="443" w:hanging="720"/>
        <w:jc w:val="both"/>
        <w:rPr>
          <w:sz w:val="25"/>
        </w:rPr>
      </w:pPr>
      <w:r>
        <w:rPr>
          <w:sz w:val="25"/>
        </w:rPr>
        <w:t>Agreement dated 29 October 1945 executed in respect of a shop by Mahant Raghunath</w:t>
      </w:r>
      <w:r>
        <w:rPr>
          <w:spacing w:val="-2"/>
          <w:sz w:val="25"/>
        </w:rPr>
        <w:t> </w:t>
      </w:r>
      <w:r>
        <w:rPr>
          <w:sz w:val="25"/>
        </w:rPr>
        <w:t>Das</w:t>
      </w:r>
      <w:r>
        <w:rPr>
          <w:sz w:val="25"/>
          <w:vertAlign w:val="superscript"/>
        </w:rPr>
        <w:t>179</w:t>
      </w:r>
      <w:r>
        <w:rPr>
          <w:sz w:val="25"/>
          <w:vertAlign w:val="baseline"/>
        </w:rPr>
        <w:t>;</w:t>
      </w:r>
    </w:p>
    <w:p>
      <w:pPr>
        <w:pStyle w:val="ListParagraph"/>
        <w:numPr>
          <w:ilvl w:val="0"/>
          <w:numId w:val="106"/>
        </w:numPr>
        <w:tabs>
          <w:tab w:pos="1221" w:val="left" w:leader="none"/>
        </w:tabs>
        <w:spacing w:line="480" w:lineRule="auto" w:before="0" w:after="0"/>
        <w:ind w:left="1220" w:right="446" w:hanging="720"/>
        <w:jc w:val="both"/>
        <w:rPr>
          <w:sz w:val="25"/>
        </w:rPr>
      </w:pPr>
      <w:r>
        <w:rPr>
          <w:sz w:val="25"/>
        </w:rPr>
        <w:t>The report by the Waqf Inspector stating that Muslims were not able to perform namaz Isha at the mosque due to the fear of Hindus and</w:t>
      </w:r>
      <w:r>
        <w:rPr>
          <w:spacing w:val="-15"/>
          <w:sz w:val="25"/>
        </w:rPr>
        <w:t> </w:t>
      </w:r>
      <w:r>
        <w:rPr>
          <w:sz w:val="25"/>
        </w:rPr>
        <w:t>Sikhs</w:t>
      </w:r>
      <w:r>
        <w:rPr>
          <w:sz w:val="25"/>
          <w:vertAlign w:val="superscript"/>
        </w:rPr>
        <w:t>180</w:t>
      </w:r>
      <w:r>
        <w:rPr>
          <w:sz w:val="25"/>
          <w:vertAlign w:val="baseline"/>
        </w:rPr>
        <w:t>;</w:t>
      </w:r>
    </w:p>
    <w:p>
      <w:pPr>
        <w:pStyle w:val="ListParagraph"/>
        <w:numPr>
          <w:ilvl w:val="0"/>
          <w:numId w:val="106"/>
        </w:numPr>
        <w:tabs>
          <w:tab w:pos="1221" w:val="left" w:leader="none"/>
        </w:tabs>
        <w:spacing w:line="480" w:lineRule="auto" w:before="0" w:after="0"/>
        <w:ind w:left="1220" w:right="435" w:hanging="720"/>
        <w:jc w:val="both"/>
        <w:rPr>
          <w:sz w:val="25"/>
        </w:rPr>
      </w:pPr>
      <w:r>
        <w:rPr>
          <w:sz w:val="25"/>
        </w:rPr>
        <w:t>The report of the Waqf Inspector dated 29 December 1949 recording the presence of police personnel between 22/23 December 1949</w:t>
      </w:r>
      <w:r>
        <w:rPr>
          <w:sz w:val="25"/>
          <w:vertAlign w:val="superscript"/>
        </w:rPr>
        <w:t>181</w:t>
      </w:r>
      <w:r>
        <w:rPr>
          <w:sz w:val="25"/>
          <w:vertAlign w:val="baseline"/>
        </w:rPr>
        <w:t>, and </w:t>
      </w:r>
      <w:r>
        <w:rPr>
          <w:spacing w:val="-3"/>
          <w:sz w:val="25"/>
          <w:vertAlign w:val="baseline"/>
        </w:rPr>
        <w:t>that </w:t>
      </w:r>
      <w:r>
        <w:rPr>
          <w:sz w:val="25"/>
          <w:vertAlign w:val="baseline"/>
        </w:rPr>
        <w:t>no namaz was being performed except on Friday when the mosque is open for 3-4 hours and that several bairagis were trying to forcibly take possession of the</w:t>
      </w:r>
      <w:r>
        <w:rPr>
          <w:spacing w:val="-2"/>
          <w:sz w:val="25"/>
          <w:vertAlign w:val="baseline"/>
        </w:rPr>
        <w:t> </w:t>
      </w:r>
      <w:r>
        <w:rPr>
          <w:sz w:val="25"/>
          <w:vertAlign w:val="baseline"/>
        </w:rPr>
        <w:t>mosque;</w:t>
      </w:r>
    </w:p>
    <w:p>
      <w:pPr>
        <w:pStyle w:val="ListParagraph"/>
        <w:numPr>
          <w:ilvl w:val="0"/>
          <w:numId w:val="106"/>
        </w:numPr>
        <w:tabs>
          <w:tab w:pos="1221" w:val="left" w:leader="none"/>
        </w:tabs>
        <w:spacing w:line="480" w:lineRule="auto" w:before="0" w:after="0"/>
        <w:ind w:left="1220" w:right="436" w:hanging="720"/>
        <w:jc w:val="both"/>
        <w:rPr>
          <w:sz w:val="25"/>
        </w:rPr>
      </w:pPr>
      <w:r>
        <w:rPr>
          <w:sz w:val="25"/>
        </w:rPr>
        <w:t>The report of the receiver dated 5 January 1950 which refers to Nirmohi Akhara while depicting the boundaries of the property taken into possession by him.</w:t>
      </w:r>
      <w:r>
        <w:rPr>
          <w:sz w:val="25"/>
          <w:vertAlign w:val="superscript"/>
        </w:rPr>
        <w:t>182</w:t>
      </w:r>
      <w:r>
        <w:rPr>
          <w:sz w:val="25"/>
          <w:vertAlign w:val="baseline"/>
        </w:rPr>
        <w:t> Post attachment on 5 January 1950, it has been submitted that objections were filed by Mahant Baldeo Das in the proceedings under Section</w:t>
      </w:r>
      <w:r>
        <w:rPr>
          <w:spacing w:val="-1"/>
          <w:sz w:val="25"/>
          <w:vertAlign w:val="baseline"/>
        </w:rPr>
        <w:t> </w:t>
      </w:r>
      <w:r>
        <w:rPr>
          <w:sz w:val="25"/>
          <w:vertAlign w:val="baseline"/>
        </w:rPr>
        <w:t>145</w:t>
      </w:r>
      <w:r>
        <w:rPr>
          <w:sz w:val="25"/>
          <w:vertAlign w:val="superscript"/>
        </w:rPr>
        <w:t>183</w:t>
      </w:r>
      <w:r>
        <w:rPr>
          <w:sz w:val="25"/>
          <w:vertAlign w:val="baseline"/>
        </w:rPr>
        <w:t>;</w:t>
      </w:r>
    </w:p>
    <w:p>
      <w:pPr>
        <w:pStyle w:val="ListParagraph"/>
        <w:numPr>
          <w:ilvl w:val="0"/>
          <w:numId w:val="106"/>
        </w:numPr>
        <w:tabs>
          <w:tab w:pos="1221" w:val="left" w:leader="none"/>
        </w:tabs>
        <w:spacing w:line="480" w:lineRule="auto" w:before="1" w:after="0"/>
        <w:ind w:left="1220" w:right="447" w:hanging="720"/>
        <w:jc w:val="both"/>
        <w:rPr>
          <w:sz w:val="25"/>
        </w:rPr>
      </w:pPr>
      <w:r>
        <w:rPr>
          <w:sz w:val="25"/>
        </w:rPr>
        <w:t>In 1961, permissions were sought for carrying out construction in the outer courtyard;</w:t>
      </w:r>
      <w:r>
        <w:rPr>
          <w:spacing w:val="-1"/>
          <w:sz w:val="25"/>
        </w:rPr>
        <w:t> </w:t>
      </w:r>
      <w:r>
        <w:rPr>
          <w:sz w:val="25"/>
        </w:rPr>
        <w:t>and</w:t>
      </w:r>
    </w:p>
    <w:p>
      <w:pPr>
        <w:pStyle w:val="ListParagraph"/>
        <w:numPr>
          <w:ilvl w:val="0"/>
          <w:numId w:val="106"/>
        </w:numPr>
        <w:tabs>
          <w:tab w:pos="1221" w:val="left" w:leader="none"/>
        </w:tabs>
        <w:spacing w:line="482" w:lineRule="auto" w:before="0" w:after="0"/>
        <w:ind w:left="1220" w:right="436" w:hanging="720"/>
        <w:jc w:val="both"/>
        <w:rPr>
          <w:sz w:val="25"/>
        </w:rPr>
      </w:pPr>
      <w:r>
        <w:rPr>
          <w:sz w:val="25"/>
        </w:rPr>
        <w:t>The clarification of the City Magistrate dated 9 February 1961 stating that there was no objection to the replacing of canvas or</w:t>
      </w:r>
      <w:r>
        <w:rPr>
          <w:spacing w:val="-10"/>
          <w:sz w:val="25"/>
        </w:rPr>
        <w:t> </w:t>
      </w:r>
      <w:r>
        <w:rPr>
          <w:sz w:val="25"/>
        </w:rPr>
        <w:t>cover.</w:t>
      </w:r>
    </w:p>
    <w:p>
      <w:pPr>
        <w:pStyle w:val="BodyText"/>
        <w:spacing w:before="6"/>
        <w:rPr>
          <w:sz w:val="24"/>
        </w:rPr>
      </w:pPr>
    </w:p>
    <w:p>
      <w:pPr>
        <w:pStyle w:val="BodyText"/>
        <w:spacing w:line="480" w:lineRule="auto"/>
        <w:ind w:left="500" w:right="442"/>
        <w:jc w:val="both"/>
      </w:pPr>
      <w:r>
        <w:rPr/>
        <w:t>Adverting to the documents which have been relied upon by Nirmohi Akhara, Justice Sudhir Agarwal held that the contents of documents to which the defendants were not parties are not relevant on questions of title and possession.</w:t>
      </w:r>
    </w:p>
    <w:p>
      <w:pPr>
        <w:pStyle w:val="BodyText"/>
        <w:spacing w:before="3"/>
        <w:rPr>
          <w:sz w:val="17"/>
        </w:rPr>
      </w:pPr>
      <w:r>
        <w:rPr/>
        <w:pict>
          <v:rect style="position:absolute;margin-left:72.024002pt;margin-top:11.903384pt;width:451.39pt;height:.599980pt;mso-position-horizontal-relative:page;mso-position-vertical-relative:paragraph;z-index:-15676928;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178</w:t>
      </w:r>
      <w:r>
        <w:rPr>
          <w:sz w:val="18"/>
          <w:vertAlign w:val="baseline"/>
        </w:rPr>
        <w:t> Exhibit 9</w:t>
      </w:r>
    </w:p>
    <w:p>
      <w:pPr>
        <w:spacing w:before="2"/>
        <w:ind w:left="500" w:right="0" w:firstLine="0"/>
        <w:jc w:val="left"/>
        <w:rPr>
          <w:sz w:val="18"/>
        </w:rPr>
      </w:pPr>
      <w:r>
        <w:rPr>
          <w:sz w:val="18"/>
          <w:vertAlign w:val="superscript"/>
        </w:rPr>
        <w:t>179</w:t>
      </w:r>
      <w:r>
        <w:rPr>
          <w:sz w:val="18"/>
          <w:vertAlign w:val="baseline"/>
        </w:rPr>
        <w:t> Exhibit 10</w:t>
      </w:r>
    </w:p>
    <w:p>
      <w:pPr>
        <w:spacing w:line="207" w:lineRule="exact" w:before="0"/>
        <w:ind w:left="500" w:right="0" w:firstLine="0"/>
        <w:jc w:val="left"/>
        <w:rPr>
          <w:sz w:val="18"/>
        </w:rPr>
      </w:pPr>
      <w:r>
        <w:rPr>
          <w:sz w:val="18"/>
          <w:vertAlign w:val="superscript"/>
        </w:rPr>
        <w:t>180</w:t>
      </w:r>
      <w:r>
        <w:rPr>
          <w:sz w:val="18"/>
          <w:vertAlign w:val="baseline"/>
        </w:rPr>
        <w:t> Exhibit A-63  - Suit</w:t>
      </w:r>
      <w:r>
        <w:rPr>
          <w:spacing w:val="-12"/>
          <w:sz w:val="18"/>
          <w:vertAlign w:val="baseline"/>
        </w:rPr>
        <w:t> </w:t>
      </w:r>
      <w:r>
        <w:rPr>
          <w:sz w:val="18"/>
          <w:vertAlign w:val="baseline"/>
        </w:rPr>
        <w:t>1</w:t>
      </w:r>
    </w:p>
    <w:p>
      <w:pPr>
        <w:spacing w:line="206" w:lineRule="exact" w:before="0"/>
        <w:ind w:left="500" w:right="0" w:firstLine="0"/>
        <w:jc w:val="left"/>
        <w:rPr>
          <w:sz w:val="18"/>
        </w:rPr>
      </w:pPr>
      <w:r>
        <w:rPr>
          <w:sz w:val="18"/>
          <w:vertAlign w:val="superscript"/>
        </w:rPr>
        <w:t>181</w:t>
      </w:r>
      <w:r>
        <w:rPr>
          <w:sz w:val="18"/>
          <w:vertAlign w:val="baseline"/>
        </w:rPr>
        <w:t> Exhibit A- 64 - Suit</w:t>
      </w:r>
      <w:r>
        <w:rPr>
          <w:spacing w:val="-12"/>
          <w:sz w:val="18"/>
          <w:vertAlign w:val="baseline"/>
        </w:rPr>
        <w:t> </w:t>
      </w:r>
      <w:r>
        <w:rPr>
          <w:sz w:val="18"/>
          <w:vertAlign w:val="baseline"/>
        </w:rPr>
        <w:t>1</w:t>
      </w:r>
    </w:p>
    <w:p>
      <w:pPr>
        <w:spacing w:line="207" w:lineRule="exact" w:before="0"/>
        <w:ind w:left="500" w:right="0" w:firstLine="0"/>
        <w:jc w:val="left"/>
        <w:rPr>
          <w:sz w:val="18"/>
        </w:rPr>
      </w:pPr>
      <w:r>
        <w:rPr>
          <w:sz w:val="18"/>
          <w:vertAlign w:val="superscript"/>
        </w:rPr>
        <w:t>182</w:t>
      </w:r>
      <w:r>
        <w:rPr>
          <w:sz w:val="18"/>
          <w:vertAlign w:val="baseline"/>
        </w:rPr>
        <w:t> Exhibit A– 3 – Suit</w:t>
      </w:r>
      <w:r>
        <w:rPr>
          <w:spacing w:val="-12"/>
          <w:sz w:val="18"/>
          <w:vertAlign w:val="baseline"/>
        </w:rPr>
        <w:t> </w:t>
      </w:r>
      <w:r>
        <w:rPr>
          <w:sz w:val="18"/>
          <w:vertAlign w:val="baseline"/>
        </w:rPr>
        <w:t>4</w:t>
      </w:r>
    </w:p>
    <w:p>
      <w:pPr>
        <w:spacing w:before="1"/>
        <w:ind w:left="500" w:right="0" w:firstLine="0"/>
        <w:jc w:val="left"/>
        <w:rPr>
          <w:sz w:val="18"/>
        </w:rPr>
      </w:pPr>
      <w:r>
        <w:rPr>
          <w:sz w:val="18"/>
          <w:vertAlign w:val="superscript"/>
        </w:rPr>
        <w:t>183</w:t>
      </w:r>
      <w:r>
        <w:rPr>
          <w:sz w:val="18"/>
          <w:vertAlign w:val="baseline"/>
        </w:rPr>
        <w:t> Exhibit 6 -Suit 3</w:t>
      </w:r>
    </w:p>
    <w:p>
      <w:pPr>
        <w:spacing w:after="0"/>
        <w:jc w:val="left"/>
        <w:rPr>
          <w:sz w:val="18"/>
        </w:rPr>
        <w:sectPr>
          <w:pgSz w:w="11910" w:h="16840"/>
          <w:pgMar w:header="721" w:footer="1014" w:top="1300" w:bottom="1200" w:left="940" w:right="1000"/>
        </w:sectPr>
      </w:pPr>
    </w:p>
    <w:p>
      <w:pPr>
        <w:pStyle w:val="BodyText"/>
        <w:spacing w:line="480" w:lineRule="auto" w:before="124"/>
        <w:ind w:left="500"/>
      </w:pPr>
      <w:r>
        <w:rPr/>
        <w:t>The documentary evidence relied upon by Nirmohi Akhara does not shed light in respect of the premises within the inner courtyard.</w:t>
      </w:r>
    </w:p>
    <w:p>
      <w:pPr>
        <w:pStyle w:val="BodyText"/>
      </w:pPr>
    </w:p>
    <w:p>
      <w:pPr>
        <w:pStyle w:val="ListParagraph"/>
        <w:numPr>
          <w:ilvl w:val="0"/>
          <w:numId w:val="3"/>
        </w:numPr>
        <w:tabs>
          <w:tab w:pos="1221" w:val="left" w:leader="none"/>
        </w:tabs>
        <w:spacing w:line="480" w:lineRule="auto" w:before="0" w:after="0"/>
        <w:ind w:left="500" w:right="437" w:firstLine="0"/>
        <w:jc w:val="both"/>
        <w:rPr>
          <w:sz w:val="25"/>
        </w:rPr>
      </w:pPr>
      <w:r>
        <w:rPr>
          <w:sz w:val="25"/>
        </w:rPr>
        <w:t>Dr Rajeev Dhavan has, in the course of the hearing of the appeal, filed a detailed response to the exhibits which were relied upon by Nirmohi Akhara. The course of events in the history of the communal conflict indicates a series of conflagrations between Hindus and Muslims in 1856-57 and 1934. The mosque was partially damaged in 1934 and subsequently, obstructions were placed in the course of offering namaz in the mosque involving a denial of the right to pray for the Muslims. This is followed by the events which took place on 22/23 December 1949 when idols were surreptitiously placed under the central dome. Soon thereafter, proceedings were initiated under Section 145 resulting in the attachment of the property. In this background, it is difficult to accept the case of Nirmohi Akhara that the disputed structure was a temple which was in its exclusive possession and that no incident had taken place on 22/23 December 1949.</w:t>
      </w:r>
    </w:p>
    <w:p>
      <w:pPr>
        <w:pStyle w:val="BodyText"/>
        <w:spacing w:before="1"/>
      </w:pPr>
    </w:p>
    <w:p>
      <w:pPr>
        <w:pStyle w:val="Heading3"/>
        <w:ind w:left="500" w:firstLine="0"/>
        <w:jc w:val="left"/>
      </w:pPr>
      <w:r>
        <w:rPr/>
        <w:t>Documentary evidence in regard to the mosque (1934-1949)</w:t>
      </w:r>
    </w:p>
    <w:p>
      <w:pPr>
        <w:pStyle w:val="BodyText"/>
        <w:spacing w:before="10"/>
        <w:rPr>
          <w:b/>
          <w:sz w:val="38"/>
        </w:rPr>
      </w:pPr>
    </w:p>
    <w:p>
      <w:pPr>
        <w:pStyle w:val="ListParagraph"/>
        <w:numPr>
          <w:ilvl w:val="0"/>
          <w:numId w:val="3"/>
        </w:numPr>
        <w:tabs>
          <w:tab w:pos="1221" w:val="left" w:leader="none"/>
        </w:tabs>
        <w:spacing w:line="480" w:lineRule="auto" w:before="1" w:after="0"/>
        <w:ind w:left="500" w:right="438" w:firstLine="0"/>
        <w:jc w:val="both"/>
        <w:rPr>
          <w:sz w:val="25"/>
        </w:rPr>
      </w:pPr>
      <w:r>
        <w:rPr>
          <w:sz w:val="25"/>
        </w:rPr>
        <w:t>In order to refute the claim of Nirmohi Akhara in regard to possession of the disputed structure, Mr Zafaryab Jilani, learned Senior Counsel appearing for the Sunni Central Waqf Board relied on documentary evidence to support the case that the structure situated within the inner courtyard was a mosque and that it was being used by Muslims to offer namaz from 1934 to 1949. This documentary</w:t>
      </w:r>
      <w:r>
        <w:rPr>
          <w:spacing w:val="15"/>
          <w:sz w:val="25"/>
        </w:rPr>
        <w:t> </w:t>
      </w:r>
      <w:r>
        <w:rPr>
          <w:sz w:val="25"/>
        </w:rPr>
        <w:t>evidence</w:t>
      </w:r>
      <w:r>
        <w:rPr>
          <w:spacing w:val="19"/>
          <w:sz w:val="25"/>
        </w:rPr>
        <w:t> </w:t>
      </w:r>
      <w:r>
        <w:rPr>
          <w:sz w:val="25"/>
        </w:rPr>
        <w:t>has</w:t>
      </w:r>
      <w:r>
        <w:rPr>
          <w:spacing w:val="18"/>
          <w:sz w:val="25"/>
        </w:rPr>
        <w:t> </w:t>
      </w:r>
      <w:r>
        <w:rPr>
          <w:sz w:val="25"/>
        </w:rPr>
        <w:t>a</w:t>
      </w:r>
      <w:r>
        <w:rPr>
          <w:spacing w:val="19"/>
          <w:sz w:val="25"/>
        </w:rPr>
        <w:t> </w:t>
      </w:r>
      <w:r>
        <w:rPr>
          <w:sz w:val="25"/>
        </w:rPr>
        <w:t>bearing</w:t>
      </w:r>
      <w:r>
        <w:rPr>
          <w:spacing w:val="18"/>
          <w:sz w:val="25"/>
        </w:rPr>
        <w:t> </w:t>
      </w:r>
      <w:r>
        <w:rPr>
          <w:sz w:val="25"/>
        </w:rPr>
        <w:t>on</w:t>
      </w:r>
      <w:r>
        <w:rPr>
          <w:spacing w:val="19"/>
          <w:sz w:val="25"/>
        </w:rPr>
        <w:t> </w:t>
      </w:r>
      <w:r>
        <w:rPr>
          <w:sz w:val="25"/>
        </w:rPr>
        <w:t>the</w:t>
      </w:r>
      <w:r>
        <w:rPr>
          <w:spacing w:val="18"/>
          <w:sz w:val="25"/>
        </w:rPr>
        <w:t> </w:t>
      </w:r>
      <w:r>
        <w:rPr>
          <w:sz w:val="25"/>
        </w:rPr>
        <w:t>correctness</w:t>
      </w:r>
      <w:r>
        <w:rPr>
          <w:spacing w:val="19"/>
          <w:sz w:val="25"/>
        </w:rPr>
        <w:t> </w:t>
      </w:r>
      <w:r>
        <w:rPr>
          <w:sz w:val="25"/>
        </w:rPr>
        <w:t>of</w:t>
      </w:r>
      <w:r>
        <w:rPr>
          <w:spacing w:val="18"/>
          <w:sz w:val="25"/>
        </w:rPr>
        <w:t> </w:t>
      </w:r>
      <w:r>
        <w:rPr>
          <w:sz w:val="25"/>
        </w:rPr>
        <w:t>the</w:t>
      </w:r>
      <w:r>
        <w:rPr>
          <w:spacing w:val="22"/>
          <w:sz w:val="25"/>
        </w:rPr>
        <w:t> </w:t>
      </w:r>
      <w:r>
        <w:rPr>
          <w:sz w:val="25"/>
        </w:rPr>
        <w:t>claim</w:t>
      </w:r>
      <w:r>
        <w:rPr>
          <w:spacing w:val="18"/>
          <w:sz w:val="25"/>
        </w:rPr>
        <w:t> </w:t>
      </w:r>
      <w:r>
        <w:rPr>
          <w:sz w:val="25"/>
        </w:rPr>
        <w:t>of</w:t>
      </w:r>
      <w:r>
        <w:rPr>
          <w:spacing w:val="19"/>
          <w:sz w:val="25"/>
        </w:rPr>
        <w:t> </w:t>
      </w:r>
      <w:r>
        <w:rPr>
          <w:sz w:val="25"/>
        </w:rPr>
        <w:t>Nirmohi</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Akhara in regard to exclusive possession of the mosque and hence needs to be scrutinised. The documentary evidence consists of the following:</w:t>
      </w:r>
    </w:p>
    <w:p>
      <w:pPr>
        <w:pStyle w:val="ListParagraph"/>
        <w:numPr>
          <w:ilvl w:val="0"/>
          <w:numId w:val="107"/>
        </w:numPr>
        <w:tabs>
          <w:tab w:pos="1221" w:val="left" w:leader="none"/>
        </w:tabs>
        <w:spacing w:line="480" w:lineRule="auto" w:before="160" w:after="0"/>
        <w:ind w:left="1220" w:right="438" w:hanging="720"/>
        <w:jc w:val="both"/>
        <w:rPr>
          <w:sz w:val="25"/>
        </w:rPr>
      </w:pPr>
      <w:r>
        <w:rPr>
          <w:sz w:val="25"/>
        </w:rPr>
        <w:t>Certified copy of the order dated 4 June 1942</w:t>
      </w:r>
      <w:r>
        <w:rPr>
          <w:sz w:val="25"/>
          <w:vertAlign w:val="superscript"/>
        </w:rPr>
        <w:t>184</w:t>
      </w:r>
      <w:r>
        <w:rPr>
          <w:sz w:val="25"/>
          <w:vertAlign w:val="baseline"/>
        </w:rPr>
        <w:t> and decree dated 6 July 1942 in Regular Suit 95 of 1941 (Mahant Ramcharan Das v Raghunath Das) before the Additional Civil Judge, Faizabad.</w:t>
      </w:r>
      <w:r>
        <w:rPr>
          <w:sz w:val="25"/>
          <w:vertAlign w:val="superscript"/>
        </w:rPr>
        <w:t>185</w:t>
      </w:r>
      <w:r>
        <w:rPr>
          <w:sz w:val="25"/>
          <w:vertAlign w:val="baseline"/>
        </w:rPr>
        <w:t> A compromise </w:t>
      </w:r>
      <w:r>
        <w:rPr>
          <w:spacing w:val="-5"/>
          <w:sz w:val="25"/>
          <w:vertAlign w:val="baseline"/>
        </w:rPr>
        <w:t>was </w:t>
      </w:r>
      <w:r>
        <w:rPr>
          <w:sz w:val="25"/>
          <w:vertAlign w:val="baseline"/>
        </w:rPr>
        <w:t>arrived at in the Suit. The terms of compromise contain a specific </w:t>
      </w:r>
      <w:r>
        <w:rPr>
          <w:w w:val="99"/>
          <w:sz w:val="25"/>
          <w:vertAlign w:val="baseline"/>
        </w:rPr>
        <w:t>r</w:t>
      </w:r>
      <w:r>
        <w:rPr>
          <w:spacing w:val="-1"/>
          <w:w w:val="99"/>
          <w:sz w:val="25"/>
          <w:vertAlign w:val="baseline"/>
        </w:rPr>
        <w:t>ef</w:t>
      </w:r>
      <w:r>
        <w:rPr>
          <w:w w:val="99"/>
          <w:sz w:val="25"/>
          <w:vertAlign w:val="baseline"/>
        </w:rPr>
        <w:t>er</w:t>
      </w:r>
      <w:r>
        <w:rPr>
          <w:spacing w:val="-1"/>
          <w:w w:val="99"/>
          <w:sz w:val="25"/>
          <w:vertAlign w:val="baseline"/>
        </w:rPr>
        <w:t>e</w:t>
      </w:r>
      <w:r>
        <w:rPr>
          <w:w w:val="99"/>
          <w:sz w:val="25"/>
          <w:vertAlign w:val="baseline"/>
        </w:rPr>
        <w:t>nce</w:t>
      </w:r>
      <w:r>
        <w:rPr>
          <w:spacing w:val="-1"/>
          <w:sz w:val="25"/>
          <w:vertAlign w:val="baseline"/>
        </w:rPr>
        <w:t> </w:t>
      </w:r>
      <w:r>
        <w:rPr>
          <w:w w:val="99"/>
          <w:sz w:val="25"/>
          <w:vertAlign w:val="baseline"/>
        </w:rPr>
        <w:t>to</w:t>
      </w:r>
      <w:r>
        <w:rPr>
          <w:spacing w:val="-1"/>
          <w:sz w:val="25"/>
          <w:vertAlign w:val="baseline"/>
        </w:rPr>
        <w:t> </w:t>
      </w:r>
      <w:r>
        <w:rPr>
          <w:w w:val="99"/>
          <w:sz w:val="25"/>
          <w:vertAlign w:val="baseline"/>
        </w:rPr>
        <w:t>t</w:t>
      </w:r>
      <w:r>
        <w:rPr>
          <w:spacing w:val="-1"/>
          <w:w w:val="99"/>
          <w:sz w:val="25"/>
          <w:vertAlign w:val="baseline"/>
        </w:rPr>
        <w:t>h</w:t>
      </w:r>
      <w:r>
        <w:rPr>
          <w:w w:val="99"/>
          <w:sz w:val="25"/>
          <w:vertAlign w:val="baseline"/>
        </w:rPr>
        <w:t>e</w:t>
      </w:r>
      <w:r>
        <w:rPr>
          <w:spacing w:val="-2"/>
          <w:sz w:val="25"/>
          <w:vertAlign w:val="baseline"/>
        </w:rPr>
        <w:t> </w:t>
      </w:r>
      <w:r>
        <w:rPr>
          <w:w w:val="33"/>
          <w:sz w:val="25"/>
          <w:vertAlign w:val="baseline"/>
        </w:rPr>
        <w:t>―</w:t>
      </w:r>
      <w:r>
        <w:rPr>
          <w:spacing w:val="-1"/>
          <w:w w:val="99"/>
          <w:sz w:val="25"/>
          <w:vertAlign w:val="baseline"/>
        </w:rPr>
        <w:t>Ba</w:t>
      </w:r>
      <w:r>
        <w:rPr>
          <w:w w:val="99"/>
          <w:sz w:val="25"/>
          <w:vertAlign w:val="baseline"/>
        </w:rPr>
        <w:t>b</w:t>
      </w:r>
      <w:r>
        <w:rPr>
          <w:spacing w:val="-2"/>
          <w:w w:val="99"/>
          <w:sz w:val="25"/>
          <w:vertAlign w:val="baseline"/>
        </w:rPr>
        <w:t>r</w:t>
      </w:r>
      <w:r>
        <w:rPr>
          <w:w w:val="99"/>
          <w:sz w:val="25"/>
          <w:vertAlign w:val="baseline"/>
        </w:rPr>
        <w:t>i</w:t>
      </w:r>
      <w:r>
        <w:rPr>
          <w:spacing w:val="2"/>
          <w:sz w:val="25"/>
          <w:vertAlign w:val="baseline"/>
        </w:rPr>
        <w:t> </w:t>
      </w:r>
      <w:r>
        <w:rPr>
          <w:spacing w:val="-4"/>
          <w:w w:val="99"/>
          <w:sz w:val="25"/>
          <w:vertAlign w:val="baseline"/>
        </w:rPr>
        <w:t>M</w:t>
      </w:r>
      <w:r>
        <w:rPr>
          <w:spacing w:val="-1"/>
          <w:w w:val="96"/>
          <w:sz w:val="25"/>
          <w:vertAlign w:val="baseline"/>
        </w:rPr>
        <w:t>asjid</w:t>
      </w:r>
      <w:r>
        <w:rPr>
          <w:spacing w:val="7"/>
          <w:w w:val="96"/>
          <w:sz w:val="25"/>
          <w:vertAlign w:val="baseline"/>
        </w:rPr>
        <w:t>‖</w:t>
      </w:r>
      <w:r>
        <w:rPr>
          <w:spacing w:val="-1"/>
          <w:w w:val="101"/>
          <w:sz w:val="25"/>
          <w:vertAlign w:val="superscript"/>
        </w:rPr>
        <w:t>186</w:t>
      </w:r>
      <w:r>
        <w:rPr>
          <w:w w:val="99"/>
          <w:sz w:val="25"/>
          <w:vertAlign w:val="baseline"/>
        </w:rPr>
        <w:t>:</w:t>
      </w:r>
    </w:p>
    <w:p>
      <w:pPr>
        <w:spacing w:line="276" w:lineRule="auto" w:before="0"/>
        <w:ind w:left="1940" w:right="2259" w:firstLine="0"/>
        <w:jc w:val="both"/>
        <w:rPr>
          <w:sz w:val="21"/>
        </w:rPr>
      </w:pPr>
      <w:r>
        <w:rPr>
          <w:w w:val="33"/>
          <w:sz w:val="21"/>
        </w:rPr>
        <w:t>―</w:t>
      </w:r>
      <w:r>
        <w:rPr>
          <w:w w:val="100"/>
          <w:sz w:val="21"/>
        </w:rPr>
        <w:t>2.</w:t>
      </w:r>
      <w:r>
        <w:rPr>
          <w:sz w:val="21"/>
        </w:rPr>
        <w:t> </w:t>
      </w:r>
      <w:r>
        <w:rPr>
          <w:w w:val="100"/>
          <w:sz w:val="21"/>
        </w:rPr>
        <w:t>A</w:t>
      </w:r>
      <w:r>
        <w:rPr>
          <w:sz w:val="21"/>
        </w:rPr>
        <w:t> </w:t>
      </w:r>
      <w:r>
        <w:rPr>
          <w:w w:val="100"/>
          <w:sz w:val="21"/>
        </w:rPr>
        <w:t>pucca</w:t>
      </w:r>
      <w:r>
        <w:rPr>
          <w:sz w:val="21"/>
        </w:rPr>
        <w:t> </w:t>
      </w:r>
      <w:r>
        <w:rPr>
          <w:w w:val="100"/>
          <w:sz w:val="21"/>
        </w:rPr>
        <w:t>temple</w:t>
      </w:r>
      <w:r>
        <w:rPr>
          <w:sz w:val="21"/>
        </w:rPr>
        <w:t> </w:t>
      </w:r>
      <w:r>
        <w:rPr>
          <w:w w:val="100"/>
          <w:sz w:val="21"/>
        </w:rPr>
        <w:t>along</w:t>
      </w:r>
      <w:r>
        <w:rPr>
          <w:sz w:val="21"/>
        </w:rPr>
        <w:t> </w:t>
      </w:r>
      <w:r>
        <w:rPr>
          <w:w w:val="100"/>
          <w:sz w:val="21"/>
        </w:rPr>
        <w:t>with</w:t>
      </w:r>
      <w:r>
        <w:rPr>
          <w:sz w:val="21"/>
        </w:rPr>
        <w:t> </w:t>
      </w:r>
      <w:r>
        <w:rPr>
          <w:w w:val="100"/>
          <w:sz w:val="21"/>
        </w:rPr>
        <w:t>lands</w:t>
      </w:r>
      <w:r>
        <w:rPr>
          <w:sz w:val="21"/>
        </w:rPr>
        <w:t> </w:t>
      </w:r>
      <w:r>
        <w:rPr>
          <w:w w:val="100"/>
          <w:sz w:val="21"/>
        </w:rPr>
        <w:t>situated</w:t>
      </w:r>
      <w:r>
        <w:rPr>
          <w:sz w:val="21"/>
        </w:rPr>
        <w:t> </w:t>
      </w:r>
      <w:r>
        <w:rPr>
          <w:w w:val="100"/>
          <w:sz w:val="21"/>
        </w:rPr>
        <w:t>at</w:t>
      </w:r>
      <w:r>
        <w:rPr>
          <w:sz w:val="21"/>
        </w:rPr>
        <w:t> </w:t>
      </w:r>
      <w:r>
        <w:rPr>
          <w:w w:val="100"/>
          <w:sz w:val="21"/>
        </w:rPr>
        <w:t>Janambhumi- </w:t>
      </w:r>
      <w:r>
        <w:rPr>
          <w:sz w:val="21"/>
        </w:rPr>
        <w:t>Babri Masjid in Mohalla Ramkot, City Ayodhya, Pargana Haveli Awadh, Tehsil &amp; Dist. Faizabad, whose boundaries are described as under:</w:t>
      </w:r>
    </w:p>
    <w:p>
      <w:pPr>
        <w:spacing w:line="276" w:lineRule="auto" w:before="0"/>
        <w:ind w:left="1940" w:right="4660" w:firstLine="0"/>
        <w:jc w:val="left"/>
        <w:rPr>
          <w:sz w:val="21"/>
        </w:rPr>
      </w:pPr>
      <w:r>
        <w:rPr>
          <w:sz w:val="21"/>
        </w:rPr>
        <w:t>East : Parti &amp; Kabristan (Graveyard) West: Babri</w:t>
      </w:r>
      <w:r>
        <w:rPr>
          <w:spacing w:val="-3"/>
          <w:sz w:val="21"/>
        </w:rPr>
        <w:t> </w:t>
      </w:r>
      <w:r>
        <w:rPr>
          <w:sz w:val="21"/>
        </w:rPr>
        <w:t>Masjid</w:t>
      </w:r>
    </w:p>
    <w:p>
      <w:pPr>
        <w:spacing w:before="0"/>
        <w:ind w:left="1940" w:right="0" w:firstLine="0"/>
        <w:jc w:val="left"/>
        <w:rPr>
          <w:sz w:val="21"/>
        </w:rPr>
      </w:pPr>
      <w:r>
        <w:rPr>
          <w:sz w:val="21"/>
        </w:rPr>
        <w:t>North: Pucca</w:t>
      </w:r>
      <w:r>
        <w:rPr>
          <w:spacing w:val="-5"/>
          <w:sz w:val="21"/>
        </w:rPr>
        <w:t> </w:t>
      </w:r>
      <w:r>
        <w:rPr>
          <w:sz w:val="21"/>
        </w:rPr>
        <w:t>Road</w:t>
      </w:r>
    </w:p>
    <w:p>
      <w:pPr>
        <w:spacing w:before="37"/>
        <w:ind w:left="1940" w:right="0" w:firstLine="0"/>
        <w:jc w:val="left"/>
        <w:rPr>
          <w:sz w:val="21"/>
        </w:rPr>
      </w:pPr>
      <w:r>
        <w:rPr>
          <w:sz w:val="21"/>
        </w:rPr>
        <w:t>South: Kabristan (Graveyard).‖</w:t>
      </w:r>
    </w:p>
    <w:p>
      <w:pPr>
        <w:pStyle w:val="BodyText"/>
        <w:spacing w:before="2"/>
        <w:rPr>
          <w:sz w:val="24"/>
        </w:rPr>
      </w:pPr>
    </w:p>
    <w:p>
      <w:pPr>
        <w:pStyle w:val="BodyText"/>
        <w:spacing w:line="480" w:lineRule="auto"/>
        <w:ind w:left="500" w:right="443"/>
        <w:jc w:val="both"/>
      </w:pPr>
      <w:r>
        <w:rPr/>
        <w:t>The suit was between the Nirmohis </w:t>
      </w:r>
      <w:r>
        <w:rPr>
          <w:i/>
        </w:rPr>
        <w:t>inter se</w:t>
      </w:r>
      <w:r>
        <w:rPr/>
        <w:t>. The above document indicates that the existence of the mosque cannot be denied;</w:t>
      </w:r>
    </w:p>
    <w:p>
      <w:pPr>
        <w:pStyle w:val="ListParagraph"/>
        <w:numPr>
          <w:ilvl w:val="0"/>
          <w:numId w:val="107"/>
        </w:numPr>
        <w:tabs>
          <w:tab w:pos="1221" w:val="left" w:leader="none"/>
        </w:tabs>
        <w:spacing w:line="480" w:lineRule="auto" w:before="0" w:after="0"/>
        <w:ind w:left="1220" w:right="437" w:hanging="720"/>
        <w:jc w:val="both"/>
        <w:rPr>
          <w:sz w:val="25"/>
        </w:rPr>
      </w:pPr>
      <w:r>
        <w:rPr>
          <w:sz w:val="25"/>
        </w:rPr>
        <w:t>After the riots which took place on 27 March 1934 on or about the occasion of Bakri-Eid, a portion of the mosque was destroyed. In that connection, there are documents relating to the repair of the</w:t>
      </w:r>
      <w:r>
        <w:rPr>
          <w:spacing w:val="-9"/>
          <w:sz w:val="25"/>
        </w:rPr>
        <w:t> </w:t>
      </w:r>
      <w:r>
        <w:rPr>
          <w:sz w:val="25"/>
        </w:rPr>
        <w:t>premises:</w:t>
      </w:r>
    </w:p>
    <w:p>
      <w:pPr>
        <w:pStyle w:val="ListParagraph"/>
        <w:numPr>
          <w:ilvl w:val="1"/>
          <w:numId w:val="107"/>
        </w:numPr>
        <w:tabs>
          <w:tab w:pos="1941" w:val="left" w:leader="none"/>
        </w:tabs>
        <w:spacing w:line="480" w:lineRule="auto" w:before="0" w:after="0"/>
        <w:ind w:left="1940" w:right="442" w:hanging="720"/>
        <w:jc w:val="both"/>
        <w:rPr>
          <w:sz w:val="25"/>
        </w:rPr>
      </w:pPr>
      <w:r>
        <w:rPr>
          <w:sz w:val="25"/>
        </w:rPr>
        <w:t>Permission granted for cleaning of Babri Masjid and its use for religious</w:t>
      </w:r>
      <w:r>
        <w:rPr>
          <w:spacing w:val="-1"/>
          <w:sz w:val="25"/>
        </w:rPr>
        <w:t> </w:t>
      </w:r>
      <w:r>
        <w:rPr>
          <w:sz w:val="25"/>
        </w:rPr>
        <w:t>services</w:t>
      </w:r>
      <w:r>
        <w:rPr>
          <w:sz w:val="25"/>
          <w:vertAlign w:val="superscript"/>
        </w:rPr>
        <w:t>187</w:t>
      </w:r>
      <w:r>
        <w:rPr>
          <w:sz w:val="25"/>
          <w:vertAlign w:val="baseline"/>
        </w:rPr>
        <w:t>;</w:t>
      </w:r>
    </w:p>
    <w:p>
      <w:pPr>
        <w:pStyle w:val="ListParagraph"/>
        <w:numPr>
          <w:ilvl w:val="1"/>
          <w:numId w:val="107"/>
        </w:numPr>
        <w:tabs>
          <w:tab w:pos="1941" w:val="left" w:leader="none"/>
        </w:tabs>
        <w:spacing w:line="480" w:lineRule="auto" w:before="1" w:after="0"/>
        <w:ind w:left="1940" w:right="442" w:hanging="720"/>
        <w:jc w:val="both"/>
        <w:rPr>
          <w:sz w:val="25"/>
        </w:rPr>
      </w:pPr>
      <w:r>
        <w:rPr>
          <w:sz w:val="25"/>
        </w:rPr>
        <w:t>Application of Mohd Zaki and others dated 5 June 1934 for the recovery of fines from the Bairagis for causing damage to the mosque</w:t>
      </w:r>
      <w:r>
        <w:rPr>
          <w:sz w:val="25"/>
          <w:vertAlign w:val="superscript"/>
        </w:rPr>
        <w:t>188</w:t>
      </w:r>
      <w:r>
        <w:rPr>
          <w:sz w:val="25"/>
          <w:vertAlign w:val="baseline"/>
        </w:rPr>
        <w:t>;</w:t>
      </w:r>
    </w:p>
    <w:p>
      <w:pPr>
        <w:pStyle w:val="BodyText"/>
        <w:rPr>
          <w:sz w:val="20"/>
        </w:rPr>
      </w:pPr>
    </w:p>
    <w:p>
      <w:pPr>
        <w:pStyle w:val="BodyText"/>
        <w:rPr>
          <w:sz w:val="12"/>
        </w:rPr>
      </w:pPr>
      <w:r>
        <w:rPr/>
        <w:pict>
          <v:rect style="position:absolute;margin-left:72.024002pt;margin-top:8.893697pt;width:144.020pt;height:.599980pt;mso-position-horizontal-relative:page;mso-position-vertical-relative:paragraph;z-index:-1567641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184</w:t>
      </w:r>
      <w:r>
        <w:rPr>
          <w:sz w:val="18"/>
          <w:vertAlign w:val="baseline"/>
        </w:rPr>
        <w:t> Exhibit A-4 – Suit 4</w:t>
      </w:r>
    </w:p>
    <w:p>
      <w:pPr>
        <w:spacing w:line="207" w:lineRule="exact" w:before="0"/>
        <w:ind w:left="500" w:right="0" w:firstLine="0"/>
        <w:jc w:val="left"/>
        <w:rPr>
          <w:sz w:val="18"/>
        </w:rPr>
      </w:pPr>
      <w:r>
        <w:rPr>
          <w:sz w:val="18"/>
          <w:vertAlign w:val="superscript"/>
        </w:rPr>
        <w:t>185</w:t>
      </w:r>
      <w:r>
        <w:rPr>
          <w:sz w:val="18"/>
          <w:vertAlign w:val="baseline"/>
        </w:rPr>
        <w:t> Exhibits A-5 - Suit 4</w:t>
      </w:r>
    </w:p>
    <w:p>
      <w:pPr>
        <w:spacing w:line="206" w:lineRule="exact" w:before="0"/>
        <w:ind w:left="500" w:right="0" w:firstLine="0"/>
        <w:jc w:val="left"/>
        <w:rPr>
          <w:sz w:val="18"/>
        </w:rPr>
      </w:pPr>
      <w:r>
        <w:rPr>
          <w:sz w:val="18"/>
          <w:vertAlign w:val="superscript"/>
        </w:rPr>
        <w:t>186</w:t>
      </w:r>
      <w:r>
        <w:rPr>
          <w:sz w:val="18"/>
          <w:vertAlign w:val="baseline"/>
        </w:rPr>
        <w:t> Exhibit A-6 – Suit</w:t>
      </w:r>
      <w:r>
        <w:rPr>
          <w:spacing w:val="-10"/>
          <w:sz w:val="18"/>
          <w:vertAlign w:val="baseline"/>
        </w:rPr>
        <w:t> </w:t>
      </w:r>
      <w:r>
        <w:rPr>
          <w:sz w:val="18"/>
          <w:vertAlign w:val="baseline"/>
        </w:rPr>
        <w:t>4</w:t>
      </w:r>
    </w:p>
    <w:p>
      <w:pPr>
        <w:spacing w:line="207" w:lineRule="exact" w:before="0"/>
        <w:ind w:left="500" w:right="0" w:firstLine="0"/>
        <w:jc w:val="left"/>
        <w:rPr>
          <w:sz w:val="18"/>
        </w:rPr>
      </w:pPr>
      <w:r>
        <w:rPr>
          <w:sz w:val="18"/>
          <w:vertAlign w:val="superscript"/>
        </w:rPr>
        <w:t>187</w:t>
      </w:r>
      <w:r>
        <w:rPr>
          <w:sz w:val="18"/>
          <w:vertAlign w:val="baseline"/>
        </w:rPr>
        <w:t> Exhibit A-49- Suit</w:t>
      </w:r>
      <w:r>
        <w:rPr>
          <w:spacing w:val="-12"/>
          <w:sz w:val="18"/>
          <w:vertAlign w:val="baseline"/>
        </w:rPr>
        <w:t> </w:t>
      </w:r>
      <w:r>
        <w:rPr>
          <w:sz w:val="18"/>
          <w:vertAlign w:val="baseline"/>
        </w:rPr>
        <w:t>1</w:t>
      </w:r>
    </w:p>
    <w:p>
      <w:pPr>
        <w:spacing w:before="2"/>
        <w:ind w:left="500" w:right="0" w:firstLine="0"/>
        <w:jc w:val="left"/>
        <w:rPr>
          <w:sz w:val="18"/>
        </w:rPr>
      </w:pPr>
      <w:r>
        <w:rPr>
          <w:sz w:val="18"/>
          <w:vertAlign w:val="superscript"/>
        </w:rPr>
        <w:t>188</w:t>
      </w:r>
      <w:r>
        <w:rPr>
          <w:sz w:val="18"/>
          <w:vertAlign w:val="baseline"/>
        </w:rPr>
        <w:t> Exhibit A-6- Suit 1</w:t>
      </w:r>
    </w:p>
    <w:p>
      <w:pPr>
        <w:spacing w:after="0"/>
        <w:jc w:val="left"/>
        <w:rPr>
          <w:sz w:val="18"/>
        </w:rPr>
        <w:sectPr>
          <w:pgSz w:w="11910" w:h="16840"/>
          <w:pgMar w:header="721" w:footer="1014" w:top="1300" w:bottom="1200" w:left="940" w:right="1000"/>
        </w:sectPr>
      </w:pPr>
    </w:p>
    <w:p>
      <w:pPr>
        <w:pStyle w:val="ListParagraph"/>
        <w:numPr>
          <w:ilvl w:val="1"/>
          <w:numId w:val="107"/>
        </w:numPr>
        <w:tabs>
          <w:tab w:pos="1941" w:val="left" w:leader="none"/>
        </w:tabs>
        <w:spacing w:line="480" w:lineRule="auto" w:before="124" w:after="0"/>
        <w:ind w:left="1940" w:right="437" w:hanging="720"/>
        <w:jc w:val="both"/>
        <w:rPr>
          <w:sz w:val="25"/>
        </w:rPr>
      </w:pPr>
      <w:r>
        <w:rPr>
          <w:sz w:val="25"/>
        </w:rPr>
        <w:t>The order of the District Magistrate dated 6 October 1934 for the payment of compensation for the damage caused to the</w:t>
      </w:r>
      <w:r>
        <w:rPr>
          <w:spacing w:val="-11"/>
          <w:sz w:val="25"/>
        </w:rPr>
        <w:t> </w:t>
      </w:r>
      <w:r>
        <w:rPr>
          <w:sz w:val="25"/>
        </w:rPr>
        <w:t>mosque</w:t>
      </w:r>
      <w:r>
        <w:rPr>
          <w:sz w:val="25"/>
          <w:vertAlign w:val="superscript"/>
        </w:rPr>
        <w:t>189</w:t>
      </w:r>
      <w:r>
        <w:rPr>
          <w:sz w:val="25"/>
          <w:vertAlign w:val="baseline"/>
        </w:rPr>
        <w:t>;</w:t>
      </w:r>
    </w:p>
    <w:p>
      <w:pPr>
        <w:pStyle w:val="ListParagraph"/>
        <w:numPr>
          <w:ilvl w:val="1"/>
          <w:numId w:val="107"/>
        </w:numPr>
        <w:tabs>
          <w:tab w:pos="1941" w:val="left" w:leader="none"/>
        </w:tabs>
        <w:spacing w:line="480" w:lineRule="auto" w:before="0" w:after="0"/>
        <w:ind w:left="1940" w:right="445" w:hanging="720"/>
        <w:jc w:val="both"/>
        <w:rPr>
          <w:sz w:val="25"/>
        </w:rPr>
      </w:pPr>
      <w:r>
        <w:rPr>
          <w:sz w:val="25"/>
        </w:rPr>
        <w:t>Application of Tahawar Khan, the contractor, dated 25 February 1935 for the payment of his bills for the repair of the</w:t>
      </w:r>
      <w:r>
        <w:rPr>
          <w:spacing w:val="-12"/>
          <w:sz w:val="25"/>
        </w:rPr>
        <w:t> </w:t>
      </w:r>
      <w:r>
        <w:rPr>
          <w:sz w:val="25"/>
        </w:rPr>
        <w:t>mosque</w:t>
      </w:r>
      <w:r>
        <w:rPr>
          <w:sz w:val="25"/>
          <w:vertAlign w:val="superscript"/>
        </w:rPr>
        <w:t>190</w:t>
      </w:r>
      <w:r>
        <w:rPr>
          <w:sz w:val="25"/>
          <w:vertAlign w:val="baseline"/>
        </w:rPr>
        <w:t>;</w:t>
      </w:r>
    </w:p>
    <w:p>
      <w:pPr>
        <w:pStyle w:val="ListParagraph"/>
        <w:numPr>
          <w:ilvl w:val="1"/>
          <w:numId w:val="107"/>
        </w:numPr>
        <w:tabs>
          <w:tab w:pos="1941" w:val="left" w:leader="none"/>
        </w:tabs>
        <w:spacing w:line="480" w:lineRule="auto" w:before="0" w:after="0"/>
        <w:ind w:left="1940" w:right="442" w:hanging="720"/>
        <w:jc w:val="both"/>
        <w:rPr>
          <w:sz w:val="25"/>
        </w:rPr>
      </w:pPr>
      <w:r>
        <w:rPr>
          <w:sz w:val="25"/>
        </w:rPr>
        <w:t>The order of the Deputy Commissioner, Faizabad dated 26  February 1935 for inspection of the work done by the SDM Sadar prior to payment of bills for the repair of the</w:t>
      </w:r>
      <w:r>
        <w:rPr>
          <w:spacing w:val="-9"/>
          <w:sz w:val="25"/>
        </w:rPr>
        <w:t> </w:t>
      </w:r>
      <w:r>
        <w:rPr>
          <w:sz w:val="25"/>
        </w:rPr>
        <w:t>mosque</w:t>
      </w:r>
      <w:r>
        <w:rPr>
          <w:sz w:val="25"/>
          <w:vertAlign w:val="superscript"/>
        </w:rPr>
        <w:t>191</w:t>
      </w:r>
      <w:r>
        <w:rPr>
          <w:sz w:val="25"/>
          <w:vertAlign w:val="baseline"/>
        </w:rPr>
        <w:t>;</w:t>
      </w:r>
    </w:p>
    <w:p>
      <w:pPr>
        <w:pStyle w:val="ListParagraph"/>
        <w:numPr>
          <w:ilvl w:val="1"/>
          <w:numId w:val="107"/>
        </w:numPr>
        <w:tabs>
          <w:tab w:pos="1941" w:val="left" w:leader="none"/>
        </w:tabs>
        <w:spacing w:line="480" w:lineRule="auto" w:before="0" w:after="0"/>
        <w:ind w:left="1940" w:right="446" w:hanging="720"/>
        <w:jc w:val="both"/>
        <w:rPr>
          <w:sz w:val="25"/>
        </w:rPr>
      </w:pPr>
      <w:r>
        <w:rPr>
          <w:sz w:val="25"/>
        </w:rPr>
        <w:t>Estimate of repairs submitted by the contractor on 15 April 1935 including the repair of the</w:t>
      </w:r>
      <w:r>
        <w:rPr>
          <w:spacing w:val="-4"/>
          <w:sz w:val="25"/>
        </w:rPr>
        <w:t> </w:t>
      </w:r>
      <w:r>
        <w:rPr>
          <w:sz w:val="25"/>
        </w:rPr>
        <w:t>domes</w:t>
      </w:r>
      <w:r>
        <w:rPr>
          <w:sz w:val="25"/>
          <w:vertAlign w:val="superscript"/>
        </w:rPr>
        <w:t>192</w:t>
      </w:r>
      <w:r>
        <w:rPr>
          <w:sz w:val="25"/>
          <w:vertAlign w:val="baseline"/>
        </w:rPr>
        <w:t>;</w:t>
      </w:r>
    </w:p>
    <w:p>
      <w:pPr>
        <w:pStyle w:val="ListParagraph"/>
        <w:numPr>
          <w:ilvl w:val="1"/>
          <w:numId w:val="107"/>
        </w:numPr>
        <w:tabs>
          <w:tab w:pos="1941" w:val="left" w:leader="none"/>
        </w:tabs>
        <w:spacing w:line="480" w:lineRule="auto" w:before="0" w:after="0"/>
        <w:ind w:left="1940" w:right="438" w:hanging="720"/>
        <w:jc w:val="both"/>
        <w:rPr>
          <w:sz w:val="25"/>
        </w:rPr>
      </w:pPr>
      <w:r>
        <w:rPr>
          <w:sz w:val="25"/>
        </w:rPr>
        <w:t>An application of the contractor dated </w:t>
      </w:r>
      <w:r>
        <w:rPr>
          <w:spacing w:val="2"/>
          <w:sz w:val="25"/>
        </w:rPr>
        <w:t>16 </w:t>
      </w:r>
      <w:r>
        <w:rPr>
          <w:sz w:val="25"/>
        </w:rPr>
        <w:t>April 1935 in regard to the delay in the completion of work. The letter stated that the repair to the dome was under preparation as were the marble tablets with the inscriptions of</w:t>
      </w:r>
      <w:r>
        <w:rPr>
          <w:spacing w:val="-2"/>
          <w:sz w:val="25"/>
        </w:rPr>
        <w:t> </w:t>
      </w:r>
      <w:r>
        <w:rPr>
          <w:sz w:val="25"/>
        </w:rPr>
        <w:t>Allah</w:t>
      </w:r>
      <w:r>
        <w:rPr>
          <w:sz w:val="25"/>
          <w:vertAlign w:val="superscript"/>
        </w:rPr>
        <w:t>193</w:t>
      </w:r>
      <w:r>
        <w:rPr>
          <w:sz w:val="25"/>
          <w:vertAlign w:val="baseline"/>
        </w:rPr>
        <w:t>;</w:t>
      </w:r>
    </w:p>
    <w:p>
      <w:pPr>
        <w:pStyle w:val="ListParagraph"/>
        <w:numPr>
          <w:ilvl w:val="1"/>
          <w:numId w:val="107"/>
        </w:numPr>
        <w:tabs>
          <w:tab w:pos="1941" w:val="left" w:leader="none"/>
        </w:tabs>
        <w:spacing w:line="480" w:lineRule="auto" w:before="0" w:after="0"/>
        <w:ind w:left="1940" w:right="441" w:hanging="720"/>
        <w:jc w:val="both"/>
        <w:rPr>
          <w:sz w:val="25"/>
        </w:rPr>
      </w:pPr>
      <w:r>
        <w:rPr>
          <w:sz w:val="25"/>
        </w:rPr>
        <w:t>Inspection note dated 21 November 1935 of the Assistant Engineer, Public Works Department, Faizabad regarding repair of Babri Masjid, noting that the work was inspected and found to be satisfactory</w:t>
      </w:r>
      <w:r>
        <w:rPr>
          <w:sz w:val="25"/>
          <w:vertAlign w:val="superscript"/>
        </w:rPr>
        <w:t>194</w:t>
      </w:r>
      <w:r>
        <w:rPr>
          <w:sz w:val="25"/>
          <w:vertAlign w:val="baseline"/>
        </w:rPr>
        <w:t>;</w:t>
      </w:r>
    </w:p>
    <w:p>
      <w:pPr>
        <w:pStyle w:val="ListParagraph"/>
        <w:numPr>
          <w:ilvl w:val="1"/>
          <w:numId w:val="107"/>
        </w:numPr>
        <w:tabs>
          <w:tab w:pos="1941" w:val="left" w:leader="none"/>
        </w:tabs>
        <w:spacing w:line="480" w:lineRule="auto" w:before="2" w:after="0"/>
        <w:ind w:left="1940" w:right="444" w:hanging="720"/>
        <w:jc w:val="both"/>
        <w:rPr>
          <w:sz w:val="25"/>
        </w:rPr>
      </w:pPr>
      <w:r>
        <w:rPr>
          <w:sz w:val="25"/>
        </w:rPr>
        <w:t>Report of the bill clerk dated 27 January 1936 on the bill of the contractor regarding the repair of the</w:t>
      </w:r>
      <w:r>
        <w:rPr>
          <w:spacing w:val="-4"/>
          <w:sz w:val="25"/>
        </w:rPr>
        <w:t> </w:t>
      </w:r>
      <w:r>
        <w:rPr>
          <w:sz w:val="25"/>
        </w:rPr>
        <w:t>mosque</w:t>
      </w:r>
      <w:r>
        <w:rPr>
          <w:sz w:val="25"/>
          <w:vertAlign w:val="superscript"/>
        </w:rPr>
        <w:t>195</w:t>
      </w:r>
      <w:r>
        <w:rPr>
          <w:sz w:val="25"/>
          <w:vertAlign w:val="baseline"/>
        </w:rPr>
        <w:t>;</w:t>
      </w:r>
    </w:p>
    <w:p>
      <w:pPr>
        <w:pStyle w:val="ListParagraph"/>
        <w:numPr>
          <w:ilvl w:val="1"/>
          <w:numId w:val="107"/>
        </w:numPr>
        <w:tabs>
          <w:tab w:pos="1941" w:val="left" w:leader="none"/>
        </w:tabs>
        <w:spacing w:line="480" w:lineRule="auto" w:before="0" w:after="0"/>
        <w:ind w:left="1940" w:right="444" w:hanging="720"/>
        <w:jc w:val="both"/>
        <w:rPr>
          <w:sz w:val="25"/>
        </w:rPr>
      </w:pPr>
      <w:r>
        <w:rPr>
          <w:sz w:val="25"/>
        </w:rPr>
        <w:t>Order of Mr A D Dixon dated 29 January 1936 regarding payment for the work of repair of Babri Masjid</w:t>
      </w:r>
      <w:r>
        <w:rPr>
          <w:sz w:val="25"/>
          <w:vertAlign w:val="superscript"/>
        </w:rPr>
        <w:t>196</w:t>
      </w:r>
      <w:r>
        <w:rPr>
          <w:sz w:val="25"/>
          <w:vertAlign w:val="baseline"/>
        </w:rPr>
        <w:t>;</w:t>
      </w:r>
      <w:r>
        <w:rPr>
          <w:spacing w:val="-3"/>
          <w:sz w:val="25"/>
          <w:vertAlign w:val="baseline"/>
        </w:rPr>
        <w:t> </w:t>
      </w:r>
      <w:r>
        <w:rPr>
          <w:sz w:val="25"/>
          <w:vertAlign w:val="baseline"/>
        </w:rPr>
        <w:t>and</w:t>
      </w:r>
    </w:p>
    <w:p>
      <w:pPr>
        <w:pStyle w:val="BodyText"/>
        <w:spacing w:before="1"/>
        <w:rPr>
          <w:sz w:val="24"/>
        </w:rPr>
      </w:pPr>
      <w:r>
        <w:rPr/>
        <w:pict>
          <v:rect style="position:absolute;margin-left:72.024002pt;margin-top:15.799688pt;width:144.020pt;height:.599980pt;mso-position-horizontal-relative:page;mso-position-vertical-relative:paragraph;z-index:-15675904;mso-wrap-distance-left:0;mso-wrap-distance-right:0" filled="true" fillcolor="#000000" stroked="false">
            <v:fill type="solid"/>
            <w10:wrap type="topAndBottom"/>
          </v:rect>
        </w:pict>
      </w:r>
    </w:p>
    <w:p>
      <w:pPr>
        <w:spacing w:line="207" w:lineRule="exact" w:before="80"/>
        <w:ind w:left="500" w:right="0" w:firstLine="0"/>
        <w:jc w:val="left"/>
        <w:rPr>
          <w:sz w:val="18"/>
        </w:rPr>
      </w:pPr>
      <w:r>
        <w:rPr>
          <w:sz w:val="18"/>
          <w:vertAlign w:val="superscript"/>
        </w:rPr>
        <w:t>189</w:t>
      </w:r>
      <w:r>
        <w:rPr>
          <w:sz w:val="18"/>
          <w:vertAlign w:val="baseline"/>
        </w:rPr>
        <w:t> Exhibit A-43- Suit 1</w:t>
      </w:r>
    </w:p>
    <w:p>
      <w:pPr>
        <w:spacing w:line="207" w:lineRule="exact" w:before="0"/>
        <w:ind w:left="500" w:right="0" w:firstLine="0"/>
        <w:jc w:val="left"/>
        <w:rPr>
          <w:sz w:val="18"/>
        </w:rPr>
      </w:pPr>
      <w:r>
        <w:rPr>
          <w:sz w:val="18"/>
          <w:vertAlign w:val="superscript"/>
        </w:rPr>
        <w:t>190</w:t>
      </w:r>
      <w:r>
        <w:rPr>
          <w:sz w:val="18"/>
          <w:vertAlign w:val="baseline"/>
        </w:rPr>
        <w:t> Exhibit –A- 51 – Suit 1</w:t>
      </w:r>
    </w:p>
    <w:p>
      <w:pPr>
        <w:spacing w:before="2"/>
        <w:ind w:left="500" w:right="0" w:firstLine="0"/>
        <w:jc w:val="left"/>
        <w:rPr>
          <w:sz w:val="18"/>
        </w:rPr>
      </w:pPr>
      <w:r>
        <w:rPr>
          <w:sz w:val="18"/>
          <w:vertAlign w:val="superscript"/>
        </w:rPr>
        <w:t>191</w:t>
      </w:r>
      <w:r>
        <w:rPr>
          <w:sz w:val="18"/>
          <w:vertAlign w:val="baseline"/>
        </w:rPr>
        <w:t> Exhibit A-45- Suit 1</w:t>
      </w:r>
    </w:p>
    <w:p>
      <w:pPr>
        <w:spacing w:line="207" w:lineRule="exact" w:before="0"/>
        <w:ind w:left="500" w:right="0" w:firstLine="0"/>
        <w:jc w:val="left"/>
        <w:rPr>
          <w:sz w:val="18"/>
        </w:rPr>
      </w:pPr>
      <w:r>
        <w:rPr>
          <w:sz w:val="18"/>
          <w:vertAlign w:val="superscript"/>
        </w:rPr>
        <w:t>192</w:t>
      </w:r>
      <w:r>
        <w:rPr>
          <w:sz w:val="18"/>
          <w:vertAlign w:val="baseline"/>
        </w:rPr>
        <w:t> Exhibit –A-44- Suit</w:t>
      </w:r>
      <w:r>
        <w:rPr>
          <w:spacing w:val="-12"/>
          <w:sz w:val="18"/>
          <w:vertAlign w:val="baseline"/>
        </w:rPr>
        <w:t> </w:t>
      </w:r>
      <w:r>
        <w:rPr>
          <w:sz w:val="18"/>
          <w:vertAlign w:val="baseline"/>
        </w:rPr>
        <w:t>1</w:t>
      </w:r>
    </w:p>
    <w:p>
      <w:pPr>
        <w:spacing w:line="206" w:lineRule="exact" w:before="0"/>
        <w:ind w:left="500" w:right="0" w:firstLine="0"/>
        <w:jc w:val="left"/>
        <w:rPr>
          <w:sz w:val="18"/>
        </w:rPr>
      </w:pPr>
      <w:r>
        <w:rPr>
          <w:sz w:val="18"/>
          <w:vertAlign w:val="superscript"/>
        </w:rPr>
        <w:t>193</w:t>
      </w:r>
      <w:r>
        <w:rPr>
          <w:sz w:val="18"/>
          <w:vertAlign w:val="baseline"/>
        </w:rPr>
        <w:t> Exhibit –A-50- Suit</w:t>
      </w:r>
      <w:r>
        <w:rPr>
          <w:spacing w:val="-12"/>
          <w:sz w:val="18"/>
          <w:vertAlign w:val="baseline"/>
        </w:rPr>
        <w:t> </w:t>
      </w:r>
      <w:r>
        <w:rPr>
          <w:sz w:val="18"/>
          <w:vertAlign w:val="baseline"/>
        </w:rPr>
        <w:t>1</w:t>
      </w:r>
    </w:p>
    <w:p>
      <w:pPr>
        <w:spacing w:line="207" w:lineRule="exact" w:before="0"/>
        <w:ind w:left="500" w:right="0" w:firstLine="0"/>
        <w:jc w:val="left"/>
        <w:rPr>
          <w:sz w:val="18"/>
        </w:rPr>
      </w:pPr>
      <w:r>
        <w:rPr>
          <w:sz w:val="18"/>
          <w:vertAlign w:val="superscript"/>
        </w:rPr>
        <w:t>194</w:t>
      </w:r>
      <w:r>
        <w:rPr>
          <w:sz w:val="18"/>
          <w:vertAlign w:val="baseline"/>
        </w:rPr>
        <w:t> Exhibit A-48- Suit 1</w:t>
      </w:r>
    </w:p>
    <w:p>
      <w:pPr>
        <w:spacing w:before="2"/>
        <w:ind w:left="500" w:right="0" w:firstLine="0"/>
        <w:jc w:val="left"/>
        <w:rPr>
          <w:sz w:val="18"/>
        </w:rPr>
      </w:pPr>
      <w:r>
        <w:rPr>
          <w:sz w:val="18"/>
          <w:vertAlign w:val="superscript"/>
        </w:rPr>
        <w:t>195</w:t>
      </w:r>
      <w:r>
        <w:rPr>
          <w:sz w:val="18"/>
          <w:vertAlign w:val="baseline"/>
        </w:rPr>
        <w:t> Exhibit A-46 – Suit 1</w:t>
      </w:r>
    </w:p>
    <w:p>
      <w:pPr>
        <w:spacing w:after="0"/>
        <w:jc w:val="left"/>
        <w:rPr>
          <w:sz w:val="18"/>
        </w:rPr>
        <w:sectPr>
          <w:pgSz w:w="11910" w:h="16840"/>
          <w:pgMar w:header="721" w:footer="1014" w:top="1300" w:bottom="1200" w:left="940" w:right="1000"/>
        </w:sectPr>
      </w:pPr>
    </w:p>
    <w:p>
      <w:pPr>
        <w:pStyle w:val="ListParagraph"/>
        <w:numPr>
          <w:ilvl w:val="1"/>
          <w:numId w:val="107"/>
        </w:numPr>
        <w:tabs>
          <w:tab w:pos="1940" w:val="left" w:leader="none"/>
          <w:tab w:pos="1941" w:val="left" w:leader="none"/>
        </w:tabs>
        <w:spacing w:line="480" w:lineRule="auto" w:before="124" w:after="0"/>
        <w:ind w:left="1940" w:right="445" w:hanging="720"/>
        <w:jc w:val="left"/>
        <w:rPr>
          <w:sz w:val="25"/>
        </w:rPr>
      </w:pPr>
      <w:r>
        <w:rPr>
          <w:sz w:val="25"/>
        </w:rPr>
        <w:t>Application of the contractor dated 30 April 1936 complaining of the deductions made from his bill for the repair of Babri</w:t>
      </w:r>
      <w:r>
        <w:rPr>
          <w:spacing w:val="-9"/>
          <w:sz w:val="25"/>
        </w:rPr>
        <w:t> </w:t>
      </w:r>
      <w:r>
        <w:rPr>
          <w:sz w:val="25"/>
        </w:rPr>
        <w:t>Masjid.</w:t>
      </w:r>
      <w:r>
        <w:rPr>
          <w:sz w:val="25"/>
          <w:vertAlign w:val="superscript"/>
        </w:rPr>
        <w:t>197</w:t>
      </w:r>
    </w:p>
    <w:p>
      <w:pPr>
        <w:pStyle w:val="BodyText"/>
        <w:spacing w:line="480" w:lineRule="auto" w:before="287"/>
        <w:ind w:left="500" w:right="440"/>
        <w:jc w:val="both"/>
      </w:pPr>
      <w:r>
        <w:rPr/>
        <w:t>The above documents which have been duly exhibited indicate that following the riots of 1934, a Muslim contractor was engaged for the repairs of the Babri Masjid. There is a reference to the damage sustained by the mosque and to the work of restoration that was carried out by the</w:t>
      </w:r>
      <w:r>
        <w:rPr>
          <w:spacing w:val="-9"/>
        </w:rPr>
        <w:t> </w:t>
      </w:r>
      <w:r>
        <w:rPr/>
        <w:t>contractor.</w:t>
      </w:r>
    </w:p>
    <w:p>
      <w:pPr>
        <w:pStyle w:val="BodyText"/>
        <w:rPr>
          <w:sz w:val="39"/>
        </w:rPr>
      </w:pPr>
    </w:p>
    <w:p>
      <w:pPr>
        <w:pStyle w:val="ListParagraph"/>
        <w:numPr>
          <w:ilvl w:val="0"/>
          <w:numId w:val="3"/>
        </w:numPr>
        <w:tabs>
          <w:tab w:pos="1221" w:val="left" w:leader="none"/>
        </w:tabs>
        <w:spacing w:line="480" w:lineRule="auto" w:before="1" w:after="0"/>
        <w:ind w:left="500" w:right="444" w:firstLine="0"/>
        <w:jc w:val="both"/>
        <w:rPr>
          <w:sz w:val="25"/>
        </w:rPr>
      </w:pPr>
      <w:r>
        <w:rPr>
          <w:sz w:val="25"/>
        </w:rPr>
        <w:t>Besides the documentary evidence relating to repair, another set of documents relates to the services of the Imam at Babri</w:t>
      </w:r>
      <w:r>
        <w:rPr>
          <w:spacing w:val="-12"/>
          <w:sz w:val="25"/>
        </w:rPr>
        <w:t> </w:t>
      </w:r>
      <w:r>
        <w:rPr>
          <w:sz w:val="25"/>
        </w:rPr>
        <w:t>Masjid:</w:t>
      </w:r>
    </w:p>
    <w:p>
      <w:pPr>
        <w:pStyle w:val="ListParagraph"/>
        <w:numPr>
          <w:ilvl w:val="0"/>
          <w:numId w:val="108"/>
        </w:numPr>
        <w:tabs>
          <w:tab w:pos="1221" w:val="left" w:leader="none"/>
        </w:tabs>
        <w:spacing w:line="480" w:lineRule="auto" w:before="158" w:after="0"/>
        <w:ind w:left="1220" w:right="437" w:hanging="720"/>
        <w:jc w:val="both"/>
        <w:rPr>
          <w:sz w:val="25"/>
        </w:rPr>
      </w:pPr>
      <w:r>
        <w:rPr>
          <w:sz w:val="25"/>
        </w:rPr>
        <w:t>An agreement/undertaking was executed by Syed Mohd Zaki, trustee of Babri Masjid on 25 July 1936 in favour of the Maulvi Abdul Ghaffar, Pesh Imam of Babri Masjid regarding the payment of his outstanding salary until 1935</w:t>
      </w:r>
      <w:r>
        <w:rPr>
          <w:sz w:val="25"/>
          <w:vertAlign w:val="superscript"/>
        </w:rPr>
        <w:t>198</w:t>
      </w:r>
      <w:r>
        <w:rPr>
          <w:sz w:val="25"/>
          <w:vertAlign w:val="baseline"/>
        </w:rPr>
        <w:t>;</w:t>
      </w:r>
    </w:p>
    <w:p>
      <w:pPr>
        <w:pStyle w:val="ListParagraph"/>
        <w:numPr>
          <w:ilvl w:val="0"/>
          <w:numId w:val="108"/>
        </w:numPr>
        <w:tabs>
          <w:tab w:pos="1221" w:val="left" w:leader="none"/>
        </w:tabs>
        <w:spacing w:line="480" w:lineRule="auto" w:before="2" w:after="0"/>
        <w:ind w:left="1220" w:right="441" w:hanging="720"/>
        <w:jc w:val="both"/>
        <w:rPr>
          <w:sz w:val="25"/>
        </w:rPr>
      </w:pPr>
      <w:r>
        <w:rPr>
          <w:sz w:val="25"/>
        </w:rPr>
        <w:t>Application of Syed Mohd Zaki dated 19/20 July 1938 before the Waqf Commissioner in response to a notice under Section 4 of the Muslim Waqf Act</w:t>
      </w:r>
      <w:r>
        <w:rPr>
          <w:spacing w:val="-1"/>
          <w:sz w:val="25"/>
        </w:rPr>
        <w:t> </w:t>
      </w:r>
      <w:r>
        <w:rPr>
          <w:sz w:val="25"/>
        </w:rPr>
        <w:t>1936</w:t>
      </w:r>
      <w:r>
        <w:rPr>
          <w:sz w:val="25"/>
          <w:vertAlign w:val="superscript"/>
        </w:rPr>
        <w:t>199</w:t>
      </w:r>
      <w:r>
        <w:rPr>
          <w:sz w:val="25"/>
          <w:vertAlign w:val="baseline"/>
        </w:rPr>
        <w:t>;</w:t>
      </w:r>
    </w:p>
    <w:p>
      <w:pPr>
        <w:pStyle w:val="ListParagraph"/>
        <w:numPr>
          <w:ilvl w:val="0"/>
          <w:numId w:val="108"/>
        </w:numPr>
        <w:tabs>
          <w:tab w:pos="1221" w:val="left" w:leader="none"/>
        </w:tabs>
        <w:spacing w:line="480" w:lineRule="auto" w:before="0" w:after="0"/>
        <w:ind w:left="1220" w:right="441" w:hanging="720"/>
        <w:jc w:val="both"/>
        <w:rPr>
          <w:sz w:val="25"/>
        </w:rPr>
      </w:pPr>
      <w:r>
        <w:rPr>
          <w:sz w:val="25"/>
        </w:rPr>
        <w:t>Application of Abdul Ghaffar, Pesh Imam Babri Masjid dated 20 August 1938 before the Waqf Commissioner, Faizabad, seeking a direction to the Mutawalli for the payment of the arrears of his salary due upto 31 July 1938</w:t>
      </w:r>
      <w:r>
        <w:rPr>
          <w:sz w:val="25"/>
          <w:vertAlign w:val="superscript"/>
        </w:rPr>
        <w:t>200</w:t>
      </w:r>
      <w:r>
        <w:rPr>
          <w:sz w:val="25"/>
          <w:vertAlign w:val="baseline"/>
        </w:rPr>
        <w:t>;</w:t>
      </w:r>
    </w:p>
    <w:p>
      <w:pPr>
        <w:pStyle w:val="BodyText"/>
        <w:rPr>
          <w:sz w:val="20"/>
        </w:rPr>
      </w:pPr>
    </w:p>
    <w:p>
      <w:pPr>
        <w:pStyle w:val="BodyText"/>
        <w:rPr>
          <w:sz w:val="20"/>
        </w:rPr>
      </w:pPr>
    </w:p>
    <w:p>
      <w:pPr>
        <w:pStyle w:val="BodyText"/>
        <w:rPr>
          <w:sz w:val="20"/>
        </w:rPr>
      </w:pPr>
    </w:p>
    <w:p>
      <w:pPr>
        <w:pStyle w:val="BodyText"/>
        <w:spacing w:before="4"/>
        <w:rPr>
          <w:sz w:val="22"/>
        </w:rPr>
      </w:pPr>
      <w:r>
        <w:rPr/>
        <w:pict>
          <v:rect style="position:absolute;margin-left:72.024002pt;margin-top:14.83464pt;width:451.39pt;height:.599980pt;mso-position-horizontal-relative:page;mso-position-vertical-relative:paragraph;z-index:-1567539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196</w:t>
      </w:r>
      <w:r>
        <w:rPr>
          <w:sz w:val="18"/>
          <w:vertAlign w:val="baseline"/>
        </w:rPr>
        <w:t> Exhibit A-47- Suit</w:t>
      </w:r>
      <w:r>
        <w:rPr>
          <w:spacing w:val="-12"/>
          <w:sz w:val="18"/>
          <w:vertAlign w:val="baseline"/>
        </w:rPr>
        <w:t> </w:t>
      </w:r>
      <w:r>
        <w:rPr>
          <w:sz w:val="18"/>
          <w:vertAlign w:val="baseline"/>
        </w:rPr>
        <w:t>1</w:t>
      </w:r>
    </w:p>
    <w:p>
      <w:pPr>
        <w:spacing w:line="207" w:lineRule="exact" w:before="0"/>
        <w:ind w:left="500" w:right="0" w:firstLine="0"/>
        <w:jc w:val="left"/>
        <w:rPr>
          <w:sz w:val="18"/>
        </w:rPr>
      </w:pPr>
      <w:r>
        <w:rPr>
          <w:sz w:val="18"/>
          <w:vertAlign w:val="superscript"/>
        </w:rPr>
        <w:t>197</w:t>
      </w:r>
      <w:r>
        <w:rPr>
          <w:sz w:val="18"/>
          <w:vertAlign w:val="baseline"/>
        </w:rPr>
        <w:t> Exhibit A-52- Suit</w:t>
      </w:r>
      <w:r>
        <w:rPr>
          <w:spacing w:val="-12"/>
          <w:sz w:val="18"/>
          <w:vertAlign w:val="baseline"/>
        </w:rPr>
        <w:t> </w:t>
      </w:r>
      <w:r>
        <w:rPr>
          <w:sz w:val="18"/>
          <w:vertAlign w:val="baseline"/>
        </w:rPr>
        <w:t>1</w:t>
      </w:r>
    </w:p>
    <w:p>
      <w:pPr>
        <w:spacing w:line="206" w:lineRule="exact" w:before="0"/>
        <w:ind w:left="500" w:right="0" w:firstLine="0"/>
        <w:jc w:val="left"/>
        <w:rPr>
          <w:sz w:val="18"/>
        </w:rPr>
      </w:pPr>
      <w:r>
        <w:rPr>
          <w:sz w:val="18"/>
          <w:vertAlign w:val="superscript"/>
        </w:rPr>
        <w:t>198</w:t>
      </w:r>
      <w:r>
        <w:rPr>
          <w:sz w:val="18"/>
          <w:vertAlign w:val="baseline"/>
        </w:rPr>
        <w:t> Exhibit A-7- Suit 1</w:t>
      </w:r>
    </w:p>
    <w:p>
      <w:pPr>
        <w:spacing w:line="207" w:lineRule="exact" w:before="0"/>
        <w:ind w:left="500" w:right="0" w:firstLine="0"/>
        <w:jc w:val="left"/>
        <w:rPr>
          <w:sz w:val="18"/>
        </w:rPr>
      </w:pPr>
      <w:r>
        <w:rPr>
          <w:sz w:val="18"/>
          <w:vertAlign w:val="superscript"/>
        </w:rPr>
        <w:t>199</w:t>
      </w:r>
      <w:r>
        <w:rPr>
          <w:sz w:val="18"/>
          <w:vertAlign w:val="baseline"/>
        </w:rPr>
        <w:t> Exhibit A- 67- Suit</w:t>
      </w:r>
      <w:r>
        <w:rPr>
          <w:spacing w:val="-12"/>
          <w:sz w:val="18"/>
          <w:vertAlign w:val="baseline"/>
        </w:rPr>
        <w:t> </w:t>
      </w:r>
      <w:r>
        <w:rPr>
          <w:sz w:val="18"/>
          <w:vertAlign w:val="baseline"/>
        </w:rPr>
        <w:t>1</w:t>
      </w:r>
    </w:p>
    <w:p>
      <w:pPr>
        <w:spacing w:before="2"/>
        <w:ind w:left="500" w:right="0" w:firstLine="0"/>
        <w:jc w:val="left"/>
        <w:rPr>
          <w:sz w:val="18"/>
        </w:rPr>
      </w:pPr>
      <w:r>
        <w:rPr>
          <w:sz w:val="18"/>
          <w:vertAlign w:val="superscript"/>
        </w:rPr>
        <w:t>200</w:t>
      </w:r>
      <w:r>
        <w:rPr>
          <w:sz w:val="18"/>
          <w:vertAlign w:val="baseline"/>
        </w:rPr>
        <w:t> Exhibit A- 61- Suit</w:t>
      </w:r>
      <w:r>
        <w:rPr>
          <w:spacing w:val="-12"/>
          <w:sz w:val="18"/>
          <w:vertAlign w:val="baseline"/>
        </w:rPr>
        <w:t> </w:t>
      </w:r>
      <w:r>
        <w:rPr>
          <w:sz w:val="18"/>
          <w:vertAlign w:val="baseline"/>
        </w:rPr>
        <w:t>1</w:t>
      </w:r>
    </w:p>
    <w:p>
      <w:pPr>
        <w:spacing w:after="0"/>
        <w:jc w:val="left"/>
        <w:rPr>
          <w:sz w:val="18"/>
        </w:rPr>
        <w:sectPr>
          <w:pgSz w:w="11910" w:h="16840"/>
          <w:pgMar w:header="721" w:footer="1014" w:top="1300" w:bottom="1200" w:left="940" w:right="1000"/>
        </w:sectPr>
      </w:pPr>
    </w:p>
    <w:p>
      <w:pPr>
        <w:pStyle w:val="ListParagraph"/>
        <w:numPr>
          <w:ilvl w:val="0"/>
          <w:numId w:val="108"/>
        </w:numPr>
        <w:tabs>
          <w:tab w:pos="1221" w:val="left" w:leader="none"/>
        </w:tabs>
        <w:spacing w:line="480" w:lineRule="auto" w:before="124" w:after="0"/>
        <w:ind w:left="1220" w:right="437" w:hanging="720"/>
        <w:jc w:val="both"/>
        <w:rPr>
          <w:sz w:val="25"/>
        </w:rPr>
      </w:pPr>
      <w:r>
        <w:rPr>
          <w:sz w:val="25"/>
        </w:rPr>
        <w:t>Reply of the brother of Syed Mohd Zaki (the former Mutawalli) dated 20 November 1943 to the notice of the Sunni Waqf Board dated 27 October 1943.</w:t>
      </w:r>
      <w:r>
        <w:rPr>
          <w:sz w:val="25"/>
          <w:vertAlign w:val="superscript"/>
        </w:rPr>
        <w:t>201</w:t>
      </w:r>
      <w:r>
        <w:rPr>
          <w:sz w:val="25"/>
          <w:vertAlign w:val="baseline"/>
        </w:rPr>
        <w:t> The letter contains a clear reference to the arrangement made for maintaining the daily needs for the mosque as well as the requirements for Friday</w:t>
      </w:r>
      <w:r>
        <w:rPr>
          <w:spacing w:val="-3"/>
          <w:sz w:val="25"/>
          <w:vertAlign w:val="baseline"/>
        </w:rPr>
        <w:t> </w:t>
      </w:r>
      <w:r>
        <w:rPr>
          <w:sz w:val="25"/>
          <w:vertAlign w:val="baseline"/>
        </w:rPr>
        <w:t>prayers:</w:t>
      </w:r>
    </w:p>
    <w:p>
      <w:pPr>
        <w:spacing w:line="276" w:lineRule="auto" w:before="0"/>
        <w:ind w:left="1940" w:right="2260" w:firstLine="0"/>
        <w:jc w:val="both"/>
        <w:rPr>
          <w:sz w:val="21"/>
        </w:rPr>
      </w:pPr>
      <w:r>
        <w:rPr>
          <w:spacing w:val="-1"/>
          <w:w w:val="33"/>
          <w:sz w:val="21"/>
        </w:rPr>
        <w:t>―</w:t>
      </w:r>
      <w:r>
        <w:rPr>
          <w:w w:val="100"/>
          <w:sz w:val="21"/>
        </w:rPr>
        <w:t>Th</w:t>
      </w:r>
      <w:r>
        <w:rPr>
          <w:spacing w:val="-1"/>
          <w:w w:val="100"/>
          <w:sz w:val="21"/>
        </w:rPr>
        <w:t>a</w:t>
      </w:r>
      <w:r>
        <w:rPr>
          <w:w w:val="100"/>
          <w:sz w:val="21"/>
        </w:rPr>
        <w:t>t</w:t>
      </w:r>
      <w:r>
        <w:rPr>
          <w:sz w:val="21"/>
        </w:rPr>
        <w:t> </w:t>
      </w:r>
      <w:r>
        <w:rPr>
          <w:spacing w:val="1"/>
          <w:w w:val="100"/>
          <w:sz w:val="21"/>
        </w:rPr>
        <w:t>m</w:t>
      </w:r>
      <w:r>
        <w:rPr>
          <w:spacing w:val="-1"/>
          <w:w w:val="100"/>
          <w:sz w:val="21"/>
        </w:rPr>
        <w:t>at</w:t>
      </w:r>
      <w:r>
        <w:rPr>
          <w:w w:val="100"/>
          <w:sz w:val="21"/>
        </w:rPr>
        <w:t>,</w:t>
      </w:r>
      <w:r>
        <w:rPr>
          <w:spacing w:val="2"/>
          <w:sz w:val="21"/>
        </w:rPr>
        <w:t> </w:t>
      </w:r>
      <w:r>
        <w:rPr>
          <w:spacing w:val="1"/>
          <w:w w:val="100"/>
          <w:sz w:val="21"/>
        </w:rPr>
        <w:t>f</w:t>
      </w:r>
      <w:r>
        <w:rPr>
          <w:spacing w:val="-2"/>
          <w:w w:val="100"/>
          <w:sz w:val="21"/>
        </w:rPr>
        <w:t>l</w:t>
      </w:r>
      <w:r>
        <w:rPr>
          <w:spacing w:val="-1"/>
          <w:w w:val="100"/>
          <w:sz w:val="21"/>
        </w:rPr>
        <w:t>oo</w:t>
      </w:r>
      <w:r>
        <w:rPr>
          <w:w w:val="100"/>
          <w:sz w:val="21"/>
        </w:rPr>
        <w:t>r</w:t>
      </w:r>
      <w:r>
        <w:rPr>
          <w:spacing w:val="3"/>
          <w:sz w:val="21"/>
        </w:rPr>
        <w:t> </w:t>
      </w:r>
      <w:r>
        <w:rPr>
          <w:w w:val="100"/>
          <w:sz w:val="21"/>
        </w:rPr>
        <w:t>c</w:t>
      </w:r>
      <w:r>
        <w:rPr>
          <w:spacing w:val="-2"/>
          <w:w w:val="100"/>
          <w:sz w:val="21"/>
        </w:rPr>
        <w:t>l</w:t>
      </w:r>
      <w:r>
        <w:rPr>
          <w:spacing w:val="-1"/>
          <w:w w:val="100"/>
          <w:sz w:val="21"/>
        </w:rPr>
        <w:t>ot</w:t>
      </w:r>
      <w:r>
        <w:rPr>
          <w:w w:val="100"/>
          <w:sz w:val="21"/>
        </w:rPr>
        <w:t>h</w:t>
      </w:r>
      <w:r>
        <w:rPr>
          <w:spacing w:val="3"/>
          <w:sz w:val="21"/>
        </w:rPr>
        <w:t> </w:t>
      </w:r>
      <w:r>
        <w:rPr>
          <w:spacing w:val="-1"/>
          <w:w w:val="100"/>
          <w:sz w:val="21"/>
        </w:rPr>
        <w:t>an</w:t>
      </w:r>
      <w:r>
        <w:rPr>
          <w:w w:val="100"/>
          <w:sz w:val="21"/>
        </w:rPr>
        <w:t>d</w:t>
      </w:r>
      <w:r>
        <w:rPr>
          <w:spacing w:val="2"/>
          <w:sz w:val="21"/>
        </w:rPr>
        <w:t> </w:t>
      </w:r>
      <w:r>
        <w:rPr>
          <w:w w:val="100"/>
          <w:sz w:val="21"/>
        </w:rPr>
        <w:t>j</w:t>
      </w:r>
      <w:r>
        <w:rPr>
          <w:spacing w:val="-1"/>
          <w:w w:val="100"/>
          <w:sz w:val="21"/>
        </w:rPr>
        <w:t>a</w:t>
      </w:r>
      <w:r>
        <w:rPr>
          <w:spacing w:val="-3"/>
          <w:w w:val="100"/>
          <w:sz w:val="21"/>
        </w:rPr>
        <w:t>na</w:t>
      </w:r>
      <w:r>
        <w:rPr>
          <w:spacing w:val="1"/>
          <w:w w:val="100"/>
          <w:sz w:val="21"/>
        </w:rPr>
        <w:t>m</w:t>
      </w:r>
      <w:r>
        <w:rPr>
          <w:spacing w:val="-1"/>
          <w:w w:val="100"/>
          <w:sz w:val="21"/>
        </w:rPr>
        <w:t>aa</w:t>
      </w:r>
      <w:r>
        <w:rPr>
          <w:w w:val="100"/>
          <w:sz w:val="21"/>
        </w:rPr>
        <w:t>z</w:t>
      </w:r>
      <w:r>
        <w:rPr>
          <w:spacing w:val="4"/>
          <w:sz w:val="21"/>
        </w:rPr>
        <w:t> </w:t>
      </w:r>
      <w:r>
        <w:rPr>
          <w:w w:val="100"/>
          <w:sz w:val="21"/>
        </w:rPr>
        <w:t>–</w:t>
      </w:r>
      <w:r>
        <w:rPr>
          <w:spacing w:val="4"/>
          <w:sz w:val="21"/>
        </w:rPr>
        <w:t> </w:t>
      </w:r>
      <w:r>
        <w:rPr>
          <w:w w:val="100"/>
          <w:sz w:val="21"/>
        </w:rPr>
        <w:t>pra</w:t>
      </w:r>
      <w:r>
        <w:rPr>
          <w:spacing w:val="-3"/>
          <w:w w:val="100"/>
          <w:sz w:val="21"/>
        </w:rPr>
        <w:t>y</w:t>
      </w:r>
      <w:r>
        <w:rPr>
          <w:w w:val="100"/>
          <w:sz w:val="21"/>
        </w:rPr>
        <w:t>er</w:t>
      </w:r>
      <w:r>
        <w:rPr>
          <w:spacing w:val="3"/>
          <w:sz w:val="21"/>
        </w:rPr>
        <w:t> </w:t>
      </w:r>
      <w:r>
        <w:rPr>
          <w:spacing w:val="-1"/>
          <w:w w:val="100"/>
          <w:sz w:val="21"/>
        </w:rPr>
        <w:t>r</w:t>
      </w:r>
      <w:r>
        <w:rPr>
          <w:w w:val="100"/>
          <w:sz w:val="21"/>
        </w:rPr>
        <w:t>ug</w:t>
      </w:r>
      <w:r>
        <w:rPr>
          <w:spacing w:val="4"/>
          <w:sz w:val="21"/>
        </w:rPr>
        <w:t> </w:t>
      </w:r>
      <w:r>
        <w:rPr>
          <w:w w:val="100"/>
          <w:sz w:val="21"/>
        </w:rPr>
        <w:t>e</w:t>
      </w:r>
      <w:r>
        <w:rPr>
          <w:spacing w:val="-1"/>
          <w:w w:val="100"/>
          <w:sz w:val="21"/>
        </w:rPr>
        <w:t>t</w:t>
      </w:r>
      <w:r>
        <w:rPr>
          <w:w w:val="100"/>
          <w:sz w:val="21"/>
        </w:rPr>
        <w:t>c.</w:t>
      </w:r>
      <w:r>
        <w:rPr>
          <w:spacing w:val="2"/>
          <w:sz w:val="21"/>
        </w:rPr>
        <w:t> </w:t>
      </w:r>
      <w:r>
        <w:rPr>
          <w:w w:val="100"/>
          <w:sz w:val="21"/>
        </w:rPr>
        <w:t>are</w:t>
      </w:r>
      <w:r>
        <w:rPr>
          <w:spacing w:val="3"/>
          <w:sz w:val="21"/>
        </w:rPr>
        <w:t> </w:t>
      </w:r>
      <w:r>
        <w:rPr>
          <w:spacing w:val="2"/>
          <w:w w:val="100"/>
          <w:sz w:val="21"/>
        </w:rPr>
        <w:t>k</w:t>
      </w:r>
      <w:r>
        <w:rPr>
          <w:spacing w:val="-3"/>
          <w:w w:val="100"/>
          <w:sz w:val="21"/>
        </w:rPr>
        <w:t>e</w:t>
      </w:r>
      <w:r>
        <w:rPr>
          <w:w w:val="100"/>
          <w:sz w:val="21"/>
        </w:rPr>
        <w:t>pt </w:t>
      </w:r>
      <w:r>
        <w:rPr>
          <w:sz w:val="21"/>
        </w:rPr>
        <w:t>sufficient for daily needs only. Other floor cloth and prayer rugs are kept with the Maulavi Abdul Ghaffar, Pesh Imam. These are brought to the mosque on every Friday and are kept back in the same place after Jumah prayers because floor cloth often gets stolen from the masjid. It is for the reason that all mats and floor cloth are not kept in the</w:t>
      </w:r>
      <w:r>
        <w:rPr>
          <w:spacing w:val="-33"/>
          <w:sz w:val="21"/>
        </w:rPr>
        <w:t> </w:t>
      </w:r>
      <w:r>
        <w:rPr>
          <w:sz w:val="21"/>
        </w:rPr>
        <w:t>masjid.‖</w:t>
      </w:r>
    </w:p>
    <w:p>
      <w:pPr>
        <w:pStyle w:val="BodyText"/>
        <w:rPr>
          <w:sz w:val="24"/>
        </w:rPr>
      </w:pPr>
    </w:p>
    <w:p>
      <w:pPr>
        <w:pStyle w:val="BodyText"/>
        <w:spacing w:before="1"/>
        <w:rPr>
          <w:sz w:val="21"/>
        </w:rPr>
      </w:pPr>
    </w:p>
    <w:p>
      <w:pPr>
        <w:pStyle w:val="ListParagraph"/>
        <w:numPr>
          <w:ilvl w:val="0"/>
          <w:numId w:val="108"/>
        </w:numPr>
        <w:tabs>
          <w:tab w:pos="1221" w:val="left" w:leader="none"/>
        </w:tabs>
        <w:spacing w:line="480" w:lineRule="auto" w:before="1" w:after="0"/>
        <w:ind w:left="1220" w:right="443" w:hanging="720"/>
        <w:jc w:val="both"/>
        <w:rPr>
          <w:sz w:val="25"/>
        </w:rPr>
      </w:pPr>
      <w:r>
        <w:rPr>
          <w:sz w:val="25"/>
        </w:rPr>
        <w:t>Notice dated 11 April 1945 of the Shia Waqf Board to the Sunni Waqf Board before instituting a suit under Section 5(2) of the UP Muslim Waqf Act 1936, challenging the notification dated 26 February 1944 declaring the mosque as a Sunni</w:t>
      </w:r>
      <w:r>
        <w:rPr>
          <w:spacing w:val="-3"/>
          <w:sz w:val="25"/>
        </w:rPr>
        <w:t> </w:t>
      </w:r>
      <w:r>
        <w:rPr>
          <w:sz w:val="25"/>
        </w:rPr>
        <w:t>Waqf</w:t>
      </w:r>
      <w:r>
        <w:rPr>
          <w:sz w:val="25"/>
          <w:vertAlign w:val="superscript"/>
        </w:rPr>
        <w:t>202</w:t>
      </w:r>
      <w:r>
        <w:rPr>
          <w:sz w:val="25"/>
          <w:vertAlign w:val="baseline"/>
        </w:rPr>
        <w:t>;</w:t>
      </w:r>
    </w:p>
    <w:p>
      <w:pPr>
        <w:pStyle w:val="ListParagraph"/>
        <w:numPr>
          <w:ilvl w:val="0"/>
          <w:numId w:val="108"/>
        </w:numPr>
        <w:tabs>
          <w:tab w:pos="1221" w:val="left" w:leader="none"/>
        </w:tabs>
        <w:spacing w:line="480" w:lineRule="auto" w:before="0" w:after="0"/>
        <w:ind w:left="1220" w:right="445" w:hanging="720"/>
        <w:jc w:val="both"/>
        <w:rPr>
          <w:sz w:val="25"/>
        </w:rPr>
      </w:pPr>
      <w:r>
        <w:rPr>
          <w:sz w:val="25"/>
        </w:rPr>
        <w:t>Notice dated 25 November 1948 of the Secretary, Sunni Waqf Board about charge of Tauliat due to the death of the</w:t>
      </w:r>
      <w:r>
        <w:rPr>
          <w:spacing w:val="-5"/>
          <w:sz w:val="25"/>
        </w:rPr>
        <w:t> </w:t>
      </w:r>
      <w:r>
        <w:rPr>
          <w:sz w:val="25"/>
        </w:rPr>
        <w:t>Mutawalli</w:t>
      </w:r>
      <w:r>
        <w:rPr>
          <w:sz w:val="25"/>
          <w:vertAlign w:val="superscript"/>
        </w:rPr>
        <w:t>203</w:t>
      </w:r>
      <w:r>
        <w:rPr>
          <w:sz w:val="25"/>
          <w:vertAlign w:val="baseline"/>
        </w:rPr>
        <w:t>;</w:t>
      </w:r>
    </w:p>
    <w:p>
      <w:pPr>
        <w:pStyle w:val="ListParagraph"/>
        <w:numPr>
          <w:ilvl w:val="0"/>
          <w:numId w:val="108"/>
        </w:numPr>
        <w:tabs>
          <w:tab w:pos="1221" w:val="left" w:leader="none"/>
        </w:tabs>
        <w:spacing w:line="480" w:lineRule="auto" w:before="0" w:after="0"/>
        <w:ind w:left="1220" w:right="445" w:hanging="720"/>
        <w:jc w:val="both"/>
        <w:rPr>
          <w:sz w:val="25"/>
        </w:rPr>
      </w:pPr>
      <w:r>
        <w:rPr>
          <w:sz w:val="25"/>
        </w:rPr>
        <w:t>The report of the Waqf Inspector dated 10/12 December 1949 regarding the harassment of Muslims while going for prayers</w:t>
      </w:r>
      <w:r>
        <w:rPr>
          <w:sz w:val="25"/>
          <w:vertAlign w:val="superscript"/>
        </w:rPr>
        <w:t>204</w:t>
      </w:r>
      <w:r>
        <w:rPr>
          <w:sz w:val="25"/>
          <w:vertAlign w:val="baseline"/>
        </w:rPr>
        <w:t>;</w:t>
      </w:r>
      <w:r>
        <w:rPr>
          <w:spacing w:val="-3"/>
          <w:sz w:val="25"/>
          <w:vertAlign w:val="baseline"/>
        </w:rPr>
        <w:t> </w:t>
      </w:r>
      <w:r>
        <w:rPr>
          <w:sz w:val="25"/>
          <w:vertAlign w:val="baseline"/>
        </w:rPr>
        <w:t>and</w:t>
      </w:r>
    </w:p>
    <w:p>
      <w:pPr>
        <w:pStyle w:val="ListParagraph"/>
        <w:numPr>
          <w:ilvl w:val="0"/>
          <w:numId w:val="108"/>
        </w:numPr>
        <w:tabs>
          <w:tab w:pos="1221" w:val="left" w:leader="none"/>
        </w:tabs>
        <w:spacing w:line="480" w:lineRule="auto" w:before="2" w:after="0"/>
        <w:ind w:left="1220" w:right="444" w:hanging="720"/>
        <w:jc w:val="both"/>
        <w:rPr>
          <w:sz w:val="25"/>
        </w:rPr>
      </w:pPr>
      <w:r>
        <w:rPr>
          <w:sz w:val="25"/>
        </w:rPr>
        <w:t>Report of Waqf Inspector dated 23 December 1949 in regard to the condition of Babri Masjid, stating that keys remained with the Muslims and only Friday prayers were being</w:t>
      </w:r>
      <w:r>
        <w:rPr>
          <w:spacing w:val="-7"/>
          <w:sz w:val="25"/>
        </w:rPr>
        <w:t> </w:t>
      </w:r>
      <w:r>
        <w:rPr>
          <w:sz w:val="25"/>
        </w:rPr>
        <w:t>offered</w:t>
      </w:r>
      <w:r>
        <w:rPr>
          <w:sz w:val="25"/>
          <w:vertAlign w:val="superscript"/>
        </w:rPr>
        <w:t>205</w:t>
      </w:r>
      <w:r>
        <w:rPr>
          <w:sz w:val="25"/>
          <w:vertAlign w:val="baseline"/>
        </w:rPr>
        <w:t>:</w:t>
      </w:r>
    </w:p>
    <w:p>
      <w:pPr>
        <w:spacing w:line="276" w:lineRule="auto" w:before="0"/>
        <w:ind w:left="1940" w:right="2261" w:firstLine="0"/>
        <w:jc w:val="both"/>
        <w:rPr>
          <w:sz w:val="21"/>
        </w:rPr>
      </w:pPr>
      <w:r>
        <w:rPr>
          <w:spacing w:val="-1"/>
          <w:w w:val="33"/>
          <w:sz w:val="21"/>
        </w:rPr>
        <w:t>―</w:t>
      </w:r>
      <w:r>
        <w:rPr>
          <w:w w:val="100"/>
          <w:sz w:val="21"/>
        </w:rPr>
        <w:t>I</w:t>
      </w:r>
      <w:r>
        <w:rPr>
          <w:sz w:val="21"/>
        </w:rPr>
        <w:t> </w:t>
      </w:r>
      <w:r>
        <w:rPr>
          <w:spacing w:val="-15"/>
          <w:sz w:val="21"/>
        </w:rPr>
        <w:t> </w:t>
      </w:r>
      <w:r>
        <w:rPr>
          <w:spacing w:val="-1"/>
          <w:w w:val="100"/>
          <w:sz w:val="21"/>
        </w:rPr>
        <w:t>ha</w:t>
      </w:r>
      <w:r>
        <w:rPr>
          <w:w w:val="100"/>
          <w:sz w:val="21"/>
        </w:rPr>
        <w:t>d</w:t>
      </w:r>
      <w:r>
        <w:rPr>
          <w:sz w:val="21"/>
        </w:rPr>
        <w:t> </w:t>
      </w:r>
      <w:r>
        <w:rPr>
          <w:spacing w:val="-14"/>
          <w:sz w:val="21"/>
        </w:rPr>
        <w:t> </w:t>
      </w:r>
      <w:r>
        <w:rPr>
          <w:spacing w:val="-2"/>
          <w:w w:val="100"/>
          <w:sz w:val="21"/>
        </w:rPr>
        <w:t>t</w:t>
      </w:r>
      <w:r>
        <w:rPr>
          <w:w w:val="100"/>
          <w:sz w:val="21"/>
        </w:rPr>
        <w:t>o</w:t>
      </w:r>
      <w:r>
        <w:rPr>
          <w:sz w:val="21"/>
        </w:rPr>
        <w:t> </w:t>
      </w:r>
      <w:r>
        <w:rPr>
          <w:spacing w:val="-14"/>
          <w:sz w:val="21"/>
        </w:rPr>
        <w:t> </w:t>
      </w:r>
      <w:r>
        <w:rPr>
          <w:w w:val="100"/>
          <w:sz w:val="21"/>
        </w:rPr>
        <w:t>i</w:t>
      </w:r>
      <w:r>
        <w:rPr>
          <w:spacing w:val="-3"/>
          <w:w w:val="100"/>
          <w:sz w:val="21"/>
        </w:rPr>
        <w:t>n</w:t>
      </w:r>
      <w:r>
        <w:rPr>
          <w:spacing w:val="-1"/>
          <w:w w:val="100"/>
          <w:sz w:val="21"/>
        </w:rPr>
        <w:t>q</w:t>
      </w:r>
      <w:r>
        <w:rPr>
          <w:spacing w:val="-3"/>
          <w:w w:val="100"/>
          <w:sz w:val="21"/>
        </w:rPr>
        <w:t>u</w:t>
      </w:r>
      <w:r>
        <w:rPr>
          <w:w w:val="100"/>
          <w:sz w:val="21"/>
        </w:rPr>
        <w:t>i</w:t>
      </w:r>
      <w:r>
        <w:rPr>
          <w:spacing w:val="-1"/>
          <w:w w:val="100"/>
          <w:sz w:val="21"/>
        </w:rPr>
        <w:t>r</w:t>
      </w:r>
      <w:r>
        <w:rPr>
          <w:w w:val="100"/>
          <w:sz w:val="21"/>
        </w:rPr>
        <w:t>e</w:t>
      </w:r>
      <w:r>
        <w:rPr>
          <w:sz w:val="21"/>
        </w:rPr>
        <w:t> </w:t>
      </w:r>
      <w:r>
        <w:rPr>
          <w:spacing w:val="-14"/>
          <w:sz w:val="21"/>
        </w:rPr>
        <w:t> </w:t>
      </w:r>
      <w:r>
        <w:rPr>
          <w:spacing w:val="-2"/>
          <w:w w:val="100"/>
          <w:sz w:val="21"/>
        </w:rPr>
        <w:t>i</w:t>
      </w:r>
      <w:r>
        <w:rPr>
          <w:spacing w:val="-1"/>
          <w:w w:val="100"/>
          <w:sz w:val="21"/>
        </w:rPr>
        <w:t>nt</w:t>
      </w:r>
      <w:r>
        <w:rPr>
          <w:w w:val="100"/>
          <w:sz w:val="21"/>
        </w:rPr>
        <w:t>o</w:t>
      </w:r>
      <w:r>
        <w:rPr>
          <w:sz w:val="21"/>
        </w:rPr>
        <w:t> </w:t>
      </w:r>
      <w:r>
        <w:rPr>
          <w:spacing w:val="-14"/>
          <w:sz w:val="21"/>
        </w:rPr>
        <w:t> </w:t>
      </w:r>
      <w:r>
        <w:rPr>
          <w:spacing w:val="-2"/>
          <w:w w:val="100"/>
          <w:sz w:val="21"/>
        </w:rPr>
        <w:t>t</w:t>
      </w:r>
      <w:r>
        <w:rPr>
          <w:spacing w:val="-1"/>
          <w:w w:val="100"/>
          <w:sz w:val="21"/>
        </w:rPr>
        <w:t>h</w:t>
      </w:r>
      <w:r>
        <w:rPr>
          <w:w w:val="100"/>
          <w:sz w:val="21"/>
        </w:rPr>
        <w:t>e</w:t>
      </w:r>
      <w:r>
        <w:rPr>
          <w:sz w:val="21"/>
        </w:rPr>
        <w:t> </w:t>
      </w:r>
      <w:r>
        <w:rPr>
          <w:spacing w:val="-16"/>
          <w:sz w:val="21"/>
        </w:rPr>
        <w:t> </w:t>
      </w:r>
      <w:r>
        <w:rPr>
          <w:spacing w:val="-1"/>
          <w:w w:val="100"/>
          <w:sz w:val="21"/>
        </w:rPr>
        <w:t>presen</w:t>
      </w:r>
      <w:r>
        <w:rPr>
          <w:w w:val="100"/>
          <w:sz w:val="21"/>
        </w:rPr>
        <w:t>t</w:t>
      </w:r>
      <w:r>
        <w:rPr>
          <w:sz w:val="21"/>
        </w:rPr>
        <w:t> </w:t>
      </w:r>
      <w:r>
        <w:rPr>
          <w:spacing w:val="-15"/>
          <w:sz w:val="21"/>
        </w:rPr>
        <w:t> </w:t>
      </w:r>
      <w:r>
        <w:rPr>
          <w:spacing w:val="-3"/>
          <w:w w:val="100"/>
          <w:sz w:val="21"/>
        </w:rPr>
        <w:t>c</w:t>
      </w:r>
      <w:r>
        <w:rPr>
          <w:spacing w:val="-1"/>
          <w:w w:val="100"/>
          <w:sz w:val="21"/>
        </w:rPr>
        <w:t>on</w:t>
      </w:r>
      <w:r>
        <w:rPr>
          <w:spacing w:val="-2"/>
          <w:w w:val="100"/>
          <w:sz w:val="21"/>
        </w:rPr>
        <w:t>d</w:t>
      </w:r>
      <w:r>
        <w:rPr>
          <w:w w:val="100"/>
          <w:sz w:val="21"/>
        </w:rPr>
        <w:t>i</w:t>
      </w:r>
      <w:r>
        <w:rPr>
          <w:spacing w:val="-2"/>
          <w:w w:val="100"/>
          <w:sz w:val="21"/>
        </w:rPr>
        <w:t>t</w:t>
      </w:r>
      <w:r>
        <w:rPr>
          <w:w w:val="100"/>
          <w:sz w:val="21"/>
        </w:rPr>
        <w:t>i</w:t>
      </w:r>
      <w:r>
        <w:rPr>
          <w:spacing w:val="-3"/>
          <w:w w:val="100"/>
          <w:sz w:val="21"/>
        </w:rPr>
        <w:t>o</w:t>
      </w:r>
      <w:r>
        <w:rPr>
          <w:w w:val="100"/>
          <w:sz w:val="21"/>
        </w:rPr>
        <w:t>n</w:t>
      </w:r>
      <w:r>
        <w:rPr>
          <w:sz w:val="21"/>
        </w:rPr>
        <w:t> </w:t>
      </w:r>
      <w:r>
        <w:rPr>
          <w:spacing w:val="-14"/>
          <w:sz w:val="21"/>
        </w:rPr>
        <w:t> </w:t>
      </w:r>
      <w:r>
        <w:rPr>
          <w:spacing w:val="-3"/>
          <w:w w:val="100"/>
          <w:sz w:val="21"/>
        </w:rPr>
        <w:t>o</w:t>
      </w:r>
      <w:r>
        <w:rPr>
          <w:w w:val="100"/>
          <w:sz w:val="21"/>
        </w:rPr>
        <w:t>f</w:t>
      </w:r>
      <w:r>
        <w:rPr>
          <w:sz w:val="21"/>
        </w:rPr>
        <w:t> </w:t>
      </w:r>
      <w:r>
        <w:rPr>
          <w:spacing w:val="-9"/>
          <w:sz w:val="21"/>
        </w:rPr>
        <w:t> </w:t>
      </w:r>
      <w:r>
        <w:rPr>
          <w:spacing w:val="-2"/>
          <w:w w:val="100"/>
          <w:sz w:val="21"/>
        </w:rPr>
        <w:t>B</w:t>
      </w:r>
      <w:r>
        <w:rPr>
          <w:spacing w:val="-3"/>
          <w:w w:val="100"/>
          <w:sz w:val="21"/>
        </w:rPr>
        <w:t>a</w:t>
      </w:r>
      <w:r>
        <w:rPr>
          <w:w w:val="100"/>
          <w:sz w:val="21"/>
        </w:rPr>
        <w:t>bri</w:t>
      </w:r>
      <w:r>
        <w:rPr>
          <w:sz w:val="21"/>
        </w:rPr>
        <w:t> </w:t>
      </w:r>
      <w:r>
        <w:rPr>
          <w:spacing w:val="-14"/>
          <w:sz w:val="21"/>
        </w:rPr>
        <w:t> </w:t>
      </w:r>
      <w:r>
        <w:rPr>
          <w:spacing w:val="-1"/>
          <w:w w:val="100"/>
          <w:sz w:val="21"/>
        </w:rPr>
        <w:t>M</w:t>
      </w:r>
      <w:r>
        <w:rPr>
          <w:w w:val="100"/>
          <w:sz w:val="21"/>
        </w:rPr>
        <w:t>a</w:t>
      </w:r>
      <w:r>
        <w:rPr>
          <w:spacing w:val="-3"/>
          <w:w w:val="100"/>
          <w:sz w:val="21"/>
        </w:rPr>
        <w:t>s</w:t>
      </w:r>
      <w:r>
        <w:rPr>
          <w:spacing w:val="-2"/>
          <w:w w:val="100"/>
          <w:sz w:val="21"/>
        </w:rPr>
        <w:t>j</w:t>
      </w:r>
      <w:r>
        <w:rPr>
          <w:w w:val="100"/>
          <w:sz w:val="21"/>
        </w:rPr>
        <w:t>i</w:t>
      </w:r>
      <w:r>
        <w:rPr>
          <w:w w:val="100"/>
          <w:sz w:val="21"/>
        </w:rPr>
        <w:t>d </w:t>
      </w:r>
      <w:r>
        <w:rPr>
          <w:sz w:val="21"/>
        </w:rPr>
        <w:t>Ayodhya and Qabrastan (graveyard) on 22</w:t>
      </w:r>
      <w:r>
        <w:rPr>
          <w:sz w:val="21"/>
          <w:vertAlign w:val="superscript"/>
        </w:rPr>
        <w:t>nd</w:t>
      </w:r>
      <w:r>
        <w:rPr>
          <w:sz w:val="21"/>
          <w:vertAlign w:val="baseline"/>
        </w:rPr>
        <w:t> December, 49 I spent the whole day making inquiry. My inquiry made</w:t>
      </w:r>
      <w:r>
        <w:rPr>
          <w:spacing w:val="-13"/>
          <w:sz w:val="21"/>
          <w:vertAlign w:val="baseline"/>
        </w:rPr>
        <w:t> </w:t>
      </w:r>
      <w:r>
        <w:rPr>
          <w:sz w:val="21"/>
          <w:vertAlign w:val="baseline"/>
        </w:rPr>
        <w:t>me</w:t>
      </w:r>
    </w:p>
    <w:p>
      <w:pPr>
        <w:pStyle w:val="BodyText"/>
        <w:spacing w:before="6"/>
        <w:rPr>
          <w:sz w:val="23"/>
        </w:rPr>
      </w:pPr>
      <w:r>
        <w:rPr/>
        <w:pict>
          <v:rect style="position:absolute;margin-left:72.024002pt;margin-top:15.47397pt;width:144.020pt;height:.599980pt;mso-position-horizontal-relative:page;mso-position-vertical-relative:paragraph;z-index:-1567488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201</w:t>
      </w:r>
      <w:r>
        <w:rPr>
          <w:sz w:val="18"/>
          <w:vertAlign w:val="baseline"/>
        </w:rPr>
        <w:t> Exhibit A-66- Suit</w:t>
      </w:r>
      <w:r>
        <w:rPr>
          <w:spacing w:val="-12"/>
          <w:sz w:val="18"/>
          <w:vertAlign w:val="baseline"/>
        </w:rPr>
        <w:t> </w:t>
      </w:r>
      <w:r>
        <w:rPr>
          <w:sz w:val="18"/>
          <w:vertAlign w:val="baseline"/>
        </w:rPr>
        <w:t>1</w:t>
      </w:r>
    </w:p>
    <w:p>
      <w:pPr>
        <w:spacing w:line="207" w:lineRule="exact" w:before="0"/>
        <w:ind w:left="500" w:right="0" w:firstLine="0"/>
        <w:jc w:val="left"/>
        <w:rPr>
          <w:sz w:val="18"/>
        </w:rPr>
      </w:pPr>
      <w:r>
        <w:rPr>
          <w:sz w:val="18"/>
          <w:vertAlign w:val="superscript"/>
        </w:rPr>
        <w:t>202</w:t>
      </w:r>
      <w:r>
        <w:rPr>
          <w:sz w:val="18"/>
          <w:vertAlign w:val="baseline"/>
        </w:rPr>
        <w:t> Exhibit A-65- Suit</w:t>
      </w:r>
      <w:r>
        <w:rPr>
          <w:spacing w:val="-12"/>
          <w:sz w:val="18"/>
          <w:vertAlign w:val="baseline"/>
        </w:rPr>
        <w:t> </w:t>
      </w:r>
      <w:r>
        <w:rPr>
          <w:sz w:val="18"/>
          <w:vertAlign w:val="baseline"/>
        </w:rPr>
        <w:t>1</w:t>
      </w:r>
    </w:p>
    <w:p>
      <w:pPr>
        <w:spacing w:line="206" w:lineRule="exact" w:before="0"/>
        <w:ind w:left="500" w:right="0" w:firstLine="0"/>
        <w:jc w:val="left"/>
        <w:rPr>
          <w:sz w:val="18"/>
        </w:rPr>
      </w:pPr>
      <w:r>
        <w:rPr>
          <w:sz w:val="18"/>
          <w:vertAlign w:val="superscript"/>
        </w:rPr>
        <w:t>203</w:t>
      </w:r>
      <w:r>
        <w:rPr>
          <w:sz w:val="18"/>
          <w:vertAlign w:val="baseline"/>
        </w:rPr>
        <w:t> Exhibit A-62- Suit 1</w:t>
      </w:r>
    </w:p>
    <w:p>
      <w:pPr>
        <w:spacing w:line="207" w:lineRule="exact" w:before="0"/>
        <w:ind w:left="500" w:right="0" w:firstLine="0"/>
        <w:jc w:val="left"/>
        <w:rPr>
          <w:sz w:val="18"/>
        </w:rPr>
      </w:pPr>
      <w:r>
        <w:rPr>
          <w:sz w:val="18"/>
          <w:vertAlign w:val="superscript"/>
        </w:rPr>
        <w:t>204</w:t>
      </w:r>
      <w:r>
        <w:rPr>
          <w:sz w:val="18"/>
          <w:vertAlign w:val="baseline"/>
        </w:rPr>
        <w:t> Exhibit A-63- Suit</w:t>
      </w:r>
      <w:r>
        <w:rPr>
          <w:spacing w:val="-12"/>
          <w:sz w:val="18"/>
          <w:vertAlign w:val="baseline"/>
        </w:rPr>
        <w:t> </w:t>
      </w:r>
      <w:r>
        <w:rPr>
          <w:sz w:val="18"/>
          <w:vertAlign w:val="baseline"/>
        </w:rPr>
        <w:t>1</w:t>
      </w:r>
    </w:p>
    <w:p>
      <w:pPr>
        <w:spacing w:before="2"/>
        <w:ind w:left="500" w:right="0" w:firstLine="0"/>
        <w:jc w:val="left"/>
        <w:rPr>
          <w:sz w:val="18"/>
        </w:rPr>
      </w:pPr>
      <w:r>
        <w:rPr>
          <w:sz w:val="18"/>
          <w:vertAlign w:val="superscript"/>
        </w:rPr>
        <w:t>205</w:t>
      </w:r>
      <w:r>
        <w:rPr>
          <w:sz w:val="18"/>
          <w:vertAlign w:val="baseline"/>
        </w:rPr>
        <w:t> Exhibit A-64- Suit</w:t>
      </w:r>
      <w:r>
        <w:rPr>
          <w:spacing w:val="-12"/>
          <w:sz w:val="18"/>
          <w:vertAlign w:val="baseline"/>
        </w:rPr>
        <w:t> </w:t>
      </w:r>
      <w:r>
        <w:rPr>
          <w:sz w:val="18"/>
          <w:vertAlign w:val="baseline"/>
        </w:rPr>
        <w:t>1</w:t>
      </w:r>
    </w:p>
    <w:p>
      <w:pPr>
        <w:spacing w:after="0"/>
        <w:jc w:val="left"/>
        <w:rPr>
          <w:sz w:val="18"/>
        </w:rPr>
        <w:sectPr>
          <w:pgSz w:w="11910" w:h="16840"/>
          <w:pgMar w:header="721" w:footer="1014" w:top="1300" w:bottom="1200" w:left="940" w:right="1000"/>
        </w:sectPr>
      </w:pPr>
    </w:p>
    <w:p>
      <w:pPr>
        <w:spacing w:line="276" w:lineRule="auto" w:before="122"/>
        <w:ind w:left="1940" w:right="2260" w:firstLine="0"/>
        <w:jc w:val="both"/>
        <w:rPr>
          <w:b/>
          <w:sz w:val="21"/>
        </w:rPr>
      </w:pPr>
      <w:r>
        <w:rPr>
          <w:sz w:val="21"/>
        </w:rPr>
        <w:t>aware about the following conditions and events. A period of three months has elapsed to the arrival of Baba Raghunath ostensibly to visit the janamasthan. He exhorted the Beragis and Pujaris – worshippers forcefully that Ramayanpath – recitation of Ramayan – should be done at janmasthan. This message spread to all nearby and surrounding areas. After a month of the departure of Baba Raghubardas, thousands of Hindus and Pujaris and Pandits gathered there for Ramayan path. The path (recitation) went on for weeks. In the meantime the Beragis dug outside the front part of the Masjid and part of Qabrasthan and leveled it to the ground. They also erected a makeshift maker and put stones on the site of some graves. There was police bandobast at the time of recitation of Ramayan. Despite this, the graves were dug out. Police arrested four people who were later released on bond. Khawaja Rahmatullah‘s mausoleum which is nearby the graveyard on a rising mound has also been dug out and levelled to the ground. A Bairagi has started residing there. The Bairagis‘ are squatting near the pucca grave which is near the door of the courtyard adjacent to the walls of the Masjid. The Bairagis have erected a hut. Before the commencement of this recitation, the Bairagis had looted and broken the fence. The muezzin was thrashed and thereafter they tried to dug out the inscription on the Masjid. Two Muslims who were strangers were beaten and they suffered serious injuries. Now there are two camps outside the Masjid. In one of them are stationed police constables and in another sepoys of the battalions. The total numbers of (constables and sepyoys) is about 7 to 8. Now the Masjid remains locked. </w:t>
      </w:r>
      <w:r>
        <w:rPr>
          <w:b/>
          <w:sz w:val="21"/>
        </w:rPr>
        <w:t>No Azaan is allowed nor Namaaz performed except on the day and time of Jumaaah. The lock and the keys remain with Muslims. But the police do not allow them to open</w:t>
      </w:r>
      <w:r>
        <w:rPr>
          <w:b/>
          <w:spacing w:val="10"/>
          <w:sz w:val="21"/>
        </w:rPr>
        <w:t> </w:t>
      </w:r>
      <w:r>
        <w:rPr>
          <w:b/>
          <w:sz w:val="21"/>
        </w:rPr>
        <w:t>the</w:t>
      </w:r>
      <w:r>
        <w:rPr>
          <w:b/>
          <w:spacing w:val="11"/>
          <w:sz w:val="21"/>
        </w:rPr>
        <w:t> </w:t>
      </w:r>
      <w:r>
        <w:rPr>
          <w:b/>
          <w:sz w:val="21"/>
        </w:rPr>
        <w:t>lock.</w:t>
      </w:r>
      <w:r>
        <w:rPr>
          <w:b/>
          <w:spacing w:val="9"/>
          <w:sz w:val="21"/>
        </w:rPr>
        <w:t> </w:t>
      </w:r>
      <w:r>
        <w:rPr>
          <w:b/>
          <w:sz w:val="21"/>
        </w:rPr>
        <w:t>The</w:t>
      </w:r>
      <w:r>
        <w:rPr>
          <w:b/>
          <w:spacing w:val="11"/>
          <w:sz w:val="21"/>
        </w:rPr>
        <w:t> </w:t>
      </w:r>
      <w:r>
        <w:rPr>
          <w:b/>
          <w:sz w:val="21"/>
        </w:rPr>
        <w:t>lock</w:t>
      </w:r>
      <w:r>
        <w:rPr>
          <w:b/>
          <w:spacing w:val="7"/>
          <w:sz w:val="21"/>
        </w:rPr>
        <w:t> </w:t>
      </w:r>
      <w:r>
        <w:rPr>
          <w:b/>
          <w:sz w:val="21"/>
        </w:rPr>
        <w:t>is</w:t>
      </w:r>
      <w:r>
        <w:rPr>
          <w:b/>
          <w:spacing w:val="11"/>
          <w:sz w:val="21"/>
        </w:rPr>
        <w:t> </w:t>
      </w:r>
      <w:r>
        <w:rPr>
          <w:b/>
          <w:sz w:val="21"/>
        </w:rPr>
        <w:t>opened</w:t>
      </w:r>
      <w:r>
        <w:rPr>
          <w:b/>
          <w:spacing w:val="10"/>
          <w:sz w:val="21"/>
        </w:rPr>
        <w:t> </w:t>
      </w:r>
      <w:r>
        <w:rPr>
          <w:b/>
          <w:sz w:val="21"/>
        </w:rPr>
        <w:t>on</w:t>
      </w:r>
      <w:r>
        <w:rPr>
          <w:b/>
          <w:spacing w:val="11"/>
          <w:sz w:val="21"/>
        </w:rPr>
        <w:t> </w:t>
      </w:r>
      <w:r>
        <w:rPr>
          <w:b/>
          <w:sz w:val="21"/>
        </w:rPr>
        <w:t>the</w:t>
      </w:r>
      <w:r>
        <w:rPr>
          <w:b/>
          <w:spacing w:val="10"/>
          <w:sz w:val="21"/>
        </w:rPr>
        <w:t> </w:t>
      </w:r>
      <w:r>
        <w:rPr>
          <w:b/>
          <w:sz w:val="21"/>
        </w:rPr>
        <w:t>day</w:t>
      </w:r>
      <w:r>
        <w:rPr>
          <w:b/>
          <w:spacing w:val="6"/>
          <w:sz w:val="21"/>
        </w:rPr>
        <w:t> </w:t>
      </w:r>
      <w:r>
        <w:rPr>
          <w:b/>
          <w:sz w:val="21"/>
        </w:rPr>
        <w:t>of</w:t>
      </w:r>
      <w:r>
        <w:rPr>
          <w:b/>
          <w:spacing w:val="13"/>
          <w:sz w:val="21"/>
        </w:rPr>
        <w:t> </w:t>
      </w:r>
      <w:r>
        <w:rPr>
          <w:b/>
          <w:sz w:val="21"/>
        </w:rPr>
        <w:t>Jumaah,</w:t>
      </w:r>
    </w:p>
    <w:p>
      <w:pPr>
        <w:spacing w:line="276" w:lineRule="auto" w:before="1"/>
        <w:ind w:left="1940" w:right="2260" w:firstLine="0"/>
        <w:jc w:val="both"/>
        <w:rPr>
          <w:sz w:val="21"/>
        </w:rPr>
      </w:pPr>
      <w:r>
        <w:rPr>
          <w:b/>
          <w:sz w:val="21"/>
        </w:rPr>
        <w:t>i.e. Friday for two or three hours. During this period, the Masjid is cleaned and Jumaah prayers are offered. Thereafter it is locked as usual. </w:t>
      </w:r>
      <w:r>
        <w:rPr>
          <w:b/>
          <w:spacing w:val="-4"/>
          <w:sz w:val="21"/>
        </w:rPr>
        <w:t>At </w:t>
      </w:r>
      <w:r>
        <w:rPr>
          <w:b/>
          <w:sz w:val="21"/>
        </w:rPr>
        <w:t>the time of Jummah much noise is created. When the Namazis go downstairs, shoes and clouds of earth are thrown at them. But Muslims do not react to it out of fear</w:t>
      </w:r>
      <w:r>
        <w:rPr>
          <w:sz w:val="21"/>
        </w:rPr>
        <w:t>. After Raghavdas, Mr Lohia had also come to Ayodhya and he had addressed people saying that flower plants should be planted on the place of graves. A minister also came from Lucknow. The Bairagis told him that Masjid is the Janmbhoomi. Help us get it. He refused to do this by force. Hearing this Bairagis got angry with him, and he had to return to Faizabad under Police protection. In the meantime, in the Kanak Bhavan Mandir of Ayodhya, Mahant Babasthan, Mahant Raghubardas, Vedantiji, Narayan Das, Acharyaji wanted to call Muslims but none came out there with the exception of Zahoor Ahmad. Hindus asked Zahoor Ahmad to help them get the Masjid.</w:t>
      </w:r>
      <w:r>
        <w:rPr>
          <w:spacing w:val="54"/>
          <w:sz w:val="21"/>
        </w:rPr>
        <w:t> </w:t>
      </w:r>
      <w:r>
        <w:rPr>
          <w:sz w:val="21"/>
        </w:rPr>
        <w:t>He</w:t>
      </w:r>
    </w:p>
    <w:p>
      <w:pPr>
        <w:spacing w:after="0" w:line="276" w:lineRule="auto"/>
        <w:jc w:val="both"/>
        <w:rPr>
          <w:sz w:val="21"/>
        </w:rPr>
        <w:sectPr>
          <w:pgSz w:w="11910" w:h="16840"/>
          <w:pgMar w:header="721" w:footer="1014" w:top="1300" w:bottom="1200" w:left="940" w:right="1000"/>
        </w:sectPr>
      </w:pPr>
    </w:p>
    <w:p>
      <w:pPr>
        <w:tabs>
          <w:tab w:pos="5173" w:val="left" w:leader="none"/>
        </w:tabs>
        <w:spacing w:line="276" w:lineRule="auto" w:before="122"/>
        <w:ind w:left="1940" w:right="2261" w:firstLine="0"/>
        <w:jc w:val="both"/>
        <w:rPr>
          <w:sz w:val="21"/>
        </w:rPr>
      </w:pPr>
      <w:r>
        <w:rPr>
          <w:sz w:val="21"/>
        </w:rPr>
        <w:t>was told that if it is done then we are brothers, otherwise, we are enemies. I stayed at Ayodhya during night. In the morning I came to know that Bairagis are trying to occupy the Masjid forcibly. It is Jumaah-Friday –today. When I reached the site, 10 to 15 Bairagis with clubs and axes were found present in the courtyard of the Masjid and many Bairagis are sitting on the door of the Masjid with clubs. Hindus of the surrounding area are also gathering there. City Magistrate, Police Officer of the City and other police force is deployed in sufficient numbers. Muslims from Faizabad would certainly come to offer of Jumaah (Friday) prayers. What would be their fate I do not know. Now I am crossing the river and going to Lakkadmandi</w:t>
      </w:r>
      <w:r>
        <w:rPr>
          <w:spacing w:val="-9"/>
          <w:sz w:val="21"/>
        </w:rPr>
        <w:t> </w:t>
      </w:r>
      <w:r>
        <w:rPr>
          <w:sz w:val="21"/>
        </w:rPr>
        <w:t>Gonda.‖</w:t>
        <w:tab/>
        <w:t>(Emphasis</w:t>
      </w:r>
      <w:r>
        <w:rPr>
          <w:spacing w:val="-1"/>
          <w:sz w:val="21"/>
        </w:rPr>
        <w:t> </w:t>
      </w:r>
      <w:r>
        <w:rPr>
          <w:sz w:val="21"/>
        </w:rPr>
        <w:t>supplied)</w:t>
      </w:r>
    </w:p>
    <w:p>
      <w:pPr>
        <w:pStyle w:val="BodyText"/>
        <w:rPr>
          <w:sz w:val="24"/>
        </w:rPr>
      </w:pPr>
    </w:p>
    <w:p>
      <w:pPr>
        <w:pStyle w:val="BodyText"/>
        <w:spacing w:line="480" w:lineRule="auto" w:before="208"/>
        <w:ind w:left="500" w:right="434"/>
        <w:jc w:val="both"/>
      </w:pPr>
      <w:r>
        <w:rPr/>
        <w:t>Justice Sudhir Agarwal held that the undertaking/agreement</w:t>
      </w:r>
      <w:r>
        <w:rPr>
          <w:vertAlign w:val="superscript"/>
        </w:rPr>
        <w:t>206</w:t>
      </w:r>
      <w:r>
        <w:rPr>
          <w:vertAlign w:val="baseline"/>
        </w:rPr>
        <w:t> for the payment of salary including arrears to the Pesh Imam has not been proved. Besides being exhibited in evidence, this document finds a reference in an application by the Pesh Imam before the Waqf Inspector for the payment of </w:t>
      </w:r>
      <w:r>
        <w:rPr>
          <w:spacing w:val="2"/>
          <w:vertAlign w:val="baseline"/>
        </w:rPr>
        <w:t>his </w:t>
      </w:r>
      <w:r>
        <w:rPr>
          <w:vertAlign w:val="baseline"/>
        </w:rPr>
        <w:t>salary in terms of the agreement, a copy of which was filed with the application.</w:t>
      </w:r>
      <w:r>
        <w:rPr>
          <w:vertAlign w:val="superscript"/>
        </w:rPr>
        <w:t>207</w:t>
      </w:r>
      <w:r>
        <w:rPr>
          <w:vertAlign w:val="baseline"/>
        </w:rPr>
        <w:t> As regards the reports of the Waqf Inspector, the written submissions filed on behalf of the Nirmohi Akhara in fact rely on both the reports. The reason indicated by Justice Sudhir Agarwal for not relying on the reports – that no one has seen the Waqf Inspector is specious. The report dated 10/12 December 1949 has been specifically relied upon in the plaint in Suit 5 and in the Examination-in-Chief of plaintiff 3 in Suit</w:t>
      </w:r>
      <w:r>
        <w:rPr>
          <w:spacing w:val="-4"/>
          <w:vertAlign w:val="baseline"/>
        </w:rPr>
        <w:t> </w:t>
      </w:r>
      <w:r>
        <w:rPr>
          <w:vertAlign w:val="baseline"/>
        </w:rPr>
        <w:t>5.</w:t>
      </w:r>
    </w:p>
    <w:p>
      <w:pPr>
        <w:pStyle w:val="BodyText"/>
        <w:rPr>
          <w:sz w:val="28"/>
        </w:rPr>
      </w:pPr>
    </w:p>
    <w:p>
      <w:pPr>
        <w:pStyle w:val="BodyText"/>
        <w:spacing w:before="1"/>
      </w:pPr>
    </w:p>
    <w:p>
      <w:pPr>
        <w:pStyle w:val="ListParagraph"/>
        <w:numPr>
          <w:ilvl w:val="0"/>
          <w:numId w:val="3"/>
        </w:numPr>
        <w:tabs>
          <w:tab w:pos="1220" w:val="left" w:leader="none"/>
          <w:tab w:pos="1221" w:val="left" w:leader="none"/>
        </w:tabs>
        <w:spacing w:line="240" w:lineRule="auto" w:before="0" w:after="0"/>
        <w:ind w:left="1220" w:right="0" w:hanging="721"/>
        <w:jc w:val="left"/>
        <w:rPr>
          <w:sz w:val="25"/>
        </w:rPr>
      </w:pPr>
      <w:r>
        <w:rPr>
          <w:sz w:val="25"/>
        </w:rPr>
        <w:t>The above documents</w:t>
      </w:r>
      <w:r>
        <w:rPr>
          <w:spacing w:val="-3"/>
          <w:sz w:val="25"/>
        </w:rPr>
        <w:t> </w:t>
      </w:r>
      <w:r>
        <w:rPr>
          <w:sz w:val="25"/>
        </w:rPr>
        <w:t>demonstrate:</w:t>
      </w:r>
    </w:p>
    <w:p>
      <w:pPr>
        <w:pStyle w:val="BodyText"/>
        <w:spacing w:before="10"/>
        <w:rPr>
          <w:sz w:val="38"/>
        </w:rPr>
      </w:pPr>
    </w:p>
    <w:p>
      <w:pPr>
        <w:pStyle w:val="ListParagraph"/>
        <w:numPr>
          <w:ilvl w:val="0"/>
          <w:numId w:val="109"/>
        </w:numPr>
        <w:tabs>
          <w:tab w:pos="1220" w:val="left" w:leader="none"/>
          <w:tab w:pos="1221" w:val="left" w:leader="none"/>
        </w:tabs>
        <w:spacing w:line="240" w:lineRule="auto" w:before="0" w:after="0"/>
        <w:ind w:left="1220" w:right="0" w:hanging="721"/>
        <w:jc w:val="left"/>
        <w:rPr>
          <w:sz w:val="25"/>
        </w:rPr>
      </w:pPr>
      <w:r>
        <w:rPr>
          <w:sz w:val="25"/>
        </w:rPr>
        <w:t>The steps taken after the riots of 1934 for the restoration of the</w:t>
      </w:r>
      <w:r>
        <w:rPr>
          <w:spacing w:val="-22"/>
          <w:sz w:val="25"/>
        </w:rPr>
        <w:t> </w:t>
      </w:r>
      <w:r>
        <w:rPr>
          <w:sz w:val="25"/>
        </w:rPr>
        <w:t>mosque;</w:t>
      </w:r>
    </w:p>
    <w:p>
      <w:pPr>
        <w:pStyle w:val="BodyText"/>
        <w:spacing w:before="1"/>
      </w:pPr>
    </w:p>
    <w:p>
      <w:pPr>
        <w:pStyle w:val="ListParagraph"/>
        <w:numPr>
          <w:ilvl w:val="0"/>
          <w:numId w:val="109"/>
        </w:numPr>
        <w:tabs>
          <w:tab w:pos="1220" w:val="left" w:leader="none"/>
          <w:tab w:pos="1221" w:val="left" w:leader="none"/>
        </w:tabs>
        <w:spacing w:line="480" w:lineRule="auto" w:before="0" w:after="0"/>
        <w:ind w:left="1220" w:right="447" w:hanging="720"/>
        <w:jc w:val="left"/>
        <w:rPr>
          <w:sz w:val="25"/>
        </w:rPr>
      </w:pPr>
      <w:r>
        <w:rPr/>
        <w:pict>
          <v:rect style="position:absolute;margin-left:72.024002pt;margin-top:54.584873pt;width:144.020pt;height:.599980pt;mso-position-horizontal-relative:page;mso-position-vertical-relative:paragraph;z-index:-23869952" filled="true" fillcolor="#000000" stroked="false">
            <v:fill type="solid"/>
            <w10:wrap type="none"/>
          </v:rect>
        </w:pict>
      </w:r>
      <w:r>
        <w:rPr>
          <w:sz w:val="25"/>
        </w:rPr>
        <w:t>The repairs carried out by the contractor for repairing the mosque and payments made by Public Works</w:t>
      </w:r>
      <w:r>
        <w:rPr>
          <w:spacing w:val="-11"/>
          <w:sz w:val="25"/>
        </w:rPr>
        <w:t> </w:t>
      </w:r>
      <w:r>
        <w:rPr>
          <w:sz w:val="25"/>
        </w:rPr>
        <w:t>Department;</w:t>
      </w:r>
    </w:p>
    <w:p>
      <w:pPr>
        <w:spacing w:before="61"/>
        <w:ind w:left="500" w:right="0" w:firstLine="0"/>
        <w:jc w:val="left"/>
        <w:rPr>
          <w:sz w:val="18"/>
        </w:rPr>
      </w:pPr>
      <w:r>
        <w:rPr>
          <w:sz w:val="18"/>
          <w:vertAlign w:val="superscript"/>
        </w:rPr>
        <w:t>206</w:t>
      </w:r>
      <w:r>
        <w:rPr>
          <w:sz w:val="18"/>
          <w:vertAlign w:val="baseline"/>
        </w:rPr>
        <w:t> Exhibit A-7- Suit 1</w:t>
      </w:r>
    </w:p>
    <w:p>
      <w:pPr>
        <w:spacing w:before="2"/>
        <w:ind w:left="500" w:right="0" w:firstLine="0"/>
        <w:jc w:val="left"/>
        <w:rPr>
          <w:sz w:val="18"/>
        </w:rPr>
      </w:pPr>
      <w:r>
        <w:rPr>
          <w:sz w:val="18"/>
          <w:vertAlign w:val="superscript"/>
        </w:rPr>
        <w:t>207</w:t>
      </w:r>
      <w:r>
        <w:rPr>
          <w:sz w:val="18"/>
          <w:vertAlign w:val="baseline"/>
        </w:rPr>
        <w:t> Exhibit A-61</w:t>
      </w:r>
    </w:p>
    <w:p>
      <w:pPr>
        <w:spacing w:after="0"/>
        <w:jc w:val="left"/>
        <w:rPr>
          <w:sz w:val="18"/>
        </w:rPr>
        <w:sectPr>
          <w:pgSz w:w="11910" w:h="16840"/>
          <w:pgMar w:header="721" w:footer="1014" w:top="1300" w:bottom="1200" w:left="940" w:right="1000"/>
        </w:sectPr>
      </w:pPr>
    </w:p>
    <w:p>
      <w:pPr>
        <w:pStyle w:val="ListParagraph"/>
        <w:numPr>
          <w:ilvl w:val="0"/>
          <w:numId w:val="109"/>
        </w:numPr>
        <w:tabs>
          <w:tab w:pos="1221" w:val="left" w:leader="none"/>
        </w:tabs>
        <w:spacing w:line="480" w:lineRule="auto" w:before="124" w:after="0"/>
        <w:ind w:left="1220" w:right="440" w:hanging="720"/>
        <w:jc w:val="both"/>
        <w:rPr>
          <w:sz w:val="25"/>
        </w:rPr>
      </w:pPr>
      <w:r>
        <w:rPr>
          <w:sz w:val="25"/>
        </w:rPr>
        <w:t>The engagement of services of the Pesh Imam and the attendant dispute pertaining to non-payment of his arrears of</w:t>
      </w:r>
      <w:r>
        <w:rPr>
          <w:spacing w:val="-8"/>
          <w:sz w:val="25"/>
        </w:rPr>
        <w:t> </w:t>
      </w:r>
      <w:r>
        <w:rPr>
          <w:sz w:val="25"/>
        </w:rPr>
        <w:t>salary;</w:t>
      </w:r>
    </w:p>
    <w:p>
      <w:pPr>
        <w:pStyle w:val="ListParagraph"/>
        <w:numPr>
          <w:ilvl w:val="0"/>
          <w:numId w:val="109"/>
        </w:numPr>
        <w:tabs>
          <w:tab w:pos="1221" w:val="left" w:leader="none"/>
        </w:tabs>
        <w:spacing w:line="480" w:lineRule="auto" w:before="0" w:after="0"/>
        <w:ind w:left="1220" w:right="446" w:hanging="720"/>
        <w:jc w:val="both"/>
        <w:rPr>
          <w:sz w:val="25"/>
        </w:rPr>
      </w:pPr>
      <w:r>
        <w:rPr>
          <w:sz w:val="25"/>
        </w:rPr>
        <w:t>The report of the Waqf Inspector in December 1949 stating that the Muslims were being harassed in offering prayers in the mosque as a result of which only Friday prayers were being offered;</w:t>
      </w:r>
      <w:r>
        <w:rPr>
          <w:spacing w:val="-11"/>
          <w:sz w:val="25"/>
        </w:rPr>
        <w:t> </w:t>
      </w:r>
      <w:r>
        <w:rPr>
          <w:sz w:val="25"/>
        </w:rPr>
        <w:t>and</w:t>
      </w:r>
    </w:p>
    <w:p>
      <w:pPr>
        <w:pStyle w:val="ListParagraph"/>
        <w:numPr>
          <w:ilvl w:val="0"/>
          <w:numId w:val="109"/>
        </w:numPr>
        <w:tabs>
          <w:tab w:pos="1221" w:val="left" w:leader="none"/>
        </w:tabs>
        <w:spacing w:line="480" w:lineRule="auto" w:before="0" w:after="0"/>
        <w:ind w:left="1220" w:right="444" w:hanging="720"/>
        <w:jc w:val="both"/>
        <w:rPr>
          <w:sz w:val="25"/>
        </w:rPr>
      </w:pPr>
      <w:r>
        <w:rPr>
          <w:sz w:val="25"/>
        </w:rPr>
        <w:t>The apprehension expressed by the Waqf Inspector of danger to the mosque.</w:t>
      </w:r>
    </w:p>
    <w:p>
      <w:pPr>
        <w:pStyle w:val="BodyText"/>
        <w:spacing w:before="1"/>
      </w:pPr>
    </w:p>
    <w:p>
      <w:pPr>
        <w:pStyle w:val="ListParagraph"/>
        <w:numPr>
          <w:ilvl w:val="0"/>
          <w:numId w:val="3"/>
        </w:numPr>
        <w:tabs>
          <w:tab w:pos="1221" w:val="left" w:leader="none"/>
        </w:tabs>
        <w:spacing w:line="480" w:lineRule="auto" w:before="0" w:after="0"/>
        <w:ind w:left="500" w:right="442" w:firstLine="0"/>
        <w:jc w:val="both"/>
        <w:rPr>
          <w:sz w:val="25"/>
        </w:rPr>
      </w:pPr>
      <w:r>
        <w:rPr>
          <w:sz w:val="25"/>
        </w:rPr>
        <w:t>In view of the above analysis of the oral evidence and documentary material, the following conclusions can be</w:t>
      </w:r>
      <w:r>
        <w:rPr>
          <w:spacing w:val="-4"/>
          <w:sz w:val="25"/>
        </w:rPr>
        <w:t> </w:t>
      </w:r>
      <w:r>
        <w:rPr>
          <w:sz w:val="25"/>
        </w:rPr>
        <w:t>drawn:</w:t>
      </w:r>
    </w:p>
    <w:p>
      <w:pPr>
        <w:pStyle w:val="ListParagraph"/>
        <w:numPr>
          <w:ilvl w:val="0"/>
          <w:numId w:val="110"/>
        </w:numPr>
        <w:tabs>
          <w:tab w:pos="1221" w:val="left" w:leader="none"/>
        </w:tabs>
        <w:spacing w:line="480" w:lineRule="auto" w:before="160" w:after="0"/>
        <w:ind w:left="1220" w:right="440" w:hanging="720"/>
        <w:jc w:val="both"/>
        <w:rPr>
          <w:sz w:val="25"/>
        </w:rPr>
      </w:pPr>
      <w:r>
        <w:rPr>
          <w:sz w:val="25"/>
        </w:rPr>
        <w:t>There are serious infirmities in the oral accounts of Nirmohi witnesses that the disputed structure was not a mosque but the Janmabhumi</w:t>
      </w:r>
      <w:r>
        <w:rPr>
          <w:spacing w:val="-17"/>
          <w:sz w:val="25"/>
        </w:rPr>
        <w:t> </w:t>
      </w:r>
      <w:r>
        <w:rPr>
          <w:sz w:val="25"/>
        </w:rPr>
        <w:t>temple;</w:t>
      </w:r>
    </w:p>
    <w:p>
      <w:pPr>
        <w:pStyle w:val="ListParagraph"/>
        <w:numPr>
          <w:ilvl w:val="0"/>
          <w:numId w:val="110"/>
        </w:numPr>
        <w:tabs>
          <w:tab w:pos="1221" w:val="left" w:leader="none"/>
        </w:tabs>
        <w:spacing w:line="480" w:lineRule="auto" w:before="0" w:after="0"/>
        <w:ind w:left="1220" w:right="437" w:hanging="720"/>
        <w:jc w:val="both"/>
        <w:rPr>
          <w:sz w:val="25"/>
        </w:rPr>
      </w:pPr>
      <w:r>
        <w:rPr>
          <w:sz w:val="25"/>
        </w:rPr>
        <w:t>The documentary evidence relied on by Nirmohi Akhara does not establish its possession of the inner courtyard and the structure of the mosque  within it, being the subject of Suit</w:t>
      </w:r>
      <w:r>
        <w:rPr>
          <w:spacing w:val="-5"/>
          <w:sz w:val="25"/>
        </w:rPr>
        <w:t> </w:t>
      </w:r>
      <w:r>
        <w:rPr>
          <w:sz w:val="25"/>
        </w:rPr>
        <w:t>3;</w:t>
      </w:r>
    </w:p>
    <w:p>
      <w:pPr>
        <w:pStyle w:val="ListParagraph"/>
        <w:numPr>
          <w:ilvl w:val="0"/>
          <w:numId w:val="110"/>
        </w:numPr>
        <w:tabs>
          <w:tab w:pos="1221" w:val="left" w:leader="none"/>
        </w:tabs>
        <w:spacing w:line="480" w:lineRule="auto" w:before="0" w:after="0"/>
        <w:ind w:left="1220" w:right="444" w:hanging="720"/>
        <w:jc w:val="both"/>
        <w:rPr>
          <w:sz w:val="25"/>
        </w:rPr>
      </w:pPr>
      <w:r>
        <w:rPr>
          <w:sz w:val="25"/>
        </w:rPr>
        <w:t>Contrary to the claims of Nirmohi Akhara, documentary evidence establishes the existence of the structure of the mosque between 1934 and 1949;</w:t>
      </w:r>
      <w:r>
        <w:rPr>
          <w:spacing w:val="-2"/>
          <w:sz w:val="25"/>
        </w:rPr>
        <w:t> </w:t>
      </w:r>
      <w:r>
        <w:rPr>
          <w:sz w:val="25"/>
        </w:rPr>
        <w:t>and</w:t>
      </w:r>
    </w:p>
    <w:p>
      <w:pPr>
        <w:pStyle w:val="ListParagraph"/>
        <w:numPr>
          <w:ilvl w:val="0"/>
          <w:numId w:val="110"/>
        </w:numPr>
        <w:tabs>
          <w:tab w:pos="1221" w:val="left" w:leader="none"/>
        </w:tabs>
        <w:spacing w:line="480" w:lineRule="auto" w:before="0" w:after="0"/>
        <w:ind w:left="1220" w:right="438" w:hanging="720"/>
        <w:jc w:val="both"/>
        <w:rPr>
          <w:sz w:val="25"/>
        </w:rPr>
      </w:pPr>
      <w:r>
        <w:rPr>
          <w:sz w:val="25"/>
        </w:rPr>
        <w:t>As regards namaz within the mosque, the Muslims were being obstructed in offering prayers as a result of which by December 1949, Friday prayers alone were being</w:t>
      </w:r>
      <w:r>
        <w:rPr>
          <w:spacing w:val="-3"/>
          <w:sz w:val="25"/>
        </w:rPr>
        <w:t> </w:t>
      </w:r>
      <w:r>
        <w:rPr>
          <w:sz w:val="25"/>
        </w:rPr>
        <w:t>offered.</w:t>
      </w:r>
    </w:p>
    <w:p>
      <w:pPr>
        <w:pStyle w:val="BodyText"/>
        <w:spacing w:before="10"/>
        <w:rPr>
          <w:sz w:val="24"/>
        </w:rPr>
      </w:pPr>
    </w:p>
    <w:p>
      <w:pPr>
        <w:pStyle w:val="BodyText"/>
        <w:spacing w:line="480" w:lineRule="auto"/>
        <w:ind w:left="500" w:right="438"/>
        <w:jc w:val="both"/>
      </w:pPr>
      <w:r>
        <w:rPr/>
        <w:t>This documentary evidence in regard to the presence and use of the mosque until December 1949 is supported by the letter of the Superintendent of Police, Faizabad</w:t>
      </w:r>
      <w:r>
        <w:rPr>
          <w:spacing w:val="31"/>
        </w:rPr>
        <w:t> </w:t>
      </w:r>
      <w:r>
        <w:rPr/>
        <w:t>dated</w:t>
      </w:r>
      <w:r>
        <w:rPr>
          <w:spacing w:val="30"/>
        </w:rPr>
        <w:t> </w:t>
      </w:r>
      <w:r>
        <w:rPr/>
        <w:t>29</w:t>
      </w:r>
      <w:r>
        <w:rPr>
          <w:spacing w:val="31"/>
        </w:rPr>
        <w:t> </w:t>
      </w:r>
      <w:r>
        <w:rPr/>
        <w:t>November</w:t>
      </w:r>
      <w:r>
        <w:rPr>
          <w:spacing w:val="32"/>
        </w:rPr>
        <w:t> </w:t>
      </w:r>
      <w:r>
        <w:rPr/>
        <w:t>1949</w:t>
      </w:r>
      <w:r>
        <w:rPr>
          <w:spacing w:val="33"/>
        </w:rPr>
        <w:t> </w:t>
      </w:r>
      <w:r>
        <w:rPr/>
        <w:t>specifically,</w:t>
      </w:r>
      <w:r>
        <w:rPr>
          <w:spacing w:val="31"/>
        </w:rPr>
        <w:t> </w:t>
      </w:r>
      <w:r>
        <w:rPr/>
        <w:t>referring</w:t>
      </w:r>
      <w:r>
        <w:rPr>
          <w:spacing w:val="32"/>
        </w:rPr>
        <w:t> </w:t>
      </w:r>
      <w:r>
        <w:rPr/>
        <w:t>to</w:t>
      </w:r>
      <w:r>
        <w:rPr>
          <w:spacing w:val="32"/>
        </w:rPr>
        <w:t> </w:t>
      </w:r>
      <w:r>
        <w:rPr/>
        <w:t>the</w:t>
      </w:r>
      <w:r>
        <w:rPr>
          <w:spacing w:val="31"/>
        </w:rPr>
        <w:t> </w:t>
      </w:r>
      <w:r>
        <w:rPr/>
        <w:t>attempts</w:t>
      </w:r>
      <w:r>
        <w:rPr>
          <w:spacing w:val="32"/>
        </w:rPr>
        <w:t> </w:t>
      </w:r>
      <w:r>
        <w:rPr/>
        <w:t>which</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7"/>
        <w:jc w:val="both"/>
      </w:pPr>
      <w:r>
        <w:rPr/>
        <w:t>were being made to surround the mosque so as to lead the Muslims to abandon it. This is coupled with the letter dated 16 December 1949 of the District Magistrate to the Chief Secretary seeking to allay the apprehensions in regard to the safety of the mosque.</w:t>
      </w:r>
    </w:p>
    <w:p>
      <w:pPr>
        <w:pStyle w:val="BodyText"/>
        <w:spacing w:before="11"/>
        <w:rPr>
          <w:sz w:val="38"/>
        </w:rPr>
      </w:pPr>
    </w:p>
    <w:p>
      <w:pPr>
        <w:pStyle w:val="ListParagraph"/>
        <w:numPr>
          <w:ilvl w:val="0"/>
          <w:numId w:val="3"/>
        </w:numPr>
        <w:tabs>
          <w:tab w:pos="1221" w:val="left" w:leader="none"/>
        </w:tabs>
        <w:spacing w:line="480" w:lineRule="auto" w:before="0" w:after="0"/>
        <w:ind w:left="500" w:right="437" w:firstLine="0"/>
        <w:jc w:val="both"/>
        <w:rPr>
          <w:sz w:val="25"/>
        </w:rPr>
      </w:pPr>
      <w:r>
        <w:rPr>
          <w:sz w:val="25"/>
        </w:rPr>
        <w:t>Suit 3 has been held to be barred by limitation. The oral and documentary evidence have been analysed above to render a full adjudication of the claims of Nirmohi Akhara: (i) denying the existence of the mosque; (ii) asserting that the structure in the inner courtyard was a temple which was in its exclusive possession; and (iii) denying the incident on the night between 22/23 December 1949. Nirmohi Akhara has failed to prove its assertions. The documentary evidence will be of relevance in determining the objections raised by Nirmohi Akhara (supported by the Sunni Central Waqf Board) to the maintainability of</w:t>
      </w:r>
      <w:r>
        <w:rPr>
          <w:spacing w:val="6"/>
          <w:sz w:val="25"/>
        </w:rPr>
        <w:t> </w:t>
      </w:r>
      <w:r>
        <w:rPr>
          <w:sz w:val="25"/>
        </w:rPr>
        <w:t>Suit</w:t>
      </w:r>
    </w:p>
    <w:p>
      <w:pPr>
        <w:pStyle w:val="BodyText"/>
        <w:spacing w:line="480" w:lineRule="auto"/>
        <w:ind w:left="500" w:right="440"/>
        <w:jc w:val="both"/>
      </w:pPr>
      <w:r>
        <w:rPr/>
        <w:t>5. Whether Nirmohi Akhara has established that they were a shebait in service of the deity of Lord Ram was an issue struck in Suit 5 and will hence be considered while dealing with that suit. Some of the evidence which has been discussed above is also of relevance on the question of title and will be re-visited at the appropriate stage in the course of this judgment.</w:t>
      </w:r>
    </w:p>
    <w:p>
      <w:pPr>
        <w:pStyle w:val="Heading3"/>
        <w:numPr>
          <w:ilvl w:val="0"/>
          <w:numId w:val="56"/>
        </w:numPr>
        <w:tabs>
          <w:tab w:pos="1221" w:val="left" w:leader="none"/>
        </w:tabs>
        <w:spacing w:line="240" w:lineRule="auto" w:before="162" w:after="0"/>
        <w:ind w:left="1220" w:right="0" w:hanging="721"/>
        <w:jc w:val="both"/>
      </w:pPr>
      <w:r>
        <w:rPr/>
        <w:t>Suit 5: The</w:t>
      </w:r>
      <w:r>
        <w:rPr>
          <w:spacing w:val="-1"/>
        </w:rPr>
        <w:t> </w:t>
      </w:r>
      <w:r>
        <w:rPr/>
        <w:t>deities</w:t>
      </w:r>
    </w:p>
    <w:p>
      <w:pPr>
        <w:pStyle w:val="BodyText"/>
        <w:rPr>
          <w:b/>
          <w:sz w:val="28"/>
        </w:rPr>
      </w:pPr>
    </w:p>
    <w:p>
      <w:pPr>
        <w:pStyle w:val="ListParagraph"/>
        <w:numPr>
          <w:ilvl w:val="1"/>
          <w:numId w:val="56"/>
        </w:numPr>
        <w:tabs>
          <w:tab w:pos="1221" w:val="left" w:leader="none"/>
        </w:tabs>
        <w:spacing w:line="240" w:lineRule="auto" w:before="216" w:after="0"/>
        <w:ind w:left="1220" w:right="0" w:hanging="721"/>
        <w:jc w:val="both"/>
        <w:rPr>
          <w:b/>
          <w:sz w:val="26"/>
        </w:rPr>
      </w:pPr>
      <w:r>
        <w:rPr>
          <w:b/>
          <w:sz w:val="26"/>
        </w:rPr>
        <w:t>Array of</w:t>
      </w:r>
      <w:r>
        <w:rPr>
          <w:b/>
          <w:spacing w:val="-6"/>
          <w:sz w:val="26"/>
        </w:rPr>
        <w:t> </w:t>
      </w:r>
      <w:r>
        <w:rPr>
          <w:b/>
          <w:sz w:val="26"/>
        </w:rPr>
        <w:t>parties</w:t>
      </w:r>
    </w:p>
    <w:p>
      <w:pPr>
        <w:pStyle w:val="BodyText"/>
        <w:rPr>
          <w:b/>
          <w:sz w:val="28"/>
        </w:rPr>
      </w:pPr>
    </w:p>
    <w:p>
      <w:pPr>
        <w:pStyle w:val="ListParagraph"/>
        <w:numPr>
          <w:ilvl w:val="0"/>
          <w:numId w:val="111"/>
        </w:numPr>
        <w:tabs>
          <w:tab w:pos="1221" w:val="left" w:leader="none"/>
        </w:tabs>
        <w:spacing w:line="480" w:lineRule="auto" w:before="217" w:after="0"/>
        <w:ind w:left="500" w:right="443" w:firstLine="0"/>
        <w:jc w:val="both"/>
        <w:rPr>
          <w:sz w:val="25"/>
        </w:rPr>
      </w:pPr>
      <w:r>
        <w:rPr>
          <w:sz w:val="25"/>
        </w:rPr>
        <w:t>Suit 5 was instituted on behalf of the first and second plaintiffs through a next friend who was impleaded as the third plaintiff. The first and second plaintiffs </w:t>
      </w:r>
      <w:r>
        <w:rPr>
          <w:spacing w:val="-1"/>
          <w:w w:val="99"/>
          <w:sz w:val="25"/>
        </w:rPr>
        <w:t>a</w:t>
      </w:r>
      <w:r>
        <w:rPr>
          <w:w w:val="99"/>
          <w:sz w:val="25"/>
        </w:rPr>
        <w:t>r</w:t>
      </w:r>
      <w:r>
        <w:rPr>
          <w:spacing w:val="-1"/>
          <w:w w:val="99"/>
          <w:sz w:val="25"/>
        </w:rPr>
        <w:t>e</w:t>
      </w:r>
      <w:r>
        <w:rPr>
          <w:w w:val="99"/>
          <w:sz w:val="25"/>
        </w:rPr>
        <w:t>:</w:t>
      </w:r>
      <w:r>
        <w:rPr>
          <w:sz w:val="25"/>
        </w:rPr>
        <w:t> </w:t>
      </w:r>
      <w:r>
        <w:rPr>
          <w:spacing w:val="-7"/>
          <w:sz w:val="25"/>
        </w:rPr>
        <w:t> </w:t>
      </w:r>
      <w:r>
        <w:rPr>
          <w:w w:val="33"/>
          <w:sz w:val="25"/>
        </w:rPr>
        <w:t>―</w:t>
      </w:r>
      <w:r>
        <w:rPr>
          <w:spacing w:val="-1"/>
          <w:w w:val="99"/>
          <w:sz w:val="25"/>
        </w:rPr>
        <w:t>Bh</w:t>
      </w:r>
      <w:r>
        <w:rPr>
          <w:w w:val="99"/>
          <w:sz w:val="25"/>
        </w:rPr>
        <w:t>a</w:t>
      </w:r>
      <w:r>
        <w:rPr>
          <w:spacing w:val="-1"/>
          <w:w w:val="99"/>
          <w:sz w:val="25"/>
        </w:rPr>
        <w:t>gwa</w:t>
      </w:r>
      <w:r>
        <w:rPr>
          <w:w w:val="99"/>
          <w:sz w:val="25"/>
        </w:rPr>
        <w:t>n</w:t>
      </w:r>
      <w:r>
        <w:rPr>
          <w:sz w:val="25"/>
        </w:rPr>
        <w:t> </w:t>
      </w:r>
      <w:r>
        <w:rPr>
          <w:spacing w:val="-7"/>
          <w:sz w:val="25"/>
        </w:rPr>
        <w:t> </w:t>
      </w:r>
      <w:r>
        <w:rPr>
          <w:spacing w:val="-1"/>
          <w:w w:val="99"/>
          <w:sz w:val="25"/>
        </w:rPr>
        <w:t>S</w:t>
      </w:r>
      <w:r>
        <w:rPr>
          <w:w w:val="99"/>
          <w:sz w:val="25"/>
        </w:rPr>
        <w:t>ri</w:t>
      </w:r>
      <w:r>
        <w:rPr>
          <w:sz w:val="25"/>
        </w:rPr>
        <w:t> </w:t>
      </w:r>
      <w:r>
        <w:rPr>
          <w:spacing w:val="-8"/>
          <w:sz w:val="25"/>
        </w:rPr>
        <w:t> </w:t>
      </w:r>
      <w:r>
        <w:rPr>
          <w:spacing w:val="-1"/>
          <w:w w:val="99"/>
          <w:sz w:val="25"/>
        </w:rPr>
        <w:t>Ra</w:t>
      </w:r>
      <w:r>
        <w:rPr>
          <w:w w:val="99"/>
          <w:sz w:val="25"/>
        </w:rPr>
        <w:t>m</w:t>
      </w:r>
      <w:r>
        <w:rPr>
          <w:sz w:val="25"/>
        </w:rPr>
        <w:t> </w:t>
      </w:r>
      <w:r>
        <w:rPr>
          <w:spacing w:val="-7"/>
          <w:sz w:val="25"/>
        </w:rPr>
        <w:t> </w:t>
      </w:r>
      <w:r>
        <w:rPr>
          <w:spacing w:val="-1"/>
          <w:w w:val="99"/>
          <w:sz w:val="25"/>
        </w:rPr>
        <w:t>L</w:t>
      </w:r>
      <w:r>
        <w:rPr>
          <w:w w:val="99"/>
          <w:sz w:val="25"/>
        </w:rPr>
        <w:t>a</w:t>
      </w:r>
      <w:r>
        <w:rPr>
          <w:spacing w:val="-1"/>
          <w:w w:val="99"/>
          <w:sz w:val="25"/>
        </w:rPr>
        <w:t>l</w:t>
      </w:r>
      <w:r>
        <w:rPr>
          <w:w w:val="99"/>
          <w:sz w:val="25"/>
        </w:rPr>
        <w:t>a</w:t>
      </w:r>
      <w:r>
        <w:rPr>
          <w:sz w:val="25"/>
        </w:rPr>
        <w:t> </w:t>
      </w:r>
      <w:r>
        <w:rPr>
          <w:spacing w:val="-7"/>
          <w:sz w:val="25"/>
        </w:rPr>
        <w:t> </w:t>
      </w:r>
      <w:r>
        <w:rPr>
          <w:spacing w:val="-1"/>
          <w:w w:val="99"/>
          <w:sz w:val="25"/>
        </w:rPr>
        <w:t>Vir</w:t>
      </w:r>
      <w:r>
        <w:rPr>
          <w:w w:val="99"/>
          <w:sz w:val="25"/>
        </w:rPr>
        <w:t>a</w:t>
      </w:r>
      <w:r>
        <w:rPr>
          <w:spacing w:val="-1"/>
          <w:w w:val="99"/>
          <w:sz w:val="25"/>
        </w:rPr>
        <w:t>jm</w:t>
      </w:r>
      <w:r>
        <w:rPr>
          <w:w w:val="99"/>
          <w:sz w:val="25"/>
        </w:rPr>
        <w:t>a</w:t>
      </w:r>
      <w:r>
        <w:rPr>
          <w:spacing w:val="-1"/>
          <w:w w:val="91"/>
          <w:sz w:val="25"/>
        </w:rPr>
        <w:t>n</w:t>
      </w:r>
      <w:r>
        <w:rPr>
          <w:w w:val="91"/>
          <w:sz w:val="25"/>
        </w:rPr>
        <w:t>‖</w:t>
      </w:r>
      <w:r>
        <w:rPr>
          <w:sz w:val="25"/>
        </w:rPr>
        <w:t> </w:t>
      </w:r>
      <w:r>
        <w:rPr>
          <w:spacing w:val="-7"/>
          <w:sz w:val="25"/>
        </w:rPr>
        <w:t> </w:t>
      </w:r>
      <w:r>
        <w:rPr>
          <w:spacing w:val="-1"/>
          <w:w w:val="99"/>
          <w:sz w:val="25"/>
        </w:rPr>
        <w:t>a</w:t>
      </w:r>
      <w:r>
        <w:rPr>
          <w:w w:val="99"/>
          <w:sz w:val="25"/>
        </w:rPr>
        <w:t>nd</w:t>
      </w:r>
      <w:r>
        <w:rPr>
          <w:sz w:val="25"/>
        </w:rPr>
        <w:t> </w:t>
      </w:r>
      <w:r>
        <w:rPr>
          <w:spacing w:val="-7"/>
          <w:sz w:val="25"/>
        </w:rPr>
        <w:t> </w:t>
      </w:r>
      <w:r>
        <w:rPr>
          <w:w w:val="33"/>
          <w:sz w:val="25"/>
        </w:rPr>
        <w:t>―</w:t>
      </w:r>
      <w:r>
        <w:rPr>
          <w:spacing w:val="-1"/>
          <w:w w:val="99"/>
          <w:sz w:val="25"/>
        </w:rPr>
        <w:t>A</w:t>
      </w:r>
      <w:r>
        <w:rPr>
          <w:w w:val="99"/>
          <w:sz w:val="25"/>
        </w:rPr>
        <w:t>sthan</w:t>
      </w:r>
      <w:r>
        <w:rPr>
          <w:sz w:val="25"/>
        </w:rPr>
        <w:t> </w:t>
      </w:r>
      <w:r>
        <w:rPr>
          <w:spacing w:val="-7"/>
          <w:sz w:val="25"/>
        </w:rPr>
        <w:t> </w:t>
      </w:r>
      <w:r>
        <w:rPr>
          <w:spacing w:val="-1"/>
          <w:w w:val="99"/>
          <w:sz w:val="25"/>
        </w:rPr>
        <w:t>S</w:t>
      </w:r>
      <w:r>
        <w:rPr>
          <w:w w:val="99"/>
          <w:sz w:val="25"/>
        </w:rPr>
        <w:t>ri</w:t>
      </w:r>
      <w:r>
        <w:rPr>
          <w:sz w:val="25"/>
        </w:rPr>
        <w:t> </w:t>
      </w:r>
      <w:r>
        <w:rPr>
          <w:spacing w:val="-8"/>
          <w:sz w:val="25"/>
        </w:rPr>
        <w:t> </w:t>
      </w:r>
      <w:r>
        <w:rPr>
          <w:spacing w:val="-1"/>
          <w:w w:val="99"/>
          <w:sz w:val="25"/>
        </w:rPr>
        <w:t>Ra</w:t>
      </w:r>
      <w:r>
        <w:rPr>
          <w:w w:val="99"/>
          <w:sz w:val="25"/>
        </w:rPr>
        <w:t>m</w:t>
      </w:r>
      <w:r>
        <w:rPr>
          <w:sz w:val="25"/>
        </w:rPr>
        <w:t> </w:t>
      </w:r>
      <w:r>
        <w:rPr>
          <w:spacing w:val="-7"/>
          <w:sz w:val="25"/>
        </w:rPr>
        <w:t> </w:t>
      </w:r>
      <w:r>
        <w:rPr>
          <w:w w:val="99"/>
          <w:sz w:val="25"/>
        </w:rPr>
        <w:t>Janma</w:t>
      </w:r>
      <w:r>
        <w:rPr>
          <w:sz w:val="25"/>
        </w:rPr>
        <w:t> </w:t>
      </w:r>
      <w:r>
        <w:rPr>
          <w:spacing w:val="-7"/>
          <w:sz w:val="25"/>
        </w:rPr>
        <w:t> </w:t>
      </w:r>
      <w:r>
        <w:rPr>
          <w:spacing w:val="-1"/>
          <w:w w:val="99"/>
          <w:sz w:val="25"/>
        </w:rPr>
        <w:t>Bh</w:t>
      </w:r>
      <w:r>
        <w:rPr>
          <w:w w:val="99"/>
          <w:sz w:val="25"/>
        </w:rPr>
        <w:t>um</w:t>
      </w:r>
      <w:r>
        <w:rPr>
          <w:spacing w:val="-1"/>
          <w:w w:val="99"/>
          <w:sz w:val="25"/>
        </w:rPr>
        <w:t>i,</w:t>
      </w:r>
    </w:p>
    <w:p>
      <w:pPr>
        <w:spacing w:after="0" w:line="480" w:lineRule="auto"/>
        <w:jc w:val="both"/>
        <w:rPr>
          <w:sz w:val="25"/>
        </w:rPr>
        <w:sectPr>
          <w:headerReference w:type="default" r:id="rId122"/>
          <w:footerReference w:type="default" r:id="rId123"/>
          <w:pgSz w:w="11910" w:h="16840"/>
          <w:pgMar w:header="721" w:footer="1014" w:top="1300" w:bottom="1200" w:left="940" w:right="1000"/>
          <w:pgNumType w:start="356"/>
        </w:sectPr>
      </w:pPr>
    </w:p>
    <w:p>
      <w:pPr>
        <w:pStyle w:val="BodyText"/>
        <w:spacing w:line="480" w:lineRule="auto" w:before="124"/>
        <w:ind w:left="500" w:right="439"/>
        <w:jc w:val="both"/>
      </w:pPr>
      <w:r>
        <w:rPr/>
        <w:t>Ayodhya‖. The third plaintiff was Sri Deoki Nandan Agarwala, a former Judge of the Allahabad High Court. The third plaintiff was subsequently substituted by an order of the High Court as a result of his death.</w:t>
      </w:r>
    </w:p>
    <w:p>
      <w:pPr>
        <w:pStyle w:val="BodyText"/>
        <w:spacing w:before="10"/>
        <w:rPr>
          <w:sz w:val="38"/>
        </w:rPr>
      </w:pPr>
    </w:p>
    <w:p>
      <w:pPr>
        <w:pStyle w:val="ListParagraph"/>
        <w:numPr>
          <w:ilvl w:val="0"/>
          <w:numId w:val="111"/>
        </w:numPr>
        <w:tabs>
          <w:tab w:pos="1221" w:val="left" w:leader="none"/>
        </w:tabs>
        <w:spacing w:line="480" w:lineRule="auto" w:before="0" w:after="0"/>
        <w:ind w:left="500" w:right="435" w:firstLine="0"/>
        <w:jc w:val="both"/>
        <w:rPr>
          <w:sz w:val="25"/>
        </w:rPr>
      </w:pPr>
      <w:r>
        <w:rPr>
          <w:sz w:val="25"/>
        </w:rPr>
        <w:t>The first defendant is the legal representative of Gopal Singh Visharad (the plaintiff in Suit 1); the second defendant was the plaintiff in Suit 2 (which was subsequently withdrawn); the third defendant is Nirmohi Akhara (the plaintiff in Suit 3); the fourth defendant is the </w:t>
      </w:r>
      <w:r>
        <w:rPr>
          <w:color w:val="000009"/>
          <w:sz w:val="25"/>
        </w:rPr>
        <w:t>Sunni Central Waqf Board (the plaintiff in Suit 4); </w:t>
      </w:r>
      <w:r>
        <w:rPr>
          <w:sz w:val="25"/>
        </w:rPr>
        <w:t>the fifth and sixth defendants are Muslim residents of Ayodhya and Faizabad; the seventh, eighth, ninth and tenth defendants are the State of Uttar Pradesh and its officers; the eleventh defendant is the President of the All India Hindu Mahasabha; the twelfth and thirteenth defendants represent the All India Arya Samaj and the All India Sanatan Dharma Sabha respectively; the fourteenth defendant was Sri Dharam Das, described as the Chela of Baba Abhiram Das, who was allegedly involved in the incident which took place on 22/23 December 1949; defendants fifteen and sixteen are Hindu residents of Ayodhya and Faizabad; defendant seventeen was a resident of District Faizabad (since deleted); defendants eighteen and nineteen are Mahant Ganga Das and Swami Govindacharya Manas Martand; defendant twenty was Umesh Chandra Pandey who opposed the claim of the Nirmohi Akhara in Suit 3 (but did not lead any </w:t>
      </w:r>
      <w:r>
        <w:rPr>
          <w:w w:val="99"/>
          <w:sz w:val="25"/>
        </w:rPr>
        <w:t>e</w:t>
      </w:r>
      <w:r>
        <w:rPr>
          <w:spacing w:val="-2"/>
          <w:w w:val="99"/>
          <w:sz w:val="25"/>
        </w:rPr>
        <w:t>v</w:t>
      </w:r>
      <w:r>
        <w:rPr>
          <w:w w:val="99"/>
          <w:sz w:val="25"/>
        </w:rPr>
        <w:t>iden</w:t>
      </w:r>
      <w:r>
        <w:rPr>
          <w:w w:val="99"/>
          <w:sz w:val="25"/>
        </w:rPr>
        <w:t>ce</w:t>
      </w:r>
      <w:r>
        <w:rPr>
          <w:spacing w:val="1"/>
          <w:w w:val="99"/>
          <w:sz w:val="25"/>
        </w:rPr>
        <w:t>)</w:t>
      </w:r>
      <w:r>
        <w:rPr>
          <w:w w:val="99"/>
          <w:sz w:val="25"/>
        </w:rPr>
        <w:t>;</w:t>
      </w:r>
      <w:r>
        <w:rPr>
          <w:sz w:val="25"/>
        </w:rPr>
        <w:t> </w:t>
      </w:r>
      <w:r>
        <w:rPr>
          <w:spacing w:val="-10"/>
          <w:sz w:val="25"/>
        </w:rPr>
        <w:t> </w:t>
      </w:r>
      <w:r>
        <w:rPr>
          <w:w w:val="99"/>
          <w:sz w:val="25"/>
        </w:rPr>
        <w:t>de</w:t>
      </w:r>
      <w:r>
        <w:rPr>
          <w:w w:val="99"/>
          <w:sz w:val="25"/>
        </w:rPr>
        <w:t>fen</w:t>
      </w:r>
      <w:r>
        <w:rPr>
          <w:w w:val="99"/>
          <w:sz w:val="25"/>
        </w:rPr>
        <w:t>da</w:t>
      </w:r>
      <w:r>
        <w:rPr>
          <w:w w:val="99"/>
          <w:sz w:val="25"/>
        </w:rPr>
        <w:t>nt</w:t>
      </w:r>
      <w:r>
        <w:rPr>
          <w:sz w:val="25"/>
        </w:rPr>
        <w:t> </w:t>
      </w:r>
      <w:r>
        <w:rPr>
          <w:spacing w:val="-9"/>
          <w:sz w:val="25"/>
        </w:rPr>
        <w:t> </w:t>
      </w:r>
      <w:r>
        <w:rPr>
          <w:w w:val="99"/>
          <w:sz w:val="25"/>
        </w:rPr>
        <w:t>twen</w:t>
      </w:r>
      <w:r>
        <w:rPr>
          <w:w w:val="99"/>
          <w:sz w:val="25"/>
        </w:rPr>
        <w:t>ty</w:t>
      </w:r>
      <w:r>
        <w:rPr>
          <w:w w:val="99"/>
          <w:sz w:val="25"/>
        </w:rPr>
        <w:t>-</w:t>
      </w:r>
      <w:r>
        <w:rPr>
          <w:spacing w:val="-1"/>
          <w:w w:val="99"/>
          <w:sz w:val="25"/>
        </w:rPr>
        <w:t>o</w:t>
      </w:r>
      <w:r>
        <w:rPr>
          <w:w w:val="99"/>
          <w:sz w:val="25"/>
        </w:rPr>
        <w:t>ne</w:t>
      </w:r>
      <w:r>
        <w:rPr>
          <w:sz w:val="25"/>
        </w:rPr>
        <w:t> </w:t>
      </w:r>
      <w:r>
        <w:rPr>
          <w:spacing w:val="-10"/>
          <w:sz w:val="25"/>
        </w:rPr>
        <w:t> </w:t>
      </w:r>
      <w:r>
        <w:rPr>
          <w:spacing w:val="-1"/>
          <w:w w:val="99"/>
          <w:sz w:val="25"/>
        </w:rPr>
        <w:t>i</w:t>
      </w:r>
      <w:r>
        <w:rPr>
          <w:w w:val="99"/>
          <w:sz w:val="25"/>
        </w:rPr>
        <w:t>s</w:t>
      </w:r>
      <w:r>
        <w:rPr>
          <w:sz w:val="25"/>
        </w:rPr>
        <w:t> </w:t>
      </w:r>
      <w:r>
        <w:rPr>
          <w:spacing w:val="-10"/>
          <w:sz w:val="25"/>
        </w:rPr>
        <w:t> </w:t>
      </w:r>
      <w:r>
        <w:rPr>
          <w:spacing w:val="-1"/>
          <w:w w:val="99"/>
          <w:sz w:val="25"/>
        </w:rPr>
        <w:t>d</w:t>
      </w:r>
      <w:r>
        <w:rPr>
          <w:w w:val="99"/>
          <w:sz w:val="25"/>
        </w:rPr>
        <w:t>escr</w:t>
      </w:r>
      <w:r>
        <w:rPr>
          <w:spacing w:val="-3"/>
          <w:w w:val="99"/>
          <w:sz w:val="25"/>
        </w:rPr>
        <w:t>i</w:t>
      </w:r>
      <w:r>
        <w:rPr>
          <w:spacing w:val="-1"/>
          <w:w w:val="99"/>
          <w:sz w:val="25"/>
        </w:rPr>
        <w:t>b</w:t>
      </w:r>
      <w:r>
        <w:rPr>
          <w:w w:val="99"/>
          <w:sz w:val="25"/>
        </w:rPr>
        <w:t>ed</w:t>
      </w:r>
      <w:r>
        <w:rPr>
          <w:sz w:val="25"/>
        </w:rPr>
        <w:t> </w:t>
      </w:r>
      <w:r>
        <w:rPr>
          <w:spacing w:val="-10"/>
          <w:sz w:val="25"/>
        </w:rPr>
        <w:t> </w:t>
      </w:r>
      <w:r>
        <w:rPr>
          <w:spacing w:val="-1"/>
          <w:w w:val="99"/>
          <w:sz w:val="25"/>
        </w:rPr>
        <w:t>a</w:t>
      </w:r>
      <w:r>
        <w:rPr>
          <w:w w:val="99"/>
          <w:sz w:val="25"/>
        </w:rPr>
        <w:t>s</w:t>
      </w:r>
      <w:r>
        <w:rPr>
          <w:sz w:val="25"/>
        </w:rPr>
        <w:t> </w:t>
      </w:r>
      <w:r>
        <w:rPr>
          <w:spacing w:val="-10"/>
          <w:sz w:val="25"/>
        </w:rPr>
        <w:t> </w:t>
      </w:r>
      <w:r>
        <w:rPr>
          <w:w w:val="99"/>
          <w:sz w:val="25"/>
        </w:rPr>
        <w:t>the</w:t>
      </w:r>
      <w:r>
        <w:rPr>
          <w:sz w:val="25"/>
        </w:rPr>
        <w:t> </w:t>
      </w:r>
      <w:r>
        <w:rPr>
          <w:spacing w:val="-11"/>
          <w:sz w:val="25"/>
        </w:rPr>
        <w:t> </w:t>
      </w:r>
      <w:r>
        <w:rPr>
          <w:w w:val="33"/>
          <w:sz w:val="25"/>
        </w:rPr>
        <w:t>―</w:t>
      </w:r>
      <w:r>
        <w:rPr>
          <w:spacing w:val="-1"/>
          <w:w w:val="99"/>
          <w:sz w:val="25"/>
        </w:rPr>
        <w:t>S</w:t>
      </w:r>
      <w:r>
        <w:rPr>
          <w:w w:val="99"/>
          <w:sz w:val="25"/>
        </w:rPr>
        <w:t>ri</w:t>
      </w:r>
      <w:r>
        <w:rPr>
          <w:sz w:val="25"/>
        </w:rPr>
        <w:t> </w:t>
      </w:r>
      <w:r>
        <w:rPr>
          <w:spacing w:val="-10"/>
          <w:sz w:val="25"/>
        </w:rPr>
        <w:t> </w:t>
      </w:r>
      <w:r>
        <w:rPr>
          <w:spacing w:val="-1"/>
          <w:w w:val="99"/>
          <w:sz w:val="25"/>
        </w:rPr>
        <w:t>R</w:t>
      </w:r>
      <w:r>
        <w:rPr>
          <w:spacing w:val="-3"/>
          <w:w w:val="99"/>
          <w:sz w:val="25"/>
        </w:rPr>
        <w:t>a</w:t>
      </w:r>
      <w:r>
        <w:rPr>
          <w:w w:val="99"/>
          <w:sz w:val="25"/>
        </w:rPr>
        <w:t>m</w:t>
      </w:r>
      <w:r>
        <w:rPr>
          <w:sz w:val="25"/>
        </w:rPr>
        <w:t> </w:t>
      </w:r>
      <w:r>
        <w:rPr>
          <w:spacing w:val="-9"/>
          <w:sz w:val="25"/>
        </w:rPr>
        <w:t> </w:t>
      </w:r>
      <w:r>
        <w:rPr>
          <w:w w:val="99"/>
          <w:sz w:val="25"/>
        </w:rPr>
        <w:t>Janma</w:t>
      </w:r>
      <w:r>
        <w:rPr>
          <w:sz w:val="25"/>
        </w:rPr>
        <w:t> </w:t>
      </w:r>
      <w:r>
        <w:rPr>
          <w:spacing w:val="-10"/>
          <w:sz w:val="25"/>
        </w:rPr>
        <w:t> </w:t>
      </w:r>
      <w:r>
        <w:rPr>
          <w:spacing w:val="-1"/>
          <w:w w:val="99"/>
          <w:sz w:val="25"/>
        </w:rPr>
        <w:t>Bh</w:t>
      </w:r>
      <w:r>
        <w:rPr>
          <w:w w:val="99"/>
          <w:sz w:val="25"/>
        </w:rPr>
        <w:t>umi </w:t>
      </w:r>
      <w:r>
        <w:rPr>
          <w:sz w:val="25"/>
        </w:rPr>
        <w:t>Nyas‖, a trust which has been impleaded through its managing trustee Sri Ashok Singhal; defendants twenty-two to twenty-five are the Shia Central Board of Waqfs,</w:t>
      </w:r>
      <w:r>
        <w:rPr>
          <w:spacing w:val="42"/>
          <w:sz w:val="25"/>
        </w:rPr>
        <w:t> </w:t>
      </w:r>
      <w:r>
        <w:rPr>
          <w:sz w:val="25"/>
        </w:rPr>
        <w:t>individuals</w:t>
      </w:r>
      <w:r>
        <w:rPr>
          <w:spacing w:val="41"/>
          <w:sz w:val="25"/>
        </w:rPr>
        <w:t> </w:t>
      </w:r>
      <w:r>
        <w:rPr>
          <w:sz w:val="25"/>
        </w:rPr>
        <w:t>representing</w:t>
      </w:r>
      <w:r>
        <w:rPr>
          <w:spacing w:val="42"/>
          <w:sz w:val="25"/>
        </w:rPr>
        <w:t> </w:t>
      </w:r>
      <w:r>
        <w:rPr>
          <w:sz w:val="25"/>
        </w:rPr>
        <w:t>the</w:t>
      </w:r>
      <w:r>
        <w:rPr>
          <w:spacing w:val="42"/>
          <w:sz w:val="25"/>
        </w:rPr>
        <w:t> </w:t>
      </w:r>
      <w:r>
        <w:rPr>
          <w:sz w:val="25"/>
        </w:rPr>
        <w:t>Shias;</w:t>
      </w:r>
      <w:r>
        <w:rPr>
          <w:spacing w:val="40"/>
          <w:sz w:val="25"/>
        </w:rPr>
        <w:t> </w:t>
      </w:r>
      <w:r>
        <w:rPr>
          <w:sz w:val="25"/>
        </w:rPr>
        <w:t>defendant</w:t>
      </w:r>
      <w:r>
        <w:rPr>
          <w:spacing w:val="42"/>
          <w:sz w:val="25"/>
        </w:rPr>
        <w:t> </w:t>
      </w:r>
      <w:r>
        <w:rPr>
          <w:sz w:val="25"/>
        </w:rPr>
        <w:t>twenty-six</w:t>
      </w:r>
      <w:r>
        <w:rPr>
          <w:spacing w:val="41"/>
          <w:sz w:val="25"/>
        </w:rPr>
        <w:t> </w:t>
      </w:r>
      <w:r>
        <w:rPr>
          <w:sz w:val="25"/>
        </w:rPr>
        <w:t>is</w:t>
      </w:r>
      <w:r>
        <w:rPr>
          <w:spacing w:val="41"/>
          <w:sz w:val="25"/>
        </w:rPr>
        <w:t> </w:t>
      </w:r>
      <w:r>
        <w:rPr>
          <w:sz w:val="25"/>
        </w:rPr>
        <w:t>the</w:t>
      </w:r>
      <w:r>
        <w:rPr>
          <w:spacing w:val="42"/>
          <w:sz w:val="25"/>
        </w:rPr>
        <w:t> </w:t>
      </w:r>
      <w:r>
        <w:rPr>
          <w:sz w:val="25"/>
        </w:rPr>
        <w:t>General</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Secretary of the Jamaitul Ulema Hind U P and defendant twenty-seven is a Muslim resident of Faizabad.</w:t>
      </w:r>
    </w:p>
    <w:p>
      <w:pPr>
        <w:pStyle w:val="BodyText"/>
        <w:rPr>
          <w:sz w:val="28"/>
        </w:rPr>
      </w:pPr>
    </w:p>
    <w:p>
      <w:pPr>
        <w:pStyle w:val="Heading3"/>
        <w:numPr>
          <w:ilvl w:val="1"/>
          <w:numId w:val="56"/>
        </w:numPr>
        <w:tabs>
          <w:tab w:pos="1221" w:val="left" w:leader="none"/>
        </w:tabs>
        <w:spacing w:line="240" w:lineRule="auto" w:before="246" w:after="0"/>
        <w:ind w:left="1220" w:right="0" w:hanging="721"/>
        <w:jc w:val="both"/>
      </w:pPr>
      <w:r>
        <w:rPr/>
        <w:t>No contest by the State of Uttar</w:t>
      </w:r>
      <w:r>
        <w:rPr>
          <w:spacing w:val="-9"/>
        </w:rPr>
        <w:t> </w:t>
      </w:r>
      <w:r>
        <w:rPr/>
        <w:t>Pradesh</w:t>
      </w:r>
    </w:p>
    <w:p>
      <w:pPr>
        <w:pStyle w:val="BodyText"/>
        <w:rPr>
          <w:b/>
          <w:sz w:val="28"/>
        </w:rPr>
      </w:pPr>
    </w:p>
    <w:p>
      <w:pPr>
        <w:pStyle w:val="ListParagraph"/>
        <w:numPr>
          <w:ilvl w:val="0"/>
          <w:numId w:val="111"/>
        </w:numPr>
        <w:tabs>
          <w:tab w:pos="1221" w:val="left" w:leader="none"/>
        </w:tabs>
        <w:spacing w:line="240" w:lineRule="auto" w:before="217" w:after="0"/>
        <w:ind w:left="1220" w:right="0" w:hanging="721"/>
        <w:jc w:val="both"/>
        <w:rPr>
          <w:sz w:val="25"/>
        </w:rPr>
      </w:pPr>
      <w:r>
        <w:rPr>
          <w:sz w:val="25"/>
        </w:rPr>
        <w:t>The State of Uttar Pradesh filed a statement</w:t>
      </w:r>
      <w:r>
        <w:rPr>
          <w:spacing w:val="17"/>
          <w:sz w:val="25"/>
        </w:rPr>
        <w:t> </w:t>
      </w:r>
      <w:r>
        <w:rPr>
          <w:sz w:val="25"/>
        </w:rPr>
        <w:t>(in Suit 4 of 1989) stating that</w:t>
      </w:r>
    </w:p>
    <w:p>
      <w:pPr>
        <w:pStyle w:val="BodyText"/>
        <w:spacing w:before="10"/>
        <w:rPr>
          <w:sz w:val="24"/>
        </w:rPr>
      </w:pPr>
    </w:p>
    <w:p>
      <w:pPr>
        <w:pStyle w:val="BodyText"/>
        <w:spacing w:line="480" w:lineRule="auto"/>
        <w:ind w:left="500" w:right="435"/>
        <w:jc w:val="both"/>
      </w:pPr>
      <w:r>
        <w:rPr>
          <w:w w:val="33"/>
        </w:rPr>
        <w:t>―</w:t>
      </w:r>
      <w:r>
        <w:rPr>
          <w:w w:val="99"/>
        </w:rPr>
        <w:t>the</w:t>
      </w:r>
      <w:r>
        <w:rPr/>
        <w:t> </w:t>
      </w:r>
      <w:r>
        <w:rPr>
          <w:w w:val="99"/>
        </w:rPr>
        <w:t>government</w:t>
      </w:r>
      <w:r>
        <w:rPr/>
        <w:t> </w:t>
      </w:r>
      <w:r>
        <w:rPr>
          <w:w w:val="99"/>
        </w:rPr>
        <w:t>is</w:t>
      </w:r>
      <w:r>
        <w:rPr/>
        <w:t> </w:t>
      </w:r>
      <w:r>
        <w:rPr>
          <w:w w:val="99"/>
        </w:rPr>
        <w:t>not</w:t>
      </w:r>
      <w:r>
        <w:rPr/>
        <w:t> </w:t>
      </w:r>
      <w:r>
        <w:rPr>
          <w:w w:val="99"/>
        </w:rPr>
        <w:t>interested</w:t>
      </w:r>
      <w:r>
        <w:rPr/>
        <w:t> </w:t>
      </w:r>
      <w:r>
        <w:rPr>
          <w:w w:val="99"/>
        </w:rPr>
        <w:t>in</w:t>
      </w:r>
      <w:r>
        <w:rPr/>
        <w:t> </w:t>
      </w:r>
      <w:r>
        <w:rPr>
          <w:w w:val="99"/>
        </w:rPr>
        <w:t>the</w:t>
      </w:r>
      <w:r>
        <w:rPr/>
        <w:t> </w:t>
      </w:r>
      <w:r>
        <w:rPr>
          <w:w w:val="99"/>
        </w:rPr>
        <w:t>properties</w:t>
      </w:r>
      <w:r>
        <w:rPr/>
        <w:t> </w:t>
      </w:r>
      <w:r>
        <w:rPr>
          <w:w w:val="99"/>
        </w:rPr>
        <w:t>in</w:t>
      </w:r>
      <w:r>
        <w:rPr/>
        <w:t> </w:t>
      </w:r>
      <w:r>
        <w:rPr>
          <w:w w:val="99"/>
        </w:rPr>
        <w:t>dispu</w:t>
      </w:r>
      <w:r>
        <w:rPr>
          <w:w w:val="93"/>
        </w:rPr>
        <w:t>te‖</w:t>
      </w:r>
      <w:r>
        <w:rPr/>
        <w:t> </w:t>
      </w:r>
      <w:r>
        <w:rPr>
          <w:w w:val="99"/>
        </w:rPr>
        <w:t>and</w:t>
      </w:r>
      <w:r>
        <w:rPr/>
        <w:t> </w:t>
      </w:r>
      <w:r>
        <w:rPr>
          <w:w w:val="99"/>
        </w:rPr>
        <w:t>the</w:t>
      </w:r>
      <w:r>
        <w:rPr/>
        <w:t> </w:t>
      </w:r>
      <w:r>
        <w:rPr>
          <w:w w:val="99"/>
        </w:rPr>
        <w:t>actions</w:t>
      </w:r>
      <w:r>
        <w:rPr/>
        <w:t> </w:t>
      </w:r>
      <w:r>
        <w:rPr>
          <w:w w:val="99"/>
        </w:rPr>
        <w:t>of </w:t>
      </w:r>
      <w:r>
        <w:rPr/>
        <w:t>the officials in regard to the properties in dispute were </w:t>
      </w:r>
      <w:r>
        <w:rPr>
          <w:i/>
        </w:rPr>
        <w:t>bona fide </w:t>
      </w:r>
      <w:r>
        <w:rPr/>
        <w:t>in due discharge of their official duties.</w:t>
      </w:r>
    </w:p>
    <w:p>
      <w:pPr>
        <w:pStyle w:val="BodyText"/>
        <w:rPr>
          <w:sz w:val="28"/>
        </w:rPr>
      </w:pPr>
    </w:p>
    <w:p>
      <w:pPr>
        <w:pStyle w:val="Heading3"/>
        <w:numPr>
          <w:ilvl w:val="1"/>
          <w:numId w:val="56"/>
        </w:numPr>
        <w:tabs>
          <w:tab w:pos="1221" w:val="left" w:leader="none"/>
        </w:tabs>
        <w:spacing w:line="240" w:lineRule="auto" w:before="246" w:after="0"/>
        <w:ind w:left="1220" w:right="0" w:hanging="721"/>
        <w:jc w:val="both"/>
      </w:pPr>
      <w:r>
        <w:rPr/>
        <w:t>Pleadings</w:t>
      </w:r>
    </w:p>
    <w:p>
      <w:pPr>
        <w:pStyle w:val="BodyText"/>
        <w:rPr>
          <w:b/>
          <w:sz w:val="28"/>
        </w:rPr>
      </w:pPr>
    </w:p>
    <w:p>
      <w:pPr>
        <w:pStyle w:val="ListParagraph"/>
        <w:numPr>
          <w:ilvl w:val="0"/>
          <w:numId w:val="111"/>
        </w:numPr>
        <w:tabs>
          <w:tab w:pos="1221" w:val="left" w:leader="none"/>
        </w:tabs>
        <w:spacing w:line="480" w:lineRule="auto" w:before="219" w:after="0"/>
        <w:ind w:left="500" w:right="436" w:firstLine="0"/>
        <w:jc w:val="both"/>
        <w:rPr>
          <w:sz w:val="25"/>
        </w:rPr>
      </w:pPr>
      <w:r>
        <w:rPr>
          <w:sz w:val="25"/>
        </w:rPr>
        <w:t>The plaint in Suit 5 proceeds on the foundation that the first and second </w:t>
      </w:r>
      <w:r>
        <w:rPr>
          <w:spacing w:val="-1"/>
          <w:w w:val="99"/>
          <w:sz w:val="25"/>
        </w:rPr>
        <w:t>plai</w:t>
      </w:r>
      <w:r>
        <w:rPr>
          <w:w w:val="99"/>
          <w:sz w:val="25"/>
        </w:rPr>
        <w:t>ntiffs</w:t>
      </w:r>
      <w:r>
        <w:rPr>
          <w:spacing w:val="5"/>
          <w:sz w:val="25"/>
        </w:rPr>
        <w:t> </w:t>
      </w:r>
      <w:r>
        <w:rPr>
          <w:w w:val="33"/>
          <w:sz w:val="25"/>
        </w:rPr>
        <w:t>―</w:t>
      </w:r>
      <w:r>
        <w:rPr>
          <w:spacing w:val="-1"/>
          <w:w w:val="99"/>
          <w:sz w:val="25"/>
        </w:rPr>
        <w:t>a</w:t>
      </w:r>
      <w:r>
        <w:rPr>
          <w:w w:val="99"/>
          <w:sz w:val="25"/>
        </w:rPr>
        <w:t>re</w:t>
      </w:r>
      <w:r>
        <w:rPr>
          <w:spacing w:val="5"/>
          <w:sz w:val="25"/>
        </w:rPr>
        <w:t> </w:t>
      </w:r>
      <w:r>
        <w:rPr>
          <w:spacing w:val="-1"/>
          <w:w w:val="99"/>
          <w:sz w:val="25"/>
        </w:rPr>
        <w:t>ju</w:t>
      </w:r>
      <w:r>
        <w:rPr>
          <w:w w:val="99"/>
          <w:sz w:val="25"/>
        </w:rPr>
        <w:t>r</w:t>
      </w:r>
      <w:r>
        <w:rPr>
          <w:spacing w:val="-1"/>
          <w:w w:val="99"/>
          <w:sz w:val="25"/>
        </w:rPr>
        <w:t>idica</w:t>
      </w:r>
      <w:r>
        <w:rPr>
          <w:w w:val="99"/>
          <w:sz w:val="25"/>
        </w:rPr>
        <w:t>l</w:t>
      </w:r>
      <w:r>
        <w:rPr>
          <w:spacing w:val="2"/>
          <w:sz w:val="25"/>
        </w:rPr>
        <w:t> </w:t>
      </w:r>
      <w:r>
        <w:rPr>
          <w:spacing w:val="-1"/>
          <w:w w:val="99"/>
          <w:sz w:val="25"/>
        </w:rPr>
        <w:t>p</w:t>
      </w:r>
      <w:r>
        <w:rPr>
          <w:w w:val="99"/>
          <w:sz w:val="25"/>
        </w:rPr>
        <w:t>ersons</w:t>
      </w:r>
      <w:r>
        <w:rPr>
          <w:spacing w:val="4"/>
          <w:sz w:val="25"/>
        </w:rPr>
        <w:t> </w:t>
      </w:r>
      <w:r>
        <w:rPr>
          <w:spacing w:val="-1"/>
          <w:w w:val="99"/>
          <w:sz w:val="25"/>
        </w:rPr>
        <w:t>wit</w:t>
      </w:r>
      <w:r>
        <w:rPr>
          <w:w w:val="99"/>
          <w:sz w:val="25"/>
        </w:rPr>
        <w:t>h</w:t>
      </w:r>
      <w:r>
        <w:rPr>
          <w:spacing w:val="4"/>
          <w:sz w:val="25"/>
        </w:rPr>
        <w:t> </w:t>
      </w:r>
      <w:r>
        <w:rPr>
          <w:spacing w:val="-1"/>
          <w:w w:val="99"/>
          <w:sz w:val="25"/>
        </w:rPr>
        <w:t>Bh</w:t>
      </w:r>
      <w:r>
        <w:rPr>
          <w:w w:val="99"/>
          <w:sz w:val="25"/>
        </w:rPr>
        <w:t>a</w:t>
      </w:r>
      <w:r>
        <w:rPr>
          <w:spacing w:val="-1"/>
          <w:w w:val="99"/>
          <w:sz w:val="25"/>
        </w:rPr>
        <w:t>gwa</w:t>
      </w:r>
      <w:r>
        <w:rPr>
          <w:w w:val="99"/>
          <w:sz w:val="25"/>
        </w:rPr>
        <w:t>n</w:t>
      </w:r>
      <w:r>
        <w:rPr>
          <w:spacing w:val="10"/>
          <w:sz w:val="25"/>
        </w:rPr>
        <w:t> </w:t>
      </w:r>
      <w:r>
        <w:rPr>
          <w:spacing w:val="-1"/>
          <w:w w:val="99"/>
          <w:sz w:val="25"/>
        </w:rPr>
        <w:t>S</w:t>
      </w:r>
      <w:r>
        <w:rPr>
          <w:w w:val="99"/>
          <w:sz w:val="25"/>
        </w:rPr>
        <w:t>r</w:t>
      </w:r>
      <w:r>
        <w:rPr>
          <w:w w:val="99"/>
          <w:sz w:val="25"/>
        </w:rPr>
        <w:t>i</w:t>
      </w:r>
      <w:r>
        <w:rPr>
          <w:spacing w:val="4"/>
          <w:sz w:val="25"/>
        </w:rPr>
        <w:t> </w:t>
      </w:r>
      <w:r>
        <w:rPr>
          <w:w w:val="99"/>
          <w:sz w:val="25"/>
        </w:rPr>
        <w:t>Ram</w:t>
      </w:r>
      <w:r>
        <w:rPr>
          <w:w w:val="99"/>
          <w:sz w:val="25"/>
        </w:rPr>
        <w:t>a</w:t>
      </w:r>
      <w:r>
        <w:rPr>
          <w:spacing w:val="5"/>
          <w:sz w:val="25"/>
        </w:rPr>
        <w:t> </w:t>
      </w:r>
      <w:r>
        <w:rPr>
          <w:w w:val="99"/>
          <w:sz w:val="25"/>
        </w:rPr>
        <w:t>as</w:t>
      </w:r>
      <w:r>
        <w:rPr>
          <w:spacing w:val="5"/>
          <w:sz w:val="25"/>
        </w:rPr>
        <w:t> </w:t>
      </w:r>
      <w:r>
        <w:rPr>
          <w:w w:val="99"/>
          <w:sz w:val="25"/>
        </w:rPr>
        <w:t>a</w:t>
      </w:r>
      <w:r>
        <w:rPr>
          <w:spacing w:val="5"/>
          <w:sz w:val="25"/>
        </w:rPr>
        <w:t> </w:t>
      </w:r>
      <w:r>
        <w:rPr>
          <w:w w:val="99"/>
          <w:sz w:val="25"/>
        </w:rPr>
        <w:t>p</w:t>
      </w:r>
      <w:r>
        <w:rPr>
          <w:spacing w:val="1"/>
          <w:w w:val="99"/>
          <w:sz w:val="25"/>
        </w:rPr>
        <w:t>r</w:t>
      </w:r>
      <w:r>
        <w:rPr>
          <w:w w:val="99"/>
          <w:sz w:val="25"/>
        </w:rPr>
        <w:t>esiding</w:t>
      </w:r>
      <w:r>
        <w:rPr>
          <w:spacing w:val="5"/>
          <w:sz w:val="25"/>
        </w:rPr>
        <w:t> </w:t>
      </w:r>
      <w:r>
        <w:rPr>
          <w:w w:val="99"/>
          <w:sz w:val="25"/>
        </w:rPr>
        <w:t>de</w:t>
      </w:r>
      <w:r>
        <w:rPr>
          <w:w w:val="99"/>
          <w:sz w:val="25"/>
        </w:rPr>
        <w:t>ity</w:t>
      </w:r>
      <w:r>
        <w:rPr>
          <w:spacing w:val="2"/>
          <w:sz w:val="25"/>
        </w:rPr>
        <w:t> </w:t>
      </w:r>
      <w:r>
        <w:rPr>
          <w:w w:val="99"/>
          <w:sz w:val="25"/>
        </w:rPr>
        <w:t>of</w:t>
      </w:r>
      <w:r>
        <w:rPr>
          <w:spacing w:val="5"/>
          <w:sz w:val="25"/>
        </w:rPr>
        <w:t> </w:t>
      </w:r>
      <w:r>
        <w:rPr>
          <w:w w:val="99"/>
          <w:sz w:val="25"/>
        </w:rPr>
        <w:t>the </w:t>
      </w:r>
      <w:r>
        <w:rPr>
          <w:sz w:val="25"/>
        </w:rPr>
        <w:t>place‖. The third plaintiff is described as a ‗Vaishnava Hindu‘. The plaint adopts </w:t>
      </w:r>
      <w:r>
        <w:rPr>
          <w:w w:val="99"/>
          <w:sz w:val="25"/>
        </w:rPr>
        <w:t>for</w:t>
      </w:r>
      <w:r>
        <w:rPr>
          <w:spacing w:val="27"/>
          <w:sz w:val="25"/>
        </w:rPr>
        <w:t> </w:t>
      </w:r>
      <w:r>
        <w:rPr>
          <w:spacing w:val="-1"/>
          <w:w w:val="99"/>
          <w:sz w:val="25"/>
        </w:rPr>
        <w:t>it</w:t>
      </w:r>
      <w:r>
        <w:rPr>
          <w:w w:val="99"/>
          <w:sz w:val="25"/>
        </w:rPr>
        <w:t>s</w:t>
      </w:r>
      <w:r>
        <w:rPr>
          <w:spacing w:val="26"/>
          <w:sz w:val="25"/>
        </w:rPr>
        <w:t> </w:t>
      </w:r>
      <w:r>
        <w:rPr>
          <w:spacing w:val="-1"/>
          <w:w w:val="99"/>
          <w:sz w:val="25"/>
        </w:rPr>
        <w:t>d</w:t>
      </w:r>
      <w:r>
        <w:rPr>
          <w:w w:val="99"/>
          <w:sz w:val="25"/>
        </w:rPr>
        <w:t>escr</w:t>
      </w:r>
      <w:r>
        <w:rPr>
          <w:spacing w:val="-1"/>
          <w:w w:val="99"/>
          <w:sz w:val="25"/>
        </w:rPr>
        <w:t>iptio</w:t>
      </w:r>
      <w:r>
        <w:rPr>
          <w:w w:val="99"/>
          <w:sz w:val="25"/>
        </w:rPr>
        <w:t>n</w:t>
      </w:r>
      <w:r>
        <w:rPr>
          <w:spacing w:val="27"/>
          <w:sz w:val="25"/>
        </w:rPr>
        <w:t> </w:t>
      </w:r>
      <w:r>
        <w:rPr>
          <w:spacing w:val="-1"/>
          <w:w w:val="99"/>
          <w:sz w:val="25"/>
        </w:rPr>
        <w:t>o</w:t>
      </w:r>
      <w:r>
        <w:rPr>
          <w:w w:val="99"/>
          <w:sz w:val="25"/>
        </w:rPr>
        <w:t>f</w:t>
      </w:r>
      <w:r>
        <w:rPr>
          <w:spacing w:val="24"/>
          <w:sz w:val="25"/>
        </w:rPr>
        <w:t> </w:t>
      </w:r>
      <w:r>
        <w:rPr>
          <w:spacing w:val="-1"/>
          <w:w w:val="99"/>
          <w:sz w:val="25"/>
        </w:rPr>
        <w:t>Ra</w:t>
      </w:r>
      <w:r>
        <w:rPr>
          <w:w w:val="99"/>
          <w:sz w:val="25"/>
        </w:rPr>
        <w:t>m</w:t>
      </w:r>
      <w:r>
        <w:rPr>
          <w:spacing w:val="27"/>
          <w:sz w:val="25"/>
        </w:rPr>
        <w:t> </w:t>
      </w:r>
      <w:r>
        <w:rPr>
          <w:w w:val="99"/>
          <w:sz w:val="25"/>
        </w:rPr>
        <w:t>Janm</w:t>
      </w:r>
      <w:r>
        <w:rPr>
          <w:spacing w:val="-1"/>
          <w:w w:val="99"/>
          <w:sz w:val="25"/>
        </w:rPr>
        <w:t>a</w:t>
      </w:r>
      <w:r>
        <w:rPr>
          <w:w w:val="99"/>
          <w:sz w:val="25"/>
        </w:rPr>
        <w:t>b</w:t>
      </w:r>
      <w:r>
        <w:rPr>
          <w:spacing w:val="-1"/>
          <w:w w:val="99"/>
          <w:sz w:val="25"/>
        </w:rPr>
        <w:t>h</w:t>
      </w:r>
      <w:r>
        <w:rPr>
          <w:w w:val="99"/>
          <w:sz w:val="25"/>
        </w:rPr>
        <w:t>um</w:t>
      </w:r>
      <w:r>
        <w:rPr>
          <w:spacing w:val="-1"/>
          <w:w w:val="99"/>
          <w:sz w:val="25"/>
        </w:rPr>
        <w:t>i</w:t>
      </w:r>
      <w:r>
        <w:rPr>
          <w:w w:val="99"/>
          <w:sz w:val="25"/>
        </w:rPr>
        <w:t>,</w:t>
      </w:r>
      <w:r>
        <w:rPr>
          <w:spacing w:val="26"/>
          <w:sz w:val="25"/>
        </w:rPr>
        <w:t> </w:t>
      </w:r>
      <w:r>
        <w:rPr>
          <w:w w:val="33"/>
          <w:sz w:val="25"/>
        </w:rPr>
        <w:t>―</w:t>
      </w:r>
      <w:r>
        <w:rPr>
          <w:spacing w:val="-3"/>
          <w:w w:val="99"/>
          <w:sz w:val="25"/>
        </w:rPr>
        <w:t>t</w:t>
      </w:r>
      <w:r>
        <w:rPr>
          <w:spacing w:val="-1"/>
          <w:w w:val="99"/>
          <w:sz w:val="25"/>
        </w:rPr>
        <w:t>w</w:t>
      </w:r>
      <w:r>
        <w:rPr>
          <w:w w:val="99"/>
          <w:sz w:val="25"/>
        </w:rPr>
        <w:t>o</w:t>
      </w:r>
      <w:r>
        <w:rPr>
          <w:spacing w:val="26"/>
          <w:sz w:val="25"/>
        </w:rPr>
        <w:t> </w:t>
      </w:r>
      <w:r>
        <w:rPr>
          <w:w w:val="99"/>
          <w:sz w:val="25"/>
        </w:rPr>
        <w:t>site</w:t>
      </w:r>
      <w:r>
        <w:rPr>
          <w:spacing w:val="26"/>
          <w:sz w:val="25"/>
        </w:rPr>
        <w:t> </w:t>
      </w:r>
      <w:r>
        <w:rPr>
          <w:spacing w:val="-1"/>
          <w:w w:val="99"/>
          <w:sz w:val="25"/>
        </w:rPr>
        <w:t>pla</w:t>
      </w:r>
      <w:r>
        <w:rPr>
          <w:w w:val="99"/>
          <w:sz w:val="25"/>
        </w:rPr>
        <w:t>ns</w:t>
      </w:r>
      <w:r>
        <w:rPr>
          <w:spacing w:val="26"/>
          <w:sz w:val="25"/>
        </w:rPr>
        <w:t> </w:t>
      </w:r>
      <w:r>
        <w:rPr>
          <w:spacing w:val="-1"/>
          <w:w w:val="99"/>
          <w:sz w:val="25"/>
        </w:rPr>
        <w:t>o</w:t>
      </w:r>
      <w:r>
        <w:rPr>
          <w:w w:val="99"/>
          <w:sz w:val="25"/>
        </w:rPr>
        <w:t>f</w:t>
      </w:r>
      <w:r>
        <w:rPr>
          <w:spacing w:val="26"/>
          <w:sz w:val="25"/>
        </w:rPr>
        <w:t> </w:t>
      </w:r>
      <w:r>
        <w:rPr>
          <w:w w:val="99"/>
          <w:sz w:val="25"/>
        </w:rPr>
        <w:t>the</w:t>
      </w:r>
      <w:r>
        <w:rPr>
          <w:spacing w:val="24"/>
          <w:sz w:val="25"/>
        </w:rPr>
        <w:t> </w:t>
      </w:r>
      <w:r>
        <w:rPr>
          <w:spacing w:val="-1"/>
          <w:w w:val="99"/>
          <w:sz w:val="25"/>
        </w:rPr>
        <w:t>b</w:t>
      </w:r>
      <w:r>
        <w:rPr>
          <w:w w:val="99"/>
          <w:sz w:val="25"/>
        </w:rPr>
        <w:t>u</w:t>
      </w:r>
      <w:r>
        <w:rPr>
          <w:spacing w:val="-1"/>
          <w:w w:val="99"/>
          <w:sz w:val="25"/>
        </w:rPr>
        <w:t>ildin</w:t>
      </w:r>
      <w:r>
        <w:rPr>
          <w:w w:val="99"/>
          <w:sz w:val="25"/>
        </w:rPr>
        <w:t>g</w:t>
      </w:r>
      <w:r>
        <w:rPr>
          <w:spacing w:val="26"/>
          <w:sz w:val="25"/>
        </w:rPr>
        <w:t> </w:t>
      </w:r>
      <w:r>
        <w:rPr>
          <w:spacing w:val="-1"/>
          <w:w w:val="99"/>
          <w:sz w:val="25"/>
        </w:rPr>
        <w:t>p</w:t>
      </w:r>
      <w:r>
        <w:rPr>
          <w:w w:val="99"/>
          <w:sz w:val="25"/>
        </w:rPr>
        <w:t>r</w:t>
      </w:r>
      <w:r>
        <w:rPr>
          <w:spacing w:val="-1"/>
          <w:w w:val="99"/>
          <w:sz w:val="25"/>
        </w:rPr>
        <w:t>e</w:t>
      </w:r>
      <w:r>
        <w:rPr>
          <w:w w:val="99"/>
          <w:sz w:val="25"/>
        </w:rPr>
        <w:t>m</w:t>
      </w:r>
      <w:r>
        <w:rPr>
          <w:spacing w:val="-1"/>
          <w:w w:val="99"/>
          <w:sz w:val="25"/>
        </w:rPr>
        <w:t>ises </w:t>
      </w:r>
      <w:r>
        <w:rPr>
          <w:sz w:val="25"/>
        </w:rPr>
        <w:t>and of the adjacent area known as Sri Ram Janma Bhumi prepared by Shiv Shankar Lal‖ in discharge of his duty as a Commissioner appointed by the Court of the Civil Judge, Faizabad in Suit 1. These site plans together with his report are Annexures I, II and III to the</w:t>
      </w:r>
      <w:r>
        <w:rPr>
          <w:spacing w:val="-7"/>
          <w:sz w:val="25"/>
        </w:rPr>
        <w:t> </w:t>
      </w:r>
      <w:r>
        <w:rPr>
          <w:sz w:val="25"/>
        </w:rPr>
        <w:t>plaint.</w:t>
      </w:r>
    </w:p>
    <w:p>
      <w:pPr>
        <w:pStyle w:val="BodyText"/>
        <w:rPr>
          <w:sz w:val="39"/>
        </w:rPr>
      </w:pPr>
    </w:p>
    <w:p>
      <w:pPr>
        <w:pStyle w:val="ListParagraph"/>
        <w:numPr>
          <w:ilvl w:val="0"/>
          <w:numId w:val="111"/>
        </w:numPr>
        <w:tabs>
          <w:tab w:pos="1221" w:val="left" w:leader="none"/>
        </w:tabs>
        <w:spacing w:line="480" w:lineRule="auto" w:before="0" w:after="0"/>
        <w:ind w:left="500" w:right="440" w:firstLine="0"/>
        <w:jc w:val="both"/>
        <w:rPr>
          <w:sz w:val="25"/>
        </w:rPr>
      </w:pPr>
      <w:r>
        <w:rPr/>
        <w:pict>
          <v:rect style="position:absolute;margin-left:72.024002pt;margin-top:116.264877pt;width:144.020pt;height:.599980pt;mso-position-horizontal-relative:page;mso-position-vertical-relative:paragraph;z-index:-15673856;mso-wrap-distance-left:0;mso-wrap-distance-right:0" filled="true" fillcolor="#000000" stroked="false">
            <v:fill type="solid"/>
            <w10:wrap type="topAndBottom"/>
          </v:rect>
        </w:pict>
      </w:r>
      <w:r>
        <w:rPr>
          <w:sz w:val="25"/>
        </w:rPr>
        <w:t>After setting out a history of the earlier suits instituted before the civil court</w:t>
      </w:r>
      <w:r>
        <w:rPr>
          <w:sz w:val="25"/>
          <w:vertAlign w:val="superscript"/>
        </w:rPr>
        <w:t>208</w:t>
      </w:r>
      <w:r>
        <w:rPr>
          <w:sz w:val="25"/>
          <w:vertAlign w:val="baseline"/>
        </w:rPr>
        <w:t> and the proceedings under Section 145, the plaint states that these suits </w:t>
      </w:r>
      <w:r>
        <w:rPr>
          <w:w w:val="99"/>
          <w:sz w:val="25"/>
          <w:vertAlign w:val="baseline"/>
        </w:rPr>
        <w:t>continue</w:t>
      </w:r>
      <w:r>
        <w:rPr>
          <w:sz w:val="25"/>
          <w:vertAlign w:val="baseline"/>
        </w:rPr>
        <w:t> </w:t>
      </w:r>
      <w:r>
        <w:rPr>
          <w:spacing w:val="-17"/>
          <w:sz w:val="25"/>
          <w:vertAlign w:val="baseline"/>
        </w:rPr>
        <w:t> </w:t>
      </w:r>
      <w:r>
        <w:rPr>
          <w:w w:val="99"/>
          <w:sz w:val="25"/>
          <w:vertAlign w:val="baseline"/>
        </w:rPr>
        <w:t>to</w:t>
      </w:r>
      <w:r>
        <w:rPr>
          <w:sz w:val="25"/>
          <w:vertAlign w:val="baseline"/>
        </w:rPr>
        <w:t> </w:t>
      </w:r>
      <w:r>
        <w:rPr>
          <w:spacing w:val="-17"/>
          <w:sz w:val="25"/>
          <w:vertAlign w:val="baseline"/>
        </w:rPr>
        <w:t> </w:t>
      </w:r>
      <w:r>
        <w:rPr>
          <w:w w:val="99"/>
          <w:sz w:val="25"/>
          <w:vertAlign w:val="baseline"/>
        </w:rPr>
        <w:t>r</w:t>
      </w:r>
      <w:r>
        <w:rPr>
          <w:spacing w:val="-1"/>
          <w:w w:val="99"/>
          <w:sz w:val="25"/>
          <w:vertAlign w:val="baseline"/>
        </w:rPr>
        <w:t>e</w:t>
      </w:r>
      <w:r>
        <w:rPr>
          <w:w w:val="99"/>
          <w:sz w:val="25"/>
          <w:vertAlign w:val="baseline"/>
        </w:rPr>
        <w:t>m</w:t>
      </w:r>
      <w:r>
        <w:rPr>
          <w:spacing w:val="-1"/>
          <w:w w:val="99"/>
          <w:sz w:val="25"/>
          <w:vertAlign w:val="baseline"/>
        </w:rPr>
        <w:t>ai</w:t>
      </w:r>
      <w:r>
        <w:rPr>
          <w:w w:val="99"/>
          <w:sz w:val="25"/>
          <w:vertAlign w:val="baseline"/>
        </w:rPr>
        <w:t>n</w:t>
      </w:r>
      <w:r>
        <w:rPr>
          <w:sz w:val="25"/>
          <w:vertAlign w:val="baseline"/>
        </w:rPr>
        <w:t> </w:t>
      </w:r>
      <w:r>
        <w:rPr>
          <w:spacing w:val="-17"/>
          <w:sz w:val="25"/>
          <w:vertAlign w:val="baseline"/>
        </w:rPr>
        <w:t> </w:t>
      </w:r>
      <w:r>
        <w:rPr>
          <w:spacing w:val="-1"/>
          <w:w w:val="99"/>
          <w:sz w:val="25"/>
          <w:vertAlign w:val="baseline"/>
        </w:rPr>
        <w:t>p</w:t>
      </w:r>
      <w:r>
        <w:rPr>
          <w:w w:val="99"/>
          <w:sz w:val="25"/>
          <w:vertAlign w:val="baseline"/>
        </w:rPr>
        <w:t>e</w:t>
      </w:r>
      <w:r>
        <w:rPr>
          <w:spacing w:val="-1"/>
          <w:w w:val="99"/>
          <w:sz w:val="25"/>
          <w:vertAlign w:val="baseline"/>
        </w:rPr>
        <w:t>n</w:t>
      </w:r>
      <w:r>
        <w:rPr>
          <w:w w:val="99"/>
          <w:sz w:val="25"/>
          <w:vertAlign w:val="baseline"/>
        </w:rPr>
        <w:t>d</w:t>
      </w:r>
      <w:r>
        <w:rPr>
          <w:spacing w:val="-1"/>
          <w:w w:val="99"/>
          <w:sz w:val="25"/>
          <w:vertAlign w:val="baseline"/>
        </w:rPr>
        <w:t>in</w:t>
      </w:r>
      <w:r>
        <w:rPr>
          <w:w w:val="99"/>
          <w:sz w:val="25"/>
          <w:vertAlign w:val="baseline"/>
        </w:rPr>
        <w:t>g</w:t>
      </w:r>
      <w:r>
        <w:rPr>
          <w:sz w:val="25"/>
          <w:vertAlign w:val="baseline"/>
        </w:rPr>
        <w:t> </w:t>
      </w:r>
      <w:r>
        <w:rPr>
          <w:spacing w:val="-17"/>
          <w:sz w:val="25"/>
          <w:vertAlign w:val="baseline"/>
        </w:rPr>
        <w:t> </w:t>
      </w:r>
      <w:r>
        <w:rPr>
          <w:w w:val="33"/>
          <w:sz w:val="25"/>
          <w:vertAlign w:val="baseline"/>
        </w:rPr>
        <w:t>―</w:t>
      </w:r>
      <w:r>
        <w:rPr>
          <w:spacing w:val="-1"/>
          <w:w w:val="99"/>
          <w:sz w:val="25"/>
          <w:vertAlign w:val="baseline"/>
        </w:rPr>
        <w:t>wit</w:t>
      </w:r>
      <w:r>
        <w:rPr>
          <w:w w:val="99"/>
          <w:sz w:val="25"/>
          <w:vertAlign w:val="baseline"/>
        </w:rPr>
        <w:t>h</w:t>
      </w:r>
      <w:r>
        <w:rPr>
          <w:sz w:val="25"/>
          <w:vertAlign w:val="baseline"/>
        </w:rPr>
        <w:t> </w:t>
      </w:r>
      <w:r>
        <w:rPr>
          <w:spacing w:val="-17"/>
          <w:sz w:val="25"/>
          <w:vertAlign w:val="baseline"/>
        </w:rPr>
        <w:t> </w:t>
      </w:r>
      <w:r>
        <w:rPr>
          <w:w w:val="99"/>
          <w:sz w:val="25"/>
          <w:vertAlign w:val="baseline"/>
        </w:rPr>
        <w:t>a</w:t>
      </w:r>
      <w:r>
        <w:rPr>
          <w:sz w:val="25"/>
          <w:vertAlign w:val="baseline"/>
        </w:rPr>
        <w:t> </w:t>
      </w:r>
      <w:r>
        <w:rPr>
          <w:spacing w:val="-17"/>
          <w:sz w:val="25"/>
          <w:vertAlign w:val="baseline"/>
        </w:rPr>
        <w:t> </w:t>
      </w:r>
      <w:r>
        <w:rPr>
          <w:spacing w:val="-1"/>
          <w:w w:val="99"/>
          <w:sz w:val="25"/>
          <w:vertAlign w:val="baseline"/>
        </w:rPr>
        <w:t>di</w:t>
      </w:r>
      <w:r>
        <w:rPr>
          <w:w w:val="99"/>
          <w:sz w:val="25"/>
          <w:vertAlign w:val="baseline"/>
        </w:rPr>
        <w:t>m</w:t>
      </w:r>
      <w:r>
        <w:rPr>
          <w:sz w:val="25"/>
          <w:vertAlign w:val="baseline"/>
        </w:rPr>
        <w:t> </w:t>
      </w:r>
      <w:r>
        <w:rPr>
          <w:spacing w:val="-17"/>
          <w:sz w:val="25"/>
          <w:vertAlign w:val="baseline"/>
        </w:rPr>
        <w:t> </w:t>
      </w:r>
      <w:r>
        <w:rPr>
          <w:spacing w:val="2"/>
          <w:w w:val="99"/>
          <w:sz w:val="25"/>
          <w:vertAlign w:val="baseline"/>
        </w:rPr>
        <w:t>p</w:t>
      </w:r>
      <w:r>
        <w:rPr>
          <w:w w:val="99"/>
          <w:sz w:val="25"/>
          <w:vertAlign w:val="baseline"/>
        </w:rPr>
        <w:t>r</w:t>
      </w:r>
      <w:r>
        <w:rPr>
          <w:spacing w:val="-1"/>
          <w:w w:val="99"/>
          <w:sz w:val="25"/>
          <w:vertAlign w:val="baseline"/>
        </w:rPr>
        <w:t>os</w:t>
      </w:r>
      <w:r>
        <w:rPr>
          <w:w w:val="99"/>
          <w:sz w:val="25"/>
          <w:vertAlign w:val="baseline"/>
        </w:rPr>
        <w:t>p</w:t>
      </w:r>
      <w:r>
        <w:rPr>
          <w:spacing w:val="-1"/>
          <w:w w:val="99"/>
          <w:sz w:val="25"/>
          <w:vertAlign w:val="baseline"/>
        </w:rPr>
        <w:t>ec</w:t>
      </w:r>
      <w:r>
        <w:rPr>
          <w:w w:val="99"/>
          <w:sz w:val="25"/>
          <w:vertAlign w:val="baseline"/>
        </w:rPr>
        <w:t>t</w:t>
      </w:r>
      <w:r>
        <w:rPr>
          <w:sz w:val="25"/>
          <w:vertAlign w:val="baseline"/>
        </w:rPr>
        <w:t> </w:t>
      </w:r>
      <w:r>
        <w:rPr>
          <w:spacing w:val="-17"/>
          <w:sz w:val="25"/>
          <w:vertAlign w:val="baseline"/>
        </w:rPr>
        <w:t> </w:t>
      </w:r>
      <w:r>
        <w:rPr>
          <w:spacing w:val="-1"/>
          <w:w w:val="99"/>
          <w:sz w:val="25"/>
          <w:vertAlign w:val="baseline"/>
        </w:rPr>
        <w:t>o</w:t>
      </w:r>
      <w:r>
        <w:rPr>
          <w:w w:val="99"/>
          <w:sz w:val="25"/>
          <w:vertAlign w:val="baseline"/>
        </w:rPr>
        <w:t>f</w:t>
      </w:r>
      <w:r>
        <w:rPr>
          <w:sz w:val="25"/>
          <w:vertAlign w:val="baseline"/>
        </w:rPr>
        <w:t> </w:t>
      </w:r>
      <w:r>
        <w:rPr>
          <w:spacing w:val="-17"/>
          <w:sz w:val="25"/>
          <w:vertAlign w:val="baseline"/>
        </w:rPr>
        <w:t> </w:t>
      </w:r>
      <w:r>
        <w:rPr>
          <w:w w:val="99"/>
          <w:sz w:val="25"/>
          <w:vertAlign w:val="baseline"/>
        </w:rPr>
        <w:t>the</w:t>
      </w:r>
      <w:r>
        <w:rPr>
          <w:spacing w:val="-1"/>
          <w:w w:val="99"/>
          <w:sz w:val="25"/>
          <w:vertAlign w:val="baseline"/>
        </w:rPr>
        <w:t>i</w:t>
      </w:r>
      <w:r>
        <w:rPr>
          <w:w w:val="99"/>
          <w:sz w:val="25"/>
          <w:vertAlign w:val="baseline"/>
        </w:rPr>
        <w:t>r</w:t>
      </w:r>
      <w:r>
        <w:rPr>
          <w:sz w:val="25"/>
          <w:vertAlign w:val="baseline"/>
        </w:rPr>
        <w:t> </w:t>
      </w:r>
      <w:r>
        <w:rPr>
          <w:spacing w:val="-17"/>
          <w:sz w:val="25"/>
          <w:vertAlign w:val="baseline"/>
        </w:rPr>
        <w:t> </w:t>
      </w:r>
      <w:r>
        <w:rPr>
          <w:spacing w:val="-1"/>
          <w:w w:val="99"/>
          <w:sz w:val="25"/>
          <w:vertAlign w:val="baseline"/>
        </w:rPr>
        <w:t>im</w:t>
      </w:r>
      <w:r>
        <w:rPr>
          <w:spacing w:val="1"/>
          <w:w w:val="99"/>
          <w:sz w:val="25"/>
          <w:vertAlign w:val="baseline"/>
        </w:rPr>
        <w:t>m</w:t>
      </w:r>
      <w:r>
        <w:rPr>
          <w:spacing w:val="-1"/>
          <w:w w:val="99"/>
          <w:sz w:val="25"/>
          <w:vertAlign w:val="baseline"/>
        </w:rPr>
        <w:t>e</w:t>
      </w:r>
      <w:r>
        <w:rPr>
          <w:w w:val="99"/>
          <w:sz w:val="25"/>
          <w:vertAlign w:val="baseline"/>
        </w:rPr>
        <w:t>d</w:t>
      </w:r>
      <w:r>
        <w:rPr>
          <w:spacing w:val="-1"/>
          <w:w w:val="99"/>
          <w:sz w:val="25"/>
          <w:vertAlign w:val="baseline"/>
        </w:rPr>
        <w:t>iat</w:t>
      </w:r>
      <w:r>
        <w:rPr>
          <w:w w:val="99"/>
          <w:sz w:val="25"/>
          <w:vertAlign w:val="baseline"/>
        </w:rPr>
        <w:t>e</w:t>
      </w:r>
      <w:r>
        <w:rPr>
          <w:sz w:val="25"/>
          <w:vertAlign w:val="baseline"/>
        </w:rPr>
        <w:t> </w:t>
      </w:r>
      <w:r>
        <w:rPr>
          <w:spacing w:val="-17"/>
          <w:sz w:val="25"/>
          <w:vertAlign w:val="baseline"/>
        </w:rPr>
        <w:t> </w:t>
      </w:r>
      <w:r>
        <w:rPr>
          <w:spacing w:val="-1"/>
          <w:w w:val="99"/>
          <w:sz w:val="25"/>
          <w:vertAlign w:val="baseline"/>
        </w:rPr>
        <w:t>h</w:t>
      </w:r>
      <w:r>
        <w:rPr>
          <w:w w:val="99"/>
          <w:sz w:val="25"/>
          <w:vertAlign w:val="baseline"/>
        </w:rPr>
        <w:t>e</w:t>
      </w:r>
      <w:r>
        <w:rPr>
          <w:spacing w:val="-1"/>
          <w:w w:val="99"/>
          <w:sz w:val="25"/>
          <w:vertAlign w:val="baseline"/>
        </w:rPr>
        <w:t>a</w:t>
      </w:r>
      <w:r>
        <w:rPr>
          <w:w w:val="99"/>
          <w:sz w:val="25"/>
          <w:vertAlign w:val="baseline"/>
        </w:rPr>
        <w:t>r</w:t>
      </w:r>
      <w:r>
        <w:rPr>
          <w:spacing w:val="-1"/>
          <w:w w:val="95"/>
          <w:sz w:val="25"/>
          <w:vertAlign w:val="baseline"/>
        </w:rPr>
        <w:t>ing</w:t>
      </w:r>
      <w:r>
        <w:rPr>
          <w:spacing w:val="1"/>
          <w:w w:val="95"/>
          <w:sz w:val="25"/>
          <w:vertAlign w:val="baseline"/>
        </w:rPr>
        <w:t>‖</w:t>
      </w:r>
      <w:r>
        <w:rPr>
          <w:w w:val="99"/>
          <w:sz w:val="25"/>
          <w:vertAlign w:val="baseline"/>
        </w:rPr>
        <w:t>. </w:t>
      </w:r>
      <w:r>
        <w:rPr>
          <w:sz w:val="25"/>
          <w:vertAlign w:val="baseline"/>
        </w:rPr>
        <w:t>Though,</w:t>
      </w:r>
      <w:r>
        <w:rPr>
          <w:spacing w:val="25"/>
          <w:sz w:val="25"/>
          <w:vertAlign w:val="baseline"/>
        </w:rPr>
        <w:t> </w:t>
      </w:r>
      <w:r>
        <w:rPr>
          <w:sz w:val="25"/>
          <w:vertAlign w:val="baseline"/>
        </w:rPr>
        <w:t>the</w:t>
      </w:r>
      <w:r>
        <w:rPr>
          <w:spacing w:val="26"/>
          <w:sz w:val="25"/>
          <w:vertAlign w:val="baseline"/>
        </w:rPr>
        <w:t> </w:t>
      </w:r>
      <w:r>
        <w:rPr>
          <w:sz w:val="25"/>
          <w:vertAlign w:val="baseline"/>
        </w:rPr>
        <w:t>seva</w:t>
      </w:r>
      <w:r>
        <w:rPr>
          <w:spacing w:val="25"/>
          <w:sz w:val="25"/>
          <w:vertAlign w:val="baseline"/>
        </w:rPr>
        <w:t> </w:t>
      </w:r>
      <w:r>
        <w:rPr>
          <w:sz w:val="25"/>
          <w:vertAlign w:val="baseline"/>
        </w:rPr>
        <w:t>and</w:t>
      </w:r>
      <w:r>
        <w:rPr>
          <w:spacing w:val="25"/>
          <w:sz w:val="25"/>
          <w:vertAlign w:val="baseline"/>
        </w:rPr>
        <w:t> </w:t>
      </w:r>
      <w:r>
        <w:rPr>
          <w:sz w:val="25"/>
          <w:vertAlign w:val="baseline"/>
        </w:rPr>
        <w:t>puja</w:t>
      </w:r>
      <w:r>
        <w:rPr>
          <w:spacing w:val="25"/>
          <w:sz w:val="25"/>
          <w:vertAlign w:val="baseline"/>
        </w:rPr>
        <w:t> </w:t>
      </w:r>
      <w:r>
        <w:rPr>
          <w:sz w:val="25"/>
          <w:vertAlign w:val="baseline"/>
        </w:rPr>
        <w:t>of</w:t>
      </w:r>
      <w:r>
        <w:rPr>
          <w:spacing w:val="25"/>
          <w:sz w:val="25"/>
          <w:vertAlign w:val="baseline"/>
        </w:rPr>
        <w:t> </w:t>
      </w:r>
      <w:r>
        <w:rPr>
          <w:sz w:val="25"/>
          <w:vertAlign w:val="baseline"/>
        </w:rPr>
        <w:t>the</w:t>
      </w:r>
      <w:r>
        <w:rPr>
          <w:spacing w:val="26"/>
          <w:sz w:val="25"/>
          <w:vertAlign w:val="baseline"/>
        </w:rPr>
        <w:t> </w:t>
      </w:r>
      <w:r>
        <w:rPr>
          <w:sz w:val="25"/>
          <w:vertAlign w:val="baseline"/>
        </w:rPr>
        <w:t>plaintiff</w:t>
      </w:r>
      <w:r>
        <w:rPr>
          <w:spacing w:val="23"/>
          <w:sz w:val="25"/>
          <w:vertAlign w:val="baseline"/>
        </w:rPr>
        <w:t> </w:t>
      </w:r>
      <w:r>
        <w:rPr>
          <w:sz w:val="25"/>
          <w:vertAlign w:val="baseline"/>
        </w:rPr>
        <w:t>deities</w:t>
      </w:r>
      <w:r>
        <w:rPr>
          <w:spacing w:val="25"/>
          <w:sz w:val="25"/>
          <w:vertAlign w:val="baseline"/>
        </w:rPr>
        <w:t> </w:t>
      </w:r>
      <w:r>
        <w:rPr>
          <w:sz w:val="25"/>
          <w:vertAlign w:val="baseline"/>
        </w:rPr>
        <w:t>is</w:t>
      </w:r>
      <w:r>
        <w:rPr>
          <w:spacing w:val="25"/>
          <w:sz w:val="25"/>
          <w:vertAlign w:val="baseline"/>
        </w:rPr>
        <w:t> </w:t>
      </w:r>
      <w:r>
        <w:rPr>
          <w:sz w:val="25"/>
          <w:vertAlign w:val="baseline"/>
        </w:rPr>
        <w:t>stated</w:t>
      </w:r>
      <w:r>
        <w:rPr>
          <w:spacing w:val="25"/>
          <w:sz w:val="25"/>
          <w:vertAlign w:val="baseline"/>
        </w:rPr>
        <w:t> </w:t>
      </w:r>
      <w:r>
        <w:rPr>
          <w:sz w:val="25"/>
          <w:vertAlign w:val="baseline"/>
        </w:rPr>
        <w:t>to</w:t>
      </w:r>
      <w:r>
        <w:rPr>
          <w:spacing w:val="25"/>
          <w:sz w:val="25"/>
          <w:vertAlign w:val="baseline"/>
        </w:rPr>
        <w:t> </w:t>
      </w:r>
      <w:r>
        <w:rPr>
          <w:sz w:val="25"/>
          <w:vertAlign w:val="baseline"/>
        </w:rPr>
        <w:t>have</w:t>
      </w:r>
      <w:r>
        <w:rPr>
          <w:spacing w:val="25"/>
          <w:sz w:val="25"/>
          <w:vertAlign w:val="baseline"/>
        </w:rPr>
        <w:t> </w:t>
      </w:r>
      <w:r>
        <w:rPr>
          <w:sz w:val="25"/>
          <w:vertAlign w:val="baseline"/>
        </w:rPr>
        <w:t>been</w:t>
      </w:r>
      <w:r>
        <w:rPr>
          <w:spacing w:val="25"/>
          <w:sz w:val="25"/>
          <w:vertAlign w:val="baseline"/>
        </w:rPr>
        <w:t> </w:t>
      </w:r>
      <w:r>
        <w:rPr>
          <w:sz w:val="25"/>
          <w:vertAlign w:val="baseline"/>
        </w:rPr>
        <w:t>carried</w:t>
      </w:r>
    </w:p>
    <w:p>
      <w:pPr>
        <w:spacing w:before="80"/>
        <w:ind w:left="500" w:right="0" w:firstLine="0"/>
        <w:jc w:val="left"/>
        <w:rPr>
          <w:sz w:val="18"/>
        </w:rPr>
      </w:pPr>
      <w:r>
        <w:rPr>
          <w:sz w:val="18"/>
          <w:vertAlign w:val="superscript"/>
        </w:rPr>
        <w:t>208</w:t>
      </w:r>
      <w:r>
        <w:rPr>
          <w:sz w:val="18"/>
          <w:vertAlign w:val="baseline"/>
        </w:rPr>
        <w:t> Suit 2 of 1950, Suit 25 of 1950, Suit 26 of 1959 and Suit 12 of 1961</w:t>
      </w:r>
    </w:p>
    <w:p>
      <w:pPr>
        <w:spacing w:after="0"/>
        <w:jc w:val="left"/>
        <w:rPr>
          <w:sz w:val="18"/>
        </w:rPr>
        <w:sectPr>
          <w:pgSz w:w="11910" w:h="16840"/>
          <w:pgMar w:header="721" w:footer="1014" w:top="1300" w:bottom="1200" w:left="940" w:right="1000"/>
        </w:sectPr>
      </w:pPr>
    </w:p>
    <w:p>
      <w:pPr>
        <w:pStyle w:val="BodyText"/>
        <w:spacing w:line="480" w:lineRule="auto" w:before="124"/>
        <w:ind w:left="500" w:right="447"/>
        <w:jc w:val="both"/>
      </w:pPr>
      <w:r>
        <w:rPr/>
        <w:t>out properly, it has been stated that darshan has been allowed only from behind a</w:t>
      </w:r>
      <w:r>
        <w:rPr>
          <w:spacing w:val="22"/>
        </w:rPr>
        <w:t> </w:t>
      </w:r>
      <w:r>
        <w:rPr/>
        <w:t>barrier</w:t>
      </w:r>
      <w:r>
        <w:rPr>
          <w:spacing w:val="23"/>
        </w:rPr>
        <w:t> </w:t>
      </w:r>
      <w:r>
        <w:rPr/>
        <w:t>for</w:t>
      </w:r>
      <w:r>
        <w:rPr>
          <w:spacing w:val="24"/>
        </w:rPr>
        <w:t> </w:t>
      </w:r>
      <w:r>
        <w:rPr/>
        <w:t>Hindu</w:t>
      </w:r>
      <w:r>
        <w:rPr>
          <w:spacing w:val="23"/>
        </w:rPr>
        <w:t> </w:t>
      </w:r>
      <w:r>
        <w:rPr/>
        <w:t>devotees.</w:t>
      </w:r>
      <w:r>
        <w:rPr>
          <w:spacing w:val="23"/>
        </w:rPr>
        <w:t> </w:t>
      </w:r>
      <w:r>
        <w:rPr/>
        <w:t>The</w:t>
      </w:r>
      <w:r>
        <w:rPr>
          <w:spacing w:val="22"/>
        </w:rPr>
        <w:t> </w:t>
      </w:r>
      <w:r>
        <w:rPr/>
        <w:t>plaintiff</w:t>
      </w:r>
      <w:r>
        <w:rPr>
          <w:spacing w:val="27"/>
        </w:rPr>
        <w:t> </w:t>
      </w:r>
      <w:r>
        <w:rPr/>
        <w:t>deities</w:t>
      </w:r>
      <w:r>
        <w:rPr>
          <w:spacing w:val="23"/>
        </w:rPr>
        <w:t> </w:t>
      </w:r>
      <w:r>
        <w:rPr/>
        <w:t>and</w:t>
      </w:r>
      <w:r>
        <w:rPr>
          <w:spacing w:val="23"/>
        </w:rPr>
        <w:t> </w:t>
      </w:r>
      <w:r>
        <w:rPr/>
        <w:t>devotees</w:t>
      </w:r>
      <w:r>
        <w:rPr>
          <w:spacing w:val="24"/>
        </w:rPr>
        <w:t> </w:t>
      </w:r>
      <w:r>
        <w:rPr/>
        <w:t>are</w:t>
      </w:r>
      <w:r>
        <w:rPr>
          <w:spacing w:val="23"/>
        </w:rPr>
        <w:t> </w:t>
      </w:r>
      <w:r>
        <w:rPr/>
        <w:t>stated</w:t>
      </w:r>
      <w:r>
        <w:rPr>
          <w:spacing w:val="23"/>
        </w:rPr>
        <w:t> </w:t>
      </w:r>
      <w:r>
        <w:rPr/>
        <w:t>to</w:t>
      </w:r>
      <w:r>
        <w:rPr>
          <w:spacing w:val="23"/>
        </w:rPr>
        <w:t> </w:t>
      </w:r>
      <w:r>
        <w:rPr/>
        <w:t>be</w:t>
      </w:r>
    </w:p>
    <w:p>
      <w:pPr>
        <w:pStyle w:val="BodyText"/>
        <w:spacing w:line="480" w:lineRule="auto"/>
        <w:ind w:left="500" w:right="436"/>
        <w:jc w:val="both"/>
      </w:pPr>
      <w:r>
        <w:rPr>
          <w:w w:val="33"/>
        </w:rPr>
        <w:t>―</w:t>
      </w:r>
      <w:r>
        <w:rPr>
          <w:spacing w:val="-1"/>
          <w:w w:val="99"/>
        </w:rPr>
        <w:t>e</w:t>
      </w:r>
      <w:r>
        <w:rPr>
          <w:spacing w:val="-3"/>
          <w:w w:val="99"/>
        </w:rPr>
        <w:t>x</w:t>
      </w:r>
      <w:r>
        <w:rPr>
          <w:w w:val="99"/>
        </w:rPr>
        <w:t>tr</w:t>
      </w:r>
      <w:r>
        <w:rPr>
          <w:spacing w:val="-1"/>
          <w:w w:val="99"/>
        </w:rPr>
        <w:t>e</w:t>
      </w:r>
      <w:r>
        <w:rPr>
          <w:w w:val="99"/>
        </w:rPr>
        <w:t>m</w:t>
      </w:r>
      <w:r>
        <w:rPr>
          <w:spacing w:val="-1"/>
          <w:w w:val="99"/>
        </w:rPr>
        <w:t>el</w:t>
      </w:r>
      <w:r>
        <w:rPr>
          <w:w w:val="99"/>
        </w:rPr>
        <w:t>y</w:t>
      </w:r>
      <w:r>
        <w:rPr>
          <w:spacing w:val="19"/>
        </w:rPr>
        <w:t> </w:t>
      </w:r>
      <w:r>
        <w:rPr>
          <w:spacing w:val="-1"/>
          <w:w w:val="99"/>
        </w:rPr>
        <w:t>u</w:t>
      </w:r>
      <w:r>
        <w:rPr>
          <w:w w:val="99"/>
        </w:rPr>
        <w:t>n</w:t>
      </w:r>
      <w:r>
        <w:rPr>
          <w:spacing w:val="-1"/>
          <w:w w:val="99"/>
        </w:rPr>
        <w:t>h</w:t>
      </w:r>
      <w:r>
        <w:rPr>
          <w:w w:val="99"/>
        </w:rPr>
        <w:t>a</w:t>
      </w:r>
      <w:r>
        <w:rPr>
          <w:spacing w:val="-1"/>
          <w:w w:val="99"/>
        </w:rPr>
        <w:t>p</w:t>
      </w:r>
      <w:r>
        <w:rPr>
          <w:spacing w:val="2"/>
          <w:w w:val="99"/>
        </w:rPr>
        <w:t>p</w:t>
      </w:r>
      <w:r>
        <w:rPr>
          <w:spacing w:val="-3"/>
          <w:w w:val="99"/>
        </w:rPr>
        <w:t>y</w:t>
      </w:r>
      <w:r>
        <w:rPr>
          <w:w w:val="80"/>
        </w:rPr>
        <w:t>‖</w:t>
      </w:r>
      <w:r>
        <w:rPr>
          <w:spacing w:val="22"/>
        </w:rPr>
        <w:t> </w:t>
      </w:r>
      <w:r>
        <w:rPr>
          <w:spacing w:val="-1"/>
          <w:w w:val="99"/>
        </w:rPr>
        <w:t>wit</w:t>
      </w:r>
      <w:r>
        <w:rPr>
          <w:w w:val="99"/>
        </w:rPr>
        <w:t>h</w:t>
      </w:r>
      <w:r>
        <w:rPr>
          <w:spacing w:val="21"/>
        </w:rPr>
        <w:t> </w:t>
      </w:r>
      <w:r>
        <w:rPr>
          <w:w w:val="99"/>
        </w:rPr>
        <w:t>the</w:t>
      </w:r>
      <w:r>
        <w:rPr>
          <w:spacing w:val="22"/>
        </w:rPr>
        <w:t> </w:t>
      </w:r>
      <w:r>
        <w:rPr>
          <w:spacing w:val="-1"/>
          <w:w w:val="99"/>
        </w:rPr>
        <w:t>d</w:t>
      </w:r>
      <w:r>
        <w:rPr>
          <w:w w:val="99"/>
        </w:rPr>
        <w:t>e</w:t>
      </w:r>
      <w:r>
        <w:rPr>
          <w:spacing w:val="-1"/>
          <w:w w:val="99"/>
        </w:rPr>
        <w:t>la</w:t>
      </w:r>
      <w:r>
        <w:rPr>
          <w:w w:val="99"/>
        </w:rPr>
        <w:t>y</w:t>
      </w:r>
      <w:r>
        <w:rPr>
          <w:spacing w:val="19"/>
        </w:rPr>
        <w:t> </w:t>
      </w:r>
      <w:r>
        <w:rPr>
          <w:spacing w:val="-1"/>
          <w:w w:val="99"/>
        </w:rPr>
        <w:t>i</w:t>
      </w:r>
      <w:r>
        <w:rPr>
          <w:w w:val="99"/>
        </w:rPr>
        <w:t>n</w:t>
      </w:r>
      <w:r>
        <w:rPr>
          <w:spacing w:val="21"/>
        </w:rPr>
        <w:t> </w:t>
      </w:r>
      <w:r>
        <w:rPr>
          <w:w w:val="99"/>
        </w:rPr>
        <w:t>the</w:t>
      </w:r>
      <w:r>
        <w:rPr>
          <w:spacing w:val="22"/>
        </w:rPr>
        <w:t> </w:t>
      </w:r>
      <w:r>
        <w:rPr>
          <w:spacing w:val="-1"/>
          <w:w w:val="99"/>
        </w:rPr>
        <w:t>disp</w:t>
      </w:r>
      <w:r>
        <w:rPr>
          <w:w w:val="99"/>
        </w:rPr>
        <w:t>osal</w:t>
      </w:r>
      <w:r>
        <w:rPr>
          <w:spacing w:val="21"/>
        </w:rPr>
        <w:t> </w:t>
      </w:r>
      <w:r>
        <w:rPr>
          <w:spacing w:val="-1"/>
          <w:w w:val="99"/>
        </w:rPr>
        <w:t>o</w:t>
      </w:r>
      <w:r>
        <w:rPr>
          <w:w w:val="99"/>
        </w:rPr>
        <w:t>f</w:t>
      </w:r>
      <w:r>
        <w:rPr>
          <w:spacing w:val="22"/>
        </w:rPr>
        <w:t> </w:t>
      </w:r>
      <w:r>
        <w:rPr>
          <w:w w:val="99"/>
        </w:rPr>
        <w:t>the</w:t>
      </w:r>
      <w:r>
        <w:rPr>
          <w:spacing w:val="22"/>
        </w:rPr>
        <w:t> </w:t>
      </w:r>
      <w:r>
        <w:rPr>
          <w:w w:val="99"/>
        </w:rPr>
        <w:t>suits,</w:t>
      </w:r>
      <w:r>
        <w:rPr>
          <w:spacing w:val="22"/>
        </w:rPr>
        <w:t> </w:t>
      </w:r>
      <w:r>
        <w:rPr>
          <w:w w:val="99"/>
        </w:rPr>
        <w:t>t</w:t>
      </w:r>
      <w:r>
        <w:rPr>
          <w:spacing w:val="8"/>
          <w:w w:val="99"/>
        </w:rPr>
        <w:t>h</w:t>
      </w:r>
      <w:r>
        <w:rPr>
          <w:w w:val="99"/>
        </w:rPr>
        <w:t>e</w:t>
      </w:r>
      <w:r>
        <w:rPr>
          <w:spacing w:val="21"/>
        </w:rPr>
        <w:t> </w:t>
      </w:r>
      <w:r>
        <w:rPr>
          <w:w w:val="99"/>
        </w:rPr>
        <w:t>de</w:t>
      </w:r>
      <w:r>
        <w:rPr>
          <w:w w:val="99"/>
        </w:rPr>
        <w:t>te</w:t>
      </w:r>
      <w:r>
        <w:rPr>
          <w:spacing w:val="1"/>
          <w:w w:val="99"/>
        </w:rPr>
        <w:t>r</w:t>
      </w:r>
      <w:r>
        <w:rPr>
          <w:w w:val="99"/>
        </w:rPr>
        <w:t>ior</w:t>
      </w:r>
      <w:r>
        <w:rPr>
          <w:w w:val="99"/>
        </w:rPr>
        <w:t>ation </w:t>
      </w:r>
      <w:r>
        <w:rPr/>
        <w:t>in the management of the affairs of the temple and with the alleged misappropriation of the offerings of worshippers by pujaris and other temple staff. The Hindu devotees, it has been stated, are desirous of having a new temple constructed after removing the existing structure at Ram Janmabhumi. According to the plaint, the head of the Ramananda Sampradaya was entrusted with the task of addressing the mismanagement of the temple and facilitating the construction of a new temple. This eventually led to the Deed of Trust dated 18 December 1985 which was registered with the Sub-Registrar. The trust has been </w:t>
      </w:r>
      <w:r>
        <w:rPr>
          <w:spacing w:val="-1"/>
          <w:w w:val="99"/>
        </w:rPr>
        <w:t>n</w:t>
      </w:r>
      <w:r>
        <w:rPr>
          <w:w w:val="99"/>
        </w:rPr>
        <w:t>am</w:t>
      </w:r>
      <w:r>
        <w:rPr>
          <w:spacing w:val="-1"/>
          <w:w w:val="99"/>
        </w:rPr>
        <w:t>e</w:t>
      </w:r>
      <w:r>
        <w:rPr>
          <w:w w:val="99"/>
        </w:rPr>
        <w:t>d</w:t>
      </w:r>
      <w:r>
        <w:rPr/>
        <w:t> </w:t>
      </w:r>
      <w:r>
        <w:rPr>
          <w:spacing w:val="14"/>
        </w:rPr>
        <w:t> </w:t>
      </w:r>
      <w:r>
        <w:rPr>
          <w:w w:val="99"/>
        </w:rPr>
        <w:t>the</w:t>
      </w:r>
      <w:r>
        <w:rPr/>
        <w:t> </w:t>
      </w:r>
      <w:r>
        <w:rPr>
          <w:spacing w:val="15"/>
        </w:rPr>
        <w:t> </w:t>
      </w:r>
      <w:r>
        <w:rPr>
          <w:w w:val="33"/>
        </w:rPr>
        <w:t>―</w:t>
      </w:r>
      <w:r>
        <w:rPr>
          <w:spacing w:val="-1"/>
          <w:w w:val="99"/>
        </w:rPr>
        <w:t>S</w:t>
      </w:r>
      <w:r>
        <w:rPr>
          <w:w w:val="99"/>
        </w:rPr>
        <w:t>ri</w:t>
      </w:r>
      <w:r>
        <w:rPr/>
        <w:t> </w:t>
      </w:r>
      <w:r>
        <w:rPr>
          <w:spacing w:val="14"/>
        </w:rPr>
        <w:t> </w:t>
      </w:r>
      <w:r>
        <w:rPr>
          <w:spacing w:val="-1"/>
          <w:w w:val="99"/>
        </w:rPr>
        <w:t>R</w:t>
      </w:r>
      <w:r>
        <w:rPr>
          <w:spacing w:val="-3"/>
          <w:w w:val="99"/>
        </w:rPr>
        <w:t>a</w:t>
      </w:r>
      <w:r>
        <w:rPr>
          <w:w w:val="99"/>
        </w:rPr>
        <w:t>m</w:t>
      </w:r>
      <w:r>
        <w:rPr/>
        <w:t> </w:t>
      </w:r>
      <w:r>
        <w:rPr>
          <w:spacing w:val="15"/>
        </w:rPr>
        <w:t> </w:t>
      </w:r>
      <w:r>
        <w:rPr>
          <w:w w:val="99"/>
        </w:rPr>
        <w:t>Janma</w:t>
      </w:r>
      <w:r>
        <w:rPr/>
        <w:t> </w:t>
      </w:r>
      <w:r>
        <w:rPr>
          <w:spacing w:val="14"/>
        </w:rPr>
        <w:t> </w:t>
      </w:r>
      <w:r>
        <w:rPr>
          <w:spacing w:val="-1"/>
          <w:w w:val="99"/>
        </w:rPr>
        <w:t>Bh</w:t>
      </w:r>
      <w:r>
        <w:rPr>
          <w:w w:val="99"/>
        </w:rPr>
        <w:t>umi</w:t>
      </w:r>
      <w:r>
        <w:rPr/>
        <w:t> </w:t>
      </w:r>
      <w:r>
        <w:rPr>
          <w:spacing w:val="14"/>
        </w:rPr>
        <w:t> </w:t>
      </w:r>
      <w:r>
        <w:rPr>
          <w:spacing w:val="-1"/>
          <w:w w:val="96"/>
        </w:rPr>
        <w:t>Nyas</w:t>
      </w:r>
      <w:r>
        <w:rPr>
          <w:w w:val="96"/>
        </w:rPr>
        <w:t>‖</w:t>
      </w:r>
      <w:r>
        <w:rPr/>
        <w:t> </w:t>
      </w:r>
      <w:r>
        <w:rPr>
          <w:spacing w:val="15"/>
        </w:rPr>
        <w:t> </w:t>
      </w:r>
      <w:r>
        <w:rPr>
          <w:spacing w:val="-1"/>
          <w:w w:val="99"/>
        </w:rPr>
        <w:t>a</w:t>
      </w:r>
      <w:r>
        <w:rPr>
          <w:w w:val="99"/>
        </w:rPr>
        <w:t>nd</w:t>
      </w:r>
      <w:r>
        <w:rPr/>
        <w:t> </w:t>
      </w:r>
      <w:r>
        <w:rPr>
          <w:spacing w:val="14"/>
        </w:rPr>
        <w:t> </w:t>
      </w:r>
      <w:r>
        <w:rPr>
          <w:w w:val="99"/>
        </w:rPr>
        <w:t>consists</w:t>
      </w:r>
      <w:r>
        <w:rPr/>
        <w:t> </w:t>
      </w:r>
      <w:r>
        <w:rPr>
          <w:spacing w:val="14"/>
        </w:rPr>
        <w:t> </w:t>
      </w:r>
      <w:r>
        <w:rPr>
          <w:spacing w:val="-1"/>
          <w:w w:val="99"/>
        </w:rPr>
        <w:t>o</w:t>
      </w:r>
      <w:r>
        <w:rPr>
          <w:w w:val="99"/>
        </w:rPr>
        <w:t>f</w:t>
      </w:r>
      <w:r>
        <w:rPr/>
        <w:t> </w:t>
      </w:r>
      <w:r>
        <w:rPr>
          <w:spacing w:val="15"/>
        </w:rPr>
        <w:t> </w:t>
      </w:r>
      <w:r>
        <w:rPr>
          <w:w w:val="99"/>
        </w:rPr>
        <w:t>ten</w:t>
      </w:r>
      <w:r>
        <w:rPr/>
        <w:t> </w:t>
      </w:r>
      <w:r>
        <w:rPr>
          <w:spacing w:val="15"/>
        </w:rPr>
        <w:t> </w:t>
      </w:r>
      <w:r>
        <w:rPr>
          <w:w w:val="99"/>
        </w:rPr>
        <w:t>tr</w:t>
      </w:r>
      <w:r>
        <w:rPr>
          <w:spacing w:val="-1"/>
          <w:w w:val="99"/>
        </w:rPr>
        <w:t>ust</w:t>
      </w:r>
      <w:r>
        <w:rPr>
          <w:w w:val="99"/>
        </w:rPr>
        <w:t>e</w:t>
      </w:r>
      <w:r>
        <w:rPr>
          <w:spacing w:val="-1"/>
          <w:w w:val="99"/>
        </w:rPr>
        <w:t>es</w:t>
      </w:r>
      <w:r>
        <w:rPr>
          <w:w w:val="99"/>
        </w:rPr>
        <w:t>.</w:t>
      </w:r>
      <w:r>
        <w:rPr/>
        <w:t> </w:t>
      </w:r>
      <w:r>
        <w:rPr>
          <w:spacing w:val="15"/>
        </w:rPr>
        <w:t> </w:t>
      </w:r>
      <w:r>
        <w:rPr>
          <w:w w:val="99"/>
        </w:rPr>
        <w:t>In </w:t>
      </w:r>
      <w:r>
        <w:rPr/>
        <w:t>addition, the Vishva Hindu Parishad, through its Marga Darshak Mandal is to nominate four trustees, which it did. Further, five trustees have been nominated </w:t>
      </w:r>
      <w:r>
        <w:rPr>
          <w:w w:val="99"/>
        </w:rPr>
        <w:t>fr</w:t>
      </w:r>
      <w:r>
        <w:rPr>
          <w:spacing w:val="-1"/>
          <w:w w:val="99"/>
        </w:rPr>
        <w:t>o</w:t>
      </w:r>
      <w:r>
        <w:rPr>
          <w:w w:val="99"/>
        </w:rPr>
        <w:t>m</w:t>
      </w:r>
      <w:r>
        <w:rPr>
          <w:spacing w:val="3"/>
        </w:rPr>
        <w:t> </w:t>
      </w:r>
      <w:r>
        <w:rPr>
          <w:spacing w:val="-1"/>
          <w:w w:val="99"/>
        </w:rPr>
        <w:t>a</w:t>
      </w:r>
      <w:r>
        <w:rPr>
          <w:w w:val="99"/>
        </w:rPr>
        <w:t>m</w:t>
      </w:r>
      <w:r>
        <w:rPr>
          <w:spacing w:val="-1"/>
          <w:w w:val="99"/>
        </w:rPr>
        <w:t>o</w:t>
      </w:r>
      <w:r>
        <w:rPr>
          <w:w w:val="99"/>
        </w:rPr>
        <w:t>n</w:t>
      </w:r>
      <w:r>
        <w:rPr>
          <w:spacing w:val="-1"/>
          <w:w w:val="99"/>
        </w:rPr>
        <w:t>gs</w:t>
      </w:r>
      <w:r>
        <w:rPr>
          <w:w w:val="99"/>
        </w:rPr>
        <w:t>t</w:t>
      </w:r>
      <w:r>
        <w:rPr>
          <w:spacing w:val="2"/>
        </w:rPr>
        <w:t> </w:t>
      </w:r>
      <w:r>
        <w:rPr>
          <w:w w:val="33"/>
        </w:rPr>
        <w:t>―</w:t>
      </w:r>
      <w:r>
        <w:rPr>
          <w:spacing w:val="-1"/>
          <w:w w:val="99"/>
        </w:rPr>
        <w:t>e</w:t>
      </w:r>
      <w:r>
        <w:rPr>
          <w:w w:val="99"/>
        </w:rPr>
        <w:t>m</w:t>
      </w:r>
      <w:r>
        <w:rPr>
          <w:spacing w:val="-1"/>
          <w:w w:val="99"/>
        </w:rPr>
        <w:t>in</w:t>
      </w:r>
      <w:r>
        <w:rPr>
          <w:spacing w:val="-2"/>
          <w:w w:val="99"/>
        </w:rPr>
        <w:t>e</w:t>
      </w:r>
      <w:r>
        <w:rPr>
          <w:spacing w:val="-1"/>
          <w:w w:val="99"/>
        </w:rPr>
        <w:t>n</w:t>
      </w:r>
      <w:r>
        <w:rPr>
          <w:w w:val="99"/>
        </w:rPr>
        <w:t>t</w:t>
      </w:r>
      <w:r>
        <w:rPr>
          <w:spacing w:val="2"/>
        </w:rPr>
        <w:t> </w:t>
      </w:r>
      <w:r>
        <w:rPr>
          <w:spacing w:val="-1"/>
          <w:w w:val="99"/>
        </w:rPr>
        <w:t>Hind</w:t>
      </w:r>
      <w:r>
        <w:rPr>
          <w:w w:val="99"/>
        </w:rPr>
        <w:t>u</w:t>
      </w:r>
      <w:r>
        <w:rPr>
          <w:spacing w:val="2"/>
        </w:rPr>
        <w:t> </w:t>
      </w:r>
      <w:r>
        <w:rPr>
          <w:w w:val="99"/>
        </w:rPr>
        <w:t>citizens</w:t>
      </w:r>
      <w:r>
        <w:rPr>
          <w:spacing w:val="2"/>
        </w:rPr>
        <w:t> </w:t>
      </w:r>
      <w:r>
        <w:rPr>
          <w:spacing w:val="-1"/>
          <w:w w:val="99"/>
        </w:rPr>
        <w:t>o</w:t>
      </w:r>
      <w:r>
        <w:rPr>
          <w:w w:val="99"/>
        </w:rPr>
        <w:t>f</w:t>
      </w:r>
      <w:r>
        <w:rPr>
          <w:spacing w:val="2"/>
        </w:rPr>
        <w:t> </w:t>
      </w:r>
      <w:r>
        <w:rPr>
          <w:w w:val="99"/>
        </w:rPr>
        <w:t>I</w:t>
      </w:r>
      <w:r>
        <w:rPr>
          <w:spacing w:val="2"/>
          <w:w w:val="99"/>
        </w:rPr>
        <w:t>n</w:t>
      </w:r>
      <w:r>
        <w:rPr>
          <w:spacing w:val="-1"/>
          <w:w w:val="95"/>
        </w:rPr>
        <w:t>dia</w:t>
      </w:r>
      <w:r>
        <w:rPr>
          <w:spacing w:val="1"/>
          <w:w w:val="95"/>
        </w:rPr>
        <w:t>‖</w:t>
      </w:r>
      <w:r>
        <w:rPr>
          <w:w w:val="99"/>
        </w:rPr>
        <w:t>.</w:t>
      </w:r>
      <w:r>
        <w:rPr>
          <w:spacing w:val="2"/>
        </w:rPr>
        <w:t> </w:t>
      </w:r>
      <w:r>
        <w:rPr>
          <w:w w:val="99"/>
        </w:rPr>
        <w:t>Of</w:t>
      </w:r>
      <w:r>
        <w:rPr>
          <w:spacing w:val="2"/>
        </w:rPr>
        <w:t> </w:t>
      </w:r>
      <w:r>
        <w:rPr>
          <w:w w:val="99"/>
        </w:rPr>
        <w:t>the</w:t>
      </w:r>
      <w:r>
        <w:rPr>
          <w:spacing w:val="2"/>
        </w:rPr>
        <w:t> </w:t>
      </w:r>
      <w:r>
        <w:rPr>
          <w:spacing w:val="-1"/>
          <w:w w:val="99"/>
        </w:rPr>
        <w:t>af</w:t>
      </w:r>
      <w:r>
        <w:rPr>
          <w:w w:val="99"/>
        </w:rPr>
        <w:t>or</w:t>
      </w:r>
      <w:r>
        <w:rPr>
          <w:spacing w:val="-1"/>
          <w:w w:val="99"/>
        </w:rPr>
        <w:t>es</w:t>
      </w:r>
      <w:r>
        <w:rPr>
          <w:w w:val="99"/>
        </w:rPr>
        <w:t>a</w:t>
      </w:r>
      <w:r>
        <w:rPr>
          <w:spacing w:val="-1"/>
          <w:w w:val="99"/>
        </w:rPr>
        <w:t>i</w:t>
      </w:r>
      <w:r>
        <w:rPr>
          <w:w w:val="99"/>
        </w:rPr>
        <w:t>d</w:t>
      </w:r>
      <w:r>
        <w:rPr>
          <w:spacing w:val="2"/>
        </w:rPr>
        <w:t> </w:t>
      </w:r>
      <w:r>
        <w:rPr>
          <w:w w:val="99"/>
        </w:rPr>
        <w:t>fi</w:t>
      </w:r>
      <w:r>
        <w:rPr>
          <w:spacing w:val="-3"/>
          <w:w w:val="99"/>
        </w:rPr>
        <w:t>v</w:t>
      </w:r>
      <w:r>
        <w:rPr>
          <w:w w:val="99"/>
        </w:rPr>
        <w:t>e</w:t>
      </w:r>
      <w:r>
        <w:rPr>
          <w:spacing w:val="2"/>
        </w:rPr>
        <w:t> </w:t>
      </w:r>
      <w:r>
        <w:rPr>
          <w:spacing w:val="-1"/>
          <w:w w:val="99"/>
        </w:rPr>
        <w:t>p</w:t>
      </w:r>
      <w:r>
        <w:rPr>
          <w:w w:val="99"/>
        </w:rPr>
        <w:t>ersons,</w:t>
      </w:r>
      <w:r>
        <w:rPr>
          <w:spacing w:val="2"/>
        </w:rPr>
        <w:t> </w:t>
      </w:r>
      <w:r>
        <w:rPr>
          <w:w w:val="99"/>
        </w:rPr>
        <w:t>the </w:t>
      </w:r>
      <w:r>
        <w:rPr/>
        <w:t>third plaintiff was nominated as one of the trustees. Ram Janmabhumi Nyas is stated to be directly interested in the seva-puja and other affairs of the plaintiff </w:t>
      </w:r>
      <w:r>
        <w:rPr>
          <w:spacing w:val="-1"/>
          <w:w w:val="99"/>
        </w:rPr>
        <w:t>d</w:t>
      </w:r>
      <w:r>
        <w:rPr>
          <w:w w:val="99"/>
        </w:rPr>
        <w:t>e</w:t>
      </w:r>
      <w:r>
        <w:rPr>
          <w:spacing w:val="-1"/>
          <w:w w:val="99"/>
        </w:rPr>
        <w:t>ities</w:t>
      </w:r>
      <w:r>
        <w:rPr>
          <w:w w:val="99"/>
        </w:rPr>
        <w:t>.</w:t>
      </w:r>
      <w:r>
        <w:rPr>
          <w:spacing w:val="21"/>
        </w:rPr>
        <w:t> </w:t>
      </w:r>
      <w:r>
        <w:rPr>
          <w:w w:val="99"/>
        </w:rPr>
        <w:t>T</w:t>
      </w:r>
      <w:r>
        <w:rPr>
          <w:spacing w:val="-1"/>
          <w:w w:val="99"/>
        </w:rPr>
        <w:t>h</w:t>
      </w:r>
      <w:r>
        <w:rPr>
          <w:w w:val="99"/>
        </w:rPr>
        <w:t>e</w:t>
      </w:r>
      <w:r>
        <w:rPr>
          <w:spacing w:val="21"/>
        </w:rPr>
        <w:t> </w:t>
      </w:r>
      <w:r>
        <w:rPr>
          <w:spacing w:val="-1"/>
          <w:w w:val="99"/>
        </w:rPr>
        <w:t>plai</w:t>
      </w:r>
      <w:r>
        <w:rPr>
          <w:w w:val="99"/>
        </w:rPr>
        <w:t>ntiffs</w:t>
      </w:r>
      <w:r>
        <w:rPr>
          <w:spacing w:val="19"/>
        </w:rPr>
        <w:t> </w:t>
      </w:r>
      <w:r>
        <w:rPr>
          <w:w w:val="99"/>
        </w:rPr>
        <w:t>fu</w:t>
      </w:r>
      <w:r>
        <w:rPr>
          <w:spacing w:val="1"/>
          <w:w w:val="99"/>
        </w:rPr>
        <w:t>r</w:t>
      </w:r>
      <w:r>
        <w:rPr>
          <w:w w:val="99"/>
        </w:rPr>
        <w:t>ther</w:t>
      </w:r>
      <w:r>
        <w:rPr>
          <w:spacing w:val="22"/>
        </w:rPr>
        <w:t> </w:t>
      </w:r>
      <w:r>
        <w:rPr>
          <w:spacing w:val="-1"/>
          <w:w w:val="99"/>
        </w:rPr>
        <w:t>indic</w:t>
      </w:r>
      <w:r>
        <w:rPr>
          <w:w w:val="99"/>
        </w:rPr>
        <w:t>ate</w:t>
      </w:r>
      <w:r>
        <w:rPr>
          <w:spacing w:val="19"/>
        </w:rPr>
        <w:t> </w:t>
      </w:r>
      <w:r>
        <w:rPr>
          <w:w w:val="99"/>
        </w:rPr>
        <w:t>that</w:t>
      </w:r>
      <w:r>
        <w:rPr>
          <w:spacing w:val="21"/>
        </w:rPr>
        <w:t> </w:t>
      </w:r>
      <w:r>
        <w:rPr>
          <w:spacing w:val="-3"/>
          <w:w w:val="99"/>
        </w:rPr>
        <w:t>t</w:t>
      </w:r>
      <w:r>
        <w:rPr>
          <w:spacing w:val="-1"/>
          <w:w w:val="99"/>
        </w:rPr>
        <w:t>h</w:t>
      </w:r>
      <w:r>
        <w:rPr>
          <w:w w:val="99"/>
        </w:rPr>
        <w:t>e</w:t>
      </w:r>
      <w:r>
        <w:rPr>
          <w:spacing w:val="21"/>
        </w:rPr>
        <w:t> </w:t>
      </w:r>
      <w:r>
        <w:rPr>
          <w:spacing w:val="-1"/>
          <w:w w:val="99"/>
        </w:rPr>
        <w:t>e</w:t>
      </w:r>
      <w:r>
        <w:rPr>
          <w:spacing w:val="-3"/>
          <w:w w:val="99"/>
        </w:rPr>
        <w:t>x</w:t>
      </w:r>
      <w:r>
        <w:rPr>
          <w:spacing w:val="-1"/>
          <w:w w:val="99"/>
        </w:rPr>
        <w:t>istin</w:t>
      </w:r>
      <w:r>
        <w:rPr>
          <w:w w:val="99"/>
        </w:rPr>
        <w:t>g</w:t>
      </w:r>
      <w:r>
        <w:rPr>
          <w:spacing w:val="22"/>
        </w:rPr>
        <w:t> </w:t>
      </w:r>
      <w:r>
        <w:rPr>
          <w:w w:val="99"/>
        </w:rPr>
        <w:t>suits</w:t>
      </w:r>
      <w:r>
        <w:rPr>
          <w:spacing w:val="21"/>
        </w:rPr>
        <w:t> </w:t>
      </w:r>
      <w:r>
        <w:rPr>
          <w:w w:val="33"/>
        </w:rPr>
        <w:t>―</w:t>
      </w:r>
      <w:r>
        <w:rPr>
          <w:spacing w:val="-1"/>
          <w:w w:val="99"/>
        </w:rPr>
        <w:t>a</w:t>
      </w:r>
      <w:r>
        <w:rPr>
          <w:w w:val="99"/>
        </w:rPr>
        <w:t>re</w:t>
      </w:r>
      <w:r>
        <w:rPr>
          <w:spacing w:val="19"/>
        </w:rPr>
        <w:t> </w:t>
      </w:r>
      <w:r>
        <w:rPr>
          <w:spacing w:val="-1"/>
          <w:w w:val="99"/>
        </w:rPr>
        <w:t>ina</w:t>
      </w:r>
      <w:r>
        <w:rPr>
          <w:w w:val="99"/>
        </w:rPr>
        <w:t>d</w:t>
      </w:r>
      <w:r>
        <w:rPr>
          <w:spacing w:val="-1"/>
          <w:w w:val="99"/>
        </w:rPr>
        <w:t>e</w:t>
      </w:r>
      <w:r>
        <w:rPr>
          <w:w w:val="99"/>
        </w:rPr>
        <w:t>q</w:t>
      </w:r>
      <w:r>
        <w:rPr>
          <w:spacing w:val="-1"/>
          <w:w w:val="99"/>
        </w:rPr>
        <w:t>u</w:t>
      </w:r>
      <w:r>
        <w:rPr>
          <w:w w:val="99"/>
        </w:rPr>
        <w:t>a</w:t>
      </w:r>
      <w:r>
        <w:rPr>
          <w:w w:val="93"/>
        </w:rPr>
        <w:t>te‖</w:t>
      </w:r>
      <w:r>
        <w:rPr>
          <w:spacing w:val="22"/>
        </w:rPr>
        <w:t> </w:t>
      </w:r>
      <w:r>
        <w:rPr>
          <w:spacing w:val="-1"/>
          <w:w w:val="99"/>
        </w:rPr>
        <w:t>a</w:t>
      </w:r>
      <w:r>
        <w:rPr>
          <w:spacing w:val="-2"/>
          <w:w w:val="99"/>
        </w:rPr>
        <w:t>n</w:t>
      </w:r>
      <w:r>
        <w:rPr>
          <w:w w:val="99"/>
        </w:rPr>
        <w:t>d </w:t>
      </w:r>
      <w:r>
        <w:rPr/>
        <w:t>cannot result in a settlement of the dispute as neither the presiding deity, Bhagwan Sri Ram Virajman, nor Asthan Sri Ram Janma Bhumi (both of whom are stated to be juridical persons) were impleaded in the previous suits. </w:t>
      </w:r>
      <w:r>
        <w:rPr>
          <w:spacing w:val="-2"/>
          <w:w w:val="99"/>
        </w:rPr>
        <w:t>M</w:t>
      </w:r>
      <w:r>
        <w:rPr>
          <w:spacing w:val="-1"/>
          <w:w w:val="99"/>
        </w:rPr>
        <w:t>o</w:t>
      </w:r>
      <w:r>
        <w:rPr>
          <w:w w:val="99"/>
        </w:rPr>
        <w:t>r</w:t>
      </w:r>
      <w:r>
        <w:rPr>
          <w:spacing w:val="-1"/>
          <w:w w:val="99"/>
        </w:rPr>
        <w:t>e</w:t>
      </w:r>
      <w:r>
        <w:rPr>
          <w:w w:val="99"/>
        </w:rPr>
        <w:t>o</w:t>
      </w:r>
      <w:r>
        <w:rPr>
          <w:spacing w:val="-3"/>
          <w:w w:val="99"/>
        </w:rPr>
        <w:t>v</w:t>
      </w:r>
      <w:r>
        <w:rPr>
          <w:spacing w:val="-1"/>
          <w:w w:val="99"/>
        </w:rPr>
        <w:t>e</w:t>
      </w:r>
      <w:r>
        <w:rPr>
          <w:w w:val="99"/>
        </w:rPr>
        <w:t>r,</w:t>
      </w:r>
      <w:r>
        <w:rPr>
          <w:spacing w:val="26"/>
        </w:rPr>
        <w:t> </w:t>
      </w:r>
      <w:r>
        <w:rPr>
          <w:spacing w:val="-1"/>
          <w:w w:val="99"/>
        </w:rPr>
        <w:t>i</w:t>
      </w:r>
      <w:r>
        <w:rPr>
          <w:w w:val="99"/>
        </w:rPr>
        <w:t>t</w:t>
      </w:r>
      <w:r>
        <w:rPr>
          <w:spacing w:val="26"/>
        </w:rPr>
        <w:t> </w:t>
      </w:r>
      <w:r>
        <w:rPr>
          <w:spacing w:val="-1"/>
          <w:w w:val="99"/>
        </w:rPr>
        <w:t>i</w:t>
      </w:r>
      <w:r>
        <w:rPr>
          <w:w w:val="99"/>
        </w:rPr>
        <w:t>s</w:t>
      </w:r>
      <w:r>
        <w:rPr>
          <w:spacing w:val="26"/>
        </w:rPr>
        <w:t> </w:t>
      </w:r>
      <w:r>
        <w:rPr>
          <w:spacing w:val="-1"/>
          <w:w w:val="99"/>
        </w:rPr>
        <w:t>alle</w:t>
      </w:r>
      <w:r>
        <w:rPr>
          <w:w w:val="99"/>
        </w:rPr>
        <w:t>g</w:t>
      </w:r>
      <w:r>
        <w:rPr>
          <w:spacing w:val="-1"/>
          <w:w w:val="99"/>
        </w:rPr>
        <w:t>e</w:t>
      </w:r>
      <w:r>
        <w:rPr>
          <w:w w:val="99"/>
        </w:rPr>
        <w:t>d</w:t>
      </w:r>
      <w:r>
        <w:rPr>
          <w:spacing w:val="26"/>
        </w:rPr>
        <w:t> </w:t>
      </w:r>
      <w:r>
        <w:rPr>
          <w:w w:val="99"/>
        </w:rPr>
        <w:t>that</w:t>
      </w:r>
      <w:r>
        <w:rPr>
          <w:spacing w:val="26"/>
        </w:rPr>
        <w:t> </w:t>
      </w:r>
      <w:r>
        <w:rPr>
          <w:w w:val="99"/>
        </w:rPr>
        <w:t>so</w:t>
      </w:r>
      <w:r>
        <w:rPr>
          <w:spacing w:val="1"/>
          <w:w w:val="99"/>
        </w:rPr>
        <w:t>m</w:t>
      </w:r>
      <w:r>
        <w:rPr>
          <w:w w:val="99"/>
        </w:rPr>
        <w:t>e</w:t>
      </w:r>
      <w:r>
        <w:rPr>
          <w:spacing w:val="24"/>
        </w:rPr>
        <w:t> </w:t>
      </w:r>
      <w:r>
        <w:rPr>
          <w:spacing w:val="-1"/>
          <w:w w:val="99"/>
        </w:rPr>
        <w:t>o</w:t>
      </w:r>
      <w:r>
        <w:rPr>
          <w:w w:val="99"/>
        </w:rPr>
        <w:t>f</w:t>
      </w:r>
      <w:r>
        <w:rPr>
          <w:spacing w:val="26"/>
        </w:rPr>
        <w:t> </w:t>
      </w:r>
      <w:r>
        <w:rPr>
          <w:w w:val="99"/>
        </w:rPr>
        <w:t>t</w:t>
      </w:r>
      <w:r>
        <w:rPr>
          <w:spacing w:val="-2"/>
          <w:w w:val="99"/>
        </w:rPr>
        <w:t>h</w:t>
      </w:r>
      <w:r>
        <w:rPr>
          <w:w w:val="99"/>
        </w:rPr>
        <w:t>e</w:t>
      </w:r>
      <w:r>
        <w:rPr>
          <w:spacing w:val="26"/>
        </w:rPr>
        <w:t> </w:t>
      </w:r>
      <w:r>
        <w:rPr>
          <w:spacing w:val="-3"/>
          <w:w w:val="99"/>
        </w:rPr>
        <w:t>p</w:t>
      </w:r>
      <w:r>
        <w:rPr>
          <w:spacing w:val="-1"/>
          <w:w w:val="99"/>
        </w:rPr>
        <w:t>a</w:t>
      </w:r>
      <w:r>
        <w:rPr>
          <w:w w:val="99"/>
        </w:rPr>
        <w:t>rties</w:t>
      </w:r>
      <w:r>
        <w:rPr>
          <w:spacing w:val="26"/>
        </w:rPr>
        <w:t> </w:t>
      </w:r>
      <w:r>
        <w:rPr>
          <w:w w:val="99"/>
        </w:rPr>
        <w:t>to</w:t>
      </w:r>
      <w:r>
        <w:rPr>
          <w:spacing w:val="26"/>
        </w:rPr>
        <w:t> </w:t>
      </w:r>
      <w:r>
        <w:rPr>
          <w:w w:val="99"/>
        </w:rPr>
        <w:t>the</w:t>
      </w:r>
      <w:r>
        <w:rPr>
          <w:spacing w:val="25"/>
        </w:rPr>
        <w:t> </w:t>
      </w:r>
      <w:r>
        <w:rPr>
          <w:spacing w:val="-1"/>
          <w:w w:val="99"/>
        </w:rPr>
        <w:t>e</w:t>
      </w:r>
      <w:r>
        <w:rPr>
          <w:w w:val="99"/>
        </w:rPr>
        <w:t>ar</w:t>
      </w:r>
      <w:r>
        <w:rPr>
          <w:spacing w:val="-1"/>
          <w:w w:val="99"/>
        </w:rPr>
        <w:t>lie</w:t>
      </w:r>
      <w:r>
        <w:rPr>
          <w:w w:val="99"/>
        </w:rPr>
        <w:t>r</w:t>
      </w:r>
      <w:r>
        <w:rPr>
          <w:spacing w:val="24"/>
        </w:rPr>
        <w:t> </w:t>
      </w:r>
      <w:r>
        <w:rPr>
          <w:spacing w:val="-3"/>
          <w:w w:val="99"/>
        </w:rPr>
        <w:t>s</w:t>
      </w:r>
      <w:r>
        <w:rPr>
          <w:spacing w:val="-1"/>
          <w:w w:val="99"/>
        </w:rPr>
        <w:t>uit</w:t>
      </w:r>
      <w:r>
        <w:rPr>
          <w:w w:val="99"/>
        </w:rPr>
        <w:t>s</w:t>
      </w:r>
      <w:r>
        <w:rPr>
          <w:spacing w:val="26"/>
        </w:rPr>
        <w:t> </w:t>
      </w:r>
      <w:r>
        <w:rPr>
          <w:spacing w:val="-1"/>
          <w:w w:val="99"/>
        </w:rPr>
        <w:t>a</w:t>
      </w:r>
      <w:r>
        <w:rPr>
          <w:w w:val="99"/>
        </w:rPr>
        <w:t>re</w:t>
      </w:r>
      <w:r>
        <w:rPr>
          <w:spacing w:val="26"/>
        </w:rPr>
        <w:t> </w:t>
      </w:r>
      <w:r>
        <w:rPr>
          <w:spacing w:val="-2"/>
          <w:w w:val="33"/>
        </w:rPr>
        <w:t>―</w:t>
      </w:r>
      <w:r>
        <w:rPr>
          <w:w w:val="99"/>
        </w:rPr>
        <w:t>to</w:t>
      </w:r>
      <w:r>
        <w:rPr>
          <w:spacing w:val="26"/>
        </w:rPr>
        <w:t> </w:t>
      </w:r>
      <w:r>
        <w:rPr>
          <w:w w:val="99"/>
        </w:rPr>
        <w:t>so</w:t>
      </w:r>
      <w:r>
        <w:rPr>
          <w:spacing w:val="1"/>
          <w:w w:val="99"/>
        </w:rPr>
        <w:t>m</w:t>
      </w:r>
      <w:r>
        <w:rPr>
          <w:w w:val="99"/>
        </w:rPr>
        <w:t>e </w:t>
      </w:r>
      <w:r>
        <w:rPr/>
        <w:t>extent‖</w:t>
      </w:r>
      <w:r>
        <w:rPr>
          <w:spacing w:val="26"/>
        </w:rPr>
        <w:t> </w:t>
      </w:r>
      <w:r>
        <w:rPr/>
        <w:t>involved</w:t>
      </w:r>
      <w:r>
        <w:rPr>
          <w:spacing w:val="26"/>
        </w:rPr>
        <w:t> </w:t>
      </w:r>
      <w:r>
        <w:rPr/>
        <w:t>in</w:t>
      </w:r>
      <w:r>
        <w:rPr>
          <w:spacing w:val="27"/>
        </w:rPr>
        <w:t> </w:t>
      </w:r>
      <w:r>
        <w:rPr/>
        <w:t>seeking</w:t>
      </w:r>
      <w:r>
        <w:rPr>
          <w:spacing w:val="26"/>
        </w:rPr>
        <w:t> </w:t>
      </w:r>
      <w:r>
        <w:rPr/>
        <w:t>to</w:t>
      </w:r>
      <w:r>
        <w:rPr>
          <w:spacing w:val="27"/>
        </w:rPr>
        <w:t> </w:t>
      </w:r>
      <w:r>
        <w:rPr/>
        <w:t>gratify</w:t>
      </w:r>
      <w:r>
        <w:rPr>
          <w:spacing w:val="24"/>
        </w:rPr>
        <w:t> </w:t>
      </w:r>
      <w:r>
        <w:rPr/>
        <w:t>their</w:t>
      </w:r>
      <w:r>
        <w:rPr>
          <w:spacing w:val="31"/>
        </w:rPr>
        <w:t> </w:t>
      </w:r>
      <w:r>
        <w:rPr/>
        <w:t>personal</w:t>
      </w:r>
      <w:r>
        <w:rPr>
          <w:spacing w:val="26"/>
        </w:rPr>
        <w:t> </w:t>
      </w:r>
      <w:r>
        <w:rPr/>
        <w:t>interest</w:t>
      </w:r>
      <w:r>
        <w:rPr>
          <w:spacing w:val="27"/>
        </w:rPr>
        <w:t> </w:t>
      </w:r>
      <w:r>
        <w:rPr/>
        <w:t>by</w:t>
      </w:r>
      <w:r>
        <w:rPr>
          <w:spacing w:val="24"/>
        </w:rPr>
        <w:t> </w:t>
      </w:r>
      <w:r>
        <w:rPr/>
        <w:t>obtaining</w:t>
      </w:r>
      <w:r>
        <w:rPr>
          <w:spacing w:val="27"/>
        </w:rPr>
        <w:t> </w:t>
      </w:r>
      <w:r>
        <w:rPr/>
        <w:t>control</w:t>
      </w:r>
    </w:p>
    <w:p>
      <w:pPr>
        <w:spacing w:after="0" w:line="480" w:lineRule="auto"/>
        <w:jc w:val="both"/>
        <w:sectPr>
          <w:pgSz w:w="11910" w:h="16840"/>
          <w:pgMar w:header="721" w:footer="1014" w:top="1300" w:bottom="1200" w:left="940" w:right="1000"/>
        </w:sectPr>
      </w:pPr>
    </w:p>
    <w:p>
      <w:pPr>
        <w:pStyle w:val="BodyText"/>
        <w:spacing w:line="480" w:lineRule="auto" w:before="124"/>
        <w:ind w:left="500" w:right="512"/>
      </w:pPr>
      <w:r>
        <w:rPr/>
        <w:t>over worship of the plaintiff deities. In this background, the plaintiffs have instituted a suit of their own.</w:t>
      </w:r>
    </w:p>
    <w:p>
      <w:pPr>
        <w:pStyle w:val="BodyText"/>
        <w:spacing w:before="11"/>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w w:val="99"/>
          <w:sz w:val="25"/>
        </w:rPr>
        <w:t>T</w:t>
      </w:r>
      <w:r>
        <w:rPr>
          <w:spacing w:val="-1"/>
          <w:w w:val="99"/>
          <w:sz w:val="25"/>
        </w:rPr>
        <w:t>h</w:t>
      </w:r>
      <w:r>
        <w:rPr>
          <w:w w:val="99"/>
          <w:sz w:val="25"/>
        </w:rPr>
        <w:t>e</w:t>
      </w:r>
      <w:r>
        <w:rPr>
          <w:sz w:val="25"/>
        </w:rPr>
        <w:t> </w:t>
      </w:r>
      <w:r>
        <w:rPr>
          <w:spacing w:val="-1"/>
          <w:w w:val="99"/>
          <w:sz w:val="25"/>
        </w:rPr>
        <w:t>pl</w:t>
      </w:r>
      <w:r>
        <w:rPr>
          <w:w w:val="99"/>
          <w:sz w:val="25"/>
        </w:rPr>
        <w:t>a</w:t>
      </w:r>
      <w:r>
        <w:rPr>
          <w:spacing w:val="-1"/>
          <w:w w:val="99"/>
          <w:sz w:val="25"/>
        </w:rPr>
        <w:t>in</w:t>
      </w:r>
      <w:r>
        <w:rPr>
          <w:w w:val="99"/>
          <w:sz w:val="25"/>
        </w:rPr>
        <w:t>t</w:t>
      </w:r>
      <w:r>
        <w:rPr>
          <w:spacing w:val="-1"/>
          <w:sz w:val="25"/>
        </w:rPr>
        <w:t> </w:t>
      </w:r>
      <w:r>
        <w:rPr>
          <w:w w:val="99"/>
          <w:sz w:val="25"/>
        </w:rPr>
        <w:t>st</w:t>
      </w:r>
      <w:r>
        <w:rPr>
          <w:spacing w:val="-1"/>
          <w:w w:val="99"/>
          <w:sz w:val="25"/>
        </w:rPr>
        <w:t>at</w:t>
      </w:r>
      <w:r>
        <w:rPr>
          <w:w w:val="99"/>
          <w:sz w:val="25"/>
        </w:rPr>
        <w:t>es</w:t>
      </w:r>
      <w:r>
        <w:rPr>
          <w:spacing w:val="-1"/>
          <w:sz w:val="25"/>
        </w:rPr>
        <w:t> </w:t>
      </w:r>
      <w:r>
        <w:rPr>
          <w:w w:val="99"/>
          <w:sz w:val="25"/>
        </w:rPr>
        <w:t>th</w:t>
      </w:r>
      <w:r>
        <w:rPr>
          <w:spacing w:val="-1"/>
          <w:w w:val="99"/>
          <w:sz w:val="25"/>
        </w:rPr>
        <w:t>a</w:t>
      </w:r>
      <w:r>
        <w:rPr>
          <w:w w:val="99"/>
          <w:sz w:val="25"/>
        </w:rPr>
        <w:t>t</w:t>
      </w:r>
      <w:r>
        <w:rPr>
          <w:sz w:val="25"/>
        </w:rPr>
        <w:t> </w:t>
      </w:r>
      <w:r>
        <w:rPr>
          <w:spacing w:val="1"/>
          <w:w w:val="99"/>
          <w:sz w:val="25"/>
        </w:rPr>
        <w:t>i</w:t>
      </w:r>
      <w:r>
        <w:rPr>
          <w:w w:val="99"/>
          <w:sz w:val="25"/>
        </w:rPr>
        <w:t>t</w:t>
      </w:r>
      <w:r>
        <w:rPr>
          <w:sz w:val="25"/>
        </w:rPr>
        <w:t> </w:t>
      </w:r>
      <w:r>
        <w:rPr>
          <w:spacing w:val="-1"/>
          <w:w w:val="99"/>
          <w:sz w:val="25"/>
        </w:rPr>
        <w:t>i</w:t>
      </w:r>
      <w:r>
        <w:rPr>
          <w:w w:val="99"/>
          <w:sz w:val="25"/>
        </w:rPr>
        <w:t>s</w:t>
      </w:r>
      <w:r>
        <w:rPr>
          <w:spacing w:val="-1"/>
          <w:sz w:val="25"/>
        </w:rPr>
        <w:t> </w:t>
      </w:r>
      <w:r>
        <w:rPr>
          <w:w w:val="99"/>
          <w:sz w:val="25"/>
        </w:rPr>
        <w:t>estab</w:t>
      </w:r>
      <w:r>
        <w:rPr>
          <w:spacing w:val="-1"/>
          <w:w w:val="99"/>
          <w:sz w:val="25"/>
        </w:rPr>
        <w:t>lishe</w:t>
      </w:r>
      <w:r>
        <w:rPr>
          <w:w w:val="99"/>
          <w:sz w:val="25"/>
        </w:rPr>
        <w:t>d</w:t>
      </w:r>
      <w:r>
        <w:rPr>
          <w:sz w:val="25"/>
        </w:rPr>
        <w:t> </w:t>
      </w:r>
      <w:r>
        <w:rPr>
          <w:spacing w:val="2"/>
          <w:w w:val="99"/>
          <w:sz w:val="25"/>
        </w:rPr>
        <w:t>b</w:t>
      </w:r>
      <w:r>
        <w:rPr>
          <w:w w:val="99"/>
          <w:sz w:val="25"/>
        </w:rPr>
        <w:t>y</w:t>
      </w:r>
      <w:r>
        <w:rPr>
          <w:spacing w:val="-3"/>
          <w:sz w:val="25"/>
        </w:rPr>
        <w:t> </w:t>
      </w:r>
      <w:r>
        <w:rPr>
          <w:w w:val="33"/>
          <w:sz w:val="25"/>
        </w:rPr>
        <w:t>―</w:t>
      </w:r>
      <w:r>
        <w:rPr>
          <w:spacing w:val="-1"/>
          <w:w w:val="99"/>
          <w:sz w:val="25"/>
        </w:rPr>
        <w:t>u</w:t>
      </w:r>
      <w:r>
        <w:rPr>
          <w:spacing w:val="2"/>
          <w:w w:val="99"/>
          <w:sz w:val="25"/>
        </w:rPr>
        <w:t>n</w:t>
      </w:r>
      <w:r>
        <w:rPr>
          <w:spacing w:val="-1"/>
          <w:w w:val="99"/>
          <w:sz w:val="25"/>
        </w:rPr>
        <w:t>im</w:t>
      </w:r>
      <w:r>
        <w:rPr>
          <w:w w:val="99"/>
          <w:sz w:val="25"/>
        </w:rPr>
        <w:t>p</w:t>
      </w:r>
      <w:r>
        <w:rPr>
          <w:spacing w:val="-1"/>
          <w:w w:val="99"/>
          <w:sz w:val="25"/>
        </w:rPr>
        <w:t>e</w:t>
      </w:r>
      <w:r>
        <w:rPr>
          <w:w w:val="99"/>
          <w:sz w:val="25"/>
        </w:rPr>
        <w:t>acha</w:t>
      </w:r>
      <w:r>
        <w:rPr>
          <w:spacing w:val="-1"/>
          <w:w w:val="99"/>
          <w:sz w:val="25"/>
        </w:rPr>
        <w:t>bl</w:t>
      </w:r>
      <w:r>
        <w:rPr>
          <w:w w:val="99"/>
          <w:sz w:val="25"/>
        </w:rPr>
        <w:t>e</w:t>
      </w:r>
      <w:r>
        <w:rPr>
          <w:sz w:val="25"/>
        </w:rPr>
        <w:t> </w:t>
      </w:r>
      <w:r>
        <w:rPr>
          <w:spacing w:val="-1"/>
          <w:w w:val="99"/>
          <w:sz w:val="25"/>
        </w:rPr>
        <w:t>a</w:t>
      </w:r>
      <w:r>
        <w:rPr>
          <w:w w:val="99"/>
          <w:sz w:val="25"/>
        </w:rPr>
        <w:t>uthor</w:t>
      </w:r>
      <w:r>
        <w:rPr>
          <w:spacing w:val="-1"/>
          <w:w w:val="94"/>
          <w:sz w:val="25"/>
        </w:rPr>
        <w:t>ity</w:t>
      </w:r>
      <w:r>
        <w:rPr>
          <w:w w:val="94"/>
          <w:sz w:val="25"/>
        </w:rPr>
        <w:t>‖</w:t>
      </w:r>
      <w:r>
        <w:rPr>
          <w:sz w:val="25"/>
        </w:rPr>
        <w:t> </w:t>
      </w:r>
      <w:r>
        <w:rPr>
          <w:w w:val="99"/>
          <w:sz w:val="25"/>
        </w:rPr>
        <w:t>th</w:t>
      </w:r>
      <w:r>
        <w:rPr>
          <w:spacing w:val="-1"/>
          <w:w w:val="99"/>
          <w:sz w:val="25"/>
        </w:rPr>
        <w:t>a</w:t>
      </w:r>
      <w:r>
        <w:rPr>
          <w:w w:val="99"/>
          <w:sz w:val="25"/>
        </w:rPr>
        <w:t>t</w:t>
      </w:r>
      <w:r>
        <w:rPr>
          <w:sz w:val="25"/>
        </w:rPr>
        <w:t> </w:t>
      </w:r>
      <w:r>
        <w:rPr>
          <w:w w:val="99"/>
          <w:sz w:val="25"/>
        </w:rPr>
        <w:t>the </w:t>
      </w:r>
      <w:r>
        <w:rPr>
          <w:sz w:val="25"/>
        </w:rPr>
        <w:t>premises in dispute represent the place where Lord Ram was born. The second </w:t>
      </w:r>
      <w:r>
        <w:rPr>
          <w:spacing w:val="-1"/>
          <w:w w:val="99"/>
          <w:sz w:val="25"/>
        </w:rPr>
        <w:t>plai</w:t>
      </w:r>
      <w:r>
        <w:rPr>
          <w:w w:val="99"/>
          <w:sz w:val="25"/>
        </w:rPr>
        <w:t>ntiff,</w:t>
      </w:r>
      <w:r>
        <w:rPr>
          <w:sz w:val="25"/>
        </w:rPr>
        <w:t> </w:t>
      </w:r>
      <w:r>
        <w:rPr>
          <w:spacing w:val="17"/>
          <w:sz w:val="25"/>
        </w:rPr>
        <w:t> </w:t>
      </w:r>
      <w:r>
        <w:rPr>
          <w:spacing w:val="-1"/>
          <w:w w:val="99"/>
          <w:sz w:val="25"/>
        </w:rPr>
        <w:t>d</w:t>
      </w:r>
      <w:r>
        <w:rPr>
          <w:w w:val="99"/>
          <w:sz w:val="25"/>
        </w:rPr>
        <w:t>escr</w:t>
      </w:r>
      <w:r>
        <w:rPr>
          <w:spacing w:val="-1"/>
          <w:w w:val="99"/>
          <w:sz w:val="25"/>
        </w:rPr>
        <w:t>ibe</w:t>
      </w:r>
      <w:r>
        <w:rPr>
          <w:w w:val="99"/>
          <w:sz w:val="25"/>
        </w:rPr>
        <w:t>d</w:t>
      </w:r>
      <w:r>
        <w:rPr>
          <w:sz w:val="25"/>
        </w:rPr>
        <w:t> </w:t>
      </w:r>
      <w:r>
        <w:rPr>
          <w:spacing w:val="17"/>
          <w:sz w:val="25"/>
        </w:rPr>
        <w:t> </w:t>
      </w:r>
      <w:r>
        <w:rPr>
          <w:spacing w:val="-1"/>
          <w:w w:val="99"/>
          <w:sz w:val="25"/>
        </w:rPr>
        <w:t>a</w:t>
      </w:r>
      <w:r>
        <w:rPr>
          <w:w w:val="99"/>
          <w:sz w:val="25"/>
        </w:rPr>
        <w:t>s</w:t>
      </w:r>
      <w:r>
        <w:rPr>
          <w:sz w:val="25"/>
        </w:rPr>
        <w:t> </w:t>
      </w:r>
      <w:r>
        <w:rPr>
          <w:spacing w:val="17"/>
          <w:sz w:val="25"/>
        </w:rPr>
        <w:t> </w:t>
      </w:r>
      <w:r>
        <w:rPr>
          <w:w w:val="33"/>
          <w:sz w:val="25"/>
        </w:rPr>
        <w:t>―</w:t>
      </w:r>
      <w:r>
        <w:rPr>
          <w:spacing w:val="-1"/>
          <w:w w:val="99"/>
          <w:sz w:val="25"/>
        </w:rPr>
        <w:t>A</w:t>
      </w:r>
      <w:r>
        <w:rPr>
          <w:w w:val="99"/>
          <w:sz w:val="25"/>
        </w:rPr>
        <w:t>sthan</w:t>
      </w:r>
      <w:r>
        <w:rPr>
          <w:sz w:val="25"/>
        </w:rPr>
        <w:t> </w:t>
      </w:r>
      <w:r>
        <w:rPr>
          <w:spacing w:val="17"/>
          <w:sz w:val="25"/>
        </w:rPr>
        <w:t> </w:t>
      </w:r>
      <w:r>
        <w:rPr>
          <w:spacing w:val="-1"/>
          <w:w w:val="99"/>
          <w:sz w:val="25"/>
        </w:rPr>
        <w:t>S</w:t>
      </w:r>
      <w:r>
        <w:rPr>
          <w:w w:val="99"/>
          <w:sz w:val="25"/>
        </w:rPr>
        <w:t>ri</w:t>
      </w:r>
      <w:r>
        <w:rPr>
          <w:sz w:val="25"/>
        </w:rPr>
        <w:t> </w:t>
      </w:r>
      <w:r>
        <w:rPr>
          <w:spacing w:val="18"/>
          <w:sz w:val="25"/>
        </w:rPr>
        <w:t> </w:t>
      </w:r>
      <w:r>
        <w:rPr>
          <w:spacing w:val="-1"/>
          <w:w w:val="99"/>
          <w:sz w:val="25"/>
        </w:rPr>
        <w:t>Ra</w:t>
      </w:r>
      <w:r>
        <w:rPr>
          <w:w w:val="99"/>
          <w:sz w:val="25"/>
        </w:rPr>
        <w:t>m</w:t>
      </w:r>
      <w:r>
        <w:rPr>
          <w:sz w:val="25"/>
        </w:rPr>
        <w:t> </w:t>
      </w:r>
      <w:r>
        <w:rPr>
          <w:spacing w:val="20"/>
          <w:sz w:val="25"/>
        </w:rPr>
        <w:t> </w:t>
      </w:r>
      <w:r>
        <w:rPr>
          <w:w w:val="99"/>
          <w:sz w:val="25"/>
        </w:rPr>
        <w:t>Janma</w:t>
      </w:r>
      <w:r>
        <w:rPr>
          <w:sz w:val="25"/>
        </w:rPr>
        <w:t> </w:t>
      </w:r>
      <w:r>
        <w:rPr>
          <w:spacing w:val="17"/>
          <w:sz w:val="25"/>
        </w:rPr>
        <w:t> </w:t>
      </w:r>
      <w:r>
        <w:rPr>
          <w:spacing w:val="-1"/>
          <w:w w:val="99"/>
          <w:sz w:val="25"/>
        </w:rPr>
        <w:t>Bh</w:t>
      </w:r>
      <w:r>
        <w:rPr>
          <w:w w:val="99"/>
          <w:sz w:val="25"/>
        </w:rPr>
        <w:t>um</w:t>
      </w:r>
      <w:r>
        <w:rPr>
          <w:spacing w:val="-1"/>
          <w:w w:val="91"/>
          <w:sz w:val="25"/>
        </w:rPr>
        <w:t>i‖</w:t>
      </w:r>
      <w:r>
        <w:rPr>
          <w:w w:val="91"/>
          <w:sz w:val="25"/>
        </w:rPr>
        <w:t>,</w:t>
      </w:r>
      <w:r>
        <w:rPr>
          <w:sz w:val="25"/>
        </w:rPr>
        <w:t> </w:t>
      </w:r>
      <w:r>
        <w:rPr>
          <w:spacing w:val="17"/>
          <w:sz w:val="25"/>
        </w:rPr>
        <w:t> </w:t>
      </w:r>
      <w:r>
        <w:rPr>
          <w:spacing w:val="-1"/>
          <w:w w:val="99"/>
          <w:sz w:val="25"/>
        </w:rPr>
        <w:t>i</w:t>
      </w:r>
      <w:r>
        <w:rPr>
          <w:w w:val="99"/>
          <w:sz w:val="25"/>
        </w:rPr>
        <w:t>s</w:t>
      </w:r>
      <w:r>
        <w:rPr>
          <w:sz w:val="25"/>
        </w:rPr>
        <w:t> </w:t>
      </w:r>
      <w:r>
        <w:rPr>
          <w:spacing w:val="16"/>
          <w:sz w:val="25"/>
        </w:rPr>
        <w:t> </w:t>
      </w:r>
      <w:r>
        <w:rPr>
          <w:spacing w:val="2"/>
          <w:w w:val="99"/>
          <w:sz w:val="25"/>
        </w:rPr>
        <w:t>s</w:t>
      </w:r>
      <w:r>
        <w:rPr>
          <w:w w:val="99"/>
          <w:sz w:val="25"/>
        </w:rPr>
        <w:t>tat</w:t>
      </w:r>
      <w:r>
        <w:rPr>
          <w:spacing w:val="-1"/>
          <w:w w:val="99"/>
          <w:sz w:val="25"/>
        </w:rPr>
        <w:t>e</w:t>
      </w:r>
      <w:r>
        <w:rPr>
          <w:w w:val="99"/>
          <w:sz w:val="25"/>
        </w:rPr>
        <w:t>d</w:t>
      </w:r>
      <w:r>
        <w:rPr>
          <w:sz w:val="25"/>
        </w:rPr>
        <w:t> </w:t>
      </w:r>
      <w:r>
        <w:rPr>
          <w:spacing w:val="17"/>
          <w:sz w:val="25"/>
        </w:rPr>
        <w:t> </w:t>
      </w:r>
      <w:r>
        <w:rPr>
          <w:w w:val="99"/>
          <w:sz w:val="25"/>
        </w:rPr>
        <w:t>to</w:t>
      </w:r>
      <w:r>
        <w:rPr>
          <w:sz w:val="25"/>
        </w:rPr>
        <w:t> </w:t>
      </w:r>
      <w:r>
        <w:rPr>
          <w:spacing w:val="17"/>
          <w:sz w:val="25"/>
        </w:rPr>
        <w:t> </w:t>
      </w:r>
      <w:r>
        <w:rPr>
          <w:spacing w:val="-1"/>
          <w:w w:val="99"/>
          <w:sz w:val="25"/>
        </w:rPr>
        <w:t>b</w:t>
      </w:r>
      <w:r>
        <w:rPr>
          <w:w w:val="99"/>
          <w:sz w:val="25"/>
        </w:rPr>
        <w:t>e</w:t>
      </w:r>
      <w:r>
        <w:rPr>
          <w:sz w:val="25"/>
        </w:rPr>
        <w:t> </w:t>
      </w:r>
      <w:r>
        <w:rPr>
          <w:spacing w:val="17"/>
          <w:sz w:val="25"/>
        </w:rPr>
        <w:t> </w:t>
      </w:r>
      <w:r>
        <w:rPr>
          <w:spacing w:val="-1"/>
          <w:w w:val="99"/>
          <w:sz w:val="25"/>
        </w:rPr>
        <w:t>an </w:t>
      </w:r>
      <w:r>
        <w:rPr>
          <w:sz w:val="25"/>
        </w:rPr>
        <w:t>independent object of worship, worshipped by the devotees as personifying the divine spirit of Lord Ram. Hence, it has been averred that the land at Ram Janmabhumi has possessed a juridical personality even prior to the construction of the existing structure or the installation of idols within the central dome. It has been stated that Hindus worship not merely the material form or shape of an idol but the divine spirit which is invoked by consecration or </w:t>
      </w:r>
      <w:r>
        <w:rPr>
          <w:i/>
          <w:sz w:val="25"/>
        </w:rPr>
        <w:t>prana pratishtha</w:t>
      </w:r>
      <w:r>
        <w:rPr>
          <w:sz w:val="25"/>
        </w:rPr>
        <w:t>. It is stated that the divine spirit is worshipped as a deity at the site of the second plaintiff and hence it has been submitted that the place itself is a deity. The deity, it has been submitted, being indestructible, continues to exist so long as  the place exists, and the place being land, continues to exist irrespective of any construction on</w:t>
      </w:r>
      <w:r>
        <w:rPr>
          <w:spacing w:val="-3"/>
          <w:sz w:val="25"/>
        </w:rPr>
        <w:t> </w:t>
      </w:r>
      <w:r>
        <w:rPr>
          <w:sz w:val="25"/>
        </w:rPr>
        <w:t>it.</w:t>
      </w:r>
    </w:p>
    <w:p>
      <w:pPr>
        <w:pStyle w:val="BodyText"/>
        <w:rPr>
          <w:sz w:val="39"/>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 plaint proceeds to rely on the 1928 edition of the Faizabad Gazetteer, in support of the plea that the ancient temple, called the Ram Janmabhumi temple, was destroyed by Babur in 1528 and on its site, a mosque was built largely with the materials of the destroyed temple, including the Kasauti pillars. Yet, according to the plaint, the worshippers continued to worship Lord Ram through symbols such as the Charan and Sita Rasoi and the idol of Lord Ram on the</w:t>
      </w:r>
      <w:r>
        <w:rPr>
          <w:spacing w:val="25"/>
          <w:sz w:val="25"/>
        </w:rPr>
        <w:t> </w:t>
      </w:r>
      <w:r>
        <w:rPr>
          <w:sz w:val="25"/>
        </w:rPr>
        <w:t>Ramchabutra</w:t>
      </w:r>
      <w:r>
        <w:rPr>
          <w:spacing w:val="24"/>
          <w:sz w:val="25"/>
        </w:rPr>
        <w:t> </w:t>
      </w:r>
      <w:r>
        <w:rPr>
          <w:sz w:val="25"/>
        </w:rPr>
        <w:t>within</w:t>
      </w:r>
      <w:r>
        <w:rPr>
          <w:spacing w:val="24"/>
          <w:sz w:val="25"/>
        </w:rPr>
        <w:t> </w:t>
      </w:r>
      <w:r>
        <w:rPr>
          <w:sz w:val="25"/>
        </w:rPr>
        <w:t>the</w:t>
      </w:r>
      <w:r>
        <w:rPr>
          <w:spacing w:val="25"/>
          <w:sz w:val="25"/>
        </w:rPr>
        <w:t> </w:t>
      </w:r>
      <w:r>
        <w:rPr>
          <w:sz w:val="25"/>
        </w:rPr>
        <w:t>enclosure.</w:t>
      </w:r>
      <w:r>
        <w:rPr>
          <w:spacing w:val="25"/>
          <w:sz w:val="25"/>
        </w:rPr>
        <w:t> </w:t>
      </w:r>
      <w:r>
        <w:rPr>
          <w:sz w:val="25"/>
        </w:rPr>
        <w:t>It</w:t>
      </w:r>
      <w:r>
        <w:rPr>
          <w:spacing w:val="22"/>
          <w:sz w:val="25"/>
        </w:rPr>
        <w:t> </w:t>
      </w:r>
      <w:r>
        <w:rPr>
          <w:sz w:val="25"/>
        </w:rPr>
        <w:t>has</w:t>
      </w:r>
      <w:r>
        <w:rPr>
          <w:spacing w:val="24"/>
          <w:sz w:val="25"/>
        </w:rPr>
        <w:t> </w:t>
      </w:r>
      <w:r>
        <w:rPr>
          <w:sz w:val="25"/>
        </w:rPr>
        <w:t>been</w:t>
      </w:r>
      <w:r>
        <w:rPr>
          <w:spacing w:val="24"/>
          <w:sz w:val="25"/>
        </w:rPr>
        <w:t> </w:t>
      </w:r>
      <w:r>
        <w:rPr>
          <w:sz w:val="25"/>
        </w:rPr>
        <w:t>submitted</w:t>
      </w:r>
      <w:r>
        <w:rPr>
          <w:spacing w:val="26"/>
          <w:sz w:val="25"/>
        </w:rPr>
        <w:t> </w:t>
      </w:r>
      <w:r>
        <w:rPr>
          <w:sz w:val="25"/>
        </w:rPr>
        <w:t>that</w:t>
      </w:r>
      <w:r>
        <w:rPr>
          <w:spacing w:val="24"/>
          <w:sz w:val="25"/>
        </w:rPr>
        <w:t> </w:t>
      </w:r>
      <w:r>
        <w:rPr>
          <w:sz w:val="25"/>
        </w:rPr>
        <w:t>no</w:t>
      </w:r>
      <w:r>
        <w:rPr>
          <w:spacing w:val="24"/>
          <w:sz w:val="25"/>
        </w:rPr>
        <w:t> </w:t>
      </w:r>
      <w:r>
        <w:rPr>
          <w:sz w:val="25"/>
        </w:rPr>
        <w:t>one</w:t>
      </w:r>
      <w:r>
        <w:rPr>
          <w:spacing w:val="24"/>
          <w:sz w:val="25"/>
        </w:rPr>
        <w:t> </w:t>
      </w:r>
      <w:r>
        <w:rPr>
          <w:sz w:val="25"/>
        </w:rPr>
        <w:t>could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t>enter the building except after passing through areas where Hindus worshipped. The plaint disputes whether a mosque could validly be constructed in accordance with Islamic tenets on the site of a Hindu temple which is surrounded by Hindu places of worship. According to the plaintiffs, worshippers of the deities have continued to pray at Ram Janmabhumi for centuries; the place belongs to the deities and no valid waqf was ever created or could have been created. Despite occasional trespass by the Muslim residents, it has been stated that title and possession vested in the plaintiff deities. It is alleged that no prayers were offered at the mosque. After independence, the graves surrounding Ram Janmabhumi were dug up by the Bairagis and eventually on the night of 22/23 December 1949, an idol of Lord Ram was installed with due ceremony under the central dome of the disputed building. This was followed by proceedings under Section 145 to which the plaintiff deities were not parties. In the alternate to the plea of the original title vesting in the plaintiff deities, it has been stated that the deities have been in possession and any claim of title adverse to the deities stands extinguished by adverse</w:t>
      </w:r>
      <w:r>
        <w:rPr>
          <w:spacing w:val="-6"/>
        </w:rPr>
        <w:t> </w:t>
      </w:r>
      <w:r>
        <w:rPr/>
        <w:t>possession.</w:t>
      </w:r>
    </w:p>
    <w:p>
      <w:pPr>
        <w:pStyle w:val="BodyText"/>
        <w:spacing w:before="10"/>
        <w:rPr>
          <w:sz w:val="38"/>
        </w:rPr>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The plaint sets out that Hindu devotees were desirous of constructing a </w:t>
      </w:r>
      <w:r>
        <w:rPr>
          <w:w w:val="99"/>
          <w:sz w:val="25"/>
        </w:rPr>
        <w:t>te</w:t>
      </w:r>
      <w:r>
        <w:rPr>
          <w:spacing w:val="1"/>
          <w:w w:val="99"/>
          <w:sz w:val="25"/>
        </w:rPr>
        <w:t>m</w:t>
      </w:r>
      <w:r>
        <w:rPr>
          <w:w w:val="99"/>
          <w:sz w:val="25"/>
        </w:rPr>
        <w:t>ple</w:t>
      </w:r>
      <w:r>
        <w:rPr>
          <w:sz w:val="25"/>
        </w:rPr>
        <w:t> </w:t>
      </w:r>
      <w:r>
        <w:rPr>
          <w:spacing w:val="22"/>
          <w:sz w:val="25"/>
        </w:rPr>
        <w:t> </w:t>
      </w:r>
      <w:r>
        <w:rPr>
          <w:w w:val="99"/>
          <w:sz w:val="25"/>
        </w:rPr>
        <w:t>at</w:t>
      </w:r>
      <w:r>
        <w:rPr>
          <w:sz w:val="25"/>
        </w:rPr>
        <w:t> </w:t>
      </w:r>
      <w:r>
        <w:rPr>
          <w:spacing w:val="22"/>
          <w:sz w:val="25"/>
        </w:rPr>
        <w:t> </w:t>
      </w:r>
      <w:r>
        <w:rPr>
          <w:w w:val="99"/>
          <w:sz w:val="25"/>
        </w:rPr>
        <w:t>the</w:t>
      </w:r>
      <w:r>
        <w:rPr>
          <w:sz w:val="25"/>
        </w:rPr>
        <w:t> </w:t>
      </w:r>
      <w:r>
        <w:rPr>
          <w:spacing w:val="22"/>
          <w:sz w:val="25"/>
        </w:rPr>
        <w:t> </w:t>
      </w:r>
      <w:r>
        <w:rPr>
          <w:w w:val="99"/>
          <w:sz w:val="25"/>
        </w:rPr>
        <w:t>dispu</w:t>
      </w:r>
      <w:r>
        <w:rPr>
          <w:w w:val="99"/>
          <w:sz w:val="25"/>
        </w:rPr>
        <w:t>ted</w:t>
      </w:r>
      <w:r>
        <w:rPr>
          <w:sz w:val="25"/>
        </w:rPr>
        <w:t> </w:t>
      </w:r>
      <w:r>
        <w:rPr>
          <w:spacing w:val="22"/>
          <w:sz w:val="25"/>
        </w:rPr>
        <w:t> </w:t>
      </w:r>
      <w:r>
        <w:rPr>
          <w:spacing w:val="2"/>
          <w:w w:val="99"/>
          <w:sz w:val="25"/>
        </w:rPr>
        <w:t>s</w:t>
      </w:r>
      <w:r>
        <w:rPr>
          <w:spacing w:val="-1"/>
          <w:w w:val="99"/>
          <w:sz w:val="25"/>
        </w:rPr>
        <w:t>it</w:t>
      </w:r>
      <w:r>
        <w:rPr>
          <w:w w:val="99"/>
          <w:sz w:val="25"/>
        </w:rPr>
        <w:t>e</w:t>
      </w:r>
      <w:r>
        <w:rPr>
          <w:sz w:val="25"/>
        </w:rPr>
        <w:t> </w:t>
      </w:r>
      <w:r>
        <w:rPr>
          <w:spacing w:val="22"/>
          <w:sz w:val="25"/>
        </w:rPr>
        <w:t> </w:t>
      </w:r>
      <w:r>
        <w:rPr>
          <w:spacing w:val="-1"/>
          <w:w w:val="99"/>
          <w:sz w:val="25"/>
        </w:rPr>
        <w:t>a</w:t>
      </w:r>
      <w:r>
        <w:rPr>
          <w:w w:val="99"/>
          <w:sz w:val="25"/>
        </w:rPr>
        <w:t>n</w:t>
      </w:r>
      <w:r>
        <w:rPr>
          <w:spacing w:val="-1"/>
          <w:w w:val="99"/>
          <w:sz w:val="25"/>
        </w:rPr>
        <w:t>d</w:t>
      </w:r>
      <w:r>
        <w:rPr>
          <w:w w:val="99"/>
          <w:sz w:val="25"/>
        </w:rPr>
        <w:t>,</w:t>
      </w:r>
      <w:r>
        <w:rPr>
          <w:sz w:val="25"/>
        </w:rPr>
        <w:t> </w:t>
      </w:r>
      <w:r>
        <w:rPr>
          <w:spacing w:val="22"/>
          <w:sz w:val="25"/>
        </w:rPr>
        <w:t> </w:t>
      </w:r>
      <w:r>
        <w:rPr>
          <w:w w:val="99"/>
          <w:sz w:val="25"/>
        </w:rPr>
        <w:t>the</w:t>
      </w:r>
      <w:r>
        <w:rPr>
          <w:sz w:val="25"/>
        </w:rPr>
        <w:t> </w:t>
      </w:r>
      <w:r>
        <w:rPr>
          <w:spacing w:val="22"/>
          <w:sz w:val="25"/>
        </w:rPr>
        <w:t> </w:t>
      </w:r>
      <w:r>
        <w:rPr>
          <w:w w:val="33"/>
          <w:sz w:val="25"/>
        </w:rPr>
        <w:t>―</w:t>
      </w:r>
      <w:r>
        <w:rPr>
          <w:spacing w:val="-1"/>
          <w:w w:val="99"/>
          <w:sz w:val="25"/>
        </w:rPr>
        <w:t>acti</w:t>
      </w:r>
      <w:r>
        <w:rPr>
          <w:spacing w:val="-3"/>
          <w:w w:val="99"/>
          <w:sz w:val="25"/>
        </w:rPr>
        <w:t>v</w:t>
      </w:r>
      <w:r>
        <w:rPr>
          <w:w w:val="99"/>
          <w:sz w:val="25"/>
        </w:rPr>
        <w:t>e</w:t>
      </w:r>
      <w:r>
        <w:rPr>
          <w:sz w:val="25"/>
        </w:rPr>
        <w:t> </w:t>
      </w:r>
      <w:r>
        <w:rPr>
          <w:spacing w:val="22"/>
          <w:sz w:val="25"/>
        </w:rPr>
        <w:t> </w:t>
      </w:r>
      <w:r>
        <w:rPr>
          <w:w w:val="99"/>
          <w:sz w:val="25"/>
        </w:rPr>
        <w:t>m</w:t>
      </w:r>
      <w:r>
        <w:rPr>
          <w:spacing w:val="2"/>
          <w:w w:val="99"/>
          <w:sz w:val="25"/>
        </w:rPr>
        <w:t>o</w:t>
      </w:r>
      <w:r>
        <w:rPr>
          <w:spacing w:val="-3"/>
          <w:w w:val="99"/>
          <w:sz w:val="25"/>
        </w:rPr>
        <w:t>v</w:t>
      </w:r>
      <w:r>
        <w:rPr>
          <w:spacing w:val="-1"/>
          <w:w w:val="99"/>
          <w:sz w:val="25"/>
        </w:rPr>
        <w:t>e</w:t>
      </w:r>
      <w:r>
        <w:rPr>
          <w:w w:val="99"/>
          <w:sz w:val="25"/>
        </w:rPr>
        <w:t>m</w:t>
      </w:r>
      <w:r>
        <w:rPr>
          <w:spacing w:val="-1"/>
          <w:w w:val="99"/>
          <w:sz w:val="25"/>
        </w:rPr>
        <w:t>e</w:t>
      </w:r>
      <w:r>
        <w:rPr>
          <w:w w:val="99"/>
          <w:sz w:val="25"/>
        </w:rPr>
        <w:t>n</w:t>
      </w:r>
      <w:r>
        <w:rPr>
          <w:w w:val="88"/>
          <w:sz w:val="25"/>
        </w:rPr>
        <w:t>t‖</w:t>
      </w:r>
      <w:r>
        <w:rPr>
          <w:sz w:val="25"/>
        </w:rPr>
        <w:t> </w:t>
      </w:r>
      <w:r>
        <w:rPr>
          <w:spacing w:val="22"/>
          <w:sz w:val="25"/>
        </w:rPr>
        <w:t> </w:t>
      </w:r>
      <w:r>
        <w:rPr>
          <w:spacing w:val="-1"/>
          <w:w w:val="99"/>
          <w:sz w:val="25"/>
        </w:rPr>
        <w:t>w</w:t>
      </w:r>
      <w:r>
        <w:rPr>
          <w:spacing w:val="2"/>
          <w:w w:val="99"/>
          <w:sz w:val="25"/>
        </w:rPr>
        <w:t>a</w:t>
      </w:r>
      <w:r>
        <w:rPr>
          <w:w w:val="99"/>
          <w:sz w:val="25"/>
        </w:rPr>
        <w:t>s</w:t>
      </w:r>
      <w:r>
        <w:rPr>
          <w:sz w:val="25"/>
        </w:rPr>
        <w:t> </w:t>
      </w:r>
      <w:r>
        <w:rPr>
          <w:spacing w:val="21"/>
          <w:sz w:val="25"/>
        </w:rPr>
        <w:t> </w:t>
      </w:r>
      <w:r>
        <w:rPr>
          <w:w w:val="99"/>
          <w:sz w:val="25"/>
        </w:rPr>
        <w:t>sche</w:t>
      </w:r>
      <w:r>
        <w:rPr>
          <w:spacing w:val="-1"/>
          <w:w w:val="99"/>
          <w:sz w:val="25"/>
        </w:rPr>
        <w:t>d</w:t>
      </w:r>
      <w:r>
        <w:rPr>
          <w:w w:val="99"/>
          <w:sz w:val="25"/>
        </w:rPr>
        <w:t>u</w:t>
      </w:r>
      <w:r>
        <w:rPr>
          <w:spacing w:val="-1"/>
          <w:w w:val="99"/>
          <w:sz w:val="25"/>
        </w:rPr>
        <w:t>le</w:t>
      </w:r>
      <w:r>
        <w:rPr>
          <w:w w:val="99"/>
          <w:sz w:val="25"/>
        </w:rPr>
        <w:t>d</w:t>
      </w:r>
      <w:r>
        <w:rPr>
          <w:sz w:val="25"/>
        </w:rPr>
        <w:t> </w:t>
      </w:r>
      <w:r>
        <w:rPr>
          <w:spacing w:val="22"/>
          <w:sz w:val="25"/>
        </w:rPr>
        <w:t> </w:t>
      </w:r>
      <w:r>
        <w:rPr>
          <w:w w:val="99"/>
          <w:sz w:val="25"/>
        </w:rPr>
        <w:t>to </w:t>
      </w:r>
      <w:r>
        <w:rPr>
          <w:sz w:val="25"/>
        </w:rPr>
        <w:t>commence from 30 September 1989 with the foundation stone being laid on 9 November 1989. Nirmohi Akhara, it has been stated, has put forward a personal interest in the management of the worship of the plaintiff-deities and there being no other fit person to represent them, the third plaintiff has instituted the suit as next</w:t>
      </w:r>
      <w:r>
        <w:rPr>
          <w:spacing w:val="12"/>
          <w:sz w:val="25"/>
        </w:rPr>
        <w:t> </w:t>
      </w:r>
      <w:r>
        <w:rPr>
          <w:sz w:val="25"/>
        </w:rPr>
        <w:t>friend.</w:t>
      </w:r>
      <w:r>
        <w:rPr>
          <w:spacing w:val="13"/>
          <w:sz w:val="25"/>
        </w:rPr>
        <w:t> </w:t>
      </w:r>
      <w:r>
        <w:rPr>
          <w:sz w:val="25"/>
        </w:rPr>
        <w:t>It</w:t>
      </w:r>
      <w:r>
        <w:rPr>
          <w:spacing w:val="12"/>
          <w:sz w:val="25"/>
        </w:rPr>
        <w:t> </w:t>
      </w:r>
      <w:r>
        <w:rPr>
          <w:sz w:val="25"/>
        </w:rPr>
        <w:t>is</w:t>
      </w:r>
      <w:r>
        <w:rPr>
          <w:spacing w:val="13"/>
          <w:sz w:val="25"/>
        </w:rPr>
        <w:t> </w:t>
      </w:r>
      <w:r>
        <w:rPr>
          <w:sz w:val="25"/>
        </w:rPr>
        <w:t>averred</w:t>
      </w:r>
      <w:r>
        <w:rPr>
          <w:spacing w:val="13"/>
          <w:sz w:val="25"/>
        </w:rPr>
        <w:t> </w:t>
      </w:r>
      <w:r>
        <w:rPr>
          <w:sz w:val="25"/>
        </w:rPr>
        <w:t>that</w:t>
      </w:r>
      <w:r>
        <w:rPr>
          <w:spacing w:val="12"/>
          <w:sz w:val="25"/>
        </w:rPr>
        <w:t> </w:t>
      </w:r>
      <w:r>
        <w:rPr>
          <w:sz w:val="25"/>
        </w:rPr>
        <w:t>in</w:t>
      </w:r>
      <w:r>
        <w:rPr>
          <w:spacing w:val="11"/>
          <w:sz w:val="25"/>
        </w:rPr>
        <w:t> </w:t>
      </w:r>
      <w:r>
        <w:rPr>
          <w:sz w:val="25"/>
        </w:rPr>
        <w:t>order</w:t>
      </w:r>
      <w:r>
        <w:rPr>
          <w:spacing w:val="11"/>
          <w:sz w:val="25"/>
        </w:rPr>
        <w:t> </w:t>
      </w:r>
      <w:r>
        <w:rPr>
          <w:sz w:val="25"/>
        </w:rPr>
        <w:t>to</w:t>
      </w:r>
      <w:r>
        <w:rPr>
          <w:spacing w:val="11"/>
          <w:sz w:val="25"/>
        </w:rPr>
        <w:t> </w:t>
      </w:r>
      <w:r>
        <w:rPr>
          <w:sz w:val="25"/>
        </w:rPr>
        <w:t>remove</w:t>
      </w:r>
      <w:r>
        <w:rPr>
          <w:spacing w:val="12"/>
          <w:sz w:val="25"/>
        </w:rPr>
        <w:t> </w:t>
      </w:r>
      <w:r>
        <w:rPr>
          <w:sz w:val="25"/>
        </w:rPr>
        <w:t>any</w:t>
      </w:r>
      <w:r>
        <w:rPr>
          <w:spacing w:val="10"/>
          <w:sz w:val="25"/>
        </w:rPr>
        <w:t> </w:t>
      </w:r>
      <w:r>
        <w:rPr>
          <w:sz w:val="25"/>
        </w:rPr>
        <w:t>obstacles</w:t>
      </w:r>
      <w:r>
        <w:rPr>
          <w:spacing w:val="13"/>
          <w:sz w:val="25"/>
        </w:rPr>
        <w:t> </w:t>
      </w:r>
      <w:r>
        <w:rPr>
          <w:sz w:val="25"/>
        </w:rPr>
        <w:t>in</w:t>
      </w:r>
      <w:r>
        <w:rPr>
          <w:spacing w:val="12"/>
          <w:sz w:val="25"/>
        </w:rPr>
        <w:t> </w:t>
      </w:r>
      <w:r>
        <w:rPr>
          <w:sz w:val="25"/>
        </w:rPr>
        <w:t>the</w:t>
      </w:r>
      <w:r>
        <w:rPr>
          <w:spacing w:val="14"/>
          <w:sz w:val="25"/>
        </w:rPr>
        <w:t> </w:t>
      </w:r>
      <w:r>
        <w:rPr>
          <w:sz w:val="25"/>
        </w:rPr>
        <w:t>fulfilment</w:t>
      </w:r>
      <w:r>
        <w:rPr>
          <w:spacing w:val="11"/>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the movement to construct a new temple, the entire premises at the disputed site </w:t>
      </w:r>
      <w:r>
        <w:rPr>
          <w:w w:val="99"/>
        </w:rPr>
        <w:t>constitute</w:t>
      </w:r>
      <w:r>
        <w:rPr/>
        <w:t>  </w:t>
      </w:r>
      <w:r>
        <w:rPr>
          <w:w w:val="33"/>
        </w:rPr>
        <w:t>―</w:t>
      </w:r>
      <w:r>
        <w:rPr>
          <w:w w:val="99"/>
        </w:rPr>
        <w:t>one</w:t>
      </w:r>
      <w:r>
        <w:rPr/>
        <w:t>  </w:t>
      </w:r>
      <w:r>
        <w:rPr>
          <w:w w:val="99"/>
        </w:rPr>
        <w:t>integral</w:t>
      </w:r>
      <w:r>
        <w:rPr/>
        <w:t>  </w:t>
      </w:r>
      <w:r>
        <w:rPr>
          <w:w w:val="99"/>
        </w:rPr>
        <w:t>complex</w:t>
      </w:r>
      <w:r>
        <w:rPr>
          <w:w w:val="80"/>
        </w:rPr>
        <w:t>‖</w:t>
      </w:r>
      <w:r>
        <w:rPr/>
        <w:t>  </w:t>
      </w:r>
      <w:r>
        <w:rPr>
          <w:w w:val="99"/>
        </w:rPr>
        <w:t>with</w:t>
      </w:r>
      <w:r>
        <w:rPr/>
        <w:t>  </w:t>
      </w:r>
      <w:r>
        <w:rPr>
          <w:w w:val="33"/>
        </w:rPr>
        <w:t>―</w:t>
      </w:r>
      <w:r>
        <w:rPr>
          <w:w w:val="99"/>
        </w:rPr>
        <w:t>a</w:t>
      </w:r>
      <w:r>
        <w:rPr/>
        <w:t>  </w:t>
      </w:r>
      <w:r>
        <w:rPr>
          <w:w w:val="99"/>
        </w:rPr>
        <w:t>single</w:t>
      </w:r>
      <w:r>
        <w:rPr/>
        <w:t>  </w:t>
      </w:r>
      <w:r>
        <w:rPr>
          <w:w w:val="99"/>
        </w:rPr>
        <w:t>identity</w:t>
      </w:r>
      <w:r>
        <w:rPr>
          <w:w w:val="80"/>
        </w:rPr>
        <w:t>‖</w:t>
      </w:r>
      <w:r>
        <w:rPr>
          <w:w w:val="99"/>
        </w:rPr>
        <w:t>.</w:t>
      </w:r>
      <w:r>
        <w:rPr/>
        <w:t>    </w:t>
      </w:r>
      <w:r>
        <w:rPr>
          <w:w w:val="99"/>
        </w:rPr>
        <w:t>The</w:t>
      </w:r>
      <w:r>
        <w:rPr/>
        <w:t>  </w:t>
      </w:r>
      <w:r>
        <w:rPr>
          <w:w w:val="99"/>
        </w:rPr>
        <w:t>claim</w:t>
      </w:r>
      <w:r>
        <w:rPr/>
        <w:t>  </w:t>
      </w:r>
      <w:r>
        <w:rPr>
          <w:w w:val="99"/>
        </w:rPr>
        <w:t>of</w:t>
      </w:r>
      <w:r>
        <w:rPr/>
        <w:t>  </w:t>
      </w:r>
      <w:r>
        <w:rPr>
          <w:w w:val="99"/>
        </w:rPr>
        <w:t>the </w:t>
      </w:r>
      <w:r>
        <w:rPr/>
        <w:t>Muslims is stated to be confined to the enclosure within the inner boundary wall.</w:t>
      </w:r>
    </w:p>
    <w:p>
      <w:pPr>
        <w:pStyle w:val="BodyText"/>
        <w:spacing w:before="10"/>
        <w:rPr>
          <w:sz w:val="38"/>
        </w:rPr>
      </w:pPr>
    </w:p>
    <w:p>
      <w:pPr>
        <w:pStyle w:val="BodyText"/>
        <w:spacing w:line="480" w:lineRule="auto"/>
        <w:ind w:left="500" w:right="442"/>
        <w:jc w:val="both"/>
      </w:pPr>
      <w:r>
        <w:rPr/>
        <w:t>The plaint was amended after the demolition of Babri Masjid in 1992 to incorporate averments pertaining to the circumstances prior to, during and following the demolition. According to the plaintiffs, shebaiti rights were taken away and entrusted to the statutory receiver following the enactment of the acquisition ordinance and the law enacted by Parliament.</w:t>
      </w:r>
    </w:p>
    <w:p>
      <w:pPr>
        <w:pStyle w:val="BodyText"/>
        <w:spacing w:line="480" w:lineRule="auto" w:before="162"/>
        <w:ind w:left="500" w:right="443"/>
        <w:jc w:val="both"/>
      </w:pPr>
      <w:r>
        <w:rPr>
          <w:w w:val="99"/>
        </w:rPr>
        <w:t>The</w:t>
      </w:r>
      <w:r>
        <w:rPr/>
        <w:t> </w:t>
      </w:r>
      <w:r>
        <w:rPr>
          <w:w w:val="99"/>
        </w:rPr>
        <w:t>cause</w:t>
      </w:r>
      <w:r>
        <w:rPr/>
        <w:t> </w:t>
      </w:r>
      <w:r>
        <w:rPr>
          <w:w w:val="99"/>
        </w:rPr>
        <w:t>of</w:t>
      </w:r>
      <w:r>
        <w:rPr/>
        <w:t> </w:t>
      </w:r>
      <w:r>
        <w:rPr>
          <w:w w:val="99"/>
        </w:rPr>
        <w:t>action</w:t>
      </w:r>
      <w:r>
        <w:rPr/>
        <w:t> </w:t>
      </w:r>
      <w:r>
        <w:rPr>
          <w:w w:val="99"/>
        </w:rPr>
        <w:t>for</w:t>
      </w:r>
      <w:r>
        <w:rPr/>
        <w:t> </w:t>
      </w:r>
      <w:r>
        <w:rPr>
          <w:w w:val="99"/>
        </w:rPr>
        <w:t>the</w:t>
      </w:r>
      <w:r>
        <w:rPr/>
        <w:t> </w:t>
      </w:r>
      <w:r>
        <w:rPr>
          <w:w w:val="99"/>
        </w:rPr>
        <w:t>institution</w:t>
      </w:r>
      <w:r>
        <w:rPr/>
        <w:t> </w:t>
      </w:r>
      <w:r>
        <w:rPr>
          <w:w w:val="99"/>
        </w:rPr>
        <w:t>of</w:t>
      </w:r>
      <w:r>
        <w:rPr/>
        <w:t> </w:t>
      </w:r>
      <w:r>
        <w:rPr>
          <w:w w:val="99"/>
        </w:rPr>
        <w:t>the</w:t>
      </w:r>
      <w:r>
        <w:rPr/>
        <w:t> </w:t>
      </w:r>
      <w:r>
        <w:rPr>
          <w:w w:val="99"/>
        </w:rPr>
        <w:t>suit</w:t>
      </w:r>
      <w:r>
        <w:rPr/>
        <w:t> </w:t>
      </w:r>
      <w:r>
        <w:rPr>
          <w:w w:val="99"/>
        </w:rPr>
        <w:t>is</w:t>
      </w:r>
      <w:r>
        <w:rPr/>
        <w:t> </w:t>
      </w:r>
      <w:r>
        <w:rPr>
          <w:w w:val="99"/>
        </w:rPr>
        <w:t>stated</w:t>
      </w:r>
      <w:r>
        <w:rPr/>
        <w:t> </w:t>
      </w:r>
      <w:r>
        <w:rPr>
          <w:w w:val="99"/>
        </w:rPr>
        <w:t>to</w:t>
      </w:r>
      <w:r>
        <w:rPr/>
        <w:t> </w:t>
      </w:r>
      <w:r>
        <w:rPr>
          <w:w w:val="99"/>
        </w:rPr>
        <w:t>have</w:t>
      </w:r>
      <w:r>
        <w:rPr/>
        <w:t> </w:t>
      </w:r>
      <w:r>
        <w:rPr>
          <w:w w:val="99"/>
        </w:rPr>
        <w:t>accrued</w:t>
      </w:r>
      <w:r>
        <w:rPr/>
        <w:t> </w:t>
      </w:r>
      <w:r>
        <w:rPr>
          <w:w w:val="33"/>
        </w:rPr>
        <w:t>―</w:t>
      </w:r>
      <w:r>
        <w:rPr>
          <w:w w:val="99"/>
        </w:rPr>
        <w:t>from </w:t>
      </w:r>
      <w:r>
        <w:rPr/>
        <w:t>day to day‖ especially when the plans for construction of a new temple were alleged to be obstructed by violent action on the part of certain Muslims.</w:t>
      </w:r>
    </w:p>
    <w:p>
      <w:pPr>
        <w:pStyle w:val="BodyText"/>
        <w:rPr>
          <w:sz w:val="28"/>
        </w:rPr>
      </w:pPr>
    </w:p>
    <w:p>
      <w:pPr>
        <w:pStyle w:val="BodyText"/>
        <w:spacing w:before="11"/>
        <w:rPr>
          <w:sz w:val="21"/>
        </w:rPr>
      </w:pPr>
    </w:p>
    <w:p>
      <w:pPr>
        <w:pStyle w:val="BodyText"/>
        <w:ind w:left="500"/>
        <w:jc w:val="both"/>
      </w:pPr>
      <w:r>
        <w:rPr/>
        <w:t>On the above pleadings, two reliefs have been sought in Suit 5:</w:t>
      </w:r>
    </w:p>
    <w:p>
      <w:pPr>
        <w:pStyle w:val="BodyText"/>
        <w:spacing w:before="10"/>
        <w:rPr>
          <w:sz w:val="38"/>
        </w:rPr>
      </w:pPr>
    </w:p>
    <w:p>
      <w:pPr>
        <w:pStyle w:val="ListParagraph"/>
        <w:numPr>
          <w:ilvl w:val="0"/>
          <w:numId w:val="112"/>
        </w:numPr>
        <w:tabs>
          <w:tab w:pos="1221" w:val="left" w:leader="none"/>
        </w:tabs>
        <w:spacing w:line="480" w:lineRule="auto" w:before="0" w:after="0"/>
        <w:ind w:left="1220" w:right="443" w:hanging="720"/>
        <w:jc w:val="both"/>
        <w:rPr>
          <w:sz w:val="25"/>
        </w:rPr>
      </w:pPr>
      <w:r>
        <w:rPr>
          <w:sz w:val="25"/>
        </w:rPr>
        <w:t>A declaration that the entire premises of Sri Ram Janmabhumi described in Annexures I, II and III belong to the plaintiff-deities;</w:t>
      </w:r>
      <w:r>
        <w:rPr>
          <w:spacing w:val="-11"/>
          <w:sz w:val="25"/>
        </w:rPr>
        <w:t> </w:t>
      </w:r>
      <w:r>
        <w:rPr>
          <w:sz w:val="25"/>
        </w:rPr>
        <w:t>and</w:t>
      </w:r>
    </w:p>
    <w:p>
      <w:pPr>
        <w:pStyle w:val="ListParagraph"/>
        <w:numPr>
          <w:ilvl w:val="0"/>
          <w:numId w:val="112"/>
        </w:numPr>
        <w:tabs>
          <w:tab w:pos="1221" w:val="left" w:leader="none"/>
        </w:tabs>
        <w:spacing w:line="480" w:lineRule="auto" w:before="0" w:after="0"/>
        <w:ind w:left="1220" w:right="443" w:hanging="720"/>
        <w:jc w:val="both"/>
        <w:rPr>
          <w:sz w:val="25"/>
        </w:rPr>
      </w:pPr>
      <w:r>
        <w:rPr>
          <w:sz w:val="25"/>
        </w:rPr>
        <w:t>A permanent injunction prohibiting the defendants from interfering with or obstructing the construction of a new temple at Sri Ram Janmabhumi after the demolition and removal of the existing buildings and</w:t>
      </w:r>
      <w:r>
        <w:rPr>
          <w:spacing w:val="-10"/>
          <w:sz w:val="25"/>
        </w:rPr>
        <w:t> </w:t>
      </w:r>
      <w:r>
        <w:rPr>
          <w:sz w:val="25"/>
        </w:rPr>
        <w:t>structures.</w:t>
      </w:r>
    </w:p>
    <w:p>
      <w:pPr>
        <w:spacing w:after="0" w:line="480" w:lineRule="auto"/>
        <w:jc w:val="both"/>
        <w:rPr>
          <w:sz w:val="25"/>
        </w:rPr>
        <w:sectPr>
          <w:pgSz w:w="11910" w:h="16840"/>
          <w:pgMar w:header="721" w:footer="1014" w:top="1300" w:bottom="1200" w:left="940" w:right="1000"/>
        </w:sectPr>
      </w:pPr>
    </w:p>
    <w:p>
      <w:pPr>
        <w:pStyle w:val="Heading3"/>
        <w:numPr>
          <w:ilvl w:val="1"/>
          <w:numId w:val="56"/>
        </w:numPr>
        <w:tabs>
          <w:tab w:pos="1221" w:val="left" w:leader="none"/>
        </w:tabs>
        <w:spacing w:line="240" w:lineRule="auto" w:before="124" w:after="0"/>
        <w:ind w:left="1220" w:right="0" w:hanging="721"/>
        <w:jc w:val="both"/>
      </w:pPr>
      <w:r>
        <w:rPr/>
        <w:t>Written</w:t>
      </w:r>
      <w:r>
        <w:rPr>
          <w:spacing w:val="-2"/>
        </w:rPr>
        <w:t> </w:t>
      </w:r>
      <w:r>
        <w:rPr/>
        <w:t>statements</w:t>
      </w:r>
    </w:p>
    <w:p>
      <w:pPr>
        <w:pStyle w:val="BodyText"/>
        <w:rPr>
          <w:b/>
          <w:sz w:val="28"/>
        </w:rPr>
      </w:pPr>
    </w:p>
    <w:p>
      <w:pPr>
        <w:pStyle w:val="Heading4"/>
        <w:spacing w:before="216"/>
        <w:jc w:val="left"/>
        <w:rPr>
          <w:i/>
        </w:rPr>
      </w:pPr>
      <w:r>
        <w:rPr>
          <w:i/>
        </w:rPr>
        <w:t>Nirmohi Akhara</w:t>
      </w:r>
    </w:p>
    <w:p>
      <w:pPr>
        <w:pStyle w:val="BodyText"/>
        <w:spacing w:before="11"/>
        <w:rPr>
          <w:i/>
          <w:sz w:val="39"/>
        </w:rPr>
      </w:pPr>
    </w:p>
    <w:p>
      <w:pPr>
        <w:pStyle w:val="ListParagraph"/>
        <w:numPr>
          <w:ilvl w:val="0"/>
          <w:numId w:val="111"/>
        </w:numPr>
        <w:tabs>
          <w:tab w:pos="1221" w:val="left" w:leader="none"/>
        </w:tabs>
        <w:spacing w:line="480" w:lineRule="auto" w:before="0" w:after="0"/>
        <w:ind w:left="500" w:right="435" w:firstLine="0"/>
        <w:jc w:val="both"/>
        <w:rPr>
          <w:sz w:val="25"/>
        </w:rPr>
      </w:pPr>
      <w:r>
        <w:rPr>
          <w:sz w:val="25"/>
        </w:rPr>
        <w:t>In response to Suit 5, Nirmohi Akhara filed its written statement submitting </w:t>
      </w:r>
      <w:r>
        <w:rPr>
          <w:w w:val="99"/>
          <w:sz w:val="25"/>
        </w:rPr>
        <w:t>that</w:t>
      </w:r>
      <w:r>
        <w:rPr>
          <w:sz w:val="25"/>
        </w:rPr>
        <w:t> </w:t>
      </w:r>
      <w:r>
        <w:rPr>
          <w:spacing w:val="-10"/>
          <w:sz w:val="25"/>
        </w:rPr>
        <w:t> </w:t>
      </w:r>
      <w:r>
        <w:rPr>
          <w:w w:val="99"/>
          <w:sz w:val="25"/>
        </w:rPr>
        <w:t>the</w:t>
      </w:r>
      <w:r>
        <w:rPr>
          <w:sz w:val="25"/>
        </w:rPr>
        <w:t> </w:t>
      </w:r>
      <w:r>
        <w:rPr>
          <w:spacing w:val="-9"/>
          <w:sz w:val="25"/>
        </w:rPr>
        <w:t> </w:t>
      </w:r>
      <w:r>
        <w:rPr>
          <w:w w:val="99"/>
          <w:sz w:val="25"/>
        </w:rPr>
        <w:t>suit</w:t>
      </w:r>
      <w:r>
        <w:rPr>
          <w:sz w:val="25"/>
        </w:rPr>
        <w:t> </w:t>
      </w:r>
      <w:r>
        <w:rPr>
          <w:spacing w:val="-12"/>
          <w:sz w:val="25"/>
        </w:rPr>
        <w:t> </w:t>
      </w:r>
      <w:r>
        <w:rPr>
          <w:spacing w:val="-1"/>
          <w:w w:val="99"/>
          <w:sz w:val="25"/>
        </w:rPr>
        <w:t>instit</w:t>
      </w:r>
      <w:r>
        <w:rPr>
          <w:w w:val="99"/>
          <w:sz w:val="25"/>
        </w:rPr>
        <w:t>ut</w:t>
      </w:r>
      <w:r>
        <w:rPr>
          <w:spacing w:val="-2"/>
          <w:w w:val="99"/>
          <w:sz w:val="25"/>
        </w:rPr>
        <w:t>e</w:t>
      </w:r>
      <w:r>
        <w:rPr>
          <w:w w:val="99"/>
          <w:sz w:val="25"/>
        </w:rPr>
        <w:t>d</w:t>
      </w:r>
      <w:r>
        <w:rPr>
          <w:sz w:val="25"/>
        </w:rPr>
        <w:t> </w:t>
      </w:r>
      <w:r>
        <w:rPr>
          <w:spacing w:val="-10"/>
          <w:sz w:val="25"/>
        </w:rPr>
        <w:t> </w:t>
      </w:r>
      <w:r>
        <w:rPr>
          <w:w w:val="99"/>
          <w:sz w:val="25"/>
        </w:rPr>
        <w:t>th</w:t>
      </w:r>
      <w:r>
        <w:rPr>
          <w:spacing w:val="1"/>
          <w:w w:val="99"/>
          <w:sz w:val="25"/>
        </w:rPr>
        <w:t>r</w:t>
      </w:r>
      <w:r>
        <w:rPr>
          <w:spacing w:val="-1"/>
          <w:w w:val="99"/>
          <w:sz w:val="25"/>
        </w:rPr>
        <w:t>o</w:t>
      </w:r>
      <w:r>
        <w:rPr>
          <w:w w:val="99"/>
          <w:sz w:val="25"/>
        </w:rPr>
        <w:t>u</w:t>
      </w:r>
      <w:r>
        <w:rPr>
          <w:spacing w:val="-1"/>
          <w:w w:val="99"/>
          <w:sz w:val="25"/>
        </w:rPr>
        <w:t>g</w:t>
      </w:r>
      <w:r>
        <w:rPr>
          <w:w w:val="99"/>
          <w:sz w:val="25"/>
        </w:rPr>
        <w:t>h</w:t>
      </w:r>
      <w:r>
        <w:rPr>
          <w:sz w:val="25"/>
        </w:rPr>
        <w:t> </w:t>
      </w:r>
      <w:r>
        <w:rPr>
          <w:spacing w:val="-12"/>
          <w:sz w:val="25"/>
        </w:rPr>
        <w:t> </w:t>
      </w:r>
      <w:r>
        <w:rPr>
          <w:w w:val="99"/>
          <w:sz w:val="25"/>
        </w:rPr>
        <w:t>a</w:t>
      </w:r>
      <w:r>
        <w:rPr>
          <w:sz w:val="25"/>
        </w:rPr>
        <w:t> </w:t>
      </w:r>
      <w:r>
        <w:rPr>
          <w:spacing w:val="-10"/>
          <w:sz w:val="25"/>
        </w:rPr>
        <w:t> </w:t>
      </w:r>
      <w:r>
        <w:rPr>
          <w:spacing w:val="-1"/>
          <w:w w:val="99"/>
          <w:sz w:val="25"/>
        </w:rPr>
        <w:t>n</w:t>
      </w:r>
      <w:r>
        <w:rPr>
          <w:w w:val="99"/>
          <w:sz w:val="25"/>
        </w:rPr>
        <w:t>e</w:t>
      </w:r>
      <w:r>
        <w:rPr>
          <w:spacing w:val="-3"/>
          <w:w w:val="99"/>
          <w:sz w:val="25"/>
        </w:rPr>
        <w:t>x</w:t>
      </w:r>
      <w:r>
        <w:rPr>
          <w:w w:val="99"/>
          <w:sz w:val="25"/>
        </w:rPr>
        <w:t>t</w:t>
      </w:r>
      <w:r>
        <w:rPr>
          <w:sz w:val="25"/>
        </w:rPr>
        <w:t> </w:t>
      </w:r>
      <w:r>
        <w:rPr>
          <w:spacing w:val="-10"/>
          <w:sz w:val="25"/>
        </w:rPr>
        <w:t> </w:t>
      </w:r>
      <w:r>
        <w:rPr>
          <w:w w:val="99"/>
          <w:sz w:val="25"/>
        </w:rPr>
        <w:t>fr</w:t>
      </w:r>
      <w:r>
        <w:rPr>
          <w:spacing w:val="-3"/>
          <w:w w:val="99"/>
          <w:sz w:val="25"/>
        </w:rPr>
        <w:t>i</w:t>
      </w:r>
      <w:r>
        <w:rPr>
          <w:spacing w:val="-1"/>
          <w:w w:val="99"/>
          <w:sz w:val="25"/>
        </w:rPr>
        <w:t>e</w:t>
      </w:r>
      <w:r>
        <w:rPr>
          <w:w w:val="99"/>
          <w:sz w:val="25"/>
        </w:rPr>
        <w:t>nd</w:t>
      </w:r>
      <w:r>
        <w:rPr>
          <w:sz w:val="25"/>
        </w:rPr>
        <w:t> </w:t>
      </w:r>
      <w:r>
        <w:rPr>
          <w:spacing w:val="-10"/>
          <w:sz w:val="25"/>
        </w:rPr>
        <w:t> </w:t>
      </w:r>
      <w:r>
        <w:rPr>
          <w:spacing w:val="-1"/>
          <w:w w:val="99"/>
          <w:sz w:val="25"/>
        </w:rPr>
        <w:t>i</w:t>
      </w:r>
      <w:r>
        <w:rPr>
          <w:w w:val="99"/>
          <w:sz w:val="25"/>
        </w:rPr>
        <w:t>s</w:t>
      </w:r>
      <w:r>
        <w:rPr>
          <w:sz w:val="25"/>
        </w:rPr>
        <w:t> </w:t>
      </w:r>
      <w:r>
        <w:rPr>
          <w:spacing w:val="-10"/>
          <w:sz w:val="25"/>
        </w:rPr>
        <w:t> </w:t>
      </w:r>
      <w:r>
        <w:rPr>
          <w:w w:val="99"/>
          <w:sz w:val="25"/>
        </w:rPr>
        <w:t>m</w:t>
      </w:r>
      <w:r>
        <w:rPr>
          <w:spacing w:val="-1"/>
          <w:w w:val="99"/>
          <w:sz w:val="25"/>
        </w:rPr>
        <w:t>aliciou</w:t>
      </w:r>
      <w:r>
        <w:rPr>
          <w:w w:val="99"/>
          <w:sz w:val="25"/>
        </w:rPr>
        <w:t>s</w:t>
      </w:r>
      <w:r>
        <w:rPr>
          <w:sz w:val="25"/>
        </w:rPr>
        <w:t> </w:t>
      </w:r>
      <w:r>
        <w:rPr>
          <w:spacing w:val="-9"/>
          <w:sz w:val="25"/>
        </w:rPr>
        <w:t> </w:t>
      </w:r>
      <w:r>
        <w:rPr>
          <w:spacing w:val="-1"/>
          <w:w w:val="99"/>
          <w:sz w:val="25"/>
        </w:rPr>
        <w:t>a</w:t>
      </w:r>
      <w:r>
        <w:rPr>
          <w:w w:val="99"/>
          <w:sz w:val="25"/>
        </w:rPr>
        <w:t>nd</w:t>
      </w:r>
      <w:r>
        <w:rPr>
          <w:sz w:val="25"/>
        </w:rPr>
        <w:t> </w:t>
      </w:r>
      <w:r>
        <w:rPr>
          <w:spacing w:val="-12"/>
          <w:sz w:val="25"/>
        </w:rPr>
        <w:t> </w:t>
      </w:r>
      <w:r>
        <w:rPr>
          <w:spacing w:val="-1"/>
          <w:w w:val="99"/>
          <w:sz w:val="25"/>
        </w:rPr>
        <w:t>i</w:t>
      </w:r>
      <w:r>
        <w:rPr>
          <w:w w:val="99"/>
          <w:sz w:val="25"/>
        </w:rPr>
        <w:t>s</w:t>
      </w:r>
      <w:r>
        <w:rPr>
          <w:sz w:val="25"/>
        </w:rPr>
        <w:t> </w:t>
      </w:r>
      <w:r>
        <w:rPr>
          <w:spacing w:val="-10"/>
          <w:sz w:val="25"/>
        </w:rPr>
        <w:t> </w:t>
      </w:r>
      <w:r>
        <w:rPr>
          <w:w w:val="99"/>
          <w:sz w:val="25"/>
        </w:rPr>
        <w:t>a</w:t>
      </w:r>
      <w:r>
        <w:rPr>
          <w:sz w:val="25"/>
        </w:rPr>
        <w:t> </w:t>
      </w:r>
      <w:r>
        <w:rPr>
          <w:spacing w:val="-10"/>
          <w:sz w:val="25"/>
        </w:rPr>
        <w:t> </w:t>
      </w:r>
      <w:r>
        <w:rPr>
          <w:spacing w:val="-2"/>
          <w:w w:val="33"/>
          <w:sz w:val="25"/>
        </w:rPr>
        <w:t>―</w:t>
      </w:r>
      <w:r>
        <w:rPr>
          <w:spacing w:val="-1"/>
          <w:w w:val="99"/>
          <w:sz w:val="25"/>
        </w:rPr>
        <w:t>d</w:t>
      </w:r>
      <w:r>
        <w:rPr>
          <w:w w:val="99"/>
          <w:sz w:val="25"/>
        </w:rPr>
        <w:t>esign</w:t>
      </w:r>
      <w:r>
        <w:rPr>
          <w:sz w:val="25"/>
        </w:rPr>
        <w:t> </w:t>
      </w:r>
      <w:r>
        <w:rPr>
          <w:spacing w:val="-9"/>
          <w:sz w:val="25"/>
        </w:rPr>
        <w:t> </w:t>
      </w:r>
      <w:r>
        <w:rPr>
          <w:w w:val="99"/>
          <w:sz w:val="25"/>
        </w:rPr>
        <w:t>to </w:t>
      </w:r>
      <w:r>
        <w:rPr>
          <w:sz w:val="25"/>
        </w:rPr>
        <w:t>damage the title and interest of the answering defendants‖. Nirmohi Akhara denies the locus of the next friend as the third plaintiff to represent the deities. It specifically denies the status of the second plaintiff as a juridical person. Bhagwan Sri Ram, according to Nirmohi Akhara is installed not at Ram Janmabhumi but in the temple known as the Janmabhumi temple for whose charge and management it has instituted Suit 3. According to the written statement, Asthan simply means a place and is not a juridical person. The third plaintiff, it has been asserted is not a worshipper of the deity and is a Vaishnavite </w:t>
      </w:r>
      <w:r>
        <w:rPr>
          <w:w w:val="99"/>
          <w:sz w:val="25"/>
        </w:rPr>
        <w:t>and</w:t>
      </w:r>
      <w:r>
        <w:rPr>
          <w:sz w:val="25"/>
        </w:rPr>
        <w:t> </w:t>
      </w:r>
      <w:r>
        <w:rPr>
          <w:spacing w:val="-31"/>
          <w:sz w:val="25"/>
        </w:rPr>
        <w:t> </w:t>
      </w:r>
      <w:r>
        <w:rPr>
          <w:w w:val="99"/>
          <w:sz w:val="25"/>
        </w:rPr>
        <w:t>ha</w:t>
      </w:r>
      <w:r>
        <w:rPr>
          <w:w w:val="99"/>
          <w:sz w:val="25"/>
        </w:rPr>
        <w:t>s</w:t>
      </w:r>
      <w:r>
        <w:rPr>
          <w:sz w:val="25"/>
        </w:rPr>
        <w:t> </w:t>
      </w:r>
      <w:r>
        <w:rPr>
          <w:spacing w:val="-32"/>
          <w:sz w:val="25"/>
        </w:rPr>
        <w:t> </w:t>
      </w:r>
      <w:r>
        <w:rPr>
          <w:w w:val="99"/>
          <w:sz w:val="25"/>
        </w:rPr>
        <w:t>no</w:t>
      </w:r>
      <w:r>
        <w:rPr>
          <w:sz w:val="25"/>
        </w:rPr>
        <w:t> </w:t>
      </w:r>
      <w:r>
        <w:rPr>
          <w:spacing w:val="-31"/>
          <w:sz w:val="25"/>
        </w:rPr>
        <w:t> </w:t>
      </w:r>
      <w:r>
        <w:rPr>
          <w:w w:val="99"/>
          <w:sz w:val="25"/>
        </w:rPr>
        <w:t>locus</w:t>
      </w:r>
      <w:r>
        <w:rPr>
          <w:sz w:val="25"/>
        </w:rPr>
        <w:t> </w:t>
      </w:r>
      <w:r>
        <w:rPr>
          <w:spacing w:val="-31"/>
          <w:sz w:val="25"/>
        </w:rPr>
        <w:t> </w:t>
      </w:r>
      <w:r>
        <w:rPr>
          <w:w w:val="99"/>
          <w:sz w:val="25"/>
        </w:rPr>
        <w:t>to</w:t>
      </w:r>
      <w:r>
        <w:rPr>
          <w:sz w:val="25"/>
        </w:rPr>
        <w:t> </w:t>
      </w:r>
      <w:r>
        <w:rPr>
          <w:spacing w:val="-29"/>
          <w:sz w:val="25"/>
        </w:rPr>
        <w:t> </w:t>
      </w:r>
      <w:r>
        <w:rPr>
          <w:w w:val="99"/>
          <w:sz w:val="25"/>
        </w:rPr>
        <w:t>r</w:t>
      </w:r>
      <w:r>
        <w:rPr>
          <w:spacing w:val="3"/>
          <w:w w:val="99"/>
          <w:sz w:val="25"/>
        </w:rPr>
        <w:t>e</w:t>
      </w:r>
      <w:r>
        <w:rPr>
          <w:spacing w:val="-1"/>
          <w:w w:val="99"/>
          <w:sz w:val="25"/>
        </w:rPr>
        <w:t>p</w:t>
      </w:r>
      <w:r>
        <w:rPr>
          <w:w w:val="99"/>
          <w:sz w:val="25"/>
        </w:rPr>
        <w:t>r</w:t>
      </w:r>
      <w:r>
        <w:rPr>
          <w:spacing w:val="-1"/>
          <w:w w:val="99"/>
          <w:sz w:val="25"/>
        </w:rPr>
        <w:t>es</w:t>
      </w:r>
      <w:r>
        <w:rPr>
          <w:w w:val="99"/>
          <w:sz w:val="25"/>
        </w:rPr>
        <w:t>e</w:t>
      </w:r>
      <w:r>
        <w:rPr>
          <w:spacing w:val="-1"/>
          <w:w w:val="99"/>
          <w:sz w:val="25"/>
        </w:rPr>
        <w:t>n</w:t>
      </w:r>
      <w:r>
        <w:rPr>
          <w:w w:val="99"/>
          <w:sz w:val="25"/>
        </w:rPr>
        <w:t>t</w:t>
      </w:r>
      <w:r>
        <w:rPr>
          <w:sz w:val="25"/>
        </w:rPr>
        <w:t> </w:t>
      </w:r>
      <w:r>
        <w:rPr>
          <w:spacing w:val="-31"/>
          <w:sz w:val="25"/>
        </w:rPr>
        <w:t> </w:t>
      </w:r>
      <w:r>
        <w:rPr>
          <w:w w:val="99"/>
          <w:sz w:val="25"/>
        </w:rPr>
        <w:t>the</w:t>
      </w:r>
      <w:r>
        <w:rPr>
          <w:sz w:val="25"/>
        </w:rPr>
        <w:t> </w:t>
      </w:r>
      <w:r>
        <w:rPr>
          <w:spacing w:val="-31"/>
          <w:sz w:val="25"/>
        </w:rPr>
        <w:t> </w:t>
      </w:r>
      <w:r>
        <w:rPr>
          <w:spacing w:val="-1"/>
          <w:w w:val="99"/>
          <w:sz w:val="25"/>
        </w:rPr>
        <w:t>d</w:t>
      </w:r>
      <w:r>
        <w:rPr>
          <w:w w:val="99"/>
          <w:sz w:val="25"/>
        </w:rPr>
        <w:t>e</w:t>
      </w:r>
      <w:r>
        <w:rPr>
          <w:spacing w:val="-1"/>
          <w:w w:val="99"/>
          <w:sz w:val="25"/>
        </w:rPr>
        <w:t>it</w:t>
      </w:r>
      <w:r>
        <w:rPr>
          <w:w w:val="99"/>
          <w:sz w:val="25"/>
        </w:rPr>
        <w:t>y</w:t>
      </w:r>
      <w:r>
        <w:rPr>
          <w:sz w:val="25"/>
        </w:rPr>
        <w:t> </w:t>
      </w:r>
      <w:r>
        <w:rPr>
          <w:spacing w:val="-34"/>
          <w:sz w:val="25"/>
        </w:rPr>
        <w:t> </w:t>
      </w:r>
      <w:r>
        <w:rPr>
          <w:spacing w:val="2"/>
          <w:w w:val="99"/>
          <w:sz w:val="25"/>
        </w:rPr>
        <w:t>o</w:t>
      </w:r>
      <w:r>
        <w:rPr>
          <w:w w:val="99"/>
          <w:sz w:val="25"/>
        </w:rPr>
        <w:t>r</w:t>
      </w:r>
      <w:r>
        <w:rPr>
          <w:sz w:val="25"/>
        </w:rPr>
        <w:t> </w:t>
      </w:r>
      <w:r>
        <w:rPr>
          <w:spacing w:val="-31"/>
          <w:sz w:val="25"/>
        </w:rPr>
        <w:t> </w:t>
      </w:r>
      <w:r>
        <w:rPr>
          <w:w w:val="99"/>
          <w:sz w:val="25"/>
        </w:rPr>
        <w:t>the</w:t>
      </w:r>
      <w:r>
        <w:rPr>
          <w:sz w:val="25"/>
        </w:rPr>
        <w:t> </w:t>
      </w:r>
      <w:r>
        <w:rPr>
          <w:spacing w:val="-31"/>
          <w:sz w:val="25"/>
        </w:rPr>
        <w:t> </w:t>
      </w:r>
      <w:r>
        <w:rPr>
          <w:w w:val="33"/>
          <w:sz w:val="25"/>
        </w:rPr>
        <w:t>―</w:t>
      </w:r>
      <w:r>
        <w:rPr>
          <w:w w:val="99"/>
          <w:sz w:val="25"/>
        </w:rPr>
        <w:t>s</w:t>
      </w:r>
      <w:r>
        <w:rPr>
          <w:spacing w:val="4"/>
          <w:w w:val="99"/>
          <w:sz w:val="25"/>
        </w:rPr>
        <w:t>o</w:t>
      </w:r>
      <w:r>
        <w:rPr>
          <w:w w:val="99"/>
          <w:sz w:val="25"/>
        </w:rPr>
        <w:t>-called</w:t>
      </w:r>
      <w:r>
        <w:rPr>
          <w:sz w:val="25"/>
        </w:rPr>
        <w:t> </w:t>
      </w:r>
      <w:r>
        <w:rPr>
          <w:spacing w:val="-31"/>
          <w:sz w:val="25"/>
        </w:rPr>
        <w:t> </w:t>
      </w:r>
      <w:r>
        <w:rPr>
          <w:spacing w:val="-1"/>
          <w:w w:val="99"/>
          <w:sz w:val="25"/>
        </w:rPr>
        <w:t>A</w:t>
      </w:r>
      <w:r>
        <w:rPr>
          <w:w w:val="99"/>
          <w:sz w:val="25"/>
        </w:rPr>
        <w:t>stha</w:t>
      </w:r>
      <w:r>
        <w:rPr>
          <w:spacing w:val="-1"/>
          <w:w w:val="91"/>
          <w:sz w:val="25"/>
        </w:rPr>
        <w:t>n</w:t>
      </w:r>
      <w:r>
        <w:rPr>
          <w:w w:val="91"/>
          <w:sz w:val="25"/>
        </w:rPr>
        <w:t>‖</w:t>
      </w:r>
      <w:r>
        <w:rPr>
          <w:w w:val="99"/>
          <w:sz w:val="25"/>
        </w:rPr>
        <w:t>.</w:t>
      </w:r>
      <w:r>
        <w:rPr>
          <w:sz w:val="25"/>
        </w:rPr>
        <w:t> </w:t>
      </w:r>
      <w:r>
        <w:rPr>
          <w:spacing w:val="-31"/>
          <w:sz w:val="25"/>
        </w:rPr>
        <w:t> </w:t>
      </w:r>
      <w:r>
        <w:rPr>
          <w:w w:val="99"/>
          <w:sz w:val="25"/>
        </w:rPr>
        <w:t>It</w:t>
      </w:r>
      <w:r>
        <w:rPr>
          <w:sz w:val="25"/>
        </w:rPr>
        <w:t> </w:t>
      </w:r>
      <w:r>
        <w:rPr>
          <w:spacing w:val="-31"/>
          <w:sz w:val="25"/>
        </w:rPr>
        <w:t> </w:t>
      </w:r>
      <w:r>
        <w:rPr>
          <w:spacing w:val="-1"/>
          <w:w w:val="99"/>
          <w:sz w:val="25"/>
        </w:rPr>
        <w:t>h</w:t>
      </w:r>
      <w:r>
        <w:rPr>
          <w:w w:val="99"/>
          <w:sz w:val="25"/>
        </w:rPr>
        <w:t>as</w:t>
      </w:r>
      <w:r>
        <w:rPr>
          <w:sz w:val="25"/>
        </w:rPr>
        <w:t> </w:t>
      </w:r>
      <w:r>
        <w:rPr>
          <w:spacing w:val="-32"/>
          <w:sz w:val="25"/>
        </w:rPr>
        <w:t> </w:t>
      </w:r>
      <w:r>
        <w:rPr>
          <w:spacing w:val="-1"/>
          <w:w w:val="99"/>
          <w:sz w:val="25"/>
        </w:rPr>
        <w:t>b</w:t>
      </w:r>
      <w:r>
        <w:rPr>
          <w:w w:val="99"/>
          <w:sz w:val="25"/>
        </w:rPr>
        <w:t>e</w:t>
      </w:r>
      <w:r>
        <w:rPr>
          <w:spacing w:val="-1"/>
          <w:w w:val="99"/>
          <w:sz w:val="25"/>
        </w:rPr>
        <w:t>en </w:t>
      </w:r>
      <w:r>
        <w:rPr>
          <w:sz w:val="25"/>
        </w:rPr>
        <w:t>urged that there was an attempt to mobilise a sum of Rs. 25 crores for the construction of a new temple. Nirmohi Akhara states that the birth-place of Lord Ram is not in dispute and it is located at Ayodhya where the Ram Janmabhumi temple stands. The Ram Janmabhumi temple is stated to be in the disputed land which the Muslims claim to be a mosque. Asthan Janmabhumi is stated to be the birth-place of Lord Ram comprising of the entire city of Ayodhya. Nirmohi Akhara has claimed that it is the shebait of the idol of Lord Ram installed in the temple in dispute and that it alone has the right to control, supervise, repair and reconstruct the temple. It has been submitted that Nirmohis‘ suit was filed in 1959, whereas, </w:t>
      </w:r>
      <w:r>
        <w:rPr>
          <w:w w:val="99"/>
          <w:sz w:val="25"/>
        </w:rPr>
        <w:t>the</w:t>
      </w:r>
      <w:r>
        <w:rPr>
          <w:sz w:val="25"/>
        </w:rPr>
        <w:t> </w:t>
      </w:r>
      <w:r>
        <w:rPr>
          <w:spacing w:val="-33"/>
          <w:sz w:val="25"/>
        </w:rPr>
        <w:t> </w:t>
      </w:r>
      <w:r>
        <w:rPr>
          <w:spacing w:val="-1"/>
          <w:w w:val="99"/>
          <w:sz w:val="25"/>
        </w:rPr>
        <w:t>Ra</w:t>
      </w:r>
      <w:r>
        <w:rPr>
          <w:w w:val="99"/>
          <w:sz w:val="25"/>
        </w:rPr>
        <w:t>m</w:t>
      </w:r>
      <w:r>
        <w:rPr>
          <w:sz w:val="25"/>
        </w:rPr>
        <w:t> </w:t>
      </w:r>
      <w:r>
        <w:rPr>
          <w:spacing w:val="-33"/>
          <w:sz w:val="25"/>
        </w:rPr>
        <w:t> </w:t>
      </w:r>
      <w:r>
        <w:rPr>
          <w:w w:val="99"/>
          <w:sz w:val="25"/>
        </w:rPr>
        <w:t>Janm</w:t>
      </w:r>
      <w:r>
        <w:rPr>
          <w:spacing w:val="-1"/>
          <w:w w:val="99"/>
          <w:sz w:val="25"/>
        </w:rPr>
        <w:t>a</w:t>
      </w:r>
      <w:r>
        <w:rPr>
          <w:w w:val="99"/>
          <w:sz w:val="25"/>
        </w:rPr>
        <w:t>b</w:t>
      </w:r>
      <w:r>
        <w:rPr>
          <w:spacing w:val="-1"/>
          <w:w w:val="99"/>
          <w:sz w:val="25"/>
        </w:rPr>
        <w:t>h</w:t>
      </w:r>
      <w:r>
        <w:rPr>
          <w:spacing w:val="-2"/>
          <w:w w:val="99"/>
          <w:sz w:val="25"/>
        </w:rPr>
        <w:t>u</w:t>
      </w:r>
      <w:r>
        <w:rPr>
          <w:w w:val="99"/>
          <w:sz w:val="25"/>
        </w:rPr>
        <w:t>mi</w:t>
      </w:r>
      <w:r>
        <w:rPr>
          <w:sz w:val="25"/>
        </w:rPr>
        <w:t> </w:t>
      </w:r>
      <w:r>
        <w:rPr>
          <w:spacing w:val="-34"/>
          <w:sz w:val="25"/>
        </w:rPr>
        <w:t> </w:t>
      </w:r>
      <w:r>
        <w:rPr>
          <w:spacing w:val="-1"/>
          <w:w w:val="99"/>
          <w:sz w:val="25"/>
        </w:rPr>
        <w:t>N</w:t>
      </w:r>
      <w:r>
        <w:rPr>
          <w:spacing w:val="-3"/>
          <w:w w:val="99"/>
          <w:sz w:val="25"/>
        </w:rPr>
        <w:t>y</w:t>
      </w:r>
      <w:r>
        <w:rPr>
          <w:spacing w:val="-1"/>
          <w:w w:val="99"/>
          <w:sz w:val="25"/>
        </w:rPr>
        <w:t>a</w:t>
      </w:r>
      <w:r>
        <w:rPr>
          <w:w w:val="99"/>
          <w:sz w:val="25"/>
        </w:rPr>
        <w:t>s</w:t>
      </w:r>
      <w:r>
        <w:rPr>
          <w:sz w:val="25"/>
        </w:rPr>
        <w:t> </w:t>
      </w:r>
      <w:r>
        <w:rPr>
          <w:spacing w:val="-34"/>
          <w:sz w:val="25"/>
        </w:rPr>
        <w:t> </w:t>
      </w:r>
      <w:r>
        <w:rPr>
          <w:spacing w:val="-1"/>
          <w:w w:val="99"/>
          <w:sz w:val="25"/>
        </w:rPr>
        <w:t>h</w:t>
      </w:r>
      <w:r>
        <w:rPr>
          <w:w w:val="99"/>
          <w:sz w:val="25"/>
        </w:rPr>
        <w:t>as</w:t>
      </w:r>
      <w:r>
        <w:rPr>
          <w:sz w:val="25"/>
        </w:rPr>
        <w:t> </w:t>
      </w:r>
      <w:r>
        <w:rPr>
          <w:spacing w:val="-34"/>
          <w:sz w:val="25"/>
        </w:rPr>
        <w:t> </w:t>
      </w:r>
      <w:r>
        <w:rPr>
          <w:w w:val="99"/>
          <w:sz w:val="25"/>
        </w:rPr>
        <w:t>co</w:t>
      </w:r>
      <w:r>
        <w:rPr>
          <w:spacing w:val="1"/>
          <w:w w:val="99"/>
          <w:sz w:val="25"/>
        </w:rPr>
        <w:t>m</w:t>
      </w:r>
      <w:r>
        <w:rPr>
          <w:w w:val="99"/>
          <w:sz w:val="25"/>
        </w:rPr>
        <w:t>e</w:t>
      </w:r>
      <w:r>
        <w:rPr>
          <w:sz w:val="25"/>
        </w:rPr>
        <w:t> </w:t>
      </w:r>
      <w:r>
        <w:rPr>
          <w:spacing w:val="-34"/>
          <w:sz w:val="25"/>
        </w:rPr>
        <w:t> </w:t>
      </w:r>
      <w:r>
        <w:rPr>
          <w:spacing w:val="-1"/>
          <w:w w:val="99"/>
          <w:sz w:val="25"/>
        </w:rPr>
        <w:t>int</w:t>
      </w:r>
      <w:r>
        <w:rPr>
          <w:w w:val="99"/>
          <w:sz w:val="25"/>
        </w:rPr>
        <w:t>o</w:t>
      </w:r>
      <w:r>
        <w:rPr>
          <w:sz w:val="25"/>
        </w:rPr>
        <w:t> </w:t>
      </w:r>
      <w:r>
        <w:rPr>
          <w:spacing w:val="-34"/>
          <w:sz w:val="25"/>
        </w:rPr>
        <w:t> </w:t>
      </w:r>
      <w:r>
        <w:rPr>
          <w:spacing w:val="-1"/>
          <w:w w:val="99"/>
          <w:sz w:val="25"/>
        </w:rPr>
        <w:t>e</w:t>
      </w:r>
      <w:r>
        <w:rPr>
          <w:spacing w:val="-3"/>
          <w:w w:val="99"/>
          <w:sz w:val="25"/>
        </w:rPr>
        <w:t>x</w:t>
      </w:r>
      <w:r>
        <w:rPr>
          <w:spacing w:val="-1"/>
          <w:w w:val="99"/>
          <w:sz w:val="25"/>
        </w:rPr>
        <w:t>iste</w:t>
      </w:r>
      <w:r>
        <w:rPr>
          <w:w w:val="99"/>
          <w:sz w:val="25"/>
        </w:rPr>
        <w:t>nce</w:t>
      </w:r>
      <w:r>
        <w:rPr>
          <w:sz w:val="25"/>
        </w:rPr>
        <w:t> </w:t>
      </w:r>
      <w:r>
        <w:rPr>
          <w:spacing w:val="-34"/>
          <w:sz w:val="25"/>
        </w:rPr>
        <w:t> </w:t>
      </w:r>
      <w:r>
        <w:rPr>
          <w:spacing w:val="-1"/>
          <w:w w:val="99"/>
          <w:sz w:val="25"/>
        </w:rPr>
        <w:t>i</w:t>
      </w:r>
      <w:r>
        <w:rPr>
          <w:w w:val="99"/>
          <w:sz w:val="25"/>
        </w:rPr>
        <w:t>n</w:t>
      </w:r>
      <w:r>
        <w:rPr>
          <w:sz w:val="25"/>
        </w:rPr>
        <w:t> </w:t>
      </w:r>
      <w:r>
        <w:rPr>
          <w:spacing w:val="-34"/>
          <w:sz w:val="25"/>
        </w:rPr>
        <w:t> </w:t>
      </w:r>
      <w:r>
        <w:rPr>
          <w:spacing w:val="-1"/>
          <w:w w:val="99"/>
          <w:sz w:val="25"/>
        </w:rPr>
        <w:t>1</w:t>
      </w:r>
      <w:r>
        <w:rPr>
          <w:w w:val="99"/>
          <w:sz w:val="25"/>
        </w:rPr>
        <w:t>9</w:t>
      </w:r>
      <w:r>
        <w:rPr>
          <w:spacing w:val="-1"/>
          <w:w w:val="99"/>
          <w:sz w:val="25"/>
        </w:rPr>
        <w:t>8</w:t>
      </w:r>
      <w:r>
        <w:rPr>
          <w:w w:val="99"/>
          <w:sz w:val="25"/>
        </w:rPr>
        <w:t>5</w:t>
      </w:r>
      <w:r>
        <w:rPr>
          <w:sz w:val="25"/>
        </w:rPr>
        <w:t> </w:t>
      </w:r>
      <w:r>
        <w:rPr>
          <w:spacing w:val="-34"/>
          <w:sz w:val="25"/>
        </w:rPr>
        <w:t> </w:t>
      </w:r>
      <w:r>
        <w:rPr>
          <w:w w:val="33"/>
          <w:sz w:val="25"/>
        </w:rPr>
        <w:t>―</w:t>
      </w:r>
      <w:r>
        <w:rPr>
          <w:spacing w:val="-1"/>
          <w:w w:val="99"/>
          <w:sz w:val="25"/>
        </w:rPr>
        <w:t>wit</w:t>
      </w:r>
      <w:r>
        <w:rPr>
          <w:w w:val="99"/>
          <w:sz w:val="25"/>
        </w:rPr>
        <w:t>h</w:t>
      </w:r>
      <w:r>
        <w:rPr>
          <w:sz w:val="25"/>
        </w:rPr>
        <w:t> </w:t>
      </w:r>
      <w:r>
        <w:rPr>
          <w:spacing w:val="-34"/>
          <w:sz w:val="25"/>
        </w:rPr>
        <w:t> </w:t>
      </w:r>
      <w:r>
        <w:rPr>
          <w:spacing w:val="-1"/>
          <w:w w:val="99"/>
          <w:sz w:val="25"/>
        </w:rPr>
        <w:t>a</w:t>
      </w:r>
      <w:r>
        <w:rPr>
          <w:w w:val="99"/>
          <w:sz w:val="25"/>
        </w:rPr>
        <w:t>n</w:t>
      </w:r>
      <w:r>
        <w:rPr>
          <w:sz w:val="25"/>
        </w:rPr>
        <w:t> </w:t>
      </w:r>
      <w:r>
        <w:rPr>
          <w:spacing w:val="-34"/>
          <w:sz w:val="25"/>
        </w:rPr>
        <w:t> </w:t>
      </w:r>
      <w:r>
        <w:rPr>
          <w:spacing w:val="-1"/>
          <w:w w:val="99"/>
          <w:sz w:val="25"/>
        </w:rPr>
        <w:t>o</w:t>
      </w:r>
      <w:r>
        <w:rPr>
          <w:w w:val="99"/>
          <w:sz w:val="25"/>
        </w:rPr>
        <w:t>b</w:t>
      </w:r>
      <w:r>
        <w:rPr>
          <w:spacing w:val="-3"/>
          <w:w w:val="99"/>
          <w:sz w:val="25"/>
        </w:rPr>
        <w:t>v</w:t>
      </w:r>
      <w:r>
        <w:rPr>
          <w:spacing w:val="-1"/>
          <w:w w:val="99"/>
          <w:sz w:val="25"/>
        </w:rPr>
        <w:t>ious </w:t>
      </w:r>
      <w:r>
        <w:rPr>
          <w:sz w:val="25"/>
        </w:rPr>
        <w:t>design to damage the title and interest of the Akhara‖. Nirmohi Akhara</w:t>
      </w:r>
      <w:r>
        <w:rPr>
          <w:spacing w:val="-6"/>
          <w:sz w:val="25"/>
        </w:rPr>
        <w:t> </w:t>
      </w:r>
      <w:r>
        <w:rPr>
          <w:sz w:val="25"/>
        </w:rPr>
        <w:t>has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alleged that the idol of Lord Ram was always installed in the Ram Janmabhumi temple; that the temple belongs to it and no one else has the right to construct a </w:t>
      </w:r>
      <w:r>
        <w:rPr>
          <w:w w:val="99"/>
        </w:rPr>
        <w:t>new</w:t>
      </w:r>
      <w:r>
        <w:rPr/>
        <w:t> </w:t>
      </w:r>
      <w:r>
        <w:rPr>
          <w:w w:val="99"/>
        </w:rPr>
        <w:t>temple.</w:t>
      </w:r>
      <w:r>
        <w:rPr/>
        <w:t> </w:t>
      </w:r>
      <w:r>
        <w:rPr>
          <w:w w:val="99"/>
        </w:rPr>
        <w:t>Suit</w:t>
      </w:r>
      <w:r>
        <w:rPr/>
        <w:t> </w:t>
      </w:r>
      <w:r>
        <w:rPr>
          <w:w w:val="99"/>
        </w:rPr>
        <w:t>5</w:t>
      </w:r>
      <w:r>
        <w:rPr/>
        <w:t> </w:t>
      </w:r>
      <w:r>
        <w:rPr>
          <w:w w:val="99"/>
        </w:rPr>
        <w:t>has</w:t>
      </w:r>
      <w:r>
        <w:rPr/>
        <w:t> </w:t>
      </w:r>
      <w:r>
        <w:rPr>
          <w:w w:val="99"/>
        </w:rPr>
        <w:t>been</w:t>
      </w:r>
      <w:r>
        <w:rPr/>
        <w:t> </w:t>
      </w:r>
      <w:r>
        <w:rPr>
          <w:w w:val="99"/>
        </w:rPr>
        <w:t>opposed</w:t>
      </w:r>
      <w:r>
        <w:rPr/>
        <w:t> </w:t>
      </w:r>
      <w:r>
        <w:rPr>
          <w:w w:val="99"/>
        </w:rPr>
        <w:t>on</w:t>
      </w:r>
      <w:r>
        <w:rPr/>
        <w:t> </w:t>
      </w:r>
      <w:r>
        <w:rPr>
          <w:w w:val="99"/>
        </w:rPr>
        <w:t>the</w:t>
      </w:r>
      <w:r>
        <w:rPr/>
        <w:t> </w:t>
      </w:r>
      <w:r>
        <w:rPr>
          <w:w w:val="99"/>
        </w:rPr>
        <w:t>ground</w:t>
      </w:r>
      <w:r>
        <w:rPr/>
        <w:t> </w:t>
      </w:r>
      <w:r>
        <w:rPr>
          <w:w w:val="99"/>
        </w:rPr>
        <w:t>that</w:t>
      </w:r>
      <w:r>
        <w:rPr/>
        <w:t> </w:t>
      </w:r>
      <w:r>
        <w:rPr>
          <w:w w:val="99"/>
        </w:rPr>
        <w:t>the</w:t>
      </w:r>
      <w:r>
        <w:rPr/>
        <w:t> </w:t>
      </w:r>
      <w:r>
        <w:rPr>
          <w:w w:val="99"/>
        </w:rPr>
        <w:t>plaintiffs</w:t>
      </w:r>
      <w:r>
        <w:rPr/>
        <w:t> </w:t>
      </w:r>
      <w:r>
        <w:rPr>
          <w:w w:val="99"/>
        </w:rPr>
        <w:t>have</w:t>
      </w:r>
      <w:r>
        <w:rPr/>
        <w:t> </w:t>
      </w:r>
      <w:r>
        <w:rPr>
          <w:w w:val="33"/>
        </w:rPr>
        <w:t>―</w:t>
      </w:r>
      <w:r>
        <w:rPr>
          <w:w w:val="99"/>
        </w:rPr>
        <w:t>no </w:t>
      </w:r>
      <w:r>
        <w:rPr/>
        <w:t>real title to sue‖ and that the suit is an encroachment on the rights of the Nirmohis to manage the temple. Hence, according to it, the disputed premises mentioned by the plaintiffs in Suit 5 belong to the Nirmohi Akhara and the plaintiffs cannot seek a declaration against the right and title of Nirmohi Akhara. Accordingly, Nirmohi Akhara has prayed for the dismissal of Suit 5.</w:t>
      </w:r>
    </w:p>
    <w:p>
      <w:pPr>
        <w:pStyle w:val="BodyText"/>
        <w:rPr>
          <w:sz w:val="28"/>
        </w:rPr>
      </w:pPr>
    </w:p>
    <w:p>
      <w:pPr>
        <w:pStyle w:val="BodyText"/>
        <w:spacing w:before="10"/>
        <w:rPr>
          <w:sz w:val="24"/>
        </w:rPr>
      </w:pPr>
    </w:p>
    <w:p>
      <w:pPr>
        <w:pStyle w:val="BodyText"/>
        <w:spacing w:line="480" w:lineRule="auto" w:before="1"/>
        <w:ind w:left="500" w:right="436"/>
        <w:jc w:val="both"/>
      </w:pPr>
      <w:r>
        <w:rPr/>
        <w:t>In its additional written statement, Nirmohi Akhara has stated that the outer </w:t>
      </w:r>
      <w:r>
        <w:rPr>
          <w:spacing w:val="-1"/>
          <w:w w:val="99"/>
        </w:rPr>
        <w:t>Sa</w:t>
      </w:r>
      <w:r>
        <w:rPr>
          <w:w w:val="99"/>
        </w:rPr>
        <w:t>h</w:t>
      </w:r>
      <w:r>
        <w:rPr>
          <w:spacing w:val="-1"/>
          <w:w w:val="99"/>
        </w:rPr>
        <w:t>a</w:t>
      </w:r>
      <w:r>
        <w:rPr>
          <w:w w:val="99"/>
        </w:rPr>
        <w:t>n</w:t>
      </w:r>
      <w:r>
        <w:rPr/>
        <w:t> </w:t>
      </w:r>
      <w:r>
        <w:rPr>
          <w:spacing w:val="2"/>
        </w:rPr>
        <w:t> </w:t>
      </w:r>
      <w:r>
        <w:rPr>
          <w:w w:val="99"/>
        </w:rPr>
        <w:t>(court</w:t>
      </w:r>
      <w:r>
        <w:rPr>
          <w:spacing w:val="-3"/>
          <w:w w:val="99"/>
        </w:rPr>
        <w:t>y</w:t>
      </w:r>
      <w:r>
        <w:rPr>
          <w:spacing w:val="-1"/>
          <w:w w:val="99"/>
        </w:rPr>
        <w:t>a</w:t>
      </w:r>
      <w:r>
        <w:rPr>
          <w:w w:val="99"/>
        </w:rPr>
        <w:t>r</w:t>
      </w:r>
      <w:r>
        <w:rPr>
          <w:spacing w:val="-1"/>
          <w:w w:val="99"/>
        </w:rPr>
        <w:t>d</w:t>
      </w:r>
      <w:r>
        <w:rPr>
          <w:w w:val="99"/>
        </w:rPr>
        <w:t>)</w:t>
      </w:r>
      <w:r>
        <w:rPr/>
        <w:t> </w:t>
      </w:r>
      <w:r>
        <w:rPr>
          <w:spacing w:val="3"/>
        </w:rPr>
        <w:t> </w:t>
      </w:r>
      <w:r>
        <w:rPr>
          <w:w w:val="33"/>
        </w:rPr>
        <w:t>―</w:t>
      </w:r>
      <w:r>
        <w:rPr>
          <w:spacing w:val="-3"/>
          <w:w w:val="99"/>
        </w:rPr>
        <w:t>c</w:t>
      </w:r>
      <w:r>
        <w:rPr>
          <w:spacing w:val="-1"/>
          <w:w w:val="99"/>
        </w:rPr>
        <w:t>a</w:t>
      </w:r>
      <w:r>
        <w:rPr>
          <w:w w:val="99"/>
        </w:rPr>
        <w:t>rr</w:t>
      </w:r>
      <w:r>
        <w:rPr>
          <w:spacing w:val="-1"/>
          <w:w w:val="99"/>
        </w:rPr>
        <w:t>ie</w:t>
      </w:r>
      <w:r>
        <w:rPr>
          <w:w w:val="99"/>
        </w:rPr>
        <w:t>d</w:t>
      </w:r>
      <w:r>
        <w:rPr/>
        <w:t> </w:t>
      </w:r>
      <w:r>
        <w:rPr>
          <w:spacing w:val="3"/>
        </w:rPr>
        <w:t> </w:t>
      </w:r>
      <w:r>
        <w:rPr>
          <w:w w:val="99"/>
        </w:rPr>
        <w:t>a</w:t>
      </w:r>
      <w:r>
        <w:rPr/>
        <w:t> </w:t>
      </w:r>
      <w:r>
        <w:rPr>
          <w:spacing w:val="2"/>
        </w:rPr>
        <w:t> </w:t>
      </w:r>
      <w:r>
        <w:rPr>
          <w:spacing w:val="-1"/>
          <w:w w:val="99"/>
        </w:rPr>
        <w:t>littl</w:t>
      </w:r>
      <w:r>
        <w:rPr>
          <w:w w:val="99"/>
        </w:rPr>
        <w:t>e</w:t>
      </w:r>
      <w:r>
        <w:rPr/>
        <w:t> </w:t>
      </w:r>
      <w:r>
        <w:rPr>
          <w:spacing w:val="2"/>
        </w:rPr>
        <w:t> </w:t>
      </w:r>
      <w:r>
        <w:rPr>
          <w:w w:val="99"/>
        </w:rPr>
        <w:t>t</w:t>
      </w:r>
      <w:r>
        <w:rPr>
          <w:spacing w:val="-2"/>
          <w:w w:val="99"/>
        </w:rPr>
        <w:t>e</w:t>
      </w:r>
      <w:r>
        <w:rPr>
          <w:w w:val="99"/>
        </w:rPr>
        <w:t>m</w:t>
      </w:r>
      <w:r>
        <w:rPr>
          <w:spacing w:val="-1"/>
          <w:w w:val="99"/>
        </w:rPr>
        <w:t>pl</w:t>
      </w:r>
      <w:r>
        <w:rPr>
          <w:spacing w:val="-2"/>
          <w:w w:val="99"/>
        </w:rPr>
        <w:t>e</w:t>
      </w:r>
      <w:r>
        <w:rPr>
          <w:w w:val="80"/>
        </w:rPr>
        <w:t>‖</w:t>
      </w:r>
      <w:r>
        <w:rPr/>
        <w:t> </w:t>
      </w:r>
      <w:r>
        <w:rPr>
          <w:spacing w:val="3"/>
        </w:rPr>
        <w:t> </w:t>
      </w:r>
      <w:r>
        <w:rPr>
          <w:spacing w:val="-1"/>
          <w:w w:val="99"/>
        </w:rPr>
        <w:t>o</w:t>
      </w:r>
      <w:r>
        <w:rPr>
          <w:w w:val="99"/>
        </w:rPr>
        <w:t>f</w:t>
      </w:r>
      <w:r>
        <w:rPr/>
        <w:t> </w:t>
      </w:r>
      <w:r>
        <w:rPr>
          <w:spacing w:val="3"/>
        </w:rPr>
        <w:t> </w:t>
      </w:r>
      <w:r>
        <w:rPr>
          <w:spacing w:val="-1"/>
          <w:w w:val="99"/>
        </w:rPr>
        <w:t>L</w:t>
      </w:r>
      <w:r>
        <w:rPr>
          <w:w w:val="99"/>
        </w:rPr>
        <w:t>ord</w:t>
      </w:r>
      <w:r>
        <w:rPr/>
        <w:t>  </w:t>
      </w:r>
      <w:r>
        <w:rPr>
          <w:spacing w:val="-1"/>
          <w:w w:val="99"/>
        </w:rPr>
        <w:t>Ra</w:t>
      </w:r>
      <w:r>
        <w:rPr>
          <w:w w:val="99"/>
        </w:rPr>
        <w:t>m</w:t>
      </w:r>
      <w:r>
        <w:rPr/>
        <w:t> </w:t>
      </w:r>
      <w:r>
        <w:rPr>
          <w:spacing w:val="3"/>
        </w:rPr>
        <w:t> </w:t>
      </w:r>
      <w:r>
        <w:rPr>
          <w:spacing w:val="-1"/>
          <w:w w:val="99"/>
        </w:rPr>
        <w:t>whi</w:t>
      </w:r>
      <w:r>
        <w:rPr>
          <w:spacing w:val="-3"/>
          <w:w w:val="99"/>
        </w:rPr>
        <w:t>c</w:t>
      </w:r>
      <w:r>
        <w:rPr>
          <w:w w:val="99"/>
        </w:rPr>
        <w:t>h</w:t>
      </w:r>
      <w:r>
        <w:rPr/>
        <w:t> </w:t>
      </w:r>
      <w:r>
        <w:rPr>
          <w:spacing w:val="2"/>
        </w:rPr>
        <w:t> </w:t>
      </w:r>
      <w:r>
        <w:rPr>
          <w:spacing w:val="-1"/>
          <w:w w:val="99"/>
        </w:rPr>
        <w:t>wa</w:t>
      </w:r>
      <w:r>
        <w:rPr>
          <w:w w:val="99"/>
        </w:rPr>
        <w:t>s</w:t>
      </w:r>
      <w:r>
        <w:rPr/>
        <w:t> </w:t>
      </w:r>
      <w:r>
        <w:rPr>
          <w:spacing w:val="2"/>
        </w:rPr>
        <w:t> </w:t>
      </w:r>
      <w:r>
        <w:rPr>
          <w:w w:val="99"/>
        </w:rPr>
        <w:t>r</w:t>
      </w:r>
      <w:r>
        <w:rPr>
          <w:spacing w:val="-1"/>
          <w:w w:val="99"/>
        </w:rPr>
        <w:t>e</w:t>
      </w:r>
      <w:r>
        <w:rPr>
          <w:w w:val="99"/>
        </w:rPr>
        <w:t>g</w:t>
      </w:r>
      <w:r>
        <w:rPr>
          <w:spacing w:val="-1"/>
          <w:w w:val="99"/>
        </w:rPr>
        <w:t>ula</w:t>
      </w:r>
      <w:r>
        <w:rPr>
          <w:spacing w:val="1"/>
          <w:w w:val="99"/>
        </w:rPr>
        <w:t>r</w:t>
      </w:r>
      <w:r>
        <w:rPr>
          <w:spacing w:val="-1"/>
          <w:w w:val="99"/>
        </w:rPr>
        <w:t>ly </w:t>
      </w:r>
      <w:r>
        <w:rPr/>
        <w:t>worshipped according to the customs prevailing among Ramanandi Bairagis. The outer part of this temple is stated to have been in the management and charge of Nirmohi Akhara as its shebait till the outer portion was attached on 16 February 1982 in Regular Suit 239 of 1982. The outer portion, it has been stated, has been in possession and management of Nirmohi Akhara and the idol of Lord Ram installed on Ramchabutra is stated to be a distinct legal entity owned by Nirmohi Akhara. It has been submitted that the Magistrate‘s order of attachment under Section 145 pertained only to the three-domed structure where the idol of Lord Ram is stated to have been installed by Nirmohi Akhara from time immemorial and which was always in its management and possession. In a further written statement, Nirmohi Akhara has claimed that the constitution of the Ram Janmabhumi Nyas is</w:t>
      </w:r>
      <w:r>
        <w:rPr>
          <w:spacing w:val="-4"/>
        </w:rPr>
        <w:t> </w:t>
      </w:r>
      <w:r>
        <w:rPr/>
        <w:t>illegal.</w:t>
      </w:r>
    </w:p>
    <w:p>
      <w:pPr>
        <w:spacing w:after="0" w:line="480" w:lineRule="auto"/>
        <w:jc w:val="both"/>
        <w:sectPr>
          <w:pgSz w:w="11910" w:h="16840"/>
          <w:pgMar w:header="721" w:footer="1014" w:top="1300" w:bottom="1200" w:left="940" w:right="1000"/>
        </w:sectPr>
      </w:pPr>
    </w:p>
    <w:p>
      <w:pPr>
        <w:pStyle w:val="Heading4"/>
        <w:spacing w:before="126"/>
        <w:jc w:val="left"/>
        <w:rPr>
          <w:i/>
        </w:rPr>
      </w:pPr>
      <w:r>
        <w:rPr>
          <w:i/>
        </w:rPr>
        <w:t>All India Hindu Mahasabha</w:t>
      </w:r>
    </w:p>
    <w:p>
      <w:pPr>
        <w:pStyle w:val="BodyText"/>
        <w:spacing w:before="8"/>
        <w:rPr>
          <w:i/>
          <w:sz w:val="38"/>
        </w:rPr>
      </w:pPr>
    </w:p>
    <w:p>
      <w:pPr>
        <w:pStyle w:val="ListParagraph"/>
        <w:numPr>
          <w:ilvl w:val="0"/>
          <w:numId w:val="111"/>
        </w:numPr>
        <w:tabs>
          <w:tab w:pos="1221" w:val="left" w:leader="none"/>
        </w:tabs>
        <w:spacing w:line="480" w:lineRule="auto" w:before="0" w:after="0"/>
        <w:ind w:left="500" w:right="443" w:firstLine="0"/>
        <w:jc w:val="both"/>
        <w:rPr>
          <w:sz w:val="25"/>
        </w:rPr>
      </w:pPr>
      <w:r>
        <w:rPr>
          <w:sz w:val="25"/>
        </w:rPr>
        <w:t>The President of the All India Hindu Mahasabha filed a written statement claiming that as a party to the Sri Ram Janmabhumi Nyas, it is directly dedicated to the seva-puja and other affairs of the Ram Janmabhumi</w:t>
      </w:r>
      <w:r>
        <w:rPr>
          <w:spacing w:val="-5"/>
          <w:sz w:val="25"/>
        </w:rPr>
        <w:t> </w:t>
      </w:r>
      <w:r>
        <w:rPr>
          <w:sz w:val="25"/>
        </w:rPr>
        <w:t>temple.</w:t>
      </w:r>
    </w:p>
    <w:p>
      <w:pPr>
        <w:pStyle w:val="BodyText"/>
        <w:spacing w:before="4"/>
        <w:rPr>
          <w:sz w:val="39"/>
        </w:rPr>
      </w:pPr>
    </w:p>
    <w:p>
      <w:pPr>
        <w:spacing w:before="0"/>
        <w:ind w:left="500" w:right="0" w:firstLine="0"/>
        <w:jc w:val="left"/>
        <w:rPr>
          <w:i/>
          <w:sz w:val="26"/>
        </w:rPr>
      </w:pPr>
      <w:r>
        <w:rPr>
          <w:i/>
          <w:color w:val="000009"/>
          <w:sz w:val="26"/>
        </w:rPr>
        <w:t>Sunni Central Waqf Board</w:t>
      </w:r>
    </w:p>
    <w:p>
      <w:pPr>
        <w:pStyle w:val="BodyText"/>
        <w:spacing w:before="8"/>
        <w:rPr>
          <w:i/>
          <w:sz w:val="38"/>
        </w:rPr>
      </w:pPr>
    </w:p>
    <w:p>
      <w:pPr>
        <w:pStyle w:val="ListParagraph"/>
        <w:numPr>
          <w:ilvl w:val="0"/>
          <w:numId w:val="111"/>
        </w:numPr>
        <w:tabs>
          <w:tab w:pos="1221" w:val="left" w:leader="none"/>
        </w:tabs>
        <w:spacing w:line="240" w:lineRule="auto" w:before="0" w:after="0"/>
        <w:ind w:left="1220" w:right="0" w:hanging="721"/>
        <w:jc w:val="both"/>
        <w:rPr>
          <w:sz w:val="25"/>
        </w:rPr>
      </w:pPr>
      <w:r>
        <w:rPr>
          <w:sz w:val="25"/>
        </w:rPr>
        <w:t>The </w:t>
      </w:r>
      <w:r>
        <w:rPr>
          <w:color w:val="000009"/>
          <w:sz w:val="25"/>
        </w:rPr>
        <w:t>Sunni Central Waqf Board </w:t>
      </w:r>
      <w:r>
        <w:rPr>
          <w:sz w:val="25"/>
        </w:rPr>
        <w:t>has opposed the suit of the</w:t>
      </w:r>
      <w:r>
        <w:rPr>
          <w:spacing w:val="9"/>
          <w:sz w:val="25"/>
        </w:rPr>
        <w:t> </w:t>
      </w:r>
      <w:r>
        <w:rPr>
          <w:sz w:val="25"/>
        </w:rPr>
        <w:t>plaintiff-deities.</w:t>
      </w:r>
    </w:p>
    <w:p>
      <w:pPr>
        <w:pStyle w:val="BodyText"/>
        <w:spacing w:before="1"/>
      </w:pPr>
    </w:p>
    <w:p>
      <w:pPr>
        <w:pStyle w:val="BodyText"/>
        <w:spacing w:line="480" w:lineRule="auto"/>
        <w:ind w:left="500" w:right="434"/>
        <w:jc w:val="both"/>
      </w:pPr>
      <w:r>
        <w:rPr/>
        <w:t>In its written statement, it denies the juridical status of the first and second plaintiffs and the locus of the third plaintiff to act as a next friend. According to the </w:t>
      </w:r>
      <w:r>
        <w:rPr>
          <w:color w:val="000009"/>
        </w:rPr>
        <w:t>Sunni Central Waqf </w:t>
      </w:r>
      <w:r>
        <w:rPr/>
        <w:t>Board, no deities were installed within the premises of Babri Masjid until the idol was surreptitiously brought in on the night between 22-23 December 1949. The written statement denies the presence of a presiding deity </w:t>
      </w:r>
      <w:r>
        <w:rPr>
          <w:spacing w:val="-1"/>
          <w:w w:val="99"/>
        </w:rPr>
        <w:t>o</w:t>
      </w:r>
      <w:r>
        <w:rPr>
          <w:w w:val="99"/>
        </w:rPr>
        <w:t>r</w:t>
      </w:r>
      <w:r>
        <w:rPr>
          <w:spacing w:val="8"/>
        </w:rPr>
        <w:t> </w:t>
      </w:r>
      <w:r>
        <w:rPr>
          <w:spacing w:val="-1"/>
          <w:w w:val="99"/>
        </w:rPr>
        <w:t>o</w:t>
      </w:r>
      <w:r>
        <w:rPr>
          <w:w w:val="99"/>
        </w:rPr>
        <w:t>f</w:t>
      </w:r>
      <w:r>
        <w:rPr>
          <w:spacing w:val="7"/>
        </w:rPr>
        <w:t> </w:t>
      </w:r>
      <w:r>
        <w:rPr>
          <w:w w:val="33"/>
        </w:rPr>
        <w:t>―</w:t>
      </w:r>
      <w:r>
        <w:rPr>
          <w:spacing w:val="-1"/>
          <w:w w:val="99"/>
        </w:rPr>
        <w:t>a</w:t>
      </w:r>
      <w:r>
        <w:rPr>
          <w:w w:val="99"/>
        </w:rPr>
        <w:t>ny</w:t>
      </w:r>
      <w:r>
        <w:rPr>
          <w:spacing w:val="4"/>
        </w:rPr>
        <w:t> </w:t>
      </w:r>
      <w:r>
        <w:rPr>
          <w:spacing w:val="-1"/>
          <w:w w:val="99"/>
        </w:rPr>
        <w:t>A</w:t>
      </w:r>
      <w:r>
        <w:rPr>
          <w:w w:val="99"/>
        </w:rPr>
        <w:t>stha</w:t>
      </w:r>
      <w:r>
        <w:rPr>
          <w:spacing w:val="-1"/>
          <w:w w:val="91"/>
        </w:rPr>
        <w:t>n</w:t>
      </w:r>
      <w:r>
        <w:rPr>
          <w:w w:val="91"/>
        </w:rPr>
        <w:t>‖</w:t>
      </w:r>
      <w:r>
        <w:rPr>
          <w:w w:val="99"/>
        </w:rPr>
        <w:t>.</w:t>
      </w:r>
      <w:r>
        <w:rPr>
          <w:spacing w:val="7"/>
        </w:rPr>
        <w:t> </w:t>
      </w:r>
      <w:r>
        <w:rPr>
          <w:spacing w:val="-1"/>
          <w:w w:val="99"/>
        </w:rPr>
        <w:t>P</w:t>
      </w:r>
      <w:r>
        <w:rPr>
          <w:spacing w:val="1"/>
          <w:w w:val="99"/>
        </w:rPr>
        <w:t>l</w:t>
      </w:r>
      <w:r>
        <w:rPr>
          <w:spacing w:val="-1"/>
          <w:w w:val="99"/>
        </w:rPr>
        <w:t>acin</w:t>
      </w:r>
      <w:r>
        <w:rPr>
          <w:w w:val="99"/>
        </w:rPr>
        <w:t>g</w:t>
      </w:r>
      <w:r>
        <w:rPr>
          <w:spacing w:val="7"/>
        </w:rPr>
        <w:t> </w:t>
      </w:r>
      <w:r>
        <w:rPr>
          <w:w w:val="99"/>
        </w:rPr>
        <w:t>r</w:t>
      </w:r>
      <w:r>
        <w:rPr>
          <w:spacing w:val="-1"/>
          <w:w w:val="99"/>
        </w:rPr>
        <w:t>elia</w:t>
      </w:r>
      <w:r>
        <w:rPr>
          <w:w w:val="99"/>
        </w:rPr>
        <w:t>nce</w:t>
      </w:r>
      <w:r>
        <w:rPr>
          <w:spacing w:val="7"/>
        </w:rPr>
        <w:t> </w:t>
      </w:r>
      <w:r>
        <w:rPr>
          <w:spacing w:val="-1"/>
          <w:w w:val="99"/>
        </w:rPr>
        <w:t>o</w:t>
      </w:r>
      <w:r>
        <w:rPr>
          <w:w w:val="99"/>
        </w:rPr>
        <w:t>n</w:t>
      </w:r>
      <w:r>
        <w:rPr>
          <w:spacing w:val="7"/>
        </w:rPr>
        <w:t> </w:t>
      </w:r>
      <w:r>
        <w:rPr>
          <w:w w:val="99"/>
        </w:rPr>
        <w:t>the</w:t>
      </w:r>
      <w:r>
        <w:rPr>
          <w:spacing w:val="7"/>
        </w:rPr>
        <w:t> </w:t>
      </w:r>
      <w:r>
        <w:rPr>
          <w:spacing w:val="-1"/>
          <w:w w:val="99"/>
        </w:rPr>
        <w:t>dis</w:t>
      </w:r>
      <w:r>
        <w:rPr>
          <w:w w:val="99"/>
        </w:rPr>
        <w:t>m</w:t>
      </w:r>
      <w:r>
        <w:rPr>
          <w:spacing w:val="-1"/>
          <w:w w:val="99"/>
        </w:rPr>
        <w:t>issa</w:t>
      </w:r>
      <w:r>
        <w:rPr>
          <w:w w:val="99"/>
        </w:rPr>
        <w:t>l</w:t>
      </w:r>
      <w:r>
        <w:rPr>
          <w:spacing w:val="13"/>
        </w:rPr>
        <w:t> </w:t>
      </w:r>
      <w:r>
        <w:rPr>
          <w:w w:val="99"/>
        </w:rPr>
        <w:t>of</w:t>
      </w:r>
      <w:r>
        <w:rPr>
          <w:spacing w:val="7"/>
        </w:rPr>
        <w:t> </w:t>
      </w:r>
      <w:r>
        <w:rPr>
          <w:w w:val="99"/>
        </w:rPr>
        <w:t>the</w:t>
      </w:r>
      <w:r>
        <w:rPr>
          <w:spacing w:val="8"/>
        </w:rPr>
        <w:t> </w:t>
      </w:r>
      <w:r>
        <w:rPr>
          <w:spacing w:val="-1"/>
          <w:w w:val="99"/>
        </w:rPr>
        <w:t>S</w:t>
      </w:r>
      <w:r>
        <w:rPr>
          <w:w w:val="99"/>
        </w:rPr>
        <w:t>uit</w:t>
      </w:r>
      <w:r>
        <w:rPr>
          <w:spacing w:val="9"/>
        </w:rPr>
        <w:t> </w:t>
      </w:r>
      <w:r>
        <w:rPr>
          <w:w w:val="99"/>
        </w:rPr>
        <w:t>of</w:t>
      </w:r>
      <w:r>
        <w:rPr>
          <w:spacing w:val="7"/>
        </w:rPr>
        <w:t> </w:t>
      </w:r>
      <w:r>
        <w:rPr>
          <w:w w:val="99"/>
        </w:rPr>
        <w:t>1885</w:t>
      </w:r>
      <w:r>
        <w:rPr>
          <w:spacing w:val="7"/>
        </w:rPr>
        <w:t> </w:t>
      </w:r>
      <w:r>
        <w:rPr>
          <w:w w:val="99"/>
        </w:rPr>
        <w:t>instituted </w:t>
      </w:r>
      <w:r>
        <w:rPr/>
        <w:t>by Mahant Raghubar Das, it has been submitted that the plaintiffs cannot claim any portion of the Babri Masjid to have assumed a juridical personality by the </w:t>
      </w:r>
      <w:r>
        <w:rPr>
          <w:spacing w:val="-1"/>
          <w:w w:val="99"/>
        </w:rPr>
        <w:t>n</w:t>
      </w:r>
      <w:r>
        <w:rPr>
          <w:w w:val="99"/>
        </w:rPr>
        <w:t>ame</w:t>
      </w:r>
      <w:r>
        <w:rPr/>
        <w:t>  </w:t>
      </w:r>
      <w:r>
        <w:rPr>
          <w:spacing w:val="-26"/>
        </w:rPr>
        <w:t> </w:t>
      </w:r>
      <w:r>
        <w:rPr>
          <w:spacing w:val="-1"/>
          <w:w w:val="99"/>
        </w:rPr>
        <w:t>o</w:t>
      </w:r>
      <w:r>
        <w:rPr>
          <w:w w:val="99"/>
        </w:rPr>
        <w:t>f</w:t>
      </w:r>
      <w:r>
        <w:rPr/>
        <w:t>  </w:t>
      </w:r>
      <w:r>
        <w:rPr>
          <w:spacing w:val="-26"/>
        </w:rPr>
        <w:t> </w:t>
      </w:r>
      <w:r>
        <w:rPr>
          <w:w w:val="33"/>
        </w:rPr>
        <w:t>―</w:t>
      </w:r>
      <w:r>
        <w:rPr>
          <w:spacing w:val="-1"/>
          <w:w w:val="99"/>
        </w:rPr>
        <w:t>A</w:t>
      </w:r>
      <w:r>
        <w:rPr>
          <w:w w:val="99"/>
        </w:rPr>
        <w:t>shth</w:t>
      </w:r>
      <w:r>
        <w:rPr>
          <w:spacing w:val="-1"/>
          <w:w w:val="99"/>
        </w:rPr>
        <w:t>a</w:t>
      </w:r>
      <w:r>
        <w:rPr>
          <w:w w:val="99"/>
        </w:rPr>
        <w:t>n</w:t>
      </w:r>
      <w:r>
        <w:rPr/>
        <w:t>  </w:t>
      </w:r>
      <w:r>
        <w:rPr>
          <w:spacing w:val="-26"/>
        </w:rPr>
        <w:t> </w:t>
      </w:r>
      <w:r>
        <w:rPr>
          <w:spacing w:val="-1"/>
          <w:w w:val="99"/>
        </w:rPr>
        <w:t>Ra</w:t>
      </w:r>
      <w:r>
        <w:rPr>
          <w:w w:val="99"/>
        </w:rPr>
        <w:t>m</w:t>
      </w:r>
      <w:r>
        <w:rPr/>
        <w:t>  </w:t>
      </w:r>
      <w:r>
        <w:rPr>
          <w:spacing w:val="-26"/>
        </w:rPr>
        <w:t> </w:t>
      </w:r>
      <w:r>
        <w:rPr>
          <w:w w:val="99"/>
        </w:rPr>
        <w:t>Janm</w:t>
      </w:r>
      <w:r>
        <w:rPr>
          <w:spacing w:val="-1"/>
          <w:w w:val="99"/>
        </w:rPr>
        <w:t>a</w:t>
      </w:r>
      <w:r>
        <w:rPr>
          <w:w w:val="99"/>
        </w:rPr>
        <w:t>b</w:t>
      </w:r>
      <w:r>
        <w:rPr>
          <w:spacing w:val="-1"/>
          <w:w w:val="99"/>
        </w:rPr>
        <w:t>h</w:t>
      </w:r>
      <w:r>
        <w:rPr>
          <w:w w:val="99"/>
        </w:rPr>
        <w:t>um</w:t>
      </w:r>
      <w:r>
        <w:rPr>
          <w:spacing w:val="-1"/>
          <w:w w:val="91"/>
        </w:rPr>
        <w:t>i‖</w:t>
      </w:r>
      <w:r>
        <w:rPr>
          <w:w w:val="91"/>
        </w:rPr>
        <w:t>,</w:t>
      </w:r>
      <w:r>
        <w:rPr/>
        <w:t>  </w:t>
      </w:r>
      <w:r>
        <w:rPr>
          <w:spacing w:val="-28"/>
        </w:rPr>
        <w:t> </w:t>
      </w:r>
      <w:r>
        <w:rPr>
          <w:spacing w:val="-1"/>
          <w:w w:val="99"/>
        </w:rPr>
        <w:t>p</w:t>
      </w:r>
      <w:r>
        <w:rPr>
          <w:w w:val="99"/>
        </w:rPr>
        <w:t>articula</w:t>
      </w:r>
      <w:r>
        <w:rPr>
          <w:spacing w:val="1"/>
          <w:w w:val="99"/>
        </w:rPr>
        <w:t>r</w:t>
      </w:r>
      <w:r>
        <w:rPr>
          <w:spacing w:val="-1"/>
          <w:w w:val="99"/>
        </w:rPr>
        <w:t>l</w:t>
      </w:r>
      <w:r>
        <w:rPr>
          <w:w w:val="99"/>
        </w:rPr>
        <w:t>y</w:t>
      </w:r>
      <w:r>
        <w:rPr/>
        <w:t>  </w:t>
      </w:r>
      <w:r>
        <w:rPr>
          <w:spacing w:val="-29"/>
        </w:rPr>
        <w:t> </w:t>
      </w:r>
      <w:r>
        <w:rPr>
          <w:spacing w:val="-1"/>
          <w:w w:val="99"/>
        </w:rPr>
        <w:t>i</w:t>
      </w:r>
      <w:r>
        <w:rPr>
          <w:w w:val="99"/>
        </w:rPr>
        <w:t>n</w:t>
      </w:r>
      <w:r>
        <w:rPr/>
        <w:t>  </w:t>
      </w:r>
      <w:r>
        <w:rPr>
          <w:spacing w:val="-26"/>
        </w:rPr>
        <w:t> </w:t>
      </w:r>
      <w:r>
        <w:rPr>
          <w:w w:val="99"/>
        </w:rPr>
        <w:t>the</w:t>
      </w:r>
      <w:r>
        <w:rPr/>
        <w:t>  </w:t>
      </w:r>
      <w:r>
        <w:rPr>
          <w:spacing w:val="-23"/>
        </w:rPr>
        <w:t> </w:t>
      </w:r>
      <w:r>
        <w:rPr>
          <w:spacing w:val="-1"/>
          <w:w w:val="99"/>
        </w:rPr>
        <w:t>a</w:t>
      </w:r>
      <w:r>
        <w:rPr>
          <w:w w:val="99"/>
        </w:rPr>
        <w:t>bsence</w:t>
      </w:r>
      <w:r>
        <w:rPr/>
        <w:t>  </w:t>
      </w:r>
      <w:r>
        <w:rPr>
          <w:spacing w:val="-26"/>
        </w:rPr>
        <w:t> </w:t>
      </w:r>
      <w:r>
        <w:rPr>
          <w:spacing w:val="-1"/>
          <w:w w:val="99"/>
        </w:rPr>
        <w:t>o</w:t>
      </w:r>
      <w:r>
        <w:rPr>
          <w:w w:val="99"/>
        </w:rPr>
        <w:t>f</w:t>
      </w:r>
      <w:r>
        <w:rPr/>
        <w:t>  </w:t>
      </w:r>
      <w:r>
        <w:rPr>
          <w:spacing w:val="-26"/>
        </w:rPr>
        <w:t> </w:t>
      </w:r>
      <w:r>
        <w:rPr>
          <w:w w:val="99"/>
        </w:rPr>
        <w:t>t</w:t>
      </w:r>
      <w:r>
        <w:rPr>
          <w:spacing w:val="9"/>
          <w:w w:val="99"/>
        </w:rPr>
        <w:t>h</w:t>
      </w:r>
      <w:r>
        <w:rPr>
          <w:w w:val="99"/>
        </w:rPr>
        <w:t>e </w:t>
      </w:r>
      <w:r>
        <w:rPr/>
        <w:t>installation of a deity or a personification in accordance with the tenets of Hindu religion or law. The written statement contains a denial of the allegation that their existed any temple at the site of Babri Masjid or that the mosque was constructed after destroying it, with the material of the alleged temple. The mosque, it has been averred, has always been used as a mosque since its construction during the regime of Babur. The land is stated to have belonged to the State when it was constructed, and the mosque is claimed to have been built on vacant land. The Ramchabutra</w:t>
      </w:r>
      <w:r>
        <w:rPr>
          <w:spacing w:val="28"/>
        </w:rPr>
        <w:t> </w:t>
      </w:r>
      <w:r>
        <w:rPr/>
        <w:t>is</w:t>
      </w:r>
      <w:r>
        <w:rPr>
          <w:spacing w:val="28"/>
        </w:rPr>
        <w:t> </w:t>
      </w:r>
      <w:r>
        <w:rPr/>
        <w:t>alleged</w:t>
      </w:r>
      <w:r>
        <w:rPr>
          <w:spacing w:val="29"/>
        </w:rPr>
        <w:t> </w:t>
      </w:r>
      <w:r>
        <w:rPr/>
        <w:t>to</w:t>
      </w:r>
      <w:r>
        <w:rPr>
          <w:spacing w:val="29"/>
        </w:rPr>
        <w:t> </w:t>
      </w:r>
      <w:r>
        <w:rPr/>
        <w:t>have</w:t>
      </w:r>
      <w:r>
        <w:rPr>
          <w:spacing w:val="29"/>
        </w:rPr>
        <w:t> </w:t>
      </w:r>
      <w:r>
        <w:rPr/>
        <w:t>been</w:t>
      </w:r>
      <w:r>
        <w:rPr>
          <w:spacing w:val="29"/>
        </w:rPr>
        <w:t> </w:t>
      </w:r>
      <w:r>
        <w:rPr/>
        <w:t>created</w:t>
      </w:r>
      <w:r>
        <w:rPr>
          <w:spacing w:val="29"/>
        </w:rPr>
        <w:t> </w:t>
      </w:r>
      <w:r>
        <w:rPr/>
        <w:t>around</w:t>
      </w:r>
      <w:r>
        <w:rPr>
          <w:spacing w:val="28"/>
        </w:rPr>
        <w:t> </w:t>
      </w:r>
      <w:r>
        <w:rPr/>
        <w:t>1857.</w:t>
      </w:r>
      <w:r>
        <w:rPr>
          <w:spacing w:val="29"/>
        </w:rPr>
        <w:t> </w:t>
      </w:r>
      <w:r>
        <w:rPr/>
        <w:t>The</w:t>
      </w:r>
      <w:r>
        <w:rPr>
          <w:spacing w:val="29"/>
        </w:rPr>
        <w:t> </w:t>
      </w:r>
      <w:r>
        <w:rPr/>
        <w:t>possession</w:t>
      </w:r>
      <w:r>
        <w:rPr>
          <w:spacing w:val="29"/>
        </w:rPr>
        <w:t> </w:t>
      </w:r>
      <w:r>
        <w:rPr/>
        <w:t>of</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7"/>
        <w:jc w:val="both"/>
      </w:pPr>
      <w:r>
        <w:rPr/>
        <w:t>the Muslims is stated to have been uninterrupted and continuous since the construction of the mosque up to 23 December 1949 and hence, any right, title or interest to the contrary would stand extinguished by adverse possession. According to the written statement, regular prayers were offered in the mosque up to 22 December 1949 and Friday prayers until 16 December 1949. According to the written statement, the cause of action must be deemed to have accrued in December 1949 when the property was attached, and the Muslims denied the claim of the Hindus to perform puja in the mosque. Hence, the suit is stated to be barred by</w:t>
      </w:r>
      <w:r>
        <w:rPr>
          <w:spacing w:val="-3"/>
        </w:rPr>
        <w:t> </w:t>
      </w:r>
      <w:r>
        <w:rPr/>
        <w:t>limitation.</w:t>
      </w:r>
    </w:p>
    <w:p>
      <w:pPr>
        <w:pStyle w:val="BodyText"/>
        <w:rPr>
          <w:sz w:val="39"/>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 fifth defendant</w:t>
      </w:r>
      <w:r>
        <w:rPr>
          <w:sz w:val="25"/>
          <w:vertAlign w:val="superscript"/>
        </w:rPr>
        <w:t>209</w:t>
      </w:r>
      <w:r>
        <w:rPr>
          <w:sz w:val="25"/>
          <w:vertAlign w:val="baseline"/>
        </w:rPr>
        <w:t>, in his written statement, has denied the locus of the Nyas. Besides this, it has been submitted that the premises have always been a mosque since its construction in the sixteenth century and were used by Muslims for offering namaz and for no other purpose. The fifth defendant denied the juridical status of the first and second plaintiffs and the locus of the third plaintiff. In an additional written statement filed jointly by the </w:t>
      </w:r>
      <w:r>
        <w:rPr>
          <w:color w:val="000009"/>
          <w:sz w:val="25"/>
          <w:vertAlign w:val="baseline"/>
        </w:rPr>
        <w:t>Sunni Central Waqf Board</w:t>
      </w:r>
      <w:r>
        <w:rPr>
          <w:sz w:val="25"/>
          <w:vertAlign w:val="baseline"/>
        </w:rPr>
        <w:t> and the fifth defendant, the contents of the amended plaint have been denied and it has been urged that the claim in regard to the idols stood extinguished after they were removed on 6 December</w:t>
      </w:r>
      <w:r>
        <w:rPr>
          <w:spacing w:val="-6"/>
          <w:sz w:val="25"/>
          <w:vertAlign w:val="baseline"/>
        </w:rPr>
        <w:t> </w:t>
      </w:r>
      <w:r>
        <w:rPr>
          <w:sz w:val="25"/>
          <w:vertAlign w:val="baseline"/>
        </w:rPr>
        <w:t>1992.</w:t>
      </w:r>
    </w:p>
    <w:p>
      <w:pPr>
        <w:pStyle w:val="Heading3"/>
        <w:numPr>
          <w:ilvl w:val="1"/>
          <w:numId w:val="56"/>
        </w:numPr>
        <w:tabs>
          <w:tab w:pos="1221" w:val="left" w:leader="none"/>
        </w:tabs>
        <w:spacing w:line="240" w:lineRule="auto" w:before="160" w:after="0"/>
        <w:ind w:left="1220" w:right="0" w:hanging="721"/>
        <w:jc w:val="both"/>
      </w:pPr>
      <w:r>
        <w:rPr/>
        <w:t>Issues and findings of the High</w:t>
      </w:r>
      <w:r>
        <w:rPr>
          <w:spacing w:val="-3"/>
        </w:rPr>
        <w:t> </w:t>
      </w:r>
      <w:r>
        <w:rPr/>
        <w:t>Court</w:t>
      </w:r>
    </w:p>
    <w:p>
      <w:pPr>
        <w:pStyle w:val="BodyText"/>
        <w:rPr>
          <w:b/>
          <w:sz w:val="28"/>
        </w:rPr>
      </w:pPr>
    </w:p>
    <w:p>
      <w:pPr>
        <w:pStyle w:val="ListParagraph"/>
        <w:numPr>
          <w:ilvl w:val="0"/>
          <w:numId w:val="111"/>
        </w:numPr>
        <w:tabs>
          <w:tab w:pos="1221" w:val="left" w:leader="none"/>
        </w:tabs>
        <w:spacing w:line="480" w:lineRule="auto" w:before="216" w:after="0"/>
        <w:ind w:left="500" w:right="441" w:firstLine="0"/>
        <w:jc w:val="both"/>
        <w:rPr>
          <w:sz w:val="25"/>
        </w:rPr>
      </w:pPr>
      <w:r>
        <w:rPr>
          <w:sz w:val="25"/>
        </w:rPr>
        <w:t>The issues which were framed in the Suit and the findings of the three judges in the High Court are catalogued</w:t>
      </w:r>
      <w:r>
        <w:rPr>
          <w:spacing w:val="-6"/>
          <w:sz w:val="25"/>
        </w:rPr>
        <w:t> </w:t>
      </w:r>
      <w:r>
        <w:rPr>
          <w:sz w:val="25"/>
        </w:rPr>
        <w:t>below:</w:t>
      </w:r>
    </w:p>
    <w:p>
      <w:pPr>
        <w:pStyle w:val="BodyText"/>
        <w:rPr>
          <w:sz w:val="20"/>
        </w:rPr>
      </w:pPr>
    </w:p>
    <w:p>
      <w:pPr>
        <w:pStyle w:val="BodyText"/>
        <w:rPr>
          <w:sz w:val="20"/>
        </w:rPr>
      </w:pPr>
    </w:p>
    <w:p>
      <w:pPr>
        <w:pStyle w:val="BodyText"/>
        <w:spacing w:before="8"/>
        <w:rPr>
          <w:sz w:val="16"/>
        </w:rPr>
      </w:pPr>
      <w:r>
        <w:rPr/>
        <w:pict>
          <v:rect style="position:absolute;margin-left:72.024002pt;margin-top:11.558741pt;width:144.020pt;height:.599980pt;mso-position-horizontal-relative:page;mso-position-vertical-relative:paragraph;z-index:-1567334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209</w:t>
      </w:r>
      <w:r>
        <w:rPr>
          <w:sz w:val="18"/>
          <w:vertAlign w:val="baseline"/>
        </w:rPr>
        <w:t> Mohammad Hashim</w:t>
      </w:r>
    </w:p>
    <w:p>
      <w:pPr>
        <w:spacing w:after="0"/>
        <w:jc w:val="left"/>
        <w:rPr>
          <w:sz w:val="18"/>
        </w:rPr>
        <w:sectPr>
          <w:pgSz w:w="11910" w:h="16840"/>
          <w:pgMar w:header="721" w:footer="1014" w:top="1300" w:bottom="1200" w:left="940" w:right="1000"/>
        </w:sectPr>
      </w:pPr>
    </w:p>
    <w:p>
      <w:pPr>
        <w:pStyle w:val="Heading5"/>
        <w:numPr>
          <w:ilvl w:val="0"/>
          <w:numId w:val="113"/>
        </w:numPr>
        <w:tabs>
          <w:tab w:pos="1289" w:val="left" w:leader="none"/>
          <w:tab w:pos="1290" w:val="left" w:leader="none"/>
        </w:tabs>
        <w:spacing w:line="240" w:lineRule="auto" w:before="121" w:after="0"/>
        <w:ind w:left="1290" w:right="0" w:hanging="790"/>
        <w:jc w:val="left"/>
      </w:pPr>
      <w:r>
        <w:rPr/>
        <w:t>Whether the first and second plaintiffs are juridical</w:t>
      </w:r>
      <w:r>
        <w:rPr>
          <w:spacing w:val="-10"/>
        </w:rPr>
        <w:t> </w:t>
      </w:r>
      <w:r>
        <w:rPr/>
        <w:t>persons.</w:t>
      </w:r>
    </w:p>
    <w:p>
      <w:pPr>
        <w:pStyle w:val="BodyText"/>
        <w:spacing w:before="1"/>
        <w:rPr>
          <w:b/>
        </w:rPr>
      </w:pPr>
    </w:p>
    <w:p>
      <w:pPr>
        <w:pStyle w:val="ListParagraph"/>
        <w:numPr>
          <w:ilvl w:val="1"/>
          <w:numId w:val="113"/>
        </w:numPr>
        <w:tabs>
          <w:tab w:pos="1633" w:val="left" w:leader="none"/>
          <w:tab w:pos="1634" w:val="left" w:leader="none"/>
        </w:tabs>
        <w:spacing w:line="240" w:lineRule="auto" w:before="0" w:after="0"/>
        <w:ind w:left="1633" w:right="0" w:hanging="721"/>
        <w:jc w:val="left"/>
        <w:rPr>
          <w:sz w:val="25"/>
        </w:rPr>
      </w:pPr>
      <w:r>
        <w:rPr>
          <w:b/>
          <w:sz w:val="25"/>
        </w:rPr>
        <w:t>Justice S U Khan </w:t>
      </w:r>
      <w:r>
        <w:rPr>
          <w:sz w:val="25"/>
        </w:rPr>
        <w:t>– The idol is duly capable of holding</w:t>
      </w:r>
      <w:r>
        <w:rPr>
          <w:spacing w:val="-13"/>
          <w:sz w:val="25"/>
        </w:rPr>
        <w:t> </w:t>
      </w:r>
      <w:r>
        <w:rPr>
          <w:sz w:val="25"/>
        </w:rPr>
        <w:t>property.</w:t>
      </w:r>
    </w:p>
    <w:p>
      <w:pPr>
        <w:pStyle w:val="BodyText"/>
        <w:spacing w:before="8"/>
        <w:rPr>
          <w:sz w:val="24"/>
        </w:rPr>
      </w:pPr>
    </w:p>
    <w:p>
      <w:pPr>
        <w:pStyle w:val="ListParagraph"/>
        <w:numPr>
          <w:ilvl w:val="1"/>
          <w:numId w:val="113"/>
        </w:numPr>
        <w:tabs>
          <w:tab w:pos="1633" w:val="left" w:leader="none"/>
          <w:tab w:pos="1634" w:val="left" w:leader="none"/>
        </w:tabs>
        <w:spacing w:line="465" w:lineRule="auto" w:before="0" w:after="0"/>
        <w:ind w:left="1633" w:right="437" w:hanging="720"/>
        <w:jc w:val="left"/>
        <w:rPr>
          <w:sz w:val="25"/>
        </w:rPr>
      </w:pPr>
      <w:r>
        <w:rPr>
          <w:b/>
          <w:sz w:val="25"/>
        </w:rPr>
        <w:t>Justice Sudhir Agarwal </w:t>
      </w:r>
      <w:r>
        <w:rPr>
          <w:sz w:val="25"/>
        </w:rPr>
        <w:t>– Answered in the affirmative – both plaintiffs 1 and 2 are juridical</w:t>
      </w:r>
      <w:r>
        <w:rPr>
          <w:spacing w:val="-4"/>
          <w:sz w:val="25"/>
        </w:rPr>
        <w:t> </w:t>
      </w:r>
      <w:r>
        <w:rPr>
          <w:sz w:val="25"/>
        </w:rPr>
        <w:t>persons.</w:t>
      </w:r>
    </w:p>
    <w:p>
      <w:pPr>
        <w:pStyle w:val="ListParagraph"/>
        <w:numPr>
          <w:ilvl w:val="1"/>
          <w:numId w:val="113"/>
        </w:numPr>
        <w:tabs>
          <w:tab w:pos="1633" w:val="left" w:leader="none"/>
          <w:tab w:pos="1634" w:val="left" w:leader="none"/>
        </w:tabs>
        <w:spacing w:line="240" w:lineRule="auto" w:before="15" w:after="0"/>
        <w:ind w:left="1633" w:right="0" w:hanging="721"/>
        <w:jc w:val="left"/>
        <w:rPr>
          <w:sz w:val="25"/>
        </w:rPr>
      </w:pPr>
      <w:r>
        <w:rPr>
          <w:b/>
          <w:sz w:val="25"/>
        </w:rPr>
        <w:t>Justice D V Sharma </w:t>
      </w:r>
      <w:r>
        <w:rPr>
          <w:sz w:val="25"/>
        </w:rPr>
        <w:t>– Decided in favour of the</w:t>
      </w:r>
      <w:r>
        <w:rPr>
          <w:spacing w:val="-4"/>
          <w:sz w:val="25"/>
        </w:rPr>
        <w:t> </w:t>
      </w:r>
      <w:r>
        <w:rPr>
          <w:sz w:val="25"/>
        </w:rPr>
        <w:t>plaintiffs.</w:t>
      </w:r>
    </w:p>
    <w:p>
      <w:pPr>
        <w:pStyle w:val="BodyText"/>
        <w:spacing w:before="2"/>
        <w:rPr>
          <w:sz w:val="42"/>
        </w:rPr>
      </w:pPr>
    </w:p>
    <w:p>
      <w:pPr>
        <w:pStyle w:val="Heading5"/>
        <w:numPr>
          <w:ilvl w:val="0"/>
          <w:numId w:val="113"/>
        </w:numPr>
        <w:tabs>
          <w:tab w:pos="1221" w:val="left" w:leader="none"/>
        </w:tabs>
        <w:spacing w:line="480" w:lineRule="auto" w:before="1" w:after="0"/>
        <w:ind w:left="1220" w:right="440" w:hanging="720"/>
        <w:jc w:val="both"/>
      </w:pPr>
      <w:r>
        <w:rPr/>
        <w:t>Whether the suit in the name of deities described in the plaint as the first and second plaintiffs is not maintainable through the third plaintiff as next</w:t>
      </w:r>
      <w:r>
        <w:rPr>
          <w:spacing w:val="-1"/>
        </w:rPr>
        <w:t> </w:t>
      </w:r>
      <w:r>
        <w:rPr/>
        <w:t>friend.</w:t>
      </w:r>
    </w:p>
    <w:p>
      <w:pPr>
        <w:pStyle w:val="ListParagraph"/>
        <w:numPr>
          <w:ilvl w:val="1"/>
          <w:numId w:val="113"/>
        </w:numPr>
        <w:tabs>
          <w:tab w:pos="1634" w:val="left" w:leader="none"/>
        </w:tabs>
        <w:spacing w:line="240" w:lineRule="auto" w:before="1" w:after="0"/>
        <w:ind w:left="1633" w:right="0" w:hanging="721"/>
        <w:jc w:val="both"/>
        <w:rPr>
          <w:sz w:val="25"/>
        </w:rPr>
      </w:pPr>
      <w:r>
        <w:rPr>
          <w:b/>
          <w:sz w:val="25"/>
        </w:rPr>
        <w:t>Justice S U Khan </w:t>
      </w:r>
      <w:r>
        <w:rPr>
          <w:sz w:val="25"/>
        </w:rPr>
        <w:t>– Followed the decision of Justice Sudhir</w:t>
      </w:r>
      <w:r>
        <w:rPr>
          <w:spacing w:val="-9"/>
          <w:sz w:val="25"/>
        </w:rPr>
        <w:t> </w:t>
      </w:r>
      <w:r>
        <w:rPr>
          <w:sz w:val="25"/>
        </w:rPr>
        <w:t>Agarwal.</w:t>
      </w:r>
    </w:p>
    <w:p>
      <w:pPr>
        <w:pStyle w:val="BodyText"/>
        <w:spacing w:before="8"/>
        <w:rPr>
          <w:sz w:val="24"/>
        </w:rPr>
      </w:pPr>
    </w:p>
    <w:p>
      <w:pPr>
        <w:pStyle w:val="ListParagraph"/>
        <w:numPr>
          <w:ilvl w:val="1"/>
          <w:numId w:val="113"/>
        </w:numPr>
        <w:tabs>
          <w:tab w:pos="1634" w:val="left" w:leader="none"/>
        </w:tabs>
        <w:spacing w:line="240" w:lineRule="auto" w:before="0" w:after="0"/>
        <w:ind w:left="1633" w:right="0" w:hanging="721"/>
        <w:jc w:val="both"/>
        <w:rPr>
          <w:sz w:val="25"/>
        </w:rPr>
      </w:pPr>
      <w:r>
        <w:rPr>
          <w:b/>
          <w:sz w:val="25"/>
        </w:rPr>
        <w:t>Justice Sudhir Agarwal </w:t>
      </w:r>
      <w:r>
        <w:rPr>
          <w:sz w:val="25"/>
        </w:rPr>
        <w:t>– Suit held to be</w:t>
      </w:r>
      <w:r>
        <w:rPr>
          <w:spacing w:val="-1"/>
          <w:sz w:val="25"/>
        </w:rPr>
        <w:t> </w:t>
      </w:r>
      <w:r>
        <w:rPr>
          <w:sz w:val="25"/>
        </w:rPr>
        <w:t>maintainable.</w:t>
      </w:r>
    </w:p>
    <w:p>
      <w:pPr>
        <w:pStyle w:val="BodyText"/>
        <w:spacing w:before="10"/>
        <w:rPr>
          <w:sz w:val="24"/>
        </w:rPr>
      </w:pPr>
    </w:p>
    <w:p>
      <w:pPr>
        <w:pStyle w:val="ListParagraph"/>
        <w:numPr>
          <w:ilvl w:val="1"/>
          <w:numId w:val="113"/>
        </w:numPr>
        <w:tabs>
          <w:tab w:pos="1634" w:val="left" w:leader="none"/>
        </w:tabs>
        <w:spacing w:line="240" w:lineRule="auto" w:before="1" w:after="0"/>
        <w:ind w:left="1633" w:right="0" w:hanging="721"/>
        <w:jc w:val="both"/>
        <w:rPr>
          <w:sz w:val="25"/>
        </w:rPr>
      </w:pPr>
      <w:r>
        <w:rPr>
          <w:b/>
          <w:sz w:val="25"/>
        </w:rPr>
        <w:t>Justice D V Sharma </w:t>
      </w:r>
      <w:r>
        <w:rPr>
          <w:sz w:val="25"/>
        </w:rPr>
        <w:t>– Suit held to be</w:t>
      </w:r>
      <w:r>
        <w:rPr>
          <w:spacing w:val="-2"/>
          <w:sz w:val="25"/>
        </w:rPr>
        <w:t> </w:t>
      </w:r>
      <w:r>
        <w:rPr>
          <w:sz w:val="25"/>
        </w:rPr>
        <w:t>maintainable.</w:t>
      </w:r>
    </w:p>
    <w:p>
      <w:pPr>
        <w:pStyle w:val="BodyText"/>
        <w:spacing w:before="3"/>
        <w:rPr>
          <w:sz w:val="42"/>
        </w:rPr>
      </w:pPr>
    </w:p>
    <w:p>
      <w:pPr>
        <w:pStyle w:val="Heading5"/>
        <w:spacing w:line="480" w:lineRule="auto"/>
        <w:ind w:right="445"/>
      </w:pPr>
      <w:r>
        <w:rPr>
          <w:b w:val="0"/>
        </w:rPr>
        <w:t>3(a) </w:t>
      </w:r>
      <w:r>
        <w:rPr/>
        <w:t>Whether the idol in question was installed under the central dome of the disputed building (since demolished) in the early hours of December 23, 1949 as alleged by the plaintiff in paragraph 27 of the plaint as clarified in their statement under Order X Rule 2 of the</w:t>
      </w:r>
      <w:r>
        <w:rPr>
          <w:spacing w:val="-18"/>
        </w:rPr>
        <w:t> </w:t>
      </w:r>
      <w:r>
        <w:rPr/>
        <w:t>CPC.</w:t>
      </w:r>
    </w:p>
    <w:p>
      <w:pPr>
        <w:pStyle w:val="ListParagraph"/>
        <w:numPr>
          <w:ilvl w:val="1"/>
          <w:numId w:val="113"/>
        </w:numPr>
        <w:tabs>
          <w:tab w:pos="1634" w:val="left" w:leader="none"/>
        </w:tabs>
        <w:spacing w:line="465" w:lineRule="auto" w:before="0" w:after="0"/>
        <w:ind w:left="1633" w:right="762" w:hanging="720"/>
        <w:jc w:val="both"/>
        <w:rPr>
          <w:sz w:val="25"/>
        </w:rPr>
      </w:pPr>
      <w:r>
        <w:rPr>
          <w:b/>
          <w:sz w:val="25"/>
        </w:rPr>
        <w:t>Justice S U Khan </w:t>
      </w:r>
      <w:r>
        <w:rPr>
          <w:sz w:val="25"/>
        </w:rPr>
        <w:t>- The idols were placed inside the mosque for the first time during the night of 22/23 December</w:t>
      </w:r>
      <w:r>
        <w:rPr>
          <w:spacing w:val="-8"/>
          <w:sz w:val="25"/>
        </w:rPr>
        <w:t> </w:t>
      </w:r>
      <w:r>
        <w:rPr>
          <w:sz w:val="25"/>
        </w:rPr>
        <w:t>1949.</w:t>
      </w:r>
    </w:p>
    <w:p>
      <w:pPr>
        <w:pStyle w:val="ListParagraph"/>
        <w:numPr>
          <w:ilvl w:val="1"/>
          <w:numId w:val="113"/>
        </w:numPr>
        <w:tabs>
          <w:tab w:pos="1634" w:val="left" w:leader="none"/>
        </w:tabs>
        <w:spacing w:line="240" w:lineRule="auto" w:before="14" w:after="0"/>
        <w:ind w:left="1633" w:right="0" w:hanging="721"/>
        <w:jc w:val="both"/>
        <w:rPr>
          <w:sz w:val="25"/>
        </w:rPr>
      </w:pPr>
      <w:r>
        <w:rPr>
          <w:b/>
          <w:sz w:val="25"/>
        </w:rPr>
        <w:t>Justice Sudhir Agarwal </w:t>
      </w:r>
      <w:r>
        <w:rPr>
          <w:sz w:val="25"/>
        </w:rPr>
        <w:t>– Answered in the affirmative.</w:t>
      </w:r>
    </w:p>
    <w:p>
      <w:pPr>
        <w:pStyle w:val="BodyText"/>
        <w:spacing w:before="11"/>
        <w:rPr>
          <w:sz w:val="24"/>
        </w:rPr>
      </w:pPr>
    </w:p>
    <w:p>
      <w:pPr>
        <w:pStyle w:val="ListParagraph"/>
        <w:numPr>
          <w:ilvl w:val="1"/>
          <w:numId w:val="113"/>
        </w:numPr>
        <w:tabs>
          <w:tab w:pos="1634" w:val="left" w:leader="none"/>
        </w:tabs>
        <w:spacing w:line="240" w:lineRule="auto" w:before="0" w:after="0"/>
        <w:ind w:left="1633" w:right="0" w:hanging="721"/>
        <w:jc w:val="both"/>
        <w:rPr>
          <w:sz w:val="25"/>
        </w:rPr>
      </w:pPr>
      <w:r>
        <w:rPr>
          <w:b/>
          <w:sz w:val="25"/>
        </w:rPr>
        <w:t>Justice D V Sharma </w:t>
      </w:r>
      <w:r>
        <w:rPr>
          <w:sz w:val="25"/>
        </w:rPr>
        <w:t>– Answered in the</w:t>
      </w:r>
      <w:r>
        <w:rPr>
          <w:spacing w:val="-2"/>
          <w:sz w:val="25"/>
        </w:rPr>
        <w:t> </w:t>
      </w:r>
      <w:r>
        <w:rPr>
          <w:sz w:val="25"/>
        </w:rPr>
        <w:t>affirmative.</w:t>
      </w:r>
    </w:p>
    <w:p>
      <w:pPr>
        <w:pStyle w:val="BodyText"/>
        <w:spacing w:before="3"/>
        <w:rPr>
          <w:sz w:val="42"/>
        </w:rPr>
      </w:pPr>
    </w:p>
    <w:p>
      <w:pPr>
        <w:pStyle w:val="Heading5"/>
        <w:spacing w:line="480" w:lineRule="auto"/>
        <w:ind w:right="440"/>
      </w:pPr>
      <w:r>
        <w:rPr>
          <w:b w:val="0"/>
        </w:rPr>
        <w:t>3(b) </w:t>
      </w:r>
      <w:r>
        <w:rPr/>
        <w:t>Whether the same idol was reinstalled at the same place on  a  Chabutra under the</w:t>
      </w:r>
      <w:r>
        <w:rPr>
          <w:spacing w:val="-3"/>
        </w:rPr>
        <w:t> </w:t>
      </w:r>
      <w:r>
        <w:rPr/>
        <w:t>canopy.</w:t>
      </w:r>
    </w:p>
    <w:p>
      <w:pPr>
        <w:pStyle w:val="ListParagraph"/>
        <w:numPr>
          <w:ilvl w:val="1"/>
          <w:numId w:val="113"/>
        </w:numPr>
        <w:tabs>
          <w:tab w:pos="1634" w:val="left" w:leader="none"/>
        </w:tabs>
        <w:spacing w:line="306" w:lineRule="exact" w:before="0" w:after="0"/>
        <w:ind w:left="1633" w:right="0" w:hanging="721"/>
        <w:jc w:val="both"/>
        <w:rPr>
          <w:sz w:val="25"/>
        </w:rPr>
      </w:pPr>
      <w:r>
        <w:rPr>
          <w:b/>
          <w:sz w:val="25"/>
        </w:rPr>
        <w:t>Justice S U Khan </w:t>
      </w:r>
      <w:r>
        <w:rPr>
          <w:sz w:val="25"/>
        </w:rPr>
        <w:t>– Adopted the findings of Justice Sudhir</w:t>
      </w:r>
      <w:r>
        <w:rPr>
          <w:spacing w:val="-8"/>
          <w:sz w:val="25"/>
        </w:rPr>
        <w:t> </w:t>
      </w:r>
      <w:r>
        <w:rPr>
          <w:sz w:val="25"/>
        </w:rPr>
        <w:t>Agarwal.</w:t>
      </w:r>
    </w:p>
    <w:p>
      <w:pPr>
        <w:pStyle w:val="BodyText"/>
        <w:spacing w:before="10"/>
        <w:rPr>
          <w:sz w:val="24"/>
        </w:rPr>
      </w:pPr>
    </w:p>
    <w:p>
      <w:pPr>
        <w:pStyle w:val="ListParagraph"/>
        <w:numPr>
          <w:ilvl w:val="1"/>
          <w:numId w:val="113"/>
        </w:numPr>
        <w:tabs>
          <w:tab w:pos="1634" w:val="left" w:leader="none"/>
        </w:tabs>
        <w:spacing w:line="240" w:lineRule="auto" w:before="1" w:after="0"/>
        <w:ind w:left="1633" w:right="0" w:hanging="721"/>
        <w:jc w:val="both"/>
        <w:rPr>
          <w:sz w:val="25"/>
        </w:rPr>
      </w:pPr>
      <w:r>
        <w:rPr>
          <w:b/>
          <w:sz w:val="25"/>
        </w:rPr>
        <w:t>Justice Sudhir Agarwal </w:t>
      </w:r>
      <w:r>
        <w:rPr>
          <w:sz w:val="25"/>
        </w:rPr>
        <w:t>– Answered in the affirmative.</w:t>
      </w:r>
    </w:p>
    <w:p>
      <w:pPr>
        <w:spacing w:after="0" w:line="240" w:lineRule="auto"/>
        <w:jc w:val="both"/>
        <w:rPr>
          <w:sz w:val="25"/>
        </w:rPr>
        <w:sectPr>
          <w:pgSz w:w="11910" w:h="16840"/>
          <w:pgMar w:header="721" w:footer="1014" w:top="1300" w:bottom="1200" w:left="940" w:right="1000"/>
        </w:sectPr>
      </w:pPr>
    </w:p>
    <w:p>
      <w:pPr>
        <w:pStyle w:val="ListParagraph"/>
        <w:numPr>
          <w:ilvl w:val="1"/>
          <w:numId w:val="113"/>
        </w:numPr>
        <w:tabs>
          <w:tab w:pos="1634" w:val="left" w:leader="none"/>
        </w:tabs>
        <w:spacing w:line="240" w:lineRule="auto" w:before="121" w:after="0"/>
        <w:ind w:left="1633" w:right="0" w:hanging="721"/>
        <w:jc w:val="both"/>
        <w:rPr>
          <w:sz w:val="25"/>
        </w:rPr>
      </w:pPr>
      <w:r>
        <w:rPr>
          <w:b/>
          <w:sz w:val="25"/>
        </w:rPr>
        <w:t>Justice D V Sharma </w:t>
      </w:r>
      <w:r>
        <w:rPr>
          <w:sz w:val="25"/>
        </w:rPr>
        <w:t>- Answered in the</w:t>
      </w:r>
      <w:r>
        <w:rPr>
          <w:spacing w:val="-1"/>
          <w:sz w:val="25"/>
        </w:rPr>
        <w:t> </w:t>
      </w:r>
      <w:r>
        <w:rPr>
          <w:sz w:val="25"/>
        </w:rPr>
        <w:t>affirmative.</w:t>
      </w:r>
    </w:p>
    <w:p>
      <w:pPr>
        <w:pStyle w:val="BodyText"/>
        <w:rPr>
          <w:sz w:val="30"/>
        </w:rPr>
      </w:pPr>
    </w:p>
    <w:p>
      <w:pPr>
        <w:pStyle w:val="Heading5"/>
        <w:spacing w:line="480" w:lineRule="auto" w:before="227"/>
        <w:ind w:right="447"/>
      </w:pPr>
      <w:r>
        <w:rPr>
          <w:b w:val="0"/>
        </w:rPr>
        <w:t>3(c) </w:t>
      </w:r>
      <w:r>
        <w:rPr/>
        <w:t>Whether the idols were placed at the disputed site on or after 6 December 1992 in violation of the court‘s order dated 14 August 1989 and 15 November 1991.</w:t>
      </w:r>
    </w:p>
    <w:p>
      <w:pPr>
        <w:pStyle w:val="ListParagraph"/>
        <w:numPr>
          <w:ilvl w:val="1"/>
          <w:numId w:val="113"/>
        </w:numPr>
        <w:tabs>
          <w:tab w:pos="1634" w:val="left" w:leader="none"/>
        </w:tabs>
        <w:spacing w:line="240" w:lineRule="auto" w:before="1" w:after="0"/>
        <w:ind w:left="1633" w:right="0" w:hanging="721"/>
        <w:jc w:val="both"/>
        <w:rPr>
          <w:sz w:val="25"/>
        </w:rPr>
      </w:pPr>
      <w:r>
        <w:rPr>
          <w:b/>
          <w:sz w:val="25"/>
        </w:rPr>
        <w:t>Justice S U Khan </w:t>
      </w:r>
      <w:r>
        <w:rPr>
          <w:sz w:val="25"/>
        </w:rPr>
        <w:t>- Adopted the findings of Justice Sudhir</w:t>
      </w:r>
      <w:r>
        <w:rPr>
          <w:spacing w:val="-9"/>
          <w:sz w:val="25"/>
        </w:rPr>
        <w:t> </w:t>
      </w:r>
      <w:r>
        <w:rPr>
          <w:sz w:val="25"/>
        </w:rPr>
        <w:t>Agarwal.</w:t>
      </w:r>
    </w:p>
    <w:p>
      <w:pPr>
        <w:pStyle w:val="BodyText"/>
        <w:spacing w:before="10"/>
        <w:rPr>
          <w:sz w:val="24"/>
        </w:rPr>
      </w:pPr>
    </w:p>
    <w:p>
      <w:pPr>
        <w:pStyle w:val="ListParagraph"/>
        <w:numPr>
          <w:ilvl w:val="1"/>
          <w:numId w:val="113"/>
        </w:numPr>
        <w:tabs>
          <w:tab w:pos="1634" w:val="left" w:leader="none"/>
        </w:tabs>
        <w:spacing w:line="240" w:lineRule="auto" w:before="1" w:after="0"/>
        <w:ind w:left="1633" w:right="0" w:hanging="721"/>
        <w:jc w:val="both"/>
        <w:rPr>
          <w:sz w:val="25"/>
        </w:rPr>
      </w:pPr>
      <w:r>
        <w:rPr>
          <w:b/>
          <w:sz w:val="25"/>
        </w:rPr>
        <w:t>Justice Sudhir Agarwal </w:t>
      </w:r>
      <w:r>
        <w:rPr>
          <w:sz w:val="25"/>
        </w:rPr>
        <w:t>– Answered in the</w:t>
      </w:r>
      <w:r>
        <w:rPr>
          <w:spacing w:val="3"/>
          <w:sz w:val="25"/>
        </w:rPr>
        <w:t> </w:t>
      </w:r>
      <w:r>
        <w:rPr>
          <w:sz w:val="25"/>
        </w:rPr>
        <w:t>negative.</w:t>
      </w:r>
    </w:p>
    <w:p>
      <w:pPr>
        <w:pStyle w:val="BodyText"/>
        <w:spacing w:before="8"/>
        <w:rPr>
          <w:sz w:val="24"/>
        </w:rPr>
      </w:pPr>
    </w:p>
    <w:p>
      <w:pPr>
        <w:pStyle w:val="ListParagraph"/>
        <w:numPr>
          <w:ilvl w:val="1"/>
          <w:numId w:val="113"/>
        </w:numPr>
        <w:tabs>
          <w:tab w:pos="1634" w:val="left" w:leader="none"/>
        </w:tabs>
        <w:spacing w:line="240" w:lineRule="auto" w:before="0" w:after="0"/>
        <w:ind w:left="1633" w:right="0" w:hanging="721"/>
        <w:jc w:val="both"/>
        <w:rPr>
          <w:sz w:val="25"/>
        </w:rPr>
      </w:pPr>
      <w:r>
        <w:rPr>
          <w:b/>
          <w:sz w:val="25"/>
        </w:rPr>
        <w:t>Justice D V Sharma </w:t>
      </w:r>
      <w:r>
        <w:rPr>
          <w:sz w:val="25"/>
        </w:rPr>
        <w:t>- Decided in favour of the</w:t>
      </w:r>
      <w:r>
        <w:rPr>
          <w:spacing w:val="-3"/>
          <w:sz w:val="25"/>
        </w:rPr>
        <w:t> </w:t>
      </w:r>
      <w:r>
        <w:rPr>
          <w:sz w:val="25"/>
        </w:rPr>
        <w:t>plaintiffs.</w:t>
      </w:r>
    </w:p>
    <w:p>
      <w:pPr>
        <w:pStyle w:val="BodyText"/>
        <w:rPr>
          <w:sz w:val="30"/>
        </w:rPr>
      </w:pPr>
    </w:p>
    <w:p>
      <w:pPr>
        <w:pStyle w:val="BodyText"/>
        <w:spacing w:before="3"/>
        <w:rPr>
          <w:sz w:val="37"/>
        </w:rPr>
      </w:pPr>
    </w:p>
    <w:p>
      <w:pPr>
        <w:pStyle w:val="Heading5"/>
        <w:spacing w:line="480" w:lineRule="auto" w:before="1"/>
        <w:ind w:right="447"/>
      </w:pPr>
      <w:r>
        <w:rPr>
          <w:b w:val="0"/>
        </w:rPr>
        <w:t>3(d) </w:t>
      </w:r>
      <w:r>
        <w:rPr/>
        <w:t>If the aforesaid issue is answered in the affirmative, whether the idols so placed still acquire the status of a deity.</w:t>
      </w:r>
    </w:p>
    <w:p>
      <w:pPr>
        <w:pStyle w:val="ListParagraph"/>
        <w:numPr>
          <w:ilvl w:val="2"/>
          <w:numId w:val="113"/>
        </w:numPr>
        <w:tabs>
          <w:tab w:pos="1786" w:val="left" w:leader="none"/>
          <w:tab w:pos="1787" w:val="left" w:leader="none"/>
        </w:tabs>
        <w:spacing w:line="306" w:lineRule="exact" w:before="0" w:after="0"/>
        <w:ind w:left="1786" w:right="0" w:hanging="721"/>
        <w:jc w:val="left"/>
        <w:rPr>
          <w:sz w:val="25"/>
        </w:rPr>
      </w:pPr>
      <w:r>
        <w:rPr>
          <w:b/>
          <w:sz w:val="25"/>
        </w:rPr>
        <w:t>Justice S U Khan </w:t>
      </w:r>
      <w:r>
        <w:rPr>
          <w:sz w:val="25"/>
        </w:rPr>
        <w:t>- Adopted the findings of Justice Sudhir</w:t>
      </w:r>
      <w:r>
        <w:rPr>
          <w:spacing w:val="-10"/>
          <w:sz w:val="25"/>
        </w:rPr>
        <w:t> </w:t>
      </w:r>
      <w:r>
        <w:rPr>
          <w:sz w:val="25"/>
        </w:rPr>
        <w:t>Agarwal.</w:t>
      </w:r>
    </w:p>
    <w:p>
      <w:pPr>
        <w:pStyle w:val="BodyText"/>
        <w:spacing w:before="10"/>
        <w:rPr>
          <w:sz w:val="24"/>
        </w:rPr>
      </w:pPr>
    </w:p>
    <w:p>
      <w:pPr>
        <w:pStyle w:val="ListParagraph"/>
        <w:numPr>
          <w:ilvl w:val="2"/>
          <w:numId w:val="113"/>
        </w:numPr>
        <w:tabs>
          <w:tab w:pos="1786" w:val="left" w:leader="none"/>
          <w:tab w:pos="1787" w:val="left" w:leader="none"/>
        </w:tabs>
        <w:spacing w:line="240" w:lineRule="auto" w:before="1" w:after="0"/>
        <w:ind w:left="1786" w:right="0" w:hanging="721"/>
        <w:jc w:val="left"/>
        <w:rPr>
          <w:sz w:val="25"/>
        </w:rPr>
      </w:pPr>
      <w:r>
        <w:rPr>
          <w:b/>
          <w:sz w:val="25"/>
        </w:rPr>
        <w:t>Justice Sudhir Agarwal </w:t>
      </w:r>
      <w:r>
        <w:rPr>
          <w:sz w:val="25"/>
        </w:rPr>
        <w:t>- Answered in the affirmative.</w:t>
      </w:r>
    </w:p>
    <w:p>
      <w:pPr>
        <w:pStyle w:val="BodyText"/>
        <w:spacing w:before="8"/>
        <w:rPr>
          <w:sz w:val="24"/>
        </w:rPr>
      </w:pPr>
    </w:p>
    <w:p>
      <w:pPr>
        <w:pStyle w:val="ListParagraph"/>
        <w:numPr>
          <w:ilvl w:val="2"/>
          <w:numId w:val="113"/>
        </w:numPr>
        <w:tabs>
          <w:tab w:pos="1786" w:val="left" w:leader="none"/>
          <w:tab w:pos="1787" w:val="left" w:leader="none"/>
        </w:tabs>
        <w:spacing w:line="240" w:lineRule="auto" w:before="0" w:after="0"/>
        <w:ind w:left="1786" w:right="0" w:hanging="721"/>
        <w:jc w:val="left"/>
        <w:rPr>
          <w:sz w:val="25"/>
        </w:rPr>
      </w:pPr>
      <w:r>
        <w:rPr>
          <w:b/>
          <w:sz w:val="25"/>
        </w:rPr>
        <w:t>Justice D V Sharma </w:t>
      </w:r>
      <w:r>
        <w:rPr>
          <w:sz w:val="25"/>
        </w:rPr>
        <w:t>- Answered in the</w:t>
      </w:r>
      <w:r>
        <w:rPr>
          <w:spacing w:val="-1"/>
          <w:sz w:val="25"/>
        </w:rPr>
        <w:t> </w:t>
      </w:r>
      <w:r>
        <w:rPr>
          <w:sz w:val="25"/>
        </w:rPr>
        <w:t>affirmative.</w:t>
      </w:r>
    </w:p>
    <w:p>
      <w:pPr>
        <w:pStyle w:val="BodyText"/>
        <w:spacing w:before="2"/>
        <w:rPr>
          <w:sz w:val="42"/>
        </w:rPr>
      </w:pPr>
    </w:p>
    <w:p>
      <w:pPr>
        <w:pStyle w:val="Heading5"/>
        <w:numPr>
          <w:ilvl w:val="0"/>
          <w:numId w:val="114"/>
        </w:numPr>
        <w:tabs>
          <w:tab w:pos="1220" w:val="left" w:leader="none"/>
          <w:tab w:pos="1221" w:val="left" w:leader="none"/>
        </w:tabs>
        <w:spacing w:line="240" w:lineRule="auto" w:before="1" w:after="0"/>
        <w:ind w:left="1220" w:right="0" w:hanging="721"/>
        <w:jc w:val="left"/>
      </w:pPr>
      <w:r>
        <w:rPr/>
        <w:t>Whether</w:t>
      </w:r>
      <w:r>
        <w:rPr>
          <w:spacing w:val="21"/>
        </w:rPr>
        <w:t> </w:t>
      </w:r>
      <w:r>
        <w:rPr/>
        <w:t>the</w:t>
      </w:r>
      <w:r>
        <w:rPr>
          <w:spacing w:val="20"/>
        </w:rPr>
        <w:t> </w:t>
      </w:r>
      <w:r>
        <w:rPr/>
        <w:t>idols</w:t>
      </w:r>
      <w:r>
        <w:rPr>
          <w:spacing w:val="20"/>
        </w:rPr>
        <w:t> </w:t>
      </w:r>
      <w:r>
        <w:rPr/>
        <w:t>in</w:t>
      </w:r>
      <w:r>
        <w:rPr>
          <w:spacing w:val="23"/>
        </w:rPr>
        <w:t> </w:t>
      </w:r>
      <w:r>
        <w:rPr/>
        <w:t>question</w:t>
      </w:r>
      <w:r>
        <w:rPr>
          <w:spacing w:val="22"/>
        </w:rPr>
        <w:t> </w:t>
      </w:r>
      <w:r>
        <w:rPr/>
        <w:t>had</w:t>
      </w:r>
      <w:r>
        <w:rPr>
          <w:spacing w:val="22"/>
        </w:rPr>
        <w:t> </w:t>
      </w:r>
      <w:r>
        <w:rPr/>
        <w:t>been</w:t>
      </w:r>
      <w:r>
        <w:rPr>
          <w:spacing w:val="22"/>
        </w:rPr>
        <w:t> </w:t>
      </w:r>
      <w:r>
        <w:rPr/>
        <w:t>in</w:t>
      </w:r>
      <w:r>
        <w:rPr>
          <w:spacing w:val="21"/>
        </w:rPr>
        <w:t> </w:t>
      </w:r>
      <w:r>
        <w:rPr/>
        <w:t>existence</w:t>
      </w:r>
      <w:r>
        <w:rPr>
          <w:spacing w:val="22"/>
        </w:rPr>
        <w:t> </w:t>
      </w:r>
      <w:r>
        <w:rPr/>
        <w:t>under</w:t>
      </w:r>
      <w:r>
        <w:rPr>
          <w:spacing w:val="21"/>
        </w:rPr>
        <w:t> </w:t>
      </w:r>
      <w:r>
        <w:rPr/>
        <w:t>the</w:t>
      </w:r>
    </w:p>
    <w:p>
      <w:pPr>
        <w:pStyle w:val="BodyText"/>
        <w:rPr>
          <w:b/>
        </w:rPr>
      </w:pPr>
    </w:p>
    <w:p>
      <w:pPr>
        <w:spacing w:line="480" w:lineRule="auto" w:before="1"/>
        <w:ind w:left="1220" w:right="439" w:firstLine="0"/>
        <w:jc w:val="both"/>
        <w:rPr>
          <w:b/>
          <w:sz w:val="25"/>
        </w:rPr>
      </w:pPr>
      <w:r>
        <w:rPr>
          <w:b/>
          <w:sz w:val="25"/>
        </w:rPr>
        <w:t>―Shikhar‖ prior to 6 December 1992 from time immemorial as alleged in paragraph 44 of the additional written statement of Nirmohi Akhara (the third defendant).</w:t>
      </w:r>
    </w:p>
    <w:p>
      <w:pPr>
        <w:pStyle w:val="ListParagraph"/>
        <w:numPr>
          <w:ilvl w:val="1"/>
          <w:numId w:val="114"/>
        </w:numPr>
        <w:tabs>
          <w:tab w:pos="1786" w:val="left" w:leader="none"/>
          <w:tab w:pos="1787" w:val="left" w:leader="none"/>
        </w:tabs>
        <w:spacing w:line="465" w:lineRule="auto" w:before="0" w:after="0"/>
        <w:ind w:left="1786" w:right="551" w:hanging="720"/>
        <w:jc w:val="left"/>
        <w:rPr>
          <w:sz w:val="25"/>
        </w:rPr>
      </w:pPr>
      <w:r>
        <w:rPr>
          <w:b/>
          <w:sz w:val="25"/>
        </w:rPr>
        <w:t>Justice S U Khan </w:t>
      </w:r>
      <w:r>
        <w:rPr>
          <w:sz w:val="25"/>
        </w:rPr>
        <w:t>– The idols were placed inside the mosque for the first time on 22-23 December</w:t>
      </w:r>
      <w:r>
        <w:rPr>
          <w:spacing w:val="-4"/>
          <w:sz w:val="25"/>
        </w:rPr>
        <w:t> </w:t>
      </w:r>
      <w:r>
        <w:rPr>
          <w:sz w:val="25"/>
        </w:rPr>
        <w:t>1949.</w:t>
      </w:r>
    </w:p>
    <w:p>
      <w:pPr>
        <w:pStyle w:val="ListParagraph"/>
        <w:numPr>
          <w:ilvl w:val="1"/>
          <w:numId w:val="114"/>
        </w:numPr>
        <w:tabs>
          <w:tab w:pos="1786" w:val="left" w:leader="none"/>
          <w:tab w:pos="1787" w:val="left" w:leader="none"/>
        </w:tabs>
        <w:spacing w:line="472" w:lineRule="auto" w:before="15" w:after="0"/>
        <w:ind w:left="1786" w:right="604" w:hanging="720"/>
        <w:jc w:val="left"/>
        <w:rPr>
          <w:sz w:val="25"/>
        </w:rPr>
      </w:pPr>
      <w:r>
        <w:rPr>
          <w:b/>
          <w:sz w:val="25"/>
        </w:rPr>
        <w:t>Justice Sudhir Agarwal </w:t>
      </w:r>
      <w:r>
        <w:rPr>
          <w:sz w:val="25"/>
        </w:rPr>
        <w:t>- Answered in the negative; the idols under the central dome were in existence prior to 6 December 1992 but were placed during the night of 22-23 December</w:t>
      </w:r>
      <w:r>
        <w:rPr>
          <w:spacing w:val="-5"/>
          <w:sz w:val="25"/>
        </w:rPr>
        <w:t> </w:t>
      </w:r>
      <w:r>
        <w:rPr>
          <w:sz w:val="25"/>
        </w:rPr>
        <w:t>1949.</w:t>
      </w:r>
    </w:p>
    <w:p>
      <w:pPr>
        <w:spacing w:after="0" w:line="472" w:lineRule="auto"/>
        <w:jc w:val="left"/>
        <w:rPr>
          <w:sz w:val="25"/>
        </w:rPr>
        <w:sectPr>
          <w:pgSz w:w="11910" w:h="16840"/>
          <w:pgMar w:header="721" w:footer="1014" w:top="1300" w:bottom="1200" w:left="940" w:right="1000"/>
        </w:sectPr>
      </w:pPr>
    </w:p>
    <w:p>
      <w:pPr>
        <w:pStyle w:val="ListParagraph"/>
        <w:numPr>
          <w:ilvl w:val="1"/>
          <w:numId w:val="114"/>
        </w:numPr>
        <w:tabs>
          <w:tab w:pos="1786" w:val="left" w:leader="none"/>
          <w:tab w:pos="1787" w:val="left" w:leader="none"/>
        </w:tabs>
        <w:spacing w:line="465" w:lineRule="auto" w:before="121" w:after="0"/>
        <w:ind w:left="1786" w:right="885" w:hanging="720"/>
        <w:jc w:val="left"/>
        <w:rPr>
          <w:sz w:val="25"/>
        </w:rPr>
      </w:pPr>
      <w:r>
        <w:rPr>
          <w:b/>
          <w:sz w:val="25"/>
        </w:rPr>
        <w:t>Justice D V Sharma </w:t>
      </w:r>
      <w:r>
        <w:rPr>
          <w:sz w:val="25"/>
        </w:rPr>
        <w:t>– The idols were not under the central dome prior to 22-23 December</w:t>
      </w:r>
      <w:r>
        <w:rPr>
          <w:spacing w:val="-1"/>
          <w:sz w:val="25"/>
        </w:rPr>
        <w:t> </w:t>
      </w:r>
      <w:r>
        <w:rPr>
          <w:sz w:val="25"/>
        </w:rPr>
        <w:t>1949.</w:t>
      </w:r>
    </w:p>
    <w:p>
      <w:pPr>
        <w:pStyle w:val="Heading5"/>
        <w:numPr>
          <w:ilvl w:val="0"/>
          <w:numId w:val="114"/>
        </w:numPr>
        <w:tabs>
          <w:tab w:pos="1220" w:val="left" w:leader="none"/>
          <w:tab w:pos="1221" w:val="left" w:leader="none"/>
        </w:tabs>
        <w:spacing w:line="480" w:lineRule="auto" w:before="214" w:after="0"/>
        <w:ind w:left="1220" w:right="447" w:hanging="720"/>
        <w:jc w:val="left"/>
      </w:pPr>
      <w:r>
        <w:rPr/>
        <w:t>Is the property in question properly identified and described in the plaint.</w:t>
      </w:r>
    </w:p>
    <w:p>
      <w:pPr>
        <w:pStyle w:val="ListParagraph"/>
        <w:numPr>
          <w:ilvl w:val="1"/>
          <w:numId w:val="114"/>
        </w:numPr>
        <w:tabs>
          <w:tab w:pos="1786" w:val="left" w:leader="none"/>
          <w:tab w:pos="1787" w:val="left" w:leader="none"/>
        </w:tabs>
        <w:spacing w:line="475" w:lineRule="auto" w:before="2" w:after="0"/>
        <w:ind w:left="1786" w:right="463" w:hanging="720"/>
        <w:jc w:val="left"/>
        <w:rPr>
          <w:sz w:val="25"/>
        </w:rPr>
      </w:pPr>
      <w:r>
        <w:rPr>
          <w:b/>
          <w:sz w:val="25"/>
        </w:rPr>
        <w:t>Justice S U Khan </w:t>
      </w:r>
      <w:r>
        <w:rPr>
          <w:sz w:val="25"/>
        </w:rPr>
        <w:t>- No temple was demolished for constructing the mosque. Until the mosque was constructed during the reign of Babur, the premises were neither treated nor believed to be the birth-place of Lord</w:t>
      </w:r>
      <w:r>
        <w:rPr>
          <w:spacing w:val="-2"/>
          <w:sz w:val="25"/>
        </w:rPr>
        <w:t> </w:t>
      </w:r>
      <w:r>
        <w:rPr>
          <w:sz w:val="25"/>
        </w:rPr>
        <w:t>Ram.</w:t>
      </w:r>
    </w:p>
    <w:p>
      <w:pPr>
        <w:pStyle w:val="ListParagraph"/>
        <w:numPr>
          <w:ilvl w:val="1"/>
          <w:numId w:val="114"/>
        </w:numPr>
        <w:tabs>
          <w:tab w:pos="1786" w:val="left" w:leader="none"/>
          <w:tab w:pos="1787" w:val="left" w:leader="none"/>
        </w:tabs>
        <w:spacing w:line="465" w:lineRule="auto" w:before="3" w:after="0"/>
        <w:ind w:left="1786" w:right="606" w:hanging="720"/>
        <w:jc w:val="left"/>
        <w:rPr>
          <w:sz w:val="25"/>
        </w:rPr>
      </w:pPr>
      <w:r>
        <w:rPr>
          <w:b/>
          <w:sz w:val="25"/>
        </w:rPr>
        <w:t>Justice Sudhir Agarwal </w:t>
      </w:r>
      <w:r>
        <w:rPr>
          <w:sz w:val="25"/>
        </w:rPr>
        <w:t>– There is no ambiguity in the identification or description of the</w:t>
      </w:r>
      <w:r>
        <w:rPr>
          <w:spacing w:val="-2"/>
          <w:sz w:val="25"/>
        </w:rPr>
        <w:t> </w:t>
      </w:r>
      <w:r>
        <w:rPr>
          <w:sz w:val="25"/>
        </w:rPr>
        <w:t>property.</w:t>
      </w:r>
    </w:p>
    <w:p>
      <w:pPr>
        <w:pStyle w:val="ListParagraph"/>
        <w:numPr>
          <w:ilvl w:val="1"/>
          <w:numId w:val="114"/>
        </w:numPr>
        <w:tabs>
          <w:tab w:pos="1786" w:val="left" w:leader="none"/>
          <w:tab w:pos="1787" w:val="left" w:leader="none"/>
        </w:tabs>
        <w:spacing w:line="240" w:lineRule="auto" w:before="14" w:after="0"/>
        <w:ind w:left="1786" w:right="0" w:hanging="721"/>
        <w:jc w:val="left"/>
        <w:rPr>
          <w:sz w:val="25"/>
        </w:rPr>
      </w:pPr>
      <w:r>
        <w:rPr>
          <w:b/>
          <w:sz w:val="25"/>
        </w:rPr>
        <w:t>Justice D V Sharma </w:t>
      </w:r>
      <w:r>
        <w:rPr>
          <w:sz w:val="25"/>
        </w:rPr>
        <w:t>– Answered in favour of the</w:t>
      </w:r>
      <w:r>
        <w:rPr>
          <w:spacing w:val="-2"/>
          <w:sz w:val="25"/>
        </w:rPr>
        <w:t> </w:t>
      </w:r>
      <w:r>
        <w:rPr>
          <w:sz w:val="25"/>
        </w:rPr>
        <w:t>plaintiffs.</w:t>
      </w:r>
    </w:p>
    <w:p>
      <w:pPr>
        <w:pStyle w:val="BodyText"/>
        <w:spacing w:before="3"/>
        <w:rPr>
          <w:sz w:val="42"/>
        </w:rPr>
      </w:pPr>
    </w:p>
    <w:p>
      <w:pPr>
        <w:pStyle w:val="Heading5"/>
        <w:numPr>
          <w:ilvl w:val="0"/>
          <w:numId w:val="114"/>
        </w:numPr>
        <w:tabs>
          <w:tab w:pos="1220" w:val="left" w:leader="none"/>
          <w:tab w:pos="1221" w:val="left" w:leader="none"/>
        </w:tabs>
        <w:spacing w:line="480" w:lineRule="auto" w:before="0" w:after="0"/>
        <w:ind w:left="1220" w:right="436" w:hanging="720"/>
        <w:jc w:val="left"/>
      </w:pPr>
      <w:r>
        <w:rPr/>
        <w:t>Is third plaintiff not entitled to represent plaintiffs 1 </w:t>
      </w:r>
      <w:r>
        <w:rPr>
          <w:spacing w:val="4"/>
        </w:rPr>
        <w:t>and </w:t>
      </w:r>
      <w:r>
        <w:rPr/>
        <w:t>2 as their next friend and is the suit not competent on this</w:t>
      </w:r>
      <w:r>
        <w:rPr>
          <w:spacing w:val="-9"/>
        </w:rPr>
        <w:t> </w:t>
      </w:r>
      <w:r>
        <w:rPr/>
        <w:t>account.</w:t>
      </w:r>
    </w:p>
    <w:p>
      <w:pPr>
        <w:pStyle w:val="ListParagraph"/>
        <w:numPr>
          <w:ilvl w:val="1"/>
          <w:numId w:val="114"/>
        </w:numPr>
        <w:tabs>
          <w:tab w:pos="1786" w:val="left" w:leader="none"/>
          <w:tab w:pos="1787" w:val="left" w:leader="none"/>
        </w:tabs>
        <w:spacing w:line="306" w:lineRule="exact" w:before="0" w:after="0"/>
        <w:ind w:left="1786" w:right="0" w:hanging="721"/>
        <w:jc w:val="left"/>
        <w:rPr>
          <w:sz w:val="25"/>
        </w:rPr>
      </w:pPr>
      <w:r>
        <w:rPr>
          <w:b/>
          <w:sz w:val="25"/>
        </w:rPr>
        <w:t>Justice S U Khan </w:t>
      </w:r>
      <w:r>
        <w:rPr>
          <w:sz w:val="25"/>
        </w:rPr>
        <w:t>- Adopted the findings of Justice Sudhir</w:t>
      </w:r>
      <w:r>
        <w:rPr>
          <w:spacing w:val="-10"/>
          <w:sz w:val="25"/>
        </w:rPr>
        <w:t> </w:t>
      </w:r>
      <w:r>
        <w:rPr>
          <w:sz w:val="25"/>
        </w:rPr>
        <w:t>Agarwal.</w:t>
      </w:r>
    </w:p>
    <w:p>
      <w:pPr>
        <w:pStyle w:val="BodyText"/>
        <w:spacing w:before="11"/>
        <w:rPr>
          <w:sz w:val="24"/>
        </w:rPr>
      </w:pPr>
    </w:p>
    <w:p>
      <w:pPr>
        <w:pStyle w:val="ListParagraph"/>
        <w:numPr>
          <w:ilvl w:val="1"/>
          <w:numId w:val="114"/>
        </w:numPr>
        <w:tabs>
          <w:tab w:pos="1786" w:val="left" w:leader="none"/>
          <w:tab w:pos="1787" w:val="left" w:leader="none"/>
        </w:tabs>
        <w:spacing w:line="465" w:lineRule="auto" w:before="0" w:after="0"/>
        <w:ind w:left="1786" w:right="537" w:hanging="720"/>
        <w:jc w:val="left"/>
        <w:rPr>
          <w:sz w:val="25"/>
        </w:rPr>
      </w:pPr>
      <w:r>
        <w:rPr>
          <w:b/>
          <w:sz w:val="25"/>
        </w:rPr>
        <w:t>Justice Sudhir Agarwal </w:t>
      </w:r>
      <w:r>
        <w:rPr>
          <w:sz w:val="25"/>
        </w:rPr>
        <w:t>– Answered in the negative, in favour of the plaintiffs.</w:t>
      </w:r>
    </w:p>
    <w:p>
      <w:pPr>
        <w:pStyle w:val="ListParagraph"/>
        <w:numPr>
          <w:ilvl w:val="1"/>
          <w:numId w:val="114"/>
        </w:numPr>
        <w:tabs>
          <w:tab w:pos="1786" w:val="left" w:leader="none"/>
          <w:tab w:pos="1787" w:val="left" w:leader="none"/>
        </w:tabs>
        <w:spacing w:line="240" w:lineRule="auto" w:before="14" w:after="0"/>
        <w:ind w:left="1786" w:right="0" w:hanging="721"/>
        <w:jc w:val="left"/>
        <w:rPr>
          <w:sz w:val="25"/>
        </w:rPr>
      </w:pPr>
      <w:r>
        <w:rPr>
          <w:b/>
          <w:sz w:val="25"/>
        </w:rPr>
        <w:t>Justice D V Sharma </w:t>
      </w:r>
      <w:r>
        <w:rPr>
          <w:sz w:val="25"/>
        </w:rPr>
        <w:t>– Decided in favour of the</w:t>
      </w:r>
      <w:r>
        <w:rPr>
          <w:spacing w:val="-4"/>
          <w:sz w:val="25"/>
        </w:rPr>
        <w:t> </w:t>
      </w:r>
      <w:r>
        <w:rPr>
          <w:sz w:val="25"/>
        </w:rPr>
        <w:t>plaintiffs.</w:t>
      </w:r>
    </w:p>
    <w:p>
      <w:pPr>
        <w:pStyle w:val="BodyText"/>
        <w:spacing w:before="4"/>
        <w:rPr>
          <w:sz w:val="42"/>
        </w:rPr>
      </w:pPr>
    </w:p>
    <w:p>
      <w:pPr>
        <w:pStyle w:val="Heading5"/>
        <w:numPr>
          <w:ilvl w:val="0"/>
          <w:numId w:val="114"/>
        </w:numPr>
        <w:tabs>
          <w:tab w:pos="1221" w:val="left" w:leader="none"/>
        </w:tabs>
        <w:spacing w:line="480" w:lineRule="auto" w:before="0" w:after="0"/>
        <w:ind w:left="1220" w:right="445" w:hanging="720"/>
        <w:jc w:val="both"/>
      </w:pPr>
      <w:r>
        <w:rPr/>
        <w:t>Whether Nirmohi Akhara (the third defendant) alone is entitled to represent the first and second plaintiffs, and is the suit not  competent on that account as alleged in paragraph 49 of the additional written statement of Nirmohi Akhara (the third</w:t>
      </w:r>
      <w:r>
        <w:rPr>
          <w:spacing w:val="-16"/>
        </w:rPr>
        <w:t> </w:t>
      </w:r>
      <w:r>
        <w:rPr/>
        <w:t>defendant).</w:t>
      </w:r>
    </w:p>
    <w:p>
      <w:pPr>
        <w:pStyle w:val="ListParagraph"/>
        <w:numPr>
          <w:ilvl w:val="0"/>
          <w:numId w:val="115"/>
        </w:numPr>
        <w:tabs>
          <w:tab w:pos="1221" w:val="left" w:leader="none"/>
        </w:tabs>
        <w:spacing w:line="306" w:lineRule="exact" w:before="0" w:after="0"/>
        <w:ind w:left="1220" w:right="0" w:hanging="721"/>
        <w:jc w:val="both"/>
        <w:rPr>
          <w:sz w:val="25"/>
        </w:rPr>
      </w:pPr>
      <w:r>
        <w:rPr>
          <w:b/>
          <w:sz w:val="25"/>
        </w:rPr>
        <w:t>Justice S U Khan </w:t>
      </w:r>
      <w:r>
        <w:rPr>
          <w:sz w:val="25"/>
        </w:rPr>
        <w:t>- Adopted the findings of Justice Sudhir</w:t>
      </w:r>
      <w:r>
        <w:rPr>
          <w:spacing w:val="-8"/>
          <w:sz w:val="25"/>
        </w:rPr>
        <w:t> </w:t>
      </w:r>
      <w:r>
        <w:rPr>
          <w:sz w:val="25"/>
        </w:rPr>
        <w:t>Agarwal.</w:t>
      </w:r>
    </w:p>
    <w:p>
      <w:pPr>
        <w:spacing w:after="0" w:line="306" w:lineRule="exact"/>
        <w:jc w:val="both"/>
        <w:rPr>
          <w:sz w:val="25"/>
        </w:rPr>
        <w:sectPr>
          <w:pgSz w:w="11910" w:h="16840"/>
          <w:pgMar w:header="721" w:footer="1014" w:top="1300" w:bottom="1200" w:left="940" w:right="1000"/>
        </w:sectPr>
      </w:pPr>
    </w:p>
    <w:p>
      <w:pPr>
        <w:pStyle w:val="ListParagraph"/>
        <w:numPr>
          <w:ilvl w:val="0"/>
          <w:numId w:val="115"/>
        </w:numPr>
        <w:tabs>
          <w:tab w:pos="1220" w:val="left" w:leader="none"/>
          <w:tab w:pos="1221" w:val="left" w:leader="none"/>
        </w:tabs>
        <w:spacing w:line="465" w:lineRule="auto" w:before="121" w:after="0"/>
        <w:ind w:left="1220" w:right="439" w:hanging="720"/>
        <w:jc w:val="left"/>
        <w:rPr>
          <w:sz w:val="25"/>
        </w:rPr>
      </w:pPr>
      <w:r>
        <w:rPr>
          <w:b/>
          <w:sz w:val="25"/>
        </w:rPr>
        <w:t>Justice Sudhir Agarwal </w:t>
      </w:r>
      <w:r>
        <w:rPr>
          <w:sz w:val="25"/>
        </w:rPr>
        <w:t>– Answered in the negative against Nirmohi Akhara, in favour of the</w:t>
      </w:r>
      <w:r>
        <w:rPr>
          <w:spacing w:val="-3"/>
          <w:sz w:val="25"/>
        </w:rPr>
        <w:t> </w:t>
      </w:r>
      <w:r>
        <w:rPr>
          <w:sz w:val="25"/>
        </w:rPr>
        <w:t>plaintiffs.</w:t>
      </w:r>
    </w:p>
    <w:p>
      <w:pPr>
        <w:pStyle w:val="ListParagraph"/>
        <w:numPr>
          <w:ilvl w:val="0"/>
          <w:numId w:val="115"/>
        </w:numPr>
        <w:tabs>
          <w:tab w:pos="1220" w:val="left" w:leader="none"/>
          <w:tab w:pos="1221" w:val="left" w:leader="none"/>
        </w:tabs>
        <w:spacing w:line="465" w:lineRule="auto" w:before="15" w:after="0"/>
        <w:ind w:left="1220" w:right="560" w:hanging="720"/>
        <w:jc w:val="left"/>
        <w:rPr>
          <w:sz w:val="25"/>
        </w:rPr>
      </w:pPr>
      <w:r>
        <w:rPr>
          <w:b/>
          <w:sz w:val="25"/>
        </w:rPr>
        <w:t>Justice D V Sharma </w:t>
      </w:r>
      <w:r>
        <w:rPr>
          <w:sz w:val="25"/>
        </w:rPr>
        <w:t>– Answered against Nirmohi Akhara, in favour of the plaintiffs.</w:t>
      </w:r>
    </w:p>
    <w:p>
      <w:pPr>
        <w:pStyle w:val="Heading5"/>
        <w:numPr>
          <w:ilvl w:val="0"/>
          <w:numId w:val="114"/>
        </w:numPr>
        <w:tabs>
          <w:tab w:pos="1220" w:val="left" w:leader="none"/>
          <w:tab w:pos="1221" w:val="left" w:leader="none"/>
        </w:tabs>
        <w:spacing w:line="480" w:lineRule="auto" w:before="216" w:after="0"/>
        <w:ind w:left="1220" w:right="447" w:hanging="720"/>
        <w:jc w:val="left"/>
      </w:pPr>
      <w:r>
        <w:rPr/>
        <w:t>Is the defendant Nirmohi Akhara the ―Shebait‖ of Bhagwan Sri Ram installed in the disputed</w:t>
      </w:r>
      <w:r>
        <w:rPr>
          <w:spacing w:val="-3"/>
        </w:rPr>
        <w:t> </w:t>
      </w:r>
      <w:r>
        <w:rPr/>
        <w:t>structure.</w:t>
      </w:r>
    </w:p>
    <w:p>
      <w:pPr>
        <w:pStyle w:val="ListParagraph"/>
        <w:numPr>
          <w:ilvl w:val="0"/>
          <w:numId w:val="115"/>
        </w:numPr>
        <w:tabs>
          <w:tab w:pos="1220" w:val="left" w:leader="none"/>
          <w:tab w:pos="1221" w:val="left" w:leader="none"/>
        </w:tabs>
        <w:spacing w:line="240" w:lineRule="auto" w:before="0" w:after="0"/>
        <w:ind w:left="1220" w:right="0" w:hanging="721"/>
        <w:jc w:val="left"/>
        <w:rPr>
          <w:sz w:val="25"/>
        </w:rPr>
      </w:pPr>
      <w:r>
        <w:rPr>
          <w:b/>
          <w:sz w:val="25"/>
        </w:rPr>
        <w:t>Justice S U Khan </w:t>
      </w:r>
      <w:r>
        <w:rPr>
          <w:sz w:val="25"/>
        </w:rPr>
        <w:t>– Adopted the findings of Justice Sudhir</w:t>
      </w:r>
      <w:r>
        <w:rPr>
          <w:spacing w:val="-7"/>
          <w:sz w:val="25"/>
        </w:rPr>
        <w:t> </w:t>
      </w:r>
      <w:r>
        <w:rPr>
          <w:sz w:val="25"/>
        </w:rPr>
        <w:t>Agarwal.</w:t>
      </w:r>
    </w:p>
    <w:p>
      <w:pPr>
        <w:pStyle w:val="BodyText"/>
        <w:spacing w:before="8"/>
        <w:rPr>
          <w:sz w:val="24"/>
        </w:rPr>
      </w:pPr>
    </w:p>
    <w:p>
      <w:pPr>
        <w:pStyle w:val="ListParagraph"/>
        <w:numPr>
          <w:ilvl w:val="0"/>
          <w:numId w:val="115"/>
        </w:numPr>
        <w:tabs>
          <w:tab w:pos="1220" w:val="left" w:leader="none"/>
          <w:tab w:pos="1221" w:val="left" w:leader="none"/>
        </w:tabs>
        <w:spacing w:line="240" w:lineRule="auto" w:before="0" w:after="0"/>
        <w:ind w:left="1220" w:right="0" w:hanging="721"/>
        <w:jc w:val="left"/>
        <w:rPr>
          <w:sz w:val="25"/>
        </w:rPr>
      </w:pPr>
      <w:r>
        <w:rPr>
          <w:b/>
          <w:sz w:val="25"/>
        </w:rPr>
        <w:t>Justice Sudhir Agarwal </w:t>
      </w:r>
      <w:r>
        <w:rPr>
          <w:sz w:val="25"/>
        </w:rPr>
        <w:t>– Answered against Nirmohi</w:t>
      </w:r>
      <w:r>
        <w:rPr>
          <w:spacing w:val="1"/>
          <w:sz w:val="25"/>
        </w:rPr>
        <w:t> </w:t>
      </w:r>
      <w:r>
        <w:rPr>
          <w:sz w:val="25"/>
        </w:rPr>
        <w:t>Akhara.</w:t>
      </w:r>
    </w:p>
    <w:p>
      <w:pPr>
        <w:pStyle w:val="BodyText"/>
        <w:spacing w:before="11"/>
        <w:rPr>
          <w:sz w:val="24"/>
        </w:rPr>
      </w:pPr>
    </w:p>
    <w:p>
      <w:pPr>
        <w:pStyle w:val="ListParagraph"/>
        <w:numPr>
          <w:ilvl w:val="0"/>
          <w:numId w:val="115"/>
        </w:numPr>
        <w:tabs>
          <w:tab w:pos="1220" w:val="left" w:leader="none"/>
          <w:tab w:pos="1221" w:val="left" w:leader="none"/>
        </w:tabs>
        <w:spacing w:line="465" w:lineRule="auto" w:before="0" w:after="0"/>
        <w:ind w:left="1220" w:right="439" w:hanging="720"/>
        <w:jc w:val="left"/>
        <w:rPr>
          <w:sz w:val="25"/>
        </w:rPr>
      </w:pPr>
      <w:r>
        <w:rPr>
          <w:b/>
          <w:sz w:val="25"/>
        </w:rPr>
        <w:t>Justice D V Sharma </w:t>
      </w:r>
      <w:r>
        <w:rPr>
          <w:sz w:val="25"/>
        </w:rPr>
        <w:t>– Answered against Nirmohi Akhara, held that Nirmohi Akhara is incompetent to represent the first and second</w:t>
      </w:r>
      <w:r>
        <w:rPr>
          <w:spacing w:val="-21"/>
          <w:sz w:val="25"/>
        </w:rPr>
        <w:t> </w:t>
      </w:r>
      <w:r>
        <w:rPr>
          <w:sz w:val="25"/>
        </w:rPr>
        <w:t>plaintiffs.</w:t>
      </w:r>
    </w:p>
    <w:p>
      <w:pPr>
        <w:pStyle w:val="BodyText"/>
        <w:spacing w:before="3"/>
        <w:rPr>
          <w:sz w:val="26"/>
        </w:rPr>
      </w:pPr>
    </w:p>
    <w:p>
      <w:pPr>
        <w:pStyle w:val="Heading5"/>
        <w:numPr>
          <w:ilvl w:val="0"/>
          <w:numId w:val="114"/>
        </w:numPr>
        <w:tabs>
          <w:tab w:pos="1220" w:val="left" w:leader="none"/>
          <w:tab w:pos="1221" w:val="left" w:leader="none"/>
        </w:tabs>
        <w:spacing w:line="240" w:lineRule="auto" w:before="0" w:after="0"/>
        <w:ind w:left="1220" w:right="0" w:hanging="721"/>
        <w:jc w:val="left"/>
      </w:pPr>
      <w:r>
        <w:rPr/>
        <w:t>Was the disputed structure a mosque known as Babri</w:t>
      </w:r>
      <w:r>
        <w:rPr>
          <w:spacing w:val="-12"/>
        </w:rPr>
        <w:t> </w:t>
      </w:r>
      <w:r>
        <w:rPr/>
        <w:t>Masjid?</w:t>
      </w:r>
    </w:p>
    <w:p>
      <w:pPr>
        <w:pStyle w:val="BodyText"/>
        <w:spacing w:before="11"/>
        <w:rPr>
          <w:b/>
          <w:sz w:val="24"/>
        </w:rPr>
      </w:pPr>
    </w:p>
    <w:p>
      <w:pPr>
        <w:pStyle w:val="ListParagraph"/>
        <w:numPr>
          <w:ilvl w:val="0"/>
          <w:numId w:val="115"/>
        </w:numPr>
        <w:tabs>
          <w:tab w:pos="1221" w:val="left" w:leader="none"/>
        </w:tabs>
        <w:spacing w:line="472" w:lineRule="auto" w:before="0" w:after="0"/>
        <w:ind w:left="1220" w:right="438" w:hanging="720"/>
        <w:jc w:val="both"/>
        <w:rPr>
          <w:sz w:val="25"/>
        </w:rPr>
      </w:pPr>
      <w:r>
        <w:rPr>
          <w:b/>
          <w:sz w:val="25"/>
        </w:rPr>
        <w:t>Justice S U Khan </w:t>
      </w:r>
      <w:r>
        <w:rPr>
          <w:sz w:val="25"/>
        </w:rPr>
        <w:t>– The mosque was constructed by or under the orders of Babur. Until 1934, Muslims offered regular prayers and thereafter, until 22 December 1949 only Friday prayers were</w:t>
      </w:r>
      <w:r>
        <w:rPr>
          <w:spacing w:val="-10"/>
          <w:sz w:val="25"/>
        </w:rPr>
        <w:t> </w:t>
      </w:r>
      <w:r>
        <w:rPr>
          <w:sz w:val="25"/>
        </w:rPr>
        <w:t>offered.</w:t>
      </w:r>
    </w:p>
    <w:p>
      <w:pPr>
        <w:pStyle w:val="ListParagraph"/>
        <w:numPr>
          <w:ilvl w:val="0"/>
          <w:numId w:val="115"/>
        </w:numPr>
        <w:tabs>
          <w:tab w:pos="1221" w:val="left" w:leader="none"/>
        </w:tabs>
        <w:spacing w:line="240" w:lineRule="auto" w:before="6" w:after="0"/>
        <w:ind w:left="1220" w:right="0" w:hanging="721"/>
        <w:jc w:val="both"/>
        <w:rPr>
          <w:sz w:val="25"/>
        </w:rPr>
      </w:pPr>
      <w:r>
        <w:rPr>
          <w:b/>
          <w:sz w:val="25"/>
        </w:rPr>
        <w:t>Justice Sudhir Agarwal </w:t>
      </w:r>
      <w:r>
        <w:rPr>
          <w:sz w:val="25"/>
        </w:rPr>
        <w:t>– Answered against the</w:t>
      </w:r>
      <w:r>
        <w:rPr>
          <w:spacing w:val="2"/>
          <w:sz w:val="25"/>
        </w:rPr>
        <w:t> </w:t>
      </w:r>
      <w:r>
        <w:rPr>
          <w:sz w:val="25"/>
        </w:rPr>
        <w:t>plaintiffs.</w:t>
      </w:r>
    </w:p>
    <w:p>
      <w:pPr>
        <w:pStyle w:val="BodyText"/>
        <w:spacing w:before="11"/>
        <w:rPr>
          <w:sz w:val="24"/>
        </w:rPr>
      </w:pPr>
    </w:p>
    <w:p>
      <w:pPr>
        <w:pStyle w:val="ListParagraph"/>
        <w:numPr>
          <w:ilvl w:val="0"/>
          <w:numId w:val="115"/>
        </w:numPr>
        <w:tabs>
          <w:tab w:pos="1220" w:val="left" w:leader="none"/>
          <w:tab w:pos="1221" w:val="left" w:leader="none"/>
        </w:tabs>
        <w:spacing w:line="465" w:lineRule="auto" w:before="0" w:after="0"/>
        <w:ind w:left="1220" w:right="438" w:hanging="720"/>
        <w:jc w:val="left"/>
        <w:rPr>
          <w:sz w:val="25"/>
        </w:rPr>
      </w:pPr>
      <w:r>
        <w:rPr>
          <w:b/>
          <w:sz w:val="25"/>
        </w:rPr>
        <w:t>Justice D V Sharma </w:t>
      </w:r>
      <w:r>
        <w:rPr>
          <w:sz w:val="25"/>
        </w:rPr>
        <w:t>– Answered against the Sunni Central Waqf Board and in favour of the</w:t>
      </w:r>
      <w:r>
        <w:rPr>
          <w:spacing w:val="-3"/>
          <w:sz w:val="25"/>
        </w:rPr>
        <w:t> </w:t>
      </w:r>
      <w:r>
        <w:rPr>
          <w:sz w:val="25"/>
        </w:rPr>
        <w:t>plaintiffs.</w:t>
      </w:r>
    </w:p>
    <w:p>
      <w:pPr>
        <w:pStyle w:val="Heading5"/>
        <w:numPr>
          <w:ilvl w:val="0"/>
          <w:numId w:val="114"/>
        </w:numPr>
        <w:tabs>
          <w:tab w:pos="1220" w:val="left" w:leader="none"/>
          <w:tab w:pos="1221" w:val="left" w:leader="none"/>
        </w:tabs>
        <w:spacing w:line="480" w:lineRule="auto" w:before="214" w:after="0"/>
        <w:ind w:left="1220" w:right="446" w:hanging="720"/>
        <w:jc w:val="left"/>
      </w:pPr>
      <w:r>
        <w:rPr/>
        <w:t>Whether the disputed structure could be treated to be a mosque on the allegations contained in paragraph 24 of the</w:t>
      </w:r>
      <w:r>
        <w:rPr>
          <w:spacing w:val="-8"/>
        </w:rPr>
        <w:t> </w:t>
      </w:r>
      <w:r>
        <w:rPr/>
        <w:t>plaint.</w:t>
      </w:r>
    </w:p>
    <w:p>
      <w:pPr>
        <w:pStyle w:val="ListParagraph"/>
        <w:numPr>
          <w:ilvl w:val="0"/>
          <w:numId w:val="115"/>
        </w:numPr>
        <w:tabs>
          <w:tab w:pos="1220" w:val="left" w:leader="none"/>
          <w:tab w:pos="1221" w:val="left" w:leader="none"/>
        </w:tabs>
        <w:spacing w:line="306" w:lineRule="exact" w:before="0" w:after="0"/>
        <w:ind w:left="1220" w:right="0" w:hanging="721"/>
        <w:jc w:val="left"/>
        <w:rPr>
          <w:sz w:val="25"/>
        </w:rPr>
      </w:pPr>
      <w:r>
        <w:rPr>
          <w:b/>
          <w:sz w:val="25"/>
        </w:rPr>
        <w:t>Justice S U Khan </w:t>
      </w:r>
      <w:r>
        <w:rPr>
          <w:sz w:val="25"/>
        </w:rPr>
        <w:t>– The mosque was a valid</w:t>
      </w:r>
      <w:r>
        <w:rPr>
          <w:spacing w:val="-5"/>
          <w:sz w:val="25"/>
        </w:rPr>
        <w:t> </w:t>
      </w:r>
      <w:r>
        <w:rPr>
          <w:sz w:val="25"/>
        </w:rPr>
        <w:t>mosque.</w:t>
      </w:r>
    </w:p>
    <w:p>
      <w:pPr>
        <w:pStyle w:val="BodyText"/>
        <w:spacing w:before="11"/>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Sudhir Agarwal </w:t>
      </w:r>
      <w:r>
        <w:rPr>
          <w:sz w:val="25"/>
        </w:rPr>
        <w:t>– Answered in the</w:t>
      </w:r>
      <w:r>
        <w:rPr>
          <w:spacing w:val="1"/>
          <w:sz w:val="25"/>
        </w:rPr>
        <w:t> </w:t>
      </w:r>
      <w:r>
        <w:rPr>
          <w:sz w:val="25"/>
        </w:rPr>
        <w:t>affirmative.</w:t>
      </w:r>
    </w:p>
    <w:p>
      <w:pPr>
        <w:pStyle w:val="BodyText"/>
        <w:spacing w:before="8"/>
        <w:rPr>
          <w:sz w:val="24"/>
        </w:rPr>
      </w:pPr>
    </w:p>
    <w:p>
      <w:pPr>
        <w:pStyle w:val="ListParagraph"/>
        <w:numPr>
          <w:ilvl w:val="0"/>
          <w:numId w:val="115"/>
        </w:numPr>
        <w:tabs>
          <w:tab w:pos="1221" w:val="left" w:leader="none"/>
        </w:tabs>
        <w:spacing w:line="465" w:lineRule="auto" w:before="0" w:after="0"/>
        <w:ind w:left="1220" w:right="440" w:hanging="720"/>
        <w:jc w:val="both"/>
        <w:rPr>
          <w:sz w:val="25"/>
        </w:rPr>
      </w:pPr>
      <w:r>
        <w:rPr>
          <w:b/>
          <w:sz w:val="25"/>
        </w:rPr>
        <w:t>Justice D V Sharma </w:t>
      </w:r>
      <w:r>
        <w:rPr>
          <w:sz w:val="25"/>
        </w:rPr>
        <w:t>– The mosque was constructed upon demolition of the</w:t>
      </w:r>
      <w:r>
        <w:rPr>
          <w:spacing w:val="-1"/>
          <w:sz w:val="25"/>
        </w:rPr>
        <w:t> </w:t>
      </w:r>
      <w:r>
        <w:rPr>
          <w:sz w:val="25"/>
        </w:rPr>
        <w:t>temple.</w:t>
      </w:r>
    </w:p>
    <w:p>
      <w:pPr>
        <w:spacing w:after="0" w:line="465" w:lineRule="auto"/>
        <w:jc w:val="both"/>
        <w:rPr>
          <w:sz w:val="25"/>
        </w:rPr>
        <w:sectPr>
          <w:pgSz w:w="11910" w:h="16840"/>
          <w:pgMar w:header="721" w:footer="1014" w:top="1300" w:bottom="1200" w:left="940" w:right="1000"/>
        </w:sectPr>
      </w:pPr>
    </w:p>
    <w:p>
      <w:pPr>
        <w:pStyle w:val="Heading5"/>
        <w:numPr>
          <w:ilvl w:val="0"/>
          <w:numId w:val="114"/>
        </w:numPr>
        <w:tabs>
          <w:tab w:pos="1221" w:val="left" w:leader="none"/>
        </w:tabs>
        <w:spacing w:line="480" w:lineRule="auto" w:before="121" w:after="0"/>
        <w:ind w:left="1220" w:right="434" w:hanging="720"/>
        <w:jc w:val="both"/>
      </w:pPr>
      <w:r>
        <w:rPr/>
        <w:t>Whether on the averments made in paragraph 25 of the plaint, no valid waqf was created in respect of the structure in dispute to constitute it as a</w:t>
      </w:r>
      <w:r>
        <w:rPr>
          <w:spacing w:val="-2"/>
        </w:rPr>
        <w:t> </w:t>
      </w:r>
      <w:r>
        <w:rPr/>
        <w:t>mosque.</w:t>
      </w:r>
    </w:p>
    <w:p>
      <w:pPr>
        <w:pStyle w:val="ListParagraph"/>
        <w:numPr>
          <w:ilvl w:val="0"/>
          <w:numId w:val="115"/>
        </w:numPr>
        <w:tabs>
          <w:tab w:pos="1221" w:val="left" w:leader="none"/>
        </w:tabs>
        <w:spacing w:line="240" w:lineRule="auto" w:before="1" w:after="0"/>
        <w:ind w:left="1220" w:right="0" w:hanging="721"/>
        <w:jc w:val="both"/>
        <w:rPr>
          <w:sz w:val="25"/>
        </w:rPr>
      </w:pPr>
      <w:r>
        <w:rPr>
          <w:b/>
          <w:sz w:val="25"/>
        </w:rPr>
        <w:t>Justice S U Khan </w:t>
      </w:r>
      <w:r>
        <w:rPr>
          <w:sz w:val="25"/>
        </w:rPr>
        <w:t>– The mosque is a valid</w:t>
      </w:r>
      <w:r>
        <w:rPr>
          <w:spacing w:val="-5"/>
          <w:sz w:val="25"/>
        </w:rPr>
        <w:t> </w:t>
      </w:r>
      <w:r>
        <w:rPr>
          <w:sz w:val="25"/>
        </w:rPr>
        <w:t>mosque.</w:t>
      </w:r>
    </w:p>
    <w:p>
      <w:pPr>
        <w:pStyle w:val="BodyText"/>
        <w:spacing w:before="8"/>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Sudhir Agarwal </w:t>
      </w:r>
      <w:r>
        <w:rPr>
          <w:sz w:val="25"/>
        </w:rPr>
        <w:t>– Answered in the</w:t>
      </w:r>
      <w:r>
        <w:rPr>
          <w:spacing w:val="1"/>
          <w:sz w:val="25"/>
        </w:rPr>
        <w:t> </w:t>
      </w:r>
      <w:r>
        <w:rPr>
          <w:sz w:val="25"/>
        </w:rPr>
        <w:t>affirmative.</w:t>
      </w:r>
    </w:p>
    <w:p>
      <w:pPr>
        <w:pStyle w:val="BodyText"/>
        <w:spacing w:before="10"/>
        <w:rPr>
          <w:sz w:val="24"/>
        </w:rPr>
      </w:pPr>
    </w:p>
    <w:p>
      <w:pPr>
        <w:pStyle w:val="ListParagraph"/>
        <w:numPr>
          <w:ilvl w:val="0"/>
          <w:numId w:val="115"/>
        </w:numPr>
        <w:tabs>
          <w:tab w:pos="1221" w:val="left" w:leader="none"/>
        </w:tabs>
        <w:spacing w:line="240" w:lineRule="auto" w:before="1" w:after="0"/>
        <w:ind w:left="1220" w:right="0" w:hanging="721"/>
        <w:jc w:val="both"/>
        <w:rPr>
          <w:sz w:val="25"/>
        </w:rPr>
      </w:pPr>
      <w:r>
        <w:rPr>
          <w:b/>
          <w:sz w:val="25"/>
        </w:rPr>
        <w:t>Justice D V Sharma </w:t>
      </w:r>
      <w:r>
        <w:rPr>
          <w:sz w:val="25"/>
        </w:rPr>
        <w:t>– No valid waqf with respect to the disputed</w:t>
      </w:r>
      <w:r>
        <w:rPr>
          <w:spacing w:val="-14"/>
          <w:sz w:val="25"/>
        </w:rPr>
        <w:t> </w:t>
      </w:r>
      <w:r>
        <w:rPr>
          <w:sz w:val="25"/>
        </w:rPr>
        <w:t>property.</w:t>
      </w:r>
    </w:p>
    <w:p>
      <w:pPr>
        <w:pStyle w:val="BodyText"/>
        <w:rPr>
          <w:sz w:val="30"/>
        </w:rPr>
      </w:pPr>
    </w:p>
    <w:p>
      <w:pPr>
        <w:pStyle w:val="Heading5"/>
        <w:numPr>
          <w:ilvl w:val="0"/>
          <w:numId w:val="114"/>
        </w:numPr>
        <w:tabs>
          <w:tab w:pos="1221" w:val="left" w:leader="none"/>
        </w:tabs>
        <w:spacing w:line="240" w:lineRule="auto" w:before="227" w:after="0"/>
        <w:ind w:left="1220" w:right="0" w:hanging="721"/>
        <w:jc w:val="both"/>
        <w:rPr>
          <w:b w:val="0"/>
        </w:rPr>
      </w:pPr>
      <w:r>
        <w:rPr/>
        <w:t>Deleted vide order dated 23 February</w:t>
      </w:r>
      <w:r>
        <w:rPr>
          <w:spacing w:val="-1"/>
        </w:rPr>
        <w:t> </w:t>
      </w:r>
      <w:r>
        <w:rPr/>
        <w:t>1996</w:t>
      </w:r>
      <w:r>
        <w:rPr>
          <w:b w:val="0"/>
        </w:rPr>
        <w:t>.</w:t>
      </w:r>
    </w:p>
    <w:p>
      <w:pPr>
        <w:pStyle w:val="BodyText"/>
        <w:spacing w:before="1"/>
      </w:pPr>
    </w:p>
    <w:p>
      <w:pPr>
        <w:pStyle w:val="ListParagraph"/>
        <w:numPr>
          <w:ilvl w:val="0"/>
          <w:numId w:val="114"/>
        </w:numPr>
        <w:tabs>
          <w:tab w:pos="1221" w:val="left" w:leader="none"/>
        </w:tabs>
        <w:spacing w:line="240" w:lineRule="auto" w:before="0" w:after="0"/>
        <w:ind w:left="1220" w:right="0" w:hanging="721"/>
        <w:jc w:val="both"/>
        <w:rPr>
          <w:b/>
          <w:sz w:val="25"/>
        </w:rPr>
      </w:pPr>
      <w:r>
        <w:rPr>
          <w:b/>
          <w:sz w:val="25"/>
        </w:rPr>
        <w:t>Whether the suit is barred by</w:t>
      </w:r>
      <w:r>
        <w:rPr>
          <w:b/>
          <w:spacing w:val="-9"/>
          <w:sz w:val="25"/>
        </w:rPr>
        <w:t> </w:t>
      </w:r>
      <w:r>
        <w:rPr>
          <w:b/>
          <w:sz w:val="25"/>
        </w:rPr>
        <w:t>limitation.</w:t>
      </w:r>
    </w:p>
    <w:p>
      <w:pPr>
        <w:pStyle w:val="BodyText"/>
        <w:spacing w:before="10"/>
        <w:rPr>
          <w:b/>
          <w:sz w:val="24"/>
        </w:rPr>
      </w:pPr>
    </w:p>
    <w:p>
      <w:pPr>
        <w:pStyle w:val="ListParagraph"/>
        <w:numPr>
          <w:ilvl w:val="0"/>
          <w:numId w:val="115"/>
        </w:numPr>
        <w:tabs>
          <w:tab w:pos="1221" w:val="left" w:leader="none"/>
        </w:tabs>
        <w:spacing w:line="240" w:lineRule="auto" w:before="1" w:after="0"/>
        <w:ind w:left="1220" w:right="0" w:hanging="721"/>
        <w:jc w:val="both"/>
        <w:rPr>
          <w:sz w:val="25"/>
        </w:rPr>
      </w:pPr>
      <w:r>
        <w:rPr>
          <w:b/>
          <w:sz w:val="25"/>
        </w:rPr>
        <w:t>Justice S U Khan </w:t>
      </w:r>
      <w:r>
        <w:rPr>
          <w:sz w:val="25"/>
        </w:rPr>
        <w:t>– The suit is not barred by</w:t>
      </w:r>
      <w:r>
        <w:rPr>
          <w:spacing w:val="-10"/>
          <w:sz w:val="25"/>
        </w:rPr>
        <w:t> </w:t>
      </w:r>
      <w:r>
        <w:rPr>
          <w:sz w:val="25"/>
        </w:rPr>
        <w:t>limitation.</w:t>
      </w:r>
    </w:p>
    <w:p>
      <w:pPr>
        <w:pStyle w:val="BodyText"/>
        <w:spacing w:before="10"/>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Sudhir Agarwal </w:t>
      </w:r>
      <w:r>
        <w:rPr>
          <w:sz w:val="25"/>
        </w:rPr>
        <w:t>– The suit is not barred by</w:t>
      </w:r>
      <w:r>
        <w:rPr>
          <w:spacing w:val="-5"/>
          <w:sz w:val="25"/>
        </w:rPr>
        <w:t> </w:t>
      </w:r>
      <w:r>
        <w:rPr>
          <w:sz w:val="25"/>
        </w:rPr>
        <w:t>limitation.</w:t>
      </w:r>
    </w:p>
    <w:p>
      <w:pPr>
        <w:pStyle w:val="BodyText"/>
        <w:spacing w:before="10"/>
        <w:rPr>
          <w:sz w:val="24"/>
        </w:rPr>
      </w:pPr>
    </w:p>
    <w:p>
      <w:pPr>
        <w:pStyle w:val="ListParagraph"/>
        <w:numPr>
          <w:ilvl w:val="0"/>
          <w:numId w:val="115"/>
        </w:numPr>
        <w:tabs>
          <w:tab w:pos="1221" w:val="left" w:leader="none"/>
        </w:tabs>
        <w:spacing w:line="240" w:lineRule="auto" w:before="1" w:after="0"/>
        <w:ind w:left="1220" w:right="0" w:hanging="721"/>
        <w:jc w:val="both"/>
        <w:rPr>
          <w:sz w:val="25"/>
        </w:rPr>
      </w:pPr>
      <w:r>
        <w:rPr>
          <w:b/>
          <w:sz w:val="25"/>
        </w:rPr>
        <w:t>Justice D V Sharma </w:t>
      </w:r>
      <w:r>
        <w:rPr>
          <w:sz w:val="25"/>
        </w:rPr>
        <w:t>– The suit is not barred by</w:t>
      </w:r>
      <w:r>
        <w:rPr>
          <w:spacing w:val="-8"/>
          <w:sz w:val="25"/>
        </w:rPr>
        <w:t> </w:t>
      </w:r>
      <w:r>
        <w:rPr>
          <w:sz w:val="25"/>
        </w:rPr>
        <w:t>limitation.</w:t>
      </w:r>
    </w:p>
    <w:p>
      <w:pPr>
        <w:pStyle w:val="BodyText"/>
        <w:rPr>
          <w:sz w:val="42"/>
        </w:rPr>
      </w:pPr>
    </w:p>
    <w:p>
      <w:pPr>
        <w:pStyle w:val="Heading5"/>
        <w:numPr>
          <w:ilvl w:val="0"/>
          <w:numId w:val="114"/>
        </w:numPr>
        <w:tabs>
          <w:tab w:pos="1221" w:val="left" w:leader="none"/>
        </w:tabs>
        <w:spacing w:line="480" w:lineRule="auto" w:before="0" w:after="0"/>
        <w:ind w:left="1220" w:right="444" w:hanging="720"/>
        <w:jc w:val="both"/>
      </w:pPr>
      <w:r>
        <w:rPr/>
        <w:t>Whether the disputed structure claimed to be Babri Masjid was erected after demolishing Janmasthan temple at its</w:t>
      </w:r>
      <w:r>
        <w:rPr>
          <w:spacing w:val="-4"/>
        </w:rPr>
        <w:t> </w:t>
      </w:r>
      <w:r>
        <w:rPr/>
        <w:t>site.</w:t>
      </w:r>
    </w:p>
    <w:p>
      <w:pPr>
        <w:pStyle w:val="ListParagraph"/>
        <w:numPr>
          <w:ilvl w:val="0"/>
          <w:numId w:val="115"/>
        </w:numPr>
        <w:tabs>
          <w:tab w:pos="1221" w:val="left" w:leader="none"/>
        </w:tabs>
        <w:spacing w:line="472" w:lineRule="auto" w:before="2" w:after="0"/>
        <w:ind w:left="1220" w:right="440" w:hanging="720"/>
        <w:jc w:val="both"/>
        <w:rPr>
          <w:sz w:val="25"/>
        </w:rPr>
      </w:pPr>
      <w:r>
        <w:rPr>
          <w:b/>
          <w:sz w:val="25"/>
        </w:rPr>
        <w:t>Justice S U Khan </w:t>
      </w:r>
      <w:r>
        <w:rPr>
          <w:sz w:val="25"/>
        </w:rPr>
        <w:t>– No temple was demolished for the construction of the mosque. Until the mosque was constructed during the reign of Babur, the premises were not believed to be the birth-place of Lord</w:t>
      </w:r>
      <w:r>
        <w:rPr>
          <w:spacing w:val="-8"/>
          <w:sz w:val="25"/>
        </w:rPr>
        <w:t> </w:t>
      </w:r>
      <w:r>
        <w:rPr>
          <w:sz w:val="25"/>
        </w:rPr>
        <w:t>Ram.</w:t>
      </w:r>
    </w:p>
    <w:p>
      <w:pPr>
        <w:pStyle w:val="ListParagraph"/>
        <w:numPr>
          <w:ilvl w:val="0"/>
          <w:numId w:val="115"/>
        </w:numPr>
        <w:tabs>
          <w:tab w:pos="1221" w:val="left" w:leader="none"/>
        </w:tabs>
        <w:spacing w:line="240" w:lineRule="auto" w:before="5" w:after="0"/>
        <w:ind w:left="1220" w:right="0" w:hanging="721"/>
        <w:jc w:val="both"/>
        <w:rPr>
          <w:sz w:val="25"/>
        </w:rPr>
      </w:pPr>
      <w:r>
        <w:rPr>
          <w:b/>
          <w:sz w:val="25"/>
        </w:rPr>
        <w:t>Justice Sudhir Agarwal </w:t>
      </w:r>
      <w:r>
        <w:rPr>
          <w:sz w:val="25"/>
        </w:rPr>
        <w:t>– Answered in the</w:t>
      </w:r>
      <w:r>
        <w:rPr>
          <w:spacing w:val="1"/>
          <w:sz w:val="25"/>
        </w:rPr>
        <w:t> </w:t>
      </w:r>
      <w:r>
        <w:rPr>
          <w:sz w:val="25"/>
        </w:rPr>
        <w:t>affirmative.</w:t>
      </w:r>
    </w:p>
    <w:p>
      <w:pPr>
        <w:pStyle w:val="BodyText"/>
        <w:spacing w:before="10"/>
        <w:rPr>
          <w:sz w:val="24"/>
        </w:rPr>
      </w:pPr>
    </w:p>
    <w:p>
      <w:pPr>
        <w:pStyle w:val="ListParagraph"/>
        <w:numPr>
          <w:ilvl w:val="0"/>
          <w:numId w:val="115"/>
        </w:numPr>
        <w:tabs>
          <w:tab w:pos="1221" w:val="left" w:leader="none"/>
        </w:tabs>
        <w:spacing w:line="465" w:lineRule="auto" w:before="1" w:after="0"/>
        <w:ind w:left="1220" w:right="442" w:hanging="720"/>
        <w:jc w:val="both"/>
        <w:rPr>
          <w:sz w:val="25"/>
        </w:rPr>
      </w:pPr>
      <w:r>
        <w:rPr>
          <w:b/>
          <w:sz w:val="25"/>
        </w:rPr>
        <w:t>Justice D V Sharma </w:t>
      </w:r>
      <w:r>
        <w:rPr>
          <w:sz w:val="25"/>
        </w:rPr>
        <w:t>– Decided in favour of the plaintiffs, against the Sunni Central Waqf</w:t>
      </w:r>
      <w:r>
        <w:rPr>
          <w:spacing w:val="-7"/>
          <w:sz w:val="25"/>
        </w:rPr>
        <w:t> </w:t>
      </w:r>
      <w:r>
        <w:rPr>
          <w:sz w:val="25"/>
        </w:rPr>
        <w:t>Board.</w:t>
      </w:r>
    </w:p>
    <w:p>
      <w:pPr>
        <w:pStyle w:val="Heading5"/>
        <w:numPr>
          <w:ilvl w:val="0"/>
          <w:numId w:val="114"/>
        </w:numPr>
        <w:tabs>
          <w:tab w:pos="1221" w:val="left" w:leader="none"/>
        </w:tabs>
        <w:spacing w:line="480" w:lineRule="auto" w:before="213" w:after="0"/>
        <w:ind w:left="1220" w:right="439" w:hanging="720"/>
        <w:jc w:val="both"/>
      </w:pPr>
      <w:r>
        <w:rPr/>
        <w:t>Whether the disputed structure claimed to </w:t>
      </w:r>
      <w:r>
        <w:rPr>
          <w:spacing w:val="4"/>
        </w:rPr>
        <w:t>be </w:t>
      </w:r>
      <w:r>
        <w:rPr/>
        <w:t>Babri Masjid was always used only by the Muslims regularly for offering namaz ever since its alleged construction in 1528 A.D. to 22 December 1949 as alleged by the defendants 4 and</w:t>
      </w:r>
      <w:r>
        <w:rPr>
          <w:spacing w:val="-9"/>
        </w:rPr>
        <w:t> </w:t>
      </w:r>
      <w:r>
        <w:rPr>
          <w:spacing w:val="2"/>
        </w:rPr>
        <w:t>5.</w:t>
      </w:r>
    </w:p>
    <w:p>
      <w:pPr>
        <w:spacing w:after="0" w:line="480" w:lineRule="auto"/>
        <w:jc w:val="both"/>
        <w:sectPr>
          <w:pgSz w:w="11910" w:h="16840"/>
          <w:pgMar w:header="721" w:footer="1014" w:top="1300" w:bottom="1200" w:left="940" w:right="1000"/>
        </w:sectPr>
      </w:pPr>
    </w:p>
    <w:p>
      <w:pPr>
        <w:pStyle w:val="ListParagraph"/>
        <w:numPr>
          <w:ilvl w:val="0"/>
          <w:numId w:val="115"/>
        </w:numPr>
        <w:tabs>
          <w:tab w:pos="1221" w:val="left" w:leader="none"/>
        </w:tabs>
        <w:spacing w:line="472" w:lineRule="auto" w:before="121" w:after="0"/>
        <w:ind w:left="1220" w:right="436" w:hanging="720"/>
        <w:jc w:val="both"/>
        <w:rPr>
          <w:sz w:val="25"/>
        </w:rPr>
      </w:pPr>
      <w:r>
        <w:rPr>
          <w:b/>
          <w:sz w:val="25"/>
        </w:rPr>
        <w:t>Justice S U Khan </w:t>
      </w:r>
      <w:r>
        <w:rPr>
          <w:sz w:val="25"/>
        </w:rPr>
        <w:t>– Until 1934, Muslims were offering regular prayers in the mosque. Thereafter, until 22 December 1949, only Friday prayers were offered.</w:t>
      </w:r>
    </w:p>
    <w:p>
      <w:pPr>
        <w:pStyle w:val="ListParagraph"/>
        <w:numPr>
          <w:ilvl w:val="0"/>
          <w:numId w:val="115"/>
        </w:numPr>
        <w:tabs>
          <w:tab w:pos="1221" w:val="left" w:leader="none"/>
        </w:tabs>
        <w:spacing w:line="465" w:lineRule="auto" w:before="7" w:after="0"/>
        <w:ind w:left="1220" w:right="443" w:hanging="720"/>
        <w:jc w:val="both"/>
        <w:rPr>
          <w:sz w:val="25"/>
        </w:rPr>
      </w:pPr>
      <w:r>
        <w:rPr>
          <w:b/>
          <w:sz w:val="25"/>
        </w:rPr>
        <w:t>Justice Sudhir Agarwal </w:t>
      </w:r>
      <w:r>
        <w:rPr>
          <w:sz w:val="25"/>
        </w:rPr>
        <w:t>– At least from 1860, namaz was offered in the inner courtyard. The last namaz was on 16 December</w:t>
      </w:r>
      <w:r>
        <w:rPr>
          <w:spacing w:val="-8"/>
          <w:sz w:val="25"/>
        </w:rPr>
        <w:t> </w:t>
      </w:r>
      <w:r>
        <w:rPr>
          <w:sz w:val="25"/>
        </w:rPr>
        <w:t>1949.</w:t>
      </w:r>
    </w:p>
    <w:p>
      <w:pPr>
        <w:pStyle w:val="ListParagraph"/>
        <w:numPr>
          <w:ilvl w:val="0"/>
          <w:numId w:val="115"/>
        </w:numPr>
        <w:tabs>
          <w:tab w:pos="1221" w:val="left" w:leader="none"/>
        </w:tabs>
        <w:spacing w:line="472" w:lineRule="auto" w:before="14" w:after="0"/>
        <w:ind w:left="1220" w:right="436" w:hanging="720"/>
        <w:jc w:val="both"/>
        <w:rPr>
          <w:sz w:val="25"/>
        </w:rPr>
      </w:pPr>
      <w:r>
        <w:rPr>
          <w:b/>
          <w:sz w:val="25"/>
        </w:rPr>
        <w:t>Justice DV Sharma </w:t>
      </w:r>
      <w:r>
        <w:rPr>
          <w:sz w:val="25"/>
        </w:rPr>
        <w:t>– Connected with Issue Nos. 1-B(c), 2,4,12,13,14,15,19(a),19(b),19(c),27 and 28 of Suit 4 which were decided against the Sunni Central Waqf</w:t>
      </w:r>
      <w:r>
        <w:rPr>
          <w:spacing w:val="-8"/>
          <w:sz w:val="25"/>
        </w:rPr>
        <w:t> </w:t>
      </w:r>
      <w:r>
        <w:rPr>
          <w:sz w:val="25"/>
        </w:rPr>
        <w:t>Board.</w:t>
      </w:r>
    </w:p>
    <w:p>
      <w:pPr>
        <w:pStyle w:val="Heading5"/>
        <w:numPr>
          <w:ilvl w:val="0"/>
          <w:numId w:val="114"/>
        </w:numPr>
        <w:tabs>
          <w:tab w:pos="1221" w:val="left" w:leader="none"/>
        </w:tabs>
        <w:spacing w:line="480" w:lineRule="auto" w:before="206" w:after="0"/>
        <w:ind w:left="1220" w:right="436" w:hanging="720"/>
        <w:jc w:val="both"/>
      </w:pPr>
      <w:r>
        <w:rPr/>
        <w:t>Whether the title of plaintiffs 1 and 2, if any, </w:t>
      </w:r>
      <w:r>
        <w:rPr>
          <w:spacing w:val="2"/>
        </w:rPr>
        <w:t>was </w:t>
      </w:r>
      <w:r>
        <w:rPr/>
        <w:t>extinguished as alleged in paragraph 25 of the written statement of defendant 4.  If yes, have plaintiffs 1 and 2 reacquired title by adverse possession as alleged in paragraph 29 of the</w:t>
      </w:r>
      <w:r>
        <w:rPr>
          <w:spacing w:val="-3"/>
        </w:rPr>
        <w:t> </w:t>
      </w:r>
      <w:r>
        <w:rPr/>
        <w:t>plaint.</w:t>
      </w:r>
    </w:p>
    <w:p>
      <w:pPr>
        <w:pStyle w:val="ListParagraph"/>
        <w:numPr>
          <w:ilvl w:val="0"/>
          <w:numId w:val="115"/>
        </w:numPr>
        <w:tabs>
          <w:tab w:pos="1221" w:val="left" w:leader="none"/>
        </w:tabs>
        <w:spacing w:line="465" w:lineRule="auto" w:before="0" w:after="0"/>
        <w:ind w:left="1220" w:right="441" w:hanging="720"/>
        <w:jc w:val="both"/>
        <w:rPr>
          <w:sz w:val="25"/>
        </w:rPr>
      </w:pPr>
      <w:r>
        <w:rPr>
          <w:b/>
          <w:sz w:val="25"/>
        </w:rPr>
        <w:t>Justice S U Khan </w:t>
      </w:r>
      <w:r>
        <w:rPr>
          <w:sz w:val="25"/>
        </w:rPr>
        <w:t>– Both parties were in joint possession before 1855 and hence, there was no need to decide the issue of adverse</w:t>
      </w:r>
      <w:r>
        <w:rPr>
          <w:spacing w:val="-14"/>
          <w:sz w:val="25"/>
        </w:rPr>
        <w:t> </w:t>
      </w:r>
      <w:r>
        <w:rPr>
          <w:sz w:val="25"/>
        </w:rPr>
        <w:t>possession.</w:t>
      </w:r>
    </w:p>
    <w:p>
      <w:pPr>
        <w:pStyle w:val="ListParagraph"/>
        <w:numPr>
          <w:ilvl w:val="0"/>
          <w:numId w:val="115"/>
        </w:numPr>
        <w:tabs>
          <w:tab w:pos="1221" w:val="left" w:leader="none"/>
        </w:tabs>
        <w:spacing w:line="465" w:lineRule="auto" w:before="15" w:after="0"/>
        <w:ind w:left="1220" w:right="441" w:hanging="720"/>
        <w:jc w:val="both"/>
        <w:rPr>
          <w:sz w:val="25"/>
        </w:rPr>
      </w:pPr>
      <w:r>
        <w:rPr>
          <w:b/>
          <w:sz w:val="25"/>
        </w:rPr>
        <w:t>Justice Sudhir Agarwal </w:t>
      </w:r>
      <w:r>
        <w:rPr>
          <w:sz w:val="25"/>
        </w:rPr>
        <w:t>– The title of the first and second plaintiffs has never been</w:t>
      </w:r>
      <w:r>
        <w:rPr>
          <w:spacing w:val="-1"/>
          <w:sz w:val="25"/>
        </w:rPr>
        <w:t> </w:t>
      </w:r>
      <w:r>
        <w:rPr>
          <w:sz w:val="25"/>
        </w:rPr>
        <w:t>extinguished.</w:t>
      </w:r>
    </w:p>
    <w:p>
      <w:pPr>
        <w:pStyle w:val="ListParagraph"/>
        <w:numPr>
          <w:ilvl w:val="0"/>
          <w:numId w:val="115"/>
        </w:numPr>
        <w:tabs>
          <w:tab w:pos="1221" w:val="left" w:leader="none"/>
        </w:tabs>
        <w:spacing w:line="472" w:lineRule="auto" w:before="14" w:after="0"/>
        <w:ind w:left="1220" w:right="436" w:hanging="720"/>
        <w:jc w:val="both"/>
        <w:rPr>
          <w:sz w:val="25"/>
        </w:rPr>
      </w:pPr>
      <w:r>
        <w:rPr>
          <w:b/>
          <w:sz w:val="25"/>
        </w:rPr>
        <w:t>Justice DV Sharma </w:t>
      </w:r>
      <w:r>
        <w:rPr>
          <w:sz w:val="25"/>
        </w:rPr>
        <w:t>- Connected with Issue Nos. 1B-(c), 2,4,12,13,14,15,19(a),19(b),19(c),27 and 28 of Suit 4 which were decided against the Sunni Central Waqf</w:t>
      </w:r>
      <w:r>
        <w:rPr>
          <w:spacing w:val="-8"/>
          <w:sz w:val="25"/>
        </w:rPr>
        <w:t> </w:t>
      </w:r>
      <w:r>
        <w:rPr>
          <w:sz w:val="25"/>
        </w:rPr>
        <w:t>Board.</w:t>
      </w:r>
    </w:p>
    <w:p>
      <w:pPr>
        <w:pStyle w:val="BodyText"/>
        <w:spacing w:before="7"/>
      </w:pPr>
    </w:p>
    <w:p>
      <w:pPr>
        <w:pStyle w:val="Heading5"/>
        <w:numPr>
          <w:ilvl w:val="0"/>
          <w:numId w:val="114"/>
        </w:numPr>
        <w:tabs>
          <w:tab w:pos="1221" w:val="left" w:leader="none"/>
        </w:tabs>
        <w:spacing w:line="240" w:lineRule="auto" w:before="1" w:after="0"/>
        <w:ind w:left="1220" w:right="0" w:hanging="721"/>
        <w:jc w:val="both"/>
      </w:pPr>
      <w:r>
        <w:rPr/>
        <w:t>Deleted vide order dated 23 February</w:t>
      </w:r>
      <w:r>
        <w:rPr>
          <w:spacing w:val="-6"/>
        </w:rPr>
        <w:t> </w:t>
      </w:r>
      <w:r>
        <w:rPr/>
        <w:t>1996.</w:t>
      </w:r>
    </w:p>
    <w:p>
      <w:pPr>
        <w:pStyle w:val="BodyText"/>
        <w:spacing w:before="10"/>
        <w:rPr>
          <w:b/>
          <w:sz w:val="24"/>
        </w:rPr>
      </w:pPr>
    </w:p>
    <w:p>
      <w:pPr>
        <w:pStyle w:val="ListParagraph"/>
        <w:numPr>
          <w:ilvl w:val="0"/>
          <w:numId w:val="114"/>
        </w:numPr>
        <w:tabs>
          <w:tab w:pos="1221" w:val="left" w:leader="none"/>
        </w:tabs>
        <w:spacing w:line="480" w:lineRule="auto" w:before="0" w:after="0"/>
        <w:ind w:left="1220" w:right="445" w:hanging="720"/>
        <w:jc w:val="both"/>
        <w:rPr>
          <w:b/>
          <w:sz w:val="25"/>
        </w:rPr>
      </w:pPr>
      <w:r>
        <w:rPr>
          <w:b/>
          <w:sz w:val="25"/>
        </w:rPr>
        <w:t>Whether the suit is barred by Section 34 of the Specific Relief </w:t>
      </w:r>
      <w:r>
        <w:rPr>
          <w:b/>
          <w:spacing w:val="-3"/>
          <w:sz w:val="25"/>
        </w:rPr>
        <w:t>Act </w:t>
      </w:r>
      <w:r>
        <w:rPr>
          <w:b/>
          <w:sz w:val="25"/>
        </w:rPr>
        <w:t>as alleged in paragraph 42 of the additional written statement of defendant</w:t>
      </w:r>
      <w:r>
        <w:rPr>
          <w:b/>
          <w:spacing w:val="15"/>
          <w:sz w:val="25"/>
        </w:rPr>
        <w:t> </w:t>
      </w:r>
      <w:r>
        <w:rPr>
          <w:b/>
          <w:sz w:val="25"/>
        </w:rPr>
        <w:t>3</w:t>
      </w:r>
      <w:r>
        <w:rPr>
          <w:b/>
          <w:spacing w:val="17"/>
          <w:sz w:val="25"/>
        </w:rPr>
        <w:t> </w:t>
      </w:r>
      <w:r>
        <w:rPr>
          <w:b/>
          <w:sz w:val="25"/>
        </w:rPr>
        <w:t>and</w:t>
      </w:r>
      <w:r>
        <w:rPr>
          <w:b/>
          <w:spacing w:val="19"/>
          <w:sz w:val="25"/>
        </w:rPr>
        <w:t> </w:t>
      </w:r>
      <w:r>
        <w:rPr>
          <w:b/>
          <w:sz w:val="25"/>
        </w:rPr>
        <w:t>also</w:t>
      </w:r>
      <w:r>
        <w:rPr>
          <w:b/>
          <w:spacing w:val="18"/>
          <w:sz w:val="25"/>
        </w:rPr>
        <w:t> </w:t>
      </w:r>
      <w:r>
        <w:rPr>
          <w:b/>
          <w:sz w:val="25"/>
        </w:rPr>
        <w:t>as</w:t>
      </w:r>
      <w:r>
        <w:rPr>
          <w:b/>
          <w:spacing w:val="17"/>
          <w:sz w:val="25"/>
        </w:rPr>
        <w:t> </w:t>
      </w:r>
      <w:r>
        <w:rPr>
          <w:b/>
          <w:sz w:val="25"/>
        </w:rPr>
        <w:t>alleged</w:t>
      </w:r>
      <w:r>
        <w:rPr>
          <w:b/>
          <w:spacing w:val="17"/>
          <w:sz w:val="25"/>
        </w:rPr>
        <w:t> </w:t>
      </w:r>
      <w:r>
        <w:rPr>
          <w:b/>
          <w:sz w:val="25"/>
        </w:rPr>
        <w:t>in</w:t>
      </w:r>
      <w:r>
        <w:rPr>
          <w:b/>
          <w:spacing w:val="15"/>
          <w:sz w:val="25"/>
        </w:rPr>
        <w:t> </w:t>
      </w:r>
      <w:r>
        <w:rPr>
          <w:b/>
          <w:sz w:val="25"/>
        </w:rPr>
        <w:t>paragraph</w:t>
      </w:r>
      <w:r>
        <w:rPr>
          <w:b/>
          <w:spacing w:val="18"/>
          <w:sz w:val="25"/>
        </w:rPr>
        <w:t> </w:t>
      </w:r>
      <w:r>
        <w:rPr>
          <w:b/>
          <w:sz w:val="25"/>
        </w:rPr>
        <w:t>47</w:t>
      </w:r>
      <w:r>
        <w:rPr>
          <w:b/>
          <w:spacing w:val="16"/>
          <w:sz w:val="25"/>
        </w:rPr>
        <w:t> </w:t>
      </w:r>
      <w:r>
        <w:rPr>
          <w:b/>
          <w:sz w:val="25"/>
        </w:rPr>
        <w:t>of</w:t>
      </w:r>
      <w:r>
        <w:rPr>
          <w:b/>
          <w:spacing w:val="18"/>
          <w:sz w:val="25"/>
        </w:rPr>
        <w:t> </w:t>
      </w:r>
      <w:r>
        <w:rPr>
          <w:b/>
          <w:sz w:val="25"/>
        </w:rPr>
        <w:t>the</w:t>
      </w:r>
      <w:r>
        <w:rPr>
          <w:b/>
          <w:spacing w:val="15"/>
          <w:sz w:val="25"/>
        </w:rPr>
        <w:t> </w:t>
      </w:r>
      <w:r>
        <w:rPr>
          <w:b/>
          <w:sz w:val="25"/>
        </w:rPr>
        <w:t>written</w:t>
      </w:r>
    </w:p>
    <w:p>
      <w:pPr>
        <w:spacing w:after="0" w:line="480" w:lineRule="auto"/>
        <w:jc w:val="both"/>
        <w:rPr>
          <w:sz w:val="25"/>
        </w:rPr>
        <w:sectPr>
          <w:pgSz w:w="11910" w:h="16840"/>
          <w:pgMar w:header="721" w:footer="1014" w:top="1300" w:bottom="1200" w:left="940" w:right="1000"/>
        </w:sectPr>
      </w:pPr>
    </w:p>
    <w:p>
      <w:pPr>
        <w:spacing w:line="480" w:lineRule="auto" w:before="121"/>
        <w:ind w:left="1220" w:right="512" w:firstLine="0"/>
        <w:jc w:val="left"/>
        <w:rPr>
          <w:b/>
          <w:sz w:val="25"/>
        </w:rPr>
      </w:pPr>
      <w:r>
        <w:rPr>
          <w:b/>
          <w:sz w:val="25"/>
        </w:rPr>
        <w:t>statement of defendant 4 and paragraph 62 of the written statement of defendant</w:t>
      </w:r>
      <w:r>
        <w:rPr>
          <w:b/>
          <w:spacing w:val="-1"/>
          <w:sz w:val="25"/>
        </w:rPr>
        <w:t> </w:t>
      </w:r>
      <w:r>
        <w:rPr>
          <w:b/>
          <w:sz w:val="25"/>
        </w:rPr>
        <w:t>5.</w:t>
      </w:r>
    </w:p>
    <w:p>
      <w:pPr>
        <w:pStyle w:val="ListParagraph"/>
        <w:numPr>
          <w:ilvl w:val="0"/>
          <w:numId w:val="115"/>
        </w:numPr>
        <w:tabs>
          <w:tab w:pos="1220" w:val="left" w:leader="none"/>
          <w:tab w:pos="1221" w:val="left" w:leader="none"/>
        </w:tabs>
        <w:spacing w:line="306" w:lineRule="exact" w:before="0" w:after="0"/>
        <w:ind w:left="1220" w:right="0" w:hanging="721"/>
        <w:jc w:val="left"/>
        <w:rPr>
          <w:sz w:val="25"/>
        </w:rPr>
      </w:pPr>
      <w:r>
        <w:rPr>
          <w:b/>
          <w:sz w:val="25"/>
        </w:rPr>
        <w:t>Justice S U Khan </w:t>
      </w:r>
      <w:r>
        <w:rPr>
          <w:sz w:val="25"/>
        </w:rPr>
        <w:t>– Adopted the findings of Justice Sudhir</w:t>
      </w:r>
      <w:r>
        <w:rPr>
          <w:spacing w:val="-7"/>
          <w:sz w:val="25"/>
        </w:rPr>
        <w:t> </w:t>
      </w:r>
      <w:r>
        <w:rPr>
          <w:sz w:val="25"/>
        </w:rPr>
        <w:t>Agarwal.</w:t>
      </w:r>
    </w:p>
    <w:p>
      <w:pPr>
        <w:pStyle w:val="BodyText"/>
        <w:spacing w:before="11"/>
        <w:rPr>
          <w:sz w:val="24"/>
        </w:rPr>
      </w:pPr>
    </w:p>
    <w:p>
      <w:pPr>
        <w:pStyle w:val="ListParagraph"/>
        <w:numPr>
          <w:ilvl w:val="0"/>
          <w:numId w:val="115"/>
        </w:numPr>
        <w:tabs>
          <w:tab w:pos="1220" w:val="left" w:leader="none"/>
          <w:tab w:pos="1221" w:val="left" w:leader="none"/>
        </w:tabs>
        <w:spacing w:line="465" w:lineRule="auto" w:before="0" w:after="0"/>
        <w:ind w:left="1220" w:right="444" w:hanging="720"/>
        <w:jc w:val="left"/>
        <w:rPr>
          <w:sz w:val="25"/>
        </w:rPr>
      </w:pPr>
      <w:r>
        <w:rPr>
          <w:b/>
          <w:sz w:val="25"/>
        </w:rPr>
        <w:t>Justice Sudhir Agarwal </w:t>
      </w:r>
      <w:r>
        <w:rPr>
          <w:sz w:val="25"/>
        </w:rPr>
        <w:t>– Answered in the negative against the third, fourth and fifth</w:t>
      </w:r>
      <w:r>
        <w:rPr>
          <w:spacing w:val="-2"/>
          <w:sz w:val="25"/>
        </w:rPr>
        <w:t> </w:t>
      </w:r>
      <w:r>
        <w:rPr>
          <w:sz w:val="25"/>
        </w:rPr>
        <w:t>defendants.</w:t>
      </w:r>
    </w:p>
    <w:p>
      <w:pPr>
        <w:pStyle w:val="ListParagraph"/>
        <w:numPr>
          <w:ilvl w:val="0"/>
          <w:numId w:val="115"/>
        </w:numPr>
        <w:tabs>
          <w:tab w:pos="1220" w:val="left" w:leader="none"/>
          <w:tab w:pos="1221" w:val="left" w:leader="none"/>
        </w:tabs>
        <w:spacing w:line="240" w:lineRule="auto" w:before="14" w:after="0"/>
        <w:ind w:left="1220" w:right="0" w:hanging="721"/>
        <w:jc w:val="left"/>
        <w:rPr>
          <w:sz w:val="25"/>
        </w:rPr>
      </w:pPr>
      <w:r>
        <w:rPr>
          <w:b/>
          <w:sz w:val="25"/>
        </w:rPr>
        <w:t>Justice D V Sharma </w:t>
      </w:r>
      <w:r>
        <w:rPr>
          <w:sz w:val="25"/>
        </w:rPr>
        <w:t>– In favour of the plaintiffs, against the</w:t>
      </w:r>
      <w:r>
        <w:rPr>
          <w:spacing w:val="-11"/>
          <w:sz w:val="25"/>
        </w:rPr>
        <w:t> </w:t>
      </w:r>
      <w:r>
        <w:rPr>
          <w:sz w:val="25"/>
        </w:rPr>
        <w:t>defendants.</w:t>
      </w:r>
    </w:p>
    <w:p>
      <w:pPr>
        <w:pStyle w:val="BodyText"/>
        <w:rPr>
          <w:sz w:val="30"/>
        </w:rPr>
      </w:pPr>
    </w:p>
    <w:p>
      <w:pPr>
        <w:pStyle w:val="Heading5"/>
        <w:numPr>
          <w:ilvl w:val="0"/>
          <w:numId w:val="114"/>
        </w:numPr>
        <w:tabs>
          <w:tab w:pos="863" w:val="left" w:leader="none"/>
        </w:tabs>
        <w:spacing w:line="480" w:lineRule="auto" w:before="228" w:after="0"/>
        <w:ind w:left="1220" w:right="440" w:hanging="720"/>
        <w:jc w:val="left"/>
      </w:pPr>
      <w:r>
        <w:rPr/>
        <w:t>Whether the suit is bad for non-joinder of necessary parties, as pleaded in paragraph 43 of the additional written statement of defendant</w:t>
      </w:r>
      <w:r>
        <w:rPr>
          <w:spacing w:val="-17"/>
        </w:rPr>
        <w:t> </w:t>
      </w:r>
      <w:r>
        <w:rPr>
          <w:spacing w:val="4"/>
        </w:rPr>
        <w:t>3.</w:t>
      </w:r>
    </w:p>
    <w:p>
      <w:pPr>
        <w:pStyle w:val="ListParagraph"/>
        <w:numPr>
          <w:ilvl w:val="0"/>
          <w:numId w:val="115"/>
        </w:numPr>
        <w:tabs>
          <w:tab w:pos="1220" w:val="left" w:leader="none"/>
          <w:tab w:pos="1221" w:val="left" w:leader="none"/>
        </w:tabs>
        <w:spacing w:line="306" w:lineRule="exact" w:before="0" w:after="0"/>
        <w:ind w:left="1220" w:right="0" w:hanging="721"/>
        <w:jc w:val="left"/>
        <w:rPr>
          <w:sz w:val="25"/>
        </w:rPr>
      </w:pPr>
      <w:r>
        <w:rPr>
          <w:b/>
          <w:sz w:val="25"/>
        </w:rPr>
        <w:t>Justice S U Khan </w:t>
      </w:r>
      <w:r>
        <w:rPr>
          <w:sz w:val="25"/>
        </w:rPr>
        <w:t>– Adopted the findings of Justice Sudhir</w:t>
      </w:r>
      <w:r>
        <w:rPr>
          <w:spacing w:val="-7"/>
          <w:sz w:val="25"/>
        </w:rPr>
        <w:t> </w:t>
      </w:r>
      <w:r>
        <w:rPr>
          <w:sz w:val="25"/>
        </w:rPr>
        <w:t>Agarwal.</w:t>
      </w:r>
    </w:p>
    <w:p>
      <w:pPr>
        <w:pStyle w:val="BodyText"/>
        <w:spacing w:before="10"/>
        <w:rPr>
          <w:sz w:val="24"/>
        </w:rPr>
      </w:pPr>
    </w:p>
    <w:p>
      <w:pPr>
        <w:pStyle w:val="ListParagraph"/>
        <w:numPr>
          <w:ilvl w:val="0"/>
          <w:numId w:val="115"/>
        </w:numPr>
        <w:tabs>
          <w:tab w:pos="1220" w:val="left" w:leader="none"/>
          <w:tab w:pos="1221" w:val="left" w:leader="none"/>
        </w:tabs>
        <w:spacing w:line="240" w:lineRule="auto" w:before="1" w:after="0"/>
        <w:ind w:left="1220" w:right="0" w:hanging="721"/>
        <w:jc w:val="left"/>
        <w:rPr>
          <w:sz w:val="25"/>
        </w:rPr>
      </w:pPr>
      <w:r>
        <w:rPr>
          <w:b/>
          <w:sz w:val="25"/>
        </w:rPr>
        <w:t>Justice Sudhir Agarwal </w:t>
      </w:r>
      <w:r>
        <w:rPr>
          <w:sz w:val="25"/>
        </w:rPr>
        <w:t>– Answered in the</w:t>
      </w:r>
      <w:r>
        <w:rPr>
          <w:spacing w:val="-14"/>
          <w:sz w:val="25"/>
        </w:rPr>
        <w:t> </w:t>
      </w:r>
      <w:r>
        <w:rPr>
          <w:sz w:val="25"/>
        </w:rPr>
        <w:t>negative.</w:t>
      </w:r>
    </w:p>
    <w:p>
      <w:pPr>
        <w:pStyle w:val="BodyText"/>
        <w:spacing w:before="10"/>
        <w:rPr>
          <w:sz w:val="24"/>
        </w:rPr>
      </w:pPr>
    </w:p>
    <w:p>
      <w:pPr>
        <w:pStyle w:val="ListParagraph"/>
        <w:numPr>
          <w:ilvl w:val="0"/>
          <w:numId w:val="115"/>
        </w:numPr>
        <w:tabs>
          <w:tab w:pos="1220" w:val="left" w:leader="none"/>
          <w:tab w:pos="1221" w:val="left" w:leader="none"/>
        </w:tabs>
        <w:spacing w:line="240" w:lineRule="auto" w:before="0" w:after="0"/>
        <w:ind w:left="1220" w:right="0" w:hanging="721"/>
        <w:jc w:val="left"/>
        <w:rPr>
          <w:sz w:val="25"/>
        </w:rPr>
      </w:pPr>
      <w:r>
        <w:rPr>
          <w:b/>
          <w:sz w:val="25"/>
        </w:rPr>
        <w:t>Justice D V Sharma </w:t>
      </w:r>
      <w:r>
        <w:rPr>
          <w:sz w:val="25"/>
        </w:rPr>
        <w:t>– The suit held to</w:t>
      </w:r>
      <w:r>
        <w:rPr>
          <w:spacing w:val="-11"/>
          <w:sz w:val="25"/>
        </w:rPr>
        <w:t> </w:t>
      </w:r>
      <w:r>
        <w:rPr>
          <w:sz w:val="25"/>
        </w:rPr>
        <w:t>maintainable.</w:t>
      </w:r>
    </w:p>
    <w:p>
      <w:pPr>
        <w:pStyle w:val="BodyText"/>
        <w:rPr>
          <w:sz w:val="30"/>
        </w:rPr>
      </w:pPr>
    </w:p>
    <w:p>
      <w:pPr>
        <w:pStyle w:val="BodyText"/>
        <w:spacing w:before="1"/>
        <w:rPr>
          <w:sz w:val="37"/>
        </w:rPr>
      </w:pPr>
    </w:p>
    <w:p>
      <w:pPr>
        <w:pStyle w:val="Heading5"/>
        <w:numPr>
          <w:ilvl w:val="0"/>
          <w:numId w:val="114"/>
        </w:numPr>
        <w:tabs>
          <w:tab w:pos="1221" w:val="left" w:leader="none"/>
        </w:tabs>
        <w:spacing w:line="480" w:lineRule="auto" w:before="0" w:after="0"/>
        <w:ind w:left="1220" w:right="445" w:hanging="720"/>
        <w:jc w:val="both"/>
      </w:pPr>
      <w:r>
        <w:rPr/>
        <w:t>Whether the alleged Trust creating the Nyas, defendant 21, is void on the facts and grounds stated in paragraph 47 of the written statement of defendant</w:t>
      </w:r>
      <w:r>
        <w:rPr>
          <w:spacing w:val="-1"/>
        </w:rPr>
        <w:t> </w:t>
      </w:r>
      <w:r>
        <w:rPr/>
        <w:t>3.</w:t>
      </w:r>
    </w:p>
    <w:p>
      <w:pPr>
        <w:pStyle w:val="ListParagraph"/>
        <w:numPr>
          <w:ilvl w:val="0"/>
          <w:numId w:val="115"/>
        </w:numPr>
        <w:tabs>
          <w:tab w:pos="1221" w:val="left" w:leader="none"/>
        </w:tabs>
        <w:spacing w:line="240" w:lineRule="auto" w:before="1" w:after="0"/>
        <w:ind w:left="1220" w:right="0" w:hanging="721"/>
        <w:jc w:val="both"/>
        <w:rPr>
          <w:sz w:val="25"/>
        </w:rPr>
      </w:pPr>
      <w:r>
        <w:rPr>
          <w:b/>
          <w:sz w:val="25"/>
        </w:rPr>
        <w:t>Justice S U Khan </w:t>
      </w:r>
      <w:r>
        <w:rPr>
          <w:sz w:val="25"/>
        </w:rPr>
        <w:t>– Not</w:t>
      </w:r>
      <w:r>
        <w:rPr>
          <w:spacing w:val="-3"/>
          <w:sz w:val="25"/>
        </w:rPr>
        <w:t> </w:t>
      </w:r>
      <w:r>
        <w:rPr>
          <w:sz w:val="25"/>
        </w:rPr>
        <w:t>answered.</w:t>
      </w:r>
    </w:p>
    <w:p>
      <w:pPr>
        <w:pStyle w:val="BodyText"/>
        <w:spacing w:before="8"/>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Sudhir Agarwal </w:t>
      </w:r>
      <w:r>
        <w:rPr>
          <w:sz w:val="25"/>
        </w:rPr>
        <w:t>– Not</w:t>
      </w:r>
      <w:r>
        <w:rPr>
          <w:spacing w:val="4"/>
          <w:sz w:val="25"/>
        </w:rPr>
        <w:t> </w:t>
      </w:r>
      <w:r>
        <w:rPr>
          <w:sz w:val="25"/>
        </w:rPr>
        <w:t>answered.</w:t>
      </w:r>
    </w:p>
    <w:p>
      <w:pPr>
        <w:pStyle w:val="BodyText"/>
      </w:pPr>
    </w:p>
    <w:p>
      <w:pPr>
        <w:pStyle w:val="ListParagraph"/>
        <w:numPr>
          <w:ilvl w:val="0"/>
          <w:numId w:val="115"/>
        </w:numPr>
        <w:tabs>
          <w:tab w:pos="1220" w:val="left" w:leader="none"/>
          <w:tab w:pos="1221" w:val="left" w:leader="none"/>
        </w:tabs>
        <w:spacing w:line="240" w:lineRule="auto" w:before="0" w:after="0"/>
        <w:ind w:left="1220" w:right="0" w:hanging="721"/>
        <w:jc w:val="left"/>
        <w:rPr>
          <w:sz w:val="25"/>
        </w:rPr>
      </w:pPr>
      <w:r>
        <w:rPr>
          <w:b/>
          <w:sz w:val="25"/>
        </w:rPr>
        <w:t>Justice D V Sharma </w:t>
      </w:r>
      <w:r>
        <w:rPr>
          <w:sz w:val="25"/>
        </w:rPr>
        <w:t>– Answered in favour of the</w:t>
      </w:r>
      <w:r>
        <w:rPr>
          <w:spacing w:val="-1"/>
          <w:sz w:val="25"/>
        </w:rPr>
        <w:t> </w:t>
      </w:r>
      <w:r>
        <w:rPr>
          <w:sz w:val="25"/>
        </w:rPr>
        <w:t>plaintiffs.</w:t>
      </w:r>
    </w:p>
    <w:p>
      <w:pPr>
        <w:pStyle w:val="BodyText"/>
        <w:rPr>
          <w:sz w:val="30"/>
        </w:rPr>
      </w:pPr>
    </w:p>
    <w:p>
      <w:pPr>
        <w:pStyle w:val="BodyText"/>
        <w:spacing w:before="9"/>
        <w:rPr>
          <w:sz w:val="44"/>
        </w:rPr>
      </w:pPr>
    </w:p>
    <w:p>
      <w:pPr>
        <w:pStyle w:val="Heading5"/>
        <w:numPr>
          <w:ilvl w:val="0"/>
          <w:numId w:val="114"/>
        </w:numPr>
        <w:tabs>
          <w:tab w:pos="1221" w:val="left" w:leader="none"/>
        </w:tabs>
        <w:spacing w:line="480" w:lineRule="auto" w:before="0" w:after="0"/>
        <w:ind w:left="1220" w:right="445" w:hanging="720"/>
        <w:jc w:val="both"/>
      </w:pPr>
      <w:r>
        <w:rPr/>
        <w:t>Whether the idols in question cannot be treated as deities as alleged in paragraphs 1,11,12,21,22,27 and 41 of the written statement of defendant 4 and in paragraph 1 of the written statement of defendant 5.</w:t>
      </w:r>
    </w:p>
    <w:p>
      <w:pPr>
        <w:pStyle w:val="ListParagraph"/>
        <w:numPr>
          <w:ilvl w:val="0"/>
          <w:numId w:val="115"/>
        </w:numPr>
        <w:tabs>
          <w:tab w:pos="1221" w:val="left" w:leader="none"/>
        </w:tabs>
        <w:spacing w:line="306" w:lineRule="exact" w:before="0" w:after="0"/>
        <w:ind w:left="1220" w:right="0" w:hanging="721"/>
        <w:jc w:val="both"/>
        <w:rPr>
          <w:sz w:val="25"/>
        </w:rPr>
      </w:pPr>
      <w:r>
        <w:rPr>
          <w:b/>
          <w:sz w:val="25"/>
        </w:rPr>
        <w:t>Justice S U Khan </w:t>
      </w:r>
      <w:r>
        <w:rPr>
          <w:sz w:val="25"/>
        </w:rPr>
        <w:t>- Adopted the findings of Justice Sudhir</w:t>
      </w:r>
      <w:r>
        <w:rPr>
          <w:spacing w:val="-9"/>
          <w:sz w:val="25"/>
        </w:rPr>
        <w:t> </w:t>
      </w:r>
      <w:r>
        <w:rPr>
          <w:sz w:val="25"/>
        </w:rPr>
        <w:t>Agarwal.</w:t>
      </w:r>
    </w:p>
    <w:p>
      <w:pPr>
        <w:spacing w:after="0" w:line="306" w:lineRule="exact"/>
        <w:jc w:val="both"/>
        <w:rPr>
          <w:sz w:val="25"/>
        </w:rPr>
        <w:sectPr>
          <w:pgSz w:w="11910" w:h="16840"/>
          <w:pgMar w:header="721" w:footer="1014" w:top="1300" w:bottom="1200" w:left="940" w:right="1000"/>
        </w:sectPr>
      </w:pPr>
    </w:p>
    <w:p>
      <w:pPr>
        <w:pStyle w:val="ListParagraph"/>
        <w:numPr>
          <w:ilvl w:val="0"/>
          <w:numId w:val="115"/>
        </w:numPr>
        <w:tabs>
          <w:tab w:pos="1221" w:val="left" w:leader="none"/>
        </w:tabs>
        <w:spacing w:line="465" w:lineRule="auto" w:before="121" w:after="0"/>
        <w:ind w:left="1220" w:right="437" w:hanging="720"/>
        <w:jc w:val="both"/>
        <w:rPr>
          <w:sz w:val="25"/>
        </w:rPr>
      </w:pPr>
      <w:r>
        <w:rPr>
          <w:b/>
          <w:sz w:val="25"/>
        </w:rPr>
        <w:t>Justice Sudhir Agarwal </w:t>
      </w:r>
      <w:r>
        <w:rPr>
          <w:sz w:val="25"/>
        </w:rPr>
        <w:t>and </w:t>
      </w:r>
      <w:r>
        <w:rPr>
          <w:b/>
          <w:sz w:val="25"/>
        </w:rPr>
        <w:t>Justice D V Sharma </w:t>
      </w:r>
      <w:r>
        <w:rPr>
          <w:sz w:val="25"/>
        </w:rPr>
        <w:t>- Answered against the Sunni Central Waqf Board and fifth</w:t>
      </w:r>
      <w:r>
        <w:rPr>
          <w:spacing w:val="-8"/>
          <w:sz w:val="25"/>
        </w:rPr>
        <w:t> </w:t>
      </w:r>
      <w:r>
        <w:rPr>
          <w:sz w:val="25"/>
        </w:rPr>
        <w:t>defendant.</w:t>
      </w:r>
    </w:p>
    <w:p>
      <w:pPr>
        <w:pStyle w:val="BodyText"/>
        <w:spacing w:before="4"/>
        <w:rPr>
          <w:sz w:val="26"/>
        </w:rPr>
      </w:pPr>
    </w:p>
    <w:p>
      <w:pPr>
        <w:pStyle w:val="Heading5"/>
        <w:numPr>
          <w:ilvl w:val="0"/>
          <w:numId w:val="114"/>
        </w:numPr>
        <w:tabs>
          <w:tab w:pos="1221" w:val="left" w:leader="none"/>
        </w:tabs>
        <w:spacing w:line="480" w:lineRule="auto" w:before="0" w:after="0"/>
        <w:ind w:left="1220" w:right="440" w:hanging="720"/>
        <w:jc w:val="both"/>
      </w:pPr>
      <w:r>
        <w:rPr/>
        <w:t>Whether the premises in question or any part thereof is by tradition, belief and faith the birth-place of Lord Ram as alleged in paragraphs 19 and 20 of the plaint? If so, its</w:t>
      </w:r>
      <w:r>
        <w:rPr>
          <w:spacing w:val="-10"/>
        </w:rPr>
        <w:t> </w:t>
      </w:r>
      <w:r>
        <w:rPr/>
        <w:t>effect.</w:t>
      </w:r>
    </w:p>
    <w:p>
      <w:pPr>
        <w:pStyle w:val="ListParagraph"/>
        <w:numPr>
          <w:ilvl w:val="0"/>
          <w:numId w:val="115"/>
        </w:numPr>
        <w:tabs>
          <w:tab w:pos="1221" w:val="left" w:leader="none"/>
        </w:tabs>
        <w:spacing w:line="472" w:lineRule="auto" w:before="0" w:after="0"/>
        <w:ind w:left="1220" w:right="439" w:hanging="720"/>
        <w:jc w:val="both"/>
        <w:rPr>
          <w:sz w:val="25"/>
        </w:rPr>
      </w:pPr>
      <w:r>
        <w:rPr>
          <w:b/>
          <w:sz w:val="25"/>
        </w:rPr>
        <w:t>Justice S U Khan </w:t>
      </w:r>
      <w:r>
        <w:rPr>
          <w:sz w:val="25"/>
        </w:rPr>
        <w:t>– Neither was any temple demolished for constructing the mosque nor until the construction of the mosque were the premises treated or believed to be birth-place of Lord</w:t>
      </w:r>
      <w:r>
        <w:rPr>
          <w:spacing w:val="-5"/>
          <w:sz w:val="25"/>
        </w:rPr>
        <w:t> </w:t>
      </w:r>
      <w:r>
        <w:rPr>
          <w:sz w:val="25"/>
        </w:rPr>
        <w:t>Ram.</w:t>
      </w:r>
    </w:p>
    <w:p>
      <w:pPr>
        <w:pStyle w:val="ListParagraph"/>
        <w:numPr>
          <w:ilvl w:val="0"/>
          <w:numId w:val="115"/>
        </w:numPr>
        <w:tabs>
          <w:tab w:pos="1221" w:val="left" w:leader="none"/>
        </w:tabs>
        <w:spacing w:line="472" w:lineRule="auto" w:before="5" w:after="0"/>
        <w:ind w:left="1220" w:right="432" w:hanging="720"/>
        <w:jc w:val="both"/>
        <w:rPr>
          <w:sz w:val="25"/>
        </w:rPr>
      </w:pPr>
      <w:r>
        <w:rPr>
          <w:b/>
          <w:sz w:val="25"/>
        </w:rPr>
        <w:t>Justice Sudhir Agarwal </w:t>
      </w:r>
      <w:r>
        <w:rPr>
          <w:sz w:val="25"/>
        </w:rPr>
        <w:t>– The place of birth of Lord Ram as believed and worshipped by Hindus is covered under the central dome of the three- domed structure in the inner courtyard of the premises in</w:t>
      </w:r>
      <w:r>
        <w:rPr>
          <w:spacing w:val="-12"/>
          <w:sz w:val="25"/>
        </w:rPr>
        <w:t> </w:t>
      </w:r>
      <w:r>
        <w:rPr>
          <w:sz w:val="25"/>
        </w:rPr>
        <w:t>dispute.</w:t>
      </w:r>
    </w:p>
    <w:p>
      <w:pPr>
        <w:pStyle w:val="ListParagraph"/>
        <w:numPr>
          <w:ilvl w:val="0"/>
          <w:numId w:val="115"/>
        </w:numPr>
        <w:tabs>
          <w:tab w:pos="1221" w:val="left" w:leader="none"/>
        </w:tabs>
        <w:spacing w:line="472" w:lineRule="auto" w:before="7" w:after="0"/>
        <w:ind w:left="1220" w:right="433" w:hanging="720"/>
        <w:jc w:val="both"/>
        <w:rPr>
          <w:sz w:val="25"/>
        </w:rPr>
      </w:pPr>
      <w:r>
        <w:rPr>
          <w:b/>
          <w:sz w:val="25"/>
        </w:rPr>
        <w:t>Justice D V Sharma </w:t>
      </w:r>
      <w:r>
        <w:rPr>
          <w:sz w:val="25"/>
        </w:rPr>
        <w:t>– Connected with Issue Nos 1, 1(a), 1(b),1B-(b), 11,19(d),19(e) and 19(f) in Suit 4. Decided against the Sunni Central Waqf Board.</w:t>
      </w:r>
    </w:p>
    <w:p>
      <w:pPr>
        <w:pStyle w:val="Heading5"/>
        <w:numPr>
          <w:ilvl w:val="0"/>
          <w:numId w:val="114"/>
        </w:numPr>
        <w:tabs>
          <w:tab w:pos="1221" w:val="left" w:leader="none"/>
        </w:tabs>
        <w:spacing w:line="480" w:lineRule="auto" w:before="205" w:after="0"/>
        <w:ind w:left="1220" w:right="440" w:hanging="720"/>
        <w:jc w:val="both"/>
      </w:pPr>
      <w:r>
        <w:rPr/>
        <w:t>Whether the judgment in Suit of 1885 filed by Mahant Raghubar Das in the Court of Special Judge, Faizabad is binding upon the plaintiffs by application of the principles of estoppel and res judicata as alleged by the defendants 4 and</w:t>
      </w:r>
      <w:r>
        <w:rPr>
          <w:spacing w:val="-9"/>
        </w:rPr>
        <w:t> </w:t>
      </w:r>
      <w:r>
        <w:rPr>
          <w:spacing w:val="2"/>
        </w:rPr>
        <w:t>5.</w:t>
      </w:r>
    </w:p>
    <w:p>
      <w:pPr>
        <w:pStyle w:val="ListParagraph"/>
        <w:numPr>
          <w:ilvl w:val="0"/>
          <w:numId w:val="115"/>
        </w:numPr>
        <w:tabs>
          <w:tab w:pos="1221" w:val="left" w:leader="none"/>
        </w:tabs>
        <w:spacing w:line="465" w:lineRule="auto" w:before="0" w:after="0"/>
        <w:ind w:left="1220" w:right="442" w:hanging="720"/>
        <w:jc w:val="both"/>
        <w:rPr>
          <w:sz w:val="25"/>
        </w:rPr>
      </w:pPr>
      <w:r>
        <w:rPr>
          <w:b/>
          <w:sz w:val="25"/>
        </w:rPr>
        <w:t>Justice S U Khan </w:t>
      </w:r>
      <w:r>
        <w:rPr>
          <w:sz w:val="25"/>
        </w:rPr>
        <w:t>- Section 11 of the CPC is not attracted as virtually nothing was decided in the Suit of</w:t>
      </w:r>
      <w:r>
        <w:rPr>
          <w:spacing w:val="-3"/>
          <w:sz w:val="25"/>
        </w:rPr>
        <w:t> </w:t>
      </w:r>
      <w:r>
        <w:rPr>
          <w:sz w:val="25"/>
        </w:rPr>
        <w:t>1885.</w:t>
      </w:r>
    </w:p>
    <w:p>
      <w:pPr>
        <w:pStyle w:val="ListParagraph"/>
        <w:numPr>
          <w:ilvl w:val="0"/>
          <w:numId w:val="115"/>
        </w:numPr>
        <w:tabs>
          <w:tab w:pos="1221" w:val="left" w:leader="none"/>
        </w:tabs>
        <w:spacing w:line="240" w:lineRule="auto" w:before="15" w:after="0"/>
        <w:ind w:left="1220" w:right="0" w:hanging="721"/>
        <w:jc w:val="both"/>
        <w:rPr>
          <w:sz w:val="25"/>
        </w:rPr>
      </w:pPr>
      <w:r>
        <w:rPr>
          <w:b/>
          <w:sz w:val="25"/>
        </w:rPr>
        <w:t>Justice Sudhir Agarwal </w:t>
      </w:r>
      <w:r>
        <w:rPr>
          <w:sz w:val="25"/>
        </w:rPr>
        <w:t>– Answered in the</w:t>
      </w:r>
      <w:r>
        <w:rPr>
          <w:spacing w:val="1"/>
          <w:sz w:val="25"/>
        </w:rPr>
        <w:t> </w:t>
      </w:r>
      <w:r>
        <w:rPr>
          <w:sz w:val="25"/>
        </w:rPr>
        <w:t>negative.</w:t>
      </w:r>
    </w:p>
    <w:p>
      <w:pPr>
        <w:pStyle w:val="BodyText"/>
        <w:spacing w:before="10"/>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D V Sharma </w:t>
      </w:r>
      <w:r>
        <w:rPr>
          <w:sz w:val="25"/>
        </w:rPr>
        <w:t>– Answered in favour of the</w:t>
      </w:r>
      <w:r>
        <w:rPr>
          <w:spacing w:val="-1"/>
          <w:sz w:val="25"/>
        </w:rPr>
        <w:t> </w:t>
      </w:r>
      <w:r>
        <w:rPr>
          <w:sz w:val="25"/>
        </w:rPr>
        <w:t>plaintiffs.</w:t>
      </w:r>
    </w:p>
    <w:p>
      <w:pPr>
        <w:spacing w:after="0" w:line="240" w:lineRule="auto"/>
        <w:jc w:val="both"/>
        <w:rPr>
          <w:sz w:val="25"/>
        </w:rPr>
        <w:sectPr>
          <w:pgSz w:w="11910" w:h="16840"/>
          <w:pgMar w:header="721" w:footer="1014" w:top="1300" w:bottom="1200" w:left="940" w:right="1000"/>
        </w:sectPr>
      </w:pPr>
    </w:p>
    <w:p>
      <w:pPr>
        <w:pStyle w:val="Heading5"/>
        <w:numPr>
          <w:ilvl w:val="0"/>
          <w:numId w:val="114"/>
        </w:numPr>
        <w:tabs>
          <w:tab w:pos="1221" w:val="left" w:leader="none"/>
        </w:tabs>
        <w:spacing w:line="480" w:lineRule="auto" w:before="121" w:after="0"/>
        <w:ind w:left="1220" w:right="438" w:hanging="720"/>
        <w:jc w:val="both"/>
      </w:pPr>
      <w:r>
        <w:rPr/>
        <w:t>Whether worship has been done of the alleged plaintiff-deity on the premises in the suit since time immemorial as alleged in paragraph 25 of the</w:t>
      </w:r>
      <w:r>
        <w:rPr>
          <w:spacing w:val="-1"/>
        </w:rPr>
        <w:t> </w:t>
      </w:r>
      <w:r>
        <w:rPr/>
        <w:t>plaint.</w:t>
      </w:r>
    </w:p>
    <w:p>
      <w:pPr>
        <w:pStyle w:val="ListParagraph"/>
        <w:numPr>
          <w:ilvl w:val="0"/>
          <w:numId w:val="115"/>
        </w:numPr>
        <w:tabs>
          <w:tab w:pos="1221" w:val="left" w:leader="none"/>
        </w:tabs>
        <w:spacing w:line="472" w:lineRule="auto" w:before="1" w:after="0"/>
        <w:ind w:left="1220" w:right="437" w:hanging="720"/>
        <w:jc w:val="both"/>
        <w:rPr>
          <w:sz w:val="25"/>
        </w:rPr>
      </w:pPr>
      <w:r>
        <w:rPr>
          <w:b/>
          <w:sz w:val="25"/>
        </w:rPr>
        <w:t>Justice S U Khan </w:t>
      </w:r>
      <w:r>
        <w:rPr>
          <w:sz w:val="25"/>
        </w:rPr>
        <w:t>- Neither was any temple demolished for constructing the mosque nor were the premises treated or believed to be the birth-place of Lord Ram until the mosque was</w:t>
      </w:r>
      <w:r>
        <w:rPr>
          <w:spacing w:val="-7"/>
          <w:sz w:val="25"/>
        </w:rPr>
        <w:t> </w:t>
      </w:r>
      <w:r>
        <w:rPr>
          <w:sz w:val="25"/>
        </w:rPr>
        <w:t>constructed.</w:t>
      </w:r>
    </w:p>
    <w:p>
      <w:pPr>
        <w:pStyle w:val="ListParagraph"/>
        <w:numPr>
          <w:ilvl w:val="0"/>
          <w:numId w:val="115"/>
        </w:numPr>
        <w:tabs>
          <w:tab w:pos="1221" w:val="left" w:leader="none"/>
        </w:tabs>
        <w:spacing w:line="465" w:lineRule="auto" w:before="4" w:after="0"/>
        <w:ind w:left="1220" w:right="435" w:hanging="720"/>
        <w:jc w:val="both"/>
        <w:rPr>
          <w:sz w:val="25"/>
        </w:rPr>
      </w:pPr>
      <w:r>
        <w:rPr>
          <w:b/>
          <w:sz w:val="25"/>
        </w:rPr>
        <w:t>Justice Sudhir Agarwal </w:t>
      </w:r>
      <w:r>
        <w:rPr>
          <w:sz w:val="25"/>
        </w:rPr>
        <w:t>– Worship of the first and second plaintiffs has been since time immemorial: issue answered in the</w:t>
      </w:r>
      <w:r>
        <w:rPr>
          <w:spacing w:val="-9"/>
          <w:sz w:val="25"/>
        </w:rPr>
        <w:t> </w:t>
      </w:r>
      <w:r>
        <w:rPr>
          <w:sz w:val="25"/>
        </w:rPr>
        <w:t>affirmative.</w:t>
      </w:r>
    </w:p>
    <w:p>
      <w:pPr>
        <w:pStyle w:val="ListParagraph"/>
        <w:numPr>
          <w:ilvl w:val="0"/>
          <w:numId w:val="115"/>
        </w:numPr>
        <w:tabs>
          <w:tab w:pos="1221" w:val="left" w:leader="none"/>
        </w:tabs>
        <w:spacing w:line="472" w:lineRule="auto" w:before="17" w:after="0"/>
        <w:ind w:left="1220" w:right="436" w:hanging="720"/>
        <w:jc w:val="both"/>
        <w:rPr>
          <w:sz w:val="25"/>
        </w:rPr>
      </w:pPr>
      <w:r>
        <w:rPr>
          <w:b/>
          <w:sz w:val="25"/>
        </w:rPr>
        <w:t>Justice DV Sharma </w:t>
      </w:r>
      <w:r>
        <w:rPr>
          <w:sz w:val="25"/>
        </w:rPr>
        <w:t>– Connected with Issue Nos. 1-B(c), 2,4,12,13,14,15,19(a),19(b),19(c), 27 &amp; 28 of Suit 4. Answered against the Sunni Central Waqf</w:t>
      </w:r>
      <w:r>
        <w:rPr>
          <w:spacing w:val="-7"/>
          <w:sz w:val="25"/>
        </w:rPr>
        <w:t> </w:t>
      </w:r>
      <w:r>
        <w:rPr>
          <w:sz w:val="25"/>
        </w:rPr>
        <w:t>Board.</w:t>
      </w:r>
    </w:p>
    <w:p>
      <w:pPr>
        <w:pStyle w:val="BodyText"/>
        <w:spacing w:before="5"/>
      </w:pPr>
    </w:p>
    <w:p>
      <w:pPr>
        <w:pStyle w:val="Heading5"/>
        <w:numPr>
          <w:ilvl w:val="0"/>
          <w:numId w:val="114"/>
        </w:numPr>
        <w:tabs>
          <w:tab w:pos="1221" w:val="left" w:leader="none"/>
        </w:tabs>
        <w:spacing w:line="480" w:lineRule="auto" w:before="0" w:after="0"/>
        <w:ind w:left="1220" w:right="446" w:hanging="720"/>
        <w:jc w:val="both"/>
      </w:pPr>
      <w:r>
        <w:rPr/>
        <w:t>Whether the judgment and decree dated 30 March 1946 passed in Suit no 29 of 1945 is not binding upon the plaintiffs as alleged by the plaintiffs.</w:t>
      </w:r>
    </w:p>
    <w:p>
      <w:pPr>
        <w:pStyle w:val="ListParagraph"/>
        <w:numPr>
          <w:ilvl w:val="0"/>
          <w:numId w:val="115"/>
        </w:numPr>
        <w:tabs>
          <w:tab w:pos="1221" w:val="left" w:leader="none"/>
        </w:tabs>
        <w:spacing w:line="240" w:lineRule="auto" w:before="1" w:after="0"/>
        <w:ind w:left="1220" w:right="0" w:hanging="721"/>
        <w:jc w:val="both"/>
        <w:rPr>
          <w:sz w:val="25"/>
        </w:rPr>
      </w:pPr>
      <w:r>
        <w:rPr>
          <w:b/>
          <w:sz w:val="25"/>
        </w:rPr>
        <w:t>Justice S U Khan </w:t>
      </w:r>
      <w:r>
        <w:rPr>
          <w:sz w:val="25"/>
        </w:rPr>
        <w:t>- Adopted the findings of Justice Sudhir</w:t>
      </w:r>
      <w:r>
        <w:rPr>
          <w:spacing w:val="-8"/>
          <w:sz w:val="25"/>
        </w:rPr>
        <w:t> </w:t>
      </w:r>
      <w:r>
        <w:rPr>
          <w:sz w:val="25"/>
        </w:rPr>
        <w:t>Agarwal.</w:t>
      </w:r>
    </w:p>
    <w:p>
      <w:pPr>
        <w:pStyle w:val="BodyText"/>
        <w:spacing w:before="8"/>
        <w:rPr>
          <w:sz w:val="24"/>
        </w:rPr>
      </w:pPr>
    </w:p>
    <w:p>
      <w:pPr>
        <w:pStyle w:val="ListParagraph"/>
        <w:numPr>
          <w:ilvl w:val="0"/>
          <w:numId w:val="115"/>
        </w:numPr>
        <w:tabs>
          <w:tab w:pos="1221" w:val="left" w:leader="none"/>
        </w:tabs>
        <w:spacing w:line="465" w:lineRule="auto" w:before="0" w:after="0"/>
        <w:ind w:left="1220" w:right="436" w:hanging="720"/>
        <w:jc w:val="both"/>
        <w:rPr>
          <w:sz w:val="25"/>
        </w:rPr>
      </w:pPr>
      <w:r>
        <w:rPr>
          <w:b/>
          <w:sz w:val="25"/>
        </w:rPr>
        <w:t>Justice Sudhir Agarwal </w:t>
      </w:r>
      <w:r>
        <w:rPr>
          <w:sz w:val="25"/>
        </w:rPr>
        <w:t>- The plaintiffs were not a party to the suit and the judgment is therefore not binding on</w:t>
      </w:r>
      <w:r>
        <w:rPr>
          <w:spacing w:val="-5"/>
          <w:sz w:val="25"/>
        </w:rPr>
        <w:t> </w:t>
      </w:r>
      <w:r>
        <w:rPr>
          <w:sz w:val="25"/>
        </w:rPr>
        <w:t>them.</w:t>
      </w:r>
    </w:p>
    <w:p>
      <w:pPr>
        <w:pStyle w:val="ListParagraph"/>
        <w:numPr>
          <w:ilvl w:val="0"/>
          <w:numId w:val="115"/>
        </w:numPr>
        <w:tabs>
          <w:tab w:pos="1221" w:val="left" w:leader="none"/>
        </w:tabs>
        <w:spacing w:line="240" w:lineRule="auto" w:before="15" w:after="0"/>
        <w:ind w:left="1220" w:right="0" w:hanging="721"/>
        <w:jc w:val="both"/>
        <w:rPr>
          <w:sz w:val="25"/>
        </w:rPr>
      </w:pPr>
      <w:r>
        <w:rPr>
          <w:b/>
          <w:sz w:val="25"/>
        </w:rPr>
        <w:t>Justice DV Sharma </w:t>
      </w:r>
      <w:r>
        <w:rPr>
          <w:sz w:val="25"/>
        </w:rPr>
        <w:t>– Decided in favour of the</w:t>
      </w:r>
      <w:r>
        <w:rPr>
          <w:spacing w:val="-3"/>
          <w:sz w:val="25"/>
        </w:rPr>
        <w:t> </w:t>
      </w:r>
      <w:r>
        <w:rPr>
          <w:sz w:val="25"/>
        </w:rPr>
        <w:t>plaintiffs.</w:t>
      </w:r>
    </w:p>
    <w:p>
      <w:pPr>
        <w:pStyle w:val="BodyText"/>
        <w:rPr>
          <w:sz w:val="30"/>
        </w:rPr>
      </w:pPr>
    </w:p>
    <w:p>
      <w:pPr>
        <w:pStyle w:val="Heading5"/>
        <w:numPr>
          <w:ilvl w:val="0"/>
          <w:numId w:val="114"/>
        </w:numPr>
        <w:tabs>
          <w:tab w:pos="1221" w:val="left" w:leader="none"/>
        </w:tabs>
        <w:spacing w:line="480" w:lineRule="auto" w:before="230" w:after="0"/>
        <w:ind w:left="1220" w:right="450" w:hanging="720"/>
        <w:jc w:val="both"/>
      </w:pPr>
      <w:r>
        <w:rPr/>
        <w:t>Whether the suit is bad for want of notice under Section 80 CPC as alleged by the defendants 4 and</w:t>
      </w:r>
      <w:r>
        <w:rPr>
          <w:spacing w:val="-9"/>
        </w:rPr>
        <w:t> </w:t>
      </w:r>
      <w:r>
        <w:rPr>
          <w:spacing w:val="2"/>
        </w:rPr>
        <w:t>5.</w:t>
      </w:r>
    </w:p>
    <w:p>
      <w:pPr>
        <w:pStyle w:val="ListParagraph"/>
        <w:numPr>
          <w:ilvl w:val="0"/>
          <w:numId w:val="115"/>
        </w:numPr>
        <w:tabs>
          <w:tab w:pos="1221" w:val="left" w:leader="none"/>
        </w:tabs>
        <w:spacing w:line="306" w:lineRule="exact" w:before="0" w:after="0"/>
        <w:ind w:left="1220" w:right="0" w:hanging="721"/>
        <w:jc w:val="both"/>
        <w:rPr>
          <w:sz w:val="25"/>
        </w:rPr>
      </w:pPr>
      <w:r>
        <w:rPr>
          <w:b/>
          <w:sz w:val="25"/>
        </w:rPr>
        <w:t>Justice S U Khan </w:t>
      </w:r>
      <w:r>
        <w:rPr>
          <w:sz w:val="25"/>
        </w:rPr>
        <w:t>- Adopted the findings of Justice Sudhir</w:t>
      </w:r>
      <w:r>
        <w:rPr>
          <w:spacing w:val="-8"/>
          <w:sz w:val="25"/>
        </w:rPr>
        <w:t> </w:t>
      </w:r>
      <w:r>
        <w:rPr>
          <w:sz w:val="25"/>
        </w:rPr>
        <w:t>Agarwal.</w:t>
      </w:r>
    </w:p>
    <w:p>
      <w:pPr>
        <w:pStyle w:val="BodyText"/>
        <w:spacing w:before="10"/>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Sudhir Agarwal </w:t>
      </w:r>
      <w:r>
        <w:rPr>
          <w:sz w:val="25"/>
        </w:rPr>
        <w:t>– Answered in favour of the</w:t>
      </w:r>
      <w:r>
        <w:rPr>
          <w:spacing w:val="-2"/>
          <w:sz w:val="25"/>
        </w:rPr>
        <w:t> </w:t>
      </w:r>
      <w:r>
        <w:rPr>
          <w:sz w:val="25"/>
        </w:rPr>
        <w:t>plaintiffs.</w:t>
      </w:r>
    </w:p>
    <w:p>
      <w:pPr>
        <w:pStyle w:val="BodyText"/>
        <w:spacing w:before="9"/>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D V Sharma </w:t>
      </w:r>
      <w:r>
        <w:rPr>
          <w:sz w:val="25"/>
        </w:rPr>
        <w:t>- Answered in favour of the</w:t>
      </w:r>
      <w:r>
        <w:rPr>
          <w:spacing w:val="-3"/>
          <w:sz w:val="25"/>
        </w:rPr>
        <w:t> </w:t>
      </w:r>
      <w:r>
        <w:rPr>
          <w:sz w:val="25"/>
        </w:rPr>
        <w:t>plaintiffs.</w:t>
      </w:r>
    </w:p>
    <w:p>
      <w:pPr>
        <w:spacing w:after="0" w:line="240" w:lineRule="auto"/>
        <w:jc w:val="both"/>
        <w:rPr>
          <w:sz w:val="25"/>
        </w:rPr>
        <w:sectPr>
          <w:pgSz w:w="11910" w:h="16840"/>
          <w:pgMar w:header="721" w:footer="1014" w:top="1300" w:bottom="1200" w:left="940" w:right="1000"/>
        </w:sectPr>
      </w:pPr>
    </w:p>
    <w:p>
      <w:pPr>
        <w:pStyle w:val="Heading5"/>
        <w:numPr>
          <w:ilvl w:val="0"/>
          <w:numId w:val="114"/>
        </w:numPr>
        <w:tabs>
          <w:tab w:pos="1221" w:val="left" w:leader="none"/>
        </w:tabs>
        <w:spacing w:line="480" w:lineRule="auto" w:before="121" w:after="0"/>
        <w:ind w:left="1220" w:right="445" w:hanging="720"/>
        <w:jc w:val="both"/>
      </w:pPr>
      <w:r>
        <w:rPr/>
        <w:t>Whether the plea of suit being bad for want of notice under Section 80 CPC can be raised by defendants 4 and</w:t>
      </w:r>
      <w:r>
        <w:rPr>
          <w:spacing w:val="-7"/>
        </w:rPr>
        <w:t> </w:t>
      </w:r>
      <w:r>
        <w:rPr/>
        <w:t>5.</w:t>
      </w:r>
    </w:p>
    <w:p>
      <w:pPr>
        <w:pStyle w:val="ListParagraph"/>
        <w:numPr>
          <w:ilvl w:val="0"/>
          <w:numId w:val="115"/>
        </w:numPr>
        <w:tabs>
          <w:tab w:pos="1221" w:val="left" w:leader="none"/>
        </w:tabs>
        <w:spacing w:line="306" w:lineRule="exact" w:before="0" w:after="0"/>
        <w:ind w:left="1220" w:right="0" w:hanging="721"/>
        <w:jc w:val="both"/>
        <w:rPr>
          <w:sz w:val="25"/>
        </w:rPr>
      </w:pPr>
      <w:r>
        <w:rPr>
          <w:b/>
          <w:sz w:val="25"/>
        </w:rPr>
        <w:t>Justice S U Khan </w:t>
      </w:r>
      <w:r>
        <w:rPr>
          <w:sz w:val="25"/>
        </w:rPr>
        <w:t>- Adopted the findings of Justice Sudhir</w:t>
      </w:r>
      <w:r>
        <w:rPr>
          <w:spacing w:val="-8"/>
          <w:sz w:val="25"/>
        </w:rPr>
        <w:t> </w:t>
      </w:r>
      <w:r>
        <w:rPr>
          <w:sz w:val="25"/>
        </w:rPr>
        <w:t>Agarwal.</w:t>
      </w:r>
    </w:p>
    <w:p>
      <w:pPr>
        <w:pStyle w:val="BodyText"/>
        <w:spacing w:before="11"/>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Sudhir Agarwal </w:t>
      </w:r>
      <w:r>
        <w:rPr>
          <w:sz w:val="25"/>
        </w:rPr>
        <w:t>– Answered in favour of the</w:t>
      </w:r>
      <w:r>
        <w:rPr>
          <w:spacing w:val="-2"/>
          <w:sz w:val="25"/>
        </w:rPr>
        <w:t> </w:t>
      </w:r>
      <w:r>
        <w:rPr>
          <w:sz w:val="25"/>
        </w:rPr>
        <w:t>plaintiffs.</w:t>
      </w:r>
    </w:p>
    <w:p>
      <w:pPr>
        <w:pStyle w:val="BodyText"/>
        <w:spacing w:before="8"/>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D V Sharma </w:t>
      </w:r>
      <w:r>
        <w:rPr>
          <w:sz w:val="25"/>
        </w:rPr>
        <w:t>- Answered in favour of the</w:t>
      </w:r>
      <w:r>
        <w:rPr>
          <w:spacing w:val="-3"/>
          <w:sz w:val="25"/>
        </w:rPr>
        <w:t> </w:t>
      </w:r>
      <w:r>
        <w:rPr>
          <w:sz w:val="25"/>
        </w:rPr>
        <w:t>plaintiffs.</w:t>
      </w:r>
    </w:p>
    <w:p>
      <w:pPr>
        <w:pStyle w:val="BodyText"/>
        <w:spacing w:before="2"/>
        <w:rPr>
          <w:sz w:val="42"/>
        </w:rPr>
      </w:pPr>
    </w:p>
    <w:p>
      <w:pPr>
        <w:pStyle w:val="Heading5"/>
        <w:numPr>
          <w:ilvl w:val="0"/>
          <w:numId w:val="114"/>
        </w:numPr>
        <w:tabs>
          <w:tab w:pos="1221" w:val="left" w:leader="none"/>
        </w:tabs>
        <w:spacing w:line="480" w:lineRule="auto" w:before="1" w:after="0"/>
        <w:ind w:left="1220" w:right="437" w:hanging="720"/>
        <w:jc w:val="both"/>
      </w:pPr>
      <w:r>
        <w:rPr/>
        <w:t>Whether the suit is bad for want of notice under Section 65 of the U.P. Muslim Waqf </w:t>
      </w:r>
      <w:r>
        <w:rPr>
          <w:spacing w:val="-3"/>
        </w:rPr>
        <w:t>Act </w:t>
      </w:r>
      <w:r>
        <w:rPr/>
        <w:t>1960 as alleged by defendants 4 and </w:t>
      </w:r>
      <w:r>
        <w:rPr>
          <w:spacing w:val="2"/>
        </w:rPr>
        <w:t>5. </w:t>
      </w:r>
      <w:r>
        <w:rPr/>
        <w:t>If so, its effect.</w:t>
      </w:r>
    </w:p>
    <w:p>
      <w:pPr>
        <w:pStyle w:val="ListParagraph"/>
        <w:numPr>
          <w:ilvl w:val="0"/>
          <w:numId w:val="115"/>
        </w:numPr>
        <w:tabs>
          <w:tab w:pos="1221" w:val="left" w:leader="none"/>
        </w:tabs>
        <w:spacing w:line="240" w:lineRule="auto" w:before="1" w:after="0"/>
        <w:ind w:left="1220" w:right="0" w:hanging="721"/>
        <w:jc w:val="both"/>
        <w:rPr>
          <w:sz w:val="25"/>
        </w:rPr>
      </w:pPr>
      <w:r>
        <w:rPr>
          <w:b/>
          <w:sz w:val="25"/>
        </w:rPr>
        <w:t>Justice S U Khan </w:t>
      </w:r>
      <w:r>
        <w:rPr>
          <w:sz w:val="25"/>
        </w:rPr>
        <w:t>- Adopted the findings of Justice Sudhir</w:t>
      </w:r>
      <w:r>
        <w:rPr>
          <w:spacing w:val="-8"/>
          <w:sz w:val="25"/>
        </w:rPr>
        <w:t> </w:t>
      </w:r>
      <w:r>
        <w:rPr>
          <w:sz w:val="25"/>
        </w:rPr>
        <w:t>Agarwal.</w:t>
      </w:r>
    </w:p>
    <w:p>
      <w:pPr>
        <w:pStyle w:val="BodyText"/>
        <w:spacing w:before="8"/>
        <w:rPr>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Sudhir Agarwal </w:t>
      </w:r>
      <w:r>
        <w:rPr>
          <w:sz w:val="25"/>
        </w:rPr>
        <w:t>– The provision is not</w:t>
      </w:r>
      <w:r>
        <w:rPr>
          <w:spacing w:val="-2"/>
          <w:sz w:val="25"/>
        </w:rPr>
        <w:t> </w:t>
      </w:r>
      <w:r>
        <w:rPr>
          <w:sz w:val="25"/>
        </w:rPr>
        <w:t>applicable.</w:t>
      </w:r>
    </w:p>
    <w:p>
      <w:pPr>
        <w:pStyle w:val="BodyText"/>
        <w:spacing w:before="10"/>
        <w:rPr>
          <w:sz w:val="24"/>
        </w:rPr>
      </w:pPr>
    </w:p>
    <w:p>
      <w:pPr>
        <w:pStyle w:val="ListParagraph"/>
        <w:numPr>
          <w:ilvl w:val="0"/>
          <w:numId w:val="115"/>
        </w:numPr>
        <w:tabs>
          <w:tab w:pos="1221" w:val="left" w:leader="none"/>
        </w:tabs>
        <w:spacing w:line="240" w:lineRule="auto" w:before="1" w:after="0"/>
        <w:ind w:left="1220" w:right="0" w:hanging="721"/>
        <w:jc w:val="both"/>
        <w:rPr>
          <w:sz w:val="25"/>
        </w:rPr>
      </w:pPr>
      <w:r>
        <w:rPr>
          <w:b/>
          <w:sz w:val="25"/>
        </w:rPr>
        <w:t>Justice D V Sharma </w:t>
      </w:r>
      <w:r>
        <w:rPr>
          <w:sz w:val="25"/>
        </w:rPr>
        <w:t>– Decided in favour of the</w:t>
      </w:r>
      <w:r>
        <w:rPr>
          <w:spacing w:val="-3"/>
          <w:sz w:val="25"/>
        </w:rPr>
        <w:t> </w:t>
      </w:r>
      <w:r>
        <w:rPr>
          <w:sz w:val="25"/>
        </w:rPr>
        <w:t>plaintiffs.</w:t>
      </w:r>
    </w:p>
    <w:p>
      <w:pPr>
        <w:pStyle w:val="BodyText"/>
        <w:rPr>
          <w:sz w:val="30"/>
        </w:rPr>
      </w:pPr>
    </w:p>
    <w:p>
      <w:pPr>
        <w:pStyle w:val="BodyText"/>
        <w:spacing w:before="3"/>
        <w:rPr>
          <w:sz w:val="37"/>
        </w:rPr>
      </w:pPr>
    </w:p>
    <w:p>
      <w:pPr>
        <w:pStyle w:val="Heading5"/>
        <w:numPr>
          <w:ilvl w:val="0"/>
          <w:numId w:val="114"/>
        </w:numPr>
        <w:tabs>
          <w:tab w:pos="1221" w:val="left" w:leader="none"/>
        </w:tabs>
        <w:spacing w:line="480" w:lineRule="auto" w:before="0" w:after="0"/>
        <w:ind w:left="1220" w:right="443" w:hanging="720"/>
        <w:jc w:val="both"/>
      </w:pPr>
      <w:r>
        <w:rPr/>
        <w:t>Whether the plaintiffs are precluded from bringing the present suit on account of dismissal of Suit 57 of 1978 (Bhagwan Sri Ram Lala v State) of the Court of Munsif Sadar,</w:t>
      </w:r>
      <w:r>
        <w:rPr>
          <w:spacing w:val="-5"/>
        </w:rPr>
        <w:t> </w:t>
      </w:r>
      <w:r>
        <w:rPr/>
        <w:t>Faizabad.</w:t>
      </w:r>
    </w:p>
    <w:p>
      <w:pPr>
        <w:pStyle w:val="ListParagraph"/>
        <w:numPr>
          <w:ilvl w:val="0"/>
          <w:numId w:val="115"/>
        </w:numPr>
        <w:tabs>
          <w:tab w:pos="1221" w:val="left" w:leader="none"/>
        </w:tabs>
        <w:spacing w:line="305" w:lineRule="exact" w:before="0" w:after="0"/>
        <w:ind w:left="1220" w:right="0" w:hanging="721"/>
        <w:jc w:val="both"/>
        <w:rPr>
          <w:sz w:val="25"/>
        </w:rPr>
      </w:pPr>
      <w:r>
        <w:rPr>
          <w:b/>
          <w:sz w:val="25"/>
        </w:rPr>
        <w:t>Justice S U Khan </w:t>
      </w:r>
      <w:r>
        <w:rPr>
          <w:sz w:val="25"/>
        </w:rPr>
        <w:t>- Adopted the findings of Justice Sudhir</w:t>
      </w:r>
      <w:r>
        <w:rPr>
          <w:spacing w:val="-10"/>
          <w:sz w:val="25"/>
        </w:rPr>
        <w:t> </w:t>
      </w:r>
      <w:r>
        <w:rPr>
          <w:sz w:val="25"/>
        </w:rPr>
        <w:t>Agarwal.</w:t>
      </w:r>
    </w:p>
    <w:p>
      <w:pPr>
        <w:pStyle w:val="BodyText"/>
        <w:spacing w:before="11"/>
        <w:rPr>
          <w:sz w:val="24"/>
        </w:rPr>
      </w:pPr>
    </w:p>
    <w:p>
      <w:pPr>
        <w:pStyle w:val="ListParagraph"/>
        <w:numPr>
          <w:ilvl w:val="0"/>
          <w:numId w:val="115"/>
        </w:numPr>
        <w:tabs>
          <w:tab w:pos="1221" w:val="left" w:leader="none"/>
        </w:tabs>
        <w:spacing w:line="468" w:lineRule="auto" w:before="0" w:after="0"/>
        <w:ind w:left="1220" w:right="441" w:hanging="720"/>
        <w:jc w:val="both"/>
        <w:rPr>
          <w:sz w:val="25"/>
        </w:rPr>
      </w:pPr>
      <w:r>
        <w:rPr>
          <w:b/>
          <w:sz w:val="25"/>
        </w:rPr>
        <w:t>Justice Sudhir Agarwal </w:t>
      </w:r>
      <w:r>
        <w:rPr>
          <w:sz w:val="25"/>
        </w:rPr>
        <w:t>and </w:t>
      </w:r>
      <w:r>
        <w:rPr>
          <w:b/>
          <w:sz w:val="25"/>
        </w:rPr>
        <w:t>Justice D V Sharma </w:t>
      </w:r>
      <w:r>
        <w:rPr>
          <w:sz w:val="25"/>
        </w:rPr>
        <w:t>- Answered in favour of the</w:t>
      </w:r>
      <w:r>
        <w:rPr>
          <w:spacing w:val="-1"/>
          <w:sz w:val="25"/>
        </w:rPr>
        <w:t> </w:t>
      </w:r>
      <w:r>
        <w:rPr>
          <w:sz w:val="25"/>
        </w:rPr>
        <w:t>plaintiffs.</w:t>
      </w:r>
    </w:p>
    <w:p>
      <w:pPr>
        <w:pStyle w:val="Heading5"/>
        <w:numPr>
          <w:ilvl w:val="0"/>
          <w:numId w:val="114"/>
        </w:numPr>
        <w:tabs>
          <w:tab w:pos="1221" w:val="left" w:leader="none"/>
        </w:tabs>
        <w:spacing w:line="240" w:lineRule="auto" w:before="211" w:after="0"/>
        <w:ind w:left="1220" w:right="0" w:hanging="721"/>
        <w:jc w:val="both"/>
      </w:pPr>
      <w:r>
        <w:rPr/>
        <w:t>To what relief, if any, are plaintiffs or any of them</w:t>
      </w:r>
      <w:r>
        <w:rPr>
          <w:spacing w:val="-17"/>
        </w:rPr>
        <w:t> </w:t>
      </w:r>
      <w:r>
        <w:rPr/>
        <w:t>entitled?</w:t>
      </w:r>
    </w:p>
    <w:p>
      <w:pPr>
        <w:pStyle w:val="BodyText"/>
        <w:spacing w:before="10"/>
        <w:rPr>
          <w:b/>
          <w:sz w:val="24"/>
        </w:rPr>
      </w:pPr>
    </w:p>
    <w:p>
      <w:pPr>
        <w:pStyle w:val="ListParagraph"/>
        <w:numPr>
          <w:ilvl w:val="0"/>
          <w:numId w:val="115"/>
        </w:numPr>
        <w:tabs>
          <w:tab w:pos="1221" w:val="left" w:leader="none"/>
        </w:tabs>
        <w:spacing w:line="240" w:lineRule="auto" w:before="0" w:after="0"/>
        <w:ind w:left="1220" w:right="0" w:hanging="721"/>
        <w:jc w:val="both"/>
        <w:rPr>
          <w:sz w:val="25"/>
        </w:rPr>
      </w:pPr>
      <w:r>
        <w:rPr>
          <w:b/>
          <w:sz w:val="25"/>
        </w:rPr>
        <w:t>Justice S U Khan </w:t>
      </w:r>
      <w:r>
        <w:rPr>
          <w:sz w:val="25"/>
        </w:rPr>
        <w:t>- Adopted the findings of Justice Sudhir</w:t>
      </w:r>
      <w:r>
        <w:rPr>
          <w:spacing w:val="-7"/>
          <w:sz w:val="25"/>
        </w:rPr>
        <w:t> </w:t>
      </w:r>
      <w:r>
        <w:rPr>
          <w:sz w:val="25"/>
        </w:rPr>
        <w:t>Agarwal.</w:t>
      </w:r>
    </w:p>
    <w:p>
      <w:pPr>
        <w:pStyle w:val="BodyText"/>
        <w:spacing w:before="10"/>
        <w:rPr>
          <w:sz w:val="24"/>
        </w:rPr>
      </w:pPr>
    </w:p>
    <w:p>
      <w:pPr>
        <w:pStyle w:val="ListParagraph"/>
        <w:numPr>
          <w:ilvl w:val="0"/>
          <w:numId w:val="115"/>
        </w:numPr>
        <w:tabs>
          <w:tab w:pos="1221" w:val="left" w:leader="none"/>
        </w:tabs>
        <w:spacing w:line="465" w:lineRule="auto" w:before="0" w:after="0"/>
        <w:ind w:left="1220" w:right="445" w:hanging="720"/>
        <w:jc w:val="both"/>
        <w:rPr>
          <w:sz w:val="25"/>
        </w:rPr>
      </w:pPr>
      <w:r>
        <w:rPr>
          <w:b/>
          <w:sz w:val="25"/>
        </w:rPr>
        <w:t>Justice Sudhir Agarwal </w:t>
      </w:r>
      <w:r>
        <w:rPr>
          <w:sz w:val="25"/>
        </w:rPr>
        <w:t>– The suit was partly decreed in accordance with the directions contained in paragraph</w:t>
      </w:r>
      <w:r>
        <w:rPr>
          <w:spacing w:val="-4"/>
          <w:sz w:val="25"/>
        </w:rPr>
        <w:t> </w:t>
      </w:r>
      <w:r>
        <w:rPr>
          <w:sz w:val="25"/>
        </w:rPr>
        <w:t>4566.</w:t>
      </w:r>
    </w:p>
    <w:p>
      <w:pPr>
        <w:spacing w:after="0" w:line="465" w:lineRule="auto"/>
        <w:jc w:val="both"/>
        <w:rPr>
          <w:sz w:val="25"/>
        </w:rPr>
        <w:sectPr>
          <w:pgSz w:w="11910" w:h="16840"/>
          <w:pgMar w:header="721" w:footer="1014" w:top="1300" w:bottom="1200" w:left="940" w:right="1000"/>
        </w:sectPr>
      </w:pPr>
    </w:p>
    <w:p>
      <w:pPr>
        <w:pStyle w:val="ListParagraph"/>
        <w:numPr>
          <w:ilvl w:val="0"/>
          <w:numId w:val="115"/>
        </w:numPr>
        <w:tabs>
          <w:tab w:pos="1220" w:val="left" w:leader="none"/>
          <w:tab w:pos="1221" w:val="left" w:leader="none"/>
        </w:tabs>
        <w:spacing w:line="465" w:lineRule="auto" w:before="121" w:after="0"/>
        <w:ind w:left="1220" w:right="439" w:hanging="720"/>
        <w:jc w:val="left"/>
        <w:rPr>
          <w:sz w:val="25"/>
        </w:rPr>
      </w:pPr>
      <w:r>
        <w:rPr>
          <w:b/>
          <w:sz w:val="25"/>
        </w:rPr>
        <w:t>Justice D V Sharma </w:t>
      </w:r>
      <w:r>
        <w:rPr>
          <w:sz w:val="25"/>
        </w:rPr>
        <w:t>– The plaintiffs were held entitled to relief and the  suit was</w:t>
      </w:r>
      <w:r>
        <w:rPr>
          <w:spacing w:val="-3"/>
          <w:sz w:val="25"/>
        </w:rPr>
        <w:t> </w:t>
      </w:r>
      <w:r>
        <w:rPr>
          <w:sz w:val="25"/>
        </w:rPr>
        <w:t>decreed.</w:t>
      </w:r>
    </w:p>
    <w:p>
      <w:pPr>
        <w:pStyle w:val="BodyText"/>
        <w:spacing w:before="6"/>
        <w:rPr>
          <w:sz w:val="26"/>
        </w:rPr>
      </w:pPr>
    </w:p>
    <w:p>
      <w:pPr>
        <w:pStyle w:val="ListParagraph"/>
        <w:numPr>
          <w:ilvl w:val="0"/>
          <w:numId w:val="111"/>
        </w:numPr>
        <w:tabs>
          <w:tab w:pos="1220" w:val="left" w:leader="none"/>
          <w:tab w:pos="1221" w:val="left" w:leader="none"/>
        </w:tabs>
        <w:spacing w:line="240" w:lineRule="auto" w:before="0" w:after="0"/>
        <w:ind w:left="1220" w:right="0" w:hanging="721"/>
        <w:jc w:val="left"/>
        <w:rPr>
          <w:sz w:val="25"/>
        </w:rPr>
      </w:pPr>
      <w:r>
        <w:rPr>
          <w:sz w:val="25"/>
        </w:rPr>
        <w:t>Justice Sudhir Agarwal granted the following relief in the</w:t>
      </w:r>
      <w:r>
        <w:rPr>
          <w:spacing w:val="-4"/>
          <w:sz w:val="25"/>
        </w:rPr>
        <w:t> </w:t>
      </w:r>
      <w:r>
        <w:rPr>
          <w:sz w:val="25"/>
        </w:rPr>
        <w:t>Suit:</w:t>
      </w:r>
    </w:p>
    <w:p>
      <w:pPr>
        <w:pStyle w:val="BodyText"/>
        <w:spacing w:before="9"/>
        <w:rPr>
          <w:sz w:val="38"/>
        </w:rPr>
      </w:pPr>
    </w:p>
    <w:p>
      <w:pPr>
        <w:spacing w:line="276" w:lineRule="auto" w:before="0"/>
        <w:ind w:left="1940" w:right="2263" w:firstLine="0"/>
        <w:jc w:val="both"/>
        <w:rPr>
          <w:sz w:val="21"/>
        </w:rPr>
      </w:pPr>
      <w:r>
        <w:rPr>
          <w:w w:val="33"/>
          <w:sz w:val="21"/>
        </w:rPr>
        <w:t>―</w:t>
      </w:r>
      <w:r>
        <w:rPr>
          <w:w w:val="100"/>
          <w:sz w:val="21"/>
        </w:rPr>
        <w:t>(i)</w:t>
      </w:r>
      <w:r>
        <w:rPr>
          <w:sz w:val="21"/>
        </w:rPr>
        <w:t> </w:t>
      </w:r>
      <w:r>
        <w:rPr>
          <w:w w:val="100"/>
          <w:sz w:val="21"/>
        </w:rPr>
        <w:t>It</w:t>
      </w:r>
      <w:r>
        <w:rPr>
          <w:sz w:val="21"/>
        </w:rPr>
        <w:t> </w:t>
      </w:r>
      <w:r>
        <w:rPr>
          <w:w w:val="100"/>
          <w:sz w:val="21"/>
        </w:rPr>
        <w:t>is</w:t>
      </w:r>
      <w:r>
        <w:rPr>
          <w:sz w:val="21"/>
        </w:rPr>
        <w:t> </w:t>
      </w:r>
      <w:r>
        <w:rPr>
          <w:w w:val="100"/>
          <w:sz w:val="21"/>
        </w:rPr>
        <w:t>declared</w:t>
      </w:r>
      <w:r>
        <w:rPr>
          <w:sz w:val="21"/>
        </w:rPr>
        <w:t> </w:t>
      </w:r>
      <w:r>
        <w:rPr>
          <w:w w:val="100"/>
          <w:sz w:val="21"/>
        </w:rPr>
        <w:t>that</w:t>
      </w:r>
      <w:r>
        <w:rPr>
          <w:sz w:val="21"/>
        </w:rPr>
        <w:t> </w:t>
      </w:r>
      <w:r>
        <w:rPr>
          <w:w w:val="100"/>
          <w:sz w:val="21"/>
        </w:rPr>
        <w:t>the</w:t>
      </w:r>
      <w:r>
        <w:rPr>
          <w:sz w:val="21"/>
        </w:rPr>
        <w:t> </w:t>
      </w:r>
      <w:r>
        <w:rPr>
          <w:w w:val="100"/>
          <w:sz w:val="21"/>
        </w:rPr>
        <w:t>area</w:t>
      </w:r>
      <w:r>
        <w:rPr>
          <w:sz w:val="21"/>
        </w:rPr>
        <w:t> </w:t>
      </w:r>
      <w:r>
        <w:rPr>
          <w:w w:val="100"/>
          <w:sz w:val="21"/>
        </w:rPr>
        <w:t>covered</w:t>
      </w:r>
      <w:r>
        <w:rPr>
          <w:sz w:val="21"/>
        </w:rPr>
        <w:t> </w:t>
      </w:r>
      <w:r>
        <w:rPr>
          <w:w w:val="100"/>
          <w:sz w:val="21"/>
        </w:rPr>
        <w:t>by</w:t>
      </w:r>
      <w:r>
        <w:rPr>
          <w:sz w:val="21"/>
        </w:rPr>
        <w:t> </w:t>
      </w:r>
      <w:r>
        <w:rPr>
          <w:w w:val="100"/>
          <w:sz w:val="21"/>
        </w:rPr>
        <w:t>the</w:t>
      </w:r>
      <w:r>
        <w:rPr>
          <w:sz w:val="21"/>
        </w:rPr>
        <w:t> </w:t>
      </w:r>
      <w:r>
        <w:rPr>
          <w:w w:val="100"/>
          <w:sz w:val="21"/>
        </w:rPr>
        <w:t>central</w:t>
      </w:r>
      <w:r>
        <w:rPr>
          <w:sz w:val="21"/>
        </w:rPr>
        <w:t> </w:t>
      </w:r>
      <w:r>
        <w:rPr>
          <w:w w:val="100"/>
          <w:sz w:val="21"/>
        </w:rPr>
        <w:t>dome</w:t>
      </w:r>
      <w:r>
        <w:rPr>
          <w:sz w:val="21"/>
        </w:rPr>
        <w:t> </w:t>
      </w:r>
      <w:r>
        <w:rPr>
          <w:w w:val="100"/>
          <w:sz w:val="21"/>
        </w:rPr>
        <w:t>of </w:t>
      </w:r>
      <w:r>
        <w:rPr>
          <w:sz w:val="21"/>
        </w:rPr>
        <w:t>the three domed structure, i.e., the disputed structure being the deity of Bhagwan Ram Janamsthan and place of birth of Lord Rama as per faith and belief of the Hindus, belong to plaintiffs (Suit-5) and shall not be obstructed or interfered in any manner by the defendants. This area is shown by letters AA BB CC DD is Appendix 7 to this judgment.</w:t>
      </w:r>
    </w:p>
    <w:p>
      <w:pPr>
        <w:pStyle w:val="ListParagraph"/>
        <w:numPr>
          <w:ilvl w:val="1"/>
          <w:numId w:val="110"/>
        </w:numPr>
        <w:tabs>
          <w:tab w:pos="2241" w:val="left" w:leader="none"/>
        </w:tabs>
        <w:spacing w:line="276" w:lineRule="auto" w:before="1" w:after="0"/>
        <w:ind w:left="1940" w:right="2260" w:firstLine="0"/>
        <w:jc w:val="both"/>
        <w:rPr>
          <w:sz w:val="21"/>
        </w:rPr>
      </w:pPr>
      <w:r>
        <w:rPr>
          <w:sz w:val="21"/>
        </w:rPr>
        <w:t>The area within the inner courtyard denoted by letters B C D L K J H G in Appendix 7 (excluding (i) above) belong to members of both the communities, i.e., Hindus  (here plaintiffs, Suit-5) and Muslims since it was being used by both since decades and centuries. It is, however, made clear that for the purpose of share of plaintiffs, Suit-5 under this direction the area which is covered by (i) above shall also be included.</w:t>
      </w:r>
    </w:p>
    <w:p>
      <w:pPr>
        <w:pStyle w:val="ListParagraph"/>
        <w:numPr>
          <w:ilvl w:val="1"/>
          <w:numId w:val="110"/>
        </w:numPr>
        <w:tabs>
          <w:tab w:pos="2382" w:val="left" w:leader="none"/>
        </w:tabs>
        <w:spacing w:line="276" w:lineRule="auto" w:before="1" w:after="0"/>
        <w:ind w:left="1940" w:right="2264" w:firstLine="0"/>
        <w:jc w:val="both"/>
        <w:rPr>
          <w:sz w:val="21"/>
        </w:rPr>
      </w:pPr>
      <w:r>
        <w:rPr>
          <w:sz w:val="21"/>
        </w:rPr>
        <w:t>The area covered by the structures, namely, Ram Chabutra, (EE FF GG HH in Appendix 7), Sita Rasoi (MM NN OO</w:t>
      </w:r>
      <w:r>
        <w:rPr>
          <w:spacing w:val="10"/>
          <w:sz w:val="21"/>
        </w:rPr>
        <w:t> </w:t>
      </w:r>
      <w:r>
        <w:rPr>
          <w:sz w:val="21"/>
        </w:rPr>
        <w:t>PP</w:t>
      </w:r>
      <w:r>
        <w:rPr>
          <w:spacing w:val="9"/>
          <w:sz w:val="21"/>
        </w:rPr>
        <w:t> </w:t>
      </w:r>
      <w:r>
        <w:rPr>
          <w:sz w:val="21"/>
        </w:rPr>
        <w:t>in</w:t>
      </w:r>
      <w:r>
        <w:rPr>
          <w:spacing w:val="8"/>
          <w:sz w:val="21"/>
        </w:rPr>
        <w:t> </w:t>
      </w:r>
      <w:r>
        <w:rPr>
          <w:sz w:val="21"/>
        </w:rPr>
        <w:t>Appendix</w:t>
      </w:r>
      <w:r>
        <w:rPr>
          <w:spacing w:val="8"/>
          <w:sz w:val="21"/>
        </w:rPr>
        <w:t> </w:t>
      </w:r>
      <w:r>
        <w:rPr>
          <w:sz w:val="21"/>
        </w:rPr>
        <w:t>7)</w:t>
      </w:r>
      <w:r>
        <w:rPr>
          <w:spacing w:val="10"/>
          <w:sz w:val="21"/>
        </w:rPr>
        <w:t> </w:t>
      </w:r>
      <w:r>
        <w:rPr>
          <w:sz w:val="21"/>
        </w:rPr>
        <w:t>and</w:t>
      </w:r>
      <w:r>
        <w:rPr>
          <w:spacing w:val="11"/>
          <w:sz w:val="21"/>
        </w:rPr>
        <w:t> </w:t>
      </w:r>
      <w:r>
        <w:rPr>
          <w:sz w:val="21"/>
        </w:rPr>
        <w:t>Bhandar</w:t>
      </w:r>
      <w:r>
        <w:rPr>
          <w:spacing w:val="10"/>
          <w:sz w:val="21"/>
        </w:rPr>
        <w:t> </w:t>
      </w:r>
      <w:r>
        <w:rPr>
          <w:sz w:val="21"/>
        </w:rPr>
        <w:t>(II</w:t>
      </w:r>
      <w:r>
        <w:rPr>
          <w:spacing w:val="10"/>
          <w:sz w:val="21"/>
        </w:rPr>
        <w:t> </w:t>
      </w:r>
      <w:r>
        <w:rPr>
          <w:sz w:val="21"/>
        </w:rPr>
        <w:t>JJ</w:t>
      </w:r>
      <w:r>
        <w:rPr>
          <w:spacing w:val="11"/>
          <w:sz w:val="21"/>
        </w:rPr>
        <w:t> </w:t>
      </w:r>
      <w:r>
        <w:rPr>
          <w:sz w:val="21"/>
        </w:rPr>
        <w:t>KK</w:t>
      </w:r>
      <w:r>
        <w:rPr>
          <w:spacing w:val="11"/>
          <w:sz w:val="21"/>
        </w:rPr>
        <w:t> </w:t>
      </w:r>
      <w:r>
        <w:rPr>
          <w:sz w:val="21"/>
        </w:rPr>
        <w:t>LL</w:t>
      </w:r>
      <w:r>
        <w:rPr>
          <w:spacing w:val="9"/>
          <w:sz w:val="21"/>
        </w:rPr>
        <w:t> </w:t>
      </w:r>
      <w:r>
        <w:rPr>
          <w:sz w:val="21"/>
        </w:rPr>
        <w:t>in</w:t>
      </w:r>
      <w:r>
        <w:rPr>
          <w:spacing w:val="8"/>
          <w:sz w:val="21"/>
        </w:rPr>
        <w:t> </w:t>
      </w:r>
      <w:r>
        <w:rPr>
          <w:sz w:val="21"/>
        </w:rPr>
        <w:t>Appendix</w:t>
      </w:r>
    </w:p>
    <w:p>
      <w:pPr>
        <w:spacing w:line="276" w:lineRule="auto" w:before="0"/>
        <w:ind w:left="1940" w:right="2259" w:firstLine="0"/>
        <w:jc w:val="both"/>
        <w:rPr>
          <w:sz w:val="21"/>
        </w:rPr>
      </w:pPr>
      <w:r>
        <w:rPr>
          <w:sz w:val="21"/>
        </w:rPr>
        <w:t>7) in the outer courtyard is declared in the share of Nirmohi Akhara (defendant no. 3) and they shall be entitled to possession thereof in the absence of any person with better title.</w:t>
      </w:r>
    </w:p>
    <w:p>
      <w:pPr>
        <w:pStyle w:val="ListParagraph"/>
        <w:numPr>
          <w:ilvl w:val="1"/>
          <w:numId w:val="110"/>
        </w:numPr>
        <w:tabs>
          <w:tab w:pos="2289" w:val="left" w:leader="none"/>
        </w:tabs>
        <w:spacing w:line="276" w:lineRule="auto" w:before="0" w:after="0"/>
        <w:ind w:left="1940" w:right="2265" w:firstLine="0"/>
        <w:jc w:val="both"/>
        <w:rPr>
          <w:sz w:val="21"/>
        </w:rPr>
      </w:pPr>
      <w:r>
        <w:rPr>
          <w:sz w:val="21"/>
        </w:rPr>
        <w:t>The open area within the outer courtyard (A G H J K L E F in Appendix 7) (except that covered by (iii) above) shall be shared by Nirmohi Akhara (defendant no. 3) and plaintiffs (Suit-5) since it has been generally used by the Hindu people for worship at both</w:t>
      </w:r>
      <w:r>
        <w:rPr>
          <w:spacing w:val="-6"/>
          <w:sz w:val="21"/>
        </w:rPr>
        <w:t> </w:t>
      </w:r>
      <w:r>
        <w:rPr>
          <w:sz w:val="21"/>
        </w:rPr>
        <w:t>places.</w:t>
      </w:r>
    </w:p>
    <w:p>
      <w:pPr>
        <w:spacing w:line="276" w:lineRule="auto" w:before="0"/>
        <w:ind w:left="1940" w:right="2264" w:firstLine="0"/>
        <w:jc w:val="both"/>
        <w:rPr>
          <w:sz w:val="21"/>
        </w:rPr>
      </w:pPr>
      <w:r>
        <w:rPr>
          <w:sz w:val="21"/>
        </w:rPr>
        <w:t>(iv-a) It is however made clear that the share of muslim parties shall not be less than one third (1/3) of the total area of the premises and if necessary it may be given some area of outer courtyard. It is also made clear that while making partition by metes and bounds, if some minor adjustments are to be made with respect to the share of different parties, the affected party may be compensated by allotting the requisite land from the area which is under acquisition of the Government of</w:t>
      </w:r>
      <w:r>
        <w:rPr>
          <w:spacing w:val="-3"/>
          <w:sz w:val="21"/>
        </w:rPr>
        <w:t> </w:t>
      </w:r>
      <w:r>
        <w:rPr>
          <w:sz w:val="21"/>
        </w:rPr>
        <w:t>India.</w:t>
      </w:r>
    </w:p>
    <w:p>
      <w:pPr>
        <w:pStyle w:val="ListParagraph"/>
        <w:numPr>
          <w:ilvl w:val="1"/>
          <w:numId w:val="110"/>
        </w:numPr>
        <w:tabs>
          <w:tab w:pos="2263" w:val="left" w:leader="none"/>
        </w:tabs>
        <w:spacing w:line="276" w:lineRule="auto" w:before="1" w:after="0"/>
        <w:ind w:left="1940" w:right="2264" w:firstLine="0"/>
        <w:jc w:val="both"/>
        <w:rPr>
          <w:sz w:val="21"/>
        </w:rPr>
      </w:pPr>
      <w:r>
        <w:rPr>
          <w:sz w:val="21"/>
        </w:rPr>
        <w:t>The land which is available with the Government of India acquired under Ayodhya Act 1993 for providing it to the parties who are successful in the suit for better enjoyment of the property shall be made available to the above concerned parties in such manner so that all the three parties may utilise the</w:t>
      </w:r>
      <w:r>
        <w:rPr>
          <w:spacing w:val="48"/>
          <w:sz w:val="21"/>
        </w:rPr>
        <w:t> </w:t>
      </w:r>
      <w:r>
        <w:rPr>
          <w:sz w:val="21"/>
        </w:rPr>
        <w:t>area</w:t>
      </w:r>
      <w:r>
        <w:rPr>
          <w:spacing w:val="47"/>
          <w:sz w:val="21"/>
        </w:rPr>
        <w:t> </w:t>
      </w:r>
      <w:r>
        <w:rPr>
          <w:sz w:val="21"/>
        </w:rPr>
        <w:t>to</w:t>
      </w:r>
      <w:r>
        <w:rPr>
          <w:spacing w:val="47"/>
          <w:sz w:val="21"/>
        </w:rPr>
        <w:t> </w:t>
      </w:r>
      <w:r>
        <w:rPr>
          <w:sz w:val="21"/>
        </w:rPr>
        <w:t>which</w:t>
      </w:r>
      <w:r>
        <w:rPr>
          <w:spacing w:val="47"/>
          <w:sz w:val="21"/>
        </w:rPr>
        <w:t> </w:t>
      </w:r>
      <w:r>
        <w:rPr>
          <w:sz w:val="21"/>
        </w:rPr>
        <w:t>they</w:t>
      </w:r>
      <w:r>
        <w:rPr>
          <w:spacing w:val="45"/>
          <w:sz w:val="21"/>
        </w:rPr>
        <w:t> </w:t>
      </w:r>
      <w:r>
        <w:rPr>
          <w:sz w:val="21"/>
        </w:rPr>
        <w:t>are</w:t>
      </w:r>
      <w:r>
        <w:rPr>
          <w:spacing w:val="47"/>
          <w:sz w:val="21"/>
        </w:rPr>
        <w:t> </w:t>
      </w:r>
      <w:r>
        <w:rPr>
          <w:sz w:val="21"/>
        </w:rPr>
        <w:t>entitled</w:t>
      </w:r>
      <w:r>
        <w:rPr>
          <w:spacing w:val="48"/>
          <w:sz w:val="21"/>
        </w:rPr>
        <w:t> </w:t>
      </w:r>
      <w:r>
        <w:rPr>
          <w:sz w:val="21"/>
        </w:rPr>
        <w:t>to,</w:t>
      </w:r>
      <w:r>
        <w:rPr>
          <w:spacing w:val="46"/>
          <w:sz w:val="21"/>
        </w:rPr>
        <w:t> </w:t>
      </w:r>
      <w:r>
        <w:rPr>
          <w:sz w:val="21"/>
        </w:rPr>
        <w:t>by</w:t>
      </w:r>
      <w:r>
        <w:rPr>
          <w:spacing w:val="45"/>
          <w:sz w:val="21"/>
        </w:rPr>
        <w:t> </w:t>
      </w:r>
      <w:r>
        <w:rPr>
          <w:sz w:val="21"/>
        </w:rPr>
        <w:t>having</w:t>
      </w:r>
      <w:r>
        <w:rPr>
          <w:spacing w:val="48"/>
          <w:sz w:val="21"/>
        </w:rPr>
        <w:t> </w:t>
      </w:r>
      <w:r>
        <w:rPr>
          <w:sz w:val="21"/>
        </w:rPr>
        <w:t>separate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3" w:firstLine="0"/>
        <w:jc w:val="both"/>
        <w:rPr>
          <w:sz w:val="21"/>
        </w:rPr>
      </w:pPr>
      <w:r>
        <w:rPr>
          <w:sz w:val="21"/>
        </w:rPr>
        <w:t>entry for egress and ingress of the people without disturbing each others rights. For this purpose the concerned parties may approach the Government of India who shall act in accordance with the above directions and also as contained in the judgement of Apex Court in Dr. Ismail Farooqi</w:t>
      </w:r>
      <w:r>
        <w:rPr>
          <w:spacing w:val="-18"/>
          <w:sz w:val="21"/>
        </w:rPr>
        <w:t> </w:t>
      </w:r>
      <w:r>
        <w:rPr>
          <w:sz w:val="21"/>
        </w:rPr>
        <w:t>(Supra).</w:t>
      </w:r>
    </w:p>
    <w:p>
      <w:pPr>
        <w:pStyle w:val="ListParagraph"/>
        <w:numPr>
          <w:ilvl w:val="1"/>
          <w:numId w:val="110"/>
        </w:numPr>
        <w:tabs>
          <w:tab w:pos="2310" w:val="left" w:leader="none"/>
        </w:tabs>
        <w:spacing w:line="276" w:lineRule="auto" w:before="2" w:after="0"/>
        <w:ind w:left="1940" w:right="2261" w:firstLine="0"/>
        <w:jc w:val="both"/>
        <w:rPr>
          <w:sz w:val="21"/>
        </w:rPr>
      </w:pPr>
      <w:r>
        <w:rPr>
          <w:sz w:val="21"/>
        </w:rPr>
        <w:t>A decree, partly preliminary and partly final, to the effect as said above (i to v) is passed. Suit-5 is decreed in part to the above extent. The parties are at liberty to file their suggestions for actual partition of the property in dispute in the manner as directed above by metes and bounds by submitting an application to this effect to the Officer on Special Duty, Ayodhya Bench at Lucknow or the Registrar, Lucknow Bench, Lucknow, as the case may</w:t>
      </w:r>
      <w:r>
        <w:rPr>
          <w:spacing w:val="-14"/>
          <w:sz w:val="21"/>
        </w:rPr>
        <w:t> </w:t>
      </w:r>
      <w:r>
        <w:rPr>
          <w:sz w:val="21"/>
        </w:rPr>
        <w:t>be.</w:t>
      </w:r>
    </w:p>
    <w:p>
      <w:pPr>
        <w:pStyle w:val="ListParagraph"/>
        <w:numPr>
          <w:ilvl w:val="1"/>
          <w:numId w:val="110"/>
        </w:numPr>
        <w:tabs>
          <w:tab w:pos="2449" w:val="left" w:leader="none"/>
        </w:tabs>
        <w:spacing w:line="276" w:lineRule="auto" w:before="0" w:after="0"/>
        <w:ind w:left="1940" w:right="2264" w:firstLine="0"/>
        <w:jc w:val="both"/>
        <w:rPr>
          <w:sz w:val="21"/>
        </w:rPr>
      </w:pPr>
      <w:r>
        <w:rPr>
          <w:sz w:val="21"/>
        </w:rPr>
        <w:t>For a period of three months or unless directed otherwise, whichever is earlier, the parties shall maintain status quo as on today in respect of property in</w:t>
      </w:r>
      <w:r>
        <w:rPr>
          <w:spacing w:val="-30"/>
          <w:sz w:val="21"/>
        </w:rPr>
        <w:t> </w:t>
      </w:r>
      <w:r>
        <w:rPr>
          <w:sz w:val="21"/>
        </w:rPr>
        <w:t>dispute.‖</w:t>
      </w:r>
    </w:p>
    <w:p>
      <w:pPr>
        <w:pStyle w:val="BodyText"/>
      </w:pPr>
    </w:p>
    <w:p>
      <w:pPr>
        <w:pStyle w:val="BodyText"/>
        <w:ind w:left="500"/>
      </w:pPr>
      <w:r>
        <w:rPr/>
        <w:t>Justice S U Khan issued the following directions:</w:t>
      </w:r>
    </w:p>
    <w:p>
      <w:pPr>
        <w:pStyle w:val="BodyText"/>
        <w:spacing w:before="5"/>
        <w:rPr>
          <w:sz w:val="35"/>
        </w:rPr>
      </w:pPr>
    </w:p>
    <w:p>
      <w:pPr>
        <w:spacing w:line="276" w:lineRule="auto" w:before="0"/>
        <w:ind w:left="1940" w:right="2262" w:firstLine="0"/>
        <w:jc w:val="both"/>
        <w:rPr>
          <w:sz w:val="21"/>
        </w:rPr>
      </w:pPr>
      <w:r>
        <w:rPr>
          <w:w w:val="33"/>
          <w:sz w:val="21"/>
        </w:rPr>
        <w:t>―</w:t>
      </w:r>
      <w:r>
        <w:rPr>
          <w:w w:val="100"/>
          <w:sz w:val="21"/>
        </w:rPr>
        <w:t>Accordingly,</w:t>
      </w:r>
      <w:r>
        <w:rPr>
          <w:sz w:val="21"/>
        </w:rPr>
        <w:t> </w:t>
      </w:r>
      <w:r>
        <w:rPr>
          <w:w w:val="100"/>
          <w:sz w:val="21"/>
        </w:rPr>
        <w:t>all</w:t>
      </w:r>
      <w:r>
        <w:rPr>
          <w:sz w:val="21"/>
        </w:rPr>
        <w:t> </w:t>
      </w:r>
      <w:r>
        <w:rPr>
          <w:w w:val="100"/>
          <w:sz w:val="21"/>
        </w:rPr>
        <w:t>the</w:t>
      </w:r>
      <w:r>
        <w:rPr>
          <w:sz w:val="21"/>
        </w:rPr>
        <w:t> </w:t>
      </w:r>
      <w:r>
        <w:rPr>
          <w:w w:val="100"/>
          <w:sz w:val="21"/>
        </w:rPr>
        <w:t>three</w:t>
      </w:r>
      <w:r>
        <w:rPr>
          <w:sz w:val="21"/>
        </w:rPr>
        <w:t> </w:t>
      </w:r>
      <w:r>
        <w:rPr>
          <w:w w:val="100"/>
          <w:sz w:val="21"/>
        </w:rPr>
        <w:t>sets</w:t>
      </w:r>
      <w:r>
        <w:rPr>
          <w:sz w:val="21"/>
        </w:rPr>
        <w:t> </w:t>
      </w:r>
      <w:r>
        <w:rPr>
          <w:w w:val="100"/>
          <w:sz w:val="21"/>
        </w:rPr>
        <w:t>of</w:t>
      </w:r>
      <w:r>
        <w:rPr>
          <w:sz w:val="21"/>
        </w:rPr>
        <w:t> </w:t>
      </w:r>
      <w:r>
        <w:rPr>
          <w:w w:val="100"/>
          <w:sz w:val="21"/>
        </w:rPr>
        <w:t>parties,</w:t>
      </w:r>
      <w:r>
        <w:rPr>
          <w:sz w:val="21"/>
        </w:rPr>
        <w:t> </w:t>
      </w:r>
      <w:r>
        <w:rPr>
          <w:w w:val="100"/>
          <w:sz w:val="21"/>
        </w:rPr>
        <w:t>i.e.</w:t>
      </w:r>
      <w:r>
        <w:rPr>
          <w:sz w:val="21"/>
        </w:rPr>
        <w:t> </w:t>
      </w:r>
      <w:r>
        <w:rPr>
          <w:w w:val="100"/>
          <w:sz w:val="21"/>
        </w:rPr>
        <w:t>Muslims,</w:t>
      </w:r>
      <w:r>
        <w:rPr>
          <w:sz w:val="21"/>
        </w:rPr>
        <w:t> </w:t>
      </w:r>
      <w:r>
        <w:rPr>
          <w:w w:val="100"/>
          <w:sz w:val="21"/>
        </w:rPr>
        <w:t>Hindus </w:t>
      </w:r>
      <w:r>
        <w:rPr>
          <w:sz w:val="21"/>
        </w:rPr>
        <w:t>and Nirmohi Akhara are declared joint title holders of the property/ premises in dispute as described by letters A B C D E F in the map Plan-I prepared by Sri Shiv Shanker Lal, Pleader/ Commissioner appointed by Court in Suit No.1 to the extent of one third share each for using and managing the same for worshipping. A preliminary decree to this effect is passed.</w:t>
      </w:r>
    </w:p>
    <w:p>
      <w:pPr>
        <w:spacing w:line="276" w:lineRule="auto" w:before="0"/>
        <w:ind w:left="1940" w:right="2264" w:firstLine="0"/>
        <w:jc w:val="both"/>
        <w:rPr>
          <w:sz w:val="21"/>
        </w:rPr>
      </w:pPr>
      <w:r>
        <w:rPr>
          <w:sz w:val="21"/>
        </w:rPr>
        <w:t>However, it is further declared that the portion below the central dome where at present the idol is kept in makeshift temple will be allotted to Hindus in final decree.</w:t>
      </w:r>
    </w:p>
    <w:p>
      <w:pPr>
        <w:spacing w:line="276" w:lineRule="auto" w:before="0"/>
        <w:ind w:left="1940" w:right="2264" w:firstLine="0"/>
        <w:jc w:val="both"/>
        <w:rPr>
          <w:sz w:val="21"/>
        </w:rPr>
      </w:pPr>
      <w:r>
        <w:rPr>
          <w:sz w:val="21"/>
        </w:rPr>
        <w:t>It is further directed that Nirmohi Akhara will be allotted share including that part which is shown by the words Ram Chabutra and Sita Rasoi in the said</w:t>
      </w:r>
      <w:r>
        <w:rPr>
          <w:spacing w:val="-8"/>
          <w:sz w:val="21"/>
        </w:rPr>
        <w:t> </w:t>
      </w:r>
      <w:r>
        <w:rPr>
          <w:sz w:val="21"/>
        </w:rPr>
        <w:t>map.</w:t>
      </w:r>
    </w:p>
    <w:p>
      <w:pPr>
        <w:spacing w:line="276" w:lineRule="auto" w:before="1"/>
        <w:ind w:left="1940" w:right="2260" w:firstLine="0"/>
        <w:jc w:val="both"/>
        <w:rPr>
          <w:sz w:val="21"/>
        </w:rPr>
      </w:pPr>
      <w:r>
        <w:rPr>
          <w:sz w:val="21"/>
        </w:rPr>
        <w:t>It is further clarified that even though all the three parties are declared to have one third share each, however if while allotting exact portions some minor adjustment in the share is to be made then the same will be made and the adversely affected party may be compensated by allotting some portion of the adjoining land which has been acquired by the Central Government.</w:t>
      </w:r>
    </w:p>
    <w:p>
      <w:pPr>
        <w:spacing w:line="273" w:lineRule="auto" w:before="0"/>
        <w:ind w:left="1940" w:right="2261" w:firstLine="0"/>
        <w:jc w:val="both"/>
        <w:rPr>
          <w:sz w:val="21"/>
        </w:rPr>
      </w:pPr>
      <w:r>
        <w:rPr>
          <w:sz w:val="21"/>
        </w:rPr>
        <w:t>The parties are at liberty to file their suggestions for actual partition by metes and bounds within three months.‖</w:t>
      </w:r>
    </w:p>
    <w:p>
      <w:pPr>
        <w:pStyle w:val="BodyText"/>
        <w:rPr>
          <w:sz w:val="24"/>
        </w:rPr>
      </w:pPr>
    </w:p>
    <w:p>
      <w:pPr>
        <w:pStyle w:val="BodyText"/>
        <w:spacing w:before="6"/>
        <w:rPr>
          <w:sz w:val="26"/>
        </w:rPr>
      </w:pPr>
    </w:p>
    <w:p>
      <w:pPr>
        <w:pStyle w:val="BodyText"/>
        <w:ind w:left="500"/>
      </w:pPr>
      <w:r>
        <w:rPr/>
        <w:t>Justice D V Sharma decreed the suit of the plaintiffs in the following terms:</w:t>
      </w:r>
    </w:p>
    <w:p>
      <w:pPr>
        <w:pStyle w:val="BodyText"/>
        <w:spacing w:before="9"/>
        <w:rPr>
          <w:sz w:val="24"/>
        </w:rPr>
      </w:pPr>
    </w:p>
    <w:p>
      <w:pPr>
        <w:spacing w:line="276" w:lineRule="auto" w:before="0"/>
        <w:ind w:left="1940" w:right="2262" w:firstLine="0"/>
        <w:jc w:val="both"/>
        <w:rPr>
          <w:sz w:val="21"/>
        </w:rPr>
      </w:pPr>
      <w:r>
        <w:rPr>
          <w:spacing w:val="-1"/>
          <w:w w:val="33"/>
          <w:sz w:val="21"/>
        </w:rPr>
        <w:t>―</w:t>
      </w:r>
      <w:r>
        <w:rPr>
          <w:w w:val="100"/>
          <w:sz w:val="21"/>
        </w:rPr>
        <w:t>Pl</w:t>
      </w:r>
      <w:r>
        <w:rPr>
          <w:spacing w:val="-3"/>
          <w:w w:val="100"/>
          <w:sz w:val="21"/>
        </w:rPr>
        <w:t>a</w:t>
      </w:r>
      <w:r>
        <w:rPr>
          <w:w w:val="100"/>
          <w:sz w:val="21"/>
        </w:rPr>
        <w:t>i</w:t>
      </w:r>
      <w:r>
        <w:rPr>
          <w:spacing w:val="-1"/>
          <w:w w:val="100"/>
          <w:sz w:val="21"/>
        </w:rPr>
        <w:t>n</w:t>
      </w:r>
      <w:r>
        <w:rPr>
          <w:spacing w:val="-4"/>
          <w:w w:val="100"/>
          <w:sz w:val="21"/>
        </w:rPr>
        <w:t>t</w:t>
      </w:r>
      <w:r>
        <w:rPr>
          <w:w w:val="100"/>
          <w:sz w:val="21"/>
        </w:rPr>
        <w:t>i</w:t>
      </w:r>
      <w:r>
        <w:rPr>
          <w:spacing w:val="-2"/>
          <w:w w:val="100"/>
          <w:sz w:val="21"/>
        </w:rPr>
        <w:t>f</w:t>
      </w:r>
      <w:r>
        <w:rPr>
          <w:spacing w:val="1"/>
          <w:w w:val="100"/>
          <w:sz w:val="21"/>
        </w:rPr>
        <w:t>f</w:t>
      </w:r>
      <w:r>
        <w:rPr>
          <w:w w:val="100"/>
          <w:sz w:val="21"/>
        </w:rPr>
        <w:t>s'</w:t>
      </w:r>
      <w:r>
        <w:rPr>
          <w:sz w:val="21"/>
        </w:rPr>
        <w:t> </w:t>
      </w:r>
      <w:r>
        <w:rPr>
          <w:spacing w:val="-14"/>
          <w:sz w:val="21"/>
        </w:rPr>
        <w:t> </w:t>
      </w:r>
      <w:r>
        <w:rPr>
          <w:w w:val="100"/>
          <w:sz w:val="21"/>
        </w:rPr>
        <w:t>s</w:t>
      </w:r>
      <w:r>
        <w:rPr>
          <w:spacing w:val="-3"/>
          <w:w w:val="100"/>
          <w:sz w:val="21"/>
        </w:rPr>
        <w:t>u</w:t>
      </w:r>
      <w:r>
        <w:rPr>
          <w:w w:val="100"/>
          <w:sz w:val="21"/>
        </w:rPr>
        <w:t>it</w:t>
      </w:r>
      <w:r>
        <w:rPr>
          <w:sz w:val="21"/>
        </w:rPr>
        <w:t> </w:t>
      </w:r>
      <w:r>
        <w:rPr>
          <w:spacing w:val="-13"/>
          <w:sz w:val="21"/>
        </w:rPr>
        <w:t> </w:t>
      </w:r>
      <w:r>
        <w:rPr>
          <w:w w:val="100"/>
          <w:sz w:val="21"/>
        </w:rPr>
        <w:t>is</w:t>
      </w:r>
      <w:r>
        <w:rPr>
          <w:sz w:val="21"/>
        </w:rPr>
        <w:t> </w:t>
      </w:r>
      <w:r>
        <w:rPr>
          <w:spacing w:val="-14"/>
          <w:sz w:val="21"/>
        </w:rPr>
        <w:t> </w:t>
      </w:r>
      <w:r>
        <w:rPr>
          <w:spacing w:val="-1"/>
          <w:w w:val="100"/>
          <w:sz w:val="21"/>
        </w:rPr>
        <w:t>d</w:t>
      </w:r>
      <w:r>
        <w:rPr>
          <w:spacing w:val="-3"/>
          <w:w w:val="100"/>
          <w:sz w:val="21"/>
        </w:rPr>
        <w:t>e</w:t>
      </w:r>
      <w:r>
        <w:rPr>
          <w:w w:val="100"/>
          <w:sz w:val="21"/>
        </w:rPr>
        <w:t>c</w:t>
      </w:r>
      <w:r>
        <w:rPr>
          <w:spacing w:val="-1"/>
          <w:w w:val="100"/>
          <w:sz w:val="21"/>
        </w:rPr>
        <w:t>re</w:t>
      </w:r>
      <w:r>
        <w:rPr>
          <w:spacing w:val="-3"/>
          <w:w w:val="100"/>
          <w:sz w:val="21"/>
        </w:rPr>
        <w:t>e</w:t>
      </w:r>
      <w:r>
        <w:rPr>
          <w:w w:val="100"/>
          <w:sz w:val="21"/>
        </w:rPr>
        <w:t>d</w:t>
      </w:r>
      <w:r>
        <w:rPr>
          <w:sz w:val="21"/>
        </w:rPr>
        <w:t> </w:t>
      </w:r>
      <w:r>
        <w:rPr>
          <w:spacing w:val="-12"/>
          <w:sz w:val="21"/>
        </w:rPr>
        <w:t> </w:t>
      </w:r>
      <w:r>
        <w:rPr>
          <w:spacing w:val="-1"/>
          <w:w w:val="100"/>
          <w:sz w:val="21"/>
        </w:rPr>
        <w:t>bu</w:t>
      </w:r>
      <w:r>
        <w:rPr>
          <w:w w:val="100"/>
          <w:sz w:val="21"/>
        </w:rPr>
        <w:t>t</w:t>
      </w:r>
      <w:r>
        <w:rPr>
          <w:sz w:val="21"/>
        </w:rPr>
        <w:t> </w:t>
      </w:r>
      <w:r>
        <w:rPr>
          <w:spacing w:val="-13"/>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14"/>
          <w:sz w:val="21"/>
        </w:rPr>
        <w:t> </w:t>
      </w:r>
      <w:r>
        <w:rPr>
          <w:spacing w:val="-1"/>
          <w:w w:val="100"/>
          <w:sz w:val="21"/>
        </w:rPr>
        <w:t>e</w:t>
      </w:r>
      <w:r>
        <w:rPr>
          <w:spacing w:val="-3"/>
          <w:w w:val="100"/>
          <w:sz w:val="21"/>
        </w:rPr>
        <w:t>a</w:t>
      </w:r>
      <w:r>
        <w:rPr>
          <w:w w:val="100"/>
          <w:sz w:val="21"/>
        </w:rPr>
        <w:t>sy</w:t>
      </w:r>
      <w:r>
        <w:rPr>
          <w:sz w:val="21"/>
        </w:rPr>
        <w:t> </w:t>
      </w:r>
      <w:r>
        <w:rPr>
          <w:spacing w:val="-14"/>
          <w:sz w:val="21"/>
        </w:rPr>
        <w:t> </w:t>
      </w:r>
      <w:r>
        <w:rPr>
          <w:w w:val="100"/>
          <w:sz w:val="21"/>
        </w:rPr>
        <w:t>cos</w:t>
      </w:r>
      <w:r>
        <w:rPr>
          <w:spacing w:val="-1"/>
          <w:w w:val="100"/>
          <w:sz w:val="21"/>
        </w:rPr>
        <w:t>t</w:t>
      </w:r>
      <w:r>
        <w:rPr>
          <w:w w:val="100"/>
          <w:sz w:val="21"/>
        </w:rPr>
        <w:t>s.</w:t>
      </w:r>
      <w:r>
        <w:rPr>
          <w:sz w:val="21"/>
        </w:rPr>
        <w:t> </w:t>
      </w:r>
      <w:r>
        <w:rPr>
          <w:spacing w:val="-13"/>
          <w:sz w:val="21"/>
        </w:rPr>
        <w:t> </w:t>
      </w:r>
      <w:r>
        <w:rPr>
          <w:spacing w:val="-2"/>
          <w:w w:val="100"/>
          <w:sz w:val="21"/>
        </w:rPr>
        <w:t>I</w:t>
      </w:r>
      <w:r>
        <w:rPr>
          <w:w w:val="100"/>
          <w:sz w:val="21"/>
        </w:rPr>
        <w:t>t</w:t>
      </w:r>
      <w:r>
        <w:rPr>
          <w:sz w:val="21"/>
        </w:rPr>
        <w:t> </w:t>
      </w:r>
      <w:r>
        <w:rPr>
          <w:spacing w:val="-13"/>
          <w:sz w:val="21"/>
        </w:rPr>
        <w:t> </w:t>
      </w:r>
      <w:r>
        <w:rPr>
          <w:w w:val="100"/>
          <w:sz w:val="21"/>
        </w:rPr>
        <w:t>is</w:t>
      </w:r>
      <w:r>
        <w:rPr>
          <w:sz w:val="21"/>
        </w:rPr>
        <w:t> </w:t>
      </w:r>
      <w:r>
        <w:rPr>
          <w:spacing w:val="-14"/>
          <w:sz w:val="21"/>
        </w:rPr>
        <w:t> </w:t>
      </w:r>
      <w:r>
        <w:rPr>
          <w:spacing w:val="-1"/>
          <w:w w:val="100"/>
          <w:sz w:val="21"/>
        </w:rPr>
        <w:t>hereby </w:t>
      </w:r>
      <w:r>
        <w:rPr>
          <w:sz w:val="21"/>
        </w:rPr>
        <w:t>declared that the entire premises of Sri Ram Janm Bhumi at Ayodhya as described and delineated in annexure nos. 1</w:t>
      </w:r>
      <w:r>
        <w:rPr>
          <w:spacing w:val="45"/>
          <w:sz w:val="21"/>
        </w:rPr>
        <w:t> </w:t>
      </w:r>
      <w:r>
        <w:rPr>
          <w:sz w:val="21"/>
        </w:rPr>
        <w:t>and</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4" w:firstLine="0"/>
        <w:jc w:val="both"/>
        <w:rPr>
          <w:sz w:val="21"/>
        </w:rPr>
      </w:pPr>
      <w:r>
        <w:rPr>
          <w:sz w:val="21"/>
        </w:rPr>
        <w:t>2 of the plaint belong to the plaintiff nos. 1 and 2, the deities. The defendants are permanently restrained from interfering with, or raising any objection to, or placing any obstruction in the construction of the temple at Ram Janm Bhumi Ayodhya at the site, referred to in the plaint.‖</w:t>
      </w:r>
    </w:p>
    <w:p>
      <w:pPr>
        <w:pStyle w:val="BodyText"/>
        <w:rPr>
          <w:sz w:val="24"/>
        </w:rPr>
      </w:pPr>
    </w:p>
    <w:p>
      <w:pPr>
        <w:pStyle w:val="BodyText"/>
        <w:rPr>
          <w:sz w:val="24"/>
        </w:rPr>
      </w:pPr>
    </w:p>
    <w:p>
      <w:pPr>
        <w:pStyle w:val="Heading3"/>
        <w:numPr>
          <w:ilvl w:val="1"/>
          <w:numId w:val="56"/>
        </w:numPr>
        <w:tabs>
          <w:tab w:pos="1221" w:val="left" w:leader="none"/>
        </w:tabs>
        <w:spacing w:line="240" w:lineRule="auto" w:before="145" w:after="0"/>
        <w:ind w:left="1220" w:right="0" w:hanging="721"/>
        <w:jc w:val="both"/>
      </w:pPr>
      <w:r>
        <w:rPr/>
        <w:t>Shebaits: an exclusive right to</w:t>
      </w:r>
      <w:r>
        <w:rPr>
          <w:spacing w:val="-2"/>
        </w:rPr>
        <w:t> </w:t>
      </w:r>
      <w:r>
        <w:rPr/>
        <w:t>sue?</w:t>
      </w:r>
    </w:p>
    <w:p>
      <w:pPr>
        <w:pStyle w:val="BodyText"/>
        <w:rPr>
          <w:b/>
          <w:sz w:val="28"/>
        </w:rPr>
      </w:pPr>
    </w:p>
    <w:p>
      <w:pPr>
        <w:pStyle w:val="Heading4"/>
        <w:spacing w:before="216"/>
        <w:jc w:val="left"/>
        <w:rPr>
          <w:i/>
        </w:rPr>
      </w:pPr>
      <w:r>
        <w:rPr>
          <w:i/>
        </w:rPr>
        <w:t>The role and position of a shebait</w:t>
      </w:r>
    </w:p>
    <w:p>
      <w:pPr>
        <w:pStyle w:val="BodyText"/>
        <w:rPr>
          <w:i/>
          <w:sz w:val="40"/>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Courts recognise a Hindu idol as the material embodiment of a testator‘s pious purpose. Juristic personality can also be conferred on a </w:t>
      </w:r>
      <w:r>
        <w:rPr>
          <w:i/>
          <w:sz w:val="25"/>
        </w:rPr>
        <w:t>Swayambhu </w:t>
      </w:r>
      <w:r>
        <w:rPr>
          <w:sz w:val="25"/>
        </w:rPr>
        <w:t>deity which is a self-manifestation in nature. An idol is a juristic person in which title to the endowed property vests. The idol does not enjoy possession of the property in the same manner as do natural persons. The property vests in the idol only in an ideal sense. The idol must act through some human agency which will manage its properties, arrange for the performance of ceremonies associated with worship and take steps to protect the endowment, </w:t>
      </w:r>
      <w:r>
        <w:rPr>
          <w:i/>
          <w:sz w:val="25"/>
        </w:rPr>
        <w:t>inter alia </w:t>
      </w:r>
      <w:r>
        <w:rPr>
          <w:sz w:val="25"/>
        </w:rPr>
        <w:t>by bringing proceedings on behalf of the idol. The shebait is the human person who discharges this</w:t>
      </w:r>
      <w:r>
        <w:rPr>
          <w:spacing w:val="-3"/>
          <w:sz w:val="25"/>
        </w:rPr>
        <w:t> </w:t>
      </w:r>
      <w:r>
        <w:rPr>
          <w:sz w:val="25"/>
        </w:rPr>
        <w:t>role.</w:t>
      </w:r>
    </w:p>
    <w:p>
      <w:pPr>
        <w:pStyle w:val="BodyText"/>
        <w:rPr>
          <w:sz w:val="39"/>
        </w:rPr>
      </w:pPr>
    </w:p>
    <w:p>
      <w:pPr>
        <w:pStyle w:val="ListParagraph"/>
        <w:numPr>
          <w:ilvl w:val="0"/>
          <w:numId w:val="111"/>
        </w:numPr>
        <w:tabs>
          <w:tab w:pos="1290" w:val="left" w:leader="none"/>
        </w:tabs>
        <w:spacing w:line="480" w:lineRule="auto" w:before="0" w:after="0"/>
        <w:ind w:left="500" w:right="434" w:firstLine="0"/>
        <w:jc w:val="both"/>
        <w:rPr>
          <w:sz w:val="25"/>
        </w:rPr>
      </w:pPr>
      <w:r>
        <w:rPr>
          <w:sz w:val="25"/>
        </w:rPr>
        <w:t>Nirmohi Akhara has instituted Suit 3 on the ground that it is the shebait of the deities of Lord Ram at the disputed site. Whether or not Nirmohi Akhara is a shebait, has a material bearing on the determination of rights </w:t>
      </w:r>
      <w:r>
        <w:rPr>
          <w:i/>
          <w:sz w:val="25"/>
        </w:rPr>
        <w:t>inter se </w:t>
      </w:r>
      <w:r>
        <w:rPr>
          <w:sz w:val="25"/>
        </w:rPr>
        <w:t>between the parties in Suits 3 and 5. To adjudicate on this controversy, it is necessary to analyse the position of a shebait in our</w:t>
      </w:r>
      <w:r>
        <w:rPr>
          <w:spacing w:val="-4"/>
          <w:sz w:val="25"/>
        </w:rPr>
        <w:t> </w:t>
      </w:r>
      <w:r>
        <w:rPr>
          <w:sz w:val="25"/>
        </w:rPr>
        <w:t>law.</w:t>
      </w:r>
    </w:p>
    <w:p>
      <w:pPr>
        <w:spacing w:after="0" w:line="480" w:lineRule="auto"/>
        <w:jc w:val="both"/>
        <w:rPr>
          <w:sz w:val="25"/>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1" w:after="0"/>
        <w:ind w:left="500" w:right="435" w:firstLine="0"/>
        <w:jc w:val="both"/>
        <w:rPr>
          <w:sz w:val="25"/>
        </w:rPr>
      </w:pPr>
      <w:r>
        <w:rPr>
          <w:sz w:val="25"/>
        </w:rPr>
        <w:t>An early decision was rendered by the Privy Council in </w:t>
      </w:r>
      <w:r>
        <w:rPr>
          <w:b/>
          <w:sz w:val="25"/>
        </w:rPr>
        <w:t>Posunno Kumari Debya </w:t>
      </w:r>
      <w:r>
        <w:rPr>
          <w:sz w:val="25"/>
        </w:rPr>
        <w:t>v </w:t>
      </w:r>
      <w:r>
        <w:rPr>
          <w:b/>
          <w:sz w:val="25"/>
        </w:rPr>
        <w:t>Golab Chand Baboo</w:t>
      </w:r>
      <w:r>
        <w:rPr>
          <w:sz w:val="25"/>
        </w:rPr>
        <w:t>.</w:t>
      </w:r>
      <w:r>
        <w:rPr>
          <w:sz w:val="25"/>
          <w:vertAlign w:val="superscript"/>
        </w:rPr>
        <w:t>210</w:t>
      </w:r>
      <w:r>
        <w:rPr>
          <w:sz w:val="25"/>
          <w:vertAlign w:val="baseline"/>
        </w:rPr>
        <w:t> A suit was instituted by the shebaits of an idol against their immediate predecessor to set aside two execution decrees directing the sale of the property. Analysing whether the actions of a shebait binds subsequent shebaits, the Privy Council, speaking through Justice ME Smith</w:t>
      </w:r>
      <w:r>
        <w:rPr>
          <w:spacing w:val="-23"/>
          <w:sz w:val="25"/>
          <w:vertAlign w:val="baseline"/>
        </w:rPr>
        <w:t> </w:t>
      </w:r>
      <w:r>
        <w:rPr>
          <w:sz w:val="25"/>
          <w:vertAlign w:val="baseline"/>
        </w:rPr>
        <w:t>held:</w:t>
      </w:r>
    </w:p>
    <w:p>
      <w:pPr>
        <w:spacing w:line="276" w:lineRule="auto" w:before="161"/>
        <w:ind w:left="1940" w:right="2262" w:firstLine="0"/>
        <w:jc w:val="both"/>
        <w:rPr>
          <w:sz w:val="21"/>
        </w:rPr>
      </w:pPr>
      <w:r>
        <w:rPr>
          <w:spacing w:val="-1"/>
          <w:w w:val="33"/>
          <w:sz w:val="21"/>
        </w:rPr>
        <w:t>―</w:t>
      </w:r>
      <w:r>
        <w:rPr>
          <w:spacing w:val="-2"/>
          <w:w w:val="100"/>
          <w:sz w:val="21"/>
        </w:rPr>
        <w:t>I</w:t>
      </w:r>
      <w:r>
        <w:rPr>
          <w:w w:val="100"/>
          <w:sz w:val="21"/>
        </w:rPr>
        <w:t>t</w:t>
      </w:r>
      <w:r>
        <w:rPr>
          <w:spacing w:val="7"/>
          <w:sz w:val="21"/>
        </w:rPr>
        <w:t> </w:t>
      </w:r>
      <w:r>
        <w:rPr>
          <w:spacing w:val="-2"/>
          <w:w w:val="100"/>
          <w:sz w:val="21"/>
        </w:rPr>
        <w:t>w</w:t>
      </w:r>
      <w:r>
        <w:rPr>
          <w:spacing w:val="-1"/>
          <w:w w:val="100"/>
          <w:sz w:val="21"/>
        </w:rPr>
        <w:t>ou</w:t>
      </w:r>
      <w:r>
        <w:rPr>
          <w:spacing w:val="1"/>
          <w:w w:val="100"/>
          <w:sz w:val="21"/>
        </w:rPr>
        <w:t>l</w:t>
      </w:r>
      <w:r>
        <w:rPr>
          <w:w w:val="100"/>
          <w:sz w:val="21"/>
        </w:rPr>
        <w:t>d</w:t>
      </w:r>
      <w:r>
        <w:rPr>
          <w:spacing w:val="6"/>
          <w:sz w:val="21"/>
        </w:rPr>
        <w:t> </w:t>
      </w:r>
      <w:r>
        <w:rPr>
          <w:w w:val="100"/>
          <w:sz w:val="21"/>
        </w:rPr>
        <w:t>se</w:t>
      </w:r>
      <w:r>
        <w:rPr>
          <w:spacing w:val="-3"/>
          <w:w w:val="100"/>
          <w:sz w:val="21"/>
        </w:rPr>
        <w:t>e</w:t>
      </w:r>
      <w:r>
        <w:rPr>
          <w:w w:val="100"/>
          <w:sz w:val="21"/>
        </w:rPr>
        <w:t>m</w:t>
      </w:r>
      <w:r>
        <w:rPr>
          <w:spacing w:val="7"/>
          <w:sz w:val="21"/>
        </w:rPr>
        <w:t> </w:t>
      </w:r>
      <w:r>
        <w:rPr>
          <w:spacing w:val="-2"/>
          <w:w w:val="100"/>
          <w:sz w:val="21"/>
        </w:rPr>
        <w:t>t</w:t>
      </w:r>
      <w:r>
        <w:rPr>
          <w:w w:val="100"/>
          <w:sz w:val="21"/>
        </w:rPr>
        <w:t>o</w:t>
      </w:r>
      <w:r>
        <w:rPr>
          <w:spacing w:val="6"/>
          <w:sz w:val="21"/>
        </w:rPr>
        <w:t> </w:t>
      </w:r>
      <w:r>
        <w:rPr>
          <w:spacing w:val="1"/>
          <w:w w:val="100"/>
          <w:sz w:val="21"/>
        </w:rPr>
        <w:t>f</w:t>
      </w:r>
      <w:r>
        <w:rPr>
          <w:spacing w:val="-3"/>
          <w:w w:val="100"/>
          <w:sz w:val="21"/>
        </w:rPr>
        <w:t>o</w:t>
      </w:r>
      <w:r>
        <w:rPr>
          <w:w w:val="100"/>
          <w:sz w:val="21"/>
        </w:rPr>
        <w:t>l</w:t>
      </w:r>
      <w:r>
        <w:rPr>
          <w:spacing w:val="-2"/>
          <w:w w:val="100"/>
          <w:sz w:val="21"/>
        </w:rPr>
        <w:t>l</w:t>
      </w:r>
      <w:r>
        <w:rPr>
          <w:spacing w:val="-1"/>
          <w:w w:val="100"/>
          <w:sz w:val="21"/>
        </w:rPr>
        <w:t>o</w:t>
      </w:r>
      <w:r>
        <w:rPr>
          <w:w w:val="100"/>
          <w:sz w:val="21"/>
        </w:rPr>
        <w:t>w</w:t>
      </w:r>
      <w:r>
        <w:rPr>
          <w:spacing w:val="7"/>
          <w:sz w:val="21"/>
        </w:rPr>
        <w:t> </w:t>
      </w:r>
      <w:r>
        <w:rPr>
          <w:spacing w:val="-4"/>
          <w:w w:val="100"/>
          <w:sz w:val="21"/>
        </w:rPr>
        <w:t>t</w:t>
      </w:r>
      <w:r>
        <w:rPr>
          <w:spacing w:val="-1"/>
          <w:w w:val="100"/>
          <w:sz w:val="21"/>
        </w:rPr>
        <w:t>ha</w:t>
      </w:r>
      <w:r>
        <w:rPr>
          <w:w w:val="100"/>
          <w:sz w:val="21"/>
        </w:rPr>
        <w:t>t</w:t>
      </w:r>
      <w:r>
        <w:rPr>
          <w:spacing w:val="7"/>
          <w:sz w:val="21"/>
        </w:rPr>
        <w:t> </w:t>
      </w:r>
      <w:r>
        <w:rPr>
          <w:spacing w:val="-2"/>
          <w:w w:val="100"/>
          <w:sz w:val="21"/>
        </w:rPr>
        <w:t>t</w:t>
      </w:r>
      <w:r>
        <w:rPr>
          <w:spacing w:val="-1"/>
          <w:w w:val="100"/>
          <w:sz w:val="21"/>
        </w:rPr>
        <w:t>h</w:t>
      </w:r>
      <w:r>
        <w:rPr>
          <w:w w:val="100"/>
          <w:sz w:val="21"/>
        </w:rPr>
        <w:t>e</w:t>
      </w:r>
      <w:r>
        <w:rPr>
          <w:spacing w:val="6"/>
          <w:sz w:val="21"/>
        </w:rPr>
        <w:t> </w:t>
      </w:r>
      <w:r>
        <w:rPr>
          <w:spacing w:val="-1"/>
          <w:w w:val="100"/>
          <w:sz w:val="21"/>
        </w:rPr>
        <w:t>per</w:t>
      </w:r>
      <w:r>
        <w:rPr>
          <w:spacing w:val="-3"/>
          <w:w w:val="100"/>
          <w:sz w:val="21"/>
        </w:rPr>
        <w:t>s</w:t>
      </w:r>
      <w:r>
        <w:rPr>
          <w:spacing w:val="-1"/>
          <w:w w:val="100"/>
          <w:sz w:val="21"/>
        </w:rPr>
        <w:t>o</w:t>
      </w:r>
      <w:r>
        <w:rPr>
          <w:w w:val="100"/>
          <w:sz w:val="21"/>
        </w:rPr>
        <w:t>n</w:t>
      </w:r>
      <w:r>
        <w:rPr>
          <w:spacing w:val="6"/>
          <w:sz w:val="21"/>
        </w:rPr>
        <w:t> </w:t>
      </w:r>
      <w:r>
        <w:rPr>
          <w:w w:val="100"/>
          <w:sz w:val="21"/>
        </w:rPr>
        <w:t>so</w:t>
      </w:r>
      <w:r>
        <w:rPr>
          <w:spacing w:val="6"/>
          <w:sz w:val="21"/>
        </w:rPr>
        <w:t> </w:t>
      </w:r>
      <w:r>
        <w:rPr>
          <w:spacing w:val="-1"/>
          <w:w w:val="100"/>
          <w:sz w:val="21"/>
        </w:rPr>
        <w:t>entrus</w:t>
      </w:r>
      <w:r>
        <w:rPr>
          <w:spacing w:val="-4"/>
          <w:w w:val="100"/>
          <w:sz w:val="21"/>
        </w:rPr>
        <w:t>t</w:t>
      </w:r>
      <w:r>
        <w:rPr>
          <w:spacing w:val="-1"/>
          <w:w w:val="100"/>
          <w:sz w:val="21"/>
        </w:rPr>
        <w:t>e</w:t>
      </w:r>
      <w:r>
        <w:rPr>
          <w:w w:val="100"/>
          <w:sz w:val="21"/>
        </w:rPr>
        <w:t>d</w:t>
      </w:r>
      <w:r>
        <w:rPr>
          <w:spacing w:val="6"/>
          <w:sz w:val="21"/>
        </w:rPr>
        <w:t> </w:t>
      </w:r>
      <w:r>
        <w:rPr>
          <w:spacing w:val="1"/>
          <w:w w:val="100"/>
          <w:sz w:val="21"/>
        </w:rPr>
        <w:t>m</w:t>
      </w:r>
      <w:r>
        <w:rPr>
          <w:spacing w:val="-3"/>
          <w:w w:val="100"/>
          <w:sz w:val="21"/>
        </w:rPr>
        <w:t>u</w:t>
      </w:r>
      <w:r>
        <w:rPr>
          <w:w w:val="100"/>
          <w:sz w:val="21"/>
        </w:rPr>
        <w:t>s</w:t>
      </w:r>
      <w:r>
        <w:rPr>
          <w:spacing w:val="-2"/>
          <w:w w:val="100"/>
          <w:sz w:val="21"/>
        </w:rPr>
        <w:t>t</w:t>
      </w:r>
      <w:r>
        <w:rPr>
          <w:w w:val="100"/>
          <w:sz w:val="21"/>
        </w:rPr>
        <w:t>,</w:t>
      </w:r>
      <w:r>
        <w:rPr>
          <w:spacing w:val="7"/>
          <w:sz w:val="21"/>
        </w:rPr>
        <w:t> </w:t>
      </w:r>
      <w:r>
        <w:rPr>
          <w:spacing w:val="-3"/>
          <w:w w:val="100"/>
          <w:sz w:val="21"/>
        </w:rPr>
        <w:t>o</w:t>
      </w:r>
      <w:r>
        <w:rPr>
          <w:w w:val="100"/>
          <w:sz w:val="21"/>
        </w:rPr>
        <w:t>f </w:t>
      </w:r>
      <w:r>
        <w:rPr>
          <w:sz w:val="21"/>
        </w:rPr>
        <w:t>necessity, be empowered to do whatever may be required for the service of the idol and for the benefit and preservation of its property, at least to as great a degree as the manager of an infant heir. If this were not so, the estate of the idol might be destroyed or wasted, and its worship discontinued for want of necessary funds to preserve and maintain</w:t>
      </w:r>
      <w:r>
        <w:rPr>
          <w:spacing w:val="-18"/>
          <w:sz w:val="21"/>
        </w:rPr>
        <w:t> </w:t>
      </w:r>
      <w:r>
        <w:rPr>
          <w:sz w:val="21"/>
        </w:rPr>
        <w:t>them.‖</w:t>
      </w:r>
    </w:p>
    <w:p>
      <w:pPr>
        <w:pStyle w:val="BodyText"/>
        <w:spacing w:before="1"/>
        <w:rPr>
          <w:sz w:val="24"/>
        </w:rPr>
      </w:pPr>
    </w:p>
    <w:p>
      <w:pPr>
        <w:pStyle w:val="BodyText"/>
        <w:spacing w:line="480" w:lineRule="auto"/>
        <w:ind w:left="500" w:right="441"/>
        <w:jc w:val="both"/>
      </w:pPr>
      <w:r>
        <w:rPr/>
        <w:t>The Privy Council summarised in the above extract the true function and purpose underlying the concept of a shebait. Since, the dedicated property vests in an idol in an ideal sense, the shebait is entrusted with its management. An idol cannot personally take actions required for the benefit and preservation of its property. The idol must necessarily act through a human agent and it is for this reason that the manager of the idol is conferred by law with the status of a shebait. The law recognises the legal personality of the idol to facilitate the protection of the rights and the duties owed to the idol. The natural personality of the shebait is the human agency through which the needs and concerns of the idol are fulfilled.</w:t>
      </w:r>
    </w:p>
    <w:p>
      <w:pPr>
        <w:pStyle w:val="BodyText"/>
        <w:rPr>
          <w:sz w:val="28"/>
        </w:rPr>
      </w:pPr>
    </w:p>
    <w:p>
      <w:pPr>
        <w:pStyle w:val="BodyText"/>
        <w:spacing w:before="2"/>
        <w:rPr>
          <w:sz w:val="22"/>
        </w:rPr>
      </w:pPr>
    </w:p>
    <w:p>
      <w:pPr>
        <w:pStyle w:val="ListParagraph"/>
        <w:numPr>
          <w:ilvl w:val="0"/>
          <w:numId w:val="111"/>
        </w:numPr>
        <w:tabs>
          <w:tab w:pos="1221" w:val="left" w:leader="none"/>
        </w:tabs>
        <w:spacing w:line="480" w:lineRule="auto" w:before="0" w:after="0"/>
        <w:ind w:left="500" w:right="438" w:firstLine="0"/>
        <w:jc w:val="both"/>
        <w:rPr>
          <w:sz w:val="25"/>
        </w:rPr>
      </w:pPr>
      <w:r>
        <w:rPr>
          <w:sz w:val="25"/>
        </w:rPr>
        <w:t>The law expounded in 1875 by the Privy Council has found resonance in a decision of this Court in 1979. In </w:t>
      </w:r>
      <w:r>
        <w:rPr>
          <w:b/>
          <w:sz w:val="25"/>
        </w:rPr>
        <w:t>Profulla Chorone Requitte </w:t>
      </w:r>
      <w:r>
        <w:rPr>
          <w:sz w:val="25"/>
        </w:rPr>
        <w:t>v </w:t>
      </w:r>
      <w:r>
        <w:rPr>
          <w:b/>
          <w:sz w:val="25"/>
        </w:rPr>
        <w:t>Satya Chorone Requitte</w:t>
      </w:r>
      <w:r>
        <w:rPr>
          <w:sz w:val="25"/>
          <w:vertAlign w:val="superscript"/>
        </w:rPr>
        <w:t>211</w:t>
      </w:r>
      <w:r>
        <w:rPr>
          <w:sz w:val="25"/>
          <w:vertAlign w:val="baseline"/>
        </w:rPr>
        <w:t>, a question arose whether it was the founder‘s intention to confer</w:t>
      </w:r>
      <w:r>
        <w:rPr>
          <w:spacing w:val="13"/>
          <w:sz w:val="25"/>
          <w:vertAlign w:val="baseline"/>
        </w:rPr>
        <w:t> </w:t>
      </w:r>
      <w:r>
        <w:rPr>
          <w:sz w:val="25"/>
          <w:vertAlign w:val="baseline"/>
        </w:rPr>
        <w:t>the</w:t>
      </w:r>
    </w:p>
    <w:p>
      <w:pPr>
        <w:pStyle w:val="BodyText"/>
        <w:rPr>
          <w:sz w:val="20"/>
        </w:rPr>
      </w:pPr>
    </w:p>
    <w:p>
      <w:pPr>
        <w:pStyle w:val="BodyText"/>
        <w:rPr>
          <w:sz w:val="20"/>
        </w:rPr>
      </w:pPr>
    </w:p>
    <w:p>
      <w:pPr>
        <w:pStyle w:val="BodyText"/>
        <w:spacing w:before="4"/>
        <w:rPr>
          <w:sz w:val="17"/>
        </w:rPr>
      </w:pPr>
      <w:r>
        <w:rPr/>
        <w:pict>
          <v:rect style="position:absolute;margin-left:72.024002pt;margin-top:11.959993pt;width:144.020pt;height:.599980pt;mso-position-horizontal-relative:page;mso-position-vertical-relative:paragraph;z-index:-1567283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210</w:t>
      </w:r>
      <w:r>
        <w:rPr>
          <w:sz w:val="18"/>
          <w:vertAlign w:val="baseline"/>
        </w:rPr>
        <w:t> (1875) 14 L Beng LR 450</w:t>
      </w:r>
    </w:p>
    <w:p>
      <w:pPr>
        <w:spacing w:before="2"/>
        <w:ind w:left="500" w:right="0" w:firstLine="0"/>
        <w:jc w:val="left"/>
        <w:rPr>
          <w:sz w:val="18"/>
        </w:rPr>
      </w:pPr>
      <w:r>
        <w:rPr>
          <w:sz w:val="18"/>
          <w:vertAlign w:val="superscript"/>
        </w:rPr>
        <w:t>211</w:t>
      </w:r>
      <w:r>
        <w:rPr>
          <w:sz w:val="18"/>
          <w:vertAlign w:val="baseline"/>
        </w:rPr>
        <w:t> (1979) 3 SCC 409</w:t>
      </w:r>
    </w:p>
    <w:p>
      <w:pPr>
        <w:spacing w:after="0"/>
        <w:jc w:val="left"/>
        <w:rPr>
          <w:sz w:val="18"/>
        </w:rPr>
        <w:sectPr>
          <w:pgSz w:w="11910" w:h="16840"/>
          <w:pgMar w:header="721" w:footer="1014" w:top="1300" w:bottom="1200" w:left="940" w:right="1000"/>
        </w:sectPr>
      </w:pPr>
    </w:p>
    <w:p>
      <w:pPr>
        <w:pStyle w:val="BodyText"/>
        <w:spacing w:line="480" w:lineRule="auto" w:before="124"/>
        <w:ind w:left="500"/>
      </w:pPr>
      <w:r>
        <w:rPr/>
        <w:t>status of a shebait upon the person designated as trustees in his will. Justice RS Sarkaria, speaking for a two judge Bench of this Court held:</w:t>
      </w:r>
    </w:p>
    <w:p>
      <w:pPr>
        <w:spacing w:line="276" w:lineRule="auto" w:before="159"/>
        <w:ind w:left="1940" w:right="2261" w:firstLine="0"/>
        <w:jc w:val="both"/>
        <w:rPr>
          <w:sz w:val="21"/>
        </w:rPr>
      </w:pPr>
      <w:r>
        <w:rPr>
          <w:spacing w:val="-1"/>
          <w:w w:val="33"/>
          <w:sz w:val="21"/>
        </w:rPr>
        <w:t>―</w:t>
      </w:r>
      <w:r>
        <w:rPr>
          <w:spacing w:val="-1"/>
          <w:w w:val="100"/>
          <w:sz w:val="21"/>
        </w:rPr>
        <w:t>20</w:t>
      </w:r>
      <w:r>
        <w:rPr>
          <w:w w:val="100"/>
          <w:sz w:val="21"/>
        </w:rPr>
        <w:t>.</w:t>
      </w:r>
      <w:r>
        <w:rPr>
          <w:spacing w:val="-2"/>
          <w:sz w:val="21"/>
        </w:rPr>
        <w:t> </w:t>
      </w:r>
      <w:r>
        <w:rPr>
          <w:w w:val="100"/>
          <w:sz w:val="21"/>
        </w:rPr>
        <w:t>…</w:t>
      </w:r>
      <w:r>
        <w:rPr>
          <w:sz w:val="21"/>
        </w:rPr>
        <w:t> </w:t>
      </w:r>
      <w:r>
        <w:rPr>
          <w:spacing w:val="-19"/>
          <w:sz w:val="21"/>
        </w:rPr>
        <w:t> </w:t>
      </w:r>
      <w:r>
        <w:rPr>
          <w:w w:val="100"/>
          <w:sz w:val="21"/>
        </w:rPr>
        <w:t>P</w:t>
      </w:r>
      <w:r>
        <w:rPr>
          <w:spacing w:val="-1"/>
          <w:w w:val="100"/>
          <w:sz w:val="21"/>
        </w:rPr>
        <w:t>ro</w:t>
      </w:r>
      <w:r>
        <w:rPr>
          <w:spacing w:val="-3"/>
          <w:w w:val="100"/>
          <w:sz w:val="21"/>
        </w:rPr>
        <w:t>p</w:t>
      </w:r>
      <w:r>
        <w:rPr>
          <w:spacing w:val="-1"/>
          <w:w w:val="100"/>
          <w:sz w:val="21"/>
        </w:rPr>
        <w:t>er</w:t>
      </w:r>
      <w:r>
        <w:rPr>
          <w:spacing w:val="-2"/>
          <w:w w:val="100"/>
          <w:sz w:val="21"/>
        </w:rPr>
        <w:t>t</w:t>
      </w:r>
      <w:r>
        <w:rPr>
          <w:w w:val="100"/>
          <w:sz w:val="21"/>
        </w:rPr>
        <w:t>y</w:t>
      </w:r>
      <w:r>
        <w:rPr>
          <w:sz w:val="21"/>
        </w:rPr>
        <w:t> </w:t>
      </w:r>
      <w:r>
        <w:rPr>
          <w:spacing w:val="-21"/>
          <w:sz w:val="21"/>
        </w:rPr>
        <w:t> </w:t>
      </w:r>
      <w:r>
        <w:rPr>
          <w:spacing w:val="-1"/>
          <w:w w:val="100"/>
          <w:sz w:val="21"/>
        </w:rPr>
        <w:t>ded</w:t>
      </w:r>
      <w:r>
        <w:rPr>
          <w:spacing w:val="1"/>
          <w:w w:val="100"/>
          <w:sz w:val="21"/>
        </w:rPr>
        <w:t>i</w:t>
      </w:r>
      <w:r>
        <w:rPr>
          <w:w w:val="100"/>
          <w:sz w:val="21"/>
        </w:rPr>
        <w:t>ca</w:t>
      </w:r>
      <w:r>
        <w:rPr>
          <w:spacing w:val="-1"/>
          <w:w w:val="100"/>
          <w:sz w:val="21"/>
        </w:rPr>
        <w:t>t</w:t>
      </w:r>
      <w:r>
        <w:rPr>
          <w:spacing w:val="-3"/>
          <w:w w:val="100"/>
          <w:sz w:val="21"/>
        </w:rPr>
        <w:t>e</w:t>
      </w:r>
      <w:r>
        <w:rPr>
          <w:w w:val="100"/>
          <w:sz w:val="21"/>
        </w:rPr>
        <w:t>d</w:t>
      </w:r>
      <w:r>
        <w:rPr>
          <w:sz w:val="21"/>
        </w:rPr>
        <w:t> </w:t>
      </w:r>
      <w:r>
        <w:rPr>
          <w:spacing w:val="-19"/>
          <w:sz w:val="21"/>
        </w:rPr>
        <w:t> </w:t>
      </w:r>
      <w:r>
        <w:rPr>
          <w:spacing w:val="-2"/>
          <w:w w:val="100"/>
          <w:sz w:val="21"/>
        </w:rPr>
        <w:t>t</w:t>
      </w:r>
      <w:r>
        <w:rPr>
          <w:w w:val="100"/>
          <w:sz w:val="21"/>
        </w:rPr>
        <w:t>o</w:t>
      </w:r>
      <w:r>
        <w:rPr>
          <w:sz w:val="21"/>
        </w:rPr>
        <w:t> </w:t>
      </w:r>
      <w:r>
        <w:rPr>
          <w:spacing w:val="-19"/>
          <w:sz w:val="21"/>
        </w:rPr>
        <w:t> </w:t>
      </w:r>
      <w:r>
        <w:rPr>
          <w:spacing w:val="-1"/>
          <w:w w:val="100"/>
          <w:sz w:val="21"/>
        </w:rPr>
        <w:t>a</w:t>
      </w:r>
      <w:r>
        <w:rPr>
          <w:w w:val="100"/>
          <w:sz w:val="21"/>
        </w:rPr>
        <w:t>n</w:t>
      </w:r>
      <w:r>
        <w:rPr>
          <w:sz w:val="21"/>
        </w:rPr>
        <w:t> </w:t>
      </w:r>
      <w:r>
        <w:rPr>
          <w:spacing w:val="-19"/>
          <w:sz w:val="21"/>
        </w:rPr>
        <w:t> </w:t>
      </w:r>
      <w:r>
        <w:rPr>
          <w:w w:val="100"/>
          <w:sz w:val="21"/>
        </w:rPr>
        <w:t>i</w:t>
      </w:r>
      <w:r>
        <w:rPr>
          <w:spacing w:val="-1"/>
          <w:w w:val="100"/>
          <w:sz w:val="21"/>
        </w:rPr>
        <w:t>d</w:t>
      </w:r>
      <w:r>
        <w:rPr>
          <w:spacing w:val="-3"/>
          <w:w w:val="100"/>
          <w:sz w:val="21"/>
        </w:rPr>
        <w:t>o</w:t>
      </w:r>
      <w:r>
        <w:rPr>
          <w:w w:val="100"/>
          <w:sz w:val="21"/>
        </w:rPr>
        <w:t>l</w:t>
      </w:r>
      <w:r>
        <w:rPr>
          <w:sz w:val="21"/>
        </w:rPr>
        <w:t> </w:t>
      </w:r>
      <w:r>
        <w:rPr>
          <w:spacing w:val="-18"/>
          <w:sz w:val="21"/>
        </w:rPr>
        <w:t> </w:t>
      </w:r>
      <w:r>
        <w:rPr>
          <w:spacing w:val="-3"/>
          <w:w w:val="100"/>
          <w:sz w:val="21"/>
        </w:rPr>
        <w:t>v</w:t>
      </w:r>
      <w:r>
        <w:rPr>
          <w:spacing w:val="-1"/>
          <w:w w:val="100"/>
          <w:sz w:val="21"/>
        </w:rPr>
        <w:t>est</w:t>
      </w:r>
      <w:r>
        <w:rPr>
          <w:w w:val="100"/>
          <w:sz w:val="21"/>
        </w:rPr>
        <w:t>s</w:t>
      </w:r>
      <w:r>
        <w:rPr>
          <w:sz w:val="21"/>
        </w:rPr>
        <w:t> </w:t>
      </w:r>
      <w:r>
        <w:rPr>
          <w:spacing w:val="-19"/>
          <w:sz w:val="21"/>
        </w:rPr>
        <w:t> </w:t>
      </w:r>
      <w:r>
        <w:rPr>
          <w:w w:val="100"/>
          <w:sz w:val="21"/>
        </w:rPr>
        <w:t>in</w:t>
      </w:r>
      <w:r>
        <w:rPr>
          <w:sz w:val="21"/>
        </w:rPr>
        <w:t> </w:t>
      </w:r>
      <w:r>
        <w:rPr>
          <w:spacing w:val="-19"/>
          <w:sz w:val="21"/>
        </w:rPr>
        <w:t> </w:t>
      </w:r>
      <w:r>
        <w:rPr>
          <w:w w:val="100"/>
          <w:sz w:val="21"/>
        </w:rPr>
        <w:t>it</w:t>
      </w:r>
      <w:r>
        <w:rPr>
          <w:sz w:val="21"/>
        </w:rPr>
        <w:t> </w:t>
      </w:r>
      <w:r>
        <w:rPr>
          <w:spacing w:val="-20"/>
          <w:sz w:val="21"/>
        </w:rPr>
        <w:t> </w:t>
      </w:r>
      <w:r>
        <w:rPr>
          <w:spacing w:val="-2"/>
          <w:w w:val="100"/>
          <w:sz w:val="21"/>
        </w:rPr>
        <w:t>i</w:t>
      </w:r>
      <w:r>
        <w:rPr>
          <w:w w:val="100"/>
          <w:sz w:val="21"/>
        </w:rPr>
        <w:t>n</w:t>
      </w:r>
      <w:r>
        <w:rPr>
          <w:sz w:val="21"/>
        </w:rPr>
        <w:t> </w:t>
      </w:r>
      <w:r>
        <w:rPr>
          <w:spacing w:val="-19"/>
          <w:sz w:val="21"/>
        </w:rPr>
        <w:t> </w:t>
      </w:r>
      <w:r>
        <w:rPr>
          <w:spacing w:val="-1"/>
          <w:w w:val="100"/>
          <w:sz w:val="21"/>
        </w:rPr>
        <w:t>a</w:t>
      </w:r>
      <w:r>
        <w:rPr>
          <w:w w:val="100"/>
          <w:sz w:val="21"/>
        </w:rPr>
        <w:t>n</w:t>
      </w:r>
      <w:r>
        <w:rPr>
          <w:sz w:val="21"/>
        </w:rPr>
        <w:t> </w:t>
      </w:r>
      <w:r>
        <w:rPr>
          <w:spacing w:val="-19"/>
          <w:sz w:val="21"/>
        </w:rPr>
        <w:t> </w:t>
      </w:r>
      <w:r>
        <w:rPr>
          <w:w w:val="100"/>
          <w:sz w:val="21"/>
        </w:rPr>
        <w:t>i</w:t>
      </w:r>
      <w:r>
        <w:rPr>
          <w:spacing w:val="-3"/>
          <w:w w:val="100"/>
          <w:sz w:val="21"/>
        </w:rPr>
        <w:t>d</w:t>
      </w:r>
      <w:r>
        <w:rPr>
          <w:spacing w:val="4"/>
          <w:w w:val="100"/>
          <w:sz w:val="21"/>
        </w:rPr>
        <w:t>e</w:t>
      </w:r>
      <w:r>
        <w:rPr>
          <w:spacing w:val="-3"/>
          <w:w w:val="100"/>
          <w:sz w:val="21"/>
        </w:rPr>
        <w:t>a</w:t>
      </w:r>
      <w:r>
        <w:rPr>
          <w:w w:val="100"/>
          <w:sz w:val="21"/>
        </w:rPr>
        <w:t>l </w:t>
      </w:r>
      <w:r>
        <w:rPr>
          <w:sz w:val="21"/>
        </w:rPr>
        <w:t>sense only; ex necessitas, the possession and management has to be entrusted to some human agent. Such an agent of the idol is known as </w:t>
      </w:r>
      <w:r>
        <w:rPr>
          <w:i/>
          <w:sz w:val="21"/>
        </w:rPr>
        <w:t>shebait </w:t>
      </w:r>
      <w:r>
        <w:rPr>
          <w:sz w:val="21"/>
        </w:rPr>
        <w:t>in Northern India. The legal character of a </w:t>
      </w:r>
      <w:r>
        <w:rPr>
          <w:i/>
          <w:sz w:val="21"/>
        </w:rPr>
        <w:t>shebait </w:t>
      </w:r>
      <w:r>
        <w:rPr>
          <w:sz w:val="21"/>
        </w:rPr>
        <w:t>cannot be defined with precision and exactitude. Broadly described, he is the human ministrant and custodian of the idol, its earthly spokesman, its authorised representative entitled to deal with all its temporal affairs and to manage its</w:t>
      </w:r>
      <w:r>
        <w:rPr>
          <w:spacing w:val="-7"/>
          <w:sz w:val="21"/>
        </w:rPr>
        <w:t> </w:t>
      </w:r>
      <w:r>
        <w:rPr>
          <w:sz w:val="21"/>
        </w:rPr>
        <w:t>property.‖</w:t>
      </w:r>
    </w:p>
    <w:p>
      <w:pPr>
        <w:pStyle w:val="BodyText"/>
        <w:rPr>
          <w:sz w:val="24"/>
        </w:rPr>
      </w:pPr>
    </w:p>
    <w:p>
      <w:pPr>
        <w:pStyle w:val="BodyText"/>
        <w:spacing w:before="1"/>
        <w:rPr>
          <w:sz w:val="24"/>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 recognition of a person or a group of persons as shebaits is a substantive conferment of the right to manage the affairs of the deity. A necessary adjunct of the status of a shebait, is the right to brings actions on the behalf of an idol and bind it and its properties to the outcomes. The purpose for which legal personality is conferred upon an idol as the material embodiment of the pious purpose is protected and realised through the actions of the human agent, that is the shebait</w:t>
      </w:r>
      <w:r>
        <w:rPr>
          <w:i/>
          <w:sz w:val="25"/>
        </w:rPr>
        <w:t>. </w:t>
      </w:r>
      <w:r>
        <w:rPr>
          <w:sz w:val="25"/>
        </w:rPr>
        <w:t>The shebait is entrusted with the power and the duty to carry out the purpose of the donor in respect of the idol and its properties. In the vast majority of cases, a shebait is appointed in accordance with the terms of a deed of dedication by which property is endowed to an idol. It is for the protection of this property that the law recognises either the donor or a person named in the deed of endowment as the shebait. In the absence of an expressly appointed or identified shebait, the law has ensured the protection of the properties of the idol by the recognition of a </w:t>
      </w:r>
      <w:r>
        <w:rPr>
          <w:i/>
          <w:sz w:val="25"/>
        </w:rPr>
        <w:t>de facto </w:t>
      </w:r>
      <w:r>
        <w:rPr>
          <w:sz w:val="25"/>
        </w:rPr>
        <w:t>shebait. Where a person is in complete and continuous management of the deity‘s affairs coupled with long, exclusive and uninterrupted possession of the appurtenant property, such a person may</w:t>
      </w:r>
      <w:r>
        <w:rPr>
          <w:spacing w:val="40"/>
          <w:sz w:val="25"/>
        </w:rPr>
        <w:t> </w:t>
      </w:r>
      <w:r>
        <w:rPr>
          <w:sz w:val="25"/>
        </w:rPr>
        <w:t>be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recognised as a shebait despite the absence of a legal title to the rights of a shebait. This will be adverted to in the course of the judgement.</w:t>
      </w:r>
    </w:p>
    <w:p>
      <w:pPr>
        <w:pStyle w:val="BodyText"/>
        <w:rPr>
          <w:sz w:val="28"/>
        </w:rPr>
      </w:pPr>
    </w:p>
    <w:p>
      <w:pPr>
        <w:pStyle w:val="BodyText"/>
        <w:spacing w:before="8"/>
        <w:rPr>
          <w:sz w:val="24"/>
        </w:rPr>
      </w:pPr>
    </w:p>
    <w:p>
      <w:pPr>
        <w:pStyle w:val="ListParagraph"/>
        <w:numPr>
          <w:ilvl w:val="0"/>
          <w:numId w:val="111"/>
        </w:numPr>
        <w:tabs>
          <w:tab w:pos="1221" w:val="left" w:leader="none"/>
        </w:tabs>
        <w:spacing w:line="480" w:lineRule="auto" w:before="1" w:after="0"/>
        <w:ind w:left="500" w:right="433" w:firstLine="0"/>
        <w:jc w:val="both"/>
        <w:rPr>
          <w:sz w:val="25"/>
        </w:rPr>
      </w:pPr>
      <w:r>
        <w:rPr>
          <w:sz w:val="25"/>
        </w:rPr>
        <w:t>The position of a shebait in Hindu Law is distinct from the position of a trustee in English Law. Before the Privy Council in </w:t>
      </w:r>
      <w:r>
        <w:rPr>
          <w:b/>
          <w:sz w:val="25"/>
        </w:rPr>
        <w:t>Vidya Varuthi Thirtha </w:t>
      </w:r>
      <w:r>
        <w:rPr>
          <w:sz w:val="25"/>
        </w:rPr>
        <w:t>v </w:t>
      </w:r>
      <w:r>
        <w:rPr>
          <w:b/>
          <w:w w:val="99"/>
          <w:sz w:val="25"/>
        </w:rPr>
        <w:t>Bal</w:t>
      </w:r>
      <w:r>
        <w:rPr>
          <w:b/>
          <w:spacing w:val="1"/>
          <w:w w:val="99"/>
          <w:sz w:val="25"/>
        </w:rPr>
        <w:t>u</w:t>
      </w:r>
      <w:r>
        <w:rPr>
          <w:b/>
          <w:w w:val="99"/>
          <w:sz w:val="25"/>
        </w:rPr>
        <w:t>sa</w:t>
      </w:r>
      <w:r>
        <w:rPr>
          <w:b/>
          <w:spacing w:val="-1"/>
          <w:w w:val="99"/>
          <w:sz w:val="25"/>
        </w:rPr>
        <w:t>m</w:t>
      </w:r>
      <w:r>
        <w:rPr>
          <w:b/>
          <w:w w:val="99"/>
          <w:sz w:val="25"/>
        </w:rPr>
        <w:t>i</w:t>
      </w:r>
      <w:r>
        <w:rPr>
          <w:b/>
          <w:spacing w:val="28"/>
          <w:sz w:val="25"/>
        </w:rPr>
        <w:t> </w:t>
      </w:r>
      <w:r>
        <w:rPr>
          <w:b/>
          <w:spacing w:val="-5"/>
          <w:w w:val="99"/>
          <w:sz w:val="25"/>
        </w:rPr>
        <w:t>A</w:t>
      </w:r>
      <w:r>
        <w:rPr>
          <w:b/>
          <w:w w:val="99"/>
          <w:sz w:val="25"/>
        </w:rPr>
        <w:t>y</w:t>
      </w:r>
      <w:r>
        <w:rPr>
          <w:b/>
          <w:spacing w:val="-4"/>
          <w:w w:val="99"/>
          <w:sz w:val="25"/>
        </w:rPr>
        <w:t>y</w:t>
      </w:r>
      <w:r>
        <w:rPr>
          <w:b/>
          <w:spacing w:val="2"/>
          <w:w w:val="99"/>
          <w:sz w:val="25"/>
        </w:rPr>
        <w:t>a</w:t>
      </w:r>
      <w:r>
        <w:rPr>
          <w:b/>
          <w:spacing w:val="2"/>
          <w:w w:val="99"/>
          <w:sz w:val="25"/>
        </w:rPr>
        <w:t>r</w:t>
      </w:r>
      <w:r>
        <w:rPr>
          <w:spacing w:val="-1"/>
          <w:w w:val="101"/>
          <w:sz w:val="25"/>
          <w:vertAlign w:val="superscript"/>
        </w:rPr>
        <w:t>21</w:t>
      </w:r>
      <w:r>
        <w:rPr>
          <w:w w:val="101"/>
          <w:sz w:val="25"/>
          <w:vertAlign w:val="superscript"/>
        </w:rPr>
        <w:t>2</w:t>
      </w:r>
      <w:r>
        <w:rPr>
          <w:spacing w:val="23"/>
          <w:sz w:val="25"/>
          <w:vertAlign w:val="baseline"/>
        </w:rPr>
        <w:t> </w:t>
      </w:r>
      <w:r>
        <w:rPr>
          <w:w w:val="99"/>
          <w:sz w:val="25"/>
          <w:vertAlign w:val="baseline"/>
        </w:rPr>
        <w:t>t</w:t>
      </w:r>
      <w:r>
        <w:rPr>
          <w:spacing w:val="-1"/>
          <w:w w:val="99"/>
          <w:sz w:val="25"/>
          <w:vertAlign w:val="baseline"/>
        </w:rPr>
        <w:t>h</w:t>
      </w:r>
      <w:r>
        <w:rPr>
          <w:w w:val="99"/>
          <w:sz w:val="25"/>
          <w:vertAlign w:val="baseline"/>
        </w:rPr>
        <w:t>e</w:t>
      </w:r>
      <w:r>
        <w:rPr>
          <w:spacing w:val="21"/>
          <w:sz w:val="25"/>
          <w:vertAlign w:val="baseline"/>
        </w:rPr>
        <w:t> </w:t>
      </w:r>
      <w:r>
        <w:rPr>
          <w:spacing w:val="-1"/>
          <w:w w:val="99"/>
          <w:sz w:val="25"/>
          <w:vertAlign w:val="baseline"/>
        </w:rPr>
        <w:t>q</w:t>
      </w:r>
      <w:r>
        <w:rPr>
          <w:w w:val="99"/>
          <w:sz w:val="25"/>
          <w:vertAlign w:val="baseline"/>
        </w:rPr>
        <w:t>u</w:t>
      </w:r>
      <w:r>
        <w:rPr>
          <w:spacing w:val="-1"/>
          <w:w w:val="99"/>
          <w:sz w:val="25"/>
          <w:vertAlign w:val="baseline"/>
        </w:rPr>
        <w:t>esti</w:t>
      </w:r>
      <w:r>
        <w:rPr>
          <w:w w:val="99"/>
          <w:sz w:val="25"/>
          <w:vertAlign w:val="baseline"/>
        </w:rPr>
        <w:t>on</w:t>
      </w:r>
      <w:r>
        <w:rPr>
          <w:spacing w:val="24"/>
          <w:sz w:val="25"/>
          <w:vertAlign w:val="baseline"/>
        </w:rPr>
        <w:t> </w:t>
      </w:r>
      <w:r>
        <w:rPr>
          <w:spacing w:val="-1"/>
          <w:w w:val="99"/>
          <w:sz w:val="25"/>
          <w:vertAlign w:val="baseline"/>
        </w:rPr>
        <w:t>wa</w:t>
      </w:r>
      <w:r>
        <w:rPr>
          <w:w w:val="99"/>
          <w:sz w:val="25"/>
          <w:vertAlign w:val="baseline"/>
        </w:rPr>
        <w:t>s</w:t>
      </w:r>
      <w:r>
        <w:rPr>
          <w:spacing w:val="24"/>
          <w:sz w:val="25"/>
          <w:vertAlign w:val="baseline"/>
        </w:rPr>
        <w:t> </w:t>
      </w:r>
      <w:r>
        <w:rPr>
          <w:spacing w:val="-1"/>
          <w:w w:val="99"/>
          <w:sz w:val="25"/>
          <w:vertAlign w:val="baseline"/>
        </w:rPr>
        <w:t>whe</w:t>
      </w:r>
      <w:r>
        <w:rPr>
          <w:w w:val="99"/>
          <w:sz w:val="25"/>
          <w:vertAlign w:val="baseline"/>
        </w:rPr>
        <w:t>t</w:t>
      </w:r>
      <w:r>
        <w:rPr>
          <w:spacing w:val="-1"/>
          <w:w w:val="99"/>
          <w:sz w:val="25"/>
          <w:vertAlign w:val="baseline"/>
        </w:rPr>
        <w:t>h</w:t>
      </w:r>
      <w:r>
        <w:rPr>
          <w:spacing w:val="-2"/>
          <w:w w:val="99"/>
          <w:sz w:val="25"/>
          <w:vertAlign w:val="baseline"/>
        </w:rPr>
        <w:t>e</w:t>
      </w:r>
      <w:r>
        <w:rPr>
          <w:w w:val="99"/>
          <w:sz w:val="25"/>
          <w:vertAlign w:val="baseline"/>
        </w:rPr>
        <w:t>r</w:t>
      </w:r>
      <w:r>
        <w:rPr>
          <w:spacing w:val="24"/>
          <w:sz w:val="25"/>
          <w:vertAlign w:val="baseline"/>
        </w:rPr>
        <w:t> </w:t>
      </w:r>
      <w:r>
        <w:rPr>
          <w:w w:val="99"/>
          <w:sz w:val="25"/>
          <w:vertAlign w:val="baseline"/>
        </w:rPr>
        <w:t>the</w:t>
      </w:r>
      <w:r>
        <w:rPr>
          <w:spacing w:val="24"/>
          <w:sz w:val="25"/>
          <w:vertAlign w:val="baseline"/>
        </w:rPr>
        <w:t> </w:t>
      </w:r>
      <w:r>
        <w:rPr>
          <w:w w:val="99"/>
          <w:sz w:val="25"/>
          <w:vertAlign w:val="baseline"/>
        </w:rPr>
        <w:t>t</w:t>
      </w:r>
      <w:r>
        <w:rPr>
          <w:spacing w:val="-2"/>
          <w:w w:val="99"/>
          <w:sz w:val="25"/>
          <w:vertAlign w:val="baseline"/>
        </w:rPr>
        <w:t>e</w:t>
      </w:r>
      <w:r>
        <w:rPr>
          <w:w w:val="99"/>
          <w:sz w:val="25"/>
          <w:vertAlign w:val="baseline"/>
        </w:rPr>
        <w:t>rms</w:t>
      </w:r>
      <w:r>
        <w:rPr>
          <w:spacing w:val="21"/>
          <w:sz w:val="25"/>
          <w:vertAlign w:val="baseline"/>
        </w:rPr>
        <w:t> </w:t>
      </w:r>
      <w:r>
        <w:rPr>
          <w:w w:val="33"/>
          <w:sz w:val="25"/>
          <w:vertAlign w:val="baseline"/>
        </w:rPr>
        <w:t>―</w:t>
      </w:r>
      <w:r>
        <w:rPr>
          <w:w w:val="99"/>
          <w:sz w:val="25"/>
          <w:vertAlign w:val="baseline"/>
        </w:rPr>
        <w:t>con</w:t>
      </w:r>
      <w:r>
        <w:rPr>
          <w:spacing w:val="-3"/>
          <w:w w:val="99"/>
          <w:sz w:val="25"/>
          <w:vertAlign w:val="baseline"/>
        </w:rPr>
        <w:t>v</w:t>
      </w:r>
      <w:r>
        <w:rPr>
          <w:spacing w:val="-1"/>
          <w:w w:val="99"/>
          <w:sz w:val="25"/>
          <w:vertAlign w:val="baseline"/>
        </w:rPr>
        <w:t>e</w:t>
      </w:r>
      <w:r>
        <w:rPr>
          <w:spacing w:val="-3"/>
          <w:w w:val="99"/>
          <w:sz w:val="25"/>
          <w:vertAlign w:val="baseline"/>
        </w:rPr>
        <w:t>y</w:t>
      </w:r>
      <w:r>
        <w:rPr>
          <w:spacing w:val="2"/>
          <w:w w:val="99"/>
          <w:sz w:val="25"/>
          <w:vertAlign w:val="baseline"/>
        </w:rPr>
        <w:t>e</w:t>
      </w:r>
      <w:r>
        <w:rPr>
          <w:w w:val="99"/>
          <w:sz w:val="25"/>
          <w:vertAlign w:val="baseline"/>
        </w:rPr>
        <w:t>d</w:t>
      </w:r>
      <w:r>
        <w:rPr>
          <w:spacing w:val="24"/>
          <w:sz w:val="25"/>
          <w:vertAlign w:val="baseline"/>
        </w:rPr>
        <w:t> </w:t>
      </w:r>
      <w:r>
        <w:rPr>
          <w:spacing w:val="-1"/>
          <w:w w:val="99"/>
          <w:sz w:val="25"/>
          <w:vertAlign w:val="baseline"/>
        </w:rPr>
        <w:t>i</w:t>
      </w:r>
      <w:r>
        <w:rPr>
          <w:w w:val="99"/>
          <w:sz w:val="25"/>
          <w:vertAlign w:val="baseline"/>
        </w:rPr>
        <w:t>n</w:t>
      </w:r>
      <w:r>
        <w:rPr>
          <w:spacing w:val="24"/>
          <w:sz w:val="25"/>
          <w:vertAlign w:val="baseline"/>
        </w:rPr>
        <w:t> </w:t>
      </w:r>
      <w:r>
        <w:rPr>
          <w:w w:val="99"/>
          <w:sz w:val="25"/>
          <w:vertAlign w:val="baseline"/>
        </w:rPr>
        <w:t>tr</w:t>
      </w:r>
      <w:r>
        <w:rPr>
          <w:spacing w:val="-1"/>
          <w:w w:val="99"/>
          <w:sz w:val="25"/>
          <w:vertAlign w:val="baseline"/>
        </w:rPr>
        <w:t>us</w:t>
      </w:r>
      <w:r>
        <w:rPr>
          <w:spacing w:val="-2"/>
          <w:w w:val="99"/>
          <w:sz w:val="25"/>
          <w:vertAlign w:val="baseline"/>
        </w:rPr>
        <w:t>t</w:t>
      </w:r>
      <w:r>
        <w:rPr>
          <w:w w:val="80"/>
          <w:sz w:val="25"/>
          <w:vertAlign w:val="baseline"/>
        </w:rPr>
        <w:t>‖</w:t>
      </w:r>
      <w:r>
        <w:rPr>
          <w:spacing w:val="24"/>
          <w:sz w:val="25"/>
          <w:vertAlign w:val="baseline"/>
        </w:rPr>
        <w:t> </w:t>
      </w:r>
      <w:r>
        <w:rPr>
          <w:spacing w:val="-1"/>
          <w:w w:val="99"/>
          <w:sz w:val="25"/>
          <w:vertAlign w:val="baseline"/>
        </w:rPr>
        <w:t>a</w:t>
      </w:r>
      <w:r>
        <w:rPr>
          <w:w w:val="99"/>
          <w:sz w:val="25"/>
          <w:vertAlign w:val="baseline"/>
        </w:rPr>
        <w:t>nd</w:t>
      </w:r>
    </w:p>
    <w:p>
      <w:pPr>
        <w:pStyle w:val="BodyText"/>
        <w:spacing w:line="480" w:lineRule="auto" w:before="1"/>
        <w:ind w:left="500" w:right="437"/>
        <w:jc w:val="both"/>
      </w:pPr>
      <w:r>
        <w:rPr>
          <w:w w:val="33"/>
        </w:rPr>
        <w:t>―</w:t>
      </w:r>
      <w:r>
        <w:rPr>
          <w:w w:val="99"/>
        </w:rPr>
        <w:t>tr</w:t>
      </w:r>
      <w:r>
        <w:rPr>
          <w:spacing w:val="-1"/>
          <w:w w:val="99"/>
        </w:rPr>
        <w:t>ust</w:t>
      </w:r>
      <w:r>
        <w:rPr>
          <w:w w:val="99"/>
        </w:rPr>
        <w:t>e</w:t>
      </w:r>
      <w:r>
        <w:rPr>
          <w:spacing w:val="-1"/>
          <w:w w:val="91"/>
        </w:rPr>
        <w:t>e</w:t>
      </w:r>
      <w:r>
        <w:rPr>
          <w:w w:val="91"/>
        </w:rPr>
        <w:t>‖</w:t>
      </w:r>
      <w:r>
        <w:rPr/>
        <w:t> </w:t>
      </w:r>
      <w:r>
        <w:rPr>
          <w:spacing w:val="8"/>
        </w:rPr>
        <w:t> </w:t>
      </w:r>
      <w:r>
        <w:rPr>
          <w:spacing w:val="-1"/>
          <w:w w:val="99"/>
        </w:rPr>
        <w:t>a</w:t>
      </w:r>
      <w:r>
        <w:rPr>
          <w:w w:val="99"/>
        </w:rPr>
        <w:t>s</w:t>
      </w:r>
      <w:r>
        <w:rPr/>
        <w:t> </w:t>
      </w:r>
      <w:r>
        <w:rPr>
          <w:spacing w:val="10"/>
        </w:rPr>
        <w:t> </w:t>
      </w:r>
      <w:r>
        <w:rPr>
          <w:w w:val="99"/>
        </w:rPr>
        <w:t>they</w:t>
      </w:r>
      <w:r>
        <w:rPr/>
        <w:t> </w:t>
      </w:r>
      <w:r>
        <w:rPr>
          <w:spacing w:val="7"/>
        </w:rPr>
        <w:t> </w:t>
      </w:r>
      <w:r>
        <w:rPr>
          <w:spacing w:val="-1"/>
          <w:w w:val="99"/>
        </w:rPr>
        <w:t>a</w:t>
      </w:r>
      <w:r>
        <w:rPr>
          <w:w w:val="99"/>
        </w:rPr>
        <w:t>p</w:t>
      </w:r>
      <w:r>
        <w:rPr>
          <w:spacing w:val="-1"/>
          <w:w w:val="99"/>
        </w:rPr>
        <w:t>p</w:t>
      </w:r>
      <w:r>
        <w:rPr>
          <w:w w:val="99"/>
        </w:rPr>
        <w:t>e</w:t>
      </w:r>
      <w:r>
        <w:rPr>
          <w:spacing w:val="-1"/>
          <w:w w:val="99"/>
        </w:rPr>
        <w:t>a</w:t>
      </w:r>
      <w:r>
        <w:rPr>
          <w:w w:val="99"/>
        </w:rPr>
        <w:t>r</w:t>
      </w:r>
      <w:r>
        <w:rPr/>
        <w:t> </w:t>
      </w:r>
      <w:r>
        <w:rPr>
          <w:spacing w:val="10"/>
        </w:rPr>
        <w:t> </w:t>
      </w:r>
      <w:r>
        <w:rPr>
          <w:spacing w:val="-1"/>
          <w:w w:val="99"/>
        </w:rPr>
        <w:t>i</w:t>
      </w:r>
      <w:r>
        <w:rPr>
          <w:w w:val="99"/>
        </w:rPr>
        <w:t>n</w:t>
      </w:r>
      <w:r>
        <w:rPr/>
        <w:t> </w:t>
      </w:r>
      <w:r>
        <w:rPr>
          <w:spacing w:val="9"/>
        </w:rPr>
        <w:t> </w:t>
      </w:r>
      <w:r>
        <w:rPr>
          <w:spacing w:val="-1"/>
          <w:w w:val="99"/>
        </w:rPr>
        <w:t>A</w:t>
      </w:r>
      <w:r>
        <w:rPr>
          <w:w w:val="99"/>
        </w:rPr>
        <w:t>rticle</w:t>
      </w:r>
      <w:r>
        <w:rPr/>
        <w:t> </w:t>
      </w:r>
      <w:r>
        <w:rPr>
          <w:spacing w:val="9"/>
        </w:rPr>
        <w:t> </w:t>
      </w:r>
      <w:r>
        <w:rPr>
          <w:spacing w:val="-1"/>
          <w:w w:val="99"/>
        </w:rPr>
        <w:t>1</w:t>
      </w:r>
      <w:r>
        <w:rPr>
          <w:w w:val="99"/>
        </w:rPr>
        <w:t>34</w:t>
      </w:r>
      <w:r>
        <w:rPr/>
        <w:t> </w:t>
      </w:r>
      <w:r>
        <w:rPr>
          <w:spacing w:val="7"/>
        </w:rPr>
        <w:t> </w:t>
      </w:r>
      <w:r>
        <w:rPr>
          <w:spacing w:val="-1"/>
          <w:w w:val="99"/>
        </w:rPr>
        <w:t>o</w:t>
      </w:r>
      <w:r>
        <w:rPr>
          <w:w w:val="99"/>
        </w:rPr>
        <w:t>f</w:t>
      </w:r>
      <w:r>
        <w:rPr/>
        <w:t> </w:t>
      </w:r>
      <w:r>
        <w:rPr>
          <w:spacing w:val="10"/>
        </w:rPr>
        <w:t> </w:t>
      </w:r>
      <w:r>
        <w:rPr>
          <w:w w:val="99"/>
        </w:rPr>
        <w:t>the</w:t>
      </w:r>
      <w:r>
        <w:rPr/>
        <w:t> </w:t>
      </w:r>
      <w:r>
        <w:rPr>
          <w:spacing w:val="10"/>
        </w:rPr>
        <w:t> </w:t>
      </w:r>
      <w:r>
        <w:rPr>
          <w:spacing w:val="-1"/>
          <w:w w:val="99"/>
        </w:rPr>
        <w:t>Li</w:t>
      </w:r>
      <w:r>
        <w:rPr>
          <w:w w:val="99"/>
        </w:rPr>
        <w:t>m</w:t>
      </w:r>
      <w:r>
        <w:rPr>
          <w:spacing w:val="-1"/>
          <w:w w:val="99"/>
        </w:rPr>
        <w:t>itati</w:t>
      </w:r>
      <w:r>
        <w:rPr>
          <w:w w:val="99"/>
        </w:rPr>
        <w:t>on</w:t>
      </w:r>
      <w:r>
        <w:rPr/>
        <w:t> </w:t>
      </w:r>
      <w:r>
        <w:rPr>
          <w:spacing w:val="10"/>
        </w:rPr>
        <w:t> </w:t>
      </w:r>
      <w:r>
        <w:rPr>
          <w:spacing w:val="-1"/>
          <w:w w:val="99"/>
        </w:rPr>
        <w:t>A</w:t>
      </w:r>
      <w:r>
        <w:rPr>
          <w:w w:val="99"/>
        </w:rPr>
        <w:t>ct</w:t>
      </w:r>
      <w:r>
        <w:rPr/>
        <w:t> </w:t>
      </w:r>
      <w:r>
        <w:rPr>
          <w:spacing w:val="7"/>
        </w:rPr>
        <w:t> </w:t>
      </w:r>
      <w:r>
        <w:rPr>
          <w:spacing w:val="-1"/>
          <w:w w:val="99"/>
        </w:rPr>
        <w:t>1</w:t>
      </w:r>
      <w:r>
        <w:rPr>
          <w:w w:val="99"/>
        </w:rPr>
        <w:t>9</w:t>
      </w:r>
      <w:r>
        <w:rPr>
          <w:spacing w:val="-1"/>
          <w:w w:val="99"/>
        </w:rPr>
        <w:t>0</w:t>
      </w:r>
      <w:r>
        <w:rPr>
          <w:w w:val="99"/>
        </w:rPr>
        <w:t>8</w:t>
      </w:r>
      <w:r>
        <w:rPr/>
        <w:t> </w:t>
      </w:r>
      <w:r>
        <w:rPr>
          <w:spacing w:val="10"/>
        </w:rPr>
        <w:t> </w:t>
      </w:r>
      <w:r>
        <w:rPr>
          <w:spacing w:val="-1"/>
          <w:w w:val="99"/>
        </w:rPr>
        <w:t>a</w:t>
      </w:r>
      <w:r>
        <w:rPr>
          <w:w w:val="99"/>
        </w:rPr>
        <w:t>p</w:t>
      </w:r>
      <w:r>
        <w:rPr>
          <w:spacing w:val="-1"/>
          <w:w w:val="99"/>
        </w:rPr>
        <w:t>pl</w:t>
      </w:r>
      <w:r>
        <w:rPr>
          <w:w w:val="99"/>
        </w:rPr>
        <w:t>y</w:t>
      </w:r>
      <w:r>
        <w:rPr/>
        <w:t> </w:t>
      </w:r>
      <w:r>
        <w:rPr>
          <w:spacing w:val="7"/>
        </w:rPr>
        <w:t> </w:t>
      </w:r>
      <w:r>
        <w:rPr>
          <w:w w:val="99"/>
        </w:rPr>
        <w:t>to </w:t>
      </w:r>
      <w:r>
        <w:rPr/>
        <w:t>properties endowed to the Mahant of a Hindu mutt. The Privy Council rejected  the contention that persons managing endowed properties are in the position of trustees under English Law. Justice Ameer Ali</w:t>
      </w:r>
      <w:r>
        <w:rPr>
          <w:spacing w:val="-7"/>
        </w:rPr>
        <w:t> </w:t>
      </w:r>
      <w:r>
        <w:rPr/>
        <w:t>held:</w:t>
      </w:r>
    </w:p>
    <w:p>
      <w:pPr>
        <w:spacing w:line="276" w:lineRule="auto" w:before="159"/>
        <w:ind w:left="1940" w:right="2260" w:firstLine="0"/>
        <w:jc w:val="both"/>
        <w:rPr>
          <w:b/>
          <w:sz w:val="21"/>
        </w:rPr>
      </w:pPr>
      <w:r>
        <w:rPr>
          <w:spacing w:val="-1"/>
          <w:w w:val="33"/>
          <w:sz w:val="21"/>
        </w:rPr>
        <w:t>―</w:t>
      </w:r>
      <w:r>
        <w:rPr>
          <w:spacing w:val="-2"/>
          <w:w w:val="100"/>
          <w:sz w:val="21"/>
        </w:rPr>
        <w:t>I</w:t>
      </w:r>
      <w:r>
        <w:rPr>
          <w:w w:val="100"/>
          <w:sz w:val="21"/>
        </w:rPr>
        <w:t>t</w:t>
      </w:r>
      <w:r>
        <w:rPr>
          <w:sz w:val="21"/>
        </w:rPr>
        <w:t> </w:t>
      </w:r>
      <w:r>
        <w:rPr>
          <w:spacing w:val="-15"/>
          <w:sz w:val="21"/>
        </w:rPr>
        <w:t> </w:t>
      </w:r>
      <w:r>
        <w:rPr>
          <w:w w:val="100"/>
          <w:sz w:val="21"/>
        </w:rPr>
        <w:t>is</w:t>
      </w:r>
      <w:r>
        <w:rPr>
          <w:sz w:val="21"/>
        </w:rPr>
        <w:t> </w:t>
      </w:r>
      <w:r>
        <w:rPr>
          <w:spacing w:val="-14"/>
          <w:sz w:val="21"/>
        </w:rPr>
        <w:t> </w:t>
      </w:r>
      <w:r>
        <w:rPr>
          <w:spacing w:val="-1"/>
          <w:w w:val="100"/>
          <w:sz w:val="21"/>
        </w:rPr>
        <w:t>a</w:t>
      </w:r>
      <w:r>
        <w:rPr>
          <w:spacing w:val="1"/>
          <w:w w:val="100"/>
          <w:sz w:val="21"/>
        </w:rPr>
        <w:t>l</w:t>
      </w:r>
      <w:r>
        <w:rPr>
          <w:w w:val="100"/>
          <w:sz w:val="21"/>
        </w:rPr>
        <w:t>so</w:t>
      </w:r>
      <w:r>
        <w:rPr>
          <w:sz w:val="21"/>
        </w:rPr>
        <w:t> </w:t>
      </w:r>
      <w:r>
        <w:rPr>
          <w:spacing w:val="-14"/>
          <w:sz w:val="21"/>
        </w:rPr>
        <w:t> </w:t>
      </w:r>
      <w:r>
        <w:rPr>
          <w:spacing w:val="-2"/>
          <w:w w:val="100"/>
          <w:sz w:val="21"/>
        </w:rPr>
        <w:t>t</w:t>
      </w:r>
      <w:r>
        <w:rPr>
          <w:w w:val="100"/>
          <w:sz w:val="21"/>
        </w:rPr>
        <w:t>o</w:t>
      </w:r>
      <w:r>
        <w:rPr>
          <w:sz w:val="21"/>
        </w:rPr>
        <w:t> </w:t>
      </w:r>
      <w:r>
        <w:rPr>
          <w:spacing w:val="-14"/>
          <w:sz w:val="21"/>
        </w:rPr>
        <w:t> </w:t>
      </w:r>
      <w:r>
        <w:rPr>
          <w:spacing w:val="-3"/>
          <w:w w:val="100"/>
          <w:sz w:val="21"/>
        </w:rPr>
        <w:t>b</w:t>
      </w:r>
      <w:r>
        <w:rPr>
          <w:w w:val="100"/>
          <w:sz w:val="21"/>
        </w:rPr>
        <w:t>e</w:t>
      </w:r>
      <w:r>
        <w:rPr>
          <w:sz w:val="21"/>
        </w:rPr>
        <w:t> </w:t>
      </w:r>
      <w:r>
        <w:rPr>
          <w:spacing w:val="-14"/>
          <w:sz w:val="21"/>
        </w:rPr>
        <w:t> </w:t>
      </w:r>
      <w:r>
        <w:rPr>
          <w:spacing w:val="-1"/>
          <w:w w:val="100"/>
          <w:sz w:val="21"/>
        </w:rPr>
        <w:t>r</w:t>
      </w:r>
      <w:r>
        <w:rPr>
          <w:spacing w:val="-3"/>
          <w:w w:val="100"/>
          <w:sz w:val="21"/>
        </w:rPr>
        <w:t>e</w:t>
      </w:r>
      <w:r>
        <w:rPr>
          <w:spacing w:val="1"/>
          <w:w w:val="100"/>
          <w:sz w:val="21"/>
        </w:rPr>
        <w:t>m</w:t>
      </w:r>
      <w:r>
        <w:rPr>
          <w:spacing w:val="-3"/>
          <w:w w:val="100"/>
          <w:sz w:val="21"/>
        </w:rPr>
        <w:t>e</w:t>
      </w:r>
      <w:r>
        <w:rPr>
          <w:spacing w:val="1"/>
          <w:w w:val="100"/>
          <w:sz w:val="21"/>
        </w:rPr>
        <w:t>m</w:t>
      </w:r>
      <w:r>
        <w:rPr>
          <w:spacing w:val="-3"/>
          <w:w w:val="100"/>
          <w:sz w:val="21"/>
        </w:rPr>
        <w:t>b</w:t>
      </w:r>
      <w:r>
        <w:rPr>
          <w:spacing w:val="-1"/>
          <w:w w:val="100"/>
          <w:sz w:val="21"/>
        </w:rPr>
        <w:t>ere</w:t>
      </w:r>
      <w:r>
        <w:rPr>
          <w:w w:val="100"/>
          <w:sz w:val="21"/>
        </w:rPr>
        <w:t>d</w:t>
      </w:r>
      <w:r>
        <w:rPr>
          <w:sz w:val="21"/>
        </w:rPr>
        <w:t> </w:t>
      </w:r>
      <w:r>
        <w:rPr>
          <w:spacing w:val="-14"/>
          <w:sz w:val="21"/>
        </w:rPr>
        <w:t> </w:t>
      </w:r>
      <w:r>
        <w:rPr>
          <w:spacing w:val="-2"/>
          <w:w w:val="100"/>
          <w:sz w:val="21"/>
        </w:rPr>
        <w:t>t</w:t>
      </w:r>
      <w:r>
        <w:rPr>
          <w:spacing w:val="-1"/>
          <w:w w:val="100"/>
          <w:sz w:val="21"/>
        </w:rPr>
        <w:t>ha</w:t>
      </w:r>
      <w:r>
        <w:rPr>
          <w:w w:val="100"/>
          <w:sz w:val="21"/>
        </w:rPr>
        <w:t>t</w:t>
      </w:r>
      <w:r>
        <w:rPr>
          <w:sz w:val="21"/>
        </w:rPr>
        <w:t> </w:t>
      </w:r>
      <w:r>
        <w:rPr>
          <w:spacing w:val="-15"/>
          <w:sz w:val="21"/>
        </w:rPr>
        <w:t> </w:t>
      </w:r>
      <w:r>
        <w:rPr>
          <w:w w:val="100"/>
          <w:sz w:val="21"/>
        </w:rPr>
        <w:t>a</w:t>
      </w:r>
      <w:r>
        <w:rPr>
          <w:sz w:val="21"/>
        </w:rPr>
        <w:t> </w:t>
      </w:r>
      <w:r>
        <w:rPr>
          <w:spacing w:val="-14"/>
          <w:sz w:val="21"/>
        </w:rPr>
        <w:t> </w:t>
      </w:r>
      <w:r>
        <w:rPr>
          <w:spacing w:val="-1"/>
          <w:w w:val="33"/>
          <w:sz w:val="21"/>
        </w:rPr>
        <w:t>―</w:t>
      </w:r>
      <w:r>
        <w:rPr>
          <w:spacing w:val="-2"/>
          <w:w w:val="100"/>
          <w:sz w:val="21"/>
        </w:rPr>
        <w:t>t</w:t>
      </w:r>
      <w:r>
        <w:rPr>
          <w:spacing w:val="-1"/>
          <w:w w:val="100"/>
          <w:sz w:val="21"/>
        </w:rPr>
        <w:t>rust</w:t>
      </w:r>
      <w:r>
        <w:rPr>
          <w:w w:val="81"/>
          <w:sz w:val="21"/>
        </w:rPr>
        <w:t>‖</w:t>
      </w:r>
      <w:r>
        <w:rPr>
          <w:sz w:val="21"/>
        </w:rPr>
        <w:t> </w:t>
      </w:r>
      <w:r>
        <w:rPr>
          <w:spacing w:val="-15"/>
          <w:sz w:val="21"/>
        </w:rPr>
        <w:t> </w:t>
      </w:r>
      <w:r>
        <w:rPr>
          <w:w w:val="100"/>
          <w:sz w:val="21"/>
        </w:rPr>
        <w:t>in</w:t>
      </w:r>
      <w:r>
        <w:rPr>
          <w:sz w:val="21"/>
        </w:rPr>
        <w:t> </w:t>
      </w:r>
      <w:r>
        <w:rPr>
          <w:spacing w:val="-14"/>
          <w:sz w:val="21"/>
        </w:rPr>
        <w:t> </w:t>
      </w:r>
      <w:r>
        <w:rPr>
          <w:spacing w:val="-2"/>
          <w:w w:val="100"/>
          <w:sz w:val="21"/>
        </w:rPr>
        <w:t>t</w:t>
      </w:r>
      <w:r>
        <w:rPr>
          <w:spacing w:val="-1"/>
          <w:w w:val="100"/>
          <w:sz w:val="21"/>
        </w:rPr>
        <w:t>h</w:t>
      </w:r>
      <w:r>
        <w:rPr>
          <w:w w:val="100"/>
          <w:sz w:val="21"/>
        </w:rPr>
        <w:t>e</w:t>
      </w:r>
      <w:r>
        <w:rPr>
          <w:sz w:val="21"/>
        </w:rPr>
        <w:t> </w:t>
      </w:r>
      <w:r>
        <w:rPr>
          <w:spacing w:val="-16"/>
          <w:sz w:val="21"/>
        </w:rPr>
        <w:t> </w:t>
      </w:r>
      <w:r>
        <w:rPr>
          <w:w w:val="100"/>
          <w:sz w:val="21"/>
        </w:rPr>
        <w:t>sense</w:t>
      </w:r>
      <w:r>
        <w:rPr>
          <w:sz w:val="21"/>
        </w:rPr>
        <w:t> </w:t>
      </w:r>
      <w:r>
        <w:rPr>
          <w:spacing w:val="-16"/>
          <w:sz w:val="21"/>
        </w:rPr>
        <w:t> </w:t>
      </w:r>
      <w:r>
        <w:rPr>
          <w:spacing w:val="-2"/>
          <w:w w:val="100"/>
          <w:sz w:val="21"/>
        </w:rPr>
        <w:t>i</w:t>
      </w:r>
      <w:r>
        <w:rPr>
          <w:w w:val="100"/>
          <w:sz w:val="21"/>
        </w:rPr>
        <w:t>n </w:t>
      </w:r>
      <w:r>
        <w:rPr>
          <w:sz w:val="21"/>
        </w:rPr>
        <w:t>which the expression is used in English Law, is unknown in the Hindu system, pure and simple. Hindu piety found expression in gifts to idols and images consecrated and installed in temples, to religious institutions of every kind….Religious institutions, known under different names, </w:t>
      </w:r>
      <w:r>
        <w:rPr>
          <w:spacing w:val="-1"/>
          <w:w w:val="100"/>
          <w:sz w:val="21"/>
        </w:rPr>
        <w:t>an</w:t>
      </w:r>
      <w:r>
        <w:rPr>
          <w:w w:val="100"/>
          <w:sz w:val="21"/>
        </w:rPr>
        <w:t>d</w:t>
      </w:r>
      <w:r>
        <w:rPr>
          <w:spacing w:val="13"/>
          <w:sz w:val="21"/>
        </w:rPr>
        <w:t> </w:t>
      </w:r>
      <w:r>
        <w:rPr>
          <w:spacing w:val="-1"/>
          <w:w w:val="100"/>
          <w:sz w:val="21"/>
        </w:rPr>
        <w:t>re</w:t>
      </w:r>
      <w:r>
        <w:rPr>
          <w:spacing w:val="-3"/>
          <w:w w:val="100"/>
          <w:sz w:val="21"/>
        </w:rPr>
        <w:t>g</w:t>
      </w:r>
      <w:r>
        <w:rPr>
          <w:spacing w:val="-1"/>
          <w:w w:val="100"/>
          <w:sz w:val="21"/>
        </w:rPr>
        <w:t>ard</w:t>
      </w:r>
      <w:r>
        <w:rPr>
          <w:spacing w:val="-3"/>
          <w:w w:val="100"/>
          <w:sz w:val="21"/>
        </w:rPr>
        <w:t>e</w:t>
      </w:r>
      <w:r>
        <w:rPr>
          <w:w w:val="100"/>
          <w:sz w:val="21"/>
        </w:rPr>
        <w:t>d</w:t>
      </w:r>
      <w:r>
        <w:rPr>
          <w:spacing w:val="13"/>
          <w:sz w:val="21"/>
        </w:rPr>
        <w:t> </w:t>
      </w:r>
      <w:r>
        <w:rPr>
          <w:spacing w:val="-1"/>
          <w:w w:val="100"/>
          <w:sz w:val="21"/>
        </w:rPr>
        <w:t>a</w:t>
      </w:r>
      <w:r>
        <w:rPr>
          <w:w w:val="100"/>
          <w:sz w:val="21"/>
        </w:rPr>
        <w:t>s</w:t>
      </w:r>
      <w:r>
        <w:rPr>
          <w:spacing w:val="13"/>
          <w:sz w:val="21"/>
        </w:rPr>
        <w:t> </w:t>
      </w:r>
      <w:r>
        <w:rPr>
          <w:spacing w:val="-3"/>
          <w:w w:val="100"/>
          <w:sz w:val="21"/>
        </w:rPr>
        <w:t>p</w:t>
      </w:r>
      <w:r>
        <w:rPr>
          <w:spacing w:val="-1"/>
          <w:w w:val="100"/>
          <w:sz w:val="21"/>
        </w:rPr>
        <w:t>os</w:t>
      </w:r>
      <w:r>
        <w:rPr>
          <w:spacing w:val="-3"/>
          <w:w w:val="100"/>
          <w:sz w:val="21"/>
        </w:rPr>
        <w:t>s</w:t>
      </w:r>
      <w:r>
        <w:rPr>
          <w:spacing w:val="-1"/>
          <w:w w:val="100"/>
          <w:sz w:val="21"/>
        </w:rPr>
        <w:t>es</w:t>
      </w:r>
      <w:r>
        <w:rPr>
          <w:spacing w:val="-3"/>
          <w:w w:val="100"/>
          <w:sz w:val="21"/>
        </w:rPr>
        <w:t>s</w:t>
      </w:r>
      <w:r>
        <w:rPr>
          <w:spacing w:val="-2"/>
          <w:w w:val="100"/>
          <w:sz w:val="21"/>
        </w:rPr>
        <w:t>i</w:t>
      </w:r>
      <w:r>
        <w:rPr>
          <w:spacing w:val="-1"/>
          <w:w w:val="100"/>
          <w:sz w:val="21"/>
        </w:rPr>
        <w:t>n</w:t>
      </w:r>
      <w:r>
        <w:rPr>
          <w:w w:val="100"/>
          <w:sz w:val="21"/>
        </w:rPr>
        <w:t>g</w:t>
      </w:r>
      <w:r>
        <w:rPr>
          <w:spacing w:val="13"/>
          <w:sz w:val="21"/>
        </w:rPr>
        <w:t> </w:t>
      </w:r>
      <w:r>
        <w:rPr>
          <w:spacing w:val="-2"/>
          <w:w w:val="100"/>
          <w:sz w:val="21"/>
        </w:rPr>
        <w:t>t</w:t>
      </w:r>
      <w:r>
        <w:rPr>
          <w:spacing w:val="-1"/>
          <w:w w:val="100"/>
          <w:sz w:val="21"/>
        </w:rPr>
        <w:t>h</w:t>
      </w:r>
      <w:r>
        <w:rPr>
          <w:w w:val="100"/>
          <w:sz w:val="21"/>
        </w:rPr>
        <w:t>e</w:t>
      </w:r>
      <w:r>
        <w:rPr>
          <w:spacing w:val="13"/>
          <w:sz w:val="21"/>
        </w:rPr>
        <w:t> </w:t>
      </w:r>
      <w:r>
        <w:rPr>
          <w:w w:val="100"/>
          <w:sz w:val="21"/>
        </w:rPr>
        <w:t>s</w:t>
      </w:r>
      <w:r>
        <w:rPr>
          <w:spacing w:val="-3"/>
          <w:w w:val="100"/>
          <w:sz w:val="21"/>
        </w:rPr>
        <w:t>a</w:t>
      </w:r>
      <w:r>
        <w:rPr>
          <w:spacing w:val="-1"/>
          <w:w w:val="100"/>
          <w:sz w:val="21"/>
        </w:rPr>
        <w:t>m</w:t>
      </w:r>
      <w:r>
        <w:rPr>
          <w:w w:val="100"/>
          <w:sz w:val="21"/>
        </w:rPr>
        <w:t>e</w:t>
      </w:r>
      <w:r>
        <w:rPr>
          <w:spacing w:val="13"/>
          <w:sz w:val="21"/>
        </w:rPr>
        <w:t> </w:t>
      </w:r>
      <w:r>
        <w:rPr>
          <w:spacing w:val="-1"/>
          <w:w w:val="33"/>
          <w:sz w:val="21"/>
        </w:rPr>
        <w:t>―</w:t>
      </w:r>
      <w:r>
        <w:rPr>
          <w:spacing w:val="-2"/>
          <w:w w:val="100"/>
          <w:sz w:val="21"/>
        </w:rPr>
        <w:t>j</w:t>
      </w:r>
      <w:r>
        <w:rPr>
          <w:spacing w:val="-1"/>
          <w:w w:val="100"/>
          <w:sz w:val="21"/>
        </w:rPr>
        <w:t>uris</w:t>
      </w:r>
      <w:r>
        <w:rPr>
          <w:spacing w:val="-3"/>
          <w:w w:val="100"/>
          <w:sz w:val="21"/>
        </w:rPr>
        <w:t>t</w:t>
      </w:r>
      <w:r>
        <w:rPr>
          <w:w w:val="100"/>
          <w:sz w:val="21"/>
        </w:rPr>
        <w:t>i</w:t>
      </w:r>
      <w:r>
        <w:rPr>
          <w:w w:val="91"/>
          <w:sz w:val="21"/>
        </w:rPr>
        <w:t>c‖</w:t>
      </w:r>
      <w:r>
        <w:rPr>
          <w:spacing w:val="12"/>
          <w:sz w:val="21"/>
        </w:rPr>
        <w:t> </w:t>
      </w:r>
      <w:r>
        <w:rPr>
          <w:w w:val="100"/>
          <w:sz w:val="21"/>
        </w:rPr>
        <w:t>ca</w:t>
      </w:r>
      <w:r>
        <w:rPr>
          <w:spacing w:val="-3"/>
          <w:w w:val="100"/>
          <w:sz w:val="21"/>
        </w:rPr>
        <w:t>p</w:t>
      </w:r>
      <w:r>
        <w:rPr>
          <w:spacing w:val="-1"/>
          <w:w w:val="100"/>
          <w:sz w:val="21"/>
        </w:rPr>
        <w:t>ac</w:t>
      </w:r>
      <w:r>
        <w:rPr>
          <w:spacing w:val="1"/>
          <w:w w:val="100"/>
          <w:sz w:val="21"/>
        </w:rPr>
        <w:t>i</w:t>
      </w:r>
      <w:r>
        <w:rPr>
          <w:spacing w:val="-2"/>
          <w:w w:val="100"/>
          <w:sz w:val="21"/>
        </w:rPr>
        <w:t>t</w:t>
      </w:r>
      <w:r>
        <w:rPr>
          <w:spacing w:val="-3"/>
          <w:w w:val="100"/>
          <w:sz w:val="21"/>
        </w:rPr>
        <w:t>y</w:t>
      </w:r>
      <w:r>
        <w:rPr>
          <w:w w:val="100"/>
          <w:sz w:val="21"/>
        </w:rPr>
        <w:t>,</w:t>
      </w:r>
      <w:r>
        <w:rPr>
          <w:spacing w:val="12"/>
          <w:sz w:val="21"/>
        </w:rPr>
        <w:t> </w:t>
      </w:r>
      <w:r>
        <w:rPr>
          <w:spacing w:val="-1"/>
          <w:w w:val="100"/>
          <w:sz w:val="21"/>
        </w:rPr>
        <w:t>and </w:t>
      </w:r>
      <w:r>
        <w:rPr>
          <w:sz w:val="21"/>
        </w:rPr>
        <w:t>gifts are made to them eo nomine …</w:t>
      </w:r>
      <w:r>
        <w:rPr>
          <w:b/>
          <w:sz w:val="21"/>
        </w:rPr>
        <w:t>When </w:t>
      </w:r>
      <w:r>
        <w:rPr>
          <w:b/>
          <w:spacing w:val="-2"/>
          <w:sz w:val="21"/>
        </w:rPr>
        <w:t>the </w:t>
      </w:r>
      <w:r>
        <w:rPr>
          <w:b/>
          <w:sz w:val="21"/>
        </w:rPr>
        <w:t>gift is</w:t>
      </w:r>
      <w:r>
        <w:rPr>
          <w:b/>
          <w:spacing w:val="58"/>
          <w:sz w:val="21"/>
        </w:rPr>
        <w:t> </w:t>
      </w:r>
      <w:r>
        <w:rPr>
          <w:b/>
          <w:sz w:val="21"/>
        </w:rPr>
        <w:t>directly to an idol or a temple, the seisin to complete the gift is necessarily effected by human agency. Called by whatever name, he is only the manager and custodian of the idol of the institution. In no case was the property conveyed to or vested in him, nor is he a ‗trustee‘ in the English sense of the term, although in view of the obligations and duties vesting on him, he is answerable as a trustee in the general sense, for mal- administration…it would follow that an alienation by a manager or superior by whatever name called cannot be treated as the act of a ―trustee‖ to whom property has been ―conveyed in trust‖ and who by virtue thereof has the</w:t>
      </w:r>
      <w:r>
        <w:rPr>
          <w:b/>
          <w:spacing w:val="13"/>
          <w:sz w:val="21"/>
        </w:rPr>
        <w:t> </w:t>
      </w:r>
      <w:r>
        <w:rPr>
          <w:b/>
          <w:sz w:val="21"/>
        </w:rPr>
        <w:t>capacity</w:t>
      </w:r>
      <w:r>
        <w:rPr>
          <w:b/>
          <w:spacing w:val="10"/>
          <w:sz w:val="21"/>
        </w:rPr>
        <w:t> </w:t>
      </w:r>
      <w:r>
        <w:rPr>
          <w:b/>
          <w:sz w:val="21"/>
        </w:rPr>
        <w:t>vested</w:t>
      </w:r>
      <w:r>
        <w:rPr>
          <w:b/>
          <w:spacing w:val="12"/>
          <w:sz w:val="21"/>
        </w:rPr>
        <w:t> </w:t>
      </w:r>
      <w:r>
        <w:rPr>
          <w:b/>
          <w:sz w:val="21"/>
        </w:rPr>
        <w:t>in</w:t>
      </w:r>
      <w:r>
        <w:rPr>
          <w:b/>
          <w:spacing w:val="10"/>
          <w:sz w:val="21"/>
        </w:rPr>
        <w:t> </w:t>
      </w:r>
      <w:r>
        <w:rPr>
          <w:b/>
          <w:sz w:val="21"/>
        </w:rPr>
        <w:t>him</w:t>
      </w:r>
      <w:r>
        <w:rPr>
          <w:b/>
          <w:spacing w:val="9"/>
          <w:sz w:val="21"/>
        </w:rPr>
        <w:t> </w:t>
      </w:r>
      <w:r>
        <w:rPr>
          <w:b/>
          <w:sz w:val="21"/>
        </w:rPr>
        <w:t>which</w:t>
      </w:r>
      <w:r>
        <w:rPr>
          <w:b/>
          <w:spacing w:val="14"/>
          <w:sz w:val="21"/>
        </w:rPr>
        <w:t> </w:t>
      </w:r>
      <w:r>
        <w:rPr>
          <w:b/>
          <w:sz w:val="21"/>
        </w:rPr>
        <w:t>is</w:t>
      </w:r>
      <w:r>
        <w:rPr>
          <w:b/>
          <w:spacing w:val="10"/>
          <w:sz w:val="21"/>
        </w:rPr>
        <w:t> </w:t>
      </w:r>
      <w:r>
        <w:rPr>
          <w:b/>
          <w:sz w:val="21"/>
        </w:rPr>
        <w:t>possessed</w:t>
      </w:r>
      <w:r>
        <w:rPr>
          <w:b/>
          <w:spacing w:val="10"/>
          <w:sz w:val="21"/>
        </w:rPr>
        <w:t> </w:t>
      </w:r>
      <w:r>
        <w:rPr>
          <w:b/>
          <w:sz w:val="21"/>
        </w:rPr>
        <w:t>by</w:t>
      </w:r>
      <w:r>
        <w:rPr>
          <w:b/>
          <w:spacing w:val="8"/>
          <w:sz w:val="21"/>
        </w:rPr>
        <w:t> </w:t>
      </w:r>
      <w:r>
        <w:rPr>
          <w:b/>
          <w:sz w:val="21"/>
        </w:rPr>
        <w:t>a</w:t>
      </w:r>
    </w:p>
    <w:p>
      <w:pPr>
        <w:spacing w:before="1"/>
        <w:ind w:left="1940" w:right="0" w:firstLine="0"/>
        <w:jc w:val="left"/>
        <w:rPr>
          <w:sz w:val="21"/>
        </w:rPr>
      </w:pPr>
      <w:r>
        <w:rPr>
          <w:b/>
          <w:sz w:val="21"/>
        </w:rPr>
        <w:t>―trustee‖ in English law.</w:t>
      </w:r>
      <w:r>
        <w:rPr>
          <w:sz w:val="21"/>
        </w:rPr>
        <w:t>‖</w:t>
      </w:r>
    </w:p>
    <w:p>
      <w:pPr>
        <w:spacing w:before="35"/>
        <w:ind w:left="1940" w:right="0" w:firstLine="0"/>
        <w:jc w:val="left"/>
        <w:rPr>
          <w:sz w:val="21"/>
        </w:rPr>
      </w:pPr>
      <w:r>
        <w:rPr>
          <w:w w:val="100"/>
          <w:sz w:val="21"/>
        </w:rPr>
        <w:t>…</w:t>
      </w:r>
    </w:p>
    <w:p>
      <w:pPr>
        <w:spacing w:line="276" w:lineRule="auto" w:before="37"/>
        <w:ind w:left="1940" w:right="2265" w:firstLine="0"/>
        <w:jc w:val="both"/>
        <w:rPr>
          <w:sz w:val="21"/>
        </w:rPr>
      </w:pPr>
      <w:r>
        <w:rPr>
          <w:sz w:val="21"/>
        </w:rPr>
        <w:t>...Neither under the Hindu law nor in the Mahomedan system </w:t>
      </w:r>
      <w:r>
        <w:rPr>
          <w:w w:val="100"/>
          <w:sz w:val="21"/>
        </w:rPr>
        <w:t>is</w:t>
      </w:r>
      <w:r>
        <w:rPr>
          <w:sz w:val="21"/>
        </w:rPr>
        <w:t> </w:t>
      </w:r>
      <w:r>
        <w:rPr>
          <w:w w:val="100"/>
          <w:sz w:val="21"/>
        </w:rPr>
        <w:t>any</w:t>
      </w:r>
      <w:r>
        <w:rPr>
          <w:sz w:val="21"/>
        </w:rPr>
        <w:t> </w:t>
      </w:r>
      <w:r>
        <w:rPr>
          <w:w w:val="100"/>
          <w:sz w:val="21"/>
        </w:rPr>
        <w:t>property</w:t>
      </w:r>
      <w:r>
        <w:rPr>
          <w:sz w:val="21"/>
        </w:rPr>
        <w:t> </w:t>
      </w:r>
      <w:r>
        <w:rPr>
          <w:w w:val="40"/>
          <w:sz w:val="21"/>
        </w:rPr>
        <w:t>‗</w:t>
      </w:r>
      <w:r>
        <w:rPr>
          <w:w w:val="100"/>
          <w:sz w:val="21"/>
        </w:rPr>
        <w:t>conveyed‘</w:t>
      </w:r>
      <w:r>
        <w:rPr>
          <w:sz w:val="21"/>
        </w:rPr>
        <w:t> </w:t>
      </w:r>
      <w:r>
        <w:rPr>
          <w:w w:val="100"/>
          <w:sz w:val="21"/>
        </w:rPr>
        <w:t>to</w:t>
      </w:r>
      <w:r>
        <w:rPr>
          <w:sz w:val="21"/>
        </w:rPr>
        <w:t> </w:t>
      </w:r>
      <w:r>
        <w:rPr>
          <w:w w:val="100"/>
          <w:sz w:val="21"/>
        </w:rPr>
        <w:t>a</w:t>
      </w:r>
      <w:r>
        <w:rPr>
          <w:sz w:val="21"/>
        </w:rPr>
        <w:t> </w:t>
      </w:r>
      <w:r>
        <w:rPr>
          <w:w w:val="100"/>
          <w:sz w:val="21"/>
        </w:rPr>
        <w:t>shebait</w:t>
      </w:r>
      <w:r>
        <w:rPr>
          <w:sz w:val="21"/>
        </w:rPr>
        <w:t> </w:t>
      </w:r>
      <w:r>
        <w:rPr>
          <w:w w:val="100"/>
          <w:sz w:val="21"/>
        </w:rPr>
        <w:t>or</w:t>
      </w:r>
      <w:r>
        <w:rPr>
          <w:sz w:val="21"/>
        </w:rPr>
        <w:t> </w:t>
      </w:r>
      <w:r>
        <w:rPr>
          <w:w w:val="100"/>
          <w:sz w:val="21"/>
        </w:rPr>
        <w:t>a</w:t>
      </w:r>
      <w:r>
        <w:rPr>
          <w:sz w:val="21"/>
        </w:rPr>
        <w:t> </w:t>
      </w:r>
      <w:r>
        <w:rPr>
          <w:w w:val="100"/>
          <w:sz w:val="21"/>
        </w:rPr>
        <w:t>mutavalli</w:t>
      </w:r>
      <w:r>
        <w:rPr>
          <w:sz w:val="21"/>
        </w:rPr>
        <w:t> </w:t>
      </w:r>
      <w:r>
        <w:rPr>
          <w:w w:val="100"/>
          <w:sz w:val="21"/>
        </w:rPr>
        <w:t>in</w:t>
      </w:r>
      <w:r>
        <w:rPr>
          <w:sz w:val="21"/>
        </w:rPr>
        <w:t> </w:t>
      </w:r>
      <w:r>
        <w:rPr>
          <w:w w:val="100"/>
          <w:sz w:val="21"/>
        </w:rPr>
        <w:t>the </w:t>
      </w:r>
      <w:r>
        <w:rPr>
          <w:sz w:val="21"/>
        </w:rPr>
        <w:t>case of a dedication. Nor is any property vested in him, whatever property he holds for the idol or the institution he</w:t>
      </w:r>
    </w:p>
    <w:p>
      <w:pPr>
        <w:pStyle w:val="BodyText"/>
        <w:spacing w:before="7"/>
        <w:rPr>
          <w:sz w:val="13"/>
        </w:rPr>
      </w:pPr>
      <w:r>
        <w:rPr/>
        <w:pict>
          <v:rect style="position:absolute;margin-left:72.024002pt;margin-top:9.778211pt;width:144.020pt;height:.599980pt;mso-position-horizontal-relative:page;mso-position-vertical-relative:paragraph;z-index:-1567232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212</w:t>
      </w:r>
      <w:r>
        <w:rPr>
          <w:sz w:val="18"/>
          <w:vertAlign w:val="baseline"/>
        </w:rPr>
        <w:t>AIR 1922 PC 123</w:t>
      </w:r>
    </w:p>
    <w:p>
      <w:pPr>
        <w:spacing w:after="0"/>
        <w:jc w:val="left"/>
        <w:rPr>
          <w:sz w:val="18"/>
        </w:rPr>
        <w:sectPr>
          <w:pgSz w:w="11910" w:h="16840"/>
          <w:pgMar w:header="721" w:footer="1014" w:top="1300" w:bottom="1200" w:left="940" w:right="1000"/>
        </w:sectPr>
      </w:pPr>
    </w:p>
    <w:p>
      <w:pPr>
        <w:spacing w:line="276" w:lineRule="auto" w:before="122"/>
        <w:ind w:left="1940" w:right="2264" w:firstLine="0"/>
        <w:jc w:val="left"/>
        <w:rPr>
          <w:sz w:val="21"/>
        </w:rPr>
      </w:pPr>
      <w:r>
        <w:rPr>
          <w:sz w:val="21"/>
        </w:rPr>
        <w:t>holds as manager with certain beneficial interest regulated by custom and usage.‖</w:t>
      </w:r>
    </w:p>
    <w:p>
      <w:pPr>
        <w:spacing w:before="0"/>
        <w:ind w:left="5798" w:right="0" w:firstLine="0"/>
        <w:jc w:val="left"/>
        <w:rPr>
          <w:sz w:val="21"/>
        </w:rPr>
      </w:pPr>
      <w:r>
        <w:rPr>
          <w:sz w:val="21"/>
        </w:rPr>
        <w:t>(Emphasis supplied)</w:t>
      </w:r>
    </w:p>
    <w:p>
      <w:pPr>
        <w:pStyle w:val="BodyText"/>
        <w:rPr>
          <w:sz w:val="27"/>
        </w:rPr>
      </w:pPr>
    </w:p>
    <w:p>
      <w:pPr>
        <w:pStyle w:val="ListParagraph"/>
        <w:numPr>
          <w:ilvl w:val="0"/>
          <w:numId w:val="111"/>
        </w:numPr>
        <w:tabs>
          <w:tab w:pos="1221" w:val="left" w:leader="none"/>
        </w:tabs>
        <w:spacing w:line="480" w:lineRule="auto" w:before="1" w:after="0"/>
        <w:ind w:left="500" w:right="436" w:firstLine="0"/>
        <w:jc w:val="both"/>
        <w:rPr>
          <w:sz w:val="25"/>
        </w:rPr>
      </w:pPr>
      <w:r>
        <w:rPr>
          <w:sz w:val="25"/>
        </w:rPr>
        <w:t>The decision in </w:t>
      </w:r>
      <w:r>
        <w:rPr>
          <w:b/>
          <w:sz w:val="25"/>
        </w:rPr>
        <w:t>Vidya Varuthi </w:t>
      </w:r>
      <w:r>
        <w:rPr>
          <w:sz w:val="25"/>
        </w:rPr>
        <w:t>affirms the distinction between the position of a shebait in Hindu Law and a trustee in English Law. Unlike in the case of a trust, dedicated property does not legally vest in the shebait. The purpose for which property is dedicated to an idol is executed and protected by the shebait. Though the dedicated property does not vest in the shebait, they are responsible for managing the properties and are answerable in law for any mismanagement of the endowed properties. The shebait holds the property of an idol for the benefit of the idol. There is thus a distinction between the proprietary right of a trustee in English law and a shebait in Hindu Law. Chief Justice B K Mukherjea, </w:t>
      </w:r>
      <w:r>
        <w:rPr>
          <w:spacing w:val="-1"/>
          <w:w w:val="99"/>
          <w:sz w:val="25"/>
        </w:rPr>
        <w:t>i</w:t>
      </w:r>
      <w:r>
        <w:rPr>
          <w:w w:val="99"/>
          <w:sz w:val="25"/>
        </w:rPr>
        <w:t>n</w:t>
      </w:r>
      <w:r>
        <w:rPr>
          <w:spacing w:val="-1"/>
          <w:sz w:val="25"/>
        </w:rPr>
        <w:t> </w:t>
      </w:r>
      <w:r>
        <w:rPr>
          <w:w w:val="99"/>
          <w:sz w:val="25"/>
        </w:rPr>
        <w:t>h</w:t>
      </w:r>
      <w:r>
        <w:rPr>
          <w:spacing w:val="-1"/>
          <w:w w:val="99"/>
          <w:sz w:val="25"/>
        </w:rPr>
        <w:t>i</w:t>
      </w:r>
      <w:r>
        <w:rPr>
          <w:w w:val="99"/>
          <w:sz w:val="25"/>
        </w:rPr>
        <w:t>s</w:t>
      </w:r>
      <w:r>
        <w:rPr>
          <w:spacing w:val="-1"/>
          <w:sz w:val="25"/>
        </w:rPr>
        <w:t> </w:t>
      </w:r>
      <w:r>
        <w:rPr>
          <w:w w:val="99"/>
          <w:sz w:val="25"/>
        </w:rPr>
        <w:t>se</w:t>
      </w:r>
      <w:r>
        <w:rPr>
          <w:spacing w:val="1"/>
          <w:w w:val="99"/>
          <w:sz w:val="25"/>
        </w:rPr>
        <w:t>m</w:t>
      </w:r>
      <w:r>
        <w:rPr>
          <w:spacing w:val="-1"/>
          <w:w w:val="99"/>
          <w:sz w:val="25"/>
        </w:rPr>
        <w:t>ina</w:t>
      </w:r>
      <w:r>
        <w:rPr>
          <w:w w:val="99"/>
          <w:sz w:val="25"/>
        </w:rPr>
        <w:t>l</w:t>
      </w:r>
      <w:r>
        <w:rPr>
          <w:spacing w:val="-1"/>
          <w:sz w:val="25"/>
        </w:rPr>
        <w:t> </w:t>
      </w:r>
      <w:r>
        <w:rPr>
          <w:spacing w:val="-1"/>
          <w:w w:val="99"/>
          <w:sz w:val="25"/>
        </w:rPr>
        <w:t>w</w:t>
      </w:r>
      <w:r>
        <w:rPr>
          <w:w w:val="99"/>
          <w:sz w:val="25"/>
        </w:rPr>
        <w:t>ork</w:t>
      </w:r>
      <w:r>
        <w:rPr>
          <w:spacing w:val="-1"/>
          <w:sz w:val="25"/>
        </w:rPr>
        <w:t> </w:t>
      </w:r>
      <w:r>
        <w:rPr>
          <w:spacing w:val="2"/>
          <w:w w:val="33"/>
          <w:sz w:val="25"/>
        </w:rPr>
        <w:t>―</w:t>
      </w:r>
      <w:r>
        <w:rPr>
          <w:b/>
          <w:w w:val="99"/>
          <w:sz w:val="25"/>
        </w:rPr>
        <w:t>Hin</w:t>
      </w:r>
      <w:r>
        <w:rPr>
          <w:b/>
          <w:w w:val="99"/>
          <w:sz w:val="25"/>
        </w:rPr>
        <w:t>du</w:t>
      </w:r>
      <w:r>
        <w:rPr>
          <w:b/>
          <w:spacing w:val="-2"/>
          <w:sz w:val="25"/>
        </w:rPr>
        <w:t> </w:t>
      </w:r>
      <w:r>
        <w:rPr>
          <w:b/>
          <w:w w:val="99"/>
          <w:sz w:val="25"/>
        </w:rPr>
        <w:t>L</w:t>
      </w:r>
      <w:r>
        <w:rPr>
          <w:b/>
          <w:spacing w:val="-5"/>
          <w:w w:val="99"/>
          <w:sz w:val="25"/>
        </w:rPr>
        <w:t>a</w:t>
      </w:r>
      <w:r>
        <w:rPr>
          <w:b/>
          <w:w w:val="99"/>
          <w:sz w:val="25"/>
        </w:rPr>
        <w:t>w</w:t>
      </w:r>
      <w:r>
        <w:rPr>
          <w:b/>
          <w:spacing w:val="4"/>
          <w:sz w:val="25"/>
        </w:rPr>
        <w:t> </w:t>
      </w:r>
      <w:r>
        <w:rPr>
          <w:b/>
          <w:spacing w:val="1"/>
          <w:w w:val="99"/>
          <w:sz w:val="25"/>
        </w:rPr>
        <w:t>o</w:t>
      </w:r>
      <w:r>
        <w:rPr>
          <w:b/>
          <w:w w:val="99"/>
          <w:sz w:val="25"/>
        </w:rPr>
        <w:t>f</w:t>
      </w:r>
      <w:r>
        <w:rPr>
          <w:b/>
          <w:sz w:val="25"/>
        </w:rPr>
        <w:t> </w:t>
      </w:r>
      <w:r>
        <w:rPr>
          <w:b/>
          <w:w w:val="99"/>
          <w:sz w:val="25"/>
        </w:rPr>
        <w:t>Rel</w:t>
      </w:r>
      <w:r>
        <w:rPr>
          <w:b/>
          <w:spacing w:val="-2"/>
          <w:w w:val="99"/>
          <w:sz w:val="25"/>
        </w:rPr>
        <w:t>i</w:t>
      </w:r>
      <w:r>
        <w:rPr>
          <w:b/>
          <w:w w:val="99"/>
          <w:sz w:val="25"/>
        </w:rPr>
        <w:t>gi</w:t>
      </w:r>
      <w:r>
        <w:rPr>
          <w:b/>
          <w:spacing w:val="1"/>
          <w:w w:val="99"/>
          <w:sz w:val="25"/>
        </w:rPr>
        <w:t>o</w:t>
      </w:r>
      <w:r>
        <w:rPr>
          <w:b/>
          <w:spacing w:val="-2"/>
          <w:w w:val="99"/>
          <w:sz w:val="25"/>
        </w:rPr>
        <w:t>u</w:t>
      </w:r>
      <w:r>
        <w:rPr>
          <w:b/>
          <w:w w:val="99"/>
          <w:sz w:val="25"/>
        </w:rPr>
        <w:t>s</w:t>
      </w:r>
      <w:r>
        <w:rPr>
          <w:b/>
          <w:spacing w:val="-1"/>
          <w:sz w:val="25"/>
        </w:rPr>
        <w:t> </w:t>
      </w:r>
      <w:r>
        <w:rPr>
          <w:b/>
          <w:w w:val="99"/>
          <w:sz w:val="25"/>
        </w:rPr>
        <w:t>C</w:t>
      </w:r>
      <w:r>
        <w:rPr>
          <w:b/>
          <w:spacing w:val="1"/>
          <w:w w:val="99"/>
          <w:sz w:val="25"/>
        </w:rPr>
        <w:t>h</w:t>
      </w:r>
      <w:r>
        <w:rPr>
          <w:b/>
          <w:w w:val="99"/>
          <w:sz w:val="25"/>
        </w:rPr>
        <w:t>arita</w:t>
      </w:r>
      <w:r>
        <w:rPr>
          <w:b/>
          <w:w w:val="99"/>
          <w:sz w:val="25"/>
        </w:rPr>
        <w:t>b</w:t>
      </w:r>
      <w:r>
        <w:rPr>
          <w:b/>
          <w:w w:val="99"/>
          <w:sz w:val="25"/>
        </w:rPr>
        <w:t>le</w:t>
      </w:r>
      <w:r>
        <w:rPr>
          <w:b/>
          <w:sz w:val="25"/>
        </w:rPr>
        <w:t> </w:t>
      </w:r>
      <w:r>
        <w:rPr>
          <w:b/>
          <w:spacing w:val="-2"/>
          <w:w w:val="99"/>
          <w:sz w:val="25"/>
        </w:rPr>
        <w:t>T</w:t>
      </w:r>
      <w:r>
        <w:rPr>
          <w:b/>
          <w:spacing w:val="-1"/>
          <w:w w:val="99"/>
          <w:sz w:val="25"/>
        </w:rPr>
        <w:t>r</w:t>
      </w:r>
      <w:r>
        <w:rPr>
          <w:b/>
          <w:w w:val="99"/>
          <w:sz w:val="25"/>
        </w:rPr>
        <w:t>u</w:t>
      </w:r>
      <w:r>
        <w:rPr>
          <w:b/>
          <w:w w:val="99"/>
          <w:sz w:val="25"/>
        </w:rPr>
        <w:t>s</w:t>
      </w:r>
      <w:r>
        <w:rPr>
          <w:b/>
          <w:spacing w:val="1"/>
          <w:w w:val="99"/>
          <w:sz w:val="25"/>
        </w:rPr>
        <w:t>t</w:t>
      </w:r>
      <w:r>
        <w:rPr>
          <w:b/>
          <w:spacing w:val="6"/>
          <w:w w:val="99"/>
          <w:sz w:val="25"/>
        </w:rPr>
        <w:t>s</w:t>
      </w:r>
      <w:r>
        <w:rPr>
          <w:w w:val="80"/>
          <w:sz w:val="25"/>
        </w:rPr>
        <w:t>‖</w:t>
      </w:r>
      <w:r>
        <w:rPr>
          <w:spacing w:val="-2"/>
          <w:sz w:val="25"/>
        </w:rPr>
        <w:t> </w:t>
      </w:r>
      <w:r>
        <w:rPr>
          <w:w w:val="99"/>
          <w:sz w:val="25"/>
        </w:rPr>
        <w:t>stat</w:t>
      </w:r>
      <w:r>
        <w:rPr>
          <w:spacing w:val="-1"/>
          <w:w w:val="99"/>
          <w:sz w:val="25"/>
        </w:rPr>
        <w:t>es:</w:t>
      </w:r>
    </w:p>
    <w:p>
      <w:pPr>
        <w:spacing w:line="276" w:lineRule="auto" w:before="161"/>
        <w:ind w:left="1940" w:right="2261" w:firstLine="0"/>
        <w:jc w:val="both"/>
        <w:rPr>
          <w:sz w:val="21"/>
        </w:rPr>
      </w:pPr>
      <w:r>
        <w:rPr>
          <w:w w:val="33"/>
          <w:sz w:val="21"/>
        </w:rPr>
        <w:t>―</w:t>
      </w:r>
      <w:r>
        <w:rPr>
          <w:w w:val="100"/>
          <w:sz w:val="21"/>
        </w:rPr>
        <w:t>In</w:t>
      </w:r>
      <w:r>
        <w:rPr>
          <w:sz w:val="21"/>
        </w:rPr>
        <w:t> </w:t>
      </w:r>
      <w:r>
        <w:rPr>
          <w:w w:val="100"/>
          <w:sz w:val="21"/>
        </w:rPr>
        <w:t>English</w:t>
      </w:r>
      <w:r>
        <w:rPr>
          <w:sz w:val="21"/>
        </w:rPr>
        <w:t> </w:t>
      </w:r>
      <w:r>
        <w:rPr>
          <w:w w:val="100"/>
          <w:sz w:val="21"/>
        </w:rPr>
        <w:t>law</w:t>
      </w:r>
      <w:r>
        <w:rPr>
          <w:sz w:val="21"/>
        </w:rPr>
        <w:t> </w:t>
      </w:r>
      <w:r>
        <w:rPr>
          <w:w w:val="100"/>
          <w:sz w:val="21"/>
        </w:rPr>
        <w:t>the</w:t>
      </w:r>
      <w:r>
        <w:rPr>
          <w:sz w:val="21"/>
        </w:rPr>
        <w:t> </w:t>
      </w:r>
      <w:r>
        <w:rPr>
          <w:w w:val="100"/>
          <w:sz w:val="21"/>
        </w:rPr>
        <w:t>legal</w:t>
      </w:r>
      <w:r>
        <w:rPr>
          <w:sz w:val="21"/>
        </w:rPr>
        <w:t> </w:t>
      </w:r>
      <w:r>
        <w:rPr>
          <w:w w:val="100"/>
          <w:sz w:val="21"/>
        </w:rPr>
        <w:t>estate</w:t>
      </w:r>
      <w:r>
        <w:rPr>
          <w:sz w:val="21"/>
        </w:rPr>
        <w:t> </w:t>
      </w:r>
      <w:r>
        <w:rPr>
          <w:w w:val="100"/>
          <w:sz w:val="21"/>
        </w:rPr>
        <w:t>in</w:t>
      </w:r>
      <w:r>
        <w:rPr>
          <w:sz w:val="21"/>
        </w:rPr>
        <w:t> </w:t>
      </w:r>
      <w:r>
        <w:rPr>
          <w:w w:val="100"/>
          <w:sz w:val="21"/>
        </w:rPr>
        <w:t>the</w:t>
      </w:r>
      <w:r>
        <w:rPr>
          <w:sz w:val="21"/>
        </w:rPr>
        <w:t> </w:t>
      </w:r>
      <w:r>
        <w:rPr>
          <w:w w:val="100"/>
          <w:sz w:val="21"/>
        </w:rPr>
        <w:t>trust</w:t>
      </w:r>
      <w:r>
        <w:rPr>
          <w:sz w:val="21"/>
        </w:rPr>
        <w:t> </w:t>
      </w:r>
      <w:r>
        <w:rPr>
          <w:w w:val="100"/>
          <w:sz w:val="21"/>
        </w:rPr>
        <w:t>property</w:t>
      </w:r>
      <w:r>
        <w:rPr>
          <w:sz w:val="21"/>
        </w:rPr>
        <w:t> </w:t>
      </w:r>
      <w:r>
        <w:rPr>
          <w:w w:val="100"/>
          <w:sz w:val="21"/>
        </w:rPr>
        <w:t>vests</w:t>
      </w:r>
      <w:r>
        <w:rPr>
          <w:sz w:val="21"/>
        </w:rPr>
        <w:t> </w:t>
      </w:r>
      <w:r>
        <w:rPr>
          <w:w w:val="100"/>
          <w:sz w:val="21"/>
        </w:rPr>
        <w:t>in </w:t>
      </w:r>
      <w:r>
        <w:rPr>
          <w:sz w:val="21"/>
        </w:rPr>
        <w:t>the trustee who holds it for the benefit of the </w:t>
      </w:r>
      <w:r>
        <w:rPr>
          <w:i/>
          <w:sz w:val="21"/>
        </w:rPr>
        <w:t>cestui que trust</w:t>
      </w:r>
      <w:r>
        <w:rPr>
          <w:sz w:val="21"/>
        </w:rPr>
        <w:t>. In a Hindu religions endowment, the entire ownership of the dedicated property is transferred to the deity or the institution itself as a juristic person, and the Shebait or Mahant is a mere manager.‖</w:t>
      </w:r>
      <w:r>
        <w:rPr>
          <w:sz w:val="21"/>
          <w:vertAlign w:val="superscript"/>
        </w:rPr>
        <w:t>213</w:t>
      </w:r>
    </w:p>
    <w:p>
      <w:pPr>
        <w:pStyle w:val="BodyText"/>
        <w:rPr>
          <w:sz w:val="26"/>
        </w:rPr>
      </w:pPr>
    </w:p>
    <w:p>
      <w:pPr>
        <w:pStyle w:val="BodyText"/>
        <w:spacing w:before="1"/>
        <w:rPr>
          <w:sz w:val="22"/>
        </w:rPr>
      </w:pPr>
    </w:p>
    <w:p>
      <w:pPr>
        <w:pStyle w:val="BodyText"/>
        <w:spacing w:line="482" w:lineRule="auto"/>
        <w:ind w:left="500" w:right="512"/>
      </w:pPr>
      <w:r>
        <w:rPr/>
        <w:t>The above distinction was affirmed by this Court in </w:t>
      </w:r>
      <w:r>
        <w:rPr>
          <w:b/>
        </w:rPr>
        <w:t>Profulla Chorone</w:t>
      </w:r>
      <w:r>
        <w:rPr/>
        <w:t>. In dealing with the concept of a shebait, Justice RS Sarkaria held:</w:t>
      </w:r>
    </w:p>
    <w:p>
      <w:pPr>
        <w:spacing w:line="276" w:lineRule="auto" w:before="0"/>
        <w:ind w:left="1940" w:right="2260" w:firstLine="0"/>
        <w:jc w:val="both"/>
        <w:rPr>
          <w:sz w:val="21"/>
        </w:rPr>
      </w:pPr>
      <w:r>
        <w:rPr>
          <w:spacing w:val="-1"/>
          <w:w w:val="33"/>
          <w:sz w:val="21"/>
        </w:rPr>
        <w:t>―</w:t>
      </w:r>
      <w:r>
        <w:rPr>
          <w:w w:val="100"/>
          <w:sz w:val="21"/>
        </w:rPr>
        <w:t>As</w:t>
      </w:r>
      <w:r>
        <w:rPr>
          <w:spacing w:val="18"/>
          <w:sz w:val="21"/>
        </w:rPr>
        <w:t> </w:t>
      </w:r>
      <w:r>
        <w:rPr>
          <w:spacing w:val="-1"/>
          <w:w w:val="100"/>
          <w:sz w:val="21"/>
        </w:rPr>
        <w:t>rega</w:t>
      </w:r>
      <w:r>
        <w:rPr>
          <w:spacing w:val="-3"/>
          <w:w w:val="100"/>
          <w:sz w:val="21"/>
        </w:rPr>
        <w:t>r</w:t>
      </w:r>
      <w:r>
        <w:rPr>
          <w:spacing w:val="-1"/>
          <w:w w:val="100"/>
          <w:sz w:val="21"/>
        </w:rPr>
        <w:t>d</w:t>
      </w:r>
      <w:r>
        <w:rPr>
          <w:w w:val="100"/>
          <w:sz w:val="21"/>
        </w:rPr>
        <w:t>s</w:t>
      </w:r>
      <w:r>
        <w:rPr>
          <w:spacing w:val="18"/>
          <w:sz w:val="21"/>
        </w:rPr>
        <w:t> </w:t>
      </w:r>
      <w:r>
        <w:rPr>
          <w:spacing w:val="-2"/>
          <w:w w:val="100"/>
          <w:sz w:val="21"/>
        </w:rPr>
        <w:t>t</w:t>
      </w:r>
      <w:r>
        <w:rPr>
          <w:spacing w:val="-1"/>
          <w:w w:val="100"/>
          <w:sz w:val="21"/>
        </w:rPr>
        <w:t>h</w:t>
      </w:r>
      <w:r>
        <w:rPr>
          <w:w w:val="100"/>
          <w:sz w:val="21"/>
        </w:rPr>
        <w:t>e</w:t>
      </w:r>
      <w:r>
        <w:rPr>
          <w:spacing w:val="18"/>
          <w:sz w:val="21"/>
        </w:rPr>
        <w:t> </w:t>
      </w:r>
      <w:r>
        <w:rPr>
          <w:spacing w:val="-3"/>
          <w:w w:val="100"/>
          <w:sz w:val="21"/>
        </w:rPr>
        <w:t>ad</w:t>
      </w:r>
      <w:r>
        <w:rPr>
          <w:spacing w:val="1"/>
          <w:w w:val="100"/>
          <w:sz w:val="21"/>
        </w:rPr>
        <w:t>m</w:t>
      </w:r>
      <w:r>
        <w:rPr>
          <w:spacing w:val="-2"/>
          <w:w w:val="100"/>
          <w:sz w:val="21"/>
        </w:rPr>
        <w:t>i</w:t>
      </w:r>
      <w:r>
        <w:rPr>
          <w:spacing w:val="-1"/>
          <w:w w:val="100"/>
          <w:sz w:val="21"/>
        </w:rPr>
        <w:t>n</w:t>
      </w:r>
      <w:r>
        <w:rPr>
          <w:spacing w:val="1"/>
          <w:w w:val="100"/>
          <w:sz w:val="21"/>
        </w:rPr>
        <w:t>i</w:t>
      </w:r>
      <w:r>
        <w:rPr>
          <w:w w:val="100"/>
          <w:sz w:val="21"/>
        </w:rPr>
        <w:t>s</w:t>
      </w:r>
      <w:r>
        <w:rPr>
          <w:spacing w:val="-2"/>
          <w:w w:val="100"/>
          <w:sz w:val="21"/>
        </w:rPr>
        <w:t>t</w:t>
      </w:r>
      <w:r>
        <w:rPr>
          <w:spacing w:val="-4"/>
          <w:w w:val="100"/>
          <w:sz w:val="21"/>
        </w:rPr>
        <w:t>r</w:t>
      </w:r>
      <w:r>
        <w:rPr>
          <w:spacing w:val="-1"/>
          <w:w w:val="100"/>
          <w:sz w:val="21"/>
        </w:rPr>
        <w:t>at</w:t>
      </w:r>
      <w:r>
        <w:rPr>
          <w:w w:val="100"/>
          <w:sz w:val="21"/>
        </w:rPr>
        <w:t>i</w:t>
      </w:r>
      <w:r>
        <w:rPr>
          <w:spacing w:val="-1"/>
          <w:w w:val="100"/>
          <w:sz w:val="21"/>
        </w:rPr>
        <w:t>o</w:t>
      </w:r>
      <w:r>
        <w:rPr>
          <w:w w:val="100"/>
          <w:sz w:val="21"/>
        </w:rPr>
        <w:t>n</w:t>
      </w:r>
      <w:r>
        <w:rPr>
          <w:spacing w:val="18"/>
          <w:sz w:val="21"/>
        </w:rPr>
        <w:t> </w:t>
      </w:r>
      <w:r>
        <w:rPr>
          <w:spacing w:val="-3"/>
          <w:w w:val="100"/>
          <w:sz w:val="21"/>
        </w:rPr>
        <w:t>o</w:t>
      </w:r>
      <w:r>
        <w:rPr>
          <w:w w:val="100"/>
          <w:sz w:val="21"/>
        </w:rPr>
        <w:t>f</w:t>
      </w:r>
      <w:r>
        <w:rPr>
          <w:spacing w:val="19"/>
          <w:sz w:val="21"/>
        </w:rPr>
        <w:t> </w:t>
      </w:r>
      <w:r>
        <w:rPr>
          <w:spacing w:val="-2"/>
          <w:w w:val="100"/>
          <w:sz w:val="21"/>
        </w:rPr>
        <w:t>t</w:t>
      </w:r>
      <w:r>
        <w:rPr>
          <w:spacing w:val="-1"/>
          <w:w w:val="100"/>
          <w:sz w:val="21"/>
        </w:rPr>
        <w:t>h</w:t>
      </w:r>
      <w:r>
        <w:rPr>
          <w:w w:val="100"/>
          <w:sz w:val="21"/>
        </w:rPr>
        <w:t>e</w:t>
      </w:r>
      <w:r>
        <w:rPr>
          <w:spacing w:val="16"/>
          <w:sz w:val="21"/>
        </w:rPr>
        <w:t> </w:t>
      </w:r>
      <w:r>
        <w:rPr>
          <w:spacing w:val="-1"/>
          <w:w w:val="100"/>
          <w:sz w:val="21"/>
        </w:rPr>
        <w:t>de</w:t>
      </w:r>
      <w:r>
        <w:rPr>
          <w:spacing w:val="-2"/>
          <w:w w:val="100"/>
          <w:sz w:val="21"/>
        </w:rPr>
        <w:t>b</w:t>
      </w:r>
      <w:r>
        <w:rPr>
          <w:spacing w:val="-1"/>
          <w:w w:val="100"/>
          <w:sz w:val="21"/>
        </w:rPr>
        <w:t>ut</w:t>
      </w:r>
      <w:r>
        <w:rPr>
          <w:spacing w:val="-2"/>
          <w:w w:val="100"/>
          <w:sz w:val="21"/>
        </w:rPr>
        <w:t>t</w:t>
      </w:r>
      <w:r>
        <w:rPr>
          <w:spacing w:val="-1"/>
          <w:w w:val="100"/>
          <w:sz w:val="21"/>
        </w:rPr>
        <w:t>er</w:t>
      </w:r>
      <w:r>
        <w:rPr>
          <w:w w:val="100"/>
          <w:sz w:val="21"/>
        </w:rPr>
        <w:t>,</w:t>
      </w:r>
      <w:r>
        <w:rPr>
          <w:spacing w:val="16"/>
          <w:sz w:val="21"/>
        </w:rPr>
        <w:t> </w:t>
      </w:r>
      <w:r>
        <w:rPr>
          <w:spacing w:val="-1"/>
          <w:w w:val="100"/>
          <w:sz w:val="21"/>
        </w:rPr>
        <w:t>h</w:t>
      </w:r>
      <w:r>
        <w:rPr>
          <w:spacing w:val="1"/>
          <w:w w:val="100"/>
          <w:sz w:val="21"/>
        </w:rPr>
        <w:t>i</w:t>
      </w:r>
      <w:r>
        <w:rPr>
          <w:w w:val="100"/>
          <w:sz w:val="21"/>
        </w:rPr>
        <w:t>s</w:t>
      </w:r>
      <w:r>
        <w:rPr>
          <w:spacing w:val="15"/>
          <w:sz w:val="21"/>
        </w:rPr>
        <w:t> </w:t>
      </w:r>
      <w:r>
        <w:rPr>
          <w:spacing w:val="-1"/>
          <w:w w:val="100"/>
          <w:sz w:val="21"/>
        </w:rPr>
        <w:t>pos</w:t>
      </w:r>
      <w:r>
        <w:rPr>
          <w:spacing w:val="1"/>
          <w:w w:val="100"/>
          <w:sz w:val="21"/>
        </w:rPr>
        <w:t>i</w:t>
      </w:r>
      <w:r>
        <w:rPr>
          <w:spacing w:val="-4"/>
          <w:w w:val="100"/>
          <w:sz w:val="21"/>
        </w:rPr>
        <w:t>t</w:t>
      </w:r>
      <w:r>
        <w:rPr>
          <w:w w:val="100"/>
          <w:sz w:val="21"/>
        </w:rPr>
        <w:t>i</w:t>
      </w:r>
      <w:r>
        <w:rPr>
          <w:spacing w:val="-1"/>
          <w:w w:val="100"/>
          <w:sz w:val="21"/>
        </w:rPr>
        <w:t>o</w:t>
      </w:r>
      <w:r>
        <w:rPr>
          <w:w w:val="100"/>
          <w:sz w:val="21"/>
        </w:rPr>
        <w:t>n</w:t>
      </w:r>
      <w:r>
        <w:rPr>
          <w:spacing w:val="16"/>
          <w:sz w:val="21"/>
        </w:rPr>
        <w:t> </w:t>
      </w:r>
      <w:r>
        <w:rPr>
          <w:w w:val="100"/>
          <w:sz w:val="21"/>
        </w:rPr>
        <w:t>is </w:t>
      </w:r>
      <w:r>
        <w:rPr>
          <w:sz w:val="21"/>
        </w:rPr>
        <w:t>analogous to that of a trustee; yet, he is not precisely in the position of a trustee in the English sense, </w:t>
      </w:r>
      <w:r>
        <w:rPr>
          <w:b/>
          <w:sz w:val="21"/>
        </w:rPr>
        <w:t>because under Hindu Law, property absolutely dedicated to an idol, vests in the idol, and not in the shebait</w:t>
      </w:r>
      <w:r>
        <w:rPr>
          <w:sz w:val="21"/>
        </w:rPr>
        <w:t>. Although the debutter never vests in the shebait, yet, peculiarly enough, almost in every case, the </w:t>
      </w:r>
      <w:r>
        <w:rPr>
          <w:i/>
          <w:sz w:val="21"/>
        </w:rPr>
        <w:t>shebait </w:t>
      </w:r>
      <w:r>
        <w:rPr>
          <w:sz w:val="21"/>
        </w:rPr>
        <w:t>has a right to a part of the usufruct, the mode of enjoyment, and the amount of</w:t>
      </w:r>
      <w:r>
        <w:rPr>
          <w:spacing w:val="58"/>
          <w:sz w:val="21"/>
        </w:rPr>
        <w:t> </w:t>
      </w:r>
      <w:r>
        <w:rPr>
          <w:sz w:val="21"/>
        </w:rPr>
        <w:t>the</w:t>
      </w:r>
    </w:p>
    <w:p>
      <w:pPr>
        <w:pStyle w:val="BodyText"/>
        <w:rPr>
          <w:sz w:val="20"/>
        </w:rPr>
      </w:pPr>
    </w:p>
    <w:p>
      <w:pPr>
        <w:pStyle w:val="BodyText"/>
        <w:spacing w:before="4"/>
        <w:rPr>
          <w:sz w:val="29"/>
        </w:rPr>
      </w:pPr>
      <w:r>
        <w:rPr/>
        <w:pict>
          <v:rect style="position:absolute;margin-left:72.024002pt;margin-top:18.834711pt;width:144.020pt;height:.60004pt;mso-position-horizontal-relative:page;mso-position-vertical-relative:paragraph;z-index:-15671808;mso-wrap-distance-left:0;mso-wrap-distance-right:0" filled="true" fillcolor="#000000" stroked="false">
            <v:fill type="solid"/>
            <w10:wrap type="topAndBottom"/>
          </v:rect>
        </w:pict>
      </w:r>
    </w:p>
    <w:p>
      <w:pPr>
        <w:spacing w:before="81"/>
        <w:ind w:left="500" w:right="1030" w:firstLine="0"/>
        <w:jc w:val="left"/>
        <w:rPr>
          <w:sz w:val="18"/>
        </w:rPr>
      </w:pPr>
      <w:r>
        <w:rPr>
          <w:sz w:val="18"/>
          <w:vertAlign w:val="superscript"/>
        </w:rPr>
        <w:t>213</w:t>
      </w:r>
      <w:r>
        <w:rPr>
          <w:sz w:val="18"/>
          <w:vertAlign w:val="baseline"/>
        </w:rPr>
        <w:t> B.K. Mukherjea, The Hindu Law of Religious and Charitable Trust (5th Edn. Eastern Law House, 1983) at page 204</w:t>
      </w:r>
    </w:p>
    <w:p>
      <w:pPr>
        <w:spacing w:after="0"/>
        <w:jc w:val="left"/>
        <w:rPr>
          <w:sz w:val="18"/>
        </w:rPr>
        <w:sectPr>
          <w:pgSz w:w="11910" w:h="16840"/>
          <w:pgMar w:header="721" w:footer="1014" w:top="1300" w:bottom="1200" w:left="940" w:right="1000"/>
        </w:sectPr>
      </w:pPr>
    </w:p>
    <w:p>
      <w:pPr>
        <w:spacing w:line="276" w:lineRule="auto" w:before="122"/>
        <w:ind w:left="1940" w:right="2346" w:firstLine="0"/>
        <w:jc w:val="left"/>
        <w:rPr>
          <w:sz w:val="21"/>
        </w:rPr>
      </w:pPr>
      <w:r>
        <w:rPr>
          <w:sz w:val="21"/>
        </w:rPr>
        <w:t>usufruct depending again on usage and custom, if not devised by the</w:t>
      </w:r>
      <w:r>
        <w:rPr>
          <w:spacing w:val="-8"/>
          <w:sz w:val="21"/>
        </w:rPr>
        <w:t> </w:t>
      </w:r>
      <w:r>
        <w:rPr>
          <w:sz w:val="21"/>
        </w:rPr>
        <w:t>founder.‖</w:t>
      </w:r>
    </w:p>
    <w:p>
      <w:pPr>
        <w:spacing w:before="0"/>
        <w:ind w:left="5798" w:right="0" w:firstLine="0"/>
        <w:jc w:val="left"/>
        <w:rPr>
          <w:sz w:val="21"/>
        </w:rPr>
      </w:pPr>
      <w:r>
        <w:rPr>
          <w:sz w:val="21"/>
        </w:rPr>
        <w:t>(Emphasis supplied)</w:t>
      </w:r>
    </w:p>
    <w:p>
      <w:pPr>
        <w:pStyle w:val="BodyText"/>
        <w:rPr>
          <w:sz w:val="24"/>
        </w:rPr>
      </w:pPr>
    </w:p>
    <w:p>
      <w:pPr>
        <w:pStyle w:val="BodyText"/>
        <w:spacing w:before="3"/>
        <w:rPr>
          <w:sz w:val="27"/>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These observations affirm that the position of a shebait is distinct from that of a trustee in English law. The dedicated property legally vests in the idol in an ideal sense and not in the shebait. A shebait does not bring an action for the recovery of the property in a personal capacity but on behalf of the idol for the protection of the idol‘s dedicated property. Ordinarily, a deed of dedication will not contain a provision for the duties of the shebait. However, an express stipulation or even its absence does not mean that the property of the idol vests in the shebait. Though the property does not legally vest in the shebait, the shebait may have some interest in the usufruct generated from it. Appurtenant to the duties of a shebait, this interest is reflected in the nature of the office of a</w:t>
      </w:r>
      <w:r>
        <w:rPr>
          <w:spacing w:val="-17"/>
          <w:sz w:val="25"/>
        </w:rPr>
        <w:t> </w:t>
      </w:r>
      <w:r>
        <w:rPr>
          <w:sz w:val="25"/>
        </w:rPr>
        <w:t>shebait.</w:t>
      </w:r>
    </w:p>
    <w:p>
      <w:pPr>
        <w:pStyle w:val="BodyText"/>
        <w:spacing w:before="8"/>
        <w:rPr>
          <w:sz w:val="37"/>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In </w:t>
      </w:r>
      <w:r>
        <w:rPr>
          <w:b/>
          <w:sz w:val="25"/>
        </w:rPr>
        <w:t>Manohar Mukherji </w:t>
      </w:r>
      <w:r>
        <w:rPr>
          <w:sz w:val="25"/>
        </w:rPr>
        <w:t>v </w:t>
      </w:r>
      <w:r>
        <w:rPr>
          <w:b/>
          <w:sz w:val="25"/>
        </w:rPr>
        <w:t>Bhupendranath Mukherji</w:t>
      </w:r>
      <w:r>
        <w:rPr>
          <w:sz w:val="25"/>
          <w:vertAlign w:val="superscript"/>
        </w:rPr>
        <w:t>214</w:t>
      </w:r>
      <w:r>
        <w:rPr>
          <w:sz w:val="25"/>
          <w:vertAlign w:val="baseline"/>
        </w:rPr>
        <w:t>, the question before a Full Bench of the Calcutta High Court was whether shebaitship in Hindu law is property or an office to which the founder of an endowment is competent to appoint or nominate persons in any order of succession. Surveying the precedent, Justice Mukerji</w:t>
      </w:r>
      <w:r>
        <w:rPr>
          <w:spacing w:val="-3"/>
          <w:sz w:val="25"/>
          <w:vertAlign w:val="baseline"/>
        </w:rPr>
        <w:t> </w:t>
      </w:r>
      <w:r>
        <w:rPr>
          <w:sz w:val="25"/>
          <w:vertAlign w:val="baseline"/>
        </w:rPr>
        <w:t>held:</w:t>
      </w:r>
    </w:p>
    <w:p>
      <w:pPr>
        <w:spacing w:line="276" w:lineRule="auto" w:before="164"/>
        <w:ind w:left="1940" w:right="2262" w:firstLine="0"/>
        <w:jc w:val="both"/>
        <w:rPr>
          <w:sz w:val="21"/>
        </w:rPr>
      </w:pPr>
      <w:r>
        <w:rPr>
          <w:spacing w:val="-1"/>
          <w:w w:val="33"/>
          <w:sz w:val="21"/>
        </w:rPr>
        <w:t>―</w:t>
      </w:r>
      <w:r>
        <w:rPr>
          <w:w w:val="100"/>
          <w:sz w:val="21"/>
        </w:rPr>
        <w:t>…I</w:t>
      </w:r>
      <w:r>
        <w:rPr>
          <w:spacing w:val="29"/>
          <w:sz w:val="21"/>
        </w:rPr>
        <w:t> </w:t>
      </w:r>
      <w:r>
        <w:rPr>
          <w:w w:val="100"/>
          <w:sz w:val="21"/>
        </w:rPr>
        <w:t>can</w:t>
      </w:r>
      <w:r>
        <w:rPr>
          <w:sz w:val="21"/>
        </w:rPr>
        <w:t> </w:t>
      </w:r>
      <w:r>
        <w:rPr>
          <w:spacing w:val="-28"/>
          <w:sz w:val="21"/>
        </w:rPr>
        <w:t> </w:t>
      </w:r>
      <w:r>
        <w:rPr>
          <w:spacing w:val="-2"/>
          <w:w w:val="100"/>
          <w:sz w:val="21"/>
        </w:rPr>
        <w:t>f</w:t>
      </w:r>
      <w:r>
        <w:rPr>
          <w:w w:val="100"/>
          <w:sz w:val="21"/>
        </w:rPr>
        <w:t>i</w:t>
      </w:r>
      <w:r>
        <w:rPr>
          <w:spacing w:val="-3"/>
          <w:w w:val="100"/>
          <w:sz w:val="21"/>
        </w:rPr>
        <w:t>n</w:t>
      </w:r>
      <w:r>
        <w:rPr>
          <w:w w:val="100"/>
          <w:sz w:val="21"/>
        </w:rPr>
        <w:t>d</w:t>
      </w:r>
      <w:r>
        <w:rPr>
          <w:sz w:val="21"/>
        </w:rPr>
        <w:t> </w:t>
      </w:r>
      <w:r>
        <w:rPr>
          <w:spacing w:val="-29"/>
          <w:sz w:val="21"/>
        </w:rPr>
        <w:t> </w:t>
      </w:r>
      <w:r>
        <w:rPr>
          <w:spacing w:val="-1"/>
          <w:w w:val="100"/>
          <w:sz w:val="21"/>
        </w:rPr>
        <w:t>n</w:t>
      </w:r>
      <w:r>
        <w:rPr>
          <w:w w:val="100"/>
          <w:sz w:val="21"/>
        </w:rPr>
        <w:t>o</w:t>
      </w:r>
      <w:r>
        <w:rPr>
          <w:sz w:val="21"/>
        </w:rPr>
        <w:t> </w:t>
      </w:r>
      <w:r>
        <w:rPr>
          <w:spacing w:val="-28"/>
          <w:sz w:val="21"/>
        </w:rPr>
        <w:t> </w:t>
      </w:r>
      <w:r>
        <w:rPr>
          <w:spacing w:val="-1"/>
          <w:w w:val="100"/>
          <w:sz w:val="21"/>
        </w:rPr>
        <w:t>au</w:t>
      </w:r>
      <w:r>
        <w:rPr>
          <w:spacing w:val="-4"/>
          <w:w w:val="100"/>
          <w:sz w:val="21"/>
        </w:rPr>
        <w:t>t</w:t>
      </w:r>
      <w:r>
        <w:rPr>
          <w:spacing w:val="-1"/>
          <w:w w:val="100"/>
          <w:sz w:val="21"/>
        </w:rPr>
        <w:t>hor</w:t>
      </w:r>
      <w:r>
        <w:rPr>
          <w:w w:val="100"/>
          <w:sz w:val="21"/>
        </w:rPr>
        <w:t>i</w:t>
      </w:r>
      <w:r>
        <w:rPr>
          <w:spacing w:val="-2"/>
          <w:w w:val="100"/>
          <w:sz w:val="21"/>
        </w:rPr>
        <w:t>t</w:t>
      </w:r>
      <w:r>
        <w:rPr>
          <w:w w:val="100"/>
          <w:sz w:val="21"/>
        </w:rPr>
        <w:t>y</w:t>
      </w:r>
      <w:r>
        <w:rPr>
          <w:spacing w:val="27"/>
          <w:sz w:val="21"/>
        </w:rPr>
        <w:t> </w:t>
      </w:r>
      <w:r>
        <w:rPr>
          <w:spacing w:val="1"/>
          <w:w w:val="100"/>
          <w:sz w:val="21"/>
        </w:rPr>
        <w:t>f</w:t>
      </w:r>
      <w:r>
        <w:rPr>
          <w:spacing w:val="-1"/>
          <w:w w:val="100"/>
          <w:sz w:val="21"/>
        </w:rPr>
        <w:t>o</w:t>
      </w:r>
      <w:r>
        <w:rPr>
          <w:w w:val="100"/>
          <w:sz w:val="21"/>
        </w:rPr>
        <w:t>r</w:t>
      </w:r>
      <w:r>
        <w:rPr>
          <w:sz w:val="21"/>
        </w:rPr>
        <w:t> </w:t>
      </w:r>
      <w:r>
        <w:rPr>
          <w:spacing w:val="-29"/>
          <w:sz w:val="21"/>
        </w:rPr>
        <w:t> </w:t>
      </w:r>
      <w:r>
        <w:rPr>
          <w:spacing w:val="-2"/>
          <w:w w:val="100"/>
          <w:sz w:val="21"/>
        </w:rPr>
        <w:t>t</w:t>
      </w:r>
      <w:r>
        <w:rPr>
          <w:spacing w:val="-1"/>
          <w:w w:val="100"/>
          <w:sz w:val="21"/>
        </w:rPr>
        <w:t>h</w:t>
      </w:r>
      <w:r>
        <w:rPr>
          <w:w w:val="100"/>
          <w:sz w:val="21"/>
        </w:rPr>
        <w:t>e</w:t>
      </w:r>
      <w:r>
        <w:rPr>
          <w:sz w:val="21"/>
        </w:rPr>
        <w:t> </w:t>
      </w:r>
      <w:r>
        <w:rPr>
          <w:spacing w:val="-28"/>
          <w:sz w:val="21"/>
        </w:rPr>
        <w:t> </w:t>
      </w:r>
      <w:r>
        <w:rPr>
          <w:spacing w:val="-1"/>
          <w:w w:val="100"/>
          <w:sz w:val="21"/>
        </w:rPr>
        <w:t>pr</w:t>
      </w:r>
      <w:r>
        <w:rPr>
          <w:spacing w:val="-3"/>
          <w:w w:val="100"/>
          <w:sz w:val="21"/>
        </w:rPr>
        <w:t>o</w:t>
      </w:r>
      <w:r>
        <w:rPr>
          <w:spacing w:val="-1"/>
          <w:w w:val="100"/>
          <w:sz w:val="21"/>
        </w:rPr>
        <w:t>po</w:t>
      </w:r>
      <w:r>
        <w:rPr>
          <w:spacing w:val="-3"/>
          <w:w w:val="100"/>
          <w:sz w:val="21"/>
        </w:rPr>
        <w:t>s</w:t>
      </w:r>
      <w:r>
        <w:rPr>
          <w:w w:val="100"/>
          <w:sz w:val="21"/>
        </w:rPr>
        <w:t>i</w:t>
      </w:r>
      <w:r>
        <w:rPr>
          <w:spacing w:val="-2"/>
          <w:w w:val="100"/>
          <w:sz w:val="21"/>
        </w:rPr>
        <w:t>t</w:t>
      </w:r>
      <w:r>
        <w:rPr>
          <w:w w:val="100"/>
          <w:sz w:val="21"/>
        </w:rPr>
        <w:t>i</w:t>
      </w:r>
      <w:r>
        <w:rPr>
          <w:spacing w:val="-3"/>
          <w:w w:val="100"/>
          <w:sz w:val="21"/>
        </w:rPr>
        <w:t>o</w:t>
      </w:r>
      <w:r>
        <w:rPr>
          <w:w w:val="100"/>
          <w:sz w:val="21"/>
        </w:rPr>
        <w:t>n</w:t>
      </w:r>
      <w:r>
        <w:rPr>
          <w:sz w:val="21"/>
        </w:rPr>
        <w:t> </w:t>
      </w:r>
      <w:r>
        <w:rPr>
          <w:spacing w:val="-29"/>
          <w:sz w:val="21"/>
        </w:rPr>
        <w:t> </w:t>
      </w:r>
      <w:r>
        <w:rPr>
          <w:spacing w:val="-2"/>
          <w:w w:val="100"/>
          <w:sz w:val="21"/>
        </w:rPr>
        <w:t>t</w:t>
      </w:r>
      <w:r>
        <w:rPr>
          <w:spacing w:val="-1"/>
          <w:w w:val="100"/>
          <w:sz w:val="21"/>
        </w:rPr>
        <w:t>ha</w:t>
      </w:r>
      <w:r>
        <w:rPr>
          <w:w w:val="100"/>
          <w:sz w:val="21"/>
        </w:rPr>
        <w:t>t</w:t>
      </w:r>
      <w:r>
        <w:rPr>
          <w:sz w:val="21"/>
        </w:rPr>
        <w:t> </w:t>
      </w:r>
      <w:r>
        <w:rPr>
          <w:spacing w:val="-30"/>
          <w:sz w:val="21"/>
        </w:rPr>
        <w:t> </w:t>
      </w:r>
      <w:r>
        <w:rPr>
          <w:spacing w:val="-2"/>
          <w:w w:val="100"/>
          <w:sz w:val="21"/>
        </w:rPr>
        <w:t>t</w:t>
      </w:r>
      <w:r>
        <w:rPr>
          <w:spacing w:val="-1"/>
          <w:w w:val="100"/>
          <w:sz w:val="21"/>
        </w:rPr>
        <w:t>h</w:t>
      </w:r>
      <w:r>
        <w:rPr>
          <w:w w:val="100"/>
          <w:sz w:val="21"/>
        </w:rPr>
        <w:t>e</w:t>
      </w:r>
      <w:r>
        <w:rPr>
          <w:sz w:val="21"/>
        </w:rPr>
        <w:t> </w:t>
      </w:r>
      <w:r>
        <w:rPr>
          <w:spacing w:val="-28"/>
          <w:sz w:val="21"/>
        </w:rPr>
        <w:t> </w:t>
      </w:r>
      <w:r>
        <w:rPr>
          <w:spacing w:val="-2"/>
          <w:w w:val="100"/>
          <w:sz w:val="21"/>
        </w:rPr>
        <w:t>li</w:t>
      </w:r>
      <w:r>
        <w:rPr>
          <w:spacing w:val="1"/>
          <w:w w:val="100"/>
          <w:sz w:val="21"/>
        </w:rPr>
        <w:t>m</w:t>
      </w:r>
      <w:r>
        <w:rPr>
          <w:w w:val="100"/>
          <w:sz w:val="21"/>
        </w:rPr>
        <w:t>i</w:t>
      </w:r>
      <w:r>
        <w:rPr>
          <w:spacing w:val="-2"/>
          <w:w w:val="100"/>
          <w:sz w:val="21"/>
        </w:rPr>
        <w:t>t</w:t>
      </w:r>
      <w:r>
        <w:rPr>
          <w:spacing w:val="-3"/>
          <w:w w:val="100"/>
          <w:sz w:val="21"/>
        </w:rPr>
        <w:t>e</w:t>
      </w:r>
      <w:r>
        <w:rPr>
          <w:w w:val="100"/>
          <w:sz w:val="21"/>
        </w:rPr>
        <w:t>d </w:t>
      </w:r>
      <w:r>
        <w:rPr>
          <w:sz w:val="21"/>
        </w:rPr>
        <w:t>ownership which a shebait, in ordinary cases, exercises over debuttor property is not property in the eye of Hindu law… </w:t>
      </w:r>
      <w:r>
        <w:rPr>
          <w:b/>
          <w:sz w:val="21"/>
        </w:rPr>
        <w:t>having regard to the rights which ordinarily attach to the office of a shebait, the office and the property of the endowment go together and that when it is a question between two persons one claiming and the other disputing a right to be the shebait, the question is a question of property…</w:t>
      </w:r>
      <w:r>
        <w:rPr>
          <w:sz w:val="21"/>
        </w:rPr>
        <w:t>The religious office itself, of course, cannot</w:t>
      </w:r>
      <w:r>
        <w:rPr>
          <w:spacing w:val="21"/>
          <w:sz w:val="21"/>
        </w:rPr>
        <w:t> </w:t>
      </w:r>
      <w:r>
        <w:rPr>
          <w:sz w:val="21"/>
        </w:rPr>
        <w:t>be</w:t>
      </w:r>
      <w:r>
        <w:rPr>
          <w:spacing w:val="22"/>
          <w:sz w:val="21"/>
        </w:rPr>
        <w:t> </w:t>
      </w:r>
      <w:r>
        <w:rPr>
          <w:sz w:val="21"/>
        </w:rPr>
        <w:t>the</w:t>
      </w:r>
      <w:r>
        <w:rPr>
          <w:spacing w:val="23"/>
          <w:sz w:val="21"/>
        </w:rPr>
        <w:t> </w:t>
      </w:r>
      <w:r>
        <w:rPr>
          <w:sz w:val="21"/>
        </w:rPr>
        <w:t>object</w:t>
      </w:r>
      <w:r>
        <w:rPr>
          <w:spacing w:val="21"/>
          <w:sz w:val="21"/>
        </w:rPr>
        <w:t> </w:t>
      </w:r>
      <w:r>
        <w:rPr>
          <w:sz w:val="21"/>
        </w:rPr>
        <w:t>of</w:t>
      </w:r>
      <w:r>
        <w:rPr>
          <w:spacing w:val="24"/>
          <w:sz w:val="21"/>
        </w:rPr>
        <w:t> </w:t>
      </w:r>
      <w:r>
        <w:rPr>
          <w:sz w:val="21"/>
        </w:rPr>
        <w:t>sale,</w:t>
      </w:r>
      <w:r>
        <w:rPr>
          <w:spacing w:val="21"/>
          <w:sz w:val="21"/>
        </w:rPr>
        <w:t> </w:t>
      </w:r>
      <w:r>
        <w:rPr>
          <w:sz w:val="21"/>
        </w:rPr>
        <w:t>and</w:t>
      </w:r>
      <w:r>
        <w:rPr>
          <w:spacing w:val="21"/>
          <w:sz w:val="21"/>
        </w:rPr>
        <w:t> </w:t>
      </w:r>
      <w:r>
        <w:rPr>
          <w:sz w:val="21"/>
        </w:rPr>
        <w:t>jewels</w:t>
      </w:r>
      <w:r>
        <w:rPr>
          <w:spacing w:val="19"/>
          <w:sz w:val="21"/>
        </w:rPr>
        <w:t> </w:t>
      </w:r>
      <w:r>
        <w:rPr>
          <w:sz w:val="21"/>
        </w:rPr>
        <w:t>and</w:t>
      </w:r>
      <w:r>
        <w:rPr>
          <w:spacing w:val="21"/>
          <w:sz w:val="21"/>
        </w:rPr>
        <w:t> </w:t>
      </w:r>
      <w:r>
        <w:rPr>
          <w:sz w:val="21"/>
        </w:rPr>
        <w:t>other</w:t>
      </w:r>
      <w:r>
        <w:rPr>
          <w:spacing w:val="19"/>
          <w:sz w:val="21"/>
        </w:rPr>
        <w:t> </w:t>
      </w:r>
      <w:r>
        <w:rPr>
          <w:sz w:val="21"/>
        </w:rPr>
        <w:t>materials</w:t>
      </w:r>
    </w:p>
    <w:p>
      <w:pPr>
        <w:pStyle w:val="BodyText"/>
        <w:spacing w:before="6"/>
        <w:rPr>
          <w:sz w:val="18"/>
        </w:rPr>
      </w:pPr>
      <w:r>
        <w:rPr/>
        <w:pict>
          <v:rect style="position:absolute;margin-left:72.024002pt;margin-top:12.624512pt;width:144.020pt;height:.599980pt;mso-position-horizontal-relative:page;mso-position-vertical-relative:paragraph;z-index:-1567129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214</w:t>
      </w:r>
      <w:r>
        <w:rPr>
          <w:sz w:val="18"/>
          <w:vertAlign w:val="baseline"/>
        </w:rPr>
        <w:t> ILR (1933) 60 Cal 452</w:t>
      </w:r>
    </w:p>
    <w:p>
      <w:pPr>
        <w:spacing w:after="0"/>
        <w:jc w:val="left"/>
        <w:rPr>
          <w:sz w:val="18"/>
        </w:rPr>
        <w:sectPr>
          <w:pgSz w:w="11910" w:h="16840"/>
          <w:pgMar w:header="721" w:footer="1014" w:top="1300" w:bottom="1200" w:left="940" w:right="1000"/>
        </w:sectPr>
      </w:pPr>
    </w:p>
    <w:p>
      <w:pPr>
        <w:spacing w:line="276" w:lineRule="auto" w:before="122"/>
        <w:ind w:left="1940" w:right="2262" w:firstLine="0"/>
        <w:jc w:val="both"/>
        <w:rPr>
          <w:sz w:val="21"/>
        </w:rPr>
      </w:pPr>
      <w:r>
        <w:rPr>
          <w:sz w:val="21"/>
        </w:rPr>
        <w:t>used in religious worship, to the custody of which the alleged vendor is entitled and to the careful custody of which he is bound, are by all systems of law and by Hindu law more emphatically than by another, absolutely </w:t>
      </w:r>
      <w:r>
        <w:rPr>
          <w:i/>
          <w:sz w:val="21"/>
        </w:rPr>
        <w:t>extra commercium</w:t>
      </w:r>
      <w:r>
        <w:rPr>
          <w:sz w:val="21"/>
        </w:rPr>
        <w:t>.‖</w:t>
      </w:r>
    </w:p>
    <w:p>
      <w:pPr>
        <w:spacing w:before="1"/>
        <w:ind w:left="5798" w:right="0" w:firstLine="0"/>
        <w:jc w:val="both"/>
        <w:rPr>
          <w:sz w:val="21"/>
        </w:rPr>
      </w:pPr>
      <w:r>
        <w:rPr>
          <w:sz w:val="21"/>
        </w:rPr>
        <w:t>(Emphasis supplied)</w:t>
      </w:r>
    </w:p>
    <w:p>
      <w:pPr>
        <w:pStyle w:val="BodyText"/>
        <w:rPr>
          <w:sz w:val="24"/>
        </w:rPr>
      </w:pPr>
    </w:p>
    <w:p>
      <w:pPr>
        <w:pStyle w:val="BodyText"/>
        <w:spacing w:before="3"/>
        <w:rPr>
          <w:sz w:val="27"/>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In addition to the duties that must be discharged in relation to the debutter property, a shebait may have an interest in the usufruct of the debutter property. In this view, shebaitship is not an office simpliciter, but is also property for the purposes of devolution.</w:t>
      </w:r>
      <w:r>
        <w:rPr>
          <w:sz w:val="25"/>
          <w:vertAlign w:val="superscript"/>
        </w:rPr>
        <w:t>215</w:t>
      </w:r>
      <w:r>
        <w:rPr>
          <w:sz w:val="25"/>
          <w:vertAlign w:val="baseline"/>
        </w:rPr>
        <w:t> This view has been affirmed by this Court in </w:t>
      </w:r>
      <w:r>
        <w:rPr>
          <w:b/>
          <w:sz w:val="25"/>
          <w:vertAlign w:val="baseline"/>
        </w:rPr>
        <w:t>Angurbala Mullick </w:t>
      </w:r>
      <w:r>
        <w:rPr>
          <w:sz w:val="25"/>
          <w:vertAlign w:val="baseline"/>
        </w:rPr>
        <w:t>v </w:t>
      </w:r>
      <w:r>
        <w:rPr>
          <w:b/>
          <w:sz w:val="25"/>
          <w:vertAlign w:val="baseline"/>
        </w:rPr>
        <w:t>Debabrata Mullick</w:t>
      </w:r>
      <w:r>
        <w:rPr>
          <w:sz w:val="25"/>
          <w:vertAlign w:val="superscript"/>
        </w:rPr>
        <w:t>216</w:t>
      </w:r>
      <w:r>
        <w:rPr>
          <w:sz w:val="25"/>
          <w:vertAlign w:val="baseline"/>
        </w:rPr>
        <w:t>. The controversy in that case was whether the appellant, as the widow of the shebait, was entitled to act as the shebait of the idol instead of the minor son of the shebait borne from his first marriage who was the respondent. It was contended that the office of shebaitship would devolve in accordance with the Hindu Women‘s Right to Property Act 1937. Justice BK Mukherjea speaking for a four judge Bench of this Court accepted this contention and</w:t>
      </w:r>
      <w:r>
        <w:rPr>
          <w:spacing w:val="-4"/>
          <w:sz w:val="25"/>
          <w:vertAlign w:val="baseline"/>
        </w:rPr>
        <w:t> </w:t>
      </w:r>
      <w:r>
        <w:rPr>
          <w:sz w:val="25"/>
          <w:vertAlign w:val="baseline"/>
        </w:rPr>
        <w:t>held:</w:t>
      </w:r>
    </w:p>
    <w:p>
      <w:pPr>
        <w:spacing w:line="276" w:lineRule="auto" w:before="158"/>
        <w:ind w:left="1940" w:right="2261" w:firstLine="0"/>
        <w:jc w:val="both"/>
        <w:rPr>
          <w:sz w:val="21"/>
        </w:rPr>
      </w:pPr>
      <w:r>
        <w:rPr>
          <w:spacing w:val="-1"/>
          <w:w w:val="33"/>
          <w:sz w:val="21"/>
        </w:rPr>
        <w:t>―</w:t>
      </w:r>
      <w:r>
        <w:rPr>
          <w:spacing w:val="-1"/>
          <w:w w:val="100"/>
          <w:sz w:val="21"/>
        </w:rPr>
        <w:t>12</w:t>
      </w:r>
      <w:r>
        <w:rPr>
          <w:spacing w:val="-3"/>
          <w:w w:val="100"/>
          <w:sz w:val="21"/>
        </w:rPr>
        <w:t>…</w:t>
      </w:r>
      <w:r>
        <w:rPr>
          <w:w w:val="100"/>
          <w:sz w:val="21"/>
        </w:rPr>
        <w:t>But</w:t>
      </w:r>
      <w:r>
        <w:rPr>
          <w:spacing w:val="17"/>
          <w:sz w:val="21"/>
        </w:rPr>
        <w:t> </w:t>
      </w:r>
      <w:r>
        <w:rPr>
          <w:spacing w:val="-2"/>
          <w:w w:val="100"/>
          <w:sz w:val="21"/>
        </w:rPr>
        <w:t>t</w:t>
      </w:r>
      <w:r>
        <w:rPr>
          <w:w w:val="100"/>
          <w:sz w:val="21"/>
        </w:rPr>
        <w:t>h</w:t>
      </w:r>
      <w:r>
        <w:rPr>
          <w:spacing w:val="-3"/>
          <w:w w:val="100"/>
          <w:sz w:val="21"/>
        </w:rPr>
        <w:t>o</w:t>
      </w:r>
      <w:r>
        <w:rPr>
          <w:w w:val="100"/>
          <w:sz w:val="21"/>
        </w:rPr>
        <w:t>ugh</w:t>
      </w:r>
      <w:r>
        <w:rPr>
          <w:spacing w:val="16"/>
          <w:sz w:val="21"/>
        </w:rPr>
        <w:t> </w:t>
      </w:r>
      <w:r>
        <w:rPr>
          <w:w w:val="100"/>
          <w:sz w:val="21"/>
        </w:rPr>
        <w:t>a</w:t>
      </w:r>
      <w:r>
        <w:rPr>
          <w:spacing w:val="16"/>
          <w:sz w:val="21"/>
        </w:rPr>
        <w:t> </w:t>
      </w:r>
      <w:r>
        <w:rPr>
          <w:w w:val="100"/>
          <w:sz w:val="21"/>
        </w:rPr>
        <w:t>s</w:t>
      </w:r>
      <w:r>
        <w:rPr>
          <w:spacing w:val="-3"/>
          <w:w w:val="100"/>
          <w:sz w:val="21"/>
        </w:rPr>
        <w:t>h</w:t>
      </w:r>
      <w:r>
        <w:rPr>
          <w:w w:val="100"/>
          <w:sz w:val="21"/>
        </w:rPr>
        <w:t>eb</w:t>
      </w:r>
      <w:r>
        <w:rPr>
          <w:spacing w:val="-2"/>
          <w:w w:val="100"/>
          <w:sz w:val="21"/>
        </w:rPr>
        <w:t>a</w:t>
      </w:r>
      <w:r>
        <w:rPr>
          <w:spacing w:val="-2"/>
          <w:w w:val="100"/>
          <w:sz w:val="21"/>
        </w:rPr>
        <w:t>i</w:t>
      </w:r>
      <w:r>
        <w:rPr>
          <w:w w:val="100"/>
          <w:sz w:val="21"/>
        </w:rPr>
        <w:t>t</w:t>
      </w:r>
      <w:r>
        <w:rPr>
          <w:spacing w:val="17"/>
          <w:sz w:val="21"/>
        </w:rPr>
        <w:t> </w:t>
      </w:r>
      <w:r>
        <w:rPr>
          <w:w w:val="100"/>
          <w:sz w:val="21"/>
        </w:rPr>
        <w:t>i</w:t>
      </w:r>
      <w:r>
        <w:rPr>
          <w:w w:val="100"/>
          <w:sz w:val="21"/>
        </w:rPr>
        <w:t>s</w:t>
      </w:r>
      <w:r>
        <w:rPr>
          <w:spacing w:val="15"/>
          <w:sz w:val="21"/>
        </w:rPr>
        <w:t> </w:t>
      </w:r>
      <w:r>
        <w:rPr>
          <w:w w:val="100"/>
          <w:sz w:val="21"/>
        </w:rPr>
        <w:t>a</w:t>
      </w:r>
      <w:r>
        <w:rPr>
          <w:spacing w:val="16"/>
          <w:sz w:val="21"/>
        </w:rPr>
        <w:t> </w:t>
      </w:r>
      <w:r>
        <w:rPr>
          <w:spacing w:val="-1"/>
          <w:w w:val="100"/>
          <w:sz w:val="21"/>
        </w:rPr>
        <w:t>m</w:t>
      </w:r>
      <w:r>
        <w:rPr>
          <w:w w:val="100"/>
          <w:sz w:val="21"/>
        </w:rPr>
        <w:t>an</w:t>
      </w:r>
      <w:r>
        <w:rPr>
          <w:spacing w:val="-2"/>
          <w:w w:val="100"/>
          <w:sz w:val="21"/>
        </w:rPr>
        <w:t>a</w:t>
      </w:r>
      <w:r>
        <w:rPr>
          <w:w w:val="100"/>
          <w:sz w:val="21"/>
        </w:rPr>
        <w:t>ger</w:t>
      </w:r>
      <w:r>
        <w:rPr>
          <w:spacing w:val="15"/>
          <w:sz w:val="21"/>
        </w:rPr>
        <w:t> </w:t>
      </w:r>
      <w:r>
        <w:rPr>
          <w:w w:val="100"/>
          <w:sz w:val="21"/>
        </w:rPr>
        <w:t>and</w:t>
      </w:r>
      <w:r>
        <w:rPr>
          <w:spacing w:val="16"/>
          <w:sz w:val="21"/>
        </w:rPr>
        <w:t> </w:t>
      </w:r>
      <w:r>
        <w:rPr>
          <w:w w:val="100"/>
          <w:sz w:val="21"/>
        </w:rPr>
        <w:t>not</w:t>
      </w:r>
      <w:r>
        <w:rPr>
          <w:spacing w:val="14"/>
          <w:sz w:val="21"/>
        </w:rPr>
        <w:t> </w:t>
      </w:r>
      <w:r>
        <w:rPr>
          <w:w w:val="100"/>
          <w:sz w:val="21"/>
        </w:rPr>
        <w:t>a</w:t>
      </w:r>
      <w:r>
        <w:rPr>
          <w:spacing w:val="16"/>
          <w:sz w:val="21"/>
        </w:rPr>
        <w:t> </w:t>
      </w:r>
      <w:r>
        <w:rPr>
          <w:spacing w:val="-2"/>
          <w:w w:val="100"/>
          <w:sz w:val="21"/>
        </w:rPr>
        <w:t>t</w:t>
      </w:r>
      <w:r>
        <w:rPr>
          <w:spacing w:val="-1"/>
          <w:w w:val="100"/>
          <w:sz w:val="21"/>
        </w:rPr>
        <w:t>r</w:t>
      </w:r>
      <w:r>
        <w:rPr>
          <w:w w:val="100"/>
          <w:sz w:val="21"/>
        </w:rPr>
        <w:t>us</w:t>
      </w:r>
      <w:r>
        <w:rPr>
          <w:spacing w:val="-1"/>
          <w:w w:val="100"/>
          <w:sz w:val="21"/>
        </w:rPr>
        <w:t>t</w:t>
      </w:r>
      <w:r>
        <w:rPr>
          <w:w w:val="100"/>
          <w:sz w:val="21"/>
        </w:rPr>
        <w:t>ee</w:t>
      </w:r>
      <w:r>
        <w:rPr>
          <w:spacing w:val="18"/>
          <w:sz w:val="21"/>
        </w:rPr>
        <w:t> </w:t>
      </w:r>
      <w:r>
        <w:rPr>
          <w:spacing w:val="-2"/>
          <w:w w:val="100"/>
          <w:sz w:val="21"/>
        </w:rPr>
        <w:t>i</w:t>
      </w:r>
      <w:r>
        <w:rPr>
          <w:w w:val="100"/>
          <w:sz w:val="21"/>
        </w:rPr>
        <w:t>n </w:t>
      </w:r>
      <w:r>
        <w:rPr>
          <w:sz w:val="21"/>
        </w:rPr>
        <w:t>the technical sense, it would not be correct to describe the shebaitship as a mere office. The shebait has not only duties to discharge in connection with the endowment, but he has a beneficial interest in the debutter property. As the Judicial Committee observed in the above case, in almost all such endowments the shebait has a share in the usufruct of the debutter property which depends upon the terms of the grant or upon custom or usage. Even where no emoluments are attached to the office of the shebait, he enjoys some sort of right or interest in the endowed property which partially at least has the character of a proprietary right. Thus, in the conception of </w:t>
      </w:r>
      <w:r>
        <w:rPr>
          <w:i/>
          <w:sz w:val="21"/>
        </w:rPr>
        <w:t>shebaiti </w:t>
      </w:r>
      <w:r>
        <w:rPr>
          <w:sz w:val="21"/>
        </w:rPr>
        <w:t>both the elements of office and property, of duties and personal interest, are mixed up and blended together; and one of the elements cannot be detached from the other. It is the presence of this</w:t>
      </w:r>
      <w:r>
        <w:rPr>
          <w:spacing w:val="13"/>
          <w:sz w:val="21"/>
        </w:rPr>
        <w:t> </w:t>
      </w:r>
      <w:r>
        <w:rPr>
          <w:sz w:val="21"/>
        </w:rPr>
        <w:t>personal or</w:t>
      </w:r>
    </w:p>
    <w:p>
      <w:pPr>
        <w:pStyle w:val="BodyText"/>
        <w:spacing w:before="4"/>
        <w:rPr>
          <w:sz w:val="27"/>
        </w:rPr>
      </w:pPr>
      <w:r>
        <w:rPr/>
        <w:pict>
          <v:rect style="position:absolute;margin-left:72.024002pt;margin-top:17.677313pt;width:144.020pt;height:.60004pt;mso-position-horizontal-relative:page;mso-position-vertical-relative:paragraph;z-index:-15670784;mso-wrap-distance-left:0;mso-wrap-distance-right:0" filled="true" fillcolor="#000000" stroked="false">
            <v:fill type="solid"/>
            <w10:wrap type="topAndBottom"/>
          </v:rect>
        </w:pict>
      </w:r>
    </w:p>
    <w:p>
      <w:pPr>
        <w:spacing w:line="207" w:lineRule="exact" w:before="76"/>
        <w:ind w:left="500" w:right="0" w:firstLine="0"/>
        <w:jc w:val="left"/>
        <w:rPr>
          <w:sz w:val="18"/>
        </w:rPr>
      </w:pPr>
      <w:r>
        <w:rPr>
          <w:sz w:val="18"/>
          <w:vertAlign w:val="superscript"/>
        </w:rPr>
        <w:t>215</w:t>
      </w:r>
      <w:r>
        <w:rPr>
          <w:sz w:val="18"/>
          <w:vertAlign w:val="baseline"/>
        </w:rPr>
        <w:t> Approved by Privy Council in </w:t>
      </w:r>
      <w:r>
        <w:rPr>
          <w:b/>
          <w:sz w:val="18"/>
          <w:vertAlign w:val="baseline"/>
        </w:rPr>
        <w:t>Ganesh Chunder Dhur </w:t>
      </w:r>
      <w:r>
        <w:rPr>
          <w:sz w:val="18"/>
          <w:vertAlign w:val="baseline"/>
        </w:rPr>
        <w:t>v </w:t>
      </w:r>
      <w:r>
        <w:rPr>
          <w:b/>
          <w:sz w:val="18"/>
          <w:vertAlign w:val="baseline"/>
        </w:rPr>
        <w:t>Lal Behary Dhur </w:t>
      </w:r>
      <w:r>
        <w:rPr>
          <w:sz w:val="18"/>
          <w:vertAlign w:val="baseline"/>
        </w:rPr>
        <w:t>(1935-36) 63 IA 448, and</w:t>
      </w:r>
    </w:p>
    <w:p>
      <w:pPr>
        <w:spacing w:line="207" w:lineRule="exact" w:before="0"/>
        <w:ind w:left="500" w:right="0" w:firstLine="0"/>
        <w:jc w:val="left"/>
        <w:rPr>
          <w:sz w:val="18"/>
        </w:rPr>
      </w:pPr>
      <w:r>
        <w:rPr>
          <w:b/>
          <w:sz w:val="18"/>
        </w:rPr>
        <w:t>Bhabatarini Debi </w:t>
      </w:r>
      <w:r>
        <w:rPr>
          <w:sz w:val="18"/>
        </w:rPr>
        <w:t>v </w:t>
      </w:r>
      <w:r>
        <w:rPr>
          <w:b/>
          <w:sz w:val="18"/>
        </w:rPr>
        <w:t>Ashalata Debi </w:t>
      </w:r>
      <w:r>
        <w:rPr>
          <w:sz w:val="18"/>
        </w:rPr>
        <w:t>(1942-43) 70 IA 57</w:t>
      </w:r>
    </w:p>
    <w:p>
      <w:pPr>
        <w:spacing w:before="6"/>
        <w:ind w:left="500" w:right="0" w:firstLine="0"/>
        <w:jc w:val="left"/>
        <w:rPr>
          <w:sz w:val="18"/>
        </w:rPr>
      </w:pPr>
      <w:r>
        <w:rPr>
          <w:sz w:val="18"/>
          <w:vertAlign w:val="superscript"/>
        </w:rPr>
        <w:t>216</w:t>
      </w:r>
      <w:r>
        <w:rPr>
          <w:sz w:val="18"/>
          <w:vertAlign w:val="baseline"/>
        </w:rPr>
        <w:t>1951 SCR 1125</w:t>
      </w:r>
    </w:p>
    <w:p>
      <w:pPr>
        <w:spacing w:after="0"/>
        <w:jc w:val="left"/>
        <w:rPr>
          <w:sz w:val="18"/>
        </w:rPr>
        <w:sectPr>
          <w:pgSz w:w="11910" w:h="16840"/>
          <w:pgMar w:header="721" w:footer="1014" w:top="1300" w:bottom="1200" w:left="940" w:right="1000"/>
        </w:sectPr>
      </w:pPr>
    </w:p>
    <w:p>
      <w:pPr>
        <w:spacing w:line="276" w:lineRule="auto" w:before="122"/>
        <w:ind w:left="1940" w:right="2261" w:firstLine="0"/>
        <w:jc w:val="both"/>
        <w:rPr>
          <w:sz w:val="21"/>
        </w:rPr>
      </w:pPr>
      <w:r>
        <w:rPr>
          <w:sz w:val="21"/>
        </w:rPr>
        <w:t>beneficial interest in the endowed property which invests shebaitship with the character of proprietary rights and attaches to it the legal incidents of property.‖</w:t>
      </w:r>
    </w:p>
    <w:p>
      <w:pPr>
        <w:pStyle w:val="BodyText"/>
        <w:rPr>
          <w:sz w:val="24"/>
        </w:rPr>
      </w:pPr>
    </w:p>
    <w:p>
      <w:pPr>
        <w:pStyle w:val="BodyText"/>
        <w:spacing w:before="3"/>
        <w:rPr>
          <w:sz w:val="22"/>
        </w:rPr>
      </w:pPr>
    </w:p>
    <w:p>
      <w:pPr>
        <w:pStyle w:val="BodyText"/>
        <w:spacing w:line="480" w:lineRule="auto"/>
        <w:ind w:left="500" w:right="434"/>
        <w:jc w:val="both"/>
      </w:pPr>
      <w:r>
        <w:rPr/>
        <w:t>The Court held that a shebait has a beneficial interest in the usufruct of the debutter property. This beneficial interest is in the form of a proprietary right. Though the role of the shebait is premised on the performance of certain duties for the idol and the benefits are appurtenant, neither can be separated from the other. Thus, office and property are both blended in shebaitship, the personal interest of a shebait being </w:t>
      </w:r>
      <w:r>
        <w:rPr>
          <w:i/>
        </w:rPr>
        <w:t>appurtenant </w:t>
      </w:r>
      <w:r>
        <w:rPr/>
        <w:t>to their duties.</w:t>
      </w:r>
      <w:r>
        <w:rPr>
          <w:vertAlign w:val="superscript"/>
        </w:rPr>
        <w:t>217</w:t>
      </w:r>
    </w:p>
    <w:p>
      <w:pPr>
        <w:spacing w:before="287"/>
        <w:ind w:left="500" w:right="0" w:firstLine="0"/>
        <w:jc w:val="left"/>
        <w:rPr>
          <w:i/>
          <w:sz w:val="25"/>
        </w:rPr>
      </w:pPr>
      <w:r>
        <w:rPr>
          <w:i/>
          <w:sz w:val="25"/>
        </w:rPr>
        <w:t>Pujaris</w:t>
      </w:r>
    </w:p>
    <w:p>
      <w:pPr>
        <w:pStyle w:val="BodyText"/>
        <w:rPr>
          <w:i/>
          <w:sz w:val="28"/>
        </w:rPr>
      </w:pPr>
    </w:p>
    <w:p>
      <w:pPr>
        <w:pStyle w:val="BodyText"/>
        <w:spacing w:before="5"/>
        <w:rPr>
          <w:i/>
          <w:sz w:val="33"/>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A final point may be made with respect to shebaits. A pujari who conducts worship at a temple is not merely, by offering worship to the idol, elevated to the status of a shebait. A pujari is a servant or appointee of a shebait and gains no independent right as a shebait despite having conducted the ceremonies for a long period of time. Thus, the mere presence of pujaris does not vest in them any right to be shebaits. In </w:t>
      </w:r>
      <w:r>
        <w:rPr>
          <w:b/>
          <w:sz w:val="25"/>
        </w:rPr>
        <w:t>Gauri Shankar </w:t>
      </w:r>
      <w:r>
        <w:rPr>
          <w:sz w:val="25"/>
        </w:rPr>
        <w:t>v </w:t>
      </w:r>
      <w:r>
        <w:rPr>
          <w:b/>
          <w:sz w:val="25"/>
        </w:rPr>
        <w:t>Ambika Dutt</w:t>
      </w:r>
      <w:r>
        <w:rPr>
          <w:sz w:val="25"/>
          <w:vertAlign w:val="superscript"/>
        </w:rPr>
        <w:t>218</w:t>
      </w:r>
      <w:r>
        <w:rPr>
          <w:sz w:val="25"/>
          <w:vertAlign w:val="baseline"/>
        </w:rPr>
        <w:t>, the plaintiff was the descendant of a person appointed as a pujari on property dedicated for the worship of an idol. A suit was instituted for claiming partition of the right to worship in the temple and a division of the offerings. A Division Bench of the Patna High Court held that the relevant question is whether the debutter appointed the pujari as a shebait. Justice Ramaswami</w:t>
      </w:r>
      <w:r>
        <w:rPr>
          <w:spacing w:val="-9"/>
          <w:sz w:val="25"/>
          <w:vertAlign w:val="baseline"/>
        </w:rPr>
        <w:t> </w:t>
      </w:r>
      <w:r>
        <w:rPr>
          <w:sz w:val="25"/>
          <w:vertAlign w:val="baseline"/>
        </w:rPr>
        <w:t>held:</w:t>
      </w:r>
    </w:p>
    <w:p>
      <w:pPr>
        <w:pStyle w:val="BodyText"/>
        <w:rPr>
          <w:sz w:val="20"/>
        </w:rPr>
      </w:pPr>
    </w:p>
    <w:p>
      <w:pPr>
        <w:pStyle w:val="BodyText"/>
        <w:rPr>
          <w:sz w:val="20"/>
        </w:rPr>
      </w:pPr>
    </w:p>
    <w:p>
      <w:pPr>
        <w:pStyle w:val="BodyText"/>
        <w:spacing w:before="3"/>
        <w:rPr>
          <w:sz w:val="26"/>
        </w:rPr>
      </w:pPr>
      <w:r>
        <w:rPr/>
        <w:pict>
          <v:rect style="position:absolute;margin-left:72.024002pt;margin-top:17.093048pt;width:144.020pt;height:.60004pt;mso-position-horizontal-relative:page;mso-position-vertical-relative:paragraph;z-index:-15670272;mso-wrap-distance-left:0;mso-wrap-distance-right:0" filled="true" fillcolor="#000000" stroked="false">
            <v:fill type="solid"/>
            <w10:wrap type="topAndBottom"/>
          </v:rect>
        </w:pict>
      </w:r>
    </w:p>
    <w:p>
      <w:pPr>
        <w:spacing w:line="244" w:lineRule="auto" w:before="76"/>
        <w:ind w:left="500" w:right="432" w:firstLine="0"/>
        <w:jc w:val="left"/>
        <w:rPr>
          <w:sz w:val="18"/>
        </w:rPr>
      </w:pPr>
      <w:r>
        <w:rPr>
          <w:sz w:val="18"/>
          <w:vertAlign w:val="superscript"/>
        </w:rPr>
        <w:t>217</w:t>
      </w:r>
      <w:r>
        <w:rPr>
          <w:sz w:val="18"/>
          <w:vertAlign w:val="baseline"/>
        </w:rPr>
        <w:t> Affirmed in </w:t>
      </w:r>
      <w:r>
        <w:rPr>
          <w:b/>
          <w:sz w:val="18"/>
          <w:vertAlign w:val="baseline"/>
        </w:rPr>
        <w:t>Badri Nath </w:t>
      </w:r>
      <w:r>
        <w:rPr>
          <w:sz w:val="18"/>
          <w:vertAlign w:val="baseline"/>
        </w:rPr>
        <w:t>v </w:t>
      </w:r>
      <w:r>
        <w:rPr>
          <w:b/>
          <w:sz w:val="18"/>
          <w:vertAlign w:val="baseline"/>
        </w:rPr>
        <w:t>Punna</w:t>
      </w:r>
      <w:r>
        <w:rPr>
          <w:sz w:val="18"/>
          <w:vertAlign w:val="baseline"/>
        </w:rPr>
        <w:t>, AIR 1979 SC 1314; </w:t>
      </w:r>
      <w:r>
        <w:rPr>
          <w:b/>
          <w:sz w:val="18"/>
          <w:vertAlign w:val="baseline"/>
        </w:rPr>
        <w:t>Profulla Chorone Requitte </w:t>
      </w:r>
      <w:r>
        <w:rPr>
          <w:sz w:val="18"/>
          <w:vertAlign w:val="baseline"/>
        </w:rPr>
        <w:t>v </w:t>
      </w:r>
      <w:r>
        <w:rPr>
          <w:b/>
          <w:sz w:val="18"/>
          <w:vertAlign w:val="baseline"/>
        </w:rPr>
        <w:t>Satya Chorone Requitte</w:t>
      </w:r>
      <w:r>
        <w:rPr>
          <w:sz w:val="18"/>
          <w:vertAlign w:val="baseline"/>
        </w:rPr>
        <w:t>, (1979) 3 SCC 409</w:t>
      </w:r>
    </w:p>
    <w:p>
      <w:pPr>
        <w:spacing w:line="205" w:lineRule="exact" w:before="0"/>
        <w:ind w:left="500" w:right="0" w:firstLine="0"/>
        <w:jc w:val="left"/>
        <w:rPr>
          <w:sz w:val="18"/>
        </w:rPr>
      </w:pPr>
      <w:r>
        <w:rPr>
          <w:sz w:val="18"/>
          <w:vertAlign w:val="superscript"/>
        </w:rPr>
        <w:t>218</w:t>
      </w:r>
      <w:r>
        <w:rPr>
          <w:sz w:val="18"/>
          <w:vertAlign w:val="baseline"/>
        </w:rPr>
        <w:t> AIR 1954 Pat 196</w:t>
      </w:r>
    </w:p>
    <w:p>
      <w:pPr>
        <w:spacing w:after="0" w:line="205" w:lineRule="exact"/>
        <w:jc w:val="left"/>
        <w:rPr>
          <w:sz w:val="18"/>
        </w:rPr>
        <w:sectPr>
          <w:headerReference w:type="default" r:id="rId124"/>
          <w:footerReference w:type="default" r:id="rId125"/>
          <w:pgSz w:w="11910" w:h="16840"/>
          <w:pgMar w:header="721" w:footer="1014" w:top="1300" w:bottom="1200" w:left="940" w:right="1000"/>
        </w:sectPr>
      </w:pPr>
    </w:p>
    <w:p>
      <w:pPr>
        <w:spacing w:line="276" w:lineRule="auto" w:before="122"/>
        <w:ind w:left="1940" w:right="2263" w:firstLine="0"/>
        <w:jc w:val="both"/>
        <w:rPr>
          <w:sz w:val="21"/>
        </w:rPr>
      </w:pPr>
      <w:r>
        <w:rPr>
          <w:spacing w:val="-1"/>
          <w:w w:val="33"/>
          <w:sz w:val="21"/>
        </w:rPr>
        <w:t>―</w:t>
      </w:r>
      <w:r>
        <w:rPr>
          <w:spacing w:val="-1"/>
          <w:w w:val="100"/>
          <w:sz w:val="21"/>
        </w:rPr>
        <w:t>7…I</w:t>
      </w:r>
      <w:r>
        <w:rPr>
          <w:w w:val="100"/>
          <w:sz w:val="21"/>
        </w:rPr>
        <w:t>t</w:t>
      </w:r>
      <w:r>
        <w:rPr>
          <w:sz w:val="21"/>
        </w:rPr>
        <w:t> </w:t>
      </w:r>
      <w:r>
        <w:rPr>
          <w:spacing w:val="-15"/>
          <w:sz w:val="21"/>
        </w:rPr>
        <w:t> </w:t>
      </w:r>
      <w:r>
        <w:rPr>
          <w:w w:val="100"/>
          <w:sz w:val="21"/>
        </w:rPr>
        <w:t>is</w:t>
      </w:r>
      <w:r>
        <w:rPr>
          <w:sz w:val="21"/>
        </w:rPr>
        <w:t> </w:t>
      </w:r>
      <w:r>
        <w:rPr>
          <w:spacing w:val="-17"/>
          <w:sz w:val="21"/>
        </w:rPr>
        <w:t> </w:t>
      </w:r>
      <w:r>
        <w:rPr>
          <w:spacing w:val="-2"/>
          <w:w w:val="100"/>
          <w:sz w:val="21"/>
        </w:rPr>
        <w:t>i</w:t>
      </w:r>
      <w:r>
        <w:rPr>
          <w:spacing w:val="1"/>
          <w:w w:val="100"/>
          <w:sz w:val="21"/>
        </w:rPr>
        <w:t>m</w:t>
      </w:r>
      <w:r>
        <w:rPr>
          <w:spacing w:val="-3"/>
          <w:w w:val="100"/>
          <w:sz w:val="21"/>
        </w:rPr>
        <w:t>p</w:t>
      </w:r>
      <w:r>
        <w:rPr>
          <w:spacing w:val="-1"/>
          <w:w w:val="100"/>
          <w:sz w:val="21"/>
        </w:rPr>
        <w:t>or</w:t>
      </w:r>
      <w:r>
        <w:rPr>
          <w:spacing w:val="-2"/>
          <w:w w:val="100"/>
          <w:sz w:val="21"/>
        </w:rPr>
        <w:t>t</w:t>
      </w:r>
      <w:r>
        <w:rPr>
          <w:spacing w:val="-1"/>
          <w:w w:val="100"/>
          <w:sz w:val="21"/>
        </w:rPr>
        <w:t>an</w:t>
      </w:r>
      <w:r>
        <w:rPr>
          <w:w w:val="100"/>
          <w:sz w:val="21"/>
        </w:rPr>
        <w:t>t</w:t>
      </w:r>
      <w:r>
        <w:rPr>
          <w:sz w:val="21"/>
        </w:rPr>
        <w:t> </w:t>
      </w:r>
      <w:r>
        <w:rPr>
          <w:spacing w:val="-15"/>
          <w:sz w:val="21"/>
        </w:rPr>
        <w:t> </w:t>
      </w:r>
      <w:r>
        <w:rPr>
          <w:spacing w:val="-2"/>
          <w:w w:val="100"/>
          <w:sz w:val="21"/>
        </w:rPr>
        <w:t>t</w:t>
      </w:r>
      <w:r>
        <w:rPr>
          <w:w w:val="100"/>
          <w:sz w:val="21"/>
        </w:rPr>
        <w:t>o</w:t>
      </w:r>
      <w:r>
        <w:rPr>
          <w:sz w:val="21"/>
        </w:rPr>
        <w:t> </w:t>
      </w:r>
      <w:r>
        <w:rPr>
          <w:spacing w:val="-14"/>
          <w:sz w:val="21"/>
        </w:rPr>
        <w:t> </w:t>
      </w:r>
      <w:r>
        <w:rPr>
          <w:w w:val="100"/>
          <w:sz w:val="21"/>
        </w:rPr>
        <w:t>s</w:t>
      </w:r>
      <w:r>
        <w:rPr>
          <w:spacing w:val="-2"/>
          <w:w w:val="100"/>
          <w:sz w:val="21"/>
        </w:rPr>
        <w:t>t</w:t>
      </w:r>
      <w:r>
        <w:rPr>
          <w:spacing w:val="-3"/>
          <w:w w:val="100"/>
          <w:sz w:val="21"/>
        </w:rPr>
        <w:t>a</w:t>
      </w:r>
      <w:r>
        <w:rPr>
          <w:spacing w:val="-2"/>
          <w:w w:val="100"/>
          <w:sz w:val="21"/>
        </w:rPr>
        <w:t>t</w:t>
      </w:r>
      <w:r>
        <w:rPr>
          <w:w w:val="100"/>
          <w:sz w:val="21"/>
        </w:rPr>
        <w:t>e</w:t>
      </w:r>
      <w:r>
        <w:rPr>
          <w:sz w:val="21"/>
        </w:rPr>
        <w:t> </w:t>
      </w:r>
      <w:r>
        <w:rPr>
          <w:spacing w:val="-14"/>
          <w:sz w:val="21"/>
        </w:rPr>
        <w:t> </w:t>
      </w:r>
      <w:r>
        <w:rPr>
          <w:spacing w:val="-2"/>
          <w:w w:val="100"/>
          <w:sz w:val="21"/>
        </w:rPr>
        <w:t>t</w:t>
      </w:r>
      <w:r>
        <w:rPr>
          <w:spacing w:val="-1"/>
          <w:w w:val="100"/>
          <w:sz w:val="21"/>
        </w:rPr>
        <w:t>ha</w:t>
      </w:r>
      <w:r>
        <w:rPr>
          <w:w w:val="100"/>
          <w:sz w:val="21"/>
        </w:rPr>
        <w:t>t</w:t>
      </w:r>
      <w:r>
        <w:rPr>
          <w:sz w:val="21"/>
        </w:rPr>
        <w:t> </w:t>
      </w:r>
      <w:r>
        <w:rPr>
          <w:spacing w:val="-15"/>
          <w:sz w:val="21"/>
        </w:rPr>
        <w:t> </w:t>
      </w:r>
      <w:r>
        <w:rPr>
          <w:w w:val="100"/>
          <w:sz w:val="21"/>
        </w:rPr>
        <w:t>a</w:t>
      </w:r>
      <w:r>
        <w:rPr>
          <w:sz w:val="21"/>
        </w:rPr>
        <w:t> </w:t>
      </w:r>
      <w:r>
        <w:rPr>
          <w:spacing w:val="-14"/>
          <w:sz w:val="21"/>
        </w:rPr>
        <w:t> </w:t>
      </w:r>
      <w:r>
        <w:rPr>
          <w:spacing w:val="-3"/>
          <w:w w:val="100"/>
          <w:sz w:val="21"/>
        </w:rPr>
        <w:t>p</w:t>
      </w:r>
      <w:r>
        <w:rPr>
          <w:spacing w:val="-1"/>
          <w:w w:val="100"/>
          <w:sz w:val="21"/>
        </w:rPr>
        <w:t>u</w:t>
      </w:r>
      <w:r>
        <w:rPr>
          <w:spacing w:val="-2"/>
          <w:w w:val="100"/>
          <w:sz w:val="21"/>
        </w:rPr>
        <w:t>j</w:t>
      </w:r>
      <w:r>
        <w:rPr>
          <w:spacing w:val="-1"/>
          <w:w w:val="100"/>
          <w:sz w:val="21"/>
        </w:rPr>
        <w:t>ar</w:t>
      </w:r>
      <w:r>
        <w:rPr>
          <w:w w:val="100"/>
          <w:sz w:val="21"/>
        </w:rPr>
        <w:t>i</w:t>
      </w:r>
      <w:r>
        <w:rPr>
          <w:sz w:val="21"/>
        </w:rPr>
        <w:t> </w:t>
      </w:r>
      <w:r>
        <w:rPr>
          <w:spacing w:val="-16"/>
          <w:sz w:val="21"/>
        </w:rPr>
        <w:t> </w:t>
      </w:r>
      <w:r>
        <w:rPr>
          <w:spacing w:val="-1"/>
          <w:w w:val="100"/>
          <w:sz w:val="21"/>
        </w:rPr>
        <w:t>o</w:t>
      </w:r>
      <w:r>
        <w:rPr>
          <w:w w:val="100"/>
          <w:sz w:val="21"/>
        </w:rPr>
        <w:t>r</w:t>
      </w:r>
      <w:r>
        <w:rPr>
          <w:sz w:val="21"/>
        </w:rPr>
        <w:t> </w:t>
      </w:r>
      <w:r>
        <w:rPr>
          <w:spacing w:val="-15"/>
          <w:sz w:val="21"/>
        </w:rPr>
        <w:t> </w:t>
      </w:r>
      <w:r>
        <w:rPr>
          <w:spacing w:val="-1"/>
          <w:w w:val="100"/>
          <w:sz w:val="21"/>
        </w:rPr>
        <w:t>ar</w:t>
      </w:r>
      <w:r>
        <w:rPr>
          <w:spacing w:val="-3"/>
          <w:w w:val="100"/>
          <w:sz w:val="21"/>
        </w:rPr>
        <w:t>c</w:t>
      </w:r>
      <w:r>
        <w:rPr>
          <w:spacing w:val="-1"/>
          <w:w w:val="100"/>
          <w:sz w:val="21"/>
        </w:rPr>
        <w:t>h</w:t>
      </w:r>
      <w:r>
        <w:rPr>
          <w:spacing w:val="-3"/>
          <w:w w:val="100"/>
          <w:sz w:val="21"/>
        </w:rPr>
        <w:t>a</w:t>
      </w:r>
      <w:r>
        <w:rPr>
          <w:w w:val="100"/>
          <w:sz w:val="21"/>
        </w:rPr>
        <w:t>k</w:t>
      </w:r>
      <w:r>
        <w:rPr>
          <w:sz w:val="21"/>
        </w:rPr>
        <w:t> </w:t>
      </w:r>
      <w:r>
        <w:rPr>
          <w:spacing w:val="-15"/>
          <w:sz w:val="21"/>
        </w:rPr>
        <w:t> </w:t>
      </w:r>
      <w:r>
        <w:rPr>
          <w:w w:val="100"/>
          <w:sz w:val="21"/>
        </w:rPr>
        <w:t>is</w:t>
      </w:r>
      <w:r>
        <w:rPr>
          <w:sz w:val="21"/>
        </w:rPr>
        <w:t> </w:t>
      </w:r>
      <w:r>
        <w:rPr>
          <w:spacing w:val="-16"/>
          <w:sz w:val="21"/>
        </w:rPr>
        <w:t> </w:t>
      </w:r>
      <w:r>
        <w:rPr>
          <w:spacing w:val="-1"/>
          <w:w w:val="100"/>
          <w:sz w:val="21"/>
        </w:rPr>
        <w:t>no</w:t>
      </w:r>
      <w:r>
        <w:rPr>
          <w:w w:val="100"/>
          <w:sz w:val="21"/>
        </w:rPr>
        <w:t>t</w:t>
      </w:r>
      <w:r>
        <w:rPr>
          <w:sz w:val="21"/>
        </w:rPr>
        <w:t> </w:t>
      </w:r>
      <w:r>
        <w:rPr>
          <w:spacing w:val="-18"/>
          <w:sz w:val="21"/>
        </w:rPr>
        <w:t> </w:t>
      </w:r>
      <w:r>
        <w:rPr>
          <w:w w:val="100"/>
          <w:sz w:val="21"/>
        </w:rPr>
        <w:t>a </w:t>
      </w:r>
      <w:r>
        <w:rPr>
          <w:sz w:val="21"/>
        </w:rPr>
        <w:t>shebait. A pujari is appointed by the Shebait as the purohit to conduct the worship. But that does not transfer the rights and obligations of the Shebait to the purohit. He is not entitled, to be continued as a matter of right in his office as pujari. He is merely a servant appointed by the Shebait for the performance of ceremonies. Where the appointment of a purohit has been at the will of the founder the mere fact that the appointees have performed the worship for several generations, will not confer an independent right upon the members of the family so appointed and will not entitle them as of right to be continued in office as</w:t>
      </w:r>
      <w:r>
        <w:rPr>
          <w:spacing w:val="-19"/>
          <w:sz w:val="21"/>
        </w:rPr>
        <w:t> </w:t>
      </w:r>
      <w:r>
        <w:rPr>
          <w:sz w:val="21"/>
        </w:rPr>
        <w:t>priest…‖</w:t>
      </w:r>
    </w:p>
    <w:p>
      <w:pPr>
        <w:pStyle w:val="BodyText"/>
        <w:rPr>
          <w:sz w:val="24"/>
        </w:rPr>
      </w:pPr>
    </w:p>
    <w:p>
      <w:pPr>
        <w:pStyle w:val="BodyText"/>
        <w:spacing w:before="1"/>
        <w:rPr>
          <w:sz w:val="24"/>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A shebait is vested with the authority to manage the properties of the deity and ensure the fulfilment of the purpose for which the property was dedicated. As a necessary adjunct of this managerial role, a shebait may hire pujaris for the performance of worship. This does not confer upon the appointed pujaris the status of a shebait. As appointees of the shebait, they are liable to be removed from office and cannot claim a right to continue in office. The distinction between a shebait and a pujari was recognised by this Court in </w:t>
      </w:r>
      <w:r>
        <w:rPr>
          <w:b/>
          <w:sz w:val="25"/>
        </w:rPr>
        <w:t>Sree Sree Kalimata Thakurani of Kalighat </w:t>
      </w:r>
      <w:r>
        <w:rPr>
          <w:sz w:val="25"/>
        </w:rPr>
        <w:t>v </w:t>
      </w:r>
      <w:r>
        <w:rPr>
          <w:b/>
          <w:sz w:val="25"/>
        </w:rPr>
        <w:t>Jibandhan Mukherjee</w:t>
      </w:r>
      <w:r>
        <w:rPr>
          <w:sz w:val="25"/>
        </w:rPr>
        <w:t>.</w:t>
      </w:r>
      <w:r>
        <w:rPr>
          <w:sz w:val="25"/>
          <w:vertAlign w:val="superscript"/>
        </w:rPr>
        <w:t>219</w:t>
      </w:r>
      <w:r>
        <w:rPr>
          <w:sz w:val="25"/>
          <w:vertAlign w:val="baseline"/>
        </w:rPr>
        <w:t> A suit was instituted under Section 92 of the Code of Civil Procedure 1908 for the framing of a scheme for the proper management of the seva-puja of the Sree Sree Kali Mata Thakurani and her associated deities. A Constitution Bench of this Court, speaking through Justice JR Mudholkar</w:t>
      </w:r>
      <w:r>
        <w:rPr>
          <w:spacing w:val="4"/>
          <w:sz w:val="25"/>
          <w:vertAlign w:val="baseline"/>
        </w:rPr>
        <w:t> </w:t>
      </w:r>
      <w:r>
        <w:rPr>
          <w:sz w:val="25"/>
          <w:vertAlign w:val="baseline"/>
        </w:rPr>
        <w:t>held:</w:t>
      </w:r>
    </w:p>
    <w:p>
      <w:pPr>
        <w:spacing w:line="276" w:lineRule="auto" w:before="162"/>
        <w:ind w:left="1940" w:right="2260" w:firstLine="0"/>
        <w:jc w:val="both"/>
        <w:rPr>
          <w:sz w:val="21"/>
        </w:rPr>
      </w:pPr>
      <w:r>
        <w:rPr>
          <w:spacing w:val="-1"/>
          <w:w w:val="33"/>
          <w:sz w:val="21"/>
        </w:rPr>
        <w:t>―</w:t>
      </w:r>
      <w:r>
        <w:rPr>
          <w:w w:val="100"/>
          <w:sz w:val="21"/>
        </w:rPr>
        <w:t>…</w:t>
      </w:r>
      <w:r>
        <w:rPr>
          <w:spacing w:val="-2"/>
          <w:w w:val="100"/>
          <w:sz w:val="21"/>
        </w:rPr>
        <w:t>I</w:t>
      </w:r>
      <w:r>
        <w:rPr>
          <w:w w:val="100"/>
          <w:sz w:val="21"/>
        </w:rPr>
        <w:t>t</w:t>
      </w:r>
      <w:r>
        <w:rPr>
          <w:sz w:val="21"/>
        </w:rPr>
        <w:t> </w:t>
      </w:r>
      <w:r>
        <w:rPr>
          <w:spacing w:val="-15"/>
          <w:sz w:val="21"/>
        </w:rPr>
        <w:t> </w:t>
      </w:r>
      <w:r>
        <w:rPr>
          <w:w w:val="100"/>
          <w:sz w:val="21"/>
        </w:rPr>
        <w:t>is</w:t>
      </w:r>
      <w:r>
        <w:rPr>
          <w:sz w:val="21"/>
        </w:rPr>
        <w:t> </w:t>
      </w:r>
      <w:r>
        <w:rPr>
          <w:spacing w:val="-14"/>
          <w:sz w:val="21"/>
        </w:rPr>
        <w:t> </w:t>
      </w:r>
      <w:r>
        <w:rPr>
          <w:spacing w:val="-2"/>
          <w:w w:val="100"/>
          <w:sz w:val="21"/>
        </w:rPr>
        <w:t>w</w:t>
      </w:r>
      <w:r>
        <w:rPr>
          <w:spacing w:val="-1"/>
          <w:w w:val="100"/>
          <w:sz w:val="21"/>
        </w:rPr>
        <w:t>ron</w:t>
      </w:r>
      <w:r>
        <w:rPr>
          <w:w w:val="100"/>
          <w:sz w:val="21"/>
        </w:rPr>
        <w:t>g</w:t>
      </w:r>
      <w:r>
        <w:rPr>
          <w:sz w:val="21"/>
        </w:rPr>
        <w:t> </w:t>
      </w:r>
      <w:r>
        <w:rPr>
          <w:spacing w:val="-14"/>
          <w:sz w:val="21"/>
        </w:rPr>
        <w:t> </w:t>
      </w:r>
      <w:r>
        <w:rPr>
          <w:spacing w:val="-2"/>
          <w:w w:val="100"/>
          <w:sz w:val="21"/>
        </w:rPr>
        <w:t>t</w:t>
      </w:r>
      <w:r>
        <w:rPr>
          <w:w w:val="100"/>
          <w:sz w:val="21"/>
        </w:rPr>
        <w:t>o</w:t>
      </w:r>
      <w:r>
        <w:rPr>
          <w:sz w:val="21"/>
        </w:rPr>
        <w:t> </w:t>
      </w:r>
      <w:r>
        <w:rPr>
          <w:spacing w:val="-14"/>
          <w:sz w:val="21"/>
        </w:rPr>
        <w:t> </w:t>
      </w:r>
      <w:r>
        <w:rPr>
          <w:spacing w:val="-3"/>
          <w:w w:val="100"/>
          <w:sz w:val="21"/>
        </w:rPr>
        <w:t>c</w:t>
      </w:r>
      <w:r>
        <w:rPr>
          <w:spacing w:val="-1"/>
          <w:w w:val="100"/>
          <w:sz w:val="21"/>
        </w:rPr>
        <w:t>a</w:t>
      </w:r>
      <w:r>
        <w:rPr>
          <w:spacing w:val="-2"/>
          <w:w w:val="100"/>
          <w:sz w:val="21"/>
        </w:rPr>
        <w:t>l</w:t>
      </w:r>
      <w:r>
        <w:rPr>
          <w:w w:val="100"/>
          <w:sz w:val="21"/>
        </w:rPr>
        <w:t>l</w:t>
      </w:r>
      <w:r>
        <w:rPr>
          <w:sz w:val="21"/>
        </w:rPr>
        <w:t> </w:t>
      </w:r>
      <w:r>
        <w:rPr>
          <w:spacing w:val="-13"/>
          <w:sz w:val="21"/>
        </w:rPr>
        <w:t> </w:t>
      </w:r>
      <w:r>
        <w:rPr>
          <w:w w:val="100"/>
          <w:sz w:val="21"/>
        </w:rPr>
        <w:t>s</w:t>
      </w:r>
      <w:r>
        <w:rPr>
          <w:spacing w:val="-3"/>
          <w:w w:val="100"/>
          <w:sz w:val="21"/>
        </w:rPr>
        <w:t>h</w:t>
      </w:r>
      <w:r>
        <w:rPr>
          <w:spacing w:val="-1"/>
          <w:w w:val="100"/>
          <w:sz w:val="21"/>
        </w:rPr>
        <w:t>eb</w:t>
      </w:r>
      <w:r>
        <w:rPr>
          <w:spacing w:val="-2"/>
          <w:w w:val="100"/>
          <w:sz w:val="21"/>
        </w:rPr>
        <w:t>a</w:t>
      </w:r>
      <w:r>
        <w:rPr>
          <w:w w:val="100"/>
          <w:sz w:val="21"/>
        </w:rPr>
        <w:t>i</w:t>
      </w:r>
      <w:r>
        <w:rPr>
          <w:spacing w:val="-2"/>
          <w:w w:val="100"/>
          <w:sz w:val="21"/>
        </w:rPr>
        <w:t>t</w:t>
      </w:r>
      <w:r>
        <w:rPr>
          <w:w w:val="100"/>
          <w:sz w:val="21"/>
        </w:rPr>
        <w:t>s</w:t>
      </w:r>
      <w:r>
        <w:rPr>
          <w:sz w:val="21"/>
        </w:rPr>
        <w:t> </w:t>
      </w:r>
      <w:r>
        <w:rPr>
          <w:spacing w:val="-17"/>
          <w:sz w:val="21"/>
        </w:rPr>
        <w:t> </w:t>
      </w:r>
      <w:r>
        <w:rPr>
          <w:spacing w:val="3"/>
          <w:w w:val="100"/>
          <w:sz w:val="21"/>
        </w:rPr>
        <w:t>m</w:t>
      </w:r>
      <w:r>
        <w:rPr>
          <w:w w:val="100"/>
          <w:sz w:val="21"/>
        </w:rPr>
        <w:t>ere</w:t>
      </w:r>
      <w:r>
        <w:rPr>
          <w:sz w:val="21"/>
        </w:rPr>
        <w:t> </w:t>
      </w:r>
      <w:r>
        <w:rPr>
          <w:spacing w:val="-15"/>
          <w:sz w:val="21"/>
        </w:rPr>
        <w:t> </w:t>
      </w:r>
      <w:r>
        <w:rPr>
          <w:spacing w:val="-3"/>
          <w:w w:val="100"/>
          <w:sz w:val="21"/>
        </w:rPr>
        <w:t>p</w:t>
      </w:r>
      <w:r>
        <w:rPr>
          <w:w w:val="100"/>
          <w:sz w:val="21"/>
        </w:rPr>
        <w:t>u</w:t>
      </w:r>
      <w:r>
        <w:rPr>
          <w:spacing w:val="-2"/>
          <w:w w:val="100"/>
          <w:sz w:val="21"/>
        </w:rPr>
        <w:t>j</w:t>
      </w:r>
      <w:r>
        <w:rPr>
          <w:w w:val="100"/>
          <w:sz w:val="21"/>
        </w:rPr>
        <w:t>aris</w:t>
      </w:r>
      <w:r>
        <w:rPr>
          <w:sz w:val="21"/>
        </w:rPr>
        <w:t> </w:t>
      </w:r>
      <w:r>
        <w:rPr>
          <w:spacing w:val="-16"/>
          <w:sz w:val="21"/>
        </w:rPr>
        <w:t> </w:t>
      </w:r>
      <w:r>
        <w:rPr>
          <w:w w:val="100"/>
          <w:sz w:val="21"/>
        </w:rPr>
        <w:t>or</w:t>
      </w:r>
      <w:r>
        <w:rPr>
          <w:sz w:val="21"/>
        </w:rPr>
        <w:t> </w:t>
      </w:r>
      <w:r>
        <w:rPr>
          <w:spacing w:val="-15"/>
          <w:sz w:val="21"/>
        </w:rPr>
        <w:t> </w:t>
      </w:r>
      <w:r>
        <w:rPr>
          <w:w w:val="100"/>
          <w:sz w:val="21"/>
        </w:rPr>
        <w:t>a</w:t>
      </w:r>
      <w:r>
        <w:rPr>
          <w:spacing w:val="-3"/>
          <w:w w:val="100"/>
          <w:sz w:val="21"/>
        </w:rPr>
        <w:t>r</w:t>
      </w:r>
      <w:r>
        <w:rPr>
          <w:w w:val="100"/>
          <w:sz w:val="21"/>
        </w:rPr>
        <w:t>ch</w:t>
      </w:r>
      <w:r>
        <w:rPr>
          <w:spacing w:val="-3"/>
          <w:w w:val="100"/>
          <w:sz w:val="21"/>
        </w:rPr>
        <w:t>a</w:t>
      </w:r>
      <w:r>
        <w:rPr>
          <w:spacing w:val="2"/>
          <w:w w:val="100"/>
          <w:sz w:val="21"/>
        </w:rPr>
        <w:t>k</w:t>
      </w:r>
      <w:r>
        <w:rPr>
          <w:spacing w:val="-3"/>
          <w:w w:val="100"/>
          <w:sz w:val="21"/>
        </w:rPr>
        <w:t>a</w:t>
      </w:r>
      <w:r>
        <w:rPr>
          <w:w w:val="100"/>
          <w:sz w:val="21"/>
        </w:rPr>
        <w:t>s.</w:t>
      </w:r>
      <w:r>
        <w:rPr>
          <w:sz w:val="21"/>
        </w:rPr>
        <w:t> </w:t>
      </w:r>
      <w:r>
        <w:rPr>
          <w:spacing w:val="-15"/>
          <w:sz w:val="21"/>
        </w:rPr>
        <w:t> </w:t>
      </w:r>
      <w:r>
        <w:rPr>
          <w:w w:val="100"/>
          <w:sz w:val="21"/>
        </w:rPr>
        <w:t>A </w:t>
      </w:r>
      <w:r>
        <w:rPr>
          <w:sz w:val="21"/>
        </w:rPr>
        <w:t>shebait as has been pointed out by Mukherjea J. (as he then was), in his Tagore Law Lectures on Hindu Law of Religious and Charitable Trusts, is a human ministrant of the deity while a pujari is appointed by the founder or the shebait to conduct worship. Pujari thus is a servant of the shebait. Shebaitship is not mere office, it is property as</w:t>
      </w:r>
      <w:r>
        <w:rPr>
          <w:spacing w:val="-14"/>
          <w:sz w:val="21"/>
        </w:rPr>
        <w:t> </w:t>
      </w:r>
      <w:r>
        <w:rPr>
          <w:sz w:val="21"/>
        </w:rPr>
        <w:t>well.‖</w:t>
      </w:r>
    </w:p>
    <w:p>
      <w:pPr>
        <w:pStyle w:val="BodyText"/>
        <w:rPr>
          <w:sz w:val="20"/>
        </w:rPr>
      </w:pPr>
    </w:p>
    <w:p>
      <w:pPr>
        <w:pStyle w:val="BodyText"/>
        <w:rPr>
          <w:sz w:val="20"/>
        </w:rPr>
      </w:pPr>
    </w:p>
    <w:p>
      <w:pPr>
        <w:pStyle w:val="BodyText"/>
        <w:spacing w:before="6"/>
        <w:rPr>
          <w:sz w:val="21"/>
        </w:rPr>
      </w:pPr>
      <w:r>
        <w:rPr/>
        <w:pict>
          <v:rect style="position:absolute;margin-left:72.024002pt;margin-top:14.345667pt;width:144.020pt;height:.599980pt;mso-position-horizontal-relative:page;mso-position-vertical-relative:paragraph;z-index:-1566976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219</w:t>
      </w:r>
      <w:r>
        <w:rPr>
          <w:sz w:val="18"/>
          <w:vertAlign w:val="baseline"/>
        </w:rPr>
        <w:t> AIR 1962 SC 1329</w:t>
      </w:r>
    </w:p>
    <w:p>
      <w:pPr>
        <w:spacing w:after="0"/>
        <w:jc w:val="left"/>
        <w:rPr>
          <w:sz w:val="18"/>
        </w:rPr>
        <w:sectPr>
          <w:headerReference w:type="default" r:id="rId126"/>
          <w:footerReference w:type="default" r:id="rId127"/>
          <w:pgSz w:w="11910" w:h="16840"/>
          <w:pgMar w:header="721" w:footer="1014" w:top="1300" w:bottom="1200" w:left="940" w:right="1000"/>
          <w:pgNumType w:start="387"/>
        </w:sectPr>
      </w:pPr>
    </w:p>
    <w:p>
      <w:pPr>
        <w:pStyle w:val="ListParagraph"/>
        <w:numPr>
          <w:ilvl w:val="0"/>
          <w:numId w:val="111"/>
        </w:numPr>
        <w:tabs>
          <w:tab w:pos="1221" w:val="left" w:leader="none"/>
        </w:tabs>
        <w:spacing w:line="240" w:lineRule="auto" w:before="124" w:after="0"/>
        <w:ind w:left="1220" w:right="0" w:hanging="721"/>
        <w:jc w:val="both"/>
        <w:rPr>
          <w:sz w:val="25"/>
        </w:rPr>
      </w:pPr>
      <w:r>
        <w:rPr>
          <w:sz w:val="25"/>
        </w:rPr>
        <w:t>A</w:t>
      </w:r>
      <w:r>
        <w:rPr>
          <w:spacing w:val="31"/>
          <w:sz w:val="25"/>
        </w:rPr>
        <w:t> </w:t>
      </w:r>
      <w:r>
        <w:rPr>
          <w:sz w:val="25"/>
        </w:rPr>
        <w:t>pujari</w:t>
      </w:r>
      <w:r>
        <w:rPr>
          <w:spacing w:val="32"/>
          <w:sz w:val="25"/>
        </w:rPr>
        <w:t> </w:t>
      </w:r>
      <w:r>
        <w:rPr>
          <w:sz w:val="25"/>
        </w:rPr>
        <w:t>is</w:t>
      </w:r>
      <w:r>
        <w:rPr>
          <w:spacing w:val="33"/>
          <w:sz w:val="25"/>
        </w:rPr>
        <w:t> </w:t>
      </w:r>
      <w:r>
        <w:rPr>
          <w:sz w:val="25"/>
        </w:rPr>
        <w:t>appointed</w:t>
      </w:r>
      <w:r>
        <w:rPr>
          <w:spacing w:val="32"/>
          <w:sz w:val="25"/>
        </w:rPr>
        <w:t> </w:t>
      </w:r>
      <w:r>
        <w:rPr>
          <w:sz w:val="25"/>
        </w:rPr>
        <w:t>by</w:t>
      </w:r>
      <w:r>
        <w:rPr>
          <w:spacing w:val="31"/>
          <w:sz w:val="25"/>
        </w:rPr>
        <w:t> </w:t>
      </w:r>
      <w:r>
        <w:rPr>
          <w:sz w:val="25"/>
        </w:rPr>
        <w:t>the</w:t>
      </w:r>
      <w:r>
        <w:rPr>
          <w:spacing w:val="33"/>
          <w:sz w:val="25"/>
        </w:rPr>
        <w:t> </w:t>
      </w:r>
      <w:r>
        <w:rPr>
          <w:sz w:val="25"/>
        </w:rPr>
        <w:t>founder</w:t>
      </w:r>
      <w:r>
        <w:rPr>
          <w:spacing w:val="34"/>
          <w:sz w:val="25"/>
        </w:rPr>
        <w:t> </w:t>
      </w:r>
      <w:r>
        <w:rPr>
          <w:sz w:val="25"/>
        </w:rPr>
        <w:t>or</w:t>
      </w:r>
      <w:r>
        <w:rPr>
          <w:spacing w:val="33"/>
          <w:sz w:val="25"/>
        </w:rPr>
        <w:t> </w:t>
      </w:r>
      <w:r>
        <w:rPr>
          <w:sz w:val="25"/>
        </w:rPr>
        <w:t>by</w:t>
      </w:r>
      <w:r>
        <w:rPr>
          <w:spacing w:val="31"/>
          <w:sz w:val="25"/>
        </w:rPr>
        <w:t> </w:t>
      </w:r>
      <w:r>
        <w:rPr>
          <w:sz w:val="25"/>
        </w:rPr>
        <w:t>a</w:t>
      </w:r>
      <w:r>
        <w:rPr>
          <w:spacing w:val="32"/>
          <w:sz w:val="25"/>
        </w:rPr>
        <w:t> </w:t>
      </w:r>
      <w:r>
        <w:rPr>
          <w:sz w:val="25"/>
        </w:rPr>
        <w:t>shebait</w:t>
      </w:r>
      <w:r>
        <w:rPr>
          <w:spacing w:val="33"/>
          <w:sz w:val="25"/>
        </w:rPr>
        <w:t> </w:t>
      </w:r>
      <w:r>
        <w:rPr>
          <w:sz w:val="25"/>
        </w:rPr>
        <w:t>to</w:t>
      </w:r>
      <w:r>
        <w:rPr>
          <w:spacing w:val="33"/>
          <w:sz w:val="25"/>
        </w:rPr>
        <w:t> </w:t>
      </w:r>
      <w:r>
        <w:rPr>
          <w:sz w:val="25"/>
        </w:rPr>
        <w:t>conduct</w:t>
      </w:r>
      <w:r>
        <w:rPr>
          <w:spacing w:val="33"/>
          <w:sz w:val="25"/>
        </w:rPr>
        <w:t> </w:t>
      </w:r>
      <w:r>
        <w:rPr>
          <w:sz w:val="25"/>
        </w:rPr>
        <w:t>worship.</w:t>
      </w:r>
    </w:p>
    <w:p>
      <w:pPr>
        <w:pStyle w:val="BodyText"/>
      </w:pPr>
    </w:p>
    <w:p>
      <w:pPr>
        <w:pStyle w:val="BodyText"/>
        <w:spacing w:line="480" w:lineRule="auto" w:before="1"/>
        <w:ind w:left="500" w:right="438"/>
        <w:jc w:val="both"/>
      </w:pPr>
      <w:r>
        <w:rPr/>
        <w:t>This appointment does not confer upon the pujari the status of a shebait. They are liable to be removed for any act of mismanagement or indiscipline which is inconsistent with the performance of their duties. Further, where the appointment of a pujari has been at the will of the testator, the fact that appointees have performed the worship for several generations does not confer an independent right upon the appointee or members of their family and will not entitle them as of right to be continued in office as priests. Nor does the mere performance of the work of a pujari in and of itself render a person a</w:t>
      </w:r>
      <w:r>
        <w:rPr>
          <w:spacing w:val="-8"/>
        </w:rPr>
        <w:t> </w:t>
      </w:r>
      <w:r>
        <w:rPr/>
        <w:t>shebait.</w:t>
      </w:r>
    </w:p>
    <w:p>
      <w:pPr>
        <w:pStyle w:val="BodyText"/>
        <w:spacing w:before="2"/>
        <w:rPr>
          <w:sz w:val="39"/>
        </w:rPr>
      </w:pPr>
    </w:p>
    <w:p>
      <w:pPr>
        <w:pStyle w:val="Heading4"/>
        <w:rPr>
          <w:i/>
        </w:rPr>
      </w:pPr>
      <w:r>
        <w:rPr>
          <w:i/>
        </w:rPr>
        <w:t>An exclusive right to sue?</w:t>
      </w:r>
    </w:p>
    <w:p>
      <w:pPr>
        <w:pStyle w:val="BodyText"/>
        <w:rPr>
          <w:i/>
          <w:sz w:val="28"/>
        </w:rPr>
      </w:pPr>
    </w:p>
    <w:p>
      <w:pPr>
        <w:pStyle w:val="ListParagraph"/>
        <w:numPr>
          <w:ilvl w:val="0"/>
          <w:numId w:val="111"/>
        </w:numPr>
        <w:tabs>
          <w:tab w:pos="1221" w:val="left" w:leader="none"/>
        </w:tabs>
        <w:spacing w:line="480" w:lineRule="auto" w:before="250" w:after="0"/>
        <w:ind w:left="500" w:right="435" w:firstLine="0"/>
        <w:jc w:val="both"/>
        <w:rPr>
          <w:sz w:val="25"/>
        </w:rPr>
      </w:pPr>
      <w:r>
        <w:rPr>
          <w:sz w:val="25"/>
        </w:rPr>
        <w:t>The position of a shebait is a substantive position in law that confers upon the person the exclusive right to manage the properties of the idol to the exclusion of all others. In addition to the exclusive right to manage an idol‘s properties, the shebait has a right to institute proceedings on behalf of the idol. Whether the right to sue on behalf of the idol can be exercised only by the  shebait (in a situation where there is a shebait) or can also be exercised by the idol</w:t>
      </w:r>
      <w:r>
        <w:rPr>
          <w:spacing w:val="-7"/>
          <w:sz w:val="25"/>
        </w:rPr>
        <w:t> </w:t>
      </w:r>
      <w:r>
        <w:rPr>
          <w:sz w:val="25"/>
        </w:rPr>
        <w:t>through</w:t>
      </w:r>
      <w:r>
        <w:rPr>
          <w:spacing w:val="-6"/>
          <w:sz w:val="25"/>
        </w:rPr>
        <w:t> </w:t>
      </w:r>
      <w:r>
        <w:rPr>
          <w:sz w:val="25"/>
        </w:rPr>
        <w:t>a</w:t>
      </w:r>
      <w:r>
        <w:rPr>
          <w:spacing w:val="-6"/>
          <w:sz w:val="25"/>
        </w:rPr>
        <w:t> </w:t>
      </w:r>
      <w:r>
        <w:rPr>
          <w:sz w:val="25"/>
        </w:rPr>
        <w:t>‗next</w:t>
      </w:r>
      <w:r>
        <w:rPr>
          <w:spacing w:val="-6"/>
          <w:sz w:val="25"/>
        </w:rPr>
        <w:t> </w:t>
      </w:r>
      <w:r>
        <w:rPr>
          <w:sz w:val="25"/>
        </w:rPr>
        <w:t>friend‘</w:t>
      </w:r>
      <w:r>
        <w:rPr>
          <w:spacing w:val="-6"/>
          <w:sz w:val="25"/>
        </w:rPr>
        <w:t> </w:t>
      </w:r>
      <w:r>
        <w:rPr>
          <w:sz w:val="25"/>
        </w:rPr>
        <w:t>has</w:t>
      </w:r>
      <w:r>
        <w:rPr>
          <w:spacing w:val="-6"/>
          <w:sz w:val="25"/>
        </w:rPr>
        <w:t> </w:t>
      </w:r>
      <w:r>
        <w:rPr>
          <w:sz w:val="25"/>
        </w:rPr>
        <w:t>been</w:t>
      </w:r>
      <w:r>
        <w:rPr>
          <w:spacing w:val="-6"/>
          <w:sz w:val="25"/>
        </w:rPr>
        <w:t> </w:t>
      </w:r>
      <w:r>
        <w:rPr>
          <w:sz w:val="25"/>
        </w:rPr>
        <w:t>the</w:t>
      </w:r>
      <w:r>
        <w:rPr>
          <w:spacing w:val="-6"/>
          <w:sz w:val="25"/>
        </w:rPr>
        <w:t> </w:t>
      </w:r>
      <w:r>
        <w:rPr>
          <w:sz w:val="25"/>
        </w:rPr>
        <w:t>subject</w:t>
      </w:r>
      <w:r>
        <w:rPr>
          <w:spacing w:val="-7"/>
          <w:sz w:val="25"/>
        </w:rPr>
        <w:t> </w:t>
      </w:r>
      <w:r>
        <w:rPr>
          <w:sz w:val="25"/>
        </w:rPr>
        <w:t>of</w:t>
      </w:r>
      <w:r>
        <w:rPr>
          <w:spacing w:val="-6"/>
          <w:sz w:val="25"/>
        </w:rPr>
        <w:t> </w:t>
      </w:r>
      <w:r>
        <w:rPr>
          <w:sz w:val="25"/>
        </w:rPr>
        <w:t>controversy</w:t>
      </w:r>
      <w:r>
        <w:rPr>
          <w:spacing w:val="-6"/>
          <w:sz w:val="25"/>
        </w:rPr>
        <w:t> </w:t>
      </w:r>
      <w:r>
        <w:rPr>
          <w:sz w:val="25"/>
        </w:rPr>
        <w:t>in</w:t>
      </w:r>
      <w:r>
        <w:rPr>
          <w:spacing w:val="-4"/>
          <w:sz w:val="25"/>
        </w:rPr>
        <w:t> </w:t>
      </w:r>
      <w:r>
        <w:rPr>
          <w:sz w:val="25"/>
        </w:rPr>
        <w:t>the</w:t>
      </w:r>
      <w:r>
        <w:rPr>
          <w:spacing w:val="-6"/>
          <w:sz w:val="25"/>
        </w:rPr>
        <w:t> </w:t>
      </w:r>
      <w:r>
        <w:rPr>
          <w:sz w:val="25"/>
        </w:rPr>
        <w:t>proceedings before us. The plaintiff in Suit 3 - Nirmohi Akhara contends that the Nirmohis are the shebaits of the idols of Lord Ram at the disputed site. Mr S K Jain, learned Senior Counsel appearing on behalf of Nirmohi Akhara, urged that absent any allegation of maladministration or misdemeanour in the averments in the plaint in Suit 5, Devki Nandan Agarwal could not have maintained a suit on behalf of the idols</w:t>
      </w:r>
      <w:r>
        <w:rPr>
          <w:spacing w:val="27"/>
          <w:sz w:val="25"/>
        </w:rPr>
        <w:t> </w:t>
      </w:r>
      <w:r>
        <w:rPr>
          <w:sz w:val="25"/>
        </w:rPr>
        <w:t>as</w:t>
      </w:r>
      <w:r>
        <w:rPr>
          <w:spacing w:val="27"/>
          <w:sz w:val="25"/>
        </w:rPr>
        <w:t> </w:t>
      </w:r>
      <w:r>
        <w:rPr>
          <w:sz w:val="25"/>
        </w:rPr>
        <w:t>a</w:t>
      </w:r>
      <w:r>
        <w:rPr>
          <w:spacing w:val="28"/>
          <w:sz w:val="25"/>
        </w:rPr>
        <w:t> </w:t>
      </w:r>
      <w:r>
        <w:rPr>
          <w:sz w:val="25"/>
        </w:rPr>
        <w:t>next</w:t>
      </w:r>
      <w:r>
        <w:rPr>
          <w:spacing w:val="26"/>
          <w:sz w:val="25"/>
        </w:rPr>
        <w:t> </w:t>
      </w:r>
      <w:r>
        <w:rPr>
          <w:sz w:val="25"/>
        </w:rPr>
        <w:t>friend.</w:t>
      </w:r>
      <w:r>
        <w:rPr>
          <w:spacing w:val="27"/>
          <w:sz w:val="25"/>
        </w:rPr>
        <w:t> </w:t>
      </w:r>
      <w:r>
        <w:rPr>
          <w:sz w:val="25"/>
        </w:rPr>
        <w:t>Mr</w:t>
      </w:r>
      <w:r>
        <w:rPr>
          <w:spacing w:val="27"/>
          <w:sz w:val="25"/>
        </w:rPr>
        <w:t> </w:t>
      </w:r>
      <w:r>
        <w:rPr>
          <w:sz w:val="25"/>
        </w:rPr>
        <w:t>Jain</w:t>
      </w:r>
      <w:r>
        <w:rPr>
          <w:spacing w:val="28"/>
          <w:sz w:val="25"/>
        </w:rPr>
        <w:t> </w:t>
      </w:r>
      <w:r>
        <w:rPr>
          <w:sz w:val="25"/>
        </w:rPr>
        <w:t>placed</w:t>
      </w:r>
      <w:r>
        <w:rPr>
          <w:spacing w:val="27"/>
          <w:sz w:val="25"/>
        </w:rPr>
        <w:t> </w:t>
      </w:r>
      <w:r>
        <w:rPr>
          <w:sz w:val="25"/>
        </w:rPr>
        <w:t>significant</w:t>
      </w:r>
      <w:r>
        <w:rPr>
          <w:spacing w:val="27"/>
          <w:sz w:val="25"/>
        </w:rPr>
        <w:t> </w:t>
      </w:r>
      <w:r>
        <w:rPr>
          <w:sz w:val="25"/>
        </w:rPr>
        <w:t>reliance</w:t>
      </w:r>
      <w:r>
        <w:rPr>
          <w:spacing w:val="28"/>
          <w:sz w:val="25"/>
        </w:rPr>
        <w:t> </w:t>
      </w:r>
      <w:r>
        <w:rPr>
          <w:sz w:val="25"/>
        </w:rPr>
        <w:t>on</w:t>
      </w:r>
      <w:r>
        <w:rPr>
          <w:spacing w:val="27"/>
          <w:sz w:val="25"/>
        </w:rPr>
        <w:t> </w:t>
      </w:r>
      <w:r>
        <w:rPr>
          <w:sz w:val="25"/>
        </w:rPr>
        <w:t>the</w:t>
      </w:r>
      <w:r>
        <w:rPr>
          <w:spacing w:val="33"/>
          <w:sz w:val="25"/>
        </w:rPr>
        <w:t> </w:t>
      </w:r>
      <w:r>
        <w:rPr>
          <w:sz w:val="25"/>
        </w:rPr>
        <w:t>contention</w:t>
      </w:r>
      <w:r>
        <w:rPr>
          <w:spacing w:val="27"/>
          <w:sz w:val="25"/>
        </w:rPr>
        <w:t> </w:t>
      </w:r>
      <w:r>
        <w:rPr>
          <w:sz w:val="25"/>
        </w:rPr>
        <w:t>that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3"/>
        <w:jc w:val="both"/>
      </w:pPr>
      <w:r>
        <w:rPr/>
        <w:t>the plaint in Suit 5 does not aver any mismanagement by the Nirmohis. Mr S K Jain urged that though the plaintiffs in Suit 5 (which was instituted in 1989) were aware of Suit 3 which was instituted by Nirmohi Akhara (in 1959) claiming as a shebait, the plaint in Suit 5 does not challenge the position of Nirmohi Akhara as a shebait. Consequently, Nirmohi Akhara urged that a suit by a next friend on behalf of the idol is not maintainable. The argument that Nirmohi Akhara is the shebait of the idols and is consequently vested with the exclusive right to bring an action on behalf of the idols of Lord Ram was also supported by Dr Dhavan, learned Senior Counsel appearing on behalf of the plaintiffs in Suit 4. He urged that despite his submission that Suit 3 was barred by limitation, a dismissal of  that suit only extinguished the remedy of Nirmohi Akhara to file a suit for possession but did not extinguish the Nirmohi‘s rights as shebaits. Therefore, in Dr Dhavan‘s submission, Nirmohi Akahara continued to be shebaits and possess an exclusive right to sue on behalf of the idols of Lord Ram even in 1989. This, it is urged, renders Suit 5 not</w:t>
      </w:r>
      <w:r>
        <w:rPr>
          <w:spacing w:val="-7"/>
        </w:rPr>
        <w:t> </w:t>
      </w:r>
      <w:r>
        <w:rPr/>
        <w:t>maintainable.</w:t>
      </w:r>
    </w:p>
    <w:p>
      <w:pPr>
        <w:pStyle w:val="BodyText"/>
        <w:rPr>
          <w:sz w:val="39"/>
        </w:rPr>
      </w:pPr>
    </w:p>
    <w:p>
      <w:pPr>
        <w:pStyle w:val="ListParagraph"/>
        <w:numPr>
          <w:ilvl w:val="0"/>
          <w:numId w:val="111"/>
        </w:numPr>
        <w:tabs>
          <w:tab w:pos="1221" w:val="left" w:leader="none"/>
        </w:tabs>
        <w:spacing w:line="480" w:lineRule="auto" w:before="0" w:after="0"/>
        <w:ind w:left="500" w:right="433" w:firstLine="0"/>
        <w:jc w:val="both"/>
        <w:rPr>
          <w:b/>
          <w:sz w:val="25"/>
        </w:rPr>
      </w:pPr>
      <w:r>
        <w:rPr>
          <w:sz w:val="25"/>
        </w:rPr>
        <w:t>The challenge to the maintainability of Suit 5 is premised on the contention that only a shebait can sue on behalf of the idol. The question of who can sue on behalf of the idol arises due to the unique nature of the idol. The idol is a juristic person and the owner of the debutter property, but (as we have discussed earlier) only in an ideal sense. In law, the idol is capable of suing and being sued in its own name. However, for all practical purposes any suit by the idol must necessarily</w:t>
      </w:r>
      <w:r>
        <w:rPr>
          <w:spacing w:val="27"/>
          <w:sz w:val="25"/>
        </w:rPr>
        <w:t> </w:t>
      </w:r>
      <w:r>
        <w:rPr>
          <w:sz w:val="25"/>
        </w:rPr>
        <w:t>be</w:t>
      </w:r>
      <w:r>
        <w:rPr>
          <w:spacing w:val="30"/>
          <w:sz w:val="25"/>
        </w:rPr>
        <w:t> </w:t>
      </w:r>
      <w:r>
        <w:rPr>
          <w:sz w:val="25"/>
        </w:rPr>
        <w:t>brought</w:t>
      </w:r>
      <w:r>
        <w:rPr>
          <w:spacing w:val="30"/>
          <w:sz w:val="25"/>
        </w:rPr>
        <w:t> </w:t>
      </w:r>
      <w:r>
        <w:rPr>
          <w:sz w:val="25"/>
        </w:rPr>
        <w:t>by</w:t>
      </w:r>
      <w:r>
        <w:rPr>
          <w:spacing w:val="28"/>
          <w:sz w:val="25"/>
        </w:rPr>
        <w:t> </w:t>
      </w:r>
      <w:r>
        <w:rPr>
          <w:sz w:val="25"/>
        </w:rPr>
        <w:t>a</w:t>
      </w:r>
      <w:r>
        <w:rPr>
          <w:spacing w:val="30"/>
          <w:sz w:val="25"/>
        </w:rPr>
        <w:t> </w:t>
      </w:r>
      <w:r>
        <w:rPr>
          <w:sz w:val="25"/>
        </w:rPr>
        <w:t>human</w:t>
      </w:r>
      <w:r>
        <w:rPr>
          <w:spacing w:val="30"/>
          <w:sz w:val="25"/>
        </w:rPr>
        <w:t> </w:t>
      </w:r>
      <w:r>
        <w:rPr>
          <w:sz w:val="25"/>
        </w:rPr>
        <w:t>actor.</w:t>
      </w:r>
      <w:r>
        <w:rPr>
          <w:spacing w:val="57"/>
          <w:sz w:val="25"/>
        </w:rPr>
        <w:t> </w:t>
      </w:r>
      <w:r>
        <w:rPr>
          <w:sz w:val="25"/>
        </w:rPr>
        <w:t>In</w:t>
      </w:r>
      <w:r>
        <w:rPr>
          <w:spacing w:val="37"/>
          <w:sz w:val="25"/>
        </w:rPr>
        <w:t> </w:t>
      </w:r>
      <w:r>
        <w:rPr>
          <w:b/>
          <w:sz w:val="25"/>
        </w:rPr>
        <w:t>Maharaja</w:t>
      </w:r>
      <w:r>
        <w:rPr>
          <w:b/>
          <w:spacing w:val="30"/>
          <w:sz w:val="25"/>
        </w:rPr>
        <w:t> </w:t>
      </w:r>
      <w:r>
        <w:rPr>
          <w:b/>
          <w:sz w:val="25"/>
        </w:rPr>
        <w:t>Jagadindra</w:t>
      </w:r>
      <w:r>
        <w:rPr>
          <w:b/>
          <w:spacing w:val="30"/>
          <w:sz w:val="25"/>
        </w:rPr>
        <w:t> </w:t>
      </w:r>
      <w:r>
        <w:rPr>
          <w:b/>
          <w:sz w:val="25"/>
        </w:rPr>
        <w:t>Nath</w:t>
      </w:r>
      <w:r>
        <w:rPr>
          <w:b/>
          <w:spacing w:val="30"/>
          <w:sz w:val="25"/>
        </w:rPr>
        <w:t> </w:t>
      </w:r>
      <w:r>
        <w:rPr>
          <w:b/>
          <w:sz w:val="25"/>
        </w:rPr>
        <w:t>Roy</w:t>
      </w:r>
    </w:p>
    <w:p>
      <w:pPr>
        <w:spacing w:after="0" w:line="480" w:lineRule="auto"/>
        <w:jc w:val="both"/>
        <w:rPr>
          <w:sz w:val="25"/>
        </w:rPr>
        <w:sectPr>
          <w:pgSz w:w="11910" w:h="16840"/>
          <w:pgMar w:header="721" w:footer="1014" w:top="1300" w:bottom="1200" w:left="940" w:right="1000"/>
        </w:sectPr>
      </w:pPr>
    </w:p>
    <w:p>
      <w:pPr>
        <w:pStyle w:val="BodyText"/>
        <w:spacing w:line="480" w:lineRule="auto" w:before="121"/>
        <w:ind w:left="500" w:right="436"/>
        <w:jc w:val="both"/>
      </w:pPr>
      <w:r>
        <w:rPr>
          <w:b/>
        </w:rPr>
        <w:t>Bahadur </w:t>
      </w:r>
      <w:r>
        <w:rPr/>
        <w:t>v </w:t>
      </w:r>
      <w:r>
        <w:rPr>
          <w:b/>
        </w:rPr>
        <w:t>Rani Hemanta Kumari Debi</w:t>
      </w:r>
      <w:r>
        <w:rPr>
          <w:vertAlign w:val="superscript"/>
        </w:rPr>
        <w:t>220</w:t>
      </w:r>
      <w:r>
        <w:rPr>
          <w:vertAlign w:val="baseline"/>
        </w:rPr>
        <w:t> the plaintiff instituted a suit as shebait of an idol alleging dispossession of certain lands by the defendant. The  defendant resisted the suit on the ground of limitation. The shebait alleged that at the time of the dispossession, he was a minor and therefore the period of limitation did not begin against him until he attained majority. The Privy Council, speaking through Sir Arthur Wilson</w:t>
      </w:r>
      <w:r>
        <w:rPr>
          <w:spacing w:val="-7"/>
          <w:vertAlign w:val="baseline"/>
        </w:rPr>
        <w:t> </w:t>
      </w:r>
      <w:r>
        <w:rPr>
          <w:vertAlign w:val="baseline"/>
        </w:rPr>
        <w:t>held:</w:t>
      </w:r>
    </w:p>
    <w:p>
      <w:pPr>
        <w:spacing w:line="276" w:lineRule="auto" w:before="162"/>
        <w:ind w:left="1918" w:right="2261" w:firstLine="0"/>
        <w:jc w:val="both"/>
        <w:rPr>
          <w:sz w:val="21"/>
        </w:rPr>
      </w:pPr>
      <w:r>
        <w:rPr>
          <w:spacing w:val="-1"/>
          <w:w w:val="33"/>
          <w:sz w:val="21"/>
        </w:rPr>
        <w:t>―</w:t>
      </w:r>
      <w:r>
        <w:rPr>
          <w:w w:val="100"/>
          <w:sz w:val="21"/>
        </w:rPr>
        <w:t>B</w:t>
      </w:r>
      <w:r>
        <w:rPr>
          <w:spacing w:val="-1"/>
          <w:w w:val="100"/>
          <w:sz w:val="21"/>
        </w:rPr>
        <w:t>u</w:t>
      </w:r>
      <w:r>
        <w:rPr>
          <w:w w:val="100"/>
          <w:sz w:val="21"/>
        </w:rPr>
        <w:t>t</w:t>
      </w:r>
      <w:r>
        <w:rPr>
          <w:sz w:val="21"/>
        </w:rPr>
        <w:t> </w:t>
      </w:r>
      <w:r>
        <w:rPr>
          <w:spacing w:val="-18"/>
          <w:sz w:val="21"/>
        </w:rPr>
        <w:t> </w:t>
      </w:r>
      <w:r>
        <w:rPr>
          <w:spacing w:val="-1"/>
          <w:w w:val="100"/>
          <w:sz w:val="21"/>
        </w:rPr>
        <w:t>a</w:t>
      </w:r>
      <w:r>
        <w:rPr>
          <w:spacing w:val="-3"/>
          <w:w w:val="100"/>
          <w:sz w:val="21"/>
        </w:rPr>
        <w:t>s</w:t>
      </w:r>
      <w:r>
        <w:rPr>
          <w:w w:val="100"/>
          <w:sz w:val="21"/>
        </w:rPr>
        <w:t>s</w:t>
      </w:r>
      <w:r>
        <w:rPr>
          <w:spacing w:val="-3"/>
          <w:w w:val="100"/>
          <w:sz w:val="21"/>
        </w:rPr>
        <w:t>u</w:t>
      </w:r>
      <w:r>
        <w:rPr>
          <w:spacing w:val="-1"/>
          <w:w w:val="100"/>
          <w:sz w:val="21"/>
        </w:rPr>
        <w:t>m</w:t>
      </w:r>
      <w:r>
        <w:rPr>
          <w:w w:val="100"/>
          <w:sz w:val="21"/>
        </w:rPr>
        <w:t>i</w:t>
      </w:r>
      <w:r>
        <w:rPr>
          <w:spacing w:val="-1"/>
          <w:w w:val="100"/>
          <w:sz w:val="21"/>
        </w:rPr>
        <w:t>n</w:t>
      </w:r>
      <w:r>
        <w:rPr>
          <w:w w:val="100"/>
          <w:sz w:val="21"/>
        </w:rPr>
        <w:t>g</w:t>
      </w:r>
      <w:r>
        <w:rPr>
          <w:sz w:val="21"/>
        </w:rPr>
        <w:t> </w:t>
      </w:r>
      <w:r>
        <w:rPr>
          <w:spacing w:val="-16"/>
          <w:sz w:val="21"/>
        </w:rPr>
        <w:t> </w:t>
      </w:r>
      <w:r>
        <w:rPr>
          <w:spacing w:val="-4"/>
          <w:w w:val="100"/>
          <w:sz w:val="21"/>
        </w:rPr>
        <w:t>t</w:t>
      </w:r>
      <w:r>
        <w:rPr>
          <w:spacing w:val="-1"/>
          <w:w w:val="100"/>
          <w:sz w:val="21"/>
        </w:rPr>
        <w:t>h</w:t>
      </w:r>
      <w:r>
        <w:rPr>
          <w:w w:val="100"/>
          <w:sz w:val="21"/>
        </w:rPr>
        <w:t>e</w:t>
      </w:r>
      <w:r>
        <w:rPr>
          <w:sz w:val="21"/>
        </w:rPr>
        <w:t> </w:t>
      </w:r>
      <w:r>
        <w:rPr>
          <w:spacing w:val="-16"/>
          <w:sz w:val="21"/>
        </w:rPr>
        <w:t> </w:t>
      </w:r>
      <w:r>
        <w:rPr>
          <w:spacing w:val="-1"/>
          <w:w w:val="100"/>
          <w:sz w:val="21"/>
        </w:rPr>
        <w:t>r</w:t>
      </w:r>
      <w:r>
        <w:rPr>
          <w:spacing w:val="-3"/>
          <w:w w:val="100"/>
          <w:sz w:val="21"/>
        </w:rPr>
        <w:t>e</w:t>
      </w:r>
      <w:r>
        <w:rPr>
          <w:w w:val="100"/>
          <w:sz w:val="21"/>
        </w:rPr>
        <w:t>l</w:t>
      </w:r>
      <w:r>
        <w:rPr>
          <w:spacing w:val="-2"/>
          <w:w w:val="100"/>
          <w:sz w:val="21"/>
        </w:rPr>
        <w:t>i</w:t>
      </w:r>
      <w:r>
        <w:rPr>
          <w:spacing w:val="-1"/>
          <w:w w:val="100"/>
          <w:sz w:val="21"/>
        </w:rPr>
        <w:t>g</w:t>
      </w:r>
      <w:r>
        <w:rPr>
          <w:spacing w:val="-2"/>
          <w:w w:val="100"/>
          <w:sz w:val="21"/>
        </w:rPr>
        <w:t>i</w:t>
      </w:r>
      <w:r>
        <w:rPr>
          <w:spacing w:val="-3"/>
          <w:w w:val="100"/>
          <w:sz w:val="21"/>
        </w:rPr>
        <w:t>o</w:t>
      </w:r>
      <w:r>
        <w:rPr>
          <w:spacing w:val="-1"/>
          <w:w w:val="100"/>
          <w:sz w:val="21"/>
        </w:rPr>
        <w:t>u</w:t>
      </w:r>
      <w:r>
        <w:rPr>
          <w:w w:val="100"/>
          <w:sz w:val="21"/>
        </w:rPr>
        <w:t>s</w:t>
      </w:r>
      <w:r>
        <w:rPr>
          <w:sz w:val="21"/>
        </w:rPr>
        <w:t> </w:t>
      </w:r>
      <w:r>
        <w:rPr>
          <w:spacing w:val="-17"/>
          <w:sz w:val="21"/>
        </w:rPr>
        <w:t> </w:t>
      </w:r>
      <w:r>
        <w:rPr>
          <w:spacing w:val="-1"/>
          <w:w w:val="100"/>
          <w:sz w:val="21"/>
        </w:rPr>
        <w:t>d</w:t>
      </w:r>
      <w:r>
        <w:rPr>
          <w:spacing w:val="-3"/>
          <w:w w:val="100"/>
          <w:sz w:val="21"/>
        </w:rPr>
        <w:t>e</w:t>
      </w:r>
      <w:r>
        <w:rPr>
          <w:spacing w:val="-1"/>
          <w:w w:val="100"/>
          <w:sz w:val="21"/>
        </w:rPr>
        <w:t>d</w:t>
      </w:r>
      <w:r>
        <w:rPr>
          <w:spacing w:val="-2"/>
          <w:w w:val="100"/>
          <w:sz w:val="21"/>
        </w:rPr>
        <w:t>i</w:t>
      </w:r>
      <w:r>
        <w:rPr>
          <w:w w:val="100"/>
          <w:sz w:val="21"/>
        </w:rPr>
        <w:t>ca</w:t>
      </w:r>
      <w:r>
        <w:rPr>
          <w:spacing w:val="-1"/>
          <w:w w:val="100"/>
          <w:sz w:val="21"/>
        </w:rPr>
        <w:t>t</w:t>
      </w:r>
      <w:r>
        <w:rPr>
          <w:spacing w:val="-2"/>
          <w:w w:val="100"/>
          <w:sz w:val="21"/>
        </w:rPr>
        <w:t>i</w:t>
      </w:r>
      <w:r>
        <w:rPr>
          <w:spacing w:val="-1"/>
          <w:w w:val="100"/>
          <w:sz w:val="21"/>
        </w:rPr>
        <w:t>o</w:t>
      </w:r>
      <w:r>
        <w:rPr>
          <w:w w:val="100"/>
          <w:sz w:val="21"/>
        </w:rPr>
        <w:t>n</w:t>
      </w:r>
      <w:r>
        <w:rPr>
          <w:sz w:val="21"/>
        </w:rPr>
        <w:t> </w:t>
      </w:r>
      <w:r>
        <w:rPr>
          <w:spacing w:val="-16"/>
          <w:sz w:val="21"/>
        </w:rPr>
        <w:t> </w:t>
      </w:r>
      <w:r>
        <w:rPr>
          <w:spacing w:val="-2"/>
          <w:w w:val="100"/>
          <w:sz w:val="21"/>
        </w:rPr>
        <w:t>t</w:t>
      </w:r>
      <w:r>
        <w:rPr>
          <w:w w:val="100"/>
          <w:sz w:val="21"/>
        </w:rPr>
        <w:t>o</w:t>
      </w:r>
      <w:r>
        <w:rPr>
          <w:sz w:val="21"/>
        </w:rPr>
        <w:t> </w:t>
      </w:r>
      <w:r>
        <w:rPr>
          <w:spacing w:val="-19"/>
          <w:sz w:val="21"/>
        </w:rPr>
        <w:t> </w:t>
      </w:r>
      <w:r>
        <w:rPr>
          <w:spacing w:val="-1"/>
          <w:w w:val="100"/>
          <w:sz w:val="21"/>
        </w:rPr>
        <w:t>ha</w:t>
      </w:r>
      <w:r>
        <w:rPr>
          <w:spacing w:val="-3"/>
          <w:w w:val="100"/>
          <w:sz w:val="21"/>
        </w:rPr>
        <w:t>v</w:t>
      </w:r>
      <w:r>
        <w:rPr>
          <w:w w:val="100"/>
          <w:sz w:val="21"/>
        </w:rPr>
        <w:t>e</w:t>
      </w:r>
      <w:r>
        <w:rPr>
          <w:sz w:val="21"/>
        </w:rPr>
        <w:t> </w:t>
      </w:r>
      <w:r>
        <w:rPr>
          <w:spacing w:val="-17"/>
          <w:sz w:val="21"/>
        </w:rPr>
        <w:t> </w:t>
      </w:r>
      <w:r>
        <w:rPr>
          <w:spacing w:val="-3"/>
          <w:w w:val="100"/>
          <w:sz w:val="21"/>
        </w:rPr>
        <w:t>be</w:t>
      </w:r>
      <w:r>
        <w:rPr>
          <w:spacing w:val="-1"/>
          <w:w w:val="100"/>
          <w:sz w:val="21"/>
        </w:rPr>
        <w:t>e</w:t>
      </w:r>
      <w:r>
        <w:rPr>
          <w:w w:val="100"/>
          <w:sz w:val="21"/>
        </w:rPr>
        <w:t>n</w:t>
      </w:r>
      <w:r>
        <w:rPr>
          <w:sz w:val="21"/>
        </w:rPr>
        <w:t> </w:t>
      </w:r>
      <w:r>
        <w:rPr>
          <w:spacing w:val="-16"/>
          <w:sz w:val="21"/>
        </w:rPr>
        <w:t> </w:t>
      </w:r>
      <w:r>
        <w:rPr>
          <w:spacing w:val="-3"/>
          <w:w w:val="100"/>
          <w:sz w:val="21"/>
        </w:rPr>
        <w:t>o</w:t>
      </w:r>
      <w:r>
        <w:rPr>
          <w:w w:val="100"/>
          <w:sz w:val="21"/>
        </w:rPr>
        <w:t>f</w:t>
      </w:r>
      <w:r>
        <w:rPr>
          <w:sz w:val="21"/>
        </w:rPr>
        <w:t> </w:t>
      </w:r>
      <w:r>
        <w:rPr>
          <w:spacing w:val="-16"/>
          <w:sz w:val="21"/>
        </w:rPr>
        <w:t> </w:t>
      </w:r>
      <w:r>
        <w:rPr>
          <w:spacing w:val="-2"/>
          <w:w w:val="100"/>
          <w:sz w:val="21"/>
        </w:rPr>
        <w:t>t</w:t>
      </w:r>
      <w:r>
        <w:rPr>
          <w:spacing w:val="-3"/>
          <w:w w:val="100"/>
          <w:sz w:val="21"/>
        </w:rPr>
        <w:t>h</w:t>
      </w:r>
      <w:r>
        <w:rPr>
          <w:w w:val="100"/>
          <w:sz w:val="21"/>
        </w:rPr>
        <w:t>e </w:t>
      </w:r>
      <w:r>
        <w:rPr>
          <w:sz w:val="21"/>
        </w:rPr>
        <w:t>strictest character, it still remains that </w:t>
      </w:r>
      <w:r>
        <w:rPr>
          <w:b/>
          <w:sz w:val="21"/>
        </w:rPr>
        <w:t>the possession and management of the dedicated property belongs to </w:t>
      </w:r>
      <w:r>
        <w:rPr>
          <w:b/>
          <w:spacing w:val="-2"/>
          <w:sz w:val="21"/>
        </w:rPr>
        <w:t>the </w:t>
      </w:r>
      <w:r>
        <w:rPr>
          <w:b/>
          <w:i/>
          <w:sz w:val="21"/>
        </w:rPr>
        <w:t>shebait</w:t>
      </w:r>
      <w:r>
        <w:rPr>
          <w:b/>
          <w:sz w:val="21"/>
        </w:rPr>
        <w:t>. </w:t>
      </w:r>
      <w:r>
        <w:rPr>
          <w:b/>
          <w:spacing w:val="-3"/>
          <w:sz w:val="21"/>
        </w:rPr>
        <w:t>And </w:t>
      </w:r>
      <w:r>
        <w:rPr>
          <w:b/>
          <w:sz w:val="21"/>
        </w:rPr>
        <w:t>this carries with it the right to bring whatever suits are necessary for the protection of the property. Every such right of suit is vested in the </w:t>
      </w:r>
      <w:r>
        <w:rPr>
          <w:b/>
          <w:i/>
          <w:sz w:val="21"/>
        </w:rPr>
        <w:t>shebait</w:t>
      </w:r>
      <w:r>
        <w:rPr>
          <w:b/>
          <w:sz w:val="21"/>
        </w:rPr>
        <w:t>, not in the idol. </w:t>
      </w:r>
      <w:r>
        <w:rPr>
          <w:sz w:val="21"/>
        </w:rPr>
        <w:t>And in the present case the right to sue accrued to the Plaintiff when he was under age. The case therefore falls within the clear language of sec. 7 of the </w:t>
      </w:r>
      <w:r>
        <w:rPr>
          <w:spacing w:val="-1"/>
          <w:w w:val="100"/>
          <w:sz w:val="21"/>
        </w:rPr>
        <w:t>L</w:t>
      </w:r>
      <w:r>
        <w:rPr>
          <w:spacing w:val="-2"/>
          <w:w w:val="100"/>
          <w:sz w:val="21"/>
        </w:rPr>
        <w:t>i</w:t>
      </w:r>
      <w:r>
        <w:rPr>
          <w:spacing w:val="-1"/>
          <w:w w:val="100"/>
          <w:sz w:val="21"/>
        </w:rPr>
        <w:t>m</w:t>
      </w:r>
      <w:r>
        <w:rPr>
          <w:w w:val="100"/>
          <w:sz w:val="21"/>
        </w:rPr>
        <w:t>i</w:t>
      </w:r>
      <w:r>
        <w:rPr>
          <w:spacing w:val="-2"/>
          <w:w w:val="100"/>
          <w:sz w:val="21"/>
        </w:rPr>
        <w:t>t</w:t>
      </w:r>
      <w:r>
        <w:rPr>
          <w:spacing w:val="-1"/>
          <w:w w:val="100"/>
          <w:sz w:val="21"/>
        </w:rPr>
        <w:t>at</w:t>
      </w:r>
      <w:r>
        <w:rPr>
          <w:w w:val="100"/>
          <w:sz w:val="21"/>
        </w:rPr>
        <w:t>i</w:t>
      </w:r>
      <w:r>
        <w:rPr>
          <w:spacing w:val="-1"/>
          <w:w w:val="100"/>
          <w:sz w:val="21"/>
        </w:rPr>
        <w:t>o</w:t>
      </w:r>
      <w:r>
        <w:rPr>
          <w:w w:val="100"/>
          <w:sz w:val="21"/>
        </w:rPr>
        <w:t>n</w:t>
      </w:r>
      <w:r>
        <w:rPr>
          <w:spacing w:val="9"/>
          <w:sz w:val="21"/>
        </w:rPr>
        <w:t> </w:t>
      </w:r>
      <w:r>
        <w:rPr>
          <w:spacing w:val="-2"/>
          <w:w w:val="100"/>
          <w:sz w:val="21"/>
        </w:rPr>
        <w:t>A</w:t>
      </w:r>
      <w:r>
        <w:rPr>
          <w:w w:val="100"/>
          <w:sz w:val="21"/>
        </w:rPr>
        <w:t>ct</w:t>
      </w:r>
      <w:r>
        <w:rPr>
          <w:spacing w:val="10"/>
          <w:sz w:val="21"/>
        </w:rPr>
        <w:t> </w:t>
      </w:r>
      <w:r>
        <w:rPr>
          <w:spacing w:val="-2"/>
          <w:w w:val="100"/>
          <w:sz w:val="21"/>
        </w:rPr>
        <w:t>w</w:t>
      </w:r>
      <w:r>
        <w:rPr>
          <w:spacing w:val="-1"/>
          <w:w w:val="100"/>
          <w:sz w:val="21"/>
        </w:rPr>
        <w:t>h</w:t>
      </w:r>
      <w:r>
        <w:rPr>
          <w:spacing w:val="1"/>
          <w:w w:val="100"/>
          <w:sz w:val="21"/>
        </w:rPr>
        <w:t>i</w:t>
      </w:r>
      <w:r>
        <w:rPr>
          <w:spacing w:val="-3"/>
          <w:w w:val="100"/>
          <w:sz w:val="21"/>
        </w:rPr>
        <w:t>c</w:t>
      </w:r>
      <w:r>
        <w:rPr>
          <w:w w:val="100"/>
          <w:sz w:val="21"/>
        </w:rPr>
        <w:t>h</w:t>
      </w:r>
      <w:r>
        <w:rPr>
          <w:spacing w:val="11"/>
          <w:sz w:val="21"/>
        </w:rPr>
        <w:t> </w:t>
      </w:r>
      <w:r>
        <w:rPr>
          <w:w w:val="100"/>
          <w:sz w:val="21"/>
        </w:rPr>
        <w:t>sa</w:t>
      </w:r>
      <w:r>
        <w:rPr>
          <w:spacing w:val="-3"/>
          <w:w w:val="100"/>
          <w:sz w:val="21"/>
        </w:rPr>
        <w:t>y</w:t>
      </w:r>
      <w:r>
        <w:rPr>
          <w:w w:val="100"/>
          <w:sz w:val="21"/>
        </w:rPr>
        <w:t>s</w:t>
      </w:r>
      <w:r>
        <w:rPr>
          <w:spacing w:val="8"/>
          <w:sz w:val="21"/>
        </w:rPr>
        <w:t> </w:t>
      </w:r>
      <w:r>
        <w:rPr>
          <w:spacing w:val="-2"/>
          <w:w w:val="100"/>
          <w:sz w:val="21"/>
        </w:rPr>
        <w:t>t</w:t>
      </w:r>
      <w:r>
        <w:rPr>
          <w:spacing w:val="-1"/>
          <w:w w:val="100"/>
          <w:sz w:val="21"/>
        </w:rPr>
        <w:t>hat</w:t>
      </w:r>
      <w:r>
        <w:rPr>
          <w:w w:val="100"/>
          <w:sz w:val="21"/>
        </w:rPr>
        <w:t>:</w:t>
      </w:r>
      <w:r>
        <w:rPr>
          <w:spacing w:val="10"/>
          <w:sz w:val="21"/>
        </w:rPr>
        <w:t> </w:t>
      </w:r>
      <w:r>
        <w:rPr>
          <w:spacing w:val="-1"/>
          <w:w w:val="33"/>
          <w:sz w:val="21"/>
        </w:rPr>
        <w:t>―</w:t>
      </w:r>
      <w:r>
        <w:rPr>
          <w:w w:val="100"/>
          <w:sz w:val="21"/>
        </w:rPr>
        <w:t>if</w:t>
      </w:r>
      <w:r>
        <w:rPr>
          <w:spacing w:val="12"/>
          <w:sz w:val="21"/>
        </w:rPr>
        <w:t> </w:t>
      </w:r>
      <w:r>
        <w:rPr>
          <w:w w:val="100"/>
          <w:sz w:val="21"/>
        </w:rPr>
        <w:t>a</w:t>
      </w:r>
      <w:r>
        <w:rPr>
          <w:spacing w:val="8"/>
          <w:sz w:val="21"/>
        </w:rPr>
        <w:t> </w:t>
      </w:r>
      <w:r>
        <w:rPr>
          <w:spacing w:val="-1"/>
          <w:w w:val="100"/>
          <w:sz w:val="21"/>
        </w:rPr>
        <w:t>per</w:t>
      </w:r>
      <w:r>
        <w:rPr>
          <w:spacing w:val="-3"/>
          <w:w w:val="100"/>
          <w:sz w:val="21"/>
        </w:rPr>
        <w:t>s</w:t>
      </w:r>
      <w:r>
        <w:rPr>
          <w:spacing w:val="-1"/>
          <w:w w:val="100"/>
          <w:sz w:val="21"/>
        </w:rPr>
        <w:t>o</w:t>
      </w:r>
      <w:r>
        <w:rPr>
          <w:w w:val="100"/>
          <w:sz w:val="21"/>
        </w:rPr>
        <w:t>n</w:t>
      </w:r>
      <w:r>
        <w:rPr>
          <w:spacing w:val="11"/>
          <w:sz w:val="21"/>
        </w:rPr>
        <w:t> </w:t>
      </w:r>
      <w:r>
        <w:rPr>
          <w:spacing w:val="-3"/>
          <w:w w:val="100"/>
          <w:sz w:val="21"/>
        </w:rPr>
        <w:t>e</w:t>
      </w:r>
      <w:r>
        <w:rPr>
          <w:spacing w:val="-1"/>
          <w:w w:val="100"/>
          <w:sz w:val="21"/>
        </w:rPr>
        <w:t>nt</w:t>
      </w:r>
      <w:r>
        <w:rPr>
          <w:w w:val="100"/>
          <w:sz w:val="21"/>
        </w:rPr>
        <w:t>i</w:t>
      </w:r>
      <w:r>
        <w:rPr>
          <w:spacing w:val="-2"/>
          <w:w w:val="100"/>
          <w:sz w:val="21"/>
        </w:rPr>
        <w:t>tl</w:t>
      </w:r>
      <w:r>
        <w:rPr>
          <w:spacing w:val="-1"/>
          <w:w w:val="100"/>
          <w:sz w:val="21"/>
        </w:rPr>
        <w:t>e</w:t>
      </w:r>
      <w:r>
        <w:rPr>
          <w:w w:val="100"/>
          <w:sz w:val="21"/>
        </w:rPr>
        <w:t>d</w:t>
      </w:r>
      <w:r>
        <w:rPr>
          <w:spacing w:val="11"/>
          <w:sz w:val="21"/>
        </w:rPr>
        <w:t> </w:t>
      </w:r>
      <w:r>
        <w:rPr>
          <w:spacing w:val="-4"/>
          <w:w w:val="100"/>
          <w:sz w:val="21"/>
        </w:rPr>
        <w:t>t</w:t>
      </w:r>
      <w:r>
        <w:rPr>
          <w:w w:val="100"/>
          <w:sz w:val="21"/>
        </w:rPr>
        <w:t>o</w:t>
      </w:r>
      <w:r>
        <w:rPr>
          <w:spacing w:val="11"/>
          <w:sz w:val="21"/>
        </w:rPr>
        <w:t> </w:t>
      </w:r>
      <w:r>
        <w:rPr>
          <w:w w:val="100"/>
          <w:sz w:val="21"/>
        </w:rPr>
        <w:t>i</w:t>
      </w:r>
      <w:r>
        <w:rPr>
          <w:spacing w:val="-3"/>
          <w:w w:val="100"/>
          <w:sz w:val="21"/>
        </w:rPr>
        <w:t>n</w:t>
      </w:r>
      <w:r>
        <w:rPr>
          <w:w w:val="100"/>
          <w:sz w:val="21"/>
        </w:rPr>
        <w:t>s</w:t>
      </w:r>
      <w:r>
        <w:rPr>
          <w:spacing w:val="-2"/>
          <w:w w:val="100"/>
          <w:sz w:val="21"/>
        </w:rPr>
        <w:t>t</w:t>
      </w:r>
      <w:r>
        <w:rPr>
          <w:w w:val="100"/>
          <w:sz w:val="21"/>
        </w:rPr>
        <w:t>i</w:t>
      </w:r>
      <w:r>
        <w:rPr>
          <w:spacing w:val="-2"/>
          <w:w w:val="100"/>
          <w:sz w:val="21"/>
        </w:rPr>
        <w:t>t</w:t>
      </w:r>
      <w:r>
        <w:rPr>
          <w:spacing w:val="-1"/>
          <w:w w:val="100"/>
          <w:sz w:val="21"/>
        </w:rPr>
        <w:t>ut</w:t>
      </w:r>
      <w:r>
        <w:rPr>
          <w:w w:val="100"/>
          <w:sz w:val="21"/>
        </w:rPr>
        <w:t>e </w:t>
      </w:r>
      <w:r>
        <w:rPr>
          <w:sz w:val="21"/>
        </w:rPr>
        <w:t>a suit … be, at the time from which the period of limitation is  to be reckoned, a minor,‖ he may institute the suit after coming of age within a time, which in the present case would be three</w:t>
      </w:r>
      <w:r>
        <w:rPr>
          <w:spacing w:val="-3"/>
          <w:sz w:val="21"/>
        </w:rPr>
        <w:t> </w:t>
      </w:r>
      <w:r>
        <w:rPr>
          <w:sz w:val="21"/>
        </w:rPr>
        <w:t>years.‖</w:t>
      </w:r>
    </w:p>
    <w:p>
      <w:pPr>
        <w:spacing w:before="1"/>
        <w:ind w:left="5795" w:right="0" w:firstLine="0"/>
        <w:jc w:val="left"/>
        <w:rPr>
          <w:sz w:val="21"/>
        </w:rPr>
      </w:pPr>
      <w:r>
        <w:rPr>
          <w:sz w:val="21"/>
        </w:rPr>
        <w:t>(Emphasis</w:t>
      </w:r>
      <w:r>
        <w:rPr>
          <w:spacing w:val="-3"/>
          <w:sz w:val="21"/>
        </w:rPr>
        <w:t> </w:t>
      </w:r>
      <w:r>
        <w:rPr>
          <w:sz w:val="21"/>
        </w:rPr>
        <w:t>supplied)</w:t>
      </w:r>
    </w:p>
    <w:p>
      <w:pPr>
        <w:pStyle w:val="BodyText"/>
        <w:rPr>
          <w:sz w:val="24"/>
        </w:rPr>
      </w:pPr>
    </w:p>
    <w:p>
      <w:pPr>
        <w:pStyle w:val="BodyText"/>
        <w:spacing w:before="2"/>
        <w:rPr>
          <w:sz w:val="29"/>
        </w:rPr>
      </w:pPr>
    </w:p>
    <w:p>
      <w:pPr>
        <w:pStyle w:val="BodyText"/>
        <w:spacing w:line="480" w:lineRule="auto"/>
        <w:ind w:left="500" w:right="440"/>
        <w:jc w:val="both"/>
      </w:pPr>
      <w:r>
        <w:rPr/>
        <w:t>The Privy Council examined whether, at the time of the dispossession, limitation began running against the shebait. In doing this, the Privy Council located the right to sue as vested in the shebait and not the idol. Ultimately, the Privy Council held that the suit was not barred by limitation as the shebait was a minor at the time of the dispossession. Thus, it was not relevant whether or not limitation ran against the deity‘s right to sue as such right vested in the</w:t>
      </w:r>
      <w:r>
        <w:rPr>
          <w:spacing w:val="-18"/>
        </w:rPr>
        <w:t> </w:t>
      </w:r>
      <w:r>
        <w:rPr/>
        <w:t>shebait.</w:t>
      </w:r>
    </w:p>
    <w:p>
      <w:pPr>
        <w:pStyle w:val="BodyText"/>
      </w:pPr>
    </w:p>
    <w:p>
      <w:pPr>
        <w:pStyle w:val="ListParagraph"/>
        <w:numPr>
          <w:ilvl w:val="0"/>
          <w:numId w:val="111"/>
        </w:numPr>
        <w:tabs>
          <w:tab w:pos="1220" w:val="left" w:leader="none"/>
          <w:tab w:pos="1221" w:val="left" w:leader="none"/>
        </w:tabs>
        <w:spacing w:line="480" w:lineRule="auto" w:before="0" w:after="0"/>
        <w:ind w:left="500" w:right="438" w:firstLine="0"/>
        <w:jc w:val="left"/>
        <w:rPr>
          <w:sz w:val="25"/>
        </w:rPr>
      </w:pPr>
      <w:r>
        <w:rPr>
          <w:sz w:val="25"/>
        </w:rPr>
        <w:t>Ordinarily, the right to sue on behalf of the idol vests in the shebait. This does</w:t>
      </w:r>
      <w:r>
        <w:rPr>
          <w:spacing w:val="15"/>
          <w:sz w:val="25"/>
        </w:rPr>
        <w:t> </w:t>
      </w:r>
      <w:r>
        <w:rPr>
          <w:sz w:val="25"/>
        </w:rPr>
        <w:t>not</w:t>
      </w:r>
      <w:r>
        <w:rPr>
          <w:spacing w:val="14"/>
          <w:sz w:val="25"/>
        </w:rPr>
        <w:t> </w:t>
      </w:r>
      <w:r>
        <w:rPr>
          <w:sz w:val="25"/>
        </w:rPr>
        <w:t>however</w:t>
      </w:r>
      <w:r>
        <w:rPr>
          <w:spacing w:val="15"/>
          <w:sz w:val="25"/>
        </w:rPr>
        <w:t> </w:t>
      </w:r>
      <w:r>
        <w:rPr>
          <w:sz w:val="25"/>
        </w:rPr>
        <w:t>mean</w:t>
      </w:r>
      <w:r>
        <w:rPr>
          <w:spacing w:val="15"/>
          <w:sz w:val="25"/>
        </w:rPr>
        <w:t> </w:t>
      </w:r>
      <w:r>
        <w:rPr>
          <w:sz w:val="25"/>
        </w:rPr>
        <w:t>that</w:t>
      </w:r>
      <w:r>
        <w:rPr>
          <w:spacing w:val="15"/>
          <w:sz w:val="25"/>
        </w:rPr>
        <w:t> </w:t>
      </w:r>
      <w:r>
        <w:rPr>
          <w:sz w:val="25"/>
        </w:rPr>
        <w:t>the</w:t>
      </w:r>
      <w:r>
        <w:rPr>
          <w:spacing w:val="15"/>
          <w:sz w:val="25"/>
        </w:rPr>
        <w:t> </w:t>
      </w:r>
      <w:r>
        <w:rPr>
          <w:sz w:val="25"/>
        </w:rPr>
        <w:t>idol</w:t>
      </w:r>
      <w:r>
        <w:rPr>
          <w:spacing w:val="15"/>
          <w:sz w:val="25"/>
        </w:rPr>
        <w:t> </w:t>
      </w:r>
      <w:r>
        <w:rPr>
          <w:sz w:val="25"/>
        </w:rPr>
        <w:t>is</w:t>
      </w:r>
      <w:r>
        <w:rPr>
          <w:spacing w:val="19"/>
          <w:sz w:val="25"/>
        </w:rPr>
        <w:t> </w:t>
      </w:r>
      <w:r>
        <w:rPr>
          <w:sz w:val="25"/>
        </w:rPr>
        <w:t>deprived</w:t>
      </w:r>
      <w:r>
        <w:rPr>
          <w:spacing w:val="16"/>
          <w:sz w:val="25"/>
        </w:rPr>
        <w:t> </w:t>
      </w:r>
      <w:r>
        <w:rPr>
          <w:sz w:val="25"/>
        </w:rPr>
        <w:t>of</w:t>
      </w:r>
      <w:r>
        <w:rPr>
          <w:spacing w:val="15"/>
          <w:sz w:val="25"/>
        </w:rPr>
        <w:t> </w:t>
      </w:r>
      <w:r>
        <w:rPr>
          <w:sz w:val="25"/>
        </w:rPr>
        <w:t>its</w:t>
      </w:r>
      <w:r>
        <w:rPr>
          <w:spacing w:val="14"/>
          <w:sz w:val="25"/>
        </w:rPr>
        <w:t> </w:t>
      </w:r>
      <w:r>
        <w:rPr>
          <w:sz w:val="25"/>
        </w:rPr>
        <w:t>inherent</w:t>
      </w:r>
      <w:r>
        <w:rPr>
          <w:spacing w:val="14"/>
          <w:sz w:val="25"/>
        </w:rPr>
        <w:t> </w:t>
      </w:r>
      <w:r>
        <w:rPr>
          <w:sz w:val="25"/>
        </w:rPr>
        <w:t>and</w:t>
      </w:r>
      <w:r>
        <w:rPr>
          <w:spacing w:val="16"/>
          <w:sz w:val="25"/>
        </w:rPr>
        <w:t> </w:t>
      </w:r>
      <w:r>
        <w:rPr>
          <w:sz w:val="25"/>
        </w:rPr>
        <w:t>independent</w:t>
      </w:r>
    </w:p>
    <w:p>
      <w:pPr>
        <w:pStyle w:val="BodyText"/>
        <w:rPr>
          <w:sz w:val="20"/>
        </w:rPr>
      </w:pPr>
    </w:p>
    <w:p>
      <w:pPr>
        <w:pStyle w:val="BodyText"/>
        <w:spacing w:before="2"/>
        <w:rPr>
          <w:sz w:val="11"/>
        </w:rPr>
      </w:pPr>
      <w:r>
        <w:rPr/>
        <w:pict>
          <v:rect style="position:absolute;margin-left:72.024002pt;margin-top:8.402417pt;width:144.020pt;height:.599980pt;mso-position-horizontal-relative:page;mso-position-vertical-relative:paragraph;z-index:-1566924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220</w:t>
      </w:r>
      <w:r>
        <w:rPr>
          <w:sz w:val="18"/>
          <w:vertAlign w:val="baseline"/>
        </w:rPr>
        <w:t> (1903-04) 31 IA 203</w:t>
      </w:r>
    </w:p>
    <w:p>
      <w:pPr>
        <w:spacing w:after="0"/>
        <w:jc w:val="left"/>
        <w:rPr>
          <w:sz w:val="18"/>
        </w:rPr>
        <w:sectPr>
          <w:pgSz w:w="11910" w:h="16840"/>
          <w:pgMar w:header="721" w:footer="1014" w:top="1300" w:bottom="1200" w:left="940" w:right="1000"/>
        </w:sectPr>
      </w:pPr>
    </w:p>
    <w:p>
      <w:pPr>
        <w:pStyle w:val="BodyText"/>
        <w:spacing w:line="480" w:lineRule="auto" w:before="124"/>
        <w:ind w:left="500" w:right="435"/>
        <w:jc w:val="both"/>
      </w:pPr>
      <w:r>
        <w:rPr/>
        <w:t>right to sue in its own name in certain situations. The property vests in the idol. A right to sue for the recovery of property is an inherent component of the rights that flow from the ownership of property. The shebait is merely the human actor through which the right to sue is exercised. As the immediate protector of the idols and the exclusive manager of its properties, a suit on behalf of the idol must be brought by the shebait alone. Where there exists a lawfully appointed shebait who is able and willing to take all actions necessary to protect the deity‘s interests and to ensure its continued protection and providence, the right of the deity to  sue cannot be separated from the right of the shebait to sue on behalf of the deity. In such situations, the idol‘s right to sue stands merged with the right of the shebait to sue on behalf of the idol. This understanding is summarised by Justice </w:t>
      </w:r>
      <w:r>
        <w:rPr>
          <w:w w:val="99"/>
        </w:rPr>
        <w:t>B</w:t>
      </w:r>
      <w:r>
        <w:rPr>
          <w:spacing w:val="20"/>
        </w:rPr>
        <w:t> </w:t>
      </w:r>
      <w:r>
        <w:rPr>
          <w:w w:val="99"/>
        </w:rPr>
        <w:t>K</w:t>
      </w:r>
      <w:r>
        <w:rPr>
          <w:spacing w:val="22"/>
        </w:rPr>
        <w:t> </w:t>
      </w:r>
      <w:r>
        <w:rPr>
          <w:spacing w:val="-2"/>
          <w:w w:val="99"/>
        </w:rPr>
        <w:t>M</w:t>
      </w:r>
      <w:r>
        <w:rPr>
          <w:spacing w:val="-1"/>
          <w:w w:val="99"/>
        </w:rPr>
        <w:t>uk</w:t>
      </w:r>
      <w:r>
        <w:rPr>
          <w:w w:val="99"/>
        </w:rPr>
        <w:t>h</w:t>
      </w:r>
      <w:r>
        <w:rPr>
          <w:spacing w:val="-1"/>
          <w:w w:val="99"/>
        </w:rPr>
        <w:t>e</w:t>
      </w:r>
      <w:r>
        <w:rPr>
          <w:w w:val="99"/>
        </w:rPr>
        <w:t>r</w:t>
      </w:r>
      <w:r>
        <w:rPr>
          <w:spacing w:val="-1"/>
          <w:w w:val="99"/>
        </w:rPr>
        <w:t>je</w:t>
      </w:r>
      <w:r>
        <w:rPr>
          <w:w w:val="99"/>
        </w:rPr>
        <w:t>a</w:t>
      </w:r>
      <w:r>
        <w:rPr>
          <w:spacing w:val="22"/>
        </w:rPr>
        <w:t> </w:t>
      </w:r>
      <w:r>
        <w:rPr>
          <w:spacing w:val="-1"/>
          <w:w w:val="99"/>
        </w:rPr>
        <w:t>i</w:t>
      </w:r>
      <w:r>
        <w:rPr>
          <w:w w:val="99"/>
        </w:rPr>
        <w:t>n</w:t>
      </w:r>
      <w:r>
        <w:rPr>
          <w:spacing w:val="21"/>
        </w:rPr>
        <w:t> </w:t>
      </w:r>
      <w:r>
        <w:rPr>
          <w:spacing w:val="3"/>
          <w:w w:val="33"/>
        </w:rPr>
        <w:t>―</w:t>
      </w:r>
      <w:r>
        <w:rPr>
          <w:b/>
          <w:spacing w:val="-2"/>
          <w:w w:val="99"/>
        </w:rPr>
        <w:t>T</w:t>
      </w:r>
      <w:r>
        <w:rPr>
          <w:b/>
          <w:spacing w:val="3"/>
          <w:w w:val="99"/>
        </w:rPr>
        <w:t>h</w:t>
      </w:r>
      <w:r>
        <w:rPr>
          <w:b/>
          <w:w w:val="99"/>
        </w:rPr>
        <w:t>e</w:t>
      </w:r>
      <w:r>
        <w:rPr>
          <w:b/>
          <w:spacing w:val="21"/>
        </w:rPr>
        <w:t> </w:t>
      </w:r>
      <w:r>
        <w:rPr>
          <w:b/>
          <w:w w:val="99"/>
        </w:rPr>
        <w:t>Hin</w:t>
      </w:r>
      <w:r>
        <w:rPr>
          <w:b/>
          <w:w w:val="99"/>
        </w:rPr>
        <w:t>du</w:t>
      </w:r>
      <w:r>
        <w:rPr>
          <w:b/>
          <w:spacing w:val="22"/>
        </w:rPr>
        <w:t> </w:t>
      </w:r>
      <w:r>
        <w:rPr>
          <w:b/>
          <w:w w:val="99"/>
        </w:rPr>
        <w:t>L</w:t>
      </w:r>
      <w:r>
        <w:rPr>
          <w:b/>
          <w:spacing w:val="-5"/>
          <w:w w:val="99"/>
        </w:rPr>
        <w:t>a</w:t>
      </w:r>
      <w:r>
        <w:rPr>
          <w:b/>
          <w:w w:val="99"/>
        </w:rPr>
        <w:t>w</w:t>
      </w:r>
      <w:r>
        <w:rPr>
          <w:b/>
          <w:spacing w:val="26"/>
        </w:rPr>
        <w:t> </w:t>
      </w:r>
      <w:r>
        <w:rPr>
          <w:b/>
          <w:spacing w:val="-2"/>
          <w:w w:val="99"/>
        </w:rPr>
        <w:t>o</w:t>
      </w:r>
      <w:r>
        <w:rPr>
          <w:b/>
          <w:w w:val="99"/>
        </w:rPr>
        <w:t>f</w:t>
      </w:r>
      <w:r>
        <w:rPr>
          <w:b/>
          <w:spacing w:val="22"/>
        </w:rPr>
        <w:t> </w:t>
      </w:r>
      <w:r>
        <w:rPr>
          <w:b/>
          <w:w w:val="99"/>
        </w:rPr>
        <w:t>Reli</w:t>
      </w:r>
      <w:r>
        <w:rPr>
          <w:b/>
          <w:spacing w:val="1"/>
          <w:w w:val="99"/>
        </w:rPr>
        <w:t>g</w:t>
      </w:r>
      <w:r>
        <w:rPr>
          <w:b/>
          <w:w w:val="99"/>
        </w:rPr>
        <w:t>i</w:t>
      </w:r>
      <w:r>
        <w:rPr>
          <w:b/>
          <w:spacing w:val="1"/>
          <w:w w:val="99"/>
        </w:rPr>
        <w:t>o</w:t>
      </w:r>
      <w:r>
        <w:rPr>
          <w:b/>
          <w:w w:val="99"/>
        </w:rPr>
        <w:t>u</w:t>
      </w:r>
      <w:r>
        <w:rPr>
          <w:b/>
          <w:w w:val="99"/>
        </w:rPr>
        <w:t>s</w:t>
      </w:r>
      <w:r>
        <w:rPr>
          <w:b/>
          <w:spacing w:val="21"/>
        </w:rPr>
        <w:t> </w:t>
      </w:r>
      <w:r>
        <w:rPr>
          <w:b/>
          <w:w w:val="99"/>
        </w:rPr>
        <w:t>a</w:t>
      </w:r>
      <w:r>
        <w:rPr>
          <w:b/>
          <w:spacing w:val="-1"/>
          <w:w w:val="99"/>
        </w:rPr>
        <w:t>n</w:t>
      </w:r>
      <w:r>
        <w:rPr>
          <w:b/>
          <w:w w:val="99"/>
        </w:rPr>
        <w:t>d</w:t>
      </w:r>
      <w:r>
        <w:rPr>
          <w:b/>
          <w:spacing w:val="22"/>
        </w:rPr>
        <w:t> </w:t>
      </w:r>
      <w:r>
        <w:rPr>
          <w:b/>
          <w:w w:val="99"/>
        </w:rPr>
        <w:t>Charita</w:t>
      </w:r>
      <w:r>
        <w:rPr>
          <w:b/>
          <w:w w:val="99"/>
        </w:rPr>
        <w:t>b</w:t>
      </w:r>
      <w:r>
        <w:rPr>
          <w:b/>
          <w:spacing w:val="-3"/>
          <w:w w:val="99"/>
        </w:rPr>
        <w:t>l</w:t>
      </w:r>
      <w:r>
        <w:rPr>
          <w:b/>
          <w:w w:val="99"/>
        </w:rPr>
        <w:t>e</w:t>
      </w:r>
      <w:r>
        <w:rPr>
          <w:b/>
          <w:spacing w:val="21"/>
        </w:rPr>
        <w:t> </w:t>
      </w:r>
      <w:r>
        <w:rPr>
          <w:b/>
          <w:spacing w:val="-2"/>
          <w:w w:val="99"/>
        </w:rPr>
        <w:t>T</w:t>
      </w:r>
      <w:r>
        <w:rPr>
          <w:b/>
          <w:spacing w:val="-1"/>
          <w:w w:val="99"/>
        </w:rPr>
        <w:t>r</w:t>
      </w:r>
      <w:r>
        <w:rPr>
          <w:b/>
          <w:w w:val="99"/>
        </w:rPr>
        <w:t>u</w:t>
      </w:r>
      <w:r>
        <w:rPr>
          <w:b/>
          <w:w w:val="99"/>
        </w:rPr>
        <w:t>s</w:t>
      </w:r>
      <w:r>
        <w:rPr>
          <w:b/>
          <w:spacing w:val="1"/>
          <w:w w:val="99"/>
        </w:rPr>
        <w:t>t</w:t>
      </w:r>
      <w:r>
        <w:rPr>
          <w:b/>
          <w:spacing w:val="9"/>
          <w:w w:val="99"/>
        </w:rPr>
        <w:t>s</w:t>
      </w:r>
      <w:r>
        <w:rPr>
          <w:w w:val="80"/>
        </w:rPr>
        <w:t>‖</w:t>
      </w:r>
      <w:r>
        <w:rPr>
          <w:spacing w:val="22"/>
        </w:rPr>
        <w:t> </w:t>
      </w:r>
      <w:r>
        <w:rPr>
          <w:spacing w:val="-1"/>
          <w:w w:val="99"/>
        </w:rPr>
        <w:t>i</w:t>
      </w:r>
      <w:r>
        <w:rPr>
          <w:w w:val="99"/>
        </w:rPr>
        <w:t>n</w:t>
      </w:r>
      <w:r>
        <w:rPr>
          <w:spacing w:val="21"/>
        </w:rPr>
        <w:t> </w:t>
      </w:r>
      <w:r>
        <w:rPr>
          <w:w w:val="99"/>
        </w:rPr>
        <w:t>the </w:t>
      </w:r>
      <w:r>
        <w:rPr/>
        <w:t>following</w:t>
      </w:r>
      <w:r>
        <w:rPr>
          <w:spacing w:val="-1"/>
        </w:rPr>
        <w:t> </w:t>
      </w:r>
      <w:r>
        <w:rPr/>
        <w:t>manner:</w:t>
      </w:r>
    </w:p>
    <w:p>
      <w:pPr>
        <w:spacing w:line="276" w:lineRule="auto" w:before="160"/>
        <w:ind w:left="1918" w:right="2264" w:firstLine="0"/>
        <w:jc w:val="left"/>
        <w:rPr>
          <w:sz w:val="21"/>
        </w:rPr>
      </w:pPr>
      <w:r>
        <w:rPr>
          <w:w w:val="33"/>
          <w:sz w:val="21"/>
        </w:rPr>
        <w:t>―</w:t>
      </w:r>
      <w:r>
        <w:rPr>
          <w:w w:val="100"/>
          <w:sz w:val="21"/>
        </w:rPr>
        <w:t>This</w:t>
      </w:r>
      <w:r>
        <w:rPr>
          <w:sz w:val="21"/>
        </w:rPr>
        <w:t>  </w:t>
      </w:r>
      <w:r>
        <w:rPr>
          <w:w w:val="100"/>
          <w:sz w:val="21"/>
        </w:rPr>
        <w:t>decision</w:t>
      </w:r>
      <w:r>
        <w:rPr>
          <w:sz w:val="21"/>
        </w:rPr>
        <w:t>  </w:t>
      </w:r>
      <w:r>
        <w:rPr>
          <w:w w:val="100"/>
          <w:sz w:val="21"/>
        </w:rPr>
        <w:t>[in</w:t>
      </w:r>
      <w:r>
        <w:rPr>
          <w:sz w:val="21"/>
        </w:rPr>
        <w:t>  </w:t>
      </w:r>
      <w:r>
        <w:rPr>
          <w:w w:val="100"/>
          <w:sz w:val="21"/>
        </w:rPr>
        <w:t>Jagadindra</w:t>
      </w:r>
      <w:r>
        <w:rPr>
          <w:sz w:val="21"/>
        </w:rPr>
        <w:t>  </w:t>
      </w:r>
      <w:r>
        <w:rPr>
          <w:w w:val="100"/>
          <w:sz w:val="21"/>
        </w:rPr>
        <w:t>Nath],</w:t>
      </w:r>
      <w:r>
        <w:rPr>
          <w:sz w:val="21"/>
        </w:rPr>
        <w:t>  </w:t>
      </w:r>
      <w:r>
        <w:rPr>
          <w:w w:val="100"/>
          <w:sz w:val="21"/>
        </w:rPr>
        <w:t>therefore,</w:t>
      </w:r>
      <w:r>
        <w:rPr>
          <w:sz w:val="21"/>
        </w:rPr>
        <w:t>  </w:t>
      </w:r>
      <w:r>
        <w:rPr>
          <w:w w:val="100"/>
          <w:sz w:val="21"/>
        </w:rPr>
        <w:t>establishes </w:t>
      </w:r>
      <w:r>
        <w:rPr>
          <w:sz w:val="21"/>
        </w:rPr>
        <w:t>three things: -</w:t>
      </w:r>
    </w:p>
    <w:p>
      <w:pPr>
        <w:pStyle w:val="ListParagraph"/>
        <w:numPr>
          <w:ilvl w:val="1"/>
          <w:numId w:val="111"/>
        </w:numPr>
        <w:tabs>
          <w:tab w:pos="2279" w:val="left" w:leader="none"/>
        </w:tabs>
        <w:spacing w:line="276" w:lineRule="auto" w:before="0" w:after="0"/>
        <w:ind w:left="2278" w:right="2268" w:hanging="360"/>
        <w:jc w:val="both"/>
        <w:rPr>
          <w:sz w:val="21"/>
        </w:rPr>
      </w:pPr>
      <w:r>
        <w:rPr>
          <w:sz w:val="21"/>
        </w:rPr>
        <w:t>That the right of a suit in respect of the deity‘s property is in the</w:t>
      </w:r>
      <w:r>
        <w:rPr>
          <w:spacing w:val="-2"/>
          <w:sz w:val="21"/>
        </w:rPr>
        <w:t> </w:t>
      </w:r>
      <w:r>
        <w:rPr>
          <w:sz w:val="21"/>
        </w:rPr>
        <w:t>Shebait;</w:t>
      </w:r>
    </w:p>
    <w:p>
      <w:pPr>
        <w:pStyle w:val="ListParagraph"/>
        <w:numPr>
          <w:ilvl w:val="1"/>
          <w:numId w:val="111"/>
        </w:numPr>
        <w:tabs>
          <w:tab w:pos="2279" w:val="left" w:leader="none"/>
        </w:tabs>
        <w:spacing w:line="276" w:lineRule="auto" w:before="159" w:after="0"/>
        <w:ind w:left="2278" w:right="2262" w:hanging="360"/>
        <w:jc w:val="both"/>
        <w:rPr>
          <w:sz w:val="21"/>
        </w:rPr>
      </w:pPr>
      <w:r>
        <w:rPr>
          <w:sz w:val="21"/>
        </w:rPr>
        <w:t>this right is a personal right of the Shebait which entitles him to claim the privilege afforded by the Limitation Act; and</w:t>
      </w:r>
    </w:p>
    <w:p>
      <w:pPr>
        <w:pStyle w:val="ListParagraph"/>
        <w:numPr>
          <w:ilvl w:val="1"/>
          <w:numId w:val="111"/>
        </w:numPr>
        <w:tabs>
          <w:tab w:pos="2279" w:val="left" w:leader="none"/>
        </w:tabs>
        <w:spacing w:line="276" w:lineRule="auto" w:before="161" w:after="0"/>
        <w:ind w:left="2278" w:right="2265" w:hanging="360"/>
        <w:jc w:val="both"/>
        <w:rPr>
          <w:sz w:val="21"/>
        </w:rPr>
      </w:pPr>
      <w:r>
        <w:rPr>
          <w:sz w:val="21"/>
        </w:rPr>
        <w:t>the Shebait can sue in his own name and the deity need not figure as a plaintiff in the suit, though the pleadings must show that the Shebait is suing as</w:t>
      </w:r>
      <w:r>
        <w:rPr>
          <w:spacing w:val="-23"/>
          <w:sz w:val="21"/>
        </w:rPr>
        <w:t> </w:t>
      </w:r>
      <w:r>
        <w:rPr>
          <w:sz w:val="21"/>
        </w:rPr>
        <w:t>such.‖</w:t>
      </w:r>
      <w:r>
        <w:rPr>
          <w:sz w:val="21"/>
          <w:vertAlign w:val="superscript"/>
        </w:rPr>
        <w:t>221</w:t>
      </w:r>
    </w:p>
    <w:p>
      <w:pPr>
        <w:pStyle w:val="BodyText"/>
        <w:rPr>
          <w:sz w:val="26"/>
        </w:rPr>
      </w:pPr>
    </w:p>
    <w:p>
      <w:pPr>
        <w:pStyle w:val="BodyText"/>
        <w:rPr>
          <w:sz w:val="26"/>
        </w:rPr>
      </w:pPr>
    </w:p>
    <w:p>
      <w:pPr>
        <w:pStyle w:val="ListParagraph"/>
        <w:numPr>
          <w:ilvl w:val="0"/>
          <w:numId w:val="111"/>
        </w:numPr>
        <w:tabs>
          <w:tab w:pos="1221" w:val="left" w:leader="none"/>
        </w:tabs>
        <w:spacing w:line="480" w:lineRule="auto" w:before="168" w:after="0"/>
        <w:ind w:left="500" w:right="440" w:firstLine="0"/>
        <w:jc w:val="both"/>
        <w:rPr>
          <w:sz w:val="25"/>
        </w:rPr>
      </w:pPr>
      <w:r>
        <w:rPr>
          <w:sz w:val="25"/>
        </w:rPr>
        <w:t>A suit by a shebait </w:t>
      </w:r>
      <w:r>
        <w:rPr>
          <w:i/>
          <w:sz w:val="25"/>
        </w:rPr>
        <w:t>on behalf of </w:t>
      </w:r>
      <w:r>
        <w:rPr>
          <w:sz w:val="25"/>
        </w:rPr>
        <w:t>an idol binds the idol. For this reason, the question of who can sue on behalf of an idol is a question of substantive law. Vesting</w:t>
      </w:r>
      <w:r>
        <w:rPr>
          <w:spacing w:val="25"/>
          <w:sz w:val="25"/>
        </w:rPr>
        <w:t> </w:t>
      </w:r>
      <w:r>
        <w:rPr>
          <w:sz w:val="25"/>
        </w:rPr>
        <w:t>any</w:t>
      </w:r>
      <w:r>
        <w:rPr>
          <w:spacing w:val="22"/>
          <w:sz w:val="25"/>
        </w:rPr>
        <w:t> </w:t>
      </w:r>
      <w:r>
        <w:rPr>
          <w:sz w:val="25"/>
        </w:rPr>
        <w:t>stranger</w:t>
      </w:r>
      <w:r>
        <w:rPr>
          <w:spacing w:val="27"/>
          <w:sz w:val="25"/>
        </w:rPr>
        <w:t> </w:t>
      </w:r>
      <w:r>
        <w:rPr>
          <w:sz w:val="25"/>
        </w:rPr>
        <w:t>with</w:t>
      </w:r>
      <w:r>
        <w:rPr>
          <w:spacing w:val="25"/>
          <w:sz w:val="25"/>
        </w:rPr>
        <w:t> </w:t>
      </w:r>
      <w:r>
        <w:rPr>
          <w:sz w:val="25"/>
        </w:rPr>
        <w:t>the</w:t>
      </w:r>
      <w:r>
        <w:rPr>
          <w:spacing w:val="26"/>
          <w:sz w:val="25"/>
        </w:rPr>
        <w:t> </w:t>
      </w:r>
      <w:r>
        <w:rPr>
          <w:sz w:val="25"/>
        </w:rPr>
        <w:t>right</w:t>
      </w:r>
      <w:r>
        <w:rPr>
          <w:spacing w:val="26"/>
          <w:sz w:val="25"/>
        </w:rPr>
        <w:t> </w:t>
      </w:r>
      <w:r>
        <w:rPr>
          <w:sz w:val="25"/>
        </w:rPr>
        <w:t>to</w:t>
      </w:r>
      <w:r>
        <w:rPr>
          <w:spacing w:val="25"/>
          <w:sz w:val="25"/>
        </w:rPr>
        <w:t> </w:t>
      </w:r>
      <w:r>
        <w:rPr>
          <w:sz w:val="25"/>
        </w:rPr>
        <w:t>institute</w:t>
      </w:r>
      <w:r>
        <w:rPr>
          <w:spacing w:val="26"/>
          <w:sz w:val="25"/>
        </w:rPr>
        <w:t> </w:t>
      </w:r>
      <w:r>
        <w:rPr>
          <w:sz w:val="25"/>
        </w:rPr>
        <w:t>proceedings</w:t>
      </w:r>
      <w:r>
        <w:rPr>
          <w:spacing w:val="26"/>
          <w:sz w:val="25"/>
        </w:rPr>
        <w:t> </w:t>
      </w:r>
      <w:r>
        <w:rPr>
          <w:sz w:val="25"/>
        </w:rPr>
        <w:t>on</w:t>
      </w:r>
      <w:r>
        <w:rPr>
          <w:spacing w:val="25"/>
          <w:sz w:val="25"/>
        </w:rPr>
        <w:t> </w:t>
      </w:r>
      <w:r>
        <w:rPr>
          <w:sz w:val="25"/>
        </w:rPr>
        <w:t>behalf</w:t>
      </w:r>
      <w:r>
        <w:rPr>
          <w:spacing w:val="25"/>
          <w:sz w:val="25"/>
        </w:rPr>
        <w:t> </w:t>
      </w:r>
      <w:r>
        <w:rPr>
          <w:sz w:val="25"/>
        </w:rPr>
        <w:t>of</w:t>
      </w:r>
      <w:r>
        <w:rPr>
          <w:spacing w:val="26"/>
          <w:sz w:val="25"/>
        </w:rPr>
        <w:t> </w:t>
      </w:r>
      <w:r>
        <w:rPr>
          <w:sz w:val="25"/>
        </w:rPr>
        <w:t>the</w:t>
      </w:r>
      <w:r>
        <w:rPr>
          <w:spacing w:val="26"/>
          <w:sz w:val="25"/>
        </w:rPr>
        <w:t> </w:t>
      </w:r>
      <w:r>
        <w:rPr>
          <w:sz w:val="25"/>
        </w:rPr>
        <w:t>idol</w:t>
      </w:r>
    </w:p>
    <w:p>
      <w:pPr>
        <w:pStyle w:val="BodyText"/>
        <w:spacing w:line="20" w:lineRule="exact"/>
        <w:ind w:left="500"/>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spacing w:before="99"/>
        <w:ind w:left="500" w:right="1030" w:firstLine="0"/>
        <w:jc w:val="left"/>
        <w:rPr>
          <w:sz w:val="18"/>
        </w:rPr>
      </w:pPr>
      <w:r>
        <w:rPr>
          <w:sz w:val="18"/>
          <w:vertAlign w:val="superscript"/>
        </w:rPr>
        <w:t>221</w:t>
      </w:r>
      <w:r>
        <w:rPr>
          <w:sz w:val="18"/>
          <w:vertAlign w:val="baseline"/>
        </w:rPr>
        <w:t> B.K. Mukherjea, The Hindu Law of Religious and Charitable Trust (5th Edn. Eastern Law House, 1983) at pages 257-258</w:t>
      </w:r>
    </w:p>
    <w:p>
      <w:pPr>
        <w:spacing w:after="0"/>
        <w:jc w:val="left"/>
        <w:rPr>
          <w:sz w:val="18"/>
        </w:rPr>
        <w:sectPr>
          <w:pgSz w:w="11910" w:h="16840"/>
          <w:pgMar w:header="721" w:footer="1014" w:top="1300" w:bottom="1200" w:left="940" w:right="1000"/>
        </w:sectPr>
      </w:pPr>
    </w:p>
    <w:p>
      <w:pPr>
        <w:pStyle w:val="BodyText"/>
        <w:spacing w:line="480" w:lineRule="auto" w:before="124"/>
        <w:ind w:left="500" w:right="436"/>
        <w:jc w:val="both"/>
      </w:pPr>
      <w:r>
        <w:rPr/>
        <w:t>and bind it would leave the idol and its properties at the mercy of numerous individuals claiming to be ‗next friend‘. Therefore, the interests of the idol are protected by restricting and scrutinising actions brought on behalf of the idol. For this reason, ordinarily, only a lawful shebait can sue on behalf of the idol.  When  a lawful shebait sues on behalf of the deity, the question whether the deity is a party to the proceedings is merely a matter of procedure. As long as the suit is filed in the capacity of a shebait, it is implicit that such a suit is on behalf of and for the benefit of the</w:t>
      </w:r>
      <w:r>
        <w:rPr>
          <w:spacing w:val="-1"/>
        </w:rPr>
        <w:t> </w:t>
      </w:r>
      <w:r>
        <w:rPr/>
        <w:t>idol.</w:t>
      </w:r>
    </w:p>
    <w:p>
      <w:pPr>
        <w:pStyle w:val="BodyText"/>
        <w:spacing w:before="11"/>
        <w:rPr>
          <w:sz w:val="38"/>
        </w:rPr>
      </w:pPr>
    </w:p>
    <w:p>
      <w:pPr>
        <w:pStyle w:val="Heading3"/>
        <w:ind w:left="500" w:firstLine="0"/>
      </w:pPr>
      <w:r>
        <w:rPr/>
        <w:t>A suit by a worshipper or person interested</w:t>
      </w:r>
    </w:p>
    <w:p>
      <w:pPr>
        <w:pStyle w:val="BodyText"/>
        <w:rPr>
          <w:b/>
          <w:sz w:val="28"/>
        </w:rPr>
      </w:pPr>
    </w:p>
    <w:p>
      <w:pPr>
        <w:pStyle w:val="BodyText"/>
        <w:spacing w:before="11"/>
        <w:rPr>
          <w:b/>
          <w:sz w:val="35"/>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There may arise a situation where a shebait has been derelict in the performance of duties, either by not taking any action or by being complicit in the wrongful alienation of the endowed property. In such a situation, where a suit is instituted for the recovery of the deity‘s property, the action is against </w:t>
      </w:r>
      <w:r>
        <w:rPr>
          <w:b/>
          <w:sz w:val="25"/>
        </w:rPr>
        <w:t>both </w:t>
      </w:r>
      <w:r>
        <w:rPr>
          <w:sz w:val="25"/>
        </w:rPr>
        <w:t>the shebait and the person possessing or claiming the property in a manner hostile to the deity. The remedy for an action against mismanagement simpliciter by a shebait can be found in Section 92 of the Civil Procedure Code 1908. However, where an action against a stranger to the trust is contemplated, the remedy is not a suit under Section 92 of the Civil Procedure Code 1908 but a suit in general law.</w:t>
      </w:r>
    </w:p>
    <w:p>
      <w:pPr>
        <w:spacing w:after="0" w:line="480" w:lineRule="auto"/>
        <w:jc w:val="both"/>
        <w:rPr>
          <w:sz w:val="25"/>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1" w:after="0"/>
        <w:ind w:left="500" w:right="434" w:firstLine="0"/>
        <w:jc w:val="both"/>
        <w:rPr>
          <w:sz w:val="25"/>
        </w:rPr>
      </w:pPr>
      <w:r>
        <w:rPr>
          <w:sz w:val="25"/>
        </w:rPr>
        <w:t>In </w:t>
      </w:r>
      <w:r>
        <w:rPr>
          <w:b/>
          <w:sz w:val="25"/>
        </w:rPr>
        <w:t>Vemareddi Ramaraghava Reddy </w:t>
      </w:r>
      <w:r>
        <w:rPr>
          <w:sz w:val="25"/>
        </w:rPr>
        <w:t>v </w:t>
      </w:r>
      <w:r>
        <w:rPr>
          <w:b/>
          <w:sz w:val="25"/>
        </w:rPr>
        <w:t>Konduru Seshu Reddy</w:t>
      </w:r>
      <w:r>
        <w:rPr>
          <w:sz w:val="25"/>
          <w:vertAlign w:val="superscript"/>
        </w:rPr>
        <w:t>222</w:t>
      </w:r>
      <w:r>
        <w:rPr>
          <w:sz w:val="25"/>
          <w:vertAlign w:val="baseline"/>
        </w:rPr>
        <w:t>, the plaintiffs accused the defendants, who were the managers of the temple and its properties, of mismanagement. Subsequently, a compromise decree was executed between the defendants and the Hindu Religious Endowments Board which </w:t>
      </w:r>
      <w:r>
        <w:rPr>
          <w:i/>
          <w:sz w:val="25"/>
          <w:vertAlign w:val="baseline"/>
        </w:rPr>
        <w:t>inter alia </w:t>
      </w:r>
      <w:r>
        <w:rPr>
          <w:sz w:val="25"/>
          <w:vertAlign w:val="baseline"/>
        </w:rPr>
        <w:t>declared the temple properties as the personal property of the defendants. The plaintiffs sought a declaration under Section 42 of the Specific Relief Act 1963 that the provision of the compromise decree stating that the temple properties were the absolute personal properties of the defendant was not binding on the temple. The defendants resisted this contention on the ground that the plaintiffs had no legal interest in the temple or temple property and were mere worshippers whose suit could not bind the temple. Justice V Ramaswami, speaking for a two judge Bench of this Court</w:t>
      </w:r>
      <w:r>
        <w:rPr>
          <w:spacing w:val="-3"/>
          <w:sz w:val="25"/>
          <w:vertAlign w:val="baseline"/>
        </w:rPr>
        <w:t> </w:t>
      </w:r>
      <w:r>
        <w:rPr>
          <w:sz w:val="25"/>
          <w:vertAlign w:val="baseline"/>
        </w:rPr>
        <w:t>held:</w:t>
      </w:r>
    </w:p>
    <w:p>
      <w:pPr>
        <w:spacing w:line="276" w:lineRule="auto" w:before="162"/>
        <w:ind w:left="1918" w:right="2261" w:firstLine="0"/>
        <w:jc w:val="both"/>
        <w:rPr>
          <w:sz w:val="21"/>
        </w:rPr>
      </w:pPr>
      <w:r>
        <w:rPr>
          <w:spacing w:val="-1"/>
          <w:w w:val="33"/>
          <w:sz w:val="21"/>
        </w:rPr>
        <w:t>―</w:t>
      </w:r>
      <w:r>
        <w:rPr>
          <w:spacing w:val="-1"/>
          <w:w w:val="100"/>
          <w:sz w:val="21"/>
        </w:rPr>
        <w:t>13</w:t>
      </w:r>
      <w:r>
        <w:rPr>
          <w:w w:val="100"/>
          <w:sz w:val="21"/>
        </w:rPr>
        <w:t>.</w:t>
      </w:r>
      <w:r>
        <w:rPr>
          <w:spacing w:val="10"/>
          <w:sz w:val="21"/>
        </w:rPr>
        <w:t> </w:t>
      </w:r>
      <w:r>
        <w:rPr>
          <w:w w:val="100"/>
          <w:sz w:val="21"/>
        </w:rPr>
        <w:t>…</w:t>
      </w:r>
      <w:r>
        <w:rPr>
          <w:spacing w:val="8"/>
          <w:sz w:val="21"/>
        </w:rPr>
        <w:t> </w:t>
      </w:r>
      <w:r>
        <w:rPr>
          <w:w w:val="100"/>
          <w:sz w:val="21"/>
        </w:rPr>
        <w:t>As</w:t>
      </w:r>
      <w:r>
        <w:rPr>
          <w:spacing w:val="11"/>
          <w:sz w:val="21"/>
        </w:rPr>
        <w:t> </w:t>
      </w:r>
      <w:r>
        <w:rPr>
          <w:w w:val="100"/>
          <w:sz w:val="21"/>
        </w:rPr>
        <w:t>a</w:t>
      </w:r>
      <w:r>
        <w:rPr>
          <w:spacing w:val="8"/>
          <w:sz w:val="21"/>
        </w:rPr>
        <w:t> </w:t>
      </w:r>
      <w:r>
        <w:rPr>
          <w:spacing w:val="-1"/>
          <w:w w:val="100"/>
          <w:sz w:val="21"/>
        </w:rPr>
        <w:t>mat</w:t>
      </w:r>
      <w:r>
        <w:rPr>
          <w:spacing w:val="-2"/>
          <w:w w:val="100"/>
          <w:sz w:val="21"/>
        </w:rPr>
        <w:t>t</w:t>
      </w:r>
      <w:r>
        <w:rPr>
          <w:spacing w:val="-1"/>
          <w:w w:val="100"/>
          <w:sz w:val="21"/>
        </w:rPr>
        <w:t>e</w:t>
      </w:r>
      <w:r>
        <w:rPr>
          <w:w w:val="100"/>
          <w:sz w:val="21"/>
        </w:rPr>
        <w:t>r</w:t>
      </w:r>
      <w:r>
        <w:rPr>
          <w:spacing w:val="10"/>
          <w:sz w:val="21"/>
        </w:rPr>
        <w:t> </w:t>
      </w:r>
      <w:r>
        <w:rPr>
          <w:spacing w:val="-1"/>
          <w:w w:val="100"/>
          <w:sz w:val="21"/>
        </w:rPr>
        <w:t>o</w:t>
      </w:r>
      <w:r>
        <w:rPr>
          <w:w w:val="100"/>
          <w:sz w:val="21"/>
        </w:rPr>
        <w:t>f</w:t>
      </w:r>
      <w:r>
        <w:rPr>
          <w:spacing w:val="9"/>
          <w:sz w:val="21"/>
        </w:rPr>
        <w:t> </w:t>
      </w:r>
      <w:r>
        <w:rPr>
          <w:w w:val="100"/>
          <w:sz w:val="21"/>
        </w:rPr>
        <w:t>l</w:t>
      </w:r>
      <w:r>
        <w:rPr>
          <w:spacing w:val="-1"/>
          <w:w w:val="100"/>
          <w:sz w:val="21"/>
        </w:rPr>
        <w:t>a</w:t>
      </w:r>
      <w:r>
        <w:rPr>
          <w:w w:val="100"/>
          <w:sz w:val="21"/>
        </w:rPr>
        <w:t>w</w:t>
      </w:r>
      <w:r>
        <w:rPr>
          <w:spacing w:val="7"/>
          <w:sz w:val="21"/>
        </w:rPr>
        <w:t> </w:t>
      </w:r>
      <w:r>
        <w:rPr>
          <w:spacing w:val="-2"/>
          <w:w w:val="100"/>
          <w:sz w:val="21"/>
        </w:rPr>
        <w:t>t</w:t>
      </w:r>
      <w:r>
        <w:rPr>
          <w:spacing w:val="-1"/>
          <w:w w:val="100"/>
          <w:sz w:val="21"/>
        </w:rPr>
        <w:t>h</w:t>
      </w:r>
      <w:r>
        <w:rPr>
          <w:w w:val="100"/>
          <w:sz w:val="21"/>
        </w:rPr>
        <w:t>e</w:t>
      </w:r>
      <w:r>
        <w:rPr>
          <w:spacing w:val="11"/>
          <w:sz w:val="21"/>
        </w:rPr>
        <w:t> </w:t>
      </w:r>
      <w:r>
        <w:rPr>
          <w:spacing w:val="-1"/>
          <w:w w:val="100"/>
          <w:sz w:val="21"/>
        </w:rPr>
        <w:t>o</w:t>
      </w:r>
      <w:r>
        <w:rPr>
          <w:spacing w:val="-3"/>
          <w:w w:val="100"/>
          <w:sz w:val="21"/>
        </w:rPr>
        <w:t>n</w:t>
      </w:r>
      <w:r>
        <w:rPr>
          <w:w w:val="100"/>
          <w:sz w:val="21"/>
        </w:rPr>
        <w:t>ly</w:t>
      </w:r>
      <w:r>
        <w:rPr>
          <w:spacing w:val="8"/>
          <w:sz w:val="21"/>
        </w:rPr>
        <w:t> </w:t>
      </w:r>
      <w:r>
        <w:rPr>
          <w:spacing w:val="-1"/>
          <w:w w:val="100"/>
          <w:sz w:val="21"/>
        </w:rPr>
        <w:t>pers</w:t>
      </w:r>
      <w:r>
        <w:rPr>
          <w:spacing w:val="-3"/>
          <w:w w:val="100"/>
          <w:sz w:val="21"/>
        </w:rPr>
        <w:t>o</w:t>
      </w:r>
      <w:r>
        <w:rPr>
          <w:w w:val="100"/>
          <w:sz w:val="21"/>
        </w:rPr>
        <w:t>n</w:t>
      </w:r>
      <w:r>
        <w:rPr>
          <w:spacing w:val="11"/>
          <w:sz w:val="21"/>
        </w:rPr>
        <w:t> </w:t>
      </w:r>
      <w:r>
        <w:rPr>
          <w:spacing w:val="-2"/>
          <w:w w:val="100"/>
          <w:sz w:val="21"/>
        </w:rPr>
        <w:t>w</w:t>
      </w:r>
      <w:r>
        <w:rPr>
          <w:spacing w:val="-1"/>
          <w:w w:val="100"/>
          <w:sz w:val="21"/>
        </w:rPr>
        <w:t>h</w:t>
      </w:r>
      <w:r>
        <w:rPr>
          <w:w w:val="100"/>
          <w:sz w:val="21"/>
        </w:rPr>
        <w:t>o</w:t>
      </w:r>
      <w:r>
        <w:rPr>
          <w:spacing w:val="11"/>
          <w:sz w:val="21"/>
        </w:rPr>
        <w:t> </w:t>
      </w:r>
      <w:r>
        <w:rPr>
          <w:spacing w:val="-3"/>
          <w:w w:val="100"/>
          <w:sz w:val="21"/>
        </w:rPr>
        <w:t>c</w:t>
      </w:r>
      <w:r>
        <w:rPr>
          <w:spacing w:val="-1"/>
          <w:w w:val="100"/>
          <w:sz w:val="21"/>
        </w:rPr>
        <w:t>a</w:t>
      </w:r>
      <w:r>
        <w:rPr>
          <w:w w:val="100"/>
          <w:sz w:val="21"/>
        </w:rPr>
        <w:t>n</w:t>
      </w:r>
      <w:r>
        <w:rPr>
          <w:spacing w:val="9"/>
          <w:sz w:val="21"/>
        </w:rPr>
        <w:t> </w:t>
      </w:r>
      <w:r>
        <w:rPr>
          <w:spacing w:val="-1"/>
          <w:w w:val="100"/>
          <w:sz w:val="21"/>
        </w:rPr>
        <w:t>repres</w:t>
      </w:r>
      <w:r>
        <w:rPr>
          <w:spacing w:val="-3"/>
          <w:w w:val="100"/>
          <w:sz w:val="21"/>
        </w:rPr>
        <w:t>e</w:t>
      </w:r>
      <w:r>
        <w:rPr>
          <w:spacing w:val="-1"/>
          <w:w w:val="100"/>
          <w:sz w:val="21"/>
        </w:rPr>
        <w:t>nt </w:t>
      </w:r>
      <w:r>
        <w:rPr>
          <w:sz w:val="21"/>
        </w:rPr>
        <w:t>the deity or who can bring a suit on behalf of the deity is the Shebait, and although a deity is a judicial person capable of holding property, it is only in an ideal sense that the property is so held. </w:t>
      </w:r>
      <w:r>
        <w:rPr>
          <w:b/>
          <w:sz w:val="21"/>
        </w:rPr>
        <w:t>The possession and management of </w:t>
      </w:r>
      <w:r>
        <w:rPr>
          <w:b/>
          <w:spacing w:val="-2"/>
          <w:sz w:val="21"/>
        </w:rPr>
        <w:t>the </w:t>
      </w:r>
      <w:r>
        <w:rPr>
          <w:b/>
          <w:sz w:val="21"/>
        </w:rPr>
        <w:t>property with the right to sue in respect thereof are, in </w:t>
      </w:r>
      <w:r>
        <w:rPr>
          <w:b/>
          <w:spacing w:val="-2"/>
          <w:sz w:val="21"/>
        </w:rPr>
        <w:t>the </w:t>
      </w:r>
      <w:r>
        <w:rPr>
          <w:b/>
          <w:sz w:val="21"/>
        </w:rPr>
        <w:t>normal course, vested in the Shebait but where, however, the Shebait is negligent or where the Shebait himself is the guilty party against whom the deity needs relief it is open to the worshippers or other persons interested in the religious endowment to file suits for the protection of the trust properties. </w:t>
      </w:r>
      <w:r>
        <w:rPr>
          <w:sz w:val="21"/>
        </w:rPr>
        <w:t>It is open, in such a case, to the deity to file a suit through some person as next friend for recovery of possession of the property improperly alienated or for other relief. </w:t>
      </w:r>
      <w:r>
        <w:rPr>
          <w:b/>
          <w:sz w:val="21"/>
        </w:rPr>
        <w:t>Such a next friend may be a person who is worshipper a of the deity or as a prospective Shebait is legally interested in the endowment</w:t>
      </w:r>
      <w:r>
        <w:rPr>
          <w:sz w:val="21"/>
        </w:rPr>
        <w:t>. In a case where the Shebait has denied the right of the deity to the dedicated properties, it is obviously desirable that the deity should file the suit through a disinterested next friend, nominated by the court…‖</w:t>
      </w:r>
    </w:p>
    <w:p>
      <w:pPr>
        <w:spacing w:before="1"/>
        <w:ind w:left="5798" w:right="0" w:firstLine="0"/>
        <w:jc w:val="left"/>
        <w:rPr>
          <w:sz w:val="21"/>
        </w:rPr>
      </w:pPr>
      <w:r>
        <w:rPr>
          <w:sz w:val="21"/>
        </w:rPr>
        <w:t>(Emphasis supplied)</w:t>
      </w:r>
    </w:p>
    <w:p>
      <w:pPr>
        <w:pStyle w:val="BodyText"/>
        <w:rPr>
          <w:sz w:val="20"/>
        </w:rPr>
      </w:pPr>
    </w:p>
    <w:p>
      <w:pPr>
        <w:pStyle w:val="BodyText"/>
        <w:spacing w:before="3"/>
        <w:rPr>
          <w:sz w:val="20"/>
        </w:rPr>
      </w:pPr>
      <w:r>
        <w:rPr/>
        <w:pict>
          <v:rect style="position:absolute;margin-left:72.024002pt;margin-top:13.648231pt;width:144.020pt;height:.599980pt;mso-position-horizontal-relative:page;mso-position-vertical-relative:paragraph;z-index:-1566822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222</w:t>
      </w:r>
      <w:r>
        <w:rPr>
          <w:sz w:val="18"/>
          <w:vertAlign w:val="baseline"/>
        </w:rPr>
        <w:t> 1966 Supp SCR 270</w:t>
      </w:r>
    </w:p>
    <w:p>
      <w:pPr>
        <w:spacing w:after="0"/>
        <w:jc w:val="left"/>
        <w:rPr>
          <w:sz w:val="18"/>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40" w:firstLine="0"/>
        <w:jc w:val="both"/>
        <w:rPr>
          <w:sz w:val="25"/>
        </w:rPr>
      </w:pPr>
      <w:r>
        <w:rPr>
          <w:sz w:val="25"/>
        </w:rPr>
        <w:t>A necessary adjunct of managing of the temple properties is the right to sue for recovery of the said properties. Ordinarily a shebait alone will be entitled to bring a suit on behalf of the idol. In addition to being convenient and providing immediate recourse for the idol, it also provides a valuable check against strangers instituting suits, the outcomes of which may adversely impact the idol without the knowledge of the idol or the shebait. But there may be cases where the conduct of a shebait is in question. In certain cases, where the shebait itself is negligent or sets up a claim hostile to the idol, it is open for a worshipper or a next friend interested in protecting the properties of the idol to file a suit to remedy the situation. In the above case, by entering into the compromise decree declaring the temple properties as personal properties of the defendant shebaits, the defendants set up a title contrary to the title of the idol itself. This Court held that it was hence permissible for the plaintiffs, who were worshippers, to maintain a suit invalidating the compromise</w:t>
      </w:r>
      <w:r>
        <w:rPr>
          <w:spacing w:val="-2"/>
          <w:sz w:val="25"/>
        </w:rPr>
        <w:t> </w:t>
      </w:r>
      <w:r>
        <w:rPr>
          <w:sz w:val="25"/>
        </w:rPr>
        <w:t>decree.</w:t>
      </w:r>
    </w:p>
    <w:p>
      <w:pPr>
        <w:pStyle w:val="BodyText"/>
        <w:spacing w:before="8"/>
        <w:rPr>
          <w:sz w:val="38"/>
        </w:rPr>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However, in </w:t>
      </w:r>
      <w:r>
        <w:rPr>
          <w:b/>
          <w:sz w:val="25"/>
        </w:rPr>
        <w:t>Vemareddi Reddy</w:t>
      </w:r>
      <w:r>
        <w:rPr>
          <w:sz w:val="25"/>
        </w:rPr>
        <w:t>, the suit was not instituted on </w:t>
      </w:r>
      <w:r>
        <w:rPr>
          <w:i/>
          <w:sz w:val="25"/>
        </w:rPr>
        <w:t>behalf of </w:t>
      </w:r>
      <w:r>
        <w:rPr>
          <w:sz w:val="25"/>
        </w:rPr>
        <w:t>the deity. The suit was instituted in a </w:t>
      </w:r>
      <w:r>
        <w:rPr>
          <w:i/>
          <w:sz w:val="25"/>
        </w:rPr>
        <w:t>personal capacity </w:t>
      </w:r>
      <w:r>
        <w:rPr>
          <w:sz w:val="25"/>
        </w:rPr>
        <w:t>by the worshipper seeking a declaration that the property in question was debutter property. In this context, the court</w:t>
      </w:r>
      <w:r>
        <w:rPr>
          <w:spacing w:val="-2"/>
          <w:sz w:val="25"/>
        </w:rPr>
        <w:t> </w:t>
      </w:r>
      <w:r>
        <w:rPr>
          <w:sz w:val="25"/>
        </w:rPr>
        <w:t>held:</w:t>
      </w:r>
    </w:p>
    <w:p>
      <w:pPr>
        <w:spacing w:line="276" w:lineRule="auto" w:before="162"/>
        <w:ind w:left="1918" w:right="2261" w:firstLine="0"/>
        <w:jc w:val="both"/>
        <w:rPr>
          <w:b/>
          <w:sz w:val="21"/>
        </w:rPr>
      </w:pPr>
      <w:r>
        <w:rPr>
          <w:spacing w:val="-1"/>
          <w:w w:val="33"/>
          <w:sz w:val="21"/>
        </w:rPr>
        <w:t>―</w:t>
      </w:r>
      <w:r>
        <w:rPr>
          <w:spacing w:val="-1"/>
          <w:w w:val="100"/>
          <w:sz w:val="21"/>
        </w:rPr>
        <w:t>11</w:t>
      </w:r>
      <w:r>
        <w:rPr>
          <w:w w:val="100"/>
          <w:sz w:val="21"/>
        </w:rPr>
        <w:t>.</w:t>
      </w:r>
      <w:r>
        <w:rPr>
          <w:spacing w:val="24"/>
          <w:sz w:val="21"/>
        </w:rPr>
        <w:t> </w:t>
      </w:r>
      <w:r>
        <w:rPr>
          <w:w w:val="100"/>
          <w:sz w:val="21"/>
        </w:rPr>
        <w:t>…</w:t>
      </w:r>
      <w:r>
        <w:rPr>
          <w:spacing w:val="25"/>
          <w:sz w:val="21"/>
        </w:rPr>
        <w:t> </w:t>
      </w:r>
      <w:r>
        <w:rPr>
          <w:spacing w:val="-4"/>
          <w:w w:val="100"/>
          <w:sz w:val="21"/>
        </w:rPr>
        <w:t>I</w:t>
      </w:r>
      <w:r>
        <w:rPr>
          <w:w w:val="100"/>
          <w:sz w:val="21"/>
        </w:rPr>
        <w:t>f</w:t>
      </w:r>
      <w:r>
        <w:rPr>
          <w:spacing w:val="26"/>
          <w:sz w:val="21"/>
        </w:rPr>
        <w:t> </w:t>
      </w:r>
      <w:r>
        <w:rPr>
          <w:w w:val="100"/>
          <w:sz w:val="21"/>
        </w:rPr>
        <w:t>a</w:t>
      </w:r>
      <w:r>
        <w:rPr>
          <w:spacing w:val="23"/>
          <w:sz w:val="21"/>
        </w:rPr>
        <w:t> </w:t>
      </w:r>
      <w:r>
        <w:rPr>
          <w:w w:val="100"/>
          <w:sz w:val="21"/>
        </w:rPr>
        <w:t>s</w:t>
      </w:r>
      <w:r>
        <w:rPr>
          <w:spacing w:val="-3"/>
          <w:w w:val="100"/>
          <w:sz w:val="21"/>
        </w:rPr>
        <w:t>h</w:t>
      </w:r>
      <w:r>
        <w:rPr>
          <w:spacing w:val="-1"/>
          <w:w w:val="100"/>
          <w:sz w:val="21"/>
        </w:rPr>
        <w:t>eb</w:t>
      </w:r>
      <w:r>
        <w:rPr>
          <w:spacing w:val="-2"/>
          <w:w w:val="100"/>
          <w:sz w:val="21"/>
        </w:rPr>
        <w:t>a</w:t>
      </w:r>
      <w:r>
        <w:rPr>
          <w:w w:val="100"/>
          <w:sz w:val="21"/>
        </w:rPr>
        <w:t>it</w:t>
      </w:r>
      <w:r>
        <w:rPr>
          <w:spacing w:val="26"/>
          <w:sz w:val="21"/>
        </w:rPr>
        <w:t> </w:t>
      </w:r>
      <w:r>
        <w:rPr>
          <w:w w:val="100"/>
          <w:sz w:val="21"/>
        </w:rPr>
        <w:t>h</w:t>
      </w:r>
      <w:r>
        <w:rPr>
          <w:spacing w:val="-3"/>
          <w:w w:val="100"/>
          <w:sz w:val="21"/>
        </w:rPr>
        <w:t>a</w:t>
      </w:r>
      <w:r>
        <w:rPr>
          <w:w w:val="100"/>
          <w:sz w:val="21"/>
        </w:rPr>
        <w:t>s</w:t>
      </w:r>
      <w:r>
        <w:rPr>
          <w:spacing w:val="22"/>
          <w:sz w:val="21"/>
        </w:rPr>
        <w:t> </w:t>
      </w:r>
      <w:r>
        <w:rPr>
          <w:spacing w:val="-2"/>
          <w:w w:val="100"/>
          <w:sz w:val="21"/>
        </w:rPr>
        <w:t>i</w:t>
      </w:r>
      <w:r>
        <w:rPr>
          <w:spacing w:val="1"/>
          <w:w w:val="100"/>
          <w:sz w:val="21"/>
        </w:rPr>
        <w:t>m</w:t>
      </w:r>
      <w:r>
        <w:rPr>
          <w:w w:val="100"/>
          <w:sz w:val="21"/>
        </w:rPr>
        <w:t>p</w:t>
      </w:r>
      <w:r>
        <w:rPr>
          <w:spacing w:val="-3"/>
          <w:w w:val="100"/>
          <w:sz w:val="21"/>
        </w:rPr>
        <w:t>r</w:t>
      </w:r>
      <w:r>
        <w:rPr>
          <w:w w:val="100"/>
          <w:sz w:val="21"/>
        </w:rPr>
        <w:t>ope</w:t>
      </w:r>
      <w:r>
        <w:rPr>
          <w:spacing w:val="-3"/>
          <w:w w:val="100"/>
          <w:sz w:val="21"/>
        </w:rPr>
        <w:t>r</w:t>
      </w:r>
      <w:r>
        <w:rPr>
          <w:w w:val="100"/>
          <w:sz w:val="21"/>
        </w:rPr>
        <w:t>l</w:t>
      </w:r>
      <w:r>
        <w:rPr>
          <w:w w:val="100"/>
          <w:sz w:val="21"/>
        </w:rPr>
        <w:t>y</w:t>
      </w:r>
      <w:r>
        <w:rPr>
          <w:spacing w:val="23"/>
          <w:sz w:val="21"/>
        </w:rPr>
        <w:t> </w:t>
      </w:r>
      <w:r>
        <w:rPr>
          <w:w w:val="100"/>
          <w:sz w:val="21"/>
        </w:rPr>
        <w:t>a</w:t>
      </w:r>
      <w:r>
        <w:rPr>
          <w:spacing w:val="-2"/>
          <w:w w:val="100"/>
          <w:sz w:val="21"/>
        </w:rPr>
        <w:t>l</w:t>
      </w:r>
      <w:r>
        <w:rPr>
          <w:w w:val="100"/>
          <w:sz w:val="21"/>
        </w:rPr>
        <w:t>i</w:t>
      </w:r>
      <w:r>
        <w:rPr>
          <w:w w:val="100"/>
          <w:sz w:val="21"/>
        </w:rPr>
        <w:t>e</w:t>
      </w:r>
      <w:r>
        <w:rPr>
          <w:spacing w:val="-3"/>
          <w:w w:val="100"/>
          <w:sz w:val="21"/>
        </w:rPr>
        <w:t>n</w:t>
      </w:r>
      <w:r>
        <w:rPr>
          <w:w w:val="100"/>
          <w:sz w:val="21"/>
        </w:rPr>
        <w:t>a</w:t>
      </w:r>
      <w:r>
        <w:rPr>
          <w:spacing w:val="-1"/>
          <w:w w:val="100"/>
          <w:sz w:val="21"/>
        </w:rPr>
        <w:t>t</w:t>
      </w:r>
      <w:r>
        <w:rPr>
          <w:w w:val="100"/>
          <w:sz w:val="21"/>
        </w:rPr>
        <w:t>ed</w:t>
      </w:r>
      <w:r>
        <w:rPr>
          <w:spacing w:val="25"/>
          <w:sz w:val="21"/>
        </w:rPr>
        <w:t> </w:t>
      </w:r>
      <w:r>
        <w:rPr>
          <w:spacing w:val="-2"/>
          <w:w w:val="100"/>
          <w:sz w:val="21"/>
        </w:rPr>
        <w:t>t</w:t>
      </w:r>
      <w:r>
        <w:rPr>
          <w:spacing w:val="-1"/>
          <w:w w:val="100"/>
          <w:sz w:val="21"/>
        </w:rPr>
        <w:t>r</w:t>
      </w:r>
      <w:r>
        <w:rPr>
          <w:spacing w:val="-3"/>
          <w:w w:val="100"/>
          <w:sz w:val="21"/>
        </w:rPr>
        <w:t>u</w:t>
      </w:r>
      <w:r>
        <w:rPr>
          <w:w w:val="100"/>
          <w:sz w:val="21"/>
        </w:rPr>
        <w:t>st</w:t>
      </w:r>
      <w:r>
        <w:rPr>
          <w:spacing w:val="24"/>
          <w:sz w:val="21"/>
        </w:rPr>
        <w:t> </w:t>
      </w:r>
      <w:r>
        <w:rPr>
          <w:w w:val="100"/>
          <w:sz w:val="21"/>
        </w:rPr>
        <w:t>prope</w:t>
      </w:r>
      <w:r>
        <w:rPr>
          <w:spacing w:val="-1"/>
          <w:w w:val="100"/>
          <w:sz w:val="21"/>
        </w:rPr>
        <w:t>r</w:t>
      </w:r>
      <w:r>
        <w:rPr>
          <w:spacing w:val="-2"/>
          <w:w w:val="100"/>
          <w:sz w:val="21"/>
        </w:rPr>
        <w:t>t</w:t>
      </w:r>
      <w:r>
        <w:rPr>
          <w:w w:val="100"/>
          <w:sz w:val="21"/>
        </w:rPr>
        <w:t>y</w:t>
      </w:r>
      <w:r>
        <w:rPr>
          <w:spacing w:val="23"/>
          <w:sz w:val="21"/>
        </w:rPr>
        <w:t> </w:t>
      </w:r>
      <w:r>
        <w:rPr>
          <w:w w:val="100"/>
          <w:sz w:val="21"/>
        </w:rPr>
        <w:t>a </w:t>
      </w:r>
      <w:r>
        <w:rPr>
          <w:sz w:val="21"/>
        </w:rPr>
        <w:t>suit can be brought by any person interested for a declaration that such alienation is not binding upon the deity but no decree for recovery of possession can be made in such a suit unless the plaintiff in the suit has the present right to the possession. Worshippers of a temple are in the position of </w:t>
      </w:r>
      <w:r>
        <w:rPr>
          <w:i/>
          <w:sz w:val="21"/>
        </w:rPr>
        <w:t>cestuui que trustent </w:t>
      </w:r>
      <w:r>
        <w:rPr>
          <w:sz w:val="21"/>
        </w:rPr>
        <w:t>or beneficiaries in a spiritual sense. … </w:t>
      </w:r>
      <w:r>
        <w:rPr>
          <w:b/>
          <w:sz w:val="21"/>
        </w:rPr>
        <w:t>Since worshippers do not exercise the deity‘s power of suing to protect its own interests, they are not entitled to recover possession of the</w:t>
      </w:r>
      <w:r>
        <w:rPr>
          <w:b/>
          <w:spacing w:val="-30"/>
          <w:sz w:val="21"/>
        </w:rPr>
        <w:t> </w:t>
      </w:r>
      <w:r>
        <w:rPr>
          <w:b/>
          <w:sz w:val="21"/>
        </w:rPr>
        <w:t>property improperly alienated</w:t>
      </w:r>
    </w:p>
    <w:p>
      <w:pPr>
        <w:spacing w:after="0" w:line="276" w:lineRule="auto"/>
        <w:jc w:val="both"/>
        <w:rPr>
          <w:sz w:val="21"/>
        </w:rPr>
        <w:sectPr>
          <w:pgSz w:w="11910" w:h="16840"/>
          <w:pgMar w:header="721" w:footer="1014" w:top="1300" w:bottom="1200" w:left="940" w:right="1000"/>
        </w:sectPr>
      </w:pPr>
    </w:p>
    <w:p>
      <w:pPr>
        <w:spacing w:line="276" w:lineRule="auto" w:before="122"/>
        <w:ind w:left="1918" w:right="2260" w:firstLine="0"/>
        <w:jc w:val="both"/>
        <w:rPr>
          <w:sz w:val="21"/>
        </w:rPr>
      </w:pPr>
      <w:r>
        <w:rPr>
          <w:b/>
          <w:sz w:val="21"/>
        </w:rPr>
        <w:t>by the Shebait, but they can be granted a declaratory decree that the alienation is not binding on the deity</w:t>
      </w:r>
      <w:r>
        <w:rPr>
          <w:sz w:val="21"/>
        </w:rPr>
        <w:t>…‖</w:t>
      </w:r>
    </w:p>
    <w:p>
      <w:pPr>
        <w:spacing w:line="241" w:lineRule="exact" w:before="0"/>
        <w:ind w:left="5798" w:right="0" w:firstLine="0"/>
        <w:jc w:val="left"/>
        <w:rPr>
          <w:sz w:val="21"/>
        </w:rPr>
      </w:pPr>
      <w:r>
        <w:rPr>
          <w:sz w:val="21"/>
        </w:rPr>
        <w:t>(Emphasis supplied)</w:t>
      </w:r>
    </w:p>
    <w:p>
      <w:pPr>
        <w:pStyle w:val="BodyText"/>
        <w:spacing w:before="6"/>
        <w:rPr>
          <w:sz w:val="27"/>
        </w:rPr>
      </w:pPr>
    </w:p>
    <w:p>
      <w:pPr>
        <w:pStyle w:val="BodyText"/>
        <w:spacing w:line="480" w:lineRule="auto"/>
        <w:ind w:left="500" w:right="439"/>
        <w:jc w:val="both"/>
      </w:pPr>
      <w:r>
        <w:rPr/>
        <w:t>The significance of the distinction between suing </w:t>
      </w:r>
      <w:r>
        <w:rPr>
          <w:i/>
        </w:rPr>
        <w:t>on behalf of </w:t>
      </w:r>
      <w:r>
        <w:rPr/>
        <w:t>the deity and the institution of a suit in a personal capacity </w:t>
      </w:r>
      <w:r>
        <w:rPr>
          <w:i/>
        </w:rPr>
        <w:t>for the benefit </w:t>
      </w:r>
      <w:r>
        <w:rPr/>
        <w:t>of the deity will be adverted to shortly.</w:t>
      </w:r>
    </w:p>
    <w:p>
      <w:pPr>
        <w:pStyle w:val="BodyText"/>
        <w:rPr>
          <w:sz w:val="28"/>
        </w:rPr>
      </w:pPr>
    </w:p>
    <w:p>
      <w:pPr>
        <w:pStyle w:val="ListParagraph"/>
        <w:numPr>
          <w:ilvl w:val="0"/>
          <w:numId w:val="111"/>
        </w:numPr>
        <w:tabs>
          <w:tab w:pos="1221" w:val="left" w:leader="none"/>
        </w:tabs>
        <w:spacing w:line="480" w:lineRule="auto" w:before="251" w:after="0"/>
        <w:ind w:left="500" w:right="436" w:firstLine="0"/>
        <w:jc w:val="both"/>
        <w:rPr>
          <w:sz w:val="25"/>
        </w:rPr>
      </w:pPr>
      <w:r>
        <w:rPr>
          <w:sz w:val="25"/>
        </w:rPr>
        <w:t>In </w:t>
      </w:r>
      <w:r>
        <w:rPr>
          <w:b/>
          <w:sz w:val="25"/>
        </w:rPr>
        <w:t>Bishwanath </w:t>
      </w:r>
      <w:r>
        <w:rPr>
          <w:sz w:val="25"/>
        </w:rPr>
        <w:t>v </w:t>
      </w:r>
      <w:r>
        <w:rPr>
          <w:b/>
          <w:sz w:val="25"/>
        </w:rPr>
        <w:t>Sri Thakur Radha Ballabhji</w:t>
      </w:r>
      <w:r>
        <w:rPr>
          <w:sz w:val="25"/>
          <w:vertAlign w:val="superscript"/>
        </w:rPr>
        <w:t>223</w:t>
      </w:r>
      <w:r>
        <w:rPr>
          <w:sz w:val="25"/>
          <w:vertAlign w:val="baseline"/>
        </w:rPr>
        <w:t> a next friend of the idol challenged the alienation of its properties by the defendant shebait. One of the defences taken by the shebait was that the next friend was not capable of maintaining a suit on behalf of the deity. Justice Subba Rao, speaking for a three-judge Bench of this Court affirmed the principle that ordinarily a shebait possesses the exclusive right to sue on behalf of the</w:t>
      </w:r>
      <w:r>
        <w:rPr>
          <w:spacing w:val="-8"/>
          <w:sz w:val="25"/>
          <w:vertAlign w:val="baseline"/>
        </w:rPr>
        <w:t> </w:t>
      </w:r>
      <w:r>
        <w:rPr>
          <w:sz w:val="25"/>
          <w:vertAlign w:val="baseline"/>
        </w:rPr>
        <w:t>idol:</w:t>
      </w:r>
    </w:p>
    <w:p>
      <w:pPr>
        <w:spacing w:line="276" w:lineRule="auto" w:before="161"/>
        <w:ind w:left="1918" w:right="2261" w:firstLine="0"/>
        <w:jc w:val="both"/>
        <w:rPr>
          <w:sz w:val="21"/>
        </w:rPr>
      </w:pPr>
      <w:r>
        <w:rPr>
          <w:spacing w:val="-1"/>
          <w:w w:val="33"/>
          <w:sz w:val="21"/>
        </w:rPr>
        <w:t>―</w:t>
      </w:r>
      <w:r>
        <w:rPr>
          <w:spacing w:val="-1"/>
          <w:w w:val="100"/>
          <w:sz w:val="21"/>
        </w:rPr>
        <w:t>9</w:t>
      </w:r>
      <w:r>
        <w:rPr>
          <w:w w:val="100"/>
          <w:sz w:val="21"/>
        </w:rPr>
        <w:t>.</w:t>
      </w:r>
      <w:r>
        <w:rPr>
          <w:sz w:val="21"/>
        </w:rPr>
        <w:t> </w:t>
      </w:r>
      <w:r>
        <w:rPr>
          <w:spacing w:val="-5"/>
          <w:sz w:val="21"/>
        </w:rPr>
        <w:t> </w:t>
      </w:r>
      <w:r>
        <w:rPr>
          <w:w w:val="100"/>
          <w:sz w:val="21"/>
        </w:rPr>
        <w:t>Th</w:t>
      </w:r>
      <w:r>
        <w:rPr>
          <w:spacing w:val="-1"/>
          <w:w w:val="100"/>
          <w:sz w:val="21"/>
        </w:rPr>
        <w:t>r</w:t>
      </w:r>
      <w:r>
        <w:rPr>
          <w:spacing w:val="-3"/>
          <w:w w:val="100"/>
          <w:sz w:val="21"/>
        </w:rPr>
        <w:t>e</w:t>
      </w:r>
      <w:r>
        <w:rPr>
          <w:w w:val="100"/>
          <w:sz w:val="21"/>
        </w:rPr>
        <w:t>e</w:t>
      </w:r>
      <w:r>
        <w:rPr>
          <w:sz w:val="21"/>
        </w:rPr>
        <w:t> </w:t>
      </w:r>
      <w:r>
        <w:rPr>
          <w:spacing w:val="-7"/>
          <w:sz w:val="21"/>
        </w:rPr>
        <w:t> </w:t>
      </w:r>
      <w:r>
        <w:rPr>
          <w:w w:val="100"/>
          <w:sz w:val="21"/>
        </w:rPr>
        <w:t>l</w:t>
      </w:r>
      <w:r>
        <w:rPr>
          <w:spacing w:val="-1"/>
          <w:w w:val="100"/>
          <w:sz w:val="21"/>
        </w:rPr>
        <w:t>e</w:t>
      </w:r>
      <w:r>
        <w:rPr>
          <w:spacing w:val="-3"/>
          <w:w w:val="100"/>
          <w:sz w:val="21"/>
        </w:rPr>
        <w:t>g</w:t>
      </w:r>
      <w:r>
        <w:rPr>
          <w:spacing w:val="-1"/>
          <w:w w:val="100"/>
          <w:sz w:val="21"/>
        </w:rPr>
        <w:t>a</w:t>
      </w:r>
      <w:r>
        <w:rPr>
          <w:w w:val="100"/>
          <w:sz w:val="21"/>
        </w:rPr>
        <w:t>l</w:t>
      </w:r>
      <w:r>
        <w:rPr>
          <w:sz w:val="21"/>
        </w:rPr>
        <w:t> </w:t>
      </w:r>
      <w:r>
        <w:rPr>
          <w:spacing w:val="-6"/>
          <w:sz w:val="21"/>
        </w:rPr>
        <w:t> </w:t>
      </w:r>
      <w:r>
        <w:rPr>
          <w:w w:val="100"/>
          <w:sz w:val="21"/>
        </w:rPr>
        <w:t>c</w:t>
      </w:r>
      <w:r>
        <w:rPr>
          <w:spacing w:val="-3"/>
          <w:w w:val="100"/>
          <w:sz w:val="21"/>
        </w:rPr>
        <w:t>o</w:t>
      </w:r>
      <w:r>
        <w:rPr>
          <w:spacing w:val="-1"/>
          <w:w w:val="100"/>
          <w:sz w:val="21"/>
        </w:rPr>
        <w:t>nc</w:t>
      </w:r>
      <w:r>
        <w:rPr>
          <w:spacing w:val="-3"/>
          <w:w w:val="100"/>
          <w:sz w:val="21"/>
        </w:rPr>
        <w:t>e</w:t>
      </w:r>
      <w:r>
        <w:rPr>
          <w:spacing w:val="-1"/>
          <w:w w:val="100"/>
          <w:sz w:val="21"/>
        </w:rPr>
        <w:t>pt</w:t>
      </w:r>
      <w:r>
        <w:rPr>
          <w:w w:val="100"/>
          <w:sz w:val="21"/>
        </w:rPr>
        <w:t>s</w:t>
      </w:r>
      <w:r>
        <w:rPr>
          <w:sz w:val="21"/>
        </w:rPr>
        <w:t> </w:t>
      </w:r>
      <w:r>
        <w:rPr>
          <w:spacing w:val="-5"/>
          <w:sz w:val="21"/>
        </w:rPr>
        <w:t> </w:t>
      </w:r>
      <w:r>
        <w:rPr>
          <w:spacing w:val="-1"/>
          <w:w w:val="100"/>
          <w:sz w:val="21"/>
        </w:rPr>
        <w:t>ar</w:t>
      </w:r>
      <w:r>
        <w:rPr>
          <w:w w:val="100"/>
          <w:sz w:val="21"/>
        </w:rPr>
        <w:t>e</w:t>
      </w:r>
      <w:r>
        <w:rPr>
          <w:sz w:val="21"/>
        </w:rPr>
        <w:t> </w:t>
      </w:r>
      <w:r>
        <w:rPr>
          <w:spacing w:val="-5"/>
          <w:sz w:val="21"/>
        </w:rPr>
        <w:t> </w:t>
      </w:r>
      <w:r>
        <w:rPr>
          <w:spacing w:val="-4"/>
          <w:w w:val="100"/>
          <w:sz w:val="21"/>
        </w:rPr>
        <w:t>w</w:t>
      </w:r>
      <w:r>
        <w:rPr>
          <w:spacing w:val="-1"/>
          <w:w w:val="100"/>
          <w:sz w:val="21"/>
        </w:rPr>
        <w:t>e</w:t>
      </w:r>
      <w:r>
        <w:rPr>
          <w:spacing w:val="-2"/>
          <w:w w:val="100"/>
          <w:sz w:val="21"/>
        </w:rPr>
        <w:t>l</w:t>
      </w:r>
      <w:r>
        <w:rPr>
          <w:w w:val="100"/>
          <w:sz w:val="21"/>
        </w:rPr>
        <w:t>l</w:t>
      </w:r>
      <w:r>
        <w:rPr>
          <w:sz w:val="21"/>
        </w:rPr>
        <w:t> </w:t>
      </w:r>
      <w:r>
        <w:rPr>
          <w:spacing w:val="-4"/>
          <w:sz w:val="21"/>
        </w:rPr>
        <w:t> </w:t>
      </w:r>
      <w:r>
        <w:rPr>
          <w:spacing w:val="-3"/>
          <w:w w:val="100"/>
          <w:sz w:val="21"/>
        </w:rPr>
        <w:t>s</w:t>
      </w:r>
      <w:r>
        <w:rPr>
          <w:spacing w:val="-1"/>
          <w:w w:val="100"/>
          <w:sz w:val="21"/>
        </w:rPr>
        <w:t>et</w:t>
      </w:r>
      <w:r>
        <w:rPr>
          <w:spacing w:val="-2"/>
          <w:w w:val="100"/>
          <w:sz w:val="21"/>
        </w:rPr>
        <w:t>t</w:t>
      </w:r>
      <w:r>
        <w:rPr>
          <w:w w:val="100"/>
          <w:sz w:val="21"/>
        </w:rPr>
        <w:t>l</w:t>
      </w:r>
      <w:r>
        <w:rPr>
          <w:spacing w:val="-1"/>
          <w:w w:val="100"/>
          <w:sz w:val="21"/>
        </w:rPr>
        <w:t>ed</w:t>
      </w:r>
      <w:r>
        <w:rPr>
          <w:w w:val="100"/>
          <w:sz w:val="21"/>
        </w:rPr>
        <w:t>:</w:t>
      </w:r>
      <w:r>
        <w:rPr>
          <w:sz w:val="21"/>
        </w:rPr>
        <w:t> </w:t>
      </w:r>
      <w:r>
        <w:rPr>
          <w:spacing w:val="-5"/>
          <w:sz w:val="21"/>
        </w:rPr>
        <w:t> </w:t>
      </w:r>
      <w:r>
        <w:rPr>
          <w:spacing w:val="-4"/>
          <w:w w:val="100"/>
          <w:sz w:val="21"/>
        </w:rPr>
        <w:t>(</w:t>
      </w:r>
      <w:r>
        <w:rPr>
          <w:spacing w:val="-1"/>
          <w:w w:val="100"/>
          <w:sz w:val="21"/>
        </w:rPr>
        <w:t>1</w:t>
      </w:r>
      <w:r>
        <w:rPr>
          <w:w w:val="100"/>
          <w:sz w:val="21"/>
        </w:rPr>
        <w:t>)</w:t>
      </w:r>
      <w:r>
        <w:rPr>
          <w:sz w:val="21"/>
        </w:rPr>
        <w:t> </w:t>
      </w:r>
      <w:r>
        <w:rPr>
          <w:spacing w:val="-5"/>
          <w:sz w:val="21"/>
        </w:rPr>
        <w:t> </w:t>
      </w:r>
      <w:r>
        <w:rPr>
          <w:spacing w:val="-2"/>
          <w:w w:val="100"/>
          <w:sz w:val="21"/>
        </w:rPr>
        <w:t>A</w:t>
      </w:r>
      <w:r>
        <w:rPr>
          <w:w w:val="100"/>
          <w:sz w:val="21"/>
        </w:rPr>
        <w:t>n</w:t>
      </w:r>
      <w:r>
        <w:rPr>
          <w:sz w:val="21"/>
        </w:rPr>
        <w:t> </w:t>
      </w:r>
      <w:r>
        <w:rPr>
          <w:spacing w:val="-7"/>
          <w:sz w:val="21"/>
        </w:rPr>
        <w:t> </w:t>
      </w:r>
      <w:r>
        <w:rPr>
          <w:w w:val="100"/>
          <w:sz w:val="21"/>
        </w:rPr>
        <w:t>i</w:t>
      </w:r>
      <w:r>
        <w:rPr>
          <w:spacing w:val="-3"/>
          <w:w w:val="100"/>
          <w:sz w:val="21"/>
        </w:rPr>
        <w:t>d</w:t>
      </w:r>
      <w:r>
        <w:rPr>
          <w:spacing w:val="-1"/>
          <w:w w:val="100"/>
          <w:sz w:val="21"/>
        </w:rPr>
        <w:t>o</w:t>
      </w:r>
      <w:r>
        <w:rPr>
          <w:w w:val="100"/>
          <w:sz w:val="21"/>
        </w:rPr>
        <w:t>l</w:t>
      </w:r>
      <w:r>
        <w:rPr>
          <w:sz w:val="21"/>
        </w:rPr>
        <w:t> </w:t>
      </w:r>
      <w:r>
        <w:rPr>
          <w:spacing w:val="-6"/>
          <w:sz w:val="21"/>
        </w:rPr>
        <w:t> </w:t>
      </w:r>
      <w:r>
        <w:rPr>
          <w:spacing w:val="-3"/>
          <w:w w:val="100"/>
          <w:sz w:val="21"/>
        </w:rPr>
        <w:t>o</w:t>
      </w:r>
      <w:r>
        <w:rPr>
          <w:w w:val="100"/>
          <w:sz w:val="21"/>
        </w:rPr>
        <w:t>f</w:t>
      </w:r>
      <w:r>
        <w:rPr>
          <w:sz w:val="21"/>
        </w:rPr>
        <w:t> </w:t>
      </w:r>
      <w:r>
        <w:rPr>
          <w:spacing w:val="-6"/>
          <w:sz w:val="21"/>
        </w:rPr>
        <w:t> </w:t>
      </w:r>
      <w:r>
        <w:rPr>
          <w:w w:val="100"/>
          <w:sz w:val="21"/>
        </w:rPr>
        <w:t>a </w:t>
      </w:r>
      <w:r>
        <w:rPr>
          <w:sz w:val="21"/>
        </w:rPr>
        <w:t>Hindu temple is a juridical person; (2) when there is a Shebait, ordinarily no person other than the Shebait can represent the idol; and (3) worshippers of an idol are its beneficiaries, though only in a spiritual sense. It has also been held that persons who go in only for the purpose of devotion have, according to Hindu law and religion, a greater and deeper interest in temples than mere servants who serve there for some pecuniary</w:t>
      </w:r>
      <w:r>
        <w:rPr>
          <w:spacing w:val="-6"/>
          <w:sz w:val="21"/>
        </w:rPr>
        <w:t> </w:t>
      </w:r>
      <w:r>
        <w:rPr>
          <w:sz w:val="21"/>
        </w:rPr>
        <w:t>advantage…‖</w:t>
      </w:r>
    </w:p>
    <w:p>
      <w:pPr>
        <w:pStyle w:val="BodyText"/>
        <w:rPr>
          <w:sz w:val="24"/>
        </w:rPr>
      </w:pPr>
    </w:p>
    <w:p>
      <w:pPr>
        <w:pStyle w:val="BodyText"/>
        <w:spacing w:before="6"/>
        <w:rPr>
          <w:sz w:val="24"/>
        </w:rPr>
      </w:pPr>
    </w:p>
    <w:p>
      <w:pPr>
        <w:pStyle w:val="BodyText"/>
        <w:spacing w:line="480" w:lineRule="auto"/>
        <w:ind w:left="500" w:right="446"/>
        <w:jc w:val="both"/>
      </w:pPr>
      <w:r>
        <w:rPr/>
        <w:t>The learned judge then evaluated when persons other than a shebait may be entitled to maintain a suit on behalf of the deity:</w:t>
      </w:r>
    </w:p>
    <w:p>
      <w:pPr>
        <w:spacing w:line="276" w:lineRule="auto" w:before="0"/>
        <w:ind w:left="1918" w:right="2261" w:firstLine="0"/>
        <w:jc w:val="both"/>
        <w:rPr>
          <w:b/>
          <w:sz w:val="21"/>
        </w:rPr>
      </w:pPr>
      <w:r>
        <w:rPr>
          <w:w w:val="33"/>
          <w:sz w:val="21"/>
        </w:rPr>
        <w:t>―</w:t>
      </w:r>
      <w:r>
        <w:rPr>
          <w:w w:val="100"/>
          <w:sz w:val="21"/>
        </w:rPr>
        <w:t>10.</w:t>
      </w:r>
      <w:r>
        <w:rPr>
          <w:sz w:val="21"/>
        </w:rPr>
        <w:t> </w:t>
      </w:r>
      <w:r>
        <w:rPr>
          <w:w w:val="100"/>
          <w:sz w:val="21"/>
        </w:rPr>
        <w:t>The</w:t>
      </w:r>
      <w:r>
        <w:rPr>
          <w:sz w:val="21"/>
        </w:rPr>
        <w:t> </w:t>
      </w:r>
      <w:r>
        <w:rPr>
          <w:w w:val="100"/>
          <w:sz w:val="21"/>
        </w:rPr>
        <w:t>question</w:t>
      </w:r>
      <w:r>
        <w:rPr>
          <w:sz w:val="21"/>
        </w:rPr>
        <w:t> </w:t>
      </w:r>
      <w:r>
        <w:rPr>
          <w:w w:val="100"/>
          <w:sz w:val="21"/>
        </w:rPr>
        <w:t>is,</w:t>
      </w:r>
      <w:r>
        <w:rPr>
          <w:sz w:val="21"/>
        </w:rPr>
        <w:t> </w:t>
      </w:r>
      <w:r>
        <w:rPr>
          <w:b/>
          <w:w w:val="100"/>
          <w:sz w:val="21"/>
        </w:rPr>
        <w:t>ca</w:t>
      </w:r>
      <w:r>
        <w:rPr>
          <w:b/>
          <w:w w:val="100"/>
          <w:sz w:val="21"/>
        </w:rPr>
        <w:t>n</w:t>
      </w:r>
      <w:r>
        <w:rPr>
          <w:b/>
          <w:sz w:val="21"/>
        </w:rPr>
        <w:t> </w:t>
      </w:r>
      <w:r>
        <w:rPr>
          <w:b/>
          <w:w w:val="100"/>
          <w:sz w:val="21"/>
        </w:rPr>
        <w:t>su</w:t>
      </w:r>
      <w:r>
        <w:rPr>
          <w:b/>
          <w:w w:val="100"/>
          <w:sz w:val="21"/>
        </w:rPr>
        <w:t>c</w:t>
      </w:r>
      <w:r>
        <w:rPr>
          <w:b/>
          <w:w w:val="100"/>
          <w:sz w:val="21"/>
        </w:rPr>
        <w:t>h</w:t>
      </w:r>
      <w:r>
        <w:rPr>
          <w:b/>
          <w:sz w:val="21"/>
        </w:rPr>
        <w:t> </w:t>
      </w:r>
      <w:r>
        <w:rPr>
          <w:b/>
          <w:w w:val="100"/>
          <w:sz w:val="21"/>
        </w:rPr>
        <w:t>a</w:t>
      </w:r>
      <w:r>
        <w:rPr>
          <w:b/>
          <w:sz w:val="21"/>
        </w:rPr>
        <w:t> </w:t>
      </w:r>
      <w:r>
        <w:rPr>
          <w:b/>
          <w:w w:val="100"/>
          <w:sz w:val="21"/>
        </w:rPr>
        <w:t>pe</w:t>
      </w:r>
      <w:r>
        <w:rPr>
          <w:b/>
          <w:w w:val="100"/>
          <w:sz w:val="21"/>
        </w:rPr>
        <w:t>r</w:t>
      </w:r>
      <w:r>
        <w:rPr>
          <w:b/>
          <w:w w:val="100"/>
          <w:sz w:val="21"/>
        </w:rPr>
        <w:t>so</w:t>
      </w:r>
      <w:r>
        <w:rPr>
          <w:b/>
          <w:w w:val="100"/>
          <w:sz w:val="21"/>
        </w:rPr>
        <w:t>n</w:t>
      </w:r>
      <w:r>
        <w:rPr>
          <w:b/>
          <w:sz w:val="21"/>
        </w:rPr>
        <w:t> </w:t>
      </w:r>
      <w:r>
        <w:rPr>
          <w:b/>
          <w:w w:val="100"/>
          <w:sz w:val="21"/>
        </w:rPr>
        <w:t>re</w:t>
      </w:r>
      <w:r>
        <w:rPr>
          <w:b/>
          <w:w w:val="100"/>
          <w:sz w:val="21"/>
        </w:rPr>
        <w:t>prese</w:t>
      </w:r>
      <w:r>
        <w:rPr>
          <w:b/>
          <w:w w:val="100"/>
          <w:sz w:val="21"/>
        </w:rPr>
        <w:t>nt</w:t>
      </w:r>
      <w:r>
        <w:rPr>
          <w:b/>
          <w:sz w:val="21"/>
        </w:rPr>
        <w:t> </w:t>
      </w:r>
      <w:r>
        <w:rPr>
          <w:b/>
          <w:w w:val="100"/>
          <w:sz w:val="21"/>
        </w:rPr>
        <w:t>t</w:t>
      </w:r>
      <w:r>
        <w:rPr>
          <w:b/>
          <w:w w:val="100"/>
          <w:sz w:val="21"/>
        </w:rPr>
        <w:t>he</w:t>
      </w:r>
      <w:r>
        <w:rPr>
          <w:b/>
          <w:sz w:val="21"/>
        </w:rPr>
        <w:t> </w:t>
      </w:r>
      <w:r>
        <w:rPr>
          <w:b/>
          <w:w w:val="100"/>
          <w:sz w:val="21"/>
        </w:rPr>
        <w:t>idol </w:t>
      </w:r>
      <w:r>
        <w:rPr>
          <w:b/>
          <w:sz w:val="21"/>
        </w:rPr>
        <w:t>when the Shebait acts adversely to its interest and fails to take action to safeguard its interest. On principle we do not see any justification for denying such a right to the worshipper. An idol is in the position of a minor when the person representing it leaves it in a lurch, a person interested in the worship of the idol can certainly be clothed with an </w:t>
      </w:r>
      <w:r>
        <w:rPr>
          <w:b/>
          <w:i/>
          <w:sz w:val="21"/>
        </w:rPr>
        <w:t>ad hoc </w:t>
      </w:r>
      <w:r>
        <w:rPr>
          <w:b/>
          <w:sz w:val="21"/>
        </w:rPr>
        <w:t>power of representation to protect</w:t>
      </w:r>
    </w:p>
    <w:p>
      <w:pPr>
        <w:pStyle w:val="BodyText"/>
        <w:spacing w:before="10"/>
        <w:rPr>
          <w:b/>
          <w:sz w:val="12"/>
        </w:rPr>
      </w:pPr>
      <w:r>
        <w:rPr/>
        <w:pict>
          <v:rect style="position:absolute;margin-left:72.024002pt;margin-top:9.375134pt;width:144.020pt;height:.599980pt;mso-position-horizontal-relative:page;mso-position-vertical-relative:paragraph;z-index:-1566771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223</w:t>
      </w:r>
      <w:r>
        <w:rPr>
          <w:sz w:val="18"/>
          <w:vertAlign w:val="baseline"/>
        </w:rPr>
        <w:t> (1967) 2 SCR 618</w:t>
      </w:r>
    </w:p>
    <w:p>
      <w:pPr>
        <w:spacing w:after="0"/>
        <w:jc w:val="left"/>
        <w:rPr>
          <w:sz w:val="18"/>
        </w:rPr>
        <w:sectPr>
          <w:pgSz w:w="11910" w:h="16840"/>
          <w:pgMar w:header="721" w:footer="1014" w:top="1300" w:bottom="1200" w:left="940" w:right="1000"/>
        </w:sectPr>
      </w:pPr>
    </w:p>
    <w:p>
      <w:pPr>
        <w:spacing w:line="276" w:lineRule="auto" w:before="122"/>
        <w:ind w:left="1918" w:right="2260" w:firstLine="0"/>
        <w:jc w:val="both"/>
        <w:rPr>
          <w:sz w:val="21"/>
        </w:rPr>
      </w:pPr>
      <w:r>
        <w:rPr>
          <w:b/>
          <w:sz w:val="21"/>
        </w:rPr>
        <w:t>its interest. It is a pragmatic, yet a legal solution to a difficult situation. </w:t>
      </w:r>
      <w:r>
        <w:rPr>
          <w:sz w:val="21"/>
        </w:rPr>
        <w:t>Should it be held that a Shebait, who transferred the property, can only bring a suit for recovery, in most of the cases it will be an indirect approval of the dereliction of the Shebait‘s duty, for more often than not he will not admit his default and take steps to recover the property, apart from other technical pleas that may be open to the transferee in a suit. </w:t>
      </w:r>
      <w:r>
        <w:rPr>
          <w:b/>
          <w:sz w:val="21"/>
        </w:rPr>
        <w:t>Should it be held that a worshipper can file only a suit for the removal of the Shebait and for the appointment of another in order to enable him to take steps to recover the property, such a procedure will be rather prolonged and a complicated one and the interest of the idol may irreparably suffer. That is why decisions have permitted a worshipper in such circumstances to represent the idol and to recover the property for the idol. </w:t>
      </w:r>
      <w:r>
        <w:rPr>
          <w:sz w:val="21"/>
        </w:rPr>
        <w:t>It has been held in a number of decisions that worshippers may file a suit praying for possession of a property </w:t>
      </w:r>
      <w:r>
        <w:rPr>
          <w:b/>
          <w:sz w:val="21"/>
        </w:rPr>
        <w:t>on behalf of an</w:t>
      </w:r>
      <w:r>
        <w:rPr>
          <w:b/>
          <w:spacing w:val="-3"/>
          <w:sz w:val="21"/>
        </w:rPr>
        <w:t> </w:t>
      </w:r>
      <w:r>
        <w:rPr>
          <w:b/>
          <w:sz w:val="21"/>
        </w:rPr>
        <w:t>endowment</w:t>
      </w:r>
      <w:r>
        <w:rPr>
          <w:sz w:val="21"/>
        </w:rPr>
        <w:t>…‖</w:t>
      </w:r>
    </w:p>
    <w:p>
      <w:pPr>
        <w:spacing w:before="2"/>
        <w:ind w:left="5798" w:right="0" w:firstLine="0"/>
        <w:jc w:val="left"/>
        <w:rPr>
          <w:sz w:val="21"/>
        </w:rPr>
      </w:pPr>
      <w:r>
        <w:rPr>
          <w:sz w:val="21"/>
        </w:rPr>
        <w:t>(Emphasis supplied)</w:t>
      </w:r>
    </w:p>
    <w:p>
      <w:pPr>
        <w:pStyle w:val="BodyText"/>
        <w:rPr>
          <w:sz w:val="24"/>
        </w:rPr>
      </w:pPr>
    </w:p>
    <w:p>
      <w:pPr>
        <w:pStyle w:val="BodyText"/>
        <w:rPr>
          <w:sz w:val="24"/>
        </w:rPr>
      </w:pPr>
    </w:p>
    <w:p>
      <w:pPr>
        <w:pStyle w:val="BodyText"/>
        <w:spacing w:before="11"/>
        <w:rPr>
          <w:sz w:val="18"/>
        </w:rPr>
      </w:pPr>
    </w:p>
    <w:p>
      <w:pPr>
        <w:pStyle w:val="ListParagraph"/>
        <w:numPr>
          <w:ilvl w:val="0"/>
          <w:numId w:val="111"/>
        </w:numPr>
        <w:tabs>
          <w:tab w:pos="1221" w:val="left" w:leader="none"/>
        </w:tabs>
        <w:spacing w:line="480" w:lineRule="auto" w:before="0" w:after="0"/>
        <w:ind w:left="500" w:right="435" w:firstLine="0"/>
        <w:jc w:val="both"/>
        <w:rPr>
          <w:sz w:val="25"/>
        </w:rPr>
      </w:pPr>
      <w:r>
        <w:rPr>
          <w:sz w:val="25"/>
        </w:rPr>
        <w:t>The decision reiterates the holding in </w:t>
      </w:r>
      <w:r>
        <w:rPr>
          <w:b/>
          <w:sz w:val="25"/>
        </w:rPr>
        <w:t>Vemareddi Reddy </w:t>
      </w:r>
      <w:r>
        <w:rPr>
          <w:sz w:val="25"/>
        </w:rPr>
        <w:t>that where a shebait refuses to act for the benefit of the idol, or where the shebait‘s actions are prejudicial to the interest of the idol, an alternative method must be provided for protecting the idol‘s interests. In such cases, a next friend interested in the protection of the endowed properties is vested with the right to institute a suit. Where an action prejudicial to the interests of the idol is taken by the shebait, it is unlikely that the shebait will institute a suit challenging its own actions. Therefore, it becomes necessary to confer on a next friend the right to bring an action in law against the shebait and the stranger who threatens the idol‘s</w:t>
      </w:r>
      <w:r>
        <w:rPr>
          <w:spacing w:val="-13"/>
          <w:sz w:val="25"/>
        </w:rPr>
        <w:t> </w:t>
      </w:r>
      <w:r>
        <w:rPr>
          <w:sz w:val="25"/>
        </w:rPr>
        <w:t>interests.</w:t>
      </w:r>
    </w:p>
    <w:p>
      <w:pPr>
        <w:pStyle w:val="BodyText"/>
        <w:spacing w:before="10"/>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It is important to note that unlike in </w:t>
      </w:r>
      <w:r>
        <w:rPr>
          <w:b/>
          <w:sz w:val="25"/>
        </w:rPr>
        <w:t>Vemareddi Reddy</w:t>
      </w:r>
      <w:r>
        <w:rPr>
          <w:sz w:val="25"/>
        </w:rPr>
        <w:t>, this Court in </w:t>
      </w:r>
      <w:r>
        <w:rPr>
          <w:b/>
          <w:sz w:val="25"/>
        </w:rPr>
        <w:t>Bishwanath </w:t>
      </w:r>
      <w:r>
        <w:rPr>
          <w:sz w:val="25"/>
        </w:rPr>
        <w:t>permitted worshippers to sue </w:t>
      </w:r>
      <w:r>
        <w:rPr>
          <w:i/>
          <w:sz w:val="25"/>
        </w:rPr>
        <w:t>on behalf of </w:t>
      </w:r>
      <w:r>
        <w:rPr>
          <w:sz w:val="25"/>
        </w:rPr>
        <w:t>the idol. The suit in </w:t>
      </w:r>
      <w:r>
        <w:rPr>
          <w:b/>
          <w:sz w:val="25"/>
        </w:rPr>
        <w:t>Bishwanath </w:t>
      </w:r>
      <w:r>
        <w:rPr>
          <w:sz w:val="25"/>
        </w:rPr>
        <w:t>was not instituted by a worshipper in their personal capacity, but rather</w:t>
      </w:r>
      <w:r>
        <w:rPr>
          <w:spacing w:val="36"/>
          <w:sz w:val="25"/>
        </w:rPr>
        <w:t> </w:t>
      </w:r>
      <w:r>
        <w:rPr>
          <w:sz w:val="25"/>
        </w:rPr>
        <w:t>as</w:t>
      </w:r>
      <w:r>
        <w:rPr>
          <w:spacing w:val="37"/>
          <w:sz w:val="25"/>
        </w:rPr>
        <w:t> </w:t>
      </w:r>
      <w:r>
        <w:rPr>
          <w:sz w:val="25"/>
        </w:rPr>
        <w:t>a</w:t>
      </w:r>
      <w:r>
        <w:rPr>
          <w:spacing w:val="34"/>
          <w:sz w:val="25"/>
        </w:rPr>
        <w:t> </w:t>
      </w:r>
      <w:r>
        <w:rPr>
          <w:sz w:val="25"/>
        </w:rPr>
        <w:t>representative</w:t>
      </w:r>
      <w:r>
        <w:rPr>
          <w:spacing w:val="37"/>
          <w:sz w:val="25"/>
        </w:rPr>
        <w:t> </w:t>
      </w:r>
      <w:r>
        <w:rPr>
          <w:sz w:val="25"/>
        </w:rPr>
        <w:t>of</w:t>
      </w:r>
      <w:r>
        <w:rPr>
          <w:spacing w:val="37"/>
          <w:sz w:val="25"/>
        </w:rPr>
        <w:t> </w:t>
      </w:r>
      <w:r>
        <w:rPr>
          <w:sz w:val="25"/>
        </w:rPr>
        <w:t>the</w:t>
      </w:r>
      <w:r>
        <w:rPr>
          <w:spacing w:val="37"/>
          <w:sz w:val="25"/>
        </w:rPr>
        <w:t> </w:t>
      </w:r>
      <w:r>
        <w:rPr>
          <w:sz w:val="25"/>
        </w:rPr>
        <w:t>idol</w:t>
      </w:r>
      <w:r>
        <w:rPr>
          <w:spacing w:val="37"/>
          <w:sz w:val="25"/>
        </w:rPr>
        <w:t> </w:t>
      </w:r>
      <w:r>
        <w:rPr>
          <w:sz w:val="25"/>
        </w:rPr>
        <w:t>to</w:t>
      </w:r>
      <w:r>
        <w:rPr>
          <w:spacing w:val="37"/>
          <w:sz w:val="25"/>
        </w:rPr>
        <w:t> </w:t>
      </w:r>
      <w:r>
        <w:rPr>
          <w:sz w:val="25"/>
        </w:rPr>
        <w:t>the</w:t>
      </w:r>
      <w:r>
        <w:rPr>
          <w:spacing w:val="37"/>
          <w:sz w:val="25"/>
        </w:rPr>
        <w:t> </w:t>
      </w:r>
      <w:r>
        <w:rPr>
          <w:sz w:val="25"/>
        </w:rPr>
        <w:t>exclusion</w:t>
      </w:r>
      <w:r>
        <w:rPr>
          <w:spacing w:val="37"/>
          <w:sz w:val="25"/>
        </w:rPr>
        <w:t> </w:t>
      </w:r>
      <w:r>
        <w:rPr>
          <w:sz w:val="25"/>
        </w:rPr>
        <w:t>of</w:t>
      </w:r>
      <w:r>
        <w:rPr>
          <w:spacing w:val="37"/>
          <w:sz w:val="25"/>
        </w:rPr>
        <w:t> </w:t>
      </w:r>
      <w:r>
        <w:rPr>
          <w:sz w:val="25"/>
        </w:rPr>
        <w:t>the</w:t>
      </w:r>
      <w:r>
        <w:rPr>
          <w:spacing w:val="36"/>
          <w:sz w:val="25"/>
        </w:rPr>
        <w:t> </w:t>
      </w:r>
      <w:r>
        <w:rPr>
          <w:sz w:val="25"/>
        </w:rPr>
        <w:t>shebait.</w:t>
      </w:r>
      <w:r>
        <w:rPr>
          <w:spacing w:val="37"/>
          <w:sz w:val="25"/>
        </w:rPr>
        <w:t> </w:t>
      </w:r>
      <w:r>
        <w:rPr>
          <w:sz w:val="25"/>
        </w:rPr>
        <w:t>The</w:t>
      </w:r>
      <w:r>
        <w:rPr>
          <w:spacing w:val="37"/>
          <w:sz w:val="25"/>
        </w:rPr>
        <w:t> </w:t>
      </w:r>
      <w:r>
        <w:rPr>
          <w:sz w:val="25"/>
        </w:rPr>
        <w:t>next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512"/>
      </w:pPr>
      <w:r>
        <w:rPr/>
        <w:t>friend stepped into the shoes of the shebait for the limited purpose of the litigation.</w:t>
      </w:r>
    </w:p>
    <w:p>
      <w:pPr>
        <w:pStyle w:val="BodyText"/>
        <w:spacing w:before="11"/>
        <w:rPr>
          <w:sz w:val="38"/>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 position in law with respect to when a worshipper may institute proceedings is settled. A worshipper can institute a suit to protect the interests of the deity against a stranger where a shebait is negligent in its duties or takes actions that are hostile to the deity. The question whether the remedy available to the worshipper is a suit in a personal capacity or a suit on behalf of the idol (as next friend) is one which must be answered. The suit in </w:t>
      </w:r>
      <w:r>
        <w:rPr>
          <w:b/>
          <w:sz w:val="25"/>
        </w:rPr>
        <w:t>Vemareddi Reddy </w:t>
      </w:r>
      <w:r>
        <w:rPr>
          <w:sz w:val="25"/>
        </w:rPr>
        <w:t>was a suit filed by worshippers in their personal capacity and the court had no occasion to determine whether a suit by a next friend on behalf of the idol itself would be maintainable. However, given the express observations that a worshipper cannot exercise the deity‘s right to sue, this matter must be</w:t>
      </w:r>
      <w:r>
        <w:rPr>
          <w:spacing w:val="-11"/>
          <w:sz w:val="25"/>
        </w:rPr>
        <w:t> </w:t>
      </w:r>
      <w:r>
        <w:rPr>
          <w:sz w:val="25"/>
        </w:rPr>
        <w:t>considered.</w:t>
      </w:r>
    </w:p>
    <w:p>
      <w:pPr>
        <w:pStyle w:val="BodyText"/>
        <w:rPr>
          <w:sz w:val="39"/>
        </w:rPr>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In this regard, Dr Dhavan brought to our notice the separate opinion of Justice Pal in </w:t>
      </w:r>
      <w:r>
        <w:rPr>
          <w:b/>
          <w:sz w:val="25"/>
        </w:rPr>
        <w:t>Tarit Bhushan Rai </w:t>
      </w:r>
      <w:r>
        <w:rPr>
          <w:sz w:val="25"/>
        </w:rPr>
        <w:t>v </w:t>
      </w:r>
      <w:r>
        <w:rPr>
          <w:b/>
          <w:sz w:val="25"/>
        </w:rPr>
        <w:t>Sri Sri Iswar Sridhar Salagram Shila Thakur</w:t>
      </w:r>
      <w:r>
        <w:rPr>
          <w:sz w:val="25"/>
          <w:vertAlign w:val="superscript"/>
        </w:rPr>
        <w:t>224</w:t>
      </w:r>
      <w:r>
        <w:rPr>
          <w:sz w:val="25"/>
          <w:vertAlign w:val="baseline"/>
        </w:rPr>
        <w:t>, as a member of a Division Bench of the Calcutta High Court. </w:t>
      </w:r>
      <w:r>
        <w:rPr>
          <w:spacing w:val="-4"/>
          <w:sz w:val="25"/>
          <w:vertAlign w:val="baseline"/>
        </w:rPr>
        <w:t>The</w:t>
      </w:r>
      <w:r>
        <w:rPr>
          <w:spacing w:val="61"/>
          <w:sz w:val="25"/>
          <w:vertAlign w:val="baseline"/>
        </w:rPr>
        <w:t> </w:t>
      </w:r>
      <w:r>
        <w:rPr>
          <w:sz w:val="25"/>
          <w:vertAlign w:val="baseline"/>
        </w:rPr>
        <w:t>case arose from a rather unique factual background. A suit was instituted </w:t>
      </w:r>
      <w:r>
        <w:rPr>
          <w:spacing w:val="2"/>
          <w:sz w:val="25"/>
          <w:vertAlign w:val="baseline"/>
        </w:rPr>
        <w:t>by </w:t>
      </w:r>
      <w:r>
        <w:rPr>
          <w:sz w:val="25"/>
          <w:vertAlign w:val="baseline"/>
        </w:rPr>
        <w:t>Anupama, who was not the shebait but the daughter of the then shebait. Anupama sought to stay the sale of certain property on the ground that the property was absolute debutter property. Anupama‘s suit was subsequently dismissed and fresh proceedings were instituted by the shebaits proper. Justice Nasim Ali and Justice Pal both held that Anupama was not a shebait and thus</w:t>
      </w:r>
      <w:r>
        <w:rPr>
          <w:spacing w:val="-2"/>
          <w:sz w:val="25"/>
          <w:vertAlign w:val="baseline"/>
        </w:rPr>
        <w:t> </w:t>
      </w:r>
      <w:r>
        <w:rPr>
          <w:sz w:val="25"/>
          <w:vertAlign w:val="baseline"/>
        </w:rPr>
        <w:t>the</w:t>
      </w:r>
    </w:p>
    <w:p>
      <w:pPr>
        <w:pStyle w:val="BodyText"/>
        <w:rPr>
          <w:sz w:val="20"/>
        </w:rPr>
      </w:pPr>
    </w:p>
    <w:p>
      <w:pPr>
        <w:pStyle w:val="BodyText"/>
        <w:rPr>
          <w:sz w:val="20"/>
        </w:rPr>
      </w:pPr>
    </w:p>
    <w:p>
      <w:pPr>
        <w:pStyle w:val="BodyText"/>
        <w:spacing w:before="5"/>
        <w:rPr>
          <w:sz w:val="14"/>
        </w:rPr>
      </w:pPr>
      <w:r>
        <w:rPr/>
        <w:pict>
          <v:rect style="position:absolute;margin-left:72.024002pt;margin-top:10.260401pt;width:144.020pt;height:.599980pt;mso-position-horizontal-relative:page;mso-position-vertical-relative:paragraph;z-index:-1566720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224</w:t>
      </w:r>
      <w:r>
        <w:rPr>
          <w:sz w:val="18"/>
          <w:vertAlign w:val="baseline"/>
        </w:rPr>
        <w:t> AIR 1942 Cal 99</w:t>
      </w:r>
    </w:p>
    <w:p>
      <w:pPr>
        <w:spacing w:after="0"/>
        <w:jc w:val="left"/>
        <w:rPr>
          <w:sz w:val="18"/>
        </w:rPr>
        <w:sectPr>
          <w:pgSz w:w="11910" w:h="16840"/>
          <w:pgMar w:header="721" w:footer="1014" w:top="1300" w:bottom="1200" w:left="940" w:right="1000"/>
        </w:sectPr>
      </w:pPr>
    </w:p>
    <w:p>
      <w:pPr>
        <w:pStyle w:val="BodyText"/>
        <w:spacing w:line="480" w:lineRule="auto" w:before="124"/>
        <w:ind w:left="500"/>
      </w:pPr>
      <w:r>
        <w:rPr/>
        <w:t>dismissal of her suit was irrelevant for the purposes of deciding the fresh suit. However, Justice Pal further observed:</w:t>
      </w:r>
    </w:p>
    <w:p>
      <w:pPr>
        <w:spacing w:line="276" w:lineRule="auto" w:before="159"/>
        <w:ind w:left="1918" w:right="2261" w:firstLine="57"/>
        <w:jc w:val="both"/>
        <w:rPr>
          <w:sz w:val="21"/>
        </w:rPr>
      </w:pPr>
      <w:r>
        <w:rPr>
          <w:spacing w:val="-1"/>
          <w:w w:val="33"/>
          <w:sz w:val="21"/>
        </w:rPr>
        <w:t>―</w:t>
      </w:r>
      <w:r>
        <w:rPr>
          <w:w w:val="100"/>
          <w:sz w:val="21"/>
        </w:rPr>
        <w:t>P</w:t>
      </w:r>
      <w:r>
        <w:rPr>
          <w:spacing w:val="-1"/>
          <w:w w:val="100"/>
          <w:sz w:val="21"/>
        </w:rPr>
        <w:t>erso</w:t>
      </w:r>
      <w:r>
        <w:rPr>
          <w:spacing w:val="-3"/>
          <w:w w:val="100"/>
          <w:sz w:val="21"/>
        </w:rPr>
        <w:t>n</w:t>
      </w:r>
      <w:r>
        <w:rPr>
          <w:w w:val="100"/>
          <w:sz w:val="21"/>
        </w:rPr>
        <w:t>s</w:t>
      </w:r>
      <w:r>
        <w:rPr>
          <w:sz w:val="21"/>
        </w:rPr>
        <w:t>  </w:t>
      </w:r>
      <w:r>
        <w:rPr>
          <w:spacing w:val="-1"/>
          <w:w w:val="100"/>
          <w:sz w:val="21"/>
        </w:rPr>
        <w:t>ha</w:t>
      </w:r>
      <w:r>
        <w:rPr>
          <w:spacing w:val="-3"/>
          <w:w w:val="100"/>
          <w:sz w:val="21"/>
        </w:rPr>
        <w:t>v</w:t>
      </w:r>
      <w:r>
        <w:rPr>
          <w:w w:val="100"/>
          <w:sz w:val="21"/>
        </w:rPr>
        <w:t>i</w:t>
      </w:r>
      <w:r>
        <w:rPr>
          <w:spacing w:val="-3"/>
          <w:w w:val="100"/>
          <w:sz w:val="21"/>
        </w:rPr>
        <w:t>n</w:t>
      </w:r>
      <w:r>
        <w:rPr>
          <w:w w:val="100"/>
          <w:sz w:val="21"/>
        </w:rPr>
        <w:t>g</w:t>
      </w:r>
      <w:r>
        <w:rPr>
          <w:sz w:val="21"/>
        </w:rPr>
        <w:t>  </w:t>
      </w:r>
      <w:r>
        <w:rPr>
          <w:spacing w:val="-2"/>
          <w:w w:val="100"/>
          <w:sz w:val="21"/>
        </w:rPr>
        <w:t>i</w:t>
      </w:r>
      <w:r>
        <w:rPr>
          <w:spacing w:val="-1"/>
          <w:w w:val="100"/>
          <w:sz w:val="21"/>
        </w:rPr>
        <w:t>n</w:t>
      </w:r>
      <w:r>
        <w:rPr>
          <w:spacing w:val="-3"/>
          <w:w w:val="100"/>
          <w:sz w:val="21"/>
        </w:rPr>
        <w:t>d</w:t>
      </w:r>
      <w:r>
        <w:rPr>
          <w:w w:val="100"/>
          <w:sz w:val="21"/>
        </w:rPr>
        <w:t>i</w:t>
      </w:r>
      <w:r>
        <w:rPr>
          <w:spacing w:val="-3"/>
          <w:w w:val="100"/>
          <w:sz w:val="21"/>
        </w:rPr>
        <w:t>v</w:t>
      </w:r>
      <w:r>
        <w:rPr>
          <w:w w:val="100"/>
          <w:sz w:val="21"/>
        </w:rPr>
        <w:t>i</w:t>
      </w:r>
      <w:r>
        <w:rPr>
          <w:spacing w:val="-3"/>
          <w:w w:val="100"/>
          <w:sz w:val="21"/>
        </w:rPr>
        <w:t>d</w:t>
      </w:r>
      <w:r>
        <w:rPr>
          <w:spacing w:val="-1"/>
          <w:w w:val="100"/>
          <w:sz w:val="21"/>
        </w:rPr>
        <w:t>ua</w:t>
      </w:r>
      <w:r>
        <w:rPr>
          <w:w w:val="100"/>
          <w:sz w:val="21"/>
        </w:rPr>
        <w:t>l</w:t>
      </w:r>
      <w:r>
        <w:rPr>
          <w:sz w:val="21"/>
        </w:rPr>
        <w:t>  </w:t>
      </w:r>
      <w:r>
        <w:rPr>
          <w:spacing w:val="-4"/>
          <w:w w:val="100"/>
          <w:sz w:val="21"/>
        </w:rPr>
        <w:t>r</w:t>
      </w:r>
      <w:r>
        <w:rPr>
          <w:w w:val="100"/>
          <w:sz w:val="21"/>
        </w:rPr>
        <w:t>i</w:t>
      </w:r>
      <w:r>
        <w:rPr>
          <w:spacing w:val="-1"/>
          <w:w w:val="100"/>
          <w:sz w:val="21"/>
        </w:rPr>
        <w:t>ght</w:t>
      </w:r>
      <w:r>
        <w:rPr>
          <w:w w:val="100"/>
          <w:sz w:val="21"/>
        </w:rPr>
        <w:t>s</w:t>
      </w:r>
      <w:r>
        <w:rPr>
          <w:sz w:val="21"/>
        </w:rPr>
        <w:t>  </w:t>
      </w:r>
      <w:r>
        <w:rPr>
          <w:spacing w:val="-1"/>
          <w:w w:val="100"/>
          <w:sz w:val="21"/>
        </w:rPr>
        <w:t>un</w:t>
      </w:r>
      <w:r>
        <w:rPr>
          <w:spacing w:val="-2"/>
          <w:w w:val="100"/>
          <w:sz w:val="21"/>
        </w:rPr>
        <w:t>d</w:t>
      </w:r>
      <w:r>
        <w:rPr>
          <w:spacing w:val="-1"/>
          <w:w w:val="100"/>
          <w:sz w:val="21"/>
        </w:rPr>
        <w:t>e</w:t>
      </w:r>
      <w:r>
        <w:rPr>
          <w:w w:val="100"/>
          <w:sz w:val="21"/>
        </w:rPr>
        <w:t>r</w:t>
      </w:r>
      <w:r>
        <w:rPr>
          <w:sz w:val="21"/>
        </w:rPr>
        <w:t>  </w:t>
      </w:r>
      <w:r>
        <w:rPr>
          <w:w w:val="100"/>
          <w:sz w:val="21"/>
        </w:rPr>
        <w:t>s</w:t>
      </w:r>
      <w:r>
        <w:rPr>
          <w:spacing w:val="-3"/>
          <w:w w:val="100"/>
          <w:sz w:val="21"/>
        </w:rPr>
        <w:t>u</w:t>
      </w:r>
      <w:r>
        <w:rPr>
          <w:w w:val="100"/>
          <w:sz w:val="21"/>
        </w:rPr>
        <w:t>ch</w:t>
      </w:r>
      <w:r>
        <w:rPr>
          <w:sz w:val="21"/>
        </w:rPr>
        <w:t>  </w:t>
      </w:r>
      <w:r>
        <w:rPr>
          <w:spacing w:val="-3"/>
          <w:w w:val="100"/>
          <w:sz w:val="21"/>
        </w:rPr>
        <w:t>e</w:t>
      </w:r>
      <w:r>
        <w:rPr>
          <w:spacing w:val="-1"/>
          <w:w w:val="100"/>
          <w:sz w:val="21"/>
        </w:rPr>
        <w:t>ndo</w:t>
      </w:r>
      <w:r>
        <w:rPr>
          <w:spacing w:val="-4"/>
          <w:w w:val="100"/>
          <w:sz w:val="21"/>
        </w:rPr>
        <w:t>w</w:t>
      </w:r>
      <w:r>
        <w:rPr>
          <w:spacing w:val="1"/>
          <w:w w:val="100"/>
          <w:sz w:val="21"/>
        </w:rPr>
        <w:t>m</w:t>
      </w:r>
      <w:r>
        <w:rPr>
          <w:spacing w:val="-3"/>
          <w:w w:val="100"/>
          <w:sz w:val="21"/>
        </w:rPr>
        <w:t>e</w:t>
      </w:r>
      <w:r>
        <w:rPr>
          <w:spacing w:val="-1"/>
          <w:w w:val="100"/>
          <w:sz w:val="21"/>
        </w:rPr>
        <w:t>nt</w:t>
      </w:r>
      <w:r>
        <w:rPr>
          <w:w w:val="100"/>
          <w:sz w:val="21"/>
        </w:rPr>
        <w:t>s </w:t>
      </w:r>
      <w:r>
        <w:rPr>
          <w:sz w:val="21"/>
        </w:rPr>
        <w:t>can bring suits to enforce such individual rights by an ordinary </w:t>
      </w:r>
      <w:r>
        <w:rPr>
          <w:b/>
          <w:sz w:val="21"/>
        </w:rPr>
        <w:t>suit in their own name without being obliged to bring a suit in the name of the idol</w:t>
      </w:r>
      <w:r>
        <w:rPr>
          <w:sz w:val="21"/>
        </w:rPr>
        <w:t>. This right reserved to the worshippers sufficiently safeguards the interest of the worshippers or other persons interested in the </w:t>
      </w:r>
      <w:r>
        <w:rPr>
          <w:i/>
          <w:sz w:val="21"/>
        </w:rPr>
        <w:t>debutter</w:t>
      </w:r>
      <w:r>
        <w:rPr>
          <w:sz w:val="21"/>
        </w:rPr>
        <w:t>. At the same time it obviates </w:t>
      </w:r>
      <w:r>
        <w:rPr>
          <w:b/>
          <w:sz w:val="21"/>
        </w:rPr>
        <w:t>the risk of jeopardising the interests of the idol by allowing it to be affected by the intermeddling of persons whose fitness has never been enquired into and adjudicated upon</w:t>
      </w:r>
      <w:r>
        <w:rPr>
          <w:sz w:val="21"/>
        </w:rPr>
        <w:t>.‖</w:t>
      </w:r>
    </w:p>
    <w:p>
      <w:pPr>
        <w:spacing w:before="1"/>
        <w:ind w:left="5798" w:right="0" w:firstLine="0"/>
        <w:jc w:val="left"/>
        <w:rPr>
          <w:sz w:val="21"/>
        </w:rPr>
      </w:pPr>
      <w:r>
        <w:rPr>
          <w:sz w:val="21"/>
        </w:rPr>
        <w:t>(Emphasis supplied)</w:t>
      </w:r>
    </w:p>
    <w:p>
      <w:pPr>
        <w:pStyle w:val="BodyText"/>
        <w:rPr>
          <w:sz w:val="24"/>
        </w:rPr>
      </w:pPr>
    </w:p>
    <w:p>
      <w:pPr>
        <w:pStyle w:val="BodyText"/>
        <w:spacing w:before="1"/>
        <w:rPr>
          <w:sz w:val="29"/>
        </w:rPr>
      </w:pPr>
    </w:p>
    <w:p>
      <w:pPr>
        <w:pStyle w:val="BodyText"/>
        <w:spacing w:line="480" w:lineRule="auto" w:before="1"/>
        <w:ind w:left="500" w:right="439"/>
        <w:jc w:val="both"/>
      </w:pPr>
      <w:r>
        <w:rPr/>
        <w:t>Justice Pal opines that even in situations where the shebait acts contrary to the interests of the idol, a worshipper cannot sue on behalf of the idol, but only in a personal capacity. This stems from the concern that persons whose fitness or </w:t>
      </w:r>
      <w:r>
        <w:rPr>
          <w:i/>
        </w:rPr>
        <w:t>bona fides </w:t>
      </w:r>
      <w:r>
        <w:rPr/>
        <w:t>has not been enquired into or adjudicated upon by the courts may be able to adversely bind the idol and its properties. In this view, the worshipper does not sue on behalf of the deity, but may, at the very highest, obtain a declaratory decree challenging the shebait‘s actions as not binding on the</w:t>
      </w:r>
      <w:r>
        <w:rPr>
          <w:spacing w:val="-41"/>
        </w:rPr>
        <w:t> </w:t>
      </w:r>
      <w:r>
        <w:rPr/>
        <w:t>deity.</w:t>
      </w:r>
    </w:p>
    <w:p>
      <w:pPr>
        <w:pStyle w:val="BodyText"/>
        <w:rPr>
          <w:sz w:val="28"/>
        </w:rPr>
      </w:pPr>
    </w:p>
    <w:p>
      <w:pPr>
        <w:pStyle w:val="BodyText"/>
        <w:spacing w:before="1"/>
        <w:rPr>
          <w:sz w:val="22"/>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Where a shebait acts prejudicially to the deity‘s interests, there thus exist two views on the remedies available to the interested worshipper. The position taken by this Court in </w:t>
      </w:r>
      <w:r>
        <w:rPr>
          <w:b/>
          <w:sz w:val="25"/>
        </w:rPr>
        <w:t>Bishwanath </w:t>
      </w:r>
      <w:r>
        <w:rPr>
          <w:sz w:val="25"/>
        </w:rPr>
        <w:t>is that a worshipper can sue as a next friend on behalf of the deity. As next friend, the worshipper directly exercises the deity‘s right to sue. The alternative view taken by Justice Pal in </w:t>
      </w:r>
      <w:r>
        <w:rPr>
          <w:b/>
          <w:sz w:val="25"/>
        </w:rPr>
        <w:t>Tarit Bhushan Rai </w:t>
      </w:r>
      <w:r>
        <w:rPr>
          <w:sz w:val="25"/>
        </w:rPr>
        <w:t>and as observed by this Court in </w:t>
      </w:r>
      <w:r>
        <w:rPr>
          <w:b/>
          <w:sz w:val="25"/>
        </w:rPr>
        <w:t>Vemareddi Reddy </w:t>
      </w:r>
      <w:r>
        <w:rPr>
          <w:sz w:val="25"/>
        </w:rPr>
        <w:t>is that a worshipper can file a suit in a personal capacity to protect the deity‘s interests but cannot sue directly on</w:t>
      </w:r>
      <w:r>
        <w:rPr>
          <w:spacing w:val="11"/>
          <w:sz w:val="25"/>
        </w:rPr>
        <w:t> </w:t>
      </w:r>
      <w:r>
        <w:rPr>
          <w:sz w:val="25"/>
        </w:rPr>
        <w:t>behalf</w:t>
      </w:r>
      <w:r>
        <w:rPr>
          <w:spacing w:val="10"/>
          <w:sz w:val="25"/>
        </w:rPr>
        <w:t> </w:t>
      </w:r>
      <w:r>
        <w:rPr>
          <w:sz w:val="25"/>
        </w:rPr>
        <w:t>of</w:t>
      </w:r>
      <w:r>
        <w:rPr>
          <w:spacing w:val="11"/>
          <w:sz w:val="25"/>
        </w:rPr>
        <w:t> </w:t>
      </w:r>
      <w:r>
        <w:rPr>
          <w:sz w:val="25"/>
        </w:rPr>
        <w:t>the</w:t>
      </w:r>
      <w:r>
        <w:rPr>
          <w:spacing w:val="11"/>
          <w:sz w:val="25"/>
        </w:rPr>
        <w:t> </w:t>
      </w:r>
      <w:r>
        <w:rPr>
          <w:sz w:val="25"/>
        </w:rPr>
        <w:t>deity</w:t>
      </w:r>
      <w:r>
        <w:rPr>
          <w:spacing w:val="10"/>
          <w:sz w:val="25"/>
        </w:rPr>
        <w:t> </w:t>
      </w:r>
      <w:r>
        <w:rPr>
          <w:sz w:val="25"/>
        </w:rPr>
        <w:t>although</w:t>
      </w:r>
      <w:r>
        <w:rPr>
          <w:spacing w:val="12"/>
          <w:sz w:val="25"/>
        </w:rPr>
        <w:t> </w:t>
      </w:r>
      <w:r>
        <w:rPr>
          <w:sz w:val="25"/>
        </w:rPr>
        <w:t>the</w:t>
      </w:r>
      <w:r>
        <w:rPr>
          <w:spacing w:val="11"/>
          <w:sz w:val="25"/>
        </w:rPr>
        <w:t> </w:t>
      </w:r>
      <w:r>
        <w:rPr>
          <w:sz w:val="25"/>
        </w:rPr>
        <w:t>suit</w:t>
      </w:r>
      <w:r>
        <w:rPr>
          <w:spacing w:val="11"/>
          <w:sz w:val="25"/>
        </w:rPr>
        <w:t> </w:t>
      </w:r>
      <w:r>
        <w:rPr>
          <w:sz w:val="25"/>
        </w:rPr>
        <w:t>may</w:t>
      </w:r>
      <w:r>
        <w:rPr>
          <w:spacing w:val="11"/>
          <w:sz w:val="25"/>
        </w:rPr>
        <w:t> </w:t>
      </w:r>
      <w:r>
        <w:rPr>
          <w:sz w:val="25"/>
        </w:rPr>
        <w:t>be</w:t>
      </w:r>
      <w:r>
        <w:rPr>
          <w:spacing w:val="11"/>
          <w:sz w:val="25"/>
        </w:rPr>
        <w:t> </w:t>
      </w:r>
      <w:r>
        <w:rPr>
          <w:sz w:val="25"/>
        </w:rPr>
        <w:t>for</w:t>
      </w:r>
      <w:r>
        <w:rPr>
          <w:spacing w:val="13"/>
          <w:sz w:val="25"/>
        </w:rPr>
        <w:t> </w:t>
      </w:r>
      <w:r>
        <w:rPr>
          <w:sz w:val="25"/>
        </w:rPr>
        <w:t>the</w:t>
      </w:r>
      <w:r>
        <w:rPr>
          <w:spacing w:val="11"/>
          <w:sz w:val="25"/>
        </w:rPr>
        <w:t> </w:t>
      </w:r>
      <w:r>
        <w:rPr>
          <w:sz w:val="25"/>
        </w:rPr>
        <w:t>benefit</w:t>
      </w:r>
      <w:r>
        <w:rPr>
          <w:spacing w:val="11"/>
          <w:sz w:val="25"/>
        </w:rPr>
        <w:t> </w:t>
      </w:r>
      <w:r>
        <w:rPr>
          <w:sz w:val="25"/>
        </w:rPr>
        <w:t>of</w:t>
      </w:r>
      <w:r>
        <w:rPr>
          <w:spacing w:val="11"/>
          <w:sz w:val="25"/>
        </w:rPr>
        <w:t> </w:t>
      </w:r>
      <w:r>
        <w:rPr>
          <w:sz w:val="25"/>
        </w:rPr>
        <w:t>the</w:t>
      </w:r>
      <w:r>
        <w:rPr>
          <w:spacing w:val="11"/>
          <w:sz w:val="25"/>
        </w:rPr>
        <w:t> </w:t>
      </w:r>
      <w:r>
        <w:rPr>
          <w:sz w:val="25"/>
        </w:rPr>
        <w:t>deity.</w:t>
      </w:r>
      <w:r>
        <w:rPr>
          <w:spacing w:val="12"/>
          <w:sz w:val="25"/>
        </w:rPr>
        <w:t> </w:t>
      </w:r>
      <w:r>
        <w:rPr>
          <w:sz w:val="25"/>
        </w:rPr>
        <w:t>In</w:t>
      </w:r>
      <w:r>
        <w:rPr>
          <w:spacing w:val="11"/>
          <w:sz w:val="25"/>
        </w:rPr>
        <w:t> </w:t>
      </w:r>
      <w:r>
        <w:rPr>
          <w:sz w:val="25"/>
        </w:rPr>
        <w:t>this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t>view, the deity is not bound by the suit of the worshippers unless the remedy provided is </w:t>
      </w:r>
      <w:r>
        <w:rPr>
          <w:i/>
        </w:rPr>
        <w:t>in rem </w:t>
      </w:r>
      <w:r>
        <w:rPr/>
        <w:t>in nature. The matter raises two questions: First, is a suit filed by a worshipper in a personal capacity a sufficient and expedient method to protect the interests of the deity? Second, does allowing a next friend to sue on behalf of the deity without establishing the </w:t>
      </w:r>
      <w:r>
        <w:rPr>
          <w:i/>
        </w:rPr>
        <w:t>bona fide </w:t>
      </w:r>
      <w:r>
        <w:rPr/>
        <w:t>intentions and qualifications of the next friend put the deity‘s interest at risk?</w:t>
      </w:r>
    </w:p>
    <w:p>
      <w:pPr>
        <w:pStyle w:val="BodyText"/>
        <w:spacing w:before="11"/>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A suit by a worshipper in their personal capacity may be an appropriate remedy in certain cases. For example, where a shebait denies worshippers access to the idol, a suit by the worshipper in a personal capacity to grant access to the idol may constitute a suitable remedy against the shebait. A further benefit of confining the suits of worshippers to suits filed in a personal capacity is that in cases concerning the recovery of property, a suit by a worshipper in a personal capacity does not raise the question as to whom the possession of the land  would be given. However, where a suit is filed by a next friend on behalf of the deity itself, a problem arises: in a suit for the recovery of property on behalf of the idol, the court cannot deliver possession of the property to the next friend. The next friend is merely a temporary representative of the idol </w:t>
      </w:r>
      <w:r>
        <w:rPr>
          <w:spacing w:val="2"/>
          <w:sz w:val="25"/>
        </w:rPr>
        <w:t>for </w:t>
      </w:r>
      <w:r>
        <w:rPr>
          <w:sz w:val="25"/>
        </w:rPr>
        <w:t>the limited purposes of the individual litigation. Where a worshipper can only sue in their personal capacity, the question of the delivery of possession does not</w:t>
      </w:r>
      <w:r>
        <w:rPr>
          <w:spacing w:val="-16"/>
          <w:sz w:val="25"/>
        </w:rPr>
        <w:t> </w:t>
      </w:r>
      <w:r>
        <w:rPr>
          <w:sz w:val="25"/>
        </w:rPr>
        <w:t>arise.</w:t>
      </w:r>
    </w:p>
    <w:p>
      <w:pPr>
        <w:pStyle w:val="BodyText"/>
        <w:rPr>
          <w:sz w:val="39"/>
        </w:rPr>
      </w:pPr>
    </w:p>
    <w:p>
      <w:pPr>
        <w:pStyle w:val="ListParagraph"/>
        <w:numPr>
          <w:ilvl w:val="0"/>
          <w:numId w:val="111"/>
        </w:numPr>
        <w:tabs>
          <w:tab w:pos="1221" w:val="left" w:leader="none"/>
        </w:tabs>
        <w:spacing w:line="480" w:lineRule="auto" w:before="1" w:after="0"/>
        <w:ind w:left="500" w:right="445" w:firstLine="0"/>
        <w:jc w:val="both"/>
        <w:rPr>
          <w:sz w:val="25"/>
        </w:rPr>
      </w:pPr>
      <w:r>
        <w:rPr>
          <w:sz w:val="25"/>
        </w:rPr>
        <w:t>A suit by a worshipper in their personal capacity cannot however canvas the range of threats the idol may face at the hands of a negligent shebait and it may be necessary for the court to permit the next friend to sue on behalf of the idol</w:t>
      </w:r>
      <w:r>
        <w:rPr>
          <w:spacing w:val="37"/>
          <w:sz w:val="25"/>
        </w:rPr>
        <w:t> </w:t>
      </w:r>
      <w:r>
        <w:rPr>
          <w:sz w:val="25"/>
        </w:rPr>
        <w:t>itself</w:t>
      </w:r>
      <w:r>
        <w:rPr>
          <w:spacing w:val="38"/>
          <w:sz w:val="25"/>
        </w:rPr>
        <w:t> </w:t>
      </w:r>
      <w:r>
        <w:rPr>
          <w:sz w:val="25"/>
        </w:rPr>
        <w:t>to</w:t>
      </w:r>
      <w:r>
        <w:rPr>
          <w:spacing w:val="38"/>
          <w:sz w:val="25"/>
        </w:rPr>
        <w:t> </w:t>
      </w:r>
      <w:r>
        <w:rPr>
          <w:sz w:val="25"/>
        </w:rPr>
        <w:t>adequately</w:t>
      </w:r>
      <w:r>
        <w:rPr>
          <w:spacing w:val="34"/>
          <w:sz w:val="25"/>
        </w:rPr>
        <w:t> </w:t>
      </w:r>
      <w:r>
        <w:rPr>
          <w:sz w:val="25"/>
        </w:rPr>
        <w:t>protect</w:t>
      </w:r>
      <w:r>
        <w:rPr>
          <w:spacing w:val="38"/>
          <w:sz w:val="25"/>
        </w:rPr>
        <w:t> </w:t>
      </w:r>
      <w:r>
        <w:rPr>
          <w:sz w:val="25"/>
        </w:rPr>
        <w:t>the</w:t>
      </w:r>
      <w:r>
        <w:rPr>
          <w:spacing w:val="38"/>
          <w:sz w:val="25"/>
        </w:rPr>
        <w:t> </w:t>
      </w:r>
      <w:r>
        <w:rPr>
          <w:sz w:val="25"/>
        </w:rPr>
        <w:t>interests</w:t>
      </w:r>
      <w:r>
        <w:rPr>
          <w:spacing w:val="37"/>
          <w:sz w:val="25"/>
        </w:rPr>
        <w:t> </w:t>
      </w:r>
      <w:r>
        <w:rPr>
          <w:sz w:val="25"/>
        </w:rPr>
        <w:t>of</w:t>
      </w:r>
      <w:r>
        <w:rPr>
          <w:spacing w:val="38"/>
          <w:sz w:val="25"/>
        </w:rPr>
        <w:t> </w:t>
      </w:r>
      <w:r>
        <w:rPr>
          <w:sz w:val="25"/>
        </w:rPr>
        <w:t>the</w:t>
      </w:r>
      <w:r>
        <w:rPr>
          <w:spacing w:val="38"/>
          <w:sz w:val="25"/>
        </w:rPr>
        <w:t> </w:t>
      </w:r>
      <w:r>
        <w:rPr>
          <w:sz w:val="25"/>
        </w:rPr>
        <w:t>idol.</w:t>
      </w:r>
      <w:r>
        <w:rPr>
          <w:spacing w:val="37"/>
          <w:sz w:val="25"/>
        </w:rPr>
        <w:t> </w:t>
      </w:r>
      <w:r>
        <w:rPr>
          <w:sz w:val="25"/>
        </w:rPr>
        <w:t>For</w:t>
      </w:r>
      <w:r>
        <w:rPr>
          <w:spacing w:val="38"/>
          <w:sz w:val="25"/>
        </w:rPr>
        <w:t> </w:t>
      </w:r>
      <w:r>
        <w:rPr>
          <w:sz w:val="25"/>
        </w:rPr>
        <w:t>example,</w:t>
      </w:r>
      <w:r>
        <w:rPr>
          <w:spacing w:val="38"/>
          <w:sz w:val="25"/>
        </w:rPr>
        <w:t> </w:t>
      </w:r>
      <w:r>
        <w:rPr>
          <w:sz w:val="25"/>
        </w:rPr>
        <w:t>where</w:t>
      </w:r>
      <w:r>
        <w:rPr>
          <w:spacing w:val="37"/>
          <w:sz w:val="25"/>
        </w:rPr>
        <w:t> </w:t>
      </w:r>
      <w:r>
        <w:rPr>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shebait fails to file a suit for possession on behalf of a deity, a suit by a worshipper in their personal capacity is inadequate. Rather, what is required is a suit by a next friend on behalf of the idol for the recovery of possession of the property. It is true that possession will not be delivered to the next friend. However, the court can craft any number of reliefs, including the framing of a scheme upon an application by the Advocate General or two persons under Section 92 of the Civil Procedure Code 1908</w:t>
      </w:r>
      <w:r>
        <w:rPr>
          <w:vertAlign w:val="superscript"/>
        </w:rPr>
        <w:t>225</w:t>
      </w:r>
      <w:r>
        <w:rPr>
          <w:vertAlign w:val="baseline"/>
        </w:rPr>
        <w:t>, to ensure that the property is returned to the idol. Where the inaction or </w:t>
      </w:r>
      <w:r>
        <w:rPr>
          <w:i/>
          <w:vertAlign w:val="baseline"/>
        </w:rPr>
        <w:t>mala fide </w:t>
      </w:r>
      <w:r>
        <w:rPr>
          <w:vertAlign w:val="baseline"/>
        </w:rPr>
        <w:t>action of the shebait has already been established, such a scheme may be the appropriate remedy, however this will necessarily depend on the facts and circumstances of every case.</w:t>
      </w:r>
    </w:p>
    <w:p>
      <w:pPr>
        <w:pStyle w:val="BodyText"/>
        <w:rPr>
          <w:sz w:val="39"/>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In view of these observations, it is apparent that where the interests of the idol need to be protected, merely permitting interested worshippers to sue in their personal capacity does not afford the deity sufficient protections in law. In certain situations, a next friend must be permitted to sue on behalf of the idol – directly exercising</w:t>
      </w:r>
      <w:r>
        <w:rPr>
          <w:spacing w:val="22"/>
          <w:sz w:val="25"/>
        </w:rPr>
        <w:t> </w:t>
      </w:r>
      <w:r>
        <w:rPr>
          <w:sz w:val="25"/>
        </w:rPr>
        <w:t>the</w:t>
      </w:r>
      <w:r>
        <w:rPr>
          <w:spacing w:val="23"/>
          <w:sz w:val="25"/>
        </w:rPr>
        <w:t> </w:t>
      </w:r>
      <w:r>
        <w:rPr>
          <w:sz w:val="25"/>
        </w:rPr>
        <w:t>deity‘s</w:t>
      </w:r>
      <w:r>
        <w:rPr>
          <w:spacing w:val="22"/>
          <w:sz w:val="25"/>
        </w:rPr>
        <w:t> </w:t>
      </w:r>
      <w:r>
        <w:rPr>
          <w:sz w:val="25"/>
        </w:rPr>
        <w:t>right</w:t>
      </w:r>
      <w:r>
        <w:rPr>
          <w:spacing w:val="22"/>
          <w:sz w:val="25"/>
        </w:rPr>
        <w:t> </w:t>
      </w:r>
      <w:r>
        <w:rPr>
          <w:sz w:val="25"/>
        </w:rPr>
        <w:t>to</w:t>
      </w:r>
      <w:r>
        <w:rPr>
          <w:spacing w:val="24"/>
          <w:sz w:val="25"/>
        </w:rPr>
        <w:t> </w:t>
      </w:r>
      <w:r>
        <w:rPr>
          <w:sz w:val="25"/>
        </w:rPr>
        <w:t>sue.</w:t>
      </w:r>
      <w:r>
        <w:rPr>
          <w:spacing w:val="20"/>
          <w:sz w:val="25"/>
        </w:rPr>
        <w:t> </w:t>
      </w:r>
      <w:r>
        <w:rPr>
          <w:sz w:val="25"/>
        </w:rPr>
        <w:t>The</w:t>
      </w:r>
      <w:r>
        <w:rPr>
          <w:spacing w:val="20"/>
          <w:sz w:val="25"/>
        </w:rPr>
        <w:t> </w:t>
      </w:r>
      <w:r>
        <w:rPr>
          <w:sz w:val="25"/>
        </w:rPr>
        <w:t>question</w:t>
      </w:r>
      <w:r>
        <w:rPr>
          <w:spacing w:val="22"/>
          <w:sz w:val="25"/>
        </w:rPr>
        <w:t> </w:t>
      </w:r>
      <w:r>
        <w:rPr>
          <w:sz w:val="25"/>
        </w:rPr>
        <w:t>of</w:t>
      </w:r>
      <w:r>
        <w:rPr>
          <w:spacing w:val="24"/>
          <w:sz w:val="25"/>
        </w:rPr>
        <w:t> </w:t>
      </w:r>
      <w:r>
        <w:rPr>
          <w:sz w:val="25"/>
        </w:rPr>
        <w:t>relief</w:t>
      </w:r>
      <w:r>
        <w:rPr>
          <w:spacing w:val="23"/>
          <w:sz w:val="25"/>
        </w:rPr>
        <w:t> </w:t>
      </w:r>
      <w:r>
        <w:rPr>
          <w:sz w:val="25"/>
        </w:rPr>
        <w:t>is</w:t>
      </w:r>
      <w:r>
        <w:rPr>
          <w:spacing w:val="22"/>
          <w:sz w:val="25"/>
        </w:rPr>
        <w:t> </w:t>
      </w:r>
      <w:r>
        <w:rPr>
          <w:sz w:val="25"/>
        </w:rPr>
        <w:t>fundamentally</w:t>
      </w:r>
    </w:p>
    <w:p>
      <w:pPr>
        <w:pStyle w:val="BodyText"/>
        <w:spacing w:before="10"/>
        <w:rPr>
          <w:sz w:val="12"/>
        </w:rPr>
      </w:pPr>
      <w:r>
        <w:rPr/>
        <w:pict>
          <v:rect style="position:absolute;margin-left:72.024002pt;margin-top:9.384325pt;width:144.020pt;height:.60004pt;mso-position-horizontal-relative:page;mso-position-vertical-relative:paragraph;z-index:-15666688;mso-wrap-distance-left:0;mso-wrap-distance-right:0" filled="true" fillcolor="#000000" stroked="false">
            <v:fill type="solid"/>
            <w10:wrap type="topAndBottom"/>
          </v:rect>
        </w:pict>
      </w:r>
    </w:p>
    <w:p>
      <w:pPr>
        <w:pStyle w:val="BodyText"/>
        <w:spacing w:before="10"/>
        <w:rPr>
          <w:sz w:val="19"/>
        </w:rPr>
      </w:pPr>
    </w:p>
    <w:p>
      <w:pPr>
        <w:spacing w:before="131"/>
        <w:ind w:left="500" w:right="434" w:firstLine="0"/>
        <w:jc w:val="both"/>
        <w:rPr>
          <w:sz w:val="18"/>
        </w:rPr>
      </w:pPr>
      <w:r>
        <w:rPr>
          <w:sz w:val="18"/>
          <w:vertAlign w:val="superscript"/>
        </w:rPr>
        <w:t>225</w:t>
      </w:r>
      <w:r>
        <w:rPr>
          <w:sz w:val="18"/>
          <w:vertAlign w:val="baseline"/>
        </w:rPr>
        <w:t> </w:t>
      </w:r>
      <w:r>
        <w:rPr>
          <w:color w:val="212121"/>
          <w:sz w:val="18"/>
          <w:vertAlign w:val="baseline"/>
        </w:rPr>
        <w:t>92. Public charities.—(1) In the case of any alleged breach of any express or constructive trust created for public purposes of a charitable or religious nature, or where the direction of the Court is deemed necessary for the administration of any such trust, the Advocate-General, or two or more persons having an interest in the trust and having obtained the [leave of the Court,] may institute a suit, whether contentious or not, in the principal Civil Court of original jurisdiction or in any other Court empowered in that behalf by the State Government within the local limits of whose jurisdiction the whole or any part of the subject-matter of the trust is situate to obtain a decree—</w:t>
      </w:r>
    </w:p>
    <w:p>
      <w:pPr>
        <w:pStyle w:val="ListParagraph"/>
        <w:numPr>
          <w:ilvl w:val="0"/>
          <w:numId w:val="116"/>
        </w:numPr>
        <w:tabs>
          <w:tab w:pos="772" w:val="left" w:leader="none"/>
        </w:tabs>
        <w:spacing w:line="205" w:lineRule="exact" w:before="0" w:after="0"/>
        <w:ind w:left="771" w:right="0" w:hanging="272"/>
        <w:jc w:val="left"/>
        <w:rPr>
          <w:sz w:val="18"/>
        </w:rPr>
      </w:pPr>
      <w:r>
        <w:rPr>
          <w:color w:val="212121"/>
          <w:sz w:val="18"/>
        </w:rPr>
        <w:t>removing any</w:t>
      </w:r>
      <w:r>
        <w:rPr>
          <w:color w:val="212121"/>
          <w:spacing w:val="-3"/>
          <w:sz w:val="18"/>
        </w:rPr>
        <w:t> </w:t>
      </w:r>
      <w:r>
        <w:rPr>
          <w:color w:val="212121"/>
          <w:sz w:val="18"/>
        </w:rPr>
        <w:t>trustee;</w:t>
      </w:r>
    </w:p>
    <w:p>
      <w:pPr>
        <w:pStyle w:val="ListParagraph"/>
        <w:numPr>
          <w:ilvl w:val="0"/>
          <w:numId w:val="116"/>
        </w:numPr>
        <w:tabs>
          <w:tab w:pos="772" w:val="left" w:leader="none"/>
        </w:tabs>
        <w:spacing w:line="207" w:lineRule="exact" w:before="0" w:after="0"/>
        <w:ind w:left="771" w:right="0" w:hanging="272"/>
        <w:jc w:val="left"/>
        <w:rPr>
          <w:sz w:val="18"/>
        </w:rPr>
      </w:pPr>
      <w:r>
        <w:rPr>
          <w:color w:val="212121"/>
          <w:sz w:val="18"/>
        </w:rPr>
        <w:t>appointing a new</w:t>
      </w:r>
      <w:r>
        <w:rPr>
          <w:color w:val="212121"/>
          <w:spacing w:val="-6"/>
          <w:sz w:val="18"/>
        </w:rPr>
        <w:t> </w:t>
      </w:r>
      <w:r>
        <w:rPr>
          <w:color w:val="212121"/>
          <w:sz w:val="18"/>
        </w:rPr>
        <w:t>trustee;</w:t>
      </w:r>
    </w:p>
    <w:p>
      <w:pPr>
        <w:pStyle w:val="ListParagraph"/>
        <w:numPr>
          <w:ilvl w:val="0"/>
          <w:numId w:val="116"/>
        </w:numPr>
        <w:tabs>
          <w:tab w:pos="762" w:val="left" w:leader="none"/>
        </w:tabs>
        <w:spacing w:line="207" w:lineRule="exact" w:before="2" w:after="0"/>
        <w:ind w:left="761" w:right="0" w:hanging="262"/>
        <w:jc w:val="left"/>
        <w:rPr>
          <w:sz w:val="18"/>
        </w:rPr>
      </w:pPr>
      <w:r>
        <w:rPr>
          <w:color w:val="212121"/>
          <w:sz w:val="18"/>
        </w:rPr>
        <w:t>vesting any property in a</w:t>
      </w:r>
      <w:r>
        <w:rPr>
          <w:color w:val="212121"/>
          <w:spacing w:val="-6"/>
          <w:sz w:val="18"/>
        </w:rPr>
        <w:t> </w:t>
      </w:r>
      <w:r>
        <w:rPr>
          <w:color w:val="212121"/>
          <w:sz w:val="18"/>
        </w:rPr>
        <w:t>trustee;</w:t>
      </w:r>
    </w:p>
    <w:p>
      <w:pPr>
        <w:spacing w:before="0"/>
        <w:ind w:left="500" w:right="512" w:firstLine="0"/>
        <w:jc w:val="left"/>
        <w:rPr>
          <w:sz w:val="18"/>
        </w:rPr>
      </w:pPr>
      <w:r>
        <w:rPr>
          <w:color w:val="212121"/>
          <w:sz w:val="18"/>
        </w:rPr>
        <w:t>[(</w:t>
      </w:r>
      <w:r>
        <w:rPr>
          <w:i/>
          <w:color w:val="212121"/>
          <w:sz w:val="18"/>
        </w:rPr>
        <w:t>cc</w:t>
      </w:r>
      <w:r>
        <w:rPr>
          <w:color w:val="212121"/>
          <w:sz w:val="18"/>
        </w:rPr>
        <w:t>) directing a trustee who has been removed or a person who has ceased to </w:t>
      </w:r>
      <w:r>
        <w:rPr>
          <w:color w:val="212121"/>
          <w:spacing w:val="4"/>
          <w:sz w:val="18"/>
        </w:rPr>
        <w:t>be </w:t>
      </w:r>
      <w:r>
        <w:rPr>
          <w:color w:val="212121"/>
          <w:sz w:val="18"/>
        </w:rPr>
        <w:t>a trustee, to deliver possession</w:t>
      </w:r>
      <w:r>
        <w:rPr>
          <w:color w:val="212121"/>
          <w:spacing w:val="-2"/>
          <w:sz w:val="18"/>
        </w:rPr>
        <w:t> </w:t>
      </w:r>
      <w:r>
        <w:rPr>
          <w:color w:val="212121"/>
          <w:sz w:val="18"/>
        </w:rPr>
        <w:t>of</w:t>
      </w:r>
      <w:r>
        <w:rPr>
          <w:color w:val="212121"/>
          <w:spacing w:val="-3"/>
          <w:sz w:val="18"/>
        </w:rPr>
        <w:t> </w:t>
      </w:r>
      <w:r>
        <w:rPr>
          <w:color w:val="212121"/>
          <w:sz w:val="18"/>
        </w:rPr>
        <w:t>any</w:t>
      </w:r>
      <w:r>
        <w:rPr>
          <w:color w:val="212121"/>
          <w:spacing w:val="-3"/>
          <w:sz w:val="18"/>
        </w:rPr>
        <w:t> </w:t>
      </w:r>
      <w:r>
        <w:rPr>
          <w:color w:val="212121"/>
          <w:sz w:val="18"/>
        </w:rPr>
        <w:t>trust</w:t>
      </w:r>
      <w:r>
        <w:rPr>
          <w:color w:val="212121"/>
          <w:spacing w:val="-1"/>
          <w:sz w:val="18"/>
        </w:rPr>
        <w:t> </w:t>
      </w:r>
      <w:r>
        <w:rPr>
          <w:color w:val="212121"/>
          <w:sz w:val="18"/>
        </w:rPr>
        <w:t>property</w:t>
      </w:r>
      <w:r>
        <w:rPr>
          <w:color w:val="212121"/>
          <w:spacing w:val="-3"/>
          <w:sz w:val="18"/>
        </w:rPr>
        <w:t> </w:t>
      </w:r>
      <w:r>
        <w:rPr>
          <w:color w:val="212121"/>
          <w:sz w:val="18"/>
        </w:rPr>
        <w:t>in</w:t>
      </w:r>
      <w:r>
        <w:rPr>
          <w:color w:val="212121"/>
          <w:spacing w:val="-1"/>
          <w:sz w:val="18"/>
        </w:rPr>
        <w:t> </w:t>
      </w:r>
      <w:r>
        <w:rPr>
          <w:color w:val="212121"/>
          <w:sz w:val="18"/>
        </w:rPr>
        <w:t>his possession</w:t>
      </w:r>
      <w:r>
        <w:rPr>
          <w:color w:val="212121"/>
          <w:spacing w:val="-1"/>
          <w:sz w:val="18"/>
        </w:rPr>
        <w:t> </w:t>
      </w:r>
      <w:r>
        <w:rPr>
          <w:color w:val="212121"/>
          <w:sz w:val="18"/>
        </w:rPr>
        <w:t>to</w:t>
      </w:r>
      <w:r>
        <w:rPr>
          <w:color w:val="212121"/>
          <w:spacing w:val="-4"/>
          <w:sz w:val="18"/>
        </w:rPr>
        <w:t> </w:t>
      </w:r>
      <w:r>
        <w:rPr>
          <w:color w:val="212121"/>
          <w:sz w:val="18"/>
        </w:rPr>
        <w:t>the</w:t>
      </w:r>
      <w:r>
        <w:rPr>
          <w:color w:val="212121"/>
          <w:spacing w:val="-3"/>
          <w:sz w:val="18"/>
        </w:rPr>
        <w:t> </w:t>
      </w:r>
      <w:r>
        <w:rPr>
          <w:color w:val="212121"/>
          <w:sz w:val="18"/>
        </w:rPr>
        <w:t>person</w:t>
      </w:r>
      <w:r>
        <w:rPr>
          <w:color w:val="212121"/>
          <w:spacing w:val="-3"/>
          <w:sz w:val="18"/>
        </w:rPr>
        <w:t> </w:t>
      </w:r>
      <w:r>
        <w:rPr>
          <w:color w:val="212121"/>
          <w:sz w:val="18"/>
        </w:rPr>
        <w:t>entitled</w:t>
      </w:r>
      <w:r>
        <w:rPr>
          <w:color w:val="212121"/>
          <w:spacing w:val="-3"/>
          <w:sz w:val="18"/>
        </w:rPr>
        <w:t> </w:t>
      </w:r>
      <w:r>
        <w:rPr>
          <w:color w:val="212121"/>
          <w:sz w:val="18"/>
        </w:rPr>
        <w:t>to</w:t>
      </w:r>
      <w:r>
        <w:rPr>
          <w:color w:val="212121"/>
          <w:spacing w:val="-1"/>
          <w:sz w:val="18"/>
        </w:rPr>
        <w:t> </w:t>
      </w:r>
      <w:r>
        <w:rPr>
          <w:color w:val="212121"/>
          <w:sz w:val="18"/>
        </w:rPr>
        <w:t>the</w:t>
      </w:r>
      <w:r>
        <w:rPr>
          <w:color w:val="212121"/>
          <w:spacing w:val="-2"/>
          <w:sz w:val="18"/>
        </w:rPr>
        <w:t> </w:t>
      </w:r>
      <w:r>
        <w:rPr>
          <w:color w:val="212121"/>
          <w:sz w:val="18"/>
        </w:rPr>
        <w:t>possession</w:t>
      </w:r>
      <w:r>
        <w:rPr>
          <w:color w:val="212121"/>
          <w:spacing w:val="-3"/>
          <w:sz w:val="18"/>
        </w:rPr>
        <w:t> </w:t>
      </w:r>
      <w:r>
        <w:rPr>
          <w:color w:val="212121"/>
          <w:sz w:val="18"/>
        </w:rPr>
        <w:t>of</w:t>
      </w:r>
      <w:r>
        <w:rPr>
          <w:color w:val="212121"/>
          <w:spacing w:val="-1"/>
          <w:sz w:val="18"/>
        </w:rPr>
        <w:t> </w:t>
      </w:r>
      <w:r>
        <w:rPr>
          <w:color w:val="212121"/>
          <w:sz w:val="18"/>
        </w:rPr>
        <w:t>such</w:t>
      </w:r>
      <w:r>
        <w:rPr>
          <w:color w:val="212121"/>
          <w:spacing w:val="-3"/>
          <w:sz w:val="18"/>
        </w:rPr>
        <w:t> </w:t>
      </w:r>
      <w:r>
        <w:rPr>
          <w:color w:val="212121"/>
          <w:sz w:val="18"/>
        </w:rPr>
        <w:t>property;]</w:t>
      </w:r>
    </w:p>
    <w:p>
      <w:pPr>
        <w:pStyle w:val="ListParagraph"/>
        <w:numPr>
          <w:ilvl w:val="0"/>
          <w:numId w:val="116"/>
        </w:numPr>
        <w:tabs>
          <w:tab w:pos="772" w:val="left" w:leader="none"/>
        </w:tabs>
        <w:spacing w:line="206" w:lineRule="exact" w:before="0" w:after="0"/>
        <w:ind w:left="771" w:right="0" w:hanging="272"/>
        <w:jc w:val="left"/>
        <w:rPr>
          <w:sz w:val="18"/>
        </w:rPr>
      </w:pPr>
      <w:r>
        <w:rPr>
          <w:color w:val="212121"/>
          <w:sz w:val="18"/>
        </w:rPr>
        <w:t>directing accounts and inquiries;</w:t>
      </w:r>
    </w:p>
    <w:p>
      <w:pPr>
        <w:pStyle w:val="ListParagraph"/>
        <w:numPr>
          <w:ilvl w:val="0"/>
          <w:numId w:val="116"/>
        </w:numPr>
        <w:tabs>
          <w:tab w:pos="794" w:val="left" w:leader="none"/>
        </w:tabs>
        <w:spacing w:line="242" w:lineRule="auto" w:before="1" w:after="0"/>
        <w:ind w:left="500" w:right="437" w:firstLine="0"/>
        <w:jc w:val="left"/>
        <w:rPr>
          <w:sz w:val="18"/>
        </w:rPr>
      </w:pPr>
      <w:r>
        <w:rPr>
          <w:color w:val="212121"/>
          <w:sz w:val="18"/>
        </w:rPr>
        <w:t>declaring what proportion of the trust property or of the interest therein shall be allocated to any particular object of the</w:t>
      </w:r>
      <w:r>
        <w:rPr>
          <w:color w:val="212121"/>
          <w:spacing w:val="-5"/>
          <w:sz w:val="18"/>
        </w:rPr>
        <w:t> </w:t>
      </w:r>
      <w:r>
        <w:rPr>
          <w:color w:val="212121"/>
          <w:sz w:val="18"/>
        </w:rPr>
        <w:t>trust;</w:t>
      </w:r>
    </w:p>
    <w:p>
      <w:pPr>
        <w:pStyle w:val="ListParagraph"/>
        <w:numPr>
          <w:ilvl w:val="0"/>
          <w:numId w:val="116"/>
        </w:numPr>
        <w:tabs>
          <w:tab w:pos="721" w:val="left" w:leader="none"/>
        </w:tabs>
        <w:spacing w:line="202" w:lineRule="exact" w:before="0" w:after="0"/>
        <w:ind w:left="720" w:right="0" w:hanging="221"/>
        <w:jc w:val="left"/>
        <w:rPr>
          <w:sz w:val="18"/>
        </w:rPr>
      </w:pPr>
      <w:r>
        <w:rPr>
          <w:color w:val="212121"/>
          <w:sz w:val="18"/>
        </w:rPr>
        <w:t>authorising the whole or any part of the trust property to be let, sold, mortgaged or</w:t>
      </w:r>
      <w:r>
        <w:rPr>
          <w:color w:val="212121"/>
          <w:spacing w:val="-22"/>
          <w:sz w:val="18"/>
        </w:rPr>
        <w:t> </w:t>
      </w:r>
      <w:r>
        <w:rPr>
          <w:color w:val="212121"/>
          <w:sz w:val="18"/>
        </w:rPr>
        <w:t>exchanged;</w:t>
      </w:r>
    </w:p>
    <w:p>
      <w:pPr>
        <w:pStyle w:val="ListParagraph"/>
        <w:numPr>
          <w:ilvl w:val="0"/>
          <w:numId w:val="116"/>
        </w:numPr>
        <w:tabs>
          <w:tab w:pos="772" w:val="left" w:leader="none"/>
        </w:tabs>
        <w:spacing w:line="207" w:lineRule="exact" w:before="0" w:after="0"/>
        <w:ind w:left="771" w:right="0" w:hanging="272"/>
        <w:jc w:val="left"/>
        <w:rPr>
          <w:sz w:val="18"/>
        </w:rPr>
      </w:pPr>
      <w:r>
        <w:rPr>
          <w:color w:val="212121"/>
          <w:sz w:val="18"/>
        </w:rPr>
        <w:t>settling a scheme;</w:t>
      </w:r>
      <w:r>
        <w:rPr>
          <w:color w:val="212121"/>
          <w:spacing w:val="-3"/>
          <w:sz w:val="18"/>
        </w:rPr>
        <w:t> </w:t>
      </w:r>
      <w:r>
        <w:rPr>
          <w:color w:val="212121"/>
          <w:sz w:val="18"/>
        </w:rPr>
        <w:t>or</w:t>
      </w:r>
    </w:p>
    <w:p>
      <w:pPr>
        <w:pStyle w:val="ListParagraph"/>
        <w:numPr>
          <w:ilvl w:val="0"/>
          <w:numId w:val="116"/>
        </w:numPr>
        <w:tabs>
          <w:tab w:pos="772" w:val="left" w:leader="none"/>
        </w:tabs>
        <w:spacing w:line="240" w:lineRule="auto" w:before="2" w:after="0"/>
        <w:ind w:left="771" w:right="0" w:hanging="272"/>
        <w:jc w:val="left"/>
        <w:rPr>
          <w:sz w:val="18"/>
        </w:rPr>
      </w:pPr>
      <w:r>
        <w:rPr>
          <w:color w:val="212121"/>
          <w:sz w:val="18"/>
        </w:rPr>
        <w:t>granting such further or other relief as the nature of the case may</w:t>
      </w:r>
      <w:r>
        <w:rPr>
          <w:color w:val="212121"/>
          <w:spacing w:val="-3"/>
          <w:sz w:val="18"/>
        </w:rPr>
        <w:t> </w:t>
      </w:r>
      <w:r>
        <w:rPr>
          <w:color w:val="212121"/>
          <w:sz w:val="18"/>
        </w:rPr>
        <w:t>require.</w:t>
      </w:r>
    </w:p>
    <w:p>
      <w:pPr>
        <w:spacing w:after="0" w:line="240" w:lineRule="auto"/>
        <w:jc w:val="left"/>
        <w:rPr>
          <w:sz w:val="18"/>
        </w:rPr>
        <w:sectPr>
          <w:pgSz w:w="11910" w:h="16840"/>
          <w:pgMar w:header="721" w:footer="1014" w:top="1300" w:bottom="1200" w:left="940" w:right="1000"/>
        </w:sectPr>
      </w:pPr>
    </w:p>
    <w:p>
      <w:pPr>
        <w:pStyle w:val="BodyText"/>
        <w:spacing w:line="480" w:lineRule="auto" w:before="124"/>
        <w:ind w:left="500"/>
      </w:pPr>
      <w:r>
        <w:rPr/>
        <w:t>contextual and must be framed by the court in light of the parties before it and the circumstances of each case.</w:t>
      </w:r>
    </w:p>
    <w:p>
      <w:pPr>
        <w:pStyle w:val="BodyText"/>
        <w:spacing w:before="11"/>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This, however, brings us to the second question whether allowing a next friend to sue on behalf of the idol puts the idol at risk. The idol and its properties must be protected against the threat of a wayward ‗next friend‘. Where the </w:t>
      </w:r>
      <w:r>
        <w:rPr>
          <w:w w:val="99"/>
          <w:sz w:val="25"/>
        </w:rPr>
        <w:t>sheba</w:t>
      </w:r>
      <w:r>
        <w:rPr>
          <w:w w:val="99"/>
          <w:sz w:val="25"/>
        </w:rPr>
        <w:t>it</w:t>
      </w:r>
      <w:r>
        <w:rPr>
          <w:spacing w:val="9"/>
          <w:sz w:val="25"/>
        </w:rPr>
        <w:t> </w:t>
      </w:r>
      <w:r>
        <w:rPr>
          <w:w w:val="99"/>
          <w:sz w:val="25"/>
        </w:rPr>
        <w:t>acts</w:t>
      </w:r>
      <w:r>
        <w:rPr>
          <w:spacing w:val="10"/>
          <w:sz w:val="25"/>
        </w:rPr>
        <w:t> </w:t>
      </w:r>
      <w:r>
        <w:rPr>
          <w:w w:val="99"/>
          <w:sz w:val="25"/>
        </w:rPr>
        <w:t>i</w:t>
      </w:r>
      <w:r>
        <w:rPr>
          <w:w w:val="99"/>
          <w:sz w:val="25"/>
        </w:rPr>
        <w:t>n</w:t>
      </w:r>
      <w:r>
        <w:rPr>
          <w:spacing w:val="9"/>
          <w:sz w:val="25"/>
        </w:rPr>
        <w:t> </w:t>
      </w:r>
      <w:r>
        <w:rPr>
          <w:w w:val="99"/>
          <w:sz w:val="25"/>
        </w:rPr>
        <w:t>a</w:t>
      </w:r>
      <w:r>
        <w:rPr>
          <w:spacing w:val="8"/>
          <w:sz w:val="25"/>
        </w:rPr>
        <w:t> </w:t>
      </w:r>
      <w:r>
        <w:rPr>
          <w:i/>
          <w:spacing w:val="-4"/>
          <w:w w:val="99"/>
          <w:sz w:val="25"/>
        </w:rPr>
        <w:t>m</w:t>
      </w:r>
      <w:r>
        <w:rPr>
          <w:i/>
          <w:w w:val="99"/>
          <w:sz w:val="25"/>
        </w:rPr>
        <w:t>ala</w:t>
      </w:r>
      <w:r>
        <w:rPr>
          <w:i/>
          <w:spacing w:val="12"/>
          <w:sz w:val="25"/>
        </w:rPr>
        <w:t> </w:t>
      </w:r>
      <w:r>
        <w:rPr>
          <w:i/>
          <w:w w:val="99"/>
          <w:sz w:val="25"/>
        </w:rPr>
        <w:t>fide</w:t>
      </w:r>
      <w:r>
        <w:rPr>
          <w:i/>
          <w:spacing w:val="11"/>
          <w:sz w:val="25"/>
        </w:rPr>
        <w:t> </w:t>
      </w:r>
      <w:r>
        <w:rPr>
          <w:w w:val="99"/>
          <w:sz w:val="25"/>
        </w:rPr>
        <w:t>m</w:t>
      </w:r>
      <w:r>
        <w:rPr>
          <w:spacing w:val="-1"/>
          <w:w w:val="99"/>
          <w:sz w:val="25"/>
        </w:rPr>
        <w:t>a</w:t>
      </w:r>
      <w:r>
        <w:rPr>
          <w:w w:val="99"/>
          <w:sz w:val="25"/>
        </w:rPr>
        <w:t>n</w:t>
      </w:r>
      <w:r>
        <w:rPr>
          <w:spacing w:val="-1"/>
          <w:w w:val="99"/>
          <w:sz w:val="25"/>
        </w:rPr>
        <w:t>n</w:t>
      </w:r>
      <w:r>
        <w:rPr>
          <w:spacing w:val="-2"/>
          <w:w w:val="99"/>
          <w:sz w:val="25"/>
        </w:rPr>
        <w:t>e</w:t>
      </w:r>
      <w:r>
        <w:rPr>
          <w:w w:val="99"/>
          <w:sz w:val="25"/>
        </w:rPr>
        <w:t>r,</w:t>
      </w:r>
      <w:r>
        <w:rPr>
          <w:spacing w:val="9"/>
          <w:sz w:val="25"/>
        </w:rPr>
        <w:t> </w:t>
      </w:r>
      <w:r>
        <w:rPr>
          <w:spacing w:val="-1"/>
          <w:w w:val="99"/>
          <w:sz w:val="25"/>
        </w:rPr>
        <w:t>a</w:t>
      </w:r>
      <w:r>
        <w:rPr>
          <w:w w:val="99"/>
          <w:sz w:val="25"/>
        </w:rPr>
        <w:t>ny</w:t>
      </w:r>
      <w:r>
        <w:rPr>
          <w:spacing w:val="6"/>
          <w:sz w:val="25"/>
        </w:rPr>
        <w:t> </w:t>
      </w:r>
      <w:r>
        <w:rPr>
          <w:spacing w:val="-1"/>
          <w:w w:val="99"/>
          <w:sz w:val="25"/>
        </w:rPr>
        <w:t>p</w:t>
      </w:r>
      <w:r>
        <w:rPr>
          <w:w w:val="99"/>
          <w:sz w:val="25"/>
        </w:rPr>
        <w:t>e</w:t>
      </w:r>
      <w:r>
        <w:rPr>
          <w:spacing w:val="-2"/>
          <w:w w:val="99"/>
          <w:sz w:val="25"/>
        </w:rPr>
        <w:t>r</w:t>
      </w:r>
      <w:r>
        <w:rPr>
          <w:w w:val="99"/>
          <w:sz w:val="25"/>
        </w:rPr>
        <w:t>son</w:t>
      </w:r>
      <w:r>
        <w:rPr>
          <w:spacing w:val="9"/>
          <w:sz w:val="25"/>
        </w:rPr>
        <w:t> </w:t>
      </w:r>
      <w:r>
        <w:rPr>
          <w:w w:val="99"/>
          <w:sz w:val="25"/>
        </w:rPr>
        <w:t>claim</w:t>
      </w:r>
      <w:r>
        <w:rPr>
          <w:spacing w:val="-1"/>
          <w:w w:val="99"/>
          <w:sz w:val="25"/>
        </w:rPr>
        <w:t>in</w:t>
      </w:r>
      <w:r>
        <w:rPr>
          <w:w w:val="99"/>
          <w:sz w:val="25"/>
        </w:rPr>
        <w:t>g</w:t>
      </w:r>
      <w:r>
        <w:rPr>
          <w:spacing w:val="10"/>
          <w:sz w:val="25"/>
        </w:rPr>
        <w:t> </w:t>
      </w:r>
      <w:r>
        <w:rPr>
          <w:w w:val="99"/>
          <w:sz w:val="25"/>
        </w:rPr>
        <w:t>to</w:t>
      </w:r>
      <w:r>
        <w:rPr>
          <w:spacing w:val="10"/>
          <w:sz w:val="25"/>
        </w:rPr>
        <w:t> </w:t>
      </w:r>
      <w:r>
        <w:rPr>
          <w:spacing w:val="-1"/>
          <w:w w:val="99"/>
          <w:sz w:val="25"/>
        </w:rPr>
        <w:t>b</w:t>
      </w:r>
      <w:r>
        <w:rPr>
          <w:w w:val="99"/>
          <w:sz w:val="25"/>
        </w:rPr>
        <w:t>e</w:t>
      </w:r>
      <w:r>
        <w:rPr>
          <w:spacing w:val="7"/>
          <w:sz w:val="25"/>
        </w:rPr>
        <w:t> </w:t>
      </w:r>
      <w:r>
        <w:rPr>
          <w:w w:val="99"/>
          <w:sz w:val="25"/>
        </w:rPr>
        <w:t>a</w:t>
      </w:r>
      <w:r>
        <w:rPr>
          <w:spacing w:val="9"/>
          <w:sz w:val="25"/>
        </w:rPr>
        <w:t> </w:t>
      </w:r>
      <w:r>
        <w:rPr>
          <w:spacing w:val="-3"/>
          <w:w w:val="40"/>
          <w:sz w:val="25"/>
        </w:rPr>
        <w:t>‗</w:t>
      </w:r>
      <w:r>
        <w:rPr>
          <w:spacing w:val="-1"/>
          <w:w w:val="99"/>
          <w:sz w:val="25"/>
        </w:rPr>
        <w:t>n</w:t>
      </w:r>
      <w:r>
        <w:rPr>
          <w:w w:val="99"/>
          <w:sz w:val="25"/>
        </w:rPr>
        <w:t>e</w:t>
      </w:r>
      <w:r>
        <w:rPr>
          <w:spacing w:val="-3"/>
          <w:w w:val="99"/>
          <w:sz w:val="25"/>
        </w:rPr>
        <w:t>x</w:t>
      </w:r>
      <w:r>
        <w:rPr>
          <w:w w:val="99"/>
          <w:sz w:val="25"/>
        </w:rPr>
        <w:t>t</w:t>
      </w:r>
      <w:r>
        <w:rPr>
          <w:spacing w:val="9"/>
          <w:sz w:val="25"/>
        </w:rPr>
        <w:t> </w:t>
      </w:r>
      <w:r>
        <w:rPr>
          <w:w w:val="99"/>
          <w:sz w:val="25"/>
        </w:rPr>
        <w:t>fr</w:t>
      </w:r>
      <w:r>
        <w:rPr>
          <w:spacing w:val="-1"/>
          <w:w w:val="99"/>
          <w:sz w:val="25"/>
        </w:rPr>
        <w:t>ien</w:t>
      </w:r>
      <w:r>
        <w:rPr>
          <w:w w:val="99"/>
          <w:sz w:val="25"/>
        </w:rPr>
        <w:t>d‘</w:t>
      </w:r>
      <w:r>
        <w:rPr>
          <w:spacing w:val="9"/>
          <w:sz w:val="25"/>
        </w:rPr>
        <w:t> </w:t>
      </w:r>
      <w:r>
        <w:rPr>
          <w:w w:val="99"/>
          <w:sz w:val="25"/>
        </w:rPr>
        <w:t>m</w:t>
      </w:r>
      <w:r>
        <w:rPr>
          <w:spacing w:val="-1"/>
          <w:w w:val="99"/>
          <w:sz w:val="25"/>
        </w:rPr>
        <w:t>ay </w:t>
      </w:r>
      <w:r>
        <w:rPr>
          <w:sz w:val="25"/>
        </w:rPr>
        <w:t>sue. Such a person may in truth have intentions hostile to the deity and  sue under false provenance. Even a well-intentioned worshipper may sue as a next friend and purely due to financial constraints or negligence lose the suit and adversely bind the deity. A solution offered by Justice Pal in </w:t>
      </w:r>
      <w:r>
        <w:rPr>
          <w:b/>
          <w:sz w:val="25"/>
        </w:rPr>
        <w:t>Tarit Bhushan Rai</w:t>
      </w:r>
      <w:r>
        <w:rPr>
          <w:sz w:val="25"/>
        </w:rPr>
        <w:t>, and urged by Dr Dhavan in the present proceedings, is that only court appointed next friends may sue on behalf of the idol. No doubt this would satisfy the court that the next friend is </w:t>
      </w:r>
      <w:r>
        <w:rPr>
          <w:i/>
          <w:sz w:val="25"/>
        </w:rPr>
        <w:t>bona fide </w:t>
      </w:r>
      <w:r>
        <w:rPr>
          <w:sz w:val="25"/>
        </w:rPr>
        <w:t>and can satisfactorily represent the</w:t>
      </w:r>
      <w:r>
        <w:rPr>
          <w:spacing w:val="-14"/>
          <w:sz w:val="25"/>
        </w:rPr>
        <w:t> </w:t>
      </w:r>
      <w:r>
        <w:rPr>
          <w:sz w:val="25"/>
        </w:rPr>
        <w:t>deity.</w:t>
      </w:r>
    </w:p>
    <w:p>
      <w:pPr>
        <w:pStyle w:val="BodyText"/>
        <w:spacing w:before="10"/>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It is true that unless the fitness of the next friend is tested in some manner, an individual whose </w:t>
      </w:r>
      <w:r>
        <w:rPr>
          <w:i/>
          <w:sz w:val="25"/>
        </w:rPr>
        <w:t>bona fides </w:t>
      </w:r>
      <w:r>
        <w:rPr>
          <w:sz w:val="25"/>
        </w:rPr>
        <w:t>has not been determined may represent and bind the idol to its detriment. However, it would be unnecessarily burdensome to require every next friend to first be appointed by a court or for a court to find a disinterested person to represent the deity. The deity‘s interests would be sufficiently protected if, in cases where the </w:t>
      </w:r>
      <w:r>
        <w:rPr>
          <w:i/>
          <w:sz w:val="25"/>
        </w:rPr>
        <w:t>bona fides </w:t>
      </w:r>
      <w:r>
        <w:rPr>
          <w:sz w:val="25"/>
        </w:rPr>
        <w:t>of the next friend are contested by another party, the court substantively examines whether the next friend is fit to represent the idol. In an appropriate case, the court can do so of its own accord where it considers it necessary to protect the interest of the deity. In the</w:t>
      </w:r>
      <w:r>
        <w:rPr>
          <w:spacing w:val="51"/>
          <w:sz w:val="25"/>
        </w:rPr>
        <w:t> </w:t>
      </w:r>
      <w:r>
        <w:rPr>
          <w:sz w:val="25"/>
        </w:rPr>
        <w:t>absence</w:t>
      </w:r>
      <w:r>
        <w:rPr>
          <w:spacing w:val="52"/>
          <w:sz w:val="25"/>
        </w:rPr>
        <w:t> </w:t>
      </w:r>
      <w:r>
        <w:rPr>
          <w:sz w:val="25"/>
        </w:rPr>
        <w:t>of</w:t>
      </w:r>
      <w:r>
        <w:rPr>
          <w:spacing w:val="52"/>
          <w:sz w:val="25"/>
        </w:rPr>
        <w:t> </w:t>
      </w:r>
      <w:r>
        <w:rPr>
          <w:sz w:val="25"/>
        </w:rPr>
        <w:t>any</w:t>
      </w:r>
      <w:r>
        <w:rPr>
          <w:spacing w:val="52"/>
          <w:sz w:val="25"/>
        </w:rPr>
        <w:t> </w:t>
      </w:r>
      <w:r>
        <w:rPr>
          <w:sz w:val="25"/>
        </w:rPr>
        <w:t>objection,</w:t>
      </w:r>
      <w:r>
        <w:rPr>
          <w:spacing w:val="52"/>
          <w:sz w:val="25"/>
        </w:rPr>
        <w:t> </w:t>
      </w:r>
      <w:r>
        <w:rPr>
          <w:sz w:val="25"/>
        </w:rPr>
        <w:t>and</w:t>
      </w:r>
      <w:r>
        <w:rPr>
          <w:spacing w:val="52"/>
          <w:sz w:val="25"/>
        </w:rPr>
        <w:t> </w:t>
      </w:r>
      <w:r>
        <w:rPr>
          <w:sz w:val="25"/>
        </w:rPr>
        <w:t>where</w:t>
      </w:r>
      <w:r>
        <w:rPr>
          <w:spacing w:val="52"/>
          <w:sz w:val="25"/>
        </w:rPr>
        <w:t> </w:t>
      </w:r>
      <w:r>
        <w:rPr>
          <w:sz w:val="25"/>
        </w:rPr>
        <w:t>a</w:t>
      </w:r>
      <w:r>
        <w:rPr>
          <w:spacing w:val="52"/>
          <w:sz w:val="25"/>
        </w:rPr>
        <w:t> </w:t>
      </w:r>
      <w:r>
        <w:rPr>
          <w:sz w:val="25"/>
        </w:rPr>
        <w:t>court</w:t>
      </w:r>
      <w:r>
        <w:rPr>
          <w:spacing w:val="52"/>
          <w:sz w:val="25"/>
        </w:rPr>
        <w:t> </w:t>
      </w:r>
      <w:r>
        <w:rPr>
          <w:sz w:val="25"/>
        </w:rPr>
        <w:t>sees</w:t>
      </w:r>
      <w:r>
        <w:rPr>
          <w:spacing w:val="52"/>
          <w:sz w:val="25"/>
        </w:rPr>
        <w:t> </w:t>
      </w:r>
      <w:r>
        <w:rPr>
          <w:sz w:val="25"/>
        </w:rPr>
        <w:t>no</w:t>
      </w:r>
      <w:r>
        <w:rPr>
          <w:spacing w:val="54"/>
          <w:sz w:val="25"/>
        </w:rPr>
        <w:t> </w:t>
      </w:r>
      <w:r>
        <w:rPr>
          <w:sz w:val="25"/>
        </w:rPr>
        <w:t>deficiencies</w:t>
      </w:r>
      <w:r>
        <w:rPr>
          <w:spacing w:val="52"/>
          <w:sz w:val="25"/>
        </w:rPr>
        <w:t> </w:t>
      </w:r>
      <w:r>
        <w:rPr>
          <w:sz w:val="25"/>
        </w:rPr>
        <w:t>in</w:t>
      </w:r>
      <w:r>
        <w:rPr>
          <w:spacing w:val="52"/>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actions of the next friend, there is no reason why a worshipper should not have the right to sue on behalf of the deity where a shebait abandons his sacred and legal duties. Very often, worshippers are best placed to witness and take action against any maladministration by a shebait. Therefore, where a shebait acts adverse to the interests of the deity, a worshipper can, as next friend of the deity, sue on behalf of the deity itself, provided that if the next friend‘s </w:t>
      </w:r>
      <w:r>
        <w:rPr>
          <w:i/>
        </w:rPr>
        <w:t>bona fides </w:t>
      </w:r>
      <w:r>
        <w:rPr/>
        <w:t>are contested, the court must scrutinise the intentions and capabilities of the next friend to adequately represent the deity. The court may do so of its own accord, </w:t>
      </w:r>
      <w:r>
        <w:rPr>
          <w:i/>
        </w:rPr>
        <w:t>ex debito justitae</w:t>
      </w:r>
      <w:r>
        <w:rPr/>
        <w:t>.</w:t>
      </w:r>
    </w:p>
    <w:p>
      <w:pPr>
        <w:pStyle w:val="BodyText"/>
        <w:spacing w:before="3"/>
        <w:rPr>
          <w:sz w:val="39"/>
        </w:rPr>
      </w:pPr>
    </w:p>
    <w:p>
      <w:pPr>
        <w:pStyle w:val="Heading4"/>
        <w:rPr>
          <w:i/>
        </w:rPr>
      </w:pPr>
      <w:r>
        <w:rPr>
          <w:i/>
        </w:rPr>
        <w:t>The competence of the third plaintiff</w:t>
      </w:r>
    </w:p>
    <w:p>
      <w:pPr>
        <w:pStyle w:val="BodyText"/>
        <w:rPr>
          <w:i/>
          <w:sz w:val="28"/>
        </w:rPr>
      </w:pPr>
    </w:p>
    <w:p>
      <w:pPr>
        <w:pStyle w:val="BodyText"/>
        <w:spacing w:before="7"/>
        <w:rPr>
          <w:i/>
          <w:sz w:val="22"/>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In the present proceedings, both Mr S K Jain and Dr Dhavan urged that  the third plaintiff in Suit 5 was not fit to represent the first and the second plaintiffs. Suit 5 was instituted in 1989 by Deoki Nandan Agarwal, a Vaishnavite. The principal deity of Vaishnavas is Lord Vishnu. The Vaishnava sect worships Lord Ram as one of the many avatars of Lord Vishnu. Deoki Nandan Agarwal was appointed as next friend to the first and the second plaintiffs by an order of the Civil Judge dated 1 July</w:t>
      </w:r>
      <w:r>
        <w:rPr>
          <w:spacing w:val="-5"/>
          <w:sz w:val="25"/>
        </w:rPr>
        <w:t> </w:t>
      </w:r>
      <w:r>
        <w:rPr>
          <w:sz w:val="25"/>
        </w:rPr>
        <w:t>1989.</w:t>
      </w:r>
    </w:p>
    <w:p>
      <w:pPr>
        <w:pStyle w:val="BodyText"/>
        <w:rPr>
          <w:sz w:val="28"/>
        </w:rPr>
      </w:pPr>
    </w:p>
    <w:p>
      <w:pPr>
        <w:pStyle w:val="BodyText"/>
        <w:spacing w:before="10"/>
        <w:rPr>
          <w:sz w:val="24"/>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A Mohd. Hashim filed a civil miscellaneous application</w:t>
      </w:r>
      <w:r>
        <w:rPr>
          <w:sz w:val="25"/>
          <w:vertAlign w:val="superscript"/>
        </w:rPr>
        <w:t>226</w:t>
      </w:r>
      <w:r>
        <w:rPr>
          <w:sz w:val="25"/>
          <w:vertAlign w:val="baseline"/>
        </w:rPr>
        <w:t> challenging </w:t>
      </w:r>
      <w:r>
        <w:rPr>
          <w:spacing w:val="-4"/>
          <w:sz w:val="25"/>
          <w:vertAlign w:val="baseline"/>
        </w:rPr>
        <w:t>the </w:t>
      </w:r>
      <w:r>
        <w:rPr>
          <w:sz w:val="25"/>
          <w:vertAlign w:val="baseline"/>
        </w:rPr>
        <w:t>appointment of Shri Deoki Nandan Agarwal. The relevant enquiry is whether any substantial contest was raised to the </w:t>
      </w:r>
      <w:r>
        <w:rPr>
          <w:i/>
          <w:sz w:val="25"/>
          <w:vertAlign w:val="baseline"/>
        </w:rPr>
        <w:t>bona fides </w:t>
      </w:r>
      <w:r>
        <w:rPr>
          <w:sz w:val="25"/>
          <w:vertAlign w:val="baseline"/>
        </w:rPr>
        <w:t>of the third plaintiff to represent the first and second plaintiff. The application</w:t>
      </w:r>
      <w:r>
        <w:rPr>
          <w:spacing w:val="-7"/>
          <w:sz w:val="25"/>
          <w:vertAlign w:val="baseline"/>
        </w:rPr>
        <w:t> </w:t>
      </w:r>
      <w:r>
        <w:rPr>
          <w:sz w:val="25"/>
          <w:vertAlign w:val="baseline"/>
        </w:rPr>
        <w:t>stated:</w:t>
      </w:r>
    </w:p>
    <w:p>
      <w:pPr>
        <w:pStyle w:val="BodyText"/>
        <w:spacing w:before="7"/>
        <w:rPr>
          <w:sz w:val="13"/>
        </w:rPr>
      </w:pPr>
      <w:r>
        <w:rPr/>
        <w:pict>
          <v:rect style="position:absolute;margin-left:72.024002pt;margin-top:9.810401pt;width:144.020pt;height:.599980pt;mso-position-horizontal-relative:page;mso-position-vertical-relative:paragraph;z-index:-1566617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226</w:t>
      </w:r>
      <w:r>
        <w:rPr>
          <w:sz w:val="18"/>
          <w:vertAlign w:val="baseline"/>
        </w:rPr>
        <w:t> CM Application No. 10(0) of 1989 in Regular Suit No. 236 of 1989.</w:t>
      </w:r>
    </w:p>
    <w:p>
      <w:pPr>
        <w:spacing w:after="0"/>
        <w:jc w:val="left"/>
        <w:rPr>
          <w:sz w:val="18"/>
        </w:rPr>
        <w:sectPr>
          <w:pgSz w:w="11910" w:h="16840"/>
          <w:pgMar w:header="721" w:footer="1014" w:top="1300" w:bottom="1200" w:left="940" w:right="1000"/>
        </w:sectPr>
      </w:pPr>
    </w:p>
    <w:p>
      <w:pPr>
        <w:spacing w:line="276" w:lineRule="auto" w:before="122"/>
        <w:ind w:left="1940" w:right="2261" w:firstLine="0"/>
        <w:jc w:val="both"/>
        <w:rPr>
          <w:sz w:val="21"/>
        </w:rPr>
      </w:pPr>
      <w:r>
        <w:rPr>
          <w:spacing w:val="-1"/>
          <w:w w:val="33"/>
          <w:sz w:val="21"/>
        </w:rPr>
        <w:t>―</w:t>
      </w:r>
      <w:r>
        <w:rPr>
          <w:spacing w:val="-1"/>
          <w:w w:val="100"/>
          <w:sz w:val="21"/>
        </w:rPr>
        <w:t>5</w:t>
      </w:r>
      <w:r>
        <w:rPr>
          <w:w w:val="100"/>
          <w:sz w:val="21"/>
        </w:rPr>
        <w:t>.</w:t>
      </w:r>
      <w:r>
        <w:rPr>
          <w:spacing w:val="12"/>
          <w:sz w:val="21"/>
        </w:rPr>
        <w:t> </w:t>
      </w:r>
      <w:r>
        <w:rPr>
          <w:w w:val="100"/>
          <w:sz w:val="21"/>
        </w:rPr>
        <w:t>Th</w:t>
      </w:r>
      <w:r>
        <w:rPr>
          <w:spacing w:val="-1"/>
          <w:w w:val="100"/>
          <w:sz w:val="21"/>
        </w:rPr>
        <w:t>a</w:t>
      </w:r>
      <w:r>
        <w:rPr>
          <w:w w:val="100"/>
          <w:sz w:val="21"/>
        </w:rPr>
        <w:t>t</w:t>
      </w:r>
      <w:r>
        <w:rPr>
          <w:spacing w:val="12"/>
          <w:sz w:val="21"/>
        </w:rPr>
        <w:t> </w:t>
      </w:r>
      <w:r>
        <w:rPr>
          <w:spacing w:val="-2"/>
          <w:w w:val="100"/>
          <w:sz w:val="21"/>
        </w:rPr>
        <w:t>t</w:t>
      </w:r>
      <w:r>
        <w:rPr>
          <w:spacing w:val="-3"/>
          <w:w w:val="100"/>
          <w:sz w:val="21"/>
        </w:rPr>
        <w:t>h</w:t>
      </w:r>
      <w:r>
        <w:rPr>
          <w:w w:val="100"/>
          <w:sz w:val="21"/>
        </w:rPr>
        <w:t>e</w:t>
      </w:r>
      <w:r>
        <w:rPr>
          <w:spacing w:val="13"/>
          <w:sz w:val="21"/>
        </w:rPr>
        <w:t> </w:t>
      </w:r>
      <w:r>
        <w:rPr>
          <w:spacing w:val="-3"/>
          <w:w w:val="100"/>
          <w:sz w:val="21"/>
        </w:rPr>
        <w:t>a</w:t>
      </w:r>
      <w:r>
        <w:rPr>
          <w:w w:val="100"/>
          <w:sz w:val="21"/>
        </w:rPr>
        <w:t>l</w:t>
      </w:r>
      <w:r>
        <w:rPr>
          <w:spacing w:val="-2"/>
          <w:w w:val="100"/>
          <w:sz w:val="21"/>
        </w:rPr>
        <w:t>l</w:t>
      </w:r>
      <w:r>
        <w:rPr>
          <w:spacing w:val="-1"/>
          <w:w w:val="100"/>
          <w:sz w:val="21"/>
        </w:rPr>
        <w:t>eg</w:t>
      </w:r>
      <w:r>
        <w:rPr>
          <w:spacing w:val="-2"/>
          <w:w w:val="100"/>
          <w:sz w:val="21"/>
        </w:rPr>
        <w:t>e</w:t>
      </w:r>
      <w:r>
        <w:rPr>
          <w:w w:val="100"/>
          <w:sz w:val="21"/>
        </w:rPr>
        <w:t>d</w:t>
      </w:r>
      <w:r>
        <w:rPr>
          <w:spacing w:val="13"/>
          <w:sz w:val="21"/>
        </w:rPr>
        <w:t> </w:t>
      </w:r>
      <w:r>
        <w:rPr>
          <w:spacing w:val="-3"/>
          <w:w w:val="100"/>
          <w:sz w:val="21"/>
        </w:rPr>
        <w:t>p</w:t>
      </w:r>
      <w:r>
        <w:rPr>
          <w:w w:val="100"/>
          <w:sz w:val="21"/>
        </w:rPr>
        <w:t>l</w:t>
      </w:r>
      <w:r>
        <w:rPr>
          <w:spacing w:val="-3"/>
          <w:w w:val="100"/>
          <w:sz w:val="21"/>
        </w:rPr>
        <w:t>a</w:t>
      </w:r>
      <w:r>
        <w:rPr>
          <w:w w:val="100"/>
          <w:sz w:val="21"/>
        </w:rPr>
        <w:t>i</w:t>
      </w:r>
      <w:r>
        <w:rPr>
          <w:spacing w:val="-1"/>
          <w:w w:val="100"/>
          <w:sz w:val="21"/>
        </w:rPr>
        <w:t>n</w:t>
      </w:r>
      <w:r>
        <w:rPr>
          <w:spacing w:val="-4"/>
          <w:w w:val="100"/>
          <w:sz w:val="21"/>
        </w:rPr>
        <w:t>t</w:t>
      </w:r>
      <w:r>
        <w:rPr>
          <w:w w:val="100"/>
          <w:sz w:val="21"/>
        </w:rPr>
        <w:t>i</w:t>
      </w:r>
      <w:r>
        <w:rPr>
          <w:spacing w:val="-2"/>
          <w:w w:val="100"/>
          <w:sz w:val="21"/>
        </w:rPr>
        <w:t>f</w:t>
      </w:r>
      <w:r>
        <w:rPr>
          <w:spacing w:val="1"/>
          <w:w w:val="100"/>
          <w:sz w:val="21"/>
        </w:rPr>
        <w:t>f</w:t>
      </w:r>
      <w:r>
        <w:rPr>
          <w:w w:val="100"/>
          <w:sz w:val="21"/>
        </w:rPr>
        <w:t>s</w:t>
      </w:r>
      <w:r>
        <w:rPr>
          <w:spacing w:val="11"/>
          <w:sz w:val="21"/>
        </w:rPr>
        <w:t> </w:t>
      </w:r>
      <w:r>
        <w:rPr>
          <w:w w:val="100"/>
          <w:sz w:val="21"/>
        </w:rPr>
        <w:t>1</w:t>
      </w:r>
      <w:r>
        <w:rPr>
          <w:spacing w:val="17"/>
          <w:sz w:val="21"/>
        </w:rPr>
        <w:t> </w:t>
      </w:r>
      <w:r>
        <w:rPr>
          <w:spacing w:val="-3"/>
          <w:w w:val="100"/>
          <w:sz w:val="21"/>
        </w:rPr>
        <w:t>a</w:t>
      </w:r>
      <w:r>
        <w:rPr>
          <w:w w:val="100"/>
          <w:sz w:val="21"/>
        </w:rPr>
        <w:t>nd</w:t>
      </w:r>
      <w:r>
        <w:rPr>
          <w:spacing w:val="13"/>
          <w:sz w:val="21"/>
        </w:rPr>
        <w:t> </w:t>
      </w:r>
      <w:r>
        <w:rPr>
          <w:w w:val="100"/>
          <w:sz w:val="21"/>
        </w:rPr>
        <w:t>2,</w:t>
      </w:r>
      <w:r>
        <w:rPr>
          <w:spacing w:val="12"/>
          <w:sz w:val="21"/>
        </w:rPr>
        <w:t> </w:t>
      </w:r>
      <w:r>
        <w:rPr>
          <w:spacing w:val="-2"/>
          <w:w w:val="100"/>
          <w:sz w:val="21"/>
        </w:rPr>
        <w:t>t</w:t>
      </w:r>
      <w:r>
        <w:rPr>
          <w:spacing w:val="-3"/>
          <w:w w:val="100"/>
          <w:sz w:val="21"/>
        </w:rPr>
        <w:t>a</w:t>
      </w:r>
      <w:r>
        <w:rPr>
          <w:w w:val="100"/>
          <w:sz w:val="21"/>
        </w:rPr>
        <w:t>k</w:t>
      </w:r>
      <w:r>
        <w:rPr>
          <w:spacing w:val="-2"/>
          <w:w w:val="100"/>
          <w:sz w:val="21"/>
        </w:rPr>
        <w:t>i</w:t>
      </w:r>
      <w:r>
        <w:rPr>
          <w:w w:val="100"/>
          <w:sz w:val="21"/>
        </w:rPr>
        <w:t>ng</w:t>
      </w:r>
      <w:r>
        <w:rPr>
          <w:spacing w:val="11"/>
          <w:sz w:val="21"/>
        </w:rPr>
        <w:t> </w:t>
      </w:r>
      <w:r>
        <w:rPr>
          <w:w w:val="100"/>
          <w:sz w:val="21"/>
        </w:rPr>
        <w:t>i</w:t>
      </w:r>
      <w:r>
        <w:rPr>
          <w:w w:val="100"/>
          <w:sz w:val="21"/>
        </w:rPr>
        <w:t>n</w:t>
      </w:r>
      <w:r>
        <w:rPr>
          <w:spacing w:val="-1"/>
          <w:w w:val="100"/>
          <w:sz w:val="21"/>
        </w:rPr>
        <w:t>t</w:t>
      </w:r>
      <w:r>
        <w:rPr>
          <w:w w:val="100"/>
          <w:sz w:val="21"/>
        </w:rPr>
        <w:t>o</w:t>
      </w:r>
      <w:r>
        <w:rPr>
          <w:spacing w:val="11"/>
          <w:sz w:val="21"/>
        </w:rPr>
        <w:t> </w:t>
      </w:r>
      <w:r>
        <w:rPr>
          <w:spacing w:val="-3"/>
          <w:w w:val="100"/>
          <w:sz w:val="21"/>
        </w:rPr>
        <w:t>a</w:t>
      </w:r>
      <w:r>
        <w:rPr>
          <w:w w:val="100"/>
          <w:sz w:val="21"/>
        </w:rPr>
        <w:t>ccount</w:t>
      </w:r>
      <w:r>
        <w:rPr>
          <w:spacing w:val="12"/>
          <w:sz w:val="21"/>
        </w:rPr>
        <w:t> </w:t>
      </w:r>
      <w:r>
        <w:rPr>
          <w:spacing w:val="-2"/>
          <w:w w:val="100"/>
          <w:sz w:val="21"/>
        </w:rPr>
        <w:t>t</w:t>
      </w:r>
      <w:r>
        <w:rPr>
          <w:spacing w:val="-3"/>
          <w:w w:val="100"/>
          <w:sz w:val="21"/>
        </w:rPr>
        <w:t>h</w:t>
      </w:r>
      <w:r>
        <w:rPr>
          <w:w w:val="100"/>
          <w:sz w:val="21"/>
        </w:rPr>
        <w:t>e </w:t>
      </w:r>
      <w:r>
        <w:rPr>
          <w:sz w:val="21"/>
        </w:rPr>
        <w:t>plaint averments to be gospel truth are not legal persons,  and, as such, suit being not for the leg 0000al person the question of appointment of next friend could not be considered and without prima facie satisfying that the suit has been filed by a legal person the question of appointment of next friend could not be</w:t>
      </w:r>
      <w:r>
        <w:rPr>
          <w:spacing w:val="-6"/>
          <w:sz w:val="21"/>
        </w:rPr>
        <w:t> </w:t>
      </w:r>
      <w:r>
        <w:rPr>
          <w:sz w:val="21"/>
        </w:rPr>
        <w:t>considered.</w:t>
      </w:r>
    </w:p>
    <w:p>
      <w:pPr>
        <w:spacing w:line="276" w:lineRule="auto" w:before="1"/>
        <w:ind w:left="1940" w:right="2259" w:firstLine="0"/>
        <w:jc w:val="both"/>
        <w:rPr>
          <w:sz w:val="21"/>
        </w:rPr>
      </w:pPr>
      <w:r>
        <w:rPr>
          <w:sz w:val="21"/>
        </w:rPr>
        <w:t>8. That for appointment of next friend </w:t>
      </w:r>
      <w:r>
        <w:rPr>
          <w:b/>
          <w:sz w:val="21"/>
        </w:rPr>
        <w:t>there has to be an averment that the alleged next friend has got no interest adverse to the interest of the next person for whom he is being appointed next friend </w:t>
      </w:r>
      <w:r>
        <w:rPr>
          <w:sz w:val="21"/>
        </w:rPr>
        <w:t>and in the absence of any averment regarding the same </w:t>
      </w:r>
      <w:r>
        <w:rPr>
          <w:b/>
          <w:sz w:val="21"/>
        </w:rPr>
        <w:t>and without satisfying about absence of adverse interest by the court </w:t>
      </w:r>
      <w:r>
        <w:rPr>
          <w:sz w:val="21"/>
        </w:rPr>
        <w:t>the order appointing plaintiff no. 3 as a next friend is bad and</w:t>
      </w:r>
      <w:r>
        <w:rPr>
          <w:spacing w:val="-40"/>
          <w:sz w:val="21"/>
        </w:rPr>
        <w:t> </w:t>
      </w:r>
      <w:r>
        <w:rPr>
          <w:sz w:val="21"/>
        </w:rPr>
        <w:t>illegal.‖</w:t>
      </w:r>
    </w:p>
    <w:p>
      <w:pPr>
        <w:spacing w:before="0"/>
        <w:ind w:left="5464" w:right="0" w:firstLine="0"/>
        <w:jc w:val="both"/>
        <w:rPr>
          <w:sz w:val="21"/>
        </w:rPr>
      </w:pPr>
      <w:r>
        <w:rPr>
          <w:sz w:val="21"/>
        </w:rPr>
        <w:t>(Emphasis</w:t>
      </w:r>
      <w:r>
        <w:rPr>
          <w:spacing w:val="-3"/>
          <w:sz w:val="21"/>
        </w:rPr>
        <w:t> </w:t>
      </w:r>
      <w:r>
        <w:rPr>
          <w:sz w:val="21"/>
        </w:rPr>
        <w:t>supplied)</w:t>
      </w:r>
    </w:p>
    <w:p>
      <w:pPr>
        <w:pStyle w:val="BodyText"/>
        <w:rPr>
          <w:sz w:val="24"/>
        </w:rPr>
      </w:pPr>
    </w:p>
    <w:p>
      <w:pPr>
        <w:pStyle w:val="BodyText"/>
        <w:spacing w:before="1"/>
        <w:rPr>
          <w:sz w:val="22"/>
        </w:rPr>
      </w:pPr>
    </w:p>
    <w:p>
      <w:pPr>
        <w:pStyle w:val="BodyText"/>
        <w:spacing w:line="480" w:lineRule="auto"/>
        <w:ind w:left="500" w:right="434"/>
        <w:jc w:val="both"/>
      </w:pPr>
      <w:r>
        <w:rPr/>
        <w:t>In para 5 of the application, the applicant questioned the juristic personality of the first and the second plaintiff. It was averred that absent an established juristic person, the question of appointing a next friend did not arise. Be that as it may, the averment cannot be read as challenging the bona fides of the third plaintiff. In para 8, the applicant stated that any application for appointment of a next friend must be accompanied by a specific averment that there is no interest adverse to the deity the person seeks to represent. Further, the applicant must satisfy the court of the absence of an adverse interest. It is true that where the fitness of the next friend is in dispute the court should scrutinise the bona fides of the next friend. However, a bare allegation that is not substantiated with any evidence does not constitute a contest to the </w:t>
      </w:r>
      <w:r>
        <w:rPr>
          <w:i/>
        </w:rPr>
        <w:t>bona fides </w:t>
      </w:r>
      <w:r>
        <w:rPr/>
        <w:t>of the next friend. Barring a stray statement in para 8, the application did not substantiate or raise contest to the </w:t>
      </w:r>
      <w:r>
        <w:rPr>
          <w:i/>
        </w:rPr>
        <w:t>bona fides </w:t>
      </w:r>
      <w:r>
        <w:rPr/>
        <w:t>of the third plaintiff.</w:t>
      </w:r>
    </w:p>
    <w:p>
      <w:pPr>
        <w:pStyle w:val="BodyText"/>
        <w:spacing w:before="1"/>
        <w:rPr>
          <w:sz w:val="39"/>
        </w:rPr>
      </w:pPr>
    </w:p>
    <w:p>
      <w:pPr>
        <w:pStyle w:val="ListParagraph"/>
        <w:numPr>
          <w:ilvl w:val="0"/>
          <w:numId w:val="111"/>
        </w:numPr>
        <w:tabs>
          <w:tab w:pos="1220" w:val="left" w:leader="none"/>
          <w:tab w:pos="1221" w:val="left" w:leader="none"/>
        </w:tabs>
        <w:spacing w:line="480" w:lineRule="auto" w:before="0" w:after="0"/>
        <w:ind w:left="500" w:right="446" w:firstLine="0"/>
        <w:jc w:val="left"/>
        <w:rPr>
          <w:sz w:val="25"/>
        </w:rPr>
      </w:pPr>
      <w:r>
        <w:rPr>
          <w:sz w:val="25"/>
        </w:rPr>
        <w:t>Deoki Nandan Agarwal passed away on 8 April 2002 and an application was</w:t>
      </w:r>
      <w:r>
        <w:rPr>
          <w:spacing w:val="23"/>
          <w:sz w:val="25"/>
        </w:rPr>
        <w:t> </w:t>
      </w:r>
      <w:r>
        <w:rPr>
          <w:sz w:val="25"/>
        </w:rPr>
        <w:t>made</w:t>
      </w:r>
      <w:r>
        <w:rPr>
          <w:spacing w:val="23"/>
          <w:sz w:val="25"/>
        </w:rPr>
        <w:t> </w:t>
      </w:r>
      <w:r>
        <w:rPr>
          <w:sz w:val="25"/>
        </w:rPr>
        <w:t>to</w:t>
      </w:r>
      <w:r>
        <w:rPr>
          <w:spacing w:val="23"/>
          <w:sz w:val="25"/>
        </w:rPr>
        <w:t> </w:t>
      </w:r>
      <w:r>
        <w:rPr>
          <w:sz w:val="25"/>
        </w:rPr>
        <w:t>the</w:t>
      </w:r>
      <w:r>
        <w:rPr>
          <w:spacing w:val="23"/>
          <w:sz w:val="25"/>
        </w:rPr>
        <w:t> </w:t>
      </w:r>
      <w:r>
        <w:rPr>
          <w:sz w:val="25"/>
        </w:rPr>
        <w:t>court</w:t>
      </w:r>
      <w:r>
        <w:rPr>
          <w:spacing w:val="23"/>
          <w:sz w:val="25"/>
        </w:rPr>
        <w:t> </w:t>
      </w:r>
      <w:r>
        <w:rPr>
          <w:sz w:val="25"/>
        </w:rPr>
        <w:t>to</w:t>
      </w:r>
      <w:r>
        <w:rPr>
          <w:spacing w:val="23"/>
          <w:sz w:val="25"/>
        </w:rPr>
        <w:t> </w:t>
      </w:r>
      <w:r>
        <w:rPr>
          <w:sz w:val="25"/>
        </w:rPr>
        <w:t>allow</w:t>
      </w:r>
      <w:r>
        <w:rPr>
          <w:spacing w:val="23"/>
          <w:sz w:val="25"/>
        </w:rPr>
        <w:t> </w:t>
      </w:r>
      <w:r>
        <w:rPr>
          <w:sz w:val="25"/>
        </w:rPr>
        <w:t>Dr</w:t>
      </w:r>
      <w:r>
        <w:rPr>
          <w:spacing w:val="23"/>
          <w:sz w:val="25"/>
        </w:rPr>
        <w:t> </w:t>
      </w:r>
      <w:r>
        <w:rPr>
          <w:sz w:val="25"/>
        </w:rPr>
        <w:t>T</w:t>
      </w:r>
      <w:r>
        <w:rPr>
          <w:spacing w:val="23"/>
          <w:sz w:val="25"/>
        </w:rPr>
        <w:t> </w:t>
      </w:r>
      <w:r>
        <w:rPr>
          <w:sz w:val="25"/>
        </w:rPr>
        <w:t>P</w:t>
      </w:r>
      <w:r>
        <w:rPr>
          <w:spacing w:val="21"/>
          <w:sz w:val="25"/>
        </w:rPr>
        <w:t> </w:t>
      </w:r>
      <w:r>
        <w:rPr>
          <w:sz w:val="25"/>
        </w:rPr>
        <w:t>Verma</w:t>
      </w:r>
      <w:r>
        <w:rPr>
          <w:spacing w:val="23"/>
          <w:sz w:val="25"/>
        </w:rPr>
        <w:t> </w:t>
      </w:r>
      <w:r>
        <w:rPr>
          <w:sz w:val="25"/>
        </w:rPr>
        <w:t>to</w:t>
      </w:r>
      <w:r>
        <w:rPr>
          <w:spacing w:val="23"/>
          <w:sz w:val="25"/>
        </w:rPr>
        <w:t> </w:t>
      </w:r>
      <w:r>
        <w:rPr>
          <w:sz w:val="25"/>
        </w:rPr>
        <w:t>be</w:t>
      </w:r>
      <w:r>
        <w:rPr>
          <w:spacing w:val="23"/>
          <w:sz w:val="25"/>
        </w:rPr>
        <w:t> </w:t>
      </w:r>
      <w:r>
        <w:rPr>
          <w:sz w:val="25"/>
        </w:rPr>
        <w:t>appointed</w:t>
      </w:r>
      <w:r>
        <w:rPr>
          <w:spacing w:val="20"/>
          <w:sz w:val="25"/>
        </w:rPr>
        <w:t> </w:t>
      </w:r>
      <w:r>
        <w:rPr>
          <w:sz w:val="25"/>
        </w:rPr>
        <w:t>as</w:t>
      </w:r>
      <w:r>
        <w:rPr>
          <w:spacing w:val="24"/>
          <w:sz w:val="25"/>
        </w:rPr>
        <w:t> </w:t>
      </w:r>
      <w:r>
        <w:rPr>
          <w:sz w:val="25"/>
        </w:rPr>
        <w:t>next</w:t>
      </w:r>
      <w:r>
        <w:rPr>
          <w:spacing w:val="23"/>
          <w:sz w:val="25"/>
        </w:rPr>
        <w:t> </w:t>
      </w:r>
      <w:r>
        <w:rPr>
          <w:sz w:val="25"/>
        </w:rPr>
        <w:t>friend</w:t>
      </w:r>
      <w:r>
        <w:rPr>
          <w:spacing w:val="23"/>
          <w:sz w:val="25"/>
        </w:rPr>
        <w:t> </w:t>
      </w:r>
      <w:r>
        <w:rPr>
          <w:sz w:val="25"/>
        </w:rPr>
        <w:t>of</w:t>
      </w:r>
    </w:p>
    <w:p>
      <w:pPr>
        <w:spacing w:after="0" w:line="480" w:lineRule="auto"/>
        <w:jc w:val="left"/>
        <w:rPr>
          <w:sz w:val="25"/>
        </w:rPr>
        <w:sectPr>
          <w:pgSz w:w="11910" w:h="16840"/>
          <w:pgMar w:header="721" w:footer="1014" w:top="1300" w:bottom="1200" w:left="940" w:right="1000"/>
        </w:sectPr>
      </w:pPr>
    </w:p>
    <w:p>
      <w:pPr>
        <w:pStyle w:val="BodyText"/>
        <w:spacing w:line="480" w:lineRule="auto" w:before="124"/>
        <w:ind w:left="500" w:right="441"/>
        <w:jc w:val="both"/>
      </w:pPr>
      <w:r>
        <w:rPr/>
        <w:t>the first and the second plaintiffs. By an order dated 25 April 2002, Dr T P Verma was appointed as next friend by the Allahabad High Court. Subsequently, an application was filed to allow Triloki Nath Pande to replace Dr T P Verma as next friend of the first and the second plaintiffs. This application was dismissed by the Allahabad High Court. On appeal, by an order dated 8 February 2010, this Court held:</w:t>
      </w:r>
    </w:p>
    <w:p>
      <w:pPr>
        <w:spacing w:line="276" w:lineRule="auto" w:before="159"/>
        <w:ind w:left="1918" w:right="2263" w:firstLine="0"/>
        <w:jc w:val="both"/>
        <w:rPr>
          <w:sz w:val="21"/>
        </w:rPr>
      </w:pPr>
      <w:r>
        <w:rPr>
          <w:spacing w:val="-1"/>
          <w:w w:val="33"/>
          <w:sz w:val="21"/>
        </w:rPr>
        <w:t>―</w:t>
      </w:r>
      <w:r>
        <w:rPr>
          <w:spacing w:val="-1"/>
          <w:w w:val="100"/>
          <w:sz w:val="21"/>
        </w:rPr>
        <w:t>3</w:t>
      </w:r>
      <w:r>
        <w:rPr>
          <w:w w:val="100"/>
          <w:sz w:val="21"/>
        </w:rPr>
        <w:t>.</w:t>
      </w:r>
      <w:r>
        <w:rPr>
          <w:spacing w:val="7"/>
          <w:sz w:val="21"/>
        </w:rPr>
        <w:t> </w:t>
      </w:r>
      <w:r>
        <w:rPr>
          <w:spacing w:val="-1"/>
          <w:w w:val="100"/>
          <w:sz w:val="21"/>
        </w:rPr>
        <w:t>Mr</w:t>
      </w:r>
      <w:r>
        <w:rPr>
          <w:w w:val="100"/>
          <w:sz w:val="21"/>
        </w:rPr>
        <w:t>.</w:t>
      </w:r>
      <w:r>
        <w:rPr>
          <w:spacing w:val="7"/>
          <w:sz w:val="21"/>
        </w:rPr>
        <w:t> </w:t>
      </w:r>
      <w:r>
        <w:rPr>
          <w:w w:val="100"/>
          <w:sz w:val="21"/>
        </w:rPr>
        <w:t>K</w:t>
      </w:r>
      <w:r>
        <w:rPr>
          <w:spacing w:val="-2"/>
          <w:w w:val="100"/>
          <w:sz w:val="21"/>
        </w:rPr>
        <w:t>.</w:t>
      </w:r>
      <w:r>
        <w:rPr>
          <w:w w:val="100"/>
          <w:sz w:val="21"/>
        </w:rPr>
        <w:t>N.</w:t>
      </w:r>
      <w:r>
        <w:rPr>
          <w:spacing w:val="5"/>
          <w:sz w:val="21"/>
        </w:rPr>
        <w:t> </w:t>
      </w:r>
      <w:r>
        <w:rPr>
          <w:w w:val="100"/>
          <w:sz w:val="21"/>
        </w:rPr>
        <w:t>B</w:t>
      </w:r>
      <w:r>
        <w:rPr>
          <w:spacing w:val="-1"/>
          <w:w w:val="100"/>
          <w:sz w:val="21"/>
        </w:rPr>
        <w:t>hat</w:t>
      </w:r>
      <w:r>
        <w:rPr>
          <w:w w:val="100"/>
          <w:sz w:val="21"/>
        </w:rPr>
        <w:t>,</w:t>
      </w:r>
      <w:r>
        <w:rPr>
          <w:spacing w:val="5"/>
          <w:sz w:val="21"/>
        </w:rPr>
        <w:t> </w:t>
      </w:r>
      <w:r>
        <w:rPr>
          <w:w w:val="100"/>
          <w:sz w:val="21"/>
        </w:rPr>
        <w:t>l</w:t>
      </w:r>
      <w:r>
        <w:rPr>
          <w:spacing w:val="-1"/>
          <w:w w:val="100"/>
          <w:sz w:val="21"/>
        </w:rPr>
        <w:t>ea</w:t>
      </w:r>
      <w:r>
        <w:rPr>
          <w:spacing w:val="-3"/>
          <w:w w:val="100"/>
          <w:sz w:val="21"/>
        </w:rPr>
        <w:t>r</w:t>
      </w:r>
      <w:r>
        <w:rPr>
          <w:spacing w:val="-1"/>
          <w:w w:val="100"/>
          <w:sz w:val="21"/>
        </w:rPr>
        <w:t>ne</w:t>
      </w:r>
      <w:r>
        <w:rPr>
          <w:w w:val="100"/>
          <w:sz w:val="21"/>
        </w:rPr>
        <w:t>d</w:t>
      </w:r>
      <w:r>
        <w:rPr>
          <w:spacing w:val="6"/>
          <w:sz w:val="21"/>
        </w:rPr>
        <w:t> </w:t>
      </w:r>
      <w:r>
        <w:rPr>
          <w:w w:val="100"/>
          <w:sz w:val="21"/>
        </w:rPr>
        <w:t>se</w:t>
      </w:r>
      <w:r>
        <w:rPr>
          <w:spacing w:val="-3"/>
          <w:w w:val="100"/>
          <w:sz w:val="21"/>
        </w:rPr>
        <w:t>n</w:t>
      </w:r>
      <w:r>
        <w:rPr>
          <w:w w:val="100"/>
          <w:sz w:val="21"/>
        </w:rPr>
        <w:t>i</w:t>
      </w:r>
      <w:r>
        <w:rPr>
          <w:spacing w:val="-1"/>
          <w:w w:val="100"/>
          <w:sz w:val="21"/>
        </w:rPr>
        <w:t>o</w:t>
      </w:r>
      <w:r>
        <w:rPr>
          <w:w w:val="100"/>
          <w:sz w:val="21"/>
        </w:rPr>
        <w:t>r</w:t>
      </w:r>
      <w:r>
        <w:rPr>
          <w:spacing w:val="8"/>
          <w:sz w:val="21"/>
        </w:rPr>
        <w:t> </w:t>
      </w:r>
      <w:r>
        <w:rPr>
          <w:spacing w:val="-3"/>
          <w:w w:val="100"/>
          <w:sz w:val="21"/>
        </w:rPr>
        <w:t>c</w:t>
      </w:r>
      <w:r>
        <w:rPr>
          <w:spacing w:val="-1"/>
          <w:w w:val="100"/>
          <w:sz w:val="21"/>
        </w:rPr>
        <w:t>ou</w:t>
      </w:r>
      <w:r>
        <w:rPr>
          <w:spacing w:val="-2"/>
          <w:w w:val="100"/>
          <w:sz w:val="21"/>
        </w:rPr>
        <w:t>n</w:t>
      </w:r>
      <w:r>
        <w:rPr>
          <w:w w:val="100"/>
          <w:sz w:val="21"/>
        </w:rPr>
        <w:t>s</w:t>
      </w:r>
      <w:r>
        <w:rPr>
          <w:spacing w:val="-3"/>
          <w:w w:val="100"/>
          <w:sz w:val="21"/>
        </w:rPr>
        <w:t>e</w:t>
      </w:r>
      <w:r>
        <w:rPr>
          <w:w w:val="100"/>
          <w:sz w:val="21"/>
        </w:rPr>
        <w:t>l</w:t>
      </w:r>
      <w:r>
        <w:rPr>
          <w:spacing w:val="9"/>
          <w:sz w:val="21"/>
        </w:rPr>
        <w:t> </w:t>
      </w:r>
      <w:r>
        <w:rPr>
          <w:spacing w:val="-3"/>
          <w:w w:val="100"/>
          <w:sz w:val="21"/>
        </w:rPr>
        <w:t>a</w:t>
      </w:r>
      <w:r>
        <w:rPr>
          <w:spacing w:val="-1"/>
          <w:w w:val="100"/>
          <w:sz w:val="21"/>
        </w:rPr>
        <w:t>pp</w:t>
      </w:r>
      <w:r>
        <w:rPr>
          <w:spacing w:val="-2"/>
          <w:w w:val="100"/>
          <w:sz w:val="21"/>
        </w:rPr>
        <w:t>e</w:t>
      </w:r>
      <w:r>
        <w:rPr>
          <w:spacing w:val="-1"/>
          <w:w w:val="100"/>
          <w:sz w:val="21"/>
        </w:rPr>
        <w:t>ari</w:t>
      </w:r>
      <w:r>
        <w:rPr>
          <w:spacing w:val="-2"/>
          <w:w w:val="100"/>
          <w:sz w:val="21"/>
        </w:rPr>
        <w:t>n</w:t>
      </w:r>
      <w:r>
        <w:rPr>
          <w:w w:val="100"/>
          <w:sz w:val="21"/>
        </w:rPr>
        <w:t>g</w:t>
      </w:r>
      <w:r>
        <w:rPr>
          <w:spacing w:val="6"/>
          <w:sz w:val="21"/>
        </w:rPr>
        <w:t> </w:t>
      </w:r>
      <w:r>
        <w:rPr>
          <w:spacing w:val="-1"/>
          <w:w w:val="100"/>
          <w:sz w:val="21"/>
        </w:rPr>
        <w:t>o</w:t>
      </w:r>
      <w:r>
        <w:rPr>
          <w:w w:val="100"/>
          <w:sz w:val="21"/>
        </w:rPr>
        <w:t>n</w:t>
      </w:r>
      <w:r>
        <w:rPr>
          <w:spacing w:val="6"/>
          <w:sz w:val="21"/>
        </w:rPr>
        <w:t> </w:t>
      </w:r>
      <w:r>
        <w:rPr>
          <w:spacing w:val="-1"/>
          <w:w w:val="100"/>
          <w:sz w:val="21"/>
        </w:rPr>
        <w:t>be</w:t>
      </w:r>
      <w:r>
        <w:rPr>
          <w:spacing w:val="-2"/>
          <w:w w:val="100"/>
          <w:sz w:val="21"/>
        </w:rPr>
        <w:t>h</w:t>
      </w:r>
      <w:r>
        <w:rPr>
          <w:spacing w:val="-1"/>
          <w:w w:val="100"/>
          <w:sz w:val="21"/>
        </w:rPr>
        <w:t>a</w:t>
      </w:r>
      <w:r>
        <w:rPr>
          <w:spacing w:val="-2"/>
          <w:w w:val="100"/>
          <w:sz w:val="21"/>
        </w:rPr>
        <w:t>l</w:t>
      </w:r>
      <w:r>
        <w:rPr>
          <w:w w:val="100"/>
          <w:sz w:val="21"/>
        </w:rPr>
        <w:t>f </w:t>
      </w:r>
      <w:r>
        <w:rPr>
          <w:sz w:val="21"/>
        </w:rPr>
        <w:t>of the appellants very earnestly argues that instead of Dr. Thakur Prsad Verma, Mr. Triloki Nath Pande be appointed as next friend of appellant-plaintiff Nos. 1 &amp; 2 under </w:t>
      </w:r>
      <w:r>
        <w:rPr>
          <w:spacing w:val="-3"/>
          <w:sz w:val="21"/>
        </w:rPr>
        <w:t>the </w:t>
      </w:r>
      <w:r>
        <w:rPr>
          <w:sz w:val="21"/>
        </w:rPr>
        <w:t>provisions of Order XXXII Rule 8 of Code of Civil Procedure since Dr. Verma has serious health problems. He futher points out that insofar as the costs already incurred are concerned, the present next friend Dr. Verma shall give an undertaking to the High Court indicating therein that he would be responsible for the costs already</w:t>
      </w:r>
      <w:r>
        <w:rPr>
          <w:spacing w:val="-10"/>
          <w:sz w:val="21"/>
        </w:rPr>
        <w:t> </w:t>
      </w:r>
      <w:r>
        <w:rPr>
          <w:sz w:val="21"/>
        </w:rPr>
        <w:t>incurred.</w:t>
      </w:r>
    </w:p>
    <w:p>
      <w:pPr>
        <w:spacing w:line="276" w:lineRule="auto" w:before="0"/>
        <w:ind w:left="1918" w:right="2264" w:firstLine="0"/>
        <w:jc w:val="both"/>
        <w:rPr>
          <w:sz w:val="21"/>
        </w:rPr>
      </w:pPr>
      <w:r>
        <w:rPr>
          <w:sz w:val="21"/>
        </w:rPr>
        <w:t>4. The other side has no objections for this arrangement. In that view, it is not necessary for us to examine the correctness or otherwise of the impugned order passed by the High Court. If the aforesaid undertaking is given and the willingness of Mr. Triloki Nath Pandey is indicated to the High Court, in that case, Mr. Triloki Nath Pandey shall act as a next friend of appellant-plaintiff Nos. 1 and 2 subject to the undertaking given by Dr.</w:t>
      </w:r>
      <w:r>
        <w:rPr>
          <w:spacing w:val="-10"/>
          <w:sz w:val="21"/>
        </w:rPr>
        <w:t> </w:t>
      </w:r>
      <w:r>
        <w:rPr>
          <w:sz w:val="21"/>
        </w:rPr>
        <w:t>Verma.‖</w:t>
      </w:r>
    </w:p>
    <w:p>
      <w:pPr>
        <w:pStyle w:val="BodyText"/>
        <w:rPr>
          <w:sz w:val="24"/>
        </w:rPr>
      </w:pPr>
    </w:p>
    <w:p>
      <w:pPr>
        <w:pStyle w:val="BodyText"/>
        <w:rPr>
          <w:sz w:val="26"/>
        </w:rPr>
      </w:pPr>
    </w:p>
    <w:p>
      <w:pPr>
        <w:pStyle w:val="BodyText"/>
        <w:spacing w:line="480" w:lineRule="auto" w:before="1"/>
        <w:ind w:left="500" w:right="441"/>
        <w:jc w:val="both"/>
      </w:pPr>
      <w:r>
        <w:rPr/>
        <w:t>By the order of this Court, Triloki Nath Pande was permitted to act as next friend of the first and the second plaintiffs. No objection was raised to the appointment of Triloki Nath Pande in the proceedings before this Court. There was no reason for this Court to examine the correctness of the order of the High Court dismissing the application to permit TP Verma to retire from acting as the next friend. The Allahabad High Court subsequently appointed Triloki Nath Pande as next friend by an order dated 18 March</w:t>
      </w:r>
      <w:r>
        <w:rPr>
          <w:spacing w:val="-6"/>
        </w:rPr>
        <w:t> </w:t>
      </w:r>
      <w:r>
        <w:rPr/>
        <w:t>2010.</w:t>
      </w:r>
    </w:p>
    <w:p>
      <w:pPr>
        <w:spacing w:after="0" w:line="480" w:lineRule="auto"/>
        <w:jc w:val="both"/>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40" w:firstLine="0"/>
        <w:jc w:val="both"/>
        <w:rPr>
          <w:sz w:val="25"/>
        </w:rPr>
      </w:pPr>
      <w:r>
        <w:rPr>
          <w:sz w:val="25"/>
        </w:rPr>
        <w:t>Where the fitness of the next friend is in dispute the court should scrutinise the </w:t>
      </w:r>
      <w:r>
        <w:rPr>
          <w:i/>
          <w:sz w:val="25"/>
        </w:rPr>
        <w:t>bona fides </w:t>
      </w:r>
      <w:r>
        <w:rPr>
          <w:sz w:val="25"/>
        </w:rPr>
        <w:t>of the next friend. However, in the present case, this enquiry is not necessary as the third plaintiff in Suit 5 has been appointed as next friend of the first and the second plaintiffs under the orders of the court. With the appointment of Triloki Nath Pande, this Court has applied its mind to the question and permitted Triloki Nath Pande to act as next friend of the first and the second plaintiffs. Given the scrutiny that the appointment of the next friend has been subject to in the present proceedings there is no merit in the argument that the third plaintiff in Suit 5 is not fit to institute a suit as the next friend of the first and the second</w:t>
      </w:r>
      <w:r>
        <w:rPr>
          <w:spacing w:val="-1"/>
          <w:sz w:val="25"/>
        </w:rPr>
        <w:t> </w:t>
      </w:r>
      <w:r>
        <w:rPr>
          <w:sz w:val="25"/>
        </w:rPr>
        <w:t>plaintiffs.</w:t>
      </w:r>
    </w:p>
    <w:p>
      <w:pPr>
        <w:pStyle w:val="BodyText"/>
        <w:rPr>
          <w:sz w:val="40"/>
        </w:rPr>
      </w:pPr>
    </w:p>
    <w:p>
      <w:pPr>
        <w:pStyle w:val="Heading3"/>
        <w:ind w:left="500" w:firstLine="0"/>
      </w:pPr>
      <w:r>
        <w:rPr/>
        <w:t>Nirmohi Akhara and shebaiti rights</w:t>
      </w:r>
    </w:p>
    <w:p>
      <w:pPr>
        <w:pStyle w:val="BodyText"/>
        <w:rPr>
          <w:b/>
          <w:sz w:val="28"/>
        </w:rPr>
      </w:pPr>
    </w:p>
    <w:p>
      <w:pPr>
        <w:pStyle w:val="BodyText"/>
        <w:rPr>
          <w:b/>
          <w:sz w:val="23"/>
        </w:rPr>
      </w:pPr>
    </w:p>
    <w:p>
      <w:pPr>
        <w:pStyle w:val="ListParagraph"/>
        <w:numPr>
          <w:ilvl w:val="0"/>
          <w:numId w:val="111"/>
        </w:numPr>
        <w:tabs>
          <w:tab w:pos="1221" w:val="left" w:leader="none"/>
        </w:tabs>
        <w:spacing w:line="480" w:lineRule="auto" w:before="0" w:after="0"/>
        <w:ind w:left="500" w:right="441" w:firstLine="0"/>
        <w:jc w:val="both"/>
        <w:rPr>
          <w:sz w:val="25"/>
        </w:rPr>
      </w:pPr>
      <w:r>
        <w:rPr>
          <w:sz w:val="25"/>
        </w:rPr>
        <w:t>Where there exists an express deed of dedication identifying the shebait, the</w:t>
      </w:r>
      <w:r>
        <w:rPr>
          <w:spacing w:val="11"/>
          <w:sz w:val="25"/>
        </w:rPr>
        <w:t> </w:t>
      </w:r>
      <w:r>
        <w:rPr>
          <w:sz w:val="25"/>
        </w:rPr>
        <w:t>position</w:t>
      </w:r>
      <w:r>
        <w:rPr>
          <w:spacing w:val="12"/>
          <w:sz w:val="25"/>
        </w:rPr>
        <w:t> </w:t>
      </w:r>
      <w:r>
        <w:rPr>
          <w:sz w:val="25"/>
        </w:rPr>
        <w:t>in</w:t>
      </w:r>
      <w:r>
        <w:rPr>
          <w:spacing w:val="12"/>
          <w:sz w:val="25"/>
        </w:rPr>
        <w:t> </w:t>
      </w:r>
      <w:r>
        <w:rPr>
          <w:sz w:val="25"/>
        </w:rPr>
        <w:t>law</w:t>
      </w:r>
      <w:r>
        <w:rPr>
          <w:spacing w:val="11"/>
          <w:sz w:val="25"/>
        </w:rPr>
        <w:t> </w:t>
      </w:r>
      <w:r>
        <w:rPr>
          <w:sz w:val="25"/>
        </w:rPr>
        <w:t>with</w:t>
      </w:r>
      <w:r>
        <w:rPr>
          <w:spacing w:val="12"/>
          <w:sz w:val="25"/>
        </w:rPr>
        <w:t> </w:t>
      </w:r>
      <w:r>
        <w:rPr>
          <w:sz w:val="25"/>
        </w:rPr>
        <w:t>respect</w:t>
      </w:r>
      <w:r>
        <w:rPr>
          <w:spacing w:val="12"/>
          <w:sz w:val="25"/>
        </w:rPr>
        <w:t> </w:t>
      </w:r>
      <w:r>
        <w:rPr>
          <w:sz w:val="25"/>
        </w:rPr>
        <w:t>to</w:t>
      </w:r>
      <w:r>
        <w:rPr>
          <w:spacing w:val="11"/>
          <w:sz w:val="25"/>
        </w:rPr>
        <w:t> </w:t>
      </w:r>
      <w:r>
        <w:rPr>
          <w:sz w:val="25"/>
        </w:rPr>
        <w:t>who</w:t>
      </w:r>
      <w:r>
        <w:rPr>
          <w:spacing w:val="12"/>
          <w:sz w:val="25"/>
        </w:rPr>
        <w:t> </w:t>
      </w:r>
      <w:r>
        <w:rPr>
          <w:sz w:val="25"/>
        </w:rPr>
        <w:t>can</w:t>
      </w:r>
      <w:r>
        <w:rPr>
          <w:spacing w:val="14"/>
          <w:sz w:val="25"/>
        </w:rPr>
        <w:t> </w:t>
      </w:r>
      <w:r>
        <w:rPr>
          <w:sz w:val="25"/>
        </w:rPr>
        <w:t>sue</w:t>
      </w:r>
      <w:r>
        <w:rPr>
          <w:spacing w:val="12"/>
          <w:sz w:val="25"/>
        </w:rPr>
        <w:t> </w:t>
      </w:r>
      <w:r>
        <w:rPr>
          <w:sz w:val="25"/>
        </w:rPr>
        <w:t>on</w:t>
      </w:r>
      <w:r>
        <w:rPr>
          <w:spacing w:val="12"/>
          <w:sz w:val="25"/>
        </w:rPr>
        <w:t> </w:t>
      </w:r>
      <w:r>
        <w:rPr>
          <w:sz w:val="25"/>
        </w:rPr>
        <w:t>behalf</w:t>
      </w:r>
      <w:r>
        <w:rPr>
          <w:spacing w:val="11"/>
          <w:sz w:val="25"/>
        </w:rPr>
        <w:t> </w:t>
      </w:r>
      <w:r>
        <w:rPr>
          <w:sz w:val="25"/>
        </w:rPr>
        <w:t>of</w:t>
      </w:r>
      <w:r>
        <w:rPr>
          <w:spacing w:val="11"/>
          <w:sz w:val="25"/>
        </w:rPr>
        <w:t> </w:t>
      </w:r>
      <w:r>
        <w:rPr>
          <w:sz w:val="25"/>
        </w:rPr>
        <w:t>an</w:t>
      </w:r>
      <w:r>
        <w:rPr>
          <w:spacing w:val="12"/>
          <w:sz w:val="25"/>
        </w:rPr>
        <w:t> </w:t>
      </w:r>
      <w:r>
        <w:rPr>
          <w:sz w:val="25"/>
        </w:rPr>
        <w:t>idol</w:t>
      </w:r>
      <w:r>
        <w:rPr>
          <w:spacing w:val="12"/>
          <w:sz w:val="25"/>
        </w:rPr>
        <w:t> </w:t>
      </w:r>
      <w:r>
        <w:rPr>
          <w:sz w:val="25"/>
        </w:rPr>
        <w:t>is</w:t>
      </w:r>
      <w:r>
        <w:rPr>
          <w:spacing w:val="11"/>
          <w:sz w:val="25"/>
        </w:rPr>
        <w:t> </w:t>
      </w:r>
      <w:r>
        <w:rPr>
          <w:sz w:val="25"/>
        </w:rPr>
        <w:t>as</w:t>
      </w:r>
      <w:r>
        <w:rPr>
          <w:spacing w:val="12"/>
          <w:sz w:val="25"/>
        </w:rPr>
        <w:t> </w:t>
      </w:r>
      <w:r>
        <w:rPr>
          <w:sz w:val="25"/>
        </w:rPr>
        <w:t>follows:</w:t>
      </w:r>
    </w:p>
    <w:p>
      <w:pPr>
        <w:pStyle w:val="ListParagraph"/>
        <w:numPr>
          <w:ilvl w:val="0"/>
          <w:numId w:val="117"/>
        </w:numPr>
        <w:tabs>
          <w:tab w:pos="817" w:val="left" w:leader="none"/>
        </w:tabs>
        <w:spacing w:line="287" w:lineRule="exact" w:before="0" w:after="0"/>
        <w:ind w:left="816" w:right="0" w:hanging="317"/>
        <w:jc w:val="both"/>
        <w:rPr>
          <w:sz w:val="25"/>
        </w:rPr>
      </w:pPr>
      <w:r>
        <w:rPr>
          <w:sz w:val="25"/>
        </w:rPr>
        <w:t>The</w:t>
      </w:r>
      <w:r>
        <w:rPr>
          <w:spacing w:val="23"/>
          <w:sz w:val="25"/>
        </w:rPr>
        <w:t> </w:t>
      </w:r>
      <w:r>
        <w:rPr>
          <w:sz w:val="25"/>
        </w:rPr>
        <w:t>right</w:t>
      </w:r>
      <w:r>
        <w:rPr>
          <w:spacing w:val="23"/>
          <w:sz w:val="25"/>
        </w:rPr>
        <w:t> </w:t>
      </w:r>
      <w:r>
        <w:rPr>
          <w:sz w:val="25"/>
        </w:rPr>
        <w:t>to</w:t>
      </w:r>
      <w:r>
        <w:rPr>
          <w:spacing w:val="24"/>
          <w:sz w:val="25"/>
        </w:rPr>
        <w:t> </w:t>
      </w:r>
      <w:r>
        <w:rPr>
          <w:sz w:val="25"/>
        </w:rPr>
        <w:t>sue</w:t>
      </w:r>
      <w:r>
        <w:rPr>
          <w:spacing w:val="23"/>
          <w:sz w:val="25"/>
        </w:rPr>
        <w:t> </w:t>
      </w:r>
      <w:r>
        <w:rPr>
          <w:sz w:val="25"/>
        </w:rPr>
        <w:t>vests</w:t>
      </w:r>
      <w:r>
        <w:rPr>
          <w:spacing w:val="23"/>
          <w:sz w:val="25"/>
        </w:rPr>
        <w:t> </w:t>
      </w:r>
      <w:r>
        <w:rPr>
          <w:sz w:val="25"/>
        </w:rPr>
        <w:t>exclusively</w:t>
      </w:r>
      <w:r>
        <w:rPr>
          <w:spacing w:val="23"/>
          <w:sz w:val="25"/>
        </w:rPr>
        <w:t> </w:t>
      </w:r>
      <w:r>
        <w:rPr>
          <w:sz w:val="25"/>
        </w:rPr>
        <w:t>in</w:t>
      </w:r>
      <w:r>
        <w:rPr>
          <w:spacing w:val="23"/>
          <w:sz w:val="25"/>
        </w:rPr>
        <w:t> </w:t>
      </w:r>
      <w:r>
        <w:rPr>
          <w:sz w:val="25"/>
        </w:rPr>
        <w:t>the</w:t>
      </w:r>
      <w:r>
        <w:rPr>
          <w:spacing w:val="23"/>
          <w:sz w:val="25"/>
        </w:rPr>
        <w:t> </w:t>
      </w:r>
      <w:r>
        <w:rPr>
          <w:sz w:val="25"/>
        </w:rPr>
        <w:t>lawfully</w:t>
      </w:r>
      <w:r>
        <w:rPr>
          <w:spacing w:val="21"/>
          <w:sz w:val="25"/>
        </w:rPr>
        <w:t> </w:t>
      </w:r>
      <w:r>
        <w:rPr>
          <w:sz w:val="25"/>
        </w:rPr>
        <w:t>appointed</w:t>
      </w:r>
      <w:r>
        <w:rPr>
          <w:spacing w:val="25"/>
          <w:sz w:val="25"/>
        </w:rPr>
        <w:t> </w:t>
      </w:r>
      <w:r>
        <w:rPr>
          <w:sz w:val="25"/>
        </w:rPr>
        <w:t>shebait;</w:t>
      </w:r>
      <w:r>
        <w:rPr>
          <w:spacing w:val="23"/>
          <w:sz w:val="25"/>
        </w:rPr>
        <w:t> </w:t>
      </w:r>
      <w:r>
        <w:rPr>
          <w:sz w:val="25"/>
        </w:rPr>
        <w:t>however,</w:t>
      </w:r>
    </w:p>
    <w:p>
      <w:pPr>
        <w:pStyle w:val="BodyText"/>
        <w:spacing w:before="10"/>
        <w:rPr>
          <w:sz w:val="24"/>
        </w:rPr>
      </w:pPr>
    </w:p>
    <w:p>
      <w:pPr>
        <w:pStyle w:val="ListParagraph"/>
        <w:numPr>
          <w:ilvl w:val="0"/>
          <w:numId w:val="117"/>
        </w:numPr>
        <w:tabs>
          <w:tab w:pos="853" w:val="left" w:leader="none"/>
        </w:tabs>
        <w:spacing w:line="480" w:lineRule="auto" w:before="0" w:after="0"/>
        <w:ind w:left="500" w:right="435" w:firstLine="0"/>
        <w:jc w:val="both"/>
        <w:rPr>
          <w:sz w:val="25"/>
        </w:rPr>
      </w:pPr>
      <w:r>
        <w:rPr>
          <w:sz w:val="25"/>
        </w:rPr>
        <w:t>Where the shebait acts in a manner negligent or hostile to the interests of the idol through express action or inaction, any person who is interested in the endowment may institute a suit on behalf of the idol; and (iii) The exact nature of the interest possessed by the next friend, and whether the next friend is </w:t>
      </w:r>
      <w:r>
        <w:rPr>
          <w:i/>
          <w:sz w:val="25"/>
        </w:rPr>
        <w:t>bona fide </w:t>
      </w:r>
      <w:r>
        <w:rPr>
          <w:sz w:val="25"/>
        </w:rPr>
        <w:t>are matters of substantive law. If contested, it must be adjudicated upon by the court.</w:t>
      </w:r>
    </w:p>
    <w:p>
      <w:pPr>
        <w:pStyle w:val="BodyText"/>
        <w:spacing w:line="480" w:lineRule="auto" w:before="163"/>
        <w:ind w:left="500" w:right="442"/>
        <w:jc w:val="both"/>
      </w:pPr>
      <w:r>
        <w:rPr/>
        <w:t>The maintainability of Suit 5 hinges on the question whether Nirmohi Akhara were shebaits, and whether they have acted in a manner prejudicial to the interests of the idol. It is to this that issue we must now turn.</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7"/>
        <w:jc w:val="both"/>
      </w:pPr>
      <w:r>
        <w:rPr/>
        <w:t>During the oral arguments before this court, a question was put to Mr Jain whether by challenging the maintainability of the idol‘s suit, Nirmohi Akhara have set up a claim hostile to the interests of the idol. In response, Mr S K Jain submitted to this Court a statement conditionally modifying the position of the Nirmohi Akhara with respect to the maintainability of Suit 5 stating that the Nirmohi Akhara would not press the issue of maintainability in suit 5 provided that the plaintiffs in Suit 3 do not question the shebaiti rights of Nirmohi Akhara. It was submitted that Nirmohi Akhara can independently maintain their suits as</w:t>
      </w:r>
      <w:r>
        <w:rPr>
          <w:spacing w:val="-24"/>
        </w:rPr>
        <w:t> </w:t>
      </w:r>
      <w:r>
        <w:rPr/>
        <w:t>shebaits.</w:t>
      </w:r>
    </w:p>
    <w:p>
      <w:pPr>
        <w:pStyle w:val="BodyText"/>
        <w:spacing w:before="11"/>
        <w:rPr>
          <w:sz w:val="38"/>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 statement by Nirmohi Akhara does not alter its claim that it is the shebait of the idols of Lord Ram. It merely stipulates that, in </w:t>
      </w:r>
      <w:r>
        <w:rPr>
          <w:spacing w:val="3"/>
          <w:sz w:val="25"/>
        </w:rPr>
        <w:t>the </w:t>
      </w:r>
      <w:r>
        <w:rPr>
          <w:sz w:val="25"/>
        </w:rPr>
        <w:t>event that the plaintiffs in Suit 5 choose to recognise Nirmohi Akhara as the shebait of the idols, it will no longer challenge the maintainability of Suit 5. Such a position is untenable in a court of law. Nirmohi Akhara has consistently taken the stand that the Nirmohis are shebaits of the idols of Lord Ram. If this Court finds that they  are the shebait of the idols, they alone can sue on behalf of the idols and Suit 5 instituted by a next friend would not be maintainable, absent an adjudication by this Court that the Nirmohis have acted contrary to the interests of the</w:t>
      </w:r>
      <w:r>
        <w:rPr>
          <w:spacing w:val="-19"/>
          <w:sz w:val="25"/>
        </w:rPr>
        <w:t> </w:t>
      </w:r>
      <w:r>
        <w:rPr>
          <w:sz w:val="25"/>
        </w:rPr>
        <w:t>idol.</w:t>
      </w:r>
    </w:p>
    <w:p>
      <w:pPr>
        <w:pStyle w:val="BodyText"/>
        <w:spacing w:before="10"/>
        <w:rPr>
          <w:sz w:val="38"/>
        </w:rPr>
      </w:pPr>
    </w:p>
    <w:p>
      <w:pPr>
        <w:pStyle w:val="ListParagraph"/>
        <w:numPr>
          <w:ilvl w:val="0"/>
          <w:numId w:val="111"/>
        </w:numPr>
        <w:tabs>
          <w:tab w:pos="1360" w:val="left" w:leader="none"/>
        </w:tabs>
        <w:spacing w:line="480" w:lineRule="auto" w:before="0" w:after="0"/>
        <w:ind w:left="500" w:right="436" w:firstLine="0"/>
        <w:jc w:val="both"/>
        <w:rPr>
          <w:sz w:val="25"/>
        </w:rPr>
      </w:pPr>
      <w:r>
        <w:rPr>
          <w:sz w:val="25"/>
        </w:rPr>
        <w:t>The present case does not concern an express deed of dedication identifying a shebait. Rather, it is the submission of Nirmohi Akhara that by virtue of their long-standing presence at the disputed site, and their exercise of certain actions with respect to the idol, they are shebaits </w:t>
      </w:r>
      <w:r>
        <w:rPr>
          <w:i/>
          <w:sz w:val="25"/>
        </w:rPr>
        <w:t>de facto</w:t>
      </w:r>
      <w:r>
        <w:rPr>
          <w:sz w:val="25"/>
        </w:rPr>
        <w:t>. Further, the unique nature of the present proceedings is that the suit instituted by the next friend, thirty years after the suit by Nirmohi Akhara, is being adjudicated upon</w:t>
      </w:r>
      <w:r>
        <w:rPr>
          <w:spacing w:val="19"/>
          <w:sz w:val="25"/>
        </w:rPr>
        <w:t> </w:t>
      </w:r>
      <w:r>
        <w:rPr>
          <w:sz w:val="25"/>
        </w:rPr>
        <w:t>along-side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with the suit filed by the alleged shebait, Nirmohi Akhara. The consequence of this is that when the suit of the next friend was instituted in 1989, no determination had yet been made that Nirmohi Akhara was a</w:t>
      </w:r>
      <w:r>
        <w:rPr>
          <w:spacing w:val="-10"/>
        </w:rPr>
        <w:t> </w:t>
      </w:r>
      <w:r>
        <w:rPr/>
        <w:t>shebait.</w:t>
      </w:r>
    </w:p>
    <w:p>
      <w:pPr>
        <w:pStyle w:val="BodyText"/>
        <w:spacing w:before="10"/>
        <w:rPr>
          <w:sz w:val="38"/>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 present proceedings are of a composite nature, hence the question of the maintainability of Suit 5 must be answered in a staggered manner. The first question is whether the Nirmohi Akahara are the </w:t>
      </w:r>
      <w:r>
        <w:rPr>
          <w:i/>
          <w:sz w:val="25"/>
        </w:rPr>
        <w:t>de facto </w:t>
      </w:r>
      <w:r>
        <w:rPr>
          <w:sz w:val="25"/>
        </w:rPr>
        <w:t>shebaits of the idols of Lord Ram. If this is answered in the affirmative, the second question that arises  is whether Nirmohi Akhara have acted in a manner prejudicial to the interest of the idol. If the Nirmohi Akhara are found to be the </w:t>
      </w:r>
      <w:r>
        <w:rPr>
          <w:i/>
          <w:sz w:val="25"/>
        </w:rPr>
        <w:t>de facto </w:t>
      </w:r>
      <w:r>
        <w:rPr>
          <w:sz w:val="25"/>
        </w:rPr>
        <w:t>shebaits and have not acted prejudicially, Suit 5 is not maintainable as it is the shebait that enjoys the exclusive right to sue on behalf of the deity. Alternatively, if the Nirmohi Akhara are found not to be </w:t>
      </w:r>
      <w:r>
        <w:rPr>
          <w:i/>
          <w:sz w:val="25"/>
        </w:rPr>
        <w:t>de facto </w:t>
      </w:r>
      <w:r>
        <w:rPr>
          <w:sz w:val="25"/>
        </w:rPr>
        <w:t>shebaits of the idols, or are found to have acted prejudicially with respect to the idols, the suit by the next friend is maintainable. With this, we turn to the question whether Nirmohi Akhara are shebaits </w:t>
      </w:r>
      <w:r>
        <w:rPr>
          <w:i/>
          <w:sz w:val="25"/>
        </w:rPr>
        <w:t>de</w:t>
      </w:r>
      <w:r>
        <w:rPr>
          <w:i/>
          <w:spacing w:val="-17"/>
          <w:sz w:val="25"/>
        </w:rPr>
        <w:t> </w:t>
      </w:r>
      <w:r>
        <w:rPr>
          <w:i/>
          <w:sz w:val="25"/>
        </w:rPr>
        <w:t>facto</w:t>
      </w:r>
      <w:r>
        <w:rPr>
          <w:sz w:val="25"/>
        </w:rPr>
        <w:t>.</w:t>
      </w:r>
    </w:p>
    <w:p>
      <w:pPr>
        <w:pStyle w:val="Heading4"/>
        <w:spacing w:before="164"/>
        <w:rPr>
          <w:i/>
        </w:rPr>
      </w:pPr>
      <w:r>
        <w:rPr>
          <w:i/>
        </w:rPr>
        <w:t>Rights of a de facto shebait to sue</w:t>
      </w:r>
    </w:p>
    <w:p>
      <w:pPr>
        <w:pStyle w:val="BodyText"/>
        <w:rPr>
          <w:i/>
          <w:sz w:val="28"/>
        </w:rPr>
      </w:pPr>
    </w:p>
    <w:p>
      <w:pPr>
        <w:pStyle w:val="ListParagraph"/>
        <w:numPr>
          <w:ilvl w:val="0"/>
          <w:numId w:val="111"/>
        </w:numPr>
        <w:tabs>
          <w:tab w:pos="1221" w:val="left" w:leader="none"/>
        </w:tabs>
        <w:spacing w:line="480" w:lineRule="auto" w:before="250" w:after="0"/>
        <w:ind w:left="500" w:right="433" w:firstLine="0"/>
        <w:jc w:val="both"/>
        <w:rPr>
          <w:sz w:val="25"/>
        </w:rPr>
      </w:pPr>
      <w:r>
        <w:rPr>
          <w:sz w:val="25"/>
        </w:rPr>
        <w:t>The rights of a </w:t>
      </w:r>
      <w:r>
        <w:rPr>
          <w:i/>
          <w:sz w:val="25"/>
        </w:rPr>
        <w:t>de facto </w:t>
      </w:r>
      <w:r>
        <w:rPr>
          <w:sz w:val="25"/>
        </w:rPr>
        <w:t>shebait to institute suits on behalf of the deity can be traced to two early decisions of the Privy Council: </w:t>
      </w:r>
      <w:r>
        <w:rPr>
          <w:b/>
          <w:sz w:val="25"/>
        </w:rPr>
        <w:t>Mahant Ram Charan Das </w:t>
      </w:r>
      <w:r>
        <w:rPr>
          <w:sz w:val="25"/>
        </w:rPr>
        <w:t>v </w:t>
      </w:r>
      <w:r>
        <w:rPr>
          <w:b/>
          <w:sz w:val="25"/>
        </w:rPr>
        <w:t>Naurangi Lal</w:t>
      </w:r>
      <w:r>
        <w:rPr>
          <w:sz w:val="25"/>
          <w:vertAlign w:val="superscript"/>
        </w:rPr>
        <w:t>227</w:t>
      </w:r>
      <w:r>
        <w:rPr>
          <w:sz w:val="25"/>
          <w:vertAlign w:val="baseline"/>
        </w:rPr>
        <w:t> and </w:t>
      </w:r>
      <w:r>
        <w:rPr>
          <w:b/>
          <w:sz w:val="25"/>
          <w:vertAlign w:val="baseline"/>
        </w:rPr>
        <w:t>Mahadeo Prasad Singh </w:t>
      </w:r>
      <w:r>
        <w:rPr>
          <w:sz w:val="25"/>
          <w:vertAlign w:val="baseline"/>
        </w:rPr>
        <w:t>v </w:t>
      </w:r>
      <w:r>
        <w:rPr>
          <w:b/>
          <w:sz w:val="25"/>
          <w:vertAlign w:val="baseline"/>
        </w:rPr>
        <w:t>Karia Bharti</w:t>
      </w:r>
      <w:r>
        <w:rPr>
          <w:sz w:val="25"/>
          <w:vertAlign w:val="superscript"/>
        </w:rPr>
        <w:t>228</w:t>
      </w:r>
      <w:r>
        <w:rPr>
          <w:sz w:val="25"/>
          <w:vertAlign w:val="baseline"/>
        </w:rPr>
        <w:t>. In </w:t>
      </w:r>
      <w:r>
        <w:rPr>
          <w:b/>
          <w:sz w:val="25"/>
          <w:vertAlign w:val="baseline"/>
        </w:rPr>
        <w:t>Mahant Ram Charan Das</w:t>
      </w:r>
      <w:r>
        <w:rPr>
          <w:sz w:val="25"/>
          <w:vertAlign w:val="baseline"/>
        </w:rPr>
        <w:t>, the Mahant of a Paliganj mutt executed a lease for 70 acres of the mutt‘s land and subsequently executed a sale deed subject to the lease. Upon  his death, another person claiming to be Mahant took possession</w:t>
      </w:r>
      <w:r>
        <w:rPr>
          <w:spacing w:val="57"/>
          <w:sz w:val="25"/>
          <w:vertAlign w:val="baseline"/>
        </w:rPr>
        <w:t> </w:t>
      </w:r>
      <w:r>
        <w:rPr>
          <w:sz w:val="25"/>
          <w:vertAlign w:val="baseline"/>
        </w:rPr>
        <w:t>and</w:t>
      </w:r>
    </w:p>
    <w:p>
      <w:pPr>
        <w:pStyle w:val="BodyText"/>
        <w:rPr>
          <w:sz w:val="20"/>
        </w:rPr>
      </w:pPr>
    </w:p>
    <w:p>
      <w:pPr>
        <w:pStyle w:val="BodyText"/>
        <w:spacing w:before="6"/>
        <w:rPr>
          <w:sz w:val="15"/>
        </w:rPr>
      </w:pPr>
      <w:r>
        <w:rPr/>
        <w:pict>
          <v:rect style="position:absolute;margin-left:72.024002pt;margin-top:10.912715pt;width:144.020pt;height:.599980pt;mso-position-horizontal-relative:page;mso-position-vertical-relative:paragraph;z-index:-1566566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227</w:t>
      </w:r>
      <w:r>
        <w:rPr>
          <w:sz w:val="18"/>
          <w:vertAlign w:val="baseline"/>
        </w:rPr>
        <w:t> AIR 1933 PC</w:t>
      </w:r>
      <w:r>
        <w:rPr>
          <w:spacing w:val="-8"/>
          <w:sz w:val="18"/>
          <w:vertAlign w:val="baseline"/>
        </w:rPr>
        <w:t> </w:t>
      </w:r>
      <w:r>
        <w:rPr>
          <w:sz w:val="18"/>
          <w:vertAlign w:val="baseline"/>
        </w:rPr>
        <w:t>75</w:t>
      </w:r>
    </w:p>
    <w:p>
      <w:pPr>
        <w:spacing w:before="2"/>
        <w:ind w:left="500" w:right="0" w:firstLine="0"/>
        <w:jc w:val="left"/>
        <w:rPr>
          <w:sz w:val="18"/>
        </w:rPr>
      </w:pPr>
      <w:r>
        <w:rPr>
          <w:sz w:val="18"/>
          <w:vertAlign w:val="superscript"/>
        </w:rPr>
        <w:t>228</w:t>
      </w:r>
      <w:r>
        <w:rPr>
          <w:sz w:val="18"/>
          <w:vertAlign w:val="baseline"/>
        </w:rPr>
        <w:t> AIR 1935 PC</w:t>
      </w:r>
      <w:r>
        <w:rPr>
          <w:spacing w:val="-8"/>
          <w:sz w:val="18"/>
          <w:vertAlign w:val="baseline"/>
        </w:rPr>
        <w:t> </w:t>
      </w:r>
      <w:r>
        <w:rPr>
          <w:sz w:val="18"/>
          <w:vertAlign w:val="baseline"/>
        </w:rPr>
        <w:t>44</w:t>
      </w:r>
    </w:p>
    <w:p>
      <w:pPr>
        <w:spacing w:after="0"/>
        <w:jc w:val="left"/>
        <w:rPr>
          <w:sz w:val="18"/>
        </w:rPr>
        <w:sectPr>
          <w:pgSz w:w="11910" w:h="16840"/>
          <w:pgMar w:header="721" w:footer="1014" w:top="1300" w:bottom="1200" w:left="940" w:right="1000"/>
        </w:sectPr>
      </w:pPr>
    </w:p>
    <w:p>
      <w:pPr>
        <w:pStyle w:val="BodyText"/>
        <w:spacing w:line="480" w:lineRule="auto" w:before="124"/>
        <w:ind w:left="500" w:right="438"/>
        <w:jc w:val="both"/>
      </w:pPr>
      <w:r>
        <w:rPr/>
        <w:t>subsequently surrendered all his rights by way of a registered sale deed to the plaintiff who was the Mahant of another mutt (of which the Paliganj mutt was a subordinate). The plaintiff instituted a suit claiming that there was no necessity warranting the execution of the lease deed and the subsequent sale deed. On the question of maintainability of the suit at the behest of the plaintiff, the Privy Council, speaking through Lord Russell, held:</w:t>
      </w:r>
    </w:p>
    <w:p>
      <w:pPr>
        <w:spacing w:line="276" w:lineRule="auto" w:before="159"/>
        <w:ind w:left="1940" w:right="2264" w:firstLine="0"/>
        <w:jc w:val="both"/>
        <w:rPr>
          <w:sz w:val="21"/>
        </w:rPr>
      </w:pPr>
      <w:r>
        <w:rPr>
          <w:spacing w:val="-1"/>
          <w:w w:val="33"/>
          <w:sz w:val="21"/>
        </w:rPr>
        <w:t>―</w:t>
      </w:r>
      <w:r>
        <w:rPr>
          <w:w w:val="100"/>
          <w:sz w:val="21"/>
        </w:rPr>
        <w:t>…T</w:t>
      </w:r>
      <w:r>
        <w:rPr>
          <w:spacing w:val="-2"/>
          <w:w w:val="100"/>
          <w:sz w:val="21"/>
        </w:rPr>
        <w:t>h</w:t>
      </w:r>
      <w:r>
        <w:rPr>
          <w:spacing w:val="-1"/>
          <w:w w:val="100"/>
          <w:sz w:val="21"/>
        </w:rPr>
        <w:t>e</w:t>
      </w:r>
      <w:r>
        <w:rPr>
          <w:spacing w:val="1"/>
          <w:w w:val="100"/>
          <w:sz w:val="21"/>
        </w:rPr>
        <w:t>i</w:t>
      </w:r>
      <w:r>
        <w:rPr>
          <w:w w:val="100"/>
          <w:sz w:val="21"/>
        </w:rPr>
        <w:t>r</w:t>
      </w:r>
      <w:r>
        <w:rPr>
          <w:spacing w:val="10"/>
          <w:sz w:val="21"/>
        </w:rPr>
        <w:t> </w:t>
      </w:r>
      <w:r>
        <w:rPr>
          <w:spacing w:val="-1"/>
          <w:w w:val="100"/>
          <w:sz w:val="21"/>
        </w:rPr>
        <w:t>Lor</w:t>
      </w:r>
      <w:r>
        <w:rPr>
          <w:spacing w:val="-3"/>
          <w:w w:val="100"/>
          <w:sz w:val="21"/>
        </w:rPr>
        <w:t>d</w:t>
      </w:r>
      <w:r>
        <w:rPr>
          <w:w w:val="100"/>
          <w:sz w:val="21"/>
        </w:rPr>
        <w:t>s</w:t>
      </w:r>
      <w:r>
        <w:rPr>
          <w:spacing w:val="-3"/>
          <w:w w:val="100"/>
          <w:sz w:val="21"/>
        </w:rPr>
        <w:t>h</w:t>
      </w:r>
      <w:r>
        <w:rPr>
          <w:w w:val="100"/>
          <w:sz w:val="21"/>
        </w:rPr>
        <w:t>i</w:t>
      </w:r>
      <w:r>
        <w:rPr>
          <w:spacing w:val="-1"/>
          <w:w w:val="100"/>
          <w:sz w:val="21"/>
        </w:rPr>
        <w:t>ps</w:t>
      </w:r>
      <w:r>
        <w:rPr>
          <w:w w:val="100"/>
          <w:sz w:val="21"/>
        </w:rPr>
        <w:t>,</w:t>
      </w:r>
      <w:r>
        <w:rPr>
          <w:spacing w:val="10"/>
          <w:sz w:val="21"/>
        </w:rPr>
        <w:t> </w:t>
      </w:r>
      <w:r>
        <w:rPr>
          <w:spacing w:val="-1"/>
          <w:w w:val="100"/>
          <w:sz w:val="21"/>
        </w:rPr>
        <w:t>how</w:t>
      </w:r>
      <w:r>
        <w:rPr>
          <w:spacing w:val="-3"/>
          <w:w w:val="100"/>
          <w:sz w:val="21"/>
        </w:rPr>
        <w:t>ev</w:t>
      </w:r>
      <w:r>
        <w:rPr>
          <w:spacing w:val="-1"/>
          <w:w w:val="100"/>
          <w:sz w:val="21"/>
        </w:rPr>
        <w:t>e</w:t>
      </w:r>
      <w:r>
        <w:rPr>
          <w:w w:val="100"/>
          <w:sz w:val="21"/>
        </w:rPr>
        <w:t>r</w:t>
      </w:r>
      <w:r>
        <w:rPr>
          <w:spacing w:val="10"/>
          <w:sz w:val="21"/>
        </w:rPr>
        <w:t> </w:t>
      </w:r>
      <w:r>
        <w:rPr>
          <w:spacing w:val="-1"/>
          <w:w w:val="100"/>
          <w:sz w:val="21"/>
        </w:rPr>
        <w:t>ar</w:t>
      </w:r>
      <w:r>
        <w:rPr>
          <w:w w:val="100"/>
          <w:sz w:val="21"/>
        </w:rPr>
        <w:t>e</w:t>
      </w:r>
      <w:r>
        <w:rPr>
          <w:spacing w:val="10"/>
          <w:sz w:val="21"/>
        </w:rPr>
        <w:t> </w:t>
      </w:r>
      <w:r>
        <w:rPr>
          <w:spacing w:val="-1"/>
          <w:w w:val="100"/>
          <w:sz w:val="21"/>
        </w:rPr>
        <w:t>no</w:t>
      </w:r>
      <w:r>
        <w:rPr>
          <w:w w:val="100"/>
          <w:sz w:val="21"/>
        </w:rPr>
        <w:t>t</w:t>
      </w:r>
      <w:r>
        <w:rPr>
          <w:spacing w:val="10"/>
          <w:sz w:val="21"/>
        </w:rPr>
        <w:t> </w:t>
      </w:r>
      <w:r>
        <w:rPr>
          <w:spacing w:val="-1"/>
          <w:w w:val="100"/>
          <w:sz w:val="21"/>
        </w:rPr>
        <w:t>no</w:t>
      </w:r>
      <w:r>
        <w:rPr>
          <w:w w:val="100"/>
          <w:sz w:val="21"/>
        </w:rPr>
        <w:t>w</w:t>
      </w:r>
      <w:r>
        <w:rPr>
          <w:spacing w:val="10"/>
          <w:sz w:val="21"/>
        </w:rPr>
        <w:t> </w:t>
      </w:r>
      <w:r>
        <w:rPr>
          <w:w w:val="100"/>
          <w:sz w:val="21"/>
        </w:rPr>
        <w:t>concern</w:t>
      </w:r>
      <w:r>
        <w:rPr>
          <w:spacing w:val="-3"/>
          <w:w w:val="100"/>
          <w:sz w:val="21"/>
        </w:rPr>
        <w:t>e</w:t>
      </w:r>
      <w:r>
        <w:rPr>
          <w:w w:val="100"/>
          <w:sz w:val="21"/>
        </w:rPr>
        <w:t>d</w:t>
      </w:r>
      <w:r>
        <w:rPr>
          <w:spacing w:val="11"/>
          <w:sz w:val="21"/>
        </w:rPr>
        <w:t> </w:t>
      </w:r>
      <w:r>
        <w:rPr>
          <w:spacing w:val="-2"/>
          <w:w w:val="100"/>
          <w:sz w:val="21"/>
        </w:rPr>
        <w:t>w</w:t>
      </w:r>
      <w:r>
        <w:rPr>
          <w:w w:val="100"/>
          <w:sz w:val="21"/>
        </w:rPr>
        <w:t>i</w:t>
      </w:r>
      <w:r>
        <w:rPr>
          <w:spacing w:val="-2"/>
          <w:w w:val="100"/>
          <w:sz w:val="21"/>
        </w:rPr>
        <w:t>t</w:t>
      </w:r>
      <w:r>
        <w:rPr>
          <w:w w:val="100"/>
          <w:sz w:val="21"/>
        </w:rPr>
        <w:t>h</w:t>
      </w:r>
      <w:r>
        <w:rPr>
          <w:spacing w:val="11"/>
          <w:sz w:val="21"/>
        </w:rPr>
        <w:t> </w:t>
      </w:r>
      <w:r>
        <w:rPr>
          <w:spacing w:val="-1"/>
          <w:w w:val="100"/>
          <w:sz w:val="21"/>
        </w:rPr>
        <w:t>any </w:t>
      </w:r>
      <w:r>
        <w:rPr>
          <w:sz w:val="21"/>
        </w:rPr>
        <w:t>question of title because both the Courts below have found that the plaintiff is the person in actual possession of the Paliganj mutt and as such entitled to maintain a suit to recover property not for his own benefit but for the benefit of the</w:t>
      </w:r>
      <w:r>
        <w:rPr>
          <w:spacing w:val="-2"/>
          <w:sz w:val="21"/>
        </w:rPr>
        <w:t> </w:t>
      </w:r>
      <w:r>
        <w:rPr>
          <w:sz w:val="21"/>
        </w:rPr>
        <w:t>mutt.‖</w:t>
      </w:r>
    </w:p>
    <w:p>
      <w:pPr>
        <w:pStyle w:val="BodyText"/>
        <w:rPr>
          <w:sz w:val="24"/>
        </w:rPr>
      </w:pPr>
    </w:p>
    <w:p>
      <w:pPr>
        <w:pStyle w:val="BodyText"/>
        <w:spacing w:before="3"/>
        <w:rPr>
          <w:sz w:val="24"/>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In </w:t>
      </w:r>
      <w:r>
        <w:rPr>
          <w:b/>
          <w:sz w:val="25"/>
        </w:rPr>
        <w:t>Mahadeo Prasad Singh</w:t>
      </w:r>
      <w:r>
        <w:rPr>
          <w:sz w:val="25"/>
        </w:rPr>
        <w:t>, a village which formed part of the estate annexed to a mutt was sold by the Mahant in 1914. Upon his death in 1916, the suit in question was instituted in 1926 challenging the alienation by a person alleging to be the Mahant of the mutt. One objection to the suit was that the respondent was not entitled to maintain the suit as he was neither the </w:t>
      </w:r>
      <w:r>
        <w:rPr>
          <w:i/>
          <w:sz w:val="25"/>
        </w:rPr>
        <w:t>chela </w:t>
      </w:r>
      <w:r>
        <w:rPr>
          <w:sz w:val="25"/>
        </w:rPr>
        <w:t>of  the previous Mahant, nor was he entitled to be the Mahant in any other capacity. Rejecting this contention, the Privy Council, speaking through Sir Shadi Lal</w:t>
      </w:r>
      <w:r>
        <w:rPr>
          <w:spacing w:val="-21"/>
          <w:sz w:val="25"/>
        </w:rPr>
        <w:t> </w:t>
      </w:r>
      <w:r>
        <w:rPr>
          <w:sz w:val="25"/>
        </w:rPr>
        <w:t>held:</w:t>
      </w:r>
    </w:p>
    <w:p>
      <w:pPr>
        <w:spacing w:line="276" w:lineRule="auto" w:before="161"/>
        <w:ind w:left="1940" w:right="2260" w:firstLine="0"/>
        <w:jc w:val="both"/>
        <w:rPr>
          <w:sz w:val="21"/>
        </w:rPr>
      </w:pPr>
      <w:r>
        <w:rPr>
          <w:w w:val="33"/>
          <w:sz w:val="21"/>
        </w:rPr>
        <w:t>―</w:t>
      </w:r>
      <w:r>
        <w:rPr>
          <w:w w:val="100"/>
          <w:sz w:val="21"/>
        </w:rPr>
        <w:t>There</w:t>
      </w:r>
      <w:r>
        <w:rPr>
          <w:sz w:val="21"/>
        </w:rPr>
        <w:t> </w:t>
      </w:r>
      <w:r>
        <w:rPr>
          <w:w w:val="100"/>
          <w:sz w:val="21"/>
        </w:rPr>
        <w:t>can</w:t>
      </w:r>
      <w:r>
        <w:rPr>
          <w:sz w:val="21"/>
        </w:rPr>
        <w:t> </w:t>
      </w:r>
      <w:r>
        <w:rPr>
          <w:w w:val="100"/>
          <w:sz w:val="21"/>
        </w:rPr>
        <w:t>be</w:t>
      </w:r>
      <w:r>
        <w:rPr>
          <w:sz w:val="21"/>
        </w:rPr>
        <w:t> </w:t>
      </w:r>
      <w:r>
        <w:rPr>
          <w:w w:val="100"/>
          <w:sz w:val="21"/>
        </w:rPr>
        <w:t>little</w:t>
      </w:r>
      <w:r>
        <w:rPr>
          <w:sz w:val="21"/>
        </w:rPr>
        <w:t> </w:t>
      </w:r>
      <w:r>
        <w:rPr>
          <w:w w:val="100"/>
          <w:sz w:val="21"/>
        </w:rPr>
        <w:t>doubt</w:t>
      </w:r>
      <w:r>
        <w:rPr>
          <w:sz w:val="21"/>
        </w:rPr>
        <w:t> </w:t>
      </w:r>
      <w:r>
        <w:rPr>
          <w:w w:val="100"/>
          <w:sz w:val="21"/>
        </w:rPr>
        <w:t>that</w:t>
      </w:r>
      <w:r>
        <w:rPr>
          <w:sz w:val="21"/>
        </w:rPr>
        <w:t> </w:t>
      </w:r>
      <w:r>
        <w:rPr>
          <w:w w:val="100"/>
          <w:sz w:val="21"/>
        </w:rPr>
        <w:t>Karia</w:t>
      </w:r>
      <w:r>
        <w:rPr>
          <w:sz w:val="21"/>
        </w:rPr>
        <w:t> </w:t>
      </w:r>
      <w:r>
        <w:rPr>
          <w:w w:val="100"/>
          <w:sz w:val="21"/>
        </w:rPr>
        <w:t>has</w:t>
      </w:r>
      <w:r>
        <w:rPr>
          <w:sz w:val="21"/>
        </w:rPr>
        <w:t> </w:t>
      </w:r>
      <w:r>
        <w:rPr>
          <w:w w:val="100"/>
          <w:sz w:val="21"/>
        </w:rPr>
        <w:t>been</w:t>
      </w:r>
      <w:r>
        <w:rPr>
          <w:sz w:val="21"/>
        </w:rPr>
        <w:t> </w:t>
      </w:r>
      <w:r>
        <w:rPr>
          <w:w w:val="100"/>
          <w:sz w:val="21"/>
        </w:rPr>
        <w:t>m</w:t>
      </w:r>
      <w:r>
        <w:rPr>
          <w:w w:val="100"/>
          <w:sz w:val="21"/>
        </w:rPr>
        <w:t>anag</w:t>
      </w:r>
      <w:r>
        <w:rPr>
          <w:w w:val="100"/>
          <w:sz w:val="21"/>
        </w:rPr>
        <w:t>i</w:t>
      </w:r>
      <w:r>
        <w:rPr>
          <w:w w:val="100"/>
          <w:sz w:val="21"/>
        </w:rPr>
        <w:t>ng</w:t>
      </w:r>
      <w:r>
        <w:rPr>
          <w:sz w:val="21"/>
        </w:rPr>
        <w:t> </w:t>
      </w:r>
      <w:r>
        <w:rPr>
          <w:w w:val="100"/>
          <w:sz w:val="21"/>
        </w:rPr>
        <w:t>t</w:t>
      </w:r>
      <w:r>
        <w:rPr>
          <w:w w:val="100"/>
          <w:sz w:val="21"/>
        </w:rPr>
        <w:t>he </w:t>
      </w:r>
      <w:r>
        <w:rPr>
          <w:sz w:val="21"/>
        </w:rPr>
        <w:t>affairs of the institutions since 1904, and has since the death of Rajbans been treated as its mahant by all the persons interested therein. The property entered in the revenue records in the name of Rajbans was, on his death, mutated to Karia, and it is not suggested that there is any person who disputes his title to the office of the mahant. In these circumstances their Lordships agree with the High Court that Karia was entitled to recover for the benefit of the math the property which belonged to the math and is now wrongly held by the appellants. They are in no better position than trespassers. As observed by this Board in 1933 PC 75 (1), a person in actual possession of the math is entitled to maintain</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346" w:firstLine="0"/>
        <w:jc w:val="left"/>
        <w:rPr>
          <w:sz w:val="21"/>
        </w:rPr>
      </w:pPr>
      <w:r>
        <w:rPr>
          <w:sz w:val="21"/>
        </w:rPr>
        <w:t>a suit to recover property appertaining to it, not for his own benefit, but for the benefit of the math.‖</w:t>
      </w:r>
    </w:p>
    <w:p>
      <w:pPr>
        <w:pStyle w:val="BodyText"/>
        <w:rPr>
          <w:sz w:val="24"/>
        </w:rPr>
      </w:pPr>
    </w:p>
    <w:p>
      <w:pPr>
        <w:pStyle w:val="BodyText"/>
        <w:rPr>
          <w:sz w:val="24"/>
        </w:rPr>
      </w:pPr>
    </w:p>
    <w:p>
      <w:pPr>
        <w:pStyle w:val="BodyText"/>
        <w:spacing w:line="480" w:lineRule="auto" w:before="1"/>
        <w:ind w:left="500" w:right="442"/>
        <w:jc w:val="both"/>
      </w:pPr>
      <w:r>
        <w:rPr/>
        <w:t>The Privy Council noted the following: (i) Karia was recognised as a mahant by the villagers; (ii) The revenue record reflected Karia‘s name; and (iii) It was not suggested that there existed any dispute to his title to the office of the Mahant. It is on the basis of these considerations that the Privy Council held that the rights exercised by Karia were in the nature of a Mahant. The considerations outlined above weighed with the Privy Council in its analysis of whether the rights exercised were in the nature of those exercised by a Mahant.</w:t>
      </w:r>
    </w:p>
    <w:p>
      <w:pPr>
        <w:pStyle w:val="BodyText"/>
        <w:spacing w:before="1"/>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Though both the decisions of the Privy Council adverted to above were in the context of the right of a Mahant to bring an action on behalf </w:t>
      </w:r>
      <w:r>
        <w:rPr>
          <w:spacing w:val="5"/>
          <w:sz w:val="25"/>
        </w:rPr>
        <w:t>of </w:t>
      </w:r>
      <w:r>
        <w:rPr>
          <w:sz w:val="25"/>
        </w:rPr>
        <w:t>a mutt, the position in law that a </w:t>
      </w:r>
      <w:r>
        <w:rPr>
          <w:i/>
          <w:sz w:val="25"/>
        </w:rPr>
        <w:t>de </w:t>
      </w:r>
      <w:r>
        <w:rPr>
          <w:sz w:val="25"/>
        </w:rPr>
        <w:t>facto Mahant is entitled to institute an action on behalf of the mutt for its benefit has equally been applied to a </w:t>
      </w:r>
      <w:r>
        <w:rPr>
          <w:i/>
          <w:sz w:val="25"/>
        </w:rPr>
        <w:t>de facto </w:t>
      </w:r>
      <w:r>
        <w:rPr>
          <w:sz w:val="25"/>
        </w:rPr>
        <w:t>shebait of an idol and its properties. In </w:t>
      </w:r>
      <w:r>
        <w:rPr>
          <w:b/>
          <w:sz w:val="25"/>
        </w:rPr>
        <w:t>Panchkari Roy </w:t>
      </w:r>
      <w:r>
        <w:rPr>
          <w:sz w:val="25"/>
        </w:rPr>
        <w:t>v </w:t>
      </w:r>
      <w:r>
        <w:rPr>
          <w:b/>
          <w:sz w:val="25"/>
        </w:rPr>
        <w:t>Amode Lal Burman</w:t>
      </w:r>
      <w:r>
        <w:rPr>
          <w:sz w:val="25"/>
          <w:vertAlign w:val="superscript"/>
        </w:rPr>
        <w:t>229</w:t>
      </w:r>
      <w:r>
        <w:rPr>
          <w:sz w:val="25"/>
          <w:vertAlign w:val="baseline"/>
        </w:rPr>
        <w:t>, Ramdas Mohunt, by virtue of a will, dedicated property to certain idols and appointed his widow as the manager of the property till the attainment of the age of majority of their daughter, at which point, she would take over as a shebait. The widow sold the property as secular property and the daughter, upon attaining majority, alleged that though the property was secular, it devolved upon her by the virtue of the will. She sold the property to another party. The plaintiff, claiming to be the religious preceptor of the debutter instituted a suit alleging that the idols were handed over to him. The question before the court was whether the plaintiff, who was</w:t>
      </w:r>
      <w:r>
        <w:rPr>
          <w:spacing w:val="13"/>
          <w:sz w:val="25"/>
          <w:vertAlign w:val="baseline"/>
        </w:rPr>
        <w:t> </w:t>
      </w:r>
      <w:r>
        <w:rPr>
          <w:sz w:val="25"/>
          <w:vertAlign w:val="baseline"/>
        </w:rPr>
        <w:t>not</w:t>
      </w:r>
      <w:r>
        <w:rPr>
          <w:spacing w:val="13"/>
          <w:sz w:val="25"/>
          <w:vertAlign w:val="baseline"/>
        </w:rPr>
        <w:t> </w:t>
      </w:r>
      <w:r>
        <w:rPr>
          <w:sz w:val="25"/>
          <w:vertAlign w:val="baseline"/>
        </w:rPr>
        <w:t>a</w:t>
      </w:r>
      <w:r>
        <w:rPr>
          <w:spacing w:val="13"/>
          <w:sz w:val="25"/>
          <w:vertAlign w:val="baseline"/>
        </w:rPr>
        <w:t> </w:t>
      </w:r>
      <w:r>
        <w:rPr>
          <w:sz w:val="25"/>
          <w:vertAlign w:val="baseline"/>
        </w:rPr>
        <w:t>member</w:t>
      </w:r>
      <w:r>
        <w:rPr>
          <w:spacing w:val="15"/>
          <w:sz w:val="25"/>
          <w:vertAlign w:val="baseline"/>
        </w:rPr>
        <w:t> </w:t>
      </w:r>
      <w:r>
        <w:rPr>
          <w:sz w:val="25"/>
          <w:vertAlign w:val="baseline"/>
        </w:rPr>
        <w:t>of</w:t>
      </w:r>
      <w:r>
        <w:rPr>
          <w:spacing w:val="11"/>
          <w:sz w:val="25"/>
          <w:vertAlign w:val="baseline"/>
        </w:rPr>
        <w:t> </w:t>
      </w:r>
      <w:r>
        <w:rPr>
          <w:sz w:val="25"/>
          <w:vertAlign w:val="baseline"/>
        </w:rPr>
        <w:t>the</w:t>
      </w:r>
      <w:r>
        <w:rPr>
          <w:spacing w:val="14"/>
          <w:sz w:val="25"/>
          <w:vertAlign w:val="baseline"/>
        </w:rPr>
        <w:t> </w:t>
      </w:r>
      <w:r>
        <w:rPr>
          <w:sz w:val="25"/>
          <w:vertAlign w:val="baseline"/>
        </w:rPr>
        <w:t>family</w:t>
      </w:r>
      <w:r>
        <w:rPr>
          <w:spacing w:val="11"/>
          <w:sz w:val="25"/>
          <w:vertAlign w:val="baseline"/>
        </w:rPr>
        <w:t> </w:t>
      </w:r>
      <w:r>
        <w:rPr>
          <w:sz w:val="25"/>
          <w:vertAlign w:val="baseline"/>
        </w:rPr>
        <w:t>or</w:t>
      </w:r>
      <w:r>
        <w:rPr>
          <w:spacing w:val="14"/>
          <w:sz w:val="25"/>
          <w:vertAlign w:val="baseline"/>
        </w:rPr>
        <w:t> </w:t>
      </w:r>
      <w:r>
        <w:rPr>
          <w:sz w:val="25"/>
          <w:vertAlign w:val="baseline"/>
        </w:rPr>
        <w:t>named</w:t>
      </w:r>
      <w:r>
        <w:rPr>
          <w:spacing w:val="13"/>
          <w:sz w:val="25"/>
          <w:vertAlign w:val="baseline"/>
        </w:rPr>
        <w:t> </w:t>
      </w:r>
      <w:r>
        <w:rPr>
          <w:sz w:val="25"/>
          <w:vertAlign w:val="baseline"/>
        </w:rPr>
        <w:t>in</w:t>
      </w:r>
      <w:r>
        <w:rPr>
          <w:spacing w:val="13"/>
          <w:sz w:val="25"/>
          <w:vertAlign w:val="baseline"/>
        </w:rPr>
        <w:t> </w:t>
      </w:r>
      <w:r>
        <w:rPr>
          <w:sz w:val="25"/>
          <w:vertAlign w:val="baseline"/>
        </w:rPr>
        <w:t>the</w:t>
      </w:r>
      <w:r>
        <w:rPr>
          <w:spacing w:val="15"/>
          <w:sz w:val="25"/>
          <w:vertAlign w:val="baseline"/>
        </w:rPr>
        <w:t> </w:t>
      </w:r>
      <w:r>
        <w:rPr>
          <w:sz w:val="25"/>
          <w:vertAlign w:val="baseline"/>
        </w:rPr>
        <w:t>will,</w:t>
      </w:r>
      <w:r>
        <w:rPr>
          <w:spacing w:val="13"/>
          <w:sz w:val="25"/>
          <w:vertAlign w:val="baseline"/>
        </w:rPr>
        <w:t> </w:t>
      </w:r>
      <w:r>
        <w:rPr>
          <w:sz w:val="25"/>
          <w:vertAlign w:val="baseline"/>
        </w:rPr>
        <w:t>could</w:t>
      </w:r>
      <w:r>
        <w:rPr>
          <w:spacing w:val="13"/>
          <w:sz w:val="25"/>
          <w:vertAlign w:val="baseline"/>
        </w:rPr>
        <w:t> </w:t>
      </w:r>
      <w:r>
        <w:rPr>
          <w:sz w:val="25"/>
          <w:vertAlign w:val="baseline"/>
        </w:rPr>
        <w:t>validly</w:t>
      </w:r>
      <w:r>
        <w:rPr>
          <w:spacing w:val="11"/>
          <w:sz w:val="25"/>
          <w:vertAlign w:val="baseline"/>
        </w:rPr>
        <w:t> </w:t>
      </w:r>
      <w:r>
        <w:rPr>
          <w:sz w:val="25"/>
          <w:vertAlign w:val="baseline"/>
        </w:rPr>
        <w:t>institute</w:t>
      </w:r>
      <w:r>
        <w:rPr>
          <w:spacing w:val="13"/>
          <w:sz w:val="25"/>
          <w:vertAlign w:val="baseline"/>
        </w:rPr>
        <w:t> </w:t>
      </w:r>
      <w:r>
        <w:rPr>
          <w:sz w:val="25"/>
          <w:vertAlign w:val="baseline"/>
        </w:rPr>
        <w:t>a</w:t>
      </w:r>
      <w:r>
        <w:rPr>
          <w:spacing w:val="13"/>
          <w:sz w:val="25"/>
          <w:vertAlign w:val="baseline"/>
        </w:rPr>
        <w:t> </w:t>
      </w:r>
      <w:r>
        <w:rPr>
          <w:sz w:val="25"/>
          <w:vertAlign w:val="baseline"/>
        </w:rPr>
        <w:t>suit</w:t>
      </w:r>
    </w:p>
    <w:p>
      <w:pPr>
        <w:pStyle w:val="BodyText"/>
        <w:spacing w:before="1"/>
        <w:rPr>
          <w:sz w:val="11"/>
        </w:rPr>
      </w:pPr>
      <w:r>
        <w:rPr/>
        <w:pict>
          <v:rect style="position:absolute;margin-left:72.024002pt;margin-top:8.338111pt;width:144.020pt;height:.599980pt;mso-position-horizontal-relative:page;mso-position-vertical-relative:paragraph;z-index:-1566515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229</w:t>
      </w:r>
      <w:r>
        <w:rPr>
          <w:sz w:val="18"/>
          <w:vertAlign w:val="baseline"/>
        </w:rPr>
        <w:t> (1937) 41 CWN 1349</w:t>
      </w:r>
    </w:p>
    <w:p>
      <w:pPr>
        <w:spacing w:after="0"/>
        <w:jc w:val="left"/>
        <w:rPr>
          <w:sz w:val="18"/>
        </w:rPr>
        <w:sectPr>
          <w:pgSz w:w="11910" w:h="16840"/>
          <w:pgMar w:header="721" w:footer="1014" w:top="1300" w:bottom="1200" w:left="940" w:right="1000"/>
        </w:sectPr>
      </w:pPr>
    </w:p>
    <w:p>
      <w:pPr>
        <w:pStyle w:val="BodyText"/>
        <w:spacing w:line="480" w:lineRule="auto" w:before="124"/>
        <w:ind w:left="500" w:right="438"/>
        <w:jc w:val="both"/>
      </w:pPr>
      <w:r>
        <w:rPr/>
        <w:t>in a private endowment. The relevant question before the Calcutta High Court was whether the plaintiff was a </w:t>
      </w:r>
      <w:r>
        <w:rPr>
          <w:i/>
        </w:rPr>
        <w:t>de facto </w:t>
      </w:r>
      <w:r>
        <w:rPr/>
        <w:t>shebait. Justice BK Mukherjea (as he then was)</w:t>
      </w:r>
      <w:r>
        <w:rPr>
          <w:spacing w:val="-2"/>
        </w:rPr>
        <w:t> </w:t>
      </w:r>
      <w:r>
        <w:rPr/>
        <w:t>held:</w:t>
      </w:r>
    </w:p>
    <w:p>
      <w:pPr>
        <w:spacing w:line="276" w:lineRule="auto" w:before="158"/>
        <w:ind w:left="1940" w:right="2258" w:firstLine="0"/>
        <w:jc w:val="both"/>
        <w:rPr>
          <w:sz w:val="21"/>
        </w:rPr>
      </w:pPr>
      <w:r>
        <w:rPr>
          <w:spacing w:val="-1"/>
          <w:w w:val="33"/>
          <w:sz w:val="21"/>
        </w:rPr>
        <w:t>―</w:t>
      </w:r>
      <w:r>
        <w:rPr>
          <w:w w:val="100"/>
          <w:sz w:val="21"/>
        </w:rPr>
        <w:t>The</w:t>
      </w:r>
      <w:r>
        <w:rPr>
          <w:sz w:val="21"/>
        </w:rPr>
        <w:t> </w:t>
      </w:r>
      <w:r>
        <w:rPr>
          <w:spacing w:val="8"/>
          <w:sz w:val="21"/>
        </w:rPr>
        <w:t> </w:t>
      </w:r>
      <w:r>
        <w:rPr>
          <w:spacing w:val="-3"/>
          <w:w w:val="100"/>
          <w:sz w:val="21"/>
        </w:rPr>
        <w:t>J</w:t>
      </w:r>
      <w:r>
        <w:rPr>
          <w:spacing w:val="-1"/>
          <w:w w:val="100"/>
          <w:sz w:val="21"/>
        </w:rPr>
        <w:t>udi</w:t>
      </w:r>
      <w:r>
        <w:rPr>
          <w:w w:val="100"/>
          <w:sz w:val="21"/>
        </w:rPr>
        <w:t>c</w:t>
      </w:r>
      <w:r>
        <w:rPr>
          <w:spacing w:val="-2"/>
          <w:w w:val="100"/>
          <w:sz w:val="21"/>
        </w:rPr>
        <w:t>i</w:t>
      </w:r>
      <w:r>
        <w:rPr>
          <w:spacing w:val="-1"/>
          <w:w w:val="100"/>
          <w:sz w:val="21"/>
        </w:rPr>
        <w:t>a</w:t>
      </w:r>
      <w:r>
        <w:rPr>
          <w:w w:val="100"/>
          <w:sz w:val="21"/>
        </w:rPr>
        <w:t>l</w:t>
      </w:r>
      <w:r>
        <w:rPr>
          <w:sz w:val="21"/>
        </w:rPr>
        <w:t> </w:t>
      </w:r>
      <w:r>
        <w:rPr>
          <w:spacing w:val="6"/>
          <w:sz w:val="21"/>
        </w:rPr>
        <w:t> </w:t>
      </w:r>
      <w:r>
        <w:rPr>
          <w:w w:val="100"/>
          <w:sz w:val="21"/>
        </w:rPr>
        <w:t>C</w:t>
      </w:r>
      <w:r>
        <w:rPr>
          <w:spacing w:val="-3"/>
          <w:w w:val="100"/>
          <w:sz w:val="21"/>
        </w:rPr>
        <w:t>o</w:t>
      </w:r>
      <w:r>
        <w:rPr>
          <w:spacing w:val="-1"/>
          <w:w w:val="100"/>
          <w:sz w:val="21"/>
        </w:rPr>
        <w:t>mm</w:t>
      </w:r>
      <w:r>
        <w:rPr>
          <w:w w:val="100"/>
          <w:sz w:val="21"/>
        </w:rPr>
        <w:t>i</w:t>
      </w:r>
      <w:r>
        <w:rPr>
          <w:spacing w:val="-2"/>
          <w:w w:val="100"/>
          <w:sz w:val="21"/>
        </w:rPr>
        <w:t>tt</w:t>
      </w:r>
      <w:r>
        <w:rPr>
          <w:spacing w:val="-1"/>
          <w:w w:val="100"/>
          <w:sz w:val="21"/>
        </w:rPr>
        <w:t>e</w:t>
      </w:r>
      <w:r>
        <w:rPr>
          <w:w w:val="100"/>
          <w:sz w:val="21"/>
        </w:rPr>
        <w:t>e</w:t>
      </w:r>
      <w:r>
        <w:rPr>
          <w:sz w:val="21"/>
        </w:rPr>
        <w:t> </w:t>
      </w:r>
      <w:r>
        <w:rPr>
          <w:spacing w:val="5"/>
          <w:sz w:val="21"/>
        </w:rPr>
        <w:t> </w:t>
      </w:r>
      <w:r>
        <w:rPr>
          <w:w w:val="100"/>
          <w:sz w:val="21"/>
        </w:rPr>
        <w:t>in</w:t>
      </w:r>
      <w:r>
        <w:rPr>
          <w:sz w:val="21"/>
        </w:rPr>
        <w:t> </w:t>
      </w:r>
      <w:r>
        <w:rPr>
          <w:spacing w:val="8"/>
          <w:sz w:val="21"/>
        </w:rPr>
        <w:t> </w:t>
      </w:r>
      <w:r>
        <w:rPr>
          <w:spacing w:val="-2"/>
          <w:w w:val="100"/>
          <w:sz w:val="21"/>
        </w:rPr>
        <w:t>t</w:t>
      </w:r>
      <w:r>
        <w:rPr>
          <w:spacing w:val="-1"/>
          <w:w w:val="100"/>
          <w:sz w:val="21"/>
        </w:rPr>
        <w:t>h</w:t>
      </w:r>
      <w:r>
        <w:rPr>
          <w:w w:val="100"/>
          <w:sz w:val="21"/>
        </w:rPr>
        <w:t>e</w:t>
      </w:r>
      <w:r>
        <w:rPr>
          <w:sz w:val="21"/>
        </w:rPr>
        <w:t> </w:t>
      </w:r>
      <w:r>
        <w:rPr>
          <w:spacing w:val="8"/>
          <w:sz w:val="21"/>
        </w:rPr>
        <w:t> </w:t>
      </w:r>
      <w:r>
        <w:rPr>
          <w:w w:val="100"/>
          <w:sz w:val="21"/>
        </w:rPr>
        <w:t>c</w:t>
      </w:r>
      <w:r>
        <w:rPr>
          <w:spacing w:val="-3"/>
          <w:w w:val="100"/>
          <w:sz w:val="21"/>
        </w:rPr>
        <w:t>a</w:t>
      </w:r>
      <w:r>
        <w:rPr>
          <w:w w:val="100"/>
          <w:sz w:val="21"/>
        </w:rPr>
        <w:t>se</w:t>
      </w:r>
      <w:r>
        <w:rPr>
          <w:sz w:val="21"/>
        </w:rPr>
        <w:t> </w:t>
      </w:r>
      <w:r>
        <w:rPr>
          <w:spacing w:val="8"/>
          <w:sz w:val="21"/>
        </w:rPr>
        <w:t> </w:t>
      </w:r>
      <w:r>
        <w:rPr>
          <w:spacing w:val="-3"/>
          <w:w w:val="100"/>
          <w:sz w:val="21"/>
        </w:rPr>
        <w:t>o</w:t>
      </w:r>
      <w:r>
        <w:rPr>
          <w:w w:val="100"/>
          <w:sz w:val="21"/>
        </w:rPr>
        <w:t>f</w:t>
      </w:r>
      <w:r>
        <w:rPr>
          <w:sz w:val="21"/>
        </w:rPr>
        <w:t> </w:t>
      </w:r>
      <w:r>
        <w:rPr>
          <w:spacing w:val="9"/>
          <w:sz w:val="21"/>
        </w:rPr>
        <w:t> </w:t>
      </w:r>
      <w:r>
        <w:rPr>
          <w:i/>
          <w:w w:val="100"/>
          <w:sz w:val="21"/>
        </w:rPr>
        <w:t>R</w:t>
      </w:r>
      <w:r>
        <w:rPr>
          <w:i/>
          <w:w w:val="100"/>
          <w:sz w:val="21"/>
        </w:rPr>
        <w:t>am</w:t>
      </w:r>
      <w:r>
        <w:rPr>
          <w:i/>
          <w:sz w:val="21"/>
        </w:rPr>
        <w:t> </w:t>
      </w:r>
      <w:r>
        <w:rPr>
          <w:i/>
          <w:spacing w:val="2"/>
          <w:sz w:val="21"/>
        </w:rPr>
        <w:t> </w:t>
      </w:r>
      <w:r>
        <w:rPr>
          <w:i/>
          <w:w w:val="100"/>
          <w:sz w:val="21"/>
        </w:rPr>
        <w:t>Chand</w:t>
      </w:r>
      <w:r>
        <w:rPr>
          <w:i/>
          <w:spacing w:val="-4"/>
          <w:w w:val="100"/>
          <w:sz w:val="21"/>
        </w:rPr>
        <w:t>r</w:t>
      </w:r>
      <w:r>
        <w:rPr>
          <w:i/>
          <w:w w:val="100"/>
          <w:sz w:val="21"/>
        </w:rPr>
        <w:t>a</w:t>
      </w:r>
      <w:r>
        <w:rPr>
          <w:i/>
          <w:sz w:val="21"/>
        </w:rPr>
        <w:t> </w:t>
      </w:r>
      <w:r>
        <w:rPr>
          <w:i/>
          <w:spacing w:val="9"/>
          <w:sz w:val="21"/>
        </w:rPr>
        <w:t> </w:t>
      </w:r>
      <w:r>
        <w:rPr>
          <w:spacing w:val="-3"/>
          <w:w w:val="100"/>
          <w:sz w:val="21"/>
        </w:rPr>
        <w:t>v</w:t>
      </w:r>
      <w:r>
        <w:rPr>
          <w:w w:val="100"/>
          <w:sz w:val="21"/>
        </w:rPr>
        <w:t>. </w:t>
      </w:r>
      <w:r>
        <w:rPr>
          <w:i/>
          <w:sz w:val="21"/>
        </w:rPr>
        <w:t>Nourangi Lal </w:t>
      </w:r>
      <w:r>
        <w:rPr>
          <w:sz w:val="21"/>
        </w:rPr>
        <w:t>(4) and again in </w:t>
      </w:r>
      <w:r>
        <w:rPr>
          <w:i/>
          <w:sz w:val="21"/>
        </w:rPr>
        <w:t>Mahadeo Prosad Singh </w:t>
      </w:r>
      <w:r>
        <w:rPr>
          <w:sz w:val="21"/>
        </w:rPr>
        <w:t>v. </w:t>
      </w:r>
      <w:r>
        <w:rPr>
          <w:i/>
          <w:sz w:val="21"/>
        </w:rPr>
        <w:t>Karia </w:t>
      </w:r>
      <w:r>
        <w:rPr>
          <w:i/>
          <w:sz w:val="21"/>
        </w:rPr>
        <w:t>Bharti </w:t>
      </w:r>
      <w:r>
        <w:rPr>
          <w:sz w:val="21"/>
        </w:rPr>
        <w:t>(5) laid down that a person in actual possession of the </w:t>
      </w:r>
      <w:r>
        <w:rPr>
          <w:i/>
          <w:sz w:val="21"/>
        </w:rPr>
        <w:t>Math </w:t>
      </w:r>
      <w:r>
        <w:rPr>
          <w:sz w:val="21"/>
        </w:rPr>
        <w:t>is entitled to maintain a suit to recover property appertaining to it not for his own benefit but for the benefit of the </w:t>
      </w:r>
      <w:r>
        <w:rPr>
          <w:i/>
          <w:sz w:val="21"/>
        </w:rPr>
        <w:t>Math…</w:t>
      </w:r>
      <w:r>
        <w:rPr>
          <w:sz w:val="21"/>
        </w:rPr>
        <w:t>There may be and, in fact there is difference between a </w:t>
      </w:r>
      <w:r>
        <w:rPr>
          <w:i/>
          <w:sz w:val="21"/>
        </w:rPr>
        <w:t>Math </w:t>
      </w:r>
      <w:r>
        <w:rPr>
          <w:sz w:val="21"/>
        </w:rPr>
        <w:t>and an idol but I do not see any reason why a </w:t>
      </w:r>
      <w:r>
        <w:rPr>
          <w:i/>
          <w:sz w:val="21"/>
        </w:rPr>
        <w:t>de facto shebait </w:t>
      </w:r>
      <w:r>
        <w:rPr>
          <w:sz w:val="21"/>
        </w:rPr>
        <w:t>cannot be allowed to sue in case of family endowment or private </w:t>
      </w:r>
      <w:r>
        <w:rPr>
          <w:i/>
          <w:sz w:val="21"/>
        </w:rPr>
        <w:t>debottar</w:t>
      </w:r>
      <w:r>
        <w:rPr>
          <w:sz w:val="21"/>
        </w:rPr>
        <w:t>….</w:t>
      </w:r>
      <w:r>
        <w:rPr>
          <w:b/>
          <w:sz w:val="21"/>
        </w:rPr>
        <w:t>In order to make a person a </w:t>
      </w:r>
      <w:r>
        <w:rPr>
          <w:b/>
          <w:i/>
          <w:sz w:val="21"/>
        </w:rPr>
        <w:t>de facto shebait </w:t>
      </w:r>
      <w:r>
        <w:rPr>
          <w:b/>
          <w:sz w:val="21"/>
        </w:rPr>
        <w:t>it is necessary, however, that he should be in actual possession of the office and </w:t>
      </w:r>
      <w:r>
        <w:rPr>
          <w:b/>
          <w:spacing w:val="-2"/>
          <w:sz w:val="21"/>
        </w:rPr>
        <w:t>the </w:t>
      </w:r>
      <w:r>
        <w:rPr>
          <w:b/>
          <w:i/>
          <w:sz w:val="21"/>
        </w:rPr>
        <w:t>debottar </w:t>
      </w:r>
      <w:r>
        <w:rPr>
          <w:b/>
          <w:sz w:val="21"/>
        </w:rPr>
        <w:t>estate….The </w:t>
      </w:r>
      <w:r>
        <w:rPr>
          <w:b/>
          <w:i/>
          <w:sz w:val="21"/>
        </w:rPr>
        <w:t>de facto shebait </w:t>
      </w:r>
      <w:r>
        <w:rPr>
          <w:b/>
          <w:sz w:val="21"/>
        </w:rPr>
        <w:t>would, in my opinion, be one who exercises all the functions of a </w:t>
      </w:r>
      <w:r>
        <w:rPr>
          <w:b/>
          <w:i/>
          <w:sz w:val="21"/>
        </w:rPr>
        <w:t>shebait </w:t>
      </w:r>
      <w:r>
        <w:rPr>
          <w:b/>
          <w:sz w:val="21"/>
        </w:rPr>
        <w:t>and is in possession of the </w:t>
      </w:r>
      <w:r>
        <w:rPr>
          <w:b/>
          <w:i/>
          <w:sz w:val="21"/>
        </w:rPr>
        <w:t>debottar </w:t>
      </w:r>
      <w:r>
        <w:rPr>
          <w:b/>
          <w:sz w:val="21"/>
        </w:rPr>
        <w:t>property though the legal title may be</w:t>
      </w:r>
      <w:r>
        <w:rPr>
          <w:b/>
          <w:spacing w:val="-11"/>
          <w:sz w:val="21"/>
        </w:rPr>
        <w:t> </w:t>
      </w:r>
      <w:r>
        <w:rPr>
          <w:b/>
          <w:sz w:val="21"/>
        </w:rPr>
        <w:t>lacking</w:t>
      </w:r>
      <w:r>
        <w:rPr>
          <w:sz w:val="21"/>
        </w:rPr>
        <w:t>.‖</w:t>
      </w:r>
    </w:p>
    <w:p>
      <w:pPr>
        <w:spacing w:before="1"/>
        <w:ind w:left="5798" w:right="0" w:firstLine="0"/>
        <w:jc w:val="left"/>
        <w:rPr>
          <w:sz w:val="21"/>
        </w:rPr>
      </w:pPr>
      <w:r>
        <w:rPr>
          <w:sz w:val="21"/>
        </w:rPr>
        <w:t>(Emphasis supplied)</w:t>
      </w:r>
    </w:p>
    <w:p>
      <w:pPr>
        <w:pStyle w:val="BodyText"/>
        <w:rPr>
          <w:sz w:val="24"/>
        </w:rPr>
      </w:pPr>
    </w:p>
    <w:p>
      <w:pPr>
        <w:pStyle w:val="BodyText"/>
        <w:spacing w:before="2"/>
        <w:rPr>
          <w:sz w:val="29"/>
        </w:rPr>
      </w:pPr>
    </w:p>
    <w:p>
      <w:pPr>
        <w:pStyle w:val="ListParagraph"/>
        <w:numPr>
          <w:ilvl w:val="0"/>
          <w:numId w:val="111"/>
        </w:numPr>
        <w:tabs>
          <w:tab w:pos="1221" w:val="left" w:leader="none"/>
        </w:tabs>
        <w:spacing w:line="480" w:lineRule="auto" w:before="1" w:after="0"/>
        <w:ind w:left="500" w:right="436" w:firstLine="0"/>
        <w:jc w:val="both"/>
        <w:rPr>
          <w:sz w:val="25"/>
        </w:rPr>
      </w:pPr>
      <w:r>
        <w:rPr>
          <w:sz w:val="25"/>
        </w:rPr>
        <w:t>Where a person claims to be a shebait despite the lack of a legal title, the relevant enquiry before the Court is whether the person was in actual possession of the debutter property and was exercising all the rights of a shebait. The paramount interest in the protection of the debutter property underlines the recognition of a </w:t>
      </w:r>
      <w:r>
        <w:rPr>
          <w:i/>
          <w:sz w:val="25"/>
        </w:rPr>
        <w:t>de facto </w:t>
      </w:r>
      <w:r>
        <w:rPr>
          <w:sz w:val="25"/>
        </w:rPr>
        <w:t>shebait. Where there is no </w:t>
      </w:r>
      <w:r>
        <w:rPr>
          <w:i/>
          <w:sz w:val="25"/>
        </w:rPr>
        <w:t>de jure </w:t>
      </w:r>
      <w:r>
        <w:rPr>
          <w:sz w:val="25"/>
        </w:rPr>
        <w:t>shebait, the court will not countenance a situation where a </w:t>
      </w:r>
      <w:r>
        <w:rPr>
          <w:i/>
          <w:sz w:val="25"/>
        </w:rPr>
        <w:t>bona fide </w:t>
      </w:r>
      <w:r>
        <w:rPr>
          <w:sz w:val="25"/>
        </w:rPr>
        <w:t>litigant who has exercised all the managerial rights over the debutter property cannot be recognised in law as the protector of the property. It is only for the paramount interest of the institution that the right to sue is conceded to persons acting as managers though lacking a  legal title of a</w:t>
      </w:r>
      <w:r>
        <w:rPr>
          <w:spacing w:val="-4"/>
          <w:sz w:val="25"/>
        </w:rPr>
        <w:t> </w:t>
      </w:r>
      <w:r>
        <w:rPr>
          <w:sz w:val="25"/>
        </w:rPr>
        <w:t>manager.</w:t>
      </w:r>
    </w:p>
    <w:p>
      <w:pPr>
        <w:spacing w:after="0" w:line="480" w:lineRule="auto"/>
        <w:jc w:val="both"/>
        <w:rPr>
          <w:sz w:val="25"/>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1" w:after="0"/>
        <w:ind w:left="500" w:right="436" w:firstLine="0"/>
        <w:jc w:val="both"/>
        <w:rPr>
          <w:sz w:val="25"/>
        </w:rPr>
      </w:pPr>
      <w:r>
        <w:rPr>
          <w:sz w:val="25"/>
        </w:rPr>
        <w:t>This rationale was outlined by the Madras High Court in </w:t>
      </w:r>
      <w:r>
        <w:rPr>
          <w:b/>
          <w:sz w:val="25"/>
        </w:rPr>
        <w:t>Subramania Gurukkal </w:t>
      </w:r>
      <w:r>
        <w:rPr>
          <w:sz w:val="25"/>
        </w:rPr>
        <w:t>v </w:t>
      </w:r>
      <w:r>
        <w:rPr>
          <w:b/>
          <w:sz w:val="25"/>
        </w:rPr>
        <w:t>Abhinava Poornapriya A Srinivasa Rao Sahib</w:t>
      </w:r>
      <w:r>
        <w:rPr>
          <w:sz w:val="25"/>
          <w:vertAlign w:val="superscript"/>
        </w:rPr>
        <w:t>230</w:t>
      </w:r>
      <w:r>
        <w:rPr>
          <w:sz w:val="25"/>
          <w:vertAlign w:val="baseline"/>
        </w:rPr>
        <w:t>. The Court of Wards dismissed the ‗archaka‘ in possession of lands belonging to a temple on the ground that he had failed to render services and account for certain charges made on the property. A suit was then filed by the Jagirdar represented by his next friend the manager of the estate under </w:t>
      </w:r>
      <w:r>
        <w:rPr>
          <w:spacing w:val="2"/>
          <w:sz w:val="25"/>
          <w:vertAlign w:val="baseline"/>
        </w:rPr>
        <w:t>the </w:t>
      </w:r>
      <w:r>
        <w:rPr>
          <w:sz w:val="25"/>
          <w:vertAlign w:val="baseline"/>
        </w:rPr>
        <w:t>Court of Wards as a trustee of the temple to recover possession. The order of dismissal was passed after the death of the previous Jagirdar. It is after the suit was instituted and before the decision in the suit that a notification was passed making the new Jagirdar a ward under the Act. The question arose as to whether the order of dismissal was validly passed. The Court held that where the successor of the Jagirdar took no step to assume control, the Court of Wards assumed the position of a </w:t>
      </w:r>
      <w:r>
        <w:rPr>
          <w:i/>
          <w:sz w:val="25"/>
          <w:vertAlign w:val="baseline"/>
        </w:rPr>
        <w:t>de facto </w:t>
      </w:r>
      <w:r>
        <w:rPr>
          <w:sz w:val="25"/>
          <w:vertAlign w:val="baseline"/>
        </w:rPr>
        <w:t>trustee. Justice Wodsworth</w:t>
      </w:r>
      <w:r>
        <w:rPr>
          <w:spacing w:val="-6"/>
          <w:sz w:val="25"/>
          <w:vertAlign w:val="baseline"/>
        </w:rPr>
        <w:t> </w:t>
      </w:r>
      <w:r>
        <w:rPr>
          <w:sz w:val="25"/>
          <w:vertAlign w:val="baseline"/>
        </w:rPr>
        <w:t>held:</w:t>
      </w:r>
    </w:p>
    <w:p>
      <w:pPr>
        <w:spacing w:line="276" w:lineRule="auto" w:before="163"/>
        <w:ind w:left="1940" w:right="2263" w:firstLine="0"/>
        <w:jc w:val="both"/>
        <w:rPr>
          <w:sz w:val="21"/>
        </w:rPr>
      </w:pPr>
      <w:r>
        <w:rPr>
          <w:spacing w:val="-1"/>
          <w:w w:val="33"/>
          <w:sz w:val="21"/>
        </w:rPr>
        <w:t>―</w:t>
      </w:r>
      <w:r>
        <w:rPr>
          <w:spacing w:val="-2"/>
          <w:w w:val="100"/>
          <w:sz w:val="21"/>
        </w:rPr>
        <w:t>I</w:t>
      </w:r>
      <w:r>
        <w:rPr>
          <w:w w:val="100"/>
          <w:sz w:val="21"/>
        </w:rPr>
        <w:t>t</w:t>
      </w:r>
      <w:r>
        <w:rPr>
          <w:sz w:val="21"/>
        </w:rPr>
        <w:t> </w:t>
      </w:r>
      <w:r>
        <w:rPr>
          <w:spacing w:val="4"/>
          <w:sz w:val="21"/>
        </w:rPr>
        <w:t> </w:t>
      </w:r>
      <w:r>
        <w:rPr>
          <w:w w:val="100"/>
          <w:sz w:val="21"/>
        </w:rPr>
        <w:t>is</w:t>
      </w:r>
      <w:r>
        <w:rPr>
          <w:sz w:val="21"/>
        </w:rPr>
        <w:t> </w:t>
      </w:r>
      <w:r>
        <w:rPr>
          <w:spacing w:val="5"/>
          <w:sz w:val="21"/>
        </w:rPr>
        <w:t> </w:t>
      </w:r>
      <w:r>
        <w:rPr>
          <w:spacing w:val="-2"/>
          <w:w w:val="100"/>
          <w:sz w:val="21"/>
        </w:rPr>
        <w:t>t</w:t>
      </w:r>
      <w:r>
        <w:rPr>
          <w:spacing w:val="-1"/>
          <w:w w:val="100"/>
          <w:sz w:val="21"/>
        </w:rPr>
        <w:t>h</w:t>
      </w:r>
      <w:r>
        <w:rPr>
          <w:w w:val="100"/>
          <w:sz w:val="21"/>
        </w:rPr>
        <w:t>e</w:t>
      </w:r>
      <w:r>
        <w:rPr>
          <w:sz w:val="21"/>
        </w:rPr>
        <w:t> </w:t>
      </w:r>
      <w:r>
        <w:rPr>
          <w:spacing w:val="3"/>
          <w:sz w:val="21"/>
        </w:rPr>
        <w:t> </w:t>
      </w:r>
      <w:r>
        <w:rPr>
          <w:spacing w:val="-1"/>
          <w:w w:val="100"/>
          <w:sz w:val="21"/>
        </w:rPr>
        <w:t>dut</w:t>
      </w:r>
      <w:r>
        <w:rPr>
          <w:w w:val="100"/>
          <w:sz w:val="21"/>
        </w:rPr>
        <w:t>y</w:t>
      </w:r>
      <w:r>
        <w:rPr>
          <w:sz w:val="21"/>
        </w:rPr>
        <w:t> </w:t>
      </w:r>
      <w:r>
        <w:rPr>
          <w:spacing w:val="3"/>
          <w:sz w:val="21"/>
        </w:rPr>
        <w:t> </w:t>
      </w:r>
      <w:r>
        <w:rPr>
          <w:spacing w:val="-3"/>
          <w:w w:val="100"/>
          <w:sz w:val="21"/>
        </w:rPr>
        <w:t>o</w:t>
      </w:r>
      <w:r>
        <w:rPr>
          <w:w w:val="100"/>
          <w:sz w:val="21"/>
        </w:rPr>
        <w:t>f</w:t>
      </w:r>
      <w:r>
        <w:rPr>
          <w:sz w:val="21"/>
        </w:rPr>
        <w:t> </w:t>
      </w:r>
      <w:r>
        <w:rPr>
          <w:spacing w:val="6"/>
          <w:sz w:val="21"/>
        </w:rPr>
        <w:t> </w:t>
      </w:r>
      <w:r>
        <w:rPr>
          <w:spacing w:val="-2"/>
          <w:w w:val="100"/>
          <w:sz w:val="21"/>
        </w:rPr>
        <w:t>t</w:t>
      </w:r>
      <w:r>
        <w:rPr>
          <w:spacing w:val="-1"/>
          <w:w w:val="100"/>
          <w:sz w:val="21"/>
        </w:rPr>
        <w:t>h</w:t>
      </w:r>
      <w:r>
        <w:rPr>
          <w:w w:val="100"/>
          <w:sz w:val="21"/>
        </w:rPr>
        <w:t>e</w:t>
      </w:r>
      <w:r>
        <w:rPr>
          <w:sz w:val="21"/>
        </w:rPr>
        <w:t> </w:t>
      </w:r>
      <w:r>
        <w:rPr>
          <w:spacing w:val="3"/>
          <w:sz w:val="21"/>
        </w:rPr>
        <w:t> </w:t>
      </w:r>
      <w:r>
        <w:rPr>
          <w:spacing w:val="-2"/>
          <w:w w:val="100"/>
          <w:sz w:val="21"/>
        </w:rPr>
        <w:t>C</w:t>
      </w:r>
      <w:r>
        <w:rPr>
          <w:spacing w:val="-1"/>
          <w:w w:val="100"/>
          <w:sz w:val="21"/>
        </w:rPr>
        <w:t>our</w:t>
      </w:r>
      <w:r>
        <w:rPr>
          <w:w w:val="100"/>
          <w:sz w:val="21"/>
        </w:rPr>
        <w:t>t</w:t>
      </w:r>
      <w:r>
        <w:rPr>
          <w:sz w:val="21"/>
        </w:rPr>
        <w:t> </w:t>
      </w:r>
      <w:r>
        <w:rPr>
          <w:spacing w:val="4"/>
          <w:sz w:val="21"/>
        </w:rPr>
        <w:t> </w:t>
      </w:r>
      <w:r>
        <w:rPr>
          <w:spacing w:val="-2"/>
          <w:w w:val="100"/>
          <w:sz w:val="21"/>
        </w:rPr>
        <w:t>t</w:t>
      </w:r>
      <w:r>
        <w:rPr>
          <w:w w:val="100"/>
          <w:sz w:val="21"/>
        </w:rPr>
        <w:t>o</w:t>
      </w:r>
      <w:r>
        <w:rPr>
          <w:sz w:val="21"/>
        </w:rPr>
        <w:t> </w:t>
      </w:r>
      <w:r>
        <w:rPr>
          <w:spacing w:val="5"/>
          <w:sz w:val="21"/>
        </w:rPr>
        <w:t> </w:t>
      </w:r>
      <w:r>
        <w:rPr>
          <w:spacing w:val="-1"/>
          <w:w w:val="100"/>
          <w:sz w:val="21"/>
        </w:rPr>
        <w:t>p</w:t>
      </w:r>
      <w:r>
        <w:rPr>
          <w:spacing w:val="-3"/>
          <w:w w:val="100"/>
          <w:sz w:val="21"/>
        </w:rPr>
        <w:t>r</w:t>
      </w:r>
      <w:r>
        <w:rPr>
          <w:spacing w:val="-1"/>
          <w:w w:val="100"/>
          <w:sz w:val="21"/>
        </w:rPr>
        <w:t>otec</w:t>
      </w:r>
      <w:r>
        <w:rPr>
          <w:w w:val="100"/>
          <w:sz w:val="21"/>
        </w:rPr>
        <w:t>t</w:t>
      </w:r>
      <w:r>
        <w:rPr>
          <w:sz w:val="21"/>
        </w:rPr>
        <w:t> </w:t>
      </w:r>
      <w:r>
        <w:rPr>
          <w:spacing w:val="4"/>
          <w:sz w:val="21"/>
        </w:rPr>
        <w:t> </w:t>
      </w:r>
      <w:r>
        <w:rPr>
          <w:spacing w:val="-2"/>
          <w:w w:val="100"/>
          <w:sz w:val="21"/>
        </w:rPr>
        <w:t>t</w:t>
      </w:r>
      <w:r>
        <w:rPr>
          <w:spacing w:val="-1"/>
          <w:w w:val="100"/>
          <w:sz w:val="21"/>
        </w:rPr>
        <w:t>rus</w:t>
      </w:r>
      <w:r>
        <w:rPr>
          <w:w w:val="100"/>
          <w:sz w:val="21"/>
        </w:rPr>
        <w:t>t</w:t>
      </w:r>
      <w:r>
        <w:rPr>
          <w:sz w:val="21"/>
        </w:rPr>
        <w:t> </w:t>
      </w:r>
      <w:r>
        <w:rPr>
          <w:spacing w:val="4"/>
          <w:sz w:val="21"/>
        </w:rPr>
        <w:t> </w:t>
      </w:r>
      <w:r>
        <w:rPr>
          <w:spacing w:val="-1"/>
          <w:w w:val="100"/>
          <w:sz w:val="21"/>
        </w:rPr>
        <w:t>p</w:t>
      </w:r>
      <w:r>
        <w:rPr>
          <w:spacing w:val="-3"/>
          <w:w w:val="100"/>
          <w:sz w:val="21"/>
        </w:rPr>
        <w:t>ro</w:t>
      </w:r>
      <w:r>
        <w:rPr>
          <w:spacing w:val="-1"/>
          <w:w w:val="100"/>
          <w:sz w:val="21"/>
        </w:rPr>
        <w:t>per</w:t>
      </w:r>
      <w:r>
        <w:rPr>
          <w:spacing w:val="-2"/>
          <w:w w:val="100"/>
          <w:sz w:val="21"/>
        </w:rPr>
        <w:t>t</w:t>
      </w:r>
      <w:r>
        <w:rPr>
          <w:w w:val="100"/>
          <w:sz w:val="21"/>
        </w:rPr>
        <w:t>y</w:t>
      </w:r>
      <w:r>
        <w:rPr>
          <w:sz w:val="21"/>
        </w:rPr>
        <w:t> </w:t>
      </w:r>
      <w:r>
        <w:rPr>
          <w:spacing w:val="3"/>
          <w:sz w:val="21"/>
        </w:rPr>
        <w:t> </w:t>
      </w:r>
      <w:r>
        <w:rPr>
          <w:spacing w:val="1"/>
          <w:w w:val="100"/>
          <w:sz w:val="21"/>
        </w:rPr>
        <w:t>f</w:t>
      </w:r>
      <w:r>
        <w:rPr>
          <w:spacing w:val="-1"/>
          <w:w w:val="100"/>
          <w:sz w:val="21"/>
        </w:rPr>
        <w:t>r</w:t>
      </w:r>
      <w:r>
        <w:rPr>
          <w:spacing w:val="-3"/>
          <w:w w:val="100"/>
          <w:sz w:val="21"/>
        </w:rPr>
        <w:t>o</w:t>
      </w:r>
      <w:r>
        <w:rPr>
          <w:w w:val="100"/>
          <w:sz w:val="21"/>
        </w:rPr>
        <w:t>m </w:t>
      </w:r>
      <w:r>
        <w:rPr>
          <w:sz w:val="21"/>
        </w:rPr>
        <w:t>misappropriation and diversion from the objects to which it was dedicated. When trust property is without a legal guardian owing to defects in the machinery for the appointment of a trustee or owing to the unwillingness of the legal trustee to act, it would be a monstrous thing if any honest person recognised as being in charge of the institution and actively controlling its affairs in the interests of the trust should not be entitled, in the absence of any one with a better title to take those actions which are necessary to safeguard the objects of the</w:t>
      </w:r>
      <w:r>
        <w:rPr>
          <w:spacing w:val="-5"/>
          <w:sz w:val="21"/>
        </w:rPr>
        <w:t> </w:t>
      </w:r>
      <w:r>
        <w:rPr>
          <w:sz w:val="21"/>
        </w:rPr>
        <w:t>trust.‖</w:t>
      </w:r>
    </w:p>
    <w:p>
      <w:pPr>
        <w:pStyle w:val="BodyText"/>
        <w:rPr>
          <w:sz w:val="24"/>
        </w:rPr>
      </w:pPr>
    </w:p>
    <w:p>
      <w:pPr>
        <w:pStyle w:val="BodyText"/>
        <w:rPr>
          <w:sz w:val="26"/>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This observation of the Madras High Court merits a closer look for two reasons: First, the Court held that the right to bring an action to protect the interest</w:t>
      </w:r>
      <w:r>
        <w:rPr>
          <w:spacing w:val="-3"/>
          <w:sz w:val="25"/>
        </w:rPr>
        <w:t> </w:t>
      </w:r>
      <w:r>
        <w:rPr>
          <w:sz w:val="25"/>
        </w:rPr>
        <w:t>of</w:t>
      </w:r>
      <w:r>
        <w:rPr>
          <w:spacing w:val="-3"/>
          <w:sz w:val="25"/>
        </w:rPr>
        <w:t> </w:t>
      </w:r>
      <w:r>
        <w:rPr>
          <w:sz w:val="25"/>
        </w:rPr>
        <w:t>the</w:t>
      </w:r>
      <w:r>
        <w:rPr>
          <w:spacing w:val="-3"/>
          <w:sz w:val="25"/>
        </w:rPr>
        <w:t> </w:t>
      </w:r>
      <w:r>
        <w:rPr>
          <w:sz w:val="25"/>
        </w:rPr>
        <w:t>trust</w:t>
      </w:r>
      <w:r>
        <w:rPr>
          <w:spacing w:val="-6"/>
          <w:sz w:val="25"/>
        </w:rPr>
        <w:t> </w:t>
      </w:r>
      <w:r>
        <w:rPr>
          <w:sz w:val="25"/>
        </w:rPr>
        <w:t>vests</w:t>
      </w:r>
      <w:r>
        <w:rPr>
          <w:spacing w:val="-3"/>
          <w:sz w:val="25"/>
        </w:rPr>
        <w:t> </w:t>
      </w:r>
      <w:r>
        <w:rPr>
          <w:sz w:val="25"/>
        </w:rPr>
        <w:t>in</w:t>
      </w:r>
      <w:r>
        <w:rPr>
          <w:spacing w:val="-4"/>
          <w:sz w:val="25"/>
        </w:rPr>
        <w:t> </w:t>
      </w:r>
      <w:r>
        <w:rPr>
          <w:sz w:val="25"/>
        </w:rPr>
        <w:t>a</w:t>
      </w:r>
      <w:r>
        <w:rPr>
          <w:spacing w:val="-3"/>
          <w:sz w:val="25"/>
        </w:rPr>
        <w:t> </w:t>
      </w:r>
      <w:r>
        <w:rPr>
          <w:sz w:val="25"/>
        </w:rPr>
        <w:t>person</w:t>
      </w:r>
      <w:r>
        <w:rPr>
          <w:spacing w:val="-3"/>
          <w:sz w:val="25"/>
        </w:rPr>
        <w:t> </w:t>
      </w:r>
      <w:r>
        <w:rPr>
          <w:sz w:val="25"/>
        </w:rPr>
        <w:t>who</w:t>
      </w:r>
      <w:r>
        <w:rPr>
          <w:spacing w:val="-2"/>
          <w:sz w:val="25"/>
        </w:rPr>
        <w:t> </w:t>
      </w:r>
      <w:r>
        <w:rPr>
          <w:sz w:val="25"/>
        </w:rPr>
        <w:t>is</w:t>
      </w:r>
      <w:r>
        <w:rPr>
          <w:spacing w:val="-6"/>
          <w:sz w:val="25"/>
        </w:rPr>
        <w:t> </w:t>
      </w:r>
      <w:r>
        <w:rPr>
          <w:sz w:val="25"/>
        </w:rPr>
        <w:t>‗recognised</w:t>
      </w:r>
      <w:r>
        <w:rPr>
          <w:spacing w:val="-3"/>
          <w:sz w:val="25"/>
        </w:rPr>
        <w:t> </w:t>
      </w:r>
      <w:r>
        <w:rPr>
          <w:sz w:val="25"/>
        </w:rPr>
        <w:t>as</w:t>
      </w:r>
      <w:r>
        <w:rPr>
          <w:spacing w:val="-6"/>
          <w:sz w:val="25"/>
        </w:rPr>
        <w:t> </w:t>
      </w:r>
      <w:r>
        <w:rPr>
          <w:sz w:val="25"/>
        </w:rPr>
        <w:t>being</w:t>
      </w:r>
      <w:r>
        <w:rPr>
          <w:spacing w:val="-5"/>
          <w:sz w:val="25"/>
        </w:rPr>
        <w:t> </w:t>
      </w:r>
      <w:r>
        <w:rPr>
          <w:sz w:val="25"/>
        </w:rPr>
        <w:t>in</w:t>
      </w:r>
      <w:r>
        <w:rPr>
          <w:spacing w:val="-4"/>
          <w:sz w:val="25"/>
        </w:rPr>
        <w:t> </w:t>
      </w:r>
      <w:r>
        <w:rPr>
          <w:sz w:val="25"/>
        </w:rPr>
        <w:t>charge</w:t>
      </w:r>
      <w:r>
        <w:rPr>
          <w:spacing w:val="-3"/>
          <w:sz w:val="25"/>
        </w:rPr>
        <w:t> </w:t>
      </w:r>
      <w:r>
        <w:rPr>
          <w:sz w:val="25"/>
        </w:rPr>
        <w:t>of</w:t>
      </w:r>
      <w:r>
        <w:rPr>
          <w:spacing w:val="-6"/>
          <w:sz w:val="25"/>
        </w:rPr>
        <w:t> </w:t>
      </w:r>
      <w:r>
        <w:rPr>
          <w:sz w:val="25"/>
        </w:rPr>
        <w:t>the institution and actively controlling its affairs‘. A single or stray act of</w:t>
      </w:r>
      <w:r>
        <w:rPr>
          <w:spacing w:val="56"/>
          <w:sz w:val="25"/>
        </w:rPr>
        <w:t> </w:t>
      </w:r>
      <w:r>
        <w:rPr>
          <w:sz w:val="25"/>
        </w:rPr>
        <w:t>management</w:t>
      </w:r>
    </w:p>
    <w:p>
      <w:pPr>
        <w:spacing w:after="0" w:line="480" w:lineRule="auto"/>
        <w:jc w:val="both"/>
        <w:rPr>
          <w:sz w:val="25"/>
        </w:rPr>
        <w:sectPr>
          <w:headerReference w:type="default" r:id="rId128"/>
          <w:footerReference w:type="default" r:id="rId129"/>
          <w:pgSz w:w="11910" w:h="16840"/>
          <w:pgMar w:header="721" w:footer="1566" w:top="1300" w:bottom="1760" w:left="940" w:right="1000"/>
          <w:pgNumType w:start="230"/>
        </w:sectPr>
      </w:pPr>
    </w:p>
    <w:p>
      <w:pPr>
        <w:pStyle w:val="BodyText"/>
        <w:spacing w:line="480" w:lineRule="auto" w:before="124"/>
        <w:ind w:left="500" w:right="439"/>
        <w:jc w:val="both"/>
      </w:pPr>
      <w:r>
        <w:rPr/>
        <w:t>does not entitle a person to be determined as a </w:t>
      </w:r>
      <w:r>
        <w:rPr>
          <w:i/>
        </w:rPr>
        <w:t>de facto </w:t>
      </w:r>
      <w:r>
        <w:rPr/>
        <w:t>shebait. The relevance of this observation shall be considered shortly. Second, the </w:t>
      </w:r>
      <w:r>
        <w:rPr>
          <w:i/>
        </w:rPr>
        <w:t>de facto </w:t>
      </w:r>
      <w:r>
        <w:rPr/>
        <w:t>shebait is vested with a right to bring an action only in the absence of a person with a better title i.e. the </w:t>
      </w:r>
      <w:r>
        <w:rPr>
          <w:i/>
        </w:rPr>
        <w:t>de jure </w:t>
      </w:r>
      <w:r>
        <w:rPr/>
        <w:t>shebait. With the above conditions, the Court</w:t>
      </w:r>
      <w:r>
        <w:rPr>
          <w:spacing w:val="-14"/>
        </w:rPr>
        <w:t> </w:t>
      </w:r>
      <w:r>
        <w:rPr/>
        <w:t>held:</w:t>
      </w:r>
    </w:p>
    <w:p>
      <w:pPr>
        <w:spacing w:line="276" w:lineRule="auto" w:before="159"/>
        <w:ind w:left="1940" w:right="2260" w:firstLine="0"/>
        <w:jc w:val="both"/>
        <w:rPr>
          <w:sz w:val="21"/>
        </w:rPr>
      </w:pPr>
      <w:r>
        <w:rPr>
          <w:spacing w:val="-1"/>
          <w:w w:val="33"/>
          <w:sz w:val="21"/>
        </w:rPr>
        <w:t>―</w:t>
      </w:r>
      <w:r>
        <w:rPr>
          <w:w w:val="100"/>
          <w:sz w:val="21"/>
        </w:rPr>
        <w:t>…I</w:t>
      </w:r>
      <w:r>
        <w:rPr>
          <w:sz w:val="21"/>
        </w:rPr>
        <w:t> </w:t>
      </w:r>
      <w:r>
        <w:rPr>
          <w:spacing w:val="-8"/>
          <w:sz w:val="21"/>
        </w:rPr>
        <w:t> </w:t>
      </w:r>
      <w:r>
        <w:rPr>
          <w:spacing w:val="-3"/>
          <w:w w:val="100"/>
          <w:sz w:val="21"/>
        </w:rPr>
        <w:t>a</w:t>
      </w:r>
      <w:r>
        <w:rPr>
          <w:w w:val="100"/>
          <w:sz w:val="21"/>
        </w:rPr>
        <w:t>m</w:t>
      </w:r>
      <w:r>
        <w:rPr>
          <w:sz w:val="21"/>
        </w:rPr>
        <w:t> </w:t>
      </w:r>
      <w:r>
        <w:rPr>
          <w:spacing w:val="-8"/>
          <w:sz w:val="21"/>
        </w:rPr>
        <w:t> </w:t>
      </w:r>
      <w:r>
        <w:rPr>
          <w:spacing w:val="-1"/>
          <w:w w:val="100"/>
          <w:sz w:val="21"/>
        </w:rPr>
        <w:t>moreo</w:t>
      </w:r>
      <w:r>
        <w:rPr>
          <w:spacing w:val="-3"/>
          <w:w w:val="100"/>
          <w:sz w:val="21"/>
        </w:rPr>
        <w:t>v</w:t>
      </w:r>
      <w:r>
        <w:rPr>
          <w:spacing w:val="-1"/>
          <w:w w:val="100"/>
          <w:sz w:val="21"/>
        </w:rPr>
        <w:t>e</w:t>
      </w:r>
      <w:r>
        <w:rPr>
          <w:w w:val="100"/>
          <w:sz w:val="21"/>
        </w:rPr>
        <w:t>r</w:t>
      </w:r>
      <w:r>
        <w:rPr>
          <w:sz w:val="21"/>
        </w:rPr>
        <w:t> </w:t>
      </w:r>
      <w:r>
        <w:rPr>
          <w:spacing w:val="-8"/>
          <w:sz w:val="21"/>
        </w:rPr>
        <w:t> </w:t>
      </w:r>
      <w:r>
        <w:rPr>
          <w:spacing w:val="-2"/>
          <w:w w:val="100"/>
          <w:sz w:val="21"/>
        </w:rPr>
        <w:t>i</w:t>
      </w:r>
      <w:r>
        <w:rPr>
          <w:spacing w:val="-1"/>
          <w:w w:val="100"/>
          <w:sz w:val="21"/>
        </w:rPr>
        <w:t>n</w:t>
      </w:r>
      <w:r>
        <w:rPr>
          <w:spacing w:val="-3"/>
          <w:w w:val="100"/>
          <w:sz w:val="21"/>
        </w:rPr>
        <w:t>c</w:t>
      </w:r>
      <w:r>
        <w:rPr>
          <w:w w:val="100"/>
          <w:sz w:val="21"/>
        </w:rPr>
        <w:t>l</w:t>
      </w:r>
      <w:r>
        <w:rPr>
          <w:spacing w:val="-2"/>
          <w:w w:val="100"/>
          <w:sz w:val="21"/>
        </w:rPr>
        <w:t>i</w:t>
      </w:r>
      <w:r>
        <w:rPr>
          <w:spacing w:val="-1"/>
          <w:w w:val="100"/>
          <w:sz w:val="21"/>
        </w:rPr>
        <w:t>n</w:t>
      </w:r>
      <w:r>
        <w:rPr>
          <w:spacing w:val="-3"/>
          <w:w w:val="100"/>
          <w:sz w:val="21"/>
        </w:rPr>
        <w:t>e</w:t>
      </w:r>
      <w:r>
        <w:rPr>
          <w:w w:val="100"/>
          <w:sz w:val="21"/>
        </w:rPr>
        <w:t>d</w:t>
      </w:r>
      <w:r>
        <w:rPr>
          <w:sz w:val="21"/>
        </w:rPr>
        <w:t> </w:t>
      </w:r>
      <w:r>
        <w:rPr>
          <w:spacing w:val="-7"/>
          <w:sz w:val="21"/>
        </w:rPr>
        <w:t> </w:t>
      </w:r>
      <w:r>
        <w:rPr>
          <w:spacing w:val="-2"/>
          <w:w w:val="100"/>
          <w:sz w:val="21"/>
        </w:rPr>
        <w:t>t</w:t>
      </w:r>
      <w:r>
        <w:rPr>
          <w:w w:val="100"/>
          <w:sz w:val="21"/>
        </w:rPr>
        <w:t>o</w:t>
      </w:r>
      <w:r>
        <w:rPr>
          <w:sz w:val="21"/>
        </w:rPr>
        <w:t> </w:t>
      </w:r>
      <w:r>
        <w:rPr>
          <w:spacing w:val="-7"/>
          <w:sz w:val="21"/>
        </w:rPr>
        <w:t> </w:t>
      </w:r>
      <w:r>
        <w:rPr>
          <w:spacing w:val="-2"/>
          <w:w w:val="100"/>
          <w:sz w:val="21"/>
        </w:rPr>
        <w:t>t</w:t>
      </w:r>
      <w:r>
        <w:rPr>
          <w:spacing w:val="-3"/>
          <w:w w:val="100"/>
          <w:sz w:val="21"/>
        </w:rPr>
        <w:t>h</w:t>
      </w:r>
      <w:r>
        <w:rPr>
          <w:w w:val="100"/>
          <w:sz w:val="21"/>
        </w:rPr>
        <w:t>i</w:t>
      </w:r>
      <w:r>
        <w:rPr>
          <w:spacing w:val="-3"/>
          <w:w w:val="100"/>
          <w:sz w:val="21"/>
        </w:rPr>
        <w:t>n</w:t>
      </w:r>
      <w:r>
        <w:rPr>
          <w:spacing w:val="2"/>
          <w:w w:val="100"/>
          <w:sz w:val="21"/>
        </w:rPr>
        <w:t>k</w:t>
      </w:r>
      <w:r>
        <w:rPr>
          <w:w w:val="100"/>
          <w:sz w:val="21"/>
        </w:rPr>
        <w:t>,</w:t>
      </w:r>
      <w:r>
        <w:rPr>
          <w:sz w:val="21"/>
        </w:rPr>
        <w:t> </w:t>
      </w:r>
      <w:r>
        <w:rPr>
          <w:spacing w:val="-10"/>
          <w:sz w:val="21"/>
        </w:rPr>
        <w:t> </w:t>
      </w:r>
      <w:r>
        <w:rPr>
          <w:spacing w:val="-1"/>
          <w:w w:val="100"/>
          <w:sz w:val="21"/>
        </w:rPr>
        <w:t>qu</w:t>
      </w:r>
      <w:r>
        <w:rPr>
          <w:spacing w:val="1"/>
          <w:w w:val="100"/>
          <w:sz w:val="21"/>
        </w:rPr>
        <w:t>i</w:t>
      </w:r>
      <w:r>
        <w:rPr>
          <w:spacing w:val="-2"/>
          <w:w w:val="100"/>
          <w:sz w:val="21"/>
        </w:rPr>
        <w:t>t</w:t>
      </w:r>
      <w:r>
        <w:rPr>
          <w:w w:val="100"/>
          <w:sz w:val="21"/>
        </w:rPr>
        <w:t>e</w:t>
      </w:r>
      <w:r>
        <w:rPr>
          <w:sz w:val="21"/>
        </w:rPr>
        <w:t> </w:t>
      </w:r>
      <w:r>
        <w:rPr>
          <w:spacing w:val="-9"/>
          <w:sz w:val="21"/>
        </w:rPr>
        <w:t> </w:t>
      </w:r>
      <w:r>
        <w:rPr>
          <w:spacing w:val="-1"/>
          <w:w w:val="100"/>
          <w:sz w:val="21"/>
        </w:rPr>
        <w:t>a</w:t>
      </w:r>
      <w:r>
        <w:rPr>
          <w:spacing w:val="-3"/>
          <w:w w:val="100"/>
          <w:sz w:val="21"/>
        </w:rPr>
        <w:t>p</w:t>
      </w:r>
      <w:r>
        <w:rPr>
          <w:spacing w:val="-1"/>
          <w:w w:val="100"/>
          <w:sz w:val="21"/>
        </w:rPr>
        <w:t>ar</w:t>
      </w:r>
      <w:r>
        <w:rPr>
          <w:w w:val="100"/>
          <w:sz w:val="21"/>
        </w:rPr>
        <w:t>t</w:t>
      </w:r>
      <w:r>
        <w:rPr>
          <w:sz w:val="21"/>
        </w:rPr>
        <w:t> </w:t>
      </w:r>
      <w:r>
        <w:rPr>
          <w:spacing w:val="-9"/>
          <w:sz w:val="21"/>
        </w:rPr>
        <w:t> </w:t>
      </w:r>
      <w:r>
        <w:rPr>
          <w:spacing w:val="1"/>
          <w:w w:val="100"/>
          <w:sz w:val="21"/>
        </w:rPr>
        <w:t>f</w:t>
      </w:r>
      <w:r>
        <w:rPr>
          <w:spacing w:val="-4"/>
          <w:w w:val="100"/>
          <w:sz w:val="21"/>
        </w:rPr>
        <w:t>r</w:t>
      </w:r>
      <w:r>
        <w:rPr>
          <w:spacing w:val="-1"/>
          <w:w w:val="100"/>
          <w:sz w:val="21"/>
        </w:rPr>
        <w:t>o</w:t>
      </w:r>
      <w:r>
        <w:rPr>
          <w:w w:val="100"/>
          <w:sz w:val="21"/>
        </w:rPr>
        <w:t>m</w:t>
      </w:r>
      <w:r>
        <w:rPr>
          <w:sz w:val="21"/>
        </w:rPr>
        <w:t> </w:t>
      </w:r>
      <w:r>
        <w:rPr>
          <w:spacing w:val="-8"/>
          <w:sz w:val="21"/>
        </w:rPr>
        <w:t> </w:t>
      </w:r>
      <w:r>
        <w:rPr>
          <w:spacing w:val="-2"/>
          <w:w w:val="100"/>
          <w:sz w:val="21"/>
        </w:rPr>
        <w:t>t</w:t>
      </w:r>
      <w:r>
        <w:rPr>
          <w:spacing w:val="-1"/>
          <w:w w:val="100"/>
          <w:sz w:val="21"/>
        </w:rPr>
        <w:t>he</w:t>
      </w:r>
      <w:r>
        <w:rPr>
          <w:spacing w:val="-3"/>
          <w:w w:val="100"/>
          <w:sz w:val="21"/>
        </w:rPr>
        <w:t>s</w:t>
      </w:r>
      <w:r>
        <w:rPr>
          <w:w w:val="100"/>
          <w:sz w:val="21"/>
        </w:rPr>
        <w:t>e </w:t>
      </w:r>
      <w:r>
        <w:rPr>
          <w:sz w:val="21"/>
        </w:rPr>
        <w:t>statutory provisions, that a de facto trustee of a Hindu temple in actual management of that temple and acting bona fide in the interests of the institution can validly pass an order dismissing a temple servant or officer, provided that the dismissal is for good grounds and that the procedure is one to which no objection can be taken…There is moreover no doubt as to the capacity of a de facto trustee in possession and management of a temple to bring a suit for the recovery of temple</w:t>
      </w:r>
      <w:r>
        <w:rPr>
          <w:spacing w:val="-2"/>
          <w:sz w:val="21"/>
        </w:rPr>
        <w:t> </w:t>
      </w:r>
      <w:r>
        <w:rPr>
          <w:sz w:val="21"/>
        </w:rPr>
        <w:t>lands.‖</w:t>
      </w:r>
    </w:p>
    <w:p>
      <w:pPr>
        <w:pStyle w:val="BodyText"/>
        <w:rPr>
          <w:sz w:val="24"/>
        </w:rPr>
      </w:pPr>
    </w:p>
    <w:p>
      <w:pPr>
        <w:pStyle w:val="BodyText"/>
        <w:spacing w:before="2"/>
      </w:pPr>
    </w:p>
    <w:p>
      <w:pPr>
        <w:pStyle w:val="BodyText"/>
        <w:spacing w:line="480" w:lineRule="auto"/>
        <w:ind w:left="500" w:right="436"/>
        <w:jc w:val="both"/>
      </w:pPr>
      <w:r>
        <w:rPr/>
        <w:t>In this view, a person in actual management and acting </w:t>
      </w:r>
      <w:r>
        <w:rPr>
          <w:i/>
        </w:rPr>
        <w:t>bona fide </w:t>
      </w:r>
      <w:r>
        <w:rPr/>
        <w:t>for the interests of the institution can bring a claim for the recovery of temple property as a </w:t>
      </w:r>
      <w:r>
        <w:rPr>
          <w:i/>
        </w:rPr>
        <w:t>de </w:t>
      </w:r>
      <w:r>
        <w:rPr>
          <w:i/>
        </w:rPr>
        <w:t>facto</w:t>
      </w:r>
      <w:r>
        <w:rPr>
          <w:i/>
          <w:spacing w:val="-1"/>
        </w:rPr>
        <w:t> </w:t>
      </w:r>
      <w:r>
        <w:rPr/>
        <w:t>shebait.</w:t>
      </w:r>
    </w:p>
    <w:p>
      <w:pPr>
        <w:pStyle w:val="BodyText"/>
        <w:rPr>
          <w:sz w:val="28"/>
        </w:rPr>
      </w:pPr>
    </w:p>
    <w:p>
      <w:pPr>
        <w:pStyle w:val="BodyText"/>
        <w:spacing w:before="8"/>
        <w:rPr>
          <w:sz w:val="34"/>
        </w:rPr>
      </w:pPr>
    </w:p>
    <w:p>
      <w:pPr>
        <w:pStyle w:val="ListParagraph"/>
        <w:numPr>
          <w:ilvl w:val="0"/>
          <w:numId w:val="111"/>
        </w:numPr>
        <w:tabs>
          <w:tab w:pos="1221" w:val="left" w:leader="none"/>
        </w:tabs>
        <w:spacing w:line="480" w:lineRule="auto" w:before="0" w:after="0"/>
        <w:ind w:left="500" w:right="438" w:firstLine="0"/>
        <w:jc w:val="both"/>
        <w:rPr>
          <w:sz w:val="25"/>
        </w:rPr>
      </w:pPr>
      <w:r>
        <w:rPr>
          <w:sz w:val="25"/>
        </w:rPr>
        <w:t>It is relevant here to advert in some detail to the Full Bench judgment of  the Madras High Court in </w:t>
      </w:r>
      <w:r>
        <w:rPr>
          <w:b/>
          <w:sz w:val="25"/>
        </w:rPr>
        <w:t>Sankarnarayanan Iyer </w:t>
      </w:r>
      <w:r>
        <w:rPr>
          <w:sz w:val="25"/>
        </w:rPr>
        <w:t>v </w:t>
      </w:r>
      <w:r>
        <w:rPr>
          <w:b/>
          <w:sz w:val="25"/>
        </w:rPr>
        <w:t>Sri Poovananathaswami Temple</w:t>
      </w:r>
      <w:r>
        <w:rPr>
          <w:sz w:val="25"/>
          <w:vertAlign w:val="superscript"/>
        </w:rPr>
        <w:t>231</w:t>
      </w:r>
      <w:r>
        <w:rPr>
          <w:sz w:val="25"/>
          <w:vertAlign w:val="baseline"/>
        </w:rPr>
        <w:t>. In this case, the </w:t>
      </w:r>
      <w:r>
        <w:rPr>
          <w:i/>
          <w:sz w:val="25"/>
          <w:vertAlign w:val="baseline"/>
        </w:rPr>
        <w:t>de jure </w:t>
      </w:r>
      <w:r>
        <w:rPr>
          <w:sz w:val="25"/>
          <w:vertAlign w:val="baseline"/>
        </w:rPr>
        <w:t>trustee alienated the properties of a temple and his whereabouts were not known. The succeeding trustee appointed under a compromise decree passed by the court instituted a suit for the recovery of possession of the suit property as the property of the temple. It was contended that independent of the compromise decree, he was vested with the right to institute a suit for the protection of the debutter properties as the </w:t>
      </w:r>
      <w:r>
        <w:rPr>
          <w:i/>
          <w:sz w:val="25"/>
          <w:vertAlign w:val="baseline"/>
        </w:rPr>
        <w:t>de facto </w:t>
      </w:r>
      <w:r>
        <w:rPr>
          <w:sz w:val="25"/>
          <w:vertAlign w:val="baseline"/>
        </w:rPr>
        <w:t>manager. Chief Justice P V Rajamannar</w:t>
      </w:r>
      <w:r>
        <w:rPr>
          <w:spacing w:val="-7"/>
          <w:sz w:val="25"/>
          <w:vertAlign w:val="baseline"/>
        </w:rPr>
        <w:t> </w:t>
      </w:r>
      <w:r>
        <w:rPr>
          <w:sz w:val="25"/>
          <w:vertAlign w:val="baseline"/>
        </w:rPr>
        <w:t>held:</w:t>
      </w:r>
    </w:p>
    <w:p>
      <w:pPr>
        <w:spacing w:after="0" w:line="480" w:lineRule="auto"/>
        <w:jc w:val="both"/>
        <w:rPr>
          <w:sz w:val="25"/>
        </w:rPr>
        <w:sectPr>
          <w:headerReference w:type="default" r:id="rId130"/>
          <w:footerReference w:type="default" r:id="rId131"/>
          <w:pgSz w:w="11910" w:h="16840"/>
          <w:pgMar w:header="721" w:footer="1566" w:top="1300" w:bottom="1760" w:left="940" w:right="1000"/>
        </w:sectPr>
      </w:pPr>
    </w:p>
    <w:p>
      <w:pPr>
        <w:spacing w:line="276" w:lineRule="auto" w:before="122"/>
        <w:ind w:left="1940" w:right="2260" w:firstLine="0"/>
        <w:jc w:val="both"/>
        <w:rPr>
          <w:sz w:val="21"/>
        </w:rPr>
      </w:pPr>
      <w:r>
        <w:rPr>
          <w:spacing w:val="-1"/>
          <w:w w:val="33"/>
          <w:sz w:val="21"/>
        </w:rPr>
        <w:t>―</w:t>
      </w:r>
      <w:r>
        <w:rPr>
          <w:spacing w:val="-2"/>
          <w:w w:val="100"/>
          <w:sz w:val="21"/>
        </w:rPr>
        <w:t>I</w:t>
      </w:r>
      <w:r>
        <w:rPr>
          <w:w w:val="100"/>
          <w:sz w:val="21"/>
        </w:rPr>
        <w:t>n</w:t>
      </w:r>
      <w:r>
        <w:rPr>
          <w:spacing w:val="8"/>
          <w:sz w:val="21"/>
        </w:rPr>
        <w:t> </w:t>
      </w:r>
      <w:r>
        <w:rPr>
          <w:spacing w:val="-2"/>
          <w:w w:val="100"/>
          <w:sz w:val="21"/>
        </w:rPr>
        <w:t>t</w:t>
      </w:r>
      <w:r>
        <w:rPr>
          <w:spacing w:val="-1"/>
          <w:w w:val="100"/>
          <w:sz w:val="21"/>
        </w:rPr>
        <w:t>h</w:t>
      </w:r>
      <w:r>
        <w:rPr>
          <w:w w:val="100"/>
          <w:sz w:val="21"/>
        </w:rPr>
        <w:t>e</w:t>
      </w:r>
      <w:r>
        <w:rPr>
          <w:spacing w:val="8"/>
          <w:sz w:val="21"/>
        </w:rPr>
        <w:t> </w:t>
      </w:r>
      <w:r>
        <w:rPr>
          <w:w w:val="100"/>
          <w:sz w:val="21"/>
        </w:rPr>
        <w:t>case</w:t>
      </w:r>
      <w:r>
        <w:rPr>
          <w:spacing w:val="9"/>
          <w:sz w:val="21"/>
        </w:rPr>
        <w:t> </w:t>
      </w:r>
      <w:r>
        <w:rPr>
          <w:spacing w:val="-1"/>
          <w:w w:val="100"/>
          <w:sz w:val="21"/>
        </w:rPr>
        <w:t>o</w:t>
      </w:r>
      <w:r>
        <w:rPr>
          <w:w w:val="100"/>
          <w:sz w:val="21"/>
        </w:rPr>
        <w:t>f</w:t>
      </w:r>
      <w:r>
        <w:rPr>
          <w:spacing w:val="9"/>
          <w:sz w:val="21"/>
        </w:rPr>
        <w:t> </w:t>
      </w:r>
      <w:r>
        <w:rPr>
          <w:spacing w:val="-2"/>
          <w:w w:val="100"/>
          <w:sz w:val="21"/>
        </w:rPr>
        <w:t>t</w:t>
      </w:r>
      <w:r>
        <w:rPr>
          <w:spacing w:val="-1"/>
          <w:w w:val="100"/>
          <w:sz w:val="21"/>
        </w:rPr>
        <w:t>he</w:t>
      </w:r>
      <w:r>
        <w:rPr>
          <w:spacing w:val="-3"/>
          <w:w w:val="100"/>
          <w:sz w:val="21"/>
        </w:rPr>
        <w:t>s</w:t>
      </w:r>
      <w:r>
        <w:rPr>
          <w:w w:val="100"/>
          <w:sz w:val="21"/>
        </w:rPr>
        <w:t>e</w:t>
      </w:r>
      <w:r>
        <w:rPr>
          <w:spacing w:val="8"/>
          <w:sz w:val="21"/>
        </w:rPr>
        <w:t> </w:t>
      </w:r>
      <w:r>
        <w:rPr>
          <w:spacing w:val="-1"/>
          <w:w w:val="100"/>
          <w:sz w:val="21"/>
        </w:rPr>
        <w:t>en</w:t>
      </w:r>
      <w:r>
        <w:rPr>
          <w:spacing w:val="-2"/>
          <w:w w:val="100"/>
          <w:sz w:val="21"/>
        </w:rPr>
        <w:t>d</w:t>
      </w:r>
      <w:r>
        <w:rPr>
          <w:spacing w:val="-1"/>
          <w:w w:val="100"/>
          <w:sz w:val="21"/>
        </w:rPr>
        <w:t>o</w:t>
      </w:r>
      <w:r>
        <w:rPr>
          <w:spacing w:val="-2"/>
          <w:w w:val="100"/>
          <w:sz w:val="21"/>
        </w:rPr>
        <w:t>w</w:t>
      </w:r>
      <w:r>
        <w:rPr>
          <w:spacing w:val="-1"/>
          <w:w w:val="100"/>
          <w:sz w:val="21"/>
        </w:rPr>
        <w:t>ment</w:t>
      </w:r>
      <w:r>
        <w:rPr>
          <w:w w:val="100"/>
          <w:sz w:val="21"/>
        </w:rPr>
        <w:t>s</w:t>
      </w:r>
      <w:r>
        <w:rPr>
          <w:spacing w:val="8"/>
          <w:sz w:val="21"/>
        </w:rPr>
        <w:t> </w:t>
      </w:r>
      <w:r>
        <w:rPr>
          <w:spacing w:val="-2"/>
          <w:w w:val="100"/>
          <w:sz w:val="21"/>
        </w:rPr>
        <w:t>t</w:t>
      </w:r>
      <w:r>
        <w:rPr>
          <w:spacing w:val="-1"/>
          <w:w w:val="100"/>
          <w:sz w:val="21"/>
        </w:rPr>
        <w:t>h</w:t>
      </w:r>
      <w:r>
        <w:rPr>
          <w:w w:val="100"/>
          <w:sz w:val="21"/>
        </w:rPr>
        <w:t>e</w:t>
      </w:r>
      <w:r>
        <w:rPr>
          <w:spacing w:val="8"/>
          <w:sz w:val="21"/>
        </w:rPr>
        <w:t> </w:t>
      </w:r>
      <w:r>
        <w:rPr>
          <w:w w:val="100"/>
          <w:sz w:val="21"/>
        </w:rPr>
        <w:t>s</w:t>
      </w:r>
      <w:r>
        <w:rPr>
          <w:spacing w:val="2"/>
          <w:w w:val="100"/>
          <w:sz w:val="21"/>
        </w:rPr>
        <w:t>o</w:t>
      </w:r>
      <w:r>
        <w:rPr>
          <w:spacing w:val="-1"/>
          <w:w w:val="100"/>
          <w:sz w:val="21"/>
        </w:rPr>
        <w:t>-</w:t>
      </w:r>
      <w:r>
        <w:rPr>
          <w:w w:val="100"/>
          <w:sz w:val="21"/>
        </w:rPr>
        <w:t>c</w:t>
      </w:r>
      <w:r>
        <w:rPr>
          <w:spacing w:val="-3"/>
          <w:w w:val="100"/>
          <w:sz w:val="21"/>
        </w:rPr>
        <w:t>a</w:t>
      </w:r>
      <w:r>
        <w:rPr>
          <w:spacing w:val="-2"/>
          <w:w w:val="100"/>
          <w:sz w:val="21"/>
        </w:rPr>
        <w:t>l</w:t>
      </w:r>
      <w:r>
        <w:rPr>
          <w:w w:val="100"/>
          <w:sz w:val="21"/>
        </w:rPr>
        <w:t>l</w:t>
      </w:r>
      <w:r>
        <w:rPr>
          <w:w w:val="100"/>
          <w:sz w:val="21"/>
        </w:rPr>
        <w:t>ed</w:t>
      </w:r>
      <w:r>
        <w:rPr>
          <w:spacing w:val="9"/>
          <w:sz w:val="21"/>
        </w:rPr>
        <w:t> </w:t>
      </w:r>
      <w:r>
        <w:rPr>
          <w:spacing w:val="-2"/>
          <w:w w:val="100"/>
          <w:sz w:val="21"/>
        </w:rPr>
        <w:t>t</w:t>
      </w:r>
      <w:r>
        <w:rPr>
          <w:spacing w:val="-1"/>
          <w:w w:val="100"/>
          <w:sz w:val="21"/>
        </w:rPr>
        <w:t>r</w:t>
      </w:r>
      <w:r>
        <w:rPr>
          <w:spacing w:val="-3"/>
          <w:w w:val="100"/>
          <w:sz w:val="21"/>
        </w:rPr>
        <w:t>u</w:t>
      </w:r>
      <w:r>
        <w:rPr>
          <w:w w:val="100"/>
          <w:sz w:val="21"/>
        </w:rPr>
        <w:t>s</w:t>
      </w:r>
      <w:r>
        <w:rPr>
          <w:spacing w:val="-2"/>
          <w:w w:val="100"/>
          <w:sz w:val="21"/>
        </w:rPr>
        <w:t>t</w:t>
      </w:r>
      <w:r>
        <w:rPr>
          <w:w w:val="100"/>
          <w:sz w:val="21"/>
        </w:rPr>
        <w:t>ee</w:t>
      </w:r>
      <w:r>
        <w:rPr>
          <w:spacing w:val="9"/>
          <w:sz w:val="21"/>
        </w:rPr>
        <w:t> </w:t>
      </w:r>
      <w:r>
        <w:rPr>
          <w:w w:val="100"/>
          <w:sz w:val="21"/>
        </w:rPr>
        <w:t>i</w:t>
      </w:r>
      <w:r>
        <w:rPr>
          <w:w w:val="100"/>
          <w:sz w:val="21"/>
        </w:rPr>
        <w:t>s</w:t>
      </w:r>
      <w:r>
        <w:rPr>
          <w:spacing w:val="8"/>
          <w:sz w:val="21"/>
        </w:rPr>
        <w:t> </w:t>
      </w:r>
      <w:r>
        <w:rPr>
          <w:w w:val="100"/>
          <w:sz w:val="21"/>
        </w:rPr>
        <w:t>not </w:t>
      </w:r>
      <w:r>
        <w:rPr>
          <w:sz w:val="21"/>
        </w:rPr>
        <w:t>really a trustee, in the technical sense, in whom the property is vested. He is really a manager (even in cases where he also has a beneficial interest in the usufruct) and the title always is vested in the idol or the institution. In either case, the analogy is to that of an individual having a manager to carry on the administration of his affairs and properties. Viewed in this light, the position reduces itself to this. In some cases, the manager has a rightful claim to the office of manager, in other cases, his only claim is that he is in actual possession</w:t>
      </w:r>
      <w:r>
        <w:rPr>
          <w:spacing w:val="-8"/>
          <w:sz w:val="21"/>
        </w:rPr>
        <w:t> </w:t>
      </w:r>
      <w:r>
        <w:rPr>
          <w:sz w:val="21"/>
        </w:rPr>
        <w:t>of</w:t>
      </w:r>
      <w:r>
        <w:rPr>
          <w:spacing w:val="-4"/>
          <w:sz w:val="21"/>
        </w:rPr>
        <w:t> </w:t>
      </w:r>
      <w:r>
        <w:rPr>
          <w:sz w:val="21"/>
        </w:rPr>
        <w:t>the</w:t>
      </w:r>
      <w:r>
        <w:rPr>
          <w:spacing w:val="-6"/>
          <w:sz w:val="21"/>
        </w:rPr>
        <w:t> </w:t>
      </w:r>
      <w:r>
        <w:rPr>
          <w:sz w:val="21"/>
        </w:rPr>
        <w:t>office.</w:t>
      </w:r>
      <w:r>
        <w:rPr>
          <w:spacing w:val="-6"/>
          <w:sz w:val="21"/>
        </w:rPr>
        <w:t> </w:t>
      </w:r>
      <w:r>
        <w:rPr>
          <w:b/>
          <w:sz w:val="21"/>
        </w:rPr>
        <w:t>―</w:t>
      </w:r>
      <w:r>
        <w:rPr>
          <w:b/>
          <w:i/>
          <w:sz w:val="21"/>
        </w:rPr>
        <w:t>De</w:t>
      </w:r>
      <w:r>
        <w:rPr>
          <w:b/>
          <w:i/>
          <w:spacing w:val="-6"/>
          <w:sz w:val="21"/>
        </w:rPr>
        <w:t> </w:t>
      </w:r>
      <w:r>
        <w:rPr>
          <w:b/>
          <w:i/>
          <w:sz w:val="21"/>
        </w:rPr>
        <w:t>facto</w:t>
      </w:r>
      <w:r>
        <w:rPr>
          <w:b/>
          <w:sz w:val="21"/>
        </w:rPr>
        <w:t>‖</w:t>
      </w:r>
      <w:r>
        <w:rPr>
          <w:b/>
          <w:spacing w:val="-6"/>
          <w:sz w:val="21"/>
        </w:rPr>
        <w:t> </w:t>
      </w:r>
      <w:r>
        <w:rPr>
          <w:b/>
          <w:sz w:val="21"/>
        </w:rPr>
        <w:t>means,</w:t>
      </w:r>
      <w:r>
        <w:rPr>
          <w:b/>
          <w:spacing w:val="-6"/>
          <w:sz w:val="21"/>
        </w:rPr>
        <w:t> </w:t>
      </w:r>
      <w:r>
        <w:rPr>
          <w:b/>
          <w:sz w:val="21"/>
        </w:rPr>
        <w:t>―by</w:t>
      </w:r>
      <w:r>
        <w:rPr>
          <w:b/>
          <w:spacing w:val="-9"/>
          <w:sz w:val="21"/>
        </w:rPr>
        <w:t> </w:t>
      </w:r>
      <w:r>
        <w:rPr>
          <w:b/>
          <w:sz w:val="21"/>
        </w:rPr>
        <w:t>the</w:t>
      </w:r>
      <w:r>
        <w:rPr>
          <w:b/>
          <w:spacing w:val="-5"/>
          <w:sz w:val="21"/>
        </w:rPr>
        <w:t> </w:t>
      </w:r>
      <w:r>
        <w:rPr>
          <w:b/>
          <w:sz w:val="21"/>
        </w:rPr>
        <w:t>title</w:t>
      </w:r>
      <w:r>
        <w:rPr>
          <w:b/>
          <w:spacing w:val="-6"/>
          <w:sz w:val="21"/>
        </w:rPr>
        <w:t> </w:t>
      </w:r>
      <w:r>
        <w:rPr>
          <w:b/>
          <w:sz w:val="21"/>
        </w:rPr>
        <w:t>of possession‖,</w:t>
      </w:r>
      <w:r>
        <w:rPr>
          <w:b/>
          <w:spacing w:val="-16"/>
          <w:sz w:val="21"/>
        </w:rPr>
        <w:t> </w:t>
      </w:r>
      <w:r>
        <w:rPr>
          <w:b/>
          <w:sz w:val="21"/>
        </w:rPr>
        <w:t>in</w:t>
      </w:r>
      <w:r>
        <w:rPr>
          <w:b/>
          <w:spacing w:val="-16"/>
          <w:sz w:val="21"/>
        </w:rPr>
        <w:t> </w:t>
      </w:r>
      <w:r>
        <w:rPr>
          <w:b/>
          <w:sz w:val="21"/>
        </w:rPr>
        <w:t>antithesis</w:t>
      </w:r>
      <w:r>
        <w:rPr>
          <w:b/>
          <w:spacing w:val="-15"/>
          <w:sz w:val="21"/>
        </w:rPr>
        <w:t> </w:t>
      </w:r>
      <w:r>
        <w:rPr>
          <w:b/>
          <w:sz w:val="21"/>
        </w:rPr>
        <w:t>to</w:t>
      </w:r>
      <w:r>
        <w:rPr>
          <w:b/>
          <w:spacing w:val="-15"/>
          <w:sz w:val="21"/>
        </w:rPr>
        <w:t> </w:t>
      </w:r>
      <w:r>
        <w:rPr>
          <w:b/>
          <w:sz w:val="21"/>
        </w:rPr>
        <w:t>―</w:t>
      </w:r>
      <w:r>
        <w:rPr>
          <w:b/>
          <w:i/>
          <w:sz w:val="21"/>
        </w:rPr>
        <w:t>de</w:t>
      </w:r>
      <w:r>
        <w:rPr>
          <w:b/>
          <w:i/>
          <w:spacing w:val="-15"/>
          <w:sz w:val="21"/>
        </w:rPr>
        <w:t> </w:t>
      </w:r>
      <w:r>
        <w:rPr>
          <w:b/>
          <w:i/>
          <w:sz w:val="21"/>
        </w:rPr>
        <w:t>jure</w:t>
      </w:r>
      <w:r>
        <w:rPr>
          <w:b/>
          <w:sz w:val="21"/>
        </w:rPr>
        <w:t>‖</w:t>
      </w:r>
      <w:r>
        <w:rPr>
          <w:b/>
          <w:spacing w:val="-15"/>
          <w:sz w:val="21"/>
        </w:rPr>
        <w:t> </w:t>
      </w:r>
      <w:r>
        <w:rPr>
          <w:b/>
          <w:sz w:val="21"/>
        </w:rPr>
        <w:t>i.e.,</w:t>
      </w:r>
      <w:r>
        <w:rPr>
          <w:b/>
          <w:spacing w:val="-16"/>
          <w:sz w:val="21"/>
        </w:rPr>
        <w:t> </w:t>
      </w:r>
      <w:r>
        <w:rPr>
          <w:b/>
          <w:sz w:val="21"/>
        </w:rPr>
        <w:t>―by</w:t>
      </w:r>
      <w:r>
        <w:rPr>
          <w:b/>
          <w:spacing w:val="-18"/>
          <w:sz w:val="21"/>
        </w:rPr>
        <w:t> </w:t>
      </w:r>
      <w:r>
        <w:rPr>
          <w:b/>
          <w:sz w:val="21"/>
        </w:rPr>
        <w:t>the</w:t>
      </w:r>
      <w:r>
        <w:rPr>
          <w:b/>
          <w:spacing w:val="-15"/>
          <w:sz w:val="21"/>
        </w:rPr>
        <w:t> </w:t>
      </w:r>
      <w:r>
        <w:rPr>
          <w:b/>
          <w:sz w:val="21"/>
        </w:rPr>
        <w:t>title</w:t>
      </w:r>
      <w:r>
        <w:rPr>
          <w:b/>
          <w:spacing w:val="-15"/>
          <w:sz w:val="21"/>
        </w:rPr>
        <w:t> </w:t>
      </w:r>
      <w:r>
        <w:rPr>
          <w:b/>
          <w:sz w:val="21"/>
        </w:rPr>
        <w:t>of right‖. </w:t>
      </w:r>
      <w:r>
        <w:rPr>
          <w:sz w:val="21"/>
        </w:rPr>
        <w:t>So long as the action is for the benefit of the real owner, namely, the idol or the mutt, and </w:t>
      </w:r>
      <w:r>
        <w:rPr>
          <w:b/>
          <w:sz w:val="21"/>
        </w:rPr>
        <w:t>the person bringing the action is the only person who is in management of the affairs of the idol or the mutt for the time being</w:t>
      </w:r>
      <w:r>
        <w:rPr>
          <w:sz w:val="21"/>
        </w:rPr>
        <w:t>, there is no reason why such person should not be allowed to maintain the action on behalf of the idol or the</w:t>
      </w:r>
      <w:r>
        <w:rPr>
          <w:spacing w:val="-25"/>
          <w:sz w:val="21"/>
        </w:rPr>
        <w:t> </w:t>
      </w:r>
      <w:r>
        <w:rPr>
          <w:sz w:val="21"/>
        </w:rPr>
        <w:t>mutt.‖</w:t>
      </w:r>
    </w:p>
    <w:p>
      <w:pPr>
        <w:spacing w:before="2"/>
        <w:ind w:left="5798" w:right="0" w:firstLine="0"/>
        <w:jc w:val="both"/>
        <w:rPr>
          <w:sz w:val="21"/>
        </w:rPr>
      </w:pPr>
      <w:r>
        <w:rPr>
          <w:sz w:val="21"/>
        </w:rPr>
        <w:t>(Emphasis supplied)</w:t>
      </w:r>
    </w:p>
    <w:p>
      <w:pPr>
        <w:pStyle w:val="BodyText"/>
        <w:rPr>
          <w:sz w:val="24"/>
        </w:rPr>
      </w:pPr>
    </w:p>
    <w:p>
      <w:pPr>
        <w:pStyle w:val="BodyText"/>
        <w:spacing w:before="2"/>
        <w:rPr>
          <w:sz w:val="29"/>
        </w:rPr>
      </w:pPr>
    </w:p>
    <w:p>
      <w:pPr>
        <w:pStyle w:val="BodyText"/>
        <w:spacing w:line="480" w:lineRule="auto"/>
        <w:ind w:left="500" w:right="434"/>
        <w:jc w:val="both"/>
      </w:pPr>
      <w:r>
        <w:rPr/>
        <w:t>The above observations clarify that a person claiming to be </w:t>
      </w:r>
      <w:r>
        <w:rPr>
          <w:i/>
        </w:rPr>
        <w:t>de facto </w:t>
      </w:r>
      <w:r>
        <w:rPr/>
        <w:t>shebait must be in exclusive possession of the debutter property and must be the only person in management of the property.</w:t>
      </w:r>
    </w:p>
    <w:p>
      <w:pPr>
        <w:pStyle w:val="BodyText"/>
        <w:spacing w:before="10"/>
        <w:rPr>
          <w:sz w:val="24"/>
        </w:rPr>
      </w:pPr>
    </w:p>
    <w:p>
      <w:pPr>
        <w:pStyle w:val="ListParagraph"/>
        <w:numPr>
          <w:ilvl w:val="0"/>
          <w:numId w:val="111"/>
        </w:numPr>
        <w:tabs>
          <w:tab w:pos="1221" w:val="left" w:leader="none"/>
        </w:tabs>
        <w:spacing w:line="480" w:lineRule="auto" w:before="1" w:after="0"/>
        <w:ind w:left="500" w:right="434" w:firstLine="0"/>
        <w:jc w:val="both"/>
        <w:rPr>
          <w:sz w:val="25"/>
        </w:rPr>
      </w:pPr>
      <w:r>
        <w:rPr>
          <w:sz w:val="25"/>
        </w:rPr>
        <w:t>In his separate opinion, Justice Viswanatha Sastri clarified the grounds of challenge to the exercise of the power of management by a </w:t>
      </w:r>
      <w:r>
        <w:rPr>
          <w:i/>
          <w:sz w:val="25"/>
        </w:rPr>
        <w:t>de facto </w:t>
      </w:r>
      <w:r>
        <w:rPr>
          <w:sz w:val="25"/>
        </w:rPr>
        <w:t>shebait in the following</w:t>
      </w:r>
      <w:r>
        <w:rPr>
          <w:spacing w:val="-2"/>
          <w:sz w:val="25"/>
        </w:rPr>
        <w:t> </w:t>
      </w:r>
      <w:r>
        <w:rPr>
          <w:sz w:val="25"/>
        </w:rPr>
        <w:t>terms:</w:t>
      </w:r>
    </w:p>
    <w:p>
      <w:pPr>
        <w:spacing w:line="276" w:lineRule="auto" w:before="160"/>
        <w:ind w:left="1940" w:right="2262" w:firstLine="0"/>
        <w:jc w:val="both"/>
        <w:rPr>
          <w:sz w:val="21"/>
        </w:rPr>
      </w:pPr>
      <w:r>
        <w:rPr>
          <w:spacing w:val="-1"/>
          <w:w w:val="33"/>
          <w:sz w:val="21"/>
        </w:rPr>
        <w:t>―</w:t>
      </w:r>
      <w:r>
        <w:rPr>
          <w:w w:val="100"/>
          <w:sz w:val="21"/>
        </w:rPr>
        <w:t>…</w:t>
      </w:r>
      <w:r>
        <w:rPr>
          <w:spacing w:val="-2"/>
          <w:w w:val="100"/>
          <w:sz w:val="21"/>
        </w:rPr>
        <w:t>I</w:t>
      </w:r>
      <w:r>
        <w:rPr>
          <w:w w:val="100"/>
          <w:sz w:val="21"/>
        </w:rPr>
        <w:t>f</w:t>
      </w:r>
      <w:r>
        <w:rPr>
          <w:spacing w:val="12"/>
          <w:sz w:val="21"/>
        </w:rPr>
        <w:t> </w:t>
      </w:r>
      <w:r>
        <w:rPr>
          <w:w w:val="100"/>
          <w:sz w:val="21"/>
        </w:rPr>
        <w:t>a</w:t>
      </w:r>
      <w:r>
        <w:rPr>
          <w:spacing w:val="11"/>
          <w:sz w:val="21"/>
        </w:rPr>
        <w:t> </w:t>
      </w:r>
      <w:r>
        <w:rPr>
          <w:i/>
          <w:spacing w:val="-3"/>
          <w:w w:val="100"/>
          <w:sz w:val="21"/>
        </w:rPr>
        <w:t>d</w:t>
      </w:r>
      <w:r>
        <w:rPr>
          <w:i/>
          <w:w w:val="100"/>
          <w:sz w:val="21"/>
        </w:rPr>
        <w:t>e</w:t>
      </w:r>
      <w:r>
        <w:rPr>
          <w:i/>
          <w:spacing w:val="11"/>
          <w:sz w:val="21"/>
        </w:rPr>
        <w:t> </w:t>
      </w:r>
      <w:r>
        <w:rPr>
          <w:i/>
          <w:spacing w:val="-2"/>
          <w:w w:val="100"/>
          <w:sz w:val="21"/>
        </w:rPr>
        <w:t>f</w:t>
      </w:r>
      <w:r>
        <w:rPr>
          <w:i/>
          <w:w w:val="100"/>
          <w:sz w:val="21"/>
        </w:rPr>
        <w:t>ac</w:t>
      </w:r>
      <w:r>
        <w:rPr>
          <w:i/>
          <w:spacing w:val="-1"/>
          <w:w w:val="100"/>
          <w:sz w:val="21"/>
        </w:rPr>
        <w:t>t</w:t>
      </w:r>
      <w:r>
        <w:rPr>
          <w:i/>
          <w:w w:val="100"/>
          <w:sz w:val="21"/>
        </w:rPr>
        <w:t>o</w:t>
      </w:r>
      <w:r>
        <w:rPr>
          <w:i/>
          <w:spacing w:val="12"/>
          <w:sz w:val="21"/>
        </w:rPr>
        <w:t> </w:t>
      </w:r>
      <w:r>
        <w:rPr>
          <w:spacing w:val="-2"/>
          <w:w w:val="100"/>
          <w:sz w:val="21"/>
        </w:rPr>
        <w:t>t</w:t>
      </w:r>
      <w:r>
        <w:rPr>
          <w:spacing w:val="-1"/>
          <w:w w:val="100"/>
          <w:sz w:val="21"/>
        </w:rPr>
        <w:t>r</w:t>
      </w:r>
      <w:r>
        <w:rPr>
          <w:w w:val="100"/>
          <w:sz w:val="21"/>
        </w:rPr>
        <w:t>us</w:t>
      </w:r>
      <w:r>
        <w:rPr>
          <w:spacing w:val="-1"/>
          <w:w w:val="100"/>
          <w:sz w:val="21"/>
        </w:rPr>
        <w:t>t</w:t>
      </w:r>
      <w:r>
        <w:rPr>
          <w:spacing w:val="-3"/>
          <w:w w:val="100"/>
          <w:sz w:val="21"/>
        </w:rPr>
        <w:t>e</w:t>
      </w:r>
      <w:r>
        <w:rPr>
          <w:w w:val="100"/>
          <w:sz w:val="21"/>
        </w:rPr>
        <w:t>e</w:t>
      </w:r>
      <w:r>
        <w:rPr>
          <w:spacing w:val="11"/>
          <w:sz w:val="21"/>
        </w:rPr>
        <w:t> </w:t>
      </w:r>
      <w:r>
        <w:rPr>
          <w:w w:val="100"/>
          <w:sz w:val="21"/>
        </w:rPr>
        <w:t>i</w:t>
      </w:r>
      <w:r>
        <w:rPr>
          <w:w w:val="100"/>
          <w:sz w:val="21"/>
        </w:rPr>
        <w:t>s</w:t>
      </w:r>
      <w:r>
        <w:rPr>
          <w:spacing w:val="8"/>
          <w:sz w:val="21"/>
        </w:rPr>
        <w:t> </w:t>
      </w:r>
      <w:r>
        <w:rPr>
          <w:w w:val="100"/>
          <w:sz w:val="21"/>
        </w:rPr>
        <w:t>gu</w:t>
      </w:r>
      <w:r>
        <w:rPr>
          <w:spacing w:val="-1"/>
          <w:w w:val="100"/>
          <w:sz w:val="21"/>
        </w:rPr>
        <w:t>i</w:t>
      </w:r>
      <w:r>
        <w:rPr>
          <w:w w:val="100"/>
          <w:sz w:val="21"/>
        </w:rPr>
        <w:t>l</w:t>
      </w:r>
      <w:r>
        <w:rPr>
          <w:spacing w:val="-2"/>
          <w:w w:val="100"/>
          <w:sz w:val="21"/>
        </w:rPr>
        <w:t>t</w:t>
      </w:r>
      <w:r>
        <w:rPr>
          <w:w w:val="100"/>
          <w:sz w:val="21"/>
        </w:rPr>
        <w:t>y</w:t>
      </w:r>
      <w:r>
        <w:rPr>
          <w:spacing w:val="8"/>
          <w:sz w:val="21"/>
        </w:rPr>
        <w:t> </w:t>
      </w:r>
      <w:r>
        <w:rPr>
          <w:w w:val="100"/>
          <w:sz w:val="21"/>
        </w:rPr>
        <w:t>of</w:t>
      </w:r>
      <w:r>
        <w:rPr>
          <w:spacing w:val="12"/>
          <w:sz w:val="21"/>
        </w:rPr>
        <w:t> </w:t>
      </w:r>
      <w:r>
        <w:rPr>
          <w:w w:val="100"/>
          <w:sz w:val="21"/>
        </w:rPr>
        <w:t>any</w:t>
      </w:r>
      <w:r>
        <w:rPr>
          <w:spacing w:val="9"/>
          <w:sz w:val="21"/>
        </w:rPr>
        <w:t> </w:t>
      </w:r>
      <w:r>
        <w:rPr>
          <w:w w:val="100"/>
          <w:sz w:val="21"/>
        </w:rPr>
        <w:t>br</w:t>
      </w:r>
      <w:r>
        <w:rPr>
          <w:spacing w:val="-3"/>
          <w:w w:val="100"/>
          <w:sz w:val="21"/>
        </w:rPr>
        <w:t>e</w:t>
      </w:r>
      <w:r>
        <w:rPr>
          <w:w w:val="100"/>
          <w:sz w:val="21"/>
        </w:rPr>
        <w:t>ach</w:t>
      </w:r>
      <w:r>
        <w:rPr>
          <w:spacing w:val="9"/>
          <w:sz w:val="21"/>
        </w:rPr>
        <w:t> </w:t>
      </w:r>
      <w:r>
        <w:rPr>
          <w:w w:val="100"/>
          <w:sz w:val="21"/>
        </w:rPr>
        <w:t>of</w:t>
      </w:r>
      <w:r>
        <w:rPr>
          <w:spacing w:val="12"/>
          <w:sz w:val="21"/>
        </w:rPr>
        <w:t> </w:t>
      </w:r>
      <w:r>
        <w:rPr>
          <w:spacing w:val="-2"/>
          <w:w w:val="100"/>
          <w:sz w:val="21"/>
        </w:rPr>
        <w:t>t</w:t>
      </w:r>
      <w:r>
        <w:rPr>
          <w:spacing w:val="-1"/>
          <w:w w:val="100"/>
          <w:sz w:val="21"/>
        </w:rPr>
        <w:t>r</w:t>
      </w:r>
      <w:r>
        <w:rPr>
          <w:spacing w:val="-3"/>
          <w:w w:val="100"/>
          <w:sz w:val="21"/>
        </w:rPr>
        <w:t>u</w:t>
      </w:r>
      <w:r>
        <w:rPr>
          <w:w w:val="100"/>
          <w:sz w:val="21"/>
        </w:rPr>
        <w:t>s</w:t>
      </w:r>
      <w:r>
        <w:rPr>
          <w:spacing w:val="-2"/>
          <w:w w:val="100"/>
          <w:sz w:val="21"/>
        </w:rPr>
        <w:t>t</w:t>
      </w:r>
      <w:r>
        <w:rPr>
          <w:w w:val="100"/>
          <w:sz w:val="21"/>
        </w:rPr>
        <w:t>,</w:t>
      </w:r>
      <w:r>
        <w:rPr>
          <w:spacing w:val="10"/>
          <w:sz w:val="21"/>
        </w:rPr>
        <w:t> </w:t>
      </w:r>
      <w:r>
        <w:rPr>
          <w:w w:val="100"/>
          <w:sz w:val="21"/>
        </w:rPr>
        <w:t>he</w:t>
      </w:r>
      <w:r>
        <w:rPr>
          <w:spacing w:val="11"/>
          <w:sz w:val="21"/>
        </w:rPr>
        <w:t> </w:t>
      </w:r>
      <w:r>
        <w:rPr>
          <w:w w:val="100"/>
          <w:sz w:val="21"/>
        </w:rPr>
        <w:t>c</w:t>
      </w:r>
      <w:r>
        <w:rPr>
          <w:spacing w:val="-3"/>
          <w:w w:val="100"/>
          <w:sz w:val="21"/>
        </w:rPr>
        <w:t>a</w:t>
      </w:r>
      <w:r>
        <w:rPr>
          <w:w w:val="100"/>
          <w:sz w:val="21"/>
        </w:rPr>
        <w:t>n </w:t>
      </w:r>
      <w:r>
        <w:rPr>
          <w:sz w:val="21"/>
        </w:rPr>
        <w:t>be removed like a </w:t>
      </w:r>
      <w:r>
        <w:rPr>
          <w:i/>
          <w:sz w:val="21"/>
        </w:rPr>
        <w:t>de jure </w:t>
      </w:r>
      <w:r>
        <w:rPr>
          <w:sz w:val="21"/>
        </w:rPr>
        <w:t>trustee. The law fixes him with the responsibility for the proper administration of the trust and also gives him the power to act on behalf of and in the interests of the trust, until a lawful trustee emerges...A person who asserts his own title to the property of a religious endowment, who does not sue as a trustee or manager of the endowment and who claims to recover the property for himself and not for the trust, can never be allowed to sue as a </w:t>
      </w:r>
      <w:r>
        <w:rPr>
          <w:i/>
          <w:sz w:val="21"/>
        </w:rPr>
        <w:t>de facto </w:t>
      </w:r>
      <w:r>
        <w:rPr>
          <w:sz w:val="21"/>
        </w:rPr>
        <w:t>trustee. He is entirely in the position of a trespasser so</w:t>
      </w:r>
      <w:r>
        <w:rPr>
          <w:spacing w:val="15"/>
          <w:sz w:val="21"/>
        </w:rPr>
        <w:t> </w:t>
      </w:r>
      <w:r>
        <w:rPr>
          <w:sz w:val="21"/>
        </w:rPr>
        <w:t>far</w:t>
      </w:r>
      <w:r>
        <w:rPr>
          <w:spacing w:val="12"/>
          <w:sz w:val="21"/>
        </w:rPr>
        <w:t> </w:t>
      </w:r>
      <w:r>
        <w:rPr>
          <w:sz w:val="21"/>
        </w:rPr>
        <w:t>as</w:t>
      </w:r>
      <w:r>
        <w:rPr>
          <w:spacing w:val="16"/>
          <w:sz w:val="21"/>
        </w:rPr>
        <w:t> </w:t>
      </w:r>
      <w:r>
        <w:rPr>
          <w:sz w:val="21"/>
        </w:rPr>
        <w:t>the</w:t>
      </w:r>
      <w:r>
        <w:rPr>
          <w:spacing w:val="16"/>
          <w:sz w:val="21"/>
        </w:rPr>
        <w:t> </w:t>
      </w:r>
      <w:r>
        <w:rPr>
          <w:sz w:val="21"/>
        </w:rPr>
        <w:t>trust</w:t>
      </w:r>
      <w:r>
        <w:rPr>
          <w:spacing w:val="14"/>
          <w:sz w:val="21"/>
        </w:rPr>
        <w:t> </w:t>
      </w:r>
      <w:r>
        <w:rPr>
          <w:sz w:val="21"/>
        </w:rPr>
        <w:t>is</w:t>
      </w:r>
      <w:r>
        <w:rPr>
          <w:spacing w:val="15"/>
          <w:sz w:val="21"/>
        </w:rPr>
        <w:t> </w:t>
      </w:r>
      <w:r>
        <w:rPr>
          <w:sz w:val="21"/>
        </w:rPr>
        <w:t>concerned</w:t>
      </w:r>
      <w:r>
        <w:rPr>
          <w:spacing w:val="18"/>
          <w:sz w:val="21"/>
        </w:rPr>
        <w:t> </w:t>
      </w:r>
      <w:r>
        <w:rPr>
          <w:sz w:val="21"/>
        </w:rPr>
        <w:t>and</w:t>
      </w:r>
      <w:r>
        <w:rPr>
          <w:spacing w:val="15"/>
          <w:sz w:val="21"/>
        </w:rPr>
        <w:t> </w:t>
      </w:r>
      <w:r>
        <w:rPr>
          <w:sz w:val="21"/>
        </w:rPr>
        <w:t>cannot</w:t>
      </w:r>
      <w:r>
        <w:rPr>
          <w:spacing w:val="14"/>
          <w:sz w:val="21"/>
        </w:rPr>
        <w:t> </w:t>
      </w:r>
      <w:r>
        <w:rPr>
          <w:sz w:val="21"/>
        </w:rPr>
        <w:t>be</w:t>
      </w:r>
      <w:r>
        <w:rPr>
          <w:spacing w:val="16"/>
          <w:sz w:val="21"/>
        </w:rPr>
        <w:t> </w:t>
      </w:r>
      <w:r>
        <w:rPr>
          <w:sz w:val="21"/>
        </w:rPr>
        <w:t>considered</w:t>
      </w:r>
      <w:r>
        <w:rPr>
          <w:spacing w:val="16"/>
          <w:sz w:val="21"/>
        </w:rPr>
        <w:t> </w:t>
      </w:r>
      <w:r>
        <w:rPr>
          <w:sz w:val="21"/>
        </w:rPr>
        <w:t>to</w:t>
      </w:r>
    </w:p>
    <w:p>
      <w:pPr>
        <w:spacing w:after="0" w:line="276" w:lineRule="auto"/>
        <w:jc w:val="both"/>
        <w:rPr>
          <w:sz w:val="21"/>
        </w:rPr>
        <w:sectPr>
          <w:headerReference w:type="default" r:id="rId132"/>
          <w:footerReference w:type="default" r:id="rId133"/>
          <w:pgSz w:w="11910" w:h="16840"/>
          <w:pgMar w:header="721" w:footer="1014" w:top="1300" w:bottom="1200" w:left="940" w:right="1000"/>
          <w:pgNumType w:start="413"/>
        </w:sectPr>
      </w:pPr>
    </w:p>
    <w:p>
      <w:pPr>
        <w:spacing w:line="276" w:lineRule="auto" w:before="122"/>
        <w:ind w:left="1940" w:right="2264" w:firstLine="0"/>
        <w:jc w:val="both"/>
        <w:rPr>
          <w:sz w:val="21"/>
        </w:rPr>
      </w:pPr>
      <w:r>
        <w:rPr>
          <w:sz w:val="21"/>
        </w:rPr>
        <w:t>be one who has taken upon himself the duties and obligations of a trustee.‖</w:t>
      </w:r>
      <w:r>
        <w:rPr>
          <w:sz w:val="21"/>
          <w:vertAlign w:val="superscript"/>
        </w:rPr>
        <w:t>232</w:t>
      </w:r>
    </w:p>
    <w:p>
      <w:pPr>
        <w:pStyle w:val="BodyText"/>
        <w:rPr>
          <w:sz w:val="26"/>
        </w:rPr>
      </w:pPr>
    </w:p>
    <w:p>
      <w:pPr>
        <w:pStyle w:val="BodyText"/>
        <w:spacing w:before="5"/>
        <w:rPr>
          <w:sz w:val="22"/>
        </w:rPr>
      </w:pPr>
    </w:p>
    <w:p>
      <w:pPr>
        <w:pStyle w:val="BodyText"/>
        <w:spacing w:line="480" w:lineRule="auto"/>
        <w:ind w:left="500" w:right="436"/>
        <w:jc w:val="both"/>
      </w:pPr>
      <w:r>
        <w:rPr/>
        <w:t>Consistent with the jurisprudence on the rights of a shebait with respect to the properties of an endowment, a </w:t>
      </w:r>
      <w:r>
        <w:rPr>
          <w:i/>
        </w:rPr>
        <w:t>de facto </w:t>
      </w:r>
      <w:r>
        <w:rPr/>
        <w:t>shebait is entrusted with the power and the duty to carry out the purpose of the debutter in respect of the idol and its properties. Though the shebait may have an interest in the usufruct of the debutter property, the </w:t>
      </w:r>
      <w:r>
        <w:rPr>
          <w:i/>
        </w:rPr>
        <w:t>de facto </w:t>
      </w:r>
      <w:r>
        <w:rPr/>
        <w:t>shebait is not vested with an independent right of title over the debutter property. Thus, where a </w:t>
      </w:r>
      <w:r>
        <w:rPr>
          <w:i/>
        </w:rPr>
        <w:t>de facto </w:t>
      </w:r>
      <w:r>
        <w:rPr/>
        <w:t>shebait raises an independent claim to the debutter property to the idol, it assumes the position of a trespasser and no action at its behest is maintainable. A claim raised by a shebait adverse to the idol defeats the very purpose for which shebaits are vested with the right to manage the idol and its</w:t>
      </w:r>
      <w:r>
        <w:rPr>
          <w:spacing w:val="-6"/>
        </w:rPr>
        <w:t> </w:t>
      </w:r>
      <w:r>
        <w:rPr/>
        <w:t>properties.</w:t>
      </w:r>
    </w:p>
    <w:p>
      <w:pPr>
        <w:pStyle w:val="BodyText"/>
        <w:rPr>
          <w:sz w:val="28"/>
        </w:rPr>
      </w:pPr>
    </w:p>
    <w:p>
      <w:pPr>
        <w:pStyle w:val="BodyText"/>
        <w:rPr>
          <w:sz w:val="28"/>
        </w:rPr>
      </w:pPr>
    </w:p>
    <w:p>
      <w:pPr>
        <w:pStyle w:val="ListParagraph"/>
        <w:numPr>
          <w:ilvl w:val="0"/>
          <w:numId w:val="111"/>
        </w:numPr>
        <w:tabs>
          <w:tab w:pos="1221" w:val="left" w:leader="none"/>
        </w:tabs>
        <w:spacing w:line="480" w:lineRule="auto" w:before="220" w:after="0"/>
        <w:ind w:left="500" w:right="434" w:firstLine="0"/>
        <w:jc w:val="both"/>
        <w:rPr>
          <w:sz w:val="25"/>
        </w:rPr>
      </w:pPr>
      <w:r>
        <w:rPr>
          <w:sz w:val="25"/>
        </w:rPr>
        <w:t>It is of crucial importance to advert to the standard laid by the learned judges in their separate opinions as to when a person may be deemed to be a </w:t>
      </w:r>
      <w:r>
        <w:rPr>
          <w:i/>
          <w:sz w:val="25"/>
        </w:rPr>
        <w:t>de </w:t>
      </w:r>
      <w:r>
        <w:rPr>
          <w:i/>
          <w:sz w:val="25"/>
        </w:rPr>
        <w:t>facto </w:t>
      </w:r>
      <w:r>
        <w:rPr>
          <w:sz w:val="25"/>
        </w:rPr>
        <w:t>shebait. Justice Viswanatha Sastri</w:t>
      </w:r>
      <w:r>
        <w:rPr>
          <w:spacing w:val="-4"/>
          <w:sz w:val="25"/>
        </w:rPr>
        <w:t> </w:t>
      </w:r>
      <w:r>
        <w:rPr>
          <w:sz w:val="25"/>
        </w:rPr>
        <w:t>held:</w:t>
      </w:r>
    </w:p>
    <w:p>
      <w:pPr>
        <w:spacing w:line="276" w:lineRule="auto" w:before="158"/>
        <w:ind w:left="1940" w:right="2260" w:firstLine="0"/>
        <w:jc w:val="both"/>
        <w:rPr>
          <w:sz w:val="21"/>
        </w:rPr>
      </w:pPr>
      <w:r>
        <w:rPr>
          <w:spacing w:val="1"/>
          <w:w w:val="33"/>
          <w:sz w:val="21"/>
        </w:rPr>
        <w:t>―</w:t>
      </w:r>
      <w:r>
        <w:rPr>
          <w:b/>
          <w:w w:val="100"/>
          <w:sz w:val="21"/>
        </w:rPr>
        <w:t>A</w:t>
      </w:r>
      <w:r>
        <w:rPr>
          <w:b/>
          <w:spacing w:val="17"/>
          <w:sz w:val="21"/>
        </w:rPr>
        <w:t> </w:t>
      </w:r>
      <w:r>
        <w:rPr>
          <w:b/>
          <w:spacing w:val="-1"/>
          <w:w w:val="100"/>
          <w:sz w:val="21"/>
        </w:rPr>
        <w:t>f</w:t>
      </w:r>
      <w:r>
        <w:rPr>
          <w:b/>
          <w:w w:val="100"/>
          <w:sz w:val="21"/>
        </w:rPr>
        <w:t>ug</w:t>
      </w:r>
      <w:r>
        <w:rPr>
          <w:b/>
          <w:spacing w:val="-2"/>
          <w:w w:val="100"/>
          <w:sz w:val="21"/>
        </w:rPr>
        <w:t>i</w:t>
      </w:r>
      <w:r>
        <w:rPr>
          <w:b/>
          <w:spacing w:val="-1"/>
          <w:w w:val="100"/>
          <w:sz w:val="21"/>
        </w:rPr>
        <w:t>t</w:t>
      </w:r>
      <w:r>
        <w:rPr>
          <w:b/>
          <w:spacing w:val="-2"/>
          <w:w w:val="100"/>
          <w:sz w:val="21"/>
        </w:rPr>
        <w:t>i</w:t>
      </w:r>
      <w:r>
        <w:rPr>
          <w:b/>
          <w:spacing w:val="-3"/>
          <w:w w:val="100"/>
          <w:sz w:val="21"/>
        </w:rPr>
        <w:t>v</w:t>
      </w:r>
      <w:r>
        <w:rPr>
          <w:b/>
          <w:w w:val="100"/>
          <w:sz w:val="21"/>
        </w:rPr>
        <w:t>e</w:t>
      </w:r>
      <w:r>
        <w:rPr>
          <w:b/>
          <w:spacing w:val="20"/>
          <w:sz w:val="21"/>
        </w:rPr>
        <w:t> </w:t>
      </w:r>
      <w:r>
        <w:rPr>
          <w:b/>
          <w:w w:val="100"/>
          <w:sz w:val="21"/>
        </w:rPr>
        <w:t>or</w:t>
      </w:r>
      <w:r>
        <w:rPr>
          <w:b/>
          <w:spacing w:val="23"/>
          <w:sz w:val="21"/>
        </w:rPr>
        <w:t> </w:t>
      </w:r>
      <w:r>
        <w:rPr>
          <w:b/>
          <w:spacing w:val="-2"/>
          <w:w w:val="100"/>
          <w:sz w:val="21"/>
        </w:rPr>
        <w:t>i</w:t>
      </w:r>
      <w:r>
        <w:rPr>
          <w:b/>
          <w:w w:val="100"/>
          <w:sz w:val="21"/>
        </w:rPr>
        <w:t>so</w:t>
      </w:r>
      <w:r>
        <w:rPr>
          <w:b/>
          <w:spacing w:val="-2"/>
          <w:w w:val="100"/>
          <w:sz w:val="21"/>
        </w:rPr>
        <w:t>l</w:t>
      </w:r>
      <w:r>
        <w:rPr>
          <w:b/>
          <w:w w:val="100"/>
          <w:sz w:val="21"/>
        </w:rPr>
        <w:t>ated</w:t>
      </w:r>
      <w:r>
        <w:rPr>
          <w:b/>
          <w:spacing w:val="20"/>
          <w:sz w:val="21"/>
        </w:rPr>
        <w:t> </w:t>
      </w:r>
      <w:r>
        <w:rPr>
          <w:b/>
          <w:spacing w:val="-3"/>
          <w:w w:val="100"/>
          <w:sz w:val="21"/>
        </w:rPr>
        <w:t>a</w:t>
      </w:r>
      <w:r>
        <w:rPr>
          <w:b/>
          <w:w w:val="100"/>
          <w:sz w:val="21"/>
        </w:rPr>
        <w:t>ct</w:t>
      </w:r>
      <w:r>
        <w:rPr>
          <w:b/>
          <w:spacing w:val="20"/>
          <w:sz w:val="21"/>
        </w:rPr>
        <w:t> </w:t>
      </w:r>
      <w:r>
        <w:rPr>
          <w:b/>
          <w:w w:val="100"/>
          <w:sz w:val="21"/>
        </w:rPr>
        <w:t>of</w:t>
      </w:r>
      <w:r>
        <w:rPr>
          <w:b/>
          <w:spacing w:val="20"/>
          <w:sz w:val="21"/>
        </w:rPr>
        <w:t> </w:t>
      </w:r>
      <w:r>
        <w:rPr>
          <w:b/>
          <w:w w:val="100"/>
          <w:sz w:val="21"/>
        </w:rPr>
        <w:t>a</w:t>
      </w:r>
      <w:r>
        <w:rPr>
          <w:b/>
          <w:spacing w:val="20"/>
          <w:sz w:val="21"/>
        </w:rPr>
        <w:t> </w:t>
      </w:r>
      <w:r>
        <w:rPr>
          <w:b/>
          <w:w w:val="100"/>
          <w:sz w:val="21"/>
        </w:rPr>
        <w:t>pers</w:t>
      </w:r>
      <w:r>
        <w:rPr>
          <w:b/>
          <w:spacing w:val="-3"/>
          <w:w w:val="100"/>
          <w:sz w:val="21"/>
        </w:rPr>
        <w:t>o</w:t>
      </w:r>
      <w:r>
        <w:rPr>
          <w:b/>
          <w:w w:val="100"/>
          <w:sz w:val="21"/>
        </w:rPr>
        <w:t>n</w:t>
      </w:r>
      <w:r>
        <w:rPr>
          <w:b/>
          <w:spacing w:val="18"/>
          <w:sz w:val="21"/>
        </w:rPr>
        <w:t> </w:t>
      </w:r>
      <w:r>
        <w:rPr>
          <w:b/>
          <w:spacing w:val="3"/>
          <w:w w:val="100"/>
          <w:sz w:val="21"/>
        </w:rPr>
        <w:t>w</w:t>
      </w:r>
      <w:r>
        <w:rPr>
          <w:b/>
          <w:spacing w:val="-2"/>
          <w:w w:val="100"/>
          <w:sz w:val="21"/>
        </w:rPr>
        <w:t>i</w:t>
      </w:r>
      <w:r>
        <w:rPr>
          <w:b/>
          <w:spacing w:val="-1"/>
          <w:w w:val="100"/>
          <w:sz w:val="21"/>
        </w:rPr>
        <w:t>t</w:t>
      </w:r>
      <w:r>
        <w:rPr>
          <w:b/>
          <w:w w:val="100"/>
          <w:sz w:val="21"/>
        </w:rPr>
        <w:t>h</w:t>
      </w:r>
      <w:r>
        <w:rPr>
          <w:b/>
          <w:spacing w:val="21"/>
          <w:sz w:val="21"/>
        </w:rPr>
        <w:t> </w:t>
      </w:r>
      <w:r>
        <w:rPr>
          <w:b/>
          <w:w w:val="100"/>
          <w:sz w:val="21"/>
        </w:rPr>
        <w:t>r</w:t>
      </w:r>
      <w:r>
        <w:rPr>
          <w:b/>
          <w:spacing w:val="-3"/>
          <w:w w:val="100"/>
          <w:sz w:val="21"/>
        </w:rPr>
        <w:t>e</w:t>
      </w:r>
      <w:r>
        <w:rPr>
          <w:b/>
          <w:spacing w:val="-2"/>
          <w:w w:val="100"/>
          <w:sz w:val="21"/>
        </w:rPr>
        <w:t>g</w:t>
      </w:r>
      <w:r>
        <w:rPr>
          <w:b/>
          <w:w w:val="100"/>
          <w:sz w:val="21"/>
        </w:rPr>
        <w:t>ard</w:t>
      </w:r>
      <w:r>
        <w:rPr>
          <w:b/>
          <w:spacing w:val="20"/>
          <w:sz w:val="21"/>
        </w:rPr>
        <w:t> </w:t>
      </w:r>
      <w:r>
        <w:rPr>
          <w:b/>
          <w:spacing w:val="-1"/>
          <w:w w:val="100"/>
          <w:sz w:val="21"/>
        </w:rPr>
        <w:t>t</w:t>
      </w:r>
      <w:r>
        <w:rPr>
          <w:b/>
          <w:w w:val="100"/>
          <w:sz w:val="21"/>
        </w:rPr>
        <w:t>o</w:t>
      </w:r>
      <w:r>
        <w:rPr>
          <w:b/>
          <w:spacing w:val="21"/>
          <w:sz w:val="21"/>
        </w:rPr>
        <w:t> </w:t>
      </w:r>
      <w:r>
        <w:rPr>
          <w:b/>
          <w:spacing w:val="3"/>
          <w:w w:val="100"/>
          <w:sz w:val="21"/>
        </w:rPr>
        <w:t>t</w:t>
      </w:r>
      <w:r>
        <w:rPr>
          <w:b/>
          <w:w w:val="100"/>
          <w:sz w:val="21"/>
        </w:rPr>
        <w:t>he </w:t>
      </w:r>
      <w:r>
        <w:rPr>
          <w:b/>
          <w:sz w:val="21"/>
        </w:rPr>
        <w:t>property of a religious endowment would not make him a </w:t>
      </w:r>
      <w:r>
        <w:rPr>
          <w:b/>
          <w:i/>
          <w:sz w:val="21"/>
        </w:rPr>
        <w:t>de facto </w:t>
      </w:r>
      <w:r>
        <w:rPr>
          <w:b/>
          <w:sz w:val="21"/>
        </w:rPr>
        <w:t>trustee. One swallow does not make a summer. There must be a continuous course of conduct, the length of the same depending on the facts and circumstances of the case. </w:t>
      </w:r>
      <w:r>
        <w:rPr>
          <w:sz w:val="21"/>
        </w:rPr>
        <w:t>The possession of the office or the institution which is the object of the trust and the exercise of the rights pertaining to the office, would be important  indicia of a </w:t>
      </w:r>
      <w:r>
        <w:rPr>
          <w:i/>
          <w:sz w:val="21"/>
        </w:rPr>
        <w:t>de facto</w:t>
      </w:r>
      <w:r>
        <w:rPr>
          <w:i/>
          <w:spacing w:val="-6"/>
          <w:sz w:val="21"/>
        </w:rPr>
        <w:t> </w:t>
      </w:r>
      <w:r>
        <w:rPr>
          <w:sz w:val="21"/>
        </w:rPr>
        <w:t>trusteeship.‖</w:t>
      </w:r>
    </w:p>
    <w:p>
      <w:pPr>
        <w:spacing w:before="2"/>
        <w:ind w:left="5795" w:right="0" w:firstLine="0"/>
        <w:jc w:val="left"/>
        <w:rPr>
          <w:sz w:val="21"/>
        </w:rPr>
      </w:pPr>
      <w:r>
        <w:rPr>
          <w:sz w:val="21"/>
        </w:rPr>
        <w:t>(Emphasis supplied)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rect style="position:absolute;margin-left:72.024002pt;margin-top:7.989388pt;width:144.020pt;height:.599980pt;mso-position-horizontal-relative:page;mso-position-vertical-relative:paragraph;z-index:-15664640;mso-wrap-distance-left:0;mso-wrap-distance-right:0" filled="true" fillcolor="#000000" stroked="false">
            <v:fill type="solid"/>
            <w10:wrap type="topAndBottom"/>
          </v:rect>
        </w:pict>
      </w:r>
    </w:p>
    <w:p>
      <w:pPr>
        <w:spacing w:line="247" w:lineRule="auto" w:before="73"/>
        <w:ind w:left="500" w:right="512" w:firstLine="0"/>
        <w:jc w:val="left"/>
        <w:rPr>
          <w:sz w:val="18"/>
        </w:rPr>
      </w:pPr>
      <w:r>
        <w:rPr>
          <w:sz w:val="18"/>
          <w:vertAlign w:val="superscript"/>
        </w:rPr>
        <w:t>232</w:t>
      </w:r>
      <w:r>
        <w:rPr>
          <w:sz w:val="18"/>
          <w:vertAlign w:val="baseline"/>
        </w:rPr>
        <w:t> Followed in </w:t>
      </w:r>
      <w:r>
        <w:rPr>
          <w:b/>
          <w:sz w:val="18"/>
          <w:vertAlign w:val="baseline"/>
        </w:rPr>
        <w:t>Sapna Koteshwar Godat Goa Endowment (Trust) </w:t>
      </w:r>
      <w:r>
        <w:rPr>
          <w:sz w:val="18"/>
          <w:vertAlign w:val="baseline"/>
        </w:rPr>
        <w:t>v </w:t>
      </w:r>
      <w:r>
        <w:rPr>
          <w:b/>
          <w:sz w:val="18"/>
          <w:vertAlign w:val="baseline"/>
        </w:rPr>
        <w:t>Ramchandra Vasudeo Kittur </w:t>
      </w:r>
      <w:r>
        <w:rPr>
          <w:sz w:val="18"/>
          <w:vertAlign w:val="baseline"/>
        </w:rPr>
        <w:t>AIR 1956 Bom 615</w:t>
      </w:r>
    </w:p>
    <w:p>
      <w:pPr>
        <w:spacing w:after="0" w:line="247" w:lineRule="auto"/>
        <w:jc w:val="left"/>
        <w:rPr>
          <w:sz w:val="18"/>
        </w:rPr>
        <w:sectPr>
          <w:pgSz w:w="11910" w:h="16840"/>
          <w:pgMar w:header="721" w:footer="1014" w:top="1300" w:bottom="1200" w:left="940" w:right="1000"/>
        </w:sectPr>
      </w:pPr>
    </w:p>
    <w:p>
      <w:pPr>
        <w:pStyle w:val="BodyText"/>
        <w:spacing w:before="124"/>
        <w:ind w:left="500"/>
      </w:pPr>
      <w:r>
        <w:rPr/>
        <w:t>Similarly, Justice Raghava Rao held:</w:t>
      </w:r>
    </w:p>
    <w:p>
      <w:pPr>
        <w:pStyle w:val="BodyText"/>
      </w:pPr>
    </w:p>
    <w:p>
      <w:pPr>
        <w:spacing w:line="276" w:lineRule="auto" w:before="0"/>
        <w:ind w:left="1940" w:right="2260" w:firstLine="57"/>
        <w:jc w:val="both"/>
        <w:rPr>
          <w:sz w:val="21"/>
        </w:rPr>
      </w:pPr>
      <w:r>
        <w:rPr>
          <w:spacing w:val="-1"/>
          <w:w w:val="33"/>
          <w:sz w:val="21"/>
        </w:rPr>
        <w:t>―</w:t>
      </w:r>
      <w:r>
        <w:rPr>
          <w:w w:val="100"/>
          <w:sz w:val="21"/>
        </w:rPr>
        <w:t>I</w:t>
      </w:r>
      <w:r>
        <w:rPr>
          <w:sz w:val="21"/>
        </w:rPr>
        <w:t> </w:t>
      </w:r>
      <w:r>
        <w:rPr>
          <w:spacing w:val="-10"/>
          <w:sz w:val="21"/>
        </w:rPr>
        <w:t> </w:t>
      </w:r>
      <w:r>
        <w:rPr>
          <w:spacing w:val="1"/>
          <w:w w:val="100"/>
          <w:sz w:val="21"/>
        </w:rPr>
        <w:t>m</w:t>
      </w:r>
      <w:r>
        <w:rPr>
          <w:spacing w:val="-1"/>
          <w:w w:val="100"/>
          <w:sz w:val="21"/>
        </w:rPr>
        <w:t>us</w:t>
      </w:r>
      <w:r>
        <w:rPr>
          <w:w w:val="100"/>
          <w:sz w:val="21"/>
        </w:rPr>
        <w:t>t</w:t>
      </w:r>
      <w:r>
        <w:rPr>
          <w:sz w:val="21"/>
        </w:rPr>
        <w:t> </w:t>
      </w:r>
      <w:r>
        <w:rPr>
          <w:spacing w:val="-13"/>
          <w:sz w:val="21"/>
        </w:rPr>
        <w:t> </w:t>
      </w:r>
      <w:r>
        <w:rPr>
          <w:w w:val="100"/>
          <w:sz w:val="21"/>
        </w:rPr>
        <w:t>co</w:t>
      </w:r>
      <w:r>
        <w:rPr>
          <w:spacing w:val="-3"/>
          <w:w w:val="100"/>
          <w:sz w:val="21"/>
        </w:rPr>
        <w:t>n</w:t>
      </w:r>
      <w:r>
        <w:rPr>
          <w:spacing w:val="1"/>
          <w:w w:val="100"/>
          <w:sz w:val="21"/>
        </w:rPr>
        <w:t>f</w:t>
      </w:r>
      <w:r>
        <w:rPr>
          <w:spacing w:val="-1"/>
          <w:w w:val="100"/>
          <w:sz w:val="21"/>
        </w:rPr>
        <w:t>e</w:t>
      </w:r>
      <w:r>
        <w:rPr>
          <w:spacing w:val="-3"/>
          <w:w w:val="100"/>
          <w:sz w:val="21"/>
        </w:rPr>
        <w:t>s</w:t>
      </w:r>
      <w:r>
        <w:rPr>
          <w:w w:val="100"/>
          <w:sz w:val="21"/>
        </w:rPr>
        <w:t>s,</w:t>
      </w:r>
      <w:r>
        <w:rPr>
          <w:sz w:val="21"/>
        </w:rPr>
        <w:t> </w:t>
      </w:r>
      <w:r>
        <w:rPr>
          <w:spacing w:val="-11"/>
          <w:sz w:val="21"/>
        </w:rPr>
        <w:t> </w:t>
      </w:r>
      <w:r>
        <w:rPr>
          <w:spacing w:val="-1"/>
          <w:w w:val="100"/>
          <w:sz w:val="21"/>
        </w:rPr>
        <w:t>ho</w:t>
      </w:r>
      <w:r>
        <w:rPr>
          <w:spacing w:val="-4"/>
          <w:w w:val="100"/>
          <w:sz w:val="21"/>
        </w:rPr>
        <w:t>w</w:t>
      </w:r>
      <w:r>
        <w:rPr>
          <w:spacing w:val="-1"/>
          <w:w w:val="100"/>
          <w:sz w:val="21"/>
        </w:rPr>
        <w:t>e</w:t>
      </w:r>
      <w:r>
        <w:rPr>
          <w:spacing w:val="-3"/>
          <w:w w:val="100"/>
          <w:sz w:val="21"/>
        </w:rPr>
        <w:t>v</w:t>
      </w:r>
      <w:r>
        <w:rPr>
          <w:spacing w:val="-1"/>
          <w:w w:val="100"/>
          <w:sz w:val="21"/>
        </w:rPr>
        <w:t>er</w:t>
      </w:r>
      <w:r>
        <w:rPr>
          <w:w w:val="100"/>
          <w:sz w:val="21"/>
        </w:rPr>
        <w:t>,</w:t>
      </w:r>
      <w:r>
        <w:rPr>
          <w:sz w:val="21"/>
        </w:rPr>
        <w:t> </w:t>
      </w:r>
      <w:r>
        <w:rPr>
          <w:spacing w:val="-11"/>
          <w:sz w:val="21"/>
        </w:rPr>
        <w:t> </w:t>
      </w:r>
      <w:r>
        <w:rPr>
          <w:spacing w:val="-2"/>
          <w:w w:val="100"/>
          <w:sz w:val="21"/>
        </w:rPr>
        <w:t>t</w:t>
      </w:r>
      <w:r>
        <w:rPr>
          <w:spacing w:val="-1"/>
          <w:w w:val="100"/>
          <w:sz w:val="21"/>
        </w:rPr>
        <w:t>ha</w:t>
      </w:r>
      <w:r>
        <w:rPr>
          <w:w w:val="100"/>
          <w:sz w:val="21"/>
        </w:rPr>
        <w:t>t</w:t>
      </w:r>
      <w:r>
        <w:rPr>
          <w:sz w:val="21"/>
        </w:rPr>
        <w:t> </w:t>
      </w:r>
      <w:r>
        <w:rPr>
          <w:spacing w:val="-10"/>
          <w:sz w:val="21"/>
        </w:rPr>
        <w:t> </w:t>
      </w:r>
      <w:r>
        <w:rPr>
          <w:w w:val="100"/>
          <w:sz w:val="21"/>
        </w:rPr>
        <w:t>I</w:t>
      </w:r>
      <w:r>
        <w:rPr>
          <w:sz w:val="21"/>
        </w:rPr>
        <w:t> </w:t>
      </w:r>
      <w:r>
        <w:rPr>
          <w:spacing w:val="-10"/>
          <w:sz w:val="21"/>
        </w:rPr>
        <w:t> </w:t>
      </w:r>
      <w:r>
        <w:rPr>
          <w:w w:val="100"/>
          <w:sz w:val="21"/>
        </w:rPr>
        <w:t>s</w:t>
      </w:r>
      <w:r>
        <w:rPr>
          <w:spacing w:val="-3"/>
          <w:w w:val="100"/>
          <w:sz w:val="21"/>
        </w:rPr>
        <w:t>h</w:t>
      </w:r>
      <w:r>
        <w:rPr>
          <w:spacing w:val="-1"/>
          <w:w w:val="100"/>
          <w:sz w:val="21"/>
        </w:rPr>
        <w:t>oul</w:t>
      </w:r>
      <w:r>
        <w:rPr>
          <w:w w:val="100"/>
          <w:sz w:val="21"/>
        </w:rPr>
        <w:t>d</w:t>
      </w:r>
      <w:r>
        <w:rPr>
          <w:sz w:val="21"/>
        </w:rPr>
        <w:t> </w:t>
      </w:r>
      <w:r>
        <w:rPr>
          <w:spacing w:val="-9"/>
          <w:sz w:val="21"/>
        </w:rPr>
        <w:t> </w:t>
      </w:r>
      <w:r>
        <w:rPr>
          <w:spacing w:val="-3"/>
          <w:w w:val="100"/>
          <w:sz w:val="21"/>
        </w:rPr>
        <w:t>h</w:t>
      </w:r>
      <w:r>
        <w:rPr>
          <w:spacing w:val="-1"/>
          <w:w w:val="100"/>
          <w:sz w:val="21"/>
        </w:rPr>
        <w:t>a</w:t>
      </w:r>
      <w:r>
        <w:rPr>
          <w:spacing w:val="-3"/>
          <w:w w:val="100"/>
          <w:sz w:val="21"/>
        </w:rPr>
        <w:t>v</w:t>
      </w:r>
      <w:r>
        <w:rPr>
          <w:w w:val="100"/>
          <w:sz w:val="21"/>
        </w:rPr>
        <w:t>e</w:t>
      </w:r>
      <w:r>
        <w:rPr>
          <w:sz w:val="21"/>
        </w:rPr>
        <w:t> </w:t>
      </w:r>
      <w:r>
        <w:rPr>
          <w:spacing w:val="-9"/>
          <w:sz w:val="21"/>
        </w:rPr>
        <w:t> </w:t>
      </w:r>
      <w:r>
        <w:rPr>
          <w:spacing w:val="-3"/>
          <w:w w:val="100"/>
          <w:sz w:val="21"/>
        </w:rPr>
        <w:t>e</w:t>
      </w:r>
      <w:r>
        <w:rPr>
          <w:w w:val="100"/>
          <w:sz w:val="21"/>
        </w:rPr>
        <w:t>xper</w:t>
      </w:r>
      <w:r>
        <w:rPr>
          <w:spacing w:val="-2"/>
          <w:w w:val="100"/>
          <w:sz w:val="21"/>
        </w:rPr>
        <w:t>i</w:t>
      </w:r>
      <w:r>
        <w:rPr>
          <w:spacing w:val="-1"/>
          <w:w w:val="100"/>
          <w:sz w:val="21"/>
        </w:rPr>
        <w:t>en</w:t>
      </w:r>
      <w:r>
        <w:rPr>
          <w:spacing w:val="-3"/>
          <w:w w:val="100"/>
          <w:sz w:val="21"/>
        </w:rPr>
        <w:t>c</w:t>
      </w:r>
      <w:r>
        <w:rPr>
          <w:spacing w:val="-1"/>
          <w:w w:val="100"/>
          <w:sz w:val="21"/>
        </w:rPr>
        <w:t>ed </w:t>
      </w:r>
      <w:r>
        <w:rPr>
          <w:sz w:val="21"/>
        </w:rPr>
        <w:t>greater difficulty in the determination of the point in controversy… whence comes the right of the </w:t>
      </w:r>
      <w:r>
        <w:rPr>
          <w:i/>
          <w:sz w:val="21"/>
        </w:rPr>
        <w:t>de facto </w:t>
      </w:r>
      <w:r>
        <w:rPr>
          <w:sz w:val="21"/>
        </w:rPr>
        <w:t>manager to sue? There again, where and how are we to draw a line between a manager </w:t>
      </w:r>
      <w:r>
        <w:rPr>
          <w:i/>
          <w:sz w:val="21"/>
        </w:rPr>
        <w:t>de facto </w:t>
      </w:r>
      <w:r>
        <w:rPr>
          <w:sz w:val="21"/>
        </w:rPr>
        <w:t>and a manager </w:t>
      </w:r>
      <w:r>
        <w:rPr>
          <w:i/>
          <w:sz w:val="21"/>
        </w:rPr>
        <w:t>ad hoc </w:t>
      </w:r>
      <w:r>
        <w:rPr>
          <w:sz w:val="21"/>
        </w:rPr>
        <w:t>exercising isolated acts on particular occasion? I respectfully agree with my learned brother Viswanatha Sastri, J. in his picturesque observation that one swallow does not make a summer; but the practical question still remains, how many do?...how best to make sure that the person suing on behalf of the institution does not enter into improper agreements or compromises pre-decretal and post-decretal. Or walk away with the monies representing the fruits of a particular decree obtained on behalf of the institution? If that is not possible, is it any consolation that at the hands of a </w:t>
      </w:r>
      <w:r>
        <w:rPr>
          <w:i/>
          <w:sz w:val="21"/>
        </w:rPr>
        <w:t>de jure </w:t>
      </w:r>
      <w:r>
        <w:rPr>
          <w:sz w:val="21"/>
        </w:rPr>
        <w:t>manager too the institution may sustain sometimes a similar</w:t>
      </w:r>
      <w:r>
        <w:rPr>
          <w:spacing w:val="-29"/>
          <w:sz w:val="21"/>
        </w:rPr>
        <w:t> </w:t>
      </w:r>
      <w:r>
        <w:rPr>
          <w:sz w:val="21"/>
        </w:rPr>
        <w:t>detriment?‖</w:t>
      </w:r>
    </w:p>
    <w:p>
      <w:pPr>
        <w:pStyle w:val="BodyText"/>
        <w:rPr>
          <w:sz w:val="24"/>
        </w:rPr>
      </w:pPr>
    </w:p>
    <w:p>
      <w:pPr>
        <w:pStyle w:val="BodyText"/>
        <w:rPr>
          <w:sz w:val="24"/>
        </w:rPr>
      </w:pPr>
    </w:p>
    <w:p>
      <w:pPr>
        <w:pStyle w:val="BodyText"/>
        <w:spacing w:before="11"/>
        <w:rPr>
          <w:sz w:val="26"/>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All the above observations are of crucial importance. For, in </w:t>
      </w:r>
      <w:r>
        <w:rPr>
          <w:b/>
          <w:sz w:val="25"/>
        </w:rPr>
        <w:t>Sankarnarayanan Iyer </w:t>
      </w:r>
      <w:r>
        <w:rPr>
          <w:sz w:val="25"/>
        </w:rPr>
        <w:t>and in the consistent jurisprudence of our courts thereafter,</w:t>
      </w:r>
      <w:r>
        <w:rPr>
          <w:sz w:val="25"/>
          <w:vertAlign w:val="superscript"/>
        </w:rPr>
        <w:t>233</w:t>
      </w:r>
      <w:r>
        <w:rPr>
          <w:sz w:val="25"/>
          <w:vertAlign w:val="baseline"/>
        </w:rPr>
        <w:t> it has been held that a stray act or intermittent acts of management do not vest a person with the rights of a </w:t>
      </w:r>
      <w:r>
        <w:rPr>
          <w:i/>
          <w:sz w:val="25"/>
          <w:vertAlign w:val="baseline"/>
        </w:rPr>
        <w:t>de facto </w:t>
      </w:r>
      <w:r>
        <w:rPr>
          <w:sz w:val="25"/>
          <w:vertAlign w:val="baseline"/>
        </w:rPr>
        <w:t>shebait. Absent a deed of dedication, the contention urged by Nirmohi Akhara that they have been in management and charge of the disputed property is a claim in law, for the rights of management as </w:t>
      </w:r>
      <w:r>
        <w:rPr>
          <w:i/>
          <w:sz w:val="25"/>
          <w:vertAlign w:val="baseline"/>
        </w:rPr>
        <w:t>de facto </w:t>
      </w:r>
      <w:r>
        <w:rPr>
          <w:sz w:val="25"/>
          <w:vertAlign w:val="baseline"/>
        </w:rPr>
        <w:t>shebaits. Both Justices Viswanatha Sastri and Raghava Rao in </w:t>
      </w:r>
      <w:r>
        <w:rPr>
          <w:b/>
          <w:sz w:val="25"/>
          <w:vertAlign w:val="baseline"/>
        </w:rPr>
        <w:t>Sankarnarayanan Iyer </w:t>
      </w:r>
      <w:r>
        <w:rPr>
          <w:sz w:val="25"/>
          <w:vertAlign w:val="baseline"/>
        </w:rPr>
        <w:t>unequivocally held that isolated acts do not vest a person with the rights of a </w:t>
      </w:r>
      <w:r>
        <w:rPr>
          <w:i/>
          <w:sz w:val="25"/>
          <w:vertAlign w:val="baseline"/>
        </w:rPr>
        <w:t>de facto </w:t>
      </w:r>
      <w:r>
        <w:rPr>
          <w:sz w:val="25"/>
          <w:vertAlign w:val="baseline"/>
        </w:rPr>
        <w:t>shebait. The conduct in question, must be of a continuous nature to show that the person has exercised all the rights of a shebait consistently over a long period of time. The duration</w:t>
      </w:r>
      <w:r>
        <w:rPr>
          <w:spacing w:val="-12"/>
          <w:sz w:val="25"/>
          <w:vertAlign w:val="baseline"/>
        </w:rPr>
        <w:t> </w:t>
      </w:r>
      <w:r>
        <w:rPr>
          <w:sz w:val="25"/>
          <w:vertAlign w:val="baseline"/>
        </w:rPr>
        <w:t>of time</w:t>
      </w:r>
    </w:p>
    <w:p>
      <w:pPr>
        <w:pStyle w:val="BodyText"/>
        <w:rPr>
          <w:sz w:val="20"/>
        </w:rPr>
      </w:pPr>
    </w:p>
    <w:p>
      <w:pPr>
        <w:pStyle w:val="BodyText"/>
        <w:rPr>
          <w:sz w:val="11"/>
        </w:rPr>
      </w:pPr>
      <w:r>
        <w:rPr/>
        <w:pict>
          <v:rect style="position:absolute;margin-left:72.024002pt;margin-top:8.311172pt;width:144.020pt;height:.599980pt;mso-position-horizontal-relative:page;mso-position-vertical-relative:paragraph;z-index:-15664128;mso-wrap-distance-left:0;mso-wrap-distance-right:0" filled="true" fillcolor="#000000" stroked="false">
            <v:fill type="solid"/>
            <w10:wrap type="topAndBottom"/>
          </v:rect>
        </w:pict>
      </w:r>
    </w:p>
    <w:p>
      <w:pPr>
        <w:spacing w:line="242" w:lineRule="auto" w:before="73"/>
        <w:ind w:left="500" w:right="434" w:firstLine="0"/>
        <w:jc w:val="both"/>
        <w:rPr>
          <w:sz w:val="18"/>
        </w:rPr>
      </w:pPr>
      <w:r>
        <w:rPr>
          <w:sz w:val="18"/>
          <w:vertAlign w:val="superscript"/>
        </w:rPr>
        <w:t>233</w:t>
      </w:r>
      <w:r>
        <w:rPr>
          <w:sz w:val="18"/>
          <w:vertAlign w:val="baseline"/>
        </w:rPr>
        <w:t> </w:t>
      </w:r>
      <w:r>
        <w:rPr>
          <w:b/>
          <w:sz w:val="18"/>
          <w:vertAlign w:val="baseline"/>
        </w:rPr>
        <w:t>Palaniappa Goundan </w:t>
      </w:r>
      <w:r>
        <w:rPr>
          <w:sz w:val="18"/>
          <w:vertAlign w:val="baseline"/>
        </w:rPr>
        <w:t>v </w:t>
      </w:r>
      <w:r>
        <w:rPr>
          <w:b/>
          <w:sz w:val="18"/>
          <w:vertAlign w:val="baseline"/>
        </w:rPr>
        <w:t>Nallappa Goundan </w:t>
      </w:r>
      <w:r>
        <w:rPr>
          <w:sz w:val="18"/>
          <w:vertAlign w:val="baseline"/>
        </w:rPr>
        <w:t>AIR 1951 Mad 817; </w:t>
      </w:r>
      <w:r>
        <w:rPr>
          <w:b/>
          <w:sz w:val="18"/>
          <w:vertAlign w:val="baseline"/>
        </w:rPr>
        <w:t>Mohideen Khan </w:t>
      </w:r>
      <w:r>
        <w:rPr>
          <w:sz w:val="18"/>
          <w:vertAlign w:val="baseline"/>
        </w:rPr>
        <w:t>v </w:t>
      </w:r>
      <w:r>
        <w:rPr>
          <w:b/>
          <w:sz w:val="18"/>
          <w:vertAlign w:val="baseline"/>
        </w:rPr>
        <w:t>Ganikhan </w:t>
      </w:r>
      <w:r>
        <w:rPr>
          <w:sz w:val="18"/>
          <w:vertAlign w:val="baseline"/>
        </w:rPr>
        <w:t>AIR 1956 AP 19; </w:t>
      </w:r>
      <w:r>
        <w:rPr>
          <w:b/>
          <w:sz w:val="18"/>
          <w:vertAlign w:val="baseline"/>
        </w:rPr>
        <w:t>Vankamamidi Balakrishnamurthi </w:t>
      </w:r>
      <w:r>
        <w:rPr>
          <w:sz w:val="18"/>
          <w:vertAlign w:val="baseline"/>
        </w:rPr>
        <w:t>v </w:t>
      </w:r>
      <w:r>
        <w:rPr>
          <w:b/>
          <w:sz w:val="18"/>
          <w:vertAlign w:val="baseline"/>
        </w:rPr>
        <w:t>Gogineni Sambayya </w:t>
      </w:r>
      <w:r>
        <w:rPr>
          <w:sz w:val="18"/>
          <w:vertAlign w:val="baseline"/>
        </w:rPr>
        <w:t>AIR 1959 AP 186</w:t>
      </w:r>
      <w:r>
        <w:rPr>
          <w:b/>
          <w:sz w:val="18"/>
          <w:vertAlign w:val="baseline"/>
        </w:rPr>
        <w:t>; The Commissioner for Hindu Religious and Charitable Endowments, Madras </w:t>
      </w:r>
      <w:r>
        <w:rPr>
          <w:sz w:val="18"/>
          <w:vertAlign w:val="baseline"/>
        </w:rPr>
        <w:t>v </w:t>
      </w:r>
      <w:r>
        <w:rPr>
          <w:b/>
          <w:sz w:val="18"/>
          <w:vertAlign w:val="baseline"/>
        </w:rPr>
        <w:t>PR Jagnnatha Rao </w:t>
      </w:r>
      <w:r>
        <w:rPr>
          <w:sz w:val="18"/>
          <w:vertAlign w:val="baseline"/>
        </w:rPr>
        <w:t>(1974) 87 </w:t>
      </w:r>
      <w:r>
        <w:rPr>
          <w:spacing w:val="-3"/>
          <w:sz w:val="18"/>
          <w:vertAlign w:val="baseline"/>
        </w:rPr>
        <w:t>LW </w:t>
      </w:r>
      <w:r>
        <w:rPr>
          <w:sz w:val="18"/>
          <w:vertAlign w:val="baseline"/>
        </w:rPr>
        <w:t>675; </w:t>
      </w:r>
      <w:r>
        <w:rPr>
          <w:b/>
          <w:sz w:val="18"/>
          <w:vertAlign w:val="baseline"/>
        </w:rPr>
        <w:t>D Ganesamuthuriar </w:t>
      </w:r>
      <w:r>
        <w:rPr>
          <w:sz w:val="18"/>
          <w:vertAlign w:val="baseline"/>
        </w:rPr>
        <w:t>v </w:t>
      </w:r>
      <w:r>
        <w:rPr>
          <w:b/>
          <w:sz w:val="18"/>
          <w:vertAlign w:val="baseline"/>
        </w:rPr>
        <w:t>The Idol Of Sri Sappanikaruppuswami </w:t>
      </w:r>
      <w:r>
        <w:rPr>
          <w:sz w:val="18"/>
          <w:vertAlign w:val="baseline"/>
        </w:rPr>
        <w:t>AIR 1975 Mad 23; </w:t>
      </w:r>
      <w:r>
        <w:rPr>
          <w:b/>
          <w:sz w:val="18"/>
          <w:vertAlign w:val="baseline"/>
        </w:rPr>
        <w:t>Lalji Dharamsey </w:t>
      </w:r>
      <w:r>
        <w:rPr>
          <w:sz w:val="18"/>
          <w:vertAlign w:val="baseline"/>
        </w:rPr>
        <w:t>v </w:t>
      </w:r>
      <w:r>
        <w:rPr>
          <w:b/>
          <w:sz w:val="18"/>
          <w:vertAlign w:val="baseline"/>
        </w:rPr>
        <w:t>Bhagwandas Ranchghoddas </w:t>
      </w:r>
      <w:r>
        <w:rPr>
          <w:sz w:val="18"/>
          <w:vertAlign w:val="baseline"/>
        </w:rPr>
        <w:t>1981 Mah LJ 573; </w:t>
      </w:r>
      <w:r>
        <w:rPr>
          <w:b/>
          <w:sz w:val="18"/>
          <w:vertAlign w:val="baseline"/>
        </w:rPr>
        <w:t>Shri Parshvanath Jain Temple </w:t>
      </w:r>
      <w:r>
        <w:rPr>
          <w:sz w:val="18"/>
          <w:vertAlign w:val="baseline"/>
        </w:rPr>
        <w:t>v </w:t>
      </w:r>
      <w:r>
        <w:rPr>
          <w:b/>
          <w:sz w:val="18"/>
          <w:vertAlign w:val="baseline"/>
        </w:rPr>
        <w:t>L.R.s of Prem Dass </w:t>
      </w:r>
      <w:r>
        <w:rPr>
          <w:sz w:val="18"/>
          <w:vertAlign w:val="baseline"/>
        </w:rPr>
        <w:t>(2009) 1 RLW (Rev)</w:t>
      </w:r>
      <w:r>
        <w:rPr>
          <w:spacing w:val="4"/>
          <w:sz w:val="18"/>
          <w:vertAlign w:val="baseline"/>
        </w:rPr>
        <w:t> </w:t>
      </w:r>
      <w:r>
        <w:rPr>
          <w:sz w:val="18"/>
          <w:vertAlign w:val="baseline"/>
        </w:rPr>
        <w:t>523</w:t>
      </w:r>
    </w:p>
    <w:p>
      <w:pPr>
        <w:spacing w:after="0" w:line="242" w:lineRule="auto"/>
        <w:jc w:val="both"/>
        <w:rPr>
          <w:sz w:val="18"/>
        </w:rPr>
        <w:sectPr>
          <w:pgSz w:w="11910" w:h="16840"/>
          <w:pgMar w:header="721" w:footer="1014" w:top="1300" w:bottom="1200" w:left="940" w:right="1000"/>
        </w:sectPr>
      </w:pPr>
    </w:p>
    <w:p>
      <w:pPr>
        <w:pStyle w:val="BodyText"/>
        <w:spacing w:line="480" w:lineRule="auto" w:before="124"/>
        <w:ind w:left="500" w:right="434"/>
        <w:jc w:val="both"/>
      </w:pPr>
      <w:r>
        <w:rPr/>
        <w:t>that would satisfy this requirement would, by necessity, be based on  the facts and circumstances of each case. Justice Raghava Rao endorsed the view of Justice Viswanatha Sastri but went a step further to outline the practical difficulties in laying down a standard against which the acts of a person claiming to be a </w:t>
      </w:r>
      <w:r>
        <w:rPr>
          <w:i/>
        </w:rPr>
        <w:t>de facto </w:t>
      </w:r>
      <w:r>
        <w:rPr/>
        <w:t>shebait must be tested. The caution against adopting a low legal threshold to confer on a person who merely has possession of the debutter property and exercises intermittent managerial rights the position of a </w:t>
      </w:r>
      <w:r>
        <w:rPr>
          <w:i/>
        </w:rPr>
        <w:t>de facto </w:t>
      </w:r>
      <w:r>
        <w:rPr/>
        <w:t>trustee is well</w:t>
      </w:r>
      <w:r>
        <w:rPr>
          <w:spacing w:val="-4"/>
        </w:rPr>
        <w:t> </w:t>
      </w:r>
      <w:r>
        <w:rPr/>
        <w:t>founded.</w:t>
      </w:r>
    </w:p>
    <w:p>
      <w:pPr>
        <w:pStyle w:val="BodyText"/>
        <w:spacing w:before="10"/>
        <w:rPr>
          <w:sz w:val="37"/>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A </w:t>
      </w:r>
      <w:r>
        <w:rPr>
          <w:i/>
          <w:sz w:val="25"/>
        </w:rPr>
        <w:t>de facto </w:t>
      </w:r>
      <w:r>
        <w:rPr>
          <w:sz w:val="25"/>
        </w:rPr>
        <w:t>shebait is vested with the right to manage the debutter property and bring actions on behalf of the idol. A </w:t>
      </w:r>
      <w:r>
        <w:rPr>
          <w:i/>
          <w:sz w:val="25"/>
        </w:rPr>
        <w:t>bona fide </w:t>
      </w:r>
      <w:r>
        <w:rPr>
          <w:sz w:val="25"/>
        </w:rPr>
        <w:t>action for the benefit of the idol binds it and its properties. As compared to a </w:t>
      </w:r>
      <w:r>
        <w:rPr>
          <w:i/>
          <w:sz w:val="25"/>
        </w:rPr>
        <w:t>de jure </w:t>
      </w:r>
      <w:r>
        <w:rPr>
          <w:sz w:val="25"/>
        </w:rPr>
        <w:t>shebait whose rights can legally be traced to a deed of endowment, a </w:t>
      </w:r>
      <w:r>
        <w:rPr>
          <w:i/>
          <w:sz w:val="25"/>
        </w:rPr>
        <w:t>de facto </w:t>
      </w:r>
      <w:r>
        <w:rPr>
          <w:sz w:val="25"/>
        </w:rPr>
        <w:t>shebait is vested with the right by mere possession and exercise of management rights. The protection of the idol‘s properties is at the heart of this extraordinary conferral of rights. If courts were to adopt a standard that is easily satisfied, large tracts of debutter property may be left at the mercy of persons claiming to be in possession of and managing such properties. It is the duty of the court in every case to assess whether there has been not just exclusive possession but a continuous and uninterrupted exercise of all management rights which are recognised by the beneficiaries of the trust property before conferring on a person a right to which they have no legal</w:t>
      </w:r>
      <w:r>
        <w:rPr>
          <w:spacing w:val="-7"/>
          <w:sz w:val="25"/>
        </w:rPr>
        <w:t> </w:t>
      </w:r>
      <w:r>
        <w:rPr>
          <w:sz w:val="25"/>
        </w:rPr>
        <w:t>title.</w:t>
      </w:r>
    </w:p>
    <w:p>
      <w:pPr>
        <w:pStyle w:val="BodyText"/>
        <w:rPr>
          <w:sz w:val="38"/>
        </w:rPr>
      </w:pPr>
    </w:p>
    <w:p>
      <w:pPr>
        <w:pStyle w:val="ListParagraph"/>
        <w:numPr>
          <w:ilvl w:val="0"/>
          <w:numId w:val="111"/>
        </w:numPr>
        <w:tabs>
          <w:tab w:pos="1221" w:val="left" w:leader="none"/>
        </w:tabs>
        <w:spacing w:line="482" w:lineRule="auto" w:before="0" w:after="0"/>
        <w:ind w:left="500" w:right="437" w:firstLine="0"/>
        <w:jc w:val="both"/>
        <w:rPr>
          <w:i/>
          <w:sz w:val="25"/>
        </w:rPr>
      </w:pPr>
      <w:r>
        <w:rPr>
          <w:sz w:val="25"/>
        </w:rPr>
        <w:t>The duties that bind the exercise of powers of a </w:t>
      </w:r>
      <w:r>
        <w:rPr>
          <w:i/>
          <w:sz w:val="25"/>
        </w:rPr>
        <w:t>de jure </w:t>
      </w:r>
      <w:r>
        <w:rPr>
          <w:sz w:val="25"/>
        </w:rPr>
        <w:t>shebait apply equally</w:t>
      </w:r>
      <w:r>
        <w:rPr>
          <w:spacing w:val="36"/>
          <w:sz w:val="25"/>
        </w:rPr>
        <w:t> </w:t>
      </w:r>
      <w:r>
        <w:rPr>
          <w:sz w:val="25"/>
        </w:rPr>
        <w:t>to</w:t>
      </w:r>
      <w:r>
        <w:rPr>
          <w:spacing w:val="40"/>
          <w:sz w:val="25"/>
        </w:rPr>
        <w:t> </w:t>
      </w:r>
      <w:r>
        <w:rPr>
          <w:sz w:val="25"/>
        </w:rPr>
        <w:t>a</w:t>
      </w:r>
      <w:r>
        <w:rPr>
          <w:spacing w:val="41"/>
          <w:sz w:val="25"/>
        </w:rPr>
        <w:t> </w:t>
      </w:r>
      <w:r>
        <w:rPr>
          <w:i/>
          <w:sz w:val="25"/>
        </w:rPr>
        <w:t>de</w:t>
      </w:r>
      <w:r>
        <w:rPr>
          <w:i/>
          <w:spacing w:val="39"/>
          <w:sz w:val="25"/>
        </w:rPr>
        <w:t> </w:t>
      </w:r>
      <w:r>
        <w:rPr>
          <w:i/>
          <w:sz w:val="25"/>
        </w:rPr>
        <w:t>facto</w:t>
      </w:r>
      <w:r>
        <w:rPr>
          <w:i/>
          <w:spacing w:val="44"/>
          <w:sz w:val="25"/>
        </w:rPr>
        <w:t> </w:t>
      </w:r>
      <w:r>
        <w:rPr>
          <w:sz w:val="25"/>
        </w:rPr>
        <w:t>shebait.</w:t>
      </w:r>
      <w:r>
        <w:rPr>
          <w:spacing w:val="41"/>
          <w:sz w:val="25"/>
        </w:rPr>
        <w:t> </w:t>
      </w:r>
      <w:r>
        <w:rPr>
          <w:sz w:val="25"/>
        </w:rPr>
        <w:t>Thus,</w:t>
      </w:r>
      <w:r>
        <w:rPr>
          <w:spacing w:val="39"/>
          <w:sz w:val="25"/>
        </w:rPr>
        <w:t> </w:t>
      </w:r>
      <w:r>
        <w:rPr>
          <w:sz w:val="25"/>
        </w:rPr>
        <w:t>no</w:t>
      </w:r>
      <w:r>
        <w:rPr>
          <w:spacing w:val="40"/>
          <w:sz w:val="25"/>
        </w:rPr>
        <w:t> </w:t>
      </w:r>
      <w:r>
        <w:rPr>
          <w:sz w:val="25"/>
        </w:rPr>
        <w:t>action</w:t>
      </w:r>
      <w:r>
        <w:rPr>
          <w:spacing w:val="40"/>
          <w:sz w:val="25"/>
        </w:rPr>
        <w:t> </w:t>
      </w:r>
      <w:r>
        <w:rPr>
          <w:sz w:val="25"/>
        </w:rPr>
        <w:t>can</w:t>
      </w:r>
      <w:r>
        <w:rPr>
          <w:spacing w:val="39"/>
          <w:sz w:val="25"/>
        </w:rPr>
        <w:t> </w:t>
      </w:r>
      <w:r>
        <w:rPr>
          <w:sz w:val="25"/>
        </w:rPr>
        <w:t>be</w:t>
      </w:r>
      <w:r>
        <w:rPr>
          <w:spacing w:val="40"/>
          <w:sz w:val="25"/>
        </w:rPr>
        <w:t> </w:t>
      </w:r>
      <w:r>
        <w:rPr>
          <w:sz w:val="25"/>
        </w:rPr>
        <w:t>brought</w:t>
      </w:r>
      <w:r>
        <w:rPr>
          <w:spacing w:val="40"/>
          <w:sz w:val="25"/>
        </w:rPr>
        <w:t> </w:t>
      </w:r>
      <w:r>
        <w:rPr>
          <w:sz w:val="25"/>
        </w:rPr>
        <w:t>by</w:t>
      </w:r>
      <w:r>
        <w:rPr>
          <w:spacing w:val="37"/>
          <w:sz w:val="25"/>
        </w:rPr>
        <w:t> </w:t>
      </w:r>
      <w:r>
        <w:rPr>
          <w:sz w:val="25"/>
        </w:rPr>
        <w:t>the</w:t>
      </w:r>
      <w:r>
        <w:rPr>
          <w:spacing w:val="47"/>
          <w:sz w:val="25"/>
        </w:rPr>
        <w:t> </w:t>
      </w:r>
      <w:r>
        <w:rPr>
          <w:i/>
          <w:sz w:val="25"/>
        </w:rPr>
        <w:t>de</w:t>
      </w:r>
      <w:r>
        <w:rPr>
          <w:i/>
          <w:spacing w:val="40"/>
          <w:sz w:val="25"/>
        </w:rPr>
        <w:t> </w:t>
      </w:r>
      <w:r>
        <w:rPr>
          <w:i/>
          <w:sz w:val="25"/>
        </w:rPr>
        <w:t>facto</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shebait which is not in the beneficial interest of the idol or its properties. However, the position of a </w:t>
      </w:r>
      <w:r>
        <w:rPr>
          <w:i/>
        </w:rPr>
        <w:t>de facto </w:t>
      </w:r>
      <w:r>
        <w:rPr/>
        <w:t>shebait and a </w:t>
      </w:r>
      <w:r>
        <w:rPr>
          <w:i/>
        </w:rPr>
        <w:t>de jure </w:t>
      </w:r>
      <w:r>
        <w:rPr/>
        <w:t>shebait is not the same in all respects. In </w:t>
      </w:r>
      <w:r>
        <w:rPr>
          <w:b/>
        </w:rPr>
        <w:t>Sankaranarayanan Iyer</w:t>
      </w:r>
      <w:r>
        <w:rPr/>
        <w:t>, Justice Viswanatha Sastri held:</w:t>
      </w:r>
    </w:p>
    <w:p>
      <w:pPr>
        <w:spacing w:line="276" w:lineRule="auto" w:before="158"/>
        <w:ind w:left="1940" w:right="2260" w:firstLine="0"/>
        <w:jc w:val="both"/>
        <w:rPr>
          <w:sz w:val="21"/>
        </w:rPr>
      </w:pPr>
      <w:r>
        <w:rPr>
          <w:spacing w:val="-1"/>
          <w:w w:val="33"/>
          <w:sz w:val="21"/>
        </w:rPr>
        <w:t>―</w:t>
      </w:r>
      <w:r>
        <w:rPr>
          <w:spacing w:val="-2"/>
          <w:w w:val="100"/>
          <w:sz w:val="21"/>
        </w:rPr>
        <w:t>I</w:t>
      </w:r>
      <w:r>
        <w:rPr>
          <w:w w:val="100"/>
          <w:sz w:val="21"/>
        </w:rPr>
        <w:t>t</w:t>
      </w:r>
      <w:r>
        <w:rPr>
          <w:spacing w:val="5"/>
          <w:sz w:val="21"/>
        </w:rPr>
        <w:t> </w:t>
      </w:r>
      <w:r>
        <w:rPr>
          <w:w w:val="100"/>
          <w:sz w:val="21"/>
        </w:rPr>
        <w:t>shou</w:t>
      </w:r>
      <w:r>
        <w:rPr>
          <w:spacing w:val="1"/>
          <w:w w:val="100"/>
          <w:sz w:val="21"/>
        </w:rPr>
        <w:t>l</w:t>
      </w:r>
      <w:r>
        <w:rPr>
          <w:w w:val="100"/>
          <w:sz w:val="21"/>
        </w:rPr>
        <w:t>d</w:t>
      </w:r>
      <w:r>
        <w:rPr>
          <w:spacing w:val="3"/>
          <w:sz w:val="21"/>
        </w:rPr>
        <w:t> </w:t>
      </w:r>
      <w:r>
        <w:rPr>
          <w:spacing w:val="-1"/>
          <w:w w:val="100"/>
          <w:sz w:val="21"/>
        </w:rPr>
        <w:t>b</w:t>
      </w:r>
      <w:r>
        <w:rPr>
          <w:w w:val="100"/>
          <w:sz w:val="21"/>
        </w:rPr>
        <w:t>e</w:t>
      </w:r>
      <w:r>
        <w:rPr>
          <w:spacing w:val="4"/>
          <w:sz w:val="21"/>
        </w:rPr>
        <w:t> </w:t>
      </w:r>
      <w:r>
        <w:rPr>
          <w:spacing w:val="-1"/>
          <w:w w:val="100"/>
          <w:sz w:val="21"/>
        </w:rPr>
        <w:t>ob</w:t>
      </w:r>
      <w:r>
        <w:rPr>
          <w:spacing w:val="-3"/>
          <w:w w:val="100"/>
          <w:sz w:val="21"/>
        </w:rPr>
        <w:t>s</w:t>
      </w:r>
      <w:r>
        <w:rPr>
          <w:spacing w:val="-1"/>
          <w:w w:val="100"/>
          <w:sz w:val="21"/>
        </w:rPr>
        <w:t>er</w:t>
      </w:r>
      <w:r>
        <w:rPr>
          <w:spacing w:val="-3"/>
          <w:w w:val="100"/>
          <w:sz w:val="21"/>
        </w:rPr>
        <w:t>v</w:t>
      </w:r>
      <w:r>
        <w:rPr>
          <w:spacing w:val="-1"/>
          <w:w w:val="100"/>
          <w:sz w:val="21"/>
        </w:rPr>
        <w:t>e</w:t>
      </w:r>
      <w:r>
        <w:rPr>
          <w:w w:val="100"/>
          <w:sz w:val="21"/>
        </w:rPr>
        <w:t>d</w:t>
      </w:r>
      <w:r>
        <w:rPr>
          <w:spacing w:val="6"/>
          <w:sz w:val="21"/>
        </w:rPr>
        <w:t> </w:t>
      </w:r>
      <w:r>
        <w:rPr>
          <w:spacing w:val="-2"/>
          <w:w w:val="100"/>
          <w:sz w:val="21"/>
        </w:rPr>
        <w:t>t</w:t>
      </w:r>
      <w:r>
        <w:rPr>
          <w:spacing w:val="-1"/>
          <w:w w:val="100"/>
          <w:sz w:val="21"/>
        </w:rPr>
        <w:t>h</w:t>
      </w:r>
      <w:r>
        <w:rPr>
          <w:spacing w:val="-3"/>
          <w:w w:val="100"/>
          <w:sz w:val="21"/>
        </w:rPr>
        <w:t>a</w:t>
      </w:r>
      <w:r>
        <w:rPr>
          <w:w w:val="100"/>
          <w:sz w:val="21"/>
        </w:rPr>
        <w:t>t</w:t>
      </w:r>
      <w:r>
        <w:rPr>
          <w:spacing w:val="5"/>
          <w:sz w:val="21"/>
        </w:rPr>
        <w:t> </w:t>
      </w:r>
      <w:r>
        <w:rPr>
          <w:spacing w:val="-2"/>
          <w:w w:val="100"/>
          <w:sz w:val="21"/>
        </w:rPr>
        <w:t>t</w:t>
      </w:r>
      <w:r>
        <w:rPr>
          <w:spacing w:val="-1"/>
          <w:w w:val="100"/>
          <w:sz w:val="21"/>
        </w:rPr>
        <w:t>h</w:t>
      </w:r>
      <w:r>
        <w:rPr>
          <w:w w:val="100"/>
          <w:sz w:val="21"/>
        </w:rPr>
        <w:t>e</w:t>
      </w:r>
      <w:r>
        <w:rPr>
          <w:spacing w:val="6"/>
          <w:sz w:val="21"/>
        </w:rPr>
        <w:t> </w:t>
      </w:r>
      <w:r>
        <w:rPr>
          <w:spacing w:val="-1"/>
          <w:w w:val="100"/>
          <w:sz w:val="21"/>
        </w:rPr>
        <w:t>r</w:t>
      </w:r>
      <w:r>
        <w:rPr>
          <w:w w:val="100"/>
          <w:sz w:val="21"/>
        </w:rPr>
        <w:t>i</w:t>
      </w:r>
      <w:r>
        <w:rPr>
          <w:spacing w:val="-1"/>
          <w:w w:val="100"/>
          <w:sz w:val="21"/>
        </w:rPr>
        <w:t>ght</w:t>
      </w:r>
      <w:r>
        <w:rPr>
          <w:w w:val="100"/>
          <w:sz w:val="21"/>
        </w:rPr>
        <w:t>s</w:t>
      </w:r>
      <w:r>
        <w:rPr>
          <w:spacing w:val="3"/>
          <w:sz w:val="21"/>
        </w:rPr>
        <w:t> </w:t>
      </w:r>
      <w:r>
        <w:rPr>
          <w:spacing w:val="-1"/>
          <w:w w:val="100"/>
          <w:sz w:val="21"/>
        </w:rPr>
        <w:t>o</w:t>
      </w:r>
      <w:r>
        <w:rPr>
          <w:w w:val="100"/>
          <w:sz w:val="21"/>
        </w:rPr>
        <w:t>f</w:t>
      </w:r>
      <w:r>
        <w:rPr>
          <w:spacing w:val="4"/>
          <w:sz w:val="21"/>
        </w:rPr>
        <w:t> </w:t>
      </w:r>
      <w:r>
        <w:rPr>
          <w:w w:val="100"/>
          <w:sz w:val="21"/>
        </w:rPr>
        <w:t>a</w:t>
      </w:r>
      <w:r>
        <w:rPr>
          <w:spacing w:val="10"/>
          <w:sz w:val="21"/>
        </w:rPr>
        <w:t> </w:t>
      </w:r>
      <w:r>
        <w:rPr>
          <w:i/>
          <w:spacing w:val="-3"/>
          <w:w w:val="100"/>
          <w:sz w:val="21"/>
        </w:rPr>
        <w:t>d</w:t>
      </w:r>
      <w:r>
        <w:rPr>
          <w:i/>
          <w:w w:val="100"/>
          <w:sz w:val="21"/>
        </w:rPr>
        <w:t>e</w:t>
      </w:r>
      <w:r>
        <w:rPr>
          <w:i/>
          <w:spacing w:val="6"/>
          <w:sz w:val="21"/>
        </w:rPr>
        <w:t> </w:t>
      </w:r>
      <w:r>
        <w:rPr>
          <w:i/>
          <w:spacing w:val="-2"/>
          <w:w w:val="100"/>
          <w:sz w:val="21"/>
        </w:rPr>
        <w:t>f</w:t>
      </w:r>
      <w:r>
        <w:rPr>
          <w:i/>
          <w:w w:val="100"/>
          <w:sz w:val="21"/>
        </w:rPr>
        <w:t>ac</w:t>
      </w:r>
      <w:r>
        <w:rPr>
          <w:i/>
          <w:spacing w:val="-1"/>
          <w:w w:val="100"/>
          <w:sz w:val="21"/>
        </w:rPr>
        <w:t>t</w:t>
      </w:r>
      <w:r>
        <w:rPr>
          <w:i/>
          <w:w w:val="100"/>
          <w:sz w:val="21"/>
        </w:rPr>
        <w:t>o</w:t>
      </w:r>
      <w:r>
        <w:rPr>
          <w:i/>
          <w:spacing w:val="6"/>
          <w:sz w:val="21"/>
        </w:rPr>
        <w:t> </w:t>
      </w:r>
      <w:r>
        <w:rPr>
          <w:spacing w:val="-2"/>
          <w:w w:val="100"/>
          <w:sz w:val="21"/>
        </w:rPr>
        <w:t>t</w:t>
      </w:r>
      <w:r>
        <w:rPr>
          <w:spacing w:val="-4"/>
          <w:w w:val="100"/>
          <w:sz w:val="21"/>
        </w:rPr>
        <w:t>r</w:t>
      </w:r>
      <w:r>
        <w:rPr>
          <w:w w:val="100"/>
          <w:sz w:val="21"/>
        </w:rPr>
        <w:t>us</w:t>
      </w:r>
      <w:r>
        <w:rPr>
          <w:spacing w:val="-1"/>
          <w:w w:val="100"/>
          <w:sz w:val="21"/>
        </w:rPr>
        <w:t>t</w:t>
      </w:r>
      <w:r>
        <w:rPr>
          <w:w w:val="100"/>
          <w:sz w:val="21"/>
        </w:rPr>
        <w:t>ee</w:t>
      </w:r>
      <w:r>
        <w:rPr>
          <w:spacing w:val="6"/>
          <w:sz w:val="21"/>
        </w:rPr>
        <w:t> </w:t>
      </w:r>
      <w:r>
        <w:rPr>
          <w:w w:val="100"/>
          <w:sz w:val="21"/>
        </w:rPr>
        <w:t>a</w:t>
      </w:r>
      <w:r>
        <w:rPr>
          <w:spacing w:val="-3"/>
          <w:w w:val="100"/>
          <w:sz w:val="21"/>
        </w:rPr>
        <w:t>r</w:t>
      </w:r>
      <w:r>
        <w:rPr>
          <w:w w:val="100"/>
          <w:sz w:val="21"/>
        </w:rPr>
        <w:t>e </w:t>
      </w:r>
      <w:r>
        <w:rPr>
          <w:sz w:val="21"/>
        </w:rPr>
        <w:t>not in all respects identical with those of a </w:t>
      </w:r>
      <w:r>
        <w:rPr>
          <w:i/>
          <w:sz w:val="21"/>
        </w:rPr>
        <w:t>de jure </w:t>
      </w:r>
      <w:r>
        <w:rPr>
          <w:sz w:val="21"/>
        </w:rPr>
        <w:t>trustee. A </w:t>
      </w:r>
      <w:r>
        <w:rPr>
          <w:i/>
          <w:sz w:val="21"/>
        </w:rPr>
        <w:t>de jure </w:t>
      </w:r>
      <w:r>
        <w:rPr>
          <w:sz w:val="21"/>
        </w:rPr>
        <w:t>trustee of a public religious endowment can be removed only for misconduct and that only in a suit instituted with the sanction prescribed by Section 92, Civil Procedure Code or section 73 of Madras Act II of 1927. Where, however, there is only a </w:t>
      </w:r>
      <w:r>
        <w:rPr>
          <w:i/>
          <w:sz w:val="21"/>
        </w:rPr>
        <w:t>de facto </w:t>
      </w:r>
      <w:r>
        <w:rPr>
          <w:sz w:val="21"/>
        </w:rPr>
        <w:t>shebait functioning as such, it is open to persons interested in the trust to bring a suit under the above provisions alleging a vacancy in the office and requiring that it should be filled up by the appointment of a trustee by the court. This would entail the removal of the </w:t>
      </w:r>
      <w:r>
        <w:rPr>
          <w:i/>
          <w:spacing w:val="-3"/>
          <w:sz w:val="21"/>
        </w:rPr>
        <w:t>de </w:t>
      </w:r>
      <w:r>
        <w:rPr>
          <w:i/>
          <w:sz w:val="21"/>
        </w:rPr>
        <w:t>facto </w:t>
      </w:r>
      <w:r>
        <w:rPr>
          <w:sz w:val="21"/>
        </w:rPr>
        <w:t>trustee without any misconduct on his part…The </w:t>
      </w:r>
      <w:r>
        <w:rPr>
          <w:i/>
          <w:sz w:val="21"/>
        </w:rPr>
        <w:t>de </w:t>
      </w:r>
      <w:r>
        <w:rPr>
          <w:i/>
          <w:sz w:val="21"/>
        </w:rPr>
        <w:t>facto </w:t>
      </w:r>
      <w:r>
        <w:rPr>
          <w:sz w:val="21"/>
        </w:rPr>
        <w:t>trustee so long as he is functioning as such, has, from the necessities of the situation, the right to bring suits on behalf of and in the interests of the trust for evicting trespassers claiming adversely to the trust. In this respect and for this purpose, his rights and powers are the same as that of a </w:t>
      </w:r>
      <w:r>
        <w:rPr>
          <w:i/>
          <w:sz w:val="21"/>
        </w:rPr>
        <w:t>de jure</w:t>
      </w:r>
      <w:r>
        <w:rPr>
          <w:i/>
          <w:spacing w:val="-4"/>
          <w:sz w:val="21"/>
        </w:rPr>
        <w:t> </w:t>
      </w:r>
      <w:r>
        <w:rPr>
          <w:sz w:val="21"/>
        </w:rPr>
        <w:t>trustee…‖</w:t>
      </w:r>
    </w:p>
    <w:p>
      <w:pPr>
        <w:pStyle w:val="BodyText"/>
        <w:rPr>
          <w:sz w:val="24"/>
        </w:rPr>
      </w:pPr>
    </w:p>
    <w:p>
      <w:pPr>
        <w:pStyle w:val="BodyText"/>
        <w:rPr>
          <w:sz w:val="24"/>
        </w:rPr>
      </w:pPr>
    </w:p>
    <w:p>
      <w:pPr>
        <w:pStyle w:val="BodyText"/>
        <w:spacing w:before="2"/>
        <w:rPr>
          <w:sz w:val="24"/>
        </w:rPr>
      </w:pPr>
    </w:p>
    <w:p>
      <w:pPr>
        <w:pStyle w:val="BodyText"/>
        <w:spacing w:line="480" w:lineRule="auto"/>
        <w:ind w:left="500" w:right="436"/>
        <w:jc w:val="both"/>
      </w:pPr>
      <w:r>
        <w:rPr/>
        <w:t>A </w:t>
      </w:r>
      <w:r>
        <w:rPr>
          <w:i/>
        </w:rPr>
        <w:t>de jure </w:t>
      </w:r>
      <w:r>
        <w:rPr/>
        <w:t>shebait can be removed from office only on the grounds of mismanagement or claiming an interest adverse to the idol. However, no such averment is required to remove a </w:t>
      </w:r>
      <w:r>
        <w:rPr>
          <w:i/>
        </w:rPr>
        <w:t>de facto </w:t>
      </w:r>
      <w:r>
        <w:rPr/>
        <w:t>shebait. A </w:t>
      </w:r>
      <w:r>
        <w:rPr>
          <w:i/>
        </w:rPr>
        <w:t>de jure </w:t>
      </w:r>
      <w:r>
        <w:rPr/>
        <w:t>shebait may, unless the right of the </w:t>
      </w:r>
      <w:r>
        <w:rPr>
          <w:i/>
        </w:rPr>
        <w:t>de facto </w:t>
      </w:r>
      <w:r>
        <w:rPr/>
        <w:t>shebait has been perfected by adverse possession, displace a </w:t>
      </w:r>
      <w:r>
        <w:rPr>
          <w:i/>
        </w:rPr>
        <w:t>de facto </w:t>
      </w:r>
      <w:r>
        <w:rPr/>
        <w:t>shebait from office and assume management of the idol at any point. Further, where there is a </w:t>
      </w:r>
      <w:r>
        <w:rPr>
          <w:i/>
        </w:rPr>
        <w:t>de facto </w:t>
      </w:r>
      <w:r>
        <w:rPr/>
        <w:t>shebait, a suit may be instituted under Section 92 of the Civil Procedure Code 1908 requiring the court to fill up the vacancy by the settling of a scheme. It is for the limited purpose of bringing  an action for the protection of the idol that the rights and powers of the </w:t>
      </w:r>
      <w:r>
        <w:rPr>
          <w:i/>
        </w:rPr>
        <w:t>de facto </w:t>
      </w:r>
      <w:r>
        <w:rPr/>
        <w:t>shebait are the same as that of the </w:t>
      </w:r>
      <w:r>
        <w:rPr>
          <w:i/>
        </w:rPr>
        <w:t>de jure</w:t>
      </w:r>
      <w:r>
        <w:rPr>
          <w:i/>
          <w:spacing w:val="-6"/>
        </w:rPr>
        <w:t> </w:t>
      </w:r>
      <w:r>
        <w:rPr/>
        <w:t>shebait.</w:t>
      </w:r>
    </w:p>
    <w:p>
      <w:pPr>
        <w:spacing w:after="0" w:line="480" w:lineRule="auto"/>
        <w:jc w:val="both"/>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35" w:firstLine="0"/>
        <w:jc w:val="both"/>
        <w:rPr>
          <w:sz w:val="25"/>
        </w:rPr>
      </w:pPr>
      <w:r>
        <w:rPr>
          <w:sz w:val="25"/>
        </w:rPr>
        <w:t>The position of law that a person in continuous and exclusive possession of the debutter property who exercises management rights in the interests of the idol can bring actions on its behalf has found recognition by this Court in </w:t>
      </w:r>
      <w:r>
        <w:rPr>
          <w:b/>
          <w:sz w:val="25"/>
        </w:rPr>
        <w:t>Vikrama Das Mahant </w:t>
      </w:r>
      <w:r>
        <w:rPr>
          <w:sz w:val="25"/>
        </w:rPr>
        <w:t>v </w:t>
      </w:r>
      <w:r>
        <w:rPr>
          <w:b/>
          <w:sz w:val="25"/>
        </w:rPr>
        <w:t>Daulat Ram Asthana</w:t>
      </w:r>
      <w:r>
        <w:rPr>
          <w:sz w:val="25"/>
          <w:vertAlign w:val="superscript"/>
        </w:rPr>
        <w:t>234</w:t>
      </w:r>
      <w:r>
        <w:rPr>
          <w:sz w:val="25"/>
          <w:vertAlign w:val="baseline"/>
        </w:rPr>
        <w:t>. The appellant was confirmed as a manager by virtue of a judgment of the Privy Council (on the ground that the previous Mahant had transferred the property to him). Prior to the date of the judgment of the Privy Council, another compromise decree was entered into by the then Mahant with certain persons who instituted a proceeding to have him removed. While some of the persons who brought the actions took over as trustees under the terms of the compromise, one of them took over as the Mahant and entered into possession of the property. Three of the trustees and the successor of the previous mahant filed a suit against the appellant. Both lower courts held against the appellant. The High Court held that even if the compromise decree is set aside, the plaintiffs are entitled to maintain the suit by virtue of being </w:t>
      </w:r>
      <w:r>
        <w:rPr>
          <w:i/>
          <w:sz w:val="25"/>
          <w:vertAlign w:val="baseline"/>
        </w:rPr>
        <w:t>de facto </w:t>
      </w:r>
      <w:r>
        <w:rPr>
          <w:sz w:val="25"/>
          <w:vertAlign w:val="baseline"/>
        </w:rPr>
        <w:t>trustees whose possession has been clear and undisputed. Both courts below recorded that pursuant to the compromise decree, the plaintiffs and the appointed Mahant entered into possession and the properties were mutated in the name of the Mahant, and had been in possession since then. Justice B Jagannadhadas, speaking for a Constitution Bench of this Court</w:t>
      </w:r>
      <w:r>
        <w:rPr>
          <w:spacing w:val="-1"/>
          <w:sz w:val="25"/>
          <w:vertAlign w:val="baseline"/>
        </w:rPr>
        <w:t> </w:t>
      </w:r>
      <w:r>
        <w:rPr>
          <w:sz w:val="25"/>
          <w:vertAlign w:val="baseline"/>
        </w:rPr>
        <w:t>held:</w:t>
      </w:r>
    </w:p>
    <w:p>
      <w:pPr>
        <w:spacing w:line="276" w:lineRule="auto" w:before="160"/>
        <w:ind w:left="1940" w:right="2262" w:firstLine="0"/>
        <w:jc w:val="both"/>
        <w:rPr>
          <w:sz w:val="21"/>
        </w:rPr>
      </w:pPr>
      <w:r>
        <w:rPr>
          <w:spacing w:val="-1"/>
          <w:w w:val="33"/>
          <w:sz w:val="21"/>
        </w:rPr>
        <w:t>―</w:t>
      </w:r>
      <w:r>
        <w:rPr>
          <w:spacing w:val="-1"/>
          <w:w w:val="100"/>
          <w:sz w:val="21"/>
        </w:rPr>
        <w:t>33…th</w:t>
      </w:r>
      <w:r>
        <w:rPr>
          <w:w w:val="100"/>
          <w:sz w:val="21"/>
        </w:rPr>
        <w:t>e</w:t>
      </w:r>
      <w:r>
        <w:rPr>
          <w:sz w:val="21"/>
        </w:rPr>
        <w:t> </w:t>
      </w:r>
      <w:r>
        <w:rPr>
          <w:spacing w:val="-12"/>
          <w:sz w:val="21"/>
        </w:rPr>
        <w:t> </w:t>
      </w:r>
      <w:r>
        <w:rPr>
          <w:spacing w:val="-3"/>
          <w:w w:val="100"/>
          <w:sz w:val="21"/>
        </w:rPr>
        <w:t>q</w:t>
      </w:r>
      <w:r>
        <w:rPr>
          <w:spacing w:val="-1"/>
          <w:w w:val="100"/>
          <w:sz w:val="21"/>
        </w:rPr>
        <w:t>uest</w:t>
      </w:r>
      <w:r>
        <w:rPr>
          <w:spacing w:val="-2"/>
          <w:w w:val="100"/>
          <w:sz w:val="21"/>
        </w:rPr>
        <w:t>i</w:t>
      </w:r>
      <w:r>
        <w:rPr>
          <w:spacing w:val="-1"/>
          <w:w w:val="100"/>
          <w:sz w:val="21"/>
        </w:rPr>
        <w:t>o</w:t>
      </w:r>
      <w:r>
        <w:rPr>
          <w:w w:val="100"/>
          <w:sz w:val="21"/>
        </w:rPr>
        <w:t>n</w:t>
      </w:r>
      <w:r>
        <w:rPr>
          <w:sz w:val="21"/>
        </w:rPr>
        <w:t> </w:t>
      </w:r>
      <w:r>
        <w:rPr>
          <w:spacing w:val="-11"/>
          <w:sz w:val="21"/>
        </w:rPr>
        <w:t> </w:t>
      </w:r>
      <w:r>
        <w:rPr>
          <w:spacing w:val="-1"/>
          <w:w w:val="100"/>
          <w:sz w:val="21"/>
        </w:rPr>
        <w:t>b</w:t>
      </w:r>
      <w:r>
        <w:rPr>
          <w:spacing w:val="-3"/>
          <w:w w:val="100"/>
          <w:sz w:val="21"/>
        </w:rPr>
        <w:t>e</w:t>
      </w:r>
      <w:r>
        <w:rPr>
          <w:spacing w:val="1"/>
          <w:w w:val="100"/>
          <w:sz w:val="21"/>
        </w:rPr>
        <w:t>f</w:t>
      </w:r>
      <w:r>
        <w:rPr>
          <w:spacing w:val="-1"/>
          <w:w w:val="100"/>
          <w:sz w:val="21"/>
        </w:rPr>
        <w:t>or</w:t>
      </w:r>
      <w:r>
        <w:rPr>
          <w:w w:val="100"/>
          <w:sz w:val="21"/>
        </w:rPr>
        <w:t>e</w:t>
      </w:r>
      <w:r>
        <w:rPr>
          <w:sz w:val="21"/>
        </w:rPr>
        <w:t> </w:t>
      </w:r>
      <w:r>
        <w:rPr>
          <w:spacing w:val="-12"/>
          <w:sz w:val="21"/>
        </w:rPr>
        <w:t> </w:t>
      </w:r>
      <w:r>
        <w:rPr>
          <w:spacing w:val="-1"/>
          <w:w w:val="100"/>
          <w:sz w:val="21"/>
        </w:rPr>
        <w:t>u</w:t>
      </w:r>
      <w:r>
        <w:rPr>
          <w:w w:val="100"/>
          <w:sz w:val="21"/>
        </w:rPr>
        <w:t>s</w:t>
      </w:r>
      <w:r>
        <w:rPr>
          <w:sz w:val="21"/>
        </w:rPr>
        <w:t> </w:t>
      </w:r>
      <w:r>
        <w:rPr>
          <w:spacing w:val="-12"/>
          <w:sz w:val="21"/>
        </w:rPr>
        <w:t> </w:t>
      </w:r>
      <w:r>
        <w:rPr>
          <w:w w:val="100"/>
          <w:sz w:val="21"/>
        </w:rPr>
        <w:t>is</w:t>
      </w:r>
      <w:r>
        <w:rPr>
          <w:sz w:val="21"/>
        </w:rPr>
        <w:t> </w:t>
      </w:r>
      <w:r>
        <w:rPr>
          <w:spacing w:val="-12"/>
          <w:sz w:val="21"/>
        </w:rPr>
        <w:t> </w:t>
      </w:r>
      <w:r>
        <w:rPr>
          <w:spacing w:val="-2"/>
          <w:w w:val="100"/>
          <w:sz w:val="21"/>
        </w:rPr>
        <w:t>w</w:t>
      </w:r>
      <w:r>
        <w:rPr>
          <w:spacing w:val="-1"/>
          <w:w w:val="100"/>
          <w:sz w:val="21"/>
        </w:rPr>
        <w:t>het</w:t>
      </w:r>
      <w:r>
        <w:rPr>
          <w:spacing w:val="-3"/>
          <w:w w:val="100"/>
          <w:sz w:val="21"/>
        </w:rPr>
        <w:t>h</w:t>
      </w:r>
      <w:r>
        <w:rPr>
          <w:spacing w:val="-1"/>
          <w:w w:val="100"/>
          <w:sz w:val="21"/>
        </w:rPr>
        <w:t>e</w:t>
      </w:r>
      <w:r>
        <w:rPr>
          <w:w w:val="100"/>
          <w:sz w:val="21"/>
        </w:rPr>
        <w:t>r</w:t>
      </w:r>
      <w:r>
        <w:rPr>
          <w:sz w:val="21"/>
        </w:rPr>
        <w:t> </w:t>
      </w:r>
      <w:r>
        <w:rPr>
          <w:spacing w:val="-10"/>
          <w:sz w:val="21"/>
        </w:rPr>
        <w:t> </w:t>
      </w:r>
      <w:r>
        <w:rPr>
          <w:w w:val="100"/>
          <w:sz w:val="21"/>
        </w:rPr>
        <w:t>a</w:t>
      </w:r>
      <w:r>
        <w:rPr>
          <w:sz w:val="21"/>
        </w:rPr>
        <w:t> </w:t>
      </w:r>
      <w:r>
        <w:rPr>
          <w:spacing w:val="-12"/>
          <w:sz w:val="21"/>
        </w:rPr>
        <w:t> </w:t>
      </w:r>
      <w:r>
        <w:rPr>
          <w:spacing w:val="-1"/>
          <w:w w:val="100"/>
          <w:sz w:val="21"/>
        </w:rPr>
        <w:t>per</w:t>
      </w:r>
      <w:r>
        <w:rPr>
          <w:spacing w:val="-3"/>
          <w:w w:val="100"/>
          <w:sz w:val="21"/>
        </w:rPr>
        <w:t>s</w:t>
      </w:r>
      <w:r>
        <w:rPr>
          <w:spacing w:val="-1"/>
          <w:w w:val="100"/>
          <w:sz w:val="21"/>
        </w:rPr>
        <w:t>o</w:t>
      </w:r>
      <w:r>
        <w:rPr>
          <w:w w:val="100"/>
          <w:sz w:val="21"/>
        </w:rPr>
        <w:t>n</w:t>
      </w:r>
      <w:r>
        <w:rPr>
          <w:sz w:val="21"/>
        </w:rPr>
        <w:t> </w:t>
      </w:r>
      <w:r>
        <w:rPr>
          <w:spacing w:val="-12"/>
          <w:sz w:val="21"/>
        </w:rPr>
        <w:t> </w:t>
      </w:r>
      <w:r>
        <w:rPr>
          <w:spacing w:val="-2"/>
          <w:w w:val="100"/>
          <w:sz w:val="21"/>
        </w:rPr>
        <w:t>w</w:t>
      </w:r>
      <w:r>
        <w:rPr>
          <w:spacing w:val="-1"/>
          <w:w w:val="100"/>
          <w:sz w:val="21"/>
        </w:rPr>
        <w:t>h</w:t>
      </w:r>
      <w:r>
        <w:rPr>
          <w:w w:val="100"/>
          <w:sz w:val="21"/>
        </w:rPr>
        <w:t>o</w:t>
      </w:r>
      <w:r>
        <w:rPr>
          <w:sz w:val="21"/>
        </w:rPr>
        <w:t> </w:t>
      </w:r>
      <w:r>
        <w:rPr>
          <w:spacing w:val="-11"/>
          <w:sz w:val="21"/>
        </w:rPr>
        <w:t> </w:t>
      </w:r>
      <w:r>
        <w:rPr>
          <w:spacing w:val="-1"/>
          <w:w w:val="100"/>
          <w:sz w:val="21"/>
        </w:rPr>
        <w:t>h</w:t>
      </w:r>
      <w:r>
        <w:rPr>
          <w:spacing w:val="-3"/>
          <w:w w:val="100"/>
          <w:sz w:val="21"/>
        </w:rPr>
        <w:t>a</w:t>
      </w:r>
      <w:r>
        <w:rPr>
          <w:w w:val="100"/>
          <w:sz w:val="21"/>
        </w:rPr>
        <w:t>s </w:t>
      </w:r>
      <w:r>
        <w:rPr>
          <w:sz w:val="21"/>
        </w:rPr>
        <w:t>been in </w:t>
      </w:r>
      <w:r>
        <w:rPr>
          <w:i/>
          <w:sz w:val="21"/>
        </w:rPr>
        <w:t>de facto </w:t>
      </w:r>
      <w:r>
        <w:rPr>
          <w:sz w:val="21"/>
        </w:rPr>
        <w:t>possession and management of the Asthan and its properties from 1934 to 1941 (and thereafter up-to- date) claiming to be its trustee under the decree of a court, valid or invalid has not sufficient interest to</w:t>
      </w:r>
      <w:r>
        <w:rPr>
          <w:spacing w:val="8"/>
          <w:sz w:val="21"/>
        </w:rPr>
        <w:t> </w:t>
      </w:r>
      <w:r>
        <w:rPr>
          <w:sz w:val="21"/>
        </w:rPr>
        <w:t>maintain</w:t>
      </w:r>
    </w:p>
    <w:p>
      <w:pPr>
        <w:spacing w:after="0" w:line="276" w:lineRule="auto"/>
        <w:jc w:val="both"/>
        <w:rPr>
          <w:sz w:val="21"/>
        </w:rPr>
        <w:sectPr>
          <w:headerReference w:type="default" r:id="rId134"/>
          <w:footerReference w:type="default" r:id="rId135"/>
          <w:pgSz w:w="11910" w:h="16840"/>
          <w:pgMar w:header="721" w:footer="1566" w:top="1300" w:bottom="1760" w:left="940" w:right="1000"/>
          <w:pgNumType w:start="234"/>
        </w:sectPr>
      </w:pPr>
    </w:p>
    <w:p>
      <w:pPr>
        <w:spacing w:line="276" w:lineRule="auto" w:before="122"/>
        <w:ind w:left="1940" w:right="2263" w:firstLine="0"/>
        <w:jc w:val="both"/>
        <w:rPr>
          <w:sz w:val="21"/>
        </w:rPr>
      </w:pPr>
      <w:r>
        <w:rPr>
          <w:sz w:val="21"/>
        </w:rPr>
        <w:t>proceedings for the warding off of a cloud cast by the defendant‘s actions against the interests of the Asthan…‖</w:t>
      </w:r>
    </w:p>
    <w:p>
      <w:pPr>
        <w:pStyle w:val="BodyText"/>
        <w:spacing w:before="2"/>
        <w:rPr>
          <w:sz w:val="24"/>
        </w:rPr>
      </w:pPr>
    </w:p>
    <w:p>
      <w:pPr>
        <w:spacing w:line="276" w:lineRule="auto" w:before="0"/>
        <w:ind w:left="1940" w:right="2261" w:firstLine="0"/>
        <w:jc w:val="both"/>
        <w:rPr>
          <w:sz w:val="21"/>
        </w:rPr>
      </w:pPr>
      <w:r>
        <w:rPr>
          <w:spacing w:val="-1"/>
          <w:w w:val="33"/>
          <w:sz w:val="21"/>
        </w:rPr>
        <w:t>―</w:t>
      </w:r>
      <w:r>
        <w:rPr>
          <w:spacing w:val="-1"/>
          <w:w w:val="100"/>
          <w:sz w:val="21"/>
        </w:rPr>
        <w:t>34.</w:t>
      </w:r>
      <w:r>
        <w:rPr>
          <w:spacing w:val="-2"/>
          <w:w w:val="100"/>
          <w:sz w:val="21"/>
        </w:rPr>
        <w:t>.w</w:t>
      </w:r>
      <w:r>
        <w:rPr>
          <w:spacing w:val="-1"/>
          <w:w w:val="100"/>
          <w:sz w:val="21"/>
        </w:rPr>
        <w:t>her</w:t>
      </w:r>
      <w:r>
        <w:rPr>
          <w:w w:val="100"/>
          <w:sz w:val="21"/>
        </w:rPr>
        <w:t>e</w:t>
      </w:r>
      <w:r>
        <w:rPr>
          <w:spacing w:val="13"/>
          <w:sz w:val="21"/>
        </w:rPr>
        <w:t> </w:t>
      </w:r>
      <w:r>
        <w:rPr>
          <w:spacing w:val="-1"/>
          <w:w w:val="100"/>
          <w:sz w:val="21"/>
        </w:rPr>
        <w:t>p</w:t>
      </w:r>
      <w:r>
        <w:rPr>
          <w:spacing w:val="-3"/>
          <w:w w:val="100"/>
          <w:sz w:val="21"/>
        </w:rPr>
        <w:t>u</w:t>
      </w:r>
      <w:r>
        <w:rPr>
          <w:spacing w:val="-1"/>
          <w:w w:val="100"/>
          <w:sz w:val="21"/>
        </w:rPr>
        <w:t>b</w:t>
      </w:r>
      <w:r>
        <w:rPr>
          <w:spacing w:val="-2"/>
          <w:w w:val="100"/>
          <w:sz w:val="21"/>
        </w:rPr>
        <w:t>l</w:t>
      </w:r>
      <w:r>
        <w:rPr>
          <w:w w:val="100"/>
          <w:sz w:val="21"/>
        </w:rPr>
        <w:t>ic</w:t>
      </w:r>
      <w:r>
        <w:rPr>
          <w:spacing w:val="13"/>
          <w:sz w:val="21"/>
        </w:rPr>
        <w:t> </w:t>
      </w:r>
      <w:r>
        <w:rPr>
          <w:spacing w:val="-2"/>
          <w:w w:val="100"/>
          <w:sz w:val="21"/>
        </w:rPr>
        <w:t>t</w:t>
      </w:r>
      <w:r>
        <w:rPr>
          <w:spacing w:val="-1"/>
          <w:w w:val="100"/>
          <w:sz w:val="21"/>
        </w:rPr>
        <w:t>rust</w:t>
      </w:r>
      <w:r>
        <w:rPr>
          <w:w w:val="100"/>
          <w:sz w:val="21"/>
        </w:rPr>
        <w:t>s</w:t>
      </w:r>
      <w:r>
        <w:rPr>
          <w:spacing w:val="13"/>
          <w:sz w:val="21"/>
        </w:rPr>
        <w:t> </w:t>
      </w:r>
      <w:r>
        <w:rPr>
          <w:spacing w:val="-3"/>
          <w:w w:val="100"/>
          <w:sz w:val="21"/>
        </w:rPr>
        <w:t>a</w:t>
      </w:r>
      <w:r>
        <w:rPr>
          <w:spacing w:val="-1"/>
          <w:w w:val="100"/>
          <w:sz w:val="21"/>
        </w:rPr>
        <w:t>r</w:t>
      </w:r>
      <w:r>
        <w:rPr>
          <w:w w:val="100"/>
          <w:sz w:val="21"/>
        </w:rPr>
        <w:t>e</w:t>
      </w:r>
      <w:r>
        <w:rPr>
          <w:spacing w:val="13"/>
          <w:sz w:val="21"/>
        </w:rPr>
        <w:t> </w:t>
      </w:r>
      <w:r>
        <w:rPr>
          <w:w w:val="100"/>
          <w:sz w:val="21"/>
        </w:rPr>
        <w:t>con</w:t>
      </w:r>
      <w:r>
        <w:rPr>
          <w:spacing w:val="-3"/>
          <w:w w:val="100"/>
          <w:sz w:val="21"/>
        </w:rPr>
        <w:t>c</w:t>
      </w:r>
      <w:r>
        <w:rPr>
          <w:spacing w:val="-1"/>
          <w:w w:val="100"/>
          <w:sz w:val="21"/>
        </w:rPr>
        <w:t>ern</w:t>
      </w:r>
      <w:r>
        <w:rPr>
          <w:spacing w:val="-3"/>
          <w:w w:val="100"/>
          <w:sz w:val="21"/>
        </w:rPr>
        <w:t>e</w:t>
      </w:r>
      <w:r>
        <w:rPr>
          <w:spacing w:val="-1"/>
          <w:w w:val="100"/>
          <w:sz w:val="21"/>
        </w:rPr>
        <w:t>d</w:t>
      </w:r>
      <w:r>
        <w:rPr>
          <w:w w:val="100"/>
          <w:sz w:val="21"/>
        </w:rPr>
        <w:t>,</w:t>
      </w:r>
      <w:r>
        <w:rPr>
          <w:spacing w:val="12"/>
          <w:sz w:val="21"/>
        </w:rPr>
        <w:t> </w:t>
      </w:r>
      <w:r>
        <w:rPr>
          <w:w w:val="100"/>
          <w:sz w:val="21"/>
        </w:rPr>
        <w:t>cour</w:t>
      </w:r>
      <w:r>
        <w:rPr>
          <w:spacing w:val="-2"/>
          <w:w w:val="100"/>
          <w:sz w:val="21"/>
        </w:rPr>
        <w:t>t</w:t>
      </w:r>
      <w:r>
        <w:rPr>
          <w:w w:val="100"/>
          <w:sz w:val="21"/>
        </w:rPr>
        <w:t>s</w:t>
      </w:r>
      <w:r>
        <w:rPr>
          <w:spacing w:val="13"/>
          <w:sz w:val="21"/>
        </w:rPr>
        <w:t> </w:t>
      </w:r>
      <w:r>
        <w:rPr>
          <w:spacing w:val="-3"/>
          <w:w w:val="100"/>
          <w:sz w:val="21"/>
        </w:rPr>
        <w:t>h</w:t>
      </w:r>
      <w:r>
        <w:rPr>
          <w:spacing w:val="-1"/>
          <w:w w:val="100"/>
          <w:sz w:val="21"/>
        </w:rPr>
        <w:t>a</w:t>
      </w:r>
      <w:r>
        <w:rPr>
          <w:spacing w:val="-3"/>
          <w:w w:val="100"/>
          <w:sz w:val="21"/>
        </w:rPr>
        <w:t>v</w:t>
      </w:r>
      <w:r>
        <w:rPr>
          <w:w w:val="100"/>
          <w:sz w:val="21"/>
        </w:rPr>
        <w:t>e</w:t>
      </w:r>
      <w:r>
        <w:rPr>
          <w:spacing w:val="13"/>
          <w:sz w:val="21"/>
        </w:rPr>
        <w:t> </w:t>
      </w:r>
      <w:r>
        <w:rPr>
          <w:w w:val="100"/>
          <w:sz w:val="21"/>
        </w:rPr>
        <w:t>a</w:t>
      </w:r>
      <w:r>
        <w:rPr>
          <w:spacing w:val="13"/>
          <w:sz w:val="21"/>
        </w:rPr>
        <w:t> </w:t>
      </w:r>
      <w:r>
        <w:rPr>
          <w:spacing w:val="-1"/>
          <w:w w:val="100"/>
          <w:sz w:val="21"/>
        </w:rPr>
        <w:t>dut</w:t>
      </w:r>
      <w:r>
        <w:rPr>
          <w:w w:val="100"/>
          <w:sz w:val="21"/>
        </w:rPr>
        <w:t>y</w:t>
      </w:r>
      <w:r>
        <w:rPr>
          <w:spacing w:val="11"/>
          <w:sz w:val="21"/>
        </w:rPr>
        <w:t> </w:t>
      </w:r>
      <w:r>
        <w:rPr>
          <w:spacing w:val="-2"/>
          <w:w w:val="100"/>
          <w:sz w:val="21"/>
        </w:rPr>
        <w:t>t</w:t>
      </w:r>
      <w:r>
        <w:rPr>
          <w:w w:val="100"/>
          <w:sz w:val="21"/>
        </w:rPr>
        <w:t>o </w:t>
      </w:r>
      <w:r>
        <w:rPr>
          <w:sz w:val="21"/>
        </w:rPr>
        <w:t>see that their interests and the interests for whose benefit they exist are safeguarded…We consider that, in view of Ram Sarup Das‘s long management and possession as Mahant and in view of the fact that he is purporting to act on its behalf and for its interest, it is proper that he should be allowed to continue to act on behalf of the trust until his title in investigated in appropriate proceedings and that this Court should grant a decree in his favour in these proceedings for the benefit of the</w:t>
      </w:r>
      <w:r>
        <w:rPr>
          <w:spacing w:val="-6"/>
          <w:sz w:val="21"/>
        </w:rPr>
        <w:t> </w:t>
      </w:r>
      <w:r>
        <w:rPr>
          <w:sz w:val="21"/>
        </w:rPr>
        <w:t>trust.‖</w:t>
      </w:r>
    </w:p>
    <w:p>
      <w:pPr>
        <w:pStyle w:val="BodyText"/>
        <w:rPr>
          <w:sz w:val="24"/>
        </w:rPr>
      </w:pPr>
    </w:p>
    <w:p>
      <w:pPr>
        <w:pStyle w:val="BodyText"/>
        <w:spacing w:before="2"/>
        <w:rPr>
          <w:sz w:val="26"/>
        </w:rPr>
      </w:pPr>
    </w:p>
    <w:p>
      <w:pPr>
        <w:pStyle w:val="BodyText"/>
        <w:spacing w:line="480" w:lineRule="auto"/>
        <w:ind w:left="500" w:right="442"/>
        <w:jc w:val="both"/>
      </w:pPr>
      <w:r>
        <w:rPr/>
        <w:t>The Court affirmed that it is only for the paramount interest of the institution that the right of suit is conceded to persons acting as managers though lacking a legal title of a manager. The long management and possession of the claimant in the case vested in him a right to act on behalf of the deity to protect its interests.</w:t>
      </w:r>
    </w:p>
    <w:p>
      <w:pPr>
        <w:pStyle w:val="BodyText"/>
        <w:rPr>
          <w:sz w:val="28"/>
        </w:rPr>
      </w:pPr>
    </w:p>
    <w:p>
      <w:pPr>
        <w:pStyle w:val="ListParagraph"/>
        <w:numPr>
          <w:ilvl w:val="0"/>
          <w:numId w:val="111"/>
        </w:numPr>
        <w:tabs>
          <w:tab w:pos="1221" w:val="left" w:leader="none"/>
        </w:tabs>
        <w:spacing w:line="480" w:lineRule="auto" w:before="240" w:after="0"/>
        <w:ind w:left="500" w:right="435" w:firstLine="0"/>
        <w:jc w:val="both"/>
        <w:rPr>
          <w:sz w:val="25"/>
        </w:rPr>
      </w:pPr>
      <w:r>
        <w:rPr>
          <w:sz w:val="25"/>
        </w:rPr>
        <w:t>In </w:t>
      </w:r>
      <w:r>
        <w:rPr>
          <w:b/>
          <w:sz w:val="25"/>
        </w:rPr>
        <w:t>Sree Sree Kalimata Thakurani of Kalighat </w:t>
      </w:r>
      <w:r>
        <w:rPr>
          <w:sz w:val="25"/>
        </w:rPr>
        <w:t>v </w:t>
      </w:r>
      <w:r>
        <w:rPr>
          <w:b/>
          <w:sz w:val="25"/>
        </w:rPr>
        <w:t>Jibandhan Mukherjee</w:t>
      </w:r>
      <w:r>
        <w:rPr>
          <w:sz w:val="25"/>
          <w:vertAlign w:val="superscript"/>
        </w:rPr>
        <w:t>235</w:t>
      </w:r>
      <w:r>
        <w:rPr>
          <w:sz w:val="25"/>
          <w:vertAlign w:val="baseline"/>
        </w:rPr>
        <w:t>, a suit was instituted under Section 92 of the Code of Civil Procedure 1908 for the framing of a scheme for the proper management of the seva-puja of the Sree Kali Mata Thakurani and her associated deities and for the proper management of the vested properties. A scheme was framed and subsequently challenged on the ground that the inclusion of </w:t>
      </w:r>
      <w:r>
        <w:rPr>
          <w:i/>
          <w:sz w:val="25"/>
          <w:vertAlign w:val="baseline"/>
        </w:rPr>
        <w:t>de facto </w:t>
      </w:r>
      <w:r>
        <w:rPr>
          <w:sz w:val="25"/>
          <w:vertAlign w:val="baseline"/>
        </w:rPr>
        <w:t>shebaits in the management committee in the scheme was impermissible. Justice JR Mudholkar, speaking for a Constitution Bench of this Court rejected this contention and</w:t>
      </w:r>
      <w:r>
        <w:rPr>
          <w:spacing w:val="-2"/>
          <w:sz w:val="25"/>
          <w:vertAlign w:val="baseline"/>
        </w:rPr>
        <w:t> </w:t>
      </w:r>
      <w:r>
        <w:rPr>
          <w:sz w:val="25"/>
          <w:vertAlign w:val="baseline"/>
        </w:rPr>
        <w:t>held:</w:t>
      </w:r>
    </w:p>
    <w:p>
      <w:pPr>
        <w:spacing w:line="276" w:lineRule="auto" w:before="163"/>
        <w:ind w:left="1940" w:right="2261" w:firstLine="0"/>
        <w:jc w:val="both"/>
        <w:rPr>
          <w:sz w:val="21"/>
        </w:rPr>
      </w:pPr>
      <w:r>
        <w:rPr>
          <w:spacing w:val="-6"/>
          <w:w w:val="33"/>
          <w:sz w:val="21"/>
        </w:rPr>
        <w:t>―</w:t>
      </w:r>
      <w:r>
        <w:rPr>
          <w:spacing w:val="6"/>
          <w:w w:val="100"/>
          <w:sz w:val="21"/>
        </w:rPr>
        <w:t>W</w:t>
      </w:r>
      <w:r>
        <w:rPr>
          <w:spacing w:val="-3"/>
          <w:w w:val="100"/>
          <w:sz w:val="21"/>
        </w:rPr>
        <w:t>h</w:t>
      </w:r>
      <w:r>
        <w:rPr>
          <w:spacing w:val="-1"/>
          <w:w w:val="100"/>
          <w:sz w:val="21"/>
        </w:rPr>
        <w:t>ate</w:t>
      </w:r>
      <w:r>
        <w:rPr>
          <w:spacing w:val="-3"/>
          <w:w w:val="100"/>
          <w:sz w:val="21"/>
        </w:rPr>
        <w:t>v</w:t>
      </w:r>
      <w:r>
        <w:rPr>
          <w:spacing w:val="-1"/>
          <w:w w:val="100"/>
          <w:sz w:val="21"/>
        </w:rPr>
        <w:t>e</w:t>
      </w:r>
      <w:r>
        <w:rPr>
          <w:w w:val="100"/>
          <w:sz w:val="21"/>
        </w:rPr>
        <w:t>r</w:t>
      </w:r>
      <w:r>
        <w:rPr>
          <w:sz w:val="21"/>
        </w:rPr>
        <w:t> </w:t>
      </w:r>
      <w:r>
        <w:rPr>
          <w:spacing w:val="-17"/>
          <w:sz w:val="21"/>
        </w:rPr>
        <w:t> </w:t>
      </w:r>
      <w:r>
        <w:rPr>
          <w:spacing w:val="-2"/>
          <w:w w:val="100"/>
          <w:sz w:val="21"/>
        </w:rPr>
        <w:t>t</w:t>
      </w:r>
      <w:r>
        <w:rPr>
          <w:spacing w:val="-1"/>
          <w:w w:val="100"/>
          <w:sz w:val="21"/>
        </w:rPr>
        <w:t>ha</w:t>
      </w:r>
      <w:r>
        <w:rPr>
          <w:w w:val="100"/>
          <w:sz w:val="21"/>
        </w:rPr>
        <w:t>t</w:t>
      </w:r>
      <w:r>
        <w:rPr>
          <w:sz w:val="21"/>
        </w:rPr>
        <w:t> </w:t>
      </w:r>
      <w:r>
        <w:rPr>
          <w:spacing w:val="-20"/>
          <w:sz w:val="21"/>
        </w:rPr>
        <w:t> </w:t>
      </w:r>
      <w:r>
        <w:rPr>
          <w:spacing w:val="-1"/>
          <w:w w:val="100"/>
          <w:sz w:val="21"/>
        </w:rPr>
        <w:t>ma</w:t>
      </w:r>
      <w:r>
        <w:rPr>
          <w:w w:val="100"/>
          <w:sz w:val="21"/>
        </w:rPr>
        <w:t>y</w:t>
      </w:r>
      <w:r>
        <w:rPr>
          <w:sz w:val="21"/>
        </w:rPr>
        <w:t> </w:t>
      </w:r>
      <w:r>
        <w:rPr>
          <w:spacing w:val="-19"/>
          <w:sz w:val="21"/>
        </w:rPr>
        <w:t> </w:t>
      </w:r>
      <w:r>
        <w:rPr>
          <w:spacing w:val="-1"/>
          <w:w w:val="100"/>
          <w:sz w:val="21"/>
        </w:rPr>
        <w:t>be</w:t>
      </w:r>
      <w:r>
        <w:rPr>
          <w:w w:val="100"/>
          <w:sz w:val="21"/>
        </w:rPr>
        <w:t>,</w:t>
      </w:r>
      <w:r>
        <w:rPr>
          <w:sz w:val="21"/>
        </w:rPr>
        <w:t> </w:t>
      </w:r>
      <w:r>
        <w:rPr>
          <w:spacing w:val="-20"/>
          <w:sz w:val="21"/>
        </w:rPr>
        <w:t> </w:t>
      </w:r>
      <w:r>
        <w:rPr>
          <w:spacing w:val="-2"/>
          <w:w w:val="100"/>
          <w:sz w:val="21"/>
        </w:rPr>
        <w:t>w</w:t>
      </w:r>
      <w:r>
        <w:rPr>
          <w:w w:val="100"/>
          <w:sz w:val="21"/>
        </w:rPr>
        <w:t>e</w:t>
      </w:r>
      <w:r>
        <w:rPr>
          <w:sz w:val="21"/>
        </w:rPr>
        <w:t> </w:t>
      </w:r>
      <w:r>
        <w:rPr>
          <w:spacing w:val="-17"/>
          <w:sz w:val="21"/>
        </w:rPr>
        <w:t> </w:t>
      </w:r>
      <w:r>
        <w:rPr>
          <w:w w:val="100"/>
          <w:sz w:val="21"/>
        </w:rPr>
        <w:t>ca</w:t>
      </w:r>
      <w:r>
        <w:rPr>
          <w:spacing w:val="-3"/>
          <w:w w:val="100"/>
          <w:sz w:val="21"/>
        </w:rPr>
        <w:t>n</w:t>
      </w:r>
      <w:r>
        <w:rPr>
          <w:spacing w:val="-1"/>
          <w:w w:val="100"/>
          <w:sz w:val="21"/>
        </w:rPr>
        <w:t>no</w:t>
      </w:r>
      <w:r>
        <w:rPr>
          <w:w w:val="100"/>
          <w:sz w:val="21"/>
        </w:rPr>
        <w:t>t</w:t>
      </w:r>
      <w:r>
        <w:rPr>
          <w:sz w:val="21"/>
        </w:rPr>
        <w:t> </w:t>
      </w:r>
      <w:r>
        <w:rPr>
          <w:spacing w:val="-20"/>
          <w:sz w:val="21"/>
        </w:rPr>
        <w:t> </w:t>
      </w:r>
      <w:r>
        <w:rPr>
          <w:w w:val="100"/>
          <w:sz w:val="21"/>
        </w:rPr>
        <w:t>i</w:t>
      </w:r>
      <w:r>
        <w:rPr>
          <w:spacing w:val="-3"/>
          <w:w w:val="100"/>
          <w:sz w:val="21"/>
        </w:rPr>
        <w:t>g</w:t>
      </w:r>
      <w:r>
        <w:rPr>
          <w:spacing w:val="-1"/>
          <w:w w:val="100"/>
          <w:sz w:val="21"/>
        </w:rPr>
        <w:t>nor</w:t>
      </w:r>
      <w:r>
        <w:rPr>
          <w:w w:val="100"/>
          <w:sz w:val="21"/>
        </w:rPr>
        <w:t>e</w:t>
      </w:r>
      <w:r>
        <w:rPr>
          <w:sz w:val="21"/>
        </w:rPr>
        <w:t> </w:t>
      </w:r>
      <w:r>
        <w:rPr>
          <w:spacing w:val="-17"/>
          <w:sz w:val="21"/>
        </w:rPr>
        <w:t> </w:t>
      </w:r>
      <w:r>
        <w:rPr>
          <w:spacing w:val="-4"/>
          <w:w w:val="100"/>
          <w:sz w:val="21"/>
        </w:rPr>
        <w:t>t</w:t>
      </w:r>
      <w:r>
        <w:rPr>
          <w:spacing w:val="-1"/>
          <w:w w:val="100"/>
          <w:sz w:val="21"/>
        </w:rPr>
        <w:t>h</w:t>
      </w:r>
      <w:r>
        <w:rPr>
          <w:w w:val="100"/>
          <w:sz w:val="21"/>
        </w:rPr>
        <w:t>e</w:t>
      </w:r>
      <w:r>
        <w:rPr>
          <w:sz w:val="21"/>
        </w:rPr>
        <w:t> </w:t>
      </w:r>
      <w:r>
        <w:rPr>
          <w:spacing w:val="-19"/>
          <w:sz w:val="21"/>
        </w:rPr>
        <w:t> </w:t>
      </w:r>
      <w:r>
        <w:rPr>
          <w:spacing w:val="1"/>
          <w:w w:val="100"/>
          <w:sz w:val="21"/>
        </w:rPr>
        <w:t>f</w:t>
      </w:r>
      <w:r>
        <w:rPr>
          <w:spacing w:val="-3"/>
          <w:w w:val="100"/>
          <w:sz w:val="21"/>
        </w:rPr>
        <w:t>ac</w:t>
      </w:r>
      <w:r>
        <w:rPr>
          <w:w w:val="100"/>
          <w:sz w:val="21"/>
        </w:rPr>
        <w:t>t</w:t>
      </w:r>
      <w:r>
        <w:rPr>
          <w:sz w:val="21"/>
        </w:rPr>
        <w:t> </w:t>
      </w:r>
      <w:r>
        <w:rPr>
          <w:spacing w:val="-18"/>
          <w:sz w:val="21"/>
        </w:rPr>
        <w:t> </w:t>
      </w:r>
      <w:r>
        <w:rPr>
          <w:spacing w:val="-2"/>
          <w:w w:val="100"/>
          <w:sz w:val="21"/>
        </w:rPr>
        <w:t>t</w:t>
      </w:r>
      <w:r>
        <w:rPr>
          <w:spacing w:val="-1"/>
          <w:w w:val="100"/>
          <w:sz w:val="21"/>
        </w:rPr>
        <w:t>ha</w:t>
      </w:r>
      <w:r>
        <w:rPr>
          <w:w w:val="100"/>
          <w:sz w:val="21"/>
        </w:rPr>
        <w:t>t</w:t>
      </w:r>
      <w:r>
        <w:rPr>
          <w:sz w:val="21"/>
        </w:rPr>
        <w:t> </w:t>
      </w:r>
      <w:r>
        <w:rPr>
          <w:spacing w:val="-18"/>
          <w:sz w:val="21"/>
        </w:rPr>
        <w:t> </w:t>
      </w:r>
      <w:r>
        <w:rPr>
          <w:spacing w:val="-2"/>
          <w:w w:val="100"/>
          <w:sz w:val="21"/>
        </w:rPr>
        <w:t>t</w:t>
      </w:r>
      <w:r>
        <w:rPr>
          <w:spacing w:val="-1"/>
          <w:w w:val="100"/>
          <w:sz w:val="21"/>
        </w:rPr>
        <w:t>he </w:t>
      </w:r>
      <w:r>
        <w:rPr>
          <w:sz w:val="21"/>
        </w:rPr>
        <w:t>present predecessors have been functioning as shebaits for a very long period and their rights in that regard have not been called</w:t>
      </w:r>
      <w:r>
        <w:rPr>
          <w:spacing w:val="27"/>
          <w:sz w:val="21"/>
        </w:rPr>
        <w:t> </w:t>
      </w:r>
      <w:r>
        <w:rPr>
          <w:sz w:val="21"/>
        </w:rPr>
        <w:t>into</w:t>
      </w:r>
      <w:r>
        <w:rPr>
          <w:spacing w:val="31"/>
          <w:sz w:val="21"/>
        </w:rPr>
        <w:t> </w:t>
      </w:r>
      <w:r>
        <w:rPr>
          <w:sz w:val="21"/>
        </w:rPr>
        <w:t>question</w:t>
      </w:r>
      <w:r>
        <w:rPr>
          <w:spacing w:val="30"/>
          <w:sz w:val="21"/>
        </w:rPr>
        <w:t> </w:t>
      </w:r>
      <w:r>
        <w:rPr>
          <w:sz w:val="21"/>
        </w:rPr>
        <w:t>ever</w:t>
      </w:r>
      <w:r>
        <w:rPr>
          <w:spacing w:val="29"/>
          <w:sz w:val="21"/>
        </w:rPr>
        <w:t> </w:t>
      </w:r>
      <w:r>
        <w:rPr>
          <w:sz w:val="21"/>
        </w:rPr>
        <w:t>before</w:t>
      </w:r>
      <w:r>
        <w:rPr>
          <w:i/>
          <w:sz w:val="21"/>
        </w:rPr>
        <w:t>.</w:t>
      </w:r>
      <w:r>
        <w:rPr>
          <w:i/>
          <w:spacing w:val="29"/>
          <w:sz w:val="21"/>
        </w:rPr>
        <w:t> </w:t>
      </w:r>
      <w:r>
        <w:rPr>
          <w:sz w:val="21"/>
        </w:rPr>
        <w:t>In</w:t>
      </w:r>
      <w:r>
        <w:rPr>
          <w:spacing w:val="30"/>
          <w:sz w:val="21"/>
        </w:rPr>
        <w:t> </w:t>
      </w:r>
      <w:r>
        <w:rPr>
          <w:sz w:val="21"/>
        </w:rPr>
        <w:t>these</w:t>
      </w:r>
      <w:r>
        <w:rPr>
          <w:spacing w:val="31"/>
          <w:sz w:val="21"/>
        </w:rPr>
        <w:t> </w:t>
      </w:r>
      <w:r>
        <w:rPr>
          <w:sz w:val="21"/>
        </w:rPr>
        <w:t>circumstances</w:t>
      </w:r>
      <w:r>
        <w:rPr>
          <w:spacing w:val="30"/>
          <w:sz w:val="21"/>
        </w:rPr>
        <w:t> </w:t>
      </w:r>
      <w:r>
        <w:rPr>
          <w:sz w:val="21"/>
        </w:rPr>
        <w:t>we</w:t>
      </w:r>
    </w:p>
    <w:p>
      <w:pPr>
        <w:spacing w:after="0" w:line="276" w:lineRule="auto"/>
        <w:jc w:val="both"/>
        <w:rPr>
          <w:sz w:val="21"/>
        </w:rPr>
        <w:sectPr>
          <w:headerReference w:type="default" r:id="rId136"/>
          <w:footerReference w:type="default" r:id="rId137"/>
          <w:pgSz w:w="11910" w:h="16840"/>
          <w:pgMar w:header="721" w:footer="1566" w:top="1300" w:bottom="1760" w:left="940" w:right="1000"/>
        </w:sectPr>
      </w:pPr>
    </w:p>
    <w:p>
      <w:pPr>
        <w:spacing w:line="276" w:lineRule="auto" w:before="122"/>
        <w:ind w:left="1940" w:right="2266" w:firstLine="0"/>
        <w:jc w:val="both"/>
        <w:rPr>
          <w:sz w:val="21"/>
        </w:rPr>
      </w:pPr>
      <w:r>
        <w:rPr>
          <w:sz w:val="21"/>
        </w:rPr>
        <w:t>cannot accept the contention of the learned counsel that they should be completely excluded from the management of the temple.‖</w:t>
      </w:r>
    </w:p>
    <w:p>
      <w:pPr>
        <w:pStyle w:val="BodyText"/>
        <w:rPr>
          <w:sz w:val="24"/>
        </w:rPr>
      </w:pPr>
    </w:p>
    <w:p>
      <w:pPr>
        <w:pStyle w:val="BodyText"/>
        <w:spacing w:before="4"/>
        <w:rPr>
          <w:sz w:val="24"/>
        </w:rPr>
      </w:pPr>
    </w:p>
    <w:p>
      <w:pPr>
        <w:pStyle w:val="BodyText"/>
        <w:spacing w:line="480" w:lineRule="auto"/>
        <w:ind w:left="500" w:right="441"/>
        <w:jc w:val="both"/>
      </w:pPr>
      <w:r>
        <w:rPr/>
        <w:t>In crafting the relief, the Court was mindful of the long exercise of rights by those acting as shebaits. The initial scheme framed by the High Court comprised eighteen members on the managerial board of which twelve were shebaits. The Court modified this to a Board of eleven members, with five shebaits and a majority of Hindus who were not shebaits.</w:t>
      </w:r>
    </w:p>
    <w:p>
      <w:pPr>
        <w:pStyle w:val="BodyText"/>
        <w:spacing w:before="1"/>
        <w:rPr>
          <w:sz w:val="24"/>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The protection of the trust property is of paramount importance. It is for this reason that the right to institute proceedings is conceded to persons acting as managers though lacking a legal title of a manager. A person claiming to be a </w:t>
      </w:r>
      <w:r>
        <w:rPr>
          <w:i/>
          <w:sz w:val="25"/>
        </w:rPr>
        <w:t>de </w:t>
      </w:r>
      <w:r>
        <w:rPr>
          <w:i/>
          <w:sz w:val="25"/>
        </w:rPr>
        <w:t>facto </w:t>
      </w:r>
      <w:r>
        <w:rPr>
          <w:sz w:val="25"/>
        </w:rPr>
        <w:t>shebait can never set up a claim adverse to that of the idol and claim a proprietary interest in the debutter property. Where a person claims to be the </w:t>
      </w:r>
      <w:r>
        <w:rPr>
          <w:i/>
          <w:sz w:val="25"/>
        </w:rPr>
        <w:t>de </w:t>
      </w:r>
      <w:r>
        <w:rPr>
          <w:i/>
          <w:sz w:val="25"/>
        </w:rPr>
        <w:t>facto</w:t>
      </w:r>
      <w:r>
        <w:rPr>
          <w:i/>
          <w:spacing w:val="14"/>
          <w:sz w:val="25"/>
        </w:rPr>
        <w:t> </w:t>
      </w:r>
      <w:r>
        <w:rPr>
          <w:sz w:val="25"/>
        </w:rPr>
        <w:t>shebait,</w:t>
      </w:r>
      <w:r>
        <w:rPr>
          <w:spacing w:val="13"/>
          <w:sz w:val="25"/>
        </w:rPr>
        <w:t> </w:t>
      </w:r>
      <w:r>
        <w:rPr>
          <w:sz w:val="25"/>
        </w:rPr>
        <w:t>the</w:t>
      </w:r>
      <w:r>
        <w:rPr>
          <w:spacing w:val="14"/>
          <w:sz w:val="25"/>
        </w:rPr>
        <w:t> </w:t>
      </w:r>
      <w:r>
        <w:rPr>
          <w:sz w:val="25"/>
        </w:rPr>
        <w:t>right</w:t>
      </w:r>
      <w:r>
        <w:rPr>
          <w:spacing w:val="13"/>
          <w:sz w:val="25"/>
        </w:rPr>
        <w:t> </w:t>
      </w:r>
      <w:r>
        <w:rPr>
          <w:sz w:val="25"/>
        </w:rPr>
        <w:t>is</w:t>
      </w:r>
      <w:r>
        <w:rPr>
          <w:spacing w:val="14"/>
          <w:sz w:val="25"/>
        </w:rPr>
        <w:t> </w:t>
      </w:r>
      <w:r>
        <w:rPr>
          <w:sz w:val="25"/>
        </w:rPr>
        <w:t>premised</w:t>
      </w:r>
      <w:r>
        <w:rPr>
          <w:spacing w:val="13"/>
          <w:sz w:val="25"/>
        </w:rPr>
        <w:t> </w:t>
      </w:r>
      <w:r>
        <w:rPr>
          <w:sz w:val="25"/>
        </w:rPr>
        <w:t>on</w:t>
      </w:r>
      <w:r>
        <w:rPr>
          <w:spacing w:val="13"/>
          <w:sz w:val="25"/>
        </w:rPr>
        <w:t> </w:t>
      </w:r>
      <w:r>
        <w:rPr>
          <w:sz w:val="25"/>
        </w:rPr>
        <w:t>the</w:t>
      </w:r>
      <w:r>
        <w:rPr>
          <w:spacing w:val="16"/>
          <w:sz w:val="25"/>
        </w:rPr>
        <w:t> </w:t>
      </w:r>
      <w:r>
        <w:rPr>
          <w:sz w:val="25"/>
        </w:rPr>
        <w:t>absence</w:t>
      </w:r>
      <w:r>
        <w:rPr>
          <w:spacing w:val="14"/>
          <w:sz w:val="25"/>
        </w:rPr>
        <w:t> </w:t>
      </w:r>
      <w:r>
        <w:rPr>
          <w:sz w:val="25"/>
        </w:rPr>
        <w:t>of</w:t>
      </w:r>
      <w:r>
        <w:rPr>
          <w:spacing w:val="13"/>
          <w:sz w:val="25"/>
        </w:rPr>
        <w:t> </w:t>
      </w:r>
      <w:r>
        <w:rPr>
          <w:sz w:val="25"/>
        </w:rPr>
        <w:t>a</w:t>
      </w:r>
      <w:r>
        <w:rPr>
          <w:spacing w:val="13"/>
          <w:sz w:val="25"/>
        </w:rPr>
        <w:t> </w:t>
      </w:r>
      <w:r>
        <w:rPr>
          <w:sz w:val="25"/>
        </w:rPr>
        <w:t>person</w:t>
      </w:r>
      <w:r>
        <w:rPr>
          <w:spacing w:val="13"/>
          <w:sz w:val="25"/>
        </w:rPr>
        <w:t> </w:t>
      </w:r>
      <w:r>
        <w:rPr>
          <w:sz w:val="25"/>
        </w:rPr>
        <w:t>with</w:t>
      </w:r>
      <w:r>
        <w:rPr>
          <w:spacing w:val="14"/>
          <w:sz w:val="25"/>
        </w:rPr>
        <w:t> </w:t>
      </w:r>
      <w:r>
        <w:rPr>
          <w:sz w:val="25"/>
        </w:rPr>
        <w:t>a</w:t>
      </w:r>
      <w:r>
        <w:rPr>
          <w:spacing w:val="13"/>
          <w:sz w:val="25"/>
        </w:rPr>
        <w:t> </w:t>
      </w:r>
      <w:r>
        <w:rPr>
          <w:sz w:val="25"/>
        </w:rPr>
        <w:t>better</w:t>
      </w:r>
      <w:r>
        <w:rPr>
          <w:spacing w:val="14"/>
          <w:sz w:val="25"/>
        </w:rPr>
        <w:t> </w:t>
      </w:r>
      <w:r>
        <w:rPr>
          <w:sz w:val="25"/>
        </w:rPr>
        <w:t>title</w:t>
      </w:r>
    </w:p>
    <w:p>
      <w:pPr>
        <w:pStyle w:val="BodyText"/>
        <w:spacing w:line="480" w:lineRule="auto"/>
        <w:ind w:left="500" w:right="438"/>
        <w:jc w:val="both"/>
      </w:pPr>
      <w:r>
        <w:rPr/>
        <w:t>i.e. a </w:t>
      </w:r>
      <w:r>
        <w:rPr>
          <w:i/>
        </w:rPr>
        <w:t>de jure </w:t>
      </w:r>
      <w:r>
        <w:rPr/>
        <w:t>manager. It must be shown that the </w:t>
      </w:r>
      <w:r>
        <w:rPr>
          <w:i/>
        </w:rPr>
        <w:t>de facto </w:t>
      </w:r>
      <w:r>
        <w:rPr/>
        <w:t>manager is in exclusive possession of the trust property and exercises complete control over the right of management of the properties without any hindrance from any quarters. The person is, for all practical purposes, recognised as the person in charge of the trust properties. Recognition in public records as the manager would furnish evidence of being recognised as a manager.</w:t>
      </w:r>
    </w:p>
    <w:p>
      <w:pPr>
        <w:pStyle w:val="BodyText"/>
        <w:spacing w:before="11"/>
        <w:rPr>
          <w:sz w:val="38"/>
        </w:rPr>
      </w:pPr>
    </w:p>
    <w:p>
      <w:pPr>
        <w:pStyle w:val="ListParagraph"/>
        <w:numPr>
          <w:ilvl w:val="0"/>
          <w:numId w:val="111"/>
        </w:numPr>
        <w:tabs>
          <w:tab w:pos="1221" w:val="left" w:leader="none"/>
        </w:tabs>
        <w:spacing w:line="480" w:lineRule="auto" w:before="0" w:after="0"/>
        <w:ind w:left="500" w:right="439" w:firstLine="0"/>
        <w:jc w:val="both"/>
        <w:rPr>
          <w:sz w:val="25"/>
        </w:rPr>
      </w:pPr>
      <w:r>
        <w:rPr>
          <w:sz w:val="25"/>
        </w:rPr>
        <w:t>Significantly, a single or stray act of management does not vest a person with the rights of a </w:t>
      </w:r>
      <w:r>
        <w:rPr>
          <w:i/>
          <w:sz w:val="25"/>
        </w:rPr>
        <w:t>de facto </w:t>
      </w:r>
      <w:r>
        <w:rPr>
          <w:sz w:val="25"/>
        </w:rPr>
        <w:t>shebait. The person must demonstrate long, uninterrupted and exclusive possession and management of the property. What period constitutes a sufficient amount is determined on a case to case basis.</w:t>
      </w:r>
      <w:r>
        <w:rPr>
          <w:spacing w:val="57"/>
          <w:sz w:val="25"/>
        </w:rPr>
        <w:t> </w:t>
      </w:r>
      <w:r>
        <w:rPr>
          <w:sz w:val="25"/>
        </w:rPr>
        <w:t>The</w:t>
      </w:r>
    </w:p>
    <w:p>
      <w:pPr>
        <w:spacing w:after="0" w:line="480" w:lineRule="auto"/>
        <w:jc w:val="both"/>
        <w:rPr>
          <w:sz w:val="25"/>
        </w:rPr>
        <w:sectPr>
          <w:headerReference w:type="default" r:id="rId138"/>
          <w:footerReference w:type="default" r:id="rId139"/>
          <w:pgSz w:w="11910" w:h="16840"/>
          <w:pgMar w:header="721" w:footer="1014" w:top="1300" w:bottom="1200" w:left="940" w:right="1000"/>
        </w:sectPr>
      </w:pPr>
    </w:p>
    <w:p>
      <w:pPr>
        <w:pStyle w:val="BodyText"/>
        <w:spacing w:line="480" w:lineRule="auto" w:before="124"/>
        <w:ind w:left="500" w:right="436"/>
        <w:jc w:val="both"/>
      </w:pPr>
      <w:r>
        <w:rPr/>
        <w:t>performance of religious worship as a pujari is not the same as the exercise of the rights of management. A manager may appoint one or several pujaris to conduct the necessary ceremonies. In the ultimate analysis, the right of a person other than a de jure trustee to maintain a suit for possession of trust properties cannot be decided in the abstract and depends upon the facts of each case. The acts which form the basis of the rights claimed as a shebait must be the same as exercised by a </w:t>
      </w:r>
      <w:r>
        <w:rPr>
          <w:i/>
        </w:rPr>
        <w:t>de jure </w:t>
      </w:r>
      <w:r>
        <w:rPr/>
        <w:t>shebait. A </w:t>
      </w:r>
      <w:r>
        <w:rPr>
          <w:i/>
        </w:rPr>
        <w:t>de facto </w:t>
      </w:r>
      <w:r>
        <w:rPr/>
        <w:t>shebait is vested with the right to institute suits on behalf of the deity and bind its estate provided this right is exercised in a </w:t>
      </w:r>
      <w:r>
        <w:rPr>
          <w:i/>
        </w:rPr>
        <w:t>bona fide </w:t>
      </w:r>
      <w:r>
        <w:rPr/>
        <w:t>manner. For this reason, the court must carefully assess whether the acts of management are exclusive, uninterrupted and continuous over a sufficient period of</w:t>
      </w:r>
      <w:r>
        <w:rPr>
          <w:spacing w:val="2"/>
        </w:rPr>
        <w:t> </w:t>
      </w:r>
      <w:r>
        <w:rPr/>
        <w:t>time.</w:t>
      </w:r>
    </w:p>
    <w:p>
      <w:pPr>
        <w:pStyle w:val="BodyText"/>
        <w:rPr>
          <w:sz w:val="28"/>
        </w:rPr>
      </w:pPr>
    </w:p>
    <w:p>
      <w:pPr>
        <w:pStyle w:val="BodyText"/>
      </w:pPr>
    </w:p>
    <w:p>
      <w:pPr>
        <w:pStyle w:val="Heading4"/>
        <w:rPr>
          <w:i/>
        </w:rPr>
      </w:pPr>
      <w:r>
        <w:rPr>
          <w:i/>
        </w:rPr>
        <w:t>Duration of time</w:t>
      </w:r>
    </w:p>
    <w:p>
      <w:pPr>
        <w:pStyle w:val="BodyText"/>
        <w:rPr>
          <w:i/>
          <w:sz w:val="28"/>
        </w:rPr>
      </w:pPr>
    </w:p>
    <w:p>
      <w:pPr>
        <w:pStyle w:val="ListParagraph"/>
        <w:numPr>
          <w:ilvl w:val="0"/>
          <w:numId w:val="111"/>
        </w:numPr>
        <w:tabs>
          <w:tab w:pos="1221" w:val="left" w:leader="none"/>
        </w:tabs>
        <w:spacing w:line="480" w:lineRule="auto" w:before="251" w:after="0"/>
        <w:ind w:left="500" w:right="436" w:firstLine="0"/>
        <w:jc w:val="both"/>
        <w:rPr>
          <w:sz w:val="25"/>
        </w:rPr>
      </w:pPr>
      <w:r>
        <w:rPr>
          <w:sz w:val="25"/>
        </w:rPr>
        <w:t>A final question that is relevant for our present enquiry is whether a </w:t>
      </w:r>
      <w:r>
        <w:rPr>
          <w:i/>
          <w:sz w:val="25"/>
        </w:rPr>
        <w:t>de </w:t>
      </w:r>
      <w:r>
        <w:rPr>
          <w:i/>
          <w:sz w:val="25"/>
        </w:rPr>
        <w:t>facto </w:t>
      </w:r>
      <w:r>
        <w:rPr>
          <w:sz w:val="25"/>
        </w:rPr>
        <w:t>shebait can claim a right to continue indefinitely in office. As seen earlier, a </w:t>
      </w:r>
      <w:r>
        <w:rPr>
          <w:i/>
          <w:sz w:val="25"/>
        </w:rPr>
        <w:t>de jure </w:t>
      </w:r>
      <w:r>
        <w:rPr>
          <w:sz w:val="25"/>
        </w:rPr>
        <w:t>shebait and a </w:t>
      </w:r>
      <w:r>
        <w:rPr>
          <w:i/>
          <w:sz w:val="25"/>
        </w:rPr>
        <w:t>de facto </w:t>
      </w:r>
      <w:r>
        <w:rPr>
          <w:sz w:val="25"/>
        </w:rPr>
        <w:t>shebait exercise similar rights in the limited sense of acting for the benefit of the idol. Even absent an averment of mismanagement by the shebait, a person may institute proceedings under Section 92 of the Code of Civil Procedure 1908 against a </w:t>
      </w:r>
      <w:r>
        <w:rPr>
          <w:i/>
          <w:sz w:val="25"/>
        </w:rPr>
        <w:t>de facto </w:t>
      </w:r>
      <w:r>
        <w:rPr>
          <w:sz w:val="25"/>
        </w:rPr>
        <w:t>shebait for the settling of a scheme. In this view, legal certainty and the sustained interest of the deity would be served by circumscribing the claim of a </w:t>
      </w:r>
      <w:r>
        <w:rPr>
          <w:i/>
          <w:sz w:val="25"/>
        </w:rPr>
        <w:t>de facto </w:t>
      </w:r>
      <w:r>
        <w:rPr>
          <w:sz w:val="25"/>
        </w:rPr>
        <w:t>shebait to continue, as a matter of right, in</w:t>
      </w:r>
      <w:r>
        <w:rPr>
          <w:spacing w:val="-2"/>
          <w:sz w:val="25"/>
        </w:rPr>
        <w:t> </w:t>
      </w:r>
      <w:r>
        <w:rPr>
          <w:sz w:val="25"/>
        </w:rPr>
        <w:t>perpetuity.</w:t>
      </w:r>
    </w:p>
    <w:p>
      <w:pPr>
        <w:spacing w:after="0" w:line="480" w:lineRule="auto"/>
        <w:jc w:val="both"/>
        <w:rPr>
          <w:sz w:val="25"/>
        </w:rPr>
        <w:sectPr>
          <w:headerReference w:type="default" r:id="rId140"/>
          <w:footerReference w:type="default" r:id="rId141"/>
          <w:pgSz w:w="11910" w:h="16840"/>
          <w:pgMar w:header="721" w:footer="1014" w:top="1300" w:bottom="1200" w:left="940" w:right="1000"/>
          <w:pgNumType w:start="421"/>
        </w:sectPr>
      </w:pPr>
    </w:p>
    <w:p>
      <w:pPr>
        <w:pStyle w:val="ListParagraph"/>
        <w:numPr>
          <w:ilvl w:val="0"/>
          <w:numId w:val="111"/>
        </w:numPr>
        <w:tabs>
          <w:tab w:pos="1221" w:val="left" w:leader="none"/>
        </w:tabs>
        <w:spacing w:line="480" w:lineRule="auto" w:before="121" w:after="0"/>
        <w:ind w:left="500" w:right="434" w:firstLine="0"/>
        <w:jc w:val="both"/>
        <w:rPr>
          <w:sz w:val="25"/>
        </w:rPr>
      </w:pPr>
      <w:r>
        <w:rPr>
          <w:sz w:val="25"/>
        </w:rPr>
        <w:t>In </w:t>
      </w:r>
      <w:r>
        <w:rPr>
          <w:b/>
          <w:sz w:val="25"/>
        </w:rPr>
        <w:t>Gopal Krishnaji Ketkar </w:t>
      </w:r>
      <w:r>
        <w:rPr>
          <w:sz w:val="25"/>
        </w:rPr>
        <w:t>v </w:t>
      </w:r>
      <w:r>
        <w:rPr>
          <w:b/>
          <w:sz w:val="25"/>
        </w:rPr>
        <w:t>Mahomed Jaffar Mohamed Hussein</w:t>
      </w:r>
      <w:r>
        <w:rPr>
          <w:sz w:val="25"/>
          <w:vertAlign w:val="superscript"/>
        </w:rPr>
        <w:t>236</w:t>
      </w:r>
      <w:r>
        <w:rPr>
          <w:sz w:val="25"/>
          <w:vertAlign w:val="baseline"/>
        </w:rPr>
        <w:t> the plaintiffs instituted a suit praying for a declaration that the second plaintiff is the guardian and 'vahivatdar' of the Darga. The defendant claimed to be its rightful manager and Mutawalli. The plaintiffs‘ family were managers since 1817. Since 1902-03, the defendant was given the right to manage prayers during a certain period every year in the temple and collect the offerings for his upkeep. Upon alleged interference with the plaintiffs‘ right to manage and collect offerings, the suit was instituted. The Court found that the plaintiffs and their family had been managing from at least the year 1886. The Court held that as the right claimed by the defendant was not that of a hereditary trustee, the right dies with him and the only question was whether or not the plaintiffs were entitled to management and the offerings. Justice Vivan Bose, speaking for a three-judge Bench of this Court held:</w:t>
      </w:r>
    </w:p>
    <w:p>
      <w:pPr>
        <w:spacing w:line="276" w:lineRule="auto" w:before="163"/>
        <w:ind w:left="1940" w:right="2261" w:firstLine="0"/>
        <w:jc w:val="both"/>
        <w:rPr>
          <w:sz w:val="21"/>
        </w:rPr>
      </w:pPr>
      <w:r>
        <w:rPr>
          <w:spacing w:val="-1"/>
          <w:w w:val="33"/>
          <w:sz w:val="21"/>
        </w:rPr>
        <w:t>―</w:t>
      </w:r>
      <w:r>
        <w:rPr>
          <w:spacing w:val="-1"/>
          <w:w w:val="100"/>
          <w:sz w:val="21"/>
        </w:rPr>
        <w:t>30</w:t>
      </w:r>
      <w:r>
        <w:rPr>
          <w:w w:val="100"/>
          <w:sz w:val="21"/>
        </w:rPr>
        <w:t>.</w:t>
      </w:r>
      <w:r>
        <w:rPr>
          <w:sz w:val="21"/>
        </w:rPr>
        <w:t> </w:t>
      </w:r>
      <w:r>
        <w:rPr>
          <w:spacing w:val="-27"/>
          <w:sz w:val="21"/>
        </w:rPr>
        <w:t> </w:t>
      </w:r>
      <w:r>
        <w:rPr>
          <w:w w:val="100"/>
          <w:sz w:val="21"/>
        </w:rPr>
        <w:t>N</w:t>
      </w:r>
      <w:r>
        <w:rPr>
          <w:spacing w:val="-1"/>
          <w:w w:val="100"/>
          <w:sz w:val="21"/>
        </w:rPr>
        <w:t>o</w:t>
      </w:r>
      <w:r>
        <w:rPr>
          <w:w w:val="100"/>
          <w:sz w:val="21"/>
        </w:rPr>
        <w:t>w</w:t>
      </w:r>
      <w:r>
        <w:rPr>
          <w:spacing w:val="29"/>
          <w:sz w:val="21"/>
        </w:rPr>
        <w:t> </w:t>
      </w:r>
      <w:r>
        <w:rPr>
          <w:w w:val="100"/>
          <w:sz w:val="21"/>
        </w:rPr>
        <w:t>a</w:t>
      </w:r>
      <w:r>
        <w:rPr>
          <w:sz w:val="21"/>
        </w:rPr>
        <w:t> </w:t>
      </w:r>
      <w:r>
        <w:rPr>
          <w:spacing w:val="-26"/>
          <w:sz w:val="21"/>
        </w:rPr>
        <w:t> </w:t>
      </w:r>
      <w:r>
        <w:rPr>
          <w:spacing w:val="-2"/>
          <w:w w:val="40"/>
          <w:sz w:val="21"/>
        </w:rPr>
        <w:t>‗</w:t>
      </w:r>
      <w:r>
        <w:rPr>
          <w:spacing w:val="-1"/>
          <w:w w:val="100"/>
          <w:sz w:val="21"/>
        </w:rPr>
        <w:t>d</w:t>
      </w:r>
      <w:r>
        <w:rPr>
          <w:w w:val="100"/>
          <w:sz w:val="21"/>
        </w:rPr>
        <w:t>e</w:t>
      </w:r>
      <w:r>
        <w:rPr>
          <w:sz w:val="21"/>
        </w:rPr>
        <w:t> </w:t>
      </w:r>
      <w:r>
        <w:rPr>
          <w:spacing w:val="-28"/>
          <w:sz w:val="21"/>
        </w:rPr>
        <w:t> </w:t>
      </w:r>
      <w:r>
        <w:rPr>
          <w:spacing w:val="1"/>
          <w:w w:val="100"/>
          <w:sz w:val="21"/>
        </w:rPr>
        <w:t>f</w:t>
      </w:r>
      <w:r>
        <w:rPr>
          <w:spacing w:val="-1"/>
          <w:w w:val="100"/>
          <w:sz w:val="21"/>
        </w:rPr>
        <w:t>ac</w:t>
      </w:r>
      <w:r>
        <w:rPr>
          <w:spacing w:val="-4"/>
          <w:w w:val="100"/>
          <w:sz w:val="21"/>
        </w:rPr>
        <w:t>t</w:t>
      </w:r>
      <w:r>
        <w:rPr>
          <w:w w:val="100"/>
          <w:sz w:val="21"/>
        </w:rPr>
        <w:t>o</w:t>
      </w:r>
      <w:r>
        <w:rPr>
          <w:sz w:val="21"/>
        </w:rPr>
        <w:t> </w:t>
      </w:r>
      <w:r>
        <w:rPr>
          <w:spacing w:val="-29"/>
          <w:sz w:val="21"/>
        </w:rPr>
        <w:t> </w:t>
      </w:r>
      <w:r>
        <w:rPr>
          <w:spacing w:val="1"/>
          <w:w w:val="100"/>
          <w:sz w:val="21"/>
        </w:rPr>
        <w:t>m</w:t>
      </w:r>
      <w:r>
        <w:rPr>
          <w:spacing w:val="-3"/>
          <w:w w:val="100"/>
          <w:sz w:val="21"/>
        </w:rPr>
        <w:t>a</w:t>
      </w:r>
      <w:r>
        <w:rPr>
          <w:spacing w:val="-1"/>
          <w:w w:val="100"/>
          <w:sz w:val="21"/>
        </w:rPr>
        <w:t>nag</w:t>
      </w:r>
      <w:r>
        <w:rPr>
          <w:w w:val="100"/>
          <w:sz w:val="21"/>
        </w:rPr>
        <w:t>er</w:t>
      </w:r>
      <w:r>
        <w:rPr>
          <w:sz w:val="21"/>
        </w:rPr>
        <w:t> </w:t>
      </w:r>
      <w:r>
        <w:rPr>
          <w:spacing w:val="-29"/>
          <w:sz w:val="21"/>
        </w:rPr>
        <w:t> </w:t>
      </w:r>
      <w:r>
        <w:rPr>
          <w:spacing w:val="-1"/>
          <w:w w:val="100"/>
          <w:sz w:val="21"/>
        </w:rPr>
        <w:t>o</w:t>
      </w:r>
      <w:r>
        <w:rPr>
          <w:w w:val="100"/>
          <w:sz w:val="21"/>
        </w:rPr>
        <w:t>r</w:t>
      </w:r>
      <w:r>
        <w:rPr>
          <w:sz w:val="21"/>
        </w:rPr>
        <w:t> </w:t>
      </w:r>
      <w:r>
        <w:rPr>
          <w:spacing w:val="-27"/>
          <w:sz w:val="21"/>
        </w:rPr>
        <w:t> </w:t>
      </w:r>
      <w:r>
        <w:rPr>
          <w:w w:val="100"/>
          <w:sz w:val="21"/>
        </w:rPr>
        <w:t>a</w:t>
      </w:r>
      <w:r>
        <w:rPr>
          <w:sz w:val="21"/>
        </w:rPr>
        <w:t> </w:t>
      </w:r>
      <w:r>
        <w:rPr>
          <w:spacing w:val="-26"/>
          <w:sz w:val="21"/>
        </w:rPr>
        <w:t> </w:t>
      </w:r>
      <w:r>
        <w:rPr>
          <w:spacing w:val="-2"/>
          <w:w w:val="100"/>
          <w:sz w:val="21"/>
        </w:rPr>
        <w:t>t</w:t>
      </w:r>
      <w:r>
        <w:rPr>
          <w:spacing w:val="-1"/>
          <w:w w:val="100"/>
          <w:sz w:val="21"/>
        </w:rPr>
        <w:t>rust</w:t>
      </w:r>
      <w:r>
        <w:rPr>
          <w:spacing w:val="-3"/>
          <w:w w:val="100"/>
          <w:sz w:val="21"/>
        </w:rPr>
        <w:t>e</w:t>
      </w:r>
      <w:r>
        <w:rPr>
          <w:w w:val="100"/>
          <w:sz w:val="21"/>
        </w:rPr>
        <w:t>e</w:t>
      </w:r>
      <w:r>
        <w:rPr>
          <w:sz w:val="21"/>
        </w:rPr>
        <w:t> </w:t>
      </w:r>
      <w:r>
        <w:rPr>
          <w:spacing w:val="-26"/>
          <w:sz w:val="21"/>
        </w:rPr>
        <w:t> </w:t>
      </w:r>
      <w:r>
        <w:rPr>
          <w:spacing w:val="-1"/>
          <w:w w:val="100"/>
          <w:sz w:val="21"/>
        </w:rPr>
        <w:t>d</w:t>
      </w:r>
      <w:r>
        <w:rPr>
          <w:w w:val="100"/>
          <w:sz w:val="21"/>
        </w:rPr>
        <w:t>e</w:t>
      </w:r>
      <w:r>
        <w:rPr>
          <w:sz w:val="21"/>
        </w:rPr>
        <w:t> </w:t>
      </w:r>
      <w:r>
        <w:rPr>
          <w:spacing w:val="-28"/>
          <w:sz w:val="21"/>
        </w:rPr>
        <w:t> </w:t>
      </w:r>
      <w:r>
        <w:rPr>
          <w:w w:val="100"/>
          <w:sz w:val="21"/>
        </w:rPr>
        <w:t>s</w:t>
      </w:r>
      <w:r>
        <w:rPr>
          <w:spacing w:val="-3"/>
          <w:w w:val="100"/>
          <w:sz w:val="21"/>
        </w:rPr>
        <w:t>o</w:t>
      </w:r>
      <w:r>
        <w:rPr>
          <w:w w:val="100"/>
          <w:sz w:val="21"/>
        </w:rPr>
        <w:t>n</w:t>
      </w:r>
      <w:r>
        <w:rPr>
          <w:sz w:val="21"/>
        </w:rPr>
        <w:t> </w:t>
      </w:r>
      <w:r>
        <w:rPr>
          <w:spacing w:val="-26"/>
          <w:sz w:val="21"/>
        </w:rPr>
        <w:t> </w:t>
      </w:r>
      <w:r>
        <w:rPr>
          <w:spacing w:val="-2"/>
          <w:w w:val="100"/>
          <w:sz w:val="21"/>
        </w:rPr>
        <w:t>t</w:t>
      </w:r>
      <w:r>
        <w:rPr>
          <w:spacing w:val="-1"/>
          <w:w w:val="100"/>
          <w:sz w:val="21"/>
        </w:rPr>
        <w:t>or</w:t>
      </w:r>
      <w:r>
        <w:rPr>
          <w:spacing w:val="-2"/>
          <w:w w:val="100"/>
          <w:sz w:val="21"/>
        </w:rPr>
        <w:t>t</w:t>
      </w:r>
      <w:r>
        <w:rPr>
          <w:w w:val="100"/>
          <w:sz w:val="21"/>
        </w:rPr>
        <w:t>‘</w:t>
      </w:r>
      <w:r>
        <w:rPr>
          <w:sz w:val="21"/>
        </w:rPr>
        <w:t> </w:t>
      </w:r>
      <w:r>
        <w:rPr>
          <w:spacing w:val="-25"/>
          <w:sz w:val="21"/>
        </w:rPr>
        <w:t> </w:t>
      </w:r>
      <w:r>
        <w:rPr>
          <w:spacing w:val="-1"/>
          <w:w w:val="100"/>
          <w:sz w:val="21"/>
        </w:rPr>
        <w:t>h</w:t>
      </w:r>
      <w:r>
        <w:rPr>
          <w:spacing w:val="-3"/>
          <w:w w:val="100"/>
          <w:sz w:val="21"/>
        </w:rPr>
        <w:t>a</w:t>
      </w:r>
      <w:r>
        <w:rPr>
          <w:w w:val="100"/>
          <w:sz w:val="21"/>
        </w:rPr>
        <w:t>s </w:t>
      </w:r>
      <w:r>
        <w:rPr>
          <w:sz w:val="21"/>
        </w:rPr>
        <w:t>certain rights. He can sue on behalf of the trust and for its benefit to recover properties and moneys in the ordinary course of management. It is however one thing to say that because a person is a 'de facto' manager he is entitled to recover a particular property or a particular sum of money which would otherwise be lost to the trust, for and on its behalf and for its benefit, in the ordinary course of management; </w:t>
      </w:r>
      <w:r>
        <w:rPr>
          <w:b/>
          <w:sz w:val="21"/>
        </w:rPr>
        <w:t>it is quite another to say that he has the right to continue in 'de facto' management indefinitely without any vestige of title, which is what a declaration of this kind would import. We hesitate to make any such sweeping declaration… That being so, we think it undesirable that things should be allowed to drift in this uncertain way, no one knowing where the legal rights of management lie or of what they consist; no one knowing how the rights are to devolve or how the large charitable offerings which are collected are to be distributed and used</w:t>
      </w:r>
      <w:r>
        <w:rPr>
          <w:sz w:val="21"/>
        </w:rPr>
        <w:t>.‖</w:t>
      </w:r>
    </w:p>
    <w:p>
      <w:pPr>
        <w:spacing w:line="241" w:lineRule="exact" w:before="0"/>
        <w:ind w:left="5798" w:right="0" w:firstLine="0"/>
        <w:jc w:val="left"/>
        <w:rPr>
          <w:sz w:val="21"/>
        </w:rPr>
      </w:pPr>
      <w:r>
        <w:rPr>
          <w:sz w:val="21"/>
        </w:rPr>
        <w:t>(Emphasis supplied)</w:t>
      </w:r>
    </w:p>
    <w:p>
      <w:pPr>
        <w:pStyle w:val="BodyText"/>
        <w:rPr>
          <w:sz w:val="20"/>
        </w:rPr>
      </w:pPr>
    </w:p>
    <w:p>
      <w:pPr>
        <w:pStyle w:val="BodyText"/>
        <w:spacing w:before="7"/>
        <w:rPr>
          <w:sz w:val="18"/>
        </w:rPr>
      </w:pPr>
      <w:r>
        <w:rPr/>
        <w:pict>
          <v:rect style="position:absolute;margin-left:72.024002pt;margin-top:12.695897pt;width:144.020pt;height:.599980pt;mso-position-horizontal-relative:page;mso-position-vertical-relative:paragraph;z-index:-1566361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236</w:t>
      </w:r>
      <w:r>
        <w:rPr>
          <w:sz w:val="18"/>
          <w:vertAlign w:val="baseline"/>
        </w:rPr>
        <w:t> AIR 1954 SC 5</w:t>
      </w:r>
    </w:p>
    <w:p>
      <w:pPr>
        <w:spacing w:after="0"/>
        <w:jc w:val="left"/>
        <w:rPr>
          <w:sz w:val="18"/>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34" w:firstLine="0"/>
        <w:jc w:val="both"/>
        <w:rPr>
          <w:sz w:val="25"/>
        </w:rPr>
      </w:pPr>
      <w:r>
        <w:rPr>
          <w:sz w:val="25"/>
        </w:rPr>
        <w:t>The Court drew a distinction between a claim in law to be vested with the right to bring an action on behalf of the deities and a claim to continue indefinitely as a </w:t>
      </w:r>
      <w:r>
        <w:rPr>
          <w:i/>
          <w:sz w:val="25"/>
        </w:rPr>
        <w:t>de facto </w:t>
      </w:r>
      <w:r>
        <w:rPr>
          <w:sz w:val="25"/>
        </w:rPr>
        <w:t>shebait which, for all purposes, would be equating a </w:t>
      </w:r>
      <w:r>
        <w:rPr>
          <w:i/>
          <w:sz w:val="25"/>
        </w:rPr>
        <w:t>de facto </w:t>
      </w:r>
      <w:r>
        <w:rPr>
          <w:sz w:val="25"/>
        </w:rPr>
        <w:t>shebait with a </w:t>
      </w:r>
      <w:r>
        <w:rPr>
          <w:i/>
          <w:sz w:val="25"/>
        </w:rPr>
        <w:t>de jure </w:t>
      </w:r>
      <w:r>
        <w:rPr>
          <w:sz w:val="25"/>
        </w:rPr>
        <w:t>shebait and conferring upon the former a legal title where it has always been absent. Legal certainty and the ultimate protection of the trust properties underlie Section 92 of the Code of Civil Procedure 1908. Under this provision, the Court is, upon an application by the Advocate-General or two or more persons having an interest in the trust and having obtained the leave of the court, vested with wide powers to replace trustees and settle a scheme with respect to the trust property. Keeping this in mind, the Court framed directions in accordance with the above</w:t>
      </w:r>
      <w:r>
        <w:rPr>
          <w:spacing w:val="1"/>
          <w:sz w:val="25"/>
        </w:rPr>
        <w:t> </w:t>
      </w:r>
      <w:r>
        <w:rPr>
          <w:sz w:val="25"/>
        </w:rPr>
        <w:t>observations:</w:t>
      </w:r>
    </w:p>
    <w:p>
      <w:pPr>
        <w:spacing w:line="276" w:lineRule="auto" w:before="160"/>
        <w:ind w:left="1940" w:right="2260" w:firstLine="0"/>
        <w:jc w:val="both"/>
        <w:rPr>
          <w:sz w:val="21"/>
        </w:rPr>
      </w:pPr>
      <w:r>
        <w:rPr>
          <w:spacing w:val="-1"/>
          <w:w w:val="33"/>
          <w:sz w:val="21"/>
        </w:rPr>
        <w:t>―</w:t>
      </w:r>
      <w:r>
        <w:rPr>
          <w:spacing w:val="-1"/>
          <w:w w:val="100"/>
          <w:sz w:val="21"/>
        </w:rPr>
        <w:t>32</w:t>
      </w:r>
      <w:r>
        <w:rPr>
          <w:w w:val="100"/>
          <w:sz w:val="21"/>
        </w:rPr>
        <w:t>.</w:t>
      </w:r>
      <w:r>
        <w:rPr>
          <w:spacing w:val="22"/>
          <w:sz w:val="21"/>
        </w:rPr>
        <w:t> </w:t>
      </w:r>
      <w:r>
        <w:rPr>
          <w:spacing w:val="6"/>
          <w:w w:val="100"/>
          <w:sz w:val="21"/>
        </w:rPr>
        <w:t>W</w:t>
      </w:r>
      <w:r>
        <w:rPr>
          <w:w w:val="100"/>
          <w:sz w:val="21"/>
        </w:rPr>
        <w:t>e</w:t>
      </w:r>
      <w:r>
        <w:rPr>
          <w:spacing w:val="25"/>
          <w:sz w:val="21"/>
        </w:rPr>
        <w:t> </w:t>
      </w:r>
      <w:r>
        <w:rPr>
          <w:spacing w:val="-1"/>
          <w:w w:val="100"/>
          <w:sz w:val="21"/>
        </w:rPr>
        <w:t>ar</w:t>
      </w:r>
      <w:r>
        <w:rPr>
          <w:w w:val="100"/>
          <w:sz w:val="21"/>
        </w:rPr>
        <w:t>e</w:t>
      </w:r>
      <w:r>
        <w:rPr>
          <w:spacing w:val="27"/>
          <w:sz w:val="21"/>
        </w:rPr>
        <w:t> </w:t>
      </w:r>
      <w:r>
        <w:rPr>
          <w:spacing w:val="-2"/>
          <w:w w:val="100"/>
          <w:sz w:val="21"/>
        </w:rPr>
        <w:t>t</w:t>
      </w:r>
      <w:r>
        <w:rPr>
          <w:spacing w:val="-1"/>
          <w:w w:val="100"/>
          <w:sz w:val="21"/>
        </w:rPr>
        <w:t>o</w:t>
      </w:r>
      <w:r>
        <w:rPr>
          <w:spacing w:val="-2"/>
          <w:w w:val="100"/>
          <w:sz w:val="21"/>
        </w:rPr>
        <w:t>l</w:t>
      </w:r>
      <w:r>
        <w:rPr>
          <w:w w:val="100"/>
          <w:sz w:val="21"/>
        </w:rPr>
        <w:t>d</w:t>
      </w:r>
      <w:r>
        <w:rPr>
          <w:spacing w:val="27"/>
          <w:sz w:val="21"/>
        </w:rPr>
        <w:t> </w:t>
      </w:r>
      <w:r>
        <w:rPr>
          <w:spacing w:val="-1"/>
          <w:w w:val="100"/>
          <w:sz w:val="21"/>
        </w:rPr>
        <w:t>b</w:t>
      </w:r>
      <w:r>
        <w:rPr>
          <w:w w:val="100"/>
          <w:sz w:val="21"/>
        </w:rPr>
        <w:t>y</w:t>
      </w:r>
      <w:r>
        <w:rPr>
          <w:spacing w:val="25"/>
          <w:sz w:val="21"/>
        </w:rPr>
        <w:t> </w:t>
      </w:r>
      <w:r>
        <w:rPr>
          <w:spacing w:val="-2"/>
          <w:w w:val="100"/>
          <w:sz w:val="21"/>
        </w:rPr>
        <w:t>t</w:t>
      </w:r>
      <w:r>
        <w:rPr>
          <w:spacing w:val="-1"/>
          <w:w w:val="100"/>
          <w:sz w:val="21"/>
        </w:rPr>
        <w:t>h</w:t>
      </w:r>
      <w:r>
        <w:rPr>
          <w:w w:val="100"/>
          <w:sz w:val="21"/>
        </w:rPr>
        <w:t>e</w:t>
      </w:r>
      <w:r>
        <w:rPr>
          <w:spacing w:val="28"/>
          <w:sz w:val="21"/>
        </w:rPr>
        <w:t> </w:t>
      </w:r>
      <w:r>
        <w:rPr>
          <w:spacing w:val="-2"/>
          <w:w w:val="100"/>
          <w:sz w:val="21"/>
        </w:rPr>
        <w:t>l</w:t>
      </w:r>
      <w:r>
        <w:rPr>
          <w:spacing w:val="-1"/>
          <w:w w:val="100"/>
          <w:sz w:val="21"/>
        </w:rPr>
        <w:t>earn</w:t>
      </w:r>
      <w:r>
        <w:rPr>
          <w:spacing w:val="-3"/>
          <w:w w:val="100"/>
          <w:sz w:val="21"/>
        </w:rPr>
        <w:t>e</w:t>
      </w:r>
      <w:r>
        <w:rPr>
          <w:w w:val="100"/>
          <w:sz w:val="21"/>
        </w:rPr>
        <w:t>d</w:t>
      </w:r>
      <w:r>
        <w:rPr>
          <w:spacing w:val="27"/>
          <w:sz w:val="21"/>
        </w:rPr>
        <w:t> </w:t>
      </w:r>
      <w:r>
        <w:rPr>
          <w:w w:val="100"/>
          <w:sz w:val="21"/>
        </w:rPr>
        <w:t>S</w:t>
      </w:r>
      <w:r>
        <w:rPr>
          <w:spacing w:val="-3"/>
          <w:w w:val="100"/>
          <w:sz w:val="21"/>
        </w:rPr>
        <w:t>o</w:t>
      </w:r>
      <w:r>
        <w:rPr>
          <w:w w:val="100"/>
          <w:sz w:val="21"/>
        </w:rPr>
        <w:t>l</w:t>
      </w:r>
      <w:r>
        <w:rPr>
          <w:spacing w:val="-2"/>
          <w:w w:val="100"/>
          <w:sz w:val="21"/>
        </w:rPr>
        <w:t>i</w:t>
      </w:r>
      <w:r>
        <w:rPr>
          <w:w w:val="100"/>
          <w:sz w:val="21"/>
        </w:rPr>
        <w:t>ci</w:t>
      </w:r>
      <w:r>
        <w:rPr>
          <w:spacing w:val="-2"/>
          <w:w w:val="100"/>
          <w:sz w:val="21"/>
        </w:rPr>
        <w:t>t</w:t>
      </w:r>
      <w:r>
        <w:rPr>
          <w:spacing w:val="-1"/>
          <w:w w:val="100"/>
          <w:sz w:val="21"/>
        </w:rPr>
        <w:t>o</w:t>
      </w:r>
      <w:r>
        <w:rPr>
          <w:spacing w:val="3"/>
          <w:w w:val="100"/>
          <w:sz w:val="21"/>
        </w:rPr>
        <w:t>r</w:t>
      </w:r>
      <w:r>
        <w:rPr>
          <w:spacing w:val="-1"/>
          <w:w w:val="100"/>
          <w:sz w:val="21"/>
        </w:rPr>
        <w:t>-</w:t>
      </w:r>
      <w:r>
        <w:rPr>
          <w:spacing w:val="-2"/>
          <w:w w:val="100"/>
          <w:sz w:val="21"/>
        </w:rPr>
        <w:t>G</w:t>
      </w:r>
      <w:r>
        <w:rPr>
          <w:spacing w:val="-3"/>
          <w:w w:val="100"/>
          <w:sz w:val="21"/>
        </w:rPr>
        <w:t>e</w:t>
      </w:r>
      <w:r>
        <w:rPr>
          <w:w w:val="100"/>
          <w:sz w:val="21"/>
        </w:rPr>
        <w:t>ner</w:t>
      </w:r>
      <w:r>
        <w:rPr>
          <w:spacing w:val="-3"/>
          <w:w w:val="100"/>
          <w:sz w:val="21"/>
        </w:rPr>
        <w:t>a</w:t>
      </w:r>
      <w:r>
        <w:rPr>
          <w:w w:val="100"/>
          <w:sz w:val="21"/>
        </w:rPr>
        <w:t>l</w:t>
      </w:r>
      <w:r>
        <w:rPr>
          <w:spacing w:val="28"/>
          <w:sz w:val="21"/>
        </w:rPr>
        <w:t> </w:t>
      </w:r>
      <w:r>
        <w:rPr>
          <w:spacing w:val="-2"/>
          <w:w w:val="100"/>
          <w:sz w:val="21"/>
        </w:rPr>
        <w:t>t</w:t>
      </w:r>
      <w:r>
        <w:rPr>
          <w:w w:val="100"/>
          <w:sz w:val="21"/>
        </w:rPr>
        <w:t>hat</w:t>
      </w:r>
      <w:r>
        <w:rPr>
          <w:spacing w:val="26"/>
          <w:sz w:val="21"/>
        </w:rPr>
        <w:t> </w:t>
      </w:r>
      <w:r>
        <w:rPr>
          <w:w w:val="100"/>
          <w:sz w:val="21"/>
        </w:rPr>
        <w:t>a</w:t>
      </w:r>
      <w:r>
        <w:rPr>
          <w:spacing w:val="28"/>
          <w:sz w:val="21"/>
        </w:rPr>
        <w:t> </w:t>
      </w:r>
      <w:r>
        <w:rPr>
          <w:w w:val="100"/>
          <w:sz w:val="21"/>
        </w:rPr>
        <w:t>su</w:t>
      </w:r>
      <w:r>
        <w:rPr>
          <w:spacing w:val="1"/>
          <w:w w:val="100"/>
          <w:sz w:val="21"/>
        </w:rPr>
        <w:t>i</w:t>
      </w:r>
      <w:r>
        <w:rPr>
          <w:w w:val="100"/>
          <w:sz w:val="21"/>
        </w:rPr>
        <w:t>t </w:t>
      </w:r>
      <w:r>
        <w:rPr>
          <w:sz w:val="21"/>
        </w:rPr>
        <w:t>under Section 92, Civil P.C. is under contemplation. Without in any way prejudicing matters which will arise there, we make the following order. We</w:t>
      </w:r>
      <w:r>
        <w:rPr>
          <w:spacing w:val="-12"/>
          <w:sz w:val="21"/>
        </w:rPr>
        <w:t> </w:t>
      </w:r>
      <w:r>
        <w:rPr>
          <w:sz w:val="21"/>
        </w:rPr>
        <w:t>direct-</w:t>
      </w:r>
    </w:p>
    <w:p>
      <w:pPr>
        <w:pStyle w:val="ListParagraph"/>
        <w:numPr>
          <w:ilvl w:val="0"/>
          <w:numId w:val="118"/>
        </w:numPr>
        <w:tabs>
          <w:tab w:pos="2188" w:val="left" w:leader="none"/>
        </w:tabs>
        <w:spacing w:line="276" w:lineRule="auto" w:before="99" w:after="0"/>
        <w:ind w:left="1940" w:right="2263" w:firstLine="0"/>
        <w:jc w:val="both"/>
        <w:rPr>
          <w:sz w:val="21"/>
        </w:rPr>
      </w:pPr>
      <w:r>
        <w:rPr>
          <w:sz w:val="21"/>
        </w:rPr>
        <w:t>That the present arrangement regarding the collection and disposal of the offerings continue for a period of six months from the date of this</w:t>
      </w:r>
      <w:r>
        <w:rPr>
          <w:spacing w:val="-4"/>
          <w:sz w:val="21"/>
        </w:rPr>
        <w:t> </w:t>
      </w:r>
      <w:r>
        <w:rPr>
          <w:sz w:val="21"/>
        </w:rPr>
        <w:t>judgment.</w:t>
      </w:r>
    </w:p>
    <w:p>
      <w:pPr>
        <w:pStyle w:val="ListParagraph"/>
        <w:numPr>
          <w:ilvl w:val="0"/>
          <w:numId w:val="118"/>
        </w:numPr>
        <w:tabs>
          <w:tab w:pos="2210" w:val="left" w:leader="none"/>
        </w:tabs>
        <w:spacing w:line="276" w:lineRule="auto" w:before="100" w:after="0"/>
        <w:ind w:left="1940" w:right="2263" w:firstLine="0"/>
        <w:jc w:val="both"/>
        <w:rPr>
          <w:sz w:val="21"/>
        </w:rPr>
      </w:pPr>
      <w:r>
        <w:rPr>
          <w:sz w:val="21"/>
        </w:rPr>
        <w:t>That in the interval the offerings so collected, as well as those already in deposit, he not handed over to the second plaintiff except to the extent necessary for meeting the expenses. The legal representatives of the defendant have no right at all to those</w:t>
      </w:r>
      <w:r>
        <w:rPr>
          <w:spacing w:val="-5"/>
          <w:sz w:val="21"/>
        </w:rPr>
        <w:t> </w:t>
      </w:r>
      <w:r>
        <w:rPr>
          <w:sz w:val="21"/>
        </w:rPr>
        <w:t>offerings.</w:t>
      </w:r>
    </w:p>
    <w:p>
      <w:pPr>
        <w:pStyle w:val="ListParagraph"/>
        <w:numPr>
          <w:ilvl w:val="0"/>
          <w:numId w:val="118"/>
        </w:numPr>
        <w:tabs>
          <w:tab w:pos="2202" w:val="left" w:leader="none"/>
        </w:tabs>
        <w:spacing w:line="276" w:lineRule="auto" w:before="100" w:after="0"/>
        <w:ind w:left="1940" w:right="2261" w:firstLine="0"/>
        <w:jc w:val="both"/>
        <w:rPr>
          <w:sz w:val="21"/>
        </w:rPr>
      </w:pPr>
      <w:r>
        <w:rPr>
          <w:sz w:val="21"/>
        </w:rPr>
        <w:t>If such a suit is instituted within the said period, then the said offerings and collections be disposed of in accordance with such scheme as may then be framed, and in accordance with such directions as may be given in that</w:t>
      </w:r>
      <w:r>
        <w:rPr>
          <w:spacing w:val="-14"/>
          <w:sz w:val="21"/>
        </w:rPr>
        <w:t> </w:t>
      </w:r>
      <w:r>
        <w:rPr>
          <w:sz w:val="21"/>
        </w:rPr>
        <w:t>suit.</w:t>
      </w:r>
    </w:p>
    <w:p>
      <w:pPr>
        <w:pStyle w:val="ListParagraph"/>
        <w:numPr>
          <w:ilvl w:val="0"/>
          <w:numId w:val="118"/>
        </w:numPr>
        <w:tabs>
          <w:tab w:pos="2186" w:val="left" w:leader="none"/>
        </w:tabs>
        <w:spacing w:line="276" w:lineRule="auto" w:before="102" w:after="0"/>
        <w:ind w:left="1940" w:right="2263" w:firstLine="0"/>
        <w:jc w:val="both"/>
        <w:rPr>
          <w:sz w:val="21"/>
        </w:rPr>
      </w:pPr>
      <w:r>
        <w:rPr>
          <w:sz w:val="21"/>
        </w:rPr>
        <w:t>If no such suit is instituted within the said six months, then the second plaintiff, as the person in 'de facto' management  of the Darga from 13-11-1938, the date of his adoption, till the date of suit, 7-10-1946, will be entitled to receive the offerings now lying in deposit in the Treasury for and on behalf of the Darga and for its benefit and in future to collect all the offerings all the year round for and on behalf of the Darga and for its benefit until he is displaced by a person with better title or authority derived from the</w:t>
      </w:r>
      <w:r>
        <w:rPr>
          <w:spacing w:val="-12"/>
          <w:sz w:val="21"/>
        </w:rPr>
        <w:t> </w:t>
      </w:r>
      <w:r>
        <w:rPr>
          <w:sz w:val="21"/>
        </w:rPr>
        <w:t>Courts.‖</w:t>
      </w:r>
    </w:p>
    <w:p>
      <w:pPr>
        <w:spacing w:after="0" w:line="276" w:lineRule="auto"/>
        <w:jc w:val="both"/>
        <w:rPr>
          <w:sz w:val="21"/>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1" w:after="0"/>
        <w:ind w:left="500" w:right="436" w:firstLine="0"/>
        <w:jc w:val="both"/>
        <w:rPr>
          <w:sz w:val="25"/>
        </w:rPr>
      </w:pPr>
      <w:r>
        <w:rPr>
          <w:sz w:val="25"/>
        </w:rPr>
        <w:t>In </w:t>
      </w:r>
      <w:r>
        <w:rPr>
          <w:b/>
          <w:sz w:val="25"/>
        </w:rPr>
        <w:t>Vikrama Das Mahant </w:t>
      </w:r>
      <w:r>
        <w:rPr>
          <w:sz w:val="25"/>
        </w:rPr>
        <w:t>v </w:t>
      </w:r>
      <w:r>
        <w:rPr>
          <w:b/>
          <w:sz w:val="25"/>
        </w:rPr>
        <w:t>Daulat Ram Asthana</w:t>
      </w:r>
      <w:r>
        <w:rPr>
          <w:sz w:val="25"/>
          <w:vertAlign w:val="superscript"/>
        </w:rPr>
        <w:t>237</w:t>
      </w:r>
      <w:r>
        <w:rPr>
          <w:sz w:val="25"/>
          <w:vertAlign w:val="baseline"/>
        </w:rPr>
        <w:t>, the compromise decree on the basis of which the Mahant claimed a right and entered into possession was not given effect. The decree of the trial court giving effect to the compromise decree was set aside. Though the court sustained the rights of the Mahant to continue as a </w:t>
      </w:r>
      <w:r>
        <w:rPr>
          <w:i/>
          <w:sz w:val="25"/>
          <w:vertAlign w:val="baseline"/>
        </w:rPr>
        <w:t>de facto </w:t>
      </w:r>
      <w:r>
        <w:rPr>
          <w:sz w:val="25"/>
          <w:vertAlign w:val="baseline"/>
        </w:rPr>
        <w:t>manager, the Court</w:t>
      </w:r>
      <w:r>
        <w:rPr>
          <w:spacing w:val="-6"/>
          <w:sz w:val="25"/>
          <w:vertAlign w:val="baseline"/>
        </w:rPr>
        <w:t> </w:t>
      </w:r>
      <w:r>
        <w:rPr>
          <w:sz w:val="25"/>
          <w:vertAlign w:val="baseline"/>
        </w:rPr>
        <w:t>held:</w:t>
      </w:r>
    </w:p>
    <w:p>
      <w:pPr>
        <w:spacing w:line="276" w:lineRule="auto" w:before="161"/>
        <w:ind w:left="1940" w:right="2264" w:firstLine="0"/>
        <w:jc w:val="both"/>
        <w:rPr>
          <w:sz w:val="21"/>
        </w:rPr>
      </w:pPr>
      <w:r>
        <w:rPr>
          <w:w w:val="33"/>
          <w:sz w:val="21"/>
        </w:rPr>
        <w:t>―</w:t>
      </w:r>
      <w:r>
        <w:rPr>
          <w:w w:val="100"/>
          <w:sz w:val="21"/>
        </w:rPr>
        <w:t>19.</w:t>
      </w:r>
      <w:r>
        <w:rPr>
          <w:sz w:val="21"/>
        </w:rPr>
        <w:t> </w:t>
      </w:r>
      <w:r>
        <w:rPr>
          <w:w w:val="100"/>
          <w:sz w:val="21"/>
        </w:rPr>
        <w:t>But</w:t>
      </w:r>
      <w:r>
        <w:rPr>
          <w:sz w:val="21"/>
        </w:rPr>
        <w:t> </w:t>
      </w:r>
      <w:r>
        <w:rPr>
          <w:w w:val="100"/>
          <w:sz w:val="21"/>
        </w:rPr>
        <w:t>this</w:t>
      </w:r>
      <w:r>
        <w:rPr>
          <w:sz w:val="21"/>
        </w:rPr>
        <w:t> </w:t>
      </w:r>
      <w:r>
        <w:rPr>
          <w:w w:val="100"/>
          <w:sz w:val="21"/>
        </w:rPr>
        <w:t>is</w:t>
      </w:r>
      <w:r>
        <w:rPr>
          <w:sz w:val="21"/>
        </w:rPr>
        <w:t> </w:t>
      </w:r>
      <w:r>
        <w:rPr>
          <w:w w:val="100"/>
          <w:sz w:val="21"/>
        </w:rPr>
        <w:t>only</w:t>
      </w:r>
      <w:r>
        <w:rPr>
          <w:sz w:val="21"/>
        </w:rPr>
        <w:t> </w:t>
      </w:r>
      <w:r>
        <w:rPr>
          <w:w w:val="100"/>
          <w:sz w:val="21"/>
        </w:rPr>
        <w:t>a</w:t>
      </w:r>
      <w:r>
        <w:rPr>
          <w:sz w:val="21"/>
        </w:rPr>
        <w:t> </w:t>
      </w:r>
      <w:r>
        <w:rPr>
          <w:w w:val="100"/>
          <w:sz w:val="21"/>
        </w:rPr>
        <w:t>stop</w:t>
      </w:r>
      <w:r>
        <w:rPr>
          <w:sz w:val="21"/>
        </w:rPr>
        <w:t> </w:t>
      </w:r>
      <w:r>
        <w:rPr>
          <w:w w:val="100"/>
          <w:sz w:val="21"/>
        </w:rPr>
        <w:t>gap</w:t>
      </w:r>
      <w:r>
        <w:rPr>
          <w:sz w:val="21"/>
        </w:rPr>
        <w:t> </w:t>
      </w:r>
      <w:r>
        <w:rPr>
          <w:w w:val="100"/>
          <w:sz w:val="21"/>
        </w:rPr>
        <w:t>expedient.</w:t>
      </w:r>
      <w:r>
        <w:rPr>
          <w:sz w:val="21"/>
        </w:rPr>
        <w:t> </w:t>
      </w:r>
      <w:r>
        <w:rPr>
          <w:w w:val="100"/>
          <w:sz w:val="21"/>
        </w:rPr>
        <w:t>We</w:t>
      </w:r>
      <w:r>
        <w:rPr>
          <w:sz w:val="21"/>
        </w:rPr>
        <w:t> </w:t>
      </w:r>
      <w:r>
        <w:rPr>
          <w:w w:val="100"/>
          <w:sz w:val="21"/>
        </w:rPr>
        <w:t>cannot</w:t>
      </w:r>
      <w:r>
        <w:rPr>
          <w:sz w:val="21"/>
        </w:rPr>
        <w:t> </w:t>
      </w:r>
      <w:r>
        <w:rPr>
          <w:w w:val="100"/>
          <w:sz w:val="21"/>
        </w:rPr>
        <w:t>shut</w:t>
      </w:r>
      <w:r>
        <w:rPr>
          <w:sz w:val="21"/>
        </w:rPr>
        <w:t> </w:t>
      </w:r>
      <w:r>
        <w:rPr>
          <w:w w:val="100"/>
          <w:sz w:val="21"/>
        </w:rPr>
        <w:t>our </w:t>
      </w:r>
      <w:r>
        <w:rPr>
          <w:sz w:val="21"/>
        </w:rPr>
        <w:t>eyes to the fact that we have before us a public trust of which, on the facts now before us, an alleged intermeddler claiming under a decree said to be void is in possession and management. It may be, when proper proceedings are instituted to determine the matter, that it will be found that he is not without legal authority or it may be proper to invest him with that authority if he has not already got it, or again it may be better to have another person or body.</w:t>
      </w:r>
    </w:p>
    <w:p>
      <w:pPr>
        <w:spacing w:line="276" w:lineRule="auto" w:before="2"/>
        <w:ind w:left="1940" w:right="2260" w:firstLine="0"/>
        <w:jc w:val="both"/>
        <w:rPr>
          <w:sz w:val="21"/>
        </w:rPr>
      </w:pPr>
      <w:r>
        <w:rPr>
          <w:sz w:val="21"/>
        </w:rPr>
        <w:t>But those are not matters we need decide in these proceedings. All we need do is to bring the present state of facts to the notice of the Advocate General of Uttar Pradesh and leave him to consider whether he should not, of his own motion, institute proceedings under S. 92, Civil P. C., or take other appropriate steps. Let a copy of this judgment be sent  to</w:t>
      </w:r>
      <w:r>
        <w:rPr>
          <w:spacing w:val="-2"/>
          <w:sz w:val="21"/>
        </w:rPr>
        <w:t> </w:t>
      </w:r>
      <w:r>
        <w:rPr>
          <w:sz w:val="21"/>
        </w:rPr>
        <w:t>him.‖</w:t>
      </w:r>
    </w:p>
    <w:p>
      <w:pPr>
        <w:pStyle w:val="BodyText"/>
        <w:rPr>
          <w:sz w:val="24"/>
        </w:rPr>
      </w:pPr>
    </w:p>
    <w:p>
      <w:pPr>
        <w:pStyle w:val="BodyText"/>
        <w:spacing w:before="10"/>
        <w:rPr>
          <w:sz w:val="23"/>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 decisions of this Court in </w:t>
      </w:r>
      <w:r>
        <w:rPr>
          <w:b/>
          <w:sz w:val="25"/>
        </w:rPr>
        <w:t>Gopal Krishnaji Ketkar </w:t>
      </w:r>
      <w:r>
        <w:rPr>
          <w:sz w:val="25"/>
        </w:rPr>
        <w:t>and </w:t>
      </w:r>
      <w:r>
        <w:rPr>
          <w:b/>
          <w:sz w:val="25"/>
        </w:rPr>
        <w:t>Vikrama Das </w:t>
      </w:r>
      <w:r>
        <w:rPr>
          <w:sz w:val="25"/>
        </w:rPr>
        <w:t>affirm that the interest of protecting the trust properties was the basis of conferring upon a </w:t>
      </w:r>
      <w:r>
        <w:rPr>
          <w:i/>
          <w:sz w:val="25"/>
        </w:rPr>
        <w:t>de facto </w:t>
      </w:r>
      <w:r>
        <w:rPr>
          <w:sz w:val="25"/>
        </w:rPr>
        <w:t>shebait the limited right of instituting </w:t>
      </w:r>
      <w:r>
        <w:rPr>
          <w:i/>
          <w:sz w:val="25"/>
        </w:rPr>
        <w:t>bona fide </w:t>
      </w:r>
      <w:r>
        <w:rPr>
          <w:sz w:val="25"/>
        </w:rPr>
        <w:t>suits on behalf of the idol. Where there was no </w:t>
      </w:r>
      <w:r>
        <w:rPr>
          <w:i/>
          <w:sz w:val="25"/>
        </w:rPr>
        <w:t>de jure </w:t>
      </w:r>
      <w:r>
        <w:rPr>
          <w:sz w:val="25"/>
        </w:rPr>
        <w:t>shebait, the law recognised the person managing the property as a shebait to the extent of protecting the idol and its properties. However, this limited recognition did not confer upon </w:t>
      </w:r>
      <w:r>
        <w:rPr>
          <w:i/>
          <w:sz w:val="25"/>
        </w:rPr>
        <w:t>de facto </w:t>
      </w:r>
      <w:r>
        <w:rPr>
          <w:sz w:val="25"/>
        </w:rPr>
        <w:t>shebaits the right to continue in</w:t>
      </w:r>
      <w:r>
        <w:rPr>
          <w:spacing w:val="-4"/>
          <w:sz w:val="25"/>
        </w:rPr>
        <w:t> </w:t>
      </w:r>
      <w:r>
        <w:rPr>
          <w:sz w:val="25"/>
        </w:rPr>
        <w:t>perpetuity.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pict>
          <v:rect style="position:absolute;margin-left:72.024002pt;margin-top:10.129737pt;width:144.020pt;height:.599980pt;mso-position-horizontal-relative:page;mso-position-vertical-relative:paragraph;z-index:-1566310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237</w:t>
      </w:r>
      <w:r>
        <w:rPr>
          <w:sz w:val="18"/>
          <w:vertAlign w:val="baseline"/>
        </w:rPr>
        <w:t>AIR 1956 SC 382</w:t>
      </w:r>
    </w:p>
    <w:p>
      <w:pPr>
        <w:spacing w:after="0"/>
        <w:jc w:val="left"/>
        <w:rPr>
          <w:sz w:val="18"/>
        </w:rPr>
        <w:sectPr>
          <w:pgSz w:w="11910" w:h="16840"/>
          <w:pgMar w:header="721" w:footer="1014" w:top="1300" w:bottom="1200" w:left="940" w:right="1000"/>
        </w:sectPr>
      </w:pPr>
    </w:p>
    <w:p>
      <w:pPr>
        <w:pStyle w:val="Heading4"/>
        <w:spacing w:before="126"/>
        <w:jc w:val="left"/>
        <w:rPr>
          <w:i/>
        </w:rPr>
      </w:pPr>
      <w:r>
        <w:rPr>
          <w:i/>
        </w:rPr>
        <w:t>The Nirmohi Claim</w:t>
      </w:r>
    </w:p>
    <w:p>
      <w:pPr>
        <w:pStyle w:val="BodyText"/>
        <w:rPr>
          <w:i/>
          <w:sz w:val="28"/>
        </w:rPr>
      </w:pPr>
    </w:p>
    <w:p>
      <w:pPr>
        <w:pStyle w:val="ListParagraph"/>
        <w:numPr>
          <w:ilvl w:val="0"/>
          <w:numId w:val="111"/>
        </w:numPr>
        <w:tabs>
          <w:tab w:pos="1221" w:val="left" w:leader="none"/>
        </w:tabs>
        <w:spacing w:line="480" w:lineRule="auto" w:before="250" w:after="0"/>
        <w:ind w:left="500" w:right="436" w:firstLine="0"/>
        <w:jc w:val="both"/>
        <w:rPr>
          <w:sz w:val="25"/>
        </w:rPr>
      </w:pPr>
      <w:r>
        <w:rPr>
          <w:sz w:val="25"/>
        </w:rPr>
        <w:t>Having adverted to the legal standard that must be satisfied for a court to recognise a </w:t>
      </w:r>
      <w:r>
        <w:rPr>
          <w:i/>
          <w:sz w:val="25"/>
        </w:rPr>
        <w:t>de facto </w:t>
      </w:r>
      <w:r>
        <w:rPr>
          <w:sz w:val="25"/>
        </w:rPr>
        <w:t>shebait, the stage has been reached to adjudicate upon the contention urged by the Nirmohi Akhara that it is the shebait of the idols at the disputed site. Nirmohi Akhara is a Panchayati Math of the Ramanandi sect of Bairagis which is a religious denomination. The customs of Nirmohi Akhara purport to have been reduced to writing by a registered deed dated 19 March 1949. It was contended that the disputed structure is a temple building which has been in the possession of Nirmohi Akhara and only the Hindus have been allowed to enter the temple and make offerings. Nirmohi Akhara claims that it  has been receiving the offerings through its pujaris. The averments contained in the plaint as well as the reliefs which have been claimed by Nirmohi Akhara indicate that the claim is to a right to manage and have charge of the temple. Nirmohi Akhara contended that it has been in possession of the property and has exercised management rights which amounts to a conferral on them of the status of a </w:t>
      </w:r>
      <w:r>
        <w:rPr>
          <w:i/>
          <w:sz w:val="25"/>
        </w:rPr>
        <w:t>de facto </w:t>
      </w:r>
      <w:r>
        <w:rPr>
          <w:sz w:val="25"/>
        </w:rPr>
        <w:t>shebait.</w:t>
      </w:r>
    </w:p>
    <w:p>
      <w:pPr>
        <w:pStyle w:val="BodyText"/>
        <w:spacing w:before="1"/>
        <w:rPr>
          <w:sz w:val="39"/>
        </w:rPr>
      </w:pPr>
    </w:p>
    <w:p>
      <w:pPr>
        <w:pStyle w:val="ListParagraph"/>
        <w:numPr>
          <w:ilvl w:val="0"/>
          <w:numId w:val="111"/>
        </w:numPr>
        <w:tabs>
          <w:tab w:pos="1221" w:val="left" w:leader="none"/>
        </w:tabs>
        <w:spacing w:line="480" w:lineRule="auto" w:before="0" w:after="0"/>
        <w:ind w:left="500" w:right="440" w:firstLine="0"/>
        <w:jc w:val="both"/>
        <w:rPr>
          <w:sz w:val="25"/>
        </w:rPr>
      </w:pPr>
      <w:r>
        <w:rPr>
          <w:sz w:val="25"/>
        </w:rPr>
        <w:t>At the outset, it was contended by Nirmohi Akhara that absent an  averment in the plaint in Suit 5 disputing its status as the shebait of the idols of Lord Ram, their status as shebaits cannot be disputed. It was further contended that no rival claim to the rights of the shebait have been set up in any suit. Consequently, it was urged that it must be held that the Nirmohis are the shebaits of the idols of Lord Ram. This contention cannot be accepted. If Nirmohi Akhara were to be recognised as a </w:t>
      </w:r>
      <w:r>
        <w:rPr>
          <w:i/>
          <w:sz w:val="25"/>
        </w:rPr>
        <w:t>de facto </w:t>
      </w:r>
      <w:r>
        <w:rPr>
          <w:sz w:val="25"/>
        </w:rPr>
        <w:t>shebait, this would confer on it a</w:t>
      </w:r>
      <w:r>
        <w:rPr>
          <w:spacing w:val="3"/>
          <w:sz w:val="25"/>
        </w:rPr>
        <w:t> </w:t>
      </w:r>
      <w:r>
        <w:rPr>
          <w:sz w:val="25"/>
        </w:rPr>
        <w:t>substantive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5"/>
        <w:jc w:val="both"/>
      </w:pPr>
      <w:r>
        <w:rPr/>
        <w:t>right in law to bring actions on behalf of the idol to the exclusion of all other persons. The actions of a shebait bind the idol and its properties. Absent an express deed of dedication conferring shebaiti rights on Nirmohi Akhara, there is a positive burden on it to demonstrate that it was </w:t>
      </w:r>
      <w:r>
        <w:rPr>
          <w:i/>
        </w:rPr>
        <w:t>in fact </w:t>
      </w:r>
      <w:r>
        <w:rPr/>
        <w:t>a shebait of the idols. For this reason, the Nirmohi Akhara must establish, on the basis of oral and documentary evidence, that they have exercised all the rights required to be recognised as </w:t>
      </w:r>
      <w:r>
        <w:rPr>
          <w:i/>
        </w:rPr>
        <w:t>de facto</w:t>
      </w:r>
      <w:r>
        <w:rPr>
          <w:i/>
          <w:spacing w:val="1"/>
        </w:rPr>
        <w:t> </w:t>
      </w:r>
      <w:r>
        <w:rPr/>
        <w:t>shebaits.</w:t>
      </w:r>
    </w:p>
    <w:p>
      <w:pPr>
        <w:pStyle w:val="BodyText"/>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Nirmohi Akhara denies the incident of 22/23 December 1949 during which the idols were surreptitiously introduced into the inner sanctum of the disputed structure. The claim that Nirmohi Akhara were in possession of the inner courtyard on the basis of the evidence on record has already been rejected. Nirmohi Akhara has failed to prove that at the material time, the disputed structure was a temple which was in its possession and that no incident had taken place on 22/23 December 1949. Absent exclusive possession of the inner courtyard, the claim that Nirmohi Akhara was managing the inner courtyard as shebaits does not arise. It was in this context that Justice Sudhir Agarwal</w:t>
      </w:r>
      <w:r>
        <w:rPr>
          <w:spacing w:val="-19"/>
          <w:sz w:val="25"/>
        </w:rPr>
        <w:t> </w:t>
      </w:r>
      <w:r>
        <w:rPr>
          <w:sz w:val="25"/>
        </w:rPr>
        <w:t>held:</w:t>
      </w:r>
    </w:p>
    <w:p>
      <w:pPr>
        <w:spacing w:line="276" w:lineRule="auto" w:before="158"/>
        <w:ind w:left="1940" w:right="2260" w:firstLine="0"/>
        <w:jc w:val="both"/>
        <w:rPr>
          <w:sz w:val="21"/>
        </w:rPr>
      </w:pPr>
      <w:r>
        <w:rPr>
          <w:spacing w:val="-1"/>
          <w:w w:val="33"/>
          <w:sz w:val="21"/>
        </w:rPr>
        <w:t>―</w:t>
      </w:r>
      <w:r>
        <w:rPr>
          <w:spacing w:val="-1"/>
          <w:w w:val="100"/>
          <w:sz w:val="21"/>
        </w:rPr>
        <w:t>299</w:t>
      </w:r>
      <w:r>
        <w:rPr>
          <w:w w:val="100"/>
          <w:sz w:val="21"/>
        </w:rPr>
        <w:t>4.</w:t>
      </w:r>
      <w:r>
        <w:rPr>
          <w:spacing w:val="2"/>
          <w:sz w:val="21"/>
        </w:rPr>
        <w:t> </w:t>
      </w:r>
      <w:r>
        <w:rPr>
          <w:spacing w:val="-2"/>
          <w:w w:val="100"/>
          <w:sz w:val="21"/>
        </w:rPr>
        <w:t>N</w:t>
      </w:r>
      <w:r>
        <w:rPr>
          <w:spacing w:val="-1"/>
          <w:w w:val="100"/>
          <w:sz w:val="21"/>
        </w:rPr>
        <w:t>o</w:t>
      </w:r>
      <w:r>
        <w:rPr>
          <w:w w:val="100"/>
          <w:sz w:val="21"/>
        </w:rPr>
        <w:t>w</w:t>
      </w:r>
      <w:r>
        <w:rPr>
          <w:spacing w:val="2"/>
          <w:sz w:val="21"/>
        </w:rPr>
        <w:t> </w:t>
      </w:r>
      <w:r>
        <w:rPr>
          <w:w w:val="100"/>
          <w:sz w:val="21"/>
        </w:rPr>
        <w:t>c</w:t>
      </w:r>
      <w:r>
        <w:rPr>
          <w:spacing w:val="-3"/>
          <w:w w:val="100"/>
          <w:sz w:val="21"/>
        </w:rPr>
        <w:t>o</w:t>
      </w:r>
      <w:r>
        <w:rPr>
          <w:spacing w:val="1"/>
          <w:w w:val="100"/>
          <w:sz w:val="21"/>
        </w:rPr>
        <w:t>m</w:t>
      </w:r>
      <w:r>
        <w:rPr>
          <w:spacing w:val="-2"/>
          <w:w w:val="100"/>
          <w:sz w:val="21"/>
        </w:rPr>
        <w:t>i</w:t>
      </w:r>
      <w:r>
        <w:rPr>
          <w:spacing w:val="-1"/>
          <w:w w:val="100"/>
          <w:sz w:val="21"/>
        </w:rPr>
        <w:t>n</w:t>
      </w:r>
      <w:r>
        <w:rPr>
          <w:w w:val="100"/>
          <w:sz w:val="21"/>
        </w:rPr>
        <w:t>g</w:t>
      </w:r>
      <w:r>
        <w:rPr>
          <w:spacing w:val="4"/>
          <w:sz w:val="21"/>
        </w:rPr>
        <w:t> </w:t>
      </w:r>
      <w:r>
        <w:rPr>
          <w:spacing w:val="-2"/>
          <w:w w:val="100"/>
          <w:sz w:val="21"/>
        </w:rPr>
        <w:t>t</w:t>
      </w:r>
      <w:r>
        <w:rPr>
          <w:w w:val="100"/>
          <w:sz w:val="21"/>
        </w:rPr>
        <w:t>o</w:t>
      </w:r>
      <w:r>
        <w:rPr>
          <w:spacing w:val="3"/>
          <w:sz w:val="21"/>
        </w:rPr>
        <w:t> </w:t>
      </w:r>
      <w:r>
        <w:rPr>
          <w:spacing w:val="-2"/>
          <w:w w:val="100"/>
          <w:sz w:val="21"/>
        </w:rPr>
        <w:t>I</w:t>
      </w:r>
      <w:r>
        <w:rPr>
          <w:w w:val="100"/>
          <w:sz w:val="21"/>
        </w:rPr>
        <w:t>ssue</w:t>
      </w:r>
      <w:r>
        <w:rPr>
          <w:spacing w:val="4"/>
          <w:sz w:val="21"/>
        </w:rPr>
        <w:t> </w:t>
      </w:r>
      <w:r>
        <w:rPr>
          <w:w w:val="100"/>
          <w:sz w:val="21"/>
        </w:rPr>
        <w:t>N</w:t>
      </w:r>
      <w:r>
        <w:rPr>
          <w:spacing w:val="-1"/>
          <w:w w:val="100"/>
          <w:sz w:val="21"/>
        </w:rPr>
        <w:t>o</w:t>
      </w:r>
      <w:r>
        <w:rPr>
          <w:w w:val="100"/>
          <w:sz w:val="21"/>
        </w:rPr>
        <w:t>.</w:t>
      </w:r>
      <w:r>
        <w:rPr>
          <w:spacing w:val="2"/>
          <w:sz w:val="21"/>
        </w:rPr>
        <w:t> </w:t>
      </w:r>
      <w:r>
        <w:rPr>
          <w:w w:val="100"/>
          <w:sz w:val="21"/>
        </w:rPr>
        <w:t>3</w:t>
      </w:r>
      <w:r>
        <w:rPr>
          <w:spacing w:val="3"/>
          <w:sz w:val="21"/>
        </w:rPr>
        <w:t> </w:t>
      </w:r>
      <w:r>
        <w:rPr>
          <w:spacing w:val="-1"/>
          <w:w w:val="100"/>
          <w:sz w:val="21"/>
        </w:rPr>
        <w:t>(</w:t>
      </w:r>
      <w:r>
        <w:rPr>
          <w:w w:val="100"/>
          <w:sz w:val="21"/>
        </w:rPr>
        <w:t>s</w:t>
      </w:r>
      <w:r>
        <w:rPr>
          <w:spacing w:val="-3"/>
          <w:w w:val="100"/>
          <w:sz w:val="21"/>
        </w:rPr>
        <w:t>u</w:t>
      </w:r>
      <w:r>
        <w:rPr>
          <w:w w:val="100"/>
          <w:sz w:val="21"/>
        </w:rPr>
        <w:t>i</w:t>
      </w:r>
      <w:r>
        <w:rPr>
          <w:spacing w:val="2"/>
          <w:w w:val="100"/>
          <w:sz w:val="21"/>
        </w:rPr>
        <w:t>t</w:t>
      </w:r>
      <w:r>
        <w:rPr>
          <w:spacing w:val="-1"/>
          <w:w w:val="100"/>
          <w:sz w:val="21"/>
        </w:rPr>
        <w:t>-</w:t>
      </w:r>
      <w:r>
        <w:rPr>
          <w:w w:val="100"/>
          <w:sz w:val="21"/>
        </w:rPr>
        <w:t>3),</w:t>
      </w:r>
      <w:r>
        <w:rPr>
          <w:spacing w:val="2"/>
          <w:sz w:val="21"/>
        </w:rPr>
        <w:t> </w:t>
      </w:r>
      <w:r>
        <w:rPr>
          <w:w w:val="100"/>
          <w:sz w:val="21"/>
        </w:rPr>
        <w:t>i</w:t>
      </w:r>
      <w:r>
        <w:rPr>
          <w:w w:val="100"/>
          <w:sz w:val="21"/>
        </w:rPr>
        <w:t>t</w:t>
      </w:r>
      <w:r>
        <w:rPr>
          <w:spacing w:val="2"/>
          <w:sz w:val="21"/>
        </w:rPr>
        <w:t> </w:t>
      </w:r>
      <w:r>
        <w:rPr>
          <w:w w:val="100"/>
          <w:sz w:val="21"/>
        </w:rPr>
        <w:t>has</w:t>
      </w:r>
      <w:r>
        <w:rPr>
          <w:spacing w:val="4"/>
          <w:sz w:val="21"/>
        </w:rPr>
        <w:t> </w:t>
      </w:r>
      <w:r>
        <w:rPr>
          <w:spacing w:val="-2"/>
          <w:w w:val="100"/>
          <w:sz w:val="21"/>
        </w:rPr>
        <w:t>t</w:t>
      </w:r>
      <w:r>
        <w:rPr>
          <w:w w:val="100"/>
          <w:sz w:val="21"/>
        </w:rPr>
        <w:t>o</w:t>
      </w:r>
      <w:r>
        <w:rPr>
          <w:spacing w:val="3"/>
          <w:sz w:val="21"/>
        </w:rPr>
        <w:t> </w:t>
      </w:r>
      <w:r>
        <w:rPr>
          <w:w w:val="100"/>
          <w:sz w:val="21"/>
        </w:rPr>
        <w:t>be</w:t>
      </w:r>
      <w:r>
        <w:rPr>
          <w:spacing w:val="1"/>
          <w:sz w:val="21"/>
        </w:rPr>
        <w:t> </w:t>
      </w:r>
      <w:r>
        <w:rPr>
          <w:spacing w:val="2"/>
          <w:w w:val="100"/>
          <w:sz w:val="21"/>
        </w:rPr>
        <w:t>k</w:t>
      </w:r>
      <w:r>
        <w:rPr>
          <w:w w:val="100"/>
          <w:sz w:val="21"/>
        </w:rPr>
        <w:t>ept</w:t>
      </w:r>
      <w:r>
        <w:rPr>
          <w:spacing w:val="2"/>
          <w:sz w:val="21"/>
        </w:rPr>
        <w:t> </w:t>
      </w:r>
      <w:r>
        <w:rPr>
          <w:spacing w:val="-2"/>
          <w:w w:val="100"/>
          <w:sz w:val="21"/>
        </w:rPr>
        <w:t>i</w:t>
      </w:r>
      <w:r>
        <w:rPr>
          <w:w w:val="100"/>
          <w:sz w:val="21"/>
        </w:rPr>
        <w:t>n </w:t>
      </w:r>
      <w:r>
        <w:rPr>
          <w:sz w:val="21"/>
        </w:rPr>
        <w:t>mind that this suit is also confined to the premises within the inner Courtyard and not the entire premises, </w:t>
      </w:r>
      <w:r>
        <w:rPr>
          <w:i/>
          <w:sz w:val="21"/>
        </w:rPr>
        <w:t>i.e.</w:t>
      </w:r>
      <w:r>
        <w:rPr>
          <w:sz w:val="21"/>
        </w:rPr>
        <w:t>, the outer and the inner Courtyard including the building. This is what is stated by the counsel for Nirmohi Akhara in his statement made on 17.5.1963 under Order X Rule 1</w:t>
      </w:r>
      <w:r>
        <w:rPr>
          <w:spacing w:val="-16"/>
          <w:sz w:val="21"/>
        </w:rPr>
        <w:t> </w:t>
      </w:r>
      <w:r>
        <w:rPr>
          <w:sz w:val="21"/>
        </w:rPr>
        <w:t>CPC.</w:t>
      </w:r>
    </w:p>
    <w:p>
      <w:pPr>
        <w:pStyle w:val="BodyText"/>
        <w:spacing w:before="2"/>
        <w:rPr>
          <w:sz w:val="24"/>
        </w:rPr>
      </w:pPr>
    </w:p>
    <w:p>
      <w:pPr>
        <w:spacing w:line="276" w:lineRule="auto" w:before="0"/>
        <w:ind w:left="1940" w:right="2262" w:firstLine="0"/>
        <w:jc w:val="both"/>
        <w:rPr>
          <w:sz w:val="21"/>
        </w:rPr>
      </w:pPr>
      <w:r>
        <w:rPr>
          <w:sz w:val="21"/>
        </w:rPr>
        <w:t>4537. In these particular facts and circumstances and the stand of Nirmohi Akhara, we have no option but to hold that so far as the idols of Bhagwan Sri Ram installed in the disputed structure </w:t>
      </w:r>
      <w:r>
        <w:rPr>
          <w:i/>
          <w:sz w:val="21"/>
        </w:rPr>
        <w:t>i.e. </w:t>
      </w:r>
      <w:r>
        <w:rPr>
          <w:sz w:val="21"/>
        </w:rPr>
        <w:t>within the inner courtyard is concerned, the defendant Nirmohi Akhara cannot be said to be a Shebait thereof.‖</w:t>
      </w:r>
    </w:p>
    <w:p>
      <w:pPr>
        <w:spacing w:after="0" w:line="276" w:lineRule="auto"/>
        <w:jc w:val="both"/>
        <w:rPr>
          <w:sz w:val="21"/>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36" w:firstLine="0"/>
        <w:jc w:val="both"/>
        <w:rPr>
          <w:sz w:val="25"/>
        </w:rPr>
      </w:pPr>
      <w:r>
        <w:rPr>
          <w:sz w:val="25"/>
        </w:rPr>
        <w:t>In the written submissions of Nirmohi Akhara it has been contended that the inner and outer courtyard form a composite whole and Suit 3 was only filed with respect to the inner courtyard as only the inner courtyard was the subject of the attachment proceedings. Nirmohi Akhara submits that the attachment order made an arbitrary distinction between the inner and outer courtyard and a finding with respect to the inner courtyard does not undermine their claim to shebaitship of the entire premises. Even if this argument is accepted, apart from the determination that Nirmohi Akahra was not in possession of the inner courtyard, the independent question that arises for our determination is whether Nirmohi Akhara consistently exercised management rights over the idols in the outer courtyard to claim a right in law as a </w:t>
      </w:r>
      <w:r>
        <w:rPr>
          <w:i/>
          <w:sz w:val="25"/>
        </w:rPr>
        <w:t>de facto </w:t>
      </w:r>
      <w:r>
        <w:rPr>
          <w:sz w:val="25"/>
        </w:rPr>
        <w:t>shebait of the idols of Lord Ram. To support their contention, Nirmohi Akhara has relied on the oral evidence of witnesses in Suits 3 and 5 and also submitted certain additional documents to establish its status as</w:t>
      </w:r>
      <w:r>
        <w:rPr>
          <w:spacing w:val="-4"/>
          <w:sz w:val="25"/>
        </w:rPr>
        <w:t> </w:t>
      </w:r>
      <w:r>
        <w:rPr>
          <w:sz w:val="25"/>
        </w:rPr>
        <w:t>shebait.</w:t>
      </w:r>
    </w:p>
    <w:p>
      <w:pPr>
        <w:pStyle w:val="BodyText"/>
        <w:spacing w:before="10"/>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Mr S K Jain, learned Senior Counsel appearing on behalf of the plaintiff in Suit 3 placed reliance on the witness statements of Mahant Bhaskar Das </w:t>
      </w:r>
      <w:r>
        <w:rPr>
          <w:spacing w:val="-3"/>
          <w:sz w:val="25"/>
        </w:rPr>
        <w:t>(DW </w:t>
      </w:r>
      <w:r>
        <w:rPr>
          <w:sz w:val="25"/>
        </w:rPr>
        <w:t>3/1) and Raja Ram Pandey (DW 3/2) in Suit 3 to contend that it was admitted that the Nirmohi Akhara had been exercising the rights of a shebait since time immemorial. The oral evidence submitted by Nirmohi Akhara has already been analysed in the course of this judgement. The statements by their witnesses cannot be relied on to establish a cogent account of the activities undertaken by Nirmohi Akhara at the disputed site. Numerous witnesses admitted to not having read their own affidavits in lieu of their Examination-in-Chief. The</w:t>
      </w:r>
      <w:r>
        <w:rPr>
          <w:spacing w:val="62"/>
          <w:sz w:val="25"/>
        </w:rPr>
        <w:t> </w:t>
      </w:r>
      <w:r>
        <w:rPr>
          <w:sz w:val="25"/>
        </w:rPr>
        <w:t>witnesses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t>merely signed the relevant documents without understanding the testimony contained therein. Further, under cross-examination, a number of the witnesses expressly contradicted their own statements. Several witnesses admitted to not having even entered the disputed structure or rescinded earlier statements about their visits to the disputed structure. In light of these observations, the oral evidence relied upon by Nirmohi Akhara to establish their position as shebaits cannot be accepted. However, for the sake of completeness, the relevant  extracts are examined</w:t>
      </w:r>
      <w:r>
        <w:rPr>
          <w:spacing w:val="-3"/>
        </w:rPr>
        <w:t> </w:t>
      </w:r>
      <w:r>
        <w:rPr/>
        <w:t>below.</w:t>
      </w:r>
    </w:p>
    <w:p>
      <w:pPr>
        <w:pStyle w:val="BodyText"/>
        <w:spacing w:before="11"/>
        <w:rPr>
          <w:sz w:val="38"/>
        </w:rPr>
      </w:pPr>
    </w:p>
    <w:p>
      <w:pPr>
        <w:pStyle w:val="ListParagraph"/>
        <w:numPr>
          <w:ilvl w:val="0"/>
          <w:numId w:val="111"/>
        </w:numPr>
        <w:tabs>
          <w:tab w:pos="1292" w:val="left" w:leader="none"/>
          <w:tab w:pos="1293" w:val="left" w:leader="none"/>
        </w:tabs>
        <w:spacing w:line="480" w:lineRule="auto" w:before="0" w:after="0"/>
        <w:ind w:left="500" w:right="443" w:firstLine="0"/>
        <w:jc w:val="left"/>
        <w:rPr>
          <w:sz w:val="25"/>
        </w:rPr>
      </w:pPr>
      <w:r>
        <w:rPr>
          <w:sz w:val="25"/>
        </w:rPr>
        <w:t>Mahant Bhaskar Das (DW 3/1) was the Panch of Nirmohi Akhara since 1950 and was at the material time the Sarpanch. In his affidavit, it was</w:t>
      </w:r>
      <w:r>
        <w:rPr>
          <w:spacing w:val="-20"/>
          <w:sz w:val="25"/>
        </w:rPr>
        <w:t> </w:t>
      </w:r>
      <w:r>
        <w:rPr>
          <w:sz w:val="25"/>
        </w:rPr>
        <w:t>stated:</w:t>
      </w:r>
    </w:p>
    <w:p>
      <w:pPr>
        <w:spacing w:line="276" w:lineRule="auto" w:before="159"/>
        <w:ind w:left="1940" w:right="2168" w:firstLine="0"/>
        <w:jc w:val="both"/>
        <w:rPr>
          <w:sz w:val="21"/>
        </w:rPr>
      </w:pPr>
      <w:r>
        <w:rPr>
          <w:spacing w:val="-1"/>
          <w:w w:val="33"/>
          <w:sz w:val="21"/>
        </w:rPr>
        <w:t>―</w:t>
      </w:r>
      <w:r>
        <w:rPr>
          <w:spacing w:val="-1"/>
          <w:w w:val="100"/>
          <w:sz w:val="21"/>
        </w:rPr>
        <w:t>81</w:t>
      </w:r>
      <w:r>
        <w:rPr>
          <w:w w:val="100"/>
          <w:sz w:val="21"/>
        </w:rPr>
        <w:t>.</w:t>
      </w:r>
      <w:r>
        <w:rPr>
          <w:sz w:val="21"/>
        </w:rPr>
        <w:t> </w:t>
      </w:r>
      <w:r>
        <w:rPr>
          <w:spacing w:val="-22"/>
          <w:sz w:val="21"/>
        </w:rPr>
        <w:t> </w:t>
      </w:r>
      <w:r>
        <w:rPr>
          <w:spacing w:val="-1"/>
          <w:w w:val="100"/>
          <w:sz w:val="21"/>
        </w:rPr>
        <w:t>Lor</w:t>
      </w:r>
      <w:r>
        <w:rPr>
          <w:w w:val="100"/>
          <w:sz w:val="21"/>
        </w:rPr>
        <w:t>d</w:t>
      </w:r>
      <w:r>
        <w:rPr>
          <w:sz w:val="21"/>
        </w:rPr>
        <w:t> </w:t>
      </w:r>
      <w:r>
        <w:rPr>
          <w:spacing w:val="-22"/>
          <w:sz w:val="21"/>
        </w:rPr>
        <w:t> </w:t>
      </w:r>
      <w:r>
        <w:rPr>
          <w:spacing w:val="-2"/>
          <w:w w:val="100"/>
          <w:sz w:val="21"/>
        </w:rPr>
        <w:t>R</w:t>
      </w:r>
      <w:r>
        <w:rPr>
          <w:spacing w:val="-3"/>
          <w:w w:val="100"/>
          <w:sz w:val="21"/>
        </w:rPr>
        <w:t>a</w:t>
      </w:r>
      <w:r>
        <w:rPr>
          <w:w w:val="100"/>
          <w:sz w:val="21"/>
        </w:rPr>
        <w:t>m</w:t>
      </w:r>
      <w:r>
        <w:rPr>
          <w:sz w:val="21"/>
        </w:rPr>
        <w:t> </w:t>
      </w:r>
      <w:r>
        <w:rPr>
          <w:spacing w:val="-20"/>
          <w:sz w:val="21"/>
        </w:rPr>
        <w:t> </w:t>
      </w:r>
      <w:r>
        <w:rPr>
          <w:spacing w:val="-1"/>
          <w:w w:val="100"/>
          <w:sz w:val="21"/>
        </w:rPr>
        <w:t>L</w:t>
      </w:r>
      <w:r>
        <w:rPr>
          <w:spacing w:val="-3"/>
          <w:w w:val="100"/>
          <w:sz w:val="21"/>
        </w:rPr>
        <w:t>a</w:t>
      </w:r>
      <w:r>
        <w:rPr>
          <w:w w:val="100"/>
          <w:sz w:val="21"/>
        </w:rPr>
        <w:t>l</w:t>
      </w:r>
      <w:r>
        <w:rPr>
          <w:spacing w:val="-2"/>
          <w:w w:val="100"/>
          <w:sz w:val="21"/>
        </w:rPr>
        <w:t>l</w:t>
      </w:r>
      <w:r>
        <w:rPr>
          <w:w w:val="100"/>
          <w:sz w:val="21"/>
        </w:rPr>
        <w:t>a</w:t>
      </w:r>
      <w:r>
        <w:rPr>
          <w:sz w:val="21"/>
        </w:rPr>
        <w:t> </w:t>
      </w:r>
      <w:r>
        <w:rPr>
          <w:spacing w:val="-21"/>
          <w:sz w:val="21"/>
        </w:rPr>
        <w:t> </w:t>
      </w:r>
      <w:r>
        <w:rPr>
          <w:w w:val="100"/>
          <w:sz w:val="21"/>
        </w:rPr>
        <w:t>is</w:t>
      </w:r>
      <w:r>
        <w:rPr>
          <w:sz w:val="21"/>
        </w:rPr>
        <w:t> </w:t>
      </w:r>
      <w:r>
        <w:rPr>
          <w:spacing w:val="-21"/>
          <w:sz w:val="21"/>
        </w:rPr>
        <w:t> </w:t>
      </w:r>
      <w:r>
        <w:rPr>
          <w:spacing w:val="-3"/>
          <w:w w:val="100"/>
          <w:sz w:val="21"/>
        </w:rPr>
        <w:t>s</w:t>
      </w:r>
      <w:r>
        <w:rPr>
          <w:spacing w:val="-1"/>
          <w:w w:val="100"/>
          <w:sz w:val="21"/>
        </w:rPr>
        <w:t>eate</w:t>
      </w:r>
      <w:r>
        <w:rPr>
          <w:w w:val="100"/>
          <w:sz w:val="21"/>
        </w:rPr>
        <w:t>d</w:t>
      </w:r>
      <w:r>
        <w:rPr>
          <w:sz w:val="21"/>
        </w:rPr>
        <w:t> </w:t>
      </w:r>
      <w:r>
        <w:rPr>
          <w:spacing w:val="-21"/>
          <w:sz w:val="21"/>
        </w:rPr>
        <w:t> </w:t>
      </w:r>
      <w:r>
        <w:rPr>
          <w:spacing w:val="-2"/>
          <w:w w:val="100"/>
          <w:sz w:val="21"/>
        </w:rPr>
        <w:t>i</w:t>
      </w:r>
      <w:r>
        <w:rPr>
          <w:w w:val="100"/>
          <w:sz w:val="21"/>
        </w:rPr>
        <w:t>n</w:t>
      </w:r>
      <w:r>
        <w:rPr>
          <w:sz w:val="21"/>
        </w:rPr>
        <w:t> </w:t>
      </w:r>
      <w:r>
        <w:rPr>
          <w:spacing w:val="-21"/>
          <w:sz w:val="21"/>
        </w:rPr>
        <w:t> </w:t>
      </w:r>
      <w:r>
        <w:rPr>
          <w:spacing w:val="-2"/>
          <w:w w:val="100"/>
          <w:sz w:val="21"/>
        </w:rPr>
        <w:t>t</w:t>
      </w:r>
      <w:r>
        <w:rPr>
          <w:spacing w:val="-1"/>
          <w:w w:val="100"/>
          <w:sz w:val="21"/>
        </w:rPr>
        <w:t>h</w:t>
      </w:r>
      <w:r>
        <w:rPr>
          <w:w w:val="100"/>
          <w:sz w:val="21"/>
        </w:rPr>
        <w:t>e</w:t>
      </w:r>
      <w:r>
        <w:rPr>
          <w:sz w:val="21"/>
        </w:rPr>
        <w:t> </w:t>
      </w:r>
      <w:r>
        <w:rPr>
          <w:spacing w:val="-21"/>
          <w:sz w:val="21"/>
        </w:rPr>
        <w:t> </w:t>
      </w:r>
      <w:r>
        <w:rPr>
          <w:w w:val="100"/>
          <w:sz w:val="21"/>
        </w:rPr>
        <w:t>i</w:t>
      </w:r>
      <w:r>
        <w:rPr>
          <w:spacing w:val="-3"/>
          <w:w w:val="100"/>
          <w:sz w:val="21"/>
        </w:rPr>
        <w:t>n</w:t>
      </w:r>
      <w:r>
        <w:rPr>
          <w:spacing w:val="-1"/>
          <w:w w:val="100"/>
          <w:sz w:val="21"/>
        </w:rPr>
        <w:t>ne</w:t>
      </w:r>
      <w:r>
        <w:rPr>
          <w:w w:val="100"/>
          <w:sz w:val="21"/>
        </w:rPr>
        <w:t>r</w:t>
      </w:r>
      <w:r>
        <w:rPr>
          <w:sz w:val="21"/>
        </w:rPr>
        <w:t> </w:t>
      </w:r>
      <w:r>
        <w:rPr>
          <w:spacing w:val="-22"/>
          <w:sz w:val="21"/>
        </w:rPr>
        <w:t> </w:t>
      </w:r>
      <w:r>
        <w:rPr>
          <w:spacing w:val="-1"/>
          <w:w w:val="100"/>
          <w:sz w:val="21"/>
        </w:rPr>
        <w:t>par</w:t>
      </w:r>
      <w:r>
        <w:rPr>
          <w:w w:val="100"/>
          <w:sz w:val="21"/>
        </w:rPr>
        <w:t>t</w:t>
      </w:r>
      <w:r>
        <w:rPr>
          <w:sz w:val="21"/>
        </w:rPr>
        <w:t> </w:t>
      </w:r>
      <w:r>
        <w:rPr>
          <w:spacing w:val="-23"/>
          <w:sz w:val="21"/>
        </w:rPr>
        <w:t> </w:t>
      </w:r>
      <w:r>
        <w:rPr>
          <w:spacing w:val="-3"/>
          <w:w w:val="100"/>
          <w:sz w:val="21"/>
        </w:rPr>
        <w:t>ev</w:t>
      </w:r>
      <w:r>
        <w:rPr>
          <w:spacing w:val="-1"/>
          <w:w w:val="100"/>
          <w:sz w:val="21"/>
        </w:rPr>
        <w:t>e</w:t>
      </w:r>
      <w:r>
        <w:rPr>
          <w:w w:val="100"/>
          <w:sz w:val="21"/>
        </w:rPr>
        <w:t>n</w:t>
      </w:r>
      <w:r>
        <w:rPr>
          <w:sz w:val="21"/>
        </w:rPr>
        <w:t> </w:t>
      </w:r>
      <w:r>
        <w:rPr>
          <w:spacing w:val="-21"/>
          <w:sz w:val="21"/>
        </w:rPr>
        <w:t> </w:t>
      </w:r>
      <w:r>
        <w:rPr>
          <w:spacing w:val="-1"/>
          <w:w w:val="100"/>
          <w:sz w:val="21"/>
        </w:rPr>
        <w:t>be</w:t>
      </w:r>
      <w:r>
        <w:rPr>
          <w:spacing w:val="1"/>
          <w:w w:val="100"/>
          <w:sz w:val="21"/>
        </w:rPr>
        <w:t>f</w:t>
      </w:r>
      <w:r>
        <w:rPr>
          <w:spacing w:val="-1"/>
          <w:w w:val="100"/>
          <w:sz w:val="21"/>
        </w:rPr>
        <w:t>o</w:t>
      </w:r>
      <w:r>
        <w:rPr>
          <w:spacing w:val="-3"/>
          <w:w w:val="100"/>
          <w:sz w:val="21"/>
        </w:rPr>
        <w:t>r</w:t>
      </w:r>
      <w:r>
        <w:rPr>
          <w:w w:val="100"/>
          <w:sz w:val="21"/>
        </w:rPr>
        <w:t>e </w:t>
      </w:r>
      <w:r>
        <w:rPr>
          <w:sz w:val="21"/>
        </w:rPr>
        <w:t>1934 </w:t>
      </w:r>
      <w:r>
        <w:rPr>
          <w:b/>
          <w:sz w:val="21"/>
        </w:rPr>
        <w:t>and it had been in the possession of Nirmohi Akhara continuously since 1934</w:t>
      </w:r>
      <w:r>
        <w:rPr>
          <w:sz w:val="21"/>
        </w:rPr>
        <w:t>. The Muslims are not ignorant about it. The Lord is seated there. His worship, royal offering all is done on behalf of Nirmohi Akhara. On the day of the attachment (viz 29.12.1949) of the inner part also it was in possession of the Akhara. The ownership got ordained in Nirmohi Akhara due to its being a religious</w:t>
      </w:r>
      <w:r>
        <w:rPr>
          <w:spacing w:val="-18"/>
          <w:sz w:val="21"/>
        </w:rPr>
        <w:t> </w:t>
      </w:r>
      <w:r>
        <w:rPr>
          <w:sz w:val="21"/>
        </w:rPr>
        <w:t>trust.‖</w:t>
      </w:r>
    </w:p>
    <w:p>
      <w:pPr>
        <w:pStyle w:val="BodyText"/>
        <w:rPr>
          <w:sz w:val="24"/>
        </w:rPr>
      </w:pPr>
    </w:p>
    <w:p>
      <w:pPr>
        <w:pStyle w:val="BodyText"/>
        <w:spacing w:before="1"/>
        <w:rPr>
          <w:sz w:val="26"/>
        </w:rPr>
      </w:pPr>
    </w:p>
    <w:p>
      <w:pPr>
        <w:pStyle w:val="BodyText"/>
        <w:spacing w:line="480" w:lineRule="auto"/>
        <w:ind w:left="500" w:right="441"/>
        <w:jc w:val="both"/>
      </w:pPr>
      <w:r>
        <w:rPr/>
        <w:t>It has been held, in the course of this judgement, on an analysis of the evidence on record, that the idols were shifted under the central dome on in the intervening night of 22/23 December 1950. The affidavit of this witness contains references to the existence of Nirmohi Akhara in Ayodhya for 200 years and in the disputed site. However, with regard to the exercise of shebaiti rights, the witness</w:t>
      </w:r>
      <w:r>
        <w:rPr>
          <w:spacing w:val="-18"/>
        </w:rPr>
        <w:t> </w:t>
      </w:r>
      <w:r>
        <w:rPr/>
        <w:t>states:</w:t>
      </w:r>
    </w:p>
    <w:p>
      <w:pPr>
        <w:spacing w:line="276" w:lineRule="auto" w:before="0"/>
        <w:ind w:left="1940" w:right="2261" w:firstLine="0"/>
        <w:jc w:val="both"/>
        <w:rPr>
          <w:sz w:val="21"/>
        </w:rPr>
      </w:pPr>
      <w:r>
        <w:rPr>
          <w:spacing w:val="-1"/>
          <w:w w:val="33"/>
          <w:sz w:val="21"/>
        </w:rPr>
        <w:t>―</w:t>
      </w:r>
      <w:r>
        <w:rPr>
          <w:spacing w:val="-1"/>
          <w:w w:val="100"/>
          <w:sz w:val="21"/>
        </w:rPr>
        <w:t>35</w:t>
      </w:r>
      <w:r>
        <w:rPr>
          <w:w w:val="100"/>
          <w:sz w:val="21"/>
        </w:rPr>
        <w:t>.</w:t>
      </w:r>
      <w:r>
        <w:rPr>
          <w:spacing w:val="26"/>
          <w:sz w:val="21"/>
        </w:rPr>
        <w:t> </w:t>
      </w:r>
      <w:r>
        <w:rPr>
          <w:w w:val="100"/>
          <w:sz w:val="21"/>
        </w:rPr>
        <w:t>An</w:t>
      </w:r>
      <w:r>
        <w:rPr>
          <w:spacing w:val="27"/>
          <w:sz w:val="21"/>
        </w:rPr>
        <w:t> </w:t>
      </w:r>
      <w:r>
        <w:rPr>
          <w:spacing w:val="-1"/>
          <w:w w:val="100"/>
          <w:sz w:val="21"/>
        </w:rPr>
        <w:t>an</w:t>
      </w:r>
      <w:r>
        <w:rPr>
          <w:spacing w:val="-2"/>
          <w:w w:val="100"/>
          <w:sz w:val="21"/>
        </w:rPr>
        <w:t>n</w:t>
      </w:r>
      <w:r>
        <w:rPr>
          <w:spacing w:val="-1"/>
          <w:w w:val="100"/>
          <w:sz w:val="21"/>
        </w:rPr>
        <w:t>ua</w:t>
      </w:r>
      <w:r>
        <w:rPr>
          <w:w w:val="100"/>
          <w:sz w:val="21"/>
        </w:rPr>
        <w:t>l</w:t>
      </w:r>
      <w:r>
        <w:rPr>
          <w:spacing w:val="29"/>
          <w:sz w:val="21"/>
        </w:rPr>
        <w:t> </w:t>
      </w:r>
      <w:r>
        <w:rPr>
          <w:spacing w:val="-3"/>
          <w:w w:val="100"/>
          <w:sz w:val="21"/>
        </w:rPr>
        <w:t>c</w:t>
      </w:r>
      <w:r>
        <w:rPr>
          <w:spacing w:val="-1"/>
          <w:w w:val="100"/>
          <w:sz w:val="21"/>
        </w:rPr>
        <w:t>ontr</w:t>
      </w:r>
      <w:r>
        <w:rPr>
          <w:spacing w:val="1"/>
          <w:w w:val="100"/>
          <w:sz w:val="21"/>
        </w:rPr>
        <w:t>a</w:t>
      </w:r>
      <w:r>
        <w:rPr>
          <w:w w:val="100"/>
          <w:sz w:val="21"/>
        </w:rPr>
        <w:t>ct</w:t>
      </w:r>
      <w:r>
        <w:rPr>
          <w:spacing w:val="26"/>
          <w:sz w:val="21"/>
        </w:rPr>
        <w:t> </w:t>
      </w:r>
      <w:r>
        <w:rPr>
          <w:spacing w:val="-2"/>
          <w:w w:val="100"/>
          <w:sz w:val="21"/>
        </w:rPr>
        <w:t>w</w:t>
      </w:r>
      <w:r>
        <w:rPr>
          <w:w w:val="100"/>
          <w:sz w:val="21"/>
        </w:rPr>
        <w:t>as</w:t>
      </w:r>
      <w:r>
        <w:rPr>
          <w:spacing w:val="28"/>
          <w:sz w:val="21"/>
        </w:rPr>
        <w:t> </w:t>
      </w:r>
      <w:r>
        <w:rPr>
          <w:w w:val="100"/>
          <w:sz w:val="21"/>
        </w:rPr>
        <w:t>g</w:t>
      </w:r>
      <w:r>
        <w:rPr>
          <w:spacing w:val="1"/>
          <w:w w:val="100"/>
          <w:sz w:val="21"/>
        </w:rPr>
        <w:t>i</w:t>
      </w:r>
      <w:r>
        <w:rPr>
          <w:spacing w:val="-3"/>
          <w:w w:val="100"/>
          <w:sz w:val="21"/>
        </w:rPr>
        <w:t>v</w:t>
      </w:r>
      <w:r>
        <w:rPr>
          <w:w w:val="100"/>
          <w:sz w:val="21"/>
        </w:rPr>
        <w:t>en</w:t>
      </w:r>
      <w:r>
        <w:rPr>
          <w:spacing w:val="28"/>
          <w:sz w:val="21"/>
        </w:rPr>
        <w:t> </w:t>
      </w:r>
      <w:r>
        <w:rPr>
          <w:spacing w:val="-2"/>
          <w:w w:val="100"/>
          <w:sz w:val="21"/>
        </w:rPr>
        <w:t>t</w:t>
      </w:r>
      <w:r>
        <w:rPr>
          <w:w w:val="100"/>
          <w:sz w:val="21"/>
        </w:rPr>
        <w:t>o</w:t>
      </w:r>
      <w:r>
        <w:rPr>
          <w:spacing w:val="28"/>
          <w:sz w:val="21"/>
        </w:rPr>
        <w:t> </w:t>
      </w:r>
      <w:r>
        <w:rPr>
          <w:w w:val="100"/>
          <w:sz w:val="21"/>
        </w:rPr>
        <w:t>pro</w:t>
      </w:r>
      <w:r>
        <w:rPr>
          <w:spacing w:val="-3"/>
          <w:w w:val="100"/>
          <w:sz w:val="21"/>
        </w:rPr>
        <w:t>v</w:t>
      </w:r>
      <w:r>
        <w:rPr>
          <w:w w:val="100"/>
          <w:sz w:val="21"/>
        </w:rPr>
        <w:t>i</w:t>
      </w:r>
      <w:r>
        <w:rPr>
          <w:w w:val="100"/>
          <w:sz w:val="21"/>
        </w:rPr>
        <w:t>de</w:t>
      </w:r>
      <w:r>
        <w:rPr>
          <w:spacing w:val="28"/>
          <w:sz w:val="21"/>
        </w:rPr>
        <w:t> </w:t>
      </w:r>
      <w:r>
        <w:rPr>
          <w:spacing w:val="-2"/>
          <w:w w:val="100"/>
          <w:sz w:val="21"/>
        </w:rPr>
        <w:t>f</w:t>
      </w:r>
      <w:r>
        <w:rPr>
          <w:w w:val="100"/>
          <w:sz w:val="21"/>
        </w:rPr>
        <w:t>l</w:t>
      </w:r>
      <w:r>
        <w:rPr>
          <w:spacing w:val="-3"/>
          <w:w w:val="100"/>
          <w:sz w:val="21"/>
        </w:rPr>
        <w:t>o</w:t>
      </w:r>
      <w:r>
        <w:rPr>
          <w:spacing w:val="-2"/>
          <w:w w:val="100"/>
          <w:sz w:val="21"/>
        </w:rPr>
        <w:t>w</w:t>
      </w:r>
      <w:r>
        <w:rPr>
          <w:w w:val="100"/>
          <w:sz w:val="21"/>
        </w:rPr>
        <w:t>ers,</w:t>
      </w:r>
      <w:r>
        <w:rPr>
          <w:spacing w:val="26"/>
          <w:sz w:val="21"/>
        </w:rPr>
        <w:t> </w:t>
      </w:r>
      <w:r>
        <w:rPr>
          <w:spacing w:val="1"/>
          <w:w w:val="100"/>
          <w:sz w:val="21"/>
        </w:rPr>
        <w:t>f</w:t>
      </w:r>
      <w:r>
        <w:rPr>
          <w:spacing w:val="-1"/>
          <w:w w:val="100"/>
          <w:sz w:val="21"/>
        </w:rPr>
        <w:t>r</w:t>
      </w:r>
      <w:r>
        <w:rPr>
          <w:w w:val="100"/>
          <w:sz w:val="21"/>
        </w:rPr>
        <w:t>u</w:t>
      </w:r>
      <w:r>
        <w:rPr>
          <w:spacing w:val="1"/>
          <w:w w:val="100"/>
          <w:sz w:val="21"/>
        </w:rPr>
        <w:t>i</w:t>
      </w:r>
      <w:r>
        <w:rPr>
          <w:spacing w:val="-2"/>
          <w:w w:val="100"/>
          <w:sz w:val="21"/>
        </w:rPr>
        <w:t>t</w:t>
      </w:r>
      <w:r>
        <w:rPr>
          <w:w w:val="100"/>
          <w:sz w:val="21"/>
        </w:rPr>
        <w:t>s, </w:t>
      </w:r>
      <w:r>
        <w:rPr>
          <w:sz w:val="21"/>
        </w:rPr>
        <w:t>batasha, etc., to the visitors of the eastern door temple of Sri Ram Janambhomi. This was being done since  ancient time by the previous Mahants of Nirmohi Akhara and an agreement was executed for it. The Brahmins were given the contract to provide holy and fresh water from the Sita Koop to the visitors/devotees. The tax was paid to the Mahant of</w:t>
      </w:r>
      <w:r>
        <w:rPr>
          <w:spacing w:val="20"/>
          <w:sz w:val="21"/>
        </w:rPr>
        <w:t> </w:t>
      </w:r>
      <w:r>
        <w:rPr>
          <w:sz w:val="21"/>
        </w:rPr>
        <w:t>the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3" w:firstLine="0"/>
        <w:jc w:val="both"/>
        <w:rPr>
          <w:sz w:val="21"/>
        </w:rPr>
      </w:pPr>
      <w:r>
        <w:rPr>
          <w:sz w:val="21"/>
        </w:rPr>
        <w:t>Akhara. I have submitted all the available agreements with me and many documents were plundered. The report was lodged for the</w:t>
      </w:r>
      <w:r>
        <w:rPr>
          <w:spacing w:val="-7"/>
          <w:sz w:val="21"/>
        </w:rPr>
        <w:t> </w:t>
      </w:r>
      <w:r>
        <w:rPr>
          <w:sz w:val="21"/>
        </w:rPr>
        <w:t>same.‖</w:t>
      </w:r>
    </w:p>
    <w:p>
      <w:pPr>
        <w:pStyle w:val="BodyText"/>
        <w:rPr>
          <w:sz w:val="24"/>
        </w:rPr>
      </w:pPr>
    </w:p>
    <w:p>
      <w:pPr>
        <w:pStyle w:val="BodyText"/>
        <w:rPr>
          <w:sz w:val="24"/>
        </w:rPr>
      </w:pPr>
    </w:p>
    <w:p>
      <w:pPr>
        <w:pStyle w:val="BodyText"/>
        <w:spacing w:line="480" w:lineRule="auto" w:before="174"/>
        <w:ind w:left="500" w:right="437"/>
        <w:jc w:val="both"/>
      </w:pPr>
      <w:r>
        <w:rPr/>
        <w:t>In the cross examination of this witness by Mr Zafaryab Jilani, learned Senior Counsel appearing for the Sunni Central Waqf Board, on 11 September 2003, the witness replied:</w:t>
      </w:r>
    </w:p>
    <w:p>
      <w:pPr>
        <w:spacing w:line="276" w:lineRule="auto" w:before="1"/>
        <w:ind w:left="1940" w:right="2261" w:firstLine="0"/>
        <w:jc w:val="both"/>
        <w:rPr>
          <w:sz w:val="21"/>
        </w:rPr>
      </w:pPr>
      <w:r>
        <w:rPr>
          <w:spacing w:val="-1"/>
          <w:w w:val="33"/>
          <w:sz w:val="21"/>
        </w:rPr>
        <w:t>―</w:t>
      </w:r>
      <w:r>
        <w:rPr>
          <w:w w:val="100"/>
          <w:sz w:val="21"/>
        </w:rPr>
        <w:t>A</w:t>
      </w:r>
      <w:r>
        <w:rPr>
          <w:spacing w:val="1"/>
          <w:w w:val="100"/>
          <w:sz w:val="21"/>
        </w:rPr>
        <w:t>f</w:t>
      </w:r>
      <w:r>
        <w:rPr>
          <w:spacing w:val="-2"/>
          <w:w w:val="100"/>
          <w:sz w:val="21"/>
        </w:rPr>
        <w:t>t</w:t>
      </w:r>
      <w:r>
        <w:rPr>
          <w:spacing w:val="-1"/>
          <w:w w:val="100"/>
          <w:sz w:val="21"/>
        </w:rPr>
        <w:t>e</w:t>
      </w:r>
      <w:r>
        <w:rPr>
          <w:w w:val="100"/>
          <w:sz w:val="21"/>
        </w:rPr>
        <w:t>r</w:t>
      </w:r>
      <w:r>
        <w:rPr>
          <w:spacing w:val="27"/>
          <w:sz w:val="21"/>
        </w:rPr>
        <w:t> </w:t>
      </w:r>
      <w:r>
        <w:rPr>
          <w:spacing w:val="-2"/>
          <w:w w:val="100"/>
          <w:sz w:val="21"/>
        </w:rPr>
        <w:t>t</w:t>
      </w:r>
      <w:r>
        <w:rPr>
          <w:spacing w:val="-3"/>
          <w:w w:val="100"/>
          <w:sz w:val="21"/>
        </w:rPr>
        <w:t>h</w:t>
      </w:r>
      <w:r>
        <w:rPr>
          <w:w w:val="100"/>
          <w:sz w:val="21"/>
        </w:rPr>
        <w:t>e</w:t>
      </w:r>
      <w:r>
        <w:rPr>
          <w:spacing w:val="27"/>
          <w:sz w:val="21"/>
        </w:rPr>
        <w:t> </w:t>
      </w:r>
      <w:r>
        <w:rPr>
          <w:spacing w:val="-1"/>
          <w:w w:val="100"/>
          <w:sz w:val="21"/>
        </w:rPr>
        <w:t>at</w:t>
      </w:r>
      <w:r>
        <w:rPr>
          <w:spacing w:val="-2"/>
          <w:w w:val="100"/>
          <w:sz w:val="21"/>
        </w:rPr>
        <w:t>t</w:t>
      </w:r>
      <w:r>
        <w:rPr>
          <w:spacing w:val="-1"/>
          <w:w w:val="100"/>
          <w:sz w:val="21"/>
        </w:rPr>
        <w:t>ac</w:t>
      </w:r>
      <w:r>
        <w:rPr>
          <w:spacing w:val="-3"/>
          <w:w w:val="100"/>
          <w:sz w:val="21"/>
        </w:rPr>
        <w:t>h</w:t>
      </w:r>
      <w:r>
        <w:rPr>
          <w:spacing w:val="-1"/>
          <w:w w:val="100"/>
          <w:sz w:val="21"/>
        </w:rPr>
        <w:t>men</w:t>
      </w:r>
      <w:r>
        <w:rPr>
          <w:w w:val="100"/>
          <w:sz w:val="21"/>
        </w:rPr>
        <w:t>t</w:t>
      </w:r>
      <w:r>
        <w:rPr>
          <w:spacing w:val="26"/>
          <w:sz w:val="21"/>
        </w:rPr>
        <w:t> </w:t>
      </w:r>
      <w:r>
        <w:rPr>
          <w:spacing w:val="-2"/>
          <w:w w:val="100"/>
          <w:sz w:val="21"/>
        </w:rPr>
        <w:t>t</w:t>
      </w:r>
      <w:r>
        <w:rPr>
          <w:spacing w:val="-1"/>
          <w:w w:val="100"/>
          <w:sz w:val="21"/>
        </w:rPr>
        <w:t>h</w:t>
      </w:r>
      <w:r>
        <w:rPr>
          <w:w w:val="100"/>
          <w:sz w:val="21"/>
        </w:rPr>
        <w:t>e</w:t>
      </w:r>
      <w:r>
        <w:rPr>
          <w:spacing w:val="25"/>
          <w:sz w:val="21"/>
        </w:rPr>
        <w:t> </w:t>
      </w:r>
      <w:r>
        <w:rPr>
          <w:spacing w:val="-1"/>
          <w:w w:val="100"/>
          <w:sz w:val="21"/>
        </w:rPr>
        <w:t>of</w:t>
      </w:r>
      <w:r>
        <w:rPr>
          <w:spacing w:val="1"/>
          <w:w w:val="100"/>
          <w:sz w:val="21"/>
        </w:rPr>
        <w:t>f</w:t>
      </w:r>
      <w:r>
        <w:rPr>
          <w:spacing w:val="-1"/>
          <w:w w:val="100"/>
          <w:sz w:val="21"/>
        </w:rPr>
        <w:t>e</w:t>
      </w:r>
      <w:r>
        <w:rPr>
          <w:spacing w:val="-3"/>
          <w:w w:val="100"/>
          <w:sz w:val="21"/>
        </w:rPr>
        <w:t>r</w:t>
      </w:r>
      <w:r>
        <w:rPr>
          <w:w w:val="100"/>
          <w:sz w:val="21"/>
        </w:rPr>
        <w:t>i</w:t>
      </w:r>
      <w:r>
        <w:rPr>
          <w:spacing w:val="-1"/>
          <w:w w:val="100"/>
          <w:sz w:val="21"/>
        </w:rPr>
        <w:t>ng</w:t>
      </w:r>
      <w:r>
        <w:rPr>
          <w:w w:val="100"/>
          <w:sz w:val="21"/>
        </w:rPr>
        <w:t>s</w:t>
      </w:r>
      <w:r>
        <w:rPr>
          <w:spacing w:val="25"/>
          <w:sz w:val="21"/>
        </w:rPr>
        <w:t> </w:t>
      </w:r>
      <w:r>
        <w:rPr>
          <w:spacing w:val="-2"/>
          <w:w w:val="100"/>
          <w:sz w:val="21"/>
        </w:rPr>
        <w:t>w</w:t>
      </w:r>
      <w:r>
        <w:rPr>
          <w:spacing w:val="-1"/>
          <w:w w:val="100"/>
          <w:sz w:val="21"/>
        </w:rPr>
        <w:t>h</w:t>
      </w:r>
      <w:r>
        <w:rPr>
          <w:spacing w:val="-2"/>
          <w:w w:val="100"/>
          <w:sz w:val="21"/>
        </w:rPr>
        <w:t>i</w:t>
      </w:r>
      <w:r>
        <w:rPr>
          <w:w w:val="100"/>
          <w:sz w:val="21"/>
        </w:rPr>
        <w:t>ch</w:t>
      </w:r>
      <w:r>
        <w:rPr>
          <w:spacing w:val="28"/>
          <w:sz w:val="21"/>
        </w:rPr>
        <w:t> </w:t>
      </w:r>
      <w:r>
        <w:rPr>
          <w:spacing w:val="-2"/>
          <w:w w:val="100"/>
          <w:sz w:val="21"/>
        </w:rPr>
        <w:t>w</w:t>
      </w:r>
      <w:r>
        <w:rPr>
          <w:spacing w:val="-1"/>
          <w:w w:val="100"/>
          <w:sz w:val="21"/>
        </w:rPr>
        <w:t>er</w:t>
      </w:r>
      <w:r>
        <w:rPr>
          <w:w w:val="100"/>
          <w:sz w:val="21"/>
        </w:rPr>
        <w:t>e</w:t>
      </w:r>
      <w:r>
        <w:rPr>
          <w:spacing w:val="25"/>
          <w:sz w:val="21"/>
        </w:rPr>
        <w:t> </w:t>
      </w:r>
      <w:r>
        <w:rPr>
          <w:spacing w:val="-1"/>
          <w:w w:val="100"/>
          <w:sz w:val="21"/>
        </w:rPr>
        <w:t>m</w:t>
      </w:r>
      <w:r>
        <w:rPr>
          <w:spacing w:val="-3"/>
          <w:w w:val="100"/>
          <w:sz w:val="21"/>
        </w:rPr>
        <w:t>a</w:t>
      </w:r>
      <w:r>
        <w:rPr>
          <w:spacing w:val="-1"/>
          <w:w w:val="100"/>
          <w:sz w:val="21"/>
        </w:rPr>
        <w:t>d</w:t>
      </w:r>
      <w:r>
        <w:rPr>
          <w:w w:val="100"/>
          <w:sz w:val="21"/>
        </w:rPr>
        <w:t>e</w:t>
      </w:r>
      <w:r>
        <w:rPr>
          <w:spacing w:val="28"/>
          <w:sz w:val="21"/>
        </w:rPr>
        <w:t> </w:t>
      </w:r>
      <w:r>
        <w:rPr>
          <w:spacing w:val="-1"/>
          <w:w w:val="100"/>
          <w:sz w:val="21"/>
        </w:rPr>
        <w:t>o</w:t>
      </w:r>
      <w:r>
        <w:rPr>
          <w:w w:val="100"/>
          <w:sz w:val="21"/>
        </w:rPr>
        <w:t>n</w:t>
      </w:r>
      <w:r>
        <w:rPr>
          <w:spacing w:val="25"/>
          <w:sz w:val="21"/>
        </w:rPr>
        <w:t> </w:t>
      </w:r>
      <w:r>
        <w:rPr>
          <w:spacing w:val="-2"/>
          <w:w w:val="100"/>
          <w:sz w:val="21"/>
        </w:rPr>
        <w:t>t</w:t>
      </w:r>
      <w:r>
        <w:rPr>
          <w:spacing w:val="-1"/>
          <w:w w:val="100"/>
          <w:sz w:val="21"/>
        </w:rPr>
        <w:t>he </w:t>
      </w:r>
      <w:r>
        <w:rPr>
          <w:sz w:val="21"/>
        </w:rPr>
        <w:t>idols places in the disputed building were not a part of any contract by Niromohi Akhara. There is a mention of agreement about the contract in para 36 of my affidavit but </w:t>
      </w:r>
      <w:r>
        <w:rPr>
          <w:b/>
          <w:sz w:val="21"/>
        </w:rPr>
        <w:t>I do not remember how many such agreements were submitted in this court on behalf of Nirmohi akhara. I do not remember this time the names of those people who were made to write the aforesaid so called agreement by Nirmohi Akhara. I do not remember any name this time</w:t>
      </w:r>
      <w:r>
        <w:rPr>
          <w:sz w:val="21"/>
        </w:rPr>
        <w:t>. I have written in para 35 of my affidavit about submitting such agreement in the court and Bindeshwari Dubey was one of them who wrote the agreement and it is submitted in the them who wrote the agreement and it is submitted in the court</w:t>
      </w:r>
      <w:r>
        <w:rPr>
          <w:b/>
          <w:sz w:val="21"/>
        </w:rPr>
        <w:t>. Which is the Document No. 39 C-1/39, I cannot tell it by the number but the paper is</w:t>
      </w:r>
      <w:r>
        <w:rPr>
          <w:b/>
          <w:spacing w:val="-12"/>
          <w:sz w:val="21"/>
        </w:rPr>
        <w:t> </w:t>
      </w:r>
      <w:r>
        <w:rPr>
          <w:b/>
          <w:sz w:val="21"/>
        </w:rPr>
        <w:t>titled</w:t>
      </w:r>
      <w:r>
        <w:rPr>
          <w:sz w:val="21"/>
        </w:rPr>
        <w:t>.‖</w:t>
      </w:r>
    </w:p>
    <w:p>
      <w:pPr>
        <w:spacing w:line="240" w:lineRule="exact" w:before="0"/>
        <w:ind w:left="5798" w:right="0" w:firstLine="0"/>
        <w:jc w:val="left"/>
        <w:rPr>
          <w:sz w:val="21"/>
        </w:rPr>
      </w:pPr>
      <w:r>
        <w:rPr>
          <w:sz w:val="21"/>
        </w:rPr>
        <w:t>(Emphasis supplied)</w:t>
      </w:r>
    </w:p>
    <w:p>
      <w:pPr>
        <w:pStyle w:val="BodyText"/>
        <w:rPr>
          <w:sz w:val="24"/>
        </w:rPr>
      </w:pPr>
    </w:p>
    <w:p>
      <w:pPr>
        <w:pStyle w:val="BodyText"/>
        <w:rPr>
          <w:sz w:val="22"/>
        </w:rPr>
      </w:pPr>
    </w:p>
    <w:p>
      <w:pPr>
        <w:pStyle w:val="BodyText"/>
        <w:spacing w:line="480" w:lineRule="auto" w:before="1"/>
        <w:ind w:left="500" w:right="435"/>
        <w:jc w:val="both"/>
      </w:pPr>
      <w:r>
        <w:rPr/>
        <w:t>Though the witness makes reference to the presence of the Nirmohi Akhara in the disputed site, the witness is unable to recall any of the documents mentioned to have been submitted by him as evidence that the Nirmohi Akhara were exercising management rights as the shebait. It is also important to note the answer of this witness to the question put by Mr Jilani in the cross-examination dated 17 September</w:t>
      </w:r>
      <w:r>
        <w:rPr>
          <w:spacing w:val="-3"/>
        </w:rPr>
        <w:t> </w:t>
      </w:r>
      <w:r>
        <w:rPr/>
        <w:t>2003:</w:t>
      </w:r>
    </w:p>
    <w:p>
      <w:pPr>
        <w:spacing w:line="276" w:lineRule="auto" w:before="1"/>
        <w:ind w:left="1940" w:right="2259" w:firstLine="57"/>
        <w:jc w:val="left"/>
        <w:rPr>
          <w:sz w:val="21"/>
        </w:rPr>
      </w:pPr>
      <w:r>
        <w:rPr>
          <w:spacing w:val="-1"/>
          <w:w w:val="33"/>
          <w:sz w:val="21"/>
        </w:rPr>
        <w:t>―</w:t>
      </w:r>
      <w:r>
        <w:rPr>
          <w:spacing w:val="-2"/>
          <w:w w:val="100"/>
          <w:sz w:val="21"/>
        </w:rPr>
        <w:t>Q</w:t>
      </w:r>
      <w:r>
        <w:rPr>
          <w:spacing w:val="-1"/>
          <w:w w:val="100"/>
          <w:sz w:val="21"/>
        </w:rPr>
        <w:t>uest</w:t>
      </w:r>
      <w:r>
        <w:rPr>
          <w:w w:val="100"/>
          <w:sz w:val="21"/>
        </w:rPr>
        <w:t>i</w:t>
      </w:r>
      <w:r>
        <w:rPr>
          <w:spacing w:val="-1"/>
          <w:w w:val="100"/>
          <w:sz w:val="21"/>
        </w:rPr>
        <w:t>on</w:t>
      </w:r>
      <w:r>
        <w:rPr>
          <w:w w:val="100"/>
          <w:sz w:val="21"/>
        </w:rPr>
        <w:t>:</w:t>
      </w:r>
      <w:r>
        <w:rPr>
          <w:spacing w:val="1"/>
          <w:sz w:val="21"/>
        </w:rPr>
        <w:t> </w:t>
      </w:r>
      <w:r>
        <w:rPr>
          <w:w w:val="100"/>
          <w:sz w:val="21"/>
        </w:rPr>
        <w:t>-</w:t>
      </w:r>
      <w:r>
        <w:rPr>
          <w:spacing w:val="-2"/>
          <w:sz w:val="21"/>
        </w:rPr>
        <w:t> </w:t>
      </w:r>
      <w:r>
        <w:rPr>
          <w:w w:val="100"/>
          <w:sz w:val="21"/>
        </w:rPr>
        <w:t>S</w:t>
      </w:r>
      <w:r>
        <w:rPr>
          <w:w w:val="100"/>
          <w:sz w:val="21"/>
        </w:rPr>
        <w:t>h</w:t>
      </w:r>
      <w:r>
        <w:rPr>
          <w:spacing w:val="-3"/>
          <w:w w:val="100"/>
          <w:sz w:val="21"/>
        </w:rPr>
        <w:t>a</w:t>
      </w:r>
      <w:r>
        <w:rPr>
          <w:spacing w:val="-2"/>
          <w:w w:val="100"/>
          <w:sz w:val="21"/>
        </w:rPr>
        <w:t>l</w:t>
      </w:r>
      <w:r>
        <w:rPr>
          <w:w w:val="100"/>
          <w:sz w:val="21"/>
        </w:rPr>
        <w:t>l</w:t>
      </w:r>
      <w:r>
        <w:rPr>
          <w:spacing w:val="2"/>
          <w:sz w:val="21"/>
        </w:rPr>
        <w:t> </w:t>
      </w:r>
      <w:r>
        <w:rPr>
          <w:w w:val="100"/>
          <w:sz w:val="21"/>
        </w:rPr>
        <w:t>I</w:t>
      </w:r>
      <w:r>
        <w:rPr>
          <w:sz w:val="21"/>
        </w:rPr>
        <w:t> </w:t>
      </w:r>
      <w:r>
        <w:rPr>
          <w:spacing w:val="-2"/>
          <w:w w:val="100"/>
          <w:sz w:val="21"/>
        </w:rPr>
        <w:t>t</w:t>
      </w:r>
      <w:r>
        <w:rPr>
          <w:spacing w:val="-3"/>
          <w:w w:val="100"/>
          <w:sz w:val="21"/>
        </w:rPr>
        <w:t>a</w:t>
      </w:r>
      <w:r>
        <w:rPr>
          <w:spacing w:val="2"/>
          <w:w w:val="100"/>
          <w:sz w:val="21"/>
        </w:rPr>
        <w:t>k</w:t>
      </w:r>
      <w:r>
        <w:rPr>
          <w:w w:val="100"/>
          <w:sz w:val="21"/>
        </w:rPr>
        <w:t>e</w:t>
      </w:r>
      <w:r>
        <w:rPr>
          <w:spacing w:val="-1"/>
          <w:sz w:val="21"/>
        </w:rPr>
        <w:t> </w:t>
      </w:r>
      <w:r>
        <w:rPr>
          <w:w w:val="100"/>
          <w:sz w:val="21"/>
        </w:rPr>
        <w:t>i</w:t>
      </w:r>
      <w:r>
        <w:rPr>
          <w:w w:val="100"/>
          <w:sz w:val="21"/>
        </w:rPr>
        <w:t>t</w:t>
      </w:r>
      <w:r>
        <w:rPr>
          <w:sz w:val="21"/>
        </w:rPr>
        <w:t> </w:t>
      </w:r>
      <w:r>
        <w:rPr>
          <w:spacing w:val="-2"/>
          <w:w w:val="100"/>
          <w:sz w:val="21"/>
        </w:rPr>
        <w:t>t</w:t>
      </w:r>
      <w:r>
        <w:rPr>
          <w:w w:val="100"/>
          <w:sz w:val="21"/>
        </w:rPr>
        <w:t>hat</w:t>
      </w:r>
      <w:r>
        <w:rPr>
          <w:sz w:val="21"/>
        </w:rPr>
        <w:t> </w:t>
      </w:r>
      <w:r>
        <w:rPr>
          <w:spacing w:val="-1"/>
          <w:w w:val="100"/>
          <w:sz w:val="21"/>
        </w:rPr>
        <w:t>m</w:t>
      </w:r>
      <w:r>
        <w:rPr>
          <w:w w:val="100"/>
          <w:sz w:val="21"/>
        </w:rPr>
        <w:t>ost</w:t>
      </w:r>
      <w:r>
        <w:rPr>
          <w:sz w:val="21"/>
        </w:rPr>
        <w:t> </w:t>
      </w:r>
      <w:r>
        <w:rPr>
          <w:spacing w:val="-3"/>
          <w:w w:val="100"/>
          <w:sz w:val="21"/>
        </w:rPr>
        <w:t>o</w:t>
      </w:r>
      <w:r>
        <w:rPr>
          <w:w w:val="100"/>
          <w:sz w:val="21"/>
        </w:rPr>
        <w:t>f</w:t>
      </w:r>
      <w:r>
        <w:rPr>
          <w:spacing w:val="2"/>
          <w:sz w:val="21"/>
        </w:rPr>
        <w:t> </w:t>
      </w:r>
      <w:r>
        <w:rPr>
          <w:spacing w:val="-2"/>
          <w:w w:val="100"/>
          <w:sz w:val="21"/>
        </w:rPr>
        <w:t>t</w:t>
      </w:r>
      <w:r>
        <w:rPr>
          <w:w w:val="100"/>
          <w:sz w:val="21"/>
        </w:rPr>
        <w:t>he</w:t>
      </w:r>
      <w:r>
        <w:rPr>
          <w:spacing w:val="-1"/>
          <w:sz w:val="21"/>
        </w:rPr>
        <w:t> </w:t>
      </w:r>
      <w:r>
        <w:rPr>
          <w:w w:val="100"/>
          <w:sz w:val="21"/>
        </w:rPr>
        <w:t>part</w:t>
      </w:r>
      <w:r>
        <w:rPr>
          <w:spacing w:val="-1"/>
          <w:sz w:val="21"/>
        </w:rPr>
        <w:t> </w:t>
      </w:r>
      <w:r>
        <w:rPr>
          <w:spacing w:val="-3"/>
          <w:w w:val="100"/>
          <w:sz w:val="21"/>
        </w:rPr>
        <w:t>o</w:t>
      </w:r>
      <w:r>
        <w:rPr>
          <w:w w:val="100"/>
          <w:sz w:val="21"/>
        </w:rPr>
        <w:t>f</w:t>
      </w:r>
      <w:r>
        <w:rPr>
          <w:spacing w:val="2"/>
          <w:sz w:val="21"/>
        </w:rPr>
        <w:t> </w:t>
      </w:r>
      <w:r>
        <w:rPr>
          <w:spacing w:val="-2"/>
          <w:w w:val="100"/>
          <w:sz w:val="21"/>
        </w:rPr>
        <w:t>t</w:t>
      </w:r>
      <w:r>
        <w:rPr>
          <w:spacing w:val="-3"/>
          <w:w w:val="100"/>
          <w:sz w:val="21"/>
        </w:rPr>
        <w:t>h</w:t>
      </w:r>
      <w:r>
        <w:rPr>
          <w:spacing w:val="-2"/>
          <w:w w:val="100"/>
          <w:sz w:val="21"/>
        </w:rPr>
        <w:t>i</w:t>
      </w:r>
      <w:r>
        <w:rPr>
          <w:w w:val="100"/>
          <w:sz w:val="21"/>
        </w:rPr>
        <w:t>s</w:t>
      </w:r>
      <w:r>
        <w:rPr>
          <w:spacing w:val="5"/>
          <w:sz w:val="21"/>
        </w:rPr>
        <w:t> </w:t>
      </w:r>
      <w:r>
        <w:rPr>
          <w:w w:val="100"/>
          <w:sz w:val="21"/>
        </w:rPr>
        <w:t>a</w:t>
      </w:r>
      <w:r>
        <w:rPr>
          <w:spacing w:val="-1"/>
          <w:w w:val="100"/>
          <w:sz w:val="21"/>
        </w:rPr>
        <w:t>f</w:t>
      </w:r>
      <w:r>
        <w:rPr>
          <w:spacing w:val="-2"/>
          <w:w w:val="100"/>
          <w:sz w:val="21"/>
        </w:rPr>
        <w:t>f</w:t>
      </w:r>
      <w:r>
        <w:rPr>
          <w:w w:val="100"/>
          <w:sz w:val="21"/>
        </w:rPr>
        <w:t>i</w:t>
      </w:r>
      <w:r>
        <w:rPr>
          <w:w w:val="100"/>
          <w:sz w:val="21"/>
        </w:rPr>
        <w:t>da</w:t>
      </w:r>
      <w:r>
        <w:rPr>
          <w:spacing w:val="-3"/>
          <w:w w:val="100"/>
          <w:sz w:val="21"/>
        </w:rPr>
        <w:t>v</w:t>
      </w:r>
      <w:r>
        <w:rPr>
          <w:w w:val="100"/>
          <w:sz w:val="21"/>
        </w:rPr>
        <w:t>i</w:t>
      </w:r>
      <w:r>
        <w:rPr>
          <w:w w:val="100"/>
          <w:sz w:val="21"/>
        </w:rPr>
        <w:t>t </w:t>
      </w:r>
      <w:r>
        <w:rPr>
          <w:sz w:val="21"/>
        </w:rPr>
        <w:t>was drafted by your advocate on the basis of his knowledge? Answer:- It is wrong to say so. </w:t>
      </w:r>
      <w:r>
        <w:rPr>
          <w:b/>
          <w:sz w:val="21"/>
        </w:rPr>
        <w:t>Some parts of this affidavit is based on the knowledge of my advocate but I do not remember which is that part and I will not be able to tell it</w:t>
      </w:r>
      <w:r>
        <w:rPr>
          <w:sz w:val="21"/>
        </w:rPr>
        <w:t>.‖</w:t>
      </w:r>
    </w:p>
    <w:p>
      <w:pPr>
        <w:spacing w:before="0"/>
        <w:ind w:left="5798" w:right="0" w:firstLine="0"/>
        <w:jc w:val="left"/>
        <w:rPr>
          <w:sz w:val="21"/>
        </w:rPr>
      </w:pPr>
      <w:r>
        <w:rPr>
          <w:sz w:val="21"/>
        </w:rPr>
        <w:t>(Emphasis supplied)</w:t>
      </w:r>
    </w:p>
    <w:p>
      <w:pPr>
        <w:spacing w:after="0"/>
        <w:jc w:val="left"/>
        <w:rPr>
          <w:sz w:val="21"/>
        </w:rPr>
        <w:sectPr>
          <w:pgSz w:w="11910" w:h="16840"/>
          <w:pgMar w:header="721" w:footer="1014" w:top="1300" w:bottom="1200" w:left="940" w:right="1000"/>
        </w:sectPr>
      </w:pPr>
    </w:p>
    <w:p>
      <w:pPr>
        <w:pStyle w:val="BodyText"/>
        <w:rPr>
          <w:sz w:val="27"/>
        </w:rPr>
      </w:pPr>
    </w:p>
    <w:p>
      <w:pPr>
        <w:pStyle w:val="BodyText"/>
        <w:spacing w:line="480" w:lineRule="auto" w:before="91"/>
        <w:ind w:left="500" w:right="442"/>
        <w:jc w:val="both"/>
      </w:pPr>
      <w:r>
        <w:rPr/>
        <w:t>The statements of DW 3/1 demonstrate that the witness was completely unaware of the documents alleged to have been submitted by him as evidence. The statements do not inspire confidence that the Nirmohi Akhara was exercising management rights as the shebait.</w:t>
      </w:r>
    </w:p>
    <w:p>
      <w:pPr>
        <w:pStyle w:val="BodyText"/>
      </w:pPr>
    </w:p>
    <w:p>
      <w:pPr>
        <w:pStyle w:val="ListParagraph"/>
        <w:numPr>
          <w:ilvl w:val="0"/>
          <w:numId w:val="111"/>
        </w:numPr>
        <w:tabs>
          <w:tab w:pos="1221" w:val="left" w:leader="none"/>
        </w:tabs>
        <w:spacing w:line="480" w:lineRule="auto" w:before="0" w:after="0"/>
        <w:ind w:left="500" w:right="441" w:firstLine="0"/>
        <w:jc w:val="both"/>
        <w:rPr>
          <w:sz w:val="25"/>
        </w:rPr>
      </w:pPr>
      <w:r>
        <w:rPr>
          <w:sz w:val="25"/>
        </w:rPr>
        <w:t>Mr S K Jain then relied on the Examination-in-Chief by way of affidavit of Raja Ram Pandey (DW 3/2) wherein it was</w:t>
      </w:r>
      <w:r>
        <w:rPr>
          <w:spacing w:val="-3"/>
          <w:sz w:val="25"/>
        </w:rPr>
        <w:t> </w:t>
      </w:r>
      <w:r>
        <w:rPr>
          <w:sz w:val="25"/>
        </w:rPr>
        <w:t>stated:</w:t>
      </w:r>
    </w:p>
    <w:p>
      <w:pPr>
        <w:spacing w:line="276" w:lineRule="auto" w:before="161"/>
        <w:ind w:left="1940" w:right="2262" w:firstLine="0"/>
        <w:jc w:val="both"/>
        <w:rPr>
          <w:sz w:val="21"/>
        </w:rPr>
      </w:pPr>
      <w:r>
        <w:rPr>
          <w:spacing w:val="-1"/>
          <w:w w:val="33"/>
          <w:sz w:val="21"/>
        </w:rPr>
        <w:t>―</w:t>
      </w:r>
      <w:r>
        <w:rPr>
          <w:spacing w:val="-1"/>
          <w:w w:val="100"/>
          <w:sz w:val="21"/>
        </w:rPr>
        <w:t>14</w:t>
      </w:r>
      <w:r>
        <w:rPr>
          <w:w w:val="100"/>
          <w:sz w:val="21"/>
        </w:rPr>
        <w:t>.</w:t>
      </w:r>
      <w:r>
        <w:rPr>
          <w:spacing w:val="2"/>
          <w:sz w:val="21"/>
        </w:rPr>
        <w:t> </w:t>
      </w:r>
      <w:r>
        <w:rPr>
          <w:spacing w:val="-3"/>
          <w:w w:val="100"/>
          <w:sz w:val="21"/>
        </w:rPr>
        <w:t>…</w:t>
      </w:r>
      <w:r>
        <w:rPr>
          <w:w w:val="100"/>
          <w:sz w:val="21"/>
        </w:rPr>
        <w:t>B</w:t>
      </w:r>
      <w:r>
        <w:rPr>
          <w:spacing w:val="-3"/>
          <w:w w:val="100"/>
          <w:sz w:val="21"/>
        </w:rPr>
        <w:t>e</w:t>
      </w:r>
      <w:r>
        <w:rPr>
          <w:spacing w:val="1"/>
          <w:w w:val="100"/>
          <w:sz w:val="21"/>
        </w:rPr>
        <w:t>f</w:t>
      </w:r>
      <w:r>
        <w:rPr>
          <w:spacing w:val="-1"/>
          <w:w w:val="100"/>
          <w:sz w:val="21"/>
        </w:rPr>
        <w:t>or</w:t>
      </w:r>
      <w:r>
        <w:rPr>
          <w:w w:val="100"/>
          <w:sz w:val="21"/>
        </w:rPr>
        <w:t>e</w:t>
      </w:r>
      <w:r>
        <w:rPr>
          <w:sz w:val="21"/>
        </w:rPr>
        <w:t> </w:t>
      </w:r>
      <w:r>
        <w:rPr>
          <w:spacing w:val="-1"/>
          <w:w w:val="100"/>
          <w:sz w:val="21"/>
        </w:rPr>
        <w:t>at</w:t>
      </w:r>
      <w:r>
        <w:rPr>
          <w:spacing w:val="-2"/>
          <w:w w:val="100"/>
          <w:sz w:val="21"/>
        </w:rPr>
        <w:t>t</w:t>
      </w:r>
      <w:r>
        <w:rPr>
          <w:spacing w:val="-1"/>
          <w:w w:val="100"/>
          <w:sz w:val="21"/>
        </w:rPr>
        <w:t>ac</w:t>
      </w:r>
      <w:r>
        <w:rPr>
          <w:spacing w:val="-3"/>
          <w:w w:val="100"/>
          <w:sz w:val="21"/>
        </w:rPr>
        <w:t>h</w:t>
      </w:r>
      <w:r>
        <w:rPr>
          <w:spacing w:val="-1"/>
          <w:w w:val="100"/>
          <w:sz w:val="21"/>
        </w:rPr>
        <w:t>men</w:t>
      </w:r>
      <w:r>
        <w:rPr>
          <w:w w:val="100"/>
          <w:sz w:val="21"/>
        </w:rPr>
        <w:t>t</w:t>
      </w:r>
      <w:r>
        <w:rPr>
          <w:sz w:val="21"/>
        </w:rPr>
        <w:t> </w:t>
      </w:r>
      <w:r>
        <w:rPr>
          <w:spacing w:val="-1"/>
          <w:w w:val="100"/>
          <w:sz w:val="21"/>
        </w:rPr>
        <w:t>o</w:t>
      </w:r>
      <w:r>
        <w:rPr>
          <w:w w:val="100"/>
          <w:sz w:val="21"/>
        </w:rPr>
        <w:t>f</w:t>
      </w:r>
      <w:r>
        <w:rPr>
          <w:spacing w:val="2"/>
          <w:sz w:val="21"/>
        </w:rPr>
        <w:t> </w:t>
      </w:r>
      <w:r>
        <w:rPr>
          <w:spacing w:val="-2"/>
          <w:w w:val="100"/>
          <w:sz w:val="21"/>
        </w:rPr>
        <w:t>G</w:t>
      </w:r>
      <w:r>
        <w:rPr>
          <w:spacing w:val="-1"/>
          <w:w w:val="100"/>
          <w:sz w:val="21"/>
        </w:rPr>
        <w:t>ar</w:t>
      </w:r>
      <w:r>
        <w:rPr>
          <w:w w:val="100"/>
          <w:sz w:val="21"/>
        </w:rPr>
        <w:t>b</w:t>
      </w:r>
      <w:r>
        <w:rPr>
          <w:spacing w:val="3"/>
          <w:sz w:val="21"/>
        </w:rPr>
        <w:t> </w:t>
      </w:r>
      <w:r>
        <w:rPr>
          <w:spacing w:val="-2"/>
          <w:w w:val="100"/>
          <w:sz w:val="21"/>
        </w:rPr>
        <w:t>G</w:t>
      </w:r>
      <w:r>
        <w:rPr>
          <w:spacing w:val="-4"/>
          <w:w w:val="100"/>
          <w:sz w:val="21"/>
        </w:rPr>
        <w:t>r</w:t>
      </w:r>
      <w:r>
        <w:rPr>
          <w:spacing w:val="-1"/>
          <w:w w:val="100"/>
          <w:sz w:val="21"/>
        </w:rPr>
        <w:t>a</w:t>
      </w:r>
      <w:r>
        <w:rPr>
          <w:w w:val="100"/>
          <w:sz w:val="21"/>
        </w:rPr>
        <w:t>h</w:t>
      </w:r>
      <w:r>
        <w:rPr>
          <w:spacing w:val="4"/>
          <w:sz w:val="21"/>
        </w:rPr>
        <w:t> </w:t>
      </w:r>
      <w:r>
        <w:rPr>
          <w:w w:val="100"/>
          <w:sz w:val="21"/>
        </w:rPr>
        <w:t>and</w:t>
      </w:r>
      <w:r>
        <w:rPr>
          <w:spacing w:val="1"/>
          <w:sz w:val="21"/>
        </w:rPr>
        <w:t> </w:t>
      </w:r>
      <w:r>
        <w:rPr>
          <w:spacing w:val="-2"/>
          <w:w w:val="100"/>
          <w:sz w:val="21"/>
        </w:rPr>
        <w:t>t</w:t>
      </w:r>
      <w:r>
        <w:rPr>
          <w:spacing w:val="-2"/>
          <w:w w:val="100"/>
          <w:sz w:val="21"/>
        </w:rPr>
        <w:t>i</w:t>
      </w:r>
      <w:r>
        <w:rPr>
          <w:w w:val="100"/>
          <w:sz w:val="21"/>
        </w:rPr>
        <w:t>ll</w:t>
      </w:r>
      <w:r>
        <w:rPr>
          <w:spacing w:val="2"/>
          <w:sz w:val="21"/>
        </w:rPr>
        <w:t> </w:t>
      </w:r>
      <w:r>
        <w:rPr>
          <w:spacing w:val="-2"/>
          <w:w w:val="100"/>
          <w:sz w:val="21"/>
        </w:rPr>
        <w:t>t</w:t>
      </w:r>
      <w:r>
        <w:rPr>
          <w:w w:val="100"/>
          <w:sz w:val="21"/>
        </w:rPr>
        <w:t>he</w:t>
      </w:r>
      <w:r>
        <w:rPr>
          <w:spacing w:val="1"/>
          <w:sz w:val="21"/>
        </w:rPr>
        <w:t> </w:t>
      </w:r>
      <w:r>
        <w:rPr>
          <w:spacing w:val="-2"/>
          <w:w w:val="100"/>
          <w:sz w:val="21"/>
        </w:rPr>
        <w:t>t</w:t>
      </w:r>
      <w:r>
        <w:rPr>
          <w:spacing w:val="-3"/>
          <w:w w:val="100"/>
          <w:sz w:val="21"/>
        </w:rPr>
        <w:t>a</w:t>
      </w:r>
      <w:r>
        <w:rPr>
          <w:spacing w:val="2"/>
          <w:w w:val="100"/>
          <w:sz w:val="21"/>
        </w:rPr>
        <w:t>k</w:t>
      </w:r>
      <w:r>
        <w:rPr>
          <w:w w:val="100"/>
          <w:sz w:val="21"/>
        </w:rPr>
        <w:t>i</w:t>
      </w:r>
      <w:r>
        <w:rPr>
          <w:spacing w:val="-3"/>
          <w:w w:val="100"/>
          <w:sz w:val="21"/>
        </w:rPr>
        <w:t>n</w:t>
      </w:r>
      <w:r>
        <w:rPr>
          <w:w w:val="100"/>
          <w:sz w:val="21"/>
        </w:rPr>
        <w:t>g</w:t>
      </w:r>
      <w:r>
        <w:rPr>
          <w:spacing w:val="1"/>
          <w:sz w:val="21"/>
        </w:rPr>
        <w:t> </w:t>
      </w:r>
      <w:r>
        <w:rPr>
          <w:w w:val="100"/>
          <w:sz w:val="21"/>
        </w:rPr>
        <w:t>o</w:t>
      </w:r>
      <w:r>
        <w:rPr>
          <w:spacing w:val="-3"/>
          <w:w w:val="100"/>
          <w:sz w:val="21"/>
        </w:rPr>
        <w:t>v</w:t>
      </w:r>
      <w:r>
        <w:rPr>
          <w:w w:val="100"/>
          <w:sz w:val="21"/>
        </w:rPr>
        <w:t>er </w:t>
      </w:r>
      <w:r>
        <w:rPr>
          <w:sz w:val="21"/>
        </w:rPr>
        <w:t>of its charge by the receiver, I have seen the Priest and the Assistant Priest of Nirmohi Akhara reciting Aarty, offering </w:t>
      </w:r>
      <w:r>
        <w:rPr>
          <w:spacing w:val="-1"/>
          <w:w w:val="100"/>
          <w:sz w:val="21"/>
        </w:rPr>
        <w:t>deferen</w:t>
      </w:r>
      <w:r>
        <w:rPr>
          <w:spacing w:val="-2"/>
          <w:w w:val="100"/>
          <w:sz w:val="21"/>
        </w:rPr>
        <w:t>ti</w:t>
      </w:r>
      <w:r>
        <w:rPr>
          <w:spacing w:val="-1"/>
          <w:w w:val="100"/>
          <w:sz w:val="21"/>
        </w:rPr>
        <w:t>a</w:t>
      </w:r>
      <w:r>
        <w:rPr>
          <w:w w:val="100"/>
          <w:sz w:val="21"/>
        </w:rPr>
        <w:t>l</w:t>
      </w:r>
      <w:r>
        <w:rPr>
          <w:sz w:val="21"/>
        </w:rPr>
        <w:t> </w:t>
      </w:r>
      <w:r>
        <w:rPr>
          <w:spacing w:val="-8"/>
          <w:sz w:val="21"/>
        </w:rPr>
        <w:t> </w:t>
      </w:r>
      <w:r>
        <w:rPr>
          <w:w w:val="100"/>
          <w:sz w:val="21"/>
        </w:rPr>
        <w:t>si</w:t>
      </w:r>
      <w:r>
        <w:rPr>
          <w:spacing w:val="-2"/>
          <w:w w:val="100"/>
          <w:sz w:val="21"/>
        </w:rPr>
        <w:t>t</w:t>
      </w:r>
      <w:r>
        <w:rPr>
          <w:spacing w:val="-3"/>
          <w:w w:val="100"/>
          <w:sz w:val="21"/>
        </w:rPr>
        <w:t>u</w:t>
      </w:r>
      <w:r>
        <w:rPr>
          <w:spacing w:val="-1"/>
          <w:w w:val="100"/>
          <w:sz w:val="21"/>
        </w:rPr>
        <w:t>at</w:t>
      </w:r>
      <w:r>
        <w:rPr>
          <w:w w:val="100"/>
          <w:sz w:val="21"/>
        </w:rPr>
        <w:t>i</w:t>
      </w:r>
      <w:r>
        <w:rPr>
          <w:spacing w:val="-3"/>
          <w:w w:val="100"/>
          <w:sz w:val="21"/>
        </w:rPr>
        <w:t>o</w:t>
      </w:r>
      <w:r>
        <w:rPr>
          <w:spacing w:val="-1"/>
          <w:w w:val="100"/>
          <w:sz w:val="21"/>
        </w:rPr>
        <w:t>n</w:t>
      </w:r>
      <w:r>
        <w:rPr>
          <w:w w:val="100"/>
          <w:sz w:val="21"/>
        </w:rPr>
        <w:t>s</w:t>
      </w:r>
      <w:r>
        <w:rPr>
          <w:sz w:val="21"/>
        </w:rPr>
        <w:t> </w:t>
      </w:r>
      <w:r>
        <w:rPr>
          <w:spacing w:val="-9"/>
          <w:sz w:val="21"/>
        </w:rPr>
        <w:t> </w:t>
      </w:r>
      <w:r>
        <w:rPr>
          <w:spacing w:val="-1"/>
          <w:w w:val="100"/>
          <w:sz w:val="21"/>
        </w:rPr>
        <w:t>an</w:t>
      </w:r>
      <w:r>
        <w:rPr>
          <w:w w:val="100"/>
          <w:sz w:val="21"/>
        </w:rPr>
        <w:t>d</w:t>
      </w:r>
      <w:r>
        <w:rPr>
          <w:sz w:val="21"/>
        </w:rPr>
        <w:t> </w:t>
      </w:r>
      <w:r>
        <w:rPr>
          <w:spacing w:val="-9"/>
          <w:sz w:val="21"/>
        </w:rPr>
        <w:t> </w:t>
      </w:r>
      <w:r>
        <w:rPr>
          <w:spacing w:val="-1"/>
          <w:w w:val="100"/>
          <w:sz w:val="21"/>
        </w:rPr>
        <w:t>g</w:t>
      </w:r>
      <w:r>
        <w:rPr>
          <w:spacing w:val="1"/>
          <w:w w:val="100"/>
          <w:sz w:val="21"/>
        </w:rPr>
        <w:t>i</w:t>
      </w:r>
      <w:r>
        <w:rPr>
          <w:spacing w:val="-3"/>
          <w:w w:val="100"/>
          <w:sz w:val="21"/>
        </w:rPr>
        <w:t>v</w:t>
      </w:r>
      <w:r>
        <w:rPr>
          <w:w w:val="100"/>
          <w:sz w:val="21"/>
        </w:rPr>
        <w:t>i</w:t>
      </w:r>
      <w:r>
        <w:rPr>
          <w:spacing w:val="-3"/>
          <w:w w:val="100"/>
          <w:sz w:val="21"/>
        </w:rPr>
        <w:t>n</w:t>
      </w:r>
      <w:r>
        <w:rPr>
          <w:w w:val="100"/>
          <w:sz w:val="21"/>
        </w:rPr>
        <w:t>g</w:t>
      </w:r>
      <w:r>
        <w:rPr>
          <w:sz w:val="21"/>
        </w:rPr>
        <w:t> </w:t>
      </w:r>
      <w:r>
        <w:rPr>
          <w:spacing w:val="-7"/>
          <w:sz w:val="21"/>
        </w:rPr>
        <w:t> </w:t>
      </w:r>
      <w:r>
        <w:rPr>
          <w:spacing w:val="-2"/>
          <w:w w:val="40"/>
          <w:sz w:val="21"/>
        </w:rPr>
        <w:t>‗</w:t>
      </w:r>
      <w:r>
        <w:rPr>
          <w:spacing w:val="-1"/>
          <w:w w:val="100"/>
          <w:sz w:val="21"/>
        </w:rPr>
        <w:t>pra</w:t>
      </w:r>
      <w:r>
        <w:rPr>
          <w:spacing w:val="-3"/>
          <w:w w:val="100"/>
          <w:sz w:val="21"/>
        </w:rPr>
        <w:t>s</w:t>
      </w:r>
      <w:r>
        <w:rPr>
          <w:spacing w:val="-1"/>
          <w:w w:val="100"/>
          <w:sz w:val="21"/>
        </w:rPr>
        <w:t>ad</w:t>
      </w:r>
      <w:r>
        <w:rPr>
          <w:w w:val="100"/>
          <w:sz w:val="21"/>
        </w:rPr>
        <w:t>‘</w:t>
      </w:r>
      <w:r>
        <w:rPr>
          <w:sz w:val="21"/>
        </w:rPr>
        <w:t> </w:t>
      </w:r>
      <w:r>
        <w:rPr>
          <w:spacing w:val="-8"/>
          <w:sz w:val="21"/>
        </w:rPr>
        <w:t> </w:t>
      </w:r>
      <w:r>
        <w:rPr>
          <w:spacing w:val="-1"/>
          <w:w w:val="100"/>
          <w:sz w:val="21"/>
        </w:rPr>
        <w:t>a</w:t>
      </w:r>
      <w:r>
        <w:rPr>
          <w:spacing w:val="-3"/>
          <w:w w:val="100"/>
          <w:sz w:val="21"/>
        </w:rPr>
        <w:t>n</w:t>
      </w:r>
      <w:r>
        <w:rPr>
          <w:w w:val="100"/>
          <w:sz w:val="21"/>
        </w:rPr>
        <w:t>d</w:t>
      </w:r>
      <w:r>
        <w:rPr>
          <w:sz w:val="21"/>
        </w:rPr>
        <w:t> </w:t>
      </w:r>
      <w:r>
        <w:rPr>
          <w:spacing w:val="-9"/>
          <w:sz w:val="21"/>
        </w:rPr>
        <w:t> </w:t>
      </w:r>
      <w:r>
        <w:rPr>
          <w:w w:val="40"/>
          <w:sz w:val="21"/>
        </w:rPr>
        <w:t>‗</w:t>
      </w:r>
      <w:r>
        <w:rPr>
          <w:spacing w:val="-2"/>
          <w:w w:val="100"/>
          <w:sz w:val="21"/>
        </w:rPr>
        <w:t>C</w:t>
      </w:r>
      <w:r>
        <w:rPr>
          <w:spacing w:val="-3"/>
          <w:w w:val="100"/>
          <w:sz w:val="21"/>
        </w:rPr>
        <w:t>h</w:t>
      </w:r>
      <w:r>
        <w:rPr>
          <w:spacing w:val="-1"/>
          <w:w w:val="100"/>
          <w:sz w:val="21"/>
        </w:rPr>
        <w:t>aran</w:t>
      </w:r>
      <w:r>
        <w:rPr>
          <w:spacing w:val="-3"/>
          <w:w w:val="100"/>
          <w:sz w:val="21"/>
        </w:rPr>
        <w:t>a</w:t>
      </w:r>
      <w:r>
        <w:rPr>
          <w:spacing w:val="1"/>
          <w:w w:val="100"/>
          <w:sz w:val="21"/>
        </w:rPr>
        <w:t>m</w:t>
      </w:r>
      <w:r>
        <w:rPr>
          <w:spacing w:val="-4"/>
          <w:w w:val="100"/>
          <w:sz w:val="21"/>
        </w:rPr>
        <w:t>r</w:t>
      </w:r>
      <w:r>
        <w:rPr>
          <w:w w:val="100"/>
          <w:sz w:val="21"/>
        </w:rPr>
        <w:t>i</w:t>
      </w:r>
      <w:r>
        <w:rPr>
          <w:spacing w:val="-2"/>
          <w:w w:val="100"/>
          <w:sz w:val="21"/>
        </w:rPr>
        <w:t>t</w:t>
      </w:r>
      <w:r>
        <w:rPr>
          <w:w w:val="100"/>
          <w:sz w:val="21"/>
        </w:rPr>
        <w:t>‘ </w:t>
      </w:r>
      <w:r>
        <w:rPr>
          <w:sz w:val="21"/>
        </w:rPr>
        <w:t>and similarly I have seen upto February, 1982 the Priest, The Assistant Priest the Panch of Nirmohi Akhara reciting Aarti </w:t>
      </w:r>
      <w:r>
        <w:rPr>
          <w:spacing w:val="-1"/>
          <w:w w:val="100"/>
          <w:sz w:val="21"/>
        </w:rPr>
        <w:t>an</w:t>
      </w:r>
      <w:r>
        <w:rPr>
          <w:w w:val="100"/>
          <w:sz w:val="21"/>
        </w:rPr>
        <w:t>d</w:t>
      </w:r>
      <w:r>
        <w:rPr>
          <w:sz w:val="21"/>
        </w:rPr>
        <w:t> </w:t>
      </w:r>
      <w:r>
        <w:rPr>
          <w:spacing w:val="-11"/>
          <w:sz w:val="21"/>
        </w:rPr>
        <w:t> </w:t>
      </w:r>
      <w:r>
        <w:rPr>
          <w:spacing w:val="-1"/>
          <w:w w:val="100"/>
          <w:sz w:val="21"/>
        </w:rPr>
        <w:t>per</w:t>
      </w:r>
      <w:r>
        <w:rPr>
          <w:spacing w:val="-2"/>
          <w:w w:val="100"/>
          <w:sz w:val="21"/>
        </w:rPr>
        <w:t>f</w:t>
      </w:r>
      <w:r>
        <w:rPr>
          <w:spacing w:val="-1"/>
          <w:w w:val="100"/>
          <w:sz w:val="21"/>
        </w:rPr>
        <w:t>o</w:t>
      </w:r>
      <w:r>
        <w:rPr>
          <w:spacing w:val="-3"/>
          <w:w w:val="100"/>
          <w:sz w:val="21"/>
        </w:rPr>
        <w:t>r</w:t>
      </w:r>
      <w:r>
        <w:rPr>
          <w:spacing w:val="1"/>
          <w:w w:val="100"/>
          <w:sz w:val="21"/>
        </w:rPr>
        <w:t>m</w:t>
      </w:r>
      <w:r>
        <w:rPr>
          <w:spacing w:val="-2"/>
          <w:w w:val="100"/>
          <w:sz w:val="21"/>
        </w:rPr>
        <w:t>i</w:t>
      </w:r>
      <w:r>
        <w:rPr>
          <w:spacing w:val="-1"/>
          <w:w w:val="100"/>
          <w:sz w:val="21"/>
        </w:rPr>
        <w:t>n</w:t>
      </w:r>
      <w:r>
        <w:rPr>
          <w:w w:val="100"/>
          <w:sz w:val="21"/>
        </w:rPr>
        <w:t>g</w:t>
      </w:r>
      <w:r>
        <w:rPr>
          <w:sz w:val="21"/>
        </w:rPr>
        <w:t> </w:t>
      </w:r>
      <w:r>
        <w:rPr>
          <w:spacing w:val="-11"/>
          <w:sz w:val="21"/>
        </w:rPr>
        <w:t> </w:t>
      </w:r>
      <w:r>
        <w:rPr>
          <w:w w:val="40"/>
          <w:sz w:val="21"/>
        </w:rPr>
        <w:t>‗</w:t>
      </w:r>
      <w:r>
        <w:rPr>
          <w:spacing w:val="-1"/>
          <w:w w:val="100"/>
          <w:sz w:val="21"/>
        </w:rPr>
        <w:t>p</w:t>
      </w:r>
      <w:r>
        <w:rPr>
          <w:spacing w:val="-3"/>
          <w:w w:val="100"/>
          <w:sz w:val="21"/>
        </w:rPr>
        <w:t>o</w:t>
      </w:r>
      <w:r>
        <w:rPr>
          <w:spacing w:val="-1"/>
          <w:w w:val="100"/>
          <w:sz w:val="21"/>
        </w:rPr>
        <w:t>o</w:t>
      </w:r>
      <w:r>
        <w:rPr>
          <w:spacing w:val="-2"/>
          <w:w w:val="100"/>
          <w:sz w:val="21"/>
        </w:rPr>
        <w:t>j</w:t>
      </w:r>
      <w:r>
        <w:rPr>
          <w:spacing w:val="-1"/>
          <w:w w:val="100"/>
          <w:sz w:val="21"/>
        </w:rPr>
        <w:t>a</w:t>
      </w:r>
      <w:r>
        <w:rPr>
          <w:w w:val="100"/>
          <w:sz w:val="21"/>
        </w:rPr>
        <w:t>‘</w:t>
      </w:r>
      <w:r>
        <w:rPr>
          <w:sz w:val="21"/>
        </w:rPr>
        <w:t> </w:t>
      </w:r>
      <w:r>
        <w:rPr>
          <w:spacing w:val="-8"/>
          <w:sz w:val="21"/>
        </w:rPr>
        <w:t> </w:t>
      </w:r>
      <w:r>
        <w:rPr>
          <w:spacing w:val="-4"/>
          <w:w w:val="100"/>
          <w:sz w:val="21"/>
        </w:rPr>
        <w:t>(</w:t>
      </w:r>
      <w:r>
        <w:rPr>
          <w:spacing w:val="-2"/>
          <w:w w:val="100"/>
          <w:sz w:val="21"/>
        </w:rPr>
        <w:t>w</w:t>
      </w:r>
      <w:r>
        <w:rPr>
          <w:spacing w:val="-1"/>
          <w:w w:val="100"/>
          <w:sz w:val="21"/>
        </w:rPr>
        <w:t>orsh</w:t>
      </w:r>
      <w:r>
        <w:rPr>
          <w:w w:val="100"/>
          <w:sz w:val="21"/>
        </w:rPr>
        <w:t>i</w:t>
      </w:r>
      <w:r>
        <w:rPr>
          <w:spacing w:val="-1"/>
          <w:w w:val="100"/>
          <w:sz w:val="21"/>
        </w:rPr>
        <w:t>p</w:t>
      </w:r>
      <w:r>
        <w:rPr>
          <w:w w:val="100"/>
          <w:sz w:val="21"/>
        </w:rPr>
        <w:t>)</w:t>
      </w:r>
      <w:r>
        <w:rPr>
          <w:sz w:val="21"/>
        </w:rPr>
        <w:t> </w:t>
      </w:r>
      <w:r>
        <w:rPr>
          <w:spacing w:val="-12"/>
          <w:sz w:val="21"/>
        </w:rPr>
        <w:t> </w:t>
      </w:r>
      <w:r>
        <w:rPr>
          <w:w w:val="100"/>
          <w:sz w:val="21"/>
        </w:rPr>
        <w:t>in</w:t>
      </w:r>
      <w:r>
        <w:rPr>
          <w:sz w:val="21"/>
        </w:rPr>
        <w:t> </w:t>
      </w:r>
      <w:r>
        <w:rPr>
          <w:spacing w:val="-12"/>
          <w:sz w:val="21"/>
        </w:rPr>
        <w:t> </w:t>
      </w:r>
      <w:r>
        <w:rPr>
          <w:spacing w:val="-2"/>
          <w:w w:val="40"/>
          <w:sz w:val="21"/>
        </w:rPr>
        <w:t>‗</w:t>
      </w:r>
      <w:r>
        <w:rPr>
          <w:w w:val="100"/>
          <w:sz w:val="21"/>
        </w:rPr>
        <w:t>C</w:t>
      </w:r>
      <w:r>
        <w:rPr>
          <w:spacing w:val="-3"/>
          <w:w w:val="100"/>
          <w:sz w:val="21"/>
        </w:rPr>
        <w:t>h</w:t>
      </w:r>
      <w:r>
        <w:rPr>
          <w:spacing w:val="-1"/>
          <w:w w:val="100"/>
          <w:sz w:val="21"/>
        </w:rPr>
        <w:t>ab</w:t>
      </w:r>
      <w:r>
        <w:rPr>
          <w:spacing w:val="-2"/>
          <w:w w:val="100"/>
          <w:sz w:val="21"/>
        </w:rPr>
        <w:t>o</w:t>
      </w:r>
      <w:r>
        <w:rPr>
          <w:spacing w:val="-1"/>
          <w:w w:val="100"/>
          <w:sz w:val="21"/>
        </w:rPr>
        <w:t>otr</w:t>
      </w:r>
      <w:r>
        <w:rPr>
          <w:w w:val="100"/>
          <w:sz w:val="21"/>
        </w:rPr>
        <w:t>a</w:t>
      </w:r>
      <w:r>
        <w:rPr>
          <w:sz w:val="21"/>
        </w:rPr>
        <w:t> </w:t>
      </w:r>
      <w:r>
        <w:rPr>
          <w:spacing w:val="-12"/>
          <w:sz w:val="21"/>
        </w:rPr>
        <w:t> </w:t>
      </w:r>
      <w:r>
        <w:rPr>
          <w:spacing w:val="-1"/>
          <w:w w:val="100"/>
          <w:sz w:val="21"/>
        </w:rPr>
        <w:t>Man</w:t>
      </w:r>
      <w:r>
        <w:rPr>
          <w:spacing w:val="-2"/>
          <w:w w:val="100"/>
          <w:sz w:val="21"/>
        </w:rPr>
        <w:t>d</w:t>
      </w:r>
      <w:r>
        <w:rPr>
          <w:w w:val="100"/>
          <w:sz w:val="21"/>
        </w:rPr>
        <w:t>ir</w:t>
      </w:r>
      <w:r>
        <w:rPr>
          <w:sz w:val="21"/>
        </w:rPr>
        <w:t> </w:t>
      </w:r>
      <w:r>
        <w:rPr>
          <w:spacing w:val="-10"/>
          <w:sz w:val="21"/>
        </w:rPr>
        <w:t> </w:t>
      </w:r>
      <w:r>
        <w:rPr>
          <w:spacing w:val="-1"/>
          <w:w w:val="100"/>
          <w:sz w:val="21"/>
        </w:rPr>
        <w:t>a</w:t>
      </w:r>
      <w:r>
        <w:rPr>
          <w:spacing w:val="-3"/>
          <w:w w:val="100"/>
          <w:sz w:val="21"/>
        </w:rPr>
        <w:t>n</w:t>
      </w:r>
      <w:r>
        <w:rPr>
          <w:w w:val="100"/>
          <w:sz w:val="21"/>
        </w:rPr>
        <w:t>d</w:t>
      </w:r>
    </w:p>
    <w:p>
      <w:pPr>
        <w:spacing w:line="239" w:lineRule="exact" w:before="0"/>
        <w:ind w:left="1940" w:right="0" w:firstLine="0"/>
        <w:jc w:val="both"/>
        <w:rPr>
          <w:sz w:val="21"/>
        </w:rPr>
      </w:pPr>
      <w:r>
        <w:rPr>
          <w:spacing w:val="-1"/>
          <w:w w:val="33"/>
          <w:sz w:val="21"/>
        </w:rPr>
        <w:t>―</w:t>
      </w:r>
      <w:r>
        <w:rPr>
          <w:w w:val="100"/>
          <w:sz w:val="21"/>
        </w:rPr>
        <w:t>C</w:t>
      </w:r>
      <w:r>
        <w:rPr>
          <w:spacing w:val="-1"/>
          <w:w w:val="100"/>
          <w:sz w:val="21"/>
        </w:rPr>
        <w:t>h</w:t>
      </w:r>
      <w:r>
        <w:rPr>
          <w:spacing w:val="-3"/>
          <w:w w:val="100"/>
          <w:sz w:val="21"/>
        </w:rPr>
        <w:t>h</w:t>
      </w:r>
      <w:r>
        <w:rPr>
          <w:spacing w:val="-1"/>
          <w:w w:val="100"/>
          <w:sz w:val="21"/>
        </w:rPr>
        <w:t>at</w:t>
      </w:r>
      <w:r>
        <w:rPr>
          <w:w w:val="100"/>
          <w:sz w:val="21"/>
        </w:rPr>
        <w:t>i</w:t>
      </w:r>
      <w:r>
        <w:rPr>
          <w:sz w:val="21"/>
        </w:rPr>
        <w:t> </w:t>
      </w:r>
      <w:r>
        <w:rPr>
          <w:spacing w:val="-2"/>
          <w:w w:val="100"/>
          <w:sz w:val="21"/>
        </w:rPr>
        <w:t>P</w:t>
      </w:r>
      <w:r>
        <w:rPr>
          <w:spacing w:val="-1"/>
          <w:w w:val="100"/>
          <w:sz w:val="21"/>
        </w:rPr>
        <w:t>ooja</w:t>
      </w:r>
      <w:r>
        <w:rPr>
          <w:w w:val="100"/>
          <w:sz w:val="21"/>
        </w:rPr>
        <w:t>n</w:t>
      </w:r>
      <w:r>
        <w:rPr>
          <w:spacing w:val="-1"/>
          <w:sz w:val="21"/>
        </w:rPr>
        <w:t> </w:t>
      </w:r>
      <w:r>
        <w:rPr>
          <w:w w:val="100"/>
          <w:sz w:val="21"/>
        </w:rPr>
        <w:t>s</w:t>
      </w:r>
      <w:r>
        <w:rPr>
          <w:spacing w:val="-2"/>
          <w:w w:val="100"/>
          <w:sz w:val="21"/>
        </w:rPr>
        <w:t>t</w:t>
      </w:r>
      <w:r>
        <w:rPr>
          <w:spacing w:val="-1"/>
          <w:w w:val="100"/>
          <w:sz w:val="21"/>
        </w:rPr>
        <w:t>h</w:t>
      </w:r>
      <w:r>
        <w:rPr>
          <w:spacing w:val="-3"/>
          <w:w w:val="100"/>
          <w:sz w:val="21"/>
        </w:rPr>
        <w:t>a</w:t>
      </w:r>
      <w:r>
        <w:rPr>
          <w:w w:val="100"/>
          <w:sz w:val="21"/>
        </w:rPr>
        <w:t>l</w:t>
      </w:r>
      <w:r>
        <w:rPr>
          <w:spacing w:val="-1"/>
          <w:w w:val="81"/>
          <w:sz w:val="21"/>
        </w:rPr>
        <w:t>‖</w:t>
      </w:r>
      <w:r>
        <w:rPr>
          <w:spacing w:val="-2"/>
          <w:w w:val="100"/>
          <w:sz w:val="21"/>
        </w:rPr>
        <w:t>.</w:t>
      </w:r>
      <w:r>
        <w:rPr>
          <w:w w:val="81"/>
          <w:sz w:val="21"/>
        </w:rPr>
        <w:t>‖</w:t>
      </w:r>
    </w:p>
    <w:p>
      <w:pPr>
        <w:pStyle w:val="BodyText"/>
        <w:rPr>
          <w:sz w:val="24"/>
        </w:rPr>
      </w:pPr>
    </w:p>
    <w:p>
      <w:pPr>
        <w:pStyle w:val="BodyText"/>
        <w:spacing w:before="6"/>
        <w:rPr>
          <w:sz w:val="28"/>
        </w:rPr>
      </w:pPr>
    </w:p>
    <w:p>
      <w:pPr>
        <w:pStyle w:val="BodyText"/>
        <w:spacing w:line="480" w:lineRule="auto"/>
        <w:ind w:left="500" w:right="434"/>
        <w:jc w:val="both"/>
      </w:pPr>
      <w:r>
        <w:rPr/>
        <w:t>As noted above, a pujari who conducts worship at a temple is not elevated to the status of a shebait. A pujari gains no independent right despite having conducted the ceremonies for a long period of time. Thus, the mere presence of pujaris does not vest in them any right to be shebaits. The mere performance of the work of a pujari does not in and of itself render a person a shebait. The statement of </w:t>
      </w:r>
      <w:r>
        <w:rPr>
          <w:spacing w:val="-4"/>
        </w:rPr>
        <w:t>DW</w:t>
      </w:r>
      <w:r>
        <w:rPr>
          <w:spacing w:val="61"/>
        </w:rPr>
        <w:t> </w:t>
      </w:r>
      <w:r>
        <w:rPr/>
        <w:t>3/2 establishes at the highest that some priests of Nirmohi Akhara were acting as pujaris, but does not evidence the exercise of management rights for the recognition of their status as a</w:t>
      </w:r>
      <w:r>
        <w:rPr>
          <w:spacing w:val="-3"/>
        </w:rPr>
        <w:t> </w:t>
      </w:r>
      <w:r>
        <w:rPr/>
        <w:t>shebait.</w:t>
      </w:r>
    </w:p>
    <w:p>
      <w:pPr>
        <w:pStyle w:val="BodyText"/>
        <w:rPr>
          <w:sz w:val="28"/>
        </w:rPr>
      </w:pPr>
    </w:p>
    <w:p>
      <w:pPr>
        <w:pStyle w:val="BodyText"/>
        <w:spacing w:before="1"/>
        <w:rPr>
          <w:sz w:val="22"/>
        </w:rPr>
      </w:pPr>
    </w:p>
    <w:p>
      <w:pPr>
        <w:pStyle w:val="ListParagraph"/>
        <w:numPr>
          <w:ilvl w:val="0"/>
          <w:numId w:val="111"/>
        </w:numPr>
        <w:tabs>
          <w:tab w:pos="1221" w:val="left" w:leader="none"/>
        </w:tabs>
        <w:spacing w:line="480" w:lineRule="auto" w:before="0" w:after="0"/>
        <w:ind w:left="500" w:right="440" w:firstLine="0"/>
        <w:jc w:val="both"/>
        <w:rPr>
          <w:sz w:val="25"/>
        </w:rPr>
      </w:pPr>
      <w:r>
        <w:rPr>
          <w:sz w:val="25"/>
        </w:rPr>
        <w:t>Mr S K Jain also placed reliance on the testimony of Sri Acharya Mahant Bansidhar Das alias Uriya Baba (DW 3/18) in Suit 3 to contend that Nirmohi Akhara</w:t>
      </w:r>
      <w:r>
        <w:rPr>
          <w:spacing w:val="12"/>
          <w:sz w:val="25"/>
        </w:rPr>
        <w:t> </w:t>
      </w:r>
      <w:r>
        <w:rPr>
          <w:sz w:val="25"/>
        </w:rPr>
        <w:t>had</w:t>
      </w:r>
      <w:r>
        <w:rPr>
          <w:spacing w:val="12"/>
          <w:sz w:val="25"/>
        </w:rPr>
        <w:t> </w:t>
      </w:r>
      <w:r>
        <w:rPr>
          <w:sz w:val="25"/>
        </w:rPr>
        <w:t>been</w:t>
      </w:r>
      <w:r>
        <w:rPr>
          <w:spacing w:val="12"/>
          <w:sz w:val="25"/>
        </w:rPr>
        <w:t> </w:t>
      </w:r>
      <w:r>
        <w:rPr>
          <w:sz w:val="25"/>
        </w:rPr>
        <w:t>exercising</w:t>
      </w:r>
      <w:r>
        <w:rPr>
          <w:spacing w:val="12"/>
          <w:sz w:val="25"/>
        </w:rPr>
        <w:t> </w:t>
      </w:r>
      <w:r>
        <w:rPr>
          <w:sz w:val="25"/>
        </w:rPr>
        <w:t>management</w:t>
      </w:r>
      <w:r>
        <w:rPr>
          <w:spacing w:val="13"/>
          <w:sz w:val="25"/>
        </w:rPr>
        <w:t> </w:t>
      </w:r>
      <w:r>
        <w:rPr>
          <w:sz w:val="25"/>
        </w:rPr>
        <w:t>rights</w:t>
      </w:r>
      <w:r>
        <w:rPr>
          <w:spacing w:val="12"/>
          <w:sz w:val="25"/>
        </w:rPr>
        <w:t> </w:t>
      </w:r>
      <w:r>
        <w:rPr>
          <w:sz w:val="25"/>
        </w:rPr>
        <w:t>over</w:t>
      </w:r>
      <w:r>
        <w:rPr>
          <w:spacing w:val="13"/>
          <w:sz w:val="25"/>
        </w:rPr>
        <w:t> </w:t>
      </w:r>
      <w:r>
        <w:rPr>
          <w:sz w:val="25"/>
        </w:rPr>
        <w:t>the</w:t>
      </w:r>
      <w:r>
        <w:rPr>
          <w:spacing w:val="13"/>
          <w:sz w:val="25"/>
        </w:rPr>
        <w:t> </w:t>
      </w:r>
      <w:r>
        <w:rPr>
          <w:sz w:val="25"/>
        </w:rPr>
        <w:t>disputed</w:t>
      </w:r>
      <w:r>
        <w:rPr>
          <w:spacing w:val="13"/>
          <w:sz w:val="25"/>
        </w:rPr>
        <w:t> </w:t>
      </w:r>
      <w:r>
        <w:rPr>
          <w:sz w:val="25"/>
        </w:rPr>
        <w:t>site,</w:t>
      </w:r>
      <w:r>
        <w:rPr>
          <w:spacing w:val="12"/>
          <w:sz w:val="25"/>
        </w:rPr>
        <w:t> </w:t>
      </w:r>
      <w:r>
        <w:rPr>
          <w:sz w:val="25"/>
        </w:rPr>
        <w:t>including</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the performance of pujas. DW 3/18 was an intermittent resident of Ramkot, Ayodhya since 1930 and claimed to have lived at various temples and religious shrines in close proximity to the disputed site. During his Examination-in-Chief, DW 3/18 states:</w:t>
      </w:r>
    </w:p>
    <w:p>
      <w:pPr>
        <w:spacing w:line="276" w:lineRule="auto" w:before="159"/>
        <w:ind w:left="1940" w:right="2261" w:firstLine="0"/>
        <w:jc w:val="both"/>
        <w:rPr>
          <w:sz w:val="21"/>
        </w:rPr>
      </w:pPr>
      <w:r>
        <w:rPr>
          <w:w w:val="33"/>
          <w:sz w:val="21"/>
        </w:rPr>
        <w:t>―</w:t>
      </w:r>
      <w:r>
        <w:rPr>
          <w:w w:val="100"/>
          <w:sz w:val="21"/>
        </w:rPr>
        <w:t>In</w:t>
      </w:r>
      <w:r>
        <w:rPr>
          <w:sz w:val="21"/>
        </w:rPr>
        <w:t>  </w:t>
      </w:r>
      <w:r>
        <w:rPr>
          <w:w w:val="100"/>
          <w:sz w:val="21"/>
        </w:rPr>
        <w:t>1930</w:t>
      </w:r>
      <w:r>
        <w:rPr>
          <w:sz w:val="21"/>
        </w:rPr>
        <w:t>  </w:t>
      </w:r>
      <w:r>
        <w:rPr>
          <w:w w:val="100"/>
          <w:sz w:val="21"/>
        </w:rPr>
        <w:t>I</w:t>
      </w:r>
      <w:r>
        <w:rPr>
          <w:sz w:val="21"/>
        </w:rPr>
        <w:t>  </w:t>
      </w:r>
      <w:r>
        <w:rPr>
          <w:w w:val="100"/>
          <w:sz w:val="21"/>
        </w:rPr>
        <w:t>went</w:t>
      </w:r>
      <w:r>
        <w:rPr>
          <w:sz w:val="21"/>
        </w:rPr>
        <w:t>  </w:t>
      </w:r>
      <w:r>
        <w:rPr>
          <w:w w:val="100"/>
          <w:sz w:val="21"/>
        </w:rPr>
        <w:t>for</w:t>
      </w:r>
      <w:r>
        <w:rPr>
          <w:sz w:val="21"/>
        </w:rPr>
        <w:t>  </w:t>
      </w:r>
      <w:r>
        <w:rPr>
          <w:w w:val="100"/>
          <w:sz w:val="21"/>
        </w:rPr>
        <w:t>darshan</w:t>
      </w:r>
      <w:r>
        <w:rPr>
          <w:sz w:val="21"/>
        </w:rPr>
        <w:t>  </w:t>
      </w:r>
      <w:r>
        <w:rPr>
          <w:w w:val="100"/>
          <w:sz w:val="21"/>
        </w:rPr>
        <w:t>of</w:t>
      </w:r>
      <w:r>
        <w:rPr>
          <w:sz w:val="21"/>
        </w:rPr>
        <w:t>  </w:t>
      </w:r>
      <w:r>
        <w:rPr>
          <w:w w:val="100"/>
          <w:sz w:val="21"/>
        </w:rPr>
        <w:t>Shri</w:t>
      </w:r>
      <w:r>
        <w:rPr>
          <w:sz w:val="21"/>
        </w:rPr>
        <w:t>  </w:t>
      </w:r>
      <w:r>
        <w:rPr>
          <w:w w:val="100"/>
          <w:sz w:val="21"/>
        </w:rPr>
        <w:t>Ram</w:t>
      </w:r>
      <w:r>
        <w:rPr>
          <w:sz w:val="21"/>
        </w:rPr>
        <w:t>  </w:t>
      </w:r>
      <w:r>
        <w:rPr>
          <w:w w:val="100"/>
          <w:sz w:val="21"/>
        </w:rPr>
        <w:t>Ja</w:t>
      </w:r>
      <w:r>
        <w:rPr>
          <w:w w:val="100"/>
          <w:sz w:val="21"/>
        </w:rPr>
        <w:t>na</w:t>
      </w:r>
      <w:r>
        <w:rPr>
          <w:w w:val="100"/>
          <w:sz w:val="21"/>
        </w:rPr>
        <w:t>m</w:t>
      </w:r>
      <w:r>
        <w:rPr>
          <w:sz w:val="21"/>
        </w:rPr>
        <w:t>  </w:t>
      </w:r>
      <w:r>
        <w:rPr>
          <w:w w:val="100"/>
          <w:sz w:val="21"/>
        </w:rPr>
        <w:t>B</w:t>
      </w:r>
      <w:r>
        <w:rPr>
          <w:w w:val="100"/>
          <w:sz w:val="21"/>
        </w:rPr>
        <w:t>hoo</w:t>
      </w:r>
      <w:r>
        <w:rPr>
          <w:w w:val="100"/>
          <w:sz w:val="21"/>
        </w:rPr>
        <w:t>m</w:t>
      </w:r>
      <w:r>
        <w:rPr>
          <w:w w:val="100"/>
          <w:sz w:val="21"/>
        </w:rPr>
        <w:t>i </w:t>
      </w:r>
      <w:r>
        <w:rPr>
          <w:sz w:val="21"/>
        </w:rPr>
        <w:t>Mandir about which the suit is subjudice. At that time too Bhagwan Ram Lalla was sitting there, I took darshan and also took prasad, Aarti and charnamrit (sacred water). </w:t>
      </w:r>
      <w:r>
        <w:rPr>
          <w:b/>
          <w:sz w:val="21"/>
        </w:rPr>
        <w:t>I had been receiving prasad, Aarti and Charnamrit from the Priest and Sadhus of Nirmohi Akhara </w:t>
      </w:r>
      <w:r>
        <w:rPr>
          <w:sz w:val="21"/>
        </w:rPr>
        <w:t>living in the outer part i.e. in the Sant Niwas and store rooms situated in the north of main eastern gate, called Hanumatha dwar, in the north of Ram Chabutra.‖</w:t>
      </w:r>
    </w:p>
    <w:p>
      <w:pPr>
        <w:spacing w:before="0"/>
        <w:ind w:left="5798" w:right="0" w:firstLine="0"/>
        <w:jc w:val="left"/>
        <w:rPr>
          <w:sz w:val="21"/>
        </w:rPr>
      </w:pPr>
      <w:r>
        <w:rPr>
          <w:sz w:val="21"/>
        </w:rPr>
        <w:t>(Emphasis supplied)</w:t>
      </w:r>
    </w:p>
    <w:p>
      <w:pPr>
        <w:pStyle w:val="BodyText"/>
        <w:spacing w:before="4"/>
        <w:rPr>
          <w:sz w:val="24"/>
        </w:rPr>
      </w:pPr>
    </w:p>
    <w:p>
      <w:pPr>
        <w:pStyle w:val="BodyText"/>
        <w:spacing w:line="480" w:lineRule="auto"/>
        <w:ind w:left="500" w:right="436"/>
        <w:jc w:val="both"/>
      </w:pPr>
      <w:r>
        <w:rPr/>
        <w:t>The witness stated that the priests in charge of the puja were priests of Nirmohi Akhara. However, under cross-examination by learned Senior Counsel Mr Jilani, the witness stated:</w:t>
      </w:r>
    </w:p>
    <w:p>
      <w:pPr>
        <w:spacing w:line="276" w:lineRule="auto" w:before="0"/>
        <w:ind w:left="1940" w:right="2260" w:firstLine="69"/>
        <w:jc w:val="both"/>
        <w:rPr>
          <w:b/>
          <w:sz w:val="21"/>
        </w:rPr>
      </w:pPr>
      <w:r>
        <w:rPr>
          <w:spacing w:val="-1"/>
          <w:w w:val="33"/>
          <w:sz w:val="21"/>
        </w:rPr>
        <w:t>―</w:t>
      </w:r>
      <w:r>
        <w:rPr>
          <w:w w:val="100"/>
          <w:sz w:val="21"/>
        </w:rPr>
        <w:t>…</w:t>
      </w:r>
      <w:r>
        <w:rPr>
          <w:spacing w:val="-2"/>
          <w:w w:val="100"/>
          <w:sz w:val="21"/>
        </w:rPr>
        <w:t>F</w:t>
      </w:r>
      <w:r>
        <w:rPr>
          <w:w w:val="100"/>
          <w:sz w:val="21"/>
        </w:rPr>
        <w:t>i</w:t>
      </w:r>
      <w:r>
        <w:rPr>
          <w:spacing w:val="-1"/>
          <w:w w:val="100"/>
          <w:sz w:val="21"/>
        </w:rPr>
        <w:t>r</w:t>
      </w:r>
      <w:r>
        <w:rPr>
          <w:w w:val="100"/>
          <w:sz w:val="21"/>
        </w:rPr>
        <w:t>st</w:t>
      </w:r>
      <w:r>
        <w:rPr>
          <w:sz w:val="21"/>
        </w:rPr>
        <w:t>   </w:t>
      </w:r>
      <w:r>
        <w:rPr>
          <w:spacing w:val="-1"/>
          <w:w w:val="100"/>
          <w:sz w:val="21"/>
        </w:rPr>
        <w:t>o</w:t>
      </w:r>
      <w:r>
        <w:rPr>
          <w:w w:val="100"/>
          <w:sz w:val="21"/>
        </w:rPr>
        <w:t>f</w:t>
      </w:r>
      <w:r>
        <w:rPr>
          <w:sz w:val="21"/>
        </w:rPr>
        <w:t>   </w:t>
      </w:r>
      <w:r>
        <w:rPr>
          <w:spacing w:val="-1"/>
          <w:w w:val="100"/>
          <w:sz w:val="21"/>
        </w:rPr>
        <w:t>a</w:t>
      </w:r>
      <w:r>
        <w:rPr>
          <w:spacing w:val="-2"/>
          <w:w w:val="100"/>
          <w:sz w:val="21"/>
        </w:rPr>
        <w:t>l</w:t>
      </w:r>
      <w:r>
        <w:rPr>
          <w:w w:val="100"/>
          <w:sz w:val="21"/>
        </w:rPr>
        <w:t>l,</w:t>
      </w:r>
      <w:r>
        <w:rPr>
          <w:sz w:val="21"/>
        </w:rPr>
        <w:t>   </w:t>
      </w:r>
      <w:r>
        <w:rPr>
          <w:w w:val="100"/>
          <w:sz w:val="21"/>
        </w:rPr>
        <w:t>I</w:t>
      </w:r>
      <w:r>
        <w:rPr>
          <w:sz w:val="21"/>
        </w:rPr>
        <w:t>   </w:t>
      </w:r>
      <w:r>
        <w:rPr>
          <w:spacing w:val="-1"/>
          <w:w w:val="100"/>
          <w:sz w:val="21"/>
        </w:rPr>
        <w:t>ha</w:t>
      </w:r>
      <w:r>
        <w:rPr>
          <w:spacing w:val="-3"/>
          <w:w w:val="100"/>
          <w:sz w:val="21"/>
        </w:rPr>
        <w:t>v</w:t>
      </w:r>
      <w:r>
        <w:rPr>
          <w:w w:val="100"/>
          <w:sz w:val="21"/>
        </w:rPr>
        <w:t>e</w:t>
      </w:r>
      <w:r>
        <w:rPr>
          <w:sz w:val="21"/>
        </w:rPr>
        <w:t>   </w:t>
      </w:r>
      <w:r>
        <w:rPr>
          <w:spacing w:val="-1"/>
          <w:w w:val="100"/>
          <w:sz w:val="21"/>
        </w:rPr>
        <w:t>darsh</w:t>
      </w:r>
      <w:r>
        <w:rPr>
          <w:spacing w:val="-3"/>
          <w:w w:val="100"/>
          <w:sz w:val="21"/>
        </w:rPr>
        <w:t>a</w:t>
      </w:r>
      <w:r>
        <w:rPr>
          <w:w w:val="100"/>
          <w:sz w:val="21"/>
        </w:rPr>
        <w:t>n</w:t>
      </w:r>
      <w:r>
        <w:rPr>
          <w:sz w:val="21"/>
        </w:rPr>
        <w:t>   </w:t>
      </w:r>
      <w:r>
        <w:rPr>
          <w:spacing w:val="-3"/>
          <w:w w:val="100"/>
          <w:sz w:val="21"/>
        </w:rPr>
        <w:t>o</w:t>
      </w:r>
      <w:r>
        <w:rPr>
          <w:w w:val="100"/>
          <w:sz w:val="21"/>
        </w:rPr>
        <w:t>f</w:t>
      </w:r>
      <w:r>
        <w:rPr>
          <w:sz w:val="21"/>
        </w:rPr>
        <w:t>   </w:t>
      </w:r>
      <w:r>
        <w:rPr>
          <w:spacing w:val="-2"/>
          <w:w w:val="100"/>
          <w:sz w:val="21"/>
        </w:rPr>
        <w:t>R</w:t>
      </w:r>
      <w:r>
        <w:rPr>
          <w:spacing w:val="-3"/>
          <w:w w:val="100"/>
          <w:sz w:val="21"/>
        </w:rPr>
        <w:t>a</w:t>
      </w:r>
      <w:r>
        <w:rPr>
          <w:spacing w:val="1"/>
          <w:w w:val="100"/>
          <w:sz w:val="21"/>
        </w:rPr>
        <w:t>m</w:t>
      </w:r>
      <w:r>
        <w:rPr>
          <w:w w:val="100"/>
          <w:sz w:val="21"/>
        </w:rPr>
        <w:t>c</w:t>
      </w:r>
      <w:r>
        <w:rPr>
          <w:spacing w:val="-3"/>
          <w:w w:val="100"/>
          <w:sz w:val="21"/>
        </w:rPr>
        <w:t>h</w:t>
      </w:r>
      <w:r>
        <w:rPr>
          <w:spacing w:val="-1"/>
          <w:w w:val="100"/>
          <w:sz w:val="21"/>
        </w:rPr>
        <w:t>a</w:t>
      </w:r>
      <w:r>
        <w:rPr>
          <w:spacing w:val="-3"/>
          <w:w w:val="100"/>
          <w:sz w:val="21"/>
        </w:rPr>
        <w:t>b</w:t>
      </w:r>
      <w:r>
        <w:rPr>
          <w:spacing w:val="-1"/>
          <w:w w:val="100"/>
          <w:sz w:val="21"/>
        </w:rPr>
        <w:t>utra</w:t>
      </w:r>
      <w:r>
        <w:rPr>
          <w:w w:val="100"/>
          <w:sz w:val="21"/>
        </w:rPr>
        <w:t>,</w:t>
      </w:r>
      <w:r>
        <w:rPr>
          <w:sz w:val="21"/>
        </w:rPr>
        <w:t>   </w:t>
      </w:r>
      <w:r>
        <w:rPr>
          <w:spacing w:val="-2"/>
          <w:w w:val="100"/>
          <w:sz w:val="21"/>
        </w:rPr>
        <w:t>t</w:t>
      </w:r>
      <w:r>
        <w:rPr>
          <w:spacing w:val="-1"/>
          <w:w w:val="100"/>
          <w:sz w:val="21"/>
        </w:rPr>
        <w:t>hen </w:t>
      </w:r>
      <w:r>
        <w:rPr>
          <w:sz w:val="21"/>
        </w:rPr>
        <w:t>Ramlalla, Sita Kitchen and to Shankar Chabutra and from there I used to come back. Sometime I used to offer prasada while having darshan to Pujari (Priest) for offering in the inner side. </w:t>
      </w:r>
      <w:r>
        <w:rPr>
          <w:b/>
          <w:sz w:val="21"/>
        </w:rPr>
        <w:t>I do not remember the name of Priest. Priest kept on changing. He himself said that Mahant of Hanumangarhi Faizabad remained the Priest for long time. I do not remember his name at present. On being reminded by learned cross-examiner advocate, he said priest name was Bhaskar Das.</w:t>
      </w:r>
    </w:p>
    <w:p>
      <w:pPr>
        <w:spacing w:before="0"/>
        <w:ind w:left="1940" w:right="0" w:firstLine="0"/>
        <w:jc w:val="left"/>
        <w:rPr>
          <w:b/>
          <w:sz w:val="21"/>
        </w:rPr>
      </w:pPr>
      <w:r>
        <w:rPr>
          <w:b/>
          <w:w w:val="100"/>
          <w:sz w:val="21"/>
        </w:rPr>
        <w:t>…</w:t>
      </w:r>
    </w:p>
    <w:p>
      <w:pPr>
        <w:spacing w:line="276" w:lineRule="auto" w:before="35"/>
        <w:ind w:left="1940" w:right="2261" w:firstLine="0"/>
        <w:jc w:val="both"/>
        <w:rPr>
          <w:sz w:val="21"/>
        </w:rPr>
      </w:pPr>
      <w:r>
        <w:rPr>
          <w:b/>
          <w:sz w:val="21"/>
        </w:rPr>
        <w:t>Bhaskar Dasji remained the priest of the disputed site for years but he was not a Mahant of Nirmohi Akhara ever. He was a priest of Hanumangarhi, Faizabad. At present he is neither a Mahant of Nirmohi Akhara nor a priest. </w:t>
      </w:r>
      <w:r>
        <w:rPr>
          <w:sz w:val="21"/>
        </w:rPr>
        <w:t>He is a member of the committee. I do not know how many members are there in a</w:t>
      </w:r>
      <w:r>
        <w:rPr>
          <w:spacing w:val="-9"/>
          <w:sz w:val="21"/>
        </w:rPr>
        <w:t> </w:t>
      </w:r>
      <w:r>
        <w:rPr>
          <w:sz w:val="21"/>
        </w:rPr>
        <w:t>committee.‖</w:t>
      </w:r>
    </w:p>
    <w:p>
      <w:pPr>
        <w:spacing w:line="241" w:lineRule="exact" w:before="0"/>
        <w:ind w:left="5798" w:right="0" w:firstLine="0"/>
        <w:jc w:val="left"/>
        <w:rPr>
          <w:sz w:val="21"/>
        </w:rPr>
      </w:pPr>
      <w:r>
        <w:rPr>
          <w:sz w:val="21"/>
        </w:rPr>
        <w:t>(Emphasis supplied)</w:t>
      </w:r>
    </w:p>
    <w:p>
      <w:pPr>
        <w:pStyle w:val="BodyText"/>
        <w:spacing w:before="4"/>
        <w:rPr>
          <w:sz w:val="24"/>
        </w:rPr>
      </w:pPr>
    </w:p>
    <w:p>
      <w:pPr>
        <w:pStyle w:val="BodyText"/>
        <w:spacing w:line="480" w:lineRule="auto"/>
        <w:ind w:left="500" w:right="443"/>
        <w:jc w:val="both"/>
      </w:pPr>
      <w:r>
        <w:rPr/>
        <w:t>Despite the initial statement that it was Nirmohi Akhara that performed the puja at the disputed site, the witness contradicts this statement under cross examination. The witness stated that it was one Bhaskar Das who performed puja. Bhaskar</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0"/>
        <w:jc w:val="both"/>
      </w:pPr>
      <w:r>
        <w:rPr/>
        <w:t>Das, according to the witness himself, was not associated with the Nirmohi Akhara. The contradictory stance of the witness cannot be relied upon to establish that Nirmohi Akhara were exercising management rights or even conducting the performance of the puja at the disputed site prior to</w:t>
      </w:r>
      <w:r>
        <w:rPr>
          <w:spacing w:val="-11"/>
        </w:rPr>
        <w:t> </w:t>
      </w:r>
      <w:r>
        <w:rPr/>
        <w:t>1949.</w:t>
      </w:r>
    </w:p>
    <w:p>
      <w:pPr>
        <w:pStyle w:val="BodyText"/>
        <w:rPr>
          <w:sz w:val="28"/>
        </w:rPr>
      </w:pPr>
    </w:p>
    <w:p>
      <w:pPr>
        <w:pStyle w:val="BodyText"/>
        <w:rPr>
          <w:sz w:val="22"/>
        </w:rPr>
      </w:pPr>
    </w:p>
    <w:p>
      <w:pPr>
        <w:pStyle w:val="ListParagraph"/>
        <w:numPr>
          <w:ilvl w:val="0"/>
          <w:numId w:val="111"/>
        </w:numPr>
        <w:tabs>
          <w:tab w:pos="1221" w:val="left" w:leader="none"/>
        </w:tabs>
        <w:spacing w:line="480" w:lineRule="auto" w:before="0" w:after="0"/>
        <w:ind w:left="500" w:right="445" w:firstLine="0"/>
        <w:jc w:val="both"/>
        <w:rPr>
          <w:sz w:val="25"/>
        </w:rPr>
      </w:pPr>
      <w:r>
        <w:rPr>
          <w:sz w:val="25"/>
        </w:rPr>
        <w:t>The testimony of several of the witnesses relied upon by the plaintiffs in Suit 3 is riddled with inconsistencies and contradictions. The testimony of </w:t>
      </w:r>
      <w:r>
        <w:rPr>
          <w:spacing w:val="-3"/>
          <w:sz w:val="25"/>
        </w:rPr>
        <w:t>DW </w:t>
      </w:r>
      <w:r>
        <w:rPr>
          <w:sz w:val="25"/>
        </w:rPr>
        <w:t>3/18 is no different. During his testimony he</w:t>
      </w:r>
      <w:r>
        <w:rPr>
          <w:spacing w:val="-10"/>
          <w:sz w:val="25"/>
        </w:rPr>
        <w:t> </w:t>
      </w:r>
      <w:r>
        <w:rPr>
          <w:sz w:val="25"/>
        </w:rPr>
        <w:t>stated:</w:t>
      </w:r>
    </w:p>
    <w:p>
      <w:pPr>
        <w:spacing w:line="276" w:lineRule="auto" w:before="159"/>
        <w:ind w:left="1940" w:right="2261" w:firstLine="0"/>
        <w:jc w:val="both"/>
        <w:rPr>
          <w:sz w:val="21"/>
        </w:rPr>
      </w:pPr>
      <w:r>
        <w:rPr>
          <w:spacing w:val="-1"/>
          <w:w w:val="33"/>
          <w:sz w:val="21"/>
        </w:rPr>
        <w:t>―</w:t>
      </w:r>
      <w:r>
        <w:rPr>
          <w:w w:val="100"/>
          <w:sz w:val="21"/>
        </w:rPr>
        <w:t>…T</w:t>
      </w:r>
      <w:r>
        <w:rPr>
          <w:spacing w:val="-2"/>
          <w:w w:val="100"/>
          <w:sz w:val="21"/>
        </w:rPr>
        <w:t>h</w:t>
      </w:r>
      <w:r>
        <w:rPr>
          <w:w w:val="100"/>
          <w:sz w:val="21"/>
        </w:rPr>
        <w:t>e</w:t>
      </w:r>
      <w:r>
        <w:rPr>
          <w:spacing w:val="20"/>
          <w:sz w:val="21"/>
        </w:rPr>
        <w:t> </w:t>
      </w:r>
      <w:r>
        <w:rPr>
          <w:spacing w:val="-3"/>
          <w:w w:val="100"/>
          <w:sz w:val="21"/>
        </w:rPr>
        <w:t>s</w:t>
      </w:r>
      <w:r>
        <w:rPr>
          <w:w w:val="100"/>
          <w:sz w:val="21"/>
        </w:rPr>
        <w:t>i</w:t>
      </w:r>
      <w:r>
        <w:rPr>
          <w:spacing w:val="-3"/>
          <w:w w:val="100"/>
          <w:sz w:val="21"/>
        </w:rPr>
        <w:t>z</w:t>
      </w:r>
      <w:r>
        <w:rPr>
          <w:w w:val="100"/>
          <w:sz w:val="21"/>
        </w:rPr>
        <w:t>e</w:t>
      </w:r>
      <w:r>
        <w:rPr>
          <w:spacing w:val="20"/>
          <w:sz w:val="21"/>
        </w:rPr>
        <w:t> </w:t>
      </w:r>
      <w:r>
        <w:rPr>
          <w:spacing w:val="-3"/>
          <w:w w:val="100"/>
          <w:sz w:val="21"/>
        </w:rPr>
        <w:t>o</w:t>
      </w:r>
      <w:r>
        <w:rPr>
          <w:w w:val="100"/>
          <w:sz w:val="21"/>
        </w:rPr>
        <w:t>f</w:t>
      </w:r>
      <w:r>
        <w:rPr>
          <w:spacing w:val="21"/>
          <w:sz w:val="21"/>
        </w:rPr>
        <w:t> </w:t>
      </w:r>
      <w:r>
        <w:rPr>
          <w:spacing w:val="-3"/>
          <w:w w:val="100"/>
          <w:sz w:val="21"/>
        </w:rPr>
        <w:t>c</w:t>
      </w:r>
      <w:r>
        <w:rPr>
          <w:spacing w:val="-1"/>
          <w:w w:val="100"/>
          <w:sz w:val="21"/>
        </w:rPr>
        <w:t>ha</w:t>
      </w:r>
      <w:r>
        <w:rPr>
          <w:spacing w:val="-2"/>
          <w:w w:val="100"/>
          <w:sz w:val="21"/>
        </w:rPr>
        <w:t>b</w:t>
      </w:r>
      <w:r>
        <w:rPr>
          <w:spacing w:val="-1"/>
          <w:w w:val="100"/>
          <w:sz w:val="21"/>
        </w:rPr>
        <w:t>utr</w:t>
      </w:r>
      <w:r>
        <w:rPr>
          <w:w w:val="100"/>
          <w:sz w:val="21"/>
        </w:rPr>
        <w:t>a</w:t>
      </w:r>
      <w:r>
        <w:rPr>
          <w:spacing w:val="18"/>
          <w:sz w:val="21"/>
        </w:rPr>
        <w:t> </w:t>
      </w:r>
      <w:r>
        <w:rPr>
          <w:spacing w:val="-2"/>
          <w:w w:val="100"/>
          <w:sz w:val="21"/>
        </w:rPr>
        <w:t>w</w:t>
      </w:r>
      <w:r>
        <w:rPr>
          <w:spacing w:val="-1"/>
          <w:w w:val="100"/>
          <w:sz w:val="21"/>
        </w:rPr>
        <w:t>a</w:t>
      </w:r>
      <w:r>
        <w:rPr>
          <w:w w:val="100"/>
          <w:sz w:val="21"/>
        </w:rPr>
        <w:t>s</w:t>
      </w:r>
      <w:r>
        <w:rPr>
          <w:spacing w:val="20"/>
          <w:sz w:val="21"/>
        </w:rPr>
        <w:t> </w:t>
      </w:r>
      <w:r>
        <w:rPr>
          <w:spacing w:val="-1"/>
          <w:w w:val="100"/>
          <w:sz w:val="21"/>
        </w:rPr>
        <w:t>a</w:t>
      </w:r>
      <w:r>
        <w:rPr>
          <w:spacing w:val="-3"/>
          <w:w w:val="100"/>
          <w:sz w:val="21"/>
        </w:rPr>
        <w:t>b</w:t>
      </w:r>
      <w:r>
        <w:rPr>
          <w:spacing w:val="-1"/>
          <w:w w:val="100"/>
          <w:sz w:val="21"/>
        </w:rPr>
        <w:t>ou</w:t>
      </w:r>
      <w:r>
        <w:rPr>
          <w:w w:val="100"/>
          <w:sz w:val="21"/>
        </w:rPr>
        <w:t>t</w:t>
      </w:r>
      <w:r>
        <w:rPr>
          <w:spacing w:val="19"/>
          <w:sz w:val="21"/>
        </w:rPr>
        <w:t> </w:t>
      </w:r>
      <w:r>
        <w:rPr>
          <w:spacing w:val="-2"/>
          <w:w w:val="100"/>
          <w:sz w:val="21"/>
        </w:rPr>
        <w:t>t</w:t>
      </w:r>
      <w:r>
        <w:rPr>
          <w:spacing w:val="-1"/>
          <w:w w:val="100"/>
          <w:sz w:val="21"/>
        </w:rPr>
        <w:t>hr</w:t>
      </w:r>
      <w:r>
        <w:rPr>
          <w:spacing w:val="-3"/>
          <w:w w:val="100"/>
          <w:sz w:val="21"/>
        </w:rPr>
        <w:t>e</w:t>
      </w:r>
      <w:r>
        <w:rPr>
          <w:spacing w:val="2"/>
          <w:w w:val="100"/>
          <w:sz w:val="21"/>
        </w:rPr>
        <w:t>e</w:t>
      </w:r>
      <w:r>
        <w:rPr>
          <w:spacing w:val="-1"/>
          <w:w w:val="100"/>
          <w:sz w:val="21"/>
        </w:rPr>
        <w:t>-</w:t>
      </w:r>
      <w:r>
        <w:rPr>
          <w:spacing w:val="-2"/>
          <w:w w:val="100"/>
          <w:sz w:val="21"/>
        </w:rPr>
        <w:t>f</w:t>
      </w:r>
      <w:r>
        <w:rPr>
          <w:w w:val="100"/>
          <w:sz w:val="21"/>
        </w:rPr>
        <w:t>our</w:t>
      </w:r>
      <w:r>
        <w:rPr>
          <w:spacing w:val="17"/>
          <w:sz w:val="21"/>
        </w:rPr>
        <w:t> </w:t>
      </w:r>
      <w:r>
        <w:rPr>
          <w:spacing w:val="1"/>
          <w:w w:val="100"/>
          <w:sz w:val="21"/>
        </w:rPr>
        <w:t>f</w:t>
      </w:r>
      <w:r>
        <w:rPr>
          <w:w w:val="100"/>
          <w:sz w:val="21"/>
        </w:rPr>
        <w:t>ee</w:t>
      </w:r>
      <w:r>
        <w:rPr>
          <w:spacing w:val="-1"/>
          <w:w w:val="100"/>
          <w:sz w:val="21"/>
        </w:rPr>
        <w:t>t</w:t>
      </w:r>
      <w:r>
        <w:rPr>
          <w:w w:val="100"/>
          <w:sz w:val="21"/>
        </w:rPr>
        <w:t>,</w:t>
      </w:r>
      <w:r>
        <w:rPr>
          <w:spacing w:val="17"/>
          <w:sz w:val="21"/>
        </w:rPr>
        <w:t> </w:t>
      </w:r>
      <w:r>
        <w:rPr>
          <w:spacing w:val="-2"/>
          <w:w w:val="100"/>
          <w:sz w:val="21"/>
        </w:rPr>
        <w:t>t</w:t>
      </w:r>
      <w:r>
        <w:rPr>
          <w:w w:val="100"/>
          <w:sz w:val="21"/>
        </w:rPr>
        <w:t>hree</w:t>
      </w:r>
      <w:r>
        <w:rPr>
          <w:spacing w:val="18"/>
          <w:sz w:val="21"/>
        </w:rPr>
        <w:t> </w:t>
      </w:r>
      <w:r>
        <w:rPr>
          <w:spacing w:val="1"/>
          <w:w w:val="100"/>
          <w:sz w:val="21"/>
        </w:rPr>
        <w:t>f</w:t>
      </w:r>
      <w:r>
        <w:rPr>
          <w:spacing w:val="-3"/>
          <w:w w:val="100"/>
          <w:sz w:val="21"/>
        </w:rPr>
        <w:t>e</w:t>
      </w:r>
      <w:r>
        <w:rPr>
          <w:w w:val="100"/>
          <w:sz w:val="21"/>
        </w:rPr>
        <w:t>et </w:t>
      </w:r>
      <w:r>
        <w:rPr>
          <w:sz w:val="21"/>
        </w:rPr>
        <w:t>in width and at one and half feet high from the ground level. </w:t>
      </w:r>
      <w:r>
        <w:rPr>
          <w:b/>
          <w:sz w:val="21"/>
        </w:rPr>
        <w:t>This chabutra was just below the mid dome </w:t>
      </w:r>
      <w:r>
        <w:rPr>
          <w:sz w:val="21"/>
        </w:rPr>
        <w:t>and is made of cement and bricks. This chabutra was at distance of </w:t>
      </w:r>
      <w:r>
        <w:rPr>
          <w:spacing w:val="-2"/>
          <w:sz w:val="21"/>
        </w:rPr>
        <w:t>two </w:t>
      </w:r>
      <w:r>
        <w:rPr>
          <w:sz w:val="21"/>
        </w:rPr>
        <w:t>feet from western wall and was in the</w:t>
      </w:r>
      <w:r>
        <w:rPr>
          <w:spacing w:val="-14"/>
          <w:sz w:val="21"/>
        </w:rPr>
        <w:t> </w:t>
      </w:r>
      <w:r>
        <w:rPr>
          <w:sz w:val="21"/>
        </w:rPr>
        <w:t>east…</w:t>
      </w:r>
    </w:p>
    <w:p>
      <w:pPr>
        <w:spacing w:before="1"/>
        <w:ind w:left="1940" w:right="0" w:firstLine="0"/>
        <w:jc w:val="left"/>
        <w:rPr>
          <w:sz w:val="21"/>
        </w:rPr>
      </w:pPr>
      <w:r>
        <w:rPr>
          <w:w w:val="100"/>
          <w:sz w:val="21"/>
        </w:rPr>
        <w:t>…</w:t>
      </w:r>
    </w:p>
    <w:p>
      <w:pPr>
        <w:spacing w:line="276" w:lineRule="auto" w:before="34"/>
        <w:ind w:left="1940" w:right="2262" w:firstLine="0"/>
        <w:jc w:val="both"/>
        <w:rPr>
          <w:sz w:val="21"/>
        </w:rPr>
      </w:pPr>
      <w:r>
        <w:rPr>
          <w:sz w:val="21"/>
        </w:rPr>
        <w:t>It is not correct to say that 5-6 thousand Hindus have kept the idols there on the night of 22/23.12.49, by making forceful entry into. It is also not correct to say these people have desecrated the Masjid. </w:t>
      </w:r>
      <w:r>
        <w:rPr>
          <w:b/>
          <w:sz w:val="21"/>
        </w:rPr>
        <w:t>It is also not correct to say that idols were kept there in the night because idols have already been there. </w:t>
      </w:r>
      <w:r>
        <w:rPr>
          <w:sz w:val="21"/>
        </w:rPr>
        <w:t>The point reported in the F.I.R. that idols were kept on the night of 22.12.1949, was</w:t>
      </w:r>
      <w:r>
        <w:rPr>
          <w:spacing w:val="-25"/>
          <w:sz w:val="21"/>
        </w:rPr>
        <w:t> </w:t>
      </w:r>
      <w:r>
        <w:rPr>
          <w:sz w:val="21"/>
        </w:rPr>
        <w:t>incorrect….‖</w:t>
      </w:r>
    </w:p>
    <w:p>
      <w:pPr>
        <w:spacing w:before="1"/>
        <w:ind w:left="5798" w:right="0" w:firstLine="0"/>
        <w:jc w:val="both"/>
        <w:rPr>
          <w:sz w:val="21"/>
        </w:rPr>
      </w:pPr>
      <w:r>
        <w:rPr>
          <w:sz w:val="21"/>
        </w:rPr>
        <w:t>(Emphasis supplied)</w:t>
      </w:r>
    </w:p>
    <w:p>
      <w:pPr>
        <w:pStyle w:val="BodyText"/>
        <w:spacing w:before="6"/>
        <w:rPr>
          <w:sz w:val="27"/>
        </w:rPr>
      </w:pPr>
    </w:p>
    <w:p>
      <w:pPr>
        <w:pStyle w:val="BodyText"/>
        <w:spacing w:line="480" w:lineRule="auto"/>
        <w:ind w:left="500" w:right="443"/>
        <w:jc w:val="both"/>
      </w:pPr>
      <w:r>
        <w:rPr/>
        <w:t>During the course of this judgement a wealth of evidence has been produced by the parties. There is no evidence to suggest that the Ramchabutra was ever under the central dome of the mosque or that the idols existed inside the mosque prior to December 1949. The witness further goes on to state:</w:t>
      </w:r>
    </w:p>
    <w:p>
      <w:pPr>
        <w:spacing w:line="276" w:lineRule="auto" w:before="0"/>
        <w:ind w:left="1940" w:right="2261" w:firstLine="69"/>
        <w:jc w:val="both"/>
        <w:rPr>
          <w:sz w:val="21"/>
        </w:rPr>
      </w:pPr>
      <w:r>
        <w:rPr>
          <w:w w:val="33"/>
          <w:sz w:val="21"/>
        </w:rPr>
        <w:t>―</w:t>
      </w:r>
      <w:r>
        <w:rPr>
          <w:w w:val="100"/>
          <w:sz w:val="21"/>
        </w:rPr>
        <w:t>Telling</w:t>
      </w:r>
      <w:r>
        <w:rPr>
          <w:sz w:val="21"/>
        </w:rPr>
        <w:t>   </w:t>
      </w:r>
      <w:r>
        <w:rPr>
          <w:w w:val="100"/>
          <w:sz w:val="21"/>
        </w:rPr>
        <w:t>a</w:t>
      </w:r>
      <w:r>
        <w:rPr>
          <w:sz w:val="21"/>
        </w:rPr>
        <w:t>   </w:t>
      </w:r>
      <w:r>
        <w:rPr>
          <w:w w:val="100"/>
          <w:sz w:val="21"/>
        </w:rPr>
        <w:t>lie</w:t>
      </w:r>
      <w:r>
        <w:rPr>
          <w:sz w:val="21"/>
        </w:rPr>
        <w:t>   </w:t>
      </w:r>
      <w:r>
        <w:rPr>
          <w:w w:val="100"/>
          <w:sz w:val="21"/>
        </w:rPr>
        <w:t>have</w:t>
      </w:r>
      <w:r>
        <w:rPr>
          <w:sz w:val="21"/>
        </w:rPr>
        <w:t>   </w:t>
      </w:r>
      <w:r>
        <w:rPr>
          <w:w w:val="100"/>
          <w:sz w:val="21"/>
        </w:rPr>
        <w:t>been</w:t>
      </w:r>
      <w:r>
        <w:rPr>
          <w:sz w:val="21"/>
        </w:rPr>
        <w:t>   </w:t>
      </w:r>
      <w:r>
        <w:rPr>
          <w:w w:val="100"/>
          <w:sz w:val="21"/>
        </w:rPr>
        <w:t>described</w:t>
      </w:r>
      <w:r>
        <w:rPr>
          <w:sz w:val="21"/>
        </w:rPr>
        <w:t>   </w:t>
      </w:r>
      <w:r>
        <w:rPr>
          <w:w w:val="100"/>
          <w:sz w:val="21"/>
        </w:rPr>
        <w:t>as</w:t>
      </w:r>
      <w:r>
        <w:rPr>
          <w:sz w:val="21"/>
        </w:rPr>
        <w:t>   </w:t>
      </w:r>
      <w:r>
        <w:rPr>
          <w:w w:val="100"/>
          <w:sz w:val="21"/>
        </w:rPr>
        <w:t>a</w:t>
      </w:r>
      <w:r>
        <w:rPr>
          <w:sz w:val="21"/>
        </w:rPr>
        <w:t>   </w:t>
      </w:r>
      <w:r>
        <w:rPr>
          <w:w w:val="100"/>
          <w:sz w:val="21"/>
        </w:rPr>
        <w:t>sin</w:t>
      </w:r>
      <w:r>
        <w:rPr>
          <w:sz w:val="21"/>
        </w:rPr>
        <w:t>   </w:t>
      </w:r>
      <w:r>
        <w:rPr>
          <w:w w:val="100"/>
          <w:sz w:val="21"/>
        </w:rPr>
        <w:t>i</w:t>
      </w:r>
      <w:r>
        <w:rPr>
          <w:w w:val="100"/>
          <w:sz w:val="21"/>
        </w:rPr>
        <w:t>n</w:t>
      </w:r>
      <w:r>
        <w:rPr>
          <w:sz w:val="21"/>
        </w:rPr>
        <w:t>   </w:t>
      </w:r>
      <w:r>
        <w:rPr>
          <w:w w:val="100"/>
          <w:sz w:val="21"/>
        </w:rPr>
        <w:t>t</w:t>
      </w:r>
      <w:r>
        <w:rPr>
          <w:w w:val="100"/>
          <w:sz w:val="21"/>
        </w:rPr>
        <w:t>he </w:t>
      </w:r>
      <w:r>
        <w:rPr>
          <w:sz w:val="21"/>
        </w:rPr>
        <w:t>dharmshastras. But if by telling a lie, proves a savior then there is no harm in telling a lie. Similarly there is no harm in telling a lie by a person who is dying of hunger. </w:t>
      </w:r>
      <w:r>
        <w:rPr>
          <w:b/>
          <w:sz w:val="21"/>
        </w:rPr>
        <w:t>If there is a religious place and if somebody is acquiring it through wrong means or forcibly occupying them, there is no harm in telling a lie. </w:t>
      </w:r>
      <w:r>
        <w:rPr>
          <w:sz w:val="21"/>
        </w:rPr>
        <w:t>If the religious place is taken away forcibly by others by telling a lie then it is correct.‖</w:t>
      </w:r>
    </w:p>
    <w:p>
      <w:pPr>
        <w:spacing w:before="0"/>
        <w:ind w:left="5798" w:right="0" w:firstLine="0"/>
        <w:jc w:val="both"/>
        <w:rPr>
          <w:sz w:val="21"/>
        </w:rPr>
      </w:pPr>
      <w:r>
        <w:rPr>
          <w:sz w:val="21"/>
        </w:rPr>
        <w:t>(Emphasis supplied)</w:t>
      </w:r>
    </w:p>
    <w:p>
      <w:pPr>
        <w:spacing w:after="0"/>
        <w:jc w:val="both"/>
        <w:rPr>
          <w:sz w:val="21"/>
        </w:rPr>
        <w:sectPr>
          <w:pgSz w:w="11910" w:h="16840"/>
          <w:pgMar w:header="721" w:footer="1014" w:top="1300" w:bottom="1200" w:left="940" w:right="1000"/>
        </w:sectPr>
      </w:pPr>
    </w:p>
    <w:p>
      <w:pPr>
        <w:pStyle w:val="BodyText"/>
        <w:spacing w:line="480" w:lineRule="auto" w:before="124"/>
        <w:ind w:left="500" w:right="442"/>
        <w:jc w:val="both"/>
      </w:pPr>
      <w:r>
        <w:rPr/>
        <w:t>In light of these statements by the witness no reliance can be placed on his testimony.</w:t>
      </w:r>
    </w:p>
    <w:p>
      <w:pPr>
        <w:pStyle w:val="BodyText"/>
        <w:rPr>
          <w:sz w:val="28"/>
        </w:rPr>
      </w:pPr>
    </w:p>
    <w:p>
      <w:pPr>
        <w:pStyle w:val="BodyText"/>
        <w:rPr>
          <w:sz w:val="22"/>
        </w:rPr>
      </w:pPr>
    </w:p>
    <w:p>
      <w:pPr>
        <w:pStyle w:val="ListParagraph"/>
        <w:numPr>
          <w:ilvl w:val="0"/>
          <w:numId w:val="111"/>
        </w:numPr>
        <w:tabs>
          <w:tab w:pos="1221" w:val="left" w:leader="none"/>
        </w:tabs>
        <w:spacing w:line="480" w:lineRule="auto" w:before="0" w:after="0"/>
        <w:ind w:left="500" w:right="441" w:firstLine="0"/>
        <w:jc w:val="both"/>
        <w:rPr>
          <w:sz w:val="25"/>
        </w:rPr>
      </w:pPr>
      <w:r>
        <w:rPr>
          <w:sz w:val="25"/>
        </w:rPr>
        <w:t>Mr S K Jain has relied on the statement of Mr Jilani recorded on 22 April 2009 under Order X Rule 2 of the Code of Civil Procedure where it was</w:t>
      </w:r>
      <w:r>
        <w:rPr>
          <w:spacing w:val="-19"/>
          <w:sz w:val="25"/>
        </w:rPr>
        <w:t> </w:t>
      </w:r>
      <w:r>
        <w:rPr>
          <w:sz w:val="25"/>
        </w:rPr>
        <w:t>stated:</w:t>
      </w:r>
    </w:p>
    <w:p>
      <w:pPr>
        <w:spacing w:line="276" w:lineRule="auto" w:before="158"/>
        <w:ind w:left="1940" w:right="2263" w:firstLine="0"/>
        <w:jc w:val="both"/>
        <w:rPr>
          <w:sz w:val="21"/>
        </w:rPr>
      </w:pPr>
      <w:r>
        <w:rPr>
          <w:spacing w:val="-1"/>
          <w:w w:val="33"/>
          <w:sz w:val="21"/>
        </w:rPr>
        <w:t>―</w:t>
      </w:r>
      <w:r>
        <w:rPr>
          <w:w w:val="100"/>
          <w:sz w:val="21"/>
        </w:rPr>
        <w:t>…</w:t>
      </w:r>
      <w:r>
        <w:rPr>
          <w:spacing w:val="-2"/>
          <w:w w:val="100"/>
          <w:sz w:val="21"/>
        </w:rPr>
        <w:t>t</w:t>
      </w:r>
      <w:r>
        <w:rPr>
          <w:spacing w:val="-1"/>
          <w:w w:val="100"/>
          <w:sz w:val="21"/>
        </w:rPr>
        <w:t>h</w:t>
      </w:r>
      <w:r>
        <w:rPr>
          <w:w w:val="100"/>
          <w:sz w:val="21"/>
        </w:rPr>
        <w:t>e</w:t>
      </w:r>
      <w:r>
        <w:rPr>
          <w:sz w:val="21"/>
        </w:rPr>
        <w:t> </w:t>
      </w:r>
      <w:r>
        <w:rPr>
          <w:spacing w:val="-23"/>
          <w:sz w:val="21"/>
        </w:rPr>
        <w:t> </w:t>
      </w:r>
      <w:r>
        <w:rPr>
          <w:spacing w:val="-3"/>
          <w:w w:val="100"/>
          <w:sz w:val="21"/>
        </w:rPr>
        <w:t>e</w:t>
      </w:r>
      <w:r>
        <w:rPr>
          <w:w w:val="100"/>
          <w:sz w:val="21"/>
        </w:rPr>
        <w:t>xis</w:t>
      </w:r>
      <w:r>
        <w:rPr>
          <w:spacing w:val="-2"/>
          <w:w w:val="100"/>
          <w:sz w:val="21"/>
        </w:rPr>
        <w:t>t</w:t>
      </w:r>
      <w:r>
        <w:rPr>
          <w:spacing w:val="-3"/>
          <w:w w:val="100"/>
          <w:sz w:val="21"/>
        </w:rPr>
        <w:t>e</w:t>
      </w:r>
      <w:r>
        <w:rPr>
          <w:spacing w:val="1"/>
          <w:w w:val="100"/>
          <w:sz w:val="21"/>
        </w:rPr>
        <w:t>n</w:t>
      </w:r>
      <w:r>
        <w:rPr>
          <w:w w:val="100"/>
          <w:sz w:val="21"/>
        </w:rPr>
        <w:t>ce</w:t>
      </w:r>
      <w:r>
        <w:rPr>
          <w:sz w:val="21"/>
        </w:rPr>
        <w:t> </w:t>
      </w:r>
      <w:r>
        <w:rPr>
          <w:spacing w:val="-26"/>
          <w:sz w:val="21"/>
        </w:rPr>
        <w:t> </w:t>
      </w:r>
      <w:r>
        <w:rPr>
          <w:spacing w:val="-3"/>
          <w:w w:val="100"/>
          <w:sz w:val="21"/>
        </w:rPr>
        <w:t>o</w:t>
      </w:r>
      <w:r>
        <w:rPr>
          <w:w w:val="100"/>
          <w:sz w:val="21"/>
        </w:rPr>
        <w:t>f</w:t>
      </w:r>
      <w:r>
        <w:rPr>
          <w:sz w:val="21"/>
        </w:rPr>
        <w:t> </w:t>
      </w:r>
      <w:r>
        <w:rPr>
          <w:spacing w:val="-25"/>
          <w:sz w:val="21"/>
        </w:rPr>
        <w:t> </w:t>
      </w:r>
      <w:r>
        <w:rPr>
          <w:spacing w:val="-2"/>
          <w:w w:val="100"/>
          <w:sz w:val="21"/>
        </w:rPr>
        <w:t>N</w:t>
      </w:r>
      <w:r>
        <w:rPr>
          <w:w w:val="100"/>
          <w:sz w:val="21"/>
        </w:rPr>
        <w:t>i</w:t>
      </w:r>
      <w:r>
        <w:rPr>
          <w:spacing w:val="-1"/>
          <w:w w:val="100"/>
          <w:sz w:val="21"/>
        </w:rPr>
        <w:t>rm</w:t>
      </w:r>
      <w:r>
        <w:rPr>
          <w:w w:val="100"/>
          <w:sz w:val="21"/>
        </w:rPr>
        <w:t>ohi</w:t>
      </w:r>
      <w:r>
        <w:rPr>
          <w:sz w:val="21"/>
        </w:rPr>
        <w:t> </w:t>
      </w:r>
      <w:r>
        <w:rPr>
          <w:spacing w:val="-25"/>
          <w:sz w:val="21"/>
        </w:rPr>
        <w:t> </w:t>
      </w:r>
      <w:r>
        <w:rPr>
          <w:spacing w:val="-2"/>
          <w:w w:val="100"/>
          <w:sz w:val="21"/>
        </w:rPr>
        <w:t>A</w:t>
      </w:r>
      <w:r>
        <w:rPr>
          <w:w w:val="100"/>
          <w:sz w:val="21"/>
        </w:rPr>
        <w:t>khara</w:t>
      </w:r>
      <w:r>
        <w:rPr>
          <w:sz w:val="21"/>
        </w:rPr>
        <w:t> </w:t>
      </w:r>
      <w:r>
        <w:rPr>
          <w:spacing w:val="-26"/>
          <w:sz w:val="21"/>
        </w:rPr>
        <w:t> </w:t>
      </w:r>
      <w:r>
        <w:rPr>
          <w:spacing w:val="1"/>
          <w:w w:val="100"/>
          <w:sz w:val="21"/>
        </w:rPr>
        <w:t>f</w:t>
      </w:r>
      <w:r>
        <w:rPr>
          <w:spacing w:val="-4"/>
          <w:w w:val="100"/>
          <w:sz w:val="21"/>
        </w:rPr>
        <w:t>r</w:t>
      </w:r>
      <w:r>
        <w:rPr>
          <w:spacing w:val="-3"/>
          <w:w w:val="100"/>
          <w:sz w:val="21"/>
        </w:rPr>
        <w:t>o</w:t>
      </w:r>
      <w:r>
        <w:rPr>
          <w:w w:val="100"/>
          <w:sz w:val="21"/>
        </w:rPr>
        <w:t>m</w:t>
      </w:r>
      <w:r>
        <w:rPr>
          <w:sz w:val="21"/>
        </w:rPr>
        <w:t> </w:t>
      </w:r>
      <w:r>
        <w:rPr>
          <w:spacing w:val="-22"/>
          <w:sz w:val="21"/>
        </w:rPr>
        <w:t> </w:t>
      </w:r>
      <w:r>
        <w:rPr>
          <w:spacing w:val="-2"/>
          <w:w w:val="100"/>
          <w:sz w:val="21"/>
        </w:rPr>
        <w:t>t</w:t>
      </w:r>
      <w:r>
        <w:rPr>
          <w:w w:val="100"/>
          <w:sz w:val="21"/>
        </w:rPr>
        <w:t>he</w:t>
      </w:r>
      <w:r>
        <w:rPr>
          <w:sz w:val="21"/>
        </w:rPr>
        <w:t> </w:t>
      </w:r>
      <w:r>
        <w:rPr>
          <w:spacing w:val="-26"/>
          <w:sz w:val="21"/>
        </w:rPr>
        <w:t> </w:t>
      </w:r>
      <w:r>
        <w:rPr>
          <w:w w:val="100"/>
          <w:sz w:val="21"/>
        </w:rPr>
        <w:t>s</w:t>
      </w:r>
      <w:r>
        <w:rPr>
          <w:spacing w:val="-3"/>
          <w:w w:val="100"/>
          <w:sz w:val="21"/>
        </w:rPr>
        <w:t>e</w:t>
      </w:r>
      <w:r>
        <w:rPr>
          <w:spacing w:val="-3"/>
          <w:w w:val="100"/>
          <w:sz w:val="21"/>
        </w:rPr>
        <w:t>c</w:t>
      </w:r>
      <w:r>
        <w:rPr>
          <w:w w:val="100"/>
          <w:sz w:val="21"/>
        </w:rPr>
        <w:t>ond</w:t>
      </w:r>
      <w:r>
        <w:rPr>
          <w:sz w:val="21"/>
        </w:rPr>
        <w:t> </w:t>
      </w:r>
      <w:r>
        <w:rPr>
          <w:spacing w:val="-26"/>
          <w:sz w:val="21"/>
        </w:rPr>
        <w:t> </w:t>
      </w:r>
      <w:r>
        <w:rPr>
          <w:w w:val="100"/>
          <w:sz w:val="21"/>
        </w:rPr>
        <w:t>h</w:t>
      </w:r>
      <w:r>
        <w:rPr>
          <w:spacing w:val="-3"/>
          <w:w w:val="100"/>
          <w:sz w:val="21"/>
        </w:rPr>
        <w:t>a</w:t>
      </w:r>
      <w:r>
        <w:rPr>
          <w:w w:val="100"/>
          <w:sz w:val="21"/>
        </w:rPr>
        <w:t>l</w:t>
      </w:r>
      <w:r>
        <w:rPr>
          <w:w w:val="100"/>
          <w:sz w:val="21"/>
        </w:rPr>
        <w:t>f</w:t>
      </w:r>
      <w:r>
        <w:rPr>
          <w:sz w:val="21"/>
        </w:rPr>
        <w:t> </w:t>
      </w:r>
      <w:r>
        <w:rPr>
          <w:spacing w:val="-25"/>
          <w:sz w:val="21"/>
        </w:rPr>
        <w:t> </w:t>
      </w:r>
      <w:r>
        <w:rPr>
          <w:spacing w:val="-3"/>
          <w:w w:val="100"/>
          <w:sz w:val="21"/>
        </w:rPr>
        <w:t>o</w:t>
      </w:r>
      <w:r>
        <w:rPr>
          <w:w w:val="100"/>
          <w:sz w:val="21"/>
        </w:rPr>
        <w:t>f </w:t>
      </w:r>
      <w:r>
        <w:rPr>
          <w:sz w:val="21"/>
        </w:rPr>
        <w:t>nineteenth century onwards is also not disputed. It is however denied and disputed that Nirmohi Akhara was in existence and special in Ayodhya in 16th century AD or in 1528 AD and it also denied that any idols were there in the building of the Babri Masjid up to 22nd December,</w:t>
      </w:r>
      <w:r>
        <w:rPr>
          <w:spacing w:val="-12"/>
          <w:sz w:val="21"/>
        </w:rPr>
        <w:t> </w:t>
      </w:r>
      <w:r>
        <w:rPr>
          <w:sz w:val="21"/>
        </w:rPr>
        <w:t>1949.‖</w:t>
      </w:r>
    </w:p>
    <w:p>
      <w:pPr>
        <w:pStyle w:val="BodyText"/>
        <w:rPr>
          <w:sz w:val="24"/>
        </w:rPr>
      </w:pPr>
    </w:p>
    <w:p>
      <w:pPr>
        <w:pStyle w:val="BodyText"/>
        <w:rPr>
          <w:sz w:val="24"/>
        </w:rPr>
      </w:pPr>
    </w:p>
    <w:p>
      <w:pPr>
        <w:pStyle w:val="BodyText"/>
        <w:spacing w:line="480" w:lineRule="auto" w:before="202"/>
        <w:ind w:left="500" w:right="443"/>
        <w:jc w:val="both"/>
      </w:pPr>
      <w:r>
        <w:rPr/>
        <w:t>There is a distinction between the mere presence of Nirmohi Akhara at Ayodhya or around the disputed site and the actual possession and management of the disputed site. A mere presence within an area or possession of an area is not sufficient to be vested with the powers of a shebait. Nothing in Mr Jilani‘s statement demonstrates or concedes management or even possession by Nirmohi Akhara.</w:t>
      </w:r>
    </w:p>
    <w:p>
      <w:pPr>
        <w:pStyle w:val="BodyText"/>
        <w:rPr>
          <w:sz w:val="28"/>
        </w:rPr>
      </w:pPr>
    </w:p>
    <w:p>
      <w:pPr>
        <w:pStyle w:val="BodyText"/>
        <w:rPr>
          <w:sz w:val="22"/>
        </w:rPr>
      </w:pPr>
    </w:p>
    <w:p>
      <w:pPr>
        <w:pStyle w:val="ListParagraph"/>
        <w:numPr>
          <w:ilvl w:val="0"/>
          <w:numId w:val="111"/>
        </w:numPr>
        <w:tabs>
          <w:tab w:pos="1221" w:val="left" w:leader="none"/>
        </w:tabs>
        <w:spacing w:line="480" w:lineRule="auto" w:before="1" w:after="0"/>
        <w:ind w:left="500" w:right="436" w:firstLine="0"/>
        <w:jc w:val="both"/>
        <w:rPr>
          <w:sz w:val="25"/>
        </w:rPr>
      </w:pPr>
      <w:r>
        <w:rPr>
          <w:sz w:val="25"/>
        </w:rPr>
        <w:t>Reliance was then placed on the oral testimony of plaintiff witnesses in  Suit 5. Mr S K Jain urged that these witnesses have admitted that it was the priests of the Nirmohi Akhara who were managing the idols at the disputed structure, before and after attachment. It was submitted that as the witnesses in Suit 5 had admitted the status of the Nirmohi Akhara as shebaits, no more evidence was required to be placed before this Court to establish that the Nirmohis are the shebaits. The relevant portions of these witness statements are as</w:t>
      </w:r>
      <w:r>
        <w:rPr>
          <w:spacing w:val="-2"/>
          <w:sz w:val="25"/>
        </w:rPr>
        <w:t> </w:t>
      </w:r>
      <w:r>
        <w:rPr>
          <w:sz w:val="25"/>
        </w:rPr>
        <w:t>follows:</w:t>
      </w:r>
    </w:p>
    <w:p>
      <w:pPr>
        <w:spacing w:after="0" w:line="480" w:lineRule="auto"/>
        <w:jc w:val="both"/>
        <w:rPr>
          <w:sz w:val="25"/>
        </w:rPr>
        <w:sectPr>
          <w:pgSz w:w="11910" w:h="16840"/>
          <w:pgMar w:header="721" w:footer="1014" w:top="1300" w:bottom="1200" w:left="940" w:right="1000"/>
        </w:sectPr>
      </w:pPr>
    </w:p>
    <w:p>
      <w:pPr>
        <w:pStyle w:val="Heading5"/>
        <w:numPr>
          <w:ilvl w:val="0"/>
          <w:numId w:val="119"/>
        </w:numPr>
        <w:tabs>
          <w:tab w:pos="928" w:val="left" w:leader="none"/>
        </w:tabs>
        <w:spacing w:line="240" w:lineRule="auto" w:before="121" w:after="0"/>
        <w:ind w:left="927" w:right="0" w:hanging="361"/>
        <w:jc w:val="left"/>
      </w:pPr>
      <w:r>
        <w:rPr/>
        <w:t>Sri Mahant Paramhans Ram Charan Das</w:t>
      </w:r>
      <w:r>
        <w:rPr>
          <w:spacing w:val="-5"/>
        </w:rPr>
        <w:t> </w:t>
      </w:r>
      <w:r>
        <w:rPr/>
        <w:t>(OPW-1)</w:t>
      </w:r>
    </w:p>
    <w:p>
      <w:pPr>
        <w:pStyle w:val="BodyText"/>
        <w:rPr>
          <w:b/>
          <w:sz w:val="39"/>
        </w:rPr>
      </w:pPr>
    </w:p>
    <w:p>
      <w:pPr>
        <w:spacing w:line="276" w:lineRule="auto" w:before="0"/>
        <w:ind w:left="1940" w:right="2258" w:firstLine="0"/>
        <w:jc w:val="both"/>
        <w:rPr>
          <w:sz w:val="21"/>
        </w:rPr>
      </w:pPr>
      <w:r>
        <w:rPr>
          <w:spacing w:val="-1"/>
          <w:w w:val="33"/>
          <w:sz w:val="21"/>
        </w:rPr>
        <w:t>―</w:t>
      </w:r>
      <w:r>
        <w:rPr>
          <w:spacing w:val="-2"/>
          <w:w w:val="100"/>
          <w:sz w:val="21"/>
        </w:rPr>
        <w:t>..</w:t>
      </w:r>
      <w:r>
        <w:rPr>
          <w:w w:val="100"/>
          <w:sz w:val="21"/>
        </w:rPr>
        <w:t>.</w:t>
      </w:r>
      <w:r>
        <w:rPr>
          <w:sz w:val="21"/>
        </w:rPr>
        <w:t> </w:t>
      </w:r>
      <w:r>
        <w:rPr>
          <w:w w:val="100"/>
          <w:sz w:val="21"/>
        </w:rPr>
        <w:t>B</w:t>
      </w:r>
      <w:r>
        <w:rPr>
          <w:spacing w:val="-1"/>
          <w:w w:val="100"/>
          <w:sz w:val="21"/>
        </w:rPr>
        <w:t>e</w:t>
      </w:r>
      <w:r>
        <w:rPr>
          <w:spacing w:val="1"/>
          <w:w w:val="100"/>
          <w:sz w:val="21"/>
        </w:rPr>
        <w:t>f</w:t>
      </w:r>
      <w:r>
        <w:rPr>
          <w:spacing w:val="-1"/>
          <w:w w:val="100"/>
          <w:sz w:val="21"/>
        </w:rPr>
        <w:t>or</w:t>
      </w:r>
      <w:r>
        <w:rPr>
          <w:w w:val="100"/>
          <w:sz w:val="21"/>
        </w:rPr>
        <w:t>e</w:t>
      </w:r>
      <w:r>
        <w:rPr>
          <w:sz w:val="21"/>
        </w:rPr>
        <w:t> </w:t>
      </w:r>
      <w:r>
        <w:rPr>
          <w:spacing w:val="-1"/>
          <w:w w:val="100"/>
          <w:sz w:val="21"/>
        </w:rPr>
        <w:t>at</w:t>
      </w:r>
      <w:r>
        <w:rPr>
          <w:spacing w:val="-2"/>
          <w:w w:val="100"/>
          <w:sz w:val="21"/>
        </w:rPr>
        <w:t>t</w:t>
      </w:r>
      <w:r>
        <w:rPr>
          <w:spacing w:val="-1"/>
          <w:w w:val="100"/>
          <w:sz w:val="21"/>
        </w:rPr>
        <w:t>a</w:t>
      </w:r>
      <w:r>
        <w:rPr>
          <w:spacing w:val="-3"/>
          <w:w w:val="100"/>
          <w:sz w:val="21"/>
        </w:rPr>
        <w:t>ch</w:t>
      </w:r>
      <w:r>
        <w:rPr>
          <w:spacing w:val="1"/>
          <w:w w:val="100"/>
          <w:sz w:val="21"/>
        </w:rPr>
        <w:t>m</w:t>
      </w:r>
      <w:r>
        <w:rPr>
          <w:spacing w:val="-1"/>
          <w:w w:val="100"/>
          <w:sz w:val="21"/>
        </w:rPr>
        <w:t>ent</w:t>
      </w:r>
      <w:r>
        <w:rPr>
          <w:w w:val="100"/>
          <w:sz w:val="21"/>
        </w:rPr>
        <w:t>,</w:t>
      </w:r>
      <w:r>
        <w:rPr>
          <w:sz w:val="21"/>
        </w:rPr>
        <w:t> </w:t>
      </w:r>
      <w:r>
        <w:rPr>
          <w:spacing w:val="-2"/>
          <w:w w:val="100"/>
          <w:sz w:val="21"/>
        </w:rPr>
        <w:t>Hi</w:t>
      </w:r>
      <w:r>
        <w:rPr>
          <w:spacing w:val="-1"/>
          <w:w w:val="100"/>
          <w:sz w:val="21"/>
        </w:rPr>
        <w:t>ndu</w:t>
      </w:r>
      <w:r>
        <w:rPr>
          <w:w w:val="100"/>
          <w:sz w:val="21"/>
        </w:rPr>
        <w:t>s</w:t>
      </w:r>
      <w:r>
        <w:rPr>
          <w:sz w:val="21"/>
        </w:rPr>
        <w:t> </w:t>
      </w:r>
      <w:r>
        <w:rPr>
          <w:spacing w:val="-3"/>
          <w:w w:val="100"/>
          <w:sz w:val="21"/>
        </w:rPr>
        <w:t>h</w:t>
      </w:r>
      <w:r>
        <w:rPr>
          <w:spacing w:val="-1"/>
          <w:w w:val="100"/>
          <w:sz w:val="21"/>
        </w:rPr>
        <w:t>a</w:t>
      </w:r>
      <w:r>
        <w:rPr>
          <w:w w:val="100"/>
          <w:sz w:val="21"/>
        </w:rPr>
        <w:t>d</w:t>
      </w:r>
      <w:r>
        <w:rPr>
          <w:sz w:val="21"/>
        </w:rPr>
        <w:t> </w:t>
      </w:r>
      <w:r>
        <w:rPr>
          <w:spacing w:val="-3"/>
          <w:w w:val="100"/>
          <w:sz w:val="21"/>
        </w:rPr>
        <w:t>b</w:t>
      </w:r>
      <w:r>
        <w:rPr>
          <w:spacing w:val="-1"/>
          <w:w w:val="100"/>
          <w:sz w:val="21"/>
        </w:rPr>
        <w:t>ee</w:t>
      </w:r>
      <w:r>
        <w:rPr>
          <w:w w:val="100"/>
          <w:sz w:val="21"/>
        </w:rPr>
        <w:t>n</w:t>
      </w:r>
      <w:r>
        <w:rPr>
          <w:sz w:val="21"/>
        </w:rPr>
        <w:t> </w:t>
      </w:r>
      <w:r>
        <w:rPr>
          <w:spacing w:val="-1"/>
          <w:w w:val="100"/>
          <w:sz w:val="21"/>
        </w:rPr>
        <w:t>g</w:t>
      </w:r>
      <w:r>
        <w:rPr>
          <w:spacing w:val="-3"/>
          <w:w w:val="100"/>
          <w:sz w:val="21"/>
        </w:rPr>
        <w:t>o</w:t>
      </w:r>
      <w:r>
        <w:rPr>
          <w:w w:val="100"/>
          <w:sz w:val="21"/>
        </w:rPr>
        <w:t>i</w:t>
      </w:r>
      <w:r>
        <w:rPr>
          <w:spacing w:val="-1"/>
          <w:w w:val="100"/>
          <w:sz w:val="21"/>
        </w:rPr>
        <w:t>n</w:t>
      </w:r>
      <w:r>
        <w:rPr>
          <w:w w:val="100"/>
          <w:sz w:val="21"/>
        </w:rPr>
        <w:t>g</w:t>
      </w:r>
      <w:r>
        <w:rPr>
          <w:sz w:val="21"/>
        </w:rPr>
        <w:t> </w:t>
      </w:r>
      <w:r>
        <w:rPr>
          <w:spacing w:val="-2"/>
          <w:w w:val="100"/>
          <w:sz w:val="21"/>
        </w:rPr>
        <w:t>t</w:t>
      </w:r>
      <w:r>
        <w:rPr>
          <w:w w:val="100"/>
          <w:sz w:val="21"/>
        </w:rPr>
        <w:t>o</w:t>
      </w:r>
      <w:r>
        <w:rPr>
          <w:sz w:val="21"/>
        </w:rPr>
        <w:t> </w:t>
      </w:r>
      <w:r>
        <w:rPr>
          <w:spacing w:val="-4"/>
          <w:w w:val="100"/>
          <w:sz w:val="21"/>
        </w:rPr>
        <w:t>G</w:t>
      </w:r>
      <w:r>
        <w:rPr>
          <w:spacing w:val="-1"/>
          <w:w w:val="100"/>
          <w:sz w:val="21"/>
        </w:rPr>
        <w:t>arb</w:t>
      </w:r>
      <w:r>
        <w:rPr>
          <w:w w:val="100"/>
          <w:sz w:val="21"/>
        </w:rPr>
        <w:t>a</w:t>
      </w:r>
      <w:r>
        <w:rPr>
          <w:sz w:val="21"/>
        </w:rPr>
        <w:t> </w:t>
      </w:r>
      <w:r>
        <w:rPr>
          <w:spacing w:val="-2"/>
          <w:w w:val="100"/>
          <w:sz w:val="21"/>
        </w:rPr>
        <w:t>G</w:t>
      </w:r>
      <w:r>
        <w:rPr>
          <w:spacing w:val="-1"/>
          <w:w w:val="100"/>
          <w:sz w:val="21"/>
        </w:rPr>
        <w:t>r</w:t>
      </w:r>
      <w:r>
        <w:rPr>
          <w:w w:val="100"/>
          <w:sz w:val="21"/>
        </w:rPr>
        <w:t>i</w:t>
      </w:r>
      <w:r>
        <w:rPr>
          <w:spacing w:val="-3"/>
          <w:w w:val="100"/>
          <w:sz w:val="21"/>
        </w:rPr>
        <w:t>h</w:t>
      </w:r>
      <w:r>
        <w:rPr>
          <w:w w:val="100"/>
          <w:sz w:val="21"/>
        </w:rPr>
        <w:t>a </w:t>
      </w:r>
      <w:r>
        <w:rPr>
          <w:sz w:val="21"/>
        </w:rPr>
        <w:t>without any restrictions for having Darshan. Idols of Lord Saligram, Hanumanji and Ramlalla were installed there. People Belonging to the Nirmohi Akhara never obstructed any Hindu from going to the Garba Griha. Members of the Nirmohi Akhara used to manage Garbha Griha before attachment…‖</w:t>
      </w:r>
    </w:p>
    <w:p>
      <w:pPr>
        <w:pStyle w:val="BodyText"/>
        <w:rPr>
          <w:sz w:val="24"/>
        </w:rPr>
      </w:pPr>
    </w:p>
    <w:p>
      <w:pPr>
        <w:pStyle w:val="BodyText"/>
        <w:rPr>
          <w:sz w:val="24"/>
        </w:rPr>
      </w:pPr>
    </w:p>
    <w:p>
      <w:pPr>
        <w:pStyle w:val="BodyText"/>
        <w:spacing w:before="2"/>
        <w:rPr>
          <w:sz w:val="22"/>
        </w:rPr>
      </w:pPr>
    </w:p>
    <w:p>
      <w:pPr>
        <w:pStyle w:val="Heading5"/>
        <w:numPr>
          <w:ilvl w:val="0"/>
          <w:numId w:val="119"/>
        </w:numPr>
        <w:tabs>
          <w:tab w:pos="928" w:val="left" w:leader="none"/>
        </w:tabs>
        <w:spacing w:line="240" w:lineRule="auto" w:before="0" w:after="0"/>
        <w:ind w:left="927" w:right="0" w:hanging="361"/>
        <w:jc w:val="left"/>
      </w:pPr>
      <w:r>
        <w:rPr/>
        <w:t>Deoki Nandan Agarwal</w:t>
      </w:r>
      <w:r>
        <w:rPr>
          <w:spacing w:val="1"/>
        </w:rPr>
        <w:t> </w:t>
      </w:r>
      <w:r>
        <w:rPr/>
        <w:t>(OPW-2)</w:t>
      </w:r>
    </w:p>
    <w:p>
      <w:pPr>
        <w:pStyle w:val="BodyText"/>
        <w:rPr>
          <w:b/>
          <w:sz w:val="39"/>
        </w:rPr>
      </w:pPr>
    </w:p>
    <w:p>
      <w:pPr>
        <w:spacing w:line="276" w:lineRule="auto" w:before="0"/>
        <w:ind w:left="1940" w:right="2261" w:firstLine="0"/>
        <w:jc w:val="both"/>
        <w:rPr>
          <w:sz w:val="21"/>
        </w:rPr>
      </w:pPr>
      <w:r>
        <w:rPr>
          <w:spacing w:val="-1"/>
          <w:w w:val="33"/>
          <w:sz w:val="21"/>
        </w:rPr>
        <w:t>―</w:t>
      </w:r>
      <w:r>
        <w:rPr>
          <w:w w:val="100"/>
          <w:sz w:val="21"/>
        </w:rPr>
        <w:t>…B</w:t>
      </w:r>
      <w:r>
        <w:rPr>
          <w:spacing w:val="-3"/>
          <w:w w:val="100"/>
          <w:sz w:val="21"/>
        </w:rPr>
        <w:t>a</w:t>
      </w:r>
      <w:r>
        <w:rPr>
          <w:w w:val="100"/>
          <w:sz w:val="21"/>
        </w:rPr>
        <w:t>i</w:t>
      </w:r>
      <w:r>
        <w:rPr>
          <w:spacing w:val="-1"/>
          <w:w w:val="100"/>
          <w:sz w:val="21"/>
        </w:rPr>
        <w:t>ra</w:t>
      </w:r>
      <w:r>
        <w:rPr>
          <w:spacing w:val="-3"/>
          <w:w w:val="100"/>
          <w:sz w:val="21"/>
        </w:rPr>
        <w:t>g</w:t>
      </w:r>
      <w:r>
        <w:rPr>
          <w:w w:val="100"/>
          <w:sz w:val="21"/>
        </w:rPr>
        <w:t>is</w:t>
      </w:r>
      <w:r>
        <w:rPr>
          <w:sz w:val="21"/>
        </w:rPr>
        <w:t> </w:t>
      </w:r>
      <w:r>
        <w:rPr>
          <w:spacing w:val="-14"/>
          <w:sz w:val="21"/>
        </w:rPr>
        <w:t> </w:t>
      </w:r>
      <w:r>
        <w:rPr>
          <w:spacing w:val="-1"/>
          <w:w w:val="100"/>
          <w:sz w:val="21"/>
        </w:rPr>
        <w:t>o</w:t>
      </w:r>
      <w:r>
        <w:rPr>
          <w:w w:val="100"/>
          <w:sz w:val="21"/>
        </w:rPr>
        <w:t>f</w:t>
      </w:r>
      <w:r>
        <w:rPr>
          <w:sz w:val="21"/>
        </w:rPr>
        <w:t> </w:t>
      </w:r>
      <w:r>
        <w:rPr>
          <w:spacing w:val="-13"/>
          <w:sz w:val="21"/>
        </w:rPr>
        <w:t> </w:t>
      </w:r>
      <w:r>
        <w:rPr>
          <w:spacing w:val="-2"/>
          <w:w w:val="100"/>
          <w:sz w:val="21"/>
        </w:rPr>
        <w:t>N</w:t>
      </w:r>
      <w:r>
        <w:rPr>
          <w:w w:val="100"/>
          <w:sz w:val="21"/>
        </w:rPr>
        <w:t>i</w:t>
      </w:r>
      <w:r>
        <w:rPr>
          <w:spacing w:val="-1"/>
          <w:w w:val="100"/>
          <w:sz w:val="21"/>
        </w:rPr>
        <w:t>rmo</w:t>
      </w:r>
      <w:r>
        <w:rPr>
          <w:spacing w:val="-3"/>
          <w:w w:val="100"/>
          <w:sz w:val="21"/>
        </w:rPr>
        <w:t>h</w:t>
      </w:r>
      <w:r>
        <w:rPr>
          <w:w w:val="100"/>
          <w:sz w:val="21"/>
        </w:rPr>
        <w:t>i</w:t>
      </w:r>
      <w:r>
        <w:rPr>
          <w:sz w:val="21"/>
        </w:rPr>
        <w:t> </w:t>
      </w:r>
      <w:r>
        <w:rPr>
          <w:spacing w:val="-11"/>
          <w:sz w:val="21"/>
        </w:rPr>
        <w:t> </w:t>
      </w:r>
      <w:r>
        <w:rPr>
          <w:spacing w:val="-2"/>
          <w:w w:val="100"/>
          <w:sz w:val="21"/>
        </w:rPr>
        <w:t>A</w:t>
      </w:r>
      <w:r>
        <w:rPr>
          <w:w w:val="100"/>
          <w:sz w:val="21"/>
        </w:rPr>
        <w:t>khara</w:t>
      </w:r>
      <w:r>
        <w:rPr>
          <w:sz w:val="21"/>
        </w:rPr>
        <w:t> </w:t>
      </w:r>
      <w:r>
        <w:rPr>
          <w:spacing w:val="-12"/>
          <w:sz w:val="21"/>
        </w:rPr>
        <w:t> </w:t>
      </w:r>
      <w:r>
        <w:rPr>
          <w:spacing w:val="-2"/>
          <w:w w:val="100"/>
          <w:sz w:val="21"/>
        </w:rPr>
        <w:t>w</w:t>
      </w:r>
      <w:r>
        <w:rPr>
          <w:spacing w:val="-3"/>
          <w:w w:val="100"/>
          <w:sz w:val="21"/>
        </w:rPr>
        <w:t>h</w:t>
      </w:r>
      <w:r>
        <w:rPr>
          <w:w w:val="100"/>
          <w:sz w:val="21"/>
        </w:rPr>
        <w:t>o</w:t>
      </w:r>
      <w:r>
        <w:rPr>
          <w:sz w:val="21"/>
        </w:rPr>
        <w:t> </w:t>
      </w:r>
      <w:r>
        <w:rPr>
          <w:spacing w:val="-12"/>
          <w:sz w:val="21"/>
        </w:rPr>
        <w:t> </w:t>
      </w:r>
      <w:r>
        <w:rPr>
          <w:spacing w:val="-1"/>
          <w:w w:val="100"/>
          <w:sz w:val="21"/>
        </w:rPr>
        <w:t>us</w:t>
      </w:r>
      <w:r>
        <w:rPr>
          <w:spacing w:val="-3"/>
          <w:w w:val="100"/>
          <w:sz w:val="21"/>
        </w:rPr>
        <w:t>e</w:t>
      </w:r>
      <w:r>
        <w:rPr>
          <w:w w:val="100"/>
          <w:sz w:val="21"/>
        </w:rPr>
        <w:t>d</w:t>
      </w:r>
      <w:r>
        <w:rPr>
          <w:sz w:val="21"/>
        </w:rPr>
        <w:t> </w:t>
      </w:r>
      <w:r>
        <w:rPr>
          <w:spacing w:val="-12"/>
          <w:sz w:val="21"/>
        </w:rPr>
        <w:t> </w:t>
      </w:r>
      <w:r>
        <w:rPr>
          <w:spacing w:val="-2"/>
          <w:w w:val="100"/>
          <w:sz w:val="21"/>
        </w:rPr>
        <w:t>t</w:t>
      </w:r>
      <w:r>
        <w:rPr>
          <w:w w:val="100"/>
          <w:sz w:val="21"/>
        </w:rPr>
        <w:t>o</w:t>
      </w:r>
      <w:r>
        <w:rPr>
          <w:sz w:val="21"/>
        </w:rPr>
        <w:t> </w:t>
      </w:r>
      <w:r>
        <w:rPr>
          <w:spacing w:val="-12"/>
          <w:sz w:val="21"/>
        </w:rPr>
        <w:t> </w:t>
      </w:r>
      <w:r>
        <w:rPr>
          <w:spacing w:val="-2"/>
          <w:w w:val="100"/>
          <w:sz w:val="21"/>
        </w:rPr>
        <w:t>w</w:t>
      </w:r>
      <w:r>
        <w:rPr>
          <w:spacing w:val="-1"/>
          <w:w w:val="100"/>
          <w:sz w:val="21"/>
        </w:rPr>
        <w:t>or</w:t>
      </w:r>
      <w:r>
        <w:rPr>
          <w:spacing w:val="-3"/>
          <w:w w:val="100"/>
          <w:sz w:val="21"/>
        </w:rPr>
        <w:t>s</w:t>
      </w:r>
      <w:r>
        <w:rPr>
          <w:spacing w:val="-1"/>
          <w:w w:val="100"/>
          <w:sz w:val="21"/>
        </w:rPr>
        <w:t>h</w:t>
      </w:r>
      <w:r>
        <w:rPr>
          <w:spacing w:val="1"/>
          <w:w w:val="100"/>
          <w:sz w:val="21"/>
        </w:rPr>
        <w:t>i</w:t>
      </w:r>
      <w:r>
        <w:rPr>
          <w:w w:val="100"/>
          <w:sz w:val="21"/>
        </w:rPr>
        <w:t>p</w:t>
      </w:r>
      <w:r>
        <w:rPr>
          <w:sz w:val="21"/>
        </w:rPr>
        <w:t> </w:t>
      </w:r>
      <w:r>
        <w:rPr>
          <w:spacing w:val="-14"/>
          <w:sz w:val="21"/>
        </w:rPr>
        <w:t> </w:t>
      </w:r>
      <w:r>
        <w:rPr>
          <w:spacing w:val="-1"/>
          <w:w w:val="100"/>
          <w:sz w:val="21"/>
        </w:rPr>
        <w:t>a</w:t>
      </w:r>
      <w:r>
        <w:rPr>
          <w:w w:val="100"/>
          <w:sz w:val="21"/>
        </w:rPr>
        <w:t>t</w:t>
      </w:r>
      <w:r>
        <w:rPr>
          <w:sz w:val="21"/>
        </w:rPr>
        <w:t> </w:t>
      </w:r>
      <w:r>
        <w:rPr>
          <w:spacing w:val="-13"/>
          <w:sz w:val="21"/>
        </w:rPr>
        <w:t> </w:t>
      </w:r>
      <w:r>
        <w:rPr>
          <w:spacing w:val="-2"/>
          <w:w w:val="100"/>
          <w:sz w:val="21"/>
        </w:rPr>
        <w:t>t</w:t>
      </w:r>
      <w:r>
        <w:rPr>
          <w:spacing w:val="-1"/>
          <w:w w:val="100"/>
          <w:sz w:val="21"/>
        </w:rPr>
        <w:t>he </w:t>
      </w:r>
      <w:r>
        <w:rPr>
          <w:sz w:val="21"/>
        </w:rPr>
        <w:t>Ram Chabutra did not allow muslims to enter inside. Therefore Namaz could never be performed in this place in spite of efforts made</w:t>
      </w:r>
      <w:r>
        <w:rPr>
          <w:spacing w:val="-3"/>
          <w:sz w:val="21"/>
        </w:rPr>
        <w:t> </w:t>
      </w:r>
      <w:r>
        <w:rPr>
          <w:sz w:val="21"/>
        </w:rPr>
        <w:t>constantly"</w:t>
      </w:r>
    </w:p>
    <w:p>
      <w:pPr>
        <w:pStyle w:val="BodyText"/>
        <w:spacing w:before="3"/>
        <w:rPr>
          <w:sz w:val="24"/>
        </w:rPr>
      </w:pPr>
    </w:p>
    <w:p>
      <w:pPr>
        <w:spacing w:line="276" w:lineRule="auto" w:before="0"/>
        <w:ind w:left="1940" w:right="2264" w:firstLine="0"/>
        <w:jc w:val="both"/>
        <w:rPr>
          <w:sz w:val="21"/>
        </w:rPr>
      </w:pPr>
      <w:r>
        <w:rPr>
          <w:spacing w:val="-1"/>
          <w:w w:val="33"/>
          <w:sz w:val="21"/>
        </w:rPr>
        <w:t>―</w:t>
      </w:r>
      <w:r>
        <w:rPr>
          <w:spacing w:val="-5"/>
          <w:w w:val="100"/>
          <w:sz w:val="21"/>
        </w:rPr>
        <w:t>…</w:t>
      </w:r>
      <w:r>
        <w:rPr>
          <w:spacing w:val="6"/>
          <w:w w:val="100"/>
          <w:sz w:val="21"/>
        </w:rPr>
        <w:t>W</w:t>
      </w:r>
      <w:r>
        <w:rPr>
          <w:spacing w:val="-3"/>
          <w:w w:val="100"/>
          <w:sz w:val="21"/>
        </w:rPr>
        <w:t>o</w:t>
      </w:r>
      <w:r>
        <w:rPr>
          <w:spacing w:val="-1"/>
          <w:w w:val="100"/>
          <w:sz w:val="21"/>
        </w:rPr>
        <w:t>r</w:t>
      </w:r>
      <w:r>
        <w:rPr>
          <w:spacing w:val="-3"/>
          <w:w w:val="100"/>
          <w:sz w:val="21"/>
        </w:rPr>
        <w:t>s</w:t>
      </w:r>
      <w:r>
        <w:rPr>
          <w:spacing w:val="-1"/>
          <w:w w:val="100"/>
          <w:sz w:val="21"/>
        </w:rPr>
        <w:t>h</w:t>
      </w:r>
      <w:r>
        <w:rPr>
          <w:spacing w:val="1"/>
          <w:w w:val="100"/>
          <w:sz w:val="21"/>
        </w:rPr>
        <w:t>i</w:t>
      </w:r>
      <w:r>
        <w:rPr>
          <w:w w:val="100"/>
          <w:sz w:val="21"/>
        </w:rPr>
        <w:t>p</w:t>
      </w:r>
      <w:r>
        <w:rPr>
          <w:sz w:val="21"/>
        </w:rPr>
        <w:t> </w:t>
      </w:r>
      <w:r>
        <w:rPr>
          <w:spacing w:val="-21"/>
          <w:sz w:val="21"/>
        </w:rPr>
        <w:t> </w:t>
      </w:r>
      <w:r>
        <w:rPr>
          <w:spacing w:val="-3"/>
          <w:w w:val="100"/>
          <w:sz w:val="21"/>
        </w:rPr>
        <w:t>o</w:t>
      </w:r>
      <w:r>
        <w:rPr>
          <w:w w:val="100"/>
          <w:sz w:val="21"/>
        </w:rPr>
        <w:t>f</w:t>
      </w:r>
      <w:r>
        <w:rPr>
          <w:sz w:val="21"/>
        </w:rPr>
        <w:t> </w:t>
      </w:r>
      <w:r>
        <w:rPr>
          <w:spacing w:val="-20"/>
          <w:sz w:val="21"/>
        </w:rPr>
        <w:t> </w:t>
      </w:r>
      <w:r>
        <w:rPr>
          <w:w w:val="100"/>
          <w:sz w:val="21"/>
        </w:rPr>
        <w:t>i</w:t>
      </w:r>
      <w:r>
        <w:rPr>
          <w:spacing w:val="-3"/>
          <w:w w:val="100"/>
          <w:sz w:val="21"/>
        </w:rPr>
        <w:t>d</w:t>
      </w:r>
      <w:r>
        <w:rPr>
          <w:spacing w:val="-1"/>
          <w:w w:val="100"/>
          <w:sz w:val="21"/>
        </w:rPr>
        <w:t>o</w:t>
      </w:r>
      <w:r>
        <w:rPr>
          <w:spacing w:val="-2"/>
          <w:w w:val="100"/>
          <w:sz w:val="21"/>
        </w:rPr>
        <w:t>l</w:t>
      </w:r>
      <w:r>
        <w:rPr>
          <w:w w:val="100"/>
          <w:sz w:val="21"/>
        </w:rPr>
        <w:t>s</w:t>
      </w:r>
      <w:r>
        <w:rPr>
          <w:sz w:val="21"/>
        </w:rPr>
        <w:t> </w:t>
      </w:r>
      <w:r>
        <w:rPr>
          <w:spacing w:val="-21"/>
          <w:sz w:val="21"/>
        </w:rPr>
        <w:t> </w:t>
      </w:r>
      <w:r>
        <w:rPr>
          <w:spacing w:val="-2"/>
          <w:w w:val="100"/>
          <w:sz w:val="21"/>
        </w:rPr>
        <w:t>w</w:t>
      </w:r>
      <w:r>
        <w:rPr>
          <w:spacing w:val="-1"/>
          <w:w w:val="100"/>
          <w:sz w:val="21"/>
        </w:rPr>
        <w:t>h</w:t>
      </w:r>
      <w:r>
        <w:rPr>
          <w:spacing w:val="1"/>
          <w:w w:val="100"/>
          <w:sz w:val="21"/>
        </w:rPr>
        <w:t>i</w:t>
      </w:r>
      <w:r>
        <w:rPr>
          <w:spacing w:val="-3"/>
          <w:w w:val="100"/>
          <w:sz w:val="21"/>
        </w:rPr>
        <w:t>c</w:t>
      </w:r>
      <w:r>
        <w:rPr>
          <w:w w:val="100"/>
          <w:sz w:val="21"/>
        </w:rPr>
        <w:t>h</w:t>
      </w:r>
      <w:r>
        <w:rPr>
          <w:sz w:val="21"/>
        </w:rPr>
        <w:t> </w:t>
      </w:r>
      <w:r>
        <w:rPr>
          <w:spacing w:val="-21"/>
          <w:sz w:val="21"/>
        </w:rPr>
        <w:t> </w:t>
      </w:r>
      <w:r>
        <w:rPr>
          <w:spacing w:val="-1"/>
          <w:w w:val="100"/>
          <w:sz w:val="21"/>
        </w:rPr>
        <w:t>ex</w:t>
      </w:r>
      <w:r>
        <w:rPr>
          <w:spacing w:val="1"/>
          <w:w w:val="100"/>
          <w:sz w:val="21"/>
        </w:rPr>
        <w:t>i</w:t>
      </w:r>
      <w:r>
        <w:rPr>
          <w:w w:val="100"/>
          <w:sz w:val="21"/>
        </w:rPr>
        <w:t>s</w:t>
      </w:r>
      <w:r>
        <w:rPr>
          <w:spacing w:val="-2"/>
          <w:w w:val="100"/>
          <w:sz w:val="21"/>
        </w:rPr>
        <w:t>t</w:t>
      </w:r>
      <w:r>
        <w:rPr>
          <w:spacing w:val="-3"/>
          <w:w w:val="100"/>
          <w:sz w:val="21"/>
        </w:rPr>
        <w:t>e</w:t>
      </w:r>
      <w:r>
        <w:rPr>
          <w:w w:val="100"/>
          <w:sz w:val="21"/>
        </w:rPr>
        <w:t>d</w:t>
      </w:r>
      <w:r>
        <w:rPr>
          <w:sz w:val="21"/>
        </w:rPr>
        <w:t> </w:t>
      </w:r>
      <w:r>
        <w:rPr>
          <w:spacing w:val="-21"/>
          <w:sz w:val="21"/>
        </w:rPr>
        <w:t> </w:t>
      </w:r>
      <w:r>
        <w:rPr>
          <w:spacing w:val="-1"/>
          <w:w w:val="100"/>
          <w:sz w:val="21"/>
        </w:rPr>
        <w:t>ear</w:t>
      </w:r>
      <w:r>
        <w:rPr>
          <w:spacing w:val="-2"/>
          <w:w w:val="100"/>
          <w:sz w:val="21"/>
        </w:rPr>
        <w:t>l</w:t>
      </w:r>
      <w:r>
        <w:rPr>
          <w:w w:val="100"/>
          <w:sz w:val="21"/>
        </w:rPr>
        <w:t>i</w:t>
      </w:r>
      <w:r>
        <w:rPr>
          <w:spacing w:val="-1"/>
          <w:w w:val="100"/>
          <w:sz w:val="21"/>
        </w:rPr>
        <w:t>e</w:t>
      </w:r>
      <w:r>
        <w:rPr>
          <w:w w:val="100"/>
          <w:sz w:val="21"/>
        </w:rPr>
        <w:t>r</w:t>
      </w:r>
      <w:r>
        <w:rPr>
          <w:sz w:val="21"/>
        </w:rPr>
        <w:t> </w:t>
      </w:r>
      <w:r>
        <w:rPr>
          <w:spacing w:val="-22"/>
          <w:sz w:val="21"/>
        </w:rPr>
        <w:t> </w:t>
      </w:r>
      <w:r>
        <w:rPr>
          <w:spacing w:val="-1"/>
          <w:w w:val="100"/>
          <w:sz w:val="21"/>
        </w:rPr>
        <w:t>o</w:t>
      </w:r>
      <w:r>
        <w:rPr>
          <w:w w:val="100"/>
          <w:sz w:val="21"/>
        </w:rPr>
        <w:t>n</w:t>
      </w:r>
      <w:r>
        <w:rPr>
          <w:sz w:val="21"/>
        </w:rPr>
        <w:t> </w:t>
      </w:r>
      <w:r>
        <w:rPr>
          <w:spacing w:val="-23"/>
          <w:sz w:val="21"/>
        </w:rPr>
        <w:t> </w:t>
      </w:r>
      <w:r>
        <w:rPr>
          <w:w w:val="100"/>
          <w:sz w:val="21"/>
        </w:rPr>
        <w:t>R</w:t>
      </w:r>
      <w:r>
        <w:rPr>
          <w:spacing w:val="-3"/>
          <w:w w:val="100"/>
          <w:sz w:val="21"/>
        </w:rPr>
        <w:t>a</w:t>
      </w:r>
      <w:r>
        <w:rPr>
          <w:w w:val="100"/>
          <w:sz w:val="21"/>
        </w:rPr>
        <w:t>m</w:t>
      </w:r>
      <w:r>
        <w:rPr>
          <w:sz w:val="21"/>
        </w:rPr>
        <w:t> </w:t>
      </w:r>
      <w:r>
        <w:rPr>
          <w:spacing w:val="-22"/>
          <w:sz w:val="21"/>
        </w:rPr>
        <w:t> </w:t>
      </w:r>
      <w:r>
        <w:rPr>
          <w:w w:val="100"/>
          <w:sz w:val="21"/>
        </w:rPr>
        <w:t>C</w:t>
      </w:r>
      <w:r>
        <w:rPr>
          <w:spacing w:val="-1"/>
          <w:w w:val="100"/>
          <w:sz w:val="21"/>
        </w:rPr>
        <w:t>ha</w:t>
      </w:r>
      <w:r>
        <w:rPr>
          <w:spacing w:val="-2"/>
          <w:w w:val="100"/>
          <w:sz w:val="21"/>
        </w:rPr>
        <w:t>b</w:t>
      </w:r>
      <w:r>
        <w:rPr>
          <w:spacing w:val="-1"/>
          <w:w w:val="100"/>
          <w:sz w:val="21"/>
        </w:rPr>
        <w:t>utr</w:t>
      </w:r>
      <w:r>
        <w:rPr>
          <w:w w:val="100"/>
          <w:sz w:val="21"/>
        </w:rPr>
        <w:t>a </w:t>
      </w:r>
      <w:r>
        <w:rPr>
          <w:sz w:val="21"/>
        </w:rPr>
        <w:t>and of the idol installed after 1949 was got done only by the two people of the Nirmohi Akhara till a quarrel arose with Dharamdasji‖</w:t>
      </w:r>
    </w:p>
    <w:p>
      <w:pPr>
        <w:pStyle w:val="BodyText"/>
        <w:rPr>
          <w:sz w:val="24"/>
        </w:rPr>
      </w:pPr>
    </w:p>
    <w:p>
      <w:pPr>
        <w:pStyle w:val="BodyText"/>
        <w:rPr>
          <w:sz w:val="24"/>
        </w:rPr>
      </w:pPr>
    </w:p>
    <w:p>
      <w:pPr>
        <w:pStyle w:val="BodyText"/>
        <w:spacing w:before="4"/>
        <w:rPr>
          <w:sz w:val="24"/>
        </w:rPr>
      </w:pPr>
    </w:p>
    <w:p>
      <w:pPr>
        <w:pStyle w:val="Heading5"/>
        <w:numPr>
          <w:ilvl w:val="0"/>
          <w:numId w:val="119"/>
        </w:numPr>
        <w:tabs>
          <w:tab w:pos="928" w:val="left" w:leader="none"/>
        </w:tabs>
        <w:spacing w:line="240" w:lineRule="auto" w:before="0" w:after="0"/>
        <w:ind w:left="927" w:right="0" w:hanging="361"/>
        <w:jc w:val="left"/>
      </w:pPr>
      <w:r>
        <w:rPr/>
        <w:t>Shri Ram Nath Panda @ Bansari Panda</w:t>
      </w:r>
      <w:r>
        <w:rPr>
          <w:spacing w:val="65"/>
        </w:rPr>
        <w:t> </w:t>
      </w:r>
      <w:r>
        <w:rPr/>
        <w:t>(OPW-5)</w:t>
      </w:r>
    </w:p>
    <w:p>
      <w:pPr>
        <w:pStyle w:val="BodyText"/>
        <w:rPr>
          <w:b/>
          <w:sz w:val="39"/>
        </w:rPr>
      </w:pPr>
    </w:p>
    <w:p>
      <w:pPr>
        <w:spacing w:line="276" w:lineRule="auto" w:before="0"/>
        <w:ind w:left="1940" w:right="2261" w:firstLine="0"/>
        <w:jc w:val="both"/>
        <w:rPr>
          <w:sz w:val="21"/>
        </w:rPr>
      </w:pPr>
      <w:r>
        <w:rPr>
          <w:spacing w:val="-1"/>
          <w:w w:val="33"/>
          <w:sz w:val="21"/>
        </w:rPr>
        <w:t>―</w:t>
      </w:r>
      <w:r>
        <w:rPr>
          <w:spacing w:val="-2"/>
          <w:w w:val="100"/>
          <w:sz w:val="21"/>
        </w:rPr>
        <w:t>I</w:t>
      </w:r>
      <w:r>
        <w:rPr>
          <w:w w:val="100"/>
          <w:sz w:val="21"/>
        </w:rPr>
        <w:t>n</w:t>
      </w:r>
      <w:r>
        <w:rPr>
          <w:sz w:val="21"/>
        </w:rPr>
        <w:t> </w:t>
      </w:r>
      <w:r>
        <w:rPr>
          <w:spacing w:val="5"/>
          <w:sz w:val="21"/>
        </w:rPr>
        <w:t> </w:t>
      </w:r>
      <w:r>
        <w:rPr>
          <w:spacing w:val="-2"/>
          <w:w w:val="100"/>
          <w:sz w:val="21"/>
        </w:rPr>
        <w:t>t</w:t>
      </w:r>
      <w:r>
        <w:rPr>
          <w:spacing w:val="-1"/>
          <w:w w:val="100"/>
          <w:sz w:val="21"/>
        </w:rPr>
        <w:t>h</w:t>
      </w:r>
      <w:r>
        <w:rPr>
          <w:w w:val="100"/>
          <w:sz w:val="21"/>
        </w:rPr>
        <w:t>e</w:t>
      </w:r>
      <w:r>
        <w:rPr>
          <w:sz w:val="21"/>
        </w:rPr>
        <w:t> </w:t>
      </w:r>
      <w:r>
        <w:rPr>
          <w:spacing w:val="5"/>
          <w:sz w:val="21"/>
        </w:rPr>
        <w:t> </w:t>
      </w:r>
      <w:r>
        <w:rPr>
          <w:spacing w:val="-2"/>
          <w:w w:val="100"/>
          <w:sz w:val="21"/>
        </w:rPr>
        <w:t>B</w:t>
      </w:r>
      <w:r>
        <w:rPr>
          <w:spacing w:val="-1"/>
          <w:w w:val="100"/>
          <w:sz w:val="21"/>
        </w:rPr>
        <w:t>ar</w:t>
      </w:r>
      <w:r>
        <w:rPr>
          <w:spacing w:val="-2"/>
          <w:w w:val="100"/>
          <w:sz w:val="21"/>
        </w:rPr>
        <w:t>r</w:t>
      </w:r>
      <w:r>
        <w:rPr>
          <w:spacing w:val="-1"/>
          <w:w w:val="100"/>
          <w:sz w:val="21"/>
        </w:rPr>
        <w:t>e</w:t>
      </w:r>
      <w:r>
        <w:rPr>
          <w:w w:val="100"/>
          <w:sz w:val="21"/>
        </w:rPr>
        <w:t>d</w:t>
      </w:r>
      <w:r>
        <w:rPr>
          <w:sz w:val="21"/>
        </w:rPr>
        <w:t> </w:t>
      </w:r>
      <w:r>
        <w:rPr>
          <w:spacing w:val="5"/>
          <w:sz w:val="21"/>
        </w:rPr>
        <w:t> </w:t>
      </w:r>
      <w:r>
        <w:rPr>
          <w:spacing w:val="-2"/>
          <w:w w:val="100"/>
          <w:sz w:val="21"/>
        </w:rPr>
        <w:t>w</w:t>
      </w:r>
      <w:r>
        <w:rPr>
          <w:spacing w:val="-3"/>
          <w:w w:val="100"/>
          <w:sz w:val="21"/>
        </w:rPr>
        <w:t>a</w:t>
      </w:r>
      <w:r>
        <w:rPr>
          <w:w w:val="100"/>
          <w:sz w:val="21"/>
        </w:rPr>
        <w:t>ll,</w:t>
      </w:r>
      <w:r>
        <w:rPr>
          <w:sz w:val="21"/>
        </w:rPr>
        <w:t> </w:t>
      </w:r>
      <w:r>
        <w:rPr>
          <w:spacing w:val="4"/>
          <w:sz w:val="21"/>
        </w:rPr>
        <w:t> </w:t>
      </w:r>
      <w:r>
        <w:rPr>
          <w:spacing w:val="-2"/>
          <w:w w:val="100"/>
          <w:sz w:val="21"/>
        </w:rPr>
        <w:t>t</w:t>
      </w:r>
      <w:r>
        <w:rPr>
          <w:spacing w:val="-3"/>
          <w:w w:val="100"/>
          <w:sz w:val="21"/>
        </w:rPr>
        <w:t>h</w:t>
      </w:r>
      <w:r>
        <w:rPr>
          <w:spacing w:val="-1"/>
          <w:w w:val="100"/>
          <w:sz w:val="21"/>
        </w:rPr>
        <w:t>e</w:t>
      </w:r>
      <w:r>
        <w:rPr>
          <w:spacing w:val="-3"/>
          <w:w w:val="100"/>
          <w:sz w:val="21"/>
        </w:rPr>
        <w:t>r</w:t>
      </w:r>
      <w:r>
        <w:rPr>
          <w:w w:val="100"/>
          <w:sz w:val="21"/>
        </w:rPr>
        <w:t>e</w:t>
      </w:r>
      <w:r>
        <w:rPr>
          <w:sz w:val="21"/>
        </w:rPr>
        <w:t> </w:t>
      </w:r>
      <w:r>
        <w:rPr>
          <w:spacing w:val="5"/>
          <w:sz w:val="21"/>
        </w:rPr>
        <w:t> </w:t>
      </w:r>
      <w:r>
        <w:rPr>
          <w:spacing w:val="-2"/>
          <w:w w:val="100"/>
          <w:sz w:val="21"/>
        </w:rPr>
        <w:t>w</w:t>
      </w:r>
      <w:r>
        <w:rPr>
          <w:spacing w:val="-1"/>
          <w:w w:val="100"/>
          <w:sz w:val="21"/>
        </w:rPr>
        <w:t>er</w:t>
      </w:r>
      <w:r>
        <w:rPr>
          <w:w w:val="100"/>
          <w:sz w:val="21"/>
        </w:rPr>
        <w:t>e</w:t>
      </w:r>
      <w:r>
        <w:rPr>
          <w:sz w:val="21"/>
        </w:rPr>
        <w:t> </w:t>
      </w:r>
      <w:r>
        <w:rPr>
          <w:spacing w:val="5"/>
          <w:sz w:val="21"/>
        </w:rPr>
        <w:t> </w:t>
      </w:r>
      <w:r>
        <w:rPr>
          <w:spacing w:val="-2"/>
          <w:w w:val="100"/>
          <w:sz w:val="21"/>
        </w:rPr>
        <w:t>tw</w:t>
      </w:r>
      <w:r>
        <w:rPr>
          <w:w w:val="100"/>
          <w:sz w:val="21"/>
        </w:rPr>
        <w:t>o</w:t>
      </w:r>
      <w:r>
        <w:rPr>
          <w:sz w:val="21"/>
        </w:rPr>
        <w:t> </w:t>
      </w:r>
      <w:r>
        <w:rPr>
          <w:spacing w:val="5"/>
          <w:sz w:val="21"/>
        </w:rPr>
        <w:t> </w:t>
      </w:r>
      <w:r>
        <w:rPr>
          <w:spacing w:val="-3"/>
          <w:w w:val="100"/>
          <w:sz w:val="21"/>
        </w:rPr>
        <w:t>d</w:t>
      </w:r>
      <w:r>
        <w:rPr>
          <w:spacing w:val="-1"/>
          <w:w w:val="100"/>
          <w:sz w:val="21"/>
        </w:rPr>
        <w:t>oor</w:t>
      </w:r>
      <w:r>
        <w:rPr>
          <w:w w:val="100"/>
          <w:sz w:val="21"/>
        </w:rPr>
        <w:t>s</w:t>
      </w:r>
      <w:r>
        <w:rPr>
          <w:sz w:val="21"/>
        </w:rPr>
        <w:t> </w:t>
      </w:r>
      <w:r>
        <w:rPr>
          <w:spacing w:val="5"/>
          <w:sz w:val="21"/>
        </w:rPr>
        <w:t> </w:t>
      </w:r>
      <w:r>
        <w:rPr>
          <w:spacing w:val="-4"/>
          <w:w w:val="100"/>
          <w:sz w:val="21"/>
        </w:rPr>
        <w:t>w</w:t>
      </w:r>
      <w:r>
        <w:rPr>
          <w:spacing w:val="-1"/>
          <w:w w:val="100"/>
          <w:sz w:val="21"/>
        </w:rPr>
        <w:t>h</w:t>
      </w:r>
      <w:r>
        <w:rPr>
          <w:spacing w:val="1"/>
          <w:w w:val="100"/>
          <w:sz w:val="21"/>
        </w:rPr>
        <w:t>i</w:t>
      </w:r>
      <w:r>
        <w:rPr>
          <w:spacing w:val="-3"/>
          <w:w w:val="100"/>
          <w:sz w:val="21"/>
        </w:rPr>
        <w:t>c</w:t>
      </w:r>
      <w:r>
        <w:rPr>
          <w:w w:val="100"/>
          <w:sz w:val="21"/>
        </w:rPr>
        <w:t>h</w:t>
      </w:r>
      <w:r>
        <w:rPr>
          <w:sz w:val="21"/>
        </w:rPr>
        <w:t> </w:t>
      </w:r>
      <w:r>
        <w:rPr>
          <w:spacing w:val="3"/>
          <w:sz w:val="21"/>
        </w:rPr>
        <w:t> </w:t>
      </w:r>
      <w:r>
        <w:rPr>
          <w:spacing w:val="-1"/>
          <w:w w:val="100"/>
          <w:sz w:val="21"/>
        </w:rPr>
        <w:t>use</w:t>
      </w:r>
      <w:r>
        <w:rPr>
          <w:w w:val="100"/>
          <w:sz w:val="21"/>
        </w:rPr>
        <w:t>d</w:t>
      </w:r>
      <w:r>
        <w:rPr>
          <w:sz w:val="21"/>
        </w:rPr>
        <w:t> </w:t>
      </w:r>
      <w:r>
        <w:rPr>
          <w:spacing w:val="3"/>
          <w:sz w:val="21"/>
        </w:rPr>
        <w:t> </w:t>
      </w:r>
      <w:r>
        <w:rPr>
          <w:spacing w:val="-2"/>
          <w:w w:val="100"/>
          <w:sz w:val="21"/>
        </w:rPr>
        <w:t>t</w:t>
      </w:r>
      <w:r>
        <w:rPr>
          <w:w w:val="100"/>
          <w:sz w:val="21"/>
        </w:rPr>
        <w:t>o </w:t>
      </w:r>
      <w:r>
        <w:rPr>
          <w:sz w:val="21"/>
        </w:rPr>
        <w:t>remain locked and those doors were opened and closed by the Pujaris of the Nirmohi Akhara. The same very pujari used to offer prayers and perform Arti at Ram Chandra and Sita Rasoi Etc. We used to arrange Darshan of the Garbh Griha for the pilgrims from the railing itself. A Donation box was also kept there. On the main gates were the shops of Batasha and flowed/garlands. One of those belong to Sehdev</w:t>
      </w:r>
      <w:r>
        <w:rPr>
          <w:spacing w:val="-23"/>
          <w:sz w:val="21"/>
        </w:rPr>
        <w:t> </w:t>
      </w:r>
      <w:r>
        <w:rPr>
          <w:sz w:val="21"/>
        </w:rPr>
        <w:t>mali.‖</w:t>
      </w:r>
    </w:p>
    <w:p>
      <w:pPr>
        <w:pStyle w:val="BodyText"/>
        <w:spacing w:before="4"/>
        <w:rPr>
          <w:sz w:val="24"/>
        </w:rPr>
      </w:pPr>
    </w:p>
    <w:p>
      <w:pPr>
        <w:spacing w:line="276" w:lineRule="auto" w:before="0"/>
        <w:ind w:left="1940" w:right="2266" w:firstLine="0"/>
        <w:jc w:val="both"/>
        <w:rPr>
          <w:sz w:val="21"/>
        </w:rPr>
      </w:pPr>
      <w:r>
        <w:rPr>
          <w:w w:val="33"/>
          <w:sz w:val="21"/>
        </w:rPr>
        <w:t>―</w:t>
      </w:r>
      <w:r>
        <w:rPr>
          <w:w w:val="100"/>
          <w:sz w:val="21"/>
        </w:rPr>
        <w:t>…The</w:t>
      </w:r>
      <w:r>
        <w:rPr>
          <w:sz w:val="21"/>
        </w:rPr>
        <w:t> </w:t>
      </w:r>
      <w:r>
        <w:rPr>
          <w:w w:val="100"/>
          <w:sz w:val="21"/>
        </w:rPr>
        <w:t>key</w:t>
      </w:r>
      <w:r>
        <w:rPr>
          <w:sz w:val="21"/>
        </w:rPr>
        <w:t> </w:t>
      </w:r>
      <w:r>
        <w:rPr>
          <w:w w:val="100"/>
          <w:sz w:val="21"/>
        </w:rPr>
        <w:t>of</w:t>
      </w:r>
      <w:r>
        <w:rPr>
          <w:sz w:val="21"/>
        </w:rPr>
        <w:t> </w:t>
      </w:r>
      <w:r>
        <w:rPr>
          <w:w w:val="100"/>
          <w:sz w:val="21"/>
        </w:rPr>
        <w:t>the</w:t>
      </w:r>
      <w:r>
        <w:rPr>
          <w:sz w:val="21"/>
        </w:rPr>
        <w:t> </w:t>
      </w:r>
      <w:r>
        <w:rPr>
          <w:w w:val="100"/>
          <w:sz w:val="21"/>
        </w:rPr>
        <w:t>lock</w:t>
      </w:r>
      <w:r>
        <w:rPr>
          <w:sz w:val="21"/>
        </w:rPr>
        <w:t> </w:t>
      </w:r>
      <w:r>
        <w:rPr>
          <w:w w:val="100"/>
          <w:sz w:val="21"/>
        </w:rPr>
        <w:t>used</w:t>
      </w:r>
      <w:r>
        <w:rPr>
          <w:sz w:val="21"/>
        </w:rPr>
        <w:t> </w:t>
      </w:r>
      <w:r>
        <w:rPr>
          <w:w w:val="100"/>
          <w:sz w:val="21"/>
        </w:rPr>
        <w:t>to</w:t>
      </w:r>
      <w:r>
        <w:rPr>
          <w:sz w:val="21"/>
        </w:rPr>
        <w:t> </w:t>
      </w:r>
      <w:r>
        <w:rPr>
          <w:w w:val="100"/>
          <w:sz w:val="21"/>
        </w:rPr>
        <w:t>be</w:t>
      </w:r>
      <w:r>
        <w:rPr>
          <w:sz w:val="21"/>
        </w:rPr>
        <w:t> </w:t>
      </w:r>
      <w:r>
        <w:rPr>
          <w:w w:val="100"/>
          <w:sz w:val="21"/>
        </w:rPr>
        <w:t>in</w:t>
      </w:r>
      <w:r>
        <w:rPr>
          <w:sz w:val="21"/>
        </w:rPr>
        <w:t> </w:t>
      </w:r>
      <w:r>
        <w:rPr>
          <w:w w:val="100"/>
          <w:sz w:val="21"/>
        </w:rPr>
        <w:t>the</w:t>
      </w:r>
      <w:r>
        <w:rPr>
          <w:sz w:val="21"/>
        </w:rPr>
        <w:t> </w:t>
      </w:r>
      <w:r>
        <w:rPr>
          <w:w w:val="100"/>
          <w:sz w:val="21"/>
        </w:rPr>
        <w:t>possession</w:t>
      </w:r>
      <w:r>
        <w:rPr>
          <w:sz w:val="21"/>
        </w:rPr>
        <w:t> </w:t>
      </w:r>
      <w:r>
        <w:rPr>
          <w:w w:val="100"/>
          <w:sz w:val="21"/>
        </w:rPr>
        <w:t>of</w:t>
      </w:r>
      <w:r>
        <w:rPr>
          <w:sz w:val="21"/>
        </w:rPr>
        <w:t> </w:t>
      </w:r>
      <w:r>
        <w:rPr>
          <w:w w:val="100"/>
          <w:sz w:val="21"/>
        </w:rPr>
        <w:t>people </w:t>
      </w:r>
      <w:r>
        <w:rPr>
          <w:sz w:val="21"/>
        </w:rPr>
        <w:t>of Nirmohi Akhara and whose pujari would open the lock, close the lock, and perform Arti puja and sounded bells and bugles...‖</w:t>
      </w:r>
    </w:p>
    <w:p>
      <w:pPr>
        <w:pStyle w:val="BodyText"/>
        <w:rPr>
          <w:sz w:val="24"/>
        </w:rPr>
      </w:pPr>
    </w:p>
    <w:p>
      <w:pPr>
        <w:spacing w:line="276" w:lineRule="auto" w:before="1"/>
        <w:ind w:left="1940" w:right="2261" w:firstLine="0"/>
        <w:jc w:val="both"/>
        <w:rPr>
          <w:sz w:val="21"/>
        </w:rPr>
      </w:pPr>
      <w:r>
        <w:rPr>
          <w:spacing w:val="-1"/>
          <w:w w:val="33"/>
          <w:sz w:val="21"/>
        </w:rPr>
        <w:t>―</w:t>
      </w:r>
      <w:r>
        <w:rPr>
          <w:w w:val="100"/>
          <w:sz w:val="21"/>
        </w:rPr>
        <w:t>…</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5"/>
          <w:sz w:val="21"/>
        </w:rPr>
        <w:t> </w:t>
      </w:r>
      <w:r>
        <w:rPr>
          <w:w w:val="100"/>
          <w:sz w:val="21"/>
        </w:rPr>
        <w:t>19</w:t>
      </w:r>
      <w:r>
        <w:rPr>
          <w:spacing w:val="-2"/>
          <w:w w:val="100"/>
          <w:sz w:val="21"/>
        </w:rPr>
        <w:t>4</w:t>
      </w:r>
      <w:r>
        <w:rPr>
          <w:w w:val="100"/>
          <w:sz w:val="21"/>
        </w:rPr>
        <w:t>9</w:t>
      </w:r>
      <w:r>
        <w:rPr>
          <w:sz w:val="21"/>
        </w:rPr>
        <w:t> </w:t>
      </w:r>
      <w:r>
        <w:rPr>
          <w:spacing w:val="-4"/>
          <w:sz w:val="21"/>
        </w:rPr>
        <w:t> </w:t>
      </w:r>
      <w:r>
        <w:rPr>
          <w:spacing w:val="-2"/>
          <w:w w:val="100"/>
          <w:sz w:val="21"/>
        </w:rPr>
        <w:t>t</w:t>
      </w:r>
      <w:r>
        <w:rPr>
          <w:w w:val="100"/>
          <w:sz w:val="21"/>
        </w:rPr>
        <w:t>o</w:t>
      </w:r>
      <w:r>
        <w:rPr>
          <w:sz w:val="21"/>
        </w:rPr>
        <w:t> </w:t>
      </w:r>
      <w:r>
        <w:rPr>
          <w:spacing w:val="-4"/>
          <w:sz w:val="21"/>
        </w:rPr>
        <w:t> </w:t>
      </w:r>
      <w:r>
        <w:rPr>
          <w:w w:val="100"/>
          <w:sz w:val="21"/>
        </w:rPr>
        <w:t>19</w:t>
      </w:r>
      <w:r>
        <w:rPr>
          <w:spacing w:val="-2"/>
          <w:w w:val="100"/>
          <w:sz w:val="21"/>
        </w:rPr>
        <w:t>7</w:t>
      </w:r>
      <w:r>
        <w:rPr>
          <w:w w:val="100"/>
          <w:sz w:val="21"/>
        </w:rPr>
        <w:t>0,</w:t>
      </w:r>
      <w:r>
        <w:rPr>
          <w:sz w:val="21"/>
        </w:rPr>
        <w:t> </w:t>
      </w:r>
      <w:r>
        <w:rPr>
          <w:spacing w:val="-5"/>
          <w:sz w:val="21"/>
        </w:rPr>
        <w:t> </w:t>
      </w:r>
      <w:r>
        <w:rPr>
          <w:w w:val="100"/>
          <w:sz w:val="21"/>
        </w:rPr>
        <w:t>I</w:t>
      </w:r>
      <w:r>
        <w:rPr>
          <w:sz w:val="21"/>
        </w:rPr>
        <w:t> </w:t>
      </w:r>
      <w:r>
        <w:rPr>
          <w:spacing w:val="-6"/>
          <w:sz w:val="21"/>
        </w:rPr>
        <w:t> </w:t>
      </w:r>
      <w:r>
        <w:rPr>
          <w:w w:val="100"/>
          <w:sz w:val="21"/>
        </w:rPr>
        <w:t>used</w:t>
      </w:r>
      <w:r>
        <w:rPr>
          <w:sz w:val="21"/>
        </w:rPr>
        <w:t> </w:t>
      </w:r>
      <w:r>
        <w:rPr>
          <w:spacing w:val="-4"/>
          <w:sz w:val="21"/>
        </w:rPr>
        <w:t> </w:t>
      </w:r>
      <w:r>
        <w:rPr>
          <w:spacing w:val="-2"/>
          <w:w w:val="100"/>
          <w:sz w:val="21"/>
        </w:rPr>
        <w:t>t</w:t>
      </w:r>
      <w:r>
        <w:rPr>
          <w:w w:val="100"/>
          <w:sz w:val="21"/>
        </w:rPr>
        <w:t>o</w:t>
      </w:r>
      <w:r>
        <w:rPr>
          <w:sz w:val="21"/>
        </w:rPr>
        <w:t> </w:t>
      </w:r>
      <w:r>
        <w:rPr>
          <w:spacing w:val="-4"/>
          <w:sz w:val="21"/>
        </w:rPr>
        <w:t> </w:t>
      </w:r>
      <w:r>
        <w:rPr>
          <w:spacing w:val="-3"/>
          <w:w w:val="100"/>
          <w:sz w:val="21"/>
        </w:rPr>
        <w:t>g</w:t>
      </w:r>
      <w:r>
        <w:rPr>
          <w:w w:val="100"/>
          <w:sz w:val="21"/>
        </w:rPr>
        <w:t>o</w:t>
      </w:r>
      <w:r>
        <w:rPr>
          <w:sz w:val="21"/>
        </w:rPr>
        <w:t> </w:t>
      </w:r>
      <w:r>
        <w:rPr>
          <w:spacing w:val="-4"/>
          <w:sz w:val="21"/>
        </w:rPr>
        <w:t> </w:t>
      </w:r>
      <w:r>
        <w:rPr>
          <w:spacing w:val="-2"/>
          <w:w w:val="100"/>
          <w:sz w:val="21"/>
        </w:rPr>
        <w:t>t</w:t>
      </w:r>
      <w:r>
        <w:rPr>
          <w:w w:val="100"/>
          <w:sz w:val="21"/>
        </w:rPr>
        <w:t>o</w:t>
      </w:r>
      <w:r>
        <w:rPr>
          <w:sz w:val="21"/>
        </w:rPr>
        <w:t> </w:t>
      </w:r>
      <w:r>
        <w:rPr>
          <w:spacing w:val="-4"/>
          <w:sz w:val="21"/>
        </w:rPr>
        <w:t> </w:t>
      </w:r>
      <w:r>
        <w:rPr>
          <w:spacing w:val="-2"/>
          <w:w w:val="100"/>
          <w:sz w:val="21"/>
        </w:rPr>
        <w:t>R</w:t>
      </w:r>
      <w:r>
        <w:rPr>
          <w:spacing w:val="-3"/>
          <w:w w:val="100"/>
          <w:sz w:val="21"/>
        </w:rPr>
        <w:t>a</w:t>
      </w:r>
      <w:r>
        <w:rPr>
          <w:w w:val="100"/>
          <w:sz w:val="21"/>
        </w:rPr>
        <w:t>m</w:t>
      </w:r>
      <w:r>
        <w:rPr>
          <w:sz w:val="21"/>
        </w:rPr>
        <w:t> </w:t>
      </w:r>
      <w:r>
        <w:rPr>
          <w:spacing w:val="-3"/>
          <w:sz w:val="21"/>
        </w:rPr>
        <w:t> </w:t>
      </w:r>
      <w:r>
        <w:rPr>
          <w:w w:val="100"/>
          <w:sz w:val="21"/>
        </w:rPr>
        <w:t>J</w:t>
      </w:r>
      <w:r>
        <w:rPr>
          <w:spacing w:val="-3"/>
          <w:w w:val="100"/>
          <w:sz w:val="21"/>
        </w:rPr>
        <w:t>a</w:t>
      </w:r>
      <w:r>
        <w:rPr>
          <w:w w:val="100"/>
          <w:sz w:val="21"/>
        </w:rPr>
        <w:t>nm</w:t>
      </w:r>
      <w:r>
        <w:rPr>
          <w:sz w:val="21"/>
        </w:rPr>
        <w:t> </w:t>
      </w:r>
      <w:r>
        <w:rPr>
          <w:spacing w:val="-5"/>
          <w:sz w:val="21"/>
        </w:rPr>
        <w:t> </w:t>
      </w:r>
      <w:r>
        <w:rPr>
          <w:w w:val="100"/>
          <w:sz w:val="21"/>
        </w:rPr>
        <w:t>B</w:t>
      </w:r>
      <w:r>
        <w:rPr>
          <w:spacing w:val="-3"/>
          <w:w w:val="100"/>
          <w:sz w:val="21"/>
        </w:rPr>
        <w:t>hu</w:t>
      </w:r>
      <w:r>
        <w:rPr>
          <w:spacing w:val="-1"/>
          <w:w w:val="100"/>
          <w:sz w:val="21"/>
        </w:rPr>
        <w:t>m</w:t>
      </w:r>
      <w:r>
        <w:rPr>
          <w:w w:val="100"/>
          <w:sz w:val="21"/>
        </w:rPr>
        <w:t>i </w:t>
      </w:r>
      <w:r>
        <w:rPr>
          <w:sz w:val="21"/>
        </w:rPr>
        <w:t>Temple regularly. After the attachment of 1949, the receiver of Garbh Girha-Babu Priya Dutt Ram became the chairman of the Municipality Faizabad and at places like Ram Chabutra Temple, Chhathi Puja Sthal, Bhandar Sthal and Shiv Darbar Puja</w:t>
      </w:r>
      <w:r>
        <w:rPr>
          <w:spacing w:val="31"/>
          <w:sz w:val="21"/>
        </w:rPr>
        <w:t> </w:t>
      </w:r>
      <w:r>
        <w:rPr>
          <w:sz w:val="21"/>
        </w:rPr>
        <w:t>continued</w:t>
      </w:r>
      <w:r>
        <w:rPr>
          <w:spacing w:val="31"/>
          <w:sz w:val="21"/>
        </w:rPr>
        <w:t> </w:t>
      </w:r>
      <w:r>
        <w:rPr>
          <w:sz w:val="21"/>
        </w:rPr>
        <w:t>to</w:t>
      </w:r>
      <w:r>
        <w:rPr>
          <w:spacing w:val="30"/>
          <w:sz w:val="21"/>
        </w:rPr>
        <w:t> </w:t>
      </w:r>
      <w:r>
        <w:rPr>
          <w:sz w:val="21"/>
        </w:rPr>
        <w:t>be</w:t>
      </w:r>
      <w:r>
        <w:rPr>
          <w:spacing w:val="29"/>
          <w:sz w:val="21"/>
        </w:rPr>
        <w:t> </w:t>
      </w:r>
      <w:r>
        <w:rPr>
          <w:sz w:val="21"/>
        </w:rPr>
        <w:t>performed</w:t>
      </w:r>
      <w:r>
        <w:rPr>
          <w:spacing w:val="30"/>
          <w:sz w:val="21"/>
        </w:rPr>
        <w:t> </w:t>
      </w:r>
      <w:r>
        <w:rPr>
          <w:sz w:val="21"/>
        </w:rPr>
        <w:t>in</w:t>
      </w:r>
      <w:r>
        <w:rPr>
          <w:spacing w:val="31"/>
          <w:sz w:val="21"/>
        </w:rPr>
        <w:t> </w:t>
      </w:r>
      <w:r>
        <w:rPr>
          <w:sz w:val="21"/>
        </w:rPr>
        <w:t>the</w:t>
      </w:r>
      <w:r>
        <w:rPr>
          <w:spacing w:val="32"/>
          <w:sz w:val="21"/>
        </w:rPr>
        <w:t> </w:t>
      </w:r>
      <w:r>
        <w:rPr>
          <w:sz w:val="21"/>
        </w:rPr>
        <w:t>same</w:t>
      </w:r>
      <w:r>
        <w:rPr>
          <w:spacing w:val="31"/>
          <w:sz w:val="21"/>
        </w:rPr>
        <w:t> </w:t>
      </w:r>
      <w:r>
        <w:rPr>
          <w:sz w:val="21"/>
        </w:rPr>
        <w:t>way</w:t>
      </w:r>
      <w:r>
        <w:rPr>
          <w:spacing w:val="26"/>
          <w:sz w:val="21"/>
        </w:rPr>
        <w:t> </w:t>
      </w:r>
      <w:r>
        <w:rPr>
          <w:sz w:val="21"/>
        </w:rPr>
        <w:t>as</w:t>
      </w:r>
      <w:r>
        <w:rPr>
          <w:spacing w:val="32"/>
          <w:sz w:val="21"/>
        </w:rPr>
        <w:t> </w:t>
      </w:r>
      <w:r>
        <w:rPr>
          <w:sz w:val="21"/>
        </w:rPr>
        <w:t>before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6" w:firstLine="0"/>
        <w:jc w:val="left"/>
        <w:rPr>
          <w:sz w:val="21"/>
        </w:rPr>
      </w:pPr>
      <w:r>
        <w:rPr>
          <w:sz w:val="21"/>
        </w:rPr>
        <w:t>and was performed by the same people who used to perform it before...‖</w:t>
      </w:r>
    </w:p>
    <w:p>
      <w:pPr>
        <w:pStyle w:val="BodyText"/>
        <w:rPr>
          <w:sz w:val="24"/>
        </w:rPr>
      </w:pPr>
    </w:p>
    <w:p>
      <w:pPr>
        <w:pStyle w:val="BodyText"/>
        <w:spacing w:before="1"/>
        <w:rPr>
          <w:sz w:val="26"/>
        </w:rPr>
      </w:pPr>
    </w:p>
    <w:p>
      <w:pPr>
        <w:pStyle w:val="BodyText"/>
        <w:spacing w:line="480" w:lineRule="auto" w:before="1"/>
        <w:ind w:left="500" w:right="437"/>
        <w:jc w:val="both"/>
      </w:pPr>
      <w:r>
        <w:rPr/>
        <w:t>The testimony of the plaintiff witnesses in Suit 5 have been selectively extracted and do not bear out the conclusion that Nirmohi Akhara was a shebait. The statements of OPW – 1 that Nirmohi Akhara managed the inner courtyard are not supported by the evidence adduced, on which findings are recorded elsewhere in this judgement. Similarly, the isolated statement by OPW – 5 that the Nirmohis possessed the key to the outer courtyard is not corroborated by any other statements. If the Nirmohis possessed the key to the outer courtyard, every  visitor to the disputed site, whether Hindu or Muslim, would have required the permission of the Nirmohis to enter. If true, such a state of affairs would have surely been recorded by other witnesses in their testimony. The statement of OPW – 2 once again merely indicates the presence of the Nirmohis in and around the disputed site. It indicates a disagreement between the Nirmohis and Dharam Das about the movement of the idols to the inner courtyard in 1949. This statement undermines the claim of the Nirmohis as exclusive managers of the deity as it evidences disagreement about the placement of the idols. The continued disavowal of the events of 22/23 December by the Nirmohi Akhara lends credence to this</w:t>
      </w:r>
      <w:r>
        <w:rPr>
          <w:spacing w:val="-7"/>
        </w:rPr>
        <w:t> </w:t>
      </w:r>
      <w:r>
        <w:rPr/>
        <w:t>observation.</w:t>
      </w:r>
    </w:p>
    <w:p>
      <w:pPr>
        <w:pStyle w:val="BodyText"/>
        <w:rPr>
          <w:sz w:val="28"/>
        </w:rPr>
      </w:pPr>
    </w:p>
    <w:p>
      <w:pPr>
        <w:pStyle w:val="BodyText"/>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The oral testimony relied on by Nirmohi Akhara establishes, at best, that they were present in and around the disputed site. However, the presence of the Nirmohis around the disputed site does not amount to the exercise of management</w:t>
      </w:r>
      <w:r>
        <w:rPr>
          <w:spacing w:val="18"/>
          <w:sz w:val="25"/>
        </w:rPr>
        <w:t> </w:t>
      </w:r>
      <w:r>
        <w:rPr>
          <w:sz w:val="25"/>
        </w:rPr>
        <w:t>rights</w:t>
      </w:r>
      <w:r>
        <w:rPr>
          <w:spacing w:val="18"/>
          <w:sz w:val="25"/>
        </w:rPr>
        <w:t> </w:t>
      </w:r>
      <w:r>
        <w:rPr>
          <w:sz w:val="25"/>
        </w:rPr>
        <w:t>which</w:t>
      </w:r>
      <w:r>
        <w:rPr>
          <w:spacing w:val="18"/>
          <w:sz w:val="25"/>
        </w:rPr>
        <w:t> </w:t>
      </w:r>
      <w:r>
        <w:rPr>
          <w:sz w:val="25"/>
        </w:rPr>
        <w:t>entitle</w:t>
      </w:r>
      <w:r>
        <w:rPr>
          <w:spacing w:val="19"/>
          <w:sz w:val="25"/>
        </w:rPr>
        <w:t> </w:t>
      </w:r>
      <w:r>
        <w:rPr>
          <w:sz w:val="25"/>
        </w:rPr>
        <w:t>them</w:t>
      </w:r>
      <w:r>
        <w:rPr>
          <w:spacing w:val="18"/>
          <w:sz w:val="25"/>
        </w:rPr>
        <w:t> </w:t>
      </w:r>
      <w:r>
        <w:rPr>
          <w:sz w:val="25"/>
        </w:rPr>
        <w:t>in</w:t>
      </w:r>
      <w:r>
        <w:rPr>
          <w:spacing w:val="20"/>
          <w:sz w:val="25"/>
        </w:rPr>
        <w:t> </w:t>
      </w:r>
      <w:r>
        <w:rPr>
          <w:spacing w:val="2"/>
          <w:sz w:val="25"/>
        </w:rPr>
        <w:t>law</w:t>
      </w:r>
      <w:r>
        <w:rPr>
          <w:spacing w:val="17"/>
          <w:sz w:val="25"/>
        </w:rPr>
        <w:t> </w:t>
      </w:r>
      <w:r>
        <w:rPr>
          <w:sz w:val="25"/>
        </w:rPr>
        <w:t>to</w:t>
      </w:r>
      <w:r>
        <w:rPr>
          <w:spacing w:val="19"/>
          <w:sz w:val="25"/>
        </w:rPr>
        <w:t> </w:t>
      </w:r>
      <w:r>
        <w:rPr>
          <w:sz w:val="25"/>
        </w:rPr>
        <w:t>the</w:t>
      </w:r>
      <w:r>
        <w:rPr>
          <w:spacing w:val="18"/>
          <w:sz w:val="25"/>
        </w:rPr>
        <w:t> </w:t>
      </w:r>
      <w:r>
        <w:rPr>
          <w:sz w:val="25"/>
        </w:rPr>
        <w:t>status</w:t>
      </w:r>
      <w:r>
        <w:rPr>
          <w:spacing w:val="20"/>
          <w:sz w:val="25"/>
        </w:rPr>
        <w:t> </w:t>
      </w:r>
      <w:r>
        <w:rPr>
          <w:sz w:val="25"/>
        </w:rPr>
        <w:t>of</w:t>
      </w:r>
      <w:r>
        <w:rPr>
          <w:spacing w:val="18"/>
          <w:sz w:val="25"/>
        </w:rPr>
        <w:t> </w:t>
      </w:r>
      <w:r>
        <w:rPr>
          <w:sz w:val="25"/>
        </w:rPr>
        <w:t>a</w:t>
      </w:r>
      <w:r>
        <w:rPr>
          <w:spacing w:val="22"/>
          <w:sz w:val="25"/>
        </w:rPr>
        <w:t> </w:t>
      </w:r>
      <w:r>
        <w:rPr>
          <w:i/>
          <w:sz w:val="25"/>
        </w:rPr>
        <w:t>de</w:t>
      </w:r>
      <w:r>
        <w:rPr>
          <w:i/>
          <w:spacing w:val="18"/>
          <w:sz w:val="25"/>
        </w:rPr>
        <w:t> </w:t>
      </w:r>
      <w:r>
        <w:rPr>
          <w:i/>
          <w:sz w:val="25"/>
        </w:rPr>
        <w:t>facto</w:t>
      </w:r>
      <w:r>
        <w:rPr>
          <w:i/>
          <w:spacing w:val="20"/>
          <w:sz w:val="25"/>
        </w:rPr>
        <w:t> </w:t>
      </w:r>
      <w:r>
        <w:rPr>
          <w:sz w:val="25"/>
        </w:rPr>
        <w:t>shebait.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The oral evidence in Suit 3 upon which reliance was placed is riddled with inconsistencies and does not bear out the conclusion that Nirmohi Akhara exercised management rights on behalf of the idols of Lord Ram. The oral evidence of the three witnesses in Suit 5 has been selectively extracted and the statements therein are not corroborated by the testimony of any other witness. Independent of the oral testimonies, Nirmohi Akhara has placed reliance upon documentary evidence to establish its status as shebait of the idols at the disputed site. These documents are as</w:t>
      </w:r>
      <w:r>
        <w:rPr>
          <w:spacing w:val="-6"/>
        </w:rPr>
        <w:t> </w:t>
      </w:r>
      <w:r>
        <w:rPr/>
        <w:t>follows:</w:t>
      </w:r>
    </w:p>
    <w:p>
      <w:pPr>
        <w:pStyle w:val="BodyText"/>
        <w:spacing w:before="11"/>
        <w:rPr>
          <w:sz w:val="38"/>
        </w:rPr>
      </w:pPr>
    </w:p>
    <w:p>
      <w:pPr>
        <w:pStyle w:val="ListParagraph"/>
        <w:numPr>
          <w:ilvl w:val="0"/>
          <w:numId w:val="120"/>
        </w:numPr>
        <w:tabs>
          <w:tab w:pos="1634" w:val="left" w:leader="none"/>
        </w:tabs>
        <w:spacing w:line="480" w:lineRule="auto" w:before="0" w:after="0"/>
        <w:ind w:left="1633" w:right="444" w:hanging="720"/>
        <w:jc w:val="both"/>
        <w:rPr>
          <w:sz w:val="25"/>
        </w:rPr>
      </w:pPr>
      <w:r>
        <w:rPr>
          <w:sz w:val="25"/>
        </w:rPr>
        <w:t>The complaint dated 25 September 1866 by Meer Rajab Ali Khateeb </w:t>
      </w:r>
      <w:r>
        <w:rPr>
          <w:spacing w:val="-1"/>
          <w:w w:val="99"/>
          <w:sz w:val="25"/>
        </w:rPr>
        <w:t>a</w:t>
      </w:r>
      <w:r>
        <w:rPr>
          <w:w w:val="99"/>
          <w:sz w:val="25"/>
        </w:rPr>
        <w:t>g</w:t>
      </w:r>
      <w:r>
        <w:rPr>
          <w:spacing w:val="-1"/>
          <w:w w:val="99"/>
          <w:sz w:val="25"/>
        </w:rPr>
        <w:t>ains</w:t>
      </w:r>
      <w:r>
        <w:rPr>
          <w:w w:val="99"/>
          <w:sz w:val="25"/>
        </w:rPr>
        <w:t>t</w:t>
      </w:r>
      <w:r>
        <w:rPr>
          <w:spacing w:val="24"/>
          <w:sz w:val="25"/>
        </w:rPr>
        <w:t> </w:t>
      </w:r>
      <w:r>
        <w:rPr>
          <w:w w:val="99"/>
          <w:sz w:val="25"/>
        </w:rPr>
        <w:t>T</w:t>
      </w:r>
      <w:r>
        <w:rPr>
          <w:spacing w:val="-1"/>
          <w:w w:val="99"/>
          <w:sz w:val="25"/>
        </w:rPr>
        <w:t>ulsid</w:t>
      </w:r>
      <w:r>
        <w:rPr>
          <w:w w:val="99"/>
          <w:sz w:val="25"/>
        </w:rPr>
        <w:t>as</w:t>
      </w:r>
      <w:r>
        <w:rPr>
          <w:spacing w:val="23"/>
          <w:sz w:val="25"/>
        </w:rPr>
        <w:t> </w:t>
      </w:r>
      <w:r>
        <w:rPr>
          <w:w w:val="99"/>
          <w:sz w:val="25"/>
        </w:rPr>
        <w:t>r</w:t>
      </w:r>
      <w:r>
        <w:rPr>
          <w:spacing w:val="-1"/>
          <w:w w:val="99"/>
          <w:sz w:val="25"/>
        </w:rPr>
        <w:t>e</w:t>
      </w:r>
      <w:r>
        <w:rPr>
          <w:w w:val="99"/>
          <w:sz w:val="25"/>
        </w:rPr>
        <w:t>g</w:t>
      </w:r>
      <w:r>
        <w:rPr>
          <w:spacing w:val="-3"/>
          <w:w w:val="99"/>
          <w:sz w:val="25"/>
        </w:rPr>
        <w:t>a</w:t>
      </w:r>
      <w:r>
        <w:rPr>
          <w:w w:val="99"/>
          <w:sz w:val="25"/>
        </w:rPr>
        <w:t>r</w:t>
      </w:r>
      <w:r>
        <w:rPr>
          <w:spacing w:val="-1"/>
          <w:w w:val="99"/>
          <w:sz w:val="25"/>
        </w:rPr>
        <w:t>din</w:t>
      </w:r>
      <w:r>
        <w:rPr>
          <w:w w:val="99"/>
          <w:sz w:val="25"/>
        </w:rPr>
        <w:t>g</w:t>
      </w:r>
      <w:r>
        <w:rPr>
          <w:spacing w:val="24"/>
          <w:sz w:val="25"/>
        </w:rPr>
        <w:t> </w:t>
      </w:r>
      <w:r>
        <w:rPr>
          <w:w w:val="99"/>
          <w:sz w:val="25"/>
        </w:rPr>
        <w:t>the</w:t>
      </w:r>
      <w:r>
        <w:rPr>
          <w:spacing w:val="24"/>
          <w:sz w:val="25"/>
        </w:rPr>
        <w:t> </w:t>
      </w:r>
      <w:r>
        <w:rPr>
          <w:w w:val="33"/>
          <w:sz w:val="25"/>
        </w:rPr>
        <w:t>―</w:t>
      </w:r>
      <w:r>
        <w:rPr>
          <w:spacing w:val="-1"/>
          <w:w w:val="99"/>
          <w:sz w:val="25"/>
        </w:rPr>
        <w:t>Kot</w:t>
      </w:r>
      <w:r>
        <w:rPr>
          <w:w w:val="99"/>
          <w:sz w:val="25"/>
        </w:rPr>
        <w:t>hr</w:t>
      </w:r>
      <w:r>
        <w:rPr>
          <w:spacing w:val="-1"/>
          <w:w w:val="87"/>
          <w:sz w:val="25"/>
        </w:rPr>
        <w:t>i</w:t>
      </w:r>
      <w:r>
        <w:rPr>
          <w:w w:val="87"/>
          <w:sz w:val="25"/>
        </w:rPr>
        <w:t>‖</w:t>
      </w:r>
      <w:r>
        <w:rPr>
          <w:spacing w:val="24"/>
          <w:sz w:val="25"/>
        </w:rPr>
        <w:t> </w:t>
      </w:r>
      <w:r>
        <w:rPr>
          <w:w w:val="99"/>
          <w:sz w:val="25"/>
        </w:rPr>
        <w:t>co</w:t>
      </w:r>
      <w:r>
        <w:rPr>
          <w:spacing w:val="-2"/>
          <w:w w:val="99"/>
          <w:sz w:val="25"/>
        </w:rPr>
        <w:t>n</w:t>
      </w:r>
      <w:r>
        <w:rPr>
          <w:w w:val="99"/>
          <w:sz w:val="25"/>
        </w:rPr>
        <w:t>str</w:t>
      </w:r>
      <w:r>
        <w:rPr>
          <w:spacing w:val="-1"/>
          <w:w w:val="99"/>
          <w:sz w:val="25"/>
        </w:rPr>
        <w:t>uct</w:t>
      </w:r>
      <w:r>
        <w:rPr>
          <w:w w:val="99"/>
          <w:sz w:val="25"/>
        </w:rPr>
        <w:t>ed</w:t>
      </w:r>
      <w:r>
        <w:rPr>
          <w:spacing w:val="24"/>
          <w:sz w:val="25"/>
        </w:rPr>
        <w:t> </w:t>
      </w:r>
      <w:r>
        <w:rPr>
          <w:spacing w:val="-1"/>
          <w:w w:val="99"/>
          <w:sz w:val="25"/>
        </w:rPr>
        <w:t>b</w:t>
      </w:r>
      <w:r>
        <w:rPr>
          <w:w w:val="99"/>
          <w:sz w:val="25"/>
        </w:rPr>
        <w:t>y</w:t>
      </w:r>
      <w:r>
        <w:rPr>
          <w:spacing w:val="21"/>
          <w:sz w:val="25"/>
        </w:rPr>
        <w:t> </w:t>
      </w:r>
      <w:r>
        <w:rPr>
          <w:w w:val="99"/>
          <w:sz w:val="25"/>
        </w:rPr>
        <w:t>ce</w:t>
      </w:r>
      <w:r>
        <w:rPr>
          <w:spacing w:val="1"/>
          <w:w w:val="99"/>
          <w:sz w:val="25"/>
        </w:rPr>
        <w:t>r</w:t>
      </w:r>
      <w:r>
        <w:rPr>
          <w:w w:val="99"/>
          <w:sz w:val="25"/>
        </w:rPr>
        <w:t>tain</w:t>
      </w:r>
      <w:r>
        <w:rPr>
          <w:spacing w:val="24"/>
          <w:sz w:val="25"/>
        </w:rPr>
        <w:t> </w:t>
      </w:r>
      <w:r>
        <w:rPr>
          <w:spacing w:val="-1"/>
          <w:w w:val="99"/>
          <w:sz w:val="25"/>
        </w:rPr>
        <w:t>b</w:t>
      </w:r>
      <w:r>
        <w:rPr>
          <w:w w:val="99"/>
          <w:sz w:val="25"/>
        </w:rPr>
        <w:t>a</w:t>
      </w:r>
      <w:r>
        <w:rPr>
          <w:spacing w:val="-1"/>
          <w:w w:val="99"/>
          <w:sz w:val="25"/>
        </w:rPr>
        <w:t>ir</w:t>
      </w:r>
      <w:r>
        <w:rPr>
          <w:w w:val="99"/>
          <w:sz w:val="25"/>
        </w:rPr>
        <w:t>a</w:t>
      </w:r>
      <w:r>
        <w:rPr>
          <w:spacing w:val="-1"/>
          <w:w w:val="99"/>
          <w:sz w:val="25"/>
        </w:rPr>
        <w:t>gis </w:t>
      </w:r>
      <w:r>
        <w:rPr>
          <w:sz w:val="25"/>
        </w:rPr>
        <w:t>inside the compound of the</w:t>
      </w:r>
      <w:r>
        <w:rPr>
          <w:spacing w:val="-4"/>
          <w:sz w:val="25"/>
        </w:rPr>
        <w:t> </w:t>
      </w:r>
      <w:r>
        <w:rPr>
          <w:sz w:val="25"/>
        </w:rPr>
        <w:t>mosque;</w:t>
      </w:r>
    </w:p>
    <w:p>
      <w:pPr>
        <w:pStyle w:val="BodyText"/>
        <w:spacing w:before="8"/>
        <w:rPr>
          <w:sz w:val="24"/>
        </w:rPr>
      </w:pPr>
    </w:p>
    <w:p>
      <w:pPr>
        <w:pStyle w:val="ListParagraph"/>
        <w:numPr>
          <w:ilvl w:val="0"/>
          <w:numId w:val="120"/>
        </w:numPr>
        <w:tabs>
          <w:tab w:pos="1634" w:val="left" w:leader="none"/>
        </w:tabs>
        <w:spacing w:line="240" w:lineRule="auto" w:before="0" w:after="0"/>
        <w:ind w:left="1633" w:right="0" w:hanging="721"/>
        <w:jc w:val="both"/>
        <w:rPr>
          <w:sz w:val="25"/>
        </w:rPr>
      </w:pPr>
      <w:r>
        <w:rPr>
          <w:b/>
          <w:sz w:val="25"/>
        </w:rPr>
        <w:t>Exhibit</w:t>
      </w:r>
      <w:r>
        <w:rPr>
          <w:b/>
          <w:spacing w:val="28"/>
          <w:sz w:val="25"/>
        </w:rPr>
        <w:t> </w:t>
      </w:r>
      <w:r>
        <w:rPr>
          <w:b/>
          <w:sz w:val="25"/>
        </w:rPr>
        <w:t>30</w:t>
      </w:r>
      <w:r>
        <w:rPr>
          <w:b/>
          <w:spacing w:val="30"/>
          <w:sz w:val="25"/>
        </w:rPr>
        <w:t> </w:t>
      </w:r>
      <w:r>
        <w:rPr>
          <w:b/>
          <w:sz w:val="25"/>
        </w:rPr>
        <w:t>–</w:t>
      </w:r>
      <w:r>
        <w:rPr>
          <w:b/>
          <w:spacing w:val="29"/>
          <w:sz w:val="25"/>
        </w:rPr>
        <w:t> </w:t>
      </w:r>
      <w:r>
        <w:rPr>
          <w:b/>
          <w:sz w:val="25"/>
        </w:rPr>
        <w:t>Suit</w:t>
      </w:r>
      <w:r>
        <w:rPr>
          <w:b/>
          <w:spacing w:val="28"/>
          <w:sz w:val="25"/>
        </w:rPr>
        <w:t> </w:t>
      </w:r>
      <w:r>
        <w:rPr>
          <w:b/>
          <w:sz w:val="25"/>
        </w:rPr>
        <w:t>1:</w:t>
      </w:r>
      <w:r>
        <w:rPr>
          <w:b/>
          <w:spacing w:val="32"/>
          <w:sz w:val="25"/>
        </w:rPr>
        <w:t> </w:t>
      </w:r>
      <w:r>
        <w:rPr>
          <w:sz w:val="25"/>
        </w:rPr>
        <w:t>The</w:t>
      </w:r>
      <w:r>
        <w:rPr>
          <w:spacing w:val="29"/>
          <w:sz w:val="25"/>
        </w:rPr>
        <w:t> </w:t>
      </w:r>
      <w:r>
        <w:rPr>
          <w:sz w:val="25"/>
        </w:rPr>
        <w:t>appeal</w:t>
      </w:r>
      <w:r>
        <w:rPr>
          <w:spacing w:val="27"/>
          <w:sz w:val="25"/>
        </w:rPr>
        <w:t> </w:t>
      </w:r>
      <w:r>
        <w:rPr>
          <w:sz w:val="25"/>
        </w:rPr>
        <w:t>dated</w:t>
      </w:r>
      <w:r>
        <w:rPr>
          <w:spacing w:val="28"/>
          <w:sz w:val="25"/>
        </w:rPr>
        <w:t> </w:t>
      </w:r>
      <w:r>
        <w:rPr>
          <w:sz w:val="25"/>
        </w:rPr>
        <w:t>13</w:t>
      </w:r>
      <w:r>
        <w:rPr>
          <w:spacing w:val="29"/>
          <w:sz w:val="25"/>
        </w:rPr>
        <w:t> </w:t>
      </w:r>
      <w:r>
        <w:rPr>
          <w:sz w:val="25"/>
        </w:rPr>
        <w:t>December</w:t>
      </w:r>
      <w:r>
        <w:rPr>
          <w:spacing w:val="28"/>
          <w:sz w:val="25"/>
        </w:rPr>
        <w:t> </w:t>
      </w:r>
      <w:r>
        <w:rPr>
          <w:sz w:val="25"/>
        </w:rPr>
        <w:t>1877</w:t>
      </w:r>
      <w:r>
        <w:rPr>
          <w:spacing w:val="28"/>
          <w:sz w:val="25"/>
        </w:rPr>
        <w:t> </w:t>
      </w:r>
      <w:r>
        <w:rPr>
          <w:sz w:val="25"/>
        </w:rPr>
        <w:t>by</w:t>
      </w:r>
      <w:r>
        <w:rPr>
          <w:spacing w:val="28"/>
          <w:sz w:val="25"/>
        </w:rPr>
        <w:t> </w:t>
      </w:r>
      <w:r>
        <w:rPr>
          <w:sz w:val="25"/>
        </w:rPr>
        <w:t>Mohd.</w:t>
      </w:r>
    </w:p>
    <w:p>
      <w:pPr>
        <w:pStyle w:val="BodyText"/>
        <w:spacing w:before="3"/>
      </w:pPr>
    </w:p>
    <w:p>
      <w:pPr>
        <w:pStyle w:val="BodyText"/>
        <w:spacing w:line="480" w:lineRule="auto" w:before="1"/>
        <w:ind w:left="1633" w:right="512"/>
      </w:pPr>
      <w:r>
        <w:rPr/>
        <w:t>Asghar against Mahant Khem Das with respect to the order permitting the construction of a new gate on the northern side;</w:t>
      </w:r>
    </w:p>
    <w:p>
      <w:pPr>
        <w:pStyle w:val="BodyText"/>
        <w:spacing w:before="9"/>
        <w:rPr>
          <w:sz w:val="24"/>
        </w:rPr>
      </w:pPr>
    </w:p>
    <w:p>
      <w:pPr>
        <w:pStyle w:val="ListParagraph"/>
        <w:numPr>
          <w:ilvl w:val="0"/>
          <w:numId w:val="120"/>
        </w:numPr>
        <w:tabs>
          <w:tab w:pos="1634" w:val="left" w:leader="none"/>
        </w:tabs>
        <w:spacing w:line="240" w:lineRule="auto" w:before="0" w:after="0"/>
        <w:ind w:left="1633" w:right="0" w:hanging="721"/>
        <w:jc w:val="both"/>
        <w:rPr>
          <w:sz w:val="25"/>
        </w:rPr>
      </w:pPr>
      <w:r>
        <w:rPr>
          <w:b/>
          <w:sz w:val="25"/>
        </w:rPr>
        <w:t>Exhibit 7 – Suit 5: </w:t>
      </w:r>
      <w:r>
        <w:rPr>
          <w:sz w:val="25"/>
        </w:rPr>
        <w:t>Gazetteer of the Province of Oudh</w:t>
      </w:r>
      <w:r>
        <w:rPr>
          <w:spacing w:val="-5"/>
          <w:sz w:val="25"/>
        </w:rPr>
        <w:t> </w:t>
      </w:r>
      <w:r>
        <w:rPr>
          <w:sz w:val="25"/>
        </w:rPr>
        <w:t>(1877-78);</w:t>
      </w:r>
    </w:p>
    <w:p>
      <w:pPr>
        <w:pStyle w:val="BodyText"/>
        <w:spacing w:before="10"/>
        <w:rPr>
          <w:sz w:val="24"/>
        </w:rPr>
      </w:pPr>
    </w:p>
    <w:p>
      <w:pPr>
        <w:pStyle w:val="ListParagraph"/>
        <w:numPr>
          <w:ilvl w:val="0"/>
          <w:numId w:val="120"/>
        </w:numPr>
        <w:tabs>
          <w:tab w:pos="1634" w:val="left" w:leader="none"/>
        </w:tabs>
        <w:spacing w:line="482" w:lineRule="auto" w:before="0" w:after="0"/>
        <w:ind w:left="1633" w:right="440" w:hanging="720"/>
        <w:jc w:val="both"/>
        <w:rPr>
          <w:sz w:val="25"/>
        </w:rPr>
      </w:pPr>
      <w:r>
        <w:rPr>
          <w:b/>
          <w:sz w:val="25"/>
        </w:rPr>
        <w:t>Exhibit 24 – Suit 1: </w:t>
      </w:r>
      <w:r>
        <w:rPr>
          <w:sz w:val="25"/>
        </w:rPr>
        <w:t>The plaint dated 8 November 1882 in the suit instituted by Syed Mohd. Asghar against Mahant Raghubar Das seeking rent for the use of the</w:t>
      </w:r>
      <w:r>
        <w:rPr>
          <w:spacing w:val="-6"/>
          <w:sz w:val="25"/>
        </w:rPr>
        <w:t> </w:t>
      </w:r>
      <w:r>
        <w:rPr>
          <w:sz w:val="25"/>
        </w:rPr>
        <w:t>Chabutra;</w:t>
      </w:r>
    </w:p>
    <w:p>
      <w:pPr>
        <w:pStyle w:val="BodyText"/>
        <w:spacing w:before="5"/>
        <w:rPr>
          <w:sz w:val="24"/>
        </w:rPr>
      </w:pPr>
    </w:p>
    <w:p>
      <w:pPr>
        <w:pStyle w:val="ListParagraph"/>
        <w:numPr>
          <w:ilvl w:val="0"/>
          <w:numId w:val="120"/>
        </w:numPr>
        <w:tabs>
          <w:tab w:pos="1634" w:val="left" w:leader="none"/>
        </w:tabs>
        <w:spacing w:line="480" w:lineRule="auto" w:before="0" w:after="0"/>
        <w:ind w:left="1633" w:right="443" w:hanging="720"/>
        <w:jc w:val="both"/>
        <w:rPr>
          <w:sz w:val="25"/>
        </w:rPr>
      </w:pPr>
      <w:r>
        <w:rPr>
          <w:b/>
          <w:sz w:val="25"/>
        </w:rPr>
        <w:t>Exhibit 28 – Suit 1: </w:t>
      </w:r>
      <w:r>
        <w:rPr>
          <w:sz w:val="25"/>
        </w:rPr>
        <w:t>The complaint dated 27 June 1884 by Mahant Raghubar Das seeking spot inspection in view of the work being carried out by Syed Mohd. Asghar for painting the</w:t>
      </w:r>
      <w:r>
        <w:rPr>
          <w:spacing w:val="-9"/>
          <w:sz w:val="25"/>
        </w:rPr>
        <w:t> </w:t>
      </w:r>
      <w:r>
        <w:rPr>
          <w:sz w:val="25"/>
        </w:rPr>
        <w:t>mosque;</w:t>
      </w:r>
    </w:p>
    <w:p>
      <w:pPr>
        <w:spacing w:after="0" w:line="480" w:lineRule="auto"/>
        <w:jc w:val="both"/>
        <w:rPr>
          <w:sz w:val="25"/>
        </w:rPr>
        <w:sectPr>
          <w:pgSz w:w="11910" w:h="16840"/>
          <w:pgMar w:header="721" w:footer="1014" w:top="1300" w:bottom="1200" w:left="940" w:right="1000"/>
        </w:sectPr>
      </w:pPr>
    </w:p>
    <w:p>
      <w:pPr>
        <w:pStyle w:val="ListParagraph"/>
        <w:numPr>
          <w:ilvl w:val="0"/>
          <w:numId w:val="120"/>
        </w:numPr>
        <w:tabs>
          <w:tab w:pos="1634" w:val="left" w:leader="none"/>
        </w:tabs>
        <w:spacing w:line="480" w:lineRule="auto" w:before="121" w:after="0"/>
        <w:ind w:left="1633" w:right="441" w:hanging="720"/>
        <w:jc w:val="both"/>
        <w:rPr>
          <w:sz w:val="25"/>
        </w:rPr>
      </w:pPr>
      <w:r>
        <w:rPr>
          <w:b/>
          <w:sz w:val="25"/>
        </w:rPr>
        <w:t>Exhibit A-22 – Suit 1: </w:t>
      </w:r>
      <w:r>
        <w:rPr>
          <w:sz w:val="25"/>
        </w:rPr>
        <w:t>Suit dated 19 January 1885 filed by Mahant Raghubar Das seeking permission for the construction of a temple on the site of the</w:t>
      </w:r>
      <w:r>
        <w:rPr>
          <w:spacing w:val="-1"/>
          <w:sz w:val="25"/>
        </w:rPr>
        <w:t> </w:t>
      </w:r>
      <w:r>
        <w:rPr>
          <w:sz w:val="25"/>
        </w:rPr>
        <w:t>Ramchabutra;</w:t>
      </w:r>
    </w:p>
    <w:p>
      <w:pPr>
        <w:pStyle w:val="BodyText"/>
        <w:spacing w:before="10"/>
        <w:rPr>
          <w:sz w:val="24"/>
        </w:rPr>
      </w:pPr>
    </w:p>
    <w:p>
      <w:pPr>
        <w:pStyle w:val="ListParagraph"/>
        <w:numPr>
          <w:ilvl w:val="0"/>
          <w:numId w:val="120"/>
        </w:numPr>
        <w:tabs>
          <w:tab w:pos="1634" w:val="left" w:leader="none"/>
        </w:tabs>
        <w:spacing w:line="482" w:lineRule="auto" w:before="1" w:after="0"/>
        <w:ind w:left="1633" w:right="443" w:hanging="720"/>
        <w:jc w:val="both"/>
        <w:rPr>
          <w:sz w:val="25"/>
        </w:rPr>
      </w:pPr>
      <w:r>
        <w:rPr>
          <w:b/>
          <w:sz w:val="25"/>
        </w:rPr>
        <w:t>Exhibit 8 </w:t>
      </w:r>
      <w:r>
        <w:rPr>
          <w:sz w:val="25"/>
        </w:rPr>
        <w:t>– </w:t>
      </w:r>
      <w:r>
        <w:rPr>
          <w:b/>
          <w:sz w:val="25"/>
        </w:rPr>
        <w:t>Suit 3: </w:t>
      </w:r>
      <w:r>
        <w:rPr>
          <w:sz w:val="25"/>
        </w:rPr>
        <w:t>Copy of agreement dated 11 June 1900 permitting Jhingoo (son of Gaya) to provide drinking water to the pilgrims visiting Ram Janmabhumi site at</w:t>
      </w:r>
      <w:r>
        <w:rPr>
          <w:spacing w:val="-4"/>
          <w:sz w:val="25"/>
        </w:rPr>
        <w:t> </w:t>
      </w:r>
      <w:r>
        <w:rPr>
          <w:sz w:val="25"/>
        </w:rPr>
        <w:t>Ayodhya;</w:t>
      </w:r>
    </w:p>
    <w:p>
      <w:pPr>
        <w:pStyle w:val="BodyText"/>
        <w:spacing w:before="6"/>
        <w:rPr>
          <w:sz w:val="24"/>
        </w:rPr>
      </w:pPr>
    </w:p>
    <w:p>
      <w:pPr>
        <w:pStyle w:val="ListParagraph"/>
        <w:numPr>
          <w:ilvl w:val="0"/>
          <w:numId w:val="120"/>
        </w:numPr>
        <w:tabs>
          <w:tab w:pos="1634" w:val="left" w:leader="none"/>
        </w:tabs>
        <w:spacing w:line="480" w:lineRule="auto" w:before="1" w:after="0"/>
        <w:ind w:left="1633" w:right="445" w:hanging="720"/>
        <w:jc w:val="both"/>
        <w:rPr>
          <w:sz w:val="25"/>
        </w:rPr>
      </w:pPr>
      <w:r>
        <w:rPr>
          <w:w w:val="99"/>
          <w:sz w:val="25"/>
        </w:rPr>
        <w:t>H</w:t>
      </w:r>
      <w:r>
        <w:rPr>
          <w:spacing w:val="4"/>
          <w:sz w:val="25"/>
        </w:rPr>
        <w:t> </w:t>
      </w:r>
      <w:r>
        <w:rPr>
          <w:w w:val="99"/>
          <w:sz w:val="25"/>
        </w:rPr>
        <w:t>R</w:t>
      </w:r>
      <w:r>
        <w:rPr>
          <w:spacing w:val="5"/>
          <w:sz w:val="25"/>
        </w:rPr>
        <w:t> </w:t>
      </w:r>
      <w:r>
        <w:rPr>
          <w:spacing w:val="-1"/>
          <w:w w:val="99"/>
          <w:sz w:val="25"/>
        </w:rPr>
        <w:t>N</w:t>
      </w:r>
      <w:r>
        <w:rPr>
          <w:spacing w:val="2"/>
          <w:w w:val="99"/>
          <w:sz w:val="25"/>
        </w:rPr>
        <w:t>e</w:t>
      </w:r>
      <w:r>
        <w:rPr>
          <w:w w:val="99"/>
          <w:sz w:val="25"/>
        </w:rPr>
        <w:t>vill</w:t>
      </w:r>
      <w:r>
        <w:rPr>
          <w:spacing w:val="-1"/>
          <w:w w:val="99"/>
          <w:sz w:val="25"/>
        </w:rPr>
        <w:t>‘</w:t>
      </w:r>
      <w:r>
        <w:rPr>
          <w:w w:val="99"/>
          <w:sz w:val="25"/>
        </w:rPr>
        <w:t>s</w:t>
      </w:r>
      <w:r>
        <w:rPr>
          <w:spacing w:val="4"/>
          <w:sz w:val="25"/>
        </w:rPr>
        <w:t> </w:t>
      </w:r>
      <w:r>
        <w:rPr>
          <w:w w:val="33"/>
          <w:sz w:val="25"/>
        </w:rPr>
        <w:t>―</w:t>
      </w:r>
      <w:r>
        <w:rPr>
          <w:w w:val="99"/>
          <w:sz w:val="25"/>
        </w:rPr>
        <w:t>T</w:t>
      </w:r>
      <w:r>
        <w:rPr>
          <w:spacing w:val="-1"/>
          <w:w w:val="99"/>
          <w:sz w:val="25"/>
        </w:rPr>
        <w:t>h</w:t>
      </w:r>
      <w:r>
        <w:rPr>
          <w:w w:val="99"/>
          <w:sz w:val="25"/>
        </w:rPr>
        <w:t>e</w:t>
      </w:r>
      <w:r>
        <w:rPr>
          <w:spacing w:val="5"/>
          <w:sz w:val="25"/>
        </w:rPr>
        <w:t> </w:t>
      </w:r>
      <w:r>
        <w:rPr>
          <w:w w:val="99"/>
          <w:sz w:val="25"/>
        </w:rPr>
        <w:t>Ga</w:t>
      </w:r>
      <w:r>
        <w:rPr>
          <w:spacing w:val="2"/>
          <w:w w:val="99"/>
          <w:sz w:val="25"/>
        </w:rPr>
        <w:t>z</w:t>
      </w:r>
      <w:r>
        <w:rPr>
          <w:spacing w:val="-1"/>
          <w:w w:val="99"/>
          <w:sz w:val="25"/>
        </w:rPr>
        <w:t>et</w:t>
      </w:r>
      <w:r>
        <w:rPr>
          <w:w w:val="99"/>
          <w:sz w:val="25"/>
        </w:rPr>
        <w:t>t</w:t>
      </w:r>
      <w:r>
        <w:rPr>
          <w:spacing w:val="-1"/>
          <w:w w:val="99"/>
          <w:sz w:val="25"/>
        </w:rPr>
        <w:t>e</w:t>
      </w:r>
      <w:r>
        <w:rPr>
          <w:w w:val="99"/>
          <w:sz w:val="25"/>
        </w:rPr>
        <w:t>er</w:t>
      </w:r>
      <w:r>
        <w:rPr>
          <w:spacing w:val="5"/>
          <w:sz w:val="25"/>
        </w:rPr>
        <w:t> </w:t>
      </w:r>
      <w:r>
        <w:rPr>
          <w:spacing w:val="-1"/>
          <w:w w:val="99"/>
          <w:sz w:val="25"/>
        </w:rPr>
        <w:t>o</w:t>
      </w:r>
      <w:r>
        <w:rPr>
          <w:w w:val="99"/>
          <w:sz w:val="25"/>
        </w:rPr>
        <w:t>f</w:t>
      </w:r>
      <w:r>
        <w:rPr>
          <w:spacing w:val="5"/>
          <w:sz w:val="25"/>
        </w:rPr>
        <w:t> </w:t>
      </w:r>
      <w:r>
        <w:rPr>
          <w:w w:val="99"/>
          <w:sz w:val="25"/>
        </w:rPr>
        <w:t>the</w:t>
      </w:r>
      <w:r>
        <w:rPr>
          <w:spacing w:val="5"/>
          <w:sz w:val="25"/>
        </w:rPr>
        <w:t> </w:t>
      </w:r>
      <w:r>
        <w:rPr>
          <w:spacing w:val="-1"/>
          <w:w w:val="99"/>
          <w:sz w:val="25"/>
        </w:rPr>
        <w:t>Unite</w:t>
      </w:r>
      <w:r>
        <w:rPr>
          <w:w w:val="99"/>
          <w:sz w:val="25"/>
        </w:rPr>
        <w:t>d</w:t>
      </w:r>
      <w:r>
        <w:rPr>
          <w:spacing w:val="5"/>
          <w:sz w:val="25"/>
        </w:rPr>
        <w:t> </w:t>
      </w:r>
      <w:r>
        <w:rPr>
          <w:spacing w:val="1"/>
          <w:w w:val="99"/>
          <w:sz w:val="25"/>
        </w:rPr>
        <w:t>P</w:t>
      </w:r>
      <w:r>
        <w:rPr>
          <w:w w:val="99"/>
          <w:sz w:val="25"/>
        </w:rPr>
        <w:t>r</w:t>
      </w:r>
      <w:r>
        <w:rPr>
          <w:spacing w:val="-1"/>
          <w:w w:val="99"/>
          <w:sz w:val="25"/>
        </w:rPr>
        <w:t>o</w:t>
      </w:r>
      <w:r>
        <w:rPr>
          <w:spacing w:val="-3"/>
          <w:w w:val="99"/>
          <w:sz w:val="25"/>
        </w:rPr>
        <w:t>v</w:t>
      </w:r>
      <w:r>
        <w:rPr>
          <w:spacing w:val="-1"/>
          <w:w w:val="99"/>
          <w:sz w:val="25"/>
        </w:rPr>
        <w:t>ince</w:t>
      </w:r>
      <w:r>
        <w:rPr>
          <w:w w:val="99"/>
          <w:sz w:val="25"/>
        </w:rPr>
        <w:t>s</w:t>
      </w:r>
      <w:r>
        <w:rPr>
          <w:spacing w:val="5"/>
          <w:sz w:val="25"/>
        </w:rPr>
        <w:t> </w:t>
      </w:r>
      <w:r>
        <w:rPr>
          <w:spacing w:val="-1"/>
          <w:w w:val="99"/>
          <w:sz w:val="25"/>
        </w:rPr>
        <w:t>o</w:t>
      </w:r>
      <w:r>
        <w:rPr>
          <w:w w:val="99"/>
          <w:sz w:val="25"/>
        </w:rPr>
        <w:t>f</w:t>
      </w:r>
      <w:r>
        <w:rPr>
          <w:spacing w:val="7"/>
          <w:sz w:val="25"/>
        </w:rPr>
        <w:t> </w:t>
      </w:r>
      <w:r>
        <w:rPr>
          <w:spacing w:val="-1"/>
          <w:w w:val="99"/>
          <w:sz w:val="25"/>
        </w:rPr>
        <w:t>Ag</w:t>
      </w:r>
      <w:r>
        <w:rPr>
          <w:w w:val="99"/>
          <w:sz w:val="25"/>
        </w:rPr>
        <w:t>ra</w:t>
      </w:r>
      <w:r>
        <w:rPr>
          <w:spacing w:val="5"/>
          <w:sz w:val="25"/>
        </w:rPr>
        <w:t> </w:t>
      </w:r>
      <w:r>
        <w:rPr>
          <w:spacing w:val="-1"/>
          <w:w w:val="99"/>
          <w:sz w:val="25"/>
        </w:rPr>
        <w:t>a</w:t>
      </w:r>
      <w:r>
        <w:rPr>
          <w:w w:val="99"/>
          <w:sz w:val="25"/>
        </w:rPr>
        <w:t>nd</w:t>
      </w:r>
      <w:r>
        <w:rPr>
          <w:spacing w:val="7"/>
          <w:sz w:val="25"/>
        </w:rPr>
        <w:t> </w:t>
      </w:r>
      <w:r>
        <w:rPr>
          <w:w w:val="99"/>
          <w:sz w:val="25"/>
        </w:rPr>
        <w:t>Oud</w:t>
      </w:r>
      <w:r>
        <w:rPr>
          <w:spacing w:val="-1"/>
          <w:w w:val="91"/>
          <w:sz w:val="25"/>
        </w:rPr>
        <w:t>h‖ </w:t>
      </w:r>
      <w:r>
        <w:rPr>
          <w:sz w:val="25"/>
        </w:rPr>
        <w:t>(1905) stating that the Nirmohi Akhara sect formerly held the Janmasthan temple in Ramkot, the remains of which still belong to them;</w:t>
      </w:r>
    </w:p>
    <w:p>
      <w:pPr>
        <w:pStyle w:val="BodyText"/>
        <w:spacing w:before="9"/>
        <w:rPr>
          <w:sz w:val="24"/>
        </w:rPr>
      </w:pPr>
    </w:p>
    <w:p>
      <w:pPr>
        <w:pStyle w:val="ListParagraph"/>
        <w:numPr>
          <w:ilvl w:val="0"/>
          <w:numId w:val="120"/>
        </w:numPr>
        <w:tabs>
          <w:tab w:pos="1634" w:val="left" w:leader="none"/>
        </w:tabs>
        <w:spacing w:line="480" w:lineRule="auto" w:before="0" w:after="0"/>
        <w:ind w:left="1633" w:right="436" w:hanging="720"/>
        <w:jc w:val="both"/>
        <w:rPr>
          <w:sz w:val="25"/>
        </w:rPr>
      </w:pPr>
      <w:r>
        <w:rPr>
          <w:b/>
          <w:sz w:val="25"/>
        </w:rPr>
        <w:t>Exhibit 9 – Suit 3: </w:t>
      </w:r>
      <w:r>
        <w:rPr>
          <w:sz w:val="25"/>
        </w:rPr>
        <w:t>Copy of agreement dated 13 October 1942 regarding the Theka Shop of Janmabhumi Ram Kot Ayodhya executed by Narottam Das in favour of Gopal (son of</w:t>
      </w:r>
      <w:r>
        <w:rPr>
          <w:spacing w:val="-7"/>
          <w:sz w:val="25"/>
        </w:rPr>
        <w:t> </w:t>
      </w:r>
      <w:r>
        <w:rPr>
          <w:sz w:val="25"/>
        </w:rPr>
        <w:t>Babu);</w:t>
      </w:r>
    </w:p>
    <w:p>
      <w:pPr>
        <w:pStyle w:val="BodyText"/>
        <w:spacing w:before="10"/>
        <w:rPr>
          <w:sz w:val="24"/>
        </w:rPr>
      </w:pPr>
    </w:p>
    <w:p>
      <w:pPr>
        <w:pStyle w:val="ListParagraph"/>
        <w:numPr>
          <w:ilvl w:val="0"/>
          <w:numId w:val="120"/>
        </w:numPr>
        <w:tabs>
          <w:tab w:pos="1634" w:val="left" w:leader="none"/>
        </w:tabs>
        <w:spacing w:line="482" w:lineRule="auto" w:before="0" w:after="0"/>
        <w:ind w:left="1633" w:right="443" w:hanging="720"/>
        <w:jc w:val="both"/>
        <w:rPr>
          <w:sz w:val="25"/>
        </w:rPr>
      </w:pPr>
      <w:r>
        <w:rPr>
          <w:b/>
          <w:sz w:val="25"/>
        </w:rPr>
        <w:t>Exhibit 10 – Suit 3: </w:t>
      </w:r>
      <w:r>
        <w:rPr>
          <w:sz w:val="25"/>
        </w:rPr>
        <w:t>Agreement dated 29 October 1945 executed in respect of a shop by Mahant Raghunath</w:t>
      </w:r>
      <w:r>
        <w:rPr>
          <w:spacing w:val="-6"/>
          <w:sz w:val="25"/>
        </w:rPr>
        <w:t> </w:t>
      </w:r>
      <w:r>
        <w:rPr>
          <w:sz w:val="25"/>
        </w:rPr>
        <w:t>Das;</w:t>
      </w:r>
    </w:p>
    <w:p>
      <w:pPr>
        <w:pStyle w:val="ListParagraph"/>
        <w:numPr>
          <w:ilvl w:val="0"/>
          <w:numId w:val="120"/>
        </w:numPr>
        <w:tabs>
          <w:tab w:pos="1634" w:val="left" w:leader="none"/>
        </w:tabs>
        <w:spacing w:line="480" w:lineRule="auto" w:before="0" w:after="0"/>
        <w:ind w:left="1633" w:right="443" w:hanging="720"/>
        <w:jc w:val="both"/>
        <w:rPr>
          <w:sz w:val="25"/>
        </w:rPr>
      </w:pPr>
      <w:r>
        <w:rPr>
          <w:b/>
          <w:sz w:val="25"/>
        </w:rPr>
        <w:t>Exhibit 49 – Suit 4: </w:t>
      </w:r>
      <w:r>
        <w:rPr>
          <w:sz w:val="25"/>
        </w:rPr>
        <w:t>Mutation entry in favour of the Mahant Raghunath Das;</w:t>
      </w:r>
      <w:r>
        <w:rPr>
          <w:spacing w:val="-2"/>
          <w:sz w:val="25"/>
        </w:rPr>
        <w:t> </w:t>
      </w:r>
      <w:r>
        <w:rPr>
          <w:sz w:val="25"/>
        </w:rPr>
        <w:t>and</w:t>
      </w:r>
    </w:p>
    <w:p>
      <w:pPr>
        <w:pStyle w:val="BodyText"/>
        <w:spacing w:before="7"/>
        <w:rPr>
          <w:sz w:val="24"/>
        </w:rPr>
      </w:pPr>
    </w:p>
    <w:p>
      <w:pPr>
        <w:pStyle w:val="ListParagraph"/>
        <w:numPr>
          <w:ilvl w:val="0"/>
          <w:numId w:val="120"/>
        </w:numPr>
        <w:tabs>
          <w:tab w:pos="1634" w:val="left" w:leader="none"/>
        </w:tabs>
        <w:spacing w:line="240" w:lineRule="auto" w:before="0" w:after="0"/>
        <w:ind w:left="1633" w:right="0" w:hanging="721"/>
        <w:jc w:val="both"/>
        <w:rPr>
          <w:sz w:val="25"/>
        </w:rPr>
      </w:pPr>
      <w:r>
        <w:rPr>
          <w:b/>
          <w:sz w:val="25"/>
        </w:rPr>
        <w:t>Statement by DW – 10 </w:t>
      </w:r>
      <w:r>
        <w:rPr>
          <w:sz w:val="25"/>
        </w:rPr>
        <w:t>by Umesh Chandra</w:t>
      </w:r>
      <w:r>
        <w:rPr>
          <w:spacing w:val="-12"/>
          <w:sz w:val="25"/>
        </w:rPr>
        <w:t> </w:t>
      </w:r>
      <w:r>
        <w:rPr>
          <w:sz w:val="25"/>
        </w:rPr>
        <w:t>Pandey.</w:t>
      </w:r>
    </w:p>
    <w:p>
      <w:pPr>
        <w:pStyle w:val="BodyText"/>
        <w:rPr>
          <w:sz w:val="28"/>
        </w:rPr>
      </w:pPr>
    </w:p>
    <w:p>
      <w:pPr>
        <w:pStyle w:val="BodyText"/>
        <w:rPr>
          <w:sz w:val="28"/>
        </w:rPr>
      </w:pPr>
    </w:p>
    <w:p>
      <w:pPr>
        <w:pStyle w:val="BodyText"/>
        <w:spacing w:line="480" w:lineRule="auto" w:before="223"/>
        <w:ind w:left="500" w:right="440"/>
        <w:jc w:val="both"/>
      </w:pPr>
      <w:r>
        <w:rPr/>
        <w:t>It was further contended that while the Supurdaginama, by which the Receiver took possession does not record from whom possession was taken, the document</w:t>
      </w:r>
      <w:r>
        <w:rPr>
          <w:spacing w:val="31"/>
        </w:rPr>
        <w:t> </w:t>
      </w:r>
      <w:r>
        <w:rPr/>
        <w:t>indicates</w:t>
      </w:r>
      <w:r>
        <w:rPr>
          <w:spacing w:val="32"/>
        </w:rPr>
        <w:t> </w:t>
      </w:r>
      <w:r>
        <w:rPr/>
        <w:t>the</w:t>
      </w:r>
      <w:r>
        <w:rPr>
          <w:spacing w:val="31"/>
        </w:rPr>
        <w:t> </w:t>
      </w:r>
      <w:r>
        <w:rPr/>
        <w:t>presence</w:t>
      </w:r>
      <w:r>
        <w:rPr>
          <w:spacing w:val="31"/>
        </w:rPr>
        <w:t> </w:t>
      </w:r>
      <w:r>
        <w:rPr/>
        <w:t>of</w:t>
      </w:r>
      <w:r>
        <w:rPr>
          <w:spacing w:val="33"/>
        </w:rPr>
        <w:t> </w:t>
      </w:r>
      <w:r>
        <w:rPr/>
        <w:t>the</w:t>
      </w:r>
      <w:r>
        <w:rPr>
          <w:spacing w:val="32"/>
        </w:rPr>
        <w:t> </w:t>
      </w:r>
      <w:r>
        <w:rPr/>
        <w:t>Nirmohi</w:t>
      </w:r>
      <w:r>
        <w:rPr>
          <w:spacing w:val="31"/>
        </w:rPr>
        <w:t> </w:t>
      </w:r>
      <w:r>
        <w:rPr/>
        <w:t>Akhara</w:t>
      </w:r>
      <w:r>
        <w:rPr>
          <w:spacing w:val="31"/>
        </w:rPr>
        <w:t> </w:t>
      </w:r>
      <w:r>
        <w:rPr/>
        <w:t>in</w:t>
      </w:r>
      <w:r>
        <w:rPr>
          <w:spacing w:val="32"/>
        </w:rPr>
        <w:t> </w:t>
      </w:r>
      <w:r>
        <w:rPr/>
        <w:t>the</w:t>
      </w:r>
      <w:r>
        <w:rPr>
          <w:spacing w:val="29"/>
        </w:rPr>
        <w:t> </w:t>
      </w:r>
      <w:r>
        <w:rPr/>
        <w:t>outer</w:t>
      </w:r>
      <w:r>
        <w:rPr>
          <w:spacing w:val="32"/>
        </w:rPr>
        <w:t> </w:t>
      </w:r>
      <w:r>
        <w:rPr/>
        <w:t>courtyard.</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2"/>
        <w:jc w:val="both"/>
      </w:pPr>
      <w:r>
        <w:rPr/>
        <w:t>Lastly, it was urged that after the interim order was passed in the Section 145 </w:t>
      </w:r>
      <w:r>
        <w:rPr>
          <w:w w:val="99"/>
        </w:rPr>
        <w:t>p</w:t>
      </w:r>
      <w:r>
        <w:rPr>
          <w:spacing w:val="1"/>
          <w:w w:val="99"/>
        </w:rPr>
        <w:t>r</w:t>
      </w:r>
      <w:r>
        <w:rPr>
          <w:w w:val="99"/>
        </w:rPr>
        <w:t>oceed</w:t>
      </w:r>
      <w:r>
        <w:rPr>
          <w:w w:val="99"/>
        </w:rPr>
        <w:t>ings,</w:t>
      </w:r>
      <w:r>
        <w:rPr/>
        <w:t> </w:t>
      </w:r>
      <w:r>
        <w:rPr>
          <w:spacing w:val="-7"/>
        </w:rPr>
        <w:t> </w:t>
      </w:r>
      <w:r>
        <w:rPr>
          <w:w w:val="99"/>
        </w:rPr>
        <w:t>the</w:t>
      </w:r>
      <w:r>
        <w:rPr/>
        <w:t> </w:t>
      </w:r>
      <w:r>
        <w:rPr>
          <w:spacing w:val="-5"/>
        </w:rPr>
        <w:t> </w:t>
      </w:r>
      <w:r>
        <w:rPr>
          <w:w w:val="99"/>
        </w:rPr>
        <w:t>s</w:t>
      </w:r>
      <w:r>
        <w:rPr>
          <w:w w:val="99"/>
        </w:rPr>
        <w:t>e</w:t>
      </w:r>
      <w:r>
        <w:rPr>
          <w:spacing w:val="-2"/>
          <w:w w:val="99"/>
        </w:rPr>
        <w:t>v</w:t>
      </w:r>
      <w:r>
        <w:rPr>
          <w:spacing w:val="1"/>
          <w:w w:val="99"/>
        </w:rPr>
        <w:t>a</w:t>
      </w:r>
      <w:r>
        <w:rPr>
          <w:w w:val="99"/>
        </w:rPr>
        <w:t>-</w:t>
      </w:r>
      <w:r>
        <w:rPr>
          <w:w w:val="99"/>
        </w:rPr>
        <w:t>p</w:t>
      </w:r>
      <w:r>
        <w:rPr>
          <w:spacing w:val="-1"/>
          <w:w w:val="99"/>
        </w:rPr>
        <w:t>uj</w:t>
      </w:r>
      <w:r>
        <w:rPr>
          <w:w w:val="99"/>
        </w:rPr>
        <w:t>a</w:t>
      </w:r>
      <w:r>
        <w:rPr/>
        <w:t> </w:t>
      </w:r>
      <w:r>
        <w:rPr>
          <w:spacing w:val="-7"/>
        </w:rPr>
        <w:t> </w:t>
      </w:r>
      <w:r>
        <w:rPr>
          <w:w w:val="99"/>
        </w:rPr>
        <w:t>continu</w:t>
      </w:r>
      <w:r>
        <w:rPr>
          <w:spacing w:val="-1"/>
          <w:w w:val="99"/>
        </w:rPr>
        <w:t>e</w:t>
      </w:r>
      <w:r>
        <w:rPr>
          <w:w w:val="99"/>
        </w:rPr>
        <w:t>d</w:t>
      </w:r>
      <w:r>
        <w:rPr/>
        <w:t> </w:t>
      </w:r>
      <w:r>
        <w:rPr>
          <w:spacing w:val="-10"/>
        </w:rPr>
        <w:t> </w:t>
      </w:r>
      <w:r>
        <w:rPr>
          <w:w w:val="33"/>
        </w:rPr>
        <w:t>―</w:t>
      </w:r>
      <w:r>
        <w:rPr>
          <w:spacing w:val="-1"/>
          <w:w w:val="99"/>
        </w:rPr>
        <w:t>a</w:t>
      </w:r>
      <w:r>
        <w:rPr>
          <w:w w:val="99"/>
        </w:rPr>
        <w:t>s</w:t>
      </w:r>
      <w:r>
        <w:rPr/>
        <w:t> </w:t>
      </w:r>
      <w:r>
        <w:rPr>
          <w:spacing w:val="-10"/>
        </w:rPr>
        <w:t> </w:t>
      </w:r>
      <w:r>
        <w:rPr>
          <w:spacing w:val="-1"/>
          <w:w w:val="99"/>
        </w:rPr>
        <w:t>b</w:t>
      </w:r>
      <w:r>
        <w:rPr>
          <w:w w:val="99"/>
        </w:rPr>
        <w:t>efo</w:t>
      </w:r>
      <w:r>
        <w:rPr>
          <w:spacing w:val="1"/>
          <w:w w:val="99"/>
        </w:rPr>
        <w:t>r</w:t>
      </w:r>
      <w:r>
        <w:rPr>
          <w:spacing w:val="-1"/>
          <w:w w:val="91"/>
        </w:rPr>
        <w:t>e</w:t>
      </w:r>
      <w:r>
        <w:rPr>
          <w:w w:val="91"/>
        </w:rPr>
        <w:t>‖</w:t>
      </w:r>
      <w:r>
        <w:rPr/>
        <w:t> </w:t>
      </w:r>
      <w:r>
        <w:rPr>
          <w:spacing w:val="-9"/>
        </w:rPr>
        <w:t> </w:t>
      </w:r>
      <w:r>
        <w:rPr>
          <w:spacing w:val="-1"/>
          <w:w w:val="99"/>
        </w:rPr>
        <w:t>a</w:t>
      </w:r>
      <w:r>
        <w:rPr>
          <w:w w:val="99"/>
        </w:rPr>
        <w:t>nd</w:t>
      </w:r>
      <w:r>
        <w:rPr/>
        <w:t> </w:t>
      </w:r>
      <w:r>
        <w:rPr>
          <w:spacing w:val="-7"/>
        </w:rPr>
        <w:t> </w:t>
      </w:r>
      <w:r>
        <w:rPr>
          <w:spacing w:val="-1"/>
          <w:w w:val="99"/>
        </w:rPr>
        <w:t>wa</w:t>
      </w:r>
      <w:r>
        <w:rPr>
          <w:w w:val="99"/>
        </w:rPr>
        <w:t>s</w:t>
      </w:r>
      <w:r>
        <w:rPr/>
        <w:t> </w:t>
      </w:r>
      <w:r>
        <w:rPr>
          <w:spacing w:val="-7"/>
        </w:rPr>
        <w:t> </w:t>
      </w:r>
      <w:r>
        <w:rPr>
          <w:w w:val="99"/>
        </w:rPr>
        <w:t>c</w:t>
      </w:r>
      <w:r>
        <w:rPr>
          <w:spacing w:val="-2"/>
          <w:w w:val="99"/>
        </w:rPr>
        <w:t>o</w:t>
      </w:r>
      <w:r>
        <w:rPr>
          <w:spacing w:val="-1"/>
          <w:w w:val="99"/>
        </w:rPr>
        <w:t>n</w:t>
      </w:r>
      <w:r>
        <w:rPr>
          <w:w w:val="99"/>
        </w:rPr>
        <w:t>d</w:t>
      </w:r>
      <w:r>
        <w:rPr>
          <w:spacing w:val="-1"/>
          <w:w w:val="99"/>
        </w:rPr>
        <w:t>uct</w:t>
      </w:r>
      <w:r>
        <w:rPr>
          <w:w w:val="99"/>
        </w:rPr>
        <w:t>ed</w:t>
      </w:r>
      <w:r>
        <w:rPr/>
        <w:t> </w:t>
      </w:r>
      <w:r>
        <w:rPr>
          <w:spacing w:val="-7"/>
        </w:rPr>
        <w:t> </w:t>
      </w:r>
      <w:r>
        <w:rPr>
          <w:spacing w:val="-1"/>
          <w:w w:val="99"/>
        </w:rPr>
        <w:t>b</w:t>
      </w:r>
      <w:r>
        <w:rPr>
          <w:w w:val="99"/>
        </w:rPr>
        <w:t>y</w:t>
      </w:r>
      <w:r>
        <w:rPr/>
        <w:t> </w:t>
      </w:r>
      <w:r>
        <w:rPr>
          <w:spacing w:val="-10"/>
        </w:rPr>
        <w:t> </w:t>
      </w:r>
      <w:r>
        <w:rPr>
          <w:w w:val="99"/>
        </w:rPr>
        <w:t>the </w:t>
      </w:r>
      <w:r>
        <w:rPr/>
        <w:t>priests of the Nirmohi</w:t>
      </w:r>
      <w:r>
        <w:rPr>
          <w:spacing w:val="-7"/>
        </w:rPr>
        <w:t> </w:t>
      </w:r>
      <w:r>
        <w:rPr/>
        <w:t>Akhara.</w:t>
      </w:r>
    </w:p>
    <w:p>
      <w:pPr>
        <w:pStyle w:val="BodyText"/>
        <w:spacing w:before="9"/>
        <w:rPr>
          <w:sz w:val="37"/>
        </w:rPr>
      </w:pPr>
    </w:p>
    <w:p>
      <w:pPr>
        <w:pStyle w:val="ListParagraph"/>
        <w:numPr>
          <w:ilvl w:val="0"/>
          <w:numId w:val="111"/>
        </w:numPr>
        <w:tabs>
          <w:tab w:pos="1221" w:val="left" w:leader="none"/>
        </w:tabs>
        <w:spacing w:line="480" w:lineRule="auto" w:before="0" w:after="0"/>
        <w:ind w:left="500" w:right="443" w:firstLine="0"/>
        <w:jc w:val="both"/>
        <w:rPr>
          <w:sz w:val="25"/>
        </w:rPr>
      </w:pPr>
      <w:r>
        <w:rPr>
          <w:sz w:val="25"/>
        </w:rPr>
        <w:t>Nirmohi Akhara urged that the presence of numerous Bairagis of the Nirmohi Akhara at the disputed site evidences the exercise of management rights. To support this, Nirmohi Akhara relied on the</w:t>
      </w:r>
      <w:r>
        <w:rPr>
          <w:spacing w:val="-10"/>
          <w:sz w:val="25"/>
        </w:rPr>
        <w:t> </w:t>
      </w:r>
      <w:r>
        <w:rPr>
          <w:sz w:val="25"/>
        </w:rPr>
        <w:t>following:</w:t>
      </w:r>
    </w:p>
    <w:p>
      <w:pPr>
        <w:pStyle w:val="ListParagraph"/>
        <w:numPr>
          <w:ilvl w:val="0"/>
          <w:numId w:val="121"/>
        </w:numPr>
        <w:tabs>
          <w:tab w:pos="1290" w:val="left" w:leader="none"/>
        </w:tabs>
        <w:spacing w:line="480" w:lineRule="auto" w:before="162" w:after="0"/>
        <w:ind w:left="1220" w:right="443" w:hanging="720"/>
        <w:jc w:val="both"/>
        <w:rPr>
          <w:sz w:val="25"/>
        </w:rPr>
      </w:pPr>
      <w:r>
        <w:rPr/>
        <w:tab/>
      </w:r>
      <w:r>
        <w:rPr>
          <w:sz w:val="25"/>
        </w:rPr>
        <w:t>Edward Thornton (1854, Gazetteer of the territories under the Government of East India Company) refers to the presence of about 500 Bairagis;</w:t>
      </w:r>
    </w:p>
    <w:p>
      <w:pPr>
        <w:pStyle w:val="ListParagraph"/>
        <w:numPr>
          <w:ilvl w:val="0"/>
          <w:numId w:val="121"/>
        </w:numPr>
        <w:tabs>
          <w:tab w:pos="1221" w:val="left" w:leader="none"/>
        </w:tabs>
        <w:spacing w:line="480" w:lineRule="auto" w:before="0" w:after="0"/>
        <w:ind w:left="1220" w:right="437" w:hanging="720"/>
        <w:jc w:val="both"/>
        <w:rPr>
          <w:sz w:val="25"/>
        </w:rPr>
      </w:pPr>
      <w:r>
        <w:rPr>
          <w:sz w:val="25"/>
        </w:rPr>
        <w:t>Letter dated 29 November 1949: Kripal Singh, the then Superintendent of Police at Faizabad addressed a letter to K K Nayar, the Deputy </w:t>
      </w:r>
      <w:r>
        <w:rPr>
          <w:spacing w:val="-1"/>
          <w:w w:val="99"/>
          <w:sz w:val="25"/>
        </w:rPr>
        <w:t>Co</w:t>
      </w:r>
      <w:r>
        <w:rPr>
          <w:w w:val="99"/>
          <w:sz w:val="25"/>
        </w:rPr>
        <w:t>mm</w:t>
      </w:r>
      <w:r>
        <w:rPr>
          <w:spacing w:val="-1"/>
          <w:w w:val="99"/>
          <w:sz w:val="25"/>
        </w:rPr>
        <w:t>ission</w:t>
      </w:r>
      <w:r>
        <w:rPr>
          <w:w w:val="99"/>
          <w:sz w:val="25"/>
        </w:rPr>
        <w:t>er</w:t>
      </w:r>
      <w:r>
        <w:rPr>
          <w:sz w:val="25"/>
        </w:rPr>
        <w:t>  </w:t>
      </w:r>
      <w:r>
        <w:rPr>
          <w:w w:val="99"/>
          <w:sz w:val="25"/>
        </w:rPr>
        <w:t>m</w:t>
      </w:r>
      <w:r>
        <w:rPr>
          <w:spacing w:val="-1"/>
          <w:w w:val="99"/>
          <w:sz w:val="25"/>
        </w:rPr>
        <w:t>e</w:t>
      </w:r>
      <w:r>
        <w:rPr>
          <w:w w:val="99"/>
          <w:sz w:val="25"/>
        </w:rPr>
        <w:t>ntion</w:t>
      </w:r>
      <w:r>
        <w:rPr>
          <w:spacing w:val="-1"/>
          <w:w w:val="99"/>
          <w:sz w:val="25"/>
        </w:rPr>
        <w:t>in</w:t>
      </w:r>
      <w:r>
        <w:rPr>
          <w:w w:val="99"/>
          <w:sz w:val="25"/>
        </w:rPr>
        <w:t>g</w:t>
      </w:r>
      <w:r>
        <w:rPr>
          <w:sz w:val="25"/>
        </w:rPr>
        <w:t>  </w:t>
      </w:r>
      <w:r>
        <w:rPr>
          <w:w w:val="99"/>
          <w:sz w:val="25"/>
        </w:rPr>
        <w:t>that</w:t>
      </w:r>
      <w:r>
        <w:rPr>
          <w:sz w:val="25"/>
        </w:rPr>
        <w:t>  </w:t>
      </w:r>
      <w:r>
        <w:rPr>
          <w:w w:val="33"/>
          <w:sz w:val="25"/>
        </w:rPr>
        <w:t>―</w:t>
      </w:r>
      <w:r>
        <w:rPr>
          <w:w w:val="99"/>
          <w:sz w:val="25"/>
        </w:rPr>
        <w:t>se</w:t>
      </w:r>
      <w:r>
        <w:rPr>
          <w:spacing w:val="-2"/>
          <w:w w:val="99"/>
          <w:sz w:val="25"/>
        </w:rPr>
        <w:t>v</w:t>
      </w:r>
      <w:r>
        <w:rPr>
          <w:spacing w:val="-1"/>
          <w:w w:val="99"/>
          <w:sz w:val="25"/>
        </w:rPr>
        <w:t>e</w:t>
      </w:r>
      <w:r>
        <w:rPr>
          <w:w w:val="99"/>
          <w:sz w:val="25"/>
        </w:rPr>
        <w:t>r</w:t>
      </w:r>
      <w:r>
        <w:rPr>
          <w:spacing w:val="-1"/>
          <w:w w:val="99"/>
          <w:sz w:val="25"/>
        </w:rPr>
        <w:t>a</w:t>
      </w:r>
      <w:r>
        <w:rPr>
          <w:w w:val="99"/>
          <w:sz w:val="25"/>
        </w:rPr>
        <w:t>l</w:t>
      </w:r>
      <w:r>
        <w:rPr>
          <w:sz w:val="25"/>
        </w:rPr>
        <w:t> </w:t>
      </w:r>
      <w:r>
        <w:rPr>
          <w:spacing w:val="2"/>
          <w:sz w:val="25"/>
        </w:rPr>
        <w:t> </w:t>
      </w:r>
      <w:r>
        <w:rPr>
          <w:spacing w:val="2"/>
          <w:w w:val="99"/>
          <w:sz w:val="25"/>
        </w:rPr>
        <w:t>t</w:t>
      </w:r>
      <w:r>
        <w:rPr>
          <w:spacing w:val="-1"/>
          <w:w w:val="99"/>
          <w:sz w:val="25"/>
        </w:rPr>
        <w:t>h</w:t>
      </w:r>
      <w:r>
        <w:rPr>
          <w:w w:val="99"/>
          <w:sz w:val="25"/>
        </w:rPr>
        <w:t>o</w:t>
      </w:r>
      <w:r>
        <w:rPr>
          <w:spacing w:val="-1"/>
          <w:w w:val="99"/>
          <w:sz w:val="25"/>
        </w:rPr>
        <w:t>us</w:t>
      </w:r>
      <w:r>
        <w:rPr>
          <w:w w:val="99"/>
          <w:sz w:val="25"/>
        </w:rPr>
        <w:t>a</w:t>
      </w:r>
      <w:r>
        <w:rPr>
          <w:spacing w:val="-1"/>
          <w:w w:val="99"/>
          <w:sz w:val="25"/>
        </w:rPr>
        <w:t>n</w:t>
      </w:r>
      <w:r>
        <w:rPr>
          <w:w w:val="99"/>
          <w:sz w:val="25"/>
        </w:rPr>
        <w:t>d</w:t>
      </w:r>
      <w:r>
        <w:rPr>
          <w:sz w:val="25"/>
        </w:rPr>
        <w:t>  </w:t>
      </w:r>
      <w:r>
        <w:rPr>
          <w:spacing w:val="-1"/>
          <w:w w:val="99"/>
          <w:sz w:val="25"/>
        </w:rPr>
        <w:t>Hind</w:t>
      </w:r>
      <w:r>
        <w:rPr>
          <w:w w:val="99"/>
          <w:sz w:val="25"/>
        </w:rPr>
        <w:t>us,</w:t>
      </w:r>
      <w:r>
        <w:rPr>
          <w:sz w:val="25"/>
        </w:rPr>
        <w:t>  </w:t>
      </w:r>
      <w:r>
        <w:rPr>
          <w:spacing w:val="-1"/>
          <w:w w:val="99"/>
          <w:sz w:val="25"/>
        </w:rPr>
        <w:t>Ba</w:t>
      </w:r>
      <w:r>
        <w:rPr>
          <w:spacing w:val="2"/>
          <w:w w:val="99"/>
          <w:sz w:val="25"/>
        </w:rPr>
        <w:t>i</w:t>
      </w:r>
      <w:r>
        <w:rPr>
          <w:w w:val="99"/>
          <w:sz w:val="25"/>
        </w:rPr>
        <w:t>r</w:t>
      </w:r>
      <w:r>
        <w:rPr>
          <w:spacing w:val="-1"/>
          <w:w w:val="99"/>
          <w:sz w:val="25"/>
        </w:rPr>
        <w:t>a</w:t>
      </w:r>
      <w:r>
        <w:rPr>
          <w:w w:val="99"/>
          <w:sz w:val="25"/>
        </w:rPr>
        <w:t>g</w:t>
      </w:r>
      <w:r>
        <w:rPr>
          <w:spacing w:val="-1"/>
          <w:w w:val="99"/>
          <w:sz w:val="25"/>
        </w:rPr>
        <w:t>i</w:t>
      </w:r>
      <w:r>
        <w:rPr>
          <w:w w:val="99"/>
          <w:sz w:val="25"/>
        </w:rPr>
        <w:t>s</w:t>
      </w:r>
      <w:r>
        <w:rPr>
          <w:sz w:val="25"/>
        </w:rPr>
        <w:t> </w:t>
      </w:r>
      <w:r>
        <w:rPr>
          <w:spacing w:val="-1"/>
          <w:sz w:val="25"/>
        </w:rPr>
        <w:t> </w:t>
      </w:r>
      <w:r>
        <w:rPr>
          <w:spacing w:val="-1"/>
          <w:w w:val="99"/>
          <w:sz w:val="25"/>
        </w:rPr>
        <w:t>a</w:t>
      </w:r>
      <w:r>
        <w:rPr>
          <w:w w:val="99"/>
          <w:sz w:val="25"/>
        </w:rPr>
        <w:t>nd </w:t>
      </w:r>
      <w:r>
        <w:rPr>
          <w:sz w:val="25"/>
        </w:rPr>
        <w:t>Sadhus‖ are to participate in the performance of the proposed</w:t>
      </w:r>
      <w:r>
        <w:rPr>
          <w:spacing w:val="-32"/>
          <w:sz w:val="25"/>
        </w:rPr>
        <w:t> </w:t>
      </w:r>
      <w:r>
        <w:rPr>
          <w:sz w:val="25"/>
        </w:rPr>
        <w:t>Kirtan;</w:t>
      </w:r>
    </w:p>
    <w:p>
      <w:pPr>
        <w:pStyle w:val="ListParagraph"/>
        <w:numPr>
          <w:ilvl w:val="0"/>
          <w:numId w:val="121"/>
        </w:numPr>
        <w:tabs>
          <w:tab w:pos="1221" w:val="left" w:leader="none"/>
        </w:tabs>
        <w:spacing w:line="480" w:lineRule="auto" w:before="1" w:after="0"/>
        <w:ind w:left="1220" w:right="441" w:hanging="720"/>
        <w:jc w:val="both"/>
        <w:rPr>
          <w:sz w:val="25"/>
        </w:rPr>
      </w:pPr>
      <w:r>
        <w:rPr>
          <w:sz w:val="25"/>
        </w:rPr>
        <w:t>Letter dated 16 December 1949: K K Nayar (the Deputy Commissioner and District Magistrate, Faizabad) addressed a communication to Govind </w:t>
      </w:r>
      <w:r>
        <w:rPr>
          <w:spacing w:val="-1"/>
          <w:w w:val="99"/>
          <w:sz w:val="25"/>
        </w:rPr>
        <w:t>Na</w:t>
      </w:r>
      <w:r>
        <w:rPr>
          <w:w w:val="99"/>
          <w:sz w:val="25"/>
        </w:rPr>
        <w:t>r</w:t>
      </w:r>
      <w:r>
        <w:rPr>
          <w:spacing w:val="-1"/>
          <w:w w:val="99"/>
          <w:sz w:val="25"/>
        </w:rPr>
        <w:t>a</w:t>
      </w:r>
      <w:r>
        <w:rPr>
          <w:spacing w:val="-3"/>
          <w:w w:val="99"/>
          <w:sz w:val="25"/>
        </w:rPr>
        <w:t>y</w:t>
      </w:r>
      <w:r>
        <w:rPr>
          <w:spacing w:val="-1"/>
          <w:w w:val="99"/>
          <w:sz w:val="25"/>
        </w:rPr>
        <w:t>a</w:t>
      </w:r>
      <w:r>
        <w:rPr>
          <w:w w:val="99"/>
          <w:sz w:val="25"/>
        </w:rPr>
        <w:t>n</w:t>
      </w:r>
      <w:r>
        <w:rPr>
          <w:sz w:val="25"/>
        </w:rPr>
        <w:t>  </w:t>
      </w:r>
      <w:r>
        <w:rPr>
          <w:spacing w:val="-19"/>
          <w:sz w:val="25"/>
        </w:rPr>
        <w:t> </w:t>
      </w:r>
      <w:r>
        <w:rPr>
          <w:w w:val="99"/>
          <w:sz w:val="25"/>
        </w:rPr>
        <w:t>stat</w:t>
      </w:r>
      <w:r>
        <w:rPr>
          <w:spacing w:val="-1"/>
          <w:w w:val="99"/>
          <w:sz w:val="25"/>
        </w:rPr>
        <w:t>in</w:t>
      </w:r>
      <w:r>
        <w:rPr>
          <w:w w:val="99"/>
          <w:sz w:val="25"/>
        </w:rPr>
        <w:t>g</w:t>
      </w:r>
      <w:r>
        <w:rPr>
          <w:sz w:val="25"/>
        </w:rPr>
        <w:t>  </w:t>
      </w:r>
      <w:r>
        <w:rPr>
          <w:spacing w:val="-19"/>
          <w:sz w:val="25"/>
        </w:rPr>
        <w:t> </w:t>
      </w:r>
      <w:r>
        <w:rPr>
          <w:w w:val="99"/>
          <w:sz w:val="25"/>
        </w:rPr>
        <w:t>th</w:t>
      </w:r>
      <w:r>
        <w:rPr>
          <w:spacing w:val="3"/>
          <w:w w:val="99"/>
          <w:sz w:val="25"/>
        </w:rPr>
        <w:t>a</w:t>
      </w:r>
      <w:r>
        <w:rPr>
          <w:w w:val="99"/>
          <w:sz w:val="25"/>
        </w:rPr>
        <w:t>t</w:t>
      </w:r>
      <w:r>
        <w:rPr>
          <w:sz w:val="25"/>
        </w:rPr>
        <w:t>  </w:t>
      </w:r>
      <w:r>
        <w:rPr>
          <w:spacing w:val="-19"/>
          <w:sz w:val="25"/>
        </w:rPr>
        <w:t> </w:t>
      </w:r>
      <w:r>
        <w:rPr>
          <w:w w:val="33"/>
          <w:sz w:val="25"/>
        </w:rPr>
        <w:t>―</w:t>
      </w:r>
      <w:r>
        <w:rPr>
          <w:w w:val="99"/>
          <w:sz w:val="25"/>
        </w:rPr>
        <w:t>so</w:t>
      </w:r>
      <w:r>
        <w:rPr>
          <w:spacing w:val="1"/>
          <w:w w:val="99"/>
          <w:sz w:val="25"/>
        </w:rPr>
        <w:t>m</w:t>
      </w:r>
      <w:r>
        <w:rPr>
          <w:w w:val="99"/>
          <w:sz w:val="25"/>
        </w:rPr>
        <w:t>e</w:t>
      </w:r>
      <w:r>
        <w:rPr>
          <w:sz w:val="25"/>
        </w:rPr>
        <w:t>  </w:t>
      </w:r>
      <w:r>
        <w:rPr>
          <w:spacing w:val="-19"/>
          <w:sz w:val="25"/>
        </w:rPr>
        <w:t> </w:t>
      </w:r>
      <w:r>
        <w:rPr>
          <w:w w:val="99"/>
          <w:sz w:val="25"/>
        </w:rPr>
        <w:t>time</w:t>
      </w:r>
      <w:r>
        <w:rPr>
          <w:sz w:val="25"/>
        </w:rPr>
        <w:t>  </w:t>
      </w:r>
      <w:r>
        <w:rPr>
          <w:spacing w:val="-19"/>
          <w:sz w:val="25"/>
        </w:rPr>
        <w:t> </w:t>
      </w:r>
      <w:r>
        <w:rPr>
          <w:w w:val="99"/>
          <w:sz w:val="25"/>
        </w:rPr>
        <w:t>this</w:t>
      </w:r>
      <w:r>
        <w:rPr>
          <w:sz w:val="25"/>
        </w:rPr>
        <w:t>  </w:t>
      </w:r>
      <w:r>
        <w:rPr>
          <w:spacing w:val="-19"/>
          <w:sz w:val="25"/>
        </w:rPr>
        <w:t> </w:t>
      </w:r>
      <w:r>
        <w:rPr>
          <w:spacing w:val="-3"/>
          <w:w w:val="99"/>
          <w:sz w:val="25"/>
        </w:rPr>
        <w:t>y</w:t>
      </w:r>
      <w:r>
        <w:rPr>
          <w:spacing w:val="-1"/>
          <w:w w:val="99"/>
          <w:sz w:val="25"/>
        </w:rPr>
        <w:t>e</w:t>
      </w:r>
      <w:r>
        <w:rPr>
          <w:w w:val="99"/>
          <w:sz w:val="25"/>
        </w:rPr>
        <w:t>ar</w:t>
      </w:r>
      <w:r>
        <w:rPr>
          <w:sz w:val="25"/>
        </w:rPr>
        <w:t>  </w:t>
      </w:r>
      <w:r>
        <w:rPr>
          <w:spacing w:val="-19"/>
          <w:sz w:val="25"/>
        </w:rPr>
        <w:t> </w:t>
      </w:r>
      <w:r>
        <w:rPr>
          <w:spacing w:val="-1"/>
          <w:w w:val="99"/>
          <w:sz w:val="25"/>
        </w:rPr>
        <w:t>p</w:t>
      </w:r>
      <w:r>
        <w:rPr>
          <w:w w:val="99"/>
          <w:sz w:val="25"/>
        </w:rPr>
        <w:t>r</w:t>
      </w:r>
      <w:r>
        <w:rPr>
          <w:spacing w:val="-1"/>
          <w:w w:val="99"/>
          <w:sz w:val="25"/>
        </w:rPr>
        <w:t>o</w:t>
      </w:r>
      <w:r>
        <w:rPr>
          <w:w w:val="99"/>
          <w:sz w:val="25"/>
        </w:rPr>
        <w:t>b</w:t>
      </w:r>
      <w:r>
        <w:rPr>
          <w:spacing w:val="-1"/>
          <w:w w:val="99"/>
          <w:sz w:val="25"/>
        </w:rPr>
        <w:t>a</w:t>
      </w:r>
      <w:r>
        <w:rPr>
          <w:w w:val="99"/>
          <w:sz w:val="25"/>
        </w:rPr>
        <w:t>b</w:t>
      </w:r>
      <w:r>
        <w:rPr>
          <w:spacing w:val="-1"/>
          <w:w w:val="99"/>
          <w:sz w:val="25"/>
        </w:rPr>
        <w:t>l</w:t>
      </w:r>
      <w:r>
        <w:rPr>
          <w:w w:val="99"/>
          <w:sz w:val="25"/>
        </w:rPr>
        <w:t>y</w:t>
      </w:r>
      <w:r>
        <w:rPr>
          <w:sz w:val="25"/>
        </w:rPr>
        <w:t>  </w:t>
      </w:r>
      <w:r>
        <w:rPr>
          <w:spacing w:val="-20"/>
          <w:sz w:val="25"/>
        </w:rPr>
        <w:t> </w:t>
      </w:r>
      <w:r>
        <w:rPr>
          <w:spacing w:val="-1"/>
          <w:w w:val="99"/>
          <w:sz w:val="25"/>
        </w:rPr>
        <w:t>i</w:t>
      </w:r>
      <w:r>
        <w:rPr>
          <w:w w:val="99"/>
          <w:sz w:val="25"/>
        </w:rPr>
        <w:t>n</w:t>
      </w:r>
      <w:r>
        <w:rPr>
          <w:sz w:val="25"/>
        </w:rPr>
        <w:t>  </w:t>
      </w:r>
      <w:r>
        <w:rPr>
          <w:spacing w:val="-20"/>
          <w:sz w:val="25"/>
        </w:rPr>
        <w:t> </w:t>
      </w:r>
      <w:r>
        <w:rPr>
          <w:spacing w:val="2"/>
          <w:w w:val="99"/>
          <w:sz w:val="25"/>
        </w:rPr>
        <w:t>O</w:t>
      </w:r>
      <w:r>
        <w:rPr>
          <w:w w:val="99"/>
          <w:sz w:val="25"/>
        </w:rPr>
        <w:t>ctob</w:t>
      </w:r>
      <w:r>
        <w:rPr>
          <w:spacing w:val="-1"/>
          <w:w w:val="99"/>
          <w:sz w:val="25"/>
        </w:rPr>
        <w:t>e</w:t>
      </w:r>
      <w:r>
        <w:rPr>
          <w:w w:val="99"/>
          <w:sz w:val="25"/>
        </w:rPr>
        <w:t>r</w:t>
      </w:r>
      <w:r>
        <w:rPr>
          <w:sz w:val="25"/>
        </w:rPr>
        <w:t>  </w:t>
      </w:r>
      <w:r>
        <w:rPr>
          <w:spacing w:val="-18"/>
          <w:sz w:val="25"/>
        </w:rPr>
        <w:t> </w:t>
      </w:r>
      <w:r>
        <w:rPr>
          <w:spacing w:val="-1"/>
          <w:w w:val="99"/>
          <w:sz w:val="25"/>
        </w:rPr>
        <w:t>or </w:t>
      </w:r>
      <w:r>
        <w:rPr>
          <w:sz w:val="25"/>
        </w:rPr>
        <w:t>November some grave-mounds were partially destroyed apparently by Bairagis</w:t>
      </w:r>
      <w:r>
        <w:rPr>
          <w:spacing w:val="-6"/>
          <w:sz w:val="25"/>
        </w:rPr>
        <w:t> </w:t>
      </w:r>
      <w:r>
        <w:rPr>
          <w:sz w:val="25"/>
        </w:rPr>
        <w:t>who</w:t>
      </w:r>
      <w:r>
        <w:rPr>
          <w:spacing w:val="-5"/>
          <w:sz w:val="25"/>
        </w:rPr>
        <w:t> </w:t>
      </w:r>
      <w:r>
        <w:rPr>
          <w:sz w:val="25"/>
        </w:rPr>
        <w:t>very</w:t>
      </w:r>
      <w:r>
        <w:rPr>
          <w:spacing w:val="-8"/>
          <w:sz w:val="25"/>
        </w:rPr>
        <w:t> </w:t>
      </w:r>
      <w:r>
        <w:rPr>
          <w:sz w:val="25"/>
        </w:rPr>
        <w:t>keenly</w:t>
      </w:r>
      <w:r>
        <w:rPr>
          <w:spacing w:val="-7"/>
          <w:sz w:val="25"/>
        </w:rPr>
        <w:t> </w:t>
      </w:r>
      <w:r>
        <w:rPr>
          <w:sz w:val="25"/>
        </w:rPr>
        <w:t>resent</w:t>
      </w:r>
      <w:r>
        <w:rPr>
          <w:spacing w:val="-3"/>
          <w:sz w:val="25"/>
        </w:rPr>
        <w:t> </w:t>
      </w:r>
      <w:r>
        <w:rPr>
          <w:sz w:val="25"/>
        </w:rPr>
        <w:t>Muslim</w:t>
      </w:r>
      <w:r>
        <w:rPr>
          <w:spacing w:val="-6"/>
          <w:sz w:val="25"/>
        </w:rPr>
        <w:t> </w:t>
      </w:r>
      <w:r>
        <w:rPr>
          <w:sz w:val="25"/>
        </w:rPr>
        <w:t>associations</w:t>
      </w:r>
      <w:r>
        <w:rPr>
          <w:spacing w:val="-5"/>
          <w:sz w:val="25"/>
        </w:rPr>
        <w:t> </w:t>
      </w:r>
      <w:r>
        <w:rPr>
          <w:sz w:val="25"/>
        </w:rPr>
        <w:t>with</w:t>
      </w:r>
      <w:r>
        <w:rPr>
          <w:spacing w:val="-6"/>
          <w:sz w:val="25"/>
        </w:rPr>
        <w:t> </w:t>
      </w:r>
      <w:r>
        <w:rPr>
          <w:sz w:val="25"/>
        </w:rPr>
        <w:t>this</w:t>
      </w:r>
      <w:r>
        <w:rPr>
          <w:spacing w:val="-6"/>
          <w:sz w:val="25"/>
        </w:rPr>
        <w:t> </w:t>
      </w:r>
      <w:r>
        <w:rPr>
          <w:sz w:val="25"/>
        </w:rPr>
        <w:t>shrine‖;</w:t>
      </w:r>
      <w:r>
        <w:rPr>
          <w:spacing w:val="-4"/>
          <w:sz w:val="25"/>
        </w:rPr>
        <w:t> </w:t>
      </w:r>
      <w:r>
        <w:rPr>
          <w:sz w:val="25"/>
        </w:rPr>
        <w:t>and</w:t>
      </w:r>
    </w:p>
    <w:p>
      <w:pPr>
        <w:pStyle w:val="ListParagraph"/>
        <w:numPr>
          <w:ilvl w:val="0"/>
          <w:numId w:val="121"/>
        </w:numPr>
        <w:tabs>
          <w:tab w:pos="1221" w:val="left" w:leader="none"/>
        </w:tabs>
        <w:spacing w:line="480" w:lineRule="auto" w:before="0" w:after="0"/>
        <w:ind w:left="1220" w:right="443" w:hanging="720"/>
        <w:jc w:val="both"/>
        <w:rPr>
          <w:sz w:val="25"/>
        </w:rPr>
      </w:pPr>
      <w:r>
        <w:rPr>
          <w:sz w:val="25"/>
        </w:rPr>
        <w:t>Reference is also made to the presence of the Bairagis in the report of Waqf Inspector dated 23 December 1949 marked as Exhibit A-64 in Suit</w:t>
      </w:r>
      <w:r>
        <w:rPr>
          <w:spacing w:val="-15"/>
          <w:sz w:val="25"/>
        </w:rPr>
        <w:t> </w:t>
      </w:r>
      <w:r>
        <w:rPr>
          <w:sz w:val="25"/>
        </w:rPr>
        <w:t>1.</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The evidence relied on by the Nirmohi Akhara in this regard, evidences at best the presence of the Bairagis of the Nirmohi Akhara at the disputed site. No other credible documents or evidence was produced to show that these Bairagis in fact exercised the rights of management of a</w:t>
      </w:r>
      <w:r>
        <w:rPr>
          <w:spacing w:val="-5"/>
        </w:rPr>
        <w:t> </w:t>
      </w:r>
      <w:r>
        <w:rPr/>
        <w:t>shebait.</w:t>
      </w:r>
    </w:p>
    <w:p>
      <w:pPr>
        <w:pStyle w:val="BodyText"/>
        <w:spacing w:before="11"/>
        <w:rPr>
          <w:sz w:val="24"/>
        </w:rPr>
      </w:pPr>
    </w:p>
    <w:p>
      <w:pPr>
        <w:pStyle w:val="ListParagraph"/>
        <w:numPr>
          <w:ilvl w:val="0"/>
          <w:numId w:val="111"/>
        </w:numPr>
        <w:tabs>
          <w:tab w:pos="1221" w:val="left" w:leader="none"/>
        </w:tabs>
        <w:spacing w:line="480" w:lineRule="auto" w:before="0" w:after="0"/>
        <w:ind w:left="500" w:right="439" w:firstLine="0"/>
        <w:jc w:val="both"/>
        <w:rPr>
          <w:sz w:val="25"/>
        </w:rPr>
      </w:pPr>
      <w:r>
        <w:rPr>
          <w:sz w:val="25"/>
        </w:rPr>
        <w:t>The complaint of 25 September 1866 filed by Meer Rajab Ali Khateeb states that it is filed against one ‗Tulsidas‘. Nirmohi Akhara sought to rely on oral evidence to prove that Tulsidas was in fact a Mahant of the Nirmohis and that it </w:t>
      </w:r>
      <w:r>
        <w:rPr>
          <w:spacing w:val="-1"/>
          <w:w w:val="99"/>
          <w:sz w:val="25"/>
        </w:rPr>
        <w:t>wa</w:t>
      </w:r>
      <w:r>
        <w:rPr>
          <w:w w:val="99"/>
          <w:sz w:val="25"/>
        </w:rPr>
        <w:t>s</w:t>
      </w:r>
      <w:r>
        <w:rPr>
          <w:spacing w:val="24"/>
          <w:sz w:val="25"/>
        </w:rPr>
        <w:t> </w:t>
      </w:r>
      <w:r>
        <w:rPr>
          <w:spacing w:val="-1"/>
          <w:w w:val="99"/>
          <w:sz w:val="25"/>
        </w:rPr>
        <w:t>Nir</w:t>
      </w:r>
      <w:r>
        <w:rPr>
          <w:w w:val="99"/>
          <w:sz w:val="25"/>
        </w:rPr>
        <w:t>m</w:t>
      </w:r>
      <w:r>
        <w:rPr>
          <w:spacing w:val="-1"/>
          <w:w w:val="99"/>
          <w:sz w:val="25"/>
        </w:rPr>
        <w:t>o</w:t>
      </w:r>
      <w:r>
        <w:rPr>
          <w:w w:val="99"/>
          <w:sz w:val="25"/>
        </w:rPr>
        <w:t>hi</w:t>
      </w:r>
      <w:r>
        <w:rPr>
          <w:spacing w:val="23"/>
          <w:sz w:val="25"/>
        </w:rPr>
        <w:t> </w:t>
      </w:r>
      <w:r>
        <w:rPr>
          <w:spacing w:val="-1"/>
          <w:w w:val="99"/>
          <w:sz w:val="25"/>
        </w:rPr>
        <w:t>A</w:t>
      </w:r>
      <w:r>
        <w:rPr>
          <w:w w:val="99"/>
          <w:sz w:val="25"/>
        </w:rPr>
        <w:t>khara</w:t>
      </w:r>
      <w:r>
        <w:rPr>
          <w:spacing w:val="26"/>
          <w:sz w:val="25"/>
        </w:rPr>
        <w:t> </w:t>
      </w:r>
      <w:r>
        <w:rPr>
          <w:spacing w:val="-1"/>
          <w:w w:val="99"/>
          <w:sz w:val="25"/>
        </w:rPr>
        <w:t>wh</w:t>
      </w:r>
      <w:r>
        <w:rPr>
          <w:w w:val="99"/>
          <w:sz w:val="25"/>
        </w:rPr>
        <w:t>o</w:t>
      </w:r>
      <w:r>
        <w:rPr>
          <w:spacing w:val="24"/>
          <w:sz w:val="25"/>
        </w:rPr>
        <w:t> </w:t>
      </w:r>
      <w:r>
        <w:rPr>
          <w:w w:val="99"/>
          <w:sz w:val="25"/>
        </w:rPr>
        <w:t>constr</w:t>
      </w:r>
      <w:r>
        <w:rPr>
          <w:spacing w:val="-1"/>
          <w:w w:val="99"/>
          <w:sz w:val="25"/>
        </w:rPr>
        <w:t>uct</w:t>
      </w:r>
      <w:r>
        <w:rPr>
          <w:w w:val="99"/>
          <w:sz w:val="25"/>
        </w:rPr>
        <w:t>ed</w:t>
      </w:r>
      <w:r>
        <w:rPr>
          <w:spacing w:val="24"/>
          <w:sz w:val="25"/>
        </w:rPr>
        <w:t> </w:t>
      </w:r>
      <w:r>
        <w:rPr>
          <w:w w:val="99"/>
          <w:sz w:val="25"/>
        </w:rPr>
        <w:t>the</w:t>
      </w:r>
      <w:r>
        <w:rPr>
          <w:spacing w:val="24"/>
          <w:sz w:val="25"/>
        </w:rPr>
        <w:t> </w:t>
      </w:r>
      <w:r>
        <w:rPr>
          <w:w w:val="33"/>
          <w:sz w:val="25"/>
        </w:rPr>
        <w:t>―</w:t>
      </w:r>
      <w:r>
        <w:rPr>
          <w:spacing w:val="-1"/>
          <w:w w:val="99"/>
          <w:sz w:val="25"/>
        </w:rPr>
        <w:t>Kot</w:t>
      </w:r>
      <w:r>
        <w:rPr>
          <w:w w:val="99"/>
          <w:sz w:val="25"/>
        </w:rPr>
        <w:t>hr</w:t>
      </w:r>
      <w:r>
        <w:rPr>
          <w:spacing w:val="-1"/>
          <w:w w:val="91"/>
          <w:sz w:val="25"/>
        </w:rPr>
        <w:t>i‖</w:t>
      </w:r>
      <w:r>
        <w:rPr>
          <w:w w:val="91"/>
          <w:sz w:val="25"/>
        </w:rPr>
        <w:t>.</w:t>
      </w:r>
      <w:r>
        <w:rPr>
          <w:spacing w:val="24"/>
          <w:sz w:val="25"/>
        </w:rPr>
        <w:t> </w:t>
      </w:r>
      <w:r>
        <w:rPr>
          <w:w w:val="99"/>
          <w:sz w:val="25"/>
        </w:rPr>
        <w:t>It</w:t>
      </w:r>
      <w:r>
        <w:rPr>
          <w:spacing w:val="24"/>
          <w:sz w:val="25"/>
        </w:rPr>
        <w:t> </w:t>
      </w:r>
      <w:r>
        <w:rPr>
          <w:spacing w:val="-1"/>
          <w:w w:val="99"/>
          <w:sz w:val="25"/>
        </w:rPr>
        <w:t>h</w:t>
      </w:r>
      <w:r>
        <w:rPr>
          <w:w w:val="99"/>
          <w:sz w:val="25"/>
        </w:rPr>
        <w:t>as</w:t>
      </w:r>
      <w:r>
        <w:rPr>
          <w:spacing w:val="23"/>
          <w:sz w:val="25"/>
        </w:rPr>
        <w:t> </w:t>
      </w:r>
      <w:r>
        <w:rPr>
          <w:spacing w:val="-1"/>
          <w:w w:val="99"/>
          <w:sz w:val="25"/>
        </w:rPr>
        <w:t>al</w:t>
      </w:r>
      <w:r>
        <w:rPr>
          <w:w w:val="99"/>
          <w:sz w:val="25"/>
        </w:rPr>
        <w:t>r</w:t>
      </w:r>
      <w:r>
        <w:rPr>
          <w:spacing w:val="-1"/>
          <w:w w:val="99"/>
          <w:sz w:val="25"/>
        </w:rPr>
        <w:t>e</w:t>
      </w:r>
      <w:r>
        <w:rPr>
          <w:w w:val="99"/>
          <w:sz w:val="25"/>
        </w:rPr>
        <w:t>a</w:t>
      </w:r>
      <w:r>
        <w:rPr>
          <w:spacing w:val="-1"/>
          <w:w w:val="99"/>
          <w:sz w:val="25"/>
        </w:rPr>
        <w:t>d</w:t>
      </w:r>
      <w:r>
        <w:rPr>
          <w:w w:val="99"/>
          <w:sz w:val="25"/>
        </w:rPr>
        <w:t>y</w:t>
      </w:r>
      <w:r>
        <w:rPr>
          <w:spacing w:val="21"/>
          <w:sz w:val="25"/>
        </w:rPr>
        <w:t> </w:t>
      </w:r>
      <w:r>
        <w:rPr>
          <w:spacing w:val="-1"/>
          <w:w w:val="99"/>
          <w:sz w:val="25"/>
        </w:rPr>
        <w:t>b</w:t>
      </w:r>
      <w:r>
        <w:rPr>
          <w:w w:val="99"/>
          <w:sz w:val="25"/>
        </w:rPr>
        <w:t>e</w:t>
      </w:r>
      <w:r>
        <w:rPr>
          <w:spacing w:val="-1"/>
          <w:w w:val="99"/>
          <w:sz w:val="25"/>
        </w:rPr>
        <w:t>e</w:t>
      </w:r>
      <w:r>
        <w:rPr>
          <w:w w:val="99"/>
          <w:sz w:val="25"/>
        </w:rPr>
        <w:t>n</w:t>
      </w:r>
      <w:r>
        <w:rPr>
          <w:spacing w:val="26"/>
          <w:sz w:val="25"/>
        </w:rPr>
        <w:t> </w:t>
      </w:r>
      <w:r>
        <w:rPr>
          <w:spacing w:val="-1"/>
          <w:w w:val="99"/>
          <w:sz w:val="25"/>
        </w:rPr>
        <w:t>h</w:t>
      </w:r>
      <w:r>
        <w:rPr>
          <w:w w:val="99"/>
          <w:sz w:val="25"/>
        </w:rPr>
        <w:t>e</w:t>
      </w:r>
      <w:r>
        <w:rPr>
          <w:spacing w:val="-1"/>
          <w:w w:val="99"/>
          <w:sz w:val="25"/>
        </w:rPr>
        <w:t>l</w:t>
      </w:r>
      <w:r>
        <w:rPr>
          <w:w w:val="99"/>
          <w:sz w:val="25"/>
        </w:rPr>
        <w:t>d</w:t>
      </w:r>
      <w:r>
        <w:rPr>
          <w:spacing w:val="24"/>
          <w:sz w:val="25"/>
        </w:rPr>
        <w:t> </w:t>
      </w:r>
      <w:r>
        <w:rPr>
          <w:w w:val="99"/>
          <w:sz w:val="25"/>
        </w:rPr>
        <w:t>that </w:t>
      </w:r>
      <w:r>
        <w:rPr>
          <w:sz w:val="25"/>
        </w:rPr>
        <w:t>the oral evidence relied on by the Nimohis to substantiate their claim is not reliable. The document itself does not prove that Tulsidas was a Mahant of the Nirmohis nor that the construction was carried out by the Nirmohis. It is not corroborated by any other documentary evidence ordinarily associated with such a construction at the time and does not evidence the exercise of rights as a shebait.</w:t>
      </w:r>
    </w:p>
    <w:p>
      <w:pPr>
        <w:pStyle w:val="BodyText"/>
        <w:spacing w:before="11"/>
        <w:rPr>
          <w:sz w:val="37"/>
        </w:rPr>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Exhibits 8, 9 and 10 in Suit 3 establish that the Nirmohis were providing various services to the pilgrims visiting the disputed structure. However, all three exhibits pertain to the grant of permission to provide these services outside the disputed structure. At its highest, these exhibits show that the Nirmohis were present in and around the disputed structure and assisted the pilgrims. It does  not however evidence any management over the idols or the disputed site</w:t>
      </w:r>
      <w:r>
        <w:rPr>
          <w:spacing w:val="-24"/>
          <w:sz w:val="25"/>
        </w:rPr>
        <w:t> </w:t>
      </w:r>
      <w:r>
        <w:rPr>
          <w:sz w:val="25"/>
        </w:rPr>
        <w:t>itself.</w:t>
      </w:r>
    </w:p>
    <w:p>
      <w:pPr>
        <w:pStyle w:val="BodyText"/>
        <w:rPr>
          <w:sz w:val="28"/>
        </w:rPr>
      </w:pPr>
    </w:p>
    <w:p>
      <w:pPr>
        <w:pStyle w:val="BodyText"/>
        <w:spacing w:before="11"/>
        <w:rPr>
          <w:sz w:val="24"/>
        </w:rPr>
      </w:pPr>
    </w:p>
    <w:p>
      <w:pPr>
        <w:pStyle w:val="ListParagraph"/>
        <w:numPr>
          <w:ilvl w:val="0"/>
          <w:numId w:val="111"/>
        </w:numPr>
        <w:tabs>
          <w:tab w:pos="1221" w:val="left" w:leader="none"/>
        </w:tabs>
        <w:spacing w:line="477" w:lineRule="auto" w:before="0" w:after="0"/>
        <w:ind w:left="500" w:right="435" w:firstLine="0"/>
        <w:jc w:val="both"/>
        <w:rPr>
          <w:b/>
          <w:sz w:val="25"/>
        </w:rPr>
      </w:pPr>
      <w:r>
        <w:rPr>
          <w:sz w:val="25"/>
        </w:rPr>
        <w:t>Significant reliance was placed on the role of Mahant Rahubar Das as a Mahant of the Nirmohi Akhara. Reliance in this regard was placed on </w:t>
      </w:r>
      <w:r>
        <w:rPr>
          <w:b/>
          <w:sz w:val="25"/>
        </w:rPr>
        <w:t>Exhibits</w:t>
      </w:r>
      <w:r>
        <w:rPr>
          <w:b/>
          <w:spacing w:val="8"/>
          <w:sz w:val="25"/>
        </w:rPr>
        <w:t> </w:t>
      </w:r>
      <w:r>
        <w:rPr>
          <w:b/>
          <w:sz w:val="25"/>
        </w:rPr>
        <w:t>24</w:t>
      </w:r>
    </w:p>
    <w:p>
      <w:pPr>
        <w:spacing w:after="0" w:line="477" w:lineRule="auto"/>
        <w:jc w:val="both"/>
        <w:rPr>
          <w:sz w:val="25"/>
        </w:rPr>
        <w:sectPr>
          <w:pgSz w:w="11910" w:h="16840"/>
          <w:pgMar w:header="721" w:footer="1014" w:top="1300" w:bottom="1200" w:left="940" w:right="1000"/>
        </w:sectPr>
      </w:pPr>
    </w:p>
    <w:p>
      <w:pPr>
        <w:pStyle w:val="BodyText"/>
        <w:spacing w:line="480" w:lineRule="auto" w:before="121"/>
        <w:ind w:left="500" w:right="435"/>
        <w:jc w:val="both"/>
      </w:pPr>
      <w:r>
        <w:rPr/>
        <w:t>(suit dated 8 November 1882 filed for the collection of rent), </w:t>
      </w:r>
      <w:r>
        <w:rPr>
          <w:b/>
        </w:rPr>
        <w:t>Exhibit 28 </w:t>
      </w:r>
      <w:r>
        <w:rPr/>
        <w:t>(complaint dated 27 June 1884 seeking plot inspection) and </w:t>
      </w:r>
      <w:r>
        <w:rPr>
          <w:b/>
        </w:rPr>
        <w:t>Exhibit A-22 </w:t>
      </w:r>
      <w:r>
        <w:rPr/>
        <w:t>(1885 suit filed for the construction of a temple on the Ramchabutra) in Suit 1 adverted to above. It was contended that Mahant Raghubar Das filed the above suits as a Mahant of the Nirmohi Akhara. On this basis, it was contended that the management and charge of the deity was taken care of by the Nirmohi Akhara. A closer analysis reveals the numerous contradictions in the stand of the Nirmohi Akhara with respect to Mahant Raghubar Das. In the Suit of 1885, Mahant </w:t>
      </w:r>
      <w:r>
        <w:rPr>
          <w:spacing w:val="-1"/>
          <w:w w:val="99"/>
        </w:rPr>
        <w:t>Rag</w:t>
      </w:r>
      <w:r>
        <w:rPr>
          <w:w w:val="99"/>
        </w:rPr>
        <w:t>h</w:t>
      </w:r>
      <w:r>
        <w:rPr>
          <w:spacing w:val="-1"/>
          <w:w w:val="99"/>
        </w:rPr>
        <w:t>u</w:t>
      </w:r>
      <w:r>
        <w:rPr>
          <w:w w:val="99"/>
        </w:rPr>
        <w:t>b</w:t>
      </w:r>
      <w:r>
        <w:rPr>
          <w:spacing w:val="-1"/>
          <w:w w:val="99"/>
        </w:rPr>
        <w:t>a</w:t>
      </w:r>
      <w:r>
        <w:rPr>
          <w:w w:val="99"/>
        </w:rPr>
        <w:t>r</w:t>
      </w:r>
      <w:r>
        <w:rPr>
          <w:spacing w:val="17"/>
        </w:rPr>
        <w:t> </w:t>
      </w:r>
      <w:r>
        <w:rPr>
          <w:spacing w:val="-1"/>
          <w:w w:val="99"/>
        </w:rPr>
        <w:t>Da</w:t>
      </w:r>
      <w:r>
        <w:rPr>
          <w:w w:val="99"/>
        </w:rPr>
        <w:t>s</w:t>
      </w:r>
      <w:r>
        <w:rPr>
          <w:spacing w:val="16"/>
        </w:rPr>
        <w:t> </w:t>
      </w:r>
      <w:r>
        <w:rPr>
          <w:w w:val="99"/>
        </w:rPr>
        <w:t>claim</w:t>
      </w:r>
      <w:r>
        <w:rPr>
          <w:spacing w:val="-1"/>
          <w:w w:val="99"/>
        </w:rPr>
        <w:t>e</w:t>
      </w:r>
      <w:r>
        <w:rPr>
          <w:w w:val="99"/>
        </w:rPr>
        <w:t>d</w:t>
      </w:r>
      <w:r>
        <w:rPr>
          <w:spacing w:val="17"/>
        </w:rPr>
        <w:t> </w:t>
      </w:r>
      <w:r>
        <w:rPr>
          <w:w w:val="99"/>
        </w:rPr>
        <w:t>to</w:t>
      </w:r>
      <w:r>
        <w:rPr>
          <w:spacing w:val="17"/>
        </w:rPr>
        <w:t> </w:t>
      </w:r>
      <w:r>
        <w:rPr>
          <w:spacing w:val="-1"/>
          <w:w w:val="99"/>
        </w:rPr>
        <w:t>b</w:t>
      </w:r>
      <w:r>
        <w:rPr>
          <w:w w:val="99"/>
        </w:rPr>
        <w:t>e</w:t>
      </w:r>
      <w:r>
        <w:rPr>
          <w:spacing w:val="17"/>
        </w:rPr>
        <w:t> </w:t>
      </w:r>
      <w:r>
        <w:rPr>
          <w:w w:val="99"/>
        </w:rPr>
        <w:t>the</w:t>
      </w:r>
      <w:r>
        <w:rPr>
          <w:spacing w:val="17"/>
        </w:rPr>
        <w:t> </w:t>
      </w:r>
      <w:r>
        <w:rPr>
          <w:w w:val="33"/>
        </w:rPr>
        <w:t>―</w:t>
      </w:r>
      <w:r>
        <w:rPr>
          <w:spacing w:val="-4"/>
          <w:w w:val="99"/>
        </w:rPr>
        <w:t>M</w:t>
      </w:r>
      <w:r>
        <w:rPr>
          <w:spacing w:val="-1"/>
          <w:w w:val="99"/>
        </w:rPr>
        <w:t>a</w:t>
      </w:r>
      <w:r>
        <w:rPr>
          <w:w w:val="99"/>
        </w:rPr>
        <w:t>h</w:t>
      </w:r>
      <w:r>
        <w:rPr>
          <w:spacing w:val="-1"/>
          <w:w w:val="99"/>
        </w:rPr>
        <w:t>a</w:t>
      </w:r>
      <w:r>
        <w:rPr>
          <w:w w:val="99"/>
        </w:rPr>
        <w:t>nt,</w:t>
      </w:r>
      <w:r>
        <w:rPr>
          <w:spacing w:val="19"/>
        </w:rPr>
        <w:t> </w:t>
      </w:r>
      <w:r>
        <w:rPr>
          <w:w w:val="99"/>
        </w:rPr>
        <w:t>Janm</w:t>
      </w:r>
      <w:r>
        <w:rPr>
          <w:spacing w:val="-1"/>
          <w:w w:val="99"/>
        </w:rPr>
        <w:t>ast</w:t>
      </w:r>
      <w:r>
        <w:rPr>
          <w:w w:val="99"/>
        </w:rPr>
        <w:t>h</w:t>
      </w:r>
      <w:r>
        <w:rPr>
          <w:spacing w:val="-1"/>
          <w:w w:val="99"/>
        </w:rPr>
        <w:t>a</w:t>
      </w:r>
      <w:r>
        <w:rPr>
          <w:w w:val="99"/>
        </w:rPr>
        <w:t>n,</w:t>
      </w:r>
      <w:r>
        <w:rPr>
          <w:spacing w:val="16"/>
        </w:rPr>
        <w:t> </w:t>
      </w:r>
      <w:r>
        <w:rPr>
          <w:spacing w:val="-1"/>
          <w:w w:val="99"/>
        </w:rPr>
        <w:t>A</w:t>
      </w:r>
      <w:r>
        <w:rPr>
          <w:spacing w:val="-3"/>
          <w:w w:val="99"/>
        </w:rPr>
        <w:t>y</w:t>
      </w:r>
      <w:r>
        <w:rPr>
          <w:spacing w:val="-1"/>
          <w:w w:val="99"/>
        </w:rPr>
        <w:t>o</w:t>
      </w:r>
      <w:r>
        <w:rPr>
          <w:w w:val="99"/>
        </w:rPr>
        <w:t>d</w:t>
      </w:r>
      <w:r>
        <w:rPr>
          <w:spacing w:val="2"/>
          <w:w w:val="99"/>
        </w:rPr>
        <w:t>h</w:t>
      </w:r>
      <w:r>
        <w:rPr>
          <w:w w:val="94"/>
        </w:rPr>
        <w:t>ya</w:t>
      </w:r>
      <w:r>
        <w:rPr>
          <w:spacing w:val="1"/>
          <w:w w:val="94"/>
        </w:rPr>
        <w:t>‖</w:t>
      </w:r>
      <w:r>
        <w:rPr>
          <w:w w:val="99"/>
        </w:rPr>
        <w:t>.</w:t>
      </w:r>
      <w:r>
        <w:rPr>
          <w:spacing w:val="16"/>
        </w:rPr>
        <w:t> </w:t>
      </w:r>
      <w:r>
        <w:rPr>
          <w:w w:val="99"/>
        </w:rPr>
        <w:t>In</w:t>
      </w:r>
      <w:r>
        <w:rPr>
          <w:spacing w:val="17"/>
        </w:rPr>
        <w:t> </w:t>
      </w:r>
      <w:r>
        <w:rPr>
          <w:w w:val="99"/>
        </w:rPr>
        <w:t>the</w:t>
      </w:r>
      <w:r>
        <w:rPr>
          <w:spacing w:val="17"/>
        </w:rPr>
        <w:t> </w:t>
      </w:r>
      <w:r>
        <w:rPr>
          <w:spacing w:val="-1"/>
          <w:w w:val="99"/>
        </w:rPr>
        <w:t>writ</w:t>
      </w:r>
      <w:r>
        <w:rPr>
          <w:w w:val="99"/>
        </w:rPr>
        <w:t>t</w:t>
      </w:r>
      <w:r>
        <w:rPr>
          <w:spacing w:val="-1"/>
          <w:w w:val="99"/>
        </w:rPr>
        <w:t>en </w:t>
      </w:r>
      <w:r>
        <w:rPr/>
        <w:t>submissions filed by Nirmohi Akhara it was stated that Mahant Raghubar Das filed the Suit of 1885 in a personal</w:t>
      </w:r>
      <w:r>
        <w:rPr>
          <w:spacing w:val="-3"/>
        </w:rPr>
        <w:t> </w:t>
      </w:r>
      <w:r>
        <w:rPr/>
        <w:t>capacity:</w:t>
      </w:r>
    </w:p>
    <w:p>
      <w:pPr>
        <w:spacing w:line="276" w:lineRule="auto" w:before="163"/>
        <w:ind w:left="1940" w:right="2261" w:firstLine="0"/>
        <w:jc w:val="both"/>
        <w:rPr>
          <w:sz w:val="21"/>
        </w:rPr>
      </w:pPr>
      <w:r>
        <w:rPr>
          <w:spacing w:val="-1"/>
          <w:w w:val="33"/>
          <w:sz w:val="21"/>
        </w:rPr>
        <w:t>―</w:t>
      </w:r>
      <w:r>
        <w:rPr>
          <w:w w:val="100"/>
          <w:sz w:val="21"/>
        </w:rPr>
        <w:t>…</w:t>
      </w:r>
      <w:r>
        <w:rPr>
          <w:spacing w:val="-2"/>
          <w:w w:val="100"/>
          <w:sz w:val="21"/>
        </w:rPr>
        <w:t>t</w:t>
      </w:r>
      <w:r>
        <w:rPr>
          <w:spacing w:val="-1"/>
          <w:w w:val="100"/>
          <w:sz w:val="21"/>
        </w:rPr>
        <w:t>h</w:t>
      </w:r>
      <w:r>
        <w:rPr>
          <w:w w:val="100"/>
          <w:sz w:val="21"/>
        </w:rPr>
        <w:t>e</w:t>
      </w:r>
      <w:r>
        <w:rPr>
          <w:spacing w:val="16"/>
          <w:sz w:val="21"/>
        </w:rPr>
        <w:t> </w:t>
      </w:r>
      <w:r>
        <w:rPr>
          <w:w w:val="100"/>
          <w:sz w:val="21"/>
        </w:rPr>
        <w:t>sa</w:t>
      </w:r>
      <w:r>
        <w:rPr>
          <w:spacing w:val="-2"/>
          <w:w w:val="100"/>
          <w:sz w:val="21"/>
        </w:rPr>
        <w:t>i</w:t>
      </w:r>
      <w:r>
        <w:rPr>
          <w:w w:val="100"/>
          <w:sz w:val="21"/>
        </w:rPr>
        <w:t>d</w:t>
      </w:r>
      <w:r>
        <w:rPr>
          <w:spacing w:val="15"/>
          <w:sz w:val="21"/>
        </w:rPr>
        <w:t> </w:t>
      </w:r>
      <w:r>
        <w:rPr>
          <w:w w:val="100"/>
          <w:sz w:val="21"/>
        </w:rPr>
        <w:t>s</w:t>
      </w:r>
      <w:r>
        <w:rPr>
          <w:spacing w:val="-3"/>
          <w:w w:val="100"/>
          <w:sz w:val="21"/>
        </w:rPr>
        <w:t>u</w:t>
      </w:r>
      <w:r>
        <w:rPr>
          <w:w w:val="100"/>
          <w:sz w:val="21"/>
        </w:rPr>
        <w:t>it</w:t>
      </w:r>
      <w:r>
        <w:rPr>
          <w:spacing w:val="14"/>
          <w:sz w:val="21"/>
        </w:rPr>
        <w:t> </w:t>
      </w:r>
      <w:r>
        <w:rPr>
          <w:spacing w:val="-2"/>
          <w:w w:val="100"/>
          <w:sz w:val="21"/>
        </w:rPr>
        <w:t>[</w:t>
      </w:r>
      <w:r>
        <w:rPr>
          <w:spacing w:val="-1"/>
          <w:w w:val="100"/>
          <w:sz w:val="21"/>
        </w:rPr>
        <w:t>188</w:t>
      </w:r>
      <w:r>
        <w:rPr>
          <w:w w:val="100"/>
          <w:sz w:val="21"/>
        </w:rPr>
        <w:t>5]</w:t>
      </w:r>
      <w:r>
        <w:rPr>
          <w:spacing w:val="14"/>
          <w:sz w:val="21"/>
        </w:rPr>
        <w:t> </w:t>
      </w:r>
      <w:r>
        <w:rPr>
          <w:spacing w:val="-2"/>
          <w:w w:val="100"/>
          <w:sz w:val="21"/>
        </w:rPr>
        <w:t>w</w:t>
      </w:r>
      <w:r>
        <w:rPr>
          <w:spacing w:val="-1"/>
          <w:w w:val="100"/>
          <w:sz w:val="21"/>
        </w:rPr>
        <w:t>a</w:t>
      </w:r>
      <w:r>
        <w:rPr>
          <w:w w:val="100"/>
          <w:sz w:val="21"/>
        </w:rPr>
        <w:t>s</w:t>
      </w:r>
      <w:r>
        <w:rPr>
          <w:spacing w:val="15"/>
          <w:sz w:val="21"/>
        </w:rPr>
        <w:t> </w:t>
      </w:r>
      <w:r>
        <w:rPr>
          <w:spacing w:val="1"/>
          <w:w w:val="100"/>
          <w:sz w:val="21"/>
        </w:rPr>
        <w:t>f</w:t>
      </w:r>
      <w:r>
        <w:rPr>
          <w:spacing w:val="-2"/>
          <w:w w:val="100"/>
          <w:sz w:val="21"/>
        </w:rPr>
        <w:t>i</w:t>
      </w:r>
      <w:r>
        <w:rPr>
          <w:w w:val="100"/>
          <w:sz w:val="21"/>
        </w:rPr>
        <w:t>l</w:t>
      </w:r>
      <w:r>
        <w:rPr>
          <w:spacing w:val="-1"/>
          <w:w w:val="100"/>
          <w:sz w:val="21"/>
        </w:rPr>
        <w:t>e</w:t>
      </w:r>
      <w:r>
        <w:rPr>
          <w:w w:val="100"/>
          <w:sz w:val="21"/>
        </w:rPr>
        <w:t>d</w:t>
      </w:r>
      <w:r>
        <w:rPr>
          <w:spacing w:val="16"/>
          <w:sz w:val="21"/>
        </w:rPr>
        <w:t> </w:t>
      </w:r>
      <w:r>
        <w:rPr>
          <w:spacing w:val="-1"/>
          <w:w w:val="100"/>
          <w:sz w:val="21"/>
        </w:rPr>
        <w:t>b</w:t>
      </w:r>
      <w:r>
        <w:rPr>
          <w:w w:val="100"/>
          <w:sz w:val="21"/>
        </w:rPr>
        <w:t>y</w:t>
      </w:r>
      <w:r>
        <w:rPr>
          <w:spacing w:val="14"/>
          <w:sz w:val="21"/>
        </w:rPr>
        <w:t> </w:t>
      </w:r>
      <w:r>
        <w:rPr>
          <w:b/>
          <w:spacing w:val="1"/>
          <w:w w:val="100"/>
          <w:sz w:val="21"/>
        </w:rPr>
        <w:t>M</w:t>
      </w:r>
      <w:r>
        <w:rPr>
          <w:b/>
          <w:w w:val="100"/>
          <w:sz w:val="21"/>
        </w:rPr>
        <w:t>ah</w:t>
      </w:r>
      <w:r>
        <w:rPr>
          <w:b/>
          <w:spacing w:val="-3"/>
          <w:w w:val="100"/>
          <w:sz w:val="21"/>
        </w:rPr>
        <w:t>a</w:t>
      </w:r>
      <w:r>
        <w:rPr>
          <w:b/>
          <w:w w:val="100"/>
          <w:sz w:val="21"/>
        </w:rPr>
        <w:t>nt</w:t>
      </w:r>
      <w:r>
        <w:rPr>
          <w:b/>
          <w:spacing w:val="15"/>
          <w:sz w:val="21"/>
        </w:rPr>
        <w:t> </w:t>
      </w:r>
      <w:r>
        <w:rPr>
          <w:b/>
          <w:spacing w:val="-2"/>
          <w:w w:val="100"/>
          <w:sz w:val="21"/>
        </w:rPr>
        <w:t>R</w:t>
      </w:r>
      <w:r>
        <w:rPr>
          <w:b/>
          <w:w w:val="100"/>
          <w:sz w:val="21"/>
        </w:rPr>
        <w:t>a</w:t>
      </w:r>
      <w:r>
        <w:rPr>
          <w:b/>
          <w:spacing w:val="-2"/>
          <w:w w:val="100"/>
          <w:sz w:val="21"/>
        </w:rPr>
        <w:t>g</w:t>
      </w:r>
      <w:r>
        <w:rPr>
          <w:b/>
          <w:w w:val="100"/>
          <w:sz w:val="21"/>
        </w:rPr>
        <w:t>h</w:t>
      </w:r>
      <w:r>
        <w:rPr>
          <w:b/>
          <w:spacing w:val="-2"/>
          <w:w w:val="100"/>
          <w:sz w:val="21"/>
        </w:rPr>
        <w:t>b</w:t>
      </w:r>
      <w:r>
        <w:rPr>
          <w:b/>
          <w:w w:val="100"/>
          <w:sz w:val="21"/>
        </w:rPr>
        <w:t>ar</w:t>
      </w:r>
      <w:r>
        <w:rPr>
          <w:b/>
          <w:spacing w:val="15"/>
          <w:sz w:val="21"/>
        </w:rPr>
        <w:t> </w:t>
      </w:r>
      <w:r>
        <w:rPr>
          <w:b/>
          <w:w w:val="100"/>
          <w:sz w:val="21"/>
        </w:rPr>
        <w:t>Das</w:t>
      </w:r>
      <w:r>
        <w:rPr>
          <w:b/>
          <w:spacing w:val="16"/>
          <w:sz w:val="21"/>
        </w:rPr>
        <w:t> </w:t>
      </w:r>
      <w:r>
        <w:rPr>
          <w:b/>
          <w:spacing w:val="-4"/>
          <w:w w:val="100"/>
          <w:sz w:val="21"/>
        </w:rPr>
        <w:t>i</w:t>
      </w:r>
      <w:r>
        <w:rPr>
          <w:b/>
          <w:w w:val="100"/>
          <w:sz w:val="21"/>
        </w:rPr>
        <w:t>n </w:t>
      </w:r>
      <w:r>
        <w:rPr>
          <w:b/>
          <w:sz w:val="21"/>
        </w:rPr>
        <w:t>his personal capacity without even mentioning the name of Nirmohi Akhara </w:t>
      </w:r>
      <w:r>
        <w:rPr>
          <w:sz w:val="21"/>
        </w:rPr>
        <w:t>and in any case the subject property in the said suit – (Chabutra in Outer Courtyard) was different from the suit-property (Inner Courtyard) which is the subject matter of OOS No.</w:t>
      </w:r>
      <w:r>
        <w:rPr>
          <w:spacing w:val="-7"/>
          <w:sz w:val="21"/>
        </w:rPr>
        <w:t> </w:t>
      </w:r>
      <w:r>
        <w:rPr>
          <w:sz w:val="21"/>
        </w:rPr>
        <w:t>3‖.</w:t>
      </w:r>
    </w:p>
    <w:p>
      <w:pPr>
        <w:spacing w:line="241" w:lineRule="exact" w:before="0"/>
        <w:ind w:left="5798" w:right="0" w:firstLine="0"/>
        <w:jc w:val="left"/>
        <w:rPr>
          <w:sz w:val="21"/>
        </w:rPr>
      </w:pPr>
      <w:r>
        <w:rPr>
          <w:sz w:val="21"/>
        </w:rPr>
        <w:t>(Emphasis supplied)</w:t>
      </w:r>
    </w:p>
    <w:p>
      <w:pPr>
        <w:pStyle w:val="BodyText"/>
        <w:rPr>
          <w:sz w:val="24"/>
        </w:rPr>
      </w:pPr>
    </w:p>
    <w:p>
      <w:pPr>
        <w:pStyle w:val="BodyText"/>
        <w:spacing w:before="1"/>
        <w:rPr>
          <w:sz w:val="24"/>
        </w:rPr>
      </w:pPr>
    </w:p>
    <w:p>
      <w:pPr>
        <w:pStyle w:val="BodyText"/>
        <w:spacing w:line="480" w:lineRule="auto" w:before="1"/>
        <w:ind w:left="500" w:right="512"/>
      </w:pPr>
      <w:r>
        <w:rPr/>
        <w:t>However, in the same written submissions, while speaking of the report of the Waqf Inspector dated 23 December 1949, it was said:</w:t>
      </w:r>
    </w:p>
    <w:p>
      <w:pPr>
        <w:spacing w:line="276" w:lineRule="auto" w:before="1"/>
        <w:ind w:left="1940" w:right="2261" w:firstLine="67"/>
        <w:jc w:val="both"/>
        <w:rPr>
          <w:sz w:val="21"/>
        </w:rPr>
      </w:pPr>
      <w:r>
        <w:rPr>
          <w:w w:val="33"/>
          <w:sz w:val="21"/>
        </w:rPr>
        <w:t>―</w:t>
      </w:r>
      <w:r>
        <w:rPr>
          <w:w w:val="100"/>
          <w:sz w:val="21"/>
        </w:rPr>
        <w:t>He</w:t>
      </w:r>
      <w:r>
        <w:rPr>
          <w:sz w:val="21"/>
        </w:rPr>
        <w:t> </w:t>
      </w:r>
      <w:r>
        <w:rPr>
          <w:w w:val="100"/>
          <w:sz w:val="21"/>
        </w:rPr>
        <w:t>mentions</w:t>
      </w:r>
      <w:r>
        <w:rPr>
          <w:sz w:val="21"/>
        </w:rPr>
        <w:t> </w:t>
      </w:r>
      <w:r>
        <w:rPr>
          <w:w w:val="100"/>
          <w:sz w:val="21"/>
        </w:rPr>
        <w:t>the</w:t>
      </w:r>
      <w:r>
        <w:rPr>
          <w:sz w:val="21"/>
        </w:rPr>
        <w:t> </w:t>
      </w:r>
      <w:r>
        <w:rPr>
          <w:w w:val="100"/>
          <w:sz w:val="21"/>
        </w:rPr>
        <w:t>name</w:t>
      </w:r>
      <w:r>
        <w:rPr>
          <w:sz w:val="21"/>
        </w:rPr>
        <w:t> </w:t>
      </w:r>
      <w:r>
        <w:rPr>
          <w:w w:val="100"/>
          <w:sz w:val="21"/>
        </w:rPr>
        <w:t>of</w:t>
      </w:r>
      <w:r>
        <w:rPr>
          <w:sz w:val="21"/>
        </w:rPr>
        <w:t> </w:t>
      </w:r>
      <w:r>
        <w:rPr>
          <w:w w:val="100"/>
          <w:sz w:val="21"/>
        </w:rPr>
        <w:t>Mahant</w:t>
      </w:r>
      <w:r>
        <w:rPr>
          <w:sz w:val="21"/>
        </w:rPr>
        <w:t> </w:t>
      </w:r>
      <w:r>
        <w:rPr>
          <w:w w:val="100"/>
          <w:sz w:val="21"/>
        </w:rPr>
        <w:t>Raghubar</w:t>
      </w:r>
      <w:r>
        <w:rPr>
          <w:sz w:val="21"/>
        </w:rPr>
        <w:t> </w:t>
      </w:r>
      <w:r>
        <w:rPr>
          <w:w w:val="100"/>
          <w:sz w:val="21"/>
        </w:rPr>
        <w:t>Das</w:t>
      </w:r>
      <w:r>
        <w:rPr>
          <w:sz w:val="21"/>
        </w:rPr>
        <w:t> </w:t>
      </w:r>
      <w:r>
        <w:rPr>
          <w:w w:val="100"/>
          <w:sz w:val="21"/>
        </w:rPr>
        <w:t>along</w:t>
      </w:r>
      <w:r>
        <w:rPr>
          <w:sz w:val="21"/>
        </w:rPr>
        <w:t> </w:t>
      </w:r>
      <w:r>
        <w:rPr>
          <w:w w:val="100"/>
          <w:sz w:val="21"/>
        </w:rPr>
        <w:t>with </w:t>
      </w:r>
      <w:r>
        <w:rPr>
          <w:sz w:val="21"/>
        </w:rPr>
        <w:t>others who invited the Muslims for talks. </w:t>
      </w:r>
      <w:r>
        <w:rPr>
          <w:b/>
          <w:sz w:val="21"/>
        </w:rPr>
        <w:t>Mahant Raghubar Das is the Mahant of Nirmohi Akhara</w:t>
      </w:r>
      <w:r>
        <w:rPr>
          <w:sz w:val="21"/>
        </w:rPr>
        <w:t>.‖</w:t>
      </w:r>
    </w:p>
    <w:p>
      <w:pPr>
        <w:spacing w:before="0"/>
        <w:ind w:left="5795" w:right="0" w:firstLine="0"/>
        <w:jc w:val="left"/>
        <w:rPr>
          <w:sz w:val="21"/>
        </w:rPr>
      </w:pPr>
      <w:r>
        <w:rPr>
          <w:sz w:val="21"/>
        </w:rPr>
        <w:t>(Emphasis supplied)</w:t>
      </w:r>
    </w:p>
    <w:p>
      <w:pPr>
        <w:pStyle w:val="BodyText"/>
        <w:rPr>
          <w:sz w:val="24"/>
        </w:rPr>
      </w:pPr>
    </w:p>
    <w:p>
      <w:pPr>
        <w:pStyle w:val="BodyText"/>
        <w:spacing w:before="2"/>
        <w:rPr>
          <w:sz w:val="24"/>
        </w:rPr>
      </w:pPr>
    </w:p>
    <w:p>
      <w:pPr>
        <w:pStyle w:val="BodyText"/>
        <w:spacing w:line="480" w:lineRule="auto"/>
        <w:ind w:left="500" w:right="512"/>
      </w:pPr>
      <w:r>
        <w:rPr/>
        <w:t>In the replication, Nirmohi Akhara disavowed any awareness about the suit by Mahant Raghubar Das:</w:t>
      </w:r>
    </w:p>
    <w:p>
      <w:pPr>
        <w:spacing w:line="276" w:lineRule="auto" w:before="0"/>
        <w:ind w:left="1940" w:right="2266" w:firstLine="0"/>
        <w:jc w:val="both"/>
        <w:rPr>
          <w:sz w:val="21"/>
        </w:rPr>
      </w:pPr>
      <w:r>
        <w:rPr>
          <w:w w:val="33"/>
          <w:sz w:val="21"/>
        </w:rPr>
        <w:t>―</w:t>
      </w:r>
      <w:r>
        <w:rPr>
          <w:w w:val="100"/>
          <w:sz w:val="21"/>
        </w:rPr>
        <w:t>…The</w:t>
      </w:r>
      <w:r>
        <w:rPr>
          <w:sz w:val="21"/>
        </w:rPr>
        <w:t> </w:t>
      </w:r>
      <w:r>
        <w:rPr>
          <w:w w:val="100"/>
          <w:sz w:val="21"/>
        </w:rPr>
        <w:t>plaintiffs</w:t>
      </w:r>
      <w:r>
        <w:rPr>
          <w:sz w:val="21"/>
        </w:rPr>
        <w:t> </w:t>
      </w:r>
      <w:r>
        <w:rPr>
          <w:w w:val="100"/>
          <w:sz w:val="21"/>
        </w:rPr>
        <w:t>are</w:t>
      </w:r>
      <w:r>
        <w:rPr>
          <w:sz w:val="21"/>
        </w:rPr>
        <w:t> </w:t>
      </w:r>
      <w:r>
        <w:rPr>
          <w:w w:val="100"/>
          <w:sz w:val="21"/>
        </w:rPr>
        <w:t>not</w:t>
      </w:r>
      <w:r>
        <w:rPr>
          <w:sz w:val="21"/>
        </w:rPr>
        <w:t> </w:t>
      </w:r>
      <w:r>
        <w:rPr>
          <w:w w:val="100"/>
          <w:sz w:val="21"/>
        </w:rPr>
        <w:t>aware</w:t>
      </w:r>
      <w:r>
        <w:rPr>
          <w:sz w:val="21"/>
        </w:rPr>
        <w:t> </w:t>
      </w:r>
      <w:r>
        <w:rPr>
          <w:w w:val="100"/>
          <w:sz w:val="21"/>
        </w:rPr>
        <w:t>of</w:t>
      </w:r>
      <w:r>
        <w:rPr>
          <w:sz w:val="21"/>
        </w:rPr>
        <w:t> </w:t>
      </w:r>
      <w:r>
        <w:rPr>
          <w:w w:val="100"/>
          <w:sz w:val="21"/>
        </w:rPr>
        <w:t>the</w:t>
      </w:r>
      <w:r>
        <w:rPr>
          <w:sz w:val="21"/>
        </w:rPr>
        <w:t> </w:t>
      </w:r>
      <w:r>
        <w:rPr>
          <w:w w:val="100"/>
          <w:sz w:val="21"/>
        </w:rPr>
        <w:t>said</w:t>
      </w:r>
      <w:r>
        <w:rPr>
          <w:sz w:val="21"/>
        </w:rPr>
        <w:t> </w:t>
      </w:r>
      <w:r>
        <w:rPr>
          <w:w w:val="100"/>
          <w:sz w:val="21"/>
        </w:rPr>
        <w:t>suit,</w:t>
      </w:r>
      <w:r>
        <w:rPr>
          <w:sz w:val="21"/>
        </w:rPr>
        <w:t> </w:t>
      </w:r>
      <w:r>
        <w:rPr>
          <w:w w:val="100"/>
          <w:sz w:val="21"/>
        </w:rPr>
        <w:t>if</w:t>
      </w:r>
      <w:r>
        <w:rPr>
          <w:sz w:val="21"/>
        </w:rPr>
        <w:t> </w:t>
      </w:r>
      <w:r>
        <w:rPr>
          <w:w w:val="100"/>
          <w:sz w:val="21"/>
        </w:rPr>
        <w:t>any,</w:t>
      </w:r>
      <w:r>
        <w:rPr>
          <w:sz w:val="21"/>
        </w:rPr>
        <w:t> </w:t>
      </w:r>
      <w:r>
        <w:rPr>
          <w:w w:val="100"/>
          <w:sz w:val="21"/>
        </w:rPr>
        <w:t>filed</w:t>
      </w:r>
      <w:r>
        <w:rPr>
          <w:sz w:val="21"/>
        </w:rPr>
        <w:t> </w:t>
      </w:r>
      <w:r>
        <w:rPr>
          <w:w w:val="100"/>
          <w:sz w:val="21"/>
        </w:rPr>
        <w:t>by </w:t>
      </w:r>
      <w:r>
        <w:rPr>
          <w:sz w:val="21"/>
        </w:rPr>
        <w:t>any person known as Mahant Raghubar Das as Mahant of Janma Asthan.‖</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44"/>
        <w:jc w:val="both"/>
      </w:pPr>
      <w:r>
        <w:rPr/>
        <w:t>In the Written Statement filed on the behalf of Nirmohi Akhara in Suit 4, it was stated:</w:t>
      </w:r>
    </w:p>
    <w:p>
      <w:pPr>
        <w:spacing w:line="276" w:lineRule="auto" w:before="0"/>
        <w:ind w:left="1940" w:right="2263" w:firstLine="0"/>
        <w:jc w:val="both"/>
        <w:rPr>
          <w:sz w:val="21"/>
        </w:rPr>
      </w:pPr>
      <w:r>
        <w:rPr>
          <w:w w:val="33"/>
          <w:sz w:val="21"/>
        </w:rPr>
        <w:t>―</w:t>
      </w:r>
      <w:r>
        <w:rPr>
          <w:w w:val="100"/>
          <w:sz w:val="21"/>
        </w:rPr>
        <w:t>…The</w:t>
      </w:r>
      <w:r>
        <w:rPr>
          <w:sz w:val="21"/>
        </w:rPr>
        <w:t>  </w:t>
      </w:r>
      <w:r>
        <w:rPr>
          <w:w w:val="100"/>
          <w:sz w:val="21"/>
        </w:rPr>
        <w:t>answering</w:t>
      </w:r>
      <w:r>
        <w:rPr>
          <w:sz w:val="21"/>
        </w:rPr>
        <w:t>  </w:t>
      </w:r>
      <w:r>
        <w:rPr>
          <w:w w:val="100"/>
          <w:sz w:val="21"/>
        </w:rPr>
        <w:t>defendants</w:t>
      </w:r>
      <w:r>
        <w:rPr>
          <w:sz w:val="21"/>
        </w:rPr>
        <w:t>  </w:t>
      </w:r>
      <w:r>
        <w:rPr>
          <w:w w:val="100"/>
          <w:sz w:val="21"/>
        </w:rPr>
        <w:t>are</w:t>
      </w:r>
      <w:r>
        <w:rPr>
          <w:sz w:val="21"/>
        </w:rPr>
        <w:t>  </w:t>
      </w:r>
      <w:r>
        <w:rPr>
          <w:w w:val="100"/>
          <w:sz w:val="21"/>
        </w:rPr>
        <w:t>not</w:t>
      </w:r>
      <w:r>
        <w:rPr>
          <w:sz w:val="21"/>
        </w:rPr>
        <w:t>  </w:t>
      </w:r>
      <w:r>
        <w:rPr>
          <w:w w:val="100"/>
          <w:sz w:val="21"/>
        </w:rPr>
        <w:t>aware</w:t>
      </w:r>
      <w:r>
        <w:rPr>
          <w:sz w:val="21"/>
        </w:rPr>
        <w:t>  </w:t>
      </w:r>
      <w:r>
        <w:rPr>
          <w:w w:val="100"/>
          <w:sz w:val="21"/>
        </w:rPr>
        <w:t>of</w:t>
      </w:r>
      <w:r>
        <w:rPr>
          <w:sz w:val="21"/>
        </w:rPr>
        <w:t>  </w:t>
      </w:r>
      <w:r>
        <w:rPr>
          <w:w w:val="100"/>
          <w:sz w:val="21"/>
        </w:rPr>
        <w:t>any</w:t>
      </w:r>
      <w:r>
        <w:rPr>
          <w:sz w:val="21"/>
        </w:rPr>
        <w:t>  </w:t>
      </w:r>
      <w:r>
        <w:rPr>
          <w:w w:val="100"/>
          <w:sz w:val="21"/>
        </w:rPr>
        <w:t>suit </w:t>
      </w:r>
      <w:r>
        <w:rPr>
          <w:sz w:val="21"/>
        </w:rPr>
        <w:t>having been filed by any person known as Mahant Raghubar Dass styling himself to be the Mahant of Janam Asthan…‖</w:t>
      </w:r>
    </w:p>
    <w:p>
      <w:pPr>
        <w:pStyle w:val="BodyText"/>
        <w:rPr>
          <w:sz w:val="24"/>
        </w:rPr>
      </w:pPr>
    </w:p>
    <w:p>
      <w:pPr>
        <w:pStyle w:val="BodyText"/>
        <w:rPr>
          <w:sz w:val="24"/>
        </w:rPr>
      </w:pPr>
    </w:p>
    <w:p>
      <w:pPr>
        <w:pStyle w:val="BodyText"/>
        <w:spacing w:line="480" w:lineRule="auto" w:before="201"/>
        <w:ind w:left="500" w:right="440"/>
        <w:jc w:val="both"/>
      </w:pPr>
      <w:r>
        <w:rPr/>
        <w:t>In the suit of 1885, Mahant Raghubar Das claimed to be the Mahant, Janmasthan, Ayodhya. In the oral hearings before this Court as well as the hearings before the High Court, Nirmohi Akhara claimed that Mahant Raghubar Das was a Mahant of Nirmohi Akhara. Justice Sudhir Agarwal makes the following</w:t>
      </w:r>
      <w:r>
        <w:rPr>
          <w:spacing w:val="-1"/>
        </w:rPr>
        <w:t> </w:t>
      </w:r>
      <w:r>
        <w:rPr/>
        <w:t>observation:</w:t>
      </w:r>
    </w:p>
    <w:p>
      <w:pPr>
        <w:pStyle w:val="BodyText"/>
        <w:rPr>
          <w:sz w:val="28"/>
        </w:rPr>
      </w:pPr>
    </w:p>
    <w:p>
      <w:pPr>
        <w:spacing w:line="276" w:lineRule="auto" w:before="251"/>
        <w:ind w:left="1940" w:right="2265" w:firstLine="0"/>
        <w:jc w:val="both"/>
        <w:rPr>
          <w:sz w:val="21"/>
        </w:rPr>
      </w:pPr>
      <w:r>
        <w:rPr>
          <w:w w:val="33"/>
          <w:sz w:val="21"/>
        </w:rPr>
        <w:t>―</w:t>
      </w:r>
      <w:r>
        <w:rPr>
          <w:w w:val="100"/>
          <w:sz w:val="21"/>
        </w:rPr>
        <w:t>964.</w:t>
      </w:r>
      <w:r>
        <w:rPr>
          <w:sz w:val="21"/>
        </w:rPr>
        <w:t> </w:t>
      </w:r>
      <w:r>
        <w:rPr>
          <w:w w:val="100"/>
          <w:sz w:val="21"/>
        </w:rPr>
        <w:t>What</w:t>
      </w:r>
      <w:r>
        <w:rPr>
          <w:sz w:val="21"/>
        </w:rPr>
        <w:t> </w:t>
      </w:r>
      <w:r>
        <w:rPr>
          <w:w w:val="100"/>
          <w:sz w:val="21"/>
        </w:rPr>
        <w:t>we</w:t>
      </w:r>
      <w:r>
        <w:rPr>
          <w:sz w:val="21"/>
        </w:rPr>
        <w:t> </w:t>
      </w:r>
      <w:r>
        <w:rPr>
          <w:w w:val="100"/>
          <w:sz w:val="21"/>
        </w:rPr>
        <w:t>have</w:t>
      </w:r>
      <w:r>
        <w:rPr>
          <w:sz w:val="21"/>
        </w:rPr>
        <w:t> </w:t>
      </w:r>
      <w:r>
        <w:rPr>
          <w:w w:val="100"/>
          <w:sz w:val="21"/>
        </w:rPr>
        <w:t>already</w:t>
      </w:r>
      <w:r>
        <w:rPr>
          <w:sz w:val="21"/>
        </w:rPr>
        <w:t> </w:t>
      </w:r>
      <w:r>
        <w:rPr>
          <w:w w:val="100"/>
          <w:sz w:val="21"/>
        </w:rPr>
        <w:t>noticed,</w:t>
      </w:r>
      <w:r>
        <w:rPr>
          <w:sz w:val="21"/>
        </w:rPr>
        <w:t> </w:t>
      </w:r>
      <w:r>
        <w:rPr>
          <w:w w:val="100"/>
          <w:sz w:val="21"/>
        </w:rPr>
        <w:t>it</w:t>
      </w:r>
      <w:r>
        <w:rPr>
          <w:sz w:val="21"/>
        </w:rPr>
        <w:t> </w:t>
      </w:r>
      <w:r>
        <w:rPr>
          <w:w w:val="100"/>
          <w:sz w:val="21"/>
        </w:rPr>
        <w:t>has</w:t>
      </w:r>
      <w:r>
        <w:rPr>
          <w:sz w:val="21"/>
        </w:rPr>
        <w:t> </w:t>
      </w:r>
      <w:r>
        <w:rPr>
          <w:w w:val="100"/>
          <w:sz w:val="21"/>
        </w:rPr>
        <w:t>not</w:t>
      </w:r>
      <w:r>
        <w:rPr>
          <w:sz w:val="21"/>
        </w:rPr>
        <w:t> </w:t>
      </w:r>
      <w:r>
        <w:rPr>
          <w:w w:val="100"/>
          <w:sz w:val="21"/>
        </w:rPr>
        <w:t>been</w:t>
      </w:r>
      <w:r>
        <w:rPr>
          <w:sz w:val="21"/>
        </w:rPr>
        <w:t> </w:t>
      </w:r>
      <w:r>
        <w:rPr>
          <w:w w:val="100"/>
          <w:sz w:val="21"/>
        </w:rPr>
        <w:t>disputed </w:t>
      </w:r>
      <w:r>
        <w:rPr>
          <w:sz w:val="21"/>
        </w:rPr>
        <w:t>by Nirmohi Akhara that in 1885 Raghubar Das was Mahant of Nirmohi Akhara…‖</w:t>
      </w:r>
    </w:p>
    <w:p>
      <w:pPr>
        <w:pStyle w:val="BodyText"/>
        <w:rPr>
          <w:sz w:val="24"/>
        </w:rPr>
      </w:pPr>
    </w:p>
    <w:p>
      <w:pPr>
        <w:pStyle w:val="BodyText"/>
        <w:rPr>
          <w:sz w:val="24"/>
        </w:rPr>
      </w:pPr>
    </w:p>
    <w:p>
      <w:pPr>
        <w:pStyle w:val="BodyText"/>
        <w:spacing w:line="480" w:lineRule="auto" w:before="201"/>
        <w:ind w:left="500" w:right="438"/>
        <w:jc w:val="both"/>
      </w:pPr>
      <w:r>
        <w:rPr/>
        <w:t>It is clear from the above extracts that Nirmohi Akhara sought to espouse Mahant Raghubar Das as a Mahant of the Nirmohi Akhara to establish that they have acted as shebaits since the 1800s. Yet they distance themselves from the Mahant when dealing with the question of </w:t>
      </w:r>
      <w:r>
        <w:rPr>
          <w:i/>
        </w:rPr>
        <w:t>res judicata</w:t>
      </w:r>
      <w:r>
        <w:rPr/>
        <w:t>. Nirmohi Akhara even stated that it was unaware of the Suit of 1885. The inconsistent stance of the Nirmohi Akhara with respect to Mahant Raghubar Das leads to an adverse inference against</w:t>
      </w:r>
      <w:r>
        <w:rPr>
          <w:spacing w:val="-3"/>
        </w:rPr>
        <w:t> </w:t>
      </w:r>
      <w:r>
        <w:rPr/>
        <w:t>them.</w:t>
      </w:r>
    </w:p>
    <w:p>
      <w:pPr>
        <w:pStyle w:val="BodyText"/>
        <w:spacing w:before="1"/>
      </w:pPr>
    </w:p>
    <w:p>
      <w:pPr>
        <w:pStyle w:val="ListParagraph"/>
        <w:numPr>
          <w:ilvl w:val="0"/>
          <w:numId w:val="111"/>
        </w:numPr>
        <w:tabs>
          <w:tab w:pos="1221" w:val="left" w:leader="none"/>
        </w:tabs>
        <w:spacing w:line="480" w:lineRule="auto" w:before="0" w:after="0"/>
        <w:ind w:left="500" w:right="442" w:firstLine="0"/>
        <w:jc w:val="both"/>
        <w:rPr>
          <w:sz w:val="25"/>
        </w:rPr>
      </w:pPr>
      <w:r>
        <w:rPr>
          <w:sz w:val="25"/>
        </w:rPr>
        <w:t>The documentary evidence which has been produced by Nirmohi Akhara does not show that it was managing the property in question. Apart from the documentary</w:t>
      </w:r>
      <w:r>
        <w:rPr>
          <w:spacing w:val="12"/>
          <w:sz w:val="25"/>
        </w:rPr>
        <w:t> </w:t>
      </w:r>
      <w:r>
        <w:rPr>
          <w:sz w:val="25"/>
        </w:rPr>
        <w:t>evidence</w:t>
      </w:r>
      <w:r>
        <w:rPr>
          <w:spacing w:val="16"/>
          <w:sz w:val="25"/>
        </w:rPr>
        <w:t> </w:t>
      </w:r>
      <w:r>
        <w:rPr>
          <w:sz w:val="25"/>
        </w:rPr>
        <w:t>analysed</w:t>
      </w:r>
      <w:r>
        <w:rPr>
          <w:spacing w:val="16"/>
          <w:sz w:val="25"/>
        </w:rPr>
        <w:t> </w:t>
      </w:r>
      <w:r>
        <w:rPr>
          <w:sz w:val="25"/>
        </w:rPr>
        <w:t>above</w:t>
      </w:r>
      <w:r>
        <w:rPr>
          <w:spacing w:val="17"/>
          <w:sz w:val="25"/>
        </w:rPr>
        <w:t> </w:t>
      </w:r>
      <w:r>
        <w:rPr>
          <w:sz w:val="25"/>
        </w:rPr>
        <w:t>which</w:t>
      </w:r>
      <w:r>
        <w:rPr>
          <w:spacing w:val="16"/>
          <w:sz w:val="25"/>
        </w:rPr>
        <w:t> </w:t>
      </w:r>
      <w:r>
        <w:rPr>
          <w:sz w:val="25"/>
        </w:rPr>
        <w:t>does</w:t>
      </w:r>
      <w:r>
        <w:rPr>
          <w:spacing w:val="16"/>
          <w:sz w:val="25"/>
        </w:rPr>
        <w:t> </w:t>
      </w:r>
      <w:r>
        <w:rPr>
          <w:sz w:val="25"/>
        </w:rPr>
        <w:t>not</w:t>
      </w:r>
      <w:r>
        <w:rPr>
          <w:spacing w:val="15"/>
          <w:sz w:val="25"/>
        </w:rPr>
        <w:t> </w:t>
      </w:r>
      <w:r>
        <w:rPr>
          <w:sz w:val="25"/>
        </w:rPr>
        <w:t>further</w:t>
      </w:r>
      <w:r>
        <w:rPr>
          <w:spacing w:val="16"/>
          <w:sz w:val="25"/>
        </w:rPr>
        <w:t> </w:t>
      </w:r>
      <w:r>
        <w:rPr>
          <w:sz w:val="25"/>
        </w:rPr>
        <w:t>the</w:t>
      </w:r>
      <w:r>
        <w:rPr>
          <w:spacing w:val="16"/>
          <w:sz w:val="25"/>
        </w:rPr>
        <w:t> </w:t>
      </w:r>
      <w:r>
        <w:rPr>
          <w:sz w:val="25"/>
        </w:rPr>
        <w:t>case</w:t>
      </w:r>
      <w:r>
        <w:rPr>
          <w:spacing w:val="15"/>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Nirmohi Akhara, no evidence has been produced to show the exercise of management rights by Nirmohi Akhara. Stray acts do not constitute sufficient evidence to establish continuous, exclusive and uninterrupted exercise by Nirmohi Akhara of the rights and duties of a </w:t>
      </w:r>
      <w:r>
        <w:rPr>
          <w:i/>
        </w:rPr>
        <w:t>de facto </w:t>
      </w:r>
      <w:r>
        <w:rPr/>
        <w:t>shebait. No document that evidences repairs, construction, appointment of pujaris, or other activities has been produced before this Court. Significantly, apart from a stray reference in the account of the travellers, no document of Nirmohi Akhara has been put on record to show the exercise of management rights. The customs of Nirmohi Akhara were reduced to writing by a registered deed only on 19 March</w:t>
      </w:r>
      <w:r>
        <w:rPr>
          <w:spacing w:val="-9"/>
        </w:rPr>
        <w:t> </w:t>
      </w:r>
      <w:r>
        <w:rPr/>
        <w:t>1949.</w:t>
      </w:r>
    </w:p>
    <w:p>
      <w:pPr>
        <w:pStyle w:val="BodyText"/>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When a question was put to Mr S K Jain to produce the original documents that establish the claim of the Nirmohi Akhara as shebaits, it was contended that an alleged dacoity had led to loss of the documents necessary to substantiate the claim. To substantiate this claim, it was contended that an FIR was filed on 18 February 1982 against Dharam Das. However, in the written submission submitted by the Nirmohis, it is stated that though Dharam Das remained in jail for two months, the case was subsequently quashed on the basis of a compromise. No documents have been adduced to substantiate this claim other than a reliance on the statement of a single witness – Raja Ramachandracharya (DW 3/20). This argument is an attempt to gloss over the glaring absence of any substantial proof of the exercise of management rights by the Nirmohis to confer on them the status of a shebait. The position of a shebait in law is of crucial significance. The shebait is the human ministrant and custodian of the idol and acts as its authorised representative. The shebait is vested with the right to bring an</w:t>
      </w:r>
      <w:r>
        <w:rPr>
          <w:spacing w:val="42"/>
          <w:sz w:val="25"/>
        </w:rPr>
        <w:t> </w:t>
      </w:r>
      <w:r>
        <w:rPr>
          <w:sz w:val="25"/>
        </w:rPr>
        <w:t>action</w:t>
      </w:r>
      <w:r>
        <w:rPr>
          <w:spacing w:val="42"/>
          <w:sz w:val="25"/>
        </w:rPr>
        <w:t> </w:t>
      </w:r>
      <w:r>
        <w:rPr>
          <w:sz w:val="25"/>
        </w:rPr>
        <w:t>on</w:t>
      </w:r>
      <w:r>
        <w:rPr>
          <w:spacing w:val="41"/>
          <w:sz w:val="25"/>
        </w:rPr>
        <w:t> </w:t>
      </w:r>
      <w:r>
        <w:rPr>
          <w:sz w:val="25"/>
        </w:rPr>
        <w:t>behalf</w:t>
      </w:r>
      <w:r>
        <w:rPr>
          <w:spacing w:val="39"/>
          <w:sz w:val="25"/>
        </w:rPr>
        <w:t> </w:t>
      </w:r>
      <w:r>
        <w:rPr>
          <w:sz w:val="25"/>
        </w:rPr>
        <w:t>of</w:t>
      </w:r>
      <w:r>
        <w:rPr>
          <w:spacing w:val="43"/>
          <w:sz w:val="25"/>
        </w:rPr>
        <w:t> </w:t>
      </w:r>
      <w:r>
        <w:rPr>
          <w:sz w:val="25"/>
        </w:rPr>
        <w:t>the</w:t>
      </w:r>
      <w:r>
        <w:rPr>
          <w:spacing w:val="42"/>
          <w:sz w:val="25"/>
        </w:rPr>
        <w:t> </w:t>
      </w:r>
      <w:r>
        <w:rPr>
          <w:sz w:val="25"/>
        </w:rPr>
        <w:t>deity</w:t>
      </w:r>
      <w:r>
        <w:rPr>
          <w:spacing w:val="39"/>
          <w:sz w:val="25"/>
        </w:rPr>
        <w:t> </w:t>
      </w:r>
      <w:r>
        <w:rPr>
          <w:sz w:val="25"/>
        </w:rPr>
        <w:t>and</w:t>
      </w:r>
      <w:r>
        <w:rPr>
          <w:spacing w:val="43"/>
          <w:sz w:val="25"/>
        </w:rPr>
        <w:t> </w:t>
      </w:r>
      <w:r>
        <w:rPr>
          <w:sz w:val="25"/>
        </w:rPr>
        <w:t>bind</w:t>
      </w:r>
      <w:r>
        <w:rPr>
          <w:spacing w:val="40"/>
          <w:sz w:val="25"/>
        </w:rPr>
        <w:t> </w:t>
      </w:r>
      <w:r>
        <w:rPr>
          <w:sz w:val="25"/>
        </w:rPr>
        <w:t>it.</w:t>
      </w:r>
      <w:r>
        <w:rPr>
          <w:spacing w:val="42"/>
          <w:sz w:val="25"/>
        </w:rPr>
        <w:t> </w:t>
      </w:r>
      <w:r>
        <w:rPr>
          <w:sz w:val="25"/>
        </w:rPr>
        <w:t>In</w:t>
      </w:r>
      <w:r>
        <w:rPr>
          <w:spacing w:val="39"/>
          <w:sz w:val="25"/>
        </w:rPr>
        <w:t> </w:t>
      </w:r>
      <w:r>
        <w:rPr>
          <w:sz w:val="25"/>
        </w:rPr>
        <w:t>this</w:t>
      </w:r>
      <w:r>
        <w:rPr>
          <w:spacing w:val="43"/>
          <w:sz w:val="25"/>
        </w:rPr>
        <w:t> </w:t>
      </w:r>
      <w:r>
        <w:rPr>
          <w:sz w:val="25"/>
        </w:rPr>
        <w:t>view,</w:t>
      </w:r>
      <w:r>
        <w:rPr>
          <w:spacing w:val="41"/>
          <w:sz w:val="25"/>
        </w:rPr>
        <w:t> </w:t>
      </w:r>
      <w:r>
        <w:rPr>
          <w:sz w:val="25"/>
        </w:rPr>
        <w:t>the</w:t>
      </w:r>
      <w:r>
        <w:rPr>
          <w:spacing w:val="39"/>
          <w:sz w:val="25"/>
        </w:rPr>
        <w:t> </w:t>
      </w:r>
      <w:r>
        <w:rPr>
          <w:sz w:val="25"/>
        </w:rPr>
        <w:t>claim</w:t>
      </w:r>
      <w:r>
        <w:rPr>
          <w:spacing w:val="43"/>
          <w:sz w:val="25"/>
        </w:rPr>
        <w:t> </w:t>
      </w:r>
      <w:r>
        <w:rPr>
          <w:sz w:val="25"/>
        </w:rPr>
        <w:t>of</w:t>
      </w:r>
      <w:r>
        <w:rPr>
          <w:spacing w:val="42"/>
          <w:sz w:val="25"/>
        </w:rPr>
        <w:t> </w:t>
      </w:r>
      <w:r>
        <w:rPr>
          <w:sz w:val="25"/>
        </w:rPr>
        <w:t>Nirmohi</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Akhara that it is a </w:t>
      </w:r>
      <w:r>
        <w:rPr>
          <w:i/>
        </w:rPr>
        <w:t>de facto </w:t>
      </w:r>
      <w:r>
        <w:rPr/>
        <w:t>shebait on the basis of the oral and documentary evidence on record has been analysed and it has been found that the claim has not ripened into shebait rights.</w:t>
      </w:r>
    </w:p>
    <w:p>
      <w:pPr>
        <w:pStyle w:val="BodyText"/>
        <w:spacing w:before="9"/>
        <w:rPr>
          <w:sz w:val="37"/>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A claim of rights as a </w:t>
      </w:r>
      <w:r>
        <w:rPr>
          <w:i/>
          <w:sz w:val="25"/>
        </w:rPr>
        <w:t>de facto </w:t>
      </w:r>
      <w:r>
        <w:rPr>
          <w:sz w:val="25"/>
        </w:rPr>
        <w:t>shebait must be substantiated with proof  that person is in exclusive possession of the trust property and exercises complete control over the right of management of the properties without any let or hindrance from any quarters whatsoever. For all practical purposes, this person is recognised as the person in charge of the trust properties. Though it cannot and has not been denied in the present proceedings that Nirmohi Akhara existed at the disputed site, the claim of Nirmohi Akhara, taken at the highest is that of an intermittent exercise of certain management rights. Their rights were peripheral, usually involving the assistance of pilgrims, and were constantly contested. As held above, a stray or intermittent exercise of management rights does not confer upon a claimant the position in law of a </w:t>
      </w:r>
      <w:r>
        <w:rPr>
          <w:i/>
          <w:sz w:val="25"/>
        </w:rPr>
        <w:t>de facto </w:t>
      </w:r>
      <w:r>
        <w:rPr>
          <w:sz w:val="25"/>
        </w:rPr>
        <w:t>shebait. It cannot be said that the acts of Nirmohi Akhara satisfy the legal standard of management and charge that is exclusive, uninterrupted and continuous over a sufficient period of time. Despite their undisputed presence at the disputed site, for the reasons outlined above, Nirmohi Akhara is not a</w:t>
      </w:r>
      <w:r>
        <w:rPr>
          <w:spacing w:val="-5"/>
          <w:sz w:val="25"/>
        </w:rPr>
        <w:t> </w:t>
      </w:r>
      <w:r>
        <w:rPr>
          <w:sz w:val="25"/>
        </w:rPr>
        <w:t>shebait.</w:t>
      </w:r>
    </w:p>
    <w:p>
      <w:pPr>
        <w:pStyle w:val="BodyText"/>
        <w:rPr>
          <w:sz w:val="28"/>
        </w:rPr>
      </w:pPr>
    </w:p>
    <w:p>
      <w:pPr>
        <w:pStyle w:val="BodyText"/>
        <w:spacing w:before="1"/>
      </w:pPr>
    </w:p>
    <w:p>
      <w:pPr>
        <w:pStyle w:val="ListParagraph"/>
        <w:numPr>
          <w:ilvl w:val="0"/>
          <w:numId w:val="111"/>
        </w:numPr>
        <w:tabs>
          <w:tab w:pos="1221" w:val="left" w:leader="none"/>
        </w:tabs>
        <w:spacing w:line="480" w:lineRule="auto" w:before="0" w:after="0"/>
        <w:ind w:left="500" w:right="438" w:firstLine="0"/>
        <w:jc w:val="both"/>
        <w:rPr>
          <w:sz w:val="25"/>
        </w:rPr>
      </w:pPr>
      <w:r>
        <w:rPr>
          <w:sz w:val="25"/>
        </w:rPr>
        <w:t>In light of the holding that Nirmohi Akhara is not the shebait for the idols of Lord Ram at the disputed site, it was open for an interested worshipper to sue on behalf of the deity. There existed no recognised shebait in law. In such a situation the idol‘s independent right to sue was exercised through its next friend,</w:t>
      </w:r>
      <w:r>
        <w:rPr>
          <w:spacing w:val="9"/>
          <w:sz w:val="25"/>
        </w:rPr>
        <w:t> </w:t>
      </w:r>
      <w:r>
        <w:rPr>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t>worshipper interested in the protection of the idol and its interests. Suit 5 is maintainable as a suit instituted by a next friend on behalf of the first and second plaintiffs in the absence of a lawfully recognised shebait.</w:t>
      </w:r>
    </w:p>
    <w:p>
      <w:pPr>
        <w:pStyle w:val="BodyText"/>
        <w:spacing w:before="10"/>
        <w:rPr>
          <w:sz w:val="38"/>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Mr Jaideep Gupta, learned Senior Counsel appearing on behalf of Mahant Shri Dharam Das, respondent 12 in the present appeal urged that he is the successor (Chela) of Late Baba Abhiram Das, who was the priest of the Ram Janmabhumi temple before 1949. The present respondent is the Mahant of Akhil Bhartiya Sri Panch Nirvani Ani Akhara and Mahanth of Hanuman  Garhi, Ayodhya. Late Baba Abhiram Das was defendant no 13/1 in Suit 4 </w:t>
      </w:r>
      <w:r>
        <w:rPr>
          <w:spacing w:val="2"/>
          <w:sz w:val="25"/>
        </w:rPr>
        <w:t>and </w:t>
      </w:r>
      <w:r>
        <w:rPr>
          <w:sz w:val="25"/>
        </w:rPr>
        <w:t>Defendant no 14 in Suit 5 and upon his death, the present respondent was substituted as defendant in the said suits. It is submitted that Late Baba Abhiram Das was the pujari of Janmasthan temple and played an instrumental role in its affairs. It has been submitted that prior to 1949, Late Baba Abhiram Das conducted the puja and even after the idol was placed inside the disputed structure, he continued to perform puja till 5 January 1950 when the receiver took charge. It is submitted that the present defendant being the chela of Late Baba Abhiram Das, is entitled to perform sewa-puja and bhog at the disputed structure as the shebait. In support of the above, the following submissions have been urged:</w:t>
      </w:r>
    </w:p>
    <w:p>
      <w:pPr>
        <w:pStyle w:val="BodyText"/>
        <w:spacing w:before="1"/>
        <w:rPr>
          <w:sz w:val="39"/>
        </w:rPr>
      </w:pPr>
    </w:p>
    <w:p>
      <w:pPr>
        <w:pStyle w:val="ListParagraph"/>
        <w:numPr>
          <w:ilvl w:val="0"/>
          <w:numId w:val="122"/>
        </w:numPr>
        <w:tabs>
          <w:tab w:pos="1581" w:val="left" w:leader="none"/>
        </w:tabs>
        <w:spacing w:line="480" w:lineRule="auto" w:before="1" w:after="0"/>
        <w:ind w:left="1580" w:right="435" w:hanging="720"/>
        <w:jc w:val="both"/>
        <w:rPr>
          <w:sz w:val="25"/>
        </w:rPr>
      </w:pPr>
      <w:r>
        <w:rPr>
          <w:sz w:val="25"/>
        </w:rPr>
        <w:t>The idol of Lord Ram was placed at the disputed structure in the intervening night of 22-23 December 1949. The deity after being placed inside</w:t>
      </w:r>
      <w:r>
        <w:rPr>
          <w:spacing w:val="20"/>
          <w:sz w:val="25"/>
        </w:rPr>
        <w:t> </w:t>
      </w:r>
      <w:r>
        <w:rPr>
          <w:sz w:val="25"/>
        </w:rPr>
        <w:t>the</w:t>
      </w:r>
      <w:r>
        <w:rPr>
          <w:spacing w:val="21"/>
          <w:sz w:val="25"/>
        </w:rPr>
        <w:t> </w:t>
      </w:r>
      <w:r>
        <w:rPr>
          <w:sz w:val="25"/>
        </w:rPr>
        <w:t>three</w:t>
      </w:r>
      <w:r>
        <w:rPr>
          <w:spacing w:val="20"/>
          <w:sz w:val="25"/>
        </w:rPr>
        <w:t> </w:t>
      </w:r>
      <w:r>
        <w:rPr>
          <w:sz w:val="25"/>
        </w:rPr>
        <w:t>domed</w:t>
      </w:r>
      <w:r>
        <w:rPr>
          <w:spacing w:val="21"/>
          <w:sz w:val="25"/>
        </w:rPr>
        <w:t> </w:t>
      </w:r>
      <w:r>
        <w:rPr>
          <w:sz w:val="25"/>
        </w:rPr>
        <w:t>structure</w:t>
      </w:r>
      <w:r>
        <w:rPr>
          <w:spacing w:val="20"/>
          <w:sz w:val="25"/>
        </w:rPr>
        <w:t> </w:t>
      </w:r>
      <w:r>
        <w:rPr>
          <w:sz w:val="25"/>
        </w:rPr>
        <w:t>(</w:t>
      </w:r>
      <w:r>
        <w:rPr>
          <w:i/>
          <w:sz w:val="25"/>
        </w:rPr>
        <w:t>pratishthit</w:t>
      </w:r>
      <w:r>
        <w:rPr>
          <w:sz w:val="25"/>
        </w:rPr>
        <w:t>)</w:t>
      </w:r>
      <w:r>
        <w:rPr>
          <w:spacing w:val="21"/>
          <w:sz w:val="25"/>
        </w:rPr>
        <w:t> </w:t>
      </w:r>
      <w:r>
        <w:rPr>
          <w:sz w:val="25"/>
        </w:rPr>
        <w:t>and</w:t>
      </w:r>
      <w:r>
        <w:rPr>
          <w:spacing w:val="21"/>
          <w:sz w:val="25"/>
        </w:rPr>
        <w:t> </w:t>
      </w:r>
      <w:r>
        <w:rPr>
          <w:sz w:val="25"/>
        </w:rPr>
        <w:t>the</w:t>
      </w:r>
      <w:r>
        <w:rPr>
          <w:spacing w:val="21"/>
          <w:sz w:val="25"/>
        </w:rPr>
        <w:t> </w:t>
      </w:r>
      <w:r>
        <w:rPr>
          <w:sz w:val="25"/>
        </w:rPr>
        <w:t>Ramjanmabhumi</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580" w:right="444"/>
        <w:jc w:val="both"/>
      </w:pPr>
      <w:r>
        <w:rPr/>
        <w:t>(</w:t>
      </w:r>
      <w:r>
        <w:rPr>
          <w:i/>
        </w:rPr>
        <w:t>swayambhu</w:t>
      </w:r>
      <w:r>
        <w:rPr/>
        <w:t>) are juristic persons and have the right and title over the disputed structure;</w:t>
      </w:r>
    </w:p>
    <w:p>
      <w:pPr>
        <w:pStyle w:val="ListParagraph"/>
        <w:numPr>
          <w:ilvl w:val="0"/>
          <w:numId w:val="122"/>
        </w:numPr>
        <w:tabs>
          <w:tab w:pos="1581" w:val="left" w:leader="none"/>
        </w:tabs>
        <w:spacing w:line="480" w:lineRule="auto" w:before="0" w:after="0"/>
        <w:ind w:left="1580" w:right="436" w:hanging="720"/>
        <w:jc w:val="both"/>
        <w:rPr>
          <w:sz w:val="25"/>
        </w:rPr>
      </w:pPr>
      <w:r>
        <w:rPr>
          <w:sz w:val="25"/>
        </w:rPr>
        <w:t>Nirmohi Akhara cannot claim to be the shebait with respect to the juristic entities after having denied their existence in their pleadings. When the incident took place in the intervening night of 22-23 December, no individual of Nirmohi Akhara was present there and no members of the Nirmohi Akhara were named as accused persons in  the</w:t>
      </w:r>
      <w:r>
        <w:rPr>
          <w:spacing w:val="-1"/>
          <w:sz w:val="25"/>
        </w:rPr>
        <w:t> </w:t>
      </w:r>
      <w:r>
        <w:rPr>
          <w:sz w:val="25"/>
        </w:rPr>
        <w:t>proceedings;</w:t>
      </w:r>
    </w:p>
    <w:p>
      <w:pPr>
        <w:pStyle w:val="ListParagraph"/>
        <w:numPr>
          <w:ilvl w:val="0"/>
          <w:numId w:val="122"/>
        </w:numPr>
        <w:tabs>
          <w:tab w:pos="1581" w:val="left" w:leader="none"/>
        </w:tabs>
        <w:spacing w:line="480" w:lineRule="auto" w:before="1" w:after="0"/>
        <w:ind w:left="1580" w:right="440" w:hanging="720"/>
        <w:jc w:val="both"/>
        <w:rPr>
          <w:sz w:val="25"/>
        </w:rPr>
      </w:pPr>
      <w:r>
        <w:rPr>
          <w:sz w:val="25"/>
        </w:rPr>
        <w:t>The respondent is the only person who can claim to be a shebait of the shrine of Ram Lalla and Janmabhumi. Respondent‘s Guru Late Baba Abhiram Das along with several others resolved to restore the sacred Janmasthan to its pristine glory by taking a collective vow on the occasion of Vijayadashmi at a public meeting held on 2 October 1949, pursuant to which the surrounding area around the disputed site was sanitised. This was followed by Navahana pathas, Japa and Sankirthan both inside and outside the three domed</w:t>
      </w:r>
      <w:r>
        <w:rPr>
          <w:spacing w:val="-6"/>
          <w:sz w:val="25"/>
        </w:rPr>
        <w:t> </w:t>
      </w:r>
      <w:r>
        <w:rPr>
          <w:sz w:val="25"/>
        </w:rPr>
        <w:t>structure;</w:t>
      </w:r>
    </w:p>
    <w:p>
      <w:pPr>
        <w:pStyle w:val="ListParagraph"/>
        <w:numPr>
          <w:ilvl w:val="0"/>
          <w:numId w:val="122"/>
        </w:numPr>
        <w:tabs>
          <w:tab w:pos="1581" w:val="left" w:leader="none"/>
        </w:tabs>
        <w:spacing w:line="480" w:lineRule="auto" w:before="0" w:after="0"/>
        <w:ind w:left="1580" w:right="442" w:hanging="720"/>
        <w:jc w:val="both"/>
        <w:rPr>
          <w:sz w:val="25"/>
        </w:rPr>
      </w:pPr>
      <w:r>
        <w:rPr>
          <w:sz w:val="25"/>
        </w:rPr>
        <w:t>As long there exists a shebait, the management of the deity cannot be handed over to the next friend or the Ram Janmabhumi Nyas in Suit 5. Both Suit 1 and Suit 5 have been filed in a personal capacity and no management or possession can be handed over to them;</w:t>
      </w:r>
      <w:r>
        <w:rPr>
          <w:spacing w:val="-9"/>
          <w:sz w:val="25"/>
        </w:rPr>
        <w:t> </w:t>
      </w:r>
      <w:r>
        <w:rPr>
          <w:sz w:val="25"/>
        </w:rPr>
        <w:t>and</w:t>
      </w:r>
    </w:p>
    <w:p>
      <w:pPr>
        <w:pStyle w:val="ListParagraph"/>
        <w:numPr>
          <w:ilvl w:val="0"/>
          <w:numId w:val="122"/>
        </w:numPr>
        <w:tabs>
          <w:tab w:pos="1581" w:val="left" w:leader="none"/>
        </w:tabs>
        <w:spacing w:line="480" w:lineRule="auto" w:before="0" w:after="0"/>
        <w:ind w:left="1580" w:right="445" w:hanging="720"/>
        <w:jc w:val="both"/>
        <w:rPr>
          <w:sz w:val="25"/>
        </w:rPr>
      </w:pPr>
      <w:r>
        <w:rPr>
          <w:sz w:val="25"/>
        </w:rPr>
        <w:t>The fact that Late Baba Abhiram Das was the pujari/priest/shebait of the deity has been established from the following facts and</w:t>
      </w:r>
      <w:r>
        <w:rPr>
          <w:spacing w:val="-16"/>
          <w:sz w:val="25"/>
        </w:rPr>
        <w:t> </w:t>
      </w:r>
      <w:r>
        <w:rPr>
          <w:sz w:val="25"/>
        </w:rPr>
        <w:t>records:</w:t>
      </w:r>
    </w:p>
    <w:p>
      <w:pPr>
        <w:pStyle w:val="ListParagraph"/>
        <w:numPr>
          <w:ilvl w:val="1"/>
          <w:numId w:val="122"/>
        </w:numPr>
        <w:tabs>
          <w:tab w:pos="1941" w:val="left" w:leader="none"/>
        </w:tabs>
        <w:spacing w:line="482" w:lineRule="auto" w:before="0" w:after="0"/>
        <w:ind w:left="1940" w:right="444" w:hanging="360"/>
        <w:jc w:val="both"/>
        <w:rPr>
          <w:sz w:val="25"/>
        </w:rPr>
      </w:pPr>
      <w:r>
        <w:rPr>
          <w:sz w:val="25"/>
        </w:rPr>
        <w:t>One Shri Bhaskar Das (DW 3/1) in Suit 4, who was the Sarpanch of Nirmohi</w:t>
      </w:r>
      <w:r>
        <w:rPr>
          <w:spacing w:val="24"/>
          <w:sz w:val="25"/>
        </w:rPr>
        <w:t> </w:t>
      </w:r>
      <w:r>
        <w:rPr>
          <w:sz w:val="25"/>
        </w:rPr>
        <w:t>Akhara</w:t>
      </w:r>
      <w:r>
        <w:rPr>
          <w:spacing w:val="24"/>
          <w:sz w:val="25"/>
        </w:rPr>
        <w:t> </w:t>
      </w:r>
      <w:r>
        <w:rPr>
          <w:sz w:val="25"/>
        </w:rPr>
        <w:t>in</w:t>
      </w:r>
      <w:r>
        <w:rPr>
          <w:spacing w:val="24"/>
          <w:sz w:val="25"/>
        </w:rPr>
        <w:t> </w:t>
      </w:r>
      <w:r>
        <w:rPr>
          <w:sz w:val="25"/>
        </w:rPr>
        <w:t>his</w:t>
      </w:r>
      <w:r>
        <w:rPr>
          <w:spacing w:val="25"/>
          <w:sz w:val="25"/>
        </w:rPr>
        <w:t> </w:t>
      </w:r>
      <w:r>
        <w:rPr>
          <w:sz w:val="25"/>
        </w:rPr>
        <w:t>cross</w:t>
      </w:r>
      <w:r>
        <w:rPr>
          <w:spacing w:val="24"/>
          <w:sz w:val="25"/>
        </w:rPr>
        <w:t> </w:t>
      </w:r>
      <w:r>
        <w:rPr>
          <w:sz w:val="25"/>
        </w:rPr>
        <w:t>examination</w:t>
      </w:r>
      <w:r>
        <w:rPr>
          <w:spacing w:val="24"/>
          <w:sz w:val="25"/>
        </w:rPr>
        <w:t> </w:t>
      </w:r>
      <w:r>
        <w:rPr>
          <w:sz w:val="25"/>
        </w:rPr>
        <w:t>stated</w:t>
      </w:r>
      <w:r>
        <w:rPr>
          <w:spacing w:val="24"/>
          <w:sz w:val="25"/>
        </w:rPr>
        <w:t> </w:t>
      </w:r>
      <w:r>
        <w:rPr>
          <w:sz w:val="25"/>
        </w:rPr>
        <w:t>and</w:t>
      </w:r>
      <w:r>
        <w:rPr>
          <w:spacing w:val="25"/>
          <w:sz w:val="25"/>
        </w:rPr>
        <w:t> </w:t>
      </w:r>
      <w:r>
        <w:rPr>
          <w:sz w:val="25"/>
        </w:rPr>
        <w:t>confirmed</w:t>
      </w:r>
      <w:r>
        <w:rPr>
          <w:spacing w:val="22"/>
          <w:sz w:val="25"/>
        </w:rPr>
        <w:t> </w:t>
      </w:r>
      <w:r>
        <w:rPr>
          <w:sz w:val="25"/>
        </w:rPr>
        <w:t>that</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1940" w:right="444"/>
        <w:jc w:val="both"/>
      </w:pPr>
      <w:r>
        <w:rPr/>
        <w:t>Late Baba Abhiram Das was the priest of the disputed structure and not the priest of Nirmohi Akhara;</w:t>
      </w:r>
    </w:p>
    <w:p>
      <w:pPr>
        <w:pStyle w:val="ListParagraph"/>
        <w:numPr>
          <w:ilvl w:val="1"/>
          <w:numId w:val="122"/>
        </w:numPr>
        <w:tabs>
          <w:tab w:pos="1941" w:val="left" w:leader="none"/>
        </w:tabs>
        <w:spacing w:line="480" w:lineRule="auto" w:before="0" w:after="0"/>
        <w:ind w:left="1940" w:right="439" w:hanging="360"/>
        <w:jc w:val="both"/>
        <w:rPr>
          <w:sz w:val="25"/>
        </w:rPr>
      </w:pPr>
      <w:r>
        <w:rPr>
          <w:sz w:val="25"/>
        </w:rPr>
        <w:t>In his statement dated 29 December 1950 given before the Magistrate under Section 145, Late Baba Abhiram Das had categorically stated that he and his other co-pujaris had been maintaining and managing the Janmabhumi temple and the surrounding land since</w:t>
      </w:r>
      <w:r>
        <w:rPr>
          <w:spacing w:val="-2"/>
          <w:sz w:val="25"/>
        </w:rPr>
        <w:t> </w:t>
      </w:r>
      <w:r>
        <w:rPr>
          <w:sz w:val="25"/>
        </w:rPr>
        <w:t>1934;</w:t>
      </w:r>
    </w:p>
    <w:p>
      <w:pPr>
        <w:pStyle w:val="ListParagraph"/>
        <w:numPr>
          <w:ilvl w:val="1"/>
          <w:numId w:val="122"/>
        </w:numPr>
        <w:tabs>
          <w:tab w:pos="1941" w:val="left" w:leader="none"/>
        </w:tabs>
        <w:spacing w:line="480" w:lineRule="auto" w:before="0" w:after="0"/>
        <w:ind w:left="1940" w:right="439" w:hanging="360"/>
        <w:jc w:val="both"/>
        <w:rPr>
          <w:sz w:val="25"/>
        </w:rPr>
      </w:pPr>
      <w:r>
        <w:rPr>
          <w:sz w:val="25"/>
        </w:rPr>
        <w:t>The respondent stated before the High Court that various religious functions at the disputed premises were organised under the supervision of his Guru, Late Baba Abhiram Das and electricity connections were also in his</w:t>
      </w:r>
      <w:r>
        <w:rPr>
          <w:spacing w:val="-5"/>
          <w:sz w:val="25"/>
        </w:rPr>
        <w:t> </w:t>
      </w:r>
      <w:r>
        <w:rPr>
          <w:sz w:val="25"/>
        </w:rPr>
        <w:t>name;</w:t>
      </w:r>
    </w:p>
    <w:p>
      <w:pPr>
        <w:pStyle w:val="ListParagraph"/>
        <w:numPr>
          <w:ilvl w:val="1"/>
          <w:numId w:val="122"/>
        </w:numPr>
        <w:tabs>
          <w:tab w:pos="1941" w:val="left" w:leader="none"/>
        </w:tabs>
        <w:spacing w:line="480" w:lineRule="auto" w:before="0" w:after="0"/>
        <w:ind w:left="1940" w:right="436" w:hanging="360"/>
        <w:jc w:val="both"/>
        <w:rPr>
          <w:sz w:val="25"/>
        </w:rPr>
      </w:pPr>
      <w:r>
        <w:rPr>
          <w:sz w:val="25"/>
        </w:rPr>
        <w:t>Mohd Hashim, who is plaintiff no 7 in Suit 4 and defendant no 3 in Suit 5 stated in his cross examination that the idols were placed inside the mosque by Abhiram Das, Dharam Das and</w:t>
      </w:r>
      <w:r>
        <w:rPr>
          <w:spacing w:val="-8"/>
          <w:sz w:val="25"/>
        </w:rPr>
        <w:t> </w:t>
      </w:r>
      <w:r>
        <w:rPr>
          <w:sz w:val="25"/>
        </w:rPr>
        <w:t>others;</w:t>
      </w:r>
    </w:p>
    <w:p>
      <w:pPr>
        <w:pStyle w:val="ListParagraph"/>
        <w:numPr>
          <w:ilvl w:val="1"/>
          <w:numId w:val="122"/>
        </w:numPr>
        <w:tabs>
          <w:tab w:pos="1941" w:val="left" w:leader="none"/>
        </w:tabs>
        <w:spacing w:line="480" w:lineRule="auto" w:before="1" w:after="0"/>
        <w:ind w:left="1940" w:right="434" w:hanging="360"/>
        <w:jc w:val="both"/>
        <w:rPr>
          <w:sz w:val="25"/>
        </w:rPr>
      </w:pPr>
      <w:r>
        <w:rPr>
          <w:sz w:val="25"/>
        </w:rPr>
        <w:t>On 30 April 1992, Late Deoki Nandan Agarwal, plaintiff 3 in Suit 5 had stated that the idol was placed inside the central dome on 22-23 December 1949 by Shri Paramhans Ramchandra and Late Baba Abhiram Das along with</w:t>
      </w:r>
      <w:r>
        <w:rPr>
          <w:spacing w:val="-3"/>
          <w:sz w:val="25"/>
        </w:rPr>
        <w:t> </w:t>
      </w:r>
      <w:r>
        <w:rPr>
          <w:sz w:val="25"/>
        </w:rPr>
        <w:t>others;</w:t>
      </w:r>
    </w:p>
    <w:p>
      <w:pPr>
        <w:pStyle w:val="ListParagraph"/>
        <w:numPr>
          <w:ilvl w:val="1"/>
          <w:numId w:val="122"/>
        </w:numPr>
        <w:tabs>
          <w:tab w:pos="1941" w:val="left" w:leader="none"/>
        </w:tabs>
        <w:spacing w:line="480" w:lineRule="auto" w:before="0" w:after="0"/>
        <w:ind w:left="1940" w:right="436" w:hanging="360"/>
        <w:jc w:val="both"/>
        <w:rPr>
          <w:sz w:val="25"/>
        </w:rPr>
      </w:pPr>
      <w:r>
        <w:rPr>
          <w:sz w:val="25"/>
        </w:rPr>
        <w:t>Late Baba Abhiram Das has been named as accused no 1 in both the FIR dated 23 December 1949 and chargesheet dated 1 February 1950 for placing the idol inside the disputed structure. Late Baba Abhiram Das has submitted that he is the pujari of the Ram Janmabhumi in the bail bond dated 1 February</w:t>
      </w:r>
      <w:r>
        <w:rPr>
          <w:spacing w:val="-11"/>
          <w:sz w:val="25"/>
        </w:rPr>
        <w:t> </w:t>
      </w:r>
      <w:r>
        <w:rPr>
          <w:sz w:val="25"/>
        </w:rPr>
        <w:t>1950;</w:t>
      </w:r>
    </w:p>
    <w:p>
      <w:pPr>
        <w:spacing w:after="0" w:line="480" w:lineRule="auto"/>
        <w:jc w:val="both"/>
        <w:rPr>
          <w:sz w:val="25"/>
        </w:rPr>
        <w:sectPr>
          <w:pgSz w:w="11910" w:h="16840"/>
          <w:pgMar w:header="721" w:footer="1014" w:top="1300" w:bottom="1200" w:left="940" w:right="1000"/>
        </w:sectPr>
      </w:pPr>
    </w:p>
    <w:p>
      <w:pPr>
        <w:pStyle w:val="ListParagraph"/>
        <w:numPr>
          <w:ilvl w:val="1"/>
          <w:numId w:val="122"/>
        </w:numPr>
        <w:tabs>
          <w:tab w:pos="1941" w:val="left" w:leader="none"/>
        </w:tabs>
        <w:spacing w:line="480" w:lineRule="auto" w:before="124" w:after="0"/>
        <w:ind w:left="1940" w:right="442" w:hanging="360"/>
        <w:jc w:val="both"/>
        <w:rPr>
          <w:sz w:val="25"/>
        </w:rPr>
      </w:pPr>
      <w:r>
        <w:rPr>
          <w:sz w:val="25"/>
        </w:rPr>
        <w:t>The District Magistrate, Faizabad in his report dated 23 December 1949 observed that the crowd was controlled by permitting two or three persons including Abhiram Das, Ram Shukal Das and Sudarshan Das to offer bhog to the idol inside the disputed structure;</w:t>
      </w:r>
      <w:r>
        <w:rPr>
          <w:spacing w:val="-2"/>
          <w:sz w:val="25"/>
        </w:rPr>
        <w:t> </w:t>
      </w:r>
      <w:r>
        <w:rPr>
          <w:sz w:val="25"/>
        </w:rPr>
        <w:t>and</w:t>
      </w:r>
    </w:p>
    <w:p>
      <w:pPr>
        <w:pStyle w:val="ListParagraph"/>
        <w:numPr>
          <w:ilvl w:val="1"/>
          <w:numId w:val="122"/>
        </w:numPr>
        <w:tabs>
          <w:tab w:pos="1941" w:val="left" w:leader="none"/>
        </w:tabs>
        <w:spacing w:line="480" w:lineRule="auto" w:before="0" w:after="0"/>
        <w:ind w:left="1940" w:right="436" w:hanging="360"/>
        <w:jc w:val="both"/>
        <w:rPr>
          <w:sz w:val="25"/>
        </w:rPr>
      </w:pPr>
      <w:r>
        <w:rPr>
          <w:sz w:val="25"/>
        </w:rPr>
        <w:t>By an application dated 21 December 1962, Late Baba Abhiram  Das applied for permission before the receiver for organising the program of 62 jayanti Samaroh. It is stated that the said Samaroh had been held each year and organised by Late Baba Abhiram Das and Janam Bhoomi Sewa</w:t>
      </w:r>
      <w:r>
        <w:rPr>
          <w:spacing w:val="-3"/>
          <w:sz w:val="25"/>
        </w:rPr>
        <w:t> </w:t>
      </w:r>
      <w:r>
        <w:rPr>
          <w:sz w:val="25"/>
        </w:rPr>
        <w:t>Samiti.</w:t>
      </w:r>
    </w:p>
    <w:p>
      <w:pPr>
        <w:pStyle w:val="BodyText"/>
        <w:spacing w:before="10"/>
        <w:rPr>
          <w:sz w:val="24"/>
        </w:rPr>
      </w:pPr>
    </w:p>
    <w:p>
      <w:pPr>
        <w:pStyle w:val="ListParagraph"/>
        <w:numPr>
          <w:ilvl w:val="0"/>
          <w:numId w:val="111"/>
        </w:numPr>
        <w:tabs>
          <w:tab w:pos="1221" w:val="left" w:leader="none"/>
        </w:tabs>
        <w:spacing w:line="480" w:lineRule="auto" w:before="1" w:after="0"/>
        <w:ind w:left="500" w:right="436" w:firstLine="0"/>
        <w:jc w:val="both"/>
        <w:rPr>
          <w:sz w:val="25"/>
        </w:rPr>
      </w:pPr>
      <w:r>
        <w:rPr>
          <w:sz w:val="25"/>
        </w:rPr>
        <w:t>The dispute </w:t>
      </w:r>
      <w:r>
        <w:rPr>
          <w:i/>
          <w:sz w:val="25"/>
        </w:rPr>
        <w:t>inter se </w:t>
      </w:r>
      <w:r>
        <w:rPr>
          <w:sz w:val="25"/>
        </w:rPr>
        <w:t>between Nirmohi Akhara and Nirvani Ani Akhara is not the subject matter of the existing dispute. Nirvani Ani Akhara has not pursued any proceedings of its own to establish its claim. The claim that Nirmohi Akhara was a shebait has been rejected. In discussing Nirmohi Akhara‘s claim, it has been held that to establish a claim as a shebait or even as a </w:t>
      </w:r>
      <w:r>
        <w:rPr>
          <w:i/>
          <w:sz w:val="25"/>
        </w:rPr>
        <w:t>de facto </w:t>
      </w:r>
      <w:r>
        <w:rPr>
          <w:sz w:val="25"/>
        </w:rPr>
        <w:t>shebait, one needs to rely on evidence that indicates more than a mere act of performing the functions of a priest. A pujari is merely a servant or appointee of a shebait and gains no independent right as a shebait despite having conducted ceremonies over a period of time. All the evidence relied upon to support the claim of Late Baba Abhiram Das is restricted to his having performed puja at the disputed premises and does not confer any shebaiti</w:t>
      </w:r>
      <w:r>
        <w:rPr>
          <w:spacing w:val="-8"/>
          <w:sz w:val="25"/>
        </w:rPr>
        <w:t> </w:t>
      </w:r>
      <w:r>
        <w:rPr>
          <w:sz w:val="25"/>
        </w:rPr>
        <w:t>rights.</w:t>
      </w:r>
    </w:p>
    <w:p>
      <w:pPr>
        <w:spacing w:after="0" w:line="480" w:lineRule="auto"/>
        <w:jc w:val="both"/>
        <w:rPr>
          <w:sz w:val="25"/>
        </w:rPr>
        <w:sectPr>
          <w:pgSz w:w="11910" w:h="16840"/>
          <w:pgMar w:header="721" w:footer="1014" w:top="1300" w:bottom="1200" w:left="940" w:right="1000"/>
        </w:sectPr>
      </w:pPr>
    </w:p>
    <w:p>
      <w:pPr>
        <w:pStyle w:val="Heading3"/>
        <w:tabs>
          <w:tab w:pos="1220" w:val="left" w:leader="none"/>
        </w:tabs>
        <w:spacing w:before="124"/>
        <w:ind w:left="500" w:firstLine="0"/>
        <w:jc w:val="left"/>
      </w:pPr>
      <w:r>
        <w:rPr/>
        <w:t>N.</w:t>
      </w:r>
      <w:r>
        <w:rPr>
          <w:spacing w:val="-2"/>
        </w:rPr>
        <w:t> </w:t>
      </w:r>
      <w:r>
        <w:rPr/>
        <w:t>7</w:t>
        <w:tab/>
        <w:t>Limitation in Suit</w:t>
      </w:r>
      <w:r>
        <w:rPr>
          <w:spacing w:val="-3"/>
        </w:rPr>
        <w:t> </w:t>
      </w:r>
      <w:r>
        <w:rPr/>
        <w:t>5</w:t>
      </w:r>
    </w:p>
    <w:p>
      <w:pPr>
        <w:pStyle w:val="BodyText"/>
        <w:rPr>
          <w:b/>
          <w:sz w:val="28"/>
        </w:rPr>
      </w:pPr>
    </w:p>
    <w:p>
      <w:pPr>
        <w:pStyle w:val="ListParagraph"/>
        <w:numPr>
          <w:ilvl w:val="0"/>
          <w:numId w:val="111"/>
        </w:numPr>
        <w:tabs>
          <w:tab w:pos="1220" w:val="left" w:leader="none"/>
          <w:tab w:pos="1221" w:val="left" w:leader="none"/>
        </w:tabs>
        <w:spacing w:line="480" w:lineRule="auto" w:before="216" w:after="0"/>
        <w:ind w:left="500" w:right="437" w:firstLine="0"/>
        <w:jc w:val="left"/>
        <w:rPr>
          <w:sz w:val="25"/>
        </w:rPr>
      </w:pPr>
      <w:r>
        <w:rPr>
          <w:sz w:val="25"/>
        </w:rPr>
        <w:t>The cause of action leading to the institution of Suit 5 has been pleaded in paragraphs 14, 18, 30 and 36 of the plaint which read as</w:t>
      </w:r>
      <w:r>
        <w:rPr>
          <w:spacing w:val="-17"/>
          <w:sz w:val="25"/>
        </w:rPr>
        <w:t> </w:t>
      </w:r>
      <w:r>
        <w:rPr>
          <w:sz w:val="25"/>
        </w:rPr>
        <w:t>follows:</w:t>
      </w:r>
    </w:p>
    <w:p>
      <w:pPr>
        <w:spacing w:line="276" w:lineRule="auto" w:before="160"/>
        <w:ind w:left="1940" w:right="2262" w:firstLine="0"/>
        <w:jc w:val="both"/>
        <w:rPr>
          <w:sz w:val="21"/>
        </w:rPr>
      </w:pPr>
      <w:r>
        <w:rPr>
          <w:spacing w:val="-1"/>
          <w:w w:val="33"/>
          <w:sz w:val="21"/>
        </w:rPr>
        <w:t>―</w:t>
      </w:r>
      <w:r>
        <w:rPr>
          <w:spacing w:val="-1"/>
          <w:w w:val="100"/>
          <w:sz w:val="21"/>
        </w:rPr>
        <w:t>14.</w:t>
      </w:r>
      <w:r>
        <w:rPr>
          <w:w w:val="100"/>
          <w:sz w:val="21"/>
        </w:rPr>
        <w:t>Th</w:t>
      </w:r>
      <w:r>
        <w:rPr>
          <w:spacing w:val="-1"/>
          <w:w w:val="100"/>
          <w:sz w:val="21"/>
        </w:rPr>
        <w:t>a</w:t>
      </w:r>
      <w:r>
        <w:rPr>
          <w:w w:val="100"/>
          <w:sz w:val="21"/>
        </w:rPr>
        <w:t>t</w:t>
      </w:r>
      <w:r>
        <w:rPr>
          <w:spacing w:val="10"/>
          <w:sz w:val="21"/>
        </w:rPr>
        <w:t> </w:t>
      </w:r>
      <w:r>
        <w:rPr>
          <w:spacing w:val="-2"/>
          <w:w w:val="100"/>
          <w:sz w:val="21"/>
        </w:rPr>
        <w:t>t</w:t>
      </w:r>
      <w:r>
        <w:rPr>
          <w:spacing w:val="-3"/>
          <w:w w:val="100"/>
          <w:sz w:val="21"/>
        </w:rPr>
        <w:t>h</w:t>
      </w:r>
      <w:r>
        <w:rPr>
          <w:w w:val="100"/>
          <w:sz w:val="21"/>
        </w:rPr>
        <w:t>e</w:t>
      </w:r>
      <w:r>
        <w:rPr>
          <w:spacing w:val="11"/>
          <w:sz w:val="21"/>
        </w:rPr>
        <w:t> </w:t>
      </w:r>
      <w:r>
        <w:rPr>
          <w:spacing w:val="-3"/>
          <w:w w:val="100"/>
          <w:sz w:val="21"/>
        </w:rPr>
        <w:t>p</w:t>
      </w:r>
      <w:r>
        <w:rPr>
          <w:w w:val="100"/>
          <w:sz w:val="21"/>
        </w:rPr>
        <w:t>l</w:t>
      </w:r>
      <w:r>
        <w:rPr>
          <w:spacing w:val="-3"/>
          <w:w w:val="100"/>
          <w:sz w:val="21"/>
        </w:rPr>
        <w:t>a</w:t>
      </w:r>
      <w:r>
        <w:rPr>
          <w:w w:val="100"/>
          <w:sz w:val="21"/>
        </w:rPr>
        <w:t>i</w:t>
      </w:r>
      <w:r>
        <w:rPr>
          <w:spacing w:val="-1"/>
          <w:w w:val="100"/>
          <w:sz w:val="21"/>
        </w:rPr>
        <w:t>nt</w:t>
      </w:r>
      <w:r>
        <w:rPr>
          <w:spacing w:val="-2"/>
          <w:w w:val="100"/>
          <w:sz w:val="21"/>
        </w:rPr>
        <w:t>if</w:t>
      </w:r>
      <w:r>
        <w:rPr>
          <w:w w:val="100"/>
          <w:sz w:val="21"/>
        </w:rPr>
        <w:t>f</w:t>
      </w:r>
      <w:r>
        <w:rPr>
          <w:spacing w:val="12"/>
          <w:sz w:val="21"/>
        </w:rPr>
        <w:t> </w:t>
      </w:r>
      <w:r>
        <w:rPr>
          <w:spacing w:val="-2"/>
          <w:w w:val="100"/>
          <w:sz w:val="21"/>
        </w:rPr>
        <w:t>D</w:t>
      </w:r>
      <w:r>
        <w:rPr>
          <w:spacing w:val="-1"/>
          <w:w w:val="100"/>
          <w:sz w:val="21"/>
        </w:rPr>
        <w:t>e</w:t>
      </w:r>
      <w:r>
        <w:rPr>
          <w:spacing w:val="1"/>
          <w:w w:val="100"/>
          <w:sz w:val="21"/>
        </w:rPr>
        <w:t>i</w:t>
      </w:r>
      <w:r>
        <w:rPr>
          <w:spacing w:val="-4"/>
          <w:w w:val="100"/>
          <w:sz w:val="21"/>
        </w:rPr>
        <w:t>t</w:t>
      </w:r>
      <w:r>
        <w:rPr>
          <w:spacing w:val="-2"/>
          <w:w w:val="100"/>
          <w:sz w:val="21"/>
        </w:rPr>
        <w:t>i</w:t>
      </w:r>
      <w:r>
        <w:rPr>
          <w:spacing w:val="-1"/>
          <w:w w:val="100"/>
          <w:sz w:val="21"/>
        </w:rPr>
        <w:t>e</w:t>
      </w:r>
      <w:r>
        <w:rPr>
          <w:w w:val="100"/>
          <w:sz w:val="21"/>
        </w:rPr>
        <w:t>s</w:t>
      </w:r>
      <w:r>
        <w:rPr>
          <w:spacing w:val="11"/>
          <w:sz w:val="21"/>
        </w:rPr>
        <w:t> </w:t>
      </w:r>
      <w:r>
        <w:rPr>
          <w:spacing w:val="-1"/>
          <w:w w:val="100"/>
          <w:sz w:val="21"/>
        </w:rPr>
        <w:t>a</w:t>
      </w:r>
      <w:r>
        <w:rPr>
          <w:spacing w:val="-3"/>
          <w:w w:val="100"/>
          <w:sz w:val="21"/>
        </w:rPr>
        <w:t>n</w:t>
      </w:r>
      <w:r>
        <w:rPr>
          <w:w w:val="100"/>
          <w:sz w:val="21"/>
        </w:rPr>
        <w:t>d</w:t>
      </w:r>
      <w:r>
        <w:rPr>
          <w:spacing w:val="11"/>
          <w:sz w:val="21"/>
        </w:rPr>
        <w:t> </w:t>
      </w:r>
      <w:r>
        <w:rPr>
          <w:spacing w:val="-2"/>
          <w:w w:val="100"/>
          <w:sz w:val="21"/>
        </w:rPr>
        <w:t>t</w:t>
      </w:r>
      <w:r>
        <w:rPr>
          <w:spacing w:val="-1"/>
          <w:w w:val="100"/>
          <w:sz w:val="21"/>
        </w:rPr>
        <w:t>h</w:t>
      </w:r>
      <w:r>
        <w:rPr>
          <w:spacing w:val="-3"/>
          <w:w w:val="100"/>
          <w:sz w:val="21"/>
        </w:rPr>
        <w:t>e</w:t>
      </w:r>
      <w:r>
        <w:rPr>
          <w:w w:val="100"/>
          <w:sz w:val="21"/>
        </w:rPr>
        <w:t>ir</w:t>
      </w:r>
      <w:r>
        <w:rPr>
          <w:spacing w:val="10"/>
          <w:sz w:val="21"/>
        </w:rPr>
        <w:t> </w:t>
      </w:r>
      <w:r>
        <w:rPr>
          <w:spacing w:val="-1"/>
          <w:w w:val="100"/>
          <w:sz w:val="21"/>
        </w:rPr>
        <w:t>de</w:t>
      </w:r>
      <w:r>
        <w:rPr>
          <w:spacing w:val="-3"/>
          <w:w w:val="100"/>
          <w:sz w:val="21"/>
        </w:rPr>
        <w:t>v</w:t>
      </w:r>
      <w:r>
        <w:rPr>
          <w:spacing w:val="-1"/>
          <w:w w:val="100"/>
          <w:sz w:val="21"/>
        </w:rPr>
        <w:t>ote</w:t>
      </w:r>
      <w:r>
        <w:rPr>
          <w:spacing w:val="-3"/>
          <w:w w:val="100"/>
          <w:sz w:val="21"/>
        </w:rPr>
        <w:t>e</w:t>
      </w:r>
      <w:r>
        <w:rPr>
          <w:w w:val="100"/>
          <w:sz w:val="21"/>
        </w:rPr>
        <w:t>s</w:t>
      </w:r>
      <w:r>
        <w:rPr>
          <w:spacing w:val="11"/>
          <w:sz w:val="21"/>
        </w:rPr>
        <w:t> </w:t>
      </w:r>
      <w:r>
        <w:rPr>
          <w:spacing w:val="-1"/>
          <w:w w:val="100"/>
          <w:sz w:val="21"/>
        </w:rPr>
        <w:t>ar</w:t>
      </w:r>
      <w:r>
        <w:rPr>
          <w:w w:val="100"/>
          <w:sz w:val="21"/>
        </w:rPr>
        <w:t>e</w:t>
      </w:r>
      <w:r>
        <w:rPr>
          <w:spacing w:val="8"/>
          <w:sz w:val="21"/>
        </w:rPr>
        <w:t> </w:t>
      </w:r>
      <w:r>
        <w:rPr>
          <w:spacing w:val="-1"/>
          <w:w w:val="100"/>
          <w:sz w:val="21"/>
        </w:rPr>
        <w:t>extr</w:t>
      </w:r>
      <w:r>
        <w:rPr>
          <w:spacing w:val="-3"/>
          <w:w w:val="100"/>
          <w:sz w:val="21"/>
        </w:rPr>
        <w:t>e</w:t>
      </w:r>
      <w:r>
        <w:rPr>
          <w:spacing w:val="1"/>
          <w:w w:val="100"/>
          <w:sz w:val="21"/>
        </w:rPr>
        <w:t>m</w:t>
      </w:r>
      <w:r>
        <w:rPr>
          <w:spacing w:val="-3"/>
          <w:w w:val="100"/>
          <w:sz w:val="21"/>
        </w:rPr>
        <w:t>e</w:t>
      </w:r>
      <w:r>
        <w:rPr>
          <w:w w:val="100"/>
          <w:sz w:val="21"/>
        </w:rPr>
        <w:t>ly </w:t>
      </w:r>
      <w:r>
        <w:rPr>
          <w:sz w:val="21"/>
        </w:rPr>
        <w:t>unhappy with the prolonged delay in the hearing and disposal of the said suits and the deteriorating management of the affairs of the Temple, particularly the way the money offered by the worshippers, who come in great numbers, is being misappropriated by the Pujaries and other Temple staff, and the receiver has not controlled this evil. Further devotees of the Plaintiff Deities are desirous of having a new Temple constructed, befitting their pristine glory, after removing the old structure at Sri Rama Janam Bhumi,</w:t>
      </w:r>
      <w:r>
        <w:rPr>
          <w:spacing w:val="-14"/>
          <w:sz w:val="21"/>
        </w:rPr>
        <w:t> </w:t>
      </w:r>
      <w:r>
        <w:rPr>
          <w:sz w:val="21"/>
        </w:rPr>
        <w:t>Ayodhya.</w:t>
      </w:r>
    </w:p>
    <w:p>
      <w:pPr>
        <w:pStyle w:val="BodyText"/>
        <w:spacing w:before="2"/>
        <w:rPr>
          <w:sz w:val="24"/>
        </w:rPr>
      </w:pPr>
    </w:p>
    <w:p>
      <w:pPr>
        <w:spacing w:before="1"/>
        <w:ind w:left="1940" w:right="0" w:firstLine="0"/>
        <w:jc w:val="left"/>
        <w:rPr>
          <w:sz w:val="21"/>
        </w:rPr>
      </w:pPr>
      <w:r>
        <w:rPr>
          <w:sz w:val="21"/>
        </w:rPr>
        <w:t>...</w:t>
      </w:r>
    </w:p>
    <w:p>
      <w:pPr>
        <w:pStyle w:val="BodyText"/>
        <w:spacing w:before="2"/>
        <w:rPr>
          <w:sz w:val="27"/>
        </w:rPr>
      </w:pPr>
    </w:p>
    <w:p>
      <w:pPr>
        <w:spacing w:line="276" w:lineRule="auto" w:before="0"/>
        <w:ind w:left="1940" w:right="2262" w:firstLine="0"/>
        <w:jc w:val="both"/>
        <w:rPr>
          <w:sz w:val="21"/>
        </w:rPr>
      </w:pPr>
      <w:r>
        <w:rPr>
          <w:sz w:val="21"/>
        </w:rPr>
        <w:t>18. That although the aforesaid suits have been pending trial for such an extraordinarily long number of years, they are inadequate and cannot result in a settlement of the dispute which led to their institution or the problems arising there from, in as much as neither the presiding Deity of Bhagwan Sri Rama Virajman nor the Asthan Sri Rama Janma Bhumi, the Plaintiffs Nos. 1 and 2 herein, who are both juridical persons, were impleaded therein, although they have a distinct personality of their own, separate from their worshippers and sewaks, and some of the actual parties thereto, who are worshippers, are to some extent involved in seeking to gratify their personal interests to be served by obtaining a control of the worship of the Plaintiff Deities. Moreover, the events which have occurred during these four decades, and many material facts and points of law require to be pleaded from the view point of the Plaintiff Deities, for a just determination of the dispute relating to Sri Rama Janma Bhumi, Ayodhya, and the land and buildings and other things appurtenant thereto. The Plaintiffs have been accordingly advised to file a fresh suit of their</w:t>
      </w:r>
      <w:r>
        <w:rPr>
          <w:spacing w:val="-10"/>
          <w:sz w:val="21"/>
        </w:rPr>
        <w:t> </w:t>
      </w:r>
      <w:r>
        <w:rPr>
          <w:sz w:val="21"/>
        </w:rPr>
        <w:t>own.</w:t>
      </w:r>
    </w:p>
    <w:p>
      <w:pPr>
        <w:pStyle w:val="BodyText"/>
        <w:spacing w:before="3"/>
        <w:rPr>
          <w:sz w:val="24"/>
        </w:rPr>
      </w:pPr>
    </w:p>
    <w:p>
      <w:pPr>
        <w:spacing w:before="0"/>
        <w:ind w:left="1940" w:right="0" w:firstLine="0"/>
        <w:jc w:val="left"/>
        <w:rPr>
          <w:sz w:val="21"/>
        </w:rPr>
      </w:pPr>
      <w:r>
        <w:rPr>
          <w:w w:val="100"/>
          <w:sz w:val="21"/>
        </w:rPr>
        <w:t>…</w:t>
      </w:r>
    </w:p>
    <w:p>
      <w:pPr>
        <w:pStyle w:val="BodyText"/>
        <w:spacing w:before="2"/>
        <w:rPr>
          <w:sz w:val="27"/>
        </w:rPr>
      </w:pPr>
    </w:p>
    <w:p>
      <w:pPr>
        <w:spacing w:line="276" w:lineRule="auto" w:before="1"/>
        <w:ind w:left="1940" w:right="2260" w:firstLine="0"/>
        <w:jc w:val="both"/>
        <w:rPr>
          <w:sz w:val="21"/>
        </w:rPr>
      </w:pPr>
      <w:r>
        <w:rPr>
          <w:sz w:val="21"/>
        </w:rPr>
        <w:t>30. That the Hindu Public and the devotees of the Plaintiff Deities, who had dreamed of establishing Ram-Rajya in Free India, that is, the rule of Dharma and righteousness, of which Maryada Purushottam Sri Ramchandra Ji Maharaj was the epitome, have been keenly desirous of restoring his Janamsthan to its pristine glory, as a first step towards that</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0" w:firstLine="0"/>
        <w:jc w:val="both"/>
        <w:rPr>
          <w:sz w:val="21"/>
        </w:rPr>
      </w:pPr>
      <w:r>
        <w:rPr>
          <w:sz w:val="21"/>
        </w:rPr>
        <w:t>national aspiration given to us by Mahatma Gandhi. For achieving this, they are publicly agitating for the construction of a grand Temple in the Nagar style. Plans and a model of the proposed Temple have already been prepared by the same family of architects who built the Somnath Temple. The active movement is planned to commence from September 30, 1989, and foundation stone of the new Temple building, it has been declared, shall be laid on November, 9, 1989.</w:t>
      </w:r>
    </w:p>
    <w:p>
      <w:pPr>
        <w:spacing w:before="1"/>
        <w:ind w:left="1940" w:right="0" w:firstLine="0"/>
        <w:jc w:val="left"/>
        <w:rPr>
          <w:sz w:val="21"/>
        </w:rPr>
      </w:pPr>
      <w:r>
        <w:rPr>
          <w:w w:val="100"/>
          <w:sz w:val="21"/>
        </w:rPr>
        <w:t>…</w:t>
      </w:r>
    </w:p>
    <w:p>
      <w:pPr>
        <w:pStyle w:val="BodyText"/>
        <w:spacing w:before="3"/>
        <w:rPr>
          <w:sz w:val="27"/>
        </w:rPr>
      </w:pPr>
    </w:p>
    <w:p>
      <w:pPr>
        <w:spacing w:line="276" w:lineRule="auto" w:before="0"/>
        <w:ind w:left="1940" w:right="2263" w:firstLine="0"/>
        <w:jc w:val="both"/>
        <w:rPr>
          <w:sz w:val="21"/>
        </w:rPr>
      </w:pPr>
      <w:r>
        <w:rPr>
          <w:sz w:val="21"/>
        </w:rPr>
        <w:t>36. </w:t>
      </w:r>
      <w:r>
        <w:rPr>
          <w:b/>
          <w:sz w:val="21"/>
        </w:rPr>
        <w:t>That the cause of action for this suit has been accruing from day to day, particularly since recently when the plans of Temple reconstruction are being sought to be obstructed by violent action from the side of certain Muslim Communalists</w:t>
      </w:r>
      <w:r>
        <w:rPr>
          <w:sz w:val="21"/>
        </w:rPr>
        <w:t>.‖ (Emphasis</w:t>
      </w:r>
      <w:r>
        <w:rPr>
          <w:spacing w:val="-21"/>
          <w:sz w:val="21"/>
        </w:rPr>
        <w:t> </w:t>
      </w:r>
      <w:r>
        <w:rPr>
          <w:sz w:val="21"/>
        </w:rPr>
        <w:t>supplied)</w:t>
      </w:r>
    </w:p>
    <w:p>
      <w:pPr>
        <w:pStyle w:val="BodyText"/>
        <w:rPr>
          <w:sz w:val="24"/>
        </w:rPr>
      </w:pPr>
    </w:p>
    <w:p>
      <w:pPr>
        <w:pStyle w:val="BodyText"/>
        <w:spacing w:line="480" w:lineRule="auto" w:before="209"/>
        <w:ind w:left="500" w:right="512"/>
      </w:pPr>
      <w:r>
        <w:rPr/>
        <w:t>The above averments of the cause of action comprise of the following components:</w:t>
      </w:r>
    </w:p>
    <w:p>
      <w:pPr>
        <w:pStyle w:val="ListParagraph"/>
        <w:numPr>
          <w:ilvl w:val="0"/>
          <w:numId w:val="123"/>
        </w:numPr>
        <w:tabs>
          <w:tab w:pos="1220" w:val="left" w:leader="none"/>
          <w:tab w:pos="1221" w:val="left" w:leader="none"/>
        </w:tabs>
        <w:spacing w:line="287" w:lineRule="exact" w:before="0" w:after="0"/>
        <w:ind w:left="1220" w:right="0" w:hanging="721"/>
        <w:jc w:val="left"/>
        <w:rPr>
          <w:sz w:val="25"/>
        </w:rPr>
      </w:pPr>
      <w:r>
        <w:rPr>
          <w:sz w:val="25"/>
        </w:rPr>
        <w:t>A prolonged delay in the hearing and disposal of Suits 1, 3 and</w:t>
      </w:r>
      <w:r>
        <w:rPr>
          <w:spacing w:val="-14"/>
          <w:sz w:val="25"/>
        </w:rPr>
        <w:t> </w:t>
      </w:r>
      <w:r>
        <w:rPr>
          <w:sz w:val="25"/>
        </w:rPr>
        <w:t>4;</w:t>
      </w:r>
    </w:p>
    <w:p>
      <w:pPr>
        <w:pStyle w:val="BodyText"/>
        <w:spacing w:before="1"/>
      </w:pPr>
    </w:p>
    <w:p>
      <w:pPr>
        <w:pStyle w:val="ListParagraph"/>
        <w:numPr>
          <w:ilvl w:val="0"/>
          <w:numId w:val="123"/>
        </w:numPr>
        <w:tabs>
          <w:tab w:pos="1221" w:val="left" w:leader="none"/>
        </w:tabs>
        <w:spacing w:line="480" w:lineRule="auto" w:before="0" w:after="0"/>
        <w:ind w:left="1220" w:right="442" w:hanging="720"/>
        <w:jc w:val="both"/>
        <w:rPr>
          <w:sz w:val="25"/>
        </w:rPr>
      </w:pPr>
      <w:r>
        <w:rPr>
          <w:sz w:val="25"/>
        </w:rPr>
        <w:t>Deterioration in the management of the affairs of the temple and the failure of the receiver to control</w:t>
      </w:r>
      <w:r>
        <w:rPr>
          <w:spacing w:val="-2"/>
          <w:sz w:val="25"/>
        </w:rPr>
        <w:t> </w:t>
      </w:r>
      <w:r>
        <w:rPr>
          <w:sz w:val="25"/>
        </w:rPr>
        <w:t>it;</w:t>
      </w:r>
    </w:p>
    <w:p>
      <w:pPr>
        <w:pStyle w:val="ListParagraph"/>
        <w:numPr>
          <w:ilvl w:val="0"/>
          <w:numId w:val="123"/>
        </w:numPr>
        <w:tabs>
          <w:tab w:pos="1221" w:val="left" w:leader="none"/>
        </w:tabs>
        <w:spacing w:line="480" w:lineRule="auto" w:before="0" w:after="0"/>
        <w:ind w:left="1220" w:right="445" w:hanging="720"/>
        <w:jc w:val="both"/>
        <w:rPr>
          <w:sz w:val="25"/>
        </w:rPr>
      </w:pPr>
      <w:r>
        <w:rPr>
          <w:sz w:val="25"/>
        </w:rPr>
        <w:t>Offerings by the worshippers have been misappropriated by the pujaris and temple</w:t>
      </w:r>
      <w:r>
        <w:rPr>
          <w:spacing w:val="-2"/>
          <w:sz w:val="25"/>
        </w:rPr>
        <w:t> </w:t>
      </w:r>
      <w:r>
        <w:rPr>
          <w:sz w:val="25"/>
        </w:rPr>
        <w:t>staff;</w:t>
      </w:r>
    </w:p>
    <w:p>
      <w:pPr>
        <w:pStyle w:val="ListParagraph"/>
        <w:numPr>
          <w:ilvl w:val="0"/>
          <w:numId w:val="123"/>
        </w:numPr>
        <w:tabs>
          <w:tab w:pos="1221" w:val="left" w:leader="none"/>
        </w:tabs>
        <w:spacing w:line="480" w:lineRule="auto" w:before="0" w:after="0"/>
        <w:ind w:left="1220" w:right="445" w:hanging="720"/>
        <w:jc w:val="both"/>
        <w:rPr>
          <w:sz w:val="25"/>
        </w:rPr>
      </w:pPr>
      <w:r>
        <w:rPr>
          <w:sz w:val="25"/>
        </w:rPr>
        <w:t>The first and second plaintiffs who are claimed to be juridical persons were not impleaded as parties to the earlier</w:t>
      </w:r>
      <w:r>
        <w:rPr>
          <w:spacing w:val="-7"/>
          <w:sz w:val="25"/>
        </w:rPr>
        <w:t> </w:t>
      </w:r>
      <w:r>
        <w:rPr>
          <w:sz w:val="25"/>
        </w:rPr>
        <w:t>suits;</w:t>
      </w:r>
    </w:p>
    <w:p>
      <w:pPr>
        <w:pStyle w:val="ListParagraph"/>
        <w:numPr>
          <w:ilvl w:val="0"/>
          <w:numId w:val="123"/>
        </w:numPr>
        <w:tabs>
          <w:tab w:pos="1221" w:val="left" w:leader="none"/>
        </w:tabs>
        <w:spacing w:line="480" w:lineRule="auto" w:before="0" w:after="0"/>
        <w:ind w:left="1220" w:right="438" w:hanging="720"/>
        <w:jc w:val="both"/>
        <w:rPr>
          <w:sz w:val="25"/>
        </w:rPr>
      </w:pPr>
      <w:r>
        <w:rPr>
          <w:sz w:val="25"/>
        </w:rPr>
        <w:t>The worshippers and sevaks and some of the parties to the suits are seeking to pursue their own personal interest in seeking control of the worship of the</w:t>
      </w:r>
      <w:r>
        <w:rPr>
          <w:spacing w:val="-1"/>
          <w:sz w:val="25"/>
        </w:rPr>
        <w:t> </w:t>
      </w:r>
      <w:r>
        <w:rPr>
          <w:sz w:val="25"/>
        </w:rPr>
        <w:t>deities;</w:t>
      </w:r>
    </w:p>
    <w:p>
      <w:pPr>
        <w:pStyle w:val="ListParagraph"/>
        <w:numPr>
          <w:ilvl w:val="0"/>
          <w:numId w:val="123"/>
        </w:numPr>
        <w:tabs>
          <w:tab w:pos="1221" w:val="left" w:leader="none"/>
        </w:tabs>
        <w:spacing w:line="480" w:lineRule="auto" w:before="1" w:after="0"/>
        <w:ind w:left="1220" w:right="443" w:hanging="720"/>
        <w:jc w:val="both"/>
        <w:rPr>
          <w:sz w:val="25"/>
        </w:rPr>
      </w:pPr>
      <w:r>
        <w:rPr>
          <w:sz w:val="25"/>
        </w:rPr>
        <w:t>Hindu devotees have been agitating for the construction of a new temple for which plans have been prepared;</w:t>
      </w:r>
      <w:r>
        <w:rPr>
          <w:spacing w:val="-1"/>
          <w:sz w:val="25"/>
        </w:rPr>
        <w:t> </w:t>
      </w:r>
      <w:r>
        <w:rPr>
          <w:sz w:val="25"/>
        </w:rPr>
        <w:t>and</w:t>
      </w:r>
    </w:p>
    <w:p>
      <w:pPr>
        <w:pStyle w:val="ListParagraph"/>
        <w:numPr>
          <w:ilvl w:val="0"/>
          <w:numId w:val="123"/>
        </w:numPr>
        <w:tabs>
          <w:tab w:pos="1221" w:val="left" w:leader="none"/>
        </w:tabs>
        <w:spacing w:line="480" w:lineRule="auto" w:before="0" w:after="0"/>
        <w:ind w:left="1220" w:right="446" w:hanging="720"/>
        <w:jc w:val="both"/>
        <w:rPr>
          <w:sz w:val="25"/>
        </w:rPr>
      </w:pPr>
      <w:r>
        <w:rPr>
          <w:spacing w:val="-1"/>
          <w:w w:val="99"/>
          <w:sz w:val="25"/>
        </w:rPr>
        <w:t>Plan</w:t>
      </w:r>
      <w:r>
        <w:rPr>
          <w:w w:val="99"/>
          <w:sz w:val="25"/>
        </w:rPr>
        <w:t>s</w:t>
      </w:r>
      <w:r>
        <w:rPr>
          <w:spacing w:val="5"/>
          <w:sz w:val="25"/>
        </w:rPr>
        <w:t> </w:t>
      </w:r>
      <w:r>
        <w:rPr>
          <w:w w:val="99"/>
          <w:sz w:val="25"/>
        </w:rPr>
        <w:t>for</w:t>
      </w:r>
      <w:r>
        <w:rPr>
          <w:spacing w:val="5"/>
          <w:sz w:val="25"/>
        </w:rPr>
        <w:t> </w:t>
      </w:r>
      <w:r>
        <w:rPr>
          <w:w w:val="99"/>
          <w:sz w:val="25"/>
        </w:rPr>
        <w:t>r</w:t>
      </w:r>
      <w:r>
        <w:rPr>
          <w:spacing w:val="-1"/>
          <w:w w:val="99"/>
          <w:sz w:val="25"/>
        </w:rPr>
        <w:t>ec</w:t>
      </w:r>
      <w:r>
        <w:rPr>
          <w:w w:val="99"/>
          <w:sz w:val="25"/>
        </w:rPr>
        <w:t>o</w:t>
      </w:r>
      <w:r>
        <w:rPr>
          <w:spacing w:val="-1"/>
          <w:w w:val="99"/>
          <w:sz w:val="25"/>
        </w:rPr>
        <w:t>nst</w:t>
      </w:r>
      <w:r>
        <w:rPr>
          <w:spacing w:val="1"/>
          <w:w w:val="99"/>
          <w:sz w:val="25"/>
        </w:rPr>
        <w:t>r</w:t>
      </w:r>
      <w:r>
        <w:rPr>
          <w:spacing w:val="-1"/>
          <w:w w:val="99"/>
          <w:sz w:val="25"/>
        </w:rPr>
        <w:t>uct</w:t>
      </w:r>
      <w:r>
        <w:rPr>
          <w:spacing w:val="-3"/>
          <w:w w:val="99"/>
          <w:sz w:val="25"/>
        </w:rPr>
        <w:t>i</w:t>
      </w:r>
      <w:r>
        <w:rPr>
          <w:spacing w:val="-1"/>
          <w:w w:val="99"/>
          <w:sz w:val="25"/>
        </w:rPr>
        <w:t>o</w:t>
      </w:r>
      <w:r>
        <w:rPr>
          <w:w w:val="99"/>
          <w:sz w:val="25"/>
        </w:rPr>
        <w:t>n</w:t>
      </w:r>
      <w:r>
        <w:rPr>
          <w:spacing w:val="5"/>
          <w:sz w:val="25"/>
        </w:rPr>
        <w:t> </w:t>
      </w:r>
      <w:r>
        <w:rPr>
          <w:spacing w:val="-1"/>
          <w:w w:val="99"/>
          <w:sz w:val="25"/>
        </w:rPr>
        <w:t>a</w:t>
      </w:r>
      <w:r>
        <w:rPr>
          <w:w w:val="99"/>
          <w:sz w:val="25"/>
        </w:rPr>
        <w:t>re</w:t>
      </w:r>
      <w:r>
        <w:rPr>
          <w:spacing w:val="5"/>
          <w:sz w:val="25"/>
        </w:rPr>
        <w:t> </w:t>
      </w:r>
      <w:r>
        <w:rPr>
          <w:w w:val="99"/>
          <w:sz w:val="25"/>
        </w:rPr>
        <w:t>sou</w:t>
      </w:r>
      <w:r>
        <w:rPr>
          <w:spacing w:val="-1"/>
          <w:w w:val="99"/>
          <w:sz w:val="25"/>
        </w:rPr>
        <w:t>g</w:t>
      </w:r>
      <w:r>
        <w:rPr>
          <w:w w:val="99"/>
          <w:sz w:val="25"/>
        </w:rPr>
        <w:t>ht</w:t>
      </w:r>
      <w:r>
        <w:rPr>
          <w:spacing w:val="5"/>
          <w:sz w:val="25"/>
        </w:rPr>
        <w:t> </w:t>
      </w:r>
      <w:r>
        <w:rPr>
          <w:w w:val="99"/>
          <w:sz w:val="25"/>
        </w:rPr>
        <w:t>to</w:t>
      </w:r>
      <w:r>
        <w:rPr>
          <w:spacing w:val="5"/>
          <w:sz w:val="25"/>
        </w:rPr>
        <w:t> </w:t>
      </w:r>
      <w:r>
        <w:rPr>
          <w:spacing w:val="-1"/>
          <w:w w:val="99"/>
          <w:sz w:val="25"/>
        </w:rPr>
        <w:t>b</w:t>
      </w:r>
      <w:r>
        <w:rPr>
          <w:w w:val="99"/>
          <w:sz w:val="25"/>
        </w:rPr>
        <w:t>e</w:t>
      </w:r>
      <w:r>
        <w:rPr>
          <w:spacing w:val="3"/>
          <w:sz w:val="25"/>
        </w:rPr>
        <w:t> </w:t>
      </w:r>
      <w:r>
        <w:rPr>
          <w:spacing w:val="-3"/>
          <w:w w:val="99"/>
          <w:sz w:val="25"/>
        </w:rPr>
        <w:t>o</w:t>
      </w:r>
      <w:r>
        <w:rPr>
          <w:spacing w:val="-1"/>
          <w:w w:val="99"/>
          <w:sz w:val="25"/>
        </w:rPr>
        <w:t>bst</w:t>
      </w:r>
      <w:r>
        <w:rPr>
          <w:spacing w:val="1"/>
          <w:w w:val="99"/>
          <w:sz w:val="25"/>
        </w:rPr>
        <w:t>r</w:t>
      </w:r>
      <w:r>
        <w:rPr>
          <w:spacing w:val="-1"/>
          <w:w w:val="99"/>
          <w:sz w:val="25"/>
        </w:rPr>
        <w:t>uct</w:t>
      </w:r>
      <w:r>
        <w:rPr>
          <w:w w:val="99"/>
          <w:sz w:val="25"/>
        </w:rPr>
        <w:t>ed</w:t>
      </w:r>
      <w:r>
        <w:rPr>
          <w:spacing w:val="5"/>
          <w:sz w:val="25"/>
        </w:rPr>
        <w:t> </w:t>
      </w:r>
      <w:r>
        <w:rPr>
          <w:w w:val="33"/>
          <w:sz w:val="25"/>
        </w:rPr>
        <w:t>―</w:t>
      </w:r>
      <w:r>
        <w:rPr>
          <w:spacing w:val="-1"/>
          <w:w w:val="99"/>
          <w:sz w:val="25"/>
        </w:rPr>
        <w:t>b</w:t>
      </w:r>
      <w:r>
        <w:rPr>
          <w:w w:val="99"/>
          <w:sz w:val="25"/>
        </w:rPr>
        <w:t>y</w:t>
      </w:r>
      <w:r>
        <w:rPr>
          <w:spacing w:val="2"/>
          <w:sz w:val="25"/>
        </w:rPr>
        <w:t> </w:t>
      </w:r>
      <w:r>
        <w:rPr>
          <w:spacing w:val="-3"/>
          <w:w w:val="99"/>
          <w:sz w:val="25"/>
        </w:rPr>
        <w:t>v</w:t>
      </w:r>
      <w:r>
        <w:rPr>
          <w:spacing w:val="-1"/>
          <w:w w:val="99"/>
          <w:sz w:val="25"/>
        </w:rPr>
        <w:t>iole</w:t>
      </w:r>
      <w:r>
        <w:rPr>
          <w:w w:val="99"/>
          <w:sz w:val="25"/>
        </w:rPr>
        <w:t>nt</w:t>
      </w:r>
      <w:r>
        <w:rPr>
          <w:spacing w:val="7"/>
          <w:sz w:val="25"/>
        </w:rPr>
        <w:t> </w:t>
      </w:r>
      <w:r>
        <w:rPr>
          <w:spacing w:val="-1"/>
          <w:w w:val="99"/>
          <w:sz w:val="25"/>
        </w:rPr>
        <w:t>acti</w:t>
      </w:r>
      <w:r>
        <w:rPr>
          <w:w w:val="99"/>
          <w:sz w:val="25"/>
        </w:rPr>
        <w:t>on</w:t>
      </w:r>
      <w:r>
        <w:rPr>
          <w:spacing w:val="5"/>
          <w:sz w:val="25"/>
        </w:rPr>
        <w:t> </w:t>
      </w:r>
      <w:r>
        <w:rPr>
          <w:w w:val="99"/>
          <w:sz w:val="25"/>
        </w:rPr>
        <w:t>fr</w:t>
      </w:r>
      <w:r>
        <w:rPr>
          <w:spacing w:val="-1"/>
          <w:w w:val="99"/>
          <w:sz w:val="25"/>
        </w:rPr>
        <w:t>om </w:t>
      </w:r>
      <w:r>
        <w:rPr>
          <w:sz w:val="25"/>
        </w:rPr>
        <w:t>the side of certain Muslim</w:t>
      </w:r>
      <w:r>
        <w:rPr>
          <w:spacing w:val="-2"/>
          <w:sz w:val="25"/>
        </w:rPr>
        <w:t> </w:t>
      </w:r>
      <w:r>
        <w:rPr>
          <w:sz w:val="25"/>
        </w:rPr>
        <w:t>communalists‖.</w:t>
      </w:r>
    </w:p>
    <w:p>
      <w:pPr>
        <w:spacing w:after="0" w:line="480" w:lineRule="auto"/>
        <w:jc w:val="both"/>
        <w:rPr>
          <w:sz w:val="25"/>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36" w:firstLine="0"/>
        <w:jc w:val="both"/>
        <w:rPr>
          <w:sz w:val="25"/>
        </w:rPr>
      </w:pPr>
      <w:r>
        <w:rPr>
          <w:spacing w:val="-1"/>
          <w:w w:val="99"/>
          <w:sz w:val="25"/>
        </w:rPr>
        <w:t>Sui</w:t>
      </w:r>
      <w:r>
        <w:rPr>
          <w:w w:val="99"/>
          <w:sz w:val="25"/>
        </w:rPr>
        <w:t>t</w:t>
      </w:r>
      <w:r>
        <w:rPr>
          <w:spacing w:val="17"/>
          <w:sz w:val="25"/>
        </w:rPr>
        <w:t> </w:t>
      </w:r>
      <w:r>
        <w:rPr>
          <w:w w:val="99"/>
          <w:sz w:val="25"/>
        </w:rPr>
        <w:t>5</w:t>
      </w:r>
      <w:r>
        <w:rPr>
          <w:spacing w:val="17"/>
          <w:sz w:val="25"/>
        </w:rPr>
        <w:t> </w:t>
      </w:r>
      <w:r>
        <w:rPr>
          <w:spacing w:val="-1"/>
          <w:w w:val="99"/>
          <w:sz w:val="25"/>
        </w:rPr>
        <w:t>wa</w:t>
      </w:r>
      <w:r>
        <w:rPr>
          <w:w w:val="99"/>
          <w:sz w:val="25"/>
        </w:rPr>
        <w:t>s</w:t>
      </w:r>
      <w:r>
        <w:rPr>
          <w:spacing w:val="16"/>
          <w:sz w:val="25"/>
        </w:rPr>
        <w:t> </w:t>
      </w:r>
      <w:r>
        <w:rPr>
          <w:spacing w:val="-1"/>
          <w:w w:val="99"/>
          <w:sz w:val="25"/>
        </w:rPr>
        <w:t>instit</w:t>
      </w:r>
      <w:r>
        <w:rPr>
          <w:w w:val="99"/>
          <w:sz w:val="25"/>
        </w:rPr>
        <w:t>uted</w:t>
      </w:r>
      <w:r>
        <w:rPr>
          <w:spacing w:val="17"/>
          <w:sz w:val="25"/>
        </w:rPr>
        <w:t> </w:t>
      </w:r>
      <w:r>
        <w:rPr>
          <w:spacing w:val="-3"/>
          <w:w w:val="99"/>
          <w:sz w:val="25"/>
        </w:rPr>
        <w:t>f</w:t>
      </w:r>
      <w:r>
        <w:rPr>
          <w:spacing w:val="-1"/>
          <w:w w:val="99"/>
          <w:sz w:val="25"/>
        </w:rPr>
        <w:t>o</w:t>
      </w:r>
      <w:r>
        <w:rPr>
          <w:w w:val="99"/>
          <w:sz w:val="25"/>
        </w:rPr>
        <w:t>r</w:t>
      </w:r>
      <w:r>
        <w:rPr>
          <w:spacing w:val="17"/>
          <w:sz w:val="25"/>
        </w:rPr>
        <w:t> </w:t>
      </w:r>
      <w:r>
        <w:rPr>
          <w:w w:val="33"/>
          <w:sz w:val="25"/>
        </w:rPr>
        <w:t>―</w:t>
      </w:r>
      <w:r>
        <w:rPr>
          <w:w w:val="99"/>
          <w:sz w:val="25"/>
        </w:rPr>
        <w:t>a</w:t>
      </w:r>
      <w:r>
        <w:rPr>
          <w:spacing w:val="14"/>
          <w:sz w:val="25"/>
        </w:rPr>
        <w:t> </w:t>
      </w:r>
      <w:r>
        <w:rPr>
          <w:spacing w:val="-1"/>
          <w:w w:val="99"/>
          <w:sz w:val="25"/>
        </w:rPr>
        <w:t>d</w:t>
      </w:r>
      <w:r>
        <w:rPr>
          <w:w w:val="99"/>
          <w:sz w:val="25"/>
        </w:rPr>
        <w:t>eclar</w:t>
      </w:r>
      <w:r>
        <w:rPr>
          <w:spacing w:val="-1"/>
          <w:w w:val="99"/>
          <w:sz w:val="25"/>
        </w:rPr>
        <w:t>ati</w:t>
      </w:r>
      <w:r>
        <w:rPr>
          <w:w w:val="99"/>
          <w:sz w:val="25"/>
        </w:rPr>
        <w:t>on</w:t>
      </w:r>
      <w:r>
        <w:rPr>
          <w:spacing w:val="14"/>
          <w:sz w:val="25"/>
        </w:rPr>
        <w:t> </w:t>
      </w:r>
      <w:r>
        <w:rPr>
          <w:w w:val="99"/>
          <w:sz w:val="25"/>
        </w:rPr>
        <w:t>that</w:t>
      </w:r>
      <w:r>
        <w:rPr>
          <w:spacing w:val="14"/>
          <w:sz w:val="25"/>
        </w:rPr>
        <w:t> </w:t>
      </w:r>
      <w:r>
        <w:rPr>
          <w:w w:val="99"/>
          <w:sz w:val="25"/>
        </w:rPr>
        <w:t>the</w:t>
      </w:r>
      <w:r>
        <w:rPr>
          <w:spacing w:val="17"/>
          <w:sz w:val="25"/>
        </w:rPr>
        <w:t> </w:t>
      </w:r>
      <w:r>
        <w:rPr>
          <w:spacing w:val="-1"/>
          <w:w w:val="99"/>
          <w:sz w:val="25"/>
        </w:rPr>
        <w:t>e</w:t>
      </w:r>
      <w:r>
        <w:rPr>
          <w:w w:val="99"/>
          <w:sz w:val="25"/>
        </w:rPr>
        <w:t>ntire</w:t>
      </w:r>
      <w:r>
        <w:rPr>
          <w:spacing w:val="14"/>
          <w:sz w:val="25"/>
        </w:rPr>
        <w:t> </w:t>
      </w:r>
      <w:r>
        <w:rPr>
          <w:spacing w:val="-1"/>
          <w:w w:val="99"/>
          <w:sz w:val="25"/>
        </w:rPr>
        <w:t>p</w:t>
      </w:r>
      <w:r>
        <w:rPr>
          <w:w w:val="99"/>
          <w:sz w:val="25"/>
        </w:rPr>
        <w:t>r</w:t>
      </w:r>
      <w:r>
        <w:rPr>
          <w:spacing w:val="-1"/>
          <w:w w:val="99"/>
          <w:sz w:val="25"/>
        </w:rPr>
        <w:t>e</w:t>
      </w:r>
      <w:r>
        <w:rPr>
          <w:w w:val="99"/>
          <w:sz w:val="25"/>
        </w:rPr>
        <w:t>m</w:t>
      </w:r>
      <w:r>
        <w:rPr>
          <w:spacing w:val="-1"/>
          <w:w w:val="99"/>
          <w:sz w:val="25"/>
        </w:rPr>
        <w:t>ise</w:t>
      </w:r>
      <w:r>
        <w:rPr>
          <w:w w:val="99"/>
          <w:sz w:val="25"/>
        </w:rPr>
        <w:t>s</w:t>
      </w:r>
      <w:r>
        <w:rPr>
          <w:spacing w:val="14"/>
          <w:sz w:val="25"/>
        </w:rPr>
        <w:t> </w:t>
      </w:r>
      <w:r>
        <w:rPr>
          <w:spacing w:val="-1"/>
          <w:w w:val="99"/>
          <w:sz w:val="25"/>
        </w:rPr>
        <w:t>o</w:t>
      </w:r>
      <w:r>
        <w:rPr>
          <w:w w:val="99"/>
          <w:sz w:val="25"/>
        </w:rPr>
        <w:t>f</w:t>
      </w:r>
      <w:r>
        <w:rPr>
          <w:spacing w:val="14"/>
          <w:sz w:val="25"/>
        </w:rPr>
        <w:t> </w:t>
      </w:r>
      <w:r>
        <w:rPr>
          <w:spacing w:val="-1"/>
          <w:w w:val="99"/>
          <w:sz w:val="25"/>
        </w:rPr>
        <w:t>S</w:t>
      </w:r>
      <w:r>
        <w:rPr>
          <w:w w:val="99"/>
          <w:sz w:val="25"/>
        </w:rPr>
        <w:t>ri</w:t>
      </w:r>
      <w:r>
        <w:rPr>
          <w:spacing w:val="16"/>
          <w:sz w:val="25"/>
        </w:rPr>
        <w:t> </w:t>
      </w:r>
      <w:r>
        <w:rPr>
          <w:spacing w:val="-1"/>
          <w:w w:val="99"/>
          <w:sz w:val="25"/>
        </w:rPr>
        <w:t>Ram </w:t>
      </w:r>
      <w:r>
        <w:rPr>
          <w:sz w:val="25"/>
        </w:rPr>
        <w:t>Janmabhumi at Ayodhya, as described and delineated in Annexures I, II and III belong to the plaintiff deities‖ and for a consequential perpetual injunction. </w:t>
      </w:r>
      <w:r>
        <w:rPr>
          <w:spacing w:val="-1"/>
          <w:w w:val="99"/>
          <w:sz w:val="25"/>
        </w:rPr>
        <w:t>An</w:t>
      </w:r>
      <w:r>
        <w:rPr>
          <w:w w:val="99"/>
          <w:sz w:val="25"/>
        </w:rPr>
        <w:t>n</w:t>
      </w:r>
      <w:r>
        <w:rPr>
          <w:spacing w:val="-1"/>
          <w:w w:val="99"/>
          <w:sz w:val="25"/>
        </w:rPr>
        <w:t>e</w:t>
      </w:r>
      <w:r>
        <w:rPr>
          <w:spacing w:val="-3"/>
          <w:w w:val="99"/>
          <w:sz w:val="25"/>
        </w:rPr>
        <w:t>x</w:t>
      </w:r>
      <w:r>
        <w:rPr>
          <w:spacing w:val="-1"/>
          <w:w w:val="99"/>
          <w:sz w:val="25"/>
        </w:rPr>
        <w:t>u</w:t>
      </w:r>
      <w:r>
        <w:rPr>
          <w:w w:val="99"/>
          <w:sz w:val="25"/>
        </w:rPr>
        <w:t>r</w:t>
      </w:r>
      <w:r>
        <w:rPr>
          <w:spacing w:val="-1"/>
          <w:w w:val="99"/>
          <w:sz w:val="25"/>
        </w:rPr>
        <w:t>e</w:t>
      </w:r>
      <w:r>
        <w:rPr>
          <w:w w:val="99"/>
          <w:sz w:val="25"/>
        </w:rPr>
        <w:t>s</w:t>
      </w:r>
      <w:r>
        <w:rPr>
          <w:spacing w:val="33"/>
          <w:sz w:val="25"/>
        </w:rPr>
        <w:t> </w:t>
      </w:r>
      <w:r>
        <w:rPr>
          <w:w w:val="99"/>
          <w:sz w:val="25"/>
        </w:rPr>
        <w:t>I,</w:t>
      </w:r>
      <w:r>
        <w:rPr>
          <w:spacing w:val="33"/>
          <w:sz w:val="25"/>
        </w:rPr>
        <w:t> </w:t>
      </w:r>
      <w:r>
        <w:rPr>
          <w:w w:val="99"/>
          <w:sz w:val="25"/>
        </w:rPr>
        <w:t>II</w:t>
      </w:r>
      <w:r>
        <w:rPr>
          <w:spacing w:val="33"/>
          <w:sz w:val="25"/>
        </w:rPr>
        <w:t> </w:t>
      </w:r>
      <w:r>
        <w:rPr>
          <w:spacing w:val="-1"/>
          <w:w w:val="99"/>
          <w:sz w:val="25"/>
        </w:rPr>
        <w:t>a</w:t>
      </w:r>
      <w:r>
        <w:rPr>
          <w:w w:val="99"/>
          <w:sz w:val="25"/>
        </w:rPr>
        <w:t>nd</w:t>
      </w:r>
      <w:r>
        <w:rPr>
          <w:spacing w:val="33"/>
          <w:sz w:val="25"/>
        </w:rPr>
        <w:t> </w:t>
      </w:r>
      <w:r>
        <w:rPr>
          <w:w w:val="99"/>
          <w:sz w:val="25"/>
        </w:rPr>
        <w:t>I</w:t>
      </w:r>
      <w:r>
        <w:rPr>
          <w:spacing w:val="2"/>
          <w:w w:val="99"/>
          <w:sz w:val="25"/>
        </w:rPr>
        <w:t>I</w:t>
      </w:r>
      <w:r>
        <w:rPr>
          <w:w w:val="99"/>
          <w:sz w:val="25"/>
        </w:rPr>
        <w:t>I</w:t>
      </w:r>
      <w:r>
        <w:rPr>
          <w:spacing w:val="33"/>
          <w:sz w:val="25"/>
        </w:rPr>
        <w:t> </w:t>
      </w:r>
      <w:r>
        <w:rPr>
          <w:spacing w:val="-1"/>
          <w:w w:val="99"/>
          <w:sz w:val="25"/>
        </w:rPr>
        <w:t>we</w:t>
      </w:r>
      <w:r>
        <w:rPr>
          <w:w w:val="99"/>
          <w:sz w:val="25"/>
        </w:rPr>
        <w:t>re</w:t>
      </w:r>
      <w:r>
        <w:rPr>
          <w:spacing w:val="33"/>
          <w:sz w:val="25"/>
        </w:rPr>
        <w:t> </w:t>
      </w:r>
      <w:r>
        <w:rPr>
          <w:spacing w:val="-1"/>
          <w:w w:val="99"/>
          <w:sz w:val="25"/>
        </w:rPr>
        <w:t>d</w:t>
      </w:r>
      <w:r>
        <w:rPr>
          <w:w w:val="99"/>
          <w:sz w:val="25"/>
        </w:rPr>
        <w:t>escr</w:t>
      </w:r>
      <w:r>
        <w:rPr>
          <w:spacing w:val="-1"/>
          <w:w w:val="99"/>
          <w:sz w:val="25"/>
        </w:rPr>
        <w:t>ibe</w:t>
      </w:r>
      <w:r>
        <w:rPr>
          <w:w w:val="99"/>
          <w:sz w:val="25"/>
        </w:rPr>
        <w:t>d</w:t>
      </w:r>
      <w:r>
        <w:rPr>
          <w:spacing w:val="34"/>
          <w:sz w:val="25"/>
        </w:rPr>
        <w:t> </w:t>
      </w:r>
      <w:r>
        <w:rPr>
          <w:spacing w:val="-1"/>
          <w:w w:val="99"/>
          <w:sz w:val="25"/>
        </w:rPr>
        <w:t>i</w:t>
      </w:r>
      <w:r>
        <w:rPr>
          <w:w w:val="99"/>
          <w:sz w:val="25"/>
        </w:rPr>
        <w:t>n</w:t>
      </w:r>
      <w:r>
        <w:rPr>
          <w:spacing w:val="33"/>
          <w:sz w:val="25"/>
        </w:rPr>
        <w:t> </w:t>
      </w:r>
      <w:r>
        <w:rPr>
          <w:spacing w:val="-1"/>
          <w:w w:val="99"/>
          <w:sz w:val="25"/>
        </w:rPr>
        <w:t>p</w:t>
      </w:r>
      <w:r>
        <w:rPr>
          <w:w w:val="99"/>
          <w:sz w:val="25"/>
        </w:rPr>
        <w:t>ar</w:t>
      </w:r>
      <w:r>
        <w:rPr>
          <w:spacing w:val="-1"/>
          <w:w w:val="99"/>
          <w:sz w:val="25"/>
        </w:rPr>
        <w:t>a</w:t>
      </w:r>
      <w:r>
        <w:rPr>
          <w:w w:val="99"/>
          <w:sz w:val="25"/>
        </w:rPr>
        <w:t>gr</w:t>
      </w:r>
      <w:r>
        <w:rPr>
          <w:spacing w:val="-1"/>
          <w:w w:val="99"/>
          <w:sz w:val="25"/>
        </w:rPr>
        <w:t>a</w:t>
      </w:r>
      <w:r>
        <w:rPr>
          <w:w w:val="99"/>
          <w:sz w:val="25"/>
        </w:rPr>
        <w:t>ph</w:t>
      </w:r>
      <w:r>
        <w:rPr>
          <w:spacing w:val="33"/>
          <w:sz w:val="25"/>
        </w:rPr>
        <w:t> </w:t>
      </w:r>
      <w:r>
        <w:rPr>
          <w:w w:val="99"/>
          <w:sz w:val="25"/>
        </w:rPr>
        <w:t>2</w:t>
      </w:r>
      <w:r>
        <w:rPr>
          <w:spacing w:val="33"/>
          <w:sz w:val="25"/>
        </w:rPr>
        <w:t> </w:t>
      </w:r>
      <w:r>
        <w:rPr>
          <w:spacing w:val="-1"/>
          <w:w w:val="99"/>
          <w:sz w:val="25"/>
        </w:rPr>
        <w:t>o</w:t>
      </w:r>
      <w:r>
        <w:rPr>
          <w:w w:val="99"/>
          <w:sz w:val="25"/>
        </w:rPr>
        <w:t>f</w:t>
      </w:r>
      <w:r>
        <w:rPr>
          <w:spacing w:val="34"/>
          <w:sz w:val="25"/>
        </w:rPr>
        <w:t> </w:t>
      </w:r>
      <w:r>
        <w:rPr>
          <w:w w:val="99"/>
          <w:sz w:val="25"/>
        </w:rPr>
        <w:t>the</w:t>
      </w:r>
      <w:r>
        <w:rPr>
          <w:spacing w:val="34"/>
          <w:sz w:val="25"/>
        </w:rPr>
        <w:t> </w:t>
      </w:r>
      <w:r>
        <w:rPr>
          <w:spacing w:val="-1"/>
          <w:w w:val="99"/>
          <w:sz w:val="25"/>
        </w:rPr>
        <w:t>pl</w:t>
      </w:r>
      <w:r>
        <w:rPr>
          <w:spacing w:val="-2"/>
          <w:w w:val="99"/>
          <w:sz w:val="25"/>
        </w:rPr>
        <w:t>a</w:t>
      </w:r>
      <w:r>
        <w:rPr>
          <w:spacing w:val="-1"/>
          <w:w w:val="99"/>
          <w:sz w:val="25"/>
        </w:rPr>
        <w:t>in</w:t>
      </w:r>
      <w:r>
        <w:rPr>
          <w:w w:val="99"/>
          <w:sz w:val="25"/>
        </w:rPr>
        <w:t>t</w:t>
      </w:r>
      <w:r>
        <w:rPr>
          <w:spacing w:val="33"/>
          <w:sz w:val="25"/>
        </w:rPr>
        <w:t> </w:t>
      </w:r>
      <w:r>
        <w:rPr>
          <w:spacing w:val="-1"/>
          <w:w w:val="99"/>
          <w:sz w:val="25"/>
        </w:rPr>
        <w:t>a</w:t>
      </w:r>
      <w:r>
        <w:rPr>
          <w:w w:val="99"/>
          <w:sz w:val="25"/>
        </w:rPr>
        <w:t>s</w:t>
      </w:r>
      <w:r>
        <w:rPr>
          <w:spacing w:val="33"/>
          <w:sz w:val="25"/>
        </w:rPr>
        <w:t> </w:t>
      </w:r>
      <w:r>
        <w:rPr>
          <w:w w:val="33"/>
          <w:sz w:val="25"/>
        </w:rPr>
        <w:t>―</w:t>
      </w:r>
      <w:r>
        <w:rPr>
          <w:w w:val="99"/>
          <w:sz w:val="25"/>
        </w:rPr>
        <w:t>two</w:t>
      </w:r>
      <w:r>
        <w:rPr>
          <w:spacing w:val="33"/>
          <w:sz w:val="25"/>
        </w:rPr>
        <w:t> </w:t>
      </w:r>
      <w:r>
        <w:rPr>
          <w:w w:val="99"/>
          <w:sz w:val="25"/>
        </w:rPr>
        <w:t>site </w:t>
      </w:r>
      <w:r>
        <w:rPr>
          <w:sz w:val="25"/>
        </w:rPr>
        <w:t>plans of the building premises and of the adjacent area known as Sri Rama Janma Bhumi, prepared by Shiv Shankar Lal Pleader … along with his Report dated 25.05.1950.‖ After the decision of the Constitution Bench of this Court in </w:t>
      </w:r>
      <w:r>
        <w:rPr>
          <w:b/>
          <w:sz w:val="25"/>
        </w:rPr>
        <w:t>Dr M Ismail Faruqui </w:t>
      </w:r>
      <w:r>
        <w:rPr>
          <w:sz w:val="25"/>
        </w:rPr>
        <w:t>v </w:t>
      </w:r>
      <w:r>
        <w:rPr>
          <w:b/>
          <w:sz w:val="25"/>
        </w:rPr>
        <w:t>Union of India</w:t>
      </w:r>
      <w:r>
        <w:rPr>
          <w:sz w:val="25"/>
          <w:vertAlign w:val="superscript"/>
        </w:rPr>
        <w:t>238</w:t>
      </w:r>
      <w:r>
        <w:rPr>
          <w:sz w:val="25"/>
          <w:vertAlign w:val="baseline"/>
        </w:rPr>
        <w:t>, the dispute has been circumscribed to the area comprised in the inner and outer</w:t>
      </w:r>
      <w:r>
        <w:rPr>
          <w:spacing w:val="-7"/>
          <w:sz w:val="25"/>
          <w:vertAlign w:val="baseline"/>
        </w:rPr>
        <w:t> </w:t>
      </w:r>
      <w:r>
        <w:rPr>
          <w:sz w:val="25"/>
          <w:vertAlign w:val="baseline"/>
        </w:rPr>
        <w:t>courtyards.</w:t>
      </w:r>
    </w:p>
    <w:p>
      <w:pPr>
        <w:pStyle w:val="BodyText"/>
        <w:spacing w:line="480" w:lineRule="auto" w:before="161"/>
        <w:ind w:left="500" w:right="439"/>
        <w:jc w:val="both"/>
      </w:pPr>
      <w:r>
        <w:rPr/>
        <w:t>Suit 5 was instituted on 1 July 1989, on which date, the Limitation Act 1963 was in</w:t>
      </w:r>
      <w:r>
        <w:rPr>
          <w:spacing w:val="-2"/>
        </w:rPr>
        <w:t> </w:t>
      </w:r>
      <w:r>
        <w:rPr/>
        <w:t>force.</w:t>
      </w:r>
    </w:p>
    <w:p>
      <w:pPr>
        <w:pStyle w:val="BodyText"/>
      </w:pPr>
    </w:p>
    <w:p>
      <w:pPr>
        <w:spacing w:before="0"/>
        <w:ind w:left="500" w:right="0" w:firstLine="0"/>
        <w:jc w:val="left"/>
        <w:rPr>
          <w:i/>
          <w:sz w:val="25"/>
        </w:rPr>
      </w:pPr>
      <w:r>
        <w:rPr>
          <w:i/>
          <w:sz w:val="25"/>
        </w:rPr>
        <w:t>Submissions</w:t>
      </w:r>
    </w:p>
    <w:p>
      <w:pPr>
        <w:pStyle w:val="BodyText"/>
        <w:rPr>
          <w:i/>
          <w:sz w:val="28"/>
        </w:rPr>
      </w:pPr>
    </w:p>
    <w:p>
      <w:pPr>
        <w:pStyle w:val="BodyText"/>
        <w:spacing w:before="11"/>
        <w:rPr>
          <w:i/>
          <w:sz w:val="21"/>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Setting up the bar of limitation, Dr Rajeev Dhavan, learned Senior Counsel appearing on behalf of the Sunni Central Waqf Board, canvassed the following propositions:</w:t>
      </w:r>
    </w:p>
    <w:p>
      <w:pPr>
        <w:pStyle w:val="ListParagraph"/>
        <w:numPr>
          <w:ilvl w:val="0"/>
          <w:numId w:val="124"/>
        </w:numPr>
        <w:tabs>
          <w:tab w:pos="1221" w:val="left" w:leader="none"/>
        </w:tabs>
        <w:spacing w:line="482" w:lineRule="auto" w:before="159" w:after="0"/>
        <w:ind w:left="1220" w:right="437" w:hanging="720"/>
        <w:jc w:val="both"/>
        <w:rPr>
          <w:sz w:val="25"/>
        </w:rPr>
      </w:pPr>
      <w:r>
        <w:rPr>
          <w:sz w:val="25"/>
        </w:rPr>
        <w:t>Section 10 of the Limitation Act 1963 has no application to the present case since the provision applies to a suit </w:t>
      </w:r>
      <w:r>
        <w:rPr>
          <w:sz w:val="25"/>
          <w:u w:val="single"/>
        </w:rPr>
        <w:t>against</w:t>
      </w:r>
      <w:r>
        <w:rPr>
          <w:sz w:val="25"/>
        </w:rPr>
        <w:t> a person in</w:t>
      </w:r>
      <w:r>
        <w:rPr>
          <w:spacing w:val="1"/>
          <w:sz w:val="25"/>
        </w:rPr>
        <w:t> </w:t>
      </w:r>
      <w:r>
        <w:rPr>
          <w:sz w:val="25"/>
        </w:rPr>
        <w:t>whom</w:t>
      </w:r>
    </w:p>
    <w:p>
      <w:pPr>
        <w:pStyle w:val="BodyText"/>
        <w:spacing w:line="480" w:lineRule="auto"/>
        <w:ind w:left="1220" w:right="437"/>
        <w:jc w:val="both"/>
      </w:pPr>
      <w:r>
        <w:rPr/>
        <w:t>property has become vested in trust for any specific purpose, or his legal representative or assigns (other than for lawful consideration) for following in his or their hands the property or the proceeds thereof or for an account of the property or proceeds;</w:t>
      </w:r>
    </w:p>
    <w:p>
      <w:pPr>
        <w:pStyle w:val="BodyText"/>
        <w:rPr>
          <w:sz w:val="20"/>
        </w:rPr>
      </w:pPr>
    </w:p>
    <w:p>
      <w:pPr>
        <w:pStyle w:val="BodyText"/>
        <w:rPr>
          <w:sz w:val="20"/>
        </w:rPr>
      </w:pPr>
    </w:p>
    <w:p>
      <w:pPr>
        <w:pStyle w:val="BodyText"/>
        <w:spacing w:before="1"/>
        <w:rPr>
          <w:sz w:val="14"/>
        </w:rPr>
      </w:pPr>
      <w:r>
        <w:rPr/>
        <w:pict>
          <v:rect style="position:absolute;margin-left:72.024002pt;margin-top:10.071558pt;width:144.020pt;height:.599980pt;mso-position-horizontal-relative:page;mso-position-vertical-relative:paragraph;z-index:-1566259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238</w:t>
      </w:r>
      <w:r>
        <w:rPr>
          <w:sz w:val="18"/>
          <w:vertAlign w:val="baseline"/>
        </w:rPr>
        <w:t> (1994) 6 SCC 360</w:t>
      </w:r>
    </w:p>
    <w:p>
      <w:pPr>
        <w:spacing w:after="0"/>
        <w:jc w:val="left"/>
        <w:rPr>
          <w:sz w:val="18"/>
        </w:rPr>
        <w:sectPr>
          <w:pgSz w:w="11910" w:h="16840"/>
          <w:pgMar w:header="721" w:footer="1014" w:top="1300" w:bottom="1200" w:left="940" w:right="1000"/>
        </w:sectPr>
      </w:pPr>
    </w:p>
    <w:p>
      <w:pPr>
        <w:pStyle w:val="ListParagraph"/>
        <w:numPr>
          <w:ilvl w:val="0"/>
          <w:numId w:val="124"/>
        </w:numPr>
        <w:tabs>
          <w:tab w:pos="1221" w:val="left" w:leader="none"/>
        </w:tabs>
        <w:spacing w:line="480" w:lineRule="auto" w:before="124" w:after="0"/>
        <w:ind w:left="1220" w:right="440" w:hanging="720"/>
        <w:jc w:val="both"/>
        <w:rPr>
          <w:sz w:val="25"/>
        </w:rPr>
      </w:pPr>
      <w:r>
        <w:rPr>
          <w:w w:val="99"/>
          <w:sz w:val="25"/>
        </w:rPr>
        <w:t>T</w:t>
      </w:r>
      <w:r>
        <w:rPr>
          <w:spacing w:val="-1"/>
          <w:w w:val="99"/>
          <w:sz w:val="25"/>
        </w:rPr>
        <w:t>h</w:t>
      </w:r>
      <w:r>
        <w:rPr>
          <w:w w:val="99"/>
          <w:sz w:val="25"/>
        </w:rPr>
        <w:t>e</w:t>
      </w:r>
      <w:r>
        <w:rPr>
          <w:sz w:val="25"/>
        </w:rPr>
        <w:t> </w:t>
      </w:r>
      <w:r>
        <w:rPr>
          <w:spacing w:val="-22"/>
          <w:sz w:val="25"/>
        </w:rPr>
        <w:t> </w:t>
      </w:r>
      <w:r>
        <w:rPr>
          <w:w w:val="99"/>
          <w:sz w:val="25"/>
        </w:rPr>
        <w:t>suit</w:t>
      </w:r>
      <w:r>
        <w:rPr>
          <w:sz w:val="25"/>
        </w:rPr>
        <w:t> </w:t>
      </w:r>
      <w:r>
        <w:rPr>
          <w:spacing w:val="-22"/>
          <w:sz w:val="25"/>
        </w:rPr>
        <w:t> </w:t>
      </w:r>
      <w:r>
        <w:rPr>
          <w:w w:val="99"/>
          <w:sz w:val="25"/>
        </w:rPr>
        <w:t>cou</w:t>
      </w:r>
      <w:r>
        <w:rPr>
          <w:spacing w:val="-1"/>
          <w:w w:val="99"/>
          <w:sz w:val="25"/>
        </w:rPr>
        <w:t>l</w:t>
      </w:r>
      <w:r>
        <w:rPr>
          <w:w w:val="99"/>
          <w:sz w:val="25"/>
        </w:rPr>
        <w:t>d</w:t>
      </w:r>
      <w:r>
        <w:rPr>
          <w:sz w:val="25"/>
        </w:rPr>
        <w:t> </w:t>
      </w:r>
      <w:r>
        <w:rPr>
          <w:spacing w:val="-24"/>
          <w:sz w:val="25"/>
        </w:rPr>
        <w:t> </w:t>
      </w:r>
      <w:r>
        <w:rPr>
          <w:spacing w:val="-1"/>
          <w:w w:val="99"/>
          <w:sz w:val="25"/>
        </w:rPr>
        <w:t>n</w:t>
      </w:r>
      <w:r>
        <w:rPr>
          <w:w w:val="99"/>
          <w:sz w:val="25"/>
        </w:rPr>
        <w:t>ot</w:t>
      </w:r>
      <w:r>
        <w:rPr>
          <w:sz w:val="25"/>
        </w:rPr>
        <w:t> </w:t>
      </w:r>
      <w:r>
        <w:rPr>
          <w:spacing w:val="-22"/>
          <w:sz w:val="25"/>
        </w:rPr>
        <w:t> </w:t>
      </w:r>
      <w:r>
        <w:rPr>
          <w:spacing w:val="-3"/>
          <w:w w:val="99"/>
          <w:sz w:val="25"/>
        </w:rPr>
        <w:t>h</w:t>
      </w:r>
      <w:r>
        <w:rPr>
          <w:spacing w:val="-1"/>
          <w:w w:val="99"/>
          <w:sz w:val="25"/>
        </w:rPr>
        <w:t>a</w:t>
      </w:r>
      <w:r>
        <w:rPr>
          <w:spacing w:val="-3"/>
          <w:w w:val="99"/>
          <w:sz w:val="25"/>
        </w:rPr>
        <w:t>v</w:t>
      </w:r>
      <w:r>
        <w:rPr>
          <w:w w:val="99"/>
          <w:sz w:val="25"/>
        </w:rPr>
        <w:t>e</w:t>
      </w:r>
      <w:r>
        <w:rPr>
          <w:sz w:val="25"/>
        </w:rPr>
        <w:t> </w:t>
      </w:r>
      <w:r>
        <w:rPr>
          <w:spacing w:val="-22"/>
          <w:sz w:val="25"/>
        </w:rPr>
        <w:t> </w:t>
      </w:r>
      <w:r>
        <w:rPr>
          <w:spacing w:val="-1"/>
          <w:w w:val="99"/>
          <w:sz w:val="25"/>
        </w:rPr>
        <w:t>b</w:t>
      </w:r>
      <w:r>
        <w:rPr>
          <w:w w:val="99"/>
          <w:sz w:val="25"/>
        </w:rPr>
        <w:t>e</w:t>
      </w:r>
      <w:r>
        <w:rPr>
          <w:spacing w:val="-1"/>
          <w:w w:val="99"/>
          <w:sz w:val="25"/>
        </w:rPr>
        <w:t>e</w:t>
      </w:r>
      <w:r>
        <w:rPr>
          <w:w w:val="99"/>
          <w:sz w:val="25"/>
        </w:rPr>
        <w:t>n</w:t>
      </w:r>
      <w:r>
        <w:rPr>
          <w:sz w:val="25"/>
        </w:rPr>
        <w:t> </w:t>
      </w:r>
      <w:r>
        <w:rPr>
          <w:spacing w:val="-22"/>
          <w:sz w:val="25"/>
        </w:rPr>
        <w:t> </w:t>
      </w:r>
      <w:r>
        <w:rPr>
          <w:spacing w:val="-1"/>
          <w:w w:val="99"/>
          <w:sz w:val="25"/>
        </w:rPr>
        <w:t>instit</w:t>
      </w:r>
      <w:r>
        <w:rPr>
          <w:w w:val="99"/>
          <w:sz w:val="25"/>
        </w:rPr>
        <w:t>uted</w:t>
      </w:r>
      <w:r>
        <w:rPr>
          <w:sz w:val="25"/>
        </w:rPr>
        <w:t> </w:t>
      </w:r>
      <w:r>
        <w:rPr>
          <w:spacing w:val="-24"/>
          <w:sz w:val="25"/>
        </w:rPr>
        <w:t> </w:t>
      </w:r>
      <w:r>
        <w:rPr>
          <w:spacing w:val="-1"/>
          <w:w w:val="99"/>
          <w:sz w:val="25"/>
        </w:rPr>
        <w:t>whe</w:t>
      </w:r>
      <w:r>
        <w:rPr>
          <w:w w:val="99"/>
          <w:sz w:val="25"/>
        </w:rPr>
        <w:t>n</w:t>
      </w:r>
      <w:r>
        <w:rPr>
          <w:sz w:val="25"/>
        </w:rPr>
        <w:t> </w:t>
      </w:r>
      <w:r>
        <w:rPr>
          <w:spacing w:val="-21"/>
          <w:sz w:val="25"/>
        </w:rPr>
        <w:t> </w:t>
      </w:r>
      <w:r>
        <w:rPr>
          <w:w w:val="99"/>
          <w:sz w:val="25"/>
        </w:rPr>
        <w:t>the</w:t>
      </w:r>
      <w:r>
        <w:rPr>
          <w:sz w:val="25"/>
        </w:rPr>
        <w:t> </w:t>
      </w:r>
      <w:r>
        <w:rPr>
          <w:spacing w:val="-21"/>
          <w:sz w:val="25"/>
        </w:rPr>
        <w:t> </w:t>
      </w:r>
      <w:r>
        <w:rPr>
          <w:spacing w:val="-1"/>
          <w:w w:val="99"/>
          <w:sz w:val="25"/>
        </w:rPr>
        <w:t>d</w:t>
      </w:r>
      <w:r>
        <w:rPr>
          <w:w w:val="99"/>
          <w:sz w:val="25"/>
        </w:rPr>
        <w:t>e</w:t>
      </w:r>
      <w:r>
        <w:rPr>
          <w:spacing w:val="-1"/>
          <w:w w:val="99"/>
          <w:sz w:val="25"/>
        </w:rPr>
        <w:t>it</w:t>
      </w:r>
      <w:r>
        <w:rPr>
          <w:w w:val="99"/>
          <w:sz w:val="25"/>
        </w:rPr>
        <w:t>y</w:t>
      </w:r>
      <w:r>
        <w:rPr>
          <w:sz w:val="25"/>
        </w:rPr>
        <w:t> </w:t>
      </w:r>
      <w:r>
        <w:rPr>
          <w:spacing w:val="-25"/>
          <w:sz w:val="25"/>
        </w:rPr>
        <w:t> </w:t>
      </w:r>
      <w:r>
        <w:rPr>
          <w:spacing w:val="-1"/>
          <w:w w:val="99"/>
          <w:sz w:val="25"/>
        </w:rPr>
        <w:t>wa</w:t>
      </w:r>
      <w:r>
        <w:rPr>
          <w:w w:val="99"/>
          <w:sz w:val="25"/>
        </w:rPr>
        <w:t>s</w:t>
      </w:r>
      <w:r>
        <w:rPr>
          <w:sz w:val="25"/>
        </w:rPr>
        <w:t> </w:t>
      </w:r>
      <w:r>
        <w:rPr>
          <w:spacing w:val="-24"/>
          <w:sz w:val="25"/>
        </w:rPr>
        <w:t> </w:t>
      </w:r>
      <w:r>
        <w:rPr>
          <w:spacing w:val="-1"/>
          <w:w w:val="99"/>
          <w:sz w:val="25"/>
        </w:rPr>
        <w:t>b</w:t>
      </w:r>
      <w:r>
        <w:rPr>
          <w:w w:val="99"/>
          <w:sz w:val="25"/>
        </w:rPr>
        <w:t>e</w:t>
      </w:r>
      <w:r>
        <w:rPr>
          <w:spacing w:val="-1"/>
          <w:w w:val="99"/>
          <w:sz w:val="25"/>
        </w:rPr>
        <w:t>in</w:t>
      </w:r>
      <w:r>
        <w:rPr>
          <w:w w:val="99"/>
          <w:sz w:val="25"/>
        </w:rPr>
        <w:t>g</w:t>
      </w:r>
      <w:r>
        <w:rPr>
          <w:sz w:val="25"/>
        </w:rPr>
        <w:t> </w:t>
      </w:r>
      <w:r>
        <w:rPr>
          <w:spacing w:val="-21"/>
          <w:sz w:val="25"/>
        </w:rPr>
        <w:t> </w:t>
      </w:r>
      <w:r>
        <w:rPr>
          <w:w w:val="33"/>
          <w:sz w:val="25"/>
        </w:rPr>
        <w:t>―</w:t>
      </w:r>
      <w:r>
        <w:rPr>
          <w:spacing w:val="-1"/>
          <w:w w:val="99"/>
          <w:sz w:val="25"/>
        </w:rPr>
        <w:t>well </w:t>
      </w:r>
      <w:r>
        <w:rPr>
          <w:sz w:val="25"/>
        </w:rPr>
        <w:t>represented‖ through its shebait – the Nirmohi Akhara - and no removal of the shebait has been sought on account of a grievance bearing on misconduct;</w:t>
      </w:r>
    </w:p>
    <w:p>
      <w:pPr>
        <w:pStyle w:val="ListParagraph"/>
        <w:numPr>
          <w:ilvl w:val="0"/>
          <w:numId w:val="124"/>
        </w:numPr>
        <w:tabs>
          <w:tab w:pos="1221" w:val="left" w:leader="none"/>
        </w:tabs>
        <w:spacing w:line="480" w:lineRule="auto" w:before="0" w:after="0"/>
        <w:ind w:left="1220" w:right="436" w:hanging="720"/>
        <w:jc w:val="both"/>
        <w:rPr>
          <w:sz w:val="25"/>
        </w:rPr>
      </w:pPr>
      <w:r>
        <w:rPr>
          <w:sz w:val="25"/>
        </w:rPr>
        <w:t>The defence that a deity is a perpetual minor will not aid the plaintiffs in Suit 5 for the reason that the deity was represented by the shebait </w:t>
      </w:r>
      <w:r>
        <w:rPr>
          <w:spacing w:val="3"/>
          <w:sz w:val="25"/>
        </w:rPr>
        <w:t>and </w:t>
      </w:r>
      <w:r>
        <w:rPr>
          <w:sz w:val="25"/>
        </w:rPr>
        <w:t>a suit can be instituted by a worshipper as a next friend only when the shebait is found to have acted adversely to the interest of the deity. However, no allegation has been made by the next friend against the shebait;</w:t>
      </w:r>
    </w:p>
    <w:p>
      <w:pPr>
        <w:pStyle w:val="ListParagraph"/>
        <w:numPr>
          <w:ilvl w:val="0"/>
          <w:numId w:val="124"/>
        </w:numPr>
        <w:tabs>
          <w:tab w:pos="1221" w:val="left" w:leader="none"/>
        </w:tabs>
        <w:spacing w:line="480" w:lineRule="auto" w:before="1" w:after="0"/>
        <w:ind w:left="1220" w:right="442" w:hanging="720"/>
        <w:jc w:val="both"/>
        <w:rPr>
          <w:sz w:val="25"/>
        </w:rPr>
      </w:pPr>
      <w:r>
        <w:rPr>
          <w:sz w:val="25"/>
        </w:rPr>
        <w:t>It is a settled principle of law that limitation runs against a perpetual minor; and</w:t>
      </w:r>
    </w:p>
    <w:p>
      <w:pPr>
        <w:pStyle w:val="ListParagraph"/>
        <w:numPr>
          <w:ilvl w:val="0"/>
          <w:numId w:val="124"/>
        </w:numPr>
        <w:tabs>
          <w:tab w:pos="1221" w:val="left" w:leader="none"/>
        </w:tabs>
        <w:spacing w:line="240" w:lineRule="auto" w:before="0" w:after="0"/>
        <w:ind w:left="1220" w:right="0" w:hanging="721"/>
        <w:jc w:val="both"/>
        <w:rPr>
          <w:sz w:val="25"/>
        </w:rPr>
      </w:pPr>
      <w:r>
        <w:rPr>
          <w:sz w:val="25"/>
        </w:rPr>
        <w:t>Suit</w:t>
      </w:r>
      <w:r>
        <w:rPr>
          <w:spacing w:val="11"/>
          <w:sz w:val="25"/>
        </w:rPr>
        <w:t> </w:t>
      </w:r>
      <w:r>
        <w:rPr>
          <w:sz w:val="25"/>
        </w:rPr>
        <w:t>5</w:t>
      </w:r>
      <w:r>
        <w:rPr>
          <w:spacing w:val="11"/>
          <w:sz w:val="25"/>
        </w:rPr>
        <w:t> </w:t>
      </w:r>
      <w:r>
        <w:rPr>
          <w:sz w:val="25"/>
        </w:rPr>
        <w:t>is</w:t>
      </w:r>
      <w:r>
        <w:rPr>
          <w:spacing w:val="11"/>
          <w:sz w:val="25"/>
        </w:rPr>
        <w:t> </w:t>
      </w:r>
      <w:r>
        <w:rPr>
          <w:sz w:val="25"/>
        </w:rPr>
        <w:t>not</w:t>
      </w:r>
      <w:r>
        <w:rPr>
          <w:spacing w:val="11"/>
          <w:sz w:val="25"/>
        </w:rPr>
        <w:t> </w:t>
      </w:r>
      <w:r>
        <w:rPr>
          <w:sz w:val="25"/>
        </w:rPr>
        <w:t>maintainable</w:t>
      </w:r>
      <w:r>
        <w:rPr>
          <w:spacing w:val="12"/>
          <w:sz w:val="25"/>
        </w:rPr>
        <w:t> </w:t>
      </w:r>
      <w:r>
        <w:rPr>
          <w:sz w:val="25"/>
        </w:rPr>
        <w:t>as</w:t>
      </w:r>
      <w:r>
        <w:rPr>
          <w:spacing w:val="11"/>
          <w:sz w:val="25"/>
        </w:rPr>
        <w:t> </w:t>
      </w:r>
      <w:r>
        <w:rPr>
          <w:sz w:val="25"/>
        </w:rPr>
        <w:t>there</w:t>
      </w:r>
      <w:r>
        <w:rPr>
          <w:spacing w:val="11"/>
          <w:sz w:val="25"/>
        </w:rPr>
        <w:t> </w:t>
      </w:r>
      <w:r>
        <w:rPr>
          <w:sz w:val="25"/>
        </w:rPr>
        <w:t>was</w:t>
      </w:r>
      <w:r>
        <w:rPr>
          <w:spacing w:val="12"/>
          <w:sz w:val="25"/>
        </w:rPr>
        <w:t> </w:t>
      </w:r>
      <w:r>
        <w:rPr>
          <w:sz w:val="25"/>
        </w:rPr>
        <w:t>no</w:t>
      </w:r>
      <w:r>
        <w:rPr>
          <w:spacing w:val="13"/>
          <w:sz w:val="25"/>
        </w:rPr>
        <w:t> </w:t>
      </w:r>
      <w:r>
        <w:rPr>
          <w:sz w:val="25"/>
        </w:rPr>
        <w:t>cause</w:t>
      </w:r>
      <w:r>
        <w:rPr>
          <w:spacing w:val="12"/>
          <w:sz w:val="25"/>
        </w:rPr>
        <w:t> </w:t>
      </w:r>
      <w:r>
        <w:rPr>
          <w:sz w:val="25"/>
        </w:rPr>
        <w:t>of</w:t>
      </w:r>
      <w:r>
        <w:rPr>
          <w:spacing w:val="11"/>
          <w:sz w:val="25"/>
        </w:rPr>
        <w:t> </w:t>
      </w:r>
      <w:r>
        <w:rPr>
          <w:sz w:val="25"/>
        </w:rPr>
        <w:t>action</w:t>
      </w:r>
      <w:r>
        <w:rPr>
          <w:spacing w:val="11"/>
          <w:sz w:val="25"/>
        </w:rPr>
        <w:t> </w:t>
      </w:r>
      <w:r>
        <w:rPr>
          <w:sz w:val="25"/>
        </w:rPr>
        <w:t>for</w:t>
      </w:r>
      <w:r>
        <w:rPr>
          <w:spacing w:val="13"/>
          <w:sz w:val="25"/>
        </w:rPr>
        <w:t> </w:t>
      </w:r>
      <w:r>
        <w:rPr>
          <w:sz w:val="25"/>
        </w:rPr>
        <w:t>instituting</w:t>
      </w:r>
      <w:r>
        <w:rPr>
          <w:spacing w:val="11"/>
          <w:sz w:val="25"/>
        </w:rPr>
        <w:t> </w:t>
      </w:r>
      <w:r>
        <w:rPr>
          <w:sz w:val="25"/>
        </w:rPr>
        <w:t>it.</w:t>
      </w:r>
    </w:p>
    <w:p>
      <w:pPr>
        <w:pStyle w:val="BodyText"/>
        <w:spacing w:before="10"/>
        <w:rPr>
          <w:sz w:val="24"/>
        </w:rPr>
      </w:pPr>
    </w:p>
    <w:p>
      <w:pPr>
        <w:pStyle w:val="BodyText"/>
        <w:spacing w:line="480" w:lineRule="auto"/>
        <w:ind w:left="1220" w:right="445"/>
        <w:jc w:val="both"/>
      </w:pPr>
      <w:r>
        <w:rPr/>
        <w:t>Even otherwise, whichever provisions of the Limitation Act are applicable, Suit 5 would be barred by limitation.</w:t>
      </w:r>
    </w:p>
    <w:p>
      <w:pPr>
        <w:pStyle w:val="BodyText"/>
        <w:rPr>
          <w:sz w:val="28"/>
        </w:rPr>
      </w:pPr>
    </w:p>
    <w:p>
      <w:pPr>
        <w:pStyle w:val="BodyText"/>
        <w:spacing w:before="1"/>
        <w:rPr>
          <w:sz w:val="22"/>
        </w:rPr>
      </w:pPr>
    </w:p>
    <w:p>
      <w:pPr>
        <w:pStyle w:val="BodyText"/>
        <w:spacing w:line="480" w:lineRule="auto"/>
        <w:ind w:left="500" w:right="437"/>
        <w:jc w:val="both"/>
      </w:pPr>
      <w:r>
        <w:rPr/>
        <w:t>On 23 September 2019, Dr Dhavan during the course of his oral submissions responded to the submissions of Mr Parasaran on limitation. While doing so, Dr Dhavan proceeded on the basis that Mr Parasaran had sought the benefit of Section 10 of the Limitation Act in submitting that the suit was within limitation. Subsequently, on 24 September 2019, in the fair tradition of the Bar of this Court, Dr Dhavan clarified that he was informed by Mr Parasaran that he was not taking the benefit of Section 10 and did not make a submission seeking the benefit of</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8"/>
      </w:pPr>
      <w:r>
        <w:rPr/>
        <w:t>that provision. Dr Dhavan hence urged that the submissions under Section 10 be read as submissions urged by him.</w:t>
      </w:r>
    </w:p>
    <w:p>
      <w:pPr>
        <w:pStyle w:val="BodyText"/>
        <w:spacing w:before="11"/>
        <w:rPr>
          <w:sz w:val="38"/>
        </w:rPr>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Mr Parasaran urged that the contentions of Dr Dhavan, appearing for the Defendant-Sunni Waqf Board proceed on the footing that the plaintiffs are not juridical persons and that the Mahant of Nirmohi Akhara is a valid shebait both for the first and second plaintiffs. On the issue of limitation, the three judges of the Allahabad High Court unanimously held in favour of the plaintiffs (except that Justice S U Khan did not determine as to whether the second plaintiff is a juristic person). Hence, Mr Parasaran urged that the issue of limitation would depend upon the findings of this Court on issues 1,6 and 8</w:t>
      </w:r>
      <w:r>
        <w:rPr>
          <w:sz w:val="25"/>
          <w:vertAlign w:val="superscript"/>
        </w:rPr>
        <w:t>239</w:t>
      </w:r>
      <w:r>
        <w:rPr>
          <w:sz w:val="25"/>
          <w:vertAlign w:val="baseline"/>
        </w:rPr>
        <w:t> in Suit 5 and in the event that these issues are held in favour of the plaintiffs in Suit 5, the attack of the defendants to the suit being barred by limitation would, in consequence,</w:t>
      </w:r>
      <w:r>
        <w:rPr>
          <w:spacing w:val="-14"/>
          <w:sz w:val="25"/>
          <w:vertAlign w:val="baseline"/>
        </w:rPr>
        <w:t> </w:t>
      </w:r>
      <w:r>
        <w:rPr>
          <w:sz w:val="25"/>
          <w:vertAlign w:val="baseline"/>
        </w:rPr>
        <w:t>fail.</w:t>
      </w:r>
    </w:p>
    <w:p>
      <w:pPr>
        <w:pStyle w:val="BodyText"/>
        <w:rPr>
          <w:sz w:val="39"/>
        </w:rPr>
      </w:pPr>
    </w:p>
    <w:p>
      <w:pPr>
        <w:pStyle w:val="ListParagraph"/>
        <w:numPr>
          <w:ilvl w:val="0"/>
          <w:numId w:val="111"/>
        </w:numPr>
        <w:tabs>
          <w:tab w:pos="1221" w:val="left" w:leader="none"/>
        </w:tabs>
        <w:spacing w:line="480" w:lineRule="auto" w:before="0" w:after="0"/>
        <w:ind w:left="500" w:right="433" w:firstLine="0"/>
        <w:jc w:val="both"/>
        <w:rPr>
          <w:sz w:val="25"/>
        </w:rPr>
      </w:pPr>
      <w:r>
        <w:rPr>
          <w:sz w:val="25"/>
        </w:rPr>
        <w:t>At the outset, it is necessary to record that in the course of the present judgment, it has been held</w:t>
      </w:r>
      <w:r>
        <w:rPr>
          <w:spacing w:val="-6"/>
          <w:sz w:val="25"/>
        </w:rPr>
        <w:t> </w:t>
      </w:r>
      <w:r>
        <w:rPr>
          <w:sz w:val="25"/>
        </w:rPr>
        <w:t>that:</w:t>
      </w:r>
    </w:p>
    <w:p>
      <w:pPr>
        <w:pStyle w:val="ListParagraph"/>
        <w:numPr>
          <w:ilvl w:val="0"/>
          <w:numId w:val="125"/>
        </w:numPr>
        <w:tabs>
          <w:tab w:pos="1221" w:val="left" w:leader="none"/>
        </w:tabs>
        <w:spacing w:line="240" w:lineRule="auto" w:before="158" w:after="0"/>
        <w:ind w:left="1220" w:right="0" w:hanging="721"/>
        <w:jc w:val="both"/>
        <w:rPr>
          <w:sz w:val="25"/>
        </w:rPr>
      </w:pPr>
      <w:r>
        <w:rPr>
          <w:sz w:val="25"/>
        </w:rPr>
        <w:t>Nirmohi Akhara has failed to establish its case of being a</w:t>
      </w:r>
      <w:r>
        <w:rPr>
          <w:spacing w:val="-12"/>
          <w:sz w:val="25"/>
        </w:rPr>
        <w:t> </w:t>
      </w:r>
      <w:r>
        <w:rPr>
          <w:sz w:val="25"/>
        </w:rPr>
        <w:t>shebait;</w:t>
      </w:r>
    </w:p>
    <w:p>
      <w:pPr>
        <w:pStyle w:val="BodyText"/>
        <w:spacing w:before="1"/>
      </w:pPr>
    </w:p>
    <w:p>
      <w:pPr>
        <w:pStyle w:val="ListParagraph"/>
        <w:numPr>
          <w:ilvl w:val="0"/>
          <w:numId w:val="125"/>
        </w:numPr>
        <w:tabs>
          <w:tab w:pos="1221" w:val="left" w:leader="none"/>
        </w:tabs>
        <w:spacing w:line="480" w:lineRule="auto" w:before="0" w:after="0"/>
        <w:ind w:left="1220" w:right="440" w:hanging="720"/>
        <w:jc w:val="both"/>
        <w:rPr>
          <w:sz w:val="25"/>
        </w:rPr>
      </w:pPr>
      <w:r>
        <w:rPr>
          <w:sz w:val="25"/>
        </w:rPr>
        <w:t>As a consequence of (i), the challenge to the maintainability of Suit 5 on the ground that it was only Nirmohi Akhara as shebait which could have instituted the Suit must fail;</w:t>
      </w:r>
      <w:r>
        <w:rPr>
          <w:spacing w:val="-4"/>
          <w:sz w:val="25"/>
        </w:rPr>
        <w:t> </w:t>
      </w:r>
      <w:r>
        <w:rPr>
          <w:sz w:val="25"/>
        </w:rPr>
        <w:t>and</w:t>
      </w:r>
    </w:p>
    <w:p>
      <w:pPr>
        <w:pStyle w:val="ListParagraph"/>
        <w:numPr>
          <w:ilvl w:val="0"/>
          <w:numId w:val="125"/>
        </w:numPr>
        <w:tabs>
          <w:tab w:pos="1221" w:val="left" w:leader="none"/>
        </w:tabs>
        <w:spacing w:line="240" w:lineRule="auto" w:before="1" w:after="0"/>
        <w:ind w:left="1220" w:right="0" w:hanging="721"/>
        <w:jc w:val="both"/>
        <w:rPr>
          <w:sz w:val="25"/>
        </w:rPr>
      </w:pPr>
      <w:r>
        <w:rPr>
          <w:sz w:val="25"/>
        </w:rPr>
        <w:t>The first plaintiff in Suit 5 is a juristic</w:t>
      </w:r>
      <w:r>
        <w:rPr>
          <w:spacing w:val="-7"/>
          <w:sz w:val="25"/>
        </w:rPr>
        <w:t> </w:t>
      </w:r>
      <w:r>
        <w:rPr>
          <w:sz w:val="25"/>
        </w:rPr>
        <w:t>person.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pict>
          <v:rect style="position:absolute;margin-left:72.024002pt;margin-top:9.71125pt;width:144.020pt;height:.599980pt;mso-position-horizontal-relative:page;mso-position-vertical-relative:paragraph;z-index:-1566208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239</w:t>
      </w:r>
      <w:r>
        <w:rPr>
          <w:sz w:val="18"/>
          <w:vertAlign w:val="baseline"/>
        </w:rPr>
        <w:t> Issue 1: Whether the first and second plaintiffs are juridical persons.</w:t>
      </w:r>
    </w:p>
    <w:p>
      <w:pPr>
        <w:spacing w:before="0"/>
        <w:ind w:left="500" w:right="424" w:firstLine="0"/>
        <w:jc w:val="left"/>
        <w:rPr>
          <w:sz w:val="18"/>
        </w:rPr>
      </w:pPr>
      <w:r>
        <w:rPr>
          <w:sz w:val="18"/>
        </w:rPr>
        <w:t>Issue 6: Is third plaintiff not entitled to represent plaintiffs 1 and 2 as their next friend and is the suit not competent on this account.</w:t>
      </w:r>
    </w:p>
    <w:p>
      <w:pPr>
        <w:spacing w:line="206" w:lineRule="exact" w:before="0"/>
        <w:ind w:left="500" w:right="0" w:firstLine="0"/>
        <w:jc w:val="left"/>
        <w:rPr>
          <w:sz w:val="18"/>
        </w:rPr>
      </w:pPr>
      <w:r>
        <w:rPr>
          <w:sz w:val="18"/>
        </w:rPr>
        <w:t>Issue 8: Is the defendant Nirmohi Akhara the ―Shebait‖ of Bhagwan Sri Ram installed in the disputed structure.</w:t>
      </w:r>
    </w:p>
    <w:p>
      <w:pPr>
        <w:spacing w:after="0" w:line="206" w:lineRule="exact"/>
        <w:jc w:val="left"/>
        <w:rPr>
          <w:sz w:val="18"/>
        </w:rPr>
        <w:sectPr>
          <w:pgSz w:w="11910" w:h="16840"/>
          <w:pgMar w:header="721" w:footer="1014" w:top="1300" w:bottom="1200" w:left="940" w:right="1000"/>
        </w:sectPr>
      </w:pPr>
    </w:p>
    <w:p>
      <w:pPr>
        <w:pStyle w:val="BodyText"/>
        <w:spacing w:line="480" w:lineRule="auto" w:before="124"/>
        <w:ind w:left="500" w:right="447"/>
        <w:jc w:val="both"/>
      </w:pPr>
      <w:r>
        <w:rPr/>
        <w:t>The issue of limitation would hence be addressed on the basis of the above position.</w:t>
      </w:r>
    </w:p>
    <w:p>
      <w:pPr>
        <w:pStyle w:val="BodyText"/>
      </w:pPr>
    </w:p>
    <w:p>
      <w:pPr>
        <w:pStyle w:val="BodyText"/>
        <w:spacing w:line="480" w:lineRule="auto"/>
        <w:ind w:left="500" w:right="438"/>
        <w:jc w:val="both"/>
      </w:pPr>
      <w:r>
        <w:rPr/>
        <w:t>Essentially, the Sunni Central Waqf Board in the course of its submissions sought to assail the findings of the High Court on limitation on three broad grounds:</w:t>
      </w:r>
    </w:p>
    <w:p>
      <w:pPr>
        <w:pStyle w:val="ListParagraph"/>
        <w:numPr>
          <w:ilvl w:val="0"/>
          <w:numId w:val="126"/>
        </w:numPr>
        <w:tabs>
          <w:tab w:pos="1221" w:val="left" w:leader="none"/>
        </w:tabs>
        <w:spacing w:line="480" w:lineRule="auto" w:before="160" w:after="0"/>
        <w:ind w:left="1220" w:right="445" w:hanging="720"/>
        <w:jc w:val="both"/>
        <w:rPr>
          <w:sz w:val="25"/>
        </w:rPr>
      </w:pPr>
      <w:r>
        <w:rPr>
          <w:sz w:val="25"/>
        </w:rPr>
        <w:t>Suit 5 could not have been instituted when the deity was being ‗well represented‘ through its shebait against whose conduct there is no grievance and since the removal of the shebait has not been</w:t>
      </w:r>
      <w:r>
        <w:rPr>
          <w:spacing w:val="-15"/>
          <w:sz w:val="25"/>
        </w:rPr>
        <w:t> </w:t>
      </w:r>
      <w:r>
        <w:rPr>
          <w:sz w:val="25"/>
        </w:rPr>
        <w:t>sought;</w:t>
      </w:r>
    </w:p>
    <w:p>
      <w:pPr>
        <w:pStyle w:val="ListParagraph"/>
        <w:numPr>
          <w:ilvl w:val="0"/>
          <w:numId w:val="126"/>
        </w:numPr>
        <w:tabs>
          <w:tab w:pos="1221" w:val="left" w:leader="none"/>
        </w:tabs>
        <w:spacing w:line="480" w:lineRule="auto" w:before="0" w:after="0"/>
        <w:ind w:left="1220" w:right="440" w:hanging="720"/>
        <w:jc w:val="both"/>
        <w:rPr>
          <w:sz w:val="25"/>
        </w:rPr>
      </w:pPr>
      <w:r>
        <w:rPr>
          <w:sz w:val="25"/>
        </w:rPr>
        <w:t>The defence of the deity being a perpetual minor cannot aid the plaintiffs since the deity was being represented by a shebait and a suit by a next friend can lie only when the shebait has acted adverse to the interest of the deity;</w:t>
      </w:r>
      <w:r>
        <w:rPr>
          <w:spacing w:val="-2"/>
          <w:sz w:val="25"/>
        </w:rPr>
        <w:t> </w:t>
      </w:r>
      <w:r>
        <w:rPr>
          <w:sz w:val="25"/>
        </w:rPr>
        <w:t>and</w:t>
      </w:r>
    </w:p>
    <w:p>
      <w:pPr>
        <w:pStyle w:val="ListParagraph"/>
        <w:numPr>
          <w:ilvl w:val="0"/>
          <w:numId w:val="126"/>
        </w:numPr>
        <w:tabs>
          <w:tab w:pos="1221" w:val="left" w:leader="none"/>
        </w:tabs>
        <w:spacing w:line="480" w:lineRule="auto" w:before="1" w:after="0"/>
        <w:ind w:left="1220" w:right="443" w:hanging="720"/>
        <w:jc w:val="both"/>
        <w:rPr>
          <w:sz w:val="25"/>
        </w:rPr>
      </w:pPr>
      <w:r>
        <w:rPr>
          <w:sz w:val="25"/>
        </w:rPr>
        <w:t>It is a settled principle of law that a deity is not a minor for the purpose of limitation.</w:t>
      </w:r>
    </w:p>
    <w:p>
      <w:pPr>
        <w:pStyle w:val="BodyText"/>
      </w:pPr>
    </w:p>
    <w:p>
      <w:pPr>
        <w:pStyle w:val="BodyText"/>
        <w:spacing w:line="480" w:lineRule="auto" w:before="1"/>
        <w:ind w:left="500" w:right="439"/>
        <w:jc w:val="both"/>
      </w:pPr>
      <w:r>
        <w:rPr/>
        <w:t>The first and the second grounds noted above now stand concluded by the finding that Nirmohi Akhara was not a shebait and hence Suit 5 has been held to be maintainable at the behest of the next</w:t>
      </w:r>
      <w:r>
        <w:rPr>
          <w:spacing w:val="-4"/>
        </w:rPr>
        <w:t> </w:t>
      </w:r>
      <w:r>
        <w:rPr/>
        <w:t>friend.</w:t>
      </w:r>
    </w:p>
    <w:p>
      <w:pPr>
        <w:pStyle w:val="BodyText"/>
        <w:spacing w:before="10"/>
        <w:rPr>
          <w:sz w:val="24"/>
        </w:rPr>
      </w:pPr>
    </w:p>
    <w:p>
      <w:pPr>
        <w:pStyle w:val="BodyText"/>
        <w:spacing w:line="480" w:lineRule="auto" w:before="1"/>
        <w:ind w:left="500" w:right="433"/>
        <w:jc w:val="both"/>
      </w:pPr>
      <w:r>
        <w:rPr/>
        <w:t>The issue which then falls for consideration at this stage, is as to whether Suit 5 can be held to be within limitation on the ground that a deity is a perpetual minor. This submission of Mr C S Vaidyanathan, learned Senior Counsel appearing on behalf of the plaintiff in Suit 5, it is again necessary to reiterate would govern the first plaintiff alone which has been held to be a juristic person.</w:t>
      </w:r>
    </w:p>
    <w:p>
      <w:pPr>
        <w:spacing w:after="0" w:line="480" w:lineRule="auto"/>
        <w:jc w:val="both"/>
        <w:sectPr>
          <w:pgSz w:w="11910" w:h="16840"/>
          <w:pgMar w:header="721" w:footer="1014" w:top="1300" w:bottom="1200" w:left="940" w:right="1000"/>
        </w:sectPr>
      </w:pPr>
    </w:p>
    <w:p>
      <w:pPr>
        <w:pStyle w:val="Heading4"/>
        <w:spacing w:before="126"/>
        <w:rPr>
          <w:i/>
        </w:rPr>
      </w:pPr>
      <w:r>
        <w:rPr>
          <w:i/>
        </w:rPr>
        <w:t>A statute of repose</w:t>
      </w:r>
    </w:p>
    <w:p>
      <w:pPr>
        <w:pStyle w:val="BodyText"/>
        <w:rPr>
          <w:i/>
          <w:sz w:val="28"/>
        </w:rPr>
      </w:pPr>
    </w:p>
    <w:p>
      <w:pPr>
        <w:pStyle w:val="BodyText"/>
        <w:spacing w:before="10"/>
        <w:rPr>
          <w:i/>
          <w:sz w:val="23"/>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The law of limitation is embodied in a statute which is based on the principles of repose or peace, as held by this Court in </w:t>
      </w:r>
      <w:r>
        <w:rPr>
          <w:b/>
          <w:sz w:val="25"/>
        </w:rPr>
        <w:t>Pundlik Jalam Patil </w:t>
      </w:r>
      <w:r>
        <w:rPr>
          <w:sz w:val="25"/>
        </w:rPr>
        <w:t>v </w:t>
      </w:r>
      <w:r>
        <w:rPr>
          <w:b/>
          <w:sz w:val="25"/>
        </w:rPr>
        <w:t>Executive Engineer, Jalgoan Medium</w:t>
      </w:r>
      <w:r>
        <w:rPr>
          <w:b/>
          <w:spacing w:val="-4"/>
          <w:sz w:val="25"/>
        </w:rPr>
        <w:t> </w:t>
      </w:r>
      <w:r>
        <w:rPr>
          <w:b/>
          <w:sz w:val="25"/>
        </w:rPr>
        <w:t>Project</w:t>
      </w:r>
      <w:r>
        <w:rPr>
          <w:sz w:val="25"/>
          <w:vertAlign w:val="superscript"/>
        </w:rPr>
        <w:t>240</w:t>
      </w:r>
      <w:r>
        <w:rPr>
          <w:sz w:val="25"/>
          <w:vertAlign w:val="baseline"/>
        </w:rPr>
        <w:t>:</w:t>
      </w:r>
    </w:p>
    <w:p>
      <w:pPr>
        <w:spacing w:line="276" w:lineRule="auto" w:before="158"/>
        <w:ind w:left="1940" w:right="2260" w:firstLine="0"/>
        <w:jc w:val="both"/>
        <w:rPr>
          <w:sz w:val="21"/>
        </w:rPr>
      </w:pPr>
      <w:r>
        <w:rPr>
          <w:spacing w:val="-1"/>
          <w:w w:val="33"/>
          <w:sz w:val="21"/>
        </w:rPr>
        <w:t>―</w:t>
      </w:r>
      <w:r>
        <w:rPr>
          <w:w w:val="100"/>
          <w:sz w:val="21"/>
        </w:rPr>
        <w:t>An</w:t>
      </w:r>
      <w:r>
        <w:rPr>
          <w:sz w:val="21"/>
        </w:rPr>
        <w:t>  </w:t>
      </w:r>
      <w:r>
        <w:rPr>
          <w:spacing w:val="-12"/>
          <w:sz w:val="21"/>
        </w:rPr>
        <w:t> </w:t>
      </w:r>
      <w:r>
        <w:rPr>
          <w:spacing w:val="-3"/>
          <w:w w:val="100"/>
          <w:sz w:val="21"/>
        </w:rPr>
        <w:t>u</w:t>
      </w:r>
      <w:r>
        <w:rPr>
          <w:spacing w:val="-1"/>
          <w:w w:val="100"/>
          <w:sz w:val="21"/>
        </w:rPr>
        <w:t>n</w:t>
      </w:r>
      <w:r>
        <w:rPr>
          <w:spacing w:val="-2"/>
          <w:w w:val="100"/>
          <w:sz w:val="21"/>
        </w:rPr>
        <w:t>li</w:t>
      </w:r>
      <w:r>
        <w:rPr>
          <w:spacing w:val="-1"/>
          <w:w w:val="100"/>
          <w:sz w:val="21"/>
        </w:rPr>
        <w:t>m</w:t>
      </w:r>
      <w:r>
        <w:rPr>
          <w:w w:val="100"/>
          <w:sz w:val="21"/>
        </w:rPr>
        <w:t>i</w:t>
      </w:r>
      <w:r>
        <w:rPr>
          <w:spacing w:val="-2"/>
          <w:w w:val="100"/>
          <w:sz w:val="21"/>
        </w:rPr>
        <w:t>t</w:t>
      </w:r>
      <w:r>
        <w:rPr>
          <w:spacing w:val="-1"/>
          <w:w w:val="100"/>
          <w:sz w:val="21"/>
        </w:rPr>
        <w:t>e</w:t>
      </w:r>
      <w:r>
        <w:rPr>
          <w:w w:val="100"/>
          <w:sz w:val="21"/>
        </w:rPr>
        <w:t>d</w:t>
      </w:r>
      <w:r>
        <w:rPr>
          <w:sz w:val="21"/>
        </w:rPr>
        <w:t>  </w:t>
      </w:r>
      <w:r>
        <w:rPr>
          <w:spacing w:val="-15"/>
          <w:sz w:val="21"/>
        </w:rPr>
        <w:t> </w:t>
      </w:r>
      <w:r>
        <w:rPr>
          <w:spacing w:val="-1"/>
          <w:w w:val="100"/>
          <w:sz w:val="21"/>
        </w:rPr>
        <w:t>an</w:t>
      </w:r>
      <w:r>
        <w:rPr>
          <w:w w:val="100"/>
          <w:sz w:val="21"/>
        </w:rPr>
        <w:t>d</w:t>
      </w:r>
      <w:r>
        <w:rPr>
          <w:sz w:val="21"/>
        </w:rPr>
        <w:t>  </w:t>
      </w:r>
      <w:r>
        <w:rPr>
          <w:spacing w:val="-14"/>
          <w:sz w:val="21"/>
        </w:rPr>
        <w:t> </w:t>
      </w:r>
      <w:r>
        <w:rPr>
          <w:spacing w:val="-1"/>
          <w:w w:val="100"/>
          <w:sz w:val="21"/>
        </w:rPr>
        <w:t>per</w:t>
      </w:r>
      <w:r>
        <w:rPr>
          <w:spacing w:val="-3"/>
          <w:w w:val="100"/>
          <w:sz w:val="21"/>
        </w:rPr>
        <w:t>p</w:t>
      </w:r>
      <w:r>
        <w:rPr>
          <w:spacing w:val="-1"/>
          <w:w w:val="100"/>
          <w:sz w:val="21"/>
        </w:rPr>
        <w:t>etua</w:t>
      </w:r>
      <w:r>
        <w:rPr>
          <w:w w:val="100"/>
          <w:sz w:val="21"/>
        </w:rPr>
        <w:t>l</w:t>
      </w:r>
      <w:r>
        <w:rPr>
          <w:sz w:val="21"/>
        </w:rPr>
        <w:t>  </w:t>
      </w:r>
      <w:r>
        <w:rPr>
          <w:spacing w:val="-13"/>
          <w:sz w:val="21"/>
        </w:rPr>
        <w:t> </w:t>
      </w:r>
      <w:r>
        <w:rPr>
          <w:spacing w:val="-2"/>
          <w:w w:val="100"/>
          <w:sz w:val="21"/>
        </w:rPr>
        <w:t>t</w:t>
      </w:r>
      <w:r>
        <w:rPr>
          <w:spacing w:val="-1"/>
          <w:w w:val="100"/>
          <w:sz w:val="21"/>
        </w:rPr>
        <w:t>hrea</w:t>
      </w:r>
      <w:r>
        <w:rPr>
          <w:w w:val="100"/>
          <w:sz w:val="21"/>
        </w:rPr>
        <w:t>t</w:t>
      </w:r>
      <w:r>
        <w:rPr>
          <w:sz w:val="21"/>
        </w:rPr>
        <w:t>  </w:t>
      </w:r>
      <w:r>
        <w:rPr>
          <w:spacing w:val="-14"/>
          <w:sz w:val="21"/>
        </w:rPr>
        <w:t> </w:t>
      </w:r>
      <w:r>
        <w:rPr>
          <w:spacing w:val="-3"/>
          <w:w w:val="100"/>
          <w:sz w:val="21"/>
        </w:rPr>
        <w:t>o</w:t>
      </w:r>
      <w:r>
        <w:rPr>
          <w:w w:val="100"/>
          <w:sz w:val="21"/>
        </w:rPr>
        <w:t>f</w:t>
      </w:r>
      <w:r>
        <w:rPr>
          <w:sz w:val="21"/>
        </w:rPr>
        <w:t>  </w:t>
      </w:r>
      <w:r>
        <w:rPr>
          <w:spacing w:val="-14"/>
          <w:sz w:val="21"/>
        </w:rPr>
        <w:t> </w:t>
      </w:r>
      <w:r>
        <w:rPr>
          <w:spacing w:val="-2"/>
          <w:w w:val="100"/>
          <w:sz w:val="21"/>
        </w:rPr>
        <w:t>li</w:t>
      </w:r>
      <w:r>
        <w:rPr>
          <w:spacing w:val="1"/>
          <w:w w:val="100"/>
          <w:sz w:val="21"/>
        </w:rPr>
        <w:t>m</w:t>
      </w:r>
      <w:r>
        <w:rPr>
          <w:w w:val="100"/>
          <w:sz w:val="21"/>
        </w:rPr>
        <w:t>i</w:t>
      </w:r>
      <w:r>
        <w:rPr>
          <w:spacing w:val="-2"/>
          <w:w w:val="100"/>
          <w:sz w:val="21"/>
        </w:rPr>
        <w:t>t</w:t>
      </w:r>
      <w:r>
        <w:rPr>
          <w:spacing w:val="-1"/>
          <w:w w:val="100"/>
          <w:sz w:val="21"/>
        </w:rPr>
        <w:t>at</w:t>
      </w:r>
      <w:r>
        <w:rPr>
          <w:spacing w:val="-2"/>
          <w:w w:val="100"/>
          <w:sz w:val="21"/>
        </w:rPr>
        <w:t>i</w:t>
      </w:r>
      <w:r>
        <w:rPr>
          <w:spacing w:val="-3"/>
          <w:w w:val="100"/>
          <w:sz w:val="21"/>
        </w:rPr>
        <w:t>o</w:t>
      </w:r>
      <w:r>
        <w:rPr>
          <w:w w:val="100"/>
          <w:sz w:val="21"/>
        </w:rPr>
        <w:t>n</w:t>
      </w:r>
      <w:r>
        <w:rPr>
          <w:sz w:val="21"/>
        </w:rPr>
        <w:t>  </w:t>
      </w:r>
      <w:r>
        <w:rPr>
          <w:spacing w:val="-9"/>
          <w:sz w:val="21"/>
        </w:rPr>
        <w:t> </w:t>
      </w:r>
      <w:r>
        <w:rPr>
          <w:w w:val="100"/>
          <w:sz w:val="21"/>
        </w:rPr>
        <w:t>c</w:t>
      </w:r>
      <w:r>
        <w:rPr>
          <w:spacing w:val="-1"/>
          <w:w w:val="100"/>
          <w:sz w:val="21"/>
        </w:rPr>
        <w:t>r</w:t>
      </w:r>
      <w:r>
        <w:rPr>
          <w:w w:val="100"/>
          <w:sz w:val="21"/>
        </w:rPr>
        <w:t>ea</w:t>
      </w:r>
      <w:r>
        <w:rPr>
          <w:spacing w:val="-1"/>
          <w:w w:val="100"/>
          <w:sz w:val="21"/>
        </w:rPr>
        <w:t>t</w:t>
      </w:r>
      <w:r>
        <w:rPr>
          <w:spacing w:val="-3"/>
          <w:w w:val="100"/>
          <w:sz w:val="21"/>
        </w:rPr>
        <w:t>e</w:t>
      </w:r>
      <w:r>
        <w:rPr>
          <w:w w:val="100"/>
          <w:sz w:val="21"/>
        </w:rPr>
        <w:t>s </w:t>
      </w:r>
      <w:r>
        <w:rPr>
          <w:sz w:val="21"/>
        </w:rPr>
        <w:t>insecurity and uncertainty; some kind of limitation is essential for public</w:t>
      </w:r>
      <w:r>
        <w:rPr>
          <w:spacing w:val="-4"/>
          <w:sz w:val="21"/>
        </w:rPr>
        <w:t> </w:t>
      </w:r>
      <w:r>
        <w:rPr>
          <w:sz w:val="21"/>
        </w:rPr>
        <w:t>order...‖</w:t>
      </w:r>
    </w:p>
    <w:p>
      <w:pPr>
        <w:pStyle w:val="BodyText"/>
        <w:spacing w:before="2"/>
      </w:pPr>
    </w:p>
    <w:p>
      <w:pPr>
        <w:pStyle w:val="BodyText"/>
        <w:spacing w:line="480" w:lineRule="auto"/>
        <w:ind w:left="500" w:right="436"/>
        <w:jc w:val="both"/>
      </w:pPr>
      <w:r>
        <w:rPr/>
        <w:t>The applicability of the provisions of the Limitation Act cannot be extended by analogy or implication. The right to claim in perpetuity is embodied in a specific situation which is referred to in Section 10 and the ambit of the provision cannot be extended as a matter of implication. Before 1929, Section 10 was cast in the following terms:</w:t>
      </w:r>
    </w:p>
    <w:p>
      <w:pPr>
        <w:spacing w:line="276" w:lineRule="auto" w:before="0"/>
        <w:ind w:left="1940" w:right="2260" w:firstLine="0"/>
        <w:jc w:val="both"/>
        <w:rPr>
          <w:sz w:val="21"/>
        </w:rPr>
      </w:pPr>
      <w:r>
        <w:rPr>
          <w:spacing w:val="-1"/>
          <w:w w:val="33"/>
          <w:sz w:val="21"/>
        </w:rPr>
        <w:t>―</w:t>
      </w:r>
      <w:r>
        <w:rPr>
          <w:spacing w:val="-1"/>
          <w:w w:val="100"/>
          <w:sz w:val="21"/>
        </w:rPr>
        <w:t>10</w:t>
      </w:r>
      <w:r>
        <w:rPr>
          <w:w w:val="100"/>
          <w:sz w:val="21"/>
        </w:rPr>
        <w:t>.</w:t>
      </w:r>
      <w:r>
        <w:rPr>
          <w:sz w:val="21"/>
        </w:rPr>
        <w:t>  </w:t>
      </w:r>
      <w:r>
        <w:rPr>
          <w:spacing w:val="-13"/>
          <w:sz w:val="21"/>
        </w:rPr>
        <w:t> </w:t>
      </w:r>
      <w:r>
        <w:rPr>
          <w:w w:val="100"/>
          <w:sz w:val="21"/>
        </w:rPr>
        <w:t>S</w:t>
      </w:r>
      <w:r>
        <w:rPr>
          <w:spacing w:val="-3"/>
          <w:w w:val="100"/>
          <w:sz w:val="21"/>
        </w:rPr>
        <w:t>u</w:t>
      </w:r>
      <w:r>
        <w:rPr>
          <w:w w:val="100"/>
          <w:sz w:val="21"/>
        </w:rPr>
        <w:t>i</w:t>
      </w:r>
      <w:r>
        <w:rPr>
          <w:spacing w:val="-2"/>
          <w:w w:val="100"/>
          <w:sz w:val="21"/>
        </w:rPr>
        <w:t>t</w:t>
      </w:r>
      <w:r>
        <w:rPr>
          <w:w w:val="100"/>
          <w:sz w:val="21"/>
        </w:rPr>
        <w:t>s</w:t>
      </w:r>
      <w:r>
        <w:rPr>
          <w:sz w:val="21"/>
        </w:rPr>
        <w:t>  </w:t>
      </w:r>
      <w:r>
        <w:rPr>
          <w:spacing w:val="-15"/>
          <w:sz w:val="21"/>
        </w:rPr>
        <w:t> </w:t>
      </w:r>
      <w:r>
        <w:rPr>
          <w:spacing w:val="-1"/>
          <w:w w:val="100"/>
          <w:sz w:val="21"/>
        </w:rPr>
        <w:t>ag</w:t>
      </w:r>
      <w:r>
        <w:rPr>
          <w:spacing w:val="-2"/>
          <w:w w:val="100"/>
          <w:sz w:val="21"/>
        </w:rPr>
        <w:t>a</w:t>
      </w:r>
      <w:r>
        <w:rPr>
          <w:w w:val="100"/>
          <w:sz w:val="21"/>
        </w:rPr>
        <w:t>i</w:t>
      </w:r>
      <w:r>
        <w:rPr>
          <w:spacing w:val="-1"/>
          <w:w w:val="100"/>
          <w:sz w:val="21"/>
        </w:rPr>
        <w:t>ns</w:t>
      </w:r>
      <w:r>
        <w:rPr>
          <w:w w:val="100"/>
          <w:sz w:val="21"/>
        </w:rPr>
        <w:t>t</w:t>
      </w:r>
      <w:r>
        <w:rPr>
          <w:sz w:val="21"/>
        </w:rPr>
        <w:t>  </w:t>
      </w:r>
      <w:r>
        <w:rPr>
          <w:spacing w:val="-13"/>
          <w:sz w:val="21"/>
        </w:rPr>
        <w:t> </w:t>
      </w:r>
      <w:r>
        <w:rPr>
          <w:spacing w:val="-2"/>
          <w:w w:val="100"/>
          <w:sz w:val="21"/>
        </w:rPr>
        <w:t>t</w:t>
      </w:r>
      <w:r>
        <w:rPr>
          <w:spacing w:val="-1"/>
          <w:w w:val="100"/>
          <w:sz w:val="21"/>
        </w:rPr>
        <w:t>r</w:t>
      </w:r>
      <w:r>
        <w:rPr>
          <w:spacing w:val="-3"/>
          <w:w w:val="100"/>
          <w:sz w:val="21"/>
        </w:rPr>
        <w:t>u</w:t>
      </w:r>
      <w:r>
        <w:rPr>
          <w:w w:val="100"/>
          <w:sz w:val="21"/>
        </w:rPr>
        <w:t>s</w:t>
      </w:r>
      <w:r>
        <w:rPr>
          <w:spacing w:val="-2"/>
          <w:w w:val="100"/>
          <w:sz w:val="21"/>
        </w:rPr>
        <w:t>t</w:t>
      </w:r>
      <w:r>
        <w:rPr>
          <w:spacing w:val="-1"/>
          <w:w w:val="100"/>
          <w:sz w:val="21"/>
        </w:rPr>
        <w:t>ee</w:t>
      </w:r>
      <w:r>
        <w:rPr>
          <w:w w:val="100"/>
          <w:sz w:val="21"/>
        </w:rPr>
        <w:t>s</w:t>
      </w:r>
      <w:r>
        <w:rPr>
          <w:sz w:val="21"/>
        </w:rPr>
        <w:t>  </w:t>
      </w:r>
      <w:r>
        <w:rPr>
          <w:spacing w:val="-15"/>
          <w:sz w:val="21"/>
        </w:rPr>
        <w:t> </w:t>
      </w:r>
      <w:r>
        <w:rPr>
          <w:spacing w:val="-1"/>
          <w:w w:val="100"/>
          <w:sz w:val="21"/>
        </w:rPr>
        <w:t>an</w:t>
      </w:r>
      <w:r>
        <w:rPr>
          <w:w w:val="100"/>
          <w:sz w:val="21"/>
        </w:rPr>
        <w:t>d</w:t>
      </w:r>
      <w:r>
        <w:rPr>
          <w:sz w:val="21"/>
        </w:rPr>
        <w:t>  </w:t>
      </w:r>
      <w:r>
        <w:rPr>
          <w:spacing w:val="-14"/>
          <w:sz w:val="21"/>
        </w:rPr>
        <w:t> </w:t>
      </w:r>
      <w:r>
        <w:rPr>
          <w:spacing w:val="-2"/>
          <w:w w:val="100"/>
          <w:sz w:val="21"/>
        </w:rPr>
        <w:t>t</w:t>
      </w:r>
      <w:r>
        <w:rPr>
          <w:spacing w:val="-1"/>
          <w:w w:val="100"/>
          <w:sz w:val="21"/>
        </w:rPr>
        <w:t>he</w:t>
      </w:r>
      <w:r>
        <w:rPr>
          <w:spacing w:val="1"/>
          <w:w w:val="100"/>
          <w:sz w:val="21"/>
        </w:rPr>
        <w:t>i</w:t>
      </w:r>
      <w:r>
        <w:rPr>
          <w:w w:val="100"/>
          <w:sz w:val="21"/>
        </w:rPr>
        <w:t>r</w:t>
      </w:r>
      <w:r>
        <w:rPr>
          <w:sz w:val="21"/>
        </w:rPr>
        <w:t>  </w:t>
      </w:r>
      <w:r>
        <w:rPr>
          <w:spacing w:val="-16"/>
          <w:sz w:val="21"/>
        </w:rPr>
        <w:t> </w:t>
      </w:r>
      <w:r>
        <w:rPr>
          <w:spacing w:val="-1"/>
          <w:w w:val="100"/>
          <w:sz w:val="21"/>
        </w:rPr>
        <w:t>repr</w:t>
      </w:r>
      <w:r>
        <w:rPr>
          <w:spacing w:val="-3"/>
          <w:w w:val="100"/>
          <w:sz w:val="21"/>
        </w:rPr>
        <w:t>e</w:t>
      </w:r>
      <w:r>
        <w:rPr>
          <w:w w:val="100"/>
          <w:sz w:val="21"/>
        </w:rPr>
        <w:t>se</w:t>
      </w:r>
      <w:r>
        <w:rPr>
          <w:spacing w:val="-3"/>
          <w:w w:val="100"/>
          <w:sz w:val="21"/>
        </w:rPr>
        <w:t>n</w:t>
      </w:r>
      <w:r>
        <w:rPr>
          <w:spacing w:val="-2"/>
          <w:w w:val="100"/>
          <w:sz w:val="21"/>
        </w:rPr>
        <w:t>t</w:t>
      </w:r>
      <w:r>
        <w:rPr>
          <w:spacing w:val="-1"/>
          <w:w w:val="100"/>
          <w:sz w:val="21"/>
        </w:rPr>
        <w:t>at</w:t>
      </w:r>
      <w:r>
        <w:rPr>
          <w:w w:val="100"/>
          <w:sz w:val="21"/>
        </w:rPr>
        <w:t>i</w:t>
      </w:r>
      <w:r>
        <w:rPr>
          <w:spacing w:val="-3"/>
          <w:w w:val="100"/>
          <w:sz w:val="21"/>
        </w:rPr>
        <w:t>v</w:t>
      </w:r>
      <w:r>
        <w:rPr>
          <w:spacing w:val="-1"/>
          <w:w w:val="100"/>
          <w:sz w:val="21"/>
        </w:rPr>
        <w:t>es</w:t>
      </w:r>
      <w:r>
        <w:rPr>
          <w:w w:val="100"/>
          <w:sz w:val="21"/>
        </w:rPr>
        <w:t>.</w:t>
      </w:r>
      <w:r>
        <w:rPr>
          <w:sz w:val="21"/>
        </w:rPr>
        <w:t>  </w:t>
      </w:r>
      <w:r>
        <w:rPr>
          <w:spacing w:val="-10"/>
          <w:sz w:val="21"/>
        </w:rPr>
        <w:t> </w:t>
      </w:r>
      <w:r>
        <w:rPr>
          <w:w w:val="100"/>
          <w:sz w:val="21"/>
        </w:rPr>
        <w:t>– </w:t>
      </w:r>
      <w:r>
        <w:rPr>
          <w:sz w:val="21"/>
        </w:rPr>
        <w:t>Notwithstanding anything contained in the foregoing provions of this Act, no suit against a person in whom property has become vested in trust for any specific purpose, or against his legal representatives or assigns (not being assigns for valuable consideration), for the purpose of following in his or their hands such property, or the proceeds thereof or for an account of such property or proceeds, shall be barred by any length of</w:t>
      </w:r>
      <w:r>
        <w:rPr>
          <w:spacing w:val="-2"/>
          <w:sz w:val="21"/>
        </w:rPr>
        <w:t> </w:t>
      </w:r>
      <w:r>
        <w:rPr>
          <w:sz w:val="21"/>
        </w:rPr>
        <w:t>time.‖</w:t>
      </w:r>
    </w:p>
    <w:p>
      <w:pPr>
        <w:pStyle w:val="BodyText"/>
        <w:rPr>
          <w:sz w:val="24"/>
        </w:rPr>
      </w:pPr>
    </w:p>
    <w:p>
      <w:pPr>
        <w:pStyle w:val="BodyText"/>
        <w:spacing w:before="5"/>
        <w:rPr>
          <w:sz w:val="24"/>
        </w:rPr>
      </w:pPr>
    </w:p>
    <w:p>
      <w:pPr>
        <w:pStyle w:val="BodyText"/>
        <w:spacing w:line="480" w:lineRule="auto"/>
        <w:ind w:left="500" w:right="444"/>
        <w:jc w:val="both"/>
      </w:pPr>
      <w:r>
        <w:rPr/>
        <w:t>Section 10 was amended by the introduction of an explanation by the Indian Limitation (Amendment) Act 1929 (1 of 1929). As amended, the provision came to read as</w:t>
      </w:r>
      <w:r>
        <w:rPr>
          <w:spacing w:val="-3"/>
        </w:rPr>
        <w:t> </w:t>
      </w:r>
      <w:r>
        <w:rPr/>
        <w:t>follows:</w:t>
      </w:r>
    </w:p>
    <w:p>
      <w:pPr>
        <w:spacing w:line="239" w:lineRule="exact" w:before="0"/>
        <w:ind w:left="1940" w:right="0" w:firstLine="0"/>
        <w:jc w:val="both"/>
        <w:rPr>
          <w:sz w:val="21"/>
        </w:rPr>
      </w:pPr>
      <w:r>
        <w:rPr>
          <w:spacing w:val="-1"/>
          <w:w w:val="33"/>
          <w:sz w:val="21"/>
        </w:rPr>
        <w:t>―</w:t>
      </w:r>
      <w:r>
        <w:rPr>
          <w:spacing w:val="-1"/>
          <w:w w:val="100"/>
          <w:sz w:val="21"/>
        </w:rPr>
        <w:t>10</w:t>
      </w:r>
      <w:r>
        <w:rPr>
          <w:w w:val="100"/>
          <w:sz w:val="21"/>
        </w:rPr>
        <w:t>.</w:t>
      </w:r>
      <w:r>
        <w:rPr>
          <w:spacing w:val="14"/>
          <w:sz w:val="21"/>
        </w:rPr>
        <w:t> </w:t>
      </w:r>
      <w:r>
        <w:rPr>
          <w:w w:val="100"/>
          <w:sz w:val="21"/>
        </w:rPr>
        <w:t>S</w:t>
      </w:r>
      <w:r>
        <w:rPr>
          <w:spacing w:val="-3"/>
          <w:w w:val="100"/>
          <w:sz w:val="21"/>
        </w:rPr>
        <w:t>u</w:t>
      </w:r>
      <w:r>
        <w:rPr>
          <w:w w:val="100"/>
          <w:sz w:val="21"/>
        </w:rPr>
        <w:t>i</w:t>
      </w:r>
      <w:r>
        <w:rPr>
          <w:spacing w:val="-2"/>
          <w:w w:val="100"/>
          <w:sz w:val="21"/>
        </w:rPr>
        <w:t>t</w:t>
      </w:r>
      <w:r>
        <w:rPr>
          <w:w w:val="100"/>
          <w:sz w:val="21"/>
        </w:rPr>
        <w:t>s</w:t>
      </w:r>
      <w:r>
        <w:rPr>
          <w:spacing w:val="15"/>
          <w:sz w:val="21"/>
        </w:rPr>
        <w:t> </w:t>
      </w:r>
      <w:r>
        <w:rPr>
          <w:spacing w:val="-3"/>
          <w:w w:val="100"/>
          <w:sz w:val="21"/>
        </w:rPr>
        <w:t>a</w:t>
      </w:r>
      <w:r>
        <w:rPr>
          <w:spacing w:val="-1"/>
          <w:w w:val="100"/>
          <w:sz w:val="21"/>
        </w:rPr>
        <w:t>gains</w:t>
      </w:r>
      <w:r>
        <w:rPr>
          <w:w w:val="100"/>
          <w:sz w:val="21"/>
        </w:rPr>
        <w:t>t</w:t>
      </w:r>
      <w:r>
        <w:rPr>
          <w:spacing w:val="14"/>
          <w:sz w:val="21"/>
        </w:rPr>
        <w:t> </w:t>
      </w:r>
      <w:r>
        <w:rPr>
          <w:spacing w:val="-1"/>
          <w:w w:val="100"/>
          <w:sz w:val="21"/>
        </w:rPr>
        <w:t>e</w:t>
      </w:r>
      <w:r>
        <w:rPr>
          <w:spacing w:val="-3"/>
          <w:w w:val="100"/>
          <w:sz w:val="21"/>
        </w:rPr>
        <w:t>x</w:t>
      </w:r>
      <w:r>
        <w:rPr>
          <w:spacing w:val="-1"/>
          <w:w w:val="100"/>
          <w:sz w:val="21"/>
        </w:rPr>
        <w:t>pre</w:t>
      </w:r>
      <w:r>
        <w:rPr>
          <w:spacing w:val="-3"/>
          <w:w w:val="100"/>
          <w:sz w:val="21"/>
        </w:rPr>
        <w:t>s</w:t>
      </w:r>
      <w:r>
        <w:rPr>
          <w:w w:val="100"/>
          <w:sz w:val="21"/>
        </w:rPr>
        <w:t>s</w:t>
      </w:r>
      <w:r>
        <w:rPr>
          <w:spacing w:val="15"/>
          <w:sz w:val="21"/>
        </w:rPr>
        <w:t> </w:t>
      </w:r>
      <w:r>
        <w:rPr>
          <w:spacing w:val="-2"/>
          <w:w w:val="100"/>
          <w:sz w:val="21"/>
        </w:rPr>
        <w:t>t</w:t>
      </w:r>
      <w:r>
        <w:rPr>
          <w:spacing w:val="-1"/>
          <w:w w:val="100"/>
          <w:sz w:val="21"/>
        </w:rPr>
        <w:t>rustee</w:t>
      </w:r>
      <w:r>
        <w:rPr>
          <w:w w:val="100"/>
          <w:sz w:val="21"/>
        </w:rPr>
        <w:t>s</w:t>
      </w:r>
      <w:r>
        <w:rPr>
          <w:spacing w:val="13"/>
          <w:sz w:val="21"/>
        </w:rPr>
        <w:t> </w:t>
      </w:r>
      <w:r>
        <w:rPr>
          <w:spacing w:val="-1"/>
          <w:w w:val="100"/>
          <w:sz w:val="21"/>
        </w:rPr>
        <w:t>an</w:t>
      </w:r>
      <w:r>
        <w:rPr>
          <w:w w:val="100"/>
          <w:sz w:val="21"/>
        </w:rPr>
        <w:t>d</w:t>
      </w:r>
      <w:r>
        <w:rPr>
          <w:spacing w:val="16"/>
          <w:sz w:val="21"/>
        </w:rPr>
        <w:t> </w:t>
      </w:r>
      <w:r>
        <w:rPr>
          <w:spacing w:val="-2"/>
          <w:w w:val="100"/>
          <w:sz w:val="21"/>
        </w:rPr>
        <w:t>t</w:t>
      </w:r>
      <w:r>
        <w:rPr>
          <w:spacing w:val="-3"/>
          <w:w w:val="100"/>
          <w:sz w:val="21"/>
        </w:rPr>
        <w:t>h</w:t>
      </w:r>
      <w:r>
        <w:rPr>
          <w:spacing w:val="-1"/>
          <w:w w:val="100"/>
          <w:sz w:val="21"/>
        </w:rPr>
        <w:t>e</w:t>
      </w:r>
      <w:r>
        <w:rPr>
          <w:spacing w:val="1"/>
          <w:w w:val="100"/>
          <w:sz w:val="21"/>
        </w:rPr>
        <w:t>i</w:t>
      </w:r>
      <w:r>
        <w:rPr>
          <w:w w:val="100"/>
          <w:sz w:val="21"/>
        </w:rPr>
        <w:t>r</w:t>
      </w:r>
      <w:r>
        <w:rPr>
          <w:spacing w:val="15"/>
          <w:sz w:val="21"/>
        </w:rPr>
        <w:t> </w:t>
      </w:r>
      <w:r>
        <w:rPr>
          <w:spacing w:val="-1"/>
          <w:w w:val="100"/>
          <w:sz w:val="21"/>
        </w:rPr>
        <w:t>r</w:t>
      </w:r>
      <w:r>
        <w:rPr>
          <w:spacing w:val="-3"/>
          <w:w w:val="100"/>
          <w:sz w:val="21"/>
        </w:rPr>
        <w:t>e</w:t>
      </w:r>
      <w:r>
        <w:rPr>
          <w:spacing w:val="-1"/>
          <w:w w:val="100"/>
          <w:sz w:val="21"/>
        </w:rPr>
        <w:t>pr</w:t>
      </w:r>
      <w:r>
        <w:rPr>
          <w:spacing w:val="-3"/>
          <w:w w:val="100"/>
          <w:sz w:val="21"/>
        </w:rPr>
        <w:t>e</w:t>
      </w:r>
      <w:r>
        <w:rPr>
          <w:w w:val="100"/>
          <w:sz w:val="21"/>
        </w:rPr>
        <w:t>sen</w:t>
      </w:r>
      <w:r>
        <w:rPr>
          <w:spacing w:val="-1"/>
          <w:w w:val="100"/>
          <w:sz w:val="21"/>
        </w:rPr>
        <w:t>tat</w:t>
      </w:r>
      <w:r>
        <w:rPr>
          <w:w w:val="100"/>
          <w:sz w:val="21"/>
        </w:rPr>
        <w:t>i</w:t>
      </w:r>
      <w:r>
        <w:rPr>
          <w:spacing w:val="-3"/>
          <w:w w:val="100"/>
          <w:sz w:val="21"/>
        </w:rPr>
        <w:t>v</w:t>
      </w:r>
      <w:r>
        <w:rPr>
          <w:spacing w:val="-1"/>
          <w:w w:val="100"/>
          <w:sz w:val="21"/>
        </w:rPr>
        <w:t>es.</w:t>
      </w:r>
    </w:p>
    <w:p>
      <w:pPr>
        <w:spacing w:line="276" w:lineRule="auto" w:before="37"/>
        <w:ind w:left="1940" w:right="2261" w:firstLine="0"/>
        <w:jc w:val="both"/>
        <w:rPr>
          <w:sz w:val="21"/>
        </w:rPr>
      </w:pPr>
      <w:r>
        <w:rPr>
          <w:sz w:val="21"/>
        </w:rPr>
        <w:t>– Notwithstanding anything hereinbefore contained, no suit against a person in whom property has become vested in trust for any specific purpose, or against his legal representatives or assigns (not being assigns for valuable consideration),  for  the  purpose  of  following  in  his  or</w:t>
      </w:r>
      <w:r>
        <w:rPr>
          <w:spacing w:val="57"/>
          <w:sz w:val="21"/>
        </w:rPr>
        <w:t> </w:t>
      </w:r>
      <w:r>
        <w:rPr>
          <w:sz w:val="21"/>
        </w:rPr>
        <w:t>their</w:t>
      </w:r>
    </w:p>
    <w:p>
      <w:pPr>
        <w:pStyle w:val="BodyText"/>
        <w:rPr>
          <w:sz w:val="20"/>
        </w:rPr>
      </w:pPr>
    </w:p>
    <w:p>
      <w:pPr>
        <w:pStyle w:val="BodyText"/>
        <w:spacing w:before="5"/>
        <w:rPr>
          <w:sz w:val="12"/>
        </w:rPr>
      </w:pPr>
      <w:r>
        <w:rPr/>
        <w:pict>
          <v:rect style="position:absolute;margin-left:72.024002pt;margin-top:9.120090pt;width:144.020pt;height:.599980pt;mso-position-horizontal-relative:page;mso-position-vertical-relative:paragraph;z-index:-1566156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240</w:t>
      </w:r>
      <w:r>
        <w:rPr>
          <w:sz w:val="18"/>
          <w:vertAlign w:val="baseline"/>
        </w:rPr>
        <w:t> (2008) 17 SCC 448</w:t>
      </w:r>
    </w:p>
    <w:p>
      <w:pPr>
        <w:spacing w:after="0"/>
        <w:jc w:val="left"/>
        <w:rPr>
          <w:sz w:val="18"/>
        </w:rPr>
        <w:sectPr>
          <w:pgSz w:w="11910" w:h="16840"/>
          <w:pgMar w:header="721" w:footer="1014" w:top="1300" w:bottom="1200" w:left="940" w:right="1000"/>
        </w:sectPr>
      </w:pPr>
    </w:p>
    <w:p>
      <w:pPr>
        <w:spacing w:line="276" w:lineRule="auto" w:before="122"/>
        <w:ind w:left="1940" w:right="2260" w:firstLine="0"/>
        <w:jc w:val="both"/>
        <w:rPr>
          <w:sz w:val="21"/>
        </w:rPr>
      </w:pPr>
      <w:r>
        <w:rPr>
          <w:sz w:val="21"/>
        </w:rPr>
        <w:t>hands such property, or the proceeds thereof or for an account of such property or proceeds, shall be barred by any length of</w:t>
      </w:r>
      <w:r>
        <w:rPr>
          <w:spacing w:val="-2"/>
          <w:sz w:val="21"/>
        </w:rPr>
        <w:t> </w:t>
      </w:r>
      <w:r>
        <w:rPr>
          <w:sz w:val="21"/>
        </w:rPr>
        <w:t>time.</w:t>
      </w:r>
    </w:p>
    <w:p>
      <w:pPr>
        <w:spacing w:line="276" w:lineRule="auto" w:before="0"/>
        <w:ind w:left="1940" w:right="2263" w:firstLine="0"/>
        <w:jc w:val="both"/>
        <w:rPr>
          <w:sz w:val="21"/>
        </w:rPr>
      </w:pPr>
      <w:r>
        <w:rPr>
          <w:sz w:val="21"/>
        </w:rPr>
        <w:t>Explanation : For the purposes of this section any property comprised in Hindu, Mohammedan, Buddhist religious or charitable endowment shall be deemed to be property vested in trust for a specific purpose, and the manager of any such property shall be deemed to be the trustee thereof.‖</w:t>
      </w:r>
    </w:p>
    <w:p>
      <w:pPr>
        <w:pStyle w:val="BodyText"/>
        <w:rPr>
          <w:sz w:val="24"/>
        </w:rPr>
      </w:pPr>
    </w:p>
    <w:p>
      <w:pPr>
        <w:pStyle w:val="BodyText"/>
        <w:spacing w:before="1"/>
        <w:rPr>
          <w:sz w:val="26"/>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The background of the amendment is understood by considering the decision of the Privy Council in </w:t>
      </w:r>
      <w:r>
        <w:rPr>
          <w:b/>
          <w:sz w:val="25"/>
        </w:rPr>
        <w:t>Vidya Varuthi Thirtha </w:t>
      </w:r>
      <w:r>
        <w:rPr>
          <w:sz w:val="25"/>
        </w:rPr>
        <w:t>v </w:t>
      </w:r>
      <w:r>
        <w:rPr>
          <w:b/>
          <w:sz w:val="25"/>
        </w:rPr>
        <w:t>Balusami Ayyar</w:t>
      </w:r>
      <w:r>
        <w:rPr>
          <w:sz w:val="25"/>
          <w:vertAlign w:val="superscript"/>
        </w:rPr>
        <w:t>241</w:t>
      </w:r>
      <w:r>
        <w:rPr>
          <w:sz w:val="25"/>
          <w:vertAlign w:val="baseline"/>
        </w:rPr>
        <w:t>. Dealing with the alienation of property, the decision had wider implications which led to the statutory changes which were brought in 1929. The Privy Council</w:t>
      </w:r>
      <w:r>
        <w:rPr>
          <w:spacing w:val="-26"/>
          <w:sz w:val="25"/>
          <w:vertAlign w:val="baseline"/>
        </w:rPr>
        <w:t> </w:t>
      </w:r>
      <w:r>
        <w:rPr>
          <w:sz w:val="25"/>
          <w:vertAlign w:val="baseline"/>
        </w:rPr>
        <w:t>held:</w:t>
      </w:r>
    </w:p>
    <w:p>
      <w:pPr>
        <w:spacing w:line="276" w:lineRule="auto" w:before="160"/>
        <w:ind w:left="1940" w:right="2264" w:firstLine="0"/>
        <w:jc w:val="both"/>
        <w:rPr>
          <w:b/>
          <w:sz w:val="21"/>
        </w:rPr>
      </w:pPr>
      <w:r>
        <w:rPr>
          <w:spacing w:val="-1"/>
          <w:w w:val="33"/>
          <w:sz w:val="21"/>
        </w:rPr>
        <w:t>―</w:t>
      </w:r>
      <w:r>
        <w:rPr>
          <w:w w:val="100"/>
          <w:sz w:val="21"/>
        </w:rPr>
        <w:t>Fr</w:t>
      </w:r>
      <w:r>
        <w:rPr>
          <w:spacing w:val="-3"/>
          <w:w w:val="100"/>
          <w:sz w:val="21"/>
        </w:rPr>
        <w:t>o</w:t>
      </w:r>
      <w:r>
        <w:rPr>
          <w:w w:val="100"/>
          <w:sz w:val="21"/>
        </w:rPr>
        <w:t>m</w:t>
      </w:r>
      <w:r>
        <w:rPr>
          <w:spacing w:val="26"/>
          <w:sz w:val="21"/>
        </w:rPr>
        <w:t> </w:t>
      </w:r>
      <w:r>
        <w:rPr>
          <w:spacing w:val="-2"/>
          <w:w w:val="100"/>
          <w:sz w:val="21"/>
        </w:rPr>
        <w:t>t</w:t>
      </w:r>
      <w:r>
        <w:rPr>
          <w:spacing w:val="-1"/>
          <w:w w:val="100"/>
          <w:sz w:val="21"/>
        </w:rPr>
        <w:t>h</w:t>
      </w:r>
      <w:r>
        <w:rPr>
          <w:w w:val="100"/>
          <w:sz w:val="21"/>
        </w:rPr>
        <w:t>e</w:t>
      </w:r>
      <w:r>
        <w:rPr>
          <w:spacing w:val="23"/>
          <w:sz w:val="21"/>
        </w:rPr>
        <w:t> </w:t>
      </w:r>
      <w:r>
        <w:rPr>
          <w:spacing w:val="-1"/>
          <w:w w:val="100"/>
          <w:sz w:val="21"/>
        </w:rPr>
        <w:t>a</w:t>
      </w:r>
      <w:r>
        <w:rPr>
          <w:spacing w:val="-3"/>
          <w:w w:val="100"/>
          <w:sz w:val="21"/>
        </w:rPr>
        <w:t>b</w:t>
      </w:r>
      <w:r>
        <w:rPr>
          <w:spacing w:val="-1"/>
          <w:w w:val="100"/>
          <w:sz w:val="21"/>
        </w:rPr>
        <w:t>o</w:t>
      </w:r>
      <w:r>
        <w:rPr>
          <w:spacing w:val="-3"/>
          <w:w w:val="100"/>
          <w:sz w:val="21"/>
        </w:rPr>
        <w:t>v</w:t>
      </w:r>
      <w:r>
        <w:rPr>
          <w:w w:val="100"/>
          <w:sz w:val="21"/>
        </w:rPr>
        <w:t>e</w:t>
      </w:r>
      <w:r>
        <w:rPr>
          <w:spacing w:val="25"/>
          <w:sz w:val="21"/>
        </w:rPr>
        <w:t> </w:t>
      </w:r>
      <w:r>
        <w:rPr>
          <w:spacing w:val="-1"/>
          <w:w w:val="100"/>
          <w:sz w:val="21"/>
        </w:rPr>
        <w:t>re</w:t>
      </w:r>
      <w:r>
        <w:rPr>
          <w:spacing w:val="-3"/>
          <w:w w:val="100"/>
          <w:sz w:val="21"/>
        </w:rPr>
        <w:t>v</w:t>
      </w:r>
      <w:r>
        <w:rPr>
          <w:w w:val="100"/>
          <w:sz w:val="21"/>
        </w:rPr>
        <w:t>i</w:t>
      </w:r>
      <w:r>
        <w:rPr>
          <w:spacing w:val="-1"/>
          <w:w w:val="100"/>
          <w:sz w:val="21"/>
        </w:rPr>
        <w:t>e</w:t>
      </w:r>
      <w:r>
        <w:rPr>
          <w:w w:val="100"/>
          <w:sz w:val="21"/>
        </w:rPr>
        <w:t>w</w:t>
      </w:r>
      <w:r>
        <w:rPr>
          <w:spacing w:val="21"/>
          <w:sz w:val="21"/>
        </w:rPr>
        <w:t> </w:t>
      </w:r>
      <w:r>
        <w:rPr>
          <w:spacing w:val="-1"/>
          <w:w w:val="100"/>
          <w:sz w:val="21"/>
        </w:rPr>
        <w:t>o</w:t>
      </w:r>
      <w:r>
        <w:rPr>
          <w:w w:val="100"/>
          <w:sz w:val="21"/>
        </w:rPr>
        <w:t>f</w:t>
      </w:r>
      <w:r>
        <w:rPr>
          <w:spacing w:val="26"/>
          <w:sz w:val="21"/>
        </w:rPr>
        <w:t> </w:t>
      </w:r>
      <w:r>
        <w:rPr>
          <w:spacing w:val="-2"/>
          <w:w w:val="100"/>
          <w:sz w:val="21"/>
        </w:rPr>
        <w:t>t</w:t>
      </w:r>
      <w:r>
        <w:rPr>
          <w:spacing w:val="-3"/>
          <w:w w:val="100"/>
          <w:sz w:val="21"/>
        </w:rPr>
        <w:t>h</w:t>
      </w:r>
      <w:r>
        <w:rPr>
          <w:w w:val="100"/>
          <w:sz w:val="21"/>
        </w:rPr>
        <w:t>e</w:t>
      </w:r>
      <w:r>
        <w:rPr>
          <w:spacing w:val="25"/>
          <w:sz w:val="21"/>
        </w:rPr>
        <w:t> </w:t>
      </w:r>
      <w:r>
        <w:rPr>
          <w:spacing w:val="-3"/>
          <w:w w:val="100"/>
          <w:sz w:val="21"/>
        </w:rPr>
        <w:t>g</w:t>
      </w:r>
      <w:r>
        <w:rPr>
          <w:spacing w:val="-1"/>
          <w:w w:val="100"/>
          <w:sz w:val="21"/>
        </w:rPr>
        <w:t>ener</w:t>
      </w:r>
      <w:r>
        <w:rPr>
          <w:spacing w:val="-3"/>
          <w:w w:val="100"/>
          <w:sz w:val="21"/>
        </w:rPr>
        <w:t>a</w:t>
      </w:r>
      <w:r>
        <w:rPr>
          <w:w w:val="100"/>
          <w:sz w:val="21"/>
        </w:rPr>
        <w:t>l</w:t>
      </w:r>
      <w:r>
        <w:rPr>
          <w:spacing w:val="23"/>
          <w:sz w:val="21"/>
        </w:rPr>
        <w:t> </w:t>
      </w:r>
      <w:r>
        <w:rPr>
          <w:w w:val="100"/>
          <w:sz w:val="21"/>
        </w:rPr>
        <w:t>l</w:t>
      </w:r>
      <w:r>
        <w:rPr>
          <w:spacing w:val="-1"/>
          <w:w w:val="100"/>
          <w:sz w:val="21"/>
        </w:rPr>
        <w:t>a</w:t>
      </w:r>
      <w:r>
        <w:rPr>
          <w:w w:val="100"/>
          <w:sz w:val="21"/>
        </w:rPr>
        <w:t>w</w:t>
      </w:r>
      <w:r>
        <w:rPr>
          <w:spacing w:val="24"/>
          <w:sz w:val="21"/>
        </w:rPr>
        <w:t> </w:t>
      </w:r>
      <w:r>
        <w:rPr>
          <w:spacing w:val="-1"/>
          <w:w w:val="100"/>
          <w:sz w:val="21"/>
        </w:rPr>
        <w:t>r</w:t>
      </w:r>
      <w:r>
        <w:rPr>
          <w:spacing w:val="-3"/>
          <w:w w:val="100"/>
          <w:sz w:val="21"/>
        </w:rPr>
        <w:t>e</w:t>
      </w:r>
      <w:r>
        <w:rPr>
          <w:w w:val="100"/>
          <w:sz w:val="21"/>
        </w:rPr>
        <w:t>l</w:t>
      </w:r>
      <w:r>
        <w:rPr>
          <w:spacing w:val="-1"/>
          <w:w w:val="100"/>
          <w:sz w:val="21"/>
        </w:rPr>
        <w:t>at</w:t>
      </w:r>
      <w:r>
        <w:rPr>
          <w:spacing w:val="-2"/>
          <w:w w:val="100"/>
          <w:sz w:val="21"/>
        </w:rPr>
        <w:t>i</w:t>
      </w:r>
      <w:r>
        <w:rPr>
          <w:spacing w:val="-3"/>
          <w:w w:val="100"/>
          <w:sz w:val="21"/>
        </w:rPr>
        <w:t>n</w:t>
      </w:r>
      <w:r>
        <w:rPr>
          <w:w w:val="100"/>
          <w:sz w:val="21"/>
        </w:rPr>
        <w:t>g</w:t>
      </w:r>
      <w:r>
        <w:rPr>
          <w:spacing w:val="25"/>
          <w:sz w:val="21"/>
        </w:rPr>
        <w:t> </w:t>
      </w:r>
      <w:r>
        <w:rPr>
          <w:spacing w:val="-2"/>
          <w:w w:val="100"/>
          <w:sz w:val="21"/>
        </w:rPr>
        <w:t>t</w:t>
      </w:r>
      <w:r>
        <w:rPr>
          <w:w w:val="100"/>
          <w:sz w:val="21"/>
        </w:rPr>
        <w:t>o</w:t>
      </w:r>
      <w:r>
        <w:rPr>
          <w:spacing w:val="23"/>
          <w:sz w:val="21"/>
        </w:rPr>
        <w:t> </w:t>
      </w:r>
      <w:r>
        <w:rPr>
          <w:w w:val="100"/>
          <w:sz w:val="21"/>
        </w:rPr>
        <w:t>H</w:t>
      </w:r>
      <w:r>
        <w:rPr>
          <w:spacing w:val="-2"/>
          <w:w w:val="100"/>
          <w:sz w:val="21"/>
        </w:rPr>
        <w:t>i</w:t>
      </w:r>
      <w:r>
        <w:rPr>
          <w:spacing w:val="-1"/>
          <w:w w:val="100"/>
          <w:sz w:val="21"/>
        </w:rPr>
        <w:t>ndu </w:t>
      </w:r>
      <w:r>
        <w:rPr>
          <w:sz w:val="21"/>
        </w:rPr>
        <w:t>and  Mahommedan  pious   institutions   it   would </w:t>
      </w:r>
      <w:r>
        <w:rPr>
          <w:i/>
          <w:sz w:val="21"/>
        </w:rPr>
        <w:t>prima   </w:t>
      </w:r>
      <w:r>
        <w:rPr>
          <w:i/>
          <w:sz w:val="21"/>
        </w:rPr>
        <w:t>facie </w:t>
      </w:r>
      <w:r>
        <w:rPr>
          <w:sz w:val="21"/>
        </w:rPr>
        <w:t>follow that </w:t>
      </w:r>
      <w:r>
        <w:rPr>
          <w:b/>
          <w:sz w:val="21"/>
        </w:rPr>
        <w:t>an alienation by a manager or superior by whatever name called cannot be treated as the act</w:t>
      </w:r>
      <w:r>
        <w:rPr>
          <w:b/>
          <w:spacing w:val="17"/>
          <w:sz w:val="21"/>
        </w:rPr>
        <w:t> </w:t>
      </w:r>
      <w:r>
        <w:rPr>
          <w:b/>
          <w:sz w:val="21"/>
        </w:rPr>
        <w:t>of a</w:t>
      </w:r>
    </w:p>
    <w:p>
      <w:pPr>
        <w:tabs>
          <w:tab w:pos="5287" w:val="left" w:leader="none"/>
        </w:tabs>
        <w:spacing w:line="276" w:lineRule="auto" w:before="0"/>
        <w:ind w:left="1940" w:right="2260" w:firstLine="0"/>
        <w:jc w:val="both"/>
        <w:rPr>
          <w:sz w:val="21"/>
        </w:rPr>
      </w:pPr>
      <w:r>
        <w:rPr>
          <w:b/>
          <w:sz w:val="21"/>
        </w:rPr>
        <w:t>―trustee‖</w:t>
      </w:r>
      <w:r>
        <w:rPr>
          <w:b/>
          <w:spacing w:val="-21"/>
          <w:sz w:val="21"/>
        </w:rPr>
        <w:t> </w:t>
      </w:r>
      <w:r>
        <w:rPr>
          <w:b/>
          <w:sz w:val="21"/>
        </w:rPr>
        <w:t>to</w:t>
      </w:r>
      <w:r>
        <w:rPr>
          <w:b/>
          <w:spacing w:val="-22"/>
          <w:sz w:val="21"/>
        </w:rPr>
        <w:t> </w:t>
      </w:r>
      <w:r>
        <w:rPr>
          <w:b/>
          <w:sz w:val="21"/>
        </w:rPr>
        <w:t>whom</w:t>
      </w:r>
      <w:r>
        <w:rPr>
          <w:b/>
          <w:spacing w:val="-23"/>
          <w:sz w:val="21"/>
        </w:rPr>
        <w:t> </w:t>
      </w:r>
      <w:r>
        <w:rPr>
          <w:b/>
          <w:sz w:val="21"/>
        </w:rPr>
        <w:t>property</w:t>
      </w:r>
      <w:r>
        <w:rPr>
          <w:b/>
          <w:spacing w:val="-23"/>
          <w:sz w:val="21"/>
        </w:rPr>
        <w:t> </w:t>
      </w:r>
      <w:r>
        <w:rPr>
          <w:b/>
          <w:sz w:val="21"/>
        </w:rPr>
        <w:t>has</w:t>
      </w:r>
      <w:r>
        <w:rPr>
          <w:b/>
          <w:spacing w:val="-23"/>
          <w:sz w:val="21"/>
        </w:rPr>
        <w:t> </w:t>
      </w:r>
      <w:r>
        <w:rPr>
          <w:b/>
          <w:sz w:val="21"/>
        </w:rPr>
        <w:t>been</w:t>
      </w:r>
      <w:r>
        <w:rPr>
          <w:b/>
          <w:spacing w:val="-22"/>
          <w:sz w:val="21"/>
        </w:rPr>
        <w:t> </w:t>
      </w:r>
      <w:r>
        <w:rPr>
          <w:b/>
          <w:sz w:val="21"/>
        </w:rPr>
        <w:t>―conveyed</w:t>
      </w:r>
      <w:r>
        <w:rPr>
          <w:b/>
          <w:spacing w:val="-21"/>
          <w:sz w:val="21"/>
        </w:rPr>
        <w:t> </w:t>
      </w:r>
      <w:r>
        <w:rPr>
          <w:b/>
          <w:sz w:val="21"/>
        </w:rPr>
        <w:t>in</w:t>
      </w:r>
      <w:r>
        <w:rPr>
          <w:b/>
          <w:spacing w:val="-22"/>
          <w:sz w:val="21"/>
        </w:rPr>
        <w:t> </w:t>
      </w:r>
      <w:r>
        <w:rPr>
          <w:b/>
          <w:sz w:val="21"/>
        </w:rPr>
        <w:t>trust‖ and who by virtue thereof has the capacity vested in him which is possessed by a ―trustee‖ in the English law</w:t>
      </w:r>
      <w:r>
        <w:rPr>
          <w:sz w:val="21"/>
        </w:rPr>
        <w:t>. Of </w:t>
      </w:r>
      <w:r>
        <w:rPr>
          <w:w w:val="100"/>
          <w:sz w:val="21"/>
        </w:rPr>
        <w:t>course,</w:t>
      </w:r>
      <w:r>
        <w:rPr>
          <w:spacing w:val="26"/>
          <w:sz w:val="21"/>
        </w:rPr>
        <w:t> </w:t>
      </w:r>
      <w:r>
        <w:rPr>
          <w:w w:val="100"/>
          <w:sz w:val="21"/>
        </w:rPr>
        <w:t>a</w:t>
      </w:r>
      <w:r>
        <w:rPr>
          <w:spacing w:val="25"/>
          <w:sz w:val="21"/>
        </w:rPr>
        <w:t> </w:t>
      </w:r>
      <w:r>
        <w:rPr>
          <w:w w:val="100"/>
          <w:sz w:val="21"/>
        </w:rPr>
        <w:t>H</w:t>
      </w:r>
      <w:r>
        <w:rPr>
          <w:spacing w:val="-2"/>
          <w:w w:val="100"/>
          <w:sz w:val="21"/>
        </w:rPr>
        <w:t>i</w:t>
      </w:r>
      <w:r>
        <w:rPr>
          <w:spacing w:val="-1"/>
          <w:w w:val="100"/>
          <w:sz w:val="21"/>
        </w:rPr>
        <w:t>nd</w:t>
      </w:r>
      <w:r>
        <w:rPr>
          <w:w w:val="100"/>
          <w:sz w:val="21"/>
        </w:rPr>
        <w:t>u</w:t>
      </w:r>
      <w:r>
        <w:rPr>
          <w:spacing w:val="28"/>
          <w:sz w:val="21"/>
        </w:rPr>
        <w:t> </w:t>
      </w:r>
      <w:r>
        <w:rPr>
          <w:spacing w:val="-1"/>
          <w:w w:val="100"/>
          <w:sz w:val="21"/>
        </w:rPr>
        <w:t>o</w:t>
      </w:r>
      <w:r>
        <w:rPr>
          <w:w w:val="100"/>
          <w:sz w:val="21"/>
        </w:rPr>
        <w:t>r</w:t>
      </w:r>
      <w:r>
        <w:rPr>
          <w:spacing w:val="27"/>
          <w:sz w:val="21"/>
        </w:rPr>
        <w:t> </w:t>
      </w:r>
      <w:r>
        <w:rPr>
          <w:w w:val="100"/>
          <w:sz w:val="21"/>
        </w:rPr>
        <w:t>a</w:t>
      </w:r>
      <w:r>
        <w:rPr>
          <w:spacing w:val="27"/>
          <w:sz w:val="21"/>
        </w:rPr>
        <w:t> </w:t>
      </w:r>
      <w:r>
        <w:rPr>
          <w:spacing w:val="-4"/>
          <w:w w:val="100"/>
          <w:sz w:val="21"/>
        </w:rPr>
        <w:t>M</w:t>
      </w:r>
      <w:r>
        <w:rPr>
          <w:spacing w:val="-3"/>
          <w:w w:val="100"/>
          <w:sz w:val="21"/>
        </w:rPr>
        <w:t>a</w:t>
      </w:r>
      <w:r>
        <w:rPr>
          <w:spacing w:val="-1"/>
          <w:w w:val="100"/>
          <w:sz w:val="21"/>
        </w:rPr>
        <w:t>h</w:t>
      </w:r>
      <w:r>
        <w:rPr>
          <w:spacing w:val="-3"/>
          <w:w w:val="100"/>
          <w:sz w:val="21"/>
        </w:rPr>
        <w:t>o</w:t>
      </w:r>
      <w:r>
        <w:rPr>
          <w:spacing w:val="-1"/>
          <w:w w:val="100"/>
          <w:sz w:val="21"/>
        </w:rPr>
        <w:t>m</w:t>
      </w:r>
      <w:r>
        <w:rPr>
          <w:spacing w:val="1"/>
          <w:w w:val="100"/>
          <w:sz w:val="21"/>
        </w:rPr>
        <w:t>m</w:t>
      </w:r>
      <w:r>
        <w:rPr>
          <w:spacing w:val="-3"/>
          <w:w w:val="100"/>
          <w:sz w:val="21"/>
        </w:rPr>
        <w:t>e</w:t>
      </w:r>
      <w:r>
        <w:rPr>
          <w:spacing w:val="-1"/>
          <w:w w:val="100"/>
          <w:sz w:val="21"/>
        </w:rPr>
        <w:t>da</w:t>
      </w:r>
      <w:r>
        <w:rPr>
          <w:w w:val="100"/>
          <w:sz w:val="21"/>
        </w:rPr>
        <w:t>n</w:t>
      </w:r>
      <w:r>
        <w:rPr>
          <w:spacing w:val="25"/>
          <w:sz w:val="21"/>
        </w:rPr>
        <w:t> </w:t>
      </w:r>
      <w:r>
        <w:rPr>
          <w:spacing w:val="1"/>
          <w:w w:val="100"/>
          <w:sz w:val="21"/>
        </w:rPr>
        <w:t>m</w:t>
      </w:r>
      <w:r>
        <w:rPr>
          <w:spacing w:val="-1"/>
          <w:w w:val="100"/>
          <w:sz w:val="21"/>
        </w:rPr>
        <w:t>a</w:t>
      </w:r>
      <w:r>
        <w:rPr>
          <w:w w:val="100"/>
          <w:sz w:val="21"/>
        </w:rPr>
        <w:t>y</w:t>
      </w:r>
      <w:r>
        <w:rPr>
          <w:spacing w:val="25"/>
          <w:sz w:val="21"/>
        </w:rPr>
        <w:t> </w:t>
      </w:r>
      <w:r>
        <w:rPr>
          <w:spacing w:val="-1"/>
          <w:w w:val="33"/>
          <w:sz w:val="21"/>
        </w:rPr>
        <w:t>―</w:t>
      </w:r>
      <w:r>
        <w:rPr>
          <w:w w:val="100"/>
          <w:sz w:val="21"/>
        </w:rPr>
        <w:t>con</w:t>
      </w:r>
      <w:r>
        <w:rPr>
          <w:spacing w:val="-3"/>
          <w:w w:val="100"/>
          <w:sz w:val="21"/>
        </w:rPr>
        <w:t>v</w:t>
      </w:r>
      <w:r>
        <w:rPr>
          <w:spacing w:val="-1"/>
          <w:w w:val="100"/>
          <w:sz w:val="21"/>
        </w:rPr>
        <w:t>e</w:t>
      </w:r>
      <w:r>
        <w:rPr>
          <w:w w:val="100"/>
          <w:sz w:val="21"/>
        </w:rPr>
        <w:t>y</w:t>
      </w:r>
      <w:r>
        <w:rPr>
          <w:spacing w:val="25"/>
          <w:sz w:val="21"/>
        </w:rPr>
        <w:t> </w:t>
      </w:r>
      <w:r>
        <w:rPr>
          <w:w w:val="100"/>
          <w:sz w:val="21"/>
        </w:rPr>
        <w:t>in</w:t>
      </w:r>
      <w:r>
        <w:rPr>
          <w:spacing w:val="27"/>
          <w:sz w:val="21"/>
        </w:rPr>
        <w:t> </w:t>
      </w:r>
      <w:r>
        <w:rPr>
          <w:spacing w:val="-2"/>
          <w:w w:val="100"/>
          <w:sz w:val="21"/>
        </w:rPr>
        <w:t>t</w:t>
      </w:r>
      <w:r>
        <w:rPr>
          <w:spacing w:val="-1"/>
          <w:w w:val="100"/>
          <w:sz w:val="21"/>
        </w:rPr>
        <w:t>rust</w:t>
      </w:r>
      <w:r>
        <w:rPr>
          <w:w w:val="81"/>
          <w:sz w:val="21"/>
        </w:rPr>
        <w:t>‖</w:t>
      </w:r>
      <w:r>
        <w:rPr>
          <w:spacing w:val="27"/>
          <w:sz w:val="21"/>
        </w:rPr>
        <w:t> </w:t>
      </w:r>
      <w:r>
        <w:rPr>
          <w:w w:val="100"/>
          <w:sz w:val="21"/>
        </w:rPr>
        <w:t>a </w:t>
      </w:r>
      <w:r>
        <w:rPr>
          <w:sz w:val="21"/>
        </w:rPr>
        <w:t>specific property to a particular individual for a specific and definite purpose, and place himself expressly under the English law when the person to whom the legal ownership is transferred would become a trustee in the specific sense of the</w:t>
      </w:r>
      <w:r>
        <w:rPr>
          <w:spacing w:val="-8"/>
          <w:sz w:val="21"/>
        </w:rPr>
        <w:t> </w:t>
      </w:r>
      <w:r>
        <w:rPr>
          <w:sz w:val="21"/>
        </w:rPr>
        <w:t>term.‖</w:t>
        <w:tab/>
        <w:t>(Emphasis</w:t>
      </w:r>
      <w:r>
        <w:rPr>
          <w:spacing w:val="-2"/>
          <w:sz w:val="21"/>
        </w:rPr>
        <w:t> </w:t>
      </w:r>
      <w:r>
        <w:rPr>
          <w:sz w:val="21"/>
        </w:rPr>
        <w:t>supplied)</w:t>
      </w:r>
    </w:p>
    <w:p>
      <w:pPr>
        <w:pStyle w:val="BodyText"/>
        <w:rPr>
          <w:sz w:val="24"/>
        </w:rPr>
      </w:pPr>
    </w:p>
    <w:p>
      <w:pPr>
        <w:pStyle w:val="BodyText"/>
        <w:spacing w:before="2"/>
        <w:rPr>
          <w:sz w:val="26"/>
        </w:rPr>
      </w:pPr>
    </w:p>
    <w:p>
      <w:pPr>
        <w:pStyle w:val="BodyText"/>
        <w:spacing w:line="480" w:lineRule="auto"/>
        <w:ind w:left="500" w:right="443"/>
        <w:jc w:val="both"/>
      </w:pPr>
      <w:r>
        <w:rPr/>
        <w:t>Alienation by a manager was held not to constitute an act of a trustee to whom property had been conveyed in trust in the same sense in which the expression was used in English law. As a result of the amendment of 1929, a deeming fiction was introduced consequent upon which property comprised in a Hindu, Mohammedan or Buddhist religious or charitable endowments was deemed to be property vested in trust for a specific purpose.</w:t>
      </w:r>
    </w:p>
    <w:p>
      <w:pPr>
        <w:pStyle w:val="BodyText"/>
        <w:spacing w:before="161"/>
        <w:ind w:left="500"/>
        <w:jc w:val="both"/>
      </w:pPr>
      <w:r>
        <w:rPr/>
        <w:t>Section 10 applies to suits filed </w:t>
      </w:r>
      <w:r>
        <w:rPr>
          <w:u w:val="single"/>
        </w:rPr>
        <w:t>against</w:t>
      </w:r>
      <w:r>
        <w:rPr/>
        <w:t>:</w:t>
      </w:r>
    </w:p>
    <w:p>
      <w:pPr>
        <w:spacing w:after="0"/>
        <w:jc w:val="both"/>
        <w:sectPr>
          <w:headerReference w:type="default" r:id="rId142"/>
          <w:footerReference w:type="default" r:id="rId143"/>
          <w:pgSz w:w="11910" w:h="16840"/>
          <w:pgMar w:header="721" w:footer="1566" w:top="1300" w:bottom="1760" w:left="940" w:right="1000"/>
          <w:pgNumType w:start="455"/>
        </w:sectPr>
      </w:pPr>
    </w:p>
    <w:p>
      <w:pPr>
        <w:pStyle w:val="ListParagraph"/>
        <w:numPr>
          <w:ilvl w:val="0"/>
          <w:numId w:val="127"/>
        </w:numPr>
        <w:tabs>
          <w:tab w:pos="1311" w:val="left" w:leader="none"/>
          <w:tab w:pos="1312" w:val="left" w:leader="none"/>
        </w:tabs>
        <w:spacing w:line="480" w:lineRule="auto" w:before="124" w:after="0"/>
        <w:ind w:left="1311" w:right="438" w:hanging="812"/>
        <w:jc w:val="left"/>
        <w:rPr>
          <w:sz w:val="25"/>
        </w:rPr>
      </w:pPr>
      <w:r>
        <w:rPr>
          <w:sz w:val="25"/>
        </w:rPr>
        <w:t>A person in whom property has become vested in trust for a specific purpose;</w:t>
      </w:r>
      <w:r>
        <w:rPr>
          <w:spacing w:val="-1"/>
          <w:sz w:val="25"/>
        </w:rPr>
        <w:t> </w:t>
      </w:r>
      <w:r>
        <w:rPr>
          <w:sz w:val="25"/>
        </w:rPr>
        <w:t>and</w:t>
      </w:r>
    </w:p>
    <w:p>
      <w:pPr>
        <w:pStyle w:val="ListParagraph"/>
        <w:numPr>
          <w:ilvl w:val="0"/>
          <w:numId w:val="127"/>
        </w:numPr>
        <w:tabs>
          <w:tab w:pos="1311" w:val="left" w:leader="none"/>
          <w:tab w:pos="1312" w:val="left" w:leader="none"/>
        </w:tabs>
        <w:spacing w:line="287" w:lineRule="exact" w:before="0" w:after="0"/>
        <w:ind w:left="1311" w:right="0" w:hanging="812"/>
        <w:jc w:val="left"/>
        <w:rPr>
          <w:sz w:val="25"/>
        </w:rPr>
      </w:pPr>
      <w:r>
        <w:rPr>
          <w:sz w:val="25"/>
        </w:rPr>
        <w:t>Legal representatives and assigns of such a</w:t>
      </w:r>
      <w:r>
        <w:rPr>
          <w:spacing w:val="-7"/>
          <w:sz w:val="25"/>
        </w:rPr>
        <w:t> </w:t>
      </w:r>
      <w:r>
        <w:rPr>
          <w:sz w:val="25"/>
        </w:rPr>
        <w:t>trustee.</w:t>
      </w:r>
    </w:p>
    <w:p>
      <w:pPr>
        <w:pStyle w:val="BodyText"/>
        <w:rPr>
          <w:sz w:val="28"/>
        </w:rPr>
      </w:pPr>
    </w:p>
    <w:p>
      <w:pPr>
        <w:pStyle w:val="BodyText"/>
        <w:spacing w:line="480" w:lineRule="auto" w:before="165"/>
        <w:ind w:left="500" w:right="448"/>
        <w:jc w:val="both"/>
      </w:pPr>
      <w:r>
        <w:rPr/>
        <w:t>However, it does not cover assigns of such a trustee for valuable consideration. The suit can be filed for the purpose of:</w:t>
      </w:r>
    </w:p>
    <w:p>
      <w:pPr>
        <w:pStyle w:val="ListParagraph"/>
        <w:numPr>
          <w:ilvl w:val="0"/>
          <w:numId w:val="128"/>
        </w:numPr>
        <w:tabs>
          <w:tab w:pos="1311" w:val="left" w:leader="none"/>
          <w:tab w:pos="1312" w:val="left" w:leader="none"/>
        </w:tabs>
        <w:spacing w:line="287" w:lineRule="exact" w:before="0" w:after="0"/>
        <w:ind w:left="1311" w:right="0" w:hanging="721"/>
        <w:jc w:val="left"/>
        <w:rPr>
          <w:sz w:val="25"/>
        </w:rPr>
      </w:pPr>
      <w:r>
        <w:rPr>
          <w:sz w:val="25"/>
        </w:rPr>
        <w:t>Following in the hands of the trustee such</w:t>
      </w:r>
      <w:r>
        <w:rPr>
          <w:spacing w:val="-7"/>
          <w:sz w:val="25"/>
        </w:rPr>
        <w:t> </w:t>
      </w:r>
      <w:r>
        <w:rPr>
          <w:sz w:val="25"/>
        </w:rPr>
        <w:t>property;</w:t>
      </w:r>
    </w:p>
    <w:p>
      <w:pPr>
        <w:pStyle w:val="BodyText"/>
        <w:spacing w:before="2"/>
      </w:pPr>
    </w:p>
    <w:p>
      <w:pPr>
        <w:pStyle w:val="ListParagraph"/>
        <w:numPr>
          <w:ilvl w:val="0"/>
          <w:numId w:val="128"/>
        </w:numPr>
        <w:tabs>
          <w:tab w:pos="1311" w:val="left" w:leader="none"/>
          <w:tab w:pos="1312" w:val="left" w:leader="none"/>
        </w:tabs>
        <w:spacing w:line="240" w:lineRule="auto" w:before="0" w:after="0"/>
        <w:ind w:left="1311" w:right="0" w:hanging="721"/>
        <w:jc w:val="left"/>
        <w:rPr>
          <w:sz w:val="25"/>
        </w:rPr>
      </w:pPr>
      <w:r>
        <w:rPr>
          <w:sz w:val="25"/>
        </w:rPr>
        <w:t>Following in the hands of the trustee the proceeds of such property;</w:t>
      </w:r>
      <w:r>
        <w:rPr>
          <w:spacing w:val="-17"/>
          <w:sz w:val="25"/>
        </w:rPr>
        <w:t> </w:t>
      </w:r>
      <w:r>
        <w:rPr>
          <w:sz w:val="25"/>
        </w:rPr>
        <w:t>and</w:t>
      </w:r>
    </w:p>
    <w:p>
      <w:pPr>
        <w:pStyle w:val="BodyText"/>
        <w:spacing w:before="10"/>
        <w:rPr>
          <w:sz w:val="24"/>
        </w:rPr>
      </w:pPr>
    </w:p>
    <w:p>
      <w:pPr>
        <w:pStyle w:val="ListParagraph"/>
        <w:numPr>
          <w:ilvl w:val="0"/>
          <w:numId w:val="128"/>
        </w:numPr>
        <w:tabs>
          <w:tab w:pos="1311" w:val="left" w:leader="none"/>
          <w:tab w:pos="1312" w:val="left" w:leader="none"/>
        </w:tabs>
        <w:spacing w:line="240" w:lineRule="auto" w:before="0" w:after="0"/>
        <w:ind w:left="1311" w:right="0" w:hanging="721"/>
        <w:jc w:val="left"/>
        <w:rPr>
          <w:sz w:val="25"/>
        </w:rPr>
      </w:pPr>
      <w:r>
        <w:rPr>
          <w:sz w:val="25"/>
        </w:rPr>
        <w:t>For an account of such property or</w:t>
      </w:r>
      <w:r>
        <w:rPr>
          <w:spacing w:val="-7"/>
          <w:sz w:val="25"/>
        </w:rPr>
        <w:t> </w:t>
      </w:r>
      <w:r>
        <w:rPr>
          <w:sz w:val="25"/>
        </w:rPr>
        <w:t>proceeds.</w:t>
      </w:r>
    </w:p>
    <w:p>
      <w:pPr>
        <w:pStyle w:val="BodyText"/>
        <w:rPr>
          <w:sz w:val="28"/>
        </w:rPr>
      </w:pPr>
    </w:p>
    <w:p>
      <w:pPr>
        <w:pStyle w:val="BodyText"/>
        <w:spacing w:line="480" w:lineRule="auto" w:before="166"/>
        <w:ind w:left="500" w:right="435"/>
        <w:jc w:val="both"/>
      </w:pPr>
      <w:r>
        <w:rPr>
          <w:w w:val="99"/>
        </w:rPr>
        <w:t>Significant</w:t>
      </w:r>
      <w:r>
        <w:rPr/>
        <w:t> </w:t>
      </w:r>
      <w:r>
        <w:rPr>
          <w:w w:val="99"/>
        </w:rPr>
        <w:t>in</w:t>
      </w:r>
      <w:r>
        <w:rPr/>
        <w:t> </w:t>
      </w:r>
      <w:r>
        <w:rPr>
          <w:w w:val="99"/>
        </w:rPr>
        <w:t>the</w:t>
      </w:r>
      <w:r>
        <w:rPr/>
        <w:t> </w:t>
      </w:r>
      <w:r>
        <w:rPr>
          <w:w w:val="99"/>
        </w:rPr>
        <w:t>opening</w:t>
      </w:r>
      <w:r>
        <w:rPr/>
        <w:t> </w:t>
      </w:r>
      <w:r>
        <w:rPr>
          <w:w w:val="99"/>
        </w:rPr>
        <w:t>words</w:t>
      </w:r>
      <w:r>
        <w:rPr/>
        <w:t> </w:t>
      </w:r>
      <w:r>
        <w:rPr>
          <w:w w:val="99"/>
        </w:rPr>
        <w:t>of</w:t>
      </w:r>
      <w:r>
        <w:rPr/>
        <w:t> </w:t>
      </w:r>
      <w:r>
        <w:rPr>
          <w:w w:val="99"/>
        </w:rPr>
        <w:t>Section</w:t>
      </w:r>
      <w:r>
        <w:rPr/>
        <w:t> </w:t>
      </w:r>
      <w:r>
        <w:rPr>
          <w:w w:val="99"/>
        </w:rPr>
        <w:t>10</w:t>
      </w:r>
      <w:r>
        <w:rPr/>
        <w:t> </w:t>
      </w:r>
      <w:r>
        <w:rPr>
          <w:w w:val="99"/>
        </w:rPr>
        <w:t>is</w:t>
      </w:r>
      <w:r>
        <w:rPr/>
        <w:t> </w:t>
      </w:r>
      <w:r>
        <w:rPr>
          <w:w w:val="99"/>
        </w:rPr>
        <w:t>the</w:t>
      </w:r>
      <w:r>
        <w:rPr/>
        <w:t> </w:t>
      </w:r>
      <w:r>
        <w:rPr>
          <w:w w:val="99"/>
        </w:rPr>
        <w:t>absence</w:t>
      </w:r>
      <w:r>
        <w:rPr/>
        <w:t> </w:t>
      </w:r>
      <w:r>
        <w:rPr>
          <w:w w:val="99"/>
        </w:rPr>
        <w:t>of</w:t>
      </w:r>
      <w:r>
        <w:rPr/>
        <w:t> </w:t>
      </w:r>
      <w:r>
        <w:rPr>
          <w:w w:val="99"/>
        </w:rPr>
        <w:t>the</w:t>
      </w:r>
      <w:r>
        <w:rPr/>
        <w:t> </w:t>
      </w:r>
      <w:r>
        <w:rPr>
          <w:w w:val="99"/>
        </w:rPr>
        <w:t>words</w:t>
      </w:r>
      <w:r>
        <w:rPr/>
        <w:t> </w:t>
      </w:r>
      <w:r>
        <w:rPr>
          <w:w w:val="33"/>
        </w:rPr>
        <w:t>―</w:t>
      </w:r>
      <w:r>
        <w:rPr>
          <w:w w:val="99"/>
        </w:rPr>
        <w:t>by</w:t>
      </w:r>
      <w:r>
        <w:rPr/>
        <w:t> </w:t>
      </w:r>
      <w:r>
        <w:rPr>
          <w:w w:val="99"/>
        </w:rPr>
        <w:t>or </w:t>
      </w:r>
      <w:r>
        <w:rPr/>
        <w:t>against‖. The Section, in other words, does not apply to suits by a trustee against third parties. (See also in this context, the decision of a Division Bench of the Madras High Court in </w:t>
      </w:r>
      <w:r>
        <w:rPr>
          <w:b/>
        </w:rPr>
        <w:t>Palaniandi Gramani Manickammal </w:t>
      </w:r>
      <w:r>
        <w:rPr/>
        <w:t>v </w:t>
      </w:r>
      <w:r>
        <w:rPr>
          <w:b/>
        </w:rPr>
        <w:t>V Murugappa Gramani</w:t>
      </w:r>
      <w:r>
        <w:rPr>
          <w:vertAlign w:val="superscript"/>
        </w:rPr>
        <w:t>242</w:t>
      </w:r>
      <w:r>
        <w:rPr>
          <w:vertAlign w:val="baseline"/>
        </w:rPr>
        <w:t>). Section 10 has no application to Suit 5.</w:t>
      </w:r>
    </w:p>
    <w:p>
      <w:pPr>
        <w:pStyle w:val="BodyText"/>
        <w:rPr>
          <w:sz w:val="32"/>
        </w:rPr>
      </w:pPr>
    </w:p>
    <w:p>
      <w:pPr>
        <w:pStyle w:val="Heading4"/>
        <w:spacing w:before="211"/>
        <w:rPr>
          <w:i/>
        </w:rPr>
      </w:pPr>
      <w:r>
        <w:rPr>
          <w:i/>
        </w:rPr>
        <w:t>The argument of perpetual minority</w:t>
      </w:r>
    </w:p>
    <w:p>
      <w:pPr>
        <w:pStyle w:val="BodyText"/>
        <w:rPr>
          <w:i/>
          <w:sz w:val="28"/>
        </w:rPr>
      </w:pPr>
    </w:p>
    <w:p>
      <w:pPr>
        <w:pStyle w:val="BodyText"/>
        <w:spacing w:before="7"/>
        <w:rPr>
          <w:i/>
          <w:sz w:val="23"/>
        </w:rPr>
      </w:pPr>
    </w:p>
    <w:p>
      <w:pPr>
        <w:pStyle w:val="ListParagraph"/>
        <w:numPr>
          <w:ilvl w:val="0"/>
          <w:numId w:val="111"/>
        </w:numPr>
        <w:tabs>
          <w:tab w:pos="1221" w:val="left" w:leader="none"/>
        </w:tabs>
        <w:spacing w:line="480" w:lineRule="auto" w:before="1" w:after="0"/>
        <w:ind w:left="500" w:right="438" w:firstLine="0"/>
        <w:jc w:val="both"/>
        <w:rPr>
          <w:sz w:val="25"/>
        </w:rPr>
      </w:pPr>
      <w:r>
        <w:rPr>
          <w:sz w:val="25"/>
        </w:rPr>
        <w:t>Mr C S Vaidyanathan, learned Senior Counsel, urged that the idol is a minor by legal fiction. Hence, no adverse title can be acquired against a minor. Dr Rajeev Dhavan, learned Senior Counsel, submitted that although a deity is treated as a minor because of its inability to sue except through a human agency, a</w:t>
      </w:r>
      <w:r>
        <w:rPr>
          <w:spacing w:val="11"/>
          <w:sz w:val="25"/>
        </w:rPr>
        <w:t> </w:t>
      </w:r>
      <w:r>
        <w:rPr>
          <w:sz w:val="25"/>
        </w:rPr>
        <w:t>deity</w:t>
      </w:r>
      <w:r>
        <w:rPr>
          <w:spacing w:val="8"/>
          <w:sz w:val="25"/>
        </w:rPr>
        <w:t> </w:t>
      </w:r>
      <w:r>
        <w:rPr>
          <w:sz w:val="25"/>
        </w:rPr>
        <w:t>is</w:t>
      </w:r>
      <w:r>
        <w:rPr>
          <w:spacing w:val="10"/>
          <w:sz w:val="25"/>
        </w:rPr>
        <w:t> </w:t>
      </w:r>
      <w:r>
        <w:rPr>
          <w:sz w:val="25"/>
        </w:rPr>
        <w:t>not</w:t>
      </w:r>
      <w:r>
        <w:rPr>
          <w:spacing w:val="12"/>
          <w:sz w:val="25"/>
        </w:rPr>
        <w:t> </w:t>
      </w:r>
      <w:r>
        <w:rPr>
          <w:sz w:val="25"/>
        </w:rPr>
        <w:t>a</w:t>
      </w:r>
      <w:r>
        <w:rPr>
          <w:spacing w:val="11"/>
          <w:sz w:val="25"/>
        </w:rPr>
        <w:t> </w:t>
      </w:r>
      <w:r>
        <w:rPr>
          <w:sz w:val="25"/>
        </w:rPr>
        <w:t>minor</w:t>
      </w:r>
      <w:r>
        <w:rPr>
          <w:spacing w:val="14"/>
          <w:sz w:val="25"/>
        </w:rPr>
        <w:t> </w:t>
      </w:r>
      <w:r>
        <w:rPr>
          <w:sz w:val="25"/>
        </w:rPr>
        <w:t>for</w:t>
      </w:r>
      <w:r>
        <w:rPr>
          <w:spacing w:val="12"/>
          <w:sz w:val="25"/>
        </w:rPr>
        <w:t> </w:t>
      </w:r>
      <w:r>
        <w:rPr>
          <w:sz w:val="25"/>
        </w:rPr>
        <w:t>the</w:t>
      </w:r>
      <w:r>
        <w:rPr>
          <w:spacing w:val="12"/>
          <w:sz w:val="25"/>
        </w:rPr>
        <w:t> </w:t>
      </w:r>
      <w:r>
        <w:rPr>
          <w:sz w:val="25"/>
        </w:rPr>
        <w:t>purposes</w:t>
      </w:r>
      <w:r>
        <w:rPr>
          <w:spacing w:val="11"/>
          <w:sz w:val="25"/>
        </w:rPr>
        <w:t> </w:t>
      </w:r>
      <w:r>
        <w:rPr>
          <w:sz w:val="25"/>
        </w:rPr>
        <w:t>of</w:t>
      </w:r>
      <w:r>
        <w:rPr>
          <w:spacing w:val="11"/>
          <w:sz w:val="25"/>
        </w:rPr>
        <w:t> </w:t>
      </w:r>
      <w:r>
        <w:rPr>
          <w:sz w:val="25"/>
        </w:rPr>
        <w:t>limitation.</w:t>
      </w:r>
      <w:r>
        <w:rPr>
          <w:spacing w:val="11"/>
          <w:sz w:val="25"/>
        </w:rPr>
        <w:t> </w:t>
      </w:r>
      <w:r>
        <w:rPr>
          <w:sz w:val="25"/>
        </w:rPr>
        <w:t>He</w:t>
      </w:r>
      <w:r>
        <w:rPr>
          <w:spacing w:val="12"/>
          <w:sz w:val="25"/>
        </w:rPr>
        <w:t> </w:t>
      </w:r>
      <w:r>
        <w:rPr>
          <w:sz w:val="25"/>
        </w:rPr>
        <w:t>submitted</w:t>
      </w:r>
      <w:r>
        <w:rPr>
          <w:spacing w:val="11"/>
          <w:sz w:val="25"/>
        </w:rPr>
        <w:t> </w:t>
      </w:r>
      <w:r>
        <w:rPr>
          <w:sz w:val="25"/>
        </w:rPr>
        <w:t>that</w:t>
      </w:r>
      <w:r>
        <w:rPr>
          <w:spacing w:val="11"/>
          <w:sz w:val="25"/>
        </w:rPr>
        <w:t> </w:t>
      </w:r>
      <w:r>
        <w:rPr>
          <w:sz w:val="25"/>
        </w:rPr>
        <w:t>the</w:t>
      </w:r>
      <w:r>
        <w:rPr>
          <w:spacing w:val="11"/>
          <w:sz w:val="25"/>
        </w:rPr>
        <w:t> </w:t>
      </w:r>
      <w:r>
        <w:rPr>
          <w:sz w:val="25"/>
        </w:rPr>
        <w:t>dictum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rect style="position:absolute;margin-left:72.024002pt;margin-top:13.213025pt;width:144.020pt;height:.599980pt;mso-position-horizontal-relative:page;mso-position-vertical-relative:paragraph;z-index:-1566105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242</w:t>
      </w:r>
      <w:r>
        <w:rPr>
          <w:sz w:val="18"/>
          <w:vertAlign w:val="baseline"/>
        </w:rPr>
        <w:t> AIR 1935 Mad 483</w:t>
      </w:r>
    </w:p>
    <w:p>
      <w:pPr>
        <w:spacing w:after="0"/>
        <w:jc w:val="left"/>
        <w:rPr>
          <w:sz w:val="18"/>
        </w:rPr>
        <w:sectPr>
          <w:headerReference w:type="default" r:id="rId144"/>
          <w:footerReference w:type="default" r:id="rId145"/>
          <w:pgSz w:w="11910" w:h="16840"/>
          <w:pgMar w:header="721" w:footer="1014" w:top="1300" w:bottom="1200" w:left="940" w:right="1000"/>
        </w:sectPr>
      </w:pPr>
    </w:p>
    <w:p>
      <w:pPr>
        <w:spacing w:line="482" w:lineRule="auto" w:before="121"/>
        <w:ind w:left="500" w:right="438" w:firstLine="0"/>
        <w:jc w:val="left"/>
        <w:rPr>
          <w:sz w:val="25"/>
        </w:rPr>
      </w:pPr>
      <w:r>
        <w:rPr>
          <w:sz w:val="25"/>
        </w:rPr>
        <w:t>in </w:t>
      </w:r>
      <w:r>
        <w:rPr>
          <w:b/>
          <w:sz w:val="25"/>
        </w:rPr>
        <w:t>Bishwanath </w:t>
      </w:r>
      <w:r>
        <w:rPr>
          <w:sz w:val="25"/>
        </w:rPr>
        <w:t>v </w:t>
      </w:r>
      <w:r>
        <w:rPr>
          <w:b/>
          <w:sz w:val="25"/>
        </w:rPr>
        <w:t>Sri Thakur Radha Ballabhji</w:t>
      </w:r>
      <w:r>
        <w:rPr>
          <w:sz w:val="25"/>
          <w:vertAlign w:val="superscript"/>
        </w:rPr>
        <w:t>243</w:t>
      </w:r>
      <w:r>
        <w:rPr>
          <w:sz w:val="25"/>
          <w:vertAlign w:val="baseline"/>
        </w:rPr>
        <w:t> that a deity is a perpetual minor was not made in the context of limitation.</w:t>
      </w:r>
    </w:p>
    <w:p>
      <w:pPr>
        <w:pStyle w:val="BodyText"/>
        <w:spacing w:before="4"/>
        <w:rPr>
          <w:sz w:val="40"/>
        </w:rPr>
      </w:pPr>
    </w:p>
    <w:p>
      <w:pPr>
        <w:pStyle w:val="ListParagraph"/>
        <w:numPr>
          <w:ilvl w:val="0"/>
          <w:numId w:val="111"/>
        </w:numPr>
        <w:tabs>
          <w:tab w:pos="1221" w:val="left" w:leader="none"/>
        </w:tabs>
        <w:spacing w:line="480" w:lineRule="auto" w:before="1" w:after="0"/>
        <w:ind w:left="500" w:right="436" w:firstLine="0"/>
        <w:jc w:val="both"/>
        <w:rPr>
          <w:sz w:val="25"/>
        </w:rPr>
      </w:pPr>
      <w:r>
        <w:rPr>
          <w:sz w:val="25"/>
        </w:rPr>
        <w:t>In </w:t>
      </w:r>
      <w:r>
        <w:rPr>
          <w:b/>
          <w:sz w:val="25"/>
        </w:rPr>
        <w:t>Bishwanath</w:t>
      </w:r>
      <w:r>
        <w:rPr>
          <w:sz w:val="25"/>
        </w:rPr>
        <w:t>, this Court was tasked with deciding whether a worshipper can maintain a suit for eviction on behalf of the idol if the shebait acts adversely to the interest of the idol. Chief Justice Subba Rao, speaking for a two-judge bench of this Court, held</w:t>
      </w:r>
      <w:r>
        <w:rPr>
          <w:spacing w:val="-3"/>
          <w:sz w:val="25"/>
        </w:rPr>
        <w:t> </w:t>
      </w:r>
      <w:r>
        <w:rPr>
          <w:sz w:val="25"/>
        </w:rPr>
        <w:t>thus:</w:t>
      </w:r>
    </w:p>
    <w:p>
      <w:pPr>
        <w:spacing w:line="276" w:lineRule="auto" w:before="162"/>
        <w:ind w:left="1940" w:right="2260" w:firstLine="0"/>
        <w:jc w:val="both"/>
        <w:rPr>
          <w:sz w:val="21"/>
        </w:rPr>
      </w:pPr>
      <w:r>
        <w:rPr>
          <w:spacing w:val="-1"/>
          <w:w w:val="33"/>
          <w:sz w:val="21"/>
        </w:rPr>
        <w:t>―</w:t>
      </w:r>
      <w:r>
        <w:rPr>
          <w:spacing w:val="-1"/>
          <w:w w:val="100"/>
          <w:sz w:val="21"/>
        </w:rPr>
        <w:t>10</w:t>
      </w:r>
      <w:r>
        <w:rPr>
          <w:w w:val="100"/>
          <w:sz w:val="21"/>
        </w:rPr>
        <w:t>.</w:t>
      </w:r>
      <w:r>
        <w:rPr>
          <w:spacing w:val="-2"/>
          <w:sz w:val="21"/>
        </w:rPr>
        <w:t> </w:t>
      </w:r>
      <w:r>
        <w:rPr>
          <w:w w:val="100"/>
          <w:sz w:val="21"/>
        </w:rPr>
        <w:t>Th</w:t>
      </w:r>
      <w:r>
        <w:rPr>
          <w:w w:val="100"/>
          <w:sz w:val="21"/>
        </w:rPr>
        <w:t>e</w:t>
      </w:r>
      <w:r>
        <w:rPr>
          <w:sz w:val="21"/>
        </w:rPr>
        <w:t> </w:t>
      </w:r>
      <w:r>
        <w:rPr>
          <w:spacing w:val="-16"/>
          <w:sz w:val="21"/>
        </w:rPr>
        <w:t> </w:t>
      </w:r>
      <w:r>
        <w:rPr>
          <w:w w:val="100"/>
          <w:sz w:val="21"/>
        </w:rPr>
        <w:t>ques</w:t>
      </w:r>
      <w:r>
        <w:rPr>
          <w:spacing w:val="-3"/>
          <w:w w:val="100"/>
          <w:sz w:val="21"/>
        </w:rPr>
        <w:t>t</w:t>
      </w:r>
      <w:r>
        <w:rPr>
          <w:w w:val="100"/>
          <w:sz w:val="21"/>
        </w:rPr>
        <w:t>i</w:t>
      </w:r>
      <w:r>
        <w:rPr>
          <w:w w:val="100"/>
          <w:sz w:val="21"/>
        </w:rPr>
        <w:t>on</w:t>
      </w:r>
      <w:r>
        <w:rPr>
          <w:sz w:val="21"/>
        </w:rPr>
        <w:t> </w:t>
      </w:r>
      <w:r>
        <w:rPr>
          <w:spacing w:val="-16"/>
          <w:sz w:val="21"/>
        </w:rPr>
        <w:t> </w:t>
      </w:r>
      <w:r>
        <w:rPr>
          <w:w w:val="100"/>
          <w:sz w:val="21"/>
        </w:rPr>
        <w:t>i</w:t>
      </w:r>
      <w:r>
        <w:rPr>
          <w:w w:val="100"/>
          <w:sz w:val="21"/>
        </w:rPr>
        <w:t>s,</w:t>
      </w:r>
      <w:r>
        <w:rPr>
          <w:sz w:val="21"/>
        </w:rPr>
        <w:t> </w:t>
      </w:r>
      <w:r>
        <w:rPr>
          <w:spacing w:val="-15"/>
          <w:sz w:val="21"/>
        </w:rPr>
        <w:t> </w:t>
      </w:r>
      <w:r>
        <w:rPr>
          <w:spacing w:val="-3"/>
          <w:w w:val="100"/>
          <w:sz w:val="21"/>
        </w:rPr>
        <w:t>c</w:t>
      </w:r>
      <w:r>
        <w:rPr>
          <w:w w:val="100"/>
          <w:sz w:val="21"/>
        </w:rPr>
        <w:t>an</w:t>
      </w:r>
      <w:r>
        <w:rPr>
          <w:sz w:val="21"/>
        </w:rPr>
        <w:t> </w:t>
      </w:r>
      <w:r>
        <w:rPr>
          <w:spacing w:val="-16"/>
          <w:sz w:val="21"/>
        </w:rPr>
        <w:t> </w:t>
      </w:r>
      <w:r>
        <w:rPr>
          <w:w w:val="100"/>
          <w:sz w:val="21"/>
        </w:rPr>
        <w:t>such</w:t>
      </w:r>
      <w:r>
        <w:rPr>
          <w:sz w:val="21"/>
        </w:rPr>
        <w:t> </w:t>
      </w:r>
      <w:r>
        <w:rPr>
          <w:spacing w:val="-16"/>
          <w:sz w:val="21"/>
        </w:rPr>
        <w:t> </w:t>
      </w:r>
      <w:r>
        <w:rPr>
          <w:w w:val="100"/>
          <w:sz w:val="21"/>
        </w:rPr>
        <w:t>a</w:t>
      </w:r>
      <w:r>
        <w:rPr>
          <w:sz w:val="21"/>
        </w:rPr>
        <w:t> </w:t>
      </w:r>
      <w:r>
        <w:rPr>
          <w:spacing w:val="-14"/>
          <w:sz w:val="21"/>
        </w:rPr>
        <w:t> </w:t>
      </w:r>
      <w:r>
        <w:rPr>
          <w:w w:val="100"/>
          <w:sz w:val="21"/>
        </w:rPr>
        <w:t>pe</w:t>
      </w:r>
      <w:r>
        <w:rPr>
          <w:spacing w:val="-3"/>
          <w:w w:val="100"/>
          <w:sz w:val="21"/>
        </w:rPr>
        <w:t>r</w:t>
      </w:r>
      <w:r>
        <w:rPr>
          <w:w w:val="100"/>
          <w:sz w:val="21"/>
        </w:rPr>
        <w:t>son</w:t>
      </w:r>
      <w:r>
        <w:rPr>
          <w:sz w:val="21"/>
        </w:rPr>
        <w:t> </w:t>
      </w:r>
      <w:r>
        <w:rPr>
          <w:spacing w:val="-14"/>
          <w:sz w:val="21"/>
        </w:rPr>
        <w:t> </w:t>
      </w:r>
      <w:r>
        <w:rPr>
          <w:spacing w:val="-1"/>
          <w:w w:val="100"/>
          <w:sz w:val="21"/>
        </w:rPr>
        <w:t>r</w:t>
      </w:r>
      <w:r>
        <w:rPr>
          <w:spacing w:val="-3"/>
          <w:w w:val="100"/>
          <w:sz w:val="21"/>
        </w:rPr>
        <w:t>e</w:t>
      </w:r>
      <w:r>
        <w:rPr>
          <w:w w:val="100"/>
          <w:sz w:val="21"/>
        </w:rPr>
        <w:t>pre</w:t>
      </w:r>
      <w:r>
        <w:rPr>
          <w:spacing w:val="-3"/>
          <w:w w:val="100"/>
          <w:sz w:val="21"/>
        </w:rPr>
        <w:t>s</w:t>
      </w:r>
      <w:r>
        <w:rPr>
          <w:w w:val="100"/>
          <w:sz w:val="21"/>
        </w:rPr>
        <w:t>e</w:t>
      </w:r>
      <w:r>
        <w:rPr>
          <w:spacing w:val="-3"/>
          <w:w w:val="100"/>
          <w:sz w:val="21"/>
        </w:rPr>
        <w:t>n</w:t>
      </w:r>
      <w:r>
        <w:rPr>
          <w:w w:val="100"/>
          <w:sz w:val="21"/>
        </w:rPr>
        <w:t>t</w:t>
      </w:r>
      <w:r>
        <w:rPr>
          <w:sz w:val="21"/>
        </w:rPr>
        <w:t> </w:t>
      </w:r>
      <w:r>
        <w:rPr>
          <w:spacing w:val="-15"/>
          <w:sz w:val="21"/>
        </w:rPr>
        <w:t> </w:t>
      </w:r>
      <w:r>
        <w:rPr>
          <w:spacing w:val="-2"/>
          <w:w w:val="100"/>
          <w:sz w:val="21"/>
        </w:rPr>
        <w:t>t</w:t>
      </w:r>
      <w:r>
        <w:rPr>
          <w:w w:val="100"/>
          <w:sz w:val="21"/>
        </w:rPr>
        <w:t>he</w:t>
      </w:r>
      <w:r>
        <w:rPr>
          <w:sz w:val="21"/>
        </w:rPr>
        <w:t> </w:t>
      </w:r>
      <w:r>
        <w:rPr>
          <w:spacing w:val="-14"/>
          <w:sz w:val="21"/>
        </w:rPr>
        <w:t> </w:t>
      </w:r>
      <w:r>
        <w:rPr>
          <w:w w:val="100"/>
          <w:sz w:val="21"/>
        </w:rPr>
        <w:t>i</w:t>
      </w:r>
      <w:r>
        <w:rPr>
          <w:w w:val="100"/>
          <w:sz w:val="21"/>
        </w:rPr>
        <w:t>d</w:t>
      </w:r>
      <w:r>
        <w:rPr>
          <w:spacing w:val="-3"/>
          <w:w w:val="100"/>
          <w:sz w:val="21"/>
        </w:rPr>
        <w:t>o</w:t>
      </w:r>
      <w:r>
        <w:rPr>
          <w:w w:val="100"/>
          <w:sz w:val="21"/>
        </w:rPr>
        <w:t>l </w:t>
      </w:r>
      <w:r>
        <w:rPr>
          <w:sz w:val="21"/>
        </w:rPr>
        <w:t>when the Shebait acts adversely to its interest and fails to take action to safeguard its interest. On principle we do not see any justification for denying such a right to the worshipper. </w:t>
      </w:r>
      <w:r>
        <w:rPr>
          <w:b/>
          <w:spacing w:val="-4"/>
          <w:sz w:val="21"/>
        </w:rPr>
        <w:t>An </w:t>
      </w:r>
      <w:r>
        <w:rPr>
          <w:b/>
          <w:sz w:val="21"/>
        </w:rPr>
        <w:t>idol is in the position of a minor when the person representing it leaves it in a lurch, a person interested in the worship of the idol can certainly be clothed with an </w:t>
      </w:r>
      <w:r>
        <w:rPr>
          <w:b/>
          <w:i/>
          <w:sz w:val="21"/>
        </w:rPr>
        <w:t>ad hoc </w:t>
      </w:r>
      <w:r>
        <w:rPr>
          <w:b/>
          <w:sz w:val="21"/>
        </w:rPr>
        <w:t>power of representation to protect its interest. It is a pragmatic, yet a legal solution to a difficult situation. </w:t>
      </w:r>
      <w:r>
        <w:rPr>
          <w:sz w:val="21"/>
        </w:rPr>
        <w:t>Should it be held that a Shebait, who transferred the property, can only bring a suit for recovery, in most of the cases it will be an indirect approval of the dereliction of the Shebait's duty, for more often than not he will not admit his default and take steps to recover the property, apart from other technical pleas that may be open to the transferee in a suit. Should it be held that a worshipper can file only a suit for the removal of a Shebait and for the appointment of another in order to enable him to take steps to recover the property, such a procedure will be rather a prolonged and a complicated one and the interest of the idol may irreparably suffer. </w:t>
      </w:r>
      <w:r>
        <w:rPr>
          <w:b/>
          <w:sz w:val="21"/>
        </w:rPr>
        <w:t>That is why decisions have permitted a worshipper in such circumstances to represent the idol and to recover the property for the idol. It has been held in a number of decisions that worshippers may file a suit praying for possession of a property on behalf of an</w:t>
      </w:r>
      <w:r>
        <w:rPr>
          <w:b/>
          <w:spacing w:val="-13"/>
          <w:sz w:val="21"/>
        </w:rPr>
        <w:t> </w:t>
      </w:r>
      <w:r>
        <w:rPr>
          <w:b/>
          <w:sz w:val="21"/>
        </w:rPr>
        <w:t>endowment</w:t>
      </w:r>
      <w:r>
        <w:rPr>
          <w:sz w:val="21"/>
        </w:rPr>
        <w:t>…‖</w:t>
      </w:r>
    </w:p>
    <w:p>
      <w:pPr>
        <w:spacing w:before="41"/>
        <w:ind w:left="5966" w:right="0" w:firstLine="0"/>
        <w:jc w:val="left"/>
        <w:rPr>
          <w:sz w:val="21"/>
        </w:rPr>
      </w:pPr>
      <w:r>
        <w:rPr>
          <w:sz w:val="21"/>
        </w:rPr>
        <w:t>(Emphasis supplied)</w:t>
      </w:r>
    </w:p>
    <w:p>
      <w:pPr>
        <w:pStyle w:val="BodyText"/>
        <w:rPr>
          <w:sz w:val="24"/>
        </w:rPr>
      </w:pPr>
    </w:p>
    <w:p>
      <w:pPr>
        <w:pStyle w:val="BodyText"/>
        <w:rPr>
          <w:sz w:val="24"/>
        </w:rPr>
      </w:pPr>
    </w:p>
    <w:p>
      <w:pPr>
        <w:pStyle w:val="BodyText"/>
        <w:spacing w:before="10"/>
        <w:rPr>
          <w:sz w:val="32"/>
        </w:rPr>
      </w:pPr>
    </w:p>
    <w:p>
      <w:pPr>
        <w:pStyle w:val="ListParagraph"/>
        <w:numPr>
          <w:ilvl w:val="0"/>
          <w:numId w:val="111"/>
        </w:numPr>
        <w:tabs>
          <w:tab w:pos="1220" w:val="left" w:leader="none"/>
          <w:tab w:pos="1221" w:val="left" w:leader="none"/>
        </w:tabs>
        <w:spacing w:line="480" w:lineRule="auto" w:before="0" w:after="0"/>
        <w:ind w:left="500" w:right="437" w:firstLine="0"/>
        <w:jc w:val="left"/>
        <w:rPr>
          <w:sz w:val="25"/>
        </w:rPr>
      </w:pPr>
      <w:r>
        <w:rPr/>
        <w:pict>
          <v:rect style="position:absolute;margin-left:72.024002pt;margin-top:56.144878pt;width:144.020pt;height:.599980pt;mso-position-horizontal-relative:page;mso-position-vertical-relative:paragraph;z-index:15796736" filled="true" fillcolor="#000000" stroked="false">
            <v:fill type="solid"/>
            <w10:wrap type="none"/>
          </v:rect>
        </w:pict>
      </w:r>
      <w:r>
        <w:rPr>
          <w:sz w:val="25"/>
        </w:rPr>
        <w:t>The suit in that case was instituted by Shri Thakur Radha Ballabhji, the deity represented by a next friend for possession of immoveable property and</w:t>
      </w:r>
      <w:r>
        <w:rPr>
          <w:spacing w:val="14"/>
          <w:sz w:val="25"/>
        </w:rPr>
        <w:t> </w:t>
      </w:r>
      <w:r>
        <w:rPr>
          <w:sz w:val="25"/>
        </w:rPr>
        <w:t>for</w:t>
      </w:r>
    </w:p>
    <w:p>
      <w:pPr>
        <w:spacing w:before="95"/>
        <w:ind w:left="500" w:right="0" w:firstLine="0"/>
        <w:jc w:val="left"/>
        <w:rPr>
          <w:sz w:val="18"/>
        </w:rPr>
      </w:pPr>
      <w:r>
        <w:rPr>
          <w:sz w:val="18"/>
          <w:vertAlign w:val="superscript"/>
        </w:rPr>
        <w:t>243</w:t>
      </w:r>
      <w:r>
        <w:rPr>
          <w:sz w:val="18"/>
          <w:vertAlign w:val="baseline"/>
        </w:rPr>
        <w:t> (1967) 2 SCR 618</w:t>
      </w:r>
    </w:p>
    <w:p>
      <w:pPr>
        <w:spacing w:after="0"/>
        <w:jc w:val="left"/>
        <w:rPr>
          <w:sz w:val="18"/>
        </w:rPr>
        <w:sectPr>
          <w:headerReference w:type="default" r:id="rId146"/>
          <w:footerReference w:type="default" r:id="rId147"/>
          <w:pgSz w:w="11910" w:h="16840"/>
          <w:pgMar w:header="721" w:footer="1014" w:top="1300" w:bottom="1200" w:left="940" w:right="1000"/>
          <w:pgNumType w:start="457"/>
        </w:sectPr>
      </w:pPr>
    </w:p>
    <w:p>
      <w:pPr>
        <w:pStyle w:val="BodyText"/>
        <w:spacing w:line="480" w:lineRule="auto" w:before="124"/>
        <w:ind w:left="500" w:right="436"/>
        <w:jc w:val="both"/>
      </w:pPr>
      <w:r>
        <w:rPr/>
        <w:t>mesne profits. The case of the plaintiff was that the second defendant, who was the Sarvarakar and manager, had alienated the property to the first defendant and the sale not being for necessity or for the benefit of the idol was not binding on the deity. Both the trial court and on appeal, the High Court held that the sale was not for the benefit of the deity and the consideration was not adequate. But it was urged that the suit for possession could only have been filed by the shebait and none else could represent the deity. It was in that context, that this Court  held that on principle there was no reason to deny to a worshipper a locus to institute a suit challenging the alienation when the shebait had acted adversely to the interest of the deity. The observation that the idol is in the position of a minor was not made in the context of the provisions of the Limitation Act. The observation was in the context of deciding whether a suit by a worshipper was maintainable when the manager had dealt with the property adverse to the interest of the deity. The dictum that the idol is in the position of a minor cannot be construed to mean that the idol is exempt from the application of the Limitation Act</w:t>
      </w:r>
      <w:r>
        <w:rPr>
          <w:spacing w:val="-2"/>
        </w:rPr>
        <w:t> </w:t>
      </w:r>
      <w:r>
        <w:rPr/>
        <w:t>1963.</w:t>
      </w:r>
    </w:p>
    <w:p>
      <w:pPr>
        <w:pStyle w:val="BodyText"/>
        <w:spacing w:before="7"/>
        <w:rPr>
          <w:sz w:val="38"/>
        </w:rPr>
      </w:pPr>
    </w:p>
    <w:p>
      <w:pPr>
        <w:pStyle w:val="ListParagraph"/>
        <w:numPr>
          <w:ilvl w:val="0"/>
          <w:numId w:val="111"/>
        </w:numPr>
        <w:tabs>
          <w:tab w:pos="1220" w:val="left" w:leader="none"/>
          <w:tab w:pos="1221" w:val="left" w:leader="none"/>
        </w:tabs>
        <w:spacing w:line="482" w:lineRule="auto" w:before="1" w:after="0"/>
        <w:ind w:left="500" w:right="442" w:firstLine="0"/>
        <w:jc w:val="left"/>
        <w:rPr>
          <w:sz w:val="25"/>
        </w:rPr>
      </w:pPr>
      <w:r>
        <w:rPr>
          <w:w w:val="99"/>
          <w:sz w:val="25"/>
        </w:rPr>
        <w:t>In</w:t>
      </w:r>
      <w:r>
        <w:rPr>
          <w:sz w:val="25"/>
        </w:rPr>
        <w:t> </w:t>
      </w:r>
      <w:r>
        <w:rPr>
          <w:spacing w:val="27"/>
          <w:sz w:val="25"/>
        </w:rPr>
        <w:t> </w:t>
      </w:r>
      <w:r>
        <w:rPr>
          <w:w w:val="99"/>
          <w:sz w:val="25"/>
        </w:rPr>
        <w:t>B</w:t>
      </w:r>
      <w:r>
        <w:rPr>
          <w:sz w:val="25"/>
        </w:rPr>
        <w:t> </w:t>
      </w:r>
      <w:r>
        <w:rPr>
          <w:spacing w:val="27"/>
          <w:sz w:val="25"/>
        </w:rPr>
        <w:t> </w:t>
      </w:r>
      <w:r>
        <w:rPr>
          <w:w w:val="99"/>
          <w:sz w:val="25"/>
        </w:rPr>
        <w:t>K</w:t>
      </w:r>
      <w:r>
        <w:rPr>
          <w:sz w:val="25"/>
        </w:rPr>
        <w:t> </w:t>
      </w:r>
      <w:r>
        <w:rPr>
          <w:spacing w:val="28"/>
          <w:sz w:val="25"/>
        </w:rPr>
        <w:t> </w:t>
      </w:r>
      <w:r>
        <w:rPr>
          <w:spacing w:val="-2"/>
          <w:w w:val="99"/>
          <w:sz w:val="25"/>
        </w:rPr>
        <w:t>M</w:t>
      </w:r>
      <w:r>
        <w:rPr>
          <w:spacing w:val="-1"/>
          <w:w w:val="99"/>
          <w:sz w:val="25"/>
        </w:rPr>
        <w:t>uk</w:t>
      </w:r>
      <w:r>
        <w:rPr>
          <w:w w:val="99"/>
          <w:sz w:val="25"/>
        </w:rPr>
        <w:t>h</w:t>
      </w:r>
      <w:r>
        <w:rPr>
          <w:spacing w:val="-1"/>
          <w:w w:val="99"/>
          <w:sz w:val="25"/>
        </w:rPr>
        <w:t>e</w:t>
      </w:r>
      <w:r>
        <w:rPr>
          <w:w w:val="99"/>
          <w:sz w:val="25"/>
        </w:rPr>
        <w:t>r</w:t>
      </w:r>
      <w:r>
        <w:rPr>
          <w:spacing w:val="-1"/>
          <w:w w:val="99"/>
          <w:sz w:val="25"/>
        </w:rPr>
        <w:t>jea‘</w:t>
      </w:r>
      <w:r>
        <w:rPr>
          <w:w w:val="99"/>
          <w:sz w:val="25"/>
        </w:rPr>
        <w:t>s</w:t>
      </w:r>
      <w:r>
        <w:rPr>
          <w:sz w:val="25"/>
        </w:rPr>
        <w:t> </w:t>
      </w:r>
      <w:r>
        <w:rPr>
          <w:spacing w:val="30"/>
          <w:sz w:val="25"/>
        </w:rPr>
        <w:t> </w:t>
      </w:r>
      <w:r>
        <w:rPr>
          <w:w w:val="33"/>
          <w:sz w:val="25"/>
        </w:rPr>
        <w:t>―</w:t>
      </w:r>
      <w:r>
        <w:rPr>
          <w:b/>
          <w:spacing w:val="-2"/>
          <w:w w:val="99"/>
          <w:sz w:val="25"/>
        </w:rPr>
        <w:t>T</w:t>
      </w:r>
      <w:r>
        <w:rPr>
          <w:b/>
          <w:w w:val="99"/>
          <w:sz w:val="25"/>
        </w:rPr>
        <w:t>h</w:t>
      </w:r>
      <w:r>
        <w:rPr>
          <w:b/>
          <w:w w:val="99"/>
          <w:sz w:val="25"/>
        </w:rPr>
        <w:t>e</w:t>
      </w:r>
      <w:r>
        <w:rPr>
          <w:b/>
          <w:sz w:val="25"/>
        </w:rPr>
        <w:t> </w:t>
      </w:r>
      <w:r>
        <w:rPr>
          <w:b/>
          <w:spacing w:val="26"/>
          <w:sz w:val="25"/>
        </w:rPr>
        <w:t> </w:t>
      </w:r>
      <w:r>
        <w:rPr>
          <w:b/>
          <w:w w:val="99"/>
          <w:sz w:val="25"/>
        </w:rPr>
        <w:t>Hin</w:t>
      </w:r>
      <w:r>
        <w:rPr>
          <w:b/>
          <w:w w:val="99"/>
          <w:sz w:val="25"/>
        </w:rPr>
        <w:t>du</w:t>
      </w:r>
      <w:r>
        <w:rPr>
          <w:b/>
          <w:sz w:val="25"/>
        </w:rPr>
        <w:t> </w:t>
      </w:r>
      <w:r>
        <w:rPr>
          <w:b/>
          <w:spacing w:val="27"/>
          <w:sz w:val="25"/>
        </w:rPr>
        <w:t> </w:t>
      </w:r>
      <w:r>
        <w:rPr>
          <w:b/>
          <w:w w:val="99"/>
          <w:sz w:val="25"/>
        </w:rPr>
        <w:t>L</w:t>
      </w:r>
      <w:r>
        <w:rPr>
          <w:b/>
          <w:spacing w:val="-2"/>
          <w:w w:val="99"/>
          <w:sz w:val="25"/>
        </w:rPr>
        <w:t>a</w:t>
      </w:r>
      <w:r>
        <w:rPr>
          <w:b/>
          <w:w w:val="99"/>
          <w:sz w:val="25"/>
        </w:rPr>
        <w:t>w</w:t>
      </w:r>
      <w:r>
        <w:rPr>
          <w:b/>
          <w:sz w:val="25"/>
        </w:rPr>
        <w:t> </w:t>
      </w:r>
      <w:r>
        <w:rPr>
          <w:b/>
          <w:spacing w:val="28"/>
          <w:sz w:val="25"/>
        </w:rPr>
        <w:t> </w:t>
      </w:r>
      <w:r>
        <w:rPr>
          <w:b/>
          <w:w w:val="99"/>
          <w:sz w:val="25"/>
        </w:rPr>
        <w:t>of</w:t>
      </w:r>
      <w:r>
        <w:rPr>
          <w:b/>
          <w:sz w:val="25"/>
        </w:rPr>
        <w:t> </w:t>
      </w:r>
      <w:r>
        <w:rPr>
          <w:b/>
          <w:spacing w:val="27"/>
          <w:sz w:val="25"/>
        </w:rPr>
        <w:t> </w:t>
      </w:r>
      <w:r>
        <w:rPr>
          <w:b/>
          <w:w w:val="99"/>
          <w:sz w:val="25"/>
        </w:rPr>
        <w:t>Reli</w:t>
      </w:r>
      <w:r>
        <w:rPr>
          <w:b/>
          <w:spacing w:val="1"/>
          <w:w w:val="99"/>
          <w:sz w:val="25"/>
        </w:rPr>
        <w:t>g</w:t>
      </w:r>
      <w:r>
        <w:rPr>
          <w:b/>
          <w:w w:val="99"/>
          <w:sz w:val="25"/>
        </w:rPr>
        <w:t>i</w:t>
      </w:r>
      <w:r>
        <w:rPr>
          <w:b/>
          <w:spacing w:val="1"/>
          <w:w w:val="99"/>
          <w:sz w:val="25"/>
        </w:rPr>
        <w:t>o</w:t>
      </w:r>
      <w:r>
        <w:rPr>
          <w:b/>
          <w:w w:val="99"/>
          <w:sz w:val="25"/>
        </w:rPr>
        <w:t>u</w:t>
      </w:r>
      <w:r>
        <w:rPr>
          <w:b/>
          <w:w w:val="99"/>
          <w:sz w:val="25"/>
        </w:rPr>
        <w:t>s</w:t>
      </w:r>
      <w:r>
        <w:rPr>
          <w:b/>
          <w:sz w:val="25"/>
        </w:rPr>
        <w:t> </w:t>
      </w:r>
      <w:r>
        <w:rPr>
          <w:b/>
          <w:spacing w:val="26"/>
          <w:sz w:val="25"/>
        </w:rPr>
        <w:t> </w:t>
      </w:r>
      <w:r>
        <w:rPr>
          <w:b/>
          <w:w w:val="99"/>
          <w:sz w:val="25"/>
        </w:rPr>
        <w:t>a</w:t>
      </w:r>
      <w:r>
        <w:rPr>
          <w:b/>
          <w:spacing w:val="-1"/>
          <w:w w:val="99"/>
          <w:sz w:val="25"/>
        </w:rPr>
        <w:t>n</w:t>
      </w:r>
      <w:r>
        <w:rPr>
          <w:b/>
          <w:w w:val="99"/>
          <w:sz w:val="25"/>
        </w:rPr>
        <w:t>d</w:t>
      </w:r>
      <w:r>
        <w:rPr>
          <w:b/>
          <w:sz w:val="25"/>
        </w:rPr>
        <w:t> </w:t>
      </w:r>
      <w:r>
        <w:rPr>
          <w:b/>
          <w:spacing w:val="27"/>
          <w:sz w:val="25"/>
        </w:rPr>
        <w:t> </w:t>
      </w:r>
      <w:r>
        <w:rPr>
          <w:b/>
          <w:w w:val="99"/>
          <w:sz w:val="25"/>
        </w:rPr>
        <w:t>Charita</w:t>
      </w:r>
      <w:r>
        <w:rPr>
          <w:b/>
          <w:w w:val="99"/>
          <w:sz w:val="25"/>
        </w:rPr>
        <w:t>b</w:t>
      </w:r>
      <w:r>
        <w:rPr>
          <w:b/>
          <w:w w:val="99"/>
          <w:sz w:val="25"/>
        </w:rPr>
        <w:t>le </w:t>
      </w:r>
      <w:r>
        <w:rPr>
          <w:b/>
          <w:sz w:val="25"/>
        </w:rPr>
        <w:t>Trust</w:t>
      </w:r>
      <w:r>
        <w:rPr>
          <w:sz w:val="25"/>
        </w:rPr>
        <w:t>‖</w:t>
      </w:r>
      <w:r>
        <w:rPr>
          <w:sz w:val="25"/>
          <w:vertAlign w:val="superscript"/>
        </w:rPr>
        <w:t>244</w:t>
      </w:r>
      <w:r>
        <w:rPr>
          <w:sz w:val="25"/>
          <w:vertAlign w:val="baseline"/>
        </w:rPr>
        <w:t>, the position of law has been thus</w:t>
      </w:r>
      <w:r>
        <w:rPr>
          <w:spacing w:val="-8"/>
          <w:sz w:val="25"/>
          <w:vertAlign w:val="baseline"/>
        </w:rPr>
        <w:t> </w:t>
      </w:r>
      <w:r>
        <w:rPr>
          <w:sz w:val="25"/>
          <w:vertAlign w:val="baseline"/>
        </w:rPr>
        <w:t>summarised:</w:t>
      </w:r>
    </w:p>
    <w:p>
      <w:pPr>
        <w:spacing w:line="276" w:lineRule="auto" w:before="156"/>
        <w:ind w:left="1940" w:right="2258" w:firstLine="0"/>
        <w:jc w:val="both"/>
        <w:rPr>
          <w:sz w:val="21"/>
        </w:rPr>
      </w:pPr>
      <w:r>
        <w:rPr>
          <w:spacing w:val="-1"/>
          <w:w w:val="33"/>
          <w:sz w:val="21"/>
        </w:rPr>
        <w:t>―</w:t>
      </w:r>
      <w:r>
        <w:rPr>
          <w:w w:val="100"/>
          <w:sz w:val="21"/>
        </w:rPr>
        <w:t>A</w:t>
      </w:r>
      <w:r>
        <w:rPr>
          <w:spacing w:val="28"/>
          <w:sz w:val="21"/>
        </w:rPr>
        <w:t> </w:t>
      </w:r>
      <w:r>
        <w:rPr>
          <w:spacing w:val="-2"/>
          <w:w w:val="100"/>
          <w:sz w:val="21"/>
        </w:rPr>
        <w:t>H</w:t>
      </w:r>
      <w:r>
        <w:rPr>
          <w:w w:val="100"/>
          <w:sz w:val="21"/>
        </w:rPr>
        <w:t>i</w:t>
      </w:r>
      <w:r>
        <w:rPr>
          <w:spacing w:val="-3"/>
          <w:w w:val="100"/>
          <w:sz w:val="21"/>
        </w:rPr>
        <w:t>n</w:t>
      </w:r>
      <w:r>
        <w:rPr>
          <w:spacing w:val="-1"/>
          <w:w w:val="100"/>
          <w:sz w:val="21"/>
        </w:rPr>
        <w:t>d</w:t>
      </w:r>
      <w:r>
        <w:rPr>
          <w:w w:val="100"/>
          <w:sz w:val="21"/>
        </w:rPr>
        <w:t>u</w:t>
      </w:r>
      <w:r>
        <w:rPr>
          <w:spacing w:val="28"/>
          <w:sz w:val="21"/>
        </w:rPr>
        <w:t> </w:t>
      </w:r>
      <w:r>
        <w:rPr>
          <w:spacing w:val="-2"/>
          <w:w w:val="100"/>
          <w:sz w:val="21"/>
        </w:rPr>
        <w:t>I</w:t>
      </w:r>
      <w:r>
        <w:rPr>
          <w:spacing w:val="-1"/>
          <w:w w:val="100"/>
          <w:sz w:val="21"/>
        </w:rPr>
        <w:t>d</w:t>
      </w:r>
      <w:r>
        <w:rPr>
          <w:spacing w:val="-3"/>
          <w:w w:val="100"/>
          <w:sz w:val="21"/>
        </w:rPr>
        <w:t>o</w:t>
      </w:r>
      <w:r>
        <w:rPr>
          <w:w w:val="100"/>
          <w:sz w:val="21"/>
        </w:rPr>
        <w:t>l</w:t>
      </w:r>
      <w:r>
        <w:rPr>
          <w:spacing w:val="28"/>
          <w:sz w:val="21"/>
        </w:rPr>
        <w:t> </w:t>
      </w:r>
      <w:r>
        <w:rPr>
          <w:spacing w:val="-2"/>
          <w:w w:val="100"/>
          <w:sz w:val="21"/>
        </w:rPr>
        <w:t>i</w:t>
      </w:r>
      <w:r>
        <w:rPr>
          <w:w w:val="100"/>
          <w:sz w:val="21"/>
        </w:rPr>
        <w:t>s</w:t>
      </w:r>
      <w:r>
        <w:rPr>
          <w:spacing w:val="27"/>
          <w:sz w:val="21"/>
        </w:rPr>
        <w:t> </w:t>
      </w:r>
      <w:r>
        <w:rPr>
          <w:w w:val="100"/>
          <w:sz w:val="21"/>
        </w:rPr>
        <w:t>s</w:t>
      </w:r>
      <w:r>
        <w:rPr>
          <w:spacing w:val="-3"/>
          <w:w w:val="100"/>
          <w:sz w:val="21"/>
        </w:rPr>
        <w:t>o</w:t>
      </w:r>
      <w:r>
        <w:rPr>
          <w:spacing w:val="-1"/>
          <w:w w:val="100"/>
          <w:sz w:val="21"/>
        </w:rPr>
        <w:t>met</w:t>
      </w:r>
      <w:r>
        <w:rPr>
          <w:spacing w:val="-2"/>
          <w:w w:val="100"/>
          <w:sz w:val="21"/>
        </w:rPr>
        <w:t>i</w:t>
      </w:r>
      <w:r>
        <w:rPr>
          <w:spacing w:val="-1"/>
          <w:w w:val="100"/>
          <w:sz w:val="21"/>
        </w:rPr>
        <w:t>me</w:t>
      </w:r>
      <w:r>
        <w:rPr>
          <w:w w:val="100"/>
          <w:sz w:val="21"/>
        </w:rPr>
        <w:t>s</w:t>
      </w:r>
      <w:r>
        <w:rPr>
          <w:spacing w:val="27"/>
          <w:sz w:val="21"/>
        </w:rPr>
        <w:t> </w:t>
      </w:r>
      <w:r>
        <w:rPr>
          <w:w w:val="100"/>
          <w:sz w:val="21"/>
        </w:rPr>
        <w:t>s</w:t>
      </w:r>
      <w:r>
        <w:rPr>
          <w:spacing w:val="-3"/>
          <w:w w:val="100"/>
          <w:sz w:val="21"/>
        </w:rPr>
        <w:t>po</w:t>
      </w:r>
      <w:r>
        <w:rPr>
          <w:spacing w:val="2"/>
          <w:w w:val="100"/>
          <w:sz w:val="21"/>
        </w:rPr>
        <w:t>k</w:t>
      </w:r>
      <w:r>
        <w:rPr>
          <w:spacing w:val="-1"/>
          <w:w w:val="100"/>
          <w:sz w:val="21"/>
        </w:rPr>
        <w:t>e</w:t>
      </w:r>
      <w:r>
        <w:rPr>
          <w:w w:val="100"/>
          <w:sz w:val="21"/>
        </w:rPr>
        <w:t>n</w:t>
      </w:r>
      <w:r>
        <w:rPr>
          <w:spacing w:val="25"/>
          <w:sz w:val="21"/>
        </w:rPr>
        <w:t> </w:t>
      </w:r>
      <w:r>
        <w:rPr>
          <w:spacing w:val="-1"/>
          <w:w w:val="100"/>
          <w:sz w:val="21"/>
        </w:rPr>
        <w:t>o</w:t>
      </w:r>
      <w:r>
        <w:rPr>
          <w:w w:val="100"/>
          <w:sz w:val="21"/>
        </w:rPr>
        <w:t>f</w:t>
      </w:r>
      <w:r>
        <w:rPr>
          <w:spacing w:val="26"/>
          <w:sz w:val="21"/>
        </w:rPr>
        <w:t> </w:t>
      </w:r>
      <w:r>
        <w:rPr>
          <w:spacing w:val="-1"/>
          <w:w w:val="100"/>
          <w:sz w:val="21"/>
        </w:rPr>
        <w:t>a</w:t>
      </w:r>
      <w:r>
        <w:rPr>
          <w:w w:val="100"/>
          <w:sz w:val="21"/>
        </w:rPr>
        <w:t>s</w:t>
      </w:r>
      <w:r>
        <w:rPr>
          <w:spacing w:val="27"/>
          <w:sz w:val="21"/>
        </w:rPr>
        <w:t> </w:t>
      </w:r>
      <w:r>
        <w:rPr>
          <w:w w:val="100"/>
          <w:sz w:val="21"/>
        </w:rPr>
        <w:t>a</w:t>
      </w:r>
      <w:r>
        <w:rPr>
          <w:spacing w:val="25"/>
          <w:sz w:val="21"/>
        </w:rPr>
        <w:t> </w:t>
      </w:r>
      <w:r>
        <w:rPr>
          <w:spacing w:val="-1"/>
          <w:w w:val="100"/>
          <w:sz w:val="21"/>
        </w:rPr>
        <w:t>per</w:t>
      </w:r>
      <w:r>
        <w:rPr>
          <w:spacing w:val="-3"/>
          <w:w w:val="100"/>
          <w:sz w:val="21"/>
        </w:rPr>
        <w:t>p</w:t>
      </w:r>
      <w:r>
        <w:rPr>
          <w:spacing w:val="-1"/>
          <w:w w:val="100"/>
          <w:sz w:val="21"/>
        </w:rPr>
        <w:t>etua</w:t>
      </w:r>
      <w:r>
        <w:rPr>
          <w:w w:val="100"/>
          <w:sz w:val="21"/>
        </w:rPr>
        <w:t>l</w:t>
      </w:r>
      <w:r>
        <w:rPr>
          <w:spacing w:val="26"/>
          <w:sz w:val="21"/>
        </w:rPr>
        <w:t> </w:t>
      </w:r>
      <w:r>
        <w:rPr>
          <w:w w:val="100"/>
          <w:sz w:val="21"/>
        </w:rPr>
        <w:t>i</w:t>
      </w:r>
      <w:r>
        <w:rPr>
          <w:spacing w:val="-3"/>
          <w:w w:val="100"/>
          <w:sz w:val="21"/>
        </w:rPr>
        <w:t>n</w:t>
      </w:r>
      <w:r>
        <w:rPr>
          <w:spacing w:val="1"/>
          <w:w w:val="100"/>
          <w:sz w:val="21"/>
        </w:rPr>
        <w:t>f</w:t>
      </w:r>
      <w:r>
        <w:rPr>
          <w:spacing w:val="-3"/>
          <w:w w:val="100"/>
          <w:sz w:val="21"/>
        </w:rPr>
        <w:t>a</w:t>
      </w:r>
      <w:r>
        <w:rPr>
          <w:spacing w:val="-1"/>
          <w:w w:val="100"/>
          <w:sz w:val="21"/>
        </w:rPr>
        <w:t>nt</w:t>
      </w:r>
      <w:r>
        <w:rPr>
          <w:w w:val="100"/>
          <w:sz w:val="21"/>
        </w:rPr>
        <w:t>, </w:t>
      </w:r>
      <w:r>
        <w:rPr>
          <w:sz w:val="21"/>
        </w:rPr>
        <w:t>but the analogy is not only incorrect but is positively misleading. There is no warrant for such doctrine in the rules of Hindu law and as was observed by Rankin, C.J. In Surendra V. Sri Sri Bhubaneswari, it is an extravagant doctrine contrary to the decision of the Judicial Committee in such cases as Damodar Das Vs. Lakhan Das. It is true that the deity like an infant suffers from legal disability and has</w:t>
      </w:r>
      <w:r>
        <w:rPr>
          <w:spacing w:val="22"/>
          <w:sz w:val="21"/>
        </w:rPr>
        <w:t> </w:t>
      </w:r>
      <w:r>
        <w:rPr>
          <w:sz w:val="21"/>
        </w:rPr>
        <w:t>got</w:t>
      </w:r>
    </w:p>
    <w:p>
      <w:pPr>
        <w:pStyle w:val="BodyText"/>
        <w:spacing w:before="5"/>
        <w:rPr>
          <w:sz w:val="18"/>
        </w:rPr>
      </w:pPr>
      <w:r>
        <w:rPr/>
        <w:pict>
          <v:rect style="position:absolute;margin-left:72.024002pt;margin-top:12.586177pt;width:144.020pt;height:.599980pt;mso-position-horizontal-relative:page;mso-position-vertical-relative:paragraph;z-index:-15660032;mso-wrap-distance-left:0;mso-wrap-distance-right:0" filled="true" fillcolor="#000000" stroked="false">
            <v:fill type="solid"/>
            <w10:wrap type="topAndBottom"/>
          </v:rect>
        </w:pict>
      </w:r>
    </w:p>
    <w:p>
      <w:pPr>
        <w:spacing w:before="78"/>
        <w:ind w:left="500" w:right="980" w:firstLine="0"/>
        <w:jc w:val="left"/>
        <w:rPr>
          <w:sz w:val="18"/>
        </w:rPr>
      </w:pPr>
      <w:r>
        <w:rPr>
          <w:sz w:val="18"/>
          <w:vertAlign w:val="superscript"/>
        </w:rPr>
        <w:t>244</w:t>
      </w:r>
      <w:r>
        <w:rPr>
          <w:sz w:val="18"/>
          <w:vertAlign w:val="baseline"/>
        </w:rPr>
        <w:t> B.K. Mukherjea, The Hindu Law of Religious and Charitable Trust, 5th Edn. Eastern Law House, (1983) at pages 256-257</w:t>
      </w:r>
    </w:p>
    <w:p>
      <w:pPr>
        <w:spacing w:after="0"/>
        <w:jc w:val="left"/>
        <w:rPr>
          <w:sz w:val="18"/>
        </w:rPr>
        <w:sectPr>
          <w:pgSz w:w="11910" w:h="16840"/>
          <w:pgMar w:header="721" w:footer="1014" w:top="1300" w:bottom="1200" w:left="940" w:right="1000"/>
        </w:sectPr>
      </w:pPr>
    </w:p>
    <w:p>
      <w:pPr>
        <w:tabs>
          <w:tab w:pos="5740" w:val="left" w:leader="none"/>
        </w:tabs>
        <w:spacing w:line="276" w:lineRule="auto" w:before="122"/>
        <w:ind w:left="1940" w:right="2255" w:firstLine="0"/>
        <w:jc w:val="both"/>
        <w:rPr>
          <w:sz w:val="21"/>
        </w:rPr>
      </w:pPr>
      <w:r>
        <w:rPr>
          <w:sz w:val="21"/>
        </w:rPr>
        <w:t>to act through some agent and there is a similarity also between the powers of the shebait of a deity and those of the guardian of an infant. But the analogy really ends there. </w:t>
      </w:r>
      <w:r>
        <w:rPr>
          <w:b/>
          <w:sz w:val="21"/>
        </w:rPr>
        <w:t>For purposes of Limitation Act the idol does not enjoy any privilege and regarding contractual rights also the position of the idol is the same as that of any other artificial person. The provisions of the Civil Procedure Code relating to suits by minors or persons of unsound mind do not in terms at least apply to an idol; and to  build up a law of procedure upon the fiction that the idol is an infant would lead to manifestly undesirable and anomalous</w:t>
      </w:r>
      <w:r>
        <w:rPr>
          <w:b/>
          <w:spacing w:val="-11"/>
          <w:sz w:val="21"/>
        </w:rPr>
        <w:t> </w:t>
      </w:r>
      <w:r>
        <w:rPr>
          <w:b/>
          <w:sz w:val="21"/>
        </w:rPr>
        <w:t>consequences</w:t>
      </w:r>
      <w:r>
        <w:rPr>
          <w:sz w:val="21"/>
        </w:rPr>
        <w:t>.‖</w:t>
      </w:r>
      <w:r>
        <w:rPr>
          <w:sz w:val="21"/>
          <w:vertAlign w:val="superscript"/>
        </w:rPr>
        <w:t>245</w:t>
      </w:r>
      <w:r>
        <w:rPr>
          <w:sz w:val="21"/>
          <w:vertAlign w:val="baseline"/>
        </w:rPr>
        <w:tab/>
        <w:t>(Emphasis supplied)</w:t>
      </w:r>
    </w:p>
    <w:p>
      <w:pPr>
        <w:pStyle w:val="BodyText"/>
        <w:rPr>
          <w:sz w:val="26"/>
        </w:rPr>
      </w:pPr>
    </w:p>
    <w:p>
      <w:pPr>
        <w:pStyle w:val="BodyText"/>
        <w:spacing w:before="1"/>
        <w:rPr>
          <w:sz w:val="28"/>
        </w:rPr>
      </w:pPr>
    </w:p>
    <w:p>
      <w:pPr>
        <w:pStyle w:val="BodyText"/>
        <w:spacing w:line="480" w:lineRule="auto" w:before="1"/>
        <w:ind w:left="500" w:right="446"/>
        <w:jc w:val="both"/>
      </w:pPr>
      <w:r>
        <w:rPr/>
        <w:t>These are prescient words of a visionary judge. Over the years, Courts have elucidated on the juristic character of the idol as a minor and the consequences of this legal</w:t>
      </w:r>
      <w:r>
        <w:rPr>
          <w:spacing w:val="-3"/>
        </w:rPr>
        <w:t> </w:t>
      </w:r>
      <w:r>
        <w:rPr/>
        <w:t>fiction.</w:t>
      </w:r>
    </w:p>
    <w:p>
      <w:pPr>
        <w:pStyle w:val="BodyText"/>
        <w:spacing w:before="10"/>
        <w:rPr>
          <w:sz w:val="24"/>
        </w:rPr>
      </w:pPr>
    </w:p>
    <w:p>
      <w:pPr>
        <w:pStyle w:val="ListParagraph"/>
        <w:numPr>
          <w:ilvl w:val="0"/>
          <w:numId w:val="111"/>
        </w:numPr>
        <w:tabs>
          <w:tab w:pos="1221" w:val="left" w:leader="none"/>
        </w:tabs>
        <w:spacing w:line="480" w:lineRule="auto" w:before="0" w:after="0"/>
        <w:ind w:left="500" w:right="440" w:firstLine="0"/>
        <w:jc w:val="both"/>
        <w:rPr>
          <w:sz w:val="25"/>
        </w:rPr>
      </w:pPr>
      <w:r>
        <w:rPr>
          <w:sz w:val="25"/>
        </w:rPr>
        <w:t>In 1903-4, the Privy Council in </w:t>
      </w:r>
      <w:r>
        <w:rPr>
          <w:b/>
          <w:sz w:val="25"/>
        </w:rPr>
        <w:t>Maharaja Jagadindra Nath Roy Bahadur </w:t>
      </w:r>
      <w:r>
        <w:rPr>
          <w:sz w:val="25"/>
        </w:rPr>
        <w:t>v </w:t>
      </w:r>
      <w:r>
        <w:rPr>
          <w:b/>
          <w:sz w:val="25"/>
        </w:rPr>
        <w:t>Rani Hemanta Kumari Debi</w:t>
      </w:r>
      <w:r>
        <w:rPr>
          <w:sz w:val="25"/>
          <w:vertAlign w:val="superscript"/>
        </w:rPr>
        <w:t>246</w:t>
      </w:r>
      <w:r>
        <w:rPr>
          <w:sz w:val="25"/>
          <w:vertAlign w:val="baseline"/>
        </w:rPr>
        <w:t> dealt with a case where the plaintiff, in </w:t>
      </w:r>
      <w:r>
        <w:rPr>
          <w:spacing w:val="-4"/>
          <w:sz w:val="25"/>
          <w:vertAlign w:val="baseline"/>
        </w:rPr>
        <w:t>his </w:t>
      </w:r>
      <w:r>
        <w:rPr>
          <w:sz w:val="25"/>
          <w:vertAlign w:val="baseline"/>
        </w:rPr>
        <w:t>capacity as the shebait of an idol, had instituted suits for proprietary rights in certain property. The High Court held that the idol being a juridical person capable of holding property, limitation started running against him from the date of the transfer and hence the suit by the shebait was barred by</w:t>
      </w:r>
      <w:r>
        <w:rPr>
          <w:spacing w:val="-18"/>
          <w:sz w:val="25"/>
          <w:vertAlign w:val="baseline"/>
        </w:rPr>
        <w:t> </w:t>
      </w:r>
      <w:r>
        <w:rPr>
          <w:sz w:val="25"/>
          <w:vertAlign w:val="baseline"/>
        </w:rPr>
        <w:t>limitation.</w:t>
      </w:r>
    </w:p>
    <w:p>
      <w:pPr>
        <w:pStyle w:val="BodyText"/>
        <w:spacing w:before="3"/>
        <w:rPr>
          <w:sz w:val="39"/>
        </w:rPr>
      </w:pPr>
    </w:p>
    <w:p>
      <w:pPr>
        <w:pStyle w:val="BodyText"/>
        <w:spacing w:line="480" w:lineRule="auto"/>
        <w:ind w:left="500" w:right="435"/>
        <w:jc w:val="both"/>
      </w:pPr>
      <w:r>
        <w:rPr/>
        <w:t>The Privy Council concurred with the judges of the High Court that being a juridical person, the idol was capable of holding property. However, limitation was saved because when the cause of action arose, the </w:t>
      </w:r>
      <w:r>
        <w:rPr>
          <w:b/>
        </w:rPr>
        <w:t>shebait </w:t>
      </w:r>
      <w:r>
        <w:rPr/>
        <w:t>to whom the possession and management of the dedicated property belonged, was a minor. Hence, the Privy Council held that the right to institute a suit for the protection of</w:t>
      </w:r>
    </w:p>
    <w:p>
      <w:pPr>
        <w:pStyle w:val="BodyText"/>
        <w:rPr>
          <w:sz w:val="20"/>
        </w:rPr>
      </w:pPr>
    </w:p>
    <w:p>
      <w:pPr>
        <w:pStyle w:val="BodyText"/>
        <w:rPr>
          <w:sz w:val="20"/>
        </w:rPr>
      </w:pPr>
    </w:p>
    <w:p>
      <w:pPr>
        <w:pStyle w:val="BodyText"/>
        <w:spacing w:before="6"/>
        <w:rPr>
          <w:sz w:val="16"/>
        </w:rPr>
      </w:pPr>
      <w:r>
        <w:rPr/>
        <w:pict>
          <v:rect style="position:absolute;margin-left:72.024002pt;margin-top:11.454414pt;width:144.020pt;height:.599980pt;mso-position-horizontal-relative:page;mso-position-vertical-relative:paragraph;z-index:-1565952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245</w:t>
      </w:r>
      <w:r>
        <w:rPr>
          <w:sz w:val="18"/>
          <w:vertAlign w:val="baseline"/>
        </w:rPr>
        <w:t> Ashim Kumar v. Narendra Nath 76 CWN 1016</w:t>
      </w:r>
    </w:p>
    <w:p>
      <w:pPr>
        <w:spacing w:after="0"/>
        <w:jc w:val="left"/>
        <w:rPr>
          <w:sz w:val="18"/>
        </w:rPr>
        <w:sectPr>
          <w:headerReference w:type="default" r:id="rId148"/>
          <w:footerReference w:type="default" r:id="rId149"/>
          <w:pgSz w:w="11910" w:h="16840"/>
          <w:pgMar w:header="721" w:footer="1367" w:top="1300" w:bottom="1560" w:left="940" w:right="1000"/>
          <w:pgNumType w:start="246"/>
        </w:sectPr>
      </w:pPr>
    </w:p>
    <w:p>
      <w:pPr>
        <w:pStyle w:val="BodyText"/>
        <w:spacing w:line="480" w:lineRule="auto" w:before="124"/>
        <w:ind w:left="500" w:right="512"/>
      </w:pPr>
      <w:r>
        <w:rPr/>
        <w:t>the property vested in the idol could be brought within three years of the attainment of majority of the shebait. Sir Arthur Wilson observed:</w:t>
      </w:r>
    </w:p>
    <w:p>
      <w:pPr>
        <w:spacing w:line="276" w:lineRule="auto" w:before="39"/>
        <w:ind w:left="1940" w:right="2254" w:firstLine="57"/>
        <w:jc w:val="both"/>
        <w:rPr>
          <w:sz w:val="21"/>
        </w:rPr>
      </w:pPr>
      <w:r>
        <w:rPr>
          <w:spacing w:val="-1"/>
          <w:w w:val="33"/>
          <w:sz w:val="21"/>
        </w:rPr>
        <w:t>―</w:t>
      </w:r>
      <w:r>
        <w:rPr>
          <w:w w:val="100"/>
          <w:sz w:val="21"/>
        </w:rPr>
        <w:t>B</w:t>
      </w:r>
      <w:r>
        <w:rPr>
          <w:spacing w:val="-1"/>
          <w:w w:val="100"/>
          <w:sz w:val="21"/>
        </w:rPr>
        <w:t>u</w:t>
      </w:r>
      <w:r>
        <w:rPr>
          <w:w w:val="100"/>
          <w:sz w:val="21"/>
        </w:rPr>
        <w:t>t</w:t>
      </w:r>
      <w:r>
        <w:rPr>
          <w:sz w:val="21"/>
        </w:rPr>
        <w:t> </w:t>
      </w:r>
      <w:r>
        <w:rPr>
          <w:spacing w:val="-27"/>
          <w:sz w:val="21"/>
        </w:rPr>
        <w:t> </w:t>
      </w:r>
      <w:r>
        <w:rPr>
          <w:spacing w:val="-1"/>
          <w:w w:val="100"/>
          <w:sz w:val="21"/>
        </w:rPr>
        <w:t>ass</w:t>
      </w:r>
      <w:r>
        <w:rPr>
          <w:spacing w:val="-3"/>
          <w:w w:val="100"/>
          <w:sz w:val="21"/>
        </w:rPr>
        <w:t>u</w:t>
      </w:r>
      <w:r>
        <w:rPr>
          <w:spacing w:val="-1"/>
          <w:w w:val="100"/>
          <w:sz w:val="21"/>
        </w:rPr>
        <w:t>m</w:t>
      </w:r>
      <w:r>
        <w:rPr>
          <w:w w:val="100"/>
          <w:sz w:val="21"/>
        </w:rPr>
        <w:t>i</w:t>
      </w:r>
      <w:r>
        <w:rPr>
          <w:spacing w:val="-1"/>
          <w:w w:val="100"/>
          <w:sz w:val="21"/>
        </w:rPr>
        <w:t>n</w:t>
      </w:r>
      <w:r>
        <w:rPr>
          <w:w w:val="100"/>
          <w:sz w:val="21"/>
        </w:rPr>
        <w:t>g</w:t>
      </w:r>
      <w:r>
        <w:rPr>
          <w:sz w:val="21"/>
        </w:rPr>
        <w:t> </w:t>
      </w:r>
      <w:r>
        <w:rPr>
          <w:spacing w:val="-26"/>
          <w:sz w:val="21"/>
        </w:rPr>
        <w:t> </w:t>
      </w:r>
      <w:r>
        <w:rPr>
          <w:spacing w:val="-2"/>
          <w:w w:val="100"/>
          <w:sz w:val="21"/>
        </w:rPr>
        <w:t>t</w:t>
      </w:r>
      <w:r>
        <w:rPr>
          <w:spacing w:val="-1"/>
          <w:w w:val="100"/>
          <w:sz w:val="21"/>
        </w:rPr>
        <w:t>h</w:t>
      </w:r>
      <w:r>
        <w:rPr>
          <w:w w:val="100"/>
          <w:sz w:val="21"/>
        </w:rPr>
        <w:t>e</w:t>
      </w:r>
      <w:r>
        <w:rPr>
          <w:sz w:val="21"/>
        </w:rPr>
        <w:t> </w:t>
      </w:r>
      <w:r>
        <w:rPr>
          <w:spacing w:val="-26"/>
          <w:sz w:val="21"/>
        </w:rPr>
        <w:t> </w:t>
      </w:r>
      <w:r>
        <w:rPr>
          <w:spacing w:val="-1"/>
          <w:w w:val="100"/>
          <w:sz w:val="21"/>
        </w:rPr>
        <w:t>r</w:t>
      </w:r>
      <w:r>
        <w:rPr>
          <w:spacing w:val="-3"/>
          <w:w w:val="100"/>
          <w:sz w:val="21"/>
        </w:rPr>
        <w:t>e</w:t>
      </w:r>
      <w:r>
        <w:rPr>
          <w:w w:val="100"/>
          <w:sz w:val="21"/>
        </w:rPr>
        <w:t>l</w:t>
      </w:r>
      <w:r>
        <w:rPr>
          <w:spacing w:val="-2"/>
          <w:w w:val="100"/>
          <w:sz w:val="21"/>
        </w:rPr>
        <w:t>i</w:t>
      </w:r>
      <w:r>
        <w:rPr>
          <w:spacing w:val="-1"/>
          <w:w w:val="100"/>
          <w:sz w:val="21"/>
        </w:rPr>
        <w:t>g</w:t>
      </w:r>
      <w:r>
        <w:rPr>
          <w:spacing w:val="-2"/>
          <w:w w:val="100"/>
          <w:sz w:val="21"/>
        </w:rPr>
        <w:t>i</w:t>
      </w:r>
      <w:r>
        <w:rPr>
          <w:spacing w:val="-1"/>
          <w:w w:val="100"/>
          <w:sz w:val="21"/>
        </w:rPr>
        <w:t>ou</w:t>
      </w:r>
      <w:r>
        <w:rPr>
          <w:w w:val="100"/>
          <w:sz w:val="21"/>
        </w:rPr>
        <w:t>s</w:t>
      </w:r>
      <w:r>
        <w:rPr>
          <w:sz w:val="21"/>
        </w:rPr>
        <w:t> </w:t>
      </w:r>
      <w:r>
        <w:rPr>
          <w:spacing w:val="-26"/>
          <w:sz w:val="21"/>
        </w:rPr>
        <w:t> </w:t>
      </w:r>
      <w:r>
        <w:rPr>
          <w:spacing w:val="-1"/>
          <w:w w:val="100"/>
          <w:sz w:val="21"/>
        </w:rPr>
        <w:t>d</w:t>
      </w:r>
      <w:r>
        <w:rPr>
          <w:spacing w:val="-3"/>
          <w:w w:val="100"/>
          <w:sz w:val="21"/>
        </w:rPr>
        <w:t>e</w:t>
      </w:r>
      <w:r>
        <w:rPr>
          <w:spacing w:val="-1"/>
          <w:w w:val="100"/>
          <w:sz w:val="21"/>
        </w:rPr>
        <w:t>d</w:t>
      </w:r>
      <w:r>
        <w:rPr>
          <w:spacing w:val="1"/>
          <w:w w:val="100"/>
          <w:sz w:val="21"/>
        </w:rPr>
        <w:t>i</w:t>
      </w:r>
      <w:r>
        <w:rPr>
          <w:spacing w:val="-3"/>
          <w:w w:val="100"/>
          <w:sz w:val="21"/>
        </w:rPr>
        <w:t>c</w:t>
      </w:r>
      <w:r>
        <w:rPr>
          <w:spacing w:val="-1"/>
          <w:w w:val="100"/>
          <w:sz w:val="21"/>
        </w:rPr>
        <w:t>at</w:t>
      </w:r>
      <w:r>
        <w:rPr>
          <w:w w:val="100"/>
          <w:sz w:val="21"/>
        </w:rPr>
        <w:t>i</w:t>
      </w:r>
      <w:r>
        <w:rPr>
          <w:spacing w:val="-3"/>
          <w:w w:val="100"/>
          <w:sz w:val="21"/>
        </w:rPr>
        <w:t>o</w:t>
      </w:r>
      <w:r>
        <w:rPr>
          <w:w w:val="100"/>
          <w:sz w:val="21"/>
        </w:rPr>
        <w:t>n</w:t>
      </w:r>
      <w:r>
        <w:rPr>
          <w:sz w:val="21"/>
        </w:rPr>
        <w:t> </w:t>
      </w:r>
      <w:r>
        <w:rPr>
          <w:spacing w:val="-26"/>
          <w:sz w:val="21"/>
        </w:rPr>
        <w:t> </w:t>
      </w:r>
      <w:r>
        <w:rPr>
          <w:spacing w:val="-2"/>
          <w:w w:val="100"/>
          <w:sz w:val="21"/>
        </w:rPr>
        <w:t>t</w:t>
      </w:r>
      <w:r>
        <w:rPr>
          <w:w w:val="100"/>
          <w:sz w:val="21"/>
        </w:rPr>
        <w:t>o</w:t>
      </w:r>
      <w:r>
        <w:rPr>
          <w:sz w:val="21"/>
        </w:rPr>
        <w:t> </w:t>
      </w:r>
      <w:r>
        <w:rPr>
          <w:spacing w:val="-26"/>
          <w:sz w:val="21"/>
        </w:rPr>
        <w:t> </w:t>
      </w:r>
      <w:r>
        <w:rPr>
          <w:spacing w:val="-1"/>
          <w:w w:val="100"/>
          <w:sz w:val="21"/>
        </w:rPr>
        <w:t>ha</w:t>
      </w:r>
      <w:r>
        <w:rPr>
          <w:spacing w:val="-3"/>
          <w:w w:val="100"/>
          <w:sz w:val="21"/>
        </w:rPr>
        <w:t>v</w:t>
      </w:r>
      <w:r>
        <w:rPr>
          <w:w w:val="100"/>
          <w:sz w:val="21"/>
        </w:rPr>
        <w:t>e</w:t>
      </w:r>
      <w:r>
        <w:rPr>
          <w:sz w:val="21"/>
        </w:rPr>
        <w:t> </w:t>
      </w:r>
      <w:r>
        <w:rPr>
          <w:spacing w:val="-26"/>
          <w:sz w:val="21"/>
        </w:rPr>
        <w:t> </w:t>
      </w:r>
      <w:r>
        <w:rPr>
          <w:spacing w:val="-1"/>
          <w:w w:val="100"/>
          <w:sz w:val="21"/>
        </w:rPr>
        <w:t>bee</w:t>
      </w:r>
      <w:r>
        <w:rPr>
          <w:w w:val="100"/>
          <w:sz w:val="21"/>
        </w:rPr>
        <w:t>n</w:t>
      </w:r>
      <w:r>
        <w:rPr>
          <w:sz w:val="21"/>
        </w:rPr>
        <w:t> </w:t>
      </w:r>
      <w:r>
        <w:rPr>
          <w:spacing w:val="-26"/>
          <w:sz w:val="21"/>
        </w:rPr>
        <w:t> </w:t>
      </w:r>
      <w:r>
        <w:rPr>
          <w:spacing w:val="-3"/>
          <w:w w:val="100"/>
          <w:sz w:val="21"/>
        </w:rPr>
        <w:t>o</w:t>
      </w:r>
      <w:r>
        <w:rPr>
          <w:w w:val="100"/>
          <w:sz w:val="21"/>
        </w:rPr>
        <w:t>f</w:t>
      </w:r>
      <w:r>
        <w:rPr>
          <w:sz w:val="21"/>
        </w:rPr>
        <w:t> </w:t>
      </w:r>
      <w:r>
        <w:rPr>
          <w:spacing w:val="-25"/>
          <w:sz w:val="21"/>
        </w:rPr>
        <w:t> </w:t>
      </w:r>
      <w:r>
        <w:rPr>
          <w:spacing w:val="-2"/>
          <w:w w:val="100"/>
          <w:sz w:val="21"/>
        </w:rPr>
        <w:t>t</w:t>
      </w:r>
      <w:r>
        <w:rPr>
          <w:spacing w:val="-1"/>
          <w:w w:val="100"/>
          <w:sz w:val="21"/>
        </w:rPr>
        <w:t>he </w:t>
      </w:r>
      <w:r>
        <w:rPr>
          <w:sz w:val="21"/>
        </w:rPr>
        <w:t>strictest character, it still remains that the possession and management of the dedicated property belong to the sebait. And this carries with it the right to bring whatever suits are necessary for the protection of the property. Every such right of suit is vested in the sebait, not in the idol. And in the present case the right to sue accrued to the plaintiff when he was under age. The case therefore falls within the clear </w:t>
      </w:r>
      <w:r>
        <w:rPr>
          <w:w w:val="100"/>
          <w:sz w:val="21"/>
        </w:rPr>
        <w:t>l</w:t>
      </w:r>
      <w:r>
        <w:rPr>
          <w:spacing w:val="-1"/>
          <w:w w:val="100"/>
          <w:sz w:val="21"/>
        </w:rPr>
        <w:t>a</w:t>
      </w:r>
      <w:r>
        <w:rPr>
          <w:spacing w:val="-3"/>
          <w:w w:val="100"/>
          <w:sz w:val="21"/>
        </w:rPr>
        <w:t>n</w:t>
      </w:r>
      <w:r>
        <w:rPr>
          <w:spacing w:val="-1"/>
          <w:w w:val="100"/>
          <w:sz w:val="21"/>
        </w:rPr>
        <w:t>gu</w:t>
      </w:r>
      <w:r>
        <w:rPr>
          <w:spacing w:val="-2"/>
          <w:w w:val="100"/>
          <w:sz w:val="21"/>
        </w:rPr>
        <w:t>a</w:t>
      </w:r>
      <w:r>
        <w:rPr>
          <w:spacing w:val="-1"/>
          <w:w w:val="100"/>
          <w:sz w:val="21"/>
        </w:rPr>
        <w:t>g</w:t>
      </w:r>
      <w:r>
        <w:rPr>
          <w:w w:val="100"/>
          <w:sz w:val="21"/>
        </w:rPr>
        <w:t>e</w:t>
      </w:r>
      <w:r>
        <w:rPr>
          <w:spacing w:val="28"/>
          <w:sz w:val="21"/>
        </w:rPr>
        <w:t> </w:t>
      </w:r>
      <w:r>
        <w:rPr>
          <w:spacing w:val="-3"/>
          <w:w w:val="100"/>
          <w:sz w:val="21"/>
        </w:rPr>
        <w:t>o</w:t>
      </w:r>
      <w:r>
        <w:rPr>
          <w:w w:val="100"/>
          <w:sz w:val="21"/>
        </w:rPr>
        <w:t>f</w:t>
      </w:r>
      <w:r>
        <w:rPr>
          <w:spacing w:val="28"/>
          <w:sz w:val="21"/>
        </w:rPr>
        <w:t> </w:t>
      </w:r>
      <w:r>
        <w:rPr>
          <w:w w:val="100"/>
          <w:sz w:val="21"/>
        </w:rPr>
        <w:t>s.</w:t>
      </w:r>
      <w:r>
        <w:rPr>
          <w:spacing w:val="26"/>
          <w:sz w:val="21"/>
        </w:rPr>
        <w:t> </w:t>
      </w:r>
      <w:r>
        <w:rPr>
          <w:w w:val="100"/>
          <w:sz w:val="21"/>
        </w:rPr>
        <w:t>7</w:t>
      </w:r>
      <w:r>
        <w:rPr>
          <w:spacing w:val="27"/>
          <w:sz w:val="21"/>
        </w:rPr>
        <w:t> </w:t>
      </w:r>
      <w:r>
        <w:rPr>
          <w:spacing w:val="-3"/>
          <w:w w:val="100"/>
          <w:sz w:val="21"/>
        </w:rPr>
        <w:t>o</w:t>
      </w:r>
      <w:r>
        <w:rPr>
          <w:w w:val="100"/>
          <w:sz w:val="21"/>
        </w:rPr>
        <w:t>f</w:t>
      </w:r>
      <w:r>
        <w:rPr>
          <w:spacing w:val="28"/>
          <w:sz w:val="21"/>
        </w:rPr>
        <w:t> </w:t>
      </w:r>
      <w:r>
        <w:rPr>
          <w:spacing w:val="-2"/>
          <w:w w:val="100"/>
          <w:sz w:val="21"/>
        </w:rPr>
        <w:t>t</w:t>
      </w:r>
      <w:r>
        <w:rPr>
          <w:spacing w:val="-1"/>
          <w:w w:val="100"/>
          <w:sz w:val="21"/>
        </w:rPr>
        <w:t>h</w:t>
      </w:r>
      <w:r>
        <w:rPr>
          <w:w w:val="100"/>
          <w:sz w:val="21"/>
        </w:rPr>
        <w:t>e</w:t>
      </w:r>
      <w:r>
        <w:rPr>
          <w:spacing w:val="25"/>
          <w:sz w:val="21"/>
        </w:rPr>
        <w:t> </w:t>
      </w:r>
      <w:r>
        <w:rPr>
          <w:spacing w:val="-3"/>
          <w:w w:val="100"/>
          <w:sz w:val="21"/>
        </w:rPr>
        <w:t>L</w:t>
      </w:r>
      <w:r>
        <w:rPr>
          <w:spacing w:val="-2"/>
          <w:w w:val="100"/>
          <w:sz w:val="21"/>
        </w:rPr>
        <w:t>i</w:t>
      </w:r>
      <w:r>
        <w:rPr>
          <w:spacing w:val="1"/>
          <w:w w:val="100"/>
          <w:sz w:val="21"/>
        </w:rPr>
        <w:t>m</w:t>
      </w:r>
      <w:r>
        <w:rPr>
          <w:w w:val="100"/>
          <w:sz w:val="21"/>
        </w:rPr>
        <w:t>i</w:t>
      </w:r>
      <w:r>
        <w:rPr>
          <w:spacing w:val="-2"/>
          <w:w w:val="100"/>
          <w:sz w:val="21"/>
        </w:rPr>
        <w:t>t</w:t>
      </w:r>
      <w:r>
        <w:rPr>
          <w:spacing w:val="-1"/>
          <w:w w:val="100"/>
          <w:sz w:val="21"/>
        </w:rPr>
        <w:t>at</w:t>
      </w:r>
      <w:r>
        <w:rPr>
          <w:spacing w:val="-2"/>
          <w:w w:val="100"/>
          <w:sz w:val="21"/>
        </w:rPr>
        <w:t>i</w:t>
      </w:r>
      <w:r>
        <w:rPr>
          <w:spacing w:val="-1"/>
          <w:w w:val="100"/>
          <w:sz w:val="21"/>
        </w:rPr>
        <w:t>o</w:t>
      </w:r>
      <w:r>
        <w:rPr>
          <w:w w:val="100"/>
          <w:sz w:val="21"/>
        </w:rPr>
        <w:t>n</w:t>
      </w:r>
      <w:r>
        <w:rPr>
          <w:spacing w:val="25"/>
          <w:sz w:val="21"/>
        </w:rPr>
        <w:t> </w:t>
      </w:r>
      <w:r>
        <w:rPr>
          <w:w w:val="100"/>
          <w:sz w:val="21"/>
        </w:rPr>
        <w:t>Ac</w:t>
      </w:r>
      <w:r>
        <w:rPr>
          <w:spacing w:val="-2"/>
          <w:w w:val="100"/>
          <w:sz w:val="21"/>
        </w:rPr>
        <w:t>t</w:t>
      </w:r>
      <w:r>
        <w:rPr>
          <w:w w:val="100"/>
          <w:sz w:val="21"/>
        </w:rPr>
        <w:t>,</w:t>
      </w:r>
      <w:r>
        <w:rPr>
          <w:spacing w:val="26"/>
          <w:sz w:val="21"/>
        </w:rPr>
        <w:t> </w:t>
      </w:r>
      <w:r>
        <w:rPr>
          <w:spacing w:val="-2"/>
          <w:w w:val="100"/>
          <w:sz w:val="21"/>
        </w:rPr>
        <w:t>w</w:t>
      </w:r>
      <w:r>
        <w:rPr>
          <w:spacing w:val="-1"/>
          <w:w w:val="100"/>
          <w:sz w:val="21"/>
        </w:rPr>
        <w:t>h</w:t>
      </w:r>
      <w:r>
        <w:rPr>
          <w:spacing w:val="1"/>
          <w:w w:val="100"/>
          <w:sz w:val="21"/>
        </w:rPr>
        <w:t>i</w:t>
      </w:r>
      <w:r>
        <w:rPr>
          <w:spacing w:val="-3"/>
          <w:w w:val="100"/>
          <w:sz w:val="21"/>
        </w:rPr>
        <w:t>c</w:t>
      </w:r>
      <w:r>
        <w:rPr>
          <w:w w:val="100"/>
          <w:sz w:val="21"/>
        </w:rPr>
        <w:t>h</w:t>
      </w:r>
      <w:r>
        <w:rPr>
          <w:spacing w:val="27"/>
          <w:sz w:val="21"/>
        </w:rPr>
        <w:t> </w:t>
      </w:r>
      <w:r>
        <w:rPr>
          <w:w w:val="100"/>
          <w:sz w:val="21"/>
        </w:rPr>
        <w:t>sa</w:t>
      </w:r>
      <w:r>
        <w:rPr>
          <w:spacing w:val="-3"/>
          <w:w w:val="100"/>
          <w:sz w:val="21"/>
        </w:rPr>
        <w:t>y</w:t>
      </w:r>
      <w:r>
        <w:rPr>
          <w:w w:val="100"/>
          <w:sz w:val="21"/>
        </w:rPr>
        <w:t>s</w:t>
      </w:r>
      <w:r>
        <w:rPr>
          <w:spacing w:val="25"/>
          <w:sz w:val="21"/>
        </w:rPr>
        <w:t> </w:t>
      </w:r>
      <w:r>
        <w:rPr>
          <w:spacing w:val="-2"/>
          <w:w w:val="100"/>
          <w:sz w:val="21"/>
        </w:rPr>
        <w:t>t</w:t>
      </w:r>
      <w:r>
        <w:rPr>
          <w:spacing w:val="-1"/>
          <w:w w:val="100"/>
          <w:sz w:val="21"/>
        </w:rPr>
        <w:t>hat</w:t>
      </w:r>
      <w:r>
        <w:rPr>
          <w:w w:val="100"/>
          <w:sz w:val="21"/>
        </w:rPr>
        <w:t>,</w:t>
      </w:r>
      <w:r>
        <w:rPr>
          <w:spacing w:val="26"/>
          <w:sz w:val="21"/>
        </w:rPr>
        <w:t> </w:t>
      </w:r>
      <w:r>
        <w:rPr>
          <w:spacing w:val="-1"/>
          <w:w w:val="33"/>
          <w:sz w:val="21"/>
        </w:rPr>
        <w:t>―</w:t>
      </w:r>
      <w:r>
        <w:rPr>
          <w:spacing w:val="-2"/>
          <w:w w:val="100"/>
          <w:sz w:val="21"/>
        </w:rPr>
        <w:t>I</w:t>
      </w:r>
      <w:r>
        <w:rPr>
          <w:w w:val="100"/>
          <w:sz w:val="21"/>
        </w:rPr>
        <w:t>f</w:t>
      </w:r>
      <w:r>
        <w:rPr>
          <w:spacing w:val="28"/>
          <w:sz w:val="21"/>
        </w:rPr>
        <w:t> </w:t>
      </w:r>
      <w:r>
        <w:rPr>
          <w:w w:val="100"/>
          <w:sz w:val="21"/>
        </w:rPr>
        <w:t>a </w:t>
      </w:r>
      <w:r>
        <w:rPr>
          <w:sz w:val="21"/>
        </w:rPr>
        <w:t>person entitled to institute a suit... be, at the time from which the period of limitation is to be reckoned, a minor,‖ he may institute the suit after coming of age within a time which in the present case would be three</w:t>
      </w:r>
      <w:r>
        <w:rPr>
          <w:spacing w:val="-10"/>
          <w:sz w:val="21"/>
        </w:rPr>
        <w:t> </w:t>
      </w:r>
      <w:r>
        <w:rPr>
          <w:sz w:val="21"/>
        </w:rPr>
        <w:t>years.‖</w:t>
      </w:r>
    </w:p>
    <w:p>
      <w:pPr>
        <w:spacing w:before="41"/>
        <w:ind w:left="5791" w:right="0" w:firstLine="0"/>
        <w:jc w:val="left"/>
        <w:rPr>
          <w:sz w:val="21"/>
        </w:rPr>
      </w:pPr>
      <w:r>
        <w:rPr>
          <w:sz w:val="21"/>
        </w:rPr>
        <w:t>(Emphasis supplied)</w:t>
      </w:r>
    </w:p>
    <w:p>
      <w:pPr>
        <w:pStyle w:val="BodyText"/>
        <w:rPr>
          <w:sz w:val="24"/>
        </w:rPr>
      </w:pPr>
    </w:p>
    <w:p>
      <w:pPr>
        <w:pStyle w:val="BodyText"/>
        <w:spacing w:before="4"/>
        <w:rPr>
          <w:sz w:val="24"/>
        </w:rPr>
      </w:pPr>
    </w:p>
    <w:p>
      <w:pPr>
        <w:pStyle w:val="BodyText"/>
        <w:spacing w:line="480" w:lineRule="auto"/>
        <w:ind w:left="500" w:right="436"/>
        <w:jc w:val="both"/>
      </w:pPr>
      <w:r>
        <w:rPr/>
        <w:t>The basis for holding that suit to be within limitation was </w:t>
      </w:r>
      <w:r>
        <w:rPr>
          <w:b/>
        </w:rPr>
        <w:t>not </w:t>
      </w:r>
      <w:r>
        <w:rPr/>
        <w:t>that the idol was not subject to the law of limitation but that the shebait was a minor on the date of the accrual of the course of action. The suit could be instituted within three years of the shebait attaining majority.</w:t>
      </w:r>
    </w:p>
    <w:p>
      <w:pPr>
        <w:pStyle w:val="BodyText"/>
      </w:pPr>
    </w:p>
    <w:p>
      <w:pPr>
        <w:pStyle w:val="ListParagraph"/>
        <w:numPr>
          <w:ilvl w:val="0"/>
          <w:numId w:val="111"/>
        </w:numPr>
        <w:tabs>
          <w:tab w:pos="1221" w:val="left" w:leader="none"/>
        </w:tabs>
        <w:spacing w:line="480" w:lineRule="auto" w:before="1" w:after="0"/>
        <w:ind w:left="500" w:right="435" w:firstLine="0"/>
        <w:jc w:val="both"/>
        <w:rPr>
          <w:sz w:val="25"/>
        </w:rPr>
      </w:pPr>
      <w:r>
        <w:rPr>
          <w:sz w:val="25"/>
        </w:rPr>
        <w:t>In 1909-10 a judgment was rendered by the Privy Council in </w:t>
      </w:r>
      <w:r>
        <w:rPr>
          <w:b/>
          <w:sz w:val="25"/>
        </w:rPr>
        <w:t>Mahant Damodar Das </w:t>
      </w:r>
      <w:r>
        <w:rPr>
          <w:sz w:val="25"/>
        </w:rPr>
        <w:t>v </w:t>
      </w:r>
      <w:r>
        <w:rPr>
          <w:b/>
          <w:sz w:val="25"/>
        </w:rPr>
        <w:t>Adhikari Lakhan Das</w:t>
      </w:r>
      <w:r>
        <w:rPr>
          <w:sz w:val="25"/>
          <w:vertAlign w:val="superscript"/>
        </w:rPr>
        <w:t>247</w:t>
      </w:r>
      <w:r>
        <w:rPr>
          <w:sz w:val="25"/>
          <w:vertAlign w:val="baseline"/>
        </w:rPr>
        <w:t> where there was a dispute between the senior chela and junior chela of a Mutt with regard to succession after the Mahant passed away. This was settled by an </w:t>
      </w:r>
      <w:r>
        <w:rPr>
          <w:i/>
          <w:sz w:val="25"/>
          <w:vertAlign w:val="baseline"/>
        </w:rPr>
        <w:t>ikrarnama </w:t>
      </w:r>
      <w:r>
        <w:rPr>
          <w:sz w:val="25"/>
          <w:vertAlign w:val="baseline"/>
        </w:rPr>
        <w:t>dated 3 November 1874. Under the </w:t>
      </w:r>
      <w:r>
        <w:rPr>
          <w:i/>
          <w:sz w:val="25"/>
          <w:vertAlign w:val="baseline"/>
        </w:rPr>
        <w:t>ikrarnama</w:t>
      </w:r>
      <w:r>
        <w:rPr>
          <w:sz w:val="25"/>
          <w:vertAlign w:val="baseline"/>
        </w:rPr>
        <w:t>, a math at Bhadrak was allotted  in  perpetuity  to  the  senior </w:t>
      </w:r>
      <w:r>
        <w:rPr>
          <w:i/>
          <w:sz w:val="25"/>
          <w:vertAlign w:val="baseline"/>
        </w:rPr>
        <w:t>chela </w:t>
      </w:r>
      <w:r>
        <w:rPr>
          <w:sz w:val="25"/>
          <w:vertAlign w:val="baseline"/>
        </w:rPr>
        <w:t>and his successors, while a math at Bibisarai and the properties annexed  </w:t>
      </w:r>
      <w:r>
        <w:rPr>
          <w:spacing w:val="6"/>
          <w:sz w:val="25"/>
          <w:vertAlign w:val="baseline"/>
        </w:rPr>
        <w:t> </w:t>
      </w:r>
      <w:r>
        <w:rPr>
          <w:sz w:val="25"/>
          <w:vertAlign w:val="baseline"/>
        </w:rPr>
        <w:t>to  </w:t>
      </w:r>
      <w:r>
        <w:rPr>
          <w:spacing w:val="9"/>
          <w:sz w:val="25"/>
          <w:vertAlign w:val="baseline"/>
        </w:rPr>
        <w:t> </w:t>
      </w:r>
      <w:r>
        <w:rPr>
          <w:sz w:val="25"/>
          <w:vertAlign w:val="baseline"/>
        </w:rPr>
        <w:t>it  </w:t>
      </w:r>
      <w:r>
        <w:rPr>
          <w:spacing w:val="6"/>
          <w:sz w:val="25"/>
          <w:vertAlign w:val="baseline"/>
        </w:rPr>
        <w:t> </w:t>
      </w:r>
      <w:r>
        <w:rPr>
          <w:sz w:val="25"/>
          <w:vertAlign w:val="baseline"/>
        </w:rPr>
        <w:t>were  </w:t>
      </w:r>
      <w:r>
        <w:rPr>
          <w:spacing w:val="6"/>
          <w:sz w:val="25"/>
          <w:vertAlign w:val="baseline"/>
        </w:rPr>
        <w:t> </w:t>
      </w:r>
      <w:r>
        <w:rPr>
          <w:sz w:val="25"/>
          <w:vertAlign w:val="baseline"/>
        </w:rPr>
        <w:t>allotted  </w:t>
      </w:r>
      <w:r>
        <w:rPr>
          <w:spacing w:val="7"/>
          <w:sz w:val="25"/>
          <w:vertAlign w:val="baseline"/>
        </w:rPr>
        <w:t> </w:t>
      </w:r>
      <w:r>
        <w:rPr>
          <w:sz w:val="25"/>
          <w:vertAlign w:val="baseline"/>
        </w:rPr>
        <w:t>to  </w:t>
      </w:r>
      <w:r>
        <w:rPr>
          <w:spacing w:val="7"/>
          <w:sz w:val="25"/>
          <w:vertAlign w:val="baseline"/>
        </w:rPr>
        <w:t> </w:t>
      </w:r>
      <w:r>
        <w:rPr>
          <w:sz w:val="25"/>
          <w:vertAlign w:val="baseline"/>
        </w:rPr>
        <w:t>the  </w:t>
      </w:r>
      <w:r>
        <w:rPr>
          <w:spacing w:val="9"/>
          <w:sz w:val="25"/>
          <w:vertAlign w:val="baseline"/>
        </w:rPr>
        <w:t> </w:t>
      </w:r>
      <w:r>
        <w:rPr>
          <w:sz w:val="25"/>
          <w:vertAlign w:val="baseline"/>
        </w:rPr>
        <w:t>junior</w:t>
      </w:r>
      <w:r>
        <w:rPr>
          <w:spacing w:val="7"/>
          <w:sz w:val="25"/>
          <w:vertAlign w:val="baseline"/>
        </w:rPr>
        <w:t> </w:t>
      </w:r>
      <w:r>
        <w:rPr>
          <w:sz w:val="25"/>
          <w:vertAlign w:val="baseline"/>
        </w:rPr>
        <w:t>chela  </w:t>
      </w:r>
      <w:r>
        <w:rPr>
          <w:spacing w:val="6"/>
          <w:sz w:val="25"/>
          <w:vertAlign w:val="baseline"/>
        </w:rPr>
        <w:t> </w:t>
      </w:r>
      <w:r>
        <w:rPr>
          <w:sz w:val="25"/>
          <w:vertAlign w:val="baseline"/>
        </w:rPr>
        <w:t>in  </w:t>
      </w:r>
      <w:r>
        <w:rPr>
          <w:spacing w:val="6"/>
          <w:sz w:val="25"/>
          <w:vertAlign w:val="baseline"/>
        </w:rPr>
        <w:t> </w:t>
      </w:r>
      <w:r>
        <w:rPr>
          <w:sz w:val="25"/>
          <w:vertAlign w:val="baseline"/>
        </w:rPr>
        <w:t>the  </w:t>
      </w:r>
      <w:r>
        <w:rPr>
          <w:spacing w:val="10"/>
          <w:sz w:val="25"/>
          <w:vertAlign w:val="baseline"/>
        </w:rPr>
        <w:t> </w:t>
      </w:r>
      <w:r>
        <w:rPr>
          <w:sz w:val="25"/>
          <w:vertAlign w:val="baseline"/>
        </w:rPr>
        <w:t>capacity  </w:t>
      </w:r>
      <w:r>
        <w:rPr>
          <w:spacing w:val="6"/>
          <w:sz w:val="25"/>
          <w:vertAlign w:val="baseline"/>
        </w:rPr>
        <w:t> </w:t>
      </w:r>
      <w:r>
        <w:rPr>
          <w:sz w:val="25"/>
          <w:vertAlign w:val="baseline"/>
        </w:rPr>
        <w:t>of  </w:t>
      </w:r>
      <w:r>
        <w:rPr>
          <w:spacing w:val="7"/>
          <w:sz w:val="25"/>
          <w:vertAlign w:val="baseline"/>
        </w:rPr>
        <w:t> </w:t>
      </w:r>
      <w:r>
        <w:rPr>
          <w:sz w:val="25"/>
          <w:vertAlign w:val="baseline"/>
        </w:rPr>
        <w:t>an</w:t>
      </w:r>
    </w:p>
    <w:p>
      <w:pPr>
        <w:pStyle w:val="BodyText"/>
        <w:spacing w:line="480" w:lineRule="auto" w:before="3"/>
        <w:ind w:left="500" w:right="445"/>
        <w:jc w:val="both"/>
      </w:pPr>
      <w:r>
        <w:rPr>
          <w:i/>
          <w:spacing w:val="-3"/>
          <w:w w:val="40"/>
        </w:rPr>
        <w:t>‗</w:t>
      </w:r>
      <w:r>
        <w:rPr>
          <w:i/>
          <w:spacing w:val="-1"/>
          <w:w w:val="99"/>
        </w:rPr>
        <w:t>a</w:t>
      </w:r>
      <w:r>
        <w:rPr>
          <w:i/>
          <w:w w:val="99"/>
        </w:rPr>
        <w:t>d</w:t>
      </w:r>
      <w:r>
        <w:rPr>
          <w:i/>
          <w:spacing w:val="-1"/>
          <w:w w:val="99"/>
        </w:rPr>
        <w:t>hika</w:t>
      </w:r>
      <w:r>
        <w:rPr>
          <w:i/>
          <w:spacing w:val="1"/>
          <w:w w:val="99"/>
        </w:rPr>
        <w:t>ri</w:t>
      </w:r>
      <w:r>
        <w:rPr>
          <w:i/>
          <w:spacing w:val="-3"/>
          <w:w w:val="99"/>
        </w:rPr>
        <w:t>‘</w:t>
      </w:r>
      <w:r>
        <w:rPr>
          <w:i/>
          <w:w w:val="99"/>
        </w:rPr>
        <w:t>,</w:t>
      </w:r>
      <w:r>
        <w:rPr>
          <w:i/>
        </w:rPr>
        <w:t> </w:t>
      </w:r>
      <w:r>
        <w:rPr>
          <w:w w:val="99"/>
        </w:rPr>
        <w:t>subject</w:t>
      </w:r>
      <w:r>
        <w:rPr>
          <w:spacing w:val="31"/>
        </w:rPr>
        <w:t> </w:t>
      </w:r>
      <w:r>
        <w:rPr>
          <w:w w:val="99"/>
        </w:rPr>
        <w:t>to</w:t>
      </w:r>
      <w:r>
        <w:rPr>
          <w:spacing w:val="31"/>
        </w:rPr>
        <w:t> </w:t>
      </w:r>
      <w:r>
        <w:rPr>
          <w:w w:val="99"/>
        </w:rPr>
        <w:t>an</w:t>
      </w:r>
      <w:r>
        <w:rPr>
          <w:spacing w:val="31"/>
        </w:rPr>
        <w:t> </w:t>
      </w:r>
      <w:r>
        <w:rPr>
          <w:w w:val="99"/>
        </w:rPr>
        <w:t>annu</w:t>
      </w:r>
      <w:r>
        <w:rPr>
          <w:w w:val="99"/>
        </w:rPr>
        <w:t>al</w:t>
      </w:r>
      <w:r>
        <w:rPr>
          <w:spacing w:val="31"/>
        </w:rPr>
        <w:t> </w:t>
      </w:r>
      <w:r>
        <w:rPr>
          <w:w w:val="99"/>
        </w:rPr>
        <w:t>pa</w:t>
      </w:r>
      <w:r>
        <w:rPr>
          <w:spacing w:val="-3"/>
          <w:w w:val="99"/>
        </w:rPr>
        <w:t>y</w:t>
      </w:r>
      <w:r>
        <w:rPr>
          <w:w w:val="99"/>
        </w:rPr>
        <w:t>m</w:t>
      </w:r>
      <w:r>
        <w:rPr>
          <w:w w:val="99"/>
        </w:rPr>
        <w:t>en</w:t>
      </w:r>
      <w:r>
        <w:rPr>
          <w:w w:val="99"/>
        </w:rPr>
        <w:t>t</w:t>
      </w:r>
      <w:r>
        <w:rPr>
          <w:spacing w:val="31"/>
        </w:rPr>
        <w:t> </w:t>
      </w:r>
      <w:r>
        <w:rPr>
          <w:spacing w:val="-2"/>
          <w:w w:val="99"/>
        </w:rPr>
        <w:t>o</w:t>
      </w:r>
      <w:r>
        <w:rPr>
          <w:w w:val="99"/>
        </w:rPr>
        <w:t>f</w:t>
      </w:r>
      <w:r>
        <w:rPr>
          <w:spacing w:val="31"/>
        </w:rPr>
        <w:t> </w:t>
      </w:r>
      <w:r>
        <w:rPr>
          <w:w w:val="99"/>
        </w:rPr>
        <w:t>Rs.</w:t>
      </w:r>
      <w:r>
        <w:rPr>
          <w:spacing w:val="31"/>
        </w:rPr>
        <w:t> </w:t>
      </w:r>
      <w:r>
        <w:rPr>
          <w:w w:val="99"/>
        </w:rPr>
        <w:t>15</w:t>
      </w:r>
      <w:r>
        <w:rPr>
          <w:spacing w:val="31"/>
        </w:rPr>
        <w:t> </w:t>
      </w:r>
      <w:r>
        <w:rPr>
          <w:w w:val="99"/>
        </w:rPr>
        <w:t>towa</w:t>
      </w:r>
      <w:r>
        <w:rPr>
          <w:w w:val="99"/>
        </w:rPr>
        <w:t>r</w:t>
      </w:r>
      <w:r>
        <w:rPr>
          <w:w w:val="99"/>
        </w:rPr>
        <w:t>ds</w:t>
      </w:r>
      <w:r>
        <w:rPr>
          <w:spacing w:val="31"/>
        </w:rPr>
        <w:t> </w:t>
      </w:r>
      <w:r>
        <w:rPr>
          <w:w w:val="99"/>
        </w:rPr>
        <w:t>the</w:t>
      </w:r>
      <w:r>
        <w:rPr>
          <w:spacing w:val="27"/>
        </w:rPr>
        <w:t> </w:t>
      </w:r>
      <w:r>
        <w:rPr>
          <w:w w:val="99"/>
        </w:rPr>
        <w:t>e</w:t>
      </w:r>
      <w:r>
        <w:rPr>
          <w:spacing w:val="-2"/>
          <w:w w:val="99"/>
        </w:rPr>
        <w:t>x</w:t>
      </w:r>
      <w:r>
        <w:rPr>
          <w:w w:val="99"/>
        </w:rPr>
        <w:t>pense</w:t>
      </w:r>
      <w:r>
        <w:rPr>
          <w:w w:val="99"/>
        </w:rPr>
        <w:t>s</w:t>
      </w:r>
      <w:r>
        <w:rPr>
          <w:spacing w:val="31"/>
        </w:rPr>
        <w:t> </w:t>
      </w:r>
      <w:r>
        <w:rPr>
          <w:w w:val="99"/>
        </w:rPr>
        <w:t>of</w:t>
      </w:r>
      <w:r>
        <w:rPr>
          <w:spacing w:val="31"/>
        </w:rPr>
        <w:t> </w:t>
      </w:r>
      <w:r>
        <w:rPr>
          <w:w w:val="99"/>
        </w:rPr>
        <w:t>the </w:t>
      </w:r>
      <w:r>
        <w:rPr/>
        <w:t>Bhadrak</w:t>
      </w:r>
      <w:r>
        <w:rPr>
          <w:spacing w:val="2"/>
        </w:rPr>
        <w:t> </w:t>
      </w:r>
      <w:r>
        <w:rPr>
          <w:i/>
        </w:rPr>
        <w:t>math</w:t>
      </w:r>
      <w:r>
        <w:rPr/>
        <w:t>.</w:t>
      </w:r>
      <w:r>
        <w:rPr>
          <w:spacing w:val="39"/>
        </w:rPr>
        <w:t> </w:t>
      </w:r>
      <w:r>
        <w:rPr/>
        <w:t>After</w:t>
      </w:r>
      <w:r>
        <w:rPr>
          <w:spacing w:val="40"/>
        </w:rPr>
        <w:t> </w:t>
      </w:r>
      <w:r>
        <w:rPr/>
        <w:t>the</w:t>
      </w:r>
      <w:r>
        <w:rPr>
          <w:spacing w:val="39"/>
        </w:rPr>
        <w:t> </w:t>
      </w:r>
      <w:r>
        <w:rPr/>
        <w:t>death</w:t>
      </w:r>
      <w:r>
        <w:rPr>
          <w:spacing w:val="40"/>
        </w:rPr>
        <w:t> </w:t>
      </w:r>
      <w:r>
        <w:rPr/>
        <w:t>of</w:t>
      </w:r>
      <w:r>
        <w:rPr>
          <w:spacing w:val="39"/>
        </w:rPr>
        <w:t> </w:t>
      </w:r>
      <w:r>
        <w:rPr/>
        <w:t>the</w:t>
      </w:r>
      <w:r>
        <w:rPr>
          <w:spacing w:val="40"/>
        </w:rPr>
        <w:t> </w:t>
      </w:r>
      <w:r>
        <w:rPr/>
        <w:t>senior</w:t>
      </w:r>
      <w:r>
        <w:rPr>
          <w:spacing w:val="39"/>
        </w:rPr>
        <w:t> </w:t>
      </w:r>
      <w:r>
        <w:rPr/>
        <w:t>chela,</w:t>
      </w:r>
      <w:r>
        <w:rPr>
          <w:spacing w:val="40"/>
        </w:rPr>
        <w:t> </w:t>
      </w:r>
      <w:r>
        <w:rPr/>
        <w:t>a</w:t>
      </w:r>
      <w:r>
        <w:rPr>
          <w:spacing w:val="39"/>
        </w:rPr>
        <w:t> </w:t>
      </w:r>
      <w:r>
        <w:rPr/>
        <w:t>suit</w:t>
      </w:r>
      <w:r>
        <w:rPr>
          <w:spacing w:val="40"/>
        </w:rPr>
        <w:t> </w:t>
      </w:r>
      <w:r>
        <w:rPr/>
        <w:t>was</w:t>
      </w:r>
      <w:r>
        <w:rPr>
          <w:spacing w:val="39"/>
        </w:rPr>
        <w:t> </w:t>
      </w:r>
      <w:r>
        <w:rPr/>
        <w:t>instituted</w:t>
      </w:r>
      <w:r>
        <w:rPr>
          <w:spacing w:val="40"/>
        </w:rPr>
        <w:t> </w:t>
      </w:r>
      <w:r>
        <w:rPr/>
        <w:t>by</w:t>
      </w:r>
      <w:r>
        <w:rPr>
          <w:spacing w:val="37"/>
        </w:rPr>
        <w:t> </w:t>
      </w:r>
      <w:r>
        <w:rPr/>
        <w:t>his</w:t>
      </w:r>
    </w:p>
    <w:p>
      <w:pPr>
        <w:pStyle w:val="BodyText"/>
        <w:spacing w:before="9"/>
        <w:rPr>
          <w:sz w:val="16"/>
        </w:rPr>
      </w:pPr>
      <w:r>
        <w:rPr/>
        <w:pict>
          <v:rect style="position:absolute;margin-left:72.024002pt;margin-top:11.613708pt;width:144.020pt;height:.599980pt;mso-position-horizontal-relative:page;mso-position-vertical-relative:paragraph;z-index:-15659008;mso-wrap-distance-left:0;mso-wrap-distance-right:0" filled="true" fillcolor="#000000" stroked="false">
            <v:fill type="solid"/>
            <w10:wrap type="topAndBottom"/>
          </v:rect>
        </w:pict>
      </w:r>
    </w:p>
    <w:p>
      <w:pPr>
        <w:spacing w:after="0"/>
        <w:rPr>
          <w:sz w:val="16"/>
        </w:rPr>
        <w:sectPr>
          <w:pgSz w:w="11910" w:h="16840"/>
          <w:pgMar w:header="721" w:footer="1367" w:top="1300" w:bottom="1660" w:left="940" w:right="1000"/>
        </w:sectPr>
      </w:pPr>
    </w:p>
    <w:p>
      <w:pPr>
        <w:pStyle w:val="BodyText"/>
        <w:spacing w:line="480" w:lineRule="auto" w:before="124"/>
        <w:ind w:left="500" w:right="434"/>
        <w:jc w:val="both"/>
      </w:pPr>
      <w:r>
        <w:rPr/>
        <w:t>successor for possession of the math at Bibisarai. It was contended that the property was dedicated to the worship and service of the plaintiff's idol and was held by the junior chela in the capacity of an </w:t>
      </w:r>
      <w:r>
        <w:rPr>
          <w:i/>
        </w:rPr>
        <w:t>adhikari</w:t>
      </w:r>
      <w:r>
        <w:rPr/>
        <w:t>. The respondent set up limitation as a defence claiming that neither the plaintiff nor his predecessors had been in possession of the disputed property within twelve years prior to the institution of the suit. The trial court held that the suit was not barred by limitation, but the High Court reversed the decree on the ground that the respondent had held the disputed mutt adversely for more than twelve years. The Privy Council rejected the plea of the senior chela that the cause of action arose on the death of the senior chela and affirmed the ruling of the High Court that the suit was barred by limitation, having been instituted within twelve years of the death of the senior chela, but twenty seven years after the </w:t>
      </w:r>
      <w:r>
        <w:rPr>
          <w:i/>
        </w:rPr>
        <w:t>ikrarnama</w:t>
      </w:r>
      <w:r>
        <w:rPr/>
        <w:t>. Sir Arthur Wilson held thus:</w:t>
      </w:r>
    </w:p>
    <w:p>
      <w:pPr>
        <w:spacing w:line="276" w:lineRule="auto" w:before="160"/>
        <w:ind w:left="1940" w:right="2253" w:firstLine="0"/>
        <w:jc w:val="both"/>
        <w:rPr>
          <w:sz w:val="21"/>
        </w:rPr>
      </w:pPr>
      <w:r>
        <w:rPr>
          <w:spacing w:val="-1"/>
          <w:w w:val="33"/>
          <w:sz w:val="21"/>
        </w:rPr>
        <w:t>―</w:t>
      </w:r>
      <w:r>
        <w:rPr>
          <w:w w:val="100"/>
          <w:sz w:val="21"/>
        </w:rPr>
        <w:t>The</w:t>
      </w:r>
      <w:r>
        <w:rPr>
          <w:spacing w:val="18"/>
          <w:sz w:val="21"/>
        </w:rPr>
        <w:t> </w:t>
      </w:r>
      <w:r>
        <w:rPr>
          <w:w w:val="100"/>
          <w:sz w:val="21"/>
        </w:rPr>
        <w:t>l</w:t>
      </w:r>
      <w:r>
        <w:rPr>
          <w:spacing w:val="-3"/>
          <w:w w:val="100"/>
          <w:sz w:val="21"/>
        </w:rPr>
        <w:t>e</w:t>
      </w:r>
      <w:r>
        <w:rPr>
          <w:spacing w:val="-1"/>
          <w:w w:val="100"/>
          <w:sz w:val="21"/>
        </w:rPr>
        <w:t>arn</w:t>
      </w:r>
      <w:r>
        <w:rPr>
          <w:spacing w:val="-3"/>
          <w:w w:val="100"/>
          <w:sz w:val="21"/>
        </w:rPr>
        <w:t>e</w:t>
      </w:r>
      <w:r>
        <w:rPr>
          <w:w w:val="100"/>
          <w:sz w:val="21"/>
        </w:rPr>
        <w:t>d</w:t>
      </w:r>
      <w:r>
        <w:rPr>
          <w:spacing w:val="20"/>
          <w:sz w:val="21"/>
        </w:rPr>
        <w:t> </w:t>
      </w:r>
      <w:r>
        <w:rPr>
          <w:spacing w:val="-3"/>
          <w:w w:val="100"/>
          <w:sz w:val="21"/>
        </w:rPr>
        <w:t>J</w:t>
      </w:r>
      <w:r>
        <w:rPr>
          <w:spacing w:val="-1"/>
          <w:w w:val="100"/>
          <w:sz w:val="21"/>
        </w:rPr>
        <w:t>ud</w:t>
      </w:r>
      <w:r>
        <w:rPr>
          <w:spacing w:val="-2"/>
          <w:w w:val="100"/>
          <w:sz w:val="21"/>
        </w:rPr>
        <w:t>g</w:t>
      </w:r>
      <w:r>
        <w:rPr>
          <w:spacing w:val="-1"/>
          <w:w w:val="100"/>
          <w:sz w:val="21"/>
        </w:rPr>
        <w:t>e</w:t>
      </w:r>
      <w:r>
        <w:rPr>
          <w:w w:val="100"/>
          <w:sz w:val="21"/>
        </w:rPr>
        <w:t>s</w:t>
      </w:r>
      <w:r>
        <w:rPr>
          <w:spacing w:val="18"/>
          <w:sz w:val="21"/>
        </w:rPr>
        <w:t> </w:t>
      </w:r>
      <w:r>
        <w:rPr>
          <w:spacing w:val="-1"/>
          <w:w w:val="100"/>
          <w:sz w:val="21"/>
        </w:rPr>
        <w:t>o</w:t>
      </w:r>
      <w:r>
        <w:rPr>
          <w:w w:val="100"/>
          <w:sz w:val="21"/>
        </w:rPr>
        <w:t>f</w:t>
      </w:r>
      <w:r>
        <w:rPr>
          <w:spacing w:val="19"/>
          <w:sz w:val="21"/>
        </w:rPr>
        <w:t> </w:t>
      </w:r>
      <w:r>
        <w:rPr>
          <w:spacing w:val="-2"/>
          <w:w w:val="100"/>
          <w:sz w:val="21"/>
        </w:rPr>
        <w:t>t</w:t>
      </w:r>
      <w:r>
        <w:rPr>
          <w:spacing w:val="-1"/>
          <w:w w:val="100"/>
          <w:sz w:val="21"/>
        </w:rPr>
        <w:t>h</w:t>
      </w:r>
      <w:r>
        <w:rPr>
          <w:w w:val="100"/>
          <w:sz w:val="21"/>
        </w:rPr>
        <w:t>e</w:t>
      </w:r>
      <w:r>
        <w:rPr>
          <w:spacing w:val="18"/>
          <w:sz w:val="21"/>
        </w:rPr>
        <w:t> </w:t>
      </w:r>
      <w:r>
        <w:rPr>
          <w:w w:val="100"/>
          <w:sz w:val="21"/>
        </w:rPr>
        <w:t>H</w:t>
      </w:r>
      <w:r>
        <w:rPr>
          <w:spacing w:val="-2"/>
          <w:w w:val="100"/>
          <w:sz w:val="21"/>
        </w:rPr>
        <w:t>i</w:t>
      </w:r>
      <w:r>
        <w:rPr>
          <w:spacing w:val="-1"/>
          <w:w w:val="100"/>
          <w:sz w:val="21"/>
        </w:rPr>
        <w:t>g</w:t>
      </w:r>
      <w:r>
        <w:rPr>
          <w:w w:val="100"/>
          <w:sz w:val="21"/>
        </w:rPr>
        <w:t>h</w:t>
      </w:r>
      <w:r>
        <w:rPr>
          <w:spacing w:val="18"/>
          <w:sz w:val="21"/>
        </w:rPr>
        <w:t> </w:t>
      </w:r>
      <w:r>
        <w:rPr>
          <w:spacing w:val="-2"/>
          <w:w w:val="100"/>
          <w:sz w:val="21"/>
        </w:rPr>
        <w:t>C</w:t>
      </w:r>
      <w:r>
        <w:rPr>
          <w:spacing w:val="-1"/>
          <w:w w:val="100"/>
          <w:sz w:val="21"/>
        </w:rPr>
        <w:t>our</w:t>
      </w:r>
      <w:r>
        <w:rPr>
          <w:w w:val="100"/>
          <w:sz w:val="21"/>
        </w:rPr>
        <w:t>t</w:t>
      </w:r>
      <w:r>
        <w:rPr>
          <w:spacing w:val="19"/>
          <w:sz w:val="21"/>
        </w:rPr>
        <w:t> </w:t>
      </w:r>
      <w:r>
        <w:rPr>
          <w:spacing w:val="-3"/>
          <w:w w:val="100"/>
          <w:sz w:val="21"/>
        </w:rPr>
        <w:t>h</w:t>
      </w:r>
      <w:r>
        <w:rPr>
          <w:spacing w:val="-1"/>
          <w:w w:val="100"/>
          <w:sz w:val="21"/>
        </w:rPr>
        <w:t>a</w:t>
      </w:r>
      <w:r>
        <w:rPr>
          <w:spacing w:val="-3"/>
          <w:w w:val="100"/>
          <w:sz w:val="21"/>
        </w:rPr>
        <w:t>v</w:t>
      </w:r>
      <w:r>
        <w:rPr>
          <w:w w:val="100"/>
          <w:sz w:val="21"/>
        </w:rPr>
        <w:t>e</w:t>
      </w:r>
      <w:r>
        <w:rPr>
          <w:spacing w:val="20"/>
          <w:sz w:val="21"/>
        </w:rPr>
        <w:t> </w:t>
      </w:r>
      <w:r>
        <w:rPr>
          <w:spacing w:val="-1"/>
          <w:w w:val="100"/>
          <w:sz w:val="21"/>
        </w:rPr>
        <w:t>r</w:t>
      </w:r>
      <w:r>
        <w:rPr>
          <w:spacing w:val="-2"/>
          <w:w w:val="100"/>
          <w:sz w:val="21"/>
        </w:rPr>
        <w:t>i</w:t>
      </w:r>
      <w:r>
        <w:rPr>
          <w:spacing w:val="-1"/>
          <w:w w:val="100"/>
          <w:sz w:val="21"/>
        </w:rPr>
        <w:t>ght</w:t>
      </w:r>
      <w:r>
        <w:rPr>
          <w:spacing w:val="-2"/>
          <w:w w:val="100"/>
          <w:sz w:val="21"/>
        </w:rPr>
        <w:t>l</w:t>
      </w:r>
      <w:r>
        <w:rPr>
          <w:w w:val="100"/>
          <w:sz w:val="21"/>
        </w:rPr>
        <w:t>y</w:t>
      </w:r>
      <w:r>
        <w:rPr>
          <w:spacing w:val="18"/>
          <w:sz w:val="21"/>
        </w:rPr>
        <w:t> </w:t>
      </w:r>
      <w:r>
        <w:rPr>
          <w:spacing w:val="-1"/>
          <w:w w:val="100"/>
          <w:sz w:val="21"/>
        </w:rPr>
        <w:t>he</w:t>
      </w:r>
      <w:r>
        <w:rPr>
          <w:spacing w:val="1"/>
          <w:w w:val="100"/>
          <w:sz w:val="21"/>
        </w:rPr>
        <w:t>l</w:t>
      </w:r>
      <w:r>
        <w:rPr>
          <w:w w:val="100"/>
          <w:sz w:val="21"/>
        </w:rPr>
        <w:t>d</w:t>
      </w:r>
      <w:r>
        <w:rPr>
          <w:spacing w:val="18"/>
          <w:sz w:val="21"/>
        </w:rPr>
        <w:t> </w:t>
      </w:r>
      <w:r>
        <w:rPr>
          <w:spacing w:val="-2"/>
          <w:w w:val="100"/>
          <w:sz w:val="21"/>
        </w:rPr>
        <w:t>t</w:t>
      </w:r>
      <w:r>
        <w:rPr>
          <w:spacing w:val="-1"/>
          <w:w w:val="100"/>
          <w:sz w:val="21"/>
        </w:rPr>
        <w:t>hat </w:t>
      </w:r>
      <w:r>
        <w:rPr>
          <w:sz w:val="21"/>
        </w:rPr>
        <w:t>in point of law the property dealt with by the </w:t>
      </w:r>
      <w:r>
        <w:rPr>
          <w:i/>
          <w:sz w:val="21"/>
        </w:rPr>
        <w:t>ekrarnama </w:t>
      </w:r>
      <w:r>
        <w:rPr>
          <w:sz w:val="21"/>
        </w:rPr>
        <w:t>was prior to its date to be regarded as vested not in the Mohant, but in the legal entity, the idol, the Mohant being only his representative and manager. </w:t>
      </w:r>
      <w:r>
        <w:rPr>
          <w:b/>
          <w:spacing w:val="-3"/>
          <w:sz w:val="21"/>
        </w:rPr>
        <w:t>And </w:t>
      </w:r>
      <w:r>
        <w:rPr>
          <w:b/>
          <w:sz w:val="21"/>
        </w:rPr>
        <w:t>it follows from this that the learned Judges were further right in holding that from the date of the </w:t>
      </w:r>
      <w:r>
        <w:rPr>
          <w:b/>
          <w:i/>
          <w:sz w:val="21"/>
        </w:rPr>
        <w:t>ekrarnama </w:t>
      </w:r>
      <w:r>
        <w:rPr>
          <w:b/>
          <w:sz w:val="21"/>
        </w:rPr>
        <w:t>the possession of the junior chela, by virtue of the terms of that </w:t>
      </w:r>
      <w:r>
        <w:rPr>
          <w:b/>
          <w:i/>
          <w:sz w:val="21"/>
        </w:rPr>
        <w:t>ekrarnama</w:t>
      </w:r>
      <w:r>
        <w:rPr>
          <w:b/>
          <w:sz w:val="21"/>
        </w:rPr>
        <w:t>, was adverse to the right of the idol and of the senior </w:t>
      </w:r>
      <w:r>
        <w:rPr>
          <w:b/>
          <w:i/>
          <w:sz w:val="21"/>
        </w:rPr>
        <w:t>chela</w:t>
      </w:r>
      <w:r>
        <w:rPr>
          <w:b/>
          <w:sz w:val="21"/>
        </w:rPr>
        <w:t>, as representing that idol, and that, therefore, the present suit was barred by</w:t>
      </w:r>
      <w:r>
        <w:rPr>
          <w:b/>
          <w:spacing w:val="-13"/>
          <w:sz w:val="21"/>
        </w:rPr>
        <w:t> </w:t>
      </w:r>
      <w:r>
        <w:rPr>
          <w:b/>
          <w:sz w:val="21"/>
        </w:rPr>
        <w:t>limitation</w:t>
      </w:r>
      <w:r>
        <w:rPr>
          <w:sz w:val="21"/>
        </w:rPr>
        <w:t>.‖</w:t>
      </w:r>
    </w:p>
    <w:p>
      <w:pPr>
        <w:spacing w:before="1"/>
        <w:ind w:left="5791" w:right="0" w:firstLine="0"/>
        <w:jc w:val="left"/>
        <w:rPr>
          <w:sz w:val="21"/>
        </w:rPr>
      </w:pPr>
      <w:r>
        <w:rPr>
          <w:sz w:val="21"/>
        </w:rPr>
        <w:t>(Emphasis supplied)</w:t>
      </w:r>
    </w:p>
    <w:p>
      <w:pPr>
        <w:pStyle w:val="BodyText"/>
        <w:spacing w:before="1"/>
        <w:rPr>
          <w:sz w:val="24"/>
        </w:rPr>
      </w:pPr>
    </w:p>
    <w:p>
      <w:pPr>
        <w:pStyle w:val="BodyText"/>
        <w:spacing w:line="480" w:lineRule="auto" w:before="1"/>
        <w:ind w:left="500" w:right="443"/>
        <w:jc w:val="both"/>
      </w:pPr>
      <w:r>
        <w:rPr/>
        <w:t>Though the above observations did not specifically deal with whether an idol could be regarded as a perpetual minor, the Privy Council held in clear terms that the plea of adverse possession as against the right of the idol was available and that therefore the suit was barred by</w:t>
      </w:r>
      <w:r>
        <w:rPr>
          <w:spacing w:val="-6"/>
        </w:rPr>
        <w:t> </w:t>
      </w:r>
      <w:r>
        <w:rPr/>
        <w:t>limitation.</w:t>
      </w:r>
    </w:p>
    <w:p>
      <w:pPr>
        <w:spacing w:after="0" w:line="480" w:lineRule="auto"/>
        <w:jc w:val="both"/>
        <w:sectPr>
          <w:headerReference w:type="default" r:id="rId150"/>
          <w:footerReference w:type="default" r:id="rId151"/>
          <w:pgSz w:w="11910" w:h="16840"/>
          <w:pgMar w:header="721" w:footer="1014" w:top="1300" w:bottom="1200" w:left="940" w:right="1000"/>
          <w:pgNumType w:start="461"/>
        </w:sectPr>
      </w:pPr>
    </w:p>
    <w:p>
      <w:pPr>
        <w:pStyle w:val="ListParagraph"/>
        <w:numPr>
          <w:ilvl w:val="0"/>
          <w:numId w:val="111"/>
        </w:numPr>
        <w:tabs>
          <w:tab w:pos="1221" w:val="left" w:leader="none"/>
        </w:tabs>
        <w:spacing w:line="480" w:lineRule="auto" w:before="121" w:after="0"/>
        <w:ind w:left="500" w:right="440" w:firstLine="0"/>
        <w:jc w:val="both"/>
        <w:rPr>
          <w:sz w:val="25"/>
        </w:rPr>
      </w:pPr>
      <w:r>
        <w:rPr>
          <w:sz w:val="25"/>
        </w:rPr>
        <w:t>In </w:t>
      </w:r>
      <w:r>
        <w:rPr>
          <w:b/>
          <w:sz w:val="25"/>
        </w:rPr>
        <w:t>Chttar Mal </w:t>
      </w:r>
      <w:r>
        <w:rPr>
          <w:sz w:val="25"/>
        </w:rPr>
        <w:t>v </w:t>
      </w:r>
      <w:r>
        <w:rPr>
          <w:b/>
          <w:sz w:val="25"/>
        </w:rPr>
        <w:t>Panchu Lal</w:t>
      </w:r>
      <w:r>
        <w:rPr>
          <w:sz w:val="25"/>
          <w:vertAlign w:val="superscript"/>
        </w:rPr>
        <w:t>248</w:t>
      </w:r>
      <w:r>
        <w:rPr>
          <w:sz w:val="25"/>
          <w:vertAlign w:val="baseline"/>
        </w:rPr>
        <w:t>, a Division Bench of the Allahabad High Court considered whether an idol suffers a disability of being a perpetual minor and hence a suit by an idol at any period of time after the date of the transfer would be saved from the bar of limitation under Section 7 of the Limitation Act. The argument was premised on the following opinion put forth in the fifth edition </w:t>
      </w:r>
      <w:r>
        <w:rPr>
          <w:spacing w:val="-1"/>
          <w:w w:val="99"/>
          <w:sz w:val="25"/>
          <w:vertAlign w:val="baseline"/>
        </w:rPr>
        <w:t>o</w:t>
      </w:r>
      <w:r>
        <w:rPr>
          <w:w w:val="99"/>
          <w:sz w:val="25"/>
          <w:vertAlign w:val="baseline"/>
        </w:rPr>
        <w:t>f</w:t>
      </w:r>
      <w:r>
        <w:rPr>
          <w:sz w:val="25"/>
          <w:vertAlign w:val="baseline"/>
        </w:rPr>
        <w:t> </w:t>
      </w:r>
      <w:r>
        <w:rPr>
          <w:spacing w:val="-1"/>
          <w:w w:val="99"/>
          <w:sz w:val="25"/>
          <w:vertAlign w:val="baseline"/>
        </w:rPr>
        <w:t>Sast</w:t>
      </w:r>
      <w:r>
        <w:rPr>
          <w:spacing w:val="1"/>
          <w:w w:val="99"/>
          <w:sz w:val="25"/>
          <w:vertAlign w:val="baseline"/>
        </w:rPr>
        <w:t>r</w:t>
      </w:r>
      <w:r>
        <w:rPr>
          <w:spacing w:val="-1"/>
          <w:w w:val="99"/>
          <w:sz w:val="25"/>
          <w:vertAlign w:val="baseline"/>
        </w:rPr>
        <w:t>i'</w:t>
      </w:r>
      <w:r>
        <w:rPr>
          <w:w w:val="99"/>
          <w:sz w:val="25"/>
          <w:vertAlign w:val="baseline"/>
        </w:rPr>
        <w:t>s</w:t>
      </w:r>
      <w:r>
        <w:rPr>
          <w:spacing w:val="-1"/>
          <w:sz w:val="25"/>
          <w:vertAlign w:val="baseline"/>
        </w:rPr>
        <w:t> </w:t>
      </w:r>
      <w:r>
        <w:rPr>
          <w:spacing w:val="2"/>
          <w:w w:val="33"/>
          <w:sz w:val="25"/>
          <w:vertAlign w:val="baseline"/>
        </w:rPr>
        <w:t>―</w:t>
      </w:r>
      <w:r>
        <w:rPr>
          <w:b/>
          <w:w w:val="99"/>
          <w:sz w:val="25"/>
          <w:vertAlign w:val="baseline"/>
        </w:rPr>
        <w:t>Hin</w:t>
      </w:r>
      <w:r>
        <w:rPr>
          <w:b/>
          <w:w w:val="99"/>
          <w:sz w:val="25"/>
          <w:vertAlign w:val="baseline"/>
        </w:rPr>
        <w:t>du</w:t>
      </w:r>
      <w:r>
        <w:rPr>
          <w:b/>
          <w:spacing w:val="-2"/>
          <w:sz w:val="25"/>
          <w:vertAlign w:val="baseline"/>
        </w:rPr>
        <w:t> </w:t>
      </w:r>
      <w:r>
        <w:rPr>
          <w:b/>
          <w:w w:val="99"/>
          <w:sz w:val="25"/>
          <w:vertAlign w:val="baseline"/>
        </w:rPr>
        <w:t>L</w:t>
      </w:r>
      <w:r>
        <w:rPr>
          <w:b/>
          <w:spacing w:val="-2"/>
          <w:w w:val="99"/>
          <w:sz w:val="25"/>
          <w:vertAlign w:val="baseline"/>
        </w:rPr>
        <w:t>a</w:t>
      </w:r>
      <w:r>
        <w:rPr>
          <w:b/>
          <w:spacing w:val="7"/>
          <w:w w:val="99"/>
          <w:sz w:val="25"/>
          <w:vertAlign w:val="baseline"/>
        </w:rPr>
        <w:t>w</w:t>
      </w:r>
      <w:r>
        <w:rPr>
          <w:spacing w:val="-4"/>
          <w:w w:val="80"/>
          <w:sz w:val="25"/>
          <w:vertAlign w:val="baseline"/>
        </w:rPr>
        <w:t>‖</w:t>
      </w:r>
      <w:r>
        <w:rPr>
          <w:spacing w:val="-1"/>
          <w:w w:val="101"/>
          <w:sz w:val="25"/>
          <w:vertAlign w:val="superscript"/>
        </w:rPr>
        <w:t>249</w:t>
      </w:r>
      <w:r>
        <w:rPr>
          <w:w w:val="99"/>
          <w:sz w:val="25"/>
          <w:vertAlign w:val="baseline"/>
        </w:rPr>
        <w:t>:</w:t>
      </w:r>
    </w:p>
    <w:p>
      <w:pPr>
        <w:spacing w:line="276" w:lineRule="auto" w:before="162"/>
        <w:ind w:left="1633" w:right="2264" w:firstLine="0"/>
        <w:jc w:val="both"/>
        <w:rPr>
          <w:sz w:val="21"/>
        </w:rPr>
      </w:pPr>
      <w:r>
        <w:rPr>
          <w:w w:val="33"/>
          <w:sz w:val="21"/>
        </w:rPr>
        <w:t>―</w:t>
      </w:r>
      <w:r>
        <w:rPr>
          <w:w w:val="100"/>
          <w:sz w:val="21"/>
        </w:rPr>
        <w:t>As</w:t>
      </w:r>
      <w:r>
        <w:rPr>
          <w:sz w:val="21"/>
        </w:rPr>
        <w:t> </w:t>
      </w:r>
      <w:r>
        <w:rPr>
          <w:w w:val="100"/>
          <w:sz w:val="21"/>
        </w:rPr>
        <w:t>r</w:t>
      </w:r>
      <w:r>
        <w:rPr>
          <w:w w:val="100"/>
          <w:sz w:val="21"/>
        </w:rPr>
        <w:t>ega</w:t>
      </w:r>
      <w:r>
        <w:rPr>
          <w:w w:val="100"/>
          <w:sz w:val="21"/>
        </w:rPr>
        <w:t>r</w:t>
      </w:r>
      <w:r>
        <w:rPr>
          <w:w w:val="100"/>
          <w:sz w:val="21"/>
        </w:rPr>
        <w:t>ds</w:t>
      </w:r>
      <w:r>
        <w:rPr>
          <w:sz w:val="21"/>
        </w:rPr>
        <w:t> </w:t>
      </w:r>
      <w:r>
        <w:rPr>
          <w:w w:val="100"/>
          <w:sz w:val="21"/>
        </w:rPr>
        <w:t>li</w:t>
      </w:r>
      <w:r>
        <w:rPr>
          <w:w w:val="100"/>
          <w:sz w:val="21"/>
        </w:rPr>
        <w:t>m</w:t>
      </w:r>
      <w:r>
        <w:rPr>
          <w:w w:val="100"/>
          <w:sz w:val="21"/>
        </w:rPr>
        <w:t>i</w:t>
      </w:r>
      <w:r>
        <w:rPr>
          <w:w w:val="100"/>
          <w:sz w:val="21"/>
        </w:rPr>
        <w:t>t</w:t>
      </w:r>
      <w:r>
        <w:rPr>
          <w:w w:val="100"/>
          <w:sz w:val="21"/>
        </w:rPr>
        <w:t>at</w:t>
      </w:r>
      <w:r>
        <w:rPr>
          <w:w w:val="100"/>
          <w:sz w:val="21"/>
        </w:rPr>
        <w:t>i</w:t>
      </w:r>
      <w:r>
        <w:rPr>
          <w:w w:val="100"/>
          <w:sz w:val="21"/>
        </w:rPr>
        <w:t>on</w:t>
      </w:r>
      <w:r>
        <w:rPr>
          <w:sz w:val="21"/>
        </w:rPr>
        <w:t> </w:t>
      </w:r>
      <w:r>
        <w:rPr>
          <w:w w:val="100"/>
          <w:sz w:val="21"/>
        </w:rPr>
        <w:t>i</w:t>
      </w:r>
      <w:r>
        <w:rPr>
          <w:w w:val="100"/>
          <w:sz w:val="21"/>
        </w:rPr>
        <w:t>t</w:t>
      </w:r>
      <w:r>
        <w:rPr>
          <w:sz w:val="21"/>
        </w:rPr>
        <w:t> </w:t>
      </w:r>
      <w:r>
        <w:rPr>
          <w:w w:val="100"/>
          <w:sz w:val="21"/>
        </w:rPr>
        <w:t>shou</w:t>
      </w:r>
      <w:r>
        <w:rPr>
          <w:w w:val="100"/>
          <w:sz w:val="21"/>
        </w:rPr>
        <w:t>l</w:t>
      </w:r>
      <w:r>
        <w:rPr>
          <w:w w:val="100"/>
          <w:sz w:val="21"/>
        </w:rPr>
        <w:t>d</w:t>
      </w:r>
      <w:r>
        <w:rPr>
          <w:sz w:val="21"/>
        </w:rPr>
        <w:t> </w:t>
      </w:r>
      <w:r>
        <w:rPr>
          <w:w w:val="100"/>
          <w:sz w:val="21"/>
        </w:rPr>
        <w:t>be</w:t>
      </w:r>
      <w:r>
        <w:rPr>
          <w:sz w:val="21"/>
        </w:rPr>
        <w:t> </w:t>
      </w:r>
      <w:r>
        <w:rPr>
          <w:w w:val="100"/>
          <w:sz w:val="21"/>
        </w:rPr>
        <w:t>c</w:t>
      </w:r>
      <w:r>
        <w:rPr>
          <w:w w:val="100"/>
          <w:sz w:val="21"/>
        </w:rPr>
        <w:t>ons</w:t>
      </w:r>
      <w:r>
        <w:rPr>
          <w:w w:val="100"/>
          <w:sz w:val="21"/>
        </w:rPr>
        <w:t>i</w:t>
      </w:r>
      <w:r>
        <w:rPr>
          <w:w w:val="100"/>
          <w:sz w:val="21"/>
        </w:rPr>
        <w:t>dered</w:t>
      </w:r>
      <w:r>
        <w:rPr>
          <w:sz w:val="21"/>
        </w:rPr>
        <w:t> </w:t>
      </w:r>
      <w:r>
        <w:rPr>
          <w:w w:val="100"/>
          <w:sz w:val="21"/>
        </w:rPr>
        <w:t>w</w:t>
      </w:r>
      <w:r>
        <w:rPr>
          <w:w w:val="100"/>
          <w:sz w:val="21"/>
        </w:rPr>
        <w:t>het</w:t>
      </w:r>
      <w:r>
        <w:rPr>
          <w:w w:val="100"/>
          <w:sz w:val="21"/>
        </w:rPr>
        <w:t>her</w:t>
      </w:r>
      <w:r>
        <w:rPr>
          <w:sz w:val="21"/>
        </w:rPr>
        <w:t> </w:t>
      </w:r>
      <w:r>
        <w:rPr>
          <w:w w:val="100"/>
          <w:sz w:val="21"/>
        </w:rPr>
        <w:t>sect</w:t>
      </w:r>
      <w:r>
        <w:rPr>
          <w:w w:val="100"/>
          <w:sz w:val="21"/>
        </w:rPr>
        <w:t>i</w:t>
      </w:r>
      <w:r>
        <w:rPr>
          <w:w w:val="100"/>
          <w:sz w:val="21"/>
        </w:rPr>
        <w:t>on</w:t>
      </w:r>
      <w:r>
        <w:rPr>
          <w:sz w:val="21"/>
        </w:rPr>
        <w:t> </w:t>
      </w:r>
      <w:r>
        <w:rPr>
          <w:w w:val="100"/>
          <w:sz w:val="21"/>
        </w:rPr>
        <w:t>7 </w:t>
      </w:r>
      <w:r>
        <w:rPr>
          <w:sz w:val="21"/>
        </w:rPr>
        <w:t>of the Limitation Act is not applicable to a suit to set aside an improper alienation by a sebait of the property belonging to a Hindu god. As the god is incapable of managing his property he should be deemed a perpetual minor for the purpose of limitation.‖</w:t>
      </w:r>
    </w:p>
    <w:p>
      <w:pPr>
        <w:pStyle w:val="BodyText"/>
        <w:spacing w:before="2"/>
        <w:rPr>
          <w:sz w:val="32"/>
        </w:rPr>
      </w:pPr>
    </w:p>
    <w:p>
      <w:pPr>
        <w:pStyle w:val="BodyText"/>
        <w:ind w:left="500"/>
      </w:pPr>
      <w:r>
        <w:rPr/>
        <w:t>The Division Bench, however, held:</w:t>
      </w:r>
    </w:p>
    <w:p>
      <w:pPr>
        <w:pStyle w:val="BodyText"/>
        <w:spacing w:before="4"/>
        <w:rPr>
          <w:sz w:val="28"/>
        </w:rPr>
      </w:pPr>
    </w:p>
    <w:p>
      <w:pPr>
        <w:spacing w:line="276" w:lineRule="auto" w:before="0"/>
        <w:ind w:left="1633" w:right="2261" w:firstLine="57"/>
        <w:jc w:val="both"/>
        <w:rPr>
          <w:sz w:val="21"/>
        </w:rPr>
      </w:pPr>
      <w:r>
        <w:rPr>
          <w:spacing w:val="-1"/>
          <w:w w:val="33"/>
          <w:sz w:val="21"/>
        </w:rPr>
        <w:t>―</w:t>
      </w:r>
      <w:r>
        <w:rPr>
          <w:spacing w:val="-5"/>
          <w:w w:val="100"/>
          <w:sz w:val="21"/>
        </w:rPr>
        <w:t>…</w:t>
      </w:r>
      <w:r>
        <w:rPr>
          <w:spacing w:val="6"/>
          <w:w w:val="100"/>
          <w:sz w:val="21"/>
        </w:rPr>
        <w:t>W</w:t>
      </w:r>
      <w:r>
        <w:rPr>
          <w:spacing w:val="-2"/>
          <w:w w:val="100"/>
          <w:sz w:val="21"/>
        </w:rPr>
        <w:t>it</w:t>
      </w:r>
      <w:r>
        <w:rPr>
          <w:w w:val="100"/>
          <w:sz w:val="21"/>
        </w:rPr>
        <w:t>h</w:t>
      </w:r>
      <w:r>
        <w:rPr>
          <w:sz w:val="21"/>
        </w:rPr>
        <w:t> </w:t>
      </w:r>
      <w:r>
        <w:rPr>
          <w:spacing w:val="-21"/>
          <w:sz w:val="21"/>
        </w:rPr>
        <w:t> </w:t>
      </w:r>
      <w:r>
        <w:rPr>
          <w:spacing w:val="-1"/>
          <w:w w:val="100"/>
          <w:sz w:val="21"/>
        </w:rPr>
        <w:t>res</w:t>
      </w:r>
      <w:r>
        <w:rPr>
          <w:spacing w:val="-3"/>
          <w:w w:val="100"/>
          <w:sz w:val="21"/>
        </w:rPr>
        <w:t>p</w:t>
      </w:r>
      <w:r>
        <w:rPr>
          <w:spacing w:val="-1"/>
          <w:w w:val="100"/>
          <w:sz w:val="21"/>
        </w:rPr>
        <w:t>ect</w:t>
      </w:r>
      <w:r>
        <w:rPr>
          <w:w w:val="100"/>
          <w:sz w:val="21"/>
        </w:rPr>
        <w:t>,</w:t>
      </w:r>
      <w:r>
        <w:rPr>
          <w:sz w:val="21"/>
        </w:rPr>
        <w:t> </w:t>
      </w:r>
      <w:r>
        <w:rPr>
          <w:spacing w:val="-22"/>
          <w:sz w:val="21"/>
        </w:rPr>
        <w:t> </w:t>
      </w:r>
      <w:r>
        <w:rPr>
          <w:w w:val="100"/>
          <w:sz w:val="21"/>
        </w:rPr>
        <w:t>it</w:t>
      </w:r>
      <w:r>
        <w:rPr>
          <w:sz w:val="21"/>
        </w:rPr>
        <w:t> </w:t>
      </w:r>
      <w:r>
        <w:rPr>
          <w:spacing w:val="-22"/>
          <w:sz w:val="21"/>
        </w:rPr>
        <w:t> </w:t>
      </w:r>
      <w:r>
        <w:rPr>
          <w:spacing w:val="1"/>
          <w:w w:val="100"/>
          <w:sz w:val="21"/>
        </w:rPr>
        <w:t>m</w:t>
      </w:r>
      <w:r>
        <w:rPr>
          <w:spacing w:val="-1"/>
          <w:w w:val="100"/>
          <w:sz w:val="21"/>
        </w:rPr>
        <w:t>a</w:t>
      </w:r>
      <w:r>
        <w:rPr>
          <w:w w:val="100"/>
          <w:sz w:val="21"/>
        </w:rPr>
        <w:t>y</w:t>
      </w:r>
      <w:r>
        <w:rPr>
          <w:sz w:val="21"/>
        </w:rPr>
        <w:t> </w:t>
      </w:r>
      <w:r>
        <w:rPr>
          <w:spacing w:val="-24"/>
          <w:sz w:val="21"/>
        </w:rPr>
        <w:t> </w:t>
      </w:r>
      <w:r>
        <w:rPr>
          <w:spacing w:val="-1"/>
          <w:w w:val="100"/>
          <w:sz w:val="21"/>
        </w:rPr>
        <w:t>b</w:t>
      </w:r>
      <w:r>
        <w:rPr>
          <w:w w:val="100"/>
          <w:sz w:val="21"/>
        </w:rPr>
        <w:t>e</w:t>
      </w:r>
      <w:r>
        <w:rPr>
          <w:sz w:val="21"/>
        </w:rPr>
        <w:t> </w:t>
      </w:r>
      <w:r>
        <w:rPr>
          <w:spacing w:val="-21"/>
          <w:sz w:val="21"/>
        </w:rPr>
        <w:t> </w:t>
      </w:r>
      <w:r>
        <w:rPr>
          <w:spacing w:val="-1"/>
          <w:w w:val="100"/>
          <w:sz w:val="21"/>
        </w:rPr>
        <w:t>pointe</w:t>
      </w:r>
      <w:r>
        <w:rPr>
          <w:w w:val="100"/>
          <w:sz w:val="21"/>
        </w:rPr>
        <w:t>d</w:t>
      </w:r>
      <w:r>
        <w:rPr>
          <w:sz w:val="21"/>
        </w:rPr>
        <w:t> </w:t>
      </w:r>
      <w:r>
        <w:rPr>
          <w:spacing w:val="-21"/>
          <w:sz w:val="21"/>
        </w:rPr>
        <w:t> </w:t>
      </w:r>
      <w:r>
        <w:rPr>
          <w:spacing w:val="-1"/>
          <w:w w:val="100"/>
          <w:sz w:val="21"/>
        </w:rPr>
        <w:t>ou</w:t>
      </w:r>
      <w:r>
        <w:rPr>
          <w:w w:val="100"/>
          <w:sz w:val="21"/>
        </w:rPr>
        <w:t>t</w:t>
      </w:r>
      <w:r>
        <w:rPr>
          <w:sz w:val="21"/>
        </w:rPr>
        <w:t> </w:t>
      </w:r>
      <w:r>
        <w:rPr>
          <w:spacing w:val="-22"/>
          <w:sz w:val="21"/>
        </w:rPr>
        <w:t> </w:t>
      </w:r>
      <w:r>
        <w:rPr>
          <w:spacing w:val="-2"/>
          <w:w w:val="100"/>
          <w:sz w:val="21"/>
        </w:rPr>
        <w:t>t</w:t>
      </w:r>
      <w:r>
        <w:rPr>
          <w:spacing w:val="-1"/>
          <w:w w:val="100"/>
          <w:sz w:val="21"/>
        </w:rPr>
        <w:t>ha</w:t>
      </w:r>
      <w:r>
        <w:rPr>
          <w:w w:val="100"/>
          <w:sz w:val="21"/>
        </w:rPr>
        <w:t>t</w:t>
      </w:r>
      <w:r>
        <w:rPr>
          <w:sz w:val="21"/>
        </w:rPr>
        <w:t> </w:t>
      </w:r>
      <w:r>
        <w:rPr>
          <w:spacing w:val="-22"/>
          <w:sz w:val="21"/>
        </w:rPr>
        <w:t> </w:t>
      </w:r>
      <w:r>
        <w:rPr>
          <w:w w:val="100"/>
          <w:sz w:val="21"/>
        </w:rPr>
        <w:t>in</w:t>
      </w:r>
      <w:r>
        <w:rPr>
          <w:sz w:val="21"/>
        </w:rPr>
        <w:t> </w:t>
      </w:r>
      <w:r>
        <w:rPr>
          <w:spacing w:val="-21"/>
          <w:sz w:val="21"/>
        </w:rPr>
        <w:t> </w:t>
      </w:r>
      <w:r>
        <w:rPr>
          <w:w w:val="100"/>
          <w:sz w:val="21"/>
        </w:rPr>
        <w:t>a</w:t>
      </w:r>
      <w:r>
        <w:rPr>
          <w:sz w:val="21"/>
        </w:rPr>
        <w:t> </w:t>
      </w:r>
      <w:r>
        <w:rPr>
          <w:spacing w:val="-24"/>
          <w:sz w:val="21"/>
        </w:rPr>
        <w:t> </w:t>
      </w:r>
      <w:r>
        <w:rPr>
          <w:spacing w:val="-2"/>
          <w:w w:val="100"/>
          <w:sz w:val="21"/>
        </w:rPr>
        <w:t>t</w:t>
      </w:r>
      <w:r>
        <w:rPr>
          <w:spacing w:val="-1"/>
          <w:w w:val="100"/>
          <w:sz w:val="21"/>
        </w:rPr>
        <w:t>rans</w:t>
      </w:r>
      <w:r>
        <w:rPr>
          <w:spacing w:val="1"/>
          <w:w w:val="100"/>
          <w:sz w:val="21"/>
        </w:rPr>
        <w:t>f</w:t>
      </w:r>
      <w:r>
        <w:rPr>
          <w:spacing w:val="-1"/>
          <w:w w:val="100"/>
          <w:sz w:val="21"/>
        </w:rPr>
        <w:t>e</w:t>
      </w:r>
      <w:r>
        <w:rPr>
          <w:w w:val="100"/>
          <w:sz w:val="21"/>
        </w:rPr>
        <w:t>r</w:t>
      </w:r>
      <w:r>
        <w:rPr>
          <w:sz w:val="21"/>
        </w:rPr>
        <w:t> </w:t>
      </w:r>
      <w:r>
        <w:rPr>
          <w:spacing w:val="-22"/>
          <w:sz w:val="21"/>
        </w:rPr>
        <w:t> </w:t>
      </w:r>
      <w:r>
        <w:rPr>
          <w:spacing w:val="-1"/>
          <w:w w:val="100"/>
          <w:sz w:val="21"/>
        </w:rPr>
        <w:t>b</w:t>
      </w:r>
      <w:r>
        <w:rPr>
          <w:w w:val="100"/>
          <w:sz w:val="21"/>
        </w:rPr>
        <w:t>y</w:t>
      </w:r>
      <w:r>
        <w:rPr>
          <w:sz w:val="21"/>
        </w:rPr>
        <w:t> </w:t>
      </w:r>
      <w:r>
        <w:rPr>
          <w:spacing w:val="-24"/>
          <w:sz w:val="21"/>
        </w:rPr>
        <w:t> </w:t>
      </w:r>
      <w:r>
        <w:rPr>
          <w:w w:val="100"/>
          <w:sz w:val="21"/>
        </w:rPr>
        <w:t>a </w:t>
      </w:r>
      <w:r>
        <w:rPr>
          <w:sz w:val="21"/>
        </w:rPr>
        <w:t>minor the question of a proper or improper alienation would not arise. Under the Contract Act a transfer by a minor would be void and   not   only    voidable: Mohori    Bibee v. Dharmodas   Ghose [(1902) I.L.R., 30 Calc., 539.]. If the rule were enforced the property of a god would not fetch any money in the market when need arose to transfer it for the benefit of the temple where the idol may be installed…We have clear authority, therefore, in refusing to accept the plaintiff's</w:t>
      </w:r>
      <w:r>
        <w:rPr>
          <w:spacing w:val="-12"/>
          <w:sz w:val="21"/>
        </w:rPr>
        <w:t> </w:t>
      </w:r>
      <w:r>
        <w:rPr>
          <w:sz w:val="21"/>
        </w:rPr>
        <w:t>argument.‖</w:t>
      </w:r>
    </w:p>
    <w:p>
      <w:pPr>
        <w:pStyle w:val="BodyText"/>
        <w:rPr>
          <w:sz w:val="24"/>
        </w:rPr>
      </w:pPr>
    </w:p>
    <w:p>
      <w:pPr>
        <w:pStyle w:val="BodyText"/>
        <w:spacing w:before="8"/>
        <w:rPr>
          <w:sz w:val="30"/>
        </w:rPr>
      </w:pPr>
    </w:p>
    <w:p>
      <w:pPr>
        <w:spacing w:line="477" w:lineRule="auto" w:before="0"/>
        <w:ind w:left="500" w:right="438" w:firstLine="0"/>
        <w:jc w:val="left"/>
        <w:rPr>
          <w:sz w:val="25"/>
        </w:rPr>
      </w:pPr>
      <w:r>
        <w:rPr>
          <w:sz w:val="25"/>
        </w:rPr>
        <w:t>In adopting this view, the Division Bench of the High Court relied on the decisions of the Privy Council in </w:t>
      </w:r>
      <w:r>
        <w:rPr>
          <w:b/>
          <w:sz w:val="25"/>
        </w:rPr>
        <w:t>Maharaja Jagadindra Nath </w:t>
      </w:r>
      <w:r>
        <w:rPr>
          <w:sz w:val="25"/>
        </w:rPr>
        <w:t>and in </w:t>
      </w:r>
      <w:r>
        <w:rPr>
          <w:b/>
          <w:sz w:val="25"/>
        </w:rPr>
        <w:t>Damodar Das</w:t>
      </w:r>
      <w:r>
        <w:rPr>
          <w:sz w:val="25"/>
        </w:rPr>
        <w:t>.</w:t>
      </w:r>
    </w:p>
    <w:p>
      <w:pPr>
        <w:pStyle w:val="BodyText"/>
        <w:spacing w:before="7"/>
      </w:pPr>
    </w:p>
    <w:p>
      <w:pPr>
        <w:pStyle w:val="ListParagraph"/>
        <w:numPr>
          <w:ilvl w:val="0"/>
          <w:numId w:val="111"/>
        </w:numPr>
        <w:tabs>
          <w:tab w:pos="1221" w:val="left" w:leader="none"/>
        </w:tabs>
        <w:spacing w:line="480" w:lineRule="auto" w:before="0" w:after="0"/>
        <w:ind w:left="500" w:right="436" w:firstLine="0"/>
        <w:jc w:val="both"/>
        <w:rPr>
          <w:sz w:val="25"/>
        </w:rPr>
      </w:pPr>
      <w:r>
        <w:rPr/>
        <w:pict>
          <v:rect style="position:absolute;margin-left:72.024002pt;margin-top:119.724823pt;width:144.020pt;height:.60004pt;mso-position-horizontal-relative:page;mso-position-vertical-relative:paragraph;z-index:-15658496;mso-wrap-distance-left:0;mso-wrap-distance-right:0" filled="true" fillcolor="#000000" stroked="false">
            <v:fill type="solid"/>
            <w10:wrap type="topAndBottom"/>
          </v:rect>
        </w:pict>
      </w:r>
      <w:r>
        <w:rPr>
          <w:sz w:val="25"/>
        </w:rPr>
        <w:t>The fiction of perpetual minority was adopted by a Division Bench of the Madras High Court in </w:t>
      </w:r>
      <w:r>
        <w:rPr>
          <w:b/>
          <w:sz w:val="25"/>
        </w:rPr>
        <w:t>Rama Reddy </w:t>
      </w:r>
      <w:r>
        <w:rPr>
          <w:sz w:val="25"/>
        </w:rPr>
        <w:t>v </w:t>
      </w:r>
      <w:r>
        <w:rPr>
          <w:b/>
          <w:sz w:val="25"/>
        </w:rPr>
        <w:t>Rangadasan</w:t>
      </w:r>
      <w:r>
        <w:rPr>
          <w:sz w:val="25"/>
          <w:vertAlign w:val="superscript"/>
        </w:rPr>
        <w:t>250</w:t>
      </w:r>
      <w:r>
        <w:rPr>
          <w:sz w:val="25"/>
          <w:vertAlign w:val="baseline"/>
        </w:rPr>
        <w:t>. In that case, the plaintiff had instituted a suit in 1918 as the pujari and trustee of the suit temple to recover possession</w:t>
      </w:r>
      <w:r>
        <w:rPr>
          <w:spacing w:val="22"/>
          <w:sz w:val="25"/>
          <w:vertAlign w:val="baseline"/>
        </w:rPr>
        <w:t> </w:t>
      </w:r>
      <w:r>
        <w:rPr>
          <w:sz w:val="25"/>
          <w:vertAlign w:val="baseline"/>
        </w:rPr>
        <w:t>of</w:t>
      </w:r>
      <w:r>
        <w:rPr>
          <w:spacing w:val="22"/>
          <w:sz w:val="25"/>
          <w:vertAlign w:val="baseline"/>
        </w:rPr>
        <w:t> </w:t>
      </w:r>
      <w:r>
        <w:rPr>
          <w:sz w:val="25"/>
          <w:vertAlign w:val="baseline"/>
        </w:rPr>
        <w:t>property</w:t>
      </w:r>
      <w:r>
        <w:rPr>
          <w:spacing w:val="20"/>
          <w:sz w:val="25"/>
          <w:vertAlign w:val="baseline"/>
        </w:rPr>
        <w:t> </w:t>
      </w:r>
      <w:r>
        <w:rPr>
          <w:sz w:val="25"/>
          <w:vertAlign w:val="baseline"/>
        </w:rPr>
        <w:t>granted</w:t>
      </w:r>
      <w:r>
        <w:rPr>
          <w:spacing w:val="22"/>
          <w:sz w:val="25"/>
          <w:vertAlign w:val="baseline"/>
        </w:rPr>
        <w:t> </w:t>
      </w:r>
      <w:r>
        <w:rPr>
          <w:sz w:val="25"/>
          <w:vertAlign w:val="baseline"/>
        </w:rPr>
        <w:t>to</w:t>
      </w:r>
      <w:r>
        <w:rPr>
          <w:spacing w:val="22"/>
          <w:sz w:val="25"/>
          <w:vertAlign w:val="baseline"/>
        </w:rPr>
        <w:t> </w:t>
      </w:r>
      <w:r>
        <w:rPr>
          <w:sz w:val="25"/>
          <w:vertAlign w:val="baseline"/>
        </w:rPr>
        <w:t>an</w:t>
      </w:r>
      <w:r>
        <w:rPr>
          <w:spacing w:val="21"/>
          <w:sz w:val="25"/>
          <w:vertAlign w:val="baseline"/>
        </w:rPr>
        <w:t> </w:t>
      </w:r>
      <w:r>
        <w:rPr>
          <w:sz w:val="25"/>
          <w:vertAlign w:val="baseline"/>
        </w:rPr>
        <w:t>ancestor</w:t>
      </w:r>
      <w:r>
        <w:rPr>
          <w:spacing w:val="23"/>
          <w:sz w:val="25"/>
          <w:vertAlign w:val="baseline"/>
        </w:rPr>
        <w:t> </w:t>
      </w:r>
      <w:r>
        <w:rPr>
          <w:sz w:val="25"/>
          <w:vertAlign w:val="baseline"/>
        </w:rPr>
        <w:t>of</w:t>
      </w:r>
      <w:r>
        <w:rPr>
          <w:spacing w:val="22"/>
          <w:sz w:val="25"/>
          <w:vertAlign w:val="baseline"/>
        </w:rPr>
        <w:t> </w:t>
      </w:r>
      <w:r>
        <w:rPr>
          <w:sz w:val="25"/>
          <w:vertAlign w:val="baseline"/>
        </w:rPr>
        <w:t>the</w:t>
      </w:r>
      <w:r>
        <w:rPr>
          <w:spacing w:val="23"/>
          <w:sz w:val="25"/>
          <w:vertAlign w:val="baseline"/>
        </w:rPr>
        <w:t> </w:t>
      </w:r>
      <w:r>
        <w:rPr>
          <w:sz w:val="25"/>
          <w:vertAlign w:val="baseline"/>
        </w:rPr>
        <w:t>plaintiff</w:t>
      </w:r>
      <w:r>
        <w:rPr>
          <w:spacing w:val="19"/>
          <w:sz w:val="25"/>
          <w:vertAlign w:val="baseline"/>
        </w:rPr>
        <w:t> </w:t>
      </w:r>
      <w:r>
        <w:rPr>
          <w:sz w:val="25"/>
          <w:vertAlign w:val="baseline"/>
        </w:rPr>
        <w:t>as</w:t>
      </w:r>
      <w:r>
        <w:rPr>
          <w:spacing w:val="20"/>
          <w:sz w:val="25"/>
          <w:vertAlign w:val="baseline"/>
        </w:rPr>
        <w:t> </w:t>
      </w:r>
      <w:r>
        <w:rPr>
          <w:sz w:val="25"/>
          <w:vertAlign w:val="baseline"/>
        </w:rPr>
        <w:t>manager</w:t>
      </w:r>
      <w:r>
        <w:rPr>
          <w:spacing w:val="20"/>
          <w:sz w:val="25"/>
          <w:vertAlign w:val="baseline"/>
        </w:rPr>
        <w:t> </w:t>
      </w:r>
      <w:r>
        <w:rPr>
          <w:sz w:val="25"/>
          <w:vertAlign w:val="baseline"/>
        </w:rPr>
        <w:t>of</w:t>
      </w:r>
      <w:r>
        <w:rPr>
          <w:spacing w:val="22"/>
          <w:sz w:val="25"/>
          <w:vertAlign w:val="baseline"/>
        </w:rPr>
        <w:t> </w:t>
      </w:r>
      <w:r>
        <w:rPr>
          <w:sz w:val="25"/>
          <w:vertAlign w:val="baseline"/>
        </w:rPr>
        <w:t>the</w:t>
      </w:r>
    </w:p>
    <w:p>
      <w:pPr>
        <w:spacing w:line="207" w:lineRule="exact" w:before="81"/>
        <w:ind w:left="500" w:right="0" w:firstLine="0"/>
        <w:jc w:val="left"/>
        <w:rPr>
          <w:sz w:val="18"/>
        </w:rPr>
      </w:pPr>
      <w:r>
        <w:rPr>
          <w:sz w:val="18"/>
          <w:vertAlign w:val="superscript"/>
        </w:rPr>
        <w:t>248</w:t>
      </w:r>
      <w:r>
        <w:rPr>
          <w:sz w:val="18"/>
          <w:vertAlign w:val="baseline"/>
        </w:rPr>
        <w:t> AIR 1926 All 392</w:t>
      </w:r>
    </w:p>
    <w:p>
      <w:pPr>
        <w:spacing w:line="207" w:lineRule="exact" w:before="0"/>
        <w:ind w:left="500" w:right="0" w:firstLine="0"/>
        <w:jc w:val="left"/>
        <w:rPr>
          <w:sz w:val="18"/>
        </w:rPr>
      </w:pPr>
      <w:r>
        <w:rPr>
          <w:sz w:val="18"/>
          <w:vertAlign w:val="superscript"/>
        </w:rPr>
        <w:t>249</w:t>
      </w:r>
      <w:r>
        <w:rPr>
          <w:sz w:val="18"/>
          <w:vertAlign w:val="baseline"/>
        </w:rPr>
        <w:t> Chapter XIV, 5th edition at page 726.</w:t>
      </w:r>
    </w:p>
    <w:p>
      <w:pPr>
        <w:spacing w:before="1"/>
        <w:ind w:left="500" w:right="0" w:firstLine="0"/>
        <w:jc w:val="left"/>
        <w:rPr>
          <w:sz w:val="18"/>
        </w:rPr>
      </w:pPr>
      <w:r>
        <w:rPr>
          <w:sz w:val="18"/>
          <w:vertAlign w:val="superscript"/>
        </w:rPr>
        <w:t>250</w:t>
      </w:r>
      <w:r>
        <w:rPr>
          <w:sz w:val="18"/>
          <w:vertAlign w:val="baseline"/>
        </w:rPr>
        <w:t> AIR 1926 Mad 769</w:t>
      </w:r>
    </w:p>
    <w:p>
      <w:pPr>
        <w:spacing w:after="0"/>
        <w:jc w:val="left"/>
        <w:rPr>
          <w:sz w:val="18"/>
        </w:rPr>
        <w:sectPr>
          <w:pgSz w:w="11910" w:h="16840"/>
          <w:pgMar w:header="721" w:footer="1014" w:top="1300" w:bottom="1200" w:left="940" w:right="1000"/>
        </w:sectPr>
      </w:pPr>
    </w:p>
    <w:p>
      <w:pPr>
        <w:pStyle w:val="BodyText"/>
        <w:spacing w:line="480" w:lineRule="auto" w:before="124"/>
        <w:ind w:left="500" w:right="436"/>
        <w:jc w:val="both"/>
      </w:pPr>
      <w:r>
        <w:rPr/>
        <w:t>temple. The disputed property had been sold by defendant nos 1 and 2 (the father and uncle of the plaintiff) to defendant no 3 in 1893. It was the contention of the plaintiff that the property had been granted as service inam to their family for rendering service as a pujari and the alienation was not valid. The District Munsif dismissed the suit as barred by limitation and on appeal, the Subordinate Judge reversed and remanded the suit. The District Munsif again dismissed the suit and on appeal, the District Judge confirmed the decree. The lower appellate court found that the plaintiff was the pujari or trustee of the suit property and held that the suit property was attached to the temple. The plaintiff preferred a second appeal, which was heard by a Single Judge, who held that the suit was not  barred by limitation. In a Letters Patent Appeal preferred against the decree of the Single Judge, the Division Bench was to determine whether the suit was barred by Article 134 or 144 of the Limitation</w:t>
      </w:r>
      <w:r>
        <w:rPr>
          <w:spacing w:val="-8"/>
        </w:rPr>
        <w:t> </w:t>
      </w:r>
      <w:r>
        <w:rPr/>
        <w:t>Act.</w:t>
      </w:r>
    </w:p>
    <w:p>
      <w:pPr>
        <w:pStyle w:val="BodyText"/>
        <w:spacing w:before="9"/>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pict>
          <v:rect style="position:absolute;margin-left:72.024002pt;margin-top:285.734863pt;width:144.020pt;height:.599980pt;mso-position-horizontal-relative:page;mso-position-vertical-relative:paragraph;z-index:15799296" filled="true" fillcolor="#000000" stroked="false">
            <v:fill type="solid"/>
            <w10:wrap type="none"/>
          </v:rect>
        </w:pict>
      </w:r>
      <w:r>
        <w:rPr>
          <w:sz w:val="25"/>
        </w:rPr>
        <w:t>The High Court noted the decision in </w:t>
      </w:r>
      <w:r>
        <w:rPr>
          <w:b/>
          <w:sz w:val="25"/>
        </w:rPr>
        <w:t>Vidya Varuthi Thirtha </w:t>
      </w:r>
      <w:r>
        <w:rPr>
          <w:sz w:val="25"/>
        </w:rPr>
        <w:t>v </w:t>
      </w:r>
      <w:r>
        <w:rPr>
          <w:b/>
          <w:sz w:val="25"/>
        </w:rPr>
        <w:t>Balusami Ayyar</w:t>
      </w:r>
      <w:r>
        <w:rPr>
          <w:sz w:val="25"/>
          <w:vertAlign w:val="superscript"/>
        </w:rPr>
        <w:t>251</w:t>
      </w:r>
      <w:r>
        <w:rPr>
          <w:sz w:val="25"/>
          <w:vertAlign w:val="baseline"/>
        </w:rPr>
        <w:t> where the Privy Council held that a permanent lease of mutt property could not create any interest in the property to subsist beyond the life of the grantor and consequently, Article 134 would not apply to a suit brought by the successor of the grantor for the recovery of the property. The High Court held  that a trustee cannot convey a valid title to the transferee, hence Article 134 would not apply. The High Court noted that the principle of adverse possession would apply to cases where a person who could assert his title does not do so within the period stipulated under Article 144 of the Limitation Act. With respect  to the property of an idol, Justice Devadoss held</w:t>
      </w:r>
      <w:r>
        <w:rPr>
          <w:spacing w:val="-7"/>
          <w:sz w:val="25"/>
          <w:vertAlign w:val="baseline"/>
        </w:rPr>
        <w:t> </w:t>
      </w:r>
      <w:r>
        <w:rPr>
          <w:sz w:val="25"/>
          <w:vertAlign w:val="baseline"/>
        </w:rPr>
        <w:t>thus:</w:t>
      </w:r>
    </w:p>
    <w:p>
      <w:pPr>
        <w:spacing w:before="87"/>
        <w:ind w:left="500" w:right="0" w:firstLine="0"/>
        <w:jc w:val="left"/>
        <w:rPr>
          <w:sz w:val="18"/>
        </w:rPr>
      </w:pPr>
      <w:r>
        <w:rPr>
          <w:sz w:val="18"/>
          <w:vertAlign w:val="superscript"/>
        </w:rPr>
        <w:t>251</w:t>
      </w:r>
      <w:r>
        <w:rPr>
          <w:sz w:val="18"/>
          <w:vertAlign w:val="baseline"/>
        </w:rPr>
        <w:t> AIR 1922 PC 123</w:t>
      </w:r>
    </w:p>
    <w:p>
      <w:pPr>
        <w:spacing w:after="0"/>
        <w:jc w:val="left"/>
        <w:rPr>
          <w:sz w:val="18"/>
        </w:rPr>
        <w:sectPr>
          <w:pgSz w:w="11910" w:h="16840"/>
          <w:pgMar w:header="721" w:footer="1014" w:top="1300" w:bottom="1200" w:left="940" w:right="1000"/>
        </w:sectPr>
      </w:pPr>
    </w:p>
    <w:p>
      <w:pPr>
        <w:pStyle w:val="BodyText"/>
        <w:spacing w:before="6"/>
        <w:rPr>
          <w:sz w:val="27"/>
        </w:rPr>
      </w:pPr>
    </w:p>
    <w:p>
      <w:pPr>
        <w:spacing w:line="276" w:lineRule="auto" w:before="94"/>
        <w:ind w:left="2202" w:right="2264" w:firstLine="0"/>
        <w:jc w:val="both"/>
        <w:rPr>
          <w:sz w:val="21"/>
        </w:rPr>
      </w:pPr>
      <w:r>
        <w:rPr>
          <w:spacing w:val="-1"/>
          <w:w w:val="33"/>
          <w:sz w:val="21"/>
        </w:rPr>
        <w:t>―</w:t>
      </w:r>
      <w:r>
        <w:rPr>
          <w:w w:val="100"/>
          <w:sz w:val="21"/>
        </w:rPr>
        <w:t>The</w:t>
      </w:r>
      <w:r>
        <w:rPr>
          <w:spacing w:val="6"/>
          <w:sz w:val="21"/>
        </w:rPr>
        <w:t> </w:t>
      </w:r>
      <w:r>
        <w:rPr>
          <w:spacing w:val="-2"/>
          <w:w w:val="100"/>
          <w:sz w:val="21"/>
        </w:rPr>
        <w:t>l</w:t>
      </w:r>
      <w:r>
        <w:rPr>
          <w:spacing w:val="-1"/>
          <w:w w:val="100"/>
          <w:sz w:val="21"/>
        </w:rPr>
        <w:t>eg</w:t>
      </w:r>
      <w:r>
        <w:rPr>
          <w:spacing w:val="-2"/>
          <w:w w:val="100"/>
          <w:sz w:val="21"/>
        </w:rPr>
        <w:t>a</w:t>
      </w:r>
      <w:r>
        <w:rPr>
          <w:w w:val="100"/>
          <w:sz w:val="21"/>
        </w:rPr>
        <w:t>l</w:t>
      </w:r>
      <w:r>
        <w:rPr>
          <w:spacing w:val="4"/>
          <w:sz w:val="21"/>
        </w:rPr>
        <w:t> </w:t>
      </w:r>
      <w:r>
        <w:rPr>
          <w:spacing w:val="1"/>
          <w:w w:val="100"/>
          <w:sz w:val="21"/>
        </w:rPr>
        <w:t>f</w:t>
      </w:r>
      <w:r>
        <w:rPr>
          <w:w w:val="100"/>
          <w:sz w:val="21"/>
        </w:rPr>
        <w:t>ic</w:t>
      </w:r>
      <w:r>
        <w:rPr>
          <w:spacing w:val="-4"/>
          <w:w w:val="100"/>
          <w:sz w:val="21"/>
        </w:rPr>
        <w:t>t</w:t>
      </w:r>
      <w:r>
        <w:rPr>
          <w:w w:val="100"/>
          <w:sz w:val="21"/>
        </w:rPr>
        <w:t>i</w:t>
      </w:r>
      <w:r>
        <w:rPr>
          <w:spacing w:val="-1"/>
          <w:w w:val="100"/>
          <w:sz w:val="21"/>
        </w:rPr>
        <w:t>o</w:t>
      </w:r>
      <w:r>
        <w:rPr>
          <w:w w:val="100"/>
          <w:sz w:val="21"/>
        </w:rPr>
        <w:t>n</w:t>
      </w:r>
      <w:r>
        <w:rPr>
          <w:spacing w:val="4"/>
          <w:sz w:val="21"/>
        </w:rPr>
        <w:t> </w:t>
      </w:r>
      <w:r>
        <w:rPr>
          <w:w w:val="100"/>
          <w:sz w:val="21"/>
        </w:rPr>
        <w:t>is</w:t>
      </w:r>
      <w:r>
        <w:rPr>
          <w:spacing w:val="6"/>
          <w:sz w:val="21"/>
        </w:rPr>
        <w:t> </w:t>
      </w:r>
      <w:r>
        <w:rPr>
          <w:spacing w:val="-2"/>
          <w:w w:val="100"/>
          <w:sz w:val="21"/>
        </w:rPr>
        <w:t>t</w:t>
      </w:r>
      <w:r>
        <w:rPr>
          <w:spacing w:val="-1"/>
          <w:w w:val="100"/>
          <w:sz w:val="21"/>
        </w:rPr>
        <w:t>ha</w:t>
      </w:r>
      <w:r>
        <w:rPr>
          <w:w w:val="100"/>
          <w:sz w:val="21"/>
        </w:rPr>
        <w:t>t</w:t>
      </w:r>
      <w:r>
        <w:rPr>
          <w:spacing w:val="5"/>
          <w:sz w:val="21"/>
        </w:rPr>
        <w:t> </w:t>
      </w:r>
      <w:r>
        <w:rPr>
          <w:spacing w:val="-3"/>
          <w:w w:val="100"/>
          <w:sz w:val="21"/>
        </w:rPr>
        <w:t>a</w:t>
      </w:r>
      <w:r>
        <w:rPr>
          <w:w w:val="100"/>
          <w:sz w:val="21"/>
        </w:rPr>
        <w:t>n</w:t>
      </w:r>
      <w:r>
        <w:rPr>
          <w:spacing w:val="6"/>
          <w:sz w:val="21"/>
        </w:rPr>
        <w:t> </w:t>
      </w:r>
      <w:r>
        <w:rPr>
          <w:w w:val="100"/>
          <w:sz w:val="21"/>
        </w:rPr>
        <w:t>i</w:t>
      </w:r>
      <w:r>
        <w:rPr>
          <w:spacing w:val="-1"/>
          <w:w w:val="100"/>
          <w:sz w:val="21"/>
        </w:rPr>
        <w:t>d</w:t>
      </w:r>
      <w:r>
        <w:rPr>
          <w:spacing w:val="-3"/>
          <w:w w:val="100"/>
          <w:sz w:val="21"/>
        </w:rPr>
        <w:t>o</w:t>
      </w:r>
      <w:r>
        <w:rPr>
          <w:w w:val="100"/>
          <w:sz w:val="21"/>
        </w:rPr>
        <w:t>l</w:t>
      </w:r>
      <w:r>
        <w:rPr>
          <w:spacing w:val="7"/>
          <w:sz w:val="21"/>
        </w:rPr>
        <w:t> </w:t>
      </w:r>
      <w:r>
        <w:rPr>
          <w:spacing w:val="-2"/>
          <w:w w:val="100"/>
          <w:sz w:val="21"/>
        </w:rPr>
        <w:t>i</w:t>
      </w:r>
      <w:r>
        <w:rPr>
          <w:w w:val="100"/>
          <w:sz w:val="21"/>
        </w:rPr>
        <w:t>s</w:t>
      </w:r>
      <w:r>
        <w:rPr>
          <w:spacing w:val="6"/>
          <w:sz w:val="21"/>
        </w:rPr>
        <w:t> </w:t>
      </w:r>
      <w:r>
        <w:rPr>
          <w:w w:val="100"/>
          <w:sz w:val="21"/>
        </w:rPr>
        <w:t>a</w:t>
      </w:r>
      <w:r>
        <w:rPr>
          <w:spacing w:val="3"/>
          <w:sz w:val="21"/>
        </w:rPr>
        <w:t> </w:t>
      </w:r>
      <w:r>
        <w:rPr>
          <w:spacing w:val="1"/>
          <w:w w:val="100"/>
          <w:sz w:val="21"/>
        </w:rPr>
        <w:t>m</w:t>
      </w:r>
      <w:r>
        <w:rPr>
          <w:spacing w:val="-2"/>
          <w:w w:val="100"/>
          <w:sz w:val="21"/>
        </w:rPr>
        <w:t>i</w:t>
      </w:r>
      <w:r>
        <w:rPr>
          <w:spacing w:val="-1"/>
          <w:w w:val="100"/>
          <w:sz w:val="21"/>
        </w:rPr>
        <w:t>no</w:t>
      </w:r>
      <w:r>
        <w:rPr>
          <w:w w:val="100"/>
          <w:sz w:val="21"/>
        </w:rPr>
        <w:t>r</w:t>
      </w:r>
      <w:r>
        <w:rPr>
          <w:spacing w:val="5"/>
          <w:sz w:val="21"/>
        </w:rPr>
        <w:t> </w:t>
      </w:r>
      <w:r>
        <w:rPr>
          <w:spacing w:val="-2"/>
          <w:w w:val="100"/>
          <w:sz w:val="21"/>
        </w:rPr>
        <w:t>f</w:t>
      </w:r>
      <w:r>
        <w:rPr>
          <w:spacing w:val="-1"/>
          <w:w w:val="100"/>
          <w:sz w:val="21"/>
        </w:rPr>
        <w:t>o</w:t>
      </w:r>
      <w:r>
        <w:rPr>
          <w:w w:val="100"/>
          <w:sz w:val="21"/>
        </w:rPr>
        <w:t>r</w:t>
      </w:r>
      <w:r>
        <w:rPr>
          <w:spacing w:val="5"/>
          <w:sz w:val="21"/>
        </w:rPr>
        <w:t> </w:t>
      </w:r>
      <w:r>
        <w:rPr>
          <w:spacing w:val="-1"/>
          <w:w w:val="100"/>
          <w:sz w:val="21"/>
        </w:rPr>
        <w:t>a</w:t>
      </w:r>
      <w:r>
        <w:rPr>
          <w:spacing w:val="-2"/>
          <w:w w:val="100"/>
          <w:sz w:val="21"/>
        </w:rPr>
        <w:t>l</w:t>
      </w:r>
      <w:r>
        <w:rPr>
          <w:w w:val="100"/>
          <w:sz w:val="21"/>
        </w:rPr>
        <w:t>l</w:t>
      </w:r>
      <w:r>
        <w:rPr>
          <w:spacing w:val="7"/>
          <w:sz w:val="21"/>
        </w:rPr>
        <w:t> </w:t>
      </w:r>
      <w:r>
        <w:rPr>
          <w:spacing w:val="-2"/>
          <w:w w:val="100"/>
          <w:sz w:val="21"/>
        </w:rPr>
        <w:t>ti</w:t>
      </w:r>
      <w:r>
        <w:rPr>
          <w:spacing w:val="-1"/>
          <w:w w:val="100"/>
          <w:sz w:val="21"/>
        </w:rPr>
        <w:t>m</w:t>
      </w:r>
      <w:r>
        <w:rPr>
          <w:w w:val="100"/>
          <w:sz w:val="21"/>
        </w:rPr>
        <w:t>e</w:t>
      </w:r>
      <w:r>
        <w:rPr>
          <w:spacing w:val="6"/>
          <w:sz w:val="21"/>
        </w:rPr>
        <w:t> </w:t>
      </w:r>
      <w:r>
        <w:rPr>
          <w:spacing w:val="-1"/>
          <w:w w:val="100"/>
          <w:sz w:val="21"/>
        </w:rPr>
        <w:t>an</w:t>
      </w:r>
      <w:r>
        <w:rPr>
          <w:w w:val="100"/>
          <w:sz w:val="21"/>
        </w:rPr>
        <w:t>d</w:t>
      </w:r>
      <w:r>
        <w:rPr>
          <w:spacing w:val="4"/>
          <w:sz w:val="21"/>
        </w:rPr>
        <w:t> </w:t>
      </w:r>
      <w:r>
        <w:rPr>
          <w:w w:val="100"/>
          <w:sz w:val="21"/>
        </w:rPr>
        <w:t>it </w:t>
      </w:r>
      <w:r>
        <w:rPr>
          <w:sz w:val="21"/>
        </w:rPr>
        <w:t>has to be under perpetual tutelage and that being so, it cannot be said that the idol can ever acquire majority, and a person who acquires title from a trustee of a temple cannot acquire any title adverse to the idol, for the idol is an infant for all time and the succeeding trustee could recover the property for the idol for any</w:t>
      </w:r>
      <w:r>
        <w:rPr>
          <w:spacing w:val="-19"/>
          <w:sz w:val="21"/>
        </w:rPr>
        <w:t> </w:t>
      </w:r>
      <w:r>
        <w:rPr>
          <w:sz w:val="21"/>
        </w:rPr>
        <w:t>time.‖</w:t>
      </w:r>
    </w:p>
    <w:p>
      <w:pPr>
        <w:pStyle w:val="BodyText"/>
        <w:rPr>
          <w:sz w:val="24"/>
        </w:rPr>
      </w:pPr>
    </w:p>
    <w:p>
      <w:pPr>
        <w:pStyle w:val="BodyText"/>
        <w:spacing w:before="2"/>
      </w:pPr>
    </w:p>
    <w:p>
      <w:pPr>
        <w:pStyle w:val="BodyText"/>
        <w:spacing w:line="480" w:lineRule="auto"/>
        <w:ind w:left="500" w:right="443"/>
        <w:jc w:val="both"/>
      </w:pPr>
      <w:r>
        <w:rPr/>
        <w:t>The High Court held that the manager cannot set up an adverse title to the property of the idol. It was concluded that in consequence, the manager by his act cannot allow a person who derives title from him to assert an adverse</w:t>
      </w:r>
      <w:r>
        <w:rPr>
          <w:spacing w:val="-23"/>
        </w:rPr>
        <w:t> </w:t>
      </w:r>
      <w:r>
        <w:rPr/>
        <w:t>title.</w:t>
      </w:r>
    </w:p>
    <w:p>
      <w:pPr>
        <w:pStyle w:val="BodyText"/>
        <w:spacing w:before="11"/>
        <w:rPr>
          <w:sz w:val="24"/>
        </w:rPr>
      </w:pPr>
    </w:p>
    <w:p>
      <w:pPr>
        <w:pStyle w:val="BodyText"/>
        <w:spacing w:line="480" w:lineRule="auto"/>
        <w:ind w:left="500" w:right="436"/>
        <w:jc w:val="both"/>
      </w:pPr>
      <w:r>
        <w:rPr/>
        <w:t>In </w:t>
      </w:r>
      <w:r>
        <w:rPr>
          <w:b/>
        </w:rPr>
        <w:t>Surendrakrishna Roy </w:t>
      </w:r>
      <w:r>
        <w:rPr/>
        <w:t>v </w:t>
      </w:r>
      <w:r>
        <w:rPr>
          <w:b/>
        </w:rPr>
        <w:t>Shree Shree Ishwar Bhubaneshwari Thakurani</w:t>
      </w:r>
      <w:r>
        <w:rPr>
          <w:vertAlign w:val="superscript"/>
        </w:rPr>
        <w:t>252</w:t>
      </w:r>
      <w:r>
        <w:rPr>
          <w:vertAlign w:val="baseline"/>
        </w:rPr>
        <w:t>, a Division Bench of the Calcutta High Court held that when the property dedicated to an idol has been held adversely to another and there is no fiduciary relationship with the idol, limitation would run and be governed by Article 144 of the Act. Chief Justice Rankin, on the issue of perpetual minority, held</w:t>
      </w:r>
      <w:r>
        <w:rPr>
          <w:spacing w:val="-13"/>
          <w:vertAlign w:val="baseline"/>
        </w:rPr>
        <w:t> </w:t>
      </w:r>
      <w:r>
        <w:rPr>
          <w:vertAlign w:val="baseline"/>
        </w:rPr>
        <w:t>thus:</w:t>
      </w:r>
    </w:p>
    <w:p>
      <w:pPr>
        <w:spacing w:line="276" w:lineRule="auto" w:before="160"/>
        <w:ind w:left="1940" w:right="2254" w:firstLine="0"/>
        <w:jc w:val="both"/>
        <w:rPr>
          <w:sz w:val="21"/>
        </w:rPr>
      </w:pPr>
      <w:r>
        <w:rPr>
          <w:spacing w:val="-1"/>
          <w:w w:val="33"/>
          <w:sz w:val="21"/>
        </w:rPr>
        <w:t>―</w:t>
      </w:r>
      <w:r>
        <w:rPr>
          <w:spacing w:val="-1"/>
          <w:w w:val="100"/>
          <w:sz w:val="21"/>
        </w:rPr>
        <w:t>21</w:t>
      </w:r>
      <w:r>
        <w:rPr>
          <w:w w:val="100"/>
          <w:sz w:val="21"/>
        </w:rPr>
        <w:t>.</w:t>
      </w:r>
      <w:r>
        <w:rPr>
          <w:spacing w:val="-2"/>
          <w:sz w:val="21"/>
        </w:rPr>
        <w:t> </w:t>
      </w:r>
      <w:r>
        <w:rPr>
          <w:b/>
          <w:w w:val="100"/>
          <w:sz w:val="21"/>
        </w:rPr>
        <w:t>Th</w:t>
      </w:r>
      <w:r>
        <w:rPr>
          <w:b/>
          <w:w w:val="100"/>
          <w:sz w:val="21"/>
        </w:rPr>
        <w:t>e</w:t>
      </w:r>
      <w:r>
        <w:rPr>
          <w:b/>
          <w:sz w:val="21"/>
        </w:rPr>
        <w:t> </w:t>
      </w:r>
      <w:r>
        <w:rPr>
          <w:b/>
          <w:spacing w:val="-28"/>
          <w:sz w:val="21"/>
        </w:rPr>
        <w:t> </w:t>
      </w:r>
      <w:r>
        <w:rPr>
          <w:b/>
          <w:spacing w:val="-2"/>
          <w:w w:val="100"/>
          <w:sz w:val="21"/>
        </w:rPr>
        <w:t>d</w:t>
      </w:r>
      <w:r>
        <w:rPr>
          <w:b/>
          <w:w w:val="100"/>
          <w:sz w:val="21"/>
        </w:rPr>
        <w:t>oc</w:t>
      </w:r>
      <w:r>
        <w:rPr>
          <w:b/>
          <w:spacing w:val="-1"/>
          <w:w w:val="100"/>
          <w:sz w:val="21"/>
        </w:rPr>
        <w:t>t</w:t>
      </w:r>
      <w:r>
        <w:rPr>
          <w:b/>
          <w:w w:val="100"/>
          <w:sz w:val="21"/>
        </w:rPr>
        <w:t>r</w:t>
      </w:r>
      <w:r>
        <w:rPr>
          <w:b/>
          <w:spacing w:val="-2"/>
          <w:w w:val="100"/>
          <w:sz w:val="21"/>
        </w:rPr>
        <w:t>i</w:t>
      </w:r>
      <w:r>
        <w:rPr>
          <w:b/>
          <w:spacing w:val="-2"/>
          <w:w w:val="100"/>
          <w:sz w:val="21"/>
        </w:rPr>
        <w:t>n</w:t>
      </w:r>
      <w:r>
        <w:rPr>
          <w:b/>
          <w:w w:val="100"/>
          <w:sz w:val="21"/>
        </w:rPr>
        <w:t>e</w:t>
      </w:r>
      <w:r>
        <w:rPr>
          <w:b/>
          <w:sz w:val="21"/>
        </w:rPr>
        <w:t> </w:t>
      </w:r>
      <w:r>
        <w:rPr>
          <w:b/>
          <w:spacing w:val="-26"/>
          <w:sz w:val="21"/>
        </w:rPr>
        <w:t> </w:t>
      </w:r>
      <w:r>
        <w:rPr>
          <w:b/>
          <w:spacing w:val="-4"/>
          <w:w w:val="100"/>
          <w:sz w:val="21"/>
        </w:rPr>
        <w:t>t</w:t>
      </w:r>
      <w:r>
        <w:rPr>
          <w:b/>
          <w:w w:val="100"/>
          <w:sz w:val="21"/>
        </w:rPr>
        <w:t>ha</w:t>
      </w:r>
      <w:r>
        <w:rPr>
          <w:b/>
          <w:w w:val="100"/>
          <w:sz w:val="21"/>
        </w:rPr>
        <w:t>t</w:t>
      </w:r>
      <w:r>
        <w:rPr>
          <w:b/>
          <w:sz w:val="21"/>
        </w:rPr>
        <w:t> </w:t>
      </w:r>
      <w:r>
        <w:rPr>
          <w:b/>
          <w:spacing w:val="-29"/>
          <w:sz w:val="21"/>
        </w:rPr>
        <w:t> </w:t>
      </w:r>
      <w:r>
        <w:rPr>
          <w:b/>
          <w:spacing w:val="-3"/>
          <w:w w:val="100"/>
          <w:sz w:val="21"/>
        </w:rPr>
        <w:t>a</w:t>
      </w:r>
      <w:r>
        <w:rPr>
          <w:b/>
          <w:w w:val="100"/>
          <w:sz w:val="21"/>
        </w:rPr>
        <w:t>n</w:t>
      </w:r>
      <w:r>
        <w:rPr>
          <w:b/>
          <w:sz w:val="21"/>
        </w:rPr>
        <w:t> </w:t>
      </w:r>
      <w:r>
        <w:rPr>
          <w:b/>
          <w:spacing w:val="-26"/>
          <w:sz w:val="21"/>
        </w:rPr>
        <w:t> </w:t>
      </w:r>
      <w:r>
        <w:rPr>
          <w:b/>
          <w:spacing w:val="-2"/>
          <w:w w:val="100"/>
          <w:sz w:val="21"/>
        </w:rPr>
        <w:t>id</w:t>
      </w:r>
      <w:r>
        <w:rPr>
          <w:b/>
          <w:w w:val="100"/>
          <w:sz w:val="21"/>
        </w:rPr>
        <w:t>ol</w:t>
      </w:r>
      <w:r>
        <w:rPr>
          <w:b/>
          <w:sz w:val="21"/>
        </w:rPr>
        <w:t> </w:t>
      </w:r>
      <w:r>
        <w:rPr>
          <w:b/>
          <w:spacing w:val="-27"/>
          <w:sz w:val="21"/>
        </w:rPr>
        <w:t> </w:t>
      </w:r>
      <w:r>
        <w:rPr>
          <w:b/>
          <w:spacing w:val="-2"/>
          <w:w w:val="100"/>
          <w:sz w:val="21"/>
        </w:rPr>
        <w:t>i</w:t>
      </w:r>
      <w:r>
        <w:rPr>
          <w:b/>
          <w:w w:val="100"/>
          <w:sz w:val="21"/>
        </w:rPr>
        <w:t>s</w:t>
      </w:r>
      <w:r>
        <w:rPr>
          <w:b/>
          <w:sz w:val="21"/>
        </w:rPr>
        <w:t> </w:t>
      </w:r>
      <w:r>
        <w:rPr>
          <w:b/>
          <w:spacing w:val="-28"/>
          <w:sz w:val="21"/>
        </w:rPr>
        <w:t> </w:t>
      </w:r>
      <w:r>
        <w:rPr>
          <w:b/>
          <w:w w:val="100"/>
          <w:sz w:val="21"/>
        </w:rPr>
        <w:t>a</w:t>
      </w:r>
      <w:r>
        <w:rPr>
          <w:b/>
          <w:sz w:val="21"/>
        </w:rPr>
        <w:t> </w:t>
      </w:r>
      <w:r>
        <w:rPr>
          <w:b/>
          <w:spacing w:val="-28"/>
          <w:sz w:val="21"/>
        </w:rPr>
        <w:t> </w:t>
      </w:r>
      <w:r>
        <w:rPr>
          <w:b/>
          <w:w w:val="100"/>
          <w:sz w:val="21"/>
        </w:rPr>
        <w:t>pe</w:t>
      </w:r>
      <w:r>
        <w:rPr>
          <w:b/>
          <w:spacing w:val="-3"/>
          <w:w w:val="100"/>
          <w:sz w:val="21"/>
        </w:rPr>
        <w:t>r</w:t>
      </w:r>
      <w:r>
        <w:rPr>
          <w:b/>
          <w:w w:val="100"/>
          <w:sz w:val="21"/>
        </w:rPr>
        <w:t>pe</w:t>
      </w:r>
      <w:r>
        <w:rPr>
          <w:b/>
          <w:spacing w:val="-1"/>
          <w:w w:val="100"/>
          <w:sz w:val="21"/>
        </w:rPr>
        <w:t>t</w:t>
      </w:r>
      <w:r>
        <w:rPr>
          <w:b/>
          <w:spacing w:val="-2"/>
          <w:w w:val="100"/>
          <w:sz w:val="21"/>
        </w:rPr>
        <w:t>u</w:t>
      </w:r>
      <w:r>
        <w:rPr>
          <w:b/>
          <w:w w:val="100"/>
          <w:sz w:val="21"/>
        </w:rPr>
        <w:t>al</w:t>
      </w:r>
      <w:r>
        <w:rPr>
          <w:b/>
          <w:sz w:val="21"/>
        </w:rPr>
        <w:t> </w:t>
      </w:r>
      <w:r>
        <w:rPr>
          <w:b/>
          <w:spacing w:val="-27"/>
          <w:sz w:val="21"/>
        </w:rPr>
        <w:t> </w:t>
      </w:r>
      <w:r>
        <w:rPr>
          <w:b/>
          <w:w w:val="100"/>
          <w:sz w:val="21"/>
        </w:rPr>
        <w:t>m</w:t>
      </w:r>
      <w:r>
        <w:rPr>
          <w:b/>
          <w:spacing w:val="-5"/>
          <w:w w:val="100"/>
          <w:sz w:val="21"/>
        </w:rPr>
        <w:t>i</w:t>
      </w:r>
      <w:r>
        <w:rPr>
          <w:b/>
          <w:w w:val="100"/>
          <w:sz w:val="21"/>
        </w:rPr>
        <w:t>no</w:t>
      </w:r>
      <w:r>
        <w:rPr>
          <w:b/>
          <w:w w:val="100"/>
          <w:sz w:val="21"/>
        </w:rPr>
        <w:t>r</w:t>
      </w:r>
      <w:r>
        <w:rPr>
          <w:b/>
          <w:sz w:val="21"/>
        </w:rPr>
        <w:t> </w:t>
      </w:r>
      <w:r>
        <w:rPr>
          <w:b/>
          <w:spacing w:val="-29"/>
          <w:sz w:val="21"/>
        </w:rPr>
        <w:t> </w:t>
      </w:r>
      <w:r>
        <w:rPr>
          <w:b/>
          <w:spacing w:val="-2"/>
          <w:w w:val="100"/>
          <w:sz w:val="21"/>
        </w:rPr>
        <w:t>i</w:t>
      </w:r>
      <w:r>
        <w:rPr>
          <w:b/>
          <w:w w:val="100"/>
          <w:sz w:val="21"/>
        </w:rPr>
        <w:t>s,</w:t>
      </w:r>
      <w:r>
        <w:rPr>
          <w:b/>
          <w:sz w:val="21"/>
        </w:rPr>
        <w:t> </w:t>
      </w:r>
      <w:r>
        <w:rPr>
          <w:b/>
          <w:spacing w:val="-27"/>
          <w:sz w:val="21"/>
        </w:rPr>
        <w:t> </w:t>
      </w:r>
      <w:r>
        <w:rPr>
          <w:b/>
          <w:spacing w:val="-2"/>
          <w:w w:val="100"/>
          <w:sz w:val="21"/>
        </w:rPr>
        <w:t>i</w:t>
      </w:r>
      <w:r>
        <w:rPr>
          <w:b/>
          <w:w w:val="100"/>
          <w:sz w:val="21"/>
        </w:rPr>
        <w:t>n </w:t>
      </w:r>
      <w:r>
        <w:rPr>
          <w:b/>
          <w:sz w:val="21"/>
        </w:rPr>
        <w:t>my judgment an extravagant doctrine contrary to the decision  of  the  Judicial  Committee   in   such   cases as </w:t>
      </w:r>
      <w:r>
        <w:rPr>
          <w:b/>
          <w:i/>
          <w:sz w:val="21"/>
        </w:rPr>
        <w:t>Damodar Das </w:t>
      </w:r>
      <w:r>
        <w:rPr>
          <w:b/>
          <w:sz w:val="21"/>
        </w:rPr>
        <w:t>v. </w:t>
      </w:r>
      <w:r>
        <w:rPr>
          <w:b/>
          <w:i/>
          <w:sz w:val="21"/>
        </w:rPr>
        <w:t>Lakhan Das</w:t>
      </w:r>
      <w:r>
        <w:rPr>
          <w:sz w:val="21"/>
        </w:rPr>
        <w:t>[ </w:t>
      </w:r>
      <w:r>
        <w:rPr>
          <w:b/>
          <w:sz w:val="21"/>
        </w:rPr>
        <w:t>(1910) 37 Cal 885 : 37 IA 5147 : 7 IC 240 (PC).] </w:t>
      </w:r>
      <w:r>
        <w:rPr>
          <w:sz w:val="21"/>
        </w:rPr>
        <w:t>. It is open to shebaits or any person interested in an endowment to bring a suit to recover the  idol's property for debuttar</w:t>
      </w:r>
      <w:r>
        <w:rPr>
          <w:spacing w:val="-12"/>
          <w:sz w:val="21"/>
        </w:rPr>
        <w:t> </w:t>
      </w:r>
      <w:r>
        <w:rPr>
          <w:sz w:val="21"/>
        </w:rPr>
        <w:t>purposes…‖</w:t>
      </w:r>
    </w:p>
    <w:p>
      <w:pPr>
        <w:spacing w:before="1"/>
        <w:ind w:left="5791" w:right="0" w:firstLine="0"/>
        <w:jc w:val="left"/>
        <w:rPr>
          <w:sz w:val="21"/>
        </w:rPr>
      </w:pPr>
      <w:r>
        <w:rPr>
          <w:sz w:val="21"/>
        </w:rPr>
        <w:t>(Emphasis supplied)</w:t>
      </w:r>
    </w:p>
    <w:p>
      <w:pPr>
        <w:pStyle w:val="BodyText"/>
        <w:rPr>
          <w:sz w:val="24"/>
        </w:rPr>
      </w:pPr>
    </w:p>
    <w:p>
      <w:pPr>
        <w:pStyle w:val="BodyText"/>
        <w:rPr>
          <w:sz w:val="24"/>
        </w:rPr>
      </w:pPr>
    </w:p>
    <w:p>
      <w:pPr>
        <w:pStyle w:val="BodyText"/>
        <w:spacing w:before="1"/>
        <w:rPr>
          <w:sz w:val="22"/>
        </w:rPr>
      </w:pPr>
    </w:p>
    <w:p>
      <w:pPr>
        <w:spacing w:line="480" w:lineRule="auto" w:before="0"/>
        <w:ind w:left="500" w:right="0" w:firstLine="0"/>
        <w:jc w:val="left"/>
        <w:rPr>
          <w:sz w:val="25"/>
        </w:rPr>
      </w:pPr>
      <w:r>
        <w:rPr>
          <w:sz w:val="25"/>
        </w:rPr>
        <w:t>The decision of the High Court was affirmed by the Privy Council in </w:t>
      </w:r>
      <w:r>
        <w:rPr>
          <w:b/>
          <w:sz w:val="25"/>
        </w:rPr>
        <w:t>Sri Sri Iswari Bhubaneshwari Thakurani </w:t>
      </w:r>
      <w:r>
        <w:rPr>
          <w:sz w:val="25"/>
        </w:rPr>
        <w:t>v </w:t>
      </w:r>
      <w:r>
        <w:rPr>
          <w:b/>
          <w:sz w:val="25"/>
        </w:rPr>
        <w:t>Brojonath Dey</w:t>
      </w:r>
      <w:r>
        <w:rPr>
          <w:sz w:val="25"/>
        </w:rPr>
        <w:t>.</w:t>
      </w:r>
      <w:r>
        <w:rPr>
          <w:sz w:val="25"/>
          <w:vertAlign w:val="superscript"/>
        </w:rPr>
        <w:t>253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r>
        <w:rPr/>
        <w:pict>
          <v:rect style="position:absolute;margin-left:72.024002pt;margin-top:15.770014pt;width:144.020pt;height:.60004pt;mso-position-horizontal-relative:page;mso-position-vertical-relative:paragraph;z-index:-15657472;mso-wrap-distance-left:0;mso-wrap-distance-right:0" filled="true" fillcolor="#000000" stroked="false">
            <v:fill type="solid"/>
            <w10:wrap type="topAndBottom"/>
          </v:rect>
        </w:pict>
      </w:r>
    </w:p>
    <w:p>
      <w:pPr>
        <w:spacing w:before="81"/>
        <w:ind w:left="500" w:right="0" w:firstLine="0"/>
        <w:jc w:val="left"/>
        <w:rPr>
          <w:sz w:val="18"/>
        </w:rPr>
      </w:pPr>
      <w:r>
        <w:rPr>
          <w:sz w:val="18"/>
          <w:vertAlign w:val="superscript"/>
        </w:rPr>
        <w:t>252</w:t>
      </w:r>
      <w:r>
        <w:rPr>
          <w:sz w:val="18"/>
          <w:vertAlign w:val="baseline"/>
        </w:rPr>
        <w:t> AIR 1933 Cal 295</w:t>
      </w:r>
    </w:p>
    <w:p>
      <w:pPr>
        <w:spacing w:before="208"/>
        <w:ind w:left="500" w:right="0" w:firstLine="0"/>
        <w:jc w:val="left"/>
        <w:rPr>
          <w:sz w:val="18"/>
        </w:rPr>
      </w:pPr>
      <w:r>
        <w:rPr>
          <w:sz w:val="18"/>
          <w:vertAlign w:val="superscript"/>
        </w:rPr>
        <w:t>253</w:t>
      </w:r>
      <w:r>
        <w:rPr>
          <w:sz w:val="18"/>
          <w:vertAlign w:val="baseline"/>
        </w:rPr>
        <w:t> </w:t>
      </w:r>
      <w:r>
        <w:rPr>
          <w:color w:val="333333"/>
          <w:sz w:val="18"/>
          <w:vertAlign w:val="baseline"/>
        </w:rPr>
        <w:t>(</w:t>
      </w:r>
      <w:r>
        <w:rPr>
          <w:sz w:val="18"/>
          <w:vertAlign w:val="baseline"/>
        </w:rPr>
        <w:t>1936-37) 64 IA 203</w:t>
      </w:r>
    </w:p>
    <w:p>
      <w:pPr>
        <w:spacing w:after="0"/>
        <w:jc w:val="left"/>
        <w:rPr>
          <w:sz w:val="18"/>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1" w:after="0"/>
        <w:ind w:left="500" w:right="435" w:firstLine="0"/>
        <w:jc w:val="both"/>
        <w:rPr>
          <w:sz w:val="25"/>
        </w:rPr>
      </w:pPr>
      <w:r>
        <w:rPr>
          <w:sz w:val="25"/>
        </w:rPr>
        <w:t>In </w:t>
      </w:r>
      <w:r>
        <w:rPr>
          <w:b/>
          <w:sz w:val="25"/>
        </w:rPr>
        <w:t>The Mosque, Masjid Shahid Ganj </w:t>
      </w:r>
      <w:r>
        <w:rPr>
          <w:sz w:val="25"/>
        </w:rPr>
        <w:t>v </w:t>
      </w:r>
      <w:r>
        <w:rPr>
          <w:b/>
          <w:sz w:val="25"/>
        </w:rPr>
        <w:t>Shiromani Gurdwara Parbandhak Committee, Amritsar</w:t>
      </w:r>
      <w:r>
        <w:rPr>
          <w:sz w:val="25"/>
          <w:vertAlign w:val="superscript"/>
        </w:rPr>
        <w:t>254</w:t>
      </w:r>
      <w:r>
        <w:rPr>
          <w:sz w:val="25"/>
          <w:vertAlign w:val="baseline"/>
        </w:rPr>
        <w:t>, the Privy Council considered whether a mosque can be considered a juristic person and can be subject to adverse possession. Sir George Rankin</w:t>
      </w:r>
      <w:r>
        <w:rPr>
          <w:spacing w:val="-4"/>
          <w:sz w:val="25"/>
          <w:vertAlign w:val="baseline"/>
        </w:rPr>
        <w:t> </w:t>
      </w:r>
      <w:r>
        <w:rPr>
          <w:sz w:val="25"/>
          <w:vertAlign w:val="baseline"/>
        </w:rPr>
        <w:t>observed:</w:t>
      </w:r>
    </w:p>
    <w:p>
      <w:pPr>
        <w:spacing w:line="276" w:lineRule="auto" w:before="162"/>
        <w:ind w:left="1940" w:right="2253" w:firstLine="0"/>
        <w:jc w:val="both"/>
        <w:rPr>
          <w:sz w:val="21"/>
        </w:rPr>
      </w:pPr>
      <w:r>
        <w:rPr>
          <w:spacing w:val="-1"/>
          <w:w w:val="33"/>
          <w:sz w:val="21"/>
        </w:rPr>
        <w:t>―</w:t>
      </w:r>
      <w:r>
        <w:rPr>
          <w:w w:val="100"/>
          <w:sz w:val="21"/>
        </w:rPr>
        <w:t>Th</w:t>
      </w:r>
      <w:r>
        <w:rPr>
          <w:spacing w:val="-1"/>
          <w:w w:val="100"/>
          <w:sz w:val="21"/>
        </w:rPr>
        <w:t>a</w:t>
      </w:r>
      <w:r>
        <w:rPr>
          <w:w w:val="100"/>
          <w:sz w:val="21"/>
        </w:rPr>
        <w:t>t</w:t>
      </w:r>
      <w:r>
        <w:rPr>
          <w:sz w:val="21"/>
        </w:rPr>
        <w:t> </w:t>
      </w:r>
      <w:r>
        <w:rPr>
          <w:spacing w:val="-8"/>
          <w:sz w:val="21"/>
        </w:rPr>
        <w:t> </w:t>
      </w:r>
      <w:r>
        <w:rPr>
          <w:spacing w:val="-2"/>
          <w:w w:val="100"/>
          <w:sz w:val="21"/>
        </w:rPr>
        <w:t>t</w:t>
      </w:r>
      <w:r>
        <w:rPr>
          <w:spacing w:val="-3"/>
          <w:w w:val="100"/>
          <w:sz w:val="21"/>
        </w:rPr>
        <w:t>h</w:t>
      </w:r>
      <w:r>
        <w:rPr>
          <w:spacing w:val="-1"/>
          <w:w w:val="100"/>
          <w:sz w:val="21"/>
        </w:rPr>
        <w:t>er</w:t>
      </w:r>
      <w:r>
        <w:rPr>
          <w:w w:val="100"/>
          <w:sz w:val="21"/>
        </w:rPr>
        <w:t>e</w:t>
      </w:r>
      <w:r>
        <w:rPr>
          <w:sz w:val="21"/>
        </w:rPr>
        <w:t> </w:t>
      </w:r>
      <w:r>
        <w:rPr>
          <w:spacing w:val="-10"/>
          <w:sz w:val="21"/>
        </w:rPr>
        <w:t> </w:t>
      </w:r>
      <w:r>
        <w:rPr>
          <w:w w:val="100"/>
          <w:sz w:val="21"/>
        </w:rPr>
        <w:t>sh</w:t>
      </w:r>
      <w:r>
        <w:rPr>
          <w:spacing w:val="-3"/>
          <w:w w:val="100"/>
          <w:sz w:val="21"/>
        </w:rPr>
        <w:t>o</w:t>
      </w:r>
      <w:r>
        <w:rPr>
          <w:spacing w:val="-1"/>
          <w:w w:val="100"/>
          <w:sz w:val="21"/>
        </w:rPr>
        <w:t>u</w:t>
      </w:r>
      <w:r>
        <w:rPr>
          <w:spacing w:val="1"/>
          <w:w w:val="100"/>
          <w:sz w:val="21"/>
        </w:rPr>
        <w:t>l</w:t>
      </w:r>
      <w:r>
        <w:rPr>
          <w:w w:val="100"/>
          <w:sz w:val="21"/>
        </w:rPr>
        <w:t>d</w:t>
      </w:r>
      <w:r>
        <w:rPr>
          <w:sz w:val="21"/>
        </w:rPr>
        <w:t> </w:t>
      </w:r>
      <w:r>
        <w:rPr>
          <w:spacing w:val="-9"/>
          <w:sz w:val="21"/>
        </w:rPr>
        <w:t> </w:t>
      </w:r>
      <w:r>
        <w:rPr>
          <w:spacing w:val="-3"/>
          <w:w w:val="100"/>
          <w:sz w:val="21"/>
        </w:rPr>
        <w:t>b</w:t>
      </w:r>
      <w:r>
        <w:rPr>
          <w:w w:val="100"/>
          <w:sz w:val="21"/>
        </w:rPr>
        <w:t>e</w:t>
      </w:r>
      <w:r>
        <w:rPr>
          <w:sz w:val="21"/>
        </w:rPr>
        <w:t> </w:t>
      </w:r>
      <w:r>
        <w:rPr>
          <w:spacing w:val="-7"/>
          <w:sz w:val="21"/>
        </w:rPr>
        <w:t> </w:t>
      </w:r>
      <w:r>
        <w:rPr>
          <w:spacing w:val="-3"/>
          <w:w w:val="100"/>
          <w:sz w:val="21"/>
        </w:rPr>
        <w:t>a</w:t>
      </w:r>
      <w:r>
        <w:rPr>
          <w:spacing w:val="-1"/>
          <w:w w:val="100"/>
          <w:sz w:val="21"/>
        </w:rPr>
        <w:t>n</w:t>
      </w:r>
      <w:r>
        <w:rPr>
          <w:w w:val="100"/>
          <w:sz w:val="21"/>
        </w:rPr>
        <w:t>y</w:t>
      </w:r>
      <w:r>
        <w:rPr>
          <w:sz w:val="21"/>
        </w:rPr>
        <w:t> </w:t>
      </w:r>
      <w:r>
        <w:rPr>
          <w:spacing w:val="-9"/>
          <w:sz w:val="21"/>
        </w:rPr>
        <w:t> </w:t>
      </w:r>
      <w:r>
        <w:rPr>
          <w:w w:val="100"/>
          <w:sz w:val="21"/>
        </w:rPr>
        <w:t>sup</w:t>
      </w:r>
      <w:r>
        <w:rPr>
          <w:spacing w:val="-2"/>
          <w:w w:val="100"/>
          <w:sz w:val="21"/>
        </w:rPr>
        <w:t>p</w:t>
      </w:r>
      <w:r>
        <w:rPr>
          <w:spacing w:val="-1"/>
          <w:w w:val="100"/>
          <w:sz w:val="21"/>
        </w:rPr>
        <w:t>os</w:t>
      </w:r>
      <w:r>
        <w:rPr>
          <w:spacing w:val="-3"/>
          <w:w w:val="100"/>
          <w:sz w:val="21"/>
        </w:rPr>
        <w:t>e</w:t>
      </w:r>
      <w:r>
        <w:rPr>
          <w:w w:val="100"/>
          <w:sz w:val="21"/>
        </w:rPr>
        <w:t>d</w:t>
      </w:r>
      <w:r>
        <w:rPr>
          <w:sz w:val="21"/>
        </w:rPr>
        <w:t> </w:t>
      </w:r>
      <w:r>
        <w:rPr>
          <w:spacing w:val="-7"/>
          <w:sz w:val="21"/>
        </w:rPr>
        <w:t> </w:t>
      </w:r>
      <w:r>
        <w:rPr>
          <w:spacing w:val="-3"/>
          <w:w w:val="100"/>
          <w:sz w:val="21"/>
        </w:rPr>
        <w:t>a</w:t>
      </w:r>
      <w:r>
        <w:rPr>
          <w:spacing w:val="-1"/>
          <w:w w:val="100"/>
          <w:sz w:val="21"/>
        </w:rPr>
        <w:t>n</w:t>
      </w:r>
      <w:r>
        <w:rPr>
          <w:spacing w:val="-3"/>
          <w:w w:val="100"/>
          <w:sz w:val="21"/>
        </w:rPr>
        <w:t>a</w:t>
      </w:r>
      <w:r>
        <w:rPr>
          <w:w w:val="100"/>
          <w:sz w:val="21"/>
        </w:rPr>
        <w:t>l</w:t>
      </w:r>
      <w:r>
        <w:rPr>
          <w:spacing w:val="-1"/>
          <w:w w:val="100"/>
          <w:sz w:val="21"/>
        </w:rPr>
        <w:t>og</w:t>
      </w:r>
      <w:r>
        <w:rPr>
          <w:w w:val="100"/>
          <w:sz w:val="21"/>
        </w:rPr>
        <w:t>y</w:t>
      </w:r>
      <w:r>
        <w:rPr>
          <w:sz w:val="21"/>
        </w:rPr>
        <w:t> </w:t>
      </w:r>
      <w:r>
        <w:rPr>
          <w:spacing w:val="-9"/>
          <w:sz w:val="21"/>
        </w:rPr>
        <w:t> </w:t>
      </w:r>
      <w:r>
        <w:rPr>
          <w:spacing w:val="-3"/>
          <w:w w:val="100"/>
          <w:sz w:val="21"/>
        </w:rPr>
        <w:t>be</w:t>
      </w:r>
      <w:r>
        <w:rPr>
          <w:spacing w:val="-2"/>
          <w:w w:val="100"/>
          <w:sz w:val="21"/>
        </w:rPr>
        <w:t>tw</w:t>
      </w:r>
      <w:r>
        <w:rPr>
          <w:spacing w:val="-1"/>
          <w:w w:val="100"/>
          <w:sz w:val="21"/>
        </w:rPr>
        <w:t>ee</w:t>
      </w:r>
      <w:r>
        <w:rPr>
          <w:w w:val="100"/>
          <w:sz w:val="21"/>
        </w:rPr>
        <w:t>n</w:t>
      </w:r>
      <w:r>
        <w:rPr>
          <w:sz w:val="21"/>
        </w:rPr>
        <w:t> </w:t>
      </w:r>
      <w:r>
        <w:rPr>
          <w:spacing w:val="-3"/>
          <w:sz w:val="21"/>
        </w:rPr>
        <w:t> </w:t>
      </w:r>
      <w:r>
        <w:rPr>
          <w:spacing w:val="-2"/>
          <w:w w:val="100"/>
          <w:sz w:val="21"/>
        </w:rPr>
        <w:t>t</w:t>
      </w:r>
      <w:r>
        <w:rPr>
          <w:w w:val="100"/>
          <w:sz w:val="21"/>
        </w:rPr>
        <w:t>he </w:t>
      </w:r>
      <w:r>
        <w:rPr>
          <w:sz w:val="21"/>
        </w:rPr>
        <w:t>position in law of a building dedicated as a place of prayer for Muslims and the individual deities of the Hindu religion is a matter of some surprise to their Lordships. The question whether a British Indian Court will recognise a mosque as having a </w:t>
      </w:r>
      <w:r>
        <w:rPr>
          <w:i/>
          <w:sz w:val="21"/>
        </w:rPr>
        <w:t>locus standi in judicio </w:t>
      </w:r>
      <w:r>
        <w:rPr>
          <w:sz w:val="21"/>
        </w:rPr>
        <w:t>is a question of procedure. In British India the Courts do not follow the Mahomedan law in matters of procedure [</w:t>
      </w:r>
      <w:r>
        <w:rPr>
          <w:i/>
          <w:sz w:val="21"/>
        </w:rPr>
        <w:t>cf. Jafri Begum </w:t>
      </w:r>
      <w:r>
        <w:rPr>
          <w:sz w:val="21"/>
        </w:rPr>
        <w:t>v. </w:t>
      </w:r>
      <w:r>
        <w:rPr>
          <w:i/>
          <w:sz w:val="21"/>
        </w:rPr>
        <w:t>Amir Muhammad </w:t>
      </w:r>
      <w:r>
        <w:rPr>
          <w:i/>
          <w:sz w:val="21"/>
        </w:rPr>
        <w:t>Khan </w:t>
      </w:r>
      <w:r>
        <w:rPr>
          <w:sz w:val="21"/>
        </w:rPr>
        <w:t>[I.L.R.   7   All.   822  at   pp.   841,   842   (1885).]   ,</w:t>
      </w:r>
      <w:r>
        <w:rPr>
          <w:spacing w:val="-2"/>
          <w:sz w:val="21"/>
        </w:rPr>
        <w:t> </w:t>
      </w:r>
      <w:r>
        <w:rPr>
          <w:sz w:val="21"/>
        </w:rPr>
        <w:t>per</w:t>
      </w:r>
    </w:p>
    <w:p>
      <w:pPr>
        <w:spacing w:line="276" w:lineRule="auto" w:before="0"/>
        <w:ind w:left="1940" w:right="2253" w:firstLine="0"/>
        <w:jc w:val="both"/>
        <w:rPr>
          <w:b/>
          <w:sz w:val="21"/>
        </w:rPr>
      </w:pPr>
      <w:r>
        <w:rPr>
          <w:sz w:val="21"/>
        </w:rPr>
        <w:t>Mahmood, J.] any more than they apply the Mahomedan criminal law of the ancient Mahomedan rules of evidence. At the same time the procedure of the Courts in applying Hindu or Mahomedan law has to be appropriate to the laws which they apply. Thus the procedure in India takes account, necessarily, of the polytheistic and other features of the Hindu religion and recognises certain doctrines of Hindu law as essential thereto, </w:t>
      </w:r>
      <w:r>
        <w:rPr>
          <w:i/>
          <w:sz w:val="21"/>
        </w:rPr>
        <w:t>e.g.</w:t>
      </w:r>
      <w:r>
        <w:rPr>
          <w:sz w:val="21"/>
        </w:rPr>
        <w:t>, that an idol may be the owner of property. </w:t>
      </w:r>
      <w:r>
        <w:rPr>
          <w:b/>
          <w:sz w:val="21"/>
        </w:rPr>
        <w:t>The procedure of our Courts allows for a suit in the name of an idol or deity though the right of suit is really   in   the </w:t>
      </w:r>
      <w:r>
        <w:rPr>
          <w:b/>
          <w:i/>
          <w:sz w:val="21"/>
        </w:rPr>
        <w:t>sebait   </w:t>
      </w:r>
      <w:r>
        <w:rPr>
          <w:b/>
          <w:sz w:val="21"/>
        </w:rPr>
        <w:t>[</w:t>
      </w:r>
      <w:r>
        <w:rPr>
          <w:b/>
          <w:i/>
          <w:sz w:val="21"/>
        </w:rPr>
        <w:t>Jagadindranath </w:t>
      </w:r>
      <w:r>
        <w:rPr>
          <w:b/>
          <w:sz w:val="21"/>
        </w:rPr>
        <w:t>v. </w:t>
      </w:r>
      <w:r>
        <w:rPr>
          <w:b/>
          <w:i/>
          <w:sz w:val="21"/>
        </w:rPr>
        <w:t>Hemmta  </w:t>
      </w:r>
      <w:r>
        <w:rPr>
          <w:b/>
          <w:i/>
          <w:sz w:val="21"/>
        </w:rPr>
        <w:t>Kumari </w:t>
      </w:r>
      <w:r>
        <w:rPr>
          <w:b/>
          <w:sz w:val="21"/>
        </w:rPr>
        <w:t>[L.R. 31 I.A. 203 : s.c. 8 C.W.N. 609 (1605).] ]. </w:t>
      </w:r>
      <w:r>
        <w:rPr>
          <w:b/>
          <w:spacing w:val="9"/>
          <w:sz w:val="21"/>
        </w:rPr>
        <w:t> </w:t>
      </w:r>
      <w:r>
        <w:rPr>
          <w:b/>
          <w:sz w:val="21"/>
        </w:rPr>
        <w:t>Very</w:t>
      </w:r>
    </w:p>
    <w:p>
      <w:pPr>
        <w:spacing w:line="276" w:lineRule="auto" w:before="1"/>
        <w:ind w:left="1940" w:right="2253" w:firstLine="0"/>
        <w:jc w:val="both"/>
        <w:rPr>
          <w:b/>
          <w:sz w:val="21"/>
        </w:rPr>
      </w:pPr>
      <w:r>
        <w:rPr>
          <w:b/>
          <w:sz w:val="21"/>
        </w:rPr>
        <w:t>considerable difficulties attend these doctrines—in particular as regards the distinction, if any, proper to be made between the deity and the  image  [</w:t>
      </w:r>
      <w:r>
        <w:rPr>
          <w:b/>
          <w:i/>
          <w:sz w:val="21"/>
        </w:rPr>
        <w:t>cf.  Bhupati  </w:t>
      </w:r>
      <w:r>
        <w:rPr>
          <w:b/>
          <w:i/>
          <w:sz w:val="21"/>
        </w:rPr>
        <w:t>Nath</w:t>
      </w:r>
      <w:r>
        <w:rPr>
          <w:b/>
          <w:i/>
          <w:spacing w:val="-1"/>
          <w:sz w:val="21"/>
        </w:rPr>
        <w:t> </w:t>
      </w:r>
      <w:r>
        <w:rPr>
          <w:b/>
          <w:sz w:val="21"/>
        </w:rPr>
        <w:t>v.</w:t>
      </w:r>
      <w:r>
        <w:rPr>
          <w:b/>
          <w:spacing w:val="-2"/>
          <w:sz w:val="21"/>
        </w:rPr>
        <w:t> </w:t>
      </w:r>
      <w:r>
        <w:rPr>
          <w:b/>
          <w:i/>
          <w:sz w:val="21"/>
        </w:rPr>
        <w:t>Ram</w:t>
      </w:r>
      <w:r>
        <w:rPr>
          <w:b/>
          <w:i/>
          <w:spacing w:val="15"/>
          <w:sz w:val="21"/>
        </w:rPr>
        <w:t> </w:t>
      </w:r>
      <w:r>
        <w:rPr>
          <w:b/>
          <w:i/>
          <w:sz w:val="21"/>
        </w:rPr>
        <w:t>Lal</w:t>
      </w:r>
      <w:r>
        <w:rPr>
          <w:b/>
          <w:i/>
          <w:spacing w:val="-1"/>
          <w:sz w:val="21"/>
        </w:rPr>
        <w:t> </w:t>
      </w:r>
      <w:r>
        <w:rPr>
          <w:b/>
          <w:sz w:val="21"/>
        </w:rPr>
        <w:t>[I.L.R.</w:t>
      </w:r>
      <w:r>
        <w:rPr>
          <w:b/>
          <w:spacing w:val="15"/>
          <w:sz w:val="21"/>
        </w:rPr>
        <w:t> </w:t>
      </w:r>
      <w:r>
        <w:rPr>
          <w:b/>
          <w:sz w:val="21"/>
        </w:rPr>
        <w:t>37</w:t>
      </w:r>
      <w:r>
        <w:rPr>
          <w:b/>
          <w:spacing w:val="16"/>
          <w:sz w:val="21"/>
        </w:rPr>
        <w:t> </w:t>
      </w:r>
      <w:r>
        <w:rPr>
          <w:b/>
          <w:sz w:val="21"/>
        </w:rPr>
        <w:t>Cal.</w:t>
      </w:r>
      <w:r>
        <w:rPr>
          <w:b/>
          <w:spacing w:val="14"/>
          <w:sz w:val="21"/>
        </w:rPr>
        <w:t> </w:t>
      </w:r>
      <w:r>
        <w:rPr>
          <w:b/>
          <w:sz w:val="21"/>
        </w:rPr>
        <w:t>128,</w:t>
      </w:r>
      <w:r>
        <w:rPr>
          <w:b/>
          <w:spacing w:val="15"/>
          <w:sz w:val="21"/>
        </w:rPr>
        <w:t> </w:t>
      </w:r>
      <w:r>
        <w:rPr>
          <w:b/>
          <w:sz w:val="21"/>
        </w:rPr>
        <w:t>153:</w:t>
      </w:r>
      <w:r>
        <w:rPr>
          <w:b/>
          <w:spacing w:val="17"/>
          <w:sz w:val="21"/>
        </w:rPr>
        <w:t> </w:t>
      </w:r>
      <w:r>
        <w:rPr>
          <w:b/>
          <w:sz w:val="21"/>
        </w:rPr>
        <w:t>s.c.</w:t>
      </w:r>
      <w:r>
        <w:rPr>
          <w:b/>
          <w:spacing w:val="12"/>
          <w:sz w:val="21"/>
        </w:rPr>
        <w:t> </w:t>
      </w:r>
      <w:r>
        <w:rPr>
          <w:b/>
          <w:sz w:val="21"/>
        </w:rPr>
        <w:t>14</w:t>
      </w:r>
      <w:r>
        <w:rPr>
          <w:b/>
          <w:spacing w:val="13"/>
          <w:sz w:val="21"/>
        </w:rPr>
        <w:t> </w:t>
      </w:r>
      <w:r>
        <w:rPr>
          <w:b/>
          <w:sz w:val="21"/>
        </w:rPr>
        <w:t>C.W.N.</w:t>
      </w:r>
      <w:r>
        <w:rPr>
          <w:b/>
          <w:spacing w:val="12"/>
          <w:sz w:val="21"/>
        </w:rPr>
        <w:t> </w:t>
      </w:r>
      <w:r>
        <w:rPr>
          <w:b/>
          <w:sz w:val="21"/>
        </w:rPr>
        <w:t>18</w:t>
      </w:r>
    </w:p>
    <w:p>
      <w:pPr>
        <w:spacing w:line="276" w:lineRule="auto" w:before="1"/>
        <w:ind w:left="1940" w:right="2253" w:firstLine="0"/>
        <w:jc w:val="both"/>
        <w:rPr>
          <w:b/>
          <w:sz w:val="21"/>
        </w:rPr>
      </w:pPr>
      <w:r>
        <w:rPr>
          <w:b/>
          <w:sz w:val="21"/>
        </w:rPr>
        <w:t>(1910).] , </w:t>
      </w:r>
      <w:r>
        <w:rPr>
          <w:b/>
          <w:i/>
          <w:sz w:val="21"/>
        </w:rPr>
        <w:t>Golapchandra Sarkar</w:t>
      </w:r>
      <w:r>
        <w:rPr>
          <w:b/>
          <w:sz w:val="21"/>
        </w:rPr>
        <w:t>, Sastri's ―Hindu Law,‖ 7th Ed., pp. 865 </w:t>
      </w:r>
      <w:r>
        <w:rPr>
          <w:b/>
          <w:i/>
          <w:sz w:val="21"/>
        </w:rPr>
        <w:t>et seq.</w:t>
      </w:r>
      <w:r>
        <w:rPr>
          <w:b/>
          <w:sz w:val="21"/>
        </w:rPr>
        <w:t>]. But there has never been any doubt that the property of a Hindu religious endowment— including a </w:t>
      </w:r>
      <w:r>
        <w:rPr>
          <w:b/>
          <w:i/>
          <w:sz w:val="21"/>
        </w:rPr>
        <w:t>thakurbari</w:t>
      </w:r>
      <w:r>
        <w:rPr>
          <w:b/>
          <w:sz w:val="21"/>
        </w:rPr>
        <w:t>—is subject to the law of limitation [</w:t>
      </w:r>
      <w:r>
        <w:rPr>
          <w:b/>
          <w:i/>
          <w:sz w:val="21"/>
        </w:rPr>
        <w:t>Damodar  Das </w:t>
      </w:r>
      <w:r>
        <w:rPr>
          <w:b/>
          <w:sz w:val="21"/>
        </w:rPr>
        <w:t>v. </w:t>
      </w:r>
      <w:r>
        <w:rPr>
          <w:b/>
          <w:i/>
          <w:sz w:val="21"/>
        </w:rPr>
        <w:t>Lakhan  Das </w:t>
      </w:r>
      <w:r>
        <w:rPr>
          <w:b/>
          <w:sz w:val="21"/>
        </w:rPr>
        <w:t>[L.R.  37  I.A.  147  :  s.c.</w:t>
      </w:r>
      <w:r>
        <w:rPr>
          <w:b/>
          <w:spacing w:val="10"/>
          <w:sz w:val="21"/>
        </w:rPr>
        <w:t> </w:t>
      </w:r>
      <w:r>
        <w:rPr>
          <w:b/>
          <w:sz w:val="21"/>
        </w:rPr>
        <w:t>14</w:t>
      </w:r>
    </w:p>
    <w:p>
      <w:pPr>
        <w:spacing w:line="276" w:lineRule="auto" w:before="0"/>
        <w:ind w:left="1940" w:right="2255" w:firstLine="0"/>
        <w:jc w:val="both"/>
        <w:rPr>
          <w:b/>
          <w:sz w:val="21"/>
        </w:rPr>
      </w:pPr>
      <w:r>
        <w:rPr>
          <w:b/>
          <w:sz w:val="21"/>
        </w:rPr>
        <w:t>C.W.N. 889 (1810).] and </w:t>
      </w:r>
      <w:r>
        <w:rPr>
          <w:b/>
          <w:i/>
          <w:sz w:val="21"/>
        </w:rPr>
        <w:t>Sri Sri Iswari Bhubaneshwari </w:t>
      </w:r>
      <w:r>
        <w:rPr>
          <w:b/>
          <w:i/>
          <w:sz w:val="21"/>
        </w:rPr>
        <w:t>Thakurani </w:t>
      </w:r>
      <w:r>
        <w:rPr>
          <w:b/>
          <w:sz w:val="21"/>
        </w:rPr>
        <w:t>v. </w:t>
      </w:r>
      <w:r>
        <w:rPr>
          <w:b/>
          <w:i/>
          <w:sz w:val="21"/>
        </w:rPr>
        <w:t>Brojo  Nath  Dey </w:t>
      </w:r>
      <w:r>
        <w:rPr>
          <w:b/>
          <w:sz w:val="21"/>
        </w:rPr>
        <w:t>[L.R.  64  I.A.  203  :  s.c. </w:t>
      </w:r>
      <w:r>
        <w:rPr>
          <w:b/>
          <w:spacing w:val="35"/>
          <w:sz w:val="21"/>
        </w:rPr>
        <w:t> </w:t>
      </w:r>
      <w:r>
        <w:rPr>
          <w:b/>
          <w:sz w:val="21"/>
        </w:rPr>
        <w:t>41</w:t>
      </w:r>
    </w:p>
    <w:p>
      <w:pPr>
        <w:spacing w:line="276" w:lineRule="auto" w:before="0"/>
        <w:ind w:left="1940" w:right="2255" w:firstLine="0"/>
        <w:jc w:val="both"/>
        <w:rPr>
          <w:sz w:val="21"/>
        </w:rPr>
      </w:pPr>
      <w:r>
        <w:rPr>
          <w:b/>
          <w:sz w:val="21"/>
        </w:rPr>
        <w:t>C.W.N. 968 (1937).] ]. From these considerations special to Hindu law no general licence can be derived for the invention of fictitious persons</w:t>
      </w:r>
      <w:r>
        <w:rPr>
          <w:sz w:val="21"/>
        </w:rPr>
        <w:t>…‖</w:t>
      </w:r>
    </w:p>
    <w:p>
      <w:pPr>
        <w:spacing w:before="0"/>
        <w:ind w:left="5805" w:right="0" w:firstLine="0"/>
        <w:jc w:val="left"/>
        <w:rPr>
          <w:sz w:val="21"/>
        </w:rPr>
      </w:pPr>
      <w:r>
        <w:rPr>
          <w:sz w:val="21"/>
        </w:rPr>
        <w:t>(Emphasis supplied)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r>
        <w:rPr/>
        <w:pict>
          <v:rect style="position:absolute;margin-left:72.024002pt;margin-top:14.690638pt;width:144.020pt;height:.599980pt;mso-position-horizontal-relative:page;mso-position-vertical-relative:paragraph;z-index:-1565696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254</w:t>
      </w:r>
      <w:r>
        <w:rPr>
          <w:sz w:val="18"/>
          <w:vertAlign w:val="baseline"/>
        </w:rPr>
        <w:t> AIR 1940 PC 116</w:t>
      </w:r>
    </w:p>
    <w:p>
      <w:pPr>
        <w:spacing w:after="0"/>
        <w:jc w:val="left"/>
        <w:rPr>
          <w:sz w:val="18"/>
        </w:rPr>
        <w:sectPr>
          <w:pgSz w:w="11910" w:h="16840"/>
          <w:pgMar w:header="721" w:footer="1014" w:top="1300" w:bottom="1200" w:left="940" w:right="1000"/>
        </w:sectPr>
      </w:pPr>
    </w:p>
    <w:p>
      <w:pPr>
        <w:pStyle w:val="BodyText"/>
        <w:spacing w:before="124"/>
        <w:ind w:left="500"/>
        <w:jc w:val="both"/>
      </w:pPr>
      <w:r>
        <w:rPr/>
        <w:t>It was concluded thus:</w:t>
      </w:r>
    </w:p>
    <w:p>
      <w:pPr>
        <w:pStyle w:val="BodyText"/>
      </w:pPr>
    </w:p>
    <w:p>
      <w:pPr>
        <w:spacing w:line="276" w:lineRule="auto" w:before="0"/>
        <w:ind w:left="1940" w:right="2254" w:firstLine="0"/>
        <w:jc w:val="both"/>
        <w:rPr>
          <w:sz w:val="21"/>
        </w:rPr>
      </w:pPr>
      <w:r>
        <w:rPr>
          <w:spacing w:val="-1"/>
          <w:w w:val="33"/>
          <w:sz w:val="21"/>
        </w:rPr>
        <w:t>―</w:t>
      </w:r>
      <w:r>
        <w:rPr>
          <w:w w:val="100"/>
          <w:sz w:val="21"/>
        </w:rPr>
        <w:t>The</w:t>
      </w:r>
      <w:r>
        <w:rPr>
          <w:sz w:val="21"/>
        </w:rPr>
        <w:t> </w:t>
      </w:r>
      <w:r>
        <w:rPr>
          <w:spacing w:val="-4"/>
          <w:sz w:val="21"/>
        </w:rPr>
        <w:t> </w:t>
      </w:r>
      <w:r>
        <w:rPr>
          <w:spacing w:val="-1"/>
          <w:w w:val="100"/>
          <w:sz w:val="21"/>
        </w:rPr>
        <w:t>pr</w:t>
      </w:r>
      <w:r>
        <w:rPr>
          <w:spacing w:val="-3"/>
          <w:w w:val="100"/>
          <w:sz w:val="21"/>
        </w:rPr>
        <w:t>o</w:t>
      </w:r>
      <w:r>
        <w:rPr>
          <w:spacing w:val="-1"/>
          <w:w w:val="100"/>
          <w:sz w:val="21"/>
        </w:rPr>
        <w:t>per</w:t>
      </w:r>
      <w:r>
        <w:rPr>
          <w:spacing w:val="-2"/>
          <w:w w:val="100"/>
          <w:sz w:val="21"/>
        </w:rPr>
        <w:t>t</w:t>
      </w:r>
      <w:r>
        <w:rPr>
          <w:w w:val="100"/>
          <w:sz w:val="21"/>
        </w:rPr>
        <w:t>y</w:t>
      </w:r>
      <w:r>
        <w:rPr>
          <w:sz w:val="21"/>
        </w:rPr>
        <w:t> </w:t>
      </w:r>
      <w:r>
        <w:rPr>
          <w:spacing w:val="-7"/>
          <w:sz w:val="21"/>
        </w:rPr>
        <w:t> </w:t>
      </w:r>
      <w:r>
        <w:rPr>
          <w:spacing w:val="-1"/>
          <w:w w:val="100"/>
          <w:sz w:val="21"/>
        </w:rPr>
        <w:t>no</w:t>
      </w:r>
      <w:r>
        <w:rPr>
          <w:w w:val="100"/>
          <w:sz w:val="21"/>
        </w:rPr>
        <w:t>w</w:t>
      </w:r>
      <w:r>
        <w:rPr>
          <w:sz w:val="21"/>
        </w:rPr>
        <w:t> </w:t>
      </w:r>
      <w:r>
        <w:rPr>
          <w:spacing w:val="-5"/>
          <w:sz w:val="21"/>
        </w:rPr>
        <w:t> </w:t>
      </w:r>
      <w:r>
        <w:rPr>
          <w:w w:val="100"/>
          <w:sz w:val="21"/>
        </w:rPr>
        <w:t>in</w:t>
      </w:r>
      <w:r>
        <w:rPr>
          <w:sz w:val="21"/>
        </w:rPr>
        <w:t> </w:t>
      </w:r>
      <w:r>
        <w:rPr>
          <w:spacing w:val="-4"/>
          <w:sz w:val="21"/>
        </w:rPr>
        <w:t> </w:t>
      </w:r>
      <w:r>
        <w:rPr>
          <w:spacing w:val="-1"/>
          <w:w w:val="100"/>
          <w:sz w:val="21"/>
        </w:rPr>
        <w:t>q</w:t>
      </w:r>
      <w:r>
        <w:rPr>
          <w:spacing w:val="-3"/>
          <w:w w:val="100"/>
          <w:sz w:val="21"/>
        </w:rPr>
        <w:t>u</w:t>
      </w:r>
      <w:r>
        <w:rPr>
          <w:spacing w:val="-1"/>
          <w:w w:val="100"/>
          <w:sz w:val="21"/>
        </w:rPr>
        <w:t>est</w:t>
      </w:r>
      <w:r>
        <w:rPr>
          <w:w w:val="100"/>
          <w:sz w:val="21"/>
        </w:rPr>
        <w:t>i</w:t>
      </w:r>
      <w:r>
        <w:rPr>
          <w:spacing w:val="-1"/>
          <w:w w:val="100"/>
          <w:sz w:val="21"/>
        </w:rPr>
        <w:t>o</w:t>
      </w:r>
      <w:r>
        <w:rPr>
          <w:w w:val="100"/>
          <w:sz w:val="21"/>
        </w:rPr>
        <w:t>n</w:t>
      </w:r>
      <w:r>
        <w:rPr>
          <w:sz w:val="21"/>
        </w:rPr>
        <w:t> </w:t>
      </w:r>
      <w:r>
        <w:rPr>
          <w:spacing w:val="-4"/>
          <w:sz w:val="21"/>
        </w:rPr>
        <w:t> </w:t>
      </w:r>
      <w:r>
        <w:rPr>
          <w:spacing w:val="-3"/>
          <w:w w:val="100"/>
          <w:sz w:val="21"/>
        </w:rPr>
        <w:t>h</w:t>
      </w:r>
      <w:r>
        <w:rPr>
          <w:spacing w:val="-1"/>
          <w:w w:val="100"/>
          <w:sz w:val="21"/>
        </w:rPr>
        <w:t>a</w:t>
      </w:r>
      <w:r>
        <w:rPr>
          <w:spacing w:val="-3"/>
          <w:w w:val="100"/>
          <w:sz w:val="21"/>
        </w:rPr>
        <w:t>v</w:t>
      </w:r>
      <w:r>
        <w:rPr>
          <w:w w:val="100"/>
          <w:sz w:val="21"/>
        </w:rPr>
        <w:t>i</w:t>
      </w:r>
      <w:r>
        <w:rPr>
          <w:spacing w:val="-1"/>
          <w:w w:val="100"/>
          <w:sz w:val="21"/>
        </w:rPr>
        <w:t>n</w:t>
      </w:r>
      <w:r>
        <w:rPr>
          <w:w w:val="100"/>
          <w:sz w:val="21"/>
        </w:rPr>
        <w:t>g</w:t>
      </w:r>
      <w:r>
        <w:rPr>
          <w:sz w:val="21"/>
        </w:rPr>
        <w:t> </w:t>
      </w:r>
      <w:r>
        <w:rPr>
          <w:spacing w:val="-4"/>
          <w:sz w:val="21"/>
        </w:rPr>
        <w:t> </w:t>
      </w:r>
      <w:r>
        <w:rPr>
          <w:spacing w:val="-3"/>
          <w:w w:val="100"/>
          <w:sz w:val="21"/>
        </w:rPr>
        <w:t>b</w:t>
      </w:r>
      <w:r>
        <w:rPr>
          <w:spacing w:val="-1"/>
          <w:w w:val="100"/>
          <w:sz w:val="21"/>
        </w:rPr>
        <w:t>ee</w:t>
      </w:r>
      <w:r>
        <w:rPr>
          <w:w w:val="100"/>
          <w:sz w:val="21"/>
        </w:rPr>
        <w:t>n</w:t>
      </w:r>
      <w:r>
        <w:rPr>
          <w:sz w:val="21"/>
        </w:rPr>
        <w:t> </w:t>
      </w:r>
      <w:r>
        <w:rPr>
          <w:spacing w:val="-4"/>
          <w:sz w:val="21"/>
        </w:rPr>
        <w:t> </w:t>
      </w:r>
      <w:r>
        <w:rPr>
          <w:spacing w:val="-3"/>
          <w:w w:val="100"/>
          <w:sz w:val="21"/>
        </w:rPr>
        <w:t>p</w:t>
      </w:r>
      <w:r>
        <w:rPr>
          <w:spacing w:val="-1"/>
          <w:w w:val="100"/>
          <w:sz w:val="21"/>
        </w:rPr>
        <w:t>os</w:t>
      </w:r>
      <w:r>
        <w:rPr>
          <w:spacing w:val="-3"/>
          <w:w w:val="100"/>
          <w:sz w:val="21"/>
        </w:rPr>
        <w:t>s</w:t>
      </w:r>
      <w:r>
        <w:rPr>
          <w:spacing w:val="-1"/>
          <w:w w:val="100"/>
          <w:sz w:val="21"/>
        </w:rPr>
        <w:t>esse</w:t>
      </w:r>
      <w:r>
        <w:rPr>
          <w:w w:val="100"/>
          <w:sz w:val="21"/>
        </w:rPr>
        <w:t>d</w:t>
      </w:r>
      <w:r>
        <w:rPr>
          <w:sz w:val="21"/>
        </w:rPr>
        <w:t> </w:t>
      </w:r>
      <w:r>
        <w:rPr>
          <w:spacing w:val="-4"/>
          <w:sz w:val="21"/>
        </w:rPr>
        <w:t> </w:t>
      </w:r>
      <w:r>
        <w:rPr>
          <w:spacing w:val="-1"/>
          <w:w w:val="100"/>
          <w:sz w:val="21"/>
        </w:rPr>
        <w:t>by </w:t>
      </w:r>
      <w:r>
        <w:rPr>
          <w:sz w:val="21"/>
        </w:rPr>
        <w:t>Sikhs adversely to the </w:t>
      </w:r>
      <w:r>
        <w:rPr>
          <w:i/>
          <w:sz w:val="21"/>
        </w:rPr>
        <w:t>waqf </w:t>
      </w:r>
      <w:r>
        <w:rPr>
          <w:sz w:val="21"/>
        </w:rPr>
        <w:t>and to all interests thereunder for more than 12 years, the right of the </w:t>
      </w:r>
      <w:r>
        <w:rPr>
          <w:i/>
          <w:sz w:val="21"/>
        </w:rPr>
        <w:t>mutawali </w:t>
      </w:r>
      <w:r>
        <w:rPr>
          <w:sz w:val="21"/>
        </w:rPr>
        <w:t>to possession for the purposes of the </w:t>
      </w:r>
      <w:r>
        <w:rPr>
          <w:i/>
          <w:sz w:val="21"/>
        </w:rPr>
        <w:t>waqf </w:t>
      </w:r>
      <w:r>
        <w:rPr>
          <w:sz w:val="21"/>
        </w:rPr>
        <w:t>came to an end under Art. 144 of the Limitation Act and the title derived under the dedication from the settlor or </w:t>
      </w:r>
      <w:r>
        <w:rPr>
          <w:i/>
          <w:sz w:val="21"/>
        </w:rPr>
        <w:t>wakif </w:t>
      </w:r>
      <w:r>
        <w:rPr>
          <w:sz w:val="21"/>
        </w:rPr>
        <w:t>became extinct under sec. 28. The property was no longer, for any of the purposes of British </w:t>
      </w:r>
      <w:r>
        <w:rPr>
          <w:spacing w:val="-2"/>
          <w:w w:val="100"/>
          <w:sz w:val="21"/>
        </w:rPr>
        <w:t>I</w:t>
      </w:r>
      <w:r>
        <w:rPr>
          <w:spacing w:val="-1"/>
          <w:w w:val="100"/>
          <w:sz w:val="21"/>
        </w:rPr>
        <w:t>nd</w:t>
      </w:r>
      <w:r>
        <w:rPr>
          <w:spacing w:val="1"/>
          <w:w w:val="100"/>
          <w:sz w:val="21"/>
        </w:rPr>
        <w:t>i</w:t>
      </w:r>
      <w:r>
        <w:rPr>
          <w:spacing w:val="-3"/>
          <w:w w:val="100"/>
          <w:sz w:val="21"/>
        </w:rPr>
        <w:t>a</w:t>
      </w:r>
      <w:r>
        <w:rPr>
          <w:w w:val="100"/>
          <w:sz w:val="21"/>
        </w:rPr>
        <w:t>n</w:t>
      </w:r>
      <w:r>
        <w:rPr>
          <w:sz w:val="21"/>
        </w:rPr>
        <w:t> </w:t>
      </w:r>
      <w:r>
        <w:rPr>
          <w:spacing w:val="3"/>
          <w:sz w:val="21"/>
        </w:rPr>
        <w:t> </w:t>
      </w:r>
      <w:r>
        <w:rPr>
          <w:w w:val="100"/>
          <w:sz w:val="21"/>
        </w:rPr>
        <w:t>C</w:t>
      </w:r>
      <w:r>
        <w:rPr>
          <w:spacing w:val="-1"/>
          <w:w w:val="100"/>
          <w:sz w:val="21"/>
        </w:rPr>
        <w:t>our</w:t>
      </w:r>
      <w:r>
        <w:rPr>
          <w:spacing w:val="-2"/>
          <w:w w:val="100"/>
          <w:sz w:val="21"/>
        </w:rPr>
        <w:t>t</w:t>
      </w:r>
      <w:r>
        <w:rPr>
          <w:w w:val="100"/>
          <w:sz w:val="21"/>
        </w:rPr>
        <w:t>s,</w:t>
      </w:r>
      <w:r>
        <w:rPr>
          <w:sz w:val="21"/>
        </w:rPr>
        <w:t> </w:t>
      </w:r>
      <w:r>
        <w:rPr>
          <w:spacing w:val="4"/>
          <w:sz w:val="21"/>
        </w:rPr>
        <w:t> </w:t>
      </w:r>
      <w:r>
        <w:rPr>
          <w:spacing w:val="-4"/>
          <w:w w:val="33"/>
          <w:sz w:val="21"/>
        </w:rPr>
        <w:t>―</w:t>
      </w:r>
      <w:r>
        <w:rPr>
          <w:w w:val="100"/>
          <w:sz w:val="21"/>
        </w:rPr>
        <w:t>a</w:t>
      </w:r>
      <w:r>
        <w:rPr>
          <w:sz w:val="21"/>
        </w:rPr>
        <w:t> </w:t>
      </w:r>
      <w:r>
        <w:rPr>
          <w:spacing w:val="5"/>
          <w:sz w:val="21"/>
        </w:rPr>
        <w:t> </w:t>
      </w:r>
      <w:r>
        <w:rPr>
          <w:spacing w:val="-1"/>
          <w:w w:val="100"/>
          <w:sz w:val="21"/>
        </w:rPr>
        <w:t>p</w:t>
      </w:r>
      <w:r>
        <w:rPr>
          <w:spacing w:val="-3"/>
          <w:w w:val="100"/>
          <w:sz w:val="21"/>
        </w:rPr>
        <w:t>r</w:t>
      </w:r>
      <w:r>
        <w:rPr>
          <w:spacing w:val="2"/>
          <w:w w:val="100"/>
          <w:sz w:val="21"/>
        </w:rPr>
        <w:t>o</w:t>
      </w:r>
      <w:r>
        <w:rPr>
          <w:w w:val="100"/>
          <w:sz w:val="21"/>
        </w:rPr>
        <w:t>pe</w:t>
      </w:r>
      <w:r>
        <w:rPr>
          <w:spacing w:val="-3"/>
          <w:w w:val="100"/>
          <w:sz w:val="21"/>
        </w:rPr>
        <w:t>r</w:t>
      </w:r>
      <w:r>
        <w:rPr>
          <w:spacing w:val="-2"/>
          <w:w w:val="100"/>
          <w:sz w:val="21"/>
        </w:rPr>
        <w:t>t</w:t>
      </w:r>
      <w:r>
        <w:rPr>
          <w:w w:val="100"/>
          <w:sz w:val="21"/>
        </w:rPr>
        <w:t>y</w:t>
      </w:r>
      <w:r>
        <w:rPr>
          <w:sz w:val="21"/>
        </w:rPr>
        <w:t> </w:t>
      </w:r>
      <w:r>
        <w:rPr>
          <w:spacing w:val="3"/>
          <w:sz w:val="21"/>
        </w:rPr>
        <w:t> </w:t>
      </w:r>
      <w:r>
        <w:rPr>
          <w:w w:val="100"/>
          <w:sz w:val="21"/>
        </w:rPr>
        <w:t>of</w:t>
      </w:r>
      <w:r>
        <w:rPr>
          <w:sz w:val="21"/>
        </w:rPr>
        <w:t> </w:t>
      </w:r>
      <w:r>
        <w:rPr>
          <w:spacing w:val="6"/>
          <w:sz w:val="21"/>
        </w:rPr>
        <w:t> </w:t>
      </w:r>
      <w:r>
        <w:rPr>
          <w:spacing w:val="-2"/>
          <w:w w:val="100"/>
          <w:sz w:val="21"/>
        </w:rPr>
        <w:t>G</w:t>
      </w:r>
      <w:r>
        <w:rPr>
          <w:w w:val="100"/>
          <w:sz w:val="21"/>
        </w:rPr>
        <w:t>od</w:t>
      </w:r>
      <w:r>
        <w:rPr>
          <w:sz w:val="21"/>
        </w:rPr>
        <w:t> </w:t>
      </w:r>
      <w:r>
        <w:rPr>
          <w:spacing w:val="3"/>
          <w:sz w:val="21"/>
        </w:rPr>
        <w:t> </w:t>
      </w:r>
      <w:r>
        <w:rPr>
          <w:w w:val="100"/>
          <w:sz w:val="21"/>
        </w:rPr>
        <w:t>by</w:t>
      </w:r>
      <w:r>
        <w:rPr>
          <w:sz w:val="21"/>
        </w:rPr>
        <w:t> </w:t>
      </w:r>
      <w:r>
        <w:rPr>
          <w:spacing w:val="3"/>
          <w:sz w:val="21"/>
        </w:rPr>
        <w:t> </w:t>
      </w:r>
      <w:r>
        <w:rPr>
          <w:spacing w:val="-2"/>
          <w:w w:val="100"/>
          <w:sz w:val="21"/>
        </w:rPr>
        <w:t>t</w:t>
      </w:r>
      <w:r>
        <w:rPr>
          <w:w w:val="100"/>
          <w:sz w:val="21"/>
        </w:rPr>
        <w:t>he</w:t>
      </w:r>
      <w:r>
        <w:rPr>
          <w:sz w:val="21"/>
        </w:rPr>
        <w:t> </w:t>
      </w:r>
      <w:r>
        <w:rPr>
          <w:spacing w:val="3"/>
          <w:sz w:val="21"/>
        </w:rPr>
        <w:t> </w:t>
      </w:r>
      <w:r>
        <w:rPr>
          <w:w w:val="100"/>
          <w:sz w:val="21"/>
        </w:rPr>
        <w:t>ad</w:t>
      </w:r>
      <w:r>
        <w:rPr>
          <w:spacing w:val="-3"/>
          <w:w w:val="100"/>
          <w:sz w:val="21"/>
        </w:rPr>
        <w:t>v</w:t>
      </w:r>
      <w:r>
        <w:rPr>
          <w:w w:val="100"/>
          <w:sz w:val="21"/>
        </w:rPr>
        <w:t>a</w:t>
      </w:r>
      <w:r>
        <w:rPr>
          <w:spacing w:val="-3"/>
          <w:w w:val="100"/>
          <w:sz w:val="21"/>
        </w:rPr>
        <w:t>n</w:t>
      </w:r>
      <w:r>
        <w:rPr>
          <w:spacing w:val="-2"/>
          <w:w w:val="100"/>
          <w:sz w:val="21"/>
        </w:rPr>
        <w:t>t</w:t>
      </w:r>
      <w:r>
        <w:rPr>
          <w:w w:val="100"/>
          <w:sz w:val="21"/>
        </w:rPr>
        <w:t>age</w:t>
      </w:r>
      <w:r>
        <w:rPr>
          <w:sz w:val="21"/>
        </w:rPr>
        <w:t> </w:t>
      </w:r>
      <w:r>
        <w:rPr>
          <w:spacing w:val="6"/>
          <w:sz w:val="21"/>
        </w:rPr>
        <w:t> </w:t>
      </w:r>
      <w:r>
        <w:rPr>
          <w:spacing w:val="-3"/>
          <w:w w:val="100"/>
          <w:sz w:val="21"/>
        </w:rPr>
        <w:t>o</w:t>
      </w:r>
      <w:r>
        <w:rPr>
          <w:w w:val="100"/>
          <w:sz w:val="21"/>
        </w:rPr>
        <w:t>f</w:t>
      </w:r>
      <w:r>
        <w:rPr>
          <w:sz w:val="21"/>
        </w:rPr>
        <w:t> </w:t>
      </w:r>
      <w:r>
        <w:rPr>
          <w:spacing w:val="4"/>
          <w:sz w:val="21"/>
        </w:rPr>
        <w:t> </w:t>
      </w:r>
      <w:r>
        <w:rPr>
          <w:w w:val="100"/>
          <w:sz w:val="21"/>
        </w:rPr>
        <w:t>i</w:t>
      </w:r>
      <w:r>
        <w:rPr>
          <w:w w:val="100"/>
          <w:sz w:val="21"/>
        </w:rPr>
        <w:t>t </w:t>
      </w:r>
      <w:r>
        <w:rPr>
          <w:sz w:val="21"/>
        </w:rPr>
        <w:t>resulting to his</w:t>
      </w:r>
      <w:r>
        <w:rPr>
          <w:spacing w:val="-5"/>
          <w:sz w:val="21"/>
        </w:rPr>
        <w:t> </w:t>
      </w:r>
      <w:r>
        <w:rPr>
          <w:sz w:val="21"/>
        </w:rPr>
        <w:t>creatures…‖</w:t>
      </w:r>
    </w:p>
    <w:p>
      <w:pPr>
        <w:pStyle w:val="BodyText"/>
        <w:rPr>
          <w:sz w:val="24"/>
        </w:rPr>
      </w:pPr>
    </w:p>
    <w:p>
      <w:pPr>
        <w:spacing w:line="480" w:lineRule="auto" w:before="183"/>
        <w:ind w:left="500" w:right="437" w:firstLine="0"/>
        <w:jc w:val="both"/>
        <w:rPr>
          <w:sz w:val="25"/>
        </w:rPr>
      </w:pPr>
      <w:r>
        <w:rPr>
          <w:sz w:val="25"/>
        </w:rPr>
        <w:t>In a decision of a Division Bench of the Calcutta High Court in </w:t>
      </w:r>
      <w:r>
        <w:rPr>
          <w:b/>
          <w:sz w:val="25"/>
        </w:rPr>
        <w:t>Tarit Bhushan  Rai </w:t>
      </w:r>
      <w:r>
        <w:rPr>
          <w:sz w:val="25"/>
        </w:rPr>
        <w:t>v </w:t>
      </w:r>
      <w:r>
        <w:rPr>
          <w:b/>
          <w:sz w:val="25"/>
        </w:rPr>
        <w:t>Sri Sri Iswar Sridhar Salagram Shila Thakur</w:t>
      </w:r>
      <w:r>
        <w:rPr>
          <w:sz w:val="25"/>
          <w:vertAlign w:val="superscript"/>
        </w:rPr>
        <w:t>255</w:t>
      </w:r>
      <w:r>
        <w:rPr>
          <w:sz w:val="25"/>
          <w:vertAlign w:val="baseline"/>
        </w:rPr>
        <w:t>, Nasim Ali J noted the similarities and points of distinction between the position of a minor and an idol in Hindu</w:t>
      </w:r>
      <w:r>
        <w:rPr>
          <w:spacing w:val="-1"/>
          <w:sz w:val="25"/>
          <w:vertAlign w:val="baseline"/>
        </w:rPr>
        <w:t> </w:t>
      </w:r>
      <w:r>
        <w:rPr>
          <w:sz w:val="25"/>
          <w:vertAlign w:val="baseline"/>
        </w:rPr>
        <w:t>Law:</w:t>
      </w:r>
    </w:p>
    <w:p>
      <w:pPr>
        <w:pStyle w:val="BodyText"/>
        <w:spacing w:before="11"/>
        <w:rPr>
          <w:sz w:val="40"/>
        </w:rPr>
      </w:pPr>
    </w:p>
    <w:p>
      <w:pPr>
        <w:spacing w:line="276" w:lineRule="auto" w:before="0"/>
        <w:ind w:left="1940" w:right="2255" w:firstLine="0"/>
        <w:jc w:val="both"/>
        <w:rPr>
          <w:sz w:val="21"/>
        </w:rPr>
      </w:pPr>
      <w:r>
        <w:rPr>
          <w:spacing w:val="-1"/>
          <w:w w:val="33"/>
          <w:sz w:val="21"/>
        </w:rPr>
        <w:t>―</w:t>
      </w:r>
      <w:r>
        <w:rPr>
          <w:w w:val="100"/>
          <w:sz w:val="21"/>
        </w:rPr>
        <w:t>The</w:t>
      </w:r>
      <w:r>
        <w:rPr>
          <w:sz w:val="21"/>
        </w:rPr>
        <w:t> </w:t>
      </w:r>
      <w:r>
        <w:rPr>
          <w:spacing w:val="-19"/>
          <w:sz w:val="21"/>
        </w:rPr>
        <w:t> </w:t>
      </w:r>
      <w:r>
        <w:rPr>
          <w:spacing w:val="-1"/>
          <w:w w:val="100"/>
          <w:sz w:val="21"/>
        </w:rPr>
        <w:t>point</w:t>
      </w:r>
      <w:r>
        <w:rPr>
          <w:w w:val="100"/>
          <w:sz w:val="21"/>
        </w:rPr>
        <w:t>s</w:t>
      </w:r>
      <w:r>
        <w:rPr>
          <w:sz w:val="21"/>
        </w:rPr>
        <w:t> </w:t>
      </w:r>
      <w:r>
        <w:rPr>
          <w:spacing w:val="-17"/>
          <w:sz w:val="21"/>
        </w:rPr>
        <w:t> </w:t>
      </w:r>
      <w:r>
        <w:rPr>
          <w:spacing w:val="-3"/>
          <w:w w:val="100"/>
          <w:sz w:val="21"/>
        </w:rPr>
        <w:t>o</w:t>
      </w:r>
      <w:r>
        <w:rPr>
          <w:w w:val="100"/>
          <w:sz w:val="21"/>
        </w:rPr>
        <w:t>f</w:t>
      </w:r>
      <w:r>
        <w:rPr>
          <w:sz w:val="21"/>
        </w:rPr>
        <w:t> </w:t>
      </w:r>
      <w:r>
        <w:rPr>
          <w:spacing w:val="-16"/>
          <w:sz w:val="21"/>
        </w:rPr>
        <w:t> </w:t>
      </w:r>
      <w:r>
        <w:rPr>
          <w:spacing w:val="-3"/>
          <w:w w:val="100"/>
          <w:sz w:val="21"/>
        </w:rPr>
        <w:t>s</w:t>
      </w:r>
      <w:r>
        <w:rPr>
          <w:spacing w:val="-2"/>
          <w:w w:val="100"/>
          <w:sz w:val="21"/>
        </w:rPr>
        <w:t>i</w:t>
      </w:r>
      <w:r>
        <w:rPr>
          <w:spacing w:val="-1"/>
          <w:w w:val="100"/>
          <w:sz w:val="21"/>
        </w:rPr>
        <w:t>m</w:t>
      </w:r>
      <w:r>
        <w:rPr>
          <w:w w:val="100"/>
          <w:sz w:val="21"/>
        </w:rPr>
        <w:t>i</w:t>
      </w:r>
      <w:r>
        <w:rPr>
          <w:spacing w:val="-2"/>
          <w:w w:val="100"/>
          <w:sz w:val="21"/>
        </w:rPr>
        <w:t>l</w:t>
      </w:r>
      <w:r>
        <w:rPr>
          <w:spacing w:val="-1"/>
          <w:w w:val="100"/>
          <w:sz w:val="21"/>
        </w:rPr>
        <w:t>arit</w:t>
      </w:r>
      <w:r>
        <w:rPr>
          <w:w w:val="100"/>
          <w:sz w:val="21"/>
        </w:rPr>
        <w:t>y</w:t>
      </w:r>
      <w:r>
        <w:rPr>
          <w:sz w:val="21"/>
        </w:rPr>
        <w:t> </w:t>
      </w:r>
      <w:r>
        <w:rPr>
          <w:spacing w:val="-20"/>
          <w:sz w:val="21"/>
        </w:rPr>
        <w:t> </w:t>
      </w:r>
      <w:r>
        <w:rPr>
          <w:spacing w:val="-1"/>
          <w:w w:val="100"/>
          <w:sz w:val="21"/>
        </w:rPr>
        <w:t>bet</w:t>
      </w:r>
      <w:r>
        <w:rPr>
          <w:spacing w:val="-2"/>
          <w:w w:val="100"/>
          <w:sz w:val="21"/>
        </w:rPr>
        <w:t>w</w:t>
      </w:r>
      <w:r>
        <w:rPr>
          <w:spacing w:val="-1"/>
          <w:w w:val="100"/>
          <w:sz w:val="21"/>
        </w:rPr>
        <w:t>ee</w:t>
      </w:r>
      <w:r>
        <w:rPr>
          <w:w w:val="100"/>
          <w:sz w:val="21"/>
        </w:rPr>
        <w:t>n</w:t>
      </w:r>
      <w:r>
        <w:rPr>
          <w:sz w:val="21"/>
        </w:rPr>
        <w:t> </w:t>
      </w:r>
      <w:r>
        <w:rPr>
          <w:spacing w:val="-19"/>
          <w:sz w:val="21"/>
        </w:rPr>
        <w:t> </w:t>
      </w:r>
      <w:r>
        <w:rPr>
          <w:w w:val="100"/>
          <w:sz w:val="21"/>
        </w:rPr>
        <w:t>a</w:t>
      </w:r>
      <w:r>
        <w:rPr>
          <w:sz w:val="21"/>
        </w:rPr>
        <w:t> </w:t>
      </w:r>
      <w:r>
        <w:rPr>
          <w:spacing w:val="-19"/>
          <w:sz w:val="21"/>
        </w:rPr>
        <w:t> </w:t>
      </w:r>
      <w:r>
        <w:rPr>
          <w:spacing w:val="-1"/>
          <w:w w:val="100"/>
          <w:sz w:val="21"/>
        </w:rPr>
        <w:t>m</w:t>
      </w:r>
      <w:r>
        <w:rPr>
          <w:w w:val="100"/>
          <w:sz w:val="21"/>
        </w:rPr>
        <w:t>i</w:t>
      </w:r>
      <w:r>
        <w:rPr>
          <w:spacing w:val="-1"/>
          <w:w w:val="100"/>
          <w:sz w:val="21"/>
        </w:rPr>
        <w:t>no</w:t>
      </w:r>
      <w:r>
        <w:rPr>
          <w:w w:val="100"/>
          <w:sz w:val="21"/>
        </w:rPr>
        <w:t>r</w:t>
      </w:r>
      <w:r>
        <w:rPr>
          <w:sz w:val="21"/>
        </w:rPr>
        <w:t> </w:t>
      </w:r>
      <w:r>
        <w:rPr>
          <w:spacing w:val="-19"/>
          <w:sz w:val="21"/>
        </w:rPr>
        <w:t> </w:t>
      </w:r>
      <w:r>
        <w:rPr>
          <w:spacing w:val="-1"/>
          <w:w w:val="100"/>
          <w:sz w:val="21"/>
        </w:rPr>
        <w:t>an</w:t>
      </w:r>
      <w:r>
        <w:rPr>
          <w:w w:val="100"/>
          <w:sz w:val="21"/>
        </w:rPr>
        <w:t>d</w:t>
      </w:r>
      <w:r>
        <w:rPr>
          <w:sz w:val="21"/>
        </w:rPr>
        <w:t> </w:t>
      </w:r>
      <w:r>
        <w:rPr>
          <w:spacing w:val="-19"/>
          <w:sz w:val="21"/>
        </w:rPr>
        <w:t> </w:t>
      </w:r>
      <w:r>
        <w:rPr>
          <w:w w:val="100"/>
          <w:sz w:val="21"/>
        </w:rPr>
        <w:t>a</w:t>
      </w:r>
      <w:r>
        <w:rPr>
          <w:sz w:val="21"/>
        </w:rPr>
        <w:t> </w:t>
      </w:r>
      <w:r>
        <w:rPr>
          <w:spacing w:val="-19"/>
          <w:sz w:val="21"/>
        </w:rPr>
        <w:t> </w:t>
      </w:r>
      <w:r>
        <w:rPr>
          <w:w w:val="100"/>
          <w:sz w:val="21"/>
        </w:rPr>
        <w:t>H</w:t>
      </w:r>
      <w:r>
        <w:rPr>
          <w:spacing w:val="-2"/>
          <w:w w:val="100"/>
          <w:sz w:val="21"/>
        </w:rPr>
        <w:t>i</w:t>
      </w:r>
      <w:r>
        <w:rPr>
          <w:spacing w:val="-1"/>
          <w:w w:val="100"/>
          <w:sz w:val="21"/>
        </w:rPr>
        <w:t>nd</w:t>
      </w:r>
      <w:r>
        <w:rPr>
          <w:w w:val="100"/>
          <w:sz w:val="21"/>
        </w:rPr>
        <w:t>u</w:t>
      </w:r>
      <w:r>
        <w:rPr>
          <w:sz w:val="21"/>
        </w:rPr>
        <w:t> </w:t>
      </w:r>
      <w:r>
        <w:rPr>
          <w:spacing w:val="-19"/>
          <w:sz w:val="21"/>
        </w:rPr>
        <w:t> </w:t>
      </w:r>
      <w:r>
        <w:rPr>
          <w:w w:val="100"/>
          <w:sz w:val="21"/>
        </w:rPr>
        <w:t>i</w:t>
      </w:r>
      <w:r>
        <w:rPr>
          <w:spacing w:val="-3"/>
          <w:w w:val="100"/>
          <w:sz w:val="21"/>
        </w:rPr>
        <w:t>d</w:t>
      </w:r>
      <w:r>
        <w:rPr>
          <w:spacing w:val="-1"/>
          <w:w w:val="100"/>
          <w:sz w:val="21"/>
        </w:rPr>
        <w:t>ol </w:t>
      </w:r>
      <w:r>
        <w:rPr>
          <w:sz w:val="21"/>
        </w:rPr>
        <w:t>are: (1) Both have the capacity of owning property. (2) Both are incapable of managing their properties and protecting their own interests. (3) The properties of both are managed and protected by another human being. The manager of a minor is his legal guardian and the manager of an idol is its shebait. (4) The powers of their managers are similar. (5) Both have got the right to sue. (6) The bar of S. 11 and Order 9, R. 9, Civil P.C., applies to both of</w:t>
      </w:r>
      <w:r>
        <w:rPr>
          <w:spacing w:val="-17"/>
          <w:sz w:val="21"/>
        </w:rPr>
        <w:t> </w:t>
      </w:r>
      <w:r>
        <w:rPr>
          <w:sz w:val="21"/>
        </w:rPr>
        <w:t>them.</w:t>
      </w:r>
    </w:p>
    <w:p>
      <w:pPr>
        <w:pStyle w:val="BodyText"/>
        <w:spacing w:before="2"/>
        <w:rPr>
          <w:sz w:val="24"/>
        </w:rPr>
      </w:pPr>
    </w:p>
    <w:p>
      <w:pPr>
        <w:spacing w:line="276" w:lineRule="auto" w:before="0"/>
        <w:ind w:left="1940" w:right="2254" w:firstLine="0"/>
        <w:jc w:val="both"/>
        <w:rPr>
          <w:b/>
          <w:sz w:val="21"/>
        </w:rPr>
      </w:pPr>
      <w:r>
        <w:rPr>
          <w:sz w:val="21"/>
        </w:rPr>
        <w:t>The points of difference between the two are: (</w:t>
      </w:r>
      <w:r>
        <w:rPr>
          <w:b/>
          <w:sz w:val="21"/>
        </w:rPr>
        <w:t>1) A Hindu idol is a juristic or artificial person but a minor is a natural person. </w:t>
      </w:r>
      <w:r>
        <w:rPr>
          <w:sz w:val="21"/>
        </w:rPr>
        <w:t>(2) A Hindu idol exists for its own interest as well as for the interests of its worshippers but a minor does not exist for the interests of anybody else. (3) The Contract Act (Substantive law) has taken away the legal capacity of a minor to contract but the legal capacity of a Hindu idol to contract has not been affected by this Act or by any other statute. </w:t>
      </w:r>
      <w:r>
        <w:rPr>
          <w:b/>
          <w:sz w:val="21"/>
        </w:rPr>
        <w:t>(4) The Limitation </w:t>
      </w:r>
      <w:r>
        <w:rPr>
          <w:b/>
          <w:spacing w:val="-3"/>
          <w:sz w:val="21"/>
        </w:rPr>
        <w:t>Act </w:t>
      </w:r>
      <w:r>
        <w:rPr>
          <w:b/>
          <w:sz w:val="21"/>
        </w:rPr>
        <w:t>(an adjective law) has exempted a minor from the operation of </w:t>
      </w:r>
      <w:r>
        <w:rPr>
          <w:b/>
          <w:spacing w:val="-2"/>
          <w:sz w:val="21"/>
        </w:rPr>
        <w:t>the </w:t>
      </w:r>
      <w:r>
        <w:rPr>
          <w:b/>
          <w:sz w:val="21"/>
        </w:rPr>
        <w:t>bar of limitation but this protection has not been extended to a Hindu</w:t>
      </w:r>
      <w:r>
        <w:rPr>
          <w:b/>
          <w:spacing w:val="-1"/>
          <w:sz w:val="21"/>
        </w:rPr>
        <w:t> </w:t>
      </w:r>
      <w:r>
        <w:rPr>
          <w:b/>
          <w:sz w:val="21"/>
        </w:rPr>
        <w:t>idol.</w:t>
      </w:r>
    </w:p>
    <w:p>
      <w:pPr>
        <w:spacing w:after="0" w:line="276" w:lineRule="auto"/>
        <w:jc w:val="both"/>
        <w:rPr>
          <w:sz w:val="21"/>
        </w:rPr>
        <w:sectPr>
          <w:headerReference w:type="default" r:id="rId152"/>
          <w:footerReference w:type="default" r:id="rId153"/>
          <w:pgSz w:w="11910" w:h="16840"/>
          <w:pgMar w:header="721" w:footer="1566" w:top="1300" w:bottom="1760" w:left="940" w:right="1000"/>
          <w:pgNumType w:start="466"/>
        </w:sectPr>
      </w:pPr>
    </w:p>
    <w:p>
      <w:pPr>
        <w:spacing w:line="276" w:lineRule="auto" w:before="122"/>
        <w:ind w:left="1940" w:right="2257" w:firstLine="0"/>
        <w:jc w:val="both"/>
        <w:rPr>
          <w:sz w:val="21"/>
        </w:rPr>
      </w:pPr>
      <w:r>
        <w:rPr>
          <w:b/>
          <w:sz w:val="21"/>
        </w:rPr>
        <w:t>From the above it is clear that there is some analogy between a minor and a Hindu idol but the latter is neither a minor nor a perpetual minor</w:t>
      </w:r>
      <w:r>
        <w:rPr>
          <w:sz w:val="21"/>
        </w:rPr>
        <w:t>.‖</w:t>
      </w:r>
    </w:p>
    <w:p>
      <w:pPr>
        <w:spacing w:before="0"/>
        <w:ind w:left="5786" w:right="0" w:firstLine="0"/>
        <w:jc w:val="left"/>
        <w:rPr>
          <w:sz w:val="21"/>
        </w:rPr>
      </w:pPr>
      <w:r>
        <w:rPr>
          <w:sz w:val="21"/>
        </w:rPr>
        <w:t>(Emphasis supplied)</w:t>
      </w:r>
    </w:p>
    <w:p>
      <w:pPr>
        <w:pStyle w:val="BodyText"/>
        <w:rPr>
          <w:sz w:val="24"/>
        </w:rPr>
      </w:pPr>
    </w:p>
    <w:p>
      <w:pPr>
        <w:pStyle w:val="BodyText"/>
        <w:rPr>
          <w:sz w:val="24"/>
        </w:rPr>
      </w:pPr>
    </w:p>
    <w:p>
      <w:pPr>
        <w:pStyle w:val="BodyText"/>
        <w:spacing w:before="3"/>
        <w:rPr>
          <w:sz w:val="21"/>
        </w:rPr>
      </w:pPr>
    </w:p>
    <w:p>
      <w:pPr>
        <w:pStyle w:val="BodyText"/>
        <w:spacing w:line="480" w:lineRule="auto"/>
        <w:ind w:left="500" w:right="436"/>
        <w:jc w:val="both"/>
      </w:pPr>
      <w:r>
        <w:rPr/>
        <w:t>Before the Orissa High Court in </w:t>
      </w:r>
      <w:r>
        <w:rPr>
          <w:b/>
        </w:rPr>
        <w:t>Radhakrishna Das </w:t>
      </w:r>
      <w:r>
        <w:rPr/>
        <w:t>v </w:t>
      </w:r>
      <w:r>
        <w:rPr>
          <w:b/>
        </w:rPr>
        <w:t>Radharamana Swami</w:t>
      </w:r>
      <w:r>
        <w:rPr>
          <w:vertAlign w:val="superscript"/>
        </w:rPr>
        <w:t>256</w:t>
      </w:r>
      <w:r>
        <w:rPr>
          <w:vertAlign w:val="baseline"/>
        </w:rPr>
        <w:t>, a suit had been instituted by the next friend of the deity for a decree directing the restoration of the plaintiff deity to its original place of consecration. The Division Bench of the High Court held that an idol cannot be regarded a perpetual minor for the purposes of limitation and rejected the contention of the plaintiff that the deity‘s right to be located at its temple is a continuing right on account of the incapacity of the deity to act on its behalf. The Division Bench</w:t>
      </w:r>
      <w:r>
        <w:rPr>
          <w:spacing w:val="-7"/>
          <w:vertAlign w:val="baseline"/>
        </w:rPr>
        <w:t> </w:t>
      </w:r>
      <w:r>
        <w:rPr>
          <w:vertAlign w:val="baseline"/>
        </w:rPr>
        <w:t>held:</w:t>
      </w:r>
    </w:p>
    <w:p>
      <w:pPr>
        <w:spacing w:line="276" w:lineRule="auto" w:before="161"/>
        <w:ind w:left="1940" w:right="2167" w:firstLine="0"/>
        <w:jc w:val="both"/>
        <w:rPr>
          <w:sz w:val="21"/>
        </w:rPr>
      </w:pPr>
      <w:r>
        <w:rPr>
          <w:spacing w:val="-1"/>
          <w:w w:val="33"/>
          <w:sz w:val="21"/>
        </w:rPr>
        <w:t>―</w:t>
      </w:r>
      <w:r>
        <w:rPr>
          <w:w w:val="100"/>
          <w:sz w:val="21"/>
        </w:rPr>
        <w:t>…An</w:t>
      </w:r>
      <w:r>
        <w:rPr>
          <w:spacing w:val="13"/>
          <w:sz w:val="21"/>
        </w:rPr>
        <w:t> </w:t>
      </w:r>
      <w:r>
        <w:rPr>
          <w:w w:val="100"/>
          <w:sz w:val="21"/>
        </w:rPr>
        <w:t>i</w:t>
      </w:r>
      <w:r>
        <w:rPr>
          <w:spacing w:val="-3"/>
          <w:w w:val="100"/>
          <w:sz w:val="21"/>
        </w:rPr>
        <w:t>d</w:t>
      </w:r>
      <w:r>
        <w:rPr>
          <w:spacing w:val="-1"/>
          <w:w w:val="100"/>
          <w:sz w:val="21"/>
        </w:rPr>
        <w:t>o</w:t>
      </w:r>
      <w:r>
        <w:rPr>
          <w:w w:val="100"/>
          <w:sz w:val="21"/>
        </w:rPr>
        <w:t>l</w:t>
      </w:r>
      <w:r>
        <w:rPr>
          <w:spacing w:val="14"/>
          <w:sz w:val="21"/>
        </w:rPr>
        <w:t> </w:t>
      </w:r>
      <w:r>
        <w:rPr>
          <w:w w:val="100"/>
          <w:sz w:val="21"/>
        </w:rPr>
        <w:t>is</w:t>
      </w:r>
      <w:r>
        <w:rPr>
          <w:spacing w:val="13"/>
          <w:sz w:val="21"/>
        </w:rPr>
        <w:t> </w:t>
      </w:r>
      <w:r>
        <w:rPr>
          <w:spacing w:val="-1"/>
          <w:w w:val="100"/>
          <w:sz w:val="21"/>
        </w:rPr>
        <w:t>n</w:t>
      </w:r>
      <w:r>
        <w:rPr>
          <w:w w:val="100"/>
          <w:sz w:val="21"/>
        </w:rPr>
        <w:t>o</w:t>
      </w:r>
      <w:r>
        <w:rPr>
          <w:spacing w:val="13"/>
          <w:sz w:val="21"/>
        </w:rPr>
        <w:t> </w:t>
      </w:r>
      <w:r>
        <w:rPr>
          <w:spacing w:val="-1"/>
          <w:w w:val="100"/>
          <w:sz w:val="21"/>
        </w:rPr>
        <w:t>do</w:t>
      </w:r>
      <w:r>
        <w:rPr>
          <w:spacing w:val="-2"/>
          <w:w w:val="100"/>
          <w:sz w:val="21"/>
        </w:rPr>
        <w:t>u</w:t>
      </w:r>
      <w:r>
        <w:rPr>
          <w:spacing w:val="-1"/>
          <w:w w:val="100"/>
          <w:sz w:val="21"/>
        </w:rPr>
        <w:t>b</w:t>
      </w:r>
      <w:r>
        <w:rPr>
          <w:w w:val="100"/>
          <w:sz w:val="21"/>
        </w:rPr>
        <w:t>t</w:t>
      </w:r>
      <w:r>
        <w:rPr>
          <w:spacing w:val="17"/>
          <w:sz w:val="21"/>
        </w:rPr>
        <w:t> </w:t>
      </w:r>
      <w:r>
        <w:rPr>
          <w:spacing w:val="-2"/>
          <w:w w:val="100"/>
          <w:sz w:val="21"/>
        </w:rPr>
        <w:t>i</w:t>
      </w:r>
      <w:r>
        <w:rPr>
          <w:w w:val="100"/>
          <w:sz w:val="21"/>
        </w:rPr>
        <w:t>n</w:t>
      </w:r>
      <w:r>
        <w:rPr>
          <w:spacing w:val="16"/>
          <w:sz w:val="21"/>
        </w:rPr>
        <w:t> </w:t>
      </w:r>
      <w:r>
        <w:rPr>
          <w:spacing w:val="-2"/>
          <w:w w:val="100"/>
          <w:sz w:val="21"/>
        </w:rPr>
        <w:t>t</w:t>
      </w:r>
      <w:r>
        <w:rPr>
          <w:w w:val="100"/>
          <w:sz w:val="21"/>
        </w:rPr>
        <w:t>he</w:t>
      </w:r>
      <w:r>
        <w:rPr>
          <w:spacing w:val="16"/>
          <w:sz w:val="21"/>
        </w:rPr>
        <w:t> </w:t>
      </w:r>
      <w:r>
        <w:rPr>
          <w:spacing w:val="-3"/>
          <w:w w:val="100"/>
          <w:sz w:val="21"/>
        </w:rPr>
        <w:t>p</w:t>
      </w:r>
      <w:r>
        <w:rPr>
          <w:w w:val="100"/>
          <w:sz w:val="21"/>
        </w:rPr>
        <w:t>os</w:t>
      </w:r>
      <w:r>
        <w:rPr>
          <w:spacing w:val="1"/>
          <w:w w:val="100"/>
          <w:sz w:val="21"/>
        </w:rPr>
        <w:t>i</w:t>
      </w:r>
      <w:r>
        <w:rPr>
          <w:spacing w:val="-4"/>
          <w:w w:val="100"/>
          <w:sz w:val="21"/>
        </w:rPr>
        <w:t>t</w:t>
      </w:r>
      <w:r>
        <w:rPr>
          <w:w w:val="100"/>
          <w:sz w:val="21"/>
        </w:rPr>
        <w:t>i</w:t>
      </w:r>
      <w:r>
        <w:rPr>
          <w:w w:val="100"/>
          <w:sz w:val="21"/>
        </w:rPr>
        <w:t>on</w:t>
      </w:r>
      <w:r>
        <w:rPr>
          <w:spacing w:val="13"/>
          <w:sz w:val="21"/>
        </w:rPr>
        <w:t> </w:t>
      </w:r>
      <w:r>
        <w:rPr>
          <w:w w:val="100"/>
          <w:sz w:val="21"/>
        </w:rPr>
        <w:t>of</w:t>
      </w:r>
      <w:r>
        <w:rPr>
          <w:spacing w:val="14"/>
          <w:sz w:val="21"/>
        </w:rPr>
        <w:t> </w:t>
      </w:r>
      <w:r>
        <w:rPr>
          <w:w w:val="100"/>
          <w:sz w:val="21"/>
        </w:rPr>
        <w:t>an</w:t>
      </w:r>
      <w:r>
        <w:rPr>
          <w:spacing w:val="13"/>
          <w:sz w:val="21"/>
        </w:rPr>
        <w:t> </w:t>
      </w:r>
      <w:r>
        <w:rPr>
          <w:w w:val="100"/>
          <w:sz w:val="21"/>
        </w:rPr>
        <w:t>i</w:t>
      </w:r>
      <w:r>
        <w:rPr>
          <w:spacing w:val="-3"/>
          <w:w w:val="100"/>
          <w:sz w:val="21"/>
        </w:rPr>
        <w:t>n</w:t>
      </w:r>
      <w:r>
        <w:rPr>
          <w:spacing w:val="1"/>
          <w:w w:val="100"/>
          <w:sz w:val="21"/>
        </w:rPr>
        <w:t>f</w:t>
      </w:r>
      <w:r>
        <w:rPr>
          <w:spacing w:val="-3"/>
          <w:w w:val="100"/>
          <w:sz w:val="21"/>
        </w:rPr>
        <w:t>a</w:t>
      </w:r>
      <w:r>
        <w:rPr>
          <w:w w:val="100"/>
          <w:sz w:val="21"/>
        </w:rPr>
        <w:t>nt</w:t>
      </w:r>
      <w:r>
        <w:rPr>
          <w:spacing w:val="14"/>
          <w:sz w:val="21"/>
        </w:rPr>
        <w:t> </w:t>
      </w:r>
      <w:r>
        <w:rPr>
          <w:spacing w:val="-3"/>
          <w:w w:val="100"/>
          <w:sz w:val="21"/>
        </w:rPr>
        <w:t>a</w:t>
      </w:r>
      <w:r>
        <w:rPr>
          <w:w w:val="100"/>
          <w:sz w:val="21"/>
        </w:rPr>
        <w:t>s</w:t>
      </w:r>
      <w:r>
        <w:rPr>
          <w:spacing w:val="15"/>
          <w:sz w:val="21"/>
        </w:rPr>
        <w:t> </w:t>
      </w:r>
      <w:r>
        <w:rPr>
          <w:w w:val="100"/>
          <w:sz w:val="21"/>
        </w:rPr>
        <w:t>i</w:t>
      </w:r>
      <w:r>
        <w:rPr>
          <w:w w:val="100"/>
          <w:sz w:val="21"/>
        </w:rPr>
        <w:t>t</w:t>
      </w:r>
      <w:r>
        <w:rPr>
          <w:spacing w:val="14"/>
          <w:sz w:val="21"/>
        </w:rPr>
        <w:t> </w:t>
      </w:r>
      <w:r>
        <w:rPr>
          <w:w w:val="100"/>
          <w:sz w:val="21"/>
        </w:rPr>
        <w:t>c</w:t>
      </w:r>
      <w:r>
        <w:rPr>
          <w:spacing w:val="-3"/>
          <w:w w:val="100"/>
          <w:sz w:val="21"/>
        </w:rPr>
        <w:t>a</w:t>
      </w:r>
      <w:r>
        <w:rPr>
          <w:w w:val="100"/>
          <w:sz w:val="21"/>
        </w:rPr>
        <w:t>n</w:t>
      </w:r>
      <w:r>
        <w:rPr>
          <w:spacing w:val="16"/>
          <w:sz w:val="21"/>
        </w:rPr>
        <w:t> </w:t>
      </w:r>
      <w:r>
        <w:rPr>
          <w:spacing w:val="-3"/>
          <w:w w:val="100"/>
          <w:sz w:val="21"/>
        </w:rPr>
        <w:t>a</w:t>
      </w:r>
      <w:r>
        <w:rPr>
          <w:w w:val="100"/>
          <w:sz w:val="21"/>
        </w:rPr>
        <w:t>ct </w:t>
      </w:r>
      <w:r>
        <w:rPr>
          <w:sz w:val="21"/>
        </w:rPr>
        <w:t>only through a sebayat or a manager. But no authority has been cited to us for the proposition that he is to be regarded as a perpetual infant, so that transactions by or against him will not by governed by the Limitation</w:t>
      </w:r>
      <w:r>
        <w:rPr>
          <w:spacing w:val="-13"/>
          <w:sz w:val="21"/>
        </w:rPr>
        <w:t> </w:t>
      </w:r>
      <w:r>
        <w:rPr>
          <w:sz w:val="21"/>
        </w:rPr>
        <w:t>Act.</w:t>
      </w:r>
    </w:p>
    <w:p>
      <w:pPr>
        <w:pStyle w:val="BodyText"/>
        <w:spacing w:before="4"/>
        <w:rPr>
          <w:sz w:val="24"/>
        </w:rPr>
      </w:pPr>
    </w:p>
    <w:p>
      <w:pPr>
        <w:spacing w:line="276" w:lineRule="auto" w:before="0"/>
        <w:ind w:left="1940" w:right="2165" w:firstLine="0"/>
        <w:jc w:val="both"/>
        <w:rPr>
          <w:sz w:val="21"/>
        </w:rPr>
      </w:pPr>
      <w:r>
        <w:rPr>
          <w:sz w:val="21"/>
        </w:rPr>
        <w:t>The doctrine that an idol is a perpetual minor is an extravagant doctrine as it is open to the sebayat, or any person in an endowment, to bring a suit to recover the idol‘s property for devottar purposes. An idol, therefore, is as much subject to the law of limitation as a natural person and cannot claim exemption on the ground that he is a perpetual infant. Nor is a Hindu deity to be regarded as a minor for all purposes. An idol cannot, therefore, claim exemption from the law of limitation.‖</w:t>
      </w:r>
    </w:p>
    <w:p>
      <w:pPr>
        <w:pStyle w:val="BodyText"/>
        <w:rPr>
          <w:sz w:val="24"/>
        </w:rPr>
      </w:pPr>
    </w:p>
    <w:p>
      <w:pPr>
        <w:pStyle w:val="BodyText"/>
        <w:spacing w:before="1"/>
        <w:rPr>
          <w:sz w:val="27"/>
        </w:rPr>
      </w:pPr>
    </w:p>
    <w:p>
      <w:pPr>
        <w:pStyle w:val="BodyText"/>
        <w:spacing w:line="480" w:lineRule="auto"/>
        <w:ind w:left="500" w:right="444"/>
        <w:jc w:val="both"/>
      </w:pPr>
      <w:r>
        <w:rPr/>
        <w:t>The legal fiction of a deity as a minor has been evolved to obviate the inability of the deity to institute legal proceedings on its own. A human agent must institute legal proceedings on behalf of the deity to overcome the disability. However, the fiction has not been extended to exempt the deity from the applicability of the law of limitation.</w:t>
      </w:r>
    </w:p>
    <w:p>
      <w:pPr>
        <w:spacing w:after="0" w:line="480" w:lineRule="auto"/>
        <w:jc w:val="both"/>
        <w:sectPr>
          <w:headerReference w:type="default" r:id="rId154"/>
          <w:footerReference w:type="default" r:id="rId155"/>
          <w:pgSz w:w="11910" w:h="16840"/>
          <w:pgMar w:header="721" w:footer="1566" w:top="1300" w:bottom="1760" w:left="940" w:right="1000"/>
          <w:pgNumType w:start="467"/>
        </w:sectPr>
      </w:pPr>
    </w:p>
    <w:p>
      <w:pPr>
        <w:pStyle w:val="ListParagraph"/>
        <w:numPr>
          <w:ilvl w:val="0"/>
          <w:numId w:val="111"/>
        </w:numPr>
        <w:tabs>
          <w:tab w:pos="1221" w:val="left" w:leader="none"/>
        </w:tabs>
        <w:spacing w:line="480" w:lineRule="auto" w:before="124" w:after="0"/>
        <w:ind w:left="500" w:right="434" w:firstLine="0"/>
        <w:jc w:val="both"/>
        <w:rPr>
          <w:sz w:val="25"/>
        </w:rPr>
      </w:pPr>
      <w:r>
        <w:rPr>
          <w:sz w:val="25"/>
        </w:rPr>
        <w:t>In the present case, it has been established that there was no </w:t>
      </w:r>
      <w:r>
        <w:rPr>
          <w:i/>
          <w:sz w:val="25"/>
        </w:rPr>
        <w:t>de-facto </w:t>
      </w:r>
      <w:r>
        <w:rPr>
          <w:sz w:val="25"/>
        </w:rPr>
        <w:t>or </w:t>
      </w:r>
      <w:r>
        <w:rPr>
          <w:i/>
          <w:sz w:val="25"/>
        </w:rPr>
        <w:t>de-jure </w:t>
      </w:r>
      <w:r>
        <w:rPr>
          <w:sz w:val="25"/>
        </w:rPr>
        <w:t>shebait acting on behalf of the deity. Therefore, it is appropriate to refer to </w:t>
      </w:r>
      <w:r>
        <w:rPr>
          <w:spacing w:val="-1"/>
          <w:w w:val="99"/>
          <w:sz w:val="25"/>
        </w:rPr>
        <w:t>jud</w:t>
      </w:r>
      <w:r>
        <w:rPr>
          <w:w w:val="99"/>
          <w:sz w:val="25"/>
        </w:rPr>
        <w:t>g</w:t>
      </w:r>
      <w:r>
        <w:rPr>
          <w:spacing w:val="-1"/>
          <w:w w:val="99"/>
          <w:sz w:val="25"/>
        </w:rPr>
        <w:t>e</w:t>
      </w:r>
      <w:r>
        <w:rPr>
          <w:w w:val="99"/>
          <w:sz w:val="25"/>
        </w:rPr>
        <w:t>m</w:t>
      </w:r>
      <w:r>
        <w:rPr>
          <w:spacing w:val="-1"/>
          <w:w w:val="99"/>
          <w:sz w:val="25"/>
        </w:rPr>
        <w:t>e</w:t>
      </w:r>
      <w:r>
        <w:rPr>
          <w:w w:val="99"/>
          <w:sz w:val="25"/>
        </w:rPr>
        <w:t>nts</w:t>
      </w:r>
      <w:r>
        <w:rPr>
          <w:spacing w:val="9"/>
          <w:sz w:val="25"/>
        </w:rPr>
        <w:t> </w:t>
      </w:r>
      <w:r>
        <w:rPr>
          <w:spacing w:val="-1"/>
          <w:w w:val="99"/>
          <w:sz w:val="25"/>
        </w:rPr>
        <w:t>o</w:t>
      </w:r>
      <w:r>
        <w:rPr>
          <w:w w:val="99"/>
          <w:sz w:val="25"/>
        </w:rPr>
        <w:t>f</w:t>
      </w:r>
      <w:r>
        <w:rPr>
          <w:spacing w:val="10"/>
          <w:sz w:val="25"/>
        </w:rPr>
        <w:t> </w:t>
      </w:r>
      <w:r>
        <w:rPr>
          <w:w w:val="99"/>
          <w:sz w:val="25"/>
        </w:rPr>
        <w:t>this</w:t>
      </w:r>
      <w:r>
        <w:rPr>
          <w:spacing w:val="10"/>
          <w:sz w:val="25"/>
        </w:rPr>
        <w:t> </w:t>
      </w:r>
      <w:r>
        <w:rPr>
          <w:spacing w:val="-1"/>
          <w:w w:val="99"/>
          <w:sz w:val="25"/>
        </w:rPr>
        <w:t>C</w:t>
      </w:r>
      <w:r>
        <w:rPr>
          <w:spacing w:val="-3"/>
          <w:w w:val="99"/>
          <w:sz w:val="25"/>
        </w:rPr>
        <w:t>o</w:t>
      </w:r>
      <w:r>
        <w:rPr>
          <w:spacing w:val="-1"/>
          <w:w w:val="99"/>
          <w:sz w:val="25"/>
        </w:rPr>
        <w:t>u</w:t>
      </w:r>
      <w:r>
        <w:rPr>
          <w:w w:val="99"/>
          <w:sz w:val="25"/>
        </w:rPr>
        <w:t>rt</w:t>
      </w:r>
      <w:r>
        <w:rPr>
          <w:spacing w:val="9"/>
          <w:sz w:val="25"/>
        </w:rPr>
        <w:t> </w:t>
      </w:r>
      <w:r>
        <w:rPr>
          <w:w w:val="99"/>
          <w:sz w:val="25"/>
        </w:rPr>
        <w:t>r</w:t>
      </w:r>
      <w:r>
        <w:rPr>
          <w:spacing w:val="-1"/>
          <w:w w:val="99"/>
          <w:sz w:val="25"/>
        </w:rPr>
        <w:t>e</w:t>
      </w:r>
      <w:r>
        <w:rPr>
          <w:w w:val="99"/>
          <w:sz w:val="25"/>
        </w:rPr>
        <w:t>g</w:t>
      </w:r>
      <w:r>
        <w:rPr>
          <w:spacing w:val="-1"/>
          <w:w w:val="99"/>
          <w:sz w:val="25"/>
        </w:rPr>
        <w:t>a</w:t>
      </w:r>
      <w:r>
        <w:rPr>
          <w:w w:val="99"/>
          <w:sz w:val="25"/>
        </w:rPr>
        <w:t>r</w:t>
      </w:r>
      <w:r>
        <w:rPr>
          <w:spacing w:val="-1"/>
          <w:w w:val="99"/>
          <w:sz w:val="25"/>
        </w:rPr>
        <w:t>din</w:t>
      </w:r>
      <w:r>
        <w:rPr>
          <w:w w:val="99"/>
          <w:sz w:val="25"/>
        </w:rPr>
        <w:t>g</w:t>
      </w:r>
      <w:r>
        <w:rPr>
          <w:spacing w:val="8"/>
          <w:sz w:val="25"/>
        </w:rPr>
        <w:t> </w:t>
      </w:r>
      <w:r>
        <w:rPr>
          <w:w w:val="99"/>
          <w:sz w:val="25"/>
        </w:rPr>
        <w:t>the</w:t>
      </w:r>
      <w:r>
        <w:rPr>
          <w:spacing w:val="10"/>
          <w:sz w:val="25"/>
        </w:rPr>
        <w:t> </w:t>
      </w:r>
      <w:r>
        <w:rPr>
          <w:w w:val="33"/>
          <w:sz w:val="25"/>
        </w:rPr>
        <w:t>―</w:t>
      </w:r>
      <w:r>
        <w:rPr>
          <w:w w:val="99"/>
          <w:sz w:val="25"/>
        </w:rPr>
        <w:t>r</w:t>
      </w:r>
      <w:r>
        <w:rPr>
          <w:spacing w:val="-1"/>
          <w:w w:val="99"/>
          <w:sz w:val="25"/>
        </w:rPr>
        <w:t>ig</w:t>
      </w:r>
      <w:r>
        <w:rPr>
          <w:spacing w:val="-2"/>
          <w:w w:val="99"/>
          <w:sz w:val="25"/>
        </w:rPr>
        <w:t>h</w:t>
      </w:r>
      <w:r>
        <w:rPr>
          <w:w w:val="99"/>
          <w:sz w:val="25"/>
        </w:rPr>
        <w:t>t</w:t>
      </w:r>
      <w:r>
        <w:rPr>
          <w:spacing w:val="9"/>
          <w:sz w:val="25"/>
        </w:rPr>
        <w:t> </w:t>
      </w:r>
      <w:r>
        <w:rPr>
          <w:spacing w:val="-1"/>
          <w:w w:val="99"/>
          <w:sz w:val="25"/>
        </w:rPr>
        <w:t>o</w:t>
      </w:r>
      <w:r>
        <w:rPr>
          <w:w w:val="99"/>
          <w:sz w:val="25"/>
        </w:rPr>
        <w:t>f</w:t>
      </w:r>
      <w:r>
        <w:rPr>
          <w:spacing w:val="10"/>
          <w:sz w:val="25"/>
        </w:rPr>
        <w:t> </w:t>
      </w:r>
      <w:r>
        <w:rPr>
          <w:w w:val="95"/>
          <w:sz w:val="25"/>
        </w:rPr>
        <w:t>suit‖</w:t>
      </w:r>
      <w:r>
        <w:rPr>
          <w:spacing w:val="10"/>
          <w:sz w:val="25"/>
        </w:rPr>
        <w:t> </w:t>
      </w:r>
      <w:r>
        <w:rPr>
          <w:spacing w:val="-1"/>
          <w:w w:val="99"/>
          <w:sz w:val="25"/>
        </w:rPr>
        <w:t>a</w:t>
      </w:r>
      <w:r>
        <w:rPr>
          <w:w w:val="99"/>
          <w:sz w:val="25"/>
        </w:rPr>
        <w:t>s</w:t>
      </w:r>
      <w:r>
        <w:rPr>
          <w:spacing w:val="9"/>
          <w:sz w:val="25"/>
        </w:rPr>
        <w:t> </w:t>
      </w:r>
      <w:r>
        <w:rPr>
          <w:spacing w:val="-3"/>
          <w:w w:val="99"/>
          <w:sz w:val="25"/>
        </w:rPr>
        <w:t>v</w:t>
      </w:r>
      <w:r>
        <w:rPr>
          <w:spacing w:val="-1"/>
          <w:w w:val="99"/>
          <w:sz w:val="25"/>
        </w:rPr>
        <w:t>est</w:t>
      </w:r>
      <w:r>
        <w:rPr>
          <w:w w:val="99"/>
          <w:sz w:val="25"/>
        </w:rPr>
        <w:t>ed</w:t>
      </w:r>
      <w:r>
        <w:rPr>
          <w:spacing w:val="9"/>
          <w:sz w:val="25"/>
        </w:rPr>
        <w:t> </w:t>
      </w:r>
      <w:r>
        <w:rPr>
          <w:spacing w:val="-1"/>
          <w:w w:val="99"/>
          <w:sz w:val="25"/>
        </w:rPr>
        <w:t>i</w:t>
      </w:r>
      <w:r>
        <w:rPr>
          <w:w w:val="99"/>
          <w:sz w:val="25"/>
        </w:rPr>
        <w:t>n</w:t>
      </w:r>
      <w:r>
        <w:rPr>
          <w:spacing w:val="9"/>
          <w:sz w:val="25"/>
        </w:rPr>
        <w:t> </w:t>
      </w:r>
      <w:r>
        <w:rPr>
          <w:w w:val="99"/>
          <w:sz w:val="25"/>
        </w:rPr>
        <w:t>the</w:t>
      </w:r>
      <w:r>
        <w:rPr>
          <w:spacing w:val="10"/>
          <w:sz w:val="25"/>
        </w:rPr>
        <w:t> </w:t>
      </w:r>
      <w:r>
        <w:rPr>
          <w:w w:val="99"/>
          <w:sz w:val="25"/>
        </w:rPr>
        <w:t>she</w:t>
      </w:r>
      <w:r>
        <w:rPr>
          <w:spacing w:val="-1"/>
          <w:w w:val="99"/>
          <w:sz w:val="25"/>
        </w:rPr>
        <w:t>b</w:t>
      </w:r>
      <w:r>
        <w:rPr>
          <w:w w:val="99"/>
          <w:sz w:val="25"/>
        </w:rPr>
        <w:t>a</w:t>
      </w:r>
      <w:r>
        <w:rPr>
          <w:spacing w:val="-1"/>
          <w:w w:val="99"/>
          <w:sz w:val="25"/>
        </w:rPr>
        <w:t>i</w:t>
      </w:r>
      <w:r>
        <w:rPr>
          <w:w w:val="99"/>
          <w:sz w:val="25"/>
        </w:rPr>
        <w:t>t</w:t>
      </w:r>
      <w:r>
        <w:rPr>
          <w:spacing w:val="9"/>
          <w:sz w:val="25"/>
        </w:rPr>
        <w:t> </w:t>
      </w:r>
      <w:r>
        <w:rPr>
          <w:spacing w:val="-1"/>
          <w:w w:val="99"/>
          <w:sz w:val="25"/>
        </w:rPr>
        <w:t>a</w:t>
      </w:r>
      <w:r>
        <w:rPr>
          <w:w w:val="99"/>
          <w:sz w:val="25"/>
        </w:rPr>
        <w:t>nd </w:t>
      </w:r>
      <w:r>
        <w:rPr>
          <w:sz w:val="25"/>
        </w:rPr>
        <w:t>the consequence of the absence of a shebait on the application of the Limitation </w:t>
      </w:r>
      <w:r>
        <w:rPr>
          <w:spacing w:val="-1"/>
          <w:w w:val="99"/>
          <w:sz w:val="25"/>
        </w:rPr>
        <w:t>A</w:t>
      </w:r>
      <w:r>
        <w:rPr>
          <w:w w:val="99"/>
          <w:sz w:val="25"/>
        </w:rPr>
        <w:t>ct</w:t>
      </w:r>
      <w:r>
        <w:rPr>
          <w:sz w:val="25"/>
        </w:rPr>
        <w:t>  </w:t>
      </w:r>
      <w:r>
        <w:rPr>
          <w:spacing w:val="-7"/>
          <w:sz w:val="25"/>
        </w:rPr>
        <w:t> </w:t>
      </w:r>
      <w:r>
        <w:rPr>
          <w:w w:val="99"/>
          <w:sz w:val="25"/>
        </w:rPr>
        <w:t>to</w:t>
      </w:r>
      <w:r>
        <w:rPr>
          <w:sz w:val="25"/>
        </w:rPr>
        <w:t>  </w:t>
      </w:r>
      <w:r>
        <w:rPr>
          <w:spacing w:val="-7"/>
          <w:sz w:val="25"/>
        </w:rPr>
        <w:t> </w:t>
      </w:r>
      <w:r>
        <w:rPr>
          <w:w w:val="99"/>
          <w:sz w:val="25"/>
        </w:rPr>
        <w:t>the</w:t>
      </w:r>
      <w:r>
        <w:rPr>
          <w:sz w:val="25"/>
        </w:rPr>
        <w:t>  </w:t>
      </w:r>
      <w:r>
        <w:rPr>
          <w:spacing w:val="-7"/>
          <w:sz w:val="25"/>
        </w:rPr>
        <w:t> </w:t>
      </w:r>
      <w:r>
        <w:rPr>
          <w:w w:val="99"/>
          <w:sz w:val="25"/>
        </w:rPr>
        <w:t>ad</w:t>
      </w:r>
      <w:r>
        <w:rPr>
          <w:spacing w:val="-3"/>
          <w:w w:val="99"/>
          <w:sz w:val="25"/>
        </w:rPr>
        <w:t>v</w:t>
      </w:r>
      <w:r>
        <w:rPr>
          <w:w w:val="99"/>
          <w:sz w:val="25"/>
        </w:rPr>
        <w:t>e</w:t>
      </w:r>
      <w:r>
        <w:rPr>
          <w:spacing w:val="1"/>
          <w:w w:val="99"/>
          <w:sz w:val="25"/>
        </w:rPr>
        <w:t>r</w:t>
      </w:r>
      <w:r>
        <w:rPr>
          <w:w w:val="99"/>
          <w:sz w:val="25"/>
        </w:rPr>
        <w:t>se</w:t>
      </w:r>
      <w:r>
        <w:rPr>
          <w:sz w:val="25"/>
        </w:rPr>
        <w:t>  </w:t>
      </w:r>
      <w:r>
        <w:rPr>
          <w:spacing w:val="-5"/>
          <w:sz w:val="25"/>
        </w:rPr>
        <w:t> </w:t>
      </w:r>
      <w:r>
        <w:rPr>
          <w:w w:val="99"/>
          <w:sz w:val="25"/>
        </w:rPr>
        <w:t>po</w:t>
      </w:r>
      <w:r>
        <w:rPr>
          <w:w w:val="99"/>
          <w:sz w:val="25"/>
        </w:rPr>
        <w:t>ssession</w:t>
      </w:r>
      <w:r>
        <w:rPr>
          <w:sz w:val="25"/>
        </w:rPr>
        <w:t>  </w:t>
      </w:r>
      <w:r>
        <w:rPr>
          <w:spacing w:val="-7"/>
          <w:sz w:val="25"/>
        </w:rPr>
        <w:t> </w:t>
      </w:r>
      <w:r>
        <w:rPr>
          <w:w w:val="99"/>
          <w:sz w:val="25"/>
        </w:rPr>
        <w:t>of</w:t>
      </w:r>
      <w:r>
        <w:rPr>
          <w:sz w:val="25"/>
        </w:rPr>
        <w:t>  </w:t>
      </w:r>
      <w:r>
        <w:rPr>
          <w:spacing w:val="-7"/>
          <w:sz w:val="25"/>
        </w:rPr>
        <w:t> </w:t>
      </w:r>
      <w:r>
        <w:rPr>
          <w:w w:val="99"/>
          <w:sz w:val="25"/>
        </w:rPr>
        <w:t>debu</w:t>
      </w:r>
      <w:r>
        <w:rPr>
          <w:w w:val="99"/>
          <w:sz w:val="25"/>
        </w:rPr>
        <w:t>tte</w:t>
      </w:r>
      <w:r>
        <w:rPr>
          <w:w w:val="99"/>
          <w:sz w:val="25"/>
        </w:rPr>
        <w:t>r</w:t>
      </w:r>
      <w:r>
        <w:rPr>
          <w:sz w:val="25"/>
        </w:rPr>
        <w:t>  </w:t>
      </w:r>
      <w:r>
        <w:rPr>
          <w:spacing w:val="-7"/>
          <w:sz w:val="25"/>
        </w:rPr>
        <w:t> </w:t>
      </w:r>
      <w:r>
        <w:rPr>
          <w:w w:val="99"/>
          <w:sz w:val="25"/>
        </w:rPr>
        <w:t>p</w:t>
      </w:r>
      <w:r>
        <w:rPr>
          <w:spacing w:val="1"/>
          <w:w w:val="99"/>
          <w:sz w:val="25"/>
        </w:rPr>
        <w:t>r</w:t>
      </w:r>
      <w:r>
        <w:rPr>
          <w:w w:val="99"/>
          <w:sz w:val="25"/>
        </w:rPr>
        <w:t>op</w:t>
      </w:r>
      <w:r>
        <w:rPr>
          <w:spacing w:val="-2"/>
          <w:w w:val="99"/>
          <w:sz w:val="25"/>
        </w:rPr>
        <w:t>e</w:t>
      </w:r>
      <w:r>
        <w:rPr>
          <w:w w:val="99"/>
          <w:sz w:val="25"/>
        </w:rPr>
        <w:t>r</w:t>
      </w:r>
      <w:r>
        <w:rPr>
          <w:w w:val="99"/>
          <w:sz w:val="25"/>
        </w:rPr>
        <w:t>t</w:t>
      </w:r>
      <w:r>
        <w:rPr>
          <w:spacing w:val="-3"/>
          <w:w w:val="99"/>
          <w:sz w:val="25"/>
        </w:rPr>
        <w:t>y</w:t>
      </w:r>
      <w:r>
        <w:rPr>
          <w:w w:val="99"/>
          <w:sz w:val="25"/>
        </w:rPr>
        <w:t>.</w:t>
      </w:r>
      <w:r>
        <w:rPr>
          <w:sz w:val="25"/>
        </w:rPr>
        <w:t>  </w:t>
      </w:r>
      <w:r>
        <w:rPr>
          <w:spacing w:val="-1"/>
          <w:sz w:val="25"/>
        </w:rPr>
        <w:t> </w:t>
      </w:r>
      <w:r>
        <w:rPr>
          <w:w w:val="33"/>
          <w:sz w:val="25"/>
        </w:rPr>
        <w:t>―</w:t>
      </w:r>
      <w:r>
        <w:rPr>
          <w:w w:val="99"/>
          <w:sz w:val="25"/>
        </w:rPr>
        <w:t>In</w:t>
      </w:r>
      <w:r>
        <w:rPr>
          <w:sz w:val="25"/>
        </w:rPr>
        <w:t>  </w:t>
      </w:r>
      <w:r>
        <w:rPr>
          <w:spacing w:val="-7"/>
          <w:sz w:val="25"/>
        </w:rPr>
        <w:t> </w:t>
      </w:r>
      <w:r>
        <w:rPr>
          <w:b/>
          <w:w w:val="99"/>
          <w:sz w:val="25"/>
        </w:rPr>
        <w:t>Rai</w:t>
      </w:r>
      <w:r>
        <w:rPr>
          <w:b/>
          <w:sz w:val="25"/>
        </w:rPr>
        <w:t>  </w:t>
      </w:r>
      <w:r>
        <w:rPr>
          <w:b/>
          <w:spacing w:val="-6"/>
          <w:sz w:val="25"/>
        </w:rPr>
        <w:t> </w:t>
      </w:r>
      <w:r>
        <w:rPr>
          <w:b/>
          <w:spacing w:val="-1"/>
          <w:w w:val="99"/>
          <w:sz w:val="25"/>
        </w:rPr>
        <w:t>S</w:t>
      </w:r>
      <w:r>
        <w:rPr>
          <w:b/>
          <w:w w:val="99"/>
          <w:sz w:val="25"/>
        </w:rPr>
        <w:t>a</w:t>
      </w:r>
      <w:r>
        <w:rPr>
          <w:b/>
          <w:spacing w:val="1"/>
          <w:w w:val="99"/>
          <w:sz w:val="25"/>
        </w:rPr>
        <w:t>h</w:t>
      </w:r>
      <w:r>
        <w:rPr>
          <w:b/>
          <w:w w:val="99"/>
          <w:sz w:val="25"/>
        </w:rPr>
        <w:t>ib</w:t>
      </w:r>
      <w:r>
        <w:rPr>
          <w:b/>
          <w:sz w:val="25"/>
        </w:rPr>
        <w:t>  </w:t>
      </w:r>
      <w:r>
        <w:rPr>
          <w:b/>
          <w:spacing w:val="-6"/>
          <w:sz w:val="25"/>
        </w:rPr>
        <w:t> </w:t>
      </w:r>
      <w:r>
        <w:rPr>
          <w:b/>
          <w:w w:val="99"/>
          <w:sz w:val="25"/>
        </w:rPr>
        <w:t>Dr </w:t>
      </w:r>
      <w:r>
        <w:rPr>
          <w:b/>
          <w:sz w:val="25"/>
        </w:rPr>
        <w:t>Gurdittamal Kapur </w:t>
      </w:r>
      <w:r>
        <w:rPr>
          <w:sz w:val="25"/>
        </w:rPr>
        <w:t>v </w:t>
      </w:r>
      <w:r>
        <w:rPr>
          <w:b/>
          <w:sz w:val="25"/>
        </w:rPr>
        <w:t>Mahant Amar Das Chela Mahant Ram Saran</w:t>
      </w:r>
      <w:r>
        <w:rPr>
          <w:sz w:val="25"/>
          <w:vertAlign w:val="superscript"/>
        </w:rPr>
        <w:t>257</w:t>
      </w:r>
      <w:r>
        <w:rPr>
          <w:sz w:val="25"/>
          <w:vertAlign w:val="baseline"/>
        </w:rPr>
        <w:t>, this Court dealt with a case where a suit was filed in 1957 by the first respondent,  who was a newly appointed Mahant of Akhara Nirbansar of Sultanwind Gate, Amritsar. The second respondent was removed as a Mahant </w:t>
      </w:r>
      <w:r>
        <w:rPr>
          <w:spacing w:val="4"/>
          <w:sz w:val="25"/>
          <w:vertAlign w:val="baseline"/>
        </w:rPr>
        <w:t>in </w:t>
      </w:r>
      <w:r>
        <w:rPr>
          <w:sz w:val="25"/>
          <w:vertAlign w:val="baseline"/>
        </w:rPr>
        <w:t>proceedings under Section 92 of the Civil Procedure Code and the first respondent was subsequently appointed in his place. It was alleged that the alienation of property by the second respondent was unauthorised as the transfer was not for legal necessity or for the benefit of the estate. Moreover, it was contended that the fact that the appellant was in possession of the land for more than twelve years made no difference and since the land was trust property, a suit for its recovery could be brought within twelve years from the date of death, resignation or removal of the manager of such a property. A three judge Bench of this Court held that the suit filed by the first respondent was liable to be dismissed since the appellant had been in adverse possession for more than twelve years. Speaking for this Court, Justice J R Mudholkar held that for the purposes of Section 144 of the Act, </w:t>
      </w:r>
      <w:r>
        <w:rPr>
          <w:spacing w:val="-1"/>
          <w:w w:val="99"/>
          <w:sz w:val="25"/>
          <w:vertAlign w:val="baseline"/>
        </w:rPr>
        <w:t>a</w:t>
      </w:r>
      <w:r>
        <w:rPr>
          <w:w w:val="99"/>
          <w:sz w:val="25"/>
          <w:vertAlign w:val="baseline"/>
        </w:rPr>
        <w:t>d</w:t>
      </w:r>
      <w:r>
        <w:rPr>
          <w:spacing w:val="-3"/>
          <w:w w:val="99"/>
          <w:sz w:val="25"/>
          <w:vertAlign w:val="baseline"/>
        </w:rPr>
        <w:t>v</w:t>
      </w:r>
      <w:r>
        <w:rPr>
          <w:spacing w:val="-1"/>
          <w:w w:val="99"/>
          <w:sz w:val="25"/>
          <w:vertAlign w:val="baseline"/>
        </w:rPr>
        <w:t>e</w:t>
      </w:r>
      <w:r>
        <w:rPr>
          <w:w w:val="99"/>
          <w:sz w:val="25"/>
          <w:vertAlign w:val="baseline"/>
        </w:rPr>
        <w:t>rse</w:t>
      </w:r>
      <w:r>
        <w:rPr>
          <w:sz w:val="25"/>
          <w:vertAlign w:val="baseline"/>
        </w:rPr>
        <w:t> </w:t>
      </w:r>
      <w:r>
        <w:rPr>
          <w:spacing w:val="-14"/>
          <w:sz w:val="25"/>
          <w:vertAlign w:val="baseline"/>
        </w:rPr>
        <w:t> </w:t>
      </w:r>
      <w:r>
        <w:rPr>
          <w:spacing w:val="-1"/>
          <w:w w:val="99"/>
          <w:sz w:val="25"/>
          <w:vertAlign w:val="baseline"/>
        </w:rPr>
        <w:t>p</w:t>
      </w:r>
      <w:r>
        <w:rPr>
          <w:w w:val="99"/>
          <w:sz w:val="25"/>
          <w:vertAlign w:val="baseline"/>
        </w:rPr>
        <w:t>ossession</w:t>
      </w:r>
      <w:r>
        <w:rPr>
          <w:sz w:val="25"/>
          <w:vertAlign w:val="baseline"/>
        </w:rPr>
        <w:t> </w:t>
      </w:r>
      <w:r>
        <w:rPr>
          <w:spacing w:val="-14"/>
          <w:sz w:val="25"/>
          <w:vertAlign w:val="baseline"/>
        </w:rPr>
        <w:t> </w:t>
      </w:r>
      <w:r>
        <w:rPr>
          <w:spacing w:val="1"/>
          <w:w w:val="99"/>
          <w:sz w:val="25"/>
          <w:vertAlign w:val="baseline"/>
        </w:rPr>
        <w:t>i</w:t>
      </w:r>
      <w:r>
        <w:rPr>
          <w:w w:val="99"/>
          <w:sz w:val="25"/>
          <w:vertAlign w:val="baseline"/>
        </w:rPr>
        <w:t>s</w:t>
      </w:r>
      <w:r>
        <w:rPr>
          <w:sz w:val="25"/>
          <w:vertAlign w:val="baseline"/>
        </w:rPr>
        <w:t> </w:t>
      </w:r>
      <w:r>
        <w:rPr>
          <w:spacing w:val="-15"/>
          <w:sz w:val="25"/>
          <w:vertAlign w:val="baseline"/>
        </w:rPr>
        <w:t> </w:t>
      </w:r>
      <w:r>
        <w:rPr>
          <w:w w:val="99"/>
          <w:sz w:val="25"/>
          <w:vertAlign w:val="baseline"/>
        </w:rPr>
        <w:t>to</w:t>
      </w:r>
      <w:r>
        <w:rPr>
          <w:sz w:val="25"/>
          <w:vertAlign w:val="baseline"/>
        </w:rPr>
        <w:t> </w:t>
      </w:r>
      <w:r>
        <w:rPr>
          <w:spacing w:val="-14"/>
          <w:sz w:val="25"/>
          <w:vertAlign w:val="baseline"/>
        </w:rPr>
        <w:t> </w:t>
      </w:r>
      <w:r>
        <w:rPr>
          <w:spacing w:val="-1"/>
          <w:w w:val="99"/>
          <w:sz w:val="25"/>
          <w:vertAlign w:val="baseline"/>
        </w:rPr>
        <w:t>b</w:t>
      </w:r>
      <w:r>
        <w:rPr>
          <w:w w:val="99"/>
          <w:sz w:val="25"/>
          <w:vertAlign w:val="baseline"/>
        </w:rPr>
        <w:t>e</w:t>
      </w:r>
      <w:r>
        <w:rPr>
          <w:sz w:val="25"/>
          <w:vertAlign w:val="baseline"/>
        </w:rPr>
        <w:t> </w:t>
      </w:r>
      <w:r>
        <w:rPr>
          <w:spacing w:val="-14"/>
          <w:sz w:val="25"/>
          <w:vertAlign w:val="baseline"/>
        </w:rPr>
        <w:t> </w:t>
      </w:r>
      <w:r>
        <w:rPr>
          <w:w w:val="99"/>
          <w:sz w:val="25"/>
          <w:vertAlign w:val="baseline"/>
        </w:rPr>
        <w:t>co</w:t>
      </w:r>
      <w:r>
        <w:rPr>
          <w:spacing w:val="1"/>
          <w:w w:val="99"/>
          <w:sz w:val="25"/>
          <w:vertAlign w:val="baseline"/>
        </w:rPr>
        <w:t>m</w:t>
      </w:r>
      <w:r>
        <w:rPr>
          <w:spacing w:val="-1"/>
          <w:w w:val="99"/>
          <w:sz w:val="25"/>
          <w:vertAlign w:val="baseline"/>
        </w:rPr>
        <w:t>p</w:t>
      </w:r>
      <w:r>
        <w:rPr>
          <w:w w:val="99"/>
          <w:sz w:val="25"/>
          <w:vertAlign w:val="baseline"/>
        </w:rPr>
        <w:t>uted</w:t>
      </w:r>
      <w:r>
        <w:rPr>
          <w:sz w:val="25"/>
          <w:vertAlign w:val="baseline"/>
        </w:rPr>
        <w:t> </w:t>
      </w:r>
      <w:r>
        <w:rPr>
          <w:spacing w:val="-14"/>
          <w:sz w:val="25"/>
          <w:vertAlign w:val="baseline"/>
        </w:rPr>
        <w:t> </w:t>
      </w:r>
      <w:r>
        <w:rPr>
          <w:spacing w:val="-3"/>
          <w:w w:val="99"/>
          <w:sz w:val="25"/>
          <w:vertAlign w:val="baseline"/>
        </w:rPr>
        <w:t>f</w:t>
      </w:r>
      <w:r>
        <w:rPr>
          <w:spacing w:val="-2"/>
          <w:w w:val="99"/>
          <w:sz w:val="25"/>
          <w:vertAlign w:val="baseline"/>
        </w:rPr>
        <w:t>r</w:t>
      </w:r>
      <w:r>
        <w:rPr>
          <w:spacing w:val="-1"/>
          <w:w w:val="99"/>
          <w:sz w:val="25"/>
          <w:vertAlign w:val="baseline"/>
        </w:rPr>
        <w:t>o</w:t>
      </w:r>
      <w:r>
        <w:rPr>
          <w:w w:val="99"/>
          <w:sz w:val="25"/>
          <w:vertAlign w:val="baseline"/>
        </w:rPr>
        <w:t>m</w:t>
      </w:r>
      <w:r>
        <w:rPr>
          <w:sz w:val="25"/>
          <w:vertAlign w:val="baseline"/>
        </w:rPr>
        <w:t> </w:t>
      </w:r>
      <w:r>
        <w:rPr>
          <w:spacing w:val="-14"/>
          <w:sz w:val="25"/>
          <w:vertAlign w:val="baseline"/>
        </w:rPr>
        <w:t> </w:t>
      </w:r>
      <w:r>
        <w:rPr>
          <w:w w:val="99"/>
          <w:sz w:val="25"/>
          <w:vertAlign w:val="baseline"/>
        </w:rPr>
        <w:t>the</w:t>
      </w:r>
      <w:r>
        <w:rPr>
          <w:sz w:val="25"/>
          <w:vertAlign w:val="baseline"/>
        </w:rPr>
        <w:t> </w:t>
      </w:r>
      <w:r>
        <w:rPr>
          <w:spacing w:val="-14"/>
          <w:sz w:val="25"/>
          <w:vertAlign w:val="baseline"/>
        </w:rPr>
        <w:t> </w:t>
      </w:r>
      <w:r>
        <w:rPr>
          <w:w w:val="33"/>
          <w:sz w:val="25"/>
          <w:vertAlign w:val="baseline"/>
        </w:rPr>
        <w:t>―</w:t>
      </w:r>
      <w:r>
        <w:rPr>
          <w:spacing w:val="-1"/>
          <w:w w:val="99"/>
          <w:sz w:val="25"/>
          <w:vertAlign w:val="baseline"/>
        </w:rPr>
        <w:t>ef</w:t>
      </w:r>
      <w:r>
        <w:rPr>
          <w:w w:val="99"/>
          <w:sz w:val="25"/>
          <w:vertAlign w:val="baseline"/>
        </w:rPr>
        <w:t>f</w:t>
      </w:r>
      <w:r>
        <w:rPr>
          <w:spacing w:val="-1"/>
          <w:w w:val="99"/>
          <w:sz w:val="25"/>
          <w:vertAlign w:val="baseline"/>
        </w:rPr>
        <w:t>ecti</w:t>
      </w:r>
      <w:r>
        <w:rPr>
          <w:spacing w:val="-3"/>
          <w:w w:val="99"/>
          <w:sz w:val="25"/>
          <w:vertAlign w:val="baseline"/>
        </w:rPr>
        <w:t>v</w:t>
      </w:r>
      <w:r>
        <w:rPr>
          <w:w w:val="99"/>
          <w:sz w:val="25"/>
          <w:vertAlign w:val="baseline"/>
        </w:rPr>
        <w:t>e</w:t>
      </w:r>
      <w:r>
        <w:rPr>
          <w:sz w:val="25"/>
          <w:vertAlign w:val="baseline"/>
        </w:rPr>
        <w:t> </w:t>
      </w:r>
      <w:r>
        <w:rPr>
          <w:spacing w:val="-14"/>
          <w:sz w:val="25"/>
          <w:vertAlign w:val="baseline"/>
        </w:rPr>
        <w:t> </w:t>
      </w:r>
      <w:r>
        <w:rPr>
          <w:spacing w:val="-1"/>
          <w:w w:val="99"/>
          <w:sz w:val="25"/>
          <w:vertAlign w:val="baseline"/>
        </w:rPr>
        <w:t>p</w:t>
      </w:r>
      <w:r>
        <w:rPr>
          <w:w w:val="99"/>
          <w:sz w:val="25"/>
          <w:vertAlign w:val="baseline"/>
        </w:rPr>
        <w:t>ossession</w:t>
      </w:r>
      <w:r>
        <w:rPr>
          <w:w w:val="80"/>
          <w:sz w:val="25"/>
          <w:vertAlign w:val="baseline"/>
        </w:rPr>
        <w:t>‖</w:t>
      </w:r>
      <w:r>
        <w:rPr>
          <w:sz w:val="25"/>
          <w:vertAlign w:val="baseline"/>
        </w:rPr>
        <w:t> </w:t>
      </w:r>
      <w:r>
        <w:rPr>
          <w:spacing w:val="-14"/>
          <w:sz w:val="25"/>
          <w:vertAlign w:val="baseline"/>
        </w:rPr>
        <w:t> </w:t>
      </w:r>
      <w:r>
        <w:rPr>
          <w:spacing w:val="-1"/>
          <w:w w:val="99"/>
          <w:sz w:val="25"/>
          <w:vertAlign w:val="baseline"/>
        </w:rPr>
        <w:t>o</w:t>
      </w:r>
      <w:r>
        <w:rPr>
          <w:w w:val="99"/>
          <w:sz w:val="25"/>
          <w:vertAlign w:val="baseline"/>
        </w:rPr>
        <w:t>f</w:t>
      </w:r>
      <w:r>
        <w:rPr>
          <w:sz w:val="25"/>
          <w:vertAlign w:val="baseline"/>
        </w:rPr>
        <w:t> </w:t>
      </w:r>
      <w:r>
        <w:rPr>
          <w:spacing w:val="-14"/>
          <w:sz w:val="25"/>
          <w:vertAlign w:val="baseline"/>
        </w:rPr>
        <w:t> </w:t>
      </w:r>
      <w:r>
        <w:rPr>
          <w:w w:val="99"/>
          <w:sz w:val="25"/>
          <w:vertAlign w:val="baseline"/>
        </w:rPr>
        <w:t>the </w:t>
      </w:r>
      <w:r>
        <w:rPr>
          <w:sz w:val="25"/>
          <w:vertAlign w:val="baseline"/>
        </w:rPr>
        <w:t>appellant as a result of the</w:t>
      </w:r>
      <w:r>
        <w:rPr>
          <w:spacing w:val="-5"/>
          <w:sz w:val="25"/>
          <w:vertAlign w:val="baseline"/>
        </w:rPr>
        <w:t> </w:t>
      </w:r>
      <w:r>
        <w:rPr>
          <w:sz w:val="25"/>
          <w:vertAlign w:val="baseline"/>
        </w:rPr>
        <w:t>sale:</w:t>
      </w:r>
    </w:p>
    <w:p>
      <w:pPr>
        <w:spacing w:line="276" w:lineRule="auto" w:before="160"/>
        <w:ind w:left="1940" w:right="2346" w:firstLine="0"/>
        <w:jc w:val="left"/>
        <w:rPr>
          <w:sz w:val="21"/>
        </w:rPr>
      </w:pPr>
      <w:r>
        <w:rPr>
          <w:w w:val="33"/>
          <w:sz w:val="21"/>
        </w:rPr>
        <w:t>―</w:t>
      </w:r>
      <w:r>
        <w:rPr>
          <w:w w:val="100"/>
          <w:sz w:val="21"/>
        </w:rPr>
        <w:t>12…The</w:t>
      </w:r>
      <w:r>
        <w:rPr>
          <w:sz w:val="21"/>
        </w:rPr>
        <w:t> </w:t>
      </w:r>
      <w:r>
        <w:rPr>
          <w:w w:val="100"/>
          <w:sz w:val="21"/>
        </w:rPr>
        <w:t>law</w:t>
      </w:r>
      <w:r>
        <w:rPr>
          <w:sz w:val="21"/>
        </w:rPr>
        <w:t> </w:t>
      </w:r>
      <w:r>
        <w:rPr>
          <w:w w:val="100"/>
          <w:sz w:val="21"/>
        </w:rPr>
        <w:t>on</w:t>
      </w:r>
      <w:r>
        <w:rPr>
          <w:sz w:val="21"/>
        </w:rPr>
        <w:t> </w:t>
      </w:r>
      <w:r>
        <w:rPr>
          <w:w w:val="100"/>
          <w:sz w:val="21"/>
        </w:rPr>
        <w:t>t</w:t>
      </w:r>
      <w:r>
        <w:rPr>
          <w:w w:val="100"/>
          <w:sz w:val="21"/>
        </w:rPr>
        <w:t>he</w:t>
      </w:r>
      <w:r>
        <w:rPr>
          <w:sz w:val="21"/>
        </w:rPr>
        <w:t> </w:t>
      </w:r>
      <w:r>
        <w:rPr>
          <w:w w:val="100"/>
          <w:sz w:val="21"/>
        </w:rPr>
        <w:t>su</w:t>
      </w:r>
      <w:r>
        <w:rPr>
          <w:w w:val="100"/>
          <w:sz w:val="21"/>
        </w:rPr>
        <w:t>bj</w:t>
      </w:r>
      <w:r>
        <w:rPr>
          <w:w w:val="100"/>
          <w:sz w:val="21"/>
        </w:rPr>
        <w:t>ect</w:t>
      </w:r>
      <w:r>
        <w:rPr>
          <w:sz w:val="21"/>
        </w:rPr>
        <w:t> </w:t>
      </w:r>
      <w:r>
        <w:rPr>
          <w:w w:val="100"/>
          <w:sz w:val="21"/>
        </w:rPr>
        <w:t>has</w:t>
      </w:r>
      <w:r>
        <w:rPr>
          <w:sz w:val="21"/>
        </w:rPr>
        <w:t> </w:t>
      </w:r>
      <w:r>
        <w:rPr>
          <w:w w:val="100"/>
          <w:sz w:val="21"/>
        </w:rPr>
        <w:t>been</w:t>
      </w:r>
      <w:r>
        <w:rPr>
          <w:sz w:val="21"/>
        </w:rPr>
        <w:t> </w:t>
      </w:r>
      <w:r>
        <w:rPr>
          <w:w w:val="100"/>
          <w:sz w:val="21"/>
        </w:rPr>
        <w:t>st</w:t>
      </w:r>
      <w:r>
        <w:rPr>
          <w:w w:val="100"/>
          <w:sz w:val="21"/>
        </w:rPr>
        <w:t>at</w:t>
      </w:r>
      <w:r>
        <w:rPr>
          <w:w w:val="100"/>
          <w:sz w:val="21"/>
        </w:rPr>
        <w:t>ed</w:t>
      </w:r>
      <w:r>
        <w:rPr>
          <w:sz w:val="21"/>
        </w:rPr>
        <w:t> </w:t>
      </w:r>
      <w:r>
        <w:rPr>
          <w:w w:val="100"/>
          <w:sz w:val="21"/>
        </w:rPr>
        <w:t>v</w:t>
      </w:r>
      <w:r>
        <w:rPr>
          <w:w w:val="100"/>
          <w:sz w:val="21"/>
        </w:rPr>
        <w:t>ery</w:t>
      </w:r>
      <w:r>
        <w:rPr>
          <w:sz w:val="21"/>
        </w:rPr>
        <w:t> </w:t>
      </w:r>
      <w:r>
        <w:rPr>
          <w:w w:val="100"/>
          <w:sz w:val="21"/>
        </w:rPr>
        <w:t>clear</w:t>
      </w:r>
      <w:r>
        <w:rPr>
          <w:w w:val="100"/>
          <w:sz w:val="21"/>
        </w:rPr>
        <w:t>l</w:t>
      </w:r>
      <w:r>
        <w:rPr>
          <w:w w:val="100"/>
          <w:sz w:val="21"/>
        </w:rPr>
        <w:t>y</w:t>
      </w:r>
      <w:r>
        <w:rPr>
          <w:sz w:val="21"/>
        </w:rPr>
        <w:t> </w:t>
      </w:r>
      <w:r>
        <w:rPr>
          <w:w w:val="100"/>
          <w:sz w:val="21"/>
        </w:rPr>
        <w:t>at </w:t>
      </w:r>
      <w:r>
        <w:rPr>
          <w:sz w:val="21"/>
        </w:rPr>
        <w:t>pp. 274 and 275 in Mukherjea's Hindu Law of Religious and</w:t>
      </w:r>
    </w:p>
    <w:p>
      <w:pPr>
        <w:spacing w:after="0" w:line="276" w:lineRule="auto"/>
        <w:jc w:val="left"/>
        <w:rPr>
          <w:sz w:val="21"/>
        </w:rPr>
        <w:sectPr>
          <w:headerReference w:type="default" r:id="rId156"/>
          <w:footerReference w:type="default" r:id="rId157"/>
          <w:pgSz w:w="11910" w:h="16840"/>
          <w:pgMar w:header="721" w:footer="1566" w:top="1300" w:bottom="1760" w:left="940" w:right="1000"/>
          <w:pgNumType w:start="257"/>
        </w:sectPr>
      </w:pPr>
    </w:p>
    <w:p>
      <w:pPr>
        <w:spacing w:line="276" w:lineRule="auto" w:before="122"/>
        <w:ind w:left="1940" w:right="2261" w:firstLine="0"/>
        <w:jc w:val="both"/>
        <w:rPr>
          <w:sz w:val="21"/>
        </w:rPr>
      </w:pPr>
      <w:r>
        <w:rPr>
          <w:sz w:val="21"/>
        </w:rPr>
        <w:t>Charitable Trust, 2nd Edn. </w:t>
      </w:r>
      <w:r>
        <w:rPr>
          <w:b/>
          <w:sz w:val="21"/>
        </w:rPr>
        <w:t>It is pointed out that in the case of an execution sale of debutter property it is not the date of death of the incumbent of the Mutt but the date of effective possession as a result of the sale from which the commencement of the adverse possession of the purchaser is to be computed for the purposes of Article 144 of the Limitation Act</w:t>
      </w:r>
      <w:r>
        <w:rPr>
          <w:sz w:val="21"/>
        </w:rPr>
        <w:t>... Thus if Respondent 2 could be said to have represented the Akhara in the two earlier suits, decrees made in them would bind Respondent 1 as he is successor in office of Respondent 2. On the other hand if Respondent 2 did not represent the Akhara, the possession  of the appellant under the decree passed in these suits would clearly be adverse to the Akhara upon the view taken in the two decisions of the Privy Council just referred to. The first respondent's suit having been instituted after the appellant has completed more than 12 years of adverse possession must, therefore be held to be barred by time. For these reasons disagreeing with the courts below we set aside the decrees of the courts below and instead dismiss the suit of Respondent 1 with costs in all the</w:t>
      </w:r>
      <w:r>
        <w:rPr>
          <w:spacing w:val="-12"/>
          <w:sz w:val="21"/>
        </w:rPr>
        <w:t> </w:t>
      </w:r>
      <w:r>
        <w:rPr>
          <w:sz w:val="21"/>
        </w:rPr>
        <w:t>courts.‖</w:t>
      </w:r>
    </w:p>
    <w:p>
      <w:pPr>
        <w:spacing w:before="42"/>
        <w:ind w:left="5798" w:right="0" w:firstLine="0"/>
        <w:jc w:val="both"/>
        <w:rPr>
          <w:sz w:val="21"/>
        </w:rPr>
      </w:pPr>
      <w:r>
        <w:rPr>
          <w:sz w:val="21"/>
        </w:rPr>
        <w:t>(Emphasis supplied)</w:t>
      </w:r>
    </w:p>
    <w:p>
      <w:pPr>
        <w:pStyle w:val="BodyText"/>
        <w:rPr>
          <w:sz w:val="24"/>
        </w:rPr>
      </w:pPr>
    </w:p>
    <w:p>
      <w:pPr>
        <w:pStyle w:val="BodyText"/>
        <w:spacing w:before="10"/>
        <w:rPr>
          <w:sz w:val="27"/>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In a subsequent decision of this Court in </w:t>
      </w:r>
      <w:r>
        <w:rPr>
          <w:b/>
          <w:sz w:val="25"/>
        </w:rPr>
        <w:t>Sarangadeva Periya Matam </w:t>
      </w:r>
      <w:r>
        <w:rPr>
          <w:sz w:val="25"/>
        </w:rPr>
        <w:t>v </w:t>
      </w:r>
      <w:r>
        <w:rPr>
          <w:b/>
          <w:sz w:val="25"/>
        </w:rPr>
        <w:t>Ramaswami Goundar(Dead) by Legal Representatives</w:t>
      </w:r>
      <w:r>
        <w:rPr>
          <w:sz w:val="25"/>
          <w:vertAlign w:val="superscript"/>
        </w:rPr>
        <w:t>258</w:t>
      </w:r>
      <w:r>
        <w:rPr>
          <w:sz w:val="25"/>
          <w:vertAlign w:val="baseline"/>
        </w:rPr>
        <w:t>, the Mathadhipathi had granted a perpetual lease of a portion of the disputed property to the grandfather of the plaintiffs on annual rent. Since 1883 when the lease was granted and until January 1950, the respondents were in uninterrupted possession of the property. In 1915, the Mathadhipathi died without a successor and the plaintiffs did not pay any rent. Between 1915 and 1939, there </w:t>
      </w:r>
      <w:r>
        <w:rPr>
          <w:spacing w:val="3"/>
          <w:sz w:val="25"/>
          <w:vertAlign w:val="baseline"/>
        </w:rPr>
        <w:t>was </w:t>
      </w:r>
      <w:r>
        <w:rPr>
          <w:sz w:val="25"/>
          <w:vertAlign w:val="baseline"/>
        </w:rPr>
        <w:t>no Mathadhipathi and some person was in management of the Math for twenty years. A Mathadhipathi was elected in 1939. In 1928, the Collector of Madurai passed an order to resume the Inam lands, and directed full assessment of the lands and payment of the assessment to the Math for its upkeep. After resumption, a joint patta was issued in the name of the plaintiff and other</w:t>
      </w:r>
      <w:r>
        <w:rPr>
          <w:spacing w:val="11"/>
          <w:sz w:val="25"/>
          <w:vertAlign w:val="baseline"/>
        </w:rPr>
        <w:t> </w:t>
      </w:r>
      <w:r>
        <w:rPr>
          <w:sz w:val="25"/>
          <w:vertAlign w:val="baseline"/>
        </w:rPr>
        <w:t>persons</w:t>
      </w:r>
    </w:p>
    <w:p>
      <w:pPr>
        <w:spacing w:after="0" w:line="480" w:lineRule="auto"/>
        <w:jc w:val="both"/>
        <w:rPr>
          <w:sz w:val="25"/>
        </w:rPr>
        <w:sectPr>
          <w:headerReference w:type="default" r:id="rId158"/>
          <w:footerReference w:type="default" r:id="rId159"/>
          <w:pgSz w:w="11910" w:h="16840"/>
          <w:pgMar w:header="721" w:footer="1566" w:top="1300" w:bottom="1760" w:left="940" w:right="1000"/>
        </w:sectPr>
      </w:pPr>
    </w:p>
    <w:p>
      <w:pPr>
        <w:pStyle w:val="BodyText"/>
        <w:spacing w:line="480" w:lineRule="auto" w:before="124"/>
        <w:ind w:left="500" w:right="437"/>
        <w:jc w:val="both"/>
      </w:pPr>
      <w:r>
        <w:rPr/>
        <w:t>in possession of the lands. The respondents continued to possess the suit lands until January 1950 when the Math obtained possession. On 18 February 1954, the respondents instituted the suit against the Math represented by its then Mathadhipathi and an agent of the math claiming recovery of possession of the suit lands. The Trial Court decreed the suit. In appeal, the District Judge set aside the decree and dismissed the suit. In second appeal, the High Court of Madras restored the decree of the Trial Court. The respondent contended that he had acquired title to the lands by adverse possession and by the issue of a ryotwari patta in his favour on the resumption of the Inam. The appellant contended that the right to sue for the recovery of the Math properties vests in the legally appointed Mathadhipathi and adverse possession against him would not run until his appointment. A three judge Bench of this Court noted that like an idol, a Math is a juristic person which must act through a human agency and a claim of adverse possession was maintainable against it:</w:t>
      </w:r>
    </w:p>
    <w:p>
      <w:pPr>
        <w:spacing w:line="276" w:lineRule="auto" w:before="161"/>
        <w:ind w:left="1940" w:right="2254" w:firstLine="0"/>
        <w:jc w:val="both"/>
        <w:rPr>
          <w:sz w:val="21"/>
        </w:rPr>
      </w:pPr>
      <w:r>
        <w:rPr>
          <w:spacing w:val="-1"/>
          <w:w w:val="33"/>
          <w:sz w:val="21"/>
        </w:rPr>
        <w:t>―</w:t>
      </w:r>
      <w:r>
        <w:rPr>
          <w:spacing w:val="-1"/>
          <w:w w:val="100"/>
          <w:sz w:val="21"/>
        </w:rPr>
        <w:t>6</w:t>
      </w:r>
      <w:r>
        <w:rPr>
          <w:w w:val="100"/>
          <w:sz w:val="21"/>
        </w:rPr>
        <w:t>.</w:t>
      </w:r>
      <w:r>
        <w:rPr>
          <w:spacing w:val="-7"/>
          <w:sz w:val="21"/>
        </w:rPr>
        <w:t> </w:t>
      </w:r>
      <w:r>
        <w:rPr>
          <w:spacing w:val="6"/>
          <w:w w:val="100"/>
          <w:sz w:val="21"/>
        </w:rPr>
        <w:t>W</w:t>
      </w:r>
      <w:r>
        <w:rPr>
          <w:w w:val="100"/>
          <w:sz w:val="21"/>
        </w:rPr>
        <w:t>e</w:t>
      </w:r>
      <w:r>
        <w:rPr>
          <w:sz w:val="21"/>
        </w:rPr>
        <w:t> </w:t>
      </w:r>
      <w:r>
        <w:rPr>
          <w:spacing w:val="-2"/>
          <w:sz w:val="21"/>
        </w:rPr>
        <w:t> </w:t>
      </w:r>
      <w:r>
        <w:rPr>
          <w:w w:val="100"/>
          <w:sz w:val="21"/>
        </w:rPr>
        <w:t>are</w:t>
      </w:r>
      <w:r>
        <w:rPr>
          <w:sz w:val="21"/>
        </w:rPr>
        <w:t>  </w:t>
      </w:r>
      <w:r>
        <w:rPr>
          <w:spacing w:val="-2"/>
          <w:w w:val="100"/>
          <w:sz w:val="21"/>
        </w:rPr>
        <w:t>i</w:t>
      </w:r>
      <w:r>
        <w:rPr>
          <w:w w:val="100"/>
          <w:sz w:val="21"/>
        </w:rPr>
        <w:t>n</w:t>
      </w:r>
      <w:r>
        <w:rPr>
          <w:spacing w:val="-3"/>
          <w:w w:val="100"/>
          <w:sz w:val="21"/>
        </w:rPr>
        <w:t>c</w:t>
      </w:r>
      <w:r>
        <w:rPr>
          <w:w w:val="100"/>
          <w:sz w:val="21"/>
        </w:rPr>
        <w:t>li</w:t>
      </w:r>
      <w:r>
        <w:rPr>
          <w:spacing w:val="-3"/>
          <w:w w:val="100"/>
          <w:sz w:val="21"/>
        </w:rPr>
        <w:t>n</w:t>
      </w:r>
      <w:r>
        <w:rPr>
          <w:w w:val="100"/>
          <w:sz w:val="21"/>
        </w:rPr>
        <w:t>ed</w:t>
      </w:r>
      <w:r>
        <w:rPr>
          <w:sz w:val="21"/>
        </w:rPr>
        <w:t>  </w:t>
      </w:r>
      <w:r>
        <w:rPr>
          <w:spacing w:val="-2"/>
          <w:w w:val="100"/>
          <w:sz w:val="21"/>
        </w:rPr>
        <w:t>t</w:t>
      </w:r>
      <w:r>
        <w:rPr>
          <w:w w:val="100"/>
          <w:sz w:val="21"/>
        </w:rPr>
        <w:t>o</w:t>
      </w:r>
      <w:r>
        <w:rPr>
          <w:sz w:val="21"/>
        </w:rPr>
        <w:t> </w:t>
      </w:r>
      <w:r>
        <w:rPr>
          <w:spacing w:val="-2"/>
          <w:sz w:val="21"/>
        </w:rPr>
        <w:t> </w:t>
      </w:r>
      <w:r>
        <w:rPr>
          <w:spacing w:val="-3"/>
          <w:w w:val="100"/>
          <w:sz w:val="21"/>
        </w:rPr>
        <w:t>a</w:t>
      </w:r>
      <w:r>
        <w:rPr>
          <w:w w:val="100"/>
          <w:sz w:val="21"/>
        </w:rPr>
        <w:t>ccept</w:t>
      </w:r>
      <w:r>
        <w:rPr>
          <w:sz w:val="21"/>
        </w:rPr>
        <w:t> </w:t>
      </w:r>
      <w:r>
        <w:rPr>
          <w:spacing w:val="-1"/>
          <w:sz w:val="21"/>
        </w:rPr>
        <w:t> </w:t>
      </w:r>
      <w:r>
        <w:rPr>
          <w:spacing w:val="-2"/>
          <w:w w:val="100"/>
          <w:sz w:val="21"/>
        </w:rPr>
        <w:t>t</w:t>
      </w:r>
      <w:r>
        <w:rPr>
          <w:w w:val="100"/>
          <w:sz w:val="21"/>
        </w:rPr>
        <w:t>he</w:t>
      </w:r>
      <w:r>
        <w:rPr>
          <w:sz w:val="21"/>
        </w:rPr>
        <w:t>  </w:t>
      </w:r>
      <w:r>
        <w:rPr>
          <w:spacing w:val="-1"/>
          <w:w w:val="100"/>
          <w:sz w:val="21"/>
        </w:rPr>
        <w:t>r</w:t>
      </w:r>
      <w:r>
        <w:rPr>
          <w:spacing w:val="-3"/>
          <w:w w:val="100"/>
          <w:sz w:val="21"/>
        </w:rPr>
        <w:t>e</w:t>
      </w:r>
      <w:r>
        <w:rPr>
          <w:w w:val="100"/>
          <w:sz w:val="21"/>
        </w:rPr>
        <w:t>sp</w:t>
      </w:r>
      <w:r>
        <w:rPr>
          <w:spacing w:val="-3"/>
          <w:w w:val="100"/>
          <w:sz w:val="21"/>
        </w:rPr>
        <w:t>o</w:t>
      </w:r>
      <w:r>
        <w:rPr>
          <w:w w:val="100"/>
          <w:sz w:val="21"/>
        </w:rPr>
        <w:t>nd</w:t>
      </w:r>
      <w:r>
        <w:rPr>
          <w:spacing w:val="-2"/>
          <w:w w:val="100"/>
          <w:sz w:val="21"/>
        </w:rPr>
        <w:t>e</w:t>
      </w:r>
      <w:r>
        <w:rPr>
          <w:w w:val="100"/>
          <w:sz w:val="21"/>
        </w:rPr>
        <w:t>n</w:t>
      </w:r>
      <w:r>
        <w:rPr>
          <w:spacing w:val="-1"/>
          <w:w w:val="100"/>
          <w:sz w:val="21"/>
        </w:rPr>
        <w:t>t</w:t>
      </w:r>
      <w:r>
        <w:rPr>
          <w:w w:val="100"/>
          <w:sz w:val="21"/>
        </w:rPr>
        <w:t>s'</w:t>
      </w:r>
      <w:r>
        <w:rPr>
          <w:sz w:val="21"/>
        </w:rPr>
        <w:t> </w:t>
      </w:r>
      <w:r>
        <w:rPr>
          <w:spacing w:val="1"/>
          <w:sz w:val="21"/>
        </w:rPr>
        <w:t> </w:t>
      </w:r>
      <w:r>
        <w:rPr>
          <w:spacing w:val="-3"/>
          <w:w w:val="100"/>
          <w:sz w:val="21"/>
        </w:rPr>
        <w:t>c</w:t>
      </w:r>
      <w:r>
        <w:rPr>
          <w:w w:val="100"/>
          <w:sz w:val="21"/>
        </w:rPr>
        <w:t>on</w:t>
      </w:r>
      <w:r>
        <w:rPr>
          <w:spacing w:val="-1"/>
          <w:w w:val="100"/>
          <w:sz w:val="21"/>
        </w:rPr>
        <w:t>t</w:t>
      </w:r>
      <w:r>
        <w:rPr>
          <w:w w:val="100"/>
          <w:sz w:val="21"/>
        </w:rPr>
        <w:t>en</w:t>
      </w:r>
      <w:r>
        <w:rPr>
          <w:spacing w:val="-1"/>
          <w:w w:val="100"/>
          <w:sz w:val="21"/>
        </w:rPr>
        <w:t>t</w:t>
      </w:r>
      <w:r>
        <w:rPr>
          <w:spacing w:val="-2"/>
          <w:w w:val="100"/>
          <w:sz w:val="21"/>
        </w:rPr>
        <w:t>i</w:t>
      </w:r>
      <w:r>
        <w:rPr>
          <w:w w:val="100"/>
          <w:sz w:val="21"/>
        </w:rPr>
        <w:t>on. </w:t>
      </w:r>
      <w:r>
        <w:rPr>
          <w:sz w:val="21"/>
        </w:rPr>
        <w:t>Under Article 144 Indian Limitation Act, 1908, limitation for a suit by a math or by any person representing it for possession of immovable properties belonging to it runs from the time when the possession of the defendant becomes adverse to the plaintiff. The math is the owner of the endowed property. </w:t>
      </w:r>
      <w:r>
        <w:rPr>
          <w:b/>
          <w:sz w:val="21"/>
        </w:rPr>
        <w:t>Like an idol, the math is a juristic person having the power of acquiring, owning and possessing properties and having the capacity of suing and being sued. Being an ideal person, it must of necessity act in relation to its temporal affairs through human agency... It may acquire property by prescription and may likewise lose property by adverse possession. </w:t>
      </w:r>
      <w:r>
        <w:rPr>
          <w:sz w:val="21"/>
        </w:rPr>
        <w:t>If the math while in possession of its property is dispossessed or if the possession of a stranger becomes adverse, it suffers an injury and has the right to sue for the recovery of the property. If there is a legally appointed mathadhipathi, he may institute the suit on its behalf; if not, the de facto mathadhipathi may do so, see </w:t>
      </w:r>
      <w:r>
        <w:rPr>
          <w:i/>
          <w:sz w:val="21"/>
        </w:rPr>
        <w:t>Mahaleo Prasad </w:t>
      </w:r>
      <w:r>
        <w:rPr>
          <w:i/>
          <w:sz w:val="21"/>
        </w:rPr>
        <w:t>Singh </w:t>
      </w:r>
      <w:r>
        <w:rPr>
          <w:sz w:val="21"/>
        </w:rPr>
        <w:t>v. </w:t>
      </w:r>
      <w:r>
        <w:rPr>
          <w:i/>
          <w:sz w:val="21"/>
        </w:rPr>
        <w:t>Koria Bharti </w:t>
      </w:r>
      <w:r>
        <w:rPr>
          <w:sz w:val="21"/>
        </w:rPr>
        <w:t>[(1934) LR 62 IA 47, 50] ; and where, necessary, a disciple or other beneficiary of the</w:t>
      </w:r>
      <w:r>
        <w:rPr>
          <w:spacing w:val="-26"/>
          <w:sz w:val="21"/>
        </w:rPr>
        <w:t> </w:t>
      </w:r>
      <w:r>
        <w:rPr>
          <w:sz w:val="21"/>
        </w:rPr>
        <w:t>math may</w:t>
      </w:r>
    </w:p>
    <w:p>
      <w:pPr>
        <w:spacing w:after="0" w:line="276" w:lineRule="auto"/>
        <w:jc w:val="both"/>
        <w:rPr>
          <w:sz w:val="21"/>
        </w:rPr>
        <w:sectPr>
          <w:headerReference w:type="default" r:id="rId160"/>
          <w:footerReference w:type="default" r:id="rId161"/>
          <w:pgSz w:w="11910" w:h="16840"/>
          <w:pgMar w:header="721" w:footer="1014" w:top="1300" w:bottom="1200" w:left="940" w:right="1000"/>
        </w:sectPr>
      </w:pPr>
    </w:p>
    <w:p>
      <w:pPr>
        <w:tabs>
          <w:tab w:pos="5310" w:val="left" w:leader="none"/>
        </w:tabs>
        <w:spacing w:line="276" w:lineRule="auto" w:before="122"/>
        <w:ind w:left="1940" w:right="2255" w:firstLine="0"/>
        <w:jc w:val="both"/>
        <w:rPr>
          <w:sz w:val="21"/>
        </w:rPr>
      </w:pPr>
      <w:r>
        <w:rPr>
          <w:sz w:val="21"/>
        </w:rPr>
        <w:t>take steps for vindicating its legal rights by the appointment of a receiver having authority to sue on its behalf, or by the institution of a suit in its name by a next friend appointed by the Court. With due diligence, the math or those interested in it may avoid the running of time. </w:t>
      </w:r>
      <w:r>
        <w:rPr>
          <w:b/>
          <w:sz w:val="21"/>
        </w:rPr>
        <w:t>The running of limitation against the math under Article 144 is not suspended by the absence of a legally appointed mathadhipathi; clearly, limitation would run against it where it is managed by a de facto mathadhipathi. See </w:t>
      </w:r>
      <w:r>
        <w:rPr>
          <w:b/>
          <w:i/>
          <w:sz w:val="21"/>
        </w:rPr>
        <w:t>Vithalbowa </w:t>
      </w:r>
      <w:r>
        <w:rPr>
          <w:b/>
          <w:sz w:val="21"/>
        </w:rPr>
        <w:t>v. </w:t>
      </w:r>
      <w:r>
        <w:rPr>
          <w:b/>
          <w:i/>
          <w:sz w:val="21"/>
        </w:rPr>
        <w:t>Narayan Daji </w:t>
      </w:r>
      <w:r>
        <w:rPr>
          <w:b/>
          <w:i/>
          <w:sz w:val="21"/>
        </w:rPr>
        <w:t>Thite </w:t>
      </w:r>
      <w:r>
        <w:rPr>
          <w:b/>
          <w:sz w:val="21"/>
        </w:rPr>
        <w:t>[(1893) ILR 18 Bom 507, 511] , and we think it would run equally if there is neither a de jure nor a de facto mathadhipathi</w:t>
      </w:r>
      <w:r>
        <w:rPr>
          <w:sz w:val="21"/>
        </w:rPr>
        <w:t>.‖</w:t>
        <w:tab/>
        <w:t>(Emphasis</w:t>
      </w:r>
      <w:r>
        <w:rPr>
          <w:spacing w:val="-2"/>
          <w:sz w:val="21"/>
        </w:rPr>
        <w:t> </w:t>
      </w:r>
      <w:r>
        <w:rPr>
          <w:sz w:val="21"/>
        </w:rPr>
        <w:t>supplied)</w:t>
      </w:r>
    </w:p>
    <w:p>
      <w:pPr>
        <w:pStyle w:val="BodyText"/>
        <w:rPr>
          <w:sz w:val="24"/>
        </w:rPr>
      </w:pPr>
    </w:p>
    <w:p>
      <w:pPr>
        <w:pStyle w:val="BodyText"/>
        <w:spacing w:before="4"/>
        <w:rPr>
          <w:sz w:val="31"/>
        </w:rPr>
      </w:pPr>
    </w:p>
    <w:p>
      <w:pPr>
        <w:pStyle w:val="BodyText"/>
        <w:spacing w:line="480" w:lineRule="auto" w:before="1"/>
        <w:ind w:left="500" w:right="434"/>
        <w:jc w:val="both"/>
      </w:pPr>
      <w:r>
        <w:rPr/>
        <w:t>Justice R S Bachawat held that when possession of the property became adverse, limitation against the Math would run even in the absence of a </w:t>
      </w:r>
      <w:r>
        <w:rPr>
          <w:i/>
        </w:rPr>
        <w:t>de jure </w:t>
      </w:r>
      <w:r>
        <w:rPr/>
        <w:t>or </w:t>
      </w:r>
      <w:r>
        <w:rPr>
          <w:i/>
        </w:rPr>
        <w:t>de facto </w:t>
      </w:r>
      <w:r>
        <w:rPr/>
        <w:t>Mathadhipathi. While noting the decision of the Privy Council in </w:t>
      </w:r>
      <w:r>
        <w:rPr>
          <w:b/>
        </w:rPr>
        <w:t>Maharaja</w:t>
      </w:r>
      <w:r>
        <w:rPr>
          <w:b/>
          <w:spacing w:val="24"/>
        </w:rPr>
        <w:t> </w:t>
      </w:r>
      <w:r>
        <w:rPr>
          <w:b/>
        </w:rPr>
        <w:t>Jagadindra</w:t>
      </w:r>
      <w:r>
        <w:rPr>
          <w:b/>
          <w:spacing w:val="25"/>
        </w:rPr>
        <w:t> </w:t>
      </w:r>
      <w:r>
        <w:rPr>
          <w:b/>
        </w:rPr>
        <w:t>Nath</w:t>
      </w:r>
      <w:r>
        <w:rPr/>
        <w:t>,</w:t>
      </w:r>
      <w:r>
        <w:rPr>
          <w:spacing w:val="24"/>
        </w:rPr>
        <w:t> </w:t>
      </w:r>
      <w:r>
        <w:rPr/>
        <w:t>this</w:t>
      </w:r>
      <w:r>
        <w:rPr>
          <w:spacing w:val="25"/>
        </w:rPr>
        <w:t> </w:t>
      </w:r>
      <w:r>
        <w:rPr/>
        <w:t>Court</w:t>
      </w:r>
      <w:r>
        <w:rPr>
          <w:spacing w:val="22"/>
        </w:rPr>
        <w:t> </w:t>
      </w:r>
      <w:r>
        <w:rPr/>
        <w:t>declined</w:t>
      </w:r>
      <w:r>
        <w:rPr>
          <w:spacing w:val="27"/>
        </w:rPr>
        <w:t> </w:t>
      </w:r>
      <w:r>
        <w:rPr/>
        <w:t>to</w:t>
      </w:r>
      <w:r>
        <w:rPr>
          <w:spacing w:val="25"/>
        </w:rPr>
        <w:t> </w:t>
      </w:r>
      <w:r>
        <w:rPr/>
        <w:t>extend</w:t>
      </w:r>
      <w:r>
        <w:rPr>
          <w:spacing w:val="24"/>
        </w:rPr>
        <w:t> </w:t>
      </w:r>
      <w:r>
        <w:rPr/>
        <w:t>the</w:t>
      </w:r>
      <w:r>
        <w:rPr>
          <w:spacing w:val="26"/>
        </w:rPr>
        <w:t> </w:t>
      </w:r>
      <w:r>
        <w:rPr/>
        <w:t>principle</w:t>
      </w:r>
      <w:r>
        <w:rPr>
          <w:spacing w:val="27"/>
        </w:rPr>
        <w:t> </w:t>
      </w:r>
      <w:r>
        <w:rPr/>
        <w:t>that</w:t>
      </w:r>
      <w:r>
        <w:rPr>
          <w:spacing w:val="25"/>
        </w:rPr>
        <w:t> </w:t>
      </w:r>
      <w:r>
        <w:rPr/>
        <w:t>the</w:t>
      </w:r>
    </w:p>
    <w:p>
      <w:pPr>
        <w:pStyle w:val="BodyText"/>
        <w:spacing w:line="480" w:lineRule="auto" w:before="1"/>
        <w:ind w:left="500" w:right="448"/>
        <w:jc w:val="both"/>
      </w:pPr>
      <w:r>
        <w:rPr>
          <w:w w:val="33"/>
        </w:rPr>
        <w:t>―</w:t>
      </w:r>
      <w:r>
        <w:rPr>
          <w:w w:val="99"/>
        </w:rPr>
        <w:t>right</w:t>
      </w:r>
      <w:r>
        <w:rPr/>
        <w:t> </w:t>
      </w:r>
      <w:r>
        <w:rPr>
          <w:w w:val="99"/>
        </w:rPr>
        <w:t>to</w:t>
      </w:r>
      <w:r>
        <w:rPr/>
        <w:t> </w:t>
      </w:r>
      <w:r>
        <w:rPr>
          <w:w w:val="99"/>
        </w:rPr>
        <w:t>sue</w:t>
      </w:r>
      <w:r>
        <w:rPr/>
        <w:t> </w:t>
      </w:r>
      <w:r>
        <w:rPr>
          <w:w w:val="99"/>
        </w:rPr>
        <w:t>for</w:t>
      </w:r>
      <w:r>
        <w:rPr/>
        <w:t> </w:t>
      </w:r>
      <w:r>
        <w:rPr>
          <w:w w:val="99"/>
        </w:rPr>
        <w:t>possession</w:t>
      </w:r>
      <w:r>
        <w:rPr>
          <w:w w:val="80"/>
        </w:rPr>
        <w:t>‖</w:t>
      </w:r>
      <w:r>
        <w:rPr/>
        <w:t> </w:t>
      </w:r>
      <w:r>
        <w:rPr>
          <w:w w:val="99"/>
        </w:rPr>
        <w:t>is</w:t>
      </w:r>
      <w:r>
        <w:rPr/>
        <w:t> </w:t>
      </w:r>
      <w:r>
        <w:rPr>
          <w:w w:val="99"/>
        </w:rPr>
        <w:t>to</w:t>
      </w:r>
      <w:r>
        <w:rPr/>
        <w:t> </w:t>
      </w:r>
      <w:r>
        <w:rPr>
          <w:w w:val="99"/>
        </w:rPr>
        <w:t>be</w:t>
      </w:r>
      <w:r>
        <w:rPr/>
        <w:t> </w:t>
      </w:r>
      <w:r>
        <w:rPr>
          <w:w w:val="99"/>
        </w:rPr>
        <w:t>divorced</w:t>
      </w:r>
      <w:r>
        <w:rPr/>
        <w:t> </w:t>
      </w:r>
      <w:r>
        <w:rPr>
          <w:w w:val="99"/>
        </w:rPr>
        <w:t>from</w:t>
      </w:r>
      <w:r>
        <w:rPr/>
        <w:t> </w:t>
      </w:r>
      <w:r>
        <w:rPr>
          <w:w w:val="99"/>
        </w:rPr>
        <w:t>the</w:t>
      </w:r>
      <w:r>
        <w:rPr/>
        <w:t> </w:t>
      </w:r>
      <w:r>
        <w:rPr>
          <w:w w:val="33"/>
        </w:rPr>
        <w:t>―</w:t>
      </w:r>
      <w:r>
        <w:rPr>
          <w:w w:val="99"/>
        </w:rPr>
        <w:t>proprietary</w:t>
      </w:r>
      <w:r>
        <w:rPr/>
        <w:t> </w:t>
      </w:r>
      <w:r>
        <w:rPr>
          <w:w w:val="99"/>
        </w:rPr>
        <w:t>right</w:t>
      </w:r>
      <w:r>
        <w:rPr>
          <w:w w:val="80"/>
        </w:rPr>
        <w:t>‖</w:t>
      </w:r>
      <w:r>
        <w:rPr/>
        <w:t> </w:t>
      </w:r>
      <w:r>
        <w:rPr>
          <w:w w:val="99"/>
        </w:rPr>
        <w:t>to</w:t>
      </w:r>
      <w:r>
        <w:rPr/>
        <w:t> </w:t>
      </w:r>
      <w:r>
        <w:rPr>
          <w:w w:val="99"/>
        </w:rPr>
        <w:t>the </w:t>
      </w:r>
      <w:r>
        <w:rPr/>
        <w:t>property which is vested in the idol:</w:t>
      </w:r>
    </w:p>
    <w:p>
      <w:pPr>
        <w:spacing w:line="276" w:lineRule="auto" w:before="158"/>
        <w:ind w:left="1918" w:right="2224" w:firstLine="0"/>
        <w:jc w:val="both"/>
        <w:rPr>
          <w:sz w:val="21"/>
        </w:rPr>
      </w:pPr>
      <w:r>
        <w:rPr>
          <w:sz w:val="21"/>
        </w:rPr>
        <w:t>―8… in giving the benefit of Section 7 of the Indian Limitation Act, 1877 to the shebait, the Privy Council proceeded on the footing that the right to sue for possession is to be divorced from the proprietary right to the property which is vested in the idol. </w:t>
      </w:r>
      <w:r>
        <w:rPr>
          <w:spacing w:val="3"/>
          <w:sz w:val="21"/>
        </w:rPr>
        <w:t>We </w:t>
      </w:r>
      <w:r>
        <w:rPr>
          <w:sz w:val="21"/>
        </w:rPr>
        <w:t>do not express any opinion one way or the other on the correctness of </w:t>
      </w:r>
      <w:r>
        <w:rPr>
          <w:i/>
          <w:sz w:val="21"/>
        </w:rPr>
        <w:t>Jagadindra Nath Roy case </w:t>
      </w:r>
      <w:r>
        <w:rPr>
          <w:sz w:val="21"/>
        </w:rPr>
        <w:t>[ILR 32 cal 129, 141] . For the purposes of this case, it is sufficient to say that we are not inclined to extend the principle of that case. In that case, at the commencement of the period of limitation there was a shebait in existence entitled to sue on behalf of the idol, and on the institution of the suit he successfully claimed that as the person entitled to institute the suit at the time from which the period is to be reckoned, he should get the benefit of Section 7 of the Indian Limitation Act, 1877. In the present case, there was no mathadhipathi in existence in 1915 when limitation commenced to run. Nor is there any question of the minority of a mathadhipathi entitled to sue in 1915 or of applying Section 6 of the Indian Limitation Act,</w:t>
      </w:r>
      <w:r>
        <w:rPr>
          <w:spacing w:val="-22"/>
          <w:sz w:val="21"/>
        </w:rPr>
        <w:t> </w:t>
      </w:r>
      <w:r>
        <w:rPr>
          <w:sz w:val="21"/>
        </w:rPr>
        <w:t>1908.‖</w:t>
      </w:r>
    </w:p>
    <w:p>
      <w:pPr>
        <w:spacing w:after="0" w:line="276" w:lineRule="auto"/>
        <w:jc w:val="both"/>
        <w:rPr>
          <w:sz w:val="21"/>
        </w:rPr>
        <w:sectPr>
          <w:headerReference w:type="default" r:id="rId162"/>
          <w:footerReference w:type="default" r:id="rId163"/>
          <w:pgSz w:w="11910" w:h="16840"/>
          <w:pgMar w:header="721" w:footer="1014" w:top="1300" w:bottom="1200" w:left="940" w:right="1000"/>
          <w:pgNumType w:start="471"/>
        </w:sectPr>
      </w:pPr>
    </w:p>
    <w:p>
      <w:pPr>
        <w:pStyle w:val="Heading4"/>
        <w:spacing w:before="126"/>
        <w:rPr>
          <w:i/>
        </w:rPr>
      </w:pPr>
      <w:r>
        <w:rPr>
          <w:i/>
        </w:rPr>
        <w:t>Decision of the High Court</w:t>
      </w:r>
    </w:p>
    <w:p>
      <w:pPr>
        <w:pStyle w:val="BodyText"/>
        <w:rPr>
          <w:i/>
          <w:sz w:val="28"/>
        </w:rPr>
      </w:pPr>
    </w:p>
    <w:p>
      <w:pPr>
        <w:pStyle w:val="BodyText"/>
        <w:spacing w:before="9"/>
        <w:rPr>
          <w:i/>
          <w:sz w:val="22"/>
        </w:rPr>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On the aspect of whether a deity can be regarded as a perpetual minor, Justice S U Khan held that an idol of a deity is not a perpetual minor for the purpose of limitation and debutter property can be lost through adverse possession. The view of the learned Judge was that the observation in </w:t>
      </w:r>
      <w:r>
        <w:rPr>
          <w:b/>
          <w:sz w:val="25"/>
        </w:rPr>
        <w:t>Bishwanath </w:t>
      </w:r>
      <w:r>
        <w:rPr>
          <w:sz w:val="25"/>
        </w:rPr>
        <w:t>v </w:t>
      </w:r>
      <w:r>
        <w:rPr>
          <w:b/>
          <w:sz w:val="25"/>
        </w:rPr>
        <w:t>Sri Thakur Radha Ballabhji</w:t>
      </w:r>
      <w:r>
        <w:rPr>
          <w:sz w:val="25"/>
          <w:vertAlign w:val="superscript"/>
        </w:rPr>
        <w:t>259</w:t>
      </w:r>
      <w:r>
        <w:rPr>
          <w:sz w:val="25"/>
          <w:vertAlign w:val="baseline"/>
        </w:rPr>
        <w:t> that an idol is in the position of a minor was not in the context of the law of limitation. On the contrary, in the view of the learned Judge, the decisions in </w:t>
      </w:r>
      <w:r>
        <w:rPr>
          <w:b/>
          <w:sz w:val="25"/>
          <w:vertAlign w:val="baseline"/>
        </w:rPr>
        <w:t>Dr Gurdittamal Kapur </w:t>
      </w:r>
      <w:r>
        <w:rPr>
          <w:sz w:val="25"/>
          <w:vertAlign w:val="baseline"/>
        </w:rPr>
        <w:t>and </w:t>
      </w:r>
      <w:r>
        <w:rPr>
          <w:b/>
          <w:sz w:val="25"/>
          <w:vertAlign w:val="baseline"/>
        </w:rPr>
        <w:t>Sarangadevi Periya Matam </w:t>
      </w:r>
      <w:r>
        <w:rPr>
          <w:sz w:val="25"/>
          <w:vertAlign w:val="baseline"/>
        </w:rPr>
        <w:t>were of three judge Benches (</w:t>
      </w:r>
      <w:r>
        <w:rPr>
          <w:b/>
          <w:sz w:val="25"/>
          <w:vertAlign w:val="baseline"/>
        </w:rPr>
        <w:t>Bishwanath</w:t>
      </w:r>
      <w:r>
        <w:rPr>
          <w:sz w:val="25"/>
          <w:vertAlign w:val="baseline"/>
        </w:rPr>
        <w:t>, being decided by a Bench of two judges). Both the three judge Bench decisions supported the view that the law of limitation would be applicable. Moreover, the Privy Council in </w:t>
      </w:r>
      <w:r>
        <w:rPr>
          <w:b/>
          <w:sz w:val="25"/>
          <w:vertAlign w:val="baseline"/>
        </w:rPr>
        <w:t>Masjid Shahidganj </w:t>
      </w:r>
      <w:r>
        <w:rPr>
          <w:sz w:val="25"/>
          <w:vertAlign w:val="baseline"/>
        </w:rPr>
        <w:t>v </w:t>
      </w:r>
      <w:r>
        <w:rPr>
          <w:b/>
          <w:sz w:val="25"/>
          <w:vertAlign w:val="baseline"/>
        </w:rPr>
        <w:t>Shiromani Gurdwara Prabandhak Committee, Amritsar</w:t>
      </w:r>
      <w:r>
        <w:rPr>
          <w:sz w:val="25"/>
          <w:vertAlign w:val="superscript"/>
        </w:rPr>
        <w:t>260</w:t>
      </w:r>
      <w:r>
        <w:rPr>
          <w:sz w:val="25"/>
          <w:vertAlign w:val="baseline"/>
        </w:rPr>
        <w:t> had noted that there had never been any doubt that the property of a Hindu religious endowment is subject to the law of</w:t>
      </w:r>
      <w:r>
        <w:rPr>
          <w:spacing w:val="-2"/>
          <w:sz w:val="25"/>
          <w:vertAlign w:val="baseline"/>
        </w:rPr>
        <w:t> </w:t>
      </w:r>
      <w:r>
        <w:rPr>
          <w:sz w:val="25"/>
          <w:vertAlign w:val="baseline"/>
        </w:rPr>
        <w:t>limitation.</w:t>
      </w:r>
    </w:p>
    <w:p>
      <w:pPr>
        <w:pStyle w:val="BodyText"/>
        <w:spacing w:before="1"/>
        <w:rPr>
          <w:sz w:val="39"/>
        </w:rPr>
      </w:pPr>
    </w:p>
    <w:p>
      <w:pPr>
        <w:pStyle w:val="BodyText"/>
        <w:spacing w:line="480" w:lineRule="auto"/>
        <w:ind w:left="500" w:right="436"/>
        <w:jc w:val="both"/>
      </w:pPr>
      <w:r>
        <w:rPr/>
        <w:t>Justice Sudhir Agarwal, on the other hand was of the view that though the suit as it was earlier filed, pertained to a wider area, the extent of the dispute (following the judgment of this Court in </w:t>
      </w:r>
      <w:r>
        <w:rPr>
          <w:b/>
        </w:rPr>
        <w:t>Ismail Faruqui</w:t>
      </w:r>
      <w:r>
        <w:rPr/>
        <w:t>) was confined to the inner and outer courtyards. In the view of Justice Agarwal, this being the birth-place of Lord Ram </w:t>
      </w:r>
      <w:r>
        <w:rPr>
          <w:spacing w:val="-1"/>
          <w:w w:val="99"/>
        </w:rPr>
        <w:t>whic</w:t>
      </w:r>
      <w:r>
        <w:rPr>
          <w:w w:val="99"/>
        </w:rPr>
        <w:t>h</w:t>
      </w:r>
      <w:r>
        <w:rPr/>
        <w:t> </w:t>
      </w:r>
      <w:r>
        <w:rPr>
          <w:spacing w:val="-1"/>
          <w:w w:val="99"/>
        </w:rPr>
        <w:t>Hind</w:t>
      </w:r>
      <w:r>
        <w:rPr>
          <w:w w:val="99"/>
        </w:rPr>
        <w:t>us</w:t>
      </w:r>
      <w:r>
        <w:rPr/>
        <w:t> </w:t>
      </w:r>
      <w:r>
        <w:rPr>
          <w:spacing w:val="-1"/>
          <w:w w:val="99"/>
        </w:rPr>
        <w:t>h</w:t>
      </w:r>
      <w:r>
        <w:rPr>
          <w:w w:val="99"/>
        </w:rPr>
        <w:t>ad</w:t>
      </w:r>
      <w:r>
        <w:rPr/>
        <w:t> </w:t>
      </w:r>
      <w:r>
        <w:rPr>
          <w:spacing w:val="-1"/>
          <w:w w:val="99"/>
        </w:rPr>
        <w:t>b</w:t>
      </w:r>
      <w:r>
        <w:rPr>
          <w:w w:val="99"/>
        </w:rPr>
        <w:t>e</w:t>
      </w:r>
      <w:r>
        <w:rPr>
          <w:spacing w:val="-1"/>
          <w:w w:val="99"/>
        </w:rPr>
        <w:t>e</w:t>
      </w:r>
      <w:r>
        <w:rPr>
          <w:w w:val="99"/>
        </w:rPr>
        <w:t>n</w:t>
      </w:r>
      <w:r>
        <w:rPr/>
        <w:t> </w:t>
      </w:r>
      <w:r>
        <w:rPr>
          <w:spacing w:val="-3"/>
          <w:w w:val="99"/>
        </w:rPr>
        <w:t>v</w:t>
      </w:r>
      <w:r>
        <w:rPr>
          <w:spacing w:val="-1"/>
          <w:w w:val="99"/>
        </w:rPr>
        <w:t>isitin</w:t>
      </w:r>
      <w:r>
        <w:rPr>
          <w:w w:val="99"/>
        </w:rPr>
        <w:t>g</w:t>
      </w:r>
      <w:r>
        <w:rPr/>
        <w:t> </w:t>
      </w:r>
      <w:r>
        <w:rPr>
          <w:w w:val="99"/>
        </w:rPr>
        <w:t>since</w:t>
      </w:r>
      <w:r>
        <w:rPr/>
        <w:t> </w:t>
      </w:r>
      <w:r>
        <w:rPr>
          <w:w w:val="99"/>
        </w:rPr>
        <w:t>time</w:t>
      </w:r>
      <w:r>
        <w:rPr/>
        <w:t> </w:t>
      </w:r>
      <w:r>
        <w:rPr>
          <w:spacing w:val="-1"/>
          <w:w w:val="99"/>
        </w:rPr>
        <w:t>im</w:t>
      </w:r>
      <w:r>
        <w:rPr>
          <w:spacing w:val="1"/>
          <w:w w:val="99"/>
        </w:rPr>
        <w:t>m</w:t>
      </w:r>
      <w:r>
        <w:rPr>
          <w:spacing w:val="-1"/>
          <w:w w:val="99"/>
        </w:rPr>
        <w:t>e</w:t>
      </w:r>
      <w:r>
        <w:rPr>
          <w:w w:val="99"/>
        </w:rPr>
        <w:t>m</w:t>
      </w:r>
      <w:r>
        <w:rPr>
          <w:spacing w:val="-1"/>
          <w:w w:val="99"/>
        </w:rPr>
        <w:t>o</w:t>
      </w:r>
      <w:r>
        <w:rPr>
          <w:w w:val="99"/>
        </w:rPr>
        <w:t>r</w:t>
      </w:r>
      <w:r>
        <w:rPr>
          <w:spacing w:val="-1"/>
          <w:w w:val="99"/>
        </w:rPr>
        <w:t>ia</w:t>
      </w:r>
      <w:r>
        <w:rPr>
          <w:w w:val="99"/>
        </w:rPr>
        <w:t>l</w:t>
      </w:r>
      <w:r>
        <w:rPr/>
        <w:t> </w:t>
      </w:r>
      <w:r>
        <w:rPr>
          <w:spacing w:val="-1"/>
          <w:w w:val="99"/>
        </w:rPr>
        <w:t>a</w:t>
      </w:r>
      <w:r>
        <w:rPr>
          <w:w w:val="99"/>
        </w:rPr>
        <w:t>nd</w:t>
      </w:r>
      <w:r>
        <w:rPr/>
        <w:t> </w:t>
      </w:r>
      <w:r>
        <w:rPr>
          <w:w w:val="99"/>
        </w:rPr>
        <w:t>the</w:t>
      </w:r>
      <w:r>
        <w:rPr/>
        <w:t> </w:t>
      </w:r>
      <w:r>
        <w:rPr>
          <w:spacing w:val="-3"/>
          <w:w w:val="99"/>
        </w:rPr>
        <w:t>d</w:t>
      </w:r>
      <w:r>
        <w:rPr>
          <w:spacing w:val="-1"/>
          <w:w w:val="99"/>
        </w:rPr>
        <w:t>eit</w:t>
      </w:r>
      <w:r>
        <w:rPr>
          <w:w w:val="99"/>
        </w:rPr>
        <w:t>y</w:t>
      </w:r>
      <w:r>
        <w:rPr/>
        <w:t> </w:t>
      </w:r>
      <w:r>
        <w:rPr>
          <w:spacing w:val="-1"/>
          <w:w w:val="99"/>
        </w:rPr>
        <w:t>b</w:t>
      </w:r>
      <w:r>
        <w:rPr>
          <w:w w:val="99"/>
        </w:rPr>
        <w:t>e</w:t>
      </w:r>
      <w:r>
        <w:rPr>
          <w:spacing w:val="-1"/>
          <w:w w:val="99"/>
        </w:rPr>
        <w:t>in</w:t>
      </w:r>
      <w:r>
        <w:rPr>
          <w:w w:val="99"/>
        </w:rPr>
        <w:t>g</w:t>
      </w:r>
      <w:r>
        <w:rPr/>
        <w:t> </w:t>
      </w:r>
      <w:r>
        <w:rPr>
          <w:w w:val="33"/>
        </w:rPr>
        <w:t>―</w:t>
      </w:r>
      <w:r>
        <w:rPr>
          <w:spacing w:val="-1"/>
          <w:w w:val="99"/>
        </w:rPr>
        <w:t>i</w:t>
      </w:r>
      <w:r>
        <w:rPr>
          <w:w w:val="99"/>
        </w:rPr>
        <w:t>n</w:t>
      </w:r>
      <w:r>
        <w:rPr/>
        <w:t> </w:t>
      </w:r>
      <w:r>
        <w:rPr>
          <w:w w:val="99"/>
        </w:rPr>
        <w:t>the fo</w:t>
      </w:r>
      <w:r>
        <w:rPr>
          <w:spacing w:val="1"/>
          <w:w w:val="99"/>
        </w:rPr>
        <w:t>r</w:t>
      </w:r>
      <w:r>
        <w:rPr>
          <w:w w:val="99"/>
        </w:rPr>
        <w:t>m</w:t>
      </w:r>
      <w:r>
        <w:rPr/>
        <w:t> </w:t>
      </w:r>
      <w:r>
        <w:rPr>
          <w:spacing w:val="-1"/>
          <w:w w:val="99"/>
        </w:rPr>
        <w:t>o</w:t>
      </w:r>
      <w:r>
        <w:rPr>
          <w:w w:val="99"/>
        </w:rPr>
        <w:t>f</w:t>
      </w:r>
      <w:r>
        <w:rPr/>
        <w:t> </w:t>
      </w:r>
      <w:r>
        <w:rPr>
          <w:w w:val="99"/>
        </w:rPr>
        <w:t>a</w:t>
      </w:r>
      <w:r>
        <w:rPr/>
        <w:t> </w:t>
      </w:r>
      <w:r>
        <w:rPr>
          <w:spacing w:val="-1"/>
          <w:w w:val="99"/>
        </w:rPr>
        <w:t>plac</w:t>
      </w:r>
      <w:r>
        <w:rPr>
          <w:w w:val="99"/>
        </w:rPr>
        <w:t>e</w:t>
      </w:r>
      <w:r>
        <w:rPr>
          <w:w w:val="80"/>
        </w:rPr>
        <w:t>‖</w:t>
      </w:r>
      <w:r>
        <w:rPr/>
        <w:t> </w:t>
      </w:r>
      <w:r>
        <w:rPr>
          <w:spacing w:val="-1"/>
          <w:w w:val="99"/>
        </w:rPr>
        <w:t>i</w:t>
      </w:r>
      <w:r>
        <w:rPr>
          <w:w w:val="99"/>
        </w:rPr>
        <w:t>t</w:t>
      </w:r>
      <w:r>
        <w:rPr/>
        <w:t> </w:t>
      </w:r>
      <w:r>
        <w:rPr>
          <w:w w:val="33"/>
        </w:rPr>
        <w:t>―</w:t>
      </w:r>
      <w:r>
        <w:rPr>
          <w:w w:val="99"/>
        </w:rPr>
        <w:t>c</w:t>
      </w:r>
      <w:r>
        <w:rPr>
          <w:spacing w:val="-2"/>
          <w:w w:val="99"/>
        </w:rPr>
        <w:t>a</w:t>
      </w:r>
      <w:r>
        <w:rPr>
          <w:w w:val="99"/>
        </w:rPr>
        <w:t>n</w:t>
      </w:r>
      <w:r>
        <w:rPr/>
        <w:t> </w:t>
      </w:r>
      <w:r>
        <w:rPr>
          <w:spacing w:val="-1"/>
          <w:w w:val="99"/>
        </w:rPr>
        <w:t>n</w:t>
      </w:r>
      <w:r>
        <w:rPr>
          <w:w w:val="99"/>
        </w:rPr>
        <w:t>e</w:t>
      </w:r>
      <w:r>
        <w:rPr>
          <w:spacing w:val="-3"/>
          <w:w w:val="99"/>
        </w:rPr>
        <w:t>v</w:t>
      </w:r>
      <w:r>
        <w:rPr>
          <w:spacing w:val="-1"/>
          <w:w w:val="99"/>
        </w:rPr>
        <w:t>e</w:t>
      </w:r>
      <w:r>
        <w:rPr>
          <w:w w:val="99"/>
        </w:rPr>
        <w:t>r</w:t>
      </w:r>
      <w:r>
        <w:rPr/>
        <w:t> </w:t>
      </w:r>
      <w:r>
        <w:rPr>
          <w:spacing w:val="-1"/>
          <w:w w:val="99"/>
        </w:rPr>
        <w:t>b</w:t>
      </w:r>
      <w:r>
        <w:rPr>
          <w:w w:val="99"/>
        </w:rPr>
        <w:t>e</w:t>
      </w:r>
      <w:r>
        <w:rPr/>
        <w:t> </w:t>
      </w:r>
      <w:r>
        <w:rPr>
          <w:spacing w:val="-1"/>
          <w:w w:val="99"/>
        </w:rPr>
        <w:t>d</w:t>
      </w:r>
      <w:r>
        <w:rPr>
          <w:w w:val="99"/>
        </w:rPr>
        <w:t>estr</w:t>
      </w:r>
      <w:r>
        <w:rPr>
          <w:spacing w:val="-1"/>
          <w:w w:val="99"/>
        </w:rPr>
        <w:t>o</w:t>
      </w:r>
      <w:r>
        <w:rPr>
          <w:spacing w:val="-3"/>
          <w:w w:val="99"/>
        </w:rPr>
        <w:t>y</w:t>
      </w:r>
      <w:r>
        <w:rPr>
          <w:spacing w:val="-1"/>
          <w:w w:val="99"/>
        </w:rPr>
        <w:t>e</w:t>
      </w:r>
      <w:r>
        <w:rPr>
          <w:w w:val="99"/>
        </w:rPr>
        <w:t>d</w:t>
      </w:r>
      <w:r>
        <w:rPr/>
        <w:t> </w:t>
      </w:r>
      <w:r>
        <w:rPr>
          <w:spacing w:val="-1"/>
          <w:w w:val="99"/>
        </w:rPr>
        <w:t>n</w:t>
      </w:r>
      <w:r>
        <w:rPr>
          <w:w w:val="99"/>
        </w:rPr>
        <w:t>or</w:t>
      </w:r>
      <w:r>
        <w:rPr/>
        <w:t> </w:t>
      </w:r>
      <w:r>
        <w:rPr>
          <w:w w:val="99"/>
        </w:rPr>
        <w:t>cou</w:t>
      </w:r>
      <w:r>
        <w:rPr>
          <w:spacing w:val="-1"/>
          <w:w w:val="99"/>
        </w:rPr>
        <w:t>l</w:t>
      </w:r>
      <w:r>
        <w:rPr>
          <w:w w:val="99"/>
        </w:rPr>
        <w:t>d</w:t>
      </w:r>
      <w:r>
        <w:rPr/>
        <w:t> </w:t>
      </w:r>
      <w:r>
        <w:rPr>
          <w:spacing w:val="-1"/>
          <w:w w:val="99"/>
        </w:rPr>
        <w:t>b</w:t>
      </w:r>
      <w:r>
        <w:rPr>
          <w:w w:val="99"/>
        </w:rPr>
        <w:t>e</w:t>
      </w:r>
      <w:r>
        <w:rPr/>
        <w:t> </w:t>
      </w:r>
      <w:r>
        <w:rPr>
          <w:spacing w:val="-1"/>
          <w:w w:val="99"/>
        </w:rPr>
        <w:t>d</w:t>
      </w:r>
      <w:r>
        <w:rPr>
          <w:w w:val="99"/>
        </w:rPr>
        <w:t>estr</w:t>
      </w:r>
      <w:r>
        <w:rPr>
          <w:spacing w:val="-1"/>
          <w:w w:val="99"/>
        </w:rPr>
        <w:t>uc</w:t>
      </w:r>
      <w:r>
        <w:rPr>
          <w:spacing w:val="-2"/>
          <w:w w:val="99"/>
        </w:rPr>
        <w:t>t</w:t>
      </w:r>
      <w:r>
        <w:rPr>
          <w:spacing w:val="-1"/>
          <w:w w:val="99"/>
        </w:rPr>
        <w:t>e</w:t>
      </w:r>
      <w:r>
        <w:rPr>
          <w:w w:val="99"/>
        </w:rPr>
        <w:t>d</w:t>
      </w:r>
      <w:r>
        <w:rPr>
          <w:w w:val="80"/>
        </w:rPr>
        <w:t>‖</w:t>
      </w:r>
      <w:r>
        <w:rPr>
          <w:w w:val="99"/>
        </w:rPr>
        <w:t>.</w:t>
      </w:r>
      <w:r>
        <w:rPr/>
        <w:t> </w:t>
      </w:r>
      <w:r>
        <w:rPr>
          <w:spacing w:val="-1"/>
          <w:w w:val="99"/>
        </w:rPr>
        <w:t>Henc</w:t>
      </w:r>
      <w:r>
        <w:rPr>
          <w:w w:val="99"/>
        </w:rPr>
        <w:t>e,</w:t>
      </w:r>
      <w:r>
        <w:rPr/>
        <w:t> </w:t>
      </w:r>
      <w:r>
        <w:rPr>
          <w:spacing w:val="-1"/>
          <w:w w:val="99"/>
        </w:rPr>
        <w:t>i</w:t>
      </w:r>
      <w:r>
        <w:rPr>
          <w:w w:val="99"/>
        </w:rPr>
        <w:t>f</w:t>
      </w:r>
      <w:r>
        <w:rPr/>
        <w:t> </w:t>
      </w:r>
      <w:r>
        <w:rPr>
          <w:w w:val="99"/>
        </w:rPr>
        <w:t>the </w:t>
      </w:r>
      <w:r>
        <w:rPr/>
        <w:t>deity</w:t>
      </w:r>
      <w:r>
        <w:rPr>
          <w:spacing w:val="54"/>
        </w:rPr>
        <w:t> </w:t>
      </w:r>
      <w:r>
        <w:rPr/>
        <w:t>claims</w:t>
      </w:r>
      <w:r>
        <w:rPr>
          <w:spacing w:val="57"/>
        </w:rPr>
        <w:t> </w:t>
      </w:r>
      <w:r>
        <w:rPr/>
        <w:t>a</w:t>
      </w:r>
      <w:r>
        <w:rPr>
          <w:spacing w:val="58"/>
        </w:rPr>
        <w:t> </w:t>
      </w:r>
      <w:r>
        <w:rPr/>
        <w:t>declaration</w:t>
      </w:r>
      <w:r>
        <w:rPr>
          <w:spacing w:val="57"/>
        </w:rPr>
        <w:t> </w:t>
      </w:r>
      <w:r>
        <w:rPr/>
        <w:t>from</w:t>
      </w:r>
      <w:r>
        <w:rPr>
          <w:spacing w:val="57"/>
        </w:rPr>
        <w:t> </w:t>
      </w:r>
      <w:r>
        <w:rPr/>
        <w:t>the</w:t>
      </w:r>
      <w:r>
        <w:rPr>
          <w:spacing w:val="57"/>
        </w:rPr>
        <w:t> </w:t>
      </w:r>
      <w:r>
        <w:rPr/>
        <w:t>court,</w:t>
      </w:r>
      <w:r>
        <w:rPr>
          <w:spacing w:val="56"/>
        </w:rPr>
        <w:t> </w:t>
      </w:r>
      <w:r>
        <w:rPr/>
        <w:t>the</w:t>
      </w:r>
      <w:r>
        <w:rPr>
          <w:spacing w:val="56"/>
        </w:rPr>
        <w:t> </w:t>
      </w:r>
      <w:r>
        <w:rPr/>
        <w:t>plea</w:t>
      </w:r>
      <w:r>
        <w:rPr>
          <w:spacing w:val="57"/>
        </w:rPr>
        <w:t> </w:t>
      </w:r>
      <w:r>
        <w:rPr/>
        <w:t>of</w:t>
      </w:r>
      <w:r>
        <w:rPr>
          <w:spacing w:val="57"/>
        </w:rPr>
        <w:t> </w:t>
      </w:r>
      <w:r>
        <w:rPr/>
        <w:t>limitation</w:t>
      </w:r>
      <w:r>
        <w:rPr>
          <w:spacing w:val="57"/>
        </w:rPr>
        <w:t> </w:t>
      </w:r>
      <w:r>
        <w:rPr/>
        <w:t>would</w:t>
      </w:r>
      <w:r>
        <w:rPr>
          <w:spacing w:val="57"/>
        </w:rPr>
        <w:t> </w:t>
      </w:r>
      <w:r>
        <w:rPr/>
        <w:t>not</w:t>
      </w:r>
      <w:r>
        <w:rPr>
          <w:spacing w:val="57"/>
        </w:rPr>
        <w:t> </w:t>
      </w:r>
      <w:r>
        <w:rPr/>
        <w:t>be</w:t>
      </w:r>
    </w:p>
    <w:p>
      <w:pPr>
        <w:pStyle w:val="BodyText"/>
        <w:rPr>
          <w:sz w:val="20"/>
        </w:rPr>
      </w:pPr>
    </w:p>
    <w:p>
      <w:pPr>
        <w:pStyle w:val="BodyText"/>
        <w:spacing w:before="4"/>
        <w:rPr>
          <w:sz w:val="28"/>
        </w:rPr>
      </w:pPr>
      <w:r>
        <w:rPr/>
        <w:pict>
          <v:rect style="position:absolute;margin-left:72.024002pt;margin-top:18.288837pt;width:144.020pt;height:.599980pt;mso-position-horizontal-relative:page;mso-position-vertical-relative:paragraph;z-index:-15656448;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259</w:t>
      </w:r>
      <w:r>
        <w:rPr>
          <w:sz w:val="18"/>
          <w:vertAlign w:val="baseline"/>
        </w:rPr>
        <w:t> (1967) 2 SCR 618</w:t>
      </w:r>
    </w:p>
    <w:p>
      <w:pPr>
        <w:spacing w:before="2"/>
        <w:ind w:left="500" w:right="0" w:firstLine="0"/>
        <w:jc w:val="left"/>
        <w:rPr>
          <w:sz w:val="18"/>
        </w:rPr>
      </w:pPr>
      <w:r>
        <w:rPr>
          <w:sz w:val="18"/>
          <w:vertAlign w:val="superscript"/>
        </w:rPr>
        <w:t>260</w:t>
      </w:r>
      <w:r>
        <w:rPr>
          <w:sz w:val="18"/>
          <w:vertAlign w:val="baseline"/>
        </w:rPr>
        <w:t> AIR 1940 PC 116</w:t>
      </w:r>
    </w:p>
    <w:p>
      <w:pPr>
        <w:spacing w:after="0"/>
        <w:jc w:val="left"/>
        <w:rPr>
          <w:sz w:val="18"/>
        </w:rPr>
        <w:sectPr>
          <w:pgSz w:w="11910" w:h="16840"/>
          <w:pgMar w:header="721" w:footer="1014" w:top="1300" w:bottom="1200" w:left="940" w:right="1000"/>
        </w:sectPr>
      </w:pPr>
    </w:p>
    <w:p>
      <w:pPr>
        <w:pStyle w:val="BodyText"/>
        <w:spacing w:line="480" w:lineRule="auto" w:before="124"/>
        <w:ind w:left="500" w:right="446"/>
        <w:jc w:val="both"/>
      </w:pPr>
      <w:r>
        <w:rPr/>
        <w:t>applicable and there was no reason to take recourse to Section 6 or Section 7 of the Limitation Act.</w:t>
      </w:r>
    </w:p>
    <w:p>
      <w:pPr>
        <w:pStyle w:val="BodyText"/>
        <w:rPr>
          <w:sz w:val="28"/>
        </w:rPr>
      </w:pPr>
    </w:p>
    <w:p>
      <w:pPr>
        <w:pStyle w:val="BodyText"/>
        <w:spacing w:before="6"/>
        <w:rPr>
          <w:sz w:val="24"/>
        </w:rPr>
      </w:pPr>
    </w:p>
    <w:p>
      <w:pPr>
        <w:pStyle w:val="BodyText"/>
        <w:spacing w:line="480" w:lineRule="auto"/>
        <w:ind w:left="500" w:right="439"/>
        <w:jc w:val="both"/>
      </w:pPr>
      <w:r>
        <w:rPr/>
        <w:t>Justice D V Sharma relied upon the decision in </w:t>
      </w:r>
      <w:r>
        <w:rPr>
          <w:b/>
        </w:rPr>
        <w:t>Bishwanath </w:t>
      </w:r>
      <w:r>
        <w:rPr/>
        <w:t>and came to the conclusion that a deity is a minor for the purposes of Section 6 of the Limitation Act and extending the benefit available to a minor to a deity would do no injustice to the world at large.</w:t>
      </w:r>
    </w:p>
    <w:p>
      <w:pPr>
        <w:pStyle w:val="BodyText"/>
        <w:spacing w:before="3"/>
      </w:pPr>
    </w:p>
    <w:p>
      <w:pPr>
        <w:pStyle w:val="ListParagraph"/>
        <w:numPr>
          <w:ilvl w:val="0"/>
          <w:numId w:val="111"/>
        </w:numPr>
        <w:tabs>
          <w:tab w:pos="1221" w:val="left" w:leader="none"/>
        </w:tabs>
        <w:spacing w:line="480" w:lineRule="auto" w:before="0" w:after="0"/>
        <w:ind w:left="500" w:right="438" w:firstLine="0"/>
        <w:jc w:val="both"/>
        <w:rPr>
          <w:sz w:val="25"/>
        </w:rPr>
      </w:pPr>
      <w:r>
        <w:rPr>
          <w:sz w:val="25"/>
        </w:rPr>
        <w:t>The analysis of the legal position on the applicability of the law on perpetual minority by Justice S U Khan commends itself. Based on the judicial precedents analysed above, it is an established position that a deity cannot on the ground of being a perpetual minor stand exempted from the application of the Limitation Act. The submission which was urged by Mr C S Vaidyanathan is contrary to the jurisprudence of close to a century on the issue. </w:t>
      </w:r>
      <w:r>
        <w:rPr>
          <w:spacing w:val="3"/>
          <w:sz w:val="25"/>
        </w:rPr>
        <w:t>We </w:t>
      </w:r>
      <w:r>
        <w:rPr>
          <w:sz w:val="25"/>
        </w:rPr>
        <w:t>follow the line of precedents emanating from the Privy Council, this Court and several High Courts noted earlier. The applicability of the law of limitation cannot be ruled out on the basis of the theory of perpetual</w:t>
      </w:r>
      <w:r>
        <w:rPr>
          <w:spacing w:val="-10"/>
          <w:sz w:val="25"/>
        </w:rPr>
        <w:t> </w:t>
      </w:r>
      <w:r>
        <w:rPr>
          <w:sz w:val="25"/>
        </w:rPr>
        <w:t>minority.</w:t>
      </w:r>
    </w:p>
    <w:p>
      <w:pPr>
        <w:pStyle w:val="BodyText"/>
        <w:spacing w:before="1"/>
        <w:rPr>
          <w:sz w:val="39"/>
        </w:rPr>
      </w:pPr>
    </w:p>
    <w:p>
      <w:pPr>
        <w:pStyle w:val="BodyText"/>
        <w:spacing w:line="480" w:lineRule="auto"/>
        <w:ind w:left="500" w:right="436"/>
        <w:jc w:val="both"/>
      </w:pPr>
      <w:r>
        <w:rPr/>
        <w:t>For the reasons which we have been already been adduced above, the reasons which weighed with Justice Sudhir Agarwal and Justice DV Sharma while construing the applicability of the Limitation Act are incorrect. The decision of the two judge Bench in </w:t>
      </w:r>
      <w:r>
        <w:rPr>
          <w:b/>
        </w:rPr>
        <w:t>Bishwanath </w:t>
      </w:r>
      <w:r>
        <w:rPr/>
        <w:t>did not deal with the issue of the applicability of the Limitation Act and the observations that a deity is a minor cannot be extended by implication to create an exemption to the applicability of the law of limitation. Such an extension would be contrary to the consistent precedents emanating</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7"/>
        <w:jc w:val="both"/>
      </w:pPr>
      <w:r>
        <w:rPr/>
        <w:t>from the Privy Council as well as in the decisions of this Court and the High Courts. Justice D V Sharma has read into the provisions of Section 6 of the Limitation Act that the same principle which applies to a minor also applies to a deity. Such an extension cannot be arrived at by implication or by interpretation.</w:t>
      </w:r>
    </w:p>
    <w:p>
      <w:pPr>
        <w:pStyle w:val="BodyText"/>
        <w:rPr>
          <w:sz w:val="28"/>
        </w:rPr>
      </w:pPr>
    </w:p>
    <w:p>
      <w:pPr>
        <w:pStyle w:val="BodyText"/>
        <w:rPr>
          <w:sz w:val="36"/>
        </w:rPr>
      </w:pPr>
    </w:p>
    <w:p>
      <w:pPr>
        <w:pStyle w:val="Heading4"/>
        <w:rPr>
          <w:i/>
        </w:rPr>
      </w:pPr>
      <w:r>
        <w:rPr>
          <w:i/>
        </w:rPr>
        <w:t>Limitation in Suit 5</w:t>
      </w:r>
    </w:p>
    <w:p>
      <w:pPr>
        <w:pStyle w:val="BodyText"/>
        <w:rPr>
          <w:i/>
          <w:sz w:val="28"/>
        </w:rPr>
      </w:pPr>
    </w:p>
    <w:p>
      <w:pPr>
        <w:pStyle w:val="BodyText"/>
        <w:spacing w:before="10"/>
        <w:rPr>
          <w:i/>
          <w:sz w:val="22"/>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Each of the three judges of the Allahabad High Court furnished reasons of their own in holding that Suit 5 was within limitation. Justice S U Khan dealt with limitation in one consolidated analysis and furnished five reasons of which the first and the fifth were held to be applicable to Suit 5. According to the learned Judge:</w:t>
      </w:r>
    </w:p>
    <w:p>
      <w:pPr>
        <w:pStyle w:val="ListParagraph"/>
        <w:numPr>
          <w:ilvl w:val="0"/>
          <w:numId w:val="129"/>
        </w:numPr>
        <w:tabs>
          <w:tab w:pos="1221" w:val="left" w:leader="none"/>
        </w:tabs>
        <w:spacing w:line="480" w:lineRule="auto" w:before="161" w:after="0"/>
        <w:ind w:left="1220" w:right="435" w:hanging="720"/>
        <w:jc w:val="both"/>
        <w:rPr>
          <w:sz w:val="25"/>
        </w:rPr>
      </w:pPr>
      <w:r>
        <w:rPr>
          <w:sz w:val="25"/>
        </w:rPr>
        <w:t>The Magistrate by keeping the proceedings under Section 145 pending indefinitely, acted in excess of jurisdiction. Consequently, no final order was passed in the Section 145 proceedings. By not doing so, it was held that the bar of limitation would not arise;</w:t>
      </w:r>
      <w:r>
        <w:rPr>
          <w:spacing w:val="-6"/>
          <w:sz w:val="25"/>
        </w:rPr>
        <w:t> </w:t>
      </w:r>
      <w:r>
        <w:rPr>
          <w:sz w:val="25"/>
        </w:rPr>
        <w:t>and</w:t>
      </w:r>
    </w:p>
    <w:p>
      <w:pPr>
        <w:pStyle w:val="ListParagraph"/>
        <w:numPr>
          <w:ilvl w:val="0"/>
          <w:numId w:val="129"/>
        </w:numPr>
        <w:tabs>
          <w:tab w:pos="1221" w:val="left" w:leader="none"/>
        </w:tabs>
        <w:spacing w:line="482" w:lineRule="auto" w:before="0" w:after="0"/>
        <w:ind w:left="1220" w:right="450" w:hanging="720"/>
        <w:jc w:val="both"/>
        <w:rPr>
          <w:sz w:val="25"/>
        </w:rPr>
      </w:pPr>
      <w:r>
        <w:rPr>
          <w:sz w:val="25"/>
        </w:rPr>
        <w:t>The court in any event was required to return a finding under Order XIV on all</w:t>
      </w:r>
      <w:r>
        <w:rPr>
          <w:spacing w:val="-2"/>
          <w:sz w:val="25"/>
        </w:rPr>
        <w:t> </w:t>
      </w:r>
      <w:r>
        <w:rPr>
          <w:sz w:val="25"/>
        </w:rPr>
        <w:t>issues.</w:t>
      </w:r>
    </w:p>
    <w:p>
      <w:pPr>
        <w:pStyle w:val="BodyText"/>
        <w:spacing w:before="6"/>
        <w:rPr>
          <w:sz w:val="24"/>
        </w:rPr>
      </w:pPr>
    </w:p>
    <w:p>
      <w:pPr>
        <w:pStyle w:val="BodyText"/>
        <w:spacing w:line="480" w:lineRule="auto"/>
        <w:ind w:left="500" w:right="444"/>
        <w:jc w:val="both"/>
      </w:pPr>
      <w:r>
        <w:rPr/>
        <w:t>Justice Sudhir Agarwal held that the plea of limitation in Suit 5 must be understood in the context of the following facts:</w:t>
      </w:r>
    </w:p>
    <w:p>
      <w:pPr>
        <w:pStyle w:val="ListParagraph"/>
        <w:numPr>
          <w:ilvl w:val="0"/>
          <w:numId w:val="130"/>
        </w:numPr>
        <w:tabs>
          <w:tab w:pos="1221" w:val="left" w:leader="none"/>
        </w:tabs>
        <w:spacing w:line="480" w:lineRule="auto" w:before="161" w:after="0"/>
        <w:ind w:left="1220" w:right="437" w:hanging="720"/>
        <w:jc w:val="both"/>
        <w:rPr>
          <w:sz w:val="25"/>
        </w:rPr>
      </w:pPr>
      <w:r>
        <w:rPr>
          <w:sz w:val="25"/>
        </w:rPr>
        <w:t>The place in dispute is believed by Hindus to be the birth-place of Lord Ram and has been worshipped as such since time</w:t>
      </w:r>
      <w:r>
        <w:rPr>
          <w:spacing w:val="-8"/>
          <w:sz w:val="25"/>
        </w:rPr>
        <w:t> </w:t>
      </w:r>
      <w:r>
        <w:rPr>
          <w:sz w:val="25"/>
        </w:rPr>
        <w:t>immemorial;</w:t>
      </w:r>
    </w:p>
    <w:p>
      <w:pPr>
        <w:spacing w:after="0" w:line="480" w:lineRule="auto"/>
        <w:jc w:val="both"/>
        <w:rPr>
          <w:sz w:val="25"/>
        </w:rPr>
        <w:sectPr>
          <w:pgSz w:w="11910" w:h="16840"/>
          <w:pgMar w:header="721" w:footer="1014" w:top="1300" w:bottom="1200" w:left="940" w:right="1000"/>
        </w:sectPr>
      </w:pPr>
    </w:p>
    <w:p>
      <w:pPr>
        <w:pStyle w:val="ListParagraph"/>
        <w:numPr>
          <w:ilvl w:val="0"/>
          <w:numId w:val="130"/>
        </w:numPr>
        <w:tabs>
          <w:tab w:pos="1221" w:val="left" w:leader="none"/>
        </w:tabs>
        <w:spacing w:line="480" w:lineRule="auto" w:before="124" w:after="0"/>
        <w:ind w:left="1220" w:right="442" w:hanging="720"/>
        <w:jc w:val="both"/>
        <w:rPr>
          <w:sz w:val="25"/>
        </w:rPr>
      </w:pPr>
      <w:r>
        <w:rPr>
          <w:sz w:val="25"/>
        </w:rPr>
        <w:t>A non-Hindu structure in the nature of a mosque was raised at the command of the Muslim ruler before the visit of </w:t>
      </w:r>
      <w:r>
        <w:rPr>
          <w:b/>
          <w:sz w:val="25"/>
        </w:rPr>
        <w:t>Tieffenthaler</w:t>
      </w:r>
      <w:r>
        <w:rPr>
          <w:b/>
          <w:spacing w:val="-13"/>
          <w:sz w:val="25"/>
        </w:rPr>
        <w:t> </w:t>
      </w:r>
      <w:r>
        <w:rPr>
          <w:sz w:val="25"/>
        </w:rPr>
        <w:t>(1766-71);</w:t>
      </w:r>
    </w:p>
    <w:p>
      <w:pPr>
        <w:pStyle w:val="ListParagraph"/>
        <w:numPr>
          <w:ilvl w:val="0"/>
          <w:numId w:val="130"/>
        </w:numPr>
        <w:tabs>
          <w:tab w:pos="1221" w:val="left" w:leader="none"/>
        </w:tabs>
        <w:spacing w:line="480" w:lineRule="auto" w:before="0" w:after="0"/>
        <w:ind w:left="1220" w:right="443" w:hanging="720"/>
        <w:jc w:val="both"/>
        <w:rPr>
          <w:sz w:val="25"/>
        </w:rPr>
      </w:pPr>
      <w:r>
        <w:rPr>
          <w:sz w:val="25"/>
        </w:rPr>
        <w:t>Despite the above construction, Hindus continued to visit it and offer worship according to their belief that it was the birth-place of Lord</w:t>
      </w:r>
      <w:r>
        <w:rPr>
          <w:spacing w:val="-11"/>
          <w:sz w:val="25"/>
        </w:rPr>
        <w:t> </w:t>
      </w:r>
      <w:r>
        <w:rPr>
          <w:sz w:val="25"/>
        </w:rPr>
        <w:t>Ram;</w:t>
      </w:r>
    </w:p>
    <w:p>
      <w:pPr>
        <w:pStyle w:val="ListParagraph"/>
        <w:numPr>
          <w:ilvl w:val="0"/>
          <w:numId w:val="130"/>
        </w:numPr>
        <w:tabs>
          <w:tab w:pos="1221" w:val="left" w:leader="none"/>
        </w:tabs>
        <w:spacing w:line="480" w:lineRule="auto" w:before="0" w:after="0"/>
        <w:ind w:left="1220" w:right="445" w:hanging="720"/>
        <w:jc w:val="both"/>
        <w:rPr>
          <w:sz w:val="25"/>
        </w:rPr>
      </w:pPr>
      <w:r>
        <w:rPr>
          <w:sz w:val="25"/>
        </w:rPr>
        <w:t>Though the structure of the building was treated as a mosque it did not impact the beliefs of the</w:t>
      </w:r>
      <w:r>
        <w:rPr>
          <w:spacing w:val="-3"/>
          <w:sz w:val="25"/>
        </w:rPr>
        <w:t> </w:t>
      </w:r>
      <w:r>
        <w:rPr>
          <w:sz w:val="25"/>
        </w:rPr>
        <w:t>Hindus;</w:t>
      </w:r>
    </w:p>
    <w:p>
      <w:pPr>
        <w:pStyle w:val="ListParagraph"/>
        <w:numPr>
          <w:ilvl w:val="0"/>
          <w:numId w:val="130"/>
        </w:numPr>
        <w:tabs>
          <w:tab w:pos="1221" w:val="left" w:leader="none"/>
        </w:tabs>
        <w:spacing w:line="480" w:lineRule="auto" w:before="0" w:after="0"/>
        <w:ind w:left="1220" w:right="433" w:hanging="720"/>
        <w:jc w:val="both"/>
        <w:rPr>
          <w:sz w:val="25"/>
        </w:rPr>
      </w:pPr>
      <w:r>
        <w:rPr>
          <w:sz w:val="25"/>
        </w:rPr>
        <w:t>Within the premises of the undivided mosque, there was a non-Islamic structure of a </w:t>
      </w:r>
      <w:r>
        <w:rPr>
          <w:i/>
          <w:sz w:val="25"/>
        </w:rPr>
        <w:t>Bedi </w:t>
      </w:r>
      <w:r>
        <w:rPr>
          <w:sz w:val="25"/>
        </w:rPr>
        <w:t>which was noticed by Tieffenthaler in his</w:t>
      </w:r>
      <w:r>
        <w:rPr>
          <w:spacing w:val="-10"/>
          <w:sz w:val="25"/>
        </w:rPr>
        <w:t> </w:t>
      </w:r>
      <w:r>
        <w:rPr>
          <w:sz w:val="25"/>
        </w:rPr>
        <w:t>account;</w:t>
      </w:r>
    </w:p>
    <w:p>
      <w:pPr>
        <w:pStyle w:val="ListParagraph"/>
        <w:numPr>
          <w:ilvl w:val="0"/>
          <w:numId w:val="130"/>
        </w:numPr>
        <w:tabs>
          <w:tab w:pos="1221" w:val="left" w:leader="none"/>
        </w:tabs>
        <w:spacing w:line="480" w:lineRule="auto" w:before="1" w:after="0"/>
        <w:ind w:left="1220" w:right="446" w:hanging="720"/>
        <w:jc w:val="both"/>
        <w:rPr>
          <w:sz w:val="25"/>
        </w:rPr>
      </w:pPr>
      <w:r>
        <w:rPr>
          <w:sz w:val="25"/>
        </w:rPr>
        <w:t>Other Hindu structures were added with the passage of time including Sita Rasoi, Ramchabutra and</w:t>
      </w:r>
      <w:r>
        <w:rPr>
          <w:spacing w:val="-2"/>
          <w:sz w:val="25"/>
        </w:rPr>
        <w:t> </w:t>
      </w:r>
      <w:r>
        <w:rPr>
          <w:sz w:val="25"/>
        </w:rPr>
        <w:t>Bhandar;</w:t>
      </w:r>
    </w:p>
    <w:p>
      <w:pPr>
        <w:pStyle w:val="ListParagraph"/>
        <w:numPr>
          <w:ilvl w:val="0"/>
          <w:numId w:val="130"/>
        </w:numPr>
        <w:tabs>
          <w:tab w:pos="1221" w:val="left" w:leader="none"/>
        </w:tabs>
        <w:spacing w:line="480" w:lineRule="auto" w:before="0" w:after="0"/>
        <w:ind w:left="1220" w:right="451" w:hanging="720"/>
        <w:jc w:val="both"/>
        <w:rPr>
          <w:sz w:val="25"/>
        </w:rPr>
      </w:pPr>
      <w:r>
        <w:rPr>
          <w:sz w:val="25"/>
        </w:rPr>
        <w:t>These structures were noticed in 1858, 1873, 1885, 1949 and 1950 and continued until the demolition of the entire structure </w:t>
      </w:r>
      <w:r>
        <w:rPr>
          <w:spacing w:val="3"/>
          <w:sz w:val="25"/>
        </w:rPr>
        <w:t>on </w:t>
      </w:r>
      <w:r>
        <w:rPr>
          <w:sz w:val="25"/>
        </w:rPr>
        <w:t>6 December</w:t>
      </w:r>
      <w:r>
        <w:rPr>
          <w:spacing w:val="-23"/>
          <w:sz w:val="25"/>
        </w:rPr>
        <w:t> </w:t>
      </w:r>
      <w:r>
        <w:rPr>
          <w:sz w:val="25"/>
        </w:rPr>
        <w:t>1992;</w:t>
      </w:r>
    </w:p>
    <w:p>
      <w:pPr>
        <w:pStyle w:val="ListParagraph"/>
        <w:numPr>
          <w:ilvl w:val="0"/>
          <w:numId w:val="130"/>
        </w:numPr>
        <w:tabs>
          <w:tab w:pos="1221" w:val="left" w:leader="none"/>
        </w:tabs>
        <w:spacing w:line="480" w:lineRule="auto" w:before="0" w:after="0"/>
        <w:ind w:left="1220" w:right="441" w:hanging="720"/>
        <w:jc w:val="both"/>
        <w:rPr>
          <w:sz w:val="25"/>
        </w:rPr>
      </w:pPr>
      <w:r>
        <w:rPr>
          <w:sz w:val="25"/>
        </w:rPr>
        <w:t>Though the entire disputed structure was called a mosque, the British Government recognised the rival claims of both the communities by dividing the disputed area in two parts within which each community could separately offer prayer and worship;</w:t>
      </w:r>
    </w:p>
    <w:p>
      <w:pPr>
        <w:pStyle w:val="ListParagraph"/>
        <w:numPr>
          <w:ilvl w:val="0"/>
          <w:numId w:val="130"/>
        </w:numPr>
        <w:tabs>
          <w:tab w:pos="1221" w:val="left" w:leader="none"/>
        </w:tabs>
        <w:spacing w:line="480" w:lineRule="auto" w:before="0" w:after="0"/>
        <w:ind w:left="1220" w:right="443" w:hanging="720"/>
        <w:jc w:val="both"/>
        <w:rPr>
          <w:sz w:val="25"/>
        </w:rPr>
      </w:pPr>
      <w:r>
        <w:rPr>
          <w:sz w:val="25"/>
        </w:rPr>
        <w:t>Despite this division, Hindus not only kept possession of the outer courtyard but continued to enter the inner courtyard in spite of repeated complaints and removal orders fortified by the record between 1858 to 1885;</w:t>
      </w:r>
    </w:p>
    <w:p>
      <w:pPr>
        <w:pStyle w:val="ListParagraph"/>
        <w:numPr>
          <w:ilvl w:val="0"/>
          <w:numId w:val="130"/>
        </w:numPr>
        <w:tabs>
          <w:tab w:pos="1221" w:val="left" w:leader="none"/>
        </w:tabs>
        <w:spacing w:line="480" w:lineRule="auto" w:before="0" w:after="0"/>
        <w:ind w:left="1220" w:right="441" w:hanging="720"/>
        <w:jc w:val="both"/>
        <w:rPr>
          <w:sz w:val="25"/>
        </w:rPr>
      </w:pPr>
      <w:r>
        <w:rPr>
          <w:sz w:val="25"/>
        </w:rPr>
        <w:t>Treating the disputed structure as a mosque, the British Government allowed a Nankar grant to two Muslims in pursuance of which they claimed to have incurred expenses on the maintenance of the</w:t>
      </w:r>
      <w:r>
        <w:rPr>
          <w:spacing w:val="-8"/>
          <w:sz w:val="25"/>
        </w:rPr>
        <w:t> </w:t>
      </w:r>
      <w:r>
        <w:rPr>
          <w:sz w:val="25"/>
        </w:rPr>
        <w:t>building;</w:t>
      </w:r>
    </w:p>
    <w:p>
      <w:pPr>
        <w:spacing w:after="0" w:line="480" w:lineRule="auto"/>
        <w:jc w:val="both"/>
        <w:rPr>
          <w:sz w:val="25"/>
        </w:rPr>
        <w:sectPr>
          <w:pgSz w:w="11910" w:h="16840"/>
          <w:pgMar w:header="721" w:footer="1014" w:top="1300" w:bottom="1200" w:left="940" w:right="1000"/>
        </w:sectPr>
      </w:pPr>
    </w:p>
    <w:p>
      <w:pPr>
        <w:pStyle w:val="ListParagraph"/>
        <w:numPr>
          <w:ilvl w:val="0"/>
          <w:numId w:val="130"/>
        </w:numPr>
        <w:tabs>
          <w:tab w:pos="1221" w:val="left" w:leader="none"/>
        </w:tabs>
        <w:spacing w:line="480" w:lineRule="auto" w:before="124" w:after="0"/>
        <w:ind w:left="1220" w:right="442" w:hanging="720"/>
        <w:jc w:val="both"/>
        <w:rPr>
          <w:sz w:val="25"/>
        </w:rPr>
      </w:pPr>
      <w:r>
        <w:rPr>
          <w:sz w:val="25"/>
        </w:rPr>
        <w:t>On 22/23 December 1949, idols of Lord Ram were placed by Hindus in the inner</w:t>
      </w:r>
      <w:r>
        <w:rPr>
          <w:spacing w:val="-1"/>
          <w:sz w:val="25"/>
        </w:rPr>
        <w:t> </w:t>
      </w:r>
      <w:r>
        <w:rPr>
          <w:sz w:val="25"/>
        </w:rPr>
        <w:t>courtyard;</w:t>
      </w:r>
    </w:p>
    <w:p>
      <w:pPr>
        <w:pStyle w:val="ListParagraph"/>
        <w:numPr>
          <w:ilvl w:val="0"/>
          <w:numId w:val="130"/>
        </w:numPr>
        <w:tabs>
          <w:tab w:pos="1220" w:val="left" w:leader="none"/>
          <w:tab w:pos="1221" w:val="left" w:leader="none"/>
        </w:tabs>
        <w:spacing w:line="287" w:lineRule="exact" w:before="0" w:after="0"/>
        <w:ind w:left="1220" w:right="0" w:hanging="721"/>
        <w:jc w:val="left"/>
        <w:rPr>
          <w:sz w:val="25"/>
        </w:rPr>
      </w:pPr>
      <w:r>
        <w:rPr>
          <w:sz w:val="25"/>
        </w:rPr>
        <w:t>On</w:t>
      </w:r>
      <w:r>
        <w:rPr>
          <w:spacing w:val="38"/>
          <w:sz w:val="25"/>
        </w:rPr>
        <w:t> </w:t>
      </w:r>
      <w:r>
        <w:rPr>
          <w:sz w:val="25"/>
        </w:rPr>
        <w:t>29</w:t>
      </w:r>
      <w:r>
        <w:rPr>
          <w:spacing w:val="39"/>
          <w:sz w:val="25"/>
        </w:rPr>
        <w:t> </w:t>
      </w:r>
      <w:r>
        <w:rPr>
          <w:sz w:val="25"/>
        </w:rPr>
        <w:t>December</w:t>
      </w:r>
      <w:r>
        <w:rPr>
          <w:spacing w:val="39"/>
          <w:sz w:val="25"/>
        </w:rPr>
        <w:t> </w:t>
      </w:r>
      <w:r>
        <w:rPr>
          <w:sz w:val="25"/>
        </w:rPr>
        <w:t>1949,</w:t>
      </w:r>
      <w:r>
        <w:rPr>
          <w:spacing w:val="39"/>
          <w:sz w:val="25"/>
        </w:rPr>
        <w:t> </w:t>
      </w:r>
      <w:r>
        <w:rPr>
          <w:sz w:val="25"/>
        </w:rPr>
        <w:t>the</w:t>
      </w:r>
      <w:r>
        <w:rPr>
          <w:spacing w:val="39"/>
          <w:sz w:val="25"/>
        </w:rPr>
        <w:t> </w:t>
      </w:r>
      <w:r>
        <w:rPr>
          <w:sz w:val="25"/>
        </w:rPr>
        <w:t>inner</w:t>
      </w:r>
      <w:r>
        <w:rPr>
          <w:spacing w:val="39"/>
          <w:sz w:val="25"/>
        </w:rPr>
        <w:t> </w:t>
      </w:r>
      <w:r>
        <w:rPr>
          <w:sz w:val="25"/>
        </w:rPr>
        <w:t>courtyard</w:t>
      </w:r>
      <w:r>
        <w:rPr>
          <w:spacing w:val="39"/>
          <w:sz w:val="25"/>
        </w:rPr>
        <w:t> </w:t>
      </w:r>
      <w:r>
        <w:rPr>
          <w:sz w:val="25"/>
        </w:rPr>
        <w:t>was</w:t>
      </w:r>
      <w:r>
        <w:rPr>
          <w:spacing w:val="38"/>
          <w:sz w:val="25"/>
        </w:rPr>
        <w:t> </w:t>
      </w:r>
      <w:r>
        <w:rPr>
          <w:sz w:val="25"/>
        </w:rPr>
        <w:t>attached</w:t>
      </w:r>
      <w:r>
        <w:rPr>
          <w:spacing w:val="37"/>
          <w:sz w:val="25"/>
        </w:rPr>
        <w:t> </w:t>
      </w:r>
      <w:r>
        <w:rPr>
          <w:sz w:val="25"/>
        </w:rPr>
        <w:t>under</w:t>
      </w:r>
      <w:r>
        <w:rPr>
          <w:spacing w:val="40"/>
          <w:sz w:val="25"/>
        </w:rPr>
        <w:t> </w:t>
      </w:r>
      <w:r>
        <w:rPr>
          <w:sz w:val="25"/>
        </w:rPr>
        <w:t>Section</w:t>
      </w:r>
    </w:p>
    <w:p>
      <w:pPr>
        <w:pStyle w:val="BodyText"/>
      </w:pPr>
    </w:p>
    <w:p>
      <w:pPr>
        <w:pStyle w:val="BodyText"/>
        <w:spacing w:line="480" w:lineRule="auto" w:before="1"/>
        <w:ind w:left="1220" w:right="438"/>
        <w:jc w:val="both"/>
      </w:pPr>
      <w:r>
        <w:rPr/>
        <w:t>145 in spite of which the Magistrate ensured that worship of the idols placed under the central dome continued after which the civil court passed an order of injunction on 16 January 1950, which was clarified on 19 January 1950, confirmed on 3 March 1951 and which attained finality on 26 April</w:t>
      </w:r>
      <w:r>
        <w:rPr>
          <w:spacing w:val="-2"/>
        </w:rPr>
        <w:t> </w:t>
      </w:r>
      <w:r>
        <w:rPr/>
        <w:t>1955;</w:t>
      </w:r>
    </w:p>
    <w:p>
      <w:pPr>
        <w:pStyle w:val="ListParagraph"/>
        <w:numPr>
          <w:ilvl w:val="0"/>
          <w:numId w:val="130"/>
        </w:numPr>
        <w:tabs>
          <w:tab w:pos="1221" w:val="left" w:leader="none"/>
        </w:tabs>
        <w:spacing w:line="480" w:lineRule="auto" w:before="1" w:after="0"/>
        <w:ind w:left="1220" w:right="444" w:hanging="720"/>
        <w:jc w:val="both"/>
        <w:rPr>
          <w:sz w:val="25"/>
        </w:rPr>
      </w:pPr>
      <w:r>
        <w:rPr>
          <w:sz w:val="25"/>
        </w:rPr>
        <w:t>Since 23 December 1949, worship had continued by the Hindus while on the other hand, no Muslim had entered the premises or offered</w:t>
      </w:r>
      <w:r>
        <w:rPr>
          <w:spacing w:val="-13"/>
          <w:sz w:val="25"/>
        </w:rPr>
        <w:t> </w:t>
      </w:r>
      <w:r>
        <w:rPr>
          <w:sz w:val="25"/>
        </w:rPr>
        <w:t>namaz;</w:t>
      </w:r>
    </w:p>
    <w:p>
      <w:pPr>
        <w:pStyle w:val="ListParagraph"/>
        <w:numPr>
          <w:ilvl w:val="0"/>
          <w:numId w:val="130"/>
        </w:numPr>
        <w:tabs>
          <w:tab w:pos="1221" w:val="left" w:leader="none"/>
        </w:tabs>
        <w:spacing w:line="480" w:lineRule="auto" w:before="0" w:after="0"/>
        <w:ind w:left="1220" w:right="442" w:hanging="720"/>
        <w:jc w:val="both"/>
        <w:rPr>
          <w:sz w:val="25"/>
        </w:rPr>
      </w:pPr>
      <w:r>
        <w:rPr>
          <w:sz w:val="25"/>
        </w:rPr>
        <w:t>Since 29 December 1949, worship by Hindus continued from the iron grill door of the dividing wall and only priests were allowed to enter the premises for worship;</w:t>
      </w:r>
      <w:r>
        <w:rPr>
          <w:spacing w:val="-4"/>
          <w:sz w:val="25"/>
        </w:rPr>
        <w:t> </w:t>
      </w:r>
      <w:r>
        <w:rPr>
          <w:sz w:val="25"/>
        </w:rPr>
        <w:t>and</w:t>
      </w:r>
    </w:p>
    <w:p>
      <w:pPr>
        <w:pStyle w:val="ListParagraph"/>
        <w:numPr>
          <w:ilvl w:val="0"/>
          <w:numId w:val="130"/>
        </w:numPr>
        <w:tabs>
          <w:tab w:pos="1221" w:val="left" w:leader="none"/>
        </w:tabs>
        <w:spacing w:line="480" w:lineRule="auto" w:before="0" w:after="0"/>
        <w:ind w:left="1220" w:right="446" w:hanging="720"/>
        <w:jc w:val="both"/>
        <w:rPr>
          <w:sz w:val="25"/>
        </w:rPr>
      </w:pPr>
      <w:r>
        <w:rPr>
          <w:sz w:val="25"/>
        </w:rPr>
        <w:t>The District Judge, by an order dated 1 February 1986, directed the removal of locks and the opening of doors to permit the Hindus to pray to the idols in the inner</w:t>
      </w:r>
      <w:r>
        <w:rPr>
          <w:spacing w:val="-4"/>
          <w:sz w:val="25"/>
        </w:rPr>
        <w:t> </w:t>
      </w:r>
      <w:r>
        <w:rPr>
          <w:sz w:val="25"/>
        </w:rPr>
        <w:t>courtyard.</w:t>
      </w:r>
    </w:p>
    <w:p>
      <w:pPr>
        <w:pStyle w:val="BodyText"/>
        <w:spacing w:line="480" w:lineRule="auto" w:before="198"/>
        <w:ind w:left="500" w:right="442"/>
        <w:jc w:val="both"/>
      </w:pPr>
      <w:r>
        <w:rPr/>
        <w:t>On the basis of the above facts, Justice Sudhir Agarwal held that worship of the deities had continued and there was no action or inaction in respect of which the plaintiffs could claim a right to sue governed by a particular period of limitation. The learned judge held that in the preceding few hundred years, the only action which may have arisen to adversely affect the interest of the plaintiffs was the raising of the disputed structure. In spite of this, the place in dispute continued to be used by the Hindus for the purposes of worship. On the other hand, there is no mention of any Muslim having offered namaz from the date of the</w:t>
      </w:r>
      <w:r>
        <w:rPr>
          <w:spacing w:val="31"/>
        </w:rPr>
        <w:t> </w:t>
      </w:r>
      <w:r>
        <w:rPr/>
        <w:t>construction</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0"/>
        <w:jc w:val="both"/>
      </w:pPr>
      <w:r>
        <w:rPr/>
        <w:t>until 1856-57. In view of the above facts, there was no action for the Hindus to be aggrieved on a particular date, giving rise to a right to sue for the purposes of limitation. Consequently, the judge held that Suit 5 could not be held to be barred by limitation.</w:t>
      </w:r>
    </w:p>
    <w:p>
      <w:pPr>
        <w:pStyle w:val="BodyText"/>
        <w:spacing w:before="11"/>
        <w:rPr>
          <w:sz w:val="24"/>
        </w:rPr>
      </w:pPr>
    </w:p>
    <w:p>
      <w:pPr>
        <w:pStyle w:val="BodyText"/>
        <w:spacing w:line="480" w:lineRule="auto"/>
        <w:ind w:left="500" w:right="445"/>
        <w:jc w:val="both"/>
      </w:pPr>
      <w:r>
        <w:rPr/>
        <w:t>Justice DV Sharma held that the deity is a minor for the purpose of Section 6 of the Limitation Act and came to the conclusion that Suit 5 was within limitation.</w:t>
      </w:r>
    </w:p>
    <w:p>
      <w:pPr>
        <w:pStyle w:val="BodyText"/>
        <w:spacing w:before="1"/>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It now becomes necessary to address the fundamental issue as to whether Suit 5 is barred by limitation. In assessing whether Suit 5 is within or beyond limitation regard must be had to the position that in the remaining suits which were initiated before the Allahabad High Court (Suits 1, 3 and 4), neither of the plaintiffs in Suit 5 were impleaded. The averment in Suit 5 is that both the first and second plaintiffs have a distinct juridical personality of their own. The first plaintiff has a distinct juridical personality independent of the worshippers. In paragraph 18 of the plaint, the plaintiffs aver that some of the parties to the earlier </w:t>
      </w:r>
      <w:r>
        <w:rPr>
          <w:w w:val="99"/>
          <w:sz w:val="25"/>
        </w:rPr>
        <w:t>suits</w:t>
      </w:r>
      <w:r>
        <w:rPr>
          <w:spacing w:val="5"/>
          <w:sz w:val="25"/>
        </w:rPr>
        <w:t> </w:t>
      </w:r>
      <w:r>
        <w:rPr>
          <w:spacing w:val="-1"/>
          <w:w w:val="99"/>
          <w:sz w:val="25"/>
        </w:rPr>
        <w:t>wh</w:t>
      </w:r>
      <w:r>
        <w:rPr>
          <w:w w:val="99"/>
          <w:sz w:val="25"/>
        </w:rPr>
        <w:t>o</w:t>
      </w:r>
      <w:r>
        <w:rPr>
          <w:spacing w:val="5"/>
          <w:sz w:val="25"/>
        </w:rPr>
        <w:t> </w:t>
      </w:r>
      <w:r>
        <w:rPr>
          <w:spacing w:val="-1"/>
          <w:w w:val="99"/>
          <w:sz w:val="25"/>
        </w:rPr>
        <w:t>a</w:t>
      </w:r>
      <w:r>
        <w:rPr>
          <w:w w:val="99"/>
          <w:sz w:val="25"/>
        </w:rPr>
        <w:t>re</w:t>
      </w:r>
      <w:r>
        <w:rPr>
          <w:spacing w:val="5"/>
          <w:sz w:val="25"/>
        </w:rPr>
        <w:t> </w:t>
      </w:r>
      <w:r>
        <w:rPr>
          <w:spacing w:val="-1"/>
          <w:w w:val="99"/>
          <w:sz w:val="25"/>
        </w:rPr>
        <w:t>wo</w:t>
      </w:r>
      <w:r>
        <w:rPr>
          <w:w w:val="99"/>
          <w:sz w:val="25"/>
        </w:rPr>
        <w:t>rshipp</w:t>
      </w:r>
      <w:r>
        <w:rPr>
          <w:spacing w:val="-1"/>
          <w:w w:val="99"/>
          <w:sz w:val="25"/>
        </w:rPr>
        <w:t>e</w:t>
      </w:r>
      <w:r>
        <w:rPr>
          <w:w w:val="99"/>
          <w:sz w:val="25"/>
        </w:rPr>
        <w:t>rs</w:t>
      </w:r>
      <w:r>
        <w:rPr>
          <w:spacing w:val="4"/>
          <w:sz w:val="25"/>
        </w:rPr>
        <w:t> </w:t>
      </w:r>
      <w:r>
        <w:rPr>
          <w:spacing w:val="-1"/>
          <w:w w:val="99"/>
          <w:sz w:val="25"/>
        </w:rPr>
        <w:t>a</w:t>
      </w:r>
      <w:r>
        <w:rPr>
          <w:w w:val="99"/>
          <w:sz w:val="25"/>
        </w:rPr>
        <w:t>re</w:t>
      </w:r>
      <w:r>
        <w:rPr>
          <w:spacing w:val="5"/>
          <w:sz w:val="25"/>
        </w:rPr>
        <w:t> </w:t>
      </w:r>
      <w:r>
        <w:rPr>
          <w:w w:val="99"/>
          <w:sz w:val="25"/>
        </w:rPr>
        <w:t>to</w:t>
      </w:r>
      <w:r>
        <w:rPr>
          <w:spacing w:val="5"/>
          <w:sz w:val="25"/>
        </w:rPr>
        <w:t> </w:t>
      </w:r>
      <w:r>
        <w:rPr>
          <w:w w:val="99"/>
          <w:sz w:val="25"/>
        </w:rPr>
        <w:t>so</w:t>
      </w:r>
      <w:r>
        <w:rPr>
          <w:spacing w:val="1"/>
          <w:w w:val="99"/>
          <w:sz w:val="25"/>
        </w:rPr>
        <w:t>m</w:t>
      </w:r>
      <w:r>
        <w:rPr>
          <w:w w:val="99"/>
          <w:sz w:val="25"/>
        </w:rPr>
        <w:t>e</w:t>
      </w:r>
      <w:r>
        <w:rPr>
          <w:spacing w:val="5"/>
          <w:sz w:val="25"/>
        </w:rPr>
        <w:t> </w:t>
      </w:r>
      <w:r>
        <w:rPr>
          <w:spacing w:val="-1"/>
          <w:w w:val="99"/>
          <w:sz w:val="25"/>
        </w:rPr>
        <w:t>e</w:t>
      </w:r>
      <w:r>
        <w:rPr>
          <w:spacing w:val="-3"/>
          <w:w w:val="99"/>
          <w:sz w:val="25"/>
        </w:rPr>
        <w:t>x</w:t>
      </w:r>
      <w:r>
        <w:rPr>
          <w:w w:val="99"/>
          <w:sz w:val="25"/>
        </w:rPr>
        <w:t>tent</w:t>
      </w:r>
      <w:r>
        <w:rPr>
          <w:spacing w:val="5"/>
          <w:sz w:val="25"/>
        </w:rPr>
        <w:t> </w:t>
      </w:r>
      <w:r>
        <w:rPr>
          <w:w w:val="33"/>
          <w:sz w:val="25"/>
        </w:rPr>
        <w:t>―</w:t>
      </w:r>
      <w:r>
        <w:rPr>
          <w:spacing w:val="-1"/>
          <w:w w:val="99"/>
          <w:sz w:val="25"/>
        </w:rPr>
        <w:t>in</w:t>
      </w:r>
      <w:r>
        <w:rPr>
          <w:spacing w:val="-3"/>
          <w:w w:val="99"/>
          <w:sz w:val="25"/>
        </w:rPr>
        <w:t>v</w:t>
      </w:r>
      <w:r>
        <w:rPr>
          <w:spacing w:val="-1"/>
          <w:w w:val="99"/>
          <w:sz w:val="25"/>
        </w:rPr>
        <w:t>o</w:t>
      </w:r>
      <w:r>
        <w:rPr>
          <w:spacing w:val="2"/>
          <w:w w:val="99"/>
          <w:sz w:val="25"/>
        </w:rPr>
        <w:t>l</w:t>
      </w:r>
      <w:r>
        <w:rPr>
          <w:spacing w:val="-3"/>
          <w:w w:val="99"/>
          <w:sz w:val="25"/>
        </w:rPr>
        <w:t>v</w:t>
      </w:r>
      <w:r>
        <w:rPr>
          <w:spacing w:val="-1"/>
          <w:w w:val="99"/>
          <w:sz w:val="25"/>
        </w:rPr>
        <w:t>e</w:t>
      </w:r>
      <w:r>
        <w:rPr>
          <w:w w:val="99"/>
          <w:sz w:val="25"/>
        </w:rPr>
        <w:t>d</w:t>
      </w:r>
      <w:r>
        <w:rPr>
          <w:w w:val="80"/>
          <w:sz w:val="25"/>
        </w:rPr>
        <w:t>‖</w:t>
      </w:r>
      <w:r>
        <w:rPr>
          <w:spacing w:val="5"/>
          <w:sz w:val="25"/>
        </w:rPr>
        <w:t> </w:t>
      </w:r>
      <w:r>
        <w:rPr>
          <w:spacing w:val="-1"/>
          <w:w w:val="99"/>
          <w:sz w:val="25"/>
        </w:rPr>
        <w:t>i</w:t>
      </w:r>
      <w:r>
        <w:rPr>
          <w:w w:val="99"/>
          <w:sz w:val="25"/>
        </w:rPr>
        <w:t>n</w:t>
      </w:r>
      <w:r>
        <w:rPr>
          <w:spacing w:val="4"/>
          <w:sz w:val="25"/>
        </w:rPr>
        <w:t> </w:t>
      </w:r>
      <w:r>
        <w:rPr>
          <w:w w:val="99"/>
          <w:sz w:val="25"/>
        </w:rPr>
        <w:t>seeki</w:t>
      </w:r>
      <w:r>
        <w:rPr>
          <w:spacing w:val="2"/>
          <w:w w:val="99"/>
          <w:sz w:val="25"/>
        </w:rPr>
        <w:t>n</w:t>
      </w:r>
      <w:r>
        <w:rPr>
          <w:w w:val="99"/>
          <w:sz w:val="25"/>
        </w:rPr>
        <w:t>g</w:t>
      </w:r>
      <w:r>
        <w:rPr>
          <w:spacing w:val="5"/>
          <w:sz w:val="25"/>
        </w:rPr>
        <w:t> </w:t>
      </w:r>
      <w:r>
        <w:rPr>
          <w:w w:val="99"/>
          <w:sz w:val="25"/>
        </w:rPr>
        <w:t>to</w:t>
      </w:r>
      <w:r>
        <w:rPr>
          <w:spacing w:val="5"/>
          <w:sz w:val="25"/>
        </w:rPr>
        <w:t> </w:t>
      </w:r>
      <w:r>
        <w:rPr>
          <w:spacing w:val="-1"/>
          <w:w w:val="99"/>
          <w:sz w:val="25"/>
        </w:rPr>
        <w:t>g</w:t>
      </w:r>
      <w:r>
        <w:rPr>
          <w:w w:val="99"/>
          <w:sz w:val="25"/>
        </w:rPr>
        <w:t>r</w:t>
      </w:r>
      <w:r>
        <w:rPr>
          <w:spacing w:val="-1"/>
          <w:w w:val="99"/>
          <w:sz w:val="25"/>
        </w:rPr>
        <w:t>atif</w:t>
      </w:r>
      <w:r>
        <w:rPr>
          <w:w w:val="99"/>
          <w:sz w:val="25"/>
        </w:rPr>
        <w:t>y</w:t>
      </w:r>
      <w:r>
        <w:rPr>
          <w:spacing w:val="2"/>
          <w:sz w:val="25"/>
        </w:rPr>
        <w:t> </w:t>
      </w:r>
      <w:r>
        <w:rPr>
          <w:w w:val="99"/>
          <w:sz w:val="25"/>
        </w:rPr>
        <w:t>the</w:t>
      </w:r>
      <w:r>
        <w:rPr>
          <w:spacing w:val="-1"/>
          <w:w w:val="99"/>
          <w:sz w:val="25"/>
        </w:rPr>
        <w:t>ir </w:t>
      </w:r>
      <w:r>
        <w:rPr>
          <w:sz w:val="25"/>
        </w:rPr>
        <w:t>personal interests to be served by obtaining control over the worship of the plaintiff</w:t>
      </w:r>
      <w:r>
        <w:rPr>
          <w:spacing w:val="-2"/>
          <w:sz w:val="25"/>
        </w:rPr>
        <w:t> </w:t>
      </w:r>
      <w:r>
        <w:rPr>
          <w:sz w:val="25"/>
        </w:rPr>
        <w:t>deities.</w:t>
      </w:r>
    </w:p>
    <w:p>
      <w:pPr>
        <w:pStyle w:val="BodyText"/>
        <w:rPr>
          <w:sz w:val="39"/>
        </w:rPr>
      </w:pPr>
    </w:p>
    <w:p>
      <w:pPr>
        <w:pStyle w:val="ListParagraph"/>
        <w:numPr>
          <w:ilvl w:val="0"/>
          <w:numId w:val="111"/>
        </w:numPr>
        <w:tabs>
          <w:tab w:pos="1221" w:val="left" w:leader="none"/>
        </w:tabs>
        <w:spacing w:line="480" w:lineRule="auto" w:before="1" w:after="0"/>
        <w:ind w:left="500" w:right="438" w:firstLine="0"/>
        <w:jc w:val="both"/>
        <w:rPr>
          <w:sz w:val="25"/>
        </w:rPr>
      </w:pPr>
      <w:r>
        <w:rPr>
          <w:sz w:val="25"/>
        </w:rPr>
        <w:t>Significantly, even after the attachment of the disputed property on 29 December 1949 the sewa-puja of the plaintiff deities continued. Therefore, it cannot be contended that the cause of action in Suit 5 arose on 29 December 1949 and pertains to the obstruction of worship and prayer or the attachment of the</w:t>
      </w:r>
      <w:r>
        <w:rPr>
          <w:spacing w:val="8"/>
          <w:sz w:val="25"/>
        </w:rPr>
        <w:t> </w:t>
      </w:r>
      <w:r>
        <w:rPr>
          <w:sz w:val="25"/>
        </w:rPr>
        <w:t>disputed</w:t>
      </w:r>
      <w:r>
        <w:rPr>
          <w:spacing w:val="9"/>
          <w:sz w:val="25"/>
        </w:rPr>
        <w:t> </w:t>
      </w:r>
      <w:r>
        <w:rPr>
          <w:sz w:val="25"/>
        </w:rPr>
        <w:t>property.</w:t>
      </w:r>
      <w:r>
        <w:rPr>
          <w:spacing w:val="8"/>
          <w:sz w:val="25"/>
        </w:rPr>
        <w:t> </w:t>
      </w:r>
      <w:r>
        <w:rPr>
          <w:sz w:val="25"/>
        </w:rPr>
        <w:t>The</w:t>
      </w:r>
      <w:r>
        <w:rPr>
          <w:spacing w:val="8"/>
          <w:sz w:val="25"/>
        </w:rPr>
        <w:t> </w:t>
      </w:r>
      <w:r>
        <w:rPr>
          <w:sz w:val="25"/>
        </w:rPr>
        <w:t>pleadings</w:t>
      </w:r>
      <w:r>
        <w:rPr>
          <w:spacing w:val="8"/>
          <w:sz w:val="25"/>
        </w:rPr>
        <w:t> </w:t>
      </w:r>
      <w:r>
        <w:rPr>
          <w:sz w:val="25"/>
        </w:rPr>
        <w:t>in</w:t>
      </w:r>
      <w:r>
        <w:rPr>
          <w:spacing w:val="8"/>
          <w:sz w:val="25"/>
        </w:rPr>
        <w:t> </w:t>
      </w:r>
      <w:r>
        <w:rPr>
          <w:sz w:val="25"/>
        </w:rPr>
        <w:t>Suit</w:t>
      </w:r>
      <w:r>
        <w:rPr>
          <w:spacing w:val="10"/>
          <w:sz w:val="25"/>
        </w:rPr>
        <w:t> </w:t>
      </w:r>
      <w:r>
        <w:rPr>
          <w:sz w:val="25"/>
        </w:rPr>
        <w:t>5</w:t>
      </w:r>
      <w:r>
        <w:rPr>
          <w:spacing w:val="8"/>
          <w:sz w:val="25"/>
        </w:rPr>
        <w:t> </w:t>
      </w:r>
      <w:r>
        <w:rPr>
          <w:sz w:val="25"/>
        </w:rPr>
        <w:t>refers</w:t>
      </w:r>
      <w:r>
        <w:rPr>
          <w:spacing w:val="8"/>
          <w:sz w:val="25"/>
        </w:rPr>
        <w:t> </w:t>
      </w:r>
      <w:r>
        <w:rPr>
          <w:sz w:val="25"/>
        </w:rPr>
        <w:t>to</w:t>
      </w:r>
      <w:r>
        <w:rPr>
          <w:spacing w:val="9"/>
          <w:sz w:val="25"/>
        </w:rPr>
        <w:t> </w:t>
      </w:r>
      <w:r>
        <w:rPr>
          <w:sz w:val="25"/>
        </w:rPr>
        <w:t>all</w:t>
      </w:r>
      <w:r>
        <w:rPr>
          <w:spacing w:val="8"/>
          <w:sz w:val="25"/>
        </w:rPr>
        <w:t> </w:t>
      </w:r>
      <w:r>
        <w:rPr>
          <w:sz w:val="25"/>
        </w:rPr>
        <w:t>the</w:t>
      </w:r>
      <w:r>
        <w:rPr>
          <w:spacing w:val="9"/>
          <w:sz w:val="25"/>
        </w:rPr>
        <w:t> </w:t>
      </w:r>
      <w:r>
        <w:rPr>
          <w:sz w:val="25"/>
        </w:rPr>
        <w:t>previous</w:t>
      </w:r>
      <w:r>
        <w:rPr>
          <w:spacing w:val="11"/>
          <w:sz w:val="25"/>
        </w:rPr>
        <w:t> </w:t>
      </w:r>
      <w:r>
        <w:rPr>
          <w:sz w:val="25"/>
        </w:rPr>
        <w:t>suits</w:t>
      </w:r>
      <w:r>
        <w:rPr>
          <w:spacing w:val="8"/>
          <w:sz w:val="25"/>
        </w:rPr>
        <w:t> </w:t>
      </w:r>
      <w:r>
        <w:rPr>
          <w:sz w:val="25"/>
        </w:rPr>
        <w:t>filed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with respect to the disputed property. The defendants in Suit 5 include the plaintiff in Suits 1, 3 and 4, besides Muslim and Hindu parties and the State and its officials. Suit 5 is founded on the plea that as a matter of fact, the interest of the deities was not being safeguarded by the persons or entities who were pursuing the earlier proceedings. When Suit 5 was instituted, the legal personality of the first and second plaintiff had not been adjudicated upon. Upon the institution of Suit 5, the plaintiffs in Suit 3 and Suit 4 expressly denied that the second plaintiff was an independent object of worship and a legal person. Further, the apprehension of the plaintiffs in regard to the interest of the deity of Lord Ram not being protected was abundantly established in the stance which was taken by Nirmohi Akhara in its written statement filed on 14 August 1989. Nirmohi Akhara denied that the plaintiffs were entitled to any relief and set up the plea that the premises mentioned by the plaintiffs belong to Nirmohi Akhara and that the </w:t>
      </w:r>
      <w:r>
        <w:rPr>
          <w:w w:val="99"/>
        </w:rPr>
        <w:t>plaintiffs</w:t>
      </w:r>
      <w:r>
        <w:rPr/>
        <w:t> </w:t>
      </w:r>
      <w:r>
        <w:rPr>
          <w:w w:val="99"/>
        </w:rPr>
        <w:t>have</w:t>
      </w:r>
      <w:r>
        <w:rPr/>
        <w:t> </w:t>
      </w:r>
      <w:r>
        <w:rPr>
          <w:w w:val="99"/>
        </w:rPr>
        <w:t>no</w:t>
      </w:r>
      <w:r>
        <w:rPr/>
        <w:t> </w:t>
      </w:r>
      <w:r>
        <w:rPr>
          <w:w w:val="99"/>
        </w:rPr>
        <w:t>right</w:t>
      </w:r>
      <w:r>
        <w:rPr/>
        <w:t> </w:t>
      </w:r>
      <w:r>
        <w:rPr>
          <w:w w:val="99"/>
        </w:rPr>
        <w:t>to</w:t>
      </w:r>
      <w:r>
        <w:rPr/>
        <w:t> </w:t>
      </w:r>
      <w:r>
        <w:rPr>
          <w:w w:val="99"/>
        </w:rPr>
        <w:t>seek</w:t>
      </w:r>
      <w:r>
        <w:rPr/>
        <w:t> </w:t>
      </w:r>
      <w:r>
        <w:rPr>
          <w:w w:val="99"/>
        </w:rPr>
        <w:t>a</w:t>
      </w:r>
      <w:r>
        <w:rPr/>
        <w:t> </w:t>
      </w:r>
      <w:r>
        <w:rPr>
          <w:w w:val="99"/>
        </w:rPr>
        <w:t>declaration</w:t>
      </w:r>
      <w:r>
        <w:rPr/>
        <w:t> </w:t>
      </w:r>
      <w:r>
        <w:rPr>
          <w:w w:val="33"/>
        </w:rPr>
        <w:t>―</w:t>
      </w:r>
      <w:r>
        <w:rPr>
          <w:b/>
          <w:w w:val="99"/>
        </w:rPr>
        <w:t>again</w:t>
      </w:r>
      <w:r>
        <w:rPr>
          <w:b/>
          <w:w w:val="99"/>
        </w:rPr>
        <w:t>s</w:t>
      </w:r>
      <w:r>
        <w:rPr>
          <w:b/>
          <w:w w:val="99"/>
        </w:rPr>
        <w:t>t</w:t>
      </w:r>
      <w:r>
        <w:rPr>
          <w:b/>
        </w:rPr>
        <w:t> </w:t>
      </w:r>
      <w:r>
        <w:rPr>
          <w:b/>
          <w:w w:val="99"/>
        </w:rPr>
        <w:t>th</w:t>
      </w:r>
      <w:r>
        <w:rPr>
          <w:b/>
          <w:w w:val="99"/>
        </w:rPr>
        <w:t>e</w:t>
      </w:r>
      <w:r>
        <w:rPr>
          <w:b/>
        </w:rPr>
        <w:t> </w:t>
      </w:r>
      <w:r>
        <w:rPr>
          <w:b/>
          <w:w w:val="99"/>
        </w:rPr>
        <w:t>r</w:t>
      </w:r>
      <w:r>
        <w:rPr>
          <w:b/>
          <w:w w:val="99"/>
        </w:rPr>
        <w:t>ight</w:t>
      </w:r>
      <w:r>
        <w:rPr>
          <w:b/>
        </w:rPr>
        <w:t> </w:t>
      </w:r>
      <w:r>
        <w:rPr>
          <w:b/>
          <w:w w:val="99"/>
        </w:rPr>
        <w:t>an</w:t>
      </w:r>
      <w:r>
        <w:rPr>
          <w:b/>
          <w:w w:val="99"/>
        </w:rPr>
        <w:t>d</w:t>
      </w:r>
      <w:r>
        <w:rPr>
          <w:b/>
        </w:rPr>
        <w:t> </w:t>
      </w:r>
      <w:r>
        <w:rPr>
          <w:b/>
          <w:w w:val="99"/>
        </w:rPr>
        <w:t>tit</w:t>
      </w:r>
      <w:r>
        <w:rPr>
          <w:b/>
          <w:w w:val="99"/>
        </w:rPr>
        <w:t>les</w:t>
      </w:r>
      <w:r>
        <w:rPr>
          <w:b/>
        </w:rPr>
        <w:t> </w:t>
      </w:r>
      <w:r>
        <w:rPr>
          <w:b/>
          <w:w w:val="99"/>
        </w:rPr>
        <w:t>of</w:t>
      </w:r>
      <w:r>
        <w:rPr>
          <w:b/>
        </w:rPr>
        <w:t> </w:t>
      </w:r>
      <w:r>
        <w:rPr>
          <w:b/>
          <w:w w:val="99"/>
        </w:rPr>
        <w:t>th</w:t>
      </w:r>
      <w:r>
        <w:rPr>
          <w:b/>
          <w:w w:val="99"/>
        </w:rPr>
        <w:t>e Nirm</w:t>
      </w:r>
      <w:r>
        <w:rPr>
          <w:b/>
          <w:w w:val="99"/>
        </w:rPr>
        <w:t>ohi</w:t>
      </w:r>
      <w:r>
        <w:rPr>
          <w:b/>
        </w:rPr>
        <w:t> </w:t>
      </w:r>
      <w:r>
        <w:rPr>
          <w:b/>
          <w:w w:val="99"/>
        </w:rPr>
        <w:t>Ak</w:t>
      </w:r>
      <w:r>
        <w:rPr>
          <w:b/>
          <w:w w:val="99"/>
        </w:rPr>
        <w:t>h</w:t>
      </w:r>
      <w:r>
        <w:rPr>
          <w:b/>
          <w:w w:val="99"/>
        </w:rPr>
        <w:t>ara</w:t>
      </w:r>
      <w:r>
        <w:rPr>
          <w:w w:val="80"/>
        </w:rPr>
        <w:t>‖</w:t>
      </w:r>
      <w:r>
        <w:rPr>
          <w:w w:val="99"/>
        </w:rPr>
        <w:t>.</w:t>
      </w:r>
      <w:r>
        <w:rPr/>
        <w:t> </w:t>
      </w:r>
      <w:r>
        <w:rPr>
          <w:w w:val="99"/>
        </w:rPr>
        <w:t>Indeed,</w:t>
      </w:r>
      <w:r>
        <w:rPr/>
        <w:t> </w:t>
      </w:r>
      <w:r>
        <w:rPr>
          <w:w w:val="99"/>
        </w:rPr>
        <w:t>the</w:t>
      </w:r>
      <w:r>
        <w:rPr/>
        <w:t> </w:t>
      </w:r>
      <w:r>
        <w:rPr>
          <w:w w:val="99"/>
        </w:rPr>
        <w:t>Nirmohi</w:t>
      </w:r>
      <w:r>
        <w:rPr/>
        <w:t> </w:t>
      </w:r>
      <w:r>
        <w:rPr>
          <w:w w:val="99"/>
        </w:rPr>
        <w:t>Akhara</w:t>
      </w:r>
      <w:r>
        <w:rPr/>
        <w:t> </w:t>
      </w:r>
      <w:r>
        <w:rPr>
          <w:w w:val="99"/>
        </w:rPr>
        <w:t>construed</w:t>
      </w:r>
      <w:r>
        <w:rPr/>
        <w:t> </w:t>
      </w:r>
      <w:r>
        <w:rPr>
          <w:w w:val="99"/>
        </w:rPr>
        <w:t>the</w:t>
      </w:r>
      <w:r>
        <w:rPr/>
        <w:t> </w:t>
      </w:r>
      <w:r>
        <w:rPr>
          <w:w w:val="99"/>
        </w:rPr>
        <w:t>suit</w:t>
      </w:r>
      <w:r>
        <w:rPr/>
        <w:t> </w:t>
      </w:r>
      <w:r>
        <w:rPr>
          <w:w w:val="99"/>
        </w:rPr>
        <w:t>as</w:t>
      </w:r>
      <w:r>
        <w:rPr/>
        <w:t> </w:t>
      </w:r>
      <w:r>
        <w:rPr>
          <w:w w:val="33"/>
        </w:rPr>
        <w:t>―</w:t>
      </w:r>
      <w:r>
        <w:rPr>
          <w:w w:val="99"/>
        </w:rPr>
        <w:t>the</w:t>
      </w:r>
      <w:r>
        <w:rPr/>
        <w:t> </w:t>
      </w:r>
      <w:r>
        <w:rPr>
          <w:w w:val="99"/>
        </w:rPr>
        <w:t>threat</w:t>
      </w:r>
      <w:r>
        <w:rPr/>
        <w:t> </w:t>
      </w:r>
      <w:r>
        <w:rPr>
          <w:w w:val="99"/>
        </w:rPr>
        <w:t>to </w:t>
      </w:r>
      <w:r>
        <w:rPr/>
        <w:t>demolish the temple of the Nirmohi Akhara for which the suit of the Akhara is pending‖. Nirmohi Akhara set up the plea that the idol of Lord Ram is installed not at Ram Janmabhumi at Ayodhya but in the temple known as Ram Janmabhumi temple, for whose delivery of charge and management Nirmohi Akhara had filed its suit. In response to the injunctive relief sought by the plaintiffs, Nirmohi Akhara set up the plea that it alone has a right to control, supervise and repair or even to reconstruct the temple if necessary. Nirmohi Akhara set up the plea that the trust </w:t>
      </w:r>
      <w:r>
        <w:rPr>
          <w:w w:val="99"/>
        </w:rPr>
        <w:t>which</w:t>
      </w:r>
      <w:r>
        <w:rPr/>
        <w:t> </w:t>
      </w:r>
      <w:r>
        <w:rPr>
          <w:w w:val="99"/>
        </w:rPr>
        <w:t>has</w:t>
      </w:r>
      <w:r>
        <w:rPr/>
        <w:t> </w:t>
      </w:r>
      <w:r>
        <w:rPr>
          <w:w w:val="99"/>
        </w:rPr>
        <w:t>been</w:t>
      </w:r>
      <w:r>
        <w:rPr/>
        <w:t> </w:t>
      </w:r>
      <w:r>
        <w:rPr>
          <w:w w:val="99"/>
        </w:rPr>
        <w:t>set</w:t>
      </w:r>
      <w:r>
        <w:rPr/>
        <w:t> </w:t>
      </w:r>
      <w:r>
        <w:rPr>
          <w:w w:val="99"/>
        </w:rPr>
        <w:t>up</w:t>
      </w:r>
      <w:r>
        <w:rPr/>
        <w:t> </w:t>
      </w:r>
      <w:r>
        <w:rPr>
          <w:w w:val="99"/>
        </w:rPr>
        <w:t>in</w:t>
      </w:r>
      <w:r>
        <w:rPr/>
        <w:t> </w:t>
      </w:r>
      <w:r>
        <w:rPr>
          <w:w w:val="99"/>
        </w:rPr>
        <w:t>1985</w:t>
      </w:r>
      <w:r>
        <w:rPr/>
        <w:t> </w:t>
      </w:r>
      <w:r>
        <w:rPr>
          <w:w w:val="99"/>
        </w:rPr>
        <w:t>was</w:t>
      </w:r>
      <w:r>
        <w:rPr/>
        <w:t> </w:t>
      </w:r>
      <w:r>
        <w:rPr>
          <w:w w:val="99"/>
        </w:rPr>
        <w:t>with</w:t>
      </w:r>
      <w:r>
        <w:rPr/>
        <w:t> </w:t>
      </w:r>
      <w:r>
        <w:rPr>
          <w:w w:val="99"/>
        </w:rPr>
        <w:t>an</w:t>
      </w:r>
      <w:r>
        <w:rPr/>
        <w:t> </w:t>
      </w:r>
      <w:r>
        <w:rPr>
          <w:w w:val="33"/>
        </w:rPr>
        <w:t>―</w:t>
      </w:r>
      <w:r>
        <w:rPr>
          <w:w w:val="99"/>
        </w:rPr>
        <w:t>obvious</w:t>
      </w:r>
      <w:r>
        <w:rPr/>
        <w:t> </w:t>
      </w:r>
      <w:r>
        <w:rPr>
          <w:w w:val="99"/>
        </w:rPr>
        <w:t>de</w:t>
      </w:r>
      <w:r>
        <w:rPr>
          <w:w w:val="96"/>
        </w:rPr>
        <w:t>sign‖</w:t>
      </w:r>
      <w:r>
        <w:rPr/>
        <w:t> </w:t>
      </w:r>
      <w:r>
        <w:rPr>
          <w:w w:val="99"/>
        </w:rPr>
        <w:t>to</w:t>
      </w:r>
      <w:r>
        <w:rPr/>
        <w:t> </w:t>
      </w:r>
      <w:r>
        <w:rPr>
          <w:w w:val="99"/>
        </w:rPr>
        <w:t>damage</w:t>
      </w:r>
      <w:r>
        <w:rPr/>
        <w:t> </w:t>
      </w:r>
      <w:r>
        <w:rPr>
          <w:w w:val="99"/>
        </w:rPr>
        <w:t>the</w:t>
      </w:r>
      <w:r>
        <w:rPr/>
        <w:t> </w:t>
      </w:r>
      <w:r>
        <w:rPr>
          <w:b/>
          <w:w w:val="99"/>
        </w:rPr>
        <w:t>titl</w:t>
      </w:r>
      <w:r>
        <w:rPr>
          <w:b/>
          <w:w w:val="99"/>
        </w:rPr>
        <w:t>e </w:t>
      </w:r>
      <w:r>
        <w:rPr>
          <w:b/>
        </w:rPr>
        <w:t>and interest </w:t>
      </w:r>
      <w:r>
        <w:rPr/>
        <w:t>of the Nirmohi Akhara. On the maintainability of Suit 5, both 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Sunni Central Waqf Board and the Nirmohi Akhara raised similar objections, which have been re-affirmed by their stand taken in the course of the present proceedings. Dr Rajeev Dhavan, leading the arguments for the Sunni Central Waqf Board submitted that though Suit 3 is barred by limitation, that does not extinguish the right of Nirmohi Akhara to pursue its claim as a shebait. It was urged that Nirmohi Akhara being the shebait, Suit 5 is not maintainable. The case of the plaintiffs that the institution of the Suit 5 was necessitated as a result of the deity not being a party to the earlier suits and based on the apprehension that in the existing suits, the personal interests of the leading parties were being  pursued without protecting the independent needs and concerns of the deity of Lord Ram, is well and truly borne out by the proceedings as they unfolded in the proceedings before this Court. The cause of action in Suit 5 cannot be  considered to be barred by limitation on a proper construction of the basis of the cause of action for the institution of the</w:t>
      </w:r>
      <w:r>
        <w:rPr>
          <w:spacing w:val="-5"/>
        </w:rPr>
        <w:t> </w:t>
      </w:r>
      <w:r>
        <w:rPr/>
        <w:t>suit.</w:t>
      </w:r>
    </w:p>
    <w:p>
      <w:pPr>
        <w:pStyle w:val="BodyText"/>
        <w:spacing w:before="10"/>
        <w:rPr>
          <w:sz w:val="38"/>
        </w:rPr>
      </w:pPr>
    </w:p>
    <w:p>
      <w:pPr>
        <w:pStyle w:val="BodyText"/>
        <w:spacing w:line="480" w:lineRule="auto"/>
        <w:ind w:left="500" w:right="433"/>
        <w:jc w:val="both"/>
      </w:pPr>
      <w:r>
        <w:rPr/>
        <w:t>The Suit by Nirmohi Akhara (Suit 3) was for management and charge of what it described as the Ram Janmabhumi temple. Its claim of being a shebait had not, as of the date of the institution of Suit 3, been adjudicated. It was not a </w:t>
      </w:r>
      <w:r>
        <w:rPr>
          <w:i/>
        </w:rPr>
        <w:t>de-jure </w:t>
      </w:r>
      <w:r>
        <w:rPr/>
        <w:t>shebait (there being no deed of dedication) and its claim of being a </w:t>
      </w:r>
      <w:r>
        <w:rPr>
          <w:i/>
        </w:rPr>
        <w:t>de facto </w:t>
      </w:r>
      <w:r>
        <w:rPr/>
        <w:t>shebait had to be established on evidence. Suit 5 is founded on the plea that the needs and concerns of the deity of Lord Ram were not being protected and that the parties to the earlier suits were pursuing their own interests. This apprehension as the basis of Suit 5 is not without substance. For, Nirmohi Akhara in its defence travelled beyond the claim of management and charge, seeking to</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5"/>
        <w:jc w:val="both"/>
      </w:pPr>
      <w:r>
        <w:rPr>
          <w:spacing w:val="-1"/>
          <w:w w:val="99"/>
        </w:rPr>
        <w:t>plac</w:t>
      </w:r>
      <w:r>
        <w:rPr>
          <w:w w:val="99"/>
        </w:rPr>
        <w:t>e</w:t>
      </w:r>
      <w:r>
        <w:rPr>
          <w:spacing w:val="22"/>
        </w:rPr>
        <w:t> </w:t>
      </w:r>
      <w:r>
        <w:rPr>
          <w:w w:val="99"/>
        </w:rPr>
        <w:t>r</w:t>
      </w:r>
      <w:r>
        <w:rPr>
          <w:spacing w:val="-1"/>
          <w:w w:val="99"/>
        </w:rPr>
        <w:t>elia</w:t>
      </w:r>
      <w:r>
        <w:rPr>
          <w:w w:val="99"/>
        </w:rPr>
        <w:t>nce</w:t>
      </w:r>
      <w:r>
        <w:rPr>
          <w:spacing w:val="21"/>
        </w:rPr>
        <w:t> </w:t>
      </w:r>
      <w:r>
        <w:rPr>
          <w:spacing w:val="-1"/>
          <w:w w:val="99"/>
        </w:rPr>
        <w:t>o</w:t>
      </w:r>
      <w:r>
        <w:rPr>
          <w:w w:val="99"/>
        </w:rPr>
        <w:t>n</w:t>
      </w:r>
      <w:r>
        <w:rPr>
          <w:spacing w:val="21"/>
        </w:rPr>
        <w:t> </w:t>
      </w:r>
      <w:r>
        <w:rPr>
          <w:spacing w:val="-1"/>
          <w:w w:val="99"/>
        </w:rPr>
        <w:t>it</w:t>
      </w:r>
      <w:r>
        <w:rPr>
          <w:w w:val="99"/>
        </w:rPr>
        <w:t>s</w:t>
      </w:r>
      <w:r>
        <w:rPr>
          <w:spacing w:val="23"/>
        </w:rPr>
        <w:t> </w:t>
      </w:r>
      <w:r>
        <w:rPr>
          <w:spacing w:val="-1"/>
          <w:w w:val="99"/>
        </w:rPr>
        <w:t>alle</w:t>
      </w:r>
      <w:r>
        <w:rPr>
          <w:w w:val="99"/>
        </w:rPr>
        <w:t>g</w:t>
      </w:r>
      <w:r>
        <w:rPr>
          <w:spacing w:val="-1"/>
          <w:w w:val="99"/>
        </w:rPr>
        <w:t>e</w:t>
      </w:r>
      <w:r>
        <w:rPr>
          <w:w w:val="99"/>
        </w:rPr>
        <w:t>d</w:t>
      </w:r>
      <w:r>
        <w:rPr>
          <w:spacing w:val="21"/>
        </w:rPr>
        <w:t> </w:t>
      </w:r>
      <w:r>
        <w:rPr>
          <w:w w:val="33"/>
        </w:rPr>
        <w:t>―</w:t>
      </w:r>
      <w:r>
        <w:rPr>
          <w:w w:val="99"/>
        </w:rPr>
        <w:t>r</w:t>
      </w:r>
      <w:r>
        <w:rPr>
          <w:spacing w:val="-1"/>
          <w:w w:val="99"/>
        </w:rPr>
        <w:t>igh</w:t>
      </w:r>
      <w:r>
        <w:rPr>
          <w:w w:val="99"/>
        </w:rPr>
        <w:t>t</w:t>
      </w:r>
      <w:r>
        <w:rPr>
          <w:spacing w:val="21"/>
        </w:rPr>
        <w:t> </w:t>
      </w:r>
      <w:r>
        <w:rPr>
          <w:spacing w:val="-1"/>
          <w:w w:val="99"/>
        </w:rPr>
        <w:t>a</w:t>
      </w:r>
      <w:r>
        <w:rPr>
          <w:w w:val="99"/>
        </w:rPr>
        <w:t>nd</w:t>
      </w:r>
      <w:r>
        <w:rPr>
          <w:spacing w:val="21"/>
        </w:rPr>
        <w:t> </w:t>
      </w:r>
      <w:r>
        <w:rPr>
          <w:w w:val="96"/>
        </w:rPr>
        <w:t>titles‖</w:t>
      </w:r>
      <w:r>
        <w:rPr>
          <w:spacing w:val="22"/>
        </w:rPr>
        <w:t> </w:t>
      </w:r>
      <w:r>
        <w:rPr>
          <w:spacing w:val="-1"/>
          <w:w w:val="99"/>
        </w:rPr>
        <w:t>a</w:t>
      </w:r>
      <w:r>
        <w:rPr>
          <w:w w:val="99"/>
        </w:rPr>
        <w:t>nd</w:t>
      </w:r>
      <w:r>
        <w:rPr>
          <w:spacing w:val="21"/>
        </w:rPr>
        <w:t> </w:t>
      </w:r>
      <w:r>
        <w:rPr>
          <w:spacing w:val="-1"/>
          <w:w w:val="99"/>
        </w:rPr>
        <w:t>it</w:t>
      </w:r>
      <w:r>
        <w:rPr>
          <w:w w:val="99"/>
        </w:rPr>
        <w:t>s</w:t>
      </w:r>
      <w:r>
        <w:rPr>
          <w:spacing w:val="21"/>
        </w:rPr>
        <w:t> </w:t>
      </w:r>
      <w:r>
        <w:rPr>
          <w:w w:val="33"/>
        </w:rPr>
        <w:t>―</w:t>
      </w:r>
      <w:r>
        <w:rPr>
          <w:w w:val="99"/>
        </w:rPr>
        <w:t>title</w:t>
      </w:r>
      <w:r>
        <w:rPr>
          <w:spacing w:val="21"/>
        </w:rPr>
        <w:t> </w:t>
      </w:r>
      <w:r>
        <w:rPr>
          <w:spacing w:val="-1"/>
          <w:w w:val="99"/>
        </w:rPr>
        <w:t>a</w:t>
      </w:r>
      <w:r>
        <w:rPr>
          <w:w w:val="99"/>
        </w:rPr>
        <w:t>nd</w:t>
      </w:r>
      <w:r>
        <w:rPr>
          <w:spacing w:val="21"/>
        </w:rPr>
        <w:t> </w:t>
      </w:r>
      <w:r>
        <w:rPr>
          <w:spacing w:val="1"/>
          <w:w w:val="99"/>
        </w:rPr>
        <w:t>i</w:t>
      </w:r>
      <w:r>
        <w:rPr>
          <w:spacing w:val="-1"/>
          <w:w w:val="99"/>
        </w:rPr>
        <w:t>nt</w:t>
      </w:r>
      <w:r>
        <w:rPr>
          <w:w w:val="99"/>
        </w:rPr>
        <w:t>er</w:t>
      </w:r>
      <w:r>
        <w:rPr>
          <w:spacing w:val="-1"/>
          <w:w w:val="95"/>
        </w:rPr>
        <w:t>est</w:t>
      </w:r>
      <w:r>
        <w:rPr>
          <w:w w:val="95"/>
        </w:rPr>
        <w:t>‖</w:t>
      </w:r>
      <w:r>
        <w:rPr>
          <w:spacing w:val="22"/>
        </w:rPr>
        <w:t> </w:t>
      </w:r>
      <w:r>
        <w:rPr>
          <w:spacing w:val="-1"/>
          <w:w w:val="99"/>
        </w:rPr>
        <w:t>a</w:t>
      </w:r>
      <w:r>
        <w:rPr>
          <w:w w:val="99"/>
        </w:rPr>
        <w:t>s</w:t>
      </w:r>
      <w:r>
        <w:rPr>
          <w:spacing w:val="21"/>
        </w:rPr>
        <w:t> </w:t>
      </w:r>
      <w:r>
        <w:rPr>
          <w:spacing w:val="-1"/>
          <w:w w:val="99"/>
        </w:rPr>
        <w:t>n</w:t>
      </w:r>
      <w:r>
        <w:rPr>
          <w:w w:val="99"/>
        </w:rPr>
        <w:t>oted </w:t>
      </w:r>
      <w:r>
        <w:rPr/>
        <w:t>above. The Sunni Central </w:t>
      </w:r>
      <w:r>
        <w:rPr>
          <w:spacing w:val="2"/>
        </w:rPr>
        <w:t>Waqf </w:t>
      </w:r>
      <w:r>
        <w:rPr/>
        <w:t>Board made joint cause with Nirmohi Akhara by supporting the cause of Nirmohi Akhara as a shebait, to buttress its challenge to the entitlement of the deity to protect its interests through a next friend. Nirmohi </w:t>
      </w:r>
      <w:r>
        <w:rPr>
          <w:spacing w:val="-1"/>
          <w:w w:val="99"/>
        </w:rPr>
        <w:t>A</w:t>
      </w:r>
      <w:r>
        <w:rPr>
          <w:w w:val="99"/>
        </w:rPr>
        <w:t>kha</w:t>
      </w:r>
      <w:r>
        <w:rPr>
          <w:w w:val="99"/>
        </w:rPr>
        <w:t>r</w:t>
      </w:r>
      <w:r>
        <w:rPr>
          <w:w w:val="99"/>
        </w:rPr>
        <w:t>a</w:t>
      </w:r>
      <w:r>
        <w:rPr/>
        <w:t> </w:t>
      </w:r>
      <w:r>
        <w:rPr>
          <w:spacing w:val="-31"/>
        </w:rPr>
        <w:t> </w:t>
      </w:r>
      <w:r>
        <w:rPr>
          <w:w w:val="99"/>
        </w:rPr>
        <w:t>ha</w:t>
      </w:r>
      <w:r>
        <w:rPr>
          <w:w w:val="99"/>
        </w:rPr>
        <w:t>s</w:t>
      </w:r>
      <w:r>
        <w:rPr/>
        <w:t> </w:t>
      </w:r>
      <w:r>
        <w:rPr>
          <w:spacing w:val="-32"/>
        </w:rPr>
        <w:t> </w:t>
      </w:r>
      <w:r>
        <w:rPr>
          <w:w w:val="99"/>
        </w:rPr>
        <w:t>an</w:t>
      </w:r>
      <w:r>
        <w:rPr/>
        <w:t> </w:t>
      </w:r>
      <w:r>
        <w:rPr>
          <w:spacing w:val="-31"/>
        </w:rPr>
        <w:t> </w:t>
      </w:r>
      <w:r>
        <w:rPr>
          <w:w w:val="99"/>
        </w:rPr>
        <w:t>inte</w:t>
      </w:r>
      <w:r>
        <w:rPr>
          <w:w w:val="99"/>
        </w:rPr>
        <w:t>r</w:t>
      </w:r>
      <w:r>
        <w:rPr>
          <w:spacing w:val="2"/>
          <w:w w:val="99"/>
        </w:rPr>
        <w:t>e</w:t>
      </w:r>
      <w:r>
        <w:rPr>
          <w:w w:val="99"/>
        </w:rPr>
        <w:t>st</w:t>
      </w:r>
      <w:r>
        <w:rPr/>
        <w:t> </w:t>
      </w:r>
      <w:r>
        <w:rPr>
          <w:spacing w:val="-31"/>
        </w:rPr>
        <w:t> </w:t>
      </w:r>
      <w:r>
        <w:rPr>
          <w:w w:val="99"/>
        </w:rPr>
        <w:t>hostile</w:t>
      </w:r>
      <w:r>
        <w:rPr/>
        <w:t> </w:t>
      </w:r>
      <w:r>
        <w:rPr>
          <w:spacing w:val="-31"/>
        </w:rPr>
        <w:t> </w:t>
      </w:r>
      <w:r>
        <w:rPr>
          <w:w w:val="99"/>
        </w:rPr>
        <w:t>to</w:t>
      </w:r>
      <w:r>
        <w:rPr/>
        <w:t> </w:t>
      </w:r>
      <w:r>
        <w:rPr>
          <w:spacing w:val="-31"/>
        </w:rPr>
        <w:t> </w:t>
      </w:r>
      <w:r>
        <w:rPr>
          <w:w w:val="99"/>
        </w:rPr>
        <w:t>the</w:t>
      </w:r>
      <w:r>
        <w:rPr/>
        <w:t> </w:t>
      </w:r>
      <w:r>
        <w:rPr>
          <w:spacing w:val="-31"/>
        </w:rPr>
        <w:t> </w:t>
      </w:r>
      <w:r>
        <w:rPr>
          <w:w w:val="99"/>
        </w:rPr>
        <w:t>de</w:t>
      </w:r>
      <w:r>
        <w:rPr>
          <w:w w:val="99"/>
        </w:rPr>
        <w:t>i</w:t>
      </w:r>
      <w:r>
        <w:rPr>
          <w:spacing w:val="2"/>
          <w:w w:val="99"/>
        </w:rPr>
        <w:t>t</w:t>
      </w:r>
      <w:r>
        <w:rPr>
          <w:w w:val="99"/>
        </w:rPr>
        <w:t>y</w:t>
      </w:r>
      <w:r>
        <w:rPr/>
        <w:t> </w:t>
      </w:r>
      <w:r>
        <w:rPr>
          <w:spacing w:val="-32"/>
        </w:rPr>
        <w:t> </w:t>
      </w:r>
      <w:r>
        <w:rPr>
          <w:w w:val="99"/>
        </w:rPr>
        <w:t>when</w:t>
      </w:r>
      <w:r>
        <w:rPr/>
        <w:t> </w:t>
      </w:r>
      <w:r>
        <w:rPr>
          <w:spacing w:val="-31"/>
        </w:rPr>
        <w:t> </w:t>
      </w:r>
      <w:r>
        <w:rPr>
          <w:w w:val="99"/>
        </w:rPr>
        <w:t>it</w:t>
      </w:r>
      <w:r>
        <w:rPr/>
        <w:t> </w:t>
      </w:r>
      <w:r>
        <w:rPr>
          <w:spacing w:val="-25"/>
        </w:rPr>
        <w:t> </w:t>
      </w:r>
      <w:r>
        <w:rPr>
          <w:w w:val="99"/>
        </w:rPr>
        <w:t>speaks</w:t>
      </w:r>
      <w:r>
        <w:rPr/>
        <w:t> </w:t>
      </w:r>
      <w:r>
        <w:rPr>
          <w:spacing w:val="-29"/>
        </w:rPr>
        <w:t> </w:t>
      </w:r>
      <w:r>
        <w:rPr>
          <w:w w:val="99"/>
        </w:rPr>
        <w:t>of</w:t>
      </w:r>
      <w:r>
        <w:rPr/>
        <w:t> </w:t>
      </w:r>
      <w:r>
        <w:rPr>
          <w:spacing w:val="-31"/>
        </w:rPr>
        <w:t> </w:t>
      </w:r>
      <w:r>
        <w:rPr>
          <w:w w:val="99"/>
        </w:rPr>
        <w:t>i</w:t>
      </w:r>
      <w:r>
        <w:rPr>
          <w:spacing w:val="2"/>
          <w:w w:val="99"/>
        </w:rPr>
        <w:t>t</w:t>
      </w:r>
      <w:r>
        <w:rPr>
          <w:w w:val="99"/>
        </w:rPr>
        <w:t>s</w:t>
      </w:r>
      <w:r>
        <w:rPr/>
        <w:t> </w:t>
      </w:r>
      <w:r>
        <w:rPr>
          <w:spacing w:val="-32"/>
        </w:rPr>
        <w:t> </w:t>
      </w:r>
      <w:r>
        <w:rPr>
          <w:w w:val="99"/>
        </w:rPr>
        <w:t>own</w:t>
      </w:r>
      <w:r>
        <w:rPr/>
        <w:t> </w:t>
      </w:r>
      <w:r>
        <w:rPr>
          <w:spacing w:val="-29"/>
        </w:rPr>
        <w:t> </w:t>
      </w:r>
      <w:r>
        <w:rPr>
          <w:spacing w:val="-1"/>
          <w:w w:val="40"/>
        </w:rPr>
        <w:t>‗</w:t>
      </w:r>
      <w:r>
        <w:rPr>
          <w:w w:val="99"/>
        </w:rPr>
        <w:t>title</w:t>
      </w:r>
      <w:r>
        <w:rPr/>
        <w:t> </w:t>
      </w:r>
      <w:r>
        <w:rPr>
          <w:spacing w:val="-29"/>
        </w:rPr>
        <w:t> </w:t>
      </w:r>
      <w:r>
        <w:rPr>
          <w:w w:val="99"/>
        </w:rPr>
        <w:t>and </w:t>
      </w:r>
      <w:r>
        <w:rPr/>
        <w:t>interest‘. In this backdrop, the cause pleaded in Suit 5 at the behest of the deity of Lord Ram cannot be held to be beyond</w:t>
      </w:r>
      <w:r>
        <w:rPr>
          <w:spacing w:val="-8"/>
        </w:rPr>
        <w:t> </w:t>
      </w:r>
      <w:r>
        <w:rPr/>
        <w:t>limitation.</w:t>
      </w:r>
    </w:p>
    <w:p>
      <w:pPr>
        <w:pStyle w:val="BodyText"/>
        <w:spacing w:before="1"/>
      </w:pPr>
    </w:p>
    <w:p>
      <w:pPr>
        <w:pStyle w:val="ListParagraph"/>
        <w:numPr>
          <w:ilvl w:val="0"/>
          <w:numId w:val="111"/>
        </w:numPr>
        <w:tabs>
          <w:tab w:pos="1221" w:val="left" w:leader="none"/>
        </w:tabs>
        <w:spacing w:line="480" w:lineRule="auto" w:before="0" w:after="0"/>
        <w:ind w:left="500" w:right="439" w:firstLine="0"/>
        <w:jc w:val="both"/>
        <w:rPr>
          <w:sz w:val="25"/>
        </w:rPr>
      </w:pPr>
      <w:r>
        <w:rPr>
          <w:sz w:val="25"/>
        </w:rPr>
        <w:t>Mr Parasaran submitted that Suit 5 essentially looks to the future and for the need to construct a temple dedicated to Lord Ram on the site of Ram Janmabhumi. Dr Dhavan criticised this as well as the constitution of the trust of 1985 and the Nyas as part of a wider agenda which led to the event of 1992. This criticism in our view cannot be factored in while determining whether as a matter of law, Suit 5 is barred by limitation. Simply put, Suit 5 contains a plea that by virtue of the deity not being a party to the earlier suits, its interests and concerns were not being adequately protected in the earlier suits including those instituted by the Hindu parties. The reasons which weighed with Justice Agarwal in holding Suit 5 to be within limitation, to the extent summarised above, commend themselves for acceptance. On the basis of the above discussion, it must be held that Suit 5 is instituted within the period of</w:t>
      </w:r>
      <w:r>
        <w:rPr>
          <w:spacing w:val="-5"/>
          <w:sz w:val="25"/>
        </w:rPr>
        <w:t> </w:t>
      </w:r>
      <w:r>
        <w:rPr>
          <w:sz w:val="25"/>
        </w:rPr>
        <w:t>limitation.</w:t>
      </w:r>
    </w:p>
    <w:p>
      <w:pPr>
        <w:spacing w:after="0" w:line="480" w:lineRule="auto"/>
        <w:jc w:val="both"/>
        <w:rPr>
          <w:sz w:val="25"/>
        </w:rPr>
        <w:sectPr>
          <w:pgSz w:w="11910" w:h="16840"/>
          <w:pgMar w:header="721" w:footer="1014" w:top="1300" w:bottom="1200" w:left="940" w:right="1000"/>
        </w:sectPr>
      </w:pPr>
    </w:p>
    <w:p>
      <w:pPr>
        <w:pStyle w:val="ListParagraph"/>
        <w:numPr>
          <w:ilvl w:val="1"/>
          <w:numId w:val="131"/>
        </w:numPr>
        <w:tabs>
          <w:tab w:pos="1221" w:val="left" w:leader="none"/>
        </w:tabs>
        <w:spacing w:line="240" w:lineRule="auto" w:before="124" w:after="0"/>
        <w:ind w:left="1220" w:right="0" w:hanging="721"/>
        <w:jc w:val="both"/>
        <w:rPr>
          <w:b/>
          <w:i/>
          <w:sz w:val="26"/>
        </w:rPr>
      </w:pPr>
      <w:r>
        <w:rPr>
          <w:b/>
          <w:sz w:val="26"/>
        </w:rPr>
        <w:t>The Suit of 1885 and </w:t>
      </w:r>
      <w:r>
        <w:rPr>
          <w:b/>
          <w:i/>
          <w:sz w:val="26"/>
        </w:rPr>
        <w:t>Res</w:t>
      </w:r>
      <w:r>
        <w:rPr>
          <w:b/>
          <w:i/>
          <w:spacing w:val="-3"/>
          <w:sz w:val="26"/>
        </w:rPr>
        <w:t> </w:t>
      </w:r>
      <w:r>
        <w:rPr>
          <w:b/>
          <w:i/>
          <w:sz w:val="26"/>
        </w:rPr>
        <w:t>Judicata</w:t>
      </w:r>
    </w:p>
    <w:p>
      <w:pPr>
        <w:pStyle w:val="BodyText"/>
        <w:rPr>
          <w:b/>
          <w:i/>
          <w:sz w:val="28"/>
        </w:rPr>
      </w:pPr>
    </w:p>
    <w:p>
      <w:pPr>
        <w:pStyle w:val="Heading4"/>
        <w:spacing w:before="219"/>
        <w:jc w:val="left"/>
        <w:rPr>
          <w:i/>
        </w:rPr>
      </w:pPr>
      <w:r>
        <w:rPr>
          <w:i/>
        </w:rPr>
        <w:t>Issues</w:t>
      </w:r>
    </w:p>
    <w:p>
      <w:pPr>
        <w:pStyle w:val="BodyText"/>
        <w:rPr>
          <w:i/>
          <w:sz w:val="28"/>
        </w:rPr>
      </w:pPr>
    </w:p>
    <w:p>
      <w:pPr>
        <w:pStyle w:val="BodyText"/>
        <w:spacing w:before="9"/>
        <w:rPr>
          <w:i/>
          <w:sz w:val="23"/>
        </w:rPr>
      </w:pPr>
    </w:p>
    <w:p>
      <w:pPr>
        <w:pStyle w:val="ListParagraph"/>
        <w:numPr>
          <w:ilvl w:val="0"/>
          <w:numId w:val="111"/>
        </w:numPr>
        <w:tabs>
          <w:tab w:pos="1221" w:val="left" w:leader="none"/>
        </w:tabs>
        <w:spacing w:line="480" w:lineRule="auto" w:before="0" w:after="0"/>
        <w:ind w:left="500" w:right="442" w:firstLine="0"/>
        <w:jc w:val="both"/>
        <w:rPr>
          <w:sz w:val="25"/>
        </w:rPr>
      </w:pPr>
      <w:r>
        <w:rPr>
          <w:sz w:val="25"/>
        </w:rPr>
        <w:t>The plea of </w:t>
      </w:r>
      <w:r>
        <w:rPr>
          <w:i/>
          <w:sz w:val="25"/>
        </w:rPr>
        <w:t>res judicata </w:t>
      </w:r>
      <w:r>
        <w:rPr>
          <w:sz w:val="25"/>
        </w:rPr>
        <w:t>hinges on the content and outcome of a suit which was instituted in 1885 by Mahant Raghubar Das seeking a decree for the construction of a temple at Ramchabutra. Specific issues on whether the doctrine of </w:t>
      </w:r>
      <w:r>
        <w:rPr>
          <w:i/>
          <w:sz w:val="25"/>
        </w:rPr>
        <w:t>res judicata </w:t>
      </w:r>
      <w:r>
        <w:rPr>
          <w:sz w:val="25"/>
        </w:rPr>
        <w:t>is attracted were drawn up in Suits 1, 4 and 5,</w:t>
      </w:r>
      <w:r>
        <w:rPr>
          <w:spacing w:val="-12"/>
          <w:sz w:val="25"/>
        </w:rPr>
        <w:t> </w:t>
      </w:r>
      <w:r>
        <w:rPr>
          <w:sz w:val="25"/>
        </w:rPr>
        <w:t>thus:</w:t>
      </w:r>
    </w:p>
    <w:p>
      <w:pPr>
        <w:pStyle w:val="Heading5"/>
        <w:spacing w:before="159"/>
        <w:ind w:left="500" w:firstLine="0"/>
      </w:pPr>
      <w:r>
        <w:rPr/>
        <w:t>Suit 1</w:t>
      </w:r>
    </w:p>
    <w:p>
      <w:pPr>
        <w:pStyle w:val="BodyText"/>
        <w:spacing w:before="10"/>
        <w:rPr>
          <w:b/>
          <w:sz w:val="24"/>
        </w:rPr>
      </w:pPr>
    </w:p>
    <w:p>
      <w:pPr>
        <w:pStyle w:val="BodyText"/>
        <w:spacing w:line="480" w:lineRule="auto"/>
        <w:ind w:left="500" w:right="441"/>
        <w:jc w:val="both"/>
      </w:pPr>
      <w:r>
        <w:rPr>
          <w:b/>
        </w:rPr>
        <w:t>Issue 5(a)</w:t>
      </w:r>
      <w:r>
        <w:rPr/>
        <w:t>:- Was the property in suit involved in Original Suit No. 61/280 of 1885 in the Court of Sub-Judge, Faizabad, Raghubar Das Mahant v Secretary of State for India and others.</w:t>
      </w:r>
    </w:p>
    <w:p>
      <w:pPr>
        <w:pStyle w:val="BodyText"/>
        <w:spacing w:before="1"/>
        <w:ind w:left="500"/>
        <w:jc w:val="both"/>
      </w:pPr>
      <w:r>
        <w:rPr>
          <w:b/>
        </w:rPr>
        <w:t>Issue 5(b</w:t>
      </w:r>
      <w:r>
        <w:rPr/>
        <w:t>):- Was it decided against the plaintiff.</w:t>
      </w:r>
    </w:p>
    <w:p>
      <w:pPr>
        <w:pStyle w:val="BodyText"/>
        <w:spacing w:before="1"/>
      </w:pPr>
    </w:p>
    <w:p>
      <w:pPr>
        <w:pStyle w:val="BodyText"/>
        <w:spacing w:line="480" w:lineRule="auto"/>
        <w:ind w:left="500" w:right="438"/>
        <w:jc w:val="both"/>
      </w:pPr>
      <w:r>
        <w:rPr>
          <w:b/>
        </w:rPr>
        <w:t>Issue 5(c)</w:t>
      </w:r>
      <w:r>
        <w:rPr/>
        <w:t>:- Was the suit within the knowledge of Hindus in general and were all Hindus interested in the same.</w:t>
      </w:r>
    </w:p>
    <w:p>
      <w:pPr>
        <w:spacing w:line="287" w:lineRule="exact" w:before="0"/>
        <w:ind w:left="500" w:right="0" w:firstLine="0"/>
        <w:jc w:val="both"/>
        <w:rPr>
          <w:i/>
          <w:sz w:val="25"/>
        </w:rPr>
      </w:pPr>
      <w:r>
        <w:rPr>
          <w:b/>
          <w:sz w:val="25"/>
        </w:rPr>
        <w:t>Issue 5(d)</w:t>
      </w:r>
      <w:r>
        <w:rPr>
          <w:sz w:val="25"/>
        </w:rPr>
        <w:t>:- Does the decision bar the present suit by principles of </w:t>
      </w:r>
      <w:r>
        <w:rPr>
          <w:i/>
          <w:sz w:val="25"/>
        </w:rPr>
        <w:t>res judicata</w:t>
      </w:r>
    </w:p>
    <w:p>
      <w:pPr>
        <w:pStyle w:val="BodyText"/>
        <w:spacing w:before="1"/>
        <w:rPr>
          <w:i/>
        </w:rPr>
      </w:pPr>
    </w:p>
    <w:p>
      <w:pPr>
        <w:pStyle w:val="BodyText"/>
        <w:ind w:left="500"/>
        <w:jc w:val="both"/>
      </w:pPr>
      <w:r>
        <w:rPr/>
        <w:t>and in any other way.</w:t>
      </w:r>
    </w:p>
    <w:p>
      <w:pPr>
        <w:pStyle w:val="BodyText"/>
        <w:spacing w:before="10"/>
        <w:rPr>
          <w:sz w:val="24"/>
        </w:rPr>
      </w:pPr>
    </w:p>
    <w:p>
      <w:pPr>
        <w:pStyle w:val="Heading5"/>
        <w:ind w:left="500" w:firstLine="0"/>
      </w:pPr>
      <w:r>
        <w:rPr/>
        <w:t>Suit 4</w:t>
      </w:r>
    </w:p>
    <w:p>
      <w:pPr>
        <w:pStyle w:val="BodyText"/>
        <w:spacing w:before="11"/>
        <w:rPr>
          <w:b/>
          <w:sz w:val="24"/>
        </w:rPr>
      </w:pPr>
    </w:p>
    <w:p>
      <w:pPr>
        <w:pStyle w:val="BodyText"/>
        <w:spacing w:line="482" w:lineRule="auto"/>
        <w:ind w:left="500" w:right="444"/>
        <w:jc w:val="both"/>
      </w:pPr>
      <w:r>
        <w:rPr>
          <w:b/>
        </w:rPr>
        <w:t>Issue 7(a)</w:t>
      </w:r>
      <w:r>
        <w:rPr/>
        <w:t>:- Whether Mahant Raghubar Dass, plaintiff of Suit No. 61/280 of 1885 had sued on behalf of Janmasthan and whole body of persons interested in Janmasthan.</w:t>
      </w:r>
    </w:p>
    <w:p>
      <w:pPr>
        <w:pStyle w:val="BodyText"/>
        <w:spacing w:line="482" w:lineRule="auto"/>
        <w:ind w:left="500" w:right="441"/>
        <w:jc w:val="both"/>
      </w:pPr>
      <w:r>
        <w:rPr>
          <w:b/>
        </w:rPr>
        <w:t>Issue 7(b)</w:t>
      </w:r>
      <w:r>
        <w:rPr/>
        <w:t>:- Whether Mohammad Asghar was the Mutawalli of alleged Babri Masjid and did he contest the suit for and on behalf of any such mosque.</w:t>
      </w:r>
    </w:p>
    <w:p>
      <w:pPr>
        <w:pStyle w:val="BodyText"/>
        <w:spacing w:line="482" w:lineRule="auto"/>
        <w:ind w:left="500" w:right="439"/>
        <w:jc w:val="both"/>
      </w:pPr>
      <w:r>
        <w:rPr>
          <w:b/>
        </w:rPr>
        <w:t>Issue 7(c)</w:t>
      </w:r>
      <w:r>
        <w:rPr/>
        <w:t>:- Whether in view of the judgment in the said suit, the members of the Hindu community, including the contesting defendants, are estopped from</w:t>
      </w:r>
    </w:p>
    <w:p>
      <w:pPr>
        <w:spacing w:after="0" w:line="482" w:lineRule="auto"/>
        <w:jc w:val="both"/>
        <w:sectPr>
          <w:pgSz w:w="11910" w:h="16840"/>
          <w:pgMar w:header="721" w:footer="1014" w:top="1300" w:bottom="1200" w:left="940" w:right="1000"/>
        </w:sectPr>
      </w:pPr>
    </w:p>
    <w:p>
      <w:pPr>
        <w:pStyle w:val="BodyText"/>
        <w:spacing w:line="480" w:lineRule="auto" w:before="124"/>
        <w:ind w:left="500" w:right="442"/>
        <w:jc w:val="both"/>
      </w:pPr>
      <w:r>
        <w:rPr/>
        <w:t>denying the title of the Muslim community, including the plaintiffs of the present suit, to the property in dispute; if so, its effect.</w:t>
      </w:r>
    </w:p>
    <w:p>
      <w:pPr>
        <w:pStyle w:val="BodyText"/>
        <w:spacing w:line="480" w:lineRule="auto"/>
        <w:ind w:left="500" w:right="445"/>
        <w:jc w:val="both"/>
      </w:pPr>
      <w:r>
        <w:rPr>
          <w:b/>
        </w:rPr>
        <w:t>Issue 7(d)</w:t>
      </w:r>
      <w:r>
        <w:rPr/>
        <w:t>:- Whether in the aforesaid suit, title of the Muslims to the property in dispute or any portion thereof was admitted by plaintiff of the that suit; if so, its effect.</w:t>
      </w:r>
    </w:p>
    <w:p>
      <w:pPr>
        <w:spacing w:line="480" w:lineRule="auto" w:before="0"/>
        <w:ind w:left="500" w:right="435" w:firstLine="0"/>
        <w:jc w:val="both"/>
        <w:rPr>
          <w:sz w:val="25"/>
        </w:rPr>
      </w:pPr>
      <w:r>
        <w:rPr>
          <w:b/>
          <w:sz w:val="25"/>
        </w:rPr>
        <w:t>Issue 8 </w:t>
      </w:r>
      <w:r>
        <w:rPr>
          <w:sz w:val="25"/>
        </w:rPr>
        <w:t>- Does the judgment of case No. 6/280 of 1885, </w:t>
      </w:r>
      <w:r>
        <w:rPr>
          <w:i/>
          <w:sz w:val="25"/>
        </w:rPr>
        <w:t>Mahant Raghubar Dass </w:t>
      </w:r>
      <w:r>
        <w:rPr>
          <w:i/>
          <w:sz w:val="25"/>
        </w:rPr>
        <w:t>v Secretary of State and others, </w:t>
      </w:r>
      <w:r>
        <w:rPr>
          <w:sz w:val="25"/>
        </w:rPr>
        <w:t>operate as </w:t>
      </w:r>
      <w:r>
        <w:rPr>
          <w:i/>
          <w:sz w:val="25"/>
        </w:rPr>
        <w:t>res judicata </w:t>
      </w:r>
      <w:r>
        <w:rPr>
          <w:sz w:val="25"/>
        </w:rPr>
        <w:t>against the defendants in suit.</w:t>
      </w:r>
    </w:p>
    <w:p>
      <w:pPr>
        <w:pStyle w:val="BodyText"/>
        <w:spacing w:before="8"/>
        <w:rPr>
          <w:sz w:val="24"/>
        </w:rPr>
      </w:pPr>
    </w:p>
    <w:p>
      <w:pPr>
        <w:pStyle w:val="Heading5"/>
        <w:spacing w:before="1"/>
        <w:ind w:left="500" w:firstLine="0"/>
      </w:pPr>
      <w:r>
        <w:rPr/>
        <w:t>Suit 5</w:t>
      </w:r>
    </w:p>
    <w:p>
      <w:pPr>
        <w:pStyle w:val="BodyText"/>
        <w:rPr>
          <w:b/>
        </w:rPr>
      </w:pPr>
    </w:p>
    <w:p>
      <w:pPr>
        <w:pStyle w:val="BodyText"/>
        <w:spacing w:line="480" w:lineRule="auto" w:before="1"/>
        <w:ind w:left="500" w:right="435"/>
        <w:jc w:val="both"/>
      </w:pPr>
      <w:r>
        <w:rPr>
          <w:b/>
        </w:rPr>
        <w:t>Issue 23</w:t>
      </w:r>
      <w:r>
        <w:rPr/>
        <w:t>:- Whether the judgment in Suit No. 61/280 of 1885 filed by Mahant Raghubar Das in the Court of Special Judge, Faizabad is binding upon the plaintiffs by application of the principles of estoppel and </w:t>
      </w:r>
      <w:r>
        <w:rPr>
          <w:i/>
        </w:rPr>
        <w:t>res judicata </w:t>
      </w:r>
      <w:r>
        <w:rPr/>
        <w:t>as alleged by the defendants 4 and 5.</w:t>
      </w:r>
    </w:p>
    <w:p>
      <w:pPr>
        <w:pStyle w:val="BodyText"/>
        <w:rPr>
          <w:sz w:val="28"/>
        </w:rPr>
      </w:pPr>
    </w:p>
    <w:p>
      <w:pPr>
        <w:pStyle w:val="BodyText"/>
        <w:spacing w:before="5"/>
        <w:rPr>
          <w:sz w:val="22"/>
        </w:rPr>
      </w:pPr>
    </w:p>
    <w:p>
      <w:pPr>
        <w:pStyle w:val="Heading4"/>
        <w:rPr>
          <w:i/>
        </w:rPr>
      </w:pPr>
      <w:r>
        <w:rPr>
          <w:i/>
        </w:rPr>
        <w:t>The plaint of 1885</w:t>
      </w:r>
    </w:p>
    <w:p>
      <w:pPr>
        <w:pStyle w:val="BodyText"/>
        <w:rPr>
          <w:i/>
          <w:sz w:val="28"/>
        </w:rPr>
      </w:pPr>
    </w:p>
    <w:p>
      <w:pPr>
        <w:pStyle w:val="BodyText"/>
        <w:spacing w:before="9"/>
        <w:rPr>
          <w:i/>
          <w:sz w:val="22"/>
        </w:rPr>
      </w:pPr>
    </w:p>
    <w:p>
      <w:pPr>
        <w:pStyle w:val="ListParagraph"/>
        <w:numPr>
          <w:ilvl w:val="0"/>
          <w:numId w:val="111"/>
        </w:numPr>
        <w:tabs>
          <w:tab w:pos="1221" w:val="left" w:leader="none"/>
        </w:tabs>
        <w:spacing w:line="480" w:lineRule="auto" w:before="1" w:after="0"/>
        <w:ind w:left="500" w:right="439" w:firstLine="0"/>
        <w:jc w:val="both"/>
        <w:rPr>
          <w:sz w:val="25"/>
        </w:rPr>
      </w:pPr>
      <w:r>
        <w:rPr>
          <w:sz w:val="25"/>
        </w:rPr>
        <w:t>The Suit of 1885 was instituted by Mahant Raghubar Das, describing </w:t>
      </w:r>
      <w:r>
        <w:rPr>
          <w:spacing w:val="-1"/>
          <w:w w:val="99"/>
          <w:sz w:val="25"/>
        </w:rPr>
        <w:t>hi</w:t>
      </w:r>
      <w:r>
        <w:rPr>
          <w:w w:val="99"/>
          <w:sz w:val="25"/>
        </w:rPr>
        <w:t>mself</w:t>
      </w:r>
      <w:r>
        <w:rPr>
          <w:sz w:val="25"/>
        </w:rPr>
        <w:t> </w:t>
      </w:r>
      <w:r>
        <w:rPr>
          <w:spacing w:val="7"/>
          <w:sz w:val="25"/>
        </w:rPr>
        <w:t> </w:t>
      </w:r>
      <w:r>
        <w:rPr>
          <w:spacing w:val="-1"/>
          <w:w w:val="99"/>
          <w:sz w:val="25"/>
        </w:rPr>
        <w:t>a</w:t>
      </w:r>
      <w:r>
        <w:rPr>
          <w:w w:val="99"/>
          <w:sz w:val="25"/>
        </w:rPr>
        <w:t>s</w:t>
      </w:r>
      <w:r>
        <w:rPr>
          <w:sz w:val="25"/>
        </w:rPr>
        <w:t> </w:t>
      </w:r>
      <w:r>
        <w:rPr>
          <w:spacing w:val="7"/>
          <w:sz w:val="25"/>
        </w:rPr>
        <w:t> </w:t>
      </w:r>
      <w:r>
        <w:rPr>
          <w:spacing w:val="3"/>
          <w:w w:val="33"/>
          <w:sz w:val="25"/>
        </w:rPr>
        <w:t>―</w:t>
      </w:r>
      <w:r>
        <w:rPr>
          <w:spacing w:val="-4"/>
          <w:w w:val="99"/>
          <w:sz w:val="25"/>
        </w:rPr>
        <w:t>M</w:t>
      </w:r>
      <w:r>
        <w:rPr>
          <w:spacing w:val="-1"/>
          <w:w w:val="99"/>
          <w:sz w:val="25"/>
        </w:rPr>
        <w:t>a</w:t>
      </w:r>
      <w:r>
        <w:rPr>
          <w:w w:val="99"/>
          <w:sz w:val="25"/>
        </w:rPr>
        <w:t>h</w:t>
      </w:r>
      <w:r>
        <w:rPr>
          <w:spacing w:val="-1"/>
          <w:w w:val="99"/>
          <w:sz w:val="25"/>
        </w:rPr>
        <w:t>a</w:t>
      </w:r>
      <w:r>
        <w:rPr>
          <w:w w:val="99"/>
          <w:sz w:val="25"/>
        </w:rPr>
        <w:t>nt</w:t>
      </w:r>
      <w:r>
        <w:rPr>
          <w:sz w:val="25"/>
        </w:rPr>
        <w:t> </w:t>
      </w:r>
      <w:r>
        <w:rPr>
          <w:spacing w:val="12"/>
          <w:sz w:val="25"/>
        </w:rPr>
        <w:t> </w:t>
      </w:r>
      <w:r>
        <w:rPr>
          <w:w w:val="99"/>
          <w:sz w:val="25"/>
        </w:rPr>
        <w:t>Jana</w:t>
      </w:r>
      <w:r>
        <w:rPr>
          <w:spacing w:val="1"/>
          <w:w w:val="99"/>
          <w:sz w:val="25"/>
        </w:rPr>
        <w:t>m</w:t>
      </w:r>
      <w:r>
        <w:rPr>
          <w:w w:val="99"/>
          <w:sz w:val="25"/>
        </w:rPr>
        <w:t>stha</w:t>
      </w:r>
      <w:r>
        <w:rPr>
          <w:w w:val="99"/>
          <w:sz w:val="25"/>
        </w:rPr>
        <w:t>n</w:t>
      </w:r>
      <w:r>
        <w:rPr>
          <w:sz w:val="25"/>
        </w:rPr>
        <w:t> </w:t>
      </w:r>
      <w:r>
        <w:rPr>
          <w:spacing w:val="8"/>
          <w:sz w:val="25"/>
        </w:rPr>
        <w:t> </w:t>
      </w:r>
      <w:r>
        <w:rPr>
          <w:w w:val="99"/>
          <w:sz w:val="25"/>
        </w:rPr>
        <w:t>situated</w:t>
      </w:r>
      <w:r>
        <w:rPr>
          <w:sz w:val="25"/>
        </w:rPr>
        <w:t> </w:t>
      </w:r>
      <w:r>
        <w:rPr>
          <w:spacing w:val="8"/>
          <w:sz w:val="25"/>
        </w:rPr>
        <w:t> </w:t>
      </w:r>
      <w:r>
        <w:rPr>
          <w:spacing w:val="-1"/>
          <w:w w:val="99"/>
          <w:sz w:val="25"/>
        </w:rPr>
        <w:t>a</w:t>
      </w:r>
      <w:r>
        <w:rPr>
          <w:w w:val="99"/>
          <w:sz w:val="25"/>
        </w:rPr>
        <w:t>t</w:t>
      </w:r>
      <w:r>
        <w:rPr>
          <w:sz w:val="25"/>
        </w:rPr>
        <w:t> </w:t>
      </w:r>
      <w:r>
        <w:rPr>
          <w:spacing w:val="7"/>
          <w:sz w:val="25"/>
        </w:rPr>
        <w:t> </w:t>
      </w:r>
      <w:r>
        <w:rPr>
          <w:spacing w:val="1"/>
          <w:w w:val="99"/>
          <w:sz w:val="25"/>
        </w:rPr>
        <w:t>A</w:t>
      </w:r>
      <w:r>
        <w:rPr>
          <w:spacing w:val="-3"/>
          <w:w w:val="99"/>
          <w:sz w:val="25"/>
        </w:rPr>
        <w:t>y</w:t>
      </w:r>
      <w:r>
        <w:rPr>
          <w:spacing w:val="-1"/>
          <w:w w:val="99"/>
          <w:sz w:val="25"/>
        </w:rPr>
        <w:t>o</w:t>
      </w:r>
      <w:r>
        <w:rPr>
          <w:w w:val="99"/>
          <w:sz w:val="25"/>
        </w:rPr>
        <w:t>d</w:t>
      </w:r>
      <w:r>
        <w:rPr>
          <w:spacing w:val="2"/>
          <w:w w:val="99"/>
          <w:sz w:val="25"/>
        </w:rPr>
        <w:t>h</w:t>
      </w:r>
      <w:r>
        <w:rPr>
          <w:spacing w:val="-3"/>
          <w:w w:val="99"/>
          <w:sz w:val="25"/>
        </w:rPr>
        <w:t>y</w:t>
      </w:r>
      <w:r>
        <w:rPr>
          <w:spacing w:val="-1"/>
          <w:w w:val="91"/>
          <w:sz w:val="25"/>
        </w:rPr>
        <w:t>a</w:t>
      </w:r>
      <w:r>
        <w:rPr>
          <w:w w:val="91"/>
          <w:sz w:val="25"/>
        </w:rPr>
        <w:t>‖</w:t>
      </w:r>
      <w:r>
        <w:rPr>
          <w:w w:val="99"/>
          <w:sz w:val="25"/>
        </w:rPr>
        <w:t>.</w:t>
      </w:r>
      <w:r>
        <w:rPr>
          <w:sz w:val="25"/>
        </w:rPr>
        <w:t> </w:t>
      </w:r>
      <w:r>
        <w:rPr>
          <w:spacing w:val="7"/>
          <w:sz w:val="25"/>
        </w:rPr>
        <w:t> </w:t>
      </w:r>
      <w:r>
        <w:rPr>
          <w:w w:val="99"/>
          <w:sz w:val="25"/>
        </w:rPr>
        <w:t>T</w:t>
      </w:r>
      <w:r>
        <w:rPr>
          <w:spacing w:val="-1"/>
          <w:w w:val="99"/>
          <w:sz w:val="25"/>
        </w:rPr>
        <w:t>h</w:t>
      </w:r>
      <w:r>
        <w:rPr>
          <w:w w:val="99"/>
          <w:sz w:val="25"/>
        </w:rPr>
        <w:t>e</w:t>
      </w:r>
      <w:r>
        <w:rPr>
          <w:sz w:val="25"/>
        </w:rPr>
        <w:t> </w:t>
      </w:r>
      <w:r>
        <w:rPr>
          <w:spacing w:val="7"/>
          <w:sz w:val="25"/>
        </w:rPr>
        <w:t> </w:t>
      </w:r>
      <w:r>
        <w:rPr>
          <w:w w:val="99"/>
          <w:sz w:val="25"/>
        </w:rPr>
        <w:t>suit</w:t>
      </w:r>
      <w:r>
        <w:rPr>
          <w:sz w:val="25"/>
        </w:rPr>
        <w:t> </w:t>
      </w:r>
      <w:r>
        <w:rPr>
          <w:spacing w:val="7"/>
          <w:sz w:val="25"/>
        </w:rPr>
        <w:t> </w:t>
      </w:r>
      <w:r>
        <w:rPr>
          <w:spacing w:val="-1"/>
          <w:w w:val="99"/>
          <w:sz w:val="25"/>
        </w:rPr>
        <w:t>wa</w:t>
      </w:r>
      <w:r>
        <w:rPr>
          <w:w w:val="99"/>
          <w:sz w:val="25"/>
        </w:rPr>
        <w:t>s</w:t>
      </w:r>
      <w:r>
        <w:rPr>
          <w:sz w:val="25"/>
        </w:rPr>
        <w:t> </w:t>
      </w:r>
      <w:r>
        <w:rPr>
          <w:spacing w:val="7"/>
          <w:sz w:val="25"/>
        </w:rPr>
        <w:t> </w:t>
      </w:r>
      <w:r>
        <w:rPr>
          <w:spacing w:val="-1"/>
          <w:w w:val="99"/>
          <w:sz w:val="25"/>
        </w:rPr>
        <w:t>initial</w:t>
      </w:r>
      <w:r>
        <w:rPr>
          <w:spacing w:val="2"/>
          <w:w w:val="99"/>
          <w:sz w:val="25"/>
        </w:rPr>
        <w:t>l</w:t>
      </w:r>
      <w:r>
        <w:rPr>
          <w:w w:val="99"/>
          <w:sz w:val="25"/>
        </w:rPr>
        <w:t>y </w:t>
      </w:r>
      <w:r>
        <w:rPr>
          <w:sz w:val="25"/>
        </w:rPr>
        <w:t>instituted only against the Secretary of State for India. The plaint in the suit of 1885 is as</w:t>
      </w:r>
      <w:r>
        <w:rPr>
          <w:spacing w:val="-2"/>
          <w:sz w:val="25"/>
        </w:rPr>
        <w:t> </w:t>
      </w:r>
      <w:r>
        <w:rPr>
          <w:sz w:val="25"/>
        </w:rPr>
        <w:t>under:</w:t>
      </w:r>
    </w:p>
    <w:p>
      <w:pPr>
        <w:spacing w:before="159"/>
        <w:ind w:left="1940" w:right="0" w:firstLine="0"/>
        <w:jc w:val="left"/>
        <w:rPr>
          <w:sz w:val="21"/>
        </w:rPr>
      </w:pPr>
      <w:r>
        <w:rPr>
          <w:spacing w:val="-1"/>
          <w:w w:val="33"/>
          <w:sz w:val="21"/>
        </w:rPr>
        <w:t>―</w:t>
      </w:r>
      <w:r>
        <w:rPr>
          <w:spacing w:val="-2"/>
          <w:w w:val="100"/>
          <w:sz w:val="21"/>
        </w:rPr>
        <w:t>I</w:t>
      </w:r>
      <w:r>
        <w:rPr>
          <w:w w:val="100"/>
          <w:sz w:val="21"/>
        </w:rPr>
        <w:t>N</w:t>
      </w:r>
      <w:r>
        <w:rPr>
          <w:sz w:val="21"/>
        </w:rPr>
        <w:t> </w:t>
      </w:r>
      <w:r>
        <w:rPr>
          <w:w w:val="100"/>
          <w:sz w:val="21"/>
        </w:rPr>
        <w:t>T</w:t>
      </w:r>
      <w:r>
        <w:rPr>
          <w:spacing w:val="-1"/>
          <w:w w:val="100"/>
          <w:sz w:val="21"/>
        </w:rPr>
        <w:t>H</w:t>
      </w:r>
      <w:r>
        <w:rPr>
          <w:w w:val="100"/>
          <w:sz w:val="21"/>
        </w:rPr>
        <w:t>E</w:t>
      </w:r>
      <w:r>
        <w:rPr>
          <w:spacing w:val="-3"/>
          <w:sz w:val="21"/>
        </w:rPr>
        <w:t> </w:t>
      </w:r>
      <w:r>
        <w:rPr>
          <w:w w:val="100"/>
          <w:sz w:val="21"/>
        </w:rPr>
        <w:t>C</w:t>
      </w:r>
      <w:r>
        <w:rPr>
          <w:spacing w:val="-2"/>
          <w:w w:val="100"/>
          <w:sz w:val="21"/>
        </w:rPr>
        <w:t>OUR</w:t>
      </w:r>
      <w:r>
        <w:rPr>
          <w:w w:val="100"/>
          <w:sz w:val="21"/>
        </w:rPr>
        <w:t>T</w:t>
      </w:r>
      <w:r>
        <w:rPr>
          <w:sz w:val="21"/>
        </w:rPr>
        <w:t> </w:t>
      </w:r>
      <w:r>
        <w:rPr>
          <w:spacing w:val="-2"/>
          <w:w w:val="100"/>
          <w:sz w:val="21"/>
        </w:rPr>
        <w:t>O</w:t>
      </w:r>
      <w:r>
        <w:rPr>
          <w:w w:val="100"/>
          <w:sz w:val="21"/>
        </w:rPr>
        <w:t>F</w:t>
      </w:r>
      <w:r>
        <w:rPr>
          <w:sz w:val="21"/>
        </w:rPr>
        <w:t> </w:t>
      </w:r>
      <w:r>
        <w:rPr>
          <w:spacing w:val="-2"/>
          <w:w w:val="100"/>
          <w:sz w:val="21"/>
        </w:rPr>
        <w:t>MUN</w:t>
      </w:r>
      <w:r>
        <w:rPr>
          <w:w w:val="100"/>
          <w:sz w:val="21"/>
        </w:rPr>
        <w:t>S</w:t>
      </w:r>
      <w:r>
        <w:rPr>
          <w:spacing w:val="-2"/>
          <w:w w:val="100"/>
          <w:sz w:val="21"/>
        </w:rPr>
        <w:t>I</w:t>
      </w:r>
      <w:r>
        <w:rPr>
          <w:w w:val="100"/>
          <w:sz w:val="21"/>
        </w:rPr>
        <w:t>F</w:t>
      </w:r>
      <w:r>
        <w:rPr>
          <w:sz w:val="21"/>
        </w:rPr>
        <w:t> </w:t>
      </w:r>
      <w:r>
        <w:rPr>
          <w:spacing w:val="-3"/>
          <w:w w:val="100"/>
          <w:sz w:val="21"/>
        </w:rPr>
        <w:t>S</w:t>
      </w:r>
      <w:r>
        <w:rPr>
          <w:spacing w:val="-2"/>
          <w:w w:val="100"/>
          <w:sz w:val="21"/>
        </w:rPr>
        <w:t>A</w:t>
      </w:r>
      <w:r>
        <w:rPr>
          <w:w w:val="100"/>
          <w:sz w:val="21"/>
        </w:rPr>
        <w:t>H</w:t>
      </w:r>
      <w:r>
        <w:rPr>
          <w:spacing w:val="-2"/>
          <w:w w:val="100"/>
          <w:sz w:val="21"/>
        </w:rPr>
        <w:t>I</w:t>
      </w:r>
      <w:r>
        <w:rPr>
          <w:w w:val="100"/>
          <w:sz w:val="21"/>
        </w:rPr>
        <w:t>B</w:t>
      </w:r>
      <w:r>
        <w:rPr>
          <w:spacing w:val="-1"/>
          <w:sz w:val="21"/>
        </w:rPr>
        <w:t> </w:t>
      </w:r>
      <w:r>
        <w:rPr>
          <w:spacing w:val="-2"/>
          <w:w w:val="100"/>
          <w:sz w:val="21"/>
        </w:rPr>
        <w:t>BA</w:t>
      </w:r>
      <w:r>
        <w:rPr>
          <w:w w:val="100"/>
          <w:sz w:val="21"/>
        </w:rPr>
        <w:t>H</w:t>
      </w:r>
      <w:r>
        <w:rPr>
          <w:spacing w:val="-2"/>
          <w:w w:val="100"/>
          <w:sz w:val="21"/>
        </w:rPr>
        <w:t>ADU</w:t>
      </w:r>
      <w:r>
        <w:rPr>
          <w:w w:val="100"/>
          <w:sz w:val="21"/>
        </w:rPr>
        <w:t>R</w:t>
      </w:r>
    </w:p>
    <w:p>
      <w:pPr>
        <w:spacing w:line="276" w:lineRule="auto" w:before="35"/>
        <w:ind w:left="1940" w:right="5897" w:firstLine="0"/>
        <w:jc w:val="left"/>
        <w:rPr>
          <w:sz w:val="21"/>
        </w:rPr>
      </w:pPr>
      <w:r>
        <w:rPr>
          <w:sz w:val="21"/>
        </w:rPr>
        <w:t>Mahant Raghubar Das Mahant Janmsthan</w:t>
      </w:r>
    </w:p>
    <w:p>
      <w:pPr>
        <w:tabs>
          <w:tab w:pos="6981" w:val="left" w:leader="none"/>
        </w:tabs>
        <w:spacing w:before="1"/>
        <w:ind w:left="1940" w:right="0" w:firstLine="0"/>
        <w:jc w:val="left"/>
        <w:rPr>
          <w:sz w:val="21"/>
        </w:rPr>
      </w:pPr>
      <w:r>
        <w:rPr>
          <w:sz w:val="21"/>
        </w:rPr>
        <w:t>Situated</w:t>
      </w:r>
      <w:r>
        <w:rPr>
          <w:spacing w:val="-2"/>
          <w:sz w:val="21"/>
        </w:rPr>
        <w:t> </w:t>
      </w:r>
      <w:r>
        <w:rPr>
          <w:sz w:val="21"/>
        </w:rPr>
        <w:t>at</w:t>
      </w:r>
      <w:r>
        <w:rPr>
          <w:spacing w:val="-2"/>
          <w:sz w:val="21"/>
        </w:rPr>
        <w:t> </w:t>
      </w:r>
      <w:r>
        <w:rPr>
          <w:sz w:val="21"/>
        </w:rPr>
        <w:t>Ayodhya</w:t>
        <w:tab/>
        <w:t>Plaintiff</w:t>
      </w:r>
    </w:p>
    <w:p>
      <w:pPr>
        <w:pStyle w:val="BodyText"/>
        <w:spacing w:before="3"/>
        <w:rPr>
          <w:sz w:val="27"/>
        </w:rPr>
      </w:pPr>
    </w:p>
    <w:p>
      <w:pPr>
        <w:spacing w:before="0"/>
        <w:ind w:left="2390" w:right="2711" w:firstLine="0"/>
        <w:jc w:val="center"/>
        <w:rPr>
          <w:sz w:val="21"/>
        </w:rPr>
      </w:pPr>
      <w:r>
        <w:rPr>
          <w:sz w:val="21"/>
        </w:rPr>
        <w:t>versus</w:t>
      </w:r>
    </w:p>
    <w:p>
      <w:pPr>
        <w:pStyle w:val="BodyText"/>
        <w:spacing w:before="2"/>
        <w:rPr>
          <w:sz w:val="27"/>
        </w:rPr>
      </w:pPr>
    </w:p>
    <w:p>
      <w:pPr>
        <w:spacing w:before="1"/>
        <w:ind w:left="1940" w:right="0" w:firstLine="0"/>
        <w:jc w:val="left"/>
        <w:rPr>
          <w:sz w:val="21"/>
        </w:rPr>
      </w:pPr>
      <w:r>
        <w:rPr>
          <w:sz w:val="21"/>
        </w:rPr>
        <w:t>Secretary of State for India</w:t>
      </w:r>
    </w:p>
    <w:p>
      <w:pPr>
        <w:spacing w:after="0"/>
        <w:jc w:val="left"/>
        <w:rPr>
          <w:sz w:val="21"/>
        </w:rPr>
        <w:sectPr>
          <w:pgSz w:w="11910" w:h="16840"/>
          <w:pgMar w:header="721" w:footer="1014" w:top="1300" w:bottom="1200" w:left="940" w:right="1000"/>
        </w:sectPr>
      </w:pPr>
    </w:p>
    <w:p>
      <w:pPr>
        <w:tabs>
          <w:tab w:pos="6724" w:val="left" w:leader="none"/>
        </w:tabs>
        <w:spacing w:line="552" w:lineRule="auto" w:before="122"/>
        <w:ind w:left="1940" w:right="2265" w:firstLine="0"/>
        <w:jc w:val="both"/>
        <w:rPr>
          <w:sz w:val="21"/>
        </w:rPr>
      </w:pPr>
      <w:r>
        <w:rPr>
          <w:sz w:val="21"/>
        </w:rPr>
        <w:t>in the Session</w:t>
      </w:r>
      <w:r>
        <w:rPr>
          <w:spacing w:val="-5"/>
          <w:sz w:val="21"/>
        </w:rPr>
        <w:t> </w:t>
      </w:r>
      <w:r>
        <w:rPr>
          <w:sz w:val="21"/>
        </w:rPr>
        <w:t>of</w:t>
      </w:r>
      <w:r>
        <w:rPr>
          <w:spacing w:val="-4"/>
          <w:sz w:val="21"/>
        </w:rPr>
        <w:t> </w:t>
      </w:r>
      <w:r>
        <w:rPr>
          <w:sz w:val="21"/>
        </w:rPr>
        <w:t>Council</w:t>
        <w:tab/>
      </w:r>
      <w:r>
        <w:rPr>
          <w:spacing w:val="-3"/>
          <w:sz w:val="21"/>
        </w:rPr>
        <w:t>Defendant </w:t>
      </w:r>
      <w:r>
        <w:rPr>
          <w:sz w:val="21"/>
        </w:rPr>
        <w:t>The plaintiff abovenamed Submit as</w:t>
      </w:r>
      <w:r>
        <w:rPr>
          <w:spacing w:val="-8"/>
          <w:sz w:val="21"/>
        </w:rPr>
        <w:t> </w:t>
      </w:r>
      <w:r>
        <w:rPr>
          <w:sz w:val="21"/>
        </w:rPr>
        <w:t>under:</w:t>
      </w:r>
    </w:p>
    <w:p>
      <w:pPr>
        <w:spacing w:line="276" w:lineRule="auto" w:before="1"/>
        <w:ind w:left="1940" w:right="2262" w:firstLine="0"/>
        <w:jc w:val="both"/>
        <w:rPr>
          <w:sz w:val="21"/>
        </w:rPr>
      </w:pPr>
      <w:r>
        <w:rPr>
          <w:sz w:val="21"/>
        </w:rPr>
        <w:t>Suit for grant of permission for construction of Mandir, i.e., prohibition to the defendant that plaintiff should not be restrained from construction of Mandir on chabootra- Janmashtan situated at Ayodhya, North 17 feet, East 21 feet, South 17 feet, West 21 feet and the value of the suit cannot be fixed as per market rate therefore as per Item No. 17, paragraph 6, Appendix-II, Act, 1870, court fee was affixed  and the position of the site can be known very well from the attached</w:t>
      </w:r>
      <w:r>
        <w:rPr>
          <w:spacing w:val="-3"/>
          <w:sz w:val="21"/>
        </w:rPr>
        <w:t> </w:t>
      </w:r>
      <w:r>
        <w:rPr>
          <w:sz w:val="21"/>
        </w:rPr>
        <w:t>map/sketch.</w:t>
      </w:r>
    </w:p>
    <w:p>
      <w:pPr>
        <w:pStyle w:val="BodyText"/>
        <w:spacing w:before="2"/>
        <w:rPr>
          <w:sz w:val="24"/>
        </w:rPr>
      </w:pPr>
    </w:p>
    <w:p>
      <w:pPr>
        <w:spacing w:line="276" w:lineRule="auto" w:before="0"/>
        <w:ind w:left="1940" w:right="2265" w:firstLine="0"/>
        <w:jc w:val="both"/>
        <w:rPr>
          <w:sz w:val="21"/>
        </w:rPr>
      </w:pPr>
      <w:r>
        <w:rPr>
          <w:sz w:val="21"/>
        </w:rPr>
        <w:t>Section 1: That the place of janmsthan situated at Ayodhya City, Faizabad is a very old and sacred place of worship of Hindus and plaintiff is the Mahant of this place of worship.</w:t>
      </w:r>
    </w:p>
    <w:p>
      <w:pPr>
        <w:pStyle w:val="BodyText"/>
        <w:spacing w:before="2"/>
        <w:rPr>
          <w:sz w:val="24"/>
        </w:rPr>
      </w:pPr>
    </w:p>
    <w:p>
      <w:pPr>
        <w:spacing w:line="276" w:lineRule="auto" w:before="0"/>
        <w:ind w:left="1940" w:right="2261" w:firstLine="0"/>
        <w:jc w:val="both"/>
        <w:rPr>
          <w:sz w:val="21"/>
        </w:rPr>
      </w:pPr>
      <w:r>
        <w:rPr>
          <w:sz w:val="21"/>
        </w:rPr>
        <w:t>Section 2: That the chabootra janmasthan is East-West 41 feet and North-South 17 feet. Charan Paaduka is fixed on it and small temple is also placed which is worshipped.</w:t>
      </w:r>
    </w:p>
    <w:p>
      <w:pPr>
        <w:pStyle w:val="BodyText"/>
        <w:spacing w:before="2"/>
        <w:rPr>
          <w:sz w:val="24"/>
        </w:rPr>
      </w:pPr>
    </w:p>
    <w:p>
      <w:pPr>
        <w:spacing w:line="276" w:lineRule="auto" w:before="0"/>
        <w:ind w:left="1940" w:right="2263" w:firstLine="0"/>
        <w:jc w:val="both"/>
        <w:rPr>
          <w:sz w:val="21"/>
        </w:rPr>
      </w:pPr>
      <w:r>
        <w:rPr>
          <w:sz w:val="21"/>
        </w:rPr>
        <w:t>Section 3: That the said chabootra is in the possession of the plaintiff. There being no building on it, the plaintiff and other faqirs are put to great hard ship in summer from heat, in the monsoon from rain and in the winter from extreme cold. Construction of temple on the chabootra will cause no harm  to anyone. But the construction of temple will give relief to the plaintiff and other faqirs and</w:t>
      </w:r>
      <w:r>
        <w:rPr>
          <w:spacing w:val="-5"/>
          <w:sz w:val="21"/>
        </w:rPr>
        <w:t> </w:t>
      </w:r>
      <w:r>
        <w:rPr>
          <w:sz w:val="21"/>
        </w:rPr>
        <w:t>pilgrims.</w:t>
      </w:r>
    </w:p>
    <w:p>
      <w:pPr>
        <w:pStyle w:val="BodyText"/>
        <w:spacing w:before="1"/>
        <w:rPr>
          <w:sz w:val="24"/>
        </w:rPr>
      </w:pPr>
    </w:p>
    <w:p>
      <w:pPr>
        <w:spacing w:line="276" w:lineRule="auto" w:before="0"/>
        <w:ind w:left="1940" w:right="2259" w:firstLine="0"/>
        <w:jc w:val="both"/>
        <w:rPr>
          <w:sz w:val="21"/>
        </w:rPr>
      </w:pPr>
      <w:r>
        <w:rPr>
          <w:sz w:val="21"/>
        </w:rPr>
        <w:t>Section 4: That the Deputy Commissioner Bahadur of Faizabad from March or April 83, because of the objection of a few Muslims opposed the construction of the mandir, this petitioner sent a petition to the local government regarding this matter where no reply received about this petition. Then the plaintiff sent a notice as required under Section-444 of the Code (of Civil Procedure) on 18th August, 1883 to the office of Secretary, Local Government but this too remained un- replied. Hence the cause for the suit arise from the date of prohibition at Ayodhya under the jurisdiction of the</w:t>
      </w:r>
      <w:r>
        <w:rPr>
          <w:spacing w:val="-12"/>
          <w:sz w:val="21"/>
        </w:rPr>
        <w:t> </w:t>
      </w:r>
      <w:r>
        <w:rPr>
          <w:sz w:val="21"/>
        </w:rPr>
        <w:t>Court.</w:t>
      </w:r>
    </w:p>
    <w:p>
      <w:pPr>
        <w:pStyle w:val="BodyText"/>
        <w:spacing w:before="3"/>
        <w:rPr>
          <w:sz w:val="24"/>
        </w:rPr>
      </w:pPr>
    </w:p>
    <w:p>
      <w:pPr>
        <w:spacing w:line="276" w:lineRule="auto" w:before="0"/>
        <w:ind w:left="1940" w:right="2260" w:firstLine="0"/>
        <w:jc w:val="both"/>
        <w:rPr>
          <w:b/>
          <w:sz w:val="21"/>
        </w:rPr>
      </w:pPr>
      <w:r>
        <w:rPr>
          <w:sz w:val="21"/>
        </w:rPr>
        <w:t>Section 5: That a well-wishing subject has a right to construct any type of building which it wishes as the land possessed and owned by it. It is the duty of fair and just government to protect its subjects and provide assistance to them in availing their rights and making suitable bandobast for maintenance of law and order. Therefore </w:t>
      </w:r>
      <w:r>
        <w:rPr>
          <w:b/>
          <w:sz w:val="21"/>
        </w:rPr>
        <w:t>the plaintiff prays for issue of the decree for construction of temple on chabootra – Janmasthan situated at Ayodhya North 17 feet, East 41 feet,</w:t>
      </w:r>
      <w:r>
        <w:rPr>
          <w:b/>
          <w:spacing w:val="16"/>
          <w:sz w:val="21"/>
        </w:rPr>
        <w:t> </w:t>
      </w:r>
      <w:r>
        <w:rPr>
          <w:b/>
          <w:sz w:val="21"/>
        </w:rPr>
        <w:t>South</w:t>
      </w:r>
      <w:r>
        <w:rPr>
          <w:b/>
          <w:spacing w:val="16"/>
          <w:sz w:val="21"/>
        </w:rPr>
        <w:t> </w:t>
      </w:r>
      <w:r>
        <w:rPr>
          <w:b/>
          <w:sz w:val="21"/>
        </w:rPr>
        <w:t>17</w:t>
      </w:r>
      <w:r>
        <w:rPr>
          <w:b/>
          <w:spacing w:val="18"/>
          <w:sz w:val="21"/>
        </w:rPr>
        <w:t> </w:t>
      </w:r>
      <w:r>
        <w:rPr>
          <w:b/>
          <w:sz w:val="21"/>
        </w:rPr>
        <w:t>feet</w:t>
      </w:r>
      <w:r>
        <w:rPr>
          <w:b/>
          <w:spacing w:val="17"/>
          <w:sz w:val="21"/>
        </w:rPr>
        <w:t> </w:t>
      </w:r>
      <w:r>
        <w:rPr>
          <w:b/>
          <w:sz w:val="21"/>
        </w:rPr>
        <w:t>and</w:t>
      </w:r>
      <w:r>
        <w:rPr>
          <w:b/>
          <w:spacing w:val="16"/>
          <w:sz w:val="21"/>
        </w:rPr>
        <w:t> </w:t>
      </w:r>
      <w:r>
        <w:rPr>
          <w:b/>
          <w:sz w:val="21"/>
        </w:rPr>
        <w:t>West</w:t>
      </w:r>
      <w:r>
        <w:rPr>
          <w:b/>
          <w:spacing w:val="17"/>
          <w:sz w:val="21"/>
        </w:rPr>
        <w:t> </w:t>
      </w:r>
      <w:r>
        <w:rPr>
          <w:b/>
          <w:sz w:val="21"/>
        </w:rPr>
        <w:t>41</w:t>
      </w:r>
      <w:r>
        <w:rPr>
          <w:b/>
          <w:spacing w:val="18"/>
          <w:sz w:val="21"/>
        </w:rPr>
        <w:t> </w:t>
      </w:r>
      <w:r>
        <w:rPr>
          <w:b/>
          <w:sz w:val="21"/>
        </w:rPr>
        <w:t>feet</w:t>
      </w:r>
      <w:r>
        <w:rPr>
          <w:b/>
          <w:spacing w:val="15"/>
          <w:sz w:val="21"/>
        </w:rPr>
        <w:t> </w:t>
      </w:r>
      <w:r>
        <w:rPr>
          <w:b/>
          <w:sz w:val="21"/>
        </w:rPr>
        <w:t>and</w:t>
      </w:r>
      <w:r>
        <w:rPr>
          <w:b/>
          <w:spacing w:val="18"/>
          <w:sz w:val="21"/>
        </w:rPr>
        <w:t> </w:t>
      </w:r>
      <w:r>
        <w:rPr>
          <w:b/>
          <w:sz w:val="21"/>
        </w:rPr>
        <w:t>also</w:t>
      </w:r>
      <w:r>
        <w:rPr>
          <w:b/>
          <w:spacing w:val="18"/>
          <w:sz w:val="21"/>
        </w:rPr>
        <w:t> </w:t>
      </w:r>
      <w:r>
        <w:rPr>
          <w:b/>
          <w:sz w:val="21"/>
        </w:rPr>
        <w:t>to</w:t>
      </w:r>
      <w:r>
        <w:rPr>
          <w:b/>
          <w:spacing w:val="18"/>
          <w:sz w:val="21"/>
        </w:rPr>
        <w:t> </w:t>
      </w:r>
      <w:r>
        <w:rPr>
          <w:b/>
          <w:sz w:val="21"/>
        </w:rPr>
        <w:t>see</w:t>
      </w:r>
      <w:r>
        <w:rPr>
          <w:b/>
          <w:spacing w:val="18"/>
          <w:sz w:val="21"/>
        </w:rPr>
        <w:t> </w:t>
      </w:r>
      <w:r>
        <w:rPr>
          <w:b/>
          <w:sz w:val="21"/>
        </w:rPr>
        <w:t>that</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6" w:firstLine="0"/>
        <w:jc w:val="both"/>
        <w:rPr>
          <w:b/>
          <w:sz w:val="21"/>
        </w:rPr>
      </w:pPr>
      <w:r>
        <w:rPr>
          <w:b/>
          <w:sz w:val="21"/>
        </w:rPr>
        <w:t>the defendant does not prohibit and obstruct the construction of mandir and the cost of the suit should be ordered to be borne by the defendant.</w:t>
      </w:r>
    </w:p>
    <w:p>
      <w:pPr>
        <w:pStyle w:val="BodyText"/>
        <w:spacing w:before="3"/>
        <w:rPr>
          <w:b/>
          <w:sz w:val="24"/>
        </w:rPr>
      </w:pPr>
    </w:p>
    <w:p>
      <w:pPr>
        <w:spacing w:line="276" w:lineRule="auto" w:before="0"/>
        <w:ind w:left="1940" w:right="2263" w:firstLine="0"/>
        <w:jc w:val="both"/>
        <w:rPr>
          <w:sz w:val="21"/>
        </w:rPr>
      </w:pPr>
      <w:r>
        <w:rPr>
          <w:sz w:val="21"/>
        </w:rPr>
        <w:t>I Raghubar Das Mahant Janmasthan, Ayodhya Certify that the contents of the plaint and all five points are true and correct to the best of my knowledge and</w:t>
      </w:r>
      <w:r>
        <w:rPr>
          <w:spacing w:val="-13"/>
          <w:sz w:val="21"/>
        </w:rPr>
        <w:t> </w:t>
      </w:r>
      <w:r>
        <w:rPr>
          <w:sz w:val="21"/>
        </w:rPr>
        <w:t>belief.</w:t>
      </w:r>
    </w:p>
    <w:p>
      <w:pPr>
        <w:pStyle w:val="BodyText"/>
        <w:spacing w:before="2"/>
        <w:rPr>
          <w:sz w:val="24"/>
        </w:rPr>
      </w:pPr>
    </w:p>
    <w:p>
      <w:pPr>
        <w:spacing w:before="0"/>
        <w:ind w:left="4487" w:right="0" w:firstLine="0"/>
        <w:jc w:val="left"/>
        <w:rPr>
          <w:sz w:val="21"/>
        </w:rPr>
      </w:pPr>
      <w:r>
        <w:rPr>
          <w:sz w:val="21"/>
        </w:rPr>
        <w:t>Signature of Mahant Raghubardas</w:t>
      </w:r>
    </w:p>
    <w:p>
      <w:pPr>
        <w:spacing w:line="552" w:lineRule="auto" w:before="34"/>
        <w:ind w:left="5889" w:right="2172" w:firstLine="422"/>
        <w:jc w:val="both"/>
        <w:rPr>
          <w:sz w:val="21"/>
        </w:rPr>
      </w:pPr>
      <w:r>
        <w:rPr>
          <w:sz w:val="21"/>
        </w:rPr>
        <w:t>in Hindi script.‖ (Emphasis supplied)</w:t>
      </w:r>
    </w:p>
    <w:p>
      <w:pPr>
        <w:pStyle w:val="BodyText"/>
        <w:spacing w:line="480" w:lineRule="auto" w:before="91"/>
        <w:ind w:left="500" w:right="440"/>
        <w:jc w:val="both"/>
      </w:pPr>
      <w:r>
        <w:rPr/>
        <w:t>The plaintiff averred that the place of the Janmabhumi is ancient and sacred and is a place of worship for the Hindus. The plaintiff claimed to be the Mahant of this </w:t>
      </w:r>
      <w:r>
        <w:rPr>
          <w:w w:val="99"/>
        </w:rPr>
        <w:t>place</w:t>
      </w:r>
      <w:r>
        <w:rPr/>
        <w:t> </w:t>
      </w:r>
      <w:r>
        <w:rPr>
          <w:spacing w:val="-21"/>
        </w:rPr>
        <w:t> </w:t>
      </w:r>
      <w:r>
        <w:rPr>
          <w:w w:val="99"/>
        </w:rPr>
        <w:t>of</w:t>
      </w:r>
      <w:r>
        <w:rPr/>
        <w:t> </w:t>
      </w:r>
      <w:r>
        <w:rPr>
          <w:spacing w:val="-21"/>
        </w:rPr>
        <w:t> </w:t>
      </w:r>
      <w:r>
        <w:rPr>
          <w:w w:val="99"/>
        </w:rPr>
        <w:t>worship.</w:t>
      </w:r>
      <w:r>
        <w:rPr/>
        <w:t> </w:t>
      </w:r>
      <w:r>
        <w:rPr>
          <w:spacing w:val="-22"/>
        </w:rPr>
        <w:t> </w:t>
      </w:r>
      <w:r>
        <w:rPr>
          <w:w w:val="99"/>
        </w:rPr>
        <w:t>T</w:t>
      </w:r>
      <w:r>
        <w:rPr>
          <w:spacing w:val="-3"/>
          <w:w w:val="99"/>
        </w:rPr>
        <w:t>h</w:t>
      </w:r>
      <w:r>
        <w:rPr>
          <w:w w:val="99"/>
        </w:rPr>
        <w:t>e</w:t>
      </w:r>
      <w:r>
        <w:rPr/>
        <w:t> </w:t>
      </w:r>
      <w:r>
        <w:rPr>
          <w:spacing w:val="-22"/>
        </w:rPr>
        <w:t> </w:t>
      </w:r>
      <w:r>
        <w:rPr>
          <w:w w:val="33"/>
        </w:rPr>
        <w:t>―</w:t>
      </w:r>
      <w:r>
        <w:rPr>
          <w:w w:val="99"/>
        </w:rPr>
        <w:t>cha</w:t>
      </w:r>
      <w:r>
        <w:rPr>
          <w:spacing w:val="-1"/>
          <w:w w:val="99"/>
        </w:rPr>
        <w:t>b</w:t>
      </w:r>
      <w:r>
        <w:rPr>
          <w:w w:val="99"/>
        </w:rPr>
        <w:t>o</w:t>
      </w:r>
      <w:r>
        <w:rPr>
          <w:spacing w:val="-1"/>
          <w:w w:val="99"/>
        </w:rPr>
        <w:t>ot</w:t>
      </w:r>
      <w:r>
        <w:rPr>
          <w:spacing w:val="1"/>
          <w:w w:val="99"/>
        </w:rPr>
        <w:t>r</w:t>
      </w:r>
      <w:r>
        <w:rPr>
          <w:w w:val="99"/>
        </w:rPr>
        <w:t>a</w:t>
      </w:r>
      <w:r>
        <w:rPr/>
        <w:t> </w:t>
      </w:r>
      <w:r>
        <w:rPr>
          <w:spacing w:val="-24"/>
        </w:rPr>
        <w:t> </w:t>
      </w:r>
      <w:r>
        <w:rPr>
          <w:spacing w:val="-1"/>
          <w:w w:val="99"/>
        </w:rPr>
        <w:t>jan</w:t>
      </w:r>
      <w:r>
        <w:rPr>
          <w:w w:val="99"/>
        </w:rPr>
        <w:t>ams</w:t>
      </w:r>
      <w:r>
        <w:rPr>
          <w:spacing w:val="-3"/>
          <w:w w:val="99"/>
        </w:rPr>
        <w:t>t</w:t>
      </w:r>
      <w:r>
        <w:rPr>
          <w:spacing w:val="-1"/>
          <w:w w:val="99"/>
        </w:rPr>
        <w:t>h</w:t>
      </w:r>
      <w:r>
        <w:rPr>
          <w:w w:val="99"/>
        </w:rPr>
        <w:t>a</w:t>
      </w:r>
      <w:r>
        <w:rPr>
          <w:spacing w:val="-1"/>
          <w:w w:val="91"/>
        </w:rPr>
        <w:t>n</w:t>
      </w:r>
      <w:r>
        <w:rPr>
          <w:w w:val="91"/>
        </w:rPr>
        <w:t>‖</w:t>
      </w:r>
      <w:r>
        <w:rPr/>
        <w:t> </w:t>
      </w:r>
      <w:r>
        <w:rPr>
          <w:spacing w:val="-21"/>
        </w:rPr>
        <w:t> </w:t>
      </w:r>
      <w:r>
        <w:rPr>
          <w:spacing w:val="-1"/>
          <w:w w:val="99"/>
        </w:rPr>
        <w:t>wa</w:t>
      </w:r>
      <w:r>
        <w:rPr>
          <w:w w:val="99"/>
        </w:rPr>
        <w:t>s</w:t>
      </w:r>
      <w:r>
        <w:rPr/>
        <w:t> </w:t>
      </w:r>
      <w:r>
        <w:rPr>
          <w:spacing w:val="-22"/>
        </w:rPr>
        <w:t> </w:t>
      </w:r>
      <w:r>
        <w:rPr>
          <w:spacing w:val="-1"/>
          <w:w w:val="99"/>
        </w:rPr>
        <w:t>d</w:t>
      </w:r>
      <w:r>
        <w:rPr>
          <w:w w:val="99"/>
        </w:rPr>
        <w:t>escr</w:t>
      </w:r>
      <w:r>
        <w:rPr>
          <w:spacing w:val="-1"/>
          <w:w w:val="99"/>
        </w:rPr>
        <w:t>ibe</w:t>
      </w:r>
      <w:r>
        <w:rPr>
          <w:w w:val="99"/>
        </w:rPr>
        <w:t>d</w:t>
      </w:r>
      <w:r>
        <w:rPr/>
        <w:t> </w:t>
      </w:r>
      <w:r>
        <w:rPr>
          <w:spacing w:val="-26"/>
        </w:rPr>
        <w:t> </w:t>
      </w:r>
      <w:r>
        <w:rPr>
          <w:spacing w:val="-1"/>
          <w:w w:val="99"/>
        </w:rPr>
        <w:t>a</w:t>
      </w:r>
      <w:r>
        <w:rPr>
          <w:w w:val="99"/>
        </w:rPr>
        <w:t>s</w:t>
      </w:r>
      <w:r>
        <w:rPr/>
        <w:t> </w:t>
      </w:r>
      <w:r>
        <w:rPr>
          <w:spacing w:val="-22"/>
        </w:rPr>
        <w:t> </w:t>
      </w:r>
      <w:r>
        <w:rPr>
          <w:spacing w:val="-1"/>
          <w:w w:val="99"/>
        </w:rPr>
        <w:t>a</w:t>
      </w:r>
      <w:r>
        <w:rPr>
          <w:w w:val="99"/>
        </w:rPr>
        <w:t>dm</w:t>
      </w:r>
      <w:r>
        <w:rPr>
          <w:spacing w:val="-1"/>
          <w:w w:val="99"/>
        </w:rPr>
        <w:t>e</w:t>
      </w:r>
      <w:r>
        <w:rPr>
          <w:w w:val="99"/>
        </w:rPr>
        <w:t>asu</w:t>
      </w:r>
      <w:r>
        <w:rPr>
          <w:spacing w:val="1"/>
          <w:w w:val="99"/>
        </w:rPr>
        <w:t>r</w:t>
      </w:r>
      <w:r>
        <w:rPr>
          <w:spacing w:val="-1"/>
          <w:w w:val="99"/>
        </w:rPr>
        <w:t>ing</w:t>
      </w:r>
    </w:p>
    <w:p>
      <w:pPr>
        <w:pStyle w:val="BodyText"/>
        <w:spacing w:line="286" w:lineRule="exact"/>
        <w:ind w:left="500"/>
        <w:jc w:val="both"/>
      </w:pPr>
      <w:r>
        <w:rPr>
          <w:w w:val="33"/>
        </w:rPr>
        <w:t>―</w:t>
      </w:r>
      <w:r>
        <w:rPr>
          <w:spacing w:val="-1"/>
          <w:w w:val="99"/>
        </w:rPr>
        <w:t>Eas</w:t>
      </w:r>
      <w:r>
        <w:rPr>
          <w:w w:val="99"/>
        </w:rPr>
        <w:t>t</w:t>
      </w:r>
      <w:r>
        <w:rPr>
          <w:spacing w:val="-4"/>
          <w:w w:val="99"/>
        </w:rPr>
        <w:t>-</w:t>
      </w:r>
      <w:r>
        <w:rPr>
          <w:spacing w:val="8"/>
          <w:w w:val="99"/>
        </w:rPr>
        <w:t>W</w:t>
      </w:r>
      <w:r>
        <w:rPr>
          <w:spacing w:val="-2"/>
          <w:w w:val="99"/>
        </w:rPr>
        <w:t>e</w:t>
      </w:r>
      <w:r>
        <w:rPr>
          <w:w w:val="99"/>
        </w:rPr>
        <w:t>st</w:t>
      </w:r>
      <w:r>
        <w:rPr>
          <w:spacing w:val="-1"/>
        </w:rPr>
        <w:t> </w:t>
      </w:r>
      <w:r>
        <w:rPr>
          <w:w w:val="99"/>
        </w:rPr>
        <w:t>41</w:t>
      </w:r>
      <w:r>
        <w:rPr>
          <w:spacing w:val="-1"/>
        </w:rPr>
        <w:t> </w:t>
      </w:r>
      <w:r>
        <w:rPr>
          <w:w w:val="99"/>
        </w:rPr>
        <w:t>f</w:t>
      </w:r>
      <w:r>
        <w:rPr>
          <w:w w:val="99"/>
        </w:rPr>
        <w:t>ee</w:t>
      </w:r>
      <w:r>
        <w:rPr>
          <w:w w:val="99"/>
        </w:rPr>
        <w:t>t</w:t>
      </w:r>
      <w:r>
        <w:rPr>
          <w:spacing w:val="-1"/>
        </w:rPr>
        <w:t> </w:t>
      </w:r>
      <w:r>
        <w:rPr>
          <w:spacing w:val="-2"/>
          <w:w w:val="99"/>
        </w:rPr>
        <w:t>an</w:t>
      </w:r>
      <w:r>
        <w:rPr>
          <w:w w:val="99"/>
        </w:rPr>
        <w:t>d</w:t>
      </w:r>
      <w:r>
        <w:rPr>
          <w:spacing w:val="-1"/>
        </w:rPr>
        <w:t> </w:t>
      </w:r>
      <w:r>
        <w:rPr>
          <w:w w:val="99"/>
        </w:rPr>
        <w:t>No</w:t>
      </w:r>
      <w:r>
        <w:rPr>
          <w:w w:val="99"/>
        </w:rPr>
        <w:t>rt</w:t>
      </w:r>
      <w:r>
        <w:rPr>
          <w:spacing w:val="2"/>
          <w:w w:val="99"/>
        </w:rPr>
        <w:t>h</w:t>
      </w:r>
      <w:r>
        <w:rPr>
          <w:w w:val="99"/>
        </w:rPr>
        <w:t>-</w:t>
      </w:r>
      <w:r>
        <w:rPr>
          <w:spacing w:val="-1"/>
          <w:w w:val="99"/>
        </w:rPr>
        <w:t>So</w:t>
      </w:r>
      <w:r>
        <w:rPr>
          <w:w w:val="99"/>
        </w:rPr>
        <w:t>uth</w:t>
      </w:r>
      <w:r>
        <w:rPr/>
        <w:t> </w:t>
      </w:r>
      <w:r>
        <w:rPr>
          <w:spacing w:val="-1"/>
          <w:w w:val="99"/>
        </w:rPr>
        <w:t>1</w:t>
      </w:r>
      <w:r>
        <w:rPr>
          <w:w w:val="99"/>
        </w:rPr>
        <w:t>7</w:t>
      </w:r>
      <w:r>
        <w:rPr/>
        <w:t> </w:t>
      </w:r>
      <w:r>
        <w:rPr>
          <w:w w:val="99"/>
        </w:rPr>
        <w:t>fe</w:t>
      </w:r>
      <w:r>
        <w:rPr>
          <w:spacing w:val="-1"/>
          <w:w w:val="99"/>
        </w:rPr>
        <w:t>e</w:t>
      </w:r>
      <w:r>
        <w:rPr>
          <w:spacing w:val="-2"/>
          <w:w w:val="99"/>
        </w:rPr>
        <w:t>t</w:t>
      </w:r>
      <w:r>
        <w:rPr>
          <w:w w:val="88"/>
        </w:rPr>
        <w:t>.‖</w:t>
      </w:r>
    </w:p>
    <w:p>
      <w:pPr>
        <w:pStyle w:val="BodyText"/>
        <w:rPr>
          <w:sz w:val="28"/>
        </w:rPr>
      </w:pPr>
    </w:p>
    <w:p>
      <w:pPr>
        <w:pStyle w:val="BodyText"/>
        <w:rPr>
          <w:sz w:val="39"/>
        </w:rPr>
      </w:pPr>
    </w:p>
    <w:p>
      <w:pPr>
        <w:pStyle w:val="BodyText"/>
        <w:spacing w:line="480" w:lineRule="auto" w:before="1"/>
        <w:ind w:left="500" w:right="439"/>
        <w:jc w:val="both"/>
      </w:pPr>
      <w:r>
        <w:rPr/>
        <w:t>It was pleaded that there was a </w:t>
      </w:r>
      <w:r>
        <w:rPr>
          <w:i/>
        </w:rPr>
        <w:t>Charan Paduka </w:t>
      </w:r>
      <w:r>
        <w:rPr/>
        <w:t>fixed on it and that there was a small temple which was worshipped. The plaintiff claimed to be in possession of the Chabutra. The plaintiff averred that he and other faqirs were inconvenienced </w:t>
      </w:r>
      <w:r>
        <w:rPr>
          <w:w w:val="99"/>
        </w:rPr>
        <w:t>in</w:t>
      </w:r>
      <w:r>
        <w:rPr/>
        <w:t> </w:t>
      </w:r>
      <w:r>
        <w:rPr>
          <w:spacing w:val="-22"/>
        </w:rPr>
        <w:t> </w:t>
      </w:r>
      <w:r>
        <w:rPr>
          <w:w w:val="99"/>
        </w:rPr>
        <w:t>incle</w:t>
      </w:r>
      <w:r>
        <w:rPr>
          <w:spacing w:val="1"/>
          <w:w w:val="99"/>
        </w:rPr>
        <w:t>m</w:t>
      </w:r>
      <w:r>
        <w:rPr>
          <w:w w:val="99"/>
        </w:rPr>
        <w:t>en</w:t>
      </w:r>
      <w:r>
        <w:rPr>
          <w:w w:val="99"/>
        </w:rPr>
        <w:t>t</w:t>
      </w:r>
      <w:r>
        <w:rPr/>
        <w:t> </w:t>
      </w:r>
      <w:r>
        <w:rPr>
          <w:spacing w:val="-22"/>
        </w:rPr>
        <w:t> </w:t>
      </w:r>
      <w:r>
        <w:rPr>
          <w:w w:val="99"/>
        </w:rPr>
        <w:t>we</w:t>
      </w:r>
      <w:r>
        <w:rPr>
          <w:spacing w:val="1"/>
          <w:w w:val="99"/>
        </w:rPr>
        <w:t>a</w:t>
      </w:r>
      <w:r>
        <w:rPr>
          <w:w w:val="99"/>
        </w:rPr>
        <w:t>ther</w:t>
      </w:r>
      <w:r>
        <w:rPr/>
        <w:t> </w:t>
      </w:r>
      <w:r>
        <w:rPr>
          <w:spacing w:val="-21"/>
        </w:rPr>
        <w:t> </w:t>
      </w:r>
      <w:r>
        <w:rPr>
          <w:spacing w:val="-1"/>
          <w:w w:val="99"/>
        </w:rPr>
        <w:t>a</w:t>
      </w:r>
      <w:r>
        <w:rPr>
          <w:w w:val="99"/>
        </w:rPr>
        <w:t>nd</w:t>
      </w:r>
      <w:r>
        <w:rPr/>
        <w:t> </w:t>
      </w:r>
      <w:r>
        <w:rPr>
          <w:spacing w:val="-22"/>
        </w:rPr>
        <w:t> </w:t>
      </w:r>
      <w:r>
        <w:rPr>
          <w:w w:val="99"/>
        </w:rPr>
        <w:t>that</w:t>
      </w:r>
      <w:r>
        <w:rPr/>
        <w:t> </w:t>
      </w:r>
      <w:r>
        <w:rPr>
          <w:spacing w:val="-22"/>
        </w:rPr>
        <w:t> </w:t>
      </w:r>
      <w:r>
        <w:rPr>
          <w:w w:val="99"/>
        </w:rPr>
        <w:t>the</w:t>
      </w:r>
      <w:r>
        <w:rPr/>
        <w:t> </w:t>
      </w:r>
      <w:r>
        <w:rPr>
          <w:spacing w:val="-21"/>
        </w:rPr>
        <w:t> </w:t>
      </w:r>
      <w:r>
        <w:rPr>
          <w:w w:val="99"/>
        </w:rPr>
        <w:t>const</w:t>
      </w:r>
      <w:r>
        <w:rPr>
          <w:spacing w:val="3"/>
          <w:w w:val="99"/>
        </w:rPr>
        <w:t>r</w:t>
      </w:r>
      <w:r>
        <w:rPr>
          <w:spacing w:val="-1"/>
          <w:w w:val="99"/>
        </w:rPr>
        <w:t>ucti</w:t>
      </w:r>
      <w:r>
        <w:rPr>
          <w:w w:val="99"/>
        </w:rPr>
        <w:t>on</w:t>
      </w:r>
      <w:r>
        <w:rPr/>
        <w:t> </w:t>
      </w:r>
      <w:r>
        <w:rPr>
          <w:spacing w:val="-22"/>
        </w:rPr>
        <w:t> </w:t>
      </w:r>
      <w:r>
        <w:rPr>
          <w:spacing w:val="-1"/>
          <w:w w:val="99"/>
        </w:rPr>
        <w:t>o</w:t>
      </w:r>
      <w:r>
        <w:rPr>
          <w:w w:val="99"/>
        </w:rPr>
        <w:t>f</w:t>
      </w:r>
      <w:r>
        <w:rPr/>
        <w:t> </w:t>
      </w:r>
      <w:r>
        <w:rPr>
          <w:spacing w:val="-21"/>
        </w:rPr>
        <w:t> </w:t>
      </w:r>
      <w:r>
        <w:rPr>
          <w:w w:val="99"/>
        </w:rPr>
        <w:t>a</w:t>
      </w:r>
      <w:r>
        <w:rPr/>
        <w:t> </w:t>
      </w:r>
      <w:r>
        <w:rPr>
          <w:spacing w:val="-22"/>
        </w:rPr>
        <w:t> </w:t>
      </w:r>
      <w:r>
        <w:rPr>
          <w:w w:val="99"/>
        </w:rPr>
        <w:t>te</w:t>
      </w:r>
      <w:r>
        <w:rPr>
          <w:spacing w:val="1"/>
          <w:w w:val="99"/>
        </w:rPr>
        <w:t>m</w:t>
      </w:r>
      <w:r>
        <w:rPr>
          <w:spacing w:val="-1"/>
          <w:w w:val="99"/>
        </w:rPr>
        <w:t>pl</w:t>
      </w:r>
      <w:r>
        <w:rPr>
          <w:w w:val="99"/>
        </w:rPr>
        <w:t>e</w:t>
      </w:r>
      <w:r>
        <w:rPr/>
        <w:t> </w:t>
      </w:r>
      <w:r>
        <w:rPr>
          <w:spacing w:val="-21"/>
        </w:rPr>
        <w:t> </w:t>
      </w:r>
      <w:r>
        <w:rPr>
          <w:spacing w:val="3"/>
          <w:w w:val="33"/>
        </w:rPr>
        <w:t>―</w:t>
      </w:r>
      <w:r>
        <w:rPr>
          <w:spacing w:val="-1"/>
          <w:w w:val="99"/>
        </w:rPr>
        <w:t>o</w:t>
      </w:r>
      <w:r>
        <w:rPr>
          <w:w w:val="99"/>
        </w:rPr>
        <w:t>n</w:t>
      </w:r>
      <w:r>
        <w:rPr/>
        <w:t> </w:t>
      </w:r>
      <w:r>
        <w:rPr>
          <w:spacing w:val="-22"/>
        </w:rPr>
        <w:t> </w:t>
      </w:r>
      <w:r>
        <w:rPr>
          <w:w w:val="99"/>
        </w:rPr>
        <w:t>the</w:t>
      </w:r>
      <w:r>
        <w:rPr/>
        <w:t> </w:t>
      </w:r>
      <w:r>
        <w:rPr>
          <w:spacing w:val="-21"/>
        </w:rPr>
        <w:t> </w:t>
      </w:r>
      <w:r>
        <w:rPr>
          <w:spacing w:val="-1"/>
          <w:w w:val="99"/>
        </w:rPr>
        <w:t>Cha</w:t>
      </w:r>
      <w:r>
        <w:rPr>
          <w:w w:val="99"/>
        </w:rPr>
        <w:t>b</w:t>
      </w:r>
      <w:r>
        <w:rPr>
          <w:spacing w:val="-1"/>
          <w:w w:val="99"/>
        </w:rPr>
        <w:t>ut</w:t>
      </w:r>
      <w:r>
        <w:rPr>
          <w:spacing w:val="1"/>
          <w:w w:val="99"/>
        </w:rPr>
        <w:t>r</w:t>
      </w:r>
      <w:r>
        <w:rPr>
          <w:spacing w:val="-1"/>
          <w:w w:val="91"/>
        </w:rPr>
        <w:t>a‖ </w:t>
      </w:r>
      <w:r>
        <w:rPr/>
        <w:t>would not cause harm to anyone else. However, it was stated that the Deputy Commissioner of Faizabad had opposed the construction of the temple and despite a notice under the Code of Civil Procedure dated 18 August 1883, the </w:t>
      </w:r>
      <w:r>
        <w:rPr>
          <w:spacing w:val="-1"/>
          <w:w w:val="99"/>
        </w:rPr>
        <w:t>g</w:t>
      </w:r>
      <w:r>
        <w:rPr>
          <w:w w:val="99"/>
        </w:rPr>
        <w:t>o</w:t>
      </w:r>
      <w:r>
        <w:rPr>
          <w:spacing w:val="-3"/>
          <w:w w:val="99"/>
        </w:rPr>
        <w:t>v</w:t>
      </w:r>
      <w:r>
        <w:rPr>
          <w:spacing w:val="-1"/>
          <w:w w:val="99"/>
        </w:rPr>
        <w:t>e</w:t>
      </w:r>
      <w:r>
        <w:rPr>
          <w:w w:val="99"/>
        </w:rPr>
        <w:t>r</w:t>
      </w:r>
      <w:r>
        <w:rPr>
          <w:spacing w:val="-1"/>
          <w:w w:val="99"/>
        </w:rPr>
        <w:t>n</w:t>
      </w:r>
      <w:r>
        <w:rPr>
          <w:w w:val="99"/>
        </w:rPr>
        <w:t>m</w:t>
      </w:r>
      <w:r>
        <w:rPr>
          <w:spacing w:val="-1"/>
          <w:w w:val="99"/>
        </w:rPr>
        <w:t>e</w:t>
      </w:r>
      <w:r>
        <w:rPr>
          <w:w w:val="99"/>
        </w:rPr>
        <w:t>nt</w:t>
      </w:r>
      <w:r>
        <w:rPr>
          <w:spacing w:val="7"/>
        </w:rPr>
        <w:t> </w:t>
      </w:r>
      <w:r>
        <w:rPr>
          <w:spacing w:val="-1"/>
          <w:w w:val="99"/>
        </w:rPr>
        <w:t>h</w:t>
      </w:r>
      <w:r>
        <w:rPr>
          <w:w w:val="99"/>
        </w:rPr>
        <w:t>ad</w:t>
      </w:r>
      <w:r>
        <w:rPr>
          <w:spacing w:val="7"/>
        </w:rPr>
        <w:t> </w:t>
      </w:r>
      <w:r>
        <w:rPr>
          <w:spacing w:val="-1"/>
          <w:w w:val="99"/>
        </w:rPr>
        <w:t>n</w:t>
      </w:r>
      <w:r>
        <w:rPr>
          <w:w w:val="99"/>
        </w:rPr>
        <w:t>ot</w:t>
      </w:r>
      <w:r>
        <w:rPr>
          <w:spacing w:val="7"/>
        </w:rPr>
        <w:t> </w:t>
      </w:r>
      <w:r>
        <w:rPr>
          <w:w w:val="99"/>
        </w:rPr>
        <w:t>taken</w:t>
      </w:r>
      <w:r>
        <w:rPr>
          <w:spacing w:val="7"/>
        </w:rPr>
        <w:t> </w:t>
      </w:r>
      <w:r>
        <w:rPr>
          <w:spacing w:val="-1"/>
          <w:w w:val="99"/>
        </w:rPr>
        <w:t>a</w:t>
      </w:r>
      <w:r>
        <w:rPr>
          <w:w w:val="99"/>
        </w:rPr>
        <w:t>ny</w:t>
      </w:r>
      <w:r>
        <w:rPr>
          <w:spacing w:val="4"/>
        </w:rPr>
        <w:t> </w:t>
      </w:r>
      <w:r>
        <w:rPr>
          <w:spacing w:val="-1"/>
          <w:w w:val="99"/>
        </w:rPr>
        <w:t>acti</w:t>
      </w:r>
      <w:r>
        <w:rPr>
          <w:w w:val="99"/>
        </w:rPr>
        <w:t>o</w:t>
      </w:r>
      <w:r>
        <w:rPr>
          <w:spacing w:val="-1"/>
          <w:w w:val="99"/>
        </w:rPr>
        <w:t>n</w:t>
      </w:r>
      <w:r>
        <w:rPr>
          <w:w w:val="99"/>
        </w:rPr>
        <w:t>.</w:t>
      </w:r>
      <w:r>
        <w:rPr>
          <w:spacing w:val="7"/>
        </w:rPr>
        <w:t> </w:t>
      </w:r>
      <w:r>
        <w:rPr>
          <w:w w:val="99"/>
        </w:rPr>
        <w:t>T</w:t>
      </w:r>
      <w:r>
        <w:rPr>
          <w:spacing w:val="-1"/>
          <w:w w:val="99"/>
        </w:rPr>
        <w:t>h</w:t>
      </w:r>
      <w:r>
        <w:rPr>
          <w:w w:val="99"/>
        </w:rPr>
        <w:t>e</w:t>
      </w:r>
      <w:r>
        <w:rPr>
          <w:spacing w:val="9"/>
        </w:rPr>
        <w:t> </w:t>
      </w:r>
      <w:r>
        <w:rPr>
          <w:spacing w:val="-1"/>
          <w:w w:val="99"/>
        </w:rPr>
        <w:t>b</w:t>
      </w:r>
      <w:r>
        <w:rPr>
          <w:w w:val="99"/>
        </w:rPr>
        <w:t>asis</w:t>
      </w:r>
      <w:r>
        <w:rPr>
          <w:spacing w:val="6"/>
        </w:rPr>
        <w:t> </w:t>
      </w:r>
      <w:r>
        <w:rPr>
          <w:spacing w:val="-1"/>
          <w:w w:val="99"/>
        </w:rPr>
        <w:t>o</w:t>
      </w:r>
      <w:r>
        <w:rPr>
          <w:w w:val="99"/>
        </w:rPr>
        <w:t>f</w:t>
      </w:r>
      <w:r>
        <w:rPr>
          <w:spacing w:val="7"/>
        </w:rPr>
        <w:t> </w:t>
      </w:r>
      <w:r>
        <w:rPr>
          <w:w w:val="99"/>
        </w:rPr>
        <w:t>the</w:t>
      </w:r>
      <w:r>
        <w:rPr>
          <w:spacing w:val="7"/>
        </w:rPr>
        <w:t> </w:t>
      </w:r>
      <w:r>
        <w:rPr>
          <w:w w:val="99"/>
        </w:rPr>
        <w:t>claim</w:t>
      </w:r>
      <w:r>
        <w:rPr>
          <w:spacing w:val="7"/>
        </w:rPr>
        <w:t> </w:t>
      </w:r>
      <w:r>
        <w:rPr>
          <w:spacing w:val="-1"/>
          <w:w w:val="99"/>
        </w:rPr>
        <w:t>wa</w:t>
      </w:r>
      <w:r>
        <w:rPr>
          <w:w w:val="99"/>
        </w:rPr>
        <w:t>s</w:t>
      </w:r>
      <w:r>
        <w:rPr>
          <w:spacing w:val="7"/>
        </w:rPr>
        <w:t> </w:t>
      </w:r>
      <w:r>
        <w:rPr>
          <w:w w:val="99"/>
        </w:rPr>
        <w:t>that</w:t>
      </w:r>
      <w:r>
        <w:rPr>
          <w:spacing w:val="7"/>
        </w:rPr>
        <w:t> </w:t>
      </w:r>
      <w:r>
        <w:rPr>
          <w:w w:val="99"/>
        </w:rPr>
        <w:t>a</w:t>
      </w:r>
      <w:r>
        <w:rPr>
          <w:spacing w:val="7"/>
        </w:rPr>
        <w:t> </w:t>
      </w:r>
      <w:r>
        <w:rPr>
          <w:w w:val="33"/>
        </w:rPr>
        <w:t>―</w:t>
      </w:r>
      <w:r>
        <w:rPr>
          <w:w w:val="99"/>
        </w:rPr>
        <w:t>sub</w:t>
      </w:r>
      <w:r>
        <w:rPr>
          <w:spacing w:val="-1"/>
          <w:w w:val="95"/>
        </w:rPr>
        <w:t>ject‖ </w:t>
      </w:r>
      <w:r>
        <w:rPr/>
        <w:t>has a right to construct a building on land which is possessed and owned by</w:t>
      </w:r>
      <w:r>
        <w:rPr>
          <w:spacing w:val="-22"/>
        </w:rPr>
        <w:t> </w:t>
      </w:r>
      <w:r>
        <w:rPr/>
        <w:t>him.</w:t>
      </w:r>
    </w:p>
    <w:p>
      <w:pPr>
        <w:spacing w:after="0" w:line="480" w:lineRule="auto"/>
        <w:jc w:val="both"/>
        <w:sectPr>
          <w:pgSz w:w="11910" w:h="16840"/>
          <w:pgMar w:header="721" w:footer="1014" w:top="1300" w:bottom="1200" w:left="940" w:right="1000"/>
        </w:sectPr>
      </w:pPr>
    </w:p>
    <w:p>
      <w:pPr>
        <w:pStyle w:val="Heading4"/>
        <w:spacing w:before="126"/>
        <w:jc w:val="left"/>
        <w:rPr>
          <w:i/>
        </w:rPr>
      </w:pPr>
      <w:r>
        <w:rPr>
          <w:i/>
        </w:rPr>
        <w:t>The defence in 1885</w:t>
      </w:r>
    </w:p>
    <w:p>
      <w:pPr>
        <w:pStyle w:val="BodyText"/>
        <w:rPr>
          <w:i/>
          <w:sz w:val="28"/>
        </w:rPr>
      </w:pPr>
    </w:p>
    <w:p>
      <w:pPr>
        <w:pStyle w:val="BodyText"/>
        <w:spacing w:before="9"/>
        <w:rPr>
          <w:i/>
          <w:sz w:val="36"/>
        </w:rPr>
      </w:pPr>
    </w:p>
    <w:p>
      <w:pPr>
        <w:pStyle w:val="ListParagraph"/>
        <w:numPr>
          <w:ilvl w:val="0"/>
          <w:numId w:val="111"/>
        </w:numPr>
        <w:tabs>
          <w:tab w:pos="1221" w:val="left" w:leader="none"/>
        </w:tabs>
        <w:spacing w:line="480" w:lineRule="auto" w:before="0" w:after="0"/>
        <w:ind w:left="500" w:right="443" w:firstLine="0"/>
        <w:jc w:val="both"/>
        <w:rPr>
          <w:sz w:val="25"/>
        </w:rPr>
      </w:pPr>
      <w:r>
        <w:rPr>
          <w:sz w:val="25"/>
        </w:rPr>
        <w:t>Though the Muslims were originally not impleaded as parties to the suit, Mohd Asghar, in his capacity as a Mutawalli applied to be impleaded and was made a party to the suit. In his written statement, Mohd Asghar set up a plea that the mosque was constructed by Babur. He stated that ownership could not be claimed by the plaintiff who had not produced any material originating in the emperor or the ruler of the time in support of the plea. Essentially, the defence was</w:t>
      </w:r>
      <w:r>
        <w:rPr>
          <w:spacing w:val="-2"/>
          <w:sz w:val="25"/>
        </w:rPr>
        <w:t> </w:t>
      </w:r>
      <w:r>
        <w:rPr>
          <w:sz w:val="25"/>
        </w:rPr>
        <w:t>that:</w:t>
      </w:r>
    </w:p>
    <w:p>
      <w:pPr>
        <w:pStyle w:val="ListParagraph"/>
        <w:numPr>
          <w:ilvl w:val="0"/>
          <w:numId w:val="132"/>
        </w:numPr>
        <w:tabs>
          <w:tab w:pos="1221" w:val="left" w:leader="none"/>
        </w:tabs>
        <w:spacing w:line="240" w:lineRule="auto" w:before="162" w:after="0"/>
        <w:ind w:left="1220" w:right="0" w:hanging="721"/>
        <w:jc w:val="both"/>
        <w:rPr>
          <w:sz w:val="25"/>
        </w:rPr>
      </w:pPr>
      <w:r>
        <w:rPr>
          <w:sz w:val="25"/>
        </w:rPr>
        <w:t>The plaintiff had no title to the</w:t>
      </w:r>
      <w:r>
        <w:rPr>
          <w:spacing w:val="-5"/>
          <w:sz w:val="25"/>
        </w:rPr>
        <w:t> </w:t>
      </w:r>
      <w:r>
        <w:rPr>
          <w:sz w:val="25"/>
        </w:rPr>
        <w:t>Chabutra;</w:t>
      </w:r>
    </w:p>
    <w:p>
      <w:pPr>
        <w:pStyle w:val="BodyText"/>
        <w:spacing w:before="10"/>
        <w:rPr>
          <w:sz w:val="24"/>
        </w:rPr>
      </w:pPr>
    </w:p>
    <w:p>
      <w:pPr>
        <w:pStyle w:val="ListParagraph"/>
        <w:numPr>
          <w:ilvl w:val="0"/>
          <w:numId w:val="132"/>
        </w:numPr>
        <w:tabs>
          <w:tab w:pos="1221" w:val="left" w:leader="none"/>
        </w:tabs>
        <w:spacing w:line="240" w:lineRule="auto" w:before="0" w:after="0"/>
        <w:ind w:left="1220" w:right="0" w:hanging="721"/>
        <w:jc w:val="both"/>
        <w:rPr>
          <w:sz w:val="25"/>
        </w:rPr>
      </w:pPr>
      <w:r>
        <w:rPr>
          <w:sz w:val="25"/>
        </w:rPr>
        <w:t>Ingress and egress for the purposes of worship does not prove</w:t>
      </w:r>
      <w:r>
        <w:rPr>
          <w:spacing w:val="-16"/>
          <w:sz w:val="25"/>
        </w:rPr>
        <w:t> </w:t>
      </w:r>
      <w:r>
        <w:rPr>
          <w:sz w:val="25"/>
        </w:rPr>
        <w:t>ownership;</w:t>
      </w:r>
    </w:p>
    <w:p>
      <w:pPr>
        <w:pStyle w:val="BodyText"/>
        <w:spacing w:before="1"/>
      </w:pPr>
    </w:p>
    <w:p>
      <w:pPr>
        <w:pStyle w:val="ListParagraph"/>
        <w:numPr>
          <w:ilvl w:val="0"/>
          <w:numId w:val="132"/>
        </w:numPr>
        <w:tabs>
          <w:tab w:pos="1221" w:val="left" w:leader="none"/>
        </w:tabs>
        <w:spacing w:line="240" w:lineRule="auto" w:before="0" w:after="0"/>
        <w:ind w:left="1220" w:right="0" w:hanging="721"/>
        <w:jc w:val="both"/>
        <w:rPr>
          <w:sz w:val="25"/>
        </w:rPr>
      </w:pPr>
      <w:r>
        <w:rPr>
          <w:sz w:val="25"/>
        </w:rPr>
        <w:t>The Chabutra came up in 1857;</w:t>
      </w:r>
      <w:r>
        <w:rPr>
          <w:spacing w:val="-5"/>
          <w:sz w:val="25"/>
        </w:rPr>
        <w:t> </w:t>
      </w:r>
      <w:r>
        <w:rPr>
          <w:sz w:val="25"/>
        </w:rPr>
        <w:t>and</w:t>
      </w:r>
    </w:p>
    <w:p>
      <w:pPr>
        <w:pStyle w:val="BodyText"/>
        <w:spacing w:before="10"/>
        <w:rPr>
          <w:sz w:val="24"/>
        </w:rPr>
      </w:pPr>
    </w:p>
    <w:p>
      <w:pPr>
        <w:pStyle w:val="ListParagraph"/>
        <w:numPr>
          <w:ilvl w:val="0"/>
          <w:numId w:val="132"/>
        </w:numPr>
        <w:tabs>
          <w:tab w:pos="1221" w:val="left" w:leader="none"/>
        </w:tabs>
        <w:spacing w:line="480" w:lineRule="auto" w:before="0" w:after="0"/>
        <w:ind w:left="1220" w:right="437" w:hanging="720"/>
        <w:jc w:val="both"/>
        <w:rPr>
          <w:sz w:val="25"/>
        </w:rPr>
      </w:pPr>
      <w:r>
        <w:rPr>
          <w:sz w:val="25"/>
        </w:rPr>
        <w:t>The construction of the Chabutra did not confer any right of ownership and new construction on it had been restrained by the government as a result of which a hut which was set up by a faqir had been</w:t>
      </w:r>
      <w:r>
        <w:rPr>
          <w:spacing w:val="-16"/>
          <w:sz w:val="25"/>
        </w:rPr>
        <w:t> </w:t>
      </w:r>
      <w:r>
        <w:rPr>
          <w:sz w:val="25"/>
        </w:rPr>
        <w:t>demolished.</w:t>
      </w:r>
    </w:p>
    <w:p>
      <w:pPr>
        <w:pStyle w:val="BodyText"/>
        <w:rPr>
          <w:sz w:val="28"/>
        </w:rPr>
      </w:pPr>
    </w:p>
    <w:p>
      <w:pPr>
        <w:pStyle w:val="BodyText"/>
        <w:spacing w:before="2"/>
        <w:rPr>
          <w:sz w:val="22"/>
        </w:rPr>
      </w:pPr>
    </w:p>
    <w:p>
      <w:pPr>
        <w:pStyle w:val="BodyText"/>
        <w:spacing w:line="480" w:lineRule="auto"/>
        <w:ind w:left="500" w:right="512"/>
      </w:pPr>
      <w:r>
        <w:rPr/>
        <w:t>It was argued that the spot was disputed between the Hindus and Muslims resulting in a communal incident.</w:t>
      </w:r>
    </w:p>
    <w:p>
      <w:pPr>
        <w:pStyle w:val="BodyText"/>
        <w:spacing w:before="1"/>
      </w:pPr>
    </w:p>
    <w:p>
      <w:pPr>
        <w:pStyle w:val="Heading4"/>
        <w:jc w:val="left"/>
        <w:rPr>
          <w:i/>
        </w:rPr>
      </w:pPr>
      <w:r>
        <w:rPr>
          <w:i/>
        </w:rPr>
        <w:t>Findings</w:t>
      </w:r>
    </w:p>
    <w:p>
      <w:pPr>
        <w:pStyle w:val="BodyText"/>
        <w:rPr>
          <w:i/>
          <w:sz w:val="28"/>
        </w:rPr>
      </w:pPr>
    </w:p>
    <w:p>
      <w:pPr>
        <w:pStyle w:val="BodyText"/>
        <w:spacing w:before="9"/>
        <w:rPr>
          <w:i/>
          <w:sz w:val="22"/>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In his judgment dated 24 December 1885, the Sub-Judge at Faizabad accepted the possession and ownership of the Hindus of the area surrounding the</w:t>
      </w:r>
      <w:r>
        <w:rPr>
          <w:spacing w:val="39"/>
          <w:sz w:val="25"/>
        </w:rPr>
        <w:t> </w:t>
      </w:r>
      <w:r>
        <w:rPr>
          <w:sz w:val="25"/>
        </w:rPr>
        <w:t>wall</w:t>
      </w:r>
      <w:r>
        <w:rPr>
          <w:spacing w:val="38"/>
          <w:sz w:val="25"/>
        </w:rPr>
        <w:t> </w:t>
      </w:r>
      <w:r>
        <w:rPr>
          <w:sz w:val="25"/>
        </w:rPr>
        <w:t>of</w:t>
      </w:r>
      <w:r>
        <w:rPr>
          <w:spacing w:val="39"/>
          <w:sz w:val="25"/>
        </w:rPr>
        <w:t> </w:t>
      </w:r>
      <w:r>
        <w:rPr>
          <w:sz w:val="25"/>
        </w:rPr>
        <w:t>the</w:t>
      </w:r>
      <w:r>
        <w:rPr>
          <w:spacing w:val="40"/>
          <w:sz w:val="25"/>
        </w:rPr>
        <w:t> </w:t>
      </w:r>
      <w:r>
        <w:rPr>
          <w:sz w:val="25"/>
        </w:rPr>
        <w:t>Masjid.</w:t>
      </w:r>
      <w:r>
        <w:rPr>
          <w:spacing w:val="39"/>
          <w:sz w:val="25"/>
        </w:rPr>
        <w:t> </w:t>
      </w:r>
      <w:r>
        <w:rPr>
          <w:sz w:val="25"/>
        </w:rPr>
        <w:t>However,</w:t>
      </w:r>
      <w:r>
        <w:rPr>
          <w:spacing w:val="39"/>
          <w:sz w:val="25"/>
        </w:rPr>
        <w:t> </w:t>
      </w:r>
      <w:r>
        <w:rPr>
          <w:sz w:val="25"/>
        </w:rPr>
        <w:t>the</w:t>
      </w:r>
      <w:r>
        <w:rPr>
          <w:spacing w:val="40"/>
          <w:sz w:val="25"/>
        </w:rPr>
        <w:t> </w:t>
      </w:r>
      <w:r>
        <w:rPr>
          <w:sz w:val="25"/>
        </w:rPr>
        <w:t>Sub-Judge</w:t>
      </w:r>
      <w:r>
        <w:rPr>
          <w:spacing w:val="39"/>
          <w:sz w:val="25"/>
        </w:rPr>
        <w:t> </w:t>
      </w:r>
      <w:r>
        <w:rPr>
          <w:sz w:val="25"/>
        </w:rPr>
        <w:t>held</w:t>
      </w:r>
      <w:r>
        <w:rPr>
          <w:spacing w:val="39"/>
          <w:sz w:val="25"/>
        </w:rPr>
        <w:t> </w:t>
      </w:r>
      <w:r>
        <w:rPr>
          <w:sz w:val="25"/>
        </w:rPr>
        <w:t>that</w:t>
      </w:r>
      <w:r>
        <w:rPr>
          <w:spacing w:val="36"/>
          <w:sz w:val="25"/>
        </w:rPr>
        <w:t> </w:t>
      </w:r>
      <w:r>
        <w:rPr>
          <w:sz w:val="25"/>
        </w:rPr>
        <w:t>if</w:t>
      </w:r>
      <w:r>
        <w:rPr>
          <w:spacing w:val="40"/>
          <w:sz w:val="25"/>
        </w:rPr>
        <w:t> </w:t>
      </w:r>
      <w:r>
        <w:rPr>
          <w:sz w:val="25"/>
        </w:rPr>
        <w:t>permission</w:t>
      </w:r>
      <w:r>
        <w:rPr>
          <w:spacing w:val="39"/>
          <w:sz w:val="25"/>
        </w:rPr>
        <w:t> </w:t>
      </w:r>
      <w:r>
        <w:rPr>
          <w:sz w:val="25"/>
        </w:rPr>
        <w:t>for</w:t>
      </w:r>
      <w:r>
        <w:rPr>
          <w:spacing w:val="40"/>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construction of the temple were granted, a serious situation endangering law and order would arise between the two communities. The Sub-Judge held:</w:t>
      </w:r>
    </w:p>
    <w:p>
      <w:pPr>
        <w:spacing w:line="276" w:lineRule="auto" w:before="159"/>
        <w:ind w:left="1940" w:right="2264" w:firstLine="57"/>
        <w:jc w:val="both"/>
        <w:rPr>
          <w:sz w:val="21"/>
        </w:rPr>
      </w:pPr>
      <w:r>
        <w:rPr>
          <w:spacing w:val="-1"/>
          <w:w w:val="33"/>
          <w:sz w:val="21"/>
        </w:rPr>
        <w:t>―</w:t>
      </w:r>
      <w:r>
        <w:rPr>
          <w:spacing w:val="-2"/>
          <w:w w:val="100"/>
          <w:sz w:val="21"/>
        </w:rPr>
        <w:t>O</w:t>
      </w:r>
      <w:r>
        <w:rPr>
          <w:spacing w:val="-3"/>
          <w:w w:val="100"/>
          <w:sz w:val="21"/>
        </w:rPr>
        <w:t>v</w:t>
      </w:r>
      <w:r>
        <w:rPr>
          <w:spacing w:val="-1"/>
          <w:w w:val="100"/>
          <w:sz w:val="21"/>
        </w:rPr>
        <w:t>e</w:t>
      </w:r>
      <w:r>
        <w:rPr>
          <w:w w:val="100"/>
          <w:sz w:val="21"/>
        </w:rPr>
        <w:t>r</w:t>
      </w:r>
      <w:r>
        <w:rPr>
          <w:sz w:val="21"/>
        </w:rPr>
        <w:t>  </w:t>
      </w:r>
      <w:r>
        <w:rPr>
          <w:spacing w:val="-15"/>
          <w:sz w:val="21"/>
        </w:rPr>
        <w:t> </w:t>
      </w:r>
      <w:r>
        <w:rPr>
          <w:spacing w:val="-1"/>
          <w:w w:val="100"/>
          <w:sz w:val="21"/>
        </w:rPr>
        <w:t>an</w:t>
      </w:r>
      <w:r>
        <w:rPr>
          <w:w w:val="100"/>
          <w:sz w:val="21"/>
        </w:rPr>
        <w:t>d</w:t>
      </w:r>
      <w:r>
        <w:rPr>
          <w:sz w:val="21"/>
        </w:rPr>
        <w:t>  </w:t>
      </w:r>
      <w:r>
        <w:rPr>
          <w:spacing w:val="-14"/>
          <w:sz w:val="21"/>
        </w:rPr>
        <w:t> </w:t>
      </w:r>
      <w:r>
        <w:rPr>
          <w:spacing w:val="-1"/>
          <w:w w:val="100"/>
          <w:sz w:val="21"/>
        </w:rPr>
        <w:t>abo</w:t>
      </w:r>
      <w:r>
        <w:rPr>
          <w:spacing w:val="-2"/>
          <w:w w:val="100"/>
          <w:sz w:val="21"/>
        </w:rPr>
        <w:t>v</w:t>
      </w:r>
      <w:r>
        <w:rPr>
          <w:w w:val="100"/>
          <w:sz w:val="21"/>
        </w:rPr>
        <w:t>e</w:t>
      </w:r>
      <w:r>
        <w:rPr>
          <w:sz w:val="21"/>
        </w:rPr>
        <w:t>  </w:t>
      </w:r>
      <w:r>
        <w:rPr>
          <w:spacing w:val="-15"/>
          <w:sz w:val="21"/>
        </w:rPr>
        <w:t> </w:t>
      </w:r>
      <w:r>
        <w:rPr>
          <w:spacing w:val="-2"/>
          <w:w w:val="100"/>
          <w:sz w:val="21"/>
        </w:rPr>
        <w:t>t</w:t>
      </w:r>
      <w:r>
        <w:rPr>
          <w:spacing w:val="-1"/>
          <w:w w:val="100"/>
          <w:sz w:val="21"/>
        </w:rPr>
        <w:t>h</w:t>
      </w:r>
      <w:r>
        <w:rPr>
          <w:spacing w:val="1"/>
          <w:w w:val="100"/>
          <w:sz w:val="21"/>
        </w:rPr>
        <w:t>i</w:t>
      </w:r>
      <w:r>
        <w:rPr>
          <w:w w:val="100"/>
          <w:sz w:val="21"/>
        </w:rPr>
        <w:t>s,</w:t>
      </w:r>
      <w:r>
        <w:rPr>
          <w:sz w:val="21"/>
        </w:rPr>
        <w:t>  </w:t>
      </w:r>
      <w:r>
        <w:rPr>
          <w:spacing w:val="-16"/>
          <w:sz w:val="21"/>
        </w:rPr>
        <w:t> </w:t>
      </w:r>
      <w:r>
        <w:rPr>
          <w:spacing w:val="-1"/>
          <w:w w:val="100"/>
          <w:sz w:val="21"/>
        </w:rPr>
        <w:t>o</w:t>
      </w:r>
      <w:r>
        <w:rPr>
          <w:w w:val="100"/>
          <w:sz w:val="21"/>
        </w:rPr>
        <w:t>n</w:t>
      </w:r>
      <w:r>
        <w:rPr>
          <w:sz w:val="21"/>
        </w:rPr>
        <w:t>  </w:t>
      </w:r>
      <w:r>
        <w:rPr>
          <w:spacing w:val="-15"/>
          <w:sz w:val="21"/>
        </w:rPr>
        <w:t> </w:t>
      </w:r>
      <w:r>
        <w:rPr>
          <w:spacing w:val="-2"/>
          <w:w w:val="100"/>
          <w:sz w:val="21"/>
        </w:rPr>
        <w:t>t</w:t>
      </w:r>
      <w:r>
        <w:rPr>
          <w:spacing w:val="-1"/>
          <w:w w:val="100"/>
          <w:sz w:val="21"/>
        </w:rPr>
        <w:t>h</w:t>
      </w:r>
      <w:r>
        <w:rPr>
          <w:w w:val="100"/>
          <w:sz w:val="21"/>
        </w:rPr>
        <w:t>e</w:t>
      </w:r>
      <w:r>
        <w:rPr>
          <w:sz w:val="21"/>
        </w:rPr>
        <w:t>  </w:t>
      </w:r>
      <w:r>
        <w:rPr>
          <w:spacing w:val="-15"/>
          <w:sz w:val="21"/>
        </w:rPr>
        <w:t> </w:t>
      </w:r>
      <w:r>
        <w:rPr>
          <w:spacing w:val="-2"/>
          <w:w w:val="100"/>
          <w:sz w:val="21"/>
        </w:rPr>
        <w:t>t</w:t>
      </w:r>
      <w:r>
        <w:rPr>
          <w:spacing w:val="-1"/>
          <w:w w:val="100"/>
          <w:sz w:val="21"/>
        </w:rPr>
        <w:t>emp</w:t>
      </w:r>
      <w:r>
        <w:rPr>
          <w:spacing w:val="-2"/>
          <w:w w:val="100"/>
          <w:sz w:val="21"/>
        </w:rPr>
        <w:t>l</w:t>
      </w:r>
      <w:r>
        <w:rPr>
          <w:w w:val="100"/>
          <w:sz w:val="21"/>
        </w:rPr>
        <w:t>e</w:t>
      </w:r>
      <w:r>
        <w:rPr>
          <w:sz w:val="21"/>
        </w:rPr>
        <w:t>  </w:t>
      </w:r>
      <w:r>
        <w:rPr>
          <w:spacing w:val="-15"/>
          <w:sz w:val="21"/>
        </w:rPr>
        <w:t> </w:t>
      </w:r>
      <w:r>
        <w:rPr>
          <w:w w:val="100"/>
          <w:sz w:val="21"/>
        </w:rPr>
        <w:t>si</w:t>
      </w:r>
      <w:r>
        <w:rPr>
          <w:spacing w:val="-2"/>
          <w:w w:val="100"/>
          <w:sz w:val="21"/>
        </w:rPr>
        <w:t>t</w:t>
      </w:r>
      <w:r>
        <w:rPr>
          <w:spacing w:val="-3"/>
          <w:w w:val="100"/>
          <w:sz w:val="21"/>
        </w:rPr>
        <w:t>u</w:t>
      </w:r>
      <w:r>
        <w:rPr>
          <w:spacing w:val="-1"/>
          <w:w w:val="100"/>
          <w:sz w:val="21"/>
        </w:rPr>
        <w:t>at</w:t>
      </w:r>
      <w:r>
        <w:rPr>
          <w:spacing w:val="-3"/>
          <w:w w:val="100"/>
          <w:sz w:val="21"/>
        </w:rPr>
        <w:t>e</w:t>
      </w:r>
      <w:r>
        <w:rPr>
          <w:w w:val="100"/>
          <w:sz w:val="21"/>
        </w:rPr>
        <w:t>d</w:t>
      </w:r>
      <w:r>
        <w:rPr>
          <w:sz w:val="21"/>
        </w:rPr>
        <w:t>  </w:t>
      </w:r>
      <w:r>
        <w:rPr>
          <w:spacing w:val="-15"/>
          <w:sz w:val="21"/>
        </w:rPr>
        <w:t> </w:t>
      </w:r>
      <w:r>
        <w:rPr>
          <w:spacing w:val="-1"/>
          <w:w w:val="100"/>
          <w:sz w:val="21"/>
        </w:rPr>
        <w:t>o</w:t>
      </w:r>
      <w:r>
        <w:rPr>
          <w:w w:val="100"/>
          <w:sz w:val="21"/>
        </w:rPr>
        <w:t>n</w:t>
      </w:r>
      <w:r>
        <w:rPr>
          <w:sz w:val="21"/>
        </w:rPr>
        <w:t>  </w:t>
      </w:r>
      <w:r>
        <w:rPr>
          <w:spacing w:val="-15"/>
          <w:sz w:val="21"/>
        </w:rPr>
        <w:t> </w:t>
      </w:r>
      <w:r>
        <w:rPr>
          <w:spacing w:val="-2"/>
          <w:w w:val="100"/>
          <w:sz w:val="21"/>
        </w:rPr>
        <w:t>t</w:t>
      </w:r>
      <w:r>
        <w:rPr>
          <w:spacing w:val="-1"/>
          <w:w w:val="100"/>
          <w:sz w:val="21"/>
        </w:rPr>
        <w:t>he </w:t>
      </w:r>
      <w:r>
        <w:rPr>
          <w:sz w:val="21"/>
        </w:rPr>
        <w:t>chabootra an idol of Thakurji is kept which is being worshipped. The chabootra is in the possession of the plaintiff and whatever is offered on it is taken by the</w:t>
      </w:r>
      <w:r>
        <w:rPr>
          <w:spacing w:val="-15"/>
          <w:sz w:val="21"/>
        </w:rPr>
        <w:t> </w:t>
      </w:r>
      <w:r>
        <w:rPr>
          <w:sz w:val="21"/>
        </w:rPr>
        <w:t>plaintiff.</w:t>
      </w:r>
    </w:p>
    <w:p>
      <w:pPr>
        <w:spacing w:line="276" w:lineRule="auto" w:before="1"/>
        <w:ind w:left="1940" w:right="2265" w:firstLine="0"/>
        <w:jc w:val="both"/>
        <w:rPr>
          <w:sz w:val="21"/>
        </w:rPr>
      </w:pPr>
      <w:r>
        <w:rPr>
          <w:sz w:val="21"/>
        </w:rPr>
        <w:t>The possession of plaintiff is proved by the witnesses of the plaintiff and railing wall separating the boundary of Hindus and Muslims exists from a long</w:t>
      </w:r>
      <w:r>
        <w:rPr>
          <w:spacing w:val="-9"/>
          <w:sz w:val="21"/>
        </w:rPr>
        <w:t> </w:t>
      </w:r>
      <w:r>
        <w:rPr>
          <w:sz w:val="21"/>
        </w:rPr>
        <w:t>period...</w:t>
      </w:r>
    </w:p>
    <w:p>
      <w:pPr>
        <w:spacing w:line="276" w:lineRule="auto" w:before="0"/>
        <w:ind w:left="1940" w:right="2263" w:firstLine="0"/>
        <w:jc w:val="both"/>
        <w:rPr>
          <w:sz w:val="21"/>
        </w:rPr>
      </w:pPr>
      <w:r>
        <w:rPr>
          <w:sz w:val="21"/>
        </w:rPr>
        <w:t>In the year 1855, after the quarrel between Hindus and Muslims a wall in the form of the railing was erected to avoid controversy. So that Muslims may worship inside it and Hindus may worship outside it. So the outside land with chabootra which is in the possession of the plaintiff belongs to Hindus.</w:t>
      </w:r>
    </w:p>
    <w:p>
      <w:pPr>
        <w:spacing w:line="276" w:lineRule="auto" w:before="0"/>
        <w:ind w:left="1940" w:right="2261" w:firstLine="0"/>
        <w:jc w:val="both"/>
        <w:rPr>
          <w:sz w:val="21"/>
        </w:rPr>
      </w:pPr>
      <w:r>
        <w:rPr>
          <w:sz w:val="21"/>
        </w:rPr>
        <w:t>Though the place where Hindus worship they hold its possession since old because of which there cannot be objection to their ownership and the area surrounding around the wall of the Masjid and on the outer door word Allah is engraved.‖</w:t>
      </w:r>
    </w:p>
    <w:p>
      <w:pPr>
        <w:pStyle w:val="BodyText"/>
        <w:rPr>
          <w:sz w:val="24"/>
        </w:rPr>
      </w:pPr>
    </w:p>
    <w:p>
      <w:pPr>
        <w:pStyle w:val="BodyText"/>
        <w:spacing w:before="11"/>
        <w:rPr>
          <w:sz w:val="28"/>
        </w:rPr>
      </w:pPr>
    </w:p>
    <w:p>
      <w:pPr>
        <w:pStyle w:val="BodyText"/>
        <w:spacing w:line="480" w:lineRule="auto"/>
        <w:ind w:left="500" w:right="438"/>
        <w:jc w:val="both"/>
      </w:pPr>
      <w:r>
        <w:rPr/>
        <w:t>Despite the above findings on possession by and ownership of the Hindus, the suit was dismissed because a serious breach of law and order was apprehended. In appeal, the judgment of the trial court dismissing the suit was affirmed by the District Judge, Faizabad on 18/26 March 1886. The District Judge held that while it was unfortunate that a mosque had been constructed on land held sacred by the Hindus, an event which had occurred over three centuries earlier could not be remedied:</w:t>
      </w:r>
    </w:p>
    <w:p>
      <w:pPr>
        <w:spacing w:line="276" w:lineRule="auto" w:before="0"/>
        <w:ind w:left="1940" w:right="2265" w:firstLine="0"/>
        <w:jc w:val="both"/>
        <w:rPr>
          <w:sz w:val="21"/>
        </w:rPr>
      </w:pPr>
      <w:r>
        <w:rPr>
          <w:w w:val="33"/>
          <w:sz w:val="21"/>
        </w:rPr>
        <w:t>―</w:t>
      </w:r>
      <w:r>
        <w:rPr>
          <w:w w:val="100"/>
          <w:sz w:val="21"/>
        </w:rPr>
        <w:t>It</w:t>
      </w:r>
      <w:r>
        <w:rPr>
          <w:sz w:val="21"/>
        </w:rPr>
        <w:t> </w:t>
      </w:r>
      <w:r>
        <w:rPr>
          <w:w w:val="100"/>
          <w:sz w:val="21"/>
        </w:rPr>
        <w:t>is</w:t>
      </w:r>
      <w:r>
        <w:rPr>
          <w:sz w:val="21"/>
        </w:rPr>
        <w:t> </w:t>
      </w:r>
      <w:r>
        <w:rPr>
          <w:w w:val="100"/>
          <w:sz w:val="21"/>
        </w:rPr>
        <w:t>most</w:t>
      </w:r>
      <w:r>
        <w:rPr>
          <w:sz w:val="21"/>
        </w:rPr>
        <w:t> </w:t>
      </w:r>
      <w:r>
        <w:rPr>
          <w:w w:val="100"/>
          <w:sz w:val="21"/>
        </w:rPr>
        <w:t>unfortunate</w:t>
      </w:r>
      <w:r>
        <w:rPr>
          <w:sz w:val="21"/>
        </w:rPr>
        <w:t> </w:t>
      </w:r>
      <w:r>
        <w:rPr>
          <w:w w:val="100"/>
          <w:sz w:val="21"/>
        </w:rPr>
        <w:t>that</w:t>
      </w:r>
      <w:r>
        <w:rPr>
          <w:sz w:val="21"/>
        </w:rPr>
        <w:t> </w:t>
      </w:r>
      <w:r>
        <w:rPr>
          <w:w w:val="100"/>
          <w:sz w:val="21"/>
        </w:rPr>
        <w:t>a</w:t>
      </w:r>
      <w:r>
        <w:rPr>
          <w:sz w:val="21"/>
        </w:rPr>
        <w:t> </w:t>
      </w:r>
      <w:r>
        <w:rPr>
          <w:w w:val="100"/>
          <w:sz w:val="21"/>
        </w:rPr>
        <w:t>Masjid</w:t>
      </w:r>
      <w:r>
        <w:rPr>
          <w:sz w:val="21"/>
        </w:rPr>
        <w:t> </w:t>
      </w:r>
      <w:r>
        <w:rPr>
          <w:w w:val="100"/>
          <w:sz w:val="21"/>
        </w:rPr>
        <w:t>should</w:t>
      </w:r>
      <w:r>
        <w:rPr>
          <w:sz w:val="21"/>
        </w:rPr>
        <w:t> </w:t>
      </w:r>
      <w:r>
        <w:rPr>
          <w:w w:val="100"/>
          <w:sz w:val="21"/>
        </w:rPr>
        <w:t>have</w:t>
      </w:r>
      <w:r>
        <w:rPr>
          <w:sz w:val="21"/>
        </w:rPr>
        <w:t> </w:t>
      </w:r>
      <w:r>
        <w:rPr>
          <w:w w:val="100"/>
          <w:sz w:val="21"/>
        </w:rPr>
        <w:t>been</w:t>
      </w:r>
      <w:r>
        <w:rPr>
          <w:sz w:val="21"/>
        </w:rPr>
        <w:t> </w:t>
      </w:r>
      <w:r>
        <w:rPr>
          <w:w w:val="100"/>
          <w:sz w:val="21"/>
        </w:rPr>
        <w:t>built</w:t>
      </w:r>
      <w:r>
        <w:rPr>
          <w:sz w:val="21"/>
        </w:rPr>
        <w:t> </w:t>
      </w:r>
      <w:r>
        <w:rPr>
          <w:w w:val="100"/>
          <w:sz w:val="21"/>
        </w:rPr>
        <w:t>on </w:t>
      </w:r>
      <w:r>
        <w:rPr>
          <w:sz w:val="21"/>
        </w:rPr>
        <w:t>land specially held sacred by the Hindu, but as that event occurred 356 years ago it is too late to remedy the grievance all that can be done is to maintain that parties in status quo.‖</w:t>
      </w:r>
    </w:p>
    <w:p>
      <w:pPr>
        <w:pStyle w:val="BodyText"/>
        <w:rPr>
          <w:sz w:val="24"/>
        </w:rPr>
      </w:pPr>
    </w:p>
    <w:p>
      <w:pPr>
        <w:pStyle w:val="BodyText"/>
        <w:spacing w:before="11"/>
      </w:pPr>
    </w:p>
    <w:p>
      <w:pPr>
        <w:pStyle w:val="BodyText"/>
        <w:spacing w:line="482" w:lineRule="auto"/>
        <w:ind w:left="500" w:right="447"/>
        <w:jc w:val="both"/>
      </w:pPr>
      <w:r>
        <w:rPr/>
        <w:t>The District Judge noted on a site inspection that the Chabutra had been </w:t>
      </w:r>
      <w:r>
        <w:rPr>
          <w:w w:val="99"/>
        </w:rPr>
        <w:t>occupied</w:t>
      </w:r>
      <w:r>
        <w:rPr/>
        <w:t> </w:t>
      </w:r>
      <w:r>
        <w:rPr>
          <w:w w:val="99"/>
        </w:rPr>
        <w:t>by</w:t>
      </w:r>
      <w:r>
        <w:rPr/>
        <w:t> </w:t>
      </w:r>
      <w:r>
        <w:rPr>
          <w:w w:val="99"/>
        </w:rPr>
        <w:t>the</w:t>
      </w:r>
      <w:r>
        <w:rPr/>
        <w:t> </w:t>
      </w:r>
      <w:r>
        <w:rPr>
          <w:w w:val="99"/>
        </w:rPr>
        <w:t>Hindus</w:t>
      </w:r>
      <w:r>
        <w:rPr/>
        <w:t> </w:t>
      </w:r>
      <w:r>
        <w:rPr>
          <w:w w:val="99"/>
        </w:rPr>
        <w:t>on</w:t>
      </w:r>
      <w:r>
        <w:rPr/>
        <w:t> </w:t>
      </w:r>
      <w:r>
        <w:rPr>
          <w:w w:val="99"/>
        </w:rPr>
        <w:t>which</w:t>
      </w:r>
      <w:r>
        <w:rPr/>
        <w:t> </w:t>
      </w:r>
      <w:r>
        <w:rPr>
          <w:w w:val="99"/>
        </w:rPr>
        <w:t>there</w:t>
      </w:r>
      <w:r>
        <w:rPr/>
        <w:t> </w:t>
      </w:r>
      <w:r>
        <w:rPr>
          <w:w w:val="99"/>
        </w:rPr>
        <w:t>was</w:t>
      </w:r>
      <w:r>
        <w:rPr/>
        <w:t> </w:t>
      </w:r>
      <w:r>
        <w:rPr>
          <w:w w:val="33"/>
        </w:rPr>
        <w:t>―</w:t>
      </w:r>
      <w:r>
        <w:rPr>
          <w:w w:val="99"/>
        </w:rPr>
        <w:t>a</w:t>
      </w:r>
      <w:r>
        <w:rPr/>
        <w:t> </w:t>
      </w:r>
      <w:r>
        <w:rPr>
          <w:w w:val="99"/>
        </w:rPr>
        <w:t>small</w:t>
      </w:r>
      <w:r>
        <w:rPr/>
        <w:t> </w:t>
      </w:r>
      <w:r>
        <w:rPr>
          <w:w w:val="99"/>
        </w:rPr>
        <w:t>superstructure</w:t>
      </w:r>
      <w:r>
        <w:rPr/>
        <w:t> </w:t>
      </w:r>
      <w:r>
        <w:rPr>
          <w:w w:val="99"/>
        </w:rPr>
        <w:t>of</w:t>
      </w:r>
      <w:r>
        <w:rPr/>
        <w:t> </w:t>
      </w:r>
      <w:r>
        <w:rPr>
          <w:w w:val="99"/>
        </w:rPr>
        <w:t>wood,</w:t>
      </w:r>
      <w:r>
        <w:rPr/>
        <w:t> </w:t>
      </w:r>
      <w:r>
        <w:rPr>
          <w:w w:val="99"/>
        </w:rPr>
        <w:t>in</w:t>
      </w:r>
    </w:p>
    <w:p>
      <w:pPr>
        <w:spacing w:after="0" w:line="482" w:lineRule="auto"/>
        <w:jc w:val="both"/>
        <w:sectPr>
          <w:pgSz w:w="11910" w:h="16840"/>
          <w:pgMar w:header="721" w:footer="1014" w:top="1300" w:bottom="1200" w:left="940" w:right="1000"/>
        </w:sectPr>
      </w:pPr>
    </w:p>
    <w:p>
      <w:pPr>
        <w:pStyle w:val="BodyText"/>
        <w:spacing w:line="480" w:lineRule="auto" w:before="124"/>
        <w:ind w:left="500" w:right="436"/>
        <w:jc w:val="both"/>
      </w:pPr>
      <w:r>
        <w:rPr/>
        <w:t>the form of tent‖. The Chabutra was said to indicate the birth-place of Lord Ram. While maintaining the dismissal of the Suit, the District Judge came to the conclusion that the observations on possession and ownership in the judgment of the trial judge were redundant and were hence to be struck off. The judgment of the first appellate court was carried before the Judicial Commissioner, Oudh in a second appeal, who affirmed the dismissal of the suit on 2 November 1886. The Judicial Commissioner observed:</w:t>
      </w:r>
    </w:p>
    <w:p>
      <w:pPr>
        <w:spacing w:line="276" w:lineRule="auto" w:before="0"/>
        <w:ind w:left="1940" w:right="2260" w:firstLine="0"/>
        <w:jc w:val="both"/>
        <w:rPr>
          <w:sz w:val="21"/>
        </w:rPr>
      </w:pPr>
      <w:r>
        <w:rPr>
          <w:spacing w:val="-1"/>
          <w:w w:val="33"/>
          <w:sz w:val="21"/>
        </w:rPr>
        <w:t>―</w:t>
      </w:r>
      <w:r>
        <w:rPr>
          <w:w w:val="100"/>
          <w:sz w:val="21"/>
        </w:rPr>
        <w:t>The</w:t>
      </w:r>
      <w:r>
        <w:rPr>
          <w:spacing w:val="6"/>
          <w:sz w:val="21"/>
        </w:rPr>
        <w:t> </w:t>
      </w:r>
      <w:r>
        <w:rPr>
          <w:spacing w:val="-1"/>
          <w:w w:val="100"/>
          <w:sz w:val="21"/>
        </w:rPr>
        <w:t>mat</w:t>
      </w:r>
      <w:r>
        <w:rPr>
          <w:spacing w:val="-2"/>
          <w:w w:val="100"/>
          <w:sz w:val="21"/>
        </w:rPr>
        <w:t>t</w:t>
      </w:r>
      <w:r>
        <w:rPr>
          <w:spacing w:val="-1"/>
          <w:w w:val="100"/>
          <w:sz w:val="21"/>
        </w:rPr>
        <w:t>e</w:t>
      </w:r>
      <w:r>
        <w:rPr>
          <w:w w:val="100"/>
          <w:sz w:val="21"/>
        </w:rPr>
        <w:t>r</w:t>
      </w:r>
      <w:r>
        <w:rPr>
          <w:spacing w:val="8"/>
          <w:sz w:val="21"/>
        </w:rPr>
        <w:t> </w:t>
      </w:r>
      <w:r>
        <w:rPr>
          <w:spacing w:val="-2"/>
          <w:w w:val="100"/>
          <w:sz w:val="21"/>
        </w:rPr>
        <w:t>i</w:t>
      </w:r>
      <w:r>
        <w:rPr>
          <w:w w:val="100"/>
          <w:sz w:val="21"/>
        </w:rPr>
        <w:t>s</w:t>
      </w:r>
      <w:r>
        <w:rPr>
          <w:spacing w:val="8"/>
          <w:sz w:val="21"/>
        </w:rPr>
        <w:t> </w:t>
      </w:r>
      <w:r>
        <w:rPr>
          <w:spacing w:val="-3"/>
          <w:w w:val="100"/>
          <w:sz w:val="21"/>
        </w:rPr>
        <w:t>s</w:t>
      </w:r>
      <w:r>
        <w:rPr>
          <w:spacing w:val="-2"/>
          <w:w w:val="100"/>
          <w:sz w:val="21"/>
        </w:rPr>
        <w:t>i</w:t>
      </w:r>
      <w:r>
        <w:rPr>
          <w:spacing w:val="1"/>
          <w:w w:val="100"/>
          <w:sz w:val="21"/>
        </w:rPr>
        <w:t>m</w:t>
      </w:r>
      <w:r>
        <w:rPr>
          <w:spacing w:val="-3"/>
          <w:w w:val="100"/>
          <w:sz w:val="21"/>
        </w:rPr>
        <w:t>p</w:t>
      </w:r>
      <w:r>
        <w:rPr>
          <w:w w:val="100"/>
          <w:sz w:val="21"/>
        </w:rPr>
        <w:t>ly</w:t>
      </w:r>
      <w:r>
        <w:rPr>
          <w:spacing w:val="6"/>
          <w:sz w:val="21"/>
        </w:rPr>
        <w:t> </w:t>
      </w:r>
      <w:r>
        <w:rPr>
          <w:spacing w:val="-2"/>
          <w:w w:val="100"/>
          <w:sz w:val="21"/>
        </w:rPr>
        <w:t>t</w:t>
      </w:r>
      <w:r>
        <w:rPr>
          <w:spacing w:val="-1"/>
          <w:w w:val="100"/>
          <w:sz w:val="21"/>
        </w:rPr>
        <w:t>ha</w:t>
      </w:r>
      <w:r>
        <w:rPr>
          <w:w w:val="100"/>
          <w:sz w:val="21"/>
        </w:rPr>
        <w:t>t</w:t>
      </w:r>
      <w:r>
        <w:rPr>
          <w:spacing w:val="5"/>
          <w:sz w:val="21"/>
        </w:rPr>
        <w:t> </w:t>
      </w:r>
      <w:r>
        <w:rPr>
          <w:spacing w:val="-2"/>
          <w:w w:val="100"/>
          <w:sz w:val="21"/>
        </w:rPr>
        <w:t>t</w:t>
      </w:r>
      <w:r>
        <w:rPr>
          <w:spacing w:val="-1"/>
          <w:w w:val="100"/>
          <w:sz w:val="21"/>
        </w:rPr>
        <w:t>h</w:t>
      </w:r>
      <w:r>
        <w:rPr>
          <w:w w:val="100"/>
          <w:sz w:val="21"/>
        </w:rPr>
        <w:t>e</w:t>
      </w:r>
      <w:r>
        <w:rPr>
          <w:spacing w:val="6"/>
          <w:sz w:val="21"/>
        </w:rPr>
        <w:t> </w:t>
      </w:r>
      <w:r>
        <w:rPr>
          <w:w w:val="100"/>
          <w:sz w:val="21"/>
        </w:rPr>
        <w:t>Hi</w:t>
      </w:r>
      <w:r>
        <w:rPr>
          <w:spacing w:val="-3"/>
          <w:w w:val="100"/>
          <w:sz w:val="21"/>
        </w:rPr>
        <w:t>n</w:t>
      </w:r>
      <w:r>
        <w:rPr>
          <w:spacing w:val="-1"/>
          <w:w w:val="100"/>
          <w:sz w:val="21"/>
        </w:rPr>
        <w:t>du</w:t>
      </w:r>
      <w:r>
        <w:rPr>
          <w:w w:val="100"/>
          <w:sz w:val="21"/>
        </w:rPr>
        <w:t>s</w:t>
      </w:r>
      <w:r>
        <w:rPr>
          <w:spacing w:val="6"/>
          <w:sz w:val="21"/>
        </w:rPr>
        <w:t> </w:t>
      </w:r>
      <w:r>
        <w:rPr>
          <w:spacing w:val="-3"/>
          <w:w w:val="100"/>
          <w:sz w:val="21"/>
        </w:rPr>
        <w:t>o</w:t>
      </w:r>
      <w:r>
        <w:rPr>
          <w:w w:val="100"/>
          <w:sz w:val="21"/>
        </w:rPr>
        <w:t>f</w:t>
      </w:r>
      <w:r>
        <w:rPr>
          <w:spacing w:val="7"/>
          <w:sz w:val="21"/>
        </w:rPr>
        <w:t> </w:t>
      </w:r>
      <w:r>
        <w:rPr>
          <w:w w:val="100"/>
          <w:sz w:val="21"/>
        </w:rPr>
        <w:t>A</w:t>
      </w:r>
      <w:r>
        <w:rPr>
          <w:spacing w:val="-2"/>
          <w:w w:val="100"/>
          <w:sz w:val="21"/>
        </w:rPr>
        <w:t>j</w:t>
      </w:r>
      <w:r>
        <w:rPr>
          <w:spacing w:val="-1"/>
          <w:w w:val="100"/>
          <w:sz w:val="21"/>
        </w:rPr>
        <w:t>ud</w:t>
      </w:r>
      <w:r>
        <w:rPr>
          <w:spacing w:val="-2"/>
          <w:w w:val="100"/>
          <w:sz w:val="21"/>
        </w:rPr>
        <w:t>h</w:t>
      </w:r>
      <w:r>
        <w:rPr>
          <w:w w:val="100"/>
          <w:sz w:val="21"/>
        </w:rPr>
        <w:t>ia</w:t>
      </w:r>
      <w:r>
        <w:rPr>
          <w:spacing w:val="6"/>
          <w:sz w:val="21"/>
        </w:rPr>
        <w:t> </w:t>
      </w:r>
      <w:r>
        <w:rPr>
          <w:spacing w:val="-2"/>
          <w:w w:val="100"/>
          <w:sz w:val="21"/>
        </w:rPr>
        <w:t>w</w:t>
      </w:r>
      <w:r>
        <w:rPr>
          <w:spacing w:val="-3"/>
          <w:w w:val="100"/>
          <w:sz w:val="21"/>
        </w:rPr>
        <w:t>a</w:t>
      </w:r>
      <w:r>
        <w:rPr>
          <w:spacing w:val="-1"/>
          <w:w w:val="100"/>
          <w:sz w:val="21"/>
        </w:rPr>
        <w:t>n</w:t>
      </w:r>
      <w:r>
        <w:rPr>
          <w:w w:val="100"/>
          <w:sz w:val="21"/>
        </w:rPr>
        <w:t>t</w:t>
      </w:r>
      <w:r>
        <w:rPr>
          <w:spacing w:val="7"/>
          <w:sz w:val="21"/>
        </w:rPr>
        <w:t> </w:t>
      </w:r>
      <w:r>
        <w:rPr>
          <w:spacing w:val="-2"/>
          <w:w w:val="100"/>
          <w:sz w:val="21"/>
        </w:rPr>
        <w:t>t</w:t>
      </w:r>
      <w:r>
        <w:rPr>
          <w:w w:val="100"/>
          <w:sz w:val="21"/>
        </w:rPr>
        <w:t>o</w:t>
      </w:r>
      <w:r>
        <w:rPr>
          <w:spacing w:val="8"/>
          <w:sz w:val="21"/>
        </w:rPr>
        <w:t> </w:t>
      </w:r>
      <w:r>
        <w:rPr>
          <w:spacing w:val="-1"/>
          <w:w w:val="100"/>
          <w:sz w:val="21"/>
        </w:rPr>
        <w:t>er</w:t>
      </w:r>
      <w:r>
        <w:rPr>
          <w:spacing w:val="-3"/>
          <w:w w:val="100"/>
          <w:sz w:val="21"/>
        </w:rPr>
        <w:t>e</w:t>
      </w:r>
      <w:r>
        <w:rPr>
          <w:w w:val="100"/>
          <w:sz w:val="21"/>
        </w:rPr>
        <w:t>ct </w:t>
      </w:r>
      <w:r>
        <w:rPr>
          <w:sz w:val="21"/>
        </w:rPr>
        <w:t>a new temple of marble … over the supposed holy spot in Ajudhia said to be the birthplace of Sri Ram Chandar. Now this spot is situate within the precincts of the grounds surrounding a mosque constructed some 350 years ago owing to the bigotry and tyranny of the Emperor Baber-who purposely chose this holy spot according to Hindu legend- as the site of his</w:t>
      </w:r>
      <w:r>
        <w:rPr>
          <w:spacing w:val="-6"/>
          <w:sz w:val="21"/>
        </w:rPr>
        <w:t> </w:t>
      </w:r>
      <w:r>
        <w:rPr>
          <w:sz w:val="21"/>
        </w:rPr>
        <w:t>mosque.</w:t>
      </w:r>
    </w:p>
    <w:p>
      <w:pPr>
        <w:spacing w:line="276" w:lineRule="auto" w:before="0"/>
        <w:ind w:left="1940" w:right="2265" w:firstLine="0"/>
        <w:jc w:val="both"/>
        <w:rPr>
          <w:sz w:val="21"/>
        </w:rPr>
      </w:pPr>
      <w:r>
        <w:rPr>
          <w:sz w:val="21"/>
        </w:rPr>
        <w:t>The Hindus seem to have got very limited rights of access to certain spots within the precincts adjoining the mosque and they have for a series of years been persistently trying to increase their rights and to erect building over </w:t>
      </w:r>
      <w:r>
        <w:rPr>
          <w:spacing w:val="-2"/>
          <w:sz w:val="21"/>
        </w:rPr>
        <w:t>two </w:t>
      </w:r>
      <w:r>
        <w:rPr>
          <w:sz w:val="21"/>
        </w:rPr>
        <w:t>spots in  the</w:t>
      </w:r>
      <w:r>
        <w:rPr>
          <w:spacing w:val="-2"/>
          <w:sz w:val="21"/>
        </w:rPr>
        <w:t> </w:t>
      </w:r>
      <w:r>
        <w:rPr>
          <w:sz w:val="21"/>
        </w:rPr>
        <w:t>enclosure.</w:t>
      </w:r>
    </w:p>
    <w:p>
      <w:pPr>
        <w:pStyle w:val="ListParagraph"/>
        <w:numPr>
          <w:ilvl w:val="1"/>
          <w:numId w:val="111"/>
        </w:numPr>
        <w:tabs>
          <w:tab w:pos="2301" w:val="left" w:leader="none"/>
        </w:tabs>
        <w:spacing w:line="241" w:lineRule="exact" w:before="0" w:after="0"/>
        <w:ind w:left="2300" w:right="0" w:hanging="361"/>
        <w:jc w:val="both"/>
        <w:rPr>
          <w:sz w:val="21"/>
        </w:rPr>
      </w:pPr>
      <w:r>
        <w:rPr>
          <w:sz w:val="21"/>
        </w:rPr>
        <w:t>Sita ki Rasoi (b) Ram Chandar ki Janam</w:t>
      </w:r>
      <w:r>
        <w:rPr>
          <w:spacing w:val="-15"/>
          <w:sz w:val="21"/>
        </w:rPr>
        <w:t> </w:t>
      </w:r>
      <w:r>
        <w:rPr>
          <w:sz w:val="21"/>
        </w:rPr>
        <w:t>Bhumi.</w:t>
      </w:r>
    </w:p>
    <w:p>
      <w:pPr>
        <w:spacing w:line="276" w:lineRule="auto" w:before="37"/>
        <w:ind w:left="1940" w:right="2264" w:firstLine="0"/>
        <w:jc w:val="both"/>
        <w:rPr>
          <w:sz w:val="21"/>
        </w:rPr>
      </w:pPr>
      <w:r>
        <w:rPr>
          <w:sz w:val="21"/>
        </w:rPr>
        <w:t>The executive authorities have persistently repressed these encroachments and absolutely forbid any alteration of</w:t>
      </w:r>
      <w:r>
        <w:rPr>
          <w:spacing w:val="57"/>
          <w:sz w:val="21"/>
        </w:rPr>
        <w:t> </w:t>
      </w:r>
      <w:r>
        <w:rPr>
          <w:sz w:val="21"/>
        </w:rPr>
        <w:t>the</w:t>
      </w:r>
    </w:p>
    <w:p>
      <w:pPr>
        <w:spacing w:line="240" w:lineRule="exact" w:before="0"/>
        <w:ind w:left="1940" w:right="0" w:firstLine="0"/>
        <w:jc w:val="both"/>
        <w:rPr>
          <w:sz w:val="21"/>
        </w:rPr>
      </w:pPr>
      <w:r>
        <w:rPr>
          <w:w w:val="40"/>
          <w:sz w:val="21"/>
        </w:rPr>
        <w:t>‗</w:t>
      </w:r>
      <w:r>
        <w:rPr>
          <w:w w:val="100"/>
          <w:sz w:val="21"/>
        </w:rPr>
        <w:t>s</w:t>
      </w:r>
      <w:r>
        <w:rPr>
          <w:spacing w:val="-2"/>
          <w:w w:val="100"/>
          <w:sz w:val="21"/>
        </w:rPr>
        <w:t>t</w:t>
      </w:r>
      <w:r>
        <w:rPr>
          <w:spacing w:val="-1"/>
          <w:w w:val="100"/>
          <w:sz w:val="21"/>
        </w:rPr>
        <w:t>atu</w:t>
      </w:r>
      <w:r>
        <w:rPr>
          <w:w w:val="100"/>
          <w:sz w:val="21"/>
        </w:rPr>
        <w:t>s</w:t>
      </w:r>
      <w:r>
        <w:rPr>
          <w:spacing w:val="-1"/>
          <w:sz w:val="21"/>
        </w:rPr>
        <w:t> </w:t>
      </w:r>
      <w:r>
        <w:rPr>
          <w:spacing w:val="-1"/>
          <w:w w:val="100"/>
          <w:sz w:val="21"/>
        </w:rPr>
        <w:t>q</w:t>
      </w:r>
      <w:r>
        <w:rPr>
          <w:spacing w:val="-3"/>
          <w:w w:val="100"/>
          <w:sz w:val="21"/>
        </w:rPr>
        <w:t>u</w:t>
      </w:r>
      <w:r>
        <w:rPr>
          <w:spacing w:val="-1"/>
          <w:w w:val="100"/>
          <w:sz w:val="21"/>
        </w:rPr>
        <w:t>o</w:t>
      </w:r>
      <w:r>
        <w:rPr>
          <w:spacing w:val="1"/>
          <w:w w:val="100"/>
          <w:sz w:val="21"/>
        </w:rPr>
        <w:t>‘</w:t>
      </w:r>
      <w:r>
        <w:rPr>
          <w:w w:val="100"/>
          <w:sz w:val="21"/>
        </w:rPr>
        <w:t>.</w:t>
      </w:r>
    </w:p>
    <w:p>
      <w:pPr>
        <w:spacing w:line="276" w:lineRule="auto" w:before="37"/>
        <w:ind w:left="1940" w:right="2263" w:firstLine="0"/>
        <w:jc w:val="both"/>
        <w:rPr>
          <w:sz w:val="21"/>
        </w:rPr>
      </w:pPr>
      <w:r>
        <w:rPr>
          <w:sz w:val="21"/>
        </w:rPr>
        <w:t>I think this a very wise and proper procedure on their part and I am further of opinion that Civil Courts have properly dismissed the plaintiff's claim.</w:t>
      </w:r>
    </w:p>
    <w:p>
      <w:pPr>
        <w:spacing w:line="276" w:lineRule="auto" w:before="0"/>
        <w:ind w:left="1940" w:right="2258" w:firstLine="0"/>
        <w:jc w:val="both"/>
        <w:rPr>
          <w:sz w:val="21"/>
        </w:rPr>
      </w:pPr>
      <w:r>
        <w:rPr>
          <w:sz w:val="21"/>
        </w:rPr>
        <w:t>The pleas on appeal to this … are wholly unsupported by facts in the case or by any document that appears to me … some of the reasoning of the Lower Appellant Court as to the limitations of the Civil Court jurisdiction. However I approve of their final conclusion to which it has come – and I see no reason to interfere with its order modifying the wording of part of the judgment of the Court of First Instance. There is nothing whatever on the record to show that plaintiff is in any sense the proprietor of the land in question. This appeal is dismissed with costs of all</w:t>
      </w:r>
      <w:r>
        <w:rPr>
          <w:spacing w:val="-8"/>
          <w:sz w:val="21"/>
        </w:rPr>
        <w:t> </w:t>
      </w:r>
      <w:r>
        <w:rPr>
          <w:sz w:val="21"/>
        </w:rPr>
        <w:t>Courts.‖</w:t>
      </w:r>
    </w:p>
    <w:p>
      <w:pPr>
        <w:spacing w:after="0" w:line="276" w:lineRule="auto"/>
        <w:jc w:val="both"/>
        <w:rPr>
          <w:sz w:val="21"/>
        </w:rPr>
        <w:sectPr>
          <w:pgSz w:w="11910" w:h="16840"/>
          <w:pgMar w:header="721" w:footer="1014" w:top="1300" w:bottom="1200" w:left="940" w:right="1000"/>
        </w:sectPr>
      </w:pPr>
    </w:p>
    <w:p>
      <w:pPr>
        <w:pStyle w:val="Heading4"/>
        <w:spacing w:before="126"/>
        <w:jc w:val="left"/>
        <w:rPr>
          <w:i/>
        </w:rPr>
      </w:pPr>
      <w:r>
        <w:rPr>
          <w:i/>
        </w:rPr>
        <w:t>Submissions</w:t>
      </w:r>
    </w:p>
    <w:p>
      <w:pPr>
        <w:pStyle w:val="BodyText"/>
        <w:rPr>
          <w:i/>
          <w:sz w:val="28"/>
        </w:rPr>
      </w:pPr>
    </w:p>
    <w:p>
      <w:pPr>
        <w:pStyle w:val="BodyText"/>
        <w:spacing w:before="9"/>
        <w:rPr>
          <w:i/>
          <w:sz w:val="22"/>
        </w:rPr>
      </w:pPr>
    </w:p>
    <w:p>
      <w:pPr>
        <w:pStyle w:val="ListParagraph"/>
        <w:numPr>
          <w:ilvl w:val="0"/>
          <w:numId w:val="111"/>
        </w:numPr>
        <w:tabs>
          <w:tab w:pos="1221" w:val="left" w:leader="none"/>
        </w:tabs>
        <w:spacing w:line="480" w:lineRule="auto" w:before="0" w:after="0"/>
        <w:ind w:left="500" w:right="442" w:firstLine="0"/>
        <w:jc w:val="both"/>
        <w:rPr>
          <w:sz w:val="25"/>
        </w:rPr>
      </w:pPr>
      <w:r>
        <w:rPr>
          <w:sz w:val="25"/>
        </w:rPr>
        <w:t>Relying on the above observations of the Judicial Commissioner, Mr Shekhar Naphade, learned Senior Counsel emphasised five facets from the decision:</w:t>
      </w:r>
    </w:p>
    <w:p>
      <w:pPr>
        <w:pStyle w:val="ListParagraph"/>
        <w:numPr>
          <w:ilvl w:val="0"/>
          <w:numId w:val="133"/>
        </w:numPr>
        <w:tabs>
          <w:tab w:pos="1221" w:val="left" w:leader="none"/>
        </w:tabs>
        <w:spacing w:line="240" w:lineRule="auto" w:before="159" w:after="0"/>
        <w:ind w:left="1220" w:right="0" w:hanging="721"/>
        <w:jc w:val="both"/>
        <w:rPr>
          <w:sz w:val="25"/>
        </w:rPr>
      </w:pPr>
      <w:r>
        <w:rPr>
          <w:sz w:val="25"/>
        </w:rPr>
        <w:t>The existence of the</w:t>
      </w:r>
      <w:r>
        <w:rPr>
          <w:spacing w:val="-4"/>
          <w:sz w:val="25"/>
        </w:rPr>
        <w:t> </w:t>
      </w:r>
      <w:r>
        <w:rPr>
          <w:sz w:val="25"/>
        </w:rPr>
        <w:t>mosque;</w:t>
      </w:r>
    </w:p>
    <w:p>
      <w:pPr>
        <w:pStyle w:val="BodyText"/>
        <w:spacing w:before="2"/>
      </w:pPr>
    </w:p>
    <w:p>
      <w:pPr>
        <w:pStyle w:val="ListParagraph"/>
        <w:numPr>
          <w:ilvl w:val="0"/>
          <w:numId w:val="133"/>
        </w:numPr>
        <w:tabs>
          <w:tab w:pos="1221" w:val="left" w:leader="none"/>
        </w:tabs>
        <w:spacing w:line="240" w:lineRule="auto" w:before="0" w:after="0"/>
        <w:ind w:left="1220" w:right="0" w:hanging="721"/>
        <w:jc w:val="both"/>
        <w:rPr>
          <w:sz w:val="25"/>
        </w:rPr>
      </w:pPr>
      <w:r>
        <w:rPr>
          <w:sz w:val="25"/>
        </w:rPr>
        <w:t>The construction of a Chabutra in</w:t>
      </w:r>
      <w:r>
        <w:rPr>
          <w:spacing w:val="-6"/>
          <w:sz w:val="25"/>
        </w:rPr>
        <w:t> </w:t>
      </w:r>
      <w:r>
        <w:rPr>
          <w:sz w:val="25"/>
        </w:rPr>
        <w:t>close-proximity;</w:t>
      </w:r>
    </w:p>
    <w:p>
      <w:pPr>
        <w:pStyle w:val="BodyText"/>
        <w:spacing w:before="10"/>
        <w:rPr>
          <w:sz w:val="24"/>
        </w:rPr>
      </w:pPr>
    </w:p>
    <w:p>
      <w:pPr>
        <w:pStyle w:val="ListParagraph"/>
        <w:numPr>
          <w:ilvl w:val="0"/>
          <w:numId w:val="133"/>
        </w:numPr>
        <w:tabs>
          <w:tab w:pos="1221" w:val="left" w:leader="none"/>
        </w:tabs>
        <w:spacing w:line="240" w:lineRule="auto" w:before="0" w:after="0"/>
        <w:ind w:left="1220" w:right="0" w:hanging="721"/>
        <w:jc w:val="both"/>
        <w:rPr>
          <w:sz w:val="25"/>
        </w:rPr>
      </w:pPr>
      <w:r>
        <w:rPr>
          <w:sz w:val="25"/>
        </w:rPr>
        <w:t>The availability of a limited right of access to the</w:t>
      </w:r>
      <w:r>
        <w:rPr>
          <w:spacing w:val="-8"/>
          <w:sz w:val="25"/>
        </w:rPr>
        <w:t> </w:t>
      </w:r>
      <w:r>
        <w:rPr>
          <w:sz w:val="25"/>
        </w:rPr>
        <w:t>Hindus;</w:t>
      </w:r>
    </w:p>
    <w:p>
      <w:pPr>
        <w:pStyle w:val="BodyText"/>
        <w:spacing w:before="1"/>
      </w:pPr>
    </w:p>
    <w:p>
      <w:pPr>
        <w:pStyle w:val="ListParagraph"/>
        <w:numPr>
          <w:ilvl w:val="0"/>
          <w:numId w:val="133"/>
        </w:numPr>
        <w:tabs>
          <w:tab w:pos="1220" w:val="left" w:leader="none"/>
          <w:tab w:pos="1221" w:val="left" w:leader="none"/>
        </w:tabs>
        <w:spacing w:line="480" w:lineRule="auto" w:before="0" w:after="0"/>
        <w:ind w:left="1220" w:right="446" w:hanging="720"/>
        <w:jc w:val="left"/>
        <w:rPr>
          <w:sz w:val="25"/>
        </w:rPr>
      </w:pPr>
      <w:r>
        <w:rPr>
          <w:sz w:val="25"/>
        </w:rPr>
        <w:t>The restraint imposed by the executive on attempted encroachments by the Hindus;</w:t>
      </w:r>
      <w:r>
        <w:rPr>
          <w:spacing w:val="-2"/>
          <w:sz w:val="25"/>
        </w:rPr>
        <w:t> </w:t>
      </w:r>
      <w:r>
        <w:rPr>
          <w:sz w:val="25"/>
        </w:rPr>
        <w:t>and</w:t>
      </w:r>
    </w:p>
    <w:p>
      <w:pPr>
        <w:pStyle w:val="ListParagraph"/>
        <w:numPr>
          <w:ilvl w:val="0"/>
          <w:numId w:val="133"/>
        </w:numPr>
        <w:tabs>
          <w:tab w:pos="1221" w:val="left" w:leader="none"/>
        </w:tabs>
        <w:spacing w:line="287" w:lineRule="exact" w:before="0" w:after="0"/>
        <w:ind w:left="1220" w:right="0" w:hanging="721"/>
        <w:jc w:val="both"/>
        <w:rPr>
          <w:sz w:val="25"/>
        </w:rPr>
      </w:pPr>
      <w:r>
        <w:rPr>
          <w:sz w:val="25"/>
        </w:rPr>
        <w:t>The rejection of the claim of the Hindus to ownership and</w:t>
      </w:r>
      <w:r>
        <w:rPr>
          <w:spacing w:val="-11"/>
          <w:sz w:val="25"/>
        </w:rPr>
        <w:t> </w:t>
      </w:r>
      <w:r>
        <w:rPr>
          <w:sz w:val="25"/>
        </w:rPr>
        <w:t>possession.</w:t>
      </w:r>
    </w:p>
    <w:p>
      <w:pPr>
        <w:pStyle w:val="BodyText"/>
        <w:rPr>
          <w:sz w:val="28"/>
        </w:rPr>
      </w:pPr>
    </w:p>
    <w:p>
      <w:pPr>
        <w:pStyle w:val="BodyText"/>
        <w:rPr>
          <w:sz w:val="28"/>
        </w:rPr>
      </w:pPr>
    </w:p>
    <w:p>
      <w:pPr>
        <w:pStyle w:val="ListParagraph"/>
        <w:numPr>
          <w:ilvl w:val="0"/>
          <w:numId w:val="111"/>
        </w:numPr>
        <w:tabs>
          <w:tab w:pos="1221" w:val="left" w:leader="none"/>
        </w:tabs>
        <w:spacing w:line="480" w:lineRule="auto" w:before="219" w:after="0"/>
        <w:ind w:left="500" w:right="434" w:firstLine="0"/>
        <w:jc w:val="both"/>
        <w:rPr>
          <w:sz w:val="25"/>
        </w:rPr>
      </w:pPr>
      <w:r>
        <w:rPr>
          <w:sz w:val="25"/>
        </w:rPr>
        <w:t>All the three Judges of the Allahabad High Court rejected the plea of </w:t>
      </w:r>
      <w:r>
        <w:rPr>
          <w:i/>
          <w:sz w:val="25"/>
        </w:rPr>
        <w:t>res </w:t>
      </w:r>
      <w:r>
        <w:rPr>
          <w:i/>
          <w:sz w:val="25"/>
        </w:rPr>
        <w:t>judicata. </w:t>
      </w:r>
      <w:r>
        <w:rPr>
          <w:sz w:val="25"/>
        </w:rPr>
        <w:t>Justice S U Khan held that the only thing which had been decided in the Suit of 1885 was that the </w:t>
      </w:r>
      <w:r>
        <w:rPr>
          <w:i/>
          <w:sz w:val="25"/>
        </w:rPr>
        <w:t>status quo </w:t>
      </w:r>
      <w:r>
        <w:rPr>
          <w:sz w:val="25"/>
        </w:rPr>
        <w:t>should be maintained in order to obviate the likelihood of riots between the two communities. In his</w:t>
      </w:r>
      <w:r>
        <w:rPr>
          <w:spacing w:val="-8"/>
          <w:sz w:val="25"/>
        </w:rPr>
        <w:t> </w:t>
      </w:r>
      <w:r>
        <w:rPr>
          <w:sz w:val="25"/>
        </w:rPr>
        <w:t>view:</w:t>
      </w:r>
    </w:p>
    <w:p>
      <w:pPr>
        <w:spacing w:line="276" w:lineRule="auto" w:before="159"/>
        <w:ind w:left="1940" w:right="2169" w:firstLine="0"/>
        <w:jc w:val="left"/>
        <w:rPr>
          <w:sz w:val="21"/>
        </w:rPr>
      </w:pPr>
      <w:r>
        <w:rPr>
          <w:spacing w:val="-1"/>
          <w:w w:val="33"/>
          <w:sz w:val="21"/>
        </w:rPr>
        <w:t>―</w:t>
      </w:r>
      <w:r>
        <w:rPr>
          <w:w w:val="100"/>
          <w:sz w:val="21"/>
        </w:rPr>
        <w:t>R</w:t>
      </w:r>
      <w:r>
        <w:rPr>
          <w:spacing w:val="-3"/>
          <w:w w:val="100"/>
          <w:sz w:val="21"/>
        </w:rPr>
        <w:t>e</w:t>
      </w:r>
      <w:r>
        <w:rPr>
          <w:spacing w:val="1"/>
          <w:w w:val="100"/>
          <w:sz w:val="21"/>
        </w:rPr>
        <w:t>f</w:t>
      </w:r>
      <w:r>
        <w:rPr>
          <w:spacing w:val="-1"/>
          <w:w w:val="100"/>
          <w:sz w:val="21"/>
        </w:rPr>
        <w:t>u</w:t>
      </w:r>
      <w:r>
        <w:rPr>
          <w:spacing w:val="-3"/>
          <w:w w:val="100"/>
          <w:sz w:val="21"/>
        </w:rPr>
        <w:t>s</w:t>
      </w:r>
      <w:r>
        <w:rPr>
          <w:spacing w:val="-1"/>
          <w:w w:val="100"/>
          <w:sz w:val="21"/>
        </w:rPr>
        <w:t>a</w:t>
      </w:r>
      <w:r>
        <w:rPr>
          <w:w w:val="100"/>
          <w:sz w:val="21"/>
        </w:rPr>
        <w:t>l</w:t>
      </w:r>
      <w:r>
        <w:rPr>
          <w:sz w:val="21"/>
        </w:rPr>
        <w:t> </w:t>
      </w:r>
      <w:r>
        <w:rPr>
          <w:spacing w:val="-20"/>
          <w:sz w:val="21"/>
        </w:rPr>
        <w:t> </w:t>
      </w:r>
      <w:r>
        <w:rPr>
          <w:spacing w:val="-2"/>
          <w:w w:val="100"/>
          <w:sz w:val="21"/>
        </w:rPr>
        <w:t>t</w:t>
      </w:r>
      <w:r>
        <w:rPr>
          <w:w w:val="100"/>
          <w:sz w:val="21"/>
        </w:rPr>
        <w:t>o</w:t>
      </w:r>
      <w:r>
        <w:rPr>
          <w:sz w:val="21"/>
        </w:rPr>
        <w:t> </w:t>
      </w:r>
      <w:r>
        <w:rPr>
          <w:spacing w:val="-19"/>
          <w:sz w:val="21"/>
        </w:rPr>
        <w:t> </w:t>
      </w:r>
      <w:r>
        <w:rPr>
          <w:spacing w:val="-3"/>
          <w:w w:val="100"/>
          <w:sz w:val="21"/>
        </w:rPr>
        <w:t>d</w:t>
      </w:r>
      <w:r>
        <w:rPr>
          <w:spacing w:val="-1"/>
          <w:w w:val="100"/>
          <w:sz w:val="21"/>
        </w:rPr>
        <w:t>e</w:t>
      </w:r>
      <w:r>
        <w:rPr>
          <w:spacing w:val="-3"/>
          <w:w w:val="100"/>
          <w:sz w:val="21"/>
        </w:rPr>
        <w:t>c</w:t>
      </w:r>
      <w:r>
        <w:rPr>
          <w:w w:val="100"/>
          <w:sz w:val="21"/>
        </w:rPr>
        <w:t>i</w:t>
      </w:r>
      <w:r>
        <w:rPr>
          <w:spacing w:val="-1"/>
          <w:w w:val="100"/>
          <w:sz w:val="21"/>
        </w:rPr>
        <w:t>d</w:t>
      </w:r>
      <w:r>
        <w:rPr>
          <w:w w:val="100"/>
          <w:sz w:val="21"/>
        </w:rPr>
        <w:t>e</w:t>
      </w:r>
      <w:r>
        <w:rPr>
          <w:sz w:val="21"/>
        </w:rPr>
        <w:t> </w:t>
      </w:r>
      <w:r>
        <w:rPr>
          <w:spacing w:val="-21"/>
          <w:sz w:val="21"/>
        </w:rPr>
        <w:t> </w:t>
      </w:r>
      <w:r>
        <w:rPr>
          <w:spacing w:val="-2"/>
          <w:w w:val="100"/>
          <w:sz w:val="21"/>
        </w:rPr>
        <w:t>t</w:t>
      </w:r>
      <w:r>
        <w:rPr>
          <w:spacing w:val="-1"/>
          <w:w w:val="100"/>
          <w:sz w:val="21"/>
        </w:rPr>
        <w:t>h</w:t>
      </w:r>
      <w:r>
        <w:rPr>
          <w:w w:val="100"/>
          <w:sz w:val="21"/>
        </w:rPr>
        <w:t>e</w:t>
      </w:r>
      <w:r>
        <w:rPr>
          <w:sz w:val="21"/>
        </w:rPr>
        <w:t> </w:t>
      </w:r>
      <w:r>
        <w:rPr>
          <w:spacing w:val="-21"/>
          <w:sz w:val="21"/>
        </w:rPr>
        <w:t> </w:t>
      </w:r>
      <w:r>
        <w:rPr>
          <w:spacing w:val="-3"/>
          <w:w w:val="100"/>
          <w:sz w:val="21"/>
        </w:rPr>
        <w:t>c</w:t>
      </w:r>
      <w:r>
        <w:rPr>
          <w:spacing w:val="-1"/>
          <w:w w:val="100"/>
          <w:sz w:val="21"/>
        </w:rPr>
        <w:t>ontro</w:t>
      </w:r>
      <w:r>
        <w:rPr>
          <w:spacing w:val="-3"/>
          <w:w w:val="100"/>
          <w:sz w:val="21"/>
        </w:rPr>
        <w:t>v</w:t>
      </w:r>
      <w:r>
        <w:rPr>
          <w:spacing w:val="-1"/>
          <w:w w:val="100"/>
          <w:sz w:val="21"/>
        </w:rPr>
        <w:t>ers</w:t>
      </w:r>
      <w:r>
        <w:rPr>
          <w:w w:val="100"/>
          <w:sz w:val="21"/>
        </w:rPr>
        <w:t>y</w:t>
      </w:r>
      <w:r>
        <w:rPr>
          <w:sz w:val="21"/>
        </w:rPr>
        <w:t> </w:t>
      </w:r>
      <w:r>
        <w:rPr>
          <w:spacing w:val="-22"/>
          <w:sz w:val="21"/>
        </w:rPr>
        <w:t> </w:t>
      </w:r>
      <w:r>
        <w:rPr>
          <w:w w:val="100"/>
          <w:sz w:val="21"/>
        </w:rPr>
        <w:t>is</w:t>
      </w:r>
      <w:r>
        <w:rPr>
          <w:sz w:val="21"/>
        </w:rPr>
        <w:t> </w:t>
      </w:r>
      <w:r>
        <w:rPr>
          <w:spacing w:val="-19"/>
          <w:sz w:val="21"/>
        </w:rPr>
        <w:t> </w:t>
      </w:r>
      <w:r>
        <w:rPr>
          <w:spacing w:val="-2"/>
          <w:w w:val="100"/>
          <w:sz w:val="21"/>
        </w:rPr>
        <w:t>t</w:t>
      </w:r>
      <w:r>
        <w:rPr>
          <w:spacing w:val="-3"/>
          <w:w w:val="100"/>
          <w:sz w:val="21"/>
        </w:rPr>
        <w:t>h</w:t>
      </w:r>
      <w:r>
        <w:rPr>
          <w:w w:val="100"/>
          <w:sz w:val="21"/>
        </w:rPr>
        <w:t>e</w:t>
      </w:r>
      <w:r>
        <w:rPr>
          <w:sz w:val="21"/>
        </w:rPr>
        <w:t> </w:t>
      </w:r>
      <w:r>
        <w:rPr>
          <w:spacing w:val="-19"/>
          <w:sz w:val="21"/>
        </w:rPr>
        <w:t> </w:t>
      </w:r>
      <w:r>
        <w:rPr>
          <w:spacing w:val="-3"/>
          <w:w w:val="100"/>
          <w:sz w:val="21"/>
        </w:rPr>
        <w:t>a</w:t>
      </w:r>
      <w:r>
        <w:rPr>
          <w:w w:val="100"/>
          <w:sz w:val="21"/>
        </w:rPr>
        <w:t>c</w:t>
      </w:r>
      <w:r>
        <w:rPr>
          <w:spacing w:val="-2"/>
          <w:w w:val="100"/>
          <w:sz w:val="21"/>
        </w:rPr>
        <w:t>t</w:t>
      </w:r>
      <w:r>
        <w:rPr>
          <w:spacing w:val="-1"/>
          <w:w w:val="100"/>
          <w:sz w:val="21"/>
        </w:rPr>
        <w:t>u</w:t>
      </w:r>
      <w:r>
        <w:rPr>
          <w:spacing w:val="-3"/>
          <w:w w:val="100"/>
          <w:sz w:val="21"/>
        </w:rPr>
        <w:t>a</w:t>
      </w:r>
      <w:r>
        <w:rPr>
          <w:w w:val="100"/>
          <w:sz w:val="21"/>
        </w:rPr>
        <w:t>l</w:t>
      </w:r>
      <w:r>
        <w:rPr>
          <w:sz w:val="21"/>
        </w:rPr>
        <w:t> </w:t>
      </w:r>
      <w:r>
        <w:rPr>
          <w:spacing w:val="-20"/>
          <w:sz w:val="21"/>
        </w:rPr>
        <w:t> </w:t>
      </w:r>
      <w:r>
        <w:rPr>
          <w:spacing w:val="-1"/>
          <w:w w:val="100"/>
          <w:sz w:val="21"/>
        </w:rPr>
        <w:t>deci</w:t>
      </w:r>
      <w:r>
        <w:rPr>
          <w:w w:val="100"/>
          <w:sz w:val="21"/>
        </w:rPr>
        <w:t>s</w:t>
      </w:r>
      <w:r>
        <w:rPr>
          <w:spacing w:val="-2"/>
          <w:w w:val="100"/>
          <w:sz w:val="21"/>
        </w:rPr>
        <w:t>i</w:t>
      </w:r>
      <w:r>
        <w:rPr>
          <w:spacing w:val="-1"/>
          <w:w w:val="100"/>
          <w:sz w:val="21"/>
        </w:rPr>
        <w:t>o</w:t>
      </w:r>
      <w:r>
        <w:rPr>
          <w:w w:val="100"/>
          <w:sz w:val="21"/>
        </w:rPr>
        <w:t>n</w:t>
      </w:r>
      <w:r>
        <w:rPr>
          <w:sz w:val="21"/>
        </w:rPr>
        <w:t> </w:t>
      </w:r>
      <w:r>
        <w:rPr>
          <w:spacing w:val="-21"/>
          <w:sz w:val="21"/>
        </w:rPr>
        <w:t> </w:t>
      </w:r>
      <w:r>
        <w:rPr>
          <w:w w:val="100"/>
          <w:sz w:val="21"/>
        </w:rPr>
        <w:t>in </w:t>
      </w:r>
      <w:r>
        <w:rPr>
          <w:sz w:val="21"/>
        </w:rPr>
        <w:t>the said</w:t>
      </w:r>
      <w:r>
        <w:rPr>
          <w:spacing w:val="-3"/>
          <w:sz w:val="21"/>
        </w:rPr>
        <w:t> </w:t>
      </w:r>
      <w:r>
        <w:rPr>
          <w:sz w:val="21"/>
        </w:rPr>
        <w:t>suit‖.</w:t>
      </w:r>
    </w:p>
    <w:p>
      <w:pPr>
        <w:pStyle w:val="BodyText"/>
        <w:rPr>
          <w:sz w:val="24"/>
        </w:rPr>
      </w:pPr>
    </w:p>
    <w:p>
      <w:pPr>
        <w:pStyle w:val="BodyText"/>
        <w:spacing w:before="3"/>
      </w:pPr>
    </w:p>
    <w:p>
      <w:pPr>
        <w:pStyle w:val="BodyText"/>
        <w:spacing w:line="480" w:lineRule="auto" w:before="1"/>
        <w:ind w:left="500" w:right="435"/>
        <w:jc w:val="both"/>
      </w:pPr>
      <w:r>
        <w:rPr/>
        <w:t>Assailing the above finding, Mr Naphade urged that there was an error on the part of the learned Judge in coming to the conclusion that nothing substantial had been decided in the Suit of 1885. He submitted that the judgment of the Judicial Commissioner indicated that Hindus had a limited right of access and that their claim of possession and ownership stood</w:t>
      </w:r>
      <w:r>
        <w:rPr>
          <w:spacing w:val="-3"/>
        </w:rPr>
        <w:t> </w:t>
      </w:r>
      <w:r>
        <w:rPr/>
        <w:t>rejected.</w:t>
      </w:r>
    </w:p>
    <w:p>
      <w:pPr>
        <w:spacing w:after="0" w:line="480" w:lineRule="auto"/>
        <w:jc w:val="both"/>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38" w:firstLine="0"/>
        <w:jc w:val="both"/>
        <w:rPr>
          <w:sz w:val="25"/>
        </w:rPr>
      </w:pPr>
      <w:r>
        <w:rPr>
          <w:sz w:val="25"/>
        </w:rPr>
        <w:t>Justice Sudhir Agarwal held that in the Suit of 1885, the only dispute was in regard to the construction sought to be made on the Chabutra. Hence, the suit did not relate to the entirety of the disputed site or building and the right of ownership or possession in respect of any part of the land </w:t>
      </w:r>
      <w:r>
        <w:rPr>
          <w:spacing w:val="3"/>
          <w:sz w:val="25"/>
        </w:rPr>
        <w:t>in </w:t>
      </w:r>
      <w:r>
        <w:rPr>
          <w:sz w:val="25"/>
        </w:rPr>
        <w:t>dispute was not involved. Justice Sudhir Agarwal held that unlike the suits which the High Court was adjudicating upon, only a portion of the property was involved in the Suit of 1885.</w:t>
      </w:r>
    </w:p>
    <w:p>
      <w:pPr>
        <w:pStyle w:val="BodyText"/>
        <w:spacing w:before="10"/>
        <w:rPr>
          <w:sz w:val="38"/>
        </w:rPr>
      </w:pPr>
    </w:p>
    <w:p>
      <w:pPr>
        <w:pStyle w:val="ListParagraph"/>
        <w:numPr>
          <w:ilvl w:val="0"/>
          <w:numId w:val="111"/>
        </w:numPr>
        <w:tabs>
          <w:tab w:pos="1221" w:val="left" w:leader="none"/>
        </w:tabs>
        <w:spacing w:line="240" w:lineRule="auto" w:before="0" w:after="0"/>
        <w:ind w:left="1220" w:right="0" w:hanging="721"/>
        <w:jc w:val="both"/>
        <w:rPr>
          <w:sz w:val="25"/>
        </w:rPr>
      </w:pPr>
      <w:r>
        <w:rPr>
          <w:sz w:val="25"/>
        </w:rPr>
        <w:t>Assailing these findings, Mr Naphade urged</w:t>
      </w:r>
      <w:r>
        <w:rPr>
          <w:spacing w:val="-2"/>
          <w:sz w:val="25"/>
        </w:rPr>
        <w:t> </w:t>
      </w:r>
      <w:r>
        <w:rPr>
          <w:sz w:val="25"/>
        </w:rPr>
        <w:t>that:</w:t>
      </w:r>
    </w:p>
    <w:p>
      <w:pPr>
        <w:pStyle w:val="BodyText"/>
        <w:rPr>
          <w:sz w:val="39"/>
        </w:rPr>
      </w:pPr>
    </w:p>
    <w:p>
      <w:pPr>
        <w:pStyle w:val="ListParagraph"/>
        <w:numPr>
          <w:ilvl w:val="0"/>
          <w:numId w:val="134"/>
        </w:numPr>
        <w:tabs>
          <w:tab w:pos="1221" w:val="left" w:leader="none"/>
        </w:tabs>
        <w:spacing w:line="480" w:lineRule="auto" w:before="1" w:after="0"/>
        <w:ind w:left="1220" w:right="442" w:hanging="720"/>
        <w:jc w:val="both"/>
        <w:rPr>
          <w:sz w:val="25"/>
        </w:rPr>
      </w:pPr>
      <w:r>
        <w:rPr>
          <w:sz w:val="25"/>
        </w:rPr>
        <w:t>Justice Sudhir Agarwal failed to notice the observations of the Judicial Commissioner in the earlier suit to the effect that the Hindus had a limited right of access and no right of possession or</w:t>
      </w:r>
      <w:r>
        <w:rPr>
          <w:spacing w:val="-9"/>
          <w:sz w:val="25"/>
        </w:rPr>
        <w:t> </w:t>
      </w:r>
      <w:r>
        <w:rPr>
          <w:sz w:val="25"/>
        </w:rPr>
        <w:t>ownership;</w:t>
      </w:r>
    </w:p>
    <w:p>
      <w:pPr>
        <w:pStyle w:val="ListParagraph"/>
        <w:numPr>
          <w:ilvl w:val="0"/>
          <w:numId w:val="134"/>
        </w:numPr>
        <w:tabs>
          <w:tab w:pos="1221" w:val="left" w:leader="none"/>
        </w:tabs>
        <w:spacing w:line="480" w:lineRule="auto" w:before="0" w:after="0"/>
        <w:ind w:left="1220" w:right="438" w:hanging="720"/>
        <w:jc w:val="both"/>
        <w:rPr>
          <w:sz w:val="25"/>
        </w:rPr>
      </w:pPr>
      <w:r>
        <w:rPr>
          <w:sz w:val="25"/>
        </w:rPr>
        <w:t>The finding on the point of </w:t>
      </w:r>
      <w:r>
        <w:rPr>
          <w:i/>
          <w:sz w:val="25"/>
        </w:rPr>
        <w:t>res judicata </w:t>
      </w:r>
      <w:r>
        <w:rPr>
          <w:sz w:val="25"/>
        </w:rPr>
        <w:t>is contrary to the decision of this Court in </w:t>
      </w:r>
      <w:r>
        <w:rPr>
          <w:b/>
          <w:sz w:val="25"/>
        </w:rPr>
        <w:t>K Ethirajan </w:t>
      </w:r>
      <w:r>
        <w:rPr>
          <w:sz w:val="25"/>
        </w:rPr>
        <w:t>v </w:t>
      </w:r>
      <w:r>
        <w:rPr>
          <w:b/>
          <w:sz w:val="25"/>
        </w:rPr>
        <w:t>Lakshmi</w:t>
      </w:r>
      <w:r>
        <w:rPr>
          <w:sz w:val="25"/>
          <w:vertAlign w:val="superscript"/>
        </w:rPr>
        <w:t>261</w:t>
      </w:r>
      <w:r>
        <w:rPr>
          <w:sz w:val="25"/>
          <w:vertAlign w:val="baseline"/>
        </w:rPr>
        <w:t>, where it has been held that the principle of </w:t>
      </w:r>
      <w:r>
        <w:rPr>
          <w:i/>
          <w:sz w:val="25"/>
          <w:vertAlign w:val="baseline"/>
        </w:rPr>
        <w:t>res judicata </w:t>
      </w:r>
      <w:r>
        <w:rPr>
          <w:sz w:val="25"/>
          <w:vertAlign w:val="baseline"/>
        </w:rPr>
        <w:t>would be attracted even in a situation where in the previous suit only a portion of the property was in dispute, whereas in a latter suit the whole of the property forms the subject matter of the claim; and</w:t>
      </w:r>
    </w:p>
    <w:p>
      <w:pPr>
        <w:pStyle w:val="ListParagraph"/>
        <w:numPr>
          <w:ilvl w:val="0"/>
          <w:numId w:val="134"/>
        </w:numPr>
        <w:tabs>
          <w:tab w:pos="1221" w:val="left" w:leader="none"/>
        </w:tabs>
        <w:spacing w:line="480" w:lineRule="auto" w:before="0" w:after="0"/>
        <w:ind w:left="1220" w:right="439" w:hanging="720"/>
        <w:jc w:val="both"/>
        <w:rPr>
          <w:sz w:val="25"/>
        </w:rPr>
      </w:pPr>
      <w:r>
        <w:rPr>
          <w:sz w:val="25"/>
        </w:rPr>
        <w:t>Justice Agarwal also held that there was nothing to show that the Hindus  at large were aware of the previous suit. There was a serious situation of law and order which gave rise to a dispute between the two communities  at or about the time when the Suit of 1885 was instituted. Therefore, an inference</w:t>
      </w:r>
      <w:r>
        <w:rPr>
          <w:spacing w:val="38"/>
          <w:sz w:val="25"/>
        </w:rPr>
        <w:t> </w:t>
      </w:r>
      <w:r>
        <w:rPr>
          <w:sz w:val="25"/>
        </w:rPr>
        <w:t>can</w:t>
      </w:r>
      <w:r>
        <w:rPr>
          <w:spacing w:val="39"/>
          <w:sz w:val="25"/>
        </w:rPr>
        <w:t> </w:t>
      </w:r>
      <w:r>
        <w:rPr>
          <w:sz w:val="25"/>
        </w:rPr>
        <w:t>be</w:t>
      </w:r>
      <w:r>
        <w:rPr>
          <w:spacing w:val="37"/>
          <w:sz w:val="25"/>
        </w:rPr>
        <w:t> </w:t>
      </w:r>
      <w:r>
        <w:rPr>
          <w:sz w:val="25"/>
        </w:rPr>
        <w:t>drawn</w:t>
      </w:r>
      <w:r>
        <w:rPr>
          <w:spacing w:val="38"/>
          <w:sz w:val="25"/>
        </w:rPr>
        <w:t> </w:t>
      </w:r>
      <w:r>
        <w:rPr>
          <w:sz w:val="25"/>
        </w:rPr>
        <w:t>under</w:t>
      </w:r>
      <w:r>
        <w:rPr>
          <w:spacing w:val="39"/>
          <w:sz w:val="25"/>
        </w:rPr>
        <w:t> </w:t>
      </w:r>
      <w:r>
        <w:rPr>
          <w:sz w:val="25"/>
        </w:rPr>
        <w:t>Section</w:t>
      </w:r>
      <w:r>
        <w:rPr>
          <w:spacing w:val="39"/>
          <w:sz w:val="25"/>
        </w:rPr>
        <w:t> </w:t>
      </w:r>
      <w:r>
        <w:rPr>
          <w:sz w:val="25"/>
        </w:rPr>
        <w:t>114</w:t>
      </w:r>
      <w:r>
        <w:rPr>
          <w:spacing w:val="39"/>
          <w:sz w:val="25"/>
        </w:rPr>
        <w:t> </w:t>
      </w:r>
      <w:r>
        <w:rPr>
          <w:sz w:val="25"/>
        </w:rPr>
        <w:t>of</w:t>
      </w:r>
      <w:r>
        <w:rPr>
          <w:spacing w:val="38"/>
          <w:sz w:val="25"/>
        </w:rPr>
        <w:t> </w:t>
      </w:r>
      <w:r>
        <w:rPr>
          <w:sz w:val="25"/>
        </w:rPr>
        <w:t>the</w:t>
      </w:r>
      <w:r>
        <w:rPr>
          <w:spacing w:val="39"/>
          <w:sz w:val="25"/>
        </w:rPr>
        <w:t> </w:t>
      </w:r>
      <w:r>
        <w:rPr>
          <w:sz w:val="25"/>
        </w:rPr>
        <w:t>Evidence</w:t>
      </w:r>
      <w:r>
        <w:rPr>
          <w:spacing w:val="39"/>
          <w:sz w:val="25"/>
        </w:rPr>
        <w:t> </w:t>
      </w:r>
      <w:r>
        <w:rPr>
          <w:sz w:val="25"/>
        </w:rPr>
        <w:t>Act</w:t>
      </w:r>
      <w:r>
        <w:rPr>
          <w:spacing w:val="38"/>
          <w:sz w:val="25"/>
        </w:rPr>
        <w:t> </w:t>
      </w:r>
      <w:r>
        <w:rPr>
          <w:sz w:val="25"/>
        </w:rPr>
        <w:t>that</w:t>
      </w:r>
      <w:r>
        <w:rPr>
          <w:spacing w:val="39"/>
          <w:sz w:val="25"/>
        </w:rPr>
        <w:t> </w:t>
      </w:r>
      <w:r>
        <w:rPr>
          <w:sz w:val="25"/>
        </w:rPr>
        <w:t>the</w:t>
      </w:r>
    </w:p>
    <w:p>
      <w:pPr>
        <w:pStyle w:val="BodyText"/>
        <w:spacing w:before="5"/>
        <w:rPr>
          <w:sz w:val="29"/>
        </w:rPr>
      </w:pPr>
      <w:r>
        <w:rPr/>
        <w:pict>
          <v:rect style="position:absolute;margin-left:72.024002pt;margin-top:18.884668pt;width:144.020pt;height:.599980pt;mso-position-horizontal-relative:page;mso-position-vertical-relative:paragraph;z-index:-1565593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261</w:t>
      </w:r>
      <w:r>
        <w:rPr>
          <w:sz w:val="18"/>
          <w:vertAlign w:val="baseline"/>
        </w:rPr>
        <w:t> (2003) 10 SCC 578</w:t>
      </w:r>
    </w:p>
    <w:p>
      <w:pPr>
        <w:spacing w:after="0"/>
        <w:jc w:val="left"/>
        <w:rPr>
          <w:sz w:val="18"/>
        </w:rPr>
        <w:sectPr>
          <w:pgSz w:w="11910" w:h="16840"/>
          <w:pgMar w:header="721" w:footer="1014" w:top="1300" w:bottom="1200" w:left="940" w:right="1000"/>
        </w:sectPr>
      </w:pPr>
    </w:p>
    <w:p>
      <w:pPr>
        <w:pStyle w:val="BodyText"/>
        <w:spacing w:line="480" w:lineRule="auto" w:before="124"/>
        <w:ind w:left="1220" w:right="434"/>
        <w:jc w:val="both"/>
      </w:pPr>
      <w:r>
        <w:rPr/>
        <w:t>Hindus were aware of the suit. A reasonable inference can be drawn from primary facts even if there is no direct evidence of the awareness of the Hindus of the institution of the earlier suit.</w:t>
      </w:r>
    </w:p>
    <w:p>
      <w:pPr>
        <w:pStyle w:val="BodyText"/>
        <w:spacing w:before="10"/>
        <w:rPr>
          <w:sz w:val="24"/>
        </w:rPr>
      </w:pPr>
    </w:p>
    <w:p>
      <w:pPr>
        <w:pStyle w:val="BodyText"/>
        <w:spacing w:line="480" w:lineRule="auto"/>
        <w:ind w:left="500" w:right="434"/>
        <w:jc w:val="both"/>
      </w:pPr>
      <w:r>
        <w:rPr/>
        <w:t>Justice D V Sharma, while coming to the conclusion that the bar of </w:t>
      </w:r>
      <w:r>
        <w:rPr>
          <w:i/>
        </w:rPr>
        <w:t>res judicata </w:t>
      </w:r>
      <w:r>
        <w:rPr/>
        <w:t>was not attracted, held that the earlier suit was not of a representative character since the requirements of public notice under Section 539 of the Code of Civil Procedure 1882 were not complied with. The learned Judge observed that  neither were the parties to the earlier suit the same as those in the present proceedings, nor was the subject matter identical since the earlier suit only related to the Chabutra. Assailing these findings, Mr Naphade urged that the plaint in the earlier suit was for the benefit of the Hindus; the Secretary of State in Council represented all segments of the community and, in any event, the absence of a public notice under Section 539 would not obviate the bar of </w:t>
      </w:r>
      <w:r>
        <w:rPr>
          <w:i/>
        </w:rPr>
        <w:t>res </w:t>
      </w:r>
      <w:r>
        <w:rPr>
          <w:i/>
        </w:rPr>
        <w:t>judicata. </w:t>
      </w:r>
      <w:r>
        <w:rPr/>
        <w:t>In his submission, the application of Explanation VI to Section 11 of the CPC</w:t>
      </w:r>
      <w:r>
        <w:rPr>
          <w:vertAlign w:val="superscript"/>
        </w:rPr>
        <w:t>262</w:t>
      </w:r>
      <w:r>
        <w:rPr>
          <w:vertAlign w:val="baseline"/>
        </w:rPr>
        <w:t> is not subject to Order 1 Rule</w:t>
      </w:r>
      <w:r>
        <w:rPr>
          <w:spacing w:val="-4"/>
          <w:vertAlign w:val="baseline"/>
        </w:rPr>
        <w:t> </w:t>
      </w:r>
      <w:r>
        <w:rPr>
          <w:vertAlign w:val="baseline"/>
        </w:rPr>
        <w:t>8.</w:t>
      </w:r>
    </w:p>
    <w:p>
      <w:pPr>
        <w:pStyle w:val="BodyText"/>
        <w:spacing w:before="2"/>
        <w:rPr>
          <w:sz w:val="39"/>
        </w:rPr>
      </w:pPr>
    </w:p>
    <w:p>
      <w:pPr>
        <w:pStyle w:val="ListParagraph"/>
        <w:numPr>
          <w:ilvl w:val="0"/>
          <w:numId w:val="111"/>
        </w:numPr>
        <w:tabs>
          <w:tab w:pos="1221" w:val="left" w:leader="none"/>
        </w:tabs>
        <w:spacing w:line="480" w:lineRule="auto" w:before="0" w:after="0"/>
        <w:ind w:left="500" w:right="439" w:firstLine="0"/>
        <w:jc w:val="both"/>
        <w:rPr>
          <w:sz w:val="25"/>
        </w:rPr>
      </w:pPr>
      <w:r>
        <w:rPr>
          <w:sz w:val="25"/>
        </w:rPr>
        <w:t>Apart from assailing the findings which have been recorded by each of the three judges of the Allahabad High Court on the plea of </w:t>
      </w:r>
      <w:r>
        <w:rPr>
          <w:i/>
          <w:sz w:val="25"/>
        </w:rPr>
        <w:t>res judicata, </w:t>
      </w:r>
      <w:r>
        <w:rPr>
          <w:sz w:val="25"/>
        </w:rPr>
        <w:t>Mr Naphade has urged that the provisions contained in Section 11 of the CPC 1908 stand attracted for the following reasons:</w:t>
      </w:r>
    </w:p>
    <w:p>
      <w:pPr>
        <w:pStyle w:val="ListParagraph"/>
        <w:numPr>
          <w:ilvl w:val="0"/>
          <w:numId w:val="135"/>
        </w:numPr>
        <w:tabs>
          <w:tab w:pos="1221" w:val="left" w:leader="none"/>
        </w:tabs>
        <w:spacing w:line="480" w:lineRule="auto" w:before="161" w:after="0"/>
        <w:ind w:left="1220" w:right="445" w:hanging="720"/>
        <w:jc w:val="both"/>
        <w:rPr>
          <w:sz w:val="25"/>
        </w:rPr>
      </w:pPr>
      <w:r>
        <w:rPr/>
        <w:pict>
          <v:rect style="position:absolute;margin-left:72.024002pt;margin-top:67.654877pt;width:144.020pt;height:.599980pt;mso-position-horizontal-relative:page;mso-position-vertical-relative:paragraph;z-index:-15655424;mso-wrap-distance-left:0;mso-wrap-distance-right:0" filled="true" fillcolor="#000000" stroked="false">
            <v:fill type="solid"/>
            <w10:wrap type="topAndBottom"/>
          </v:rect>
        </w:pict>
      </w:r>
      <w:r>
        <w:rPr>
          <w:sz w:val="25"/>
        </w:rPr>
        <w:t>The matter has been directly and substantially in issue in the former suit between the parties</w:t>
      </w:r>
      <w:r>
        <w:rPr>
          <w:spacing w:val="-3"/>
          <w:sz w:val="25"/>
        </w:rPr>
        <w:t> </w:t>
      </w:r>
      <w:r>
        <w:rPr>
          <w:sz w:val="25"/>
        </w:rPr>
        <w:t>since:</w:t>
      </w:r>
    </w:p>
    <w:p>
      <w:pPr>
        <w:spacing w:line="205" w:lineRule="exact" w:before="81"/>
        <w:ind w:left="500" w:right="0" w:firstLine="0"/>
        <w:jc w:val="both"/>
        <w:rPr>
          <w:sz w:val="18"/>
        </w:rPr>
      </w:pPr>
      <w:r>
        <w:rPr>
          <w:sz w:val="18"/>
          <w:vertAlign w:val="superscript"/>
        </w:rPr>
        <w:t>262</w:t>
      </w:r>
      <w:r>
        <w:rPr>
          <w:sz w:val="18"/>
          <w:vertAlign w:val="baseline"/>
        </w:rPr>
        <w:t> Section 11 provides thus :</w:t>
      </w:r>
    </w:p>
    <w:p>
      <w:pPr>
        <w:spacing w:before="0"/>
        <w:ind w:left="500" w:right="441" w:firstLine="0"/>
        <w:jc w:val="both"/>
        <w:rPr>
          <w:sz w:val="18"/>
        </w:rPr>
      </w:pPr>
      <w:r>
        <w:rPr>
          <w:sz w:val="18"/>
        </w:rPr>
        <w:t>Explanation VI – Where persons litigate </w:t>
      </w:r>
      <w:r>
        <w:rPr>
          <w:i/>
          <w:sz w:val="18"/>
        </w:rPr>
        <w:t>bona fide </w:t>
      </w:r>
      <w:r>
        <w:rPr>
          <w:sz w:val="18"/>
        </w:rPr>
        <w:t>in respect of a public right or of a private right claimed in common for themselves and others, all persons interested in such right shall, for the purposes of this section, be deemd to claim under the persons so litigating.</w:t>
      </w:r>
    </w:p>
    <w:p>
      <w:pPr>
        <w:spacing w:after="0"/>
        <w:jc w:val="both"/>
        <w:rPr>
          <w:sz w:val="18"/>
        </w:rPr>
        <w:sectPr>
          <w:pgSz w:w="11910" w:h="16840"/>
          <w:pgMar w:header="721" w:footer="1014" w:top="1300" w:bottom="1200" w:left="940" w:right="1000"/>
        </w:sectPr>
      </w:pPr>
    </w:p>
    <w:p>
      <w:pPr>
        <w:pStyle w:val="ListParagraph"/>
        <w:numPr>
          <w:ilvl w:val="1"/>
          <w:numId w:val="135"/>
        </w:numPr>
        <w:tabs>
          <w:tab w:pos="2121" w:val="left" w:leader="none"/>
        </w:tabs>
        <w:spacing w:line="480" w:lineRule="auto" w:before="124" w:after="0"/>
        <w:ind w:left="2120" w:right="442" w:hanging="900"/>
        <w:jc w:val="both"/>
        <w:rPr>
          <w:sz w:val="25"/>
        </w:rPr>
      </w:pPr>
      <w:r>
        <w:rPr>
          <w:sz w:val="25"/>
        </w:rPr>
        <w:t>the claim of ownership of possession of the Hindus was rejected by the Judicial Commissioner in the Suit of 1885;</w:t>
      </w:r>
      <w:r>
        <w:rPr>
          <w:spacing w:val="-7"/>
          <w:sz w:val="25"/>
        </w:rPr>
        <w:t> </w:t>
      </w:r>
      <w:r>
        <w:rPr>
          <w:sz w:val="25"/>
        </w:rPr>
        <w:t>and</w:t>
      </w:r>
    </w:p>
    <w:p>
      <w:pPr>
        <w:pStyle w:val="ListParagraph"/>
        <w:numPr>
          <w:ilvl w:val="1"/>
          <w:numId w:val="135"/>
        </w:numPr>
        <w:tabs>
          <w:tab w:pos="2121" w:val="left" w:leader="none"/>
        </w:tabs>
        <w:spacing w:line="480" w:lineRule="auto" w:before="0" w:after="0"/>
        <w:ind w:left="2120" w:right="442" w:hanging="900"/>
        <w:jc w:val="both"/>
        <w:rPr>
          <w:sz w:val="25"/>
        </w:rPr>
      </w:pPr>
      <w:r>
        <w:rPr>
          <w:sz w:val="25"/>
        </w:rPr>
        <w:t>there was no challenge to the existence of the mosque in the previous suit as a consequence of which there is an implicit acceptance of the title and right of the</w:t>
      </w:r>
      <w:r>
        <w:rPr>
          <w:spacing w:val="-8"/>
          <w:sz w:val="25"/>
        </w:rPr>
        <w:t> </w:t>
      </w:r>
      <w:r>
        <w:rPr>
          <w:sz w:val="25"/>
        </w:rPr>
        <w:t>Muslims;</w:t>
      </w:r>
    </w:p>
    <w:p>
      <w:pPr>
        <w:pStyle w:val="ListParagraph"/>
        <w:numPr>
          <w:ilvl w:val="0"/>
          <w:numId w:val="135"/>
        </w:numPr>
        <w:tabs>
          <w:tab w:pos="1221" w:val="left" w:leader="none"/>
        </w:tabs>
        <w:spacing w:line="480" w:lineRule="auto" w:before="0" w:after="0"/>
        <w:ind w:left="1220" w:right="436" w:hanging="720"/>
        <w:jc w:val="both"/>
        <w:rPr>
          <w:sz w:val="25"/>
        </w:rPr>
      </w:pPr>
      <w:r>
        <w:rPr>
          <w:sz w:val="25"/>
        </w:rPr>
        <w:t>The plaintiff in the earlier suit who described himself as a Mahant of the Janmasthan essentially represented the cause of the Hindus and hence, </w:t>
      </w:r>
      <w:r>
        <w:rPr>
          <w:i/>
          <w:w w:val="99"/>
          <w:sz w:val="25"/>
        </w:rPr>
        <w:t>r</w:t>
      </w:r>
      <w:r>
        <w:rPr>
          <w:i/>
          <w:w w:val="99"/>
          <w:sz w:val="25"/>
        </w:rPr>
        <w:t>es</w:t>
      </w:r>
      <w:r>
        <w:rPr>
          <w:i/>
          <w:spacing w:val="2"/>
          <w:sz w:val="25"/>
        </w:rPr>
        <w:t> </w:t>
      </w:r>
      <w:r>
        <w:rPr>
          <w:i/>
          <w:w w:val="99"/>
          <w:sz w:val="25"/>
        </w:rPr>
        <w:t>judica</w:t>
      </w:r>
      <w:r>
        <w:rPr>
          <w:i/>
          <w:w w:val="99"/>
          <w:sz w:val="25"/>
        </w:rPr>
        <w:t>ta</w:t>
      </w:r>
      <w:r>
        <w:rPr>
          <w:i/>
          <w:spacing w:val="3"/>
          <w:sz w:val="25"/>
        </w:rPr>
        <w:t> </w:t>
      </w:r>
      <w:r>
        <w:rPr>
          <w:spacing w:val="-1"/>
          <w:w w:val="99"/>
          <w:sz w:val="25"/>
        </w:rPr>
        <w:t>woul</w:t>
      </w:r>
      <w:r>
        <w:rPr>
          <w:w w:val="99"/>
          <w:sz w:val="25"/>
        </w:rPr>
        <w:t>d</w:t>
      </w:r>
      <w:r>
        <w:rPr>
          <w:spacing w:val="2"/>
          <w:sz w:val="25"/>
        </w:rPr>
        <w:t> </w:t>
      </w:r>
      <w:r>
        <w:rPr>
          <w:spacing w:val="-1"/>
          <w:w w:val="99"/>
          <w:sz w:val="25"/>
        </w:rPr>
        <w:t>a</w:t>
      </w:r>
      <w:r>
        <w:rPr>
          <w:spacing w:val="-2"/>
          <w:w w:val="99"/>
          <w:sz w:val="25"/>
        </w:rPr>
        <w:t>p</w:t>
      </w:r>
      <w:r>
        <w:rPr>
          <w:spacing w:val="-1"/>
          <w:w w:val="99"/>
          <w:sz w:val="25"/>
        </w:rPr>
        <w:t>pl</w:t>
      </w:r>
      <w:r>
        <w:rPr>
          <w:spacing w:val="-3"/>
          <w:w w:val="99"/>
          <w:sz w:val="25"/>
        </w:rPr>
        <w:t>y</w:t>
      </w:r>
      <w:r>
        <w:rPr>
          <w:w w:val="99"/>
          <w:sz w:val="25"/>
        </w:rPr>
        <w:t>.</w:t>
      </w:r>
      <w:r>
        <w:rPr>
          <w:spacing w:val="2"/>
          <w:sz w:val="25"/>
        </w:rPr>
        <w:t> </w:t>
      </w:r>
      <w:r>
        <w:rPr>
          <w:w w:val="99"/>
          <w:sz w:val="25"/>
        </w:rPr>
        <w:t>T</w:t>
      </w:r>
      <w:r>
        <w:rPr>
          <w:spacing w:val="-1"/>
          <w:w w:val="99"/>
          <w:sz w:val="25"/>
        </w:rPr>
        <w:t>h</w:t>
      </w:r>
      <w:r>
        <w:rPr>
          <w:w w:val="99"/>
          <w:sz w:val="25"/>
        </w:rPr>
        <w:t>e</w:t>
      </w:r>
      <w:r>
        <w:rPr>
          <w:spacing w:val="2"/>
          <w:sz w:val="25"/>
        </w:rPr>
        <w:t> </w:t>
      </w:r>
      <w:r>
        <w:rPr>
          <w:spacing w:val="-1"/>
          <w:w w:val="99"/>
          <w:sz w:val="25"/>
        </w:rPr>
        <w:t>e</w:t>
      </w:r>
      <w:r>
        <w:rPr>
          <w:w w:val="99"/>
          <w:sz w:val="25"/>
        </w:rPr>
        <w:t>ar</w:t>
      </w:r>
      <w:r>
        <w:rPr>
          <w:spacing w:val="-1"/>
          <w:w w:val="99"/>
          <w:sz w:val="25"/>
        </w:rPr>
        <w:t>lie</w:t>
      </w:r>
      <w:r>
        <w:rPr>
          <w:w w:val="99"/>
          <w:sz w:val="25"/>
        </w:rPr>
        <w:t>r</w:t>
      </w:r>
      <w:r>
        <w:rPr>
          <w:spacing w:val="2"/>
          <w:sz w:val="25"/>
        </w:rPr>
        <w:t> </w:t>
      </w:r>
      <w:r>
        <w:rPr>
          <w:w w:val="99"/>
          <w:sz w:val="25"/>
        </w:rPr>
        <w:t>suit</w:t>
      </w:r>
      <w:r>
        <w:rPr>
          <w:spacing w:val="2"/>
          <w:sz w:val="25"/>
        </w:rPr>
        <w:t> </w:t>
      </w:r>
      <w:r>
        <w:rPr>
          <w:spacing w:val="-1"/>
          <w:w w:val="99"/>
          <w:sz w:val="25"/>
        </w:rPr>
        <w:t>wa</w:t>
      </w:r>
      <w:r>
        <w:rPr>
          <w:w w:val="99"/>
          <w:sz w:val="25"/>
        </w:rPr>
        <w:t>s</w:t>
      </w:r>
      <w:r>
        <w:rPr>
          <w:spacing w:val="2"/>
          <w:sz w:val="25"/>
        </w:rPr>
        <w:t> </w:t>
      </w:r>
      <w:r>
        <w:rPr>
          <w:w w:val="33"/>
          <w:sz w:val="25"/>
        </w:rPr>
        <w:t>―</w:t>
      </w:r>
      <w:r>
        <w:rPr>
          <w:spacing w:val="-1"/>
          <w:w w:val="99"/>
          <w:sz w:val="25"/>
        </w:rPr>
        <w:t>b</w:t>
      </w:r>
      <w:r>
        <w:rPr>
          <w:w w:val="99"/>
          <w:sz w:val="25"/>
        </w:rPr>
        <w:t>etween</w:t>
      </w:r>
      <w:r>
        <w:rPr>
          <w:spacing w:val="2"/>
          <w:sz w:val="25"/>
        </w:rPr>
        <w:t> </w:t>
      </w:r>
      <w:r>
        <w:rPr>
          <w:w w:val="99"/>
          <w:sz w:val="25"/>
        </w:rPr>
        <w:t>the</w:t>
      </w:r>
      <w:r>
        <w:rPr>
          <w:spacing w:val="2"/>
          <w:sz w:val="25"/>
        </w:rPr>
        <w:t> </w:t>
      </w:r>
      <w:r>
        <w:rPr>
          <w:w w:val="99"/>
          <w:sz w:val="25"/>
        </w:rPr>
        <w:t>sa</w:t>
      </w:r>
      <w:r>
        <w:rPr>
          <w:spacing w:val="-1"/>
          <w:w w:val="99"/>
          <w:sz w:val="25"/>
        </w:rPr>
        <w:t>m</w:t>
      </w:r>
      <w:r>
        <w:rPr>
          <w:w w:val="99"/>
          <w:sz w:val="25"/>
        </w:rPr>
        <w:t>e</w:t>
      </w:r>
      <w:r>
        <w:rPr>
          <w:spacing w:val="2"/>
          <w:sz w:val="25"/>
        </w:rPr>
        <w:t> </w:t>
      </w:r>
      <w:r>
        <w:rPr>
          <w:spacing w:val="-1"/>
          <w:w w:val="99"/>
          <w:sz w:val="25"/>
        </w:rPr>
        <w:t>p</w:t>
      </w:r>
      <w:r>
        <w:rPr>
          <w:w w:val="99"/>
          <w:sz w:val="25"/>
        </w:rPr>
        <w:t>arties</w:t>
      </w:r>
      <w:r>
        <w:rPr>
          <w:spacing w:val="2"/>
          <w:sz w:val="25"/>
        </w:rPr>
        <w:t> </w:t>
      </w:r>
      <w:r>
        <w:rPr>
          <w:spacing w:val="-3"/>
          <w:w w:val="99"/>
          <w:sz w:val="25"/>
        </w:rPr>
        <w:t>o</w:t>
      </w:r>
      <w:r>
        <w:rPr>
          <w:w w:val="99"/>
          <w:sz w:val="25"/>
        </w:rPr>
        <w:t>r </w:t>
      </w:r>
      <w:r>
        <w:rPr>
          <w:sz w:val="25"/>
        </w:rPr>
        <w:t>between parties under whom they or any of them claim litigating under the same title‖;</w:t>
      </w:r>
      <w:r>
        <w:rPr>
          <w:spacing w:val="-2"/>
          <w:sz w:val="25"/>
        </w:rPr>
        <w:t> </w:t>
      </w:r>
      <w:r>
        <w:rPr>
          <w:sz w:val="25"/>
        </w:rPr>
        <w:t>and</w:t>
      </w:r>
    </w:p>
    <w:p>
      <w:pPr>
        <w:pStyle w:val="ListParagraph"/>
        <w:numPr>
          <w:ilvl w:val="0"/>
          <w:numId w:val="135"/>
        </w:numPr>
        <w:tabs>
          <w:tab w:pos="1221" w:val="left" w:leader="none"/>
        </w:tabs>
        <w:spacing w:line="480" w:lineRule="auto" w:before="1" w:after="0"/>
        <w:ind w:left="1220" w:right="443" w:hanging="720"/>
        <w:jc w:val="both"/>
        <w:rPr>
          <w:sz w:val="25"/>
        </w:rPr>
      </w:pPr>
      <w:r>
        <w:rPr>
          <w:sz w:val="25"/>
        </w:rPr>
        <w:t>The cause of action in the former suit is the same as that in the present batch of cases. The title to the property claimed by the Hindus is the same in both the suits and the cause of action is based on the right to construct the</w:t>
      </w:r>
      <w:r>
        <w:rPr>
          <w:spacing w:val="-1"/>
          <w:sz w:val="25"/>
        </w:rPr>
        <w:t> </w:t>
      </w:r>
      <w:r>
        <w:rPr>
          <w:sz w:val="25"/>
        </w:rPr>
        <w:t>temple.</w:t>
      </w:r>
    </w:p>
    <w:p>
      <w:pPr>
        <w:pStyle w:val="BodyText"/>
      </w:pPr>
    </w:p>
    <w:p>
      <w:pPr>
        <w:pStyle w:val="BodyText"/>
        <w:spacing w:line="480" w:lineRule="auto"/>
        <w:ind w:left="500" w:right="434"/>
        <w:jc w:val="both"/>
      </w:pPr>
      <w:r>
        <w:rPr/>
        <w:t>On these grounds, Mr Naphade submitted that the bar of </w:t>
      </w:r>
      <w:r>
        <w:rPr>
          <w:i/>
        </w:rPr>
        <w:t>res judicata </w:t>
      </w:r>
      <w:r>
        <w:rPr/>
        <w:t>is attracted under Section 11 read with Explanation VI of the CPC. He urged that the failure to follow the provisions of Section 30 of the Code of 1882 (akin to Order 1 Rule 8 of the CPC 1908) should make no difference since the provisions of Section 11 are not subject to Order 1 Rule</w:t>
      </w:r>
      <w:r>
        <w:rPr>
          <w:spacing w:val="-5"/>
        </w:rPr>
        <w:t> </w:t>
      </w:r>
      <w:r>
        <w:rPr/>
        <w:t>8.</w:t>
      </w:r>
    </w:p>
    <w:p>
      <w:pPr>
        <w:pStyle w:val="BodyText"/>
        <w:rPr>
          <w:sz w:val="28"/>
        </w:rPr>
      </w:pPr>
    </w:p>
    <w:p>
      <w:pPr>
        <w:pStyle w:val="BodyText"/>
        <w:rPr>
          <w:sz w:val="22"/>
        </w:rPr>
      </w:pPr>
    </w:p>
    <w:p>
      <w:pPr>
        <w:pStyle w:val="BodyText"/>
        <w:spacing w:line="480" w:lineRule="auto"/>
        <w:ind w:left="500" w:right="434"/>
        <w:jc w:val="both"/>
      </w:pPr>
      <w:r>
        <w:rPr/>
        <w:t>Mr Naphade also urged that the principle of </w:t>
      </w:r>
      <w:r>
        <w:rPr>
          <w:i/>
        </w:rPr>
        <w:t>constructive res judicata </w:t>
      </w:r>
      <w:r>
        <w:rPr/>
        <w:t>under Explanation IV to Section 11 is attracted. Finally, he submitted that the earlier findings in the Suit of 1885 would operate as issue estoppel and since the order in the earlier suit was </w:t>
      </w:r>
      <w:r>
        <w:rPr>
          <w:i/>
        </w:rPr>
        <w:t>in rem</w:t>
      </w:r>
      <w:r>
        <w:rPr/>
        <w:t>; all Hindus would stand bound by the conclusion.</w:t>
      </w:r>
      <w:r>
        <w:rPr>
          <w:spacing w:val="25"/>
        </w:rPr>
        <w:t> </w:t>
      </w:r>
      <w:r>
        <w:rPr/>
        <w: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t>urged that the plan, which was annexed to the Suit of 1885, was essentially the same and hence the principle of estoppel by record would stand attracted.</w:t>
      </w:r>
    </w:p>
    <w:p>
      <w:pPr>
        <w:pStyle w:val="BodyText"/>
        <w:spacing w:before="11"/>
        <w:rPr>
          <w:sz w:val="38"/>
        </w:rPr>
      </w:pPr>
    </w:p>
    <w:p>
      <w:pPr>
        <w:pStyle w:val="BodyText"/>
        <w:spacing w:line="480" w:lineRule="auto"/>
        <w:ind w:left="500" w:right="438"/>
        <w:jc w:val="both"/>
      </w:pPr>
      <w:r>
        <w:rPr/>
        <w:t>Controverting the submissions, Mr K Parasaran, learned Senior Counsel appearing on behalf of the plaintiffs in Suit 5 submitted that the principles of </w:t>
      </w:r>
      <w:r>
        <w:rPr>
          <w:i/>
        </w:rPr>
        <w:t>res </w:t>
      </w:r>
      <w:r>
        <w:rPr>
          <w:i/>
        </w:rPr>
        <w:t>judicata </w:t>
      </w:r>
      <w:r>
        <w:rPr/>
        <w:t>are not attracted for the following reasons:</w:t>
      </w:r>
    </w:p>
    <w:p>
      <w:pPr>
        <w:pStyle w:val="BodyText"/>
        <w:rPr>
          <w:sz w:val="28"/>
        </w:rPr>
      </w:pPr>
    </w:p>
    <w:p>
      <w:pPr>
        <w:pStyle w:val="BodyText"/>
        <w:spacing w:before="8"/>
        <w:rPr>
          <w:sz w:val="24"/>
        </w:rPr>
      </w:pPr>
    </w:p>
    <w:p>
      <w:pPr>
        <w:pStyle w:val="ListParagraph"/>
        <w:numPr>
          <w:ilvl w:val="0"/>
          <w:numId w:val="136"/>
        </w:numPr>
        <w:tabs>
          <w:tab w:pos="1220" w:val="left" w:leader="none"/>
          <w:tab w:pos="1221" w:val="left" w:leader="none"/>
        </w:tabs>
        <w:spacing w:line="240" w:lineRule="auto" w:before="0" w:after="0"/>
        <w:ind w:left="1220" w:right="0" w:hanging="721"/>
        <w:jc w:val="left"/>
        <w:rPr>
          <w:sz w:val="25"/>
        </w:rPr>
      </w:pPr>
      <w:r>
        <w:rPr>
          <w:sz w:val="25"/>
        </w:rPr>
        <w:t>Parties are</w:t>
      </w:r>
      <w:r>
        <w:rPr>
          <w:spacing w:val="-3"/>
          <w:sz w:val="25"/>
        </w:rPr>
        <w:t> </w:t>
      </w:r>
      <w:r>
        <w:rPr>
          <w:sz w:val="25"/>
        </w:rPr>
        <w:t>different:</w:t>
      </w:r>
    </w:p>
    <w:p>
      <w:pPr>
        <w:pStyle w:val="BodyText"/>
        <w:spacing w:before="1"/>
      </w:pPr>
    </w:p>
    <w:p>
      <w:pPr>
        <w:pStyle w:val="ListParagraph"/>
        <w:numPr>
          <w:ilvl w:val="1"/>
          <w:numId w:val="136"/>
        </w:numPr>
        <w:tabs>
          <w:tab w:pos="1941" w:val="left" w:leader="none"/>
        </w:tabs>
        <w:spacing w:line="480" w:lineRule="auto" w:before="0" w:after="0"/>
        <w:ind w:left="1940" w:right="437" w:hanging="720"/>
        <w:jc w:val="both"/>
        <w:rPr>
          <w:sz w:val="25"/>
        </w:rPr>
      </w:pPr>
      <w:r>
        <w:rPr>
          <w:sz w:val="25"/>
        </w:rPr>
        <w:t>Neither the deities (the plaintiffs in Suit 5) nor the Sunni Central Waqf Board (the plaintiff in Suit 4) were parties to the Suit of 1885; and</w:t>
      </w:r>
    </w:p>
    <w:p>
      <w:pPr>
        <w:pStyle w:val="ListParagraph"/>
        <w:numPr>
          <w:ilvl w:val="1"/>
          <w:numId w:val="136"/>
        </w:numPr>
        <w:tabs>
          <w:tab w:pos="1941" w:val="left" w:leader="none"/>
        </w:tabs>
        <w:spacing w:line="480" w:lineRule="auto" w:before="1" w:after="0"/>
        <w:ind w:left="1940" w:right="439" w:hanging="720"/>
        <w:jc w:val="both"/>
        <w:rPr>
          <w:sz w:val="25"/>
        </w:rPr>
      </w:pPr>
      <w:r>
        <w:rPr>
          <w:sz w:val="25"/>
        </w:rPr>
        <w:t>The Suit of 1885 was not instituted by Mahant Raghubar Das in a representative</w:t>
      </w:r>
      <w:r>
        <w:rPr>
          <w:spacing w:val="-2"/>
          <w:sz w:val="25"/>
        </w:rPr>
        <w:t> </w:t>
      </w:r>
      <w:r>
        <w:rPr>
          <w:sz w:val="25"/>
        </w:rPr>
        <w:t>capacity.</w:t>
      </w:r>
    </w:p>
    <w:p>
      <w:pPr>
        <w:pStyle w:val="ListParagraph"/>
        <w:numPr>
          <w:ilvl w:val="0"/>
          <w:numId w:val="136"/>
        </w:numPr>
        <w:tabs>
          <w:tab w:pos="1221" w:val="left" w:leader="none"/>
        </w:tabs>
        <w:spacing w:line="480" w:lineRule="auto" w:before="0" w:after="0"/>
        <w:ind w:left="1220" w:right="446" w:hanging="720"/>
        <w:jc w:val="both"/>
        <w:rPr>
          <w:sz w:val="25"/>
        </w:rPr>
      </w:pPr>
      <w:r>
        <w:rPr>
          <w:sz w:val="25"/>
        </w:rPr>
        <w:t>The suit was for asserting a personal right to construct a temple on the Chabutra:</w:t>
      </w:r>
    </w:p>
    <w:p>
      <w:pPr>
        <w:pStyle w:val="ListParagraph"/>
        <w:numPr>
          <w:ilvl w:val="1"/>
          <w:numId w:val="136"/>
        </w:numPr>
        <w:tabs>
          <w:tab w:pos="1941" w:val="left" w:leader="none"/>
        </w:tabs>
        <w:spacing w:line="480" w:lineRule="auto" w:before="0" w:after="0"/>
        <w:ind w:left="1940" w:right="441" w:hanging="720"/>
        <w:jc w:val="both"/>
        <w:rPr>
          <w:sz w:val="25"/>
        </w:rPr>
      </w:pPr>
      <w:r>
        <w:rPr>
          <w:sz w:val="25"/>
        </w:rPr>
        <w:t>No application under Section 30 of the CPC 1882 which was in force when the earlier suit was instituted, corresponding to Order I Rule 8 of the CPC 1908 was</w:t>
      </w:r>
      <w:r>
        <w:rPr>
          <w:spacing w:val="-3"/>
          <w:sz w:val="25"/>
        </w:rPr>
        <w:t> </w:t>
      </w:r>
      <w:r>
        <w:rPr>
          <w:sz w:val="25"/>
        </w:rPr>
        <w:t>filed;</w:t>
      </w:r>
    </w:p>
    <w:p>
      <w:pPr>
        <w:pStyle w:val="ListParagraph"/>
        <w:numPr>
          <w:ilvl w:val="1"/>
          <w:numId w:val="136"/>
        </w:numPr>
        <w:tabs>
          <w:tab w:pos="1941" w:val="left" w:leader="none"/>
        </w:tabs>
        <w:spacing w:line="480" w:lineRule="auto" w:before="1" w:after="0"/>
        <w:ind w:left="1940" w:right="442" w:hanging="720"/>
        <w:jc w:val="both"/>
        <w:rPr>
          <w:sz w:val="25"/>
        </w:rPr>
      </w:pPr>
      <w:r>
        <w:rPr>
          <w:sz w:val="25"/>
        </w:rPr>
        <w:t>Neither the deities nor the Hindu public claimed any right through Mahant Raghubar Das in</w:t>
      </w:r>
      <w:r>
        <w:rPr>
          <w:spacing w:val="-3"/>
          <w:sz w:val="25"/>
        </w:rPr>
        <w:t> </w:t>
      </w:r>
      <w:r>
        <w:rPr>
          <w:sz w:val="25"/>
        </w:rPr>
        <w:t>1885;</w:t>
      </w:r>
    </w:p>
    <w:p>
      <w:pPr>
        <w:pStyle w:val="ListParagraph"/>
        <w:numPr>
          <w:ilvl w:val="1"/>
          <w:numId w:val="136"/>
        </w:numPr>
        <w:tabs>
          <w:tab w:pos="1941" w:val="left" w:leader="none"/>
        </w:tabs>
        <w:spacing w:line="480" w:lineRule="auto" w:before="0" w:after="0"/>
        <w:ind w:left="1940" w:right="437" w:hanging="720"/>
        <w:jc w:val="both"/>
        <w:rPr>
          <w:sz w:val="25"/>
        </w:rPr>
      </w:pPr>
      <w:r>
        <w:rPr>
          <w:sz w:val="25"/>
        </w:rPr>
        <w:t>In Suit 4, an order was passed on 8 August 1962 under which the plaintiffs sued in their representative capacity on behalf of the Muslims and defendant nos 1 to 4 were permitted to be sued on behalf of the Hindus;</w:t>
      </w:r>
      <w:r>
        <w:rPr>
          <w:spacing w:val="-3"/>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ListParagraph"/>
        <w:numPr>
          <w:ilvl w:val="1"/>
          <w:numId w:val="136"/>
        </w:numPr>
        <w:tabs>
          <w:tab w:pos="1941" w:val="left" w:leader="none"/>
        </w:tabs>
        <w:spacing w:line="480" w:lineRule="auto" w:before="124" w:after="0"/>
        <w:ind w:left="1940" w:right="439" w:hanging="720"/>
        <w:jc w:val="both"/>
        <w:rPr>
          <w:sz w:val="25"/>
        </w:rPr>
      </w:pPr>
      <w:r>
        <w:rPr>
          <w:sz w:val="25"/>
        </w:rPr>
        <w:t>Even assuming that the earlier suit was filed on behalf of all Hindus, the plaintiff-deities in Suit 5 are not bound by its outcome in view of the decision of this Court in </w:t>
      </w:r>
      <w:r>
        <w:rPr>
          <w:b/>
          <w:sz w:val="25"/>
        </w:rPr>
        <w:t>Narayan Bhagwantrao Gosavi Balajiwale </w:t>
      </w:r>
      <w:r>
        <w:rPr>
          <w:sz w:val="25"/>
        </w:rPr>
        <w:t>v </w:t>
      </w:r>
      <w:r>
        <w:rPr>
          <w:b/>
          <w:sz w:val="25"/>
        </w:rPr>
        <w:t>Gopal Vinayak</w:t>
      </w:r>
      <w:r>
        <w:rPr>
          <w:b/>
          <w:spacing w:val="-2"/>
          <w:sz w:val="25"/>
        </w:rPr>
        <w:t> </w:t>
      </w:r>
      <w:r>
        <w:rPr>
          <w:b/>
          <w:sz w:val="25"/>
        </w:rPr>
        <w:t>Gosavi</w:t>
      </w:r>
      <w:r>
        <w:rPr>
          <w:sz w:val="25"/>
          <w:vertAlign w:val="superscript"/>
        </w:rPr>
        <w:t>263</w:t>
      </w:r>
      <w:r>
        <w:rPr>
          <w:sz w:val="25"/>
          <w:vertAlign w:val="baseline"/>
        </w:rPr>
        <w:t>.</w:t>
      </w:r>
    </w:p>
    <w:p>
      <w:pPr>
        <w:pStyle w:val="BodyText"/>
        <w:rPr>
          <w:sz w:val="32"/>
        </w:rPr>
      </w:pPr>
    </w:p>
    <w:p>
      <w:pPr>
        <w:pStyle w:val="ListParagraph"/>
        <w:numPr>
          <w:ilvl w:val="0"/>
          <w:numId w:val="136"/>
        </w:numPr>
        <w:tabs>
          <w:tab w:pos="1221" w:val="left" w:leader="none"/>
        </w:tabs>
        <w:spacing w:line="240" w:lineRule="auto" w:before="207" w:after="0"/>
        <w:ind w:left="1220" w:right="0" w:hanging="721"/>
        <w:jc w:val="both"/>
        <w:rPr>
          <w:sz w:val="25"/>
        </w:rPr>
      </w:pPr>
      <w:r>
        <w:rPr>
          <w:sz w:val="25"/>
        </w:rPr>
        <w:t>Issues and reliefs sought in the earlier suit are</w:t>
      </w:r>
      <w:r>
        <w:rPr>
          <w:spacing w:val="-8"/>
          <w:sz w:val="25"/>
        </w:rPr>
        <w:t> </w:t>
      </w:r>
      <w:r>
        <w:rPr>
          <w:sz w:val="25"/>
        </w:rPr>
        <w:t>different:</w:t>
      </w:r>
    </w:p>
    <w:p>
      <w:pPr>
        <w:pStyle w:val="BodyText"/>
        <w:spacing w:before="11"/>
        <w:rPr>
          <w:sz w:val="24"/>
        </w:rPr>
      </w:pPr>
    </w:p>
    <w:p>
      <w:pPr>
        <w:pStyle w:val="ListParagraph"/>
        <w:numPr>
          <w:ilvl w:val="1"/>
          <w:numId w:val="136"/>
        </w:numPr>
        <w:tabs>
          <w:tab w:pos="1941" w:val="left" w:leader="none"/>
        </w:tabs>
        <w:spacing w:line="480" w:lineRule="auto" w:before="0" w:after="0"/>
        <w:ind w:left="1940" w:right="445" w:hanging="629"/>
        <w:jc w:val="both"/>
        <w:rPr>
          <w:sz w:val="25"/>
        </w:rPr>
      </w:pPr>
      <w:r>
        <w:rPr>
          <w:sz w:val="25"/>
        </w:rPr>
        <w:t>The Suit of 1885 was against the Secretary of State for India, for permission to construct a</w:t>
      </w:r>
      <w:r>
        <w:rPr>
          <w:spacing w:val="-4"/>
          <w:sz w:val="25"/>
        </w:rPr>
        <w:t> </w:t>
      </w:r>
      <w:r>
        <w:rPr>
          <w:sz w:val="25"/>
        </w:rPr>
        <w:t>temple;</w:t>
      </w:r>
    </w:p>
    <w:p>
      <w:pPr>
        <w:pStyle w:val="ListParagraph"/>
        <w:numPr>
          <w:ilvl w:val="1"/>
          <w:numId w:val="136"/>
        </w:numPr>
        <w:tabs>
          <w:tab w:pos="1941" w:val="left" w:leader="none"/>
        </w:tabs>
        <w:spacing w:line="480" w:lineRule="auto" w:before="2" w:after="0"/>
        <w:ind w:left="1940" w:right="436" w:hanging="629"/>
        <w:jc w:val="both"/>
        <w:rPr>
          <w:sz w:val="25"/>
        </w:rPr>
      </w:pPr>
      <w:r>
        <w:rPr>
          <w:sz w:val="25"/>
        </w:rPr>
        <w:t>The present proceedings pertain to the character of the property- whether it is a public mosque or a place of public worship for Hindus;</w:t>
      </w:r>
      <w:r>
        <w:rPr>
          <w:spacing w:val="-2"/>
          <w:sz w:val="25"/>
        </w:rPr>
        <w:t> </w:t>
      </w:r>
      <w:r>
        <w:rPr>
          <w:sz w:val="25"/>
        </w:rPr>
        <w:t>and</w:t>
      </w:r>
    </w:p>
    <w:p>
      <w:pPr>
        <w:pStyle w:val="ListParagraph"/>
        <w:numPr>
          <w:ilvl w:val="1"/>
          <w:numId w:val="136"/>
        </w:numPr>
        <w:tabs>
          <w:tab w:pos="1941" w:val="left" w:leader="none"/>
        </w:tabs>
        <w:spacing w:line="480" w:lineRule="auto" w:before="0" w:after="0"/>
        <w:ind w:left="1940" w:right="439" w:hanging="629"/>
        <w:jc w:val="both"/>
        <w:rPr>
          <w:sz w:val="25"/>
        </w:rPr>
      </w:pPr>
      <w:r>
        <w:rPr>
          <w:sz w:val="25"/>
        </w:rPr>
        <w:t>In Suit 5, the issue as to whether ‗Asthan Ram Janmabhumi‘ is a juridical personality is an issue, which goes beyond the relief of the construction of a temple sought in the Suit of</w:t>
      </w:r>
      <w:r>
        <w:rPr>
          <w:spacing w:val="-5"/>
          <w:sz w:val="25"/>
        </w:rPr>
        <w:t> </w:t>
      </w:r>
      <w:r>
        <w:rPr>
          <w:sz w:val="25"/>
        </w:rPr>
        <w:t>1885.</w:t>
      </w:r>
    </w:p>
    <w:p>
      <w:pPr>
        <w:pStyle w:val="ListParagraph"/>
        <w:numPr>
          <w:ilvl w:val="0"/>
          <w:numId w:val="136"/>
        </w:numPr>
        <w:tabs>
          <w:tab w:pos="1221" w:val="left" w:leader="none"/>
        </w:tabs>
        <w:spacing w:line="240" w:lineRule="auto" w:before="0" w:after="0"/>
        <w:ind w:left="1220" w:right="0" w:hanging="721"/>
        <w:jc w:val="both"/>
        <w:rPr>
          <w:sz w:val="25"/>
        </w:rPr>
      </w:pPr>
      <w:r>
        <w:rPr>
          <w:sz w:val="25"/>
        </w:rPr>
        <w:t>The suit properties are</w:t>
      </w:r>
      <w:r>
        <w:rPr>
          <w:spacing w:val="-3"/>
          <w:sz w:val="25"/>
        </w:rPr>
        <w:t> </w:t>
      </w:r>
      <w:r>
        <w:rPr>
          <w:sz w:val="25"/>
        </w:rPr>
        <w:t>distinct:</w:t>
      </w:r>
    </w:p>
    <w:p>
      <w:pPr>
        <w:pStyle w:val="BodyText"/>
        <w:spacing w:before="9"/>
        <w:rPr>
          <w:sz w:val="24"/>
        </w:rPr>
      </w:pPr>
    </w:p>
    <w:p>
      <w:pPr>
        <w:pStyle w:val="ListParagraph"/>
        <w:numPr>
          <w:ilvl w:val="1"/>
          <w:numId w:val="136"/>
        </w:numPr>
        <w:tabs>
          <w:tab w:pos="1941" w:val="left" w:leader="none"/>
        </w:tabs>
        <w:spacing w:line="480" w:lineRule="auto" w:before="0" w:after="0"/>
        <w:ind w:left="1940" w:right="442" w:hanging="629"/>
        <w:jc w:val="both"/>
        <w:rPr>
          <w:sz w:val="25"/>
        </w:rPr>
      </w:pPr>
      <w:r>
        <w:rPr>
          <w:sz w:val="25"/>
        </w:rPr>
        <w:t>In the Suit of 1885, the subject matter was only the Chabutra measuring 17x21 feet;</w:t>
      </w:r>
      <w:r>
        <w:rPr>
          <w:spacing w:val="-1"/>
          <w:sz w:val="25"/>
        </w:rPr>
        <w:t> </w:t>
      </w:r>
      <w:r>
        <w:rPr>
          <w:sz w:val="25"/>
        </w:rPr>
        <w:t>and</w:t>
      </w:r>
    </w:p>
    <w:p>
      <w:pPr>
        <w:pStyle w:val="ListParagraph"/>
        <w:numPr>
          <w:ilvl w:val="1"/>
          <w:numId w:val="136"/>
        </w:numPr>
        <w:tabs>
          <w:tab w:pos="1941" w:val="left" w:leader="none"/>
        </w:tabs>
        <w:spacing w:line="480" w:lineRule="auto" w:before="3" w:after="0"/>
        <w:ind w:left="1940" w:right="439" w:hanging="629"/>
        <w:jc w:val="both"/>
        <w:rPr>
          <w:sz w:val="25"/>
        </w:rPr>
      </w:pPr>
      <w:r>
        <w:rPr>
          <w:sz w:val="25"/>
        </w:rPr>
        <w:t>In the present proceedings, the suit property in both Suits 4 and 5 comprises of the inner and outer</w:t>
      </w:r>
      <w:r>
        <w:rPr>
          <w:spacing w:val="-6"/>
          <w:sz w:val="25"/>
        </w:rPr>
        <w:t> </w:t>
      </w:r>
      <w:r>
        <w:rPr>
          <w:sz w:val="25"/>
        </w:rPr>
        <w:t>courtyard.</w:t>
      </w:r>
    </w:p>
    <w:p>
      <w:pPr>
        <w:pStyle w:val="BodyText"/>
        <w:spacing w:before="9"/>
        <w:rPr>
          <w:sz w:val="24"/>
        </w:rPr>
      </w:pPr>
    </w:p>
    <w:p>
      <w:pPr>
        <w:pStyle w:val="BodyText"/>
        <w:spacing w:line="480" w:lineRule="auto" w:before="1"/>
        <w:ind w:left="1220" w:right="439" w:hanging="720"/>
        <w:jc w:val="both"/>
      </w:pPr>
      <w:r>
        <w:rPr/>
        <w:pict>
          <v:rect style="position:absolute;margin-left:72.024002pt;margin-top:121.234871pt;width:144.020pt;height:.599980pt;mso-position-horizontal-relative:page;mso-position-vertical-relative:paragraph;z-index:-15654912;mso-wrap-distance-left:0;mso-wrap-distance-right:0" filled="true" fillcolor="#000000" stroked="false">
            <v:fill type="solid"/>
            <w10:wrap type="topAndBottom"/>
          </v:rect>
        </w:pict>
      </w:r>
      <w:r>
        <w:rPr/>
        <w:t>E    The Suit of 1885 was instituted when the CPC 1882 was in force. Section   13 of the CPC 1882 dealt with </w:t>
      </w:r>
      <w:r>
        <w:rPr>
          <w:i/>
        </w:rPr>
        <w:t>res judicata. </w:t>
      </w:r>
      <w:r>
        <w:rPr/>
        <w:t>Explanation V as it stood only covered persons who were litigating in respect of a private right claimed in common for themselves and others. In the CPC 1908, the</w:t>
      </w:r>
      <w:r>
        <w:rPr>
          <w:spacing w:val="2"/>
        </w:rPr>
        <w:t> </w:t>
      </w:r>
      <w:r>
        <w:rPr/>
        <w:t>expression</w:t>
      </w:r>
    </w:p>
    <w:p>
      <w:pPr>
        <w:spacing w:before="80"/>
        <w:ind w:left="500" w:right="0" w:firstLine="0"/>
        <w:jc w:val="left"/>
        <w:rPr>
          <w:sz w:val="18"/>
        </w:rPr>
      </w:pPr>
      <w:r>
        <w:rPr>
          <w:sz w:val="18"/>
          <w:vertAlign w:val="superscript"/>
        </w:rPr>
        <w:t>263</w:t>
      </w:r>
      <w:r>
        <w:rPr>
          <w:sz w:val="18"/>
          <w:vertAlign w:val="baseline"/>
        </w:rPr>
        <w:t> 1960 (1) SCR 773</w:t>
      </w:r>
    </w:p>
    <w:p>
      <w:pPr>
        <w:spacing w:after="0"/>
        <w:jc w:val="left"/>
        <w:rPr>
          <w:sz w:val="18"/>
        </w:rPr>
        <w:sectPr>
          <w:pgSz w:w="11910" w:h="16840"/>
          <w:pgMar w:header="721" w:footer="1014" w:top="1300" w:bottom="1200" w:left="940" w:right="1000"/>
        </w:sectPr>
      </w:pPr>
    </w:p>
    <w:p>
      <w:pPr>
        <w:pStyle w:val="BodyText"/>
        <w:spacing w:line="480" w:lineRule="auto" w:before="124"/>
        <w:ind w:left="1220" w:right="434"/>
        <w:jc w:val="both"/>
        <w:rPr>
          <w:i/>
        </w:rPr>
      </w:pPr>
      <w:r>
        <w:rPr>
          <w:w w:val="33"/>
        </w:rPr>
        <w:t>―</w:t>
      </w:r>
      <w:r>
        <w:rPr>
          <w:spacing w:val="-1"/>
          <w:w w:val="99"/>
        </w:rPr>
        <w:t>p</w:t>
      </w:r>
      <w:r>
        <w:rPr>
          <w:w w:val="99"/>
        </w:rPr>
        <w:t>u</w:t>
      </w:r>
      <w:r>
        <w:rPr>
          <w:spacing w:val="-1"/>
          <w:w w:val="99"/>
        </w:rPr>
        <w:t>bli</w:t>
      </w:r>
      <w:r>
        <w:rPr>
          <w:w w:val="99"/>
        </w:rPr>
        <w:t>c</w:t>
      </w:r>
      <w:r>
        <w:rPr/>
        <w:t> </w:t>
      </w:r>
      <w:r>
        <w:rPr>
          <w:spacing w:val="-12"/>
        </w:rPr>
        <w:t> </w:t>
      </w:r>
      <w:r>
        <w:rPr>
          <w:w w:val="99"/>
        </w:rPr>
        <w:t>r</w:t>
      </w:r>
      <w:r>
        <w:rPr>
          <w:spacing w:val="-1"/>
          <w:w w:val="99"/>
        </w:rPr>
        <w:t>igh</w:t>
      </w:r>
      <w:r>
        <w:rPr>
          <w:w w:val="99"/>
        </w:rPr>
        <w:t>t</w:t>
      </w:r>
      <w:r>
        <w:rPr>
          <w:w w:val="80"/>
        </w:rPr>
        <w:t>‖</w:t>
      </w:r>
      <w:r>
        <w:rPr/>
        <w:t> </w:t>
      </w:r>
      <w:r>
        <w:rPr>
          <w:spacing w:val="-12"/>
        </w:rPr>
        <w:t> </w:t>
      </w:r>
      <w:r>
        <w:rPr>
          <w:spacing w:val="-1"/>
          <w:w w:val="99"/>
        </w:rPr>
        <w:t>wa</w:t>
      </w:r>
      <w:r>
        <w:rPr>
          <w:w w:val="99"/>
        </w:rPr>
        <w:t>s</w:t>
      </w:r>
      <w:r>
        <w:rPr/>
        <w:t> </w:t>
      </w:r>
      <w:r>
        <w:rPr>
          <w:spacing w:val="-12"/>
        </w:rPr>
        <w:t> </w:t>
      </w:r>
      <w:r>
        <w:rPr>
          <w:spacing w:val="-1"/>
          <w:w w:val="99"/>
        </w:rPr>
        <w:t>a</w:t>
      </w:r>
      <w:r>
        <w:rPr>
          <w:spacing w:val="-2"/>
          <w:w w:val="99"/>
        </w:rPr>
        <w:t>d</w:t>
      </w:r>
      <w:r>
        <w:rPr>
          <w:spacing w:val="-1"/>
          <w:w w:val="99"/>
        </w:rPr>
        <w:t>d</w:t>
      </w:r>
      <w:r>
        <w:rPr>
          <w:w w:val="99"/>
        </w:rPr>
        <w:t>ed</w:t>
      </w:r>
      <w:r>
        <w:rPr/>
        <w:t> </w:t>
      </w:r>
      <w:r>
        <w:rPr>
          <w:spacing w:val="-12"/>
        </w:rPr>
        <w:t> </w:t>
      </w:r>
      <w:r>
        <w:rPr>
          <w:w w:val="99"/>
        </w:rPr>
        <w:t>to</w:t>
      </w:r>
      <w:r>
        <w:rPr/>
        <w:t> </w:t>
      </w:r>
      <w:r>
        <w:rPr>
          <w:spacing w:val="-12"/>
        </w:rPr>
        <w:t> </w:t>
      </w:r>
      <w:r>
        <w:rPr>
          <w:spacing w:val="-1"/>
          <w:w w:val="99"/>
        </w:rPr>
        <w:t>E</w:t>
      </w:r>
      <w:r>
        <w:rPr>
          <w:spacing w:val="-3"/>
          <w:w w:val="99"/>
        </w:rPr>
        <w:t>x</w:t>
      </w:r>
      <w:r>
        <w:rPr>
          <w:spacing w:val="-1"/>
          <w:w w:val="99"/>
        </w:rPr>
        <w:t>pla</w:t>
      </w:r>
      <w:r>
        <w:rPr>
          <w:w w:val="99"/>
        </w:rPr>
        <w:t>n</w:t>
      </w:r>
      <w:r>
        <w:rPr>
          <w:spacing w:val="-1"/>
          <w:w w:val="99"/>
        </w:rPr>
        <w:t>ati</w:t>
      </w:r>
      <w:r>
        <w:rPr>
          <w:w w:val="99"/>
        </w:rPr>
        <w:t>on</w:t>
      </w:r>
      <w:r>
        <w:rPr/>
        <w:t> </w:t>
      </w:r>
      <w:r>
        <w:rPr>
          <w:spacing w:val="-10"/>
        </w:rPr>
        <w:t> </w:t>
      </w:r>
      <w:r>
        <w:rPr>
          <w:spacing w:val="-1"/>
          <w:w w:val="99"/>
        </w:rPr>
        <w:t>V</w:t>
      </w:r>
      <w:r>
        <w:rPr>
          <w:w w:val="99"/>
        </w:rPr>
        <w:t>I</w:t>
      </w:r>
      <w:r>
        <w:rPr/>
        <w:t> </w:t>
      </w:r>
      <w:r>
        <w:rPr>
          <w:spacing w:val="-12"/>
        </w:rPr>
        <w:t> </w:t>
      </w:r>
      <w:r>
        <w:rPr>
          <w:spacing w:val="-1"/>
          <w:w w:val="99"/>
        </w:rPr>
        <w:t>i</w:t>
      </w:r>
      <w:r>
        <w:rPr>
          <w:w w:val="99"/>
        </w:rPr>
        <w:t>n</w:t>
      </w:r>
      <w:r>
        <w:rPr/>
        <w:t> </w:t>
      </w:r>
      <w:r>
        <w:rPr>
          <w:spacing w:val="-12"/>
        </w:rPr>
        <w:t> </w:t>
      </w:r>
      <w:r>
        <w:rPr>
          <w:w w:val="99"/>
        </w:rPr>
        <w:t>view</w:t>
      </w:r>
      <w:r>
        <w:rPr/>
        <w:t> </w:t>
      </w:r>
      <w:r>
        <w:rPr>
          <w:spacing w:val="-12"/>
        </w:rPr>
        <w:t> </w:t>
      </w:r>
      <w:r>
        <w:rPr>
          <w:spacing w:val="-1"/>
          <w:w w:val="99"/>
        </w:rPr>
        <w:t>o</w:t>
      </w:r>
      <w:r>
        <w:rPr>
          <w:w w:val="99"/>
        </w:rPr>
        <w:t>f</w:t>
      </w:r>
      <w:r>
        <w:rPr/>
        <w:t> </w:t>
      </w:r>
      <w:r>
        <w:rPr>
          <w:spacing w:val="-5"/>
        </w:rPr>
        <w:t> </w:t>
      </w:r>
      <w:r>
        <w:rPr>
          <w:w w:val="99"/>
        </w:rPr>
        <w:t>the</w:t>
      </w:r>
      <w:r>
        <w:rPr/>
        <w:t> </w:t>
      </w:r>
      <w:r>
        <w:rPr>
          <w:spacing w:val="-11"/>
        </w:rPr>
        <w:t> </w:t>
      </w:r>
      <w:r>
        <w:rPr>
          <w:w w:val="99"/>
        </w:rPr>
        <w:t>p</w:t>
      </w:r>
      <w:r>
        <w:rPr>
          <w:spacing w:val="1"/>
          <w:w w:val="99"/>
        </w:rPr>
        <w:t>r</w:t>
      </w:r>
      <w:r>
        <w:rPr>
          <w:w w:val="99"/>
        </w:rPr>
        <w:t>o</w:t>
      </w:r>
      <w:r>
        <w:rPr>
          <w:spacing w:val="-2"/>
          <w:w w:val="99"/>
        </w:rPr>
        <w:t>v</w:t>
      </w:r>
      <w:r>
        <w:rPr>
          <w:w w:val="99"/>
        </w:rPr>
        <w:t>isions</w:t>
      </w:r>
      <w:r>
        <w:rPr/>
        <w:t> </w:t>
      </w:r>
      <w:r>
        <w:rPr>
          <w:spacing w:val="-12"/>
        </w:rPr>
        <w:t> </w:t>
      </w:r>
      <w:r>
        <w:rPr>
          <w:w w:val="99"/>
        </w:rPr>
        <w:t>of </w:t>
      </w:r>
      <w:r>
        <w:rPr/>
        <w:t>Section 91. The provisions of the CPC are both procedural and substantive. In the Suit of 1885 only a private right was sought to be enforced, whereas in the present proceedings a public right to worship is sought to be enforced. Even if the CPC 1882 was to be applied, which law prevailed as on the date of the filing of the Suit of 1885, the findings in that suit (which sought to enforce only a private right) would not operate as </w:t>
      </w:r>
      <w:r>
        <w:rPr>
          <w:i/>
        </w:rPr>
        <w:t>res </w:t>
      </w:r>
      <w:r>
        <w:rPr>
          <w:i/>
        </w:rPr>
        <w:t>judicata.</w:t>
      </w:r>
    </w:p>
    <w:p>
      <w:pPr>
        <w:pStyle w:val="BodyText"/>
        <w:spacing w:before="2"/>
        <w:rPr>
          <w:i/>
        </w:rPr>
      </w:pPr>
    </w:p>
    <w:p>
      <w:pPr>
        <w:pStyle w:val="Heading4"/>
        <w:jc w:val="left"/>
        <w:rPr>
          <w:i/>
        </w:rPr>
      </w:pPr>
      <w:r>
        <w:rPr>
          <w:i/>
        </w:rPr>
        <w:t>Analysis</w:t>
      </w:r>
    </w:p>
    <w:p>
      <w:pPr>
        <w:pStyle w:val="BodyText"/>
        <w:rPr>
          <w:i/>
          <w:sz w:val="28"/>
        </w:rPr>
      </w:pPr>
    </w:p>
    <w:p>
      <w:pPr>
        <w:pStyle w:val="BodyText"/>
        <w:spacing w:before="9"/>
        <w:rPr>
          <w:i/>
          <w:sz w:val="22"/>
        </w:rPr>
      </w:pPr>
    </w:p>
    <w:p>
      <w:pPr>
        <w:pStyle w:val="ListParagraph"/>
        <w:numPr>
          <w:ilvl w:val="0"/>
          <w:numId w:val="111"/>
        </w:numPr>
        <w:tabs>
          <w:tab w:pos="1220" w:val="left" w:leader="none"/>
          <w:tab w:pos="1221" w:val="left" w:leader="none"/>
        </w:tabs>
        <w:spacing w:line="240" w:lineRule="auto" w:before="0" w:after="0"/>
        <w:ind w:left="1220" w:right="0" w:hanging="721"/>
        <w:jc w:val="left"/>
        <w:rPr>
          <w:sz w:val="25"/>
        </w:rPr>
      </w:pPr>
      <w:r>
        <w:rPr>
          <w:sz w:val="25"/>
        </w:rPr>
        <w:t>The</w:t>
      </w:r>
      <w:r>
        <w:rPr>
          <w:spacing w:val="9"/>
          <w:sz w:val="25"/>
        </w:rPr>
        <w:t> </w:t>
      </w:r>
      <w:r>
        <w:rPr>
          <w:sz w:val="25"/>
        </w:rPr>
        <w:t>applicability</w:t>
      </w:r>
      <w:r>
        <w:rPr>
          <w:spacing w:val="10"/>
          <w:sz w:val="25"/>
        </w:rPr>
        <w:t> </w:t>
      </w:r>
      <w:r>
        <w:rPr>
          <w:sz w:val="25"/>
        </w:rPr>
        <w:t>of</w:t>
      </w:r>
      <w:r>
        <w:rPr>
          <w:spacing w:val="12"/>
          <w:sz w:val="25"/>
        </w:rPr>
        <w:t> </w:t>
      </w:r>
      <w:r>
        <w:rPr>
          <w:sz w:val="25"/>
        </w:rPr>
        <w:t>Section</w:t>
      </w:r>
      <w:r>
        <w:rPr>
          <w:spacing w:val="9"/>
          <w:sz w:val="25"/>
        </w:rPr>
        <w:t> </w:t>
      </w:r>
      <w:r>
        <w:rPr>
          <w:sz w:val="25"/>
        </w:rPr>
        <w:t>11</w:t>
      </w:r>
      <w:r>
        <w:rPr>
          <w:spacing w:val="9"/>
          <w:sz w:val="25"/>
        </w:rPr>
        <w:t> </w:t>
      </w:r>
      <w:r>
        <w:rPr>
          <w:sz w:val="25"/>
        </w:rPr>
        <w:t>is</w:t>
      </w:r>
      <w:r>
        <w:rPr>
          <w:spacing w:val="9"/>
          <w:sz w:val="25"/>
        </w:rPr>
        <w:t> </w:t>
      </w:r>
      <w:r>
        <w:rPr>
          <w:sz w:val="25"/>
        </w:rPr>
        <w:t>premised</w:t>
      </w:r>
      <w:r>
        <w:rPr>
          <w:spacing w:val="12"/>
          <w:sz w:val="25"/>
        </w:rPr>
        <w:t> </w:t>
      </w:r>
      <w:r>
        <w:rPr>
          <w:sz w:val="25"/>
        </w:rPr>
        <w:t>on</w:t>
      </w:r>
      <w:r>
        <w:rPr>
          <w:spacing w:val="9"/>
          <w:sz w:val="25"/>
        </w:rPr>
        <w:t> </w:t>
      </w:r>
      <w:r>
        <w:rPr>
          <w:sz w:val="25"/>
        </w:rPr>
        <w:t>certain</w:t>
      </w:r>
      <w:r>
        <w:rPr>
          <w:spacing w:val="9"/>
          <w:sz w:val="25"/>
        </w:rPr>
        <w:t> </w:t>
      </w:r>
      <w:r>
        <w:rPr>
          <w:sz w:val="25"/>
        </w:rPr>
        <w:t>governing</w:t>
      </w:r>
      <w:r>
        <w:rPr>
          <w:spacing w:val="12"/>
          <w:sz w:val="25"/>
        </w:rPr>
        <w:t> </w:t>
      </w:r>
      <w:r>
        <w:rPr>
          <w:sz w:val="25"/>
        </w:rPr>
        <w:t>principles.</w:t>
      </w:r>
    </w:p>
    <w:p>
      <w:pPr>
        <w:pStyle w:val="BodyText"/>
        <w:spacing w:before="1"/>
      </w:pPr>
    </w:p>
    <w:p>
      <w:pPr>
        <w:pStyle w:val="BodyText"/>
        <w:ind w:left="500"/>
      </w:pPr>
      <w:r>
        <w:rPr/>
        <w:t>These are:</w:t>
      </w:r>
    </w:p>
    <w:p>
      <w:pPr>
        <w:pStyle w:val="BodyText"/>
        <w:spacing w:before="10"/>
        <w:rPr>
          <w:sz w:val="38"/>
        </w:rPr>
      </w:pPr>
    </w:p>
    <w:p>
      <w:pPr>
        <w:pStyle w:val="ListParagraph"/>
        <w:numPr>
          <w:ilvl w:val="0"/>
          <w:numId w:val="137"/>
        </w:numPr>
        <w:tabs>
          <w:tab w:pos="1221" w:val="left" w:leader="none"/>
        </w:tabs>
        <w:spacing w:line="480" w:lineRule="auto" w:before="1" w:after="0"/>
        <w:ind w:left="1220" w:right="446" w:hanging="720"/>
        <w:jc w:val="both"/>
        <w:rPr>
          <w:sz w:val="25"/>
        </w:rPr>
      </w:pPr>
      <w:r>
        <w:rPr>
          <w:sz w:val="25"/>
        </w:rPr>
        <w:t>The matter directly and substantially in issue in the suit should have been directly and substantially in issue in a former</w:t>
      </w:r>
      <w:r>
        <w:rPr>
          <w:spacing w:val="-10"/>
          <w:sz w:val="25"/>
        </w:rPr>
        <w:t> </w:t>
      </w:r>
      <w:r>
        <w:rPr>
          <w:sz w:val="25"/>
        </w:rPr>
        <w:t>suit;</w:t>
      </w:r>
    </w:p>
    <w:p>
      <w:pPr>
        <w:pStyle w:val="ListParagraph"/>
        <w:numPr>
          <w:ilvl w:val="0"/>
          <w:numId w:val="137"/>
        </w:numPr>
        <w:tabs>
          <w:tab w:pos="1221" w:val="left" w:leader="none"/>
        </w:tabs>
        <w:spacing w:line="480" w:lineRule="auto" w:before="0" w:after="0"/>
        <w:ind w:left="1220" w:right="446" w:hanging="720"/>
        <w:jc w:val="both"/>
        <w:rPr>
          <w:sz w:val="25"/>
        </w:rPr>
      </w:pPr>
      <w:r>
        <w:rPr>
          <w:sz w:val="25"/>
        </w:rPr>
        <w:t>The former suit should be either between the same parties as in the latter suit or between parties under whom they or any of them claim litigating under the same</w:t>
      </w:r>
      <w:r>
        <w:rPr>
          <w:spacing w:val="-3"/>
          <w:sz w:val="25"/>
        </w:rPr>
        <w:t> </w:t>
      </w:r>
      <w:r>
        <w:rPr>
          <w:sz w:val="25"/>
        </w:rPr>
        <w:t>title;</w:t>
      </w:r>
    </w:p>
    <w:p>
      <w:pPr>
        <w:pStyle w:val="ListParagraph"/>
        <w:numPr>
          <w:ilvl w:val="0"/>
          <w:numId w:val="137"/>
        </w:numPr>
        <w:tabs>
          <w:tab w:pos="1221" w:val="left" w:leader="none"/>
        </w:tabs>
        <w:spacing w:line="480" w:lineRule="auto" w:before="1" w:after="0"/>
        <w:ind w:left="1220" w:right="441" w:hanging="720"/>
        <w:jc w:val="both"/>
        <w:rPr>
          <w:sz w:val="25"/>
        </w:rPr>
      </w:pPr>
      <w:r>
        <w:rPr>
          <w:sz w:val="25"/>
        </w:rPr>
        <w:t>The court which decided the former suit should have been competent to try the subsequent suit or the suit in which the issue has been subsequently raised;</w:t>
      </w:r>
      <w:r>
        <w:rPr>
          <w:spacing w:val="-2"/>
          <w:sz w:val="25"/>
        </w:rPr>
        <w:t> </w:t>
      </w:r>
      <w:r>
        <w:rPr>
          <w:sz w:val="25"/>
        </w:rPr>
        <w:t>and</w:t>
      </w:r>
    </w:p>
    <w:p>
      <w:pPr>
        <w:pStyle w:val="ListParagraph"/>
        <w:numPr>
          <w:ilvl w:val="0"/>
          <w:numId w:val="137"/>
        </w:numPr>
        <w:tabs>
          <w:tab w:pos="1221" w:val="left" w:leader="none"/>
        </w:tabs>
        <w:spacing w:line="480" w:lineRule="auto" w:before="0" w:after="0"/>
        <w:ind w:left="1220" w:right="444" w:hanging="720"/>
        <w:jc w:val="both"/>
        <w:rPr>
          <w:sz w:val="25"/>
        </w:rPr>
      </w:pPr>
      <w:r>
        <w:rPr>
          <w:sz w:val="25"/>
        </w:rPr>
        <w:t>The issue should have been heard and finally decided by the court in the former suit.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Explanation VI to Section 11 is in the nature of a deeming provision which </w:t>
      </w:r>
      <w:r>
        <w:rPr>
          <w:w w:val="99"/>
        </w:rPr>
        <w:t>e</w:t>
      </w:r>
      <w:r>
        <w:rPr>
          <w:spacing w:val="-2"/>
          <w:w w:val="99"/>
        </w:rPr>
        <w:t>x</w:t>
      </w:r>
      <w:r>
        <w:rPr>
          <w:w w:val="99"/>
        </w:rPr>
        <w:t>tends</w:t>
      </w:r>
      <w:r>
        <w:rPr>
          <w:spacing w:val="10"/>
        </w:rPr>
        <w:t> </w:t>
      </w:r>
      <w:r>
        <w:rPr>
          <w:w w:val="99"/>
        </w:rPr>
        <w:t>the</w:t>
      </w:r>
      <w:r>
        <w:rPr>
          <w:spacing w:val="10"/>
        </w:rPr>
        <w:t> </w:t>
      </w:r>
      <w:r>
        <w:rPr>
          <w:spacing w:val="-1"/>
          <w:w w:val="99"/>
        </w:rPr>
        <w:t>a</w:t>
      </w:r>
      <w:r>
        <w:rPr>
          <w:w w:val="99"/>
        </w:rPr>
        <w:t>m</w:t>
      </w:r>
      <w:r>
        <w:rPr>
          <w:spacing w:val="-1"/>
          <w:w w:val="99"/>
        </w:rPr>
        <w:t>bi</w:t>
      </w:r>
      <w:r>
        <w:rPr>
          <w:w w:val="99"/>
        </w:rPr>
        <w:t>t</w:t>
      </w:r>
      <w:r>
        <w:rPr>
          <w:spacing w:val="9"/>
        </w:rPr>
        <w:t> </w:t>
      </w:r>
      <w:r>
        <w:rPr>
          <w:spacing w:val="-1"/>
          <w:w w:val="99"/>
        </w:rPr>
        <w:t>o</w:t>
      </w:r>
      <w:r>
        <w:rPr>
          <w:w w:val="99"/>
        </w:rPr>
        <w:t>f</w:t>
      </w:r>
      <w:r>
        <w:rPr>
          <w:spacing w:val="10"/>
        </w:rPr>
        <w:t> </w:t>
      </w:r>
      <w:r>
        <w:rPr>
          <w:spacing w:val="2"/>
          <w:w w:val="99"/>
        </w:rPr>
        <w:t>t</w:t>
      </w:r>
      <w:r>
        <w:rPr>
          <w:spacing w:val="-1"/>
          <w:w w:val="99"/>
        </w:rPr>
        <w:t>h</w:t>
      </w:r>
      <w:r>
        <w:rPr>
          <w:w w:val="99"/>
        </w:rPr>
        <w:t>e</w:t>
      </w:r>
      <w:r>
        <w:rPr>
          <w:spacing w:val="9"/>
        </w:rPr>
        <w:t> </w:t>
      </w:r>
      <w:r>
        <w:rPr>
          <w:spacing w:val="-1"/>
          <w:w w:val="99"/>
        </w:rPr>
        <w:t>e</w:t>
      </w:r>
      <w:r>
        <w:rPr>
          <w:spacing w:val="-3"/>
          <w:w w:val="99"/>
        </w:rPr>
        <w:t>x</w:t>
      </w:r>
      <w:r>
        <w:rPr>
          <w:spacing w:val="-1"/>
          <w:w w:val="99"/>
        </w:rPr>
        <w:t>p</w:t>
      </w:r>
      <w:r>
        <w:rPr>
          <w:w w:val="99"/>
        </w:rPr>
        <w:t>r</w:t>
      </w:r>
      <w:r>
        <w:rPr>
          <w:spacing w:val="-1"/>
          <w:w w:val="99"/>
        </w:rPr>
        <w:t>essio</w:t>
      </w:r>
      <w:r>
        <w:rPr>
          <w:w w:val="99"/>
        </w:rPr>
        <w:t>n</w:t>
      </w:r>
      <w:r>
        <w:rPr>
          <w:spacing w:val="10"/>
        </w:rPr>
        <w:t> </w:t>
      </w:r>
      <w:r>
        <w:rPr>
          <w:w w:val="33"/>
        </w:rPr>
        <w:t>―</w:t>
      </w:r>
      <w:r>
        <w:rPr>
          <w:spacing w:val="-1"/>
          <w:w w:val="99"/>
        </w:rPr>
        <w:t>b</w:t>
      </w:r>
      <w:r>
        <w:rPr>
          <w:w w:val="99"/>
        </w:rPr>
        <w:t>etw</w:t>
      </w:r>
      <w:r>
        <w:rPr>
          <w:spacing w:val="2"/>
          <w:w w:val="99"/>
        </w:rPr>
        <w:t>e</w:t>
      </w:r>
      <w:r>
        <w:rPr>
          <w:spacing w:val="-1"/>
          <w:w w:val="99"/>
        </w:rPr>
        <w:t>e</w:t>
      </w:r>
      <w:r>
        <w:rPr>
          <w:w w:val="99"/>
        </w:rPr>
        <w:t>n</w:t>
      </w:r>
      <w:r>
        <w:rPr>
          <w:spacing w:val="9"/>
        </w:rPr>
        <w:t> </w:t>
      </w:r>
      <w:r>
        <w:rPr>
          <w:spacing w:val="-1"/>
          <w:w w:val="99"/>
        </w:rPr>
        <w:t>p</w:t>
      </w:r>
      <w:r>
        <w:rPr>
          <w:w w:val="99"/>
        </w:rPr>
        <w:t>arties</w:t>
      </w:r>
      <w:r>
        <w:rPr>
          <w:spacing w:val="10"/>
        </w:rPr>
        <w:t> </w:t>
      </w:r>
      <w:r>
        <w:rPr>
          <w:spacing w:val="-1"/>
          <w:w w:val="99"/>
        </w:rPr>
        <w:t>u</w:t>
      </w:r>
      <w:r>
        <w:rPr>
          <w:w w:val="99"/>
        </w:rPr>
        <w:t>n</w:t>
      </w:r>
      <w:r>
        <w:rPr>
          <w:spacing w:val="-1"/>
          <w:w w:val="99"/>
        </w:rPr>
        <w:t>d</w:t>
      </w:r>
      <w:r>
        <w:rPr>
          <w:w w:val="99"/>
        </w:rPr>
        <w:t>er</w:t>
      </w:r>
      <w:r>
        <w:rPr>
          <w:spacing w:val="10"/>
        </w:rPr>
        <w:t> </w:t>
      </w:r>
      <w:r>
        <w:rPr>
          <w:spacing w:val="-1"/>
          <w:w w:val="99"/>
        </w:rPr>
        <w:t>who</w:t>
      </w:r>
      <w:r>
        <w:rPr>
          <w:w w:val="99"/>
        </w:rPr>
        <w:t>m</w:t>
      </w:r>
      <w:r>
        <w:rPr>
          <w:spacing w:val="10"/>
        </w:rPr>
        <w:t> </w:t>
      </w:r>
      <w:r>
        <w:rPr>
          <w:w w:val="99"/>
        </w:rPr>
        <w:t>they</w:t>
      </w:r>
      <w:r>
        <w:rPr>
          <w:spacing w:val="6"/>
        </w:rPr>
        <w:t> </w:t>
      </w:r>
      <w:r>
        <w:rPr>
          <w:spacing w:val="-1"/>
          <w:w w:val="99"/>
        </w:rPr>
        <w:t>o</w:t>
      </w:r>
      <w:r>
        <w:rPr>
          <w:w w:val="99"/>
        </w:rPr>
        <w:t>r</w:t>
      </w:r>
      <w:r>
        <w:rPr>
          <w:spacing w:val="10"/>
        </w:rPr>
        <w:t> </w:t>
      </w:r>
      <w:r>
        <w:rPr>
          <w:spacing w:val="-1"/>
          <w:w w:val="99"/>
        </w:rPr>
        <w:t>a</w:t>
      </w:r>
      <w:r>
        <w:rPr>
          <w:spacing w:val="2"/>
          <w:w w:val="99"/>
        </w:rPr>
        <w:t>n</w:t>
      </w:r>
      <w:r>
        <w:rPr>
          <w:w w:val="99"/>
        </w:rPr>
        <w:t>y</w:t>
      </w:r>
      <w:r>
        <w:rPr>
          <w:spacing w:val="6"/>
        </w:rPr>
        <w:t> </w:t>
      </w:r>
      <w:r>
        <w:rPr>
          <w:spacing w:val="-1"/>
          <w:w w:val="99"/>
        </w:rPr>
        <w:t>of </w:t>
      </w:r>
      <w:r>
        <w:rPr/>
        <w:t>them claim, litigating under the same title‖. Under Explanation VI, where persons litigate </w:t>
      </w:r>
      <w:r>
        <w:rPr>
          <w:i/>
        </w:rPr>
        <w:t>bona fide </w:t>
      </w:r>
      <w:r>
        <w:rPr/>
        <w:t>in respect of a public right or a private right which they claim in common for themselves and others, all persons interested in such a right, shall be deemed to claim under the persons so litigating. In other words, to attract Explanation VI, it is necessary that there must be a </w:t>
      </w:r>
      <w:r>
        <w:rPr>
          <w:i/>
        </w:rPr>
        <w:t>bona fide </w:t>
      </w:r>
      <w:r>
        <w:rPr/>
        <w:t>litigation in which there is a claim in respect of a public right or a private right claimed in common together with others. It is only then that all persons who are interested in such a right would be deemed, for the purpose of the Section, to claim under the persons so</w:t>
      </w:r>
      <w:r>
        <w:rPr>
          <w:spacing w:val="-2"/>
        </w:rPr>
        <w:t> </w:t>
      </w:r>
      <w:r>
        <w:rPr/>
        <w:t>litigating.</w:t>
      </w:r>
    </w:p>
    <w:p>
      <w:pPr>
        <w:pStyle w:val="BodyText"/>
        <w:rPr>
          <w:sz w:val="28"/>
        </w:rPr>
      </w:pPr>
    </w:p>
    <w:p>
      <w:pPr>
        <w:pStyle w:val="BodyText"/>
        <w:spacing w:before="1"/>
        <w:rPr>
          <w:sz w:val="22"/>
        </w:rPr>
      </w:pPr>
    </w:p>
    <w:p>
      <w:pPr>
        <w:pStyle w:val="BodyText"/>
        <w:spacing w:line="480" w:lineRule="auto"/>
        <w:ind w:left="500" w:right="444"/>
        <w:jc w:val="both"/>
      </w:pPr>
      <w:r>
        <w:rPr/>
        <w:t>Order 1 Rue 8</w:t>
      </w:r>
      <w:r>
        <w:rPr>
          <w:vertAlign w:val="superscript"/>
        </w:rPr>
        <w:t>264</w:t>
      </w:r>
      <w:r>
        <w:rPr>
          <w:vertAlign w:val="baseline"/>
        </w:rPr>
        <w:t> contains provisions under which one person may sue or defend a suit on behalf or for the benefit of all persons interested.</w:t>
      </w:r>
    </w:p>
    <w:p>
      <w:pPr>
        <w:pStyle w:val="BodyText"/>
        <w:rPr>
          <w:sz w:val="20"/>
        </w:rPr>
      </w:pPr>
    </w:p>
    <w:p>
      <w:pPr>
        <w:pStyle w:val="BodyText"/>
        <w:rPr>
          <w:sz w:val="20"/>
        </w:rPr>
      </w:pPr>
    </w:p>
    <w:p>
      <w:pPr>
        <w:pStyle w:val="BodyText"/>
        <w:spacing w:before="1"/>
        <w:rPr>
          <w:sz w:val="28"/>
        </w:rPr>
      </w:pPr>
      <w:r>
        <w:rPr/>
        <w:pict>
          <v:rect style="position:absolute;margin-left:72.024002pt;margin-top:18.134491pt;width:144.020pt;height:.60004pt;mso-position-horizontal-relative:page;mso-position-vertical-relative:paragraph;z-index:-15654400;mso-wrap-distance-left:0;mso-wrap-distance-right:0" filled="true" fillcolor="#000000" stroked="false">
            <v:fill type="solid"/>
            <w10:wrap type="topAndBottom"/>
          </v:rect>
        </w:pict>
      </w:r>
    </w:p>
    <w:p>
      <w:pPr>
        <w:spacing w:line="207" w:lineRule="exact" w:before="80"/>
        <w:ind w:left="500" w:right="0" w:firstLine="0"/>
        <w:jc w:val="both"/>
        <w:rPr>
          <w:sz w:val="18"/>
        </w:rPr>
      </w:pPr>
      <w:r>
        <w:rPr>
          <w:sz w:val="18"/>
          <w:vertAlign w:val="superscript"/>
        </w:rPr>
        <w:t>264</w:t>
      </w:r>
      <w:r>
        <w:rPr>
          <w:sz w:val="18"/>
          <w:vertAlign w:val="baseline"/>
        </w:rPr>
        <w:t> Order 1 Rule 8 provides thus :</w:t>
      </w:r>
    </w:p>
    <w:p>
      <w:pPr>
        <w:spacing w:line="206" w:lineRule="exact" w:before="0"/>
        <w:ind w:left="500" w:right="0" w:firstLine="0"/>
        <w:jc w:val="both"/>
        <w:rPr>
          <w:sz w:val="18"/>
        </w:rPr>
      </w:pPr>
      <w:r>
        <w:rPr>
          <w:sz w:val="18"/>
        </w:rPr>
        <w:t>One person may sue or defend on behalf of all in same interest—</w:t>
      </w:r>
    </w:p>
    <w:p>
      <w:pPr>
        <w:pStyle w:val="ListParagraph"/>
        <w:numPr>
          <w:ilvl w:val="0"/>
          <w:numId w:val="138"/>
        </w:numPr>
        <w:tabs>
          <w:tab w:pos="767" w:val="left" w:leader="none"/>
        </w:tabs>
        <w:spacing w:line="207" w:lineRule="exact" w:before="0" w:after="0"/>
        <w:ind w:left="766" w:right="0" w:hanging="267"/>
        <w:jc w:val="both"/>
        <w:rPr>
          <w:sz w:val="18"/>
        </w:rPr>
      </w:pPr>
      <w:r>
        <w:rPr>
          <w:sz w:val="18"/>
        </w:rPr>
        <w:t>Where there are numerous persons having the same interest in one</w:t>
      </w:r>
      <w:r>
        <w:rPr>
          <w:spacing w:val="-11"/>
          <w:sz w:val="18"/>
        </w:rPr>
        <w:t> </w:t>
      </w:r>
      <w:r>
        <w:rPr>
          <w:sz w:val="18"/>
        </w:rPr>
        <w:t>suit,—</w:t>
      </w:r>
    </w:p>
    <w:p>
      <w:pPr>
        <w:pStyle w:val="ListParagraph"/>
        <w:numPr>
          <w:ilvl w:val="0"/>
          <w:numId w:val="139"/>
        </w:numPr>
        <w:tabs>
          <w:tab w:pos="777" w:val="left" w:leader="none"/>
        </w:tabs>
        <w:spacing w:line="240" w:lineRule="auto" w:before="2" w:after="0"/>
        <w:ind w:left="500" w:right="448" w:firstLine="0"/>
        <w:jc w:val="both"/>
        <w:rPr>
          <w:sz w:val="18"/>
        </w:rPr>
      </w:pPr>
      <w:r>
        <w:rPr>
          <w:sz w:val="18"/>
        </w:rPr>
        <w:t>one or more of such persons may, with the permission of the Court, sue or be sued, or may defend such suit, on behalf of, or for the benefit of, all persons so</w:t>
      </w:r>
      <w:r>
        <w:rPr>
          <w:spacing w:val="-13"/>
          <w:sz w:val="18"/>
        </w:rPr>
        <w:t> </w:t>
      </w:r>
      <w:r>
        <w:rPr>
          <w:sz w:val="18"/>
        </w:rPr>
        <w:t>interested;</w:t>
      </w:r>
    </w:p>
    <w:p>
      <w:pPr>
        <w:pStyle w:val="ListParagraph"/>
        <w:numPr>
          <w:ilvl w:val="0"/>
          <w:numId w:val="139"/>
        </w:numPr>
        <w:tabs>
          <w:tab w:pos="793" w:val="left" w:leader="none"/>
        </w:tabs>
        <w:spacing w:line="240" w:lineRule="auto" w:before="0" w:after="0"/>
        <w:ind w:left="500" w:right="438" w:firstLine="0"/>
        <w:jc w:val="both"/>
        <w:rPr>
          <w:sz w:val="18"/>
        </w:rPr>
      </w:pPr>
      <w:r>
        <w:rPr>
          <w:sz w:val="18"/>
        </w:rPr>
        <w:t>the Court may direct that one or more of such persons may sue or be sued, </w:t>
      </w:r>
      <w:r>
        <w:rPr>
          <w:spacing w:val="5"/>
          <w:sz w:val="18"/>
        </w:rPr>
        <w:t>or </w:t>
      </w:r>
      <w:r>
        <w:rPr>
          <w:sz w:val="18"/>
        </w:rPr>
        <w:t>may defend such suit, on behalf of, or for the benefit of, all persons so</w:t>
      </w:r>
      <w:r>
        <w:rPr>
          <w:spacing w:val="-13"/>
          <w:sz w:val="18"/>
        </w:rPr>
        <w:t> </w:t>
      </w:r>
      <w:r>
        <w:rPr>
          <w:sz w:val="18"/>
        </w:rPr>
        <w:t>interested.</w:t>
      </w:r>
    </w:p>
    <w:p>
      <w:pPr>
        <w:pStyle w:val="ListParagraph"/>
        <w:numPr>
          <w:ilvl w:val="0"/>
          <w:numId w:val="138"/>
        </w:numPr>
        <w:tabs>
          <w:tab w:pos="791" w:val="left" w:leader="none"/>
        </w:tabs>
        <w:spacing w:line="240" w:lineRule="auto" w:before="1" w:after="0"/>
        <w:ind w:left="500" w:right="437" w:firstLine="0"/>
        <w:jc w:val="both"/>
        <w:rPr>
          <w:sz w:val="18"/>
        </w:rPr>
      </w:pPr>
      <w:r>
        <w:rPr>
          <w:sz w:val="18"/>
        </w:rPr>
        <w:t>The Court shall, in every case where a permission or direction is given under sub-rule (1), at the plaintiff's expense, give notice of the institution of the suit to all persons so interested either by personal service, or, where, by reason of the number of persons or any other cause, such service is not reasonably practicable, by public advertisement, as the Court in each case may</w:t>
      </w:r>
      <w:r>
        <w:rPr>
          <w:spacing w:val="-12"/>
          <w:sz w:val="18"/>
        </w:rPr>
        <w:t> </w:t>
      </w:r>
      <w:r>
        <w:rPr>
          <w:sz w:val="18"/>
        </w:rPr>
        <w:t>direct.</w:t>
      </w:r>
    </w:p>
    <w:p>
      <w:pPr>
        <w:pStyle w:val="ListParagraph"/>
        <w:numPr>
          <w:ilvl w:val="0"/>
          <w:numId w:val="138"/>
        </w:numPr>
        <w:tabs>
          <w:tab w:pos="789" w:val="left" w:leader="none"/>
        </w:tabs>
        <w:spacing w:line="240" w:lineRule="auto" w:before="0" w:after="0"/>
        <w:ind w:left="500" w:right="436" w:firstLine="0"/>
        <w:jc w:val="both"/>
        <w:rPr>
          <w:sz w:val="18"/>
        </w:rPr>
      </w:pPr>
      <w:r>
        <w:rPr>
          <w:sz w:val="18"/>
        </w:rPr>
        <w:t>Any person on whose behalf, or for whose benefit, a suit is instituted or defended, under sub-rule (1), may apply to the Court to be made a party to such</w:t>
      </w:r>
      <w:r>
        <w:rPr>
          <w:spacing w:val="-14"/>
          <w:sz w:val="18"/>
        </w:rPr>
        <w:t> </w:t>
      </w:r>
      <w:r>
        <w:rPr>
          <w:sz w:val="18"/>
        </w:rPr>
        <w:t>suit.</w:t>
      </w:r>
    </w:p>
    <w:p>
      <w:pPr>
        <w:pStyle w:val="ListParagraph"/>
        <w:numPr>
          <w:ilvl w:val="0"/>
          <w:numId w:val="138"/>
        </w:numPr>
        <w:tabs>
          <w:tab w:pos="853" w:val="left" w:leader="none"/>
        </w:tabs>
        <w:spacing w:line="240" w:lineRule="auto" w:before="0" w:after="0"/>
        <w:ind w:left="500" w:right="435" w:firstLine="50"/>
        <w:jc w:val="both"/>
        <w:rPr>
          <w:sz w:val="18"/>
        </w:rPr>
      </w:pPr>
      <w:r>
        <w:rPr>
          <w:sz w:val="18"/>
        </w:rPr>
        <w:t>No part of the claim in any such suit shall be abandoned under sub-rule (1), and no such suit shall be withdrawn under sub-rule (3), of rule 1 of Order XXIII, and no agreement, compromise or satisfaction shall be recorded in any such suit under rule 3 of that Order, unless the Court has given, at the plaintiff's expense, notice to all persons so interested in the manner specified in sub-rule</w:t>
      </w:r>
      <w:r>
        <w:rPr>
          <w:spacing w:val="-10"/>
          <w:sz w:val="18"/>
        </w:rPr>
        <w:t> </w:t>
      </w:r>
      <w:r>
        <w:rPr>
          <w:sz w:val="18"/>
        </w:rPr>
        <w:t>(2).</w:t>
      </w:r>
    </w:p>
    <w:p>
      <w:pPr>
        <w:pStyle w:val="ListParagraph"/>
        <w:numPr>
          <w:ilvl w:val="0"/>
          <w:numId w:val="138"/>
        </w:numPr>
        <w:tabs>
          <w:tab w:pos="791" w:val="left" w:leader="none"/>
        </w:tabs>
        <w:spacing w:line="240" w:lineRule="auto" w:before="0" w:after="0"/>
        <w:ind w:left="500" w:right="438" w:firstLine="0"/>
        <w:jc w:val="both"/>
        <w:rPr>
          <w:sz w:val="18"/>
        </w:rPr>
      </w:pPr>
      <w:r>
        <w:rPr>
          <w:sz w:val="18"/>
        </w:rPr>
        <w:t>Where any person suing or defending in any such suit does not proceed with due diligence in the suit or defence, the Court may substitute in his place any other person having the same interest in the suit. (6) A decree passed in a suit under this rule shall be binding on all persons on whose behalf, or for whose benefit, the suit is instituted, or defended, as the case may</w:t>
      </w:r>
      <w:r>
        <w:rPr>
          <w:spacing w:val="-7"/>
          <w:sz w:val="18"/>
        </w:rPr>
        <w:t> </w:t>
      </w:r>
      <w:r>
        <w:rPr>
          <w:sz w:val="18"/>
        </w:rPr>
        <w:t>be.</w:t>
      </w:r>
    </w:p>
    <w:p>
      <w:pPr>
        <w:spacing w:before="0"/>
        <w:ind w:left="500" w:right="438" w:firstLine="0"/>
        <w:jc w:val="both"/>
        <w:rPr>
          <w:sz w:val="18"/>
        </w:rPr>
      </w:pPr>
      <w:r>
        <w:rPr>
          <w:sz w:val="18"/>
        </w:rPr>
        <w:t>Explanation.—For the purpose of determining whether the persons who sue or are sued, or defend, have the same interest in one suit, it is not necessary to establish that such persons have the same cause of action as the person on whom behalf, or for whose benefit, they sue or are sued, or defend the suit, as the case may be.</w:t>
      </w:r>
    </w:p>
    <w:p>
      <w:pPr>
        <w:spacing w:after="0"/>
        <w:jc w:val="both"/>
        <w:rPr>
          <w:sz w:val="18"/>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37" w:firstLine="0"/>
        <w:jc w:val="both"/>
        <w:rPr>
          <w:sz w:val="25"/>
        </w:rPr>
      </w:pPr>
      <w:r>
        <w:rPr>
          <w:sz w:val="25"/>
        </w:rPr>
        <w:t>The Suit of 1885 was instituted when the CPC 1882 was in force. Section 13 contained a provision in regard to </w:t>
      </w:r>
      <w:r>
        <w:rPr>
          <w:i/>
          <w:sz w:val="25"/>
        </w:rPr>
        <w:t>res judicata. </w:t>
      </w:r>
      <w:r>
        <w:rPr>
          <w:sz w:val="25"/>
        </w:rPr>
        <w:t>Section 13 corresponds to Section 11 of the CPC 1908, with certain material differences. Explanation V to Section 13 contained a deeming provision stating when persons would be deemed to claim, litigating under the same title. However, Explanation V to Section 13 covered only persons litigating in respect of a </w:t>
      </w:r>
      <w:r>
        <w:rPr>
          <w:b/>
          <w:sz w:val="25"/>
        </w:rPr>
        <w:t>private </w:t>
      </w:r>
      <w:r>
        <w:rPr>
          <w:sz w:val="25"/>
        </w:rPr>
        <w:t>right claimed in common for themselves and others. In contrast, Explanation VI to Section 11 of the CPC 1908 covers persons litigating in respect of a public right or a private right in common for themselves and others. This distinction between Explanation V of Section 13 in the CPC 1882 and Explanation VI to Section 11 of the CPC 1908 is brought out in the following table containing the two</w:t>
      </w:r>
      <w:r>
        <w:rPr>
          <w:spacing w:val="-6"/>
          <w:sz w:val="25"/>
        </w:rPr>
        <w:t> </w:t>
      </w:r>
      <w:r>
        <w:rPr>
          <w:sz w:val="25"/>
        </w:rPr>
        <w:t>provisions:</w:t>
      </w:r>
    </w:p>
    <w:p>
      <w:pPr>
        <w:pStyle w:val="BodyText"/>
        <w:spacing w:before="3" w:after="1"/>
        <w:rPr>
          <w:sz w:val="14"/>
        </w:rPr>
      </w:pPr>
    </w:p>
    <w:tbl>
      <w:tblPr>
        <w:tblW w:w="0" w:type="auto"/>
        <w:jc w:val="left"/>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1"/>
        <w:gridCol w:w="4624"/>
      </w:tblGrid>
      <w:tr>
        <w:trPr>
          <w:trHeight w:val="604" w:hRule="atLeast"/>
        </w:trPr>
        <w:tc>
          <w:tcPr>
            <w:tcW w:w="4621" w:type="dxa"/>
            <w:shd w:val="clear" w:color="auto" w:fill="BEBEBE"/>
          </w:tcPr>
          <w:p>
            <w:pPr>
              <w:pStyle w:val="TableParagraph"/>
              <w:spacing w:line="236" w:lineRule="exact"/>
              <w:ind w:left="1269"/>
              <w:rPr>
                <w:b/>
                <w:sz w:val="21"/>
              </w:rPr>
            </w:pPr>
            <w:r>
              <w:rPr>
                <w:b/>
                <w:sz w:val="21"/>
              </w:rPr>
              <w:t>Section 13 CPC 1882</w:t>
            </w:r>
          </w:p>
        </w:tc>
        <w:tc>
          <w:tcPr>
            <w:tcW w:w="4624" w:type="dxa"/>
            <w:shd w:val="clear" w:color="auto" w:fill="BEBEBE"/>
          </w:tcPr>
          <w:p>
            <w:pPr>
              <w:pStyle w:val="TableParagraph"/>
              <w:spacing w:line="236" w:lineRule="exact"/>
              <w:ind w:left="1269"/>
              <w:rPr>
                <w:b/>
                <w:sz w:val="21"/>
              </w:rPr>
            </w:pPr>
            <w:r>
              <w:rPr>
                <w:b/>
                <w:sz w:val="21"/>
              </w:rPr>
              <w:t>Section 11 CPC 1908</w:t>
            </w:r>
          </w:p>
        </w:tc>
      </w:tr>
      <w:tr>
        <w:trPr>
          <w:trHeight w:val="4598" w:hRule="atLeast"/>
        </w:trPr>
        <w:tc>
          <w:tcPr>
            <w:tcW w:w="4621" w:type="dxa"/>
          </w:tcPr>
          <w:p>
            <w:pPr>
              <w:pStyle w:val="TableParagraph"/>
              <w:spacing w:line="480" w:lineRule="auto"/>
              <w:ind w:right="96"/>
              <w:jc w:val="both"/>
              <w:rPr>
                <w:sz w:val="25"/>
              </w:rPr>
            </w:pPr>
            <w:r>
              <w:rPr>
                <w:b/>
                <w:sz w:val="25"/>
              </w:rPr>
              <w:t>Explanation V </w:t>
            </w:r>
            <w:r>
              <w:rPr>
                <w:sz w:val="25"/>
              </w:rPr>
              <w:t>– Where </w:t>
            </w:r>
            <w:r>
              <w:rPr>
                <w:spacing w:val="-3"/>
                <w:sz w:val="25"/>
              </w:rPr>
              <w:t>persons  </w:t>
            </w:r>
            <w:r>
              <w:rPr>
                <w:sz w:val="25"/>
              </w:rPr>
              <w:t>litigate bonafide in respect of a </w:t>
            </w:r>
            <w:r>
              <w:rPr>
                <w:sz w:val="25"/>
                <w:u w:val="single"/>
              </w:rPr>
              <w:t>private</w:t>
            </w:r>
            <w:r>
              <w:rPr>
                <w:sz w:val="25"/>
              </w:rPr>
              <w:t> </w:t>
            </w:r>
            <w:r>
              <w:rPr>
                <w:sz w:val="25"/>
                <w:u w:val="single"/>
              </w:rPr>
              <w:t>right</w:t>
            </w:r>
            <w:r>
              <w:rPr>
                <w:sz w:val="25"/>
              </w:rPr>
              <w:t> claimed in common for themselves and others, all persons interested in such right shall, for the purpose of this section, be deemed to claim under the persons so</w:t>
            </w:r>
            <w:r>
              <w:rPr>
                <w:spacing w:val="-2"/>
                <w:sz w:val="25"/>
              </w:rPr>
              <w:t> </w:t>
            </w:r>
            <w:r>
              <w:rPr>
                <w:sz w:val="25"/>
              </w:rPr>
              <w:t>litigating.</w:t>
            </w:r>
          </w:p>
        </w:tc>
        <w:tc>
          <w:tcPr>
            <w:tcW w:w="4624" w:type="dxa"/>
          </w:tcPr>
          <w:p>
            <w:pPr>
              <w:pStyle w:val="TableParagraph"/>
              <w:spacing w:line="480" w:lineRule="auto"/>
              <w:ind w:right="98"/>
              <w:jc w:val="both"/>
              <w:rPr>
                <w:sz w:val="25"/>
              </w:rPr>
            </w:pPr>
            <w:r>
              <w:rPr>
                <w:b/>
                <w:sz w:val="25"/>
              </w:rPr>
              <w:t>Explanation VI – </w:t>
            </w:r>
            <w:r>
              <w:rPr>
                <w:sz w:val="25"/>
              </w:rPr>
              <w:t>Where persons litigate bonafide in respect of a </w:t>
            </w:r>
            <w:r>
              <w:rPr>
                <w:sz w:val="25"/>
                <w:u w:val="single"/>
              </w:rPr>
              <w:t>public</w:t>
            </w:r>
            <w:r>
              <w:rPr>
                <w:sz w:val="25"/>
              </w:rPr>
              <w:t> </w:t>
            </w:r>
            <w:r>
              <w:rPr>
                <w:sz w:val="25"/>
                <w:u w:val="single"/>
              </w:rPr>
              <w:t>right or of a private right</w:t>
            </w:r>
            <w:r>
              <w:rPr>
                <w:sz w:val="25"/>
              </w:rPr>
              <w:t> claimed in common for themselves and others, all persons interested in such right shall, for the purpose of this section, be deemed to claim under the persons so</w:t>
            </w:r>
          </w:p>
          <w:p>
            <w:pPr>
              <w:pStyle w:val="TableParagraph"/>
              <w:rPr>
                <w:sz w:val="25"/>
              </w:rPr>
            </w:pPr>
            <w:r>
              <w:rPr>
                <w:sz w:val="25"/>
              </w:rPr>
              <w:t>litigating.</w:t>
            </w:r>
          </w:p>
        </w:tc>
      </w:tr>
    </w:tbl>
    <w:p>
      <w:pPr>
        <w:pStyle w:val="BodyText"/>
        <w:rPr>
          <w:sz w:val="20"/>
        </w:rPr>
      </w:pPr>
    </w:p>
    <w:p>
      <w:pPr>
        <w:pStyle w:val="BodyText"/>
        <w:rPr>
          <w:sz w:val="20"/>
        </w:rPr>
      </w:pPr>
    </w:p>
    <w:p>
      <w:pPr>
        <w:pStyle w:val="BodyText"/>
        <w:spacing w:before="2"/>
        <w:rPr>
          <w:sz w:val="22"/>
        </w:rPr>
      </w:pPr>
    </w:p>
    <w:p>
      <w:pPr>
        <w:pStyle w:val="BodyText"/>
        <w:spacing w:line="480" w:lineRule="auto" w:before="1"/>
        <w:ind w:left="500" w:right="437"/>
        <w:jc w:val="both"/>
      </w:pPr>
      <w:r>
        <w:rPr/>
        <w:t>It may be noted at this stage that Section 92 of the CPC </w:t>
      </w:r>
      <w:r>
        <w:rPr>
          <w:spacing w:val="2"/>
        </w:rPr>
        <w:t>1908 </w:t>
      </w:r>
      <w:r>
        <w:rPr/>
        <w:t>contains a provision corresponding to Section 539 of the CPC 1882. However, the CPC 1908 introduced Section 91 to deal with public nuisances and other wrongful</w:t>
      </w:r>
      <w:r>
        <w:rPr>
          <w:spacing w:val="41"/>
        </w:rPr>
        <w:t> </w:t>
      </w:r>
      <w:r>
        <w:rPr/>
        <w:t>acts</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w w:val="99"/>
        </w:rPr>
        <w:t>affecting</w:t>
      </w:r>
      <w:r>
        <w:rPr/>
        <w:t> </w:t>
      </w:r>
      <w:r>
        <w:rPr>
          <w:w w:val="99"/>
        </w:rPr>
        <w:t>the</w:t>
      </w:r>
      <w:r>
        <w:rPr/>
        <w:t> </w:t>
      </w:r>
      <w:r>
        <w:rPr>
          <w:w w:val="99"/>
        </w:rPr>
        <w:t>public.</w:t>
      </w:r>
      <w:r>
        <w:rPr/>
        <w:t> </w:t>
      </w:r>
      <w:r>
        <w:rPr>
          <w:w w:val="99"/>
        </w:rPr>
        <w:t>The</w:t>
      </w:r>
      <w:r>
        <w:rPr/>
        <w:t> </w:t>
      </w:r>
      <w:r>
        <w:rPr>
          <w:w w:val="99"/>
        </w:rPr>
        <w:t>words</w:t>
      </w:r>
      <w:r>
        <w:rPr/>
        <w:t> </w:t>
      </w:r>
      <w:r>
        <w:rPr>
          <w:w w:val="33"/>
        </w:rPr>
        <w:t>―</w:t>
      </w:r>
      <w:r>
        <w:rPr>
          <w:w w:val="99"/>
        </w:rPr>
        <w:t>of</w:t>
      </w:r>
      <w:r>
        <w:rPr/>
        <w:t> </w:t>
      </w:r>
      <w:r>
        <w:rPr>
          <w:w w:val="99"/>
        </w:rPr>
        <w:t>public</w:t>
      </w:r>
      <w:r>
        <w:rPr/>
        <w:t> </w:t>
      </w:r>
      <w:r>
        <w:rPr>
          <w:w w:val="99"/>
        </w:rPr>
        <w:t>right</w:t>
      </w:r>
      <w:r>
        <w:rPr>
          <w:w w:val="80"/>
        </w:rPr>
        <w:t>‖</w:t>
      </w:r>
      <w:r>
        <w:rPr/>
        <w:t> </w:t>
      </w:r>
      <w:r>
        <w:rPr>
          <w:w w:val="99"/>
        </w:rPr>
        <w:t>were</w:t>
      </w:r>
      <w:r>
        <w:rPr/>
        <w:t> </w:t>
      </w:r>
      <w:r>
        <w:rPr>
          <w:w w:val="99"/>
        </w:rPr>
        <w:t>introduced</w:t>
      </w:r>
      <w:r>
        <w:rPr/>
        <w:t> </w:t>
      </w:r>
      <w:r>
        <w:rPr>
          <w:w w:val="99"/>
        </w:rPr>
        <w:t>in</w:t>
      </w:r>
      <w:r>
        <w:rPr/>
        <w:t> </w:t>
      </w:r>
      <w:r>
        <w:rPr>
          <w:w w:val="99"/>
        </w:rPr>
        <w:t>Explanation</w:t>
      </w:r>
      <w:r>
        <w:rPr/>
        <w:t> </w:t>
      </w:r>
      <w:r>
        <w:rPr>
          <w:w w:val="99"/>
        </w:rPr>
        <w:t>VI </w:t>
      </w:r>
      <w:r>
        <w:rPr/>
        <w:t>of Section 11 of the CPC 1908 in order to give due effect to suits relating to public nuisances incorporated in Section 91. Thus, the deeming provision contained in Explanation V to Section 13 of the CPC 1882 was expanded in the corresponding provision contained in Explanation VI to Section 11 of the CPC 1908 to cover a case where persons litigate </w:t>
      </w:r>
      <w:r>
        <w:rPr>
          <w:i/>
        </w:rPr>
        <w:t>bona fide </w:t>
      </w:r>
      <w:r>
        <w:rPr/>
        <w:t>in respect of a private right or a public right claimed in common with others. When the earlier Suit of 1885 was instituted, Explanation V had no application to a situation where persons were litigating in respect of a public right as distinct from a private right.</w:t>
      </w:r>
    </w:p>
    <w:p>
      <w:pPr>
        <w:pStyle w:val="BodyText"/>
        <w:rPr>
          <w:sz w:val="28"/>
        </w:rPr>
      </w:pPr>
    </w:p>
    <w:p>
      <w:pPr>
        <w:pStyle w:val="BodyText"/>
        <w:spacing w:before="10"/>
        <w:rPr>
          <w:sz w:val="35"/>
        </w:rPr>
      </w:pPr>
    </w:p>
    <w:p>
      <w:pPr>
        <w:pStyle w:val="ListParagraph"/>
        <w:numPr>
          <w:ilvl w:val="0"/>
          <w:numId w:val="111"/>
        </w:numPr>
        <w:tabs>
          <w:tab w:pos="1221" w:val="left" w:leader="none"/>
        </w:tabs>
        <w:spacing w:line="480" w:lineRule="auto" w:before="0" w:after="0"/>
        <w:ind w:left="500" w:right="435" w:firstLine="0"/>
        <w:jc w:val="both"/>
        <w:rPr>
          <w:sz w:val="25"/>
        </w:rPr>
      </w:pPr>
      <w:r>
        <w:rPr>
          <w:sz w:val="25"/>
        </w:rPr>
        <w:t>Mr K Parasaran, learned Senior Counsel argued that the provisions of the CPC contain provisions some of which relate to matters of procedure while others deal with matters of substance (</w:t>
      </w:r>
      <w:r>
        <w:rPr>
          <w:i/>
          <w:sz w:val="25"/>
        </w:rPr>
        <w:t>See </w:t>
      </w:r>
      <w:r>
        <w:rPr>
          <w:b/>
          <w:sz w:val="25"/>
        </w:rPr>
        <w:t>Durgesh Sharma </w:t>
      </w:r>
      <w:r>
        <w:rPr>
          <w:sz w:val="25"/>
        </w:rPr>
        <w:t>v </w:t>
      </w:r>
      <w:r>
        <w:rPr>
          <w:b/>
          <w:sz w:val="25"/>
        </w:rPr>
        <w:t>Jayshree</w:t>
      </w:r>
      <w:r>
        <w:rPr>
          <w:sz w:val="25"/>
          <w:vertAlign w:val="superscript"/>
        </w:rPr>
        <w:t>265</w:t>
      </w:r>
      <w:r>
        <w:rPr>
          <w:sz w:val="25"/>
          <w:vertAlign w:val="baseline"/>
        </w:rPr>
        <w:t>). For instance, it has been held that the right to file an appeal from a judgment and decree in a suit is a substantive right and this right is governed by the law which prevailed on the date of the institution of the suit. Hence, in </w:t>
      </w:r>
      <w:r>
        <w:rPr>
          <w:b/>
          <w:sz w:val="25"/>
          <w:vertAlign w:val="baseline"/>
        </w:rPr>
        <w:t>Garikapati Veeraya </w:t>
      </w:r>
      <w:r>
        <w:rPr>
          <w:sz w:val="25"/>
          <w:vertAlign w:val="baseline"/>
        </w:rPr>
        <w:t>v </w:t>
      </w:r>
      <w:r>
        <w:rPr>
          <w:b/>
          <w:sz w:val="25"/>
          <w:vertAlign w:val="baseline"/>
        </w:rPr>
        <w:t>N Subbiah Choudhry</w:t>
      </w:r>
      <w:r>
        <w:rPr>
          <w:sz w:val="25"/>
          <w:vertAlign w:val="superscript"/>
        </w:rPr>
        <w:t>266</w:t>
      </w:r>
      <w:r>
        <w:rPr>
          <w:sz w:val="25"/>
          <w:vertAlign w:val="baseline"/>
        </w:rPr>
        <w:t>, a Constitution Bench of this Court</w:t>
      </w:r>
      <w:r>
        <w:rPr>
          <w:spacing w:val="-9"/>
          <w:sz w:val="25"/>
          <w:vertAlign w:val="baseline"/>
        </w:rPr>
        <w:t> </w:t>
      </w:r>
      <w:r>
        <w:rPr>
          <w:sz w:val="25"/>
          <w:vertAlign w:val="baseline"/>
        </w:rPr>
        <w:t>held:</w:t>
      </w:r>
    </w:p>
    <w:p>
      <w:pPr>
        <w:spacing w:line="276" w:lineRule="auto" w:before="161"/>
        <w:ind w:left="1940" w:right="2254" w:firstLine="0"/>
        <w:jc w:val="both"/>
        <w:rPr>
          <w:sz w:val="21"/>
        </w:rPr>
      </w:pPr>
      <w:r>
        <w:rPr>
          <w:spacing w:val="-1"/>
          <w:w w:val="33"/>
          <w:sz w:val="21"/>
        </w:rPr>
        <w:t>―</w:t>
      </w:r>
      <w:r>
        <w:rPr>
          <w:spacing w:val="-1"/>
          <w:w w:val="100"/>
          <w:sz w:val="21"/>
        </w:rPr>
        <w:t>23.</w:t>
      </w:r>
      <w:r>
        <w:rPr>
          <w:spacing w:val="-2"/>
          <w:w w:val="100"/>
          <w:sz w:val="21"/>
        </w:rPr>
        <w:t>.</w:t>
      </w:r>
      <w:r>
        <w:rPr>
          <w:w w:val="100"/>
          <w:sz w:val="21"/>
        </w:rPr>
        <w:t>.</w:t>
      </w:r>
      <w:r>
        <w:rPr>
          <w:sz w:val="21"/>
        </w:rPr>
        <w:t>  </w:t>
      </w:r>
      <w:r>
        <w:rPr>
          <w:spacing w:val="-21"/>
          <w:sz w:val="21"/>
        </w:rPr>
        <w:t> </w:t>
      </w:r>
      <w:r>
        <w:rPr>
          <w:spacing w:val="-1"/>
          <w:w w:val="100"/>
          <w:sz w:val="21"/>
        </w:rPr>
        <w:t>(</w:t>
      </w:r>
      <w:r>
        <w:rPr>
          <w:spacing w:val="1"/>
          <w:w w:val="100"/>
          <w:sz w:val="21"/>
        </w:rPr>
        <w:t>iii</w:t>
      </w:r>
      <w:r>
        <w:rPr>
          <w:w w:val="100"/>
          <w:sz w:val="21"/>
        </w:rPr>
        <w:t>)</w:t>
      </w:r>
      <w:r>
        <w:rPr>
          <w:sz w:val="21"/>
        </w:rPr>
        <w:t>  </w:t>
      </w:r>
      <w:r>
        <w:rPr>
          <w:spacing w:val="-20"/>
          <w:sz w:val="21"/>
        </w:rPr>
        <w:t> </w:t>
      </w:r>
      <w:r>
        <w:rPr>
          <w:w w:val="100"/>
          <w:sz w:val="21"/>
        </w:rPr>
        <w:t>T</w:t>
      </w:r>
      <w:r>
        <w:rPr>
          <w:spacing w:val="-2"/>
          <w:w w:val="100"/>
          <w:sz w:val="21"/>
        </w:rPr>
        <w:t>h</w:t>
      </w:r>
      <w:r>
        <w:rPr>
          <w:w w:val="100"/>
          <w:sz w:val="21"/>
        </w:rPr>
        <w:t>e</w:t>
      </w:r>
      <w:r>
        <w:rPr>
          <w:sz w:val="21"/>
        </w:rPr>
        <w:t>  </w:t>
      </w:r>
      <w:r>
        <w:rPr>
          <w:spacing w:val="-20"/>
          <w:sz w:val="21"/>
        </w:rPr>
        <w:t> </w:t>
      </w:r>
      <w:r>
        <w:rPr>
          <w:spacing w:val="-2"/>
          <w:w w:val="100"/>
          <w:sz w:val="21"/>
        </w:rPr>
        <w:t>i</w:t>
      </w:r>
      <w:r>
        <w:rPr>
          <w:w w:val="100"/>
          <w:sz w:val="21"/>
        </w:rPr>
        <w:t>ns</w:t>
      </w:r>
      <w:r>
        <w:rPr>
          <w:spacing w:val="-1"/>
          <w:w w:val="100"/>
          <w:sz w:val="21"/>
        </w:rPr>
        <w:t>t</w:t>
      </w:r>
      <w:r>
        <w:rPr>
          <w:w w:val="100"/>
          <w:sz w:val="21"/>
        </w:rPr>
        <w:t>i</w:t>
      </w:r>
      <w:r>
        <w:rPr>
          <w:spacing w:val="-2"/>
          <w:w w:val="100"/>
          <w:sz w:val="21"/>
        </w:rPr>
        <w:t>t</w:t>
      </w:r>
      <w:r>
        <w:rPr>
          <w:w w:val="100"/>
          <w:sz w:val="21"/>
        </w:rPr>
        <w:t>u</w:t>
      </w:r>
      <w:r>
        <w:rPr>
          <w:spacing w:val="-1"/>
          <w:w w:val="100"/>
          <w:sz w:val="21"/>
        </w:rPr>
        <w:t>t</w:t>
      </w:r>
      <w:r>
        <w:rPr>
          <w:spacing w:val="-2"/>
          <w:w w:val="100"/>
          <w:sz w:val="21"/>
        </w:rPr>
        <w:t>i</w:t>
      </w:r>
      <w:r>
        <w:rPr>
          <w:spacing w:val="-3"/>
          <w:w w:val="100"/>
          <w:sz w:val="21"/>
        </w:rPr>
        <w:t>o</w:t>
      </w:r>
      <w:r>
        <w:rPr>
          <w:w w:val="100"/>
          <w:sz w:val="21"/>
        </w:rPr>
        <w:t>n</w:t>
      </w:r>
      <w:r>
        <w:rPr>
          <w:sz w:val="21"/>
        </w:rPr>
        <w:t>  </w:t>
      </w:r>
      <w:r>
        <w:rPr>
          <w:spacing w:val="-20"/>
          <w:sz w:val="21"/>
        </w:rPr>
        <w:t> </w:t>
      </w:r>
      <w:r>
        <w:rPr>
          <w:w w:val="100"/>
          <w:sz w:val="21"/>
        </w:rPr>
        <w:t>of</w:t>
      </w:r>
      <w:r>
        <w:rPr>
          <w:sz w:val="21"/>
        </w:rPr>
        <w:t>  </w:t>
      </w:r>
      <w:r>
        <w:rPr>
          <w:spacing w:val="-18"/>
          <w:sz w:val="21"/>
        </w:rPr>
        <w:t> </w:t>
      </w:r>
      <w:r>
        <w:rPr>
          <w:spacing w:val="-2"/>
          <w:w w:val="100"/>
          <w:sz w:val="21"/>
        </w:rPr>
        <w:t>t</w:t>
      </w:r>
      <w:r>
        <w:rPr>
          <w:w w:val="100"/>
          <w:sz w:val="21"/>
        </w:rPr>
        <w:t>he</w:t>
      </w:r>
      <w:r>
        <w:rPr>
          <w:sz w:val="21"/>
        </w:rPr>
        <w:t>  </w:t>
      </w:r>
      <w:r>
        <w:rPr>
          <w:spacing w:val="-19"/>
          <w:sz w:val="21"/>
        </w:rPr>
        <w:t> </w:t>
      </w:r>
      <w:r>
        <w:rPr>
          <w:spacing w:val="-3"/>
          <w:w w:val="100"/>
          <w:sz w:val="21"/>
        </w:rPr>
        <w:t>s</w:t>
      </w:r>
      <w:r>
        <w:rPr>
          <w:w w:val="100"/>
          <w:sz w:val="21"/>
        </w:rPr>
        <w:t>u</w:t>
      </w:r>
      <w:r>
        <w:rPr>
          <w:spacing w:val="1"/>
          <w:w w:val="100"/>
          <w:sz w:val="21"/>
        </w:rPr>
        <w:t>i</w:t>
      </w:r>
      <w:r>
        <w:rPr>
          <w:w w:val="100"/>
          <w:sz w:val="21"/>
        </w:rPr>
        <w:t>t</w:t>
      </w:r>
      <w:r>
        <w:rPr>
          <w:sz w:val="21"/>
        </w:rPr>
        <w:t>  </w:t>
      </w:r>
      <w:r>
        <w:rPr>
          <w:spacing w:val="-21"/>
          <w:sz w:val="21"/>
        </w:rPr>
        <w:t> </w:t>
      </w:r>
      <w:r>
        <w:rPr>
          <w:w w:val="100"/>
          <w:sz w:val="21"/>
        </w:rPr>
        <w:t>car</w:t>
      </w:r>
      <w:r>
        <w:rPr>
          <w:spacing w:val="-4"/>
          <w:w w:val="100"/>
          <w:sz w:val="21"/>
        </w:rPr>
        <w:t>r</w:t>
      </w:r>
      <w:r>
        <w:rPr>
          <w:w w:val="100"/>
          <w:sz w:val="21"/>
        </w:rPr>
        <w:t>i</w:t>
      </w:r>
      <w:r>
        <w:rPr>
          <w:w w:val="100"/>
          <w:sz w:val="21"/>
        </w:rPr>
        <w:t>es</w:t>
      </w:r>
      <w:r>
        <w:rPr>
          <w:sz w:val="21"/>
        </w:rPr>
        <w:t>  </w:t>
      </w:r>
      <w:r>
        <w:rPr>
          <w:spacing w:val="-22"/>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20"/>
          <w:sz w:val="21"/>
        </w:rPr>
        <w:t> </w:t>
      </w:r>
      <w:r>
        <w:rPr>
          <w:w w:val="100"/>
          <w:sz w:val="21"/>
        </w:rPr>
        <w:t>i</w:t>
      </w:r>
      <w:r>
        <w:rPr>
          <w:w w:val="100"/>
          <w:sz w:val="21"/>
        </w:rPr>
        <w:t>t</w:t>
      </w:r>
      <w:r>
        <w:rPr>
          <w:sz w:val="21"/>
        </w:rPr>
        <w:t>  </w:t>
      </w:r>
      <w:r>
        <w:rPr>
          <w:spacing w:val="-21"/>
          <w:sz w:val="21"/>
        </w:rPr>
        <w:t> </w:t>
      </w:r>
      <w:r>
        <w:rPr>
          <w:spacing w:val="-2"/>
          <w:w w:val="100"/>
          <w:sz w:val="21"/>
        </w:rPr>
        <w:t>t</w:t>
      </w:r>
      <w:r>
        <w:rPr>
          <w:w w:val="100"/>
          <w:sz w:val="21"/>
        </w:rPr>
        <w:t>he </w:t>
      </w:r>
      <w:r>
        <w:rPr>
          <w:sz w:val="21"/>
        </w:rPr>
        <w:t>implication that all rights of appeal then in force are preserved to the parties thereto till the rest of the career of the</w:t>
      </w:r>
      <w:r>
        <w:rPr>
          <w:spacing w:val="-15"/>
          <w:sz w:val="21"/>
        </w:rPr>
        <w:t> </w:t>
      </w:r>
      <w:r>
        <w:rPr>
          <w:sz w:val="21"/>
        </w:rPr>
        <w:t>suit.</w:t>
      </w:r>
    </w:p>
    <w:p>
      <w:pPr>
        <w:pStyle w:val="ListParagraph"/>
        <w:numPr>
          <w:ilvl w:val="1"/>
          <w:numId w:val="137"/>
        </w:numPr>
        <w:tabs>
          <w:tab w:pos="2318" w:val="left" w:leader="none"/>
        </w:tabs>
        <w:spacing w:line="276" w:lineRule="auto" w:before="41" w:after="0"/>
        <w:ind w:left="1940" w:right="2252" w:firstLine="0"/>
        <w:jc w:val="both"/>
        <w:rPr>
          <w:sz w:val="21"/>
        </w:rPr>
      </w:pPr>
      <w:r>
        <w:rPr>
          <w:sz w:val="21"/>
        </w:rPr>
        <w:t>The right of appeal is a vested right and such a right to enter the superior court accrues to the litigant and exists as on and from the date the lis commences and although it may be actually exercised when the adverse judgment is pronounced such right is to be governed by the law prevailing at the date of the institution of the suit or proceeding and not by  the  law  that  prevails  at  the  date  of   its  decision  or   at the date of the filing of the</w:t>
      </w:r>
      <w:r>
        <w:rPr>
          <w:spacing w:val="-10"/>
          <w:sz w:val="21"/>
        </w:rPr>
        <w:t> </w:t>
      </w:r>
      <w:r>
        <w:rPr>
          <w:sz w:val="21"/>
        </w:rPr>
        <w:t>appeal.</w:t>
      </w:r>
    </w:p>
    <w:p>
      <w:pPr>
        <w:pStyle w:val="BodyText"/>
        <w:spacing w:before="4"/>
        <w:rPr>
          <w:sz w:val="17"/>
        </w:rPr>
      </w:pPr>
      <w:r>
        <w:rPr/>
        <w:pict>
          <v:rect style="position:absolute;margin-left:72.024002pt;margin-top:11.939778pt;width:144.020pt;height:.599980pt;mso-position-horizontal-relative:page;mso-position-vertical-relative:paragraph;z-index:-15653888;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265</w:t>
      </w:r>
      <w:r>
        <w:rPr>
          <w:sz w:val="18"/>
          <w:vertAlign w:val="baseline"/>
        </w:rPr>
        <w:t> (2008) 9 SCC 648</w:t>
      </w:r>
    </w:p>
    <w:p>
      <w:pPr>
        <w:spacing w:before="2"/>
        <w:ind w:left="500" w:right="0" w:firstLine="0"/>
        <w:jc w:val="left"/>
        <w:rPr>
          <w:sz w:val="18"/>
        </w:rPr>
      </w:pPr>
      <w:r>
        <w:rPr>
          <w:sz w:val="18"/>
          <w:vertAlign w:val="superscript"/>
        </w:rPr>
        <w:t>266</w:t>
      </w:r>
      <w:r>
        <w:rPr>
          <w:sz w:val="18"/>
          <w:vertAlign w:val="baseline"/>
        </w:rPr>
        <w:t> 1957 SCR 488</w:t>
      </w:r>
    </w:p>
    <w:p>
      <w:pPr>
        <w:spacing w:after="0"/>
        <w:jc w:val="left"/>
        <w:rPr>
          <w:sz w:val="18"/>
        </w:rPr>
        <w:sectPr>
          <w:pgSz w:w="11910" w:h="16840"/>
          <w:pgMar w:header="721" w:footer="1014" w:top="1300" w:bottom="1200" w:left="940" w:right="1000"/>
        </w:sectPr>
      </w:pPr>
    </w:p>
    <w:p>
      <w:pPr>
        <w:pStyle w:val="ListParagraph"/>
        <w:numPr>
          <w:ilvl w:val="1"/>
          <w:numId w:val="137"/>
        </w:numPr>
        <w:tabs>
          <w:tab w:pos="2265" w:val="left" w:leader="none"/>
        </w:tabs>
        <w:spacing w:line="276" w:lineRule="auto" w:before="122" w:after="0"/>
        <w:ind w:left="1940" w:right="2259" w:firstLine="0"/>
        <w:jc w:val="both"/>
        <w:rPr>
          <w:sz w:val="21"/>
        </w:rPr>
      </w:pPr>
      <w:r>
        <w:rPr>
          <w:sz w:val="21"/>
        </w:rPr>
        <w:t>This vested right of appeal can be taken away only by a subsequent enactment, if it so provides expressly or by necessary intendment and not</w:t>
      </w:r>
      <w:r>
        <w:rPr>
          <w:spacing w:val="-13"/>
          <w:sz w:val="21"/>
        </w:rPr>
        <w:t> </w:t>
      </w:r>
      <w:r>
        <w:rPr>
          <w:sz w:val="21"/>
        </w:rPr>
        <w:t>otherwise.‖</w:t>
      </w:r>
    </w:p>
    <w:p>
      <w:pPr>
        <w:pStyle w:val="BodyText"/>
        <w:rPr>
          <w:sz w:val="24"/>
        </w:rPr>
      </w:pPr>
    </w:p>
    <w:p>
      <w:pPr>
        <w:pStyle w:val="BodyText"/>
        <w:rPr>
          <w:sz w:val="24"/>
        </w:rPr>
      </w:pPr>
    </w:p>
    <w:p>
      <w:pPr>
        <w:pStyle w:val="BodyText"/>
        <w:spacing w:line="480" w:lineRule="auto" w:before="169"/>
        <w:ind w:left="500" w:right="437"/>
        <w:jc w:val="both"/>
      </w:pPr>
      <w:r>
        <w:rPr/>
        <w:t>Mr K Parasaran urged that Explanation V to Section 13 of the </w:t>
      </w:r>
      <w:r>
        <w:rPr>
          <w:spacing w:val="2"/>
        </w:rPr>
        <w:t>CPC </w:t>
      </w:r>
      <w:r>
        <w:rPr/>
        <w:t>1882 excluded the application of </w:t>
      </w:r>
      <w:r>
        <w:rPr>
          <w:i/>
        </w:rPr>
        <w:t>res judicata </w:t>
      </w:r>
      <w:r>
        <w:rPr/>
        <w:t>where the earlier suit was for litigating a public right claimed in common with</w:t>
      </w:r>
      <w:r>
        <w:rPr>
          <w:spacing w:val="-4"/>
        </w:rPr>
        <w:t> </w:t>
      </w:r>
      <w:r>
        <w:rPr/>
        <w:t>others.</w:t>
      </w:r>
    </w:p>
    <w:p>
      <w:pPr>
        <w:pStyle w:val="BodyText"/>
        <w:rPr>
          <w:sz w:val="28"/>
        </w:rPr>
      </w:pPr>
    </w:p>
    <w:p>
      <w:pPr>
        <w:pStyle w:val="BodyText"/>
        <w:rPr>
          <w:sz w:val="22"/>
        </w:rPr>
      </w:pPr>
    </w:p>
    <w:p>
      <w:pPr>
        <w:pStyle w:val="BodyText"/>
        <w:spacing w:line="480" w:lineRule="auto"/>
        <w:ind w:left="500" w:right="433"/>
        <w:jc w:val="both"/>
      </w:pPr>
      <w:r>
        <w:rPr/>
        <w:t>Justice Sudhir Agarwal rejected the submission that it was the CPC 1882 that should be applied while analysing the application of the principles of </w:t>
      </w:r>
      <w:r>
        <w:rPr>
          <w:i/>
        </w:rPr>
        <w:t>res judicata</w:t>
      </w:r>
      <w:r>
        <w:rPr/>
        <w:t>. However, even on the basis that it was the CPC 1908 which would apply, the learned Judge came to the conclusion that the Suit of 1885 and the findings which were recorded by the Judicial Commissioner would not operate as </w:t>
      </w:r>
      <w:r>
        <w:rPr>
          <w:i/>
        </w:rPr>
        <w:t>res </w:t>
      </w:r>
      <w:r>
        <w:rPr>
          <w:i/>
        </w:rPr>
        <w:t>judicata</w:t>
      </w:r>
      <w:r>
        <w:rPr/>
        <w:t>.</w:t>
      </w:r>
    </w:p>
    <w:p>
      <w:pPr>
        <w:pStyle w:val="BodyText"/>
        <w:rPr>
          <w:sz w:val="39"/>
        </w:rPr>
      </w:pPr>
    </w:p>
    <w:p>
      <w:pPr>
        <w:pStyle w:val="BodyText"/>
        <w:spacing w:line="480" w:lineRule="auto"/>
        <w:ind w:left="500" w:right="434"/>
        <w:jc w:val="both"/>
      </w:pPr>
      <w:r>
        <w:rPr/>
        <w:t>Mr K Parasaran‘s submissions essentially boil down to this: according to him Explanation V to Section 13 of the CPC 1882 (which held the field when the Suit of 1885 was instituted) applied when the earlier suit was being litigated on the basis of a private right claimed in common with others. Hence, a subsequent suit for agitating a public right claimed in common with others is not barred by </w:t>
      </w:r>
      <w:r>
        <w:rPr>
          <w:spacing w:val="4"/>
        </w:rPr>
        <w:t>the </w:t>
      </w:r>
      <w:r>
        <w:rPr/>
        <w:t>principles of </w:t>
      </w:r>
      <w:r>
        <w:rPr>
          <w:i/>
        </w:rPr>
        <w:t>res judicata </w:t>
      </w:r>
      <w:r>
        <w:rPr/>
        <w:t>as embodied in Explanation V. The ambit of the explanation was expanded in the CPC 1908 while introducing Explanation VI to Section 11 to cover a claim based on a public as well as a private right asserted in common with others. Mr K Parasaran urges that this provision which is introduced in Explanation VI cannot be construed to bar a suit instituted after the enforcement</w:t>
      </w:r>
      <w:r>
        <w:rPr>
          <w:spacing w:val="44"/>
        </w:rPr>
        <w:t> </w:t>
      </w:r>
      <w:r>
        <w:rPr/>
        <w:t>of</w:t>
      </w:r>
      <w:r>
        <w:rPr>
          <w:spacing w:val="45"/>
        </w:rPr>
        <w:t> </w:t>
      </w:r>
      <w:r>
        <w:rPr/>
        <w:t>the</w:t>
      </w:r>
      <w:r>
        <w:rPr>
          <w:spacing w:val="43"/>
        </w:rPr>
        <w:t> </w:t>
      </w:r>
      <w:r>
        <w:rPr/>
        <w:t>CPC</w:t>
      </w:r>
      <w:r>
        <w:rPr>
          <w:spacing w:val="44"/>
        </w:rPr>
        <w:t> </w:t>
      </w:r>
      <w:r>
        <w:rPr/>
        <w:t>1908</w:t>
      </w:r>
      <w:r>
        <w:rPr>
          <w:spacing w:val="45"/>
        </w:rPr>
        <w:t> </w:t>
      </w:r>
      <w:r>
        <w:rPr/>
        <w:t>on</w:t>
      </w:r>
      <w:r>
        <w:rPr>
          <w:spacing w:val="45"/>
        </w:rPr>
        <w:t> </w:t>
      </w:r>
      <w:r>
        <w:rPr/>
        <w:t>the</w:t>
      </w:r>
      <w:r>
        <w:rPr>
          <w:spacing w:val="45"/>
        </w:rPr>
        <w:t> </w:t>
      </w:r>
      <w:r>
        <w:rPr/>
        <w:t>basis</w:t>
      </w:r>
      <w:r>
        <w:rPr>
          <w:spacing w:val="44"/>
        </w:rPr>
        <w:t> </w:t>
      </w:r>
      <w:r>
        <w:rPr/>
        <w:t>of</w:t>
      </w:r>
      <w:r>
        <w:rPr>
          <w:spacing w:val="45"/>
        </w:rPr>
        <w:t> </w:t>
      </w:r>
      <w:r>
        <w:rPr/>
        <w:t>an</w:t>
      </w:r>
      <w:r>
        <w:rPr>
          <w:spacing w:val="45"/>
        </w:rPr>
        <w:t> </w:t>
      </w:r>
      <w:r>
        <w:rPr/>
        <w:t>adjudication</w:t>
      </w:r>
      <w:r>
        <w:rPr>
          <w:spacing w:val="45"/>
        </w:rPr>
        <w:t> </w:t>
      </w:r>
      <w:r>
        <w:rPr/>
        <w:t>made</w:t>
      </w:r>
      <w:r>
        <w:rPr>
          <w:spacing w:val="45"/>
        </w:rPr>
        <w:t> </w:t>
      </w:r>
      <w:r>
        <w:rPr/>
        <w:t>in</w:t>
      </w:r>
      <w:r>
        <w:rPr>
          <w:spacing w:val="45"/>
        </w:rPr>
        <w:t> </w:t>
      </w:r>
      <w:r>
        <w:rPr/>
        <w:t>a</w:t>
      </w:r>
      <w:r>
        <w:rPr>
          <w:spacing w:val="45"/>
        </w:rPr>
        <w:t> </w:t>
      </w:r>
      <w:r>
        <w:rPr/>
        <w:t>suit</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which was instituted in 1885 when the CPC 1882 held the field. This, in his submission would not be a matter of procedure but would take away a substantive right accruing to a party if the bar of </w:t>
      </w:r>
      <w:r>
        <w:rPr>
          <w:i/>
        </w:rPr>
        <w:t>res judicata </w:t>
      </w:r>
      <w:r>
        <w:rPr/>
        <w:t>would apply. Consequently, unless there was an explicit stipulation in the CPC 1908 providing for the principle of </w:t>
      </w:r>
      <w:r>
        <w:rPr>
          <w:i/>
        </w:rPr>
        <w:t>res judicata </w:t>
      </w:r>
      <w:r>
        <w:rPr/>
        <w:t>to apply to suits agitating a public right retrospectively, the suit instituted in 1885 cannot fall within the ambit of the bar within Explanation VI of the CPC</w:t>
      </w:r>
      <w:r>
        <w:rPr>
          <w:spacing w:val="-2"/>
        </w:rPr>
        <w:t> </w:t>
      </w:r>
      <w:r>
        <w:rPr/>
        <w:t>1908.</w:t>
      </w:r>
    </w:p>
    <w:p>
      <w:pPr>
        <w:pStyle w:val="BodyText"/>
        <w:spacing w:before="10"/>
        <w:rPr>
          <w:sz w:val="38"/>
        </w:rPr>
      </w:pPr>
    </w:p>
    <w:p>
      <w:pPr>
        <w:pStyle w:val="BodyText"/>
        <w:spacing w:line="480" w:lineRule="auto"/>
        <w:ind w:left="500" w:right="437"/>
        <w:jc w:val="both"/>
      </w:pPr>
      <w:r>
        <w:rPr/>
        <w:t>For the purposes of the present proceedings, it is not really necessary to analyse in any great detail this submission by Mr K Parasaran for, in any view of the matter, it is evident that the Suit of 1885 would not operate as </w:t>
      </w:r>
      <w:r>
        <w:rPr>
          <w:i/>
        </w:rPr>
        <w:t>res judicata </w:t>
      </w:r>
      <w:r>
        <w:rPr/>
        <w:t>either on the application of the provisions of Section 13 of the Code of 1882 or on the application of Section 11 of the Code of 1908. The pleadings and the findings in the earlier Suit of 1885 show that Mahant Raghubar Das was only asserting a right that was personal to him. The earlier suit was not instituted in a representative capacity; the issues framed, and reliefs sought were distinct and so were the suit</w:t>
      </w:r>
      <w:r>
        <w:rPr>
          <w:spacing w:val="-3"/>
        </w:rPr>
        <w:t> </w:t>
      </w:r>
      <w:r>
        <w:rPr/>
        <w:t>properties.</w:t>
      </w:r>
    </w:p>
    <w:p>
      <w:pPr>
        <w:pStyle w:val="BodyText"/>
        <w:rPr>
          <w:sz w:val="28"/>
        </w:rPr>
      </w:pPr>
    </w:p>
    <w:p>
      <w:pPr>
        <w:pStyle w:val="BodyText"/>
        <w:spacing w:before="1"/>
        <w:rPr>
          <w:sz w:val="36"/>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Before a suit can be prosecuted or defended under Order I Rule 8, it is essential that there must be numerous persons having the same interest in a suit. Before a person can be allowed to either prosecute or defend the suit on behalf  of others interested, specific permission of the court is mandated. Sub-rule 2 of Order I Rule 8 requires notice of the institution of the suit to all persons interested,</w:t>
      </w:r>
      <w:r>
        <w:rPr>
          <w:spacing w:val="39"/>
          <w:sz w:val="25"/>
        </w:rPr>
        <w:t> </w:t>
      </w:r>
      <w:r>
        <w:rPr>
          <w:sz w:val="25"/>
        </w:rPr>
        <w:t>in</w:t>
      </w:r>
      <w:r>
        <w:rPr>
          <w:spacing w:val="40"/>
          <w:sz w:val="25"/>
        </w:rPr>
        <w:t> </w:t>
      </w:r>
      <w:r>
        <w:rPr>
          <w:sz w:val="25"/>
        </w:rPr>
        <w:t>the</w:t>
      </w:r>
      <w:r>
        <w:rPr>
          <w:spacing w:val="39"/>
          <w:sz w:val="25"/>
        </w:rPr>
        <w:t> </w:t>
      </w:r>
      <w:r>
        <w:rPr>
          <w:sz w:val="25"/>
        </w:rPr>
        <w:t>manner</w:t>
      </w:r>
      <w:r>
        <w:rPr>
          <w:spacing w:val="41"/>
          <w:sz w:val="25"/>
        </w:rPr>
        <w:t> </w:t>
      </w:r>
      <w:r>
        <w:rPr>
          <w:sz w:val="25"/>
        </w:rPr>
        <w:t>as</w:t>
      </w:r>
      <w:r>
        <w:rPr>
          <w:spacing w:val="39"/>
          <w:sz w:val="25"/>
        </w:rPr>
        <w:t> </w:t>
      </w:r>
      <w:r>
        <w:rPr>
          <w:sz w:val="25"/>
        </w:rPr>
        <w:t>directed</w:t>
      </w:r>
      <w:r>
        <w:rPr>
          <w:spacing w:val="40"/>
          <w:sz w:val="25"/>
        </w:rPr>
        <w:t> </w:t>
      </w:r>
      <w:r>
        <w:rPr>
          <w:sz w:val="25"/>
        </w:rPr>
        <w:t>or</w:t>
      </w:r>
      <w:r>
        <w:rPr>
          <w:spacing w:val="37"/>
          <w:sz w:val="25"/>
        </w:rPr>
        <w:t> </w:t>
      </w:r>
      <w:r>
        <w:rPr>
          <w:sz w:val="25"/>
        </w:rPr>
        <w:t>by</w:t>
      </w:r>
      <w:r>
        <w:rPr>
          <w:spacing w:val="38"/>
          <w:sz w:val="25"/>
        </w:rPr>
        <w:t> </w:t>
      </w:r>
      <w:r>
        <w:rPr>
          <w:sz w:val="25"/>
        </w:rPr>
        <w:t>public</w:t>
      </w:r>
      <w:r>
        <w:rPr>
          <w:spacing w:val="39"/>
          <w:sz w:val="25"/>
        </w:rPr>
        <w:t> </w:t>
      </w:r>
      <w:r>
        <w:rPr>
          <w:sz w:val="25"/>
        </w:rPr>
        <w:t>advertisement.</w:t>
      </w:r>
      <w:r>
        <w:rPr>
          <w:spacing w:val="40"/>
          <w:sz w:val="25"/>
        </w:rPr>
        <w:t> </w:t>
      </w:r>
      <w:r>
        <w:rPr>
          <w:sz w:val="25"/>
        </w:rPr>
        <w:t>A</w:t>
      </w:r>
      <w:r>
        <w:rPr>
          <w:spacing w:val="38"/>
          <w:sz w:val="25"/>
        </w:rPr>
        <w:t> </w:t>
      </w:r>
      <w:r>
        <w:rPr>
          <w:sz w:val="25"/>
        </w:rPr>
        <w:t>person</w:t>
      </w:r>
      <w:r>
        <w:rPr>
          <w:spacing w:val="40"/>
          <w:sz w:val="25"/>
        </w:rPr>
        <w:t> </w:t>
      </w:r>
      <w:r>
        <w:rPr>
          <w:sz w:val="25"/>
        </w:rPr>
        <w:t>on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t>whose behalf or for whose benefit a suit has been instituted or is being defended may apply to be impleaded as a party to the suit. Under sub-rule 4, no part of the claim in the suit can be abandoned and the suit cannot be withdrawn nor can a compromise agreement or satisfaction be recorded unless notice has been furnished to all persons interested. Subject to compliance with the provisions contained in Order I Rule 8, a decree in such a suit is binding on all persons on whose behalf or for whose benefit the suit is instituted or defended.</w:t>
      </w:r>
    </w:p>
    <w:p>
      <w:pPr>
        <w:spacing w:before="159"/>
        <w:ind w:left="500" w:right="0" w:firstLine="0"/>
        <w:jc w:val="both"/>
        <w:rPr>
          <w:sz w:val="25"/>
        </w:rPr>
      </w:pPr>
      <w:r>
        <w:rPr>
          <w:sz w:val="25"/>
        </w:rPr>
        <w:t>In </w:t>
      </w:r>
      <w:r>
        <w:rPr>
          <w:b/>
          <w:sz w:val="25"/>
        </w:rPr>
        <w:t>Kumaravelu Chettiar </w:t>
      </w:r>
      <w:r>
        <w:rPr>
          <w:sz w:val="25"/>
        </w:rPr>
        <w:t>v </w:t>
      </w:r>
      <w:r>
        <w:rPr>
          <w:b/>
          <w:sz w:val="25"/>
        </w:rPr>
        <w:t>T P Ramaswami Ayyar</w:t>
      </w:r>
      <w:r>
        <w:rPr>
          <w:sz w:val="25"/>
          <w:vertAlign w:val="superscript"/>
        </w:rPr>
        <w:t>267</w:t>
      </w:r>
      <w:r>
        <w:rPr>
          <w:sz w:val="25"/>
          <w:vertAlign w:val="baseline"/>
        </w:rPr>
        <w:t>, the Privy Council held:</w:t>
      </w:r>
    </w:p>
    <w:p>
      <w:pPr>
        <w:spacing w:line="276" w:lineRule="auto" w:before="287"/>
        <w:ind w:left="2031" w:right="2263" w:firstLine="0"/>
        <w:jc w:val="both"/>
        <w:rPr>
          <w:sz w:val="21"/>
        </w:rPr>
      </w:pPr>
      <w:r>
        <w:rPr>
          <w:w w:val="33"/>
          <w:sz w:val="21"/>
        </w:rPr>
        <w:t>―</w:t>
      </w:r>
      <w:r>
        <w:rPr>
          <w:w w:val="100"/>
          <w:sz w:val="21"/>
        </w:rPr>
        <w:t>Explanation</w:t>
      </w:r>
      <w:r>
        <w:rPr>
          <w:sz w:val="21"/>
        </w:rPr>
        <w:t> </w:t>
      </w:r>
      <w:r>
        <w:rPr>
          <w:w w:val="100"/>
          <w:sz w:val="21"/>
        </w:rPr>
        <w:t>6</w:t>
      </w:r>
      <w:r>
        <w:rPr>
          <w:sz w:val="21"/>
        </w:rPr>
        <w:t> </w:t>
      </w:r>
      <w:r>
        <w:rPr>
          <w:w w:val="100"/>
          <w:sz w:val="21"/>
        </w:rPr>
        <w:t>is</w:t>
      </w:r>
      <w:r>
        <w:rPr>
          <w:sz w:val="21"/>
        </w:rPr>
        <w:t> </w:t>
      </w:r>
      <w:r>
        <w:rPr>
          <w:w w:val="100"/>
          <w:sz w:val="21"/>
        </w:rPr>
        <w:t>not</w:t>
      </w:r>
      <w:r>
        <w:rPr>
          <w:sz w:val="21"/>
        </w:rPr>
        <w:t> </w:t>
      </w:r>
      <w:r>
        <w:rPr>
          <w:w w:val="100"/>
          <w:sz w:val="21"/>
        </w:rPr>
        <w:t>confined</w:t>
      </w:r>
      <w:r>
        <w:rPr>
          <w:sz w:val="21"/>
        </w:rPr>
        <w:t> </w:t>
      </w:r>
      <w:r>
        <w:rPr>
          <w:w w:val="100"/>
          <w:sz w:val="21"/>
        </w:rPr>
        <w:t>to</w:t>
      </w:r>
      <w:r>
        <w:rPr>
          <w:sz w:val="21"/>
        </w:rPr>
        <w:t> </w:t>
      </w:r>
      <w:r>
        <w:rPr>
          <w:w w:val="100"/>
          <w:sz w:val="21"/>
        </w:rPr>
        <w:t>cases</w:t>
      </w:r>
      <w:r>
        <w:rPr>
          <w:sz w:val="21"/>
        </w:rPr>
        <w:t> </w:t>
      </w:r>
      <w:r>
        <w:rPr>
          <w:w w:val="100"/>
          <w:sz w:val="21"/>
        </w:rPr>
        <w:t>covered</w:t>
      </w:r>
      <w:r>
        <w:rPr>
          <w:sz w:val="21"/>
        </w:rPr>
        <w:t> </w:t>
      </w:r>
      <w:r>
        <w:rPr>
          <w:w w:val="100"/>
          <w:sz w:val="21"/>
        </w:rPr>
        <w:t>by</w:t>
      </w:r>
      <w:r>
        <w:rPr>
          <w:sz w:val="21"/>
        </w:rPr>
        <w:t> </w:t>
      </w:r>
      <w:r>
        <w:rPr>
          <w:w w:val="100"/>
          <w:sz w:val="21"/>
        </w:rPr>
        <w:t>Order</w:t>
      </w:r>
      <w:r>
        <w:rPr>
          <w:sz w:val="21"/>
        </w:rPr>
        <w:t> </w:t>
      </w:r>
      <w:r>
        <w:rPr>
          <w:w w:val="100"/>
          <w:sz w:val="21"/>
        </w:rPr>
        <w:t>1, </w:t>
      </w:r>
      <w:r>
        <w:rPr>
          <w:sz w:val="21"/>
        </w:rPr>
        <w:t>Rule 8 but extends to include any litigation in which, apart from the Rule altogether, parties are entitled to represent interested persons other than themselves.‖</w:t>
      </w:r>
    </w:p>
    <w:p>
      <w:pPr>
        <w:pStyle w:val="BodyText"/>
        <w:rPr>
          <w:sz w:val="24"/>
        </w:rPr>
      </w:pPr>
    </w:p>
    <w:p>
      <w:pPr>
        <w:pStyle w:val="BodyText"/>
        <w:rPr>
          <w:sz w:val="24"/>
        </w:rPr>
      </w:pPr>
    </w:p>
    <w:p>
      <w:pPr>
        <w:pStyle w:val="BodyText"/>
        <w:spacing w:line="480" w:lineRule="auto" w:before="168"/>
        <w:ind w:left="500" w:right="437"/>
        <w:jc w:val="both"/>
      </w:pPr>
      <w:r>
        <w:rPr/>
        <w:t>The above principle was followed in a decision of three judges of this Court in </w:t>
      </w:r>
      <w:r>
        <w:rPr>
          <w:b/>
        </w:rPr>
        <w:t>Narayana Prabhu Venketeswara Prabhu </w:t>
      </w:r>
      <w:r>
        <w:rPr/>
        <w:t>v </w:t>
      </w:r>
      <w:r>
        <w:rPr>
          <w:b/>
        </w:rPr>
        <w:t>Narayana Prabhu Krishna Prabhu</w:t>
      </w:r>
      <w:r>
        <w:rPr>
          <w:vertAlign w:val="superscript"/>
        </w:rPr>
        <w:t>268</w:t>
      </w:r>
      <w:r>
        <w:rPr>
          <w:vertAlign w:val="baseline"/>
        </w:rPr>
        <w:t>. This Court held that in a partition suit, each party claiming that the property is joint, asserts a right and litigates under a title which is common to others who make identical claims. Hence:</w:t>
      </w:r>
    </w:p>
    <w:p>
      <w:pPr>
        <w:spacing w:line="276" w:lineRule="auto" w:before="160"/>
        <w:ind w:left="1940" w:right="2261" w:firstLine="0"/>
        <w:jc w:val="both"/>
        <w:rPr>
          <w:sz w:val="21"/>
        </w:rPr>
      </w:pPr>
      <w:r>
        <w:rPr>
          <w:spacing w:val="-1"/>
          <w:w w:val="33"/>
          <w:sz w:val="21"/>
        </w:rPr>
        <w:t>―</w:t>
      </w:r>
      <w:r>
        <w:rPr>
          <w:spacing w:val="-1"/>
          <w:w w:val="100"/>
          <w:sz w:val="21"/>
        </w:rPr>
        <w:t>20…I</w:t>
      </w:r>
      <w:r>
        <w:rPr>
          <w:w w:val="100"/>
          <w:sz w:val="21"/>
        </w:rPr>
        <w:t>n</w:t>
      </w:r>
      <w:r>
        <w:rPr>
          <w:spacing w:val="3"/>
          <w:sz w:val="21"/>
        </w:rPr>
        <w:t> </w:t>
      </w:r>
      <w:r>
        <w:rPr>
          <w:w w:val="100"/>
          <w:sz w:val="21"/>
        </w:rPr>
        <w:t>a</w:t>
      </w:r>
      <w:r>
        <w:rPr>
          <w:spacing w:val="1"/>
          <w:sz w:val="21"/>
        </w:rPr>
        <w:t> </w:t>
      </w:r>
      <w:r>
        <w:rPr>
          <w:spacing w:val="-1"/>
          <w:w w:val="100"/>
          <w:sz w:val="21"/>
        </w:rPr>
        <w:t>par</w:t>
      </w:r>
      <w:r>
        <w:rPr>
          <w:spacing w:val="-2"/>
          <w:w w:val="100"/>
          <w:sz w:val="21"/>
        </w:rPr>
        <w:t>t</w:t>
      </w:r>
      <w:r>
        <w:rPr>
          <w:w w:val="100"/>
          <w:sz w:val="21"/>
        </w:rPr>
        <w:t>i</w:t>
      </w:r>
      <w:r>
        <w:rPr>
          <w:spacing w:val="-2"/>
          <w:w w:val="100"/>
          <w:sz w:val="21"/>
        </w:rPr>
        <w:t>ti</w:t>
      </w:r>
      <w:r>
        <w:rPr>
          <w:spacing w:val="-1"/>
          <w:w w:val="100"/>
          <w:sz w:val="21"/>
        </w:rPr>
        <w:t>o</w:t>
      </w:r>
      <w:r>
        <w:rPr>
          <w:w w:val="100"/>
          <w:sz w:val="21"/>
        </w:rPr>
        <w:t>n</w:t>
      </w:r>
      <w:r>
        <w:rPr>
          <w:spacing w:val="4"/>
          <w:sz w:val="21"/>
        </w:rPr>
        <w:t> </w:t>
      </w:r>
      <w:r>
        <w:rPr>
          <w:spacing w:val="-3"/>
          <w:w w:val="100"/>
          <w:sz w:val="21"/>
        </w:rPr>
        <w:t>s</w:t>
      </w:r>
      <w:r>
        <w:rPr>
          <w:spacing w:val="-1"/>
          <w:w w:val="100"/>
          <w:sz w:val="21"/>
        </w:rPr>
        <w:t>u</w:t>
      </w:r>
      <w:r>
        <w:rPr>
          <w:spacing w:val="1"/>
          <w:w w:val="100"/>
          <w:sz w:val="21"/>
        </w:rPr>
        <w:t>i</w:t>
      </w:r>
      <w:r>
        <w:rPr>
          <w:w w:val="100"/>
          <w:sz w:val="21"/>
        </w:rPr>
        <w:t>t</w:t>
      </w:r>
      <w:r>
        <w:rPr>
          <w:spacing w:val="2"/>
          <w:sz w:val="21"/>
        </w:rPr>
        <w:t> </w:t>
      </w:r>
      <w:r>
        <w:rPr>
          <w:spacing w:val="-3"/>
          <w:w w:val="100"/>
          <w:sz w:val="21"/>
        </w:rPr>
        <w:t>ea</w:t>
      </w:r>
      <w:r>
        <w:rPr>
          <w:w w:val="100"/>
          <w:sz w:val="21"/>
        </w:rPr>
        <w:t>ch</w:t>
      </w:r>
      <w:r>
        <w:rPr>
          <w:spacing w:val="3"/>
          <w:sz w:val="21"/>
        </w:rPr>
        <w:t> </w:t>
      </w:r>
      <w:r>
        <w:rPr>
          <w:spacing w:val="-1"/>
          <w:w w:val="100"/>
          <w:sz w:val="21"/>
        </w:rPr>
        <w:t>par</w:t>
      </w:r>
      <w:r>
        <w:rPr>
          <w:spacing w:val="-2"/>
          <w:w w:val="100"/>
          <w:sz w:val="21"/>
        </w:rPr>
        <w:t>t</w:t>
      </w:r>
      <w:r>
        <w:rPr>
          <w:w w:val="100"/>
          <w:sz w:val="21"/>
        </w:rPr>
        <w:t>y</w:t>
      </w:r>
      <w:r>
        <w:rPr>
          <w:spacing w:val="1"/>
          <w:sz w:val="21"/>
        </w:rPr>
        <w:t> </w:t>
      </w:r>
      <w:r>
        <w:rPr>
          <w:w w:val="100"/>
          <w:sz w:val="21"/>
        </w:rPr>
        <w:t>cl</w:t>
      </w:r>
      <w:r>
        <w:rPr>
          <w:spacing w:val="-3"/>
          <w:w w:val="100"/>
          <w:sz w:val="21"/>
        </w:rPr>
        <w:t>a</w:t>
      </w:r>
      <w:r>
        <w:rPr>
          <w:spacing w:val="-2"/>
          <w:w w:val="100"/>
          <w:sz w:val="21"/>
        </w:rPr>
        <w:t>i</w:t>
      </w:r>
      <w:r>
        <w:rPr>
          <w:spacing w:val="1"/>
          <w:w w:val="100"/>
          <w:sz w:val="21"/>
        </w:rPr>
        <w:t>m</w:t>
      </w:r>
      <w:r>
        <w:rPr>
          <w:spacing w:val="-2"/>
          <w:w w:val="100"/>
          <w:sz w:val="21"/>
        </w:rPr>
        <w:t>i</w:t>
      </w:r>
      <w:r>
        <w:rPr>
          <w:spacing w:val="-1"/>
          <w:w w:val="100"/>
          <w:sz w:val="21"/>
        </w:rPr>
        <w:t>n</w:t>
      </w:r>
      <w:r>
        <w:rPr>
          <w:w w:val="100"/>
          <w:sz w:val="21"/>
        </w:rPr>
        <w:t>g</w:t>
      </w:r>
      <w:r>
        <w:rPr>
          <w:spacing w:val="4"/>
          <w:sz w:val="21"/>
        </w:rPr>
        <w:t> </w:t>
      </w:r>
      <w:r>
        <w:rPr>
          <w:spacing w:val="-2"/>
          <w:w w:val="100"/>
          <w:sz w:val="21"/>
        </w:rPr>
        <w:t>t</w:t>
      </w:r>
      <w:r>
        <w:rPr>
          <w:spacing w:val="-1"/>
          <w:w w:val="100"/>
          <w:sz w:val="21"/>
        </w:rPr>
        <w:t>ha</w:t>
      </w:r>
      <w:r>
        <w:rPr>
          <w:w w:val="100"/>
          <w:sz w:val="21"/>
        </w:rPr>
        <w:t>t</w:t>
      </w:r>
      <w:r>
        <w:rPr>
          <w:spacing w:val="2"/>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proper</w:t>
      </w:r>
      <w:r>
        <w:rPr>
          <w:spacing w:val="-2"/>
          <w:w w:val="100"/>
          <w:sz w:val="21"/>
        </w:rPr>
        <w:t>t</w:t>
      </w:r>
      <w:r>
        <w:rPr>
          <w:w w:val="100"/>
          <w:sz w:val="21"/>
        </w:rPr>
        <w:t>y</w:t>
      </w:r>
      <w:r>
        <w:rPr>
          <w:spacing w:val="1"/>
          <w:sz w:val="21"/>
        </w:rPr>
        <w:t> </w:t>
      </w:r>
      <w:r>
        <w:rPr>
          <w:w w:val="100"/>
          <w:sz w:val="21"/>
        </w:rPr>
        <w:t>is </w:t>
      </w:r>
      <w:r>
        <w:rPr>
          <w:sz w:val="21"/>
        </w:rPr>
        <w:t>joint, asserts a right and litigates under a title which is common to others who make identical claims. If that very issue is litigated in another suit and decided we do not see why the others making the same claim cannot be held to be </w:t>
      </w:r>
      <w:r>
        <w:rPr>
          <w:w w:val="100"/>
          <w:sz w:val="21"/>
        </w:rPr>
        <w:t>cl</w:t>
      </w:r>
      <w:r>
        <w:rPr>
          <w:spacing w:val="-3"/>
          <w:w w:val="100"/>
          <w:sz w:val="21"/>
        </w:rPr>
        <w:t>a</w:t>
      </w:r>
      <w:r>
        <w:rPr>
          <w:spacing w:val="-2"/>
          <w:w w:val="100"/>
          <w:sz w:val="21"/>
        </w:rPr>
        <w:t>i</w:t>
      </w:r>
      <w:r>
        <w:rPr>
          <w:spacing w:val="1"/>
          <w:w w:val="100"/>
          <w:sz w:val="21"/>
        </w:rPr>
        <w:t>m</w:t>
      </w:r>
      <w:r>
        <w:rPr>
          <w:spacing w:val="-2"/>
          <w:w w:val="100"/>
          <w:sz w:val="21"/>
        </w:rPr>
        <w:t>i</w:t>
      </w:r>
      <w:r>
        <w:rPr>
          <w:spacing w:val="-1"/>
          <w:w w:val="100"/>
          <w:sz w:val="21"/>
        </w:rPr>
        <w:t>n</w:t>
      </w:r>
      <w:r>
        <w:rPr>
          <w:w w:val="100"/>
          <w:sz w:val="21"/>
        </w:rPr>
        <w:t>g</w:t>
      </w:r>
      <w:r>
        <w:rPr>
          <w:spacing w:val="4"/>
          <w:sz w:val="21"/>
        </w:rPr>
        <w:t> </w:t>
      </w:r>
      <w:r>
        <w:rPr>
          <w:w w:val="100"/>
          <w:sz w:val="21"/>
        </w:rPr>
        <w:t>a</w:t>
      </w:r>
      <w:r>
        <w:rPr>
          <w:spacing w:val="6"/>
          <w:sz w:val="21"/>
        </w:rPr>
        <w:t> </w:t>
      </w:r>
      <w:r>
        <w:rPr>
          <w:spacing w:val="-1"/>
          <w:w w:val="100"/>
          <w:sz w:val="21"/>
        </w:rPr>
        <w:t>r</w:t>
      </w:r>
      <w:r>
        <w:rPr>
          <w:spacing w:val="-2"/>
          <w:w w:val="100"/>
          <w:sz w:val="21"/>
        </w:rPr>
        <w:t>i</w:t>
      </w:r>
      <w:r>
        <w:rPr>
          <w:spacing w:val="-1"/>
          <w:w w:val="100"/>
          <w:sz w:val="21"/>
        </w:rPr>
        <w:t>gh</w:t>
      </w:r>
      <w:r>
        <w:rPr>
          <w:w w:val="100"/>
          <w:sz w:val="21"/>
        </w:rPr>
        <w:t>t</w:t>
      </w:r>
      <w:r>
        <w:rPr>
          <w:spacing w:val="5"/>
          <w:sz w:val="21"/>
        </w:rPr>
        <w:t> </w:t>
      </w:r>
      <w:r>
        <w:rPr>
          <w:spacing w:val="-1"/>
          <w:w w:val="33"/>
          <w:sz w:val="21"/>
        </w:rPr>
        <w:t>―</w:t>
      </w:r>
      <w:r>
        <w:rPr>
          <w:spacing w:val="-2"/>
          <w:w w:val="100"/>
          <w:sz w:val="21"/>
        </w:rPr>
        <w:t>i</w:t>
      </w:r>
      <w:r>
        <w:rPr>
          <w:w w:val="100"/>
          <w:sz w:val="21"/>
        </w:rPr>
        <w:t>n</w:t>
      </w:r>
      <w:r>
        <w:rPr>
          <w:spacing w:val="6"/>
          <w:sz w:val="21"/>
        </w:rPr>
        <w:t> </w:t>
      </w:r>
      <w:r>
        <w:rPr>
          <w:w w:val="100"/>
          <w:sz w:val="21"/>
        </w:rPr>
        <w:t>c</w:t>
      </w:r>
      <w:r>
        <w:rPr>
          <w:spacing w:val="-3"/>
          <w:w w:val="100"/>
          <w:sz w:val="21"/>
        </w:rPr>
        <w:t>o</w:t>
      </w:r>
      <w:r>
        <w:rPr>
          <w:spacing w:val="-1"/>
          <w:w w:val="100"/>
          <w:sz w:val="21"/>
        </w:rPr>
        <w:t>m</w:t>
      </w:r>
      <w:r>
        <w:rPr>
          <w:spacing w:val="-4"/>
          <w:w w:val="100"/>
          <w:sz w:val="21"/>
        </w:rPr>
        <w:t>m</w:t>
      </w:r>
      <w:r>
        <w:rPr>
          <w:spacing w:val="-1"/>
          <w:w w:val="100"/>
          <w:sz w:val="21"/>
        </w:rPr>
        <w:t>o</w:t>
      </w:r>
      <w:r>
        <w:rPr>
          <w:w w:val="100"/>
          <w:sz w:val="21"/>
        </w:rPr>
        <w:t>n</w:t>
      </w:r>
      <w:r>
        <w:rPr>
          <w:spacing w:val="4"/>
          <w:sz w:val="21"/>
        </w:rPr>
        <w:t> </w:t>
      </w:r>
      <w:r>
        <w:rPr>
          <w:spacing w:val="1"/>
          <w:w w:val="100"/>
          <w:sz w:val="21"/>
        </w:rPr>
        <w:t>f</w:t>
      </w:r>
      <w:r>
        <w:rPr>
          <w:spacing w:val="-1"/>
          <w:w w:val="100"/>
          <w:sz w:val="21"/>
        </w:rPr>
        <w:t>o</w:t>
      </w:r>
      <w:r>
        <w:rPr>
          <w:w w:val="100"/>
          <w:sz w:val="21"/>
        </w:rPr>
        <w:t>r</w:t>
      </w:r>
      <w:r>
        <w:rPr>
          <w:spacing w:val="5"/>
          <w:sz w:val="21"/>
        </w:rPr>
        <w:t> </w:t>
      </w:r>
      <w:r>
        <w:rPr>
          <w:spacing w:val="-2"/>
          <w:w w:val="100"/>
          <w:sz w:val="21"/>
        </w:rPr>
        <w:t>t</w:t>
      </w:r>
      <w:r>
        <w:rPr>
          <w:spacing w:val="-1"/>
          <w:w w:val="100"/>
          <w:sz w:val="21"/>
        </w:rPr>
        <w:t>h</w:t>
      </w:r>
      <w:r>
        <w:rPr>
          <w:spacing w:val="-3"/>
          <w:w w:val="100"/>
          <w:sz w:val="21"/>
        </w:rPr>
        <w:t>e</w:t>
      </w:r>
      <w:r>
        <w:rPr>
          <w:spacing w:val="-1"/>
          <w:w w:val="100"/>
          <w:sz w:val="21"/>
        </w:rPr>
        <w:t>m</w:t>
      </w:r>
      <w:r>
        <w:rPr>
          <w:w w:val="100"/>
          <w:sz w:val="21"/>
        </w:rPr>
        <w:t>s</w:t>
      </w:r>
      <w:r>
        <w:rPr>
          <w:spacing w:val="-3"/>
          <w:w w:val="100"/>
          <w:sz w:val="21"/>
        </w:rPr>
        <w:t>e</w:t>
      </w:r>
      <w:r>
        <w:rPr>
          <w:w w:val="100"/>
          <w:sz w:val="21"/>
        </w:rPr>
        <w:t>l</w:t>
      </w:r>
      <w:r>
        <w:rPr>
          <w:spacing w:val="-3"/>
          <w:w w:val="100"/>
          <w:sz w:val="21"/>
        </w:rPr>
        <w:t>v</w:t>
      </w:r>
      <w:r>
        <w:rPr>
          <w:spacing w:val="-1"/>
          <w:w w:val="100"/>
          <w:sz w:val="21"/>
        </w:rPr>
        <w:t>e</w:t>
      </w:r>
      <w:r>
        <w:rPr>
          <w:w w:val="100"/>
          <w:sz w:val="21"/>
        </w:rPr>
        <w:t>s</w:t>
      </w:r>
      <w:r>
        <w:rPr>
          <w:spacing w:val="6"/>
          <w:sz w:val="21"/>
        </w:rPr>
        <w:t> </w:t>
      </w:r>
      <w:r>
        <w:rPr>
          <w:spacing w:val="-1"/>
          <w:w w:val="100"/>
          <w:sz w:val="21"/>
        </w:rPr>
        <w:t>a</w:t>
      </w:r>
      <w:r>
        <w:rPr>
          <w:spacing w:val="-3"/>
          <w:w w:val="100"/>
          <w:sz w:val="21"/>
        </w:rPr>
        <w:t>n</w:t>
      </w:r>
      <w:r>
        <w:rPr>
          <w:w w:val="100"/>
          <w:sz w:val="21"/>
        </w:rPr>
        <w:t>d</w:t>
      </w:r>
      <w:r>
        <w:rPr>
          <w:spacing w:val="6"/>
          <w:sz w:val="21"/>
        </w:rPr>
        <w:t> </w:t>
      </w:r>
      <w:r>
        <w:rPr>
          <w:spacing w:val="-1"/>
          <w:w w:val="100"/>
          <w:sz w:val="21"/>
        </w:rPr>
        <w:t>ot</w:t>
      </w:r>
      <w:r>
        <w:rPr>
          <w:spacing w:val="-3"/>
          <w:w w:val="100"/>
          <w:sz w:val="21"/>
        </w:rPr>
        <w:t>h</w:t>
      </w:r>
      <w:r>
        <w:rPr>
          <w:spacing w:val="-1"/>
          <w:w w:val="96"/>
          <w:sz w:val="21"/>
        </w:rPr>
        <w:t>ers</w:t>
      </w:r>
      <w:r>
        <w:rPr>
          <w:spacing w:val="-2"/>
          <w:w w:val="96"/>
          <w:sz w:val="21"/>
        </w:rPr>
        <w:t>‖</w:t>
      </w:r>
      <w:r>
        <w:rPr>
          <w:w w:val="100"/>
          <w:sz w:val="21"/>
        </w:rPr>
        <w:t>.</w:t>
      </w:r>
      <w:r>
        <w:rPr>
          <w:spacing w:val="5"/>
          <w:sz w:val="21"/>
        </w:rPr>
        <w:t> </w:t>
      </w:r>
      <w:r>
        <w:rPr>
          <w:w w:val="100"/>
          <w:sz w:val="21"/>
        </w:rPr>
        <w:t>E</w:t>
      </w:r>
      <w:r>
        <w:rPr>
          <w:spacing w:val="-1"/>
          <w:w w:val="100"/>
          <w:sz w:val="21"/>
        </w:rPr>
        <w:t>a</w:t>
      </w:r>
      <w:r>
        <w:rPr>
          <w:spacing w:val="-3"/>
          <w:w w:val="100"/>
          <w:sz w:val="21"/>
        </w:rPr>
        <w:t>c</w:t>
      </w:r>
      <w:r>
        <w:rPr>
          <w:w w:val="100"/>
          <w:sz w:val="21"/>
        </w:rPr>
        <w:t>h </w:t>
      </w:r>
      <w:r>
        <w:rPr>
          <w:sz w:val="21"/>
        </w:rPr>
        <w:t>of them can be deemed, by reason of Explanation VI, to represent all those the nature of whose claims and interests are common or identical. If we were to hold otherwise, it would necessarily mean that there would be two inconsistent decrees. One of the tests in deciding whether the doctrine of res judicata applies to a particular case or not is</w:t>
      </w:r>
      <w:r>
        <w:rPr>
          <w:spacing w:val="22"/>
          <w:sz w:val="21"/>
        </w:rPr>
        <w:t> </w:t>
      </w:r>
      <w:r>
        <w:rPr>
          <w:sz w:val="21"/>
        </w:rPr>
        <w:t>to determine</w:t>
      </w:r>
    </w:p>
    <w:p>
      <w:pPr>
        <w:pStyle w:val="BodyText"/>
        <w:rPr>
          <w:sz w:val="20"/>
        </w:rPr>
      </w:pPr>
    </w:p>
    <w:p>
      <w:pPr>
        <w:pStyle w:val="BodyText"/>
        <w:spacing w:before="8"/>
        <w:rPr>
          <w:sz w:val="17"/>
        </w:rPr>
      </w:pPr>
      <w:r>
        <w:rPr/>
        <w:pict>
          <v:rect style="position:absolute;margin-left:72.024002pt;margin-top:12.156123pt;width:144.020pt;height:.599980pt;mso-position-horizontal-relative:page;mso-position-vertical-relative:paragraph;z-index:-15653376;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267</w:t>
      </w:r>
      <w:r>
        <w:rPr>
          <w:sz w:val="18"/>
          <w:vertAlign w:val="baseline"/>
        </w:rPr>
        <w:t> AIR 1933 PC 183</w:t>
      </w:r>
    </w:p>
    <w:p>
      <w:pPr>
        <w:spacing w:before="2"/>
        <w:ind w:left="500" w:right="0" w:firstLine="0"/>
        <w:jc w:val="left"/>
        <w:rPr>
          <w:sz w:val="18"/>
        </w:rPr>
      </w:pPr>
      <w:r>
        <w:rPr>
          <w:sz w:val="18"/>
          <w:vertAlign w:val="superscript"/>
        </w:rPr>
        <w:t>268</w:t>
      </w:r>
      <w:r>
        <w:rPr>
          <w:sz w:val="18"/>
          <w:vertAlign w:val="baseline"/>
        </w:rPr>
        <w:t> (1977) 2 SCC 181</w:t>
      </w:r>
    </w:p>
    <w:p>
      <w:pPr>
        <w:spacing w:after="0"/>
        <w:jc w:val="left"/>
        <w:rPr>
          <w:sz w:val="18"/>
        </w:rPr>
        <w:sectPr>
          <w:pgSz w:w="11910" w:h="16840"/>
          <w:pgMar w:header="721" w:footer="1014" w:top="1300" w:bottom="1200" w:left="940" w:right="1000"/>
        </w:sectPr>
      </w:pPr>
    </w:p>
    <w:p>
      <w:pPr>
        <w:spacing w:line="276" w:lineRule="auto" w:before="122"/>
        <w:ind w:left="1940" w:right="2264" w:firstLine="0"/>
        <w:jc w:val="both"/>
        <w:rPr>
          <w:sz w:val="21"/>
        </w:rPr>
      </w:pPr>
      <w:r>
        <w:rPr>
          <w:sz w:val="21"/>
        </w:rPr>
        <w:t>whether two inconsistent decrees will come into existence if it is not applied. We think this will be the case here.‖</w:t>
      </w:r>
    </w:p>
    <w:p>
      <w:pPr>
        <w:pStyle w:val="BodyText"/>
        <w:rPr>
          <w:sz w:val="24"/>
        </w:rPr>
      </w:pPr>
    </w:p>
    <w:p>
      <w:pPr>
        <w:pStyle w:val="BodyText"/>
        <w:rPr>
          <w:sz w:val="24"/>
        </w:rPr>
      </w:pPr>
    </w:p>
    <w:p>
      <w:pPr>
        <w:pStyle w:val="ListParagraph"/>
        <w:numPr>
          <w:ilvl w:val="0"/>
          <w:numId w:val="111"/>
        </w:numPr>
        <w:tabs>
          <w:tab w:pos="1221" w:val="left" w:leader="none"/>
        </w:tabs>
        <w:spacing w:line="480" w:lineRule="auto" w:before="166" w:after="0"/>
        <w:ind w:left="500" w:right="438" w:firstLine="0"/>
        <w:jc w:val="both"/>
        <w:rPr>
          <w:sz w:val="25"/>
        </w:rPr>
      </w:pPr>
      <w:r>
        <w:rPr>
          <w:sz w:val="25"/>
        </w:rPr>
        <w:t>In </w:t>
      </w:r>
      <w:r>
        <w:rPr>
          <w:b/>
          <w:sz w:val="25"/>
        </w:rPr>
        <w:t>Gurushiddappa Gurubasappa Bhusanur </w:t>
      </w:r>
      <w:r>
        <w:rPr>
          <w:sz w:val="25"/>
        </w:rPr>
        <w:t>v </w:t>
      </w:r>
      <w:r>
        <w:rPr>
          <w:b/>
          <w:sz w:val="25"/>
        </w:rPr>
        <w:t>Gurushiddappa Chenavirappa Chetni</w:t>
      </w:r>
      <w:r>
        <w:rPr>
          <w:sz w:val="25"/>
          <w:vertAlign w:val="superscript"/>
        </w:rPr>
        <w:t>269</w:t>
      </w:r>
      <w:r>
        <w:rPr>
          <w:sz w:val="25"/>
          <w:vertAlign w:val="baseline"/>
        </w:rPr>
        <w:t>, a learned Single Judge of the Bombay High Court (Justice Rangnekar)</w:t>
      </w:r>
      <w:r>
        <w:rPr>
          <w:spacing w:val="-1"/>
          <w:sz w:val="25"/>
          <w:vertAlign w:val="baseline"/>
        </w:rPr>
        <w:t> </w:t>
      </w:r>
      <w:r>
        <w:rPr>
          <w:sz w:val="25"/>
          <w:vertAlign w:val="baseline"/>
        </w:rPr>
        <w:t>held:</w:t>
      </w:r>
    </w:p>
    <w:p>
      <w:pPr>
        <w:spacing w:line="276" w:lineRule="auto" w:before="161"/>
        <w:ind w:left="1940" w:right="2262" w:firstLine="0"/>
        <w:jc w:val="both"/>
        <w:rPr>
          <w:sz w:val="21"/>
        </w:rPr>
      </w:pPr>
      <w:r>
        <w:rPr>
          <w:w w:val="33"/>
          <w:sz w:val="21"/>
        </w:rPr>
        <w:t>―</w:t>
      </w:r>
      <w:r>
        <w:rPr>
          <w:w w:val="100"/>
          <w:sz w:val="21"/>
        </w:rPr>
        <w:t>Order</w:t>
      </w:r>
      <w:r>
        <w:rPr>
          <w:sz w:val="21"/>
        </w:rPr>
        <w:t> </w:t>
      </w:r>
      <w:r>
        <w:rPr>
          <w:w w:val="100"/>
          <w:sz w:val="21"/>
        </w:rPr>
        <w:t>1,</w:t>
      </w:r>
      <w:r>
        <w:rPr>
          <w:sz w:val="21"/>
        </w:rPr>
        <w:t> </w:t>
      </w:r>
      <w:r>
        <w:rPr>
          <w:w w:val="100"/>
          <w:sz w:val="21"/>
        </w:rPr>
        <w:t>rule</w:t>
      </w:r>
      <w:r>
        <w:rPr>
          <w:sz w:val="21"/>
        </w:rPr>
        <w:t> </w:t>
      </w:r>
      <w:r>
        <w:rPr>
          <w:w w:val="100"/>
          <w:sz w:val="21"/>
        </w:rPr>
        <w:t>8,</w:t>
      </w:r>
      <w:r>
        <w:rPr>
          <w:sz w:val="21"/>
        </w:rPr>
        <w:t> </w:t>
      </w:r>
      <w:r>
        <w:rPr>
          <w:w w:val="100"/>
          <w:sz w:val="21"/>
        </w:rPr>
        <w:t>is</w:t>
      </w:r>
      <w:r>
        <w:rPr>
          <w:sz w:val="21"/>
        </w:rPr>
        <w:t> </w:t>
      </w:r>
      <w:r>
        <w:rPr>
          <w:w w:val="100"/>
          <w:sz w:val="21"/>
        </w:rPr>
        <w:t>exhaustive</w:t>
      </w:r>
      <w:r>
        <w:rPr>
          <w:sz w:val="21"/>
        </w:rPr>
        <w:t> </w:t>
      </w:r>
      <w:r>
        <w:rPr>
          <w:w w:val="100"/>
          <w:sz w:val="21"/>
        </w:rPr>
        <w:t>of</w:t>
      </w:r>
      <w:r>
        <w:rPr>
          <w:sz w:val="21"/>
        </w:rPr>
        <w:t> </w:t>
      </w:r>
      <w:r>
        <w:rPr>
          <w:w w:val="100"/>
          <w:sz w:val="21"/>
        </w:rPr>
        <w:t>what</w:t>
      </w:r>
      <w:r>
        <w:rPr>
          <w:sz w:val="21"/>
        </w:rPr>
        <w:t> </w:t>
      </w:r>
      <w:r>
        <w:rPr>
          <w:w w:val="100"/>
          <w:sz w:val="21"/>
        </w:rPr>
        <w:t>it</w:t>
      </w:r>
      <w:r>
        <w:rPr>
          <w:sz w:val="21"/>
        </w:rPr>
        <w:t> </w:t>
      </w:r>
      <w:r>
        <w:rPr>
          <w:w w:val="100"/>
          <w:sz w:val="21"/>
        </w:rPr>
        <w:t>says,</w:t>
      </w:r>
      <w:r>
        <w:rPr>
          <w:sz w:val="21"/>
        </w:rPr>
        <w:t> </w:t>
      </w:r>
      <w:r>
        <w:rPr>
          <w:w w:val="100"/>
          <w:sz w:val="21"/>
        </w:rPr>
        <w:t>and</w:t>
      </w:r>
      <w:r>
        <w:rPr>
          <w:sz w:val="21"/>
        </w:rPr>
        <w:t> </w:t>
      </w:r>
      <w:r>
        <w:rPr>
          <w:w w:val="100"/>
          <w:sz w:val="21"/>
        </w:rPr>
        <w:t>it</w:t>
      </w:r>
      <w:r>
        <w:rPr>
          <w:sz w:val="21"/>
        </w:rPr>
        <w:t> </w:t>
      </w:r>
      <w:r>
        <w:rPr>
          <w:w w:val="100"/>
          <w:sz w:val="21"/>
        </w:rPr>
        <w:t>is</w:t>
      </w:r>
      <w:r>
        <w:rPr>
          <w:sz w:val="21"/>
        </w:rPr>
        <w:t> </w:t>
      </w:r>
      <w:r>
        <w:rPr>
          <w:w w:val="100"/>
          <w:sz w:val="21"/>
        </w:rPr>
        <w:t>clear </w:t>
      </w:r>
      <w:r>
        <w:rPr>
          <w:sz w:val="21"/>
        </w:rPr>
        <w:t>from it that it is only when the parties are numerous that a suit can be brought under the provisions of Order I, rule 8. That it is possible for a suit to be a representative suit within the meaning of Explanation VI, although it need not come under Order I, rule 8, and, therefore, need not be brought under the provisions of that Order, has been held from very earliest times in this country…</w:t>
      </w:r>
    </w:p>
    <w:p>
      <w:pPr>
        <w:spacing w:line="276" w:lineRule="auto" w:before="1"/>
        <w:ind w:left="1940" w:right="2260" w:firstLine="0"/>
        <w:jc w:val="both"/>
        <w:rPr>
          <w:sz w:val="21"/>
        </w:rPr>
      </w:pPr>
      <w:r>
        <w:rPr>
          <w:sz w:val="21"/>
        </w:rPr>
        <w:t>Explanation VI, therefore, is not confined to cases covered by Order I, rule 8, but would include any litigation in which, apart from the rule altogether, parties are entitled to represent interested persons other than themselves.‖</w:t>
      </w:r>
    </w:p>
    <w:p>
      <w:pPr>
        <w:pStyle w:val="BodyText"/>
        <w:rPr>
          <w:sz w:val="24"/>
        </w:rPr>
      </w:pPr>
    </w:p>
    <w:p>
      <w:pPr>
        <w:pStyle w:val="BodyText"/>
        <w:spacing w:line="480" w:lineRule="auto" w:before="208"/>
        <w:ind w:left="500" w:right="437"/>
        <w:jc w:val="both"/>
      </w:pPr>
      <w:r>
        <w:rPr/>
        <w:t>Hence, for the purpose of considering Mr Naphade‘s arguments, we proceed on the principle that the provisions of Order I Rule 8 do not control the applicability of Explanation VI to Section 11 of CPC 1908. The applicability of the principles of </w:t>
      </w:r>
      <w:r>
        <w:rPr>
          <w:i/>
        </w:rPr>
        <w:t>res judicata </w:t>
      </w:r>
      <w:r>
        <w:rPr/>
        <w:t>in the facts of the present case needs to be analysed. The position which emerges on the touchstone of the principles contained in Section 11 is as follows:</w:t>
      </w:r>
    </w:p>
    <w:p>
      <w:pPr>
        <w:pStyle w:val="ListParagraph"/>
        <w:numPr>
          <w:ilvl w:val="0"/>
          <w:numId w:val="140"/>
        </w:numPr>
        <w:tabs>
          <w:tab w:pos="1221" w:val="left" w:leader="none"/>
        </w:tabs>
        <w:spacing w:line="480" w:lineRule="auto" w:before="0" w:after="0"/>
        <w:ind w:left="1220" w:right="439" w:hanging="720"/>
        <w:jc w:val="both"/>
        <w:rPr>
          <w:sz w:val="25"/>
        </w:rPr>
      </w:pPr>
      <w:r>
        <w:rPr>
          <w:sz w:val="25"/>
        </w:rPr>
        <w:t>The first point to be considered is whether the parties to the subsequent suit are the same as the parties to the earlier suit or whether they litigate under the same title. The earlier suit was instituted by Mahant Raghubar Das describing himself as the Mahant of the Janmasthan situated at Ayodhya.</w:t>
      </w:r>
      <w:r>
        <w:rPr>
          <w:spacing w:val="29"/>
          <w:sz w:val="25"/>
        </w:rPr>
        <w:t> </w:t>
      </w:r>
      <w:r>
        <w:rPr>
          <w:sz w:val="25"/>
        </w:rPr>
        <w:t>The</w:t>
      </w:r>
      <w:r>
        <w:rPr>
          <w:spacing w:val="28"/>
          <w:sz w:val="25"/>
        </w:rPr>
        <w:t> </w:t>
      </w:r>
      <w:r>
        <w:rPr>
          <w:sz w:val="25"/>
        </w:rPr>
        <w:t>suit</w:t>
      </w:r>
      <w:r>
        <w:rPr>
          <w:spacing w:val="28"/>
          <w:sz w:val="25"/>
        </w:rPr>
        <w:t> </w:t>
      </w:r>
      <w:r>
        <w:rPr>
          <w:sz w:val="25"/>
        </w:rPr>
        <w:t>was</w:t>
      </w:r>
      <w:r>
        <w:rPr>
          <w:spacing w:val="28"/>
          <w:sz w:val="25"/>
        </w:rPr>
        <w:t> </w:t>
      </w:r>
      <w:r>
        <w:rPr>
          <w:sz w:val="25"/>
        </w:rPr>
        <w:t>not</w:t>
      </w:r>
      <w:r>
        <w:rPr>
          <w:spacing w:val="27"/>
          <w:sz w:val="25"/>
        </w:rPr>
        <w:t> </w:t>
      </w:r>
      <w:r>
        <w:rPr>
          <w:sz w:val="25"/>
        </w:rPr>
        <w:t>instituted</w:t>
      </w:r>
      <w:r>
        <w:rPr>
          <w:spacing w:val="28"/>
          <w:sz w:val="25"/>
        </w:rPr>
        <w:t> </w:t>
      </w:r>
      <w:r>
        <w:rPr>
          <w:sz w:val="25"/>
        </w:rPr>
        <w:t>by</w:t>
      </w:r>
      <w:r>
        <w:rPr>
          <w:spacing w:val="25"/>
          <w:sz w:val="25"/>
        </w:rPr>
        <w:t> </w:t>
      </w:r>
      <w:r>
        <w:rPr>
          <w:sz w:val="25"/>
        </w:rPr>
        <w:t>Raghubar</w:t>
      </w:r>
      <w:r>
        <w:rPr>
          <w:spacing w:val="28"/>
          <w:sz w:val="25"/>
        </w:rPr>
        <w:t> </w:t>
      </w:r>
      <w:r>
        <w:rPr>
          <w:sz w:val="25"/>
        </w:rPr>
        <w:t>Das</w:t>
      </w:r>
      <w:r>
        <w:rPr>
          <w:spacing w:val="27"/>
          <w:sz w:val="25"/>
        </w:rPr>
        <w:t> </w:t>
      </w:r>
      <w:r>
        <w:rPr>
          <w:sz w:val="25"/>
        </w:rPr>
        <w:t>as</w:t>
      </w:r>
      <w:r>
        <w:rPr>
          <w:spacing w:val="28"/>
          <w:sz w:val="25"/>
        </w:rPr>
        <w:t> </w:t>
      </w:r>
      <w:r>
        <w:rPr>
          <w:sz w:val="25"/>
        </w:rPr>
        <w:t>the</w:t>
      </w:r>
      <w:r>
        <w:rPr>
          <w:spacing w:val="30"/>
          <w:sz w:val="25"/>
        </w:rPr>
        <w:t> </w:t>
      </w:r>
      <w:r>
        <w:rPr>
          <w:sz w:val="25"/>
        </w:rPr>
        <w:t>Mahant</w:t>
      </w:r>
      <w:r>
        <w:rPr>
          <w:spacing w:val="27"/>
          <w:sz w:val="25"/>
        </w:rPr>
        <w:t> </w:t>
      </w:r>
      <w:r>
        <w:rPr>
          <w:sz w:val="25"/>
        </w:rPr>
        <w:t>of</w:t>
      </w:r>
    </w:p>
    <w:p>
      <w:pPr>
        <w:pStyle w:val="BodyText"/>
        <w:spacing w:before="10"/>
      </w:pPr>
      <w:r>
        <w:rPr/>
        <w:pict>
          <v:rect style="position:absolute;margin-left:72.024002pt;margin-top:16.825123pt;width:144.020pt;height:.599980pt;mso-position-horizontal-relative:page;mso-position-vertical-relative:paragraph;z-index:-1565286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269</w:t>
      </w:r>
      <w:r>
        <w:rPr>
          <w:sz w:val="18"/>
          <w:vertAlign w:val="baseline"/>
        </w:rPr>
        <w:t> AIR 1937 Bombay 238</w:t>
      </w:r>
    </w:p>
    <w:p>
      <w:pPr>
        <w:spacing w:after="0"/>
        <w:jc w:val="left"/>
        <w:rPr>
          <w:sz w:val="18"/>
        </w:rPr>
        <w:sectPr>
          <w:pgSz w:w="11910" w:h="16840"/>
          <w:pgMar w:header="721" w:footer="1014" w:top="1300" w:bottom="1200" w:left="940" w:right="1000"/>
        </w:sectPr>
      </w:pPr>
    </w:p>
    <w:p>
      <w:pPr>
        <w:pStyle w:val="BodyText"/>
        <w:spacing w:line="480" w:lineRule="auto" w:before="124"/>
        <w:ind w:left="1220" w:right="438"/>
        <w:jc w:val="both"/>
      </w:pPr>
      <w:r>
        <w:rPr/>
        <w:t>Nirmohi Akhara. Conspicuously absent in the Suit of 1885 is any reference to Nirmohi Akhara. Hence, the primary requirement for the applicability of Explanation VI to Section 11 is not attracted. The Suit of 1885 was a suit instituted by Mahant Raghubar Das in his personal capacity. It was not a suit either in his capacity as the Mahant of Nirmohi Akhara or a suit instituted jointly on behalf of the Hindus;</w:t>
      </w:r>
    </w:p>
    <w:p>
      <w:pPr>
        <w:pStyle w:val="ListParagraph"/>
        <w:numPr>
          <w:ilvl w:val="0"/>
          <w:numId w:val="140"/>
        </w:numPr>
        <w:tabs>
          <w:tab w:pos="1221" w:val="left" w:leader="none"/>
        </w:tabs>
        <w:spacing w:line="480" w:lineRule="auto" w:before="0" w:after="0"/>
        <w:ind w:left="1220" w:right="442" w:hanging="720"/>
        <w:jc w:val="both"/>
        <w:rPr>
          <w:sz w:val="25"/>
        </w:rPr>
      </w:pPr>
      <w:r>
        <w:rPr>
          <w:sz w:val="25"/>
        </w:rPr>
        <w:t>Neither the deities who are the first and second plaintiffs to Suit 5 nor the Sunni Central Waqf Board which is the plaintiff in Suit 4 were parties to the Suit of 1885. Mahant Raghubar Das instituted the earlier suit initially impleading only the Secretary of State for Council in India. Later, Mohd Asghar was impleaded in his capacity as a Mutawalli. The parties to the earlier proceedings were</w:t>
      </w:r>
      <w:r>
        <w:rPr>
          <w:spacing w:val="-2"/>
          <w:sz w:val="25"/>
        </w:rPr>
        <w:t> </w:t>
      </w:r>
      <w:r>
        <w:rPr>
          <w:sz w:val="25"/>
        </w:rPr>
        <w:t>distinct;</w:t>
      </w:r>
    </w:p>
    <w:p>
      <w:pPr>
        <w:pStyle w:val="ListParagraph"/>
        <w:numPr>
          <w:ilvl w:val="0"/>
          <w:numId w:val="140"/>
        </w:numPr>
        <w:tabs>
          <w:tab w:pos="1221" w:val="left" w:leader="none"/>
        </w:tabs>
        <w:spacing w:line="480" w:lineRule="auto" w:before="1" w:after="0"/>
        <w:ind w:left="1220" w:right="437" w:hanging="720"/>
        <w:jc w:val="both"/>
        <w:rPr>
          <w:sz w:val="25"/>
        </w:rPr>
      </w:pPr>
      <w:r>
        <w:rPr>
          <w:sz w:val="25"/>
        </w:rPr>
        <w:t>The relief that was sought in the earlier suit was permission to construct a temple on Ramchabutra. In the present proceedings, the reliefs, which have been sought, require, </w:t>
      </w:r>
      <w:r>
        <w:rPr>
          <w:i/>
          <w:sz w:val="25"/>
        </w:rPr>
        <w:t>inter alia </w:t>
      </w:r>
      <w:r>
        <w:rPr>
          <w:sz w:val="25"/>
        </w:rPr>
        <w:t>an adjudication in regard to the character of the disputed property namely whether it is a mosque which is dedicated for the public or whether it is a place of worship for the Hindus; and</w:t>
      </w:r>
    </w:p>
    <w:p>
      <w:pPr>
        <w:pStyle w:val="ListParagraph"/>
        <w:numPr>
          <w:ilvl w:val="0"/>
          <w:numId w:val="140"/>
        </w:numPr>
        <w:tabs>
          <w:tab w:pos="1221" w:val="left" w:leader="none"/>
        </w:tabs>
        <w:spacing w:line="480" w:lineRule="auto" w:before="0" w:after="0"/>
        <w:ind w:left="1220" w:right="439" w:hanging="720"/>
        <w:jc w:val="both"/>
        <w:rPr>
          <w:sz w:val="25"/>
        </w:rPr>
      </w:pPr>
      <w:r>
        <w:rPr>
          <w:sz w:val="25"/>
        </w:rPr>
        <w:t>The Suit of 1885, only dealt with the Chabutra at the Janmasthan admeasuring 17 x 21 feet, which was claimed to be in the possession of the plaintiff. The map showing the subject matter of that suit has been annexed to the proceedings. On the other hand, the suit property in Suits 4 and 5 comprises of both the inner and the outer courtyard. In Suit 5, the relief which has been claimed</w:t>
      </w:r>
      <w:r>
        <w:rPr>
          <w:spacing w:val="-1"/>
          <w:sz w:val="25"/>
        </w:rPr>
        <w:t> </w:t>
      </w:r>
      <w:r>
        <w:rPr>
          <w:sz w:val="25"/>
        </w:rPr>
        <w:t>is:</w:t>
      </w:r>
    </w:p>
    <w:p>
      <w:pPr>
        <w:spacing w:after="0" w:line="480" w:lineRule="auto"/>
        <w:jc w:val="both"/>
        <w:rPr>
          <w:sz w:val="25"/>
        </w:rPr>
        <w:sectPr>
          <w:pgSz w:w="11910" w:h="16840"/>
          <w:pgMar w:header="721" w:footer="1014" w:top="1300" w:bottom="1200" w:left="940" w:right="1000"/>
        </w:sectPr>
      </w:pPr>
    </w:p>
    <w:p>
      <w:pPr>
        <w:spacing w:line="276" w:lineRule="auto" w:before="122"/>
        <w:ind w:left="1940" w:right="2265" w:firstLine="0"/>
        <w:jc w:val="both"/>
        <w:rPr>
          <w:sz w:val="21"/>
        </w:rPr>
      </w:pPr>
      <w:r>
        <w:rPr>
          <w:spacing w:val="-1"/>
          <w:w w:val="33"/>
          <w:sz w:val="21"/>
        </w:rPr>
        <w:t>―</w:t>
      </w:r>
      <w:r>
        <w:rPr>
          <w:w w:val="100"/>
          <w:sz w:val="21"/>
        </w:rPr>
        <w:t>a</w:t>
      </w:r>
      <w:r>
        <w:rPr>
          <w:sz w:val="21"/>
        </w:rPr>
        <w:t> </w:t>
      </w:r>
      <w:r>
        <w:rPr>
          <w:spacing w:val="-4"/>
          <w:sz w:val="21"/>
        </w:rPr>
        <w:t> </w:t>
      </w:r>
      <w:r>
        <w:rPr>
          <w:spacing w:val="-1"/>
          <w:w w:val="100"/>
          <w:sz w:val="21"/>
        </w:rPr>
        <w:t>declara</w:t>
      </w:r>
      <w:r>
        <w:rPr>
          <w:spacing w:val="-2"/>
          <w:w w:val="100"/>
          <w:sz w:val="21"/>
        </w:rPr>
        <w:t>t</w:t>
      </w:r>
      <w:r>
        <w:rPr>
          <w:w w:val="100"/>
          <w:sz w:val="21"/>
        </w:rPr>
        <w:t>i</w:t>
      </w:r>
      <w:r>
        <w:rPr>
          <w:spacing w:val="-3"/>
          <w:w w:val="100"/>
          <w:sz w:val="21"/>
        </w:rPr>
        <w:t>o</w:t>
      </w:r>
      <w:r>
        <w:rPr>
          <w:w w:val="100"/>
          <w:sz w:val="21"/>
        </w:rPr>
        <w:t>n</w:t>
      </w:r>
      <w:r>
        <w:rPr>
          <w:sz w:val="21"/>
        </w:rPr>
        <w:t> </w:t>
      </w:r>
      <w:r>
        <w:rPr>
          <w:spacing w:val="-4"/>
          <w:sz w:val="21"/>
        </w:rPr>
        <w:t> </w:t>
      </w:r>
      <w:r>
        <w:rPr>
          <w:spacing w:val="-2"/>
          <w:w w:val="100"/>
          <w:sz w:val="21"/>
        </w:rPr>
        <w:t>t</w:t>
      </w:r>
      <w:r>
        <w:rPr>
          <w:spacing w:val="-1"/>
          <w:w w:val="100"/>
          <w:sz w:val="21"/>
        </w:rPr>
        <w:t>ha</w:t>
      </w:r>
      <w:r>
        <w:rPr>
          <w:w w:val="100"/>
          <w:sz w:val="21"/>
        </w:rPr>
        <w:t>t</w:t>
      </w:r>
      <w:r>
        <w:rPr>
          <w:sz w:val="21"/>
        </w:rPr>
        <w:t> </w:t>
      </w:r>
      <w:r>
        <w:rPr>
          <w:spacing w:val="-5"/>
          <w:sz w:val="21"/>
        </w:rPr>
        <w:t> </w:t>
      </w:r>
      <w:r>
        <w:rPr>
          <w:spacing w:val="-2"/>
          <w:w w:val="100"/>
          <w:sz w:val="21"/>
        </w:rPr>
        <w:t>t</w:t>
      </w:r>
      <w:r>
        <w:rPr>
          <w:spacing w:val="-1"/>
          <w:w w:val="100"/>
          <w:sz w:val="21"/>
        </w:rPr>
        <w:t>h</w:t>
      </w:r>
      <w:r>
        <w:rPr>
          <w:w w:val="100"/>
          <w:sz w:val="21"/>
        </w:rPr>
        <w:t>e</w:t>
      </w:r>
      <w:r>
        <w:rPr>
          <w:sz w:val="21"/>
        </w:rPr>
        <w:t> </w:t>
      </w:r>
      <w:r>
        <w:rPr>
          <w:spacing w:val="-4"/>
          <w:sz w:val="21"/>
        </w:rPr>
        <w:t> </w:t>
      </w:r>
      <w:r>
        <w:rPr>
          <w:spacing w:val="-3"/>
          <w:w w:val="100"/>
          <w:sz w:val="21"/>
        </w:rPr>
        <w:t>e</w:t>
      </w:r>
      <w:r>
        <w:rPr>
          <w:spacing w:val="-1"/>
          <w:w w:val="100"/>
          <w:sz w:val="21"/>
        </w:rPr>
        <w:t>nt</w:t>
      </w:r>
      <w:r>
        <w:rPr>
          <w:w w:val="100"/>
          <w:sz w:val="21"/>
        </w:rPr>
        <w:t>i</w:t>
      </w:r>
      <w:r>
        <w:rPr>
          <w:spacing w:val="-1"/>
          <w:w w:val="100"/>
          <w:sz w:val="21"/>
        </w:rPr>
        <w:t>r</w:t>
      </w:r>
      <w:r>
        <w:rPr>
          <w:w w:val="100"/>
          <w:sz w:val="21"/>
        </w:rPr>
        <w:t>e</w:t>
      </w:r>
      <w:r>
        <w:rPr>
          <w:sz w:val="21"/>
        </w:rPr>
        <w:t> </w:t>
      </w:r>
      <w:r>
        <w:rPr>
          <w:spacing w:val="-4"/>
          <w:sz w:val="21"/>
        </w:rPr>
        <w:t> </w:t>
      </w:r>
      <w:r>
        <w:rPr>
          <w:spacing w:val="-1"/>
          <w:w w:val="100"/>
          <w:sz w:val="21"/>
        </w:rPr>
        <w:t>pr</w:t>
      </w:r>
      <w:r>
        <w:rPr>
          <w:spacing w:val="-3"/>
          <w:w w:val="100"/>
          <w:sz w:val="21"/>
        </w:rPr>
        <w:t>e</w:t>
      </w:r>
      <w:r>
        <w:rPr>
          <w:spacing w:val="-1"/>
          <w:w w:val="100"/>
          <w:sz w:val="21"/>
        </w:rPr>
        <w:t>m</w:t>
      </w:r>
      <w:r>
        <w:rPr>
          <w:w w:val="100"/>
          <w:sz w:val="21"/>
        </w:rPr>
        <w:t>is</w:t>
      </w:r>
      <w:r>
        <w:rPr>
          <w:spacing w:val="-3"/>
          <w:w w:val="100"/>
          <w:sz w:val="21"/>
        </w:rPr>
        <w:t>e</w:t>
      </w:r>
      <w:r>
        <w:rPr>
          <w:w w:val="100"/>
          <w:sz w:val="21"/>
        </w:rPr>
        <w:t>s</w:t>
      </w:r>
      <w:r>
        <w:rPr>
          <w:sz w:val="21"/>
        </w:rPr>
        <w:t> </w:t>
      </w:r>
      <w:r>
        <w:rPr>
          <w:spacing w:val="-5"/>
          <w:sz w:val="21"/>
        </w:rPr>
        <w:t> </w:t>
      </w:r>
      <w:r>
        <w:rPr>
          <w:spacing w:val="-1"/>
          <w:w w:val="100"/>
          <w:sz w:val="21"/>
        </w:rPr>
        <w:t>o</w:t>
      </w:r>
      <w:r>
        <w:rPr>
          <w:w w:val="100"/>
          <w:sz w:val="21"/>
        </w:rPr>
        <w:t>f</w:t>
      </w:r>
      <w:r>
        <w:rPr>
          <w:sz w:val="21"/>
        </w:rPr>
        <w:t> </w:t>
      </w:r>
      <w:r>
        <w:rPr>
          <w:spacing w:val="-6"/>
          <w:sz w:val="21"/>
        </w:rPr>
        <w:t> </w:t>
      </w:r>
      <w:r>
        <w:rPr>
          <w:w w:val="100"/>
          <w:sz w:val="21"/>
        </w:rPr>
        <w:t>S</w:t>
      </w:r>
      <w:r>
        <w:rPr>
          <w:spacing w:val="-1"/>
          <w:w w:val="100"/>
          <w:sz w:val="21"/>
        </w:rPr>
        <w:t>r</w:t>
      </w:r>
      <w:r>
        <w:rPr>
          <w:w w:val="100"/>
          <w:sz w:val="21"/>
        </w:rPr>
        <w:t>i</w:t>
      </w:r>
      <w:r>
        <w:rPr>
          <w:sz w:val="21"/>
        </w:rPr>
        <w:t> </w:t>
      </w:r>
      <w:r>
        <w:rPr>
          <w:spacing w:val="-6"/>
          <w:sz w:val="21"/>
        </w:rPr>
        <w:t> </w:t>
      </w:r>
      <w:r>
        <w:rPr>
          <w:w w:val="100"/>
          <w:sz w:val="21"/>
        </w:rPr>
        <w:t>R</w:t>
      </w:r>
      <w:r>
        <w:rPr>
          <w:spacing w:val="-3"/>
          <w:w w:val="100"/>
          <w:sz w:val="21"/>
        </w:rPr>
        <w:t>a</w:t>
      </w:r>
      <w:r>
        <w:rPr>
          <w:w w:val="100"/>
          <w:sz w:val="21"/>
        </w:rPr>
        <w:t>m</w:t>
      </w:r>
      <w:r>
        <w:rPr>
          <w:sz w:val="21"/>
        </w:rPr>
        <w:t> </w:t>
      </w:r>
      <w:r>
        <w:rPr>
          <w:spacing w:val="-3"/>
          <w:sz w:val="21"/>
        </w:rPr>
        <w:t> </w:t>
      </w:r>
      <w:r>
        <w:rPr>
          <w:w w:val="100"/>
          <w:sz w:val="21"/>
        </w:rPr>
        <w:t>J</w:t>
      </w:r>
      <w:r>
        <w:rPr>
          <w:spacing w:val="-3"/>
          <w:w w:val="100"/>
          <w:sz w:val="21"/>
        </w:rPr>
        <w:t>an</w:t>
      </w:r>
      <w:r>
        <w:rPr>
          <w:spacing w:val="1"/>
          <w:w w:val="100"/>
          <w:sz w:val="21"/>
        </w:rPr>
        <w:t>m</w:t>
      </w:r>
      <w:r>
        <w:rPr>
          <w:w w:val="100"/>
          <w:sz w:val="21"/>
        </w:rPr>
        <w:t>a </w:t>
      </w:r>
      <w:r>
        <w:rPr>
          <w:sz w:val="21"/>
        </w:rPr>
        <w:t>Bhumi at Ayodhya, as described and delineated in Annexures I, II and III belong to the plaintiff</w:t>
      </w:r>
      <w:r>
        <w:rPr>
          <w:spacing w:val="-15"/>
          <w:sz w:val="21"/>
        </w:rPr>
        <w:t> </w:t>
      </w:r>
      <w:r>
        <w:rPr>
          <w:sz w:val="21"/>
        </w:rPr>
        <w:t>deities.‖</w:t>
      </w:r>
    </w:p>
    <w:p>
      <w:pPr>
        <w:pStyle w:val="BodyText"/>
        <w:rPr>
          <w:sz w:val="24"/>
        </w:rPr>
      </w:pPr>
    </w:p>
    <w:p>
      <w:pPr>
        <w:pStyle w:val="BodyText"/>
        <w:rPr>
          <w:sz w:val="24"/>
        </w:rPr>
      </w:pPr>
    </w:p>
    <w:p>
      <w:pPr>
        <w:pStyle w:val="BodyText"/>
        <w:rPr>
          <w:sz w:val="27"/>
        </w:rPr>
      </w:pPr>
    </w:p>
    <w:p>
      <w:pPr>
        <w:pStyle w:val="BodyText"/>
        <w:ind w:left="500"/>
        <w:jc w:val="both"/>
      </w:pPr>
      <w:r>
        <w:rPr/>
        <w:t>Paragraph 2 of the plaint describes annexures I, II and III:</w:t>
      </w:r>
    </w:p>
    <w:p>
      <w:pPr>
        <w:pStyle w:val="BodyText"/>
      </w:pPr>
    </w:p>
    <w:p>
      <w:pPr>
        <w:spacing w:line="276" w:lineRule="auto" w:before="1"/>
        <w:ind w:left="1940" w:right="2263" w:firstLine="0"/>
        <w:jc w:val="both"/>
        <w:rPr>
          <w:sz w:val="21"/>
        </w:rPr>
      </w:pPr>
      <w:r>
        <w:rPr>
          <w:spacing w:val="-1"/>
          <w:w w:val="33"/>
          <w:sz w:val="21"/>
        </w:rPr>
        <w:t>―</w:t>
      </w:r>
      <w:r>
        <w:rPr>
          <w:spacing w:val="-2"/>
          <w:w w:val="100"/>
          <w:sz w:val="21"/>
        </w:rPr>
        <w:t>tw</w:t>
      </w:r>
      <w:r>
        <w:rPr>
          <w:w w:val="100"/>
          <w:sz w:val="21"/>
        </w:rPr>
        <w:t>o</w:t>
      </w:r>
      <w:r>
        <w:rPr>
          <w:sz w:val="21"/>
        </w:rPr>
        <w:t> </w:t>
      </w:r>
      <w:r>
        <w:rPr>
          <w:spacing w:val="-29"/>
          <w:sz w:val="21"/>
        </w:rPr>
        <w:t> </w:t>
      </w:r>
      <w:r>
        <w:rPr>
          <w:w w:val="100"/>
          <w:sz w:val="21"/>
        </w:rPr>
        <w:t>si</w:t>
      </w:r>
      <w:r>
        <w:rPr>
          <w:spacing w:val="-2"/>
          <w:w w:val="100"/>
          <w:sz w:val="21"/>
        </w:rPr>
        <w:t>t</w:t>
      </w:r>
      <w:r>
        <w:rPr>
          <w:w w:val="100"/>
          <w:sz w:val="21"/>
        </w:rPr>
        <w:t>e</w:t>
      </w:r>
      <w:r>
        <w:rPr>
          <w:sz w:val="21"/>
        </w:rPr>
        <w:t> </w:t>
      </w:r>
      <w:r>
        <w:rPr>
          <w:spacing w:val="-29"/>
          <w:sz w:val="21"/>
        </w:rPr>
        <w:t> </w:t>
      </w:r>
      <w:r>
        <w:rPr>
          <w:spacing w:val="-3"/>
          <w:w w:val="100"/>
          <w:sz w:val="21"/>
        </w:rPr>
        <w:t>p</w:t>
      </w:r>
      <w:r>
        <w:rPr>
          <w:w w:val="100"/>
          <w:sz w:val="21"/>
        </w:rPr>
        <w:t>l</w:t>
      </w:r>
      <w:r>
        <w:rPr>
          <w:spacing w:val="-3"/>
          <w:w w:val="100"/>
          <w:sz w:val="21"/>
        </w:rPr>
        <w:t>a</w:t>
      </w:r>
      <w:r>
        <w:rPr>
          <w:spacing w:val="-1"/>
          <w:w w:val="100"/>
          <w:sz w:val="21"/>
        </w:rPr>
        <w:t>n</w:t>
      </w:r>
      <w:r>
        <w:rPr>
          <w:w w:val="100"/>
          <w:sz w:val="21"/>
        </w:rPr>
        <w:t>s</w:t>
      </w:r>
      <w:r>
        <w:rPr>
          <w:spacing w:val="27"/>
          <w:sz w:val="21"/>
        </w:rPr>
        <w:t> </w:t>
      </w:r>
      <w:r>
        <w:rPr>
          <w:spacing w:val="-1"/>
          <w:w w:val="100"/>
          <w:sz w:val="21"/>
        </w:rPr>
        <w:t>o</w:t>
      </w:r>
      <w:r>
        <w:rPr>
          <w:w w:val="100"/>
          <w:sz w:val="21"/>
        </w:rPr>
        <w:t>f</w:t>
      </w:r>
      <w:r>
        <w:rPr>
          <w:sz w:val="21"/>
        </w:rPr>
        <w:t> </w:t>
      </w:r>
      <w:r>
        <w:rPr>
          <w:spacing w:val="-30"/>
          <w:sz w:val="21"/>
        </w:rPr>
        <w:t> </w:t>
      </w:r>
      <w:r>
        <w:rPr>
          <w:spacing w:val="-2"/>
          <w:w w:val="100"/>
          <w:sz w:val="21"/>
        </w:rPr>
        <w:t>t</w:t>
      </w:r>
      <w:r>
        <w:rPr>
          <w:spacing w:val="2"/>
          <w:w w:val="100"/>
          <w:sz w:val="21"/>
        </w:rPr>
        <w:t>h</w:t>
      </w:r>
      <w:r>
        <w:rPr>
          <w:w w:val="100"/>
          <w:sz w:val="21"/>
        </w:rPr>
        <w:t>e</w:t>
      </w:r>
      <w:r>
        <w:rPr>
          <w:spacing w:val="28"/>
          <w:sz w:val="21"/>
        </w:rPr>
        <w:t> </w:t>
      </w:r>
      <w:r>
        <w:rPr>
          <w:w w:val="100"/>
          <w:sz w:val="21"/>
        </w:rPr>
        <w:t>b</w:t>
      </w:r>
      <w:r>
        <w:rPr>
          <w:spacing w:val="-3"/>
          <w:w w:val="100"/>
          <w:sz w:val="21"/>
        </w:rPr>
        <w:t>u</w:t>
      </w:r>
      <w:r>
        <w:rPr>
          <w:spacing w:val="-2"/>
          <w:w w:val="100"/>
          <w:sz w:val="21"/>
        </w:rPr>
        <w:t>i</w:t>
      </w:r>
      <w:r>
        <w:rPr>
          <w:w w:val="100"/>
          <w:sz w:val="21"/>
        </w:rPr>
        <w:t>l</w:t>
      </w:r>
      <w:r>
        <w:rPr>
          <w:w w:val="100"/>
          <w:sz w:val="21"/>
        </w:rPr>
        <w:t>d</w:t>
      </w:r>
      <w:r>
        <w:rPr>
          <w:spacing w:val="-2"/>
          <w:w w:val="100"/>
          <w:sz w:val="21"/>
        </w:rPr>
        <w:t>i</w:t>
      </w:r>
      <w:r>
        <w:rPr>
          <w:w w:val="100"/>
          <w:sz w:val="21"/>
        </w:rPr>
        <w:t>ng</w:t>
      </w:r>
      <w:r>
        <w:rPr>
          <w:spacing w:val="28"/>
          <w:sz w:val="21"/>
        </w:rPr>
        <w:t> </w:t>
      </w:r>
      <w:r>
        <w:rPr>
          <w:w w:val="100"/>
          <w:sz w:val="21"/>
        </w:rPr>
        <w:t>pr</w:t>
      </w:r>
      <w:r>
        <w:rPr>
          <w:spacing w:val="-3"/>
          <w:w w:val="100"/>
          <w:sz w:val="21"/>
        </w:rPr>
        <w:t>e</w:t>
      </w:r>
      <w:r>
        <w:rPr>
          <w:spacing w:val="-1"/>
          <w:w w:val="100"/>
          <w:sz w:val="21"/>
        </w:rPr>
        <w:t>m</w:t>
      </w:r>
      <w:r>
        <w:rPr>
          <w:w w:val="100"/>
          <w:sz w:val="21"/>
        </w:rPr>
        <w:t>i</w:t>
      </w:r>
      <w:r>
        <w:rPr>
          <w:w w:val="100"/>
          <w:sz w:val="21"/>
        </w:rPr>
        <w:t>ses</w:t>
      </w:r>
      <w:r>
        <w:rPr>
          <w:spacing w:val="27"/>
          <w:sz w:val="21"/>
        </w:rPr>
        <w:t> </w:t>
      </w:r>
      <w:r>
        <w:rPr>
          <w:w w:val="100"/>
          <w:sz w:val="21"/>
        </w:rPr>
        <w:t>a</w:t>
      </w:r>
      <w:r>
        <w:rPr>
          <w:spacing w:val="-3"/>
          <w:w w:val="100"/>
          <w:sz w:val="21"/>
        </w:rPr>
        <w:t>n</w:t>
      </w:r>
      <w:r>
        <w:rPr>
          <w:w w:val="100"/>
          <w:sz w:val="21"/>
        </w:rPr>
        <w:t>d</w:t>
      </w:r>
      <w:r>
        <w:rPr>
          <w:sz w:val="21"/>
        </w:rPr>
        <w:t> </w:t>
      </w:r>
      <w:r>
        <w:rPr>
          <w:spacing w:val="-28"/>
          <w:sz w:val="21"/>
        </w:rPr>
        <w:t> </w:t>
      </w:r>
      <w:r>
        <w:rPr>
          <w:spacing w:val="-3"/>
          <w:w w:val="100"/>
          <w:sz w:val="21"/>
        </w:rPr>
        <w:t>o</w:t>
      </w:r>
      <w:r>
        <w:rPr>
          <w:w w:val="100"/>
          <w:sz w:val="21"/>
        </w:rPr>
        <w:t>f</w:t>
      </w:r>
      <w:r>
        <w:rPr>
          <w:sz w:val="21"/>
        </w:rPr>
        <w:t> </w:t>
      </w:r>
      <w:r>
        <w:rPr>
          <w:spacing w:val="-28"/>
          <w:sz w:val="21"/>
        </w:rPr>
        <w:t> </w:t>
      </w:r>
      <w:r>
        <w:rPr>
          <w:spacing w:val="-2"/>
          <w:w w:val="100"/>
          <w:sz w:val="21"/>
        </w:rPr>
        <w:t>t</w:t>
      </w:r>
      <w:r>
        <w:rPr>
          <w:spacing w:val="-3"/>
          <w:w w:val="100"/>
          <w:sz w:val="21"/>
        </w:rPr>
        <w:t>h</w:t>
      </w:r>
      <w:r>
        <w:rPr>
          <w:w w:val="100"/>
          <w:sz w:val="21"/>
        </w:rPr>
        <w:t>e</w:t>
      </w:r>
      <w:r>
        <w:rPr>
          <w:sz w:val="21"/>
        </w:rPr>
        <w:t> </w:t>
      </w:r>
      <w:r>
        <w:rPr>
          <w:spacing w:val="-28"/>
          <w:sz w:val="21"/>
        </w:rPr>
        <w:t> </w:t>
      </w:r>
      <w:r>
        <w:rPr>
          <w:w w:val="100"/>
          <w:sz w:val="21"/>
        </w:rPr>
        <w:t>a</w:t>
      </w:r>
      <w:r>
        <w:rPr>
          <w:spacing w:val="-3"/>
          <w:w w:val="100"/>
          <w:sz w:val="21"/>
        </w:rPr>
        <w:t>d</w:t>
      </w:r>
      <w:r>
        <w:rPr>
          <w:w w:val="100"/>
          <w:sz w:val="21"/>
        </w:rPr>
        <w:t>j</w:t>
      </w:r>
      <w:r>
        <w:rPr>
          <w:w w:val="100"/>
          <w:sz w:val="21"/>
        </w:rPr>
        <w:t>a</w:t>
      </w:r>
      <w:r>
        <w:rPr>
          <w:spacing w:val="-3"/>
          <w:w w:val="100"/>
          <w:sz w:val="21"/>
        </w:rPr>
        <w:t>c</w:t>
      </w:r>
      <w:r>
        <w:rPr>
          <w:w w:val="100"/>
          <w:sz w:val="21"/>
        </w:rPr>
        <w:t>ent </w:t>
      </w:r>
      <w:r>
        <w:rPr>
          <w:sz w:val="21"/>
        </w:rPr>
        <w:t>area known as Sri Rama Janma Bhumi, prepared by Shiv Shankar Lal pleader… along with his Report dated 25.05.1950, are being annexed to this plaint and made part of it as Annexures I, II and III,</w:t>
      </w:r>
      <w:r>
        <w:rPr>
          <w:spacing w:val="-16"/>
          <w:sz w:val="21"/>
        </w:rPr>
        <w:t> </w:t>
      </w:r>
      <w:r>
        <w:rPr>
          <w:sz w:val="21"/>
        </w:rPr>
        <w:t>respectively.‖</w:t>
      </w:r>
    </w:p>
    <w:p>
      <w:pPr>
        <w:pStyle w:val="BodyText"/>
        <w:rPr>
          <w:sz w:val="24"/>
        </w:rPr>
      </w:pPr>
    </w:p>
    <w:p>
      <w:pPr>
        <w:pStyle w:val="BodyText"/>
        <w:rPr>
          <w:sz w:val="24"/>
        </w:rPr>
      </w:pPr>
    </w:p>
    <w:p>
      <w:pPr>
        <w:pStyle w:val="BodyText"/>
        <w:spacing w:line="480" w:lineRule="auto" w:before="165"/>
        <w:ind w:left="500" w:right="438"/>
        <w:jc w:val="both"/>
      </w:pPr>
      <w:r>
        <w:rPr/>
        <w:t>After the decision of the Constitution Bench in </w:t>
      </w:r>
      <w:r>
        <w:rPr>
          <w:b/>
        </w:rPr>
        <w:t>Dr M Ismail Faruqui </w:t>
      </w:r>
      <w:r>
        <w:rPr/>
        <w:t>v </w:t>
      </w:r>
      <w:r>
        <w:rPr>
          <w:b/>
        </w:rPr>
        <w:t>Union of India</w:t>
      </w:r>
      <w:r>
        <w:rPr>
          <w:vertAlign w:val="superscript"/>
        </w:rPr>
        <w:t>270</w:t>
      </w:r>
      <w:r>
        <w:rPr>
          <w:vertAlign w:val="baseline"/>
        </w:rPr>
        <w:t>, the dispute now stands restricted only to the inner and outer courtyards, described in Annexure I to the plaint in Suit 5. The High Court adjudicated on this dispute as circumscribed by the directions of this Court. The suit property in suits 4 and 5 is larger than the Chabutra admeasuring 17 x 21 feet which formed the subject matter of the earlier Suit of 1885 though, undoubtedly the Chabutra also forms a part of the suit property.</w:t>
      </w:r>
    </w:p>
    <w:p>
      <w:pPr>
        <w:pStyle w:val="BodyText"/>
        <w:rPr>
          <w:sz w:val="28"/>
        </w:rPr>
      </w:pPr>
    </w:p>
    <w:p>
      <w:pPr>
        <w:pStyle w:val="BodyText"/>
        <w:spacing w:before="11"/>
        <w:rPr>
          <w:sz w:val="35"/>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In </w:t>
      </w:r>
      <w:r>
        <w:rPr>
          <w:b/>
          <w:sz w:val="25"/>
        </w:rPr>
        <w:t>V Rajeshwari (Smt) </w:t>
      </w:r>
      <w:r>
        <w:rPr>
          <w:sz w:val="25"/>
        </w:rPr>
        <w:t>v </w:t>
      </w:r>
      <w:r>
        <w:rPr>
          <w:b/>
          <w:sz w:val="25"/>
        </w:rPr>
        <w:t>T C Saravanabava</w:t>
      </w:r>
      <w:r>
        <w:rPr>
          <w:sz w:val="25"/>
          <w:vertAlign w:val="superscript"/>
        </w:rPr>
        <w:t>271</w:t>
      </w:r>
      <w:r>
        <w:rPr>
          <w:sz w:val="25"/>
          <w:vertAlign w:val="baseline"/>
        </w:rPr>
        <w:t>, the appellant instituted a suit in 1984 for seeking a declaration of title and for recovery of possession of property admeasuring 1817 sq feet. Earlier in 1965, one of her predecessors-in- title had instituted a suit for declaration of title and for possession of an area of over 240 sq feet situated on the upper floor of the building standing on the property against the respondent. The High Court held that the issue of title and possession</w:t>
      </w:r>
      <w:r>
        <w:rPr>
          <w:spacing w:val="26"/>
          <w:sz w:val="25"/>
          <w:vertAlign w:val="baseline"/>
        </w:rPr>
        <w:t> </w:t>
      </w:r>
      <w:r>
        <w:rPr>
          <w:sz w:val="25"/>
          <w:vertAlign w:val="baseline"/>
        </w:rPr>
        <w:t>had</w:t>
      </w:r>
      <w:r>
        <w:rPr>
          <w:spacing w:val="25"/>
          <w:sz w:val="25"/>
          <w:vertAlign w:val="baseline"/>
        </w:rPr>
        <w:t> </w:t>
      </w:r>
      <w:r>
        <w:rPr>
          <w:sz w:val="25"/>
          <w:vertAlign w:val="baseline"/>
        </w:rPr>
        <w:t>been</w:t>
      </w:r>
      <w:r>
        <w:rPr>
          <w:spacing w:val="23"/>
          <w:sz w:val="25"/>
          <w:vertAlign w:val="baseline"/>
        </w:rPr>
        <w:t> </w:t>
      </w:r>
      <w:r>
        <w:rPr>
          <w:sz w:val="25"/>
          <w:vertAlign w:val="baseline"/>
        </w:rPr>
        <w:t>decided</w:t>
      </w:r>
      <w:r>
        <w:rPr>
          <w:spacing w:val="26"/>
          <w:sz w:val="25"/>
          <w:vertAlign w:val="baseline"/>
        </w:rPr>
        <w:t> </w:t>
      </w:r>
      <w:r>
        <w:rPr>
          <w:sz w:val="25"/>
          <w:vertAlign w:val="baseline"/>
        </w:rPr>
        <w:t>in</w:t>
      </w:r>
      <w:r>
        <w:rPr>
          <w:spacing w:val="25"/>
          <w:sz w:val="25"/>
          <w:vertAlign w:val="baseline"/>
        </w:rPr>
        <w:t> </w:t>
      </w:r>
      <w:r>
        <w:rPr>
          <w:sz w:val="25"/>
          <w:vertAlign w:val="baseline"/>
        </w:rPr>
        <w:t>the</w:t>
      </w:r>
      <w:r>
        <w:rPr>
          <w:spacing w:val="26"/>
          <w:sz w:val="25"/>
          <w:vertAlign w:val="baseline"/>
        </w:rPr>
        <w:t> </w:t>
      </w:r>
      <w:r>
        <w:rPr>
          <w:sz w:val="25"/>
          <w:vertAlign w:val="baseline"/>
        </w:rPr>
        <w:t>suit</w:t>
      </w:r>
      <w:r>
        <w:rPr>
          <w:spacing w:val="25"/>
          <w:sz w:val="25"/>
          <w:vertAlign w:val="baseline"/>
        </w:rPr>
        <w:t> </w:t>
      </w:r>
      <w:r>
        <w:rPr>
          <w:sz w:val="25"/>
          <w:vertAlign w:val="baseline"/>
        </w:rPr>
        <w:t>instituted</w:t>
      </w:r>
      <w:r>
        <w:rPr>
          <w:spacing w:val="26"/>
          <w:sz w:val="25"/>
          <w:vertAlign w:val="baseline"/>
        </w:rPr>
        <w:t> </w:t>
      </w:r>
      <w:r>
        <w:rPr>
          <w:sz w:val="25"/>
          <w:vertAlign w:val="baseline"/>
        </w:rPr>
        <w:t>by</w:t>
      </w:r>
      <w:r>
        <w:rPr>
          <w:spacing w:val="23"/>
          <w:sz w:val="25"/>
          <w:vertAlign w:val="baseline"/>
        </w:rPr>
        <w:t> </w:t>
      </w:r>
      <w:r>
        <w:rPr>
          <w:sz w:val="25"/>
          <w:vertAlign w:val="baseline"/>
        </w:rPr>
        <w:t>the</w:t>
      </w:r>
      <w:r>
        <w:rPr>
          <w:spacing w:val="26"/>
          <w:sz w:val="25"/>
          <w:vertAlign w:val="baseline"/>
        </w:rPr>
        <w:t> </w:t>
      </w:r>
      <w:r>
        <w:rPr>
          <w:sz w:val="25"/>
          <w:vertAlign w:val="baseline"/>
        </w:rPr>
        <w:t>predecessor-in-title</w:t>
      </w:r>
      <w:r>
        <w:rPr>
          <w:spacing w:val="25"/>
          <w:sz w:val="25"/>
          <w:vertAlign w:val="baseline"/>
        </w:rPr>
        <w:t> </w:t>
      </w:r>
      <w:r>
        <w:rPr>
          <w:sz w:val="25"/>
          <w:vertAlign w:val="baseline"/>
        </w:rPr>
        <w:t>of</w:t>
      </w:r>
    </w:p>
    <w:p>
      <w:pPr>
        <w:pStyle w:val="BodyText"/>
        <w:rPr>
          <w:sz w:val="20"/>
        </w:rPr>
      </w:pPr>
      <w:r>
        <w:rPr/>
        <w:pict>
          <v:rect style="position:absolute;margin-left:72.024002pt;margin-top:13.473556pt;width:144.020pt;height:.599980pt;mso-position-horizontal-relative:page;mso-position-vertical-relative:paragraph;z-index:-1565235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270</w:t>
      </w:r>
      <w:r>
        <w:rPr>
          <w:sz w:val="18"/>
          <w:vertAlign w:val="baseline"/>
        </w:rPr>
        <w:t> (1994) 6 SCC</w:t>
      </w:r>
      <w:r>
        <w:rPr>
          <w:spacing w:val="-11"/>
          <w:sz w:val="18"/>
          <w:vertAlign w:val="baseline"/>
        </w:rPr>
        <w:t> </w:t>
      </w:r>
      <w:r>
        <w:rPr>
          <w:sz w:val="18"/>
          <w:vertAlign w:val="baseline"/>
        </w:rPr>
        <w:t>360</w:t>
      </w:r>
    </w:p>
    <w:p>
      <w:pPr>
        <w:spacing w:before="2"/>
        <w:ind w:left="500" w:right="0" w:firstLine="0"/>
        <w:jc w:val="left"/>
        <w:rPr>
          <w:sz w:val="18"/>
        </w:rPr>
      </w:pPr>
      <w:r>
        <w:rPr>
          <w:sz w:val="18"/>
          <w:vertAlign w:val="superscript"/>
        </w:rPr>
        <w:t>271</w:t>
      </w:r>
      <w:r>
        <w:rPr>
          <w:sz w:val="18"/>
          <w:vertAlign w:val="baseline"/>
        </w:rPr>
        <w:t> (2004) 1 SCC</w:t>
      </w:r>
      <w:r>
        <w:rPr>
          <w:spacing w:val="-11"/>
          <w:sz w:val="18"/>
          <w:vertAlign w:val="baseline"/>
        </w:rPr>
        <w:t> </w:t>
      </w:r>
      <w:r>
        <w:rPr>
          <w:sz w:val="18"/>
          <w:vertAlign w:val="baseline"/>
        </w:rPr>
        <w:t>551</w:t>
      </w:r>
    </w:p>
    <w:p>
      <w:pPr>
        <w:spacing w:after="0"/>
        <w:jc w:val="left"/>
        <w:rPr>
          <w:sz w:val="18"/>
        </w:rPr>
        <w:sectPr>
          <w:pgSz w:w="11910" w:h="16840"/>
          <w:pgMar w:header="721" w:footer="1014" w:top="1300" w:bottom="1200" w:left="940" w:right="1000"/>
        </w:sectPr>
      </w:pPr>
    </w:p>
    <w:p>
      <w:pPr>
        <w:pStyle w:val="BodyText"/>
        <w:spacing w:line="480" w:lineRule="auto" w:before="124"/>
        <w:ind w:left="500" w:right="438"/>
      </w:pPr>
      <w:r>
        <w:rPr/>
        <w:t>the appellant and the subsequent suit was barred by </w:t>
      </w:r>
      <w:r>
        <w:rPr>
          <w:i/>
        </w:rPr>
        <w:t>res judicata</w:t>
      </w:r>
      <w:r>
        <w:rPr/>
        <w:t>. While reversing the decision of the High Court, this Court held:</w:t>
      </w:r>
    </w:p>
    <w:p>
      <w:pPr>
        <w:spacing w:line="276" w:lineRule="auto" w:before="159"/>
        <w:ind w:left="1940" w:right="2260" w:firstLine="0"/>
        <w:jc w:val="both"/>
        <w:rPr>
          <w:sz w:val="21"/>
        </w:rPr>
      </w:pPr>
      <w:r>
        <w:rPr>
          <w:spacing w:val="-1"/>
          <w:w w:val="33"/>
          <w:sz w:val="21"/>
        </w:rPr>
        <w:t>―</w:t>
      </w:r>
      <w:r>
        <w:rPr>
          <w:spacing w:val="-1"/>
          <w:w w:val="100"/>
          <w:sz w:val="21"/>
        </w:rPr>
        <w:t>15</w:t>
      </w:r>
      <w:r>
        <w:rPr>
          <w:w w:val="100"/>
          <w:sz w:val="21"/>
        </w:rPr>
        <w:t>.</w:t>
      </w:r>
      <w:r>
        <w:rPr>
          <w:spacing w:val="-2"/>
          <w:sz w:val="21"/>
        </w:rPr>
        <w:t> </w:t>
      </w:r>
      <w:r>
        <w:rPr>
          <w:w w:val="100"/>
          <w:sz w:val="21"/>
        </w:rPr>
        <w:t>Re</w:t>
      </w:r>
      <w:r>
        <w:rPr>
          <w:spacing w:val="-3"/>
          <w:w w:val="100"/>
          <w:sz w:val="21"/>
        </w:rPr>
        <w:t>v</w:t>
      </w:r>
      <w:r>
        <w:rPr>
          <w:w w:val="100"/>
          <w:sz w:val="21"/>
        </w:rPr>
        <w:t>er</w:t>
      </w:r>
      <w:r>
        <w:rPr>
          <w:spacing w:val="-2"/>
          <w:w w:val="100"/>
          <w:sz w:val="21"/>
        </w:rPr>
        <w:t>t</w:t>
      </w:r>
      <w:r>
        <w:rPr>
          <w:w w:val="100"/>
          <w:sz w:val="21"/>
        </w:rPr>
        <w:t>i</w:t>
      </w:r>
      <w:r>
        <w:rPr>
          <w:w w:val="100"/>
          <w:sz w:val="21"/>
        </w:rPr>
        <w:t>ng</w:t>
      </w:r>
      <w:r>
        <w:rPr>
          <w:sz w:val="21"/>
        </w:rPr>
        <w:t>   </w:t>
      </w:r>
      <w:r>
        <w:rPr>
          <w:w w:val="100"/>
          <w:sz w:val="21"/>
        </w:rPr>
        <w:t>ba</w:t>
      </w:r>
      <w:r>
        <w:rPr>
          <w:spacing w:val="-3"/>
          <w:w w:val="100"/>
          <w:sz w:val="21"/>
        </w:rPr>
        <w:t>c</w:t>
      </w:r>
      <w:r>
        <w:rPr>
          <w:w w:val="100"/>
          <w:sz w:val="21"/>
        </w:rPr>
        <w:t>k</w:t>
      </w:r>
      <w:r>
        <w:rPr>
          <w:sz w:val="21"/>
        </w:rPr>
        <w:t>  </w:t>
      </w:r>
      <w:r>
        <w:rPr>
          <w:spacing w:val="2"/>
          <w:sz w:val="21"/>
        </w:rPr>
        <w:t> </w:t>
      </w:r>
      <w:r>
        <w:rPr>
          <w:spacing w:val="-2"/>
          <w:w w:val="100"/>
          <w:sz w:val="21"/>
        </w:rPr>
        <w:t>t</w:t>
      </w:r>
      <w:r>
        <w:rPr>
          <w:w w:val="100"/>
          <w:sz w:val="21"/>
        </w:rPr>
        <w:t>o</w:t>
      </w:r>
      <w:r>
        <w:rPr>
          <w:sz w:val="21"/>
        </w:rPr>
        <w:t>   </w:t>
      </w:r>
      <w:r>
        <w:rPr>
          <w:spacing w:val="-2"/>
          <w:w w:val="100"/>
          <w:sz w:val="21"/>
        </w:rPr>
        <w:t>t</w:t>
      </w:r>
      <w:r>
        <w:rPr>
          <w:w w:val="100"/>
          <w:sz w:val="21"/>
        </w:rPr>
        <w:t>he</w:t>
      </w:r>
      <w:r>
        <w:rPr>
          <w:sz w:val="21"/>
        </w:rPr>
        <w:t>  </w:t>
      </w:r>
      <w:r>
        <w:rPr>
          <w:spacing w:val="2"/>
          <w:sz w:val="21"/>
        </w:rPr>
        <w:t> </w:t>
      </w:r>
      <w:r>
        <w:rPr>
          <w:spacing w:val="-2"/>
          <w:w w:val="100"/>
          <w:sz w:val="21"/>
        </w:rPr>
        <w:t>f</w:t>
      </w:r>
      <w:r>
        <w:rPr>
          <w:w w:val="100"/>
          <w:sz w:val="21"/>
        </w:rPr>
        <w:t>ac</w:t>
      </w:r>
      <w:r>
        <w:rPr>
          <w:spacing w:val="-1"/>
          <w:w w:val="100"/>
          <w:sz w:val="21"/>
        </w:rPr>
        <w:t>t</w:t>
      </w:r>
      <w:r>
        <w:rPr>
          <w:w w:val="100"/>
          <w:sz w:val="21"/>
        </w:rPr>
        <w:t>s</w:t>
      </w:r>
      <w:r>
        <w:rPr>
          <w:sz w:val="21"/>
        </w:rPr>
        <w:t>  </w:t>
      </w:r>
      <w:r>
        <w:rPr>
          <w:spacing w:val="2"/>
          <w:sz w:val="21"/>
        </w:rPr>
        <w:t> </w:t>
      </w:r>
      <w:r>
        <w:rPr>
          <w:spacing w:val="-3"/>
          <w:w w:val="100"/>
          <w:sz w:val="21"/>
        </w:rPr>
        <w:t>o</w:t>
      </w:r>
      <w:r>
        <w:rPr>
          <w:w w:val="100"/>
          <w:sz w:val="21"/>
        </w:rPr>
        <w:t>f</w:t>
      </w:r>
      <w:r>
        <w:rPr>
          <w:sz w:val="21"/>
        </w:rPr>
        <w:t>  </w:t>
      </w:r>
      <w:r>
        <w:rPr>
          <w:spacing w:val="3"/>
          <w:sz w:val="21"/>
        </w:rPr>
        <w:t> </w:t>
      </w:r>
      <w:r>
        <w:rPr>
          <w:spacing w:val="-2"/>
          <w:w w:val="100"/>
          <w:sz w:val="21"/>
        </w:rPr>
        <w:t>t</w:t>
      </w:r>
      <w:r>
        <w:rPr>
          <w:spacing w:val="-3"/>
          <w:w w:val="100"/>
          <w:sz w:val="21"/>
        </w:rPr>
        <w:t>h</w:t>
      </w:r>
      <w:r>
        <w:rPr>
          <w:w w:val="100"/>
          <w:sz w:val="21"/>
        </w:rPr>
        <w:t>e</w:t>
      </w:r>
      <w:r>
        <w:rPr>
          <w:sz w:val="21"/>
        </w:rPr>
        <w:t>  </w:t>
      </w:r>
      <w:r>
        <w:rPr>
          <w:spacing w:val="2"/>
          <w:sz w:val="21"/>
        </w:rPr>
        <w:t> </w:t>
      </w:r>
      <w:r>
        <w:rPr>
          <w:w w:val="100"/>
          <w:sz w:val="21"/>
        </w:rPr>
        <w:t>pr</w:t>
      </w:r>
      <w:r>
        <w:rPr>
          <w:spacing w:val="-3"/>
          <w:w w:val="100"/>
          <w:sz w:val="21"/>
        </w:rPr>
        <w:t>e</w:t>
      </w:r>
      <w:r>
        <w:rPr>
          <w:w w:val="100"/>
          <w:sz w:val="21"/>
        </w:rPr>
        <w:t>sent</w:t>
      </w:r>
      <w:r>
        <w:rPr>
          <w:sz w:val="21"/>
        </w:rPr>
        <w:t>  </w:t>
      </w:r>
      <w:r>
        <w:rPr>
          <w:spacing w:val="1"/>
          <w:sz w:val="21"/>
        </w:rPr>
        <w:t> </w:t>
      </w:r>
      <w:r>
        <w:rPr>
          <w:w w:val="100"/>
          <w:sz w:val="21"/>
        </w:rPr>
        <w:t>c</w:t>
      </w:r>
      <w:r>
        <w:rPr>
          <w:spacing w:val="-3"/>
          <w:w w:val="100"/>
          <w:sz w:val="21"/>
        </w:rPr>
        <w:t>a</w:t>
      </w:r>
      <w:r>
        <w:rPr>
          <w:w w:val="100"/>
          <w:sz w:val="21"/>
        </w:rPr>
        <w:t>se, </w:t>
      </w:r>
      <w:r>
        <w:rPr>
          <w:sz w:val="21"/>
        </w:rPr>
        <w:t>admittedly, the plea as to </w:t>
      </w:r>
      <w:r>
        <w:rPr>
          <w:i/>
          <w:sz w:val="21"/>
        </w:rPr>
        <w:t>res judicata </w:t>
      </w:r>
      <w:r>
        <w:rPr>
          <w:sz w:val="21"/>
        </w:rPr>
        <w:t>was not taken in the trial court and the first appellate court by raising necessary pleadings. In the first appellate court the plaintiff sought to bring on record the judgment and decree in the previous suit, wherein his predecessor-in-title was a party, as a piece of evidence. He wanted to urge that not only he had succeeded in proving his title to the suit property by the series of documents but the previous judgment which related to a part of this very suit property had also upheld his predecessor's title which emboldened his case. The respondent thereat, apprised of the documents, still did not choose to raise the plea of </w:t>
      </w:r>
      <w:r>
        <w:rPr>
          <w:i/>
          <w:sz w:val="21"/>
        </w:rPr>
        <w:t>res judicata</w:t>
      </w:r>
      <w:r>
        <w:rPr>
          <w:sz w:val="21"/>
        </w:rPr>
        <w:t>. The High Court should not have entered into the misadventure of speculating what was the matter in issue and what was heard and decided in the previous suit. </w:t>
      </w:r>
      <w:r>
        <w:rPr>
          <w:b/>
          <w:sz w:val="21"/>
        </w:rPr>
        <w:t>The fact remains that the earlier suit was confined to a small portion of the entire property now in suit and a decision as to a specified part of the property could not have necessarily constituted </w:t>
      </w:r>
      <w:r>
        <w:rPr>
          <w:b/>
          <w:i/>
          <w:sz w:val="21"/>
        </w:rPr>
        <w:t>res judicata </w:t>
      </w:r>
      <w:r>
        <w:rPr>
          <w:b/>
          <w:sz w:val="21"/>
        </w:rPr>
        <w:t>for the entire property, which was now the subject-matter of</w:t>
      </w:r>
      <w:r>
        <w:rPr>
          <w:b/>
          <w:spacing w:val="-29"/>
          <w:sz w:val="21"/>
        </w:rPr>
        <w:t> </w:t>
      </w:r>
      <w:r>
        <w:rPr>
          <w:b/>
          <w:sz w:val="21"/>
        </w:rPr>
        <w:t>litigation</w:t>
      </w:r>
      <w:r>
        <w:rPr>
          <w:sz w:val="21"/>
        </w:rPr>
        <w:t>.‖</w:t>
      </w:r>
    </w:p>
    <w:p>
      <w:pPr>
        <w:spacing w:before="1"/>
        <w:ind w:left="5798" w:right="0" w:firstLine="0"/>
        <w:jc w:val="both"/>
        <w:rPr>
          <w:sz w:val="21"/>
        </w:rPr>
      </w:pPr>
      <w:r>
        <w:rPr>
          <w:sz w:val="21"/>
        </w:rPr>
        <w:t>(Emphasis supplied)</w:t>
      </w:r>
    </w:p>
    <w:p>
      <w:pPr>
        <w:pStyle w:val="BodyText"/>
        <w:rPr>
          <w:sz w:val="24"/>
        </w:rPr>
      </w:pPr>
    </w:p>
    <w:p>
      <w:pPr>
        <w:pStyle w:val="BodyText"/>
        <w:spacing w:before="5"/>
        <w:rPr>
          <w:sz w:val="31"/>
        </w:rPr>
      </w:pPr>
    </w:p>
    <w:p>
      <w:pPr>
        <w:pStyle w:val="ListParagraph"/>
        <w:numPr>
          <w:ilvl w:val="0"/>
          <w:numId w:val="111"/>
        </w:numPr>
        <w:tabs>
          <w:tab w:pos="1221" w:val="left" w:leader="none"/>
        </w:tabs>
        <w:spacing w:line="480" w:lineRule="auto" w:before="0" w:after="0"/>
        <w:ind w:left="500" w:right="433" w:firstLine="0"/>
        <w:jc w:val="both"/>
        <w:rPr>
          <w:sz w:val="25"/>
        </w:rPr>
      </w:pPr>
      <w:r>
        <w:rPr>
          <w:sz w:val="25"/>
        </w:rPr>
        <w:t>Mr Naphade relied upon a decision of a two judge Bench in </w:t>
      </w:r>
      <w:r>
        <w:rPr>
          <w:b/>
          <w:sz w:val="25"/>
        </w:rPr>
        <w:t>K Ethirajan </w:t>
      </w:r>
      <w:r>
        <w:rPr>
          <w:sz w:val="25"/>
        </w:rPr>
        <w:t>v </w:t>
      </w:r>
      <w:r>
        <w:rPr>
          <w:b/>
          <w:sz w:val="25"/>
        </w:rPr>
        <w:t>Lakshmi</w:t>
      </w:r>
      <w:r>
        <w:rPr>
          <w:sz w:val="25"/>
          <w:vertAlign w:val="superscript"/>
        </w:rPr>
        <w:t>272</w:t>
      </w:r>
      <w:r>
        <w:rPr>
          <w:sz w:val="25"/>
          <w:vertAlign w:val="baseline"/>
        </w:rPr>
        <w:t>, in support of the proposition that the principle of </w:t>
      </w:r>
      <w:r>
        <w:rPr>
          <w:i/>
          <w:sz w:val="25"/>
          <w:vertAlign w:val="baseline"/>
        </w:rPr>
        <w:t>res judicata </w:t>
      </w:r>
      <w:r>
        <w:rPr>
          <w:sz w:val="25"/>
          <w:vertAlign w:val="baseline"/>
        </w:rPr>
        <w:t>under Section 11 is attracted where the issues directly and substantially involved between the same parties in the previous and subsequent suits are the same, even though in a previous suit, only a part of the property was involved while in the subsequent suit, the whole of the property was the subject matter of the dispute. The difficulty in accepting the plea of </w:t>
      </w:r>
      <w:r>
        <w:rPr>
          <w:i/>
          <w:sz w:val="25"/>
          <w:vertAlign w:val="baseline"/>
        </w:rPr>
        <w:t>res judicata </w:t>
      </w:r>
      <w:r>
        <w:rPr>
          <w:sz w:val="25"/>
          <w:vertAlign w:val="baseline"/>
        </w:rPr>
        <w:t>which has been urged by Mr Naphade is simply</w:t>
      </w:r>
      <w:r>
        <w:rPr>
          <w:spacing w:val="-4"/>
          <w:sz w:val="25"/>
          <w:vertAlign w:val="baseline"/>
        </w:rPr>
        <w:t> </w:t>
      </w:r>
      <w:r>
        <w:rPr>
          <w:sz w:val="25"/>
          <w:vertAlign w:val="baseline"/>
        </w:rPr>
        <w:t>this:</w:t>
      </w:r>
    </w:p>
    <w:p>
      <w:pPr>
        <w:pStyle w:val="ListParagraph"/>
        <w:numPr>
          <w:ilvl w:val="0"/>
          <w:numId w:val="141"/>
        </w:numPr>
        <w:tabs>
          <w:tab w:pos="1221" w:val="left" w:leader="none"/>
        </w:tabs>
        <w:spacing w:line="482" w:lineRule="auto" w:before="163" w:after="0"/>
        <w:ind w:left="1220" w:right="443" w:hanging="720"/>
        <w:jc w:val="both"/>
        <w:rPr>
          <w:sz w:val="25"/>
        </w:rPr>
      </w:pPr>
      <w:r>
        <w:rPr/>
        <w:pict>
          <v:rect style="position:absolute;margin-left:72.024002pt;margin-top:64.654877pt;width:144.020pt;height:.599980pt;mso-position-horizontal-relative:page;mso-position-vertical-relative:paragraph;z-index:15805440" filled="true" fillcolor="#000000" stroked="false">
            <v:fill type="solid"/>
            <w10:wrap type="none"/>
          </v:rect>
        </w:pict>
      </w:r>
      <w:r>
        <w:rPr>
          <w:sz w:val="25"/>
        </w:rPr>
        <w:t>The earlier suit by Mahant Raghubar Das in 1885 was not in a representative</w:t>
      </w:r>
      <w:r>
        <w:rPr>
          <w:spacing w:val="25"/>
          <w:sz w:val="25"/>
        </w:rPr>
        <w:t> </w:t>
      </w:r>
      <w:r>
        <w:rPr>
          <w:sz w:val="25"/>
        </w:rPr>
        <w:t>capacity.</w:t>
      </w:r>
      <w:r>
        <w:rPr>
          <w:spacing w:val="26"/>
          <w:sz w:val="25"/>
        </w:rPr>
        <w:t> </w:t>
      </w:r>
      <w:r>
        <w:rPr>
          <w:sz w:val="25"/>
        </w:rPr>
        <w:t>Mahant</w:t>
      </w:r>
      <w:r>
        <w:rPr>
          <w:spacing w:val="24"/>
          <w:sz w:val="25"/>
        </w:rPr>
        <w:t> </w:t>
      </w:r>
      <w:r>
        <w:rPr>
          <w:sz w:val="25"/>
        </w:rPr>
        <w:t>Raghubar</w:t>
      </w:r>
      <w:r>
        <w:rPr>
          <w:spacing w:val="27"/>
          <w:sz w:val="25"/>
        </w:rPr>
        <w:t> </w:t>
      </w:r>
      <w:r>
        <w:rPr>
          <w:sz w:val="25"/>
        </w:rPr>
        <w:t>Das</w:t>
      </w:r>
      <w:r>
        <w:rPr>
          <w:spacing w:val="24"/>
          <w:sz w:val="25"/>
        </w:rPr>
        <w:t> </w:t>
      </w:r>
      <w:r>
        <w:rPr>
          <w:sz w:val="25"/>
        </w:rPr>
        <w:t>claimed</w:t>
      </w:r>
      <w:r>
        <w:rPr>
          <w:spacing w:val="24"/>
          <w:sz w:val="25"/>
        </w:rPr>
        <w:t> </w:t>
      </w:r>
      <w:r>
        <w:rPr>
          <w:sz w:val="25"/>
        </w:rPr>
        <w:t>himself</w:t>
      </w:r>
      <w:r>
        <w:rPr>
          <w:spacing w:val="26"/>
          <w:sz w:val="25"/>
        </w:rPr>
        <w:t> </w:t>
      </w:r>
      <w:r>
        <w:rPr>
          <w:sz w:val="25"/>
        </w:rPr>
        <w:t>to</w:t>
      </w:r>
      <w:r>
        <w:rPr>
          <w:spacing w:val="24"/>
          <w:sz w:val="25"/>
        </w:rPr>
        <w:t> </w:t>
      </w:r>
      <w:r>
        <w:rPr>
          <w:sz w:val="25"/>
        </w:rPr>
        <w:t>be</w:t>
      </w:r>
      <w:r>
        <w:rPr>
          <w:spacing w:val="23"/>
          <w:sz w:val="25"/>
        </w:rPr>
        <w:t> </w:t>
      </w:r>
      <w:r>
        <w:rPr>
          <w:sz w:val="25"/>
        </w:rPr>
        <w:t>the</w:t>
      </w:r>
    </w:p>
    <w:p>
      <w:pPr>
        <w:spacing w:before="96"/>
        <w:ind w:left="500" w:right="0" w:firstLine="0"/>
        <w:jc w:val="left"/>
        <w:rPr>
          <w:sz w:val="18"/>
        </w:rPr>
      </w:pPr>
      <w:r>
        <w:rPr>
          <w:sz w:val="18"/>
          <w:vertAlign w:val="superscript"/>
        </w:rPr>
        <w:t>272</w:t>
      </w:r>
      <w:r>
        <w:rPr>
          <w:sz w:val="18"/>
          <w:vertAlign w:val="baseline"/>
        </w:rPr>
        <w:t>(2003) 10 SCC</w:t>
      </w:r>
      <w:r>
        <w:rPr>
          <w:spacing w:val="-10"/>
          <w:sz w:val="18"/>
          <w:vertAlign w:val="baseline"/>
        </w:rPr>
        <w:t> </w:t>
      </w:r>
      <w:r>
        <w:rPr>
          <w:sz w:val="18"/>
          <w:vertAlign w:val="baseline"/>
        </w:rPr>
        <w:t>578</w:t>
      </w:r>
    </w:p>
    <w:p>
      <w:pPr>
        <w:spacing w:after="0"/>
        <w:jc w:val="left"/>
        <w:rPr>
          <w:sz w:val="18"/>
        </w:rPr>
        <w:sectPr>
          <w:pgSz w:w="11910" w:h="16840"/>
          <w:pgMar w:header="721" w:footer="1014" w:top="1300" w:bottom="1200" w:left="940" w:right="1000"/>
        </w:sectPr>
      </w:pPr>
    </w:p>
    <w:p>
      <w:pPr>
        <w:pStyle w:val="BodyText"/>
        <w:spacing w:line="480" w:lineRule="auto" w:before="124"/>
        <w:ind w:left="1220" w:right="446"/>
        <w:jc w:val="both"/>
      </w:pPr>
      <w:r>
        <w:rPr/>
        <w:t>Mahant of the Janmasthan. He did not set up any plea as the Mahant of Nirmohi Akhara. The claim was personal to him;</w:t>
      </w:r>
    </w:p>
    <w:p>
      <w:pPr>
        <w:pStyle w:val="ListParagraph"/>
        <w:numPr>
          <w:ilvl w:val="0"/>
          <w:numId w:val="141"/>
        </w:numPr>
        <w:tabs>
          <w:tab w:pos="1221" w:val="left" w:leader="none"/>
        </w:tabs>
        <w:spacing w:line="480" w:lineRule="auto" w:before="0" w:after="0"/>
        <w:ind w:left="1220" w:right="434" w:hanging="720"/>
        <w:jc w:val="both"/>
        <w:rPr>
          <w:sz w:val="25"/>
        </w:rPr>
      </w:pPr>
      <w:r>
        <w:rPr>
          <w:sz w:val="25"/>
        </w:rPr>
        <w:t>Neither the plaintiff in Suit 4 nor the plaintiff deities in Suit 5 were parties to the earlier proceedings. The Suit of 1885 was not instituted in a representative capacity for and on behalf of the Hindus nor was there any pleading to that effect. Mahant Raghubar Das did not set up any claim to shebaiti rights nor did the adjudication deal with any claim of a shebaiti character. On the other hand, this forms the very basis of the claim in Suit 3 and of the defence to the maintainability of Suit 5 raised on behalf of Nirmohi</w:t>
      </w:r>
      <w:r>
        <w:rPr>
          <w:spacing w:val="-2"/>
          <w:sz w:val="25"/>
        </w:rPr>
        <w:t> </w:t>
      </w:r>
      <w:r>
        <w:rPr>
          <w:sz w:val="25"/>
        </w:rPr>
        <w:t>Akhara;</w:t>
      </w:r>
    </w:p>
    <w:p>
      <w:pPr>
        <w:pStyle w:val="ListParagraph"/>
        <w:numPr>
          <w:ilvl w:val="0"/>
          <w:numId w:val="141"/>
        </w:numPr>
        <w:tabs>
          <w:tab w:pos="1221" w:val="left" w:leader="none"/>
        </w:tabs>
        <w:spacing w:line="480" w:lineRule="auto" w:before="1" w:after="0"/>
        <w:ind w:left="1220" w:right="438" w:hanging="720"/>
        <w:jc w:val="both"/>
        <w:rPr>
          <w:sz w:val="25"/>
        </w:rPr>
      </w:pPr>
      <w:r>
        <w:rPr>
          <w:sz w:val="25"/>
        </w:rPr>
        <w:t>The Trial Court while dismissing the Suit of 1885 had entered a finding that possession and ownership of the Chabutra vested in the Hindus. The suit was however dismissed on the ground that the grant of permission to raise a temple would involve a serious breach of law and order. The dismissal of the suit on this ground was affirmed in appeal by the District Judge. However, the finding in regard to possession and ownership of the Chabutra was rendered redundant and was accordingly directed to be struck off. The Judicial Commissioner confirmed the dismissal of the suit. Though, the Judicial Commissioner held that the Hindus seem to have a limited right of access to certain spots within the precincts of the adjoining mosque, he observed that there was nothing to establish that the plaintiff (Mahant Raghubar Das) is the proprietor of the land in question. This finding rendered in a suit to which neither the plaintiff-deities nor Nirmohi Akhara were parties cannot operate as </w:t>
      </w:r>
      <w:r>
        <w:rPr>
          <w:i/>
          <w:sz w:val="25"/>
        </w:rPr>
        <w:t>res judicata </w:t>
      </w:r>
      <w:r>
        <w:rPr>
          <w:sz w:val="25"/>
        </w:rPr>
        <w:t>against</w:t>
      </w:r>
      <w:r>
        <w:rPr>
          <w:spacing w:val="-5"/>
          <w:sz w:val="25"/>
        </w:rPr>
        <w:t> </w:t>
      </w:r>
      <w:r>
        <w:rPr>
          <w:sz w:val="25"/>
        </w:rPr>
        <w:t>them;</w:t>
      </w:r>
    </w:p>
    <w:p>
      <w:pPr>
        <w:spacing w:after="0" w:line="480" w:lineRule="auto"/>
        <w:jc w:val="both"/>
        <w:rPr>
          <w:sz w:val="25"/>
        </w:rPr>
        <w:sectPr>
          <w:pgSz w:w="11910" w:h="16840"/>
          <w:pgMar w:header="721" w:footer="1014" w:top="1300" w:bottom="1200" w:left="940" w:right="1000"/>
        </w:sectPr>
      </w:pPr>
    </w:p>
    <w:p>
      <w:pPr>
        <w:pStyle w:val="ListParagraph"/>
        <w:numPr>
          <w:ilvl w:val="0"/>
          <w:numId w:val="141"/>
        </w:numPr>
        <w:tabs>
          <w:tab w:pos="1221" w:val="left" w:leader="none"/>
        </w:tabs>
        <w:spacing w:line="480" w:lineRule="auto" w:before="124" w:after="0"/>
        <w:ind w:left="1220" w:right="441" w:hanging="720"/>
        <w:jc w:val="both"/>
        <w:rPr>
          <w:sz w:val="25"/>
        </w:rPr>
      </w:pPr>
      <w:r>
        <w:rPr>
          <w:sz w:val="25"/>
        </w:rPr>
        <w:t>The doctrine of </w:t>
      </w:r>
      <w:r>
        <w:rPr>
          <w:i/>
          <w:sz w:val="25"/>
        </w:rPr>
        <w:t>res judicata </w:t>
      </w:r>
      <w:r>
        <w:rPr>
          <w:sz w:val="25"/>
        </w:rPr>
        <w:t>seeks to prevent a person being vexed twice over in respect of a dispute founded on the same cause of action. The cause of action for the Suit of 1885 was, as seen earlier entirely, distinct; and</w:t>
      </w:r>
    </w:p>
    <w:p>
      <w:pPr>
        <w:pStyle w:val="ListParagraph"/>
        <w:numPr>
          <w:ilvl w:val="0"/>
          <w:numId w:val="141"/>
        </w:numPr>
        <w:tabs>
          <w:tab w:pos="1221" w:val="left" w:leader="none"/>
        </w:tabs>
        <w:spacing w:line="480" w:lineRule="auto" w:before="0" w:after="0"/>
        <w:ind w:left="1220" w:right="438" w:hanging="720"/>
        <w:jc w:val="both"/>
        <w:rPr>
          <w:sz w:val="25"/>
        </w:rPr>
      </w:pPr>
      <w:r>
        <w:rPr>
          <w:sz w:val="25"/>
        </w:rPr>
        <w:t>The decision in the Suit of 1885 was </w:t>
      </w:r>
      <w:r>
        <w:rPr>
          <w:i/>
          <w:sz w:val="25"/>
        </w:rPr>
        <w:t>in personam</w:t>
      </w:r>
      <w:r>
        <w:rPr>
          <w:sz w:val="25"/>
        </w:rPr>
        <w:t>, based on the claim made by the plaintiff in that suit. Any observations in the judgment of the Judicial Commissioner will neither bind the deities (plaintiffs in Suit 5) who were not parties to the earlier proceedings nor the Hindus. Moreover, there was no adjudication in the Suit of 1885 in respect of the claim of title made by the Muslims in Suit</w:t>
      </w:r>
      <w:r>
        <w:rPr>
          <w:spacing w:val="-2"/>
          <w:sz w:val="25"/>
        </w:rPr>
        <w:t> </w:t>
      </w:r>
      <w:r>
        <w:rPr>
          <w:sz w:val="25"/>
        </w:rPr>
        <w:t>4.</w:t>
      </w:r>
    </w:p>
    <w:p>
      <w:pPr>
        <w:pStyle w:val="BodyText"/>
        <w:spacing w:before="10"/>
        <w:rPr>
          <w:sz w:val="24"/>
        </w:rPr>
      </w:pPr>
    </w:p>
    <w:p>
      <w:pPr>
        <w:pStyle w:val="ListParagraph"/>
        <w:numPr>
          <w:ilvl w:val="0"/>
          <w:numId w:val="111"/>
        </w:numPr>
        <w:tabs>
          <w:tab w:pos="1221" w:val="left" w:leader="none"/>
        </w:tabs>
        <w:spacing w:line="480" w:lineRule="auto" w:before="1" w:after="0"/>
        <w:ind w:left="500" w:right="437" w:firstLine="0"/>
        <w:jc w:val="both"/>
        <w:rPr>
          <w:i/>
          <w:sz w:val="25"/>
        </w:rPr>
      </w:pPr>
      <w:r>
        <w:rPr>
          <w:sz w:val="25"/>
        </w:rPr>
        <w:t>There is absolutely no merit in the contention that the principles of constructive </w:t>
      </w:r>
      <w:r>
        <w:rPr>
          <w:i/>
          <w:sz w:val="25"/>
        </w:rPr>
        <w:t>res judicata </w:t>
      </w:r>
      <w:r>
        <w:rPr>
          <w:sz w:val="25"/>
        </w:rPr>
        <w:t>will bar the subsequent suits. The parties were distinct. The claim in the earlier suit was distinct. The basis of the claim was indeed not that which forms the subject matter of the subsequent suits. Similarly, there is no merit in the submission based on the doctrine of issue estoppel or estoppel by record which has been faintly urged. Consequently, and for the above reasons, there is no merit in the submissions which have been urged by Mr Naphade, learned Senior Counsel objecting to the maintainability of Suit 5 on the ground of </w:t>
      </w:r>
      <w:r>
        <w:rPr>
          <w:i/>
          <w:sz w:val="25"/>
        </w:rPr>
        <w:t>res</w:t>
      </w:r>
      <w:r>
        <w:rPr>
          <w:i/>
          <w:spacing w:val="-2"/>
          <w:sz w:val="25"/>
        </w:rPr>
        <w:t> </w:t>
      </w:r>
      <w:r>
        <w:rPr>
          <w:i/>
          <w:sz w:val="25"/>
        </w:rPr>
        <w:t>judicata.</w:t>
      </w:r>
    </w:p>
    <w:p>
      <w:pPr>
        <w:spacing w:after="0" w:line="480" w:lineRule="auto"/>
        <w:jc w:val="both"/>
        <w:rPr>
          <w:sz w:val="25"/>
        </w:rPr>
        <w:sectPr>
          <w:pgSz w:w="11910" w:h="16840"/>
          <w:pgMar w:header="721" w:footer="1014" w:top="1300" w:bottom="1200" w:left="940" w:right="1000"/>
        </w:sectPr>
      </w:pPr>
    </w:p>
    <w:p>
      <w:pPr>
        <w:pStyle w:val="Heading3"/>
        <w:numPr>
          <w:ilvl w:val="1"/>
          <w:numId w:val="131"/>
        </w:numPr>
        <w:tabs>
          <w:tab w:pos="1221" w:val="left" w:leader="none"/>
        </w:tabs>
        <w:spacing w:line="240" w:lineRule="auto" w:before="124" w:after="0"/>
        <w:ind w:left="1220" w:right="0" w:hanging="721"/>
        <w:jc w:val="both"/>
      </w:pPr>
      <w:r>
        <w:rPr/>
        <w:t>Archaeological</w:t>
      </w:r>
      <w:r>
        <w:rPr>
          <w:spacing w:val="-2"/>
        </w:rPr>
        <w:t> </w:t>
      </w:r>
      <w:r>
        <w:rPr/>
        <w:t>report</w:t>
      </w:r>
    </w:p>
    <w:p>
      <w:pPr>
        <w:pStyle w:val="BodyText"/>
        <w:rPr>
          <w:b/>
          <w:sz w:val="28"/>
        </w:rPr>
      </w:pPr>
    </w:p>
    <w:p>
      <w:pPr>
        <w:pStyle w:val="ListParagraph"/>
        <w:numPr>
          <w:ilvl w:val="0"/>
          <w:numId w:val="111"/>
        </w:numPr>
        <w:tabs>
          <w:tab w:pos="1221" w:val="left" w:leader="none"/>
        </w:tabs>
        <w:spacing w:line="480" w:lineRule="auto" w:before="216" w:after="0"/>
        <w:ind w:left="500" w:right="435" w:firstLine="0"/>
        <w:jc w:val="both"/>
        <w:rPr>
          <w:sz w:val="25"/>
        </w:rPr>
      </w:pPr>
      <w:r>
        <w:rPr>
          <w:sz w:val="25"/>
        </w:rPr>
        <w:t>Both in the suit instituted by the </w:t>
      </w:r>
      <w:r>
        <w:rPr>
          <w:color w:val="000009"/>
          <w:sz w:val="25"/>
        </w:rPr>
        <w:t>Sunni Central Waqf Board</w:t>
      </w:r>
      <w:r>
        <w:rPr>
          <w:sz w:val="25"/>
          <w:vertAlign w:val="superscript"/>
        </w:rPr>
        <w:t>273</w:t>
      </w:r>
      <w:r>
        <w:rPr>
          <w:sz w:val="25"/>
          <w:vertAlign w:val="baseline"/>
        </w:rPr>
        <w:t> and in </w:t>
      </w:r>
      <w:r>
        <w:rPr>
          <w:spacing w:val="-4"/>
          <w:sz w:val="25"/>
          <w:vertAlign w:val="baseline"/>
        </w:rPr>
        <w:t>the</w:t>
      </w:r>
      <w:r>
        <w:rPr>
          <w:spacing w:val="61"/>
          <w:sz w:val="25"/>
          <w:vertAlign w:val="baseline"/>
        </w:rPr>
        <w:t> </w:t>
      </w:r>
      <w:r>
        <w:rPr>
          <w:sz w:val="25"/>
          <w:vertAlign w:val="baseline"/>
        </w:rPr>
        <w:t>suit instituted by the deities</w:t>
      </w:r>
      <w:r>
        <w:rPr>
          <w:sz w:val="25"/>
          <w:vertAlign w:val="superscript"/>
        </w:rPr>
        <w:t>274</w:t>
      </w:r>
      <w:r>
        <w:rPr>
          <w:sz w:val="25"/>
          <w:vertAlign w:val="baseline"/>
        </w:rPr>
        <w:t>, an issue was framed on whether the disputed structure of a mosque has been erected after demolishing a temple which existed at the</w:t>
      </w:r>
      <w:r>
        <w:rPr>
          <w:spacing w:val="-1"/>
          <w:sz w:val="25"/>
          <w:vertAlign w:val="baseline"/>
        </w:rPr>
        <w:t> </w:t>
      </w:r>
      <w:r>
        <w:rPr>
          <w:sz w:val="25"/>
          <w:vertAlign w:val="baseline"/>
        </w:rPr>
        <w:t>site.</w:t>
      </w:r>
    </w:p>
    <w:p>
      <w:pPr>
        <w:pStyle w:val="BodyText"/>
        <w:rPr>
          <w:sz w:val="39"/>
        </w:rPr>
      </w:pPr>
    </w:p>
    <w:p>
      <w:pPr>
        <w:pStyle w:val="ListParagraph"/>
        <w:numPr>
          <w:ilvl w:val="0"/>
          <w:numId w:val="111"/>
        </w:numPr>
        <w:tabs>
          <w:tab w:pos="1221" w:val="left" w:leader="none"/>
        </w:tabs>
        <w:spacing w:line="480" w:lineRule="auto" w:before="1" w:after="0"/>
        <w:ind w:left="500" w:right="434" w:firstLine="0"/>
        <w:jc w:val="both"/>
        <w:rPr>
          <w:sz w:val="25"/>
        </w:rPr>
      </w:pPr>
      <w:r>
        <w:rPr>
          <w:sz w:val="25"/>
        </w:rPr>
        <w:t>On 1 August 2002, the High Court proposed that an excavation be carried out by the Archaeological Survey of India</w:t>
      </w:r>
      <w:r>
        <w:rPr>
          <w:sz w:val="25"/>
          <w:vertAlign w:val="superscript"/>
        </w:rPr>
        <w:t>275</w:t>
      </w:r>
      <w:r>
        <w:rPr>
          <w:sz w:val="25"/>
          <w:vertAlign w:val="baseline"/>
        </w:rPr>
        <w:t>. The High Court proposed that before excavation, ASI will survey the disputed site using Ground Penetrating Radar</w:t>
      </w:r>
      <w:r>
        <w:rPr>
          <w:sz w:val="25"/>
          <w:vertAlign w:val="superscript"/>
        </w:rPr>
        <w:t>276</w:t>
      </w:r>
      <w:r>
        <w:rPr>
          <w:sz w:val="25"/>
          <w:vertAlign w:val="baseline"/>
        </w:rPr>
        <w:t> or Geo-Radiology System. After objections to the proposed directions were heard, they were rejected by the High Court on 23 October 2002. The ASI had a GPR survey conducted by a corporate entity which submitted its report to the </w:t>
      </w:r>
      <w:r>
        <w:rPr>
          <w:spacing w:val="-1"/>
          <w:w w:val="99"/>
          <w:sz w:val="25"/>
          <w:vertAlign w:val="baseline"/>
        </w:rPr>
        <w:t>Hig</w:t>
      </w:r>
      <w:r>
        <w:rPr>
          <w:w w:val="99"/>
          <w:sz w:val="25"/>
          <w:vertAlign w:val="baseline"/>
        </w:rPr>
        <w:t>h</w:t>
      </w:r>
      <w:r>
        <w:rPr>
          <w:sz w:val="25"/>
          <w:vertAlign w:val="baseline"/>
        </w:rPr>
        <w:t> </w:t>
      </w:r>
      <w:r>
        <w:rPr>
          <w:spacing w:val="-12"/>
          <w:sz w:val="25"/>
          <w:vertAlign w:val="baseline"/>
        </w:rPr>
        <w:t> </w:t>
      </w:r>
      <w:r>
        <w:rPr>
          <w:spacing w:val="-1"/>
          <w:w w:val="99"/>
          <w:sz w:val="25"/>
          <w:vertAlign w:val="baseline"/>
        </w:rPr>
        <w:t>Cou</w:t>
      </w:r>
      <w:r>
        <w:rPr>
          <w:spacing w:val="1"/>
          <w:w w:val="99"/>
          <w:sz w:val="25"/>
          <w:vertAlign w:val="baseline"/>
        </w:rPr>
        <w:t>r</w:t>
      </w:r>
      <w:r>
        <w:rPr>
          <w:w w:val="99"/>
          <w:sz w:val="25"/>
          <w:vertAlign w:val="baseline"/>
        </w:rPr>
        <w:t>t</w:t>
      </w:r>
      <w:r>
        <w:rPr>
          <w:sz w:val="25"/>
          <w:vertAlign w:val="baseline"/>
        </w:rPr>
        <w:t> </w:t>
      </w:r>
      <w:r>
        <w:rPr>
          <w:spacing w:val="-12"/>
          <w:sz w:val="25"/>
          <w:vertAlign w:val="baseline"/>
        </w:rPr>
        <w:t> </w:t>
      </w:r>
      <w:r>
        <w:rPr>
          <w:spacing w:val="-1"/>
          <w:w w:val="99"/>
          <w:sz w:val="25"/>
          <w:vertAlign w:val="baseline"/>
        </w:rPr>
        <w:t>o</w:t>
      </w:r>
      <w:r>
        <w:rPr>
          <w:w w:val="99"/>
          <w:sz w:val="25"/>
          <w:vertAlign w:val="baseline"/>
        </w:rPr>
        <w:t>n</w:t>
      </w:r>
      <w:r>
        <w:rPr>
          <w:sz w:val="25"/>
          <w:vertAlign w:val="baseline"/>
        </w:rPr>
        <w:t> </w:t>
      </w:r>
      <w:r>
        <w:rPr>
          <w:spacing w:val="-12"/>
          <w:sz w:val="25"/>
          <w:vertAlign w:val="baseline"/>
        </w:rPr>
        <w:t> </w:t>
      </w:r>
      <w:r>
        <w:rPr>
          <w:spacing w:val="-1"/>
          <w:w w:val="99"/>
          <w:sz w:val="25"/>
          <w:vertAlign w:val="baseline"/>
        </w:rPr>
        <w:t>1</w:t>
      </w:r>
      <w:r>
        <w:rPr>
          <w:w w:val="99"/>
          <w:sz w:val="25"/>
          <w:vertAlign w:val="baseline"/>
        </w:rPr>
        <w:t>7</w:t>
      </w:r>
      <w:r>
        <w:rPr>
          <w:sz w:val="25"/>
          <w:vertAlign w:val="baseline"/>
        </w:rPr>
        <w:t> </w:t>
      </w:r>
      <w:r>
        <w:rPr>
          <w:spacing w:val="-12"/>
          <w:sz w:val="25"/>
          <w:vertAlign w:val="baseline"/>
        </w:rPr>
        <w:t> </w:t>
      </w:r>
      <w:r>
        <w:rPr>
          <w:spacing w:val="-2"/>
          <w:w w:val="99"/>
          <w:sz w:val="25"/>
          <w:vertAlign w:val="baseline"/>
        </w:rPr>
        <w:t>F</w:t>
      </w:r>
      <w:r>
        <w:rPr>
          <w:spacing w:val="-1"/>
          <w:w w:val="99"/>
          <w:sz w:val="25"/>
          <w:vertAlign w:val="baseline"/>
        </w:rPr>
        <w:t>e</w:t>
      </w:r>
      <w:r>
        <w:rPr>
          <w:w w:val="99"/>
          <w:sz w:val="25"/>
          <w:vertAlign w:val="baseline"/>
        </w:rPr>
        <w:t>br</w:t>
      </w:r>
      <w:r>
        <w:rPr>
          <w:spacing w:val="-1"/>
          <w:w w:val="99"/>
          <w:sz w:val="25"/>
          <w:vertAlign w:val="baseline"/>
        </w:rPr>
        <w:t>u</w:t>
      </w:r>
      <w:r>
        <w:rPr>
          <w:w w:val="99"/>
          <w:sz w:val="25"/>
          <w:vertAlign w:val="baseline"/>
        </w:rPr>
        <w:t>ary</w:t>
      </w:r>
      <w:r>
        <w:rPr>
          <w:sz w:val="25"/>
          <w:vertAlign w:val="baseline"/>
        </w:rPr>
        <w:t> </w:t>
      </w:r>
      <w:r>
        <w:rPr>
          <w:spacing w:val="-15"/>
          <w:sz w:val="25"/>
          <w:vertAlign w:val="baseline"/>
        </w:rPr>
        <w:t> </w:t>
      </w:r>
      <w:r>
        <w:rPr>
          <w:spacing w:val="-1"/>
          <w:w w:val="99"/>
          <w:sz w:val="25"/>
          <w:vertAlign w:val="baseline"/>
        </w:rPr>
        <w:t>2</w:t>
      </w:r>
      <w:r>
        <w:rPr>
          <w:w w:val="99"/>
          <w:sz w:val="25"/>
          <w:vertAlign w:val="baseline"/>
        </w:rPr>
        <w:t>0</w:t>
      </w:r>
      <w:r>
        <w:rPr>
          <w:spacing w:val="-1"/>
          <w:w w:val="99"/>
          <w:sz w:val="25"/>
          <w:vertAlign w:val="baseline"/>
        </w:rPr>
        <w:t>0</w:t>
      </w:r>
      <w:r>
        <w:rPr>
          <w:w w:val="99"/>
          <w:sz w:val="25"/>
          <w:vertAlign w:val="baseline"/>
        </w:rPr>
        <w:t>3.</w:t>
      </w:r>
      <w:r>
        <w:rPr>
          <w:spacing w:val="1"/>
          <w:w w:val="99"/>
          <w:sz w:val="25"/>
          <w:vertAlign w:val="baseline"/>
        </w:rPr>
        <w:t>T</w:t>
      </w:r>
      <w:r>
        <w:rPr>
          <w:spacing w:val="-1"/>
          <w:w w:val="99"/>
          <w:sz w:val="25"/>
          <w:vertAlign w:val="baseline"/>
        </w:rPr>
        <w:t>h</w:t>
      </w:r>
      <w:r>
        <w:rPr>
          <w:w w:val="99"/>
          <w:sz w:val="25"/>
          <w:vertAlign w:val="baseline"/>
        </w:rPr>
        <w:t>e</w:t>
      </w:r>
      <w:r>
        <w:rPr>
          <w:sz w:val="25"/>
          <w:vertAlign w:val="baseline"/>
        </w:rPr>
        <w:t> </w:t>
      </w:r>
      <w:r>
        <w:rPr>
          <w:spacing w:val="-12"/>
          <w:sz w:val="25"/>
          <w:vertAlign w:val="baseline"/>
        </w:rPr>
        <w:t> </w:t>
      </w:r>
      <w:r>
        <w:rPr>
          <w:w w:val="99"/>
          <w:sz w:val="25"/>
          <w:vertAlign w:val="baseline"/>
        </w:rPr>
        <w:t>r</w:t>
      </w:r>
      <w:r>
        <w:rPr>
          <w:spacing w:val="-3"/>
          <w:w w:val="99"/>
          <w:sz w:val="25"/>
          <w:vertAlign w:val="baseline"/>
        </w:rPr>
        <w:t>e</w:t>
      </w:r>
      <w:r>
        <w:rPr>
          <w:spacing w:val="-1"/>
          <w:w w:val="99"/>
          <w:sz w:val="25"/>
          <w:vertAlign w:val="baseline"/>
        </w:rPr>
        <w:t>p</w:t>
      </w:r>
      <w:r>
        <w:rPr>
          <w:w w:val="99"/>
          <w:sz w:val="25"/>
          <w:vertAlign w:val="baseline"/>
        </w:rPr>
        <w:t>ort</w:t>
      </w:r>
      <w:r>
        <w:rPr>
          <w:sz w:val="25"/>
          <w:vertAlign w:val="baseline"/>
        </w:rPr>
        <w:t> </w:t>
      </w:r>
      <w:r>
        <w:rPr>
          <w:spacing w:val="-12"/>
          <w:sz w:val="25"/>
          <w:vertAlign w:val="baseline"/>
        </w:rPr>
        <w:t> </w:t>
      </w:r>
      <w:r>
        <w:rPr>
          <w:w w:val="99"/>
          <w:sz w:val="25"/>
          <w:vertAlign w:val="baseline"/>
        </w:rPr>
        <w:t>fou</w:t>
      </w:r>
      <w:r>
        <w:rPr>
          <w:spacing w:val="-1"/>
          <w:w w:val="99"/>
          <w:sz w:val="25"/>
          <w:vertAlign w:val="baseline"/>
        </w:rPr>
        <w:t>n</w:t>
      </w:r>
      <w:r>
        <w:rPr>
          <w:w w:val="99"/>
          <w:sz w:val="25"/>
          <w:vertAlign w:val="baseline"/>
        </w:rPr>
        <w:t>d</w:t>
      </w:r>
      <w:r>
        <w:rPr>
          <w:sz w:val="25"/>
          <w:vertAlign w:val="baseline"/>
        </w:rPr>
        <w:t> </w:t>
      </w:r>
      <w:r>
        <w:rPr>
          <w:spacing w:val="-12"/>
          <w:sz w:val="25"/>
          <w:vertAlign w:val="baseline"/>
        </w:rPr>
        <w:t> </w:t>
      </w:r>
      <w:r>
        <w:rPr>
          <w:w w:val="99"/>
          <w:sz w:val="25"/>
          <w:vertAlign w:val="baseline"/>
        </w:rPr>
        <w:t>the</w:t>
      </w:r>
      <w:r>
        <w:rPr>
          <w:sz w:val="25"/>
          <w:vertAlign w:val="baseline"/>
        </w:rPr>
        <w:t> </w:t>
      </w:r>
      <w:r>
        <w:rPr>
          <w:spacing w:val="-12"/>
          <w:sz w:val="25"/>
          <w:vertAlign w:val="baseline"/>
        </w:rPr>
        <w:t> </w:t>
      </w:r>
      <w:r>
        <w:rPr>
          <w:spacing w:val="-3"/>
          <w:w w:val="99"/>
          <w:sz w:val="25"/>
          <w:vertAlign w:val="baseline"/>
        </w:rPr>
        <w:t>p</w:t>
      </w:r>
      <w:r>
        <w:rPr>
          <w:w w:val="99"/>
          <w:sz w:val="25"/>
          <w:vertAlign w:val="baseline"/>
        </w:rPr>
        <w:t>r</w:t>
      </w:r>
      <w:r>
        <w:rPr>
          <w:spacing w:val="-1"/>
          <w:w w:val="99"/>
          <w:sz w:val="25"/>
          <w:vertAlign w:val="baseline"/>
        </w:rPr>
        <w:t>es</w:t>
      </w:r>
      <w:r>
        <w:rPr>
          <w:spacing w:val="-2"/>
          <w:w w:val="99"/>
          <w:sz w:val="25"/>
          <w:vertAlign w:val="baseline"/>
        </w:rPr>
        <w:t>e</w:t>
      </w:r>
      <w:r>
        <w:rPr>
          <w:spacing w:val="-1"/>
          <w:w w:val="99"/>
          <w:sz w:val="25"/>
          <w:vertAlign w:val="baseline"/>
        </w:rPr>
        <w:t>nc</w:t>
      </w:r>
      <w:r>
        <w:rPr>
          <w:w w:val="99"/>
          <w:sz w:val="25"/>
          <w:vertAlign w:val="baseline"/>
        </w:rPr>
        <w:t>e</w:t>
      </w:r>
      <w:r>
        <w:rPr>
          <w:sz w:val="25"/>
          <w:vertAlign w:val="baseline"/>
        </w:rPr>
        <w:t> </w:t>
      </w:r>
      <w:r>
        <w:rPr>
          <w:spacing w:val="-12"/>
          <w:sz w:val="25"/>
          <w:vertAlign w:val="baseline"/>
        </w:rPr>
        <w:t> </w:t>
      </w:r>
      <w:r>
        <w:rPr>
          <w:spacing w:val="-1"/>
          <w:w w:val="99"/>
          <w:sz w:val="25"/>
          <w:vertAlign w:val="baseline"/>
        </w:rPr>
        <w:t>o</w:t>
      </w:r>
      <w:r>
        <w:rPr>
          <w:w w:val="99"/>
          <w:sz w:val="25"/>
          <w:vertAlign w:val="baseline"/>
        </w:rPr>
        <w:t>f</w:t>
      </w:r>
      <w:r>
        <w:rPr>
          <w:sz w:val="25"/>
          <w:vertAlign w:val="baseline"/>
        </w:rPr>
        <w:t> </w:t>
      </w:r>
      <w:r>
        <w:rPr>
          <w:spacing w:val="-12"/>
          <w:sz w:val="25"/>
          <w:vertAlign w:val="baseline"/>
        </w:rPr>
        <w:t> </w:t>
      </w:r>
      <w:r>
        <w:rPr>
          <w:w w:val="33"/>
          <w:sz w:val="25"/>
          <w:vertAlign w:val="baseline"/>
        </w:rPr>
        <w:t>―</w:t>
      </w:r>
      <w:r>
        <w:rPr>
          <w:spacing w:val="-1"/>
          <w:w w:val="99"/>
          <w:sz w:val="25"/>
          <w:vertAlign w:val="baseline"/>
        </w:rPr>
        <w:t>a</w:t>
      </w:r>
      <w:r>
        <w:rPr>
          <w:w w:val="99"/>
          <w:sz w:val="25"/>
          <w:vertAlign w:val="baseline"/>
        </w:rPr>
        <w:t>n</w:t>
      </w:r>
      <w:r>
        <w:rPr>
          <w:spacing w:val="-1"/>
          <w:w w:val="99"/>
          <w:sz w:val="25"/>
          <w:vertAlign w:val="baseline"/>
        </w:rPr>
        <w:t>o</w:t>
      </w:r>
      <w:r>
        <w:rPr>
          <w:w w:val="99"/>
          <w:sz w:val="25"/>
          <w:vertAlign w:val="baseline"/>
        </w:rPr>
        <w:t>m</w:t>
      </w:r>
      <w:r>
        <w:rPr>
          <w:spacing w:val="-1"/>
          <w:w w:val="99"/>
          <w:sz w:val="25"/>
          <w:vertAlign w:val="baseline"/>
        </w:rPr>
        <w:t>aly </w:t>
      </w:r>
      <w:r>
        <w:rPr>
          <w:sz w:val="25"/>
          <w:vertAlign w:val="baseline"/>
        </w:rPr>
        <w:t>alignments across the main platform north and south of the sanctum sanctorum corresponding to the Ramchabutra area‖. The anomalies suggested the following position:</w:t>
      </w:r>
    </w:p>
    <w:p>
      <w:pPr>
        <w:spacing w:line="276" w:lineRule="auto" w:before="158"/>
        <w:ind w:left="1940" w:right="2260" w:firstLine="0"/>
        <w:jc w:val="both"/>
        <w:rPr>
          <w:sz w:val="21"/>
        </w:rPr>
      </w:pPr>
      <w:r>
        <w:rPr>
          <w:spacing w:val="-1"/>
          <w:w w:val="33"/>
          <w:sz w:val="21"/>
        </w:rPr>
        <w:t>―</w:t>
      </w:r>
      <w:r>
        <w:rPr>
          <w:w w:val="100"/>
          <w:sz w:val="21"/>
        </w:rPr>
        <w:t>…in</w:t>
      </w:r>
      <w:r>
        <w:rPr>
          <w:sz w:val="21"/>
        </w:rPr>
        <w:t> </w:t>
      </w:r>
      <w:r>
        <w:rPr>
          <w:spacing w:val="-29"/>
          <w:sz w:val="21"/>
        </w:rPr>
        <w:t> </w:t>
      </w:r>
      <w:r>
        <w:rPr>
          <w:spacing w:val="-2"/>
          <w:w w:val="100"/>
          <w:sz w:val="21"/>
        </w:rPr>
        <w:t>t</w:t>
      </w:r>
      <w:r>
        <w:rPr>
          <w:spacing w:val="-1"/>
          <w:w w:val="100"/>
          <w:sz w:val="21"/>
        </w:rPr>
        <w:t>h</w:t>
      </w:r>
      <w:r>
        <w:rPr>
          <w:spacing w:val="-3"/>
          <w:w w:val="100"/>
          <w:sz w:val="21"/>
        </w:rPr>
        <w:t>e</w:t>
      </w:r>
      <w:r>
        <w:rPr>
          <w:w w:val="100"/>
          <w:sz w:val="21"/>
        </w:rPr>
        <w:t>ir</w:t>
      </w:r>
      <w:r>
        <w:rPr>
          <w:sz w:val="21"/>
        </w:rPr>
        <w:t> </w:t>
      </w:r>
      <w:r>
        <w:rPr>
          <w:spacing w:val="-29"/>
          <w:sz w:val="21"/>
        </w:rPr>
        <w:t> </w:t>
      </w:r>
      <w:r>
        <w:rPr>
          <w:w w:val="100"/>
          <w:sz w:val="21"/>
        </w:rPr>
        <w:t>cr</w:t>
      </w:r>
      <w:r>
        <w:rPr>
          <w:w w:val="100"/>
          <w:sz w:val="21"/>
        </w:rPr>
        <w:t>o</w:t>
      </w:r>
      <w:r>
        <w:rPr>
          <w:spacing w:val="-3"/>
          <w:w w:val="100"/>
          <w:sz w:val="21"/>
        </w:rPr>
        <w:t>s</w:t>
      </w:r>
      <w:r>
        <w:rPr>
          <w:w w:val="100"/>
          <w:sz w:val="21"/>
        </w:rPr>
        <w:t>s</w:t>
      </w:r>
      <w:r>
        <w:rPr>
          <w:spacing w:val="-1"/>
          <w:w w:val="100"/>
          <w:sz w:val="21"/>
        </w:rPr>
        <w:t>-</w:t>
      </w:r>
      <w:r>
        <w:rPr>
          <w:w w:val="100"/>
          <w:sz w:val="21"/>
        </w:rPr>
        <w:t>sec</w:t>
      </w:r>
      <w:r>
        <w:rPr>
          <w:spacing w:val="-4"/>
          <w:w w:val="100"/>
          <w:sz w:val="21"/>
        </w:rPr>
        <w:t>t</w:t>
      </w:r>
      <w:r>
        <w:rPr>
          <w:w w:val="100"/>
          <w:sz w:val="21"/>
        </w:rPr>
        <w:t>i</w:t>
      </w:r>
      <w:r>
        <w:rPr>
          <w:w w:val="100"/>
          <w:sz w:val="21"/>
        </w:rPr>
        <w:t>on</w:t>
      </w:r>
      <w:r>
        <w:rPr>
          <w:spacing w:val="28"/>
          <w:sz w:val="21"/>
        </w:rPr>
        <w:t> </w:t>
      </w:r>
      <w:r>
        <w:rPr>
          <w:w w:val="100"/>
          <w:sz w:val="21"/>
        </w:rPr>
        <w:t>app</w:t>
      </w:r>
      <w:r>
        <w:rPr>
          <w:spacing w:val="-2"/>
          <w:w w:val="100"/>
          <w:sz w:val="21"/>
        </w:rPr>
        <w:t>e</w:t>
      </w:r>
      <w:r>
        <w:rPr>
          <w:w w:val="100"/>
          <w:sz w:val="21"/>
        </w:rPr>
        <w:t>aran</w:t>
      </w:r>
      <w:r>
        <w:rPr>
          <w:spacing w:val="-3"/>
          <w:w w:val="100"/>
          <w:sz w:val="21"/>
        </w:rPr>
        <w:t>c</w:t>
      </w:r>
      <w:r>
        <w:rPr>
          <w:w w:val="100"/>
          <w:sz w:val="21"/>
        </w:rPr>
        <w:t>e</w:t>
      </w:r>
      <w:r>
        <w:rPr>
          <w:sz w:val="21"/>
        </w:rPr>
        <w:t> </w:t>
      </w:r>
      <w:r>
        <w:rPr>
          <w:spacing w:val="-28"/>
          <w:sz w:val="21"/>
        </w:rPr>
        <w:t> </w:t>
      </w:r>
      <w:r>
        <w:rPr>
          <w:w w:val="100"/>
          <w:sz w:val="21"/>
        </w:rPr>
        <w:t>a</w:t>
      </w:r>
      <w:r>
        <w:rPr>
          <w:spacing w:val="-3"/>
          <w:w w:val="100"/>
          <w:sz w:val="21"/>
        </w:rPr>
        <w:t>n</w:t>
      </w:r>
      <w:r>
        <w:rPr>
          <w:w w:val="100"/>
          <w:sz w:val="21"/>
        </w:rPr>
        <w:t>d</w:t>
      </w:r>
      <w:r>
        <w:rPr>
          <w:sz w:val="21"/>
        </w:rPr>
        <w:t> </w:t>
      </w:r>
      <w:r>
        <w:rPr>
          <w:spacing w:val="-28"/>
          <w:sz w:val="21"/>
        </w:rPr>
        <w:t> </w:t>
      </w:r>
      <w:r>
        <w:rPr>
          <w:spacing w:val="-2"/>
          <w:w w:val="100"/>
          <w:sz w:val="21"/>
        </w:rPr>
        <w:t>t</w:t>
      </w:r>
      <w:r>
        <w:rPr>
          <w:w w:val="100"/>
          <w:sz w:val="21"/>
        </w:rPr>
        <w:t>he</w:t>
      </w:r>
      <w:r>
        <w:rPr>
          <w:spacing w:val="1"/>
          <w:w w:val="100"/>
          <w:sz w:val="21"/>
        </w:rPr>
        <w:t>i</w:t>
      </w:r>
      <w:r>
        <w:rPr>
          <w:w w:val="100"/>
          <w:sz w:val="21"/>
        </w:rPr>
        <w:t>r</w:t>
      </w:r>
      <w:r>
        <w:rPr>
          <w:sz w:val="21"/>
        </w:rPr>
        <w:t> </w:t>
      </w:r>
      <w:r>
        <w:rPr>
          <w:spacing w:val="-29"/>
          <w:sz w:val="21"/>
        </w:rPr>
        <w:t> </w:t>
      </w:r>
      <w:r>
        <w:rPr>
          <w:w w:val="100"/>
          <w:sz w:val="21"/>
        </w:rPr>
        <w:t>a</w:t>
      </w:r>
      <w:r>
        <w:rPr>
          <w:spacing w:val="-3"/>
          <w:w w:val="100"/>
          <w:sz w:val="21"/>
        </w:rPr>
        <w:t>re</w:t>
      </w:r>
      <w:r>
        <w:rPr>
          <w:w w:val="100"/>
          <w:sz w:val="21"/>
        </w:rPr>
        <w:t>al</w:t>
      </w:r>
      <w:r>
        <w:rPr>
          <w:sz w:val="21"/>
        </w:rPr>
        <w:t> </w:t>
      </w:r>
      <w:r>
        <w:rPr>
          <w:spacing w:val="-28"/>
          <w:sz w:val="21"/>
        </w:rPr>
        <w:t> </w:t>
      </w:r>
      <w:r>
        <w:rPr>
          <w:w w:val="100"/>
          <w:sz w:val="21"/>
        </w:rPr>
        <w:t>pa</w:t>
      </w:r>
      <w:r>
        <w:rPr>
          <w:spacing w:val="-1"/>
          <w:w w:val="100"/>
          <w:sz w:val="21"/>
        </w:rPr>
        <w:t>t</w:t>
      </w:r>
      <w:r>
        <w:rPr>
          <w:spacing w:val="-2"/>
          <w:w w:val="100"/>
          <w:sz w:val="21"/>
        </w:rPr>
        <w:t>t</w:t>
      </w:r>
      <w:r>
        <w:rPr>
          <w:w w:val="100"/>
          <w:sz w:val="21"/>
        </w:rPr>
        <w:t>ern, </w:t>
      </w:r>
      <w:r>
        <w:rPr>
          <w:spacing w:val="-2"/>
          <w:w w:val="100"/>
          <w:sz w:val="21"/>
        </w:rPr>
        <w:t>t</w:t>
      </w:r>
      <w:r>
        <w:rPr>
          <w:spacing w:val="-1"/>
          <w:w w:val="100"/>
          <w:sz w:val="21"/>
        </w:rPr>
        <w:t>h</w:t>
      </w:r>
      <w:r>
        <w:rPr>
          <w:w w:val="100"/>
          <w:sz w:val="21"/>
        </w:rPr>
        <w:t>e</w:t>
      </w:r>
      <w:r>
        <w:rPr>
          <w:sz w:val="21"/>
        </w:rPr>
        <w:t>  </w:t>
      </w:r>
      <w:r>
        <w:rPr>
          <w:spacing w:val="26"/>
          <w:sz w:val="21"/>
        </w:rPr>
        <w:t> </w:t>
      </w:r>
      <w:r>
        <w:rPr>
          <w:spacing w:val="-1"/>
          <w:w w:val="33"/>
          <w:sz w:val="21"/>
        </w:rPr>
        <w:t>―</w:t>
      </w:r>
      <w:r>
        <w:rPr>
          <w:spacing w:val="-1"/>
          <w:w w:val="100"/>
          <w:sz w:val="21"/>
        </w:rPr>
        <w:t>an</w:t>
      </w:r>
      <w:r>
        <w:rPr>
          <w:spacing w:val="-2"/>
          <w:w w:val="100"/>
          <w:sz w:val="21"/>
        </w:rPr>
        <w:t>o</w:t>
      </w:r>
      <w:r>
        <w:rPr>
          <w:spacing w:val="1"/>
          <w:w w:val="100"/>
          <w:sz w:val="21"/>
        </w:rPr>
        <w:t>m</w:t>
      </w:r>
      <w:r>
        <w:rPr>
          <w:spacing w:val="-3"/>
          <w:w w:val="100"/>
          <w:sz w:val="21"/>
        </w:rPr>
        <w:t>a</w:t>
      </w:r>
      <w:r>
        <w:rPr>
          <w:w w:val="100"/>
          <w:sz w:val="21"/>
        </w:rPr>
        <w:t>ly</w:t>
      </w:r>
      <w:r>
        <w:rPr>
          <w:sz w:val="21"/>
        </w:rPr>
        <w:t>  </w:t>
      </w:r>
      <w:r>
        <w:rPr>
          <w:spacing w:val="24"/>
          <w:sz w:val="21"/>
        </w:rPr>
        <w:t> </w:t>
      </w:r>
      <w:r>
        <w:rPr>
          <w:spacing w:val="-1"/>
          <w:w w:val="100"/>
          <w:sz w:val="21"/>
        </w:rPr>
        <w:t>a</w:t>
      </w:r>
      <w:r>
        <w:rPr>
          <w:spacing w:val="1"/>
          <w:w w:val="100"/>
          <w:sz w:val="21"/>
        </w:rPr>
        <w:t>l</w:t>
      </w:r>
      <w:r>
        <w:rPr>
          <w:w w:val="100"/>
          <w:sz w:val="21"/>
        </w:rPr>
        <w:t>i</w:t>
      </w:r>
      <w:r>
        <w:rPr>
          <w:spacing w:val="-3"/>
          <w:w w:val="100"/>
          <w:sz w:val="21"/>
        </w:rPr>
        <w:t>gn</w:t>
      </w:r>
      <w:r>
        <w:rPr>
          <w:spacing w:val="1"/>
          <w:w w:val="100"/>
          <w:sz w:val="21"/>
        </w:rPr>
        <w:t>m</w:t>
      </w:r>
      <w:r>
        <w:rPr>
          <w:spacing w:val="-3"/>
          <w:w w:val="100"/>
          <w:sz w:val="21"/>
        </w:rPr>
        <w:t>en</w:t>
      </w:r>
      <w:r>
        <w:rPr>
          <w:spacing w:val="-2"/>
          <w:w w:val="100"/>
          <w:sz w:val="21"/>
        </w:rPr>
        <w:t>t</w:t>
      </w:r>
      <w:r>
        <w:rPr>
          <w:w w:val="91"/>
          <w:sz w:val="21"/>
        </w:rPr>
        <w:t>s‖</w:t>
      </w:r>
      <w:r>
        <w:rPr>
          <w:sz w:val="21"/>
        </w:rPr>
        <w:t>  </w:t>
      </w:r>
      <w:r>
        <w:rPr>
          <w:spacing w:val="25"/>
          <w:sz w:val="21"/>
        </w:rPr>
        <w:t> </w:t>
      </w:r>
      <w:r>
        <w:rPr>
          <w:spacing w:val="1"/>
          <w:w w:val="100"/>
          <w:sz w:val="21"/>
        </w:rPr>
        <w:t>m</w:t>
      </w:r>
      <w:r>
        <w:rPr>
          <w:spacing w:val="-1"/>
          <w:w w:val="100"/>
          <w:sz w:val="21"/>
        </w:rPr>
        <w:t>a</w:t>
      </w:r>
      <w:r>
        <w:rPr>
          <w:w w:val="100"/>
          <w:sz w:val="21"/>
        </w:rPr>
        <w:t>y</w:t>
      </w:r>
      <w:r>
        <w:rPr>
          <w:sz w:val="21"/>
        </w:rPr>
        <w:t>  </w:t>
      </w:r>
      <w:r>
        <w:rPr>
          <w:spacing w:val="24"/>
          <w:sz w:val="21"/>
        </w:rPr>
        <w:t> </w:t>
      </w:r>
      <w:r>
        <w:rPr>
          <w:w w:val="100"/>
          <w:sz w:val="21"/>
        </w:rPr>
        <w:t>cor</w:t>
      </w:r>
      <w:r>
        <w:rPr>
          <w:spacing w:val="-2"/>
          <w:w w:val="100"/>
          <w:sz w:val="21"/>
        </w:rPr>
        <w:t>r</w:t>
      </w:r>
      <w:r>
        <w:rPr>
          <w:spacing w:val="-1"/>
          <w:w w:val="100"/>
          <w:sz w:val="21"/>
        </w:rPr>
        <w:t>esp</w:t>
      </w:r>
      <w:r>
        <w:rPr>
          <w:spacing w:val="-2"/>
          <w:w w:val="100"/>
          <w:sz w:val="21"/>
        </w:rPr>
        <w:t>o</w:t>
      </w:r>
      <w:r>
        <w:rPr>
          <w:spacing w:val="-1"/>
          <w:w w:val="100"/>
          <w:sz w:val="21"/>
        </w:rPr>
        <w:t>n</w:t>
      </w:r>
      <w:r>
        <w:rPr>
          <w:w w:val="100"/>
          <w:sz w:val="21"/>
        </w:rPr>
        <w:t>d</w:t>
      </w:r>
      <w:r>
        <w:rPr>
          <w:sz w:val="21"/>
        </w:rPr>
        <w:t>  </w:t>
      </w:r>
      <w:r>
        <w:rPr>
          <w:spacing w:val="26"/>
          <w:sz w:val="21"/>
        </w:rPr>
        <w:t> </w:t>
      </w:r>
      <w:r>
        <w:rPr>
          <w:spacing w:val="-2"/>
          <w:w w:val="100"/>
          <w:sz w:val="21"/>
        </w:rPr>
        <w:t>t</w:t>
      </w:r>
      <w:r>
        <w:rPr>
          <w:w w:val="100"/>
          <w:sz w:val="21"/>
        </w:rPr>
        <w:t>o</w:t>
      </w:r>
      <w:r>
        <w:rPr>
          <w:sz w:val="21"/>
        </w:rPr>
        <w:t>  </w:t>
      </w:r>
      <w:r>
        <w:rPr>
          <w:spacing w:val="26"/>
          <w:sz w:val="21"/>
        </w:rPr>
        <w:t> </w:t>
      </w:r>
      <w:r>
        <w:rPr>
          <w:w w:val="100"/>
          <w:sz w:val="21"/>
        </w:rPr>
        <w:t>a</w:t>
      </w:r>
      <w:r>
        <w:rPr>
          <w:sz w:val="21"/>
        </w:rPr>
        <w:t>  </w:t>
      </w:r>
      <w:r>
        <w:rPr>
          <w:spacing w:val="26"/>
          <w:sz w:val="21"/>
        </w:rPr>
        <w:t> </w:t>
      </w:r>
      <w:r>
        <w:rPr>
          <w:spacing w:val="-2"/>
          <w:w w:val="100"/>
          <w:sz w:val="21"/>
        </w:rPr>
        <w:t>w</w:t>
      </w:r>
      <w:r>
        <w:rPr>
          <w:spacing w:val="-1"/>
          <w:w w:val="100"/>
          <w:sz w:val="21"/>
        </w:rPr>
        <w:t>a</w:t>
      </w:r>
      <w:r>
        <w:rPr>
          <w:spacing w:val="1"/>
          <w:w w:val="100"/>
          <w:sz w:val="21"/>
        </w:rPr>
        <w:t>l</w:t>
      </w:r>
      <w:r>
        <w:rPr>
          <w:w w:val="100"/>
          <w:sz w:val="21"/>
        </w:rPr>
        <w:t>l </w:t>
      </w:r>
      <w:r>
        <w:rPr>
          <w:sz w:val="21"/>
        </w:rPr>
        <w:t>foundation of some sort. In the Ram Chabutra area, the crossing patterns of those alignments and the different stratigraphic units from where they (emerge) suggest that they belong to successive construction periods rather than being contemporary to one</w:t>
      </w:r>
      <w:r>
        <w:rPr>
          <w:spacing w:val="-10"/>
          <w:sz w:val="21"/>
        </w:rPr>
        <w:t> </w:t>
      </w:r>
      <w:r>
        <w:rPr>
          <w:sz w:val="21"/>
        </w:rPr>
        <w:t>another.‖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pict>
          <v:rect style="position:absolute;margin-left:72.024002pt;margin-top:12.16055pt;width:144.020pt;height:.599980pt;mso-position-horizontal-relative:page;mso-position-vertical-relative:paragraph;z-index:-15651328;mso-wrap-distance-left:0;mso-wrap-distance-right:0" filled="true" fillcolor="#000000" stroked="false">
            <v:fill type="solid"/>
            <w10:wrap type="topAndBottom"/>
          </v:rect>
        </w:pict>
      </w:r>
    </w:p>
    <w:p>
      <w:pPr>
        <w:spacing w:before="78"/>
        <w:ind w:left="500" w:right="512" w:firstLine="0"/>
        <w:jc w:val="left"/>
        <w:rPr>
          <w:sz w:val="18"/>
        </w:rPr>
      </w:pPr>
      <w:r>
        <w:rPr>
          <w:w w:val="97"/>
          <w:sz w:val="18"/>
          <w:vertAlign w:val="superscript"/>
        </w:rPr>
        <w:t>273</w:t>
      </w:r>
      <w:r>
        <w:rPr>
          <w:sz w:val="18"/>
          <w:vertAlign w:val="baseline"/>
        </w:rPr>
        <w:t> Issue 1(b) in OOS No. 4 of 1989 as follows : </w:t>
      </w:r>
      <w:r>
        <w:rPr>
          <w:w w:val="33"/>
          <w:sz w:val="18"/>
          <w:vertAlign w:val="baseline"/>
        </w:rPr>
        <w:t>―</w:t>
      </w:r>
      <w:r>
        <w:rPr>
          <w:sz w:val="18"/>
          <w:vertAlign w:val="baseline"/>
        </w:rPr>
        <w:t>Whether the building had been constructed on the site of an alleged Hindu Temple after demolishing the same as alleged by defendant no. 13? If so, its effect?</w:t>
      </w:r>
    </w:p>
    <w:p>
      <w:pPr>
        <w:spacing w:before="1"/>
        <w:ind w:left="500" w:right="512" w:firstLine="0"/>
        <w:jc w:val="left"/>
        <w:rPr>
          <w:sz w:val="18"/>
        </w:rPr>
      </w:pPr>
      <w:r>
        <w:rPr>
          <w:w w:val="97"/>
          <w:sz w:val="18"/>
          <w:vertAlign w:val="superscript"/>
        </w:rPr>
        <w:t>274</w:t>
      </w:r>
      <w:r>
        <w:rPr>
          <w:sz w:val="18"/>
          <w:vertAlign w:val="baseline"/>
        </w:rPr>
        <w:t> </w:t>
      </w:r>
      <w:r>
        <w:rPr>
          <w:w w:val="100"/>
          <w:sz w:val="18"/>
          <w:vertAlign w:val="baseline"/>
        </w:rPr>
        <w:t>Is</w:t>
      </w:r>
      <w:r>
        <w:rPr>
          <w:sz w:val="18"/>
          <w:vertAlign w:val="baseline"/>
        </w:rPr>
        <w:t>s</w:t>
      </w:r>
      <w:r>
        <w:rPr>
          <w:w w:val="99"/>
          <w:sz w:val="18"/>
          <w:vertAlign w:val="baseline"/>
        </w:rPr>
        <w:t>ue</w:t>
      </w:r>
      <w:r>
        <w:rPr>
          <w:sz w:val="18"/>
          <w:vertAlign w:val="baseline"/>
        </w:rPr>
        <w:t> No. 14 in OOS No. 5 of 1989 reads as follows : </w:t>
      </w:r>
      <w:r>
        <w:rPr>
          <w:w w:val="33"/>
          <w:sz w:val="18"/>
          <w:vertAlign w:val="baseline"/>
        </w:rPr>
        <w:t>―</w:t>
      </w:r>
      <w:r>
        <w:rPr>
          <w:sz w:val="18"/>
          <w:vertAlign w:val="baseline"/>
        </w:rPr>
        <w:t>Whether the disputed structure claimed to be Babri Masjid was erected after demolishing Janma Sthan Temple at its Site?‖</w:t>
      </w:r>
    </w:p>
    <w:p>
      <w:pPr>
        <w:spacing w:line="206" w:lineRule="exact" w:before="0"/>
        <w:ind w:left="500" w:right="0" w:firstLine="0"/>
        <w:jc w:val="left"/>
        <w:rPr>
          <w:sz w:val="18"/>
        </w:rPr>
      </w:pPr>
      <w:r>
        <w:rPr>
          <w:w w:val="95"/>
          <w:sz w:val="18"/>
          <w:vertAlign w:val="superscript"/>
        </w:rPr>
        <w:t>275</w:t>
      </w:r>
      <w:r>
        <w:rPr>
          <w:w w:val="95"/>
          <w:sz w:val="18"/>
          <w:vertAlign w:val="baseline"/>
        </w:rPr>
        <w:t> ―ASI‖</w:t>
      </w:r>
    </w:p>
    <w:p>
      <w:pPr>
        <w:spacing w:before="2"/>
        <w:ind w:left="500" w:right="0" w:firstLine="0"/>
        <w:jc w:val="left"/>
        <w:rPr>
          <w:sz w:val="18"/>
        </w:rPr>
      </w:pPr>
      <w:r>
        <w:rPr>
          <w:sz w:val="18"/>
          <w:vertAlign w:val="superscript"/>
        </w:rPr>
        <w:t>276</w:t>
      </w:r>
      <w:r>
        <w:rPr>
          <w:sz w:val="18"/>
          <w:vertAlign w:val="baseline"/>
        </w:rPr>
        <w:t> ―GPR‖</w:t>
      </w:r>
    </w:p>
    <w:p>
      <w:pPr>
        <w:spacing w:after="0"/>
        <w:jc w:val="left"/>
        <w:rPr>
          <w:sz w:val="18"/>
        </w:rPr>
        <w:sectPr>
          <w:pgSz w:w="11910" w:h="16840"/>
          <w:pgMar w:header="721" w:footer="1014" w:top="1300" w:bottom="1200" w:left="940" w:right="1000"/>
        </w:sectPr>
      </w:pPr>
    </w:p>
    <w:p>
      <w:pPr>
        <w:pStyle w:val="BodyText"/>
        <w:spacing w:line="480" w:lineRule="auto" w:before="124"/>
        <w:ind w:left="500" w:right="442"/>
        <w:jc w:val="both"/>
      </w:pPr>
      <w:r>
        <w:rPr/>
        <w:t>The report also found that the sequence in the southern portion of the </w:t>
      </w:r>
      <w:r>
        <w:rPr>
          <w:w w:val="99"/>
        </w:rPr>
        <w:t>Ramchabutra</w:t>
      </w:r>
      <w:r>
        <w:rPr/>
        <w:t>  </w:t>
      </w:r>
      <w:r>
        <w:rPr>
          <w:w w:val="99"/>
        </w:rPr>
        <w:t>area</w:t>
      </w:r>
      <w:r>
        <w:rPr/>
        <w:t>  </w:t>
      </w:r>
      <w:r>
        <w:rPr>
          <w:w w:val="33"/>
        </w:rPr>
        <w:t>―</w:t>
      </w:r>
      <w:r>
        <w:rPr>
          <w:w w:val="99"/>
        </w:rPr>
        <w:t>may</w:t>
      </w:r>
      <w:r>
        <w:rPr/>
        <w:t>  </w:t>
      </w:r>
      <w:r>
        <w:rPr>
          <w:w w:val="99"/>
        </w:rPr>
        <w:t>be</w:t>
      </w:r>
      <w:r>
        <w:rPr/>
        <w:t>  </w:t>
      </w:r>
      <w:r>
        <w:rPr>
          <w:w w:val="99"/>
        </w:rPr>
        <w:t>indicative</w:t>
      </w:r>
      <w:r>
        <w:rPr/>
        <w:t>  </w:t>
      </w:r>
      <w:r>
        <w:rPr>
          <w:w w:val="99"/>
        </w:rPr>
        <w:t>of</w:t>
      </w:r>
      <w:r>
        <w:rPr/>
        <w:t>  </w:t>
      </w:r>
      <w:r>
        <w:rPr>
          <w:w w:val="99"/>
        </w:rPr>
        <w:t>a</w:t>
      </w:r>
      <w:r>
        <w:rPr/>
        <w:t>  </w:t>
      </w:r>
      <w:r>
        <w:rPr>
          <w:w w:val="99"/>
        </w:rPr>
        <w:t>flooring</w:t>
      </w:r>
      <w:r>
        <w:rPr/>
        <w:t>  </w:t>
      </w:r>
      <w:r>
        <w:rPr>
          <w:w w:val="99"/>
        </w:rPr>
        <w:t>structure</w:t>
      </w:r>
      <w:r>
        <w:rPr/>
        <w:t>  </w:t>
      </w:r>
      <w:r>
        <w:rPr>
          <w:w w:val="99"/>
        </w:rPr>
        <w:t>of</w:t>
      </w:r>
      <w:r>
        <w:rPr/>
        <w:t>  </w:t>
      </w:r>
      <w:r>
        <w:rPr>
          <w:w w:val="99"/>
        </w:rPr>
        <w:t>some</w:t>
      </w:r>
      <w:r>
        <w:rPr/>
        <w:t>  </w:t>
      </w:r>
      <w:r>
        <w:rPr>
          <w:w w:val="99"/>
        </w:rPr>
        <w:t>sort, </w:t>
      </w:r>
      <w:r>
        <w:rPr/>
        <w:t>possibly stone slabs if its origin is ancient.‖ Besides, the report indicated:</w:t>
      </w:r>
    </w:p>
    <w:p>
      <w:pPr>
        <w:spacing w:line="276" w:lineRule="auto" w:before="0"/>
        <w:ind w:left="1940" w:right="2261" w:firstLine="0"/>
        <w:jc w:val="both"/>
        <w:rPr>
          <w:sz w:val="21"/>
        </w:rPr>
      </w:pPr>
      <w:r>
        <w:rPr>
          <w:spacing w:val="-1"/>
          <w:w w:val="33"/>
          <w:sz w:val="21"/>
        </w:rPr>
        <w:t>―</w:t>
      </w:r>
      <w:r>
        <w:rPr>
          <w:w w:val="100"/>
          <w:sz w:val="21"/>
        </w:rPr>
        <w:t>A</w:t>
      </w:r>
      <w:r>
        <w:rPr>
          <w:sz w:val="21"/>
        </w:rPr>
        <w:t> </w:t>
      </w:r>
      <w:r>
        <w:rPr>
          <w:spacing w:val="-14"/>
          <w:sz w:val="21"/>
        </w:rPr>
        <w:t> </w:t>
      </w:r>
      <w:r>
        <w:rPr>
          <w:spacing w:val="-2"/>
          <w:w w:val="100"/>
          <w:sz w:val="21"/>
        </w:rPr>
        <w:t>t</w:t>
      </w:r>
      <w:r>
        <w:rPr>
          <w:spacing w:val="-1"/>
          <w:w w:val="100"/>
          <w:sz w:val="21"/>
        </w:rPr>
        <w:t>h</w:t>
      </w:r>
      <w:r>
        <w:rPr>
          <w:spacing w:val="1"/>
          <w:w w:val="100"/>
          <w:sz w:val="21"/>
        </w:rPr>
        <w:t>i</w:t>
      </w:r>
      <w:r>
        <w:rPr>
          <w:spacing w:val="-1"/>
          <w:w w:val="100"/>
          <w:sz w:val="21"/>
        </w:rPr>
        <w:t>r</w:t>
      </w:r>
      <w:r>
        <w:rPr>
          <w:w w:val="100"/>
          <w:sz w:val="21"/>
        </w:rPr>
        <w:t>d</w:t>
      </w:r>
      <w:r>
        <w:rPr>
          <w:sz w:val="21"/>
        </w:rPr>
        <w:t> </w:t>
      </w:r>
      <w:r>
        <w:rPr>
          <w:spacing w:val="-14"/>
          <w:sz w:val="21"/>
        </w:rPr>
        <w:t> </w:t>
      </w:r>
      <w:r>
        <w:rPr>
          <w:spacing w:val="-2"/>
          <w:w w:val="100"/>
          <w:sz w:val="21"/>
        </w:rPr>
        <w:t>t</w:t>
      </w:r>
      <w:r>
        <w:rPr>
          <w:spacing w:val="-3"/>
          <w:w w:val="100"/>
          <w:sz w:val="21"/>
        </w:rPr>
        <w:t>y</w:t>
      </w:r>
      <w:r>
        <w:rPr>
          <w:spacing w:val="-1"/>
          <w:w w:val="100"/>
          <w:sz w:val="21"/>
        </w:rPr>
        <w:t>p</w:t>
      </w:r>
      <w:r>
        <w:rPr>
          <w:w w:val="100"/>
          <w:sz w:val="21"/>
        </w:rPr>
        <w:t>e</w:t>
      </w:r>
      <w:r>
        <w:rPr>
          <w:sz w:val="21"/>
        </w:rPr>
        <w:t> </w:t>
      </w:r>
      <w:r>
        <w:rPr>
          <w:spacing w:val="-14"/>
          <w:sz w:val="21"/>
        </w:rPr>
        <w:t> </w:t>
      </w:r>
      <w:r>
        <w:rPr>
          <w:spacing w:val="-3"/>
          <w:w w:val="100"/>
          <w:sz w:val="21"/>
        </w:rPr>
        <w:t>o</w:t>
      </w:r>
      <w:r>
        <w:rPr>
          <w:w w:val="100"/>
          <w:sz w:val="21"/>
        </w:rPr>
        <w:t>f</w:t>
      </w:r>
      <w:r>
        <w:rPr>
          <w:sz w:val="21"/>
        </w:rPr>
        <w:t> </w:t>
      </w:r>
      <w:r>
        <w:rPr>
          <w:spacing w:val="-13"/>
          <w:sz w:val="21"/>
        </w:rPr>
        <w:t> </w:t>
      </w:r>
      <w:r>
        <w:rPr>
          <w:spacing w:val="-3"/>
          <w:w w:val="100"/>
          <w:sz w:val="21"/>
        </w:rPr>
        <w:t>b</w:t>
      </w:r>
      <w:r>
        <w:rPr>
          <w:spacing w:val="-1"/>
          <w:w w:val="100"/>
          <w:sz w:val="21"/>
        </w:rPr>
        <w:t>ur</w:t>
      </w:r>
      <w:r>
        <w:rPr>
          <w:spacing w:val="-2"/>
          <w:w w:val="100"/>
          <w:sz w:val="21"/>
        </w:rPr>
        <w:t>i</w:t>
      </w:r>
      <w:r>
        <w:rPr>
          <w:spacing w:val="-1"/>
          <w:w w:val="100"/>
          <w:sz w:val="21"/>
        </w:rPr>
        <w:t>e</w:t>
      </w:r>
      <w:r>
        <w:rPr>
          <w:w w:val="100"/>
          <w:sz w:val="21"/>
        </w:rPr>
        <w:t>d</w:t>
      </w:r>
      <w:r>
        <w:rPr>
          <w:sz w:val="21"/>
        </w:rPr>
        <w:t> </w:t>
      </w:r>
      <w:r>
        <w:rPr>
          <w:spacing w:val="-14"/>
          <w:sz w:val="21"/>
        </w:rPr>
        <w:t> </w:t>
      </w:r>
      <w:r>
        <w:rPr>
          <w:w w:val="100"/>
          <w:sz w:val="21"/>
        </w:rPr>
        <w:t>s</w:t>
      </w:r>
      <w:r>
        <w:rPr>
          <w:spacing w:val="-4"/>
          <w:w w:val="100"/>
          <w:sz w:val="21"/>
        </w:rPr>
        <w:t>t</w:t>
      </w:r>
      <w:r>
        <w:rPr>
          <w:spacing w:val="-1"/>
          <w:w w:val="100"/>
          <w:sz w:val="21"/>
        </w:rPr>
        <w:t>ructure</w:t>
      </w:r>
      <w:r>
        <w:rPr>
          <w:w w:val="100"/>
          <w:sz w:val="21"/>
        </w:rPr>
        <w:t>s</w:t>
      </w:r>
      <w:r>
        <w:rPr>
          <w:sz w:val="21"/>
        </w:rPr>
        <w:t> </w:t>
      </w:r>
      <w:r>
        <w:rPr>
          <w:spacing w:val="-15"/>
          <w:sz w:val="21"/>
        </w:rPr>
        <w:t> </w:t>
      </w:r>
      <w:r>
        <w:rPr>
          <w:spacing w:val="-3"/>
          <w:w w:val="100"/>
          <w:sz w:val="21"/>
        </w:rPr>
        <w:t>c</w:t>
      </w:r>
      <w:r>
        <w:rPr>
          <w:spacing w:val="-1"/>
          <w:w w:val="100"/>
          <w:sz w:val="21"/>
        </w:rPr>
        <w:t>o</w:t>
      </w:r>
      <w:r>
        <w:rPr>
          <w:spacing w:val="-3"/>
          <w:w w:val="100"/>
          <w:sz w:val="21"/>
        </w:rPr>
        <w:t>v</w:t>
      </w:r>
      <w:r>
        <w:rPr>
          <w:spacing w:val="-1"/>
          <w:w w:val="100"/>
          <w:sz w:val="21"/>
        </w:rPr>
        <w:t>er</w:t>
      </w:r>
      <w:r>
        <w:rPr>
          <w:w w:val="100"/>
          <w:sz w:val="21"/>
        </w:rPr>
        <w:t>s</w:t>
      </w:r>
      <w:r>
        <w:rPr>
          <w:sz w:val="21"/>
        </w:rPr>
        <w:t> </w:t>
      </w:r>
      <w:r>
        <w:rPr>
          <w:spacing w:val="-15"/>
          <w:sz w:val="21"/>
        </w:rPr>
        <w:t> </w:t>
      </w:r>
      <w:r>
        <w:rPr>
          <w:spacing w:val="-2"/>
          <w:w w:val="100"/>
          <w:sz w:val="21"/>
        </w:rPr>
        <w:t>t</w:t>
      </w:r>
      <w:r>
        <w:rPr>
          <w:spacing w:val="-1"/>
          <w:w w:val="100"/>
          <w:sz w:val="21"/>
        </w:rPr>
        <w:t>h</w:t>
      </w:r>
      <w:r>
        <w:rPr>
          <w:w w:val="100"/>
          <w:sz w:val="21"/>
        </w:rPr>
        <w:t>e</w:t>
      </w:r>
      <w:r>
        <w:rPr>
          <w:sz w:val="21"/>
        </w:rPr>
        <w:t> </w:t>
      </w:r>
      <w:r>
        <w:rPr>
          <w:spacing w:val="-14"/>
          <w:sz w:val="21"/>
        </w:rPr>
        <w:t> </w:t>
      </w:r>
      <w:r>
        <w:rPr>
          <w:spacing w:val="-1"/>
          <w:w w:val="100"/>
          <w:sz w:val="21"/>
        </w:rPr>
        <w:t>en</w:t>
      </w:r>
      <w:r>
        <w:rPr>
          <w:spacing w:val="-4"/>
          <w:w w:val="100"/>
          <w:sz w:val="21"/>
        </w:rPr>
        <w:t>t</w:t>
      </w:r>
      <w:r>
        <w:rPr>
          <w:w w:val="100"/>
          <w:sz w:val="21"/>
        </w:rPr>
        <w:t>i</w:t>
      </w:r>
      <w:r>
        <w:rPr>
          <w:spacing w:val="-1"/>
          <w:w w:val="100"/>
          <w:sz w:val="21"/>
        </w:rPr>
        <w:t>r</w:t>
      </w:r>
      <w:r>
        <w:rPr>
          <w:w w:val="100"/>
          <w:sz w:val="21"/>
        </w:rPr>
        <w:t>e</w:t>
      </w:r>
      <w:r>
        <w:rPr>
          <w:sz w:val="21"/>
        </w:rPr>
        <w:t> </w:t>
      </w:r>
      <w:r>
        <w:rPr>
          <w:spacing w:val="-14"/>
          <w:sz w:val="21"/>
        </w:rPr>
        <w:t> </w:t>
      </w:r>
      <w:r>
        <w:rPr>
          <w:spacing w:val="-1"/>
          <w:w w:val="100"/>
          <w:sz w:val="21"/>
        </w:rPr>
        <w:t>easte</w:t>
      </w:r>
      <w:r>
        <w:rPr>
          <w:spacing w:val="-3"/>
          <w:w w:val="100"/>
          <w:sz w:val="21"/>
        </w:rPr>
        <w:t>r</w:t>
      </w:r>
      <w:r>
        <w:rPr>
          <w:w w:val="100"/>
          <w:sz w:val="21"/>
        </w:rPr>
        <w:t>n </w:t>
      </w:r>
      <w:r>
        <w:rPr>
          <w:sz w:val="21"/>
        </w:rPr>
        <w:t>boundary of the site. It consists of buried mound structures with some internal texture or structure indicative of collapsed material. Similar types of anomalies have been detected to the south-west area just before the terrain slopes</w:t>
      </w:r>
      <w:r>
        <w:rPr>
          <w:spacing w:val="-29"/>
          <w:sz w:val="21"/>
        </w:rPr>
        <w:t> </w:t>
      </w:r>
      <w:r>
        <w:rPr>
          <w:sz w:val="21"/>
        </w:rPr>
        <w:t>down.‖</w:t>
      </w:r>
    </w:p>
    <w:p>
      <w:pPr>
        <w:pStyle w:val="BodyText"/>
        <w:rPr>
          <w:sz w:val="24"/>
        </w:rPr>
      </w:pPr>
    </w:p>
    <w:p>
      <w:pPr>
        <w:pStyle w:val="BodyText"/>
        <w:spacing w:before="6"/>
        <w:rPr>
          <w:sz w:val="28"/>
        </w:rPr>
      </w:pPr>
    </w:p>
    <w:p>
      <w:pPr>
        <w:pStyle w:val="BodyText"/>
        <w:spacing w:line="480" w:lineRule="auto"/>
        <w:ind w:left="500" w:right="438"/>
        <w:jc w:val="both"/>
      </w:pPr>
      <w:r>
        <w:rPr/>
        <w:t>In conclusion, the GPR survey reflected a variety of anomalies ranging from 0.5 </w:t>
      </w:r>
      <w:r>
        <w:rPr>
          <w:w w:val="99"/>
        </w:rPr>
        <w:t>to</w:t>
      </w:r>
      <w:r>
        <w:rPr/>
        <w:t>  </w:t>
      </w:r>
      <w:r>
        <w:rPr>
          <w:spacing w:val="32"/>
        </w:rPr>
        <w:t> </w:t>
      </w:r>
      <w:r>
        <w:rPr>
          <w:spacing w:val="-1"/>
          <w:w w:val="99"/>
        </w:rPr>
        <w:t>5.</w:t>
      </w:r>
      <w:r>
        <w:rPr>
          <w:w w:val="99"/>
        </w:rPr>
        <w:t>5</w:t>
      </w:r>
      <w:r>
        <w:rPr/>
        <w:t>  </w:t>
      </w:r>
      <w:r>
        <w:rPr>
          <w:spacing w:val="32"/>
        </w:rPr>
        <w:t> </w:t>
      </w:r>
      <w:r>
        <w:rPr>
          <w:w w:val="99"/>
        </w:rPr>
        <w:t>m</w:t>
      </w:r>
      <w:r>
        <w:rPr>
          <w:spacing w:val="-1"/>
          <w:w w:val="99"/>
        </w:rPr>
        <w:t>et</w:t>
      </w:r>
      <w:r>
        <w:rPr>
          <w:w w:val="99"/>
        </w:rPr>
        <w:t>ers</w:t>
      </w:r>
      <w:r>
        <w:rPr/>
        <w:t>  </w:t>
      </w:r>
      <w:r>
        <w:rPr>
          <w:spacing w:val="31"/>
        </w:rPr>
        <w:t> </w:t>
      </w:r>
      <w:r>
        <w:rPr>
          <w:spacing w:val="-1"/>
          <w:w w:val="99"/>
        </w:rPr>
        <w:t>i</w:t>
      </w:r>
      <w:r>
        <w:rPr>
          <w:w w:val="99"/>
        </w:rPr>
        <w:t>n</w:t>
      </w:r>
      <w:r>
        <w:rPr/>
        <w:t>  </w:t>
      </w:r>
      <w:r>
        <w:rPr>
          <w:spacing w:val="31"/>
        </w:rPr>
        <w:t> </w:t>
      </w:r>
      <w:r>
        <w:rPr>
          <w:spacing w:val="-1"/>
          <w:w w:val="99"/>
        </w:rPr>
        <w:t>d</w:t>
      </w:r>
      <w:r>
        <w:rPr>
          <w:w w:val="99"/>
        </w:rPr>
        <w:t>e</w:t>
      </w:r>
      <w:r>
        <w:rPr>
          <w:spacing w:val="-1"/>
          <w:w w:val="99"/>
        </w:rPr>
        <w:t>pt</w:t>
      </w:r>
      <w:r>
        <w:rPr>
          <w:w w:val="99"/>
        </w:rPr>
        <w:t>h</w:t>
      </w:r>
      <w:r>
        <w:rPr/>
        <w:t>  </w:t>
      </w:r>
      <w:r>
        <w:rPr>
          <w:spacing w:val="32"/>
        </w:rPr>
        <w:t> </w:t>
      </w:r>
      <w:r>
        <w:rPr>
          <w:w w:val="33"/>
        </w:rPr>
        <w:t>―</w:t>
      </w:r>
      <w:r>
        <w:rPr>
          <w:w w:val="99"/>
        </w:rPr>
        <w:t>that</w:t>
      </w:r>
      <w:r>
        <w:rPr/>
        <w:t>  </w:t>
      </w:r>
      <w:r>
        <w:rPr>
          <w:spacing w:val="31"/>
        </w:rPr>
        <w:t> </w:t>
      </w:r>
      <w:r>
        <w:rPr>
          <w:w w:val="99"/>
        </w:rPr>
        <w:t>cou</w:t>
      </w:r>
      <w:r>
        <w:rPr>
          <w:spacing w:val="-1"/>
          <w:w w:val="99"/>
        </w:rPr>
        <w:t>l</w:t>
      </w:r>
      <w:r>
        <w:rPr>
          <w:w w:val="99"/>
        </w:rPr>
        <w:t>d</w:t>
      </w:r>
      <w:r>
        <w:rPr/>
        <w:t>  </w:t>
      </w:r>
      <w:r>
        <w:rPr>
          <w:spacing w:val="31"/>
        </w:rPr>
        <w:t> </w:t>
      </w:r>
      <w:r>
        <w:rPr>
          <w:spacing w:val="-1"/>
          <w:w w:val="99"/>
        </w:rPr>
        <w:t>b</w:t>
      </w:r>
      <w:r>
        <w:rPr>
          <w:w w:val="99"/>
        </w:rPr>
        <w:t>e</w:t>
      </w:r>
      <w:r>
        <w:rPr/>
        <w:t>  </w:t>
      </w:r>
      <w:r>
        <w:rPr>
          <w:spacing w:val="31"/>
        </w:rPr>
        <w:t> </w:t>
      </w:r>
      <w:r>
        <w:rPr>
          <w:spacing w:val="-1"/>
          <w:w w:val="99"/>
        </w:rPr>
        <w:t>ass</w:t>
      </w:r>
      <w:r>
        <w:rPr>
          <w:w w:val="99"/>
        </w:rPr>
        <w:t>ociated</w:t>
      </w:r>
      <w:r>
        <w:rPr/>
        <w:t>   </w:t>
      </w:r>
      <w:r>
        <w:rPr>
          <w:spacing w:val="-32"/>
        </w:rPr>
        <w:t> </w:t>
      </w:r>
      <w:r>
        <w:rPr>
          <w:w w:val="99"/>
        </w:rPr>
        <w:t>w</w:t>
      </w:r>
      <w:r>
        <w:rPr>
          <w:spacing w:val="1"/>
          <w:w w:val="99"/>
        </w:rPr>
        <w:t>i</w:t>
      </w:r>
      <w:r>
        <w:rPr>
          <w:w w:val="99"/>
        </w:rPr>
        <w:t>th</w:t>
      </w:r>
      <w:r>
        <w:rPr/>
        <w:t>  </w:t>
      </w:r>
      <w:r>
        <w:rPr>
          <w:spacing w:val="32"/>
        </w:rPr>
        <w:t> </w:t>
      </w:r>
      <w:r>
        <w:rPr>
          <w:w w:val="99"/>
        </w:rPr>
        <w:t>an</w:t>
      </w:r>
      <w:r>
        <w:rPr>
          <w:w w:val="99"/>
        </w:rPr>
        <w:t>cient</w:t>
      </w:r>
      <w:r>
        <w:rPr/>
        <w:t>  </w:t>
      </w:r>
      <w:r>
        <w:rPr>
          <w:spacing w:val="32"/>
        </w:rPr>
        <w:t> </w:t>
      </w:r>
      <w:r>
        <w:rPr>
          <w:w w:val="99"/>
        </w:rPr>
        <w:t>and </w:t>
      </w:r>
      <w:r>
        <w:rPr/>
        <w:t>contemporaneous structures such as pillars, foundations, walls slabs, flooring extending over a large portion of a site‖. However, the survey indicated that the exact nature of these anomalies could be determined on the basis of archaeological trenching. Upon receiving this report, the High Court directed ASI to conduct an excavation at the disputed site to the following</w:t>
      </w:r>
      <w:r>
        <w:rPr>
          <w:spacing w:val="-12"/>
        </w:rPr>
        <w:t> </w:t>
      </w:r>
      <w:r>
        <w:rPr/>
        <w:t>extent:</w:t>
      </w:r>
    </w:p>
    <w:p>
      <w:pPr>
        <w:spacing w:line="276" w:lineRule="auto" w:before="0"/>
        <w:ind w:left="1940" w:right="2261" w:firstLine="0"/>
        <w:jc w:val="both"/>
        <w:rPr>
          <w:sz w:val="21"/>
        </w:rPr>
      </w:pPr>
      <w:r>
        <w:rPr>
          <w:w w:val="33"/>
          <w:sz w:val="21"/>
        </w:rPr>
        <w:t>―</w:t>
      </w:r>
      <w:r>
        <w:rPr>
          <w:w w:val="100"/>
          <w:sz w:val="21"/>
        </w:rPr>
        <w:t>The</w:t>
      </w:r>
      <w:r>
        <w:rPr>
          <w:sz w:val="21"/>
        </w:rPr>
        <w:t> </w:t>
      </w:r>
      <w:r>
        <w:rPr>
          <w:w w:val="100"/>
          <w:sz w:val="21"/>
        </w:rPr>
        <w:t>area</w:t>
      </w:r>
      <w:r>
        <w:rPr>
          <w:sz w:val="21"/>
        </w:rPr>
        <w:t> </w:t>
      </w:r>
      <w:r>
        <w:rPr>
          <w:w w:val="100"/>
          <w:sz w:val="21"/>
        </w:rPr>
        <w:t>shown</w:t>
      </w:r>
      <w:r>
        <w:rPr>
          <w:sz w:val="21"/>
        </w:rPr>
        <w:t> </w:t>
      </w:r>
      <w:r>
        <w:rPr>
          <w:w w:val="100"/>
          <w:sz w:val="21"/>
        </w:rPr>
        <w:t>in</w:t>
      </w:r>
      <w:r>
        <w:rPr>
          <w:sz w:val="21"/>
        </w:rPr>
        <w:t> </w:t>
      </w:r>
      <w:r>
        <w:rPr>
          <w:w w:val="100"/>
          <w:sz w:val="21"/>
        </w:rPr>
        <w:t>the</w:t>
      </w:r>
      <w:r>
        <w:rPr>
          <w:sz w:val="21"/>
        </w:rPr>
        <w:t> </w:t>
      </w:r>
      <w:r>
        <w:rPr>
          <w:w w:val="100"/>
          <w:sz w:val="21"/>
        </w:rPr>
        <w:t>report</w:t>
      </w:r>
      <w:r>
        <w:rPr>
          <w:sz w:val="21"/>
        </w:rPr>
        <w:t> </w:t>
      </w:r>
      <w:r>
        <w:rPr>
          <w:w w:val="100"/>
          <w:sz w:val="21"/>
        </w:rPr>
        <w:t>of</w:t>
      </w:r>
      <w:r>
        <w:rPr>
          <w:sz w:val="21"/>
        </w:rPr>
        <w:t> </w:t>
      </w:r>
      <w:r>
        <w:rPr>
          <w:w w:val="100"/>
          <w:sz w:val="21"/>
        </w:rPr>
        <w:t>the</w:t>
      </w:r>
      <w:r>
        <w:rPr>
          <w:sz w:val="21"/>
        </w:rPr>
        <w:t> </w:t>
      </w:r>
      <w:r>
        <w:rPr>
          <w:w w:val="100"/>
          <w:sz w:val="21"/>
        </w:rPr>
        <w:t>Commissioner</w:t>
      </w:r>
      <w:r>
        <w:rPr>
          <w:sz w:val="21"/>
        </w:rPr>
        <w:t> </w:t>
      </w:r>
      <w:r>
        <w:rPr>
          <w:w w:val="100"/>
          <w:sz w:val="21"/>
        </w:rPr>
        <w:t>submitted </w:t>
      </w:r>
      <w:r>
        <w:rPr>
          <w:sz w:val="21"/>
        </w:rPr>
        <w:t>in Suit No. 2 of 1950 (OOS No. 1 of 1989) covering an area of approximately 100x100 shown in the map plan No. 1 referred to by letters A,B,C,D,E,F and thereafter northern portion up to the end of the raised platform and further to the west, south and east to the said site to the extent of 50 feet.‖</w:t>
      </w:r>
    </w:p>
    <w:p>
      <w:pPr>
        <w:pStyle w:val="BodyText"/>
        <w:rPr>
          <w:sz w:val="24"/>
        </w:rPr>
      </w:pPr>
    </w:p>
    <w:p>
      <w:pPr>
        <w:pStyle w:val="BodyText"/>
        <w:spacing w:before="1"/>
      </w:pPr>
    </w:p>
    <w:p>
      <w:pPr>
        <w:pStyle w:val="ListParagraph"/>
        <w:numPr>
          <w:ilvl w:val="0"/>
          <w:numId w:val="111"/>
        </w:numPr>
        <w:tabs>
          <w:tab w:pos="1221" w:val="left" w:leader="none"/>
        </w:tabs>
        <w:spacing w:line="480" w:lineRule="auto" w:before="1" w:after="0"/>
        <w:ind w:left="500" w:right="437" w:firstLine="0"/>
        <w:jc w:val="both"/>
        <w:rPr>
          <w:sz w:val="25"/>
        </w:rPr>
      </w:pPr>
      <w:r>
        <w:rPr>
          <w:sz w:val="25"/>
        </w:rPr>
        <w:t>The archaeologists were directed not to disturb the area where the idol of Lord Ram was installed and an area around the idol to the extent of 10 feet. ASI was asked not to prevent worship at the site. Following this order, the High Court issued further directions on 26 March 2003 for recording the nature of the excavations found at the site and the sealing of the artefacts found in the presence of the parties and their counsel. The ASI team was directed to maintain a</w:t>
      </w:r>
      <w:r>
        <w:rPr>
          <w:spacing w:val="20"/>
          <w:sz w:val="25"/>
        </w:rPr>
        <w:t> </w:t>
      </w:r>
      <w:r>
        <w:rPr>
          <w:sz w:val="25"/>
        </w:rPr>
        <w:t>record</w:t>
      </w:r>
      <w:r>
        <w:rPr>
          <w:spacing w:val="20"/>
          <w:sz w:val="25"/>
        </w:rPr>
        <w:t> </w:t>
      </w:r>
      <w:r>
        <w:rPr>
          <w:sz w:val="25"/>
        </w:rPr>
        <w:t>of</w:t>
      </w:r>
      <w:r>
        <w:rPr>
          <w:spacing w:val="21"/>
          <w:sz w:val="25"/>
        </w:rPr>
        <w:t> </w:t>
      </w:r>
      <w:r>
        <w:rPr>
          <w:sz w:val="25"/>
        </w:rPr>
        <w:t>the</w:t>
      </w:r>
      <w:r>
        <w:rPr>
          <w:spacing w:val="22"/>
          <w:sz w:val="25"/>
        </w:rPr>
        <w:t> </w:t>
      </w:r>
      <w:r>
        <w:rPr>
          <w:sz w:val="25"/>
        </w:rPr>
        <w:t>depth</w:t>
      </w:r>
      <w:r>
        <w:rPr>
          <w:spacing w:val="19"/>
          <w:sz w:val="25"/>
        </w:rPr>
        <w:t> </w:t>
      </w:r>
      <w:r>
        <w:rPr>
          <w:sz w:val="25"/>
        </w:rPr>
        <w:t>of</w:t>
      </w:r>
      <w:r>
        <w:rPr>
          <w:spacing w:val="21"/>
          <w:sz w:val="25"/>
        </w:rPr>
        <w:t> </w:t>
      </w:r>
      <w:r>
        <w:rPr>
          <w:sz w:val="25"/>
        </w:rPr>
        <w:t>the</w:t>
      </w:r>
      <w:r>
        <w:rPr>
          <w:spacing w:val="21"/>
          <w:sz w:val="25"/>
        </w:rPr>
        <w:t> </w:t>
      </w:r>
      <w:r>
        <w:rPr>
          <w:sz w:val="25"/>
        </w:rPr>
        <w:t>trenches</w:t>
      </w:r>
      <w:r>
        <w:rPr>
          <w:spacing w:val="21"/>
          <w:sz w:val="25"/>
        </w:rPr>
        <w:t> </w:t>
      </w:r>
      <w:r>
        <w:rPr>
          <w:sz w:val="25"/>
        </w:rPr>
        <w:t>where</w:t>
      </w:r>
      <w:r>
        <w:rPr>
          <w:spacing w:val="20"/>
          <w:sz w:val="25"/>
        </w:rPr>
        <w:t> </w:t>
      </w:r>
      <w:r>
        <w:rPr>
          <w:sz w:val="25"/>
        </w:rPr>
        <w:t>the</w:t>
      </w:r>
      <w:r>
        <w:rPr>
          <w:spacing w:val="21"/>
          <w:sz w:val="25"/>
        </w:rPr>
        <w:t> </w:t>
      </w:r>
      <w:r>
        <w:rPr>
          <w:sz w:val="25"/>
        </w:rPr>
        <w:t>artefacts</w:t>
      </w:r>
      <w:r>
        <w:rPr>
          <w:spacing w:val="21"/>
          <w:sz w:val="25"/>
        </w:rPr>
        <w:t> </w:t>
      </w:r>
      <w:r>
        <w:rPr>
          <w:sz w:val="25"/>
        </w:rPr>
        <w:t>were</w:t>
      </w:r>
      <w:r>
        <w:rPr>
          <w:spacing w:val="21"/>
          <w:sz w:val="25"/>
        </w:rPr>
        <w:t> </w:t>
      </w:r>
      <w:r>
        <w:rPr>
          <w:sz w:val="25"/>
        </w:rPr>
        <w:t>found</w:t>
      </w:r>
      <w:r>
        <w:rPr>
          <w:spacing w:val="20"/>
          <w:sz w:val="25"/>
        </w:rPr>
        <w:t> </w:t>
      </w:r>
      <w:r>
        <w:rPr>
          <w:sz w:val="25"/>
        </w:rPr>
        <w:t>as</w:t>
      </w:r>
      <w:r>
        <w:rPr>
          <w:spacing w:val="20"/>
          <w:sz w:val="25"/>
        </w:rPr>
        <w:t> </w:t>
      </w:r>
      <w:r>
        <w:rPr>
          <w:sz w:val="25"/>
        </w:rPr>
        <w:t>well</w:t>
      </w:r>
      <w:r>
        <w:rPr>
          <w:spacing w:val="20"/>
          <w:sz w:val="25"/>
        </w:rPr>
        <w:t> </w:t>
      </w:r>
      <w:r>
        <w:rPr>
          <w:sz w:val="25"/>
        </w:rPr>
        <w:t>as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the layer of the strata. Photographs of the findings were permitted to be taken. In order to bring objectivity to the process and sub-serve the confidence of the parties, the High Court ensured that adequate representation to both the </w:t>
      </w:r>
      <w:r>
        <w:rPr>
          <w:w w:val="99"/>
        </w:rPr>
        <w:t>communities</w:t>
      </w:r>
      <w:r>
        <w:rPr/>
        <w:t> </w:t>
      </w:r>
      <w:r>
        <w:rPr>
          <w:w w:val="99"/>
        </w:rPr>
        <w:t>be</w:t>
      </w:r>
      <w:r>
        <w:rPr/>
        <w:t> </w:t>
      </w:r>
      <w:r>
        <w:rPr>
          <w:w w:val="99"/>
        </w:rPr>
        <w:t>maintained</w:t>
      </w:r>
      <w:r>
        <w:rPr/>
        <w:t> </w:t>
      </w:r>
      <w:r>
        <w:rPr>
          <w:w w:val="33"/>
        </w:rPr>
        <w:t>―</w:t>
      </w:r>
      <w:r>
        <w:rPr>
          <w:w w:val="99"/>
        </w:rPr>
        <w:t>in</w:t>
      </w:r>
      <w:r>
        <w:rPr/>
        <w:t> </w:t>
      </w:r>
      <w:r>
        <w:rPr>
          <w:w w:val="99"/>
        </w:rPr>
        <w:t>respect</w:t>
      </w:r>
      <w:r>
        <w:rPr/>
        <w:t> </w:t>
      </w:r>
      <w:r>
        <w:rPr>
          <w:w w:val="99"/>
        </w:rPr>
        <w:t>of</w:t>
      </w:r>
      <w:r>
        <w:rPr/>
        <w:t> </w:t>
      </w:r>
      <w:r>
        <w:rPr>
          <w:w w:val="99"/>
        </w:rPr>
        <w:t>the</w:t>
      </w:r>
      <w:r>
        <w:rPr/>
        <w:t> </w:t>
      </w:r>
      <w:r>
        <w:rPr>
          <w:w w:val="99"/>
        </w:rPr>
        <w:t>functioning</w:t>
      </w:r>
      <w:r>
        <w:rPr/>
        <w:t> </w:t>
      </w:r>
      <w:r>
        <w:rPr>
          <w:w w:val="99"/>
        </w:rPr>
        <w:t>of</w:t>
      </w:r>
      <w:r>
        <w:rPr/>
        <w:t> </w:t>
      </w:r>
      <w:r>
        <w:rPr>
          <w:w w:val="99"/>
        </w:rPr>
        <w:t>the</w:t>
      </w:r>
      <w:r>
        <w:rPr/>
        <w:t> </w:t>
      </w:r>
      <w:r>
        <w:rPr>
          <w:w w:val="99"/>
        </w:rPr>
        <w:t>ASI</w:t>
      </w:r>
      <w:r>
        <w:rPr/>
        <w:t> </w:t>
      </w:r>
      <w:r>
        <w:rPr>
          <w:w w:val="99"/>
        </w:rPr>
        <w:t>team</w:t>
      </w:r>
      <w:r>
        <w:rPr/>
        <w:t> </w:t>
      </w:r>
      <w:r>
        <w:rPr>
          <w:w w:val="99"/>
        </w:rPr>
        <w:t>and</w:t>
      </w:r>
      <w:r>
        <w:rPr/>
        <w:t> </w:t>
      </w:r>
      <w:r>
        <w:rPr>
          <w:w w:val="99"/>
        </w:rPr>
        <w:t>the </w:t>
      </w:r>
      <w:r>
        <w:rPr/>
        <w:t>engagement of the labourers‖. During the course of the process, the High Court considered various objections filed by parties with respect to the excavation. The ASI submitted its final report on 22 August 2003 to which objections were addressed by the </w:t>
      </w:r>
      <w:r>
        <w:rPr>
          <w:color w:val="000009"/>
        </w:rPr>
        <w:t>Sunni Central Waqf Board </w:t>
      </w:r>
      <w:r>
        <w:rPr/>
        <w:t>and other parties. These objections were dealt with by the High Court.</w:t>
      </w:r>
    </w:p>
    <w:p>
      <w:pPr>
        <w:pStyle w:val="BodyText"/>
        <w:rPr>
          <w:sz w:val="28"/>
        </w:rPr>
      </w:pPr>
    </w:p>
    <w:p>
      <w:pPr>
        <w:pStyle w:val="BodyText"/>
        <w:spacing w:before="9"/>
        <w:rPr>
          <w:sz w:val="24"/>
        </w:rPr>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A wealth of arguments have been urged on the archaeological evidence in the present dispute. The arguments touch upon diverse issues such as the findings in the report, the inferences which have been drawn from them, archaeology as an inferential science as well as the value of archaeological evidence in disputes such as the present. This Court must address, </w:t>
      </w:r>
      <w:r>
        <w:rPr>
          <w:i/>
          <w:sz w:val="25"/>
        </w:rPr>
        <w:t>inter alia</w:t>
      </w:r>
      <w:r>
        <w:rPr>
          <w:sz w:val="25"/>
        </w:rPr>
        <w:t>: (i) the findings of the report and the methodology adopted; (ii) the objections raised against the findings of the report; (iii) the scope of the enquiry at the present stage, including the degree of judicial deference to expert evidence; (iv) The challenge to archaeological evidence as purely inferential and subjective in nature; (v) the standard of proof and (vi) the remit of the report and questions left unanswered. Finally, an enquiry relevant to the present controversy is the probative value of archaeological evidence in the determination of title which shall be adverted to in the course of the</w:t>
      </w:r>
      <w:r>
        <w:rPr>
          <w:spacing w:val="-6"/>
          <w:sz w:val="25"/>
        </w:rPr>
        <w:t> </w:t>
      </w:r>
      <w:r>
        <w:rPr>
          <w:sz w:val="25"/>
        </w:rPr>
        <w:t>judgment.</w:t>
      </w:r>
    </w:p>
    <w:p>
      <w:pPr>
        <w:spacing w:after="0" w:line="480" w:lineRule="auto"/>
        <w:jc w:val="both"/>
        <w:rPr>
          <w:sz w:val="25"/>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40" w:firstLine="0"/>
        <w:jc w:val="both"/>
        <w:rPr>
          <w:sz w:val="25"/>
        </w:rPr>
      </w:pPr>
      <w:r>
        <w:rPr>
          <w:sz w:val="25"/>
        </w:rPr>
        <w:t>The ASI report has indicated its objectives and methodology at the commencement of the report. The manner in which trenches were planned for excavation is indicated</w:t>
      </w:r>
      <w:r>
        <w:rPr>
          <w:spacing w:val="-4"/>
          <w:sz w:val="25"/>
        </w:rPr>
        <w:t> </w:t>
      </w:r>
      <w:r>
        <w:rPr>
          <w:sz w:val="25"/>
        </w:rPr>
        <w:t>thus:</w:t>
      </w:r>
    </w:p>
    <w:p>
      <w:pPr>
        <w:spacing w:line="276" w:lineRule="auto" w:before="158"/>
        <w:ind w:left="1940" w:right="2263" w:firstLine="0"/>
        <w:jc w:val="both"/>
        <w:rPr>
          <w:sz w:val="21"/>
        </w:rPr>
      </w:pPr>
      <w:r>
        <w:rPr>
          <w:w w:val="33"/>
          <w:sz w:val="21"/>
        </w:rPr>
        <w:t>―</w:t>
      </w:r>
      <w:r>
        <w:rPr>
          <w:w w:val="100"/>
          <w:sz w:val="21"/>
        </w:rPr>
        <w:t>In</w:t>
      </w:r>
      <w:r>
        <w:rPr>
          <w:sz w:val="21"/>
        </w:rPr>
        <w:t> </w:t>
      </w:r>
      <w:r>
        <w:rPr>
          <w:w w:val="100"/>
          <w:sz w:val="21"/>
        </w:rPr>
        <w:t>planning</w:t>
      </w:r>
      <w:r>
        <w:rPr>
          <w:sz w:val="21"/>
        </w:rPr>
        <w:t> </w:t>
      </w:r>
      <w:r>
        <w:rPr>
          <w:w w:val="100"/>
          <w:sz w:val="21"/>
        </w:rPr>
        <w:t>the</w:t>
      </w:r>
      <w:r>
        <w:rPr>
          <w:sz w:val="21"/>
        </w:rPr>
        <w:t> </w:t>
      </w:r>
      <w:r>
        <w:rPr>
          <w:w w:val="100"/>
          <w:sz w:val="21"/>
        </w:rPr>
        <w:t>excavation,</w:t>
      </w:r>
      <w:r>
        <w:rPr>
          <w:sz w:val="21"/>
        </w:rPr>
        <w:t> </w:t>
      </w:r>
      <w:r>
        <w:rPr>
          <w:w w:val="100"/>
          <w:sz w:val="21"/>
        </w:rPr>
        <w:t>it</w:t>
      </w:r>
      <w:r>
        <w:rPr>
          <w:sz w:val="21"/>
        </w:rPr>
        <w:t> </w:t>
      </w:r>
      <w:r>
        <w:rPr>
          <w:w w:val="100"/>
          <w:sz w:val="21"/>
        </w:rPr>
        <w:t>was</w:t>
      </w:r>
      <w:r>
        <w:rPr>
          <w:sz w:val="21"/>
        </w:rPr>
        <w:t> </w:t>
      </w:r>
      <w:r>
        <w:rPr>
          <w:w w:val="100"/>
          <w:sz w:val="21"/>
        </w:rPr>
        <w:t>decided</w:t>
      </w:r>
      <w:r>
        <w:rPr>
          <w:sz w:val="21"/>
        </w:rPr>
        <w:t> </w:t>
      </w:r>
      <w:r>
        <w:rPr>
          <w:w w:val="100"/>
          <w:sz w:val="21"/>
        </w:rPr>
        <w:t>to</w:t>
      </w:r>
      <w:r>
        <w:rPr>
          <w:sz w:val="21"/>
        </w:rPr>
        <w:t> </w:t>
      </w:r>
      <w:r>
        <w:rPr>
          <w:w w:val="100"/>
          <w:sz w:val="21"/>
        </w:rPr>
        <w:t>adopt</w:t>
      </w:r>
      <w:r>
        <w:rPr>
          <w:sz w:val="21"/>
        </w:rPr>
        <w:t> </w:t>
      </w:r>
      <w:r>
        <w:rPr>
          <w:w w:val="100"/>
          <w:sz w:val="21"/>
        </w:rPr>
        <w:t>the</w:t>
      </w:r>
      <w:r>
        <w:rPr>
          <w:sz w:val="21"/>
        </w:rPr>
        <w:t> </w:t>
      </w:r>
      <w:r>
        <w:rPr>
          <w:w w:val="100"/>
          <w:sz w:val="21"/>
        </w:rPr>
        <w:t>latest </w:t>
      </w:r>
      <w:r>
        <w:rPr>
          <w:sz w:val="21"/>
        </w:rPr>
        <w:t>technique of layout of trenches where limited spaces are available and therefore in place of general practice of lay out of 10x10 m. squares divided into four quadrants of 4.25x4.25</w:t>
      </w:r>
    </w:p>
    <w:p>
      <w:pPr>
        <w:spacing w:line="276" w:lineRule="auto" w:before="0"/>
        <w:ind w:left="1940" w:right="2260" w:firstLine="0"/>
        <w:jc w:val="both"/>
        <w:rPr>
          <w:sz w:val="21"/>
        </w:rPr>
      </w:pPr>
      <w:r>
        <w:rPr>
          <w:sz w:val="21"/>
        </w:rPr>
        <w:t>m. separated by 0.50 m. baulk all-round, the change in the practice was made by fixing pegs at a distance of every 5 m in both north-south and east-west directions with cutting area of 4x4 m in leaving 0.5 m baulk all around which in  contiguous trenches effectively left a space of 1.0 m in between two cuttings for the easy movement of archaeologists and labourers. One meter wide baulk was specially provided, considering the fact that due to modern fillings and debris the trench may not collapse due to earth pressure in a most sensitive</w:t>
      </w:r>
      <w:r>
        <w:rPr>
          <w:spacing w:val="-12"/>
          <w:sz w:val="21"/>
        </w:rPr>
        <w:t> </w:t>
      </w:r>
      <w:r>
        <w:rPr>
          <w:sz w:val="21"/>
        </w:rPr>
        <w:t>area.‖</w:t>
      </w:r>
    </w:p>
    <w:p>
      <w:pPr>
        <w:pStyle w:val="BodyText"/>
        <w:rPr>
          <w:sz w:val="24"/>
        </w:rPr>
      </w:pPr>
    </w:p>
    <w:p>
      <w:pPr>
        <w:pStyle w:val="BodyText"/>
        <w:spacing w:before="4"/>
      </w:pPr>
    </w:p>
    <w:p>
      <w:pPr>
        <w:pStyle w:val="BodyText"/>
        <w:spacing w:line="480" w:lineRule="auto"/>
        <w:ind w:left="500" w:right="450"/>
        <w:jc w:val="both"/>
      </w:pPr>
      <w:r>
        <w:rPr/>
        <w:t>The team laid trenches throughout the disputed area except for the place where the deity has been installed and collected samples for scientific study:</w:t>
      </w:r>
    </w:p>
    <w:p>
      <w:pPr>
        <w:spacing w:line="276" w:lineRule="auto" w:before="0"/>
        <w:ind w:left="1940" w:right="2262" w:firstLine="0"/>
        <w:jc w:val="both"/>
        <w:rPr>
          <w:sz w:val="21"/>
        </w:rPr>
      </w:pPr>
      <w:r>
        <w:rPr>
          <w:spacing w:val="-1"/>
          <w:w w:val="33"/>
          <w:sz w:val="21"/>
        </w:rPr>
        <w:t>―</w:t>
      </w:r>
      <w:r>
        <w:rPr>
          <w:w w:val="100"/>
          <w:sz w:val="21"/>
        </w:rPr>
        <w:t>S</w:t>
      </w:r>
      <w:r>
        <w:rPr>
          <w:spacing w:val="-3"/>
          <w:w w:val="100"/>
          <w:sz w:val="21"/>
        </w:rPr>
        <w:t>a</w:t>
      </w:r>
      <w:r>
        <w:rPr>
          <w:spacing w:val="1"/>
          <w:w w:val="100"/>
          <w:sz w:val="21"/>
        </w:rPr>
        <w:t>m</w:t>
      </w:r>
      <w:r>
        <w:rPr>
          <w:spacing w:val="-3"/>
          <w:w w:val="100"/>
          <w:sz w:val="21"/>
        </w:rPr>
        <w:t>p</w:t>
      </w:r>
      <w:r>
        <w:rPr>
          <w:w w:val="100"/>
          <w:sz w:val="21"/>
        </w:rPr>
        <w:t>l</w:t>
      </w:r>
      <w:r>
        <w:rPr>
          <w:spacing w:val="-1"/>
          <w:w w:val="100"/>
          <w:sz w:val="21"/>
        </w:rPr>
        <w:t>e</w:t>
      </w:r>
      <w:r>
        <w:rPr>
          <w:w w:val="100"/>
          <w:sz w:val="21"/>
        </w:rPr>
        <w:t>s</w:t>
      </w:r>
      <w:r>
        <w:rPr>
          <w:spacing w:val="8"/>
          <w:sz w:val="21"/>
        </w:rPr>
        <w:t> </w:t>
      </w:r>
      <w:r>
        <w:rPr>
          <w:spacing w:val="-3"/>
          <w:w w:val="100"/>
          <w:sz w:val="21"/>
        </w:rPr>
        <w:t>o</w:t>
      </w:r>
      <w:r>
        <w:rPr>
          <w:w w:val="100"/>
          <w:sz w:val="21"/>
        </w:rPr>
        <w:t>f</w:t>
      </w:r>
      <w:r>
        <w:rPr>
          <w:spacing w:val="12"/>
          <w:sz w:val="21"/>
        </w:rPr>
        <w:t> </w:t>
      </w:r>
      <w:r>
        <w:rPr>
          <w:spacing w:val="-3"/>
          <w:w w:val="100"/>
          <w:sz w:val="21"/>
        </w:rPr>
        <w:t>p</w:t>
      </w:r>
      <w:r>
        <w:rPr>
          <w:w w:val="100"/>
          <w:sz w:val="21"/>
        </w:rPr>
        <w:t>l</w:t>
      </w:r>
      <w:r>
        <w:rPr>
          <w:spacing w:val="-1"/>
          <w:w w:val="100"/>
          <w:sz w:val="21"/>
        </w:rPr>
        <w:t>aster</w:t>
      </w:r>
      <w:r>
        <w:rPr>
          <w:w w:val="100"/>
          <w:sz w:val="21"/>
        </w:rPr>
        <w:t>,</w:t>
      </w:r>
      <w:r>
        <w:rPr>
          <w:spacing w:val="6"/>
          <w:sz w:val="21"/>
        </w:rPr>
        <w:t> </w:t>
      </w:r>
      <w:r>
        <w:rPr>
          <w:spacing w:val="-2"/>
          <w:w w:val="100"/>
          <w:sz w:val="21"/>
        </w:rPr>
        <w:t>f</w:t>
      </w:r>
      <w:r>
        <w:rPr>
          <w:w w:val="100"/>
          <w:sz w:val="21"/>
        </w:rPr>
        <w:t>l</w:t>
      </w:r>
      <w:r>
        <w:rPr>
          <w:spacing w:val="-1"/>
          <w:w w:val="100"/>
          <w:sz w:val="21"/>
        </w:rPr>
        <w:t>oo</w:t>
      </w:r>
      <w:r>
        <w:rPr>
          <w:spacing w:val="-3"/>
          <w:w w:val="100"/>
          <w:sz w:val="21"/>
        </w:rPr>
        <w:t>r</w:t>
      </w:r>
      <w:r>
        <w:rPr>
          <w:w w:val="100"/>
          <w:sz w:val="21"/>
        </w:rPr>
        <w:t>s,</w:t>
      </w:r>
      <w:r>
        <w:rPr>
          <w:spacing w:val="10"/>
          <w:sz w:val="21"/>
        </w:rPr>
        <w:t> </w:t>
      </w:r>
      <w:r>
        <w:rPr>
          <w:spacing w:val="-1"/>
          <w:w w:val="100"/>
          <w:sz w:val="21"/>
        </w:rPr>
        <w:t>bo</w:t>
      </w:r>
      <w:r>
        <w:rPr>
          <w:spacing w:val="-2"/>
          <w:w w:val="100"/>
          <w:sz w:val="21"/>
        </w:rPr>
        <w:t>n</w:t>
      </w:r>
      <w:r>
        <w:rPr>
          <w:spacing w:val="-1"/>
          <w:w w:val="100"/>
          <w:sz w:val="21"/>
        </w:rPr>
        <w:t>es</w:t>
      </w:r>
      <w:r>
        <w:rPr>
          <w:w w:val="100"/>
          <w:sz w:val="21"/>
        </w:rPr>
        <w:t>,</w:t>
      </w:r>
      <w:r>
        <w:rPr>
          <w:spacing w:val="10"/>
          <w:sz w:val="21"/>
        </w:rPr>
        <w:t> </w:t>
      </w:r>
      <w:r>
        <w:rPr>
          <w:w w:val="100"/>
          <w:sz w:val="21"/>
        </w:rPr>
        <w:t>c</w:t>
      </w:r>
      <w:r>
        <w:rPr>
          <w:spacing w:val="-3"/>
          <w:w w:val="100"/>
          <w:sz w:val="21"/>
        </w:rPr>
        <w:t>h</w:t>
      </w:r>
      <w:r>
        <w:rPr>
          <w:spacing w:val="-1"/>
          <w:w w:val="100"/>
          <w:sz w:val="21"/>
        </w:rPr>
        <w:t>arco</w:t>
      </w:r>
      <w:r>
        <w:rPr>
          <w:spacing w:val="-3"/>
          <w:w w:val="100"/>
          <w:sz w:val="21"/>
        </w:rPr>
        <w:t>a</w:t>
      </w:r>
      <w:r>
        <w:rPr>
          <w:w w:val="100"/>
          <w:sz w:val="21"/>
        </w:rPr>
        <w:t>l,</w:t>
      </w:r>
      <w:r>
        <w:rPr>
          <w:spacing w:val="10"/>
          <w:sz w:val="21"/>
        </w:rPr>
        <w:t> </w:t>
      </w:r>
      <w:r>
        <w:rPr>
          <w:spacing w:val="-3"/>
          <w:w w:val="100"/>
          <w:sz w:val="21"/>
        </w:rPr>
        <w:t>p</w:t>
      </w:r>
      <w:r>
        <w:rPr>
          <w:spacing w:val="-1"/>
          <w:w w:val="100"/>
          <w:sz w:val="21"/>
        </w:rPr>
        <w:t>a</w:t>
      </w:r>
      <w:r>
        <w:rPr>
          <w:spacing w:val="-2"/>
          <w:w w:val="100"/>
          <w:sz w:val="21"/>
        </w:rPr>
        <w:t>l</w:t>
      </w:r>
      <w:r>
        <w:rPr>
          <w:spacing w:val="-1"/>
          <w:w w:val="100"/>
          <w:sz w:val="21"/>
        </w:rPr>
        <w:t>a</w:t>
      </w:r>
      <w:r>
        <w:rPr>
          <w:spacing w:val="-3"/>
          <w:w w:val="100"/>
          <w:sz w:val="21"/>
        </w:rPr>
        <w:t>e</w:t>
      </w:r>
      <w:r>
        <w:rPr>
          <w:spacing w:val="4"/>
          <w:w w:val="100"/>
          <w:sz w:val="21"/>
        </w:rPr>
        <w:t>o</w:t>
      </w:r>
      <w:r>
        <w:rPr>
          <w:spacing w:val="-1"/>
          <w:w w:val="100"/>
          <w:sz w:val="21"/>
        </w:rPr>
        <w:t>-</w:t>
      </w:r>
      <w:r>
        <w:rPr>
          <w:w w:val="100"/>
          <w:sz w:val="21"/>
        </w:rPr>
        <w:t>bo</w:t>
      </w:r>
      <w:r>
        <w:rPr>
          <w:spacing w:val="-1"/>
          <w:w w:val="100"/>
          <w:sz w:val="21"/>
        </w:rPr>
        <w:t>t</w:t>
      </w:r>
      <w:r>
        <w:rPr>
          <w:w w:val="100"/>
          <w:sz w:val="21"/>
        </w:rPr>
        <w:t>a</w:t>
      </w:r>
      <w:r>
        <w:rPr>
          <w:spacing w:val="-3"/>
          <w:w w:val="100"/>
          <w:sz w:val="21"/>
        </w:rPr>
        <w:t>n</w:t>
      </w:r>
      <w:r>
        <w:rPr>
          <w:w w:val="100"/>
          <w:sz w:val="21"/>
        </w:rPr>
        <w:t>i</w:t>
      </w:r>
      <w:r>
        <w:rPr>
          <w:w w:val="100"/>
          <w:sz w:val="21"/>
        </w:rPr>
        <w:t>c</w:t>
      </w:r>
      <w:r>
        <w:rPr>
          <w:spacing w:val="-3"/>
          <w:w w:val="100"/>
          <w:sz w:val="21"/>
        </w:rPr>
        <w:t>a</w:t>
      </w:r>
      <w:r>
        <w:rPr>
          <w:w w:val="100"/>
          <w:sz w:val="21"/>
        </w:rPr>
        <w:t>l </w:t>
      </w:r>
      <w:r>
        <w:rPr>
          <w:sz w:val="21"/>
        </w:rPr>
        <w:t>remains were also collected for scientific studies  and analysis. Trenches were also laid in the entire disputed area on all sides excepting the area of the makeshift structure where Ram Lala is enshrined along with its periphery at a distance of 10 feet from Ram Lala as specified by the High Court. The excavation work was planned in phased manner in particular areas as per significant signals for anomalies pointed out by the GPR</w:t>
      </w:r>
      <w:r>
        <w:rPr>
          <w:spacing w:val="-14"/>
          <w:sz w:val="21"/>
        </w:rPr>
        <w:t> </w:t>
      </w:r>
      <w:r>
        <w:rPr>
          <w:sz w:val="21"/>
        </w:rPr>
        <w:t>Survey.‖</w:t>
      </w:r>
    </w:p>
    <w:p>
      <w:pPr>
        <w:pStyle w:val="BodyText"/>
        <w:rPr>
          <w:sz w:val="24"/>
        </w:rPr>
      </w:pPr>
    </w:p>
    <w:p>
      <w:pPr>
        <w:pStyle w:val="BodyText"/>
        <w:spacing w:before="1"/>
        <w:rPr>
          <w:sz w:val="26"/>
        </w:rPr>
      </w:pPr>
    </w:p>
    <w:p>
      <w:pPr>
        <w:pStyle w:val="BodyText"/>
        <w:spacing w:line="480" w:lineRule="auto"/>
        <w:ind w:left="500" w:right="437"/>
        <w:jc w:val="both"/>
      </w:pPr>
      <w:r>
        <w:rPr/>
        <w:t>The work of excavation and its findings were documented by still and video footage. ASI has excavated ninety trenches in a period of five months and submitted its report of excavation within fifteen days of the completion of excavation. The ASI team has carried out its task in the presence of parties and their counsel. Excavated material including antiquities, objects of interest, glazed pottery, tiles and bones recovered from the trenches were sealed in the presence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9"/>
        <w:jc w:val="both"/>
      </w:pPr>
      <w:r>
        <w:rPr/>
        <w:t>of parties and their advocates and lodged in a strong room provided by the Commissioner of Faizabad Division.</w:t>
      </w:r>
    </w:p>
    <w:p>
      <w:pPr>
        <w:pStyle w:val="BodyText"/>
        <w:spacing w:before="2"/>
      </w:pPr>
    </w:p>
    <w:p>
      <w:pPr>
        <w:pStyle w:val="Heading4"/>
        <w:rPr>
          <w:i/>
        </w:rPr>
      </w:pPr>
      <w:r>
        <w:rPr>
          <w:i/>
        </w:rPr>
        <w:t>The Eastern Area</w:t>
      </w:r>
    </w:p>
    <w:p>
      <w:pPr>
        <w:pStyle w:val="BodyText"/>
        <w:rPr>
          <w:i/>
          <w:sz w:val="28"/>
        </w:rPr>
      </w:pPr>
    </w:p>
    <w:p>
      <w:pPr>
        <w:pStyle w:val="BodyText"/>
        <w:spacing w:before="9"/>
        <w:rPr>
          <w:i/>
          <w:sz w:val="36"/>
        </w:rPr>
      </w:pPr>
    </w:p>
    <w:p>
      <w:pPr>
        <w:pStyle w:val="ListParagraph"/>
        <w:numPr>
          <w:ilvl w:val="0"/>
          <w:numId w:val="111"/>
        </w:numPr>
        <w:tabs>
          <w:tab w:pos="1221" w:val="left" w:leader="none"/>
        </w:tabs>
        <w:spacing w:line="480" w:lineRule="auto" w:before="0" w:after="0"/>
        <w:ind w:left="500" w:right="442" w:firstLine="0"/>
        <w:jc w:val="both"/>
        <w:rPr>
          <w:sz w:val="25"/>
        </w:rPr>
      </w:pPr>
      <w:r>
        <w:rPr>
          <w:sz w:val="25"/>
        </w:rPr>
        <w:t>The ASI team initially took up excavation in the eastern area where the enclosure wall along with remnants of a gateway were noticed, below which lie floors and walls of earlier phases. The central part of the platform, known as the Ramchabutra was noticed in this area constructed in five stages. The main features which have been exposed are elucidated</w:t>
      </w:r>
      <w:r>
        <w:rPr>
          <w:spacing w:val="-8"/>
          <w:sz w:val="25"/>
        </w:rPr>
        <w:t> </w:t>
      </w:r>
      <w:r>
        <w:rPr>
          <w:sz w:val="25"/>
        </w:rPr>
        <w:t>below:</w:t>
      </w:r>
    </w:p>
    <w:p>
      <w:pPr>
        <w:spacing w:line="276" w:lineRule="auto" w:before="159"/>
        <w:ind w:left="1940" w:right="2263" w:firstLine="0"/>
        <w:jc w:val="both"/>
        <w:rPr>
          <w:sz w:val="21"/>
        </w:rPr>
      </w:pPr>
      <w:r>
        <w:rPr>
          <w:w w:val="33"/>
          <w:sz w:val="21"/>
        </w:rPr>
        <w:t>―</w:t>
      </w:r>
      <w:r>
        <w:rPr>
          <w:w w:val="100"/>
          <w:sz w:val="21"/>
        </w:rPr>
        <w:t>The</w:t>
      </w:r>
      <w:r>
        <w:rPr>
          <w:sz w:val="21"/>
        </w:rPr>
        <w:t>  </w:t>
      </w:r>
      <w:r>
        <w:rPr>
          <w:w w:val="100"/>
          <w:sz w:val="21"/>
        </w:rPr>
        <w:t>m</w:t>
      </w:r>
      <w:r>
        <w:rPr>
          <w:w w:val="100"/>
          <w:sz w:val="21"/>
        </w:rPr>
        <w:t>ai</w:t>
      </w:r>
      <w:r>
        <w:rPr>
          <w:w w:val="100"/>
          <w:sz w:val="21"/>
        </w:rPr>
        <w:t>n</w:t>
      </w:r>
      <w:r>
        <w:rPr>
          <w:sz w:val="21"/>
        </w:rPr>
        <w:t>  </w:t>
      </w:r>
      <w:r>
        <w:rPr>
          <w:w w:val="100"/>
          <w:sz w:val="21"/>
        </w:rPr>
        <w:t>f</w:t>
      </w:r>
      <w:r>
        <w:rPr>
          <w:w w:val="100"/>
          <w:sz w:val="21"/>
        </w:rPr>
        <w:t>eatures</w:t>
      </w:r>
      <w:r>
        <w:rPr>
          <w:sz w:val="21"/>
        </w:rPr>
        <w:t>  </w:t>
      </w:r>
      <w:r>
        <w:rPr>
          <w:w w:val="100"/>
          <w:sz w:val="21"/>
        </w:rPr>
        <w:t>e</w:t>
      </w:r>
      <w:r>
        <w:rPr>
          <w:w w:val="100"/>
          <w:sz w:val="21"/>
        </w:rPr>
        <w:t>xposed</w:t>
      </w:r>
      <w:r>
        <w:rPr>
          <w:sz w:val="21"/>
        </w:rPr>
        <w:t>  </w:t>
      </w:r>
      <w:r>
        <w:rPr>
          <w:w w:val="100"/>
          <w:sz w:val="21"/>
        </w:rPr>
        <w:t>i</w:t>
      </w:r>
      <w:r>
        <w:rPr>
          <w:w w:val="100"/>
          <w:sz w:val="21"/>
        </w:rPr>
        <w:t>n</w:t>
      </w:r>
      <w:r>
        <w:rPr>
          <w:sz w:val="21"/>
        </w:rPr>
        <w:t>  </w:t>
      </w:r>
      <w:r>
        <w:rPr>
          <w:w w:val="100"/>
          <w:sz w:val="21"/>
        </w:rPr>
        <w:t>t</w:t>
      </w:r>
      <w:r>
        <w:rPr>
          <w:w w:val="100"/>
          <w:sz w:val="21"/>
        </w:rPr>
        <w:t>hi</w:t>
      </w:r>
      <w:r>
        <w:rPr>
          <w:w w:val="100"/>
          <w:sz w:val="21"/>
        </w:rPr>
        <w:t>s</w:t>
      </w:r>
      <w:r>
        <w:rPr>
          <w:sz w:val="21"/>
        </w:rPr>
        <w:t>  </w:t>
      </w:r>
      <w:r>
        <w:rPr>
          <w:w w:val="100"/>
          <w:sz w:val="21"/>
        </w:rPr>
        <w:t>area</w:t>
      </w:r>
      <w:r>
        <w:rPr>
          <w:sz w:val="21"/>
        </w:rPr>
        <w:t>  </w:t>
      </w:r>
      <w:r>
        <w:rPr>
          <w:w w:val="100"/>
          <w:sz w:val="21"/>
        </w:rPr>
        <w:t>i</w:t>
      </w:r>
      <w:r>
        <w:rPr>
          <w:w w:val="100"/>
          <w:sz w:val="21"/>
        </w:rPr>
        <w:t>nc</w:t>
      </w:r>
      <w:r>
        <w:rPr>
          <w:w w:val="100"/>
          <w:sz w:val="21"/>
        </w:rPr>
        <w:t>l</w:t>
      </w:r>
      <w:r>
        <w:rPr>
          <w:w w:val="100"/>
          <w:sz w:val="21"/>
        </w:rPr>
        <w:t>ude</w:t>
      </w:r>
      <w:r>
        <w:rPr>
          <w:sz w:val="21"/>
        </w:rPr>
        <w:t>  </w:t>
      </w:r>
      <w:r>
        <w:rPr>
          <w:w w:val="100"/>
          <w:sz w:val="21"/>
        </w:rPr>
        <w:t>f</w:t>
      </w:r>
      <w:r>
        <w:rPr>
          <w:w w:val="100"/>
          <w:sz w:val="21"/>
        </w:rPr>
        <w:t>ourt</w:t>
      </w:r>
      <w:r>
        <w:rPr>
          <w:w w:val="100"/>
          <w:sz w:val="21"/>
        </w:rPr>
        <w:t>een </w:t>
      </w:r>
      <w:r>
        <w:rPr>
          <w:sz w:val="21"/>
        </w:rPr>
        <w:t>extant courses of reused brickbats and calcrete stone blocks in the enclosure wall with a part of 2.12 m in the middle of the wall suggesting the entrance doorway which was topped by marble slabs and the floor levels consisting of lime and cement floors topped by marble dedicatory slabs of the second half of the twentieth century. Some elongated hearths and a furnace of late Mughal period were found (Pl.3).‖</w:t>
      </w:r>
    </w:p>
    <w:p>
      <w:pPr>
        <w:pStyle w:val="BodyText"/>
        <w:rPr>
          <w:sz w:val="24"/>
        </w:rPr>
      </w:pPr>
    </w:p>
    <w:p>
      <w:pPr>
        <w:pStyle w:val="BodyText"/>
        <w:rPr>
          <w:sz w:val="24"/>
        </w:rPr>
      </w:pPr>
    </w:p>
    <w:p>
      <w:pPr>
        <w:pStyle w:val="Heading4"/>
        <w:spacing w:before="173"/>
        <w:rPr>
          <w:i/>
        </w:rPr>
      </w:pPr>
      <w:r>
        <w:rPr>
          <w:i/>
        </w:rPr>
        <w:t>The Southern Area</w:t>
      </w:r>
    </w:p>
    <w:p>
      <w:pPr>
        <w:pStyle w:val="BodyText"/>
        <w:rPr>
          <w:i/>
          <w:sz w:val="28"/>
        </w:rPr>
      </w:pPr>
    </w:p>
    <w:p>
      <w:pPr>
        <w:pStyle w:val="BodyText"/>
        <w:spacing w:before="7"/>
        <w:rPr>
          <w:i/>
          <w:sz w:val="23"/>
        </w:rPr>
      </w:pPr>
    </w:p>
    <w:p>
      <w:pPr>
        <w:pStyle w:val="BodyText"/>
        <w:spacing w:line="480" w:lineRule="auto"/>
        <w:ind w:left="500" w:right="439"/>
        <w:jc w:val="both"/>
      </w:pPr>
      <w:r>
        <w:rPr/>
        <w:t>Twenty-three trenches were excavated towards south of the raised platform. The excavation resulted in nearly fifty pillars bases of an earlier period being exposed at two points, traces of earlier pillars bases were also found below the pillar bases. The excavation in this area also resulted in the finding of a brick circular shrine on its outer part and squarish on its inner with a rectangular projection for entrance in the east and a chute on its northern side. The relevant part of the ASI report is extracted below:</w:t>
      </w:r>
    </w:p>
    <w:p>
      <w:pPr>
        <w:spacing w:after="0" w:line="480" w:lineRule="auto"/>
        <w:jc w:val="both"/>
        <w:sectPr>
          <w:pgSz w:w="11910" w:h="16840"/>
          <w:pgMar w:header="721" w:footer="1014" w:top="1300" w:bottom="1200" w:left="940" w:right="1000"/>
        </w:sectPr>
      </w:pPr>
    </w:p>
    <w:p>
      <w:pPr>
        <w:spacing w:line="276" w:lineRule="auto" w:before="122"/>
        <w:ind w:left="1940" w:right="2259" w:firstLine="0"/>
        <w:jc w:val="both"/>
        <w:rPr>
          <w:sz w:val="21"/>
        </w:rPr>
      </w:pPr>
      <w:r>
        <w:rPr>
          <w:spacing w:val="-1"/>
          <w:w w:val="33"/>
          <w:sz w:val="21"/>
        </w:rPr>
        <w:t>―</w:t>
      </w:r>
      <w:r>
        <w:rPr>
          <w:w w:val="100"/>
          <w:sz w:val="21"/>
        </w:rPr>
        <w:t>P</w:t>
      </w:r>
      <w:r>
        <w:rPr>
          <w:spacing w:val="-1"/>
          <w:w w:val="100"/>
          <w:sz w:val="21"/>
        </w:rPr>
        <w:t>ar</w:t>
      </w:r>
      <w:r>
        <w:rPr>
          <w:spacing w:val="-2"/>
          <w:w w:val="100"/>
          <w:sz w:val="21"/>
        </w:rPr>
        <w:t>t</w:t>
      </w:r>
      <w:r>
        <w:rPr>
          <w:w w:val="100"/>
          <w:sz w:val="21"/>
        </w:rPr>
        <w:t>s</w:t>
      </w:r>
      <w:r>
        <w:rPr>
          <w:spacing w:val="13"/>
          <w:sz w:val="21"/>
        </w:rPr>
        <w:t> </w:t>
      </w:r>
      <w:r>
        <w:rPr>
          <w:spacing w:val="-1"/>
          <w:w w:val="100"/>
          <w:sz w:val="21"/>
        </w:rPr>
        <w:t>o</w:t>
      </w:r>
      <w:r>
        <w:rPr>
          <w:w w:val="100"/>
          <w:sz w:val="21"/>
        </w:rPr>
        <w:t>f</w:t>
      </w:r>
      <w:r>
        <w:rPr>
          <w:spacing w:val="14"/>
          <w:sz w:val="21"/>
        </w:rPr>
        <w:t> </w:t>
      </w:r>
      <w:r>
        <w:rPr>
          <w:spacing w:val="-2"/>
          <w:w w:val="100"/>
          <w:sz w:val="21"/>
        </w:rPr>
        <w:t>t</w:t>
      </w:r>
      <w:r>
        <w:rPr>
          <w:spacing w:val="-1"/>
          <w:w w:val="100"/>
          <w:sz w:val="21"/>
        </w:rPr>
        <w:t>h</w:t>
      </w:r>
      <w:r>
        <w:rPr>
          <w:w w:val="100"/>
          <w:sz w:val="21"/>
        </w:rPr>
        <w:t>e</w:t>
      </w:r>
      <w:r>
        <w:rPr>
          <w:spacing w:val="13"/>
          <w:sz w:val="21"/>
        </w:rPr>
        <w:t> </w:t>
      </w:r>
      <w:r>
        <w:rPr>
          <w:spacing w:val="-1"/>
          <w:w w:val="100"/>
          <w:sz w:val="21"/>
        </w:rPr>
        <w:t>no</w:t>
      </w:r>
      <w:r>
        <w:rPr>
          <w:spacing w:val="1"/>
          <w:w w:val="100"/>
          <w:sz w:val="21"/>
        </w:rPr>
        <w:t>r</w:t>
      </w:r>
      <w:r>
        <w:rPr>
          <w:spacing w:val="-2"/>
          <w:w w:val="100"/>
          <w:sz w:val="21"/>
        </w:rPr>
        <w:t>t</w:t>
      </w:r>
      <w:r>
        <w:rPr>
          <w:w w:val="100"/>
          <w:sz w:val="21"/>
        </w:rPr>
        <w:t>he</w:t>
      </w:r>
      <w:r>
        <w:rPr>
          <w:spacing w:val="-3"/>
          <w:w w:val="100"/>
          <w:sz w:val="21"/>
        </w:rPr>
        <w:t>r</w:t>
      </w:r>
      <w:r>
        <w:rPr>
          <w:w w:val="100"/>
          <w:sz w:val="21"/>
        </w:rPr>
        <w:t>n</w:t>
      </w:r>
      <w:r>
        <w:rPr>
          <w:spacing w:val="13"/>
          <w:sz w:val="21"/>
        </w:rPr>
        <w:t> </w:t>
      </w:r>
      <w:r>
        <w:rPr>
          <w:w w:val="100"/>
          <w:sz w:val="21"/>
        </w:rPr>
        <w:t>and</w:t>
      </w:r>
      <w:r>
        <w:rPr>
          <w:spacing w:val="11"/>
          <w:sz w:val="21"/>
        </w:rPr>
        <w:t> </w:t>
      </w:r>
      <w:r>
        <w:rPr>
          <w:spacing w:val="-2"/>
          <w:w w:val="100"/>
          <w:sz w:val="21"/>
        </w:rPr>
        <w:t>w</w:t>
      </w:r>
      <w:r>
        <w:rPr>
          <w:w w:val="100"/>
          <w:sz w:val="21"/>
        </w:rPr>
        <w:t>es</w:t>
      </w:r>
      <w:r>
        <w:rPr>
          <w:spacing w:val="-1"/>
          <w:w w:val="100"/>
          <w:sz w:val="21"/>
        </w:rPr>
        <w:t>t</w:t>
      </w:r>
      <w:r>
        <w:rPr>
          <w:w w:val="100"/>
          <w:sz w:val="21"/>
        </w:rPr>
        <w:t>ern</w:t>
      </w:r>
      <w:r>
        <w:rPr>
          <w:spacing w:val="13"/>
          <w:sz w:val="21"/>
        </w:rPr>
        <w:t> </w:t>
      </w:r>
      <w:r>
        <w:rPr>
          <w:spacing w:val="-2"/>
          <w:w w:val="100"/>
          <w:sz w:val="21"/>
        </w:rPr>
        <w:t>w</w:t>
      </w:r>
      <w:r>
        <w:rPr>
          <w:w w:val="100"/>
          <w:sz w:val="21"/>
        </w:rPr>
        <w:t>a</w:t>
      </w:r>
      <w:r>
        <w:rPr>
          <w:spacing w:val="1"/>
          <w:w w:val="100"/>
          <w:sz w:val="21"/>
        </w:rPr>
        <w:t>l</w:t>
      </w:r>
      <w:r>
        <w:rPr>
          <w:w w:val="100"/>
          <w:sz w:val="21"/>
        </w:rPr>
        <w:t>l</w:t>
      </w:r>
      <w:r>
        <w:rPr>
          <w:w w:val="100"/>
          <w:sz w:val="21"/>
        </w:rPr>
        <w:t>s</w:t>
      </w:r>
      <w:r>
        <w:rPr>
          <w:spacing w:val="13"/>
          <w:sz w:val="21"/>
        </w:rPr>
        <w:t> </w:t>
      </w:r>
      <w:r>
        <w:rPr>
          <w:w w:val="100"/>
          <w:sz w:val="21"/>
        </w:rPr>
        <w:t>a</w:t>
      </w:r>
      <w:r>
        <w:rPr>
          <w:spacing w:val="-3"/>
          <w:w w:val="100"/>
          <w:sz w:val="21"/>
        </w:rPr>
        <w:t>n</w:t>
      </w:r>
      <w:r>
        <w:rPr>
          <w:w w:val="100"/>
          <w:sz w:val="21"/>
        </w:rPr>
        <w:t>d</w:t>
      </w:r>
      <w:r>
        <w:rPr>
          <w:spacing w:val="13"/>
          <w:sz w:val="21"/>
        </w:rPr>
        <w:t> </w:t>
      </w:r>
      <w:r>
        <w:rPr>
          <w:spacing w:val="-2"/>
          <w:w w:val="100"/>
          <w:sz w:val="21"/>
        </w:rPr>
        <w:t>t</w:t>
      </w:r>
      <w:r>
        <w:rPr>
          <w:w w:val="100"/>
          <w:sz w:val="21"/>
        </w:rPr>
        <w:t>he</w:t>
      </w:r>
      <w:r>
        <w:rPr>
          <w:spacing w:val="1"/>
          <w:w w:val="100"/>
          <w:sz w:val="21"/>
        </w:rPr>
        <w:t>i</w:t>
      </w:r>
      <w:r>
        <w:rPr>
          <w:w w:val="100"/>
          <w:sz w:val="21"/>
        </w:rPr>
        <w:t>r</w:t>
      </w:r>
      <w:r>
        <w:rPr>
          <w:spacing w:val="12"/>
          <w:sz w:val="21"/>
        </w:rPr>
        <w:t> </w:t>
      </w:r>
      <w:r>
        <w:rPr>
          <w:spacing w:val="-2"/>
          <w:w w:val="100"/>
          <w:sz w:val="21"/>
        </w:rPr>
        <w:t>f</w:t>
      </w:r>
      <w:r>
        <w:rPr>
          <w:w w:val="100"/>
          <w:sz w:val="21"/>
        </w:rPr>
        <w:t>oun</w:t>
      </w:r>
      <w:r>
        <w:rPr>
          <w:spacing w:val="-2"/>
          <w:w w:val="100"/>
          <w:sz w:val="21"/>
        </w:rPr>
        <w:t>d</w:t>
      </w:r>
      <w:r>
        <w:rPr>
          <w:w w:val="100"/>
          <w:sz w:val="21"/>
        </w:rPr>
        <w:t>a</w:t>
      </w:r>
      <w:r>
        <w:rPr>
          <w:spacing w:val="-1"/>
          <w:w w:val="100"/>
          <w:sz w:val="21"/>
        </w:rPr>
        <w:t>t</w:t>
      </w:r>
      <w:r>
        <w:rPr>
          <w:w w:val="100"/>
          <w:sz w:val="21"/>
        </w:rPr>
        <w:t>i</w:t>
      </w:r>
      <w:r>
        <w:rPr>
          <w:spacing w:val="-3"/>
          <w:w w:val="100"/>
          <w:sz w:val="21"/>
        </w:rPr>
        <w:t>o</w:t>
      </w:r>
      <w:r>
        <w:rPr>
          <w:w w:val="100"/>
          <w:sz w:val="21"/>
        </w:rPr>
        <w:t>n </w:t>
      </w:r>
      <w:r>
        <w:rPr>
          <w:sz w:val="21"/>
        </w:rPr>
        <w:t>and the foundation of the southern and eastern sides built of calcrete stone blocks of the disputed structure were exposed which were found resting directly in the west over a 1.77 m wide brick wall of earlier period, the lower part of which has decorated stone blocks and calcrete stone foundation and over 50 pillar bases arranged at regular intervals connected with the lime plastered brick wall through a floor. The core of the wall of the disputed structure was filled with brickbats. The pillar bases comprise some courses of brick bats in squarish or circular formations over which two to five calcrete stone blocks are kept, possibly below and stone blocks as found in the northern area, though only one decorated sand stone block was found in this area. Further below the above- mentioned brick wall another brick wall was noticed on the top of which decorated stone blocks were found used. In the levels further down brick structures were noticed in trenches E8 and F8, though their full plan could not be exposed. At two points, below the pillar bases, traces of earlier pillar bases were also found in trenches F8 and F9 which were connected with the second floor below the floor with which most of the other pillar bases were connected. The brick wall mentioned above was found badly damaged on the southern side, possibly for taking out its bricks. This wall was found extending in the northern side of the raised platform. A brick shrine, circular on its outer and squarish on its inner plan with a rectangular projection for entrance in the east and a chute on its northern side was found below the levels of above- mentioned walls. Due to steep slope in the area further south of the trenches, it was not possible to excavate there. The natural soil was reached in G7 at the depth of 10.84 m, which was confirmed by digging further upto the depth of 13.20 m. (Pl.5).‖</w:t>
      </w:r>
    </w:p>
    <w:p>
      <w:pPr>
        <w:pStyle w:val="BodyText"/>
        <w:rPr>
          <w:sz w:val="24"/>
        </w:rPr>
      </w:pPr>
    </w:p>
    <w:p>
      <w:pPr>
        <w:pStyle w:val="BodyText"/>
        <w:rPr>
          <w:sz w:val="24"/>
        </w:rPr>
      </w:pPr>
    </w:p>
    <w:p>
      <w:pPr>
        <w:pStyle w:val="Heading4"/>
        <w:spacing w:before="173"/>
        <w:jc w:val="left"/>
        <w:rPr>
          <w:i/>
        </w:rPr>
      </w:pPr>
      <w:r>
        <w:rPr>
          <w:i/>
        </w:rPr>
        <w:t>The Western</w:t>
      </w:r>
      <w:r>
        <w:rPr>
          <w:i/>
          <w:spacing w:val="-5"/>
        </w:rPr>
        <w:t> </w:t>
      </w:r>
      <w:r>
        <w:rPr>
          <w:i/>
        </w:rPr>
        <w:t>Area</w:t>
      </w:r>
    </w:p>
    <w:p>
      <w:pPr>
        <w:pStyle w:val="BodyText"/>
        <w:spacing w:before="8"/>
        <w:rPr>
          <w:i/>
        </w:rPr>
      </w:pPr>
    </w:p>
    <w:p>
      <w:pPr>
        <w:pStyle w:val="BodyText"/>
        <w:ind w:left="500"/>
      </w:pPr>
      <w:r>
        <w:rPr/>
        <w:t>At some places remains of a brick wall having nearly fifty courses were seen.</w:t>
      </w:r>
    </w:p>
    <w:p>
      <w:pPr>
        <w:pStyle w:val="BodyText"/>
        <w:rPr>
          <w:sz w:val="28"/>
        </w:rPr>
      </w:pPr>
    </w:p>
    <w:p>
      <w:pPr>
        <w:pStyle w:val="BodyText"/>
        <w:spacing w:before="2"/>
        <w:rPr>
          <w:sz w:val="36"/>
        </w:rPr>
      </w:pPr>
    </w:p>
    <w:p>
      <w:pPr>
        <w:pStyle w:val="Heading4"/>
        <w:jc w:val="left"/>
        <w:rPr>
          <w:i/>
        </w:rPr>
      </w:pPr>
      <w:r>
        <w:rPr>
          <w:i/>
        </w:rPr>
        <w:t>The Northern Area</w:t>
      </w:r>
    </w:p>
    <w:p>
      <w:pPr>
        <w:pStyle w:val="BodyText"/>
        <w:spacing w:before="8"/>
        <w:rPr>
          <w:i/>
        </w:rPr>
      </w:pPr>
    </w:p>
    <w:p>
      <w:pPr>
        <w:pStyle w:val="BodyText"/>
        <w:spacing w:before="1"/>
        <w:ind w:left="500"/>
      </w:pPr>
      <w:r>
        <w:rPr/>
        <w:t>The ASI team notes:</w:t>
      </w:r>
    </w:p>
    <w:p>
      <w:pPr>
        <w:pStyle w:val="BodyText"/>
        <w:spacing w:before="8"/>
        <w:rPr>
          <w:sz w:val="38"/>
        </w:rPr>
      </w:pPr>
    </w:p>
    <w:p>
      <w:pPr>
        <w:spacing w:line="276" w:lineRule="auto" w:before="1"/>
        <w:ind w:left="1940" w:right="2261" w:firstLine="0"/>
        <w:jc w:val="both"/>
        <w:rPr>
          <w:sz w:val="21"/>
        </w:rPr>
      </w:pPr>
      <w:r>
        <w:rPr>
          <w:spacing w:val="-1"/>
          <w:w w:val="33"/>
          <w:sz w:val="21"/>
        </w:rPr>
        <w:t>―</w:t>
      </w:r>
      <w:r>
        <w:rPr>
          <w:w w:val="100"/>
          <w:sz w:val="21"/>
        </w:rPr>
        <w:t>The</w:t>
      </w:r>
      <w:r>
        <w:rPr>
          <w:sz w:val="21"/>
        </w:rPr>
        <w:t> </w:t>
      </w:r>
      <w:r>
        <w:rPr>
          <w:spacing w:val="-7"/>
          <w:sz w:val="21"/>
        </w:rPr>
        <w:t> </w:t>
      </w:r>
      <w:r>
        <w:rPr>
          <w:spacing w:val="-1"/>
          <w:w w:val="100"/>
          <w:sz w:val="21"/>
        </w:rPr>
        <w:t>mas</w:t>
      </w:r>
      <w:r>
        <w:rPr>
          <w:spacing w:val="-3"/>
          <w:w w:val="100"/>
          <w:sz w:val="21"/>
        </w:rPr>
        <w:t>s</w:t>
      </w:r>
      <w:r>
        <w:rPr>
          <w:w w:val="100"/>
          <w:sz w:val="21"/>
        </w:rPr>
        <w:t>i</w:t>
      </w:r>
      <w:r>
        <w:rPr>
          <w:spacing w:val="-3"/>
          <w:w w:val="100"/>
          <w:sz w:val="21"/>
        </w:rPr>
        <w:t>v</w:t>
      </w:r>
      <w:r>
        <w:rPr>
          <w:w w:val="100"/>
          <w:sz w:val="21"/>
        </w:rPr>
        <w:t>e</w:t>
      </w:r>
      <w:r>
        <w:rPr>
          <w:sz w:val="21"/>
        </w:rPr>
        <w:t> </w:t>
      </w:r>
      <w:r>
        <w:rPr>
          <w:spacing w:val="-4"/>
          <w:sz w:val="21"/>
        </w:rPr>
        <w:t> </w:t>
      </w:r>
      <w:r>
        <w:rPr>
          <w:spacing w:val="-1"/>
          <w:w w:val="100"/>
          <w:sz w:val="21"/>
        </w:rPr>
        <w:t>br</w:t>
      </w:r>
      <w:r>
        <w:rPr>
          <w:spacing w:val="-2"/>
          <w:w w:val="100"/>
          <w:sz w:val="21"/>
        </w:rPr>
        <w:t>i</w:t>
      </w:r>
      <w:r>
        <w:rPr>
          <w:spacing w:val="-3"/>
          <w:w w:val="100"/>
          <w:sz w:val="21"/>
        </w:rPr>
        <w:t>c</w:t>
      </w:r>
      <w:r>
        <w:rPr>
          <w:w w:val="100"/>
          <w:sz w:val="21"/>
        </w:rPr>
        <w:t>k</w:t>
      </w:r>
      <w:r>
        <w:rPr>
          <w:sz w:val="21"/>
        </w:rPr>
        <w:t> </w:t>
      </w:r>
      <w:r>
        <w:rPr>
          <w:spacing w:val="-2"/>
          <w:sz w:val="21"/>
        </w:rPr>
        <w:t> </w:t>
      </w:r>
      <w:r>
        <w:rPr>
          <w:spacing w:val="-2"/>
          <w:w w:val="100"/>
          <w:sz w:val="21"/>
        </w:rPr>
        <w:t>w</w:t>
      </w:r>
      <w:r>
        <w:rPr>
          <w:spacing w:val="-3"/>
          <w:w w:val="100"/>
          <w:sz w:val="21"/>
        </w:rPr>
        <w:t>a</w:t>
      </w:r>
      <w:r>
        <w:rPr>
          <w:w w:val="100"/>
          <w:sz w:val="21"/>
        </w:rPr>
        <w:t>ll</w:t>
      </w:r>
      <w:r>
        <w:rPr>
          <w:sz w:val="21"/>
        </w:rPr>
        <w:t> </w:t>
      </w:r>
      <w:r>
        <w:rPr>
          <w:spacing w:val="-8"/>
          <w:sz w:val="21"/>
        </w:rPr>
        <w:t> </w:t>
      </w:r>
      <w:r>
        <w:rPr>
          <w:w w:val="100"/>
          <w:sz w:val="21"/>
        </w:rPr>
        <w:t>l</w:t>
      </w:r>
      <w:r>
        <w:rPr>
          <w:spacing w:val="-1"/>
          <w:w w:val="100"/>
          <w:sz w:val="21"/>
        </w:rPr>
        <w:t>ocat</w:t>
      </w:r>
      <w:r>
        <w:rPr>
          <w:spacing w:val="-3"/>
          <w:w w:val="100"/>
          <w:sz w:val="21"/>
        </w:rPr>
        <w:t>e</w:t>
      </w:r>
      <w:r>
        <w:rPr>
          <w:w w:val="100"/>
          <w:sz w:val="21"/>
        </w:rPr>
        <w:t>d</w:t>
      </w:r>
      <w:r>
        <w:rPr>
          <w:sz w:val="21"/>
        </w:rPr>
        <w:t> </w:t>
      </w:r>
      <w:r>
        <w:rPr>
          <w:spacing w:val="-7"/>
          <w:sz w:val="21"/>
        </w:rPr>
        <w:t> </w:t>
      </w:r>
      <w:r>
        <w:rPr>
          <w:w w:val="100"/>
          <w:sz w:val="21"/>
        </w:rPr>
        <w:t>in</w:t>
      </w:r>
      <w:r>
        <w:rPr>
          <w:sz w:val="21"/>
        </w:rPr>
        <w:t> </w:t>
      </w:r>
      <w:r>
        <w:rPr>
          <w:spacing w:val="-4"/>
          <w:sz w:val="21"/>
        </w:rPr>
        <w:t> </w:t>
      </w:r>
      <w:r>
        <w:rPr>
          <w:spacing w:val="-2"/>
          <w:w w:val="100"/>
          <w:sz w:val="21"/>
        </w:rPr>
        <w:t>t</w:t>
      </w:r>
      <w:r>
        <w:rPr>
          <w:spacing w:val="-3"/>
          <w:w w:val="100"/>
          <w:sz w:val="21"/>
        </w:rPr>
        <w:t>h</w:t>
      </w:r>
      <w:r>
        <w:rPr>
          <w:w w:val="100"/>
          <w:sz w:val="21"/>
        </w:rPr>
        <w:t>e</w:t>
      </w:r>
      <w:r>
        <w:rPr>
          <w:sz w:val="21"/>
        </w:rPr>
        <w:t> </w:t>
      </w:r>
      <w:r>
        <w:rPr>
          <w:spacing w:val="-4"/>
          <w:sz w:val="21"/>
        </w:rPr>
        <w:t> </w:t>
      </w:r>
      <w:r>
        <w:rPr>
          <w:w w:val="100"/>
          <w:sz w:val="21"/>
        </w:rPr>
        <w:t>s</w:t>
      </w:r>
      <w:r>
        <w:rPr>
          <w:spacing w:val="-3"/>
          <w:w w:val="100"/>
          <w:sz w:val="21"/>
        </w:rPr>
        <w:t>o</w:t>
      </w:r>
      <w:r>
        <w:rPr>
          <w:spacing w:val="-1"/>
          <w:w w:val="100"/>
          <w:sz w:val="21"/>
        </w:rPr>
        <w:t>uther</w:t>
      </w:r>
      <w:r>
        <w:rPr>
          <w:w w:val="100"/>
          <w:sz w:val="21"/>
        </w:rPr>
        <w:t>n</w:t>
      </w:r>
      <w:r>
        <w:rPr>
          <w:sz w:val="21"/>
        </w:rPr>
        <w:t> </w:t>
      </w:r>
      <w:r>
        <w:rPr>
          <w:spacing w:val="-9"/>
          <w:sz w:val="21"/>
        </w:rPr>
        <w:t> </w:t>
      </w:r>
      <w:r>
        <w:rPr>
          <w:spacing w:val="-1"/>
          <w:w w:val="100"/>
          <w:sz w:val="21"/>
        </w:rPr>
        <w:t>are</w:t>
      </w:r>
      <w:r>
        <w:rPr>
          <w:w w:val="100"/>
          <w:sz w:val="21"/>
        </w:rPr>
        <w:t>a</w:t>
      </w:r>
      <w:r>
        <w:rPr>
          <w:sz w:val="21"/>
        </w:rPr>
        <w:t> </w:t>
      </w:r>
      <w:r>
        <w:rPr>
          <w:spacing w:val="-5"/>
          <w:sz w:val="21"/>
        </w:rPr>
        <w:t> </w:t>
      </w:r>
      <w:r>
        <w:rPr>
          <w:spacing w:val="-2"/>
          <w:w w:val="100"/>
          <w:sz w:val="21"/>
        </w:rPr>
        <w:t>w</w:t>
      </w:r>
      <w:r>
        <w:rPr>
          <w:spacing w:val="-3"/>
          <w:w w:val="100"/>
          <w:sz w:val="21"/>
        </w:rPr>
        <w:t>a</w:t>
      </w:r>
      <w:r>
        <w:rPr>
          <w:w w:val="100"/>
          <w:sz w:val="21"/>
        </w:rPr>
        <w:t>s </w:t>
      </w:r>
      <w:r>
        <w:rPr>
          <w:sz w:val="21"/>
        </w:rPr>
        <w:t>noticed running in north-south direction in this area and below its level another wall was also found as seen earlier in the southern</w:t>
      </w:r>
      <w:r>
        <w:rPr>
          <w:spacing w:val="13"/>
          <w:sz w:val="21"/>
        </w:rPr>
        <w:t> </w:t>
      </w:r>
      <w:r>
        <w:rPr>
          <w:sz w:val="21"/>
        </w:rPr>
        <w:t>area.</w:t>
      </w:r>
      <w:r>
        <w:rPr>
          <w:spacing w:val="12"/>
          <w:sz w:val="21"/>
        </w:rPr>
        <w:t> </w:t>
      </w:r>
      <w:r>
        <w:rPr>
          <w:sz w:val="21"/>
        </w:rPr>
        <w:t>The</w:t>
      </w:r>
      <w:r>
        <w:rPr>
          <w:spacing w:val="14"/>
          <w:sz w:val="21"/>
        </w:rPr>
        <w:t> </w:t>
      </w:r>
      <w:r>
        <w:rPr>
          <w:sz w:val="21"/>
        </w:rPr>
        <w:t>top</w:t>
      </w:r>
      <w:r>
        <w:rPr>
          <w:spacing w:val="13"/>
          <w:sz w:val="21"/>
        </w:rPr>
        <w:t> </w:t>
      </w:r>
      <w:r>
        <w:rPr>
          <w:sz w:val="21"/>
        </w:rPr>
        <w:t>three</w:t>
      </w:r>
      <w:r>
        <w:rPr>
          <w:spacing w:val="14"/>
          <w:sz w:val="21"/>
        </w:rPr>
        <w:t> </w:t>
      </w:r>
      <w:r>
        <w:rPr>
          <w:sz w:val="21"/>
        </w:rPr>
        <w:t>floors</w:t>
      </w:r>
      <w:r>
        <w:rPr>
          <w:spacing w:val="13"/>
          <w:sz w:val="21"/>
        </w:rPr>
        <w:t> </w:t>
      </w:r>
      <w:r>
        <w:rPr>
          <w:sz w:val="21"/>
        </w:rPr>
        <w:t>and</w:t>
      </w:r>
      <w:r>
        <w:rPr>
          <w:spacing w:val="14"/>
          <w:sz w:val="21"/>
        </w:rPr>
        <w:t> </w:t>
      </w:r>
      <w:r>
        <w:rPr>
          <w:sz w:val="21"/>
        </w:rPr>
        <w:t>pillar</w:t>
      </w:r>
      <w:r>
        <w:rPr>
          <w:spacing w:val="12"/>
          <w:sz w:val="21"/>
        </w:rPr>
        <w:t> </w:t>
      </w:r>
      <w:r>
        <w:rPr>
          <w:sz w:val="21"/>
        </w:rPr>
        <w:t>bases</w:t>
      </w:r>
      <w:r>
        <w:rPr>
          <w:spacing w:val="14"/>
          <w:sz w:val="21"/>
        </w:rPr>
        <w:t> </w:t>
      </w:r>
      <w:r>
        <w:rPr>
          <w:sz w:val="21"/>
        </w:rPr>
        <w:t>attached</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sz w:val="21"/>
        </w:rPr>
      </w:pPr>
      <w:r>
        <w:rPr>
          <w:sz w:val="21"/>
        </w:rPr>
        <w:t>with the top floor were exposed (Pl/10). The interesting features of the pillar bases in this area was that over the calcrete stone blocks these bases were given proper finishing by providing squarish stone blocks of sand stone encased with four upright stone pieces placed on the four sides for giving support to the pillar at the base in order to avoid any movement. The stone blocks project a little above the</w:t>
      </w:r>
      <w:r>
        <w:rPr>
          <w:spacing w:val="-39"/>
          <w:sz w:val="21"/>
        </w:rPr>
        <w:t> </w:t>
      </w:r>
      <w:r>
        <w:rPr>
          <w:sz w:val="21"/>
        </w:rPr>
        <w:t>floor.‖</w:t>
      </w:r>
    </w:p>
    <w:p>
      <w:pPr>
        <w:pStyle w:val="BodyText"/>
        <w:rPr>
          <w:sz w:val="24"/>
        </w:rPr>
      </w:pPr>
    </w:p>
    <w:p>
      <w:pPr>
        <w:pStyle w:val="BodyText"/>
        <w:rPr>
          <w:sz w:val="24"/>
        </w:rPr>
      </w:pPr>
    </w:p>
    <w:p>
      <w:pPr>
        <w:pStyle w:val="Heading4"/>
        <w:spacing w:before="170"/>
        <w:rPr>
          <w:i/>
        </w:rPr>
      </w:pPr>
      <w:r>
        <w:rPr>
          <w:i/>
        </w:rPr>
        <w:t>The Raised Platform</w:t>
      </w:r>
    </w:p>
    <w:p>
      <w:pPr>
        <w:pStyle w:val="BodyText"/>
        <w:rPr>
          <w:i/>
          <w:sz w:val="26"/>
        </w:rPr>
      </w:pPr>
    </w:p>
    <w:p>
      <w:pPr>
        <w:pStyle w:val="BodyText"/>
        <w:spacing w:line="480" w:lineRule="auto"/>
        <w:ind w:left="500" w:right="434"/>
        <w:jc w:val="both"/>
      </w:pPr>
      <w:r>
        <w:rPr/>
        <w:t>After the demolition of the disputed structure and in terms of the order of the High Court dated 5 March 2003, excavation was partly carried out in ninety trenches. Parts of four trenches in the southern area were under the raised platform. Here the ASI team noted brick structures, floors and pillar bases below the floors and walls of the disputed structure on the raised platform as well.</w:t>
      </w:r>
    </w:p>
    <w:p>
      <w:pPr>
        <w:pStyle w:val="BodyText"/>
        <w:spacing w:before="10"/>
        <w:rPr>
          <w:sz w:val="38"/>
        </w:rPr>
      </w:pPr>
    </w:p>
    <w:p>
      <w:pPr>
        <w:pStyle w:val="ListParagraph"/>
        <w:numPr>
          <w:ilvl w:val="0"/>
          <w:numId w:val="111"/>
        </w:numPr>
        <w:tabs>
          <w:tab w:pos="1221" w:val="left" w:leader="none"/>
        </w:tabs>
        <w:spacing w:line="480" w:lineRule="auto" w:before="0" w:after="0"/>
        <w:ind w:left="500" w:right="438" w:firstLine="0"/>
        <w:jc w:val="both"/>
        <w:rPr>
          <w:sz w:val="25"/>
        </w:rPr>
      </w:pPr>
      <w:r>
        <w:rPr>
          <w:w w:val="99"/>
          <w:sz w:val="25"/>
        </w:rPr>
        <w:t>Chap</w:t>
      </w:r>
      <w:r>
        <w:rPr>
          <w:w w:val="99"/>
          <w:sz w:val="25"/>
        </w:rPr>
        <w:t>ter</w:t>
      </w:r>
      <w:r>
        <w:rPr>
          <w:sz w:val="25"/>
        </w:rPr>
        <w:t> </w:t>
      </w:r>
      <w:r>
        <w:rPr>
          <w:spacing w:val="27"/>
          <w:sz w:val="25"/>
        </w:rPr>
        <w:t> </w:t>
      </w:r>
      <w:r>
        <w:rPr>
          <w:w w:val="99"/>
          <w:sz w:val="25"/>
        </w:rPr>
        <w:t>III</w:t>
      </w:r>
      <w:r>
        <w:rPr>
          <w:sz w:val="25"/>
        </w:rPr>
        <w:t> </w:t>
      </w:r>
      <w:r>
        <w:rPr>
          <w:spacing w:val="27"/>
          <w:sz w:val="25"/>
        </w:rPr>
        <w:t> </w:t>
      </w:r>
      <w:r>
        <w:rPr>
          <w:w w:val="99"/>
          <w:sz w:val="25"/>
        </w:rPr>
        <w:t>of</w:t>
      </w:r>
      <w:r>
        <w:rPr>
          <w:sz w:val="25"/>
        </w:rPr>
        <w:t> </w:t>
      </w:r>
      <w:r>
        <w:rPr>
          <w:spacing w:val="27"/>
          <w:sz w:val="25"/>
        </w:rPr>
        <w:t> </w:t>
      </w:r>
      <w:r>
        <w:rPr>
          <w:w w:val="99"/>
          <w:sz w:val="25"/>
        </w:rPr>
        <w:t>the</w:t>
      </w:r>
      <w:r>
        <w:rPr>
          <w:sz w:val="25"/>
        </w:rPr>
        <w:t> </w:t>
      </w:r>
      <w:r>
        <w:rPr>
          <w:spacing w:val="27"/>
          <w:sz w:val="25"/>
        </w:rPr>
        <w:t> </w:t>
      </w:r>
      <w:r>
        <w:rPr>
          <w:spacing w:val="-1"/>
          <w:w w:val="99"/>
          <w:sz w:val="25"/>
        </w:rPr>
        <w:t>AS</w:t>
      </w:r>
      <w:r>
        <w:rPr>
          <w:w w:val="99"/>
          <w:sz w:val="25"/>
        </w:rPr>
        <w:t>I</w:t>
      </w:r>
      <w:r>
        <w:rPr>
          <w:sz w:val="25"/>
        </w:rPr>
        <w:t> </w:t>
      </w:r>
      <w:r>
        <w:rPr>
          <w:spacing w:val="26"/>
          <w:sz w:val="25"/>
        </w:rPr>
        <w:t> </w:t>
      </w:r>
      <w:r>
        <w:rPr>
          <w:w w:val="99"/>
          <w:sz w:val="25"/>
        </w:rPr>
        <w:t>r</w:t>
      </w:r>
      <w:r>
        <w:rPr>
          <w:w w:val="99"/>
          <w:sz w:val="25"/>
        </w:rPr>
        <w:t>epo</w:t>
      </w:r>
      <w:r>
        <w:rPr>
          <w:spacing w:val="1"/>
          <w:w w:val="99"/>
          <w:sz w:val="25"/>
        </w:rPr>
        <w:t>r</w:t>
      </w:r>
      <w:r>
        <w:rPr>
          <w:w w:val="99"/>
          <w:sz w:val="25"/>
        </w:rPr>
        <w:t>t</w:t>
      </w:r>
      <w:r>
        <w:rPr>
          <w:sz w:val="25"/>
        </w:rPr>
        <w:t> </w:t>
      </w:r>
      <w:r>
        <w:rPr>
          <w:spacing w:val="30"/>
          <w:sz w:val="25"/>
        </w:rPr>
        <w:t> </w:t>
      </w:r>
      <w:r>
        <w:rPr>
          <w:i/>
          <w:w w:val="99"/>
          <w:sz w:val="25"/>
        </w:rPr>
        <w:t>inte</w:t>
      </w:r>
      <w:r>
        <w:rPr>
          <w:i/>
          <w:w w:val="99"/>
          <w:sz w:val="25"/>
        </w:rPr>
        <w:t>r</w:t>
      </w:r>
      <w:r>
        <w:rPr>
          <w:i/>
          <w:sz w:val="25"/>
        </w:rPr>
        <w:t> </w:t>
      </w:r>
      <w:r>
        <w:rPr>
          <w:i/>
          <w:spacing w:val="27"/>
          <w:sz w:val="25"/>
        </w:rPr>
        <w:t> </w:t>
      </w:r>
      <w:r>
        <w:rPr>
          <w:i/>
          <w:w w:val="99"/>
          <w:sz w:val="25"/>
        </w:rPr>
        <w:t>alia</w:t>
      </w:r>
      <w:r>
        <w:rPr>
          <w:i/>
          <w:sz w:val="25"/>
        </w:rPr>
        <w:t> </w:t>
      </w:r>
      <w:r>
        <w:rPr>
          <w:i/>
          <w:spacing w:val="30"/>
          <w:sz w:val="25"/>
        </w:rPr>
        <w:t> </w:t>
      </w:r>
      <w:r>
        <w:rPr>
          <w:spacing w:val="-1"/>
          <w:w w:val="99"/>
          <w:sz w:val="25"/>
        </w:rPr>
        <w:t>d</w:t>
      </w:r>
      <w:r>
        <w:rPr>
          <w:w w:val="99"/>
          <w:sz w:val="25"/>
        </w:rPr>
        <w:t>e</w:t>
      </w:r>
      <w:r>
        <w:rPr>
          <w:spacing w:val="-1"/>
          <w:w w:val="99"/>
          <w:sz w:val="25"/>
        </w:rPr>
        <w:t>al</w:t>
      </w:r>
      <w:r>
        <w:rPr>
          <w:w w:val="99"/>
          <w:sz w:val="25"/>
        </w:rPr>
        <w:t>s</w:t>
      </w:r>
      <w:r>
        <w:rPr>
          <w:sz w:val="25"/>
        </w:rPr>
        <w:t> </w:t>
      </w:r>
      <w:r>
        <w:rPr>
          <w:spacing w:val="26"/>
          <w:sz w:val="25"/>
        </w:rPr>
        <w:t> </w:t>
      </w:r>
      <w:r>
        <w:rPr>
          <w:spacing w:val="-1"/>
          <w:w w:val="99"/>
          <w:sz w:val="25"/>
        </w:rPr>
        <w:t>wit</w:t>
      </w:r>
      <w:r>
        <w:rPr>
          <w:w w:val="99"/>
          <w:sz w:val="25"/>
        </w:rPr>
        <w:t>h</w:t>
      </w:r>
      <w:r>
        <w:rPr>
          <w:sz w:val="25"/>
        </w:rPr>
        <w:t> </w:t>
      </w:r>
      <w:r>
        <w:rPr>
          <w:spacing w:val="26"/>
          <w:sz w:val="25"/>
        </w:rPr>
        <w:t> </w:t>
      </w:r>
      <w:r>
        <w:rPr>
          <w:w w:val="33"/>
          <w:sz w:val="25"/>
        </w:rPr>
        <w:t>―</w:t>
      </w:r>
      <w:r>
        <w:rPr>
          <w:spacing w:val="-1"/>
          <w:w w:val="99"/>
          <w:sz w:val="25"/>
        </w:rPr>
        <w:t>S</w:t>
      </w:r>
      <w:r>
        <w:rPr>
          <w:w w:val="99"/>
          <w:sz w:val="25"/>
        </w:rPr>
        <w:t>tr</w:t>
      </w:r>
      <w:r>
        <w:rPr>
          <w:spacing w:val="-1"/>
          <w:w w:val="99"/>
          <w:sz w:val="25"/>
        </w:rPr>
        <w:t>ati</w:t>
      </w:r>
      <w:r>
        <w:rPr>
          <w:w w:val="99"/>
          <w:sz w:val="25"/>
        </w:rPr>
        <w:t>g</w:t>
      </w:r>
      <w:r>
        <w:rPr>
          <w:spacing w:val="3"/>
          <w:w w:val="99"/>
          <w:sz w:val="25"/>
        </w:rPr>
        <w:t>r</w:t>
      </w:r>
      <w:r>
        <w:rPr>
          <w:spacing w:val="-1"/>
          <w:w w:val="99"/>
          <w:sz w:val="25"/>
        </w:rPr>
        <w:t>a</w:t>
      </w:r>
      <w:r>
        <w:rPr>
          <w:w w:val="99"/>
          <w:sz w:val="25"/>
        </w:rPr>
        <w:t>p</w:t>
      </w:r>
      <w:r>
        <w:rPr>
          <w:spacing w:val="-1"/>
          <w:w w:val="99"/>
          <w:sz w:val="25"/>
        </w:rPr>
        <w:t>h</w:t>
      </w:r>
      <w:r>
        <w:rPr>
          <w:w w:val="99"/>
          <w:sz w:val="25"/>
        </w:rPr>
        <w:t>y</w:t>
      </w:r>
      <w:r>
        <w:rPr>
          <w:sz w:val="25"/>
        </w:rPr>
        <w:t> </w:t>
      </w:r>
      <w:r>
        <w:rPr>
          <w:spacing w:val="24"/>
          <w:sz w:val="25"/>
        </w:rPr>
        <w:t> </w:t>
      </w:r>
      <w:r>
        <w:rPr>
          <w:spacing w:val="-1"/>
          <w:w w:val="99"/>
          <w:sz w:val="25"/>
        </w:rPr>
        <w:t>a</w:t>
      </w:r>
      <w:r>
        <w:rPr>
          <w:w w:val="99"/>
          <w:sz w:val="25"/>
        </w:rPr>
        <w:t>nd </w:t>
      </w:r>
      <w:r>
        <w:rPr>
          <w:sz w:val="25"/>
        </w:rPr>
        <w:t>Chronology‖. The report indicates that excavation has yielded a continuous cultural sequence involving a depth of 10.80 meters. This can be divided into nine </w:t>
      </w:r>
      <w:r>
        <w:rPr>
          <w:w w:val="99"/>
          <w:sz w:val="25"/>
        </w:rPr>
        <w:t>cultur</w:t>
      </w:r>
      <w:r>
        <w:rPr>
          <w:spacing w:val="-1"/>
          <w:w w:val="99"/>
          <w:sz w:val="25"/>
        </w:rPr>
        <w:t>a</w:t>
      </w:r>
      <w:r>
        <w:rPr>
          <w:w w:val="99"/>
          <w:sz w:val="25"/>
        </w:rPr>
        <w:t>l</w:t>
      </w:r>
      <w:r>
        <w:rPr>
          <w:spacing w:val="2"/>
          <w:sz w:val="25"/>
        </w:rPr>
        <w:t> </w:t>
      </w:r>
      <w:r>
        <w:rPr>
          <w:spacing w:val="-1"/>
          <w:w w:val="99"/>
          <w:sz w:val="25"/>
        </w:rPr>
        <w:t>p</w:t>
      </w:r>
      <w:r>
        <w:rPr>
          <w:w w:val="99"/>
          <w:sz w:val="25"/>
        </w:rPr>
        <w:t>er</w:t>
      </w:r>
      <w:r>
        <w:rPr>
          <w:spacing w:val="-1"/>
          <w:w w:val="99"/>
          <w:sz w:val="25"/>
        </w:rPr>
        <w:t>iod</w:t>
      </w:r>
      <w:r>
        <w:rPr>
          <w:w w:val="99"/>
          <w:sz w:val="25"/>
        </w:rPr>
        <w:t>s</w:t>
      </w:r>
      <w:r>
        <w:rPr>
          <w:spacing w:val="2"/>
          <w:sz w:val="25"/>
        </w:rPr>
        <w:t> </w:t>
      </w:r>
      <w:r>
        <w:rPr>
          <w:w w:val="99"/>
          <w:sz w:val="25"/>
        </w:rPr>
        <w:t>(</w:t>
      </w:r>
      <w:r>
        <w:rPr>
          <w:spacing w:val="-1"/>
          <w:w w:val="99"/>
          <w:sz w:val="25"/>
        </w:rPr>
        <w:t>e</w:t>
      </w:r>
      <w:r>
        <w:rPr>
          <w:spacing w:val="-3"/>
          <w:w w:val="99"/>
          <w:sz w:val="25"/>
        </w:rPr>
        <w:t>x</w:t>
      </w:r>
      <w:r>
        <w:rPr>
          <w:spacing w:val="-1"/>
          <w:w w:val="99"/>
          <w:sz w:val="25"/>
        </w:rPr>
        <w:t>pl</w:t>
      </w:r>
      <w:r>
        <w:rPr>
          <w:spacing w:val="2"/>
          <w:w w:val="99"/>
          <w:sz w:val="25"/>
        </w:rPr>
        <w:t>a</w:t>
      </w:r>
      <w:r>
        <w:rPr>
          <w:spacing w:val="-1"/>
          <w:w w:val="99"/>
          <w:sz w:val="25"/>
        </w:rPr>
        <w:t>ine</w:t>
      </w:r>
      <w:r>
        <w:rPr>
          <w:w w:val="99"/>
          <w:sz w:val="25"/>
        </w:rPr>
        <w:t>d</w:t>
      </w:r>
      <w:r>
        <w:rPr>
          <w:spacing w:val="2"/>
          <w:sz w:val="25"/>
        </w:rPr>
        <w:t> </w:t>
      </w:r>
      <w:r>
        <w:rPr>
          <w:spacing w:val="-1"/>
          <w:w w:val="99"/>
          <w:sz w:val="25"/>
        </w:rPr>
        <w:t>b</w:t>
      </w:r>
      <w:r>
        <w:rPr>
          <w:w w:val="99"/>
          <w:sz w:val="25"/>
        </w:rPr>
        <w:t>e</w:t>
      </w:r>
      <w:r>
        <w:rPr>
          <w:spacing w:val="-1"/>
          <w:w w:val="99"/>
          <w:sz w:val="25"/>
        </w:rPr>
        <w:t>low</w:t>
      </w:r>
      <w:r>
        <w:rPr>
          <w:w w:val="99"/>
          <w:sz w:val="25"/>
        </w:rPr>
        <w:t>)</w:t>
      </w:r>
      <w:r>
        <w:rPr>
          <w:spacing w:val="2"/>
          <w:sz w:val="25"/>
        </w:rPr>
        <w:t> </w:t>
      </w:r>
      <w:r>
        <w:rPr>
          <w:spacing w:val="-1"/>
          <w:w w:val="99"/>
          <w:sz w:val="25"/>
        </w:rPr>
        <w:t>o</w:t>
      </w:r>
      <w:r>
        <w:rPr>
          <w:w w:val="99"/>
          <w:sz w:val="25"/>
        </w:rPr>
        <w:t>n</w:t>
      </w:r>
      <w:r>
        <w:rPr>
          <w:spacing w:val="2"/>
          <w:sz w:val="25"/>
        </w:rPr>
        <w:t> </w:t>
      </w:r>
      <w:r>
        <w:rPr>
          <w:w w:val="99"/>
          <w:sz w:val="25"/>
        </w:rPr>
        <w:t>the</w:t>
      </w:r>
      <w:r>
        <w:rPr>
          <w:spacing w:val="2"/>
          <w:sz w:val="25"/>
        </w:rPr>
        <w:t> </w:t>
      </w:r>
      <w:r>
        <w:rPr>
          <w:w w:val="99"/>
          <w:sz w:val="25"/>
        </w:rPr>
        <w:t>st</w:t>
      </w:r>
      <w:r>
        <w:rPr>
          <w:spacing w:val="3"/>
          <w:w w:val="99"/>
          <w:sz w:val="25"/>
        </w:rPr>
        <w:t>r</w:t>
      </w:r>
      <w:r>
        <w:rPr>
          <w:spacing w:val="-1"/>
          <w:w w:val="99"/>
          <w:sz w:val="25"/>
        </w:rPr>
        <w:t>e</w:t>
      </w:r>
      <w:r>
        <w:rPr>
          <w:w w:val="99"/>
          <w:sz w:val="25"/>
        </w:rPr>
        <w:t>n</w:t>
      </w:r>
      <w:r>
        <w:rPr>
          <w:spacing w:val="-1"/>
          <w:w w:val="99"/>
          <w:sz w:val="25"/>
        </w:rPr>
        <w:t>gt</w:t>
      </w:r>
      <w:r>
        <w:rPr>
          <w:w w:val="99"/>
          <w:sz w:val="25"/>
        </w:rPr>
        <w:t>h</w:t>
      </w:r>
      <w:r>
        <w:rPr>
          <w:spacing w:val="2"/>
          <w:sz w:val="25"/>
        </w:rPr>
        <w:t> </w:t>
      </w:r>
      <w:r>
        <w:rPr>
          <w:spacing w:val="-1"/>
          <w:w w:val="99"/>
          <w:sz w:val="25"/>
        </w:rPr>
        <w:t>o</w:t>
      </w:r>
      <w:r>
        <w:rPr>
          <w:w w:val="99"/>
          <w:sz w:val="25"/>
        </w:rPr>
        <w:t>f</w:t>
      </w:r>
      <w:r>
        <w:rPr>
          <w:spacing w:val="2"/>
          <w:sz w:val="25"/>
        </w:rPr>
        <w:t> </w:t>
      </w:r>
      <w:r>
        <w:rPr>
          <w:w w:val="33"/>
          <w:sz w:val="25"/>
        </w:rPr>
        <w:t>―</w:t>
      </w:r>
      <w:r>
        <w:rPr>
          <w:w w:val="99"/>
          <w:sz w:val="25"/>
        </w:rPr>
        <w:t>co</w:t>
      </w:r>
      <w:r>
        <w:rPr>
          <w:spacing w:val="1"/>
          <w:w w:val="99"/>
          <w:sz w:val="25"/>
        </w:rPr>
        <w:t>m</w:t>
      </w:r>
      <w:r>
        <w:rPr>
          <w:spacing w:val="-1"/>
          <w:w w:val="99"/>
          <w:sz w:val="25"/>
        </w:rPr>
        <w:t>bin</w:t>
      </w:r>
      <w:r>
        <w:rPr>
          <w:w w:val="99"/>
          <w:sz w:val="25"/>
        </w:rPr>
        <w:t>ed</w:t>
      </w:r>
      <w:r>
        <w:rPr>
          <w:spacing w:val="2"/>
          <w:sz w:val="25"/>
        </w:rPr>
        <w:t> </w:t>
      </w:r>
      <w:r>
        <w:rPr>
          <w:spacing w:val="-1"/>
          <w:w w:val="99"/>
          <w:sz w:val="25"/>
        </w:rPr>
        <w:t>a</w:t>
      </w:r>
      <w:r>
        <w:rPr>
          <w:w w:val="99"/>
          <w:sz w:val="25"/>
        </w:rPr>
        <w:t>nd</w:t>
      </w:r>
      <w:r>
        <w:rPr>
          <w:spacing w:val="2"/>
          <w:sz w:val="25"/>
        </w:rPr>
        <w:t> </w:t>
      </w:r>
      <w:r>
        <w:rPr>
          <w:w w:val="99"/>
          <w:sz w:val="25"/>
        </w:rPr>
        <w:t>co</w:t>
      </w:r>
      <w:r>
        <w:rPr>
          <w:spacing w:val="1"/>
          <w:w w:val="99"/>
          <w:sz w:val="25"/>
        </w:rPr>
        <w:t>r</w:t>
      </w:r>
      <w:r>
        <w:rPr>
          <w:w w:val="99"/>
          <w:sz w:val="25"/>
        </w:rPr>
        <w:t>r</w:t>
      </w:r>
      <w:r>
        <w:rPr>
          <w:spacing w:val="-1"/>
          <w:w w:val="99"/>
          <w:sz w:val="25"/>
        </w:rPr>
        <w:t>o</w:t>
      </w:r>
      <w:r>
        <w:rPr>
          <w:w w:val="99"/>
          <w:sz w:val="25"/>
        </w:rPr>
        <w:t>b</w:t>
      </w:r>
      <w:r>
        <w:rPr>
          <w:spacing w:val="-1"/>
          <w:w w:val="99"/>
          <w:sz w:val="25"/>
        </w:rPr>
        <w:t>o</w:t>
      </w:r>
      <w:r>
        <w:rPr>
          <w:w w:val="99"/>
          <w:sz w:val="25"/>
        </w:rPr>
        <w:t>r</w:t>
      </w:r>
      <w:r>
        <w:rPr>
          <w:spacing w:val="-1"/>
          <w:w w:val="99"/>
          <w:sz w:val="25"/>
        </w:rPr>
        <w:t>ati</w:t>
      </w:r>
      <w:r>
        <w:rPr>
          <w:spacing w:val="-3"/>
          <w:w w:val="99"/>
          <w:sz w:val="25"/>
        </w:rPr>
        <w:t>v</w:t>
      </w:r>
      <w:r>
        <w:rPr>
          <w:w w:val="99"/>
          <w:sz w:val="25"/>
        </w:rPr>
        <w:t>e </w:t>
      </w:r>
      <w:r>
        <w:rPr>
          <w:sz w:val="25"/>
        </w:rPr>
        <w:t>evidences of pottery sequence, structural remains and other datable finds‖. The report indicates that structural activities in the excavated area had commenced from the Kushan period and continued in the Gupta and post-Gupta</w:t>
      </w:r>
      <w:r>
        <w:rPr>
          <w:spacing w:val="-13"/>
          <w:sz w:val="25"/>
        </w:rPr>
        <w:t> </w:t>
      </w:r>
      <w:r>
        <w:rPr>
          <w:sz w:val="25"/>
        </w:rPr>
        <w:t>periods:</w:t>
      </w:r>
    </w:p>
    <w:p>
      <w:pPr>
        <w:spacing w:line="276" w:lineRule="auto" w:before="159"/>
        <w:ind w:left="1940" w:right="2261" w:firstLine="0"/>
        <w:jc w:val="both"/>
        <w:rPr>
          <w:sz w:val="21"/>
        </w:rPr>
      </w:pPr>
      <w:r>
        <w:rPr>
          <w:spacing w:val="-1"/>
          <w:w w:val="33"/>
          <w:sz w:val="21"/>
        </w:rPr>
        <w:t>―</w:t>
      </w:r>
      <w:r>
        <w:rPr>
          <w:w w:val="100"/>
          <w:sz w:val="21"/>
        </w:rPr>
        <w:t>Exca</w:t>
      </w:r>
      <w:r>
        <w:rPr>
          <w:spacing w:val="-3"/>
          <w:w w:val="100"/>
          <w:sz w:val="21"/>
        </w:rPr>
        <w:t>v</w:t>
      </w:r>
      <w:r>
        <w:rPr>
          <w:spacing w:val="-1"/>
          <w:w w:val="100"/>
          <w:sz w:val="21"/>
        </w:rPr>
        <w:t>at</w:t>
      </w:r>
      <w:r>
        <w:rPr>
          <w:w w:val="100"/>
          <w:sz w:val="21"/>
        </w:rPr>
        <w:t>i</w:t>
      </w:r>
      <w:r>
        <w:rPr>
          <w:spacing w:val="-3"/>
          <w:w w:val="100"/>
          <w:sz w:val="21"/>
        </w:rPr>
        <w:t>o</w:t>
      </w:r>
      <w:r>
        <w:rPr>
          <w:spacing w:val="-1"/>
          <w:w w:val="100"/>
          <w:sz w:val="21"/>
        </w:rPr>
        <w:t>n</w:t>
      </w:r>
      <w:r>
        <w:rPr>
          <w:w w:val="100"/>
          <w:sz w:val="21"/>
        </w:rPr>
        <w:t>s</w:t>
      </w:r>
      <w:r>
        <w:rPr>
          <w:spacing w:val="8"/>
          <w:sz w:val="21"/>
        </w:rPr>
        <w:t> </w:t>
      </w:r>
      <w:r>
        <w:rPr>
          <w:spacing w:val="-1"/>
          <w:w w:val="100"/>
          <w:sz w:val="21"/>
        </w:rPr>
        <w:t>ha</w:t>
      </w:r>
      <w:r>
        <w:rPr>
          <w:spacing w:val="-3"/>
          <w:w w:val="100"/>
          <w:sz w:val="21"/>
        </w:rPr>
        <w:t>v</w:t>
      </w:r>
      <w:r>
        <w:rPr>
          <w:w w:val="100"/>
          <w:sz w:val="21"/>
        </w:rPr>
        <w:t>e</w:t>
      </w:r>
      <w:r>
        <w:rPr>
          <w:spacing w:val="6"/>
          <w:sz w:val="21"/>
        </w:rPr>
        <w:t> </w:t>
      </w:r>
      <w:r>
        <w:rPr>
          <w:spacing w:val="1"/>
          <w:w w:val="100"/>
          <w:sz w:val="21"/>
        </w:rPr>
        <w:t>m</w:t>
      </w:r>
      <w:r>
        <w:rPr>
          <w:spacing w:val="-1"/>
          <w:w w:val="100"/>
          <w:sz w:val="21"/>
        </w:rPr>
        <w:t>a</w:t>
      </w:r>
      <w:r>
        <w:rPr>
          <w:spacing w:val="-3"/>
          <w:w w:val="100"/>
          <w:sz w:val="21"/>
        </w:rPr>
        <w:t>d</w:t>
      </w:r>
      <w:r>
        <w:rPr>
          <w:w w:val="100"/>
          <w:sz w:val="21"/>
        </w:rPr>
        <w:t>e</w:t>
      </w:r>
      <w:r>
        <w:rPr>
          <w:spacing w:val="8"/>
          <w:sz w:val="21"/>
        </w:rPr>
        <w:t> </w:t>
      </w:r>
      <w:r>
        <w:rPr>
          <w:spacing w:val="-2"/>
          <w:w w:val="100"/>
          <w:sz w:val="21"/>
        </w:rPr>
        <w:t>i</w:t>
      </w:r>
      <w:r>
        <w:rPr>
          <w:w w:val="100"/>
          <w:sz w:val="21"/>
        </w:rPr>
        <w:t>t</w:t>
      </w:r>
      <w:r>
        <w:rPr>
          <w:spacing w:val="7"/>
          <w:sz w:val="21"/>
        </w:rPr>
        <w:t> </w:t>
      </w:r>
      <w:r>
        <w:rPr>
          <w:spacing w:val="-1"/>
          <w:w w:val="100"/>
          <w:sz w:val="21"/>
        </w:rPr>
        <w:t>a</w:t>
      </w:r>
      <w:r>
        <w:rPr>
          <w:spacing w:val="1"/>
          <w:w w:val="100"/>
          <w:sz w:val="21"/>
        </w:rPr>
        <w:t>m</w:t>
      </w:r>
      <w:r>
        <w:rPr>
          <w:spacing w:val="-3"/>
          <w:w w:val="100"/>
          <w:sz w:val="21"/>
        </w:rPr>
        <w:t>p</w:t>
      </w:r>
      <w:r>
        <w:rPr>
          <w:w w:val="100"/>
          <w:sz w:val="21"/>
        </w:rPr>
        <w:t>ly</w:t>
      </w:r>
      <w:r>
        <w:rPr>
          <w:spacing w:val="6"/>
          <w:sz w:val="21"/>
        </w:rPr>
        <w:t> </w:t>
      </w:r>
      <w:r>
        <w:rPr>
          <w:w w:val="100"/>
          <w:sz w:val="21"/>
        </w:rPr>
        <w:t>cl</w:t>
      </w:r>
      <w:r>
        <w:rPr>
          <w:spacing w:val="-1"/>
          <w:w w:val="100"/>
          <w:sz w:val="21"/>
        </w:rPr>
        <w:t>ea</w:t>
      </w:r>
      <w:r>
        <w:rPr>
          <w:w w:val="100"/>
          <w:sz w:val="21"/>
        </w:rPr>
        <w:t>r</w:t>
      </w:r>
      <w:r>
        <w:rPr>
          <w:spacing w:val="8"/>
          <w:sz w:val="21"/>
        </w:rPr>
        <w:t> </w:t>
      </w:r>
      <w:r>
        <w:rPr>
          <w:spacing w:val="-2"/>
          <w:w w:val="100"/>
          <w:sz w:val="21"/>
        </w:rPr>
        <w:t>t</w:t>
      </w:r>
      <w:r>
        <w:rPr>
          <w:spacing w:val="-1"/>
          <w:w w:val="100"/>
          <w:sz w:val="21"/>
        </w:rPr>
        <w:t>ha</w:t>
      </w:r>
      <w:r>
        <w:rPr>
          <w:w w:val="100"/>
          <w:sz w:val="21"/>
        </w:rPr>
        <w:t>t</w:t>
      </w:r>
      <w:r>
        <w:rPr>
          <w:spacing w:val="7"/>
          <w:sz w:val="21"/>
        </w:rPr>
        <w:t> </w:t>
      </w:r>
      <w:r>
        <w:rPr>
          <w:spacing w:val="-2"/>
          <w:w w:val="100"/>
          <w:sz w:val="21"/>
        </w:rPr>
        <w:t>t</w:t>
      </w:r>
      <w:r>
        <w:rPr>
          <w:spacing w:val="-1"/>
          <w:w w:val="100"/>
          <w:sz w:val="21"/>
        </w:rPr>
        <w:t>h</w:t>
      </w:r>
      <w:r>
        <w:rPr>
          <w:w w:val="100"/>
          <w:sz w:val="21"/>
        </w:rPr>
        <w:t>e</w:t>
      </w:r>
      <w:r>
        <w:rPr>
          <w:spacing w:val="8"/>
          <w:sz w:val="21"/>
        </w:rPr>
        <w:t> </w:t>
      </w:r>
      <w:r>
        <w:rPr>
          <w:w w:val="100"/>
          <w:sz w:val="21"/>
        </w:rPr>
        <w:t>si</w:t>
      </w:r>
      <w:r>
        <w:rPr>
          <w:spacing w:val="-2"/>
          <w:w w:val="100"/>
          <w:sz w:val="21"/>
        </w:rPr>
        <w:t>t</w:t>
      </w:r>
      <w:r>
        <w:rPr>
          <w:w w:val="100"/>
          <w:sz w:val="21"/>
        </w:rPr>
        <w:t>e</w:t>
      </w:r>
      <w:r>
        <w:rPr>
          <w:spacing w:val="8"/>
          <w:sz w:val="21"/>
        </w:rPr>
        <w:t> </w:t>
      </w:r>
      <w:r>
        <w:rPr>
          <w:spacing w:val="-1"/>
          <w:w w:val="100"/>
          <w:sz w:val="21"/>
        </w:rPr>
        <w:t>ha</w:t>
      </w:r>
      <w:r>
        <w:rPr>
          <w:w w:val="100"/>
          <w:sz w:val="21"/>
        </w:rPr>
        <w:t>d</w:t>
      </w:r>
      <w:r>
        <w:rPr>
          <w:spacing w:val="9"/>
          <w:sz w:val="21"/>
        </w:rPr>
        <w:t> </w:t>
      </w:r>
      <w:r>
        <w:rPr>
          <w:w w:val="100"/>
          <w:sz w:val="21"/>
        </w:rPr>
        <w:t>se</w:t>
      </w:r>
      <w:r>
        <w:rPr>
          <w:spacing w:val="-3"/>
          <w:w w:val="100"/>
          <w:sz w:val="21"/>
        </w:rPr>
        <w:t>e</w:t>
      </w:r>
      <w:r>
        <w:rPr>
          <w:w w:val="100"/>
          <w:sz w:val="21"/>
        </w:rPr>
        <w:t>n </w:t>
      </w:r>
      <w:r>
        <w:rPr>
          <w:sz w:val="21"/>
        </w:rPr>
        <w:t>successive structural activities which began from the middle of the Kushan level at the site. The brick and stone structures that were raised in Kushan and the succeeding periods of Gupta and post-Gupta times have added heights to the mound. To build further structures upon the earlier debris the later people added a deposit of earth excavated from the periphery of the mound, which belonged to the much earlier cultural periods. This is true for the rest of the structural phases</w:t>
      </w:r>
      <w:r>
        <w:rPr>
          <w:spacing w:val="-2"/>
          <w:sz w:val="21"/>
        </w:rPr>
        <w:t> </w:t>
      </w:r>
      <w:r>
        <w:rPr>
          <w:sz w:val="21"/>
        </w:rPr>
        <w:t>also.‖</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9"/>
        <w:jc w:val="both"/>
      </w:pPr>
      <w:r>
        <w:rPr/>
        <w:t>The ASI report suggested that the C14 determination of charcoal samples from the early levels (periods I to III) provide dates commencing from the last centuries of second millennium B.C.</w:t>
      </w:r>
    </w:p>
    <w:p>
      <w:pPr>
        <w:pStyle w:val="BodyText"/>
        <w:spacing w:line="480" w:lineRule="auto"/>
        <w:ind w:left="500" w:right="448"/>
        <w:jc w:val="both"/>
      </w:pPr>
      <w:r>
        <w:rPr/>
        <w:t>The ASI report, as stated above finds the existence of deposits of nine cultural periods. These are:</w:t>
      </w:r>
    </w:p>
    <w:p>
      <w:pPr>
        <w:pStyle w:val="BodyText"/>
        <w:spacing w:before="9"/>
        <w:rPr>
          <w:sz w:val="24"/>
        </w:rPr>
      </w:pPr>
    </w:p>
    <w:p>
      <w:pPr>
        <w:pStyle w:val="Heading5"/>
        <w:numPr>
          <w:ilvl w:val="0"/>
          <w:numId w:val="142"/>
        </w:numPr>
        <w:tabs>
          <w:tab w:pos="1221" w:val="left" w:leader="none"/>
        </w:tabs>
        <w:spacing w:line="240" w:lineRule="auto" w:before="1" w:after="0"/>
        <w:ind w:left="1220" w:right="0" w:hanging="721"/>
        <w:jc w:val="both"/>
      </w:pPr>
      <w:r>
        <w:rPr/>
        <w:t>Period –</w:t>
      </w:r>
      <w:r>
        <w:rPr>
          <w:spacing w:val="1"/>
        </w:rPr>
        <w:t> </w:t>
      </w:r>
      <w:r>
        <w:rPr/>
        <w:t>I</w:t>
      </w:r>
    </w:p>
    <w:p>
      <w:pPr>
        <w:pStyle w:val="BodyText"/>
        <w:rPr>
          <w:b/>
          <w:sz w:val="28"/>
        </w:rPr>
      </w:pPr>
    </w:p>
    <w:p>
      <w:pPr>
        <w:pStyle w:val="BodyText"/>
        <w:spacing w:before="2"/>
        <w:rPr>
          <w:b/>
          <w:sz w:val="27"/>
        </w:rPr>
      </w:pPr>
    </w:p>
    <w:p>
      <w:pPr>
        <w:spacing w:before="0"/>
        <w:ind w:left="500" w:right="0" w:firstLine="0"/>
        <w:jc w:val="both"/>
        <w:rPr>
          <w:i/>
          <w:sz w:val="26"/>
        </w:rPr>
      </w:pPr>
      <w:r>
        <w:rPr>
          <w:i/>
          <w:sz w:val="26"/>
        </w:rPr>
        <w:t>Northern Black Polished Ware Level</w:t>
      </w:r>
    </w:p>
    <w:p>
      <w:pPr>
        <w:pStyle w:val="BodyText"/>
        <w:spacing w:before="10"/>
        <w:rPr>
          <w:i/>
          <w:sz w:val="38"/>
        </w:rPr>
      </w:pPr>
    </w:p>
    <w:p>
      <w:pPr>
        <w:pStyle w:val="BodyText"/>
        <w:spacing w:line="480" w:lineRule="auto"/>
        <w:ind w:left="500" w:right="440"/>
        <w:jc w:val="both"/>
      </w:pPr>
      <w:r>
        <w:rPr/>
        <w:t>This period pertains to the sixth to third century B.C. where the earliest people to settle at the site used Northern Black Polished Ware and other associated ware (Grey ware, Black slipped ware and Red ware) which are diagnostic ceramics of that period. No substantial structural activity was noticed except for reed impressions on burnt clay. The findings of the excavation are:</w:t>
      </w:r>
    </w:p>
    <w:p>
      <w:pPr>
        <w:spacing w:before="159"/>
        <w:ind w:left="1940" w:right="0" w:firstLine="0"/>
        <w:jc w:val="both"/>
        <w:rPr>
          <w:i/>
          <w:sz w:val="21"/>
        </w:rPr>
      </w:pPr>
      <w:r>
        <w:rPr>
          <w:spacing w:val="-1"/>
          <w:w w:val="33"/>
          <w:sz w:val="21"/>
        </w:rPr>
        <w:t>―</w:t>
      </w:r>
      <w:r>
        <w:rPr>
          <w:w w:val="100"/>
          <w:sz w:val="21"/>
        </w:rPr>
        <w:t>P</w:t>
      </w:r>
      <w:r>
        <w:rPr>
          <w:spacing w:val="-1"/>
          <w:w w:val="100"/>
          <w:sz w:val="21"/>
        </w:rPr>
        <w:t>er</w:t>
      </w:r>
      <w:r>
        <w:rPr>
          <w:spacing w:val="-2"/>
          <w:w w:val="100"/>
          <w:sz w:val="21"/>
        </w:rPr>
        <w:t>i</w:t>
      </w:r>
      <w:r>
        <w:rPr>
          <w:spacing w:val="-1"/>
          <w:w w:val="100"/>
          <w:sz w:val="21"/>
        </w:rPr>
        <w:t>o</w:t>
      </w:r>
      <w:r>
        <w:rPr>
          <w:w w:val="100"/>
          <w:sz w:val="21"/>
        </w:rPr>
        <w:t>d</w:t>
      </w:r>
      <w:r>
        <w:rPr>
          <w:spacing w:val="-1"/>
          <w:sz w:val="21"/>
        </w:rPr>
        <w:t> </w:t>
      </w:r>
      <w:r>
        <w:rPr>
          <w:w w:val="100"/>
          <w:sz w:val="21"/>
        </w:rPr>
        <w:t>-</w:t>
      </w:r>
      <w:r>
        <w:rPr>
          <w:spacing w:val="-2"/>
          <w:sz w:val="21"/>
        </w:rPr>
        <w:t> </w:t>
      </w:r>
      <w:r>
        <w:rPr>
          <w:w w:val="100"/>
          <w:sz w:val="21"/>
        </w:rPr>
        <w:t>I</w:t>
      </w:r>
      <w:r>
        <w:rPr>
          <w:spacing w:val="-2"/>
          <w:sz w:val="21"/>
        </w:rPr>
        <w:t> </w:t>
      </w:r>
      <w:r>
        <w:rPr>
          <w:spacing w:val="-1"/>
          <w:w w:val="100"/>
          <w:sz w:val="21"/>
        </w:rPr>
        <w:t>(</w:t>
      </w:r>
      <w:r>
        <w:rPr>
          <w:i/>
          <w:w w:val="100"/>
          <w:sz w:val="21"/>
        </w:rPr>
        <w:t>Nor</w:t>
      </w:r>
      <w:r>
        <w:rPr>
          <w:i/>
          <w:spacing w:val="-2"/>
          <w:w w:val="100"/>
          <w:sz w:val="21"/>
        </w:rPr>
        <w:t>t</w:t>
      </w:r>
      <w:r>
        <w:rPr>
          <w:i/>
          <w:w w:val="100"/>
          <w:sz w:val="21"/>
        </w:rPr>
        <w:t>hern</w:t>
      </w:r>
      <w:r>
        <w:rPr>
          <w:i/>
          <w:spacing w:val="-1"/>
          <w:sz w:val="21"/>
        </w:rPr>
        <w:t> </w:t>
      </w:r>
      <w:r>
        <w:rPr>
          <w:i/>
          <w:spacing w:val="-2"/>
          <w:w w:val="100"/>
          <w:sz w:val="21"/>
        </w:rPr>
        <w:t>B</w:t>
      </w:r>
      <w:r>
        <w:rPr>
          <w:i/>
          <w:w w:val="100"/>
          <w:sz w:val="21"/>
        </w:rPr>
        <w:t>l</w:t>
      </w:r>
      <w:r>
        <w:rPr>
          <w:i/>
          <w:w w:val="100"/>
          <w:sz w:val="21"/>
        </w:rPr>
        <w:t>a</w:t>
      </w:r>
      <w:r>
        <w:rPr>
          <w:i/>
          <w:spacing w:val="-3"/>
          <w:w w:val="100"/>
          <w:sz w:val="21"/>
        </w:rPr>
        <w:t>c</w:t>
      </w:r>
      <w:r>
        <w:rPr>
          <w:i/>
          <w:w w:val="100"/>
          <w:sz w:val="21"/>
        </w:rPr>
        <w:t>k</w:t>
      </w:r>
      <w:r>
        <w:rPr>
          <w:i/>
          <w:spacing w:val="-4"/>
          <w:sz w:val="21"/>
        </w:rPr>
        <w:t> </w:t>
      </w:r>
      <w:r>
        <w:rPr>
          <w:i/>
          <w:w w:val="100"/>
          <w:sz w:val="21"/>
        </w:rPr>
        <w:t>P</w:t>
      </w:r>
      <w:r>
        <w:rPr>
          <w:i/>
          <w:w w:val="100"/>
          <w:sz w:val="21"/>
        </w:rPr>
        <w:t>o</w:t>
      </w:r>
      <w:r>
        <w:rPr>
          <w:i/>
          <w:spacing w:val="-2"/>
          <w:w w:val="100"/>
          <w:sz w:val="21"/>
        </w:rPr>
        <w:t>l</w:t>
      </w:r>
      <w:r>
        <w:rPr>
          <w:i/>
          <w:w w:val="100"/>
          <w:sz w:val="21"/>
        </w:rPr>
        <w:t>i</w:t>
      </w:r>
      <w:r>
        <w:rPr>
          <w:i/>
          <w:w w:val="100"/>
          <w:sz w:val="21"/>
        </w:rPr>
        <w:t>s</w:t>
      </w:r>
      <w:r>
        <w:rPr>
          <w:i/>
          <w:spacing w:val="-3"/>
          <w:w w:val="100"/>
          <w:sz w:val="21"/>
        </w:rPr>
        <w:t>h</w:t>
      </w:r>
      <w:r>
        <w:rPr>
          <w:i/>
          <w:w w:val="100"/>
          <w:sz w:val="21"/>
        </w:rPr>
        <w:t>ed</w:t>
      </w:r>
      <w:r>
        <w:rPr>
          <w:i/>
          <w:spacing w:val="-3"/>
          <w:sz w:val="21"/>
        </w:rPr>
        <w:t> </w:t>
      </w:r>
      <w:r>
        <w:rPr>
          <w:i/>
          <w:spacing w:val="2"/>
          <w:w w:val="100"/>
          <w:sz w:val="21"/>
        </w:rPr>
        <w:t>W</w:t>
      </w:r>
      <w:r>
        <w:rPr>
          <w:i/>
          <w:w w:val="100"/>
          <w:sz w:val="21"/>
        </w:rPr>
        <w:t>a</w:t>
      </w:r>
      <w:r>
        <w:rPr>
          <w:i/>
          <w:spacing w:val="-3"/>
          <w:w w:val="100"/>
          <w:sz w:val="21"/>
        </w:rPr>
        <w:t>r</w:t>
      </w:r>
      <w:r>
        <w:rPr>
          <w:i/>
          <w:w w:val="100"/>
          <w:sz w:val="21"/>
        </w:rPr>
        <w:t>e</w:t>
      </w:r>
      <w:r>
        <w:rPr>
          <w:i/>
          <w:spacing w:val="-1"/>
          <w:sz w:val="21"/>
        </w:rPr>
        <w:t> </w:t>
      </w:r>
      <w:r>
        <w:rPr>
          <w:i/>
          <w:w w:val="100"/>
          <w:sz w:val="21"/>
        </w:rPr>
        <w:t>Le</w:t>
      </w:r>
      <w:r>
        <w:rPr>
          <w:i/>
          <w:spacing w:val="-3"/>
          <w:w w:val="100"/>
          <w:sz w:val="21"/>
        </w:rPr>
        <w:t>v</w:t>
      </w:r>
      <w:r>
        <w:rPr>
          <w:i/>
          <w:w w:val="100"/>
          <w:sz w:val="21"/>
        </w:rPr>
        <w:t>e</w:t>
      </w:r>
      <w:r>
        <w:rPr>
          <w:i/>
          <w:spacing w:val="1"/>
          <w:w w:val="100"/>
          <w:sz w:val="21"/>
        </w:rPr>
        <w:t>l</w:t>
      </w:r>
      <w:r>
        <w:rPr>
          <w:i/>
          <w:w w:val="100"/>
          <w:sz w:val="21"/>
        </w:rPr>
        <w:t>)</w:t>
      </w:r>
    </w:p>
    <w:p>
      <w:pPr>
        <w:spacing w:line="276" w:lineRule="auto" w:before="37"/>
        <w:ind w:left="1940" w:right="2261" w:firstLine="0"/>
        <w:jc w:val="both"/>
        <w:rPr>
          <w:sz w:val="21"/>
        </w:rPr>
      </w:pPr>
      <w:r>
        <w:rPr>
          <w:i/>
          <w:sz w:val="21"/>
        </w:rPr>
        <w:t>....</w:t>
      </w:r>
      <w:r>
        <w:rPr>
          <w:sz w:val="21"/>
        </w:rPr>
        <w:t>Besides the pottery this level yielded broken weights, fragments of votive tanks, ear-studs, discs, hopscotches, a wheel made on disc, a broken animal figurine (all in terracotta), an iron knife (broken), glass beads, bone point, etc. However, the most significant find from the level is a round bezel in greenish glass with legend '</w:t>
      </w:r>
      <w:r>
        <w:rPr>
          <w:i/>
          <w:sz w:val="21"/>
        </w:rPr>
        <w:t>sidhe' </w:t>
      </w:r>
      <w:r>
        <w:rPr>
          <w:sz w:val="21"/>
        </w:rPr>
        <w:t>in high relief in Asokan Brahmi on the obverse while the reverse in plain (Rg.No.778).‖</w:t>
      </w:r>
    </w:p>
    <w:p>
      <w:pPr>
        <w:pStyle w:val="BodyText"/>
        <w:rPr>
          <w:sz w:val="24"/>
        </w:rPr>
      </w:pPr>
    </w:p>
    <w:p>
      <w:pPr>
        <w:pStyle w:val="BodyText"/>
        <w:spacing w:before="4"/>
        <w:rPr>
          <w:sz w:val="28"/>
        </w:rPr>
      </w:pPr>
    </w:p>
    <w:p>
      <w:pPr>
        <w:pStyle w:val="Heading5"/>
        <w:numPr>
          <w:ilvl w:val="0"/>
          <w:numId w:val="142"/>
        </w:numPr>
        <w:tabs>
          <w:tab w:pos="1221" w:val="left" w:leader="none"/>
        </w:tabs>
        <w:spacing w:line="240" w:lineRule="auto" w:before="0" w:after="0"/>
        <w:ind w:left="1220" w:right="0" w:hanging="721"/>
        <w:jc w:val="both"/>
      </w:pPr>
      <w:r>
        <w:rPr/>
        <w:t>Period –</w:t>
      </w:r>
      <w:r>
        <w:rPr>
          <w:spacing w:val="1"/>
        </w:rPr>
        <w:t> </w:t>
      </w:r>
      <w:r>
        <w:rPr/>
        <w:t>II</w:t>
      </w:r>
    </w:p>
    <w:p>
      <w:pPr>
        <w:pStyle w:val="BodyText"/>
        <w:spacing w:before="3"/>
        <w:rPr>
          <w:b/>
        </w:rPr>
      </w:pPr>
    </w:p>
    <w:p>
      <w:pPr>
        <w:spacing w:before="0"/>
        <w:ind w:left="1220" w:right="0" w:firstLine="0"/>
        <w:jc w:val="left"/>
        <w:rPr>
          <w:i/>
          <w:sz w:val="25"/>
        </w:rPr>
      </w:pPr>
      <w:r>
        <w:rPr>
          <w:i/>
          <w:sz w:val="25"/>
        </w:rPr>
        <w:t>Sunga Level</w:t>
      </w:r>
    </w:p>
    <w:p>
      <w:pPr>
        <w:pStyle w:val="BodyText"/>
        <w:rPr>
          <w:i/>
          <w:sz w:val="28"/>
        </w:rPr>
      </w:pPr>
    </w:p>
    <w:p>
      <w:pPr>
        <w:pStyle w:val="BodyText"/>
        <w:spacing w:before="11"/>
        <w:rPr>
          <w:i/>
          <w:sz w:val="21"/>
        </w:rPr>
      </w:pPr>
    </w:p>
    <w:p>
      <w:pPr>
        <w:pStyle w:val="BodyText"/>
        <w:spacing w:line="480" w:lineRule="auto"/>
        <w:ind w:left="500" w:right="436"/>
        <w:jc w:val="both"/>
      </w:pPr>
      <w:r>
        <w:rPr/>
        <w:t>The</w:t>
      </w:r>
      <w:r>
        <w:rPr>
          <w:spacing w:val="-9"/>
        </w:rPr>
        <w:t> </w:t>
      </w:r>
      <w:r>
        <w:rPr/>
        <w:t>Sunga</w:t>
      </w:r>
      <w:r>
        <w:rPr>
          <w:spacing w:val="-9"/>
        </w:rPr>
        <w:t> </w:t>
      </w:r>
      <w:r>
        <w:rPr/>
        <w:t>Level</w:t>
      </w:r>
      <w:r>
        <w:rPr>
          <w:spacing w:val="-10"/>
        </w:rPr>
        <w:t> </w:t>
      </w:r>
      <w:r>
        <w:rPr/>
        <w:t>relates</w:t>
      </w:r>
      <w:r>
        <w:rPr>
          <w:spacing w:val="-10"/>
        </w:rPr>
        <w:t> </w:t>
      </w:r>
      <w:r>
        <w:rPr/>
        <w:t>to</w:t>
      </w:r>
      <w:r>
        <w:rPr>
          <w:spacing w:val="-9"/>
        </w:rPr>
        <w:t> </w:t>
      </w:r>
      <w:r>
        <w:rPr/>
        <w:t>‗circa</w:t>
      </w:r>
      <w:r>
        <w:rPr>
          <w:spacing w:val="-10"/>
        </w:rPr>
        <w:t> </w:t>
      </w:r>
      <w:r>
        <w:rPr/>
        <w:t>second-first</w:t>
      </w:r>
      <w:r>
        <w:rPr>
          <w:spacing w:val="-10"/>
        </w:rPr>
        <w:t> </w:t>
      </w:r>
      <w:r>
        <w:rPr/>
        <w:t>century</w:t>
      </w:r>
      <w:r>
        <w:rPr>
          <w:spacing w:val="-9"/>
        </w:rPr>
        <w:t> </w:t>
      </w:r>
      <w:r>
        <w:rPr/>
        <w:t>B.C‘.</w:t>
      </w:r>
      <w:r>
        <w:rPr>
          <w:spacing w:val="-9"/>
        </w:rPr>
        <w:t> </w:t>
      </w:r>
      <w:r>
        <w:rPr/>
        <w:t>During</w:t>
      </w:r>
      <w:r>
        <w:rPr>
          <w:spacing w:val="-10"/>
        </w:rPr>
        <w:t> </w:t>
      </w:r>
      <w:r>
        <w:rPr/>
        <w:t>this</w:t>
      </w:r>
      <w:r>
        <w:rPr>
          <w:spacing w:val="-10"/>
        </w:rPr>
        <w:t> </w:t>
      </w:r>
      <w:r>
        <w:rPr/>
        <w:t>period,</w:t>
      </w:r>
      <w:r>
        <w:rPr>
          <w:spacing w:val="-8"/>
        </w:rPr>
        <w:t> </w:t>
      </w:r>
      <w:r>
        <w:rPr/>
        <w:t>the site witnessed the first structural activities in stone and brick. The ASI report states:</w:t>
      </w:r>
    </w:p>
    <w:p>
      <w:pPr>
        <w:spacing w:after="0" w:line="480" w:lineRule="auto"/>
        <w:jc w:val="both"/>
        <w:sectPr>
          <w:pgSz w:w="11910" w:h="16840"/>
          <w:pgMar w:header="721" w:footer="1014" w:top="1300" w:bottom="1200" w:left="940" w:right="1000"/>
        </w:sectPr>
      </w:pPr>
    </w:p>
    <w:p>
      <w:pPr>
        <w:spacing w:line="276" w:lineRule="auto" w:before="122"/>
        <w:ind w:left="1940" w:right="2261" w:firstLine="0"/>
        <w:jc w:val="both"/>
        <w:rPr>
          <w:sz w:val="21"/>
        </w:rPr>
      </w:pPr>
      <w:r>
        <w:rPr>
          <w:spacing w:val="-1"/>
          <w:w w:val="33"/>
          <w:sz w:val="21"/>
        </w:rPr>
        <w:t>―</w:t>
      </w:r>
      <w:r>
        <w:rPr>
          <w:i/>
          <w:spacing w:val="-2"/>
          <w:w w:val="100"/>
          <w:sz w:val="21"/>
        </w:rPr>
        <w:t>...</w:t>
      </w:r>
      <w:r>
        <w:rPr>
          <w:spacing w:val="1"/>
          <w:w w:val="100"/>
          <w:sz w:val="21"/>
        </w:rPr>
        <w:t>I</w:t>
      </w:r>
      <w:r>
        <w:rPr>
          <w:w w:val="100"/>
          <w:sz w:val="21"/>
        </w:rPr>
        <w:t>t</w:t>
      </w:r>
      <w:r>
        <w:rPr>
          <w:sz w:val="21"/>
        </w:rPr>
        <w:t> </w:t>
      </w:r>
      <w:r>
        <w:rPr>
          <w:spacing w:val="-11"/>
          <w:sz w:val="21"/>
        </w:rPr>
        <w:t> </w:t>
      </w:r>
      <w:r>
        <w:rPr>
          <w:w w:val="100"/>
          <w:sz w:val="21"/>
        </w:rPr>
        <w:t>i</w:t>
      </w:r>
      <w:r>
        <w:rPr>
          <w:w w:val="100"/>
          <w:sz w:val="21"/>
        </w:rPr>
        <w:t>s</w:t>
      </w:r>
      <w:r>
        <w:rPr>
          <w:sz w:val="21"/>
        </w:rPr>
        <w:t> </w:t>
      </w:r>
      <w:r>
        <w:rPr>
          <w:spacing w:val="-12"/>
          <w:sz w:val="21"/>
        </w:rPr>
        <w:t> </w:t>
      </w:r>
      <w:r>
        <w:rPr>
          <w:w w:val="100"/>
          <w:sz w:val="21"/>
        </w:rPr>
        <w:t>i</w:t>
      </w:r>
      <w:r>
        <w:rPr>
          <w:w w:val="100"/>
          <w:sz w:val="21"/>
        </w:rPr>
        <w:t>n</w:t>
      </w:r>
      <w:r>
        <w:rPr>
          <w:sz w:val="21"/>
        </w:rPr>
        <w:t> </w:t>
      </w:r>
      <w:r>
        <w:rPr>
          <w:spacing w:val="-9"/>
          <w:sz w:val="21"/>
        </w:rPr>
        <w:t> </w:t>
      </w:r>
      <w:r>
        <w:rPr>
          <w:spacing w:val="-4"/>
          <w:w w:val="100"/>
          <w:sz w:val="21"/>
        </w:rPr>
        <w:t>t</w:t>
      </w:r>
      <w:r>
        <w:rPr>
          <w:w w:val="100"/>
          <w:sz w:val="21"/>
        </w:rPr>
        <w:t>h</w:t>
      </w:r>
      <w:r>
        <w:rPr>
          <w:spacing w:val="1"/>
          <w:w w:val="100"/>
          <w:sz w:val="21"/>
        </w:rPr>
        <w:t>i</w:t>
      </w:r>
      <w:r>
        <w:rPr>
          <w:w w:val="100"/>
          <w:sz w:val="21"/>
        </w:rPr>
        <w:t>s</w:t>
      </w:r>
      <w:r>
        <w:rPr>
          <w:sz w:val="21"/>
        </w:rPr>
        <w:t> </w:t>
      </w:r>
      <w:r>
        <w:rPr>
          <w:spacing w:val="-12"/>
          <w:sz w:val="21"/>
        </w:rPr>
        <w:t> </w:t>
      </w:r>
      <w:r>
        <w:rPr>
          <w:w w:val="100"/>
          <w:sz w:val="21"/>
        </w:rPr>
        <w:t>pe</w:t>
      </w:r>
      <w:r>
        <w:rPr>
          <w:spacing w:val="-3"/>
          <w:w w:val="100"/>
          <w:sz w:val="21"/>
        </w:rPr>
        <w:t>r</w:t>
      </w:r>
      <w:r>
        <w:rPr>
          <w:w w:val="100"/>
          <w:sz w:val="21"/>
        </w:rPr>
        <w:t>i</w:t>
      </w:r>
      <w:r>
        <w:rPr>
          <w:spacing w:val="-3"/>
          <w:w w:val="100"/>
          <w:sz w:val="21"/>
        </w:rPr>
        <w:t>o</w:t>
      </w:r>
      <w:r>
        <w:rPr>
          <w:w w:val="100"/>
          <w:sz w:val="21"/>
        </w:rPr>
        <w:t>d</w:t>
      </w:r>
      <w:r>
        <w:rPr>
          <w:sz w:val="21"/>
        </w:rPr>
        <w:t> </w:t>
      </w:r>
      <w:r>
        <w:rPr>
          <w:spacing w:val="-9"/>
          <w:sz w:val="21"/>
        </w:rPr>
        <w:t> </w:t>
      </w:r>
      <w:r>
        <w:rPr>
          <w:spacing w:val="-2"/>
          <w:w w:val="100"/>
          <w:sz w:val="21"/>
        </w:rPr>
        <w:t>t</w:t>
      </w:r>
      <w:r>
        <w:rPr>
          <w:w w:val="100"/>
          <w:sz w:val="21"/>
        </w:rPr>
        <w:t>h</w:t>
      </w:r>
      <w:r>
        <w:rPr>
          <w:spacing w:val="-3"/>
          <w:w w:val="100"/>
          <w:sz w:val="21"/>
        </w:rPr>
        <w:t>a</w:t>
      </w:r>
      <w:r>
        <w:rPr>
          <w:w w:val="100"/>
          <w:sz w:val="21"/>
        </w:rPr>
        <w:t>t</w:t>
      </w:r>
      <w:r>
        <w:rPr>
          <w:sz w:val="21"/>
        </w:rPr>
        <w:t> </w:t>
      </w:r>
      <w:r>
        <w:rPr>
          <w:spacing w:val="-11"/>
          <w:sz w:val="21"/>
        </w:rPr>
        <w:t> </w:t>
      </w:r>
      <w:r>
        <w:rPr>
          <w:spacing w:val="-2"/>
          <w:w w:val="100"/>
          <w:sz w:val="21"/>
        </w:rPr>
        <w:t>t</w:t>
      </w:r>
      <w:r>
        <w:rPr>
          <w:w w:val="100"/>
          <w:sz w:val="21"/>
        </w:rPr>
        <w:t>he</w:t>
      </w:r>
      <w:r>
        <w:rPr>
          <w:sz w:val="21"/>
        </w:rPr>
        <w:t> </w:t>
      </w:r>
      <w:r>
        <w:rPr>
          <w:spacing w:val="-9"/>
          <w:sz w:val="21"/>
        </w:rPr>
        <w:t> </w:t>
      </w:r>
      <w:r>
        <w:rPr>
          <w:spacing w:val="-3"/>
          <w:w w:val="100"/>
          <w:sz w:val="21"/>
        </w:rPr>
        <w:t>s</w:t>
      </w:r>
      <w:r>
        <w:rPr>
          <w:w w:val="100"/>
          <w:sz w:val="21"/>
        </w:rPr>
        <w:t>i</w:t>
      </w:r>
      <w:r>
        <w:rPr>
          <w:spacing w:val="-2"/>
          <w:w w:val="100"/>
          <w:sz w:val="21"/>
        </w:rPr>
        <w:t>t</w:t>
      </w:r>
      <w:r>
        <w:rPr>
          <w:w w:val="100"/>
          <w:sz w:val="21"/>
        </w:rPr>
        <w:t>e</w:t>
      </w:r>
      <w:r>
        <w:rPr>
          <w:sz w:val="21"/>
        </w:rPr>
        <w:t> </w:t>
      </w:r>
      <w:r>
        <w:rPr>
          <w:spacing w:val="-9"/>
          <w:sz w:val="21"/>
        </w:rPr>
        <w:t> </w:t>
      </w:r>
      <w:r>
        <w:rPr>
          <w:spacing w:val="-4"/>
          <w:w w:val="100"/>
          <w:sz w:val="21"/>
        </w:rPr>
        <w:t>w</w:t>
      </w:r>
      <w:r>
        <w:rPr>
          <w:w w:val="100"/>
          <w:sz w:val="21"/>
        </w:rPr>
        <w:t>i</w:t>
      </w:r>
      <w:r>
        <w:rPr>
          <w:spacing w:val="-2"/>
          <w:w w:val="100"/>
          <w:sz w:val="21"/>
        </w:rPr>
        <w:t>t</w:t>
      </w:r>
      <w:r>
        <w:rPr>
          <w:w w:val="100"/>
          <w:sz w:val="21"/>
        </w:rPr>
        <w:t>ne</w:t>
      </w:r>
      <w:r>
        <w:rPr>
          <w:spacing w:val="-3"/>
          <w:w w:val="100"/>
          <w:sz w:val="21"/>
        </w:rPr>
        <w:t>s</w:t>
      </w:r>
      <w:r>
        <w:rPr>
          <w:w w:val="100"/>
          <w:sz w:val="21"/>
        </w:rPr>
        <w:t>sed</w:t>
      </w:r>
      <w:r>
        <w:rPr>
          <w:sz w:val="21"/>
        </w:rPr>
        <w:t> </w:t>
      </w:r>
      <w:r>
        <w:rPr>
          <w:spacing w:val="-12"/>
          <w:sz w:val="21"/>
        </w:rPr>
        <w:t> </w:t>
      </w:r>
      <w:r>
        <w:rPr>
          <w:spacing w:val="-2"/>
          <w:w w:val="100"/>
          <w:sz w:val="21"/>
        </w:rPr>
        <w:t>f</w:t>
      </w:r>
      <w:r>
        <w:rPr>
          <w:w w:val="100"/>
          <w:sz w:val="21"/>
        </w:rPr>
        <w:t>i</w:t>
      </w:r>
      <w:r>
        <w:rPr>
          <w:spacing w:val="-1"/>
          <w:w w:val="100"/>
          <w:sz w:val="21"/>
        </w:rPr>
        <w:t>r</w:t>
      </w:r>
      <w:r>
        <w:rPr>
          <w:w w:val="100"/>
          <w:sz w:val="21"/>
        </w:rPr>
        <w:t>st</w:t>
      </w:r>
      <w:r>
        <w:rPr>
          <w:sz w:val="21"/>
        </w:rPr>
        <w:t> </w:t>
      </w:r>
      <w:r>
        <w:rPr>
          <w:spacing w:val="-13"/>
          <w:sz w:val="21"/>
        </w:rPr>
        <w:t> </w:t>
      </w:r>
      <w:r>
        <w:rPr>
          <w:w w:val="100"/>
          <w:sz w:val="21"/>
        </w:rPr>
        <w:t>s</w:t>
      </w:r>
      <w:r>
        <w:rPr>
          <w:spacing w:val="-2"/>
          <w:w w:val="100"/>
          <w:sz w:val="21"/>
        </w:rPr>
        <w:t>t</w:t>
      </w:r>
      <w:r>
        <w:rPr>
          <w:spacing w:val="-1"/>
          <w:w w:val="100"/>
          <w:sz w:val="21"/>
        </w:rPr>
        <w:t>r</w:t>
      </w:r>
      <w:r>
        <w:rPr>
          <w:w w:val="100"/>
          <w:sz w:val="21"/>
        </w:rPr>
        <w:t>uc</w:t>
      </w:r>
      <w:r>
        <w:rPr>
          <w:spacing w:val="-1"/>
          <w:w w:val="100"/>
          <w:sz w:val="21"/>
        </w:rPr>
        <w:t>t</w:t>
      </w:r>
      <w:r>
        <w:rPr>
          <w:w w:val="100"/>
          <w:sz w:val="21"/>
        </w:rPr>
        <w:t>ur</w:t>
      </w:r>
      <w:r>
        <w:rPr>
          <w:spacing w:val="-3"/>
          <w:w w:val="100"/>
          <w:sz w:val="21"/>
        </w:rPr>
        <w:t>a</w:t>
      </w:r>
      <w:r>
        <w:rPr>
          <w:w w:val="100"/>
          <w:sz w:val="21"/>
        </w:rPr>
        <w:t>l </w:t>
      </w:r>
      <w:r>
        <w:rPr>
          <w:sz w:val="21"/>
        </w:rPr>
        <w:t>activity in stone and brick, as noticed in J3. The level is represented by terracotta objects comprising human and animal figurines, bangle fragment, ball, wheel and a broken sealing with only </w:t>
      </w:r>
      <w:r>
        <w:rPr>
          <w:i/>
          <w:sz w:val="21"/>
        </w:rPr>
        <w:t>'sri' </w:t>
      </w:r>
      <w:r>
        <w:rPr>
          <w:sz w:val="21"/>
        </w:rPr>
        <w:t>letter in Brahmi extant (Rg No.701), a saddle quern and part of a lid in stone, a glass bead, a hairpin and an engraver on bone and an ivory dice, besides the period pottery of the</w:t>
      </w:r>
      <w:r>
        <w:rPr>
          <w:spacing w:val="-8"/>
          <w:sz w:val="21"/>
        </w:rPr>
        <w:t> </w:t>
      </w:r>
      <w:r>
        <w:rPr>
          <w:sz w:val="21"/>
        </w:rPr>
        <w:t>level.‖</w:t>
      </w:r>
    </w:p>
    <w:p>
      <w:pPr>
        <w:pStyle w:val="BodyText"/>
        <w:rPr>
          <w:sz w:val="24"/>
        </w:rPr>
      </w:pPr>
    </w:p>
    <w:p>
      <w:pPr>
        <w:pStyle w:val="BodyText"/>
        <w:spacing w:before="4"/>
        <w:rPr>
          <w:sz w:val="28"/>
        </w:rPr>
      </w:pPr>
    </w:p>
    <w:p>
      <w:pPr>
        <w:pStyle w:val="Heading5"/>
        <w:numPr>
          <w:ilvl w:val="0"/>
          <w:numId w:val="142"/>
        </w:numPr>
        <w:tabs>
          <w:tab w:pos="1220" w:val="left" w:leader="none"/>
          <w:tab w:pos="1221" w:val="left" w:leader="none"/>
        </w:tabs>
        <w:spacing w:line="240" w:lineRule="auto" w:before="0" w:after="0"/>
        <w:ind w:left="1220" w:right="0" w:hanging="721"/>
        <w:jc w:val="left"/>
      </w:pPr>
      <w:r>
        <w:rPr/>
        <w:t>Period</w:t>
      </w:r>
      <w:r>
        <w:rPr>
          <w:spacing w:val="1"/>
        </w:rPr>
        <w:t> </w:t>
      </w:r>
      <w:r>
        <w:rPr/>
        <w:t>–III</w:t>
      </w:r>
    </w:p>
    <w:p>
      <w:pPr>
        <w:pStyle w:val="BodyText"/>
        <w:spacing w:before="4"/>
        <w:rPr>
          <w:b/>
        </w:rPr>
      </w:pPr>
    </w:p>
    <w:p>
      <w:pPr>
        <w:spacing w:before="0"/>
        <w:ind w:left="1220" w:right="0" w:firstLine="0"/>
        <w:jc w:val="left"/>
        <w:rPr>
          <w:i/>
          <w:sz w:val="25"/>
        </w:rPr>
      </w:pPr>
      <w:r>
        <w:rPr>
          <w:i/>
          <w:sz w:val="25"/>
        </w:rPr>
        <w:t>Kushan Level</w:t>
      </w:r>
    </w:p>
    <w:p>
      <w:pPr>
        <w:pStyle w:val="BodyText"/>
        <w:rPr>
          <w:i/>
          <w:sz w:val="28"/>
        </w:rPr>
      </w:pPr>
    </w:p>
    <w:p>
      <w:pPr>
        <w:pStyle w:val="BodyText"/>
        <w:spacing w:before="11"/>
        <w:rPr>
          <w:i/>
          <w:sz w:val="21"/>
        </w:rPr>
      </w:pPr>
    </w:p>
    <w:p>
      <w:pPr>
        <w:pStyle w:val="BodyText"/>
        <w:spacing w:line="480" w:lineRule="auto"/>
        <w:ind w:left="500" w:right="442"/>
        <w:jc w:val="both"/>
      </w:pPr>
      <w:r>
        <w:rPr/>
        <w:t>This period which relates to circa first-third century A.D. has resulted in the finding of rich deposits of pottery. In one of the trenches, a huge kiln was noticed at the lower levels. The findings of the excavation are as</w:t>
      </w:r>
      <w:r>
        <w:rPr>
          <w:spacing w:val="-8"/>
        </w:rPr>
        <w:t> </w:t>
      </w:r>
      <w:r>
        <w:rPr/>
        <w:t>follows:</w:t>
      </w:r>
    </w:p>
    <w:p>
      <w:pPr>
        <w:spacing w:line="276" w:lineRule="auto" w:before="0"/>
        <w:ind w:left="1940" w:right="2259" w:firstLine="0"/>
        <w:jc w:val="both"/>
        <w:rPr>
          <w:sz w:val="21"/>
        </w:rPr>
      </w:pPr>
      <w:r>
        <w:rPr>
          <w:spacing w:val="-1"/>
          <w:w w:val="33"/>
          <w:sz w:val="21"/>
        </w:rPr>
        <w:t>―</w:t>
      </w:r>
      <w:r>
        <w:rPr>
          <w:spacing w:val="-2"/>
          <w:w w:val="100"/>
          <w:sz w:val="21"/>
        </w:rPr>
        <w:t>I</w:t>
      </w:r>
      <w:r>
        <w:rPr>
          <w:w w:val="100"/>
          <w:sz w:val="21"/>
        </w:rPr>
        <w:t>n</w:t>
      </w:r>
      <w:r>
        <w:rPr>
          <w:spacing w:val="27"/>
          <w:sz w:val="21"/>
        </w:rPr>
        <w:t> </w:t>
      </w:r>
      <w:r>
        <w:rPr>
          <w:spacing w:val="-2"/>
          <w:w w:val="100"/>
          <w:sz w:val="21"/>
        </w:rPr>
        <w:t>t</w:t>
      </w:r>
      <w:r>
        <w:rPr>
          <w:spacing w:val="-1"/>
          <w:w w:val="100"/>
          <w:sz w:val="21"/>
        </w:rPr>
        <w:t>renc</w:t>
      </w:r>
      <w:r>
        <w:rPr>
          <w:w w:val="100"/>
          <w:sz w:val="21"/>
        </w:rPr>
        <w:t>h</w:t>
      </w:r>
      <w:r>
        <w:rPr>
          <w:spacing w:val="28"/>
          <w:sz w:val="21"/>
        </w:rPr>
        <w:t> </w:t>
      </w:r>
      <w:r>
        <w:rPr>
          <w:spacing w:val="-2"/>
          <w:w w:val="100"/>
          <w:sz w:val="21"/>
        </w:rPr>
        <w:t>G</w:t>
      </w:r>
      <w:r>
        <w:rPr>
          <w:spacing w:val="-1"/>
          <w:w w:val="100"/>
          <w:sz w:val="21"/>
        </w:rPr>
        <w:t>7</w:t>
      </w:r>
      <w:r>
        <w:rPr>
          <w:w w:val="100"/>
          <w:sz w:val="21"/>
        </w:rPr>
        <w:t>,</w:t>
      </w:r>
      <w:r>
        <w:rPr>
          <w:spacing w:val="26"/>
          <w:sz w:val="21"/>
        </w:rPr>
        <w:t> </w:t>
      </w:r>
      <w:r>
        <w:rPr>
          <w:spacing w:val="-1"/>
          <w:w w:val="100"/>
          <w:sz w:val="21"/>
        </w:rPr>
        <w:t>howe</w:t>
      </w:r>
      <w:r>
        <w:rPr>
          <w:spacing w:val="-3"/>
          <w:w w:val="100"/>
          <w:sz w:val="21"/>
        </w:rPr>
        <w:t>v</w:t>
      </w:r>
      <w:r>
        <w:rPr>
          <w:spacing w:val="-1"/>
          <w:w w:val="100"/>
          <w:sz w:val="21"/>
        </w:rPr>
        <w:t>er</w:t>
      </w:r>
      <w:r>
        <w:rPr>
          <w:w w:val="100"/>
          <w:sz w:val="21"/>
        </w:rPr>
        <w:t>,</w:t>
      </w:r>
      <w:r>
        <w:rPr>
          <w:spacing w:val="28"/>
          <w:sz w:val="21"/>
        </w:rPr>
        <w:t> </w:t>
      </w:r>
      <w:r>
        <w:rPr>
          <w:spacing w:val="1"/>
          <w:w w:val="100"/>
          <w:sz w:val="21"/>
        </w:rPr>
        <w:t>t</w:t>
      </w:r>
      <w:r>
        <w:rPr>
          <w:spacing w:val="-1"/>
          <w:w w:val="100"/>
          <w:sz w:val="21"/>
        </w:rPr>
        <w:t>h</w:t>
      </w:r>
      <w:r>
        <w:rPr>
          <w:w w:val="100"/>
          <w:sz w:val="21"/>
        </w:rPr>
        <w:t>e</w:t>
      </w:r>
      <w:r>
        <w:rPr>
          <w:spacing w:val="28"/>
          <w:sz w:val="21"/>
        </w:rPr>
        <w:t> </w:t>
      </w:r>
      <w:r>
        <w:rPr>
          <w:w w:val="100"/>
          <w:sz w:val="21"/>
        </w:rPr>
        <w:t>l</w:t>
      </w:r>
      <w:r>
        <w:rPr>
          <w:spacing w:val="-2"/>
          <w:w w:val="100"/>
          <w:sz w:val="21"/>
        </w:rPr>
        <w:t>i</w:t>
      </w:r>
      <w:r>
        <w:rPr>
          <w:spacing w:val="-1"/>
          <w:w w:val="100"/>
          <w:sz w:val="21"/>
        </w:rPr>
        <w:t>m</w:t>
      </w:r>
      <w:r>
        <w:rPr>
          <w:w w:val="100"/>
          <w:sz w:val="21"/>
        </w:rPr>
        <w:t>i</w:t>
      </w:r>
      <w:r>
        <w:rPr>
          <w:spacing w:val="-2"/>
          <w:w w:val="100"/>
          <w:sz w:val="21"/>
        </w:rPr>
        <w:t>t</w:t>
      </w:r>
      <w:r>
        <w:rPr>
          <w:spacing w:val="-1"/>
          <w:w w:val="100"/>
          <w:sz w:val="21"/>
        </w:rPr>
        <w:t>e</w:t>
      </w:r>
      <w:r>
        <w:rPr>
          <w:w w:val="100"/>
          <w:sz w:val="21"/>
        </w:rPr>
        <w:t>d</w:t>
      </w:r>
      <w:r>
        <w:rPr>
          <w:sz w:val="21"/>
        </w:rPr>
        <w:t> </w:t>
      </w:r>
      <w:r>
        <w:rPr>
          <w:spacing w:val="-28"/>
          <w:sz w:val="21"/>
        </w:rPr>
        <w:t> </w:t>
      </w:r>
      <w:r>
        <w:rPr>
          <w:w w:val="100"/>
          <w:sz w:val="21"/>
        </w:rPr>
        <w:t>ar</w:t>
      </w:r>
      <w:r>
        <w:rPr>
          <w:spacing w:val="-3"/>
          <w:w w:val="100"/>
          <w:sz w:val="21"/>
        </w:rPr>
        <w:t>e</w:t>
      </w:r>
      <w:r>
        <w:rPr>
          <w:w w:val="100"/>
          <w:sz w:val="21"/>
        </w:rPr>
        <w:t>a</w:t>
      </w:r>
      <w:r>
        <w:rPr>
          <w:spacing w:val="28"/>
          <w:sz w:val="21"/>
        </w:rPr>
        <w:t> </w:t>
      </w:r>
      <w:r>
        <w:rPr>
          <w:spacing w:val="-3"/>
          <w:w w:val="100"/>
          <w:sz w:val="21"/>
        </w:rPr>
        <w:t>y</w:t>
      </w:r>
      <w:r>
        <w:rPr>
          <w:w w:val="100"/>
          <w:sz w:val="21"/>
        </w:rPr>
        <w:t>i</w:t>
      </w:r>
      <w:r>
        <w:rPr>
          <w:w w:val="100"/>
          <w:sz w:val="21"/>
        </w:rPr>
        <w:t>e</w:t>
      </w:r>
      <w:r>
        <w:rPr>
          <w:spacing w:val="1"/>
          <w:w w:val="100"/>
          <w:sz w:val="21"/>
        </w:rPr>
        <w:t>l</w:t>
      </w:r>
      <w:r>
        <w:rPr>
          <w:spacing w:val="-3"/>
          <w:w w:val="100"/>
          <w:sz w:val="21"/>
        </w:rPr>
        <w:t>d</w:t>
      </w:r>
      <w:r>
        <w:rPr>
          <w:w w:val="100"/>
          <w:sz w:val="21"/>
        </w:rPr>
        <w:t>ed</w:t>
      </w:r>
      <w:r>
        <w:rPr>
          <w:spacing w:val="28"/>
          <w:sz w:val="21"/>
        </w:rPr>
        <w:t> </w:t>
      </w:r>
      <w:r>
        <w:rPr>
          <w:spacing w:val="-3"/>
          <w:w w:val="100"/>
          <w:sz w:val="21"/>
        </w:rPr>
        <w:t>a</w:t>
      </w:r>
      <w:r>
        <w:rPr>
          <w:w w:val="100"/>
          <w:sz w:val="21"/>
        </w:rPr>
        <w:t>n</w:t>
      </w:r>
      <w:r>
        <w:rPr>
          <w:spacing w:val="-2"/>
          <w:w w:val="100"/>
          <w:sz w:val="21"/>
        </w:rPr>
        <w:t>i</w:t>
      </w:r>
      <w:r>
        <w:rPr>
          <w:spacing w:val="1"/>
          <w:w w:val="100"/>
          <w:sz w:val="21"/>
        </w:rPr>
        <w:t>m</w:t>
      </w:r>
      <w:r>
        <w:rPr>
          <w:spacing w:val="-3"/>
          <w:w w:val="100"/>
          <w:sz w:val="21"/>
        </w:rPr>
        <w:t>a</w:t>
      </w:r>
      <w:r>
        <w:rPr>
          <w:w w:val="100"/>
          <w:sz w:val="21"/>
        </w:rPr>
        <w:t>l</w:t>
      </w:r>
      <w:r>
        <w:rPr>
          <w:spacing w:val="28"/>
          <w:sz w:val="21"/>
        </w:rPr>
        <w:t> </w:t>
      </w:r>
      <w:r>
        <w:rPr>
          <w:w w:val="100"/>
          <w:sz w:val="21"/>
        </w:rPr>
        <w:t>a</w:t>
      </w:r>
      <w:r>
        <w:rPr>
          <w:spacing w:val="-3"/>
          <w:w w:val="100"/>
          <w:sz w:val="21"/>
        </w:rPr>
        <w:t>n</w:t>
      </w:r>
      <w:r>
        <w:rPr>
          <w:w w:val="100"/>
          <w:sz w:val="21"/>
        </w:rPr>
        <w:t>d </w:t>
      </w:r>
      <w:r>
        <w:rPr>
          <w:sz w:val="21"/>
        </w:rPr>
        <w:t>human figurines, bangle fragment and a portion of votive tank all in terracotta, a hairpin in bone, a bead in glass and an antimony rod in copper. In trench 15, though the regular stratified deposit was not encountered in the operation area, the eastern section yielded a record of regular deposition and almost all the structural activity at the site. A massive brick construction, running into 22 courses above excavated surface, is noticed at the bottom of J5-J6 which belongs to this period. The Kushan period certainly gave a spurt to construction of structures of large dimensions which attest to their public status. Besides, the same trench provided evidence for a stone structure, nature of which is not very clear.‖</w:t>
      </w:r>
    </w:p>
    <w:p>
      <w:pPr>
        <w:pStyle w:val="BodyText"/>
        <w:rPr>
          <w:sz w:val="24"/>
        </w:rPr>
      </w:pPr>
    </w:p>
    <w:p>
      <w:pPr>
        <w:pStyle w:val="BodyText"/>
        <w:rPr>
          <w:sz w:val="24"/>
        </w:rPr>
      </w:pPr>
    </w:p>
    <w:p>
      <w:pPr>
        <w:pStyle w:val="BodyText"/>
        <w:spacing w:before="10"/>
        <w:rPr>
          <w:sz w:val="35"/>
        </w:rPr>
      </w:pPr>
    </w:p>
    <w:p>
      <w:pPr>
        <w:pStyle w:val="Heading5"/>
        <w:numPr>
          <w:ilvl w:val="0"/>
          <w:numId w:val="142"/>
        </w:numPr>
        <w:tabs>
          <w:tab w:pos="1220" w:val="left" w:leader="none"/>
          <w:tab w:pos="1221" w:val="left" w:leader="none"/>
        </w:tabs>
        <w:spacing w:line="240" w:lineRule="auto" w:before="0" w:after="0"/>
        <w:ind w:left="1220" w:right="0" w:hanging="721"/>
        <w:jc w:val="left"/>
      </w:pPr>
      <w:r>
        <w:rPr/>
        <w:t>Period</w:t>
      </w:r>
      <w:r>
        <w:rPr>
          <w:spacing w:val="1"/>
        </w:rPr>
        <w:t> </w:t>
      </w:r>
      <w:r>
        <w:rPr/>
        <w:t>–IV</w:t>
      </w:r>
    </w:p>
    <w:p>
      <w:pPr>
        <w:pStyle w:val="BodyText"/>
        <w:spacing w:before="3"/>
        <w:rPr>
          <w:b/>
        </w:rPr>
      </w:pPr>
    </w:p>
    <w:p>
      <w:pPr>
        <w:spacing w:before="0"/>
        <w:ind w:left="1220" w:right="0" w:firstLine="0"/>
        <w:jc w:val="left"/>
        <w:rPr>
          <w:i/>
          <w:sz w:val="25"/>
        </w:rPr>
      </w:pPr>
      <w:r>
        <w:rPr>
          <w:i/>
          <w:sz w:val="25"/>
        </w:rPr>
        <w:t>Gupta Level</w:t>
      </w:r>
    </w:p>
    <w:p>
      <w:pPr>
        <w:pStyle w:val="BodyText"/>
        <w:rPr>
          <w:i/>
          <w:sz w:val="28"/>
        </w:rPr>
      </w:pPr>
    </w:p>
    <w:p>
      <w:pPr>
        <w:pStyle w:val="BodyText"/>
        <w:spacing w:before="11"/>
        <w:rPr>
          <w:i/>
          <w:sz w:val="21"/>
        </w:rPr>
      </w:pPr>
    </w:p>
    <w:p>
      <w:pPr>
        <w:pStyle w:val="BodyText"/>
        <w:spacing w:line="480" w:lineRule="auto"/>
        <w:ind w:left="500" w:right="443"/>
        <w:jc w:val="both"/>
      </w:pPr>
      <w:r>
        <w:rPr/>
        <w:t>This period pertains to the fourth-sixth century A.D. which is attested by the presence of terracotta figurines and a copper coin. The ASI report indicates:</w:t>
      </w:r>
    </w:p>
    <w:p>
      <w:pPr>
        <w:spacing w:line="276" w:lineRule="auto" w:before="0"/>
        <w:ind w:left="1940" w:right="2265" w:firstLine="0"/>
        <w:jc w:val="both"/>
        <w:rPr>
          <w:sz w:val="21"/>
        </w:rPr>
      </w:pPr>
      <w:r>
        <w:rPr>
          <w:w w:val="33"/>
          <w:sz w:val="21"/>
        </w:rPr>
        <w:t>―</w:t>
      </w:r>
      <w:r>
        <w:rPr>
          <w:w w:val="100"/>
          <w:sz w:val="21"/>
        </w:rPr>
        <w:t>Almost</w:t>
      </w:r>
      <w:r>
        <w:rPr>
          <w:sz w:val="21"/>
        </w:rPr>
        <w:t> </w:t>
      </w:r>
      <w:r>
        <w:rPr>
          <w:w w:val="100"/>
          <w:sz w:val="21"/>
        </w:rPr>
        <w:t>2</w:t>
      </w:r>
      <w:r>
        <w:rPr>
          <w:sz w:val="21"/>
        </w:rPr>
        <w:t> </w:t>
      </w:r>
      <w:r>
        <w:rPr>
          <w:w w:val="100"/>
          <w:sz w:val="21"/>
        </w:rPr>
        <w:t>m</w:t>
      </w:r>
      <w:r>
        <w:rPr>
          <w:sz w:val="21"/>
        </w:rPr>
        <w:t> </w:t>
      </w:r>
      <w:r>
        <w:rPr>
          <w:w w:val="100"/>
          <w:sz w:val="21"/>
        </w:rPr>
        <w:t>thick</w:t>
      </w:r>
      <w:r>
        <w:rPr>
          <w:sz w:val="21"/>
        </w:rPr>
        <w:t> </w:t>
      </w:r>
      <w:r>
        <w:rPr>
          <w:w w:val="100"/>
          <w:sz w:val="21"/>
        </w:rPr>
        <w:t>deposit,</w:t>
      </w:r>
      <w:r>
        <w:rPr>
          <w:sz w:val="21"/>
        </w:rPr>
        <w:t> </w:t>
      </w:r>
      <w:r>
        <w:rPr>
          <w:w w:val="100"/>
          <w:sz w:val="21"/>
        </w:rPr>
        <w:t>represented</w:t>
      </w:r>
      <w:r>
        <w:rPr>
          <w:sz w:val="21"/>
        </w:rPr>
        <w:t> </w:t>
      </w:r>
      <w:r>
        <w:rPr>
          <w:w w:val="100"/>
          <w:sz w:val="21"/>
        </w:rPr>
        <w:t>by</w:t>
      </w:r>
      <w:r>
        <w:rPr>
          <w:sz w:val="21"/>
        </w:rPr>
        <w:t> </w:t>
      </w:r>
      <w:r>
        <w:rPr>
          <w:w w:val="100"/>
          <w:sz w:val="21"/>
        </w:rPr>
        <w:t>layer</w:t>
      </w:r>
      <w:r>
        <w:rPr>
          <w:sz w:val="21"/>
        </w:rPr>
        <w:t> </w:t>
      </w:r>
      <w:r>
        <w:rPr>
          <w:w w:val="100"/>
          <w:sz w:val="21"/>
        </w:rPr>
        <w:t>7</w:t>
      </w:r>
      <w:r>
        <w:rPr>
          <w:sz w:val="21"/>
        </w:rPr>
        <w:t> </w:t>
      </w:r>
      <w:r>
        <w:rPr>
          <w:w w:val="100"/>
          <w:sz w:val="21"/>
        </w:rPr>
        <w:t>and</w:t>
      </w:r>
      <w:r>
        <w:rPr>
          <w:sz w:val="21"/>
        </w:rPr>
        <w:t> </w:t>
      </w:r>
      <w:r>
        <w:rPr>
          <w:w w:val="100"/>
          <w:sz w:val="21"/>
        </w:rPr>
        <w:t>8</w:t>
      </w:r>
      <w:r>
        <w:rPr>
          <w:sz w:val="21"/>
        </w:rPr>
        <w:t> </w:t>
      </w:r>
      <w:r>
        <w:rPr>
          <w:w w:val="100"/>
          <w:sz w:val="21"/>
        </w:rPr>
        <w:t>G7, </w:t>
      </w:r>
      <w:r>
        <w:rPr>
          <w:sz w:val="21"/>
        </w:rPr>
        <w:t>by layers 9 and 10 in J5-J6 and layers 7 and 8 in trenches E8</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sz w:val="21"/>
        </w:rPr>
      </w:pPr>
      <w:r>
        <w:rPr>
          <w:sz w:val="21"/>
        </w:rPr>
        <w:t>and F8, above the remains of the preceding period belong to Gupta times (circa fourth-sixth century A.D.), the presence of which is attested mostly by terracotta figurines typical of the period and of course by a copper coin (3.75 m. layer 8, G7, Rg.  No.1030)  bearing  image  of  king   on   the   obverse and </w:t>
      </w:r>
      <w:r>
        <w:rPr>
          <w:i/>
          <w:sz w:val="21"/>
        </w:rPr>
        <w:t>garuda </w:t>
      </w:r>
      <w:r>
        <w:rPr>
          <w:sz w:val="21"/>
        </w:rPr>
        <w:t>standard in upper register and legend </w:t>
      </w:r>
      <w:r>
        <w:rPr>
          <w:i/>
          <w:sz w:val="21"/>
        </w:rPr>
        <w:t>'sri </w:t>
      </w:r>
      <w:r>
        <w:rPr>
          <w:i/>
          <w:sz w:val="21"/>
        </w:rPr>
        <w:t>chandra(gupta)' </w:t>
      </w:r>
      <w:r>
        <w:rPr>
          <w:sz w:val="21"/>
        </w:rPr>
        <w:t>in lower register on the</w:t>
      </w:r>
      <w:r>
        <w:rPr>
          <w:spacing w:val="-13"/>
          <w:sz w:val="21"/>
        </w:rPr>
        <w:t> </w:t>
      </w:r>
      <w:r>
        <w:rPr>
          <w:sz w:val="21"/>
        </w:rPr>
        <w:t>reverse.‖</w:t>
      </w:r>
    </w:p>
    <w:p>
      <w:pPr>
        <w:pStyle w:val="BodyText"/>
        <w:rPr>
          <w:sz w:val="24"/>
        </w:rPr>
      </w:pPr>
    </w:p>
    <w:p>
      <w:pPr>
        <w:pStyle w:val="BodyText"/>
      </w:pPr>
    </w:p>
    <w:p>
      <w:pPr>
        <w:pStyle w:val="Heading5"/>
        <w:numPr>
          <w:ilvl w:val="0"/>
          <w:numId w:val="142"/>
        </w:numPr>
        <w:tabs>
          <w:tab w:pos="1220" w:val="left" w:leader="none"/>
          <w:tab w:pos="1221" w:val="left" w:leader="none"/>
        </w:tabs>
        <w:spacing w:line="240" w:lineRule="auto" w:before="0" w:after="0"/>
        <w:ind w:left="1220" w:right="0" w:hanging="721"/>
        <w:jc w:val="left"/>
      </w:pPr>
      <w:r>
        <w:rPr/>
        <w:t>Period</w:t>
      </w:r>
      <w:r>
        <w:rPr>
          <w:spacing w:val="1"/>
        </w:rPr>
        <w:t> </w:t>
      </w:r>
      <w:r>
        <w:rPr/>
        <w:t>–V</w:t>
      </w:r>
    </w:p>
    <w:p>
      <w:pPr>
        <w:pStyle w:val="BodyText"/>
        <w:spacing w:before="3"/>
        <w:rPr>
          <w:b/>
        </w:rPr>
      </w:pPr>
    </w:p>
    <w:p>
      <w:pPr>
        <w:spacing w:before="0"/>
        <w:ind w:left="1220" w:right="0" w:firstLine="0"/>
        <w:jc w:val="left"/>
        <w:rPr>
          <w:i/>
          <w:sz w:val="25"/>
        </w:rPr>
      </w:pPr>
      <w:r>
        <w:rPr>
          <w:i/>
          <w:sz w:val="25"/>
        </w:rPr>
        <w:t>Post Gupta – Rajput Level</w:t>
      </w:r>
    </w:p>
    <w:p>
      <w:pPr>
        <w:pStyle w:val="BodyText"/>
        <w:rPr>
          <w:i/>
          <w:sz w:val="28"/>
        </w:rPr>
      </w:pPr>
    </w:p>
    <w:p>
      <w:pPr>
        <w:pStyle w:val="BodyText"/>
        <w:rPr>
          <w:i/>
          <w:sz w:val="22"/>
        </w:rPr>
      </w:pPr>
    </w:p>
    <w:p>
      <w:pPr>
        <w:pStyle w:val="BodyText"/>
        <w:spacing w:line="480" w:lineRule="auto"/>
        <w:ind w:left="500" w:right="443"/>
        <w:jc w:val="both"/>
      </w:pPr>
      <w:r>
        <w:rPr/>
        <w:t>This period pertains to the seventh to tenth century A.D. The excavation pertaining to the above period has resulted in the unearthing of a circular subsidiary shrine belonging to the late level of this period:</w:t>
      </w:r>
    </w:p>
    <w:p>
      <w:pPr>
        <w:spacing w:line="276" w:lineRule="auto" w:before="0"/>
        <w:ind w:left="1940" w:right="2260" w:firstLine="0"/>
        <w:jc w:val="both"/>
        <w:rPr>
          <w:sz w:val="21"/>
        </w:rPr>
      </w:pPr>
      <w:r>
        <w:rPr>
          <w:spacing w:val="-1"/>
          <w:w w:val="33"/>
          <w:sz w:val="21"/>
        </w:rPr>
        <w:t>―</w:t>
      </w:r>
      <w:r>
        <w:rPr>
          <w:w w:val="100"/>
          <w:sz w:val="21"/>
        </w:rPr>
        <w:t>The</w:t>
      </w:r>
      <w:r>
        <w:rPr>
          <w:sz w:val="21"/>
        </w:rPr>
        <w:t> </w:t>
      </w:r>
      <w:r>
        <w:rPr>
          <w:spacing w:val="-26"/>
          <w:sz w:val="21"/>
        </w:rPr>
        <w:t> </w:t>
      </w:r>
      <w:r>
        <w:rPr>
          <w:spacing w:val="-3"/>
          <w:w w:val="100"/>
          <w:sz w:val="21"/>
        </w:rPr>
        <w:t>p</w:t>
      </w:r>
      <w:r>
        <w:rPr>
          <w:spacing w:val="-1"/>
          <w:w w:val="100"/>
          <w:sz w:val="21"/>
        </w:rPr>
        <w:t>eri</w:t>
      </w:r>
      <w:r>
        <w:rPr>
          <w:spacing w:val="-2"/>
          <w:w w:val="100"/>
          <w:sz w:val="21"/>
        </w:rPr>
        <w:t>o</w:t>
      </w:r>
      <w:r>
        <w:rPr>
          <w:w w:val="100"/>
          <w:sz w:val="21"/>
        </w:rPr>
        <w:t>d</w:t>
      </w:r>
      <w:r>
        <w:rPr>
          <w:sz w:val="21"/>
        </w:rPr>
        <w:t> </w:t>
      </w:r>
      <w:r>
        <w:rPr>
          <w:spacing w:val="-26"/>
          <w:sz w:val="21"/>
        </w:rPr>
        <w:t> </w:t>
      </w:r>
      <w:r>
        <w:rPr>
          <w:spacing w:val="-2"/>
          <w:w w:val="100"/>
          <w:sz w:val="21"/>
        </w:rPr>
        <w:t>i</w:t>
      </w:r>
      <w:r>
        <w:rPr>
          <w:w w:val="100"/>
          <w:sz w:val="21"/>
        </w:rPr>
        <w:t>s</w:t>
      </w:r>
      <w:r>
        <w:rPr>
          <w:sz w:val="21"/>
        </w:rPr>
        <w:t> </w:t>
      </w:r>
      <w:r>
        <w:rPr>
          <w:spacing w:val="-29"/>
          <w:sz w:val="21"/>
        </w:rPr>
        <w:t> </w:t>
      </w:r>
      <w:r>
        <w:rPr>
          <w:spacing w:val="1"/>
          <w:w w:val="100"/>
          <w:sz w:val="21"/>
        </w:rPr>
        <w:t>m</w:t>
      </w:r>
      <w:r>
        <w:rPr>
          <w:spacing w:val="-1"/>
          <w:w w:val="100"/>
          <w:sz w:val="21"/>
        </w:rPr>
        <w:t>a</w:t>
      </w:r>
      <w:r>
        <w:rPr>
          <w:spacing w:val="-3"/>
          <w:w w:val="100"/>
          <w:sz w:val="21"/>
        </w:rPr>
        <w:t>r</w:t>
      </w:r>
      <w:r>
        <w:rPr>
          <w:spacing w:val="2"/>
          <w:w w:val="100"/>
          <w:sz w:val="21"/>
        </w:rPr>
        <w:t>k</w:t>
      </w:r>
      <w:r>
        <w:rPr>
          <w:spacing w:val="-3"/>
          <w:w w:val="100"/>
          <w:sz w:val="21"/>
        </w:rPr>
        <w:t>e</w:t>
      </w:r>
      <w:r>
        <w:rPr>
          <w:w w:val="100"/>
          <w:sz w:val="21"/>
        </w:rPr>
        <w:t>d</w:t>
      </w:r>
      <w:r>
        <w:rPr>
          <w:sz w:val="21"/>
        </w:rPr>
        <w:t> </w:t>
      </w:r>
      <w:r>
        <w:rPr>
          <w:spacing w:val="-26"/>
          <w:sz w:val="21"/>
        </w:rPr>
        <w:t> </w:t>
      </w:r>
      <w:r>
        <w:rPr>
          <w:spacing w:val="-1"/>
          <w:w w:val="100"/>
          <w:sz w:val="21"/>
        </w:rPr>
        <w:t>b</w:t>
      </w:r>
      <w:r>
        <w:rPr>
          <w:w w:val="100"/>
          <w:sz w:val="21"/>
        </w:rPr>
        <w:t>y</w:t>
      </w:r>
      <w:r>
        <w:rPr>
          <w:sz w:val="21"/>
        </w:rPr>
        <w:t> </w:t>
      </w:r>
      <w:r>
        <w:rPr>
          <w:spacing w:val="-29"/>
          <w:sz w:val="21"/>
        </w:rPr>
        <w:t> </w:t>
      </w:r>
      <w:r>
        <w:rPr>
          <w:spacing w:val="-2"/>
          <w:w w:val="100"/>
          <w:sz w:val="21"/>
        </w:rPr>
        <w:t>t</w:t>
      </w:r>
      <w:r>
        <w:rPr>
          <w:spacing w:val="-1"/>
          <w:w w:val="100"/>
          <w:sz w:val="21"/>
        </w:rPr>
        <w:t>h</w:t>
      </w:r>
      <w:r>
        <w:rPr>
          <w:w w:val="100"/>
          <w:sz w:val="21"/>
        </w:rPr>
        <w:t>e</w:t>
      </w:r>
      <w:r>
        <w:rPr>
          <w:sz w:val="21"/>
        </w:rPr>
        <w:t> </w:t>
      </w:r>
      <w:r>
        <w:rPr>
          <w:spacing w:val="-26"/>
          <w:sz w:val="21"/>
        </w:rPr>
        <w:t> </w:t>
      </w:r>
      <w:r>
        <w:rPr>
          <w:spacing w:val="-1"/>
          <w:w w:val="100"/>
          <w:sz w:val="21"/>
        </w:rPr>
        <w:t>ap</w:t>
      </w:r>
      <w:r>
        <w:rPr>
          <w:spacing w:val="-2"/>
          <w:w w:val="100"/>
          <w:sz w:val="21"/>
        </w:rPr>
        <w:t>p</w:t>
      </w:r>
      <w:r>
        <w:rPr>
          <w:spacing w:val="-1"/>
          <w:w w:val="100"/>
          <w:sz w:val="21"/>
        </w:rPr>
        <w:t>eara</w:t>
      </w:r>
      <w:r>
        <w:rPr>
          <w:spacing w:val="-3"/>
          <w:w w:val="100"/>
          <w:sz w:val="21"/>
        </w:rPr>
        <w:t>n</w:t>
      </w:r>
      <w:r>
        <w:rPr>
          <w:w w:val="100"/>
          <w:sz w:val="21"/>
        </w:rPr>
        <w:t>ce</w:t>
      </w:r>
      <w:r>
        <w:rPr>
          <w:sz w:val="21"/>
        </w:rPr>
        <w:t> </w:t>
      </w:r>
      <w:r>
        <w:rPr>
          <w:spacing w:val="-26"/>
          <w:sz w:val="21"/>
        </w:rPr>
        <w:t> </w:t>
      </w:r>
      <w:r>
        <w:rPr>
          <w:spacing w:val="-3"/>
          <w:w w:val="100"/>
          <w:sz w:val="21"/>
        </w:rPr>
        <w:t>o</w:t>
      </w:r>
      <w:r>
        <w:rPr>
          <w:w w:val="100"/>
          <w:sz w:val="21"/>
        </w:rPr>
        <w:t>f</w:t>
      </w:r>
      <w:r>
        <w:rPr>
          <w:sz w:val="21"/>
        </w:rPr>
        <w:t> </w:t>
      </w:r>
      <w:r>
        <w:rPr>
          <w:spacing w:val="-25"/>
          <w:sz w:val="21"/>
        </w:rPr>
        <w:t> </w:t>
      </w:r>
      <w:r>
        <w:rPr>
          <w:spacing w:val="-2"/>
          <w:w w:val="100"/>
          <w:sz w:val="21"/>
        </w:rPr>
        <w:t>t</w:t>
      </w:r>
      <w:r>
        <w:rPr>
          <w:spacing w:val="-1"/>
          <w:w w:val="100"/>
          <w:sz w:val="21"/>
        </w:rPr>
        <w:t>h</w:t>
      </w:r>
      <w:r>
        <w:rPr>
          <w:w w:val="100"/>
          <w:sz w:val="21"/>
        </w:rPr>
        <w:t>e</w:t>
      </w:r>
      <w:r>
        <w:rPr>
          <w:sz w:val="21"/>
        </w:rPr>
        <w:t> </w:t>
      </w:r>
      <w:r>
        <w:rPr>
          <w:spacing w:val="-28"/>
          <w:sz w:val="21"/>
        </w:rPr>
        <w:t> </w:t>
      </w:r>
      <w:r>
        <w:rPr>
          <w:w w:val="100"/>
          <w:sz w:val="21"/>
        </w:rPr>
        <w:t>kn</w:t>
      </w:r>
      <w:r>
        <w:rPr>
          <w:spacing w:val="-2"/>
          <w:w w:val="100"/>
          <w:sz w:val="21"/>
        </w:rPr>
        <w:t>i</w:t>
      </w:r>
      <w:r>
        <w:rPr>
          <w:spacing w:val="1"/>
          <w:w w:val="100"/>
          <w:sz w:val="21"/>
        </w:rPr>
        <w:t>f</w:t>
      </w:r>
      <w:r>
        <w:rPr>
          <w:spacing w:val="4"/>
          <w:w w:val="100"/>
          <w:sz w:val="21"/>
        </w:rPr>
        <w:t>e</w:t>
      </w:r>
      <w:r>
        <w:rPr>
          <w:spacing w:val="-1"/>
          <w:w w:val="100"/>
          <w:sz w:val="21"/>
        </w:rPr>
        <w:t>-</w:t>
      </w:r>
      <w:r>
        <w:rPr>
          <w:w w:val="100"/>
          <w:sz w:val="21"/>
        </w:rPr>
        <w:t>e</w:t>
      </w:r>
      <w:r>
        <w:rPr>
          <w:spacing w:val="-3"/>
          <w:w w:val="100"/>
          <w:sz w:val="21"/>
        </w:rPr>
        <w:t>dg</w:t>
      </w:r>
      <w:r>
        <w:rPr>
          <w:w w:val="100"/>
          <w:sz w:val="21"/>
        </w:rPr>
        <w:t>e </w:t>
      </w:r>
      <w:r>
        <w:rPr>
          <w:sz w:val="21"/>
        </w:rPr>
        <w:t>bowls and other types which belong to the period from seventh to tenth century A.D. In this period also structural activities were witnessed in numerous phases in trench E8 and F8. A circular subsidiary shrine belonging to the late level of this period was exposed in trench E8-F8 (Fig 24 and 24A). Among the pottery assemblage Kushan type is more frequent than the period</w:t>
      </w:r>
      <w:r>
        <w:rPr>
          <w:spacing w:val="-4"/>
          <w:sz w:val="21"/>
        </w:rPr>
        <w:t> </w:t>
      </w:r>
      <w:r>
        <w:rPr>
          <w:sz w:val="21"/>
        </w:rPr>
        <w:t>pottery.‖</w:t>
      </w:r>
    </w:p>
    <w:p>
      <w:pPr>
        <w:pStyle w:val="BodyText"/>
        <w:spacing w:before="9"/>
        <w:rPr>
          <w:sz w:val="24"/>
        </w:rPr>
      </w:pPr>
    </w:p>
    <w:p>
      <w:pPr>
        <w:pStyle w:val="Heading5"/>
        <w:numPr>
          <w:ilvl w:val="0"/>
          <w:numId w:val="142"/>
        </w:numPr>
        <w:tabs>
          <w:tab w:pos="1220" w:val="left" w:leader="none"/>
          <w:tab w:pos="1221" w:val="left" w:leader="none"/>
        </w:tabs>
        <w:spacing w:line="240" w:lineRule="auto" w:before="0" w:after="0"/>
        <w:ind w:left="1220" w:right="0" w:hanging="721"/>
        <w:jc w:val="left"/>
      </w:pPr>
      <w:r>
        <w:rPr/>
        <w:t>Period VI</w:t>
      </w:r>
    </w:p>
    <w:p>
      <w:pPr>
        <w:pStyle w:val="BodyText"/>
        <w:spacing w:before="3"/>
        <w:rPr>
          <w:b/>
        </w:rPr>
      </w:pPr>
    </w:p>
    <w:p>
      <w:pPr>
        <w:spacing w:before="1"/>
        <w:ind w:left="1220" w:right="0" w:firstLine="0"/>
        <w:jc w:val="left"/>
        <w:rPr>
          <w:i/>
          <w:sz w:val="25"/>
        </w:rPr>
      </w:pPr>
      <w:r>
        <w:rPr>
          <w:i/>
          <w:sz w:val="25"/>
        </w:rPr>
        <w:t>Medieval –Sultanate Level</w:t>
      </w:r>
    </w:p>
    <w:p>
      <w:pPr>
        <w:pStyle w:val="BodyText"/>
        <w:rPr>
          <w:i/>
        </w:rPr>
      </w:pPr>
    </w:p>
    <w:p>
      <w:pPr>
        <w:pStyle w:val="BodyText"/>
        <w:spacing w:line="480" w:lineRule="auto" w:before="1"/>
        <w:ind w:left="500" w:right="439"/>
        <w:jc w:val="both"/>
      </w:pPr>
      <w:r>
        <w:rPr/>
        <w:t>This period pertains to the eleventh–twelfth century A.D. The findings of the excavation are:</w:t>
      </w:r>
    </w:p>
    <w:p>
      <w:pPr>
        <w:spacing w:line="276" w:lineRule="auto" w:before="0"/>
        <w:ind w:left="1940" w:right="2259" w:firstLine="0"/>
        <w:jc w:val="both"/>
        <w:rPr>
          <w:sz w:val="21"/>
        </w:rPr>
      </w:pPr>
      <w:r>
        <w:rPr>
          <w:w w:val="33"/>
          <w:sz w:val="21"/>
        </w:rPr>
        <w:t>―</w:t>
      </w:r>
      <w:r>
        <w:rPr>
          <w:w w:val="100"/>
          <w:sz w:val="21"/>
        </w:rPr>
        <w:t>A</w:t>
      </w:r>
      <w:r>
        <w:rPr>
          <w:sz w:val="21"/>
        </w:rPr>
        <w:t>  </w:t>
      </w:r>
      <w:r>
        <w:rPr>
          <w:w w:val="100"/>
          <w:sz w:val="21"/>
        </w:rPr>
        <w:t>thick</w:t>
      </w:r>
      <w:r>
        <w:rPr>
          <w:sz w:val="21"/>
        </w:rPr>
        <w:t>  </w:t>
      </w:r>
      <w:r>
        <w:rPr>
          <w:w w:val="100"/>
          <w:sz w:val="21"/>
        </w:rPr>
        <w:t>floor</w:t>
      </w:r>
      <w:r>
        <w:rPr>
          <w:sz w:val="21"/>
        </w:rPr>
        <w:t>  </w:t>
      </w:r>
      <w:r>
        <w:rPr>
          <w:w w:val="100"/>
          <w:sz w:val="21"/>
        </w:rPr>
        <w:t>made</w:t>
      </w:r>
      <w:r>
        <w:rPr>
          <w:sz w:val="21"/>
        </w:rPr>
        <w:t>  </w:t>
      </w:r>
      <w:r>
        <w:rPr>
          <w:w w:val="100"/>
          <w:sz w:val="21"/>
        </w:rPr>
        <w:t>of</w:t>
      </w:r>
      <w:r>
        <w:rPr>
          <w:sz w:val="21"/>
        </w:rPr>
        <w:t>  </w:t>
      </w:r>
      <w:r>
        <w:rPr>
          <w:w w:val="100"/>
          <w:sz w:val="21"/>
        </w:rPr>
        <w:t>brick-cr</w:t>
      </w:r>
      <w:r>
        <w:rPr>
          <w:w w:val="100"/>
          <w:sz w:val="21"/>
        </w:rPr>
        <w:t>ush</w:t>
      </w:r>
      <w:r>
        <w:rPr>
          <w:sz w:val="21"/>
        </w:rPr>
        <w:t>  </w:t>
      </w:r>
      <w:r>
        <w:rPr>
          <w:w w:val="100"/>
          <w:sz w:val="21"/>
        </w:rPr>
        <w:t>f</w:t>
      </w:r>
      <w:r>
        <w:rPr>
          <w:w w:val="100"/>
          <w:sz w:val="21"/>
        </w:rPr>
        <w:t>l</w:t>
      </w:r>
      <w:r>
        <w:rPr>
          <w:w w:val="100"/>
          <w:sz w:val="21"/>
        </w:rPr>
        <w:t>oor</w:t>
      </w:r>
      <w:r>
        <w:rPr>
          <w:sz w:val="21"/>
        </w:rPr>
        <w:t>  </w:t>
      </w:r>
      <w:r>
        <w:rPr>
          <w:w w:val="100"/>
          <w:sz w:val="21"/>
        </w:rPr>
        <w:t>appe</w:t>
      </w:r>
      <w:r>
        <w:rPr>
          <w:w w:val="100"/>
          <w:sz w:val="21"/>
        </w:rPr>
        <w:t>ars,</w:t>
      </w:r>
      <w:r>
        <w:rPr>
          <w:sz w:val="21"/>
        </w:rPr>
        <w:t>  </w:t>
      </w:r>
      <w:r>
        <w:rPr>
          <w:w w:val="100"/>
          <w:sz w:val="21"/>
        </w:rPr>
        <w:t>on</w:t>
      </w:r>
      <w:r>
        <w:rPr>
          <w:sz w:val="21"/>
        </w:rPr>
        <w:t>  </w:t>
      </w:r>
      <w:r>
        <w:rPr>
          <w:w w:val="100"/>
          <w:sz w:val="21"/>
        </w:rPr>
        <w:t>t</w:t>
      </w:r>
      <w:r>
        <w:rPr>
          <w:w w:val="100"/>
          <w:sz w:val="21"/>
        </w:rPr>
        <w:t>he </w:t>
      </w:r>
      <w:r>
        <w:rPr>
          <w:sz w:val="21"/>
        </w:rPr>
        <w:t>circumstantial evidence, to have been attached to a wide and massive looking north-south oriented brick wall (No.17) markedly inclined to east (noticed in trenches D7 and E2-E1, F1 and ZF) which was the major structural activity of the period (circa eleventh-twelfth century A.D.). Another wall in same orientation has been noticed in G2 and ZG1 at a depth of 180 cm which is sealed by layer 6A in G2. The red brick- crush floor is noticed extending in a large area of the mound covering trenches E8, F8, G7, J5 &amp; J6 with varying thickness. At the same level, in trench G5, calcrete stone blocks have been noticed in formation which may be of large dimension.‖</w:t>
      </w:r>
    </w:p>
    <w:p>
      <w:pPr>
        <w:spacing w:after="0" w:line="276" w:lineRule="auto"/>
        <w:jc w:val="both"/>
        <w:rPr>
          <w:sz w:val="21"/>
        </w:rPr>
        <w:sectPr>
          <w:pgSz w:w="11910" w:h="16840"/>
          <w:pgMar w:header="721" w:footer="1014" w:top="1300" w:bottom="1200" w:left="940" w:right="1000"/>
        </w:sectPr>
      </w:pPr>
    </w:p>
    <w:p>
      <w:pPr>
        <w:pStyle w:val="Heading5"/>
        <w:numPr>
          <w:ilvl w:val="0"/>
          <w:numId w:val="142"/>
        </w:numPr>
        <w:tabs>
          <w:tab w:pos="1220" w:val="left" w:leader="none"/>
          <w:tab w:pos="1221" w:val="left" w:leader="none"/>
        </w:tabs>
        <w:spacing w:line="240" w:lineRule="auto" w:before="121" w:after="0"/>
        <w:ind w:left="1220" w:right="0" w:hanging="721"/>
        <w:jc w:val="left"/>
      </w:pPr>
      <w:r>
        <w:rPr/>
        <w:t>Period</w:t>
      </w:r>
      <w:r>
        <w:rPr>
          <w:spacing w:val="1"/>
        </w:rPr>
        <w:t> </w:t>
      </w:r>
      <w:r>
        <w:rPr/>
        <w:t>–VII</w:t>
      </w:r>
    </w:p>
    <w:p>
      <w:pPr>
        <w:pStyle w:val="BodyText"/>
        <w:spacing w:before="3"/>
        <w:rPr>
          <w:b/>
        </w:rPr>
      </w:pPr>
    </w:p>
    <w:p>
      <w:pPr>
        <w:spacing w:before="1"/>
        <w:ind w:left="1220" w:right="0" w:firstLine="0"/>
        <w:jc w:val="left"/>
        <w:rPr>
          <w:i/>
          <w:sz w:val="25"/>
        </w:rPr>
      </w:pPr>
      <w:r>
        <w:rPr>
          <w:i/>
          <w:sz w:val="25"/>
        </w:rPr>
        <w:t>Medieval Level</w:t>
      </w:r>
    </w:p>
    <w:p>
      <w:pPr>
        <w:pStyle w:val="BodyText"/>
        <w:spacing w:before="10"/>
        <w:rPr>
          <w:i/>
          <w:sz w:val="24"/>
        </w:rPr>
      </w:pPr>
    </w:p>
    <w:p>
      <w:pPr>
        <w:pStyle w:val="BodyText"/>
        <w:spacing w:line="480" w:lineRule="auto"/>
        <w:ind w:left="500" w:right="437"/>
        <w:jc w:val="both"/>
      </w:pPr>
      <w:r>
        <w:rPr/>
        <w:t>This period lasted from the end of the twelfth to the beginning of the sixteenth century A.D and comprises of structural activities in three sub-periods - A, B and</w:t>
      </w:r>
    </w:p>
    <w:p>
      <w:pPr>
        <w:pStyle w:val="BodyText"/>
        <w:spacing w:line="287" w:lineRule="exact"/>
        <w:ind w:left="500"/>
      </w:pPr>
      <w:r>
        <w:rPr/>
        <w:t>C. In sub-period A, the excavation shows:</w:t>
      </w:r>
    </w:p>
    <w:p>
      <w:pPr>
        <w:pStyle w:val="BodyText"/>
      </w:pPr>
    </w:p>
    <w:p>
      <w:pPr>
        <w:spacing w:line="276" w:lineRule="auto" w:before="0"/>
        <w:ind w:left="1940" w:right="2259" w:firstLine="0"/>
        <w:jc w:val="both"/>
        <w:rPr>
          <w:sz w:val="21"/>
        </w:rPr>
      </w:pPr>
      <w:r>
        <w:rPr>
          <w:color w:val="212121"/>
          <w:w w:val="33"/>
          <w:sz w:val="21"/>
        </w:rPr>
        <w:t>―</w:t>
      </w:r>
      <w:r>
        <w:rPr>
          <w:color w:val="212121"/>
          <w:w w:val="100"/>
          <w:sz w:val="21"/>
        </w:rPr>
        <w:t>..In</w:t>
      </w:r>
      <w:r>
        <w:rPr>
          <w:color w:val="212121"/>
          <w:sz w:val="21"/>
        </w:rPr>
        <w:t>  </w:t>
      </w:r>
      <w:r>
        <w:rPr>
          <w:color w:val="212121"/>
          <w:w w:val="100"/>
          <w:sz w:val="21"/>
        </w:rPr>
        <w:t>sub-P</w:t>
      </w:r>
      <w:r>
        <w:rPr>
          <w:color w:val="212121"/>
          <w:w w:val="100"/>
          <w:sz w:val="21"/>
        </w:rPr>
        <w:t>eriod</w:t>
      </w:r>
      <w:r>
        <w:rPr>
          <w:color w:val="212121"/>
          <w:w w:val="100"/>
          <w:sz w:val="21"/>
        </w:rPr>
        <w:t>-A</w:t>
      </w:r>
      <w:r>
        <w:rPr>
          <w:color w:val="212121"/>
          <w:w w:val="100"/>
          <w:sz w:val="21"/>
        </w:rPr>
        <w:t>,</w:t>
      </w:r>
      <w:r>
        <w:rPr>
          <w:color w:val="212121"/>
          <w:sz w:val="21"/>
        </w:rPr>
        <w:t>  </w:t>
      </w:r>
      <w:r>
        <w:rPr>
          <w:color w:val="212121"/>
          <w:w w:val="100"/>
          <w:sz w:val="21"/>
        </w:rPr>
        <w:t>a</w:t>
      </w:r>
      <w:r>
        <w:rPr>
          <w:color w:val="212121"/>
          <w:sz w:val="21"/>
        </w:rPr>
        <w:t>  </w:t>
      </w:r>
      <w:r>
        <w:rPr>
          <w:color w:val="212121"/>
          <w:w w:val="100"/>
          <w:sz w:val="21"/>
        </w:rPr>
        <w:t>m</w:t>
      </w:r>
      <w:r>
        <w:rPr>
          <w:color w:val="212121"/>
          <w:w w:val="100"/>
          <w:sz w:val="21"/>
        </w:rPr>
        <w:t>assi</w:t>
      </w:r>
      <w:r>
        <w:rPr>
          <w:color w:val="212121"/>
          <w:w w:val="100"/>
          <w:sz w:val="21"/>
        </w:rPr>
        <w:t>v</w:t>
      </w:r>
      <w:r>
        <w:rPr>
          <w:color w:val="212121"/>
          <w:w w:val="100"/>
          <w:sz w:val="21"/>
        </w:rPr>
        <w:t>e</w:t>
      </w:r>
      <w:r>
        <w:rPr>
          <w:color w:val="212121"/>
          <w:sz w:val="21"/>
        </w:rPr>
        <w:t>  </w:t>
      </w:r>
      <w:r>
        <w:rPr>
          <w:color w:val="212121"/>
          <w:w w:val="100"/>
          <w:sz w:val="21"/>
        </w:rPr>
        <w:t>wa</w:t>
      </w:r>
      <w:r>
        <w:rPr>
          <w:color w:val="212121"/>
          <w:w w:val="100"/>
          <w:sz w:val="21"/>
        </w:rPr>
        <w:t>ll</w:t>
      </w:r>
      <w:r>
        <w:rPr>
          <w:color w:val="212121"/>
          <w:sz w:val="21"/>
        </w:rPr>
        <w:t>  </w:t>
      </w:r>
      <w:r>
        <w:rPr>
          <w:color w:val="212121"/>
          <w:w w:val="100"/>
          <w:sz w:val="21"/>
        </w:rPr>
        <w:t>(</w:t>
      </w:r>
      <w:r>
        <w:rPr>
          <w:color w:val="212121"/>
          <w:w w:val="100"/>
          <w:sz w:val="21"/>
        </w:rPr>
        <w:t>n</w:t>
      </w:r>
      <w:r>
        <w:rPr>
          <w:color w:val="212121"/>
          <w:w w:val="100"/>
          <w:sz w:val="21"/>
        </w:rPr>
        <w:t>o.</w:t>
      </w:r>
      <w:r>
        <w:rPr>
          <w:color w:val="212121"/>
          <w:w w:val="100"/>
          <w:sz w:val="21"/>
        </w:rPr>
        <w:t>16)</w:t>
      </w:r>
      <w:r>
        <w:rPr>
          <w:color w:val="212121"/>
          <w:sz w:val="21"/>
        </w:rPr>
        <w:t>  </w:t>
      </w:r>
      <w:r>
        <w:rPr>
          <w:color w:val="212121"/>
          <w:w w:val="100"/>
          <w:sz w:val="21"/>
        </w:rPr>
        <w:t>i</w:t>
      </w:r>
      <w:r>
        <w:rPr>
          <w:color w:val="212121"/>
          <w:w w:val="100"/>
          <w:sz w:val="21"/>
        </w:rPr>
        <w:t>n</w:t>
      </w:r>
      <w:r>
        <w:rPr>
          <w:color w:val="212121"/>
          <w:sz w:val="21"/>
        </w:rPr>
        <w:t>  </w:t>
      </w:r>
      <w:r>
        <w:rPr>
          <w:color w:val="212121"/>
          <w:w w:val="100"/>
          <w:sz w:val="21"/>
        </w:rPr>
        <w:t>nort</w:t>
      </w:r>
      <w:r>
        <w:rPr>
          <w:color w:val="212121"/>
          <w:w w:val="100"/>
          <w:sz w:val="21"/>
        </w:rPr>
        <w:t>h</w:t>
      </w:r>
      <w:r>
        <w:rPr>
          <w:color w:val="212121"/>
          <w:w w:val="100"/>
          <w:sz w:val="21"/>
        </w:rPr>
        <w:t>-sout</w:t>
      </w:r>
      <w:r>
        <w:rPr>
          <w:color w:val="212121"/>
          <w:w w:val="100"/>
          <w:sz w:val="21"/>
        </w:rPr>
        <w:t>h </w:t>
      </w:r>
      <w:r>
        <w:rPr>
          <w:color w:val="212121"/>
          <w:sz w:val="21"/>
        </w:rPr>
        <w:t>orientation was constructed, the foundation trench of which cuts the red brick-crush floor of the previous period. A new style of construction is noticed in this period, however, in a limited area. Level of the mound was raised considerably by the material excavated from the vicinity to lay a floor of lime mixed with fine clay and brick-crush, over which a column- based structure was built (evidence of pillar bases are available in trenches F9, F8 and G7).‖</w:t>
      </w:r>
    </w:p>
    <w:p>
      <w:pPr>
        <w:pStyle w:val="BodyText"/>
        <w:spacing w:before="1"/>
      </w:pPr>
    </w:p>
    <w:p>
      <w:pPr>
        <w:pStyle w:val="BodyText"/>
        <w:ind w:left="500"/>
        <w:jc w:val="both"/>
      </w:pPr>
      <w:r>
        <w:rPr/>
        <w:t>For sub-period-B, the ASI report indicates:</w:t>
      </w:r>
    </w:p>
    <w:p>
      <w:pPr>
        <w:pStyle w:val="BodyText"/>
      </w:pPr>
    </w:p>
    <w:p>
      <w:pPr>
        <w:spacing w:line="276" w:lineRule="auto" w:before="0"/>
        <w:ind w:left="1940" w:right="2263" w:firstLine="0"/>
        <w:jc w:val="both"/>
        <w:rPr>
          <w:sz w:val="21"/>
        </w:rPr>
      </w:pPr>
      <w:r>
        <w:rPr>
          <w:spacing w:val="-1"/>
          <w:w w:val="33"/>
          <w:sz w:val="21"/>
        </w:rPr>
        <w:t>―</w:t>
      </w:r>
      <w:r>
        <w:rPr>
          <w:w w:val="100"/>
          <w:sz w:val="21"/>
        </w:rPr>
        <w:t>Th</w:t>
      </w:r>
      <w:r>
        <w:rPr>
          <w:spacing w:val="-1"/>
          <w:w w:val="100"/>
          <w:sz w:val="21"/>
        </w:rPr>
        <w:t>er</w:t>
      </w:r>
      <w:r>
        <w:rPr>
          <w:w w:val="100"/>
          <w:sz w:val="21"/>
        </w:rPr>
        <w:t>e</w:t>
      </w:r>
      <w:r>
        <w:rPr>
          <w:spacing w:val="17"/>
          <w:sz w:val="21"/>
        </w:rPr>
        <w:t> </w:t>
      </w:r>
      <w:r>
        <w:rPr>
          <w:w w:val="100"/>
          <w:sz w:val="21"/>
        </w:rPr>
        <w:t>is</w:t>
      </w:r>
      <w:r>
        <w:rPr>
          <w:spacing w:val="18"/>
          <w:sz w:val="21"/>
        </w:rPr>
        <w:t> </w:t>
      </w:r>
      <w:r>
        <w:rPr>
          <w:w w:val="100"/>
          <w:sz w:val="21"/>
        </w:rPr>
        <w:t>a</w:t>
      </w:r>
      <w:r>
        <w:rPr>
          <w:spacing w:val="18"/>
          <w:sz w:val="21"/>
        </w:rPr>
        <w:t> </w:t>
      </w:r>
      <w:r>
        <w:rPr>
          <w:w w:val="100"/>
          <w:sz w:val="21"/>
        </w:rPr>
        <w:t>ci</w:t>
      </w:r>
      <w:r>
        <w:rPr>
          <w:spacing w:val="-1"/>
          <w:w w:val="100"/>
          <w:sz w:val="21"/>
        </w:rPr>
        <w:t>r</w:t>
      </w:r>
      <w:r>
        <w:rPr>
          <w:spacing w:val="-3"/>
          <w:w w:val="100"/>
          <w:sz w:val="21"/>
        </w:rPr>
        <w:t>c</w:t>
      </w:r>
      <w:r>
        <w:rPr>
          <w:spacing w:val="-1"/>
          <w:w w:val="100"/>
          <w:sz w:val="21"/>
        </w:rPr>
        <w:t>u</w:t>
      </w:r>
      <w:r>
        <w:rPr>
          <w:spacing w:val="1"/>
          <w:w w:val="100"/>
          <w:sz w:val="21"/>
        </w:rPr>
        <w:t>l</w:t>
      </w:r>
      <w:r>
        <w:rPr>
          <w:spacing w:val="-1"/>
          <w:w w:val="100"/>
          <w:sz w:val="21"/>
        </w:rPr>
        <w:t>a</w:t>
      </w:r>
      <w:r>
        <w:rPr>
          <w:w w:val="100"/>
          <w:sz w:val="21"/>
        </w:rPr>
        <w:t>r</w:t>
      </w:r>
      <w:r>
        <w:rPr>
          <w:spacing w:val="17"/>
          <w:sz w:val="21"/>
        </w:rPr>
        <w:t> </w:t>
      </w:r>
      <w:r>
        <w:rPr>
          <w:spacing w:val="-1"/>
          <w:w w:val="100"/>
          <w:sz w:val="21"/>
        </w:rPr>
        <w:t>d</w:t>
      </w:r>
      <w:r>
        <w:rPr>
          <w:spacing w:val="-3"/>
          <w:w w:val="100"/>
          <w:sz w:val="21"/>
        </w:rPr>
        <w:t>e</w:t>
      </w:r>
      <w:r>
        <w:rPr>
          <w:spacing w:val="-1"/>
          <w:w w:val="100"/>
          <w:sz w:val="21"/>
        </w:rPr>
        <w:t>pr</w:t>
      </w:r>
      <w:r>
        <w:rPr>
          <w:spacing w:val="-3"/>
          <w:w w:val="100"/>
          <w:sz w:val="21"/>
        </w:rPr>
        <w:t>e</w:t>
      </w:r>
      <w:r>
        <w:rPr>
          <w:w w:val="100"/>
          <w:sz w:val="21"/>
        </w:rPr>
        <w:t>ssi</w:t>
      </w:r>
      <w:r>
        <w:rPr>
          <w:spacing w:val="-3"/>
          <w:w w:val="100"/>
          <w:sz w:val="21"/>
        </w:rPr>
        <w:t>o</w:t>
      </w:r>
      <w:r>
        <w:rPr>
          <w:w w:val="100"/>
          <w:sz w:val="21"/>
        </w:rPr>
        <w:t>n</w:t>
      </w:r>
      <w:r>
        <w:rPr>
          <w:spacing w:val="20"/>
          <w:sz w:val="21"/>
        </w:rPr>
        <w:t> </w:t>
      </w:r>
      <w:r>
        <w:rPr>
          <w:spacing w:val="-3"/>
          <w:w w:val="100"/>
          <w:sz w:val="21"/>
        </w:rPr>
        <w:t>s</w:t>
      </w:r>
      <w:r>
        <w:rPr>
          <w:spacing w:val="-1"/>
          <w:w w:val="100"/>
          <w:sz w:val="21"/>
        </w:rPr>
        <w:t>pe</w:t>
      </w:r>
      <w:r>
        <w:rPr>
          <w:spacing w:val="-3"/>
          <w:w w:val="100"/>
          <w:sz w:val="21"/>
        </w:rPr>
        <w:t>c</w:t>
      </w:r>
      <w:r>
        <w:rPr>
          <w:w w:val="100"/>
          <w:sz w:val="21"/>
        </w:rPr>
        <w:t>i</w:t>
      </w:r>
      <w:r>
        <w:rPr>
          <w:spacing w:val="-3"/>
          <w:w w:val="100"/>
          <w:sz w:val="21"/>
        </w:rPr>
        <w:t>a</w:t>
      </w:r>
      <w:r>
        <w:rPr>
          <w:w w:val="100"/>
          <w:sz w:val="21"/>
        </w:rPr>
        <w:t>lly</w:t>
      </w:r>
      <w:r>
        <w:rPr>
          <w:spacing w:val="16"/>
          <w:sz w:val="21"/>
        </w:rPr>
        <w:t> </w:t>
      </w:r>
      <w:r>
        <w:rPr>
          <w:spacing w:val="1"/>
          <w:w w:val="100"/>
          <w:sz w:val="21"/>
        </w:rPr>
        <w:t>m</w:t>
      </w:r>
      <w:r>
        <w:rPr>
          <w:spacing w:val="-3"/>
          <w:w w:val="100"/>
          <w:sz w:val="21"/>
        </w:rPr>
        <w:t>a</w:t>
      </w:r>
      <w:r>
        <w:rPr>
          <w:spacing w:val="-1"/>
          <w:w w:val="100"/>
          <w:sz w:val="21"/>
        </w:rPr>
        <w:t>d</w:t>
      </w:r>
      <w:r>
        <w:rPr>
          <w:w w:val="100"/>
          <w:sz w:val="21"/>
        </w:rPr>
        <w:t>e</w:t>
      </w:r>
      <w:r>
        <w:rPr>
          <w:spacing w:val="18"/>
          <w:sz w:val="21"/>
        </w:rPr>
        <w:t> </w:t>
      </w:r>
      <w:r>
        <w:rPr>
          <w:spacing w:val="-1"/>
          <w:w w:val="100"/>
          <w:sz w:val="21"/>
        </w:rPr>
        <w:t>b</w:t>
      </w:r>
      <w:r>
        <w:rPr>
          <w:w w:val="100"/>
          <w:sz w:val="21"/>
        </w:rPr>
        <w:t>y</w:t>
      </w:r>
      <w:r>
        <w:rPr>
          <w:spacing w:val="18"/>
          <w:sz w:val="21"/>
        </w:rPr>
        <w:t> </w:t>
      </w:r>
      <w:r>
        <w:rPr>
          <w:w w:val="100"/>
          <w:sz w:val="21"/>
        </w:rPr>
        <w:t>cu</w:t>
      </w:r>
      <w:r>
        <w:rPr>
          <w:spacing w:val="-1"/>
          <w:w w:val="100"/>
          <w:sz w:val="21"/>
        </w:rPr>
        <w:t>t</w:t>
      </w:r>
      <w:r>
        <w:rPr>
          <w:spacing w:val="-2"/>
          <w:w w:val="100"/>
          <w:sz w:val="21"/>
        </w:rPr>
        <w:t>t</w:t>
      </w:r>
      <w:r>
        <w:rPr>
          <w:w w:val="100"/>
          <w:sz w:val="21"/>
        </w:rPr>
        <w:t>i</w:t>
      </w:r>
      <w:r>
        <w:rPr>
          <w:spacing w:val="-1"/>
          <w:w w:val="100"/>
          <w:sz w:val="21"/>
        </w:rPr>
        <w:t>n</w:t>
      </w:r>
      <w:r>
        <w:rPr>
          <w:w w:val="100"/>
          <w:sz w:val="21"/>
        </w:rPr>
        <w:t>g</w:t>
      </w:r>
      <w:r>
        <w:rPr>
          <w:spacing w:val="21"/>
          <w:sz w:val="21"/>
        </w:rPr>
        <w:t> </w:t>
      </w:r>
      <w:r>
        <w:rPr>
          <w:spacing w:val="-4"/>
          <w:w w:val="100"/>
          <w:sz w:val="21"/>
        </w:rPr>
        <w:t>t</w:t>
      </w:r>
      <w:r>
        <w:rPr>
          <w:spacing w:val="-1"/>
          <w:w w:val="100"/>
          <w:sz w:val="21"/>
        </w:rPr>
        <w:t>he </w:t>
      </w:r>
      <w:r>
        <w:rPr>
          <w:sz w:val="21"/>
        </w:rPr>
        <w:t>large brick pavement (Pl. 67), having the diameter of 1.05 m. with a rectangular projection of 0.46x0.32 m towards west. It is interesting to note that the circular depression comes in the centre of the pavement if the central part is calculated on the basis of extant length of wall 16 or wall 17 and longitudinal length of the alignment of pillar bases from north to south. Thus, suggesting it as a place of importance. Besides, the circular depression faces the central part of the disputed </w:t>
      </w:r>
      <w:r>
        <w:rPr>
          <w:w w:val="100"/>
          <w:sz w:val="21"/>
        </w:rPr>
        <w:t>s</w:t>
      </w:r>
      <w:r>
        <w:rPr>
          <w:spacing w:val="-2"/>
          <w:w w:val="100"/>
          <w:sz w:val="21"/>
        </w:rPr>
        <w:t>t</w:t>
      </w:r>
      <w:r>
        <w:rPr>
          <w:spacing w:val="-1"/>
          <w:w w:val="100"/>
          <w:sz w:val="21"/>
        </w:rPr>
        <w:t>ructur</w:t>
      </w:r>
      <w:r>
        <w:rPr>
          <w:w w:val="100"/>
          <w:sz w:val="21"/>
        </w:rPr>
        <w:t>e</w:t>
      </w:r>
      <w:r>
        <w:rPr>
          <w:sz w:val="21"/>
        </w:rPr>
        <w:t>  </w:t>
      </w:r>
      <w:r>
        <w:rPr>
          <w:spacing w:val="11"/>
          <w:sz w:val="21"/>
        </w:rPr>
        <w:t> </w:t>
      </w:r>
      <w:r>
        <w:rPr>
          <w:spacing w:val="-1"/>
          <w:w w:val="100"/>
          <w:sz w:val="21"/>
        </w:rPr>
        <w:t>o</w:t>
      </w:r>
      <w:r>
        <w:rPr>
          <w:spacing w:val="-3"/>
          <w:w w:val="100"/>
          <w:sz w:val="21"/>
        </w:rPr>
        <w:t>v</w:t>
      </w:r>
      <w:r>
        <w:rPr>
          <w:spacing w:val="-1"/>
          <w:w w:val="100"/>
          <w:sz w:val="21"/>
        </w:rPr>
        <w:t>e</w:t>
      </w:r>
      <w:r>
        <w:rPr>
          <w:w w:val="100"/>
          <w:sz w:val="21"/>
        </w:rPr>
        <w:t>r</w:t>
      </w:r>
      <w:r>
        <w:rPr>
          <w:sz w:val="21"/>
        </w:rPr>
        <w:t>  </w:t>
      </w:r>
      <w:r>
        <w:rPr>
          <w:spacing w:val="11"/>
          <w:sz w:val="21"/>
        </w:rPr>
        <w:t> </w:t>
      </w:r>
      <w:r>
        <w:rPr>
          <w:spacing w:val="-2"/>
          <w:w w:val="100"/>
          <w:sz w:val="21"/>
        </w:rPr>
        <w:t>w</w:t>
      </w:r>
      <w:r>
        <w:rPr>
          <w:spacing w:val="-1"/>
          <w:w w:val="100"/>
          <w:sz w:val="21"/>
        </w:rPr>
        <w:t>h</w:t>
      </w:r>
      <w:r>
        <w:rPr>
          <w:spacing w:val="1"/>
          <w:w w:val="100"/>
          <w:sz w:val="21"/>
        </w:rPr>
        <w:t>i</w:t>
      </w:r>
      <w:r>
        <w:rPr>
          <w:w w:val="100"/>
          <w:sz w:val="21"/>
        </w:rPr>
        <w:t>ch</w:t>
      </w:r>
      <w:r>
        <w:rPr>
          <w:sz w:val="21"/>
        </w:rPr>
        <w:t>  </w:t>
      </w:r>
      <w:r>
        <w:rPr>
          <w:spacing w:val="9"/>
          <w:sz w:val="21"/>
        </w:rPr>
        <w:t> </w:t>
      </w:r>
      <w:r>
        <w:rPr>
          <w:spacing w:val="-2"/>
          <w:w w:val="40"/>
          <w:sz w:val="21"/>
        </w:rPr>
        <w:t>‗</w:t>
      </w:r>
      <w:r>
        <w:rPr>
          <w:w w:val="100"/>
          <w:sz w:val="21"/>
        </w:rPr>
        <w:t>R</w:t>
      </w:r>
      <w:r>
        <w:rPr>
          <w:spacing w:val="-3"/>
          <w:w w:val="100"/>
          <w:sz w:val="21"/>
        </w:rPr>
        <w:t>a</w:t>
      </w:r>
      <w:r>
        <w:rPr>
          <w:w w:val="100"/>
          <w:sz w:val="21"/>
        </w:rPr>
        <w:t>m</w:t>
      </w:r>
      <w:r>
        <w:rPr>
          <w:sz w:val="21"/>
        </w:rPr>
        <w:t>  </w:t>
      </w:r>
      <w:r>
        <w:rPr>
          <w:spacing w:val="13"/>
          <w:sz w:val="21"/>
        </w:rPr>
        <w:t> </w:t>
      </w:r>
      <w:r>
        <w:rPr>
          <w:spacing w:val="-3"/>
          <w:w w:val="100"/>
          <w:sz w:val="21"/>
        </w:rPr>
        <w:t>L</w:t>
      </w:r>
      <w:r>
        <w:rPr>
          <w:spacing w:val="-1"/>
          <w:w w:val="100"/>
          <w:sz w:val="21"/>
        </w:rPr>
        <w:t>a</w:t>
      </w:r>
      <w:r>
        <w:rPr>
          <w:spacing w:val="-2"/>
          <w:w w:val="100"/>
          <w:sz w:val="21"/>
        </w:rPr>
        <w:t>l</w:t>
      </w:r>
      <w:r>
        <w:rPr>
          <w:w w:val="100"/>
          <w:sz w:val="21"/>
        </w:rPr>
        <w:t>l</w:t>
      </w:r>
      <w:r>
        <w:rPr>
          <w:spacing w:val="-3"/>
          <w:w w:val="100"/>
          <w:sz w:val="21"/>
        </w:rPr>
        <w:t>a</w:t>
      </w:r>
      <w:r>
        <w:rPr>
          <w:w w:val="100"/>
          <w:sz w:val="21"/>
        </w:rPr>
        <w:t>‘</w:t>
      </w:r>
      <w:r>
        <w:rPr>
          <w:sz w:val="21"/>
        </w:rPr>
        <w:t>  </w:t>
      </w:r>
      <w:r>
        <w:rPr>
          <w:spacing w:val="12"/>
          <w:sz w:val="21"/>
        </w:rPr>
        <w:t> </w:t>
      </w:r>
      <w:r>
        <w:rPr>
          <w:w w:val="100"/>
          <w:sz w:val="21"/>
        </w:rPr>
        <w:t>is</w:t>
      </w:r>
      <w:r>
        <w:rPr>
          <w:sz w:val="21"/>
        </w:rPr>
        <w:t>  </w:t>
      </w:r>
      <w:r>
        <w:rPr>
          <w:spacing w:val="9"/>
          <w:sz w:val="21"/>
        </w:rPr>
        <w:t> </w:t>
      </w:r>
      <w:r>
        <w:rPr>
          <w:spacing w:val="-1"/>
          <w:w w:val="100"/>
          <w:sz w:val="21"/>
        </w:rPr>
        <w:t>ensh</w:t>
      </w:r>
      <w:r>
        <w:rPr>
          <w:spacing w:val="-3"/>
          <w:w w:val="100"/>
          <w:sz w:val="21"/>
        </w:rPr>
        <w:t>r</w:t>
      </w:r>
      <w:r>
        <w:rPr>
          <w:w w:val="100"/>
          <w:sz w:val="21"/>
        </w:rPr>
        <w:t>i</w:t>
      </w:r>
      <w:r>
        <w:rPr>
          <w:spacing w:val="-3"/>
          <w:w w:val="100"/>
          <w:sz w:val="21"/>
        </w:rPr>
        <w:t>ne</w:t>
      </w:r>
      <w:r>
        <w:rPr>
          <w:spacing w:val="-1"/>
          <w:w w:val="100"/>
          <w:sz w:val="21"/>
        </w:rPr>
        <w:t>d</w:t>
      </w:r>
      <w:r>
        <w:rPr>
          <w:w w:val="100"/>
          <w:sz w:val="21"/>
        </w:rPr>
        <w:t>.</w:t>
      </w:r>
      <w:r>
        <w:rPr>
          <w:sz w:val="21"/>
        </w:rPr>
        <w:t>  </w:t>
      </w:r>
      <w:r>
        <w:rPr>
          <w:spacing w:val="11"/>
          <w:sz w:val="21"/>
        </w:rPr>
        <w:t> </w:t>
      </w:r>
      <w:r>
        <w:rPr>
          <w:w w:val="100"/>
          <w:sz w:val="21"/>
        </w:rPr>
        <w:t>B</w:t>
      </w:r>
      <w:r>
        <w:rPr>
          <w:spacing w:val="-1"/>
          <w:w w:val="100"/>
          <w:sz w:val="21"/>
        </w:rPr>
        <w:t>r</w:t>
      </w:r>
      <w:r>
        <w:rPr>
          <w:w w:val="100"/>
          <w:sz w:val="21"/>
        </w:rPr>
        <w:t>i</w:t>
      </w:r>
      <w:r>
        <w:rPr>
          <w:spacing w:val="-3"/>
          <w:w w:val="100"/>
          <w:sz w:val="21"/>
        </w:rPr>
        <w:t>c</w:t>
      </w:r>
      <w:r>
        <w:rPr>
          <w:w w:val="100"/>
          <w:sz w:val="21"/>
        </w:rPr>
        <w:t>ks </w:t>
      </w:r>
      <w:r>
        <w:rPr>
          <w:sz w:val="21"/>
        </w:rPr>
        <w:t>measuring 50x50x8 to 10 cm. 50x47x8 and 40x40x6 cm were used in the pavement as specially made floor</w:t>
      </w:r>
      <w:r>
        <w:rPr>
          <w:spacing w:val="-22"/>
          <w:sz w:val="21"/>
        </w:rPr>
        <w:t> </w:t>
      </w:r>
      <w:r>
        <w:rPr>
          <w:sz w:val="21"/>
        </w:rPr>
        <w:t>tiles.‖</w:t>
      </w:r>
    </w:p>
    <w:p>
      <w:pPr>
        <w:pStyle w:val="BodyText"/>
        <w:rPr>
          <w:sz w:val="24"/>
        </w:rPr>
      </w:pPr>
    </w:p>
    <w:p>
      <w:pPr>
        <w:pStyle w:val="BodyText"/>
        <w:spacing w:line="480" w:lineRule="auto" w:before="207"/>
        <w:ind w:left="500" w:right="437"/>
        <w:jc w:val="both"/>
      </w:pPr>
      <w:r>
        <w:rPr/>
        <w:t>The above finding for sub-period B reports the existence of a circular depression, its centrality indicating it to be a place of importance. It is also stated that the circular depression faces the central part of the disputed structure over which the deity is enshrined.</w:t>
      </w:r>
    </w:p>
    <w:p>
      <w:pPr>
        <w:pStyle w:val="BodyText"/>
      </w:pPr>
    </w:p>
    <w:p>
      <w:pPr>
        <w:pStyle w:val="BodyText"/>
        <w:ind w:left="500"/>
        <w:jc w:val="both"/>
      </w:pPr>
      <w:r>
        <w:rPr/>
        <w:t>In sub-period C, there is a finding of foundations to support pillars or columns:</w:t>
      </w:r>
    </w:p>
    <w:p>
      <w:pPr>
        <w:pStyle w:val="BodyText"/>
        <w:spacing w:before="1"/>
      </w:pPr>
    </w:p>
    <w:p>
      <w:pPr>
        <w:spacing w:line="276" w:lineRule="auto" w:before="0"/>
        <w:ind w:left="1940" w:right="2263" w:firstLine="0"/>
        <w:jc w:val="both"/>
        <w:rPr>
          <w:sz w:val="21"/>
        </w:rPr>
      </w:pPr>
      <w:r>
        <w:rPr>
          <w:w w:val="33"/>
          <w:sz w:val="21"/>
        </w:rPr>
        <w:t>―</w:t>
      </w:r>
      <w:r>
        <w:rPr>
          <w:w w:val="100"/>
          <w:sz w:val="21"/>
        </w:rPr>
        <w:t>In</w:t>
      </w:r>
      <w:r>
        <w:rPr>
          <w:sz w:val="21"/>
        </w:rPr>
        <w:t> </w:t>
      </w:r>
      <w:r>
        <w:rPr>
          <w:w w:val="100"/>
          <w:sz w:val="21"/>
        </w:rPr>
        <w:t>this</w:t>
      </w:r>
      <w:r>
        <w:rPr>
          <w:sz w:val="21"/>
        </w:rPr>
        <w:t> </w:t>
      </w:r>
      <w:r>
        <w:rPr>
          <w:w w:val="100"/>
          <w:sz w:val="21"/>
        </w:rPr>
        <w:t>deposit</w:t>
      </w:r>
      <w:r>
        <w:rPr>
          <w:sz w:val="21"/>
        </w:rPr>
        <w:t> </w:t>
      </w:r>
      <w:r>
        <w:rPr>
          <w:w w:val="100"/>
          <w:sz w:val="21"/>
        </w:rPr>
        <w:t>foundations</w:t>
      </w:r>
      <w:r>
        <w:rPr>
          <w:sz w:val="21"/>
        </w:rPr>
        <w:t> </w:t>
      </w:r>
      <w:r>
        <w:rPr>
          <w:w w:val="100"/>
          <w:sz w:val="21"/>
        </w:rPr>
        <w:t>to</w:t>
      </w:r>
      <w:r>
        <w:rPr>
          <w:sz w:val="21"/>
        </w:rPr>
        <w:t> </w:t>
      </w:r>
      <w:r>
        <w:rPr>
          <w:w w:val="100"/>
          <w:sz w:val="21"/>
        </w:rPr>
        <w:t>support</w:t>
      </w:r>
      <w:r>
        <w:rPr>
          <w:sz w:val="21"/>
        </w:rPr>
        <w:t> </w:t>
      </w:r>
      <w:r>
        <w:rPr>
          <w:w w:val="100"/>
          <w:sz w:val="21"/>
        </w:rPr>
        <w:t>pillars</w:t>
      </w:r>
      <w:r>
        <w:rPr>
          <w:sz w:val="21"/>
        </w:rPr>
        <w:t> </w:t>
      </w:r>
      <w:r>
        <w:rPr>
          <w:w w:val="100"/>
          <w:sz w:val="21"/>
        </w:rPr>
        <w:t>or</w:t>
      </w:r>
      <w:r>
        <w:rPr>
          <w:sz w:val="21"/>
        </w:rPr>
        <w:t> </w:t>
      </w:r>
      <w:r>
        <w:rPr>
          <w:w w:val="100"/>
          <w:sz w:val="21"/>
        </w:rPr>
        <w:t>columns</w:t>
      </w:r>
      <w:r>
        <w:rPr>
          <w:sz w:val="21"/>
        </w:rPr>
        <w:t> </w:t>
      </w:r>
      <w:r>
        <w:rPr>
          <w:w w:val="100"/>
          <w:sz w:val="21"/>
        </w:rPr>
        <w:t>were </w:t>
      </w:r>
      <w:r>
        <w:rPr>
          <w:sz w:val="21"/>
        </w:rPr>
        <w:t>sunk which were overlaid with a 4-5 cm thick floor which had</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3" w:firstLine="0"/>
        <w:jc w:val="both"/>
        <w:rPr>
          <w:sz w:val="21"/>
        </w:rPr>
      </w:pPr>
      <w:r>
        <w:rPr>
          <w:sz w:val="21"/>
        </w:rPr>
        <w:t>a grid of square sandstone bases for pillars projecting out, only a few still survive. Floor around most of the pillar bases  is found broken with pillar base foundations in much disturbed condition.‖</w:t>
      </w:r>
    </w:p>
    <w:p>
      <w:pPr>
        <w:pStyle w:val="BodyText"/>
        <w:spacing w:before="9"/>
        <w:rPr>
          <w:sz w:val="20"/>
        </w:rPr>
      </w:pPr>
    </w:p>
    <w:p>
      <w:pPr>
        <w:pStyle w:val="Heading5"/>
        <w:numPr>
          <w:ilvl w:val="0"/>
          <w:numId w:val="142"/>
        </w:numPr>
        <w:tabs>
          <w:tab w:pos="1220" w:val="left" w:leader="none"/>
          <w:tab w:pos="1221" w:val="left" w:leader="none"/>
        </w:tabs>
        <w:spacing w:line="240" w:lineRule="auto" w:before="1" w:after="0"/>
        <w:ind w:left="1220" w:right="0" w:hanging="721"/>
        <w:jc w:val="left"/>
      </w:pPr>
      <w:r>
        <w:rPr/>
        <w:t>Period</w:t>
      </w:r>
      <w:r>
        <w:rPr>
          <w:spacing w:val="1"/>
        </w:rPr>
        <w:t> </w:t>
      </w:r>
      <w:r>
        <w:rPr/>
        <w:t>–VIII</w:t>
      </w:r>
    </w:p>
    <w:p>
      <w:pPr>
        <w:pStyle w:val="BodyText"/>
        <w:spacing w:before="3"/>
        <w:rPr>
          <w:b/>
        </w:rPr>
      </w:pPr>
    </w:p>
    <w:p>
      <w:pPr>
        <w:spacing w:before="0"/>
        <w:ind w:left="0" w:right="7259" w:firstLine="0"/>
        <w:jc w:val="right"/>
        <w:rPr>
          <w:i/>
          <w:sz w:val="25"/>
        </w:rPr>
      </w:pPr>
      <w:r>
        <w:rPr>
          <w:i/>
          <w:sz w:val="25"/>
        </w:rPr>
        <w:t>Mughal Level</w:t>
      </w:r>
    </w:p>
    <w:p>
      <w:pPr>
        <w:pStyle w:val="BodyText"/>
        <w:spacing w:before="1"/>
        <w:rPr>
          <w:i/>
        </w:rPr>
      </w:pPr>
    </w:p>
    <w:p>
      <w:pPr>
        <w:pStyle w:val="BodyText"/>
        <w:ind w:right="7184"/>
        <w:jc w:val="right"/>
      </w:pPr>
      <w:r>
        <w:rPr/>
        <w:t>The report indicates:</w:t>
      </w:r>
    </w:p>
    <w:p>
      <w:pPr>
        <w:pStyle w:val="BodyText"/>
        <w:spacing w:before="9"/>
        <w:rPr>
          <w:sz w:val="24"/>
        </w:rPr>
      </w:pPr>
    </w:p>
    <w:p>
      <w:pPr>
        <w:spacing w:line="276" w:lineRule="auto" w:before="0"/>
        <w:ind w:left="1940" w:right="2259" w:firstLine="0"/>
        <w:jc w:val="both"/>
        <w:rPr>
          <w:sz w:val="21"/>
        </w:rPr>
      </w:pPr>
      <w:r>
        <w:rPr>
          <w:spacing w:val="-1"/>
          <w:w w:val="33"/>
          <w:sz w:val="21"/>
        </w:rPr>
        <w:t>―</w:t>
      </w:r>
      <w:r>
        <w:rPr>
          <w:w w:val="100"/>
          <w:sz w:val="21"/>
        </w:rPr>
        <w:t>The</w:t>
      </w:r>
      <w:r>
        <w:rPr>
          <w:spacing w:val="1"/>
          <w:sz w:val="21"/>
        </w:rPr>
        <w:t> </w:t>
      </w:r>
      <w:r>
        <w:rPr>
          <w:spacing w:val="-2"/>
          <w:w w:val="100"/>
          <w:sz w:val="21"/>
        </w:rPr>
        <w:t>f</w:t>
      </w:r>
      <w:r>
        <w:rPr>
          <w:w w:val="100"/>
          <w:sz w:val="21"/>
        </w:rPr>
        <w:t>l</w:t>
      </w:r>
      <w:r>
        <w:rPr>
          <w:spacing w:val="-3"/>
          <w:w w:val="100"/>
          <w:sz w:val="21"/>
        </w:rPr>
        <w:t>o</w:t>
      </w:r>
      <w:r>
        <w:rPr>
          <w:spacing w:val="-1"/>
          <w:w w:val="100"/>
          <w:sz w:val="21"/>
        </w:rPr>
        <w:t>o</w:t>
      </w:r>
      <w:r>
        <w:rPr>
          <w:w w:val="100"/>
          <w:sz w:val="21"/>
        </w:rPr>
        <w:t>r</w:t>
      </w:r>
      <w:r>
        <w:rPr>
          <w:sz w:val="21"/>
        </w:rPr>
        <w:t> </w:t>
      </w:r>
      <w:r>
        <w:rPr>
          <w:spacing w:val="-1"/>
          <w:w w:val="100"/>
          <w:sz w:val="21"/>
        </w:rPr>
        <w:t>o</w:t>
      </w:r>
      <w:r>
        <w:rPr>
          <w:w w:val="100"/>
          <w:sz w:val="21"/>
        </w:rPr>
        <w:t>f</w:t>
      </w:r>
      <w:r>
        <w:rPr>
          <w:spacing w:val="2"/>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pre</w:t>
      </w:r>
      <w:r>
        <w:rPr>
          <w:spacing w:val="-3"/>
          <w:w w:val="100"/>
          <w:sz w:val="21"/>
        </w:rPr>
        <w:t>v</w:t>
      </w:r>
      <w:r>
        <w:rPr>
          <w:w w:val="100"/>
          <w:sz w:val="21"/>
        </w:rPr>
        <w:t>i</w:t>
      </w:r>
      <w:r>
        <w:rPr>
          <w:spacing w:val="-3"/>
          <w:w w:val="100"/>
          <w:sz w:val="21"/>
        </w:rPr>
        <w:t>o</w:t>
      </w:r>
      <w:r>
        <w:rPr>
          <w:spacing w:val="-1"/>
          <w:w w:val="100"/>
          <w:sz w:val="21"/>
        </w:rPr>
        <w:t>u</w:t>
      </w:r>
      <w:r>
        <w:rPr>
          <w:w w:val="100"/>
          <w:sz w:val="21"/>
        </w:rPr>
        <w:t>s</w:t>
      </w:r>
      <w:r>
        <w:rPr>
          <w:spacing w:val="1"/>
          <w:sz w:val="21"/>
        </w:rPr>
        <w:t> </w:t>
      </w:r>
      <w:r>
        <w:rPr>
          <w:spacing w:val="-1"/>
          <w:w w:val="100"/>
          <w:sz w:val="21"/>
        </w:rPr>
        <w:t>per</w:t>
      </w:r>
      <w:r>
        <w:rPr>
          <w:w w:val="100"/>
          <w:sz w:val="21"/>
        </w:rPr>
        <w:t>i</w:t>
      </w:r>
      <w:r>
        <w:rPr>
          <w:spacing w:val="-3"/>
          <w:w w:val="100"/>
          <w:sz w:val="21"/>
        </w:rPr>
        <w:t>o</w:t>
      </w:r>
      <w:r>
        <w:rPr>
          <w:w w:val="100"/>
          <w:sz w:val="21"/>
        </w:rPr>
        <w:t>d</w:t>
      </w:r>
      <w:r>
        <w:rPr>
          <w:spacing w:val="1"/>
          <w:sz w:val="21"/>
        </w:rPr>
        <w:t> </w:t>
      </w:r>
      <w:r>
        <w:rPr>
          <w:spacing w:val="-1"/>
          <w:w w:val="100"/>
          <w:sz w:val="21"/>
        </w:rPr>
        <w:t>(</w:t>
      </w:r>
      <w:r>
        <w:rPr>
          <w:w w:val="100"/>
          <w:sz w:val="21"/>
        </w:rPr>
        <w:t>P</w:t>
      </w:r>
      <w:r>
        <w:rPr>
          <w:spacing w:val="-1"/>
          <w:w w:val="100"/>
          <w:sz w:val="21"/>
        </w:rPr>
        <w:t>e</w:t>
      </w:r>
      <w:r>
        <w:rPr>
          <w:spacing w:val="-3"/>
          <w:w w:val="100"/>
          <w:sz w:val="21"/>
        </w:rPr>
        <w:t>r</w:t>
      </w:r>
      <w:r>
        <w:rPr>
          <w:w w:val="100"/>
          <w:sz w:val="21"/>
        </w:rPr>
        <w:t>i</w:t>
      </w:r>
      <w:r>
        <w:rPr>
          <w:spacing w:val="-1"/>
          <w:w w:val="100"/>
          <w:sz w:val="21"/>
        </w:rPr>
        <w:t>o</w:t>
      </w:r>
      <w:r>
        <w:rPr>
          <w:w w:val="100"/>
          <w:sz w:val="21"/>
        </w:rPr>
        <w:t>d</w:t>
      </w:r>
      <w:r>
        <w:rPr>
          <w:spacing w:val="1"/>
          <w:sz w:val="21"/>
        </w:rPr>
        <w:t> </w:t>
      </w:r>
      <w:r>
        <w:rPr>
          <w:w w:val="100"/>
          <w:sz w:val="21"/>
        </w:rPr>
        <w:t>V</w:t>
      </w:r>
      <w:r>
        <w:rPr>
          <w:spacing w:val="-2"/>
          <w:w w:val="100"/>
          <w:sz w:val="21"/>
        </w:rPr>
        <w:t>I</w:t>
      </w:r>
      <w:r>
        <w:rPr>
          <w:spacing w:val="3"/>
          <w:w w:val="100"/>
          <w:sz w:val="21"/>
        </w:rPr>
        <w:t>I</w:t>
      </w:r>
      <w:r>
        <w:rPr>
          <w:spacing w:val="-4"/>
          <w:w w:val="100"/>
          <w:sz w:val="21"/>
        </w:rPr>
        <w:t>-</w:t>
      </w:r>
      <w:r>
        <w:rPr>
          <w:w w:val="100"/>
          <w:sz w:val="21"/>
        </w:rPr>
        <w:t>C</w:t>
      </w:r>
      <w:r>
        <w:rPr>
          <w:w w:val="100"/>
          <w:sz w:val="21"/>
        </w:rPr>
        <w:t>)</w:t>
      </w:r>
      <w:r>
        <w:rPr>
          <w:sz w:val="21"/>
        </w:rPr>
        <w:t> </w:t>
      </w:r>
      <w:r>
        <w:rPr>
          <w:w w:val="100"/>
          <w:sz w:val="21"/>
        </w:rPr>
        <w:t>i</w:t>
      </w:r>
      <w:r>
        <w:rPr>
          <w:w w:val="100"/>
          <w:sz w:val="21"/>
        </w:rPr>
        <w:t>s</w:t>
      </w:r>
      <w:r>
        <w:rPr>
          <w:spacing w:val="1"/>
          <w:sz w:val="21"/>
        </w:rPr>
        <w:t> </w:t>
      </w:r>
      <w:r>
        <w:rPr>
          <w:spacing w:val="1"/>
          <w:w w:val="100"/>
          <w:sz w:val="21"/>
        </w:rPr>
        <w:t>f</w:t>
      </w:r>
      <w:r>
        <w:rPr>
          <w:spacing w:val="-3"/>
          <w:w w:val="100"/>
          <w:sz w:val="21"/>
        </w:rPr>
        <w:t>o</w:t>
      </w:r>
      <w:r>
        <w:rPr>
          <w:w w:val="100"/>
          <w:sz w:val="21"/>
        </w:rPr>
        <w:t>und</w:t>
      </w:r>
      <w:r>
        <w:rPr>
          <w:spacing w:val="2"/>
          <w:sz w:val="21"/>
        </w:rPr>
        <w:t> </w:t>
      </w:r>
      <w:r>
        <w:rPr>
          <w:w w:val="100"/>
          <w:sz w:val="21"/>
        </w:rPr>
        <w:t>cut</w:t>
      </w:r>
      <w:r>
        <w:rPr>
          <w:sz w:val="21"/>
        </w:rPr>
        <w:t> </w:t>
      </w:r>
      <w:r>
        <w:rPr>
          <w:w w:val="100"/>
          <w:sz w:val="21"/>
        </w:rPr>
        <w:t>by </w:t>
      </w:r>
      <w:r>
        <w:rPr>
          <w:sz w:val="21"/>
        </w:rPr>
        <w:t>the stone black (mostly calcrete) foundations of the disputed structure (mosque). However, the north-south wall of the Period VII-A is retained as foundation for the back wall. Inside the foundation and in the immediate front part a layer of rammed earth is laid which is then overlaid with rammed deposit of grey coloured kankars and a thin layer of ashy deposit which contains riverine shells burnt white. The total deposit accounts for a thickness of about 20-25 cm, which acts as a soling for the first floor of the Mughal period inside as well as outside of the structure to a short distance to the east forming an apron</w:t>
      </w:r>
      <w:r>
        <w:rPr>
          <w:spacing w:val="-9"/>
          <w:sz w:val="21"/>
        </w:rPr>
        <w:t> </w:t>
      </w:r>
      <w:r>
        <w:rPr>
          <w:sz w:val="21"/>
        </w:rPr>
        <w:t>floor.‖</w:t>
      </w:r>
    </w:p>
    <w:p>
      <w:pPr>
        <w:pStyle w:val="BodyText"/>
        <w:spacing w:before="11"/>
        <w:rPr>
          <w:sz w:val="20"/>
        </w:rPr>
      </w:pPr>
    </w:p>
    <w:p>
      <w:pPr>
        <w:pStyle w:val="Heading5"/>
        <w:numPr>
          <w:ilvl w:val="0"/>
          <w:numId w:val="142"/>
        </w:numPr>
        <w:tabs>
          <w:tab w:pos="1220" w:val="left" w:leader="none"/>
          <w:tab w:pos="1221" w:val="left" w:leader="none"/>
        </w:tabs>
        <w:spacing w:line="240" w:lineRule="auto" w:before="0" w:after="0"/>
        <w:ind w:left="1220" w:right="0" w:hanging="721"/>
        <w:jc w:val="left"/>
      </w:pPr>
      <w:r>
        <w:rPr/>
        <w:t>Period</w:t>
      </w:r>
      <w:r>
        <w:rPr>
          <w:spacing w:val="1"/>
        </w:rPr>
        <w:t> </w:t>
      </w:r>
      <w:r>
        <w:rPr/>
        <w:t>–IX</w:t>
      </w:r>
    </w:p>
    <w:p>
      <w:pPr>
        <w:pStyle w:val="BodyText"/>
        <w:spacing w:before="3"/>
        <w:rPr>
          <w:b/>
        </w:rPr>
      </w:pPr>
    </w:p>
    <w:p>
      <w:pPr>
        <w:spacing w:before="0"/>
        <w:ind w:left="1220" w:right="0" w:firstLine="0"/>
        <w:jc w:val="both"/>
        <w:rPr>
          <w:i/>
          <w:sz w:val="25"/>
        </w:rPr>
      </w:pPr>
      <w:r>
        <w:rPr>
          <w:i/>
          <w:sz w:val="25"/>
        </w:rPr>
        <w:t>Late and Post Mughal Level</w:t>
      </w:r>
    </w:p>
    <w:p>
      <w:pPr>
        <w:pStyle w:val="BodyText"/>
        <w:spacing w:before="10"/>
        <w:rPr>
          <w:i/>
          <w:sz w:val="24"/>
        </w:rPr>
      </w:pPr>
    </w:p>
    <w:p>
      <w:pPr>
        <w:pStyle w:val="BodyText"/>
        <w:spacing w:line="480" w:lineRule="auto" w:before="1"/>
        <w:ind w:left="500" w:right="439"/>
        <w:jc w:val="both"/>
      </w:pPr>
      <w:r>
        <w:rPr/>
        <w:t>In this period, two successive floors were laid, another platform was added to the east forming a terrace and subsequently two successive enclosure walls were erected. Moreover:</w:t>
      </w:r>
    </w:p>
    <w:p>
      <w:pPr>
        <w:spacing w:line="276" w:lineRule="auto" w:before="0"/>
        <w:ind w:left="1940" w:right="2259" w:firstLine="0"/>
        <w:jc w:val="both"/>
        <w:rPr>
          <w:sz w:val="21"/>
        </w:rPr>
      </w:pPr>
      <w:r>
        <w:rPr>
          <w:spacing w:val="-1"/>
          <w:w w:val="33"/>
          <w:sz w:val="21"/>
        </w:rPr>
        <w:t>―</w:t>
      </w:r>
      <w:r>
        <w:rPr>
          <w:spacing w:val="-2"/>
          <w:w w:val="100"/>
          <w:sz w:val="21"/>
        </w:rPr>
        <w:t>I</w:t>
      </w:r>
      <w:r>
        <w:rPr>
          <w:w w:val="100"/>
          <w:sz w:val="21"/>
        </w:rPr>
        <w:t>n</w:t>
      </w:r>
      <w:r>
        <w:rPr>
          <w:spacing w:val="6"/>
          <w:sz w:val="21"/>
        </w:rPr>
        <w:t> </w:t>
      </w:r>
      <w:r>
        <w:rPr>
          <w:spacing w:val="-2"/>
          <w:w w:val="100"/>
          <w:sz w:val="21"/>
        </w:rPr>
        <w:t>t</w:t>
      </w:r>
      <w:r>
        <w:rPr>
          <w:spacing w:val="-1"/>
          <w:w w:val="100"/>
          <w:sz w:val="21"/>
        </w:rPr>
        <w:t>h</w:t>
      </w:r>
      <w:r>
        <w:rPr>
          <w:spacing w:val="1"/>
          <w:w w:val="100"/>
          <w:sz w:val="21"/>
        </w:rPr>
        <w:t>i</w:t>
      </w:r>
      <w:r>
        <w:rPr>
          <w:w w:val="100"/>
          <w:sz w:val="21"/>
        </w:rPr>
        <w:t>s</w:t>
      </w:r>
      <w:r>
        <w:rPr>
          <w:spacing w:val="3"/>
          <w:sz w:val="21"/>
        </w:rPr>
        <w:t> </w:t>
      </w:r>
      <w:r>
        <w:rPr>
          <w:spacing w:val="-1"/>
          <w:w w:val="100"/>
          <w:sz w:val="21"/>
        </w:rPr>
        <w:t>pe</w:t>
      </w:r>
      <w:r>
        <w:rPr>
          <w:spacing w:val="-3"/>
          <w:w w:val="100"/>
          <w:sz w:val="21"/>
        </w:rPr>
        <w:t>r</w:t>
      </w:r>
      <w:r>
        <w:rPr>
          <w:w w:val="100"/>
          <w:sz w:val="21"/>
        </w:rPr>
        <w:t>i</w:t>
      </w:r>
      <w:r>
        <w:rPr>
          <w:spacing w:val="-1"/>
          <w:w w:val="100"/>
          <w:sz w:val="21"/>
        </w:rPr>
        <w:t>o</w:t>
      </w:r>
      <w:r>
        <w:rPr>
          <w:w w:val="100"/>
          <w:sz w:val="21"/>
        </w:rPr>
        <w:t>d</w:t>
      </w:r>
      <w:r>
        <w:rPr>
          <w:spacing w:val="4"/>
          <w:sz w:val="21"/>
        </w:rPr>
        <w:t> </w:t>
      </w:r>
      <w:r>
        <w:rPr>
          <w:spacing w:val="-2"/>
          <w:w w:val="100"/>
          <w:sz w:val="21"/>
        </w:rPr>
        <w:t>t</w:t>
      </w:r>
      <w:r>
        <w:rPr>
          <w:w w:val="100"/>
          <w:sz w:val="21"/>
        </w:rPr>
        <w:t>o</w:t>
      </w:r>
      <w:r>
        <w:rPr>
          <w:spacing w:val="3"/>
          <w:sz w:val="21"/>
        </w:rPr>
        <w:t> </w:t>
      </w:r>
      <w:r>
        <w:rPr>
          <w:spacing w:val="-1"/>
          <w:w w:val="100"/>
          <w:sz w:val="21"/>
        </w:rPr>
        <w:t>at</w:t>
      </w:r>
      <w:r>
        <w:rPr>
          <w:spacing w:val="-2"/>
          <w:w w:val="100"/>
          <w:sz w:val="21"/>
        </w:rPr>
        <w:t>t</w:t>
      </w:r>
      <w:r>
        <w:rPr>
          <w:spacing w:val="-1"/>
          <w:w w:val="100"/>
          <w:sz w:val="21"/>
        </w:rPr>
        <w:t>ach</w:t>
      </w:r>
      <w:r>
        <w:rPr>
          <w:w w:val="100"/>
          <w:sz w:val="21"/>
        </w:rPr>
        <w:t>é</w:t>
      </w:r>
      <w:r>
        <w:rPr>
          <w:spacing w:val="4"/>
          <w:sz w:val="21"/>
        </w:rPr>
        <w:t> </w:t>
      </w:r>
      <w:r>
        <w:rPr>
          <w:w w:val="100"/>
          <w:sz w:val="21"/>
        </w:rPr>
        <w:t>a</w:t>
      </w:r>
      <w:r>
        <w:rPr>
          <w:spacing w:val="3"/>
          <w:sz w:val="21"/>
        </w:rPr>
        <w:t> </w:t>
      </w:r>
      <w:r>
        <w:rPr>
          <w:spacing w:val="-2"/>
          <w:w w:val="100"/>
          <w:sz w:val="21"/>
        </w:rPr>
        <w:t>t</w:t>
      </w:r>
      <w:r>
        <w:rPr>
          <w:spacing w:val="-1"/>
          <w:w w:val="100"/>
          <w:sz w:val="21"/>
        </w:rPr>
        <w:t>er</w:t>
      </w:r>
      <w:r>
        <w:rPr>
          <w:spacing w:val="-2"/>
          <w:w w:val="100"/>
          <w:sz w:val="21"/>
        </w:rPr>
        <w:t>r</w:t>
      </w:r>
      <w:r>
        <w:rPr>
          <w:spacing w:val="-1"/>
          <w:w w:val="100"/>
          <w:sz w:val="21"/>
        </w:rPr>
        <w:t>ace</w:t>
      </w:r>
      <w:r>
        <w:rPr>
          <w:w w:val="100"/>
          <w:sz w:val="21"/>
        </w:rPr>
        <w:t>d</w:t>
      </w:r>
      <w:r>
        <w:rPr>
          <w:spacing w:val="4"/>
          <w:sz w:val="21"/>
        </w:rPr>
        <w:t> </w:t>
      </w:r>
      <w:r>
        <w:rPr>
          <w:spacing w:val="-3"/>
          <w:w w:val="100"/>
          <w:sz w:val="21"/>
        </w:rPr>
        <w:t>p</w:t>
      </w:r>
      <w:r>
        <w:rPr>
          <w:w w:val="100"/>
          <w:sz w:val="21"/>
        </w:rPr>
        <w:t>l</w:t>
      </w:r>
      <w:r>
        <w:rPr>
          <w:spacing w:val="-1"/>
          <w:w w:val="100"/>
          <w:sz w:val="21"/>
        </w:rPr>
        <w:t>a</w:t>
      </w:r>
      <w:r>
        <w:rPr>
          <w:spacing w:val="-4"/>
          <w:w w:val="100"/>
          <w:sz w:val="21"/>
        </w:rPr>
        <w:t>t</w:t>
      </w:r>
      <w:r>
        <w:rPr>
          <w:spacing w:val="1"/>
          <w:w w:val="100"/>
          <w:sz w:val="21"/>
        </w:rPr>
        <w:t>f</w:t>
      </w:r>
      <w:r>
        <w:rPr>
          <w:spacing w:val="-1"/>
          <w:w w:val="100"/>
          <w:sz w:val="21"/>
        </w:rPr>
        <w:t>o</w:t>
      </w:r>
      <w:r>
        <w:rPr>
          <w:spacing w:val="-3"/>
          <w:w w:val="100"/>
          <w:sz w:val="21"/>
        </w:rPr>
        <w:t>r</w:t>
      </w:r>
      <w:r>
        <w:rPr>
          <w:w w:val="100"/>
          <w:sz w:val="21"/>
        </w:rPr>
        <w:t>m</w:t>
      </w:r>
      <w:r>
        <w:rPr>
          <w:spacing w:val="7"/>
          <w:sz w:val="21"/>
        </w:rPr>
        <w:t> </w:t>
      </w:r>
      <w:r>
        <w:rPr>
          <w:spacing w:val="-2"/>
          <w:w w:val="100"/>
          <w:sz w:val="21"/>
        </w:rPr>
        <w:t>t</w:t>
      </w:r>
      <w:r>
        <w:rPr>
          <w:w w:val="100"/>
          <w:sz w:val="21"/>
        </w:rPr>
        <w:t>o</w:t>
      </w:r>
      <w:r>
        <w:rPr>
          <w:spacing w:val="3"/>
          <w:sz w:val="21"/>
        </w:rPr>
        <w:t> </w:t>
      </w:r>
      <w:r>
        <w:rPr>
          <w:spacing w:val="-2"/>
          <w:w w:val="100"/>
          <w:sz w:val="21"/>
        </w:rPr>
        <w:t>t</w:t>
      </w:r>
      <w:r>
        <w:rPr>
          <w:spacing w:val="-1"/>
          <w:w w:val="100"/>
          <w:sz w:val="21"/>
        </w:rPr>
        <w:t>h</w:t>
      </w:r>
      <w:r>
        <w:rPr>
          <w:w w:val="100"/>
          <w:sz w:val="21"/>
        </w:rPr>
        <w:t>e</w:t>
      </w:r>
      <w:r>
        <w:rPr>
          <w:spacing w:val="4"/>
          <w:sz w:val="21"/>
        </w:rPr>
        <w:t> </w:t>
      </w:r>
      <w:r>
        <w:rPr>
          <w:spacing w:val="-3"/>
          <w:w w:val="100"/>
          <w:sz w:val="21"/>
        </w:rPr>
        <w:t>e</w:t>
      </w:r>
      <w:r>
        <w:rPr>
          <w:spacing w:val="-1"/>
          <w:w w:val="100"/>
          <w:sz w:val="21"/>
        </w:rPr>
        <w:t>as</w:t>
      </w:r>
      <w:r>
        <w:rPr>
          <w:w w:val="100"/>
          <w:sz w:val="21"/>
        </w:rPr>
        <w:t>t</w:t>
      </w:r>
      <w:r>
        <w:rPr>
          <w:spacing w:val="5"/>
          <w:sz w:val="21"/>
        </w:rPr>
        <w:t> </w:t>
      </w:r>
      <w:r>
        <w:rPr>
          <w:spacing w:val="-3"/>
          <w:w w:val="100"/>
          <w:sz w:val="21"/>
        </w:rPr>
        <w:t>o</w:t>
      </w:r>
      <w:r>
        <w:rPr>
          <w:w w:val="100"/>
          <w:sz w:val="21"/>
        </w:rPr>
        <w:t>f</w:t>
      </w:r>
      <w:r>
        <w:rPr>
          <w:spacing w:val="7"/>
          <w:sz w:val="21"/>
        </w:rPr>
        <w:t> </w:t>
      </w:r>
      <w:r>
        <w:rPr>
          <w:spacing w:val="-2"/>
          <w:w w:val="100"/>
          <w:sz w:val="21"/>
        </w:rPr>
        <w:t>t</w:t>
      </w:r>
      <w:r>
        <w:rPr>
          <w:spacing w:val="-3"/>
          <w:w w:val="100"/>
          <w:sz w:val="21"/>
        </w:rPr>
        <w:t>h</w:t>
      </w:r>
      <w:r>
        <w:rPr>
          <w:w w:val="100"/>
          <w:sz w:val="21"/>
        </w:rPr>
        <w:t>e </w:t>
      </w:r>
      <w:r>
        <w:rPr>
          <w:sz w:val="21"/>
        </w:rPr>
        <w:t>existing one, deposits of the earlier periods were excavated and removed, in which the floor of the period VII-C was cut and destroyed from the eastern area. Slightly later, a partition wall was added attached to the first terrace platform along with a small step in the centre. And then was added another floor inside the structure which ran out on the now enclosed platform and abutted to the partition wall. Sometimes later an enclosure wall was added to the entire complex without any foundation which rested over the existing floor, which was provided with two gates, larger one to the north and a smaller one to the east. Sometimes around this period dead bodies were buried in the north and south of the disputed structure which have cut the top floors and which are sealed by layer 1.‖</w:t>
      </w:r>
    </w:p>
    <w:p>
      <w:pPr>
        <w:spacing w:after="0" w:line="276" w:lineRule="auto"/>
        <w:jc w:val="both"/>
        <w:rPr>
          <w:sz w:val="21"/>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43" w:firstLine="0"/>
        <w:jc w:val="both"/>
        <w:rPr>
          <w:sz w:val="25"/>
        </w:rPr>
      </w:pPr>
      <w:r>
        <w:rPr>
          <w:sz w:val="25"/>
        </w:rPr>
        <w:t>Chapter IV of the ASI report deals with structures. A significant aspect of </w:t>
      </w:r>
      <w:r>
        <w:rPr>
          <w:w w:val="99"/>
          <w:sz w:val="25"/>
        </w:rPr>
        <w:t>this</w:t>
      </w:r>
      <w:r>
        <w:rPr>
          <w:sz w:val="25"/>
        </w:rPr>
        <w:t> </w:t>
      </w:r>
      <w:r>
        <w:rPr>
          <w:spacing w:val="10"/>
          <w:sz w:val="25"/>
        </w:rPr>
        <w:t> </w:t>
      </w:r>
      <w:r>
        <w:rPr>
          <w:w w:val="99"/>
          <w:sz w:val="25"/>
        </w:rPr>
        <w:t>Chap</w:t>
      </w:r>
      <w:r>
        <w:rPr>
          <w:w w:val="99"/>
          <w:sz w:val="25"/>
        </w:rPr>
        <w:t>ter</w:t>
      </w:r>
      <w:r>
        <w:rPr>
          <w:sz w:val="25"/>
        </w:rPr>
        <w:t> </w:t>
      </w:r>
      <w:r>
        <w:rPr>
          <w:spacing w:val="10"/>
          <w:sz w:val="25"/>
        </w:rPr>
        <w:t> </w:t>
      </w:r>
      <w:r>
        <w:rPr>
          <w:w w:val="99"/>
          <w:sz w:val="25"/>
        </w:rPr>
        <w:t>i</w:t>
      </w:r>
      <w:r>
        <w:rPr>
          <w:w w:val="99"/>
          <w:sz w:val="25"/>
        </w:rPr>
        <w:t>s</w:t>
      </w:r>
      <w:r>
        <w:rPr>
          <w:sz w:val="25"/>
        </w:rPr>
        <w:t> </w:t>
      </w:r>
      <w:r>
        <w:rPr>
          <w:spacing w:val="9"/>
          <w:sz w:val="25"/>
        </w:rPr>
        <w:t> </w:t>
      </w:r>
      <w:r>
        <w:rPr>
          <w:w w:val="99"/>
          <w:sz w:val="25"/>
        </w:rPr>
        <w:t>a</w:t>
      </w:r>
      <w:r>
        <w:rPr>
          <w:sz w:val="25"/>
        </w:rPr>
        <w:t> </w:t>
      </w:r>
      <w:r>
        <w:rPr>
          <w:spacing w:val="12"/>
          <w:sz w:val="25"/>
        </w:rPr>
        <w:t> </w:t>
      </w:r>
      <w:r>
        <w:rPr>
          <w:spacing w:val="2"/>
          <w:w w:val="99"/>
          <w:sz w:val="25"/>
        </w:rPr>
        <w:t>s</w:t>
      </w:r>
      <w:r>
        <w:rPr>
          <w:spacing w:val="-1"/>
          <w:w w:val="99"/>
          <w:sz w:val="25"/>
        </w:rPr>
        <w:t>ecti</w:t>
      </w:r>
      <w:r>
        <w:rPr>
          <w:w w:val="99"/>
          <w:sz w:val="25"/>
        </w:rPr>
        <w:t>on</w:t>
      </w:r>
      <w:r>
        <w:rPr>
          <w:sz w:val="25"/>
        </w:rPr>
        <w:t> </w:t>
      </w:r>
      <w:r>
        <w:rPr>
          <w:spacing w:val="10"/>
          <w:sz w:val="25"/>
        </w:rPr>
        <w:t> </w:t>
      </w:r>
      <w:r>
        <w:rPr>
          <w:w w:val="99"/>
          <w:sz w:val="25"/>
        </w:rPr>
        <w:t>titled</w:t>
      </w:r>
      <w:r>
        <w:rPr>
          <w:sz w:val="25"/>
        </w:rPr>
        <w:t> </w:t>
      </w:r>
      <w:r>
        <w:rPr>
          <w:spacing w:val="10"/>
          <w:sz w:val="25"/>
        </w:rPr>
        <w:t> </w:t>
      </w:r>
      <w:r>
        <w:rPr>
          <w:w w:val="33"/>
          <w:sz w:val="25"/>
        </w:rPr>
        <w:t>―</w:t>
      </w:r>
      <w:r>
        <w:rPr>
          <w:w w:val="99"/>
          <w:sz w:val="25"/>
        </w:rPr>
        <w:t>T</w:t>
      </w:r>
      <w:r>
        <w:rPr>
          <w:spacing w:val="-1"/>
          <w:w w:val="99"/>
          <w:sz w:val="25"/>
        </w:rPr>
        <w:t>h</w:t>
      </w:r>
      <w:r>
        <w:rPr>
          <w:w w:val="99"/>
          <w:sz w:val="25"/>
        </w:rPr>
        <w:t>e</w:t>
      </w:r>
      <w:r>
        <w:rPr>
          <w:sz w:val="25"/>
        </w:rPr>
        <w:t> </w:t>
      </w:r>
      <w:r>
        <w:rPr>
          <w:spacing w:val="12"/>
          <w:sz w:val="25"/>
        </w:rPr>
        <w:t> </w:t>
      </w:r>
      <w:r>
        <w:rPr>
          <w:spacing w:val="-2"/>
          <w:w w:val="99"/>
          <w:sz w:val="25"/>
        </w:rPr>
        <w:t>M</w:t>
      </w:r>
      <w:r>
        <w:rPr>
          <w:spacing w:val="-1"/>
          <w:w w:val="99"/>
          <w:sz w:val="25"/>
        </w:rPr>
        <w:t>assi</w:t>
      </w:r>
      <w:r>
        <w:rPr>
          <w:spacing w:val="-3"/>
          <w:w w:val="99"/>
          <w:sz w:val="25"/>
        </w:rPr>
        <w:t>v</w:t>
      </w:r>
      <w:r>
        <w:rPr>
          <w:w w:val="99"/>
          <w:sz w:val="25"/>
        </w:rPr>
        <w:t>e</w:t>
      </w:r>
      <w:r>
        <w:rPr>
          <w:sz w:val="25"/>
        </w:rPr>
        <w:t> </w:t>
      </w:r>
      <w:r>
        <w:rPr>
          <w:spacing w:val="12"/>
          <w:sz w:val="25"/>
        </w:rPr>
        <w:t> </w:t>
      </w:r>
      <w:r>
        <w:rPr>
          <w:spacing w:val="-1"/>
          <w:w w:val="99"/>
          <w:sz w:val="25"/>
        </w:rPr>
        <w:t>S</w:t>
      </w:r>
      <w:r>
        <w:rPr>
          <w:w w:val="99"/>
          <w:sz w:val="25"/>
        </w:rPr>
        <w:t>tr</w:t>
      </w:r>
      <w:r>
        <w:rPr>
          <w:spacing w:val="-1"/>
          <w:w w:val="99"/>
          <w:sz w:val="25"/>
        </w:rPr>
        <w:t>uct</w:t>
      </w:r>
      <w:r>
        <w:rPr>
          <w:w w:val="99"/>
          <w:sz w:val="25"/>
        </w:rPr>
        <w:t>ure</w:t>
      </w:r>
      <w:r>
        <w:rPr>
          <w:sz w:val="25"/>
        </w:rPr>
        <w:t> </w:t>
      </w:r>
      <w:r>
        <w:rPr>
          <w:spacing w:val="10"/>
          <w:sz w:val="25"/>
        </w:rPr>
        <w:t> </w:t>
      </w:r>
      <w:r>
        <w:rPr>
          <w:spacing w:val="-1"/>
          <w:w w:val="99"/>
          <w:sz w:val="25"/>
        </w:rPr>
        <w:t>Be</w:t>
      </w:r>
      <w:r>
        <w:rPr>
          <w:spacing w:val="2"/>
          <w:w w:val="99"/>
          <w:sz w:val="25"/>
        </w:rPr>
        <w:t>l</w:t>
      </w:r>
      <w:r>
        <w:rPr>
          <w:spacing w:val="-1"/>
          <w:w w:val="99"/>
          <w:sz w:val="25"/>
        </w:rPr>
        <w:t>o</w:t>
      </w:r>
      <w:r>
        <w:rPr>
          <w:w w:val="99"/>
          <w:sz w:val="25"/>
        </w:rPr>
        <w:t>w</w:t>
      </w:r>
      <w:r>
        <w:rPr>
          <w:sz w:val="25"/>
        </w:rPr>
        <w:t> </w:t>
      </w:r>
      <w:r>
        <w:rPr>
          <w:spacing w:val="9"/>
          <w:sz w:val="25"/>
        </w:rPr>
        <w:t> </w:t>
      </w:r>
      <w:r>
        <w:rPr>
          <w:w w:val="99"/>
          <w:sz w:val="25"/>
        </w:rPr>
        <w:t>the</w:t>
      </w:r>
      <w:r>
        <w:rPr>
          <w:sz w:val="25"/>
        </w:rPr>
        <w:t> </w:t>
      </w:r>
      <w:r>
        <w:rPr>
          <w:spacing w:val="10"/>
          <w:sz w:val="25"/>
        </w:rPr>
        <w:t> </w:t>
      </w:r>
      <w:r>
        <w:rPr>
          <w:spacing w:val="-1"/>
          <w:w w:val="99"/>
          <w:sz w:val="25"/>
        </w:rPr>
        <w:t>Disput</w:t>
      </w:r>
      <w:r>
        <w:rPr>
          <w:w w:val="99"/>
          <w:sz w:val="25"/>
        </w:rPr>
        <w:t>ed </w:t>
      </w:r>
      <w:r>
        <w:rPr>
          <w:sz w:val="25"/>
        </w:rPr>
        <w:t>Structure‖. The relevant findings are extracted</w:t>
      </w:r>
      <w:r>
        <w:rPr>
          <w:spacing w:val="-12"/>
          <w:sz w:val="25"/>
        </w:rPr>
        <w:t> </w:t>
      </w:r>
      <w:r>
        <w:rPr>
          <w:sz w:val="25"/>
        </w:rPr>
        <w:t>below:</w:t>
      </w:r>
    </w:p>
    <w:p>
      <w:pPr>
        <w:spacing w:line="276" w:lineRule="auto" w:before="158"/>
        <w:ind w:left="1940" w:right="2262" w:firstLine="0"/>
        <w:jc w:val="both"/>
        <w:rPr>
          <w:sz w:val="21"/>
        </w:rPr>
      </w:pPr>
      <w:r>
        <w:rPr>
          <w:w w:val="33"/>
          <w:sz w:val="21"/>
        </w:rPr>
        <w:t>―</w:t>
      </w:r>
      <w:r>
        <w:rPr>
          <w:b/>
          <w:w w:val="100"/>
          <w:sz w:val="21"/>
        </w:rPr>
        <w:t>From</w:t>
      </w:r>
      <w:r>
        <w:rPr>
          <w:b/>
          <w:sz w:val="21"/>
        </w:rPr>
        <w:t> </w:t>
      </w:r>
      <w:r>
        <w:rPr>
          <w:b/>
          <w:w w:val="100"/>
          <w:sz w:val="21"/>
        </w:rPr>
        <w:t>th</w:t>
      </w:r>
      <w:r>
        <w:rPr>
          <w:b/>
          <w:w w:val="100"/>
          <w:sz w:val="21"/>
        </w:rPr>
        <w:t>e</w:t>
      </w:r>
      <w:r>
        <w:rPr>
          <w:b/>
          <w:sz w:val="21"/>
        </w:rPr>
        <w:t> </w:t>
      </w:r>
      <w:r>
        <w:rPr>
          <w:b/>
          <w:w w:val="100"/>
          <w:sz w:val="21"/>
        </w:rPr>
        <w:t>excav</w:t>
      </w:r>
      <w:r>
        <w:rPr>
          <w:b/>
          <w:w w:val="100"/>
          <w:sz w:val="21"/>
        </w:rPr>
        <w:t>ati</w:t>
      </w:r>
      <w:r>
        <w:rPr>
          <w:b/>
          <w:w w:val="100"/>
          <w:sz w:val="21"/>
        </w:rPr>
        <w:t>on</w:t>
      </w:r>
      <w:r>
        <w:rPr>
          <w:b/>
          <w:sz w:val="21"/>
        </w:rPr>
        <w:t> </w:t>
      </w:r>
      <w:r>
        <w:rPr>
          <w:b/>
          <w:w w:val="100"/>
          <w:sz w:val="21"/>
        </w:rPr>
        <w:t>it</w:t>
      </w:r>
      <w:r>
        <w:rPr>
          <w:b/>
          <w:sz w:val="21"/>
        </w:rPr>
        <w:t> </w:t>
      </w:r>
      <w:r>
        <w:rPr>
          <w:b/>
          <w:w w:val="100"/>
          <w:sz w:val="21"/>
        </w:rPr>
        <w:t>co</w:t>
      </w:r>
      <w:r>
        <w:rPr>
          <w:b/>
          <w:w w:val="100"/>
          <w:sz w:val="21"/>
        </w:rPr>
        <w:t>uld</w:t>
      </w:r>
      <w:r>
        <w:rPr>
          <w:b/>
          <w:sz w:val="21"/>
        </w:rPr>
        <w:t> </w:t>
      </w:r>
      <w:r>
        <w:rPr>
          <w:b/>
          <w:w w:val="100"/>
          <w:sz w:val="21"/>
        </w:rPr>
        <w:t>be</w:t>
      </w:r>
      <w:r>
        <w:rPr>
          <w:b/>
          <w:sz w:val="21"/>
        </w:rPr>
        <w:t> </w:t>
      </w:r>
      <w:r>
        <w:rPr>
          <w:b/>
          <w:w w:val="100"/>
          <w:sz w:val="21"/>
        </w:rPr>
        <w:t>i</w:t>
      </w:r>
      <w:r>
        <w:rPr>
          <w:b/>
          <w:w w:val="100"/>
          <w:sz w:val="21"/>
        </w:rPr>
        <w:t>nferred</w:t>
      </w:r>
      <w:r>
        <w:rPr>
          <w:b/>
          <w:sz w:val="21"/>
        </w:rPr>
        <w:t> </w:t>
      </w:r>
      <w:r>
        <w:rPr>
          <w:b/>
          <w:w w:val="100"/>
          <w:sz w:val="21"/>
        </w:rPr>
        <w:t>t</w:t>
      </w:r>
      <w:r>
        <w:rPr>
          <w:b/>
          <w:w w:val="100"/>
          <w:sz w:val="21"/>
        </w:rPr>
        <w:t>ha</w:t>
      </w:r>
      <w:r>
        <w:rPr>
          <w:b/>
          <w:w w:val="100"/>
          <w:sz w:val="21"/>
        </w:rPr>
        <w:t>t</w:t>
      </w:r>
      <w:r>
        <w:rPr>
          <w:b/>
          <w:sz w:val="21"/>
        </w:rPr>
        <w:t> </w:t>
      </w:r>
      <w:r>
        <w:rPr>
          <w:b/>
          <w:w w:val="100"/>
          <w:sz w:val="21"/>
        </w:rPr>
        <w:t>t</w:t>
      </w:r>
      <w:r>
        <w:rPr>
          <w:b/>
          <w:w w:val="100"/>
          <w:sz w:val="21"/>
        </w:rPr>
        <w:t>he</w:t>
      </w:r>
      <w:r>
        <w:rPr>
          <w:b/>
          <w:w w:val="100"/>
          <w:sz w:val="21"/>
        </w:rPr>
        <w:t>re</w:t>
      </w:r>
      <w:r>
        <w:rPr>
          <w:b/>
          <w:sz w:val="21"/>
        </w:rPr>
        <w:t> </w:t>
      </w:r>
      <w:r>
        <w:rPr>
          <w:b/>
          <w:w w:val="100"/>
          <w:sz w:val="21"/>
        </w:rPr>
        <w:t>w</w:t>
      </w:r>
      <w:r>
        <w:rPr>
          <w:b/>
          <w:w w:val="100"/>
          <w:sz w:val="21"/>
        </w:rPr>
        <w:t>ere </w:t>
      </w:r>
      <w:r>
        <w:rPr>
          <w:b/>
          <w:sz w:val="21"/>
        </w:rPr>
        <w:t>seventeen rows of pillar bases from north to south, each row having five pillar bases. Due to area restriction and natural barrier, the pillar bases in the central part occupied by the make-shift structure on the raised platform could not be located. Out of excavated fifty pillar bases only twelve were completely exposed, thirty five were partially exposed and three could be traced in sections only. </w:t>
      </w:r>
      <w:r>
        <w:rPr>
          <w:sz w:val="21"/>
        </w:rPr>
        <w:t>A few pillar bases were noticed during earlier excavation after which a controversy took place about their association with different layers and their load bearing capacity. The present excavation has set aside the controversy by exposing the original form of the bases having calcrete and stone blocks arranged and set in a proper manner over a brick foundation and their arrangements in row including their association with the top floor of the structure existing prior to the disputed structure.</w:t>
      </w:r>
    </w:p>
    <w:p>
      <w:pPr>
        <w:pStyle w:val="BodyText"/>
        <w:spacing w:before="3"/>
        <w:rPr>
          <w:sz w:val="24"/>
        </w:rPr>
      </w:pPr>
    </w:p>
    <w:p>
      <w:pPr>
        <w:spacing w:line="276" w:lineRule="auto" w:before="0"/>
        <w:ind w:left="1940" w:right="2263" w:firstLine="0"/>
        <w:jc w:val="both"/>
        <w:rPr>
          <w:sz w:val="21"/>
        </w:rPr>
      </w:pPr>
      <w:r>
        <w:rPr>
          <w:sz w:val="21"/>
        </w:rPr>
        <w:t>The seventeen rows of pillar bases were constructed along the north-south running brick wall (wall 16) on the west. The distance of the first pillar base in each row from the wall ranges from 3.60 to 3.86 m. Seventeen rows of pillars bases could be categorized in three different groups on the basis of north-south distance which varies in different groups whereas east-west distance from centre to centre of each pillar base vary from 2.90 to 3.30m. Six rows of the pillar bases on north and</w:t>
      </w:r>
      <w:r>
        <w:rPr>
          <w:spacing w:val="30"/>
          <w:sz w:val="21"/>
        </w:rPr>
        <w:t> </w:t>
      </w:r>
      <w:r>
        <w:rPr>
          <w:sz w:val="21"/>
        </w:rPr>
        <w:t>south</w:t>
      </w:r>
      <w:r>
        <w:rPr>
          <w:spacing w:val="30"/>
          <w:sz w:val="21"/>
        </w:rPr>
        <w:t> </w:t>
      </w:r>
      <w:r>
        <w:rPr>
          <w:sz w:val="21"/>
        </w:rPr>
        <w:t>were</w:t>
      </w:r>
      <w:r>
        <w:rPr>
          <w:spacing w:val="30"/>
          <w:sz w:val="21"/>
        </w:rPr>
        <w:t> </w:t>
      </w:r>
      <w:r>
        <w:rPr>
          <w:sz w:val="21"/>
        </w:rPr>
        <w:t>at</w:t>
      </w:r>
      <w:r>
        <w:rPr>
          <w:spacing w:val="31"/>
          <w:sz w:val="21"/>
        </w:rPr>
        <w:t> </w:t>
      </w:r>
      <w:r>
        <w:rPr>
          <w:sz w:val="21"/>
        </w:rPr>
        <w:t>the</w:t>
      </w:r>
      <w:r>
        <w:rPr>
          <w:spacing w:val="30"/>
          <w:sz w:val="21"/>
        </w:rPr>
        <w:t> </w:t>
      </w:r>
      <w:r>
        <w:rPr>
          <w:sz w:val="21"/>
        </w:rPr>
        <w:t>equidistance</w:t>
      </w:r>
      <w:r>
        <w:rPr>
          <w:spacing w:val="31"/>
          <w:sz w:val="21"/>
        </w:rPr>
        <w:t> </w:t>
      </w:r>
      <w:r>
        <w:rPr>
          <w:sz w:val="21"/>
        </w:rPr>
        <w:t>which</w:t>
      </w:r>
      <w:r>
        <w:rPr>
          <w:spacing w:val="32"/>
          <w:sz w:val="21"/>
        </w:rPr>
        <w:t> </w:t>
      </w:r>
      <w:r>
        <w:rPr>
          <w:sz w:val="21"/>
        </w:rPr>
        <w:t>ranges</w:t>
      </w:r>
      <w:r>
        <w:rPr>
          <w:spacing w:val="30"/>
          <w:sz w:val="21"/>
        </w:rPr>
        <w:t> </w:t>
      </w:r>
      <w:r>
        <w:rPr>
          <w:sz w:val="21"/>
        </w:rPr>
        <w:t>from</w:t>
      </w:r>
      <w:r>
        <w:rPr>
          <w:spacing w:val="32"/>
          <w:sz w:val="21"/>
        </w:rPr>
        <w:t> </w:t>
      </w:r>
      <w:r>
        <w:rPr>
          <w:sz w:val="21"/>
        </w:rPr>
        <w:t>3</w:t>
      </w:r>
      <w:r>
        <w:rPr>
          <w:spacing w:val="32"/>
          <w:sz w:val="21"/>
        </w:rPr>
        <w:t> </w:t>
      </w:r>
      <w:r>
        <w:rPr>
          <w:sz w:val="21"/>
        </w:rPr>
        <w:t>to</w:t>
      </w:r>
    </w:p>
    <w:p>
      <w:pPr>
        <w:spacing w:line="276" w:lineRule="auto" w:before="0"/>
        <w:ind w:left="1940" w:right="2262" w:firstLine="0"/>
        <w:jc w:val="both"/>
        <w:rPr>
          <w:sz w:val="21"/>
        </w:rPr>
      </w:pPr>
      <w:r>
        <w:rPr>
          <w:sz w:val="21"/>
        </w:rPr>
        <w:t>3.30 m. Central five rows consisting twenty five pillar bases show different equations – two rows on either sides of the central row were placed approximately at the distance of</w:t>
      </w:r>
      <w:r>
        <w:rPr>
          <w:spacing w:val="33"/>
          <w:sz w:val="21"/>
        </w:rPr>
        <w:t> </w:t>
      </w:r>
      <w:r>
        <w:rPr>
          <w:sz w:val="21"/>
        </w:rPr>
        <w:t>5.25</w:t>
      </w:r>
    </w:p>
    <w:p>
      <w:pPr>
        <w:spacing w:line="276" w:lineRule="auto" w:before="2"/>
        <w:ind w:left="1940" w:right="2260" w:firstLine="0"/>
        <w:jc w:val="both"/>
        <w:rPr>
          <w:sz w:val="21"/>
        </w:rPr>
      </w:pPr>
      <w:r>
        <w:rPr>
          <w:sz w:val="21"/>
        </w:rPr>
        <w:t>m. whereas the other two rows on either side of these three rows were at the distance of 4.20-4.25 m. From this it could be easily concluded that the central part of the pillared structure was important and special treatment was given to it in architectural</w:t>
      </w:r>
      <w:r>
        <w:rPr>
          <w:spacing w:val="-2"/>
          <w:sz w:val="21"/>
        </w:rPr>
        <w:t> </w:t>
      </w:r>
      <w:r>
        <w:rPr>
          <w:sz w:val="21"/>
        </w:rPr>
        <w:t>planning.</w:t>
      </w:r>
    </w:p>
    <w:p>
      <w:pPr>
        <w:pStyle w:val="BodyText"/>
        <w:spacing w:before="1"/>
        <w:rPr>
          <w:sz w:val="24"/>
        </w:rPr>
      </w:pPr>
    </w:p>
    <w:p>
      <w:pPr>
        <w:spacing w:line="276" w:lineRule="auto" w:before="0"/>
        <w:ind w:left="1940" w:right="2260" w:firstLine="0"/>
        <w:jc w:val="both"/>
        <w:rPr>
          <w:sz w:val="21"/>
        </w:rPr>
      </w:pPr>
      <w:r>
        <w:rPr>
          <w:sz w:val="21"/>
        </w:rPr>
        <w:t>In the southern area only one decorated sand stone was found over a pillar base while in the northern area many of  the pillar bases were found topped by a plain sand stone block set over the brick bat foundation having calcrete blocks over them (Pl. 36). The plain sand stone block was found in many of the cases having a stone encasing from all the four sides, possibly to avoid shifting of the pillar placed</w:t>
      </w:r>
      <w:r>
        <w:rPr>
          <w:spacing w:val="42"/>
          <w:sz w:val="21"/>
        </w:rPr>
        <w:t> </w:t>
      </w:r>
      <w:r>
        <w:rPr>
          <w:sz w:val="21"/>
        </w:rPr>
        <w:t>over the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b/>
          <w:sz w:val="21"/>
        </w:rPr>
      </w:pPr>
      <w:r>
        <w:rPr>
          <w:sz w:val="21"/>
        </w:rPr>
        <w:t>block (Pls 37-38). Top parts of stone encasings had a projection in the middle. In the northern area at a few places where the stone blocks were not found sand stone slabs were found over the calcrete blocks of the brick bat foundation of the pillar bases. </w:t>
      </w:r>
      <w:r>
        <w:rPr>
          <w:b/>
          <w:sz w:val="21"/>
        </w:rPr>
        <w:t>The decorated octagonal sand stone block on pillar base 32 having floral motif on the four corners in trench F7 in the southern area is the unique example at the site (Pl. 39) which definitely belongs to the twelfth century A.D. as it is similar to those found in the Dharmachakrajina</w:t>
      </w:r>
      <w:r>
        <w:rPr>
          <w:b/>
          <w:spacing w:val="38"/>
          <w:sz w:val="21"/>
        </w:rPr>
        <w:t> </w:t>
      </w:r>
      <w:r>
        <w:rPr>
          <w:b/>
          <w:sz w:val="21"/>
        </w:rPr>
        <w:t>Vihara</w:t>
      </w:r>
      <w:r>
        <w:rPr>
          <w:b/>
          <w:spacing w:val="41"/>
          <w:sz w:val="21"/>
        </w:rPr>
        <w:t> </w:t>
      </w:r>
      <w:r>
        <w:rPr>
          <w:b/>
          <w:sz w:val="21"/>
        </w:rPr>
        <w:t>of</w:t>
      </w:r>
      <w:r>
        <w:rPr>
          <w:b/>
          <w:spacing w:val="39"/>
          <w:sz w:val="21"/>
        </w:rPr>
        <w:t> </w:t>
      </w:r>
      <w:r>
        <w:rPr>
          <w:b/>
          <w:sz w:val="21"/>
        </w:rPr>
        <w:t>Kumaradevi</w:t>
      </w:r>
      <w:r>
        <w:rPr>
          <w:b/>
          <w:spacing w:val="39"/>
          <w:sz w:val="21"/>
        </w:rPr>
        <w:t> </w:t>
      </w:r>
      <w:r>
        <w:rPr>
          <w:b/>
          <w:sz w:val="21"/>
        </w:rPr>
        <w:t>at</w:t>
      </w:r>
      <w:r>
        <w:rPr>
          <w:b/>
          <w:spacing w:val="38"/>
          <w:sz w:val="21"/>
        </w:rPr>
        <w:t> </w:t>
      </w:r>
      <w:r>
        <w:rPr>
          <w:b/>
          <w:sz w:val="21"/>
        </w:rPr>
        <w:t>Sarnath</w:t>
      </w:r>
      <w:r>
        <w:rPr>
          <w:b/>
          <w:spacing w:val="38"/>
          <w:sz w:val="21"/>
        </w:rPr>
        <w:t> </w:t>
      </w:r>
      <w:r>
        <w:rPr>
          <w:b/>
          <w:sz w:val="21"/>
        </w:rPr>
        <w:t>(Pl.</w:t>
      </w:r>
    </w:p>
    <w:p>
      <w:pPr>
        <w:spacing w:before="0"/>
        <w:ind w:left="1940" w:right="0" w:firstLine="0"/>
        <w:jc w:val="both"/>
        <w:rPr>
          <w:sz w:val="21"/>
        </w:rPr>
      </w:pPr>
      <w:r>
        <w:rPr>
          <w:b/>
          <w:sz w:val="21"/>
        </w:rPr>
        <w:t>40) which belongs to the early twelfth century A.D</w:t>
      </w:r>
      <w:r>
        <w:rPr>
          <w:sz w:val="21"/>
        </w:rPr>
        <w:t>.‖</w:t>
      </w:r>
    </w:p>
    <w:p>
      <w:pPr>
        <w:spacing w:before="37"/>
        <w:ind w:left="5798" w:right="0" w:firstLine="0"/>
        <w:jc w:val="both"/>
        <w:rPr>
          <w:sz w:val="21"/>
        </w:rPr>
      </w:pPr>
      <w:r>
        <w:rPr>
          <w:sz w:val="21"/>
        </w:rPr>
        <w:t>(Emphasis supplied)</w:t>
      </w:r>
    </w:p>
    <w:p>
      <w:pPr>
        <w:pStyle w:val="BodyText"/>
        <w:rPr>
          <w:sz w:val="24"/>
        </w:rPr>
      </w:pPr>
    </w:p>
    <w:p>
      <w:pPr>
        <w:pStyle w:val="BodyText"/>
        <w:spacing w:before="5"/>
        <w:rPr>
          <w:sz w:val="24"/>
        </w:rPr>
      </w:pPr>
    </w:p>
    <w:p>
      <w:pPr>
        <w:pStyle w:val="BodyText"/>
        <w:ind w:left="500"/>
      </w:pPr>
      <w:r>
        <w:rPr/>
        <w:t>The ASI report contains a detailed analysis of as many as 47 pillars bases.</w:t>
      </w:r>
    </w:p>
    <w:p>
      <w:pPr>
        <w:pStyle w:val="BodyText"/>
        <w:rPr>
          <w:sz w:val="28"/>
        </w:rPr>
      </w:pPr>
    </w:p>
    <w:p>
      <w:pPr>
        <w:pStyle w:val="BodyText"/>
        <w:rPr>
          <w:sz w:val="28"/>
        </w:rPr>
      </w:pPr>
    </w:p>
    <w:p>
      <w:pPr>
        <w:pStyle w:val="Heading4"/>
        <w:spacing w:before="221"/>
        <w:jc w:val="left"/>
        <w:rPr>
          <w:i/>
        </w:rPr>
      </w:pPr>
      <w:r>
        <w:rPr>
          <w:i/>
        </w:rPr>
        <w:t>The Circular shrine</w:t>
      </w:r>
    </w:p>
    <w:p>
      <w:pPr>
        <w:pStyle w:val="BodyText"/>
        <w:rPr>
          <w:i/>
          <w:sz w:val="28"/>
        </w:rPr>
      </w:pPr>
    </w:p>
    <w:p>
      <w:pPr>
        <w:pStyle w:val="BodyText"/>
        <w:spacing w:before="9"/>
        <w:rPr>
          <w:i/>
          <w:sz w:val="23"/>
        </w:rPr>
      </w:pPr>
    </w:p>
    <w:p>
      <w:pPr>
        <w:pStyle w:val="BodyText"/>
        <w:spacing w:line="480" w:lineRule="auto" w:before="1"/>
        <w:ind w:left="500" w:right="512"/>
      </w:pPr>
      <w:r>
        <w:rPr/>
        <w:t>The ASI report contains an analysis of an east facing brick shrine which was exposed as a result of the excavation. The report notes:</w:t>
      </w:r>
    </w:p>
    <w:p>
      <w:pPr>
        <w:spacing w:line="276" w:lineRule="auto" w:before="157"/>
        <w:ind w:left="1940" w:right="2260" w:firstLine="0"/>
        <w:jc w:val="both"/>
        <w:rPr>
          <w:sz w:val="21"/>
        </w:rPr>
      </w:pPr>
      <w:r>
        <w:rPr>
          <w:spacing w:val="1"/>
          <w:w w:val="33"/>
          <w:sz w:val="21"/>
        </w:rPr>
        <w:t>―</w:t>
      </w:r>
      <w:r>
        <w:rPr>
          <w:b/>
          <w:w w:val="100"/>
          <w:sz w:val="21"/>
        </w:rPr>
        <w:t>A</w:t>
      </w:r>
      <w:r>
        <w:rPr>
          <w:b/>
          <w:sz w:val="21"/>
        </w:rPr>
        <w:t> </w:t>
      </w:r>
      <w:r>
        <w:rPr>
          <w:b/>
          <w:spacing w:val="-13"/>
          <w:sz w:val="21"/>
        </w:rPr>
        <w:t> </w:t>
      </w:r>
      <w:r>
        <w:rPr>
          <w:b/>
          <w:w w:val="100"/>
          <w:sz w:val="21"/>
        </w:rPr>
        <w:t>par</w:t>
      </w:r>
      <w:r>
        <w:rPr>
          <w:b/>
          <w:spacing w:val="-2"/>
          <w:w w:val="100"/>
          <w:sz w:val="21"/>
        </w:rPr>
        <w:t>t</w:t>
      </w:r>
      <w:r>
        <w:rPr>
          <w:b/>
          <w:spacing w:val="1"/>
          <w:w w:val="100"/>
          <w:sz w:val="21"/>
        </w:rPr>
        <w:t>l</w:t>
      </w:r>
      <w:r>
        <w:rPr>
          <w:b/>
          <w:w w:val="100"/>
          <w:sz w:val="21"/>
        </w:rPr>
        <w:t>y</w:t>
      </w:r>
      <w:r>
        <w:rPr>
          <w:b/>
          <w:sz w:val="21"/>
        </w:rPr>
        <w:t> </w:t>
      </w:r>
      <w:r>
        <w:rPr>
          <w:b/>
          <w:spacing w:val="-12"/>
          <w:sz w:val="21"/>
        </w:rPr>
        <w:t> </w:t>
      </w:r>
      <w:r>
        <w:rPr>
          <w:b/>
          <w:w w:val="100"/>
          <w:sz w:val="21"/>
        </w:rPr>
        <w:t>damaged</w:t>
      </w:r>
      <w:r>
        <w:rPr>
          <w:b/>
          <w:sz w:val="21"/>
        </w:rPr>
        <w:t> </w:t>
      </w:r>
      <w:r>
        <w:rPr>
          <w:b/>
          <w:spacing w:val="-9"/>
          <w:sz w:val="21"/>
        </w:rPr>
        <w:t> </w:t>
      </w:r>
      <w:r>
        <w:rPr>
          <w:b/>
          <w:w w:val="100"/>
          <w:sz w:val="21"/>
        </w:rPr>
        <w:t>ea</w:t>
      </w:r>
      <w:r>
        <w:rPr>
          <w:b/>
          <w:spacing w:val="-2"/>
          <w:w w:val="100"/>
          <w:sz w:val="21"/>
        </w:rPr>
        <w:t>s</w:t>
      </w:r>
      <w:r>
        <w:rPr>
          <w:b/>
          <w:w w:val="100"/>
          <w:sz w:val="21"/>
        </w:rPr>
        <w:t>t</w:t>
      </w:r>
      <w:r>
        <w:rPr>
          <w:b/>
          <w:sz w:val="21"/>
        </w:rPr>
        <w:t> </w:t>
      </w:r>
      <w:r>
        <w:rPr>
          <w:b/>
          <w:spacing w:val="-8"/>
          <w:sz w:val="21"/>
        </w:rPr>
        <w:t> </w:t>
      </w:r>
      <w:r>
        <w:rPr>
          <w:b/>
          <w:spacing w:val="-1"/>
          <w:w w:val="100"/>
          <w:sz w:val="21"/>
        </w:rPr>
        <w:t>f</w:t>
      </w:r>
      <w:r>
        <w:rPr>
          <w:b/>
          <w:w w:val="100"/>
          <w:sz w:val="21"/>
        </w:rPr>
        <w:t>ac</w:t>
      </w:r>
      <w:r>
        <w:rPr>
          <w:b/>
          <w:spacing w:val="-1"/>
          <w:w w:val="100"/>
          <w:sz w:val="21"/>
        </w:rPr>
        <w:t>i</w:t>
      </w:r>
      <w:r>
        <w:rPr>
          <w:b/>
          <w:w w:val="100"/>
          <w:sz w:val="21"/>
        </w:rPr>
        <w:t>ng</w:t>
      </w:r>
      <w:r>
        <w:rPr>
          <w:b/>
          <w:sz w:val="21"/>
        </w:rPr>
        <w:t> </w:t>
      </w:r>
      <w:r>
        <w:rPr>
          <w:b/>
          <w:spacing w:val="-9"/>
          <w:sz w:val="21"/>
        </w:rPr>
        <w:t> </w:t>
      </w:r>
      <w:r>
        <w:rPr>
          <w:b/>
          <w:w w:val="100"/>
          <w:sz w:val="21"/>
        </w:rPr>
        <w:t>br</w:t>
      </w:r>
      <w:r>
        <w:rPr>
          <w:b/>
          <w:spacing w:val="-2"/>
          <w:w w:val="100"/>
          <w:sz w:val="21"/>
        </w:rPr>
        <w:t>i</w:t>
      </w:r>
      <w:r>
        <w:rPr>
          <w:b/>
          <w:w w:val="100"/>
          <w:sz w:val="21"/>
        </w:rPr>
        <w:t>ck</w:t>
      </w:r>
      <w:r>
        <w:rPr>
          <w:b/>
          <w:sz w:val="21"/>
        </w:rPr>
        <w:t> </w:t>
      </w:r>
      <w:r>
        <w:rPr>
          <w:b/>
          <w:spacing w:val="-9"/>
          <w:sz w:val="21"/>
        </w:rPr>
        <w:t> </w:t>
      </w:r>
      <w:r>
        <w:rPr>
          <w:b/>
          <w:w w:val="100"/>
          <w:sz w:val="21"/>
        </w:rPr>
        <w:t>sh</w:t>
      </w:r>
      <w:r>
        <w:rPr>
          <w:b/>
          <w:w w:val="100"/>
          <w:sz w:val="21"/>
        </w:rPr>
        <w:t>r</w:t>
      </w:r>
      <w:r>
        <w:rPr>
          <w:b/>
          <w:spacing w:val="-2"/>
          <w:w w:val="100"/>
          <w:sz w:val="21"/>
        </w:rPr>
        <w:t>i</w:t>
      </w:r>
      <w:r>
        <w:rPr>
          <w:b/>
          <w:spacing w:val="-2"/>
          <w:w w:val="100"/>
          <w:sz w:val="21"/>
        </w:rPr>
        <w:t>n</w:t>
      </w:r>
      <w:r>
        <w:rPr>
          <w:b/>
          <w:spacing w:val="4"/>
          <w:w w:val="100"/>
          <w:sz w:val="21"/>
        </w:rPr>
        <w:t>e</w:t>
      </w:r>
      <w:r>
        <w:rPr>
          <w:w w:val="100"/>
          <w:sz w:val="21"/>
        </w:rPr>
        <w:t>,</w:t>
      </w:r>
      <w:r>
        <w:rPr>
          <w:sz w:val="21"/>
        </w:rPr>
        <w:t> </w:t>
      </w:r>
      <w:r>
        <w:rPr>
          <w:spacing w:val="-8"/>
          <w:sz w:val="21"/>
        </w:rPr>
        <w:t> </w:t>
      </w:r>
      <w:r>
        <w:rPr>
          <w:spacing w:val="-3"/>
          <w:w w:val="100"/>
          <w:sz w:val="21"/>
        </w:rPr>
        <w:t>s</w:t>
      </w:r>
      <w:r>
        <w:rPr>
          <w:spacing w:val="-2"/>
          <w:w w:val="100"/>
          <w:sz w:val="21"/>
        </w:rPr>
        <w:t>t</w:t>
      </w:r>
      <w:r>
        <w:rPr>
          <w:spacing w:val="-1"/>
          <w:w w:val="100"/>
          <w:sz w:val="21"/>
        </w:rPr>
        <w:t>r</w:t>
      </w:r>
      <w:r>
        <w:rPr>
          <w:w w:val="100"/>
          <w:sz w:val="21"/>
        </w:rPr>
        <w:t>uc</w:t>
      </w:r>
      <w:r>
        <w:rPr>
          <w:spacing w:val="-1"/>
          <w:w w:val="100"/>
          <w:sz w:val="21"/>
        </w:rPr>
        <w:t>t</w:t>
      </w:r>
      <w:r>
        <w:rPr>
          <w:w w:val="100"/>
          <w:sz w:val="21"/>
        </w:rPr>
        <w:t>ure</w:t>
      </w:r>
      <w:r>
        <w:rPr>
          <w:sz w:val="21"/>
        </w:rPr>
        <w:t> </w:t>
      </w:r>
      <w:r>
        <w:rPr>
          <w:spacing w:val="-7"/>
          <w:sz w:val="21"/>
        </w:rPr>
        <w:t> </w:t>
      </w:r>
      <w:r>
        <w:rPr>
          <w:w w:val="100"/>
          <w:sz w:val="21"/>
        </w:rPr>
        <w:t>5 </w:t>
      </w:r>
      <w:r>
        <w:rPr>
          <w:sz w:val="21"/>
        </w:rPr>
        <w:t>(Pls 59-60, Fig 17,24 and 24A) </w:t>
      </w:r>
      <w:r>
        <w:rPr>
          <w:b/>
          <w:sz w:val="21"/>
        </w:rPr>
        <w:t>was noticed </w:t>
      </w:r>
      <w:r>
        <w:rPr>
          <w:sz w:val="21"/>
        </w:rPr>
        <w:t>after removal of baulk between trenches E8 and F8. </w:t>
      </w:r>
      <w:r>
        <w:rPr>
          <w:b/>
          <w:sz w:val="21"/>
        </w:rPr>
        <w:t>It is a circular structure with a rectangular projection in the east</w:t>
      </w:r>
      <w:r>
        <w:rPr>
          <w:sz w:val="21"/>
        </w:rPr>
        <w:t>, the latter having been already visible before the removal of the baulk. The northern part of the circular part has retained its lower eight courses above the foundation of brick-bats while the southern half is damaged by constructional activity of the subsequent phase whose brick-bats have damaged the structure upto its working level. </w:t>
      </w:r>
      <w:r>
        <w:rPr>
          <w:b/>
          <w:sz w:val="21"/>
        </w:rPr>
        <w:t>The structure was squarish from the inner side and a 0.04 m wide and 0.53 m long chute or outlet was noticed on plan made through the northern wall upto the end where in the lower course a 5.0 cm thick brick cut in ‗V‘ shape was fixed which was found broken and which projects 3.5 cm outside the circular outer face as a </w:t>
      </w:r>
      <w:r>
        <w:rPr>
          <w:b/>
          <w:i/>
          <w:sz w:val="21"/>
        </w:rPr>
        <w:t>pranala </w:t>
      </w:r>
      <w:r>
        <w:rPr>
          <w:b/>
          <w:sz w:val="21"/>
        </w:rPr>
        <w:t>to drain out the water</w:t>
      </w:r>
      <w:r>
        <w:rPr>
          <w:sz w:val="21"/>
        </w:rPr>
        <w:t>, obviously after the </w:t>
      </w:r>
      <w:r>
        <w:rPr>
          <w:i/>
          <w:sz w:val="21"/>
        </w:rPr>
        <w:t>abhisheka </w:t>
      </w:r>
      <w:r>
        <w:rPr>
          <w:sz w:val="21"/>
        </w:rPr>
        <w:t>of the deity which is not present in the shrine now. The entrance of the structure is from the east in the form of a rectangular projection having a twelve course of bricks interlocked with the circular structure and having a 70x27x17 cm calcrete block fixed in it as the threshold. Two sizes of bricks were used in the construction of the shrine measuring 28x21xx5.5</w:t>
      </w:r>
      <w:r>
        <w:rPr>
          <w:spacing w:val="24"/>
          <w:sz w:val="21"/>
        </w:rPr>
        <w:t> </w:t>
      </w:r>
      <w:r>
        <w:rPr>
          <w:sz w:val="21"/>
        </w:rPr>
        <w:t>cm</w:t>
      </w:r>
      <w:r>
        <w:rPr>
          <w:spacing w:val="26"/>
          <w:sz w:val="21"/>
        </w:rPr>
        <w:t> </w:t>
      </w:r>
      <w:r>
        <w:rPr>
          <w:sz w:val="21"/>
        </w:rPr>
        <w:t>and</w:t>
      </w:r>
      <w:r>
        <w:rPr>
          <w:spacing w:val="25"/>
          <w:sz w:val="21"/>
        </w:rPr>
        <w:t> </w:t>
      </w:r>
      <w:r>
        <w:rPr>
          <w:sz w:val="21"/>
        </w:rPr>
        <w:t>22x18x5</w:t>
      </w:r>
      <w:r>
        <w:rPr>
          <w:spacing w:val="27"/>
          <w:sz w:val="21"/>
        </w:rPr>
        <w:t> </w:t>
      </w:r>
      <w:r>
        <w:rPr>
          <w:sz w:val="21"/>
        </w:rPr>
        <w:t>cm.</w:t>
      </w:r>
      <w:r>
        <w:rPr>
          <w:spacing w:val="24"/>
          <w:sz w:val="21"/>
        </w:rPr>
        <w:t> </w:t>
      </w:r>
      <w:r>
        <w:rPr>
          <w:sz w:val="21"/>
        </w:rPr>
        <w:t>The</w:t>
      </w:r>
      <w:r>
        <w:rPr>
          <w:spacing w:val="28"/>
          <w:sz w:val="21"/>
        </w:rPr>
        <w:t> </w:t>
      </w:r>
      <w:r>
        <w:rPr>
          <w:sz w:val="21"/>
        </w:rPr>
        <w:t>rectangular</w:t>
      </w:r>
      <w:r>
        <w:rPr>
          <w:spacing w:val="23"/>
          <w:sz w:val="21"/>
        </w:rPr>
        <w:t> </w:t>
      </w:r>
      <w:r>
        <w:rPr>
          <w:sz w:val="21"/>
        </w:rPr>
        <w:t>projection</w:t>
      </w:r>
    </w:p>
    <w:p>
      <w:pPr>
        <w:spacing w:after="0" w:line="276" w:lineRule="auto"/>
        <w:jc w:val="both"/>
        <w:rPr>
          <w:sz w:val="21"/>
        </w:rPr>
        <w:sectPr>
          <w:pgSz w:w="11910" w:h="16840"/>
          <w:pgMar w:header="721" w:footer="1014" w:top="1300" w:bottom="1200" w:left="940" w:right="1000"/>
        </w:sectPr>
      </w:pPr>
    </w:p>
    <w:p>
      <w:pPr>
        <w:tabs>
          <w:tab w:pos="4972" w:val="left" w:leader="none"/>
        </w:tabs>
        <w:spacing w:line="276" w:lineRule="auto" w:before="122"/>
        <w:ind w:left="1940" w:right="2264" w:firstLine="0"/>
        <w:jc w:val="both"/>
        <w:rPr>
          <w:sz w:val="21"/>
        </w:rPr>
      </w:pPr>
      <w:r>
        <w:rPr>
          <w:sz w:val="21"/>
        </w:rPr>
        <w:t>of entrance is 1.32 m in length and 32.5 cm projected towards east.‖</w:t>
        <w:tab/>
        <w:t>(Emphasis</w:t>
      </w:r>
      <w:r>
        <w:rPr>
          <w:spacing w:val="-2"/>
          <w:sz w:val="21"/>
        </w:rPr>
        <w:t> </w:t>
      </w:r>
      <w:r>
        <w:rPr>
          <w:sz w:val="21"/>
        </w:rPr>
        <w:t>supplied)</w:t>
      </w:r>
    </w:p>
    <w:p>
      <w:pPr>
        <w:pStyle w:val="BodyText"/>
        <w:rPr>
          <w:sz w:val="24"/>
        </w:rPr>
      </w:pPr>
    </w:p>
    <w:p>
      <w:pPr>
        <w:pStyle w:val="BodyText"/>
        <w:spacing w:before="5"/>
        <w:rPr>
          <w:sz w:val="24"/>
        </w:rPr>
      </w:pPr>
    </w:p>
    <w:p>
      <w:pPr>
        <w:pStyle w:val="BodyText"/>
        <w:spacing w:line="480" w:lineRule="auto"/>
        <w:ind w:left="500" w:right="442"/>
        <w:jc w:val="both"/>
      </w:pPr>
      <w:r>
        <w:rPr>
          <w:w w:val="99"/>
        </w:rPr>
        <w:t>T</w:t>
      </w:r>
      <w:r>
        <w:rPr>
          <w:w w:val="99"/>
        </w:rPr>
        <w:t>he</w:t>
      </w:r>
      <w:r>
        <w:rPr/>
        <w:t> </w:t>
      </w:r>
      <w:r>
        <w:rPr>
          <w:w w:val="99"/>
        </w:rPr>
        <w:t>r</w:t>
      </w:r>
      <w:r>
        <w:rPr>
          <w:w w:val="99"/>
        </w:rPr>
        <w:t>epor</w:t>
      </w:r>
      <w:r>
        <w:rPr>
          <w:w w:val="99"/>
        </w:rPr>
        <w:t>t</w:t>
      </w:r>
      <w:r>
        <w:rPr/>
        <w:t> </w:t>
      </w:r>
      <w:r>
        <w:rPr>
          <w:w w:val="99"/>
        </w:rPr>
        <w:t>infer</w:t>
      </w:r>
      <w:r>
        <w:rPr>
          <w:w w:val="99"/>
        </w:rPr>
        <w:t>s</w:t>
      </w:r>
      <w:r>
        <w:rPr/>
        <w:t> </w:t>
      </w:r>
      <w:r>
        <w:rPr>
          <w:w w:val="99"/>
        </w:rPr>
        <w:t>th</w:t>
      </w:r>
      <w:r>
        <w:rPr>
          <w:w w:val="99"/>
        </w:rPr>
        <w:t>e</w:t>
      </w:r>
      <w:r>
        <w:rPr/>
        <w:t> </w:t>
      </w:r>
      <w:r>
        <w:rPr>
          <w:w w:val="99"/>
        </w:rPr>
        <w:t>existence</w:t>
      </w:r>
      <w:r>
        <w:rPr/>
        <w:t> </w:t>
      </w:r>
      <w:r>
        <w:rPr>
          <w:w w:val="99"/>
        </w:rPr>
        <w:t>o</w:t>
      </w:r>
      <w:r>
        <w:rPr>
          <w:w w:val="99"/>
        </w:rPr>
        <w:t>f</w:t>
      </w:r>
      <w:r>
        <w:rPr/>
        <w:t> </w:t>
      </w:r>
      <w:r>
        <w:rPr>
          <w:w w:val="99"/>
        </w:rPr>
        <w:t>a</w:t>
      </w:r>
      <w:r>
        <w:rPr/>
        <w:t> </w:t>
      </w:r>
      <w:r>
        <w:rPr>
          <w:i/>
          <w:w w:val="99"/>
        </w:rPr>
        <w:t>pran</w:t>
      </w:r>
      <w:r>
        <w:rPr>
          <w:i/>
          <w:w w:val="99"/>
        </w:rPr>
        <w:t>ala</w:t>
      </w:r>
      <w:r>
        <w:rPr>
          <w:i/>
        </w:rPr>
        <w:t> </w:t>
      </w:r>
      <w:r>
        <w:rPr>
          <w:w w:val="99"/>
        </w:rPr>
        <w:t>to</w:t>
      </w:r>
      <w:r>
        <w:rPr/>
        <w:t> </w:t>
      </w:r>
      <w:r>
        <w:rPr>
          <w:w w:val="99"/>
        </w:rPr>
        <w:t>drain</w:t>
      </w:r>
      <w:r>
        <w:rPr/>
        <w:t> </w:t>
      </w:r>
      <w:r>
        <w:rPr>
          <w:w w:val="99"/>
        </w:rPr>
        <w:t>out</w:t>
      </w:r>
      <w:r>
        <w:rPr/>
        <w:t> </w:t>
      </w:r>
      <w:r>
        <w:rPr>
          <w:w w:val="99"/>
        </w:rPr>
        <w:t>water,</w:t>
      </w:r>
      <w:r>
        <w:rPr/>
        <w:t> </w:t>
      </w:r>
      <w:r>
        <w:rPr>
          <w:w w:val="33"/>
        </w:rPr>
        <w:t>―</w:t>
      </w:r>
      <w:r>
        <w:rPr>
          <w:w w:val="99"/>
        </w:rPr>
        <w:t>obviously</w:t>
      </w:r>
      <w:r>
        <w:rPr/>
        <w:t> </w:t>
      </w:r>
      <w:r>
        <w:rPr>
          <w:w w:val="99"/>
        </w:rPr>
        <w:t>after</w:t>
      </w:r>
      <w:r>
        <w:rPr/>
        <w:t> </w:t>
      </w:r>
      <w:r>
        <w:rPr>
          <w:w w:val="99"/>
        </w:rPr>
        <w:t>the </w:t>
      </w:r>
      <w:r>
        <w:rPr/>
        <w:t>abhisheka of the deity which is not present in the shrine now‖. The brick shrine which has been found as a result of the excavation is stated to be similar to the findings of the excavation carried out by ASI at Sravasti and at Rewa. On a comparative analysis, ASI has inferred that the circular shrine can be dated to circa tenth century A.D.</w:t>
      </w:r>
    </w:p>
    <w:p>
      <w:pPr>
        <w:pStyle w:val="BodyText"/>
        <w:spacing w:before="3"/>
      </w:pPr>
    </w:p>
    <w:p>
      <w:pPr>
        <w:pStyle w:val="Heading4"/>
        <w:rPr>
          <w:i/>
        </w:rPr>
      </w:pPr>
      <w:r>
        <w:rPr>
          <w:i/>
        </w:rPr>
        <w:t>Summary of results</w:t>
      </w:r>
    </w:p>
    <w:p>
      <w:pPr>
        <w:pStyle w:val="BodyText"/>
        <w:rPr>
          <w:i/>
          <w:sz w:val="28"/>
        </w:rPr>
      </w:pPr>
    </w:p>
    <w:p>
      <w:pPr>
        <w:pStyle w:val="BodyText"/>
        <w:spacing w:before="10"/>
        <w:rPr>
          <w:i/>
          <w:sz w:val="23"/>
        </w:rPr>
      </w:pPr>
    </w:p>
    <w:p>
      <w:pPr>
        <w:pStyle w:val="ListParagraph"/>
        <w:numPr>
          <w:ilvl w:val="0"/>
          <w:numId w:val="111"/>
        </w:numPr>
        <w:tabs>
          <w:tab w:pos="1220" w:val="left" w:leader="none"/>
          <w:tab w:pos="1221" w:val="left" w:leader="none"/>
        </w:tabs>
        <w:spacing w:line="480" w:lineRule="auto" w:before="0" w:after="0"/>
        <w:ind w:left="500" w:right="443" w:firstLine="0"/>
        <w:jc w:val="left"/>
        <w:rPr>
          <w:sz w:val="25"/>
        </w:rPr>
      </w:pPr>
      <w:r>
        <w:rPr>
          <w:sz w:val="25"/>
        </w:rPr>
        <w:t>A Summary of results is contained in Chapter X of the ASI report. The results of the excavation are extracted</w:t>
      </w:r>
      <w:r>
        <w:rPr>
          <w:spacing w:val="-6"/>
          <w:sz w:val="25"/>
        </w:rPr>
        <w:t> </w:t>
      </w:r>
      <w:r>
        <w:rPr>
          <w:sz w:val="25"/>
        </w:rPr>
        <w:t>below:</w:t>
      </w:r>
    </w:p>
    <w:p>
      <w:pPr>
        <w:spacing w:line="276" w:lineRule="auto" w:before="160"/>
        <w:ind w:left="1940" w:right="2261" w:firstLine="0"/>
        <w:jc w:val="both"/>
        <w:rPr>
          <w:sz w:val="21"/>
        </w:rPr>
      </w:pPr>
      <w:r>
        <w:rPr>
          <w:color w:val="212121"/>
          <w:spacing w:val="-1"/>
          <w:w w:val="33"/>
          <w:sz w:val="21"/>
        </w:rPr>
        <w:t>―</w:t>
      </w:r>
      <w:r>
        <w:rPr>
          <w:color w:val="212121"/>
          <w:w w:val="100"/>
          <w:sz w:val="21"/>
        </w:rPr>
        <w:t>The</w:t>
      </w:r>
      <w:r>
        <w:rPr>
          <w:color w:val="212121"/>
          <w:sz w:val="21"/>
        </w:rPr>
        <w:t> </w:t>
      </w:r>
      <w:r>
        <w:rPr>
          <w:color w:val="212121"/>
          <w:spacing w:val="-7"/>
          <w:sz w:val="21"/>
        </w:rPr>
        <w:t> </w:t>
      </w:r>
      <w:r>
        <w:rPr>
          <w:color w:val="212121"/>
          <w:w w:val="100"/>
          <w:sz w:val="21"/>
        </w:rPr>
        <w:t>N</w:t>
      </w:r>
      <w:r>
        <w:rPr>
          <w:color w:val="212121"/>
          <w:spacing w:val="-1"/>
          <w:w w:val="100"/>
          <w:sz w:val="21"/>
        </w:rPr>
        <w:t>or</w:t>
      </w:r>
      <w:r>
        <w:rPr>
          <w:color w:val="212121"/>
          <w:spacing w:val="-2"/>
          <w:w w:val="100"/>
          <w:sz w:val="21"/>
        </w:rPr>
        <w:t>t</w:t>
      </w:r>
      <w:r>
        <w:rPr>
          <w:color w:val="212121"/>
          <w:spacing w:val="-3"/>
          <w:w w:val="100"/>
          <w:sz w:val="21"/>
        </w:rPr>
        <w:t>h</w:t>
      </w:r>
      <w:r>
        <w:rPr>
          <w:color w:val="212121"/>
          <w:spacing w:val="-1"/>
          <w:w w:val="100"/>
          <w:sz w:val="21"/>
        </w:rPr>
        <w:t>er</w:t>
      </w:r>
      <w:r>
        <w:rPr>
          <w:color w:val="212121"/>
          <w:w w:val="100"/>
          <w:sz w:val="21"/>
        </w:rPr>
        <w:t>n</w:t>
      </w:r>
      <w:r>
        <w:rPr>
          <w:color w:val="212121"/>
          <w:sz w:val="21"/>
        </w:rPr>
        <w:t> </w:t>
      </w:r>
      <w:r>
        <w:rPr>
          <w:color w:val="212121"/>
          <w:spacing w:val="-5"/>
          <w:sz w:val="21"/>
        </w:rPr>
        <w:t> </w:t>
      </w:r>
      <w:r>
        <w:rPr>
          <w:color w:val="212121"/>
          <w:spacing w:val="-2"/>
          <w:w w:val="100"/>
          <w:sz w:val="21"/>
        </w:rPr>
        <w:t>B</w:t>
      </w:r>
      <w:r>
        <w:rPr>
          <w:color w:val="212121"/>
          <w:w w:val="100"/>
          <w:sz w:val="21"/>
        </w:rPr>
        <w:t>l</w:t>
      </w:r>
      <w:r>
        <w:rPr>
          <w:color w:val="212121"/>
          <w:spacing w:val="-3"/>
          <w:w w:val="100"/>
          <w:sz w:val="21"/>
        </w:rPr>
        <w:t>ac</w:t>
      </w:r>
      <w:r>
        <w:rPr>
          <w:color w:val="212121"/>
          <w:w w:val="100"/>
          <w:sz w:val="21"/>
        </w:rPr>
        <w:t>k</w:t>
      </w:r>
      <w:r>
        <w:rPr>
          <w:color w:val="212121"/>
          <w:sz w:val="21"/>
        </w:rPr>
        <w:t> </w:t>
      </w:r>
      <w:r>
        <w:rPr>
          <w:color w:val="212121"/>
          <w:spacing w:val="-5"/>
          <w:sz w:val="21"/>
        </w:rPr>
        <w:t> </w:t>
      </w:r>
      <w:r>
        <w:rPr>
          <w:color w:val="212121"/>
          <w:w w:val="100"/>
          <w:sz w:val="21"/>
        </w:rPr>
        <w:t>P</w:t>
      </w:r>
      <w:r>
        <w:rPr>
          <w:color w:val="212121"/>
          <w:spacing w:val="-1"/>
          <w:w w:val="100"/>
          <w:sz w:val="21"/>
        </w:rPr>
        <w:t>o</w:t>
      </w:r>
      <w:r>
        <w:rPr>
          <w:color w:val="212121"/>
          <w:spacing w:val="-2"/>
          <w:w w:val="100"/>
          <w:sz w:val="21"/>
        </w:rPr>
        <w:t>li</w:t>
      </w:r>
      <w:r>
        <w:rPr>
          <w:color w:val="212121"/>
          <w:w w:val="100"/>
          <w:sz w:val="21"/>
        </w:rPr>
        <w:t>shed</w:t>
      </w:r>
      <w:r>
        <w:rPr>
          <w:color w:val="212121"/>
          <w:sz w:val="21"/>
        </w:rPr>
        <w:t> </w:t>
      </w:r>
      <w:r>
        <w:rPr>
          <w:color w:val="212121"/>
          <w:spacing w:val="-11"/>
          <w:sz w:val="21"/>
        </w:rPr>
        <w:t> </w:t>
      </w:r>
      <w:r>
        <w:rPr>
          <w:color w:val="212121"/>
          <w:spacing w:val="6"/>
          <w:w w:val="100"/>
          <w:sz w:val="21"/>
        </w:rPr>
        <w:t>W</w:t>
      </w:r>
      <w:r>
        <w:rPr>
          <w:color w:val="212121"/>
          <w:spacing w:val="-3"/>
          <w:w w:val="100"/>
          <w:sz w:val="21"/>
        </w:rPr>
        <w:t>a</w:t>
      </w:r>
      <w:r>
        <w:rPr>
          <w:color w:val="212121"/>
          <w:spacing w:val="-1"/>
          <w:w w:val="100"/>
          <w:sz w:val="21"/>
        </w:rPr>
        <w:t>r</w:t>
      </w:r>
      <w:r>
        <w:rPr>
          <w:color w:val="212121"/>
          <w:w w:val="100"/>
          <w:sz w:val="21"/>
        </w:rPr>
        <w:t>e</w:t>
      </w:r>
      <w:r>
        <w:rPr>
          <w:color w:val="212121"/>
          <w:sz w:val="21"/>
        </w:rPr>
        <w:t> </w:t>
      </w:r>
      <w:r>
        <w:rPr>
          <w:color w:val="212121"/>
          <w:spacing w:val="-4"/>
          <w:sz w:val="21"/>
        </w:rPr>
        <w:t> </w:t>
      </w:r>
      <w:r>
        <w:rPr>
          <w:color w:val="212121"/>
          <w:spacing w:val="-4"/>
          <w:w w:val="100"/>
          <w:sz w:val="21"/>
        </w:rPr>
        <w:t>(</w:t>
      </w:r>
      <w:r>
        <w:rPr>
          <w:color w:val="212121"/>
          <w:spacing w:val="-2"/>
          <w:w w:val="100"/>
          <w:sz w:val="21"/>
        </w:rPr>
        <w:t>N</w:t>
      </w:r>
      <w:r>
        <w:rPr>
          <w:color w:val="212121"/>
          <w:w w:val="100"/>
          <w:sz w:val="21"/>
        </w:rPr>
        <w:t>B</w:t>
      </w:r>
      <w:r>
        <w:rPr>
          <w:color w:val="212121"/>
          <w:spacing w:val="-7"/>
          <w:w w:val="100"/>
          <w:sz w:val="21"/>
        </w:rPr>
        <w:t>P</w:t>
      </w:r>
      <w:r>
        <w:rPr>
          <w:color w:val="212121"/>
          <w:spacing w:val="6"/>
          <w:w w:val="100"/>
          <w:sz w:val="21"/>
        </w:rPr>
        <w:t>W</w:t>
      </w:r>
      <w:r>
        <w:rPr>
          <w:color w:val="212121"/>
          <w:w w:val="100"/>
          <w:sz w:val="21"/>
        </w:rPr>
        <w:t>)</w:t>
      </w:r>
      <w:r>
        <w:rPr>
          <w:color w:val="212121"/>
          <w:sz w:val="21"/>
        </w:rPr>
        <w:t> </w:t>
      </w:r>
      <w:r>
        <w:rPr>
          <w:color w:val="212121"/>
          <w:spacing w:val="-8"/>
          <w:sz w:val="21"/>
        </w:rPr>
        <w:t> </w:t>
      </w:r>
      <w:r>
        <w:rPr>
          <w:color w:val="212121"/>
          <w:spacing w:val="-1"/>
          <w:w w:val="100"/>
          <w:sz w:val="21"/>
        </w:rPr>
        <w:t>u</w:t>
      </w:r>
      <w:r>
        <w:rPr>
          <w:color w:val="212121"/>
          <w:spacing w:val="-3"/>
          <w:w w:val="100"/>
          <w:sz w:val="21"/>
        </w:rPr>
        <w:t>s</w:t>
      </w:r>
      <w:r>
        <w:rPr>
          <w:color w:val="212121"/>
          <w:w w:val="100"/>
          <w:sz w:val="21"/>
        </w:rPr>
        <w:t>i</w:t>
      </w:r>
      <w:r>
        <w:rPr>
          <w:color w:val="212121"/>
          <w:spacing w:val="-3"/>
          <w:w w:val="100"/>
          <w:sz w:val="21"/>
        </w:rPr>
        <w:t>n</w:t>
      </w:r>
      <w:r>
        <w:rPr>
          <w:color w:val="212121"/>
          <w:w w:val="100"/>
          <w:sz w:val="21"/>
        </w:rPr>
        <w:t>g</w:t>
      </w:r>
      <w:r>
        <w:rPr>
          <w:color w:val="212121"/>
          <w:sz w:val="21"/>
        </w:rPr>
        <w:t> </w:t>
      </w:r>
      <w:r>
        <w:rPr>
          <w:color w:val="212121"/>
          <w:spacing w:val="-4"/>
          <w:sz w:val="21"/>
        </w:rPr>
        <w:t> </w:t>
      </w:r>
      <w:r>
        <w:rPr>
          <w:color w:val="212121"/>
          <w:spacing w:val="-1"/>
          <w:w w:val="100"/>
          <w:sz w:val="21"/>
        </w:rPr>
        <w:t>pe</w:t>
      </w:r>
      <w:r>
        <w:rPr>
          <w:color w:val="212121"/>
          <w:spacing w:val="-2"/>
          <w:w w:val="100"/>
          <w:sz w:val="21"/>
        </w:rPr>
        <w:t>o</w:t>
      </w:r>
      <w:r>
        <w:rPr>
          <w:color w:val="212121"/>
          <w:spacing w:val="-1"/>
          <w:w w:val="100"/>
          <w:sz w:val="21"/>
        </w:rPr>
        <w:t>p</w:t>
      </w:r>
      <w:r>
        <w:rPr>
          <w:color w:val="212121"/>
          <w:spacing w:val="-2"/>
          <w:w w:val="100"/>
          <w:sz w:val="21"/>
        </w:rPr>
        <w:t>l</w:t>
      </w:r>
      <w:r>
        <w:rPr>
          <w:color w:val="212121"/>
          <w:w w:val="100"/>
          <w:sz w:val="21"/>
        </w:rPr>
        <w:t>e </w:t>
      </w:r>
      <w:r>
        <w:rPr>
          <w:color w:val="212121"/>
          <w:sz w:val="21"/>
        </w:rPr>
        <w:t>were the first to occupy the disputed site at Ayodhya during the first millennium B.C. Although no structural activities were encountered in the limited area probed, the material culture is represented by terracotta figurines of female deities showing archaic features, beads of terracotta and glass, wheels and fragments of votive tanks etc. The ceramic industry has the collection NBPW, the main diagnostic trait of the period besides the grey, black slipped and red wares. A round signet with legend in Asokan Brahmi is another important find of this level. On the basis of material equipment and 14 C dates this period may be assigned to circa 1000 B.C. to 300</w:t>
      </w:r>
      <w:r>
        <w:rPr>
          <w:color w:val="212121"/>
          <w:spacing w:val="-20"/>
          <w:sz w:val="21"/>
        </w:rPr>
        <w:t> </w:t>
      </w:r>
      <w:r>
        <w:rPr>
          <w:color w:val="212121"/>
          <w:sz w:val="21"/>
        </w:rPr>
        <w:t>B.C.</w:t>
      </w:r>
    </w:p>
    <w:p>
      <w:pPr>
        <w:pStyle w:val="BodyText"/>
        <w:spacing w:before="1"/>
        <w:rPr>
          <w:sz w:val="24"/>
        </w:rPr>
      </w:pPr>
    </w:p>
    <w:p>
      <w:pPr>
        <w:spacing w:line="276" w:lineRule="auto" w:before="1"/>
        <w:ind w:left="1940" w:right="2262" w:firstLine="0"/>
        <w:jc w:val="both"/>
        <w:rPr>
          <w:sz w:val="21"/>
        </w:rPr>
      </w:pPr>
      <w:r>
        <w:rPr>
          <w:color w:val="212121"/>
          <w:sz w:val="21"/>
        </w:rPr>
        <w:t>The Sunga horizon (second-first century B.C.) comes to the next in the order of the cultural occupation at the site. The typical terracotta mother goddess, human and animal figurines, beads, hairpin engraver etc. represent the cultural matrix of the level. The pottery collection includes black slipped, red and grey wares etc. The stone and brick structure found from the level mark the beginning of the structural activity at the site.</w:t>
      </w:r>
    </w:p>
    <w:p>
      <w:pPr>
        <w:pStyle w:val="BodyText"/>
        <w:spacing w:before="1"/>
        <w:rPr>
          <w:sz w:val="24"/>
        </w:rPr>
      </w:pPr>
    </w:p>
    <w:p>
      <w:pPr>
        <w:spacing w:line="276" w:lineRule="auto" w:before="0"/>
        <w:ind w:left="1940" w:right="2265" w:firstLine="0"/>
        <w:jc w:val="both"/>
        <w:rPr>
          <w:sz w:val="21"/>
        </w:rPr>
      </w:pPr>
      <w:r>
        <w:rPr>
          <w:color w:val="212121"/>
          <w:sz w:val="21"/>
        </w:rPr>
        <w:t>The Kushan period (first to third century A.D) followed the Sunga occupation. Terracotta human and animal figurines,</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sz w:val="21"/>
        </w:rPr>
      </w:pPr>
      <w:r>
        <w:rPr>
          <w:color w:val="212121"/>
          <w:sz w:val="21"/>
        </w:rPr>
        <w:t>fragments of votive tanks, beads, antimony rod, hair pin, bangle fragments and ceramic industry comprising red ware represent the typical Kushan occupation at the site. Another important feature of this period is the creation of large sized structures as witnessed by the massive structure running into twenty-two courses.</w:t>
      </w:r>
    </w:p>
    <w:p>
      <w:pPr>
        <w:pStyle w:val="BodyText"/>
        <w:spacing w:before="2"/>
        <w:rPr>
          <w:sz w:val="24"/>
        </w:rPr>
      </w:pPr>
    </w:p>
    <w:p>
      <w:pPr>
        <w:spacing w:line="276" w:lineRule="auto" w:before="1"/>
        <w:ind w:left="1940" w:right="2263" w:firstLine="0"/>
        <w:jc w:val="both"/>
        <w:rPr>
          <w:sz w:val="21"/>
        </w:rPr>
      </w:pPr>
      <w:r>
        <w:rPr>
          <w:color w:val="212121"/>
          <w:sz w:val="21"/>
        </w:rPr>
        <w:t>The advent of Guptas (fourth to sixth century A.D) did not bring any qualitative change in building activity although the period is known for its classical artistic elements. However, this aspect is represented by the typical terracotta figurines and a copper coin with the legend Sri Chandra (Gupta) and illustrative potsherds.</w:t>
      </w:r>
    </w:p>
    <w:p>
      <w:pPr>
        <w:pStyle w:val="BodyText"/>
        <w:spacing w:before="2"/>
        <w:rPr>
          <w:sz w:val="24"/>
        </w:rPr>
      </w:pPr>
    </w:p>
    <w:p>
      <w:pPr>
        <w:spacing w:line="276" w:lineRule="auto" w:before="0"/>
        <w:ind w:left="1940" w:right="2262" w:firstLine="0"/>
        <w:jc w:val="both"/>
        <w:rPr>
          <w:sz w:val="21"/>
        </w:rPr>
      </w:pPr>
      <w:r>
        <w:rPr>
          <w:color w:val="212121"/>
          <w:sz w:val="21"/>
        </w:rPr>
        <w:t>During the Post-Gupta-Rajput period (seventh to tenth century A.D.) too the site has witnessed structural activity mainly constructed of burnt bricks. However, among the exposed structures, there stands a circular brick shrine which speaks of its functional utility for the first time. To recapitulate quickly, exteriorly on plan, it is circular whereas internally squarish with an entrance from the east. Though the structure is   damaged,   the   northern   wall   still   retains   a   provision </w:t>
      </w:r>
      <w:r>
        <w:rPr>
          <w:i/>
          <w:color w:val="212121"/>
          <w:sz w:val="21"/>
        </w:rPr>
        <w:t>pranala, i.e. </w:t>
      </w:r>
      <w:r>
        <w:rPr>
          <w:color w:val="212121"/>
          <w:sz w:val="21"/>
        </w:rPr>
        <w:t>waterchute which is a distinct feature  of contemporary temples already known from the Ganga- Yamuna</w:t>
      </w:r>
      <w:r>
        <w:rPr>
          <w:color w:val="212121"/>
          <w:spacing w:val="-2"/>
          <w:sz w:val="21"/>
        </w:rPr>
        <w:t> </w:t>
      </w:r>
      <w:r>
        <w:rPr>
          <w:color w:val="212121"/>
          <w:sz w:val="21"/>
        </w:rPr>
        <w:t>plain.</w:t>
      </w:r>
    </w:p>
    <w:p>
      <w:pPr>
        <w:pStyle w:val="BodyText"/>
        <w:spacing w:before="1"/>
        <w:rPr>
          <w:sz w:val="24"/>
        </w:rPr>
      </w:pPr>
    </w:p>
    <w:p>
      <w:pPr>
        <w:spacing w:line="276" w:lineRule="auto" w:before="0"/>
        <w:ind w:left="1940" w:right="2259" w:firstLine="0"/>
        <w:jc w:val="both"/>
        <w:rPr>
          <w:b/>
          <w:sz w:val="21"/>
        </w:rPr>
      </w:pPr>
      <w:r>
        <w:rPr>
          <w:color w:val="212121"/>
          <w:sz w:val="21"/>
        </w:rPr>
        <w:t>Subsequently, during the early medieval period (eleventh- twelfth century A.D.) a huge structure nearly 50 ...north-south orientation was constructed which seems to have been short lived, as only four of the fifty pillar bases exposed during the excavation belong to this level with a brick crush floor. On the remains of the above structure was constructed a massive structure with at least three structural phases and three successive floors attached with it. The architectural members of the earlier short lived massive structure with ...and other decorative motifs were reused in the construction of the monumental structure having a huge pillared hall (or two halls) which is different from residential structures, providing sufficient evidence of a construction of public usage which remained under existence for a long time during the period VII (Medieval-Sultanate level - twelfth to sixteenth century A.D.). </w:t>
      </w:r>
      <w:r>
        <w:rPr>
          <w:b/>
          <w:color w:val="212121"/>
          <w:sz w:val="21"/>
        </w:rPr>
        <w:t>It was over the top of this construction during the early sixteenth century, the disputed structure was constructed directly resting over it. There is sufficient proof of existence of a massive and monumental structure having a minimum dimension of 50x30 m in north-south and east-west directions respectively just below the disputed structure. In course of present excavations nearly 50 pillar bases with brick bat foundation, below calcrete blocks topped</w:t>
      </w:r>
      <w:r>
        <w:rPr>
          <w:b/>
          <w:color w:val="212121"/>
          <w:spacing w:val="-29"/>
          <w:sz w:val="21"/>
        </w:rPr>
        <w:t> </w:t>
      </w:r>
      <w:r>
        <w:rPr>
          <w:b/>
          <w:color w:val="212121"/>
          <w:sz w:val="21"/>
        </w:rPr>
        <w:t>by sandstone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sz w:val="21"/>
        </w:rPr>
      </w:pPr>
      <w:r>
        <w:rPr>
          <w:b/>
          <w:color w:val="212121"/>
          <w:sz w:val="21"/>
        </w:rPr>
        <w:t>blocks were found. The pillar bases exposed during the present excavation in northern and southern areas also give an idea of length of the massive wall of the earlier construction with which they are associated and which might have been originally around 60 m (of which the 50 m length is available at present). The centre of the central chamber of the disputed structure falls just over the central point of the length of the massive wall of the preceding period which could not be excavated due to presence of Ram Lala at the spot in the make-shift structure. </w:t>
      </w:r>
      <w:r>
        <w:rPr>
          <w:color w:val="212121"/>
          <w:sz w:val="21"/>
        </w:rPr>
        <w:t>This area is roughly 15x15m on the raised platform. Towards east of this central point a circular depression with projection on the west cut into the large sized brick pavement signify the place where some important object was placed. Terracotta lamps from the various trenches and found in a group in the levels of Periods VII in trench G2 are associated with the structural</w:t>
      </w:r>
      <w:r>
        <w:rPr>
          <w:color w:val="212121"/>
          <w:spacing w:val="-5"/>
          <w:sz w:val="21"/>
        </w:rPr>
        <w:t> </w:t>
      </w:r>
      <w:r>
        <w:rPr>
          <w:color w:val="212121"/>
          <w:sz w:val="21"/>
        </w:rPr>
        <w:t>phase.</w:t>
      </w:r>
    </w:p>
    <w:p>
      <w:pPr>
        <w:spacing w:line="276" w:lineRule="auto" w:before="1"/>
        <w:ind w:left="1940" w:right="2260" w:firstLine="0"/>
        <w:jc w:val="both"/>
        <w:rPr>
          <w:sz w:val="21"/>
        </w:rPr>
      </w:pPr>
      <w:r>
        <w:rPr>
          <w:color w:val="212121"/>
          <w:sz w:val="21"/>
        </w:rPr>
        <w:t>In the last phase of the period VII glazed ware shreds make their appearance and continue in the succeeding levels of the next periods where they are accompanied by glazed tiles which were probably used in the original construction of the disputed structure. Similarly is the case of celadon and porcelain shreds recovered in a very less quantity they come from the secondary context. Animal bones have been recovered from various levels of different periods, but skeletal remains noticed in the trenches in northern and southern areas belong to the Period IX as the grave pits have been found cut into the deposition coeval with the late disputed structures and are sealed by the top deposit.</w:t>
      </w:r>
    </w:p>
    <w:p>
      <w:pPr>
        <w:spacing w:line="276" w:lineRule="auto" w:before="2"/>
        <w:ind w:left="1940" w:right="2260" w:firstLine="0"/>
        <w:jc w:val="both"/>
        <w:rPr>
          <w:b/>
          <w:sz w:val="21"/>
        </w:rPr>
      </w:pPr>
      <w:r>
        <w:rPr>
          <w:color w:val="212121"/>
          <w:sz w:val="21"/>
        </w:rPr>
        <w:t>In the meanwhile to observe that the various structures exposed right from the Sunga to Gupta period do not speak either about their nature or functional utility as no evidence has come to approbate them. Another noteworthy feature is that it was only during and after Period IV (Gupta level) onwards upto Period IX (late and post Mughal level) that the regular habitational deposits disappear in the concerned levels and the structural phases are associated with either structural debris or filling material taken out from the adjoining area to level the ground for construction purpose. As a result of which much of the earlier material in the form of potter, terracottas and other objects of preceding periods, particularly of Period 1 </w:t>
      </w:r>
      <w:r>
        <w:rPr>
          <w:color w:val="212121"/>
          <w:spacing w:val="-3"/>
          <w:sz w:val="21"/>
        </w:rPr>
        <w:t>(NBPW </w:t>
      </w:r>
      <w:r>
        <w:rPr>
          <w:color w:val="212121"/>
          <w:sz w:val="21"/>
        </w:rPr>
        <w:t>level) and Period III (Kushan level) are found in the deposits of later periods mixed along with their contemporary material. </w:t>
      </w:r>
      <w:r>
        <w:rPr>
          <w:b/>
          <w:color w:val="212121"/>
          <w:sz w:val="21"/>
        </w:rPr>
        <w:t>The area below the disputed site thus remained a place for public use for a long time till the Period VIII (Mughal level) when the disputed structure was built which was confined to a limited area and population settled around it as evidenced by the increase in contemporary archaeological material including pottery.</w:t>
      </w:r>
      <w:r>
        <w:rPr>
          <w:b/>
          <w:color w:val="212121"/>
          <w:spacing w:val="11"/>
          <w:sz w:val="21"/>
        </w:rPr>
        <w:t> </w:t>
      </w:r>
      <w:r>
        <w:rPr>
          <w:b/>
          <w:color w:val="212121"/>
          <w:sz w:val="21"/>
        </w:rPr>
        <w:t>The</w:t>
      </w:r>
      <w:r>
        <w:rPr>
          <w:b/>
          <w:color w:val="212121"/>
          <w:spacing w:val="11"/>
          <w:sz w:val="21"/>
        </w:rPr>
        <w:t> </w:t>
      </w:r>
      <w:r>
        <w:rPr>
          <w:b/>
          <w:color w:val="212121"/>
          <w:sz w:val="21"/>
        </w:rPr>
        <w:t>same</w:t>
      </w:r>
      <w:r>
        <w:rPr>
          <w:b/>
          <w:color w:val="212121"/>
          <w:spacing w:val="12"/>
          <w:sz w:val="21"/>
        </w:rPr>
        <w:t> </w:t>
      </w:r>
      <w:r>
        <w:rPr>
          <w:b/>
          <w:color w:val="212121"/>
          <w:sz w:val="21"/>
        </w:rPr>
        <w:t>is</w:t>
      </w:r>
      <w:r>
        <w:rPr>
          <w:b/>
          <w:color w:val="212121"/>
          <w:spacing w:val="11"/>
          <w:sz w:val="21"/>
        </w:rPr>
        <w:t> </w:t>
      </w:r>
      <w:r>
        <w:rPr>
          <w:b/>
          <w:color w:val="212121"/>
          <w:sz w:val="21"/>
        </w:rPr>
        <w:t>further</w:t>
      </w:r>
      <w:r>
        <w:rPr>
          <w:b/>
          <w:color w:val="212121"/>
          <w:spacing w:val="12"/>
          <w:sz w:val="21"/>
        </w:rPr>
        <w:t> </w:t>
      </w:r>
      <w:r>
        <w:rPr>
          <w:b/>
          <w:color w:val="212121"/>
          <w:sz w:val="21"/>
        </w:rPr>
        <w:t>attested</w:t>
      </w:r>
      <w:r>
        <w:rPr>
          <w:b/>
          <w:color w:val="212121"/>
          <w:spacing w:val="10"/>
          <w:sz w:val="21"/>
        </w:rPr>
        <w:t> </w:t>
      </w:r>
      <w:r>
        <w:rPr>
          <w:b/>
          <w:color w:val="212121"/>
          <w:sz w:val="21"/>
        </w:rPr>
        <w:t>by</w:t>
      </w:r>
      <w:r>
        <w:rPr>
          <w:b/>
          <w:color w:val="212121"/>
          <w:spacing w:val="9"/>
          <w:sz w:val="21"/>
        </w:rPr>
        <w:t> </w:t>
      </w:r>
      <w:r>
        <w:rPr>
          <w:b/>
          <w:color w:val="212121"/>
          <w:sz w:val="21"/>
        </w:rPr>
        <w:t>the</w:t>
      </w:r>
      <w:r>
        <w:rPr>
          <w:b/>
          <w:color w:val="212121"/>
          <w:spacing w:val="13"/>
          <w:sz w:val="21"/>
        </w:rPr>
        <w:t> </w:t>
      </w:r>
      <w:r>
        <w:rPr>
          <w:b/>
          <w:color w:val="212121"/>
          <w:sz w:val="21"/>
        </w:rPr>
        <w:t>conspicuous</w:t>
      </w:r>
    </w:p>
    <w:p>
      <w:pPr>
        <w:spacing w:after="0" w:line="276" w:lineRule="auto"/>
        <w:jc w:val="both"/>
        <w:rPr>
          <w:sz w:val="21"/>
        </w:rPr>
        <w:sectPr>
          <w:pgSz w:w="11910" w:h="16840"/>
          <w:pgMar w:header="721" w:footer="1014" w:top="1300" w:bottom="1200" w:left="940" w:right="1000"/>
        </w:sectPr>
      </w:pPr>
    </w:p>
    <w:p>
      <w:pPr>
        <w:tabs>
          <w:tab w:pos="5183" w:val="left" w:leader="none"/>
        </w:tabs>
        <w:spacing w:line="276" w:lineRule="auto" w:before="122"/>
        <w:ind w:left="1940" w:right="2259" w:firstLine="0"/>
        <w:jc w:val="both"/>
        <w:rPr>
          <w:sz w:val="21"/>
        </w:rPr>
      </w:pPr>
      <w:r>
        <w:rPr>
          <w:b/>
          <w:color w:val="212121"/>
          <w:sz w:val="21"/>
        </w:rPr>
        <w:t>absence of habitational structures such as house- complexes, soakage pits, soakage jars, ring wells, drains, wells, hearths, kilns or furnaces etc from Period IV (Gupta level) onwards and in particular from Period VI (Early Medieval-Rajput level) and Period VII (Medieval- Sultanate</w:t>
      </w:r>
      <w:r>
        <w:rPr>
          <w:b/>
          <w:color w:val="212121"/>
          <w:spacing w:val="-8"/>
          <w:sz w:val="21"/>
        </w:rPr>
        <w:t> </w:t>
      </w:r>
      <w:r>
        <w:rPr>
          <w:b/>
          <w:color w:val="212121"/>
          <w:sz w:val="21"/>
        </w:rPr>
        <w:t>level)</w:t>
      </w:r>
      <w:r>
        <w:rPr>
          <w:color w:val="212121"/>
          <w:sz w:val="21"/>
        </w:rPr>
        <w:t>.‖</w:t>
        <w:tab/>
        <w:t>(Emphasis</w:t>
      </w:r>
      <w:r>
        <w:rPr>
          <w:color w:val="212121"/>
          <w:spacing w:val="-1"/>
          <w:sz w:val="21"/>
        </w:rPr>
        <w:t> </w:t>
      </w:r>
      <w:r>
        <w:rPr>
          <w:color w:val="212121"/>
          <w:sz w:val="21"/>
        </w:rPr>
        <w:t>supplied)</w:t>
      </w:r>
    </w:p>
    <w:p>
      <w:pPr>
        <w:pStyle w:val="BodyText"/>
        <w:rPr>
          <w:sz w:val="24"/>
        </w:rPr>
      </w:pPr>
    </w:p>
    <w:p>
      <w:pPr>
        <w:pStyle w:val="BodyText"/>
        <w:spacing w:before="4"/>
      </w:pPr>
    </w:p>
    <w:p>
      <w:pPr>
        <w:pStyle w:val="BodyText"/>
        <w:spacing w:line="480" w:lineRule="auto"/>
        <w:ind w:left="500"/>
      </w:pPr>
      <w:r>
        <w:rPr/>
        <w:t>In regard to the dating of the findings, the report indicates that the earlier human activities trace back to thirteenth century B.C.:</w:t>
      </w:r>
    </w:p>
    <w:p>
      <w:pPr>
        <w:spacing w:line="276" w:lineRule="auto" w:before="0"/>
        <w:ind w:left="1940" w:right="2261" w:firstLine="0"/>
        <w:jc w:val="both"/>
        <w:rPr>
          <w:sz w:val="21"/>
        </w:rPr>
      </w:pPr>
      <w:r>
        <w:rPr>
          <w:w w:val="33"/>
          <w:sz w:val="21"/>
        </w:rPr>
        <w:t>―</w:t>
      </w:r>
      <w:r>
        <w:rPr>
          <w:w w:val="100"/>
          <w:sz w:val="21"/>
        </w:rPr>
        <w:t>…earliest</w:t>
      </w:r>
      <w:r>
        <w:rPr>
          <w:sz w:val="21"/>
        </w:rPr>
        <w:t> </w:t>
      </w:r>
      <w:r>
        <w:rPr>
          <w:w w:val="100"/>
          <w:sz w:val="21"/>
        </w:rPr>
        <w:t>remains</w:t>
      </w:r>
      <w:r>
        <w:rPr>
          <w:sz w:val="21"/>
        </w:rPr>
        <w:t> </w:t>
      </w:r>
      <w:r>
        <w:rPr>
          <w:w w:val="100"/>
          <w:sz w:val="21"/>
        </w:rPr>
        <w:t>may</w:t>
      </w:r>
      <w:r>
        <w:rPr>
          <w:sz w:val="21"/>
        </w:rPr>
        <w:t> </w:t>
      </w:r>
      <w:r>
        <w:rPr>
          <w:w w:val="100"/>
          <w:sz w:val="21"/>
        </w:rPr>
        <w:t>belong</w:t>
      </w:r>
      <w:r>
        <w:rPr>
          <w:sz w:val="21"/>
        </w:rPr>
        <w:t> </w:t>
      </w:r>
      <w:r>
        <w:rPr>
          <w:w w:val="100"/>
          <w:sz w:val="21"/>
        </w:rPr>
        <w:t>to</w:t>
      </w:r>
      <w:r>
        <w:rPr>
          <w:sz w:val="21"/>
        </w:rPr>
        <w:t> </w:t>
      </w:r>
      <w:r>
        <w:rPr>
          <w:w w:val="100"/>
          <w:sz w:val="21"/>
        </w:rPr>
        <w:t>the</w:t>
      </w:r>
      <w:r>
        <w:rPr>
          <w:sz w:val="21"/>
        </w:rPr>
        <w:t> </w:t>
      </w:r>
      <w:r>
        <w:rPr>
          <w:w w:val="100"/>
          <w:sz w:val="21"/>
        </w:rPr>
        <w:t>thirteenth</w:t>
      </w:r>
      <w:r>
        <w:rPr>
          <w:sz w:val="21"/>
        </w:rPr>
        <w:t> </w:t>
      </w:r>
      <w:r>
        <w:rPr>
          <w:w w:val="100"/>
          <w:sz w:val="21"/>
        </w:rPr>
        <w:t>century</w:t>
      </w:r>
      <w:r>
        <w:rPr>
          <w:sz w:val="21"/>
        </w:rPr>
        <w:t> </w:t>
      </w:r>
      <w:r>
        <w:rPr>
          <w:w w:val="100"/>
          <w:sz w:val="21"/>
        </w:rPr>
        <w:t>B.C. </w:t>
      </w:r>
      <w:r>
        <w:rPr>
          <w:sz w:val="21"/>
        </w:rPr>
        <w:t>which is confirmed by two more consistent C14 FROM THE NBPW level (Period I), viz. 910 = 100 B.C. and 880 = 100 B.C). These dates are from trench G7. Four more dates from the upper deposit though showing presence of NBPW and associated pottery are determined by Radio-Carbon dating as 780=80 B.C., 710=90 B.C., 530=70 B.C. and 320=80 B.C. In</w:t>
      </w:r>
    </w:p>
    <w:p>
      <w:pPr>
        <w:spacing w:line="276" w:lineRule="auto" w:before="0"/>
        <w:ind w:left="1940" w:right="2261" w:firstLine="0"/>
        <w:jc w:val="both"/>
        <w:rPr>
          <w:sz w:val="21"/>
        </w:rPr>
      </w:pPr>
      <w:r>
        <w:rPr>
          <w:sz w:val="21"/>
        </w:rPr>
        <w:t>the light of the above dates in association with the Northern Black Polished Ware (NBPW) which is general accepted to  be between </w:t>
      </w:r>
      <w:r>
        <w:rPr>
          <w:i/>
          <w:sz w:val="21"/>
        </w:rPr>
        <w:t>circa </w:t>
      </w:r>
      <w:r>
        <w:rPr>
          <w:sz w:val="21"/>
        </w:rPr>
        <w:t>600 B.C. to 300 B.C. it can be pushed back to </w:t>
      </w:r>
      <w:r>
        <w:rPr>
          <w:i/>
          <w:sz w:val="21"/>
        </w:rPr>
        <w:t>circa </w:t>
      </w:r>
      <w:r>
        <w:rPr>
          <w:sz w:val="21"/>
        </w:rPr>
        <w:t>1000 B.C. and even if a solitary date, three centuries earlier is not associated with NBPW, the human activity at the site dates back to </w:t>
      </w:r>
      <w:r>
        <w:rPr>
          <w:i/>
          <w:sz w:val="21"/>
        </w:rPr>
        <w:t>circa </w:t>
      </w:r>
      <w:r>
        <w:rPr>
          <w:sz w:val="21"/>
        </w:rPr>
        <w:t>thirteenth century B.C. on the basis of the scientific dating method providing the only archaeological evidence of such an early date of the occupation of the</w:t>
      </w:r>
      <w:r>
        <w:rPr>
          <w:spacing w:val="-41"/>
          <w:sz w:val="21"/>
        </w:rPr>
        <w:t> </w:t>
      </w:r>
      <w:r>
        <w:rPr>
          <w:sz w:val="21"/>
        </w:rPr>
        <w:t>site.‖</w:t>
      </w:r>
    </w:p>
    <w:p>
      <w:pPr>
        <w:pStyle w:val="BodyText"/>
        <w:rPr>
          <w:sz w:val="24"/>
        </w:rPr>
      </w:pPr>
    </w:p>
    <w:p>
      <w:pPr>
        <w:pStyle w:val="BodyText"/>
        <w:spacing w:before="208"/>
        <w:ind w:left="500"/>
      </w:pPr>
      <w:r>
        <w:rPr/>
        <w:t>Finally, the ASI concludes by indicating that:</w:t>
      </w:r>
    </w:p>
    <w:p>
      <w:pPr>
        <w:pStyle w:val="BodyText"/>
        <w:spacing w:before="9"/>
        <w:rPr>
          <w:sz w:val="24"/>
        </w:rPr>
      </w:pPr>
    </w:p>
    <w:p>
      <w:pPr>
        <w:spacing w:line="276" w:lineRule="auto" w:before="0"/>
        <w:ind w:left="1940" w:right="2261" w:firstLine="0"/>
        <w:jc w:val="both"/>
        <w:rPr>
          <w:sz w:val="21"/>
        </w:rPr>
      </w:pPr>
      <w:r>
        <w:rPr>
          <w:spacing w:val="-1"/>
          <w:w w:val="33"/>
          <w:sz w:val="21"/>
        </w:rPr>
        <w:t>―</w:t>
      </w:r>
      <w:r>
        <w:rPr>
          <w:b/>
          <w:w w:val="100"/>
          <w:sz w:val="21"/>
        </w:rPr>
        <w:t>N</w:t>
      </w:r>
      <w:r>
        <w:rPr>
          <w:b/>
          <w:spacing w:val="-2"/>
          <w:w w:val="100"/>
          <w:sz w:val="21"/>
        </w:rPr>
        <w:t>o</w:t>
      </w:r>
      <w:r>
        <w:rPr>
          <w:b/>
          <w:spacing w:val="1"/>
          <w:w w:val="100"/>
          <w:sz w:val="21"/>
        </w:rPr>
        <w:t>w</w:t>
      </w:r>
      <w:r>
        <w:rPr>
          <w:b/>
          <w:w w:val="100"/>
          <w:sz w:val="21"/>
        </w:rPr>
        <w:t>,</w:t>
      </w:r>
      <w:r>
        <w:rPr>
          <w:b/>
          <w:sz w:val="21"/>
        </w:rPr>
        <w:t> </w:t>
      </w:r>
      <w:r>
        <w:rPr>
          <w:b/>
          <w:spacing w:val="14"/>
          <w:sz w:val="21"/>
        </w:rPr>
        <w:t> </w:t>
      </w:r>
      <w:r>
        <w:rPr>
          <w:b/>
          <w:spacing w:val="-3"/>
          <w:w w:val="100"/>
          <w:sz w:val="21"/>
        </w:rPr>
        <w:t>v</w:t>
      </w:r>
      <w:r>
        <w:rPr>
          <w:b/>
          <w:spacing w:val="-2"/>
          <w:w w:val="100"/>
          <w:sz w:val="21"/>
        </w:rPr>
        <w:t>i</w:t>
      </w:r>
      <w:r>
        <w:rPr>
          <w:b/>
          <w:spacing w:val="-3"/>
          <w:w w:val="100"/>
          <w:sz w:val="21"/>
        </w:rPr>
        <w:t>e</w:t>
      </w:r>
      <w:r>
        <w:rPr>
          <w:b/>
          <w:spacing w:val="3"/>
          <w:w w:val="100"/>
          <w:sz w:val="21"/>
        </w:rPr>
        <w:t>w</w:t>
      </w:r>
      <w:r>
        <w:rPr>
          <w:b/>
          <w:spacing w:val="-4"/>
          <w:w w:val="100"/>
          <w:sz w:val="21"/>
        </w:rPr>
        <w:t>i</w:t>
      </w:r>
      <w:r>
        <w:rPr>
          <w:b/>
          <w:w w:val="100"/>
          <w:sz w:val="21"/>
        </w:rPr>
        <w:t>ng</w:t>
      </w:r>
      <w:r>
        <w:rPr>
          <w:b/>
          <w:sz w:val="21"/>
        </w:rPr>
        <w:t> </w:t>
      </w:r>
      <w:r>
        <w:rPr>
          <w:b/>
          <w:spacing w:val="13"/>
          <w:sz w:val="21"/>
        </w:rPr>
        <w:t> </w:t>
      </w:r>
      <w:r>
        <w:rPr>
          <w:b/>
          <w:spacing w:val="-2"/>
          <w:w w:val="100"/>
          <w:sz w:val="21"/>
        </w:rPr>
        <w:t>i</w:t>
      </w:r>
      <w:r>
        <w:rPr>
          <w:b/>
          <w:w w:val="100"/>
          <w:sz w:val="21"/>
        </w:rPr>
        <w:t>n</w:t>
      </w:r>
      <w:r>
        <w:rPr>
          <w:b/>
          <w:sz w:val="21"/>
        </w:rPr>
        <w:t> </w:t>
      </w:r>
      <w:r>
        <w:rPr>
          <w:b/>
          <w:spacing w:val="13"/>
          <w:sz w:val="21"/>
        </w:rPr>
        <w:t> </w:t>
      </w:r>
      <w:r>
        <w:rPr>
          <w:b/>
          <w:spacing w:val="-1"/>
          <w:w w:val="100"/>
          <w:sz w:val="21"/>
        </w:rPr>
        <w:t>t</w:t>
      </w:r>
      <w:r>
        <w:rPr>
          <w:b/>
          <w:w w:val="100"/>
          <w:sz w:val="21"/>
        </w:rPr>
        <w:t>ota</w:t>
      </w:r>
      <w:r>
        <w:rPr>
          <w:b/>
          <w:spacing w:val="-2"/>
          <w:w w:val="100"/>
          <w:sz w:val="21"/>
        </w:rPr>
        <w:t>l</w:t>
      </w:r>
      <w:r>
        <w:rPr>
          <w:b/>
          <w:spacing w:val="-4"/>
          <w:w w:val="100"/>
          <w:sz w:val="21"/>
        </w:rPr>
        <w:t>i</w:t>
      </w:r>
      <w:r>
        <w:rPr>
          <w:b/>
          <w:spacing w:val="1"/>
          <w:w w:val="100"/>
          <w:sz w:val="21"/>
        </w:rPr>
        <w:t>t</w:t>
      </w:r>
      <w:r>
        <w:rPr>
          <w:b/>
          <w:w w:val="100"/>
          <w:sz w:val="21"/>
        </w:rPr>
        <w:t>y</w:t>
      </w:r>
      <w:r>
        <w:rPr>
          <w:b/>
          <w:sz w:val="21"/>
        </w:rPr>
        <w:t> </w:t>
      </w:r>
      <w:r>
        <w:rPr>
          <w:b/>
          <w:spacing w:val="10"/>
          <w:sz w:val="21"/>
        </w:rPr>
        <w:t> </w:t>
      </w:r>
      <w:r>
        <w:rPr>
          <w:b/>
          <w:w w:val="100"/>
          <w:sz w:val="21"/>
        </w:rPr>
        <w:t>an</w:t>
      </w:r>
      <w:r>
        <w:rPr>
          <w:b/>
          <w:w w:val="100"/>
          <w:sz w:val="21"/>
        </w:rPr>
        <w:t>d</w:t>
      </w:r>
      <w:r>
        <w:rPr>
          <w:b/>
          <w:sz w:val="21"/>
        </w:rPr>
        <w:t> </w:t>
      </w:r>
      <w:r>
        <w:rPr>
          <w:b/>
          <w:spacing w:val="13"/>
          <w:sz w:val="21"/>
        </w:rPr>
        <w:t> </w:t>
      </w:r>
      <w:r>
        <w:rPr>
          <w:b/>
          <w:spacing w:val="-1"/>
          <w:w w:val="100"/>
          <w:sz w:val="21"/>
        </w:rPr>
        <w:t>t</w:t>
      </w:r>
      <w:r>
        <w:rPr>
          <w:b/>
          <w:w w:val="100"/>
          <w:sz w:val="21"/>
        </w:rPr>
        <w:t>ak</w:t>
      </w:r>
      <w:r>
        <w:rPr>
          <w:b/>
          <w:spacing w:val="-1"/>
          <w:w w:val="100"/>
          <w:sz w:val="21"/>
        </w:rPr>
        <w:t>i</w:t>
      </w:r>
      <w:r>
        <w:rPr>
          <w:b/>
          <w:spacing w:val="-2"/>
          <w:w w:val="100"/>
          <w:sz w:val="21"/>
        </w:rPr>
        <w:t>n</w:t>
      </w:r>
      <w:r>
        <w:rPr>
          <w:b/>
          <w:w w:val="100"/>
          <w:sz w:val="21"/>
        </w:rPr>
        <w:t>g</w:t>
      </w:r>
      <w:r>
        <w:rPr>
          <w:b/>
          <w:sz w:val="21"/>
        </w:rPr>
        <w:t> </w:t>
      </w:r>
      <w:r>
        <w:rPr>
          <w:b/>
          <w:spacing w:val="15"/>
          <w:sz w:val="21"/>
        </w:rPr>
        <w:t> </w:t>
      </w:r>
      <w:r>
        <w:rPr>
          <w:b/>
          <w:spacing w:val="-4"/>
          <w:w w:val="100"/>
          <w:sz w:val="21"/>
        </w:rPr>
        <w:t>i</w:t>
      </w:r>
      <w:r>
        <w:rPr>
          <w:b/>
          <w:w w:val="100"/>
          <w:sz w:val="21"/>
        </w:rPr>
        <w:t>nto</w:t>
      </w:r>
      <w:r>
        <w:rPr>
          <w:b/>
          <w:sz w:val="21"/>
        </w:rPr>
        <w:t> </w:t>
      </w:r>
      <w:r>
        <w:rPr>
          <w:b/>
          <w:spacing w:val="13"/>
          <w:sz w:val="21"/>
        </w:rPr>
        <w:t> </w:t>
      </w:r>
      <w:r>
        <w:rPr>
          <w:b/>
          <w:w w:val="100"/>
          <w:sz w:val="21"/>
        </w:rPr>
        <w:t>a</w:t>
      </w:r>
      <w:r>
        <w:rPr>
          <w:b/>
          <w:spacing w:val="-3"/>
          <w:w w:val="100"/>
          <w:sz w:val="21"/>
        </w:rPr>
        <w:t>cc</w:t>
      </w:r>
      <w:r>
        <w:rPr>
          <w:b/>
          <w:w w:val="100"/>
          <w:sz w:val="21"/>
        </w:rPr>
        <w:t>o</w:t>
      </w:r>
      <w:r>
        <w:rPr>
          <w:b/>
          <w:spacing w:val="-2"/>
          <w:w w:val="100"/>
          <w:sz w:val="21"/>
        </w:rPr>
        <w:t>u</w:t>
      </w:r>
      <w:r>
        <w:rPr>
          <w:b/>
          <w:w w:val="100"/>
          <w:sz w:val="21"/>
        </w:rPr>
        <w:t>nt</w:t>
      </w:r>
      <w:r>
        <w:rPr>
          <w:b/>
          <w:sz w:val="21"/>
        </w:rPr>
        <w:t> </w:t>
      </w:r>
      <w:r>
        <w:rPr>
          <w:b/>
          <w:spacing w:val="14"/>
          <w:sz w:val="21"/>
        </w:rPr>
        <w:t> </w:t>
      </w:r>
      <w:r>
        <w:rPr>
          <w:b/>
          <w:spacing w:val="-1"/>
          <w:w w:val="100"/>
          <w:sz w:val="21"/>
        </w:rPr>
        <w:t>t</w:t>
      </w:r>
      <w:r>
        <w:rPr>
          <w:b/>
          <w:spacing w:val="-2"/>
          <w:w w:val="100"/>
          <w:sz w:val="21"/>
        </w:rPr>
        <w:t>h</w:t>
      </w:r>
      <w:r>
        <w:rPr>
          <w:b/>
          <w:w w:val="100"/>
          <w:sz w:val="21"/>
        </w:rPr>
        <w:t>e </w:t>
      </w:r>
      <w:r>
        <w:rPr>
          <w:b/>
          <w:sz w:val="21"/>
        </w:rPr>
        <w:t>archaeological evidence of a massive structure just below the disputed structure and evidence of continuity in structural phases from the tenth century onwards upto the construction of the disputed structure along with the yield of stone and decorated bricks as well as mutilated sculpture of divine couple and carved architectural members including foliage patters, </w:t>
      </w:r>
      <w:r>
        <w:rPr>
          <w:b/>
          <w:i/>
          <w:sz w:val="21"/>
        </w:rPr>
        <w:t>amalaka, kapotapali </w:t>
      </w:r>
      <w:r>
        <w:rPr>
          <w:b/>
          <w:sz w:val="21"/>
        </w:rPr>
        <w:t>doorjamb with semi-circular pilaster, broken octagonal shaft of black schist pillar, lotus motif, circular shrine having </w:t>
      </w:r>
      <w:r>
        <w:rPr>
          <w:b/>
          <w:i/>
          <w:sz w:val="21"/>
        </w:rPr>
        <w:t>pranala </w:t>
      </w:r>
      <w:r>
        <w:rPr>
          <w:b/>
          <w:sz w:val="21"/>
        </w:rPr>
        <w:t>(waterchute) in the north, fifty pillar bases in association of the huge structure, are indicative of remains which are distinctive features found associated with the temples of north</w:t>
      </w:r>
      <w:r>
        <w:rPr>
          <w:b/>
          <w:spacing w:val="-7"/>
          <w:sz w:val="21"/>
        </w:rPr>
        <w:t> </w:t>
      </w:r>
      <w:r>
        <w:rPr>
          <w:b/>
          <w:sz w:val="21"/>
        </w:rPr>
        <w:t>India</w:t>
      </w:r>
      <w:r>
        <w:rPr>
          <w:sz w:val="21"/>
        </w:rPr>
        <w:t>.‖</w:t>
      </w:r>
    </w:p>
    <w:p>
      <w:pPr>
        <w:spacing w:before="1"/>
        <w:ind w:left="5798" w:right="0" w:firstLine="0"/>
        <w:jc w:val="left"/>
        <w:rPr>
          <w:sz w:val="21"/>
        </w:rPr>
      </w:pPr>
      <w:r>
        <w:rPr>
          <w:sz w:val="21"/>
        </w:rPr>
        <w:t>(Emphasis supplied)</w:t>
      </w:r>
    </w:p>
    <w:p>
      <w:pPr>
        <w:spacing w:after="0"/>
        <w:jc w:val="left"/>
        <w:rPr>
          <w:sz w:val="21"/>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36" w:firstLine="0"/>
        <w:jc w:val="both"/>
        <w:rPr>
          <w:sz w:val="25"/>
        </w:rPr>
      </w:pPr>
      <w:r>
        <w:rPr>
          <w:sz w:val="25"/>
        </w:rPr>
        <w:t>Numerous objections have been urged to the ASI report and will be considered. The report indicates that the post Gupta period commencing from the seventh to the tenth century A.D. witnessed significant structural activity at the site. The report states that this activity has uncovered the existence of a circular brick shrine with a circular exterior with an entrance from the east. ASI has concluded that the northern wall of the shrine contains a </w:t>
      </w:r>
      <w:r>
        <w:rPr>
          <w:i/>
          <w:sz w:val="25"/>
        </w:rPr>
        <w:t>pranala</w:t>
      </w:r>
      <w:r>
        <w:rPr>
          <w:sz w:val="25"/>
        </w:rPr>
        <w:t>, i.e. a water chute, which it opined to be a distinctive feature of temples in the plains of the Ganges – Yamuna. The report noted that excavation pertaining to the eleventh– </w:t>
      </w:r>
      <w:r>
        <w:rPr>
          <w:w w:val="99"/>
          <w:sz w:val="25"/>
        </w:rPr>
        <w:t>twelfth</w:t>
      </w:r>
      <w:r>
        <w:rPr>
          <w:sz w:val="25"/>
        </w:rPr>
        <w:t> </w:t>
      </w:r>
      <w:r>
        <w:rPr>
          <w:spacing w:val="-5"/>
          <w:sz w:val="25"/>
        </w:rPr>
        <w:t> </w:t>
      </w:r>
      <w:r>
        <w:rPr>
          <w:w w:val="99"/>
          <w:sz w:val="25"/>
        </w:rPr>
        <w:t>centu</w:t>
      </w:r>
      <w:r>
        <w:rPr>
          <w:spacing w:val="1"/>
          <w:w w:val="99"/>
          <w:sz w:val="25"/>
        </w:rPr>
        <w:t>r</w:t>
      </w:r>
      <w:r>
        <w:rPr>
          <w:w w:val="99"/>
          <w:sz w:val="25"/>
        </w:rPr>
        <w:t>y</w:t>
      </w:r>
      <w:r>
        <w:rPr>
          <w:sz w:val="25"/>
        </w:rPr>
        <w:t> </w:t>
      </w:r>
      <w:r>
        <w:rPr>
          <w:spacing w:val="-8"/>
          <w:sz w:val="25"/>
        </w:rPr>
        <w:t> </w:t>
      </w:r>
      <w:r>
        <w:rPr>
          <w:spacing w:val="-1"/>
          <w:w w:val="99"/>
          <w:sz w:val="25"/>
        </w:rPr>
        <w:t>A</w:t>
      </w:r>
      <w:r>
        <w:rPr>
          <w:w w:val="99"/>
          <w:sz w:val="25"/>
        </w:rPr>
        <w:t>.D.</w:t>
      </w:r>
      <w:r>
        <w:rPr>
          <w:sz w:val="25"/>
        </w:rPr>
        <w:t> </w:t>
      </w:r>
      <w:r>
        <w:rPr>
          <w:spacing w:val="-3"/>
          <w:sz w:val="25"/>
        </w:rPr>
        <w:t> </w:t>
      </w:r>
      <w:r>
        <w:rPr>
          <w:spacing w:val="-1"/>
          <w:w w:val="99"/>
          <w:sz w:val="25"/>
        </w:rPr>
        <w:t>h</w:t>
      </w:r>
      <w:r>
        <w:rPr>
          <w:w w:val="99"/>
          <w:sz w:val="25"/>
        </w:rPr>
        <w:t>as</w:t>
      </w:r>
      <w:r>
        <w:rPr>
          <w:sz w:val="25"/>
        </w:rPr>
        <w:t> </w:t>
      </w:r>
      <w:r>
        <w:rPr>
          <w:spacing w:val="-5"/>
          <w:sz w:val="25"/>
        </w:rPr>
        <w:t> </w:t>
      </w:r>
      <w:r>
        <w:rPr>
          <w:w w:val="99"/>
          <w:sz w:val="25"/>
        </w:rPr>
        <w:t>r</w:t>
      </w:r>
      <w:r>
        <w:rPr>
          <w:spacing w:val="-1"/>
          <w:w w:val="99"/>
          <w:sz w:val="25"/>
        </w:rPr>
        <w:t>e</w:t>
      </w:r>
      <w:r>
        <w:rPr>
          <w:spacing w:val="-3"/>
          <w:w w:val="99"/>
          <w:sz w:val="25"/>
        </w:rPr>
        <w:t>v</w:t>
      </w:r>
      <w:r>
        <w:rPr>
          <w:spacing w:val="-1"/>
          <w:w w:val="99"/>
          <w:sz w:val="25"/>
        </w:rPr>
        <w:t>e</w:t>
      </w:r>
      <w:r>
        <w:rPr>
          <w:w w:val="99"/>
          <w:sz w:val="25"/>
        </w:rPr>
        <w:t>a</w:t>
      </w:r>
      <w:r>
        <w:rPr>
          <w:spacing w:val="-1"/>
          <w:w w:val="99"/>
          <w:sz w:val="25"/>
        </w:rPr>
        <w:t>le</w:t>
      </w:r>
      <w:r>
        <w:rPr>
          <w:w w:val="99"/>
          <w:sz w:val="25"/>
        </w:rPr>
        <w:t>d</w:t>
      </w:r>
      <w:r>
        <w:rPr>
          <w:sz w:val="25"/>
        </w:rPr>
        <w:t> </w:t>
      </w:r>
      <w:r>
        <w:rPr>
          <w:spacing w:val="-5"/>
          <w:sz w:val="25"/>
        </w:rPr>
        <w:t> </w:t>
      </w:r>
      <w:r>
        <w:rPr>
          <w:w w:val="99"/>
          <w:sz w:val="25"/>
        </w:rPr>
        <w:t>the</w:t>
      </w:r>
      <w:r>
        <w:rPr>
          <w:sz w:val="25"/>
        </w:rPr>
        <w:t> </w:t>
      </w:r>
      <w:r>
        <w:rPr>
          <w:spacing w:val="-5"/>
          <w:sz w:val="25"/>
        </w:rPr>
        <w:t> </w:t>
      </w:r>
      <w:r>
        <w:rPr>
          <w:spacing w:val="-1"/>
          <w:w w:val="99"/>
          <w:sz w:val="25"/>
        </w:rPr>
        <w:t>e</w:t>
      </w:r>
      <w:r>
        <w:rPr>
          <w:spacing w:val="-3"/>
          <w:w w:val="99"/>
          <w:sz w:val="25"/>
        </w:rPr>
        <w:t>x</w:t>
      </w:r>
      <w:r>
        <w:rPr>
          <w:spacing w:val="1"/>
          <w:w w:val="99"/>
          <w:sz w:val="25"/>
        </w:rPr>
        <w:t>i</w:t>
      </w:r>
      <w:r>
        <w:rPr>
          <w:w w:val="99"/>
          <w:sz w:val="25"/>
        </w:rPr>
        <w:t>stence</w:t>
      </w:r>
      <w:r>
        <w:rPr>
          <w:sz w:val="25"/>
        </w:rPr>
        <w:t> </w:t>
      </w:r>
      <w:r>
        <w:rPr>
          <w:spacing w:val="-5"/>
          <w:sz w:val="25"/>
        </w:rPr>
        <w:t> </w:t>
      </w:r>
      <w:r>
        <w:rPr>
          <w:spacing w:val="-1"/>
          <w:w w:val="99"/>
          <w:sz w:val="25"/>
        </w:rPr>
        <w:t>o</w:t>
      </w:r>
      <w:r>
        <w:rPr>
          <w:w w:val="99"/>
          <w:sz w:val="25"/>
        </w:rPr>
        <w:t>f</w:t>
      </w:r>
      <w:r>
        <w:rPr>
          <w:sz w:val="25"/>
        </w:rPr>
        <w:t> </w:t>
      </w:r>
      <w:r>
        <w:rPr>
          <w:spacing w:val="-5"/>
          <w:sz w:val="25"/>
        </w:rPr>
        <w:t> </w:t>
      </w:r>
      <w:r>
        <w:rPr>
          <w:w w:val="33"/>
          <w:sz w:val="25"/>
        </w:rPr>
        <w:t>―</w:t>
      </w:r>
      <w:r>
        <w:rPr>
          <w:w w:val="99"/>
          <w:sz w:val="25"/>
        </w:rPr>
        <w:t>a</w:t>
      </w:r>
      <w:r>
        <w:rPr>
          <w:sz w:val="25"/>
        </w:rPr>
        <w:t> </w:t>
      </w:r>
      <w:r>
        <w:rPr>
          <w:spacing w:val="-5"/>
          <w:sz w:val="25"/>
        </w:rPr>
        <w:t> </w:t>
      </w:r>
      <w:r>
        <w:rPr>
          <w:spacing w:val="-1"/>
          <w:w w:val="99"/>
          <w:sz w:val="25"/>
        </w:rPr>
        <w:t>h</w:t>
      </w:r>
      <w:r>
        <w:rPr>
          <w:spacing w:val="-2"/>
          <w:w w:val="99"/>
          <w:sz w:val="25"/>
        </w:rPr>
        <w:t>u</w:t>
      </w:r>
      <w:r>
        <w:rPr>
          <w:spacing w:val="-1"/>
          <w:w w:val="99"/>
          <w:sz w:val="25"/>
        </w:rPr>
        <w:t>g</w:t>
      </w:r>
      <w:r>
        <w:rPr>
          <w:w w:val="99"/>
          <w:sz w:val="25"/>
        </w:rPr>
        <w:t>e</w:t>
      </w:r>
      <w:r>
        <w:rPr>
          <w:sz w:val="25"/>
        </w:rPr>
        <w:t> </w:t>
      </w:r>
      <w:r>
        <w:rPr>
          <w:spacing w:val="-5"/>
          <w:sz w:val="25"/>
        </w:rPr>
        <w:t> </w:t>
      </w:r>
      <w:r>
        <w:rPr>
          <w:w w:val="99"/>
          <w:sz w:val="25"/>
        </w:rPr>
        <w:t>s</w:t>
      </w:r>
      <w:r>
        <w:rPr>
          <w:spacing w:val="-3"/>
          <w:w w:val="99"/>
          <w:sz w:val="25"/>
        </w:rPr>
        <w:t>t</w:t>
      </w:r>
      <w:r>
        <w:rPr>
          <w:w w:val="99"/>
          <w:sz w:val="25"/>
        </w:rPr>
        <w:t>r</w:t>
      </w:r>
      <w:r>
        <w:rPr>
          <w:spacing w:val="-1"/>
          <w:w w:val="99"/>
          <w:sz w:val="25"/>
        </w:rPr>
        <w:t>uct</w:t>
      </w:r>
      <w:r>
        <w:rPr>
          <w:w w:val="99"/>
          <w:sz w:val="25"/>
        </w:rPr>
        <w:t>ur</w:t>
      </w:r>
      <w:r>
        <w:rPr>
          <w:spacing w:val="-1"/>
          <w:w w:val="91"/>
          <w:sz w:val="25"/>
        </w:rPr>
        <w:t>e</w:t>
      </w:r>
      <w:r>
        <w:rPr>
          <w:w w:val="91"/>
          <w:sz w:val="25"/>
        </w:rPr>
        <w:t>‖</w:t>
      </w:r>
      <w:r>
        <w:rPr>
          <w:sz w:val="25"/>
        </w:rPr>
        <w:t> </w:t>
      </w:r>
      <w:r>
        <w:rPr>
          <w:spacing w:val="-4"/>
          <w:sz w:val="25"/>
        </w:rPr>
        <w:t> </w:t>
      </w:r>
      <w:r>
        <w:rPr>
          <w:spacing w:val="-1"/>
          <w:w w:val="99"/>
          <w:sz w:val="25"/>
        </w:rPr>
        <w:t>wit</w:t>
      </w:r>
      <w:r>
        <w:rPr>
          <w:w w:val="99"/>
          <w:sz w:val="25"/>
        </w:rPr>
        <w:t>h</w:t>
      </w:r>
      <w:r>
        <w:rPr>
          <w:sz w:val="25"/>
        </w:rPr>
        <w:t> </w:t>
      </w:r>
      <w:r>
        <w:rPr>
          <w:spacing w:val="-7"/>
          <w:sz w:val="25"/>
        </w:rPr>
        <w:t> </w:t>
      </w:r>
      <w:r>
        <w:rPr>
          <w:w w:val="99"/>
          <w:sz w:val="25"/>
        </w:rPr>
        <w:t>a </w:t>
      </w:r>
      <w:r>
        <w:rPr>
          <w:sz w:val="25"/>
        </w:rPr>
        <w:t>dimension of 50 meters by 30 meters. This activity during the early medieval period of the eleventh and twelfth century A.D. reveals the existence of nearly  fifty pillar bases. The report notes that on the remains of the above structure, there was a massive structure constructed with at least three structural phases and three successive floors attached with it. The architectural features of the early structure including its decorative motifs were revised in the construction of</w:t>
      </w:r>
      <w:r>
        <w:rPr>
          <w:spacing w:val="13"/>
          <w:sz w:val="25"/>
        </w:rPr>
        <w:t> </w:t>
      </w:r>
      <w:r>
        <w:rPr>
          <w:sz w:val="25"/>
        </w:rPr>
        <w:t>a</w:t>
      </w:r>
    </w:p>
    <w:p>
      <w:pPr>
        <w:pStyle w:val="BodyText"/>
        <w:spacing w:line="480" w:lineRule="auto"/>
        <w:ind w:left="500" w:right="445"/>
        <w:jc w:val="both"/>
      </w:pPr>
      <w:r>
        <w:rPr>
          <w:w w:val="33"/>
        </w:rPr>
        <w:t>―</w:t>
      </w:r>
      <w:r>
        <w:rPr>
          <w:w w:val="99"/>
        </w:rPr>
        <w:t>monumental</w:t>
      </w:r>
      <w:r>
        <w:rPr/>
        <w:t>  </w:t>
      </w:r>
      <w:r>
        <w:rPr>
          <w:w w:val="99"/>
        </w:rPr>
        <w:t>structur</w:t>
      </w:r>
      <w:r>
        <w:rPr>
          <w:w w:val="91"/>
        </w:rPr>
        <w:t>e‖</w:t>
      </w:r>
      <w:r>
        <w:rPr/>
        <w:t>  </w:t>
      </w:r>
      <w:r>
        <w:rPr>
          <w:w w:val="99"/>
        </w:rPr>
        <w:t>with</w:t>
      </w:r>
      <w:r>
        <w:rPr/>
        <w:t>  </w:t>
      </w:r>
      <w:r>
        <w:rPr>
          <w:w w:val="99"/>
        </w:rPr>
        <w:t>a</w:t>
      </w:r>
      <w:r>
        <w:rPr/>
        <w:t>  </w:t>
      </w:r>
      <w:r>
        <w:rPr>
          <w:w w:val="99"/>
        </w:rPr>
        <w:t>large</w:t>
      </w:r>
      <w:r>
        <w:rPr/>
        <w:t>  </w:t>
      </w:r>
      <w:r>
        <w:rPr>
          <w:w w:val="99"/>
        </w:rPr>
        <w:t>pillared</w:t>
      </w:r>
      <w:r>
        <w:rPr/>
        <w:t>  </w:t>
      </w:r>
      <w:r>
        <w:rPr>
          <w:w w:val="99"/>
        </w:rPr>
        <w:t>wall</w:t>
      </w:r>
      <w:r>
        <w:rPr/>
        <w:t>  </w:t>
      </w:r>
      <w:r>
        <w:rPr>
          <w:w w:val="99"/>
        </w:rPr>
        <w:t>indicating</w:t>
      </w:r>
      <w:r>
        <w:rPr/>
        <w:t>  </w:t>
      </w:r>
      <w:r>
        <w:rPr>
          <w:w w:val="99"/>
        </w:rPr>
        <w:t>evidence</w:t>
      </w:r>
      <w:r>
        <w:rPr/>
        <w:t>  </w:t>
      </w:r>
      <w:r>
        <w:rPr>
          <w:w w:val="99"/>
        </w:rPr>
        <w:t>of</w:t>
      </w:r>
      <w:r>
        <w:rPr/>
        <w:t>  </w:t>
      </w:r>
      <w:r>
        <w:rPr>
          <w:w w:val="99"/>
        </w:rPr>
        <w:t>a </w:t>
      </w:r>
      <w:r>
        <w:rPr/>
        <w:t>construction for public use. The report notes that the construction of the disputed structure during the early sixteenth century is found to have rested directly above the earlier structure and that the centre of the central chamber of the disputed structure is stated to fall over the central point of the length of the massive wall of the preceding period.</w:t>
      </w:r>
    </w:p>
    <w:p>
      <w:pPr>
        <w:spacing w:after="0" w:line="480" w:lineRule="auto"/>
        <w:jc w:val="both"/>
        <w:sectPr>
          <w:pgSz w:w="11910" w:h="16840"/>
          <w:pgMar w:header="721" w:footer="1014" w:top="1300" w:bottom="1200" w:left="940" w:right="1000"/>
        </w:sectPr>
      </w:pPr>
    </w:p>
    <w:p>
      <w:pPr>
        <w:pStyle w:val="Heading4"/>
        <w:spacing w:before="126"/>
        <w:rPr>
          <w:i/>
        </w:rPr>
      </w:pPr>
      <w:r>
        <w:rPr>
          <w:i/>
        </w:rPr>
        <w:t>Findings of the High Court on the ASI report</w:t>
      </w:r>
    </w:p>
    <w:p>
      <w:pPr>
        <w:pStyle w:val="BodyText"/>
        <w:spacing w:before="8"/>
        <w:rPr>
          <w:i/>
          <w:sz w:val="38"/>
        </w:rPr>
      </w:pPr>
    </w:p>
    <w:p>
      <w:pPr>
        <w:pStyle w:val="ListParagraph"/>
        <w:numPr>
          <w:ilvl w:val="0"/>
          <w:numId w:val="111"/>
        </w:numPr>
        <w:tabs>
          <w:tab w:pos="1220" w:val="left" w:leader="none"/>
          <w:tab w:pos="1221" w:val="left" w:leader="none"/>
        </w:tabs>
        <w:spacing w:line="480" w:lineRule="auto" w:before="0" w:after="0"/>
        <w:ind w:left="500" w:right="441" w:firstLine="0"/>
        <w:jc w:val="left"/>
        <w:rPr>
          <w:sz w:val="25"/>
        </w:rPr>
      </w:pPr>
      <w:r>
        <w:rPr>
          <w:sz w:val="25"/>
        </w:rPr>
        <w:t>During the course of his judgment, Justice S U Khan did not place any reliance on the ASI report. The learned judge offered the following</w:t>
      </w:r>
      <w:r>
        <w:rPr>
          <w:spacing w:val="-23"/>
          <w:sz w:val="25"/>
        </w:rPr>
        <w:t> </w:t>
      </w:r>
      <w:r>
        <w:rPr>
          <w:sz w:val="25"/>
        </w:rPr>
        <w:t>explanation:</w:t>
      </w:r>
    </w:p>
    <w:p>
      <w:pPr>
        <w:spacing w:line="276" w:lineRule="auto" w:before="160"/>
        <w:ind w:left="1940" w:right="2261" w:firstLine="0"/>
        <w:jc w:val="both"/>
        <w:rPr>
          <w:sz w:val="21"/>
        </w:rPr>
      </w:pPr>
      <w:r>
        <w:rPr>
          <w:spacing w:val="-1"/>
          <w:w w:val="33"/>
          <w:sz w:val="21"/>
        </w:rPr>
        <w:t>―</w:t>
      </w:r>
      <w:r>
        <w:rPr>
          <w:w w:val="100"/>
          <w:sz w:val="21"/>
        </w:rPr>
        <w:t>C</w:t>
      </w:r>
      <w:r>
        <w:rPr>
          <w:spacing w:val="-1"/>
          <w:w w:val="100"/>
          <w:sz w:val="21"/>
        </w:rPr>
        <w:t>o</w:t>
      </w:r>
      <w:r>
        <w:rPr>
          <w:spacing w:val="-3"/>
          <w:w w:val="100"/>
          <w:sz w:val="21"/>
        </w:rPr>
        <w:t>n</w:t>
      </w:r>
      <w:r>
        <w:rPr>
          <w:w w:val="100"/>
          <w:sz w:val="21"/>
        </w:rPr>
        <w:t>cl</w:t>
      </w:r>
      <w:r>
        <w:rPr>
          <w:spacing w:val="-3"/>
          <w:w w:val="100"/>
          <w:sz w:val="21"/>
        </w:rPr>
        <w:t>u</w:t>
      </w:r>
      <w:r>
        <w:rPr>
          <w:w w:val="100"/>
          <w:sz w:val="21"/>
        </w:rPr>
        <w:t>s</w:t>
      </w:r>
      <w:r>
        <w:rPr>
          <w:spacing w:val="-2"/>
          <w:w w:val="100"/>
          <w:sz w:val="21"/>
        </w:rPr>
        <w:t>i</w:t>
      </w:r>
      <w:r>
        <w:rPr>
          <w:spacing w:val="-1"/>
          <w:w w:val="100"/>
          <w:sz w:val="21"/>
        </w:rPr>
        <w:t>on</w:t>
      </w:r>
      <w:r>
        <w:rPr>
          <w:w w:val="100"/>
          <w:sz w:val="21"/>
        </w:rPr>
        <w:t>s</w:t>
      </w:r>
      <w:r>
        <w:rPr>
          <w:spacing w:val="1"/>
          <w:sz w:val="21"/>
        </w:rPr>
        <w:t> </w:t>
      </w:r>
      <w:r>
        <w:rPr>
          <w:spacing w:val="-3"/>
          <w:w w:val="100"/>
          <w:sz w:val="21"/>
        </w:rPr>
        <w:t>o</w:t>
      </w:r>
      <w:r>
        <w:rPr>
          <w:w w:val="100"/>
          <w:sz w:val="21"/>
        </w:rPr>
        <w:t>f</w:t>
      </w:r>
      <w:r>
        <w:rPr>
          <w:sz w:val="21"/>
        </w:rPr>
        <w:t> </w:t>
      </w:r>
      <w:r>
        <w:rPr>
          <w:w w:val="100"/>
          <w:sz w:val="21"/>
        </w:rPr>
        <w:t>A</w:t>
      </w:r>
      <w:r>
        <w:rPr>
          <w:spacing w:val="-2"/>
          <w:w w:val="100"/>
          <w:sz w:val="21"/>
        </w:rPr>
        <w:t>.</w:t>
      </w:r>
      <w:r>
        <w:rPr>
          <w:w w:val="100"/>
          <w:sz w:val="21"/>
        </w:rPr>
        <w:t>S</w:t>
      </w:r>
      <w:r>
        <w:rPr>
          <w:spacing w:val="-2"/>
          <w:w w:val="100"/>
          <w:sz w:val="21"/>
        </w:rPr>
        <w:t>.I</w:t>
      </w:r>
      <w:r>
        <w:rPr>
          <w:w w:val="100"/>
          <w:sz w:val="21"/>
        </w:rPr>
        <w:t>.</w:t>
      </w:r>
      <w:r>
        <w:rPr>
          <w:sz w:val="21"/>
        </w:rPr>
        <w:t> </w:t>
      </w:r>
      <w:r>
        <w:rPr>
          <w:w w:val="100"/>
          <w:sz w:val="21"/>
        </w:rPr>
        <w:t>R</w:t>
      </w:r>
      <w:r>
        <w:rPr>
          <w:spacing w:val="-3"/>
          <w:w w:val="100"/>
          <w:sz w:val="21"/>
        </w:rPr>
        <w:t>e</w:t>
      </w:r>
      <w:r>
        <w:rPr>
          <w:spacing w:val="-1"/>
          <w:w w:val="100"/>
          <w:sz w:val="21"/>
        </w:rPr>
        <w:t>por</w:t>
      </w:r>
      <w:r>
        <w:rPr>
          <w:w w:val="100"/>
          <w:sz w:val="21"/>
        </w:rPr>
        <w:t>t</w:t>
      </w:r>
      <w:r>
        <w:rPr>
          <w:spacing w:val="-1"/>
          <w:sz w:val="21"/>
        </w:rPr>
        <w:t> </w:t>
      </w:r>
      <w:r>
        <w:rPr>
          <w:spacing w:val="-1"/>
          <w:w w:val="100"/>
          <w:sz w:val="21"/>
        </w:rPr>
        <w:t>200</w:t>
      </w:r>
      <w:r>
        <w:rPr>
          <w:w w:val="100"/>
          <w:sz w:val="21"/>
        </w:rPr>
        <w:t>3,</w:t>
      </w:r>
      <w:r>
        <w:rPr>
          <w:sz w:val="21"/>
        </w:rPr>
        <w:t> </w:t>
      </w:r>
      <w:r>
        <w:rPr>
          <w:spacing w:val="-3"/>
          <w:w w:val="100"/>
          <w:sz w:val="21"/>
        </w:rPr>
        <w:t>a</w:t>
      </w:r>
      <w:r>
        <w:rPr>
          <w:w w:val="100"/>
          <w:sz w:val="21"/>
        </w:rPr>
        <w:t>l</w:t>
      </w:r>
      <w:r>
        <w:rPr>
          <w:spacing w:val="-1"/>
          <w:w w:val="100"/>
          <w:sz w:val="21"/>
        </w:rPr>
        <w:t>re</w:t>
      </w:r>
      <w:r>
        <w:rPr>
          <w:spacing w:val="-3"/>
          <w:w w:val="100"/>
          <w:sz w:val="21"/>
        </w:rPr>
        <w:t>a</w:t>
      </w:r>
      <w:r>
        <w:rPr>
          <w:spacing w:val="-1"/>
          <w:w w:val="100"/>
          <w:sz w:val="21"/>
        </w:rPr>
        <w:t>d</w:t>
      </w:r>
      <w:r>
        <w:rPr>
          <w:w w:val="100"/>
          <w:sz w:val="21"/>
        </w:rPr>
        <w:t>y</w:t>
      </w:r>
      <w:r>
        <w:rPr>
          <w:spacing w:val="-1"/>
          <w:sz w:val="21"/>
        </w:rPr>
        <w:t> </w:t>
      </w:r>
      <w:r>
        <w:rPr>
          <w:spacing w:val="-1"/>
          <w:w w:val="100"/>
          <w:sz w:val="21"/>
        </w:rPr>
        <w:t>quote</w:t>
      </w:r>
      <w:r>
        <w:rPr>
          <w:spacing w:val="-3"/>
          <w:w w:val="100"/>
          <w:sz w:val="21"/>
        </w:rPr>
        <w:t>d</w:t>
      </w:r>
      <w:r>
        <w:rPr>
          <w:w w:val="100"/>
          <w:sz w:val="21"/>
        </w:rPr>
        <w:t>,</w:t>
      </w:r>
      <w:r>
        <w:rPr>
          <w:sz w:val="21"/>
        </w:rPr>
        <w:t> </w:t>
      </w:r>
      <w:r>
        <w:rPr>
          <w:spacing w:val="-1"/>
          <w:w w:val="100"/>
          <w:sz w:val="21"/>
        </w:rPr>
        <w:t>ar</w:t>
      </w:r>
      <w:r>
        <w:rPr>
          <w:w w:val="100"/>
          <w:sz w:val="21"/>
        </w:rPr>
        <w:t>e</w:t>
      </w:r>
      <w:r>
        <w:rPr>
          <w:sz w:val="21"/>
        </w:rPr>
        <w:t> </w:t>
      </w:r>
      <w:r>
        <w:rPr>
          <w:spacing w:val="-1"/>
          <w:w w:val="100"/>
          <w:sz w:val="21"/>
        </w:rPr>
        <w:t>no</w:t>
      </w:r>
      <w:r>
        <w:rPr>
          <w:w w:val="100"/>
          <w:sz w:val="21"/>
        </w:rPr>
        <w:t>t</w:t>
      </w:r>
      <w:r>
        <w:rPr>
          <w:sz w:val="21"/>
        </w:rPr>
        <w:t> </w:t>
      </w:r>
      <w:r>
        <w:rPr>
          <w:spacing w:val="-3"/>
          <w:w w:val="100"/>
          <w:sz w:val="21"/>
        </w:rPr>
        <w:t>o</w:t>
      </w:r>
      <w:r>
        <w:rPr>
          <w:w w:val="100"/>
          <w:sz w:val="21"/>
        </w:rPr>
        <w:t>f </w:t>
      </w:r>
      <w:r>
        <w:rPr>
          <w:sz w:val="21"/>
        </w:rPr>
        <w:t>much help in this regard for two reasons. Firstly, the </w:t>
      </w:r>
      <w:r>
        <w:rPr>
          <w:w w:val="100"/>
          <w:sz w:val="21"/>
        </w:rPr>
        <w:t>con</w:t>
      </w:r>
      <w:r>
        <w:rPr>
          <w:spacing w:val="-3"/>
          <w:w w:val="100"/>
          <w:sz w:val="21"/>
        </w:rPr>
        <w:t>c</w:t>
      </w:r>
      <w:r>
        <w:rPr>
          <w:w w:val="100"/>
          <w:sz w:val="21"/>
        </w:rPr>
        <w:t>l</w:t>
      </w:r>
      <w:r>
        <w:rPr>
          <w:spacing w:val="-1"/>
          <w:w w:val="100"/>
          <w:sz w:val="21"/>
        </w:rPr>
        <w:t>u</w:t>
      </w:r>
      <w:r>
        <w:rPr>
          <w:spacing w:val="-3"/>
          <w:w w:val="100"/>
          <w:sz w:val="21"/>
        </w:rPr>
        <w:t>s</w:t>
      </w:r>
      <w:r>
        <w:rPr>
          <w:w w:val="100"/>
          <w:sz w:val="21"/>
        </w:rPr>
        <w:t>i</w:t>
      </w:r>
      <w:r>
        <w:rPr>
          <w:spacing w:val="-3"/>
          <w:w w:val="100"/>
          <w:sz w:val="21"/>
        </w:rPr>
        <w:t>o</w:t>
      </w:r>
      <w:r>
        <w:rPr>
          <w:w w:val="100"/>
          <w:sz w:val="21"/>
        </w:rPr>
        <w:t>n</w:t>
      </w:r>
      <w:r>
        <w:rPr>
          <w:sz w:val="21"/>
        </w:rPr>
        <w:t> </w:t>
      </w:r>
      <w:r>
        <w:rPr>
          <w:spacing w:val="-17"/>
          <w:sz w:val="21"/>
        </w:rPr>
        <w:t> </w:t>
      </w:r>
      <w:r>
        <w:rPr>
          <w:spacing w:val="-2"/>
          <w:w w:val="100"/>
          <w:sz w:val="21"/>
        </w:rPr>
        <w:t>t</w:t>
      </w:r>
      <w:r>
        <w:rPr>
          <w:spacing w:val="-1"/>
          <w:w w:val="100"/>
          <w:sz w:val="21"/>
        </w:rPr>
        <w:t>ha</w:t>
      </w:r>
      <w:r>
        <w:rPr>
          <w:w w:val="100"/>
          <w:sz w:val="21"/>
        </w:rPr>
        <w:t>t</w:t>
      </w:r>
      <w:r>
        <w:rPr>
          <w:sz w:val="21"/>
        </w:rPr>
        <w:t> </w:t>
      </w:r>
      <w:r>
        <w:rPr>
          <w:spacing w:val="-18"/>
          <w:sz w:val="21"/>
        </w:rPr>
        <w:t> </w:t>
      </w:r>
      <w:r>
        <w:rPr>
          <w:spacing w:val="-2"/>
          <w:w w:val="100"/>
          <w:sz w:val="21"/>
        </w:rPr>
        <w:t>t</w:t>
      </w:r>
      <w:r>
        <w:rPr>
          <w:spacing w:val="-1"/>
          <w:w w:val="100"/>
          <w:sz w:val="21"/>
        </w:rPr>
        <w:t>her</w:t>
      </w:r>
      <w:r>
        <w:rPr>
          <w:w w:val="100"/>
          <w:sz w:val="21"/>
        </w:rPr>
        <w:t>e</w:t>
      </w:r>
      <w:r>
        <w:rPr>
          <w:sz w:val="21"/>
        </w:rPr>
        <w:t> </w:t>
      </w:r>
      <w:r>
        <w:rPr>
          <w:spacing w:val="-17"/>
          <w:sz w:val="21"/>
        </w:rPr>
        <w:t> </w:t>
      </w:r>
      <w:r>
        <w:rPr>
          <w:w w:val="100"/>
          <w:sz w:val="21"/>
        </w:rPr>
        <w:t>is</w:t>
      </w:r>
      <w:r>
        <w:rPr>
          <w:sz w:val="21"/>
        </w:rPr>
        <w:t> </w:t>
      </w:r>
      <w:r>
        <w:rPr>
          <w:spacing w:val="-19"/>
          <w:sz w:val="21"/>
        </w:rPr>
        <w:t> </w:t>
      </w:r>
      <w:r>
        <w:rPr>
          <w:spacing w:val="-2"/>
          <w:w w:val="40"/>
          <w:sz w:val="21"/>
        </w:rPr>
        <w:t>‗</w:t>
      </w:r>
      <w:r>
        <w:rPr>
          <w:spacing w:val="-1"/>
          <w:w w:val="100"/>
          <w:sz w:val="21"/>
        </w:rPr>
        <w:t>e</w:t>
      </w:r>
      <w:r>
        <w:rPr>
          <w:spacing w:val="-3"/>
          <w:w w:val="100"/>
          <w:sz w:val="21"/>
        </w:rPr>
        <w:t>v</w:t>
      </w:r>
      <w:r>
        <w:rPr>
          <w:w w:val="100"/>
          <w:sz w:val="21"/>
        </w:rPr>
        <w:t>i</w:t>
      </w:r>
      <w:r>
        <w:rPr>
          <w:spacing w:val="-1"/>
          <w:w w:val="100"/>
          <w:sz w:val="21"/>
        </w:rPr>
        <w:t>den</w:t>
      </w:r>
      <w:r>
        <w:rPr>
          <w:spacing w:val="-2"/>
          <w:w w:val="100"/>
          <w:sz w:val="21"/>
        </w:rPr>
        <w:t>c</w:t>
      </w:r>
      <w:r>
        <w:rPr>
          <w:w w:val="100"/>
          <w:sz w:val="21"/>
        </w:rPr>
        <w:t>e</w:t>
      </w:r>
      <w:r>
        <w:rPr>
          <w:sz w:val="21"/>
        </w:rPr>
        <w:t> </w:t>
      </w:r>
      <w:r>
        <w:rPr>
          <w:spacing w:val="-17"/>
          <w:sz w:val="21"/>
        </w:rPr>
        <w:t> </w:t>
      </w:r>
      <w:r>
        <w:rPr>
          <w:spacing w:val="-3"/>
          <w:w w:val="100"/>
          <w:sz w:val="21"/>
        </w:rPr>
        <w:t>o</w:t>
      </w:r>
      <w:r>
        <w:rPr>
          <w:w w:val="100"/>
          <w:sz w:val="21"/>
        </w:rPr>
        <w:t>f</w:t>
      </w:r>
      <w:r>
        <w:rPr>
          <w:sz w:val="21"/>
        </w:rPr>
        <w:t> </w:t>
      </w:r>
      <w:r>
        <w:rPr>
          <w:spacing w:val="-16"/>
          <w:sz w:val="21"/>
        </w:rPr>
        <w:t> </w:t>
      </w:r>
      <w:r>
        <w:rPr>
          <w:w w:val="100"/>
          <w:sz w:val="21"/>
        </w:rPr>
        <w:t>con</w:t>
      </w:r>
      <w:r>
        <w:rPr>
          <w:spacing w:val="-1"/>
          <w:w w:val="100"/>
          <w:sz w:val="21"/>
        </w:rPr>
        <w:t>t</w:t>
      </w:r>
      <w:r>
        <w:rPr>
          <w:spacing w:val="-2"/>
          <w:w w:val="100"/>
          <w:sz w:val="21"/>
        </w:rPr>
        <w:t>i</w:t>
      </w:r>
      <w:r>
        <w:rPr>
          <w:spacing w:val="-1"/>
          <w:w w:val="100"/>
          <w:sz w:val="21"/>
        </w:rPr>
        <w:t>n</w:t>
      </w:r>
      <w:r>
        <w:rPr>
          <w:spacing w:val="-3"/>
          <w:w w:val="100"/>
          <w:sz w:val="21"/>
        </w:rPr>
        <w:t>u</w:t>
      </w:r>
      <w:r>
        <w:rPr>
          <w:w w:val="100"/>
          <w:sz w:val="21"/>
        </w:rPr>
        <w:t>i</w:t>
      </w:r>
      <w:r>
        <w:rPr>
          <w:spacing w:val="-2"/>
          <w:w w:val="100"/>
          <w:sz w:val="21"/>
        </w:rPr>
        <w:t>t</w:t>
      </w:r>
      <w:r>
        <w:rPr>
          <w:w w:val="100"/>
          <w:sz w:val="21"/>
        </w:rPr>
        <w:t>y</w:t>
      </w:r>
      <w:r>
        <w:rPr>
          <w:sz w:val="21"/>
        </w:rPr>
        <w:t> </w:t>
      </w:r>
      <w:r>
        <w:rPr>
          <w:spacing w:val="-19"/>
          <w:sz w:val="21"/>
        </w:rPr>
        <w:t> </w:t>
      </w:r>
      <w:r>
        <w:rPr>
          <w:w w:val="100"/>
          <w:sz w:val="21"/>
        </w:rPr>
        <w:t>in</w:t>
      </w:r>
      <w:r>
        <w:rPr>
          <w:sz w:val="21"/>
        </w:rPr>
        <w:t> </w:t>
      </w:r>
      <w:r>
        <w:rPr>
          <w:spacing w:val="-17"/>
          <w:sz w:val="21"/>
        </w:rPr>
        <w:t> </w:t>
      </w:r>
      <w:r>
        <w:rPr>
          <w:w w:val="100"/>
          <w:sz w:val="21"/>
        </w:rPr>
        <w:t>s</w:t>
      </w:r>
      <w:r>
        <w:rPr>
          <w:spacing w:val="-2"/>
          <w:w w:val="100"/>
          <w:sz w:val="21"/>
        </w:rPr>
        <w:t>t</w:t>
      </w:r>
      <w:r>
        <w:rPr>
          <w:spacing w:val="-1"/>
          <w:w w:val="100"/>
          <w:sz w:val="21"/>
        </w:rPr>
        <w:t>ructural </w:t>
      </w:r>
      <w:r>
        <w:rPr>
          <w:sz w:val="21"/>
        </w:rPr>
        <w:t>phases from the tenth century onward upto the construction  of the disputed structure‘ is directly in conflict with the pleadings, gazetteers and history books. Neither it has been pleaded by any party nor mentioned in any gazetteer or most of the history books that after construction of temples by Vikramaditya in first Century B.C. (or third or fourth century A.D., according to some) and till the construction of the mosque in question around 1528 A.D. any construction activity was carried out at the site of the premises in dispute or around that. Secondly, in case some temple had been demolished for constructing the mosque then the superstructure material of the temple would not have gone inside the ground. It should have been either reused or removed. No learned counsel appearing for any of the Hindu parties has been able to explain this</w:t>
      </w:r>
      <w:r>
        <w:rPr>
          <w:spacing w:val="-14"/>
          <w:sz w:val="21"/>
        </w:rPr>
        <w:t> </w:t>
      </w:r>
      <w:r>
        <w:rPr>
          <w:sz w:val="21"/>
        </w:rPr>
        <w:t>position.‖</w:t>
      </w:r>
    </w:p>
    <w:p>
      <w:pPr>
        <w:pStyle w:val="BodyText"/>
        <w:rPr>
          <w:sz w:val="24"/>
        </w:rPr>
      </w:pPr>
    </w:p>
    <w:p>
      <w:pPr>
        <w:pStyle w:val="BodyText"/>
        <w:rPr>
          <w:sz w:val="24"/>
        </w:rPr>
      </w:pPr>
    </w:p>
    <w:p>
      <w:pPr>
        <w:pStyle w:val="BodyText"/>
        <w:spacing w:line="480" w:lineRule="auto" w:before="168"/>
        <w:ind w:left="500" w:right="434"/>
        <w:jc w:val="both"/>
      </w:pPr>
      <w:r>
        <w:rPr/>
        <w:t>The first reason which weighed with Justice S U Khan was that it had not been pleaded by any of the parties that after the construction of a temple in the first century B.C. (or third or fourth centuries A.D.) until the construction of the mosque in the sixteenth century, any construction </w:t>
      </w:r>
      <w:r>
        <w:rPr>
          <w:spacing w:val="2"/>
        </w:rPr>
        <w:t>had </w:t>
      </w:r>
      <w:r>
        <w:rPr/>
        <w:t>been carried out at the site. The case of the plaintiffs in Suit 5 is that the disputed structure of a mosque was constructed after the demolition of a temple and that the mosque was constructed at the site of the demolished temple. The purpose of the excavation which was ordered by the High Court was to enable the court to have the benefit of a scientific investigation by ASI. It was on the basis of this excavation that the court would be apprised of the findings reached by ASI. To attribute to parties an act</w:t>
      </w:r>
      <w:r>
        <w:rPr>
          <w:spacing w:val="40"/>
        </w:rPr>
        <w:t> </w:t>
      </w:r>
      <w:r>
        <w:rPr/>
        <w:t>of</w:t>
      </w:r>
      <w:r>
        <w:rPr>
          <w:spacing w:val="41"/>
        </w:rPr>
        <w:t> </w:t>
      </w:r>
      <w:r>
        <w:rPr/>
        <w:t>default</w:t>
      </w:r>
      <w:r>
        <w:rPr>
          <w:spacing w:val="40"/>
        </w:rPr>
        <w:t> </w:t>
      </w:r>
      <w:r>
        <w:rPr/>
        <w:t>in</w:t>
      </w:r>
      <w:r>
        <w:rPr>
          <w:spacing w:val="42"/>
        </w:rPr>
        <w:t> </w:t>
      </w:r>
      <w:r>
        <w:rPr/>
        <w:t>their</w:t>
      </w:r>
      <w:r>
        <w:rPr>
          <w:spacing w:val="40"/>
        </w:rPr>
        <w:t> </w:t>
      </w:r>
      <w:r>
        <w:rPr/>
        <w:t>pleadings</w:t>
      </w:r>
      <w:r>
        <w:rPr>
          <w:spacing w:val="40"/>
        </w:rPr>
        <w:t> </w:t>
      </w:r>
      <w:r>
        <w:rPr/>
        <w:t>is</w:t>
      </w:r>
      <w:r>
        <w:rPr>
          <w:spacing w:val="42"/>
        </w:rPr>
        <w:t> </w:t>
      </w:r>
      <w:r>
        <w:rPr/>
        <w:t>inappropriate</w:t>
      </w:r>
      <w:r>
        <w:rPr>
          <w:spacing w:val="40"/>
        </w:rPr>
        <w:t> </w:t>
      </w:r>
      <w:r>
        <w:rPr/>
        <w:t>for</w:t>
      </w:r>
      <w:r>
        <w:rPr>
          <w:spacing w:val="41"/>
        </w:rPr>
        <w:t> </w:t>
      </w:r>
      <w:r>
        <w:rPr/>
        <w:t>the</w:t>
      </w:r>
      <w:r>
        <w:rPr>
          <w:spacing w:val="40"/>
        </w:rPr>
        <w:t> </w:t>
      </w:r>
      <w:r>
        <w:rPr/>
        <w:t>reason</w:t>
      </w:r>
      <w:r>
        <w:rPr>
          <w:spacing w:val="40"/>
        </w:rPr>
        <w:t> </w:t>
      </w:r>
      <w:r>
        <w:rPr/>
        <w:t>that</w:t>
      </w:r>
      <w:r>
        <w:rPr>
          <w:spacing w:val="40"/>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4"/>
        <w:jc w:val="both"/>
      </w:pPr>
      <w:r>
        <w:rPr/>
        <w:t>archaeological evidence which came before the court was as a result of the excavation which was carried out by the ASI. Having ordered the excavation, it was necessary for the High Court during the course of the trial to evaluate those findings. Justice S U Khan did not do so. The second reason which has weighed with the learned judge proceeds on the basis of a conjecture. Justice S U Khan held that it is not conceivable that Babur or Aurangzeb would have ensured prior research to ascertain the exact birth-place of Lord Ram and then have a temple constructed at the site. The purpose of the excavation was to enable the court to determine as to whether the excavation at the disputed site suggested the existence of prior structural activity over centuries and, if so, whether any </w:t>
      </w:r>
      <w:r>
        <w:rPr>
          <w:spacing w:val="2"/>
        </w:rPr>
        <w:t>part </w:t>
      </w:r>
      <w:r>
        <w:rPr/>
        <w:t>of it was of a religious nature. Justice S U Khan has omitted to assess both the finding of the ASI of a circular shrine and a construction partaking of a publicly used structure on the foundations of which the disputed structure rested and its probative value in the present dispute.</w:t>
      </w:r>
    </w:p>
    <w:p>
      <w:pPr>
        <w:pStyle w:val="BodyText"/>
        <w:spacing w:before="10"/>
        <w:rPr>
          <w:sz w:val="38"/>
        </w:rPr>
      </w:pPr>
    </w:p>
    <w:p>
      <w:pPr>
        <w:pStyle w:val="ListParagraph"/>
        <w:numPr>
          <w:ilvl w:val="0"/>
          <w:numId w:val="111"/>
        </w:numPr>
        <w:tabs>
          <w:tab w:pos="1221" w:val="left" w:leader="none"/>
        </w:tabs>
        <w:spacing w:line="480" w:lineRule="auto" w:before="0" w:after="0"/>
        <w:ind w:left="500" w:right="444" w:firstLine="0"/>
        <w:jc w:val="both"/>
        <w:rPr>
          <w:sz w:val="25"/>
        </w:rPr>
      </w:pPr>
      <w:r>
        <w:rPr>
          <w:sz w:val="25"/>
        </w:rPr>
        <w:t>Justice Sudhir Agarwal observed during the course of his judgment that certain undisputed facts emerge from the excavations. These were catalogued as follows:</w:t>
      </w:r>
    </w:p>
    <w:p>
      <w:pPr>
        <w:pStyle w:val="BodyText"/>
        <w:spacing w:before="10"/>
        <w:rPr>
          <w:sz w:val="34"/>
        </w:rPr>
      </w:pPr>
    </w:p>
    <w:p>
      <w:pPr>
        <w:spacing w:line="276" w:lineRule="auto" w:before="1"/>
        <w:ind w:left="1940" w:right="2263" w:firstLine="0"/>
        <w:jc w:val="both"/>
        <w:rPr>
          <w:sz w:val="21"/>
        </w:rPr>
      </w:pPr>
      <w:r>
        <w:rPr>
          <w:w w:val="33"/>
          <w:sz w:val="21"/>
        </w:rPr>
        <w:t>―</w:t>
      </w:r>
      <w:r>
        <w:rPr>
          <w:w w:val="100"/>
          <w:sz w:val="21"/>
        </w:rPr>
        <w:t>(i)</w:t>
      </w:r>
      <w:r>
        <w:rPr>
          <w:sz w:val="21"/>
        </w:rPr>
        <w:t>        </w:t>
      </w:r>
      <w:r>
        <w:rPr>
          <w:w w:val="100"/>
          <w:sz w:val="21"/>
        </w:rPr>
        <w:t>A</w:t>
      </w:r>
      <w:r>
        <w:rPr>
          <w:sz w:val="21"/>
        </w:rPr>
        <w:t> </w:t>
      </w:r>
      <w:r>
        <w:rPr>
          <w:w w:val="100"/>
          <w:sz w:val="21"/>
        </w:rPr>
        <w:t>l</w:t>
      </w:r>
      <w:r>
        <w:rPr>
          <w:w w:val="100"/>
          <w:sz w:val="21"/>
        </w:rPr>
        <w:t>ot</w:t>
      </w:r>
      <w:r>
        <w:rPr>
          <w:sz w:val="21"/>
        </w:rPr>
        <w:t> </w:t>
      </w:r>
      <w:r>
        <w:rPr>
          <w:w w:val="100"/>
          <w:sz w:val="21"/>
        </w:rPr>
        <w:t>o</w:t>
      </w:r>
      <w:r>
        <w:rPr>
          <w:w w:val="100"/>
          <w:sz w:val="21"/>
        </w:rPr>
        <w:t>f</w:t>
      </w:r>
      <w:r>
        <w:rPr>
          <w:sz w:val="21"/>
        </w:rPr>
        <w:t> </w:t>
      </w:r>
      <w:r>
        <w:rPr>
          <w:w w:val="100"/>
          <w:sz w:val="21"/>
        </w:rPr>
        <w:t>st</w:t>
      </w:r>
      <w:r>
        <w:rPr>
          <w:w w:val="100"/>
          <w:sz w:val="21"/>
        </w:rPr>
        <w:t>ruct</w:t>
      </w:r>
      <w:r>
        <w:rPr>
          <w:w w:val="100"/>
          <w:sz w:val="21"/>
        </w:rPr>
        <w:t>ura</w:t>
      </w:r>
      <w:r>
        <w:rPr>
          <w:w w:val="100"/>
          <w:sz w:val="21"/>
        </w:rPr>
        <w:t>l</w:t>
      </w:r>
      <w:r>
        <w:rPr>
          <w:sz w:val="21"/>
        </w:rPr>
        <w:t> </w:t>
      </w:r>
      <w:r>
        <w:rPr>
          <w:w w:val="100"/>
          <w:sz w:val="21"/>
        </w:rPr>
        <w:t>and</w:t>
      </w:r>
      <w:r>
        <w:rPr>
          <w:sz w:val="21"/>
        </w:rPr>
        <w:t> </w:t>
      </w:r>
      <w:r>
        <w:rPr>
          <w:w w:val="100"/>
          <w:sz w:val="21"/>
        </w:rPr>
        <w:t>con</w:t>
      </w:r>
      <w:r>
        <w:rPr>
          <w:w w:val="100"/>
          <w:sz w:val="21"/>
        </w:rPr>
        <w:t>st</w:t>
      </w:r>
      <w:r>
        <w:rPr>
          <w:w w:val="100"/>
          <w:sz w:val="21"/>
        </w:rPr>
        <w:t>ruct</w:t>
      </w:r>
      <w:r>
        <w:rPr>
          <w:w w:val="100"/>
          <w:sz w:val="21"/>
        </w:rPr>
        <w:t>i</w:t>
      </w:r>
      <w:r>
        <w:rPr>
          <w:w w:val="100"/>
          <w:sz w:val="21"/>
        </w:rPr>
        <w:t>on</w:t>
      </w:r>
      <w:r>
        <w:rPr>
          <w:sz w:val="21"/>
        </w:rPr>
        <w:t> </w:t>
      </w:r>
      <w:r>
        <w:rPr>
          <w:w w:val="100"/>
          <w:sz w:val="21"/>
        </w:rPr>
        <w:t>a</w:t>
      </w:r>
      <w:r>
        <w:rPr>
          <w:w w:val="100"/>
          <w:sz w:val="21"/>
        </w:rPr>
        <w:t>ct</w:t>
      </w:r>
      <w:r>
        <w:rPr>
          <w:w w:val="100"/>
          <w:sz w:val="21"/>
        </w:rPr>
        <w:t>i</w:t>
      </w:r>
      <w:r>
        <w:rPr>
          <w:w w:val="100"/>
          <w:sz w:val="21"/>
        </w:rPr>
        <w:t>v</w:t>
      </w:r>
      <w:r>
        <w:rPr>
          <w:w w:val="100"/>
          <w:sz w:val="21"/>
        </w:rPr>
        <w:t>i</w:t>
      </w:r>
      <w:r>
        <w:rPr>
          <w:w w:val="100"/>
          <w:sz w:val="21"/>
        </w:rPr>
        <w:t>t</w:t>
      </w:r>
      <w:r>
        <w:rPr>
          <w:w w:val="100"/>
          <w:sz w:val="21"/>
        </w:rPr>
        <w:t>i</w:t>
      </w:r>
      <w:r>
        <w:rPr>
          <w:w w:val="100"/>
          <w:sz w:val="21"/>
        </w:rPr>
        <w:t>es</w:t>
      </w:r>
      <w:r>
        <w:rPr>
          <w:sz w:val="21"/>
        </w:rPr>
        <w:t> </w:t>
      </w:r>
      <w:r>
        <w:rPr>
          <w:w w:val="100"/>
          <w:sz w:val="21"/>
        </w:rPr>
        <w:t>ex</w:t>
      </w:r>
      <w:r>
        <w:rPr>
          <w:w w:val="100"/>
          <w:sz w:val="21"/>
        </w:rPr>
        <w:t>i</w:t>
      </w:r>
      <w:r>
        <w:rPr>
          <w:w w:val="100"/>
          <w:sz w:val="21"/>
        </w:rPr>
        <w:t>st</w:t>
      </w:r>
      <w:r>
        <w:rPr>
          <w:w w:val="100"/>
          <w:sz w:val="21"/>
        </w:rPr>
        <w:t>ed</w:t>
      </w:r>
      <w:r>
        <w:rPr>
          <w:sz w:val="21"/>
        </w:rPr>
        <w:t> </w:t>
      </w:r>
      <w:r>
        <w:rPr>
          <w:w w:val="100"/>
          <w:sz w:val="21"/>
        </w:rPr>
        <w:t>at </w:t>
      </w:r>
      <w:r>
        <w:rPr>
          <w:sz w:val="21"/>
        </w:rPr>
        <w:t>the disputed site going back to the level of Shunga and Kushan period.</w:t>
      </w:r>
    </w:p>
    <w:p>
      <w:pPr>
        <w:pStyle w:val="ListParagraph"/>
        <w:numPr>
          <w:ilvl w:val="0"/>
          <w:numId w:val="143"/>
        </w:numPr>
        <w:tabs>
          <w:tab w:pos="2661" w:val="left" w:leader="none"/>
        </w:tabs>
        <w:spacing w:line="276" w:lineRule="auto" w:before="0" w:after="0"/>
        <w:ind w:left="1940" w:right="2261" w:firstLine="0"/>
        <w:jc w:val="both"/>
        <w:rPr>
          <w:sz w:val="21"/>
        </w:rPr>
      </w:pPr>
      <w:r>
        <w:rPr>
          <w:sz w:val="21"/>
        </w:rPr>
        <w:t>The exact number of floors, pillar bases and walls (were) noted by ASI though objected but the very existence of several floors, walls, and pillar bases beneath the disputed stricture is not</w:t>
      </w:r>
      <w:r>
        <w:rPr>
          <w:spacing w:val="-5"/>
          <w:sz w:val="21"/>
        </w:rPr>
        <w:t> </w:t>
      </w:r>
      <w:r>
        <w:rPr>
          <w:sz w:val="21"/>
        </w:rPr>
        <w:t>disputed.</w:t>
      </w:r>
    </w:p>
    <w:p>
      <w:pPr>
        <w:pStyle w:val="ListParagraph"/>
        <w:numPr>
          <w:ilvl w:val="0"/>
          <w:numId w:val="143"/>
        </w:numPr>
        <w:tabs>
          <w:tab w:pos="2661" w:val="left" w:leader="none"/>
        </w:tabs>
        <w:spacing w:line="276" w:lineRule="auto" w:before="0" w:after="0"/>
        <w:ind w:left="1940" w:right="2263" w:firstLine="0"/>
        <w:jc w:val="both"/>
        <w:rPr>
          <w:sz w:val="21"/>
        </w:rPr>
      </w:pPr>
      <w:r>
        <w:rPr>
          <w:sz w:val="21"/>
        </w:rPr>
        <w:t>The structure below the disputed structure was  sought to be explained as Kanati mosque or Idgah. There is no suggestion that the structure below the disputed building was of non-religious</w:t>
      </w:r>
      <w:r>
        <w:rPr>
          <w:spacing w:val="-3"/>
          <w:sz w:val="21"/>
        </w:rPr>
        <w:t> </w:t>
      </w:r>
      <w:r>
        <w:rPr>
          <w:sz w:val="21"/>
        </w:rPr>
        <w:t>nature.</w:t>
      </w:r>
    </w:p>
    <w:p>
      <w:pPr>
        <w:spacing w:after="0" w:line="276" w:lineRule="auto"/>
        <w:jc w:val="both"/>
        <w:rPr>
          <w:sz w:val="21"/>
        </w:rPr>
        <w:sectPr>
          <w:pgSz w:w="11910" w:h="16840"/>
          <w:pgMar w:header="721" w:footer="1014" w:top="1300" w:bottom="1200" w:left="940" w:right="1000"/>
        </w:sectPr>
      </w:pPr>
    </w:p>
    <w:p>
      <w:pPr>
        <w:pStyle w:val="ListParagraph"/>
        <w:numPr>
          <w:ilvl w:val="0"/>
          <w:numId w:val="143"/>
        </w:numPr>
        <w:tabs>
          <w:tab w:pos="2661" w:val="left" w:leader="none"/>
        </w:tabs>
        <w:spacing w:line="276" w:lineRule="auto" w:before="122" w:after="0"/>
        <w:ind w:left="1940" w:right="2265" w:firstLine="0"/>
        <w:jc w:val="both"/>
        <w:rPr>
          <w:sz w:val="21"/>
        </w:rPr>
      </w:pPr>
      <w:r>
        <w:rPr>
          <w:sz w:val="21"/>
        </w:rPr>
        <w:t>Some of the constructions or artefacts are sought to relate to Jains or Buddhist but here also it is not the case that it was Islamic in nature or</w:t>
      </w:r>
      <w:r>
        <w:rPr>
          <w:spacing w:val="-10"/>
          <w:sz w:val="21"/>
        </w:rPr>
        <w:t> </w:t>
      </w:r>
      <w:r>
        <w:rPr>
          <w:sz w:val="21"/>
        </w:rPr>
        <w:t>non-religious.</w:t>
      </w:r>
    </w:p>
    <w:p>
      <w:pPr>
        <w:pStyle w:val="ListParagraph"/>
        <w:numPr>
          <w:ilvl w:val="0"/>
          <w:numId w:val="143"/>
        </w:numPr>
        <w:tabs>
          <w:tab w:pos="2661" w:val="left" w:leader="none"/>
        </w:tabs>
        <w:spacing w:line="276" w:lineRule="auto" w:before="0" w:after="0"/>
        <w:ind w:left="1940" w:right="2263" w:firstLine="0"/>
        <w:jc w:val="both"/>
        <w:rPr>
          <w:sz w:val="21"/>
        </w:rPr>
      </w:pPr>
      <w:r>
        <w:rPr>
          <w:sz w:val="21"/>
        </w:rPr>
        <w:t>Though allegations of lack of independence in professional style etc. is sought to be supported from the alleged misinterpretation or wrong interpretation or omission or contradictions and discrepancies in some part of the report but no one of ASI team, individual or group has been named or shown to have worked in a manner lacking integrity, independence etc. (except where two nominees of Muslim side i.e. Dr. Jaya Menon </w:t>
      </w:r>
      <w:r>
        <w:rPr>
          <w:spacing w:val="-3"/>
          <w:sz w:val="21"/>
        </w:rPr>
        <w:t>(PW </w:t>
      </w:r>
      <w:r>
        <w:rPr>
          <w:sz w:val="21"/>
        </w:rPr>
        <w:t>29) and Dr. Supriya Verma</w:t>
      </w:r>
      <w:r>
        <w:rPr>
          <w:spacing w:val="-1"/>
          <w:sz w:val="21"/>
        </w:rPr>
        <w:t> </w:t>
      </w:r>
      <w:r>
        <w:rPr>
          <w:spacing w:val="-3"/>
          <w:sz w:val="21"/>
        </w:rPr>
        <w:t>(PW</w:t>
      </w:r>
    </w:p>
    <w:p>
      <w:pPr>
        <w:spacing w:line="278" w:lineRule="auto" w:before="1"/>
        <w:ind w:left="1940" w:right="2265" w:firstLine="0"/>
        <w:jc w:val="both"/>
        <w:rPr>
          <w:sz w:val="21"/>
        </w:rPr>
      </w:pPr>
      <w:r>
        <w:rPr>
          <w:sz w:val="21"/>
        </w:rPr>
        <w:t>32) reported creation of pillar bases in Trench G2 vide complaints dated 21.5.2003 and 7.6.2003).‖</w:t>
      </w:r>
    </w:p>
    <w:p>
      <w:pPr>
        <w:pStyle w:val="BodyText"/>
        <w:rPr>
          <w:sz w:val="24"/>
        </w:rPr>
      </w:pPr>
    </w:p>
    <w:p>
      <w:pPr>
        <w:pStyle w:val="BodyText"/>
        <w:spacing w:line="480" w:lineRule="auto" w:before="202"/>
        <w:ind w:left="500" w:right="435"/>
        <w:jc w:val="both"/>
      </w:pPr>
      <w:r>
        <w:rPr/>
        <w:t>Initially, the case of the Sunni Central Waqf Board was that the building in dispute was constructed at a place on which there was no existence of a Hindu religious structure and there was no evidence to suggest that the structure was at the place which Hindus believe to be the birth-place of Lord Ram. Justice Agarwal noted that when the excavation progressed there was a marked change in the approach of the plaintiffs in Suit 4 and a new case was sought to be set up that the structure below the disputed structure as shown in the excavation is  of Islamic</w:t>
      </w:r>
      <w:r>
        <w:rPr>
          <w:spacing w:val="-16"/>
        </w:rPr>
        <w:t> </w:t>
      </w:r>
      <w:r>
        <w:rPr/>
        <w:t>origin</w:t>
      </w:r>
      <w:r>
        <w:rPr>
          <w:spacing w:val="-16"/>
        </w:rPr>
        <w:t> </w:t>
      </w:r>
      <w:r>
        <w:rPr/>
        <w:t>namely,</w:t>
      </w:r>
      <w:r>
        <w:rPr>
          <w:spacing w:val="-14"/>
        </w:rPr>
        <w:t> </w:t>
      </w:r>
      <w:r>
        <w:rPr/>
        <w:t>either</w:t>
      </w:r>
      <w:r>
        <w:rPr>
          <w:spacing w:val="-15"/>
        </w:rPr>
        <w:t> </w:t>
      </w:r>
      <w:r>
        <w:rPr/>
        <w:t>an</w:t>
      </w:r>
      <w:r>
        <w:rPr>
          <w:spacing w:val="-15"/>
        </w:rPr>
        <w:t> </w:t>
      </w:r>
      <w:r>
        <w:rPr/>
        <w:t>‗Idgah‘</w:t>
      </w:r>
      <w:r>
        <w:rPr>
          <w:spacing w:val="-15"/>
        </w:rPr>
        <w:t> </w:t>
      </w:r>
      <w:r>
        <w:rPr/>
        <w:t>or</w:t>
      </w:r>
      <w:r>
        <w:rPr>
          <w:spacing w:val="-15"/>
        </w:rPr>
        <w:t> </w:t>
      </w:r>
      <w:r>
        <w:rPr/>
        <w:t>‗a</w:t>
      </w:r>
      <w:r>
        <w:rPr>
          <w:spacing w:val="-16"/>
        </w:rPr>
        <w:t> </w:t>
      </w:r>
      <w:r>
        <w:rPr/>
        <w:t>Kanati</w:t>
      </w:r>
      <w:r>
        <w:rPr>
          <w:spacing w:val="-14"/>
        </w:rPr>
        <w:t> </w:t>
      </w:r>
      <w:r>
        <w:rPr/>
        <w:t>Masjid‘.</w:t>
      </w:r>
      <w:r>
        <w:rPr>
          <w:spacing w:val="-12"/>
        </w:rPr>
        <w:t> </w:t>
      </w:r>
      <w:r>
        <w:rPr/>
        <w:t>Justice</w:t>
      </w:r>
      <w:r>
        <w:rPr>
          <w:spacing w:val="-16"/>
        </w:rPr>
        <w:t> </w:t>
      </w:r>
      <w:r>
        <w:rPr/>
        <w:t>Agarwal</w:t>
      </w:r>
      <w:r>
        <w:rPr>
          <w:spacing w:val="-16"/>
        </w:rPr>
        <w:t> </w:t>
      </w:r>
      <w:r>
        <w:rPr/>
        <w:t>noted that this shift in stance of the Muslim parties clearly excluded the possibility that the structure which was found below the disputed structure was of an origin  which is not religious. The enquiry then narrowed down to whether the structure was Islamic or non-Islamic in nature. The learned judge concluded</w:t>
      </w:r>
      <w:r>
        <w:rPr>
          <w:spacing w:val="-13"/>
        </w:rPr>
        <w:t> </w:t>
      </w:r>
      <w:r>
        <w:rPr/>
        <w:t>that:</w:t>
      </w:r>
    </w:p>
    <w:p>
      <w:pPr>
        <w:spacing w:line="276" w:lineRule="auto" w:before="162"/>
        <w:ind w:left="1940" w:right="2263" w:firstLine="0"/>
        <w:jc w:val="both"/>
        <w:rPr>
          <w:sz w:val="21"/>
        </w:rPr>
      </w:pPr>
      <w:r>
        <w:rPr>
          <w:spacing w:val="-1"/>
          <w:w w:val="33"/>
          <w:sz w:val="21"/>
        </w:rPr>
        <w:t>―</w:t>
      </w:r>
      <w:r>
        <w:rPr>
          <w:spacing w:val="-1"/>
          <w:w w:val="100"/>
          <w:sz w:val="21"/>
        </w:rPr>
        <w:t>390</w:t>
      </w:r>
      <w:r>
        <w:rPr>
          <w:w w:val="100"/>
          <w:sz w:val="21"/>
        </w:rPr>
        <w:t>5.</w:t>
      </w:r>
      <w:r>
        <w:rPr>
          <w:spacing w:val="26"/>
          <w:sz w:val="21"/>
        </w:rPr>
        <w:t> </w:t>
      </w:r>
      <w:r>
        <w:rPr>
          <w:spacing w:val="-2"/>
          <w:w w:val="100"/>
          <w:sz w:val="21"/>
        </w:rPr>
        <w:t>I</w:t>
      </w:r>
      <w:r>
        <w:rPr>
          <w:w w:val="100"/>
          <w:sz w:val="21"/>
        </w:rPr>
        <w:t>t</w:t>
      </w:r>
      <w:r>
        <w:rPr>
          <w:spacing w:val="26"/>
          <w:sz w:val="21"/>
        </w:rPr>
        <w:t> </w:t>
      </w:r>
      <w:r>
        <w:rPr>
          <w:w w:val="100"/>
          <w:sz w:val="21"/>
        </w:rPr>
        <w:t>is</w:t>
      </w:r>
      <w:r>
        <w:rPr>
          <w:spacing w:val="27"/>
          <w:sz w:val="21"/>
        </w:rPr>
        <w:t> </w:t>
      </w:r>
      <w:r>
        <w:rPr>
          <w:w w:val="100"/>
          <w:sz w:val="21"/>
        </w:rPr>
        <w:t>cl</w:t>
      </w:r>
      <w:r>
        <w:rPr>
          <w:spacing w:val="-1"/>
          <w:w w:val="100"/>
          <w:sz w:val="21"/>
        </w:rPr>
        <w:t>ea</w:t>
      </w:r>
      <w:r>
        <w:rPr>
          <w:w w:val="100"/>
          <w:sz w:val="21"/>
        </w:rPr>
        <w:t>r</w:t>
      </w:r>
      <w:r>
        <w:rPr>
          <w:spacing w:val="27"/>
          <w:sz w:val="21"/>
        </w:rPr>
        <w:t> </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30"/>
          <w:sz w:val="21"/>
        </w:rPr>
        <w:t> </w:t>
      </w:r>
      <w:r>
        <w:rPr>
          <w:spacing w:val="-2"/>
          <w:w w:val="100"/>
          <w:sz w:val="21"/>
        </w:rPr>
        <w:t>t</w:t>
      </w:r>
      <w:r>
        <w:rPr>
          <w:spacing w:val="-3"/>
          <w:w w:val="100"/>
          <w:sz w:val="21"/>
        </w:rPr>
        <w:t>h</w:t>
      </w:r>
      <w:r>
        <w:rPr>
          <w:w w:val="100"/>
          <w:sz w:val="21"/>
        </w:rPr>
        <w:t>e</w:t>
      </w:r>
      <w:r>
        <w:rPr>
          <w:spacing w:val="27"/>
          <w:sz w:val="21"/>
        </w:rPr>
        <w:t> </w:t>
      </w:r>
      <w:r>
        <w:rPr>
          <w:spacing w:val="-1"/>
          <w:w w:val="100"/>
          <w:sz w:val="21"/>
        </w:rPr>
        <w:t>repor</w:t>
      </w:r>
      <w:r>
        <w:rPr>
          <w:w w:val="100"/>
          <w:sz w:val="21"/>
        </w:rPr>
        <w:t>t</w:t>
      </w:r>
      <w:r>
        <w:rPr>
          <w:spacing w:val="26"/>
          <w:sz w:val="21"/>
        </w:rPr>
        <w:t> </w:t>
      </w:r>
      <w:r>
        <w:rPr>
          <w:spacing w:val="-2"/>
          <w:w w:val="100"/>
          <w:sz w:val="21"/>
        </w:rPr>
        <w:t>t</w:t>
      </w:r>
      <w:r>
        <w:rPr>
          <w:spacing w:val="-1"/>
          <w:w w:val="100"/>
          <w:sz w:val="21"/>
        </w:rPr>
        <w:t>ha</w:t>
      </w:r>
      <w:r>
        <w:rPr>
          <w:w w:val="100"/>
          <w:sz w:val="21"/>
        </w:rPr>
        <w:t>t</w:t>
      </w:r>
      <w:r>
        <w:rPr>
          <w:spacing w:val="26"/>
          <w:sz w:val="21"/>
        </w:rPr>
        <w:t> </w:t>
      </w:r>
      <w:r>
        <w:rPr>
          <w:spacing w:val="1"/>
          <w:w w:val="100"/>
          <w:sz w:val="21"/>
        </w:rPr>
        <w:t>f</w:t>
      </w:r>
      <w:r>
        <w:rPr>
          <w:w w:val="100"/>
          <w:sz w:val="21"/>
        </w:rPr>
        <w:t>l</w:t>
      </w:r>
      <w:r>
        <w:rPr>
          <w:spacing w:val="-1"/>
          <w:w w:val="100"/>
          <w:sz w:val="21"/>
        </w:rPr>
        <w:t>oo</w:t>
      </w:r>
      <w:r>
        <w:rPr>
          <w:w w:val="100"/>
          <w:sz w:val="21"/>
        </w:rPr>
        <w:t>r</w:t>
      </w:r>
      <w:r>
        <w:rPr>
          <w:spacing w:val="27"/>
          <w:sz w:val="21"/>
        </w:rPr>
        <w:t> </w:t>
      </w:r>
      <w:r>
        <w:rPr>
          <w:w w:val="100"/>
          <w:sz w:val="21"/>
        </w:rPr>
        <w:t>4</w:t>
      </w:r>
      <w:r>
        <w:rPr>
          <w:spacing w:val="27"/>
          <w:sz w:val="21"/>
        </w:rPr>
        <w:t> </w:t>
      </w:r>
      <w:r>
        <w:rPr>
          <w:spacing w:val="-2"/>
          <w:w w:val="100"/>
          <w:sz w:val="21"/>
        </w:rPr>
        <w:t>w</w:t>
      </w:r>
      <w:r>
        <w:rPr>
          <w:spacing w:val="-1"/>
          <w:w w:val="100"/>
          <w:sz w:val="21"/>
        </w:rPr>
        <w:t>h</w:t>
      </w:r>
      <w:r>
        <w:rPr>
          <w:spacing w:val="-2"/>
          <w:w w:val="100"/>
          <w:sz w:val="21"/>
        </w:rPr>
        <w:t>i</w:t>
      </w:r>
      <w:r>
        <w:rPr>
          <w:spacing w:val="-3"/>
          <w:w w:val="100"/>
          <w:sz w:val="21"/>
        </w:rPr>
        <w:t>c</w:t>
      </w:r>
      <w:r>
        <w:rPr>
          <w:w w:val="100"/>
          <w:sz w:val="21"/>
        </w:rPr>
        <w:t>h</w:t>
      </w:r>
      <w:r>
        <w:rPr>
          <w:spacing w:val="27"/>
          <w:sz w:val="21"/>
        </w:rPr>
        <w:t> </w:t>
      </w:r>
      <w:r>
        <w:rPr>
          <w:w w:val="100"/>
          <w:sz w:val="21"/>
        </w:rPr>
        <w:t>suppo</w:t>
      </w:r>
      <w:r>
        <w:rPr>
          <w:spacing w:val="-1"/>
          <w:w w:val="100"/>
          <w:sz w:val="21"/>
        </w:rPr>
        <w:t>r</w:t>
      </w:r>
      <w:r>
        <w:rPr>
          <w:spacing w:val="-2"/>
          <w:w w:val="100"/>
          <w:sz w:val="21"/>
        </w:rPr>
        <w:t>t</w:t>
      </w:r>
      <w:r>
        <w:rPr>
          <w:w w:val="100"/>
          <w:sz w:val="21"/>
        </w:rPr>
        <w:t>s </w:t>
      </w:r>
      <w:r>
        <w:rPr>
          <w:sz w:val="21"/>
        </w:rPr>
        <w:t>the foundation of pillar bases was a floor of a Temple. It cannot be the floor of Idgah or Kanati Mosque because pillars are always absent in Idgah so that maximum persons could be accommodated in minimum space for offering</w:t>
      </w:r>
      <w:r>
        <w:rPr>
          <w:spacing w:val="-27"/>
          <w:sz w:val="21"/>
        </w:rPr>
        <w:t> </w:t>
      </w:r>
      <w:r>
        <w:rPr>
          <w:sz w:val="21"/>
        </w:rPr>
        <w:t>prayer.‖</w:t>
      </w:r>
    </w:p>
    <w:p>
      <w:pPr>
        <w:spacing w:after="0" w:line="276" w:lineRule="auto"/>
        <w:jc w:val="both"/>
        <w:rPr>
          <w:sz w:val="21"/>
        </w:rPr>
        <w:sectPr>
          <w:pgSz w:w="11910" w:h="16840"/>
          <w:pgMar w:header="721" w:footer="1014" w:top="1300" w:bottom="1200" w:left="940" w:right="1000"/>
        </w:sectPr>
      </w:pPr>
    </w:p>
    <w:p>
      <w:pPr>
        <w:pStyle w:val="ListParagraph"/>
        <w:numPr>
          <w:ilvl w:val="0"/>
          <w:numId w:val="111"/>
        </w:numPr>
        <w:tabs>
          <w:tab w:pos="1221" w:val="left" w:leader="none"/>
        </w:tabs>
        <w:spacing w:line="480" w:lineRule="auto" w:before="124" w:after="0"/>
        <w:ind w:left="500" w:right="439" w:firstLine="0"/>
        <w:jc w:val="both"/>
        <w:rPr>
          <w:sz w:val="25"/>
        </w:rPr>
      </w:pPr>
      <w:r>
        <w:rPr>
          <w:sz w:val="25"/>
        </w:rPr>
        <w:t>Justice Agarwal noted that the existence of a circular shrine with its attendant architectural features likely indicated the presence of a Shaivite shrine and that it was not a Muslim tomb. He observed that while on the one hand, the dimensions of the structure were too small for a tomb, a gargoyle would never find presence in a tomb but was an integral feature of the sanctum of a Shiva temple to drain out water poured on the Shivalingam. In that context, after analysing the evidence, Justice Agarwal observed that PWs 29, 31 and 32 who were the witnesses of the plaintiffs in Suit 4 accepted that the features which were found in the excavated shrine were of a non-Islamic origin. The evidence of PWs 29, 31 and 32, insofar as is relevant is extracted</w:t>
      </w:r>
      <w:r>
        <w:rPr>
          <w:spacing w:val="-12"/>
          <w:sz w:val="25"/>
        </w:rPr>
        <w:t> </w:t>
      </w:r>
      <w:r>
        <w:rPr>
          <w:sz w:val="25"/>
        </w:rPr>
        <w:t>below:</w:t>
      </w:r>
    </w:p>
    <w:p>
      <w:pPr>
        <w:pStyle w:val="Heading5"/>
        <w:numPr>
          <w:ilvl w:val="0"/>
          <w:numId w:val="144"/>
        </w:numPr>
        <w:tabs>
          <w:tab w:pos="1221" w:val="left" w:leader="none"/>
        </w:tabs>
        <w:spacing w:line="240" w:lineRule="auto" w:before="157" w:after="0"/>
        <w:ind w:left="1220" w:right="0" w:hanging="721"/>
        <w:jc w:val="both"/>
      </w:pPr>
      <w:r>
        <w:rPr/>
        <w:t>Dr Jaya Menon</w:t>
      </w:r>
      <w:r>
        <w:rPr>
          <w:spacing w:val="-4"/>
        </w:rPr>
        <w:t> </w:t>
      </w:r>
      <w:r>
        <w:rPr/>
        <w:t>(PW-29)</w:t>
      </w:r>
    </w:p>
    <w:p>
      <w:pPr>
        <w:pStyle w:val="BodyText"/>
        <w:rPr>
          <w:b/>
          <w:sz w:val="28"/>
        </w:rPr>
      </w:pPr>
    </w:p>
    <w:p>
      <w:pPr>
        <w:pStyle w:val="BodyText"/>
        <w:spacing w:before="1"/>
        <w:rPr>
          <w:b/>
          <w:sz w:val="27"/>
        </w:rPr>
      </w:pPr>
    </w:p>
    <w:p>
      <w:pPr>
        <w:spacing w:line="276" w:lineRule="auto" w:before="0"/>
        <w:ind w:left="1940" w:right="2266" w:firstLine="0"/>
        <w:jc w:val="both"/>
        <w:rPr>
          <w:sz w:val="21"/>
        </w:rPr>
      </w:pPr>
      <w:r>
        <w:rPr>
          <w:spacing w:val="-1"/>
          <w:w w:val="33"/>
          <w:sz w:val="21"/>
        </w:rPr>
        <w:t>―</w:t>
      </w:r>
      <w:r>
        <w:rPr>
          <w:w w:val="100"/>
          <w:sz w:val="21"/>
        </w:rPr>
        <w:t>The</w:t>
      </w:r>
      <w:r>
        <w:rPr>
          <w:spacing w:val="18"/>
          <w:sz w:val="21"/>
        </w:rPr>
        <w:t> </w:t>
      </w:r>
      <w:r>
        <w:rPr>
          <w:spacing w:val="1"/>
          <w:w w:val="100"/>
          <w:sz w:val="21"/>
        </w:rPr>
        <w:t>m</w:t>
      </w:r>
      <w:r>
        <w:rPr>
          <w:spacing w:val="-1"/>
          <w:w w:val="100"/>
          <w:sz w:val="21"/>
        </w:rPr>
        <w:t>o</w:t>
      </w:r>
      <w:r>
        <w:rPr>
          <w:spacing w:val="-4"/>
          <w:w w:val="100"/>
          <w:sz w:val="21"/>
        </w:rPr>
        <w:t>t</w:t>
      </w:r>
      <w:r>
        <w:rPr>
          <w:w w:val="100"/>
          <w:sz w:val="21"/>
        </w:rPr>
        <w:t>if</w:t>
      </w:r>
      <w:r>
        <w:rPr>
          <w:spacing w:val="19"/>
          <w:sz w:val="21"/>
        </w:rPr>
        <w:t> </w:t>
      </w:r>
      <w:r>
        <w:rPr>
          <w:spacing w:val="-1"/>
          <w:w w:val="100"/>
          <w:sz w:val="21"/>
        </w:rPr>
        <w:t>o</w:t>
      </w:r>
      <w:r>
        <w:rPr>
          <w:w w:val="100"/>
          <w:sz w:val="21"/>
        </w:rPr>
        <w:t>f</w:t>
      </w:r>
      <w:r>
        <w:rPr>
          <w:spacing w:val="21"/>
          <w:sz w:val="21"/>
        </w:rPr>
        <w:t> </w:t>
      </w:r>
      <w:r>
        <w:rPr>
          <w:spacing w:val="-2"/>
          <w:w w:val="100"/>
          <w:sz w:val="21"/>
        </w:rPr>
        <w:t>G</w:t>
      </w:r>
      <w:r>
        <w:rPr>
          <w:spacing w:val="-3"/>
          <w:w w:val="100"/>
          <w:sz w:val="21"/>
        </w:rPr>
        <w:t>h</w:t>
      </w:r>
      <w:r>
        <w:rPr>
          <w:spacing w:val="-1"/>
          <w:w w:val="100"/>
          <w:sz w:val="21"/>
        </w:rPr>
        <w:t>a</w:t>
      </w:r>
      <w:r>
        <w:rPr>
          <w:w w:val="100"/>
          <w:sz w:val="21"/>
        </w:rPr>
        <w:t>t</w:t>
      </w:r>
      <w:r>
        <w:rPr>
          <w:spacing w:val="19"/>
          <w:sz w:val="21"/>
        </w:rPr>
        <w:t> </w:t>
      </w:r>
      <w:r>
        <w:rPr>
          <w:spacing w:val="-1"/>
          <w:w w:val="100"/>
          <w:sz w:val="21"/>
        </w:rPr>
        <w:t>(pot</w:t>
      </w:r>
      <w:r>
        <w:rPr>
          <w:w w:val="100"/>
          <w:sz w:val="21"/>
        </w:rPr>
        <w:t>)</w:t>
      </w:r>
      <w:r>
        <w:rPr>
          <w:spacing w:val="20"/>
          <w:sz w:val="21"/>
        </w:rPr>
        <w:t> </w:t>
      </w:r>
      <w:r>
        <w:rPr>
          <w:spacing w:val="-2"/>
          <w:w w:val="100"/>
          <w:sz w:val="21"/>
        </w:rPr>
        <w:t>i</w:t>
      </w:r>
      <w:r>
        <w:rPr>
          <w:w w:val="100"/>
          <w:sz w:val="21"/>
        </w:rPr>
        <w:t>s</w:t>
      </w:r>
      <w:r>
        <w:rPr>
          <w:spacing w:val="20"/>
          <w:sz w:val="21"/>
        </w:rPr>
        <w:t> </w:t>
      </w:r>
      <w:r>
        <w:rPr>
          <w:spacing w:val="-3"/>
          <w:w w:val="100"/>
          <w:sz w:val="21"/>
        </w:rPr>
        <w:t>v</w:t>
      </w:r>
      <w:r>
        <w:rPr>
          <w:w w:val="100"/>
          <w:sz w:val="21"/>
        </w:rPr>
        <w:t>isi</w:t>
      </w:r>
      <w:r>
        <w:rPr>
          <w:spacing w:val="-3"/>
          <w:w w:val="100"/>
          <w:sz w:val="21"/>
        </w:rPr>
        <w:t>b</w:t>
      </w:r>
      <w:r>
        <w:rPr>
          <w:w w:val="100"/>
          <w:sz w:val="21"/>
        </w:rPr>
        <w:t>le</w:t>
      </w:r>
      <w:r>
        <w:rPr>
          <w:spacing w:val="20"/>
          <w:sz w:val="21"/>
        </w:rPr>
        <w:t> </w:t>
      </w:r>
      <w:r>
        <w:rPr>
          <w:spacing w:val="-3"/>
          <w:w w:val="100"/>
          <w:sz w:val="21"/>
        </w:rPr>
        <w:t>o</w:t>
      </w:r>
      <w:r>
        <w:rPr>
          <w:w w:val="100"/>
          <w:sz w:val="21"/>
        </w:rPr>
        <w:t>n</w:t>
      </w:r>
      <w:r>
        <w:rPr>
          <w:spacing w:val="20"/>
          <w:sz w:val="21"/>
        </w:rPr>
        <w:t> </w:t>
      </w:r>
      <w:r>
        <w:rPr>
          <w:spacing w:val="-2"/>
          <w:w w:val="100"/>
          <w:sz w:val="21"/>
        </w:rPr>
        <w:t>t</w:t>
      </w:r>
      <w:r>
        <w:rPr>
          <w:spacing w:val="-1"/>
          <w:w w:val="100"/>
          <w:sz w:val="21"/>
        </w:rPr>
        <w:t>h</w:t>
      </w:r>
      <w:r>
        <w:rPr>
          <w:spacing w:val="1"/>
          <w:w w:val="100"/>
          <w:sz w:val="21"/>
        </w:rPr>
        <w:t>i</w:t>
      </w:r>
      <w:r>
        <w:rPr>
          <w:w w:val="100"/>
          <w:sz w:val="21"/>
        </w:rPr>
        <w:t>s</w:t>
      </w:r>
      <w:r>
        <w:rPr>
          <w:spacing w:val="20"/>
          <w:sz w:val="21"/>
        </w:rPr>
        <w:t> </w:t>
      </w:r>
      <w:r>
        <w:rPr>
          <w:spacing w:val="-3"/>
          <w:w w:val="100"/>
          <w:sz w:val="21"/>
        </w:rPr>
        <w:t>p</w:t>
      </w:r>
      <w:r>
        <w:rPr>
          <w:spacing w:val="-2"/>
          <w:w w:val="100"/>
          <w:sz w:val="21"/>
        </w:rPr>
        <w:t>i</w:t>
      </w:r>
      <w:r>
        <w:rPr>
          <w:w w:val="100"/>
          <w:sz w:val="21"/>
        </w:rPr>
        <w:t>ll</w:t>
      </w:r>
      <w:r>
        <w:rPr>
          <w:spacing w:val="-1"/>
          <w:w w:val="100"/>
          <w:sz w:val="21"/>
        </w:rPr>
        <w:t>ar</w:t>
      </w:r>
      <w:r>
        <w:rPr>
          <w:w w:val="100"/>
          <w:sz w:val="21"/>
        </w:rPr>
        <w:t>.</w:t>
      </w:r>
      <w:r>
        <w:rPr>
          <w:spacing w:val="18"/>
          <w:sz w:val="21"/>
        </w:rPr>
        <w:t> </w:t>
      </w:r>
      <w:r>
        <w:rPr>
          <w:spacing w:val="-2"/>
          <w:w w:val="100"/>
          <w:sz w:val="21"/>
        </w:rPr>
        <w:t>I</w:t>
      </w:r>
      <w:r>
        <w:rPr>
          <w:w w:val="100"/>
          <w:sz w:val="21"/>
        </w:rPr>
        <w:t>t</w:t>
      </w:r>
      <w:r>
        <w:rPr>
          <w:spacing w:val="19"/>
          <w:sz w:val="21"/>
        </w:rPr>
        <w:t> </w:t>
      </w:r>
      <w:r>
        <w:rPr>
          <w:spacing w:val="-2"/>
          <w:w w:val="100"/>
          <w:sz w:val="21"/>
        </w:rPr>
        <w:t>i</w:t>
      </w:r>
      <w:r>
        <w:rPr>
          <w:w w:val="100"/>
          <w:sz w:val="21"/>
        </w:rPr>
        <w:t>s</w:t>
      </w:r>
      <w:r>
        <w:rPr>
          <w:spacing w:val="20"/>
          <w:sz w:val="21"/>
        </w:rPr>
        <w:t> </w:t>
      </w:r>
      <w:r>
        <w:rPr>
          <w:spacing w:val="-2"/>
          <w:w w:val="100"/>
          <w:sz w:val="21"/>
        </w:rPr>
        <w:t>t</w:t>
      </w:r>
      <w:r>
        <w:rPr>
          <w:spacing w:val="-1"/>
          <w:w w:val="100"/>
          <w:sz w:val="21"/>
        </w:rPr>
        <w:t>ru</w:t>
      </w:r>
      <w:r>
        <w:rPr>
          <w:w w:val="100"/>
          <w:sz w:val="21"/>
        </w:rPr>
        <w:t>e</w:t>
      </w:r>
      <w:r>
        <w:rPr>
          <w:spacing w:val="21"/>
          <w:sz w:val="21"/>
        </w:rPr>
        <w:t> </w:t>
      </w:r>
      <w:r>
        <w:rPr>
          <w:spacing w:val="-2"/>
          <w:w w:val="100"/>
          <w:sz w:val="21"/>
        </w:rPr>
        <w:t>t</w:t>
      </w:r>
      <w:r>
        <w:rPr>
          <w:spacing w:val="-1"/>
          <w:w w:val="100"/>
          <w:sz w:val="21"/>
        </w:rPr>
        <w:t>hat </w:t>
      </w:r>
      <w:r>
        <w:rPr>
          <w:spacing w:val="-2"/>
          <w:w w:val="100"/>
          <w:sz w:val="21"/>
        </w:rPr>
        <w:t>G</w:t>
      </w:r>
      <w:r>
        <w:rPr>
          <w:w w:val="100"/>
          <w:sz w:val="21"/>
        </w:rPr>
        <w:t>hat</w:t>
      </w:r>
      <w:r>
        <w:rPr>
          <w:spacing w:val="24"/>
          <w:sz w:val="21"/>
        </w:rPr>
        <w:t> </w:t>
      </w:r>
      <w:r>
        <w:rPr>
          <w:w w:val="100"/>
          <w:sz w:val="21"/>
        </w:rPr>
        <w:t>i</w:t>
      </w:r>
      <w:r>
        <w:rPr>
          <w:w w:val="100"/>
          <w:sz w:val="21"/>
        </w:rPr>
        <w:t>s</w:t>
      </w:r>
      <w:r>
        <w:rPr>
          <w:spacing w:val="23"/>
          <w:sz w:val="21"/>
        </w:rPr>
        <w:t> </w:t>
      </w:r>
      <w:r>
        <w:rPr>
          <w:spacing w:val="-2"/>
          <w:w w:val="100"/>
          <w:sz w:val="21"/>
        </w:rPr>
        <w:t>a</w:t>
      </w:r>
      <w:r>
        <w:rPr>
          <w:w w:val="100"/>
          <w:sz w:val="21"/>
        </w:rPr>
        <w:t>lso</w:t>
      </w:r>
      <w:r>
        <w:rPr>
          <w:spacing w:val="23"/>
          <w:sz w:val="21"/>
        </w:rPr>
        <w:t> </w:t>
      </w:r>
      <w:r>
        <w:rPr>
          <w:w w:val="100"/>
          <w:sz w:val="21"/>
        </w:rPr>
        <w:t>kno</w:t>
      </w:r>
      <w:r>
        <w:rPr>
          <w:spacing w:val="-4"/>
          <w:w w:val="100"/>
          <w:sz w:val="21"/>
        </w:rPr>
        <w:t>w</w:t>
      </w:r>
      <w:r>
        <w:rPr>
          <w:w w:val="100"/>
          <w:sz w:val="21"/>
        </w:rPr>
        <w:t>n</w:t>
      </w:r>
      <w:r>
        <w:rPr>
          <w:spacing w:val="25"/>
          <w:sz w:val="21"/>
        </w:rPr>
        <w:t> </w:t>
      </w:r>
      <w:r>
        <w:rPr>
          <w:spacing w:val="-2"/>
          <w:w w:val="100"/>
          <w:sz w:val="21"/>
        </w:rPr>
        <w:t>t</w:t>
      </w:r>
      <w:r>
        <w:rPr>
          <w:w w:val="100"/>
          <w:sz w:val="21"/>
        </w:rPr>
        <w:t>o</w:t>
      </w:r>
      <w:r>
        <w:rPr>
          <w:spacing w:val="25"/>
          <w:sz w:val="21"/>
        </w:rPr>
        <w:t> </w:t>
      </w:r>
      <w:r>
        <w:rPr>
          <w:spacing w:val="-3"/>
          <w:w w:val="100"/>
          <w:sz w:val="21"/>
        </w:rPr>
        <w:t>b</w:t>
      </w:r>
      <w:r>
        <w:rPr>
          <w:w w:val="100"/>
          <w:sz w:val="21"/>
        </w:rPr>
        <w:t>e</w:t>
      </w:r>
      <w:r>
        <w:rPr>
          <w:spacing w:val="23"/>
          <w:sz w:val="21"/>
        </w:rPr>
        <w:t> </w:t>
      </w:r>
      <w:r>
        <w:rPr>
          <w:spacing w:val="-1"/>
          <w:w w:val="100"/>
          <w:sz w:val="21"/>
        </w:rPr>
        <w:t>a</w:t>
      </w:r>
      <w:r>
        <w:rPr>
          <w:w w:val="100"/>
          <w:sz w:val="21"/>
        </w:rPr>
        <w:t>s</w:t>
      </w:r>
      <w:r>
        <w:rPr>
          <w:spacing w:val="25"/>
          <w:sz w:val="21"/>
        </w:rPr>
        <w:t> </w:t>
      </w:r>
      <w:r>
        <w:rPr>
          <w:spacing w:val="-4"/>
          <w:w w:val="33"/>
          <w:sz w:val="21"/>
        </w:rPr>
        <w:t>―</w:t>
      </w:r>
      <w:r>
        <w:rPr>
          <w:w w:val="100"/>
          <w:sz w:val="21"/>
        </w:rPr>
        <w:t>K</w:t>
      </w:r>
      <w:r>
        <w:rPr>
          <w:spacing w:val="-3"/>
          <w:w w:val="100"/>
          <w:sz w:val="21"/>
        </w:rPr>
        <w:t>a</w:t>
      </w:r>
      <w:r>
        <w:rPr>
          <w:w w:val="100"/>
          <w:sz w:val="21"/>
        </w:rPr>
        <w:t>l</w:t>
      </w:r>
      <w:r>
        <w:rPr>
          <w:spacing w:val="-1"/>
          <w:w w:val="97"/>
          <w:sz w:val="21"/>
        </w:rPr>
        <w:t>ash‖</w:t>
      </w:r>
      <w:r>
        <w:rPr>
          <w:w w:val="97"/>
          <w:sz w:val="21"/>
        </w:rPr>
        <w:t>.</w:t>
      </w:r>
      <w:r>
        <w:rPr>
          <w:spacing w:val="21"/>
          <w:sz w:val="21"/>
        </w:rPr>
        <w:t> </w:t>
      </w:r>
      <w:r>
        <w:rPr>
          <w:w w:val="100"/>
          <w:sz w:val="21"/>
        </w:rPr>
        <w:t>N</w:t>
      </w:r>
      <w:r>
        <w:rPr>
          <w:spacing w:val="-1"/>
          <w:w w:val="100"/>
          <w:sz w:val="21"/>
        </w:rPr>
        <w:t>o</w:t>
      </w:r>
      <w:r>
        <w:rPr>
          <w:spacing w:val="-3"/>
          <w:w w:val="100"/>
          <w:sz w:val="21"/>
        </w:rPr>
        <w:t>r</w:t>
      </w:r>
      <w:r>
        <w:rPr>
          <w:spacing w:val="-1"/>
          <w:w w:val="100"/>
          <w:sz w:val="21"/>
        </w:rPr>
        <w:t>ma</w:t>
      </w:r>
      <w:r>
        <w:rPr>
          <w:spacing w:val="-2"/>
          <w:w w:val="100"/>
          <w:sz w:val="21"/>
        </w:rPr>
        <w:t>l</w:t>
      </w:r>
      <w:r>
        <w:rPr>
          <w:w w:val="100"/>
          <w:sz w:val="21"/>
        </w:rPr>
        <w:t>l</w:t>
      </w:r>
      <w:r>
        <w:rPr>
          <w:spacing w:val="-3"/>
          <w:w w:val="100"/>
          <w:sz w:val="21"/>
        </w:rPr>
        <w:t>y</w:t>
      </w:r>
      <w:r>
        <w:rPr>
          <w:w w:val="100"/>
          <w:sz w:val="21"/>
        </w:rPr>
        <w:t>,</w:t>
      </w:r>
      <w:r>
        <w:rPr>
          <w:spacing w:val="24"/>
          <w:sz w:val="21"/>
        </w:rPr>
        <w:t> </w:t>
      </w:r>
      <w:r>
        <w:rPr>
          <w:spacing w:val="-2"/>
          <w:w w:val="100"/>
          <w:sz w:val="21"/>
        </w:rPr>
        <w:t>t</w:t>
      </w:r>
      <w:r>
        <w:rPr>
          <w:spacing w:val="-1"/>
          <w:w w:val="100"/>
          <w:sz w:val="21"/>
        </w:rPr>
        <w:t>h</w:t>
      </w:r>
      <w:r>
        <w:rPr>
          <w:spacing w:val="1"/>
          <w:w w:val="100"/>
          <w:sz w:val="21"/>
        </w:rPr>
        <w:t>i</w:t>
      </w:r>
      <w:r>
        <w:rPr>
          <w:w w:val="100"/>
          <w:sz w:val="21"/>
        </w:rPr>
        <w:t>s</w:t>
      </w:r>
      <w:r>
        <w:rPr>
          <w:spacing w:val="22"/>
          <w:sz w:val="21"/>
        </w:rPr>
        <w:t> </w:t>
      </w:r>
      <w:r>
        <w:rPr>
          <w:w w:val="100"/>
          <w:sz w:val="21"/>
        </w:rPr>
        <w:t>k</w:t>
      </w:r>
      <w:r>
        <w:rPr>
          <w:spacing w:val="-2"/>
          <w:w w:val="100"/>
          <w:sz w:val="21"/>
        </w:rPr>
        <w:t>i</w:t>
      </w:r>
      <w:r>
        <w:rPr>
          <w:spacing w:val="-1"/>
          <w:w w:val="100"/>
          <w:sz w:val="21"/>
        </w:rPr>
        <w:t>n</w:t>
      </w:r>
      <w:r>
        <w:rPr>
          <w:w w:val="100"/>
          <w:sz w:val="21"/>
        </w:rPr>
        <w:t>d</w:t>
      </w:r>
      <w:r>
        <w:rPr>
          <w:spacing w:val="23"/>
          <w:sz w:val="21"/>
        </w:rPr>
        <w:t> </w:t>
      </w:r>
      <w:r>
        <w:rPr>
          <w:spacing w:val="-1"/>
          <w:w w:val="100"/>
          <w:sz w:val="21"/>
        </w:rPr>
        <w:t>of</w:t>
      </w:r>
    </w:p>
    <w:p>
      <w:pPr>
        <w:spacing w:before="2"/>
        <w:ind w:left="1940" w:right="0" w:firstLine="0"/>
        <w:jc w:val="both"/>
        <w:rPr>
          <w:sz w:val="21"/>
        </w:rPr>
      </w:pPr>
      <w:r>
        <w:rPr>
          <w:w w:val="40"/>
          <w:sz w:val="21"/>
        </w:rPr>
        <w:t>‗</w:t>
      </w:r>
      <w:r>
        <w:rPr>
          <w:spacing w:val="-2"/>
          <w:w w:val="100"/>
          <w:sz w:val="21"/>
        </w:rPr>
        <w:t>G</w:t>
      </w:r>
      <w:r>
        <w:rPr>
          <w:spacing w:val="-1"/>
          <w:w w:val="100"/>
          <w:sz w:val="21"/>
        </w:rPr>
        <w:t>hat</w:t>
      </w:r>
      <w:r>
        <w:rPr>
          <w:w w:val="100"/>
          <w:sz w:val="21"/>
        </w:rPr>
        <w:t>‘</w:t>
      </w:r>
      <w:r>
        <w:rPr>
          <w:sz w:val="21"/>
        </w:rPr>
        <w:t> </w:t>
      </w:r>
      <w:r>
        <w:rPr>
          <w:spacing w:val="-3"/>
          <w:w w:val="100"/>
          <w:sz w:val="21"/>
        </w:rPr>
        <w:t>o</w:t>
      </w:r>
      <w:r>
        <w:rPr>
          <w:w w:val="100"/>
          <w:sz w:val="21"/>
        </w:rPr>
        <w:t>n</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p</w:t>
      </w:r>
      <w:r>
        <w:rPr>
          <w:spacing w:val="-2"/>
          <w:w w:val="100"/>
          <w:sz w:val="21"/>
        </w:rPr>
        <w:t>i</w:t>
      </w:r>
      <w:r>
        <w:rPr>
          <w:w w:val="100"/>
          <w:sz w:val="21"/>
        </w:rPr>
        <w:t>l</w:t>
      </w:r>
      <w:r>
        <w:rPr>
          <w:spacing w:val="-2"/>
          <w:w w:val="100"/>
          <w:sz w:val="21"/>
        </w:rPr>
        <w:t>l</w:t>
      </w:r>
      <w:r>
        <w:rPr>
          <w:spacing w:val="-1"/>
          <w:w w:val="100"/>
          <w:sz w:val="21"/>
        </w:rPr>
        <w:t>a</w:t>
      </w:r>
      <w:r>
        <w:rPr>
          <w:w w:val="100"/>
          <w:sz w:val="21"/>
        </w:rPr>
        <w:t>r</w:t>
      </w:r>
      <w:r>
        <w:rPr>
          <w:spacing w:val="-2"/>
          <w:sz w:val="21"/>
        </w:rPr>
        <w:t> </w:t>
      </w:r>
      <w:r>
        <w:rPr>
          <w:w w:val="100"/>
          <w:sz w:val="21"/>
        </w:rPr>
        <w:t>is</w:t>
      </w:r>
      <w:r>
        <w:rPr>
          <w:spacing w:val="-1"/>
          <w:sz w:val="21"/>
        </w:rPr>
        <w:t> </w:t>
      </w:r>
      <w:r>
        <w:rPr>
          <w:spacing w:val="-3"/>
          <w:w w:val="100"/>
          <w:sz w:val="21"/>
        </w:rPr>
        <w:t>n</w:t>
      </w:r>
      <w:r>
        <w:rPr>
          <w:spacing w:val="-1"/>
          <w:w w:val="100"/>
          <w:sz w:val="21"/>
        </w:rPr>
        <w:t>o</w:t>
      </w:r>
      <w:r>
        <w:rPr>
          <w:w w:val="100"/>
          <w:sz w:val="21"/>
        </w:rPr>
        <w:t>t</w:t>
      </w:r>
      <w:r>
        <w:rPr>
          <w:spacing w:val="-2"/>
          <w:sz w:val="21"/>
        </w:rPr>
        <w:t> </w:t>
      </w:r>
      <w:r>
        <w:rPr>
          <w:spacing w:val="-2"/>
          <w:w w:val="100"/>
          <w:sz w:val="21"/>
        </w:rPr>
        <w:t>f</w:t>
      </w:r>
      <w:r>
        <w:rPr>
          <w:spacing w:val="-1"/>
          <w:w w:val="100"/>
          <w:sz w:val="21"/>
        </w:rPr>
        <w:t>oun</w:t>
      </w:r>
      <w:r>
        <w:rPr>
          <w:w w:val="100"/>
          <w:sz w:val="21"/>
        </w:rPr>
        <w:t>d</w:t>
      </w:r>
      <w:r>
        <w:rPr>
          <w:spacing w:val="-3"/>
          <w:sz w:val="21"/>
        </w:rPr>
        <w:t> </w:t>
      </w:r>
      <w:r>
        <w:rPr>
          <w:w w:val="100"/>
          <w:sz w:val="21"/>
        </w:rPr>
        <w:t>in</w:t>
      </w:r>
      <w:r>
        <w:rPr>
          <w:spacing w:val="-4"/>
          <w:sz w:val="21"/>
        </w:rPr>
        <w:t> </w:t>
      </w:r>
      <w:r>
        <w:rPr>
          <w:spacing w:val="1"/>
          <w:w w:val="100"/>
          <w:sz w:val="21"/>
        </w:rPr>
        <w:t>m</w:t>
      </w:r>
      <w:r>
        <w:rPr>
          <w:spacing w:val="-1"/>
          <w:w w:val="100"/>
          <w:sz w:val="21"/>
        </w:rPr>
        <w:t>o</w:t>
      </w:r>
      <w:r>
        <w:rPr>
          <w:spacing w:val="-3"/>
          <w:w w:val="100"/>
          <w:sz w:val="21"/>
        </w:rPr>
        <w:t>s</w:t>
      </w:r>
      <w:r>
        <w:rPr>
          <w:spacing w:val="-1"/>
          <w:w w:val="100"/>
          <w:sz w:val="21"/>
        </w:rPr>
        <w:t>que.</w:t>
      </w:r>
    </w:p>
    <w:p>
      <w:pPr>
        <w:spacing w:line="276" w:lineRule="auto" w:before="34"/>
        <w:ind w:left="1940" w:right="2262" w:firstLine="0"/>
        <w:jc w:val="both"/>
        <w:rPr>
          <w:sz w:val="21"/>
        </w:rPr>
      </w:pPr>
      <w:r>
        <w:rPr>
          <w:sz w:val="21"/>
        </w:rPr>
        <w:t>It is correct to say that the figurines of elephant, tortoise and crocodile – all made of terracotta, were recovered during the excavation. Such figurines were found in more than one trench. I know that the crocodile is the seat/vehicle of Hindu holy river Ganga. I agree that tortoise is the vehicle of holy river Yamuna.‖</w:t>
      </w:r>
    </w:p>
    <w:p>
      <w:pPr>
        <w:pStyle w:val="BodyText"/>
        <w:rPr>
          <w:sz w:val="24"/>
        </w:rPr>
      </w:pPr>
    </w:p>
    <w:p>
      <w:pPr>
        <w:pStyle w:val="BodyText"/>
        <w:spacing w:before="1"/>
      </w:pPr>
    </w:p>
    <w:p>
      <w:pPr>
        <w:pStyle w:val="Heading5"/>
        <w:numPr>
          <w:ilvl w:val="0"/>
          <w:numId w:val="144"/>
        </w:numPr>
        <w:tabs>
          <w:tab w:pos="904" w:val="left" w:leader="none"/>
        </w:tabs>
        <w:spacing w:line="240" w:lineRule="auto" w:before="1" w:after="0"/>
        <w:ind w:left="903" w:right="0" w:hanging="404"/>
        <w:jc w:val="both"/>
      </w:pPr>
      <w:r>
        <w:rPr/>
        <w:t>Dr Ashok Dutta (PW</w:t>
      </w:r>
      <w:r>
        <w:rPr>
          <w:spacing w:val="-1"/>
        </w:rPr>
        <w:t> </w:t>
      </w:r>
      <w:r>
        <w:rPr/>
        <w:t>31)</w:t>
      </w:r>
    </w:p>
    <w:p>
      <w:pPr>
        <w:pStyle w:val="BodyText"/>
        <w:spacing w:before="2"/>
        <w:rPr>
          <w:b/>
        </w:rPr>
      </w:pPr>
    </w:p>
    <w:p>
      <w:pPr>
        <w:spacing w:line="276" w:lineRule="auto" w:before="0"/>
        <w:ind w:left="1940" w:right="2264" w:firstLine="0"/>
        <w:jc w:val="both"/>
        <w:rPr>
          <w:sz w:val="21"/>
        </w:rPr>
      </w:pPr>
      <w:r>
        <w:rPr>
          <w:spacing w:val="-1"/>
          <w:w w:val="33"/>
          <w:sz w:val="21"/>
        </w:rPr>
        <w:t>―</w:t>
      </w:r>
      <w:r>
        <w:rPr>
          <w:w w:val="100"/>
          <w:sz w:val="21"/>
        </w:rPr>
        <w:t>As</w:t>
      </w:r>
      <w:r>
        <w:rPr>
          <w:sz w:val="21"/>
        </w:rPr>
        <w:t> </w:t>
      </w:r>
      <w:r>
        <w:rPr>
          <w:w w:val="100"/>
          <w:sz w:val="21"/>
        </w:rPr>
        <w:t>I</w:t>
      </w:r>
      <w:r>
        <w:rPr>
          <w:sz w:val="21"/>
        </w:rPr>
        <w:t> </w:t>
      </w:r>
      <w:r>
        <w:rPr>
          <w:spacing w:val="-1"/>
          <w:w w:val="100"/>
          <w:sz w:val="21"/>
        </w:rPr>
        <w:t>ha</w:t>
      </w:r>
      <w:r>
        <w:rPr>
          <w:spacing w:val="-3"/>
          <w:w w:val="100"/>
          <w:sz w:val="21"/>
        </w:rPr>
        <w:t>v</w:t>
      </w:r>
      <w:r>
        <w:rPr>
          <w:w w:val="100"/>
          <w:sz w:val="21"/>
        </w:rPr>
        <w:t>e</w:t>
      </w:r>
      <w:r>
        <w:rPr>
          <w:sz w:val="21"/>
        </w:rPr>
        <w:t> </w:t>
      </w:r>
      <w:r>
        <w:rPr>
          <w:spacing w:val="1"/>
          <w:w w:val="100"/>
          <w:sz w:val="21"/>
        </w:rPr>
        <w:t>m</w:t>
      </w:r>
      <w:r>
        <w:rPr>
          <w:spacing w:val="-3"/>
          <w:w w:val="100"/>
          <w:sz w:val="21"/>
        </w:rPr>
        <w:t>e</w:t>
      </w:r>
      <w:r>
        <w:rPr>
          <w:spacing w:val="-1"/>
          <w:w w:val="100"/>
          <w:sz w:val="21"/>
        </w:rPr>
        <w:t>nt</w:t>
      </w:r>
      <w:r>
        <w:rPr>
          <w:w w:val="100"/>
          <w:sz w:val="21"/>
        </w:rPr>
        <w:t>i</w:t>
      </w:r>
      <w:r>
        <w:rPr>
          <w:spacing w:val="-3"/>
          <w:w w:val="100"/>
          <w:sz w:val="21"/>
        </w:rPr>
        <w:t>o</w:t>
      </w:r>
      <w:r>
        <w:rPr>
          <w:spacing w:val="-1"/>
          <w:w w:val="100"/>
          <w:sz w:val="21"/>
        </w:rPr>
        <w:t>ne</w:t>
      </w:r>
      <w:r>
        <w:rPr>
          <w:w w:val="100"/>
          <w:sz w:val="21"/>
        </w:rPr>
        <w:t>d</w:t>
      </w:r>
      <w:r>
        <w:rPr>
          <w:sz w:val="21"/>
        </w:rPr>
        <w:t> </w:t>
      </w:r>
      <w:r>
        <w:rPr>
          <w:spacing w:val="-2"/>
          <w:w w:val="100"/>
          <w:sz w:val="21"/>
        </w:rPr>
        <w:t>t</w:t>
      </w:r>
      <w:r>
        <w:rPr>
          <w:spacing w:val="-3"/>
          <w:w w:val="100"/>
          <w:sz w:val="21"/>
        </w:rPr>
        <w:t>h</w:t>
      </w:r>
      <w:r>
        <w:rPr>
          <w:spacing w:val="-1"/>
          <w:w w:val="100"/>
          <w:sz w:val="21"/>
        </w:rPr>
        <w:t>a</w:t>
      </w:r>
      <w:r>
        <w:rPr>
          <w:w w:val="100"/>
          <w:sz w:val="21"/>
        </w:rPr>
        <w:t>t</w:t>
      </w:r>
      <w:r>
        <w:rPr>
          <w:sz w:val="21"/>
        </w:rPr>
        <w:t> </w:t>
      </w:r>
      <w:r>
        <w:rPr>
          <w:spacing w:val="-2"/>
          <w:w w:val="100"/>
          <w:sz w:val="21"/>
        </w:rPr>
        <w:t>t</w:t>
      </w:r>
      <w:r>
        <w:rPr>
          <w:spacing w:val="-1"/>
          <w:w w:val="100"/>
          <w:sz w:val="21"/>
        </w:rPr>
        <w:t>h</w:t>
      </w:r>
      <w:r>
        <w:rPr>
          <w:w w:val="100"/>
          <w:sz w:val="21"/>
        </w:rPr>
        <w:t>e</w:t>
      </w:r>
      <w:r>
        <w:rPr>
          <w:sz w:val="21"/>
        </w:rPr>
        <w:t> </w:t>
      </w:r>
      <w:r>
        <w:rPr>
          <w:spacing w:val="-1"/>
          <w:w w:val="100"/>
          <w:sz w:val="21"/>
        </w:rPr>
        <w:t>Mu</w:t>
      </w:r>
      <w:r>
        <w:rPr>
          <w:spacing w:val="-3"/>
          <w:w w:val="100"/>
          <w:sz w:val="21"/>
        </w:rPr>
        <w:t>s</w:t>
      </w:r>
      <w:r>
        <w:rPr>
          <w:w w:val="100"/>
          <w:sz w:val="21"/>
        </w:rPr>
        <w:t>l</w:t>
      </w:r>
      <w:r>
        <w:rPr>
          <w:spacing w:val="-2"/>
          <w:w w:val="100"/>
          <w:sz w:val="21"/>
        </w:rPr>
        <w:t>i</w:t>
      </w:r>
      <w:r>
        <w:rPr>
          <w:w w:val="100"/>
          <w:sz w:val="21"/>
        </w:rPr>
        <w:t>m</w:t>
      </w:r>
      <w:r>
        <w:rPr>
          <w:sz w:val="21"/>
        </w:rPr>
        <w:t> </w:t>
      </w:r>
      <w:r>
        <w:rPr>
          <w:spacing w:val="-1"/>
          <w:w w:val="100"/>
          <w:sz w:val="21"/>
        </w:rPr>
        <w:t>pe</w:t>
      </w:r>
      <w:r>
        <w:rPr>
          <w:spacing w:val="-2"/>
          <w:w w:val="100"/>
          <w:sz w:val="21"/>
        </w:rPr>
        <w:t>o</w:t>
      </w:r>
      <w:r>
        <w:rPr>
          <w:spacing w:val="-1"/>
          <w:w w:val="100"/>
          <w:sz w:val="21"/>
        </w:rPr>
        <w:t>p</w:t>
      </w:r>
      <w:r>
        <w:rPr>
          <w:spacing w:val="-2"/>
          <w:w w:val="100"/>
          <w:sz w:val="21"/>
        </w:rPr>
        <w:t>l</w:t>
      </w:r>
      <w:r>
        <w:rPr>
          <w:w w:val="100"/>
          <w:sz w:val="21"/>
        </w:rPr>
        <w:t>e</w:t>
      </w:r>
      <w:r>
        <w:rPr>
          <w:sz w:val="21"/>
        </w:rPr>
        <w:t> </w:t>
      </w:r>
      <w:r>
        <w:rPr>
          <w:spacing w:val="-1"/>
          <w:w w:val="100"/>
          <w:sz w:val="21"/>
        </w:rPr>
        <w:t>d</w:t>
      </w:r>
      <w:r>
        <w:rPr>
          <w:w w:val="100"/>
          <w:sz w:val="21"/>
        </w:rPr>
        <w:t>o</w:t>
      </w:r>
      <w:r>
        <w:rPr>
          <w:sz w:val="21"/>
        </w:rPr>
        <w:t> </w:t>
      </w:r>
      <w:r>
        <w:rPr>
          <w:spacing w:val="-1"/>
          <w:w w:val="100"/>
          <w:sz w:val="21"/>
        </w:rPr>
        <w:t>no</w:t>
      </w:r>
      <w:r>
        <w:rPr>
          <w:w w:val="100"/>
          <w:sz w:val="21"/>
        </w:rPr>
        <w:t>t</w:t>
      </w:r>
      <w:r>
        <w:rPr>
          <w:sz w:val="21"/>
        </w:rPr>
        <w:t> </w:t>
      </w:r>
      <w:r>
        <w:rPr>
          <w:spacing w:val="-1"/>
          <w:w w:val="100"/>
          <w:sz w:val="21"/>
        </w:rPr>
        <w:t>bel</w:t>
      </w:r>
      <w:r>
        <w:rPr>
          <w:w w:val="100"/>
          <w:sz w:val="21"/>
        </w:rPr>
        <w:t>i</w:t>
      </w:r>
      <w:r>
        <w:rPr>
          <w:spacing w:val="-1"/>
          <w:w w:val="100"/>
          <w:sz w:val="21"/>
        </w:rPr>
        <w:t>e</w:t>
      </w:r>
      <w:r>
        <w:rPr>
          <w:spacing w:val="-3"/>
          <w:w w:val="100"/>
          <w:sz w:val="21"/>
        </w:rPr>
        <w:t>v</w:t>
      </w:r>
      <w:r>
        <w:rPr>
          <w:w w:val="100"/>
          <w:sz w:val="21"/>
        </w:rPr>
        <w:t>e</w:t>
      </w:r>
      <w:r>
        <w:rPr>
          <w:sz w:val="21"/>
        </w:rPr>
        <w:t> </w:t>
      </w:r>
      <w:r>
        <w:rPr>
          <w:spacing w:val="-2"/>
          <w:w w:val="100"/>
          <w:sz w:val="21"/>
        </w:rPr>
        <w:t>i</w:t>
      </w:r>
      <w:r>
        <w:rPr>
          <w:w w:val="100"/>
          <w:sz w:val="21"/>
        </w:rPr>
        <w:t>n </w:t>
      </w:r>
      <w:r>
        <w:rPr>
          <w:sz w:val="21"/>
        </w:rPr>
        <w:t>the idol worship, hence there is no question of associating terracotta figurine with the Muslim culture. So far I know and my knowledge goes, the question of terracotta figurine to be associated with Muslim culture does not arise‖.</w:t>
      </w:r>
    </w:p>
    <w:p>
      <w:pPr>
        <w:spacing w:line="276" w:lineRule="auto" w:before="0"/>
        <w:ind w:left="1940" w:right="2264" w:firstLine="0"/>
        <w:jc w:val="both"/>
        <w:rPr>
          <w:sz w:val="21"/>
        </w:rPr>
      </w:pPr>
      <w:r>
        <w:rPr>
          <w:w w:val="33"/>
          <w:sz w:val="21"/>
        </w:rPr>
        <w:t>―</w:t>
      </w:r>
      <w:r>
        <w:rPr>
          <w:w w:val="100"/>
          <w:sz w:val="21"/>
        </w:rPr>
        <w:t>It</w:t>
      </w:r>
      <w:r>
        <w:rPr>
          <w:sz w:val="21"/>
        </w:rPr>
        <w:t> </w:t>
      </w:r>
      <w:r>
        <w:rPr>
          <w:w w:val="100"/>
          <w:sz w:val="21"/>
        </w:rPr>
        <w:t>is</w:t>
      </w:r>
      <w:r>
        <w:rPr>
          <w:sz w:val="21"/>
        </w:rPr>
        <w:t> </w:t>
      </w:r>
      <w:r>
        <w:rPr>
          <w:w w:val="100"/>
          <w:sz w:val="21"/>
        </w:rPr>
        <w:t>true</w:t>
      </w:r>
      <w:r>
        <w:rPr>
          <w:sz w:val="21"/>
        </w:rPr>
        <w:t> </w:t>
      </w:r>
      <w:r>
        <w:rPr>
          <w:w w:val="100"/>
          <w:sz w:val="21"/>
        </w:rPr>
        <w:t>that</w:t>
      </w:r>
      <w:r>
        <w:rPr>
          <w:sz w:val="21"/>
        </w:rPr>
        <w:t> </w:t>
      </w:r>
      <w:r>
        <w:rPr>
          <w:w w:val="100"/>
          <w:sz w:val="21"/>
        </w:rPr>
        <w:t>such</w:t>
      </w:r>
      <w:r>
        <w:rPr>
          <w:sz w:val="21"/>
        </w:rPr>
        <w:t> </w:t>
      </w:r>
      <w:r>
        <w:rPr>
          <w:w w:val="100"/>
          <w:sz w:val="21"/>
        </w:rPr>
        <w:t>animal</w:t>
      </w:r>
      <w:r>
        <w:rPr>
          <w:sz w:val="21"/>
        </w:rPr>
        <w:t> </w:t>
      </w:r>
      <w:r>
        <w:rPr>
          <w:w w:val="100"/>
          <w:sz w:val="21"/>
        </w:rPr>
        <w:t>figurines</w:t>
      </w:r>
      <w:r>
        <w:rPr>
          <w:sz w:val="21"/>
        </w:rPr>
        <w:t> </w:t>
      </w:r>
      <w:r>
        <w:rPr>
          <w:w w:val="100"/>
          <w:sz w:val="21"/>
        </w:rPr>
        <w:t>are</w:t>
      </w:r>
      <w:r>
        <w:rPr>
          <w:sz w:val="21"/>
        </w:rPr>
        <w:t> </w:t>
      </w:r>
      <w:r>
        <w:rPr>
          <w:w w:val="100"/>
          <w:sz w:val="21"/>
        </w:rPr>
        <w:t>not</w:t>
      </w:r>
      <w:r>
        <w:rPr>
          <w:sz w:val="21"/>
        </w:rPr>
        <w:t> </w:t>
      </w:r>
      <w:r>
        <w:rPr>
          <w:w w:val="100"/>
          <w:sz w:val="21"/>
        </w:rPr>
        <w:t>allowed</w:t>
      </w:r>
      <w:r>
        <w:rPr>
          <w:sz w:val="21"/>
        </w:rPr>
        <w:t> </w:t>
      </w:r>
      <w:r>
        <w:rPr>
          <w:w w:val="100"/>
          <w:sz w:val="21"/>
        </w:rPr>
        <w:t>to</w:t>
      </w:r>
      <w:r>
        <w:rPr>
          <w:sz w:val="21"/>
        </w:rPr>
        <w:t> </w:t>
      </w:r>
      <w:r>
        <w:rPr>
          <w:w w:val="100"/>
          <w:sz w:val="21"/>
        </w:rPr>
        <w:t>be</w:t>
      </w:r>
      <w:r>
        <w:rPr>
          <w:sz w:val="21"/>
        </w:rPr>
        <w:t> </w:t>
      </w:r>
      <w:r>
        <w:rPr>
          <w:w w:val="100"/>
          <w:sz w:val="21"/>
        </w:rPr>
        <w:t>kept </w:t>
      </w:r>
      <w:r>
        <w:rPr>
          <w:sz w:val="21"/>
        </w:rPr>
        <w:t>in the mosque.‖</w:t>
      </w:r>
    </w:p>
    <w:p>
      <w:pPr>
        <w:spacing w:line="276" w:lineRule="auto" w:before="0"/>
        <w:ind w:left="1940" w:right="2262" w:firstLine="0"/>
        <w:jc w:val="both"/>
        <w:rPr>
          <w:sz w:val="21"/>
        </w:rPr>
      </w:pPr>
      <w:r>
        <w:rPr>
          <w:spacing w:val="-1"/>
          <w:w w:val="33"/>
          <w:sz w:val="21"/>
        </w:rPr>
        <w:t>―</w:t>
      </w:r>
      <w:r>
        <w:rPr>
          <w:spacing w:val="-1"/>
          <w:w w:val="100"/>
          <w:sz w:val="21"/>
        </w:rPr>
        <w:t>M</w:t>
      </w:r>
      <w:r>
        <w:rPr>
          <w:spacing w:val="-3"/>
          <w:w w:val="100"/>
          <w:sz w:val="21"/>
        </w:rPr>
        <w:t>a</w:t>
      </w:r>
      <w:r>
        <w:rPr>
          <w:spacing w:val="2"/>
          <w:w w:val="100"/>
          <w:sz w:val="21"/>
        </w:rPr>
        <w:t>k</w:t>
      </w:r>
      <w:r>
        <w:rPr>
          <w:spacing w:val="-1"/>
          <w:w w:val="100"/>
          <w:sz w:val="21"/>
        </w:rPr>
        <w:t>a</w:t>
      </w:r>
      <w:r>
        <w:rPr>
          <w:w w:val="100"/>
          <w:sz w:val="21"/>
        </w:rPr>
        <w:t>r</w:t>
      </w:r>
      <w:r>
        <w:rPr>
          <w:sz w:val="21"/>
        </w:rPr>
        <w:t> </w:t>
      </w:r>
      <w:r>
        <w:rPr>
          <w:spacing w:val="24"/>
          <w:sz w:val="21"/>
        </w:rPr>
        <w:t> </w:t>
      </w:r>
      <w:r>
        <w:rPr>
          <w:w w:val="100"/>
          <w:sz w:val="21"/>
        </w:rPr>
        <w:t>P</w:t>
      </w:r>
      <w:r>
        <w:rPr>
          <w:spacing w:val="-1"/>
          <w:w w:val="100"/>
          <w:sz w:val="21"/>
        </w:rPr>
        <w:t>r</w:t>
      </w:r>
      <w:r>
        <w:rPr>
          <w:spacing w:val="-3"/>
          <w:w w:val="100"/>
          <w:sz w:val="21"/>
        </w:rPr>
        <w:t>a</w:t>
      </w:r>
      <w:r>
        <w:rPr>
          <w:spacing w:val="-1"/>
          <w:w w:val="100"/>
          <w:sz w:val="21"/>
        </w:rPr>
        <w:t>n</w:t>
      </w:r>
      <w:r>
        <w:rPr>
          <w:spacing w:val="-3"/>
          <w:w w:val="100"/>
          <w:sz w:val="21"/>
        </w:rPr>
        <w:t>a</w:t>
      </w:r>
      <w:r>
        <w:rPr>
          <w:w w:val="100"/>
          <w:sz w:val="21"/>
        </w:rPr>
        <w:t>l</w:t>
      </w:r>
      <w:r>
        <w:rPr>
          <w:sz w:val="21"/>
        </w:rPr>
        <w:t> </w:t>
      </w:r>
      <w:r>
        <w:rPr>
          <w:spacing w:val="25"/>
          <w:sz w:val="21"/>
        </w:rPr>
        <w:t> </w:t>
      </w:r>
      <w:r>
        <w:rPr>
          <w:w w:val="100"/>
          <w:sz w:val="21"/>
        </w:rPr>
        <w:t>is</w:t>
      </w:r>
      <w:r>
        <w:rPr>
          <w:sz w:val="21"/>
        </w:rPr>
        <w:t> </w:t>
      </w:r>
      <w:r>
        <w:rPr>
          <w:spacing w:val="22"/>
          <w:sz w:val="21"/>
        </w:rPr>
        <w:t> </w:t>
      </w:r>
      <w:r>
        <w:rPr>
          <w:spacing w:val="-1"/>
          <w:w w:val="100"/>
          <w:sz w:val="21"/>
        </w:rPr>
        <w:t>on</w:t>
      </w:r>
      <w:r>
        <w:rPr>
          <w:w w:val="100"/>
          <w:sz w:val="21"/>
        </w:rPr>
        <w:t>e</w:t>
      </w:r>
      <w:r>
        <w:rPr>
          <w:sz w:val="21"/>
        </w:rPr>
        <w:t> </w:t>
      </w:r>
      <w:r>
        <w:rPr>
          <w:spacing w:val="22"/>
          <w:sz w:val="21"/>
        </w:rPr>
        <w:t> </w:t>
      </w:r>
      <w:r>
        <w:rPr>
          <w:spacing w:val="-3"/>
          <w:w w:val="100"/>
          <w:sz w:val="21"/>
        </w:rPr>
        <w:t>o</w:t>
      </w:r>
      <w:r>
        <w:rPr>
          <w:w w:val="100"/>
          <w:sz w:val="21"/>
        </w:rPr>
        <w:t>f</w:t>
      </w:r>
      <w:r>
        <w:rPr>
          <w:sz w:val="21"/>
        </w:rPr>
        <w:t> </w:t>
      </w:r>
      <w:r>
        <w:rPr>
          <w:spacing w:val="25"/>
          <w:sz w:val="21"/>
        </w:rPr>
        <w:t> </w:t>
      </w:r>
      <w:r>
        <w:rPr>
          <w:spacing w:val="-2"/>
          <w:w w:val="100"/>
          <w:sz w:val="21"/>
        </w:rPr>
        <w:t>t</w:t>
      </w:r>
      <w:r>
        <w:rPr>
          <w:spacing w:val="-1"/>
          <w:w w:val="100"/>
          <w:sz w:val="21"/>
        </w:rPr>
        <w:t>h</w:t>
      </w:r>
      <w:r>
        <w:rPr>
          <w:w w:val="100"/>
          <w:sz w:val="21"/>
        </w:rPr>
        <w:t>e</w:t>
      </w:r>
      <w:r>
        <w:rPr>
          <w:sz w:val="21"/>
        </w:rPr>
        <w:t> </w:t>
      </w:r>
      <w:r>
        <w:rPr>
          <w:spacing w:val="24"/>
          <w:sz w:val="21"/>
        </w:rPr>
        <w:t> </w:t>
      </w:r>
      <w:r>
        <w:rPr>
          <w:spacing w:val="-3"/>
          <w:w w:val="100"/>
          <w:sz w:val="21"/>
        </w:rPr>
        <w:t>p</w:t>
      </w:r>
      <w:r>
        <w:rPr>
          <w:spacing w:val="-1"/>
          <w:w w:val="100"/>
          <w:sz w:val="21"/>
        </w:rPr>
        <w:t>ar</w:t>
      </w:r>
      <w:r>
        <w:rPr>
          <w:spacing w:val="-2"/>
          <w:w w:val="100"/>
          <w:sz w:val="21"/>
        </w:rPr>
        <w:t>t</w:t>
      </w:r>
      <w:r>
        <w:rPr>
          <w:w w:val="100"/>
          <w:sz w:val="21"/>
        </w:rPr>
        <w:t>s</w:t>
      </w:r>
      <w:r>
        <w:rPr>
          <w:sz w:val="21"/>
        </w:rPr>
        <w:t> </w:t>
      </w:r>
      <w:r>
        <w:rPr>
          <w:spacing w:val="24"/>
          <w:sz w:val="21"/>
        </w:rPr>
        <w:t> </w:t>
      </w:r>
      <w:r>
        <w:rPr>
          <w:spacing w:val="-1"/>
          <w:w w:val="100"/>
          <w:sz w:val="21"/>
        </w:rPr>
        <w:t>o</w:t>
      </w:r>
      <w:r>
        <w:rPr>
          <w:w w:val="100"/>
          <w:sz w:val="21"/>
        </w:rPr>
        <w:t>f</w:t>
      </w:r>
      <w:r>
        <w:rPr>
          <w:sz w:val="21"/>
        </w:rPr>
        <w:t> </w:t>
      </w:r>
      <w:r>
        <w:rPr>
          <w:spacing w:val="25"/>
          <w:sz w:val="21"/>
        </w:rPr>
        <w:t> </w:t>
      </w:r>
      <w:r>
        <w:rPr>
          <w:spacing w:val="-2"/>
          <w:w w:val="100"/>
          <w:sz w:val="21"/>
        </w:rPr>
        <w:t>t</w:t>
      </w:r>
      <w:r>
        <w:rPr>
          <w:spacing w:val="-3"/>
          <w:w w:val="100"/>
          <w:sz w:val="21"/>
        </w:rPr>
        <w:t>h</w:t>
      </w:r>
      <w:r>
        <w:rPr>
          <w:w w:val="100"/>
          <w:sz w:val="21"/>
        </w:rPr>
        <w:t>e</w:t>
      </w:r>
      <w:r>
        <w:rPr>
          <w:sz w:val="21"/>
        </w:rPr>
        <w:t> </w:t>
      </w:r>
      <w:r>
        <w:rPr>
          <w:spacing w:val="24"/>
          <w:sz w:val="21"/>
        </w:rPr>
        <w:t> </w:t>
      </w:r>
      <w:r>
        <w:rPr>
          <w:spacing w:val="-2"/>
          <w:w w:val="100"/>
          <w:sz w:val="21"/>
        </w:rPr>
        <w:t>H</w:t>
      </w:r>
      <w:r>
        <w:rPr>
          <w:w w:val="100"/>
          <w:sz w:val="21"/>
        </w:rPr>
        <w:t>i</w:t>
      </w:r>
      <w:r>
        <w:rPr>
          <w:spacing w:val="-3"/>
          <w:w w:val="100"/>
          <w:sz w:val="21"/>
        </w:rPr>
        <w:t>nd</w:t>
      </w:r>
      <w:r>
        <w:rPr>
          <w:w w:val="100"/>
          <w:sz w:val="21"/>
        </w:rPr>
        <w:t>u</w:t>
      </w:r>
      <w:r>
        <w:rPr>
          <w:sz w:val="21"/>
        </w:rPr>
        <w:t> </w:t>
      </w:r>
      <w:r>
        <w:rPr>
          <w:spacing w:val="24"/>
          <w:sz w:val="21"/>
        </w:rPr>
        <w:t> </w:t>
      </w:r>
      <w:r>
        <w:rPr>
          <w:spacing w:val="-2"/>
          <w:w w:val="100"/>
          <w:sz w:val="21"/>
        </w:rPr>
        <w:t>t</w:t>
      </w:r>
      <w:r>
        <w:rPr>
          <w:spacing w:val="-1"/>
          <w:w w:val="100"/>
          <w:sz w:val="21"/>
        </w:rPr>
        <w:t>emp</w:t>
      </w:r>
      <w:r>
        <w:rPr>
          <w:spacing w:val="-2"/>
          <w:w w:val="100"/>
          <w:sz w:val="21"/>
        </w:rPr>
        <w:t>l</w:t>
      </w:r>
      <w:r>
        <w:rPr>
          <w:w w:val="100"/>
          <w:sz w:val="21"/>
        </w:rPr>
        <w:t>e </w:t>
      </w:r>
      <w:r>
        <w:rPr>
          <w:sz w:val="21"/>
        </w:rPr>
        <w:t>architecture. I am not very sure whether Makar Pranal has any association with mosque or not. I have not seen any mosque having any Makar Pranal in</w:t>
      </w:r>
      <w:r>
        <w:rPr>
          <w:spacing w:val="-12"/>
          <w:sz w:val="21"/>
        </w:rPr>
        <w:t> </w:t>
      </w:r>
      <w:r>
        <w:rPr>
          <w:sz w:val="21"/>
        </w:rPr>
        <w:t>it.‖</w:t>
      </w:r>
    </w:p>
    <w:p>
      <w:pPr>
        <w:spacing w:after="0" w:line="276" w:lineRule="auto"/>
        <w:jc w:val="both"/>
        <w:rPr>
          <w:sz w:val="21"/>
        </w:rPr>
        <w:sectPr>
          <w:pgSz w:w="11910" w:h="16840"/>
          <w:pgMar w:header="721" w:footer="1014" w:top="1300" w:bottom="1200" w:left="940" w:right="1000"/>
        </w:sectPr>
      </w:pPr>
    </w:p>
    <w:p>
      <w:pPr>
        <w:pStyle w:val="Heading5"/>
        <w:numPr>
          <w:ilvl w:val="0"/>
          <w:numId w:val="144"/>
        </w:numPr>
        <w:tabs>
          <w:tab w:pos="919" w:val="left" w:leader="none"/>
        </w:tabs>
        <w:spacing w:line="240" w:lineRule="auto" w:before="121" w:after="0"/>
        <w:ind w:left="918" w:right="0" w:hanging="419"/>
        <w:jc w:val="left"/>
      </w:pPr>
      <w:r>
        <w:rPr/>
        <w:t>Dr Supriya Verma</w:t>
      </w:r>
      <w:r>
        <w:rPr>
          <w:spacing w:val="-2"/>
        </w:rPr>
        <w:t> </w:t>
      </w:r>
      <w:r>
        <w:rPr/>
        <w:t>(PW-32)</w:t>
      </w:r>
    </w:p>
    <w:p>
      <w:pPr>
        <w:pStyle w:val="BodyText"/>
        <w:spacing w:before="6"/>
        <w:rPr>
          <w:b/>
          <w:sz w:val="37"/>
        </w:rPr>
      </w:pPr>
    </w:p>
    <w:p>
      <w:pPr>
        <w:spacing w:line="276" w:lineRule="auto" w:before="0"/>
        <w:ind w:left="1940" w:right="2265" w:firstLine="0"/>
        <w:jc w:val="both"/>
        <w:rPr>
          <w:sz w:val="21"/>
        </w:rPr>
      </w:pPr>
      <w:r>
        <w:rPr>
          <w:w w:val="33"/>
          <w:sz w:val="21"/>
        </w:rPr>
        <w:t>―</w:t>
      </w:r>
      <w:r>
        <w:rPr>
          <w:w w:val="100"/>
          <w:sz w:val="21"/>
        </w:rPr>
        <w:t>I</w:t>
      </w:r>
      <w:r>
        <w:rPr>
          <w:sz w:val="21"/>
        </w:rPr>
        <w:t>  </w:t>
      </w:r>
      <w:r>
        <w:rPr>
          <w:w w:val="100"/>
          <w:sz w:val="21"/>
        </w:rPr>
        <w:t>have</w:t>
      </w:r>
      <w:r>
        <w:rPr>
          <w:sz w:val="21"/>
        </w:rPr>
        <w:t>  </w:t>
      </w:r>
      <w:r>
        <w:rPr>
          <w:w w:val="100"/>
          <w:sz w:val="21"/>
        </w:rPr>
        <w:t>heard</w:t>
      </w:r>
      <w:r>
        <w:rPr>
          <w:sz w:val="21"/>
        </w:rPr>
        <w:t>  </w:t>
      </w:r>
      <w:r>
        <w:rPr>
          <w:w w:val="100"/>
          <w:sz w:val="21"/>
        </w:rPr>
        <w:t>the</w:t>
      </w:r>
      <w:r>
        <w:rPr>
          <w:sz w:val="21"/>
        </w:rPr>
        <w:t>  </w:t>
      </w:r>
      <w:r>
        <w:rPr>
          <w:w w:val="100"/>
          <w:sz w:val="21"/>
        </w:rPr>
        <w:t>word</w:t>
      </w:r>
      <w:r>
        <w:rPr>
          <w:sz w:val="21"/>
        </w:rPr>
        <w:t>  </w:t>
      </w:r>
      <w:r>
        <w:rPr>
          <w:w w:val="40"/>
          <w:sz w:val="21"/>
        </w:rPr>
        <w:t>‗</w:t>
      </w:r>
      <w:r>
        <w:rPr>
          <w:w w:val="100"/>
          <w:sz w:val="21"/>
        </w:rPr>
        <w:t>Kalash‘.</w:t>
      </w:r>
      <w:r>
        <w:rPr>
          <w:sz w:val="21"/>
        </w:rPr>
        <w:t>  </w:t>
      </w:r>
      <w:r>
        <w:rPr>
          <w:w w:val="100"/>
          <w:sz w:val="21"/>
        </w:rPr>
        <w:t>Kalash</w:t>
      </w:r>
      <w:r>
        <w:rPr>
          <w:sz w:val="21"/>
        </w:rPr>
        <w:t>  </w:t>
      </w:r>
      <w:r>
        <w:rPr>
          <w:w w:val="100"/>
          <w:sz w:val="21"/>
        </w:rPr>
        <w:t>is</w:t>
      </w:r>
      <w:r>
        <w:rPr>
          <w:sz w:val="21"/>
        </w:rPr>
        <w:t>  </w:t>
      </w:r>
      <w:r>
        <w:rPr>
          <w:w w:val="100"/>
          <w:sz w:val="21"/>
        </w:rPr>
        <w:t>not</w:t>
      </w:r>
      <w:r>
        <w:rPr>
          <w:sz w:val="21"/>
        </w:rPr>
        <w:t>  </w:t>
      </w:r>
      <w:r>
        <w:rPr>
          <w:w w:val="100"/>
          <w:sz w:val="21"/>
        </w:rPr>
        <w:t>found</w:t>
      </w:r>
      <w:r>
        <w:rPr>
          <w:sz w:val="21"/>
        </w:rPr>
        <w:t>  </w:t>
      </w:r>
      <w:r>
        <w:rPr>
          <w:w w:val="100"/>
          <w:sz w:val="21"/>
        </w:rPr>
        <w:t>in </w:t>
      </w:r>
      <w:r>
        <w:rPr>
          <w:sz w:val="21"/>
        </w:rPr>
        <w:t>mosque…‖</w:t>
      </w:r>
    </w:p>
    <w:p>
      <w:pPr>
        <w:spacing w:line="276" w:lineRule="auto" w:before="2"/>
        <w:ind w:left="1940" w:right="2263" w:firstLine="0"/>
        <w:jc w:val="both"/>
        <w:rPr>
          <w:sz w:val="21"/>
        </w:rPr>
      </w:pPr>
      <w:r>
        <w:rPr>
          <w:spacing w:val="-6"/>
          <w:w w:val="33"/>
          <w:sz w:val="21"/>
        </w:rPr>
        <w:t>―</w:t>
      </w:r>
      <w:r>
        <w:rPr>
          <w:spacing w:val="6"/>
          <w:w w:val="100"/>
          <w:sz w:val="21"/>
        </w:rPr>
        <w:t>W</w:t>
      </w:r>
      <w:r>
        <w:rPr>
          <w:spacing w:val="-3"/>
          <w:w w:val="100"/>
          <w:sz w:val="21"/>
        </w:rPr>
        <w:t>a</w:t>
      </w:r>
      <w:r>
        <w:rPr>
          <w:spacing w:val="-2"/>
          <w:w w:val="100"/>
          <w:sz w:val="21"/>
        </w:rPr>
        <w:t>l</w:t>
      </w:r>
      <w:r>
        <w:rPr>
          <w:w w:val="100"/>
          <w:sz w:val="21"/>
        </w:rPr>
        <w:t>l</w:t>
      </w:r>
      <w:r>
        <w:rPr>
          <w:spacing w:val="2"/>
          <w:sz w:val="21"/>
        </w:rPr>
        <w:t> </w:t>
      </w:r>
      <w:r>
        <w:rPr>
          <w:w w:val="100"/>
          <w:sz w:val="21"/>
        </w:rPr>
        <w:t>N</w:t>
      </w:r>
      <w:r>
        <w:rPr>
          <w:spacing w:val="-1"/>
          <w:w w:val="100"/>
          <w:sz w:val="21"/>
        </w:rPr>
        <w:t>o</w:t>
      </w:r>
      <w:r>
        <w:rPr>
          <w:w w:val="100"/>
          <w:sz w:val="21"/>
        </w:rPr>
        <w:t>.</w:t>
      </w:r>
      <w:r>
        <w:rPr>
          <w:spacing w:val="2"/>
          <w:sz w:val="21"/>
        </w:rPr>
        <w:t> </w:t>
      </w:r>
      <w:r>
        <w:rPr>
          <w:spacing w:val="-1"/>
          <w:w w:val="100"/>
          <w:sz w:val="21"/>
        </w:rPr>
        <w:t>16</w:t>
      </w:r>
      <w:r>
        <w:rPr>
          <w:w w:val="100"/>
          <w:sz w:val="21"/>
        </w:rPr>
        <w:t>,</w:t>
      </w:r>
      <w:r>
        <w:rPr>
          <w:spacing w:val="2"/>
          <w:sz w:val="21"/>
        </w:rPr>
        <w:t> </w:t>
      </w:r>
      <w:r>
        <w:rPr>
          <w:spacing w:val="-1"/>
          <w:w w:val="100"/>
          <w:sz w:val="21"/>
        </w:rPr>
        <w:t>a</w:t>
      </w:r>
      <w:r>
        <w:rPr>
          <w:spacing w:val="-3"/>
          <w:w w:val="100"/>
          <w:sz w:val="21"/>
        </w:rPr>
        <w:t>c</w:t>
      </w:r>
      <w:r>
        <w:rPr>
          <w:w w:val="100"/>
          <w:sz w:val="21"/>
        </w:rPr>
        <w:t>cor</w:t>
      </w:r>
      <w:r>
        <w:rPr>
          <w:spacing w:val="-3"/>
          <w:w w:val="100"/>
          <w:sz w:val="21"/>
        </w:rPr>
        <w:t>d</w:t>
      </w:r>
      <w:r>
        <w:rPr>
          <w:w w:val="100"/>
          <w:sz w:val="21"/>
        </w:rPr>
        <w:t>i</w:t>
      </w:r>
      <w:r>
        <w:rPr>
          <w:spacing w:val="-1"/>
          <w:w w:val="100"/>
          <w:sz w:val="21"/>
        </w:rPr>
        <w:t>n</w:t>
      </w:r>
      <w:r>
        <w:rPr>
          <w:w w:val="100"/>
          <w:sz w:val="21"/>
        </w:rPr>
        <w:t>g</w:t>
      </w:r>
      <w:r>
        <w:rPr>
          <w:spacing w:val="4"/>
          <w:sz w:val="21"/>
        </w:rPr>
        <w:t> </w:t>
      </w:r>
      <w:r>
        <w:rPr>
          <w:spacing w:val="-4"/>
          <w:w w:val="100"/>
          <w:sz w:val="21"/>
        </w:rPr>
        <w:t>t</w:t>
      </w:r>
      <w:r>
        <w:rPr>
          <w:w w:val="100"/>
          <w:sz w:val="21"/>
        </w:rPr>
        <w:t>o</w:t>
      </w:r>
      <w:r>
        <w:rPr>
          <w:spacing w:val="1"/>
          <w:sz w:val="21"/>
        </w:rPr>
        <w:t> </w:t>
      </w:r>
      <w:r>
        <w:rPr>
          <w:spacing w:val="1"/>
          <w:w w:val="100"/>
          <w:sz w:val="21"/>
        </w:rPr>
        <w:t>m</w:t>
      </w:r>
      <w:r>
        <w:rPr>
          <w:spacing w:val="-1"/>
          <w:w w:val="100"/>
          <w:sz w:val="21"/>
        </w:rPr>
        <w:t>e</w:t>
      </w:r>
      <w:r>
        <w:rPr>
          <w:w w:val="100"/>
          <w:sz w:val="21"/>
        </w:rPr>
        <w:t>,</w:t>
      </w:r>
      <w:r>
        <w:rPr>
          <w:spacing w:val="2"/>
          <w:sz w:val="21"/>
        </w:rPr>
        <w:t> </w:t>
      </w:r>
      <w:r>
        <w:rPr>
          <w:spacing w:val="-2"/>
          <w:w w:val="100"/>
          <w:sz w:val="21"/>
        </w:rPr>
        <w:t>w</w:t>
      </w:r>
      <w:r>
        <w:rPr>
          <w:spacing w:val="-3"/>
          <w:w w:val="100"/>
          <w:sz w:val="21"/>
        </w:rPr>
        <w:t>a</w:t>
      </w:r>
      <w:r>
        <w:rPr>
          <w:w w:val="100"/>
          <w:sz w:val="21"/>
        </w:rPr>
        <w:t>s</w:t>
      </w:r>
      <w:r>
        <w:rPr>
          <w:spacing w:val="3"/>
          <w:sz w:val="21"/>
        </w:rPr>
        <w:t> </w:t>
      </w:r>
      <w:r>
        <w:rPr>
          <w:spacing w:val="-1"/>
          <w:w w:val="100"/>
          <w:sz w:val="21"/>
        </w:rPr>
        <w:t>us</w:t>
      </w:r>
      <w:r>
        <w:rPr>
          <w:spacing w:val="-3"/>
          <w:w w:val="100"/>
          <w:sz w:val="21"/>
        </w:rPr>
        <w:t>e</w:t>
      </w:r>
      <w:r>
        <w:rPr>
          <w:w w:val="100"/>
          <w:sz w:val="21"/>
        </w:rPr>
        <w:t>d</w:t>
      </w:r>
      <w:r>
        <w:rPr>
          <w:spacing w:val="3"/>
          <w:sz w:val="21"/>
        </w:rPr>
        <w:t> </w:t>
      </w:r>
      <w:r>
        <w:rPr>
          <w:spacing w:val="-1"/>
          <w:w w:val="100"/>
          <w:sz w:val="21"/>
        </w:rPr>
        <w:t>a</w:t>
      </w:r>
      <w:r>
        <w:rPr>
          <w:w w:val="100"/>
          <w:sz w:val="21"/>
        </w:rPr>
        <w:t>s</w:t>
      </w:r>
      <w:r>
        <w:rPr>
          <w:spacing w:val="1"/>
          <w:sz w:val="21"/>
        </w:rPr>
        <w:t> </w:t>
      </w:r>
      <w:r>
        <w:rPr>
          <w:w w:val="100"/>
          <w:sz w:val="21"/>
        </w:rPr>
        <w:t>a</w:t>
      </w:r>
      <w:r>
        <w:rPr>
          <w:spacing w:val="3"/>
          <w:sz w:val="21"/>
        </w:rPr>
        <w:t> </w:t>
      </w:r>
      <w:r>
        <w:rPr>
          <w:spacing w:val="-2"/>
          <w:w w:val="100"/>
          <w:sz w:val="21"/>
        </w:rPr>
        <w:t>w</w:t>
      </w:r>
      <w:r>
        <w:rPr>
          <w:spacing w:val="-1"/>
          <w:w w:val="100"/>
          <w:sz w:val="21"/>
        </w:rPr>
        <w:t>a</w:t>
      </w:r>
      <w:r>
        <w:rPr>
          <w:spacing w:val="-2"/>
          <w:w w:val="100"/>
          <w:sz w:val="21"/>
        </w:rPr>
        <w:t>l</w:t>
      </w:r>
      <w:r>
        <w:rPr>
          <w:w w:val="100"/>
          <w:sz w:val="21"/>
        </w:rPr>
        <w:t>l</w:t>
      </w:r>
      <w:r>
        <w:rPr>
          <w:spacing w:val="4"/>
          <w:sz w:val="21"/>
        </w:rPr>
        <w:t> </w:t>
      </w:r>
      <w:r>
        <w:rPr>
          <w:spacing w:val="-3"/>
          <w:w w:val="100"/>
          <w:sz w:val="21"/>
        </w:rPr>
        <w:t>p</w:t>
      </w:r>
      <w:r>
        <w:rPr>
          <w:spacing w:val="-1"/>
          <w:w w:val="100"/>
          <w:sz w:val="21"/>
        </w:rPr>
        <w:t>r</w:t>
      </w:r>
      <w:r>
        <w:rPr>
          <w:w w:val="100"/>
          <w:sz w:val="21"/>
        </w:rPr>
        <w:t>i</w:t>
      </w:r>
      <w:r>
        <w:rPr>
          <w:spacing w:val="-1"/>
          <w:w w:val="100"/>
          <w:sz w:val="21"/>
        </w:rPr>
        <w:t>o</w:t>
      </w:r>
      <w:r>
        <w:rPr>
          <w:w w:val="100"/>
          <w:sz w:val="21"/>
        </w:rPr>
        <w:t>r</w:t>
      </w:r>
      <w:r>
        <w:rPr>
          <w:spacing w:val="3"/>
          <w:sz w:val="21"/>
        </w:rPr>
        <w:t> </w:t>
      </w:r>
      <w:r>
        <w:rPr>
          <w:spacing w:val="-2"/>
          <w:w w:val="100"/>
          <w:sz w:val="21"/>
        </w:rPr>
        <w:t>t</w:t>
      </w:r>
      <w:r>
        <w:rPr>
          <w:w w:val="100"/>
          <w:sz w:val="21"/>
        </w:rPr>
        <w:t>o</w:t>
      </w:r>
      <w:r>
        <w:rPr>
          <w:spacing w:val="3"/>
          <w:sz w:val="21"/>
        </w:rPr>
        <w:t> </w:t>
      </w:r>
      <w:r>
        <w:rPr>
          <w:spacing w:val="-2"/>
          <w:w w:val="100"/>
          <w:sz w:val="21"/>
        </w:rPr>
        <w:t>t</w:t>
      </w:r>
      <w:r>
        <w:rPr>
          <w:spacing w:val="-1"/>
          <w:w w:val="100"/>
          <w:sz w:val="21"/>
        </w:rPr>
        <w:t>he </w:t>
      </w:r>
      <w:r>
        <w:rPr>
          <w:sz w:val="21"/>
        </w:rPr>
        <w:t>construction of the disputed structure. In this way, Wall 16 was wall of some other construction which was existing prior to the constriction of the disputed</w:t>
      </w:r>
      <w:r>
        <w:rPr>
          <w:spacing w:val="-11"/>
          <w:sz w:val="21"/>
        </w:rPr>
        <w:t> </w:t>
      </w:r>
      <w:r>
        <w:rPr>
          <w:sz w:val="21"/>
        </w:rPr>
        <w:t>structure.‖</w:t>
      </w:r>
    </w:p>
    <w:p>
      <w:pPr>
        <w:spacing w:line="273" w:lineRule="auto" w:before="0"/>
        <w:ind w:left="1940" w:right="2265" w:firstLine="0"/>
        <w:jc w:val="both"/>
        <w:rPr>
          <w:sz w:val="21"/>
        </w:rPr>
      </w:pPr>
      <w:r>
        <w:rPr>
          <w:spacing w:val="-1"/>
          <w:w w:val="33"/>
          <w:sz w:val="21"/>
        </w:rPr>
        <w:t>―</w:t>
      </w:r>
      <w:r>
        <w:rPr>
          <w:w w:val="100"/>
          <w:sz w:val="21"/>
        </w:rPr>
        <w:t>H</w:t>
      </w:r>
      <w:r>
        <w:rPr>
          <w:spacing w:val="-1"/>
          <w:w w:val="100"/>
          <w:sz w:val="21"/>
        </w:rPr>
        <w:t>o</w:t>
      </w:r>
      <w:r>
        <w:rPr>
          <w:spacing w:val="-2"/>
          <w:w w:val="100"/>
          <w:sz w:val="21"/>
        </w:rPr>
        <w:t>w</w:t>
      </w:r>
      <w:r>
        <w:rPr>
          <w:spacing w:val="-1"/>
          <w:w w:val="100"/>
          <w:sz w:val="21"/>
        </w:rPr>
        <w:t>e</w:t>
      </w:r>
      <w:r>
        <w:rPr>
          <w:spacing w:val="-3"/>
          <w:w w:val="100"/>
          <w:sz w:val="21"/>
        </w:rPr>
        <w:t>v</w:t>
      </w:r>
      <w:r>
        <w:rPr>
          <w:spacing w:val="-1"/>
          <w:w w:val="100"/>
          <w:sz w:val="21"/>
        </w:rPr>
        <w:t>er</w:t>
      </w:r>
      <w:r>
        <w:rPr>
          <w:w w:val="100"/>
          <w:sz w:val="21"/>
        </w:rPr>
        <w:t>,</w:t>
      </w:r>
      <w:r>
        <w:rPr>
          <w:sz w:val="21"/>
        </w:rPr>
        <w:t> </w:t>
      </w:r>
      <w:r>
        <w:rPr>
          <w:w w:val="100"/>
          <w:sz w:val="21"/>
        </w:rPr>
        <w:t>it</w:t>
      </w:r>
      <w:r>
        <w:rPr>
          <w:sz w:val="21"/>
        </w:rPr>
        <w:t> </w:t>
      </w:r>
      <w:r>
        <w:rPr>
          <w:w w:val="100"/>
          <w:sz w:val="21"/>
        </w:rPr>
        <w:t>is</w:t>
      </w:r>
      <w:r>
        <w:rPr>
          <w:sz w:val="21"/>
        </w:rPr>
        <w:t> </w:t>
      </w:r>
      <w:r>
        <w:rPr>
          <w:spacing w:val="-2"/>
          <w:w w:val="100"/>
          <w:sz w:val="21"/>
        </w:rPr>
        <w:t>t</w:t>
      </w:r>
      <w:r>
        <w:rPr>
          <w:spacing w:val="-1"/>
          <w:w w:val="100"/>
          <w:sz w:val="21"/>
        </w:rPr>
        <w:t>ru</w:t>
      </w:r>
      <w:r>
        <w:rPr>
          <w:w w:val="100"/>
          <w:sz w:val="21"/>
        </w:rPr>
        <w:t>e</w:t>
      </w:r>
      <w:r>
        <w:rPr>
          <w:sz w:val="21"/>
        </w:rPr>
        <w:t> </w:t>
      </w:r>
      <w:r>
        <w:rPr>
          <w:spacing w:val="-2"/>
          <w:w w:val="100"/>
          <w:sz w:val="21"/>
        </w:rPr>
        <w:t>t</w:t>
      </w:r>
      <w:r>
        <w:rPr>
          <w:spacing w:val="-3"/>
          <w:w w:val="100"/>
          <w:sz w:val="21"/>
        </w:rPr>
        <w:t>h</w:t>
      </w:r>
      <w:r>
        <w:rPr>
          <w:spacing w:val="-1"/>
          <w:w w:val="100"/>
          <w:sz w:val="21"/>
        </w:rPr>
        <w:t>a</w:t>
      </w:r>
      <w:r>
        <w:rPr>
          <w:w w:val="100"/>
          <w:sz w:val="21"/>
        </w:rPr>
        <w:t>t</w:t>
      </w:r>
      <w:r>
        <w:rPr>
          <w:sz w:val="21"/>
        </w:rPr>
        <w:t> </w:t>
      </w:r>
      <w:r>
        <w:rPr>
          <w:spacing w:val="2"/>
          <w:w w:val="100"/>
          <w:sz w:val="21"/>
        </w:rPr>
        <w:t>W</w:t>
      </w:r>
      <w:r>
        <w:rPr>
          <w:spacing w:val="-1"/>
          <w:w w:val="100"/>
          <w:sz w:val="21"/>
        </w:rPr>
        <w:t>a</w:t>
      </w:r>
      <w:r>
        <w:rPr>
          <w:spacing w:val="1"/>
          <w:w w:val="100"/>
          <w:sz w:val="21"/>
        </w:rPr>
        <w:t>l</w:t>
      </w:r>
      <w:r>
        <w:rPr>
          <w:w w:val="100"/>
          <w:sz w:val="21"/>
        </w:rPr>
        <w:t>l</w:t>
      </w:r>
      <w:r>
        <w:rPr>
          <w:sz w:val="21"/>
        </w:rPr>
        <w:t> </w:t>
      </w:r>
      <w:r>
        <w:rPr>
          <w:w w:val="100"/>
          <w:sz w:val="21"/>
        </w:rPr>
        <w:t>N</w:t>
      </w:r>
      <w:r>
        <w:rPr>
          <w:spacing w:val="-1"/>
          <w:w w:val="100"/>
          <w:sz w:val="21"/>
        </w:rPr>
        <w:t>o</w:t>
      </w:r>
      <w:r>
        <w:rPr>
          <w:w w:val="100"/>
          <w:sz w:val="21"/>
        </w:rPr>
        <w:t>.</w:t>
      </w:r>
      <w:r>
        <w:rPr>
          <w:sz w:val="21"/>
        </w:rPr>
        <w:t> </w:t>
      </w:r>
      <w:r>
        <w:rPr>
          <w:spacing w:val="-1"/>
          <w:w w:val="100"/>
          <w:sz w:val="21"/>
        </w:rPr>
        <w:t>1</w:t>
      </w:r>
      <w:r>
        <w:rPr>
          <w:w w:val="100"/>
          <w:sz w:val="21"/>
        </w:rPr>
        <w:t>7</w:t>
      </w:r>
      <w:r>
        <w:rPr>
          <w:sz w:val="21"/>
        </w:rPr>
        <w:t> </w:t>
      </w:r>
      <w:r>
        <w:rPr>
          <w:spacing w:val="-2"/>
          <w:w w:val="100"/>
          <w:sz w:val="21"/>
        </w:rPr>
        <w:t>w</w:t>
      </w:r>
      <w:r>
        <w:rPr>
          <w:spacing w:val="-3"/>
          <w:w w:val="100"/>
          <w:sz w:val="21"/>
        </w:rPr>
        <w:t>a</w:t>
      </w:r>
      <w:r>
        <w:rPr>
          <w:w w:val="100"/>
          <w:sz w:val="21"/>
        </w:rPr>
        <w:t>s</w:t>
      </w:r>
      <w:r>
        <w:rPr>
          <w:sz w:val="21"/>
        </w:rPr>
        <w:t> </w:t>
      </w:r>
      <w:r>
        <w:rPr>
          <w:spacing w:val="-3"/>
          <w:w w:val="100"/>
          <w:sz w:val="21"/>
        </w:rPr>
        <w:t>c</w:t>
      </w:r>
      <w:r>
        <w:rPr>
          <w:spacing w:val="-1"/>
          <w:w w:val="100"/>
          <w:sz w:val="21"/>
        </w:rPr>
        <w:t>onstruct</w:t>
      </w:r>
      <w:r>
        <w:rPr>
          <w:spacing w:val="-3"/>
          <w:w w:val="100"/>
          <w:sz w:val="21"/>
        </w:rPr>
        <w:t>e</w:t>
      </w:r>
      <w:r>
        <w:rPr>
          <w:w w:val="100"/>
          <w:sz w:val="21"/>
        </w:rPr>
        <w:t>d</w:t>
      </w:r>
      <w:r>
        <w:rPr>
          <w:sz w:val="21"/>
        </w:rPr>
        <w:t> </w:t>
      </w:r>
      <w:r>
        <w:rPr>
          <w:spacing w:val="-1"/>
          <w:w w:val="100"/>
          <w:sz w:val="21"/>
        </w:rPr>
        <w:t>ea</w:t>
      </w:r>
      <w:r>
        <w:rPr>
          <w:spacing w:val="-3"/>
          <w:w w:val="100"/>
          <w:sz w:val="21"/>
        </w:rPr>
        <w:t>r</w:t>
      </w:r>
      <w:r>
        <w:rPr>
          <w:w w:val="100"/>
          <w:sz w:val="21"/>
        </w:rPr>
        <w:t>l</w:t>
      </w:r>
      <w:r>
        <w:rPr>
          <w:spacing w:val="-2"/>
          <w:w w:val="100"/>
          <w:sz w:val="21"/>
        </w:rPr>
        <w:t>i</w:t>
      </w:r>
      <w:r>
        <w:rPr>
          <w:spacing w:val="-1"/>
          <w:w w:val="100"/>
          <w:sz w:val="21"/>
        </w:rPr>
        <w:t>e</w:t>
      </w:r>
      <w:r>
        <w:rPr>
          <w:w w:val="100"/>
          <w:sz w:val="21"/>
        </w:rPr>
        <w:t>r</w:t>
      </w:r>
      <w:r>
        <w:rPr>
          <w:sz w:val="21"/>
        </w:rPr>
        <w:t> </w:t>
      </w:r>
      <w:r>
        <w:rPr>
          <w:spacing w:val="-4"/>
          <w:w w:val="100"/>
          <w:sz w:val="21"/>
        </w:rPr>
        <w:t>t</w:t>
      </w:r>
      <w:r>
        <w:rPr>
          <w:w w:val="100"/>
          <w:sz w:val="21"/>
        </w:rPr>
        <w:t>o </w:t>
      </w:r>
      <w:r>
        <w:rPr>
          <w:sz w:val="21"/>
        </w:rPr>
        <w:t>Wall No. 16.‖</w:t>
      </w:r>
    </w:p>
    <w:p>
      <w:pPr>
        <w:spacing w:line="276" w:lineRule="auto" w:before="4"/>
        <w:ind w:left="1940" w:right="2262" w:firstLine="0"/>
        <w:jc w:val="both"/>
        <w:rPr>
          <w:sz w:val="21"/>
        </w:rPr>
      </w:pPr>
      <w:r>
        <w:rPr>
          <w:spacing w:val="-1"/>
          <w:w w:val="33"/>
          <w:sz w:val="21"/>
        </w:rPr>
        <w:t>―</w:t>
      </w:r>
      <w:r>
        <w:rPr>
          <w:w w:val="100"/>
          <w:sz w:val="21"/>
        </w:rPr>
        <w:t>I</w:t>
      </w:r>
      <w:r>
        <w:rPr>
          <w:sz w:val="21"/>
        </w:rPr>
        <w:t> </w:t>
      </w:r>
      <w:r>
        <w:rPr>
          <w:spacing w:val="2"/>
          <w:w w:val="100"/>
          <w:sz w:val="21"/>
        </w:rPr>
        <w:t>k</w:t>
      </w:r>
      <w:r>
        <w:rPr>
          <w:spacing w:val="-3"/>
          <w:w w:val="100"/>
          <w:sz w:val="21"/>
        </w:rPr>
        <w:t>n</w:t>
      </w:r>
      <w:r>
        <w:rPr>
          <w:spacing w:val="-1"/>
          <w:w w:val="100"/>
          <w:sz w:val="21"/>
        </w:rPr>
        <w:t>o</w:t>
      </w:r>
      <w:r>
        <w:rPr>
          <w:w w:val="100"/>
          <w:sz w:val="21"/>
        </w:rPr>
        <w:t>w</w:t>
      </w:r>
      <w:r>
        <w:rPr>
          <w:sz w:val="21"/>
        </w:rPr>
        <w:t> </w:t>
      </w:r>
      <w:r>
        <w:rPr>
          <w:w w:val="100"/>
          <w:sz w:val="21"/>
        </w:rPr>
        <w:t>c</w:t>
      </w:r>
      <w:r>
        <w:rPr>
          <w:spacing w:val="-1"/>
          <w:w w:val="100"/>
          <w:sz w:val="21"/>
        </w:rPr>
        <w:t>roc</w:t>
      </w:r>
      <w:r>
        <w:rPr>
          <w:spacing w:val="-3"/>
          <w:w w:val="100"/>
          <w:sz w:val="21"/>
        </w:rPr>
        <w:t>o</w:t>
      </w:r>
      <w:r>
        <w:rPr>
          <w:spacing w:val="-1"/>
          <w:w w:val="100"/>
          <w:sz w:val="21"/>
        </w:rPr>
        <w:t>d</w:t>
      </w:r>
      <w:r>
        <w:rPr>
          <w:spacing w:val="-2"/>
          <w:w w:val="100"/>
          <w:sz w:val="21"/>
        </w:rPr>
        <w:t>i</w:t>
      </w:r>
      <w:r>
        <w:rPr>
          <w:w w:val="100"/>
          <w:sz w:val="21"/>
        </w:rPr>
        <w:t>l</w:t>
      </w:r>
      <w:r>
        <w:rPr>
          <w:spacing w:val="-1"/>
          <w:w w:val="100"/>
          <w:sz w:val="21"/>
        </w:rPr>
        <w:t>e</w:t>
      </w:r>
      <w:r>
        <w:rPr>
          <w:w w:val="100"/>
          <w:sz w:val="21"/>
        </w:rPr>
        <w:t>.</w:t>
      </w:r>
      <w:r>
        <w:rPr>
          <w:sz w:val="21"/>
        </w:rPr>
        <w:t> </w:t>
      </w:r>
      <w:r>
        <w:rPr>
          <w:spacing w:val="-2"/>
          <w:w w:val="100"/>
          <w:sz w:val="21"/>
        </w:rPr>
        <w:t>I</w:t>
      </w:r>
      <w:r>
        <w:rPr>
          <w:w w:val="100"/>
          <w:sz w:val="21"/>
        </w:rPr>
        <w:t>t</w:t>
      </w:r>
      <w:r>
        <w:rPr>
          <w:sz w:val="21"/>
        </w:rPr>
        <w:t> </w:t>
      </w:r>
      <w:r>
        <w:rPr>
          <w:w w:val="100"/>
          <w:sz w:val="21"/>
        </w:rPr>
        <w:t>is</w:t>
      </w:r>
      <w:r>
        <w:rPr>
          <w:spacing w:val="-1"/>
          <w:sz w:val="21"/>
        </w:rPr>
        <w:t> </w:t>
      </w:r>
      <w:r>
        <w:rPr>
          <w:spacing w:val="-1"/>
          <w:w w:val="100"/>
          <w:sz w:val="21"/>
        </w:rPr>
        <w:t>a</w:t>
      </w:r>
      <w:r>
        <w:rPr>
          <w:spacing w:val="1"/>
          <w:w w:val="100"/>
          <w:sz w:val="21"/>
        </w:rPr>
        <w:t>l</w:t>
      </w:r>
      <w:r>
        <w:rPr>
          <w:spacing w:val="-1"/>
          <w:w w:val="100"/>
          <w:sz w:val="21"/>
        </w:rPr>
        <w:t>s</w:t>
      </w:r>
      <w:r>
        <w:rPr>
          <w:w w:val="100"/>
          <w:sz w:val="21"/>
        </w:rPr>
        <w:t>o</w:t>
      </w:r>
      <w:r>
        <w:rPr>
          <w:spacing w:val="1"/>
          <w:sz w:val="21"/>
        </w:rPr>
        <w:t> </w:t>
      </w:r>
      <w:r>
        <w:rPr>
          <w:spacing w:val="-3"/>
          <w:w w:val="100"/>
          <w:sz w:val="21"/>
        </w:rPr>
        <w:t>v</w:t>
      </w:r>
      <w:r>
        <w:rPr>
          <w:w w:val="100"/>
          <w:sz w:val="21"/>
        </w:rPr>
        <w:t>ery</w:t>
      </w:r>
      <w:r>
        <w:rPr>
          <w:spacing w:val="-2"/>
          <w:sz w:val="21"/>
        </w:rPr>
        <w:t> </w:t>
      </w:r>
      <w:r>
        <w:rPr>
          <w:w w:val="100"/>
          <w:sz w:val="21"/>
        </w:rPr>
        <w:t>i</w:t>
      </w:r>
      <w:r>
        <w:rPr>
          <w:spacing w:val="1"/>
          <w:w w:val="100"/>
          <w:sz w:val="21"/>
        </w:rPr>
        <w:t>m</w:t>
      </w:r>
      <w:r>
        <w:rPr>
          <w:w w:val="100"/>
          <w:sz w:val="21"/>
        </w:rPr>
        <w:t>por</w:t>
      </w:r>
      <w:r>
        <w:rPr>
          <w:spacing w:val="-2"/>
          <w:w w:val="100"/>
          <w:sz w:val="21"/>
        </w:rPr>
        <w:t>t</w:t>
      </w:r>
      <w:r>
        <w:rPr>
          <w:spacing w:val="-3"/>
          <w:w w:val="100"/>
          <w:sz w:val="21"/>
        </w:rPr>
        <w:t>a</w:t>
      </w:r>
      <w:r>
        <w:rPr>
          <w:w w:val="100"/>
          <w:sz w:val="21"/>
        </w:rPr>
        <w:t>nt</w:t>
      </w:r>
      <w:r>
        <w:rPr>
          <w:sz w:val="21"/>
        </w:rPr>
        <w:t> </w:t>
      </w:r>
      <w:r>
        <w:rPr>
          <w:spacing w:val="1"/>
          <w:w w:val="100"/>
          <w:sz w:val="21"/>
        </w:rPr>
        <w:t>f</w:t>
      </w:r>
      <w:r>
        <w:rPr>
          <w:w w:val="100"/>
          <w:sz w:val="21"/>
        </w:rPr>
        <w:t>or</w:t>
      </w:r>
      <w:r>
        <w:rPr>
          <w:sz w:val="21"/>
        </w:rPr>
        <w:t> </w:t>
      </w:r>
      <w:r>
        <w:rPr>
          <w:spacing w:val="-2"/>
          <w:w w:val="100"/>
          <w:sz w:val="21"/>
        </w:rPr>
        <w:t>t</w:t>
      </w:r>
      <w:r>
        <w:rPr>
          <w:spacing w:val="-3"/>
          <w:w w:val="100"/>
          <w:sz w:val="21"/>
        </w:rPr>
        <w:t>h</w:t>
      </w:r>
      <w:r>
        <w:rPr>
          <w:w w:val="100"/>
          <w:sz w:val="21"/>
        </w:rPr>
        <w:t>e</w:t>
      </w:r>
      <w:r>
        <w:rPr>
          <w:spacing w:val="1"/>
          <w:sz w:val="21"/>
        </w:rPr>
        <w:t> </w:t>
      </w:r>
      <w:r>
        <w:rPr>
          <w:spacing w:val="-2"/>
          <w:w w:val="100"/>
          <w:sz w:val="21"/>
        </w:rPr>
        <w:t>t</w:t>
      </w:r>
      <w:r>
        <w:rPr>
          <w:spacing w:val="-3"/>
          <w:w w:val="100"/>
          <w:sz w:val="21"/>
        </w:rPr>
        <w:t>e</w:t>
      </w:r>
      <w:r>
        <w:rPr>
          <w:spacing w:val="1"/>
          <w:w w:val="100"/>
          <w:sz w:val="21"/>
        </w:rPr>
        <w:t>m</w:t>
      </w:r>
      <w:r>
        <w:rPr>
          <w:spacing w:val="-3"/>
          <w:w w:val="100"/>
          <w:sz w:val="21"/>
        </w:rPr>
        <w:t>p</w:t>
      </w:r>
      <w:r>
        <w:rPr>
          <w:w w:val="100"/>
          <w:sz w:val="21"/>
        </w:rPr>
        <w:t>l</w:t>
      </w:r>
      <w:r>
        <w:rPr>
          <w:spacing w:val="-3"/>
          <w:w w:val="100"/>
          <w:sz w:val="21"/>
        </w:rPr>
        <w:t>e</w:t>
      </w:r>
      <w:r>
        <w:rPr>
          <w:w w:val="100"/>
          <w:sz w:val="21"/>
        </w:rPr>
        <w:t>s.</w:t>
      </w:r>
      <w:r>
        <w:rPr>
          <w:sz w:val="21"/>
        </w:rPr>
        <w:t> </w:t>
      </w:r>
      <w:r>
        <w:rPr>
          <w:spacing w:val="-2"/>
          <w:w w:val="100"/>
          <w:sz w:val="21"/>
        </w:rPr>
        <w:t>I</w:t>
      </w:r>
      <w:r>
        <w:rPr>
          <w:w w:val="100"/>
          <w:sz w:val="21"/>
        </w:rPr>
        <w:t>t</w:t>
      </w:r>
      <w:r>
        <w:rPr>
          <w:sz w:val="21"/>
        </w:rPr>
        <w:t> </w:t>
      </w:r>
      <w:r>
        <w:rPr>
          <w:w w:val="100"/>
          <w:sz w:val="21"/>
        </w:rPr>
        <w:t>i</w:t>
      </w:r>
      <w:r>
        <w:rPr>
          <w:w w:val="100"/>
          <w:sz w:val="21"/>
        </w:rPr>
        <w:t>s ca</w:t>
      </w:r>
      <w:r>
        <w:rPr>
          <w:spacing w:val="-2"/>
          <w:w w:val="100"/>
          <w:sz w:val="21"/>
        </w:rPr>
        <w:t>l</w:t>
      </w:r>
      <w:r>
        <w:rPr>
          <w:w w:val="100"/>
          <w:sz w:val="21"/>
        </w:rPr>
        <w:t>l</w:t>
      </w:r>
      <w:r>
        <w:rPr>
          <w:spacing w:val="-1"/>
          <w:w w:val="100"/>
          <w:sz w:val="21"/>
        </w:rPr>
        <w:t>e</w:t>
      </w:r>
      <w:r>
        <w:rPr>
          <w:w w:val="100"/>
          <w:sz w:val="21"/>
        </w:rPr>
        <w:t>d</w:t>
      </w:r>
      <w:r>
        <w:rPr>
          <w:sz w:val="21"/>
        </w:rPr>
        <w:t> </w:t>
      </w:r>
      <w:r>
        <w:rPr>
          <w:spacing w:val="-9"/>
          <w:sz w:val="21"/>
        </w:rPr>
        <w:t> </w:t>
      </w:r>
      <w:r>
        <w:rPr>
          <w:w w:val="40"/>
          <w:sz w:val="21"/>
        </w:rPr>
        <w:t>‗</w:t>
      </w:r>
      <w:r>
        <w:rPr>
          <w:spacing w:val="-1"/>
          <w:w w:val="100"/>
          <w:sz w:val="21"/>
        </w:rPr>
        <w:t>M</w:t>
      </w:r>
      <w:r>
        <w:rPr>
          <w:spacing w:val="-3"/>
          <w:w w:val="100"/>
          <w:sz w:val="21"/>
        </w:rPr>
        <w:t>a</w:t>
      </w:r>
      <w:r>
        <w:rPr>
          <w:w w:val="100"/>
          <w:sz w:val="21"/>
        </w:rPr>
        <w:t>kar</w:t>
      </w:r>
      <w:r>
        <w:rPr>
          <w:sz w:val="21"/>
        </w:rPr>
        <w:t> </w:t>
      </w:r>
      <w:r>
        <w:rPr>
          <w:spacing w:val="-8"/>
          <w:sz w:val="21"/>
        </w:rPr>
        <w:t> </w:t>
      </w:r>
      <w:r>
        <w:rPr>
          <w:spacing w:val="-1"/>
          <w:w w:val="100"/>
          <w:sz w:val="21"/>
        </w:rPr>
        <w:t>M</w:t>
      </w:r>
      <w:r>
        <w:rPr>
          <w:spacing w:val="-3"/>
          <w:w w:val="100"/>
          <w:sz w:val="21"/>
        </w:rPr>
        <w:t>u</w:t>
      </w:r>
      <w:r>
        <w:rPr>
          <w:w w:val="100"/>
          <w:sz w:val="21"/>
        </w:rPr>
        <w:t>kh</w:t>
      </w:r>
      <w:r>
        <w:rPr>
          <w:spacing w:val="1"/>
          <w:w w:val="100"/>
          <w:sz w:val="21"/>
        </w:rPr>
        <w:t>‘</w:t>
      </w:r>
      <w:r>
        <w:rPr>
          <w:w w:val="100"/>
          <w:sz w:val="21"/>
        </w:rPr>
        <w:t>.</w:t>
      </w:r>
      <w:r>
        <w:rPr>
          <w:sz w:val="21"/>
        </w:rPr>
        <w:t> </w:t>
      </w:r>
      <w:r>
        <w:rPr>
          <w:spacing w:val="-8"/>
          <w:sz w:val="21"/>
        </w:rPr>
        <w:t> </w:t>
      </w:r>
      <w:r>
        <w:rPr>
          <w:w w:val="100"/>
          <w:sz w:val="21"/>
        </w:rPr>
        <w:t>I</w:t>
      </w:r>
      <w:r>
        <w:rPr>
          <w:sz w:val="21"/>
        </w:rPr>
        <w:t> </w:t>
      </w:r>
      <w:r>
        <w:rPr>
          <w:spacing w:val="-8"/>
          <w:sz w:val="21"/>
        </w:rPr>
        <w:t> </w:t>
      </w:r>
      <w:r>
        <w:rPr>
          <w:spacing w:val="-3"/>
          <w:w w:val="100"/>
          <w:sz w:val="21"/>
        </w:rPr>
        <w:t>h</w:t>
      </w:r>
      <w:r>
        <w:rPr>
          <w:spacing w:val="-1"/>
          <w:w w:val="100"/>
          <w:sz w:val="21"/>
        </w:rPr>
        <w:t>a</w:t>
      </w:r>
      <w:r>
        <w:rPr>
          <w:spacing w:val="-3"/>
          <w:w w:val="100"/>
          <w:sz w:val="21"/>
        </w:rPr>
        <w:t>v</w:t>
      </w:r>
      <w:r>
        <w:rPr>
          <w:w w:val="100"/>
          <w:sz w:val="21"/>
        </w:rPr>
        <w:t>e</w:t>
      </w:r>
      <w:r>
        <w:rPr>
          <w:sz w:val="21"/>
        </w:rPr>
        <w:t> </w:t>
      </w:r>
      <w:r>
        <w:rPr>
          <w:spacing w:val="-7"/>
          <w:sz w:val="21"/>
        </w:rPr>
        <w:t> </w:t>
      </w:r>
      <w:r>
        <w:rPr>
          <w:spacing w:val="-1"/>
          <w:w w:val="100"/>
          <w:sz w:val="21"/>
        </w:rPr>
        <w:t>no</w:t>
      </w:r>
      <w:r>
        <w:rPr>
          <w:w w:val="100"/>
          <w:sz w:val="21"/>
        </w:rPr>
        <w:t>t</w:t>
      </w:r>
      <w:r>
        <w:rPr>
          <w:sz w:val="21"/>
        </w:rPr>
        <w:t> </w:t>
      </w:r>
      <w:r>
        <w:rPr>
          <w:spacing w:val="-8"/>
          <w:sz w:val="21"/>
        </w:rPr>
        <w:t> </w:t>
      </w:r>
      <w:r>
        <w:rPr>
          <w:w w:val="100"/>
          <w:sz w:val="21"/>
        </w:rPr>
        <w:t>se</w:t>
      </w:r>
      <w:r>
        <w:rPr>
          <w:spacing w:val="-3"/>
          <w:w w:val="100"/>
          <w:sz w:val="21"/>
        </w:rPr>
        <w:t>e</w:t>
      </w:r>
      <w:r>
        <w:rPr>
          <w:w w:val="100"/>
          <w:sz w:val="21"/>
        </w:rPr>
        <w:t>n</w:t>
      </w:r>
      <w:r>
        <w:rPr>
          <w:sz w:val="21"/>
        </w:rPr>
        <w:t> </w:t>
      </w:r>
      <w:r>
        <w:rPr>
          <w:spacing w:val="-7"/>
          <w:sz w:val="21"/>
        </w:rPr>
        <w:t> </w:t>
      </w:r>
      <w:r>
        <w:rPr>
          <w:spacing w:val="-1"/>
          <w:w w:val="100"/>
          <w:sz w:val="21"/>
        </w:rPr>
        <w:t>M</w:t>
      </w:r>
      <w:r>
        <w:rPr>
          <w:spacing w:val="-3"/>
          <w:w w:val="100"/>
          <w:sz w:val="21"/>
        </w:rPr>
        <w:t>a</w:t>
      </w:r>
      <w:r>
        <w:rPr>
          <w:w w:val="100"/>
          <w:sz w:val="21"/>
        </w:rPr>
        <w:t>kar</w:t>
      </w:r>
      <w:r>
        <w:rPr>
          <w:sz w:val="21"/>
        </w:rPr>
        <w:t> </w:t>
      </w:r>
      <w:r>
        <w:rPr>
          <w:spacing w:val="-8"/>
          <w:sz w:val="21"/>
        </w:rPr>
        <w:t> </w:t>
      </w:r>
      <w:r>
        <w:rPr>
          <w:spacing w:val="-1"/>
          <w:w w:val="100"/>
          <w:sz w:val="21"/>
        </w:rPr>
        <w:t>M</w:t>
      </w:r>
      <w:r>
        <w:rPr>
          <w:spacing w:val="-3"/>
          <w:w w:val="100"/>
          <w:sz w:val="21"/>
        </w:rPr>
        <w:t>u</w:t>
      </w:r>
      <w:r>
        <w:rPr>
          <w:w w:val="100"/>
          <w:sz w:val="21"/>
        </w:rPr>
        <w:t>kh</w:t>
      </w:r>
      <w:r>
        <w:rPr>
          <w:sz w:val="21"/>
        </w:rPr>
        <w:t> </w:t>
      </w:r>
      <w:r>
        <w:rPr>
          <w:spacing w:val="-7"/>
          <w:sz w:val="21"/>
        </w:rPr>
        <w:t> </w:t>
      </w:r>
      <w:r>
        <w:rPr>
          <w:spacing w:val="-2"/>
          <w:w w:val="100"/>
          <w:sz w:val="21"/>
        </w:rPr>
        <w:t>i</w:t>
      </w:r>
      <w:r>
        <w:rPr>
          <w:w w:val="100"/>
          <w:sz w:val="21"/>
        </w:rPr>
        <w:t>n</w:t>
      </w:r>
      <w:r>
        <w:rPr>
          <w:sz w:val="21"/>
        </w:rPr>
        <w:t> </w:t>
      </w:r>
      <w:r>
        <w:rPr>
          <w:spacing w:val="-7"/>
          <w:sz w:val="21"/>
        </w:rPr>
        <w:t> </w:t>
      </w:r>
      <w:r>
        <w:rPr>
          <w:spacing w:val="-1"/>
          <w:w w:val="100"/>
          <w:sz w:val="21"/>
        </w:rPr>
        <w:t>any </w:t>
      </w:r>
      <w:r>
        <w:rPr>
          <w:sz w:val="21"/>
        </w:rPr>
        <w:t>mosque…‖</w:t>
      </w:r>
    </w:p>
    <w:p>
      <w:pPr>
        <w:pStyle w:val="BodyText"/>
        <w:spacing w:before="3"/>
        <w:rPr>
          <w:sz w:val="24"/>
        </w:rPr>
      </w:pPr>
    </w:p>
    <w:p>
      <w:pPr>
        <w:pStyle w:val="BodyText"/>
        <w:spacing w:before="1"/>
        <w:ind w:left="500"/>
        <w:jc w:val="both"/>
      </w:pPr>
      <w:r>
        <w:rPr/>
        <w:t>Justice Agarwal observed:</w:t>
      </w:r>
    </w:p>
    <w:p>
      <w:pPr>
        <w:pStyle w:val="BodyText"/>
      </w:pPr>
    </w:p>
    <w:p>
      <w:pPr>
        <w:spacing w:line="276" w:lineRule="auto" w:before="0"/>
        <w:ind w:left="1940" w:right="2260" w:firstLine="0"/>
        <w:jc w:val="both"/>
        <w:rPr>
          <w:sz w:val="21"/>
        </w:rPr>
      </w:pPr>
      <w:r>
        <w:rPr>
          <w:spacing w:val="-1"/>
          <w:w w:val="33"/>
          <w:sz w:val="21"/>
        </w:rPr>
        <w:t>―</w:t>
      </w:r>
      <w:r>
        <w:rPr>
          <w:spacing w:val="-1"/>
          <w:w w:val="100"/>
          <w:sz w:val="21"/>
        </w:rPr>
        <w:t>397</w:t>
      </w:r>
      <w:r>
        <w:rPr>
          <w:w w:val="100"/>
          <w:sz w:val="21"/>
        </w:rPr>
        <w:t>9.</w:t>
      </w:r>
      <w:r>
        <w:rPr>
          <w:spacing w:val="-2"/>
          <w:sz w:val="21"/>
        </w:rPr>
        <w:t> </w:t>
      </w:r>
      <w:r>
        <w:rPr>
          <w:w w:val="100"/>
          <w:sz w:val="21"/>
        </w:rPr>
        <w:t>T</w:t>
      </w:r>
      <w:r>
        <w:rPr>
          <w:spacing w:val="-2"/>
          <w:w w:val="100"/>
          <w:sz w:val="21"/>
        </w:rPr>
        <w:t>h</w:t>
      </w:r>
      <w:r>
        <w:rPr>
          <w:w w:val="100"/>
          <w:sz w:val="21"/>
        </w:rPr>
        <w:t>e</w:t>
      </w:r>
      <w:r>
        <w:rPr>
          <w:spacing w:val="1"/>
          <w:sz w:val="21"/>
        </w:rPr>
        <w:t> </w:t>
      </w:r>
      <w:r>
        <w:rPr>
          <w:spacing w:val="-1"/>
          <w:w w:val="100"/>
          <w:sz w:val="21"/>
        </w:rPr>
        <w:t>r</w:t>
      </w:r>
      <w:r>
        <w:rPr>
          <w:spacing w:val="-3"/>
          <w:w w:val="100"/>
          <w:sz w:val="21"/>
        </w:rPr>
        <w:t>e</w:t>
      </w:r>
      <w:r>
        <w:rPr>
          <w:spacing w:val="-1"/>
          <w:w w:val="100"/>
          <w:sz w:val="21"/>
        </w:rPr>
        <w:t>por</w:t>
      </w:r>
      <w:r>
        <w:rPr>
          <w:w w:val="100"/>
          <w:sz w:val="21"/>
        </w:rPr>
        <w:t>t</w:t>
      </w:r>
      <w:r>
        <w:rPr>
          <w:spacing w:val="-1"/>
          <w:sz w:val="21"/>
        </w:rPr>
        <w:t> </w:t>
      </w:r>
      <w:r>
        <w:rPr>
          <w:spacing w:val="-3"/>
          <w:w w:val="100"/>
          <w:sz w:val="21"/>
        </w:rPr>
        <w:t>o</w:t>
      </w:r>
      <w:r>
        <w:rPr>
          <w:w w:val="100"/>
          <w:sz w:val="21"/>
        </w:rPr>
        <w:t>f</w:t>
      </w:r>
      <w:r>
        <w:rPr>
          <w:spacing w:val="2"/>
          <w:sz w:val="21"/>
        </w:rPr>
        <w:t> </w:t>
      </w:r>
      <w:r>
        <w:rPr>
          <w:spacing w:val="-2"/>
          <w:w w:val="100"/>
          <w:sz w:val="21"/>
        </w:rPr>
        <w:t>t</w:t>
      </w:r>
      <w:r>
        <w:rPr>
          <w:spacing w:val="-3"/>
          <w:w w:val="100"/>
          <w:sz w:val="21"/>
        </w:rPr>
        <w:t>h</w:t>
      </w:r>
      <w:r>
        <w:rPr>
          <w:w w:val="100"/>
          <w:sz w:val="21"/>
        </w:rPr>
        <w:t>e</w:t>
      </w:r>
      <w:r>
        <w:rPr>
          <w:spacing w:val="-1"/>
          <w:sz w:val="21"/>
        </w:rPr>
        <w:t> </w:t>
      </w:r>
      <w:r>
        <w:rPr>
          <w:spacing w:val="-2"/>
          <w:w w:val="100"/>
          <w:sz w:val="21"/>
        </w:rPr>
        <w:t>A</w:t>
      </w:r>
      <w:r>
        <w:rPr>
          <w:spacing w:val="-1"/>
          <w:w w:val="100"/>
          <w:sz w:val="21"/>
        </w:rPr>
        <w:t>r</w:t>
      </w:r>
      <w:r>
        <w:rPr>
          <w:w w:val="100"/>
          <w:sz w:val="21"/>
        </w:rPr>
        <w:t>chae</w:t>
      </w:r>
      <w:r>
        <w:rPr>
          <w:spacing w:val="-2"/>
          <w:w w:val="100"/>
          <w:sz w:val="21"/>
        </w:rPr>
        <w:t>o</w:t>
      </w:r>
      <w:r>
        <w:rPr>
          <w:w w:val="100"/>
          <w:sz w:val="21"/>
        </w:rPr>
        <w:t>l</w:t>
      </w:r>
      <w:r>
        <w:rPr>
          <w:spacing w:val="-3"/>
          <w:w w:val="100"/>
          <w:sz w:val="21"/>
        </w:rPr>
        <w:t>o</w:t>
      </w:r>
      <w:r>
        <w:rPr>
          <w:spacing w:val="-1"/>
          <w:w w:val="100"/>
          <w:sz w:val="21"/>
        </w:rPr>
        <w:t>g</w:t>
      </w:r>
      <w:r>
        <w:rPr>
          <w:spacing w:val="1"/>
          <w:w w:val="100"/>
          <w:sz w:val="21"/>
        </w:rPr>
        <w:t>i</w:t>
      </w:r>
      <w:r>
        <w:rPr>
          <w:spacing w:val="-3"/>
          <w:w w:val="100"/>
          <w:sz w:val="21"/>
        </w:rPr>
        <w:t>c</w:t>
      </w:r>
      <w:r>
        <w:rPr>
          <w:spacing w:val="-1"/>
          <w:w w:val="100"/>
          <w:sz w:val="21"/>
        </w:rPr>
        <w:t>a</w:t>
      </w:r>
      <w:r>
        <w:rPr>
          <w:w w:val="100"/>
          <w:sz w:val="21"/>
        </w:rPr>
        <w:t>l</w:t>
      </w:r>
      <w:r>
        <w:rPr>
          <w:sz w:val="21"/>
        </w:rPr>
        <w:t> </w:t>
      </w:r>
      <w:r>
        <w:rPr>
          <w:spacing w:val="-2"/>
          <w:w w:val="100"/>
          <w:sz w:val="21"/>
        </w:rPr>
        <w:t>S</w:t>
      </w:r>
      <w:r>
        <w:rPr>
          <w:spacing w:val="-1"/>
          <w:w w:val="100"/>
          <w:sz w:val="21"/>
        </w:rPr>
        <w:t>ur</w:t>
      </w:r>
      <w:r>
        <w:rPr>
          <w:spacing w:val="-3"/>
          <w:w w:val="100"/>
          <w:sz w:val="21"/>
        </w:rPr>
        <w:t>v</w:t>
      </w:r>
      <w:r>
        <w:rPr>
          <w:spacing w:val="-1"/>
          <w:w w:val="100"/>
          <w:sz w:val="21"/>
        </w:rPr>
        <w:t>e</w:t>
      </w:r>
      <w:r>
        <w:rPr>
          <w:w w:val="100"/>
          <w:sz w:val="21"/>
        </w:rPr>
        <w:t>y</w:t>
      </w:r>
      <w:r>
        <w:rPr>
          <w:spacing w:val="-1"/>
          <w:sz w:val="21"/>
        </w:rPr>
        <w:t> </w:t>
      </w:r>
      <w:r>
        <w:rPr>
          <w:spacing w:val="-1"/>
          <w:w w:val="100"/>
          <w:sz w:val="21"/>
        </w:rPr>
        <w:t>o</w:t>
      </w:r>
      <w:r>
        <w:rPr>
          <w:w w:val="100"/>
          <w:sz w:val="21"/>
        </w:rPr>
        <w:t>f</w:t>
      </w:r>
      <w:r>
        <w:rPr>
          <w:spacing w:val="2"/>
          <w:sz w:val="21"/>
        </w:rPr>
        <w:t> </w:t>
      </w:r>
      <w:r>
        <w:rPr>
          <w:spacing w:val="-2"/>
          <w:w w:val="100"/>
          <w:sz w:val="21"/>
        </w:rPr>
        <w:t>I</w:t>
      </w:r>
      <w:r>
        <w:rPr>
          <w:spacing w:val="-3"/>
          <w:w w:val="100"/>
          <w:sz w:val="21"/>
        </w:rPr>
        <w:t>n</w:t>
      </w:r>
      <w:r>
        <w:rPr>
          <w:spacing w:val="-1"/>
          <w:w w:val="100"/>
          <w:sz w:val="21"/>
        </w:rPr>
        <w:t>d</w:t>
      </w:r>
      <w:r>
        <w:rPr>
          <w:spacing w:val="1"/>
          <w:w w:val="100"/>
          <w:sz w:val="21"/>
        </w:rPr>
        <w:t>i</w:t>
      </w:r>
      <w:r>
        <w:rPr>
          <w:spacing w:val="-1"/>
          <w:w w:val="100"/>
          <w:sz w:val="21"/>
        </w:rPr>
        <w:t>a</w:t>
      </w:r>
      <w:r>
        <w:rPr>
          <w:w w:val="100"/>
          <w:sz w:val="21"/>
        </w:rPr>
        <w:t>,</w:t>
      </w:r>
      <w:r>
        <w:rPr>
          <w:sz w:val="21"/>
        </w:rPr>
        <w:t> </w:t>
      </w:r>
      <w:r>
        <w:rPr>
          <w:spacing w:val="-4"/>
          <w:w w:val="100"/>
          <w:sz w:val="21"/>
        </w:rPr>
        <w:t>w</w:t>
      </w:r>
      <w:r>
        <w:rPr>
          <w:spacing w:val="-1"/>
          <w:w w:val="100"/>
          <w:sz w:val="21"/>
        </w:rPr>
        <w:t>h</w:t>
      </w:r>
      <w:r>
        <w:rPr>
          <w:spacing w:val="1"/>
          <w:w w:val="100"/>
          <w:sz w:val="21"/>
        </w:rPr>
        <w:t>i</w:t>
      </w:r>
      <w:r>
        <w:rPr>
          <w:spacing w:val="-3"/>
          <w:w w:val="100"/>
          <w:sz w:val="21"/>
        </w:rPr>
        <w:t>c</w:t>
      </w:r>
      <w:r>
        <w:rPr>
          <w:w w:val="100"/>
          <w:sz w:val="21"/>
        </w:rPr>
        <w:t>h </w:t>
      </w:r>
      <w:r>
        <w:rPr>
          <w:sz w:val="21"/>
        </w:rPr>
        <w:t>is a report of an expert in excavation, contains all the details including details of stratigraphy, artefacts, periodisation as well as details of structures and walls. The pillar bases mentioned in the report establish beyond all doubt the existence of a huge structure. In addition to above, existence of circular shrine, stone slabs in walls with Hindu motifs and more particularly sign of Makar Pranal in wall No. 5 (wall of disputed structure), divine couple and other temple materials, etc., conclusively proves the existence of a Hindu religious structure beneath the disputed structure. It is generally admitted by the witnesses that the excavation was conducted as per settled norms of archaeology in presence of parties, experts and observers and three dimensional recording, photography, videography of each and every trench, structure, artifacts, were done by the ASI during excavation in presence of all concerned. Day-to-day register, supervisor's diary and antiquity register were being regularly</w:t>
      </w:r>
      <w:r>
        <w:rPr>
          <w:spacing w:val="-16"/>
          <w:sz w:val="21"/>
        </w:rPr>
        <w:t> </w:t>
      </w:r>
      <w:r>
        <w:rPr>
          <w:sz w:val="21"/>
        </w:rPr>
        <w:t>maintained.</w:t>
      </w:r>
    </w:p>
    <w:p>
      <w:pPr>
        <w:spacing w:line="276" w:lineRule="auto" w:before="0"/>
        <w:ind w:left="1940" w:right="2263" w:firstLine="0"/>
        <w:jc w:val="both"/>
        <w:rPr>
          <w:sz w:val="21"/>
        </w:rPr>
      </w:pPr>
      <w:r>
        <w:rPr>
          <w:sz w:val="21"/>
        </w:rPr>
        <w:t>3980. There are some more objections which we find not much of worth for the reason that the experts of Muslim parties ultimately, realizing that structure existed underneath the disputed building made out a new case in their statement. However, a new stand which is not the case of the plaintiff, not pleaded is not</w:t>
      </w:r>
      <w:r>
        <w:rPr>
          <w:spacing w:val="-8"/>
          <w:sz w:val="21"/>
        </w:rPr>
        <w:t> </w:t>
      </w:r>
      <w:r>
        <w:rPr>
          <w:sz w:val="21"/>
        </w:rPr>
        <w:t>permissible.‖</w:t>
      </w:r>
    </w:p>
    <w:p>
      <w:pPr>
        <w:pStyle w:val="BodyText"/>
      </w:pPr>
    </w:p>
    <w:p>
      <w:pPr>
        <w:pStyle w:val="BodyText"/>
        <w:spacing w:line="480" w:lineRule="auto"/>
        <w:ind w:left="500" w:right="436"/>
        <w:jc w:val="both"/>
      </w:pPr>
      <w:r>
        <w:rPr/>
        <w:t>One of the objections before the High Court was that the ASI report did not specifically answer whether there was any pre-existing structure which was demolished for the construction of a mosque and whether the pre-existing structure was a temple. Answering this objection, the High Court held:</w:t>
      </w:r>
    </w:p>
    <w:p>
      <w:pPr>
        <w:spacing w:after="0" w:line="480" w:lineRule="auto"/>
        <w:jc w:val="both"/>
        <w:sectPr>
          <w:pgSz w:w="11910" w:h="16840"/>
          <w:pgMar w:header="721" w:footer="1014" w:top="1300" w:bottom="1200" w:left="940" w:right="1000"/>
        </w:sectPr>
      </w:pPr>
    </w:p>
    <w:p>
      <w:pPr>
        <w:spacing w:line="276" w:lineRule="auto" w:before="122"/>
        <w:ind w:left="1940" w:right="2260" w:firstLine="0"/>
        <w:jc w:val="both"/>
        <w:rPr>
          <w:sz w:val="21"/>
        </w:rPr>
      </w:pPr>
      <w:r>
        <w:rPr>
          <w:spacing w:val="-1"/>
          <w:w w:val="33"/>
          <w:sz w:val="21"/>
        </w:rPr>
        <w:t>―</w:t>
      </w:r>
      <w:r>
        <w:rPr>
          <w:spacing w:val="-1"/>
          <w:w w:val="100"/>
          <w:sz w:val="21"/>
        </w:rPr>
        <w:t>399</w:t>
      </w:r>
      <w:r>
        <w:rPr>
          <w:w w:val="100"/>
          <w:sz w:val="21"/>
        </w:rPr>
        <w:t>0.</w:t>
      </w:r>
      <w:r>
        <w:rPr>
          <w:spacing w:val="7"/>
          <w:sz w:val="21"/>
        </w:rPr>
        <w:t> </w:t>
      </w:r>
      <w:r>
        <w:rPr>
          <w:spacing w:val="-2"/>
          <w:w w:val="100"/>
          <w:sz w:val="21"/>
        </w:rPr>
        <w:t>A</w:t>
      </w:r>
      <w:r>
        <w:rPr>
          <w:w w:val="100"/>
          <w:sz w:val="21"/>
        </w:rPr>
        <w:t>S</w:t>
      </w:r>
      <w:r>
        <w:rPr>
          <w:spacing w:val="-2"/>
          <w:w w:val="100"/>
          <w:sz w:val="21"/>
        </w:rPr>
        <w:t>I</w:t>
      </w:r>
      <w:r>
        <w:rPr>
          <w:w w:val="100"/>
          <w:sz w:val="21"/>
        </w:rPr>
        <w:t>,</w:t>
      </w:r>
      <w:r>
        <w:rPr>
          <w:spacing w:val="7"/>
          <w:sz w:val="21"/>
        </w:rPr>
        <w:t> </w:t>
      </w:r>
      <w:r>
        <w:rPr>
          <w:w w:val="100"/>
          <w:sz w:val="21"/>
        </w:rPr>
        <w:t>in</w:t>
      </w:r>
      <w:r>
        <w:rPr>
          <w:spacing w:val="8"/>
          <w:sz w:val="21"/>
        </w:rPr>
        <w:t> </w:t>
      </w:r>
      <w:r>
        <w:rPr>
          <w:spacing w:val="-1"/>
          <w:w w:val="100"/>
          <w:sz w:val="21"/>
        </w:rPr>
        <w:t>ou</w:t>
      </w:r>
      <w:r>
        <w:rPr>
          <w:w w:val="100"/>
          <w:sz w:val="21"/>
        </w:rPr>
        <w:t>r</w:t>
      </w:r>
      <w:r>
        <w:rPr>
          <w:spacing w:val="8"/>
          <w:sz w:val="21"/>
        </w:rPr>
        <w:t> </w:t>
      </w:r>
      <w:r>
        <w:rPr>
          <w:spacing w:val="-3"/>
          <w:w w:val="100"/>
          <w:sz w:val="21"/>
        </w:rPr>
        <w:t>v</w:t>
      </w:r>
      <w:r>
        <w:rPr>
          <w:w w:val="100"/>
          <w:sz w:val="21"/>
        </w:rPr>
        <w:t>i</w:t>
      </w:r>
      <w:r>
        <w:rPr>
          <w:spacing w:val="-1"/>
          <w:w w:val="100"/>
          <w:sz w:val="21"/>
        </w:rPr>
        <w:t>e</w:t>
      </w:r>
      <w:r>
        <w:rPr>
          <w:spacing w:val="-2"/>
          <w:w w:val="100"/>
          <w:sz w:val="21"/>
        </w:rPr>
        <w:t>w</w:t>
      </w:r>
      <w:r>
        <w:rPr>
          <w:w w:val="100"/>
          <w:sz w:val="21"/>
        </w:rPr>
        <w:t>,</w:t>
      </w:r>
      <w:r>
        <w:rPr>
          <w:spacing w:val="7"/>
          <w:sz w:val="21"/>
        </w:rPr>
        <w:t> </w:t>
      </w:r>
      <w:r>
        <w:rPr>
          <w:spacing w:val="-1"/>
          <w:w w:val="100"/>
          <w:sz w:val="21"/>
        </w:rPr>
        <w:t>ha</w:t>
      </w:r>
      <w:r>
        <w:rPr>
          <w:w w:val="100"/>
          <w:sz w:val="21"/>
        </w:rPr>
        <w:t>s</w:t>
      </w:r>
      <w:r>
        <w:rPr>
          <w:spacing w:val="8"/>
          <w:sz w:val="21"/>
        </w:rPr>
        <w:t> </w:t>
      </w:r>
      <w:r>
        <w:rPr>
          <w:spacing w:val="-1"/>
          <w:w w:val="100"/>
          <w:sz w:val="21"/>
        </w:rPr>
        <w:t>r</w:t>
      </w:r>
      <w:r>
        <w:rPr>
          <w:w w:val="100"/>
          <w:sz w:val="21"/>
        </w:rPr>
        <w:t>i</w:t>
      </w:r>
      <w:r>
        <w:rPr>
          <w:spacing w:val="-1"/>
          <w:w w:val="100"/>
          <w:sz w:val="21"/>
        </w:rPr>
        <w:t>ght</w:t>
      </w:r>
      <w:r>
        <w:rPr>
          <w:w w:val="100"/>
          <w:sz w:val="21"/>
        </w:rPr>
        <w:t>ly</w:t>
      </w:r>
      <w:r>
        <w:rPr>
          <w:spacing w:val="6"/>
          <w:sz w:val="21"/>
        </w:rPr>
        <w:t> </w:t>
      </w:r>
      <w:r>
        <w:rPr>
          <w:spacing w:val="-1"/>
          <w:w w:val="100"/>
          <w:sz w:val="21"/>
        </w:rPr>
        <w:t>re</w:t>
      </w:r>
      <w:r>
        <w:rPr>
          <w:spacing w:val="1"/>
          <w:w w:val="100"/>
          <w:sz w:val="21"/>
        </w:rPr>
        <w:t>f</w:t>
      </w:r>
      <w:r>
        <w:rPr>
          <w:spacing w:val="-1"/>
          <w:w w:val="100"/>
          <w:sz w:val="21"/>
        </w:rPr>
        <w:t>r</w:t>
      </w:r>
      <w:r>
        <w:rPr>
          <w:spacing w:val="-3"/>
          <w:w w:val="100"/>
          <w:sz w:val="21"/>
        </w:rPr>
        <w:t>a</w:t>
      </w:r>
      <w:r>
        <w:rPr>
          <w:w w:val="100"/>
          <w:sz w:val="21"/>
        </w:rPr>
        <w:t>i</w:t>
      </w:r>
      <w:r>
        <w:rPr>
          <w:spacing w:val="-3"/>
          <w:w w:val="100"/>
          <w:sz w:val="21"/>
        </w:rPr>
        <w:t>n</w:t>
      </w:r>
      <w:r>
        <w:rPr>
          <w:spacing w:val="-1"/>
          <w:w w:val="100"/>
          <w:sz w:val="21"/>
        </w:rPr>
        <w:t>e</w:t>
      </w:r>
      <w:r>
        <w:rPr>
          <w:w w:val="100"/>
          <w:sz w:val="21"/>
        </w:rPr>
        <w:t>d</w:t>
      </w:r>
      <w:r>
        <w:rPr>
          <w:spacing w:val="8"/>
          <w:sz w:val="21"/>
        </w:rPr>
        <w:t> </w:t>
      </w:r>
      <w:r>
        <w:rPr>
          <w:spacing w:val="1"/>
          <w:w w:val="100"/>
          <w:sz w:val="21"/>
        </w:rPr>
        <w:t>f</w:t>
      </w:r>
      <w:r>
        <w:rPr>
          <w:spacing w:val="-1"/>
          <w:w w:val="100"/>
          <w:sz w:val="21"/>
        </w:rPr>
        <w:t>r</w:t>
      </w:r>
      <w:r>
        <w:rPr>
          <w:spacing w:val="-3"/>
          <w:w w:val="100"/>
          <w:sz w:val="21"/>
        </w:rPr>
        <w:t>o</w:t>
      </w:r>
      <w:r>
        <w:rPr>
          <w:w w:val="100"/>
          <w:sz w:val="21"/>
        </w:rPr>
        <w:t>m</w:t>
      </w:r>
      <w:r>
        <w:rPr>
          <w:spacing w:val="10"/>
          <w:sz w:val="21"/>
        </w:rPr>
        <w:t> </w:t>
      </w:r>
      <w:r>
        <w:rPr>
          <w:spacing w:val="-4"/>
          <w:w w:val="100"/>
          <w:sz w:val="21"/>
        </w:rPr>
        <w:t>r</w:t>
      </w:r>
      <w:r>
        <w:rPr>
          <w:spacing w:val="-1"/>
          <w:w w:val="100"/>
          <w:sz w:val="21"/>
        </w:rPr>
        <w:t>ecor</w:t>
      </w:r>
      <w:r>
        <w:rPr>
          <w:spacing w:val="-3"/>
          <w:w w:val="100"/>
          <w:sz w:val="21"/>
        </w:rPr>
        <w:t>d</w:t>
      </w:r>
      <w:r>
        <w:rPr>
          <w:w w:val="100"/>
          <w:sz w:val="21"/>
        </w:rPr>
        <w:t>i</w:t>
      </w:r>
      <w:r>
        <w:rPr>
          <w:spacing w:val="-1"/>
          <w:w w:val="100"/>
          <w:sz w:val="21"/>
        </w:rPr>
        <w:t>n</w:t>
      </w:r>
      <w:r>
        <w:rPr>
          <w:w w:val="100"/>
          <w:sz w:val="21"/>
        </w:rPr>
        <w:t>g</w:t>
      </w:r>
      <w:r>
        <w:rPr>
          <w:spacing w:val="8"/>
          <w:sz w:val="21"/>
        </w:rPr>
        <w:t> </w:t>
      </w:r>
      <w:r>
        <w:rPr>
          <w:w w:val="100"/>
          <w:sz w:val="21"/>
        </w:rPr>
        <w:t>a </w:t>
      </w:r>
      <w:r>
        <w:rPr>
          <w:sz w:val="21"/>
        </w:rPr>
        <w:t>categorical finding whether there was any demolition or not for the reason when a building is constructed over another and that too hundreds of years back, it may sometimes be difficult to ascertain as to in what circumstances building was raised and whether the earlier building collapsed on its own or due to natural forces or for the reason attributable to some persons interested for its damage. Sufficient indication has been given by ASI that the building in dispute did not have its own foundation but it was raised on the existing walls. If a building would not have been existing before construction of the subsequent building, the builder might not have been able to use foundation of the erstwhile building without knowing its strength and capacity of bearing the load of new structure. The floor of the disputed building was just over the floor of earlier building. The existence of several pillar bases all show earlier existence of a sufficiently bigger structure, if not bigger than the disputed structure then not lesser than that</w:t>
      </w:r>
      <w:r>
        <w:rPr>
          <w:spacing w:val="-29"/>
          <w:sz w:val="21"/>
        </w:rPr>
        <w:t> </w:t>
      </w:r>
      <w:r>
        <w:rPr>
          <w:sz w:val="21"/>
        </w:rPr>
        <w:t>also.‖</w:t>
      </w:r>
    </w:p>
    <w:p>
      <w:pPr>
        <w:pStyle w:val="BodyText"/>
        <w:spacing w:before="9"/>
        <w:rPr>
          <w:sz w:val="28"/>
        </w:rPr>
      </w:pPr>
    </w:p>
    <w:p>
      <w:pPr>
        <w:pStyle w:val="BodyText"/>
        <w:spacing w:before="1"/>
        <w:ind w:left="500"/>
      </w:pPr>
      <w:r>
        <w:rPr/>
        <w:t>After analysing the evidence, Justice Agarwal observed:</w:t>
      </w:r>
    </w:p>
    <w:p>
      <w:pPr>
        <w:pStyle w:val="BodyText"/>
      </w:pPr>
    </w:p>
    <w:p>
      <w:pPr>
        <w:spacing w:line="276" w:lineRule="auto" w:before="0"/>
        <w:ind w:left="1940" w:right="2261" w:firstLine="0"/>
        <w:jc w:val="both"/>
        <w:rPr>
          <w:sz w:val="21"/>
        </w:rPr>
      </w:pPr>
      <w:r>
        <w:rPr>
          <w:spacing w:val="-1"/>
          <w:w w:val="33"/>
          <w:sz w:val="21"/>
        </w:rPr>
        <w:t>―</w:t>
      </w:r>
      <w:r>
        <w:rPr>
          <w:spacing w:val="-1"/>
          <w:w w:val="100"/>
          <w:sz w:val="21"/>
        </w:rPr>
        <w:t>405</w:t>
      </w:r>
      <w:r>
        <w:rPr>
          <w:w w:val="100"/>
          <w:sz w:val="21"/>
        </w:rPr>
        <w:t>5.</w:t>
      </w:r>
      <w:r>
        <w:rPr>
          <w:sz w:val="21"/>
        </w:rPr>
        <w:t> </w:t>
      </w:r>
      <w:r>
        <w:rPr>
          <w:spacing w:val="26"/>
          <w:sz w:val="21"/>
        </w:rPr>
        <w:t> </w:t>
      </w:r>
      <w:r>
        <w:rPr>
          <w:spacing w:val="-2"/>
          <w:w w:val="100"/>
          <w:sz w:val="21"/>
        </w:rPr>
        <w:t>T</w:t>
      </w:r>
      <w:r>
        <w:rPr>
          <w:spacing w:val="-1"/>
          <w:w w:val="100"/>
          <w:sz w:val="21"/>
        </w:rPr>
        <w:t>h</w:t>
      </w:r>
      <w:r>
        <w:rPr>
          <w:w w:val="100"/>
          <w:sz w:val="21"/>
        </w:rPr>
        <w:t>e</w:t>
      </w:r>
      <w:r>
        <w:rPr>
          <w:sz w:val="21"/>
        </w:rPr>
        <w:t> </w:t>
      </w:r>
      <w:r>
        <w:rPr>
          <w:spacing w:val="27"/>
          <w:sz w:val="21"/>
        </w:rPr>
        <w:t> </w:t>
      </w:r>
      <w:r>
        <w:rPr>
          <w:spacing w:val="-3"/>
          <w:w w:val="100"/>
          <w:sz w:val="21"/>
        </w:rPr>
        <w:t>u</w:t>
      </w:r>
      <w:r>
        <w:rPr>
          <w:w w:val="100"/>
          <w:sz w:val="21"/>
        </w:rPr>
        <w:t>l</w:t>
      </w:r>
      <w:r>
        <w:rPr>
          <w:spacing w:val="-2"/>
          <w:w w:val="100"/>
          <w:sz w:val="21"/>
        </w:rPr>
        <w:t>ti</w:t>
      </w:r>
      <w:r>
        <w:rPr>
          <w:spacing w:val="-1"/>
          <w:w w:val="100"/>
          <w:sz w:val="21"/>
        </w:rPr>
        <w:t>mat</w:t>
      </w:r>
      <w:r>
        <w:rPr>
          <w:w w:val="100"/>
          <w:sz w:val="21"/>
        </w:rPr>
        <w:t>e</w:t>
      </w:r>
      <w:r>
        <w:rPr>
          <w:sz w:val="21"/>
        </w:rPr>
        <w:t> </w:t>
      </w:r>
      <w:r>
        <w:rPr>
          <w:spacing w:val="27"/>
          <w:sz w:val="21"/>
        </w:rPr>
        <w:t> </w:t>
      </w:r>
      <w:r>
        <w:rPr>
          <w:w w:val="100"/>
          <w:sz w:val="21"/>
        </w:rPr>
        <w:t>i</w:t>
      </w:r>
      <w:r>
        <w:rPr>
          <w:spacing w:val="-3"/>
          <w:w w:val="100"/>
          <w:sz w:val="21"/>
        </w:rPr>
        <w:t>n</w:t>
      </w:r>
      <w:r>
        <w:rPr>
          <w:spacing w:val="-2"/>
          <w:w w:val="100"/>
          <w:sz w:val="21"/>
        </w:rPr>
        <w:t>f</w:t>
      </w:r>
      <w:r>
        <w:rPr>
          <w:spacing w:val="-1"/>
          <w:w w:val="100"/>
          <w:sz w:val="21"/>
        </w:rPr>
        <w:t>erence</w:t>
      </w:r>
      <w:r>
        <w:rPr>
          <w:w w:val="100"/>
          <w:sz w:val="21"/>
        </w:rPr>
        <w:t>,</w:t>
      </w:r>
      <w:r>
        <w:rPr>
          <w:sz w:val="21"/>
        </w:rPr>
        <w:t> </w:t>
      </w:r>
      <w:r>
        <w:rPr>
          <w:spacing w:val="26"/>
          <w:sz w:val="21"/>
        </w:rPr>
        <w:t> </w:t>
      </w:r>
      <w:r>
        <w:rPr>
          <w:spacing w:val="-2"/>
          <w:w w:val="100"/>
          <w:sz w:val="21"/>
        </w:rPr>
        <w:t>w</w:t>
      </w:r>
      <w:r>
        <w:rPr>
          <w:spacing w:val="-3"/>
          <w:w w:val="100"/>
          <w:sz w:val="21"/>
        </w:rPr>
        <w:t>h</w:t>
      </w:r>
      <w:r>
        <w:rPr>
          <w:w w:val="100"/>
          <w:sz w:val="21"/>
        </w:rPr>
        <w:t>ich</w:t>
      </w:r>
      <w:r>
        <w:rPr>
          <w:sz w:val="21"/>
        </w:rPr>
        <w:t> </w:t>
      </w:r>
      <w:r>
        <w:rPr>
          <w:spacing w:val="24"/>
          <w:sz w:val="21"/>
        </w:rPr>
        <w:t> </w:t>
      </w:r>
      <w:r>
        <w:rPr>
          <w:w w:val="100"/>
          <w:sz w:val="21"/>
        </w:rPr>
        <w:t>can</w:t>
      </w:r>
      <w:r>
        <w:rPr>
          <w:sz w:val="21"/>
        </w:rPr>
        <w:t> </w:t>
      </w:r>
      <w:r>
        <w:rPr>
          <w:spacing w:val="27"/>
          <w:sz w:val="21"/>
        </w:rPr>
        <w:t> </w:t>
      </w:r>
      <w:r>
        <w:rPr>
          <w:spacing w:val="-1"/>
          <w:w w:val="100"/>
          <w:sz w:val="21"/>
        </w:rPr>
        <w:t>r</w:t>
      </w:r>
      <w:r>
        <w:rPr>
          <w:spacing w:val="-3"/>
          <w:w w:val="100"/>
          <w:sz w:val="21"/>
        </w:rPr>
        <w:t>e</w:t>
      </w:r>
      <w:r>
        <w:rPr>
          <w:spacing w:val="-1"/>
          <w:w w:val="100"/>
          <w:sz w:val="21"/>
        </w:rPr>
        <w:t>a</w:t>
      </w:r>
      <w:r>
        <w:rPr>
          <w:spacing w:val="-3"/>
          <w:w w:val="100"/>
          <w:sz w:val="21"/>
        </w:rPr>
        <w:t>s</w:t>
      </w:r>
      <w:r>
        <w:rPr>
          <w:spacing w:val="-1"/>
          <w:w w:val="100"/>
          <w:sz w:val="21"/>
        </w:rPr>
        <w:t>on</w:t>
      </w:r>
      <w:r>
        <w:rPr>
          <w:spacing w:val="4"/>
          <w:w w:val="100"/>
          <w:sz w:val="21"/>
        </w:rPr>
        <w:t>a</w:t>
      </w:r>
      <w:r>
        <w:rPr>
          <w:spacing w:val="-3"/>
          <w:w w:val="100"/>
          <w:sz w:val="21"/>
        </w:rPr>
        <w:t>b</w:t>
      </w:r>
      <w:r>
        <w:rPr>
          <w:w w:val="100"/>
          <w:sz w:val="21"/>
        </w:rPr>
        <w:t>l</w:t>
      </w:r>
      <w:r>
        <w:rPr>
          <w:w w:val="100"/>
          <w:sz w:val="21"/>
        </w:rPr>
        <w:t>y</w:t>
      </w:r>
      <w:r>
        <w:rPr>
          <w:sz w:val="21"/>
        </w:rPr>
        <w:t> </w:t>
      </w:r>
      <w:r>
        <w:rPr>
          <w:spacing w:val="24"/>
          <w:sz w:val="21"/>
        </w:rPr>
        <w:t> </w:t>
      </w:r>
      <w:r>
        <w:rPr>
          <w:w w:val="100"/>
          <w:sz w:val="21"/>
        </w:rPr>
        <w:t>be </w:t>
      </w:r>
      <w:r>
        <w:rPr>
          <w:sz w:val="21"/>
        </w:rPr>
        <w:t>drawn by this Court from the entire discussion and material noticed above, is: (i) The disputed structure was not raised on a virgin, vacant, unoccupied, open land. (ii) There existed a structure, if not much bigger then at least comparable or bigger than the disputed structure, at the site in dispute. (iii) The builder of the disputed structure knew the details of the erstwhile structure, its strength, capacity, the size of the walls etc. and therefore did not hesitate in using the walls etc. without any further improvement. (iv) The erstwhile structure was religious in nature and that too non-Islamic one. (v) The material like stone, pillars, bricks etc. of the erstwhile  structure was used in raising the disputed structure. (vi) The artefacts recovered during excavation are mostly such as are non-Islamic i.e pertaining to Hindu religious places, even if we accept that some of the items are such which may be used in other religions also. Simultaneously no artefacts etc., which can be used only in Islamic religious place, has been</w:t>
      </w:r>
      <w:r>
        <w:rPr>
          <w:spacing w:val="-37"/>
          <w:sz w:val="21"/>
        </w:rPr>
        <w:t> </w:t>
      </w:r>
      <w:r>
        <w:rPr>
          <w:sz w:val="21"/>
        </w:rPr>
        <w:t>found.‖</w:t>
      </w:r>
    </w:p>
    <w:p>
      <w:pPr>
        <w:pStyle w:val="BodyText"/>
        <w:rPr>
          <w:sz w:val="24"/>
        </w:rPr>
      </w:pPr>
    </w:p>
    <w:p>
      <w:pPr>
        <w:pStyle w:val="BodyText"/>
        <w:rPr>
          <w:sz w:val="24"/>
        </w:rPr>
      </w:pPr>
    </w:p>
    <w:p>
      <w:pPr>
        <w:pStyle w:val="BodyText"/>
        <w:spacing w:before="5"/>
        <w:rPr>
          <w:sz w:val="29"/>
        </w:rPr>
      </w:pPr>
    </w:p>
    <w:p>
      <w:pPr>
        <w:pStyle w:val="Heading4"/>
        <w:jc w:val="left"/>
        <w:rPr>
          <w:i/>
        </w:rPr>
      </w:pPr>
      <w:r>
        <w:rPr>
          <w:i/>
        </w:rPr>
        <w:t>Motifs on the Kasauti stone pillars</w:t>
      </w:r>
    </w:p>
    <w:p>
      <w:pPr>
        <w:pStyle w:val="BodyText"/>
        <w:rPr>
          <w:i/>
          <w:sz w:val="28"/>
        </w:rPr>
      </w:pPr>
    </w:p>
    <w:p>
      <w:pPr>
        <w:pStyle w:val="BodyText"/>
        <w:spacing w:before="7"/>
        <w:rPr>
          <w:i/>
          <w:sz w:val="23"/>
        </w:rPr>
      </w:pPr>
    </w:p>
    <w:p>
      <w:pPr>
        <w:pStyle w:val="ListParagraph"/>
        <w:numPr>
          <w:ilvl w:val="0"/>
          <w:numId w:val="111"/>
        </w:numPr>
        <w:tabs>
          <w:tab w:pos="1220" w:val="left" w:leader="none"/>
          <w:tab w:pos="1221" w:val="left" w:leader="none"/>
        </w:tabs>
        <w:spacing w:line="482" w:lineRule="auto" w:before="0" w:after="0"/>
        <w:ind w:left="500" w:right="444" w:firstLine="0"/>
        <w:jc w:val="left"/>
        <w:rPr>
          <w:sz w:val="25"/>
        </w:rPr>
      </w:pPr>
      <w:r>
        <w:rPr>
          <w:sz w:val="25"/>
        </w:rPr>
        <w:t>Evidence was produced before the High Court of the motifs on the pillars in the</w:t>
      </w:r>
      <w:r>
        <w:rPr>
          <w:spacing w:val="13"/>
          <w:sz w:val="25"/>
        </w:rPr>
        <w:t> </w:t>
      </w:r>
      <w:r>
        <w:rPr>
          <w:sz w:val="25"/>
        </w:rPr>
        <w:t>disputed</w:t>
      </w:r>
      <w:r>
        <w:rPr>
          <w:spacing w:val="14"/>
          <w:sz w:val="25"/>
        </w:rPr>
        <w:t> </w:t>
      </w:r>
      <w:r>
        <w:rPr>
          <w:sz w:val="25"/>
        </w:rPr>
        <w:t>building.</w:t>
      </w:r>
      <w:r>
        <w:rPr>
          <w:spacing w:val="12"/>
          <w:sz w:val="25"/>
        </w:rPr>
        <w:t> </w:t>
      </w:r>
      <w:r>
        <w:rPr>
          <w:sz w:val="25"/>
        </w:rPr>
        <w:t>Three</w:t>
      </w:r>
      <w:r>
        <w:rPr>
          <w:spacing w:val="13"/>
          <w:sz w:val="25"/>
        </w:rPr>
        <w:t> </w:t>
      </w:r>
      <w:r>
        <w:rPr>
          <w:sz w:val="25"/>
        </w:rPr>
        <w:t>sets</w:t>
      </w:r>
      <w:r>
        <w:rPr>
          <w:spacing w:val="12"/>
          <w:sz w:val="25"/>
        </w:rPr>
        <w:t> </w:t>
      </w:r>
      <w:r>
        <w:rPr>
          <w:sz w:val="25"/>
        </w:rPr>
        <w:t>of</w:t>
      </w:r>
      <w:r>
        <w:rPr>
          <w:spacing w:val="13"/>
          <w:sz w:val="25"/>
        </w:rPr>
        <w:t> </w:t>
      </w:r>
      <w:r>
        <w:rPr>
          <w:sz w:val="25"/>
        </w:rPr>
        <w:t>albums</w:t>
      </w:r>
      <w:r>
        <w:rPr>
          <w:spacing w:val="12"/>
          <w:sz w:val="25"/>
        </w:rPr>
        <w:t> </w:t>
      </w:r>
      <w:r>
        <w:rPr>
          <w:sz w:val="25"/>
        </w:rPr>
        <w:t>containing</w:t>
      </w:r>
      <w:r>
        <w:rPr>
          <w:spacing w:val="13"/>
          <w:sz w:val="25"/>
        </w:rPr>
        <w:t> </w:t>
      </w:r>
      <w:r>
        <w:rPr>
          <w:sz w:val="25"/>
        </w:rPr>
        <w:t>photographs</w:t>
      </w:r>
      <w:r>
        <w:rPr>
          <w:spacing w:val="12"/>
          <w:sz w:val="25"/>
        </w:rPr>
        <w:t> </w:t>
      </w:r>
      <w:r>
        <w:rPr>
          <w:sz w:val="25"/>
        </w:rPr>
        <w:t>taken</w:t>
      </w:r>
      <w:r>
        <w:rPr>
          <w:spacing w:val="13"/>
          <w:sz w:val="25"/>
        </w:rPr>
        <w:t> </w:t>
      </w:r>
      <w:r>
        <w:rPr>
          <w:sz w:val="25"/>
        </w:rPr>
        <w:t>by</w:t>
      </w:r>
      <w:r>
        <w:rPr>
          <w:spacing w:val="11"/>
          <w:sz w:val="25"/>
        </w:rPr>
        <w:t> </w:t>
      </w:r>
      <w:r>
        <w:rPr>
          <w:sz w:val="25"/>
        </w:rPr>
        <w:t>the</w:t>
      </w:r>
    </w:p>
    <w:p>
      <w:pPr>
        <w:spacing w:after="0" w:line="482" w:lineRule="auto"/>
        <w:jc w:val="left"/>
        <w:rPr>
          <w:sz w:val="25"/>
        </w:rPr>
        <w:sectPr>
          <w:pgSz w:w="11910" w:h="16840"/>
          <w:pgMar w:header="721" w:footer="1014" w:top="1300" w:bottom="1200" w:left="940" w:right="1000"/>
        </w:sectPr>
      </w:pPr>
    </w:p>
    <w:p>
      <w:pPr>
        <w:pStyle w:val="BodyText"/>
        <w:spacing w:line="480" w:lineRule="auto" w:before="124"/>
        <w:ind w:left="500" w:right="434"/>
        <w:jc w:val="both"/>
      </w:pPr>
      <w:r>
        <w:rPr/>
        <w:t>State Archaeological Department pursuant to an order dated 10 January 1990 were produced. Dr Rakesh Tewari (OPW-14) who was the Director of the State Archaeological Department verified the photographs. The first album contained 204 coloured photographs and was marked as paper no. 200 C1/1 -204. The second album contained 111 black and white photographs and was marked as paper no. 201C/1-111. The High Court annexed the photographs as Appendices 5(A) to 5(DD) of its judgment. The photographs contain depictions of the black Kasauti stone pillars. Several of the witnesses on behalf of the plaintiff in Suit 4 deposed during the course of their evidence in regard to these photographs. Relevant extracts from the deposition of Farooq Ahmad (PW-3) have been re- produced in the judgment of Justice Sudhir Agarwal. Extracts from the testimony are quoted below:</w:t>
      </w:r>
    </w:p>
    <w:p>
      <w:pPr>
        <w:pStyle w:val="Heading5"/>
        <w:spacing w:before="157"/>
        <w:ind w:left="558" w:firstLine="0"/>
        <w:rPr>
          <w:b w:val="0"/>
        </w:rPr>
      </w:pPr>
      <w:r>
        <w:rPr/>
        <w:t>Farooq Ahmad (PW-3)</w:t>
      </w:r>
      <w:r>
        <w:rPr>
          <w:b w:val="0"/>
        </w:rPr>
        <w:t>:</w:t>
      </w:r>
    </w:p>
    <w:p>
      <w:pPr>
        <w:pStyle w:val="BodyText"/>
        <w:spacing w:before="3"/>
      </w:pPr>
    </w:p>
    <w:p>
      <w:pPr>
        <w:spacing w:line="276" w:lineRule="auto" w:before="0"/>
        <w:ind w:left="1940" w:right="2261" w:firstLine="0"/>
        <w:jc w:val="both"/>
        <w:rPr>
          <w:sz w:val="21"/>
        </w:rPr>
      </w:pPr>
      <w:r>
        <w:rPr>
          <w:w w:val="33"/>
          <w:sz w:val="21"/>
        </w:rPr>
        <w:t>―</w:t>
      </w:r>
      <w:r>
        <w:rPr>
          <w:w w:val="100"/>
          <w:sz w:val="21"/>
        </w:rPr>
        <w:t>Idols</w:t>
      </w:r>
      <w:r>
        <w:rPr>
          <w:sz w:val="21"/>
        </w:rPr>
        <w:t>  </w:t>
      </w:r>
      <w:r>
        <w:rPr>
          <w:w w:val="100"/>
          <w:sz w:val="21"/>
        </w:rPr>
        <w:t>are</w:t>
      </w:r>
      <w:r>
        <w:rPr>
          <w:sz w:val="21"/>
        </w:rPr>
        <w:t>  </w:t>
      </w:r>
      <w:r>
        <w:rPr>
          <w:w w:val="100"/>
          <w:sz w:val="21"/>
        </w:rPr>
        <w:t>visible</w:t>
      </w:r>
      <w:r>
        <w:rPr>
          <w:sz w:val="21"/>
        </w:rPr>
        <w:t>  </w:t>
      </w:r>
      <w:r>
        <w:rPr>
          <w:w w:val="100"/>
          <w:sz w:val="21"/>
        </w:rPr>
        <w:t>in</w:t>
      </w:r>
      <w:r>
        <w:rPr>
          <w:sz w:val="21"/>
        </w:rPr>
        <w:t>  </w:t>
      </w:r>
      <w:r>
        <w:rPr>
          <w:w w:val="100"/>
          <w:sz w:val="21"/>
        </w:rPr>
        <w:t>photograph</w:t>
      </w:r>
      <w:r>
        <w:rPr>
          <w:sz w:val="21"/>
        </w:rPr>
        <w:t>  </w:t>
      </w:r>
      <w:r>
        <w:rPr>
          <w:w w:val="100"/>
          <w:sz w:val="21"/>
        </w:rPr>
        <w:t>no.</w:t>
      </w:r>
      <w:r>
        <w:rPr>
          <w:sz w:val="21"/>
        </w:rPr>
        <w:t>  </w:t>
      </w:r>
      <w:r>
        <w:rPr>
          <w:w w:val="100"/>
          <w:sz w:val="21"/>
        </w:rPr>
        <w:t>57,</w:t>
      </w:r>
      <w:r>
        <w:rPr>
          <w:sz w:val="21"/>
        </w:rPr>
        <w:t>  </w:t>
      </w:r>
      <w:r>
        <w:rPr>
          <w:w w:val="100"/>
          <w:sz w:val="21"/>
        </w:rPr>
        <w:t>which</w:t>
      </w:r>
      <w:r>
        <w:rPr>
          <w:sz w:val="21"/>
        </w:rPr>
        <w:t>  </w:t>
      </w:r>
      <w:r>
        <w:rPr>
          <w:w w:val="100"/>
          <w:sz w:val="21"/>
        </w:rPr>
        <w:t>were</w:t>
      </w:r>
      <w:r>
        <w:rPr>
          <w:sz w:val="21"/>
        </w:rPr>
        <w:t>  </w:t>
      </w:r>
      <w:r>
        <w:rPr>
          <w:w w:val="100"/>
          <w:sz w:val="21"/>
        </w:rPr>
        <w:t>not </w:t>
      </w:r>
      <w:r>
        <w:rPr>
          <w:sz w:val="21"/>
        </w:rPr>
        <w:t>present at that time. This photograph is also of the disputed property but it is possible that it may have been changed because at that time there were no idols over the pillars. An idol is visible in the upper part of photograph no. 58 as well. There was a black pillar at the gate, which did not have any idol and it is possible that it may have been changed subsequently...It is only after looking at the photograph that I am stating that the pillars may have been changed. These pillars have idols on their top and it is only after looking at them that I am stating that these pillars have been changed.‖</w:t>
      </w:r>
    </w:p>
    <w:p>
      <w:pPr>
        <w:spacing w:line="276" w:lineRule="auto" w:before="1"/>
        <w:ind w:left="1940" w:right="2261" w:firstLine="0"/>
        <w:jc w:val="both"/>
        <w:rPr>
          <w:sz w:val="21"/>
        </w:rPr>
      </w:pPr>
      <w:r>
        <w:rPr>
          <w:w w:val="33"/>
          <w:sz w:val="21"/>
        </w:rPr>
        <w:t>―</w:t>
      </w:r>
      <w:r>
        <w:rPr>
          <w:w w:val="100"/>
          <w:sz w:val="21"/>
        </w:rPr>
        <w:t>In</w:t>
      </w:r>
      <w:r>
        <w:rPr>
          <w:sz w:val="21"/>
        </w:rPr>
        <w:t> </w:t>
      </w:r>
      <w:r>
        <w:rPr>
          <w:w w:val="100"/>
          <w:sz w:val="21"/>
        </w:rPr>
        <w:t>photograph</w:t>
      </w:r>
      <w:r>
        <w:rPr>
          <w:sz w:val="21"/>
        </w:rPr>
        <w:t> </w:t>
      </w:r>
      <w:r>
        <w:rPr>
          <w:w w:val="100"/>
          <w:sz w:val="21"/>
        </w:rPr>
        <w:t>no.</w:t>
      </w:r>
      <w:r>
        <w:rPr>
          <w:sz w:val="21"/>
        </w:rPr>
        <w:t> </w:t>
      </w:r>
      <w:r>
        <w:rPr>
          <w:w w:val="100"/>
          <w:sz w:val="21"/>
        </w:rPr>
        <w:t>62</w:t>
      </w:r>
      <w:r>
        <w:rPr>
          <w:sz w:val="21"/>
        </w:rPr>
        <w:t> </w:t>
      </w:r>
      <w:r>
        <w:rPr>
          <w:w w:val="100"/>
          <w:sz w:val="21"/>
        </w:rPr>
        <w:t>there</w:t>
      </w:r>
      <w:r>
        <w:rPr>
          <w:sz w:val="21"/>
        </w:rPr>
        <w:t> </w:t>
      </w:r>
      <w:r>
        <w:rPr>
          <w:w w:val="100"/>
          <w:sz w:val="21"/>
        </w:rPr>
        <w:t>is</w:t>
      </w:r>
      <w:r>
        <w:rPr>
          <w:sz w:val="21"/>
        </w:rPr>
        <w:t> </w:t>
      </w:r>
      <w:r>
        <w:rPr>
          <w:w w:val="100"/>
          <w:sz w:val="21"/>
        </w:rPr>
        <w:t>a</w:t>
      </w:r>
      <w:r>
        <w:rPr>
          <w:sz w:val="21"/>
        </w:rPr>
        <w:t> </w:t>
      </w:r>
      <w:r>
        <w:rPr>
          <w:w w:val="100"/>
          <w:sz w:val="21"/>
        </w:rPr>
        <w:t>pillar</w:t>
      </w:r>
      <w:r>
        <w:rPr>
          <w:sz w:val="21"/>
        </w:rPr>
        <w:t> </w:t>
      </w:r>
      <w:r>
        <w:rPr>
          <w:w w:val="100"/>
          <w:sz w:val="21"/>
        </w:rPr>
        <w:t>like</w:t>
      </w:r>
      <w:r>
        <w:rPr>
          <w:sz w:val="21"/>
        </w:rPr>
        <w:t> </w:t>
      </w:r>
      <w:r>
        <w:rPr>
          <w:w w:val="100"/>
          <w:sz w:val="21"/>
        </w:rPr>
        <w:t>structure</w:t>
      </w:r>
      <w:r>
        <w:rPr>
          <w:sz w:val="21"/>
        </w:rPr>
        <w:t> </w:t>
      </w:r>
      <w:r>
        <w:rPr>
          <w:w w:val="100"/>
          <w:sz w:val="21"/>
        </w:rPr>
        <w:t>near</w:t>
      </w:r>
      <w:r>
        <w:rPr>
          <w:sz w:val="21"/>
        </w:rPr>
        <w:t> </w:t>
      </w:r>
      <w:r>
        <w:rPr>
          <w:w w:val="100"/>
          <w:sz w:val="21"/>
        </w:rPr>
        <w:t>the </w:t>
      </w:r>
      <w:r>
        <w:rPr>
          <w:sz w:val="21"/>
        </w:rPr>
        <w:t>grill, which has idols. This pillar is at the northern gate of the disputed property… It is visible in white color in photograph no. 64 as well, and the idols are also visible…The photograph no. 65 is of the main gate. However, its pillar contained idols, which are result of change. The photograph no. 66 is also of the eastern side but it has idols, which are result of change.‖</w:t>
      </w:r>
    </w:p>
    <w:p>
      <w:pPr>
        <w:spacing w:line="276" w:lineRule="auto" w:before="0"/>
        <w:ind w:left="1940" w:right="2260" w:firstLine="0"/>
        <w:jc w:val="both"/>
        <w:rPr>
          <w:sz w:val="21"/>
        </w:rPr>
      </w:pPr>
      <w:r>
        <w:rPr>
          <w:w w:val="33"/>
          <w:sz w:val="21"/>
        </w:rPr>
        <w:t>―</w:t>
      </w:r>
      <w:r>
        <w:rPr>
          <w:w w:val="100"/>
          <w:sz w:val="21"/>
        </w:rPr>
        <w:t>The</w:t>
      </w:r>
      <w:r>
        <w:rPr>
          <w:sz w:val="21"/>
        </w:rPr>
        <w:t> </w:t>
      </w:r>
      <w:r>
        <w:rPr>
          <w:w w:val="100"/>
          <w:sz w:val="21"/>
        </w:rPr>
        <w:t>photograph</w:t>
      </w:r>
      <w:r>
        <w:rPr>
          <w:sz w:val="21"/>
        </w:rPr>
        <w:t> </w:t>
      </w:r>
      <w:r>
        <w:rPr>
          <w:w w:val="100"/>
          <w:sz w:val="21"/>
        </w:rPr>
        <w:t>no.</w:t>
      </w:r>
      <w:r>
        <w:rPr>
          <w:sz w:val="21"/>
        </w:rPr>
        <w:t> </w:t>
      </w:r>
      <w:r>
        <w:rPr>
          <w:w w:val="100"/>
          <w:sz w:val="21"/>
        </w:rPr>
        <w:t>72</w:t>
      </w:r>
      <w:r>
        <w:rPr>
          <w:sz w:val="21"/>
        </w:rPr>
        <w:t> </w:t>
      </w:r>
      <w:r>
        <w:rPr>
          <w:w w:val="100"/>
          <w:sz w:val="21"/>
        </w:rPr>
        <w:t>does</w:t>
      </w:r>
      <w:r>
        <w:rPr>
          <w:sz w:val="21"/>
        </w:rPr>
        <w:t> </w:t>
      </w:r>
      <w:r>
        <w:rPr>
          <w:w w:val="100"/>
          <w:sz w:val="21"/>
        </w:rPr>
        <w:t>contain</w:t>
      </w:r>
      <w:r>
        <w:rPr>
          <w:sz w:val="21"/>
        </w:rPr>
        <w:t> </w:t>
      </w:r>
      <w:r>
        <w:rPr>
          <w:w w:val="100"/>
          <w:sz w:val="21"/>
        </w:rPr>
        <w:t>black</w:t>
      </w:r>
      <w:r>
        <w:rPr>
          <w:sz w:val="21"/>
        </w:rPr>
        <w:t> </w:t>
      </w:r>
      <w:r>
        <w:rPr>
          <w:w w:val="100"/>
          <w:sz w:val="21"/>
        </w:rPr>
        <w:t>pillars</w:t>
      </w:r>
      <w:r>
        <w:rPr>
          <w:sz w:val="21"/>
        </w:rPr>
        <w:t> </w:t>
      </w:r>
      <w:r>
        <w:rPr>
          <w:w w:val="100"/>
          <w:sz w:val="21"/>
        </w:rPr>
        <w:t>but</w:t>
      </w:r>
      <w:r>
        <w:rPr>
          <w:sz w:val="21"/>
        </w:rPr>
        <w:t> </w:t>
      </w:r>
      <w:r>
        <w:rPr>
          <w:w w:val="100"/>
          <w:sz w:val="21"/>
        </w:rPr>
        <w:t>i</w:t>
      </w:r>
      <w:r>
        <w:rPr>
          <w:w w:val="100"/>
          <w:sz w:val="21"/>
        </w:rPr>
        <w:t>t</w:t>
      </w:r>
      <w:r>
        <w:rPr>
          <w:sz w:val="21"/>
        </w:rPr>
        <w:t> </w:t>
      </w:r>
      <w:r>
        <w:rPr>
          <w:w w:val="100"/>
          <w:sz w:val="21"/>
        </w:rPr>
        <w:t>ha</w:t>
      </w:r>
      <w:r>
        <w:rPr>
          <w:w w:val="100"/>
          <w:sz w:val="21"/>
        </w:rPr>
        <w:t>s </w:t>
      </w:r>
      <w:r>
        <w:rPr>
          <w:sz w:val="21"/>
        </w:rPr>
        <w:t>idols in upper and lower part… Similar is the position of the two pillars of photograph no. 71. Same is with the pillar shown in photograph on. 73. It also contains idols. The photograph</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0" w:firstLine="0"/>
        <w:jc w:val="both"/>
        <w:rPr>
          <w:sz w:val="21"/>
        </w:rPr>
      </w:pPr>
      <w:r>
        <w:rPr>
          <w:sz w:val="21"/>
        </w:rPr>
        <w:t>no. 74 is also similar, which has idols over pillars. This pillar has been shown completely from all sides, which had been fixed over there.‖</w:t>
      </w:r>
    </w:p>
    <w:p>
      <w:pPr>
        <w:spacing w:line="276" w:lineRule="auto" w:before="0"/>
        <w:ind w:left="1940" w:right="2264" w:firstLine="0"/>
        <w:jc w:val="both"/>
        <w:rPr>
          <w:sz w:val="21"/>
        </w:rPr>
      </w:pPr>
      <w:r>
        <w:rPr>
          <w:w w:val="33"/>
          <w:sz w:val="21"/>
        </w:rPr>
        <w:t>―</w:t>
      </w:r>
      <w:r>
        <w:rPr>
          <w:w w:val="100"/>
          <w:sz w:val="21"/>
        </w:rPr>
        <w:t>The</w:t>
      </w:r>
      <w:r>
        <w:rPr>
          <w:sz w:val="21"/>
        </w:rPr>
        <w:t>  </w:t>
      </w:r>
      <w:r>
        <w:rPr>
          <w:w w:val="100"/>
          <w:sz w:val="21"/>
        </w:rPr>
        <w:t>photograph</w:t>
      </w:r>
      <w:r>
        <w:rPr>
          <w:sz w:val="21"/>
        </w:rPr>
        <w:t>  </w:t>
      </w:r>
      <w:r>
        <w:rPr>
          <w:w w:val="100"/>
          <w:sz w:val="21"/>
        </w:rPr>
        <w:t>no.</w:t>
      </w:r>
      <w:r>
        <w:rPr>
          <w:sz w:val="21"/>
        </w:rPr>
        <w:t>  </w:t>
      </w:r>
      <w:r>
        <w:rPr>
          <w:w w:val="100"/>
          <w:sz w:val="21"/>
        </w:rPr>
        <w:t>101</w:t>
      </w:r>
      <w:r>
        <w:rPr>
          <w:sz w:val="21"/>
        </w:rPr>
        <w:t>  </w:t>
      </w:r>
      <w:r>
        <w:rPr>
          <w:w w:val="100"/>
          <w:sz w:val="21"/>
        </w:rPr>
        <w:t>is</w:t>
      </w:r>
      <w:r>
        <w:rPr>
          <w:sz w:val="21"/>
        </w:rPr>
        <w:t>  </w:t>
      </w:r>
      <w:r>
        <w:rPr>
          <w:w w:val="100"/>
          <w:sz w:val="21"/>
        </w:rPr>
        <w:t>also</w:t>
      </w:r>
      <w:r>
        <w:rPr>
          <w:sz w:val="21"/>
        </w:rPr>
        <w:t>  </w:t>
      </w:r>
      <w:r>
        <w:rPr>
          <w:w w:val="100"/>
          <w:sz w:val="21"/>
        </w:rPr>
        <w:t>of</w:t>
      </w:r>
      <w:r>
        <w:rPr>
          <w:sz w:val="21"/>
        </w:rPr>
        <w:t>  </w:t>
      </w:r>
      <w:r>
        <w:rPr>
          <w:w w:val="100"/>
          <w:sz w:val="21"/>
        </w:rPr>
        <w:t>that</w:t>
      </w:r>
      <w:r>
        <w:rPr>
          <w:sz w:val="21"/>
        </w:rPr>
        <w:t>  </w:t>
      </w:r>
      <w:r>
        <w:rPr>
          <w:w w:val="100"/>
          <w:sz w:val="21"/>
        </w:rPr>
        <w:t>place,</w:t>
      </w:r>
      <w:r>
        <w:rPr>
          <w:sz w:val="21"/>
        </w:rPr>
        <w:t>  </w:t>
      </w:r>
      <w:r>
        <w:rPr>
          <w:w w:val="100"/>
          <w:sz w:val="21"/>
        </w:rPr>
        <w:t>but</w:t>
      </w:r>
      <w:r>
        <w:rPr>
          <w:sz w:val="21"/>
        </w:rPr>
        <w:t>  </w:t>
      </w:r>
      <w:r>
        <w:rPr>
          <w:w w:val="100"/>
          <w:sz w:val="21"/>
        </w:rPr>
        <w:t>many </w:t>
      </w:r>
      <w:r>
        <w:rPr>
          <w:sz w:val="21"/>
        </w:rPr>
        <w:t>changes have been made therein. The idols are also existing and the pitchers (Kalash) are also existing.‖</w:t>
      </w:r>
    </w:p>
    <w:p>
      <w:pPr>
        <w:spacing w:line="276" w:lineRule="auto" w:before="0"/>
        <w:ind w:left="1940" w:right="2264" w:firstLine="0"/>
        <w:jc w:val="both"/>
        <w:rPr>
          <w:sz w:val="21"/>
        </w:rPr>
      </w:pPr>
      <w:r>
        <w:rPr>
          <w:spacing w:val="-1"/>
          <w:w w:val="33"/>
          <w:sz w:val="21"/>
        </w:rPr>
        <w:t>―</w:t>
      </w:r>
      <w:r>
        <w:rPr>
          <w:spacing w:val="-2"/>
          <w:w w:val="100"/>
          <w:sz w:val="21"/>
        </w:rPr>
        <w:t>I</w:t>
      </w:r>
      <w:r>
        <w:rPr>
          <w:w w:val="100"/>
          <w:sz w:val="21"/>
        </w:rPr>
        <w:t>t</w:t>
      </w:r>
      <w:r>
        <w:rPr>
          <w:sz w:val="21"/>
        </w:rPr>
        <w:t> </w:t>
      </w:r>
      <w:r>
        <w:rPr>
          <w:w w:val="100"/>
          <w:sz w:val="21"/>
        </w:rPr>
        <w:t>is</w:t>
      </w:r>
      <w:r>
        <w:rPr>
          <w:sz w:val="21"/>
        </w:rPr>
        <w:t> </w:t>
      </w:r>
      <w:r>
        <w:rPr>
          <w:spacing w:val="-2"/>
          <w:w w:val="100"/>
          <w:sz w:val="21"/>
        </w:rPr>
        <w:t>t</w:t>
      </w:r>
      <w:r>
        <w:rPr>
          <w:spacing w:val="-1"/>
          <w:w w:val="100"/>
          <w:sz w:val="21"/>
        </w:rPr>
        <w:t>ru</w:t>
      </w:r>
      <w:r>
        <w:rPr>
          <w:w w:val="100"/>
          <w:sz w:val="21"/>
        </w:rPr>
        <w:t>e</w:t>
      </w:r>
      <w:r>
        <w:rPr>
          <w:sz w:val="21"/>
        </w:rPr>
        <w:t> </w:t>
      </w:r>
      <w:r>
        <w:rPr>
          <w:spacing w:val="-2"/>
          <w:w w:val="100"/>
          <w:sz w:val="21"/>
        </w:rPr>
        <w:t>t</w:t>
      </w:r>
      <w:r>
        <w:rPr>
          <w:spacing w:val="1"/>
          <w:w w:val="100"/>
          <w:sz w:val="21"/>
        </w:rPr>
        <w:t>h</w:t>
      </w:r>
      <w:r>
        <w:rPr>
          <w:w w:val="100"/>
          <w:sz w:val="21"/>
        </w:rPr>
        <w:t>at</w:t>
      </w:r>
      <w:r>
        <w:rPr>
          <w:sz w:val="21"/>
        </w:rPr>
        <w:t> </w:t>
      </w:r>
      <w:r>
        <w:rPr>
          <w:w w:val="100"/>
          <w:sz w:val="21"/>
        </w:rPr>
        <w:t>a</w:t>
      </w:r>
      <w:r>
        <w:rPr>
          <w:spacing w:val="-2"/>
          <w:w w:val="100"/>
          <w:sz w:val="21"/>
        </w:rPr>
        <w:t>l</w:t>
      </w:r>
      <w:r>
        <w:rPr>
          <w:w w:val="100"/>
          <w:sz w:val="21"/>
        </w:rPr>
        <w:t>l</w:t>
      </w:r>
      <w:r>
        <w:rPr>
          <w:sz w:val="21"/>
        </w:rPr>
        <w:t> </w:t>
      </w:r>
      <w:r>
        <w:rPr>
          <w:spacing w:val="-2"/>
          <w:w w:val="100"/>
          <w:sz w:val="21"/>
        </w:rPr>
        <w:t>t</w:t>
      </w:r>
      <w:r>
        <w:rPr>
          <w:w w:val="100"/>
          <w:sz w:val="21"/>
        </w:rPr>
        <w:t>he</w:t>
      </w:r>
      <w:r>
        <w:rPr>
          <w:sz w:val="21"/>
        </w:rPr>
        <w:t> </w:t>
      </w:r>
      <w:r>
        <w:rPr>
          <w:w w:val="100"/>
          <w:sz w:val="21"/>
        </w:rPr>
        <w:t>phot</w:t>
      </w:r>
      <w:r>
        <w:rPr>
          <w:spacing w:val="-3"/>
          <w:w w:val="100"/>
          <w:sz w:val="21"/>
        </w:rPr>
        <w:t>o</w:t>
      </w:r>
      <w:r>
        <w:rPr>
          <w:w w:val="100"/>
          <w:sz w:val="21"/>
        </w:rPr>
        <w:t>graphs</w:t>
      </w:r>
      <w:r>
        <w:rPr>
          <w:sz w:val="21"/>
        </w:rPr>
        <w:t> </w:t>
      </w:r>
      <w:r>
        <w:rPr>
          <w:w w:val="100"/>
          <w:sz w:val="21"/>
        </w:rPr>
        <w:t>con</w:t>
      </w:r>
      <w:r>
        <w:rPr>
          <w:spacing w:val="-1"/>
          <w:w w:val="100"/>
          <w:sz w:val="21"/>
        </w:rPr>
        <w:t>t</w:t>
      </w:r>
      <w:r>
        <w:rPr>
          <w:spacing w:val="-3"/>
          <w:w w:val="100"/>
          <w:sz w:val="21"/>
        </w:rPr>
        <w:t>a</w:t>
      </w:r>
      <w:r>
        <w:rPr>
          <w:w w:val="100"/>
          <w:sz w:val="21"/>
        </w:rPr>
        <w:t>i</w:t>
      </w:r>
      <w:r>
        <w:rPr>
          <w:spacing w:val="-3"/>
          <w:w w:val="100"/>
          <w:sz w:val="21"/>
        </w:rPr>
        <w:t>n</w:t>
      </w:r>
      <w:r>
        <w:rPr>
          <w:w w:val="100"/>
          <w:sz w:val="21"/>
        </w:rPr>
        <w:t>ed</w:t>
      </w:r>
      <w:r>
        <w:rPr>
          <w:sz w:val="21"/>
        </w:rPr>
        <w:t> </w:t>
      </w:r>
      <w:r>
        <w:rPr>
          <w:w w:val="100"/>
          <w:sz w:val="21"/>
        </w:rPr>
        <w:t>i</w:t>
      </w:r>
      <w:r>
        <w:rPr>
          <w:w w:val="100"/>
          <w:sz w:val="21"/>
        </w:rPr>
        <w:t>n</w:t>
      </w:r>
      <w:r>
        <w:rPr>
          <w:sz w:val="21"/>
        </w:rPr>
        <w:t> </w:t>
      </w:r>
      <w:r>
        <w:rPr>
          <w:spacing w:val="-2"/>
          <w:w w:val="100"/>
          <w:sz w:val="21"/>
        </w:rPr>
        <w:t>t</w:t>
      </w:r>
      <w:r>
        <w:rPr>
          <w:spacing w:val="-3"/>
          <w:w w:val="100"/>
          <w:sz w:val="21"/>
        </w:rPr>
        <w:t>h</w:t>
      </w:r>
      <w:r>
        <w:rPr>
          <w:w w:val="100"/>
          <w:sz w:val="21"/>
        </w:rPr>
        <w:t>i</w:t>
      </w:r>
      <w:r>
        <w:rPr>
          <w:w w:val="100"/>
          <w:sz w:val="21"/>
        </w:rPr>
        <w:t>s</w:t>
      </w:r>
      <w:r>
        <w:rPr>
          <w:sz w:val="21"/>
        </w:rPr>
        <w:t> </w:t>
      </w:r>
      <w:r>
        <w:rPr>
          <w:spacing w:val="-3"/>
          <w:w w:val="100"/>
          <w:sz w:val="21"/>
        </w:rPr>
        <w:t>a</w:t>
      </w:r>
      <w:r>
        <w:rPr>
          <w:spacing w:val="-2"/>
          <w:w w:val="100"/>
          <w:sz w:val="21"/>
        </w:rPr>
        <w:t>l</w:t>
      </w:r>
      <w:r>
        <w:rPr>
          <w:w w:val="100"/>
          <w:sz w:val="21"/>
        </w:rPr>
        <w:t>b</w:t>
      </w:r>
      <w:r>
        <w:rPr>
          <w:spacing w:val="-3"/>
          <w:w w:val="100"/>
          <w:sz w:val="21"/>
        </w:rPr>
        <w:t>u</w:t>
      </w:r>
      <w:r>
        <w:rPr>
          <w:spacing w:val="1"/>
          <w:w w:val="100"/>
          <w:sz w:val="21"/>
        </w:rPr>
        <w:t>m</w:t>
      </w:r>
      <w:r>
        <w:rPr>
          <w:w w:val="100"/>
          <w:sz w:val="21"/>
        </w:rPr>
        <w:t>,</w:t>
      </w:r>
      <w:r>
        <w:rPr>
          <w:sz w:val="21"/>
        </w:rPr>
        <w:t> </w:t>
      </w:r>
      <w:r>
        <w:rPr>
          <w:w w:val="100"/>
          <w:sz w:val="21"/>
        </w:rPr>
        <w:t>h</w:t>
      </w:r>
      <w:r>
        <w:rPr>
          <w:spacing w:val="-3"/>
          <w:w w:val="100"/>
          <w:sz w:val="21"/>
        </w:rPr>
        <w:t>a</w:t>
      </w:r>
      <w:r>
        <w:rPr>
          <w:w w:val="100"/>
          <w:sz w:val="21"/>
        </w:rPr>
        <w:t>d </w:t>
      </w:r>
      <w:r>
        <w:rPr>
          <w:sz w:val="21"/>
        </w:rPr>
        <w:t>been taken in the presence of my counsel. All these photographs are of the disputed land and property.‖</w:t>
      </w:r>
    </w:p>
    <w:p>
      <w:pPr>
        <w:pStyle w:val="BodyText"/>
        <w:rPr>
          <w:sz w:val="24"/>
        </w:rPr>
      </w:pPr>
    </w:p>
    <w:p>
      <w:pPr>
        <w:pStyle w:val="BodyText"/>
        <w:spacing w:before="7"/>
        <w:rPr>
          <w:sz w:val="28"/>
        </w:rPr>
      </w:pPr>
    </w:p>
    <w:p>
      <w:pPr>
        <w:pStyle w:val="BodyText"/>
        <w:spacing w:line="480" w:lineRule="auto" w:before="1"/>
        <w:ind w:left="500" w:right="434"/>
        <w:jc w:val="both"/>
      </w:pPr>
      <w:r>
        <w:rPr/>
        <w:t>There were witnesses who deposed on behalf of the contesting Hindu parties. They also spoke about the idols depicted in the photographs of the pillars. These idols include depictions of Gods and Goddesses worshipped by Hindus such as Hanuman, Narsimha, Ganesh and Durga. The witnesses have also deposed about the images of a peacock, </w:t>
      </w:r>
      <w:r>
        <w:rPr>
          <w:i/>
        </w:rPr>
        <w:t>garuda </w:t>
      </w:r>
      <w:r>
        <w:rPr/>
        <w:t>and lotus. The witnesses who deposed in this regard on behalf of the Hindu parties were DW-3/5-1-2, 17/1, B/1-1, 17/1, 20/1 and</w:t>
      </w:r>
      <w:r>
        <w:rPr>
          <w:spacing w:val="-2"/>
        </w:rPr>
        <w:t> </w:t>
      </w:r>
      <w:r>
        <w:rPr/>
        <w:t>12/1.</w:t>
      </w:r>
    </w:p>
    <w:p>
      <w:pPr>
        <w:pStyle w:val="BodyText"/>
        <w:spacing w:before="10"/>
        <w:rPr>
          <w:sz w:val="38"/>
        </w:rPr>
      </w:pPr>
    </w:p>
    <w:p>
      <w:pPr>
        <w:pStyle w:val="BodyText"/>
        <w:ind w:left="500"/>
        <w:jc w:val="both"/>
      </w:pPr>
      <w:r>
        <w:rPr/>
        <w:t>Coupled with the photographs is the fact that during the course of the excavation,</w:t>
      </w:r>
    </w:p>
    <w:p>
      <w:pPr>
        <w:pStyle w:val="BodyText"/>
        <w:spacing w:before="1"/>
      </w:pPr>
    </w:p>
    <w:p>
      <w:pPr>
        <w:pStyle w:val="BodyText"/>
        <w:spacing w:line="480" w:lineRule="auto"/>
        <w:ind w:left="500" w:right="434"/>
        <w:jc w:val="both"/>
      </w:pPr>
      <w:r>
        <w:rPr/>
        <w:t>62 human and 131 animal figurines were found by the ASI. Justice Sudhir Agarwal noted that it was not in dispute that no Islamic religious artefacts were found during the excavation, while artefacts pertaining to a Hindu religious origin were found in abundance. Among them, as the learned Judge noted, were motifs of flowers (plates nos 51 and 62); the hood of a cobra (plate no. 129) and those pertaining to other Gods and Goddesses in human shape (plate nos 104-112, 114-116, 118-123 and 125-126). The witnesses who supported the findings and report of the ASI were Dr R Nagaswami (OPW- 17), Arun Kumar (OPW – 18) and Rakesh Dutt Trivedi (OPW-19).</w:t>
      </w:r>
    </w:p>
    <w:p>
      <w:pPr>
        <w:spacing w:after="0" w:line="480" w:lineRule="auto"/>
        <w:jc w:val="both"/>
        <w:sectPr>
          <w:pgSz w:w="11910" w:h="16840"/>
          <w:pgMar w:header="721" w:footer="1014" w:top="1300" w:bottom="1200" w:left="940" w:right="1000"/>
        </w:sectPr>
      </w:pPr>
    </w:p>
    <w:p>
      <w:pPr>
        <w:pStyle w:val="Heading4"/>
        <w:spacing w:before="126"/>
        <w:rPr>
          <w:i/>
        </w:rPr>
      </w:pPr>
      <w:r>
        <w:rPr>
          <w:i/>
        </w:rPr>
        <w:t>Objections to the ASI report</w:t>
      </w:r>
    </w:p>
    <w:p>
      <w:pPr>
        <w:pStyle w:val="BodyText"/>
        <w:rPr>
          <w:i/>
          <w:sz w:val="28"/>
        </w:rPr>
      </w:pPr>
    </w:p>
    <w:p>
      <w:pPr>
        <w:pStyle w:val="BodyText"/>
        <w:spacing w:before="9"/>
        <w:rPr>
          <w:i/>
          <w:sz w:val="36"/>
        </w:rPr>
      </w:pPr>
    </w:p>
    <w:p>
      <w:pPr>
        <w:pStyle w:val="ListParagraph"/>
        <w:numPr>
          <w:ilvl w:val="0"/>
          <w:numId w:val="111"/>
        </w:numPr>
        <w:tabs>
          <w:tab w:pos="1220" w:val="left" w:leader="none"/>
          <w:tab w:pos="1221" w:val="left" w:leader="none"/>
          <w:tab w:pos="1786" w:val="left" w:leader="none"/>
          <w:tab w:pos="3227" w:val="left" w:leader="none"/>
          <w:tab w:pos="4143" w:val="left" w:leader="none"/>
          <w:tab w:pos="5210" w:val="left" w:leader="none"/>
          <w:tab w:pos="6164" w:val="left" w:leader="none"/>
          <w:tab w:pos="7313" w:val="left" w:leader="none"/>
          <w:tab w:pos="7951" w:val="left" w:leader="none"/>
          <w:tab w:pos="9157" w:val="left" w:leader="none"/>
        </w:tabs>
        <w:spacing w:line="480" w:lineRule="auto" w:before="0" w:after="0"/>
        <w:ind w:left="500" w:right="445" w:firstLine="0"/>
        <w:jc w:val="left"/>
        <w:rPr>
          <w:sz w:val="25"/>
        </w:rPr>
      </w:pPr>
      <w:r>
        <w:rPr>
          <w:sz w:val="25"/>
        </w:rPr>
        <w:t>Ms</w:t>
        <w:tab/>
        <w:t>Meenakshi</w:t>
        <w:tab/>
        <w:t>Arora,</w:t>
        <w:tab/>
        <w:t>learned</w:t>
        <w:tab/>
        <w:t>Senior</w:t>
        <w:tab/>
        <w:t>Counsel</w:t>
        <w:tab/>
        <w:t>has</w:t>
        <w:tab/>
        <w:t>prefaced</w:t>
        <w:tab/>
      </w:r>
      <w:r>
        <w:rPr>
          <w:spacing w:val="-6"/>
          <w:sz w:val="25"/>
        </w:rPr>
        <w:t>her </w:t>
      </w:r>
      <w:r>
        <w:rPr>
          <w:sz w:val="25"/>
        </w:rPr>
        <w:t>submissions by formulating the following objections to the ASI</w:t>
      </w:r>
      <w:r>
        <w:rPr>
          <w:spacing w:val="-10"/>
          <w:sz w:val="25"/>
        </w:rPr>
        <w:t> </w:t>
      </w:r>
      <w:r>
        <w:rPr>
          <w:sz w:val="25"/>
        </w:rPr>
        <w:t>report:</w:t>
      </w:r>
    </w:p>
    <w:p>
      <w:pPr>
        <w:pStyle w:val="ListParagraph"/>
        <w:numPr>
          <w:ilvl w:val="0"/>
          <w:numId w:val="145"/>
        </w:numPr>
        <w:tabs>
          <w:tab w:pos="1220" w:val="left" w:leader="none"/>
          <w:tab w:pos="1221" w:val="left" w:leader="none"/>
        </w:tabs>
        <w:spacing w:line="240" w:lineRule="auto" w:before="161" w:after="0"/>
        <w:ind w:left="1220" w:right="0" w:hanging="721"/>
        <w:jc w:val="left"/>
        <w:rPr>
          <w:sz w:val="25"/>
        </w:rPr>
      </w:pPr>
      <w:r>
        <w:rPr>
          <w:sz w:val="25"/>
        </w:rPr>
        <w:t>The ASI report suffers from glaring errors and internal</w:t>
      </w:r>
      <w:r>
        <w:rPr>
          <w:spacing w:val="-12"/>
          <w:sz w:val="25"/>
        </w:rPr>
        <w:t> </w:t>
      </w:r>
      <w:r>
        <w:rPr>
          <w:sz w:val="25"/>
        </w:rPr>
        <w:t>inconsistencies;</w:t>
      </w:r>
    </w:p>
    <w:p>
      <w:pPr>
        <w:pStyle w:val="BodyText"/>
        <w:spacing w:before="10"/>
        <w:rPr>
          <w:sz w:val="24"/>
        </w:rPr>
      </w:pPr>
    </w:p>
    <w:p>
      <w:pPr>
        <w:pStyle w:val="ListParagraph"/>
        <w:numPr>
          <w:ilvl w:val="0"/>
          <w:numId w:val="145"/>
        </w:numPr>
        <w:tabs>
          <w:tab w:pos="1220" w:val="left" w:leader="none"/>
          <w:tab w:pos="1221" w:val="left" w:leader="none"/>
        </w:tabs>
        <w:spacing w:line="482" w:lineRule="auto" w:before="0" w:after="0"/>
        <w:ind w:left="1220" w:right="445" w:hanging="720"/>
        <w:jc w:val="left"/>
        <w:rPr>
          <w:sz w:val="25"/>
        </w:rPr>
      </w:pPr>
      <w:r>
        <w:rPr>
          <w:sz w:val="25"/>
        </w:rPr>
        <w:t>The ASI report is only an opinion of an archaeologist in view of Section 45 of the Evidence Act 1872; and</w:t>
      </w:r>
    </w:p>
    <w:p>
      <w:pPr>
        <w:pStyle w:val="ListParagraph"/>
        <w:numPr>
          <w:ilvl w:val="0"/>
          <w:numId w:val="145"/>
        </w:numPr>
        <w:tabs>
          <w:tab w:pos="1220" w:val="left" w:leader="none"/>
          <w:tab w:pos="1221" w:val="left" w:leader="none"/>
        </w:tabs>
        <w:spacing w:line="480" w:lineRule="auto" w:before="0" w:after="0"/>
        <w:ind w:left="1220" w:right="442" w:hanging="720"/>
        <w:jc w:val="left"/>
        <w:rPr>
          <w:sz w:val="25"/>
        </w:rPr>
      </w:pPr>
      <w:r>
        <w:rPr>
          <w:sz w:val="25"/>
        </w:rPr>
        <w:t>Archaeology is an inferential science which renders the report a weak account of</w:t>
      </w:r>
      <w:r>
        <w:rPr>
          <w:spacing w:val="-1"/>
          <w:sz w:val="25"/>
        </w:rPr>
        <w:t> </w:t>
      </w:r>
      <w:r>
        <w:rPr>
          <w:sz w:val="25"/>
        </w:rPr>
        <w:t>evidence.</w:t>
      </w:r>
    </w:p>
    <w:p>
      <w:pPr>
        <w:pStyle w:val="BodyText"/>
        <w:spacing w:before="6"/>
        <w:rPr>
          <w:sz w:val="24"/>
        </w:rPr>
      </w:pPr>
    </w:p>
    <w:p>
      <w:pPr>
        <w:pStyle w:val="BodyText"/>
        <w:spacing w:line="480" w:lineRule="auto"/>
        <w:ind w:left="500" w:right="445"/>
        <w:jc w:val="both"/>
      </w:pPr>
      <w:r>
        <w:rPr/>
        <w:t>Elaborating the third submission, Ms Arora submitted that archaeology is a social science as distinct from a natural science. Archaeology, in her submission, is not precise or exact as distinguished from the natural sciences which are based on verifiable hypotheses. Archaeology, the learned Senior Counsel urged, is based on drawing inferences in the context of what is found in the course of excavation and does not yield verifiable conclusions.</w:t>
      </w:r>
    </w:p>
    <w:p>
      <w:pPr>
        <w:pStyle w:val="BodyText"/>
        <w:rPr>
          <w:sz w:val="39"/>
        </w:rPr>
      </w:pPr>
    </w:p>
    <w:p>
      <w:pPr>
        <w:pStyle w:val="BodyText"/>
        <w:ind w:left="500"/>
        <w:jc w:val="both"/>
      </w:pPr>
      <w:r>
        <w:rPr/>
        <w:t>Ms Arora urged the following additional objections with respect to the ASI report:</w:t>
      </w:r>
    </w:p>
    <w:p>
      <w:pPr>
        <w:pStyle w:val="BodyText"/>
        <w:spacing w:before="10"/>
        <w:rPr>
          <w:sz w:val="38"/>
        </w:rPr>
      </w:pPr>
    </w:p>
    <w:p>
      <w:pPr>
        <w:pStyle w:val="ListParagraph"/>
        <w:numPr>
          <w:ilvl w:val="0"/>
          <w:numId w:val="146"/>
        </w:numPr>
        <w:tabs>
          <w:tab w:pos="1220" w:val="left" w:leader="none"/>
          <w:tab w:pos="1221" w:val="left" w:leader="none"/>
        </w:tabs>
        <w:spacing w:line="240" w:lineRule="auto" w:before="0" w:after="0"/>
        <w:ind w:left="1220" w:right="0" w:hanging="721"/>
        <w:jc w:val="left"/>
        <w:rPr>
          <w:sz w:val="25"/>
        </w:rPr>
      </w:pPr>
      <w:r>
        <w:rPr>
          <w:sz w:val="25"/>
        </w:rPr>
        <w:t>No witness was called to prove the ASI</w:t>
      </w:r>
      <w:r>
        <w:rPr>
          <w:spacing w:val="-9"/>
          <w:sz w:val="25"/>
        </w:rPr>
        <w:t> </w:t>
      </w:r>
      <w:r>
        <w:rPr>
          <w:sz w:val="25"/>
        </w:rPr>
        <w:t>report;</w:t>
      </w:r>
    </w:p>
    <w:p>
      <w:pPr>
        <w:pStyle w:val="BodyText"/>
        <w:spacing w:before="1"/>
      </w:pPr>
    </w:p>
    <w:p>
      <w:pPr>
        <w:pStyle w:val="ListParagraph"/>
        <w:numPr>
          <w:ilvl w:val="0"/>
          <w:numId w:val="146"/>
        </w:numPr>
        <w:tabs>
          <w:tab w:pos="1220" w:val="left" w:leader="none"/>
          <w:tab w:pos="1221" w:val="left" w:leader="none"/>
        </w:tabs>
        <w:spacing w:line="480" w:lineRule="auto" w:before="0" w:after="0"/>
        <w:ind w:left="1220" w:right="436" w:hanging="720"/>
        <w:jc w:val="left"/>
        <w:rPr>
          <w:sz w:val="25"/>
        </w:rPr>
      </w:pPr>
      <w:r>
        <w:rPr>
          <w:sz w:val="25"/>
        </w:rPr>
        <w:t>No finding has been recorded by the ASI on whether there was a </w:t>
      </w:r>
      <w:r>
        <w:rPr>
          <w:spacing w:val="2"/>
          <w:sz w:val="25"/>
        </w:rPr>
        <w:t>pre- </w:t>
      </w:r>
      <w:r>
        <w:rPr>
          <w:sz w:val="25"/>
        </w:rPr>
        <w:t>existing temple which was demolished for the construction of a</w:t>
      </w:r>
      <w:r>
        <w:rPr>
          <w:spacing w:val="-14"/>
          <w:sz w:val="25"/>
        </w:rPr>
        <w:t> </w:t>
      </w:r>
      <w:r>
        <w:rPr>
          <w:sz w:val="25"/>
        </w:rPr>
        <w:t>mosque;</w:t>
      </w:r>
    </w:p>
    <w:p>
      <w:pPr>
        <w:pStyle w:val="ListParagraph"/>
        <w:numPr>
          <w:ilvl w:val="0"/>
          <w:numId w:val="146"/>
        </w:numPr>
        <w:tabs>
          <w:tab w:pos="1220" w:val="left" w:leader="none"/>
          <w:tab w:pos="1221" w:val="left" w:leader="none"/>
        </w:tabs>
        <w:spacing w:line="480" w:lineRule="auto" w:before="0" w:after="0"/>
        <w:ind w:left="1220" w:right="437" w:hanging="720"/>
        <w:jc w:val="left"/>
        <w:rPr>
          <w:sz w:val="25"/>
        </w:rPr>
      </w:pPr>
      <w:r>
        <w:rPr>
          <w:sz w:val="25"/>
        </w:rPr>
        <w:t>The Summary of results recorded in the conclusion of the report is not attributed to any specific author unlike the individual chapters;</w:t>
      </w:r>
      <w:r>
        <w:rPr>
          <w:spacing w:val="-15"/>
          <w:sz w:val="25"/>
        </w:rPr>
        <w:t> </w:t>
      </w:r>
      <w:r>
        <w:rPr>
          <w:sz w:val="25"/>
        </w:rPr>
        <w:t>and</w:t>
      </w:r>
    </w:p>
    <w:p>
      <w:pPr>
        <w:spacing w:after="0" w:line="480" w:lineRule="auto"/>
        <w:jc w:val="left"/>
        <w:rPr>
          <w:sz w:val="25"/>
        </w:rPr>
        <w:sectPr>
          <w:pgSz w:w="11910" w:h="16840"/>
          <w:pgMar w:header="721" w:footer="1014" w:top="1300" w:bottom="1200" w:left="940" w:right="1000"/>
        </w:sectPr>
      </w:pPr>
    </w:p>
    <w:p>
      <w:pPr>
        <w:pStyle w:val="ListParagraph"/>
        <w:numPr>
          <w:ilvl w:val="0"/>
          <w:numId w:val="146"/>
        </w:numPr>
        <w:tabs>
          <w:tab w:pos="1221" w:val="left" w:leader="none"/>
        </w:tabs>
        <w:spacing w:line="480" w:lineRule="auto" w:before="124" w:after="0"/>
        <w:ind w:left="1220" w:right="446" w:hanging="720"/>
        <w:jc w:val="both"/>
        <w:rPr>
          <w:sz w:val="25"/>
        </w:rPr>
      </w:pPr>
      <w:r>
        <w:rPr>
          <w:sz w:val="25"/>
        </w:rPr>
        <w:t>The report does not indicate whether any meetings were held between the members of the team responsible for undertaking the excavation activity. If they did, the notes of the team meeting should have been</w:t>
      </w:r>
      <w:r>
        <w:rPr>
          <w:spacing w:val="-15"/>
          <w:sz w:val="25"/>
        </w:rPr>
        <w:t> </w:t>
      </w:r>
      <w:r>
        <w:rPr>
          <w:sz w:val="25"/>
        </w:rPr>
        <w:t>furnished.</w:t>
      </w:r>
    </w:p>
    <w:p>
      <w:pPr>
        <w:pStyle w:val="BodyText"/>
        <w:spacing w:before="10"/>
        <w:rPr>
          <w:sz w:val="24"/>
        </w:rPr>
      </w:pPr>
    </w:p>
    <w:p>
      <w:pPr>
        <w:pStyle w:val="BodyText"/>
        <w:spacing w:line="480" w:lineRule="auto"/>
        <w:ind w:left="500" w:right="434"/>
        <w:jc w:val="both"/>
      </w:pPr>
      <w:r>
        <w:rPr/>
        <w:t>Subsequently, during the course of his submissions on the scope of the  challenge to the report, Dr Rajeev Dhavan, learned Senior Counsel appearing for the plaintiffs in Suit 4 submitted that whether the Summary of results has been signed is a futile line of enquiry because it only goes to the authenticity and authorship of the report. Dr Dhavan fairly submitted that the authorship of the ASI report cannot be questioned since there is no dispute that it is attributed to the ASI and was submitted in pursuance of the directions of the High Court. In view of the submission, the doubt raised earlier by Ms Arora on the authorship of the Summary of results is set at rest. The report has been co-authored by B R Mani and Hari Manjhi. The report emanates from the ASI to whom the task was entrusted by the High Court. There being no dispute about the authorship, origin or authenticity of the report, we find no substance in the objection that was raised by Ms Arora on that</w:t>
      </w:r>
      <w:r>
        <w:rPr>
          <w:spacing w:val="-5"/>
        </w:rPr>
        <w:t> </w:t>
      </w:r>
      <w:r>
        <w:rPr/>
        <w:t>count.</w:t>
      </w:r>
    </w:p>
    <w:p>
      <w:pPr>
        <w:pStyle w:val="BodyText"/>
        <w:spacing w:before="6"/>
      </w:pPr>
    </w:p>
    <w:p>
      <w:pPr>
        <w:pStyle w:val="Heading4"/>
        <w:rPr>
          <w:i/>
        </w:rPr>
      </w:pPr>
      <w:r>
        <w:rPr>
          <w:i/>
        </w:rPr>
        <w:t>Merits of the objections</w:t>
      </w:r>
    </w:p>
    <w:p>
      <w:pPr>
        <w:pStyle w:val="BodyText"/>
        <w:rPr>
          <w:i/>
          <w:sz w:val="28"/>
        </w:rPr>
      </w:pPr>
    </w:p>
    <w:p>
      <w:pPr>
        <w:pStyle w:val="BodyText"/>
        <w:spacing w:before="7"/>
        <w:rPr>
          <w:i/>
          <w:sz w:val="23"/>
        </w:rPr>
      </w:pPr>
    </w:p>
    <w:p>
      <w:pPr>
        <w:pStyle w:val="ListParagraph"/>
        <w:numPr>
          <w:ilvl w:val="0"/>
          <w:numId w:val="111"/>
        </w:numPr>
        <w:tabs>
          <w:tab w:pos="1221" w:val="left" w:leader="none"/>
        </w:tabs>
        <w:spacing w:line="480" w:lineRule="auto" w:before="0" w:after="0"/>
        <w:ind w:left="500" w:right="435" w:firstLine="0"/>
        <w:jc w:val="both"/>
        <w:rPr>
          <w:sz w:val="25"/>
        </w:rPr>
      </w:pPr>
      <w:r>
        <w:rPr>
          <w:sz w:val="25"/>
        </w:rPr>
        <w:t>The objections which have been addressed against the ASI report by Ms Arora, learned Senior Counsel have been elaborated in Volume A-91 of the </w:t>
      </w:r>
      <w:r>
        <w:rPr>
          <w:w w:val="99"/>
          <w:sz w:val="25"/>
        </w:rPr>
        <w:t>writt</w:t>
      </w:r>
      <w:r>
        <w:rPr>
          <w:w w:val="99"/>
          <w:sz w:val="25"/>
        </w:rPr>
        <w:t>en</w:t>
      </w:r>
      <w:r>
        <w:rPr>
          <w:spacing w:val="9"/>
          <w:sz w:val="25"/>
        </w:rPr>
        <w:t> </w:t>
      </w:r>
      <w:r>
        <w:rPr>
          <w:w w:val="99"/>
          <w:sz w:val="25"/>
        </w:rPr>
        <w:t>sub</w:t>
      </w:r>
      <w:r>
        <w:rPr>
          <w:w w:val="99"/>
          <w:sz w:val="25"/>
        </w:rPr>
        <w:t>m</w:t>
      </w:r>
      <w:r>
        <w:rPr>
          <w:w w:val="99"/>
          <w:sz w:val="25"/>
        </w:rPr>
        <w:t>issions</w:t>
      </w:r>
      <w:r>
        <w:rPr>
          <w:spacing w:val="9"/>
          <w:sz w:val="25"/>
        </w:rPr>
        <w:t> </w:t>
      </w:r>
      <w:r>
        <w:rPr>
          <w:w w:val="99"/>
          <w:sz w:val="25"/>
        </w:rPr>
        <w:t>t</w:t>
      </w:r>
      <w:r>
        <w:rPr>
          <w:spacing w:val="-3"/>
          <w:w w:val="99"/>
          <w:sz w:val="25"/>
        </w:rPr>
        <w:t>i</w:t>
      </w:r>
      <w:r>
        <w:rPr>
          <w:w w:val="99"/>
          <w:sz w:val="25"/>
        </w:rPr>
        <w:t>tled</w:t>
      </w:r>
      <w:r>
        <w:rPr>
          <w:spacing w:val="9"/>
          <w:sz w:val="25"/>
        </w:rPr>
        <w:t> </w:t>
      </w:r>
      <w:r>
        <w:rPr>
          <w:w w:val="99"/>
          <w:sz w:val="25"/>
        </w:rPr>
        <w:t>as</w:t>
      </w:r>
      <w:r>
        <w:rPr>
          <w:spacing w:val="12"/>
          <w:sz w:val="25"/>
        </w:rPr>
        <w:t> </w:t>
      </w:r>
      <w:r>
        <w:rPr>
          <w:w w:val="33"/>
          <w:sz w:val="25"/>
        </w:rPr>
        <w:t>―</w:t>
      </w:r>
      <w:r>
        <w:rPr>
          <w:b/>
          <w:spacing w:val="-1"/>
          <w:w w:val="99"/>
          <w:sz w:val="25"/>
        </w:rPr>
        <w:t>S</w:t>
      </w:r>
      <w:r>
        <w:rPr>
          <w:b/>
          <w:w w:val="99"/>
          <w:sz w:val="25"/>
        </w:rPr>
        <w:t>t</w:t>
      </w:r>
      <w:r>
        <w:rPr>
          <w:b/>
          <w:spacing w:val="-1"/>
          <w:w w:val="99"/>
          <w:sz w:val="25"/>
        </w:rPr>
        <w:t>r</w:t>
      </w:r>
      <w:r>
        <w:rPr>
          <w:b/>
          <w:w w:val="99"/>
          <w:sz w:val="25"/>
        </w:rPr>
        <w:t>a</w:t>
      </w:r>
      <w:r>
        <w:rPr>
          <w:b/>
          <w:spacing w:val="1"/>
          <w:w w:val="99"/>
          <w:sz w:val="25"/>
        </w:rPr>
        <w:t>t</w:t>
      </w:r>
      <w:r>
        <w:rPr>
          <w:b/>
          <w:w w:val="99"/>
          <w:sz w:val="25"/>
        </w:rPr>
        <w:t>i</w:t>
      </w:r>
      <w:r>
        <w:rPr>
          <w:b/>
          <w:spacing w:val="1"/>
          <w:w w:val="99"/>
          <w:sz w:val="25"/>
        </w:rPr>
        <w:t>g</w:t>
      </w:r>
      <w:r>
        <w:rPr>
          <w:b/>
          <w:spacing w:val="-1"/>
          <w:w w:val="99"/>
          <w:sz w:val="25"/>
        </w:rPr>
        <w:t>r</w:t>
      </w:r>
      <w:r>
        <w:rPr>
          <w:b/>
          <w:w w:val="99"/>
          <w:sz w:val="25"/>
        </w:rPr>
        <w:t>a</w:t>
      </w:r>
      <w:r>
        <w:rPr>
          <w:b/>
          <w:spacing w:val="1"/>
          <w:w w:val="99"/>
          <w:sz w:val="25"/>
        </w:rPr>
        <w:t>p</w:t>
      </w:r>
      <w:r>
        <w:rPr>
          <w:b/>
          <w:w w:val="99"/>
          <w:sz w:val="25"/>
        </w:rPr>
        <w:t>h</w:t>
      </w:r>
      <w:r>
        <w:rPr>
          <w:b/>
          <w:w w:val="99"/>
          <w:sz w:val="25"/>
        </w:rPr>
        <w:t>y</w:t>
      </w:r>
      <w:r>
        <w:rPr>
          <w:b/>
          <w:spacing w:val="4"/>
          <w:sz w:val="25"/>
        </w:rPr>
        <w:t> </w:t>
      </w:r>
      <w:r>
        <w:rPr>
          <w:b/>
          <w:w w:val="99"/>
          <w:sz w:val="25"/>
        </w:rPr>
        <w:t>/</w:t>
      </w:r>
      <w:r>
        <w:rPr>
          <w:b/>
          <w:spacing w:val="9"/>
          <w:sz w:val="25"/>
        </w:rPr>
        <w:t> </w:t>
      </w:r>
      <w:r>
        <w:rPr>
          <w:b/>
          <w:spacing w:val="-1"/>
          <w:w w:val="99"/>
          <w:sz w:val="25"/>
        </w:rPr>
        <w:t>P</w:t>
      </w:r>
      <w:r>
        <w:rPr>
          <w:b/>
          <w:w w:val="99"/>
          <w:sz w:val="25"/>
        </w:rPr>
        <w:t>erio</w:t>
      </w:r>
      <w:r>
        <w:rPr>
          <w:b/>
          <w:spacing w:val="1"/>
          <w:w w:val="99"/>
          <w:sz w:val="25"/>
        </w:rPr>
        <w:t>d</w:t>
      </w:r>
      <w:r>
        <w:rPr>
          <w:b/>
          <w:w w:val="99"/>
          <w:sz w:val="25"/>
        </w:rPr>
        <w:t>isa</w:t>
      </w:r>
      <w:r>
        <w:rPr>
          <w:b/>
          <w:spacing w:val="4"/>
          <w:w w:val="99"/>
          <w:sz w:val="25"/>
        </w:rPr>
        <w:t>t</w:t>
      </w:r>
      <w:r>
        <w:rPr>
          <w:b/>
          <w:spacing w:val="-3"/>
          <w:w w:val="99"/>
          <w:sz w:val="25"/>
        </w:rPr>
        <w:t>i</w:t>
      </w:r>
      <w:r>
        <w:rPr>
          <w:b/>
          <w:w w:val="99"/>
          <w:sz w:val="25"/>
        </w:rPr>
        <w:t>on,</w:t>
      </w:r>
      <w:r>
        <w:rPr>
          <w:b/>
          <w:spacing w:val="9"/>
          <w:sz w:val="25"/>
        </w:rPr>
        <w:t> </w:t>
      </w:r>
      <w:r>
        <w:rPr>
          <w:b/>
          <w:spacing w:val="-1"/>
          <w:w w:val="99"/>
          <w:sz w:val="25"/>
        </w:rPr>
        <w:t>P</w:t>
      </w:r>
      <w:r>
        <w:rPr>
          <w:b/>
          <w:w w:val="99"/>
          <w:sz w:val="25"/>
        </w:rPr>
        <w:t>il</w:t>
      </w:r>
      <w:r>
        <w:rPr>
          <w:b/>
          <w:spacing w:val="-2"/>
          <w:w w:val="99"/>
          <w:sz w:val="25"/>
        </w:rPr>
        <w:t>l</w:t>
      </w:r>
      <w:r>
        <w:rPr>
          <w:b/>
          <w:w w:val="99"/>
          <w:sz w:val="25"/>
        </w:rPr>
        <w:t>ar</w:t>
      </w:r>
      <w:r>
        <w:rPr>
          <w:b/>
          <w:spacing w:val="8"/>
          <w:sz w:val="25"/>
        </w:rPr>
        <w:t> </w:t>
      </w:r>
      <w:r>
        <w:rPr>
          <w:b/>
          <w:w w:val="99"/>
          <w:sz w:val="25"/>
        </w:rPr>
        <w:t>Bases,</w:t>
      </w:r>
      <w:r>
        <w:rPr>
          <w:b/>
          <w:spacing w:val="10"/>
          <w:sz w:val="25"/>
        </w:rPr>
        <w:t> </w:t>
      </w:r>
      <w:r>
        <w:rPr>
          <w:b/>
          <w:w w:val="99"/>
          <w:sz w:val="25"/>
        </w:rPr>
        <w:t>Walls</w:t>
      </w:r>
      <w:r>
        <w:rPr>
          <w:b/>
          <w:w w:val="99"/>
          <w:sz w:val="25"/>
        </w:rPr>
        <w:t>, </w:t>
      </w:r>
      <w:r>
        <w:rPr>
          <w:b/>
          <w:sz w:val="25"/>
        </w:rPr>
        <w:t>Circular Shrine, Divine Couple &amp; Other Artefacts, Glazed Ware &amp; Glazed Tiles; Animal Bones</w:t>
      </w:r>
      <w:r>
        <w:rPr>
          <w:sz w:val="25"/>
        </w:rPr>
        <w:t>‖. The preliminary submissions</w:t>
      </w:r>
      <w:r>
        <w:rPr>
          <w:spacing w:val="-4"/>
          <w:sz w:val="25"/>
        </w:rPr>
        <w:t> </w:t>
      </w:r>
      <w:r>
        <w:rPr>
          <w:sz w:val="25"/>
        </w:rPr>
        <w:t>are:</w:t>
      </w:r>
    </w:p>
    <w:p>
      <w:pPr>
        <w:spacing w:after="0" w:line="480" w:lineRule="auto"/>
        <w:jc w:val="both"/>
        <w:rPr>
          <w:sz w:val="25"/>
        </w:rPr>
        <w:sectPr>
          <w:pgSz w:w="11910" w:h="16840"/>
          <w:pgMar w:header="721" w:footer="1014" w:top="1300" w:bottom="1200" w:left="940" w:right="1000"/>
        </w:sectPr>
      </w:pPr>
    </w:p>
    <w:p>
      <w:pPr>
        <w:pStyle w:val="ListParagraph"/>
        <w:numPr>
          <w:ilvl w:val="0"/>
          <w:numId w:val="147"/>
        </w:numPr>
        <w:tabs>
          <w:tab w:pos="1221" w:val="left" w:leader="none"/>
        </w:tabs>
        <w:spacing w:line="240" w:lineRule="auto" w:before="124" w:after="0"/>
        <w:ind w:left="1220" w:right="0" w:hanging="721"/>
        <w:jc w:val="both"/>
        <w:rPr>
          <w:sz w:val="25"/>
        </w:rPr>
      </w:pPr>
      <w:r>
        <w:rPr>
          <w:sz w:val="25"/>
        </w:rPr>
        <w:t>ASI did not properly mark the soil layers on</w:t>
      </w:r>
      <w:r>
        <w:rPr>
          <w:spacing w:val="-10"/>
          <w:sz w:val="25"/>
        </w:rPr>
        <w:t> </w:t>
      </w:r>
      <w:r>
        <w:rPr>
          <w:sz w:val="25"/>
        </w:rPr>
        <w:t>excavation;</w:t>
      </w:r>
    </w:p>
    <w:p>
      <w:pPr>
        <w:pStyle w:val="BodyText"/>
      </w:pPr>
    </w:p>
    <w:p>
      <w:pPr>
        <w:pStyle w:val="ListParagraph"/>
        <w:numPr>
          <w:ilvl w:val="0"/>
          <w:numId w:val="147"/>
        </w:numPr>
        <w:tabs>
          <w:tab w:pos="1221" w:val="left" w:leader="none"/>
        </w:tabs>
        <w:spacing w:line="480" w:lineRule="auto" w:before="1" w:after="0"/>
        <w:ind w:left="1220" w:right="438" w:hanging="720"/>
        <w:jc w:val="both"/>
        <w:rPr>
          <w:sz w:val="25"/>
        </w:rPr>
      </w:pPr>
      <w:r>
        <w:rPr>
          <w:sz w:val="25"/>
        </w:rPr>
        <w:t>ASI failed to maintain accurate records of the recovery of artefacts from specific layers and lost the</w:t>
      </w:r>
      <w:r>
        <w:rPr>
          <w:spacing w:val="-6"/>
          <w:sz w:val="25"/>
        </w:rPr>
        <w:t> </w:t>
      </w:r>
      <w:r>
        <w:rPr>
          <w:sz w:val="25"/>
        </w:rPr>
        <w:t>context;</w:t>
      </w:r>
    </w:p>
    <w:p>
      <w:pPr>
        <w:pStyle w:val="ListParagraph"/>
        <w:numPr>
          <w:ilvl w:val="0"/>
          <w:numId w:val="147"/>
        </w:numPr>
        <w:tabs>
          <w:tab w:pos="1221" w:val="left" w:leader="none"/>
        </w:tabs>
        <w:spacing w:line="480" w:lineRule="auto" w:before="0" w:after="0"/>
        <w:ind w:left="1220" w:right="441" w:hanging="720"/>
        <w:jc w:val="both"/>
        <w:rPr>
          <w:sz w:val="25"/>
        </w:rPr>
      </w:pPr>
      <w:r>
        <w:rPr>
          <w:sz w:val="25"/>
        </w:rPr>
        <w:t>Though, the bones found in excavation could have been subjected to carbon dating and Paleo-Botanical studies to arrive at better estimates of chronology, only charcoal samples were sent for carbon</w:t>
      </w:r>
      <w:r>
        <w:rPr>
          <w:spacing w:val="-4"/>
          <w:sz w:val="25"/>
        </w:rPr>
        <w:t> </w:t>
      </w:r>
      <w:r>
        <w:rPr>
          <w:sz w:val="25"/>
        </w:rPr>
        <w:t>dating;</w:t>
      </w:r>
    </w:p>
    <w:p>
      <w:pPr>
        <w:pStyle w:val="ListParagraph"/>
        <w:numPr>
          <w:ilvl w:val="0"/>
          <w:numId w:val="147"/>
        </w:numPr>
        <w:tabs>
          <w:tab w:pos="1221" w:val="left" w:leader="none"/>
        </w:tabs>
        <w:spacing w:line="480" w:lineRule="auto" w:before="0" w:after="0"/>
        <w:ind w:left="1220" w:right="437" w:hanging="720"/>
        <w:jc w:val="both"/>
        <w:rPr>
          <w:sz w:val="25"/>
        </w:rPr>
      </w:pPr>
      <w:r>
        <w:rPr>
          <w:sz w:val="25"/>
        </w:rPr>
        <w:t>Though, ASI had assured the High Court in its interim report that it would collect samples of soil and mortar (for carbon dating), pottery (for thermoluminescence), grains and pollen (for paleo-botanical studies) and bones (for study of faunal remains), this was not</w:t>
      </w:r>
      <w:r>
        <w:rPr>
          <w:spacing w:val="-10"/>
          <w:sz w:val="25"/>
        </w:rPr>
        <w:t> </w:t>
      </w:r>
      <w:r>
        <w:rPr>
          <w:sz w:val="25"/>
        </w:rPr>
        <w:t>done;</w:t>
      </w:r>
    </w:p>
    <w:p>
      <w:pPr>
        <w:pStyle w:val="ListParagraph"/>
        <w:numPr>
          <w:ilvl w:val="0"/>
          <w:numId w:val="147"/>
        </w:numPr>
        <w:tabs>
          <w:tab w:pos="1221" w:val="left" w:leader="none"/>
        </w:tabs>
        <w:spacing w:line="480" w:lineRule="auto" w:before="0" w:after="0"/>
        <w:ind w:left="1220" w:right="445" w:hanging="720"/>
        <w:jc w:val="both"/>
        <w:rPr>
          <w:sz w:val="25"/>
        </w:rPr>
      </w:pPr>
      <w:r>
        <w:rPr>
          <w:sz w:val="25"/>
        </w:rPr>
        <w:t>The High Court had issued directions to the ASI to maintain a register for accurate recording of recovery of artefacts from each layer;</w:t>
      </w:r>
      <w:r>
        <w:rPr>
          <w:spacing w:val="-11"/>
          <w:sz w:val="25"/>
        </w:rPr>
        <w:t> </w:t>
      </w:r>
      <w:r>
        <w:rPr>
          <w:sz w:val="25"/>
        </w:rPr>
        <w:t>and</w:t>
      </w:r>
    </w:p>
    <w:p>
      <w:pPr>
        <w:pStyle w:val="ListParagraph"/>
        <w:numPr>
          <w:ilvl w:val="0"/>
          <w:numId w:val="147"/>
        </w:numPr>
        <w:tabs>
          <w:tab w:pos="1221" w:val="left" w:leader="none"/>
        </w:tabs>
        <w:spacing w:line="240" w:lineRule="auto" w:before="0" w:after="0"/>
        <w:ind w:left="1220" w:right="0" w:hanging="721"/>
        <w:jc w:val="both"/>
        <w:rPr>
          <w:sz w:val="25"/>
        </w:rPr>
      </w:pPr>
      <w:r>
        <w:rPr>
          <w:sz w:val="25"/>
        </w:rPr>
        <w:t>ASI prepared and submitted its report in 15 days in a hurried</w:t>
      </w:r>
      <w:r>
        <w:rPr>
          <w:spacing w:val="-14"/>
          <w:sz w:val="25"/>
        </w:rPr>
        <w:t> </w:t>
      </w:r>
      <w:r>
        <w:rPr>
          <w:sz w:val="25"/>
        </w:rPr>
        <w:t>manner.</w:t>
      </w:r>
    </w:p>
    <w:p>
      <w:pPr>
        <w:pStyle w:val="BodyText"/>
        <w:rPr>
          <w:sz w:val="28"/>
        </w:rPr>
      </w:pPr>
    </w:p>
    <w:p>
      <w:pPr>
        <w:pStyle w:val="BodyText"/>
        <w:rPr>
          <w:sz w:val="28"/>
        </w:rPr>
      </w:pPr>
    </w:p>
    <w:p>
      <w:pPr>
        <w:pStyle w:val="ListParagraph"/>
        <w:numPr>
          <w:ilvl w:val="0"/>
          <w:numId w:val="111"/>
        </w:numPr>
        <w:tabs>
          <w:tab w:pos="1221" w:val="left" w:leader="none"/>
        </w:tabs>
        <w:spacing w:line="240" w:lineRule="auto" w:before="218" w:after="0"/>
        <w:ind w:left="1220" w:right="0" w:hanging="721"/>
        <w:jc w:val="both"/>
        <w:rPr>
          <w:sz w:val="25"/>
        </w:rPr>
      </w:pPr>
      <w:r>
        <w:rPr>
          <w:sz w:val="25"/>
        </w:rPr>
        <w:t>ASI had to conduct a complex exercise. Its excavation was time</w:t>
      </w:r>
      <w:r>
        <w:rPr>
          <w:spacing w:val="1"/>
          <w:sz w:val="25"/>
        </w:rPr>
        <w:t> </w:t>
      </w:r>
      <w:r>
        <w:rPr>
          <w:sz w:val="25"/>
        </w:rPr>
        <w:t>bound.</w:t>
      </w:r>
    </w:p>
    <w:p>
      <w:pPr>
        <w:pStyle w:val="BodyText"/>
        <w:spacing w:before="10"/>
        <w:rPr>
          <w:sz w:val="24"/>
        </w:rPr>
      </w:pPr>
    </w:p>
    <w:p>
      <w:pPr>
        <w:pStyle w:val="BodyText"/>
        <w:spacing w:line="480" w:lineRule="auto"/>
        <w:ind w:left="500" w:right="437"/>
        <w:jc w:val="both"/>
      </w:pPr>
      <w:r>
        <w:rPr/>
        <w:t>The excavating team had to work its way around a make-shift temple without affecting the worship of the deity. The trenches had to be arranged with care. The difficulties which ASI encountered were numerous. Its team excavated in the glare of publicity, in the presence of parties or their representatives. The report notes the unusual circumstances which it faced in the course of the</w:t>
      </w:r>
      <w:r>
        <w:rPr>
          <w:spacing w:val="-23"/>
        </w:rPr>
        <w:t> </w:t>
      </w:r>
      <w:r>
        <w:rPr/>
        <w:t>excavation:</w:t>
      </w:r>
    </w:p>
    <w:p>
      <w:pPr>
        <w:spacing w:line="276" w:lineRule="auto" w:before="161"/>
        <w:ind w:left="1940" w:right="2264" w:firstLine="0"/>
        <w:jc w:val="both"/>
        <w:rPr>
          <w:sz w:val="21"/>
        </w:rPr>
      </w:pPr>
      <w:r>
        <w:rPr>
          <w:spacing w:val="-1"/>
          <w:w w:val="33"/>
          <w:sz w:val="21"/>
        </w:rPr>
        <w:t>―</w:t>
      </w:r>
      <w:r>
        <w:rPr>
          <w:spacing w:val="-1"/>
          <w:w w:val="100"/>
          <w:sz w:val="21"/>
        </w:rPr>
        <w:t>a</w:t>
      </w:r>
      <w:r>
        <w:rPr>
          <w:w w:val="100"/>
          <w:sz w:val="21"/>
        </w:rPr>
        <w:t>.</w:t>
      </w:r>
      <w:r>
        <w:rPr>
          <w:sz w:val="21"/>
        </w:rPr>
        <w:t>       </w:t>
      </w:r>
      <w:r>
        <w:rPr>
          <w:spacing w:val="7"/>
          <w:sz w:val="21"/>
        </w:rPr>
        <w:t> </w:t>
      </w:r>
      <w:r>
        <w:rPr>
          <w:spacing w:val="-2"/>
          <w:w w:val="100"/>
          <w:sz w:val="21"/>
        </w:rPr>
        <w:t>I</w:t>
      </w:r>
      <w:r>
        <w:rPr>
          <w:w w:val="100"/>
          <w:sz w:val="21"/>
        </w:rPr>
        <w:t>n</w:t>
      </w:r>
      <w:r>
        <w:rPr>
          <w:sz w:val="21"/>
        </w:rPr>
        <w:t> </w:t>
      </w:r>
      <w:r>
        <w:rPr>
          <w:spacing w:val="-16"/>
          <w:sz w:val="21"/>
        </w:rPr>
        <w:t> </w:t>
      </w:r>
      <w:r>
        <w:rPr>
          <w:w w:val="100"/>
          <w:sz w:val="21"/>
        </w:rPr>
        <w:t>p</w:t>
      </w:r>
      <w:r>
        <w:rPr>
          <w:spacing w:val="1"/>
          <w:w w:val="100"/>
          <w:sz w:val="21"/>
        </w:rPr>
        <w:t>l</w:t>
      </w:r>
      <w:r>
        <w:rPr>
          <w:spacing w:val="-3"/>
          <w:w w:val="100"/>
          <w:sz w:val="21"/>
        </w:rPr>
        <w:t>a</w:t>
      </w:r>
      <w:r>
        <w:rPr>
          <w:w w:val="100"/>
          <w:sz w:val="21"/>
        </w:rPr>
        <w:t>n</w:t>
      </w:r>
      <w:r>
        <w:rPr>
          <w:spacing w:val="-3"/>
          <w:w w:val="100"/>
          <w:sz w:val="21"/>
        </w:rPr>
        <w:t>n</w:t>
      </w:r>
      <w:r>
        <w:rPr>
          <w:w w:val="100"/>
          <w:sz w:val="21"/>
        </w:rPr>
        <w:t>i</w:t>
      </w:r>
      <w:r>
        <w:rPr>
          <w:w w:val="100"/>
          <w:sz w:val="21"/>
        </w:rPr>
        <w:t>ng</w:t>
      </w:r>
      <w:r>
        <w:rPr>
          <w:sz w:val="21"/>
        </w:rPr>
        <w:t> </w:t>
      </w:r>
      <w:r>
        <w:rPr>
          <w:spacing w:val="-19"/>
          <w:sz w:val="21"/>
        </w:rPr>
        <w:t> </w:t>
      </w:r>
      <w:r>
        <w:rPr>
          <w:spacing w:val="-2"/>
          <w:w w:val="100"/>
          <w:sz w:val="21"/>
        </w:rPr>
        <w:t>t</w:t>
      </w:r>
      <w:r>
        <w:rPr>
          <w:w w:val="100"/>
          <w:sz w:val="21"/>
        </w:rPr>
        <w:t>he</w:t>
      </w:r>
      <w:r>
        <w:rPr>
          <w:sz w:val="21"/>
        </w:rPr>
        <w:t> </w:t>
      </w:r>
      <w:r>
        <w:rPr>
          <w:spacing w:val="-19"/>
          <w:sz w:val="21"/>
        </w:rPr>
        <w:t> </w:t>
      </w:r>
      <w:r>
        <w:rPr>
          <w:w w:val="100"/>
          <w:sz w:val="21"/>
        </w:rPr>
        <w:t>exca</w:t>
      </w:r>
      <w:r>
        <w:rPr>
          <w:spacing w:val="-3"/>
          <w:w w:val="100"/>
          <w:sz w:val="21"/>
        </w:rPr>
        <w:t>v</w:t>
      </w:r>
      <w:r>
        <w:rPr>
          <w:w w:val="100"/>
          <w:sz w:val="21"/>
        </w:rPr>
        <w:t>a</w:t>
      </w:r>
      <w:r>
        <w:rPr>
          <w:spacing w:val="-1"/>
          <w:w w:val="100"/>
          <w:sz w:val="21"/>
        </w:rPr>
        <w:t>t</w:t>
      </w:r>
      <w:r>
        <w:rPr>
          <w:spacing w:val="-2"/>
          <w:w w:val="100"/>
          <w:sz w:val="21"/>
        </w:rPr>
        <w:t>i</w:t>
      </w:r>
      <w:r>
        <w:rPr>
          <w:spacing w:val="-3"/>
          <w:w w:val="100"/>
          <w:sz w:val="21"/>
        </w:rPr>
        <w:t>o</w:t>
      </w:r>
      <w:r>
        <w:rPr>
          <w:w w:val="100"/>
          <w:sz w:val="21"/>
        </w:rPr>
        <w:t>n,</w:t>
      </w:r>
      <w:r>
        <w:rPr>
          <w:sz w:val="21"/>
        </w:rPr>
        <w:t> </w:t>
      </w:r>
      <w:r>
        <w:rPr>
          <w:spacing w:val="-17"/>
          <w:sz w:val="21"/>
        </w:rPr>
        <w:t> </w:t>
      </w:r>
      <w:r>
        <w:rPr>
          <w:w w:val="100"/>
          <w:sz w:val="21"/>
        </w:rPr>
        <w:t>i</w:t>
      </w:r>
      <w:r>
        <w:rPr>
          <w:w w:val="100"/>
          <w:sz w:val="21"/>
        </w:rPr>
        <w:t>t</w:t>
      </w:r>
      <w:r>
        <w:rPr>
          <w:sz w:val="21"/>
        </w:rPr>
        <w:t> </w:t>
      </w:r>
      <w:r>
        <w:rPr>
          <w:spacing w:val="-18"/>
          <w:sz w:val="21"/>
        </w:rPr>
        <w:t> </w:t>
      </w:r>
      <w:r>
        <w:rPr>
          <w:spacing w:val="-2"/>
          <w:w w:val="100"/>
          <w:sz w:val="21"/>
        </w:rPr>
        <w:t>w</w:t>
      </w:r>
      <w:r>
        <w:rPr>
          <w:w w:val="100"/>
          <w:sz w:val="21"/>
        </w:rPr>
        <w:t>as</w:t>
      </w:r>
      <w:r>
        <w:rPr>
          <w:sz w:val="21"/>
        </w:rPr>
        <w:t> </w:t>
      </w:r>
      <w:r>
        <w:rPr>
          <w:spacing w:val="-19"/>
          <w:sz w:val="21"/>
        </w:rPr>
        <w:t> </w:t>
      </w:r>
      <w:r>
        <w:rPr>
          <w:w w:val="100"/>
          <w:sz w:val="21"/>
        </w:rPr>
        <w:t>de</w:t>
      </w:r>
      <w:r>
        <w:rPr>
          <w:spacing w:val="-3"/>
          <w:w w:val="100"/>
          <w:sz w:val="21"/>
        </w:rPr>
        <w:t>c</w:t>
      </w:r>
      <w:r>
        <w:rPr>
          <w:w w:val="100"/>
          <w:sz w:val="21"/>
        </w:rPr>
        <w:t>i</w:t>
      </w:r>
      <w:r>
        <w:rPr>
          <w:w w:val="100"/>
          <w:sz w:val="21"/>
        </w:rPr>
        <w:t>d</w:t>
      </w:r>
      <w:r>
        <w:rPr>
          <w:spacing w:val="-3"/>
          <w:w w:val="100"/>
          <w:sz w:val="21"/>
        </w:rPr>
        <w:t>e</w:t>
      </w:r>
      <w:r>
        <w:rPr>
          <w:w w:val="100"/>
          <w:sz w:val="21"/>
        </w:rPr>
        <w:t>d</w:t>
      </w:r>
      <w:r>
        <w:rPr>
          <w:sz w:val="21"/>
        </w:rPr>
        <w:t> </w:t>
      </w:r>
      <w:r>
        <w:rPr>
          <w:spacing w:val="-16"/>
          <w:sz w:val="21"/>
        </w:rPr>
        <w:t> </w:t>
      </w:r>
      <w:r>
        <w:rPr>
          <w:spacing w:val="-2"/>
          <w:w w:val="100"/>
          <w:sz w:val="21"/>
        </w:rPr>
        <w:t>t</w:t>
      </w:r>
      <w:r>
        <w:rPr>
          <w:w w:val="100"/>
          <w:sz w:val="21"/>
        </w:rPr>
        <w:t>o</w:t>
      </w:r>
      <w:r>
        <w:rPr>
          <w:sz w:val="21"/>
        </w:rPr>
        <w:t> </w:t>
      </w:r>
      <w:r>
        <w:rPr>
          <w:spacing w:val="-19"/>
          <w:sz w:val="21"/>
        </w:rPr>
        <w:t> </w:t>
      </w:r>
      <w:r>
        <w:rPr>
          <w:w w:val="100"/>
          <w:sz w:val="21"/>
        </w:rPr>
        <w:t>ad</w:t>
      </w:r>
      <w:r>
        <w:rPr>
          <w:spacing w:val="-2"/>
          <w:w w:val="100"/>
          <w:sz w:val="21"/>
        </w:rPr>
        <w:t>o</w:t>
      </w:r>
      <w:r>
        <w:rPr>
          <w:w w:val="100"/>
          <w:sz w:val="21"/>
        </w:rPr>
        <w:t>pt </w:t>
      </w:r>
      <w:r>
        <w:rPr>
          <w:sz w:val="21"/>
        </w:rPr>
        <w:t>the latest technique of layout of trenches where limited spaces are available and therefore in place of general practice of layout of 10 x 10m. squares divided four quadrants of</w:t>
      </w:r>
      <w:r>
        <w:rPr>
          <w:spacing w:val="-1"/>
          <w:sz w:val="21"/>
        </w:rPr>
        <w:t> </w:t>
      </w:r>
      <w:r>
        <w:rPr>
          <w:sz w:val="21"/>
        </w:rPr>
        <w:t>4.25x4.25m</w:t>
      </w:r>
    </w:p>
    <w:p>
      <w:pPr>
        <w:pStyle w:val="ListParagraph"/>
        <w:numPr>
          <w:ilvl w:val="0"/>
          <w:numId w:val="148"/>
        </w:numPr>
        <w:tabs>
          <w:tab w:pos="2661" w:val="left" w:leader="none"/>
        </w:tabs>
        <w:spacing w:line="276" w:lineRule="auto" w:before="0" w:after="0"/>
        <w:ind w:left="1940" w:right="2262" w:firstLine="0"/>
        <w:jc w:val="both"/>
        <w:rPr>
          <w:sz w:val="21"/>
        </w:rPr>
      </w:pPr>
      <w:r>
        <w:rPr>
          <w:sz w:val="21"/>
        </w:rPr>
        <w:t>On the directions of the Hon‘ble High Court, Archaeological Survey of India has excavated ninety trenches in</w:t>
      </w:r>
      <w:r>
        <w:rPr>
          <w:spacing w:val="40"/>
          <w:sz w:val="21"/>
        </w:rPr>
        <w:t> </w:t>
      </w:r>
      <w:r>
        <w:rPr>
          <w:sz w:val="21"/>
        </w:rPr>
        <w:t>a</w:t>
      </w:r>
      <w:r>
        <w:rPr>
          <w:spacing w:val="37"/>
          <w:sz w:val="21"/>
        </w:rPr>
        <w:t> </w:t>
      </w:r>
      <w:r>
        <w:rPr>
          <w:sz w:val="21"/>
        </w:rPr>
        <w:t>limited</w:t>
      </w:r>
      <w:r>
        <w:rPr>
          <w:spacing w:val="40"/>
          <w:sz w:val="21"/>
        </w:rPr>
        <w:t> </w:t>
      </w:r>
      <w:r>
        <w:rPr>
          <w:sz w:val="21"/>
        </w:rPr>
        <w:t>time</w:t>
      </w:r>
      <w:r>
        <w:rPr>
          <w:spacing w:val="38"/>
          <w:sz w:val="21"/>
        </w:rPr>
        <w:t> </w:t>
      </w:r>
      <w:r>
        <w:rPr>
          <w:sz w:val="21"/>
        </w:rPr>
        <w:t>of</w:t>
      </w:r>
      <w:r>
        <w:rPr>
          <w:spacing w:val="41"/>
          <w:sz w:val="21"/>
        </w:rPr>
        <w:t> </w:t>
      </w:r>
      <w:r>
        <w:rPr>
          <w:sz w:val="21"/>
        </w:rPr>
        <w:t>five</w:t>
      </w:r>
      <w:r>
        <w:rPr>
          <w:spacing w:val="40"/>
          <w:sz w:val="21"/>
        </w:rPr>
        <w:t> </w:t>
      </w:r>
      <w:r>
        <w:rPr>
          <w:sz w:val="21"/>
        </w:rPr>
        <w:t>months</w:t>
      </w:r>
      <w:r>
        <w:rPr>
          <w:spacing w:val="41"/>
          <w:sz w:val="21"/>
        </w:rPr>
        <w:t> </w:t>
      </w:r>
      <w:r>
        <w:rPr>
          <w:sz w:val="21"/>
        </w:rPr>
        <w:t>soon</w:t>
      </w:r>
      <w:r>
        <w:rPr>
          <w:spacing w:val="38"/>
          <w:sz w:val="21"/>
        </w:rPr>
        <w:t> </w:t>
      </w:r>
      <w:r>
        <w:rPr>
          <w:sz w:val="21"/>
        </w:rPr>
        <w:t>after</w:t>
      </w:r>
      <w:r>
        <w:rPr>
          <w:spacing w:val="37"/>
          <w:sz w:val="21"/>
        </w:rPr>
        <w:t> </w:t>
      </w:r>
      <w:r>
        <w:rPr>
          <w:sz w:val="21"/>
        </w:rPr>
        <w:t>which</w:t>
      </w:r>
      <w:r>
        <w:rPr>
          <w:spacing w:val="40"/>
          <w:sz w:val="21"/>
        </w:rPr>
        <w:t> </w:t>
      </w:r>
      <w:r>
        <w:rPr>
          <w:sz w:val="21"/>
        </w:rPr>
        <w:t>the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5" w:firstLine="0"/>
        <w:jc w:val="both"/>
        <w:rPr>
          <w:sz w:val="21"/>
        </w:rPr>
      </w:pPr>
      <w:r>
        <w:rPr>
          <w:sz w:val="21"/>
        </w:rPr>
        <w:t>excavation report is required to be submitted within fifteen days. This is an unprecedented event in the history of one hundred and forty two years of the existence of the Survey</w:t>
      </w:r>
    </w:p>
    <w:p>
      <w:pPr>
        <w:pStyle w:val="ListParagraph"/>
        <w:numPr>
          <w:ilvl w:val="0"/>
          <w:numId w:val="148"/>
        </w:numPr>
        <w:tabs>
          <w:tab w:pos="2205" w:val="left" w:leader="none"/>
        </w:tabs>
        <w:spacing w:line="276" w:lineRule="auto" w:before="0" w:after="0"/>
        <w:ind w:left="1940" w:right="2260" w:firstLine="0"/>
        <w:jc w:val="both"/>
        <w:rPr>
          <w:sz w:val="21"/>
        </w:rPr>
      </w:pPr>
      <w:r>
        <w:rPr>
          <w:sz w:val="21"/>
        </w:rPr>
        <w:t>…Thus the time available for their documentation, study photography, drawing and chemical preservations was limited to just a few hours only and that too not in the case of material recovered from the trenches towards closing of the work for the day…Work was often affected and delayed due to formalities involved in security checks and such other administrative</w:t>
      </w:r>
      <w:r>
        <w:rPr>
          <w:spacing w:val="-2"/>
          <w:sz w:val="21"/>
        </w:rPr>
        <w:t> </w:t>
      </w:r>
      <w:r>
        <w:rPr>
          <w:sz w:val="21"/>
        </w:rPr>
        <w:t>requirements…</w:t>
      </w:r>
    </w:p>
    <w:p>
      <w:pPr>
        <w:pStyle w:val="ListParagraph"/>
        <w:numPr>
          <w:ilvl w:val="0"/>
          <w:numId w:val="148"/>
        </w:numPr>
        <w:tabs>
          <w:tab w:pos="2661" w:val="left" w:leader="none"/>
        </w:tabs>
        <w:spacing w:line="276" w:lineRule="auto" w:before="0" w:after="0"/>
        <w:ind w:left="1940" w:right="2261" w:firstLine="0"/>
        <w:jc w:val="both"/>
        <w:rPr>
          <w:sz w:val="21"/>
        </w:rPr>
      </w:pPr>
      <w:r>
        <w:rPr>
          <w:sz w:val="21"/>
        </w:rPr>
        <w:t>Working condition worsened at the onslaught of the monsoon from June onwards when the entire site was covered with multi-colored waterproof streets creating heat and humidity besides total darkness in a number of deep trenches. Monkeys started damaging the sheets as a result of which several layers of the sheets were spread over bamboo and wooden poles. They created further darkness…Much difficulty was felt for the stratigraphical  observation particularly for determining layers. These factors slowed the process of ongoing</w:t>
      </w:r>
      <w:r>
        <w:rPr>
          <w:spacing w:val="-3"/>
          <w:sz w:val="21"/>
        </w:rPr>
        <w:t> </w:t>
      </w:r>
      <w:r>
        <w:rPr>
          <w:sz w:val="21"/>
        </w:rPr>
        <w:t>work.‖</w:t>
      </w:r>
    </w:p>
    <w:p>
      <w:pPr>
        <w:pStyle w:val="BodyText"/>
        <w:rPr>
          <w:sz w:val="24"/>
        </w:rPr>
      </w:pPr>
    </w:p>
    <w:p>
      <w:pPr>
        <w:pStyle w:val="BodyText"/>
        <w:spacing w:before="2"/>
        <w:rPr>
          <w:sz w:val="29"/>
        </w:rPr>
      </w:pPr>
    </w:p>
    <w:p>
      <w:pPr>
        <w:pStyle w:val="BodyText"/>
        <w:spacing w:line="480" w:lineRule="auto"/>
        <w:ind w:left="500" w:right="442"/>
        <w:jc w:val="both"/>
      </w:pPr>
      <w:r>
        <w:rPr/>
        <w:t>Ms Arora urges that these difficulties led to errors. The manner in which ASI </w:t>
      </w:r>
      <w:r>
        <w:rPr>
          <w:w w:val="99"/>
        </w:rPr>
        <w:t>ca</w:t>
      </w:r>
      <w:r>
        <w:rPr>
          <w:spacing w:val="1"/>
          <w:w w:val="99"/>
        </w:rPr>
        <w:t>r</w:t>
      </w:r>
      <w:r>
        <w:rPr>
          <w:w w:val="99"/>
        </w:rPr>
        <w:t>r</w:t>
      </w:r>
      <w:r>
        <w:rPr>
          <w:spacing w:val="-1"/>
          <w:w w:val="99"/>
        </w:rPr>
        <w:t>ie</w:t>
      </w:r>
      <w:r>
        <w:rPr>
          <w:w w:val="99"/>
        </w:rPr>
        <w:t>d</w:t>
      </w:r>
      <w:r>
        <w:rPr/>
        <w:t> </w:t>
      </w:r>
      <w:r>
        <w:rPr>
          <w:spacing w:val="-12"/>
        </w:rPr>
        <w:t> </w:t>
      </w:r>
      <w:r>
        <w:rPr>
          <w:spacing w:val="-1"/>
          <w:w w:val="99"/>
        </w:rPr>
        <w:t>o</w:t>
      </w:r>
      <w:r>
        <w:rPr>
          <w:w w:val="99"/>
        </w:rPr>
        <w:t>ut</w:t>
      </w:r>
      <w:r>
        <w:rPr/>
        <w:t> </w:t>
      </w:r>
      <w:r>
        <w:rPr>
          <w:spacing w:val="-12"/>
        </w:rPr>
        <w:t> </w:t>
      </w:r>
      <w:r>
        <w:rPr>
          <w:w w:val="33"/>
        </w:rPr>
        <w:t>―</w:t>
      </w:r>
      <w:r>
        <w:rPr>
          <w:w w:val="99"/>
        </w:rPr>
        <w:t>str</w:t>
      </w:r>
      <w:r>
        <w:rPr>
          <w:spacing w:val="-1"/>
          <w:w w:val="99"/>
        </w:rPr>
        <w:t>ati</w:t>
      </w:r>
      <w:r>
        <w:rPr>
          <w:w w:val="99"/>
        </w:rPr>
        <w:t>gr</w:t>
      </w:r>
      <w:r>
        <w:rPr>
          <w:spacing w:val="-3"/>
          <w:w w:val="99"/>
        </w:rPr>
        <w:t>a</w:t>
      </w:r>
      <w:r>
        <w:rPr>
          <w:spacing w:val="-1"/>
          <w:w w:val="99"/>
        </w:rPr>
        <w:t>p</w:t>
      </w:r>
      <w:r>
        <w:rPr>
          <w:w w:val="99"/>
        </w:rPr>
        <w:t>h</w:t>
      </w:r>
      <w:r>
        <w:rPr>
          <w:spacing w:val="1"/>
          <w:w w:val="99"/>
        </w:rPr>
        <w:t>y</w:t>
      </w:r>
      <w:r>
        <w:rPr>
          <w:w w:val="99"/>
        </w:rPr>
        <w:t>-</w:t>
      </w:r>
      <w:r>
        <w:rPr>
          <w:spacing w:val="-1"/>
          <w:w w:val="99"/>
        </w:rPr>
        <w:t>p</w:t>
      </w:r>
      <w:r>
        <w:rPr>
          <w:w w:val="99"/>
        </w:rPr>
        <w:t>er</w:t>
      </w:r>
      <w:r>
        <w:rPr>
          <w:spacing w:val="-1"/>
          <w:w w:val="99"/>
        </w:rPr>
        <w:t>iodis</w:t>
      </w:r>
      <w:r>
        <w:rPr>
          <w:w w:val="99"/>
        </w:rPr>
        <w:t>ation</w:t>
      </w:r>
      <w:r>
        <w:rPr>
          <w:w w:val="80"/>
        </w:rPr>
        <w:t>‖</w:t>
      </w:r>
      <w:r>
        <w:rPr/>
        <w:t> </w:t>
      </w:r>
      <w:r>
        <w:rPr>
          <w:spacing w:val="-12"/>
        </w:rPr>
        <w:t> </w:t>
      </w:r>
      <w:r>
        <w:rPr>
          <w:spacing w:val="-1"/>
          <w:w w:val="99"/>
        </w:rPr>
        <w:t>wa</w:t>
      </w:r>
      <w:r>
        <w:rPr>
          <w:w w:val="99"/>
        </w:rPr>
        <w:t>s</w:t>
      </w:r>
      <w:r>
        <w:rPr/>
        <w:t> </w:t>
      </w:r>
      <w:r>
        <w:rPr>
          <w:spacing w:val="-12"/>
        </w:rPr>
        <w:t> </w:t>
      </w:r>
      <w:r>
        <w:rPr>
          <w:spacing w:val="-1"/>
          <w:w w:val="99"/>
        </w:rPr>
        <w:t>q</w:t>
      </w:r>
      <w:r>
        <w:rPr>
          <w:w w:val="99"/>
        </w:rPr>
        <w:t>u</w:t>
      </w:r>
      <w:r>
        <w:rPr>
          <w:spacing w:val="-1"/>
          <w:w w:val="99"/>
        </w:rPr>
        <w:t>esti</w:t>
      </w:r>
      <w:r>
        <w:rPr>
          <w:w w:val="99"/>
        </w:rPr>
        <w:t>o</w:t>
      </w:r>
      <w:r>
        <w:rPr>
          <w:spacing w:val="-1"/>
          <w:w w:val="99"/>
        </w:rPr>
        <w:t>n</w:t>
      </w:r>
      <w:r>
        <w:rPr>
          <w:w w:val="99"/>
        </w:rPr>
        <w:t>ed</w:t>
      </w:r>
      <w:r>
        <w:rPr/>
        <w:t> </w:t>
      </w:r>
      <w:r>
        <w:rPr>
          <w:spacing w:val="-12"/>
        </w:rPr>
        <w:t> </w:t>
      </w:r>
      <w:r>
        <w:rPr>
          <w:spacing w:val="-1"/>
          <w:w w:val="99"/>
        </w:rPr>
        <w:t>b</w:t>
      </w:r>
      <w:r>
        <w:rPr>
          <w:w w:val="99"/>
        </w:rPr>
        <w:t>efo</w:t>
      </w:r>
      <w:r>
        <w:rPr>
          <w:spacing w:val="1"/>
          <w:w w:val="99"/>
        </w:rPr>
        <w:t>r</w:t>
      </w:r>
      <w:r>
        <w:rPr>
          <w:w w:val="99"/>
        </w:rPr>
        <w:t>e</w:t>
      </w:r>
      <w:r>
        <w:rPr/>
        <w:t> </w:t>
      </w:r>
      <w:r>
        <w:rPr>
          <w:spacing w:val="-12"/>
        </w:rPr>
        <w:t> </w:t>
      </w:r>
      <w:r>
        <w:rPr>
          <w:w w:val="99"/>
        </w:rPr>
        <w:t>the</w:t>
      </w:r>
      <w:r>
        <w:rPr/>
        <w:t> </w:t>
      </w:r>
      <w:r>
        <w:rPr>
          <w:spacing w:val="-12"/>
        </w:rPr>
        <w:t> </w:t>
      </w:r>
      <w:r>
        <w:rPr>
          <w:spacing w:val="-1"/>
          <w:w w:val="99"/>
        </w:rPr>
        <w:t>Hig</w:t>
      </w:r>
      <w:r>
        <w:rPr>
          <w:w w:val="99"/>
        </w:rPr>
        <w:t>h</w:t>
      </w:r>
      <w:r>
        <w:rPr/>
        <w:t> </w:t>
      </w:r>
      <w:r>
        <w:rPr>
          <w:spacing w:val="-12"/>
        </w:rPr>
        <w:t> </w:t>
      </w:r>
      <w:r>
        <w:rPr>
          <w:spacing w:val="-1"/>
          <w:w w:val="99"/>
        </w:rPr>
        <w:t>Cou</w:t>
      </w:r>
      <w:r>
        <w:rPr>
          <w:spacing w:val="1"/>
          <w:w w:val="99"/>
        </w:rPr>
        <w:t>r</w:t>
      </w:r>
      <w:r>
        <w:rPr>
          <w:w w:val="99"/>
        </w:rPr>
        <w:t>t. </w:t>
      </w:r>
      <w:r>
        <w:rPr/>
        <w:t>Justice Sudhir Agarwal while rejecting the objections</w:t>
      </w:r>
      <w:r>
        <w:rPr>
          <w:spacing w:val="-5"/>
        </w:rPr>
        <w:t> </w:t>
      </w:r>
      <w:r>
        <w:rPr/>
        <w:t>observed:</w:t>
      </w:r>
    </w:p>
    <w:p>
      <w:pPr>
        <w:spacing w:line="276" w:lineRule="auto" w:before="159"/>
        <w:ind w:left="1940" w:right="2264" w:firstLine="0"/>
        <w:jc w:val="both"/>
        <w:rPr>
          <w:sz w:val="21"/>
        </w:rPr>
      </w:pPr>
      <w:r>
        <w:rPr>
          <w:spacing w:val="-1"/>
          <w:w w:val="33"/>
          <w:sz w:val="21"/>
        </w:rPr>
        <w:t>―</w:t>
      </w:r>
      <w:r>
        <w:rPr>
          <w:spacing w:val="-1"/>
          <w:w w:val="100"/>
          <w:sz w:val="21"/>
        </w:rPr>
        <w:t>384</w:t>
      </w:r>
      <w:r>
        <w:rPr>
          <w:w w:val="100"/>
          <w:sz w:val="21"/>
        </w:rPr>
        <w:t>6.</w:t>
      </w:r>
      <w:r>
        <w:rPr>
          <w:sz w:val="21"/>
        </w:rPr>
        <w:t>  </w:t>
      </w:r>
      <w:r>
        <w:rPr>
          <w:spacing w:val="-23"/>
          <w:sz w:val="21"/>
        </w:rPr>
        <w:t> </w:t>
      </w:r>
      <w:r>
        <w:rPr>
          <w:w w:val="100"/>
          <w:sz w:val="21"/>
        </w:rPr>
        <w:t>Fr</w:t>
      </w:r>
      <w:r>
        <w:rPr>
          <w:spacing w:val="-3"/>
          <w:w w:val="100"/>
          <w:sz w:val="21"/>
        </w:rPr>
        <w:t>o</w:t>
      </w:r>
      <w:r>
        <w:rPr>
          <w:w w:val="100"/>
          <w:sz w:val="21"/>
        </w:rPr>
        <w:t>m</w:t>
      </w:r>
      <w:r>
        <w:rPr>
          <w:sz w:val="21"/>
        </w:rPr>
        <w:t>  </w:t>
      </w:r>
      <w:r>
        <w:rPr>
          <w:spacing w:val="-21"/>
          <w:sz w:val="21"/>
        </w:rPr>
        <w:t> </w:t>
      </w:r>
      <w:r>
        <w:rPr>
          <w:spacing w:val="-2"/>
          <w:w w:val="100"/>
          <w:sz w:val="21"/>
        </w:rPr>
        <w:t>t</w:t>
      </w:r>
      <w:r>
        <w:rPr>
          <w:spacing w:val="-3"/>
          <w:w w:val="100"/>
          <w:sz w:val="21"/>
        </w:rPr>
        <w:t>h</w:t>
      </w:r>
      <w:r>
        <w:rPr>
          <w:w w:val="100"/>
          <w:sz w:val="21"/>
        </w:rPr>
        <w:t>e</w:t>
      </w:r>
      <w:r>
        <w:rPr>
          <w:sz w:val="21"/>
        </w:rPr>
        <w:t>  </w:t>
      </w:r>
      <w:r>
        <w:rPr>
          <w:spacing w:val="-22"/>
          <w:sz w:val="21"/>
        </w:rPr>
        <w:t> </w:t>
      </w:r>
      <w:r>
        <w:rPr>
          <w:w w:val="100"/>
          <w:sz w:val="21"/>
        </w:rPr>
        <w:t>s</w:t>
      </w:r>
      <w:r>
        <w:rPr>
          <w:spacing w:val="-2"/>
          <w:w w:val="100"/>
          <w:sz w:val="21"/>
        </w:rPr>
        <w:t>t</w:t>
      </w:r>
      <w:r>
        <w:rPr>
          <w:w w:val="100"/>
          <w:sz w:val="21"/>
        </w:rPr>
        <w:t>a</w:t>
      </w:r>
      <w:r>
        <w:rPr>
          <w:spacing w:val="-1"/>
          <w:w w:val="100"/>
          <w:sz w:val="21"/>
        </w:rPr>
        <w:t>t</w:t>
      </w:r>
      <w:r>
        <w:rPr>
          <w:spacing w:val="-3"/>
          <w:w w:val="100"/>
          <w:sz w:val="21"/>
        </w:rPr>
        <w:t>e</w:t>
      </w:r>
      <w:r>
        <w:rPr>
          <w:spacing w:val="1"/>
          <w:w w:val="100"/>
          <w:sz w:val="21"/>
        </w:rPr>
        <w:t>m</w:t>
      </w:r>
      <w:r>
        <w:rPr>
          <w:spacing w:val="-3"/>
          <w:w w:val="100"/>
          <w:sz w:val="21"/>
        </w:rPr>
        <w:t>e</w:t>
      </w:r>
      <w:r>
        <w:rPr>
          <w:w w:val="100"/>
          <w:sz w:val="21"/>
        </w:rPr>
        <w:t>nt</w:t>
      </w:r>
      <w:r>
        <w:rPr>
          <w:sz w:val="21"/>
        </w:rPr>
        <w:t>  </w:t>
      </w:r>
      <w:r>
        <w:rPr>
          <w:spacing w:val="-23"/>
          <w:sz w:val="21"/>
        </w:rPr>
        <w:t> </w:t>
      </w:r>
      <w:r>
        <w:rPr>
          <w:w w:val="100"/>
          <w:sz w:val="21"/>
        </w:rPr>
        <w:t>of</w:t>
      </w:r>
      <w:r>
        <w:rPr>
          <w:sz w:val="21"/>
        </w:rPr>
        <w:t>  </w:t>
      </w:r>
      <w:r>
        <w:rPr>
          <w:spacing w:val="-21"/>
          <w:sz w:val="21"/>
        </w:rPr>
        <w:t> </w:t>
      </w:r>
      <w:r>
        <w:rPr>
          <w:spacing w:val="-2"/>
          <w:w w:val="100"/>
          <w:sz w:val="21"/>
        </w:rPr>
        <w:t>t</w:t>
      </w:r>
      <w:r>
        <w:rPr>
          <w:spacing w:val="-3"/>
          <w:w w:val="100"/>
          <w:sz w:val="21"/>
        </w:rPr>
        <w:t>h</w:t>
      </w:r>
      <w:r>
        <w:rPr>
          <w:w w:val="100"/>
          <w:sz w:val="21"/>
        </w:rPr>
        <w:t>e</w:t>
      </w:r>
      <w:r>
        <w:rPr>
          <w:sz w:val="21"/>
        </w:rPr>
        <w:t>  </w:t>
      </w:r>
      <w:r>
        <w:rPr>
          <w:spacing w:val="-22"/>
          <w:sz w:val="21"/>
        </w:rPr>
        <w:t> </w:t>
      </w:r>
      <w:r>
        <w:rPr>
          <w:w w:val="100"/>
          <w:sz w:val="21"/>
        </w:rPr>
        <w:t>s</w:t>
      </w:r>
      <w:r>
        <w:rPr>
          <w:spacing w:val="-2"/>
          <w:w w:val="100"/>
          <w:sz w:val="21"/>
        </w:rPr>
        <w:t>i</w:t>
      </w:r>
      <w:r>
        <w:rPr>
          <w:w w:val="100"/>
          <w:sz w:val="21"/>
        </w:rPr>
        <w:t>x</w:t>
      </w:r>
      <w:r>
        <w:rPr>
          <w:sz w:val="21"/>
        </w:rPr>
        <w:t>  </w:t>
      </w:r>
      <w:r>
        <w:rPr>
          <w:spacing w:val="-22"/>
          <w:sz w:val="21"/>
        </w:rPr>
        <w:t> </w:t>
      </w:r>
      <w:r>
        <w:rPr>
          <w:w w:val="100"/>
          <w:sz w:val="21"/>
        </w:rPr>
        <w:t>ex</w:t>
      </w:r>
      <w:r>
        <w:rPr>
          <w:spacing w:val="-3"/>
          <w:w w:val="100"/>
          <w:sz w:val="21"/>
        </w:rPr>
        <w:t>p</w:t>
      </w:r>
      <w:r>
        <w:rPr>
          <w:w w:val="100"/>
          <w:sz w:val="21"/>
        </w:rPr>
        <w:t>ert</w:t>
      </w:r>
      <w:r>
        <w:rPr>
          <w:sz w:val="21"/>
        </w:rPr>
        <w:t>  </w:t>
      </w:r>
      <w:r>
        <w:rPr>
          <w:spacing w:val="-24"/>
          <w:sz w:val="21"/>
        </w:rPr>
        <w:t> </w:t>
      </w:r>
      <w:r>
        <w:rPr>
          <w:spacing w:val="-2"/>
          <w:w w:val="100"/>
          <w:sz w:val="21"/>
        </w:rPr>
        <w:t>w</w:t>
      </w:r>
      <w:r>
        <w:rPr>
          <w:w w:val="100"/>
          <w:sz w:val="21"/>
        </w:rPr>
        <w:t>i</w:t>
      </w:r>
      <w:r>
        <w:rPr>
          <w:spacing w:val="-2"/>
          <w:w w:val="100"/>
          <w:sz w:val="21"/>
        </w:rPr>
        <w:t>t</w:t>
      </w:r>
      <w:r>
        <w:rPr>
          <w:w w:val="100"/>
          <w:sz w:val="21"/>
        </w:rPr>
        <w:t>ness</w:t>
      </w:r>
      <w:r>
        <w:rPr>
          <w:spacing w:val="-2"/>
          <w:w w:val="100"/>
          <w:sz w:val="21"/>
        </w:rPr>
        <w:t>e</w:t>
      </w:r>
      <w:r>
        <w:rPr>
          <w:w w:val="100"/>
          <w:sz w:val="21"/>
        </w:rPr>
        <w:t>s </w:t>
      </w:r>
      <w:r>
        <w:rPr>
          <w:sz w:val="21"/>
        </w:rPr>
        <w:t>produced on behalf of plaintiff (Suit-4), we find that all of them are not unanimous in saying that the entire stratigraphy or periodization made by ASI is bad or incorrect or suffers with such material illegality or irregularity that the same deserves to be rejected, which… ultimately may result in rejection of  the entire report itself. Their statements are also contradictory, vague, confused and based</w:t>
      </w:r>
      <w:r>
        <w:rPr>
          <w:spacing w:val="-19"/>
          <w:sz w:val="21"/>
        </w:rPr>
        <w:t> </w:t>
      </w:r>
      <w:r>
        <w:rPr>
          <w:sz w:val="21"/>
        </w:rPr>
        <w:t>on…conjectures.</w:t>
      </w:r>
    </w:p>
    <w:p>
      <w:pPr>
        <w:spacing w:line="276" w:lineRule="auto" w:before="1"/>
        <w:ind w:left="1940" w:right="2259" w:firstLine="0"/>
        <w:jc w:val="both"/>
        <w:rPr>
          <w:sz w:val="21"/>
        </w:rPr>
      </w:pPr>
      <w:r>
        <w:rPr>
          <w:sz w:val="21"/>
        </w:rPr>
        <w:t>3863… On the contrary, most of them admit that determination of stratigraphy/chronology can be done in one or more method which are well recognized and they are… (1) dynasty wise, (2) century wise and (3) layer wise, and the ASI has followed all the three</w:t>
      </w:r>
      <w:r>
        <w:rPr>
          <w:spacing w:val="-11"/>
          <w:sz w:val="21"/>
        </w:rPr>
        <w:t> </w:t>
      </w:r>
      <w:r>
        <w:rPr>
          <w:sz w:val="21"/>
        </w:rPr>
        <w:t>systems.‖</w:t>
      </w:r>
    </w:p>
    <w:p>
      <w:pPr>
        <w:spacing w:after="0" w:line="276" w:lineRule="auto"/>
        <w:jc w:val="both"/>
        <w:rPr>
          <w:sz w:val="21"/>
        </w:rPr>
        <w:sectPr>
          <w:pgSz w:w="11910" w:h="16840"/>
          <w:pgMar w:header="721" w:footer="1014" w:top="1300" w:bottom="1200" w:left="940" w:right="1000"/>
        </w:sectPr>
      </w:pPr>
    </w:p>
    <w:p>
      <w:pPr>
        <w:pStyle w:val="BodyText"/>
        <w:spacing w:before="124"/>
        <w:ind w:left="500"/>
        <w:jc w:val="both"/>
      </w:pPr>
      <w:r>
        <w:rPr/>
        <w:t>The High Court observed:</w:t>
      </w:r>
    </w:p>
    <w:p>
      <w:pPr>
        <w:pStyle w:val="BodyText"/>
      </w:pPr>
    </w:p>
    <w:p>
      <w:pPr>
        <w:spacing w:line="276" w:lineRule="auto" w:before="0"/>
        <w:ind w:left="1940" w:right="2264" w:firstLine="0"/>
        <w:jc w:val="both"/>
        <w:rPr>
          <w:sz w:val="21"/>
        </w:rPr>
      </w:pPr>
      <w:r>
        <w:rPr>
          <w:spacing w:val="-1"/>
          <w:w w:val="33"/>
          <w:sz w:val="21"/>
        </w:rPr>
        <w:t>―</w:t>
      </w:r>
      <w:r>
        <w:rPr>
          <w:spacing w:val="-1"/>
          <w:w w:val="100"/>
          <w:sz w:val="21"/>
        </w:rPr>
        <w:t>397</w:t>
      </w:r>
      <w:r>
        <w:rPr>
          <w:w w:val="100"/>
          <w:sz w:val="21"/>
        </w:rPr>
        <w:t>9.</w:t>
      </w:r>
      <w:r>
        <w:rPr>
          <w:sz w:val="21"/>
        </w:rPr>
        <w:t> </w:t>
      </w:r>
      <w:r>
        <w:rPr>
          <w:w w:val="100"/>
          <w:sz w:val="21"/>
        </w:rPr>
        <w:t>T</w:t>
      </w:r>
      <w:r>
        <w:rPr>
          <w:spacing w:val="-2"/>
          <w:w w:val="100"/>
          <w:sz w:val="21"/>
        </w:rPr>
        <w:t>h</w:t>
      </w:r>
      <w:r>
        <w:rPr>
          <w:w w:val="100"/>
          <w:sz w:val="21"/>
        </w:rPr>
        <w:t>e</w:t>
      </w:r>
      <w:r>
        <w:rPr>
          <w:sz w:val="21"/>
        </w:rPr>
        <w:t> </w:t>
      </w:r>
      <w:r>
        <w:rPr>
          <w:spacing w:val="-1"/>
          <w:w w:val="100"/>
          <w:sz w:val="21"/>
        </w:rPr>
        <w:t>r</w:t>
      </w:r>
      <w:r>
        <w:rPr>
          <w:spacing w:val="-3"/>
          <w:w w:val="100"/>
          <w:sz w:val="21"/>
        </w:rPr>
        <w:t>e</w:t>
      </w:r>
      <w:r>
        <w:rPr>
          <w:spacing w:val="-1"/>
          <w:w w:val="100"/>
          <w:sz w:val="21"/>
        </w:rPr>
        <w:t>por</w:t>
      </w:r>
      <w:r>
        <w:rPr>
          <w:w w:val="100"/>
          <w:sz w:val="21"/>
        </w:rPr>
        <w:t>t</w:t>
      </w:r>
      <w:r>
        <w:rPr>
          <w:sz w:val="21"/>
        </w:rPr>
        <w:t> </w:t>
      </w:r>
      <w:r>
        <w:rPr>
          <w:spacing w:val="-3"/>
          <w:w w:val="100"/>
          <w:sz w:val="21"/>
        </w:rPr>
        <w:t>o</w:t>
      </w:r>
      <w:r>
        <w:rPr>
          <w:w w:val="100"/>
          <w:sz w:val="21"/>
        </w:rPr>
        <w:t>f</w:t>
      </w:r>
      <w:r>
        <w:rPr>
          <w:sz w:val="21"/>
        </w:rPr>
        <w:t> </w:t>
      </w:r>
      <w:r>
        <w:rPr>
          <w:spacing w:val="-2"/>
          <w:w w:val="100"/>
          <w:sz w:val="21"/>
        </w:rPr>
        <w:t>t</w:t>
      </w:r>
      <w:r>
        <w:rPr>
          <w:spacing w:val="-3"/>
          <w:w w:val="100"/>
          <w:sz w:val="21"/>
        </w:rPr>
        <w:t>h</w:t>
      </w:r>
      <w:r>
        <w:rPr>
          <w:w w:val="100"/>
          <w:sz w:val="21"/>
        </w:rPr>
        <w:t>e</w:t>
      </w:r>
      <w:r>
        <w:rPr>
          <w:sz w:val="21"/>
        </w:rPr>
        <w:t> </w:t>
      </w:r>
      <w:r>
        <w:rPr>
          <w:spacing w:val="-2"/>
          <w:w w:val="100"/>
          <w:sz w:val="21"/>
        </w:rPr>
        <w:t>A</w:t>
      </w:r>
      <w:r>
        <w:rPr>
          <w:spacing w:val="-1"/>
          <w:w w:val="100"/>
          <w:sz w:val="21"/>
        </w:rPr>
        <w:t>r</w:t>
      </w:r>
      <w:r>
        <w:rPr>
          <w:w w:val="100"/>
          <w:sz w:val="21"/>
        </w:rPr>
        <w:t>chae</w:t>
      </w:r>
      <w:r>
        <w:rPr>
          <w:spacing w:val="-2"/>
          <w:w w:val="100"/>
          <w:sz w:val="21"/>
        </w:rPr>
        <w:t>o</w:t>
      </w:r>
      <w:r>
        <w:rPr>
          <w:w w:val="100"/>
          <w:sz w:val="21"/>
        </w:rPr>
        <w:t>l</w:t>
      </w:r>
      <w:r>
        <w:rPr>
          <w:spacing w:val="-3"/>
          <w:w w:val="100"/>
          <w:sz w:val="21"/>
        </w:rPr>
        <w:t>o</w:t>
      </w:r>
      <w:r>
        <w:rPr>
          <w:spacing w:val="-1"/>
          <w:w w:val="100"/>
          <w:sz w:val="21"/>
        </w:rPr>
        <w:t>g</w:t>
      </w:r>
      <w:r>
        <w:rPr>
          <w:spacing w:val="1"/>
          <w:w w:val="100"/>
          <w:sz w:val="21"/>
        </w:rPr>
        <w:t>i</w:t>
      </w:r>
      <w:r>
        <w:rPr>
          <w:spacing w:val="-3"/>
          <w:w w:val="100"/>
          <w:sz w:val="21"/>
        </w:rPr>
        <w:t>c</w:t>
      </w:r>
      <w:r>
        <w:rPr>
          <w:spacing w:val="-1"/>
          <w:w w:val="100"/>
          <w:sz w:val="21"/>
        </w:rPr>
        <w:t>a</w:t>
      </w:r>
      <w:r>
        <w:rPr>
          <w:w w:val="100"/>
          <w:sz w:val="21"/>
        </w:rPr>
        <w:t>l</w:t>
      </w:r>
      <w:r>
        <w:rPr>
          <w:sz w:val="21"/>
        </w:rPr>
        <w:t> </w:t>
      </w:r>
      <w:r>
        <w:rPr>
          <w:spacing w:val="-2"/>
          <w:w w:val="100"/>
          <w:sz w:val="21"/>
        </w:rPr>
        <w:t>S</w:t>
      </w:r>
      <w:r>
        <w:rPr>
          <w:spacing w:val="-1"/>
          <w:w w:val="100"/>
          <w:sz w:val="21"/>
        </w:rPr>
        <w:t>ur</w:t>
      </w:r>
      <w:r>
        <w:rPr>
          <w:spacing w:val="-3"/>
          <w:w w:val="100"/>
          <w:sz w:val="21"/>
        </w:rPr>
        <w:t>v</w:t>
      </w:r>
      <w:r>
        <w:rPr>
          <w:spacing w:val="-1"/>
          <w:w w:val="100"/>
          <w:sz w:val="21"/>
        </w:rPr>
        <w:t>e</w:t>
      </w:r>
      <w:r>
        <w:rPr>
          <w:w w:val="100"/>
          <w:sz w:val="21"/>
        </w:rPr>
        <w:t>y</w:t>
      </w:r>
      <w:r>
        <w:rPr>
          <w:sz w:val="21"/>
        </w:rPr>
        <w:t> </w:t>
      </w:r>
      <w:r>
        <w:rPr>
          <w:spacing w:val="-1"/>
          <w:w w:val="100"/>
          <w:sz w:val="21"/>
        </w:rPr>
        <w:t>o</w:t>
      </w:r>
      <w:r>
        <w:rPr>
          <w:w w:val="100"/>
          <w:sz w:val="21"/>
        </w:rPr>
        <w:t>f</w:t>
      </w:r>
      <w:r>
        <w:rPr>
          <w:sz w:val="21"/>
        </w:rPr>
        <w:t> </w:t>
      </w:r>
      <w:r>
        <w:rPr>
          <w:spacing w:val="-2"/>
          <w:w w:val="100"/>
          <w:sz w:val="21"/>
        </w:rPr>
        <w:t>I</w:t>
      </w:r>
      <w:r>
        <w:rPr>
          <w:spacing w:val="-3"/>
          <w:w w:val="100"/>
          <w:sz w:val="21"/>
        </w:rPr>
        <w:t>n</w:t>
      </w:r>
      <w:r>
        <w:rPr>
          <w:spacing w:val="-1"/>
          <w:w w:val="100"/>
          <w:sz w:val="21"/>
        </w:rPr>
        <w:t>d</w:t>
      </w:r>
      <w:r>
        <w:rPr>
          <w:spacing w:val="1"/>
          <w:w w:val="100"/>
          <w:sz w:val="21"/>
        </w:rPr>
        <w:t>i</w:t>
      </w:r>
      <w:r>
        <w:rPr>
          <w:spacing w:val="-1"/>
          <w:w w:val="100"/>
          <w:sz w:val="21"/>
        </w:rPr>
        <w:t>a</w:t>
      </w:r>
      <w:r>
        <w:rPr>
          <w:w w:val="100"/>
          <w:sz w:val="21"/>
        </w:rPr>
        <w:t>,</w:t>
      </w:r>
      <w:r>
        <w:rPr>
          <w:sz w:val="21"/>
        </w:rPr>
        <w:t> </w:t>
      </w:r>
      <w:r>
        <w:rPr>
          <w:spacing w:val="-4"/>
          <w:w w:val="100"/>
          <w:sz w:val="21"/>
        </w:rPr>
        <w:t>w</w:t>
      </w:r>
      <w:r>
        <w:rPr>
          <w:spacing w:val="-1"/>
          <w:w w:val="100"/>
          <w:sz w:val="21"/>
        </w:rPr>
        <w:t>h</w:t>
      </w:r>
      <w:r>
        <w:rPr>
          <w:spacing w:val="1"/>
          <w:w w:val="100"/>
          <w:sz w:val="21"/>
        </w:rPr>
        <w:t>i</w:t>
      </w:r>
      <w:r>
        <w:rPr>
          <w:spacing w:val="-3"/>
          <w:w w:val="100"/>
          <w:sz w:val="21"/>
        </w:rPr>
        <w:t>c</w:t>
      </w:r>
      <w:r>
        <w:rPr>
          <w:w w:val="100"/>
          <w:sz w:val="21"/>
        </w:rPr>
        <w:t>h </w:t>
      </w:r>
      <w:r>
        <w:rPr>
          <w:sz w:val="21"/>
        </w:rPr>
        <w:t>is a report of an expert in excavation, contains all the details including details of stratigraphy, artifacts, periodisation as well as details of structures and walls.‖</w:t>
      </w:r>
    </w:p>
    <w:p>
      <w:pPr>
        <w:pStyle w:val="BodyText"/>
        <w:rPr>
          <w:sz w:val="24"/>
        </w:rPr>
      </w:pPr>
    </w:p>
    <w:p>
      <w:pPr>
        <w:pStyle w:val="BodyText"/>
        <w:spacing w:before="1"/>
      </w:pPr>
    </w:p>
    <w:p>
      <w:pPr>
        <w:pStyle w:val="ListParagraph"/>
        <w:numPr>
          <w:ilvl w:val="0"/>
          <w:numId w:val="111"/>
        </w:numPr>
        <w:tabs>
          <w:tab w:pos="1221" w:val="left" w:leader="none"/>
        </w:tabs>
        <w:spacing w:line="480" w:lineRule="auto" w:before="1" w:after="0"/>
        <w:ind w:left="500" w:right="438" w:firstLine="0"/>
        <w:jc w:val="both"/>
        <w:rPr>
          <w:sz w:val="25"/>
        </w:rPr>
      </w:pPr>
      <w:r>
        <w:rPr>
          <w:sz w:val="25"/>
        </w:rPr>
        <w:t>In the course of analysing the ASI report, it is important to bear in mind the criticism levelled on the methodology adopted by and the findings recorded by ASI. Taking them into consideration will be an important evaluative technique for this Court to deduce whether the objections, if found to be valid, are of such a nature as would detract wholly from the utility of the report. Alternatively, this Court may have to consider a more nuanced perspective under which the deficiencies shown to exist in the report can lead to a realistic assessment of the conclusions based on probability, relevance and inconsistency. The judgment must deal with the basic question whether the findings of ASI have relevance to the determination of</w:t>
      </w:r>
      <w:r>
        <w:rPr>
          <w:spacing w:val="-1"/>
          <w:sz w:val="25"/>
        </w:rPr>
        <w:t> </w:t>
      </w:r>
      <w:r>
        <w:rPr>
          <w:sz w:val="25"/>
        </w:rPr>
        <w:t>title.</w:t>
      </w:r>
    </w:p>
    <w:p>
      <w:pPr>
        <w:pStyle w:val="BodyText"/>
        <w:spacing w:before="11"/>
        <w:rPr>
          <w:sz w:val="38"/>
        </w:rPr>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Ms Arora has highlighted the oral testimony of R C Thakran (PW- 30), who assailed</w:t>
      </w:r>
      <w:r>
        <w:rPr>
          <w:spacing w:val="15"/>
          <w:sz w:val="25"/>
        </w:rPr>
        <w:t> </w:t>
      </w:r>
      <w:r>
        <w:rPr>
          <w:sz w:val="25"/>
        </w:rPr>
        <w:t>the</w:t>
      </w:r>
      <w:r>
        <w:rPr>
          <w:spacing w:val="16"/>
          <w:sz w:val="25"/>
        </w:rPr>
        <w:t> </w:t>
      </w:r>
      <w:r>
        <w:rPr>
          <w:sz w:val="25"/>
        </w:rPr>
        <w:t>ASI</w:t>
      </w:r>
      <w:r>
        <w:rPr>
          <w:spacing w:val="14"/>
          <w:sz w:val="25"/>
        </w:rPr>
        <w:t> </w:t>
      </w:r>
      <w:r>
        <w:rPr>
          <w:sz w:val="25"/>
        </w:rPr>
        <w:t>report.</w:t>
      </w:r>
      <w:r>
        <w:rPr>
          <w:spacing w:val="16"/>
          <w:sz w:val="25"/>
        </w:rPr>
        <w:t> </w:t>
      </w:r>
      <w:r>
        <w:rPr>
          <w:spacing w:val="-3"/>
          <w:sz w:val="25"/>
        </w:rPr>
        <w:t>PW</w:t>
      </w:r>
      <w:r>
        <w:rPr>
          <w:spacing w:val="24"/>
          <w:sz w:val="25"/>
        </w:rPr>
        <w:t> </w:t>
      </w:r>
      <w:r>
        <w:rPr>
          <w:sz w:val="25"/>
        </w:rPr>
        <w:t>–</w:t>
      </w:r>
      <w:r>
        <w:rPr>
          <w:spacing w:val="13"/>
          <w:sz w:val="25"/>
        </w:rPr>
        <w:t> </w:t>
      </w:r>
      <w:r>
        <w:rPr>
          <w:sz w:val="25"/>
        </w:rPr>
        <w:t>30</w:t>
      </w:r>
      <w:r>
        <w:rPr>
          <w:spacing w:val="16"/>
          <w:sz w:val="25"/>
        </w:rPr>
        <w:t> </w:t>
      </w:r>
      <w:r>
        <w:rPr>
          <w:sz w:val="25"/>
        </w:rPr>
        <w:t>noted</w:t>
      </w:r>
      <w:r>
        <w:rPr>
          <w:spacing w:val="15"/>
          <w:sz w:val="25"/>
        </w:rPr>
        <w:t> </w:t>
      </w:r>
      <w:r>
        <w:rPr>
          <w:sz w:val="25"/>
        </w:rPr>
        <w:t>that</w:t>
      </w:r>
      <w:r>
        <w:rPr>
          <w:spacing w:val="15"/>
          <w:sz w:val="25"/>
        </w:rPr>
        <w:t> </w:t>
      </w:r>
      <w:r>
        <w:rPr>
          <w:sz w:val="25"/>
        </w:rPr>
        <w:t>periods</w:t>
      </w:r>
      <w:r>
        <w:rPr>
          <w:spacing w:val="15"/>
          <w:sz w:val="25"/>
        </w:rPr>
        <w:t> </w:t>
      </w:r>
      <w:r>
        <w:rPr>
          <w:sz w:val="25"/>
        </w:rPr>
        <w:t>VI</w:t>
      </w:r>
      <w:r>
        <w:rPr>
          <w:spacing w:val="15"/>
          <w:sz w:val="25"/>
        </w:rPr>
        <w:t> </w:t>
      </w:r>
      <w:r>
        <w:rPr>
          <w:sz w:val="25"/>
        </w:rPr>
        <w:t>to</w:t>
      </w:r>
      <w:r>
        <w:rPr>
          <w:spacing w:val="16"/>
          <w:sz w:val="25"/>
        </w:rPr>
        <w:t> </w:t>
      </w:r>
      <w:r>
        <w:rPr>
          <w:sz w:val="25"/>
        </w:rPr>
        <w:t>VII</w:t>
      </w:r>
      <w:r>
        <w:rPr>
          <w:spacing w:val="12"/>
          <w:sz w:val="25"/>
        </w:rPr>
        <w:t> </w:t>
      </w:r>
      <w:r>
        <w:rPr>
          <w:sz w:val="25"/>
        </w:rPr>
        <w:t>of</w:t>
      </w:r>
      <w:r>
        <w:rPr>
          <w:spacing w:val="13"/>
          <w:sz w:val="25"/>
        </w:rPr>
        <w:t> </w:t>
      </w:r>
      <w:r>
        <w:rPr>
          <w:sz w:val="25"/>
        </w:rPr>
        <w:t>Chapter</w:t>
      </w:r>
      <w:r>
        <w:rPr>
          <w:spacing w:val="16"/>
          <w:sz w:val="25"/>
        </w:rPr>
        <w:t> </w:t>
      </w:r>
      <w:r>
        <w:rPr>
          <w:sz w:val="25"/>
        </w:rPr>
        <w:t>III</w:t>
      </w:r>
      <w:r>
        <w:rPr>
          <w:spacing w:val="15"/>
          <w:sz w:val="25"/>
        </w:rPr>
        <w:t> </w:t>
      </w:r>
      <w:r>
        <w:rPr>
          <w:sz w:val="25"/>
        </w:rPr>
        <w:t>titled</w:t>
      </w:r>
    </w:p>
    <w:p>
      <w:pPr>
        <w:pStyle w:val="BodyText"/>
        <w:spacing w:line="480" w:lineRule="auto"/>
        <w:ind w:left="500" w:right="435"/>
        <w:jc w:val="both"/>
      </w:pPr>
      <w:r>
        <w:rPr>
          <w:w w:val="33"/>
        </w:rPr>
        <w:t>―</w:t>
      </w:r>
      <w:r>
        <w:rPr>
          <w:spacing w:val="-1"/>
          <w:w w:val="99"/>
        </w:rPr>
        <w:t>S</w:t>
      </w:r>
      <w:r>
        <w:rPr>
          <w:w w:val="99"/>
        </w:rPr>
        <w:t>tr</w:t>
      </w:r>
      <w:r>
        <w:rPr>
          <w:spacing w:val="-1"/>
          <w:w w:val="99"/>
        </w:rPr>
        <w:t>ati</w:t>
      </w:r>
      <w:r>
        <w:rPr>
          <w:w w:val="99"/>
        </w:rPr>
        <w:t>gr</w:t>
      </w:r>
      <w:r>
        <w:rPr>
          <w:spacing w:val="-1"/>
          <w:w w:val="99"/>
        </w:rPr>
        <w:t>a</w:t>
      </w:r>
      <w:r>
        <w:rPr>
          <w:w w:val="99"/>
        </w:rPr>
        <w:t>p</w:t>
      </w:r>
      <w:r>
        <w:rPr>
          <w:spacing w:val="-1"/>
          <w:w w:val="99"/>
        </w:rPr>
        <w:t>h</w:t>
      </w:r>
      <w:r>
        <w:rPr>
          <w:w w:val="99"/>
        </w:rPr>
        <w:t>y</w:t>
      </w:r>
      <w:r>
        <w:rPr/>
        <w:t> </w:t>
      </w:r>
      <w:r>
        <w:rPr>
          <w:spacing w:val="-12"/>
        </w:rPr>
        <w:t> </w:t>
      </w:r>
      <w:r>
        <w:rPr>
          <w:spacing w:val="-1"/>
          <w:w w:val="99"/>
        </w:rPr>
        <w:t>a</w:t>
      </w:r>
      <w:r>
        <w:rPr>
          <w:w w:val="99"/>
        </w:rPr>
        <w:t>nd</w:t>
      </w:r>
      <w:r>
        <w:rPr/>
        <w:t> </w:t>
      </w:r>
      <w:r>
        <w:rPr>
          <w:spacing w:val="-10"/>
        </w:rPr>
        <w:t> </w:t>
      </w:r>
      <w:r>
        <w:rPr>
          <w:spacing w:val="-1"/>
          <w:w w:val="99"/>
        </w:rPr>
        <w:t>Ch</w:t>
      </w:r>
      <w:r>
        <w:rPr>
          <w:w w:val="99"/>
        </w:rPr>
        <w:t>r</w:t>
      </w:r>
      <w:r>
        <w:rPr>
          <w:spacing w:val="-1"/>
          <w:w w:val="99"/>
        </w:rPr>
        <w:t>o</w:t>
      </w:r>
      <w:r>
        <w:rPr>
          <w:w w:val="99"/>
        </w:rPr>
        <w:t>n</w:t>
      </w:r>
      <w:r>
        <w:rPr>
          <w:spacing w:val="-1"/>
          <w:w w:val="99"/>
        </w:rPr>
        <w:t>olo</w:t>
      </w:r>
      <w:r>
        <w:rPr>
          <w:w w:val="99"/>
        </w:rPr>
        <w:t>g</w:t>
      </w:r>
      <w:r>
        <w:rPr>
          <w:spacing w:val="-3"/>
          <w:w w:val="99"/>
        </w:rPr>
        <w:t>y</w:t>
      </w:r>
      <w:r>
        <w:rPr>
          <w:w w:val="80"/>
        </w:rPr>
        <w:t>‖</w:t>
      </w:r>
      <w:r>
        <w:rPr/>
        <w:t> </w:t>
      </w:r>
      <w:r>
        <w:rPr>
          <w:spacing w:val="-9"/>
        </w:rPr>
        <w:t> </w:t>
      </w:r>
      <w:r>
        <w:rPr>
          <w:spacing w:val="-1"/>
          <w:w w:val="99"/>
        </w:rPr>
        <w:t>we</w:t>
      </w:r>
      <w:r>
        <w:rPr>
          <w:w w:val="99"/>
        </w:rPr>
        <w:t>re</w:t>
      </w:r>
      <w:r>
        <w:rPr/>
        <w:t> </w:t>
      </w:r>
      <w:r>
        <w:rPr>
          <w:spacing w:val="-10"/>
        </w:rPr>
        <w:t> </w:t>
      </w:r>
      <w:r>
        <w:rPr>
          <w:w w:val="99"/>
        </w:rPr>
        <w:t>subseq</w:t>
      </w:r>
      <w:r>
        <w:rPr>
          <w:spacing w:val="-1"/>
          <w:w w:val="99"/>
        </w:rPr>
        <w:t>u</w:t>
      </w:r>
      <w:r>
        <w:rPr>
          <w:w w:val="99"/>
        </w:rPr>
        <w:t>e</w:t>
      </w:r>
      <w:r>
        <w:rPr>
          <w:spacing w:val="-1"/>
          <w:w w:val="99"/>
        </w:rPr>
        <w:t>ntl</w:t>
      </w:r>
      <w:r>
        <w:rPr>
          <w:w w:val="99"/>
        </w:rPr>
        <w:t>y</w:t>
      </w:r>
      <w:r>
        <w:rPr/>
        <w:t> </w:t>
      </w:r>
      <w:r>
        <w:rPr>
          <w:spacing w:val="-12"/>
        </w:rPr>
        <w:t> </w:t>
      </w:r>
      <w:r>
        <w:rPr>
          <w:spacing w:val="-1"/>
          <w:w w:val="99"/>
        </w:rPr>
        <w:t>alt</w:t>
      </w:r>
      <w:r>
        <w:rPr>
          <w:w w:val="99"/>
        </w:rPr>
        <w:t>er</w:t>
      </w:r>
      <w:r>
        <w:rPr>
          <w:spacing w:val="-1"/>
          <w:w w:val="99"/>
        </w:rPr>
        <w:t>e</w:t>
      </w:r>
      <w:r>
        <w:rPr>
          <w:w w:val="99"/>
        </w:rPr>
        <w:t>d</w:t>
      </w:r>
      <w:r>
        <w:rPr/>
        <w:t> </w:t>
      </w:r>
      <w:r>
        <w:rPr>
          <w:spacing w:val="-10"/>
        </w:rPr>
        <w:t> </w:t>
      </w:r>
      <w:r>
        <w:rPr>
          <w:spacing w:val="-1"/>
          <w:w w:val="99"/>
        </w:rPr>
        <w:t>i</w:t>
      </w:r>
      <w:r>
        <w:rPr>
          <w:w w:val="99"/>
        </w:rPr>
        <w:t>n</w:t>
      </w:r>
      <w:r>
        <w:rPr/>
        <w:t> </w:t>
      </w:r>
      <w:r>
        <w:rPr>
          <w:spacing w:val="-10"/>
        </w:rPr>
        <w:t> </w:t>
      </w:r>
      <w:r>
        <w:rPr>
          <w:w w:val="99"/>
        </w:rPr>
        <w:t>the</w:t>
      </w:r>
      <w:r>
        <w:rPr/>
        <w:t> </w:t>
      </w:r>
      <w:r>
        <w:rPr>
          <w:spacing w:val="-9"/>
        </w:rPr>
        <w:t> </w:t>
      </w:r>
      <w:r>
        <w:rPr>
          <w:spacing w:val="-1"/>
          <w:w w:val="72"/>
        </w:rPr>
        <w:t>‗</w:t>
      </w:r>
      <w:r>
        <w:rPr>
          <w:spacing w:val="-2"/>
          <w:w w:val="72"/>
        </w:rPr>
        <w:t>S</w:t>
      </w:r>
      <w:r>
        <w:rPr>
          <w:spacing w:val="-1"/>
          <w:w w:val="99"/>
        </w:rPr>
        <w:t>u</w:t>
      </w:r>
      <w:r>
        <w:rPr>
          <w:w w:val="99"/>
        </w:rPr>
        <w:t>mm</w:t>
      </w:r>
      <w:r>
        <w:rPr>
          <w:spacing w:val="-1"/>
          <w:w w:val="99"/>
        </w:rPr>
        <w:t>a</w:t>
      </w:r>
      <w:r>
        <w:rPr>
          <w:w w:val="99"/>
        </w:rPr>
        <w:t>ry</w:t>
      </w:r>
      <w:r>
        <w:rPr/>
        <w:t> </w:t>
      </w:r>
      <w:r>
        <w:rPr>
          <w:spacing w:val="-13"/>
        </w:rPr>
        <w:t> </w:t>
      </w:r>
      <w:r>
        <w:rPr>
          <w:spacing w:val="-1"/>
          <w:w w:val="99"/>
        </w:rPr>
        <w:t>of </w:t>
      </w:r>
      <w:r>
        <w:rPr/>
        <w:t>results‘. Initially at pages 38 to 41 of the report, the nomenclature </w:t>
      </w:r>
      <w:r>
        <w:rPr>
          <w:spacing w:val="3"/>
        </w:rPr>
        <w:t>of </w:t>
      </w:r>
      <w:r>
        <w:rPr/>
        <w:t>periods V, VI and VII is as</w:t>
      </w:r>
      <w:r>
        <w:rPr>
          <w:spacing w:val="-5"/>
        </w:rPr>
        <w:t> </w:t>
      </w:r>
      <w:r>
        <w:rPr/>
        <w:t>follows:</w:t>
      </w:r>
    </w:p>
    <w:p>
      <w:pPr>
        <w:spacing w:line="276" w:lineRule="auto" w:before="158"/>
        <w:ind w:left="1940" w:right="3395" w:firstLine="0"/>
        <w:jc w:val="both"/>
        <w:rPr>
          <w:sz w:val="21"/>
        </w:rPr>
      </w:pPr>
      <w:r>
        <w:rPr>
          <w:w w:val="33"/>
          <w:sz w:val="21"/>
        </w:rPr>
        <w:t>―</w:t>
      </w:r>
      <w:r>
        <w:rPr>
          <w:w w:val="100"/>
          <w:sz w:val="21"/>
        </w:rPr>
        <w:t>Period</w:t>
      </w:r>
      <w:r>
        <w:rPr>
          <w:sz w:val="21"/>
        </w:rPr>
        <w:t> </w:t>
      </w:r>
      <w:r>
        <w:rPr>
          <w:w w:val="100"/>
          <w:sz w:val="21"/>
        </w:rPr>
        <w:t>V</w:t>
      </w:r>
      <w:r>
        <w:rPr>
          <w:sz w:val="21"/>
        </w:rPr>
        <w:t> </w:t>
      </w:r>
      <w:r>
        <w:rPr>
          <w:w w:val="100"/>
          <w:sz w:val="21"/>
        </w:rPr>
        <w:t>:</w:t>
      </w:r>
      <w:r>
        <w:rPr>
          <w:sz w:val="21"/>
        </w:rPr>
        <w:t> </w:t>
      </w:r>
      <w:r>
        <w:rPr>
          <w:w w:val="100"/>
          <w:sz w:val="21"/>
        </w:rPr>
        <w:t>Post-</w:t>
      </w:r>
      <w:r>
        <w:rPr>
          <w:w w:val="100"/>
          <w:sz w:val="21"/>
        </w:rPr>
        <w:t>G</w:t>
      </w:r>
      <w:r>
        <w:rPr>
          <w:w w:val="100"/>
          <w:sz w:val="21"/>
        </w:rPr>
        <w:t>upt</w:t>
      </w:r>
      <w:r>
        <w:rPr>
          <w:w w:val="100"/>
          <w:sz w:val="21"/>
        </w:rPr>
        <w:t>a</w:t>
      </w:r>
      <w:r>
        <w:rPr>
          <w:w w:val="100"/>
          <w:sz w:val="21"/>
        </w:rPr>
        <w:t>-</w:t>
      </w:r>
      <w:r>
        <w:rPr>
          <w:w w:val="100"/>
          <w:sz w:val="21"/>
        </w:rPr>
        <w:t>Ra</w:t>
      </w:r>
      <w:r>
        <w:rPr>
          <w:w w:val="100"/>
          <w:sz w:val="21"/>
        </w:rPr>
        <w:t>j</w:t>
      </w:r>
      <w:r>
        <w:rPr>
          <w:w w:val="100"/>
          <w:sz w:val="21"/>
        </w:rPr>
        <w:t>put</w:t>
      </w:r>
      <w:r>
        <w:rPr>
          <w:w w:val="100"/>
          <w:sz w:val="21"/>
        </w:rPr>
        <w:t>,</w:t>
      </w:r>
      <w:r>
        <w:rPr>
          <w:sz w:val="21"/>
        </w:rPr>
        <w:t> </w:t>
      </w:r>
      <w:r>
        <w:rPr>
          <w:w w:val="100"/>
          <w:sz w:val="21"/>
        </w:rPr>
        <w:t>7</w:t>
      </w:r>
      <w:r>
        <w:rPr>
          <w:w w:val="97"/>
          <w:sz w:val="21"/>
          <w:vertAlign w:val="superscript"/>
        </w:rPr>
        <w:t>th</w:t>
      </w:r>
      <w:r>
        <w:rPr>
          <w:sz w:val="21"/>
          <w:vertAlign w:val="baseline"/>
        </w:rPr>
        <w:t> </w:t>
      </w:r>
      <w:r>
        <w:rPr>
          <w:w w:val="100"/>
          <w:sz w:val="21"/>
          <w:vertAlign w:val="baseline"/>
        </w:rPr>
        <w:t>t</w:t>
      </w:r>
      <w:r>
        <w:rPr>
          <w:w w:val="100"/>
          <w:sz w:val="21"/>
          <w:vertAlign w:val="baseline"/>
        </w:rPr>
        <w:t>o</w:t>
      </w:r>
      <w:r>
        <w:rPr>
          <w:sz w:val="21"/>
          <w:vertAlign w:val="baseline"/>
        </w:rPr>
        <w:t> </w:t>
      </w:r>
      <w:r>
        <w:rPr>
          <w:w w:val="100"/>
          <w:sz w:val="21"/>
          <w:vertAlign w:val="baseline"/>
        </w:rPr>
        <w:t>10</w:t>
      </w:r>
      <w:r>
        <w:rPr>
          <w:w w:val="97"/>
          <w:sz w:val="21"/>
          <w:vertAlign w:val="superscript"/>
        </w:rPr>
        <w:t>th</w:t>
      </w:r>
      <w:r>
        <w:rPr>
          <w:sz w:val="21"/>
          <w:vertAlign w:val="baseline"/>
        </w:rPr>
        <w:t> </w:t>
      </w:r>
      <w:r>
        <w:rPr>
          <w:w w:val="100"/>
          <w:sz w:val="21"/>
          <w:vertAlign w:val="baseline"/>
        </w:rPr>
        <w:t>C</w:t>
      </w:r>
      <w:r>
        <w:rPr>
          <w:w w:val="100"/>
          <w:sz w:val="21"/>
          <w:vertAlign w:val="baseline"/>
        </w:rPr>
        <w:t>entury </w:t>
      </w:r>
      <w:r>
        <w:rPr>
          <w:sz w:val="21"/>
          <w:vertAlign w:val="baseline"/>
        </w:rPr>
        <w:t>Period VI: Medieval – Sultanate, 11</w:t>
      </w:r>
      <w:r>
        <w:rPr>
          <w:sz w:val="21"/>
          <w:vertAlign w:val="superscript"/>
        </w:rPr>
        <w:t>th</w:t>
      </w:r>
      <w:r>
        <w:rPr>
          <w:sz w:val="21"/>
          <w:vertAlign w:val="baseline"/>
        </w:rPr>
        <w:t>-12</w:t>
      </w:r>
      <w:r>
        <w:rPr>
          <w:sz w:val="21"/>
          <w:vertAlign w:val="superscript"/>
        </w:rPr>
        <w:t>th</w:t>
      </w:r>
      <w:r>
        <w:rPr>
          <w:sz w:val="21"/>
          <w:vertAlign w:val="baseline"/>
        </w:rPr>
        <w:t> Century Period VII: Medieval, 12</w:t>
      </w:r>
      <w:r>
        <w:rPr>
          <w:sz w:val="21"/>
          <w:vertAlign w:val="superscript"/>
        </w:rPr>
        <w:t>th</w:t>
      </w:r>
      <w:r>
        <w:rPr>
          <w:sz w:val="21"/>
          <w:vertAlign w:val="baseline"/>
        </w:rPr>
        <w:t> to 16</w:t>
      </w:r>
      <w:r>
        <w:rPr>
          <w:sz w:val="21"/>
          <w:vertAlign w:val="superscript"/>
        </w:rPr>
        <w:t>th</w:t>
      </w:r>
      <w:r>
        <w:rPr>
          <w:sz w:val="21"/>
          <w:vertAlign w:val="baseline"/>
        </w:rPr>
        <w:t> Century.‖</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7"/>
        <w:jc w:val="both"/>
      </w:pPr>
      <w:r>
        <w:rPr/>
        <w:t>PW-30, however draws attention to the fact that in the Summary of results the above nomenclature is revised to read as follows :</w:t>
      </w:r>
    </w:p>
    <w:p>
      <w:pPr>
        <w:spacing w:line="276" w:lineRule="auto" w:before="0"/>
        <w:ind w:left="1940" w:right="3423" w:firstLine="0"/>
        <w:jc w:val="left"/>
        <w:rPr>
          <w:sz w:val="21"/>
        </w:rPr>
      </w:pPr>
      <w:r>
        <w:rPr>
          <w:spacing w:val="-1"/>
          <w:w w:val="33"/>
          <w:sz w:val="21"/>
        </w:rPr>
        <w:t>―</w:t>
      </w:r>
      <w:r>
        <w:rPr>
          <w:w w:val="100"/>
          <w:sz w:val="21"/>
        </w:rPr>
        <w:t>P</w:t>
      </w:r>
      <w:r>
        <w:rPr>
          <w:spacing w:val="-1"/>
          <w:w w:val="100"/>
          <w:sz w:val="21"/>
        </w:rPr>
        <w:t>er</w:t>
      </w:r>
      <w:r>
        <w:rPr>
          <w:spacing w:val="-2"/>
          <w:w w:val="100"/>
          <w:sz w:val="21"/>
        </w:rPr>
        <w:t>i</w:t>
      </w:r>
      <w:r>
        <w:rPr>
          <w:spacing w:val="-1"/>
          <w:w w:val="100"/>
          <w:sz w:val="21"/>
        </w:rPr>
        <w:t>o</w:t>
      </w:r>
      <w:r>
        <w:rPr>
          <w:w w:val="100"/>
          <w:sz w:val="21"/>
        </w:rPr>
        <w:t>d</w:t>
      </w:r>
      <w:r>
        <w:rPr>
          <w:spacing w:val="-1"/>
          <w:sz w:val="21"/>
        </w:rPr>
        <w:t> </w:t>
      </w:r>
      <w:r>
        <w:rPr>
          <w:w w:val="100"/>
          <w:sz w:val="21"/>
        </w:rPr>
        <w:t>V</w:t>
      </w:r>
      <w:r>
        <w:rPr>
          <w:spacing w:val="-1"/>
          <w:sz w:val="21"/>
        </w:rPr>
        <w:t> </w:t>
      </w:r>
      <w:r>
        <w:rPr>
          <w:w w:val="100"/>
          <w:sz w:val="21"/>
        </w:rPr>
        <w:t>:</w:t>
      </w:r>
      <w:r>
        <w:rPr>
          <w:spacing w:val="-2"/>
          <w:sz w:val="21"/>
        </w:rPr>
        <w:t> </w:t>
      </w:r>
      <w:r>
        <w:rPr>
          <w:w w:val="100"/>
          <w:sz w:val="21"/>
        </w:rPr>
        <w:t>P</w:t>
      </w:r>
      <w:r>
        <w:rPr>
          <w:spacing w:val="-3"/>
          <w:w w:val="100"/>
          <w:sz w:val="21"/>
        </w:rPr>
        <w:t>o</w:t>
      </w:r>
      <w:r>
        <w:rPr>
          <w:w w:val="100"/>
          <w:sz w:val="21"/>
        </w:rPr>
        <w:t>st</w:t>
      </w:r>
      <w:r>
        <w:rPr>
          <w:spacing w:val="-1"/>
          <w:w w:val="100"/>
          <w:sz w:val="21"/>
        </w:rPr>
        <w:t>-</w:t>
      </w:r>
      <w:r>
        <w:rPr>
          <w:spacing w:val="-2"/>
          <w:w w:val="100"/>
          <w:sz w:val="21"/>
        </w:rPr>
        <w:t>G</w:t>
      </w:r>
      <w:r>
        <w:rPr>
          <w:w w:val="100"/>
          <w:sz w:val="21"/>
        </w:rPr>
        <w:t>up</w:t>
      </w:r>
      <w:r>
        <w:rPr>
          <w:spacing w:val="-1"/>
          <w:w w:val="100"/>
          <w:sz w:val="21"/>
        </w:rPr>
        <w:t>t</w:t>
      </w:r>
      <w:r>
        <w:rPr>
          <w:w w:val="100"/>
          <w:sz w:val="21"/>
        </w:rPr>
        <w:t>a</w:t>
      </w:r>
      <w:r>
        <w:rPr>
          <w:spacing w:val="-1"/>
          <w:w w:val="100"/>
          <w:sz w:val="21"/>
        </w:rPr>
        <w:t>-</w:t>
      </w:r>
      <w:r>
        <w:rPr>
          <w:spacing w:val="-2"/>
          <w:w w:val="100"/>
          <w:sz w:val="21"/>
        </w:rPr>
        <w:t>R</w:t>
      </w:r>
      <w:r>
        <w:rPr>
          <w:spacing w:val="-3"/>
          <w:w w:val="100"/>
          <w:sz w:val="21"/>
        </w:rPr>
        <w:t>a</w:t>
      </w:r>
      <w:r>
        <w:rPr>
          <w:w w:val="100"/>
          <w:sz w:val="21"/>
        </w:rPr>
        <w:t>j</w:t>
      </w:r>
      <w:r>
        <w:rPr>
          <w:w w:val="100"/>
          <w:sz w:val="21"/>
        </w:rPr>
        <w:t>pu</w:t>
      </w:r>
      <w:r>
        <w:rPr>
          <w:spacing w:val="-1"/>
          <w:w w:val="100"/>
          <w:sz w:val="21"/>
        </w:rPr>
        <w:t>t</w:t>
      </w:r>
      <w:r>
        <w:rPr>
          <w:w w:val="100"/>
          <w:sz w:val="21"/>
        </w:rPr>
        <w:t>,</w:t>
      </w:r>
      <w:r>
        <w:rPr>
          <w:spacing w:val="-2"/>
          <w:sz w:val="21"/>
        </w:rPr>
        <w:t> </w:t>
      </w:r>
      <w:r>
        <w:rPr>
          <w:w w:val="100"/>
          <w:sz w:val="21"/>
        </w:rPr>
        <w:t>7</w:t>
      </w:r>
      <w:r>
        <w:rPr>
          <w:spacing w:val="-1"/>
          <w:w w:val="97"/>
          <w:sz w:val="21"/>
          <w:vertAlign w:val="superscript"/>
        </w:rPr>
        <w:t>th</w:t>
      </w:r>
      <w:r>
        <w:rPr>
          <w:spacing w:val="-1"/>
          <w:w w:val="100"/>
          <w:sz w:val="21"/>
          <w:vertAlign w:val="baseline"/>
        </w:rPr>
        <w:t>-</w:t>
      </w:r>
      <w:r>
        <w:rPr>
          <w:w w:val="100"/>
          <w:sz w:val="21"/>
          <w:vertAlign w:val="baseline"/>
        </w:rPr>
        <w:t>10</w:t>
      </w:r>
      <w:r>
        <w:rPr>
          <w:spacing w:val="-1"/>
          <w:w w:val="97"/>
          <w:sz w:val="21"/>
          <w:vertAlign w:val="superscript"/>
        </w:rPr>
        <w:t>t</w:t>
      </w:r>
      <w:r>
        <w:rPr>
          <w:w w:val="97"/>
          <w:sz w:val="21"/>
          <w:vertAlign w:val="superscript"/>
        </w:rPr>
        <w:t>h</w:t>
      </w:r>
      <w:r>
        <w:rPr>
          <w:spacing w:val="-1"/>
          <w:sz w:val="21"/>
          <w:vertAlign w:val="baseline"/>
        </w:rPr>
        <w:t> </w:t>
      </w:r>
      <w:r>
        <w:rPr>
          <w:w w:val="100"/>
          <w:sz w:val="21"/>
          <w:vertAlign w:val="baseline"/>
        </w:rPr>
        <w:t>cen</w:t>
      </w:r>
      <w:r>
        <w:rPr>
          <w:spacing w:val="-1"/>
          <w:w w:val="100"/>
          <w:sz w:val="21"/>
          <w:vertAlign w:val="baseline"/>
        </w:rPr>
        <w:t>t</w:t>
      </w:r>
      <w:r>
        <w:rPr>
          <w:w w:val="100"/>
          <w:sz w:val="21"/>
          <w:vertAlign w:val="baseline"/>
        </w:rPr>
        <w:t>ury </w:t>
      </w:r>
      <w:r>
        <w:rPr>
          <w:sz w:val="21"/>
          <w:vertAlign w:val="baseline"/>
        </w:rPr>
        <w:t>Period VI: Early medieval, 11</w:t>
      </w:r>
      <w:r>
        <w:rPr>
          <w:sz w:val="21"/>
          <w:vertAlign w:val="superscript"/>
        </w:rPr>
        <w:t>th</w:t>
      </w:r>
      <w:r>
        <w:rPr>
          <w:sz w:val="21"/>
          <w:vertAlign w:val="baseline"/>
        </w:rPr>
        <w:t>-12</w:t>
      </w:r>
      <w:r>
        <w:rPr>
          <w:sz w:val="21"/>
          <w:vertAlign w:val="superscript"/>
        </w:rPr>
        <w:t>th</w:t>
      </w:r>
      <w:r>
        <w:rPr>
          <w:sz w:val="21"/>
          <w:vertAlign w:val="baseline"/>
        </w:rPr>
        <w:t> century Period VII: Medieval-Sultanate, 12</w:t>
      </w:r>
      <w:r>
        <w:rPr>
          <w:sz w:val="21"/>
          <w:vertAlign w:val="superscript"/>
        </w:rPr>
        <w:t>th</w:t>
      </w:r>
      <w:r>
        <w:rPr>
          <w:sz w:val="21"/>
          <w:vertAlign w:val="baseline"/>
        </w:rPr>
        <w:t>-16</w:t>
      </w:r>
      <w:r>
        <w:rPr>
          <w:sz w:val="21"/>
          <w:vertAlign w:val="superscript"/>
        </w:rPr>
        <w:t>th</w:t>
      </w:r>
      <w:r>
        <w:rPr>
          <w:spacing w:val="-32"/>
          <w:sz w:val="21"/>
          <w:vertAlign w:val="baseline"/>
        </w:rPr>
        <w:t> </w:t>
      </w:r>
      <w:r>
        <w:rPr>
          <w:sz w:val="21"/>
          <w:vertAlign w:val="baseline"/>
        </w:rPr>
        <w:t>century.‖</w:t>
      </w:r>
    </w:p>
    <w:p>
      <w:pPr>
        <w:pStyle w:val="BodyText"/>
        <w:rPr>
          <w:sz w:val="26"/>
        </w:rPr>
      </w:pPr>
    </w:p>
    <w:p>
      <w:pPr>
        <w:pStyle w:val="BodyText"/>
        <w:rPr>
          <w:sz w:val="26"/>
        </w:rPr>
      </w:pPr>
    </w:p>
    <w:p>
      <w:pPr>
        <w:pStyle w:val="BodyText"/>
        <w:spacing w:before="4"/>
        <w:rPr>
          <w:sz w:val="21"/>
        </w:rPr>
      </w:pPr>
    </w:p>
    <w:p>
      <w:pPr>
        <w:pStyle w:val="BodyText"/>
        <w:spacing w:line="482" w:lineRule="auto"/>
        <w:ind w:left="500" w:right="445"/>
        <w:jc w:val="both"/>
      </w:pPr>
      <w:r>
        <w:rPr/>
        <w:t>The above inconsistency which has been highlighted carefully by Ms Arora must be borne in mind.</w:t>
      </w:r>
    </w:p>
    <w:p>
      <w:pPr>
        <w:pStyle w:val="BodyText"/>
        <w:spacing w:line="480" w:lineRule="auto"/>
        <w:ind w:left="500" w:right="433"/>
        <w:jc w:val="both"/>
      </w:pPr>
      <w:r>
        <w:rPr/>
        <w:t>According to PW-30, the transfer of the Medieval - Sultanate period from period </w:t>
      </w:r>
      <w:r>
        <w:rPr>
          <w:spacing w:val="-1"/>
          <w:w w:val="99"/>
        </w:rPr>
        <w:t>V</w:t>
      </w:r>
      <w:r>
        <w:rPr>
          <w:w w:val="99"/>
        </w:rPr>
        <w:t>I</w:t>
      </w:r>
      <w:r>
        <w:rPr>
          <w:spacing w:val="4"/>
        </w:rPr>
        <w:t> </w:t>
      </w:r>
      <w:r>
        <w:rPr>
          <w:w w:val="99"/>
        </w:rPr>
        <w:t>to</w:t>
      </w:r>
      <w:r>
        <w:rPr>
          <w:spacing w:val="5"/>
        </w:rPr>
        <w:t> </w:t>
      </w:r>
      <w:r>
        <w:rPr>
          <w:spacing w:val="-1"/>
          <w:w w:val="99"/>
        </w:rPr>
        <w:t>V</w:t>
      </w:r>
      <w:r>
        <w:rPr>
          <w:w w:val="99"/>
        </w:rPr>
        <w:t>II</w:t>
      </w:r>
      <w:r>
        <w:rPr>
          <w:spacing w:val="5"/>
        </w:rPr>
        <w:t> </w:t>
      </w:r>
      <w:r>
        <w:rPr>
          <w:w w:val="99"/>
        </w:rPr>
        <w:t>ha</w:t>
      </w:r>
      <w:r>
        <w:rPr>
          <w:w w:val="99"/>
        </w:rPr>
        <w:t>s</w:t>
      </w:r>
      <w:r>
        <w:rPr>
          <w:spacing w:val="2"/>
        </w:rPr>
        <w:t> </w:t>
      </w:r>
      <w:r>
        <w:rPr>
          <w:w w:val="33"/>
        </w:rPr>
        <w:t>―</w:t>
      </w:r>
      <w:r>
        <w:rPr>
          <w:w w:val="99"/>
        </w:rPr>
        <w:t>the</w:t>
      </w:r>
      <w:r>
        <w:rPr>
          <w:spacing w:val="5"/>
        </w:rPr>
        <w:t> </w:t>
      </w:r>
      <w:r>
        <w:rPr>
          <w:spacing w:val="-1"/>
          <w:w w:val="99"/>
        </w:rPr>
        <w:t>a</w:t>
      </w:r>
      <w:r>
        <w:rPr>
          <w:w w:val="99"/>
        </w:rPr>
        <w:t>d</w:t>
      </w:r>
      <w:r>
        <w:rPr>
          <w:spacing w:val="-3"/>
          <w:w w:val="99"/>
        </w:rPr>
        <w:t>v</w:t>
      </w:r>
      <w:r>
        <w:rPr>
          <w:spacing w:val="-1"/>
          <w:w w:val="99"/>
        </w:rPr>
        <w:t>a</w:t>
      </w:r>
      <w:r>
        <w:rPr>
          <w:w w:val="99"/>
        </w:rPr>
        <w:t>ntag</w:t>
      </w:r>
      <w:r>
        <w:rPr>
          <w:spacing w:val="-1"/>
          <w:w w:val="91"/>
        </w:rPr>
        <w:t>e</w:t>
      </w:r>
      <w:r>
        <w:rPr>
          <w:w w:val="91"/>
        </w:rPr>
        <w:t>‖</w:t>
      </w:r>
      <w:r>
        <w:rPr>
          <w:spacing w:val="5"/>
        </w:rPr>
        <w:t> </w:t>
      </w:r>
      <w:r>
        <w:rPr>
          <w:spacing w:val="-1"/>
          <w:w w:val="99"/>
        </w:rPr>
        <w:t>o</w:t>
      </w:r>
      <w:r>
        <w:rPr>
          <w:w w:val="99"/>
        </w:rPr>
        <w:t>f</w:t>
      </w:r>
      <w:r>
        <w:rPr>
          <w:spacing w:val="2"/>
        </w:rPr>
        <w:t> </w:t>
      </w:r>
      <w:r>
        <w:rPr>
          <w:spacing w:val="-1"/>
          <w:w w:val="99"/>
        </w:rPr>
        <w:t>ign</w:t>
      </w:r>
      <w:r>
        <w:rPr>
          <w:w w:val="99"/>
        </w:rPr>
        <w:t>or</w:t>
      </w:r>
      <w:r>
        <w:rPr>
          <w:spacing w:val="-1"/>
          <w:w w:val="99"/>
        </w:rPr>
        <w:t>in</w:t>
      </w:r>
      <w:r>
        <w:rPr>
          <w:w w:val="99"/>
        </w:rPr>
        <w:t>g</w:t>
      </w:r>
      <w:r>
        <w:rPr>
          <w:spacing w:val="2"/>
        </w:rPr>
        <w:t> </w:t>
      </w:r>
      <w:r>
        <w:rPr>
          <w:w w:val="99"/>
        </w:rPr>
        <w:t>Isla</w:t>
      </w:r>
      <w:r>
        <w:rPr>
          <w:spacing w:val="1"/>
          <w:w w:val="99"/>
        </w:rPr>
        <w:t>m</w:t>
      </w:r>
      <w:r>
        <w:rPr>
          <w:spacing w:val="-1"/>
          <w:w w:val="99"/>
        </w:rPr>
        <w:t>i</w:t>
      </w:r>
      <w:r>
        <w:rPr>
          <w:w w:val="99"/>
        </w:rPr>
        <w:t>c</w:t>
      </w:r>
      <w:r>
        <w:rPr>
          <w:spacing w:val="4"/>
        </w:rPr>
        <w:t> </w:t>
      </w:r>
      <w:r>
        <w:rPr>
          <w:spacing w:val="-1"/>
          <w:w w:val="99"/>
        </w:rPr>
        <w:t>p</w:t>
      </w:r>
      <w:r>
        <w:rPr>
          <w:w w:val="99"/>
        </w:rPr>
        <w:t>er</w:t>
      </w:r>
      <w:r>
        <w:rPr>
          <w:spacing w:val="-1"/>
          <w:w w:val="99"/>
        </w:rPr>
        <w:t>io</w:t>
      </w:r>
      <w:r>
        <w:rPr>
          <w:w w:val="99"/>
        </w:rPr>
        <w:t>d</w:t>
      </w:r>
      <w:r>
        <w:rPr>
          <w:spacing w:val="2"/>
        </w:rPr>
        <w:t> </w:t>
      </w:r>
      <w:r>
        <w:rPr>
          <w:w w:val="99"/>
        </w:rPr>
        <w:t>m</w:t>
      </w:r>
      <w:r>
        <w:rPr>
          <w:spacing w:val="-1"/>
          <w:w w:val="99"/>
        </w:rPr>
        <w:t>at</w:t>
      </w:r>
      <w:r>
        <w:rPr>
          <w:w w:val="99"/>
        </w:rPr>
        <w:t>er</w:t>
      </w:r>
      <w:r>
        <w:rPr>
          <w:spacing w:val="-1"/>
          <w:w w:val="99"/>
        </w:rPr>
        <w:t>ial</w:t>
      </w:r>
      <w:r>
        <w:rPr>
          <w:w w:val="99"/>
        </w:rPr>
        <w:t>s</w:t>
      </w:r>
      <w:r>
        <w:rPr>
          <w:spacing w:val="2"/>
        </w:rPr>
        <w:t> </w:t>
      </w:r>
      <w:r>
        <w:rPr>
          <w:spacing w:val="-1"/>
          <w:w w:val="99"/>
        </w:rPr>
        <w:t>lik</w:t>
      </w:r>
      <w:r>
        <w:rPr>
          <w:w w:val="99"/>
        </w:rPr>
        <w:t>e</w:t>
      </w:r>
      <w:r>
        <w:rPr>
          <w:spacing w:val="4"/>
        </w:rPr>
        <w:t> </w:t>
      </w:r>
      <w:r>
        <w:rPr>
          <w:spacing w:val="-1"/>
          <w:w w:val="99"/>
        </w:rPr>
        <w:t>glaz</w:t>
      </w:r>
      <w:r>
        <w:rPr>
          <w:w w:val="99"/>
        </w:rPr>
        <w:t>ed</w:t>
      </w:r>
      <w:r>
        <w:rPr>
          <w:spacing w:val="13"/>
        </w:rPr>
        <w:t> </w:t>
      </w:r>
      <w:r>
        <w:rPr>
          <w:w w:val="99"/>
        </w:rPr>
        <w:t>wa</w:t>
      </w:r>
      <w:r>
        <w:rPr>
          <w:spacing w:val="-2"/>
          <w:w w:val="99"/>
        </w:rPr>
        <w:t>r</w:t>
      </w:r>
      <w:r>
        <w:rPr>
          <w:w w:val="99"/>
        </w:rPr>
        <w:t>e </w:t>
      </w:r>
      <w:r>
        <w:rPr/>
        <w:t>or lime-mortar by removing them arbitrarily from period VI levels to those of period VII so that their actual presence in those levels does not pose a challenge </w:t>
      </w:r>
      <w:r>
        <w:rPr>
          <w:w w:val="99"/>
        </w:rPr>
        <w:t>to</w:t>
      </w:r>
      <w:r>
        <w:rPr/>
        <w:t> </w:t>
      </w:r>
      <w:r>
        <w:rPr>
          <w:spacing w:val="-26"/>
        </w:rPr>
        <w:t> </w:t>
      </w:r>
      <w:r>
        <w:rPr>
          <w:spacing w:val="-1"/>
          <w:w w:val="99"/>
        </w:rPr>
        <w:t>AS</w:t>
      </w:r>
      <w:r>
        <w:rPr>
          <w:w w:val="99"/>
        </w:rPr>
        <w:t>I</w:t>
      </w:r>
      <w:r>
        <w:rPr/>
        <w:t> </w:t>
      </w:r>
      <w:r>
        <w:rPr>
          <w:spacing w:val="-27"/>
        </w:rPr>
        <w:t> </w:t>
      </w:r>
      <w:r>
        <w:rPr>
          <w:spacing w:val="-1"/>
          <w:w w:val="99"/>
        </w:rPr>
        <w:t>i</w:t>
      </w:r>
      <w:r>
        <w:rPr>
          <w:w w:val="99"/>
        </w:rPr>
        <w:t>n</w:t>
      </w:r>
      <w:r>
        <w:rPr/>
        <w:t> </w:t>
      </w:r>
      <w:r>
        <w:rPr>
          <w:spacing w:val="-27"/>
        </w:rPr>
        <w:t> </w:t>
      </w:r>
      <w:r>
        <w:rPr>
          <w:spacing w:val="-1"/>
          <w:w w:val="99"/>
        </w:rPr>
        <w:t>placi</w:t>
      </w:r>
      <w:r>
        <w:rPr>
          <w:w w:val="99"/>
        </w:rPr>
        <w:t>ng</w:t>
      </w:r>
      <w:r>
        <w:rPr/>
        <w:t> </w:t>
      </w:r>
      <w:r>
        <w:rPr>
          <w:spacing w:val="-26"/>
        </w:rPr>
        <w:t> </w:t>
      </w:r>
      <w:r>
        <w:rPr>
          <w:w w:val="99"/>
        </w:rPr>
        <w:t>the</w:t>
      </w:r>
      <w:r>
        <w:rPr/>
        <w:t> </w:t>
      </w:r>
      <w:r>
        <w:rPr>
          <w:spacing w:val="-24"/>
        </w:rPr>
        <w:t> </w:t>
      </w:r>
      <w:r>
        <w:rPr>
          <w:w w:val="99"/>
        </w:rPr>
        <w:t>constr</w:t>
      </w:r>
      <w:r>
        <w:rPr>
          <w:spacing w:val="-1"/>
          <w:w w:val="99"/>
        </w:rPr>
        <w:t>ucti</w:t>
      </w:r>
      <w:r>
        <w:rPr>
          <w:w w:val="99"/>
        </w:rPr>
        <w:t>on</w:t>
      </w:r>
      <w:r>
        <w:rPr/>
        <w:t> </w:t>
      </w:r>
      <w:r>
        <w:rPr>
          <w:spacing w:val="-26"/>
        </w:rPr>
        <w:t> </w:t>
      </w:r>
      <w:r>
        <w:rPr>
          <w:spacing w:val="-1"/>
          <w:w w:val="99"/>
        </w:rPr>
        <w:t>o</w:t>
      </w:r>
      <w:r>
        <w:rPr>
          <w:w w:val="99"/>
        </w:rPr>
        <w:t>f</w:t>
      </w:r>
      <w:r>
        <w:rPr/>
        <w:t> </w:t>
      </w:r>
      <w:r>
        <w:rPr>
          <w:spacing w:val="-26"/>
        </w:rPr>
        <w:t> </w:t>
      </w:r>
      <w:r>
        <w:rPr>
          <w:spacing w:val="-1"/>
          <w:w w:val="99"/>
        </w:rPr>
        <w:t>a</w:t>
      </w:r>
      <w:r>
        <w:rPr>
          <w:w w:val="99"/>
        </w:rPr>
        <w:t>n</w:t>
      </w:r>
      <w:r>
        <w:rPr/>
        <w:t> </w:t>
      </w:r>
      <w:r>
        <w:rPr>
          <w:spacing w:val="-26"/>
        </w:rPr>
        <w:t> </w:t>
      </w:r>
      <w:r>
        <w:rPr>
          <w:spacing w:val="-3"/>
          <w:w w:val="99"/>
        </w:rPr>
        <w:t>a</w:t>
      </w:r>
      <w:r>
        <w:rPr>
          <w:spacing w:val="-1"/>
          <w:w w:val="99"/>
        </w:rPr>
        <w:t>lleg</w:t>
      </w:r>
      <w:r>
        <w:rPr>
          <w:w w:val="99"/>
        </w:rPr>
        <w:t>ed</w:t>
      </w:r>
      <w:r>
        <w:rPr/>
        <w:t> </w:t>
      </w:r>
      <w:r>
        <w:rPr>
          <w:spacing w:val="-26"/>
        </w:rPr>
        <w:t> </w:t>
      </w:r>
      <w:r>
        <w:rPr>
          <w:w w:val="33"/>
        </w:rPr>
        <w:t>―</w:t>
      </w:r>
      <w:r>
        <w:rPr>
          <w:w w:val="99"/>
        </w:rPr>
        <w:t>m</w:t>
      </w:r>
      <w:r>
        <w:rPr>
          <w:spacing w:val="-1"/>
          <w:w w:val="99"/>
        </w:rPr>
        <w:t>assi</w:t>
      </w:r>
      <w:r>
        <w:rPr>
          <w:spacing w:val="-3"/>
          <w:w w:val="99"/>
        </w:rPr>
        <w:t>v</w:t>
      </w:r>
      <w:r>
        <w:rPr>
          <w:spacing w:val="-1"/>
          <w:w w:val="91"/>
        </w:rPr>
        <w:t>e</w:t>
      </w:r>
      <w:r>
        <w:rPr>
          <w:w w:val="91"/>
        </w:rPr>
        <w:t>‖</w:t>
      </w:r>
      <w:r>
        <w:rPr/>
        <w:t> </w:t>
      </w:r>
      <w:r>
        <w:rPr>
          <w:spacing w:val="-26"/>
        </w:rPr>
        <w:t> </w:t>
      </w:r>
      <w:r>
        <w:rPr>
          <w:spacing w:val="-1"/>
          <w:w w:val="99"/>
        </w:rPr>
        <w:t>o</w:t>
      </w:r>
      <w:r>
        <w:rPr>
          <w:w w:val="99"/>
        </w:rPr>
        <w:t>r</w:t>
      </w:r>
      <w:r>
        <w:rPr/>
        <w:t> </w:t>
      </w:r>
      <w:r>
        <w:rPr>
          <w:spacing w:val="-26"/>
        </w:rPr>
        <w:t> </w:t>
      </w:r>
      <w:r>
        <w:rPr>
          <w:w w:val="33"/>
        </w:rPr>
        <w:t>―</w:t>
      </w:r>
      <w:r>
        <w:rPr>
          <w:spacing w:val="-1"/>
          <w:w w:val="99"/>
        </w:rPr>
        <w:t>h</w:t>
      </w:r>
      <w:r>
        <w:rPr>
          <w:w w:val="99"/>
        </w:rPr>
        <w:t>u</w:t>
      </w:r>
      <w:r>
        <w:rPr>
          <w:spacing w:val="-1"/>
          <w:w w:val="99"/>
        </w:rPr>
        <w:t>g</w:t>
      </w:r>
      <w:r>
        <w:rPr>
          <w:w w:val="99"/>
        </w:rPr>
        <w:t>e</w:t>
      </w:r>
      <w:r>
        <w:rPr>
          <w:w w:val="80"/>
        </w:rPr>
        <w:t>‖</w:t>
      </w:r>
      <w:r>
        <w:rPr/>
        <w:t> </w:t>
      </w:r>
      <w:r>
        <w:rPr>
          <w:spacing w:val="-26"/>
        </w:rPr>
        <w:t> </w:t>
      </w:r>
      <w:r>
        <w:rPr>
          <w:w w:val="99"/>
        </w:rPr>
        <w:t>te</w:t>
      </w:r>
      <w:r>
        <w:rPr>
          <w:spacing w:val="1"/>
          <w:w w:val="99"/>
        </w:rPr>
        <w:t>m</w:t>
      </w:r>
      <w:r>
        <w:rPr>
          <w:spacing w:val="-1"/>
          <w:w w:val="99"/>
        </w:rPr>
        <w:t>pl</w:t>
      </w:r>
      <w:r>
        <w:rPr>
          <w:w w:val="99"/>
        </w:rPr>
        <w:t>e</w:t>
      </w:r>
      <w:r>
        <w:rPr/>
        <w:t> </w:t>
      </w:r>
      <w:r>
        <w:rPr>
          <w:spacing w:val="-26"/>
        </w:rPr>
        <w:t> </w:t>
      </w:r>
      <w:r>
        <w:rPr>
          <w:spacing w:val="-1"/>
          <w:w w:val="99"/>
        </w:rPr>
        <w:t>in </w:t>
      </w:r>
      <w:r>
        <w:rPr/>
        <w:t>period</w:t>
      </w:r>
      <w:r>
        <w:rPr>
          <w:spacing w:val="-1"/>
        </w:rPr>
        <w:t> </w:t>
      </w:r>
      <w:r>
        <w:rPr/>
        <w:t>VI.</w:t>
      </w:r>
    </w:p>
    <w:p>
      <w:pPr>
        <w:pStyle w:val="BodyText"/>
        <w:spacing w:before="9"/>
        <w:rPr>
          <w:sz w:val="24"/>
        </w:rPr>
      </w:pPr>
    </w:p>
    <w:p>
      <w:pPr>
        <w:pStyle w:val="BodyText"/>
        <w:spacing w:line="480" w:lineRule="auto"/>
        <w:ind w:left="500" w:right="434"/>
        <w:jc w:val="both"/>
      </w:pPr>
      <w:r>
        <w:rPr/>
        <w:t>On the aspect of ‗periodisation-stratification‘, Jayanti Prasad Srivastav</w:t>
      </w:r>
      <w:r>
        <w:rPr>
          <w:spacing w:val="-51"/>
        </w:rPr>
        <w:t> </w:t>
      </w:r>
      <w:r>
        <w:rPr/>
        <w:t>(DW-20/5) who was formerly a Superintending Archaeologist with ASI stated:</w:t>
      </w:r>
    </w:p>
    <w:p>
      <w:pPr>
        <w:spacing w:line="276" w:lineRule="auto" w:before="0"/>
        <w:ind w:left="1940" w:right="2263" w:firstLine="0"/>
        <w:jc w:val="both"/>
        <w:rPr>
          <w:sz w:val="21"/>
        </w:rPr>
      </w:pPr>
      <w:r>
        <w:rPr>
          <w:spacing w:val="-1"/>
          <w:w w:val="33"/>
          <w:sz w:val="21"/>
        </w:rPr>
        <w:t>―</w:t>
      </w:r>
      <w:r>
        <w:rPr>
          <w:w w:val="100"/>
          <w:sz w:val="21"/>
        </w:rPr>
        <w:t>…H</w:t>
      </w:r>
      <w:r>
        <w:rPr>
          <w:spacing w:val="-1"/>
          <w:w w:val="100"/>
          <w:sz w:val="21"/>
        </w:rPr>
        <w:t>o</w:t>
      </w:r>
      <w:r>
        <w:rPr>
          <w:spacing w:val="-4"/>
          <w:w w:val="100"/>
          <w:sz w:val="21"/>
        </w:rPr>
        <w:t>w</w:t>
      </w:r>
      <w:r>
        <w:rPr>
          <w:spacing w:val="-1"/>
          <w:w w:val="100"/>
          <w:sz w:val="21"/>
        </w:rPr>
        <w:t>e</w:t>
      </w:r>
      <w:r>
        <w:rPr>
          <w:spacing w:val="-3"/>
          <w:w w:val="100"/>
          <w:sz w:val="21"/>
        </w:rPr>
        <w:t>v</w:t>
      </w:r>
      <w:r>
        <w:rPr>
          <w:spacing w:val="-1"/>
          <w:w w:val="100"/>
          <w:sz w:val="21"/>
        </w:rPr>
        <w:t>e</w:t>
      </w:r>
      <w:r>
        <w:rPr>
          <w:w w:val="100"/>
          <w:sz w:val="21"/>
        </w:rPr>
        <w:t>r</w:t>
      </w:r>
      <w:r>
        <w:rPr>
          <w:sz w:val="21"/>
        </w:rPr>
        <w:t>  </w:t>
      </w:r>
      <w:r>
        <w:rPr>
          <w:w w:val="100"/>
          <w:sz w:val="21"/>
        </w:rPr>
        <w:t>I</w:t>
      </w:r>
      <w:r>
        <w:rPr>
          <w:sz w:val="21"/>
        </w:rPr>
        <w:t>  </w:t>
      </w:r>
      <w:r>
        <w:rPr>
          <w:spacing w:val="-1"/>
          <w:w w:val="100"/>
          <w:sz w:val="21"/>
        </w:rPr>
        <w:t>agre</w:t>
      </w:r>
      <w:r>
        <w:rPr>
          <w:w w:val="100"/>
          <w:sz w:val="21"/>
        </w:rPr>
        <w:t>e</w:t>
      </w:r>
      <w:r>
        <w:rPr>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2"/>
          <w:w w:val="100"/>
          <w:sz w:val="21"/>
        </w:rPr>
        <w:t>t</w:t>
      </w:r>
      <w:r>
        <w:rPr>
          <w:spacing w:val="-1"/>
          <w:w w:val="100"/>
          <w:sz w:val="21"/>
        </w:rPr>
        <w:t>h</w:t>
      </w:r>
      <w:r>
        <w:rPr>
          <w:w w:val="100"/>
          <w:sz w:val="21"/>
        </w:rPr>
        <w:t>e</w:t>
      </w:r>
      <w:r>
        <w:rPr>
          <w:sz w:val="21"/>
        </w:rPr>
        <w:t>  </w:t>
      </w:r>
      <w:r>
        <w:rPr>
          <w:spacing w:val="-1"/>
          <w:w w:val="100"/>
          <w:sz w:val="21"/>
        </w:rPr>
        <w:t>op</w:t>
      </w:r>
      <w:r>
        <w:rPr>
          <w:spacing w:val="1"/>
          <w:w w:val="100"/>
          <w:sz w:val="21"/>
        </w:rPr>
        <w:t>i</w:t>
      </w:r>
      <w:r>
        <w:rPr>
          <w:spacing w:val="-3"/>
          <w:w w:val="100"/>
          <w:sz w:val="21"/>
        </w:rPr>
        <w:t>n</w:t>
      </w:r>
      <w:r>
        <w:rPr>
          <w:w w:val="100"/>
          <w:sz w:val="21"/>
        </w:rPr>
        <w:t>i</w:t>
      </w:r>
      <w:r>
        <w:rPr>
          <w:spacing w:val="-1"/>
          <w:w w:val="100"/>
          <w:sz w:val="21"/>
        </w:rPr>
        <w:t>o</w:t>
      </w:r>
      <w:r>
        <w:rPr>
          <w:w w:val="100"/>
          <w:sz w:val="21"/>
        </w:rPr>
        <w:t>n</w:t>
      </w:r>
      <w:r>
        <w:rPr>
          <w:sz w:val="21"/>
        </w:rPr>
        <w:t>  </w:t>
      </w:r>
      <w:r>
        <w:rPr>
          <w:spacing w:val="-3"/>
          <w:w w:val="100"/>
          <w:sz w:val="21"/>
        </w:rPr>
        <w:t>o</w:t>
      </w:r>
      <w:r>
        <w:rPr>
          <w:w w:val="100"/>
          <w:sz w:val="21"/>
        </w:rPr>
        <w:t>f</w:t>
      </w:r>
      <w:r>
        <w:rPr>
          <w:sz w:val="21"/>
        </w:rPr>
        <w:t>  </w:t>
      </w:r>
      <w:r>
        <w:rPr>
          <w:spacing w:val="-2"/>
          <w:w w:val="100"/>
          <w:sz w:val="21"/>
        </w:rPr>
        <w:t>t</w:t>
      </w:r>
      <w:r>
        <w:rPr>
          <w:spacing w:val="-1"/>
          <w:w w:val="100"/>
          <w:sz w:val="21"/>
        </w:rPr>
        <w:t>h</w:t>
      </w:r>
      <w:r>
        <w:rPr>
          <w:w w:val="100"/>
          <w:sz w:val="21"/>
        </w:rPr>
        <w:t>e</w:t>
      </w:r>
      <w:r>
        <w:rPr>
          <w:sz w:val="21"/>
        </w:rPr>
        <w:t>  </w:t>
      </w:r>
      <w:r>
        <w:rPr>
          <w:spacing w:val="-2"/>
          <w:w w:val="100"/>
          <w:sz w:val="21"/>
        </w:rPr>
        <w:t>A</w:t>
      </w:r>
      <w:r>
        <w:rPr>
          <w:w w:val="100"/>
          <w:sz w:val="21"/>
        </w:rPr>
        <w:t>S</w:t>
      </w:r>
      <w:r>
        <w:rPr>
          <w:spacing w:val="-2"/>
          <w:w w:val="100"/>
          <w:sz w:val="21"/>
        </w:rPr>
        <w:t>I</w:t>
      </w:r>
      <w:r>
        <w:rPr>
          <w:w w:val="100"/>
          <w:sz w:val="21"/>
        </w:rPr>
        <w:t>,</w:t>
      </w:r>
      <w:r>
        <w:rPr>
          <w:sz w:val="21"/>
        </w:rPr>
        <w:t>  </w:t>
      </w:r>
      <w:r>
        <w:rPr>
          <w:spacing w:val="-2"/>
          <w:w w:val="100"/>
          <w:sz w:val="21"/>
        </w:rPr>
        <w:t>w</w:t>
      </w:r>
      <w:r>
        <w:rPr>
          <w:spacing w:val="-1"/>
          <w:w w:val="100"/>
          <w:sz w:val="21"/>
        </w:rPr>
        <w:t>h</w:t>
      </w:r>
      <w:r>
        <w:rPr>
          <w:spacing w:val="1"/>
          <w:w w:val="100"/>
          <w:sz w:val="21"/>
        </w:rPr>
        <w:t>i</w:t>
      </w:r>
      <w:r>
        <w:rPr>
          <w:w w:val="100"/>
          <w:sz w:val="21"/>
        </w:rPr>
        <w:t>ch</w:t>
      </w:r>
      <w:r>
        <w:rPr>
          <w:sz w:val="21"/>
        </w:rPr>
        <w:t>  </w:t>
      </w:r>
      <w:r>
        <w:rPr>
          <w:spacing w:val="-2"/>
          <w:w w:val="100"/>
          <w:sz w:val="21"/>
        </w:rPr>
        <w:t>i</w:t>
      </w:r>
      <w:r>
        <w:rPr>
          <w:w w:val="100"/>
          <w:sz w:val="21"/>
        </w:rPr>
        <w:t>s </w:t>
      </w:r>
      <w:r>
        <w:rPr>
          <w:sz w:val="21"/>
        </w:rPr>
        <w:t>mentioned in the chart prepared by them at page 37-A, where they have assigned floor 4 and 5 to the early Medieval Sultanate period. On page 37-A in the chart the ASI has mentioned early Medieval Sultanate period whereas at page</w:t>
      </w:r>
    </w:p>
    <w:p>
      <w:pPr>
        <w:spacing w:line="276" w:lineRule="auto" w:before="0"/>
        <w:ind w:left="1940" w:right="2261" w:firstLine="0"/>
        <w:jc w:val="both"/>
        <w:rPr>
          <w:sz w:val="21"/>
        </w:rPr>
      </w:pPr>
      <w:r>
        <w:rPr>
          <w:sz w:val="21"/>
        </w:rPr>
        <w:t>40 they have mentioned Medieval period. To my mind it appears that there is difference between the two, but I cannot clarify the same.</w:t>
      </w:r>
    </w:p>
    <w:p>
      <w:pPr>
        <w:spacing w:line="276" w:lineRule="auto" w:before="0"/>
        <w:ind w:left="1940" w:right="2261" w:firstLine="0"/>
        <w:jc w:val="both"/>
        <w:rPr>
          <w:sz w:val="21"/>
        </w:rPr>
      </w:pPr>
      <w:r>
        <w:rPr>
          <w:spacing w:val="-2"/>
          <w:w w:val="100"/>
          <w:sz w:val="21"/>
        </w:rPr>
        <w:t>Q</w:t>
      </w:r>
      <w:r>
        <w:rPr>
          <w:w w:val="100"/>
          <w:sz w:val="21"/>
        </w:rPr>
        <w:t>.</w:t>
      </w:r>
      <w:r>
        <w:rPr>
          <w:sz w:val="21"/>
        </w:rPr>
        <w:t>        </w:t>
      </w:r>
      <w:r>
        <w:rPr>
          <w:spacing w:val="-28"/>
          <w:sz w:val="21"/>
        </w:rPr>
        <w:t> </w:t>
      </w:r>
      <w:r>
        <w:rPr>
          <w:spacing w:val="-2"/>
          <w:w w:val="100"/>
          <w:sz w:val="21"/>
        </w:rPr>
        <w:t>I</w:t>
      </w:r>
      <w:r>
        <w:rPr>
          <w:w w:val="100"/>
          <w:sz w:val="21"/>
        </w:rPr>
        <w:t>s</w:t>
      </w:r>
      <w:r>
        <w:rPr>
          <w:sz w:val="21"/>
        </w:rPr>
        <w:t> </w:t>
      </w:r>
      <w:r>
        <w:rPr>
          <w:spacing w:val="17"/>
          <w:sz w:val="21"/>
        </w:rPr>
        <w:t> </w:t>
      </w:r>
      <w:r>
        <w:rPr>
          <w:w w:val="100"/>
          <w:sz w:val="21"/>
        </w:rPr>
        <w:t>it</w:t>
      </w:r>
      <w:r>
        <w:rPr>
          <w:sz w:val="21"/>
        </w:rPr>
        <w:t> </w:t>
      </w:r>
      <w:r>
        <w:rPr>
          <w:spacing w:val="16"/>
          <w:sz w:val="21"/>
        </w:rPr>
        <w:t> </w:t>
      </w:r>
      <w:r>
        <w:rPr>
          <w:spacing w:val="-3"/>
          <w:w w:val="100"/>
          <w:sz w:val="21"/>
        </w:rPr>
        <w:t>c</w:t>
      </w:r>
      <w:r>
        <w:rPr>
          <w:spacing w:val="-1"/>
          <w:w w:val="100"/>
          <w:sz w:val="21"/>
        </w:rPr>
        <w:t>or</w:t>
      </w:r>
      <w:r>
        <w:rPr>
          <w:spacing w:val="-2"/>
          <w:w w:val="100"/>
          <w:sz w:val="21"/>
        </w:rPr>
        <w:t>r</w:t>
      </w:r>
      <w:r>
        <w:rPr>
          <w:spacing w:val="-1"/>
          <w:w w:val="100"/>
          <w:sz w:val="21"/>
        </w:rPr>
        <w:t>ec</w:t>
      </w:r>
      <w:r>
        <w:rPr>
          <w:w w:val="100"/>
          <w:sz w:val="21"/>
        </w:rPr>
        <w:t>t</w:t>
      </w:r>
      <w:r>
        <w:rPr>
          <w:sz w:val="21"/>
        </w:rPr>
        <w:t> </w:t>
      </w:r>
      <w:r>
        <w:rPr>
          <w:spacing w:val="16"/>
          <w:sz w:val="21"/>
        </w:rPr>
        <w:t> </w:t>
      </w:r>
      <w:r>
        <w:rPr>
          <w:spacing w:val="-2"/>
          <w:w w:val="100"/>
          <w:sz w:val="21"/>
        </w:rPr>
        <w:t>t</w:t>
      </w:r>
      <w:r>
        <w:rPr>
          <w:w w:val="100"/>
          <w:sz w:val="21"/>
        </w:rPr>
        <w:t>o</w:t>
      </w:r>
      <w:r>
        <w:rPr>
          <w:sz w:val="21"/>
        </w:rPr>
        <w:t> </w:t>
      </w:r>
      <w:r>
        <w:rPr>
          <w:spacing w:val="15"/>
          <w:sz w:val="21"/>
        </w:rPr>
        <w:t> </w:t>
      </w:r>
      <w:r>
        <w:rPr>
          <w:w w:val="100"/>
          <w:sz w:val="21"/>
        </w:rPr>
        <w:t>say</w:t>
      </w:r>
      <w:r>
        <w:rPr>
          <w:sz w:val="21"/>
        </w:rPr>
        <w:t> </w:t>
      </w:r>
      <w:r>
        <w:rPr>
          <w:spacing w:val="15"/>
          <w:sz w:val="21"/>
        </w:rPr>
        <w:t> </w:t>
      </w:r>
      <w:r>
        <w:rPr>
          <w:spacing w:val="-2"/>
          <w:w w:val="100"/>
          <w:sz w:val="21"/>
        </w:rPr>
        <w:t>t</w:t>
      </w:r>
      <w:r>
        <w:rPr>
          <w:spacing w:val="-1"/>
          <w:w w:val="100"/>
          <w:sz w:val="21"/>
        </w:rPr>
        <w:t>ha</w:t>
      </w:r>
      <w:r>
        <w:rPr>
          <w:w w:val="100"/>
          <w:sz w:val="21"/>
        </w:rPr>
        <w:t>t</w:t>
      </w:r>
      <w:r>
        <w:rPr>
          <w:sz w:val="21"/>
        </w:rPr>
        <w:t> </w:t>
      </w:r>
      <w:r>
        <w:rPr>
          <w:spacing w:val="14"/>
          <w:sz w:val="21"/>
        </w:rPr>
        <w:t> </w:t>
      </w:r>
      <w:r>
        <w:rPr>
          <w:spacing w:val="-2"/>
          <w:w w:val="100"/>
          <w:sz w:val="21"/>
        </w:rPr>
        <w:t>t</w:t>
      </w:r>
      <w:r>
        <w:rPr>
          <w:spacing w:val="-1"/>
          <w:w w:val="100"/>
          <w:sz w:val="21"/>
        </w:rPr>
        <w:t>h</w:t>
      </w:r>
      <w:r>
        <w:rPr>
          <w:w w:val="100"/>
          <w:sz w:val="21"/>
        </w:rPr>
        <w:t>e</w:t>
      </w:r>
      <w:r>
        <w:rPr>
          <w:sz w:val="21"/>
        </w:rPr>
        <w:t> </w:t>
      </w:r>
      <w:r>
        <w:rPr>
          <w:spacing w:val="17"/>
          <w:sz w:val="21"/>
        </w:rPr>
        <w:t> </w:t>
      </w:r>
      <w:r>
        <w:rPr>
          <w:spacing w:val="-2"/>
          <w:w w:val="100"/>
          <w:sz w:val="21"/>
        </w:rPr>
        <w:t>t</w:t>
      </w:r>
      <w:r>
        <w:rPr>
          <w:spacing w:val="-1"/>
          <w:w w:val="100"/>
          <w:sz w:val="21"/>
        </w:rPr>
        <w:t>e</w:t>
      </w:r>
      <w:r>
        <w:rPr>
          <w:spacing w:val="-3"/>
          <w:w w:val="100"/>
          <w:sz w:val="21"/>
        </w:rPr>
        <w:t>r</w:t>
      </w:r>
      <w:r>
        <w:rPr>
          <w:w w:val="100"/>
          <w:sz w:val="21"/>
        </w:rPr>
        <w:t>m</w:t>
      </w:r>
      <w:r>
        <w:rPr>
          <w:sz w:val="21"/>
        </w:rPr>
        <w:t> </w:t>
      </w:r>
      <w:r>
        <w:rPr>
          <w:spacing w:val="16"/>
          <w:sz w:val="21"/>
        </w:rPr>
        <w:t> </w:t>
      </w:r>
      <w:r>
        <w:rPr>
          <w:spacing w:val="-1"/>
          <w:w w:val="33"/>
          <w:sz w:val="21"/>
        </w:rPr>
        <w:t>―</w:t>
      </w:r>
      <w:r>
        <w:rPr>
          <w:spacing w:val="-1"/>
          <w:w w:val="100"/>
          <w:sz w:val="21"/>
        </w:rPr>
        <w:t>ea</w:t>
      </w:r>
      <w:r>
        <w:rPr>
          <w:spacing w:val="-3"/>
          <w:w w:val="100"/>
          <w:sz w:val="21"/>
        </w:rPr>
        <w:t>r</w:t>
      </w:r>
      <w:r>
        <w:rPr>
          <w:w w:val="100"/>
          <w:sz w:val="21"/>
        </w:rPr>
        <w:t>ly</w:t>
      </w:r>
      <w:r>
        <w:rPr>
          <w:sz w:val="21"/>
        </w:rPr>
        <w:t> </w:t>
      </w:r>
      <w:r>
        <w:rPr>
          <w:spacing w:val="15"/>
          <w:sz w:val="21"/>
        </w:rPr>
        <w:t> </w:t>
      </w:r>
      <w:r>
        <w:rPr>
          <w:spacing w:val="-1"/>
          <w:w w:val="100"/>
          <w:sz w:val="21"/>
        </w:rPr>
        <w:t>Me</w:t>
      </w:r>
      <w:r>
        <w:rPr>
          <w:spacing w:val="-3"/>
          <w:w w:val="100"/>
          <w:sz w:val="21"/>
        </w:rPr>
        <w:t>d</w:t>
      </w:r>
      <w:r>
        <w:rPr>
          <w:w w:val="100"/>
          <w:sz w:val="21"/>
        </w:rPr>
        <w:t>i</w:t>
      </w:r>
      <w:r>
        <w:rPr>
          <w:spacing w:val="-1"/>
          <w:w w:val="100"/>
          <w:sz w:val="21"/>
        </w:rPr>
        <w:t>e</w:t>
      </w:r>
      <w:r>
        <w:rPr>
          <w:spacing w:val="-3"/>
          <w:w w:val="100"/>
          <w:sz w:val="21"/>
        </w:rPr>
        <w:t>v</w:t>
      </w:r>
      <w:r>
        <w:rPr>
          <w:spacing w:val="-1"/>
          <w:w w:val="100"/>
          <w:sz w:val="21"/>
        </w:rPr>
        <w:t>al </w:t>
      </w:r>
      <w:r>
        <w:rPr>
          <w:sz w:val="21"/>
        </w:rPr>
        <w:t>Sultanate‖ period indicated by light green colour in the chart at page 37-A is no other period than the period described as period VI (Medieval Sultanate level) of 11</w:t>
      </w:r>
      <w:r>
        <w:rPr>
          <w:sz w:val="21"/>
          <w:vertAlign w:val="superscript"/>
        </w:rPr>
        <w:t>th</w:t>
      </w:r>
      <w:r>
        <w:rPr>
          <w:sz w:val="21"/>
          <w:vertAlign w:val="baseline"/>
        </w:rPr>
        <w:t> – 12</w:t>
      </w:r>
      <w:r>
        <w:rPr>
          <w:sz w:val="21"/>
          <w:vertAlign w:val="superscript"/>
        </w:rPr>
        <w:t>th</w:t>
      </w:r>
      <w:r>
        <w:rPr>
          <w:sz w:val="21"/>
          <w:vertAlign w:val="baseline"/>
        </w:rPr>
        <w:t> Century on page 40 of ASI report, Vol.</w:t>
      </w:r>
      <w:r>
        <w:rPr>
          <w:spacing w:val="-10"/>
          <w:sz w:val="21"/>
          <w:vertAlign w:val="baseline"/>
        </w:rPr>
        <w:t> </w:t>
      </w:r>
      <w:r>
        <w:rPr>
          <w:sz w:val="21"/>
          <w:vertAlign w:val="baseline"/>
        </w:rPr>
        <w:t>I</w:t>
      </w:r>
    </w:p>
    <w:p>
      <w:pPr>
        <w:spacing w:line="276" w:lineRule="auto" w:before="0"/>
        <w:ind w:left="1940" w:right="2263" w:firstLine="0"/>
        <w:jc w:val="both"/>
        <w:rPr>
          <w:b/>
          <w:sz w:val="21"/>
        </w:rPr>
      </w:pPr>
      <w:r>
        <w:rPr>
          <w:sz w:val="21"/>
        </w:rPr>
        <w:t>A. </w:t>
      </w:r>
      <w:r>
        <w:rPr>
          <w:b/>
          <w:sz w:val="21"/>
        </w:rPr>
        <w:t>Since the term ―early Medieval‖ has got a definite meaning in the chronological sense, I cannot equate it with Medieval-Sultanate level lightly, hence the excavators, who got this chart prepared are required to</w:t>
      </w:r>
    </w:p>
    <w:p>
      <w:pPr>
        <w:spacing w:after="0" w:line="276" w:lineRule="auto"/>
        <w:jc w:val="both"/>
        <w:rPr>
          <w:sz w:val="21"/>
        </w:rPr>
        <w:sectPr>
          <w:pgSz w:w="11910" w:h="16840"/>
          <w:pgMar w:header="721" w:footer="1014" w:top="1300" w:bottom="1200" w:left="940" w:right="1000"/>
        </w:sectPr>
      </w:pPr>
    </w:p>
    <w:p>
      <w:pPr>
        <w:tabs>
          <w:tab w:pos="4760" w:val="left" w:leader="none"/>
        </w:tabs>
        <w:spacing w:line="276" w:lineRule="auto" w:before="122"/>
        <w:ind w:left="1940" w:right="2263" w:firstLine="0"/>
        <w:jc w:val="both"/>
        <w:rPr>
          <w:sz w:val="21"/>
        </w:rPr>
      </w:pPr>
      <w:r>
        <w:rPr>
          <w:b/>
          <w:sz w:val="21"/>
        </w:rPr>
        <w:t>clarify the situation before any conclusion is drawn by us</w:t>
      </w:r>
      <w:r>
        <w:rPr>
          <w:sz w:val="21"/>
        </w:rPr>
        <w:t>.‖</w:t>
        <w:tab/>
        <w:t>(Emphasis</w:t>
      </w:r>
      <w:r>
        <w:rPr>
          <w:spacing w:val="-1"/>
          <w:sz w:val="21"/>
        </w:rPr>
        <w:t> </w:t>
      </w:r>
      <w:r>
        <w:rPr>
          <w:sz w:val="21"/>
        </w:rPr>
        <w:t>supplied)</w:t>
      </w:r>
    </w:p>
    <w:p>
      <w:pPr>
        <w:pStyle w:val="BodyText"/>
        <w:rPr>
          <w:sz w:val="24"/>
        </w:rPr>
      </w:pPr>
    </w:p>
    <w:p>
      <w:pPr>
        <w:pStyle w:val="BodyText"/>
        <w:spacing w:before="1"/>
        <w:rPr>
          <w:sz w:val="26"/>
        </w:rPr>
      </w:pPr>
    </w:p>
    <w:p>
      <w:pPr>
        <w:pStyle w:val="BodyText"/>
        <w:spacing w:line="480" w:lineRule="auto" w:before="1"/>
        <w:ind w:left="500" w:right="442"/>
        <w:jc w:val="both"/>
      </w:pPr>
      <w:r>
        <w:rPr/>
        <w:t>The highlighted excerpts from the answer of the witness emphasise the importance of a clarification being sought from the ASI on the classification which it adopted. This precisely is one of the difficulties which the objectors must confront. If a clarification was necessary (as the witness acknowledges), it was but appropriate that under Order XXVI Rule 10(2), a request should have been addressed to the court for the examination of an appropriate witness from ASI. This was not done.</w:t>
      </w:r>
    </w:p>
    <w:p>
      <w:pPr>
        <w:pStyle w:val="BodyText"/>
        <w:spacing w:before="3"/>
      </w:pPr>
    </w:p>
    <w:p>
      <w:pPr>
        <w:pStyle w:val="Heading4"/>
        <w:spacing w:before="1"/>
        <w:rPr>
          <w:i/>
        </w:rPr>
      </w:pPr>
      <w:r>
        <w:rPr>
          <w:i/>
        </w:rPr>
        <w:t>Objections as to Pillar bases</w:t>
      </w:r>
    </w:p>
    <w:p>
      <w:pPr>
        <w:pStyle w:val="BodyText"/>
        <w:rPr>
          <w:i/>
          <w:sz w:val="28"/>
        </w:rPr>
      </w:pPr>
    </w:p>
    <w:p>
      <w:pPr>
        <w:pStyle w:val="ListParagraph"/>
        <w:numPr>
          <w:ilvl w:val="0"/>
          <w:numId w:val="111"/>
        </w:numPr>
        <w:tabs>
          <w:tab w:pos="1220" w:val="left" w:leader="none"/>
          <w:tab w:pos="1221" w:val="left" w:leader="none"/>
        </w:tabs>
        <w:spacing w:line="240" w:lineRule="auto" w:before="173" w:after="0"/>
        <w:ind w:left="1220" w:right="0" w:hanging="721"/>
        <w:jc w:val="left"/>
        <w:rPr>
          <w:sz w:val="25"/>
        </w:rPr>
      </w:pPr>
      <w:r>
        <w:rPr>
          <w:sz w:val="25"/>
        </w:rPr>
        <w:t>The ASI report states</w:t>
      </w:r>
      <w:r>
        <w:rPr>
          <w:spacing w:val="-4"/>
          <w:sz w:val="25"/>
        </w:rPr>
        <w:t> </w:t>
      </w:r>
      <w:r>
        <w:rPr>
          <w:sz w:val="25"/>
        </w:rPr>
        <w:t>that:</w:t>
      </w:r>
    </w:p>
    <w:p>
      <w:pPr>
        <w:pStyle w:val="BodyText"/>
        <w:spacing w:before="9"/>
        <w:rPr>
          <w:sz w:val="38"/>
        </w:rPr>
      </w:pPr>
    </w:p>
    <w:p>
      <w:pPr>
        <w:spacing w:line="276" w:lineRule="auto" w:before="0"/>
        <w:ind w:left="1940" w:right="2263" w:firstLine="0"/>
        <w:jc w:val="both"/>
        <w:rPr>
          <w:sz w:val="21"/>
        </w:rPr>
      </w:pPr>
      <w:r>
        <w:rPr>
          <w:spacing w:val="-1"/>
          <w:w w:val="33"/>
          <w:sz w:val="21"/>
        </w:rPr>
        <w:t>―</w:t>
      </w:r>
      <w:r>
        <w:rPr>
          <w:w w:val="100"/>
          <w:sz w:val="21"/>
        </w:rPr>
        <w:t>Fr</w:t>
      </w:r>
      <w:r>
        <w:rPr>
          <w:spacing w:val="-3"/>
          <w:w w:val="100"/>
          <w:sz w:val="21"/>
        </w:rPr>
        <w:t>o</w:t>
      </w:r>
      <w:r>
        <w:rPr>
          <w:w w:val="100"/>
          <w:sz w:val="21"/>
        </w:rPr>
        <w:t>m</w:t>
      </w:r>
      <w:r>
        <w:rPr>
          <w:sz w:val="21"/>
        </w:rPr>
        <w:t> </w:t>
      </w:r>
      <w:r>
        <w:rPr>
          <w:spacing w:val="2"/>
          <w:sz w:val="21"/>
        </w:rPr>
        <w:t> </w:t>
      </w:r>
      <w:r>
        <w:rPr>
          <w:spacing w:val="-2"/>
          <w:w w:val="100"/>
          <w:sz w:val="21"/>
        </w:rPr>
        <w:t>t</w:t>
      </w:r>
      <w:r>
        <w:rPr>
          <w:spacing w:val="-1"/>
          <w:w w:val="100"/>
          <w:sz w:val="21"/>
        </w:rPr>
        <w:t>h</w:t>
      </w:r>
      <w:r>
        <w:rPr>
          <w:w w:val="100"/>
          <w:sz w:val="21"/>
        </w:rPr>
        <w:t>e</w:t>
      </w:r>
      <w:r>
        <w:rPr>
          <w:sz w:val="21"/>
        </w:rPr>
        <w:t>  </w:t>
      </w:r>
      <w:r>
        <w:rPr>
          <w:spacing w:val="-1"/>
          <w:w w:val="100"/>
          <w:sz w:val="21"/>
        </w:rPr>
        <w:t>exca</w:t>
      </w:r>
      <w:r>
        <w:rPr>
          <w:spacing w:val="-3"/>
          <w:w w:val="100"/>
          <w:sz w:val="21"/>
        </w:rPr>
        <w:t>v</w:t>
      </w:r>
      <w:r>
        <w:rPr>
          <w:spacing w:val="-1"/>
          <w:w w:val="100"/>
          <w:sz w:val="21"/>
        </w:rPr>
        <w:t>at</w:t>
      </w:r>
      <w:r>
        <w:rPr>
          <w:spacing w:val="-2"/>
          <w:w w:val="100"/>
          <w:sz w:val="21"/>
        </w:rPr>
        <w:t>i</w:t>
      </w:r>
      <w:r>
        <w:rPr>
          <w:spacing w:val="-1"/>
          <w:w w:val="100"/>
          <w:sz w:val="21"/>
        </w:rPr>
        <w:t>o</w:t>
      </w:r>
      <w:r>
        <w:rPr>
          <w:w w:val="100"/>
          <w:sz w:val="21"/>
        </w:rPr>
        <w:t>n</w:t>
      </w:r>
      <w:r>
        <w:rPr>
          <w:sz w:val="21"/>
        </w:rPr>
        <w:t>  </w:t>
      </w:r>
      <w:r>
        <w:rPr>
          <w:w w:val="100"/>
          <w:sz w:val="21"/>
        </w:rPr>
        <w:t>it</w:t>
      </w:r>
      <w:r>
        <w:rPr>
          <w:sz w:val="21"/>
        </w:rPr>
        <w:t> </w:t>
      </w:r>
      <w:r>
        <w:rPr>
          <w:spacing w:val="-1"/>
          <w:sz w:val="21"/>
        </w:rPr>
        <w:t> </w:t>
      </w:r>
      <w:r>
        <w:rPr>
          <w:w w:val="100"/>
          <w:sz w:val="21"/>
        </w:rPr>
        <w:t>cou</w:t>
      </w:r>
      <w:r>
        <w:rPr>
          <w:spacing w:val="-1"/>
          <w:w w:val="100"/>
          <w:sz w:val="21"/>
        </w:rPr>
        <w:t>l</w:t>
      </w:r>
      <w:r>
        <w:rPr>
          <w:w w:val="100"/>
          <w:sz w:val="21"/>
        </w:rPr>
        <w:t>d</w:t>
      </w:r>
      <w:r>
        <w:rPr>
          <w:sz w:val="21"/>
        </w:rPr>
        <w:t>  </w:t>
      </w:r>
      <w:r>
        <w:rPr>
          <w:spacing w:val="-1"/>
          <w:w w:val="100"/>
          <w:sz w:val="21"/>
        </w:rPr>
        <w:t>b</w:t>
      </w:r>
      <w:r>
        <w:rPr>
          <w:w w:val="100"/>
          <w:sz w:val="21"/>
        </w:rPr>
        <w:t>e</w:t>
      </w:r>
      <w:r>
        <w:rPr>
          <w:sz w:val="21"/>
        </w:rPr>
        <w:t>  </w:t>
      </w:r>
      <w:r>
        <w:rPr>
          <w:spacing w:val="-2"/>
          <w:w w:val="100"/>
          <w:sz w:val="21"/>
        </w:rPr>
        <w:t>i</w:t>
      </w:r>
      <w:r>
        <w:rPr>
          <w:spacing w:val="-1"/>
          <w:w w:val="100"/>
          <w:sz w:val="21"/>
        </w:rPr>
        <w:t>nfer</w:t>
      </w:r>
      <w:r>
        <w:rPr>
          <w:spacing w:val="-2"/>
          <w:w w:val="100"/>
          <w:sz w:val="21"/>
        </w:rPr>
        <w:t>r</w:t>
      </w:r>
      <w:r>
        <w:rPr>
          <w:spacing w:val="-1"/>
          <w:w w:val="100"/>
          <w:sz w:val="21"/>
        </w:rPr>
        <w:t>e</w:t>
      </w:r>
      <w:r>
        <w:rPr>
          <w:w w:val="100"/>
          <w:sz w:val="21"/>
        </w:rPr>
        <w:t>d</w:t>
      </w:r>
      <w:r>
        <w:rPr>
          <w:sz w:val="21"/>
        </w:rPr>
        <w:t>  </w:t>
      </w:r>
      <w:r>
        <w:rPr>
          <w:spacing w:val="-2"/>
          <w:w w:val="100"/>
          <w:sz w:val="21"/>
        </w:rPr>
        <w:t>t</w:t>
      </w:r>
      <w:r>
        <w:rPr>
          <w:spacing w:val="-1"/>
          <w:w w:val="100"/>
          <w:sz w:val="21"/>
        </w:rPr>
        <w:t>ha</w:t>
      </w:r>
      <w:r>
        <w:rPr>
          <w:w w:val="100"/>
          <w:sz w:val="21"/>
        </w:rPr>
        <w:t>t</w:t>
      </w:r>
      <w:r>
        <w:rPr>
          <w:sz w:val="21"/>
        </w:rPr>
        <w:t> </w:t>
      </w:r>
      <w:r>
        <w:rPr>
          <w:spacing w:val="-1"/>
          <w:sz w:val="21"/>
        </w:rPr>
        <w:t> </w:t>
      </w:r>
      <w:r>
        <w:rPr>
          <w:spacing w:val="-2"/>
          <w:w w:val="100"/>
          <w:sz w:val="21"/>
        </w:rPr>
        <w:t>t</w:t>
      </w:r>
      <w:r>
        <w:rPr>
          <w:spacing w:val="-1"/>
          <w:w w:val="100"/>
          <w:sz w:val="21"/>
        </w:rPr>
        <w:t>her</w:t>
      </w:r>
      <w:r>
        <w:rPr>
          <w:w w:val="100"/>
          <w:sz w:val="21"/>
        </w:rPr>
        <w:t>e</w:t>
      </w:r>
      <w:r>
        <w:rPr>
          <w:sz w:val="21"/>
        </w:rPr>
        <w:t>  </w:t>
      </w:r>
      <w:r>
        <w:rPr>
          <w:spacing w:val="-2"/>
          <w:w w:val="100"/>
          <w:sz w:val="21"/>
        </w:rPr>
        <w:t>w</w:t>
      </w:r>
      <w:r>
        <w:rPr>
          <w:spacing w:val="-1"/>
          <w:w w:val="100"/>
          <w:sz w:val="21"/>
        </w:rPr>
        <w:t>ere </w:t>
      </w:r>
      <w:r>
        <w:rPr>
          <w:sz w:val="21"/>
        </w:rPr>
        <w:t>seventeen rows of pillars from north to south, each row having five pillar</w:t>
      </w:r>
      <w:r>
        <w:rPr>
          <w:spacing w:val="-8"/>
          <w:sz w:val="21"/>
        </w:rPr>
        <w:t> </w:t>
      </w:r>
      <w:r>
        <w:rPr>
          <w:sz w:val="21"/>
        </w:rPr>
        <w:t>bases.‖</w:t>
      </w:r>
    </w:p>
    <w:p>
      <w:pPr>
        <w:spacing w:line="276" w:lineRule="auto" w:before="2"/>
        <w:ind w:left="1940" w:right="2261" w:firstLine="0"/>
        <w:jc w:val="both"/>
        <w:rPr>
          <w:sz w:val="21"/>
        </w:rPr>
      </w:pPr>
      <w:r>
        <w:rPr>
          <w:spacing w:val="-2"/>
          <w:w w:val="100"/>
          <w:sz w:val="21"/>
        </w:rPr>
        <w:t>O</w:t>
      </w:r>
      <w:r>
        <w:rPr>
          <w:w w:val="100"/>
          <w:sz w:val="21"/>
        </w:rPr>
        <w:t>n</w:t>
      </w:r>
      <w:r>
        <w:rPr>
          <w:spacing w:val="13"/>
          <w:sz w:val="21"/>
        </w:rPr>
        <w:t> </w:t>
      </w:r>
      <w:r>
        <w:rPr>
          <w:spacing w:val="-2"/>
          <w:w w:val="100"/>
          <w:sz w:val="21"/>
        </w:rPr>
        <w:t>t</w:t>
      </w:r>
      <w:r>
        <w:rPr>
          <w:spacing w:val="-1"/>
          <w:w w:val="100"/>
          <w:sz w:val="21"/>
        </w:rPr>
        <w:t>h</w:t>
      </w:r>
      <w:r>
        <w:rPr>
          <w:w w:val="100"/>
          <w:sz w:val="21"/>
        </w:rPr>
        <w:t>e</w:t>
      </w:r>
      <w:r>
        <w:rPr>
          <w:spacing w:val="13"/>
          <w:sz w:val="21"/>
        </w:rPr>
        <w:t> </w:t>
      </w:r>
      <w:r>
        <w:rPr>
          <w:spacing w:val="-1"/>
          <w:w w:val="100"/>
          <w:sz w:val="21"/>
        </w:rPr>
        <w:t>othe</w:t>
      </w:r>
      <w:r>
        <w:rPr>
          <w:w w:val="100"/>
          <w:sz w:val="21"/>
        </w:rPr>
        <w:t>r</w:t>
      </w:r>
      <w:r>
        <w:rPr>
          <w:spacing w:val="12"/>
          <w:sz w:val="21"/>
        </w:rPr>
        <w:t> </w:t>
      </w:r>
      <w:r>
        <w:rPr>
          <w:spacing w:val="-1"/>
          <w:w w:val="100"/>
          <w:sz w:val="21"/>
        </w:rPr>
        <w:t>ha</w:t>
      </w:r>
      <w:r>
        <w:rPr>
          <w:spacing w:val="-2"/>
          <w:w w:val="100"/>
          <w:sz w:val="21"/>
        </w:rPr>
        <w:t>n</w:t>
      </w:r>
      <w:r>
        <w:rPr>
          <w:w w:val="100"/>
          <w:sz w:val="21"/>
        </w:rPr>
        <w:t>d</w:t>
      </w:r>
      <w:r>
        <w:rPr>
          <w:spacing w:val="13"/>
          <w:sz w:val="21"/>
        </w:rPr>
        <w:t> </w:t>
      </w:r>
      <w:r>
        <w:rPr>
          <w:w w:val="100"/>
          <w:sz w:val="21"/>
        </w:rPr>
        <w:t>it</w:t>
      </w:r>
      <w:r>
        <w:rPr>
          <w:spacing w:val="12"/>
          <w:sz w:val="21"/>
        </w:rPr>
        <w:t> </w:t>
      </w:r>
      <w:r>
        <w:rPr>
          <w:spacing w:val="-1"/>
          <w:w w:val="100"/>
          <w:sz w:val="21"/>
        </w:rPr>
        <w:t>a</w:t>
      </w:r>
      <w:r>
        <w:rPr>
          <w:spacing w:val="-3"/>
          <w:w w:val="100"/>
          <w:sz w:val="21"/>
        </w:rPr>
        <w:t>d</w:t>
      </w:r>
      <w:r>
        <w:rPr>
          <w:spacing w:val="-1"/>
          <w:w w:val="100"/>
          <w:sz w:val="21"/>
        </w:rPr>
        <w:t>m</w:t>
      </w:r>
      <w:r>
        <w:rPr>
          <w:spacing w:val="-2"/>
          <w:w w:val="100"/>
          <w:sz w:val="21"/>
        </w:rPr>
        <w:t>it</w:t>
      </w:r>
      <w:r>
        <w:rPr>
          <w:w w:val="100"/>
          <w:sz w:val="21"/>
        </w:rPr>
        <w:t>s</w:t>
      </w:r>
      <w:r>
        <w:rPr>
          <w:spacing w:val="13"/>
          <w:sz w:val="21"/>
        </w:rPr>
        <w:t> </w:t>
      </w:r>
      <w:r>
        <w:rPr>
          <w:spacing w:val="-2"/>
          <w:w w:val="100"/>
          <w:sz w:val="21"/>
        </w:rPr>
        <w:t>t</w:t>
      </w:r>
      <w:r>
        <w:rPr>
          <w:spacing w:val="-1"/>
          <w:w w:val="100"/>
          <w:sz w:val="21"/>
        </w:rPr>
        <w:t>hat</w:t>
      </w:r>
      <w:r>
        <w:rPr>
          <w:w w:val="100"/>
          <w:sz w:val="21"/>
        </w:rPr>
        <w:t>:</w:t>
      </w:r>
      <w:r>
        <w:rPr>
          <w:spacing w:val="12"/>
          <w:sz w:val="21"/>
        </w:rPr>
        <w:t> </w:t>
      </w:r>
      <w:r>
        <w:rPr>
          <w:spacing w:val="-1"/>
          <w:w w:val="33"/>
          <w:sz w:val="21"/>
        </w:rPr>
        <w:t>―</w:t>
      </w:r>
      <w:r>
        <w:rPr>
          <w:spacing w:val="-2"/>
          <w:w w:val="100"/>
          <w:sz w:val="21"/>
        </w:rPr>
        <w:t>O</w:t>
      </w:r>
      <w:r>
        <w:rPr>
          <w:spacing w:val="-1"/>
          <w:w w:val="100"/>
          <w:sz w:val="21"/>
        </w:rPr>
        <w:t>u</w:t>
      </w:r>
      <w:r>
        <w:rPr>
          <w:w w:val="100"/>
          <w:sz w:val="21"/>
        </w:rPr>
        <w:t>t</w:t>
      </w:r>
      <w:r>
        <w:rPr>
          <w:spacing w:val="12"/>
          <w:sz w:val="21"/>
        </w:rPr>
        <w:t> </w:t>
      </w:r>
      <w:r>
        <w:rPr>
          <w:spacing w:val="-1"/>
          <w:w w:val="100"/>
          <w:sz w:val="21"/>
        </w:rPr>
        <w:t>o</w:t>
      </w:r>
      <w:r>
        <w:rPr>
          <w:w w:val="100"/>
          <w:sz w:val="21"/>
        </w:rPr>
        <w:t>f</w:t>
      </w:r>
      <w:r>
        <w:rPr>
          <w:spacing w:val="14"/>
          <w:sz w:val="21"/>
        </w:rPr>
        <w:t> </w:t>
      </w:r>
      <w:r>
        <w:rPr>
          <w:spacing w:val="-1"/>
          <w:w w:val="100"/>
          <w:sz w:val="21"/>
        </w:rPr>
        <w:t>exca</w:t>
      </w:r>
      <w:r>
        <w:rPr>
          <w:spacing w:val="-3"/>
          <w:w w:val="100"/>
          <w:sz w:val="21"/>
        </w:rPr>
        <w:t>v</w:t>
      </w:r>
      <w:r>
        <w:rPr>
          <w:spacing w:val="-1"/>
          <w:w w:val="100"/>
          <w:sz w:val="21"/>
        </w:rPr>
        <w:t>ate</w:t>
      </w:r>
      <w:r>
        <w:rPr>
          <w:w w:val="100"/>
          <w:sz w:val="21"/>
        </w:rPr>
        <w:t>d</w:t>
      </w:r>
      <w:r>
        <w:rPr>
          <w:spacing w:val="11"/>
          <w:sz w:val="21"/>
        </w:rPr>
        <w:t> </w:t>
      </w:r>
      <w:r>
        <w:rPr>
          <w:spacing w:val="1"/>
          <w:w w:val="100"/>
          <w:sz w:val="21"/>
        </w:rPr>
        <w:t>f</w:t>
      </w:r>
      <w:r>
        <w:rPr>
          <w:spacing w:val="-2"/>
          <w:w w:val="100"/>
          <w:sz w:val="21"/>
        </w:rPr>
        <w:t>i</w:t>
      </w:r>
      <w:r>
        <w:rPr>
          <w:spacing w:val="1"/>
          <w:w w:val="100"/>
          <w:sz w:val="21"/>
        </w:rPr>
        <w:t>f</w:t>
      </w:r>
      <w:r>
        <w:rPr>
          <w:spacing w:val="-2"/>
          <w:w w:val="100"/>
          <w:sz w:val="21"/>
        </w:rPr>
        <w:t>t</w:t>
      </w:r>
      <w:r>
        <w:rPr>
          <w:w w:val="100"/>
          <w:sz w:val="21"/>
        </w:rPr>
        <w:t>y</w:t>
      </w:r>
      <w:r>
        <w:rPr>
          <w:spacing w:val="11"/>
          <w:sz w:val="21"/>
        </w:rPr>
        <w:t> </w:t>
      </w:r>
      <w:r>
        <w:rPr>
          <w:spacing w:val="-1"/>
          <w:w w:val="100"/>
          <w:sz w:val="21"/>
        </w:rPr>
        <w:t>p</w:t>
      </w:r>
      <w:r>
        <w:rPr>
          <w:spacing w:val="1"/>
          <w:w w:val="100"/>
          <w:sz w:val="21"/>
        </w:rPr>
        <w:t>i</w:t>
      </w:r>
      <w:r>
        <w:rPr>
          <w:w w:val="100"/>
          <w:sz w:val="21"/>
        </w:rPr>
        <w:t>l</w:t>
      </w:r>
      <w:r>
        <w:rPr>
          <w:spacing w:val="-2"/>
          <w:w w:val="100"/>
          <w:sz w:val="21"/>
        </w:rPr>
        <w:t>l</w:t>
      </w:r>
      <w:r>
        <w:rPr>
          <w:spacing w:val="-1"/>
          <w:w w:val="100"/>
          <w:sz w:val="21"/>
        </w:rPr>
        <w:t>ar </w:t>
      </w:r>
      <w:r>
        <w:rPr>
          <w:sz w:val="21"/>
        </w:rPr>
        <w:t>bases only twelve were completely exposed, thirty five were partially exposed and three could be traced in sections  only. A few pillar bases were noticed during earlier excavation after which a controversy took place about their association with different layers and their load bearing</w:t>
      </w:r>
      <w:r>
        <w:rPr>
          <w:spacing w:val="-15"/>
          <w:sz w:val="21"/>
        </w:rPr>
        <w:t> </w:t>
      </w:r>
      <w:r>
        <w:rPr>
          <w:sz w:val="21"/>
        </w:rPr>
        <w:t>capacity.‖</w:t>
      </w:r>
    </w:p>
    <w:p>
      <w:pPr>
        <w:pStyle w:val="BodyText"/>
        <w:rPr>
          <w:sz w:val="24"/>
        </w:rPr>
      </w:pPr>
    </w:p>
    <w:p>
      <w:pPr>
        <w:pStyle w:val="BodyText"/>
        <w:spacing w:before="5"/>
        <w:rPr>
          <w:sz w:val="28"/>
        </w:rPr>
      </w:pPr>
    </w:p>
    <w:p>
      <w:pPr>
        <w:pStyle w:val="BodyText"/>
        <w:spacing w:line="480" w:lineRule="auto" w:before="1"/>
        <w:ind w:left="500" w:right="444"/>
        <w:jc w:val="both"/>
      </w:pPr>
      <w:r>
        <w:rPr/>
        <w:t>Ms Arora submitted that the so-called pillar bases could not either have formed a part of or supported the alleged massive structure /temple as claimed by the ASI for the following reasons:</w:t>
      </w:r>
    </w:p>
    <w:p>
      <w:pPr>
        <w:pStyle w:val="ListParagraph"/>
        <w:numPr>
          <w:ilvl w:val="0"/>
          <w:numId w:val="149"/>
        </w:numPr>
        <w:tabs>
          <w:tab w:pos="1290" w:val="left" w:leader="none"/>
        </w:tabs>
        <w:spacing w:line="480" w:lineRule="auto" w:before="161" w:after="0"/>
        <w:ind w:left="1220" w:right="460" w:hanging="720"/>
        <w:jc w:val="both"/>
        <w:rPr>
          <w:sz w:val="25"/>
        </w:rPr>
      </w:pPr>
      <w:r>
        <w:rPr/>
        <w:tab/>
      </w:r>
      <w:r>
        <w:rPr>
          <w:sz w:val="25"/>
        </w:rPr>
        <w:t>During the excavation, the ASI identified different layers belonging to different periods. Within the different layers, it identified the presence of four different floors which are marked by the existence or presence</w:t>
      </w:r>
      <w:r>
        <w:rPr>
          <w:spacing w:val="41"/>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56"/>
        <w:jc w:val="both"/>
      </w:pPr>
      <w:r>
        <w:rPr/>
        <w:t>clearly demarcated floors of </w:t>
      </w:r>
      <w:r>
        <w:rPr>
          <w:i/>
        </w:rPr>
        <w:t>lime-surkhi </w:t>
      </w:r>
      <w:r>
        <w:rPr/>
        <w:t>or </w:t>
      </w:r>
      <w:r>
        <w:rPr>
          <w:i/>
        </w:rPr>
        <w:t>surkhi. </w:t>
      </w:r>
      <w:r>
        <w:rPr/>
        <w:t>Admittedly, the floors are at different levels, floor 1 being the level of the demolished mosque and floors 2, 3 and 4 being below it at different levels as is illustrated in the report. Given that the alleged pillar bases have been found in different floors or cutting through different floors, it is evident that these pillar bases have been constructed at different time periods. Hence, the so-called pillar bases could not have contemporaneously formed part of a single structure, let alone a purportedly massive structure;</w:t>
      </w:r>
    </w:p>
    <w:p>
      <w:pPr>
        <w:pStyle w:val="ListParagraph"/>
        <w:numPr>
          <w:ilvl w:val="0"/>
          <w:numId w:val="149"/>
        </w:numPr>
        <w:tabs>
          <w:tab w:pos="1221" w:val="left" w:leader="none"/>
        </w:tabs>
        <w:spacing w:line="480" w:lineRule="auto" w:before="1" w:after="0"/>
        <w:ind w:left="1220" w:right="462" w:hanging="720"/>
        <w:jc w:val="both"/>
        <w:rPr>
          <w:sz w:val="25"/>
        </w:rPr>
      </w:pPr>
      <w:r>
        <w:rPr>
          <w:sz w:val="25"/>
        </w:rPr>
        <w:t>There are discrepancies and variations in the number of alleged pillar bases found on different floors in different parts of the ASI Report. The isometric view in Figure 23A contains a number of imagined or conjectured pillar bases which have not even been exposed. Therefore, the claim of a massive structure is an unfounded hypothesis as the exact number of pillar bases is not</w:t>
      </w:r>
      <w:r>
        <w:rPr>
          <w:spacing w:val="-3"/>
          <w:sz w:val="25"/>
        </w:rPr>
        <w:t> </w:t>
      </w:r>
      <w:r>
        <w:rPr>
          <w:sz w:val="25"/>
        </w:rPr>
        <w:t>known;</w:t>
      </w:r>
    </w:p>
    <w:p>
      <w:pPr>
        <w:pStyle w:val="ListParagraph"/>
        <w:numPr>
          <w:ilvl w:val="0"/>
          <w:numId w:val="149"/>
        </w:numPr>
        <w:tabs>
          <w:tab w:pos="1221" w:val="left" w:leader="none"/>
        </w:tabs>
        <w:spacing w:line="480" w:lineRule="auto" w:before="0" w:after="0"/>
        <w:ind w:left="1220" w:right="456" w:hanging="720"/>
        <w:jc w:val="both"/>
        <w:rPr>
          <w:sz w:val="25"/>
        </w:rPr>
      </w:pPr>
      <w:r>
        <w:rPr>
          <w:sz w:val="25"/>
        </w:rPr>
        <w:t>In any case, the so-called pillar bases are not in alignment as revealed from actual measurements and distances (admitted by DW-20/5 and OPW-17, expert witnesses who deposed in support of the ASI Report). The pillar bases are at different distances from the thick western wall. Further, the shapes and sizes of these purported pillar bases vary from elliptical to circular to square to rectangular to irregular, and have differing dimensions. This not only shows that they were built in different time periods but also that they could not have comprised the supporting framework of any massive structure or temple. Furthermore, none of these pillar bases have been found in association with any pillar;</w:t>
      </w:r>
      <w:r>
        <w:rPr>
          <w:spacing w:val="-13"/>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ListParagraph"/>
        <w:numPr>
          <w:ilvl w:val="0"/>
          <w:numId w:val="149"/>
        </w:numPr>
        <w:tabs>
          <w:tab w:pos="1221" w:val="left" w:leader="none"/>
        </w:tabs>
        <w:spacing w:line="480" w:lineRule="auto" w:before="124" w:after="0"/>
        <w:ind w:left="1220" w:right="458" w:hanging="720"/>
        <w:jc w:val="both"/>
        <w:rPr>
          <w:sz w:val="25"/>
        </w:rPr>
      </w:pPr>
      <w:r>
        <w:rPr>
          <w:sz w:val="25"/>
        </w:rPr>
        <w:t>Given the nature of the so-called pillar bases as exposed by ASI, which were mostly made of brick-bats, they could, at best, have supported only wooden pillars on them (as admitted by DW-20/5, an expert witness who testified in support of the ASI Report). Such wooden pillars could not have borne the heavy load of a massive</w:t>
      </w:r>
      <w:r>
        <w:rPr>
          <w:spacing w:val="-6"/>
          <w:sz w:val="25"/>
        </w:rPr>
        <w:t> </w:t>
      </w:r>
      <w:r>
        <w:rPr>
          <w:sz w:val="25"/>
        </w:rPr>
        <w:t>structure.</w:t>
      </w:r>
    </w:p>
    <w:p>
      <w:pPr>
        <w:pStyle w:val="BodyText"/>
      </w:pPr>
    </w:p>
    <w:p>
      <w:pPr>
        <w:pStyle w:val="BodyText"/>
        <w:spacing w:line="480" w:lineRule="auto" w:before="1"/>
        <w:ind w:left="500" w:right="445"/>
        <w:jc w:val="both"/>
      </w:pPr>
      <w:r>
        <w:rPr/>
        <w:t>The above objections are sought to be established on the basis of evidence under the following heads of the submissions of</w:t>
      </w:r>
      <w:r>
        <w:rPr>
          <w:spacing w:val="-7"/>
        </w:rPr>
        <w:t> </w:t>
      </w:r>
      <w:r>
        <w:rPr/>
        <w:t>counsel:</w:t>
      </w:r>
    </w:p>
    <w:p>
      <w:pPr>
        <w:pStyle w:val="BodyText"/>
        <w:spacing w:before="7"/>
        <w:rPr>
          <w:sz w:val="38"/>
        </w:rPr>
      </w:pPr>
    </w:p>
    <w:p>
      <w:pPr>
        <w:pStyle w:val="Heading5"/>
        <w:numPr>
          <w:ilvl w:val="0"/>
          <w:numId w:val="150"/>
        </w:numPr>
        <w:tabs>
          <w:tab w:pos="1220" w:val="left" w:leader="none"/>
          <w:tab w:pos="1221" w:val="left" w:leader="none"/>
        </w:tabs>
        <w:spacing w:line="240" w:lineRule="auto" w:before="0" w:after="0"/>
        <w:ind w:left="1220" w:right="0" w:hanging="721"/>
        <w:jc w:val="left"/>
      </w:pPr>
      <w:r>
        <w:rPr/>
        <w:t>Pillar bases do not belong to the same</w:t>
      </w:r>
      <w:r>
        <w:rPr>
          <w:spacing w:val="-8"/>
        </w:rPr>
        <w:t> </w:t>
      </w:r>
      <w:r>
        <w:rPr/>
        <w:t>floor</w:t>
      </w:r>
    </w:p>
    <w:p>
      <w:pPr>
        <w:pStyle w:val="BodyText"/>
        <w:rPr>
          <w:b/>
          <w:sz w:val="28"/>
        </w:rPr>
      </w:pPr>
    </w:p>
    <w:p>
      <w:pPr>
        <w:pStyle w:val="BodyText"/>
        <w:spacing w:before="1"/>
        <w:rPr>
          <w:b/>
          <w:sz w:val="27"/>
        </w:rPr>
      </w:pPr>
    </w:p>
    <w:p>
      <w:pPr>
        <w:pStyle w:val="BodyText"/>
        <w:spacing w:line="480" w:lineRule="auto" w:before="1"/>
        <w:ind w:left="500" w:right="444"/>
        <w:jc w:val="both"/>
      </w:pPr>
      <w:r>
        <w:rPr/>
        <w:t>Jayanti Prasad Srivastav (DW 20/5); Arun Kumar Sharma (OPW 18); Ashok Datta (PW 31); and Dr Shereen Ratnagar (PW 27) stated that all the pillar bases do not belong to the same floor. OPW 18 stated that 46 pillars belong to floor 3 of period VII (twelfth century A.D) and 4 pillars belong to floor 4 (eleventh century A.D.). </w:t>
      </w:r>
      <w:r>
        <w:rPr>
          <w:spacing w:val="-3"/>
        </w:rPr>
        <w:t>PW </w:t>
      </w:r>
      <w:r>
        <w:rPr/>
        <w:t>31 stated that some of the pillar bases found in the northern part of the mound belonged to a different elevation and structural activity. PW 27 stated that the pillar bases do not belong to the</w:t>
      </w:r>
      <w:r>
        <w:rPr>
          <w:spacing w:val="-7"/>
        </w:rPr>
        <w:t> </w:t>
      </w:r>
      <w:r>
        <w:rPr/>
        <w:t>stratum.</w:t>
      </w:r>
    </w:p>
    <w:p>
      <w:pPr>
        <w:pStyle w:val="BodyText"/>
        <w:rPr>
          <w:sz w:val="28"/>
        </w:rPr>
      </w:pPr>
    </w:p>
    <w:p>
      <w:pPr>
        <w:pStyle w:val="Heading5"/>
        <w:numPr>
          <w:ilvl w:val="0"/>
          <w:numId w:val="150"/>
        </w:numPr>
        <w:tabs>
          <w:tab w:pos="1220" w:val="left" w:leader="none"/>
          <w:tab w:pos="1221" w:val="left" w:leader="none"/>
        </w:tabs>
        <w:spacing w:line="240" w:lineRule="auto" w:before="250" w:after="0"/>
        <w:ind w:left="1220" w:right="0" w:hanging="721"/>
        <w:jc w:val="left"/>
      </w:pPr>
      <w:r>
        <w:rPr/>
        <w:t>Pillars and pillars bases are</w:t>
      </w:r>
      <w:r>
        <w:rPr>
          <w:spacing w:val="-6"/>
        </w:rPr>
        <w:t> </w:t>
      </w:r>
      <w:r>
        <w:rPr/>
        <w:t>conjectural</w:t>
      </w:r>
    </w:p>
    <w:p>
      <w:pPr>
        <w:pStyle w:val="BodyText"/>
        <w:rPr>
          <w:b/>
          <w:sz w:val="28"/>
        </w:rPr>
      </w:pPr>
    </w:p>
    <w:p>
      <w:pPr>
        <w:pStyle w:val="BodyText"/>
        <w:spacing w:before="1"/>
        <w:rPr>
          <w:b/>
          <w:sz w:val="27"/>
        </w:rPr>
      </w:pPr>
    </w:p>
    <w:p>
      <w:pPr>
        <w:pStyle w:val="BodyText"/>
        <w:spacing w:line="480" w:lineRule="auto" w:before="1"/>
        <w:ind w:left="500" w:right="443"/>
        <w:jc w:val="both"/>
      </w:pPr>
      <w:r>
        <w:rPr/>
        <w:t>R Nagaswami (OPW 17), Jayanti Prasad Srivastava (DW 20/5) and Ashok Datta (PW 31) claimed during the course of their examination that the finding that there were 17 rows of pillar bases with five in each row is an inference since all the 85 pillar bases have not been excavated.</w:t>
      </w:r>
    </w:p>
    <w:p>
      <w:pPr>
        <w:spacing w:after="0" w:line="480" w:lineRule="auto"/>
        <w:jc w:val="both"/>
        <w:sectPr>
          <w:pgSz w:w="11910" w:h="16840"/>
          <w:pgMar w:header="721" w:footer="1014" w:top="1300" w:bottom="1200" w:left="940" w:right="1000"/>
        </w:sectPr>
      </w:pPr>
    </w:p>
    <w:p>
      <w:pPr>
        <w:pStyle w:val="Heading5"/>
        <w:numPr>
          <w:ilvl w:val="0"/>
          <w:numId w:val="150"/>
        </w:numPr>
        <w:tabs>
          <w:tab w:pos="1221" w:val="left" w:leader="none"/>
        </w:tabs>
        <w:spacing w:line="240" w:lineRule="auto" w:before="121" w:after="0"/>
        <w:ind w:left="1220" w:right="0" w:hanging="721"/>
        <w:jc w:val="both"/>
      </w:pPr>
      <w:r>
        <w:rPr/>
        <w:t>The pillar bases are not in</w:t>
      </w:r>
      <w:r>
        <w:rPr>
          <w:spacing w:val="-5"/>
        </w:rPr>
        <w:t> </w:t>
      </w:r>
      <w:r>
        <w:rPr/>
        <w:t>alignment</w:t>
      </w:r>
    </w:p>
    <w:p>
      <w:pPr>
        <w:pStyle w:val="BodyText"/>
        <w:rPr>
          <w:b/>
          <w:sz w:val="28"/>
        </w:rPr>
      </w:pPr>
    </w:p>
    <w:p>
      <w:pPr>
        <w:pStyle w:val="BodyText"/>
        <w:spacing w:before="2"/>
        <w:rPr>
          <w:b/>
          <w:sz w:val="27"/>
        </w:rPr>
      </w:pPr>
    </w:p>
    <w:p>
      <w:pPr>
        <w:pStyle w:val="BodyText"/>
        <w:spacing w:line="480" w:lineRule="auto"/>
        <w:ind w:left="500" w:right="444"/>
        <w:jc w:val="both"/>
      </w:pPr>
      <w:r>
        <w:rPr/>
        <w:t>R C Thakran (PW 30), Ashok Datta (PW 31) and Dr Supriya Verma (PW 32) stated that the pillar bases were not in exact alignment as would be expected in a pillared hall.</w:t>
      </w:r>
    </w:p>
    <w:p>
      <w:pPr>
        <w:pStyle w:val="BodyText"/>
        <w:spacing w:before="8"/>
        <w:rPr>
          <w:sz w:val="24"/>
        </w:rPr>
      </w:pPr>
    </w:p>
    <w:p>
      <w:pPr>
        <w:pStyle w:val="Heading5"/>
        <w:numPr>
          <w:ilvl w:val="0"/>
          <w:numId w:val="150"/>
        </w:numPr>
        <w:tabs>
          <w:tab w:pos="1221" w:val="left" w:leader="none"/>
        </w:tabs>
        <w:spacing w:line="240" w:lineRule="auto" w:before="0" w:after="0"/>
        <w:ind w:left="1220" w:right="0" w:hanging="721"/>
        <w:jc w:val="both"/>
      </w:pPr>
      <w:r>
        <w:rPr/>
        <w:t>Pillar bases are of different sizes and</w:t>
      </w:r>
      <w:r>
        <w:rPr>
          <w:spacing w:val="-4"/>
        </w:rPr>
        <w:t> </w:t>
      </w:r>
      <w:r>
        <w:rPr/>
        <w:t>shapes</w:t>
      </w:r>
    </w:p>
    <w:p>
      <w:pPr>
        <w:pStyle w:val="BodyText"/>
        <w:rPr>
          <w:b/>
          <w:sz w:val="28"/>
        </w:rPr>
      </w:pPr>
    </w:p>
    <w:p>
      <w:pPr>
        <w:pStyle w:val="BodyText"/>
        <w:spacing w:before="2"/>
        <w:rPr>
          <w:b/>
          <w:sz w:val="27"/>
        </w:rPr>
      </w:pPr>
    </w:p>
    <w:p>
      <w:pPr>
        <w:pStyle w:val="BodyText"/>
        <w:spacing w:line="480" w:lineRule="auto"/>
        <w:ind w:left="500" w:right="445"/>
        <w:jc w:val="both"/>
      </w:pPr>
      <w:r>
        <w:rPr/>
        <w:t>Jayanti Prasad Srivastava (DW 20/5) stated that pillar base No. 42 (43X120X28 cm.) was the smallest in size while the largest is pillar base No. 35 (170X160X38 cm).</w:t>
      </w:r>
    </w:p>
    <w:p>
      <w:pPr>
        <w:pStyle w:val="Heading5"/>
        <w:numPr>
          <w:ilvl w:val="0"/>
          <w:numId w:val="150"/>
        </w:numPr>
        <w:tabs>
          <w:tab w:pos="1221" w:val="left" w:leader="none"/>
        </w:tabs>
        <w:spacing w:line="286" w:lineRule="exact" w:before="0" w:after="0"/>
        <w:ind w:left="1220" w:right="0" w:hanging="721"/>
        <w:jc w:val="both"/>
      </w:pPr>
      <w:r>
        <w:rPr/>
        <w:t>Pillars /Pillar bases were not load</w:t>
      </w:r>
      <w:r>
        <w:rPr>
          <w:spacing w:val="-4"/>
        </w:rPr>
        <w:t> </w:t>
      </w:r>
      <w:r>
        <w:rPr/>
        <w:t>bearing</w:t>
      </w:r>
    </w:p>
    <w:p>
      <w:pPr>
        <w:pStyle w:val="BodyText"/>
        <w:rPr>
          <w:b/>
          <w:sz w:val="28"/>
        </w:rPr>
      </w:pPr>
    </w:p>
    <w:p>
      <w:pPr>
        <w:pStyle w:val="BodyText"/>
        <w:spacing w:before="2"/>
        <w:rPr>
          <w:b/>
          <w:sz w:val="27"/>
        </w:rPr>
      </w:pPr>
    </w:p>
    <w:p>
      <w:pPr>
        <w:pStyle w:val="BodyText"/>
        <w:spacing w:line="480" w:lineRule="auto"/>
        <w:ind w:left="500" w:right="436"/>
        <w:jc w:val="both"/>
      </w:pPr>
      <w:r>
        <w:rPr/>
        <w:t>R Nagaswami (OPW 17) stated that the pillars which were used in the pillar bases were probably of wood and not stone – such a pillar could bear a load of a tiled roof but not of a huge superstructure. Ashok Datta (PW 31) stated that the so-called bases are not pillar bases but are actually brick-bat deposits. </w:t>
      </w:r>
      <w:r>
        <w:rPr>
          <w:spacing w:val="-3"/>
        </w:rPr>
        <w:t>PW </w:t>
      </w:r>
      <w:r>
        <w:rPr/>
        <w:t>27, </w:t>
      </w:r>
      <w:r>
        <w:rPr>
          <w:spacing w:val="-3"/>
        </w:rPr>
        <w:t>PW </w:t>
      </w:r>
      <w:r>
        <w:rPr/>
        <w:t>30 and </w:t>
      </w:r>
      <w:r>
        <w:rPr>
          <w:spacing w:val="-3"/>
        </w:rPr>
        <w:t>PW </w:t>
      </w:r>
      <w:r>
        <w:rPr/>
        <w:t>32 also deposed that the pillar bases and the pillars were not of a load bearing</w:t>
      </w:r>
      <w:r>
        <w:rPr>
          <w:spacing w:val="-1"/>
        </w:rPr>
        <w:t> </w:t>
      </w:r>
      <w:r>
        <w:rPr/>
        <w:t>character.</w:t>
      </w:r>
    </w:p>
    <w:p>
      <w:pPr>
        <w:pStyle w:val="BodyText"/>
        <w:spacing w:before="3"/>
      </w:pPr>
    </w:p>
    <w:p>
      <w:pPr>
        <w:pStyle w:val="Heading4"/>
        <w:rPr>
          <w:i/>
        </w:rPr>
      </w:pPr>
      <w:r>
        <w:rPr>
          <w:i/>
        </w:rPr>
        <w:t>Objections as to walls</w:t>
      </w:r>
    </w:p>
    <w:p>
      <w:pPr>
        <w:pStyle w:val="BodyText"/>
        <w:rPr>
          <w:i/>
          <w:sz w:val="28"/>
        </w:rPr>
      </w:pPr>
    </w:p>
    <w:p>
      <w:pPr>
        <w:pStyle w:val="BodyText"/>
        <w:rPr>
          <w:i/>
          <w:sz w:val="28"/>
        </w:rPr>
      </w:pPr>
    </w:p>
    <w:p>
      <w:pPr>
        <w:pStyle w:val="BodyText"/>
        <w:spacing w:before="1"/>
        <w:rPr>
          <w:i/>
          <w:sz w:val="26"/>
        </w:rPr>
      </w:pPr>
    </w:p>
    <w:p>
      <w:pPr>
        <w:pStyle w:val="ListParagraph"/>
        <w:numPr>
          <w:ilvl w:val="0"/>
          <w:numId w:val="111"/>
        </w:numPr>
        <w:tabs>
          <w:tab w:pos="1220" w:val="left" w:leader="none"/>
          <w:tab w:pos="1221" w:val="left" w:leader="none"/>
        </w:tabs>
        <w:spacing w:line="480" w:lineRule="auto" w:before="0" w:after="0"/>
        <w:ind w:left="500" w:right="442" w:firstLine="0"/>
        <w:jc w:val="left"/>
        <w:rPr>
          <w:sz w:val="25"/>
        </w:rPr>
      </w:pPr>
      <w:r>
        <w:rPr>
          <w:sz w:val="25"/>
        </w:rPr>
        <w:t>The following objections were addressed to the ASI report before the High Court in regard to the presence of the excavated</w:t>
      </w:r>
      <w:r>
        <w:rPr>
          <w:spacing w:val="-6"/>
          <w:sz w:val="25"/>
        </w:rPr>
        <w:t> </w:t>
      </w:r>
      <w:r>
        <w:rPr>
          <w:sz w:val="25"/>
        </w:rPr>
        <w:t>walls:</w:t>
      </w:r>
    </w:p>
    <w:p>
      <w:pPr>
        <w:spacing w:line="276" w:lineRule="auto" w:before="160"/>
        <w:ind w:left="1940" w:right="2265" w:firstLine="0"/>
        <w:jc w:val="both"/>
        <w:rPr>
          <w:sz w:val="21"/>
        </w:rPr>
      </w:pPr>
      <w:r>
        <w:rPr>
          <w:spacing w:val="-1"/>
          <w:w w:val="33"/>
          <w:sz w:val="21"/>
        </w:rPr>
        <w:t>―</w:t>
      </w:r>
      <w:r>
        <w:rPr>
          <w:w w:val="100"/>
          <w:sz w:val="21"/>
        </w:rPr>
        <w:t>A</w:t>
      </w:r>
      <w:r>
        <w:rPr>
          <w:sz w:val="21"/>
        </w:rPr>
        <w:t> </w:t>
      </w:r>
      <w:r>
        <w:rPr>
          <w:spacing w:val="1"/>
          <w:w w:val="100"/>
          <w:sz w:val="21"/>
        </w:rPr>
        <w:t>m</w:t>
      </w:r>
      <w:r>
        <w:rPr>
          <w:spacing w:val="-3"/>
          <w:w w:val="100"/>
          <w:sz w:val="21"/>
        </w:rPr>
        <w:t>e</w:t>
      </w:r>
      <w:r>
        <w:rPr>
          <w:spacing w:val="-1"/>
          <w:w w:val="100"/>
          <w:sz w:val="21"/>
        </w:rPr>
        <w:t>d</w:t>
      </w:r>
      <w:r>
        <w:rPr>
          <w:spacing w:val="-2"/>
          <w:w w:val="100"/>
          <w:sz w:val="21"/>
        </w:rPr>
        <w:t>i</w:t>
      </w:r>
      <w:r>
        <w:rPr>
          <w:spacing w:val="-1"/>
          <w:w w:val="100"/>
          <w:sz w:val="21"/>
        </w:rPr>
        <w:t>e</w:t>
      </w:r>
      <w:r>
        <w:rPr>
          <w:spacing w:val="-3"/>
          <w:w w:val="100"/>
          <w:sz w:val="21"/>
        </w:rPr>
        <w:t>v</w:t>
      </w:r>
      <w:r>
        <w:rPr>
          <w:spacing w:val="-1"/>
          <w:w w:val="100"/>
          <w:sz w:val="21"/>
        </w:rPr>
        <w:t>a</w:t>
      </w:r>
      <w:r>
        <w:rPr>
          <w:w w:val="100"/>
          <w:sz w:val="21"/>
        </w:rPr>
        <w:t>l</w:t>
      </w:r>
      <w:r>
        <w:rPr>
          <w:sz w:val="21"/>
        </w:rPr>
        <w:t> </w:t>
      </w:r>
      <w:r>
        <w:rPr>
          <w:spacing w:val="-2"/>
          <w:w w:val="100"/>
          <w:sz w:val="21"/>
        </w:rPr>
        <w:t>t</w:t>
      </w:r>
      <w:r>
        <w:rPr>
          <w:spacing w:val="-3"/>
          <w:w w:val="100"/>
          <w:sz w:val="21"/>
        </w:rPr>
        <w:t>e</w:t>
      </w:r>
      <w:r>
        <w:rPr>
          <w:spacing w:val="-1"/>
          <w:w w:val="100"/>
          <w:sz w:val="21"/>
        </w:rPr>
        <w:t>mp</w:t>
      </w:r>
      <w:r>
        <w:rPr>
          <w:spacing w:val="-2"/>
          <w:w w:val="100"/>
          <w:sz w:val="21"/>
        </w:rPr>
        <w:t>l</w:t>
      </w:r>
      <w:r>
        <w:rPr>
          <w:w w:val="100"/>
          <w:sz w:val="21"/>
        </w:rPr>
        <w:t>e</w:t>
      </w:r>
      <w:r>
        <w:rPr>
          <w:sz w:val="21"/>
        </w:rPr>
        <w:t> </w:t>
      </w:r>
      <w:r>
        <w:rPr>
          <w:w w:val="100"/>
          <w:sz w:val="21"/>
        </w:rPr>
        <w:t>in</w:t>
      </w:r>
      <w:r>
        <w:rPr>
          <w:sz w:val="21"/>
        </w:rPr>
        <w:t> </w:t>
      </w:r>
      <w:r>
        <w:rPr>
          <w:w w:val="100"/>
          <w:sz w:val="21"/>
        </w:rPr>
        <w:t>c</w:t>
      </w:r>
      <w:r>
        <w:rPr>
          <w:spacing w:val="-2"/>
          <w:w w:val="100"/>
          <w:sz w:val="21"/>
        </w:rPr>
        <w:t>l</w:t>
      </w:r>
      <w:r>
        <w:rPr>
          <w:spacing w:val="-1"/>
          <w:w w:val="100"/>
          <w:sz w:val="21"/>
        </w:rPr>
        <w:t>a</w:t>
      </w:r>
      <w:r>
        <w:rPr>
          <w:spacing w:val="-3"/>
          <w:w w:val="100"/>
          <w:sz w:val="21"/>
        </w:rPr>
        <w:t>s</w:t>
      </w:r>
      <w:r>
        <w:rPr>
          <w:w w:val="100"/>
          <w:sz w:val="21"/>
        </w:rPr>
        <w:t>sic</w:t>
      </w:r>
      <w:r>
        <w:rPr>
          <w:spacing w:val="-3"/>
          <w:w w:val="100"/>
          <w:sz w:val="21"/>
        </w:rPr>
        <w:t>a</w:t>
      </w:r>
      <w:r>
        <w:rPr>
          <w:w w:val="100"/>
          <w:sz w:val="21"/>
        </w:rPr>
        <w:t>l</w:t>
      </w:r>
      <w:r>
        <w:rPr>
          <w:sz w:val="21"/>
        </w:rPr>
        <w:t> </w:t>
      </w:r>
      <w:r>
        <w:rPr>
          <w:w w:val="100"/>
          <w:sz w:val="21"/>
        </w:rPr>
        <w:t>s</w:t>
      </w:r>
      <w:r>
        <w:rPr>
          <w:spacing w:val="-2"/>
          <w:w w:val="100"/>
          <w:sz w:val="21"/>
        </w:rPr>
        <w:t>t</w:t>
      </w:r>
      <w:r>
        <w:rPr>
          <w:spacing w:val="-3"/>
          <w:w w:val="100"/>
          <w:sz w:val="21"/>
        </w:rPr>
        <w:t>y</w:t>
      </w:r>
      <w:r>
        <w:rPr>
          <w:w w:val="100"/>
          <w:sz w:val="21"/>
        </w:rPr>
        <w:t>le</w:t>
      </w:r>
      <w:r>
        <w:rPr>
          <w:sz w:val="21"/>
        </w:rPr>
        <w:t> </w:t>
      </w:r>
      <w:r>
        <w:rPr>
          <w:spacing w:val="-2"/>
          <w:w w:val="100"/>
          <w:sz w:val="21"/>
        </w:rPr>
        <w:t>w</w:t>
      </w:r>
      <w:r>
        <w:rPr>
          <w:spacing w:val="-1"/>
          <w:w w:val="100"/>
          <w:sz w:val="21"/>
        </w:rPr>
        <w:t>o</w:t>
      </w:r>
      <w:r>
        <w:rPr>
          <w:spacing w:val="-3"/>
          <w:w w:val="100"/>
          <w:sz w:val="21"/>
        </w:rPr>
        <w:t>u</w:t>
      </w:r>
      <w:r>
        <w:rPr>
          <w:w w:val="100"/>
          <w:sz w:val="21"/>
        </w:rPr>
        <w:t>ld</w:t>
      </w:r>
      <w:r>
        <w:rPr>
          <w:sz w:val="21"/>
        </w:rPr>
        <w:t> </w:t>
      </w:r>
      <w:r>
        <w:rPr>
          <w:spacing w:val="-1"/>
          <w:w w:val="100"/>
          <w:sz w:val="21"/>
        </w:rPr>
        <w:t>ha</w:t>
      </w:r>
      <w:r>
        <w:rPr>
          <w:spacing w:val="-3"/>
          <w:w w:val="100"/>
          <w:sz w:val="21"/>
        </w:rPr>
        <w:t>v</w:t>
      </w:r>
      <w:r>
        <w:rPr>
          <w:w w:val="100"/>
          <w:sz w:val="21"/>
        </w:rPr>
        <w:t>e</w:t>
      </w:r>
      <w:r>
        <w:rPr>
          <w:sz w:val="21"/>
        </w:rPr>
        <w:t> </w:t>
      </w:r>
      <w:r>
        <w:rPr>
          <w:spacing w:val="-1"/>
          <w:w w:val="100"/>
          <w:sz w:val="21"/>
        </w:rPr>
        <w:t>ha</w:t>
      </w:r>
      <w:r>
        <w:rPr>
          <w:w w:val="100"/>
          <w:sz w:val="21"/>
        </w:rPr>
        <w:t>d</w:t>
      </w:r>
      <w:r>
        <w:rPr>
          <w:sz w:val="21"/>
        </w:rPr>
        <w:t> </w:t>
      </w:r>
      <w:r>
        <w:rPr>
          <w:w w:val="100"/>
          <w:sz w:val="21"/>
        </w:rPr>
        <w:t>a</w:t>
      </w:r>
      <w:r>
        <w:rPr>
          <w:sz w:val="21"/>
        </w:rPr>
        <w:t> </w:t>
      </w:r>
      <w:r>
        <w:rPr>
          <w:spacing w:val="-3"/>
          <w:w w:val="100"/>
          <w:sz w:val="21"/>
        </w:rPr>
        <w:t>c</w:t>
      </w:r>
      <w:r>
        <w:rPr>
          <w:spacing w:val="-1"/>
          <w:w w:val="100"/>
          <w:sz w:val="21"/>
        </w:rPr>
        <w:t>entr</w:t>
      </w:r>
      <w:r>
        <w:rPr>
          <w:spacing w:val="-3"/>
          <w:w w:val="100"/>
          <w:sz w:val="21"/>
        </w:rPr>
        <w:t>a</w:t>
      </w:r>
      <w:r>
        <w:rPr>
          <w:w w:val="100"/>
          <w:sz w:val="21"/>
        </w:rPr>
        <w:t>l </w:t>
      </w:r>
      <w:r>
        <w:rPr>
          <w:sz w:val="21"/>
        </w:rPr>
        <w:t>portion with thick internal walls to support a high superstructure.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sz w:val="21"/>
        </w:rPr>
      </w:pPr>
      <w:r>
        <w:rPr>
          <w:sz w:val="21"/>
        </w:rPr>
        <w:t>The key plan of structures, in Trench H1, shows two lengths of a wall or two narrow walls, each less than a meter long, with a gap of about 70 cm. This depiction in the plan and the </w:t>
      </w:r>
      <w:r>
        <w:rPr>
          <w:spacing w:val="-1"/>
          <w:w w:val="100"/>
          <w:sz w:val="21"/>
        </w:rPr>
        <w:t>on</w:t>
      </w:r>
      <w:r>
        <w:rPr>
          <w:w w:val="100"/>
          <w:sz w:val="21"/>
        </w:rPr>
        <w:t>e</w:t>
      </w:r>
      <w:r>
        <w:rPr>
          <w:sz w:val="21"/>
        </w:rPr>
        <w:t> </w:t>
      </w:r>
      <w:r>
        <w:rPr>
          <w:spacing w:val="-2"/>
          <w:w w:val="100"/>
          <w:sz w:val="21"/>
        </w:rPr>
        <w:t>l</w:t>
      </w:r>
      <w:r>
        <w:rPr>
          <w:w w:val="100"/>
          <w:sz w:val="21"/>
        </w:rPr>
        <w:t>i</w:t>
      </w:r>
      <w:r>
        <w:rPr>
          <w:spacing w:val="-1"/>
          <w:w w:val="100"/>
          <w:sz w:val="21"/>
        </w:rPr>
        <w:t>n</w:t>
      </w:r>
      <w:r>
        <w:rPr>
          <w:w w:val="100"/>
          <w:sz w:val="21"/>
        </w:rPr>
        <w:t>e</w:t>
      </w:r>
      <w:r>
        <w:rPr>
          <w:spacing w:val="-3"/>
          <w:sz w:val="21"/>
        </w:rPr>
        <w:t> </w:t>
      </w:r>
      <w:r>
        <w:rPr>
          <w:w w:val="100"/>
          <w:sz w:val="21"/>
        </w:rPr>
        <w:t>is</w:t>
      </w:r>
      <w:r>
        <w:rPr>
          <w:spacing w:val="-1"/>
          <w:sz w:val="21"/>
        </w:rPr>
        <w:t> </w:t>
      </w:r>
      <w:r>
        <w:rPr>
          <w:spacing w:val="-3"/>
          <w:w w:val="100"/>
          <w:sz w:val="21"/>
        </w:rPr>
        <w:t>a</w:t>
      </w:r>
      <w:r>
        <w:rPr>
          <w:w w:val="100"/>
          <w:sz w:val="21"/>
        </w:rPr>
        <w:t>ll</w:t>
      </w:r>
      <w:r>
        <w:rPr>
          <w:sz w:val="21"/>
        </w:rPr>
        <w:t> </w:t>
      </w:r>
      <w:r>
        <w:rPr>
          <w:spacing w:val="-2"/>
          <w:w w:val="100"/>
          <w:sz w:val="21"/>
        </w:rPr>
        <w:t>t</w:t>
      </w:r>
      <w:r>
        <w:rPr>
          <w:spacing w:val="-1"/>
          <w:w w:val="100"/>
          <w:sz w:val="21"/>
        </w:rPr>
        <w:t>h</w:t>
      </w:r>
      <w:r>
        <w:rPr>
          <w:w w:val="100"/>
          <w:sz w:val="21"/>
        </w:rPr>
        <w:t>e</w:t>
      </w:r>
      <w:r>
        <w:rPr>
          <w:spacing w:val="-1"/>
          <w:sz w:val="21"/>
        </w:rPr>
        <w:t> </w:t>
      </w:r>
      <w:r>
        <w:rPr>
          <w:spacing w:val="-2"/>
          <w:w w:val="100"/>
          <w:sz w:val="21"/>
        </w:rPr>
        <w:t>i</w:t>
      </w:r>
      <w:r>
        <w:rPr>
          <w:spacing w:val="-1"/>
          <w:w w:val="100"/>
          <w:sz w:val="21"/>
        </w:rPr>
        <w:t>nfo</w:t>
      </w:r>
      <w:r>
        <w:rPr>
          <w:spacing w:val="-3"/>
          <w:w w:val="100"/>
          <w:sz w:val="21"/>
        </w:rPr>
        <w:t>r</w:t>
      </w:r>
      <w:r>
        <w:rPr>
          <w:spacing w:val="1"/>
          <w:w w:val="100"/>
          <w:sz w:val="21"/>
        </w:rPr>
        <w:t>m</w:t>
      </w:r>
      <w:r>
        <w:rPr>
          <w:spacing w:val="-1"/>
          <w:w w:val="100"/>
          <w:sz w:val="21"/>
        </w:rPr>
        <w:t>at</w:t>
      </w:r>
      <w:r>
        <w:rPr>
          <w:spacing w:val="-2"/>
          <w:w w:val="100"/>
          <w:sz w:val="21"/>
        </w:rPr>
        <w:t>i</w:t>
      </w:r>
      <w:r>
        <w:rPr>
          <w:spacing w:val="-1"/>
          <w:w w:val="100"/>
          <w:sz w:val="21"/>
        </w:rPr>
        <w:t>o</w:t>
      </w:r>
      <w:r>
        <w:rPr>
          <w:w w:val="100"/>
          <w:sz w:val="21"/>
        </w:rPr>
        <w:t>n</w:t>
      </w:r>
      <w:r>
        <w:rPr>
          <w:spacing w:val="-1"/>
          <w:sz w:val="21"/>
        </w:rPr>
        <w:t> </w:t>
      </w:r>
      <w:r>
        <w:rPr>
          <w:spacing w:val="-1"/>
          <w:w w:val="100"/>
          <w:sz w:val="21"/>
        </w:rPr>
        <w:t>g</w:t>
      </w:r>
      <w:r>
        <w:rPr>
          <w:spacing w:val="1"/>
          <w:w w:val="100"/>
          <w:sz w:val="21"/>
        </w:rPr>
        <w:t>i</w:t>
      </w:r>
      <w:r>
        <w:rPr>
          <w:spacing w:val="-3"/>
          <w:w w:val="100"/>
          <w:sz w:val="21"/>
        </w:rPr>
        <w:t>v</w:t>
      </w:r>
      <w:r>
        <w:rPr>
          <w:spacing w:val="-1"/>
          <w:w w:val="100"/>
          <w:sz w:val="21"/>
        </w:rPr>
        <w:t>e</w:t>
      </w:r>
      <w:r>
        <w:rPr>
          <w:w w:val="100"/>
          <w:sz w:val="21"/>
        </w:rPr>
        <w:t>n</w:t>
      </w:r>
      <w:r>
        <w:rPr>
          <w:spacing w:val="-1"/>
          <w:sz w:val="21"/>
        </w:rPr>
        <w:t> </w:t>
      </w:r>
      <w:r>
        <w:rPr>
          <w:spacing w:val="-3"/>
          <w:w w:val="100"/>
          <w:sz w:val="21"/>
        </w:rPr>
        <w:t>a</w:t>
      </w:r>
      <w:r>
        <w:rPr>
          <w:spacing w:val="-1"/>
          <w:w w:val="100"/>
          <w:sz w:val="21"/>
        </w:rPr>
        <w:t>bou</w:t>
      </w:r>
      <w:r>
        <w:rPr>
          <w:w w:val="100"/>
          <w:sz w:val="21"/>
        </w:rPr>
        <w:t>t</w:t>
      </w:r>
      <w:r>
        <w:rPr>
          <w:spacing w:val="-2"/>
          <w:sz w:val="21"/>
        </w:rPr>
        <w:t> </w:t>
      </w:r>
      <w:r>
        <w:rPr>
          <w:spacing w:val="-2"/>
          <w:w w:val="100"/>
          <w:sz w:val="21"/>
        </w:rPr>
        <w:t>t</w:t>
      </w:r>
      <w:r>
        <w:rPr>
          <w:spacing w:val="-1"/>
          <w:w w:val="100"/>
          <w:sz w:val="21"/>
        </w:rPr>
        <w:t>h</w:t>
      </w:r>
      <w:r>
        <w:rPr>
          <w:spacing w:val="1"/>
          <w:w w:val="100"/>
          <w:sz w:val="21"/>
        </w:rPr>
        <w:t>i</w:t>
      </w:r>
      <w:r>
        <w:rPr>
          <w:w w:val="100"/>
          <w:sz w:val="21"/>
        </w:rPr>
        <w:t>s</w:t>
      </w:r>
      <w:r>
        <w:rPr>
          <w:spacing w:val="-4"/>
          <w:sz w:val="21"/>
        </w:rPr>
        <w:t> </w:t>
      </w:r>
      <w:r>
        <w:rPr>
          <w:w w:val="40"/>
          <w:sz w:val="21"/>
        </w:rPr>
        <w:t>‗</w:t>
      </w:r>
      <w:r>
        <w:rPr>
          <w:spacing w:val="-1"/>
          <w:w w:val="100"/>
          <w:sz w:val="21"/>
        </w:rPr>
        <w:t>entr</w:t>
      </w:r>
      <w:r>
        <w:rPr>
          <w:spacing w:val="-3"/>
          <w:w w:val="100"/>
          <w:sz w:val="21"/>
        </w:rPr>
        <w:t>a</w:t>
      </w:r>
      <w:r>
        <w:rPr>
          <w:spacing w:val="-1"/>
          <w:w w:val="100"/>
          <w:sz w:val="21"/>
        </w:rPr>
        <w:t>nce</w:t>
      </w:r>
      <w:r>
        <w:rPr>
          <w:spacing w:val="1"/>
          <w:w w:val="100"/>
          <w:sz w:val="21"/>
        </w:rPr>
        <w:t>‘</w:t>
      </w:r>
      <w:r>
        <w:rPr>
          <w:spacing w:val="-2"/>
          <w:w w:val="100"/>
          <w:sz w:val="21"/>
        </w:rPr>
        <w:t>.</w:t>
      </w:r>
      <w:r>
        <w:rPr>
          <w:w w:val="81"/>
          <w:sz w:val="21"/>
        </w:rPr>
        <w:t>‖</w:t>
      </w:r>
    </w:p>
    <w:p>
      <w:pPr>
        <w:pStyle w:val="BodyText"/>
        <w:rPr>
          <w:sz w:val="24"/>
        </w:rPr>
      </w:pPr>
    </w:p>
    <w:p>
      <w:pPr>
        <w:pStyle w:val="BodyText"/>
        <w:rPr>
          <w:sz w:val="26"/>
        </w:rPr>
      </w:pPr>
    </w:p>
    <w:p>
      <w:pPr>
        <w:pStyle w:val="BodyText"/>
        <w:spacing w:before="1"/>
        <w:ind w:left="500"/>
      </w:pPr>
      <w:r>
        <w:rPr/>
        <w:t>Dealing with the objections, the High Court returned the following findings:</w:t>
      </w:r>
    </w:p>
    <w:p>
      <w:pPr>
        <w:pStyle w:val="BodyText"/>
      </w:pPr>
    </w:p>
    <w:p>
      <w:pPr>
        <w:spacing w:line="276" w:lineRule="auto" w:before="0"/>
        <w:ind w:left="1940" w:right="2263" w:firstLine="0"/>
        <w:jc w:val="both"/>
        <w:rPr>
          <w:sz w:val="21"/>
        </w:rPr>
      </w:pPr>
      <w:r>
        <w:rPr>
          <w:spacing w:val="-1"/>
          <w:w w:val="33"/>
          <w:sz w:val="21"/>
        </w:rPr>
        <w:t>―</w:t>
      </w:r>
      <w:r>
        <w:rPr>
          <w:spacing w:val="-1"/>
          <w:w w:val="100"/>
          <w:sz w:val="21"/>
        </w:rPr>
        <w:t>392</w:t>
      </w:r>
      <w:r>
        <w:rPr>
          <w:w w:val="100"/>
          <w:sz w:val="21"/>
        </w:rPr>
        <w:t>6.</w:t>
      </w:r>
      <w:r>
        <w:rPr>
          <w:sz w:val="21"/>
        </w:rPr>
        <w:t>  </w:t>
      </w:r>
      <w:r>
        <w:rPr>
          <w:spacing w:val="-2"/>
          <w:w w:val="100"/>
          <w:sz w:val="21"/>
        </w:rPr>
        <w:t>D</w:t>
      </w:r>
      <w:r>
        <w:rPr>
          <w:spacing w:val="-1"/>
          <w:w w:val="100"/>
          <w:sz w:val="21"/>
        </w:rPr>
        <w:t>uri</w:t>
      </w:r>
      <w:r>
        <w:rPr>
          <w:spacing w:val="-2"/>
          <w:w w:val="100"/>
          <w:sz w:val="21"/>
        </w:rPr>
        <w:t>n</w:t>
      </w:r>
      <w:r>
        <w:rPr>
          <w:w w:val="100"/>
          <w:sz w:val="21"/>
        </w:rPr>
        <w:t>g</w:t>
      </w:r>
      <w:r>
        <w:rPr>
          <w:sz w:val="21"/>
        </w:rPr>
        <w:t>  </w:t>
      </w:r>
      <w:r>
        <w:rPr>
          <w:spacing w:val="-1"/>
          <w:w w:val="100"/>
          <w:sz w:val="21"/>
        </w:rPr>
        <w:t>ex</w:t>
      </w:r>
      <w:r>
        <w:rPr>
          <w:spacing w:val="-3"/>
          <w:w w:val="100"/>
          <w:sz w:val="21"/>
        </w:rPr>
        <w:t>c</w:t>
      </w:r>
      <w:r>
        <w:rPr>
          <w:spacing w:val="-1"/>
          <w:w w:val="100"/>
          <w:sz w:val="21"/>
        </w:rPr>
        <w:t>a</w:t>
      </w:r>
      <w:r>
        <w:rPr>
          <w:spacing w:val="-3"/>
          <w:w w:val="100"/>
          <w:sz w:val="21"/>
        </w:rPr>
        <w:t>v</w:t>
      </w:r>
      <w:r>
        <w:rPr>
          <w:spacing w:val="-1"/>
          <w:w w:val="100"/>
          <w:sz w:val="21"/>
        </w:rPr>
        <w:t>a</w:t>
      </w:r>
      <w:r>
        <w:rPr>
          <w:w w:val="100"/>
          <w:sz w:val="21"/>
        </w:rPr>
        <w:t>t</w:t>
      </w:r>
      <w:r>
        <w:rPr>
          <w:w w:val="100"/>
          <w:sz w:val="21"/>
        </w:rPr>
        <w:t>i</w:t>
      </w:r>
      <w:r>
        <w:rPr>
          <w:w w:val="100"/>
          <w:sz w:val="21"/>
        </w:rPr>
        <w:t>o</w:t>
      </w:r>
      <w:r>
        <w:rPr>
          <w:spacing w:val="-3"/>
          <w:w w:val="100"/>
          <w:sz w:val="21"/>
        </w:rPr>
        <w:t>n</w:t>
      </w:r>
      <w:r>
        <w:rPr>
          <w:w w:val="100"/>
          <w:sz w:val="21"/>
        </w:rPr>
        <w:t>s,</w:t>
      </w:r>
      <w:r>
        <w:rPr>
          <w:sz w:val="21"/>
        </w:rPr>
        <w:t>  </w:t>
      </w:r>
      <w:r>
        <w:rPr>
          <w:w w:val="100"/>
          <w:sz w:val="21"/>
        </w:rPr>
        <w:t>i</w:t>
      </w:r>
      <w:r>
        <w:rPr>
          <w:w w:val="100"/>
          <w:sz w:val="21"/>
        </w:rPr>
        <w:t>n</w:t>
      </w:r>
      <w:r>
        <w:rPr>
          <w:sz w:val="21"/>
        </w:rPr>
        <w:t>  </w:t>
      </w:r>
      <w:r>
        <w:rPr>
          <w:w w:val="100"/>
          <w:sz w:val="21"/>
        </w:rPr>
        <w:t>a</w:t>
      </w:r>
      <w:r>
        <w:rPr>
          <w:spacing w:val="-2"/>
          <w:w w:val="100"/>
          <w:sz w:val="21"/>
        </w:rPr>
        <w:t>l</w:t>
      </w:r>
      <w:r>
        <w:rPr>
          <w:w w:val="100"/>
          <w:sz w:val="21"/>
        </w:rPr>
        <w:t>l</w:t>
      </w:r>
      <w:r>
        <w:rPr>
          <w:sz w:val="21"/>
        </w:rPr>
        <w:t>  </w:t>
      </w:r>
      <w:r>
        <w:rPr>
          <w:w w:val="100"/>
          <w:sz w:val="21"/>
        </w:rPr>
        <w:t>28</w:t>
      </w:r>
      <w:r>
        <w:rPr>
          <w:sz w:val="21"/>
        </w:rPr>
        <w:t>  </w:t>
      </w:r>
      <w:r>
        <w:rPr>
          <w:spacing w:val="-2"/>
          <w:w w:val="100"/>
          <w:sz w:val="21"/>
        </w:rPr>
        <w:t>w</w:t>
      </w:r>
      <w:r>
        <w:rPr>
          <w:w w:val="100"/>
          <w:sz w:val="21"/>
        </w:rPr>
        <w:t>a</w:t>
      </w:r>
      <w:r>
        <w:rPr>
          <w:spacing w:val="-2"/>
          <w:w w:val="100"/>
          <w:sz w:val="21"/>
        </w:rPr>
        <w:t>l</w:t>
      </w:r>
      <w:r>
        <w:rPr>
          <w:w w:val="100"/>
          <w:sz w:val="21"/>
        </w:rPr>
        <w:t>l</w:t>
      </w:r>
      <w:r>
        <w:rPr>
          <w:w w:val="100"/>
          <w:sz w:val="21"/>
        </w:rPr>
        <w:t>s</w:t>
      </w:r>
      <w:r>
        <w:rPr>
          <w:sz w:val="21"/>
        </w:rPr>
        <w:t>  </w:t>
      </w:r>
      <w:r>
        <w:rPr>
          <w:spacing w:val="-2"/>
          <w:w w:val="100"/>
          <w:sz w:val="21"/>
        </w:rPr>
        <w:t>w</w:t>
      </w:r>
      <w:r>
        <w:rPr>
          <w:w w:val="100"/>
          <w:sz w:val="21"/>
        </w:rPr>
        <w:t>ere</w:t>
      </w:r>
      <w:r>
        <w:rPr>
          <w:sz w:val="21"/>
        </w:rPr>
        <w:t>  </w:t>
      </w:r>
      <w:r>
        <w:rPr>
          <w:spacing w:val="-2"/>
          <w:w w:val="100"/>
          <w:sz w:val="21"/>
        </w:rPr>
        <w:t>t</w:t>
      </w:r>
      <w:r>
        <w:rPr>
          <w:spacing w:val="-1"/>
          <w:w w:val="100"/>
          <w:sz w:val="21"/>
        </w:rPr>
        <w:t>r</w:t>
      </w:r>
      <w:r>
        <w:rPr>
          <w:w w:val="100"/>
          <w:sz w:val="21"/>
        </w:rPr>
        <w:t>aced</w:t>
      </w:r>
      <w:r>
        <w:rPr>
          <w:sz w:val="21"/>
        </w:rPr>
        <w:t>  </w:t>
      </w:r>
      <w:r>
        <w:rPr>
          <w:spacing w:val="-3"/>
          <w:w w:val="100"/>
          <w:sz w:val="21"/>
        </w:rPr>
        <w:t>a</w:t>
      </w:r>
      <w:r>
        <w:rPr>
          <w:w w:val="100"/>
          <w:sz w:val="21"/>
        </w:rPr>
        <w:t>s </w:t>
      </w:r>
      <w:r>
        <w:rPr>
          <w:sz w:val="21"/>
        </w:rPr>
        <w:t>shown in Fig. 3A out of which wall no. 1 to 15 are either contemporary to the disputed structure or belong to disputed structure. Walls no. 16 to 28 are earlier to the disputed structure and were found underneath the disputed structure...</w:t>
      </w:r>
    </w:p>
    <w:p>
      <w:pPr>
        <w:spacing w:before="1"/>
        <w:ind w:left="1940" w:right="0" w:firstLine="0"/>
        <w:jc w:val="left"/>
        <w:rPr>
          <w:sz w:val="21"/>
        </w:rPr>
      </w:pPr>
      <w:r>
        <w:rPr>
          <w:sz w:val="21"/>
        </w:rPr>
        <w:t>...</w:t>
      </w:r>
    </w:p>
    <w:p>
      <w:pPr>
        <w:spacing w:line="276" w:lineRule="auto" w:before="35"/>
        <w:ind w:left="1940" w:right="2262" w:firstLine="0"/>
        <w:jc w:val="both"/>
        <w:rPr>
          <w:sz w:val="21"/>
        </w:rPr>
      </w:pPr>
      <w:r>
        <w:rPr>
          <w:sz w:val="21"/>
        </w:rPr>
        <w:t>3928. The statements of Experts (Archaeologists) of plaintiffs (Suit-4) in respect to walls and floors have already been referred in brief saying that there is no substantial objection except that the opinion ought to be this or that, but that is also with the caution that it can be dealt with in this way or that both and not in a certain way. In other words on this aspect witnesses are shaky and uncertain. We, therefore find no substantial reason to doubt the report of ASI in this</w:t>
      </w:r>
      <w:r>
        <w:rPr>
          <w:spacing w:val="-27"/>
          <w:sz w:val="21"/>
        </w:rPr>
        <w:t> </w:t>
      </w:r>
      <w:r>
        <w:rPr>
          <w:sz w:val="21"/>
        </w:rPr>
        <w:t>respect.‖</w:t>
      </w:r>
    </w:p>
    <w:p>
      <w:pPr>
        <w:pStyle w:val="BodyText"/>
        <w:rPr>
          <w:sz w:val="24"/>
        </w:rPr>
      </w:pPr>
    </w:p>
    <w:p>
      <w:pPr>
        <w:pStyle w:val="BodyText"/>
        <w:spacing w:before="9"/>
        <w:rPr>
          <w:sz w:val="29"/>
        </w:rPr>
      </w:pPr>
    </w:p>
    <w:p>
      <w:pPr>
        <w:pStyle w:val="BodyText"/>
        <w:ind w:left="500"/>
      </w:pPr>
      <w:r>
        <w:rPr/>
        <w:t>Ms Arora has raised the following objections with respect to the walls:</w:t>
      </w:r>
    </w:p>
    <w:p>
      <w:pPr>
        <w:pStyle w:val="BodyText"/>
        <w:spacing w:before="1"/>
        <w:rPr>
          <w:sz w:val="39"/>
        </w:rPr>
      </w:pPr>
    </w:p>
    <w:p>
      <w:pPr>
        <w:pStyle w:val="ListParagraph"/>
        <w:numPr>
          <w:ilvl w:val="0"/>
          <w:numId w:val="151"/>
        </w:numPr>
        <w:tabs>
          <w:tab w:pos="1581" w:val="left" w:leader="none"/>
        </w:tabs>
        <w:spacing w:line="480" w:lineRule="auto" w:before="0" w:after="0"/>
        <w:ind w:left="1580" w:right="438" w:hanging="720"/>
        <w:jc w:val="both"/>
        <w:rPr>
          <w:sz w:val="25"/>
        </w:rPr>
      </w:pPr>
      <w:r>
        <w:rPr>
          <w:sz w:val="25"/>
        </w:rPr>
        <w:t>The inner walls (walls 18A, 18B, 18C and 18D) could not have been load bearing because they are too narrow, only two to three courses high and built from brick-bats. Wall 16 is 1.77m wide whereas walls 18A, B, C and D are relatively</w:t>
      </w:r>
      <w:r>
        <w:rPr>
          <w:spacing w:val="-10"/>
          <w:sz w:val="25"/>
        </w:rPr>
        <w:t> </w:t>
      </w:r>
      <w:r>
        <w:rPr>
          <w:sz w:val="25"/>
        </w:rPr>
        <w:t>thin;</w:t>
      </w:r>
    </w:p>
    <w:p>
      <w:pPr>
        <w:pStyle w:val="ListParagraph"/>
        <w:numPr>
          <w:ilvl w:val="0"/>
          <w:numId w:val="151"/>
        </w:numPr>
        <w:tabs>
          <w:tab w:pos="1581" w:val="left" w:leader="none"/>
        </w:tabs>
        <w:spacing w:line="240" w:lineRule="auto" w:before="0" w:after="0"/>
        <w:ind w:left="1580" w:right="0" w:hanging="721"/>
        <w:jc w:val="both"/>
        <w:rPr>
          <w:sz w:val="25"/>
        </w:rPr>
      </w:pPr>
      <w:r>
        <w:rPr>
          <w:sz w:val="25"/>
        </w:rPr>
        <w:t>Thicker western walls are a feature of mosque</w:t>
      </w:r>
      <w:r>
        <w:rPr>
          <w:spacing w:val="-8"/>
          <w:sz w:val="25"/>
        </w:rPr>
        <w:t> </w:t>
      </w:r>
      <w:r>
        <w:rPr>
          <w:sz w:val="25"/>
        </w:rPr>
        <w:t>construction;</w:t>
      </w:r>
    </w:p>
    <w:p>
      <w:pPr>
        <w:pStyle w:val="BodyText"/>
        <w:spacing w:before="10"/>
        <w:rPr>
          <w:sz w:val="24"/>
        </w:rPr>
      </w:pPr>
    </w:p>
    <w:p>
      <w:pPr>
        <w:pStyle w:val="ListParagraph"/>
        <w:numPr>
          <w:ilvl w:val="0"/>
          <w:numId w:val="151"/>
        </w:numPr>
        <w:tabs>
          <w:tab w:pos="1581" w:val="left" w:leader="none"/>
        </w:tabs>
        <w:spacing w:line="240" w:lineRule="auto" w:before="0" w:after="0"/>
        <w:ind w:left="1580" w:right="0" w:hanging="721"/>
        <w:jc w:val="both"/>
        <w:rPr>
          <w:sz w:val="25"/>
        </w:rPr>
      </w:pPr>
      <w:r>
        <w:rPr>
          <w:sz w:val="25"/>
        </w:rPr>
        <w:t>Wall 16 could only have been the foundation of the Babri mosque;</w:t>
      </w:r>
      <w:r>
        <w:rPr>
          <w:spacing w:val="-20"/>
          <w:sz w:val="25"/>
        </w:rPr>
        <w:t> </w:t>
      </w:r>
      <w:r>
        <w:rPr>
          <w:sz w:val="25"/>
        </w:rPr>
        <w:t>and</w:t>
      </w:r>
    </w:p>
    <w:p>
      <w:pPr>
        <w:pStyle w:val="BodyText"/>
        <w:spacing w:before="1"/>
      </w:pPr>
    </w:p>
    <w:p>
      <w:pPr>
        <w:pStyle w:val="ListParagraph"/>
        <w:numPr>
          <w:ilvl w:val="0"/>
          <w:numId w:val="151"/>
        </w:numPr>
        <w:tabs>
          <w:tab w:pos="1581" w:val="left" w:leader="none"/>
        </w:tabs>
        <w:spacing w:line="480" w:lineRule="auto" w:before="0" w:after="0"/>
        <w:ind w:left="1580" w:right="436" w:hanging="720"/>
        <w:jc w:val="both"/>
        <w:rPr>
          <w:sz w:val="25"/>
        </w:rPr>
      </w:pPr>
      <w:r>
        <w:rPr>
          <w:sz w:val="25"/>
        </w:rPr>
        <w:t>According to Jayanti Prasad Srivastava (DW 20/5), wall 16 was built around 1130 A.D. when a pillared hall was erected in front of the shrines. After construction of wall 17, the structures standing below floor 3, towards east of wall 17, got protected from flood and to further strengthen it, wall 16 was</w:t>
      </w:r>
      <w:r>
        <w:rPr>
          <w:spacing w:val="-6"/>
          <w:sz w:val="25"/>
        </w:rPr>
        <w:t> </w:t>
      </w:r>
      <w:r>
        <w:rPr>
          <w:sz w:val="25"/>
        </w:rPr>
        <w:t>constructed.</w:t>
      </w:r>
    </w:p>
    <w:p>
      <w:pPr>
        <w:spacing w:after="0" w:line="480" w:lineRule="auto"/>
        <w:jc w:val="both"/>
        <w:rPr>
          <w:sz w:val="25"/>
        </w:rPr>
        <w:sectPr>
          <w:pgSz w:w="11910" w:h="16840"/>
          <w:pgMar w:header="721" w:footer="1014" w:top="1300" w:bottom="1200" w:left="940" w:right="1000"/>
        </w:sectPr>
      </w:pPr>
    </w:p>
    <w:p>
      <w:pPr>
        <w:pStyle w:val="Heading4"/>
        <w:spacing w:before="126"/>
        <w:jc w:val="left"/>
        <w:rPr>
          <w:i/>
        </w:rPr>
      </w:pPr>
      <w:r>
        <w:rPr>
          <w:i/>
        </w:rPr>
        <w:t>Objections as to circular shrine</w:t>
      </w:r>
    </w:p>
    <w:p>
      <w:pPr>
        <w:pStyle w:val="BodyText"/>
        <w:rPr>
          <w:i/>
          <w:sz w:val="28"/>
        </w:rPr>
      </w:pPr>
    </w:p>
    <w:p>
      <w:pPr>
        <w:pStyle w:val="BodyText"/>
        <w:spacing w:before="2"/>
        <w:rPr>
          <w:i/>
          <w:sz w:val="28"/>
        </w:rPr>
      </w:pPr>
    </w:p>
    <w:p>
      <w:pPr>
        <w:pStyle w:val="ListParagraph"/>
        <w:numPr>
          <w:ilvl w:val="0"/>
          <w:numId w:val="111"/>
        </w:numPr>
        <w:tabs>
          <w:tab w:pos="1220" w:val="left" w:leader="none"/>
          <w:tab w:pos="1221" w:val="left" w:leader="none"/>
        </w:tabs>
        <w:spacing w:line="480" w:lineRule="auto" w:before="1" w:after="0"/>
        <w:ind w:left="500" w:right="443" w:firstLine="0"/>
        <w:jc w:val="left"/>
        <w:rPr>
          <w:sz w:val="25"/>
        </w:rPr>
      </w:pPr>
      <w:r>
        <w:rPr>
          <w:sz w:val="25"/>
        </w:rPr>
        <w:t>The High Court noted the following objections in regard to ASI‘s findings about the existence of a circular</w:t>
      </w:r>
      <w:r>
        <w:rPr>
          <w:spacing w:val="-4"/>
          <w:sz w:val="25"/>
        </w:rPr>
        <w:t> </w:t>
      </w:r>
      <w:r>
        <w:rPr>
          <w:sz w:val="25"/>
        </w:rPr>
        <w:t>shrine:</w:t>
      </w:r>
    </w:p>
    <w:p>
      <w:pPr>
        <w:spacing w:line="273" w:lineRule="auto" w:before="159"/>
        <w:ind w:left="1940" w:right="2263" w:firstLine="0"/>
        <w:jc w:val="both"/>
        <w:rPr>
          <w:sz w:val="21"/>
        </w:rPr>
      </w:pPr>
      <w:r>
        <w:rPr>
          <w:w w:val="33"/>
          <w:sz w:val="21"/>
        </w:rPr>
        <w:t>―</w:t>
      </w:r>
      <w:r>
        <w:rPr>
          <w:w w:val="100"/>
          <w:sz w:val="21"/>
        </w:rPr>
        <w:t>1.Erroneous</w:t>
      </w:r>
      <w:r>
        <w:rPr>
          <w:sz w:val="21"/>
        </w:rPr>
        <w:t>   </w:t>
      </w:r>
      <w:r>
        <w:rPr>
          <w:w w:val="100"/>
          <w:sz w:val="21"/>
        </w:rPr>
        <w:t>to</w:t>
      </w:r>
      <w:r>
        <w:rPr>
          <w:sz w:val="21"/>
        </w:rPr>
        <w:t>   </w:t>
      </w:r>
      <w:r>
        <w:rPr>
          <w:w w:val="100"/>
          <w:sz w:val="21"/>
        </w:rPr>
        <w:t>compare</w:t>
      </w:r>
      <w:r>
        <w:rPr>
          <w:sz w:val="21"/>
        </w:rPr>
        <w:t>   </w:t>
      </w:r>
      <w:r>
        <w:rPr>
          <w:w w:val="100"/>
          <w:sz w:val="21"/>
        </w:rPr>
        <w:t>structure</w:t>
      </w:r>
      <w:r>
        <w:rPr>
          <w:sz w:val="21"/>
        </w:rPr>
        <w:t>   </w:t>
      </w:r>
      <w:r>
        <w:rPr>
          <w:w w:val="100"/>
          <w:sz w:val="21"/>
        </w:rPr>
        <w:t>with</w:t>
      </w:r>
      <w:r>
        <w:rPr>
          <w:sz w:val="21"/>
        </w:rPr>
        <w:t>   </w:t>
      </w:r>
      <w:r>
        <w:rPr>
          <w:w w:val="100"/>
          <w:sz w:val="21"/>
        </w:rPr>
        <w:t>certain</w:t>
      </w:r>
      <w:r>
        <w:rPr>
          <w:sz w:val="21"/>
        </w:rPr>
        <w:t>   </w:t>
      </w:r>
      <w:r>
        <w:rPr>
          <w:w w:val="100"/>
          <w:sz w:val="21"/>
        </w:rPr>
        <w:t>temple </w:t>
      </w:r>
      <w:r>
        <w:rPr>
          <w:sz w:val="21"/>
        </w:rPr>
        <w:t>structures and not with circular walls &amp; buildings</w:t>
      </w:r>
    </w:p>
    <w:p>
      <w:pPr>
        <w:pStyle w:val="ListParagraph"/>
        <w:numPr>
          <w:ilvl w:val="0"/>
          <w:numId w:val="152"/>
        </w:numPr>
        <w:tabs>
          <w:tab w:pos="2174" w:val="left" w:leader="none"/>
        </w:tabs>
        <w:spacing w:line="240" w:lineRule="auto" w:before="4" w:after="0"/>
        <w:ind w:left="2173" w:right="0" w:hanging="234"/>
        <w:jc w:val="both"/>
        <w:rPr>
          <w:sz w:val="21"/>
        </w:rPr>
      </w:pPr>
      <w:r>
        <w:rPr>
          <w:sz w:val="21"/>
        </w:rPr>
        <w:t>No object of Hindu worship found on this</w:t>
      </w:r>
      <w:r>
        <w:rPr>
          <w:spacing w:val="-11"/>
          <w:sz w:val="21"/>
        </w:rPr>
        <w:t> </w:t>
      </w:r>
      <w:r>
        <w:rPr>
          <w:sz w:val="21"/>
        </w:rPr>
        <w:t>layer</w:t>
      </w:r>
    </w:p>
    <w:p>
      <w:pPr>
        <w:pStyle w:val="ListParagraph"/>
        <w:numPr>
          <w:ilvl w:val="0"/>
          <w:numId w:val="152"/>
        </w:numPr>
        <w:tabs>
          <w:tab w:pos="2188" w:val="left" w:leader="none"/>
        </w:tabs>
        <w:spacing w:line="276" w:lineRule="auto" w:before="37" w:after="0"/>
        <w:ind w:left="1940" w:right="2265" w:firstLine="0"/>
        <w:jc w:val="both"/>
        <w:rPr>
          <w:sz w:val="21"/>
        </w:rPr>
      </w:pPr>
      <w:r>
        <w:rPr>
          <w:sz w:val="21"/>
        </w:rPr>
        <w:t>Surviving wall as per ASI‘s drawings makes only a quarter of circle – such shapes are fairly popular in walls of Muslim construction</w:t>
      </w:r>
    </w:p>
    <w:p>
      <w:pPr>
        <w:pStyle w:val="ListParagraph"/>
        <w:numPr>
          <w:ilvl w:val="0"/>
          <w:numId w:val="152"/>
        </w:numPr>
        <w:tabs>
          <w:tab w:pos="2234" w:val="left" w:leader="none"/>
        </w:tabs>
        <w:spacing w:line="276" w:lineRule="auto" w:before="0" w:after="0"/>
        <w:ind w:left="1940" w:right="2263" w:firstLine="0"/>
        <w:jc w:val="both"/>
        <w:rPr>
          <w:sz w:val="21"/>
        </w:rPr>
      </w:pPr>
      <w:r>
        <w:rPr>
          <w:sz w:val="21"/>
        </w:rPr>
        <w:t>Nothing found in the structure in the way of image or </w:t>
      </w:r>
      <w:r>
        <w:rPr>
          <w:w w:val="100"/>
          <w:sz w:val="21"/>
        </w:rPr>
        <w:t>sacred</w:t>
      </w:r>
      <w:r>
        <w:rPr>
          <w:spacing w:val="-1"/>
          <w:sz w:val="21"/>
        </w:rPr>
        <w:t> </w:t>
      </w:r>
      <w:r>
        <w:rPr>
          <w:spacing w:val="-3"/>
          <w:w w:val="100"/>
          <w:sz w:val="21"/>
        </w:rPr>
        <w:t>p</w:t>
      </w:r>
      <w:r>
        <w:rPr>
          <w:w w:val="100"/>
          <w:sz w:val="21"/>
        </w:rPr>
        <w:t>i</w:t>
      </w:r>
      <w:r>
        <w:rPr>
          <w:spacing w:val="-3"/>
          <w:w w:val="100"/>
          <w:sz w:val="21"/>
        </w:rPr>
        <w:t>e</w:t>
      </w:r>
      <w:r>
        <w:rPr>
          <w:w w:val="100"/>
          <w:sz w:val="21"/>
        </w:rPr>
        <w:t>ce</w:t>
      </w:r>
      <w:r>
        <w:rPr>
          <w:spacing w:val="-1"/>
          <w:sz w:val="21"/>
        </w:rPr>
        <w:t> </w:t>
      </w:r>
      <w:r>
        <w:rPr>
          <w:spacing w:val="-2"/>
          <w:w w:val="100"/>
          <w:sz w:val="21"/>
        </w:rPr>
        <w:t>t</w:t>
      </w:r>
      <w:r>
        <w:rPr>
          <w:spacing w:val="-1"/>
          <w:w w:val="100"/>
          <w:sz w:val="21"/>
        </w:rPr>
        <w:t>ha</w:t>
      </w:r>
      <w:r>
        <w:rPr>
          <w:w w:val="100"/>
          <w:sz w:val="21"/>
        </w:rPr>
        <w:t>t</w:t>
      </w:r>
      <w:r>
        <w:rPr>
          <w:spacing w:val="-2"/>
          <w:sz w:val="21"/>
        </w:rPr>
        <w:t> </w:t>
      </w:r>
      <w:r>
        <w:rPr>
          <w:w w:val="100"/>
          <w:sz w:val="21"/>
        </w:rPr>
        <w:t>can</w:t>
      </w:r>
      <w:r>
        <w:rPr>
          <w:spacing w:val="-1"/>
          <w:sz w:val="21"/>
        </w:rPr>
        <w:t> </w:t>
      </w:r>
      <w:r>
        <w:rPr>
          <w:spacing w:val="-3"/>
          <w:w w:val="100"/>
          <w:sz w:val="21"/>
        </w:rPr>
        <w:t>b</w:t>
      </w:r>
      <w:r>
        <w:rPr>
          <w:w w:val="100"/>
          <w:sz w:val="21"/>
        </w:rPr>
        <w:t>e</w:t>
      </w:r>
      <w:r>
        <w:rPr>
          <w:spacing w:val="-1"/>
          <w:sz w:val="21"/>
        </w:rPr>
        <w:t> </w:t>
      </w:r>
      <w:r>
        <w:rPr>
          <w:w w:val="100"/>
          <w:sz w:val="21"/>
        </w:rPr>
        <w:t>ca</w:t>
      </w:r>
      <w:r>
        <w:rPr>
          <w:spacing w:val="1"/>
          <w:w w:val="100"/>
          <w:sz w:val="21"/>
        </w:rPr>
        <w:t>l</w:t>
      </w:r>
      <w:r>
        <w:rPr>
          <w:spacing w:val="-2"/>
          <w:w w:val="100"/>
          <w:sz w:val="21"/>
        </w:rPr>
        <w:t>l</w:t>
      </w:r>
      <w:r>
        <w:rPr>
          <w:spacing w:val="-1"/>
          <w:w w:val="100"/>
          <w:sz w:val="21"/>
        </w:rPr>
        <w:t>e</w:t>
      </w:r>
      <w:r>
        <w:rPr>
          <w:w w:val="100"/>
          <w:sz w:val="21"/>
        </w:rPr>
        <w:t>d</w:t>
      </w:r>
      <w:r>
        <w:rPr>
          <w:spacing w:val="-1"/>
          <w:sz w:val="21"/>
        </w:rPr>
        <w:t> </w:t>
      </w:r>
      <w:r>
        <w:rPr>
          <w:w w:val="100"/>
          <w:sz w:val="21"/>
        </w:rPr>
        <w:t>a</w:t>
      </w:r>
      <w:r>
        <w:rPr>
          <w:spacing w:val="-1"/>
          <w:sz w:val="21"/>
        </w:rPr>
        <w:t> </w:t>
      </w:r>
      <w:r>
        <w:rPr>
          <w:spacing w:val="-1"/>
          <w:w w:val="33"/>
          <w:sz w:val="21"/>
        </w:rPr>
        <w:t>―</w:t>
      </w:r>
      <w:r>
        <w:rPr>
          <w:w w:val="100"/>
          <w:sz w:val="21"/>
        </w:rPr>
        <w:t>sh</w:t>
      </w:r>
      <w:r>
        <w:rPr>
          <w:spacing w:val="-3"/>
          <w:w w:val="100"/>
          <w:sz w:val="21"/>
        </w:rPr>
        <w:t>r</w:t>
      </w:r>
      <w:r>
        <w:rPr>
          <w:w w:val="100"/>
          <w:sz w:val="21"/>
        </w:rPr>
        <w:t>i</w:t>
      </w:r>
      <w:r>
        <w:rPr>
          <w:spacing w:val="-1"/>
          <w:w w:val="95"/>
          <w:sz w:val="21"/>
        </w:rPr>
        <w:t>ne‖</w:t>
      </w:r>
    </w:p>
    <w:p>
      <w:pPr>
        <w:pStyle w:val="ListParagraph"/>
        <w:numPr>
          <w:ilvl w:val="0"/>
          <w:numId w:val="152"/>
        </w:numPr>
        <w:tabs>
          <w:tab w:pos="2190" w:val="left" w:leader="none"/>
        </w:tabs>
        <w:spacing w:line="276" w:lineRule="auto" w:before="0" w:after="0"/>
        <w:ind w:left="1940" w:right="2260" w:firstLine="0"/>
        <w:jc w:val="both"/>
        <w:rPr>
          <w:sz w:val="21"/>
        </w:rPr>
      </w:pPr>
      <w:r>
        <w:rPr>
          <w:sz w:val="21"/>
        </w:rPr>
        <w:t>Shrine could have been a </w:t>
      </w:r>
      <w:r>
        <w:rPr>
          <w:i/>
          <w:sz w:val="21"/>
        </w:rPr>
        <w:t>stupa </w:t>
      </w:r>
      <w:r>
        <w:rPr>
          <w:sz w:val="21"/>
        </w:rPr>
        <w:t>belonging to the 6</w:t>
      </w:r>
      <w:r>
        <w:rPr>
          <w:sz w:val="21"/>
          <w:vertAlign w:val="superscript"/>
        </w:rPr>
        <w:t>th</w:t>
      </w:r>
      <w:r>
        <w:rPr>
          <w:sz w:val="21"/>
          <w:vertAlign w:val="baseline"/>
        </w:rPr>
        <w:t> or 7</w:t>
      </w:r>
      <w:r>
        <w:rPr>
          <w:sz w:val="21"/>
          <w:vertAlign w:val="superscript"/>
        </w:rPr>
        <w:t>th</w:t>
      </w:r>
      <w:r>
        <w:rPr>
          <w:sz w:val="21"/>
          <w:vertAlign w:val="baseline"/>
        </w:rPr>
        <w:t> century</w:t>
      </w:r>
      <w:r>
        <w:rPr>
          <w:spacing w:val="-5"/>
          <w:sz w:val="21"/>
          <w:vertAlign w:val="baseline"/>
        </w:rPr>
        <w:t> </w:t>
      </w:r>
      <w:r>
        <w:rPr>
          <w:sz w:val="21"/>
          <w:vertAlign w:val="baseline"/>
        </w:rPr>
        <w:t>AD.‖</w:t>
      </w:r>
    </w:p>
    <w:p>
      <w:pPr>
        <w:pStyle w:val="BodyText"/>
      </w:pPr>
    </w:p>
    <w:p>
      <w:pPr>
        <w:pStyle w:val="BodyText"/>
        <w:ind w:left="500"/>
      </w:pPr>
      <w:r>
        <w:rPr/>
        <w:t>While rejecting these objections, the High Court recorded the following findings:</w:t>
      </w:r>
    </w:p>
    <w:p>
      <w:pPr>
        <w:pStyle w:val="BodyText"/>
      </w:pPr>
    </w:p>
    <w:p>
      <w:pPr>
        <w:spacing w:line="276" w:lineRule="auto" w:before="0"/>
        <w:ind w:left="1940" w:right="2263" w:firstLine="0"/>
        <w:jc w:val="both"/>
        <w:rPr>
          <w:sz w:val="21"/>
        </w:rPr>
      </w:pPr>
      <w:r>
        <w:rPr>
          <w:w w:val="33"/>
          <w:sz w:val="21"/>
        </w:rPr>
        <w:t>―</w:t>
      </w:r>
      <w:r>
        <w:rPr>
          <w:w w:val="100"/>
          <w:sz w:val="21"/>
        </w:rPr>
        <w:t>3931.</w:t>
      </w:r>
      <w:r>
        <w:rPr>
          <w:sz w:val="21"/>
        </w:rPr>
        <w:t> </w:t>
      </w:r>
      <w:r>
        <w:rPr>
          <w:w w:val="100"/>
          <w:sz w:val="21"/>
        </w:rPr>
        <w:t>'Circular</w:t>
      </w:r>
      <w:r>
        <w:rPr>
          <w:sz w:val="21"/>
        </w:rPr>
        <w:t> </w:t>
      </w:r>
      <w:r>
        <w:rPr>
          <w:w w:val="100"/>
          <w:sz w:val="21"/>
        </w:rPr>
        <w:t>Shrine',</w:t>
      </w:r>
      <w:r>
        <w:rPr>
          <w:sz w:val="21"/>
        </w:rPr>
        <w:t> </w:t>
      </w:r>
      <w:r>
        <w:rPr>
          <w:w w:val="100"/>
          <w:sz w:val="21"/>
        </w:rPr>
        <w:t>more</w:t>
      </w:r>
      <w:r>
        <w:rPr>
          <w:sz w:val="21"/>
        </w:rPr>
        <w:t> </w:t>
      </w:r>
      <w:r>
        <w:rPr>
          <w:w w:val="100"/>
          <w:sz w:val="21"/>
        </w:rPr>
        <w:t>virtually</w:t>
      </w:r>
      <w:r>
        <w:rPr>
          <w:sz w:val="21"/>
        </w:rPr>
        <w:t> </w:t>
      </w:r>
      <w:r>
        <w:rPr>
          <w:w w:val="100"/>
          <w:sz w:val="21"/>
        </w:rPr>
        <w:t>its</w:t>
      </w:r>
      <w:r>
        <w:rPr>
          <w:sz w:val="21"/>
        </w:rPr>
        <w:t> </w:t>
      </w:r>
      <w:r>
        <w:rPr>
          <w:w w:val="100"/>
          <w:sz w:val="21"/>
        </w:rPr>
        <w:t>existence,</w:t>
      </w:r>
      <w:r>
        <w:rPr>
          <w:sz w:val="21"/>
        </w:rPr>
        <w:t> </w:t>
      </w:r>
      <w:r>
        <w:rPr>
          <w:w w:val="100"/>
          <w:sz w:val="21"/>
        </w:rPr>
        <w:t>that</w:t>
      </w:r>
      <w:r>
        <w:rPr>
          <w:sz w:val="21"/>
        </w:rPr>
        <w:t> </w:t>
      </w:r>
      <w:r>
        <w:rPr>
          <w:w w:val="100"/>
          <w:sz w:val="21"/>
        </w:rPr>
        <w:t>was </w:t>
      </w:r>
      <w:r>
        <w:rPr>
          <w:sz w:val="21"/>
        </w:rPr>
        <w:t>found by ASI has been admitted by most of the Experts (Archaeologist) of Muslim parties though a reluctant attempt has been made for diverting the identity by suggesting that it may be a "Buddhist Shrine" or a tomb of erstwhile Islamic religious structure. PW-30 has categorically admitted it on page 15 and has said that his statement in para 14 of the affidavit was not after looking to the shrine at the spot but on the basis of its photo only.</w:t>
      </w:r>
    </w:p>
    <w:p>
      <w:pPr>
        <w:spacing w:line="276" w:lineRule="auto" w:before="0"/>
        <w:ind w:left="1940" w:right="2261" w:firstLine="0"/>
        <w:jc w:val="both"/>
        <w:rPr>
          <w:sz w:val="21"/>
        </w:rPr>
      </w:pPr>
      <w:r>
        <w:rPr>
          <w:sz w:val="21"/>
        </w:rPr>
        <w:t>3935. During excavation at the disputed site between trenches E-8 &amp; F-8 a circular structure of burnt bricks facing east was recovered, commonly termed as "circular shrine", detailed at page 70 to 72 of report, volume 1, and shown in figure 17, 24, 24A, and plates 59, 60 &amp; 62 (volume 2) of the report. The bricks used here are of two sizes: 28x21x5.5 cm and 22x18x5 cm. The bonding material was mud mortar. On its eastern side, there is a rectangular opening, 1.32 m in length and 32.5 cm in width, which was the entrance of the structure. A calcrete block, measuring 70x27x17 cm, has also been found here, fixed, obviously, as the</w:t>
      </w:r>
      <w:r>
        <w:rPr>
          <w:spacing w:val="-12"/>
          <w:sz w:val="21"/>
        </w:rPr>
        <w:t> </w:t>
      </w:r>
      <w:r>
        <w:rPr>
          <w:sz w:val="21"/>
        </w:rPr>
        <w:t>door-sill.</w:t>
      </w:r>
    </w:p>
    <w:p>
      <w:pPr>
        <w:spacing w:line="276" w:lineRule="auto" w:before="0"/>
        <w:ind w:left="1940" w:right="2266" w:firstLine="0"/>
        <w:jc w:val="both"/>
        <w:rPr>
          <w:sz w:val="21"/>
        </w:rPr>
      </w:pPr>
      <w:r>
        <w:rPr>
          <w:sz w:val="21"/>
        </w:rPr>
        <w:t>This was an independent miniature shrine. The architectural features suggest that, that it was a Shiva shrine.</w:t>
      </w:r>
    </w:p>
    <w:p>
      <w:pPr>
        <w:spacing w:line="276" w:lineRule="auto" w:before="2"/>
        <w:ind w:left="1940" w:right="2265" w:firstLine="0"/>
        <w:jc w:val="both"/>
        <w:rPr>
          <w:sz w:val="21"/>
        </w:rPr>
      </w:pPr>
      <w:r>
        <w:rPr>
          <w:sz w:val="21"/>
        </w:rPr>
        <w:t>3939. It is unthinkable that inspite of these clear features of Shiva shrine, the objectors are identifying the same as a Muslim tomb.</w:t>
      </w:r>
    </w:p>
    <w:p>
      <w:pPr>
        <w:spacing w:line="276" w:lineRule="auto" w:before="0"/>
        <w:ind w:left="1940" w:right="2259" w:firstLine="0"/>
        <w:jc w:val="both"/>
        <w:rPr>
          <w:sz w:val="21"/>
        </w:rPr>
      </w:pPr>
      <w:r>
        <w:rPr>
          <w:sz w:val="21"/>
        </w:rPr>
        <w:t>3940. Secondly, it is too small a structure for a tomb, from inside it is only 4.4 ft. square. Neither could it accommodate a grave in its interior, nor a Qiblah-Mihrab on its western wall ; Qiblah was an integral and essential part of tomb-structure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3" w:firstLine="0"/>
        <w:jc w:val="both"/>
        <w:rPr>
          <w:sz w:val="21"/>
        </w:rPr>
      </w:pPr>
      <w:r>
        <w:rPr>
          <w:sz w:val="21"/>
        </w:rPr>
        <w:t>during the Sultanate period (1192-1526 A.D.) as is illustrated by numerous examples all over northern India.</w:t>
      </w:r>
    </w:p>
    <w:p>
      <w:pPr>
        <w:spacing w:line="276" w:lineRule="auto" w:before="0"/>
        <w:ind w:left="1940" w:right="2261" w:firstLine="0"/>
        <w:jc w:val="both"/>
        <w:rPr>
          <w:sz w:val="21"/>
        </w:rPr>
      </w:pPr>
      <w:r>
        <w:rPr>
          <w:sz w:val="21"/>
        </w:rPr>
        <w:t>3941. Thirdly, there is no trace of an arch required for constructing dome over the tomb. There are no hook-shafts to bear and no structural trace to suggest any lateral thrust of the mihrab. It may be noted that the sub-structure of the mihrab is built massively on the edges of the four corners, to counter the lateral thrust. One wonders, if it was a tomb without any arch or dome, and without even a</w:t>
      </w:r>
      <w:r>
        <w:rPr>
          <w:spacing w:val="-17"/>
          <w:sz w:val="21"/>
        </w:rPr>
        <w:t> </w:t>
      </w:r>
      <w:r>
        <w:rPr>
          <w:sz w:val="21"/>
        </w:rPr>
        <w:t>grave?</w:t>
      </w:r>
    </w:p>
    <w:p>
      <w:pPr>
        <w:spacing w:line="276" w:lineRule="auto" w:before="0"/>
        <w:ind w:left="1940" w:right="2263" w:firstLine="0"/>
        <w:jc w:val="both"/>
        <w:rPr>
          <w:sz w:val="21"/>
        </w:rPr>
      </w:pPr>
      <w:r>
        <w:rPr>
          <w:sz w:val="21"/>
        </w:rPr>
        <w:t>3942. Thus, on the one hand the dimension of this structure are too small for a tomb and on the other the gargoyle was never in tombs while it was an integral feature of the sanctum of Shiva temples to drain out water poured on the Sivlinga.</w:t>
      </w:r>
    </w:p>
    <w:p>
      <w:pPr>
        <w:spacing w:line="276" w:lineRule="auto" w:before="1"/>
        <w:ind w:left="1940" w:right="2262" w:firstLine="0"/>
        <w:jc w:val="both"/>
        <w:rPr>
          <w:sz w:val="21"/>
        </w:rPr>
      </w:pPr>
      <w:r>
        <w:rPr>
          <w:sz w:val="21"/>
        </w:rPr>
        <w:t>3943. Shrine is a holy place where worship is performed. It is a structure where holiness is enshrined. Denial for the sake of denial should not be allowed. "No evidence to make this structure a shrine" and "a sheer figment of imagination and a conjecture without any evidentiary basis", such comments grossly lack technical acumen and clearly show the dearth of logical thinking. These themselves are mere arguments lacking "evidentiary basis". These and many like arguments show the 'ostrich attitude' of the plaintiff.</w:t>
      </w:r>
    </w:p>
    <w:p>
      <w:pPr>
        <w:spacing w:line="276" w:lineRule="auto" w:before="1"/>
        <w:ind w:left="1940" w:right="2264" w:firstLine="0"/>
        <w:jc w:val="both"/>
        <w:rPr>
          <w:sz w:val="21"/>
        </w:rPr>
      </w:pPr>
      <w:r>
        <w:rPr>
          <w:sz w:val="21"/>
        </w:rPr>
        <w:t>3952. In the overall view we find no reason to doubt the findings of ASI on this aspect also and the objections otherwise are accordingly rejected.‖</w:t>
      </w:r>
    </w:p>
    <w:p>
      <w:pPr>
        <w:pStyle w:val="BodyText"/>
        <w:rPr>
          <w:sz w:val="24"/>
        </w:rPr>
      </w:pPr>
    </w:p>
    <w:p>
      <w:pPr>
        <w:pStyle w:val="BodyText"/>
        <w:spacing w:before="5"/>
        <w:rPr>
          <w:sz w:val="28"/>
        </w:rPr>
      </w:pPr>
    </w:p>
    <w:p>
      <w:pPr>
        <w:pStyle w:val="BodyText"/>
        <w:spacing w:line="480" w:lineRule="auto" w:before="1"/>
        <w:ind w:left="500" w:right="444"/>
        <w:jc w:val="both"/>
      </w:pPr>
      <w:r>
        <w:rPr/>
        <w:t>Ms Arora, learned Senior Counsel has raised the following objections with respect to the findings in the report on the circular</w:t>
      </w:r>
      <w:r>
        <w:rPr>
          <w:spacing w:val="-5"/>
        </w:rPr>
        <w:t> </w:t>
      </w:r>
      <w:r>
        <w:rPr/>
        <w:t>shrine:</w:t>
      </w:r>
    </w:p>
    <w:p>
      <w:pPr>
        <w:pStyle w:val="ListParagraph"/>
        <w:numPr>
          <w:ilvl w:val="0"/>
          <w:numId w:val="153"/>
        </w:numPr>
        <w:tabs>
          <w:tab w:pos="1581" w:val="left" w:leader="none"/>
        </w:tabs>
        <w:spacing w:line="480" w:lineRule="auto" w:before="160" w:after="0"/>
        <w:ind w:left="1580" w:right="442" w:hanging="720"/>
        <w:jc w:val="both"/>
        <w:rPr>
          <w:sz w:val="25"/>
        </w:rPr>
      </w:pPr>
      <w:r>
        <w:rPr>
          <w:sz w:val="25"/>
        </w:rPr>
        <w:t>The structure pertains to seventh to tenth century A.D. (post Gupta Rajput period) and hence, would have nothing to do with the alleged Ram Janmasthan temple which is of twelfth century</w:t>
      </w:r>
      <w:r>
        <w:rPr>
          <w:spacing w:val="-9"/>
          <w:sz w:val="25"/>
        </w:rPr>
        <w:t> </w:t>
      </w:r>
      <w:r>
        <w:rPr>
          <w:sz w:val="25"/>
        </w:rPr>
        <w:t>A.D.;</w:t>
      </w:r>
    </w:p>
    <w:p>
      <w:pPr>
        <w:pStyle w:val="ListParagraph"/>
        <w:numPr>
          <w:ilvl w:val="0"/>
          <w:numId w:val="153"/>
        </w:numPr>
        <w:tabs>
          <w:tab w:pos="1581" w:val="left" w:leader="none"/>
        </w:tabs>
        <w:spacing w:line="480" w:lineRule="auto" w:before="2" w:after="0"/>
        <w:ind w:left="1580" w:right="437" w:hanging="720"/>
        <w:jc w:val="both"/>
        <w:rPr>
          <w:sz w:val="25"/>
        </w:rPr>
      </w:pPr>
      <w:r>
        <w:rPr>
          <w:sz w:val="25"/>
        </w:rPr>
        <w:t>The excavation report shows pillar bases lying right above the shrine which refutes the claim that the circular shrine belonged to the same time period as that of the twelfth century Hindu structure;</w:t>
      </w:r>
      <w:r>
        <w:rPr>
          <w:spacing w:val="-14"/>
          <w:sz w:val="25"/>
        </w:rPr>
        <w:t> </w:t>
      </w:r>
      <w:r>
        <w:rPr>
          <w:sz w:val="25"/>
        </w:rPr>
        <w:t>and</w:t>
      </w:r>
    </w:p>
    <w:p>
      <w:pPr>
        <w:pStyle w:val="ListParagraph"/>
        <w:numPr>
          <w:ilvl w:val="0"/>
          <w:numId w:val="153"/>
        </w:numPr>
        <w:tabs>
          <w:tab w:pos="1580" w:val="left" w:leader="none"/>
          <w:tab w:pos="1581" w:val="left" w:leader="none"/>
        </w:tabs>
        <w:spacing w:line="286" w:lineRule="exact" w:before="0" w:after="0"/>
        <w:ind w:left="1580" w:right="0" w:hanging="721"/>
        <w:jc w:val="left"/>
        <w:rPr>
          <w:sz w:val="25"/>
        </w:rPr>
      </w:pPr>
      <w:r>
        <w:rPr>
          <w:sz w:val="25"/>
        </w:rPr>
        <w:t>There is no evidence of any water</w:t>
      </w:r>
      <w:r>
        <w:rPr>
          <w:spacing w:val="-10"/>
          <w:sz w:val="25"/>
        </w:rPr>
        <w:t> </w:t>
      </w:r>
      <w:r>
        <w:rPr>
          <w:sz w:val="25"/>
        </w:rPr>
        <w:t>residue.</w:t>
      </w:r>
    </w:p>
    <w:p>
      <w:pPr>
        <w:spacing w:after="0" w:line="286" w:lineRule="exact"/>
        <w:jc w:val="left"/>
        <w:rPr>
          <w:sz w:val="25"/>
        </w:rPr>
        <w:sectPr>
          <w:pgSz w:w="11910" w:h="16840"/>
          <w:pgMar w:header="721" w:footer="1014" w:top="1300" w:bottom="1200" w:left="940" w:right="1000"/>
        </w:sectPr>
      </w:pPr>
    </w:p>
    <w:p>
      <w:pPr>
        <w:pStyle w:val="Heading4"/>
        <w:spacing w:before="126"/>
        <w:jc w:val="left"/>
        <w:rPr>
          <w:i/>
        </w:rPr>
      </w:pPr>
      <w:r>
        <w:rPr>
          <w:i/>
        </w:rPr>
        <w:t>Divine couple and other artefacts</w:t>
      </w:r>
    </w:p>
    <w:p>
      <w:pPr>
        <w:pStyle w:val="BodyText"/>
        <w:rPr>
          <w:i/>
          <w:sz w:val="28"/>
        </w:rPr>
      </w:pPr>
    </w:p>
    <w:p>
      <w:pPr>
        <w:pStyle w:val="BodyText"/>
        <w:spacing w:before="2"/>
        <w:rPr>
          <w:i/>
          <w:sz w:val="28"/>
        </w:rPr>
      </w:pPr>
    </w:p>
    <w:p>
      <w:pPr>
        <w:pStyle w:val="ListParagraph"/>
        <w:numPr>
          <w:ilvl w:val="0"/>
          <w:numId w:val="111"/>
        </w:numPr>
        <w:tabs>
          <w:tab w:pos="1220" w:val="left" w:leader="none"/>
          <w:tab w:pos="1221" w:val="left" w:leader="none"/>
        </w:tabs>
        <w:spacing w:line="240" w:lineRule="auto" w:before="1" w:after="0"/>
        <w:ind w:left="1220" w:right="0" w:hanging="721"/>
        <w:jc w:val="left"/>
        <w:rPr>
          <w:sz w:val="25"/>
        </w:rPr>
      </w:pPr>
      <w:r>
        <w:rPr>
          <w:sz w:val="25"/>
        </w:rPr>
        <w:t>The following objections were placed before the High</w:t>
      </w:r>
      <w:r>
        <w:rPr>
          <w:spacing w:val="-6"/>
          <w:sz w:val="25"/>
        </w:rPr>
        <w:t> </w:t>
      </w:r>
      <w:r>
        <w:rPr>
          <w:sz w:val="25"/>
        </w:rPr>
        <w:t>Court:</w:t>
      </w:r>
    </w:p>
    <w:p>
      <w:pPr>
        <w:pStyle w:val="BodyText"/>
        <w:spacing w:before="9"/>
        <w:rPr>
          <w:sz w:val="38"/>
        </w:rPr>
      </w:pPr>
    </w:p>
    <w:p>
      <w:pPr>
        <w:spacing w:before="0"/>
        <w:ind w:left="1580" w:right="0" w:firstLine="0"/>
        <w:jc w:val="both"/>
        <w:rPr>
          <w:sz w:val="21"/>
        </w:rPr>
      </w:pPr>
      <w:r>
        <w:rPr>
          <w:spacing w:val="-1"/>
          <w:w w:val="33"/>
          <w:sz w:val="21"/>
        </w:rPr>
        <w:t>―</w:t>
      </w:r>
      <w:r>
        <w:rPr>
          <w:w w:val="100"/>
          <w:sz w:val="21"/>
        </w:rPr>
        <w:t>Di</w:t>
      </w:r>
      <w:r>
        <w:rPr>
          <w:spacing w:val="-3"/>
          <w:w w:val="100"/>
          <w:sz w:val="21"/>
        </w:rPr>
        <w:t>v</w:t>
      </w:r>
      <w:r>
        <w:rPr>
          <w:w w:val="100"/>
          <w:sz w:val="21"/>
        </w:rPr>
        <w:t>i</w:t>
      </w:r>
      <w:r>
        <w:rPr>
          <w:spacing w:val="-3"/>
          <w:w w:val="100"/>
          <w:sz w:val="21"/>
        </w:rPr>
        <w:t>n</w:t>
      </w:r>
      <w:r>
        <w:rPr>
          <w:w w:val="100"/>
          <w:sz w:val="21"/>
        </w:rPr>
        <w:t>e</w:t>
      </w:r>
      <w:r>
        <w:rPr>
          <w:spacing w:val="-1"/>
          <w:sz w:val="21"/>
        </w:rPr>
        <w:t> </w:t>
      </w:r>
      <w:r>
        <w:rPr>
          <w:spacing w:val="-2"/>
          <w:w w:val="100"/>
          <w:sz w:val="21"/>
        </w:rPr>
        <w:t>C</w:t>
      </w:r>
      <w:r>
        <w:rPr>
          <w:spacing w:val="-1"/>
          <w:w w:val="100"/>
          <w:sz w:val="21"/>
        </w:rPr>
        <w:t>ou</w:t>
      </w:r>
      <w:r>
        <w:rPr>
          <w:spacing w:val="-2"/>
          <w:w w:val="100"/>
          <w:sz w:val="21"/>
        </w:rPr>
        <w:t>p</w:t>
      </w:r>
      <w:r>
        <w:rPr>
          <w:w w:val="100"/>
          <w:sz w:val="21"/>
        </w:rPr>
        <w:t>l</w:t>
      </w:r>
      <w:r>
        <w:rPr>
          <w:spacing w:val="-1"/>
          <w:w w:val="100"/>
          <w:sz w:val="21"/>
        </w:rPr>
        <w:t>e:</w:t>
      </w:r>
    </w:p>
    <w:p>
      <w:pPr>
        <w:pStyle w:val="ListParagraph"/>
        <w:numPr>
          <w:ilvl w:val="0"/>
          <w:numId w:val="154"/>
        </w:numPr>
        <w:tabs>
          <w:tab w:pos="1941" w:val="left" w:leader="none"/>
        </w:tabs>
        <w:spacing w:line="240" w:lineRule="auto" w:before="37" w:after="0"/>
        <w:ind w:left="1940" w:right="0" w:hanging="361"/>
        <w:jc w:val="both"/>
        <w:rPr>
          <w:sz w:val="21"/>
        </w:rPr>
      </w:pPr>
      <w:r>
        <w:rPr>
          <w:sz w:val="21"/>
        </w:rPr>
        <w:t>Piece so damaged that it is</w:t>
      </w:r>
      <w:r>
        <w:rPr>
          <w:spacing w:val="-9"/>
          <w:sz w:val="21"/>
        </w:rPr>
        <w:t> </w:t>
      </w:r>
      <w:r>
        <w:rPr>
          <w:sz w:val="21"/>
        </w:rPr>
        <w:t>undecipherable.</w:t>
      </w:r>
    </w:p>
    <w:p>
      <w:pPr>
        <w:pStyle w:val="ListParagraph"/>
        <w:numPr>
          <w:ilvl w:val="0"/>
          <w:numId w:val="154"/>
        </w:numPr>
        <w:tabs>
          <w:tab w:pos="1941" w:val="left" w:leader="none"/>
        </w:tabs>
        <w:spacing w:line="276" w:lineRule="auto" w:before="34" w:after="0"/>
        <w:ind w:left="1940" w:right="2265" w:hanging="360"/>
        <w:jc w:val="both"/>
        <w:rPr>
          <w:sz w:val="21"/>
        </w:rPr>
      </w:pPr>
      <w:r>
        <w:rPr>
          <w:w w:val="100"/>
          <w:sz w:val="21"/>
        </w:rPr>
        <w:t>No</w:t>
      </w:r>
      <w:r>
        <w:rPr>
          <w:spacing w:val="27"/>
          <w:sz w:val="21"/>
        </w:rPr>
        <w:t> </w:t>
      </w:r>
      <w:r>
        <w:rPr>
          <w:spacing w:val="-4"/>
          <w:w w:val="100"/>
          <w:sz w:val="21"/>
        </w:rPr>
        <w:t>r</w:t>
      </w:r>
      <w:r>
        <w:rPr>
          <w:spacing w:val="-1"/>
          <w:w w:val="100"/>
          <w:sz w:val="21"/>
        </w:rPr>
        <w:t>ea</w:t>
      </w:r>
      <w:r>
        <w:rPr>
          <w:spacing w:val="-3"/>
          <w:w w:val="100"/>
          <w:sz w:val="21"/>
        </w:rPr>
        <w:t>s</w:t>
      </w:r>
      <w:r>
        <w:rPr>
          <w:spacing w:val="-1"/>
          <w:w w:val="100"/>
          <w:sz w:val="21"/>
        </w:rPr>
        <w:t>o</w:t>
      </w:r>
      <w:r>
        <w:rPr>
          <w:w w:val="100"/>
          <w:sz w:val="21"/>
        </w:rPr>
        <w:t>n</w:t>
      </w:r>
      <w:r>
        <w:rPr>
          <w:spacing w:val="25"/>
          <w:sz w:val="21"/>
        </w:rPr>
        <w:t> </w:t>
      </w:r>
      <w:r>
        <w:rPr>
          <w:spacing w:val="1"/>
          <w:w w:val="100"/>
          <w:sz w:val="21"/>
        </w:rPr>
        <w:t>f</w:t>
      </w:r>
      <w:r>
        <w:rPr>
          <w:spacing w:val="-1"/>
          <w:w w:val="100"/>
          <w:sz w:val="21"/>
        </w:rPr>
        <w:t>o</w:t>
      </w:r>
      <w:r>
        <w:rPr>
          <w:w w:val="100"/>
          <w:sz w:val="21"/>
        </w:rPr>
        <w:t>r</w:t>
      </w:r>
      <w:r>
        <w:rPr>
          <w:spacing w:val="24"/>
          <w:sz w:val="21"/>
        </w:rPr>
        <w:t> </w:t>
      </w:r>
      <w:r>
        <w:rPr>
          <w:w w:val="100"/>
          <w:sz w:val="21"/>
        </w:rPr>
        <w:t>ca</w:t>
      </w:r>
      <w:r>
        <w:rPr>
          <w:spacing w:val="-2"/>
          <w:w w:val="100"/>
          <w:sz w:val="21"/>
        </w:rPr>
        <w:t>ll</w:t>
      </w:r>
      <w:r>
        <w:rPr>
          <w:w w:val="100"/>
          <w:sz w:val="21"/>
        </w:rPr>
        <w:t>i</w:t>
      </w:r>
      <w:r>
        <w:rPr>
          <w:spacing w:val="-1"/>
          <w:w w:val="100"/>
          <w:sz w:val="21"/>
        </w:rPr>
        <w:t>n</w:t>
      </w:r>
      <w:r>
        <w:rPr>
          <w:w w:val="100"/>
          <w:sz w:val="21"/>
        </w:rPr>
        <w:t>g</w:t>
      </w:r>
      <w:r>
        <w:rPr>
          <w:spacing w:val="25"/>
          <w:sz w:val="21"/>
        </w:rPr>
        <w:t> </w:t>
      </w:r>
      <w:r>
        <w:rPr>
          <w:w w:val="100"/>
          <w:sz w:val="21"/>
        </w:rPr>
        <w:t>it</w:t>
      </w:r>
      <w:r>
        <w:rPr>
          <w:spacing w:val="26"/>
          <w:sz w:val="21"/>
        </w:rPr>
        <w:t> </w:t>
      </w:r>
      <w:r>
        <w:rPr>
          <w:spacing w:val="-4"/>
          <w:w w:val="33"/>
          <w:sz w:val="21"/>
        </w:rPr>
        <w:t>―</w:t>
      </w:r>
      <w:r>
        <w:rPr>
          <w:spacing w:val="-1"/>
          <w:w w:val="100"/>
          <w:sz w:val="21"/>
        </w:rPr>
        <w:t>d</w:t>
      </w:r>
      <w:r>
        <w:rPr>
          <w:spacing w:val="1"/>
          <w:w w:val="100"/>
          <w:sz w:val="21"/>
        </w:rPr>
        <w:t>i</w:t>
      </w:r>
      <w:r>
        <w:rPr>
          <w:spacing w:val="-3"/>
          <w:w w:val="100"/>
          <w:sz w:val="21"/>
        </w:rPr>
        <w:t>v</w:t>
      </w:r>
      <w:r>
        <w:rPr>
          <w:w w:val="100"/>
          <w:sz w:val="21"/>
        </w:rPr>
        <w:t>i</w:t>
      </w:r>
      <w:r>
        <w:rPr>
          <w:spacing w:val="-1"/>
          <w:w w:val="95"/>
          <w:sz w:val="21"/>
        </w:rPr>
        <w:t>ne</w:t>
      </w:r>
      <w:r>
        <w:rPr>
          <w:w w:val="95"/>
          <w:sz w:val="21"/>
        </w:rPr>
        <w:t>‖</w:t>
      </w:r>
      <w:r>
        <w:rPr>
          <w:spacing w:val="25"/>
          <w:sz w:val="21"/>
        </w:rPr>
        <w:t> </w:t>
      </w:r>
      <w:r>
        <w:rPr>
          <w:spacing w:val="-1"/>
          <w:w w:val="100"/>
          <w:sz w:val="21"/>
        </w:rPr>
        <w:t>g</w:t>
      </w:r>
      <w:r>
        <w:rPr>
          <w:spacing w:val="1"/>
          <w:w w:val="100"/>
          <w:sz w:val="21"/>
        </w:rPr>
        <w:t>i</w:t>
      </w:r>
      <w:r>
        <w:rPr>
          <w:spacing w:val="-3"/>
          <w:w w:val="100"/>
          <w:sz w:val="21"/>
        </w:rPr>
        <w:t>v</w:t>
      </w:r>
      <w:r>
        <w:rPr>
          <w:spacing w:val="-1"/>
          <w:w w:val="100"/>
          <w:sz w:val="21"/>
        </w:rPr>
        <w:t>en</w:t>
      </w:r>
      <w:r>
        <w:rPr>
          <w:w w:val="100"/>
          <w:sz w:val="21"/>
        </w:rPr>
        <w:t>.</w:t>
      </w:r>
      <w:r>
        <w:rPr>
          <w:spacing w:val="24"/>
          <w:sz w:val="21"/>
        </w:rPr>
        <w:t> </w:t>
      </w:r>
      <w:r>
        <w:rPr>
          <w:w w:val="100"/>
          <w:sz w:val="21"/>
        </w:rPr>
        <w:t>P</w:t>
      </w:r>
      <w:r>
        <w:rPr>
          <w:spacing w:val="-2"/>
          <w:w w:val="100"/>
          <w:sz w:val="21"/>
        </w:rPr>
        <w:t>i</w:t>
      </w:r>
      <w:r>
        <w:rPr>
          <w:spacing w:val="-1"/>
          <w:w w:val="100"/>
          <w:sz w:val="21"/>
        </w:rPr>
        <w:t>ec</w:t>
      </w:r>
      <w:r>
        <w:rPr>
          <w:w w:val="100"/>
          <w:sz w:val="21"/>
        </w:rPr>
        <w:t>e</w:t>
      </w:r>
      <w:r>
        <w:rPr>
          <w:spacing w:val="25"/>
          <w:sz w:val="21"/>
        </w:rPr>
        <w:t> </w:t>
      </w:r>
      <w:r>
        <w:rPr>
          <w:spacing w:val="-2"/>
          <w:w w:val="100"/>
          <w:sz w:val="21"/>
        </w:rPr>
        <w:t>f</w:t>
      </w:r>
      <w:r>
        <w:rPr>
          <w:spacing w:val="-1"/>
          <w:w w:val="100"/>
          <w:sz w:val="21"/>
        </w:rPr>
        <w:t>ou</w:t>
      </w:r>
      <w:r>
        <w:rPr>
          <w:spacing w:val="-2"/>
          <w:w w:val="100"/>
          <w:sz w:val="21"/>
        </w:rPr>
        <w:t>n</w:t>
      </w:r>
      <w:r>
        <w:rPr>
          <w:w w:val="100"/>
          <w:sz w:val="21"/>
        </w:rPr>
        <w:t>d</w:t>
      </w:r>
      <w:r>
        <w:rPr>
          <w:spacing w:val="27"/>
          <w:sz w:val="21"/>
        </w:rPr>
        <w:t> </w:t>
      </w:r>
      <w:r>
        <w:rPr>
          <w:spacing w:val="-2"/>
          <w:w w:val="100"/>
          <w:sz w:val="21"/>
        </w:rPr>
        <w:t>i</w:t>
      </w:r>
      <w:r>
        <w:rPr>
          <w:w w:val="100"/>
          <w:sz w:val="21"/>
        </w:rPr>
        <w:t>n</w:t>
      </w:r>
      <w:r>
        <w:rPr>
          <w:spacing w:val="27"/>
          <w:sz w:val="21"/>
        </w:rPr>
        <w:t> </w:t>
      </w:r>
      <w:r>
        <w:rPr>
          <w:spacing w:val="-2"/>
          <w:w w:val="100"/>
          <w:sz w:val="21"/>
        </w:rPr>
        <w:t>t</w:t>
      </w:r>
      <w:r>
        <w:rPr>
          <w:spacing w:val="-1"/>
          <w:w w:val="100"/>
          <w:sz w:val="21"/>
        </w:rPr>
        <w:t>ren</w:t>
      </w:r>
      <w:r>
        <w:rPr>
          <w:spacing w:val="-3"/>
          <w:w w:val="100"/>
          <w:sz w:val="21"/>
        </w:rPr>
        <w:t>c</w:t>
      </w:r>
      <w:r>
        <w:rPr>
          <w:w w:val="100"/>
          <w:sz w:val="21"/>
        </w:rPr>
        <w:t>h </w:t>
      </w:r>
      <w:r>
        <w:rPr>
          <w:w w:val="100"/>
          <w:sz w:val="21"/>
        </w:rPr>
        <w:t>K3</w:t>
      </w:r>
      <w:r>
        <w:rPr>
          <w:spacing w:val="-1"/>
          <w:w w:val="100"/>
          <w:sz w:val="21"/>
        </w:rPr>
        <w:t>-</w:t>
      </w:r>
      <w:r>
        <w:rPr>
          <w:spacing w:val="-2"/>
          <w:w w:val="100"/>
          <w:sz w:val="21"/>
        </w:rPr>
        <w:t>K</w:t>
      </w:r>
      <w:r>
        <w:rPr>
          <w:w w:val="100"/>
          <w:sz w:val="21"/>
        </w:rPr>
        <w:t>4</w:t>
      </w:r>
      <w:r>
        <w:rPr>
          <w:spacing w:val="1"/>
          <w:sz w:val="21"/>
        </w:rPr>
        <w:t> </w:t>
      </w:r>
      <w:r>
        <w:rPr>
          <w:spacing w:val="-1"/>
          <w:w w:val="100"/>
          <w:sz w:val="21"/>
        </w:rPr>
        <w:t>an</w:t>
      </w:r>
      <w:r>
        <w:rPr>
          <w:w w:val="100"/>
          <w:sz w:val="21"/>
        </w:rPr>
        <w:t>d</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reco</w:t>
      </w:r>
      <w:r>
        <w:rPr>
          <w:spacing w:val="-3"/>
          <w:w w:val="100"/>
          <w:sz w:val="21"/>
        </w:rPr>
        <w:t>r</w:t>
      </w:r>
      <w:r>
        <w:rPr>
          <w:spacing w:val="-1"/>
          <w:w w:val="100"/>
          <w:sz w:val="21"/>
        </w:rPr>
        <w:t>de</w:t>
      </w:r>
      <w:r>
        <w:rPr>
          <w:w w:val="100"/>
          <w:sz w:val="21"/>
        </w:rPr>
        <w:t>d</w:t>
      </w:r>
      <w:r>
        <w:rPr>
          <w:spacing w:val="1"/>
          <w:sz w:val="21"/>
        </w:rPr>
        <w:t> </w:t>
      </w:r>
      <w:r>
        <w:rPr>
          <w:spacing w:val="-2"/>
          <w:w w:val="100"/>
          <w:sz w:val="21"/>
        </w:rPr>
        <w:t>l</w:t>
      </w:r>
      <w:r>
        <w:rPr>
          <w:spacing w:val="-1"/>
          <w:w w:val="100"/>
          <w:sz w:val="21"/>
        </w:rPr>
        <w:t>a</w:t>
      </w:r>
      <w:r>
        <w:rPr>
          <w:spacing w:val="-3"/>
          <w:w w:val="100"/>
          <w:sz w:val="21"/>
        </w:rPr>
        <w:t>y</w:t>
      </w:r>
      <w:r>
        <w:rPr>
          <w:spacing w:val="-1"/>
          <w:w w:val="100"/>
          <w:sz w:val="21"/>
        </w:rPr>
        <w:t>e</w:t>
      </w:r>
      <w:r>
        <w:rPr>
          <w:w w:val="100"/>
          <w:sz w:val="21"/>
        </w:rPr>
        <w:t>r</w:t>
      </w:r>
      <w:r>
        <w:rPr>
          <w:spacing w:val="3"/>
          <w:sz w:val="21"/>
        </w:rPr>
        <w:t> </w:t>
      </w:r>
      <w:r>
        <w:rPr>
          <w:w w:val="100"/>
          <w:sz w:val="21"/>
        </w:rPr>
        <w:t>is</w:t>
      </w:r>
      <w:r>
        <w:rPr>
          <w:spacing w:val="1"/>
          <w:sz w:val="21"/>
        </w:rPr>
        <w:t> </w:t>
      </w:r>
      <w:r>
        <w:rPr>
          <w:spacing w:val="-1"/>
          <w:w w:val="33"/>
          <w:sz w:val="21"/>
        </w:rPr>
        <w:t>―</w:t>
      </w:r>
      <w:r>
        <w:rPr>
          <w:spacing w:val="-1"/>
          <w:w w:val="100"/>
          <w:sz w:val="21"/>
        </w:rPr>
        <w:t>deb</w:t>
      </w:r>
      <w:r>
        <w:rPr>
          <w:spacing w:val="-3"/>
          <w:w w:val="100"/>
          <w:sz w:val="21"/>
        </w:rPr>
        <w:t>r</w:t>
      </w:r>
      <w:r>
        <w:rPr>
          <w:w w:val="100"/>
          <w:sz w:val="21"/>
        </w:rPr>
        <w:t>i</w:t>
      </w:r>
      <w:r>
        <w:rPr>
          <w:w w:val="91"/>
          <w:sz w:val="21"/>
        </w:rPr>
        <w:t>s</w:t>
      </w:r>
      <w:r>
        <w:rPr>
          <w:spacing w:val="-1"/>
          <w:w w:val="91"/>
          <w:sz w:val="21"/>
        </w:rPr>
        <w:t>‖</w:t>
      </w:r>
      <w:r>
        <w:rPr>
          <w:w w:val="100"/>
          <w:sz w:val="21"/>
        </w:rPr>
        <w:t>.</w:t>
      </w:r>
      <w:r>
        <w:rPr>
          <w:sz w:val="21"/>
        </w:rPr>
        <w:t> </w:t>
      </w:r>
      <w:r>
        <w:rPr>
          <w:w w:val="100"/>
          <w:sz w:val="21"/>
        </w:rPr>
        <w:t>Th</w:t>
      </w:r>
      <w:r>
        <w:rPr>
          <w:spacing w:val="-3"/>
          <w:w w:val="100"/>
          <w:sz w:val="21"/>
        </w:rPr>
        <w:t>u</w:t>
      </w:r>
      <w:r>
        <w:rPr>
          <w:w w:val="100"/>
          <w:sz w:val="21"/>
        </w:rPr>
        <w:t>s</w:t>
      </w:r>
      <w:r>
        <w:rPr>
          <w:spacing w:val="3"/>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p</w:t>
      </w:r>
      <w:r>
        <w:rPr>
          <w:spacing w:val="1"/>
          <w:w w:val="100"/>
          <w:sz w:val="21"/>
        </w:rPr>
        <w:t>i</w:t>
      </w:r>
      <w:r>
        <w:rPr>
          <w:spacing w:val="-1"/>
          <w:w w:val="100"/>
          <w:sz w:val="21"/>
        </w:rPr>
        <w:t>e</w:t>
      </w:r>
      <w:r>
        <w:rPr>
          <w:spacing w:val="-3"/>
          <w:w w:val="100"/>
          <w:sz w:val="21"/>
        </w:rPr>
        <w:t>c</w:t>
      </w:r>
      <w:r>
        <w:rPr>
          <w:w w:val="100"/>
          <w:sz w:val="21"/>
        </w:rPr>
        <w:t>e</w:t>
      </w:r>
      <w:r>
        <w:rPr>
          <w:spacing w:val="1"/>
          <w:sz w:val="21"/>
        </w:rPr>
        <w:t> </w:t>
      </w:r>
      <w:r>
        <w:rPr>
          <w:spacing w:val="-1"/>
          <w:w w:val="100"/>
          <w:sz w:val="21"/>
        </w:rPr>
        <w:t>do</w:t>
      </w:r>
      <w:r>
        <w:rPr>
          <w:spacing w:val="-2"/>
          <w:w w:val="100"/>
          <w:sz w:val="21"/>
        </w:rPr>
        <w:t>e</w:t>
      </w:r>
      <w:r>
        <w:rPr>
          <w:w w:val="100"/>
          <w:sz w:val="21"/>
        </w:rPr>
        <w:t>s </w:t>
      </w:r>
      <w:r>
        <w:rPr>
          <w:sz w:val="21"/>
        </w:rPr>
        <w:t>not come from a stratified</w:t>
      </w:r>
      <w:r>
        <w:rPr>
          <w:spacing w:val="-5"/>
          <w:sz w:val="21"/>
        </w:rPr>
        <w:t> </w:t>
      </w:r>
      <w:r>
        <w:rPr>
          <w:sz w:val="21"/>
        </w:rPr>
        <w:t>context.</w:t>
      </w:r>
    </w:p>
    <w:p>
      <w:pPr>
        <w:pStyle w:val="ListParagraph"/>
        <w:numPr>
          <w:ilvl w:val="0"/>
          <w:numId w:val="154"/>
        </w:numPr>
        <w:tabs>
          <w:tab w:pos="1941" w:val="left" w:leader="none"/>
        </w:tabs>
        <w:spacing w:line="276" w:lineRule="auto" w:before="2" w:after="0"/>
        <w:ind w:left="1940" w:right="2263" w:hanging="360"/>
        <w:jc w:val="both"/>
        <w:rPr>
          <w:sz w:val="21"/>
        </w:rPr>
      </w:pPr>
      <w:r>
        <w:rPr>
          <w:sz w:val="21"/>
        </w:rPr>
        <w:t>Octagonal Shaft: Comes from surface debris above topmost floor (Floor 1) in Trench F3 (Pl. 140) – is of no</w:t>
      </w:r>
      <w:r>
        <w:rPr>
          <w:spacing w:val="-15"/>
          <w:sz w:val="21"/>
        </w:rPr>
        <w:t> </w:t>
      </w:r>
      <w:r>
        <w:rPr>
          <w:sz w:val="21"/>
        </w:rPr>
        <w:t>relevance.</w:t>
      </w:r>
    </w:p>
    <w:p>
      <w:pPr>
        <w:pStyle w:val="ListParagraph"/>
        <w:numPr>
          <w:ilvl w:val="0"/>
          <w:numId w:val="154"/>
        </w:numPr>
        <w:tabs>
          <w:tab w:pos="1941" w:val="left" w:leader="none"/>
        </w:tabs>
        <w:spacing w:line="276" w:lineRule="auto" w:before="0" w:after="0"/>
        <w:ind w:left="1940" w:right="2263" w:hanging="360"/>
        <w:jc w:val="both"/>
        <w:rPr>
          <w:sz w:val="21"/>
        </w:rPr>
      </w:pPr>
      <w:r>
        <w:rPr>
          <w:sz w:val="21"/>
        </w:rPr>
        <w:t>Others: Out of 383 architectural fragments only 40 came from stratified contexts. Out of these 40, none were specific to a temple, the 8 fragments separately mentioned (doorjamb, amlaka, divine couple, srivatsa motif, lotus medallion etc.) are of no significance. For example Srivatsa design is associated with Jainism, lotus design could be Buddhist or</w:t>
      </w:r>
      <w:r>
        <w:rPr>
          <w:spacing w:val="-27"/>
          <w:sz w:val="21"/>
        </w:rPr>
        <w:t> </w:t>
      </w:r>
      <w:r>
        <w:rPr>
          <w:sz w:val="21"/>
        </w:rPr>
        <w:t>Muslim.‖</w:t>
      </w:r>
    </w:p>
    <w:p>
      <w:pPr>
        <w:pStyle w:val="BodyText"/>
        <w:rPr>
          <w:sz w:val="24"/>
        </w:rPr>
      </w:pPr>
    </w:p>
    <w:p>
      <w:pPr>
        <w:pStyle w:val="BodyText"/>
        <w:spacing w:before="7"/>
        <w:rPr>
          <w:sz w:val="28"/>
        </w:rPr>
      </w:pPr>
    </w:p>
    <w:p>
      <w:pPr>
        <w:pStyle w:val="BodyText"/>
        <w:ind w:left="500"/>
      </w:pPr>
      <w:r>
        <w:rPr/>
        <w:t>The High Court rejected the above objections. Justice Sudhir Agarwal held:</w:t>
      </w:r>
    </w:p>
    <w:p>
      <w:pPr>
        <w:pStyle w:val="BodyText"/>
        <w:spacing w:before="9"/>
        <w:rPr>
          <w:sz w:val="24"/>
        </w:rPr>
      </w:pPr>
    </w:p>
    <w:p>
      <w:pPr>
        <w:spacing w:line="276" w:lineRule="auto" w:before="0"/>
        <w:ind w:left="1940" w:right="2261" w:firstLine="0"/>
        <w:jc w:val="both"/>
        <w:rPr>
          <w:sz w:val="21"/>
        </w:rPr>
      </w:pPr>
      <w:r>
        <w:rPr>
          <w:spacing w:val="-1"/>
          <w:w w:val="33"/>
          <w:sz w:val="21"/>
        </w:rPr>
        <w:t>―</w:t>
      </w:r>
      <w:r>
        <w:rPr>
          <w:spacing w:val="-1"/>
          <w:w w:val="100"/>
          <w:sz w:val="21"/>
        </w:rPr>
        <w:t>395</w:t>
      </w:r>
      <w:r>
        <w:rPr>
          <w:w w:val="100"/>
          <w:sz w:val="21"/>
        </w:rPr>
        <w:t>8.</w:t>
      </w:r>
      <w:r>
        <w:rPr>
          <w:sz w:val="21"/>
        </w:rPr>
        <w:t> </w:t>
      </w:r>
      <w:r>
        <w:rPr>
          <w:spacing w:val="-18"/>
          <w:sz w:val="21"/>
        </w:rPr>
        <w:t> </w:t>
      </w:r>
      <w:r>
        <w:rPr>
          <w:w w:val="100"/>
          <w:sz w:val="21"/>
        </w:rPr>
        <w:t>The</w:t>
      </w:r>
      <w:r>
        <w:rPr>
          <w:sz w:val="21"/>
        </w:rPr>
        <w:t> </w:t>
      </w:r>
      <w:r>
        <w:rPr>
          <w:spacing w:val="-16"/>
          <w:sz w:val="21"/>
        </w:rPr>
        <w:t> </w:t>
      </w:r>
      <w:r>
        <w:rPr>
          <w:spacing w:val="-2"/>
          <w:w w:val="100"/>
          <w:sz w:val="21"/>
        </w:rPr>
        <w:t>i</w:t>
      </w:r>
      <w:r>
        <w:rPr>
          <w:spacing w:val="-1"/>
          <w:w w:val="100"/>
          <w:sz w:val="21"/>
        </w:rPr>
        <w:t>den</w:t>
      </w:r>
      <w:r>
        <w:rPr>
          <w:spacing w:val="-3"/>
          <w:w w:val="100"/>
          <w:sz w:val="21"/>
        </w:rPr>
        <w:t>t</w:t>
      </w:r>
      <w:r>
        <w:rPr>
          <w:w w:val="100"/>
          <w:sz w:val="21"/>
        </w:rPr>
        <w:t>i</w:t>
      </w:r>
      <w:r>
        <w:rPr>
          <w:spacing w:val="-2"/>
          <w:w w:val="100"/>
          <w:sz w:val="21"/>
        </w:rPr>
        <w:t>f</w:t>
      </w:r>
      <w:r>
        <w:rPr>
          <w:w w:val="100"/>
          <w:sz w:val="21"/>
        </w:rPr>
        <w:t>ica</w:t>
      </w:r>
      <w:r>
        <w:rPr>
          <w:spacing w:val="-4"/>
          <w:w w:val="100"/>
          <w:sz w:val="21"/>
        </w:rPr>
        <w:t>t</w:t>
      </w:r>
      <w:r>
        <w:rPr>
          <w:w w:val="100"/>
          <w:sz w:val="21"/>
        </w:rPr>
        <w:t>i</w:t>
      </w:r>
      <w:r>
        <w:rPr>
          <w:spacing w:val="-1"/>
          <w:w w:val="100"/>
          <w:sz w:val="21"/>
        </w:rPr>
        <w:t>o</w:t>
      </w:r>
      <w:r>
        <w:rPr>
          <w:w w:val="100"/>
          <w:sz w:val="21"/>
        </w:rPr>
        <w:t>n</w:t>
      </w:r>
      <w:r>
        <w:rPr>
          <w:sz w:val="21"/>
        </w:rPr>
        <w:t> </w:t>
      </w:r>
      <w:r>
        <w:rPr>
          <w:spacing w:val="-19"/>
          <w:sz w:val="21"/>
        </w:rPr>
        <w:t> </w:t>
      </w:r>
      <w:r>
        <w:rPr>
          <w:spacing w:val="-1"/>
          <w:w w:val="100"/>
          <w:sz w:val="21"/>
        </w:rPr>
        <w:t>an</w:t>
      </w:r>
      <w:r>
        <w:rPr>
          <w:w w:val="100"/>
          <w:sz w:val="21"/>
        </w:rPr>
        <w:t>d</w:t>
      </w:r>
      <w:r>
        <w:rPr>
          <w:sz w:val="21"/>
        </w:rPr>
        <w:t> </w:t>
      </w:r>
      <w:r>
        <w:rPr>
          <w:spacing w:val="-16"/>
          <w:sz w:val="21"/>
        </w:rPr>
        <w:t> </w:t>
      </w:r>
      <w:r>
        <w:rPr>
          <w:spacing w:val="-1"/>
          <w:w w:val="100"/>
          <w:sz w:val="21"/>
        </w:rPr>
        <w:t>app</w:t>
      </w:r>
      <w:r>
        <w:rPr>
          <w:spacing w:val="-3"/>
          <w:w w:val="100"/>
          <w:sz w:val="21"/>
        </w:rPr>
        <w:t>r</w:t>
      </w:r>
      <w:r>
        <w:rPr>
          <w:spacing w:val="-1"/>
          <w:w w:val="100"/>
          <w:sz w:val="21"/>
        </w:rPr>
        <w:t>ec</w:t>
      </w:r>
      <w:r>
        <w:rPr>
          <w:spacing w:val="-2"/>
          <w:w w:val="100"/>
          <w:sz w:val="21"/>
        </w:rPr>
        <w:t>i</w:t>
      </w:r>
      <w:r>
        <w:rPr>
          <w:spacing w:val="-1"/>
          <w:w w:val="100"/>
          <w:sz w:val="21"/>
        </w:rPr>
        <w:t>at</w:t>
      </w:r>
      <w:r>
        <w:rPr>
          <w:w w:val="100"/>
          <w:sz w:val="21"/>
        </w:rPr>
        <w:t>i</w:t>
      </w:r>
      <w:r>
        <w:rPr>
          <w:spacing w:val="-3"/>
          <w:w w:val="100"/>
          <w:sz w:val="21"/>
        </w:rPr>
        <w:t>o</w:t>
      </w:r>
      <w:r>
        <w:rPr>
          <w:w w:val="100"/>
          <w:sz w:val="21"/>
        </w:rPr>
        <w:t>n</w:t>
      </w:r>
      <w:r>
        <w:rPr>
          <w:sz w:val="21"/>
        </w:rPr>
        <w:t> </w:t>
      </w:r>
      <w:r>
        <w:rPr>
          <w:spacing w:val="-14"/>
          <w:sz w:val="21"/>
        </w:rPr>
        <w:t> </w:t>
      </w:r>
      <w:r>
        <w:rPr>
          <w:spacing w:val="-3"/>
          <w:w w:val="100"/>
          <w:sz w:val="21"/>
        </w:rPr>
        <w:t>o</w:t>
      </w:r>
      <w:r>
        <w:rPr>
          <w:w w:val="100"/>
          <w:sz w:val="21"/>
        </w:rPr>
        <w:t>f</w:t>
      </w:r>
      <w:r>
        <w:rPr>
          <w:sz w:val="21"/>
        </w:rPr>
        <w:t> </w:t>
      </w:r>
      <w:r>
        <w:rPr>
          <w:spacing w:val="-13"/>
          <w:sz w:val="21"/>
        </w:rPr>
        <w:t> </w:t>
      </w:r>
      <w:r>
        <w:rPr>
          <w:spacing w:val="-2"/>
          <w:w w:val="100"/>
          <w:sz w:val="21"/>
        </w:rPr>
        <w:t>t</w:t>
      </w:r>
      <w:r>
        <w:rPr>
          <w:spacing w:val="-3"/>
          <w:w w:val="100"/>
          <w:sz w:val="21"/>
        </w:rPr>
        <w:t>h</w:t>
      </w:r>
      <w:r>
        <w:rPr>
          <w:w w:val="100"/>
          <w:sz w:val="21"/>
        </w:rPr>
        <w:t>e</w:t>
      </w:r>
      <w:r>
        <w:rPr>
          <w:sz w:val="21"/>
        </w:rPr>
        <w:t> </w:t>
      </w:r>
      <w:r>
        <w:rPr>
          <w:spacing w:val="-17"/>
          <w:sz w:val="21"/>
        </w:rPr>
        <w:t> </w:t>
      </w:r>
      <w:r>
        <w:rPr>
          <w:spacing w:val="-1"/>
          <w:w w:val="100"/>
          <w:sz w:val="21"/>
        </w:rPr>
        <w:t>exca</w:t>
      </w:r>
      <w:r>
        <w:rPr>
          <w:spacing w:val="-3"/>
          <w:w w:val="100"/>
          <w:sz w:val="21"/>
        </w:rPr>
        <w:t>v</w:t>
      </w:r>
      <w:r>
        <w:rPr>
          <w:spacing w:val="-1"/>
          <w:w w:val="100"/>
          <w:sz w:val="21"/>
        </w:rPr>
        <w:t>ated </w:t>
      </w:r>
      <w:r>
        <w:rPr>
          <w:sz w:val="21"/>
        </w:rPr>
        <w:t>material like human or animal figurines etc. is a matter of experts. None of these eight experts (Archaeologists of Muslim parties) claimed to be the experts in this… branch in Archaeology. Even otherwise their stand in respect to these finds is varying. One witness says that these finds were not at all recovered from the layers they are claimed while others say otherwise. </w:t>
      </w:r>
      <w:r>
        <w:rPr>
          <w:spacing w:val="3"/>
          <w:sz w:val="21"/>
        </w:rPr>
        <w:t>We </w:t>
      </w:r>
      <w:r>
        <w:rPr>
          <w:sz w:val="21"/>
        </w:rPr>
        <w:t>have seen photographs of many of such artifacts and finds and in generality there is no such inherent lacuna or perversity in the observations of ASI or other identification which may warrant any… comment from this Court or may vitiate their report. It is not in dispute that no Islamic religious artefacts have been found during excavation while the artifacts relating to Hindu religious nature were in abundance. For some of the items, it is claimed that it can also be used by non-Hindu people but that would not be sufficient to doubt the opinion of ASI. Plate No.50 (Kapotpalli), Plates No.51 and 62 (floral motifs shown in walls 16 and 17), (Sravats) Plate No.88, Cobra hood (Nag Devta) Plate No.129 and various other Gods and Goddesses in human shape (Plate Nos. 104, 105, 106, 107, 108, 109, 110, 111, 112,</w:t>
      </w:r>
      <w:r>
        <w:rPr>
          <w:spacing w:val="41"/>
          <w:sz w:val="21"/>
        </w:rPr>
        <w:t> </w:t>
      </w:r>
      <w:r>
        <w:rPr>
          <w:sz w:val="21"/>
        </w:rPr>
        <w:t>114,</w:t>
      </w:r>
    </w:p>
    <w:p>
      <w:pPr>
        <w:spacing w:before="2"/>
        <w:ind w:left="1940" w:right="0" w:firstLine="0"/>
        <w:jc w:val="both"/>
        <w:rPr>
          <w:sz w:val="21"/>
        </w:rPr>
      </w:pPr>
      <w:r>
        <w:rPr>
          <w:sz w:val="21"/>
        </w:rPr>
        <w:t>115, 116, 118, 119, 120, 121, 122, 123, 125, 126) to our</w:t>
      </w:r>
      <w:r>
        <w:rPr>
          <w:spacing w:val="11"/>
          <w:sz w:val="21"/>
        </w:rPr>
        <w:t> </w:t>
      </w:r>
      <w:r>
        <w:rPr>
          <w:sz w:val="21"/>
        </w:rPr>
        <w:t>mind</w:t>
      </w:r>
    </w:p>
    <w:p>
      <w:pPr>
        <w:spacing w:line="276" w:lineRule="auto" w:before="36"/>
        <w:ind w:left="1940" w:right="2264" w:firstLine="0"/>
        <w:jc w:val="both"/>
        <w:rPr>
          <w:sz w:val="21"/>
        </w:rPr>
      </w:pPr>
      <w:r>
        <w:rPr>
          <w:sz w:val="21"/>
        </w:rPr>
        <w:t>were quite clear and admits no doubt. Three witnesses namely</w:t>
      </w:r>
      <w:r>
        <w:rPr>
          <w:spacing w:val="13"/>
          <w:sz w:val="21"/>
        </w:rPr>
        <w:t> </w:t>
      </w:r>
      <w:r>
        <w:rPr>
          <w:sz w:val="21"/>
        </w:rPr>
        <w:t>Sri</w:t>
      </w:r>
      <w:r>
        <w:rPr>
          <w:spacing w:val="17"/>
          <w:sz w:val="21"/>
        </w:rPr>
        <w:t> </w:t>
      </w:r>
      <w:r>
        <w:rPr>
          <w:sz w:val="21"/>
        </w:rPr>
        <w:t>Arun</w:t>
      </w:r>
      <w:r>
        <w:rPr>
          <w:spacing w:val="14"/>
          <w:sz w:val="21"/>
        </w:rPr>
        <w:t> </w:t>
      </w:r>
      <w:r>
        <w:rPr>
          <w:sz w:val="21"/>
        </w:rPr>
        <w:t>Kumar</w:t>
      </w:r>
      <w:r>
        <w:rPr>
          <w:spacing w:val="16"/>
          <w:sz w:val="21"/>
        </w:rPr>
        <w:t> </w:t>
      </w:r>
      <w:r>
        <w:rPr>
          <w:sz w:val="21"/>
        </w:rPr>
        <w:t>(OPW-18),</w:t>
      </w:r>
      <w:r>
        <w:rPr>
          <w:spacing w:val="15"/>
          <w:sz w:val="21"/>
        </w:rPr>
        <w:t> </w:t>
      </w:r>
      <w:r>
        <w:rPr>
          <w:sz w:val="21"/>
        </w:rPr>
        <w:t>Dr.</w:t>
      </w:r>
      <w:r>
        <w:rPr>
          <w:spacing w:val="15"/>
          <w:sz w:val="21"/>
        </w:rPr>
        <w:t> </w:t>
      </w:r>
      <w:r>
        <w:rPr>
          <w:sz w:val="21"/>
        </w:rPr>
        <w:t>R.</w:t>
      </w:r>
      <w:r>
        <w:rPr>
          <w:spacing w:val="15"/>
          <w:sz w:val="21"/>
        </w:rPr>
        <w:t> </w:t>
      </w:r>
      <w:r>
        <w:rPr>
          <w:sz w:val="21"/>
        </w:rPr>
        <w:t>Nagaswami</w:t>
      </w:r>
      <w:r>
        <w:rPr>
          <w:spacing w:val="17"/>
          <w:sz w:val="21"/>
        </w:rPr>
        <w:t> </w:t>
      </w:r>
      <w:r>
        <w:rPr>
          <w:spacing w:val="-4"/>
          <w:sz w:val="21"/>
        </w:rPr>
        <w:t>(OPW</w:t>
      </w:r>
    </w:p>
    <w:p>
      <w:pPr>
        <w:spacing w:line="276" w:lineRule="auto" w:before="0"/>
        <w:ind w:left="1940" w:right="2261" w:firstLine="0"/>
        <w:jc w:val="both"/>
        <w:rPr>
          <w:sz w:val="21"/>
        </w:rPr>
      </w:pPr>
      <w:r>
        <w:rPr>
          <w:sz w:val="21"/>
        </w:rPr>
        <w:t>17) and Sri Rakesh Dutt Trivedi (OPW19) were produced who supported the findings and report of ASI. They are retired officers,  holding senior position in ASI. Their  statements </w:t>
      </w:r>
      <w:r>
        <w:rPr>
          <w:spacing w:val="19"/>
          <w:sz w:val="21"/>
        </w:rPr>
        <w:t> </w:t>
      </w:r>
      <w:r>
        <w:rPr>
          <w:sz w:val="21"/>
        </w:rPr>
        <w:t>are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3" w:firstLine="0"/>
        <w:jc w:val="both"/>
        <w:rPr>
          <w:sz w:val="21"/>
        </w:rPr>
      </w:pPr>
      <w:r>
        <w:rPr>
          <w:sz w:val="21"/>
        </w:rPr>
        <w:t>sufficiently lengthy and extremely detailed. Since they have supported ASI report, we have not mentioned their statements in detail for the reason that we intended to test the objections raised against ASI report in the light of what the witnesses of plaintiff (Suit 4) have deposed and only when we would have some doubt, we would refer to and compare the statement that of </w:t>
      </w:r>
      <w:r>
        <w:rPr>
          <w:spacing w:val="-3"/>
          <w:sz w:val="21"/>
        </w:rPr>
        <w:t>OPW </w:t>
      </w:r>
      <w:r>
        <w:rPr>
          <w:sz w:val="21"/>
        </w:rPr>
        <w:t>17 to 19. In totality we find no substance in the objection with respect to the figurines etc. and the same are accordingly</w:t>
      </w:r>
      <w:r>
        <w:rPr>
          <w:spacing w:val="-12"/>
          <w:sz w:val="21"/>
        </w:rPr>
        <w:t> </w:t>
      </w:r>
      <w:r>
        <w:rPr>
          <w:sz w:val="21"/>
        </w:rPr>
        <w:t>rejected.‖</w:t>
      </w:r>
    </w:p>
    <w:p>
      <w:pPr>
        <w:pStyle w:val="BodyText"/>
        <w:rPr>
          <w:sz w:val="24"/>
        </w:rPr>
      </w:pPr>
    </w:p>
    <w:p>
      <w:pPr>
        <w:pStyle w:val="BodyText"/>
        <w:spacing w:line="480" w:lineRule="auto" w:before="209"/>
        <w:ind w:left="500" w:right="443"/>
        <w:jc w:val="both"/>
      </w:pPr>
      <w:r>
        <w:rPr/>
        <w:t>Besides the above objections, Ms Arora, learned Senior Counsel has raised the following objections:</w:t>
      </w:r>
    </w:p>
    <w:p>
      <w:pPr>
        <w:pStyle w:val="ListParagraph"/>
        <w:numPr>
          <w:ilvl w:val="0"/>
          <w:numId w:val="155"/>
        </w:numPr>
        <w:tabs>
          <w:tab w:pos="1581" w:val="left" w:leader="none"/>
        </w:tabs>
        <w:spacing w:line="480" w:lineRule="auto" w:before="159" w:after="0"/>
        <w:ind w:left="1580" w:right="442" w:hanging="720"/>
        <w:jc w:val="both"/>
        <w:rPr>
          <w:sz w:val="25"/>
        </w:rPr>
      </w:pPr>
      <w:r>
        <w:rPr>
          <w:sz w:val="25"/>
        </w:rPr>
        <w:t>Different teams of the ASI which authored various chapters of  the report arrived at inconsistent findings on the periods attributed to the artefacts;</w:t>
      </w:r>
    </w:p>
    <w:p>
      <w:pPr>
        <w:pStyle w:val="ListParagraph"/>
        <w:numPr>
          <w:ilvl w:val="0"/>
          <w:numId w:val="155"/>
        </w:numPr>
        <w:tabs>
          <w:tab w:pos="1581" w:val="left" w:leader="none"/>
        </w:tabs>
        <w:spacing w:line="240" w:lineRule="auto" w:before="1" w:after="0"/>
        <w:ind w:left="1580" w:right="0" w:hanging="721"/>
        <w:jc w:val="both"/>
        <w:rPr>
          <w:sz w:val="25"/>
        </w:rPr>
      </w:pPr>
      <w:r>
        <w:rPr>
          <w:sz w:val="25"/>
        </w:rPr>
        <w:t>The</w:t>
      </w:r>
      <w:r>
        <w:rPr>
          <w:spacing w:val="-6"/>
          <w:sz w:val="25"/>
        </w:rPr>
        <w:t> </w:t>
      </w:r>
      <w:r>
        <w:rPr>
          <w:sz w:val="25"/>
        </w:rPr>
        <w:t>so-called</w:t>
      </w:r>
      <w:r>
        <w:rPr>
          <w:spacing w:val="-5"/>
          <w:sz w:val="25"/>
        </w:rPr>
        <w:t> </w:t>
      </w:r>
      <w:r>
        <w:rPr>
          <w:sz w:val="25"/>
        </w:rPr>
        <w:t>sculpture</w:t>
      </w:r>
      <w:r>
        <w:rPr>
          <w:spacing w:val="-6"/>
          <w:sz w:val="25"/>
        </w:rPr>
        <w:t> </w:t>
      </w:r>
      <w:r>
        <w:rPr>
          <w:sz w:val="25"/>
        </w:rPr>
        <w:t>of</w:t>
      </w:r>
      <w:r>
        <w:rPr>
          <w:spacing w:val="-5"/>
          <w:sz w:val="25"/>
        </w:rPr>
        <w:t> </w:t>
      </w:r>
      <w:r>
        <w:rPr>
          <w:sz w:val="25"/>
        </w:rPr>
        <w:t>the</w:t>
      </w:r>
      <w:r>
        <w:rPr>
          <w:spacing w:val="-7"/>
          <w:sz w:val="25"/>
        </w:rPr>
        <w:t> </w:t>
      </w:r>
      <w:r>
        <w:rPr>
          <w:sz w:val="25"/>
        </w:rPr>
        <w:t>‗divine</w:t>
      </w:r>
      <w:r>
        <w:rPr>
          <w:spacing w:val="-5"/>
          <w:sz w:val="25"/>
        </w:rPr>
        <w:t> </w:t>
      </w:r>
      <w:r>
        <w:rPr>
          <w:sz w:val="25"/>
        </w:rPr>
        <w:t>couple‘</w:t>
      </w:r>
      <w:r>
        <w:rPr>
          <w:spacing w:val="-6"/>
          <w:sz w:val="25"/>
        </w:rPr>
        <w:t> </w:t>
      </w:r>
      <w:r>
        <w:rPr>
          <w:sz w:val="25"/>
        </w:rPr>
        <w:t>is</w:t>
      </w:r>
      <w:r>
        <w:rPr>
          <w:spacing w:val="-6"/>
          <w:sz w:val="25"/>
        </w:rPr>
        <w:t> </w:t>
      </w:r>
      <w:r>
        <w:rPr>
          <w:sz w:val="25"/>
        </w:rPr>
        <w:t>completely</w:t>
      </w:r>
      <w:r>
        <w:rPr>
          <w:spacing w:val="-8"/>
          <w:sz w:val="25"/>
        </w:rPr>
        <w:t> </w:t>
      </w:r>
      <w:r>
        <w:rPr>
          <w:sz w:val="25"/>
        </w:rPr>
        <w:t>mutilated;</w:t>
      </w:r>
    </w:p>
    <w:p>
      <w:pPr>
        <w:pStyle w:val="BodyText"/>
        <w:spacing w:before="1"/>
      </w:pPr>
    </w:p>
    <w:p>
      <w:pPr>
        <w:pStyle w:val="ListParagraph"/>
        <w:numPr>
          <w:ilvl w:val="0"/>
          <w:numId w:val="155"/>
        </w:numPr>
        <w:tabs>
          <w:tab w:pos="1581" w:val="left" w:leader="none"/>
        </w:tabs>
        <w:spacing w:line="240" w:lineRule="auto" w:before="0" w:after="0"/>
        <w:ind w:left="1580" w:right="0" w:hanging="721"/>
        <w:jc w:val="both"/>
        <w:rPr>
          <w:sz w:val="25"/>
        </w:rPr>
      </w:pPr>
      <w:r>
        <w:rPr>
          <w:w w:val="99"/>
          <w:sz w:val="25"/>
        </w:rPr>
        <w:t>T</w:t>
      </w:r>
      <w:r>
        <w:rPr>
          <w:w w:val="99"/>
          <w:sz w:val="25"/>
        </w:rPr>
        <w:t>he</w:t>
      </w:r>
      <w:r>
        <w:rPr>
          <w:w w:val="99"/>
          <w:sz w:val="25"/>
        </w:rPr>
        <w:t>r</w:t>
      </w:r>
      <w:r>
        <w:rPr>
          <w:w w:val="99"/>
          <w:sz w:val="25"/>
        </w:rPr>
        <w:t>e</w:t>
      </w:r>
      <w:r>
        <w:rPr>
          <w:sz w:val="25"/>
        </w:rPr>
        <w:t> </w:t>
      </w:r>
      <w:r>
        <w:rPr>
          <w:spacing w:val="-26"/>
          <w:sz w:val="25"/>
        </w:rPr>
        <w:t> </w:t>
      </w:r>
      <w:r>
        <w:rPr>
          <w:w w:val="99"/>
          <w:sz w:val="25"/>
        </w:rPr>
        <w:t>is</w:t>
      </w:r>
      <w:r>
        <w:rPr>
          <w:sz w:val="25"/>
        </w:rPr>
        <w:t> </w:t>
      </w:r>
      <w:r>
        <w:rPr>
          <w:spacing w:val="-27"/>
          <w:sz w:val="25"/>
        </w:rPr>
        <w:t> </w:t>
      </w:r>
      <w:r>
        <w:rPr>
          <w:w w:val="99"/>
          <w:sz w:val="25"/>
        </w:rPr>
        <w:t>no</w:t>
      </w:r>
      <w:r>
        <w:rPr>
          <w:sz w:val="25"/>
        </w:rPr>
        <w:t> </w:t>
      </w:r>
      <w:r>
        <w:rPr>
          <w:spacing w:val="-26"/>
          <w:sz w:val="25"/>
        </w:rPr>
        <w:t> </w:t>
      </w:r>
      <w:r>
        <w:rPr>
          <w:w w:val="99"/>
          <w:sz w:val="25"/>
        </w:rPr>
        <w:t>ba</w:t>
      </w:r>
      <w:r>
        <w:rPr>
          <w:w w:val="99"/>
          <w:sz w:val="25"/>
        </w:rPr>
        <w:t>sis</w:t>
      </w:r>
      <w:r>
        <w:rPr>
          <w:sz w:val="25"/>
        </w:rPr>
        <w:t> </w:t>
      </w:r>
      <w:r>
        <w:rPr>
          <w:spacing w:val="-27"/>
          <w:sz w:val="25"/>
        </w:rPr>
        <w:t> </w:t>
      </w:r>
      <w:r>
        <w:rPr>
          <w:w w:val="99"/>
          <w:sz w:val="25"/>
        </w:rPr>
        <w:t>for</w:t>
      </w:r>
      <w:r>
        <w:rPr>
          <w:sz w:val="25"/>
        </w:rPr>
        <w:t> </w:t>
      </w:r>
      <w:r>
        <w:rPr>
          <w:spacing w:val="-28"/>
          <w:sz w:val="25"/>
        </w:rPr>
        <w:t> </w:t>
      </w:r>
      <w:r>
        <w:rPr>
          <w:w w:val="99"/>
          <w:sz w:val="25"/>
        </w:rPr>
        <w:t>the</w:t>
      </w:r>
      <w:r>
        <w:rPr>
          <w:sz w:val="25"/>
        </w:rPr>
        <w:t> </w:t>
      </w:r>
      <w:r>
        <w:rPr>
          <w:spacing w:val="-26"/>
          <w:sz w:val="25"/>
        </w:rPr>
        <w:t> </w:t>
      </w:r>
      <w:r>
        <w:rPr>
          <w:w w:val="99"/>
          <w:sz w:val="25"/>
        </w:rPr>
        <w:t>use</w:t>
      </w:r>
      <w:r>
        <w:rPr>
          <w:sz w:val="25"/>
        </w:rPr>
        <w:t> </w:t>
      </w:r>
      <w:r>
        <w:rPr>
          <w:spacing w:val="-26"/>
          <w:sz w:val="25"/>
        </w:rPr>
        <w:t> </w:t>
      </w:r>
      <w:r>
        <w:rPr>
          <w:w w:val="99"/>
          <w:sz w:val="25"/>
        </w:rPr>
        <w:t>of</w:t>
      </w:r>
      <w:r>
        <w:rPr>
          <w:sz w:val="25"/>
        </w:rPr>
        <w:t> </w:t>
      </w:r>
      <w:r>
        <w:rPr>
          <w:spacing w:val="-26"/>
          <w:sz w:val="25"/>
        </w:rPr>
        <w:t> </w:t>
      </w:r>
      <w:r>
        <w:rPr>
          <w:w w:val="99"/>
          <w:sz w:val="25"/>
        </w:rPr>
        <w:t>the</w:t>
      </w:r>
      <w:r>
        <w:rPr>
          <w:sz w:val="25"/>
        </w:rPr>
        <w:t> </w:t>
      </w:r>
      <w:r>
        <w:rPr>
          <w:spacing w:val="-20"/>
          <w:sz w:val="25"/>
        </w:rPr>
        <w:t> </w:t>
      </w:r>
      <w:r>
        <w:rPr>
          <w:spacing w:val="-1"/>
          <w:w w:val="99"/>
          <w:sz w:val="25"/>
        </w:rPr>
        <w:t>e</w:t>
      </w:r>
      <w:r>
        <w:rPr>
          <w:spacing w:val="-3"/>
          <w:w w:val="99"/>
          <w:sz w:val="25"/>
        </w:rPr>
        <w:t>x</w:t>
      </w:r>
      <w:r>
        <w:rPr>
          <w:spacing w:val="-1"/>
          <w:w w:val="99"/>
          <w:sz w:val="25"/>
        </w:rPr>
        <w:t>p</w:t>
      </w:r>
      <w:r>
        <w:rPr>
          <w:spacing w:val="3"/>
          <w:w w:val="99"/>
          <w:sz w:val="25"/>
        </w:rPr>
        <w:t>r</w:t>
      </w:r>
      <w:r>
        <w:rPr>
          <w:spacing w:val="-1"/>
          <w:w w:val="99"/>
          <w:sz w:val="25"/>
        </w:rPr>
        <w:t>essio</w:t>
      </w:r>
      <w:r>
        <w:rPr>
          <w:w w:val="99"/>
          <w:sz w:val="25"/>
        </w:rPr>
        <w:t>n</w:t>
      </w:r>
      <w:r>
        <w:rPr>
          <w:sz w:val="25"/>
        </w:rPr>
        <w:t> </w:t>
      </w:r>
      <w:r>
        <w:rPr>
          <w:spacing w:val="-26"/>
          <w:sz w:val="25"/>
        </w:rPr>
        <w:t> </w:t>
      </w:r>
      <w:r>
        <w:rPr>
          <w:w w:val="33"/>
          <w:sz w:val="25"/>
        </w:rPr>
        <w:t>―</w:t>
      </w:r>
      <w:r>
        <w:rPr>
          <w:spacing w:val="-1"/>
          <w:w w:val="99"/>
          <w:sz w:val="25"/>
        </w:rPr>
        <w:t>di</w:t>
      </w:r>
      <w:r>
        <w:rPr>
          <w:spacing w:val="-3"/>
          <w:w w:val="99"/>
          <w:sz w:val="25"/>
        </w:rPr>
        <w:t>v</w:t>
      </w:r>
      <w:r>
        <w:rPr>
          <w:spacing w:val="-1"/>
          <w:w w:val="95"/>
          <w:sz w:val="25"/>
        </w:rPr>
        <w:t>ine</w:t>
      </w:r>
      <w:r>
        <w:rPr>
          <w:w w:val="95"/>
          <w:sz w:val="25"/>
        </w:rPr>
        <w:t>‖</w:t>
      </w:r>
      <w:r>
        <w:rPr>
          <w:sz w:val="25"/>
        </w:rPr>
        <w:t> </w:t>
      </w:r>
      <w:r>
        <w:rPr>
          <w:spacing w:val="-26"/>
          <w:sz w:val="25"/>
        </w:rPr>
        <w:t> </w:t>
      </w:r>
      <w:r>
        <w:rPr>
          <w:spacing w:val="-1"/>
          <w:w w:val="99"/>
          <w:sz w:val="25"/>
        </w:rPr>
        <w:t>a</w:t>
      </w:r>
      <w:r>
        <w:rPr>
          <w:w w:val="99"/>
          <w:sz w:val="25"/>
        </w:rPr>
        <w:t>s</w:t>
      </w:r>
      <w:r>
        <w:rPr>
          <w:sz w:val="25"/>
        </w:rPr>
        <w:t> </w:t>
      </w:r>
      <w:r>
        <w:rPr>
          <w:spacing w:val="-26"/>
          <w:sz w:val="25"/>
        </w:rPr>
        <w:t> </w:t>
      </w:r>
      <w:r>
        <w:rPr>
          <w:spacing w:val="2"/>
          <w:w w:val="99"/>
          <w:sz w:val="25"/>
        </w:rPr>
        <w:t>e</w:t>
      </w:r>
      <w:r>
        <w:rPr>
          <w:w w:val="99"/>
          <w:sz w:val="25"/>
        </w:rPr>
        <w:t>ven</w:t>
      </w:r>
      <w:r>
        <w:rPr>
          <w:sz w:val="25"/>
        </w:rPr>
        <w:t> </w:t>
      </w:r>
      <w:r>
        <w:rPr>
          <w:spacing w:val="-26"/>
          <w:sz w:val="25"/>
        </w:rPr>
        <w:t> </w:t>
      </w:r>
      <w:r>
        <w:rPr>
          <w:w w:val="99"/>
          <w:sz w:val="25"/>
        </w:rPr>
        <w:t>the</w:t>
      </w:r>
    </w:p>
    <w:p>
      <w:pPr>
        <w:pStyle w:val="BodyText"/>
        <w:spacing w:before="10"/>
        <w:rPr>
          <w:sz w:val="24"/>
        </w:rPr>
      </w:pPr>
    </w:p>
    <w:p>
      <w:pPr>
        <w:pStyle w:val="BodyText"/>
        <w:spacing w:before="1"/>
        <w:ind w:left="1580"/>
      </w:pPr>
      <w:r>
        <w:rPr/>
        <w:t>‗alingan mudra‘ does not appear clear; and</w:t>
      </w:r>
    </w:p>
    <w:p>
      <w:pPr>
        <w:pStyle w:val="BodyText"/>
      </w:pPr>
    </w:p>
    <w:p>
      <w:pPr>
        <w:pStyle w:val="ListParagraph"/>
        <w:numPr>
          <w:ilvl w:val="0"/>
          <w:numId w:val="155"/>
        </w:numPr>
        <w:tabs>
          <w:tab w:pos="1581" w:val="left" w:leader="none"/>
        </w:tabs>
        <w:spacing w:line="480" w:lineRule="auto" w:before="1" w:after="0"/>
        <w:ind w:left="1580" w:right="444" w:hanging="720"/>
        <w:jc w:val="both"/>
        <w:rPr>
          <w:sz w:val="25"/>
        </w:rPr>
      </w:pPr>
      <w:r>
        <w:rPr>
          <w:sz w:val="25"/>
        </w:rPr>
        <w:t>The other artefacts such as the lotus design are not necessarily associated with the Hindu religious</w:t>
      </w:r>
      <w:r>
        <w:rPr>
          <w:spacing w:val="-5"/>
          <w:sz w:val="25"/>
        </w:rPr>
        <w:t> </w:t>
      </w:r>
      <w:r>
        <w:rPr>
          <w:sz w:val="25"/>
        </w:rPr>
        <w:t>structures.</w:t>
      </w:r>
    </w:p>
    <w:p>
      <w:pPr>
        <w:pStyle w:val="BodyText"/>
        <w:spacing w:before="2"/>
      </w:pPr>
    </w:p>
    <w:p>
      <w:pPr>
        <w:pStyle w:val="Heading4"/>
        <w:rPr>
          <w:i/>
        </w:rPr>
      </w:pPr>
      <w:r>
        <w:rPr>
          <w:i/>
        </w:rPr>
        <w:t>Objections as to glazed ware and glazed tiles</w:t>
      </w:r>
    </w:p>
    <w:p>
      <w:pPr>
        <w:pStyle w:val="BodyText"/>
        <w:rPr>
          <w:i/>
          <w:sz w:val="28"/>
        </w:rPr>
      </w:pPr>
    </w:p>
    <w:p>
      <w:pPr>
        <w:pStyle w:val="BodyText"/>
        <w:spacing w:before="1"/>
        <w:rPr>
          <w:i/>
          <w:sz w:val="28"/>
        </w:rPr>
      </w:pPr>
    </w:p>
    <w:p>
      <w:pPr>
        <w:pStyle w:val="ListParagraph"/>
        <w:numPr>
          <w:ilvl w:val="0"/>
          <w:numId w:val="111"/>
        </w:numPr>
        <w:tabs>
          <w:tab w:pos="1220" w:val="left" w:leader="none"/>
          <w:tab w:pos="1221" w:val="left" w:leader="none"/>
        </w:tabs>
        <w:spacing w:line="480" w:lineRule="auto" w:before="0" w:after="0"/>
        <w:ind w:left="500" w:right="441" w:firstLine="0"/>
        <w:jc w:val="left"/>
        <w:rPr>
          <w:sz w:val="25"/>
        </w:rPr>
      </w:pPr>
      <w:r>
        <w:rPr>
          <w:sz w:val="25"/>
        </w:rPr>
        <w:t>A total of 647 fragments of pottery which were recovered were assigned to nine periods as reflected</w:t>
      </w:r>
      <w:r>
        <w:rPr>
          <w:spacing w:val="-2"/>
          <w:sz w:val="25"/>
        </w:rPr>
        <w:t> </w:t>
      </w:r>
      <w:r>
        <w:rPr>
          <w:sz w:val="25"/>
        </w:rPr>
        <w:t>below:</w:t>
      </w:r>
    </w:p>
    <w:p>
      <w:pPr>
        <w:spacing w:line="276" w:lineRule="auto" w:before="160"/>
        <w:ind w:left="1940" w:right="6644" w:firstLine="0"/>
        <w:jc w:val="left"/>
        <w:rPr>
          <w:sz w:val="21"/>
        </w:rPr>
      </w:pPr>
      <w:r>
        <w:rPr>
          <w:w w:val="33"/>
          <w:sz w:val="21"/>
        </w:rPr>
        <w:t>―</w:t>
      </w:r>
      <w:r>
        <w:rPr>
          <w:w w:val="100"/>
          <w:sz w:val="21"/>
        </w:rPr>
        <w:t>Period</w:t>
      </w:r>
      <w:r>
        <w:rPr>
          <w:sz w:val="21"/>
        </w:rPr>
        <w:t> </w:t>
      </w:r>
      <w:r>
        <w:rPr>
          <w:w w:val="100"/>
          <w:sz w:val="21"/>
        </w:rPr>
        <w:t>I</w:t>
      </w:r>
      <w:r>
        <w:rPr>
          <w:sz w:val="21"/>
        </w:rPr>
        <w:t> </w:t>
      </w:r>
      <w:r>
        <w:rPr>
          <w:w w:val="100"/>
          <w:sz w:val="21"/>
        </w:rPr>
        <w:t>:</w:t>
      </w:r>
      <w:r>
        <w:rPr>
          <w:sz w:val="21"/>
        </w:rPr>
        <w:t> </w:t>
      </w:r>
      <w:r>
        <w:rPr>
          <w:w w:val="100"/>
          <w:sz w:val="21"/>
        </w:rPr>
        <w:t>99 </w:t>
      </w:r>
      <w:r>
        <w:rPr>
          <w:sz w:val="21"/>
        </w:rPr>
        <w:t>Period II : 73 Period III : 105 Period IV : 74 Period V : 85 Period VI : 63</w:t>
      </w:r>
    </w:p>
    <w:p>
      <w:pPr>
        <w:spacing w:line="241" w:lineRule="exact" w:before="0"/>
        <w:ind w:left="1940" w:right="0" w:firstLine="0"/>
        <w:jc w:val="left"/>
        <w:rPr>
          <w:sz w:val="21"/>
        </w:rPr>
      </w:pPr>
      <w:r>
        <w:rPr>
          <w:sz w:val="21"/>
        </w:rPr>
        <w:t>Periods VII, VIII &amp; IX : 148</w:t>
      </w:r>
    </w:p>
    <w:p>
      <w:pPr>
        <w:spacing w:before="37"/>
        <w:ind w:left="1940" w:right="0" w:firstLine="0"/>
        <w:jc w:val="left"/>
        <w:rPr>
          <w:sz w:val="21"/>
        </w:rPr>
      </w:pPr>
      <w:r>
        <w:rPr>
          <w:b/>
          <w:sz w:val="21"/>
        </w:rPr>
        <w:t>TOTAL : 647</w:t>
      </w:r>
      <w:r>
        <w:rPr>
          <w:sz w:val="21"/>
        </w:rPr>
        <w:t>.‖</w:t>
      </w:r>
    </w:p>
    <w:p>
      <w:pPr>
        <w:spacing w:after="0"/>
        <w:jc w:val="left"/>
        <w:rPr>
          <w:sz w:val="21"/>
        </w:rPr>
        <w:sectPr>
          <w:pgSz w:w="11910" w:h="16840"/>
          <w:pgMar w:header="721" w:footer="1014" w:top="1300" w:bottom="1200" w:left="940" w:right="1000"/>
        </w:sectPr>
      </w:pPr>
    </w:p>
    <w:p>
      <w:pPr>
        <w:pStyle w:val="BodyText"/>
        <w:spacing w:line="480" w:lineRule="auto" w:before="124"/>
        <w:ind w:left="500" w:right="512"/>
      </w:pPr>
      <w:r>
        <w:rPr/>
        <w:t>Of the 647 fragments, 148 fragments have been assigned to periods VI, VIII and IX.</w:t>
      </w:r>
    </w:p>
    <w:p>
      <w:pPr>
        <w:pStyle w:val="BodyText"/>
      </w:pPr>
    </w:p>
    <w:p>
      <w:pPr>
        <w:pStyle w:val="BodyText"/>
        <w:ind w:left="500"/>
      </w:pPr>
      <w:r>
        <w:rPr/>
        <w:t>Ms Arora submitted that the principal objections were that:</w:t>
      </w:r>
    </w:p>
    <w:p>
      <w:pPr>
        <w:pStyle w:val="BodyText"/>
        <w:spacing w:before="10"/>
        <w:rPr>
          <w:sz w:val="38"/>
        </w:rPr>
      </w:pPr>
    </w:p>
    <w:p>
      <w:pPr>
        <w:pStyle w:val="ListParagraph"/>
        <w:numPr>
          <w:ilvl w:val="0"/>
          <w:numId w:val="156"/>
        </w:numPr>
        <w:tabs>
          <w:tab w:pos="1580" w:val="left" w:leader="none"/>
          <w:tab w:pos="1581" w:val="left" w:leader="none"/>
        </w:tabs>
        <w:spacing w:line="480" w:lineRule="auto" w:before="0" w:after="0"/>
        <w:ind w:left="1580" w:right="441" w:hanging="720"/>
        <w:jc w:val="left"/>
        <w:rPr>
          <w:sz w:val="25"/>
        </w:rPr>
      </w:pPr>
      <w:r>
        <w:rPr>
          <w:sz w:val="25"/>
        </w:rPr>
        <w:t>Glazed ware was placed in the last phase of period VII since otherwise it would militate against a temple being made in that</w:t>
      </w:r>
      <w:r>
        <w:rPr>
          <w:spacing w:val="-8"/>
          <w:sz w:val="25"/>
        </w:rPr>
        <w:t> </w:t>
      </w:r>
      <w:r>
        <w:rPr>
          <w:sz w:val="25"/>
        </w:rPr>
        <w:t>period;</w:t>
      </w:r>
    </w:p>
    <w:p>
      <w:pPr>
        <w:pStyle w:val="ListParagraph"/>
        <w:numPr>
          <w:ilvl w:val="0"/>
          <w:numId w:val="156"/>
        </w:numPr>
        <w:tabs>
          <w:tab w:pos="1580" w:val="left" w:leader="none"/>
          <w:tab w:pos="1581" w:val="left" w:leader="none"/>
        </w:tabs>
        <w:spacing w:line="480" w:lineRule="auto" w:before="0" w:after="0"/>
        <w:ind w:left="1580" w:right="444" w:hanging="720"/>
        <w:jc w:val="left"/>
        <w:rPr>
          <w:sz w:val="25"/>
        </w:rPr>
      </w:pPr>
      <w:r>
        <w:rPr>
          <w:sz w:val="25"/>
        </w:rPr>
        <w:t>Glazed ware is an indicator of Muslim habitation and is not found in medieval Hindu temples;</w:t>
      </w:r>
      <w:r>
        <w:rPr>
          <w:spacing w:val="-3"/>
          <w:sz w:val="25"/>
        </w:rPr>
        <w:t> </w:t>
      </w:r>
      <w:r>
        <w:rPr>
          <w:sz w:val="25"/>
        </w:rPr>
        <w:t>and</w:t>
      </w:r>
    </w:p>
    <w:p>
      <w:pPr>
        <w:pStyle w:val="ListParagraph"/>
        <w:numPr>
          <w:ilvl w:val="0"/>
          <w:numId w:val="156"/>
        </w:numPr>
        <w:tabs>
          <w:tab w:pos="1580" w:val="left" w:leader="none"/>
          <w:tab w:pos="1581" w:val="left" w:leader="none"/>
        </w:tabs>
        <w:spacing w:line="480" w:lineRule="auto" w:before="0" w:after="0"/>
        <w:ind w:left="1580" w:right="441" w:hanging="720"/>
        <w:jc w:val="left"/>
        <w:rPr>
          <w:sz w:val="25"/>
        </w:rPr>
      </w:pPr>
      <w:r>
        <w:rPr>
          <w:sz w:val="25"/>
        </w:rPr>
        <w:t>Two pieces of glazed wares were found in VI – indicating that the layers were wrongfully</w:t>
      </w:r>
      <w:r>
        <w:rPr>
          <w:spacing w:val="-5"/>
          <w:sz w:val="25"/>
        </w:rPr>
        <w:t> </w:t>
      </w:r>
      <w:r>
        <w:rPr>
          <w:sz w:val="25"/>
        </w:rPr>
        <w:t>assigned.</w:t>
      </w:r>
    </w:p>
    <w:p>
      <w:pPr>
        <w:pStyle w:val="BodyText"/>
        <w:rPr>
          <w:sz w:val="28"/>
        </w:rPr>
      </w:pPr>
    </w:p>
    <w:p>
      <w:pPr>
        <w:pStyle w:val="Heading4"/>
        <w:spacing w:before="170"/>
        <w:jc w:val="left"/>
        <w:rPr>
          <w:i/>
        </w:rPr>
      </w:pPr>
      <w:r>
        <w:rPr>
          <w:i/>
        </w:rPr>
        <w:t>Objections as to animal bones</w:t>
      </w:r>
    </w:p>
    <w:p>
      <w:pPr>
        <w:pStyle w:val="BodyText"/>
        <w:rPr>
          <w:i/>
          <w:sz w:val="28"/>
        </w:rPr>
      </w:pPr>
    </w:p>
    <w:p>
      <w:pPr>
        <w:pStyle w:val="BodyText"/>
        <w:rPr>
          <w:i/>
          <w:sz w:val="28"/>
        </w:rPr>
      </w:pPr>
    </w:p>
    <w:p>
      <w:pPr>
        <w:pStyle w:val="ListParagraph"/>
        <w:numPr>
          <w:ilvl w:val="0"/>
          <w:numId w:val="111"/>
        </w:numPr>
        <w:tabs>
          <w:tab w:pos="1221" w:val="left" w:leader="none"/>
        </w:tabs>
        <w:spacing w:line="480" w:lineRule="auto" w:before="0" w:after="0"/>
        <w:ind w:left="500" w:right="445" w:firstLine="0"/>
        <w:jc w:val="both"/>
        <w:rPr>
          <w:sz w:val="25"/>
        </w:rPr>
      </w:pPr>
      <w:r>
        <w:rPr>
          <w:sz w:val="25"/>
        </w:rPr>
        <w:t>Ms Meenakshi Arora, learned Senior Counsel has raised the following objections with respect to the animal</w:t>
      </w:r>
      <w:r>
        <w:rPr>
          <w:spacing w:val="-4"/>
          <w:sz w:val="25"/>
        </w:rPr>
        <w:t> </w:t>
      </w:r>
      <w:r>
        <w:rPr>
          <w:sz w:val="25"/>
        </w:rPr>
        <w:t>bones:</w:t>
      </w:r>
    </w:p>
    <w:p>
      <w:pPr>
        <w:pStyle w:val="ListParagraph"/>
        <w:numPr>
          <w:ilvl w:val="0"/>
          <w:numId w:val="157"/>
        </w:numPr>
        <w:tabs>
          <w:tab w:pos="1581" w:val="left" w:leader="none"/>
        </w:tabs>
        <w:spacing w:line="480" w:lineRule="auto" w:before="161" w:after="0"/>
        <w:ind w:left="1580" w:right="445" w:hanging="720"/>
        <w:jc w:val="both"/>
        <w:rPr>
          <w:sz w:val="25"/>
        </w:rPr>
      </w:pPr>
      <w:r>
        <w:rPr>
          <w:sz w:val="25"/>
        </w:rPr>
        <w:t>No study was conducted of the bones found during the excavation at every level of the</w:t>
      </w:r>
      <w:r>
        <w:rPr>
          <w:spacing w:val="-7"/>
          <w:sz w:val="25"/>
        </w:rPr>
        <w:t> </w:t>
      </w:r>
      <w:r>
        <w:rPr>
          <w:sz w:val="25"/>
        </w:rPr>
        <w:t>site;</w:t>
      </w:r>
    </w:p>
    <w:p>
      <w:pPr>
        <w:pStyle w:val="ListParagraph"/>
        <w:numPr>
          <w:ilvl w:val="0"/>
          <w:numId w:val="157"/>
        </w:numPr>
        <w:tabs>
          <w:tab w:pos="1581" w:val="left" w:leader="none"/>
        </w:tabs>
        <w:spacing w:line="480" w:lineRule="auto" w:before="0" w:after="0"/>
        <w:ind w:left="1580" w:right="437" w:hanging="720"/>
        <w:jc w:val="both"/>
        <w:rPr>
          <w:sz w:val="25"/>
        </w:rPr>
      </w:pPr>
      <w:r>
        <w:rPr>
          <w:sz w:val="25"/>
        </w:rPr>
        <w:t>The ASI report does not contain a separate chapter regarding the study of bones and there is only a casual reference in the Summary of results, without any understanding of the contextual relationship of the bones recovered with the structural remains;</w:t>
      </w:r>
      <w:r>
        <w:rPr>
          <w:spacing w:val="-5"/>
          <w:sz w:val="25"/>
        </w:rPr>
        <w:t> </w:t>
      </w:r>
      <w:r>
        <w:rPr>
          <w:sz w:val="25"/>
        </w:rPr>
        <w:t>and</w:t>
      </w:r>
    </w:p>
    <w:p>
      <w:pPr>
        <w:pStyle w:val="ListParagraph"/>
        <w:numPr>
          <w:ilvl w:val="0"/>
          <w:numId w:val="157"/>
        </w:numPr>
        <w:tabs>
          <w:tab w:pos="1581" w:val="left" w:leader="none"/>
        </w:tabs>
        <w:spacing w:line="480" w:lineRule="auto" w:before="2" w:after="0"/>
        <w:ind w:left="1580" w:right="441" w:hanging="720"/>
        <w:jc w:val="both"/>
        <w:rPr>
          <w:sz w:val="25"/>
        </w:rPr>
      </w:pPr>
      <w:r>
        <w:rPr>
          <w:sz w:val="25"/>
        </w:rPr>
        <w:t>Recovery of bone fragments with cut marks is a sign of animals being utilised for food which would rule out the possibility of a</w:t>
      </w:r>
      <w:r>
        <w:rPr>
          <w:spacing w:val="-10"/>
          <w:sz w:val="25"/>
        </w:rPr>
        <w:t> </w:t>
      </w:r>
      <w:r>
        <w:rPr>
          <w:sz w:val="25"/>
        </w:rPr>
        <w:t>temple.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5"/>
        <w:jc w:val="both"/>
      </w:pPr>
      <w:r>
        <w:rPr/>
        <w:t>The above inconsistency which has been highlighted carefully by Ms Arora must be borne in mind.</w:t>
      </w:r>
    </w:p>
    <w:p>
      <w:pPr>
        <w:pStyle w:val="BodyText"/>
        <w:rPr>
          <w:sz w:val="28"/>
        </w:rPr>
      </w:pPr>
    </w:p>
    <w:p>
      <w:pPr>
        <w:pStyle w:val="BodyText"/>
        <w:spacing w:before="3"/>
        <w:rPr>
          <w:sz w:val="22"/>
        </w:rPr>
      </w:pPr>
    </w:p>
    <w:p>
      <w:pPr>
        <w:pStyle w:val="Heading4"/>
        <w:rPr>
          <w:i/>
        </w:rPr>
      </w:pPr>
      <w:r>
        <w:rPr>
          <w:i/>
        </w:rPr>
        <w:t>The Code of Civil Procedure: Section 75 and Order XXVI</w:t>
      </w:r>
    </w:p>
    <w:p>
      <w:pPr>
        <w:pStyle w:val="BodyText"/>
        <w:rPr>
          <w:i/>
          <w:sz w:val="28"/>
        </w:rPr>
      </w:pPr>
    </w:p>
    <w:p>
      <w:pPr>
        <w:pStyle w:val="BodyText"/>
        <w:spacing w:before="7"/>
        <w:rPr>
          <w:i/>
          <w:sz w:val="23"/>
        </w:rPr>
      </w:pPr>
    </w:p>
    <w:p>
      <w:pPr>
        <w:pStyle w:val="ListParagraph"/>
        <w:numPr>
          <w:ilvl w:val="0"/>
          <w:numId w:val="111"/>
        </w:numPr>
        <w:tabs>
          <w:tab w:pos="1221" w:val="left" w:leader="none"/>
        </w:tabs>
        <w:spacing w:line="480" w:lineRule="auto" w:before="0" w:after="0"/>
        <w:ind w:left="500" w:right="442" w:firstLine="0"/>
        <w:jc w:val="both"/>
        <w:rPr>
          <w:sz w:val="25"/>
        </w:rPr>
      </w:pPr>
      <w:r>
        <w:rPr>
          <w:sz w:val="25"/>
        </w:rPr>
        <w:t>Before dealing with the objections raised by Ms Arora both on the preliminary aspects outlined to above and on the merits on report (which will be set out later), the Court must form a perspective of the nature and ambit of the investigation entrusted to the ASI by the High</w:t>
      </w:r>
      <w:r>
        <w:rPr>
          <w:spacing w:val="-6"/>
          <w:sz w:val="25"/>
        </w:rPr>
        <w:t> </w:t>
      </w:r>
      <w:r>
        <w:rPr>
          <w:sz w:val="25"/>
        </w:rPr>
        <w:t>Court.</w:t>
      </w:r>
    </w:p>
    <w:p>
      <w:pPr>
        <w:pStyle w:val="BodyText"/>
        <w:rPr>
          <w:sz w:val="39"/>
        </w:rPr>
      </w:pPr>
    </w:p>
    <w:p>
      <w:pPr>
        <w:pStyle w:val="ListParagraph"/>
        <w:numPr>
          <w:ilvl w:val="0"/>
          <w:numId w:val="111"/>
        </w:numPr>
        <w:tabs>
          <w:tab w:pos="1221" w:val="left" w:leader="none"/>
        </w:tabs>
        <w:spacing w:line="240" w:lineRule="auto" w:before="0" w:after="0"/>
        <w:ind w:left="1220" w:right="0" w:hanging="721"/>
        <w:jc w:val="both"/>
        <w:rPr>
          <w:sz w:val="25"/>
        </w:rPr>
      </w:pPr>
      <w:r>
        <w:rPr>
          <w:sz w:val="25"/>
        </w:rPr>
        <w:t>Section</w:t>
      </w:r>
      <w:r>
        <w:rPr>
          <w:spacing w:val="16"/>
          <w:sz w:val="25"/>
        </w:rPr>
        <w:t> </w:t>
      </w:r>
      <w:r>
        <w:rPr>
          <w:sz w:val="25"/>
        </w:rPr>
        <w:t>75</w:t>
      </w:r>
      <w:r>
        <w:rPr>
          <w:sz w:val="25"/>
          <w:vertAlign w:val="superscript"/>
        </w:rPr>
        <w:t>277</w:t>
      </w:r>
      <w:r>
        <w:rPr>
          <w:spacing w:val="16"/>
          <w:sz w:val="25"/>
          <w:vertAlign w:val="baseline"/>
        </w:rPr>
        <w:t> </w:t>
      </w:r>
      <w:r>
        <w:rPr>
          <w:sz w:val="25"/>
          <w:vertAlign w:val="baseline"/>
        </w:rPr>
        <w:t>of</w:t>
      </w:r>
      <w:r>
        <w:rPr>
          <w:spacing w:val="16"/>
          <w:sz w:val="25"/>
          <w:vertAlign w:val="baseline"/>
        </w:rPr>
        <w:t> </w:t>
      </w:r>
      <w:r>
        <w:rPr>
          <w:sz w:val="25"/>
          <w:vertAlign w:val="baseline"/>
        </w:rPr>
        <w:t>the</w:t>
      </w:r>
      <w:r>
        <w:rPr>
          <w:spacing w:val="12"/>
          <w:sz w:val="25"/>
          <w:vertAlign w:val="baseline"/>
        </w:rPr>
        <w:t> </w:t>
      </w:r>
      <w:r>
        <w:rPr>
          <w:sz w:val="25"/>
          <w:vertAlign w:val="baseline"/>
        </w:rPr>
        <w:t>CPC</w:t>
      </w:r>
      <w:r>
        <w:rPr>
          <w:spacing w:val="16"/>
          <w:sz w:val="25"/>
          <w:vertAlign w:val="baseline"/>
        </w:rPr>
        <w:t> </w:t>
      </w:r>
      <w:r>
        <w:rPr>
          <w:sz w:val="25"/>
          <w:vertAlign w:val="baseline"/>
        </w:rPr>
        <w:t>empowers</w:t>
      </w:r>
      <w:r>
        <w:rPr>
          <w:spacing w:val="15"/>
          <w:sz w:val="25"/>
          <w:vertAlign w:val="baseline"/>
        </w:rPr>
        <w:t> </w:t>
      </w:r>
      <w:r>
        <w:rPr>
          <w:sz w:val="25"/>
          <w:vertAlign w:val="baseline"/>
        </w:rPr>
        <w:t>the</w:t>
      </w:r>
      <w:r>
        <w:rPr>
          <w:spacing w:val="14"/>
          <w:sz w:val="25"/>
          <w:vertAlign w:val="baseline"/>
        </w:rPr>
        <w:t> </w:t>
      </w:r>
      <w:r>
        <w:rPr>
          <w:sz w:val="25"/>
          <w:vertAlign w:val="baseline"/>
        </w:rPr>
        <w:t>court</w:t>
      </w:r>
      <w:r>
        <w:rPr>
          <w:spacing w:val="16"/>
          <w:sz w:val="25"/>
          <w:vertAlign w:val="baseline"/>
        </w:rPr>
        <w:t> </w:t>
      </w:r>
      <w:r>
        <w:rPr>
          <w:sz w:val="25"/>
          <w:vertAlign w:val="baseline"/>
        </w:rPr>
        <w:t>to</w:t>
      </w:r>
      <w:r>
        <w:rPr>
          <w:spacing w:val="14"/>
          <w:sz w:val="25"/>
          <w:vertAlign w:val="baseline"/>
        </w:rPr>
        <w:t> </w:t>
      </w:r>
      <w:r>
        <w:rPr>
          <w:sz w:val="25"/>
          <w:vertAlign w:val="baseline"/>
        </w:rPr>
        <w:t>issue</w:t>
      </w:r>
      <w:r>
        <w:rPr>
          <w:spacing w:val="17"/>
          <w:sz w:val="25"/>
          <w:vertAlign w:val="baseline"/>
        </w:rPr>
        <w:t> </w:t>
      </w:r>
      <w:r>
        <w:rPr>
          <w:sz w:val="25"/>
          <w:vertAlign w:val="baseline"/>
        </w:rPr>
        <w:t>commissions</w:t>
      </w:r>
    </w:p>
    <w:p>
      <w:pPr>
        <w:pStyle w:val="BodyText"/>
        <w:spacing w:before="1"/>
      </w:pPr>
    </w:p>
    <w:p>
      <w:pPr>
        <w:pStyle w:val="BodyText"/>
        <w:spacing w:line="480" w:lineRule="auto"/>
        <w:ind w:left="500" w:right="442"/>
        <w:jc w:val="both"/>
      </w:pPr>
      <w:r>
        <w:rPr>
          <w:w w:val="33"/>
        </w:rPr>
        <w:t>―</w:t>
      </w:r>
      <w:r>
        <w:rPr>
          <w:w w:val="99"/>
        </w:rPr>
        <w:t>subject</w:t>
      </w:r>
      <w:r>
        <w:rPr/>
        <w:t> </w:t>
      </w:r>
      <w:r>
        <w:rPr>
          <w:w w:val="99"/>
        </w:rPr>
        <w:t>to</w:t>
      </w:r>
      <w:r>
        <w:rPr/>
        <w:t> </w:t>
      </w:r>
      <w:r>
        <w:rPr>
          <w:w w:val="99"/>
        </w:rPr>
        <w:t>such</w:t>
      </w:r>
      <w:r>
        <w:rPr/>
        <w:t> </w:t>
      </w:r>
      <w:r>
        <w:rPr>
          <w:w w:val="99"/>
        </w:rPr>
        <w:t>conditions</w:t>
      </w:r>
      <w:r>
        <w:rPr/>
        <w:t> </w:t>
      </w:r>
      <w:r>
        <w:rPr>
          <w:w w:val="99"/>
        </w:rPr>
        <w:t>and</w:t>
      </w:r>
      <w:r>
        <w:rPr/>
        <w:t> </w:t>
      </w:r>
      <w:r>
        <w:rPr>
          <w:w w:val="99"/>
        </w:rPr>
        <w:t>limitations</w:t>
      </w:r>
      <w:r>
        <w:rPr/>
        <w:t> </w:t>
      </w:r>
      <w:r>
        <w:rPr>
          <w:w w:val="99"/>
        </w:rPr>
        <w:t>as</w:t>
      </w:r>
      <w:r>
        <w:rPr/>
        <w:t> </w:t>
      </w:r>
      <w:r>
        <w:rPr>
          <w:w w:val="99"/>
        </w:rPr>
        <w:t>may</w:t>
      </w:r>
      <w:r>
        <w:rPr/>
        <w:t> </w:t>
      </w:r>
      <w:r>
        <w:rPr>
          <w:w w:val="99"/>
        </w:rPr>
        <w:t>be</w:t>
      </w:r>
      <w:r>
        <w:rPr/>
        <w:t> </w:t>
      </w:r>
      <w:r>
        <w:rPr>
          <w:w w:val="99"/>
        </w:rPr>
        <w:t>prescribed</w:t>
      </w:r>
      <w:r>
        <w:rPr>
          <w:w w:val="80"/>
        </w:rPr>
        <w:t>‖</w:t>
      </w:r>
      <w:r>
        <w:rPr>
          <w:w w:val="99"/>
        </w:rPr>
        <w:t>.</w:t>
      </w:r>
      <w:r>
        <w:rPr/>
        <w:t> </w:t>
      </w:r>
      <w:r>
        <w:rPr>
          <w:w w:val="99"/>
        </w:rPr>
        <w:t>The</w:t>
      </w:r>
      <w:r>
        <w:rPr/>
        <w:t> </w:t>
      </w:r>
      <w:r>
        <w:rPr>
          <w:w w:val="99"/>
        </w:rPr>
        <w:t>court</w:t>
      </w:r>
      <w:r>
        <w:rPr/>
        <w:t> </w:t>
      </w:r>
      <w:r>
        <w:rPr>
          <w:w w:val="99"/>
        </w:rPr>
        <w:t>may </w:t>
      </w:r>
      <w:r>
        <w:rPr/>
        <w:t>issue a commission, among other things to hold a scientific, technical or expert investigation. This specific provision was incorporated by Amending Act 104 of 1976 with effect from 1 February 1977.</w:t>
      </w:r>
    </w:p>
    <w:p>
      <w:pPr>
        <w:pStyle w:val="BodyText"/>
        <w:spacing w:before="10"/>
        <w:rPr>
          <w:sz w:val="38"/>
        </w:rPr>
      </w:pPr>
    </w:p>
    <w:p>
      <w:pPr>
        <w:pStyle w:val="BodyText"/>
        <w:spacing w:line="480" w:lineRule="auto"/>
        <w:ind w:left="500" w:right="438"/>
        <w:jc w:val="both"/>
      </w:pPr>
      <w:r>
        <w:rPr/>
        <w:pict>
          <v:rect style="position:absolute;margin-left:72.024002pt;margin-top:119.274872pt;width:144.020pt;height:.599980pt;mso-position-horizontal-relative:page;mso-position-vertical-relative:paragraph;z-index:-15650816;mso-wrap-distance-left:0;mso-wrap-distance-right:0" filled="true" fillcolor="#000000" stroked="false">
            <v:fill type="solid"/>
            <w10:wrap type="topAndBottom"/>
          </v:rect>
        </w:pict>
      </w:r>
      <w:r>
        <w:rPr/>
        <w:t>Order XXVI deals with Commissions. Rules 1 to 8 cover commissions for the examination of witnesses. Rules 9 and 10 deal with commissions for local investigation, while commissions for scientific investigation and for the purpose of ministerial acts and the sale of property are covered by Rules 10A, 10B and 10C.</w:t>
      </w:r>
    </w:p>
    <w:p>
      <w:pPr>
        <w:pStyle w:val="BodyText"/>
        <w:spacing w:before="9"/>
        <w:rPr>
          <w:sz w:val="19"/>
        </w:rPr>
      </w:pPr>
    </w:p>
    <w:p>
      <w:pPr>
        <w:spacing w:before="131"/>
        <w:ind w:left="500" w:right="512" w:firstLine="0"/>
        <w:jc w:val="left"/>
        <w:rPr>
          <w:sz w:val="18"/>
        </w:rPr>
      </w:pPr>
      <w:r>
        <w:rPr>
          <w:sz w:val="18"/>
          <w:vertAlign w:val="superscript"/>
        </w:rPr>
        <w:t>277</w:t>
      </w:r>
      <w:r>
        <w:rPr>
          <w:sz w:val="18"/>
          <w:vertAlign w:val="baseline"/>
        </w:rPr>
        <w:t> Section </w:t>
      </w:r>
      <w:r>
        <w:rPr>
          <w:color w:val="313131"/>
          <w:sz w:val="18"/>
          <w:vertAlign w:val="baseline"/>
        </w:rPr>
        <w:t>75. Power of court to issue commissions.- </w:t>
      </w:r>
      <w:r>
        <w:rPr>
          <w:sz w:val="18"/>
          <w:vertAlign w:val="baseline"/>
        </w:rPr>
        <w:t>Subject to such conditions and limitations as may be prescribed, the Court may issue a commission-</w:t>
      </w:r>
    </w:p>
    <w:p>
      <w:pPr>
        <w:pStyle w:val="ListParagraph"/>
        <w:numPr>
          <w:ilvl w:val="0"/>
          <w:numId w:val="158"/>
        </w:numPr>
        <w:tabs>
          <w:tab w:pos="1772" w:val="left" w:leader="none"/>
        </w:tabs>
        <w:spacing w:line="240" w:lineRule="auto" w:before="1" w:after="0"/>
        <w:ind w:left="1771" w:right="0" w:hanging="269"/>
        <w:jc w:val="left"/>
        <w:rPr>
          <w:sz w:val="18"/>
        </w:rPr>
      </w:pPr>
      <w:r>
        <w:rPr>
          <w:sz w:val="18"/>
        </w:rPr>
        <w:t>to examine any</w:t>
      </w:r>
      <w:r>
        <w:rPr>
          <w:spacing w:val="-5"/>
          <w:sz w:val="18"/>
        </w:rPr>
        <w:t> </w:t>
      </w:r>
      <w:r>
        <w:rPr>
          <w:sz w:val="18"/>
        </w:rPr>
        <w:t>person;</w:t>
      </w:r>
    </w:p>
    <w:p>
      <w:pPr>
        <w:pStyle w:val="ListParagraph"/>
        <w:numPr>
          <w:ilvl w:val="0"/>
          <w:numId w:val="158"/>
        </w:numPr>
        <w:tabs>
          <w:tab w:pos="1772" w:val="left" w:leader="none"/>
        </w:tabs>
        <w:spacing w:line="207" w:lineRule="exact" w:before="2" w:after="0"/>
        <w:ind w:left="1771" w:right="0" w:hanging="269"/>
        <w:jc w:val="left"/>
        <w:rPr>
          <w:sz w:val="18"/>
        </w:rPr>
      </w:pPr>
      <w:r>
        <w:rPr>
          <w:sz w:val="18"/>
        </w:rPr>
        <w:t>to make a local</w:t>
      </w:r>
      <w:r>
        <w:rPr>
          <w:spacing w:val="-5"/>
          <w:sz w:val="18"/>
        </w:rPr>
        <w:t> </w:t>
      </w:r>
      <w:r>
        <w:rPr>
          <w:sz w:val="18"/>
        </w:rPr>
        <w:t>investigation;</w:t>
      </w:r>
    </w:p>
    <w:p>
      <w:pPr>
        <w:pStyle w:val="ListParagraph"/>
        <w:numPr>
          <w:ilvl w:val="0"/>
          <w:numId w:val="158"/>
        </w:numPr>
        <w:tabs>
          <w:tab w:pos="1763" w:val="left" w:leader="none"/>
        </w:tabs>
        <w:spacing w:line="206" w:lineRule="exact" w:before="0" w:after="0"/>
        <w:ind w:left="1762" w:right="0" w:hanging="260"/>
        <w:jc w:val="left"/>
        <w:rPr>
          <w:sz w:val="18"/>
        </w:rPr>
      </w:pPr>
      <w:r>
        <w:rPr>
          <w:sz w:val="18"/>
        </w:rPr>
        <w:t>to examine or adjust accounts;</w:t>
      </w:r>
      <w:r>
        <w:rPr>
          <w:spacing w:val="-4"/>
          <w:sz w:val="18"/>
        </w:rPr>
        <w:t> </w:t>
      </w:r>
      <w:r>
        <w:rPr>
          <w:sz w:val="18"/>
        </w:rPr>
        <w:t>or</w:t>
      </w:r>
    </w:p>
    <w:p>
      <w:pPr>
        <w:pStyle w:val="ListParagraph"/>
        <w:numPr>
          <w:ilvl w:val="0"/>
          <w:numId w:val="158"/>
        </w:numPr>
        <w:tabs>
          <w:tab w:pos="1772" w:val="left" w:leader="none"/>
        </w:tabs>
        <w:spacing w:line="206" w:lineRule="exact" w:before="0" w:after="0"/>
        <w:ind w:left="1771" w:right="0" w:hanging="269"/>
        <w:jc w:val="left"/>
        <w:rPr>
          <w:sz w:val="18"/>
        </w:rPr>
      </w:pPr>
      <w:r>
        <w:rPr>
          <w:sz w:val="18"/>
        </w:rPr>
        <w:t>to make a</w:t>
      </w:r>
      <w:r>
        <w:rPr>
          <w:spacing w:val="-5"/>
          <w:sz w:val="18"/>
        </w:rPr>
        <w:t> </w:t>
      </w:r>
      <w:r>
        <w:rPr>
          <w:sz w:val="18"/>
        </w:rPr>
        <w:t>partition</w:t>
      </w:r>
    </w:p>
    <w:p>
      <w:pPr>
        <w:pStyle w:val="ListParagraph"/>
        <w:numPr>
          <w:ilvl w:val="0"/>
          <w:numId w:val="158"/>
        </w:numPr>
        <w:tabs>
          <w:tab w:pos="1842" w:val="left" w:leader="none"/>
        </w:tabs>
        <w:spacing w:line="207" w:lineRule="exact" w:before="0" w:after="0"/>
        <w:ind w:left="1841" w:right="0" w:hanging="269"/>
        <w:jc w:val="left"/>
        <w:rPr>
          <w:sz w:val="18"/>
        </w:rPr>
      </w:pPr>
      <w:r>
        <w:rPr>
          <w:sz w:val="18"/>
        </w:rPr>
        <w:t>to hold a scientific, technical, or expert</w:t>
      </w:r>
      <w:r>
        <w:rPr>
          <w:spacing w:val="-10"/>
          <w:sz w:val="18"/>
        </w:rPr>
        <w:t> </w:t>
      </w:r>
      <w:r>
        <w:rPr>
          <w:sz w:val="18"/>
        </w:rPr>
        <w:t>investigation;</w:t>
      </w:r>
    </w:p>
    <w:p>
      <w:pPr>
        <w:pStyle w:val="ListParagraph"/>
        <w:numPr>
          <w:ilvl w:val="0"/>
          <w:numId w:val="158"/>
        </w:numPr>
        <w:tabs>
          <w:tab w:pos="1931" w:val="left" w:leader="none"/>
        </w:tabs>
        <w:spacing w:line="240" w:lineRule="auto" w:before="2" w:after="0"/>
        <w:ind w:left="500" w:right="445" w:firstLine="1123"/>
        <w:jc w:val="left"/>
        <w:rPr>
          <w:sz w:val="18"/>
        </w:rPr>
      </w:pPr>
      <w:r>
        <w:rPr>
          <w:sz w:val="18"/>
        </w:rPr>
        <w:t>to conduct sale of property which is subject to speedy and natural decay and which is in the custody of the Court pending the determination of the</w:t>
      </w:r>
      <w:r>
        <w:rPr>
          <w:spacing w:val="-5"/>
          <w:sz w:val="18"/>
        </w:rPr>
        <w:t> </w:t>
      </w:r>
      <w:r>
        <w:rPr>
          <w:sz w:val="18"/>
        </w:rPr>
        <w:t>suit;</w:t>
      </w:r>
    </w:p>
    <w:p>
      <w:pPr>
        <w:pStyle w:val="ListParagraph"/>
        <w:numPr>
          <w:ilvl w:val="0"/>
          <w:numId w:val="158"/>
        </w:numPr>
        <w:tabs>
          <w:tab w:pos="1722" w:val="left" w:leader="none"/>
        </w:tabs>
        <w:spacing w:line="206" w:lineRule="exact" w:before="0" w:after="0"/>
        <w:ind w:left="1721" w:right="0" w:hanging="269"/>
        <w:jc w:val="left"/>
        <w:rPr>
          <w:sz w:val="18"/>
        </w:rPr>
      </w:pPr>
      <w:r>
        <w:rPr>
          <w:sz w:val="18"/>
        </w:rPr>
        <w:t>to perform any ministerial</w:t>
      </w:r>
      <w:r>
        <w:rPr>
          <w:spacing w:val="-6"/>
          <w:sz w:val="18"/>
        </w:rPr>
        <w:t> </w:t>
      </w:r>
      <w:r>
        <w:rPr>
          <w:sz w:val="18"/>
        </w:rPr>
        <w:t>act.</w:t>
      </w:r>
    </w:p>
    <w:p>
      <w:pPr>
        <w:spacing w:after="0" w:line="206" w:lineRule="exact"/>
        <w:jc w:val="left"/>
        <w:rPr>
          <w:sz w:val="18"/>
        </w:rPr>
        <w:sectPr>
          <w:pgSz w:w="11910" w:h="16840"/>
          <w:pgMar w:header="721" w:footer="1014" w:top="1300" w:bottom="1200" w:left="940" w:right="1000"/>
        </w:sectPr>
      </w:pPr>
    </w:p>
    <w:p>
      <w:pPr>
        <w:pStyle w:val="BodyText"/>
        <w:spacing w:line="480" w:lineRule="auto" w:before="124"/>
        <w:ind w:left="500" w:right="442"/>
        <w:jc w:val="both"/>
      </w:pPr>
      <w:r>
        <w:rPr/>
        <w:t>The remaining provisions deal with commissions for the examination of accounts and for making partitions and contain general provisions, including commissions at the instance of foreign tribunals.</w:t>
      </w:r>
    </w:p>
    <w:p>
      <w:pPr>
        <w:pStyle w:val="BodyText"/>
        <w:spacing w:before="10"/>
        <w:rPr>
          <w:sz w:val="38"/>
        </w:rPr>
      </w:pPr>
    </w:p>
    <w:p>
      <w:pPr>
        <w:pStyle w:val="ListParagraph"/>
        <w:numPr>
          <w:ilvl w:val="0"/>
          <w:numId w:val="111"/>
        </w:numPr>
        <w:tabs>
          <w:tab w:pos="1221" w:val="left" w:leader="none"/>
        </w:tabs>
        <w:spacing w:line="480" w:lineRule="auto" w:before="0" w:after="0"/>
        <w:ind w:left="500" w:right="433" w:firstLine="0"/>
        <w:jc w:val="both"/>
        <w:rPr>
          <w:sz w:val="25"/>
        </w:rPr>
      </w:pPr>
      <w:r>
        <w:rPr>
          <w:sz w:val="25"/>
        </w:rPr>
        <w:t>For the present purpose, the court has to deal with Rules 9, 10, 10A and 10B. Rule 9 empowers the court to issue a commission for the purpose of a local investigation which it considers to be requisite or proper for the purpose of elucidating any matter in dispute. After a local inspection, Rule 10 empowers the commissioner, to submit a signed report to the Court together with the evidence. Rule 10 provides as</w:t>
      </w:r>
      <w:r>
        <w:rPr>
          <w:spacing w:val="-4"/>
          <w:sz w:val="25"/>
        </w:rPr>
        <w:t> </w:t>
      </w:r>
      <w:r>
        <w:rPr>
          <w:sz w:val="25"/>
        </w:rPr>
        <w:t>follows:</w:t>
      </w:r>
    </w:p>
    <w:p>
      <w:pPr>
        <w:spacing w:line="276" w:lineRule="auto" w:before="159"/>
        <w:ind w:left="1940" w:right="2260" w:firstLine="0"/>
        <w:jc w:val="both"/>
        <w:rPr>
          <w:sz w:val="21"/>
        </w:rPr>
      </w:pPr>
      <w:r>
        <w:rPr>
          <w:spacing w:val="-1"/>
          <w:w w:val="33"/>
          <w:sz w:val="21"/>
        </w:rPr>
        <w:t>―</w:t>
      </w:r>
      <w:r>
        <w:rPr>
          <w:spacing w:val="-1"/>
          <w:w w:val="100"/>
          <w:sz w:val="21"/>
        </w:rPr>
        <w:t>1</w:t>
      </w:r>
      <w:r>
        <w:rPr>
          <w:w w:val="100"/>
          <w:sz w:val="21"/>
        </w:rPr>
        <w:t>0</w:t>
      </w:r>
      <w:r>
        <w:rPr>
          <w:sz w:val="21"/>
        </w:rPr>
        <w:t> </w:t>
      </w:r>
      <w:r>
        <w:rPr>
          <w:spacing w:val="-19"/>
          <w:sz w:val="21"/>
        </w:rPr>
        <w:t> </w:t>
      </w:r>
      <w:r>
        <w:rPr>
          <w:w w:val="100"/>
          <w:sz w:val="21"/>
        </w:rPr>
        <w:t>.</w:t>
      </w:r>
      <w:r>
        <w:rPr>
          <w:sz w:val="21"/>
        </w:rPr>
        <w:t> </w:t>
      </w:r>
      <w:r>
        <w:rPr>
          <w:spacing w:val="-20"/>
          <w:sz w:val="21"/>
        </w:rPr>
        <w:t> </w:t>
      </w:r>
      <w:r>
        <w:rPr>
          <w:w w:val="100"/>
          <w:sz w:val="21"/>
        </w:rPr>
        <w:t>P</w:t>
      </w:r>
      <w:r>
        <w:rPr>
          <w:spacing w:val="-4"/>
          <w:w w:val="100"/>
          <w:sz w:val="21"/>
        </w:rPr>
        <w:t>r</w:t>
      </w:r>
      <w:r>
        <w:rPr>
          <w:spacing w:val="-1"/>
          <w:w w:val="100"/>
          <w:sz w:val="21"/>
        </w:rPr>
        <w:t>oc</w:t>
      </w:r>
      <w:r>
        <w:rPr>
          <w:spacing w:val="-3"/>
          <w:w w:val="100"/>
          <w:sz w:val="21"/>
        </w:rPr>
        <w:t>e</w:t>
      </w:r>
      <w:r>
        <w:rPr>
          <w:spacing w:val="-1"/>
          <w:w w:val="100"/>
          <w:sz w:val="21"/>
        </w:rPr>
        <w:t>dur</w:t>
      </w:r>
      <w:r>
        <w:rPr>
          <w:w w:val="100"/>
          <w:sz w:val="21"/>
        </w:rPr>
        <w:t>e</w:t>
      </w:r>
      <w:r>
        <w:rPr>
          <w:sz w:val="21"/>
        </w:rPr>
        <w:t> </w:t>
      </w:r>
      <w:r>
        <w:rPr>
          <w:spacing w:val="-22"/>
          <w:sz w:val="21"/>
        </w:rPr>
        <w:t> </w:t>
      </w:r>
      <w:r>
        <w:rPr>
          <w:spacing w:val="-1"/>
          <w:w w:val="100"/>
          <w:sz w:val="21"/>
        </w:rPr>
        <w:t>o</w:t>
      </w:r>
      <w:r>
        <w:rPr>
          <w:w w:val="100"/>
          <w:sz w:val="21"/>
        </w:rPr>
        <w:t>f</w:t>
      </w:r>
      <w:r>
        <w:rPr>
          <w:sz w:val="21"/>
        </w:rPr>
        <w:t> </w:t>
      </w:r>
      <w:r>
        <w:rPr>
          <w:spacing w:val="-22"/>
          <w:sz w:val="21"/>
        </w:rPr>
        <w:t> </w:t>
      </w:r>
      <w:r>
        <w:rPr>
          <w:w w:val="100"/>
          <w:sz w:val="21"/>
        </w:rPr>
        <w:t>C</w:t>
      </w:r>
      <w:r>
        <w:rPr>
          <w:spacing w:val="-3"/>
          <w:w w:val="100"/>
          <w:sz w:val="21"/>
        </w:rPr>
        <w:t>o</w:t>
      </w:r>
      <w:r>
        <w:rPr>
          <w:spacing w:val="-1"/>
          <w:w w:val="100"/>
          <w:sz w:val="21"/>
        </w:rPr>
        <w:t>mm</w:t>
      </w:r>
      <w:r>
        <w:rPr>
          <w:w w:val="100"/>
          <w:sz w:val="21"/>
        </w:rPr>
        <w:t>is</w:t>
      </w:r>
      <w:r>
        <w:rPr>
          <w:spacing w:val="-3"/>
          <w:w w:val="100"/>
          <w:sz w:val="21"/>
        </w:rPr>
        <w:t>s</w:t>
      </w:r>
      <w:r>
        <w:rPr>
          <w:w w:val="100"/>
          <w:sz w:val="21"/>
        </w:rPr>
        <w:t>i</w:t>
      </w:r>
      <w:r>
        <w:rPr>
          <w:spacing w:val="-1"/>
          <w:w w:val="100"/>
          <w:sz w:val="21"/>
        </w:rPr>
        <w:t>o</w:t>
      </w:r>
      <w:r>
        <w:rPr>
          <w:spacing w:val="-3"/>
          <w:w w:val="100"/>
          <w:sz w:val="21"/>
        </w:rPr>
        <w:t>n</w:t>
      </w:r>
      <w:r>
        <w:rPr>
          <w:spacing w:val="-1"/>
          <w:w w:val="100"/>
          <w:sz w:val="21"/>
        </w:rPr>
        <w:t>e</w:t>
      </w:r>
      <w:r>
        <w:rPr>
          <w:spacing w:val="1"/>
          <w:w w:val="100"/>
          <w:sz w:val="21"/>
        </w:rPr>
        <w:t>r</w:t>
      </w:r>
      <w:r>
        <w:rPr>
          <w:w w:val="100"/>
          <w:sz w:val="21"/>
        </w:rPr>
        <w:t>—</w:t>
      </w:r>
      <w:r>
        <w:rPr>
          <w:sz w:val="21"/>
        </w:rPr>
        <w:t> </w:t>
      </w:r>
      <w:r>
        <w:rPr>
          <w:spacing w:val="-18"/>
          <w:sz w:val="21"/>
        </w:rPr>
        <w:t> </w:t>
      </w:r>
      <w:r>
        <w:rPr>
          <w:spacing w:val="-4"/>
          <w:w w:val="100"/>
          <w:sz w:val="21"/>
        </w:rPr>
        <w:t>(</w:t>
      </w:r>
      <w:r>
        <w:rPr>
          <w:w w:val="100"/>
          <w:sz w:val="21"/>
        </w:rPr>
        <w:t>1)</w:t>
      </w:r>
      <w:r>
        <w:rPr>
          <w:sz w:val="21"/>
        </w:rPr>
        <w:t> </w:t>
      </w:r>
      <w:r>
        <w:rPr>
          <w:spacing w:val="-20"/>
          <w:sz w:val="21"/>
        </w:rPr>
        <w:t> </w:t>
      </w:r>
      <w:r>
        <w:rPr>
          <w:spacing w:val="-2"/>
          <w:w w:val="100"/>
          <w:sz w:val="21"/>
        </w:rPr>
        <w:t>T</w:t>
      </w:r>
      <w:r>
        <w:rPr>
          <w:w w:val="100"/>
          <w:sz w:val="21"/>
        </w:rPr>
        <w:t>he</w:t>
      </w:r>
      <w:r>
        <w:rPr>
          <w:sz w:val="21"/>
        </w:rPr>
        <w:t> </w:t>
      </w:r>
      <w:r>
        <w:rPr>
          <w:spacing w:val="-21"/>
          <w:sz w:val="21"/>
        </w:rPr>
        <w:t> </w:t>
      </w:r>
      <w:r>
        <w:rPr>
          <w:w w:val="100"/>
          <w:sz w:val="21"/>
        </w:rPr>
        <w:t>C</w:t>
      </w:r>
      <w:r>
        <w:rPr>
          <w:spacing w:val="-3"/>
          <w:w w:val="100"/>
          <w:sz w:val="21"/>
        </w:rPr>
        <w:t>o</w:t>
      </w:r>
      <w:r>
        <w:rPr>
          <w:spacing w:val="-1"/>
          <w:w w:val="100"/>
          <w:sz w:val="21"/>
        </w:rPr>
        <w:t>mm</w:t>
      </w:r>
      <w:r>
        <w:rPr>
          <w:w w:val="100"/>
          <w:sz w:val="21"/>
        </w:rPr>
        <w:t>i</w:t>
      </w:r>
      <w:r>
        <w:rPr>
          <w:w w:val="100"/>
          <w:sz w:val="21"/>
        </w:rPr>
        <w:t>s</w:t>
      </w:r>
      <w:r>
        <w:rPr>
          <w:spacing w:val="-3"/>
          <w:w w:val="100"/>
          <w:sz w:val="21"/>
        </w:rPr>
        <w:t>s</w:t>
      </w:r>
      <w:r>
        <w:rPr>
          <w:w w:val="100"/>
          <w:sz w:val="21"/>
        </w:rPr>
        <w:t>i</w:t>
      </w:r>
      <w:r>
        <w:rPr>
          <w:w w:val="100"/>
          <w:sz w:val="21"/>
        </w:rPr>
        <w:t>o</w:t>
      </w:r>
      <w:r>
        <w:rPr>
          <w:spacing w:val="-3"/>
          <w:w w:val="100"/>
          <w:sz w:val="21"/>
        </w:rPr>
        <w:t>n</w:t>
      </w:r>
      <w:r>
        <w:rPr>
          <w:w w:val="100"/>
          <w:sz w:val="21"/>
        </w:rPr>
        <w:t>er, </w:t>
      </w:r>
      <w:r>
        <w:rPr>
          <w:sz w:val="21"/>
        </w:rPr>
        <w:t>after such local inspection as he deems necessary and after reducing to writing the evidence taken by him, shall return such evidence, together with his report in writing signed by him, to the</w:t>
      </w:r>
      <w:r>
        <w:rPr>
          <w:spacing w:val="-5"/>
          <w:sz w:val="21"/>
        </w:rPr>
        <w:t> </w:t>
      </w:r>
      <w:r>
        <w:rPr>
          <w:sz w:val="21"/>
        </w:rPr>
        <w:t>Court.</w:t>
      </w:r>
    </w:p>
    <w:p>
      <w:pPr>
        <w:pStyle w:val="ListParagraph"/>
        <w:numPr>
          <w:ilvl w:val="1"/>
          <w:numId w:val="138"/>
        </w:numPr>
        <w:tabs>
          <w:tab w:pos="2260" w:val="left" w:leader="none"/>
        </w:tabs>
        <w:spacing w:line="276" w:lineRule="auto" w:before="2" w:after="0"/>
        <w:ind w:left="1940" w:right="2261" w:firstLine="0"/>
        <w:jc w:val="both"/>
        <w:rPr>
          <w:sz w:val="21"/>
        </w:rPr>
      </w:pPr>
      <w:r>
        <w:rPr>
          <w:sz w:val="21"/>
        </w:rPr>
        <w:t>Report and deposition to be evidence in suit. The report of the Commissioner and the evidence taken by him (but not the evidence without the report) shall be evidence in the suit and shall form part of the record; but the Court or, with the permission of the Court, any of the parties to suit may examine the Commissioner personally in open Court touching any part of the matters referred to him or mentioned in his report, or as to his report, or as to the manner in which he has made the</w:t>
      </w:r>
      <w:r>
        <w:rPr>
          <w:spacing w:val="-2"/>
          <w:sz w:val="21"/>
        </w:rPr>
        <w:t> </w:t>
      </w:r>
      <w:r>
        <w:rPr>
          <w:sz w:val="21"/>
        </w:rPr>
        <w:t>investigation.</w:t>
      </w:r>
    </w:p>
    <w:p>
      <w:pPr>
        <w:pStyle w:val="ListParagraph"/>
        <w:numPr>
          <w:ilvl w:val="1"/>
          <w:numId w:val="138"/>
        </w:numPr>
        <w:tabs>
          <w:tab w:pos="2294" w:val="left" w:leader="none"/>
        </w:tabs>
        <w:spacing w:line="276" w:lineRule="auto" w:before="0" w:after="0"/>
        <w:ind w:left="1940" w:right="2264" w:firstLine="0"/>
        <w:jc w:val="both"/>
        <w:rPr>
          <w:sz w:val="21"/>
        </w:rPr>
      </w:pPr>
      <w:r>
        <w:rPr>
          <w:sz w:val="21"/>
        </w:rPr>
        <w:t>Where the Court is for any reason dissatisfied with the proceedings of the Commissioner, it may direct such further inquiry to be made as it shall think</w:t>
      </w:r>
      <w:r>
        <w:rPr>
          <w:spacing w:val="-20"/>
          <w:sz w:val="21"/>
        </w:rPr>
        <w:t> </w:t>
      </w:r>
      <w:r>
        <w:rPr>
          <w:sz w:val="21"/>
        </w:rPr>
        <w:t>fit.‖</w:t>
      </w:r>
    </w:p>
    <w:p>
      <w:pPr>
        <w:pStyle w:val="BodyText"/>
        <w:rPr>
          <w:sz w:val="24"/>
        </w:rPr>
      </w:pPr>
    </w:p>
    <w:p>
      <w:pPr>
        <w:pStyle w:val="BodyText"/>
        <w:spacing w:before="5"/>
        <w:rPr>
          <w:sz w:val="24"/>
        </w:rPr>
      </w:pPr>
    </w:p>
    <w:p>
      <w:pPr>
        <w:pStyle w:val="BodyText"/>
        <w:spacing w:line="480" w:lineRule="auto"/>
        <w:ind w:left="500" w:right="444"/>
        <w:jc w:val="both"/>
      </w:pPr>
      <w:r>
        <w:rPr/>
        <w:t>Rule 10A makes the following provisions in regard to the appointment of a commission for the purposes of scientific investigation:</w:t>
      </w:r>
    </w:p>
    <w:p>
      <w:pPr>
        <w:spacing w:line="276" w:lineRule="auto" w:before="0"/>
        <w:ind w:left="1940" w:right="2261" w:firstLine="0"/>
        <w:jc w:val="both"/>
        <w:rPr>
          <w:sz w:val="21"/>
        </w:rPr>
      </w:pPr>
      <w:r>
        <w:rPr>
          <w:spacing w:val="-1"/>
          <w:w w:val="33"/>
          <w:sz w:val="21"/>
        </w:rPr>
        <w:t>―</w:t>
      </w:r>
      <w:r>
        <w:rPr>
          <w:spacing w:val="-1"/>
          <w:w w:val="100"/>
          <w:sz w:val="21"/>
        </w:rPr>
        <w:t>10</w:t>
      </w:r>
      <w:r>
        <w:rPr>
          <w:w w:val="100"/>
          <w:sz w:val="21"/>
        </w:rPr>
        <w:t>A</w:t>
      </w:r>
      <w:r>
        <w:rPr>
          <w:sz w:val="21"/>
        </w:rPr>
        <w:t> </w:t>
      </w:r>
      <w:r>
        <w:rPr>
          <w:spacing w:val="-4"/>
          <w:sz w:val="21"/>
        </w:rPr>
        <w:t> </w:t>
      </w:r>
      <w:r>
        <w:rPr>
          <w:w w:val="100"/>
          <w:sz w:val="21"/>
        </w:rPr>
        <w:t>.</w:t>
      </w:r>
      <w:r>
        <w:rPr>
          <w:sz w:val="21"/>
        </w:rPr>
        <w:t> </w:t>
      </w:r>
      <w:r>
        <w:rPr>
          <w:spacing w:val="-3"/>
          <w:sz w:val="21"/>
        </w:rPr>
        <w:t> </w:t>
      </w:r>
      <w:r>
        <w:rPr>
          <w:spacing w:val="-2"/>
          <w:w w:val="100"/>
          <w:sz w:val="21"/>
        </w:rPr>
        <w:t>C</w:t>
      </w:r>
      <w:r>
        <w:rPr>
          <w:spacing w:val="-3"/>
          <w:w w:val="100"/>
          <w:sz w:val="21"/>
        </w:rPr>
        <w:t>o</w:t>
      </w:r>
      <w:r>
        <w:rPr>
          <w:spacing w:val="-1"/>
          <w:w w:val="100"/>
          <w:sz w:val="21"/>
        </w:rPr>
        <w:t>mm</w:t>
      </w:r>
      <w:r>
        <w:rPr>
          <w:w w:val="100"/>
          <w:sz w:val="21"/>
        </w:rPr>
        <w:t>i</w:t>
      </w:r>
      <w:r>
        <w:rPr>
          <w:w w:val="100"/>
          <w:sz w:val="21"/>
        </w:rPr>
        <w:t>s</w:t>
      </w:r>
      <w:r>
        <w:rPr>
          <w:spacing w:val="-3"/>
          <w:w w:val="100"/>
          <w:sz w:val="21"/>
        </w:rPr>
        <w:t>s</w:t>
      </w:r>
      <w:r>
        <w:rPr>
          <w:w w:val="100"/>
          <w:sz w:val="21"/>
        </w:rPr>
        <w:t>i</w:t>
      </w:r>
      <w:r>
        <w:rPr>
          <w:w w:val="100"/>
          <w:sz w:val="21"/>
        </w:rPr>
        <w:t>on</w:t>
      </w:r>
      <w:r>
        <w:rPr>
          <w:sz w:val="21"/>
        </w:rPr>
        <w:t> </w:t>
      </w:r>
      <w:r>
        <w:rPr>
          <w:spacing w:val="-4"/>
          <w:sz w:val="21"/>
        </w:rPr>
        <w:t> </w:t>
      </w:r>
      <w:r>
        <w:rPr>
          <w:spacing w:val="-2"/>
          <w:w w:val="100"/>
          <w:sz w:val="21"/>
        </w:rPr>
        <w:t>f</w:t>
      </w:r>
      <w:r>
        <w:rPr>
          <w:w w:val="100"/>
          <w:sz w:val="21"/>
        </w:rPr>
        <w:t>or</w:t>
      </w:r>
      <w:r>
        <w:rPr>
          <w:sz w:val="21"/>
        </w:rPr>
        <w:t> </w:t>
      </w:r>
      <w:r>
        <w:rPr>
          <w:spacing w:val="-5"/>
          <w:sz w:val="21"/>
        </w:rPr>
        <w:t> </w:t>
      </w:r>
      <w:r>
        <w:rPr>
          <w:w w:val="100"/>
          <w:sz w:val="21"/>
        </w:rPr>
        <w:t>sci</w:t>
      </w:r>
      <w:r>
        <w:rPr>
          <w:spacing w:val="-3"/>
          <w:w w:val="100"/>
          <w:sz w:val="21"/>
        </w:rPr>
        <w:t>e</w:t>
      </w:r>
      <w:r>
        <w:rPr>
          <w:w w:val="100"/>
          <w:sz w:val="21"/>
        </w:rPr>
        <w:t>n</w:t>
      </w:r>
      <w:r>
        <w:rPr>
          <w:spacing w:val="-1"/>
          <w:w w:val="100"/>
          <w:sz w:val="21"/>
        </w:rPr>
        <w:t>t</w:t>
      </w:r>
      <w:r>
        <w:rPr>
          <w:spacing w:val="-2"/>
          <w:w w:val="100"/>
          <w:sz w:val="21"/>
        </w:rPr>
        <w:t>i</w:t>
      </w:r>
      <w:r>
        <w:rPr>
          <w:spacing w:val="1"/>
          <w:w w:val="100"/>
          <w:sz w:val="21"/>
        </w:rPr>
        <w:t>f</w:t>
      </w:r>
      <w:r>
        <w:rPr>
          <w:w w:val="100"/>
          <w:sz w:val="21"/>
        </w:rPr>
        <w:t>i</w:t>
      </w:r>
      <w:r>
        <w:rPr>
          <w:w w:val="100"/>
          <w:sz w:val="21"/>
        </w:rPr>
        <w:t>c</w:t>
      </w:r>
      <w:r>
        <w:rPr>
          <w:sz w:val="21"/>
        </w:rPr>
        <w:t> </w:t>
      </w:r>
      <w:r>
        <w:rPr>
          <w:spacing w:val="-5"/>
          <w:sz w:val="21"/>
        </w:rPr>
        <w:t> </w:t>
      </w:r>
      <w:r>
        <w:rPr>
          <w:spacing w:val="-2"/>
          <w:w w:val="100"/>
          <w:sz w:val="21"/>
        </w:rPr>
        <w:t>i</w:t>
      </w:r>
      <w:r>
        <w:rPr>
          <w:w w:val="100"/>
          <w:sz w:val="21"/>
        </w:rPr>
        <w:t>n</w:t>
      </w:r>
      <w:r>
        <w:rPr>
          <w:spacing w:val="-3"/>
          <w:w w:val="100"/>
          <w:sz w:val="21"/>
        </w:rPr>
        <w:t>v</w:t>
      </w:r>
      <w:r>
        <w:rPr>
          <w:w w:val="100"/>
          <w:sz w:val="21"/>
        </w:rPr>
        <w:t>es</w:t>
      </w:r>
      <w:r>
        <w:rPr>
          <w:spacing w:val="-1"/>
          <w:w w:val="100"/>
          <w:sz w:val="21"/>
        </w:rPr>
        <w:t>t</w:t>
      </w:r>
      <w:r>
        <w:rPr>
          <w:w w:val="100"/>
          <w:sz w:val="21"/>
        </w:rPr>
        <w:t>i</w:t>
      </w:r>
      <w:r>
        <w:rPr>
          <w:w w:val="100"/>
          <w:sz w:val="21"/>
        </w:rPr>
        <w:t>ga</w:t>
      </w:r>
      <w:r>
        <w:rPr>
          <w:spacing w:val="-4"/>
          <w:w w:val="100"/>
          <w:sz w:val="21"/>
        </w:rPr>
        <w:t>t</w:t>
      </w:r>
      <w:r>
        <w:rPr>
          <w:w w:val="100"/>
          <w:sz w:val="21"/>
        </w:rPr>
        <w:t>i</w:t>
      </w:r>
      <w:r>
        <w:rPr>
          <w:w w:val="100"/>
          <w:sz w:val="21"/>
        </w:rPr>
        <w:t>o</w:t>
      </w:r>
      <w:r>
        <w:rPr>
          <w:spacing w:val="1"/>
          <w:w w:val="100"/>
          <w:sz w:val="21"/>
        </w:rPr>
        <w:t>n</w:t>
      </w:r>
      <w:r>
        <w:rPr>
          <w:w w:val="100"/>
          <w:sz w:val="21"/>
        </w:rPr>
        <w:t>—</w:t>
      </w:r>
      <w:r>
        <w:rPr>
          <w:sz w:val="21"/>
        </w:rPr>
        <w:t> </w:t>
      </w:r>
      <w:r>
        <w:rPr>
          <w:spacing w:val="-4"/>
          <w:sz w:val="21"/>
        </w:rPr>
        <w:t> </w:t>
      </w:r>
      <w:r>
        <w:rPr>
          <w:spacing w:val="-1"/>
          <w:w w:val="100"/>
          <w:sz w:val="21"/>
        </w:rPr>
        <w:t>(</w:t>
      </w:r>
      <w:r>
        <w:rPr>
          <w:w w:val="100"/>
          <w:sz w:val="21"/>
        </w:rPr>
        <w:t>1)</w:t>
      </w:r>
      <w:r>
        <w:rPr>
          <w:sz w:val="21"/>
        </w:rPr>
        <w:t> </w:t>
      </w:r>
      <w:r>
        <w:rPr>
          <w:spacing w:val="-8"/>
          <w:sz w:val="21"/>
        </w:rPr>
        <w:t> </w:t>
      </w:r>
      <w:r>
        <w:rPr>
          <w:spacing w:val="6"/>
          <w:w w:val="100"/>
          <w:sz w:val="21"/>
        </w:rPr>
        <w:t>W</w:t>
      </w:r>
      <w:r>
        <w:rPr>
          <w:spacing w:val="-3"/>
          <w:w w:val="100"/>
          <w:sz w:val="21"/>
        </w:rPr>
        <w:t>h</w:t>
      </w:r>
      <w:r>
        <w:rPr>
          <w:w w:val="100"/>
          <w:sz w:val="21"/>
        </w:rPr>
        <w:t>e</w:t>
      </w:r>
      <w:r>
        <w:rPr>
          <w:spacing w:val="-3"/>
          <w:w w:val="100"/>
          <w:sz w:val="21"/>
        </w:rPr>
        <w:t>r</w:t>
      </w:r>
      <w:r>
        <w:rPr>
          <w:w w:val="100"/>
          <w:sz w:val="21"/>
        </w:rPr>
        <w:t>e </w:t>
      </w:r>
      <w:r>
        <w:rPr>
          <w:sz w:val="21"/>
        </w:rPr>
        <w:t>any question arising in a suit involves any scientific investigation which cannot, in the opinion of the Court, be conveniently conducted before the Court, the Court may, if it thinks it necessary or expedient in the interests of justice so  to do, issue a commission to such person as it thinks</w:t>
      </w:r>
      <w:r>
        <w:rPr>
          <w:spacing w:val="-26"/>
          <w:sz w:val="21"/>
        </w:rPr>
        <w:t> </w:t>
      </w:r>
      <w:r>
        <w:rPr>
          <w:sz w:val="21"/>
        </w:rPr>
        <w:t>fit,</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7" w:firstLine="0"/>
        <w:jc w:val="both"/>
        <w:rPr>
          <w:sz w:val="21"/>
        </w:rPr>
      </w:pPr>
      <w:r>
        <w:rPr>
          <w:sz w:val="21"/>
        </w:rPr>
        <w:t>directing him to inquire into such question and report thereon to the Court.</w:t>
      </w:r>
    </w:p>
    <w:p>
      <w:pPr>
        <w:spacing w:line="276" w:lineRule="auto" w:before="0"/>
        <w:ind w:left="1940" w:right="2264" w:firstLine="0"/>
        <w:jc w:val="both"/>
        <w:rPr>
          <w:sz w:val="21"/>
        </w:rPr>
      </w:pPr>
      <w:r>
        <w:rPr>
          <w:sz w:val="21"/>
        </w:rPr>
        <w:t>(2) The provisions of rule 10 of this Order shall, as far as may be, apply in relation to a Commissioner appointed under this rule as they apply in relation to a Commissioner appointed under rule 9.‖</w:t>
      </w:r>
    </w:p>
    <w:p>
      <w:pPr>
        <w:pStyle w:val="BodyText"/>
        <w:rPr>
          <w:sz w:val="24"/>
        </w:rPr>
      </w:pPr>
    </w:p>
    <w:p>
      <w:pPr>
        <w:pStyle w:val="BodyText"/>
        <w:rPr>
          <w:sz w:val="24"/>
        </w:rPr>
      </w:pPr>
    </w:p>
    <w:p>
      <w:pPr>
        <w:pStyle w:val="BodyText"/>
        <w:spacing w:before="2"/>
        <w:rPr>
          <w:sz w:val="27"/>
        </w:rPr>
      </w:pPr>
    </w:p>
    <w:p>
      <w:pPr>
        <w:pStyle w:val="BodyText"/>
        <w:spacing w:line="480" w:lineRule="auto" w:before="1"/>
        <w:ind w:left="500"/>
      </w:pPr>
      <w:r>
        <w:rPr/>
        <w:t>Rule 10B deals with the appointment of a commission for the performance of a ministerial act which cannot be conveniently performed before the court.</w:t>
      </w:r>
    </w:p>
    <w:p>
      <w:pPr>
        <w:pStyle w:val="BodyText"/>
      </w:pPr>
    </w:p>
    <w:p>
      <w:pPr>
        <w:pStyle w:val="ListParagraph"/>
        <w:numPr>
          <w:ilvl w:val="0"/>
          <w:numId w:val="111"/>
        </w:numPr>
        <w:tabs>
          <w:tab w:pos="1221" w:val="left" w:leader="none"/>
        </w:tabs>
        <w:spacing w:line="480" w:lineRule="auto" w:before="0" w:after="0"/>
        <w:ind w:left="500" w:right="435" w:firstLine="0"/>
        <w:jc w:val="both"/>
        <w:rPr>
          <w:sz w:val="25"/>
        </w:rPr>
      </w:pPr>
      <w:r>
        <w:rPr>
          <w:sz w:val="25"/>
        </w:rPr>
        <w:t>While directing the ASI to carry out a scientific investigation, the High Court was exercising its powers under Section 75 and Rule 10A of Order XXVI. To  such an investigation, sub-rule 2 of Rule 10A stipulates that the provisions of Rule 10 shall apply, as far as may be, as they apply in relation to a Commissioner appointed under Rule 9. Rule 10(2) stipulates that the report and the evidence </w:t>
      </w:r>
      <w:r>
        <w:rPr>
          <w:w w:val="99"/>
          <w:sz w:val="25"/>
        </w:rPr>
        <w:t>take</w:t>
      </w:r>
      <w:r>
        <w:rPr>
          <w:w w:val="99"/>
          <w:sz w:val="25"/>
        </w:rPr>
        <w:t>n</w:t>
      </w:r>
      <w:r>
        <w:rPr>
          <w:spacing w:val="14"/>
          <w:sz w:val="25"/>
        </w:rPr>
        <w:t> </w:t>
      </w:r>
      <w:r>
        <w:rPr>
          <w:w w:val="99"/>
          <w:sz w:val="25"/>
        </w:rPr>
        <w:t>by</w:t>
      </w:r>
      <w:r>
        <w:rPr>
          <w:spacing w:val="14"/>
          <w:sz w:val="25"/>
        </w:rPr>
        <w:t> </w:t>
      </w:r>
      <w:r>
        <w:rPr>
          <w:w w:val="99"/>
          <w:sz w:val="25"/>
        </w:rPr>
        <w:t>the</w:t>
      </w:r>
      <w:r>
        <w:rPr>
          <w:spacing w:val="15"/>
          <w:sz w:val="25"/>
        </w:rPr>
        <w:t> </w:t>
      </w:r>
      <w:r>
        <w:rPr>
          <w:w w:val="99"/>
          <w:sz w:val="25"/>
        </w:rPr>
        <w:t>co</w:t>
      </w:r>
      <w:r>
        <w:rPr>
          <w:spacing w:val="1"/>
          <w:w w:val="99"/>
          <w:sz w:val="25"/>
        </w:rPr>
        <w:t>m</w:t>
      </w:r>
      <w:r>
        <w:rPr>
          <w:w w:val="99"/>
          <w:sz w:val="25"/>
        </w:rPr>
        <w:t>m</w:t>
      </w:r>
      <w:r>
        <w:rPr>
          <w:w w:val="99"/>
          <w:sz w:val="25"/>
        </w:rPr>
        <w:t>i</w:t>
      </w:r>
      <w:r>
        <w:rPr>
          <w:spacing w:val="2"/>
          <w:w w:val="99"/>
          <w:sz w:val="25"/>
        </w:rPr>
        <w:t>s</w:t>
      </w:r>
      <w:r>
        <w:rPr>
          <w:w w:val="99"/>
          <w:sz w:val="25"/>
        </w:rPr>
        <w:t>sione</w:t>
      </w:r>
      <w:r>
        <w:rPr>
          <w:w w:val="99"/>
          <w:sz w:val="25"/>
        </w:rPr>
        <w:t>r</w:t>
      </w:r>
      <w:r>
        <w:rPr>
          <w:spacing w:val="18"/>
          <w:sz w:val="25"/>
        </w:rPr>
        <w:t> </w:t>
      </w:r>
      <w:r>
        <w:rPr>
          <w:w w:val="33"/>
          <w:sz w:val="25"/>
        </w:rPr>
        <w:t>―</w:t>
      </w:r>
      <w:r>
        <w:rPr>
          <w:b/>
          <w:w w:val="99"/>
          <w:sz w:val="25"/>
        </w:rPr>
        <w:t>s</w:t>
      </w:r>
      <w:r>
        <w:rPr>
          <w:b/>
          <w:spacing w:val="1"/>
          <w:w w:val="99"/>
          <w:sz w:val="25"/>
        </w:rPr>
        <w:t>h</w:t>
      </w:r>
      <w:r>
        <w:rPr>
          <w:b/>
          <w:w w:val="99"/>
          <w:sz w:val="25"/>
        </w:rPr>
        <w:t>all</w:t>
      </w:r>
      <w:r>
        <w:rPr>
          <w:b/>
          <w:spacing w:val="14"/>
          <w:sz w:val="25"/>
        </w:rPr>
        <w:t> </w:t>
      </w:r>
      <w:r>
        <w:rPr>
          <w:b/>
          <w:w w:val="99"/>
          <w:sz w:val="25"/>
        </w:rPr>
        <w:t>b</w:t>
      </w:r>
      <w:r>
        <w:rPr>
          <w:b/>
          <w:w w:val="99"/>
          <w:sz w:val="25"/>
        </w:rPr>
        <w:t>e</w:t>
      </w:r>
      <w:r>
        <w:rPr>
          <w:b/>
          <w:spacing w:val="14"/>
          <w:sz w:val="25"/>
        </w:rPr>
        <w:t> </w:t>
      </w:r>
      <w:r>
        <w:rPr>
          <w:b/>
          <w:spacing w:val="2"/>
          <w:w w:val="99"/>
          <w:sz w:val="25"/>
        </w:rPr>
        <w:t>e</w:t>
      </w:r>
      <w:r>
        <w:rPr>
          <w:b/>
          <w:spacing w:val="-5"/>
          <w:w w:val="99"/>
          <w:sz w:val="25"/>
        </w:rPr>
        <w:t>v</w:t>
      </w:r>
      <w:r>
        <w:rPr>
          <w:b/>
          <w:w w:val="99"/>
          <w:sz w:val="25"/>
        </w:rPr>
        <w:t>i</w:t>
      </w:r>
      <w:r>
        <w:rPr>
          <w:b/>
          <w:spacing w:val="1"/>
          <w:w w:val="99"/>
          <w:sz w:val="25"/>
        </w:rPr>
        <w:t>d</w:t>
      </w:r>
      <w:r>
        <w:rPr>
          <w:b/>
          <w:w w:val="99"/>
          <w:sz w:val="25"/>
        </w:rPr>
        <w:t>e</w:t>
      </w:r>
      <w:r>
        <w:rPr>
          <w:b/>
          <w:spacing w:val="1"/>
          <w:w w:val="99"/>
          <w:sz w:val="25"/>
        </w:rPr>
        <w:t>n</w:t>
      </w:r>
      <w:r>
        <w:rPr>
          <w:b/>
          <w:w w:val="99"/>
          <w:sz w:val="25"/>
        </w:rPr>
        <w:t>ce</w:t>
      </w:r>
      <w:r>
        <w:rPr>
          <w:b/>
          <w:spacing w:val="14"/>
          <w:sz w:val="25"/>
        </w:rPr>
        <w:t> </w:t>
      </w:r>
      <w:r>
        <w:rPr>
          <w:b/>
          <w:w w:val="99"/>
          <w:sz w:val="25"/>
        </w:rPr>
        <w:t>in</w:t>
      </w:r>
      <w:r>
        <w:rPr>
          <w:b/>
          <w:spacing w:val="15"/>
          <w:sz w:val="25"/>
        </w:rPr>
        <w:t> </w:t>
      </w:r>
      <w:r>
        <w:rPr>
          <w:b/>
          <w:w w:val="99"/>
          <w:sz w:val="25"/>
        </w:rPr>
        <w:t>th</w:t>
      </w:r>
      <w:r>
        <w:rPr>
          <w:b/>
          <w:w w:val="99"/>
          <w:sz w:val="25"/>
        </w:rPr>
        <w:t>e</w:t>
      </w:r>
      <w:r>
        <w:rPr>
          <w:b/>
          <w:spacing w:val="14"/>
          <w:sz w:val="25"/>
        </w:rPr>
        <w:t> </w:t>
      </w:r>
      <w:r>
        <w:rPr>
          <w:b/>
          <w:w w:val="99"/>
          <w:sz w:val="25"/>
        </w:rPr>
        <w:t>s</w:t>
      </w:r>
      <w:r>
        <w:rPr>
          <w:b/>
          <w:spacing w:val="1"/>
          <w:w w:val="99"/>
          <w:sz w:val="25"/>
        </w:rPr>
        <w:t>u</w:t>
      </w:r>
      <w:r>
        <w:rPr>
          <w:b/>
          <w:w w:val="99"/>
          <w:sz w:val="25"/>
        </w:rPr>
        <w:t>i</w:t>
      </w:r>
      <w:r>
        <w:rPr>
          <w:b/>
          <w:spacing w:val="6"/>
          <w:w w:val="99"/>
          <w:sz w:val="25"/>
        </w:rPr>
        <w:t>t</w:t>
      </w:r>
      <w:r>
        <w:rPr>
          <w:spacing w:val="-2"/>
          <w:w w:val="88"/>
          <w:sz w:val="25"/>
        </w:rPr>
        <w:t>‖</w:t>
      </w:r>
      <w:r>
        <w:rPr>
          <w:w w:val="88"/>
          <w:sz w:val="25"/>
        </w:rPr>
        <w:t>.</w:t>
      </w:r>
      <w:r>
        <w:rPr>
          <w:spacing w:val="14"/>
          <w:sz w:val="25"/>
        </w:rPr>
        <w:t> </w:t>
      </w:r>
      <w:r>
        <w:rPr>
          <w:w w:val="99"/>
          <w:sz w:val="25"/>
        </w:rPr>
        <w:t>T</w:t>
      </w:r>
      <w:r>
        <w:rPr>
          <w:w w:val="99"/>
          <w:sz w:val="25"/>
        </w:rPr>
        <w:t>he</w:t>
      </w:r>
      <w:r>
        <w:rPr>
          <w:w w:val="99"/>
          <w:sz w:val="25"/>
        </w:rPr>
        <w:t>r</w:t>
      </w:r>
      <w:r>
        <w:rPr>
          <w:w w:val="99"/>
          <w:sz w:val="25"/>
        </w:rPr>
        <w:t>e</w:t>
      </w:r>
      <w:r>
        <w:rPr>
          <w:spacing w:val="14"/>
          <w:sz w:val="25"/>
        </w:rPr>
        <w:t> </w:t>
      </w:r>
      <w:r>
        <w:rPr>
          <w:w w:val="99"/>
          <w:sz w:val="25"/>
        </w:rPr>
        <w:t>is</w:t>
      </w:r>
      <w:r>
        <w:rPr>
          <w:spacing w:val="14"/>
          <w:sz w:val="25"/>
        </w:rPr>
        <w:t> </w:t>
      </w:r>
      <w:r>
        <w:rPr>
          <w:w w:val="99"/>
          <w:sz w:val="25"/>
        </w:rPr>
        <w:t>a</w:t>
      </w:r>
      <w:r>
        <w:rPr>
          <w:spacing w:val="14"/>
          <w:sz w:val="25"/>
        </w:rPr>
        <w:t> </w:t>
      </w:r>
      <w:r>
        <w:rPr>
          <w:w w:val="99"/>
          <w:sz w:val="25"/>
        </w:rPr>
        <w:t>m</w:t>
      </w:r>
      <w:r>
        <w:rPr>
          <w:w w:val="99"/>
          <w:sz w:val="25"/>
        </w:rPr>
        <w:t>anda</w:t>
      </w:r>
      <w:r>
        <w:rPr>
          <w:w w:val="99"/>
          <w:sz w:val="25"/>
        </w:rPr>
        <w:t>te </w:t>
      </w:r>
      <w:r>
        <w:rPr>
          <w:sz w:val="25"/>
        </w:rPr>
        <w:t>of the statute that the report and the evidence be treated as evidence in the suit </w:t>
      </w:r>
      <w:r>
        <w:rPr>
          <w:spacing w:val="-1"/>
          <w:w w:val="99"/>
          <w:sz w:val="25"/>
        </w:rPr>
        <w:t>a</w:t>
      </w:r>
      <w:r>
        <w:rPr>
          <w:w w:val="99"/>
          <w:sz w:val="25"/>
        </w:rPr>
        <w:t>nd</w:t>
      </w:r>
      <w:r>
        <w:rPr>
          <w:spacing w:val="33"/>
          <w:sz w:val="25"/>
        </w:rPr>
        <w:t> </w:t>
      </w:r>
      <w:r>
        <w:rPr>
          <w:w w:val="99"/>
          <w:sz w:val="25"/>
        </w:rPr>
        <w:t>that</w:t>
      </w:r>
      <w:r>
        <w:rPr>
          <w:spacing w:val="33"/>
          <w:sz w:val="25"/>
        </w:rPr>
        <w:t> </w:t>
      </w:r>
      <w:r>
        <w:rPr>
          <w:spacing w:val="-1"/>
          <w:w w:val="99"/>
          <w:sz w:val="25"/>
        </w:rPr>
        <w:t>i</w:t>
      </w:r>
      <w:r>
        <w:rPr>
          <w:w w:val="99"/>
          <w:sz w:val="25"/>
        </w:rPr>
        <w:t>t</w:t>
      </w:r>
      <w:r>
        <w:rPr>
          <w:spacing w:val="33"/>
          <w:sz w:val="25"/>
        </w:rPr>
        <w:t> </w:t>
      </w:r>
      <w:r>
        <w:rPr>
          <w:w w:val="33"/>
          <w:sz w:val="25"/>
        </w:rPr>
        <w:t>―</w:t>
      </w:r>
      <w:r>
        <w:rPr>
          <w:w w:val="99"/>
          <w:sz w:val="25"/>
        </w:rPr>
        <w:t>sha</w:t>
      </w:r>
      <w:r>
        <w:rPr>
          <w:spacing w:val="-1"/>
          <w:w w:val="99"/>
          <w:sz w:val="25"/>
        </w:rPr>
        <w:t>l</w:t>
      </w:r>
      <w:r>
        <w:rPr>
          <w:w w:val="99"/>
          <w:sz w:val="25"/>
        </w:rPr>
        <w:t>l</w:t>
      </w:r>
      <w:r>
        <w:rPr>
          <w:spacing w:val="33"/>
          <w:sz w:val="25"/>
        </w:rPr>
        <w:t> </w:t>
      </w:r>
      <w:r>
        <w:rPr>
          <w:w w:val="99"/>
          <w:sz w:val="25"/>
        </w:rPr>
        <w:t>fo</w:t>
      </w:r>
      <w:r>
        <w:rPr>
          <w:spacing w:val="-1"/>
          <w:w w:val="99"/>
          <w:sz w:val="25"/>
        </w:rPr>
        <w:t>r</w:t>
      </w:r>
      <w:r>
        <w:rPr>
          <w:w w:val="99"/>
          <w:sz w:val="25"/>
        </w:rPr>
        <w:t>m</w:t>
      </w:r>
      <w:r>
        <w:rPr>
          <w:spacing w:val="34"/>
          <w:sz w:val="25"/>
        </w:rPr>
        <w:t> </w:t>
      </w:r>
      <w:r>
        <w:rPr>
          <w:spacing w:val="-1"/>
          <w:w w:val="99"/>
          <w:sz w:val="25"/>
        </w:rPr>
        <w:t>p</w:t>
      </w:r>
      <w:r>
        <w:rPr>
          <w:w w:val="99"/>
          <w:sz w:val="25"/>
        </w:rPr>
        <w:t>art</w:t>
      </w:r>
      <w:r>
        <w:rPr>
          <w:spacing w:val="33"/>
          <w:sz w:val="25"/>
        </w:rPr>
        <w:t> </w:t>
      </w:r>
      <w:r>
        <w:rPr>
          <w:spacing w:val="-1"/>
          <w:w w:val="99"/>
          <w:sz w:val="25"/>
        </w:rPr>
        <w:t>o</w:t>
      </w:r>
      <w:r>
        <w:rPr>
          <w:w w:val="99"/>
          <w:sz w:val="25"/>
        </w:rPr>
        <w:t>f</w:t>
      </w:r>
      <w:r>
        <w:rPr>
          <w:spacing w:val="34"/>
          <w:sz w:val="25"/>
        </w:rPr>
        <w:t> </w:t>
      </w:r>
      <w:r>
        <w:rPr>
          <w:w w:val="99"/>
          <w:sz w:val="25"/>
        </w:rPr>
        <w:t>the</w:t>
      </w:r>
      <w:r>
        <w:rPr>
          <w:spacing w:val="34"/>
          <w:sz w:val="25"/>
        </w:rPr>
        <w:t> </w:t>
      </w:r>
      <w:r>
        <w:rPr>
          <w:w w:val="99"/>
          <w:sz w:val="25"/>
        </w:rPr>
        <w:t>r</w:t>
      </w:r>
      <w:r>
        <w:rPr>
          <w:spacing w:val="-1"/>
          <w:w w:val="99"/>
          <w:sz w:val="25"/>
        </w:rPr>
        <w:t>ec</w:t>
      </w:r>
      <w:r>
        <w:rPr>
          <w:w w:val="99"/>
          <w:sz w:val="25"/>
        </w:rPr>
        <w:t>or</w:t>
      </w:r>
      <w:r>
        <w:rPr>
          <w:spacing w:val="-3"/>
          <w:w w:val="99"/>
          <w:sz w:val="25"/>
        </w:rPr>
        <w:t>d</w:t>
      </w:r>
      <w:r>
        <w:rPr>
          <w:spacing w:val="-2"/>
          <w:w w:val="80"/>
          <w:sz w:val="25"/>
        </w:rPr>
        <w:t>‖</w:t>
      </w:r>
      <w:r>
        <w:rPr>
          <w:w w:val="99"/>
          <w:sz w:val="25"/>
        </w:rPr>
        <w:t>.</w:t>
      </w:r>
      <w:r>
        <w:rPr>
          <w:spacing w:val="33"/>
          <w:sz w:val="25"/>
        </w:rPr>
        <w:t> </w:t>
      </w:r>
      <w:r>
        <w:rPr>
          <w:spacing w:val="-1"/>
          <w:w w:val="99"/>
          <w:sz w:val="25"/>
        </w:rPr>
        <w:t>Howe</w:t>
      </w:r>
      <w:r>
        <w:rPr>
          <w:spacing w:val="-3"/>
          <w:w w:val="99"/>
          <w:sz w:val="25"/>
        </w:rPr>
        <w:t>v</w:t>
      </w:r>
      <w:r>
        <w:rPr>
          <w:spacing w:val="-1"/>
          <w:w w:val="99"/>
          <w:sz w:val="25"/>
        </w:rPr>
        <w:t>e</w:t>
      </w:r>
      <w:r>
        <w:rPr>
          <w:w w:val="99"/>
          <w:sz w:val="25"/>
        </w:rPr>
        <w:t>r,</w:t>
      </w:r>
      <w:r>
        <w:rPr>
          <w:spacing w:val="33"/>
          <w:sz w:val="25"/>
        </w:rPr>
        <w:t> </w:t>
      </w:r>
      <w:r>
        <w:rPr>
          <w:spacing w:val="-1"/>
          <w:w w:val="99"/>
          <w:sz w:val="25"/>
        </w:rPr>
        <w:t>eit</w:t>
      </w:r>
      <w:r>
        <w:rPr>
          <w:w w:val="99"/>
          <w:sz w:val="25"/>
        </w:rPr>
        <w:t>h</w:t>
      </w:r>
      <w:r>
        <w:rPr>
          <w:spacing w:val="-1"/>
          <w:w w:val="99"/>
          <w:sz w:val="25"/>
        </w:rPr>
        <w:t>e</w:t>
      </w:r>
      <w:r>
        <w:rPr>
          <w:w w:val="99"/>
          <w:sz w:val="25"/>
        </w:rPr>
        <w:t>r</w:t>
      </w:r>
      <w:r>
        <w:rPr>
          <w:spacing w:val="34"/>
          <w:sz w:val="25"/>
        </w:rPr>
        <w:t> </w:t>
      </w:r>
      <w:r>
        <w:rPr>
          <w:w w:val="99"/>
          <w:sz w:val="25"/>
        </w:rPr>
        <w:t>the</w:t>
      </w:r>
      <w:r>
        <w:rPr>
          <w:sz w:val="25"/>
        </w:rPr>
        <w:t> </w:t>
      </w:r>
      <w:r>
        <w:rPr>
          <w:spacing w:val="-33"/>
          <w:sz w:val="25"/>
        </w:rPr>
        <w:t> </w:t>
      </w:r>
      <w:r>
        <w:rPr>
          <w:w w:val="99"/>
          <w:sz w:val="25"/>
        </w:rPr>
        <w:t>court</w:t>
      </w:r>
      <w:r>
        <w:rPr>
          <w:spacing w:val="33"/>
          <w:sz w:val="25"/>
        </w:rPr>
        <w:t> </w:t>
      </w:r>
      <w:r>
        <w:rPr>
          <w:spacing w:val="-1"/>
          <w:w w:val="99"/>
          <w:sz w:val="25"/>
        </w:rPr>
        <w:t>o</w:t>
      </w:r>
      <w:r>
        <w:rPr>
          <w:w w:val="99"/>
          <w:sz w:val="25"/>
        </w:rPr>
        <w:t>n</w:t>
      </w:r>
      <w:r>
        <w:rPr>
          <w:spacing w:val="33"/>
          <w:sz w:val="25"/>
        </w:rPr>
        <w:t> </w:t>
      </w:r>
      <w:r>
        <w:rPr>
          <w:spacing w:val="-1"/>
          <w:w w:val="99"/>
          <w:sz w:val="25"/>
        </w:rPr>
        <w:t>it</w:t>
      </w:r>
      <w:r>
        <w:rPr>
          <w:w w:val="99"/>
          <w:sz w:val="25"/>
        </w:rPr>
        <w:t>s</w:t>
      </w:r>
      <w:r>
        <w:rPr>
          <w:spacing w:val="33"/>
          <w:sz w:val="25"/>
        </w:rPr>
        <w:t> </w:t>
      </w:r>
      <w:r>
        <w:rPr>
          <w:spacing w:val="-1"/>
          <w:w w:val="99"/>
          <w:sz w:val="25"/>
        </w:rPr>
        <w:t>own </w:t>
      </w:r>
      <w:r>
        <w:rPr>
          <w:sz w:val="25"/>
        </w:rPr>
        <w:t>accord or any of the parties to the suit (with the permission of the court) may examine the Commissioner personally. This is an enabling provision under which the Commissioner can be examined either by the court on its own accord or at the behest of a party to the suit. The subject matter on which the Commissioner can be examined is also described in sub-rule 2 of Rule 10. The Commissioner may be examined</w:t>
      </w:r>
      <w:r>
        <w:rPr>
          <w:spacing w:val="-4"/>
          <w:sz w:val="25"/>
        </w:rPr>
        <w:t> </w:t>
      </w:r>
      <w:r>
        <w:rPr>
          <w:sz w:val="25"/>
        </w:rPr>
        <w:t>on:</w:t>
      </w:r>
    </w:p>
    <w:p>
      <w:pPr>
        <w:pStyle w:val="ListParagraph"/>
        <w:numPr>
          <w:ilvl w:val="0"/>
          <w:numId w:val="159"/>
        </w:numPr>
        <w:tabs>
          <w:tab w:pos="1221" w:val="left" w:leader="none"/>
        </w:tabs>
        <w:spacing w:line="240" w:lineRule="auto" w:before="160" w:after="0"/>
        <w:ind w:left="1220" w:right="0" w:hanging="721"/>
        <w:jc w:val="both"/>
        <w:rPr>
          <w:sz w:val="25"/>
        </w:rPr>
      </w:pPr>
      <w:r>
        <w:rPr>
          <w:sz w:val="25"/>
        </w:rPr>
        <w:t>Any of the matters</w:t>
      </w:r>
      <w:r>
        <w:rPr>
          <w:spacing w:val="-6"/>
          <w:sz w:val="25"/>
        </w:rPr>
        <w:t> </w:t>
      </w:r>
      <w:r>
        <w:rPr>
          <w:sz w:val="25"/>
        </w:rPr>
        <w:t>referred;</w:t>
      </w:r>
    </w:p>
    <w:p>
      <w:pPr>
        <w:pStyle w:val="BodyText"/>
        <w:spacing w:before="1"/>
      </w:pPr>
    </w:p>
    <w:p>
      <w:pPr>
        <w:pStyle w:val="ListParagraph"/>
        <w:numPr>
          <w:ilvl w:val="0"/>
          <w:numId w:val="159"/>
        </w:numPr>
        <w:tabs>
          <w:tab w:pos="1221" w:val="left" w:leader="none"/>
        </w:tabs>
        <w:spacing w:line="240" w:lineRule="auto" w:before="0" w:after="0"/>
        <w:ind w:left="1220" w:right="0" w:hanging="721"/>
        <w:jc w:val="both"/>
        <w:rPr>
          <w:sz w:val="25"/>
        </w:rPr>
      </w:pPr>
      <w:r>
        <w:rPr>
          <w:sz w:val="25"/>
        </w:rPr>
        <w:t>Any of the matters mentioned in the</w:t>
      </w:r>
      <w:r>
        <w:rPr>
          <w:spacing w:val="-8"/>
          <w:sz w:val="25"/>
        </w:rPr>
        <w:t> </w:t>
      </w:r>
      <w:r>
        <w:rPr>
          <w:sz w:val="25"/>
        </w:rPr>
        <w:t>report;</w:t>
      </w:r>
    </w:p>
    <w:p>
      <w:pPr>
        <w:pStyle w:val="BodyText"/>
        <w:spacing w:before="10"/>
        <w:rPr>
          <w:sz w:val="24"/>
        </w:rPr>
      </w:pPr>
    </w:p>
    <w:p>
      <w:pPr>
        <w:pStyle w:val="ListParagraph"/>
        <w:numPr>
          <w:ilvl w:val="0"/>
          <w:numId w:val="159"/>
        </w:numPr>
        <w:tabs>
          <w:tab w:pos="1221" w:val="left" w:leader="none"/>
        </w:tabs>
        <w:spacing w:line="240" w:lineRule="auto" w:before="1" w:after="0"/>
        <w:ind w:left="1220" w:right="0" w:hanging="721"/>
        <w:jc w:val="both"/>
        <w:rPr>
          <w:sz w:val="25"/>
        </w:rPr>
      </w:pPr>
      <w:r>
        <w:rPr>
          <w:sz w:val="25"/>
        </w:rPr>
        <w:t>As to the report;</w:t>
      </w:r>
      <w:r>
        <w:rPr>
          <w:spacing w:val="-4"/>
          <w:sz w:val="25"/>
        </w:rPr>
        <w:t> </w:t>
      </w:r>
      <w:r>
        <w:rPr>
          <w:sz w:val="25"/>
        </w:rPr>
        <w:t>or</w:t>
      </w:r>
    </w:p>
    <w:p>
      <w:pPr>
        <w:spacing w:after="0" w:line="240" w:lineRule="auto"/>
        <w:jc w:val="both"/>
        <w:rPr>
          <w:sz w:val="25"/>
        </w:rPr>
        <w:sectPr>
          <w:pgSz w:w="11910" w:h="16840"/>
          <w:pgMar w:header="721" w:footer="1014" w:top="1300" w:bottom="1200" w:left="940" w:right="1000"/>
        </w:sectPr>
      </w:pPr>
    </w:p>
    <w:p>
      <w:pPr>
        <w:pStyle w:val="ListParagraph"/>
        <w:numPr>
          <w:ilvl w:val="0"/>
          <w:numId w:val="159"/>
        </w:numPr>
        <w:tabs>
          <w:tab w:pos="1220" w:val="left" w:leader="none"/>
          <w:tab w:pos="1221" w:val="left" w:leader="none"/>
        </w:tabs>
        <w:spacing w:line="240" w:lineRule="auto" w:before="124" w:after="0"/>
        <w:ind w:left="1220" w:right="0" w:hanging="721"/>
        <w:jc w:val="left"/>
        <w:rPr>
          <w:sz w:val="25"/>
        </w:rPr>
      </w:pPr>
      <w:r>
        <w:rPr>
          <w:sz w:val="25"/>
        </w:rPr>
        <w:t>As to the manner in which the investigation has been</w:t>
      </w:r>
      <w:r>
        <w:rPr>
          <w:spacing w:val="-8"/>
          <w:sz w:val="25"/>
        </w:rPr>
        <w:t> </w:t>
      </w:r>
      <w:r>
        <w:rPr>
          <w:sz w:val="25"/>
        </w:rPr>
        <w:t>made.</w:t>
      </w:r>
    </w:p>
    <w:p>
      <w:pPr>
        <w:pStyle w:val="BodyText"/>
        <w:rPr>
          <w:sz w:val="28"/>
        </w:rPr>
      </w:pPr>
    </w:p>
    <w:p>
      <w:pPr>
        <w:pStyle w:val="BodyText"/>
        <w:spacing w:line="480" w:lineRule="auto" w:before="165"/>
        <w:ind w:left="500" w:right="441"/>
        <w:jc w:val="both"/>
      </w:pPr>
      <w:r>
        <w:rPr/>
        <w:t>This covers both matters of procedure followed in conducting the investigation and the substantive aspects of the report.</w:t>
      </w:r>
    </w:p>
    <w:p>
      <w:pPr>
        <w:pStyle w:val="BodyText"/>
        <w:rPr>
          <w:sz w:val="28"/>
        </w:rPr>
      </w:pPr>
    </w:p>
    <w:p>
      <w:pPr>
        <w:pStyle w:val="Heading5"/>
        <w:numPr>
          <w:ilvl w:val="0"/>
          <w:numId w:val="111"/>
        </w:numPr>
        <w:tabs>
          <w:tab w:pos="1220" w:val="left" w:leader="none"/>
          <w:tab w:pos="1221" w:val="left" w:leader="none"/>
        </w:tabs>
        <w:spacing w:line="240" w:lineRule="auto" w:before="252" w:after="0"/>
        <w:ind w:left="1220" w:right="0" w:hanging="721"/>
        <w:jc w:val="left"/>
      </w:pPr>
      <w:r>
        <w:rPr/>
        <w:t>Dr Bhuvan Vikram</w:t>
      </w:r>
      <w:r>
        <w:rPr>
          <w:spacing w:val="-1"/>
        </w:rPr>
        <w:t> </w:t>
      </w:r>
      <w:r>
        <w:rPr/>
        <w:t>Singh</w:t>
      </w:r>
    </w:p>
    <w:p>
      <w:pPr>
        <w:pStyle w:val="BodyText"/>
        <w:rPr>
          <w:b/>
          <w:sz w:val="28"/>
        </w:rPr>
      </w:pPr>
    </w:p>
    <w:p>
      <w:pPr>
        <w:pStyle w:val="BodyText"/>
        <w:spacing w:before="1"/>
        <w:rPr>
          <w:b/>
          <w:sz w:val="36"/>
        </w:rPr>
      </w:pPr>
    </w:p>
    <w:p>
      <w:pPr>
        <w:pStyle w:val="BodyText"/>
        <w:spacing w:line="480" w:lineRule="auto" w:before="1"/>
        <w:ind w:left="500" w:right="436"/>
        <w:jc w:val="both"/>
      </w:pPr>
      <w:r>
        <w:rPr/>
        <w:t>During the course of the proceedings before the High Court, the plaintiffs in Suit 5 filed an application requesting the examination of Dr Bhuvan Vikram Singh, who was part of the excavation team. The High Court summoned the witness. Dr Bhuvan Vikram Singh filed an application</w:t>
      </w:r>
      <w:r>
        <w:rPr>
          <w:vertAlign w:val="superscript"/>
        </w:rPr>
        <w:t>278</w:t>
      </w:r>
      <w:r>
        <w:rPr>
          <w:vertAlign w:val="baseline"/>
        </w:rPr>
        <w:t> requesting that he may be summoned as a court‘s witness as he was part of the court appointed excavation team and was not willing to depose as a witness of any party to the suit. The counsel for the plaintiffs in Suit 5 did not oppose the application and made a statement that he did not wish to examine Dr Bhuvan Vikram Singh as a witness in Suit 5. However, the counsel made a request that Dr Bhuvan Vikram Singh should be treated and examined as a court‘s witness. By an order dated 4 December 2006, the High Court discharged the witness without recording his deposition, while observing that the court itself had the discretion to call any witness and be examined as a court‘s witness and such a discretion could not be fastened upon the court by an application filed by any</w:t>
      </w:r>
      <w:r>
        <w:rPr>
          <w:spacing w:val="-16"/>
          <w:vertAlign w:val="baseline"/>
        </w:rPr>
        <w:t> </w:t>
      </w:r>
      <w:r>
        <w:rPr>
          <w:vertAlign w:val="baseline"/>
        </w:rPr>
        <w:t>party.</w:t>
      </w:r>
    </w:p>
    <w:p>
      <w:pPr>
        <w:pStyle w:val="BodyText"/>
        <w:spacing w:before="10"/>
        <w:rPr>
          <w:sz w:val="24"/>
        </w:rPr>
      </w:pPr>
    </w:p>
    <w:p>
      <w:pPr>
        <w:pStyle w:val="ListParagraph"/>
        <w:numPr>
          <w:ilvl w:val="0"/>
          <w:numId w:val="111"/>
        </w:numPr>
        <w:tabs>
          <w:tab w:pos="1221" w:val="left" w:leader="none"/>
        </w:tabs>
        <w:spacing w:line="480" w:lineRule="auto" w:before="1" w:after="0"/>
        <w:ind w:left="500" w:right="440" w:firstLine="0"/>
        <w:jc w:val="both"/>
        <w:rPr>
          <w:sz w:val="25"/>
        </w:rPr>
      </w:pPr>
      <w:r>
        <w:rPr/>
        <w:pict>
          <v:rect style="position:absolute;margin-left:72.024002pt;margin-top:88.834877pt;width:144.020pt;height:.599980pt;mso-position-horizontal-relative:page;mso-position-vertical-relative:paragraph;z-index:-15650304;mso-wrap-distance-left:0;mso-wrap-distance-right:0" filled="true" fillcolor="#000000" stroked="false">
            <v:fill type="solid"/>
            <w10:wrap type="topAndBottom"/>
          </v:rect>
        </w:pict>
      </w:r>
      <w:r>
        <w:rPr>
          <w:sz w:val="25"/>
        </w:rPr>
        <w:t>Justice Sudhir Agarwal in the course of his judgment noted that parties had raised objections to the report, which were to be decided by the court. But then, it was</w:t>
      </w:r>
      <w:r>
        <w:rPr>
          <w:spacing w:val="36"/>
          <w:sz w:val="25"/>
        </w:rPr>
        <w:t> </w:t>
      </w:r>
      <w:r>
        <w:rPr>
          <w:sz w:val="25"/>
        </w:rPr>
        <w:t>found</w:t>
      </w:r>
      <w:r>
        <w:rPr>
          <w:spacing w:val="37"/>
          <w:sz w:val="25"/>
        </w:rPr>
        <w:t> </w:t>
      </w:r>
      <w:r>
        <w:rPr>
          <w:sz w:val="25"/>
        </w:rPr>
        <w:t>that</w:t>
      </w:r>
      <w:r>
        <w:rPr>
          <w:spacing w:val="37"/>
          <w:sz w:val="25"/>
        </w:rPr>
        <w:t> </w:t>
      </w:r>
      <w:r>
        <w:rPr>
          <w:sz w:val="25"/>
        </w:rPr>
        <w:t>the</w:t>
      </w:r>
      <w:r>
        <w:rPr>
          <w:spacing w:val="35"/>
          <w:sz w:val="25"/>
        </w:rPr>
        <w:t> </w:t>
      </w:r>
      <w:r>
        <w:rPr>
          <w:sz w:val="25"/>
        </w:rPr>
        <w:t>nature</w:t>
      </w:r>
      <w:r>
        <w:rPr>
          <w:spacing w:val="37"/>
          <w:sz w:val="25"/>
        </w:rPr>
        <w:t> </w:t>
      </w:r>
      <w:r>
        <w:rPr>
          <w:sz w:val="25"/>
        </w:rPr>
        <w:t>of</w:t>
      </w:r>
      <w:r>
        <w:rPr>
          <w:spacing w:val="37"/>
          <w:sz w:val="25"/>
        </w:rPr>
        <w:t> </w:t>
      </w:r>
      <w:r>
        <w:rPr>
          <w:sz w:val="25"/>
        </w:rPr>
        <w:t>the</w:t>
      </w:r>
      <w:r>
        <w:rPr>
          <w:spacing w:val="35"/>
          <w:sz w:val="25"/>
        </w:rPr>
        <w:t> </w:t>
      </w:r>
      <w:r>
        <w:rPr>
          <w:sz w:val="25"/>
        </w:rPr>
        <w:t>objections</w:t>
      </w:r>
      <w:r>
        <w:rPr>
          <w:spacing w:val="36"/>
          <w:sz w:val="25"/>
        </w:rPr>
        <w:t> </w:t>
      </w:r>
      <w:r>
        <w:rPr>
          <w:sz w:val="25"/>
        </w:rPr>
        <w:t>was</w:t>
      </w:r>
      <w:r>
        <w:rPr>
          <w:spacing w:val="37"/>
          <w:sz w:val="25"/>
        </w:rPr>
        <w:t> </w:t>
      </w:r>
      <w:r>
        <w:rPr>
          <w:sz w:val="25"/>
        </w:rPr>
        <w:t>such</w:t>
      </w:r>
      <w:r>
        <w:rPr>
          <w:spacing w:val="37"/>
          <w:sz w:val="25"/>
        </w:rPr>
        <w:t> </w:t>
      </w:r>
      <w:r>
        <w:rPr>
          <w:sz w:val="25"/>
        </w:rPr>
        <w:t>that</w:t>
      </w:r>
      <w:r>
        <w:rPr>
          <w:spacing w:val="37"/>
          <w:sz w:val="25"/>
        </w:rPr>
        <w:t> </w:t>
      </w:r>
      <w:r>
        <w:rPr>
          <w:sz w:val="25"/>
        </w:rPr>
        <w:t>unless</w:t>
      </w:r>
      <w:r>
        <w:rPr>
          <w:spacing w:val="36"/>
          <w:sz w:val="25"/>
        </w:rPr>
        <w:t> </w:t>
      </w:r>
      <w:r>
        <w:rPr>
          <w:sz w:val="25"/>
        </w:rPr>
        <w:t>parties</w:t>
      </w:r>
      <w:r>
        <w:rPr>
          <w:spacing w:val="36"/>
          <w:sz w:val="25"/>
        </w:rPr>
        <w:t> </w:t>
      </w:r>
      <w:r>
        <w:rPr>
          <w:sz w:val="25"/>
        </w:rPr>
        <w:t>were</w:t>
      </w:r>
    </w:p>
    <w:p>
      <w:pPr>
        <w:spacing w:before="80"/>
        <w:ind w:left="500" w:right="0" w:firstLine="0"/>
        <w:jc w:val="left"/>
        <w:rPr>
          <w:sz w:val="18"/>
        </w:rPr>
      </w:pPr>
      <w:r>
        <w:rPr>
          <w:sz w:val="18"/>
          <w:vertAlign w:val="superscript"/>
        </w:rPr>
        <w:t>278</w:t>
      </w:r>
      <w:r>
        <w:rPr>
          <w:sz w:val="18"/>
          <w:vertAlign w:val="baseline"/>
        </w:rPr>
        <w:t> Application no 25(o) of 2006</w:t>
      </w:r>
    </w:p>
    <w:p>
      <w:pPr>
        <w:spacing w:after="0"/>
        <w:jc w:val="left"/>
        <w:rPr>
          <w:sz w:val="18"/>
        </w:rPr>
        <w:sectPr>
          <w:pgSz w:w="11910" w:h="16840"/>
          <w:pgMar w:header="721" w:footer="1014" w:top="1300" w:bottom="1200" w:left="940" w:right="1000"/>
        </w:sectPr>
      </w:pPr>
    </w:p>
    <w:p>
      <w:pPr>
        <w:pStyle w:val="BodyText"/>
        <w:spacing w:line="480" w:lineRule="auto" w:before="124"/>
        <w:ind w:left="500" w:right="439"/>
        <w:jc w:val="both"/>
      </w:pPr>
      <w:r>
        <w:rPr/>
        <w:t>allowed to lead evidence, a decision on the objections could not be taken. Hence, on 3 February 2005, the High Court directed that the ASI report shall be admitted in evidence but the objections that were raised by the parties would be decided at the final hearing of the suits by which time the recording of evidence would be complete. The High Court noted that there is no requirement in the law or in Rules 10 or 10A or Order XXVI that the report cannot be treated as substantive evidence unless the Commissioner is examined as a witness. The High Court observed that none of the parties opted to examine the Commissioner on any matter touching the report. Moreover, the objections filed by them did not place a challenge to the entirety of the report but only to the conclusions drawn in the Summary of results. It appears that allegations of bias and </w:t>
      </w:r>
      <w:r>
        <w:rPr>
          <w:i/>
        </w:rPr>
        <w:t>mala fides </w:t>
      </w:r>
      <w:r>
        <w:rPr/>
        <w:t>were also urged before the High Court; however, these were not pressed during the course of the hearing by Ms Arora, learned Senior Counsel, before this</w:t>
      </w:r>
      <w:r>
        <w:rPr>
          <w:spacing w:val="-11"/>
        </w:rPr>
        <w:t> </w:t>
      </w:r>
      <w:r>
        <w:rPr/>
        <w:t>Court.</w:t>
      </w:r>
    </w:p>
    <w:p>
      <w:pPr>
        <w:pStyle w:val="BodyText"/>
        <w:rPr>
          <w:sz w:val="39"/>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There is no dispute about the factual position that none of the parties sought to examine the Commissioner in terms of the provisions contained in Rule 10(2) of Order XXVI which, as seen above, are applicable by virtue of Rule 10A(2) to a Commission constituted for a scientific investigation. Rule 9 of Order XXVI is a substantive power allowing the court to issue a Commission for making a local investigation. Rule 10 is procedural in nature. Rule 10A is substantive, empowering the court to issue a commission for making a scientific investigation. Rule 10A(2) which applies the provisions of Rule 10, in its application to a Commissioner appointed under Rule 9, to a commission for scientific </w:t>
      </w:r>
      <w:r>
        <w:rPr>
          <w:spacing w:val="-1"/>
          <w:w w:val="99"/>
          <w:sz w:val="25"/>
        </w:rPr>
        <w:t>in</w:t>
      </w:r>
      <w:r>
        <w:rPr>
          <w:spacing w:val="-3"/>
          <w:w w:val="99"/>
          <w:sz w:val="25"/>
        </w:rPr>
        <w:t>v</w:t>
      </w:r>
      <w:r>
        <w:rPr>
          <w:spacing w:val="-1"/>
          <w:w w:val="99"/>
          <w:sz w:val="25"/>
        </w:rPr>
        <w:t>esti</w:t>
      </w:r>
      <w:r>
        <w:rPr>
          <w:w w:val="99"/>
          <w:sz w:val="25"/>
        </w:rPr>
        <w:t>g</w:t>
      </w:r>
      <w:r>
        <w:rPr>
          <w:spacing w:val="-1"/>
          <w:w w:val="99"/>
          <w:sz w:val="25"/>
        </w:rPr>
        <w:t>ati</w:t>
      </w:r>
      <w:r>
        <w:rPr>
          <w:w w:val="99"/>
          <w:sz w:val="25"/>
        </w:rPr>
        <w:t>on</w:t>
      </w:r>
      <w:r>
        <w:rPr>
          <w:sz w:val="25"/>
        </w:rPr>
        <w:t>  </w:t>
      </w:r>
      <w:r>
        <w:rPr>
          <w:spacing w:val="-29"/>
          <w:sz w:val="25"/>
        </w:rPr>
        <w:t> </w:t>
      </w:r>
      <w:r>
        <w:rPr>
          <w:w w:val="99"/>
          <w:sz w:val="25"/>
        </w:rPr>
        <w:t>contai</w:t>
      </w:r>
      <w:r>
        <w:rPr>
          <w:spacing w:val="3"/>
          <w:w w:val="99"/>
          <w:sz w:val="25"/>
        </w:rPr>
        <w:t>n</w:t>
      </w:r>
      <w:r>
        <w:rPr>
          <w:w w:val="99"/>
          <w:sz w:val="25"/>
        </w:rPr>
        <w:t>s</w:t>
      </w:r>
      <w:r>
        <w:rPr>
          <w:sz w:val="25"/>
        </w:rPr>
        <w:t>  </w:t>
      </w:r>
      <w:r>
        <w:rPr>
          <w:spacing w:val="-29"/>
          <w:sz w:val="25"/>
        </w:rPr>
        <w:t> </w:t>
      </w:r>
      <w:r>
        <w:rPr>
          <w:w w:val="99"/>
          <w:sz w:val="25"/>
        </w:rPr>
        <w:t>the</w:t>
      </w:r>
      <w:r>
        <w:rPr>
          <w:sz w:val="25"/>
        </w:rPr>
        <w:t>  </w:t>
      </w:r>
      <w:r>
        <w:rPr>
          <w:spacing w:val="-28"/>
          <w:sz w:val="25"/>
        </w:rPr>
        <w:t> </w:t>
      </w:r>
      <w:r>
        <w:rPr>
          <w:spacing w:val="-1"/>
          <w:w w:val="99"/>
          <w:sz w:val="25"/>
        </w:rPr>
        <w:t>e</w:t>
      </w:r>
      <w:r>
        <w:rPr>
          <w:spacing w:val="-3"/>
          <w:w w:val="99"/>
          <w:sz w:val="25"/>
        </w:rPr>
        <w:t>x</w:t>
      </w:r>
      <w:r>
        <w:rPr>
          <w:spacing w:val="-1"/>
          <w:w w:val="99"/>
          <w:sz w:val="25"/>
        </w:rPr>
        <w:t>p</w:t>
      </w:r>
      <w:r>
        <w:rPr>
          <w:w w:val="99"/>
          <w:sz w:val="25"/>
        </w:rPr>
        <w:t>r</w:t>
      </w:r>
      <w:r>
        <w:rPr>
          <w:spacing w:val="-1"/>
          <w:w w:val="99"/>
          <w:sz w:val="25"/>
        </w:rPr>
        <w:t>essio</w:t>
      </w:r>
      <w:r>
        <w:rPr>
          <w:w w:val="99"/>
          <w:sz w:val="25"/>
        </w:rPr>
        <w:t>n</w:t>
      </w:r>
      <w:r>
        <w:rPr>
          <w:sz w:val="25"/>
        </w:rPr>
        <w:t>  </w:t>
      </w:r>
      <w:r>
        <w:rPr>
          <w:spacing w:val="-28"/>
          <w:sz w:val="25"/>
        </w:rPr>
        <w:t> </w:t>
      </w:r>
      <w:r>
        <w:rPr>
          <w:w w:val="33"/>
          <w:sz w:val="25"/>
        </w:rPr>
        <w:t>―</w:t>
      </w:r>
      <w:r>
        <w:rPr>
          <w:spacing w:val="-1"/>
          <w:w w:val="99"/>
          <w:sz w:val="25"/>
        </w:rPr>
        <w:t>a</w:t>
      </w:r>
      <w:r>
        <w:rPr>
          <w:w w:val="99"/>
          <w:sz w:val="25"/>
        </w:rPr>
        <w:t>s</w:t>
      </w:r>
      <w:r>
        <w:rPr>
          <w:sz w:val="25"/>
        </w:rPr>
        <w:t>  </w:t>
      </w:r>
      <w:r>
        <w:rPr>
          <w:spacing w:val="-29"/>
          <w:sz w:val="25"/>
        </w:rPr>
        <w:t> </w:t>
      </w:r>
      <w:r>
        <w:rPr>
          <w:w w:val="99"/>
          <w:sz w:val="25"/>
        </w:rPr>
        <w:t>far</w:t>
      </w:r>
      <w:r>
        <w:rPr>
          <w:sz w:val="25"/>
        </w:rPr>
        <w:t>  </w:t>
      </w:r>
      <w:r>
        <w:rPr>
          <w:spacing w:val="-28"/>
          <w:sz w:val="25"/>
        </w:rPr>
        <w:t> </w:t>
      </w:r>
      <w:r>
        <w:rPr>
          <w:spacing w:val="-1"/>
          <w:w w:val="99"/>
          <w:sz w:val="25"/>
        </w:rPr>
        <w:t>a</w:t>
      </w:r>
      <w:r>
        <w:rPr>
          <w:w w:val="99"/>
          <w:sz w:val="25"/>
        </w:rPr>
        <w:t>s</w:t>
      </w:r>
      <w:r>
        <w:rPr>
          <w:sz w:val="25"/>
        </w:rPr>
        <w:t>  </w:t>
      </w:r>
      <w:r>
        <w:rPr>
          <w:spacing w:val="-29"/>
          <w:sz w:val="25"/>
        </w:rPr>
        <w:t> </w:t>
      </w:r>
      <w:r>
        <w:rPr>
          <w:w w:val="99"/>
          <w:sz w:val="25"/>
        </w:rPr>
        <w:t>m</w:t>
      </w:r>
      <w:r>
        <w:rPr>
          <w:spacing w:val="-1"/>
          <w:w w:val="99"/>
          <w:sz w:val="25"/>
        </w:rPr>
        <w:t>a</w:t>
      </w:r>
      <w:r>
        <w:rPr>
          <w:w w:val="99"/>
          <w:sz w:val="25"/>
        </w:rPr>
        <w:t>y</w:t>
      </w:r>
      <w:r>
        <w:rPr>
          <w:sz w:val="25"/>
        </w:rPr>
        <w:t>  </w:t>
      </w:r>
      <w:r>
        <w:rPr>
          <w:spacing w:val="-31"/>
          <w:sz w:val="25"/>
        </w:rPr>
        <w:t> </w:t>
      </w:r>
      <w:r>
        <w:rPr>
          <w:spacing w:val="-1"/>
          <w:w w:val="99"/>
          <w:sz w:val="25"/>
        </w:rPr>
        <w:t>b</w:t>
      </w:r>
      <w:r>
        <w:rPr>
          <w:w w:val="99"/>
          <w:sz w:val="25"/>
        </w:rPr>
        <w:t>e</w:t>
      </w:r>
      <w:r>
        <w:rPr>
          <w:w w:val="80"/>
          <w:sz w:val="25"/>
        </w:rPr>
        <w:t>‖</w:t>
      </w:r>
      <w:r>
        <w:rPr>
          <w:w w:val="99"/>
          <w:sz w:val="25"/>
        </w:rPr>
        <w:t>.</w:t>
      </w:r>
      <w:r>
        <w:rPr>
          <w:sz w:val="25"/>
        </w:rPr>
        <w:t>    </w:t>
      </w:r>
      <w:r>
        <w:rPr>
          <w:spacing w:val="12"/>
          <w:sz w:val="25"/>
        </w:rPr>
        <w:t> </w:t>
      </w:r>
      <w:r>
        <w:rPr>
          <w:w w:val="99"/>
          <w:sz w:val="25"/>
        </w:rPr>
        <w:t>T</w:t>
      </w:r>
      <w:r>
        <w:rPr>
          <w:spacing w:val="-1"/>
          <w:w w:val="99"/>
          <w:sz w:val="25"/>
        </w:rPr>
        <w:t>h</w:t>
      </w:r>
      <w:r>
        <w:rPr>
          <w:w w:val="99"/>
          <w:sz w:val="25"/>
        </w:rPr>
        <w:t>ese</w:t>
      </w:r>
      <w:r>
        <w:rPr>
          <w:sz w:val="25"/>
        </w:rPr>
        <w:t>  </w:t>
      </w:r>
      <w:r>
        <w:rPr>
          <w:spacing w:val="-29"/>
          <w:sz w:val="25"/>
        </w:rPr>
        <w:t> </w:t>
      </w:r>
      <w:r>
        <w:rPr>
          <w:spacing w:val="-1"/>
          <w:w w:val="99"/>
          <w:sz w:val="25"/>
        </w:rPr>
        <w:t>wo</w:t>
      </w:r>
      <w:r>
        <w:rPr>
          <w:w w:val="99"/>
          <w:sz w:val="25"/>
        </w:rPr>
        <w:t>r</w:t>
      </w:r>
      <w:r>
        <w:rPr>
          <w:spacing w:val="-1"/>
          <w:w w:val="99"/>
          <w:sz w:val="25"/>
        </w:rPr>
        <w:t>ds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comprehend the notion of that which is practicable, and to the extent feasible for the purpose of fulfilling the power which is conferred upon the court to issue or appoint a Commission. The second part of Rule 10(2) is enabling insofar as it confers a discretion on the court to either itself examine the Commissioner on matters pertaining to the report or investigation and for enabling parties to  request the court to call the Commissioner for examination. Rule 10 does not abrogate the right to question the report of a Commissioner if the enabling power of calling the Commissioner for cross-examination is not exercised. A party may avail of that opportunity by seeking the examination of the Commissioner on matters bearing upon the report. A party may also lead evidence of its own witnesses who seek to controvert the methodology or the findings of the Commissioner appointed for conducting a scientific investigation. The right of a party to object to the report of the Commissioner is not abrogated merely because the Commissioner is not called for cross-examination. Much will depend on the nature of the objections which are sought to be urged by a party before the Court though the Commissioner was not called for</w:t>
      </w:r>
      <w:r>
        <w:rPr>
          <w:spacing w:val="-6"/>
        </w:rPr>
        <w:t> </w:t>
      </w:r>
      <w:r>
        <w:rPr/>
        <w:t>examination.</w:t>
      </w:r>
    </w:p>
    <w:p>
      <w:pPr>
        <w:pStyle w:val="BodyText"/>
        <w:spacing w:before="10"/>
        <w:rPr>
          <w:sz w:val="38"/>
        </w:rPr>
      </w:pPr>
    </w:p>
    <w:p>
      <w:pPr>
        <w:pStyle w:val="ListParagraph"/>
        <w:numPr>
          <w:ilvl w:val="0"/>
          <w:numId w:val="111"/>
        </w:numPr>
        <w:tabs>
          <w:tab w:pos="1221" w:val="left" w:leader="none"/>
        </w:tabs>
        <w:spacing w:line="480" w:lineRule="auto" w:before="0" w:after="0"/>
        <w:ind w:left="500" w:right="438" w:firstLine="0"/>
        <w:jc w:val="both"/>
        <w:rPr>
          <w:sz w:val="25"/>
        </w:rPr>
      </w:pPr>
      <w:r>
        <w:rPr>
          <w:sz w:val="25"/>
        </w:rPr>
        <w:t>In the present case, the High Court was of the view that there was no requirement in law for the Commissioner to be called upon to give evidence as a condition precedent to the report being treated as evidence in the suit. The High Court is justified in this view since Rule 10(2) of Order XXVI stipulates that the report</w:t>
      </w:r>
      <w:r>
        <w:rPr>
          <w:spacing w:val="-10"/>
          <w:sz w:val="25"/>
        </w:rPr>
        <w:t> </w:t>
      </w:r>
      <w:r>
        <w:rPr>
          <w:sz w:val="25"/>
        </w:rPr>
        <w:t>of</w:t>
      </w:r>
      <w:r>
        <w:rPr>
          <w:spacing w:val="-10"/>
          <w:sz w:val="25"/>
        </w:rPr>
        <w:t> </w:t>
      </w:r>
      <w:r>
        <w:rPr>
          <w:sz w:val="25"/>
        </w:rPr>
        <w:t>and</w:t>
      </w:r>
      <w:r>
        <w:rPr>
          <w:spacing w:val="-9"/>
          <w:sz w:val="25"/>
        </w:rPr>
        <w:t> </w:t>
      </w:r>
      <w:r>
        <w:rPr>
          <w:sz w:val="25"/>
        </w:rPr>
        <w:t>the</w:t>
      </w:r>
      <w:r>
        <w:rPr>
          <w:spacing w:val="-11"/>
          <w:sz w:val="25"/>
        </w:rPr>
        <w:t> </w:t>
      </w:r>
      <w:r>
        <w:rPr>
          <w:sz w:val="25"/>
        </w:rPr>
        <w:t>evidence</w:t>
      </w:r>
      <w:r>
        <w:rPr>
          <w:spacing w:val="-9"/>
          <w:sz w:val="25"/>
        </w:rPr>
        <w:t> </w:t>
      </w:r>
      <w:r>
        <w:rPr>
          <w:sz w:val="25"/>
        </w:rPr>
        <w:t>taken</w:t>
      </w:r>
      <w:r>
        <w:rPr>
          <w:spacing w:val="-9"/>
          <w:sz w:val="25"/>
        </w:rPr>
        <w:t> </w:t>
      </w:r>
      <w:r>
        <w:rPr>
          <w:sz w:val="25"/>
        </w:rPr>
        <w:t>by</w:t>
      </w:r>
      <w:r>
        <w:rPr>
          <w:spacing w:val="-11"/>
          <w:sz w:val="25"/>
        </w:rPr>
        <w:t> </w:t>
      </w:r>
      <w:r>
        <w:rPr>
          <w:sz w:val="25"/>
        </w:rPr>
        <w:t>the</w:t>
      </w:r>
      <w:r>
        <w:rPr>
          <w:spacing w:val="-9"/>
          <w:sz w:val="25"/>
        </w:rPr>
        <w:t> </w:t>
      </w:r>
      <w:r>
        <w:rPr>
          <w:sz w:val="25"/>
        </w:rPr>
        <w:t>Commissioner</w:t>
      </w:r>
      <w:r>
        <w:rPr>
          <w:spacing w:val="-3"/>
          <w:sz w:val="25"/>
        </w:rPr>
        <w:t> </w:t>
      </w:r>
      <w:r>
        <w:rPr>
          <w:b/>
          <w:sz w:val="25"/>
        </w:rPr>
        <w:t>―shall</w:t>
      </w:r>
      <w:r>
        <w:rPr>
          <w:b/>
          <w:spacing w:val="-11"/>
          <w:sz w:val="25"/>
        </w:rPr>
        <w:t> </w:t>
      </w:r>
      <w:r>
        <w:rPr>
          <w:b/>
          <w:sz w:val="25"/>
        </w:rPr>
        <w:t>be</w:t>
      </w:r>
      <w:r>
        <w:rPr>
          <w:b/>
          <w:spacing w:val="-10"/>
          <w:sz w:val="25"/>
        </w:rPr>
        <w:t> </w:t>
      </w:r>
      <w:r>
        <w:rPr>
          <w:b/>
          <w:sz w:val="25"/>
        </w:rPr>
        <w:t>evidence</w:t>
      </w:r>
      <w:r>
        <w:rPr>
          <w:b/>
          <w:spacing w:val="-9"/>
          <w:sz w:val="25"/>
        </w:rPr>
        <w:t> </w:t>
      </w:r>
      <w:r>
        <w:rPr>
          <w:b/>
          <w:sz w:val="25"/>
        </w:rPr>
        <w:t>in</w:t>
      </w:r>
      <w:r>
        <w:rPr>
          <w:b/>
          <w:spacing w:val="-10"/>
          <w:sz w:val="25"/>
        </w:rPr>
        <w:t> </w:t>
      </w:r>
      <w:r>
        <w:rPr>
          <w:b/>
          <w:sz w:val="25"/>
        </w:rPr>
        <w:t>the suit and shall form part of the record‖</w:t>
      </w:r>
      <w:r>
        <w:rPr>
          <w:sz w:val="25"/>
        </w:rPr>
        <w:t>. Hence, the report was correctly treated as</w:t>
      </w:r>
      <w:r>
        <w:rPr>
          <w:spacing w:val="49"/>
          <w:sz w:val="25"/>
        </w:rPr>
        <w:t> </w:t>
      </w:r>
      <w:r>
        <w:rPr>
          <w:sz w:val="25"/>
        </w:rPr>
        <w:t>evidence</w:t>
      </w:r>
      <w:r>
        <w:rPr>
          <w:spacing w:val="49"/>
          <w:sz w:val="25"/>
        </w:rPr>
        <w:t> </w:t>
      </w:r>
      <w:r>
        <w:rPr>
          <w:sz w:val="25"/>
        </w:rPr>
        <w:t>in</w:t>
      </w:r>
      <w:r>
        <w:rPr>
          <w:spacing w:val="50"/>
          <w:sz w:val="25"/>
        </w:rPr>
        <w:t> </w:t>
      </w:r>
      <w:r>
        <w:rPr>
          <w:sz w:val="25"/>
        </w:rPr>
        <w:t>the</w:t>
      </w:r>
      <w:r>
        <w:rPr>
          <w:spacing w:val="49"/>
          <w:sz w:val="25"/>
        </w:rPr>
        <w:t> </w:t>
      </w:r>
      <w:r>
        <w:rPr>
          <w:sz w:val="25"/>
        </w:rPr>
        <w:t>suit</w:t>
      </w:r>
      <w:r>
        <w:rPr>
          <w:spacing w:val="50"/>
          <w:sz w:val="25"/>
        </w:rPr>
        <w:t> </w:t>
      </w:r>
      <w:r>
        <w:rPr>
          <w:sz w:val="25"/>
        </w:rPr>
        <w:t>and</w:t>
      </w:r>
      <w:r>
        <w:rPr>
          <w:spacing w:val="49"/>
          <w:sz w:val="25"/>
        </w:rPr>
        <w:t> </w:t>
      </w:r>
      <w:r>
        <w:rPr>
          <w:sz w:val="25"/>
        </w:rPr>
        <w:t>as</w:t>
      </w:r>
      <w:r>
        <w:rPr>
          <w:spacing w:val="50"/>
          <w:sz w:val="25"/>
        </w:rPr>
        <w:t> </w:t>
      </w:r>
      <w:r>
        <w:rPr>
          <w:sz w:val="25"/>
        </w:rPr>
        <w:t>the</w:t>
      </w:r>
      <w:r>
        <w:rPr>
          <w:spacing w:val="49"/>
          <w:sz w:val="25"/>
        </w:rPr>
        <w:t> </w:t>
      </w:r>
      <w:r>
        <w:rPr>
          <w:sz w:val="25"/>
        </w:rPr>
        <w:t>part</w:t>
      </w:r>
      <w:r>
        <w:rPr>
          <w:spacing w:val="47"/>
          <w:sz w:val="25"/>
        </w:rPr>
        <w:t> </w:t>
      </w:r>
      <w:r>
        <w:rPr>
          <w:sz w:val="25"/>
        </w:rPr>
        <w:t>of</w:t>
      </w:r>
      <w:r>
        <w:rPr>
          <w:spacing w:val="49"/>
          <w:sz w:val="25"/>
        </w:rPr>
        <w:t> </w:t>
      </w:r>
      <w:r>
        <w:rPr>
          <w:sz w:val="25"/>
        </w:rPr>
        <w:t>the</w:t>
      </w:r>
      <w:r>
        <w:rPr>
          <w:spacing w:val="50"/>
          <w:sz w:val="25"/>
        </w:rPr>
        <w:t> </w:t>
      </w:r>
      <w:r>
        <w:rPr>
          <w:sz w:val="25"/>
        </w:rPr>
        <w:t>record.</w:t>
      </w:r>
      <w:r>
        <w:rPr>
          <w:spacing w:val="47"/>
          <w:sz w:val="25"/>
        </w:rPr>
        <w:t> </w:t>
      </w:r>
      <w:r>
        <w:rPr>
          <w:sz w:val="25"/>
        </w:rPr>
        <w:t>This,</w:t>
      </w:r>
      <w:r>
        <w:rPr>
          <w:spacing w:val="50"/>
          <w:sz w:val="25"/>
        </w:rPr>
        <w:t> </w:t>
      </w:r>
      <w:r>
        <w:rPr>
          <w:sz w:val="25"/>
        </w:rPr>
        <w:t>however,</w:t>
      </w:r>
      <w:r>
        <w:rPr>
          <w:spacing w:val="49"/>
          <w:sz w:val="25"/>
        </w:rPr>
        <w:t> </w:t>
      </w:r>
      <w:r>
        <w:rPr>
          <w:sz w:val="25"/>
        </w:rPr>
        <w:t>did</w:t>
      </w:r>
      <w:r>
        <w:rPr>
          <w:spacing w:val="50"/>
          <w:sz w:val="25"/>
        </w:rPr>
        <w:t> </w:t>
      </w:r>
      <w:r>
        <w:rPr>
          <w:sz w:val="25"/>
        </w:rPr>
        <w:t>not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foreclose any party to the proceedings from questioning the report for which, it was open to it to follow any one or more of the following courses of action namely:</w:t>
      </w:r>
    </w:p>
    <w:p>
      <w:pPr>
        <w:pStyle w:val="ListParagraph"/>
        <w:numPr>
          <w:ilvl w:val="0"/>
          <w:numId w:val="160"/>
        </w:numPr>
        <w:tabs>
          <w:tab w:pos="1221" w:val="left" w:leader="none"/>
        </w:tabs>
        <w:spacing w:line="240" w:lineRule="auto" w:before="159" w:after="0"/>
        <w:ind w:left="1220" w:right="0" w:hanging="721"/>
        <w:jc w:val="both"/>
        <w:rPr>
          <w:sz w:val="25"/>
        </w:rPr>
      </w:pPr>
      <w:r>
        <w:rPr>
          <w:sz w:val="25"/>
        </w:rPr>
        <w:t>Calling for the examination of the Commissioner in open</w:t>
      </w:r>
      <w:r>
        <w:rPr>
          <w:spacing w:val="-10"/>
          <w:sz w:val="25"/>
        </w:rPr>
        <w:t> </w:t>
      </w:r>
      <w:r>
        <w:rPr>
          <w:sz w:val="25"/>
        </w:rPr>
        <w:t>court;</w:t>
      </w:r>
    </w:p>
    <w:p>
      <w:pPr>
        <w:pStyle w:val="BodyText"/>
        <w:spacing w:before="1"/>
      </w:pPr>
    </w:p>
    <w:p>
      <w:pPr>
        <w:pStyle w:val="ListParagraph"/>
        <w:numPr>
          <w:ilvl w:val="0"/>
          <w:numId w:val="160"/>
        </w:numPr>
        <w:tabs>
          <w:tab w:pos="1221" w:val="left" w:leader="none"/>
        </w:tabs>
        <w:spacing w:line="480" w:lineRule="auto" w:before="0" w:after="0"/>
        <w:ind w:left="1220" w:right="441" w:hanging="720"/>
        <w:jc w:val="both"/>
        <w:rPr>
          <w:sz w:val="25"/>
        </w:rPr>
      </w:pPr>
      <w:r>
        <w:rPr>
          <w:sz w:val="25"/>
        </w:rPr>
        <w:t>Leading evidence of its own witnesses to displace the report of the Commissioner;</w:t>
      </w:r>
      <w:r>
        <w:rPr>
          <w:spacing w:val="-2"/>
          <w:sz w:val="25"/>
        </w:rPr>
        <w:t> </w:t>
      </w:r>
      <w:r>
        <w:rPr>
          <w:sz w:val="25"/>
        </w:rPr>
        <w:t>and</w:t>
      </w:r>
    </w:p>
    <w:p>
      <w:pPr>
        <w:pStyle w:val="ListParagraph"/>
        <w:numPr>
          <w:ilvl w:val="0"/>
          <w:numId w:val="160"/>
        </w:numPr>
        <w:tabs>
          <w:tab w:pos="1221" w:val="left" w:leader="none"/>
        </w:tabs>
        <w:spacing w:line="480" w:lineRule="auto" w:before="0" w:after="0"/>
        <w:ind w:left="1220" w:right="435" w:hanging="720"/>
        <w:jc w:val="both"/>
        <w:rPr>
          <w:sz w:val="25"/>
        </w:rPr>
      </w:pPr>
      <w:r>
        <w:rPr>
          <w:sz w:val="25"/>
        </w:rPr>
        <w:t>Placing its objections to the report of the Commissioner for consideration by the court. The judgment of Justice Agarwal does in fact note that the objections which parties had submitted to the report would be decided after the final hearing of the suits, by which time the evidence would be complete. The entitlement of a party to follow or pursue the courses of action referred to in (ii) and (iii) above was independent of the enabling power conferred by the latter part of Rule</w:t>
      </w:r>
      <w:r>
        <w:rPr>
          <w:spacing w:val="-7"/>
          <w:sz w:val="25"/>
        </w:rPr>
        <w:t> </w:t>
      </w:r>
      <w:r>
        <w:rPr>
          <w:sz w:val="25"/>
        </w:rPr>
        <w:t>10A(2).</w:t>
      </w:r>
    </w:p>
    <w:p>
      <w:pPr>
        <w:pStyle w:val="BodyText"/>
        <w:spacing w:before="1"/>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Having said this, it is necessary to bear in mind Section 45</w:t>
      </w:r>
      <w:r>
        <w:rPr>
          <w:sz w:val="25"/>
          <w:vertAlign w:val="superscript"/>
        </w:rPr>
        <w:t>279</w:t>
      </w:r>
      <w:r>
        <w:rPr>
          <w:sz w:val="25"/>
          <w:vertAlign w:val="baseline"/>
        </w:rPr>
        <w:t> of </w:t>
      </w:r>
      <w:r>
        <w:rPr>
          <w:spacing w:val="-5"/>
          <w:sz w:val="25"/>
          <w:vertAlign w:val="baseline"/>
        </w:rPr>
        <w:t>the </w:t>
      </w:r>
      <w:r>
        <w:rPr>
          <w:sz w:val="25"/>
          <w:vertAlign w:val="baseline"/>
        </w:rPr>
        <w:t>Evidence Act 1872. When the court has to form an opinion, among other things, upon</w:t>
      </w:r>
      <w:r>
        <w:rPr>
          <w:spacing w:val="15"/>
          <w:sz w:val="25"/>
          <w:vertAlign w:val="baseline"/>
        </w:rPr>
        <w:t> </w:t>
      </w:r>
      <w:r>
        <w:rPr>
          <w:sz w:val="25"/>
          <w:vertAlign w:val="baseline"/>
        </w:rPr>
        <w:t>a</w:t>
      </w:r>
      <w:r>
        <w:rPr>
          <w:spacing w:val="16"/>
          <w:sz w:val="25"/>
          <w:vertAlign w:val="baseline"/>
        </w:rPr>
        <w:t> </w:t>
      </w:r>
      <w:r>
        <w:rPr>
          <w:sz w:val="25"/>
          <w:vertAlign w:val="baseline"/>
        </w:rPr>
        <w:t>point</w:t>
      </w:r>
      <w:r>
        <w:rPr>
          <w:spacing w:val="16"/>
          <w:sz w:val="25"/>
          <w:vertAlign w:val="baseline"/>
        </w:rPr>
        <w:t> </w:t>
      </w:r>
      <w:r>
        <w:rPr>
          <w:sz w:val="25"/>
          <w:vertAlign w:val="baseline"/>
        </w:rPr>
        <w:t>of</w:t>
      </w:r>
      <w:r>
        <w:rPr>
          <w:spacing w:val="16"/>
          <w:sz w:val="25"/>
          <w:vertAlign w:val="baseline"/>
        </w:rPr>
        <w:t> </w:t>
      </w:r>
      <w:r>
        <w:rPr>
          <w:sz w:val="25"/>
          <w:vertAlign w:val="baseline"/>
        </w:rPr>
        <w:t>science,</w:t>
      </w:r>
      <w:r>
        <w:rPr>
          <w:spacing w:val="15"/>
          <w:sz w:val="25"/>
          <w:vertAlign w:val="baseline"/>
        </w:rPr>
        <w:t> </w:t>
      </w:r>
      <w:r>
        <w:rPr>
          <w:sz w:val="25"/>
          <w:vertAlign w:val="baseline"/>
        </w:rPr>
        <w:t>the</w:t>
      </w:r>
      <w:r>
        <w:rPr>
          <w:spacing w:val="16"/>
          <w:sz w:val="25"/>
          <w:vertAlign w:val="baseline"/>
        </w:rPr>
        <w:t> </w:t>
      </w:r>
      <w:r>
        <w:rPr>
          <w:sz w:val="25"/>
          <w:vertAlign w:val="baseline"/>
        </w:rPr>
        <w:t>opinions</w:t>
      </w:r>
      <w:r>
        <w:rPr>
          <w:spacing w:val="15"/>
          <w:sz w:val="25"/>
          <w:vertAlign w:val="baseline"/>
        </w:rPr>
        <w:t> </w:t>
      </w:r>
      <w:r>
        <w:rPr>
          <w:sz w:val="25"/>
          <w:vertAlign w:val="baseline"/>
        </w:rPr>
        <w:t>upon</w:t>
      </w:r>
      <w:r>
        <w:rPr>
          <w:spacing w:val="14"/>
          <w:sz w:val="25"/>
          <w:vertAlign w:val="baseline"/>
        </w:rPr>
        <w:t> </w:t>
      </w:r>
      <w:r>
        <w:rPr>
          <w:sz w:val="25"/>
          <w:vertAlign w:val="baseline"/>
        </w:rPr>
        <w:t>that</w:t>
      </w:r>
      <w:r>
        <w:rPr>
          <w:spacing w:val="15"/>
          <w:sz w:val="25"/>
          <w:vertAlign w:val="baseline"/>
        </w:rPr>
        <w:t> </w:t>
      </w:r>
      <w:r>
        <w:rPr>
          <w:sz w:val="25"/>
          <w:vertAlign w:val="baseline"/>
        </w:rPr>
        <w:t>point</w:t>
      </w:r>
      <w:r>
        <w:rPr>
          <w:spacing w:val="15"/>
          <w:sz w:val="25"/>
          <w:vertAlign w:val="baseline"/>
        </w:rPr>
        <w:t> </w:t>
      </w:r>
      <w:r>
        <w:rPr>
          <w:sz w:val="25"/>
          <w:vertAlign w:val="baseline"/>
        </w:rPr>
        <w:t>of</w:t>
      </w:r>
      <w:r>
        <w:rPr>
          <w:spacing w:val="16"/>
          <w:sz w:val="25"/>
          <w:vertAlign w:val="baseline"/>
        </w:rPr>
        <w:t> </w:t>
      </w:r>
      <w:r>
        <w:rPr>
          <w:sz w:val="25"/>
          <w:vertAlign w:val="baseline"/>
        </w:rPr>
        <w:t>persons</w:t>
      </w:r>
      <w:r>
        <w:rPr>
          <w:spacing w:val="13"/>
          <w:sz w:val="25"/>
          <w:vertAlign w:val="baseline"/>
        </w:rPr>
        <w:t> </w:t>
      </w:r>
      <w:r>
        <w:rPr>
          <w:sz w:val="25"/>
          <w:vertAlign w:val="baseline"/>
        </w:rPr>
        <w:t>specially</w:t>
      </w:r>
      <w:r>
        <w:rPr>
          <w:spacing w:val="13"/>
          <w:sz w:val="25"/>
          <w:vertAlign w:val="baseline"/>
        </w:rPr>
        <w:t> </w:t>
      </w:r>
      <w:r>
        <w:rPr>
          <w:sz w:val="25"/>
          <w:vertAlign w:val="baseline"/>
        </w:rPr>
        <w:t>skilled</w:t>
      </w:r>
    </w:p>
    <w:p>
      <w:pPr>
        <w:pStyle w:val="BodyText"/>
        <w:spacing w:before="2"/>
        <w:rPr>
          <w:sz w:val="19"/>
        </w:rPr>
      </w:pPr>
      <w:r>
        <w:rPr/>
        <w:pict>
          <v:rect style="position:absolute;margin-left:72.024002pt;margin-top:12.983702pt;width:144.020pt;height:.599980pt;mso-position-horizontal-relative:page;mso-position-vertical-relative:paragraph;z-index:-15649792;mso-wrap-distance-left:0;mso-wrap-distance-right:0" filled="true" fillcolor="#000000" stroked="false">
            <v:fill type="solid"/>
            <w10:wrap type="topAndBottom"/>
          </v:rect>
        </w:pict>
      </w:r>
    </w:p>
    <w:p>
      <w:pPr>
        <w:spacing w:line="207" w:lineRule="exact" w:before="81"/>
        <w:ind w:left="500" w:right="0" w:firstLine="0"/>
        <w:jc w:val="both"/>
        <w:rPr>
          <w:sz w:val="18"/>
        </w:rPr>
      </w:pPr>
      <w:r>
        <w:rPr>
          <w:sz w:val="18"/>
          <w:vertAlign w:val="superscript"/>
        </w:rPr>
        <w:t>279</w:t>
      </w:r>
      <w:r>
        <w:rPr>
          <w:sz w:val="18"/>
          <w:vertAlign w:val="baseline"/>
        </w:rPr>
        <w:t> Section 45 provides thus:</w:t>
      </w:r>
    </w:p>
    <w:p>
      <w:pPr>
        <w:spacing w:before="0"/>
        <w:ind w:left="500" w:right="433" w:firstLine="0"/>
        <w:jc w:val="both"/>
        <w:rPr>
          <w:sz w:val="18"/>
        </w:rPr>
      </w:pPr>
      <w:r>
        <w:rPr>
          <w:sz w:val="18"/>
        </w:rPr>
        <w:t>Opinions of experts.—When the Court has to form an opinion upon a point of foreign law or of science or art, or as to identity of handwriting [or finger impressions], the opinions upon that point of persons specially skilled in such foreign law, science or art, [or in questions as to identity of handwriting] [or finger impressions] are relevant facts.</w:t>
      </w:r>
    </w:p>
    <w:p>
      <w:pPr>
        <w:spacing w:before="0"/>
        <w:ind w:left="500" w:right="0" w:firstLine="0"/>
        <w:jc w:val="both"/>
        <w:rPr>
          <w:sz w:val="18"/>
        </w:rPr>
      </w:pPr>
      <w:r>
        <w:rPr>
          <w:sz w:val="18"/>
        </w:rPr>
        <w:t>Such persons are called experts.</w:t>
      </w:r>
    </w:p>
    <w:p>
      <w:pPr>
        <w:spacing w:line="205" w:lineRule="exact" w:before="1"/>
        <w:ind w:left="500" w:right="0" w:firstLine="0"/>
        <w:jc w:val="left"/>
        <w:rPr>
          <w:sz w:val="18"/>
        </w:rPr>
      </w:pPr>
      <w:r>
        <w:rPr>
          <w:sz w:val="18"/>
        </w:rPr>
        <w:t>Illustrations</w:t>
      </w:r>
    </w:p>
    <w:p>
      <w:pPr>
        <w:pStyle w:val="ListParagraph"/>
        <w:numPr>
          <w:ilvl w:val="0"/>
          <w:numId w:val="161"/>
        </w:numPr>
        <w:tabs>
          <w:tab w:pos="772" w:val="left" w:leader="none"/>
        </w:tabs>
        <w:spacing w:line="205" w:lineRule="exact" w:before="0" w:after="0"/>
        <w:ind w:left="771" w:right="0" w:hanging="272"/>
        <w:jc w:val="left"/>
        <w:rPr>
          <w:sz w:val="18"/>
        </w:rPr>
      </w:pPr>
      <w:r>
        <w:rPr>
          <w:sz w:val="18"/>
        </w:rPr>
        <w:t>The question is, whether the death of </w:t>
      </w:r>
      <w:r>
        <w:rPr>
          <w:i/>
          <w:sz w:val="18"/>
        </w:rPr>
        <w:t>A </w:t>
      </w:r>
      <w:r>
        <w:rPr>
          <w:sz w:val="18"/>
        </w:rPr>
        <w:t>was caused by</w:t>
      </w:r>
      <w:r>
        <w:rPr>
          <w:spacing w:val="-4"/>
          <w:sz w:val="18"/>
        </w:rPr>
        <w:t> </w:t>
      </w:r>
      <w:r>
        <w:rPr>
          <w:sz w:val="18"/>
        </w:rPr>
        <w:t>poison.</w:t>
      </w:r>
    </w:p>
    <w:p>
      <w:pPr>
        <w:spacing w:before="0"/>
        <w:ind w:left="500" w:right="512" w:firstLine="0"/>
        <w:jc w:val="left"/>
        <w:rPr>
          <w:sz w:val="18"/>
        </w:rPr>
      </w:pPr>
      <w:r>
        <w:rPr>
          <w:sz w:val="18"/>
        </w:rPr>
        <w:t>The opinions of experts as to the symptoms produced by the poison by which </w:t>
      </w:r>
      <w:r>
        <w:rPr>
          <w:i/>
          <w:sz w:val="18"/>
        </w:rPr>
        <w:t>A </w:t>
      </w:r>
      <w:r>
        <w:rPr>
          <w:sz w:val="18"/>
        </w:rPr>
        <w:t>is supposed to have died are relevant.</w:t>
      </w:r>
    </w:p>
    <w:p>
      <w:pPr>
        <w:pStyle w:val="ListParagraph"/>
        <w:numPr>
          <w:ilvl w:val="0"/>
          <w:numId w:val="161"/>
        </w:numPr>
        <w:tabs>
          <w:tab w:pos="772" w:val="left" w:leader="none"/>
        </w:tabs>
        <w:spacing w:line="240" w:lineRule="auto" w:before="1" w:after="0"/>
        <w:ind w:left="500" w:right="444" w:firstLine="0"/>
        <w:jc w:val="left"/>
        <w:rPr>
          <w:sz w:val="18"/>
        </w:rPr>
      </w:pPr>
      <w:r>
        <w:rPr>
          <w:sz w:val="18"/>
        </w:rPr>
        <w:t>The question is, whether </w:t>
      </w:r>
      <w:r>
        <w:rPr>
          <w:i/>
          <w:sz w:val="18"/>
        </w:rPr>
        <w:t>A</w:t>
      </w:r>
      <w:r>
        <w:rPr>
          <w:sz w:val="18"/>
        </w:rPr>
        <w:t>, at the time of doing a certain act, was, by reason of unsoundness of mind, incapable of knowing the nature of the Act, or that he was doing what was either wrong or contrary to</w:t>
      </w:r>
      <w:r>
        <w:rPr>
          <w:spacing w:val="-36"/>
          <w:sz w:val="18"/>
        </w:rPr>
        <w:t> </w:t>
      </w:r>
      <w:r>
        <w:rPr>
          <w:sz w:val="18"/>
        </w:rPr>
        <w:t>law.</w:t>
      </w:r>
    </w:p>
    <w:p>
      <w:pPr>
        <w:spacing w:before="0"/>
        <w:ind w:left="500" w:right="437" w:firstLine="0"/>
        <w:jc w:val="both"/>
        <w:rPr>
          <w:sz w:val="18"/>
        </w:rPr>
      </w:pPr>
      <w:r>
        <w:rPr>
          <w:sz w:val="18"/>
        </w:rPr>
        <w:t>The opinions of experts upon the question whether the symptoms exhibited by </w:t>
      </w:r>
      <w:r>
        <w:rPr>
          <w:i/>
          <w:sz w:val="18"/>
        </w:rPr>
        <w:t>A </w:t>
      </w:r>
      <w:r>
        <w:rPr>
          <w:sz w:val="18"/>
        </w:rPr>
        <w:t>commonly show unsoundness of mind, and whether such unsoundness of mind usually renders persons incapable of knowing the nature of the acts which they do, or of knowing that what they do is either wrong or contrary to law, are</w:t>
      </w:r>
      <w:r>
        <w:rPr>
          <w:spacing w:val="-27"/>
          <w:sz w:val="18"/>
        </w:rPr>
        <w:t> </w:t>
      </w:r>
      <w:r>
        <w:rPr>
          <w:sz w:val="18"/>
        </w:rPr>
        <w:t>relevant.</w:t>
      </w:r>
    </w:p>
    <w:p>
      <w:pPr>
        <w:pStyle w:val="ListParagraph"/>
        <w:numPr>
          <w:ilvl w:val="0"/>
          <w:numId w:val="161"/>
        </w:numPr>
        <w:tabs>
          <w:tab w:pos="763" w:val="left" w:leader="none"/>
        </w:tabs>
        <w:spacing w:line="240" w:lineRule="auto" w:before="0" w:after="0"/>
        <w:ind w:left="500" w:right="438" w:firstLine="0"/>
        <w:jc w:val="both"/>
        <w:rPr>
          <w:sz w:val="18"/>
        </w:rPr>
      </w:pPr>
      <w:r>
        <w:rPr>
          <w:sz w:val="18"/>
        </w:rPr>
        <w:t>The question is, whether a certain document was written by </w:t>
      </w:r>
      <w:r>
        <w:rPr>
          <w:i/>
          <w:sz w:val="18"/>
        </w:rPr>
        <w:t>A</w:t>
      </w:r>
      <w:r>
        <w:rPr>
          <w:sz w:val="18"/>
        </w:rPr>
        <w:t>. Another document is produced which is proved or admitted to have been written by</w:t>
      </w:r>
      <w:r>
        <w:rPr>
          <w:spacing w:val="-1"/>
          <w:sz w:val="18"/>
        </w:rPr>
        <w:t> </w:t>
      </w:r>
      <w:r>
        <w:rPr>
          <w:i/>
          <w:sz w:val="18"/>
        </w:rPr>
        <w:t>A</w:t>
      </w:r>
      <w:r>
        <w:rPr>
          <w:sz w:val="18"/>
        </w:rPr>
        <w:t>.</w:t>
      </w:r>
    </w:p>
    <w:p>
      <w:pPr>
        <w:spacing w:before="2"/>
        <w:ind w:left="500" w:right="436" w:firstLine="0"/>
        <w:jc w:val="both"/>
        <w:rPr>
          <w:sz w:val="18"/>
        </w:rPr>
      </w:pPr>
      <w:r>
        <w:rPr>
          <w:sz w:val="18"/>
        </w:rPr>
        <w:t>The opinions of experts on the question whether the two documents were written by the same person or by different persons, are relevant.</w:t>
      </w:r>
    </w:p>
    <w:p>
      <w:pPr>
        <w:spacing w:after="0"/>
        <w:jc w:val="both"/>
        <w:rPr>
          <w:sz w:val="18"/>
        </w:rPr>
        <w:sectPr>
          <w:pgSz w:w="11910" w:h="16840"/>
          <w:pgMar w:header="721" w:footer="1014" w:top="1300" w:bottom="1200" w:left="940" w:right="1000"/>
        </w:sectPr>
      </w:pPr>
    </w:p>
    <w:p>
      <w:pPr>
        <w:pStyle w:val="BodyText"/>
        <w:spacing w:before="124"/>
        <w:ind w:left="500"/>
        <w:jc w:val="both"/>
      </w:pPr>
      <w:r>
        <w:rPr/>
        <w:t>in the science at issue are relevant facts. Such persons, as the statute provides</w:t>
      </w:r>
    </w:p>
    <w:p>
      <w:pPr>
        <w:pStyle w:val="BodyText"/>
      </w:pPr>
    </w:p>
    <w:p>
      <w:pPr>
        <w:pStyle w:val="BodyText"/>
        <w:spacing w:line="480" w:lineRule="auto" w:before="1"/>
        <w:ind w:left="500" w:right="435"/>
        <w:jc w:val="both"/>
      </w:pPr>
      <w:r>
        <w:rPr>
          <w:w w:val="33"/>
        </w:rPr>
        <w:t>―</w:t>
      </w:r>
      <w:r>
        <w:rPr>
          <w:spacing w:val="-1"/>
          <w:w w:val="99"/>
        </w:rPr>
        <w:t>a</w:t>
      </w:r>
      <w:r>
        <w:rPr>
          <w:w w:val="99"/>
        </w:rPr>
        <w:t>re</w:t>
      </w:r>
      <w:r>
        <w:rPr/>
        <w:t> </w:t>
      </w:r>
      <w:r>
        <w:rPr>
          <w:spacing w:val="2"/>
        </w:rPr>
        <w:t> </w:t>
      </w:r>
      <w:r>
        <w:rPr>
          <w:w w:val="99"/>
        </w:rPr>
        <w:t>called</w:t>
      </w:r>
      <w:r>
        <w:rPr/>
        <w:t> </w:t>
      </w:r>
      <w:r>
        <w:rPr>
          <w:spacing w:val="2"/>
        </w:rPr>
        <w:t> </w:t>
      </w:r>
      <w:r>
        <w:rPr>
          <w:spacing w:val="-1"/>
          <w:w w:val="99"/>
        </w:rPr>
        <w:t>e</w:t>
      </w:r>
      <w:r>
        <w:rPr>
          <w:spacing w:val="-3"/>
          <w:w w:val="99"/>
        </w:rPr>
        <w:t>x</w:t>
      </w:r>
      <w:r>
        <w:rPr>
          <w:spacing w:val="-1"/>
          <w:w w:val="99"/>
        </w:rPr>
        <w:t>p</w:t>
      </w:r>
      <w:r>
        <w:rPr>
          <w:w w:val="99"/>
        </w:rPr>
        <w:t>er</w:t>
      </w:r>
      <w:r>
        <w:rPr>
          <w:w w:val="93"/>
        </w:rPr>
        <w:t>ts‖</w:t>
      </w:r>
      <w:r>
        <w:rPr>
          <w:w w:val="99"/>
        </w:rPr>
        <w:t>.</w:t>
      </w:r>
      <w:r>
        <w:rPr/>
        <w:t> </w:t>
      </w:r>
      <w:r>
        <w:rPr>
          <w:spacing w:val="2"/>
        </w:rPr>
        <w:t> </w:t>
      </w:r>
      <w:r>
        <w:rPr>
          <w:w w:val="99"/>
        </w:rPr>
        <w:t>T</w:t>
      </w:r>
      <w:r>
        <w:rPr>
          <w:spacing w:val="-1"/>
          <w:w w:val="99"/>
        </w:rPr>
        <w:t>h</w:t>
      </w:r>
      <w:r>
        <w:rPr>
          <w:w w:val="99"/>
        </w:rPr>
        <w:t>e</w:t>
      </w:r>
      <w:r>
        <w:rPr/>
        <w:t> </w:t>
      </w:r>
      <w:r>
        <w:rPr>
          <w:spacing w:val="2"/>
        </w:rPr>
        <w:t> </w:t>
      </w:r>
      <w:r>
        <w:rPr>
          <w:w w:val="99"/>
        </w:rPr>
        <w:t>m</w:t>
      </w:r>
      <w:r>
        <w:rPr>
          <w:spacing w:val="-1"/>
          <w:w w:val="99"/>
        </w:rPr>
        <w:t>a</w:t>
      </w:r>
      <w:r>
        <w:rPr>
          <w:w w:val="99"/>
        </w:rPr>
        <w:t>n</w:t>
      </w:r>
      <w:r>
        <w:rPr>
          <w:spacing w:val="-1"/>
          <w:w w:val="99"/>
        </w:rPr>
        <w:t>n</w:t>
      </w:r>
      <w:r>
        <w:rPr>
          <w:w w:val="99"/>
        </w:rPr>
        <w:t>er</w:t>
      </w:r>
      <w:r>
        <w:rPr/>
        <w:t> </w:t>
      </w:r>
      <w:r>
        <w:rPr>
          <w:spacing w:val="3"/>
        </w:rPr>
        <w:t> </w:t>
      </w:r>
      <w:r>
        <w:rPr>
          <w:spacing w:val="-1"/>
          <w:w w:val="99"/>
        </w:rPr>
        <w:t>i</w:t>
      </w:r>
      <w:r>
        <w:rPr>
          <w:w w:val="99"/>
        </w:rPr>
        <w:t>n</w:t>
      </w:r>
      <w:r>
        <w:rPr/>
        <w:t> </w:t>
      </w:r>
      <w:r>
        <w:rPr>
          <w:spacing w:val="2"/>
        </w:rPr>
        <w:t> </w:t>
      </w:r>
      <w:r>
        <w:rPr>
          <w:spacing w:val="-1"/>
          <w:w w:val="99"/>
        </w:rPr>
        <w:t>wh</w:t>
      </w:r>
      <w:r>
        <w:rPr>
          <w:spacing w:val="-3"/>
          <w:w w:val="99"/>
        </w:rPr>
        <w:t>i</w:t>
      </w:r>
      <w:r>
        <w:rPr>
          <w:w w:val="99"/>
        </w:rPr>
        <w:t>ch</w:t>
      </w:r>
      <w:r>
        <w:rPr/>
        <w:t> </w:t>
      </w:r>
      <w:r>
        <w:rPr>
          <w:spacing w:val="2"/>
        </w:rPr>
        <w:t> </w:t>
      </w:r>
      <w:r>
        <w:rPr>
          <w:w w:val="99"/>
        </w:rPr>
        <w:t>the</w:t>
      </w:r>
      <w:r>
        <w:rPr/>
        <w:t> </w:t>
      </w:r>
      <w:r>
        <w:rPr>
          <w:spacing w:val="3"/>
        </w:rPr>
        <w:t> </w:t>
      </w:r>
      <w:r>
        <w:rPr>
          <w:w w:val="99"/>
        </w:rPr>
        <w:t>r</w:t>
      </w:r>
      <w:r>
        <w:rPr>
          <w:spacing w:val="-1"/>
          <w:w w:val="99"/>
        </w:rPr>
        <w:t>e</w:t>
      </w:r>
      <w:r>
        <w:rPr>
          <w:w w:val="99"/>
        </w:rPr>
        <w:t>p</w:t>
      </w:r>
      <w:r>
        <w:rPr>
          <w:spacing w:val="-1"/>
          <w:w w:val="99"/>
        </w:rPr>
        <w:t>o</w:t>
      </w:r>
      <w:r>
        <w:rPr>
          <w:w w:val="99"/>
        </w:rPr>
        <w:t>rt</w:t>
      </w:r>
      <w:r>
        <w:rPr/>
        <w:t> </w:t>
      </w:r>
      <w:r>
        <w:rPr>
          <w:spacing w:val="2"/>
        </w:rPr>
        <w:t> </w:t>
      </w:r>
      <w:r>
        <w:rPr>
          <w:spacing w:val="-1"/>
          <w:w w:val="99"/>
        </w:rPr>
        <w:t>o</w:t>
      </w:r>
      <w:r>
        <w:rPr>
          <w:w w:val="99"/>
        </w:rPr>
        <w:t>f</w:t>
      </w:r>
      <w:r>
        <w:rPr/>
        <w:t> </w:t>
      </w:r>
      <w:r>
        <w:rPr>
          <w:spacing w:val="3"/>
        </w:rPr>
        <w:t> </w:t>
      </w:r>
      <w:r>
        <w:rPr>
          <w:spacing w:val="-1"/>
          <w:w w:val="99"/>
        </w:rPr>
        <w:t>a</w:t>
      </w:r>
      <w:r>
        <w:rPr>
          <w:w w:val="99"/>
        </w:rPr>
        <w:t>n</w:t>
      </w:r>
      <w:r>
        <w:rPr/>
        <w:t>  </w:t>
      </w:r>
      <w:r>
        <w:rPr>
          <w:spacing w:val="-1"/>
          <w:w w:val="99"/>
        </w:rPr>
        <w:t>e</w:t>
      </w:r>
      <w:r>
        <w:rPr>
          <w:spacing w:val="-3"/>
          <w:w w:val="99"/>
        </w:rPr>
        <w:t>x</w:t>
      </w:r>
      <w:r>
        <w:rPr>
          <w:spacing w:val="-1"/>
          <w:w w:val="99"/>
        </w:rPr>
        <w:t>p</w:t>
      </w:r>
      <w:r>
        <w:rPr>
          <w:w w:val="99"/>
        </w:rPr>
        <w:t>ert</w:t>
      </w:r>
      <w:r>
        <w:rPr/>
        <w:t> </w:t>
      </w:r>
      <w:r>
        <w:rPr>
          <w:spacing w:val="2"/>
        </w:rPr>
        <w:t> </w:t>
      </w:r>
      <w:r>
        <w:rPr>
          <w:w w:val="99"/>
        </w:rPr>
        <w:t>m</w:t>
      </w:r>
      <w:r>
        <w:rPr>
          <w:spacing w:val="-1"/>
          <w:w w:val="99"/>
        </w:rPr>
        <w:t>us</w:t>
      </w:r>
      <w:r>
        <w:rPr>
          <w:w w:val="99"/>
        </w:rPr>
        <w:t>t</w:t>
      </w:r>
      <w:r>
        <w:rPr/>
        <w:t> </w:t>
      </w:r>
      <w:r>
        <w:rPr>
          <w:spacing w:val="3"/>
        </w:rPr>
        <w:t> </w:t>
      </w:r>
      <w:r>
        <w:rPr>
          <w:spacing w:val="-1"/>
          <w:w w:val="99"/>
        </w:rPr>
        <w:t>be </w:t>
      </w:r>
      <w:r>
        <w:rPr/>
        <w:t>evaluated has been delineated in a decision of the Privy Council in </w:t>
      </w:r>
      <w:r>
        <w:rPr>
          <w:b/>
        </w:rPr>
        <w:t>Chandan Mull Indra Kumar </w:t>
      </w:r>
      <w:r>
        <w:rPr/>
        <w:t>v </w:t>
      </w:r>
      <w:r>
        <w:rPr>
          <w:b/>
        </w:rPr>
        <w:t>Chiman Lal Girdhar Das Parekh</w:t>
      </w:r>
      <w:r>
        <w:rPr>
          <w:vertAlign w:val="superscript"/>
        </w:rPr>
        <w:t>280</w:t>
      </w:r>
      <w:r>
        <w:rPr>
          <w:vertAlign w:val="baseline"/>
        </w:rPr>
        <w:t>. Lord Romer recorded what the Subordinate Judge in that case had held about the manner in which the report of a local commission should be</w:t>
      </w:r>
      <w:r>
        <w:rPr>
          <w:spacing w:val="-8"/>
          <w:vertAlign w:val="baseline"/>
        </w:rPr>
        <w:t> </w:t>
      </w:r>
      <w:r>
        <w:rPr>
          <w:vertAlign w:val="baseline"/>
        </w:rPr>
        <w:t>approached:</w:t>
      </w:r>
    </w:p>
    <w:p>
      <w:pPr>
        <w:spacing w:line="276" w:lineRule="auto" w:before="158"/>
        <w:ind w:left="1940" w:right="2260" w:firstLine="0"/>
        <w:jc w:val="both"/>
        <w:rPr>
          <w:sz w:val="21"/>
        </w:rPr>
      </w:pPr>
      <w:r>
        <w:rPr>
          <w:spacing w:val="-1"/>
          <w:w w:val="33"/>
          <w:sz w:val="21"/>
        </w:rPr>
        <w:t>―</w:t>
      </w:r>
      <w:r>
        <w:rPr>
          <w:spacing w:val="-2"/>
          <w:w w:val="100"/>
          <w:sz w:val="21"/>
        </w:rPr>
        <w:t>I</w:t>
      </w:r>
      <w:r>
        <w:rPr>
          <w:w w:val="100"/>
          <w:sz w:val="21"/>
        </w:rPr>
        <w:t>t</w:t>
      </w:r>
      <w:r>
        <w:rPr>
          <w:sz w:val="21"/>
        </w:rPr>
        <w:t> </w:t>
      </w:r>
      <w:r>
        <w:rPr>
          <w:spacing w:val="-27"/>
          <w:sz w:val="21"/>
        </w:rPr>
        <w:t> </w:t>
      </w:r>
      <w:r>
        <w:rPr>
          <w:spacing w:val="-1"/>
          <w:w w:val="100"/>
          <w:sz w:val="21"/>
        </w:rPr>
        <w:t>ha</w:t>
      </w:r>
      <w:r>
        <w:rPr>
          <w:w w:val="100"/>
          <w:sz w:val="21"/>
        </w:rPr>
        <w:t>s</w:t>
      </w:r>
      <w:r>
        <w:rPr>
          <w:sz w:val="21"/>
        </w:rPr>
        <w:t> </w:t>
      </w:r>
      <w:r>
        <w:rPr>
          <w:spacing w:val="-26"/>
          <w:sz w:val="21"/>
        </w:rPr>
        <w:t> </w:t>
      </w:r>
      <w:r>
        <w:rPr>
          <w:spacing w:val="-1"/>
          <w:w w:val="100"/>
          <w:sz w:val="21"/>
        </w:rPr>
        <w:t>bee</w:t>
      </w:r>
      <w:r>
        <w:rPr>
          <w:w w:val="100"/>
          <w:sz w:val="21"/>
        </w:rPr>
        <w:t>n</w:t>
      </w:r>
      <w:r>
        <w:rPr>
          <w:sz w:val="21"/>
        </w:rPr>
        <w:t> </w:t>
      </w:r>
      <w:r>
        <w:rPr>
          <w:spacing w:val="-26"/>
          <w:sz w:val="21"/>
        </w:rPr>
        <w:t> </w:t>
      </w:r>
      <w:r>
        <w:rPr>
          <w:spacing w:val="-2"/>
          <w:w w:val="100"/>
          <w:sz w:val="21"/>
        </w:rPr>
        <w:t>l</w:t>
      </w:r>
      <w:r>
        <w:rPr>
          <w:spacing w:val="-1"/>
          <w:w w:val="100"/>
          <w:sz w:val="21"/>
        </w:rPr>
        <w:t>a</w:t>
      </w:r>
      <w:r>
        <w:rPr>
          <w:spacing w:val="-2"/>
          <w:w w:val="100"/>
          <w:sz w:val="21"/>
        </w:rPr>
        <w:t>i</w:t>
      </w:r>
      <w:r>
        <w:rPr>
          <w:w w:val="100"/>
          <w:sz w:val="21"/>
        </w:rPr>
        <w:t>d</w:t>
      </w:r>
      <w:r>
        <w:rPr>
          <w:sz w:val="21"/>
        </w:rPr>
        <w:t> </w:t>
      </w:r>
      <w:r>
        <w:rPr>
          <w:spacing w:val="-26"/>
          <w:sz w:val="21"/>
        </w:rPr>
        <w:t> </w:t>
      </w:r>
      <w:r>
        <w:rPr>
          <w:spacing w:val="-1"/>
          <w:w w:val="100"/>
          <w:sz w:val="21"/>
        </w:rPr>
        <w:t>dow</w:t>
      </w:r>
      <w:r>
        <w:rPr>
          <w:w w:val="100"/>
          <w:sz w:val="21"/>
        </w:rPr>
        <w:t>n</w:t>
      </w:r>
      <w:r>
        <w:rPr>
          <w:sz w:val="21"/>
        </w:rPr>
        <w:t> </w:t>
      </w:r>
      <w:r>
        <w:rPr>
          <w:spacing w:val="-26"/>
          <w:sz w:val="21"/>
        </w:rPr>
        <w:t> </w:t>
      </w:r>
      <w:r>
        <w:rPr>
          <w:spacing w:val="-2"/>
          <w:w w:val="100"/>
          <w:sz w:val="21"/>
        </w:rPr>
        <w:t>t</w:t>
      </w:r>
      <w:r>
        <w:rPr>
          <w:spacing w:val="-3"/>
          <w:w w:val="100"/>
          <w:sz w:val="21"/>
        </w:rPr>
        <w:t>h</w:t>
      </w:r>
      <w:r>
        <w:rPr>
          <w:spacing w:val="-1"/>
          <w:w w:val="100"/>
          <w:sz w:val="21"/>
        </w:rPr>
        <w:t>a</w:t>
      </w:r>
      <w:r>
        <w:rPr>
          <w:w w:val="100"/>
          <w:sz w:val="21"/>
        </w:rPr>
        <w:t>t</w:t>
      </w:r>
      <w:r>
        <w:rPr>
          <w:sz w:val="21"/>
        </w:rPr>
        <w:t> </w:t>
      </w:r>
      <w:r>
        <w:rPr>
          <w:spacing w:val="-27"/>
          <w:sz w:val="21"/>
        </w:rPr>
        <w:t> </w:t>
      </w:r>
      <w:r>
        <w:rPr>
          <w:w w:val="100"/>
          <w:sz w:val="21"/>
        </w:rPr>
        <w:t>i</w:t>
      </w:r>
      <w:r>
        <w:rPr>
          <w:spacing w:val="-1"/>
          <w:w w:val="100"/>
          <w:sz w:val="21"/>
        </w:rPr>
        <w:t>nter</w:t>
      </w:r>
      <w:r>
        <w:rPr>
          <w:spacing w:val="-2"/>
          <w:w w:val="100"/>
          <w:sz w:val="21"/>
        </w:rPr>
        <w:t>f</w:t>
      </w:r>
      <w:r>
        <w:rPr>
          <w:spacing w:val="-1"/>
          <w:w w:val="100"/>
          <w:sz w:val="21"/>
        </w:rPr>
        <w:t>eren</w:t>
      </w:r>
      <w:r>
        <w:rPr>
          <w:spacing w:val="-3"/>
          <w:w w:val="100"/>
          <w:sz w:val="21"/>
        </w:rPr>
        <w:t>c</w:t>
      </w:r>
      <w:r>
        <w:rPr>
          <w:w w:val="100"/>
          <w:sz w:val="21"/>
        </w:rPr>
        <w:t>e</w:t>
      </w:r>
      <w:r>
        <w:rPr>
          <w:sz w:val="21"/>
        </w:rPr>
        <w:t> </w:t>
      </w:r>
      <w:r>
        <w:rPr>
          <w:spacing w:val="-26"/>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26"/>
          <w:sz w:val="21"/>
        </w:rPr>
        <w:t> </w:t>
      </w:r>
      <w:r>
        <w:rPr>
          <w:spacing w:val="-2"/>
          <w:w w:val="100"/>
          <w:sz w:val="21"/>
        </w:rPr>
        <w:t>t</w:t>
      </w:r>
      <w:r>
        <w:rPr>
          <w:spacing w:val="-1"/>
          <w:w w:val="100"/>
          <w:sz w:val="21"/>
        </w:rPr>
        <w:t>h</w:t>
      </w:r>
      <w:r>
        <w:rPr>
          <w:w w:val="100"/>
          <w:sz w:val="21"/>
        </w:rPr>
        <w:t>e</w:t>
      </w:r>
      <w:r>
        <w:rPr>
          <w:sz w:val="21"/>
        </w:rPr>
        <w:t> </w:t>
      </w:r>
      <w:r>
        <w:rPr>
          <w:spacing w:val="-26"/>
          <w:sz w:val="21"/>
        </w:rPr>
        <w:t> </w:t>
      </w:r>
      <w:r>
        <w:rPr>
          <w:spacing w:val="-4"/>
          <w:w w:val="100"/>
          <w:sz w:val="21"/>
        </w:rPr>
        <w:t>r</w:t>
      </w:r>
      <w:r>
        <w:rPr>
          <w:spacing w:val="-1"/>
          <w:w w:val="100"/>
          <w:sz w:val="21"/>
        </w:rPr>
        <w:t>esu</w:t>
      </w:r>
      <w:r>
        <w:rPr>
          <w:spacing w:val="1"/>
          <w:w w:val="100"/>
          <w:sz w:val="21"/>
        </w:rPr>
        <w:t>l</w:t>
      </w:r>
      <w:r>
        <w:rPr>
          <w:w w:val="100"/>
          <w:sz w:val="21"/>
        </w:rPr>
        <w:t>t</w:t>
      </w:r>
      <w:r>
        <w:rPr>
          <w:sz w:val="21"/>
        </w:rPr>
        <w:t> </w:t>
      </w:r>
      <w:r>
        <w:rPr>
          <w:spacing w:val="-27"/>
          <w:sz w:val="21"/>
        </w:rPr>
        <w:t> </w:t>
      </w:r>
      <w:r>
        <w:rPr>
          <w:spacing w:val="-3"/>
          <w:w w:val="100"/>
          <w:sz w:val="21"/>
        </w:rPr>
        <w:t>o</w:t>
      </w:r>
      <w:r>
        <w:rPr>
          <w:w w:val="100"/>
          <w:sz w:val="21"/>
        </w:rPr>
        <w:t>f</w:t>
      </w:r>
      <w:r>
        <w:rPr>
          <w:sz w:val="21"/>
        </w:rPr>
        <w:t> </w:t>
      </w:r>
      <w:r>
        <w:rPr>
          <w:spacing w:val="-25"/>
          <w:sz w:val="21"/>
        </w:rPr>
        <w:t> </w:t>
      </w:r>
      <w:r>
        <w:rPr>
          <w:w w:val="100"/>
          <w:sz w:val="21"/>
        </w:rPr>
        <w:t>a </w:t>
      </w:r>
      <w:r>
        <w:rPr>
          <w:sz w:val="21"/>
        </w:rPr>
        <w:t>long and careful local investigation except upon clearly defined and sufficient grounds is to be deprecated. It is not safe for a Court to act as an expert and to overrule the elaborate report of a Commissioner whose integrity and carefulness are unquestioned, whose careful and laborious execution of his task was proved by his report, and who had not blindly adopted the assertions of either</w:t>
      </w:r>
      <w:r>
        <w:rPr>
          <w:spacing w:val="-21"/>
          <w:sz w:val="21"/>
        </w:rPr>
        <w:t> </w:t>
      </w:r>
      <w:r>
        <w:rPr>
          <w:sz w:val="21"/>
        </w:rPr>
        <w:t>party.‖</w:t>
      </w:r>
    </w:p>
    <w:p>
      <w:pPr>
        <w:pStyle w:val="BodyText"/>
        <w:rPr>
          <w:sz w:val="24"/>
        </w:rPr>
      </w:pPr>
    </w:p>
    <w:p>
      <w:pPr>
        <w:pStyle w:val="BodyText"/>
        <w:spacing w:before="3"/>
        <w:rPr>
          <w:sz w:val="21"/>
        </w:rPr>
      </w:pPr>
    </w:p>
    <w:p>
      <w:pPr>
        <w:pStyle w:val="BodyText"/>
        <w:spacing w:line="482" w:lineRule="auto"/>
        <w:ind w:left="500" w:right="448"/>
        <w:jc w:val="both"/>
      </w:pPr>
      <w:r>
        <w:rPr/>
        <w:t>Having recorded the above observations of the trial judge, the Privy Council proceeded to affirm them as reflecting the correct position in law:</w:t>
      </w:r>
    </w:p>
    <w:p>
      <w:pPr>
        <w:spacing w:line="276" w:lineRule="auto" w:before="0"/>
        <w:ind w:left="1940" w:right="2261" w:firstLine="0"/>
        <w:jc w:val="both"/>
        <w:rPr>
          <w:sz w:val="21"/>
        </w:rPr>
      </w:pPr>
      <w:r>
        <w:rPr>
          <w:spacing w:val="-1"/>
          <w:w w:val="33"/>
          <w:sz w:val="21"/>
        </w:rPr>
        <w:t>―</w:t>
      </w:r>
      <w:r>
        <w:rPr>
          <w:w w:val="100"/>
          <w:sz w:val="21"/>
        </w:rPr>
        <w:t>Th</w:t>
      </w:r>
      <w:r>
        <w:rPr>
          <w:spacing w:val="-2"/>
          <w:w w:val="100"/>
          <w:sz w:val="21"/>
        </w:rPr>
        <w:t>i</w:t>
      </w:r>
      <w:r>
        <w:rPr>
          <w:w w:val="100"/>
          <w:sz w:val="21"/>
        </w:rPr>
        <w:t>s</w:t>
      </w:r>
      <w:r>
        <w:rPr>
          <w:sz w:val="21"/>
        </w:rPr>
        <w:t> </w:t>
      </w:r>
      <w:r>
        <w:rPr>
          <w:w w:val="100"/>
          <w:sz w:val="21"/>
        </w:rPr>
        <w:t>in</w:t>
      </w:r>
      <w:r>
        <w:rPr>
          <w:sz w:val="21"/>
        </w:rPr>
        <w:t> </w:t>
      </w:r>
      <w:r>
        <w:rPr>
          <w:spacing w:val="-2"/>
          <w:w w:val="100"/>
          <w:sz w:val="21"/>
        </w:rPr>
        <w:t>t</w:t>
      </w:r>
      <w:r>
        <w:rPr>
          <w:spacing w:val="-3"/>
          <w:w w:val="100"/>
          <w:sz w:val="21"/>
        </w:rPr>
        <w:t>h</w:t>
      </w:r>
      <w:r>
        <w:rPr>
          <w:spacing w:val="-1"/>
          <w:w w:val="100"/>
          <w:sz w:val="21"/>
        </w:rPr>
        <w:t>e</w:t>
      </w:r>
      <w:r>
        <w:rPr>
          <w:spacing w:val="1"/>
          <w:w w:val="100"/>
          <w:sz w:val="21"/>
        </w:rPr>
        <w:t>i</w:t>
      </w:r>
      <w:r>
        <w:rPr>
          <w:w w:val="100"/>
          <w:sz w:val="21"/>
        </w:rPr>
        <w:t>r</w:t>
      </w:r>
      <w:r>
        <w:rPr>
          <w:sz w:val="21"/>
        </w:rPr>
        <w:t> </w:t>
      </w:r>
      <w:r>
        <w:rPr>
          <w:spacing w:val="-3"/>
          <w:w w:val="100"/>
          <w:sz w:val="21"/>
        </w:rPr>
        <w:t>L</w:t>
      </w:r>
      <w:r>
        <w:rPr>
          <w:spacing w:val="-1"/>
          <w:w w:val="100"/>
          <w:sz w:val="21"/>
        </w:rPr>
        <w:t>ord</w:t>
      </w:r>
      <w:r>
        <w:rPr>
          <w:spacing w:val="-3"/>
          <w:w w:val="100"/>
          <w:sz w:val="21"/>
        </w:rPr>
        <w:t>s</w:t>
      </w:r>
      <w:r>
        <w:rPr>
          <w:spacing w:val="-1"/>
          <w:w w:val="100"/>
          <w:sz w:val="21"/>
        </w:rPr>
        <w:t>h</w:t>
      </w:r>
      <w:r>
        <w:rPr>
          <w:spacing w:val="1"/>
          <w:w w:val="100"/>
          <w:sz w:val="21"/>
        </w:rPr>
        <w:t>i</w:t>
      </w:r>
      <w:r>
        <w:rPr>
          <w:spacing w:val="-3"/>
          <w:w w:val="100"/>
          <w:sz w:val="21"/>
        </w:rPr>
        <w:t>p</w:t>
      </w:r>
      <w:r>
        <w:rPr>
          <w:w w:val="100"/>
          <w:sz w:val="21"/>
        </w:rPr>
        <w:t>s‘</w:t>
      </w:r>
      <w:r>
        <w:rPr>
          <w:sz w:val="21"/>
        </w:rPr>
        <w:t> </w:t>
      </w:r>
      <w:r>
        <w:rPr>
          <w:w w:val="100"/>
          <w:sz w:val="21"/>
        </w:rPr>
        <w:t>j</w:t>
      </w:r>
      <w:r>
        <w:rPr>
          <w:spacing w:val="-3"/>
          <w:w w:val="100"/>
          <w:sz w:val="21"/>
        </w:rPr>
        <w:t>u</w:t>
      </w:r>
      <w:r>
        <w:rPr>
          <w:spacing w:val="-1"/>
          <w:w w:val="100"/>
          <w:sz w:val="21"/>
        </w:rPr>
        <w:t>d</w:t>
      </w:r>
      <w:r>
        <w:rPr>
          <w:spacing w:val="-3"/>
          <w:w w:val="100"/>
          <w:sz w:val="21"/>
        </w:rPr>
        <w:t>g</w:t>
      </w:r>
      <w:r>
        <w:rPr>
          <w:spacing w:val="1"/>
          <w:w w:val="100"/>
          <w:sz w:val="21"/>
        </w:rPr>
        <w:t>m</w:t>
      </w:r>
      <w:r>
        <w:rPr>
          <w:spacing w:val="-1"/>
          <w:w w:val="100"/>
          <w:sz w:val="21"/>
        </w:rPr>
        <w:t>en</w:t>
      </w:r>
      <w:r>
        <w:rPr>
          <w:w w:val="100"/>
          <w:sz w:val="21"/>
        </w:rPr>
        <w:t>t</w:t>
      </w:r>
      <w:r>
        <w:rPr>
          <w:sz w:val="21"/>
        </w:rPr>
        <w:t> </w:t>
      </w:r>
      <w:r>
        <w:rPr>
          <w:w w:val="100"/>
          <w:sz w:val="21"/>
        </w:rPr>
        <w:t>is</w:t>
      </w:r>
      <w:r>
        <w:rPr>
          <w:sz w:val="21"/>
        </w:rPr>
        <w:t> </w:t>
      </w:r>
      <w:r>
        <w:rPr>
          <w:w w:val="100"/>
          <w:sz w:val="21"/>
        </w:rPr>
        <w:t>a</w:t>
      </w:r>
      <w:r>
        <w:rPr>
          <w:sz w:val="21"/>
        </w:rPr>
        <w:t> </w:t>
      </w:r>
      <w:r>
        <w:rPr>
          <w:spacing w:val="-3"/>
          <w:w w:val="100"/>
          <w:sz w:val="21"/>
        </w:rPr>
        <w:t>c</w:t>
      </w:r>
      <w:r>
        <w:rPr>
          <w:spacing w:val="-1"/>
          <w:w w:val="100"/>
          <w:sz w:val="21"/>
        </w:rPr>
        <w:t>or</w:t>
      </w:r>
      <w:r>
        <w:rPr>
          <w:spacing w:val="-2"/>
          <w:w w:val="100"/>
          <w:sz w:val="21"/>
        </w:rPr>
        <w:t>r</w:t>
      </w:r>
      <w:r>
        <w:rPr>
          <w:spacing w:val="-1"/>
          <w:w w:val="100"/>
          <w:sz w:val="21"/>
        </w:rPr>
        <w:t>ec</w:t>
      </w:r>
      <w:r>
        <w:rPr>
          <w:w w:val="100"/>
          <w:sz w:val="21"/>
        </w:rPr>
        <w:t>t</w:t>
      </w:r>
      <w:r>
        <w:rPr>
          <w:sz w:val="21"/>
        </w:rPr>
        <w:t> </w:t>
      </w:r>
      <w:r>
        <w:rPr>
          <w:w w:val="100"/>
          <w:sz w:val="21"/>
        </w:rPr>
        <w:t>s</w:t>
      </w:r>
      <w:r>
        <w:rPr>
          <w:spacing w:val="-2"/>
          <w:w w:val="100"/>
          <w:sz w:val="21"/>
        </w:rPr>
        <w:t>t</w:t>
      </w:r>
      <w:r>
        <w:rPr>
          <w:spacing w:val="-1"/>
          <w:w w:val="100"/>
          <w:sz w:val="21"/>
        </w:rPr>
        <w:t>at</w:t>
      </w:r>
      <w:r>
        <w:rPr>
          <w:spacing w:val="-3"/>
          <w:w w:val="100"/>
          <w:sz w:val="21"/>
        </w:rPr>
        <w:t>e</w:t>
      </w:r>
      <w:r>
        <w:rPr>
          <w:spacing w:val="1"/>
          <w:w w:val="100"/>
          <w:sz w:val="21"/>
        </w:rPr>
        <w:t>m</w:t>
      </w:r>
      <w:r>
        <w:rPr>
          <w:spacing w:val="-3"/>
          <w:w w:val="100"/>
          <w:sz w:val="21"/>
        </w:rPr>
        <w:t>e</w:t>
      </w:r>
      <w:r>
        <w:rPr>
          <w:spacing w:val="-1"/>
          <w:w w:val="100"/>
          <w:sz w:val="21"/>
        </w:rPr>
        <w:t>n</w:t>
      </w:r>
      <w:r>
        <w:rPr>
          <w:w w:val="100"/>
          <w:sz w:val="21"/>
        </w:rPr>
        <w:t>t</w:t>
      </w:r>
      <w:r>
        <w:rPr>
          <w:sz w:val="21"/>
        </w:rPr>
        <w:t> </w:t>
      </w:r>
      <w:r>
        <w:rPr>
          <w:w w:val="100"/>
          <w:sz w:val="21"/>
        </w:rPr>
        <w:t>of</w:t>
      </w:r>
      <w:r>
        <w:rPr>
          <w:sz w:val="21"/>
        </w:rPr>
        <w:t> </w:t>
      </w:r>
      <w:r>
        <w:rPr>
          <w:spacing w:val="-2"/>
          <w:w w:val="100"/>
          <w:sz w:val="21"/>
        </w:rPr>
        <w:t>t</w:t>
      </w:r>
      <w:r>
        <w:rPr>
          <w:spacing w:val="-3"/>
          <w:w w:val="100"/>
          <w:sz w:val="21"/>
        </w:rPr>
        <w:t>h</w:t>
      </w:r>
      <w:r>
        <w:rPr>
          <w:w w:val="100"/>
          <w:sz w:val="21"/>
        </w:rPr>
        <w:t>e </w:t>
      </w:r>
      <w:r>
        <w:rPr>
          <w:sz w:val="21"/>
        </w:rPr>
        <w:t>principle to be adopted in dealing with the commissioner's report. It is substantially the principle already laid down by this Board in the case of Ranee Surut Soondree Debea v. Baboo Prosonno Coomar Tagore [(1870) 13 Moo. I.A. 607 at p. 617.].‖</w:t>
      </w:r>
    </w:p>
    <w:p>
      <w:pPr>
        <w:pStyle w:val="BodyText"/>
        <w:rPr>
          <w:sz w:val="24"/>
        </w:rPr>
      </w:pPr>
    </w:p>
    <w:p>
      <w:pPr>
        <w:pStyle w:val="BodyText"/>
        <w:spacing w:before="10"/>
        <w:rPr>
          <w:sz w:val="23"/>
        </w:rPr>
      </w:pPr>
    </w:p>
    <w:p>
      <w:pPr>
        <w:spacing w:line="477" w:lineRule="auto" w:before="0"/>
        <w:ind w:left="500" w:right="447" w:firstLine="0"/>
        <w:jc w:val="both"/>
        <w:rPr>
          <w:sz w:val="25"/>
        </w:rPr>
      </w:pPr>
      <w:r>
        <w:rPr>
          <w:sz w:val="25"/>
        </w:rPr>
        <w:t>[See also in this context the judgment of a learned Single Judge of the Delhi High Court in </w:t>
      </w:r>
      <w:r>
        <w:rPr>
          <w:b/>
          <w:sz w:val="25"/>
        </w:rPr>
        <w:t>New Multan Timber Store </w:t>
      </w:r>
      <w:r>
        <w:rPr>
          <w:sz w:val="25"/>
        </w:rPr>
        <w:t>v </w:t>
      </w:r>
      <w:r>
        <w:rPr>
          <w:b/>
          <w:sz w:val="25"/>
        </w:rPr>
        <w:t>Rattan Chand Sood</w:t>
      </w:r>
      <w:r>
        <w:rPr>
          <w:sz w:val="25"/>
          <w:vertAlign w:val="superscript"/>
        </w:rPr>
        <w:t>281</w:t>
      </w:r>
      <w:r>
        <w:rPr>
          <w:sz w:val="25"/>
          <w:vertAlign w:val="baseline"/>
        </w:rPr>
        <w:t>]</w:t>
      </w:r>
    </w:p>
    <w:p>
      <w:pPr>
        <w:pStyle w:val="BodyText"/>
        <w:spacing w:before="6"/>
      </w:pPr>
    </w:p>
    <w:p>
      <w:pPr>
        <w:pStyle w:val="ListParagraph"/>
        <w:numPr>
          <w:ilvl w:val="0"/>
          <w:numId w:val="111"/>
        </w:numPr>
        <w:tabs>
          <w:tab w:pos="1221" w:val="left" w:leader="none"/>
        </w:tabs>
        <w:spacing w:line="480" w:lineRule="auto" w:before="0" w:after="0"/>
        <w:ind w:left="500" w:right="437" w:firstLine="0"/>
        <w:jc w:val="both"/>
        <w:rPr>
          <w:sz w:val="25"/>
        </w:rPr>
      </w:pPr>
      <w:r>
        <w:rPr>
          <w:sz w:val="25"/>
        </w:rPr>
        <w:t>Dr Rajeev Dhavan, in the course of his written submissions, fairly accepts </w:t>
      </w:r>
      <w:r>
        <w:rPr>
          <w:w w:val="99"/>
          <w:sz w:val="25"/>
        </w:rPr>
        <w:t>that</w:t>
      </w:r>
      <w:r>
        <w:rPr>
          <w:spacing w:val="31"/>
          <w:sz w:val="25"/>
        </w:rPr>
        <w:t> </w:t>
      </w:r>
      <w:r>
        <w:rPr>
          <w:w w:val="33"/>
          <w:sz w:val="25"/>
        </w:rPr>
        <w:t>―</w:t>
      </w:r>
      <w:r>
        <w:rPr>
          <w:w w:val="99"/>
          <w:sz w:val="25"/>
        </w:rPr>
        <w:t>the</w:t>
      </w:r>
      <w:r>
        <w:rPr>
          <w:spacing w:val="31"/>
          <w:sz w:val="25"/>
        </w:rPr>
        <w:t> </w:t>
      </w:r>
      <w:r>
        <w:rPr>
          <w:w w:val="99"/>
          <w:sz w:val="25"/>
        </w:rPr>
        <w:t>court</w:t>
      </w:r>
      <w:r>
        <w:rPr>
          <w:spacing w:val="31"/>
          <w:sz w:val="25"/>
        </w:rPr>
        <w:t> </w:t>
      </w:r>
      <w:r>
        <w:rPr>
          <w:w w:val="99"/>
          <w:sz w:val="25"/>
        </w:rPr>
        <w:t>m</w:t>
      </w:r>
      <w:r>
        <w:rPr>
          <w:spacing w:val="-1"/>
          <w:w w:val="99"/>
          <w:sz w:val="25"/>
        </w:rPr>
        <w:t>a</w:t>
      </w:r>
      <w:r>
        <w:rPr>
          <w:w w:val="99"/>
          <w:sz w:val="25"/>
        </w:rPr>
        <w:t>y</w:t>
      </w:r>
      <w:r>
        <w:rPr>
          <w:spacing w:val="29"/>
          <w:sz w:val="25"/>
        </w:rPr>
        <w:t> </w:t>
      </w:r>
      <w:r>
        <w:rPr>
          <w:spacing w:val="-1"/>
          <w:w w:val="99"/>
          <w:sz w:val="25"/>
        </w:rPr>
        <w:t>n</w:t>
      </w:r>
      <w:r>
        <w:rPr>
          <w:w w:val="99"/>
          <w:sz w:val="25"/>
        </w:rPr>
        <w:t>ot</w:t>
      </w:r>
      <w:r>
        <w:rPr>
          <w:spacing w:val="31"/>
          <w:sz w:val="25"/>
        </w:rPr>
        <w:t> </w:t>
      </w:r>
      <w:r>
        <w:rPr>
          <w:spacing w:val="-1"/>
          <w:w w:val="99"/>
          <w:sz w:val="25"/>
        </w:rPr>
        <w:t>h</w:t>
      </w:r>
      <w:r>
        <w:rPr>
          <w:w w:val="99"/>
          <w:sz w:val="25"/>
        </w:rPr>
        <w:t>a</w:t>
      </w:r>
      <w:r>
        <w:rPr>
          <w:spacing w:val="-3"/>
          <w:w w:val="99"/>
          <w:sz w:val="25"/>
        </w:rPr>
        <w:t>v</w:t>
      </w:r>
      <w:r>
        <w:rPr>
          <w:w w:val="99"/>
          <w:sz w:val="25"/>
        </w:rPr>
        <w:t>e</w:t>
      </w:r>
      <w:r>
        <w:rPr>
          <w:spacing w:val="31"/>
          <w:sz w:val="25"/>
        </w:rPr>
        <w:t> </w:t>
      </w:r>
      <w:r>
        <w:rPr>
          <w:w w:val="99"/>
          <w:sz w:val="25"/>
        </w:rPr>
        <w:t>the</w:t>
      </w:r>
      <w:r>
        <w:rPr>
          <w:spacing w:val="31"/>
          <w:sz w:val="25"/>
        </w:rPr>
        <w:t> </w:t>
      </w:r>
      <w:r>
        <w:rPr>
          <w:spacing w:val="2"/>
          <w:w w:val="99"/>
          <w:sz w:val="25"/>
        </w:rPr>
        <w:t>e</w:t>
      </w:r>
      <w:r>
        <w:rPr>
          <w:spacing w:val="-3"/>
          <w:w w:val="99"/>
          <w:sz w:val="25"/>
        </w:rPr>
        <w:t>x</w:t>
      </w:r>
      <w:r>
        <w:rPr>
          <w:spacing w:val="-1"/>
          <w:w w:val="99"/>
          <w:sz w:val="25"/>
        </w:rPr>
        <w:t>p</w:t>
      </w:r>
      <w:r>
        <w:rPr>
          <w:w w:val="99"/>
          <w:sz w:val="25"/>
        </w:rPr>
        <w:t>ertise</w:t>
      </w:r>
      <w:r>
        <w:rPr>
          <w:sz w:val="25"/>
        </w:rPr>
        <w:t> </w:t>
      </w:r>
      <w:r>
        <w:rPr>
          <w:spacing w:val="-33"/>
          <w:sz w:val="25"/>
        </w:rPr>
        <w:t> </w:t>
      </w:r>
      <w:r>
        <w:rPr>
          <w:w w:val="99"/>
          <w:sz w:val="25"/>
        </w:rPr>
        <w:t>to</w:t>
      </w:r>
      <w:r>
        <w:rPr>
          <w:spacing w:val="31"/>
          <w:sz w:val="25"/>
        </w:rPr>
        <w:t> </w:t>
      </w:r>
      <w:r>
        <w:rPr>
          <w:w w:val="99"/>
          <w:sz w:val="25"/>
        </w:rPr>
        <w:t>sit</w:t>
      </w:r>
      <w:r>
        <w:rPr>
          <w:spacing w:val="31"/>
          <w:sz w:val="25"/>
        </w:rPr>
        <w:t> </w:t>
      </w:r>
      <w:r>
        <w:rPr>
          <w:spacing w:val="-1"/>
          <w:w w:val="99"/>
          <w:sz w:val="25"/>
        </w:rPr>
        <w:t>i</w:t>
      </w:r>
      <w:r>
        <w:rPr>
          <w:w w:val="99"/>
          <w:sz w:val="25"/>
        </w:rPr>
        <w:t>n</w:t>
      </w:r>
      <w:r>
        <w:rPr>
          <w:spacing w:val="31"/>
          <w:sz w:val="25"/>
        </w:rPr>
        <w:t> </w:t>
      </w:r>
      <w:r>
        <w:rPr>
          <w:spacing w:val="-1"/>
          <w:w w:val="99"/>
          <w:sz w:val="25"/>
        </w:rPr>
        <w:t>jud</w:t>
      </w:r>
      <w:r>
        <w:rPr>
          <w:w w:val="99"/>
          <w:sz w:val="25"/>
        </w:rPr>
        <w:t>gm</w:t>
      </w:r>
      <w:r>
        <w:rPr>
          <w:spacing w:val="-1"/>
          <w:w w:val="99"/>
          <w:sz w:val="25"/>
        </w:rPr>
        <w:t>e</w:t>
      </w:r>
      <w:r>
        <w:rPr>
          <w:w w:val="99"/>
          <w:sz w:val="25"/>
        </w:rPr>
        <w:t>nt</w:t>
      </w:r>
      <w:r>
        <w:rPr>
          <w:spacing w:val="31"/>
          <w:sz w:val="25"/>
        </w:rPr>
        <w:t> </w:t>
      </w:r>
      <w:r>
        <w:rPr>
          <w:spacing w:val="-1"/>
          <w:w w:val="99"/>
          <w:sz w:val="25"/>
        </w:rPr>
        <w:t>ov</w:t>
      </w:r>
      <w:r>
        <w:rPr>
          <w:w w:val="99"/>
          <w:sz w:val="25"/>
        </w:rPr>
        <w:t>er</w:t>
      </w:r>
      <w:r>
        <w:rPr>
          <w:spacing w:val="31"/>
          <w:sz w:val="25"/>
        </w:rPr>
        <w:t> </w:t>
      </w:r>
      <w:r>
        <w:rPr>
          <w:w w:val="99"/>
          <w:sz w:val="25"/>
        </w:rPr>
        <w:t>the</w:t>
      </w:r>
      <w:r>
        <w:rPr>
          <w:spacing w:val="31"/>
          <w:sz w:val="25"/>
        </w:rPr>
        <w:t> </w:t>
      </w:r>
      <w:r>
        <w:rPr>
          <w:spacing w:val="-1"/>
          <w:w w:val="99"/>
          <w:sz w:val="25"/>
        </w:rPr>
        <w:t>e</w:t>
      </w:r>
      <w:r>
        <w:rPr>
          <w:spacing w:val="-3"/>
          <w:w w:val="99"/>
          <w:sz w:val="25"/>
        </w:rPr>
        <w:t>x</w:t>
      </w:r>
      <w:r>
        <w:rPr>
          <w:spacing w:val="-1"/>
          <w:w w:val="99"/>
          <w:sz w:val="25"/>
        </w:rPr>
        <w:t>p</w:t>
      </w:r>
      <w:r>
        <w:rPr>
          <w:w w:val="99"/>
          <w:sz w:val="25"/>
        </w:rPr>
        <w:t>er</w:t>
      </w:r>
      <w:r>
        <w:rPr>
          <w:w w:val="93"/>
          <w:sz w:val="25"/>
        </w:rPr>
        <w:t>ts‖</w:t>
      </w:r>
      <w:r>
        <w:rPr>
          <w:w w:val="99"/>
          <w:sz w:val="25"/>
        </w:rPr>
        <w:t>. </w:t>
      </w:r>
      <w:r>
        <w:rPr>
          <w:sz w:val="25"/>
        </w:rPr>
        <w:t>Yet,</w:t>
      </w:r>
      <w:r>
        <w:rPr>
          <w:spacing w:val="24"/>
          <w:sz w:val="25"/>
        </w:rPr>
        <w:t> </w:t>
      </w:r>
      <w:r>
        <w:rPr>
          <w:sz w:val="25"/>
        </w:rPr>
        <w:t>according</w:t>
      </w:r>
      <w:r>
        <w:rPr>
          <w:spacing w:val="25"/>
          <w:sz w:val="25"/>
        </w:rPr>
        <w:t> </w:t>
      </w:r>
      <w:r>
        <w:rPr>
          <w:sz w:val="25"/>
        </w:rPr>
        <w:t>to</w:t>
      </w:r>
      <w:r>
        <w:rPr>
          <w:spacing w:val="25"/>
          <w:sz w:val="25"/>
        </w:rPr>
        <w:t> </w:t>
      </w:r>
      <w:r>
        <w:rPr>
          <w:sz w:val="25"/>
        </w:rPr>
        <w:t>the</w:t>
      </w:r>
      <w:r>
        <w:rPr>
          <w:spacing w:val="25"/>
          <w:sz w:val="25"/>
        </w:rPr>
        <w:t> </w:t>
      </w:r>
      <w:r>
        <w:rPr>
          <w:sz w:val="25"/>
        </w:rPr>
        <w:t>submission,</w:t>
      </w:r>
      <w:r>
        <w:rPr>
          <w:spacing w:val="25"/>
          <w:sz w:val="25"/>
        </w:rPr>
        <w:t> </w:t>
      </w:r>
      <w:r>
        <w:rPr>
          <w:sz w:val="25"/>
        </w:rPr>
        <w:t>certain</w:t>
      </w:r>
      <w:r>
        <w:rPr>
          <w:spacing w:val="22"/>
          <w:sz w:val="25"/>
        </w:rPr>
        <w:t> </w:t>
      </w:r>
      <w:r>
        <w:rPr>
          <w:sz w:val="25"/>
        </w:rPr>
        <w:t>aspects</w:t>
      </w:r>
      <w:r>
        <w:rPr>
          <w:spacing w:val="25"/>
          <w:sz w:val="25"/>
        </w:rPr>
        <w:t> </w:t>
      </w:r>
      <w:r>
        <w:rPr>
          <w:sz w:val="25"/>
        </w:rPr>
        <w:t>can</w:t>
      </w:r>
      <w:r>
        <w:rPr>
          <w:spacing w:val="24"/>
          <w:sz w:val="25"/>
        </w:rPr>
        <w:t> </w:t>
      </w:r>
      <w:r>
        <w:rPr>
          <w:sz w:val="25"/>
        </w:rPr>
        <w:t>certainly</w:t>
      </w:r>
      <w:r>
        <w:rPr>
          <w:spacing w:val="22"/>
          <w:sz w:val="25"/>
        </w:rPr>
        <w:t> </w:t>
      </w:r>
      <w:r>
        <w:rPr>
          <w:sz w:val="25"/>
        </w:rPr>
        <w:t>be</w:t>
      </w:r>
      <w:r>
        <w:rPr>
          <w:spacing w:val="25"/>
          <w:sz w:val="25"/>
        </w:rPr>
        <w:t> </w:t>
      </w:r>
      <w:r>
        <w:rPr>
          <w:sz w:val="25"/>
        </w:rPr>
        <w:t>examined</w:t>
      </w:r>
      <w:r>
        <w:rPr>
          <w:spacing w:val="25"/>
          <w:sz w:val="25"/>
        </w:rPr>
        <w:t> </w:t>
      </w:r>
      <w:r>
        <w:rPr>
          <w:sz w:val="25"/>
        </w:rPr>
        <w:t>by</w:t>
      </w:r>
    </w:p>
    <w:p>
      <w:pPr>
        <w:pStyle w:val="BodyText"/>
        <w:rPr>
          <w:sz w:val="20"/>
        </w:rPr>
      </w:pPr>
    </w:p>
    <w:p>
      <w:pPr>
        <w:pStyle w:val="BodyText"/>
        <w:spacing w:before="10"/>
        <w:rPr>
          <w:sz w:val="23"/>
        </w:rPr>
      </w:pPr>
      <w:r>
        <w:rPr/>
        <w:pict>
          <v:rect style="position:absolute;margin-left:72.024002pt;margin-top:15.680855pt;width:144.020pt;height:.599980pt;mso-position-horizontal-relative:page;mso-position-vertical-relative:paragraph;z-index:-1564928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280</w:t>
      </w:r>
      <w:r>
        <w:rPr>
          <w:sz w:val="18"/>
          <w:vertAlign w:val="baseline"/>
        </w:rPr>
        <w:t> AIR 1940 PC 3</w:t>
      </w:r>
    </w:p>
    <w:p>
      <w:pPr>
        <w:spacing w:before="2"/>
        <w:ind w:left="500" w:right="0" w:firstLine="0"/>
        <w:jc w:val="left"/>
        <w:rPr>
          <w:sz w:val="18"/>
        </w:rPr>
      </w:pPr>
      <w:r>
        <w:rPr>
          <w:sz w:val="18"/>
          <w:vertAlign w:val="superscript"/>
        </w:rPr>
        <w:t>281</w:t>
      </w:r>
      <w:r>
        <w:rPr>
          <w:sz w:val="18"/>
          <w:vertAlign w:val="baseline"/>
        </w:rPr>
        <w:t>(1997) 43 DRJ 270</w:t>
      </w:r>
    </w:p>
    <w:p>
      <w:pPr>
        <w:spacing w:after="0"/>
        <w:jc w:val="left"/>
        <w:rPr>
          <w:sz w:val="18"/>
        </w:rPr>
        <w:sectPr>
          <w:pgSz w:w="11910" w:h="16840"/>
          <w:pgMar w:header="721" w:footer="1014" w:top="1300" w:bottom="1200" w:left="940" w:right="1000"/>
        </w:sectPr>
      </w:pPr>
    </w:p>
    <w:p>
      <w:pPr>
        <w:pStyle w:val="BodyText"/>
        <w:spacing w:line="480" w:lineRule="auto" w:before="124"/>
        <w:ind w:left="500" w:right="445"/>
        <w:jc w:val="both"/>
      </w:pPr>
      <w:r>
        <w:rPr/>
        <w:t>the court without sitting in judgment over the expertise of the Commissioner. Those aspects are as follows:</w:t>
      </w:r>
    </w:p>
    <w:p>
      <w:pPr>
        <w:pStyle w:val="ListParagraph"/>
        <w:numPr>
          <w:ilvl w:val="0"/>
          <w:numId w:val="162"/>
        </w:numPr>
        <w:tabs>
          <w:tab w:pos="1220" w:val="left" w:leader="none"/>
          <w:tab w:pos="1221" w:val="left" w:leader="none"/>
        </w:tabs>
        <w:spacing w:line="480" w:lineRule="auto" w:before="160" w:after="0"/>
        <w:ind w:left="1220" w:right="443" w:hanging="720"/>
        <w:jc w:val="left"/>
        <w:rPr>
          <w:sz w:val="25"/>
        </w:rPr>
      </w:pPr>
      <w:r>
        <w:rPr>
          <w:sz w:val="25"/>
        </w:rPr>
        <w:t>Whether the commission has fulfilled the remit of the court to provide an answer;</w:t>
      </w:r>
    </w:p>
    <w:p>
      <w:pPr>
        <w:pStyle w:val="ListParagraph"/>
        <w:numPr>
          <w:ilvl w:val="0"/>
          <w:numId w:val="162"/>
        </w:numPr>
        <w:tabs>
          <w:tab w:pos="1220" w:val="left" w:leader="none"/>
          <w:tab w:pos="1221" w:val="left" w:leader="none"/>
        </w:tabs>
        <w:spacing w:line="287" w:lineRule="exact" w:before="0" w:after="0"/>
        <w:ind w:left="1220" w:right="0" w:hanging="721"/>
        <w:jc w:val="left"/>
        <w:rPr>
          <w:sz w:val="25"/>
        </w:rPr>
      </w:pPr>
      <w:r>
        <w:rPr>
          <w:sz w:val="25"/>
        </w:rPr>
        <w:t>Whether conditionalities and limitations have been</w:t>
      </w:r>
      <w:r>
        <w:rPr>
          <w:spacing w:val="-7"/>
          <w:sz w:val="25"/>
        </w:rPr>
        <w:t> </w:t>
      </w:r>
      <w:r>
        <w:rPr>
          <w:sz w:val="25"/>
        </w:rPr>
        <w:t>observed;</w:t>
      </w:r>
    </w:p>
    <w:p>
      <w:pPr>
        <w:pStyle w:val="BodyText"/>
        <w:spacing w:before="10"/>
        <w:rPr>
          <w:sz w:val="24"/>
        </w:rPr>
      </w:pPr>
    </w:p>
    <w:p>
      <w:pPr>
        <w:pStyle w:val="ListParagraph"/>
        <w:numPr>
          <w:ilvl w:val="0"/>
          <w:numId w:val="162"/>
        </w:numPr>
        <w:tabs>
          <w:tab w:pos="1220" w:val="left" w:leader="none"/>
          <w:tab w:pos="1221" w:val="left" w:leader="none"/>
        </w:tabs>
        <w:spacing w:line="240" w:lineRule="auto" w:before="0" w:after="0"/>
        <w:ind w:left="1220" w:right="0" w:hanging="721"/>
        <w:jc w:val="left"/>
        <w:rPr>
          <w:sz w:val="25"/>
        </w:rPr>
      </w:pPr>
      <w:r>
        <w:rPr>
          <w:sz w:val="25"/>
        </w:rPr>
        <w:t>Whether the conclusions are in conformity with the</w:t>
      </w:r>
      <w:r>
        <w:rPr>
          <w:spacing w:val="-9"/>
          <w:sz w:val="25"/>
        </w:rPr>
        <w:t> </w:t>
      </w:r>
      <w:r>
        <w:rPr>
          <w:sz w:val="25"/>
        </w:rPr>
        <w:t>findings;</w:t>
      </w:r>
    </w:p>
    <w:p>
      <w:pPr>
        <w:pStyle w:val="BodyText"/>
        <w:spacing w:before="2"/>
      </w:pPr>
    </w:p>
    <w:p>
      <w:pPr>
        <w:pStyle w:val="ListParagraph"/>
        <w:numPr>
          <w:ilvl w:val="0"/>
          <w:numId w:val="162"/>
        </w:numPr>
        <w:tabs>
          <w:tab w:pos="1220" w:val="left" w:leader="none"/>
          <w:tab w:pos="1221" w:val="left" w:leader="none"/>
        </w:tabs>
        <w:spacing w:line="240" w:lineRule="auto" w:before="0" w:after="0"/>
        <w:ind w:left="1220" w:right="0" w:hanging="721"/>
        <w:jc w:val="left"/>
        <w:rPr>
          <w:sz w:val="25"/>
        </w:rPr>
      </w:pPr>
      <w:r>
        <w:rPr>
          <w:sz w:val="25"/>
        </w:rPr>
        <w:t>Whether there are obvious inconsistencies in the report;</w:t>
      </w:r>
      <w:r>
        <w:rPr>
          <w:spacing w:val="-7"/>
          <w:sz w:val="25"/>
        </w:rPr>
        <w:t> </w:t>
      </w:r>
      <w:r>
        <w:rPr>
          <w:sz w:val="25"/>
        </w:rPr>
        <w:t>and</w:t>
      </w:r>
    </w:p>
    <w:p>
      <w:pPr>
        <w:pStyle w:val="BodyText"/>
        <w:spacing w:before="1"/>
      </w:pPr>
    </w:p>
    <w:p>
      <w:pPr>
        <w:pStyle w:val="ListParagraph"/>
        <w:numPr>
          <w:ilvl w:val="0"/>
          <w:numId w:val="162"/>
        </w:numPr>
        <w:tabs>
          <w:tab w:pos="1220" w:val="left" w:leader="none"/>
          <w:tab w:pos="1221" w:val="left" w:leader="none"/>
        </w:tabs>
        <w:spacing w:line="240" w:lineRule="auto" w:before="0" w:after="0"/>
        <w:ind w:left="1220" w:right="0" w:hanging="721"/>
        <w:jc w:val="left"/>
        <w:rPr>
          <w:sz w:val="25"/>
        </w:rPr>
      </w:pPr>
      <w:r>
        <w:rPr>
          <w:sz w:val="25"/>
        </w:rPr>
        <w:t>Whether</w:t>
      </w:r>
      <w:r>
        <w:rPr>
          <w:spacing w:val="43"/>
          <w:sz w:val="25"/>
        </w:rPr>
        <w:t> </w:t>
      </w:r>
      <w:r>
        <w:rPr>
          <w:sz w:val="25"/>
        </w:rPr>
        <w:t>conclusions</w:t>
      </w:r>
      <w:r>
        <w:rPr>
          <w:spacing w:val="48"/>
          <w:sz w:val="25"/>
        </w:rPr>
        <w:t> </w:t>
      </w:r>
      <w:r>
        <w:rPr>
          <w:sz w:val="25"/>
        </w:rPr>
        <w:t>have</w:t>
      </w:r>
      <w:r>
        <w:rPr>
          <w:spacing w:val="46"/>
          <w:sz w:val="25"/>
        </w:rPr>
        <w:t> </w:t>
      </w:r>
      <w:r>
        <w:rPr>
          <w:sz w:val="25"/>
        </w:rPr>
        <w:t>been</w:t>
      </w:r>
      <w:r>
        <w:rPr>
          <w:spacing w:val="46"/>
          <w:sz w:val="25"/>
        </w:rPr>
        <w:t> </w:t>
      </w:r>
      <w:r>
        <w:rPr>
          <w:sz w:val="25"/>
        </w:rPr>
        <w:t>drawn</w:t>
      </w:r>
      <w:r>
        <w:rPr>
          <w:spacing w:val="43"/>
          <w:sz w:val="25"/>
        </w:rPr>
        <w:t> </w:t>
      </w:r>
      <w:r>
        <w:rPr>
          <w:sz w:val="25"/>
        </w:rPr>
        <w:t>beyond</w:t>
      </w:r>
      <w:r>
        <w:rPr>
          <w:spacing w:val="46"/>
          <w:sz w:val="25"/>
        </w:rPr>
        <w:t> </w:t>
      </w:r>
      <w:r>
        <w:rPr>
          <w:sz w:val="25"/>
        </w:rPr>
        <w:t>reasonable</w:t>
      </w:r>
      <w:r>
        <w:rPr>
          <w:spacing w:val="46"/>
          <w:sz w:val="25"/>
        </w:rPr>
        <w:t> </w:t>
      </w:r>
      <w:r>
        <w:rPr>
          <w:sz w:val="25"/>
        </w:rPr>
        <w:t>probabilities.</w:t>
      </w:r>
    </w:p>
    <w:p>
      <w:pPr>
        <w:pStyle w:val="BodyText"/>
        <w:rPr>
          <w:sz w:val="28"/>
        </w:rPr>
      </w:pPr>
    </w:p>
    <w:p>
      <w:pPr>
        <w:pStyle w:val="BodyText"/>
        <w:spacing w:line="480" w:lineRule="auto" w:before="166"/>
        <w:ind w:left="500" w:right="437"/>
        <w:jc w:val="both"/>
      </w:pPr>
      <w:r>
        <w:rPr/>
        <w:t>Hence, Dr Dhavan urged that in a first appeal, it is open to the appellate court to examine the conclusions drawn by the trial court if they are unrelated to and in excess of the report. Moreover, where all the parties have not cross-examined the Commissioner, the trial court and the appellate court would be acting within its jurisdiction in examining objections based on consistency, relevance and probability.</w:t>
      </w:r>
    </w:p>
    <w:p>
      <w:pPr>
        <w:pStyle w:val="BodyText"/>
        <w:spacing w:before="11"/>
        <w:rPr>
          <w:sz w:val="24"/>
        </w:rPr>
      </w:pPr>
    </w:p>
    <w:p>
      <w:pPr>
        <w:pStyle w:val="ListParagraph"/>
        <w:numPr>
          <w:ilvl w:val="0"/>
          <w:numId w:val="111"/>
        </w:numPr>
        <w:tabs>
          <w:tab w:pos="1221" w:val="left" w:leader="none"/>
        </w:tabs>
        <w:spacing w:line="480" w:lineRule="auto" w:before="0" w:after="0"/>
        <w:ind w:left="500" w:right="438" w:firstLine="0"/>
        <w:jc w:val="both"/>
        <w:rPr>
          <w:sz w:val="25"/>
        </w:rPr>
      </w:pPr>
      <w:r>
        <w:rPr>
          <w:sz w:val="25"/>
        </w:rPr>
        <w:t>In principle, we are of the view that a party to a suit is not foreclosed from raising objections to the report </w:t>
      </w:r>
      <w:r>
        <w:rPr>
          <w:spacing w:val="2"/>
          <w:sz w:val="25"/>
        </w:rPr>
        <w:t>of </w:t>
      </w:r>
      <w:r>
        <w:rPr>
          <w:sz w:val="25"/>
        </w:rPr>
        <w:t>a Commissioner or from leading the evidence of its own witnesses to controvert the findings merely because it has not requested the court to summon the Commissioner for the purpose of examination. But, a party which fails to take recourse to the enabling power which is conferred by Rule 10(2) to request the court to allow the examination of the Commissioner in court, may in a matter touching upon the expertise of the Commissioner face a peril. In the present case, ASI is an expert authority. Its credentials and expertise are</w:t>
      </w:r>
      <w:r>
        <w:rPr>
          <w:spacing w:val="56"/>
          <w:sz w:val="25"/>
        </w:rPr>
        <w:t> </w:t>
      </w:r>
      <w:r>
        <w:rPr>
          <w:sz w:val="25"/>
        </w:rPr>
        <w:t>beyond</w:t>
      </w:r>
      <w:r>
        <w:rPr>
          <w:spacing w:val="56"/>
          <w:sz w:val="25"/>
        </w:rPr>
        <w:t> </w:t>
      </w:r>
      <w:r>
        <w:rPr>
          <w:sz w:val="25"/>
        </w:rPr>
        <w:t>reproach.</w:t>
      </w:r>
      <w:r>
        <w:rPr>
          <w:spacing w:val="56"/>
          <w:sz w:val="25"/>
        </w:rPr>
        <w:t> </w:t>
      </w:r>
      <w:r>
        <w:rPr>
          <w:sz w:val="25"/>
        </w:rPr>
        <w:t>The</w:t>
      </w:r>
      <w:r>
        <w:rPr>
          <w:spacing w:val="56"/>
          <w:sz w:val="25"/>
        </w:rPr>
        <w:t> </w:t>
      </w:r>
      <w:r>
        <w:rPr>
          <w:sz w:val="25"/>
        </w:rPr>
        <w:t>nature</w:t>
      </w:r>
      <w:r>
        <w:rPr>
          <w:spacing w:val="54"/>
          <w:sz w:val="25"/>
        </w:rPr>
        <w:t> </w:t>
      </w:r>
      <w:r>
        <w:rPr>
          <w:sz w:val="25"/>
        </w:rPr>
        <w:t>of</w:t>
      </w:r>
      <w:r>
        <w:rPr>
          <w:spacing w:val="56"/>
          <w:sz w:val="25"/>
        </w:rPr>
        <w:t> </w:t>
      </w:r>
      <w:r>
        <w:rPr>
          <w:sz w:val="25"/>
        </w:rPr>
        <w:t>the</w:t>
      </w:r>
      <w:r>
        <w:rPr>
          <w:spacing w:val="54"/>
          <w:sz w:val="25"/>
        </w:rPr>
        <w:t> </w:t>
      </w:r>
      <w:r>
        <w:rPr>
          <w:sz w:val="25"/>
        </w:rPr>
        <w:t>objections</w:t>
      </w:r>
      <w:r>
        <w:rPr>
          <w:spacing w:val="56"/>
          <w:sz w:val="25"/>
        </w:rPr>
        <w:t> </w:t>
      </w:r>
      <w:r>
        <w:rPr>
          <w:sz w:val="25"/>
        </w:rPr>
        <w:t>which</w:t>
      </w:r>
      <w:r>
        <w:rPr>
          <w:spacing w:val="56"/>
          <w:sz w:val="25"/>
        </w:rPr>
        <w:t> </w:t>
      </w:r>
      <w:r>
        <w:rPr>
          <w:sz w:val="25"/>
        </w:rPr>
        <w:t>can</w:t>
      </w:r>
      <w:r>
        <w:rPr>
          <w:spacing w:val="56"/>
          <w:sz w:val="25"/>
        </w:rPr>
        <w:t> </w:t>
      </w:r>
      <w:r>
        <w:rPr>
          <w:sz w:val="25"/>
        </w:rPr>
        <w:t>legitimately</w:t>
      </w:r>
      <w:r>
        <w:rPr>
          <w:spacing w:val="53"/>
          <w:sz w:val="25"/>
        </w:rPr>
        <w:t> </w:t>
      </w:r>
      <w:r>
        <w:rPr>
          <w:sz w:val="25"/>
        </w:rPr>
        <w:t>be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considered by the court will depend upon the nature of the investigation ordered to be conducted by the Commissioner and the domain expertise involving both knowledge and experience in the particular branch of learning. There may well be certain facets of the report of the Commissioner on a matter pertaining to the scientific investigation which could best be explained by the Commissioner. Rule 10(2) allows the Commissioner to be examined on any matter mentioned in the report or as to the report or as to the manner in which the investigation has been made. Failure to invoke the enabling power which is conferred in Rule 10(2) may result in consequences bearing on the failure of the party to address the clarifications which it seeks to the Commissioner in the course of an examination. In a matter pertaining to scientific investigation, the court lacks expertise on issues requiring domain knowledge which is why the Commissioner was appointed in the first place. The object and purpose of appointing the ASI was to direct an excavation at the disputed site so as to enable the court to form an objective view on the subject matter of the dispute on the basis of the material found and the conclusions drawn by the ASI. The failure of a party which seeks to question the report of the Commissioner to call the Commissioner for cross- examination may circumscribe the nature of the objections which can be raised before the court for the reason that the Commissioner who was best positioned to explain the report has not been called for</w:t>
      </w:r>
      <w:r>
        <w:rPr>
          <w:spacing w:val="-6"/>
        </w:rPr>
        <w:t> </w:t>
      </w:r>
      <w:r>
        <w:rPr/>
        <w:t>examination.</w:t>
      </w:r>
    </w:p>
    <w:p>
      <w:pPr>
        <w:pStyle w:val="BodyText"/>
        <w:spacing w:before="1"/>
        <w:rPr>
          <w:sz w:val="39"/>
        </w:rPr>
      </w:pPr>
    </w:p>
    <w:p>
      <w:pPr>
        <w:pStyle w:val="ListParagraph"/>
        <w:numPr>
          <w:ilvl w:val="0"/>
          <w:numId w:val="111"/>
        </w:numPr>
        <w:tabs>
          <w:tab w:pos="1220" w:val="left" w:leader="none"/>
          <w:tab w:pos="1221" w:val="left" w:leader="none"/>
        </w:tabs>
        <w:spacing w:line="480" w:lineRule="auto" w:before="0" w:after="0"/>
        <w:ind w:left="500" w:right="435" w:firstLine="0"/>
        <w:jc w:val="left"/>
        <w:rPr>
          <w:sz w:val="25"/>
        </w:rPr>
      </w:pPr>
      <w:r>
        <w:rPr>
          <w:spacing w:val="3"/>
          <w:sz w:val="25"/>
        </w:rPr>
        <w:t>We </w:t>
      </w:r>
      <w:r>
        <w:rPr>
          <w:sz w:val="25"/>
        </w:rPr>
        <w:t>accept the proposition urged by Dr Dhavan, learned Senior Counsel that</w:t>
      </w:r>
      <w:r>
        <w:rPr>
          <w:spacing w:val="54"/>
          <w:sz w:val="25"/>
        </w:rPr>
        <w:t> </w:t>
      </w:r>
      <w:r>
        <w:rPr>
          <w:sz w:val="25"/>
        </w:rPr>
        <w:t>as</w:t>
      </w:r>
      <w:r>
        <w:rPr>
          <w:spacing w:val="55"/>
          <w:sz w:val="25"/>
        </w:rPr>
        <w:t> </w:t>
      </w:r>
      <w:r>
        <w:rPr>
          <w:sz w:val="25"/>
        </w:rPr>
        <w:t>a</w:t>
      </w:r>
      <w:r>
        <w:rPr>
          <w:spacing w:val="55"/>
          <w:sz w:val="25"/>
        </w:rPr>
        <w:t> </w:t>
      </w:r>
      <w:r>
        <w:rPr>
          <w:sz w:val="25"/>
        </w:rPr>
        <w:t>matter</w:t>
      </w:r>
      <w:r>
        <w:rPr>
          <w:spacing w:val="55"/>
          <w:sz w:val="25"/>
        </w:rPr>
        <w:t> </w:t>
      </w:r>
      <w:r>
        <w:rPr>
          <w:sz w:val="25"/>
        </w:rPr>
        <w:t>of</w:t>
      </w:r>
      <w:r>
        <w:rPr>
          <w:spacing w:val="58"/>
          <w:sz w:val="25"/>
        </w:rPr>
        <w:t> </w:t>
      </w:r>
      <w:r>
        <w:rPr>
          <w:sz w:val="25"/>
        </w:rPr>
        <w:t>principle,</w:t>
      </w:r>
      <w:r>
        <w:rPr>
          <w:spacing w:val="55"/>
          <w:sz w:val="25"/>
        </w:rPr>
        <w:t> </w:t>
      </w:r>
      <w:r>
        <w:rPr>
          <w:sz w:val="25"/>
        </w:rPr>
        <w:t>despite</w:t>
      </w:r>
      <w:r>
        <w:rPr>
          <w:spacing w:val="55"/>
          <w:sz w:val="25"/>
        </w:rPr>
        <w:t> </w:t>
      </w:r>
      <w:r>
        <w:rPr>
          <w:sz w:val="25"/>
        </w:rPr>
        <w:t>not</w:t>
      </w:r>
      <w:r>
        <w:rPr>
          <w:spacing w:val="54"/>
          <w:sz w:val="25"/>
        </w:rPr>
        <w:t> </w:t>
      </w:r>
      <w:r>
        <w:rPr>
          <w:sz w:val="25"/>
        </w:rPr>
        <w:t>having</w:t>
      </w:r>
      <w:r>
        <w:rPr>
          <w:spacing w:val="57"/>
          <w:sz w:val="25"/>
        </w:rPr>
        <w:t> </w:t>
      </w:r>
      <w:r>
        <w:rPr>
          <w:sz w:val="25"/>
        </w:rPr>
        <w:t>called</w:t>
      </w:r>
      <w:r>
        <w:rPr>
          <w:spacing w:val="55"/>
          <w:sz w:val="25"/>
        </w:rPr>
        <w:t> </w:t>
      </w:r>
      <w:r>
        <w:rPr>
          <w:sz w:val="25"/>
        </w:rPr>
        <w:t>the</w:t>
      </w:r>
      <w:r>
        <w:rPr>
          <w:spacing w:val="58"/>
          <w:sz w:val="25"/>
        </w:rPr>
        <w:t> </w:t>
      </w:r>
      <w:r>
        <w:rPr>
          <w:sz w:val="25"/>
        </w:rPr>
        <w:t>Commissioner</w:t>
      </w:r>
      <w:r>
        <w:rPr>
          <w:spacing w:val="55"/>
          <w:sz w:val="25"/>
        </w:rPr>
        <w:t> </w:t>
      </w:r>
      <w:r>
        <w:rPr>
          <w:sz w:val="25"/>
        </w:rPr>
        <w:t>for</w:t>
      </w:r>
    </w:p>
    <w:p>
      <w:pPr>
        <w:spacing w:after="0" w:line="480" w:lineRule="auto"/>
        <w:jc w:val="left"/>
        <w:rPr>
          <w:sz w:val="25"/>
        </w:rPr>
        <w:sectPr>
          <w:pgSz w:w="11910" w:h="16840"/>
          <w:pgMar w:header="721" w:footer="1014" w:top="1300" w:bottom="1200" w:left="940" w:right="1000"/>
        </w:sectPr>
      </w:pPr>
    </w:p>
    <w:p>
      <w:pPr>
        <w:pStyle w:val="BodyText"/>
        <w:spacing w:line="480" w:lineRule="auto" w:before="124"/>
        <w:ind w:left="500" w:right="446"/>
        <w:jc w:val="both"/>
      </w:pPr>
      <w:r>
        <w:rPr/>
        <w:t>examination, a party could still urge objections before this Court on matters such as the following:</w:t>
      </w:r>
    </w:p>
    <w:p>
      <w:pPr>
        <w:pStyle w:val="ListParagraph"/>
        <w:numPr>
          <w:ilvl w:val="0"/>
          <w:numId w:val="163"/>
        </w:numPr>
        <w:tabs>
          <w:tab w:pos="1221" w:val="left" w:leader="none"/>
        </w:tabs>
        <w:spacing w:line="480" w:lineRule="auto" w:before="160" w:after="0"/>
        <w:ind w:left="1220" w:right="442" w:hanging="720"/>
        <w:jc w:val="both"/>
        <w:rPr>
          <w:sz w:val="25"/>
        </w:rPr>
      </w:pPr>
      <w:r>
        <w:rPr>
          <w:sz w:val="25"/>
        </w:rPr>
        <w:t>Whether the remit of the court has been fulfilled by the Commissioner, including</w:t>
      </w:r>
    </w:p>
    <w:p>
      <w:pPr>
        <w:pStyle w:val="ListParagraph"/>
        <w:numPr>
          <w:ilvl w:val="1"/>
          <w:numId w:val="163"/>
        </w:numPr>
        <w:tabs>
          <w:tab w:pos="1941" w:val="left" w:leader="none"/>
        </w:tabs>
        <w:spacing w:line="287" w:lineRule="exact" w:before="0" w:after="0"/>
        <w:ind w:left="1940" w:right="0" w:hanging="361"/>
        <w:jc w:val="left"/>
        <w:rPr>
          <w:sz w:val="25"/>
        </w:rPr>
      </w:pPr>
      <w:r>
        <w:rPr>
          <w:sz w:val="25"/>
        </w:rPr>
        <w:t>Whether the Commissioner has decided what was not referred;</w:t>
      </w:r>
      <w:r>
        <w:rPr>
          <w:spacing w:val="-13"/>
          <w:sz w:val="25"/>
        </w:rPr>
        <w:t> </w:t>
      </w:r>
      <w:r>
        <w:rPr>
          <w:sz w:val="25"/>
        </w:rPr>
        <w:t>or</w:t>
      </w:r>
    </w:p>
    <w:p>
      <w:pPr>
        <w:pStyle w:val="BodyText"/>
        <w:spacing w:before="10"/>
        <w:rPr>
          <w:sz w:val="24"/>
        </w:rPr>
      </w:pPr>
    </w:p>
    <w:p>
      <w:pPr>
        <w:pStyle w:val="ListParagraph"/>
        <w:numPr>
          <w:ilvl w:val="1"/>
          <w:numId w:val="163"/>
        </w:numPr>
        <w:tabs>
          <w:tab w:pos="1941" w:val="left" w:leader="none"/>
        </w:tabs>
        <w:spacing w:line="482" w:lineRule="auto" w:before="0" w:after="0"/>
        <w:ind w:left="1940" w:right="444" w:hanging="360"/>
        <w:jc w:val="both"/>
        <w:rPr>
          <w:sz w:val="25"/>
        </w:rPr>
      </w:pPr>
      <w:r>
        <w:rPr>
          <w:sz w:val="25"/>
        </w:rPr>
        <w:t>Whether the Commissioner has not decided something which was referred;</w:t>
      </w:r>
    </w:p>
    <w:p>
      <w:pPr>
        <w:pStyle w:val="ListParagraph"/>
        <w:numPr>
          <w:ilvl w:val="0"/>
          <w:numId w:val="163"/>
        </w:numPr>
        <w:tabs>
          <w:tab w:pos="1221" w:val="left" w:leader="none"/>
        </w:tabs>
        <w:spacing w:line="480" w:lineRule="auto" w:before="0" w:after="0"/>
        <w:ind w:left="1220" w:right="443" w:hanging="720"/>
        <w:jc w:val="both"/>
        <w:rPr>
          <w:sz w:val="25"/>
        </w:rPr>
      </w:pPr>
      <w:r>
        <w:rPr>
          <w:sz w:val="25"/>
        </w:rPr>
        <w:t>Whether there are contradictions or inconsistencies in the report of the Commissioner;</w:t>
      </w:r>
      <w:r>
        <w:rPr>
          <w:spacing w:val="-2"/>
          <w:sz w:val="25"/>
        </w:rPr>
        <w:t> </w:t>
      </w:r>
      <w:r>
        <w:rPr>
          <w:sz w:val="25"/>
        </w:rPr>
        <w:t>and</w:t>
      </w:r>
    </w:p>
    <w:p>
      <w:pPr>
        <w:pStyle w:val="ListParagraph"/>
        <w:numPr>
          <w:ilvl w:val="0"/>
          <w:numId w:val="163"/>
        </w:numPr>
        <w:tabs>
          <w:tab w:pos="1221" w:val="left" w:leader="none"/>
        </w:tabs>
        <w:spacing w:line="480" w:lineRule="auto" w:before="0" w:after="0"/>
        <w:ind w:left="1220" w:right="442" w:hanging="720"/>
        <w:jc w:val="both"/>
        <w:rPr>
          <w:sz w:val="25"/>
        </w:rPr>
      </w:pPr>
      <w:r>
        <w:rPr>
          <w:sz w:val="25"/>
        </w:rPr>
        <w:t>Whether the conclusions or findings of the Commissioner arise from the report.</w:t>
      </w:r>
    </w:p>
    <w:p>
      <w:pPr>
        <w:pStyle w:val="BodyText"/>
        <w:spacing w:line="480" w:lineRule="auto" w:before="196"/>
        <w:ind w:left="500" w:right="438"/>
        <w:jc w:val="both"/>
      </w:pPr>
      <w:r>
        <w:rPr/>
        <w:t>Ultimately, it lies within the jurisdiction of the court to decide whether the findings that are contained in the report of the ASI sub-serve the cause of truth and justice on the basis of relevance and preponderance of probabilities. Common sense ought to guide the exercise of judicial discretion, here as in other branches of the law.</w:t>
      </w:r>
    </w:p>
    <w:p>
      <w:pPr>
        <w:pStyle w:val="BodyText"/>
        <w:rPr>
          <w:sz w:val="28"/>
        </w:rPr>
      </w:pPr>
    </w:p>
    <w:p>
      <w:pPr>
        <w:pStyle w:val="BodyText"/>
        <w:spacing w:before="2"/>
        <w:rPr>
          <w:sz w:val="22"/>
        </w:rPr>
      </w:pPr>
    </w:p>
    <w:p>
      <w:pPr>
        <w:pStyle w:val="Heading3"/>
        <w:ind w:left="500" w:firstLine="0"/>
        <w:jc w:val="left"/>
      </w:pPr>
      <w:r>
        <w:rPr/>
        <w:t>Analysis</w:t>
      </w:r>
    </w:p>
    <w:p>
      <w:pPr>
        <w:pStyle w:val="BodyText"/>
        <w:rPr>
          <w:b/>
          <w:sz w:val="28"/>
        </w:rPr>
      </w:pPr>
    </w:p>
    <w:p>
      <w:pPr>
        <w:pStyle w:val="BodyText"/>
        <w:spacing w:before="1"/>
        <w:rPr>
          <w:b/>
          <w:sz w:val="24"/>
        </w:rPr>
      </w:pPr>
    </w:p>
    <w:p>
      <w:pPr>
        <w:pStyle w:val="Heading4"/>
        <w:jc w:val="left"/>
        <w:rPr>
          <w:i/>
        </w:rPr>
      </w:pPr>
      <w:r>
        <w:rPr>
          <w:i/>
        </w:rPr>
        <w:t>Pleadings</w:t>
      </w:r>
    </w:p>
    <w:p>
      <w:pPr>
        <w:pStyle w:val="BodyText"/>
        <w:spacing w:before="10"/>
        <w:rPr>
          <w:i/>
          <w:sz w:val="38"/>
        </w:rPr>
      </w:pPr>
    </w:p>
    <w:p>
      <w:pPr>
        <w:pStyle w:val="ListParagraph"/>
        <w:numPr>
          <w:ilvl w:val="0"/>
          <w:numId w:val="111"/>
        </w:numPr>
        <w:tabs>
          <w:tab w:pos="1221" w:val="left" w:leader="none"/>
        </w:tabs>
        <w:spacing w:line="480" w:lineRule="auto" w:before="0" w:after="0"/>
        <w:ind w:left="500" w:right="442" w:firstLine="0"/>
        <w:jc w:val="both"/>
        <w:rPr>
          <w:sz w:val="25"/>
        </w:rPr>
      </w:pPr>
      <w:r>
        <w:rPr>
          <w:w w:val="99"/>
          <w:sz w:val="25"/>
        </w:rPr>
        <w:t>T</w:t>
      </w:r>
      <w:r>
        <w:rPr>
          <w:spacing w:val="-1"/>
          <w:w w:val="99"/>
          <w:sz w:val="25"/>
        </w:rPr>
        <w:t>h</w:t>
      </w:r>
      <w:r>
        <w:rPr>
          <w:w w:val="99"/>
          <w:sz w:val="25"/>
        </w:rPr>
        <w:t>e</w:t>
      </w:r>
      <w:r>
        <w:rPr>
          <w:spacing w:val="14"/>
          <w:sz w:val="25"/>
        </w:rPr>
        <w:t> </w:t>
      </w:r>
      <w:r>
        <w:rPr>
          <w:spacing w:val="-1"/>
          <w:w w:val="99"/>
          <w:sz w:val="25"/>
        </w:rPr>
        <w:t>plai</w:t>
      </w:r>
      <w:r>
        <w:rPr>
          <w:w w:val="99"/>
          <w:sz w:val="25"/>
        </w:rPr>
        <w:t>ntiffs</w:t>
      </w:r>
      <w:r>
        <w:rPr>
          <w:spacing w:val="14"/>
          <w:sz w:val="25"/>
        </w:rPr>
        <w:t> </w:t>
      </w:r>
      <w:r>
        <w:rPr>
          <w:spacing w:val="-1"/>
          <w:w w:val="99"/>
          <w:sz w:val="25"/>
        </w:rPr>
        <w:t>i</w:t>
      </w:r>
      <w:r>
        <w:rPr>
          <w:w w:val="99"/>
          <w:sz w:val="25"/>
        </w:rPr>
        <w:t>n</w:t>
      </w:r>
      <w:r>
        <w:rPr>
          <w:spacing w:val="14"/>
          <w:sz w:val="25"/>
        </w:rPr>
        <w:t> </w:t>
      </w:r>
      <w:r>
        <w:rPr>
          <w:spacing w:val="-1"/>
          <w:w w:val="99"/>
          <w:sz w:val="25"/>
        </w:rPr>
        <w:t>Sui</w:t>
      </w:r>
      <w:r>
        <w:rPr>
          <w:w w:val="99"/>
          <w:sz w:val="25"/>
        </w:rPr>
        <w:t>t</w:t>
      </w:r>
      <w:r>
        <w:rPr>
          <w:spacing w:val="14"/>
          <w:sz w:val="25"/>
        </w:rPr>
        <w:t> </w:t>
      </w:r>
      <w:r>
        <w:rPr>
          <w:w w:val="99"/>
          <w:sz w:val="25"/>
        </w:rPr>
        <w:t>5</w:t>
      </w:r>
      <w:r>
        <w:rPr>
          <w:spacing w:val="12"/>
          <w:sz w:val="25"/>
        </w:rPr>
        <w:t> </w:t>
      </w:r>
      <w:r>
        <w:rPr>
          <w:w w:val="99"/>
          <w:sz w:val="25"/>
        </w:rPr>
        <w:t>sou</w:t>
      </w:r>
      <w:r>
        <w:rPr>
          <w:spacing w:val="-1"/>
          <w:w w:val="99"/>
          <w:sz w:val="25"/>
        </w:rPr>
        <w:t>g</w:t>
      </w:r>
      <w:r>
        <w:rPr>
          <w:w w:val="99"/>
          <w:sz w:val="25"/>
        </w:rPr>
        <w:t>ht</w:t>
      </w:r>
      <w:r>
        <w:rPr>
          <w:spacing w:val="14"/>
          <w:sz w:val="25"/>
        </w:rPr>
        <w:t> </w:t>
      </w:r>
      <w:r>
        <w:rPr>
          <w:w w:val="99"/>
          <w:sz w:val="25"/>
        </w:rPr>
        <w:t>a</w:t>
      </w:r>
      <w:r>
        <w:rPr>
          <w:spacing w:val="12"/>
          <w:sz w:val="25"/>
        </w:rPr>
        <w:t> </w:t>
      </w:r>
      <w:r>
        <w:rPr>
          <w:spacing w:val="-1"/>
          <w:w w:val="99"/>
          <w:sz w:val="25"/>
        </w:rPr>
        <w:t>d</w:t>
      </w:r>
      <w:r>
        <w:rPr>
          <w:w w:val="99"/>
          <w:sz w:val="25"/>
        </w:rPr>
        <w:t>eclar</w:t>
      </w:r>
      <w:r>
        <w:rPr>
          <w:spacing w:val="-1"/>
          <w:w w:val="99"/>
          <w:sz w:val="25"/>
        </w:rPr>
        <w:t>ati</w:t>
      </w:r>
      <w:r>
        <w:rPr>
          <w:w w:val="99"/>
          <w:sz w:val="25"/>
        </w:rPr>
        <w:t>on</w:t>
      </w:r>
      <w:r>
        <w:rPr>
          <w:spacing w:val="12"/>
          <w:sz w:val="25"/>
        </w:rPr>
        <w:t> </w:t>
      </w:r>
      <w:r>
        <w:rPr>
          <w:w w:val="33"/>
          <w:sz w:val="25"/>
        </w:rPr>
        <w:t>―</w:t>
      </w:r>
      <w:r>
        <w:rPr>
          <w:w w:val="99"/>
          <w:sz w:val="25"/>
        </w:rPr>
        <w:t>that</w:t>
      </w:r>
      <w:r>
        <w:rPr>
          <w:spacing w:val="14"/>
          <w:sz w:val="25"/>
        </w:rPr>
        <w:t> </w:t>
      </w:r>
      <w:r>
        <w:rPr>
          <w:w w:val="99"/>
          <w:sz w:val="25"/>
        </w:rPr>
        <w:t>the</w:t>
      </w:r>
      <w:r>
        <w:rPr>
          <w:spacing w:val="13"/>
          <w:sz w:val="25"/>
        </w:rPr>
        <w:t> </w:t>
      </w:r>
      <w:r>
        <w:rPr>
          <w:spacing w:val="-1"/>
          <w:w w:val="99"/>
          <w:sz w:val="25"/>
        </w:rPr>
        <w:t>e</w:t>
      </w:r>
      <w:r>
        <w:rPr>
          <w:w w:val="99"/>
          <w:sz w:val="25"/>
        </w:rPr>
        <w:t>ntire</w:t>
      </w:r>
      <w:r>
        <w:rPr>
          <w:spacing w:val="14"/>
          <w:sz w:val="25"/>
        </w:rPr>
        <w:t> </w:t>
      </w:r>
      <w:r>
        <w:rPr>
          <w:spacing w:val="-3"/>
          <w:w w:val="99"/>
          <w:sz w:val="25"/>
        </w:rPr>
        <w:t>p</w:t>
      </w:r>
      <w:r>
        <w:rPr>
          <w:w w:val="99"/>
          <w:sz w:val="25"/>
        </w:rPr>
        <w:t>r</w:t>
      </w:r>
      <w:r>
        <w:rPr>
          <w:spacing w:val="-1"/>
          <w:w w:val="99"/>
          <w:sz w:val="25"/>
        </w:rPr>
        <w:t>e</w:t>
      </w:r>
      <w:r>
        <w:rPr>
          <w:w w:val="99"/>
          <w:sz w:val="25"/>
        </w:rPr>
        <w:t>m</w:t>
      </w:r>
      <w:r>
        <w:rPr>
          <w:spacing w:val="-3"/>
          <w:w w:val="99"/>
          <w:sz w:val="25"/>
        </w:rPr>
        <w:t>i</w:t>
      </w:r>
      <w:r>
        <w:rPr>
          <w:w w:val="99"/>
          <w:sz w:val="25"/>
        </w:rPr>
        <w:t>ses</w:t>
      </w:r>
      <w:r>
        <w:rPr>
          <w:spacing w:val="14"/>
          <w:sz w:val="25"/>
        </w:rPr>
        <w:t> </w:t>
      </w:r>
      <w:r>
        <w:rPr>
          <w:spacing w:val="-1"/>
          <w:w w:val="99"/>
          <w:sz w:val="25"/>
        </w:rPr>
        <w:t>o</w:t>
      </w:r>
      <w:r>
        <w:rPr>
          <w:w w:val="99"/>
          <w:sz w:val="25"/>
        </w:rPr>
        <w:t>f</w:t>
      </w:r>
      <w:r>
        <w:rPr>
          <w:spacing w:val="14"/>
          <w:sz w:val="25"/>
        </w:rPr>
        <w:t> </w:t>
      </w:r>
      <w:r>
        <w:rPr>
          <w:spacing w:val="-1"/>
          <w:w w:val="99"/>
          <w:sz w:val="25"/>
        </w:rPr>
        <w:t>S</w:t>
      </w:r>
      <w:r>
        <w:rPr>
          <w:w w:val="99"/>
          <w:sz w:val="25"/>
        </w:rPr>
        <w:t>ri </w:t>
      </w:r>
      <w:r>
        <w:rPr>
          <w:sz w:val="25"/>
        </w:rPr>
        <w:t>Rama Janmabhumi at Ayodhya… belongs to the plaintiff deities‖. The pleading in paragraph 23 of th e plaint is that there was an ancient temple dating back to</w:t>
      </w:r>
      <w:r>
        <w:rPr>
          <w:spacing w:val="38"/>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512"/>
      </w:pPr>
      <w:r>
        <w:rPr/>
        <w:t>reign of Vikramaditya at Sri Rama Janmabhumi which was partly destroyed and an attempt was made to raise a mosque on the site:</w:t>
      </w:r>
    </w:p>
    <w:p>
      <w:pPr>
        <w:spacing w:line="276" w:lineRule="auto" w:before="159"/>
        <w:ind w:left="1940" w:right="2260" w:firstLine="0"/>
        <w:jc w:val="both"/>
        <w:rPr>
          <w:sz w:val="21"/>
        </w:rPr>
      </w:pPr>
      <w:r>
        <w:rPr>
          <w:spacing w:val="-1"/>
          <w:w w:val="33"/>
          <w:sz w:val="21"/>
        </w:rPr>
        <w:t>―</w:t>
      </w:r>
      <w:r>
        <w:rPr>
          <w:spacing w:val="-1"/>
          <w:w w:val="100"/>
          <w:sz w:val="21"/>
        </w:rPr>
        <w:t>23</w:t>
      </w:r>
      <w:r>
        <w:rPr>
          <w:w w:val="100"/>
          <w:sz w:val="21"/>
        </w:rPr>
        <w:t>.</w:t>
      </w:r>
      <w:r>
        <w:rPr>
          <w:sz w:val="21"/>
        </w:rPr>
        <w:t>     </w:t>
      </w:r>
      <w:r>
        <w:rPr>
          <w:spacing w:val="6"/>
          <w:sz w:val="21"/>
        </w:rPr>
        <w:t> </w:t>
      </w:r>
      <w:r>
        <w:rPr>
          <w:w w:val="100"/>
          <w:sz w:val="21"/>
        </w:rPr>
        <w:t>That</w:t>
      </w:r>
      <w:r>
        <w:rPr>
          <w:sz w:val="21"/>
        </w:rPr>
        <w:t>  </w:t>
      </w:r>
      <w:r>
        <w:rPr>
          <w:spacing w:val="-28"/>
          <w:sz w:val="21"/>
        </w:rPr>
        <w:t> </w:t>
      </w:r>
      <w:r>
        <w:rPr>
          <w:spacing w:val="-2"/>
          <w:w w:val="100"/>
          <w:sz w:val="21"/>
        </w:rPr>
        <w:t>t</w:t>
      </w:r>
      <w:r>
        <w:rPr>
          <w:w w:val="100"/>
          <w:sz w:val="21"/>
        </w:rPr>
        <w:t>he</w:t>
      </w:r>
      <w:r>
        <w:rPr>
          <w:sz w:val="21"/>
        </w:rPr>
        <w:t>  </w:t>
      </w:r>
      <w:r>
        <w:rPr>
          <w:spacing w:val="-27"/>
          <w:sz w:val="21"/>
        </w:rPr>
        <w:t> </w:t>
      </w:r>
      <w:r>
        <w:rPr>
          <w:w w:val="100"/>
          <w:sz w:val="21"/>
        </w:rPr>
        <w:t>bo</w:t>
      </w:r>
      <w:r>
        <w:rPr>
          <w:spacing w:val="-2"/>
          <w:w w:val="100"/>
          <w:sz w:val="21"/>
        </w:rPr>
        <w:t>o</w:t>
      </w:r>
      <w:r>
        <w:rPr>
          <w:w w:val="100"/>
          <w:sz w:val="21"/>
        </w:rPr>
        <w:t>ks</w:t>
      </w:r>
      <w:r>
        <w:rPr>
          <w:sz w:val="21"/>
        </w:rPr>
        <w:t>  </w:t>
      </w:r>
      <w:r>
        <w:rPr>
          <w:spacing w:val="-27"/>
          <w:sz w:val="21"/>
        </w:rPr>
        <w:t> </w:t>
      </w:r>
      <w:r>
        <w:rPr>
          <w:w w:val="100"/>
          <w:sz w:val="21"/>
        </w:rPr>
        <w:t>of</w:t>
      </w:r>
      <w:r>
        <w:rPr>
          <w:sz w:val="21"/>
        </w:rPr>
        <w:t>  </w:t>
      </w:r>
      <w:r>
        <w:rPr>
          <w:spacing w:val="-26"/>
          <w:sz w:val="21"/>
        </w:rPr>
        <w:t> </w:t>
      </w:r>
      <w:r>
        <w:rPr>
          <w:spacing w:val="-3"/>
          <w:w w:val="100"/>
          <w:sz w:val="21"/>
        </w:rPr>
        <w:t>h</w:t>
      </w:r>
      <w:r>
        <w:rPr>
          <w:w w:val="100"/>
          <w:sz w:val="21"/>
        </w:rPr>
        <w:t>i</w:t>
      </w:r>
      <w:r>
        <w:rPr>
          <w:w w:val="100"/>
          <w:sz w:val="21"/>
        </w:rPr>
        <w:t>s</w:t>
      </w:r>
      <w:r>
        <w:rPr>
          <w:spacing w:val="-4"/>
          <w:w w:val="100"/>
          <w:sz w:val="21"/>
        </w:rPr>
        <w:t>t</w:t>
      </w:r>
      <w:r>
        <w:rPr>
          <w:w w:val="100"/>
          <w:sz w:val="21"/>
        </w:rPr>
        <w:t>ory</w:t>
      </w:r>
      <w:r>
        <w:rPr>
          <w:sz w:val="21"/>
        </w:rPr>
        <w:t> </w:t>
      </w:r>
      <w:r>
        <w:rPr>
          <w:spacing w:val="29"/>
          <w:sz w:val="21"/>
        </w:rPr>
        <w:t> </w:t>
      </w:r>
      <w:r>
        <w:rPr>
          <w:w w:val="100"/>
          <w:sz w:val="21"/>
        </w:rPr>
        <w:t>and</w:t>
      </w:r>
      <w:r>
        <w:rPr>
          <w:sz w:val="21"/>
        </w:rPr>
        <w:t>  </w:t>
      </w:r>
      <w:r>
        <w:rPr>
          <w:spacing w:val="-26"/>
          <w:sz w:val="21"/>
        </w:rPr>
        <w:t> </w:t>
      </w:r>
      <w:r>
        <w:rPr>
          <w:w w:val="100"/>
          <w:sz w:val="21"/>
        </w:rPr>
        <w:t>pub</w:t>
      </w:r>
      <w:r>
        <w:rPr>
          <w:spacing w:val="-1"/>
          <w:w w:val="100"/>
          <w:sz w:val="21"/>
        </w:rPr>
        <w:t>l</w:t>
      </w:r>
      <w:r>
        <w:rPr>
          <w:w w:val="100"/>
          <w:sz w:val="21"/>
        </w:rPr>
        <w:t>i</w:t>
      </w:r>
      <w:r>
        <w:rPr>
          <w:w w:val="100"/>
          <w:sz w:val="21"/>
        </w:rPr>
        <w:t>c</w:t>
      </w:r>
      <w:r>
        <w:rPr>
          <w:sz w:val="21"/>
        </w:rPr>
        <w:t>  </w:t>
      </w:r>
      <w:r>
        <w:rPr>
          <w:spacing w:val="-27"/>
          <w:sz w:val="21"/>
        </w:rPr>
        <w:t> </w:t>
      </w:r>
      <w:r>
        <w:rPr>
          <w:spacing w:val="-1"/>
          <w:w w:val="100"/>
          <w:sz w:val="21"/>
        </w:rPr>
        <w:t>r</w:t>
      </w:r>
      <w:r>
        <w:rPr>
          <w:w w:val="100"/>
          <w:sz w:val="21"/>
        </w:rPr>
        <w:t>ecor</w:t>
      </w:r>
      <w:r>
        <w:rPr>
          <w:spacing w:val="-3"/>
          <w:w w:val="100"/>
          <w:sz w:val="21"/>
        </w:rPr>
        <w:t>d</w:t>
      </w:r>
      <w:r>
        <w:rPr>
          <w:w w:val="100"/>
          <w:sz w:val="21"/>
        </w:rPr>
        <w:t>s</w:t>
      </w:r>
      <w:r>
        <w:rPr>
          <w:sz w:val="21"/>
        </w:rPr>
        <w:t>  </w:t>
      </w:r>
      <w:r>
        <w:rPr>
          <w:spacing w:val="-29"/>
          <w:sz w:val="21"/>
        </w:rPr>
        <w:t> </w:t>
      </w:r>
      <w:r>
        <w:rPr>
          <w:w w:val="100"/>
          <w:sz w:val="21"/>
        </w:rPr>
        <w:t>of </w:t>
      </w:r>
      <w:r>
        <w:rPr>
          <w:sz w:val="21"/>
        </w:rPr>
        <w:t>unimpeachable authenticity establish indisputably that </w:t>
      </w:r>
      <w:r>
        <w:rPr>
          <w:b/>
          <w:sz w:val="21"/>
        </w:rPr>
        <w:t>there was an ancient Temple of Maharaja Vikramaditya‘s time at Sri Rama Janma Bhumi, Ayodhya. That temple was destroyed partly and an attempt was made to raise a mosque </w:t>
      </w:r>
      <w:r>
        <w:rPr>
          <w:sz w:val="21"/>
        </w:rPr>
        <w:t>thereat, by the force of arms, by </w:t>
      </w:r>
      <w:r>
        <w:rPr>
          <w:spacing w:val="-2"/>
          <w:sz w:val="21"/>
        </w:rPr>
        <w:t>Mir </w:t>
      </w:r>
      <w:r>
        <w:rPr>
          <w:sz w:val="21"/>
        </w:rPr>
        <w:t>Baqi, a commander of Baber‘s hordes…In 1528 </w:t>
      </w:r>
      <w:r>
        <w:rPr>
          <w:b/>
          <w:sz w:val="21"/>
        </w:rPr>
        <w:t>Babar came to Ayodhya and halted there for a week. He destroyed the ancient temple and on its site built a mosque, </w:t>
      </w:r>
      <w:r>
        <w:rPr>
          <w:sz w:val="21"/>
        </w:rPr>
        <w:t>still known as Babar‘s</w:t>
      </w:r>
      <w:r>
        <w:rPr>
          <w:spacing w:val="-3"/>
          <w:sz w:val="21"/>
        </w:rPr>
        <w:t> </w:t>
      </w:r>
      <w:r>
        <w:rPr>
          <w:sz w:val="21"/>
        </w:rPr>
        <w:t>mosque…‖</w:t>
      </w:r>
    </w:p>
    <w:p>
      <w:pPr>
        <w:spacing w:before="1"/>
        <w:ind w:left="5798" w:right="0" w:firstLine="0"/>
        <w:jc w:val="left"/>
        <w:rPr>
          <w:sz w:val="21"/>
        </w:rPr>
      </w:pPr>
      <w:r>
        <w:rPr>
          <w:sz w:val="21"/>
        </w:rPr>
        <w:t>(Emphasis supplied)</w:t>
      </w:r>
    </w:p>
    <w:p>
      <w:pPr>
        <w:pStyle w:val="BodyText"/>
        <w:spacing w:before="1"/>
        <w:rPr>
          <w:sz w:val="28"/>
        </w:rPr>
      </w:pPr>
    </w:p>
    <w:p>
      <w:pPr>
        <w:pStyle w:val="BodyText"/>
        <w:spacing w:line="480" w:lineRule="auto"/>
        <w:ind w:left="500" w:right="446"/>
        <w:jc w:val="both"/>
      </w:pPr>
      <w:r>
        <w:rPr/>
        <w:t>The claim in Suit 5 is that (i) there existed an ancient temple at the site of Ram Janmabhumi; (ii) the temple dated back to the era of Vikramaditya; and (iii) Babur constructed the mosque in 1528 by destroying the temple and at its site.</w:t>
      </w:r>
    </w:p>
    <w:p>
      <w:pPr>
        <w:pStyle w:val="BodyText"/>
        <w:spacing w:before="4"/>
      </w:pPr>
    </w:p>
    <w:p>
      <w:pPr>
        <w:pStyle w:val="Heading4"/>
        <w:jc w:val="left"/>
        <w:rPr>
          <w:i/>
        </w:rPr>
      </w:pPr>
      <w:r>
        <w:rPr>
          <w:i/>
        </w:rPr>
        <w:t>Issues</w:t>
      </w:r>
    </w:p>
    <w:p>
      <w:pPr>
        <w:pStyle w:val="BodyText"/>
        <w:spacing w:before="8"/>
        <w:rPr>
          <w:i/>
          <w:sz w:val="38"/>
        </w:rPr>
      </w:pPr>
    </w:p>
    <w:p>
      <w:pPr>
        <w:pStyle w:val="ListParagraph"/>
        <w:numPr>
          <w:ilvl w:val="0"/>
          <w:numId w:val="111"/>
        </w:numPr>
        <w:tabs>
          <w:tab w:pos="1220" w:val="left" w:leader="none"/>
          <w:tab w:pos="1221" w:val="left" w:leader="none"/>
        </w:tabs>
        <w:spacing w:line="480" w:lineRule="auto" w:before="0" w:after="0"/>
        <w:ind w:left="500" w:right="442" w:firstLine="0"/>
        <w:jc w:val="left"/>
        <w:rPr>
          <w:sz w:val="25"/>
        </w:rPr>
      </w:pPr>
      <w:r>
        <w:rPr>
          <w:sz w:val="25"/>
        </w:rPr>
        <w:t>In view of the pleadings of the parties, the following issues were framed in Suit 4 and Suit</w:t>
      </w:r>
      <w:r>
        <w:rPr>
          <w:spacing w:val="-4"/>
          <w:sz w:val="25"/>
        </w:rPr>
        <w:t> </w:t>
      </w:r>
      <w:r>
        <w:rPr>
          <w:sz w:val="25"/>
        </w:rPr>
        <w:t>5:</w:t>
      </w:r>
    </w:p>
    <w:p>
      <w:pPr>
        <w:spacing w:before="160"/>
        <w:ind w:left="1940" w:right="0" w:firstLine="0"/>
        <w:jc w:val="both"/>
        <w:rPr>
          <w:sz w:val="21"/>
        </w:rPr>
      </w:pPr>
      <w:r>
        <w:rPr>
          <w:spacing w:val="-1"/>
          <w:w w:val="33"/>
          <w:sz w:val="21"/>
        </w:rPr>
        <w:t>―</w:t>
      </w:r>
      <w:r>
        <w:rPr>
          <w:spacing w:val="-1"/>
          <w:w w:val="100"/>
          <w:sz w:val="21"/>
        </w:rPr>
        <w:t>(a</w:t>
      </w:r>
      <w:r>
        <w:rPr>
          <w:w w:val="100"/>
          <w:sz w:val="21"/>
        </w:rPr>
        <w:t>)</w:t>
      </w:r>
      <w:r>
        <w:rPr>
          <w:sz w:val="21"/>
        </w:rPr>
        <w:t>      </w:t>
      </w:r>
      <w:r>
        <w:rPr>
          <w:spacing w:val="-16"/>
          <w:sz w:val="21"/>
        </w:rPr>
        <w:t> </w:t>
      </w:r>
      <w:r>
        <w:rPr>
          <w:spacing w:val="-2"/>
          <w:w w:val="100"/>
          <w:sz w:val="21"/>
        </w:rPr>
        <w:t>I</w:t>
      </w:r>
      <w:r>
        <w:rPr>
          <w:w w:val="100"/>
          <w:sz w:val="21"/>
        </w:rPr>
        <w:t>ssue</w:t>
      </w:r>
      <w:r>
        <w:rPr>
          <w:spacing w:val="-1"/>
          <w:sz w:val="21"/>
        </w:rPr>
        <w:t> </w:t>
      </w:r>
      <w:r>
        <w:rPr>
          <w:spacing w:val="-2"/>
          <w:w w:val="100"/>
          <w:sz w:val="21"/>
        </w:rPr>
        <w:t>N</w:t>
      </w:r>
      <w:r>
        <w:rPr>
          <w:w w:val="100"/>
          <w:sz w:val="21"/>
        </w:rPr>
        <w:t>o.</w:t>
      </w:r>
      <w:r>
        <w:rPr>
          <w:spacing w:val="-2"/>
          <w:sz w:val="21"/>
        </w:rPr>
        <w:t> </w:t>
      </w:r>
      <w:r>
        <w:rPr>
          <w:w w:val="100"/>
          <w:sz w:val="21"/>
        </w:rPr>
        <w:t>1(b)</w:t>
      </w:r>
      <w:r>
        <w:rPr>
          <w:spacing w:val="-2"/>
          <w:sz w:val="21"/>
        </w:rPr>
        <w:t> </w:t>
      </w:r>
      <w:r>
        <w:rPr>
          <w:w w:val="100"/>
          <w:sz w:val="21"/>
        </w:rPr>
        <w:t>i</w:t>
      </w:r>
      <w:r>
        <w:rPr>
          <w:w w:val="100"/>
          <w:sz w:val="21"/>
        </w:rPr>
        <w:t>n</w:t>
      </w:r>
      <w:r>
        <w:rPr>
          <w:spacing w:val="-1"/>
          <w:sz w:val="21"/>
        </w:rPr>
        <w:t> </w:t>
      </w:r>
      <w:r>
        <w:rPr>
          <w:spacing w:val="-2"/>
          <w:w w:val="100"/>
          <w:sz w:val="21"/>
        </w:rPr>
        <w:t>S</w:t>
      </w:r>
      <w:r>
        <w:rPr>
          <w:w w:val="100"/>
          <w:sz w:val="21"/>
        </w:rPr>
        <w:t>u</w:t>
      </w:r>
      <w:r>
        <w:rPr>
          <w:spacing w:val="1"/>
          <w:w w:val="100"/>
          <w:sz w:val="21"/>
        </w:rPr>
        <w:t>i</w:t>
      </w:r>
      <w:r>
        <w:rPr>
          <w:w w:val="100"/>
          <w:sz w:val="21"/>
        </w:rPr>
        <w:t>t</w:t>
      </w:r>
      <w:r>
        <w:rPr>
          <w:spacing w:val="-2"/>
          <w:sz w:val="21"/>
        </w:rPr>
        <w:t> </w:t>
      </w:r>
      <w:r>
        <w:rPr>
          <w:spacing w:val="-2"/>
          <w:w w:val="100"/>
          <w:sz w:val="21"/>
        </w:rPr>
        <w:t>N</w:t>
      </w:r>
      <w:r>
        <w:rPr>
          <w:w w:val="100"/>
          <w:sz w:val="21"/>
        </w:rPr>
        <w:t>o.</w:t>
      </w:r>
      <w:r>
        <w:rPr>
          <w:spacing w:val="-2"/>
          <w:sz w:val="21"/>
        </w:rPr>
        <w:t> </w:t>
      </w:r>
      <w:r>
        <w:rPr>
          <w:w w:val="100"/>
          <w:sz w:val="21"/>
        </w:rPr>
        <w:t>4</w:t>
      </w:r>
    </w:p>
    <w:p>
      <w:pPr>
        <w:spacing w:line="276" w:lineRule="auto" w:before="37"/>
        <w:ind w:left="1940" w:right="2261" w:firstLine="0"/>
        <w:jc w:val="both"/>
        <w:rPr>
          <w:sz w:val="21"/>
        </w:rPr>
      </w:pPr>
      <w:r>
        <w:rPr>
          <w:w w:val="33"/>
          <w:sz w:val="21"/>
        </w:rPr>
        <w:t>―</w:t>
      </w:r>
      <w:r>
        <w:rPr>
          <w:w w:val="100"/>
          <w:sz w:val="21"/>
        </w:rPr>
        <w:t>Whether</w:t>
      </w:r>
      <w:r>
        <w:rPr>
          <w:sz w:val="21"/>
        </w:rPr>
        <w:t> </w:t>
      </w:r>
      <w:r>
        <w:rPr>
          <w:w w:val="100"/>
          <w:sz w:val="21"/>
        </w:rPr>
        <w:t>the</w:t>
      </w:r>
      <w:r>
        <w:rPr>
          <w:sz w:val="21"/>
        </w:rPr>
        <w:t> </w:t>
      </w:r>
      <w:r>
        <w:rPr>
          <w:w w:val="100"/>
          <w:sz w:val="21"/>
        </w:rPr>
        <w:t>building</w:t>
      </w:r>
      <w:r>
        <w:rPr>
          <w:sz w:val="21"/>
        </w:rPr>
        <w:t> </w:t>
      </w:r>
      <w:r>
        <w:rPr>
          <w:w w:val="100"/>
          <w:sz w:val="21"/>
        </w:rPr>
        <w:t>had</w:t>
      </w:r>
      <w:r>
        <w:rPr>
          <w:sz w:val="21"/>
        </w:rPr>
        <w:t> </w:t>
      </w:r>
      <w:r>
        <w:rPr>
          <w:w w:val="100"/>
          <w:sz w:val="21"/>
        </w:rPr>
        <w:t>been</w:t>
      </w:r>
      <w:r>
        <w:rPr>
          <w:sz w:val="21"/>
        </w:rPr>
        <w:t> </w:t>
      </w:r>
      <w:r>
        <w:rPr>
          <w:w w:val="100"/>
          <w:sz w:val="21"/>
        </w:rPr>
        <w:t>constructed</w:t>
      </w:r>
      <w:r>
        <w:rPr>
          <w:sz w:val="21"/>
        </w:rPr>
        <w:t> </w:t>
      </w:r>
      <w:r>
        <w:rPr>
          <w:w w:val="100"/>
          <w:sz w:val="21"/>
        </w:rPr>
        <w:t>on</w:t>
      </w:r>
      <w:r>
        <w:rPr>
          <w:sz w:val="21"/>
        </w:rPr>
        <w:t> </w:t>
      </w:r>
      <w:r>
        <w:rPr>
          <w:w w:val="100"/>
          <w:sz w:val="21"/>
        </w:rPr>
        <w:t>the</w:t>
      </w:r>
      <w:r>
        <w:rPr>
          <w:sz w:val="21"/>
        </w:rPr>
        <w:t> </w:t>
      </w:r>
      <w:r>
        <w:rPr>
          <w:w w:val="100"/>
          <w:sz w:val="21"/>
        </w:rPr>
        <w:t>site</w:t>
      </w:r>
      <w:r>
        <w:rPr>
          <w:sz w:val="21"/>
        </w:rPr>
        <w:t> </w:t>
      </w:r>
      <w:r>
        <w:rPr>
          <w:w w:val="100"/>
          <w:sz w:val="21"/>
        </w:rPr>
        <w:t>of</w:t>
      </w:r>
      <w:r>
        <w:rPr>
          <w:sz w:val="21"/>
        </w:rPr>
        <w:t> </w:t>
      </w:r>
      <w:r>
        <w:rPr>
          <w:w w:val="100"/>
          <w:sz w:val="21"/>
        </w:rPr>
        <w:t>an </w:t>
      </w:r>
      <w:r>
        <w:rPr>
          <w:sz w:val="21"/>
        </w:rPr>
        <w:t>alleged Hindu temple after demolishing the same as alleged by defendant no. 13? If so, its effect?‖</w:t>
      </w:r>
    </w:p>
    <w:p>
      <w:pPr>
        <w:spacing w:before="0"/>
        <w:ind w:left="1940" w:right="0" w:firstLine="0"/>
        <w:jc w:val="both"/>
        <w:rPr>
          <w:sz w:val="21"/>
        </w:rPr>
      </w:pPr>
      <w:r>
        <w:rPr>
          <w:sz w:val="21"/>
        </w:rPr>
        <w:t>(b) Issue No. 14 in Suit No. 5</w:t>
      </w:r>
    </w:p>
    <w:p>
      <w:pPr>
        <w:spacing w:line="273" w:lineRule="auto" w:before="37"/>
        <w:ind w:left="1940" w:right="2265"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ethe</w:t>
      </w:r>
      <w:r>
        <w:rPr>
          <w:w w:val="100"/>
          <w:sz w:val="21"/>
        </w:rPr>
        <w:t>r</w:t>
      </w:r>
      <w:r>
        <w:rPr>
          <w:sz w:val="21"/>
        </w:rPr>
        <w:t> </w:t>
      </w:r>
      <w:r>
        <w:rPr>
          <w:spacing w:val="-22"/>
          <w:sz w:val="21"/>
        </w:rPr>
        <w:t> </w:t>
      </w:r>
      <w:r>
        <w:rPr>
          <w:spacing w:val="-2"/>
          <w:w w:val="100"/>
          <w:sz w:val="21"/>
        </w:rPr>
        <w:t>t</w:t>
      </w:r>
      <w:r>
        <w:rPr>
          <w:spacing w:val="-3"/>
          <w:w w:val="100"/>
          <w:sz w:val="21"/>
        </w:rPr>
        <w:t>h</w:t>
      </w:r>
      <w:r>
        <w:rPr>
          <w:w w:val="100"/>
          <w:sz w:val="21"/>
        </w:rPr>
        <w:t>e</w:t>
      </w:r>
      <w:r>
        <w:rPr>
          <w:sz w:val="21"/>
        </w:rPr>
        <w:t> </w:t>
      </w:r>
      <w:r>
        <w:rPr>
          <w:spacing w:val="-21"/>
          <w:sz w:val="21"/>
        </w:rPr>
        <w:t> </w:t>
      </w:r>
      <w:r>
        <w:rPr>
          <w:spacing w:val="-3"/>
          <w:w w:val="100"/>
          <w:sz w:val="21"/>
        </w:rPr>
        <w:t>d</w:t>
      </w:r>
      <w:r>
        <w:rPr>
          <w:w w:val="100"/>
          <w:sz w:val="21"/>
        </w:rPr>
        <w:t>is</w:t>
      </w:r>
      <w:r>
        <w:rPr>
          <w:spacing w:val="-3"/>
          <w:w w:val="100"/>
          <w:sz w:val="21"/>
        </w:rPr>
        <w:t>p</w:t>
      </w:r>
      <w:r>
        <w:rPr>
          <w:spacing w:val="-1"/>
          <w:w w:val="100"/>
          <w:sz w:val="21"/>
        </w:rPr>
        <w:t>ute</w:t>
      </w:r>
      <w:r>
        <w:rPr>
          <w:w w:val="100"/>
          <w:sz w:val="21"/>
        </w:rPr>
        <w:t>d</w:t>
      </w:r>
      <w:r>
        <w:rPr>
          <w:sz w:val="21"/>
        </w:rPr>
        <w:t> </w:t>
      </w:r>
      <w:r>
        <w:rPr>
          <w:spacing w:val="-21"/>
          <w:sz w:val="21"/>
        </w:rPr>
        <w:t> </w:t>
      </w:r>
      <w:r>
        <w:rPr>
          <w:w w:val="100"/>
          <w:sz w:val="21"/>
        </w:rPr>
        <w:t>s</w:t>
      </w:r>
      <w:r>
        <w:rPr>
          <w:spacing w:val="-4"/>
          <w:w w:val="100"/>
          <w:sz w:val="21"/>
        </w:rPr>
        <w:t>t</w:t>
      </w:r>
      <w:r>
        <w:rPr>
          <w:spacing w:val="-1"/>
          <w:w w:val="100"/>
          <w:sz w:val="21"/>
        </w:rPr>
        <w:t>ructur</w:t>
      </w:r>
      <w:r>
        <w:rPr>
          <w:w w:val="100"/>
          <w:sz w:val="21"/>
        </w:rPr>
        <w:t>e</w:t>
      </w:r>
      <w:r>
        <w:rPr>
          <w:sz w:val="21"/>
        </w:rPr>
        <w:t> </w:t>
      </w:r>
      <w:r>
        <w:rPr>
          <w:spacing w:val="-22"/>
          <w:sz w:val="21"/>
        </w:rPr>
        <w:t> </w:t>
      </w:r>
      <w:r>
        <w:rPr>
          <w:spacing w:val="-3"/>
          <w:w w:val="100"/>
          <w:sz w:val="21"/>
        </w:rPr>
        <w:t>c</w:t>
      </w:r>
      <w:r>
        <w:rPr>
          <w:w w:val="100"/>
          <w:sz w:val="21"/>
        </w:rPr>
        <w:t>l</w:t>
      </w:r>
      <w:r>
        <w:rPr>
          <w:spacing w:val="-3"/>
          <w:w w:val="100"/>
          <w:sz w:val="21"/>
        </w:rPr>
        <w:t>a</w:t>
      </w:r>
      <w:r>
        <w:rPr>
          <w:spacing w:val="-2"/>
          <w:w w:val="100"/>
          <w:sz w:val="21"/>
        </w:rPr>
        <w:t>i</w:t>
      </w:r>
      <w:r>
        <w:rPr>
          <w:spacing w:val="1"/>
          <w:w w:val="100"/>
          <w:sz w:val="21"/>
        </w:rPr>
        <w:t>m</w:t>
      </w:r>
      <w:r>
        <w:rPr>
          <w:spacing w:val="-1"/>
          <w:w w:val="100"/>
          <w:sz w:val="21"/>
        </w:rPr>
        <w:t>e</w:t>
      </w:r>
      <w:r>
        <w:rPr>
          <w:w w:val="100"/>
          <w:sz w:val="21"/>
        </w:rPr>
        <w:t>d</w:t>
      </w:r>
      <w:r>
        <w:rPr>
          <w:sz w:val="21"/>
        </w:rPr>
        <w:t> </w:t>
      </w:r>
      <w:r>
        <w:rPr>
          <w:spacing w:val="-23"/>
          <w:sz w:val="21"/>
        </w:rPr>
        <w:t> </w:t>
      </w:r>
      <w:r>
        <w:rPr>
          <w:spacing w:val="-2"/>
          <w:w w:val="100"/>
          <w:sz w:val="21"/>
        </w:rPr>
        <w:t>t</w:t>
      </w:r>
      <w:r>
        <w:rPr>
          <w:w w:val="100"/>
          <w:sz w:val="21"/>
        </w:rPr>
        <w:t>o</w:t>
      </w:r>
      <w:r>
        <w:rPr>
          <w:sz w:val="21"/>
        </w:rPr>
        <w:t> </w:t>
      </w:r>
      <w:r>
        <w:rPr>
          <w:spacing w:val="-21"/>
          <w:sz w:val="21"/>
        </w:rPr>
        <w:t> </w:t>
      </w:r>
      <w:r>
        <w:rPr>
          <w:spacing w:val="-1"/>
          <w:w w:val="100"/>
          <w:sz w:val="21"/>
        </w:rPr>
        <w:t>b</w:t>
      </w:r>
      <w:r>
        <w:rPr>
          <w:w w:val="100"/>
          <w:sz w:val="21"/>
        </w:rPr>
        <w:t>e</w:t>
      </w:r>
      <w:r>
        <w:rPr>
          <w:sz w:val="21"/>
        </w:rPr>
        <w:t> </w:t>
      </w:r>
      <w:r>
        <w:rPr>
          <w:spacing w:val="-23"/>
          <w:sz w:val="21"/>
        </w:rPr>
        <w:t> </w:t>
      </w:r>
      <w:r>
        <w:rPr>
          <w:spacing w:val="-2"/>
          <w:w w:val="100"/>
          <w:sz w:val="21"/>
        </w:rPr>
        <w:t>B</w:t>
      </w:r>
      <w:r>
        <w:rPr>
          <w:spacing w:val="-3"/>
          <w:w w:val="100"/>
          <w:sz w:val="21"/>
        </w:rPr>
        <w:t>a</w:t>
      </w:r>
      <w:r>
        <w:rPr>
          <w:spacing w:val="-1"/>
          <w:w w:val="100"/>
          <w:sz w:val="21"/>
        </w:rPr>
        <w:t>br</w:t>
      </w:r>
      <w:r>
        <w:rPr>
          <w:w w:val="100"/>
          <w:sz w:val="21"/>
        </w:rPr>
        <w:t>i</w:t>
      </w:r>
      <w:r>
        <w:rPr>
          <w:sz w:val="21"/>
        </w:rPr>
        <w:t> </w:t>
      </w:r>
      <w:r>
        <w:rPr>
          <w:spacing w:val="-21"/>
          <w:sz w:val="21"/>
        </w:rPr>
        <w:t> </w:t>
      </w:r>
      <w:r>
        <w:rPr>
          <w:spacing w:val="-1"/>
          <w:w w:val="100"/>
          <w:sz w:val="21"/>
        </w:rPr>
        <w:t>M</w:t>
      </w:r>
      <w:r>
        <w:rPr>
          <w:spacing w:val="-3"/>
          <w:w w:val="100"/>
          <w:sz w:val="21"/>
        </w:rPr>
        <w:t>a</w:t>
      </w:r>
      <w:r>
        <w:rPr>
          <w:w w:val="100"/>
          <w:sz w:val="21"/>
        </w:rPr>
        <w:t>s</w:t>
      </w:r>
      <w:r>
        <w:rPr>
          <w:spacing w:val="-2"/>
          <w:w w:val="100"/>
          <w:sz w:val="21"/>
        </w:rPr>
        <w:t>j</w:t>
      </w:r>
      <w:r>
        <w:rPr>
          <w:w w:val="100"/>
          <w:sz w:val="21"/>
        </w:rPr>
        <w:t>id </w:t>
      </w:r>
      <w:r>
        <w:rPr>
          <w:sz w:val="21"/>
        </w:rPr>
        <w:t>was</w:t>
      </w:r>
      <w:r>
        <w:rPr>
          <w:spacing w:val="-6"/>
          <w:sz w:val="21"/>
        </w:rPr>
        <w:t> </w:t>
      </w:r>
      <w:r>
        <w:rPr>
          <w:sz w:val="21"/>
        </w:rPr>
        <w:t>erected</w:t>
      </w:r>
      <w:r>
        <w:rPr>
          <w:spacing w:val="-6"/>
          <w:sz w:val="21"/>
        </w:rPr>
        <w:t> </w:t>
      </w:r>
      <w:r>
        <w:rPr>
          <w:sz w:val="21"/>
        </w:rPr>
        <w:t>after</w:t>
      </w:r>
      <w:r>
        <w:rPr>
          <w:spacing w:val="-7"/>
          <w:sz w:val="21"/>
        </w:rPr>
        <w:t> </w:t>
      </w:r>
      <w:r>
        <w:rPr>
          <w:sz w:val="21"/>
        </w:rPr>
        <w:t>demolishing</w:t>
      </w:r>
      <w:r>
        <w:rPr>
          <w:spacing w:val="-5"/>
          <w:sz w:val="21"/>
        </w:rPr>
        <w:t> </w:t>
      </w:r>
      <w:r>
        <w:rPr>
          <w:sz w:val="21"/>
        </w:rPr>
        <w:t>Janmasthan</w:t>
      </w:r>
      <w:r>
        <w:rPr>
          <w:spacing w:val="-6"/>
          <w:sz w:val="21"/>
        </w:rPr>
        <w:t> </w:t>
      </w:r>
      <w:r>
        <w:rPr>
          <w:sz w:val="21"/>
        </w:rPr>
        <w:t>temple</w:t>
      </w:r>
      <w:r>
        <w:rPr>
          <w:spacing w:val="-6"/>
          <w:sz w:val="21"/>
        </w:rPr>
        <w:t> </w:t>
      </w:r>
      <w:r>
        <w:rPr>
          <w:sz w:val="21"/>
        </w:rPr>
        <w:t>at</w:t>
      </w:r>
      <w:r>
        <w:rPr>
          <w:spacing w:val="-7"/>
          <w:sz w:val="21"/>
        </w:rPr>
        <w:t> </w:t>
      </w:r>
      <w:r>
        <w:rPr>
          <w:sz w:val="21"/>
        </w:rPr>
        <w:t>its</w:t>
      </w:r>
      <w:r>
        <w:rPr>
          <w:spacing w:val="-5"/>
          <w:sz w:val="21"/>
        </w:rPr>
        <w:t> </w:t>
      </w:r>
      <w:r>
        <w:rPr>
          <w:sz w:val="21"/>
        </w:rPr>
        <w:t>site?‖</w:t>
      </w:r>
    </w:p>
    <w:p>
      <w:pPr>
        <w:pStyle w:val="BodyText"/>
        <w:rPr>
          <w:sz w:val="24"/>
        </w:rPr>
      </w:pPr>
    </w:p>
    <w:p>
      <w:pPr>
        <w:pStyle w:val="BodyText"/>
        <w:spacing w:before="3"/>
        <w:rPr>
          <w:sz w:val="30"/>
        </w:rPr>
      </w:pPr>
    </w:p>
    <w:p>
      <w:pPr>
        <w:pStyle w:val="BodyText"/>
        <w:ind w:left="500"/>
      </w:pPr>
      <w:r>
        <w:rPr/>
        <w:t>In order to establish their case, the plaintiffs in Suit 5 need to prove that:</w:t>
      </w:r>
    </w:p>
    <w:p>
      <w:pPr>
        <w:pStyle w:val="BodyText"/>
        <w:spacing w:before="10"/>
        <w:rPr>
          <w:sz w:val="24"/>
        </w:rPr>
      </w:pPr>
    </w:p>
    <w:p>
      <w:pPr>
        <w:pStyle w:val="ListParagraph"/>
        <w:numPr>
          <w:ilvl w:val="0"/>
          <w:numId w:val="164"/>
        </w:numPr>
        <w:tabs>
          <w:tab w:pos="1220" w:val="left" w:leader="none"/>
          <w:tab w:pos="1221" w:val="left" w:leader="none"/>
        </w:tabs>
        <w:spacing w:line="240" w:lineRule="auto" w:before="0" w:after="0"/>
        <w:ind w:left="1220" w:right="0" w:hanging="721"/>
        <w:jc w:val="left"/>
        <w:rPr>
          <w:sz w:val="25"/>
        </w:rPr>
      </w:pPr>
      <w:r>
        <w:rPr>
          <w:sz w:val="25"/>
        </w:rPr>
        <w:t>There existed an ancient Hindu temple at the disputed</w:t>
      </w:r>
      <w:r>
        <w:rPr>
          <w:spacing w:val="-6"/>
          <w:sz w:val="25"/>
        </w:rPr>
        <w:t> </w:t>
      </w:r>
      <w:r>
        <w:rPr>
          <w:sz w:val="25"/>
        </w:rPr>
        <w:t>site;</w:t>
      </w:r>
    </w:p>
    <w:p>
      <w:pPr>
        <w:pStyle w:val="BodyText"/>
        <w:spacing w:before="1"/>
      </w:pPr>
    </w:p>
    <w:p>
      <w:pPr>
        <w:pStyle w:val="ListParagraph"/>
        <w:numPr>
          <w:ilvl w:val="0"/>
          <w:numId w:val="164"/>
        </w:numPr>
        <w:tabs>
          <w:tab w:pos="1220" w:val="left" w:leader="none"/>
          <w:tab w:pos="1221" w:val="left" w:leader="none"/>
        </w:tabs>
        <w:spacing w:line="480" w:lineRule="auto" w:before="0" w:after="0"/>
        <w:ind w:left="1220" w:right="444" w:hanging="720"/>
        <w:jc w:val="left"/>
        <w:rPr>
          <w:sz w:val="25"/>
        </w:rPr>
      </w:pPr>
      <w:r>
        <w:rPr>
          <w:sz w:val="25"/>
        </w:rPr>
        <w:t>The existing ancient Hindu temple was demolished in order to construct the Babri Masjid;</w:t>
      </w:r>
      <w:r>
        <w:rPr>
          <w:spacing w:val="1"/>
          <w:sz w:val="25"/>
        </w:rPr>
        <w:t> </w:t>
      </w:r>
      <w:r>
        <w:rPr>
          <w:sz w:val="25"/>
        </w:rPr>
        <w:t>and</w:t>
      </w:r>
    </w:p>
    <w:p>
      <w:pPr>
        <w:pStyle w:val="ListParagraph"/>
        <w:numPr>
          <w:ilvl w:val="0"/>
          <w:numId w:val="164"/>
        </w:numPr>
        <w:tabs>
          <w:tab w:pos="1220" w:val="left" w:leader="none"/>
          <w:tab w:pos="1221" w:val="left" w:leader="none"/>
        </w:tabs>
        <w:spacing w:line="240" w:lineRule="auto" w:before="0" w:after="0"/>
        <w:ind w:left="1220" w:right="0" w:hanging="721"/>
        <w:jc w:val="left"/>
        <w:rPr>
          <w:sz w:val="25"/>
        </w:rPr>
      </w:pPr>
      <w:r>
        <w:rPr>
          <w:sz w:val="25"/>
        </w:rPr>
        <w:t>The mosque was constructed at the site of the</w:t>
      </w:r>
      <w:r>
        <w:rPr>
          <w:spacing w:val="-9"/>
          <w:sz w:val="25"/>
        </w:rPr>
        <w:t> </w:t>
      </w:r>
      <w:r>
        <w:rPr>
          <w:sz w:val="25"/>
        </w:rPr>
        <w:t>temple.</w:t>
      </w:r>
    </w:p>
    <w:p>
      <w:pPr>
        <w:spacing w:after="0" w:line="240" w:lineRule="auto"/>
        <w:jc w:val="left"/>
        <w:rPr>
          <w:sz w:val="25"/>
        </w:rPr>
        <w:sectPr>
          <w:pgSz w:w="11910" w:h="16840"/>
          <w:pgMar w:header="721" w:footer="1014" w:top="1300" w:bottom="1200" w:left="940" w:right="1000"/>
        </w:sectPr>
      </w:pPr>
    </w:p>
    <w:p>
      <w:pPr>
        <w:pStyle w:val="BodyText"/>
        <w:spacing w:before="9"/>
        <w:rPr>
          <w:sz w:val="27"/>
        </w:rPr>
      </w:pPr>
    </w:p>
    <w:p>
      <w:pPr>
        <w:pStyle w:val="BodyText"/>
        <w:spacing w:line="480" w:lineRule="auto" w:before="92"/>
        <w:ind w:left="500" w:right="444"/>
        <w:jc w:val="both"/>
      </w:pPr>
      <w:r>
        <w:rPr/>
        <w:t>The burden of proof to establish a positive case lies on the plaintiffs in Suit 5 in terms of Sections 101 to 103 of the Evidence Act 1872.</w:t>
      </w:r>
    </w:p>
    <w:p>
      <w:pPr>
        <w:pStyle w:val="BodyText"/>
        <w:rPr>
          <w:sz w:val="28"/>
        </w:rPr>
      </w:pPr>
    </w:p>
    <w:p>
      <w:pPr>
        <w:pStyle w:val="BodyText"/>
        <w:spacing w:before="1"/>
        <w:rPr>
          <w:sz w:val="22"/>
        </w:rPr>
      </w:pPr>
    </w:p>
    <w:p>
      <w:pPr>
        <w:pStyle w:val="Heading4"/>
        <w:rPr>
          <w:i/>
        </w:rPr>
      </w:pPr>
      <w:r>
        <w:rPr>
          <w:i/>
        </w:rPr>
        <w:t>The purpose of the excavation ordered by the High Court</w:t>
      </w:r>
    </w:p>
    <w:p>
      <w:pPr>
        <w:pStyle w:val="BodyText"/>
        <w:rPr>
          <w:i/>
          <w:sz w:val="28"/>
        </w:rPr>
      </w:pPr>
    </w:p>
    <w:p>
      <w:pPr>
        <w:pStyle w:val="BodyText"/>
        <w:spacing w:before="9"/>
        <w:rPr>
          <w:i/>
          <w:sz w:val="22"/>
        </w:rPr>
      </w:pPr>
    </w:p>
    <w:p>
      <w:pPr>
        <w:pStyle w:val="ListParagraph"/>
        <w:numPr>
          <w:ilvl w:val="0"/>
          <w:numId w:val="111"/>
        </w:numPr>
        <w:tabs>
          <w:tab w:pos="1220" w:val="left" w:leader="none"/>
          <w:tab w:pos="1221" w:val="left" w:leader="none"/>
        </w:tabs>
        <w:spacing w:line="482" w:lineRule="auto" w:before="0" w:after="0"/>
        <w:ind w:left="500" w:right="437" w:firstLine="0"/>
        <w:jc w:val="left"/>
        <w:rPr>
          <w:sz w:val="25"/>
        </w:rPr>
      </w:pPr>
      <w:r>
        <w:rPr>
          <w:sz w:val="25"/>
        </w:rPr>
        <w:t>While ordering a GPR survey, the High Court by its order dated 23 October 2002 explained the purpose and object of doing so in the following</w:t>
      </w:r>
      <w:r>
        <w:rPr>
          <w:spacing w:val="-15"/>
          <w:sz w:val="25"/>
        </w:rPr>
        <w:t> </w:t>
      </w:r>
      <w:r>
        <w:rPr>
          <w:sz w:val="25"/>
        </w:rPr>
        <w:t>terms:</w:t>
      </w:r>
    </w:p>
    <w:p>
      <w:pPr>
        <w:spacing w:line="276" w:lineRule="auto" w:before="155"/>
        <w:ind w:left="1940" w:right="2262" w:firstLine="0"/>
        <w:jc w:val="both"/>
        <w:rPr>
          <w:sz w:val="21"/>
        </w:rPr>
      </w:pPr>
      <w:r>
        <w:rPr>
          <w:w w:val="33"/>
          <w:sz w:val="21"/>
        </w:rPr>
        <w:t>―</w:t>
      </w:r>
      <w:r>
        <w:rPr>
          <w:w w:val="100"/>
          <w:sz w:val="21"/>
        </w:rPr>
        <w:t>The</w:t>
      </w:r>
      <w:r>
        <w:rPr>
          <w:sz w:val="21"/>
        </w:rPr>
        <w:t> </w:t>
      </w:r>
      <w:r>
        <w:rPr>
          <w:w w:val="100"/>
          <w:sz w:val="21"/>
        </w:rPr>
        <w:t>nature</w:t>
      </w:r>
      <w:r>
        <w:rPr>
          <w:sz w:val="21"/>
        </w:rPr>
        <w:t> </w:t>
      </w:r>
      <w:r>
        <w:rPr>
          <w:w w:val="100"/>
          <w:sz w:val="21"/>
        </w:rPr>
        <w:t>of</w:t>
      </w:r>
      <w:r>
        <w:rPr>
          <w:sz w:val="21"/>
        </w:rPr>
        <w:t> </w:t>
      </w:r>
      <w:r>
        <w:rPr>
          <w:w w:val="100"/>
          <w:sz w:val="21"/>
        </w:rPr>
        <w:t>super</w:t>
      </w:r>
      <w:r>
        <w:rPr>
          <w:sz w:val="21"/>
        </w:rPr>
        <w:t> </w:t>
      </w:r>
      <w:r>
        <w:rPr>
          <w:w w:val="100"/>
          <w:sz w:val="21"/>
        </w:rPr>
        <w:t>structure</w:t>
      </w:r>
      <w:r>
        <w:rPr>
          <w:sz w:val="21"/>
        </w:rPr>
        <w:t> </w:t>
      </w:r>
      <w:r>
        <w:rPr>
          <w:w w:val="100"/>
          <w:sz w:val="21"/>
        </w:rPr>
        <w:t>to</w:t>
      </w:r>
      <w:r>
        <w:rPr>
          <w:sz w:val="21"/>
        </w:rPr>
        <w:t> </w:t>
      </w:r>
      <w:r>
        <w:rPr>
          <w:w w:val="100"/>
          <w:sz w:val="21"/>
        </w:rPr>
        <w:t>a</w:t>
      </w:r>
      <w:r>
        <w:rPr>
          <w:sz w:val="21"/>
        </w:rPr>
        <w:t> </w:t>
      </w:r>
      <w:r>
        <w:rPr>
          <w:w w:val="100"/>
          <w:sz w:val="21"/>
        </w:rPr>
        <w:t>great</w:t>
      </w:r>
      <w:r>
        <w:rPr>
          <w:sz w:val="21"/>
        </w:rPr>
        <w:t> </w:t>
      </w:r>
      <w:r>
        <w:rPr>
          <w:w w:val="100"/>
          <w:sz w:val="21"/>
        </w:rPr>
        <w:t>extent</w:t>
      </w:r>
      <w:r>
        <w:rPr>
          <w:sz w:val="21"/>
        </w:rPr>
        <w:t> </w:t>
      </w:r>
      <w:r>
        <w:rPr>
          <w:w w:val="100"/>
          <w:sz w:val="21"/>
        </w:rPr>
        <w:t>is</w:t>
      </w:r>
      <w:r>
        <w:rPr>
          <w:sz w:val="21"/>
        </w:rPr>
        <w:t> </w:t>
      </w:r>
      <w:r>
        <w:rPr>
          <w:w w:val="100"/>
          <w:sz w:val="21"/>
        </w:rPr>
        <w:t>related</w:t>
      </w:r>
      <w:r>
        <w:rPr>
          <w:sz w:val="21"/>
        </w:rPr>
        <w:t> </w:t>
      </w:r>
      <w:r>
        <w:rPr>
          <w:w w:val="100"/>
          <w:sz w:val="21"/>
        </w:rPr>
        <w:t>to </w:t>
      </w:r>
      <w:r>
        <w:rPr>
          <w:sz w:val="21"/>
        </w:rPr>
        <w:t>the foundations. …If any foundation is existing of any construction, it may throw light as to whether any structure existed and if so what would have been the possible structure at that time…‖</w:t>
      </w:r>
    </w:p>
    <w:p>
      <w:pPr>
        <w:pStyle w:val="BodyText"/>
        <w:rPr>
          <w:sz w:val="24"/>
        </w:rPr>
      </w:pPr>
    </w:p>
    <w:p>
      <w:pPr>
        <w:pStyle w:val="BodyText"/>
        <w:rPr>
          <w:sz w:val="24"/>
        </w:rPr>
      </w:pPr>
    </w:p>
    <w:p>
      <w:pPr>
        <w:pStyle w:val="BodyText"/>
        <w:spacing w:line="480" w:lineRule="auto" w:before="167"/>
        <w:ind w:left="500" w:right="441"/>
        <w:jc w:val="both"/>
      </w:pPr>
      <w:r>
        <w:rPr/>
        <w:t>The GPR survey report dated 17 February 2003 found a variety of anomalies ranging from 0.5 to 5.5 meters in depth that could be associated with ancient and contemporaneous structures such as pillars, foundations walls and slab flooring extending over a large portion of the site. The survey report however indicated that these anomalies were required to be confirmed by ‗systematic ground trothing‘, such as by archaeological trenching. Out of 184 anomalies detected by the GPR survey, 39 were confirmed during excavation.</w:t>
      </w:r>
    </w:p>
    <w:p>
      <w:pPr>
        <w:pStyle w:val="BodyText"/>
        <w:spacing w:before="2"/>
      </w:pPr>
    </w:p>
    <w:p>
      <w:pPr>
        <w:pStyle w:val="BodyText"/>
        <w:spacing w:line="480" w:lineRule="auto"/>
        <w:ind w:left="500" w:right="449"/>
        <w:jc w:val="both"/>
      </w:pPr>
      <w:r>
        <w:rPr/>
        <w:t>On 5 March 2003, when the High Court directed the ASI to excavate the site, it was in order to determine:</w:t>
      </w:r>
    </w:p>
    <w:p>
      <w:pPr>
        <w:spacing w:line="276" w:lineRule="auto" w:before="159"/>
        <w:ind w:left="1940" w:right="2263"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ethe</w:t>
      </w:r>
      <w:r>
        <w:rPr>
          <w:w w:val="100"/>
          <w:sz w:val="21"/>
        </w:rPr>
        <w:t>r</w:t>
      </w:r>
      <w:r>
        <w:rPr>
          <w:sz w:val="21"/>
        </w:rPr>
        <w:t>   </w:t>
      </w:r>
      <w:r>
        <w:rPr>
          <w:spacing w:val="-21"/>
          <w:sz w:val="21"/>
        </w:rPr>
        <w:t> </w:t>
      </w:r>
      <w:r>
        <w:rPr>
          <w:spacing w:val="-2"/>
          <w:w w:val="100"/>
          <w:sz w:val="21"/>
        </w:rPr>
        <w:t>t</w:t>
      </w:r>
      <w:r>
        <w:rPr>
          <w:spacing w:val="-1"/>
          <w:w w:val="100"/>
          <w:sz w:val="21"/>
        </w:rPr>
        <w:t>her</w:t>
      </w:r>
      <w:r>
        <w:rPr>
          <w:w w:val="100"/>
          <w:sz w:val="21"/>
        </w:rPr>
        <w:t>e</w:t>
      </w:r>
      <w:r>
        <w:rPr>
          <w:sz w:val="21"/>
        </w:rPr>
        <w:t>   </w:t>
      </w:r>
      <w:r>
        <w:rPr>
          <w:spacing w:val="-21"/>
          <w:sz w:val="21"/>
        </w:rPr>
        <w:t> </w:t>
      </w:r>
      <w:r>
        <w:rPr>
          <w:spacing w:val="-2"/>
          <w:w w:val="100"/>
          <w:sz w:val="21"/>
        </w:rPr>
        <w:t>w</w:t>
      </w:r>
      <w:r>
        <w:rPr>
          <w:spacing w:val="-1"/>
          <w:w w:val="100"/>
          <w:sz w:val="21"/>
        </w:rPr>
        <w:t>a</w:t>
      </w:r>
      <w:r>
        <w:rPr>
          <w:w w:val="100"/>
          <w:sz w:val="21"/>
        </w:rPr>
        <w:t>s</w:t>
      </w:r>
      <w:r>
        <w:rPr>
          <w:sz w:val="21"/>
        </w:rPr>
        <w:t>   </w:t>
      </w:r>
      <w:r>
        <w:rPr>
          <w:spacing w:val="-20"/>
          <w:sz w:val="21"/>
        </w:rPr>
        <w:t> </w:t>
      </w:r>
      <w:r>
        <w:rPr>
          <w:spacing w:val="-1"/>
          <w:w w:val="100"/>
          <w:sz w:val="21"/>
        </w:rPr>
        <w:t>an</w:t>
      </w:r>
      <w:r>
        <w:rPr>
          <w:w w:val="100"/>
          <w:sz w:val="21"/>
        </w:rPr>
        <w:t>y</w:t>
      </w:r>
      <w:r>
        <w:rPr>
          <w:sz w:val="21"/>
        </w:rPr>
        <w:t>   </w:t>
      </w:r>
      <w:r>
        <w:rPr>
          <w:spacing w:val="-20"/>
          <w:sz w:val="21"/>
        </w:rPr>
        <w:t> </w:t>
      </w:r>
      <w:r>
        <w:rPr>
          <w:spacing w:val="-2"/>
          <w:w w:val="100"/>
          <w:sz w:val="21"/>
        </w:rPr>
        <w:t>t</w:t>
      </w:r>
      <w:r>
        <w:rPr>
          <w:spacing w:val="-1"/>
          <w:w w:val="100"/>
          <w:sz w:val="21"/>
        </w:rPr>
        <w:t>emp</w:t>
      </w:r>
      <w:r>
        <w:rPr>
          <w:spacing w:val="-2"/>
          <w:w w:val="100"/>
          <w:sz w:val="21"/>
        </w:rPr>
        <w:t>l</w:t>
      </w:r>
      <w:r>
        <w:rPr>
          <w:spacing w:val="-1"/>
          <w:w w:val="100"/>
          <w:sz w:val="21"/>
        </w:rPr>
        <w:t>e/</w:t>
      </w:r>
      <w:r>
        <w:rPr>
          <w:w w:val="100"/>
          <w:sz w:val="21"/>
        </w:rPr>
        <w:t>s</w:t>
      </w:r>
      <w:r>
        <w:rPr>
          <w:spacing w:val="-2"/>
          <w:w w:val="100"/>
          <w:sz w:val="21"/>
        </w:rPr>
        <w:t>t</w:t>
      </w:r>
      <w:r>
        <w:rPr>
          <w:spacing w:val="-1"/>
          <w:w w:val="100"/>
          <w:sz w:val="21"/>
        </w:rPr>
        <w:t>ructur</w:t>
      </w:r>
      <w:r>
        <w:rPr>
          <w:w w:val="100"/>
          <w:sz w:val="21"/>
        </w:rPr>
        <w:t>e</w:t>
      </w:r>
      <w:r>
        <w:rPr>
          <w:sz w:val="21"/>
        </w:rPr>
        <w:t>   </w:t>
      </w:r>
      <w:r>
        <w:rPr>
          <w:spacing w:val="-19"/>
          <w:sz w:val="21"/>
        </w:rPr>
        <w:t> </w:t>
      </w:r>
      <w:r>
        <w:rPr>
          <w:spacing w:val="-4"/>
          <w:w w:val="100"/>
          <w:sz w:val="21"/>
        </w:rPr>
        <w:t>w</w:t>
      </w:r>
      <w:r>
        <w:rPr>
          <w:spacing w:val="-1"/>
          <w:w w:val="100"/>
          <w:sz w:val="21"/>
        </w:rPr>
        <w:t>h</w:t>
      </w:r>
      <w:r>
        <w:rPr>
          <w:spacing w:val="1"/>
          <w:w w:val="100"/>
          <w:sz w:val="21"/>
        </w:rPr>
        <w:t>i</w:t>
      </w:r>
      <w:r>
        <w:rPr>
          <w:w w:val="100"/>
          <w:sz w:val="21"/>
        </w:rPr>
        <w:t>ch</w:t>
      </w:r>
      <w:r>
        <w:rPr>
          <w:sz w:val="21"/>
        </w:rPr>
        <w:t>   </w:t>
      </w:r>
      <w:r>
        <w:rPr>
          <w:spacing w:val="-20"/>
          <w:sz w:val="21"/>
        </w:rPr>
        <w:t> </w:t>
      </w:r>
      <w:r>
        <w:rPr>
          <w:spacing w:val="-2"/>
          <w:w w:val="100"/>
          <w:sz w:val="21"/>
        </w:rPr>
        <w:t>w</w:t>
      </w:r>
      <w:r>
        <w:rPr>
          <w:spacing w:val="-3"/>
          <w:w w:val="100"/>
          <w:sz w:val="21"/>
        </w:rPr>
        <w:t>a</w:t>
      </w:r>
      <w:r>
        <w:rPr>
          <w:w w:val="100"/>
          <w:sz w:val="21"/>
        </w:rPr>
        <w:t>s </w:t>
      </w:r>
      <w:r>
        <w:rPr>
          <w:sz w:val="21"/>
        </w:rPr>
        <w:t>demolished and a mosque was constructed on the disputed site.‖</w:t>
      </w:r>
    </w:p>
    <w:p>
      <w:pPr>
        <w:spacing w:after="0" w:line="276" w:lineRule="auto"/>
        <w:jc w:val="both"/>
        <w:rPr>
          <w:sz w:val="21"/>
        </w:rPr>
        <w:sectPr>
          <w:pgSz w:w="11910" w:h="16840"/>
          <w:pgMar w:header="721" w:footer="1014" w:top="1300" w:bottom="1200" w:left="940" w:right="1000"/>
        </w:sectPr>
      </w:pPr>
    </w:p>
    <w:p>
      <w:pPr>
        <w:pStyle w:val="BodyText"/>
        <w:spacing w:before="124"/>
        <w:ind w:left="500"/>
        <w:jc w:val="both"/>
      </w:pPr>
      <w:r>
        <w:rPr/>
        <w:t>The ASI presented its final report dated 22 August 2003 opining:</w:t>
      </w:r>
    </w:p>
    <w:p>
      <w:pPr>
        <w:pStyle w:val="BodyText"/>
      </w:pPr>
    </w:p>
    <w:p>
      <w:pPr>
        <w:spacing w:line="276" w:lineRule="auto" w:before="0"/>
        <w:ind w:left="1940" w:right="2260" w:firstLine="0"/>
        <w:jc w:val="both"/>
        <w:rPr>
          <w:sz w:val="21"/>
        </w:rPr>
      </w:pPr>
      <w:r>
        <w:rPr>
          <w:w w:val="33"/>
          <w:sz w:val="21"/>
        </w:rPr>
        <w:t>―</w:t>
      </w:r>
      <w:r>
        <w:rPr>
          <w:w w:val="100"/>
          <w:sz w:val="21"/>
        </w:rPr>
        <w:t>Now,</w:t>
      </w:r>
      <w:r>
        <w:rPr>
          <w:sz w:val="21"/>
        </w:rPr>
        <w:t>   </w:t>
      </w:r>
      <w:r>
        <w:rPr>
          <w:w w:val="100"/>
          <w:sz w:val="21"/>
        </w:rPr>
        <w:t>viewing</w:t>
      </w:r>
      <w:r>
        <w:rPr>
          <w:sz w:val="21"/>
        </w:rPr>
        <w:t>   </w:t>
      </w:r>
      <w:r>
        <w:rPr>
          <w:w w:val="100"/>
          <w:sz w:val="21"/>
        </w:rPr>
        <w:t>in</w:t>
      </w:r>
      <w:r>
        <w:rPr>
          <w:sz w:val="21"/>
        </w:rPr>
        <w:t>   </w:t>
      </w:r>
      <w:r>
        <w:rPr>
          <w:w w:val="100"/>
          <w:sz w:val="21"/>
        </w:rPr>
        <w:t>totality</w:t>
      </w:r>
      <w:r>
        <w:rPr>
          <w:sz w:val="21"/>
        </w:rPr>
        <w:t>   </w:t>
      </w:r>
      <w:r>
        <w:rPr>
          <w:w w:val="100"/>
          <w:sz w:val="21"/>
        </w:rPr>
        <w:t>and</w:t>
      </w:r>
      <w:r>
        <w:rPr>
          <w:sz w:val="21"/>
        </w:rPr>
        <w:t>   </w:t>
      </w:r>
      <w:r>
        <w:rPr>
          <w:w w:val="100"/>
          <w:sz w:val="21"/>
        </w:rPr>
        <w:t>taking</w:t>
      </w:r>
      <w:r>
        <w:rPr>
          <w:sz w:val="21"/>
        </w:rPr>
        <w:t>   </w:t>
      </w:r>
      <w:r>
        <w:rPr>
          <w:w w:val="100"/>
          <w:sz w:val="21"/>
        </w:rPr>
        <w:t>into</w:t>
      </w:r>
      <w:r>
        <w:rPr>
          <w:sz w:val="21"/>
        </w:rPr>
        <w:t>   </w:t>
      </w:r>
      <w:r>
        <w:rPr>
          <w:w w:val="100"/>
          <w:sz w:val="21"/>
        </w:rPr>
        <w:t>account</w:t>
      </w:r>
      <w:r>
        <w:rPr>
          <w:sz w:val="21"/>
        </w:rPr>
        <w:t>   </w:t>
      </w:r>
      <w:r>
        <w:rPr>
          <w:w w:val="100"/>
          <w:sz w:val="21"/>
        </w:rPr>
        <w:t>the </w:t>
      </w:r>
      <w:r>
        <w:rPr>
          <w:sz w:val="21"/>
        </w:rPr>
        <w:t>archaeological evidence of a massive structure just below the disputed structure and evidence of continuity in structural phases from the tenth century onwards upto the construction of the disputed structure along with the yield of stone and decorated bricks as well as mutilated sculpture of divine couple and carved architectural members including foliage patterns, amalaka, kapotapali doorjamb with semi-circular pilaster, broken octagonal shaft of black schist pillar, lotus motif, circular shrine having pranala (waterchute) in the north, fifty pillar bases in association of the huge structure, are </w:t>
      </w:r>
      <w:r>
        <w:rPr>
          <w:b/>
          <w:sz w:val="21"/>
        </w:rPr>
        <w:t>indicative of remains which are distinctive features found associated with the temples of north India</w:t>
      </w:r>
      <w:r>
        <w:rPr>
          <w:sz w:val="21"/>
        </w:rPr>
        <w:t>.‖</w:t>
      </w:r>
    </w:p>
    <w:p>
      <w:pPr>
        <w:spacing w:before="0"/>
        <w:ind w:left="5798" w:right="0" w:firstLine="0"/>
        <w:jc w:val="both"/>
        <w:rPr>
          <w:sz w:val="21"/>
        </w:rPr>
      </w:pPr>
      <w:r>
        <w:rPr>
          <w:sz w:val="21"/>
        </w:rPr>
        <w:t>(Emphasis supplied)</w:t>
      </w:r>
    </w:p>
    <w:p>
      <w:pPr>
        <w:pStyle w:val="BodyText"/>
        <w:rPr>
          <w:sz w:val="24"/>
        </w:rPr>
      </w:pPr>
    </w:p>
    <w:p>
      <w:pPr>
        <w:pStyle w:val="BodyText"/>
        <w:rPr>
          <w:sz w:val="24"/>
        </w:rPr>
      </w:pPr>
    </w:p>
    <w:p>
      <w:pPr>
        <w:pStyle w:val="BodyText"/>
        <w:spacing w:line="480" w:lineRule="auto" w:before="203"/>
        <w:ind w:left="500" w:right="436"/>
        <w:jc w:val="both"/>
      </w:pPr>
      <w:r>
        <w:rPr/>
        <w:t>The basic objection to the ASI report is that no finding was rendered on whether any underlying temple or structure was demolished and a mosque was constructed on its site. In this context, it has been submitted that by its very nature, the report which is an opinion (albeit of an expert body) is not direct evidence of a fact and is inherently speculative and inconclusive.</w:t>
      </w:r>
    </w:p>
    <w:p>
      <w:pPr>
        <w:pStyle w:val="BodyText"/>
        <w:spacing w:before="1"/>
      </w:pPr>
    </w:p>
    <w:p>
      <w:pPr>
        <w:pStyle w:val="ListParagraph"/>
        <w:numPr>
          <w:ilvl w:val="0"/>
          <w:numId w:val="111"/>
        </w:numPr>
        <w:tabs>
          <w:tab w:pos="1220" w:val="left" w:leader="none"/>
          <w:tab w:pos="1221" w:val="left" w:leader="none"/>
        </w:tabs>
        <w:spacing w:line="240" w:lineRule="auto" w:before="1" w:after="0"/>
        <w:ind w:left="1220" w:right="0" w:hanging="721"/>
        <w:jc w:val="left"/>
        <w:rPr>
          <w:sz w:val="25"/>
        </w:rPr>
      </w:pPr>
      <w:r>
        <w:rPr>
          <w:spacing w:val="-1"/>
          <w:w w:val="99"/>
          <w:sz w:val="25"/>
        </w:rPr>
        <w:t>Secti</w:t>
      </w:r>
      <w:r>
        <w:rPr>
          <w:w w:val="99"/>
          <w:sz w:val="25"/>
        </w:rPr>
        <w:t>on</w:t>
      </w:r>
      <w:r>
        <w:rPr>
          <w:spacing w:val="-1"/>
          <w:sz w:val="25"/>
        </w:rPr>
        <w:t> </w:t>
      </w:r>
      <w:r>
        <w:rPr>
          <w:w w:val="99"/>
          <w:sz w:val="25"/>
        </w:rPr>
        <w:t>3</w:t>
      </w:r>
      <w:r>
        <w:rPr>
          <w:sz w:val="25"/>
        </w:rPr>
        <w:t> </w:t>
      </w:r>
      <w:r>
        <w:rPr>
          <w:spacing w:val="-1"/>
          <w:w w:val="99"/>
          <w:sz w:val="25"/>
        </w:rPr>
        <w:t>o</w:t>
      </w:r>
      <w:r>
        <w:rPr>
          <w:w w:val="99"/>
          <w:sz w:val="25"/>
        </w:rPr>
        <w:t>f</w:t>
      </w:r>
      <w:r>
        <w:rPr>
          <w:sz w:val="25"/>
        </w:rPr>
        <w:t> </w:t>
      </w:r>
      <w:r>
        <w:rPr>
          <w:w w:val="99"/>
          <w:sz w:val="25"/>
        </w:rPr>
        <w:t>the</w:t>
      </w:r>
      <w:r>
        <w:rPr>
          <w:spacing w:val="-1"/>
          <w:sz w:val="25"/>
        </w:rPr>
        <w:t> </w:t>
      </w:r>
      <w:r>
        <w:rPr>
          <w:w w:val="99"/>
          <w:sz w:val="25"/>
        </w:rPr>
        <w:t>Evidence</w:t>
      </w:r>
      <w:r>
        <w:rPr>
          <w:spacing w:val="-1"/>
          <w:sz w:val="25"/>
        </w:rPr>
        <w:t> </w:t>
      </w:r>
      <w:r>
        <w:rPr>
          <w:w w:val="99"/>
          <w:sz w:val="25"/>
        </w:rPr>
        <w:t>Act</w:t>
      </w:r>
      <w:r>
        <w:rPr>
          <w:spacing w:val="-1"/>
          <w:sz w:val="25"/>
        </w:rPr>
        <w:t> </w:t>
      </w:r>
      <w:r>
        <w:rPr>
          <w:spacing w:val="-1"/>
          <w:w w:val="99"/>
          <w:sz w:val="25"/>
        </w:rPr>
        <w:t>1</w:t>
      </w:r>
      <w:r>
        <w:rPr>
          <w:w w:val="99"/>
          <w:sz w:val="25"/>
        </w:rPr>
        <w:t>8</w:t>
      </w:r>
      <w:r>
        <w:rPr>
          <w:spacing w:val="-1"/>
          <w:w w:val="99"/>
          <w:sz w:val="25"/>
        </w:rPr>
        <w:t>7</w:t>
      </w:r>
      <w:r>
        <w:rPr>
          <w:w w:val="99"/>
          <w:sz w:val="25"/>
        </w:rPr>
        <w:t>2</w:t>
      </w:r>
      <w:r>
        <w:rPr>
          <w:sz w:val="25"/>
        </w:rPr>
        <w:t> </w:t>
      </w:r>
      <w:r>
        <w:rPr>
          <w:spacing w:val="-1"/>
          <w:w w:val="99"/>
          <w:sz w:val="25"/>
        </w:rPr>
        <w:t>d</w:t>
      </w:r>
      <w:r>
        <w:rPr>
          <w:w w:val="99"/>
          <w:sz w:val="25"/>
        </w:rPr>
        <w:t>efines</w:t>
      </w:r>
      <w:r>
        <w:rPr>
          <w:spacing w:val="-1"/>
          <w:sz w:val="25"/>
        </w:rPr>
        <w:t> </w:t>
      </w:r>
      <w:r>
        <w:rPr>
          <w:w w:val="99"/>
          <w:sz w:val="25"/>
        </w:rPr>
        <w:t>the</w:t>
      </w:r>
      <w:r>
        <w:rPr>
          <w:spacing w:val="-1"/>
          <w:sz w:val="25"/>
        </w:rPr>
        <w:t> </w:t>
      </w:r>
      <w:r>
        <w:rPr>
          <w:w w:val="99"/>
          <w:sz w:val="25"/>
        </w:rPr>
        <w:t>e</w:t>
      </w:r>
      <w:r>
        <w:rPr>
          <w:spacing w:val="-3"/>
          <w:w w:val="99"/>
          <w:sz w:val="25"/>
        </w:rPr>
        <w:t>x</w:t>
      </w:r>
      <w:r>
        <w:rPr>
          <w:spacing w:val="-1"/>
          <w:w w:val="99"/>
          <w:sz w:val="25"/>
        </w:rPr>
        <w:t>p</w:t>
      </w:r>
      <w:r>
        <w:rPr>
          <w:w w:val="99"/>
          <w:sz w:val="25"/>
        </w:rPr>
        <w:t>r</w:t>
      </w:r>
      <w:r>
        <w:rPr>
          <w:spacing w:val="-1"/>
          <w:w w:val="99"/>
          <w:sz w:val="25"/>
        </w:rPr>
        <w:t>essio</w:t>
      </w:r>
      <w:r>
        <w:rPr>
          <w:w w:val="99"/>
          <w:sz w:val="25"/>
        </w:rPr>
        <w:t>n</w:t>
      </w:r>
      <w:r>
        <w:rPr>
          <w:sz w:val="25"/>
        </w:rPr>
        <w:t> </w:t>
      </w:r>
      <w:r>
        <w:rPr>
          <w:w w:val="33"/>
          <w:sz w:val="25"/>
        </w:rPr>
        <w:t>―</w:t>
      </w:r>
      <w:r>
        <w:rPr>
          <w:w w:val="99"/>
          <w:sz w:val="25"/>
        </w:rPr>
        <w:t>fact</w:t>
      </w:r>
      <w:r>
        <w:rPr>
          <w:w w:val="80"/>
          <w:sz w:val="25"/>
        </w:rPr>
        <w:t>‖</w:t>
      </w:r>
      <w:r>
        <w:rPr>
          <w:sz w:val="25"/>
        </w:rPr>
        <w:t> </w:t>
      </w:r>
      <w:r>
        <w:rPr>
          <w:w w:val="99"/>
          <w:sz w:val="25"/>
        </w:rPr>
        <w:t>th</w:t>
      </w:r>
      <w:r>
        <w:rPr>
          <w:spacing w:val="-1"/>
          <w:w w:val="99"/>
          <w:sz w:val="25"/>
        </w:rPr>
        <w:t>us:</w:t>
      </w:r>
    </w:p>
    <w:p>
      <w:pPr>
        <w:pStyle w:val="BodyText"/>
        <w:spacing w:before="9"/>
        <w:rPr>
          <w:sz w:val="38"/>
        </w:rPr>
      </w:pPr>
    </w:p>
    <w:p>
      <w:pPr>
        <w:spacing w:before="0"/>
        <w:ind w:left="1940" w:right="0" w:firstLine="0"/>
        <w:jc w:val="left"/>
        <w:rPr>
          <w:sz w:val="21"/>
        </w:rPr>
      </w:pPr>
      <w:r>
        <w:rPr>
          <w:spacing w:val="-1"/>
          <w:w w:val="33"/>
          <w:sz w:val="21"/>
        </w:rPr>
        <w:t>――</w:t>
      </w:r>
      <w:r>
        <w:rPr>
          <w:w w:val="100"/>
          <w:sz w:val="21"/>
        </w:rPr>
        <w:t>Fac</w:t>
      </w:r>
      <w:r>
        <w:rPr>
          <w:spacing w:val="-2"/>
          <w:w w:val="100"/>
          <w:sz w:val="21"/>
        </w:rPr>
        <w:t>t</w:t>
      </w:r>
      <w:r>
        <w:rPr>
          <w:w w:val="81"/>
          <w:sz w:val="21"/>
        </w:rPr>
        <w:t>‖</w:t>
      </w:r>
      <w:r>
        <w:rPr>
          <w:spacing w:val="-2"/>
          <w:sz w:val="21"/>
        </w:rPr>
        <w:t> </w:t>
      </w:r>
      <w:r>
        <w:rPr>
          <w:spacing w:val="-1"/>
          <w:w w:val="100"/>
          <w:sz w:val="21"/>
        </w:rPr>
        <w:t>mean</w:t>
      </w:r>
      <w:r>
        <w:rPr>
          <w:w w:val="100"/>
          <w:sz w:val="21"/>
        </w:rPr>
        <w:t>s</w:t>
      </w:r>
      <w:r>
        <w:rPr>
          <w:sz w:val="21"/>
        </w:rPr>
        <w:t> </w:t>
      </w:r>
      <w:r>
        <w:rPr>
          <w:spacing w:val="-3"/>
          <w:w w:val="100"/>
          <w:sz w:val="21"/>
        </w:rPr>
        <w:t>a</w:t>
      </w:r>
      <w:r>
        <w:rPr>
          <w:spacing w:val="-1"/>
          <w:w w:val="100"/>
          <w:sz w:val="21"/>
        </w:rPr>
        <w:t>n</w:t>
      </w:r>
      <w:r>
        <w:rPr>
          <w:w w:val="100"/>
          <w:sz w:val="21"/>
        </w:rPr>
        <w:t>d</w:t>
      </w:r>
      <w:r>
        <w:rPr>
          <w:spacing w:val="-1"/>
          <w:sz w:val="21"/>
        </w:rPr>
        <w:t> </w:t>
      </w:r>
      <w:r>
        <w:rPr>
          <w:spacing w:val="-2"/>
          <w:w w:val="100"/>
          <w:sz w:val="21"/>
        </w:rPr>
        <w:t>i</w:t>
      </w:r>
      <w:r>
        <w:rPr>
          <w:spacing w:val="-1"/>
          <w:w w:val="100"/>
          <w:sz w:val="21"/>
        </w:rPr>
        <w:t>n</w:t>
      </w:r>
      <w:r>
        <w:rPr>
          <w:spacing w:val="-3"/>
          <w:w w:val="100"/>
          <w:sz w:val="21"/>
        </w:rPr>
        <w:t>c</w:t>
      </w:r>
      <w:r>
        <w:rPr>
          <w:w w:val="100"/>
          <w:sz w:val="21"/>
        </w:rPr>
        <w:t>l</w:t>
      </w:r>
      <w:r>
        <w:rPr>
          <w:spacing w:val="-1"/>
          <w:w w:val="100"/>
          <w:sz w:val="21"/>
        </w:rPr>
        <w:t>u</w:t>
      </w:r>
      <w:r>
        <w:rPr>
          <w:spacing w:val="-3"/>
          <w:w w:val="100"/>
          <w:sz w:val="21"/>
        </w:rPr>
        <w:t>de</w:t>
      </w:r>
      <w:r>
        <w:rPr>
          <w:spacing w:val="1"/>
          <w:w w:val="100"/>
          <w:sz w:val="21"/>
        </w:rPr>
        <w:t>s</w:t>
      </w:r>
      <w:r>
        <w:rPr>
          <w:w w:val="100"/>
          <w:sz w:val="21"/>
        </w:rPr>
        <w:t>-</w:t>
      </w:r>
    </w:p>
    <w:p>
      <w:pPr>
        <w:pStyle w:val="ListParagraph"/>
        <w:numPr>
          <w:ilvl w:val="1"/>
          <w:numId w:val="111"/>
        </w:numPr>
        <w:tabs>
          <w:tab w:pos="2301" w:val="left" w:leader="none"/>
        </w:tabs>
        <w:spacing w:line="276" w:lineRule="auto" w:before="34" w:after="0"/>
        <w:ind w:left="2300" w:right="2266" w:hanging="360"/>
        <w:jc w:val="left"/>
        <w:rPr>
          <w:sz w:val="21"/>
        </w:rPr>
      </w:pPr>
      <w:r>
        <w:rPr>
          <w:sz w:val="21"/>
        </w:rPr>
        <w:t>anything, state of things, or relation of things, capable of being perceived by the</w:t>
      </w:r>
      <w:r>
        <w:rPr>
          <w:spacing w:val="-7"/>
          <w:sz w:val="21"/>
        </w:rPr>
        <w:t> </w:t>
      </w:r>
      <w:r>
        <w:rPr>
          <w:sz w:val="21"/>
        </w:rPr>
        <w:t>senses;</w:t>
      </w:r>
    </w:p>
    <w:p>
      <w:pPr>
        <w:pStyle w:val="ListParagraph"/>
        <w:numPr>
          <w:ilvl w:val="1"/>
          <w:numId w:val="111"/>
        </w:numPr>
        <w:tabs>
          <w:tab w:pos="2301" w:val="left" w:leader="none"/>
        </w:tabs>
        <w:spacing w:line="240" w:lineRule="auto" w:before="2" w:after="0"/>
        <w:ind w:left="2300" w:right="0" w:hanging="361"/>
        <w:jc w:val="left"/>
        <w:rPr>
          <w:sz w:val="21"/>
        </w:rPr>
      </w:pPr>
      <w:r>
        <w:rPr>
          <w:sz w:val="21"/>
        </w:rPr>
        <w:t>any mental condition of which any person is</w:t>
      </w:r>
      <w:r>
        <w:rPr>
          <w:spacing w:val="-17"/>
          <w:sz w:val="21"/>
        </w:rPr>
        <w:t> </w:t>
      </w:r>
      <w:r>
        <w:rPr>
          <w:sz w:val="21"/>
        </w:rPr>
        <w:t>conscious.‖</w:t>
      </w:r>
    </w:p>
    <w:p>
      <w:pPr>
        <w:pStyle w:val="BodyText"/>
        <w:rPr>
          <w:sz w:val="24"/>
        </w:rPr>
      </w:pPr>
    </w:p>
    <w:p>
      <w:pPr>
        <w:pStyle w:val="BodyText"/>
        <w:spacing w:before="8"/>
        <w:rPr>
          <w:sz w:val="31"/>
        </w:rPr>
      </w:pPr>
    </w:p>
    <w:p>
      <w:pPr>
        <w:pStyle w:val="BodyText"/>
        <w:spacing w:line="480" w:lineRule="auto"/>
        <w:ind w:left="500" w:right="446"/>
        <w:jc w:val="both"/>
      </w:pPr>
      <w:r>
        <w:rPr/>
        <w:t>However, Section 45 allows for an opinion of an expert as a relevant fact when the court has to form an opinion upon a point of foreign law, science or art or as to the identity of handwriting or finger</w:t>
      </w:r>
      <w:r>
        <w:rPr>
          <w:spacing w:val="-4"/>
        </w:rPr>
        <w:t> </w:t>
      </w:r>
      <w:r>
        <w:rPr/>
        <w:t>impressions.</w:t>
      </w:r>
    </w:p>
    <w:p>
      <w:pPr>
        <w:spacing w:after="0" w:line="480" w:lineRule="auto"/>
        <w:jc w:val="both"/>
        <w:sectPr>
          <w:pgSz w:w="11910" w:h="16840"/>
          <w:pgMar w:header="721" w:footer="1014" w:top="1300" w:bottom="1200" w:left="940" w:right="1000"/>
        </w:sectPr>
      </w:pPr>
    </w:p>
    <w:p>
      <w:pPr>
        <w:spacing w:line="480" w:lineRule="auto" w:before="124"/>
        <w:ind w:left="500" w:right="437" w:firstLine="0"/>
        <w:jc w:val="both"/>
        <w:rPr>
          <w:sz w:val="25"/>
        </w:rPr>
      </w:pPr>
      <w:r>
        <w:rPr>
          <w:sz w:val="25"/>
        </w:rPr>
        <w:t>The distinction between a witness of fact and an expert witness has been explained in a decision of this Court in </w:t>
      </w:r>
      <w:r>
        <w:rPr>
          <w:b/>
          <w:sz w:val="25"/>
        </w:rPr>
        <w:t>Prem Sagar Manocha </w:t>
      </w:r>
      <w:r>
        <w:rPr>
          <w:sz w:val="25"/>
        </w:rPr>
        <w:t>v </w:t>
      </w:r>
      <w:r>
        <w:rPr>
          <w:b/>
          <w:sz w:val="25"/>
        </w:rPr>
        <w:t>State (NCT of Delhi)</w:t>
      </w:r>
      <w:r>
        <w:rPr>
          <w:sz w:val="25"/>
          <w:vertAlign w:val="superscript"/>
        </w:rPr>
        <w:t>282</w:t>
      </w:r>
      <w:r>
        <w:rPr>
          <w:sz w:val="25"/>
          <w:vertAlign w:val="baseline"/>
        </w:rPr>
        <w:t>:</w:t>
      </w:r>
    </w:p>
    <w:p>
      <w:pPr>
        <w:spacing w:line="276" w:lineRule="auto" w:before="0"/>
        <w:ind w:left="1940" w:right="2261" w:firstLine="0"/>
        <w:jc w:val="both"/>
        <w:rPr>
          <w:sz w:val="21"/>
        </w:rPr>
      </w:pPr>
      <w:r>
        <w:rPr>
          <w:spacing w:val="-1"/>
          <w:w w:val="33"/>
          <w:sz w:val="21"/>
        </w:rPr>
        <w:t>―</w:t>
      </w:r>
      <w:r>
        <w:rPr>
          <w:spacing w:val="-1"/>
          <w:w w:val="100"/>
          <w:sz w:val="21"/>
        </w:rPr>
        <w:t>20</w:t>
      </w:r>
      <w:r>
        <w:rPr>
          <w:spacing w:val="-3"/>
          <w:w w:val="100"/>
          <w:sz w:val="21"/>
        </w:rPr>
        <w:t>…</w:t>
      </w:r>
      <w:r>
        <w:rPr>
          <w:w w:val="100"/>
          <w:sz w:val="21"/>
        </w:rPr>
        <w:t>The</w:t>
      </w:r>
      <w:r>
        <w:rPr>
          <w:spacing w:val="15"/>
          <w:sz w:val="21"/>
        </w:rPr>
        <w:t> </w:t>
      </w:r>
      <w:r>
        <w:rPr>
          <w:spacing w:val="-1"/>
          <w:w w:val="100"/>
          <w:sz w:val="21"/>
        </w:rPr>
        <w:t>dut</w:t>
      </w:r>
      <w:r>
        <w:rPr>
          <w:w w:val="100"/>
          <w:sz w:val="21"/>
        </w:rPr>
        <w:t>y</w:t>
      </w:r>
      <w:r>
        <w:rPr>
          <w:spacing w:val="16"/>
          <w:sz w:val="21"/>
        </w:rPr>
        <w:t> </w:t>
      </w:r>
      <w:r>
        <w:rPr>
          <w:spacing w:val="-3"/>
          <w:w w:val="100"/>
          <w:sz w:val="21"/>
        </w:rPr>
        <w:t>o</w:t>
      </w:r>
      <w:r>
        <w:rPr>
          <w:w w:val="100"/>
          <w:sz w:val="21"/>
        </w:rPr>
        <w:t>f</w:t>
      </w:r>
      <w:r>
        <w:rPr>
          <w:spacing w:val="19"/>
          <w:sz w:val="21"/>
        </w:rPr>
        <w:t> </w:t>
      </w:r>
      <w:r>
        <w:rPr>
          <w:spacing w:val="-3"/>
          <w:w w:val="100"/>
          <w:sz w:val="21"/>
        </w:rPr>
        <w:t>a</w:t>
      </w:r>
      <w:r>
        <w:rPr>
          <w:w w:val="100"/>
          <w:sz w:val="21"/>
        </w:rPr>
        <w:t>n</w:t>
      </w:r>
      <w:r>
        <w:rPr>
          <w:spacing w:val="15"/>
          <w:sz w:val="21"/>
        </w:rPr>
        <w:t> </w:t>
      </w:r>
      <w:r>
        <w:rPr>
          <w:spacing w:val="-1"/>
          <w:w w:val="100"/>
          <w:sz w:val="21"/>
        </w:rPr>
        <w:t>exp</w:t>
      </w:r>
      <w:r>
        <w:rPr>
          <w:spacing w:val="-2"/>
          <w:w w:val="100"/>
          <w:sz w:val="21"/>
        </w:rPr>
        <w:t>e</w:t>
      </w:r>
      <w:r>
        <w:rPr>
          <w:spacing w:val="-1"/>
          <w:w w:val="100"/>
          <w:sz w:val="21"/>
        </w:rPr>
        <w:t>r</w:t>
      </w:r>
      <w:r>
        <w:rPr>
          <w:w w:val="100"/>
          <w:sz w:val="21"/>
        </w:rPr>
        <w:t>t</w:t>
      </w:r>
      <w:r>
        <w:rPr>
          <w:spacing w:val="17"/>
          <w:sz w:val="21"/>
        </w:rPr>
        <w:t> </w:t>
      </w:r>
      <w:r>
        <w:rPr>
          <w:w w:val="100"/>
          <w:sz w:val="21"/>
        </w:rPr>
        <w:t>is</w:t>
      </w:r>
      <w:r>
        <w:rPr>
          <w:spacing w:val="18"/>
          <w:sz w:val="21"/>
        </w:rPr>
        <w:t> </w:t>
      </w:r>
      <w:r>
        <w:rPr>
          <w:spacing w:val="-2"/>
          <w:w w:val="100"/>
          <w:sz w:val="21"/>
        </w:rPr>
        <w:t>t</w:t>
      </w:r>
      <w:r>
        <w:rPr>
          <w:w w:val="100"/>
          <w:sz w:val="21"/>
        </w:rPr>
        <w:t>o</w:t>
      </w:r>
      <w:r>
        <w:rPr>
          <w:spacing w:val="15"/>
          <w:sz w:val="21"/>
        </w:rPr>
        <w:t> </w:t>
      </w:r>
      <w:r>
        <w:rPr>
          <w:spacing w:val="-2"/>
          <w:w w:val="100"/>
          <w:sz w:val="21"/>
        </w:rPr>
        <w:t>f</w:t>
      </w:r>
      <w:r>
        <w:rPr>
          <w:spacing w:val="-1"/>
          <w:w w:val="100"/>
          <w:sz w:val="21"/>
        </w:rPr>
        <w:t>urn</w:t>
      </w:r>
      <w:r>
        <w:rPr>
          <w:spacing w:val="-2"/>
          <w:w w:val="100"/>
          <w:sz w:val="21"/>
        </w:rPr>
        <w:t>i</w:t>
      </w:r>
      <w:r>
        <w:rPr>
          <w:w w:val="100"/>
          <w:sz w:val="21"/>
        </w:rPr>
        <w:t>sh</w:t>
      </w:r>
      <w:r>
        <w:rPr>
          <w:spacing w:val="18"/>
          <w:sz w:val="21"/>
        </w:rPr>
        <w:t> </w:t>
      </w:r>
      <w:r>
        <w:rPr>
          <w:spacing w:val="-2"/>
          <w:w w:val="100"/>
          <w:sz w:val="21"/>
        </w:rPr>
        <w:t>t</w:t>
      </w:r>
      <w:r>
        <w:rPr>
          <w:spacing w:val="-3"/>
          <w:w w:val="100"/>
          <w:sz w:val="21"/>
        </w:rPr>
        <w:t>h</w:t>
      </w:r>
      <w:r>
        <w:rPr>
          <w:w w:val="100"/>
          <w:sz w:val="21"/>
        </w:rPr>
        <w:t>e</w:t>
      </w:r>
      <w:r>
        <w:rPr>
          <w:spacing w:val="18"/>
          <w:sz w:val="21"/>
        </w:rPr>
        <w:t> </w:t>
      </w:r>
      <w:r>
        <w:rPr>
          <w:spacing w:val="-3"/>
          <w:w w:val="100"/>
          <w:sz w:val="21"/>
        </w:rPr>
        <w:t>c</w:t>
      </w:r>
      <w:r>
        <w:rPr>
          <w:spacing w:val="-1"/>
          <w:w w:val="100"/>
          <w:sz w:val="21"/>
        </w:rPr>
        <w:t>our</w:t>
      </w:r>
      <w:r>
        <w:rPr>
          <w:w w:val="100"/>
          <w:sz w:val="21"/>
        </w:rPr>
        <w:t>t</w:t>
      </w:r>
      <w:r>
        <w:rPr>
          <w:spacing w:val="16"/>
          <w:sz w:val="21"/>
        </w:rPr>
        <w:t> </w:t>
      </w:r>
      <w:r>
        <w:rPr>
          <w:spacing w:val="-3"/>
          <w:w w:val="100"/>
          <w:sz w:val="21"/>
        </w:rPr>
        <w:t>h</w:t>
      </w:r>
      <w:r>
        <w:rPr>
          <w:w w:val="100"/>
          <w:sz w:val="21"/>
        </w:rPr>
        <w:t>is</w:t>
      </w:r>
      <w:r>
        <w:rPr>
          <w:spacing w:val="15"/>
          <w:sz w:val="21"/>
        </w:rPr>
        <w:t> </w:t>
      </w:r>
      <w:r>
        <w:rPr>
          <w:spacing w:val="-1"/>
          <w:w w:val="100"/>
          <w:sz w:val="21"/>
        </w:rPr>
        <w:t>opin</w:t>
      </w:r>
      <w:r>
        <w:rPr>
          <w:spacing w:val="-2"/>
          <w:w w:val="100"/>
          <w:sz w:val="21"/>
        </w:rPr>
        <w:t>i</w:t>
      </w:r>
      <w:r>
        <w:rPr>
          <w:spacing w:val="-3"/>
          <w:w w:val="100"/>
          <w:sz w:val="21"/>
        </w:rPr>
        <w:t>o</w:t>
      </w:r>
      <w:r>
        <w:rPr>
          <w:w w:val="100"/>
          <w:sz w:val="21"/>
        </w:rPr>
        <w:t>n </w:t>
      </w:r>
      <w:r>
        <w:rPr>
          <w:sz w:val="21"/>
        </w:rPr>
        <w:t>and the reasons for his opinion along with all the materials. It is for the court thereafter to see whether the basis of the opinion is correct and proper and then form its own conclusion. But, that is not the case in respect of a witness of facts. Facts are facts and they remain and have to remain as such forever. The witness of facts does not give his opinion on facts, but presents the facts as such. However, the expert gives an opinion on what he has tested or on what has been subjected to any process of scrutiny. The inference drawn thereafter is still an opinion based on his</w:t>
      </w:r>
      <w:r>
        <w:rPr>
          <w:spacing w:val="-29"/>
          <w:sz w:val="21"/>
        </w:rPr>
        <w:t> </w:t>
      </w:r>
      <w:r>
        <w:rPr>
          <w:sz w:val="21"/>
        </w:rPr>
        <w:t>knowledge...‖</w:t>
      </w:r>
    </w:p>
    <w:p>
      <w:pPr>
        <w:pStyle w:val="BodyText"/>
        <w:rPr>
          <w:sz w:val="24"/>
        </w:rPr>
      </w:pPr>
    </w:p>
    <w:p>
      <w:pPr>
        <w:pStyle w:val="BodyText"/>
        <w:rPr>
          <w:sz w:val="26"/>
        </w:rPr>
      </w:pPr>
    </w:p>
    <w:p>
      <w:pPr>
        <w:pStyle w:val="BodyText"/>
        <w:spacing w:line="480" w:lineRule="auto"/>
        <w:ind w:left="500" w:right="443"/>
        <w:jc w:val="both"/>
      </w:pPr>
      <w:r>
        <w:rPr/>
        <w:t>The report which has been submitted by the ASI is an opinion; an opinion nevertheless of an expert governmental agency in the area of archaeology. The report constitutes the opinion of an expert. Expert opinion has to be sieved and evaluated by the court and cannot be conclusive in and of itself.</w:t>
      </w:r>
    </w:p>
    <w:p>
      <w:pPr>
        <w:pStyle w:val="BodyText"/>
        <w:spacing w:before="3"/>
        <w:rPr>
          <w:sz w:val="39"/>
        </w:rPr>
      </w:pPr>
    </w:p>
    <w:p>
      <w:pPr>
        <w:pStyle w:val="Heading4"/>
        <w:rPr>
          <w:i/>
        </w:rPr>
      </w:pPr>
      <w:r>
        <w:rPr>
          <w:i/>
        </w:rPr>
        <w:t>Archaeology as a discipline</w:t>
      </w:r>
    </w:p>
    <w:p>
      <w:pPr>
        <w:pStyle w:val="BodyText"/>
        <w:rPr>
          <w:i/>
          <w:sz w:val="28"/>
        </w:rPr>
      </w:pPr>
    </w:p>
    <w:p>
      <w:pPr>
        <w:pStyle w:val="BodyText"/>
        <w:spacing w:before="8"/>
        <w:rPr>
          <w:i/>
          <w:sz w:val="36"/>
        </w:rPr>
      </w:pPr>
    </w:p>
    <w:p>
      <w:pPr>
        <w:pStyle w:val="ListParagraph"/>
        <w:numPr>
          <w:ilvl w:val="0"/>
          <w:numId w:val="111"/>
        </w:numPr>
        <w:tabs>
          <w:tab w:pos="1221" w:val="left" w:leader="none"/>
        </w:tabs>
        <w:spacing w:line="480" w:lineRule="auto" w:before="1" w:after="0"/>
        <w:ind w:left="500" w:right="439" w:firstLine="0"/>
        <w:jc w:val="both"/>
        <w:rPr>
          <w:sz w:val="25"/>
        </w:rPr>
      </w:pPr>
      <w:r>
        <w:rPr/>
        <w:pict>
          <v:rect style="position:absolute;margin-left:72.024002pt;margin-top:224.344894pt;width:144.020pt;height:.599980pt;mso-position-horizontal-relative:page;mso-position-vertical-relative:paragraph;z-index:-23844352" filled="true" fillcolor="#000000" stroked="false">
            <v:fill type="solid"/>
            <w10:wrap type="none"/>
          </v:rect>
        </w:pict>
      </w:r>
      <w:r>
        <w:rPr>
          <w:sz w:val="25"/>
        </w:rPr>
        <w:t>The report which has been presented by ASI is assailed on the ground that as distinct from the natural sciences, archaeology is a branch of knowledge in the social sciences and is inherently subjective. The submission is that an archaeologist, in order to arrive at a conclusion, draws inferences from a variety of other disciplines including history, sociology and anthropology. The process of inferential reasoning – it is urged - may lead to multiple layers of subjectivity affecting the ultimate conclusions. Hence, it has been submitted that an archaeological report does not furnish verifiable conclusions but</w:t>
      </w:r>
      <w:r>
        <w:rPr>
          <w:spacing w:val="42"/>
          <w:sz w:val="25"/>
        </w:rPr>
        <w:t> </w:t>
      </w:r>
      <w:r>
        <w:rPr>
          <w:sz w:val="25"/>
        </w:rPr>
        <w:t>provides</w:t>
      </w:r>
    </w:p>
    <w:p>
      <w:pPr>
        <w:spacing w:before="8"/>
        <w:ind w:left="500" w:right="0" w:firstLine="0"/>
        <w:jc w:val="left"/>
        <w:rPr>
          <w:sz w:val="18"/>
        </w:rPr>
      </w:pPr>
      <w:r>
        <w:rPr>
          <w:sz w:val="18"/>
          <w:vertAlign w:val="superscript"/>
        </w:rPr>
        <w:t>282</w:t>
      </w:r>
      <w:r>
        <w:rPr>
          <w:sz w:val="18"/>
          <w:vertAlign w:val="baseline"/>
        </w:rPr>
        <w:t> (2016) 4 SCC 571</w:t>
      </w:r>
    </w:p>
    <w:p>
      <w:pPr>
        <w:spacing w:after="0"/>
        <w:jc w:val="left"/>
        <w:rPr>
          <w:sz w:val="18"/>
        </w:rPr>
        <w:sectPr>
          <w:pgSz w:w="11910" w:h="16840"/>
          <w:pgMar w:header="721" w:footer="1014" w:top="1300" w:bottom="1200" w:left="940" w:right="1000"/>
        </w:sectPr>
      </w:pPr>
    </w:p>
    <w:p>
      <w:pPr>
        <w:pStyle w:val="BodyText"/>
        <w:spacing w:line="480" w:lineRule="auto" w:before="124"/>
        <w:ind w:left="500" w:right="440"/>
        <w:jc w:val="both"/>
      </w:pPr>
      <w:r>
        <w:rPr/>
        <w:t>inferences drawn from data or objects found during the course of excavation. It has been urged that interpretations vary and archaeologists may differ in the conclusions drawn from on the same set of data. Hence, there is no absolute or universal truth.</w:t>
      </w:r>
    </w:p>
    <w:p>
      <w:pPr>
        <w:pStyle w:val="BodyText"/>
        <w:spacing w:before="160"/>
        <w:ind w:left="500"/>
        <w:jc w:val="both"/>
      </w:pPr>
      <w:r>
        <w:rPr/>
        <w:t>Justice Agarwal, during the course of his judgment opined:</w:t>
      </w:r>
    </w:p>
    <w:p>
      <w:pPr>
        <w:pStyle w:val="BodyText"/>
        <w:spacing w:before="9"/>
        <w:rPr>
          <w:sz w:val="24"/>
        </w:rPr>
      </w:pPr>
    </w:p>
    <w:p>
      <w:pPr>
        <w:spacing w:line="276" w:lineRule="auto" w:before="0"/>
        <w:ind w:left="1940" w:right="2260" w:firstLine="0"/>
        <w:jc w:val="both"/>
        <w:rPr>
          <w:sz w:val="21"/>
        </w:rPr>
      </w:pPr>
      <w:r>
        <w:rPr>
          <w:w w:val="33"/>
          <w:sz w:val="21"/>
        </w:rPr>
        <w:t>―</w:t>
      </w:r>
      <w:r>
        <w:rPr>
          <w:w w:val="100"/>
          <w:sz w:val="21"/>
        </w:rPr>
        <w:t>3896.</w:t>
      </w:r>
      <w:r>
        <w:rPr>
          <w:sz w:val="21"/>
        </w:rPr>
        <w:t>   </w:t>
      </w:r>
      <w:r>
        <w:rPr>
          <w:w w:val="100"/>
          <w:sz w:val="21"/>
        </w:rPr>
        <w:t>Archaeology</w:t>
      </w:r>
      <w:r>
        <w:rPr>
          <w:sz w:val="21"/>
        </w:rPr>
        <w:t>   </w:t>
      </w:r>
      <w:r>
        <w:rPr>
          <w:w w:val="100"/>
          <w:sz w:val="21"/>
        </w:rPr>
        <w:t>provides</w:t>
      </w:r>
      <w:r>
        <w:rPr>
          <w:sz w:val="21"/>
        </w:rPr>
        <w:t>   </w:t>
      </w:r>
      <w:r>
        <w:rPr>
          <w:w w:val="100"/>
          <w:sz w:val="21"/>
        </w:rPr>
        <w:t>scientific</w:t>
      </w:r>
      <w:r>
        <w:rPr>
          <w:sz w:val="21"/>
        </w:rPr>
        <w:t>   </w:t>
      </w:r>
      <w:r>
        <w:rPr>
          <w:w w:val="100"/>
          <w:sz w:val="21"/>
        </w:rPr>
        <w:t>factual</w:t>
      </w:r>
      <w:r>
        <w:rPr>
          <w:sz w:val="21"/>
        </w:rPr>
        <w:t>   </w:t>
      </w:r>
      <w:r>
        <w:rPr>
          <w:w w:val="100"/>
          <w:sz w:val="21"/>
        </w:rPr>
        <w:t>data</w:t>
      </w:r>
      <w:r>
        <w:rPr>
          <w:sz w:val="21"/>
        </w:rPr>
        <w:t>   </w:t>
      </w:r>
      <w:r>
        <w:rPr>
          <w:w w:val="100"/>
          <w:sz w:val="21"/>
        </w:rPr>
        <w:t>for </w:t>
      </w:r>
      <w:r>
        <w:rPr>
          <w:sz w:val="21"/>
        </w:rPr>
        <w:t>reconstructing ancient historical material, culture, understanding. Archaeology… is a multi-disciplinary scientific subject and requires a team of workers for effective results. Excavation of ancient sites is one of the major works of Archaeologists. As it is a scientific discipline, it uses scientific methods in its working.‖</w:t>
      </w:r>
    </w:p>
    <w:p>
      <w:pPr>
        <w:pStyle w:val="BodyText"/>
        <w:rPr>
          <w:sz w:val="24"/>
        </w:rPr>
      </w:pPr>
    </w:p>
    <w:p>
      <w:pPr>
        <w:pStyle w:val="BodyText"/>
        <w:rPr>
          <w:sz w:val="24"/>
        </w:rPr>
      </w:pPr>
    </w:p>
    <w:p>
      <w:pPr>
        <w:pStyle w:val="BodyText"/>
        <w:spacing w:line="480" w:lineRule="auto" w:before="170"/>
        <w:ind w:left="500" w:right="443"/>
        <w:jc w:val="both"/>
      </w:pPr>
      <w:r>
        <w:rPr/>
        <w:t>Ms Meenakshi Arora, learned Senior Counsel has urged that contrary to the above finding, expert witnesses have testified to archaeology being a matter of inference and interpretation:</w:t>
      </w:r>
    </w:p>
    <w:p>
      <w:pPr>
        <w:pStyle w:val="ListParagraph"/>
        <w:numPr>
          <w:ilvl w:val="0"/>
          <w:numId w:val="165"/>
        </w:numPr>
        <w:tabs>
          <w:tab w:pos="1221" w:val="left" w:leader="none"/>
        </w:tabs>
        <w:spacing w:line="482" w:lineRule="auto" w:before="157" w:after="0"/>
        <w:ind w:left="1220" w:right="438" w:hanging="720"/>
        <w:jc w:val="both"/>
        <w:rPr>
          <w:sz w:val="25"/>
        </w:rPr>
      </w:pPr>
      <w:r>
        <w:rPr>
          <w:b/>
          <w:sz w:val="25"/>
        </w:rPr>
        <w:t>Jayanti Prasad Srivastava </w:t>
      </w:r>
      <w:r>
        <w:rPr>
          <w:sz w:val="25"/>
        </w:rPr>
        <w:t>(</w:t>
      </w:r>
      <w:r>
        <w:rPr>
          <w:b/>
          <w:sz w:val="25"/>
        </w:rPr>
        <w:t>DW 20/5</w:t>
      </w:r>
      <w:r>
        <w:rPr>
          <w:sz w:val="25"/>
        </w:rPr>
        <w:t>), who retired as a Superintending Archaeologist in the ASI deposed in support of the report. He</w:t>
      </w:r>
      <w:r>
        <w:rPr>
          <w:spacing w:val="-16"/>
          <w:sz w:val="25"/>
        </w:rPr>
        <w:t> </w:t>
      </w:r>
      <w:r>
        <w:rPr>
          <w:sz w:val="25"/>
        </w:rPr>
        <w:t>stated:</w:t>
      </w:r>
    </w:p>
    <w:p>
      <w:pPr>
        <w:spacing w:before="197"/>
        <w:ind w:left="1940" w:right="0" w:firstLine="0"/>
        <w:jc w:val="both"/>
        <w:rPr>
          <w:sz w:val="21"/>
        </w:rPr>
      </w:pPr>
      <w:r>
        <w:rPr>
          <w:spacing w:val="-1"/>
          <w:w w:val="33"/>
          <w:sz w:val="21"/>
        </w:rPr>
        <w:t>―</w:t>
      </w:r>
      <w:r>
        <w:rPr>
          <w:w w:val="100"/>
          <w:sz w:val="21"/>
        </w:rPr>
        <w:t>…</w:t>
      </w:r>
      <w:r>
        <w:rPr>
          <w:spacing w:val="-2"/>
          <w:w w:val="100"/>
          <w:sz w:val="21"/>
        </w:rPr>
        <w:t>I</w:t>
      </w:r>
      <w:r>
        <w:rPr>
          <w:spacing w:val="-1"/>
          <w:w w:val="100"/>
          <w:sz w:val="21"/>
        </w:rPr>
        <w:t>nterp</w:t>
      </w:r>
      <w:r>
        <w:rPr>
          <w:spacing w:val="-2"/>
          <w:w w:val="100"/>
          <w:sz w:val="21"/>
        </w:rPr>
        <w:t>r</w:t>
      </w:r>
      <w:r>
        <w:rPr>
          <w:spacing w:val="-1"/>
          <w:w w:val="100"/>
          <w:sz w:val="21"/>
        </w:rPr>
        <w:t>etat</w:t>
      </w:r>
      <w:r>
        <w:rPr>
          <w:w w:val="100"/>
          <w:sz w:val="21"/>
        </w:rPr>
        <w:t>i</w:t>
      </w:r>
      <w:r>
        <w:rPr>
          <w:spacing w:val="-3"/>
          <w:w w:val="100"/>
          <w:sz w:val="21"/>
        </w:rPr>
        <w:t>o</w:t>
      </w:r>
      <w:r>
        <w:rPr>
          <w:w w:val="100"/>
          <w:sz w:val="21"/>
        </w:rPr>
        <w:t>n</w:t>
      </w:r>
      <w:r>
        <w:rPr>
          <w:spacing w:val="-1"/>
          <w:sz w:val="21"/>
        </w:rPr>
        <w:t> </w:t>
      </w:r>
      <w:r>
        <w:rPr>
          <w:w w:val="100"/>
          <w:sz w:val="21"/>
        </w:rPr>
        <w:t>is</w:t>
      </w:r>
      <w:r>
        <w:rPr>
          <w:spacing w:val="-1"/>
          <w:sz w:val="21"/>
        </w:rPr>
        <w:t> </w:t>
      </w:r>
      <w:r>
        <w:rPr>
          <w:spacing w:val="-3"/>
          <w:w w:val="100"/>
          <w:sz w:val="21"/>
        </w:rPr>
        <w:t>a</w:t>
      </w:r>
      <w:r>
        <w:rPr>
          <w:w w:val="100"/>
          <w:sz w:val="21"/>
        </w:rPr>
        <w:t>n</w:t>
      </w:r>
      <w:r>
        <w:rPr>
          <w:spacing w:val="-1"/>
          <w:sz w:val="21"/>
        </w:rPr>
        <w:t> </w:t>
      </w:r>
      <w:r>
        <w:rPr>
          <w:spacing w:val="-2"/>
          <w:w w:val="100"/>
          <w:sz w:val="21"/>
        </w:rPr>
        <w:t>i</w:t>
      </w:r>
      <w:r>
        <w:rPr>
          <w:spacing w:val="1"/>
          <w:w w:val="100"/>
          <w:sz w:val="21"/>
        </w:rPr>
        <w:t>m</w:t>
      </w:r>
      <w:r>
        <w:rPr>
          <w:spacing w:val="-3"/>
          <w:w w:val="100"/>
          <w:sz w:val="21"/>
        </w:rPr>
        <w:t>p</w:t>
      </w:r>
      <w:r>
        <w:rPr>
          <w:spacing w:val="-1"/>
          <w:w w:val="100"/>
          <w:sz w:val="21"/>
        </w:rPr>
        <w:t>or</w:t>
      </w:r>
      <w:r>
        <w:rPr>
          <w:spacing w:val="-2"/>
          <w:w w:val="100"/>
          <w:sz w:val="21"/>
        </w:rPr>
        <w:t>t</w:t>
      </w:r>
      <w:r>
        <w:rPr>
          <w:spacing w:val="-1"/>
          <w:w w:val="100"/>
          <w:sz w:val="21"/>
        </w:rPr>
        <w:t>an</w:t>
      </w:r>
      <w:r>
        <w:rPr>
          <w:w w:val="100"/>
          <w:sz w:val="21"/>
        </w:rPr>
        <w:t>t</w:t>
      </w:r>
      <w:r>
        <w:rPr>
          <w:spacing w:val="-2"/>
          <w:sz w:val="21"/>
        </w:rPr>
        <w:t> </w:t>
      </w:r>
      <w:r>
        <w:rPr>
          <w:spacing w:val="-1"/>
          <w:w w:val="100"/>
          <w:sz w:val="21"/>
        </w:rPr>
        <w:t>aspec</w:t>
      </w:r>
      <w:r>
        <w:rPr>
          <w:w w:val="100"/>
          <w:sz w:val="21"/>
        </w:rPr>
        <w:t>t</w:t>
      </w:r>
      <w:r>
        <w:rPr>
          <w:spacing w:val="-2"/>
          <w:sz w:val="21"/>
        </w:rPr>
        <w:t> </w:t>
      </w:r>
      <w:r>
        <w:rPr>
          <w:spacing w:val="-2"/>
          <w:w w:val="100"/>
          <w:sz w:val="21"/>
        </w:rPr>
        <w:t>i</w:t>
      </w:r>
      <w:r>
        <w:rPr>
          <w:w w:val="100"/>
          <w:sz w:val="21"/>
        </w:rPr>
        <w:t>n</w:t>
      </w:r>
      <w:r>
        <w:rPr>
          <w:spacing w:val="-1"/>
          <w:sz w:val="21"/>
        </w:rPr>
        <w:t> </w:t>
      </w:r>
      <w:r>
        <w:rPr>
          <w:spacing w:val="-1"/>
          <w:w w:val="100"/>
          <w:sz w:val="21"/>
        </w:rPr>
        <w:t>ex</w:t>
      </w:r>
      <w:r>
        <w:rPr>
          <w:spacing w:val="-3"/>
          <w:w w:val="100"/>
          <w:sz w:val="21"/>
        </w:rPr>
        <w:t>c</w:t>
      </w:r>
      <w:r>
        <w:rPr>
          <w:spacing w:val="-1"/>
          <w:w w:val="100"/>
          <w:sz w:val="21"/>
        </w:rPr>
        <w:t>a</w:t>
      </w:r>
      <w:r>
        <w:rPr>
          <w:spacing w:val="-3"/>
          <w:w w:val="100"/>
          <w:sz w:val="21"/>
        </w:rPr>
        <w:t>v</w:t>
      </w:r>
      <w:r>
        <w:rPr>
          <w:spacing w:val="-1"/>
          <w:w w:val="100"/>
          <w:sz w:val="21"/>
        </w:rPr>
        <w:t>at</w:t>
      </w:r>
      <w:r>
        <w:rPr>
          <w:w w:val="100"/>
          <w:sz w:val="21"/>
        </w:rPr>
        <w:t>i</w:t>
      </w:r>
      <w:r>
        <w:rPr>
          <w:spacing w:val="-3"/>
          <w:w w:val="100"/>
          <w:sz w:val="21"/>
        </w:rPr>
        <w:t>o</w:t>
      </w:r>
      <w:r>
        <w:rPr>
          <w:spacing w:val="-1"/>
          <w:w w:val="96"/>
          <w:sz w:val="21"/>
        </w:rPr>
        <w:t>n…‖</w:t>
      </w:r>
    </w:p>
    <w:p>
      <w:pPr>
        <w:pStyle w:val="BodyText"/>
        <w:spacing w:before="2"/>
        <w:rPr>
          <w:sz w:val="27"/>
        </w:rPr>
      </w:pPr>
    </w:p>
    <w:p>
      <w:pPr>
        <w:spacing w:line="276" w:lineRule="auto" w:before="0"/>
        <w:ind w:left="1940" w:right="2263" w:firstLine="0"/>
        <w:jc w:val="both"/>
        <w:rPr>
          <w:sz w:val="21"/>
        </w:rPr>
      </w:pPr>
      <w:r>
        <w:rPr>
          <w:w w:val="33"/>
          <w:sz w:val="21"/>
        </w:rPr>
        <w:t>―</w:t>
      </w:r>
      <w:r>
        <w:rPr>
          <w:w w:val="100"/>
          <w:sz w:val="21"/>
        </w:rPr>
        <w:t>…By</w:t>
      </w:r>
      <w:r>
        <w:rPr>
          <w:sz w:val="21"/>
        </w:rPr>
        <w:t>  </w:t>
      </w:r>
      <w:r>
        <w:rPr>
          <w:w w:val="100"/>
          <w:sz w:val="21"/>
        </w:rPr>
        <w:t>the</w:t>
      </w:r>
      <w:r>
        <w:rPr>
          <w:sz w:val="21"/>
        </w:rPr>
        <w:t>  </w:t>
      </w:r>
      <w:r>
        <w:rPr>
          <w:w w:val="100"/>
          <w:sz w:val="21"/>
        </w:rPr>
        <w:t>word</w:t>
      </w:r>
      <w:r>
        <w:rPr>
          <w:sz w:val="21"/>
        </w:rPr>
        <w:t>  </w:t>
      </w:r>
      <w:r>
        <w:rPr>
          <w:w w:val="100"/>
          <w:sz w:val="21"/>
        </w:rPr>
        <w:t>conjure,</w:t>
      </w:r>
      <w:r>
        <w:rPr>
          <w:sz w:val="21"/>
        </w:rPr>
        <w:t>  </w:t>
      </w:r>
      <w:r>
        <w:rPr>
          <w:w w:val="100"/>
          <w:sz w:val="21"/>
        </w:rPr>
        <w:t>I</w:t>
      </w:r>
      <w:r>
        <w:rPr>
          <w:sz w:val="21"/>
        </w:rPr>
        <w:t>  </w:t>
      </w:r>
      <w:r>
        <w:rPr>
          <w:w w:val="100"/>
          <w:sz w:val="21"/>
        </w:rPr>
        <w:t>mean</w:t>
      </w:r>
      <w:r>
        <w:rPr>
          <w:sz w:val="21"/>
        </w:rPr>
        <w:t>  </w:t>
      </w:r>
      <w:r>
        <w:rPr>
          <w:w w:val="100"/>
          <w:sz w:val="21"/>
        </w:rPr>
        <w:t>conjectural</w:t>
      </w:r>
      <w:r>
        <w:rPr>
          <w:sz w:val="21"/>
        </w:rPr>
        <w:t>  </w:t>
      </w:r>
      <w:r>
        <w:rPr>
          <w:w w:val="100"/>
          <w:sz w:val="21"/>
        </w:rPr>
        <w:t>picture</w:t>
      </w:r>
      <w:r>
        <w:rPr>
          <w:sz w:val="21"/>
        </w:rPr>
        <w:t>  </w:t>
      </w:r>
      <w:r>
        <w:rPr>
          <w:w w:val="100"/>
          <w:sz w:val="21"/>
        </w:rPr>
        <w:t>which </w:t>
      </w:r>
      <w:r>
        <w:rPr>
          <w:sz w:val="21"/>
        </w:rPr>
        <w:t>could be based on the available evidence and it is very much in the practice in archaeological diggings…‖</w:t>
      </w:r>
    </w:p>
    <w:p>
      <w:pPr>
        <w:pStyle w:val="BodyText"/>
        <w:spacing w:before="11"/>
        <w:rPr>
          <w:sz w:val="24"/>
        </w:rPr>
      </w:pPr>
    </w:p>
    <w:p>
      <w:pPr>
        <w:pStyle w:val="ListParagraph"/>
        <w:numPr>
          <w:ilvl w:val="0"/>
          <w:numId w:val="165"/>
        </w:numPr>
        <w:tabs>
          <w:tab w:pos="1221" w:val="left" w:leader="none"/>
        </w:tabs>
        <w:spacing w:line="480" w:lineRule="auto" w:before="0" w:after="0"/>
        <w:ind w:left="1220" w:right="442" w:hanging="720"/>
        <w:jc w:val="both"/>
        <w:rPr>
          <w:sz w:val="25"/>
        </w:rPr>
      </w:pPr>
      <w:r>
        <w:rPr>
          <w:b/>
          <w:sz w:val="25"/>
        </w:rPr>
        <w:t>R Nagaswami </w:t>
      </w:r>
      <w:r>
        <w:rPr>
          <w:sz w:val="25"/>
        </w:rPr>
        <w:t>(</w:t>
      </w:r>
      <w:r>
        <w:rPr>
          <w:b/>
          <w:sz w:val="25"/>
        </w:rPr>
        <w:t>PW 17</w:t>
      </w:r>
      <w:r>
        <w:rPr>
          <w:sz w:val="25"/>
        </w:rPr>
        <w:t>), who retired as Director of Archaeology in the Government of Tamil Nadu and was an expert witness for the plaintiffs in Suit 5</w:t>
      </w:r>
      <w:r>
        <w:rPr>
          <w:spacing w:val="-2"/>
          <w:sz w:val="25"/>
        </w:rPr>
        <w:t> </w:t>
      </w:r>
      <w:r>
        <w:rPr>
          <w:sz w:val="25"/>
        </w:rPr>
        <w:t>stated:</w:t>
      </w:r>
    </w:p>
    <w:p>
      <w:pPr>
        <w:spacing w:line="276" w:lineRule="auto" w:before="2"/>
        <w:ind w:left="1940" w:right="2261" w:firstLine="0"/>
        <w:jc w:val="both"/>
        <w:rPr>
          <w:b/>
          <w:sz w:val="21"/>
        </w:rPr>
      </w:pPr>
      <w:r>
        <w:rPr>
          <w:spacing w:val="-1"/>
          <w:w w:val="33"/>
          <w:sz w:val="21"/>
        </w:rPr>
        <w:t>―</w:t>
      </w:r>
      <w:r>
        <w:rPr>
          <w:w w:val="100"/>
          <w:sz w:val="21"/>
        </w:rPr>
        <w:t>…</w:t>
      </w:r>
      <w:r>
        <w:rPr>
          <w:spacing w:val="-2"/>
          <w:w w:val="100"/>
          <w:sz w:val="21"/>
        </w:rPr>
        <w:t>I</w:t>
      </w:r>
      <w:r>
        <w:rPr>
          <w:w w:val="100"/>
          <w:sz w:val="21"/>
        </w:rPr>
        <w:t>n</w:t>
      </w:r>
      <w:r>
        <w:rPr>
          <w:sz w:val="21"/>
        </w:rPr>
        <w:t> </w:t>
      </w:r>
      <w:r>
        <w:rPr>
          <w:spacing w:val="-21"/>
          <w:sz w:val="21"/>
        </w:rPr>
        <w:t> </w:t>
      </w:r>
      <w:r>
        <w:rPr>
          <w:spacing w:val="-1"/>
          <w:w w:val="100"/>
          <w:sz w:val="21"/>
        </w:rPr>
        <w:t>archa</w:t>
      </w:r>
      <w:r>
        <w:rPr>
          <w:spacing w:val="-3"/>
          <w:w w:val="100"/>
          <w:sz w:val="21"/>
        </w:rPr>
        <w:t>e</w:t>
      </w:r>
      <w:r>
        <w:rPr>
          <w:spacing w:val="-1"/>
          <w:w w:val="100"/>
          <w:sz w:val="21"/>
        </w:rPr>
        <w:t>o</w:t>
      </w:r>
      <w:r>
        <w:rPr>
          <w:spacing w:val="-2"/>
          <w:w w:val="100"/>
          <w:sz w:val="21"/>
        </w:rPr>
        <w:t>l</w:t>
      </w:r>
      <w:r>
        <w:rPr>
          <w:spacing w:val="-1"/>
          <w:w w:val="100"/>
          <w:sz w:val="21"/>
        </w:rPr>
        <w:t>og</w:t>
      </w:r>
      <w:r>
        <w:rPr>
          <w:w w:val="100"/>
          <w:sz w:val="21"/>
        </w:rPr>
        <w:t>y</w:t>
      </w:r>
      <w:r>
        <w:rPr>
          <w:sz w:val="21"/>
        </w:rPr>
        <w:t> </w:t>
      </w:r>
      <w:r>
        <w:rPr>
          <w:spacing w:val="-23"/>
          <w:sz w:val="21"/>
        </w:rPr>
        <w:t> </w:t>
      </w:r>
      <w:r>
        <w:rPr>
          <w:spacing w:val="-1"/>
          <w:w w:val="100"/>
          <w:sz w:val="21"/>
        </w:rPr>
        <w:t>dat</w:t>
      </w:r>
      <w:r>
        <w:rPr>
          <w:w w:val="100"/>
          <w:sz w:val="21"/>
        </w:rPr>
        <w:t>a</w:t>
      </w:r>
      <w:r>
        <w:rPr>
          <w:sz w:val="21"/>
        </w:rPr>
        <w:t> </w:t>
      </w:r>
      <w:r>
        <w:rPr>
          <w:spacing w:val="-21"/>
          <w:sz w:val="21"/>
        </w:rPr>
        <w:t> </w:t>
      </w:r>
      <w:r>
        <w:rPr>
          <w:w w:val="100"/>
          <w:sz w:val="21"/>
        </w:rPr>
        <w:t>co</w:t>
      </w:r>
      <w:r>
        <w:rPr>
          <w:spacing w:val="1"/>
          <w:w w:val="100"/>
          <w:sz w:val="21"/>
        </w:rPr>
        <w:t>l</w:t>
      </w:r>
      <w:r>
        <w:rPr>
          <w:spacing w:val="-2"/>
          <w:w w:val="100"/>
          <w:sz w:val="21"/>
        </w:rPr>
        <w:t>l</w:t>
      </w:r>
      <w:r>
        <w:rPr>
          <w:spacing w:val="-1"/>
          <w:w w:val="100"/>
          <w:sz w:val="21"/>
        </w:rPr>
        <w:t>e</w:t>
      </w:r>
      <w:r>
        <w:rPr>
          <w:spacing w:val="1"/>
          <w:w w:val="100"/>
          <w:sz w:val="21"/>
        </w:rPr>
        <w:t>c</w:t>
      </w:r>
      <w:r>
        <w:rPr>
          <w:spacing w:val="-2"/>
          <w:w w:val="100"/>
          <w:sz w:val="21"/>
        </w:rPr>
        <w:t>t</w:t>
      </w:r>
      <w:r>
        <w:rPr>
          <w:w w:val="100"/>
          <w:sz w:val="21"/>
        </w:rPr>
        <w:t>ed</w:t>
      </w:r>
      <w:r>
        <w:rPr>
          <w:sz w:val="21"/>
        </w:rPr>
        <w:t> </w:t>
      </w:r>
      <w:r>
        <w:rPr>
          <w:spacing w:val="-23"/>
          <w:sz w:val="21"/>
        </w:rPr>
        <w:t> </w:t>
      </w:r>
      <w:r>
        <w:rPr>
          <w:w w:val="100"/>
          <w:sz w:val="21"/>
        </w:rPr>
        <w:t>i</w:t>
      </w:r>
      <w:r>
        <w:rPr>
          <w:w w:val="100"/>
          <w:sz w:val="21"/>
        </w:rPr>
        <w:t>n</w:t>
      </w:r>
      <w:r>
        <w:rPr>
          <w:sz w:val="21"/>
        </w:rPr>
        <w:t> </w:t>
      </w:r>
      <w:r>
        <w:rPr>
          <w:spacing w:val="-21"/>
          <w:sz w:val="21"/>
        </w:rPr>
        <w:t> </w:t>
      </w:r>
      <w:r>
        <w:rPr>
          <w:w w:val="100"/>
          <w:sz w:val="21"/>
        </w:rPr>
        <w:t>ex</w:t>
      </w:r>
      <w:r>
        <w:rPr>
          <w:spacing w:val="-3"/>
          <w:w w:val="100"/>
          <w:sz w:val="21"/>
        </w:rPr>
        <w:t>c</w:t>
      </w:r>
      <w:r>
        <w:rPr>
          <w:w w:val="100"/>
          <w:sz w:val="21"/>
        </w:rPr>
        <w:t>a</w:t>
      </w:r>
      <w:r>
        <w:rPr>
          <w:spacing w:val="-3"/>
          <w:w w:val="100"/>
          <w:sz w:val="21"/>
        </w:rPr>
        <w:t>v</w:t>
      </w:r>
      <w:r>
        <w:rPr>
          <w:w w:val="100"/>
          <w:sz w:val="21"/>
        </w:rPr>
        <w:t>a</w:t>
      </w:r>
      <w:r>
        <w:rPr>
          <w:spacing w:val="-1"/>
          <w:w w:val="100"/>
          <w:sz w:val="21"/>
        </w:rPr>
        <w:t>t</w:t>
      </w:r>
      <w:r>
        <w:rPr>
          <w:w w:val="100"/>
          <w:sz w:val="21"/>
        </w:rPr>
        <w:t>i</w:t>
      </w:r>
      <w:r>
        <w:rPr>
          <w:w w:val="100"/>
          <w:sz w:val="21"/>
        </w:rPr>
        <w:t>on</w:t>
      </w:r>
      <w:r>
        <w:rPr>
          <w:sz w:val="21"/>
        </w:rPr>
        <w:t> </w:t>
      </w:r>
      <w:r>
        <w:rPr>
          <w:spacing w:val="-21"/>
          <w:sz w:val="21"/>
        </w:rPr>
        <w:t> </w:t>
      </w:r>
      <w:r>
        <w:rPr>
          <w:w w:val="100"/>
          <w:sz w:val="21"/>
        </w:rPr>
        <w:t>n</w:t>
      </w:r>
      <w:r>
        <w:rPr>
          <w:spacing w:val="-3"/>
          <w:w w:val="100"/>
          <w:sz w:val="21"/>
        </w:rPr>
        <w:t>e</w:t>
      </w:r>
      <w:r>
        <w:rPr>
          <w:w w:val="100"/>
          <w:sz w:val="21"/>
        </w:rPr>
        <w:t>eds</w:t>
      </w:r>
      <w:r>
        <w:rPr>
          <w:sz w:val="21"/>
        </w:rPr>
        <w:t> </w:t>
      </w:r>
      <w:r>
        <w:rPr>
          <w:spacing w:val="-21"/>
          <w:sz w:val="21"/>
        </w:rPr>
        <w:t> </w:t>
      </w:r>
      <w:r>
        <w:rPr>
          <w:spacing w:val="-2"/>
          <w:w w:val="100"/>
          <w:sz w:val="21"/>
        </w:rPr>
        <w:t>t</w:t>
      </w:r>
      <w:r>
        <w:rPr>
          <w:w w:val="100"/>
          <w:sz w:val="21"/>
        </w:rPr>
        <w:t>o</w:t>
      </w:r>
      <w:r>
        <w:rPr>
          <w:sz w:val="21"/>
        </w:rPr>
        <w:t> </w:t>
      </w:r>
      <w:r>
        <w:rPr>
          <w:spacing w:val="-21"/>
          <w:sz w:val="21"/>
        </w:rPr>
        <w:t> </w:t>
      </w:r>
      <w:r>
        <w:rPr>
          <w:spacing w:val="-3"/>
          <w:w w:val="100"/>
          <w:sz w:val="21"/>
        </w:rPr>
        <w:t>b</w:t>
      </w:r>
      <w:r>
        <w:rPr>
          <w:w w:val="100"/>
          <w:sz w:val="21"/>
        </w:rPr>
        <w:t>e </w:t>
      </w:r>
      <w:r>
        <w:rPr>
          <w:sz w:val="21"/>
        </w:rPr>
        <w:t>interpreted from the context and reference to related textual material from known authentic sources. If we are to repeat what</w:t>
      </w:r>
      <w:r>
        <w:rPr>
          <w:spacing w:val="25"/>
          <w:sz w:val="21"/>
        </w:rPr>
        <w:t> </w:t>
      </w:r>
      <w:r>
        <w:rPr>
          <w:sz w:val="21"/>
        </w:rPr>
        <w:t>is</w:t>
      </w:r>
      <w:r>
        <w:rPr>
          <w:spacing w:val="25"/>
          <w:sz w:val="21"/>
        </w:rPr>
        <w:t> </w:t>
      </w:r>
      <w:r>
        <w:rPr>
          <w:sz w:val="21"/>
        </w:rPr>
        <w:t>mentioned</w:t>
      </w:r>
      <w:r>
        <w:rPr>
          <w:spacing w:val="25"/>
          <w:sz w:val="21"/>
        </w:rPr>
        <w:t> </w:t>
      </w:r>
      <w:r>
        <w:rPr>
          <w:sz w:val="21"/>
        </w:rPr>
        <w:t>in</w:t>
      </w:r>
      <w:r>
        <w:rPr>
          <w:spacing w:val="28"/>
          <w:sz w:val="21"/>
        </w:rPr>
        <w:t> </w:t>
      </w:r>
      <w:r>
        <w:rPr>
          <w:sz w:val="21"/>
        </w:rPr>
        <w:t>the</w:t>
      </w:r>
      <w:r>
        <w:rPr>
          <w:spacing w:val="24"/>
          <w:sz w:val="21"/>
        </w:rPr>
        <w:t> </w:t>
      </w:r>
      <w:r>
        <w:rPr>
          <w:sz w:val="21"/>
        </w:rPr>
        <w:t>excavation</w:t>
      </w:r>
      <w:r>
        <w:rPr>
          <w:spacing w:val="28"/>
          <w:sz w:val="21"/>
        </w:rPr>
        <w:t> </w:t>
      </w:r>
      <w:r>
        <w:rPr>
          <w:sz w:val="21"/>
        </w:rPr>
        <w:t>report,</w:t>
      </w:r>
      <w:r>
        <w:rPr>
          <w:spacing w:val="30"/>
          <w:sz w:val="21"/>
        </w:rPr>
        <w:t> </w:t>
      </w:r>
      <w:r>
        <w:rPr>
          <w:b/>
          <w:sz w:val="21"/>
        </w:rPr>
        <w:t>the</w:t>
      </w:r>
      <w:r>
        <w:rPr>
          <w:b/>
          <w:spacing w:val="28"/>
          <w:sz w:val="21"/>
        </w:rPr>
        <w:t> </w:t>
      </w:r>
      <w:r>
        <w:rPr>
          <w:b/>
          <w:sz w:val="21"/>
        </w:rPr>
        <w:t>purpose</w:t>
      </w:r>
      <w:r>
        <w:rPr>
          <w:b/>
          <w:spacing w:val="25"/>
          <w:sz w:val="21"/>
        </w:rPr>
        <w:t> </w:t>
      </w:r>
      <w:r>
        <w:rPr>
          <w:b/>
          <w:sz w:val="21"/>
        </w:rPr>
        <w:t>of</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346" w:firstLine="0"/>
        <w:jc w:val="left"/>
        <w:rPr>
          <w:sz w:val="21"/>
        </w:rPr>
      </w:pPr>
      <w:r>
        <w:rPr>
          <w:b/>
          <w:sz w:val="21"/>
        </w:rPr>
        <w:t>excavation which is reconstruction of the history, </w:t>
      </w:r>
      <w:r>
        <w:rPr>
          <w:sz w:val="21"/>
        </w:rPr>
        <w:t>is not possible…‖</w:t>
      </w:r>
    </w:p>
    <w:p>
      <w:pPr>
        <w:spacing w:before="0"/>
        <w:ind w:left="5464" w:right="0" w:firstLine="0"/>
        <w:jc w:val="left"/>
        <w:rPr>
          <w:sz w:val="21"/>
        </w:rPr>
      </w:pPr>
      <w:r>
        <w:rPr>
          <w:sz w:val="21"/>
        </w:rPr>
        <w:t>(Emphasis supplied)</w:t>
      </w:r>
    </w:p>
    <w:p>
      <w:pPr>
        <w:pStyle w:val="BodyText"/>
        <w:rPr>
          <w:sz w:val="24"/>
        </w:rPr>
      </w:pPr>
    </w:p>
    <w:p>
      <w:pPr>
        <w:pStyle w:val="ListParagraph"/>
        <w:numPr>
          <w:ilvl w:val="0"/>
          <w:numId w:val="165"/>
        </w:numPr>
        <w:tabs>
          <w:tab w:pos="1221" w:val="left" w:leader="none"/>
        </w:tabs>
        <w:spacing w:line="480" w:lineRule="auto" w:before="206" w:after="0"/>
        <w:ind w:left="1220" w:right="437" w:hanging="720"/>
        <w:jc w:val="both"/>
        <w:rPr>
          <w:sz w:val="25"/>
        </w:rPr>
      </w:pPr>
      <w:r>
        <w:rPr>
          <w:b/>
          <w:sz w:val="25"/>
        </w:rPr>
        <w:t>Professor Dr Shereen F Ratnagar </w:t>
      </w:r>
      <w:r>
        <w:rPr>
          <w:sz w:val="25"/>
        </w:rPr>
        <w:t>(</w:t>
      </w:r>
      <w:r>
        <w:rPr>
          <w:b/>
          <w:sz w:val="25"/>
        </w:rPr>
        <w:t>PW 27</w:t>
      </w:r>
      <w:r>
        <w:rPr>
          <w:sz w:val="25"/>
        </w:rPr>
        <w:t>), a former professor of archaeology at JNU who was an expert witness for the plaintiffs in Suit 4 stated:</w:t>
      </w:r>
    </w:p>
    <w:p>
      <w:pPr>
        <w:spacing w:line="276" w:lineRule="auto" w:before="201"/>
        <w:ind w:left="1940" w:right="2262" w:firstLine="0"/>
        <w:jc w:val="both"/>
        <w:rPr>
          <w:sz w:val="21"/>
        </w:rPr>
      </w:pPr>
      <w:r>
        <w:rPr>
          <w:spacing w:val="-6"/>
          <w:w w:val="33"/>
          <w:sz w:val="21"/>
        </w:rPr>
        <w:t>―</w:t>
      </w:r>
      <w:r>
        <w:rPr>
          <w:spacing w:val="6"/>
          <w:w w:val="100"/>
          <w:sz w:val="21"/>
        </w:rPr>
        <w:t>W</w:t>
      </w:r>
      <w:r>
        <w:rPr>
          <w:spacing w:val="-3"/>
          <w:w w:val="100"/>
          <w:sz w:val="21"/>
        </w:rPr>
        <w:t>h</w:t>
      </w:r>
      <w:r>
        <w:rPr>
          <w:spacing w:val="-1"/>
          <w:w w:val="100"/>
          <w:sz w:val="21"/>
        </w:rPr>
        <w:t>a</w:t>
      </w:r>
      <w:r>
        <w:rPr>
          <w:w w:val="100"/>
          <w:sz w:val="21"/>
        </w:rPr>
        <w:t>t</w:t>
      </w:r>
      <w:r>
        <w:rPr>
          <w:sz w:val="21"/>
        </w:rPr>
        <w:t> </w:t>
      </w:r>
      <w:r>
        <w:rPr>
          <w:w w:val="100"/>
          <w:sz w:val="21"/>
        </w:rPr>
        <w:t>c</w:t>
      </w:r>
      <w:r>
        <w:rPr>
          <w:spacing w:val="-3"/>
          <w:w w:val="100"/>
          <w:sz w:val="21"/>
        </w:rPr>
        <w:t>o</w:t>
      </w:r>
      <w:r>
        <w:rPr>
          <w:spacing w:val="-1"/>
          <w:w w:val="100"/>
          <w:sz w:val="21"/>
        </w:rPr>
        <w:t>nst</w:t>
      </w:r>
      <w:r>
        <w:rPr>
          <w:w w:val="100"/>
          <w:sz w:val="21"/>
        </w:rPr>
        <w:t>i</w:t>
      </w:r>
      <w:r>
        <w:rPr>
          <w:spacing w:val="-2"/>
          <w:w w:val="100"/>
          <w:sz w:val="21"/>
        </w:rPr>
        <w:t>t</w:t>
      </w:r>
      <w:r>
        <w:rPr>
          <w:spacing w:val="-1"/>
          <w:w w:val="100"/>
          <w:sz w:val="21"/>
        </w:rPr>
        <w:t>ute</w:t>
      </w:r>
      <w:r>
        <w:rPr>
          <w:w w:val="100"/>
          <w:sz w:val="21"/>
        </w:rPr>
        <w:t>s</w:t>
      </w:r>
      <w:r>
        <w:rPr>
          <w:sz w:val="21"/>
        </w:rPr>
        <w:t> </w:t>
      </w:r>
      <w:r>
        <w:rPr>
          <w:w w:val="100"/>
          <w:sz w:val="21"/>
        </w:rPr>
        <w:t>a</w:t>
      </w:r>
      <w:r>
        <w:rPr>
          <w:sz w:val="21"/>
        </w:rPr>
        <w:t> </w:t>
      </w:r>
      <w:r>
        <w:rPr>
          <w:spacing w:val="-2"/>
          <w:w w:val="100"/>
          <w:sz w:val="21"/>
        </w:rPr>
        <w:t>f</w:t>
      </w:r>
      <w:r>
        <w:rPr>
          <w:spacing w:val="-1"/>
          <w:w w:val="100"/>
          <w:sz w:val="21"/>
        </w:rPr>
        <w:t>ac</w:t>
      </w:r>
      <w:r>
        <w:rPr>
          <w:w w:val="100"/>
          <w:sz w:val="21"/>
        </w:rPr>
        <w:t>t</w:t>
      </w:r>
      <w:r>
        <w:rPr>
          <w:sz w:val="21"/>
        </w:rPr>
        <w:t> </w:t>
      </w:r>
      <w:r>
        <w:rPr>
          <w:w w:val="100"/>
          <w:sz w:val="21"/>
        </w:rPr>
        <w:t>i</w:t>
      </w:r>
      <w:r>
        <w:rPr>
          <w:spacing w:val="-4"/>
          <w:w w:val="100"/>
          <w:sz w:val="21"/>
        </w:rPr>
        <w:t>t</w:t>
      </w:r>
      <w:r>
        <w:rPr>
          <w:w w:val="100"/>
          <w:sz w:val="21"/>
        </w:rPr>
        <w:t>se</w:t>
      </w:r>
      <w:r>
        <w:rPr>
          <w:spacing w:val="-2"/>
          <w:w w:val="100"/>
          <w:sz w:val="21"/>
        </w:rPr>
        <w:t>l</w:t>
      </w:r>
      <w:r>
        <w:rPr>
          <w:w w:val="100"/>
          <w:sz w:val="21"/>
        </w:rPr>
        <w:t>f</w:t>
      </w:r>
      <w:r>
        <w:rPr>
          <w:sz w:val="21"/>
        </w:rPr>
        <w:t> </w:t>
      </w:r>
      <w:r>
        <w:rPr>
          <w:w w:val="100"/>
          <w:sz w:val="21"/>
        </w:rPr>
        <w:t>c</w:t>
      </w:r>
      <w:r>
        <w:rPr>
          <w:spacing w:val="-3"/>
          <w:w w:val="100"/>
          <w:sz w:val="21"/>
        </w:rPr>
        <w:t>a</w:t>
      </w:r>
      <w:r>
        <w:rPr>
          <w:w w:val="100"/>
          <w:sz w:val="21"/>
        </w:rPr>
        <w:t>n</w:t>
      </w:r>
      <w:r>
        <w:rPr>
          <w:sz w:val="21"/>
        </w:rPr>
        <w:t> </w:t>
      </w:r>
      <w:r>
        <w:rPr>
          <w:spacing w:val="-1"/>
          <w:w w:val="100"/>
          <w:sz w:val="21"/>
        </w:rPr>
        <w:t>b</w:t>
      </w:r>
      <w:r>
        <w:rPr>
          <w:w w:val="100"/>
          <w:sz w:val="21"/>
        </w:rPr>
        <w:t>e</w:t>
      </w:r>
      <w:r>
        <w:rPr>
          <w:sz w:val="21"/>
        </w:rPr>
        <w:t> </w:t>
      </w:r>
      <w:r>
        <w:rPr>
          <w:spacing w:val="-1"/>
          <w:w w:val="100"/>
          <w:sz w:val="21"/>
        </w:rPr>
        <w:t>d</w:t>
      </w:r>
      <w:r>
        <w:rPr>
          <w:spacing w:val="1"/>
          <w:w w:val="100"/>
          <w:sz w:val="21"/>
        </w:rPr>
        <w:t>i</w:t>
      </w:r>
      <w:r>
        <w:rPr>
          <w:spacing w:val="-3"/>
          <w:w w:val="100"/>
          <w:sz w:val="21"/>
        </w:rPr>
        <w:t>s</w:t>
      </w:r>
      <w:r>
        <w:rPr>
          <w:spacing w:val="-1"/>
          <w:w w:val="100"/>
          <w:sz w:val="21"/>
        </w:rPr>
        <w:t>puted</w:t>
      </w:r>
      <w:r>
        <w:rPr>
          <w:w w:val="100"/>
          <w:sz w:val="21"/>
        </w:rPr>
        <w:t>.</w:t>
      </w:r>
      <w:r>
        <w:rPr>
          <w:sz w:val="21"/>
        </w:rPr>
        <w:t> </w:t>
      </w:r>
      <w:r>
        <w:rPr>
          <w:w w:val="100"/>
          <w:sz w:val="21"/>
        </w:rPr>
        <w:t>H</w:t>
      </w:r>
      <w:r>
        <w:rPr>
          <w:spacing w:val="-1"/>
          <w:w w:val="100"/>
          <w:sz w:val="21"/>
        </w:rPr>
        <w:t>o</w:t>
      </w:r>
      <w:r>
        <w:rPr>
          <w:spacing w:val="-4"/>
          <w:w w:val="100"/>
          <w:sz w:val="21"/>
        </w:rPr>
        <w:t>w</w:t>
      </w:r>
      <w:r>
        <w:rPr>
          <w:spacing w:val="-1"/>
          <w:w w:val="100"/>
          <w:sz w:val="21"/>
        </w:rPr>
        <w:t>e</w:t>
      </w:r>
      <w:r>
        <w:rPr>
          <w:spacing w:val="-3"/>
          <w:w w:val="100"/>
          <w:sz w:val="21"/>
        </w:rPr>
        <w:t>v</w:t>
      </w:r>
      <w:r>
        <w:rPr>
          <w:spacing w:val="-1"/>
          <w:w w:val="100"/>
          <w:sz w:val="21"/>
        </w:rPr>
        <w:t>er</w:t>
      </w:r>
      <w:r>
        <w:rPr>
          <w:w w:val="100"/>
          <w:sz w:val="21"/>
        </w:rPr>
        <w:t>,</w:t>
      </w:r>
      <w:r>
        <w:rPr>
          <w:sz w:val="21"/>
        </w:rPr>
        <w:t> </w:t>
      </w:r>
      <w:r>
        <w:rPr>
          <w:w w:val="100"/>
          <w:sz w:val="21"/>
        </w:rPr>
        <w:t>if</w:t>
      </w:r>
      <w:r>
        <w:rPr>
          <w:sz w:val="21"/>
        </w:rPr>
        <w:t> </w:t>
      </w:r>
      <w:r>
        <w:rPr>
          <w:spacing w:val="-2"/>
          <w:w w:val="100"/>
          <w:sz w:val="21"/>
        </w:rPr>
        <w:t>t</w:t>
      </w:r>
      <w:r>
        <w:rPr>
          <w:spacing w:val="-1"/>
          <w:w w:val="100"/>
          <w:sz w:val="21"/>
        </w:rPr>
        <w:t>he </w:t>
      </w:r>
      <w:r>
        <w:rPr>
          <w:sz w:val="21"/>
        </w:rPr>
        <w:t>fact is established, there may be two opinions on the fact by two Archaeologists...‖</w:t>
      </w:r>
    </w:p>
    <w:p>
      <w:pPr>
        <w:pStyle w:val="BodyText"/>
        <w:spacing w:before="11"/>
        <w:rPr>
          <w:sz w:val="20"/>
        </w:rPr>
      </w:pPr>
    </w:p>
    <w:p>
      <w:pPr>
        <w:pStyle w:val="ListParagraph"/>
        <w:numPr>
          <w:ilvl w:val="0"/>
          <w:numId w:val="165"/>
        </w:numPr>
        <w:tabs>
          <w:tab w:pos="1221" w:val="left" w:leader="none"/>
        </w:tabs>
        <w:spacing w:line="480" w:lineRule="auto" w:before="0" w:after="0"/>
        <w:ind w:left="1220" w:right="438" w:hanging="720"/>
        <w:jc w:val="both"/>
        <w:rPr>
          <w:sz w:val="25"/>
        </w:rPr>
      </w:pPr>
      <w:r>
        <w:rPr>
          <w:b/>
          <w:sz w:val="25"/>
        </w:rPr>
        <w:t>Dr Supriya Varma </w:t>
      </w:r>
      <w:r>
        <w:rPr>
          <w:sz w:val="25"/>
        </w:rPr>
        <w:t>(</w:t>
      </w:r>
      <w:r>
        <w:rPr>
          <w:b/>
          <w:sz w:val="25"/>
        </w:rPr>
        <w:t>PW 32</w:t>
      </w:r>
      <w:r>
        <w:rPr>
          <w:sz w:val="25"/>
        </w:rPr>
        <w:t>), who was an Associate Professor of Archaeology in the School of Social Sciences at the University of Hyderabad stated</w:t>
      </w:r>
      <w:r>
        <w:rPr>
          <w:spacing w:val="-1"/>
          <w:sz w:val="25"/>
        </w:rPr>
        <w:t> </w:t>
      </w:r>
      <w:r>
        <w:rPr>
          <w:sz w:val="25"/>
        </w:rPr>
        <w:t>:</w:t>
      </w:r>
    </w:p>
    <w:p>
      <w:pPr>
        <w:spacing w:line="276" w:lineRule="auto" w:before="2"/>
        <w:ind w:left="1940" w:right="2261" w:firstLine="0"/>
        <w:jc w:val="both"/>
        <w:rPr>
          <w:sz w:val="21"/>
        </w:rPr>
      </w:pPr>
      <w:r>
        <w:rPr>
          <w:w w:val="33"/>
          <w:sz w:val="21"/>
        </w:rPr>
        <w:t>―</w:t>
      </w:r>
      <w:r>
        <w:rPr>
          <w:w w:val="100"/>
          <w:sz w:val="21"/>
        </w:rPr>
        <w:t>…When</w:t>
      </w:r>
      <w:r>
        <w:rPr>
          <w:sz w:val="21"/>
        </w:rPr>
        <w:t>  </w:t>
      </w:r>
      <w:r>
        <w:rPr>
          <w:w w:val="100"/>
          <w:sz w:val="21"/>
        </w:rPr>
        <w:t>archaeologists</w:t>
      </w:r>
      <w:r>
        <w:rPr>
          <w:sz w:val="21"/>
        </w:rPr>
        <w:t>  </w:t>
      </w:r>
      <w:r>
        <w:rPr>
          <w:w w:val="100"/>
          <w:sz w:val="21"/>
        </w:rPr>
        <w:t>excavate</w:t>
      </w:r>
      <w:r>
        <w:rPr>
          <w:sz w:val="21"/>
        </w:rPr>
        <w:t>  </w:t>
      </w:r>
      <w:r>
        <w:rPr>
          <w:w w:val="100"/>
          <w:sz w:val="21"/>
        </w:rPr>
        <w:t>and</w:t>
      </w:r>
      <w:r>
        <w:rPr>
          <w:sz w:val="21"/>
        </w:rPr>
        <w:t>  </w:t>
      </w:r>
      <w:r>
        <w:rPr>
          <w:w w:val="100"/>
          <w:sz w:val="21"/>
        </w:rPr>
        <w:t>find</w:t>
      </w:r>
      <w:r>
        <w:rPr>
          <w:sz w:val="21"/>
        </w:rPr>
        <w:t>  </w:t>
      </w:r>
      <w:r>
        <w:rPr>
          <w:w w:val="100"/>
          <w:sz w:val="21"/>
        </w:rPr>
        <w:t>archaeological </w:t>
      </w:r>
      <w:r>
        <w:rPr>
          <w:sz w:val="21"/>
        </w:rPr>
        <w:t>material which can include pottery and bones inference and interpretation are made by archaeologists on the basis of the context in which these finds are exposed. The data does not speak for itself. Inferences are made on the basis of certain principles and methods that are followed in archaeology…‖</w:t>
      </w:r>
    </w:p>
    <w:p>
      <w:pPr>
        <w:pStyle w:val="BodyText"/>
        <w:rPr>
          <w:sz w:val="24"/>
        </w:rPr>
      </w:pPr>
    </w:p>
    <w:p>
      <w:pPr>
        <w:pStyle w:val="ListParagraph"/>
        <w:numPr>
          <w:ilvl w:val="0"/>
          <w:numId w:val="111"/>
        </w:numPr>
        <w:tabs>
          <w:tab w:pos="1221" w:val="left" w:leader="none"/>
        </w:tabs>
        <w:spacing w:line="480" w:lineRule="auto" w:before="208" w:after="0"/>
        <w:ind w:left="500" w:right="434" w:firstLine="0"/>
        <w:jc w:val="both"/>
        <w:rPr>
          <w:sz w:val="25"/>
        </w:rPr>
      </w:pPr>
      <w:r>
        <w:rPr>
          <w:sz w:val="25"/>
        </w:rPr>
        <w:t>About the existence of 17 rows of pillar bases from north to south with each row having 5 pillar bases, R Nagaswami (OPW 17) stated that it was only an inference as all the 85 pillar bases had not been exposed. A similar statement was made by Dr Ashok Datta (PW 31), a senior lecturer in the Department of Archaeology of the University of Calcutta. Dealing with figure 23 of the ASI report (the isometrical figure), he noted that it was not to scale or elevation of different floor levels and it may be considered purely conjectural. R Nagaswami (OPW 17) and Jayanti Prasad Srivastava (DW 20/5) supported the view of the </w:t>
      </w:r>
      <w:r>
        <w:rPr>
          <w:spacing w:val="2"/>
          <w:sz w:val="25"/>
        </w:rPr>
        <w:t>ASI </w:t>
      </w:r>
      <w:r>
        <w:rPr>
          <w:sz w:val="25"/>
        </w:rPr>
        <w:t>report regarding the existence of a massive Hindu temple at the disputed site. On the other hand, Dr Supriya Varma (PW 32) agreed with the finding of the</w:t>
      </w:r>
      <w:r>
        <w:rPr>
          <w:spacing w:val="43"/>
          <w:sz w:val="25"/>
        </w:rPr>
        <w:t> </w:t>
      </w:r>
      <w:r>
        <w:rPr>
          <w:sz w:val="25"/>
        </w:rPr>
        <w:t>ASI</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regarding the existence of the structure underneath the disputed structure but disagreed with the interpretation. These depositions have been relied upon to suggest that archaeologists can and do disagree on the interpretation of data because the field is essentially inferential.</w:t>
      </w:r>
    </w:p>
    <w:p>
      <w:pPr>
        <w:pStyle w:val="BodyText"/>
        <w:spacing w:before="11"/>
        <w:rPr>
          <w:sz w:val="38"/>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Archaeology as a science draws on multi-disciplinary or trans-disciplinary approaches. In considering the nature of archaeological evidence, it is important to remember that archaeology as a branch of knowledge draws sustenance from the science of learning, the wisdom of experience and the vision which underlies the process of interpretation. As a discipline, it nurtures a trained mind. It relies  on a cross-fertilization with other disciplines such as history, sociology and anthropology. This is not a weakness but a strength. Archaeology combines both science and art. As a science, it is based on the principle of objective evaluation. As an art, it relies on a vision which is realised through years of commitment to the pursuit of knowledge based on the histories of eras. Archaeology as a discipline cannot be belittled as unreliable. The value of archaeology cannot be diluted in the manner which has been suggested by laying a claim to its being a weak form of</w:t>
      </w:r>
      <w:r>
        <w:rPr>
          <w:spacing w:val="-1"/>
          <w:sz w:val="25"/>
        </w:rPr>
        <w:t> </w:t>
      </w:r>
      <w:r>
        <w:rPr>
          <w:sz w:val="25"/>
        </w:rPr>
        <w:t>evidence.</w:t>
      </w:r>
    </w:p>
    <w:p>
      <w:pPr>
        <w:pStyle w:val="BodyText"/>
        <w:spacing w:before="10"/>
        <w:rPr>
          <w:sz w:val="38"/>
        </w:rPr>
      </w:pPr>
    </w:p>
    <w:p>
      <w:pPr>
        <w:pStyle w:val="ListParagraph"/>
        <w:numPr>
          <w:ilvl w:val="0"/>
          <w:numId w:val="111"/>
        </w:numPr>
        <w:tabs>
          <w:tab w:pos="1221" w:val="left" w:leader="none"/>
        </w:tabs>
        <w:spacing w:line="480" w:lineRule="auto" w:before="0" w:after="0"/>
        <w:ind w:left="500" w:right="442" w:firstLine="0"/>
        <w:jc w:val="both"/>
        <w:rPr>
          <w:sz w:val="25"/>
        </w:rPr>
      </w:pPr>
      <w:r>
        <w:rPr>
          <w:sz w:val="25"/>
        </w:rPr>
        <w:t>While considering archaeological evidence within the framework of Section 45 of the Evidence Act and the court-ordered excavation in the context of the provisions of Rule 10A of Order XXVI of the CPC, it is nonetheless necessary for the court to appreciate both the strength and the limits of the discipline. Archaeology is no exception. A distinguished archaeologist, Sir Mortimer</w:t>
      </w:r>
      <w:r>
        <w:rPr>
          <w:spacing w:val="-15"/>
          <w:sz w:val="25"/>
        </w:rPr>
        <w:t> </w:t>
      </w:r>
      <w:r>
        <w:rPr>
          <w:sz w:val="25"/>
        </w:rPr>
        <w:t>Wheeler</w:t>
      </w:r>
    </w:p>
    <w:p>
      <w:pPr>
        <w:spacing w:after="0" w:line="480" w:lineRule="auto"/>
        <w:jc w:val="both"/>
        <w:rPr>
          <w:sz w:val="25"/>
        </w:rPr>
        <w:sectPr>
          <w:pgSz w:w="11910" w:h="16840"/>
          <w:pgMar w:header="721" w:footer="1014" w:top="1300" w:bottom="1200" w:left="940" w:right="1000"/>
        </w:sectPr>
      </w:pPr>
    </w:p>
    <w:p>
      <w:pPr>
        <w:pStyle w:val="BodyText"/>
        <w:spacing w:line="480" w:lineRule="auto" w:before="121"/>
        <w:ind w:left="500" w:right="433"/>
        <w:jc w:val="both"/>
      </w:pPr>
      <w:r>
        <w:rPr>
          <w:w w:val="99"/>
        </w:rPr>
        <w:t>su</w:t>
      </w:r>
      <w:r>
        <w:rPr>
          <w:spacing w:val="1"/>
          <w:w w:val="99"/>
        </w:rPr>
        <w:t>m</w:t>
      </w:r>
      <w:r>
        <w:rPr>
          <w:w w:val="99"/>
        </w:rPr>
        <w:t>m</w:t>
      </w:r>
      <w:r>
        <w:rPr>
          <w:spacing w:val="-1"/>
          <w:w w:val="99"/>
        </w:rPr>
        <w:t>a</w:t>
      </w:r>
      <w:r>
        <w:rPr>
          <w:w w:val="99"/>
        </w:rPr>
        <w:t>r</w:t>
      </w:r>
      <w:r>
        <w:rPr>
          <w:spacing w:val="-1"/>
          <w:w w:val="99"/>
        </w:rPr>
        <w:t>ise</w:t>
      </w:r>
      <w:r>
        <w:rPr>
          <w:w w:val="99"/>
        </w:rPr>
        <w:t>d</w:t>
      </w:r>
      <w:r>
        <w:rPr/>
        <w:t> </w:t>
      </w:r>
      <w:r>
        <w:rPr>
          <w:spacing w:val="-19"/>
        </w:rPr>
        <w:t> </w:t>
      </w:r>
      <w:r>
        <w:rPr>
          <w:w w:val="99"/>
        </w:rPr>
        <w:t>the</w:t>
      </w:r>
      <w:r>
        <w:rPr/>
        <w:t> </w:t>
      </w:r>
      <w:r>
        <w:rPr>
          <w:spacing w:val="-21"/>
        </w:rPr>
        <w:t> </w:t>
      </w:r>
      <w:r>
        <w:rPr>
          <w:spacing w:val="-1"/>
          <w:w w:val="99"/>
        </w:rPr>
        <w:t>e</w:t>
      </w:r>
      <w:r>
        <w:rPr>
          <w:spacing w:val="-3"/>
          <w:w w:val="99"/>
        </w:rPr>
        <w:t>x</w:t>
      </w:r>
      <w:r>
        <w:rPr>
          <w:spacing w:val="-1"/>
          <w:w w:val="99"/>
        </w:rPr>
        <w:t>p</w:t>
      </w:r>
      <w:r>
        <w:rPr>
          <w:w w:val="99"/>
        </w:rPr>
        <w:t>er</w:t>
      </w:r>
      <w:r>
        <w:rPr>
          <w:spacing w:val="-1"/>
          <w:w w:val="99"/>
        </w:rPr>
        <w:t>ienc</w:t>
      </w:r>
      <w:r>
        <w:rPr>
          <w:w w:val="99"/>
        </w:rPr>
        <w:t>e</w:t>
      </w:r>
      <w:r>
        <w:rPr/>
        <w:t> </w:t>
      </w:r>
      <w:r>
        <w:rPr>
          <w:spacing w:val="-19"/>
        </w:rPr>
        <w:t> </w:t>
      </w:r>
      <w:r>
        <w:rPr>
          <w:spacing w:val="-1"/>
          <w:w w:val="99"/>
        </w:rPr>
        <w:t>whic</w:t>
      </w:r>
      <w:r>
        <w:rPr>
          <w:w w:val="99"/>
        </w:rPr>
        <w:t>h</w:t>
      </w:r>
      <w:r>
        <w:rPr/>
        <w:t> </w:t>
      </w:r>
      <w:r>
        <w:rPr>
          <w:spacing w:val="-19"/>
        </w:rPr>
        <w:t> </w:t>
      </w:r>
      <w:r>
        <w:rPr>
          <w:spacing w:val="-1"/>
          <w:w w:val="99"/>
        </w:rPr>
        <w:t>h</w:t>
      </w:r>
      <w:r>
        <w:rPr>
          <w:w w:val="99"/>
        </w:rPr>
        <w:t>e</w:t>
      </w:r>
      <w:r>
        <w:rPr/>
        <w:t> </w:t>
      </w:r>
      <w:r>
        <w:rPr>
          <w:spacing w:val="-22"/>
        </w:rPr>
        <w:t> </w:t>
      </w:r>
      <w:r>
        <w:rPr>
          <w:spacing w:val="-1"/>
          <w:w w:val="99"/>
        </w:rPr>
        <w:t>g</w:t>
      </w:r>
      <w:r>
        <w:rPr>
          <w:w w:val="99"/>
        </w:rPr>
        <w:t>a</w:t>
      </w:r>
      <w:r>
        <w:rPr>
          <w:spacing w:val="-1"/>
          <w:w w:val="99"/>
        </w:rPr>
        <w:t>ine</w:t>
      </w:r>
      <w:r>
        <w:rPr>
          <w:w w:val="99"/>
        </w:rPr>
        <w:t>d,</w:t>
      </w:r>
      <w:r>
        <w:rPr/>
        <w:t> </w:t>
      </w:r>
      <w:r>
        <w:rPr>
          <w:spacing w:val="-19"/>
        </w:rPr>
        <w:t> </w:t>
      </w:r>
      <w:r>
        <w:rPr>
          <w:spacing w:val="-1"/>
          <w:w w:val="99"/>
        </w:rPr>
        <w:t>i</w:t>
      </w:r>
      <w:r>
        <w:rPr>
          <w:w w:val="99"/>
        </w:rPr>
        <w:t>n</w:t>
      </w:r>
      <w:r>
        <w:rPr/>
        <w:t> </w:t>
      </w:r>
      <w:r>
        <w:rPr>
          <w:spacing w:val="-19"/>
        </w:rPr>
        <w:t> </w:t>
      </w:r>
      <w:r>
        <w:rPr>
          <w:spacing w:val="-1"/>
          <w:w w:val="99"/>
        </w:rPr>
        <w:t>hi</w:t>
      </w:r>
      <w:r>
        <w:rPr>
          <w:w w:val="99"/>
        </w:rPr>
        <w:t>s</w:t>
      </w:r>
      <w:r>
        <w:rPr/>
        <w:t> </w:t>
      </w:r>
      <w:r>
        <w:rPr>
          <w:spacing w:val="-19"/>
        </w:rPr>
        <w:t> </w:t>
      </w:r>
      <w:r>
        <w:rPr>
          <w:spacing w:val="-1"/>
          <w:w w:val="99"/>
        </w:rPr>
        <w:t>w</w:t>
      </w:r>
      <w:r>
        <w:rPr>
          <w:spacing w:val="-3"/>
          <w:w w:val="99"/>
        </w:rPr>
        <w:t>o</w:t>
      </w:r>
      <w:r>
        <w:rPr>
          <w:w w:val="99"/>
        </w:rPr>
        <w:t>rk</w:t>
      </w:r>
      <w:r>
        <w:rPr/>
        <w:t> </w:t>
      </w:r>
      <w:r>
        <w:rPr>
          <w:spacing w:val="-20"/>
        </w:rPr>
        <w:t> </w:t>
      </w:r>
      <w:r>
        <w:rPr>
          <w:w w:val="99"/>
        </w:rPr>
        <w:t>titl</w:t>
      </w:r>
      <w:r>
        <w:rPr>
          <w:spacing w:val="-2"/>
          <w:w w:val="99"/>
        </w:rPr>
        <w:t>e</w:t>
      </w:r>
      <w:r>
        <w:rPr>
          <w:w w:val="99"/>
        </w:rPr>
        <w:t>d</w:t>
      </w:r>
      <w:r>
        <w:rPr/>
        <w:t> </w:t>
      </w:r>
      <w:r>
        <w:rPr>
          <w:spacing w:val="-19"/>
        </w:rPr>
        <w:t> </w:t>
      </w:r>
      <w:r>
        <w:rPr>
          <w:spacing w:val="10"/>
          <w:w w:val="33"/>
        </w:rPr>
        <w:t>―</w:t>
      </w:r>
      <w:r>
        <w:rPr>
          <w:b/>
          <w:spacing w:val="-8"/>
          <w:w w:val="99"/>
        </w:rPr>
        <w:t>A</w:t>
      </w:r>
      <w:r>
        <w:rPr>
          <w:b/>
          <w:spacing w:val="1"/>
          <w:w w:val="99"/>
        </w:rPr>
        <w:t>r</w:t>
      </w:r>
      <w:r>
        <w:rPr>
          <w:b/>
          <w:w w:val="99"/>
        </w:rPr>
        <w:t>c</w:t>
      </w:r>
      <w:r>
        <w:rPr>
          <w:b/>
          <w:spacing w:val="1"/>
          <w:w w:val="99"/>
        </w:rPr>
        <w:t>h</w:t>
      </w:r>
      <w:r>
        <w:rPr>
          <w:b/>
          <w:w w:val="99"/>
        </w:rPr>
        <w:t>ae</w:t>
      </w:r>
      <w:r>
        <w:rPr>
          <w:b/>
          <w:w w:val="99"/>
        </w:rPr>
        <w:t>ol</w:t>
      </w:r>
      <w:r>
        <w:rPr>
          <w:b/>
          <w:spacing w:val="1"/>
          <w:w w:val="99"/>
        </w:rPr>
        <w:t>o</w:t>
      </w:r>
      <w:r>
        <w:rPr>
          <w:b/>
          <w:spacing w:val="3"/>
          <w:w w:val="99"/>
        </w:rPr>
        <w:t>g</w:t>
      </w:r>
      <w:r>
        <w:rPr>
          <w:b/>
          <w:w w:val="99"/>
        </w:rPr>
        <w:t>y </w:t>
      </w:r>
      <w:r>
        <w:rPr>
          <w:b/>
        </w:rPr>
        <w:t>from the Earth</w:t>
      </w:r>
      <w:r>
        <w:rPr/>
        <w:t>‖</w:t>
      </w:r>
      <w:r>
        <w:rPr>
          <w:vertAlign w:val="superscript"/>
        </w:rPr>
        <w:t>283</w:t>
      </w:r>
      <w:r>
        <w:rPr>
          <w:vertAlign w:val="baseline"/>
        </w:rPr>
        <w:t>. Dealing with stratigraphy, Sir Mortimer</w:t>
      </w:r>
      <w:r>
        <w:rPr>
          <w:spacing w:val="-12"/>
          <w:vertAlign w:val="baseline"/>
        </w:rPr>
        <w:t> </w:t>
      </w:r>
      <w:r>
        <w:rPr>
          <w:vertAlign w:val="baseline"/>
        </w:rPr>
        <w:t>notes:</w:t>
      </w:r>
    </w:p>
    <w:p>
      <w:pPr>
        <w:spacing w:line="276" w:lineRule="auto" w:before="162"/>
        <w:ind w:left="1940" w:right="2260" w:firstLine="0"/>
        <w:jc w:val="both"/>
        <w:rPr>
          <w:sz w:val="21"/>
        </w:rPr>
      </w:pPr>
      <w:r>
        <w:rPr>
          <w:spacing w:val="-1"/>
          <w:w w:val="33"/>
          <w:sz w:val="21"/>
        </w:rPr>
        <w:t>―</w:t>
      </w:r>
      <w:r>
        <w:rPr>
          <w:spacing w:val="-1"/>
          <w:w w:val="100"/>
          <w:sz w:val="21"/>
        </w:rPr>
        <w:t>a</w:t>
      </w:r>
      <w:r>
        <w:rPr>
          <w:w w:val="100"/>
          <w:sz w:val="21"/>
        </w:rPr>
        <w:t>n</w:t>
      </w:r>
      <w:r>
        <w:rPr>
          <w:spacing w:val="8"/>
          <w:sz w:val="21"/>
        </w:rPr>
        <w:t> </w:t>
      </w:r>
      <w:r>
        <w:rPr>
          <w:spacing w:val="-1"/>
          <w:w w:val="100"/>
          <w:sz w:val="21"/>
        </w:rPr>
        <w:t>an</w:t>
      </w:r>
      <w:r>
        <w:rPr>
          <w:spacing w:val="-3"/>
          <w:w w:val="100"/>
          <w:sz w:val="21"/>
        </w:rPr>
        <w:t>c</w:t>
      </w:r>
      <w:r>
        <w:rPr>
          <w:w w:val="100"/>
          <w:sz w:val="21"/>
        </w:rPr>
        <w:t>i</w:t>
      </w:r>
      <w:r>
        <w:rPr>
          <w:spacing w:val="-1"/>
          <w:w w:val="100"/>
          <w:sz w:val="21"/>
        </w:rPr>
        <w:t>en</w:t>
      </w:r>
      <w:r>
        <w:rPr>
          <w:w w:val="100"/>
          <w:sz w:val="21"/>
        </w:rPr>
        <w:t>t</w:t>
      </w:r>
      <w:r>
        <w:rPr>
          <w:spacing w:val="7"/>
          <w:sz w:val="21"/>
        </w:rPr>
        <w:t> </w:t>
      </w:r>
      <w:r>
        <w:rPr>
          <w:spacing w:val="-3"/>
          <w:w w:val="100"/>
          <w:sz w:val="21"/>
        </w:rPr>
        <w:t>c</w:t>
      </w:r>
      <w:r>
        <w:rPr>
          <w:w w:val="100"/>
          <w:sz w:val="21"/>
        </w:rPr>
        <w:t>i</w:t>
      </w:r>
      <w:r>
        <w:rPr>
          <w:spacing w:val="-2"/>
          <w:w w:val="100"/>
          <w:sz w:val="21"/>
        </w:rPr>
        <w:t>t</w:t>
      </w:r>
      <w:r>
        <w:rPr>
          <w:w w:val="100"/>
          <w:sz w:val="21"/>
        </w:rPr>
        <w:t>y</w:t>
      </w:r>
      <w:r>
        <w:rPr>
          <w:spacing w:val="6"/>
          <w:sz w:val="21"/>
        </w:rPr>
        <w:t> </w:t>
      </w:r>
      <w:r>
        <w:rPr>
          <w:w w:val="100"/>
          <w:sz w:val="21"/>
        </w:rPr>
        <w:t>in</w:t>
      </w:r>
      <w:r>
        <w:rPr>
          <w:spacing w:val="8"/>
          <w:sz w:val="21"/>
        </w:rPr>
        <w:t> </w:t>
      </w:r>
      <w:r>
        <w:rPr>
          <w:spacing w:val="-2"/>
          <w:w w:val="100"/>
          <w:sz w:val="21"/>
        </w:rPr>
        <w:t>t</w:t>
      </w:r>
      <w:r>
        <w:rPr>
          <w:spacing w:val="-1"/>
          <w:w w:val="100"/>
          <w:sz w:val="21"/>
        </w:rPr>
        <w:t>h</w:t>
      </w:r>
      <w:r>
        <w:rPr>
          <w:w w:val="100"/>
          <w:sz w:val="21"/>
        </w:rPr>
        <w:t>e</w:t>
      </w:r>
      <w:r>
        <w:rPr>
          <w:spacing w:val="8"/>
          <w:sz w:val="21"/>
        </w:rPr>
        <w:t> </w:t>
      </w:r>
      <w:r>
        <w:rPr>
          <w:w w:val="100"/>
          <w:sz w:val="21"/>
        </w:rPr>
        <w:t>E</w:t>
      </w:r>
      <w:r>
        <w:rPr>
          <w:spacing w:val="-1"/>
          <w:w w:val="100"/>
          <w:sz w:val="21"/>
        </w:rPr>
        <w:t>a</w:t>
      </w:r>
      <w:r>
        <w:rPr>
          <w:spacing w:val="-3"/>
          <w:w w:val="100"/>
          <w:sz w:val="21"/>
        </w:rPr>
        <w:t>s</w:t>
      </w:r>
      <w:r>
        <w:rPr>
          <w:w w:val="100"/>
          <w:sz w:val="21"/>
        </w:rPr>
        <w:t>t</w:t>
      </w:r>
      <w:r>
        <w:rPr>
          <w:spacing w:val="7"/>
          <w:sz w:val="21"/>
        </w:rPr>
        <w:t> </w:t>
      </w:r>
      <w:r>
        <w:rPr>
          <w:w w:val="100"/>
          <w:sz w:val="21"/>
        </w:rPr>
        <w:t>is</w:t>
      </w:r>
      <w:r>
        <w:rPr>
          <w:spacing w:val="8"/>
          <w:sz w:val="21"/>
        </w:rPr>
        <w:t> </w:t>
      </w:r>
      <w:r>
        <w:rPr>
          <w:spacing w:val="-1"/>
          <w:w w:val="100"/>
          <w:sz w:val="21"/>
        </w:rPr>
        <w:t>ne</w:t>
      </w:r>
      <w:r>
        <w:rPr>
          <w:spacing w:val="-3"/>
          <w:w w:val="100"/>
          <w:sz w:val="21"/>
        </w:rPr>
        <w:t>v</w:t>
      </w:r>
      <w:r>
        <w:rPr>
          <w:spacing w:val="-1"/>
          <w:w w:val="100"/>
          <w:sz w:val="21"/>
        </w:rPr>
        <w:t>e</w:t>
      </w:r>
      <w:r>
        <w:rPr>
          <w:w w:val="100"/>
          <w:sz w:val="21"/>
        </w:rPr>
        <w:t>r</w:t>
      </w:r>
      <w:r>
        <w:rPr>
          <w:spacing w:val="8"/>
          <w:sz w:val="21"/>
        </w:rPr>
        <w:t> </w:t>
      </w:r>
      <w:r>
        <w:rPr>
          <w:w w:val="100"/>
          <w:sz w:val="21"/>
        </w:rPr>
        <w:t>l</w:t>
      </w:r>
      <w:r>
        <w:rPr>
          <w:spacing w:val="-1"/>
          <w:w w:val="100"/>
          <w:sz w:val="21"/>
        </w:rPr>
        <w:t>e</w:t>
      </w:r>
      <w:r>
        <w:rPr>
          <w:spacing w:val="-3"/>
          <w:w w:val="100"/>
          <w:sz w:val="21"/>
        </w:rPr>
        <w:t>v</w:t>
      </w:r>
      <w:r>
        <w:rPr>
          <w:spacing w:val="-1"/>
          <w:w w:val="100"/>
          <w:sz w:val="21"/>
        </w:rPr>
        <w:t>e</w:t>
      </w:r>
      <w:r>
        <w:rPr>
          <w:spacing w:val="1"/>
          <w:w w:val="100"/>
          <w:sz w:val="21"/>
        </w:rPr>
        <w:t>l</w:t>
      </w:r>
      <w:r>
        <w:rPr>
          <w:w w:val="100"/>
          <w:sz w:val="21"/>
        </w:rPr>
        <w:t>.</w:t>
      </w:r>
      <w:r>
        <w:rPr>
          <w:spacing w:val="7"/>
          <w:sz w:val="21"/>
        </w:rPr>
        <w:t> </w:t>
      </w:r>
      <w:r>
        <w:rPr>
          <w:w w:val="100"/>
          <w:sz w:val="21"/>
        </w:rPr>
        <w:t>V</w:t>
      </w:r>
      <w:r>
        <w:rPr>
          <w:spacing w:val="-1"/>
          <w:w w:val="100"/>
          <w:sz w:val="21"/>
        </w:rPr>
        <w:t>er</w:t>
      </w:r>
      <w:r>
        <w:rPr>
          <w:w w:val="100"/>
          <w:sz w:val="21"/>
        </w:rPr>
        <w:t>y</w:t>
      </w:r>
      <w:r>
        <w:rPr>
          <w:spacing w:val="5"/>
          <w:sz w:val="21"/>
        </w:rPr>
        <w:t> </w:t>
      </w:r>
      <w:r>
        <w:rPr>
          <w:spacing w:val="-1"/>
          <w:w w:val="100"/>
          <w:sz w:val="21"/>
        </w:rPr>
        <w:t>rare</w:t>
      </w:r>
      <w:r>
        <w:rPr>
          <w:spacing w:val="-2"/>
          <w:w w:val="100"/>
          <w:sz w:val="21"/>
        </w:rPr>
        <w:t>l</w:t>
      </w:r>
      <w:r>
        <w:rPr>
          <w:w w:val="100"/>
          <w:sz w:val="21"/>
        </w:rPr>
        <w:t>y</w:t>
      </w:r>
      <w:r>
        <w:rPr>
          <w:spacing w:val="6"/>
          <w:sz w:val="21"/>
        </w:rPr>
        <w:t> </w:t>
      </w:r>
      <w:r>
        <w:rPr>
          <w:w w:val="100"/>
          <w:sz w:val="21"/>
        </w:rPr>
        <w:t>is</w:t>
      </w:r>
      <w:r>
        <w:rPr>
          <w:spacing w:val="8"/>
          <w:sz w:val="21"/>
        </w:rPr>
        <w:t> </w:t>
      </w:r>
      <w:r>
        <w:rPr>
          <w:w w:val="100"/>
          <w:sz w:val="21"/>
        </w:rPr>
        <w:t>a</w:t>
      </w:r>
      <w:r>
        <w:rPr>
          <w:spacing w:val="8"/>
          <w:sz w:val="21"/>
        </w:rPr>
        <w:t> </w:t>
      </w:r>
      <w:r>
        <w:rPr>
          <w:w w:val="100"/>
          <w:sz w:val="21"/>
        </w:rPr>
        <w:t>ci</w:t>
      </w:r>
      <w:r>
        <w:rPr>
          <w:spacing w:val="-2"/>
          <w:w w:val="100"/>
          <w:sz w:val="21"/>
        </w:rPr>
        <w:t>t</w:t>
      </w:r>
      <w:r>
        <w:rPr>
          <w:w w:val="100"/>
          <w:sz w:val="21"/>
        </w:rPr>
        <w:t>y </w:t>
      </w:r>
      <w:r>
        <w:rPr>
          <w:sz w:val="21"/>
        </w:rPr>
        <w:t>completely destroyed and completely rebuilt at one moment and at one horizon. Normally, a house is reconstructed or replaced as it decays, or at the whim of its owner. The town as a whole is constantly in a state of differential destruction and construction. Individual building sites rise above their neighbours; the town-site itself rises and assumes the contour of a hill; buildings on its slopes are contemporary with buildings on its summit. A doorway or a potsherd may be found at one spot 10 feet below a doorway or a potsherd of precisely the same date at another</w:t>
      </w:r>
      <w:r>
        <w:rPr>
          <w:spacing w:val="-18"/>
          <w:sz w:val="21"/>
        </w:rPr>
        <w:t> </w:t>
      </w:r>
      <w:r>
        <w:rPr>
          <w:sz w:val="21"/>
        </w:rPr>
        <w:t>spot.‖</w:t>
      </w:r>
    </w:p>
    <w:p>
      <w:pPr>
        <w:pStyle w:val="BodyText"/>
        <w:rPr>
          <w:sz w:val="24"/>
        </w:rPr>
      </w:pPr>
    </w:p>
    <w:p>
      <w:pPr>
        <w:pStyle w:val="BodyText"/>
        <w:spacing w:line="480" w:lineRule="auto" w:before="209"/>
        <w:ind w:left="500" w:right="434"/>
        <w:jc w:val="both"/>
      </w:pPr>
      <w:r>
        <w:rPr/>
        <w:t>Excavation in layers is in and of itself a complex exercise. Interpreting the findings in turn involves navigating through layered complexities. Sir Mortimer notes:</w:t>
      </w:r>
    </w:p>
    <w:p>
      <w:pPr>
        <w:spacing w:line="276" w:lineRule="auto" w:before="0"/>
        <w:ind w:left="1940" w:right="2259" w:firstLine="0"/>
        <w:jc w:val="both"/>
        <w:rPr>
          <w:sz w:val="21"/>
        </w:rPr>
      </w:pPr>
      <w:r>
        <w:rPr>
          <w:spacing w:val="-6"/>
          <w:w w:val="33"/>
          <w:sz w:val="21"/>
        </w:rPr>
        <w:t>―</w:t>
      </w:r>
      <w:r>
        <w:rPr>
          <w:spacing w:val="6"/>
          <w:w w:val="100"/>
          <w:sz w:val="21"/>
        </w:rPr>
        <w:t>W</w:t>
      </w:r>
      <w:r>
        <w:rPr>
          <w:spacing w:val="-3"/>
          <w:w w:val="100"/>
          <w:sz w:val="21"/>
        </w:rPr>
        <w:t>e</w:t>
      </w:r>
      <w:r>
        <w:rPr>
          <w:spacing w:val="-2"/>
          <w:w w:val="100"/>
          <w:sz w:val="21"/>
        </w:rPr>
        <w:t>l</w:t>
      </w:r>
      <w:r>
        <w:rPr>
          <w:w w:val="100"/>
          <w:sz w:val="21"/>
        </w:rPr>
        <w:t>l,</w:t>
      </w:r>
      <w:r>
        <w:rPr>
          <w:spacing w:val="29"/>
          <w:sz w:val="21"/>
        </w:rPr>
        <w:t> </w:t>
      </w:r>
      <w:r>
        <w:rPr>
          <w:spacing w:val="-2"/>
          <w:w w:val="100"/>
          <w:sz w:val="21"/>
        </w:rPr>
        <w:t>t</w:t>
      </w:r>
      <w:r>
        <w:rPr>
          <w:spacing w:val="-1"/>
          <w:w w:val="100"/>
          <w:sz w:val="21"/>
        </w:rPr>
        <w:t>her</w:t>
      </w:r>
      <w:r>
        <w:rPr>
          <w:w w:val="100"/>
          <w:sz w:val="21"/>
        </w:rPr>
        <w:t>e</w:t>
      </w:r>
      <w:r>
        <w:rPr>
          <w:sz w:val="21"/>
        </w:rPr>
        <w:t> </w:t>
      </w:r>
      <w:r>
        <w:rPr>
          <w:spacing w:val="-29"/>
          <w:sz w:val="21"/>
        </w:rPr>
        <w:t> </w:t>
      </w:r>
      <w:r>
        <w:rPr>
          <w:spacing w:val="-1"/>
          <w:w w:val="100"/>
          <w:sz w:val="21"/>
        </w:rPr>
        <w:t>ar</w:t>
      </w:r>
      <w:r>
        <w:rPr>
          <w:w w:val="100"/>
          <w:sz w:val="21"/>
        </w:rPr>
        <w:t>e</w:t>
      </w:r>
      <w:r>
        <w:rPr>
          <w:sz w:val="21"/>
        </w:rPr>
        <w:t> </w:t>
      </w:r>
      <w:r>
        <w:rPr>
          <w:spacing w:val="-29"/>
          <w:sz w:val="21"/>
        </w:rPr>
        <w:t> </w:t>
      </w:r>
      <w:r>
        <w:rPr>
          <w:spacing w:val="-1"/>
          <w:w w:val="100"/>
          <w:sz w:val="21"/>
        </w:rPr>
        <w:t>ex</w:t>
      </w:r>
      <w:r>
        <w:rPr>
          <w:spacing w:val="-3"/>
          <w:w w:val="100"/>
          <w:sz w:val="21"/>
        </w:rPr>
        <w:t>a</w:t>
      </w:r>
      <w:r>
        <w:rPr>
          <w:spacing w:val="-1"/>
          <w:w w:val="100"/>
          <w:sz w:val="21"/>
        </w:rPr>
        <w:t>mp</w:t>
      </w:r>
      <w:r>
        <w:rPr>
          <w:spacing w:val="-2"/>
          <w:w w:val="100"/>
          <w:sz w:val="21"/>
        </w:rPr>
        <w:t>l</w:t>
      </w:r>
      <w:r>
        <w:rPr>
          <w:spacing w:val="-3"/>
          <w:w w:val="100"/>
          <w:sz w:val="21"/>
        </w:rPr>
        <w:t>e</w:t>
      </w:r>
      <w:r>
        <w:rPr>
          <w:w w:val="100"/>
          <w:sz w:val="21"/>
        </w:rPr>
        <w:t>s</w:t>
      </w:r>
      <w:r>
        <w:rPr>
          <w:sz w:val="21"/>
        </w:rPr>
        <w:t> </w:t>
      </w:r>
      <w:r>
        <w:rPr>
          <w:spacing w:val="-29"/>
          <w:sz w:val="21"/>
        </w:rPr>
        <w:t> </w:t>
      </w:r>
      <w:r>
        <w:rPr>
          <w:spacing w:val="-1"/>
          <w:w w:val="100"/>
          <w:sz w:val="21"/>
        </w:rPr>
        <w:t>o</w:t>
      </w:r>
      <w:r>
        <w:rPr>
          <w:w w:val="100"/>
          <w:sz w:val="21"/>
        </w:rPr>
        <w:t>f</w:t>
      </w:r>
      <w:r>
        <w:rPr>
          <w:sz w:val="21"/>
        </w:rPr>
        <w:t> </w:t>
      </w:r>
      <w:r>
        <w:rPr>
          <w:spacing w:val="-27"/>
          <w:sz w:val="21"/>
        </w:rPr>
        <w:t> </w:t>
      </w:r>
      <w:r>
        <w:rPr>
          <w:spacing w:val="-3"/>
          <w:w w:val="100"/>
          <w:sz w:val="21"/>
        </w:rPr>
        <w:t>v</w:t>
      </w:r>
      <w:r>
        <w:rPr>
          <w:spacing w:val="-1"/>
          <w:w w:val="100"/>
          <w:sz w:val="21"/>
        </w:rPr>
        <w:t>ari</w:t>
      </w:r>
      <w:r>
        <w:rPr>
          <w:w w:val="100"/>
          <w:sz w:val="21"/>
        </w:rPr>
        <w:t>o</w:t>
      </w:r>
      <w:r>
        <w:rPr>
          <w:spacing w:val="-1"/>
          <w:w w:val="100"/>
          <w:sz w:val="21"/>
        </w:rPr>
        <w:t>u</w:t>
      </w:r>
      <w:r>
        <w:rPr>
          <w:w w:val="100"/>
          <w:sz w:val="21"/>
        </w:rPr>
        <w:t>s</w:t>
      </w:r>
      <w:r>
        <w:rPr>
          <w:spacing w:val="27"/>
          <w:sz w:val="21"/>
        </w:rPr>
        <w:t> </w:t>
      </w:r>
      <w:r>
        <w:rPr>
          <w:w w:val="100"/>
          <w:sz w:val="21"/>
        </w:rPr>
        <w:t>ki</w:t>
      </w:r>
      <w:r>
        <w:rPr>
          <w:spacing w:val="-1"/>
          <w:w w:val="100"/>
          <w:sz w:val="21"/>
        </w:rPr>
        <w:t>n</w:t>
      </w:r>
      <w:r>
        <w:rPr>
          <w:spacing w:val="-3"/>
          <w:w w:val="100"/>
          <w:sz w:val="21"/>
        </w:rPr>
        <w:t>d</w:t>
      </w:r>
      <w:r>
        <w:rPr>
          <w:w w:val="100"/>
          <w:sz w:val="21"/>
        </w:rPr>
        <w:t>s</w:t>
      </w:r>
      <w:r>
        <w:rPr>
          <w:sz w:val="21"/>
        </w:rPr>
        <w:t> </w:t>
      </w:r>
      <w:r>
        <w:rPr>
          <w:spacing w:val="-29"/>
          <w:sz w:val="21"/>
        </w:rPr>
        <w:t> </w:t>
      </w:r>
      <w:r>
        <w:rPr>
          <w:spacing w:val="-1"/>
          <w:w w:val="100"/>
          <w:sz w:val="21"/>
        </w:rPr>
        <w:t>o</w:t>
      </w:r>
      <w:r>
        <w:rPr>
          <w:w w:val="100"/>
          <w:sz w:val="21"/>
        </w:rPr>
        <w:t>f</w:t>
      </w:r>
      <w:r>
        <w:rPr>
          <w:sz w:val="21"/>
        </w:rPr>
        <w:t> </w:t>
      </w:r>
      <w:r>
        <w:rPr>
          <w:spacing w:val="-27"/>
          <w:sz w:val="21"/>
        </w:rPr>
        <w:t> </w:t>
      </w:r>
      <w:r>
        <w:rPr>
          <w:w w:val="100"/>
          <w:sz w:val="21"/>
        </w:rPr>
        <w:t>s</w:t>
      </w:r>
      <w:r>
        <w:rPr>
          <w:spacing w:val="-2"/>
          <w:w w:val="100"/>
          <w:sz w:val="21"/>
        </w:rPr>
        <w:t>t</w:t>
      </w:r>
      <w:r>
        <w:rPr>
          <w:spacing w:val="-1"/>
          <w:w w:val="100"/>
          <w:sz w:val="21"/>
        </w:rPr>
        <w:t>r</w:t>
      </w:r>
      <w:r>
        <w:rPr>
          <w:spacing w:val="-3"/>
          <w:w w:val="100"/>
          <w:sz w:val="21"/>
        </w:rPr>
        <w:t>a</w:t>
      </w:r>
      <w:r>
        <w:rPr>
          <w:spacing w:val="-2"/>
          <w:w w:val="100"/>
          <w:sz w:val="21"/>
        </w:rPr>
        <w:t>t</w:t>
      </w:r>
      <w:r>
        <w:rPr>
          <w:w w:val="100"/>
          <w:sz w:val="21"/>
        </w:rPr>
        <w:t>i</w:t>
      </w:r>
      <w:r>
        <w:rPr>
          <w:spacing w:val="-1"/>
          <w:w w:val="100"/>
          <w:sz w:val="21"/>
        </w:rPr>
        <w:t>grap</w:t>
      </w:r>
      <w:r>
        <w:rPr>
          <w:spacing w:val="-3"/>
          <w:w w:val="100"/>
          <w:sz w:val="21"/>
        </w:rPr>
        <w:t>h</w:t>
      </w:r>
      <w:r>
        <w:rPr>
          <w:w w:val="100"/>
          <w:sz w:val="21"/>
        </w:rPr>
        <w:t>i</w:t>
      </w:r>
      <w:r>
        <w:rPr>
          <w:spacing w:val="-3"/>
          <w:w w:val="100"/>
          <w:sz w:val="21"/>
        </w:rPr>
        <w:t>c</w:t>
      </w:r>
      <w:r>
        <w:rPr>
          <w:spacing w:val="-1"/>
          <w:w w:val="100"/>
          <w:sz w:val="21"/>
        </w:rPr>
        <w:t>al </w:t>
      </w:r>
      <w:r>
        <w:rPr>
          <w:sz w:val="21"/>
        </w:rPr>
        <w:t>evidence: of layers that are contemporary with one another, layers that are separated by greater or lesser time-intervals, layers that have accumulated in unbroken succession. The reading of a section is the reading of a language that can only be learned by demonstration and experience. A word of advice to the student. However practiced, do not read too hastily. Be your own devil‘s advocate before passing judgment. And, wherever possible, discuss your diagnosis with others – with colleagues, with pupils, with your foreman. </w:t>
      </w:r>
      <w:r>
        <w:rPr>
          <w:spacing w:val="-1"/>
          <w:w w:val="100"/>
          <w:sz w:val="21"/>
        </w:rPr>
        <w:t>(</w:t>
      </w:r>
      <w:r>
        <w:rPr>
          <w:w w:val="40"/>
          <w:sz w:val="21"/>
        </w:rPr>
        <w:t>‗</w:t>
      </w:r>
      <w:r>
        <w:rPr>
          <w:w w:val="100"/>
          <w:sz w:val="21"/>
        </w:rPr>
        <w:t>T</w:t>
      </w:r>
      <w:r>
        <w:rPr>
          <w:spacing w:val="-2"/>
          <w:w w:val="100"/>
          <w:sz w:val="21"/>
        </w:rPr>
        <w:t>h</w:t>
      </w:r>
      <w:r>
        <w:rPr>
          <w:w w:val="100"/>
          <w:sz w:val="21"/>
        </w:rPr>
        <w:t>e</w:t>
      </w:r>
      <w:r>
        <w:rPr>
          <w:sz w:val="21"/>
        </w:rPr>
        <w:t> </w:t>
      </w:r>
      <w:r>
        <w:rPr>
          <w:spacing w:val="17"/>
          <w:sz w:val="21"/>
        </w:rPr>
        <w:t> </w:t>
      </w:r>
      <w:r>
        <w:rPr>
          <w:spacing w:val="-2"/>
          <w:w w:val="100"/>
          <w:sz w:val="21"/>
        </w:rPr>
        <w:t>t</w:t>
      </w:r>
      <w:r>
        <w:rPr>
          <w:spacing w:val="-1"/>
          <w:w w:val="100"/>
          <w:sz w:val="21"/>
        </w:rPr>
        <w:t>est</w:t>
      </w:r>
      <w:r>
        <w:rPr>
          <w:spacing w:val="-2"/>
          <w:w w:val="100"/>
          <w:sz w:val="21"/>
        </w:rPr>
        <w:t>i</w:t>
      </w:r>
      <w:r>
        <w:rPr>
          <w:spacing w:val="1"/>
          <w:w w:val="100"/>
          <w:sz w:val="21"/>
        </w:rPr>
        <w:t>m</w:t>
      </w:r>
      <w:r>
        <w:rPr>
          <w:spacing w:val="-3"/>
          <w:w w:val="100"/>
          <w:sz w:val="21"/>
        </w:rPr>
        <w:t>o</w:t>
      </w:r>
      <w:r>
        <w:rPr>
          <w:spacing w:val="-1"/>
          <w:w w:val="100"/>
          <w:sz w:val="21"/>
        </w:rPr>
        <w:t>n</w:t>
      </w:r>
      <w:r>
        <w:rPr>
          <w:w w:val="100"/>
          <w:sz w:val="21"/>
        </w:rPr>
        <w:t>y</w:t>
      </w:r>
      <w:r>
        <w:rPr>
          <w:sz w:val="21"/>
        </w:rPr>
        <w:t> </w:t>
      </w:r>
      <w:r>
        <w:rPr>
          <w:spacing w:val="15"/>
          <w:sz w:val="21"/>
        </w:rPr>
        <w:t> </w:t>
      </w:r>
      <w:r>
        <w:rPr>
          <w:spacing w:val="-1"/>
          <w:w w:val="100"/>
          <w:sz w:val="21"/>
        </w:rPr>
        <w:t>o</w:t>
      </w:r>
      <w:r>
        <w:rPr>
          <w:w w:val="100"/>
          <w:sz w:val="21"/>
        </w:rPr>
        <w:t>f</w:t>
      </w:r>
      <w:r>
        <w:rPr>
          <w:sz w:val="21"/>
        </w:rPr>
        <w:t> </w:t>
      </w:r>
      <w:r>
        <w:rPr>
          <w:spacing w:val="18"/>
          <w:sz w:val="21"/>
        </w:rPr>
        <w:t> </w:t>
      </w:r>
      <w:r>
        <w:rPr>
          <w:spacing w:val="-1"/>
          <w:w w:val="100"/>
          <w:sz w:val="21"/>
        </w:rPr>
        <w:t>o</w:t>
      </w:r>
      <w:r>
        <w:rPr>
          <w:spacing w:val="-3"/>
          <w:w w:val="100"/>
          <w:sz w:val="21"/>
        </w:rPr>
        <w:t>n</w:t>
      </w:r>
      <w:r>
        <w:rPr>
          <w:w w:val="100"/>
          <w:sz w:val="21"/>
        </w:rPr>
        <w:t>e</w:t>
      </w:r>
      <w:r>
        <w:rPr>
          <w:sz w:val="21"/>
        </w:rPr>
        <w:t> </w:t>
      </w:r>
      <w:r>
        <w:rPr>
          <w:spacing w:val="17"/>
          <w:sz w:val="21"/>
        </w:rPr>
        <w:t> </w:t>
      </w:r>
      <w:r>
        <w:rPr>
          <w:spacing w:val="-1"/>
          <w:w w:val="100"/>
          <w:sz w:val="21"/>
        </w:rPr>
        <w:t>perso</w:t>
      </w:r>
      <w:r>
        <w:rPr>
          <w:w w:val="100"/>
          <w:sz w:val="21"/>
        </w:rPr>
        <w:t>n</w:t>
      </w:r>
      <w:r>
        <w:rPr>
          <w:sz w:val="21"/>
        </w:rPr>
        <w:t> </w:t>
      </w:r>
      <w:r>
        <w:rPr>
          <w:spacing w:val="15"/>
          <w:sz w:val="21"/>
        </w:rPr>
        <w:t> </w:t>
      </w:r>
      <w:r>
        <w:rPr>
          <w:w w:val="100"/>
          <w:sz w:val="21"/>
        </w:rPr>
        <w:t>is</w:t>
      </w:r>
      <w:r>
        <w:rPr>
          <w:sz w:val="21"/>
        </w:rPr>
        <w:t> </w:t>
      </w:r>
      <w:r>
        <w:rPr>
          <w:spacing w:val="17"/>
          <w:sz w:val="21"/>
        </w:rPr>
        <w:t> </w:t>
      </w:r>
      <w:r>
        <w:rPr>
          <w:spacing w:val="-1"/>
          <w:w w:val="100"/>
          <w:sz w:val="21"/>
        </w:rPr>
        <w:t>n</w:t>
      </w:r>
      <w:r>
        <w:rPr>
          <w:w w:val="100"/>
          <w:sz w:val="21"/>
        </w:rPr>
        <w:t>o</w:t>
      </w:r>
      <w:r>
        <w:rPr>
          <w:sz w:val="21"/>
        </w:rPr>
        <w:t> </w:t>
      </w:r>
      <w:r>
        <w:rPr>
          <w:spacing w:val="17"/>
          <w:sz w:val="21"/>
        </w:rPr>
        <w:t> </w:t>
      </w:r>
      <w:r>
        <w:rPr>
          <w:spacing w:val="-2"/>
          <w:w w:val="100"/>
          <w:sz w:val="21"/>
        </w:rPr>
        <w:t>t</w:t>
      </w:r>
      <w:r>
        <w:rPr>
          <w:spacing w:val="-3"/>
          <w:w w:val="100"/>
          <w:sz w:val="21"/>
        </w:rPr>
        <w:t>e</w:t>
      </w:r>
      <w:r>
        <w:rPr>
          <w:w w:val="100"/>
          <w:sz w:val="21"/>
        </w:rPr>
        <w:t>s</w:t>
      </w:r>
      <w:r>
        <w:rPr>
          <w:spacing w:val="-2"/>
          <w:w w:val="100"/>
          <w:sz w:val="21"/>
        </w:rPr>
        <w:t>ti</w:t>
      </w:r>
      <w:r>
        <w:rPr>
          <w:spacing w:val="1"/>
          <w:w w:val="100"/>
          <w:sz w:val="21"/>
        </w:rPr>
        <w:t>m</w:t>
      </w:r>
      <w:r>
        <w:rPr>
          <w:spacing w:val="-3"/>
          <w:w w:val="100"/>
          <w:sz w:val="21"/>
        </w:rPr>
        <w:t>o</w:t>
      </w:r>
      <w:r>
        <w:rPr>
          <w:spacing w:val="-1"/>
          <w:w w:val="100"/>
          <w:sz w:val="21"/>
        </w:rPr>
        <w:t>n</w:t>
      </w:r>
      <w:r>
        <w:rPr>
          <w:spacing w:val="-3"/>
          <w:w w:val="100"/>
          <w:sz w:val="21"/>
        </w:rPr>
        <w:t>y</w:t>
      </w:r>
      <w:r>
        <w:rPr>
          <w:w w:val="100"/>
          <w:sz w:val="21"/>
        </w:rPr>
        <w:t>;</w:t>
      </w:r>
      <w:r>
        <w:rPr>
          <w:sz w:val="21"/>
        </w:rPr>
        <w:t> </w:t>
      </w:r>
      <w:r>
        <w:rPr>
          <w:spacing w:val="18"/>
          <w:sz w:val="21"/>
        </w:rPr>
        <w:t> </w:t>
      </w:r>
      <w:r>
        <w:rPr>
          <w:spacing w:val="-1"/>
          <w:w w:val="100"/>
          <w:sz w:val="21"/>
        </w:rPr>
        <w:t>declar</w:t>
      </w:r>
      <w:r>
        <w:rPr>
          <w:spacing w:val="-3"/>
          <w:w w:val="100"/>
          <w:sz w:val="21"/>
        </w:rPr>
        <w:t>e</w:t>
      </w:r>
      <w:r>
        <w:rPr>
          <w:w w:val="100"/>
          <w:sz w:val="21"/>
        </w:rPr>
        <w:t>s </w:t>
      </w:r>
      <w:r>
        <w:rPr>
          <w:sz w:val="21"/>
        </w:rPr>
        <w:t>Hywel Dda, the wise Welsh law-giver.) Be humble. Do not </w:t>
      </w:r>
      <w:r>
        <w:rPr>
          <w:w w:val="100"/>
          <w:sz w:val="21"/>
        </w:rPr>
        <w:t>i</w:t>
      </w:r>
      <w:r>
        <w:rPr>
          <w:spacing w:val="-1"/>
          <w:w w:val="100"/>
          <w:sz w:val="21"/>
        </w:rPr>
        <w:t>g</w:t>
      </w:r>
      <w:r>
        <w:rPr>
          <w:spacing w:val="-3"/>
          <w:w w:val="100"/>
          <w:sz w:val="21"/>
        </w:rPr>
        <w:t>n</w:t>
      </w:r>
      <w:r>
        <w:rPr>
          <w:spacing w:val="-1"/>
          <w:w w:val="100"/>
          <w:sz w:val="21"/>
        </w:rPr>
        <w:t>or</w:t>
      </w:r>
      <w:r>
        <w:rPr>
          <w:w w:val="100"/>
          <w:sz w:val="21"/>
        </w:rPr>
        <w:t>e</w:t>
      </w:r>
      <w:r>
        <w:rPr>
          <w:sz w:val="21"/>
        </w:rPr>
        <w:t> </w:t>
      </w:r>
      <w:r>
        <w:rPr>
          <w:spacing w:val="-19"/>
          <w:sz w:val="21"/>
        </w:rPr>
        <w:t> </w:t>
      </w:r>
      <w:r>
        <w:rPr>
          <w:spacing w:val="-2"/>
          <w:w w:val="100"/>
          <w:sz w:val="21"/>
        </w:rPr>
        <w:t>t</w:t>
      </w:r>
      <w:r>
        <w:rPr>
          <w:spacing w:val="-1"/>
          <w:w w:val="100"/>
          <w:sz w:val="21"/>
        </w:rPr>
        <w:t>h</w:t>
      </w:r>
      <w:r>
        <w:rPr>
          <w:w w:val="100"/>
          <w:sz w:val="21"/>
        </w:rPr>
        <w:t>e</w:t>
      </w:r>
      <w:r>
        <w:rPr>
          <w:sz w:val="21"/>
        </w:rPr>
        <w:t> </w:t>
      </w:r>
      <w:r>
        <w:rPr>
          <w:spacing w:val="-19"/>
          <w:sz w:val="21"/>
        </w:rPr>
        <w:t> </w:t>
      </w:r>
      <w:r>
        <w:rPr>
          <w:spacing w:val="-3"/>
          <w:w w:val="100"/>
          <w:sz w:val="21"/>
        </w:rPr>
        <w:t>o</w:t>
      </w:r>
      <w:r>
        <w:rPr>
          <w:spacing w:val="-1"/>
          <w:w w:val="100"/>
          <w:sz w:val="21"/>
        </w:rPr>
        <w:t>p</w:t>
      </w:r>
      <w:r>
        <w:rPr>
          <w:spacing w:val="-2"/>
          <w:w w:val="100"/>
          <w:sz w:val="21"/>
        </w:rPr>
        <w:t>i</w:t>
      </w:r>
      <w:r>
        <w:rPr>
          <w:spacing w:val="-1"/>
          <w:w w:val="100"/>
          <w:sz w:val="21"/>
        </w:rPr>
        <w:t>n</w:t>
      </w:r>
      <w:r>
        <w:rPr>
          <w:spacing w:val="-2"/>
          <w:w w:val="100"/>
          <w:sz w:val="21"/>
        </w:rPr>
        <w:t>i</w:t>
      </w:r>
      <w:r>
        <w:rPr>
          <w:spacing w:val="-1"/>
          <w:w w:val="100"/>
          <w:sz w:val="21"/>
        </w:rPr>
        <w:t>o</w:t>
      </w:r>
      <w:r>
        <w:rPr>
          <w:w w:val="100"/>
          <w:sz w:val="21"/>
        </w:rPr>
        <w:t>n</w:t>
      </w:r>
      <w:r>
        <w:rPr>
          <w:sz w:val="21"/>
        </w:rPr>
        <w:t> </w:t>
      </w:r>
      <w:r>
        <w:rPr>
          <w:spacing w:val="-19"/>
          <w:sz w:val="21"/>
        </w:rPr>
        <w:t> </w:t>
      </w:r>
      <w:r>
        <w:rPr>
          <w:spacing w:val="-3"/>
          <w:w w:val="100"/>
          <w:sz w:val="21"/>
        </w:rPr>
        <w:t>o</w:t>
      </w:r>
      <w:r>
        <w:rPr>
          <w:w w:val="100"/>
          <w:sz w:val="21"/>
        </w:rPr>
        <w:t>f</w:t>
      </w:r>
      <w:r>
        <w:rPr>
          <w:sz w:val="21"/>
        </w:rPr>
        <w:t> </w:t>
      </w:r>
      <w:r>
        <w:rPr>
          <w:spacing w:val="-18"/>
          <w:sz w:val="21"/>
        </w:rPr>
        <w:t> </w:t>
      </w:r>
      <w:r>
        <w:rPr>
          <w:spacing w:val="-2"/>
          <w:w w:val="100"/>
          <w:sz w:val="21"/>
        </w:rPr>
        <w:t>t</w:t>
      </w:r>
      <w:r>
        <w:rPr>
          <w:spacing w:val="-1"/>
          <w:w w:val="100"/>
          <w:sz w:val="21"/>
        </w:rPr>
        <w:t>h</w:t>
      </w:r>
      <w:r>
        <w:rPr>
          <w:w w:val="100"/>
          <w:sz w:val="21"/>
        </w:rPr>
        <w:t>e</w:t>
      </w:r>
      <w:r>
        <w:rPr>
          <w:sz w:val="21"/>
        </w:rPr>
        <w:t> </w:t>
      </w:r>
      <w:r>
        <w:rPr>
          <w:spacing w:val="-21"/>
          <w:sz w:val="21"/>
        </w:rPr>
        <w:t> </w:t>
      </w:r>
      <w:r>
        <w:rPr>
          <w:spacing w:val="-1"/>
          <w:w w:val="100"/>
          <w:sz w:val="21"/>
        </w:rPr>
        <w:t>uninstructed</w:t>
      </w:r>
      <w:r>
        <w:rPr>
          <w:w w:val="100"/>
          <w:sz w:val="21"/>
        </w:rPr>
        <w:t>.</w:t>
      </w:r>
      <w:r>
        <w:rPr>
          <w:sz w:val="21"/>
        </w:rPr>
        <w:t> </w:t>
      </w:r>
      <w:r>
        <w:rPr>
          <w:spacing w:val="-22"/>
          <w:sz w:val="21"/>
        </w:rPr>
        <w:t> </w:t>
      </w:r>
      <w:r>
        <w:rPr>
          <w:w w:val="40"/>
          <w:sz w:val="21"/>
        </w:rPr>
        <w:t>‗</w:t>
      </w:r>
      <w:r>
        <w:rPr>
          <w:w w:val="100"/>
          <w:sz w:val="21"/>
        </w:rPr>
        <w:t>E</w:t>
      </w:r>
      <w:r>
        <w:rPr>
          <w:spacing w:val="-3"/>
          <w:w w:val="100"/>
          <w:sz w:val="21"/>
        </w:rPr>
        <w:t>v</w:t>
      </w:r>
      <w:r>
        <w:rPr>
          <w:spacing w:val="-1"/>
          <w:w w:val="100"/>
          <w:sz w:val="21"/>
        </w:rPr>
        <w:t>er</w:t>
      </w:r>
      <w:r>
        <w:rPr>
          <w:spacing w:val="-3"/>
          <w:w w:val="100"/>
          <w:sz w:val="21"/>
        </w:rPr>
        <w:t>y</w:t>
      </w:r>
      <w:r>
        <w:rPr>
          <w:spacing w:val="-1"/>
          <w:w w:val="100"/>
          <w:sz w:val="21"/>
        </w:rPr>
        <w:t>on</w:t>
      </w:r>
      <w:r>
        <w:rPr>
          <w:w w:val="100"/>
          <w:sz w:val="21"/>
        </w:rPr>
        <w:t>e</w:t>
      </w:r>
      <w:r>
        <w:rPr>
          <w:sz w:val="21"/>
        </w:rPr>
        <w:t> </w:t>
      </w:r>
      <w:r>
        <w:rPr>
          <w:spacing w:val="-21"/>
          <w:sz w:val="21"/>
        </w:rPr>
        <w:t> </w:t>
      </w:r>
      <w:r>
        <w:rPr>
          <w:w w:val="100"/>
          <w:sz w:val="21"/>
        </w:rPr>
        <w:t>kno</w:t>
      </w:r>
      <w:r>
        <w:rPr>
          <w:spacing w:val="-1"/>
          <w:w w:val="100"/>
          <w:sz w:val="21"/>
        </w:rPr>
        <w:t>w</w:t>
      </w:r>
      <w:r>
        <w:rPr>
          <w:w w:val="100"/>
          <w:sz w:val="21"/>
        </w:rPr>
        <w:t>s</w:t>
      </w:r>
      <w:r>
        <w:rPr>
          <w:sz w:val="21"/>
        </w:rPr>
        <w:t> </w:t>
      </w:r>
      <w:r>
        <w:rPr>
          <w:spacing w:val="-19"/>
          <w:sz w:val="21"/>
        </w:rPr>
        <w:t> </w:t>
      </w:r>
      <w:r>
        <w:rPr>
          <w:spacing w:val="-3"/>
          <w:w w:val="100"/>
          <w:sz w:val="21"/>
        </w:rPr>
        <w:t>a</w:t>
      </w:r>
      <w:r>
        <w:rPr>
          <w:w w:val="100"/>
          <w:sz w:val="21"/>
        </w:rPr>
        <w:t>s </w:t>
      </w:r>
      <w:r>
        <w:rPr>
          <w:sz w:val="21"/>
        </w:rPr>
        <w:t>much as the savant. The walls of rude minds are scrawled all over with facts, with thoughts‘. Emerson said so, and he was right. Even if you do not accept the views of those you question, the mere act of questioning is at the same time a restraint and a</w:t>
      </w:r>
      <w:r>
        <w:rPr>
          <w:spacing w:val="-6"/>
          <w:sz w:val="21"/>
        </w:rPr>
        <w:t> </w:t>
      </w:r>
      <w:r>
        <w:rPr>
          <w:sz w:val="21"/>
        </w:rPr>
        <w:t>stimulus.‖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rect style="position:absolute;margin-left:72.024002pt;margin-top:11.840544pt;width:144.020pt;height:.60004pt;mso-position-horizontal-relative:page;mso-position-vertical-relative:paragraph;z-index:-15648256;mso-wrap-distance-left:0;mso-wrap-distance-right:0" filled="true" fillcolor="#000000" stroked="false">
            <v:fill type="solid"/>
            <w10:wrap type="topAndBottom"/>
          </v:rect>
        </w:pict>
      </w:r>
    </w:p>
    <w:p>
      <w:pPr>
        <w:pStyle w:val="BodyText"/>
        <w:spacing w:before="1"/>
        <w:rPr>
          <w:sz w:val="16"/>
        </w:rPr>
      </w:pPr>
    </w:p>
    <w:p>
      <w:pPr>
        <w:spacing w:before="131"/>
        <w:ind w:left="500" w:right="0" w:firstLine="0"/>
        <w:jc w:val="left"/>
        <w:rPr>
          <w:sz w:val="18"/>
        </w:rPr>
      </w:pPr>
      <w:r>
        <w:rPr>
          <w:sz w:val="18"/>
          <w:vertAlign w:val="superscript"/>
        </w:rPr>
        <w:t>283</w:t>
      </w:r>
      <w:r>
        <w:rPr>
          <w:sz w:val="18"/>
          <w:vertAlign w:val="baseline"/>
        </w:rPr>
        <w:t> Mortimer Wheeler, Archaeology from the earth</w:t>
      </w:r>
      <w:r>
        <w:rPr>
          <w:i/>
          <w:sz w:val="18"/>
          <w:vertAlign w:val="baseline"/>
        </w:rPr>
        <w:t>, </w:t>
      </w:r>
      <w:r>
        <w:rPr>
          <w:sz w:val="18"/>
          <w:vertAlign w:val="baseline"/>
        </w:rPr>
        <w:t>Oxford: Clarendon Press (1954)</w:t>
      </w:r>
    </w:p>
    <w:p>
      <w:pPr>
        <w:spacing w:after="0"/>
        <w:jc w:val="left"/>
        <w:rPr>
          <w:sz w:val="18"/>
        </w:rPr>
        <w:sectPr>
          <w:pgSz w:w="11910" w:h="16840"/>
          <w:pgMar w:header="721" w:footer="1014" w:top="1300" w:bottom="1200" w:left="940" w:right="1000"/>
        </w:sectPr>
      </w:pPr>
    </w:p>
    <w:p>
      <w:pPr>
        <w:pStyle w:val="BodyText"/>
        <w:spacing w:line="480" w:lineRule="auto" w:before="124"/>
        <w:ind w:left="500" w:right="446"/>
        <w:jc w:val="both"/>
      </w:pPr>
      <w:r>
        <w:rPr/>
        <w:t>Sir Mortimer‘s caution would apply as much to the law as to archaeology: something that we as judges would do well to bear in mind in arriving at our conclusion in these appeals.</w:t>
      </w:r>
    </w:p>
    <w:p>
      <w:pPr>
        <w:pStyle w:val="BodyText"/>
        <w:spacing w:before="7"/>
        <w:rPr>
          <w:sz w:val="24"/>
        </w:rPr>
      </w:pPr>
    </w:p>
    <w:p>
      <w:pPr>
        <w:pStyle w:val="ListParagraph"/>
        <w:numPr>
          <w:ilvl w:val="0"/>
          <w:numId w:val="111"/>
        </w:numPr>
        <w:tabs>
          <w:tab w:pos="1221" w:val="left" w:leader="none"/>
        </w:tabs>
        <w:spacing w:line="482" w:lineRule="auto" w:before="1" w:after="0"/>
        <w:ind w:left="500" w:right="438" w:firstLine="0"/>
        <w:jc w:val="both"/>
        <w:rPr>
          <w:sz w:val="25"/>
        </w:rPr>
      </w:pPr>
      <w:r>
        <w:rPr>
          <w:w w:val="99"/>
          <w:sz w:val="25"/>
        </w:rPr>
        <w:t>In</w:t>
      </w:r>
      <w:r>
        <w:rPr>
          <w:sz w:val="25"/>
        </w:rPr>
        <w:t> </w:t>
      </w:r>
      <w:r>
        <w:rPr>
          <w:spacing w:val="-9"/>
          <w:sz w:val="25"/>
        </w:rPr>
        <w:t> </w:t>
      </w:r>
      <w:r>
        <w:rPr>
          <w:w w:val="99"/>
          <w:sz w:val="25"/>
        </w:rPr>
        <w:t>hi</w:t>
      </w:r>
      <w:r>
        <w:rPr>
          <w:w w:val="99"/>
          <w:sz w:val="25"/>
        </w:rPr>
        <w:t>s</w:t>
      </w:r>
      <w:r>
        <w:rPr>
          <w:sz w:val="25"/>
        </w:rPr>
        <w:t> </w:t>
      </w:r>
      <w:r>
        <w:rPr>
          <w:spacing w:val="-10"/>
          <w:sz w:val="25"/>
        </w:rPr>
        <w:t> </w:t>
      </w:r>
      <w:r>
        <w:rPr>
          <w:spacing w:val="-1"/>
          <w:w w:val="99"/>
          <w:sz w:val="25"/>
        </w:rPr>
        <w:t>b</w:t>
      </w:r>
      <w:r>
        <w:rPr>
          <w:w w:val="99"/>
          <w:sz w:val="25"/>
        </w:rPr>
        <w:t>o</w:t>
      </w:r>
      <w:r>
        <w:rPr>
          <w:spacing w:val="-1"/>
          <w:w w:val="99"/>
          <w:sz w:val="25"/>
        </w:rPr>
        <w:t>o</w:t>
      </w:r>
      <w:r>
        <w:rPr>
          <w:w w:val="99"/>
          <w:sz w:val="25"/>
        </w:rPr>
        <w:t>k</w:t>
      </w:r>
      <w:r>
        <w:rPr>
          <w:sz w:val="25"/>
        </w:rPr>
        <w:t> </w:t>
      </w:r>
      <w:r>
        <w:rPr>
          <w:spacing w:val="-10"/>
          <w:sz w:val="25"/>
        </w:rPr>
        <w:t> </w:t>
      </w:r>
      <w:r>
        <w:rPr>
          <w:w w:val="99"/>
          <w:sz w:val="25"/>
        </w:rPr>
        <w:t>titled</w:t>
      </w:r>
      <w:r>
        <w:rPr>
          <w:sz w:val="25"/>
        </w:rPr>
        <w:t> </w:t>
      </w:r>
      <w:r>
        <w:rPr>
          <w:spacing w:val="-10"/>
          <w:sz w:val="25"/>
        </w:rPr>
        <w:t> </w:t>
      </w:r>
      <w:r>
        <w:rPr>
          <w:spacing w:val="2"/>
          <w:w w:val="33"/>
          <w:sz w:val="25"/>
        </w:rPr>
        <w:t>―</w:t>
      </w:r>
      <w:r>
        <w:rPr>
          <w:b/>
          <w:w w:val="99"/>
          <w:sz w:val="25"/>
        </w:rPr>
        <w:t>Th</w:t>
      </w:r>
      <w:r>
        <w:rPr>
          <w:b/>
          <w:w w:val="99"/>
          <w:sz w:val="25"/>
        </w:rPr>
        <w:t>e</w:t>
      </w:r>
      <w:r>
        <w:rPr>
          <w:b/>
          <w:sz w:val="25"/>
        </w:rPr>
        <w:t> </w:t>
      </w:r>
      <w:r>
        <w:rPr>
          <w:b/>
          <w:spacing w:val="-10"/>
          <w:sz w:val="25"/>
        </w:rPr>
        <w:t> </w:t>
      </w:r>
      <w:r>
        <w:rPr>
          <w:b/>
          <w:w w:val="99"/>
          <w:sz w:val="25"/>
        </w:rPr>
        <w:t>Log</w:t>
      </w:r>
      <w:r>
        <w:rPr>
          <w:b/>
          <w:w w:val="99"/>
          <w:sz w:val="25"/>
        </w:rPr>
        <w:t>ic</w:t>
      </w:r>
      <w:r>
        <w:rPr>
          <w:b/>
          <w:sz w:val="25"/>
        </w:rPr>
        <w:t> </w:t>
      </w:r>
      <w:r>
        <w:rPr>
          <w:b/>
          <w:spacing w:val="-12"/>
          <w:sz w:val="25"/>
        </w:rPr>
        <w:t> </w:t>
      </w:r>
      <w:r>
        <w:rPr>
          <w:b/>
          <w:w w:val="99"/>
          <w:sz w:val="25"/>
        </w:rPr>
        <w:t>of</w:t>
      </w:r>
      <w:r>
        <w:rPr>
          <w:b/>
          <w:sz w:val="25"/>
        </w:rPr>
        <w:t> </w:t>
      </w:r>
      <w:r>
        <w:rPr>
          <w:b/>
          <w:spacing w:val="-9"/>
          <w:sz w:val="25"/>
        </w:rPr>
        <w:t> </w:t>
      </w:r>
      <w:r>
        <w:rPr>
          <w:b/>
          <w:spacing w:val="-1"/>
          <w:w w:val="99"/>
          <w:sz w:val="25"/>
        </w:rPr>
        <w:t>S</w:t>
      </w:r>
      <w:r>
        <w:rPr>
          <w:b/>
          <w:w w:val="99"/>
          <w:sz w:val="25"/>
        </w:rPr>
        <w:t>cie</w:t>
      </w:r>
      <w:r>
        <w:rPr>
          <w:b/>
          <w:w w:val="99"/>
          <w:sz w:val="25"/>
        </w:rPr>
        <w:t>nt</w:t>
      </w:r>
      <w:r>
        <w:rPr>
          <w:b/>
          <w:spacing w:val="-3"/>
          <w:w w:val="99"/>
          <w:sz w:val="25"/>
        </w:rPr>
        <w:t>i</w:t>
      </w:r>
      <w:r>
        <w:rPr>
          <w:b/>
          <w:w w:val="99"/>
          <w:sz w:val="25"/>
        </w:rPr>
        <w:t>f</w:t>
      </w:r>
      <w:r>
        <w:rPr>
          <w:b/>
          <w:w w:val="99"/>
          <w:sz w:val="25"/>
        </w:rPr>
        <w:t>ic</w:t>
      </w:r>
      <w:r>
        <w:rPr>
          <w:b/>
          <w:sz w:val="25"/>
        </w:rPr>
        <w:t> </w:t>
      </w:r>
      <w:r>
        <w:rPr>
          <w:b/>
          <w:spacing w:val="-9"/>
          <w:sz w:val="25"/>
        </w:rPr>
        <w:t> </w:t>
      </w:r>
      <w:r>
        <w:rPr>
          <w:b/>
          <w:w w:val="99"/>
          <w:sz w:val="25"/>
        </w:rPr>
        <w:t>Disc</w:t>
      </w:r>
      <w:r>
        <w:rPr>
          <w:b/>
          <w:w w:val="99"/>
          <w:sz w:val="25"/>
        </w:rPr>
        <w:t>o</w:t>
      </w:r>
      <w:r>
        <w:rPr>
          <w:b/>
          <w:spacing w:val="-5"/>
          <w:w w:val="99"/>
          <w:sz w:val="25"/>
        </w:rPr>
        <w:t>v</w:t>
      </w:r>
      <w:r>
        <w:rPr>
          <w:b/>
          <w:spacing w:val="2"/>
          <w:w w:val="99"/>
          <w:sz w:val="25"/>
        </w:rPr>
        <w:t>e</w:t>
      </w:r>
      <w:r>
        <w:rPr>
          <w:b/>
          <w:spacing w:val="3"/>
          <w:w w:val="99"/>
          <w:sz w:val="25"/>
        </w:rPr>
        <w:t>r</w:t>
      </w:r>
      <w:r>
        <w:rPr>
          <w:b/>
          <w:spacing w:val="-1"/>
          <w:w w:val="99"/>
          <w:sz w:val="25"/>
        </w:rPr>
        <w:t>y</w:t>
      </w:r>
      <w:r>
        <w:rPr>
          <w:spacing w:val="3"/>
          <w:w w:val="80"/>
          <w:sz w:val="25"/>
        </w:rPr>
        <w:t>‖</w:t>
      </w:r>
      <w:r>
        <w:rPr>
          <w:spacing w:val="-1"/>
          <w:w w:val="101"/>
          <w:sz w:val="25"/>
          <w:vertAlign w:val="superscript"/>
        </w:rPr>
        <w:t>28</w:t>
      </w:r>
      <w:r>
        <w:rPr>
          <w:w w:val="101"/>
          <w:sz w:val="25"/>
          <w:vertAlign w:val="superscript"/>
        </w:rPr>
        <w:t>4</w:t>
      </w:r>
      <w:r>
        <w:rPr>
          <w:w w:val="99"/>
          <w:sz w:val="25"/>
          <w:vertAlign w:val="baseline"/>
        </w:rPr>
        <w:t>,</w:t>
      </w:r>
      <w:r>
        <w:rPr>
          <w:sz w:val="25"/>
          <w:vertAlign w:val="baseline"/>
        </w:rPr>
        <w:t> </w:t>
      </w:r>
      <w:r>
        <w:rPr>
          <w:spacing w:val="-10"/>
          <w:sz w:val="25"/>
          <w:vertAlign w:val="baseline"/>
        </w:rPr>
        <w:t> </w:t>
      </w:r>
      <w:r>
        <w:rPr>
          <w:spacing w:val="-1"/>
          <w:w w:val="99"/>
          <w:sz w:val="25"/>
          <w:vertAlign w:val="baseline"/>
        </w:rPr>
        <w:t>K</w:t>
      </w:r>
      <w:r>
        <w:rPr>
          <w:w w:val="99"/>
          <w:sz w:val="25"/>
          <w:vertAlign w:val="baseline"/>
        </w:rPr>
        <w:t>a</w:t>
      </w:r>
      <w:r>
        <w:rPr>
          <w:spacing w:val="1"/>
          <w:w w:val="99"/>
          <w:sz w:val="25"/>
          <w:vertAlign w:val="baseline"/>
        </w:rPr>
        <w:t>r</w:t>
      </w:r>
      <w:r>
        <w:rPr>
          <w:w w:val="99"/>
          <w:sz w:val="25"/>
          <w:vertAlign w:val="baseline"/>
        </w:rPr>
        <w:t>l</w:t>
      </w:r>
      <w:r>
        <w:rPr>
          <w:sz w:val="25"/>
          <w:vertAlign w:val="baseline"/>
        </w:rPr>
        <w:t> </w:t>
      </w:r>
      <w:r>
        <w:rPr>
          <w:spacing w:val="-8"/>
          <w:sz w:val="25"/>
          <w:vertAlign w:val="baseline"/>
        </w:rPr>
        <w:t> </w:t>
      </w:r>
      <w:r>
        <w:rPr>
          <w:spacing w:val="-1"/>
          <w:w w:val="99"/>
          <w:sz w:val="25"/>
          <w:vertAlign w:val="baseline"/>
        </w:rPr>
        <w:t>P</w:t>
      </w:r>
      <w:r>
        <w:rPr>
          <w:w w:val="99"/>
          <w:sz w:val="25"/>
          <w:vertAlign w:val="baseline"/>
        </w:rPr>
        <w:t>oppe</w:t>
      </w:r>
      <w:r>
        <w:rPr>
          <w:w w:val="99"/>
          <w:sz w:val="25"/>
          <w:vertAlign w:val="baseline"/>
        </w:rPr>
        <w:t>r </w:t>
      </w:r>
      <w:r>
        <w:rPr>
          <w:sz w:val="25"/>
          <w:vertAlign w:val="baseline"/>
        </w:rPr>
        <w:t>distinguishes the work of a scientist with that of a philosopher. Popper quotes Lord Acton when he</w:t>
      </w:r>
      <w:r>
        <w:rPr>
          <w:spacing w:val="-4"/>
          <w:sz w:val="25"/>
          <w:vertAlign w:val="baseline"/>
        </w:rPr>
        <w:t> </w:t>
      </w:r>
      <w:r>
        <w:rPr>
          <w:sz w:val="25"/>
          <w:vertAlign w:val="baseline"/>
        </w:rPr>
        <w:t>states:</w:t>
      </w:r>
    </w:p>
    <w:p>
      <w:pPr>
        <w:spacing w:line="276" w:lineRule="auto" w:before="155"/>
        <w:ind w:left="1940" w:right="2265" w:firstLine="0"/>
        <w:jc w:val="both"/>
        <w:rPr>
          <w:sz w:val="21"/>
        </w:rPr>
      </w:pPr>
      <w:r>
        <w:rPr>
          <w:w w:val="33"/>
          <w:sz w:val="21"/>
        </w:rPr>
        <w:t>―</w:t>
      </w:r>
      <w:r>
        <w:rPr>
          <w:w w:val="100"/>
          <w:sz w:val="21"/>
        </w:rPr>
        <w:t>there</w:t>
      </w:r>
      <w:r>
        <w:rPr>
          <w:sz w:val="21"/>
        </w:rPr>
        <w:t> </w:t>
      </w:r>
      <w:r>
        <w:rPr>
          <w:w w:val="100"/>
          <w:sz w:val="21"/>
        </w:rPr>
        <w:t>is</w:t>
      </w:r>
      <w:r>
        <w:rPr>
          <w:sz w:val="21"/>
        </w:rPr>
        <w:t> </w:t>
      </w:r>
      <w:r>
        <w:rPr>
          <w:w w:val="100"/>
          <w:sz w:val="21"/>
        </w:rPr>
        <w:t>nothing</w:t>
      </w:r>
      <w:r>
        <w:rPr>
          <w:sz w:val="21"/>
        </w:rPr>
        <w:t> </w:t>
      </w:r>
      <w:r>
        <w:rPr>
          <w:w w:val="100"/>
          <w:sz w:val="21"/>
        </w:rPr>
        <w:t>more</w:t>
      </w:r>
      <w:r>
        <w:rPr>
          <w:sz w:val="21"/>
        </w:rPr>
        <w:t> </w:t>
      </w:r>
      <w:r>
        <w:rPr>
          <w:w w:val="100"/>
          <w:sz w:val="21"/>
        </w:rPr>
        <w:t>necessary</w:t>
      </w:r>
      <w:r>
        <w:rPr>
          <w:sz w:val="21"/>
        </w:rPr>
        <w:t> </w:t>
      </w:r>
      <w:r>
        <w:rPr>
          <w:w w:val="100"/>
          <w:sz w:val="21"/>
        </w:rPr>
        <w:t>to</w:t>
      </w:r>
      <w:r>
        <w:rPr>
          <w:sz w:val="21"/>
        </w:rPr>
        <w:t> </w:t>
      </w:r>
      <w:r>
        <w:rPr>
          <w:w w:val="100"/>
          <w:sz w:val="21"/>
        </w:rPr>
        <w:t>the</w:t>
      </w:r>
      <w:r>
        <w:rPr>
          <w:sz w:val="21"/>
        </w:rPr>
        <w:t> </w:t>
      </w:r>
      <w:r>
        <w:rPr>
          <w:w w:val="100"/>
          <w:sz w:val="21"/>
        </w:rPr>
        <w:t>man</w:t>
      </w:r>
      <w:r>
        <w:rPr>
          <w:sz w:val="21"/>
        </w:rPr>
        <w:t> </w:t>
      </w:r>
      <w:r>
        <w:rPr>
          <w:w w:val="100"/>
          <w:sz w:val="21"/>
        </w:rPr>
        <w:t>of</w:t>
      </w:r>
      <w:r>
        <w:rPr>
          <w:sz w:val="21"/>
        </w:rPr>
        <w:t> </w:t>
      </w:r>
      <w:r>
        <w:rPr>
          <w:w w:val="100"/>
          <w:sz w:val="21"/>
        </w:rPr>
        <w:t>science</w:t>
      </w:r>
      <w:r>
        <w:rPr>
          <w:sz w:val="21"/>
        </w:rPr>
        <w:t> </w:t>
      </w:r>
      <w:r>
        <w:rPr>
          <w:w w:val="100"/>
          <w:sz w:val="21"/>
        </w:rPr>
        <w:t>than </w:t>
      </w:r>
      <w:r>
        <w:rPr>
          <w:sz w:val="21"/>
        </w:rPr>
        <w:t>its history and the logic of discovery….: the way error is detected, the use of hypothesis, of imagination, the mode of testing.‖</w:t>
      </w:r>
    </w:p>
    <w:p>
      <w:pPr>
        <w:pStyle w:val="BodyText"/>
        <w:rPr>
          <w:sz w:val="24"/>
        </w:rPr>
      </w:pPr>
    </w:p>
    <w:p>
      <w:pPr>
        <w:pStyle w:val="BodyText"/>
        <w:spacing w:before="11"/>
      </w:pPr>
    </w:p>
    <w:p>
      <w:pPr>
        <w:pStyle w:val="BodyText"/>
        <w:spacing w:line="480" w:lineRule="auto" w:after="4"/>
        <w:ind w:left="500" w:right="436"/>
        <w:jc w:val="both"/>
      </w:pPr>
      <w:r>
        <w:rPr/>
        <w:t>The supposed distinction between science as embodying absolute truth and archaeology as unguided subjectivity is one of degree not of universes. Yet as in other disciplines of its genre, archaeology is as much a matter of process as it is of deduction. The archaeologist must deal with recoveries as much as the ‗finds‘ from them. Interpretation is its heart, if not its soul. Interpretations do vary and experts disagree. When the law perceives an exercise of interpretation it must recognize margins of error and differences of opinion. Archaeological findings are susceptible of multiple interpretations. This may in part be a function of the archaeologist‘s perception of the past and what about the past the archaeologist seeks to decipher. Tradition based archaeology may seek facts about the past. An archaeologist, on the other hand may set about to validate a belief about the past. An archaeologist may approach the task with an open mind to unravel features that are unknown. Guided by the underlying approach to the discipline, the archaeologist will bring to bear on the task at hand the purpose underlying</w:t>
      </w:r>
      <w:r>
        <w:rPr>
          <w:spacing w:val="8"/>
        </w:rPr>
        <w:t> </w:t>
      </w:r>
      <w:r>
        <w:rPr/>
        <w:t>its</w:t>
      </w:r>
    </w:p>
    <w:p>
      <w:pPr>
        <w:pStyle w:val="BodyText"/>
        <w:spacing w:line="20" w:lineRule="exact"/>
        <w:ind w:left="500"/>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spacing w:before="101"/>
        <w:ind w:left="500" w:right="0" w:firstLine="0"/>
        <w:jc w:val="left"/>
        <w:rPr>
          <w:sz w:val="18"/>
        </w:rPr>
      </w:pPr>
      <w:r>
        <w:rPr>
          <w:sz w:val="18"/>
          <w:vertAlign w:val="superscript"/>
        </w:rPr>
        <w:t>284</w:t>
      </w:r>
      <w:r>
        <w:rPr>
          <w:sz w:val="18"/>
          <w:vertAlign w:val="baseline"/>
        </w:rPr>
        <w:t> Karl R. Popper,The Logic of Scientific Discovery, Hutchinson &amp; Co (1959)</w:t>
      </w:r>
    </w:p>
    <w:p>
      <w:pPr>
        <w:spacing w:after="0"/>
        <w:jc w:val="left"/>
        <w:rPr>
          <w:sz w:val="18"/>
        </w:rPr>
        <w:sectPr>
          <w:pgSz w:w="11910" w:h="16840"/>
          <w:pgMar w:header="721" w:footer="1014" w:top="1300" w:bottom="1200" w:left="940" w:right="1000"/>
        </w:sectPr>
      </w:pPr>
    </w:p>
    <w:p>
      <w:pPr>
        <w:pStyle w:val="BodyText"/>
        <w:spacing w:line="480" w:lineRule="auto" w:before="124"/>
        <w:ind w:left="500" w:right="437"/>
        <w:jc w:val="both"/>
      </w:pPr>
      <w:r>
        <w:rPr/>
        <w:t>own origin. So long as we understand the limits and boundaries of the discipline, we can eschew extreme positions and search for the often elusive median.</w:t>
      </w:r>
    </w:p>
    <w:p>
      <w:pPr>
        <w:pStyle w:val="BodyText"/>
        <w:rPr>
          <w:sz w:val="28"/>
        </w:rPr>
      </w:pPr>
    </w:p>
    <w:p>
      <w:pPr>
        <w:pStyle w:val="BodyText"/>
        <w:rPr>
          <w:sz w:val="22"/>
        </w:rPr>
      </w:pPr>
    </w:p>
    <w:p>
      <w:pPr>
        <w:pStyle w:val="ListParagraph"/>
        <w:numPr>
          <w:ilvl w:val="0"/>
          <w:numId w:val="111"/>
        </w:numPr>
        <w:tabs>
          <w:tab w:pos="1221" w:val="left" w:leader="none"/>
        </w:tabs>
        <w:spacing w:line="480" w:lineRule="auto" w:before="0" w:after="0"/>
        <w:ind w:left="500" w:right="439" w:firstLine="0"/>
        <w:jc w:val="both"/>
        <w:rPr>
          <w:sz w:val="25"/>
        </w:rPr>
      </w:pPr>
      <w:r>
        <w:rPr>
          <w:sz w:val="25"/>
        </w:rPr>
        <w:t>Ms Meenakshi Arora relied on decisions of this Court which consider </w:t>
      </w:r>
      <w:r>
        <w:rPr>
          <w:w w:val="99"/>
          <w:sz w:val="25"/>
        </w:rPr>
        <w:t>r</w:t>
      </w:r>
      <w:r>
        <w:rPr>
          <w:spacing w:val="-1"/>
          <w:w w:val="99"/>
          <w:sz w:val="25"/>
        </w:rPr>
        <w:t>e</w:t>
      </w:r>
      <w:r>
        <w:rPr>
          <w:w w:val="99"/>
          <w:sz w:val="25"/>
        </w:rPr>
        <w:t>p</w:t>
      </w:r>
      <w:r>
        <w:rPr>
          <w:spacing w:val="-1"/>
          <w:w w:val="99"/>
          <w:sz w:val="25"/>
        </w:rPr>
        <w:t>o</w:t>
      </w:r>
      <w:r>
        <w:rPr>
          <w:w w:val="99"/>
          <w:sz w:val="25"/>
        </w:rPr>
        <w:t>rts</w:t>
      </w:r>
      <w:r>
        <w:rPr>
          <w:sz w:val="25"/>
        </w:rPr>
        <w:t> </w:t>
      </w:r>
      <w:r>
        <w:rPr>
          <w:w w:val="99"/>
          <w:sz w:val="25"/>
        </w:rPr>
        <w:t>of</w:t>
      </w:r>
      <w:r>
        <w:rPr>
          <w:sz w:val="25"/>
        </w:rPr>
        <w:t> </w:t>
      </w:r>
      <w:r>
        <w:rPr>
          <w:w w:val="99"/>
          <w:sz w:val="25"/>
        </w:rPr>
        <w:t>h</w:t>
      </w:r>
      <w:r>
        <w:rPr>
          <w:spacing w:val="-1"/>
          <w:w w:val="99"/>
          <w:sz w:val="25"/>
        </w:rPr>
        <w:t>a</w:t>
      </w:r>
      <w:r>
        <w:rPr>
          <w:w w:val="99"/>
          <w:sz w:val="25"/>
        </w:rPr>
        <w:t>n</w:t>
      </w:r>
      <w:r>
        <w:rPr>
          <w:spacing w:val="-1"/>
          <w:w w:val="99"/>
          <w:sz w:val="25"/>
        </w:rPr>
        <w:t>dw</w:t>
      </w:r>
      <w:r>
        <w:rPr>
          <w:w w:val="99"/>
          <w:sz w:val="25"/>
        </w:rPr>
        <w:t>r</w:t>
      </w:r>
      <w:r>
        <w:rPr>
          <w:spacing w:val="-1"/>
          <w:w w:val="99"/>
          <w:sz w:val="25"/>
        </w:rPr>
        <w:t>itin</w:t>
      </w:r>
      <w:r>
        <w:rPr>
          <w:w w:val="99"/>
          <w:sz w:val="25"/>
        </w:rPr>
        <w:t>g</w:t>
      </w:r>
      <w:r>
        <w:rPr>
          <w:spacing w:val="-2"/>
          <w:sz w:val="25"/>
        </w:rPr>
        <w:t> </w:t>
      </w:r>
      <w:r>
        <w:rPr>
          <w:spacing w:val="-1"/>
          <w:w w:val="99"/>
          <w:sz w:val="25"/>
        </w:rPr>
        <w:t>e</w:t>
      </w:r>
      <w:r>
        <w:rPr>
          <w:spacing w:val="-2"/>
          <w:w w:val="99"/>
          <w:sz w:val="25"/>
        </w:rPr>
        <w:t>x</w:t>
      </w:r>
      <w:r>
        <w:rPr>
          <w:spacing w:val="-1"/>
          <w:w w:val="99"/>
          <w:sz w:val="25"/>
        </w:rPr>
        <w:t>p</w:t>
      </w:r>
      <w:r>
        <w:rPr>
          <w:w w:val="99"/>
          <w:sz w:val="25"/>
        </w:rPr>
        <w:t>erts</w:t>
      </w:r>
      <w:r>
        <w:rPr>
          <w:sz w:val="25"/>
        </w:rPr>
        <w:t> </w:t>
      </w:r>
      <w:r>
        <w:rPr>
          <w:w w:val="99"/>
          <w:sz w:val="25"/>
        </w:rPr>
        <w:t>to</w:t>
      </w:r>
      <w:r>
        <w:rPr>
          <w:sz w:val="25"/>
        </w:rPr>
        <w:t> </w:t>
      </w:r>
      <w:r>
        <w:rPr>
          <w:spacing w:val="-1"/>
          <w:w w:val="99"/>
          <w:sz w:val="25"/>
        </w:rPr>
        <w:t>b</w:t>
      </w:r>
      <w:r>
        <w:rPr>
          <w:w w:val="99"/>
          <w:sz w:val="25"/>
        </w:rPr>
        <w:t>e</w:t>
      </w:r>
      <w:r>
        <w:rPr>
          <w:sz w:val="25"/>
        </w:rPr>
        <w:t> </w:t>
      </w:r>
      <w:r>
        <w:rPr>
          <w:w w:val="33"/>
          <w:sz w:val="25"/>
        </w:rPr>
        <w:t>―</w:t>
      </w:r>
      <w:r>
        <w:rPr>
          <w:spacing w:val="-1"/>
          <w:w w:val="99"/>
          <w:sz w:val="25"/>
        </w:rPr>
        <w:t>g</w:t>
      </w:r>
      <w:r>
        <w:rPr>
          <w:w w:val="99"/>
          <w:sz w:val="25"/>
        </w:rPr>
        <w:t>e</w:t>
      </w:r>
      <w:r>
        <w:rPr>
          <w:spacing w:val="-1"/>
          <w:w w:val="99"/>
          <w:sz w:val="25"/>
        </w:rPr>
        <w:t>n</w:t>
      </w:r>
      <w:r>
        <w:rPr>
          <w:w w:val="99"/>
          <w:sz w:val="25"/>
        </w:rPr>
        <w:t>er</w:t>
      </w:r>
      <w:r>
        <w:rPr>
          <w:spacing w:val="-1"/>
          <w:w w:val="99"/>
          <w:sz w:val="25"/>
        </w:rPr>
        <w:t>all</w:t>
      </w:r>
      <w:r>
        <w:rPr>
          <w:w w:val="99"/>
          <w:sz w:val="25"/>
        </w:rPr>
        <w:t>y</w:t>
      </w:r>
      <w:r>
        <w:rPr>
          <w:spacing w:val="-1"/>
          <w:sz w:val="25"/>
        </w:rPr>
        <w:t> </w:t>
      </w:r>
      <w:r>
        <w:rPr>
          <w:spacing w:val="-1"/>
          <w:w w:val="99"/>
          <w:sz w:val="25"/>
        </w:rPr>
        <w:t>o</w:t>
      </w:r>
      <w:r>
        <w:rPr>
          <w:w w:val="99"/>
          <w:sz w:val="25"/>
        </w:rPr>
        <w:t>f</w:t>
      </w:r>
      <w:r>
        <w:rPr>
          <w:sz w:val="25"/>
        </w:rPr>
        <w:t> </w:t>
      </w:r>
      <w:r>
        <w:rPr>
          <w:w w:val="99"/>
          <w:sz w:val="25"/>
        </w:rPr>
        <w:t>a</w:t>
      </w:r>
      <w:r>
        <w:rPr>
          <w:sz w:val="25"/>
        </w:rPr>
        <w:t> </w:t>
      </w:r>
      <w:r>
        <w:rPr>
          <w:w w:val="99"/>
          <w:sz w:val="25"/>
        </w:rPr>
        <w:t>fr</w:t>
      </w:r>
      <w:r>
        <w:rPr>
          <w:spacing w:val="-1"/>
          <w:w w:val="99"/>
          <w:sz w:val="25"/>
        </w:rPr>
        <w:t>ai</w:t>
      </w:r>
      <w:r>
        <w:rPr>
          <w:w w:val="99"/>
          <w:sz w:val="25"/>
        </w:rPr>
        <w:t>l</w:t>
      </w:r>
      <w:r>
        <w:rPr>
          <w:spacing w:val="-1"/>
          <w:sz w:val="25"/>
        </w:rPr>
        <w:t> </w:t>
      </w:r>
      <w:r>
        <w:rPr>
          <w:w w:val="99"/>
          <w:sz w:val="25"/>
        </w:rPr>
        <w:t>char</w:t>
      </w:r>
      <w:r>
        <w:rPr>
          <w:spacing w:val="-1"/>
          <w:w w:val="99"/>
          <w:sz w:val="25"/>
        </w:rPr>
        <w:t>act</w:t>
      </w:r>
      <w:r>
        <w:rPr>
          <w:w w:val="99"/>
          <w:sz w:val="25"/>
        </w:rPr>
        <w:t>er</w:t>
      </w:r>
      <w:r>
        <w:rPr>
          <w:w w:val="80"/>
          <w:sz w:val="25"/>
        </w:rPr>
        <w:t>‖</w:t>
      </w:r>
      <w:r>
        <w:rPr>
          <w:spacing w:val="8"/>
          <w:sz w:val="25"/>
        </w:rPr>
        <w:t> </w:t>
      </w:r>
      <w:r>
        <w:rPr>
          <w:spacing w:val="-1"/>
          <w:w w:val="99"/>
          <w:sz w:val="25"/>
        </w:rPr>
        <w:t>lea</w:t>
      </w:r>
      <w:r>
        <w:rPr>
          <w:w w:val="99"/>
          <w:sz w:val="25"/>
        </w:rPr>
        <w:t>d</w:t>
      </w:r>
      <w:r>
        <w:rPr>
          <w:spacing w:val="-1"/>
          <w:w w:val="99"/>
          <w:sz w:val="25"/>
        </w:rPr>
        <w:t>in</w:t>
      </w:r>
      <w:r>
        <w:rPr>
          <w:w w:val="99"/>
          <w:sz w:val="25"/>
        </w:rPr>
        <w:t>g</w:t>
      </w:r>
      <w:r>
        <w:rPr>
          <w:sz w:val="25"/>
        </w:rPr>
        <w:t> </w:t>
      </w:r>
      <w:r>
        <w:rPr>
          <w:spacing w:val="-1"/>
          <w:w w:val="99"/>
          <w:sz w:val="25"/>
        </w:rPr>
        <w:t>i</w:t>
      </w:r>
      <w:r>
        <w:rPr>
          <w:w w:val="99"/>
          <w:sz w:val="25"/>
        </w:rPr>
        <w:t>t</w:t>
      </w:r>
      <w:r>
        <w:rPr>
          <w:spacing w:val="-1"/>
          <w:sz w:val="25"/>
        </w:rPr>
        <w:t> </w:t>
      </w:r>
      <w:r>
        <w:rPr>
          <w:w w:val="99"/>
          <w:sz w:val="25"/>
        </w:rPr>
        <w:t>to</w:t>
      </w:r>
      <w:r>
        <w:rPr>
          <w:sz w:val="25"/>
        </w:rPr>
        <w:t> </w:t>
      </w:r>
      <w:r>
        <w:rPr>
          <w:w w:val="33"/>
          <w:sz w:val="25"/>
        </w:rPr>
        <w:t>―</w:t>
      </w:r>
      <w:r>
        <w:rPr>
          <w:spacing w:val="-1"/>
          <w:w w:val="99"/>
          <w:sz w:val="25"/>
        </w:rPr>
        <w:t>be </w:t>
      </w:r>
      <w:r>
        <w:rPr>
          <w:sz w:val="25"/>
        </w:rPr>
        <w:t>wary to give too much weight‖ to them. This form of evidence has been held</w:t>
      </w:r>
      <w:r>
        <w:rPr>
          <w:spacing w:val="-50"/>
          <w:sz w:val="25"/>
        </w:rPr>
        <w:t> </w:t>
      </w:r>
      <w:r>
        <w:rPr>
          <w:sz w:val="25"/>
        </w:rPr>
        <w:t>to be</w:t>
      </w:r>
    </w:p>
    <w:p>
      <w:pPr>
        <w:pStyle w:val="BodyText"/>
        <w:spacing w:line="480" w:lineRule="auto"/>
        <w:ind w:left="500" w:right="435"/>
        <w:jc w:val="both"/>
      </w:pPr>
      <w:r>
        <w:rPr>
          <w:w w:val="33"/>
        </w:rPr>
        <w:t>―</w:t>
      </w:r>
      <w:r>
        <w:rPr>
          <w:spacing w:val="-1"/>
          <w:w w:val="99"/>
        </w:rPr>
        <w:t>ind</w:t>
      </w:r>
      <w:r>
        <w:rPr>
          <w:w w:val="99"/>
        </w:rPr>
        <w:t>ecisi</w:t>
      </w:r>
      <w:r>
        <w:rPr>
          <w:spacing w:val="-3"/>
          <w:w w:val="99"/>
        </w:rPr>
        <w:t>v</w:t>
      </w:r>
      <w:r>
        <w:rPr>
          <w:spacing w:val="-1"/>
          <w:w w:val="91"/>
        </w:rPr>
        <w:t>e</w:t>
      </w:r>
      <w:r>
        <w:rPr>
          <w:w w:val="91"/>
        </w:rPr>
        <w:t>‖</w:t>
      </w:r>
      <w:r>
        <w:rPr/>
        <w:t> </w:t>
      </w:r>
      <w:r>
        <w:rPr>
          <w:spacing w:val="-14"/>
        </w:rPr>
        <w:t> </w:t>
      </w:r>
      <w:r>
        <w:rPr>
          <w:spacing w:val="-1"/>
          <w:w w:val="99"/>
        </w:rPr>
        <w:t>a</w:t>
      </w:r>
      <w:r>
        <w:rPr>
          <w:w w:val="99"/>
        </w:rPr>
        <w:t>nd</w:t>
      </w:r>
      <w:r>
        <w:rPr/>
        <w:t> </w:t>
      </w:r>
      <w:r>
        <w:rPr>
          <w:spacing w:val="-14"/>
        </w:rPr>
        <w:t> </w:t>
      </w:r>
      <w:r>
        <w:rPr>
          <w:spacing w:val="-1"/>
          <w:w w:val="99"/>
        </w:rPr>
        <w:t>h</w:t>
      </w:r>
      <w:r>
        <w:rPr>
          <w:w w:val="99"/>
        </w:rPr>
        <w:t>e</w:t>
      </w:r>
      <w:r>
        <w:rPr>
          <w:spacing w:val="2"/>
          <w:w w:val="99"/>
        </w:rPr>
        <w:t>n</w:t>
      </w:r>
      <w:r>
        <w:rPr>
          <w:w w:val="99"/>
        </w:rPr>
        <w:t>ce</w:t>
      </w:r>
      <w:r>
        <w:rPr/>
        <w:t> </w:t>
      </w:r>
      <w:r>
        <w:rPr>
          <w:spacing w:val="-14"/>
        </w:rPr>
        <w:t> </w:t>
      </w:r>
      <w:r>
        <w:rPr>
          <w:w w:val="99"/>
        </w:rPr>
        <w:t>so</w:t>
      </w:r>
      <w:r>
        <w:rPr>
          <w:spacing w:val="1"/>
          <w:w w:val="99"/>
        </w:rPr>
        <w:t>m</w:t>
      </w:r>
      <w:r>
        <w:rPr>
          <w:spacing w:val="-1"/>
          <w:w w:val="99"/>
        </w:rPr>
        <w:t>et</w:t>
      </w:r>
      <w:r>
        <w:rPr>
          <w:w w:val="99"/>
        </w:rPr>
        <w:t>h</w:t>
      </w:r>
      <w:r>
        <w:rPr>
          <w:spacing w:val="-1"/>
          <w:w w:val="99"/>
        </w:rPr>
        <w:t>in</w:t>
      </w:r>
      <w:r>
        <w:rPr>
          <w:w w:val="99"/>
        </w:rPr>
        <w:t>g</w:t>
      </w:r>
      <w:r>
        <w:rPr/>
        <w:t> </w:t>
      </w:r>
      <w:r>
        <w:rPr>
          <w:spacing w:val="-14"/>
        </w:rPr>
        <w:t> </w:t>
      </w:r>
      <w:r>
        <w:rPr>
          <w:spacing w:val="-1"/>
          <w:w w:val="99"/>
        </w:rPr>
        <w:t>whic</w:t>
      </w:r>
      <w:r>
        <w:rPr>
          <w:w w:val="99"/>
        </w:rPr>
        <w:t>h</w:t>
      </w:r>
      <w:r>
        <w:rPr/>
        <w:t> </w:t>
      </w:r>
      <w:r>
        <w:rPr>
          <w:spacing w:val="-12"/>
        </w:rPr>
        <w:t> </w:t>
      </w:r>
      <w:r>
        <w:rPr>
          <w:w w:val="99"/>
        </w:rPr>
        <w:t>m</w:t>
      </w:r>
      <w:r>
        <w:rPr>
          <w:spacing w:val="-1"/>
          <w:w w:val="99"/>
        </w:rPr>
        <w:t>us</w:t>
      </w:r>
      <w:r>
        <w:rPr>
          <w:w w:val="99"/>
        </w:rPr>
        <w:t>t</w:t>
      </w:r>
      <w:r>
        <w:rPr/>
        <w:t> </w:t>
      </w:r>
      <w:r>
        <w:rPr>
          <w:spacing w:val="-14"/>
        </w:rPr>
        <w:t> </w:t>
      </w:r>
      <w:r>
        <w:rPr>
          <w:spacing w:val="-3"/>
          <w:w w:val="99"/>
        </w:rPr>
        <w:t>y</w:t>
      </w:r>
      <w:r>
        <w:rPr>
          <w:spacing w:val="-1"/>
          <w:w w:val="99"/>
        </w:rPr>
        <w:t>iel</w:t>
      </w:r>
      <w:r>
        <w:rPr>
          <w:w w:val="99"/>
        </w:rPr>
        <w:t>d</w:t>
      </w:r>
      <w:r>
        <w:rPr/>
        <w:t> </w:t>
      </w:r>
      <w:r>
        <w:rPr>
          <w:spacing w:val="-12"/>
        </w:rPr>
        <w:t> </w:t>
      </w:r>
      <w:r>
        <w:rPr>
          <w:w w:val="99"/>
        </w:rPr>
        <w:t>to</w:t>
      </w:r>
      <w:r>
        <w:rPr/>
        <w:t> </w:t>
      </w:r>
      <w:r>
        <w:rPr>
          <w:spacing w:val="-14"/>
        </w:rPr>
        <w:t> </w:t>
      </w:r>
      <w:r>
        <w:rPr>
          <w:spacing w:val="-1"/>
          <w:w w:val="99"/>
        </w:rPr>
        <w:t>p</w:t>
      </w:r>
      <w:r>
        <w:rPr>
          <w:w w:val="99"/>
        </w:rPr>
        <w:t>osit</w:t>
      </w:r>
      <w:r>
        <w:rPr>
          <w:spacing w:val="2"/>
          <w:w w:val="99"/>
        </w:rPr>
        <w:t>i</w:t>
      </w:r>
      <w:r>
        <w:rPr>
          <w:w w:val="99"/>
        </w:rPr>
        <w:t>ve</w:t>
      </w:r>
      <w:r>
        <w:rPr/>
        <w:t> </w:t>
      </w:r>
      <w:r>
        <w:rPr>
          <w:spacing w:val="-14"/>
        </w:rPr>
        <w:t> </w:t>
      </w:r>
      <w:r>
        <w:rPr>
          <w:spacing w:val="-1"/>
          <w:w w:val="99"/>
        </w:rPr>
        <w:t>evid</w:t>
      </w:r>
      <w:r>
        <w:rPr>
          <w:w w:val="99"/>
        </w:rPr>
        <w:t>e</w:t>
      </w:r>
      <w:r>
        <w:rPr>
          <w:spacing w:val="-1"/>
          <w:w w:val="99"/>
        </w:rPr>
        <w:t>nc</w:t>
      </w:r>
      <w:r>
        <w:rPr>
          <w:w w:val="99"/>
        </w:rPr>
        <w:t>e.</w:t>
      </w:r>
      <w:r>
        <w:rPr/>
        <w:t> </w:t>
      </w:r>
      <w:r>
        <w:rPr>
          <w:spacing w:val="-15"/>
        </w:rPr>
        <w:t> </w:t>
      </w:r>
      <w:r>
        <w:rPr>
          <w:w w:val="99"/>
        </w:rPr>
        <w:t>T</w:t>
      </w:r>
      <w:r>
        <w:rPr>
          <w:spacing w:val="-1"/>
          <w:w w:val="99"/>
        </w:rPr>
        <w:t>he </w:t>
      </w:r>
      <w:r>
        <w:rPr/>
        <w:t>reason for this was explained in </w:t>
      </w:r>
      <w:r>
        <w:rPr>
          <w:b/>
        </w:rPr>
        <w:t>Sri Sri Sri Kishore Chandra Singh Deo </w:t>
      </w:r>
      <w:r>
        <w:rPr/>
        <w:t>v </w:t>
      </w:r>
      <w:r>
        <w:rPr>
          <w:b/>
        </w:rPr>
        <w:t>Babu Ganesh Prasad Bhagat</w:t>
      </w:r>
      <w:r>
        <w:rPr>
          <w:vertAlign w:val="superscript"/>
        </w:rPr>
        <w:t>285</w:t>
      </w:r>
      <w:r>
        <w:rPr>
          <w:vertAlign w:val="baseline"/>
        </w:rPr>
        <w:t>, on the ground that the conclusions of handwriting </w:t>
      </w:r>
      <w:r>
        <w:rPr>
          <w:spacing w:val="-1"/>
          <w:w w:val="99"/>
          <w:vertAlign w:val="baseline"/>
        </w:rPr>
        <w:t>e</w:t>
      </w:r>
      <w:r>
        <w:rPr>
          <w:spacing w:val="-3"/>
          <w:w w:val="99"/>
          <w:vertAlign w:val="baseline"/>
        </w:rPr>
        <w:t>x</w:t>
      </w:r>
      <w:r>
        <w:rPr>
          <w:spacing w:val="-1"/>
          <w:w w:val="99"/>
          <w:vertAlign w:val="baseline"/>
        </w:rPr>
        <w:t>p</w:t>
      </w:r>
      <w:r>
        <w:rPr>
          <w:w w:val="99"/>
          <w:vertAlign w:val="baseline"/>
        </w:rPr>
        <w:t>erts</w:t>
      </w:r>
      <w:r>
        <w:rPr>
          <w:vertAlign w:val="baseline"/>
        </w:rPr>
        <w:t> </w:t>
      </w:r>
      <w:r>
        <w:rPr>
          <w:spacing w:val="-17"/>
          <w:vertAlign w:val="baseline"/>
        </w:rPr>
        <w:t> </w:t>
      </w:r>
      <w:r>
        <w:rPr>
          <w:spacing w:val="-1"/>
          <w:w w:val="99"/>
          <w:vertAlign w:val="baseline"/>
        </w:rPr>
        <w:t>a</w:t>
      </w:r>
      <w:r>
        <w:rPr>
          <w:w w:val="99"/>
          <w:vertAlign w:val="baseline"/>
        </w:rPr>
        <w:t>re</w:t>
      </w:r>
      <w:r>
        <w:rPr>
          <w:vertAlign w:val="baseline"/>
        </w:rPr>
        <w:t> </w:t>
      </w:r>
      <w:r>
        <w:rPr>
          <w:spacing w:val="-17"/>
          <w:vertAlign w:val="baseline"/>
        </w:rPr>
        <w:t> </w:t>
      </w:r>
      <w:r>
        <w:rPr>
          <w:spacing w:val="-1"/>
          <w:w w:val="99"/>
          <w:vertAlign w:val="baseline"/>
        </w:rPr>
        <w:t>d</w:t>
      </w:r>
      <w:r>
        <w:rPr>
          <w:w w:val="99"/>
          <w:vertAlign w:val="baseline"/>
        </w:rPr>
        <w:t>r</w:t>
      </w:r>
      <w:r>
        <w:rPr>
          <w:spacing w:val="-1"/>
          <w:w w:val="99"/>
          <w:vertAlign w:val="baseline"/>
        </w:rPr>
        <w:t>aw</w:t>
      </w:r>
      <w:r>
        <w:rPr>
          <w:w w:val="99"/>
          <w:vertAlign w:val="baseline"/>
        </w:rPr>
        <w:t>n</w:t>
      </w:r>
      <w:r>
        <w:rPr>
          <w:vertAlign w:val="baseline"/>
        </w:rPr>
        <w:t> </w:t>
      </w:r>
      <w:r>
        <w:rPr>
          <w:spacing w:val="-17"/>
          <w:vertAlign w:val="baseline"/>
        </w:rPr>
        <w:t> </w:t>
      </w:r>
      <w:r>
        <w:rPr>
          <w:w w:val="33"/>
          <w:vertAlign w:val="baseline"/>
        </w:rPr>
        <w:t>―</w:t>
      </w:r>
      <w:r>
        <w:rPr>
          <w:spacing w:val="-3"/>
          <w:w w:val="99"/>
          <w:vertAlign w:val="baseline"/>
        </w:rPr>
        <w:t>u</w:t>
      </w:r>
      <w:r>
        <w:rPr>
          <w:spacing w:val="-1"/>
          <w:w w:val="99"/>
          <w:vertAlign w:val="baseline"/>
        </w:rPr>
        <w:t>p</w:t>
      </w:r>
      <w:r>
        <w:rPr>
          <w:w w:val="99"/>
          <w:vertAlign w:val="baseline"/>
        </w:rPr>
        <w:t>on</w:t>
      </w:r>
      <w:r>
        <w:rPr>
          <w:vertAlign w:val="baseline"/>
        </w:rPr>
        <w:t> </w:t>
      </w:r>
      <w:r>
        <w:rPr>
          <w:spacing w:val="-17"/>
          <w:vertAlign w:val="baseline"/>
        </w:rPr>
        <w:t> </w:t>
      </w:r>
      <w:r>
        <w:rPr>
          <w:w w:val="99"/>
          <w:vertAlign w:val="baseline"/>
        </w:rPr>
        <w:t>m</w:t>
      </w:r>
      <w:r>
        <w:rPr>
          <w:spacing w:val="-1"/>
          <w:w w:val="99"/>
          <w:vertAlign w:val="baseline"/>
        </w:rPr>
        <w:t>e</w:t>
      </w:r>
      <w:r>
        <w:rPr>
          <w:w w:val="99"/>
          <w:vertAlign w:val="baseline"/>
        </w:rPr>
        <w:t>re</w:t>
      </w:r>
      <w:r>
        <w:rPr>
          <w:vertAlign w:val="baseline"/>
        </w:rPr>
        <w:t> </w:t>
      </w:r>
      <w:r>
        <w:rPr>
          <w:spacing w:val="-17"/>
          <w:vertAlign w:val="baseline"/>
        </w:rPr>
        <w:t> </w:t>
      </w:r>
      <w:r>
        <w:rPr>
          <w:w w:val="99"/>
          <w:vertAlign w:val="baseline"/>
        </w:rPr>
        <w:t>c</w:t>
      </w:r>
      <w:r>
        <w:rPr>
          <w:spacing w:val="-2"/>
          <w:w w:val="99"/>
          <w:vertAlign w:val="baseline"/>
        </w:rPr>
        <w:t>o</w:t>
      </w:r>
      <w:r>
        <w:rPr>
          <w:w w:val="99"/>
          <w:vertAlign w:val="baseline"/>
        </w:rPr>
        <w:t>m</w:t>
      </w:r>
      <w:r>
        <w:rPr>
          <w:spacing w:val="-1"/>
          <w:w w:val="99"/>
          <w:vertAlign w:val="baseline"/>
        </w:rPr>
        <w:t>p</w:t>
      </w:r>
      <w:r>
        <w:rPr>
          <w:w w:val="99"/>
          <w:vertAlign w:val="baseline"/>
        </w:rPr>
        <w:t>ar</w:t>
      </w:r>
      <w:r>
        <w:rPr>
          <w:spacing w:val="-1"/>
          <w:w w:val="99"/>
          <w:vertAlign w:val="baseline"/>
        </w:rPr>
        <w:t>is</w:t>
      </w:r>
      <w:r>
        <w:rPr>
          <w:spacing w:val="-3"/>
          <w:w w:val="99"/>
          <w:vertAlign w:val="baseline"/>
        </w:rPr>
        <w:t>o</w:t>
      </w:r>
      <w:r>
        <w:rPr>
          <w:w w:val="99"/>
          <w:vertAlign w:val="baseline"/>
        </w:rPr>
        <w:t>n</w:t>
      </w:r>
      <w:r>
        <w:rPr>
          <w:vertAlign w:val="baseline"/>
        </w:rPr>
        <w:t> </w:t>
      </w:r>
      <w:r>
        <w:rPr>
          <w:spacing w:val="-17"/>
          <w:vertAlign w:val="baseline"/>
        </w:rPr>
        <w:t> </w:t>
      </w:r>
      <w:r>
        <w:rPr>
          <w:spacing w:val="-1"/>
          <w:w w:val="99"/>
          <w:vertAlign w:val="baseline"/>
        </w:rPr>
        <w:t>o</w:t>
      </w:r>
      <w:r>
        <w:rPr>
          <w:w w:val="99"/>
          <w:vertAlign w:val="baseline"/>
        </w:rPr>
        <w:t>f</w:t>
      </w:r>
      <w:r>
        <w:rPr>
          <w:vertAlign w:val="baseline"/>
        </w:rPr>
        <w:t> </w:t>
      </w:r>
      <w:r>
        <w:rPr>
          <w:spacing w:val="-17"/>
          <w:vertAlign w:val="baseline"/>
        </w:rPr>
        <w:t> </w:t>
      </w:r>
      <w:r>
        <w:rPr>
          <w:spacing w:val="-1"/>
          <w:w w:val="99"/>
          <w:vertAlign w:val="baseline"/>
        </w:rPr>
        <w:t>h</w:t>
      </w:r>
      <w:r>
        <w:rPr>
          <w:w w:val="99"/>
          <w:vertAlign w:val="baseline"/>
        </w:rPr>
        <w:t>a</w:t>
      </w:r>
      <w:r>
        <w:rPr>
          <w:spacing w:val="-1"/>
          <w:w w:val="99"/>
          <w:vertAlign w:val="baseline"/>
        </w:rPr>
        <w:t>n</w:t>
      </w:r>
      <w:r>
        <w:rPr>
          <w:w w:val="99"/>
          <w:vertAlign w:val="baseline"/>
        </w:rPr>
        <w:t>d</w:t>
      </w:r>
      <w:r>
        <w:rPr>
          <w:spacing w:val="-1"/>
          <w:w w:val="99"/>
          <w:vertAlign w:val="baseline"/>
        </w:rPr>
        <w:t>writi</w:t>
      </w:r>
      <w:r>
        <w:rPr>
          <w:w w:val="99"/>
          <w:vertAlign w:val="baseline"/>
        </w:rPr>
        <w:t>n</w:t>
      </w:r>
      <w:r>
        <w:rPr>
          <w:spacing w:val="-1"/>
          <w:w w:val="91"/>
          <w:vertAlign w:val="baseline"/>
        </w:rPr>
        <w:t>g</w:t>
      </w:r>
      <w:r>
        <w:rPr>
          <w:w w:val="91"/>
          <w:vertAlign w:val="baseline"/>
        </w:rPr>
        <w:t>‖</w:t>
      </w:r>
      <w:r>
        <w:rPr>
          <w:w w:val="99"/>
          <w:vertAlign w:val="baseline"/>
        </w:rPr>
        <w:t>.</w:t>
      </w:r>
      <w:r>
        <w:rPr>
          <w:vertAlign w:val="baseline"/>
        </w:rPr>
        <w:t> </w:t>
      </w:r>
      <w:r>
        <w:rPr>
          <w:spacing w:val="-20"/>
          <w:vertAlign w:val="baseline"/>
        </w:rPr>
        <w:t> </w:t>
      </w:r>
      <w:r>
        <w:rPr>
          <w:w w:val="99"/>
          <w:vertAlign w:val="baseline"/>
        </w:rPr>
        <w:t>T</w:t>
      </w:r>
      <w:r>
        <w:rPr>
          <w:spacing w:val="-3"/>
          <w:w w:val="99"/>
          <w:vertAlign w:val="baseline"/>
        </w:rPr>
        <w:t>h</w:t>
      </w:r>
      <w:r>
        <w:rPr>
          <w:w w:val="99"/>
          <w:vertAlign w:val="baseline"/>
        </w:rPr>
        <w:t>e</w:t>
      </w:r>
      <w:r>
        <w:rPr>
          <w:vertAlign w:val="baseline"/>
        </w:rPr>
        <w:t> </w:t>
      </w:r>
      <w:r>
        <w:rPr>
          <w:spacing w:val="-17"/>
          <w:vertAlign w:val="baseline"/>
        </w:rPr>
        <w:t> </w:t>
      </w:r>
      <w:r>
        <w:rPr>
          <w:spacing w:val="-1"/>
          <w:w w:val="99"/>
          <w:vertAlign w:val="baseline"/>
        </w:rPr>
        <w:t>p</w:t>
      </w:r>
      <w:r>
        <w:rPr>
          <w:w w:val="99"/>
          <w:vertAlign w:val="baseline"/>
        </w:rPr>
        <w:t>r</w:t>
      </w:r>
      <w:r>
        <w:rPr>
          <w:spacing w:val="-1"/>
          <w:w w:val="99"/>
          <w:vertAlign w:val="baseline"/>
        </w:rPr>
        <w:t>incipl</w:t>
      </w:r>
      <w:r>
        <w:rPr>
          <w:w w:val="99"/>
          <w:vertAlign w:val="baseline"/>
        </w:rPr>
        <w:t>e</w:t>
      </w:r>
      <w:r>
        <w:rPr>
          <w:vertAlign w:val="baseline"/>
        </w:rPr>
        <w:t> </w:t>
      </w:r>
      <w:r>
        <w:rPr>
          <w:spacing w:val="-17"/>
          <w:vertAlign w:val="baseline"/>
        </w:rPr>
        <w:t> </w:t>
      </w:r>
      <w:r>
        <w:rPr>
          <w:spacing w:val="-1"/>
          <w:w w:val="99"/>
          <w:vertAlign w:val="baseline"/>
        </w:rPr>
        <w:t>was </w:t>
      </w:r>
      <w:r>
        <w:rPr>
          <w:vertAlign w:val="baseline"/>
        </w:rPr>
        <w:t>reiterated in </w:t>
      </w:r>
      <w:r>
        <w:rPr>
          <w:b/>
          <w:vertAlign w:val="baseline"/>
        </w:rPr>
        <w:t>Smt Bhagwan Kaur </w:t>
      </w:r>
      <w:r>
        <w:rPr>
          <w:vertAlign w:val="baseline"/>
        </w:rPr>
        <w:t>v </w:t>
      </w:r>
      <w:r>
        <w:rPr>
          <w:b/>
          <w:vertAlign w:val="baseline"/>
        </w:rPr>
        <w:t>Shri Maharaj Krishan Sharma</w:t>
      </w:r>
      <w:r>
        <w:rPr>
          <w:vertAlign w:val="superscript"/>
        </w:rPr>
        <w:t>286</w:t>
      </w:r>
      <w:r>
        <w:rPr>
          <w:vertAlign w:val="baseline"/>
        </w:rPr>
        <w:t>. In </w:t>
      </w:r>
      <w:r>
        <w:rPr>
          <w:b/>
          <w:vertAlign w:val="baseline"/>
        </w:rPr>
        <w:t>Murari Lal </w:t>
      </w:r>
      <w:r>
        <w:rPr>
          <w:vertAlign w:val="baseline"/>
        </w:rPr>
        <w:t>v </w:t>
      </w:r>
      <w:r>
        <w:rPr>
          <w:b/>
          <w:vertAlign w:val="baseline"/>
        </w:rPr>
        <w:t>State of Madhya Pradesh</w:t>
      </w:r>
      <w:r>
        <w:rPr>
          <w:vertAlign w:val="superscript"/>
        </w:rPr>
        <w:t>287</w:t>
      </w:r>
      <w:r>
        <w:rPr>
          <w:vertAlign w:val="baseline"/>
        </w:rPr>
        <w:t>, this Court held that it would be unsafe to found a conviction solely on the opinion of a handwriting expert. While  formulating the principle, this Court however noted that the weight to be ascribed to expert evidence is based on the nature of the science on which it is based. Where the science in question possesses essential ingredients of verifiability and objective analysis, expert evidence would to that extent require some deference. The Court</w:t>
      </w:r>
      <w:r>
        <w:rPr>
          <w:spacing w:val="-2"/>
          <w:vertAlign w:val="baseline"/>
        </w:rPr>
        <w:t> </w:t>
      </w:r>
      <w:r>
        <w:rPr>
          <w:vertAlign w:val="baseline"/>
        </w:rPr>
        <w:t>held:</w:t>
      </w:r>
    </w:p>
    <w:p>
      <w:pPr>
        <w:spacing w:line="276" w:lineRule="auto" w:before="161"/>
        <w:ind w:left="1940" w:right="2260" w:firstLine="0"/>
        <w:jc w:val="both"/>
        <w:rPr>
          <w:sz w:val="21"/>
        </w:rPr>
      </w:pPr>
      <w:r>
        <w:rPr>
          <w:spacing w:val="-1"/>
          <w:w w:val="33"/>
          <w:sz w:val="21"/>
        </w:rPr>
        <w:t>―</w:t>
      </w:r>
      <w:r>
        <w:rPr>
          <w:spacing w:val="-1"/>
          <w:w w:val="100"/>
          <w:sz w:val="21"/>
        </w:rPr>
        <w:t>4…</w:t>
      </w:r>
      <w:r>
        <w:rPr>
          <w:spacing w:val="-2"/>
          <w:w w:val="100"/>
          <w:sz w:val="21"/>
        </w:rPr>
        <w:t>T</w:t>
      </w:r>
      <w:r>
        <w:rPr>
          <w:spacing w:val="-1"/>
          <w:w w:val="100"/>
          <w:sz w:val="21"/>
        </w:rPr>
        <w:t>h</w:t>
      </w:r>
      <w:r>
        <w:rPr>
          <w:w w:val="100"/>
          <w:sz w:val="21"/>
        </w:rPr>
        <w:t>e</w:t>
      </w:r>
      <w:r>
        <w:rPr>
          <w:spacing w:val="6"/>
          <w:sz w:val="21"/>
        </w:rPr>
        <w:t> </w:t>
      </w:r>
      <w:r>
        <w:rPr>
          <w:spacing w:val="1"/>
          <w:w w:val="100"/>
          <w:sz w:val="21"/>
        </w:rPr>
        <w:t>m</w:t>
      </w:r>
      <w:r>
        <w:rPr>
          <w:spacing w:val="-1"/>
          <w:w w:val="100"/>
          <w:sz w:val="21"/>
        </w:rPr>
        <w:t>or</w:t>
      </w:r>
      <w:r>
        <w:rPr>
          <w:w w:val="100"/>
          <w:sz w:val="21"/>
        </w:rPr>
        <w:t>e</w:t>
      </w:r>
      <w:r>
        <w:rPr>
          <w:spacing w:val="8"/>
          <w:sz w:val="21"/>
        </w:rPr>
        <w:t> </w:t>
      </w:r>
      <w:r>
        <w:rPr>
          <w:spacing w:val="-3"/>
          <w:w w:val="100"/>
          <w:sz w:val="21"/>
        </w:rPr>
        <w:t>d</w:t>
      </w:r>
      <w:r>
        <w:rPr>
          <w:spacing w:val="-1"/>
          <w:w w:val="100"/>
          <w:sz w:val="21"/>
        </w:rPr>
        <w:t>e</w:t>
      </w:r>
      <w:r>
        <w:rPr>
          <w:spacing w:val="-3"/>
          <w:w w:val="100"/>
          <w:sz w:val="21"/>
        </w:rPr>
        <w:t>v</w:t>
      </w:r>
      <w:r>
        <w:rPr>
          <w:spacing w:val="-1"/>
          <w:w w:val="100"/>
          <w:sz w:val="21"/>
        </w:rPr>
        <w:t>e</w:t>
      </w:r>
      <w:r>
        <w:rPr>
          <w:spacing w:val="1"/>
          <w:w w:val="100"/>
          <w:sz w:val="21"/>
        </w:rPr>
        <w:t>l</w:t>
      </w:r>
      <w:r>
        <w:rPr>
          <w:spacing w:val="-1"/>
          <w:w w:val="100"/>
          <w:sz w:val="21"/>
        </w:rPr>
        <w:t>o</w:t>
      </w:r>
      <w:r>
        <w:rPr>
          <w:spacing w:val="-3"/>
          <w:w w:val="100"/>
          <w:sz w:val="21"/>
        </w:rPr>
        <w:t>p</w:t>
      </w:r>
      <w:r>
        <w:rPr>
          <w:spacing w:val="-1"/>
          <w:w w:val="100"/>
          <w:sz w:val="21"/>
        </w:rPr>
        <w:t>e</w:t>
      </w:r>
      <w:r>
        <w:rPr>
          <w:w w:val="100"/>
          <w:sz w:val="21"/>
        </w:rPr>
        <w:t>d</w:t>
      </w:r>
      <w:r>
        <w:rPr>
          <w:spacing w:val="6"/>
          <w:sz w:val="21"/>
        </w:rPr>
        <w:t> </w:t>
      </w:r>
      <w:r>
        <w:rPr>
          <w:spacing w:val="-1"/>
          <w:w w:val="100"/>
          <w:sz w:val="21"/>
        </w:rPr>
        <w:t>an</w:t>
      </w:r>
      <w:r>
        <w:rPr>
          <w:w w:val="100"/>
          <w:sz w:val="21"/>
        </w:rPr>
        <w:t>d</w:t>
      </w:r>
      <w:r>
        <w:rPr>
          <w:spacing w:val="9"/>
          <w:sz w:val="21"/>
        </w:rPr>
        <w:t> </w:t>
      </w:r>
      <w:r>
        <w:rPr>
          <w:spacing w:val="-2"/>
          <w:w w:val="100"/>
          <w:sz w:val="21"/>
        </w:rPr>
        <w:t>t</w:t>
      </w:r>
      <w:r>
        <w:rPr>
          <w:spacing w:val="-1"/>
          <w:w w:val="100"/>
          <w:sz w:val="21"/>
        </w:rPr>
        <w:t>h</w:t>
      </w:r>
      <w:r>
        <w:rPr>
          <w:w w:val="100"/>
          <w:sz w:val="21"/>
        </w:rPr>
        <w:t>e</w:t>
      </w:r>
      <w:r>
        <w:rPr>
          <w:spacing w:val="6"/>
          <w:sz w:val="21"/>
        </w:rPr>
        <w:t> </w:t>
      </w:r>
      <w:r>
        <w:rPr>
          <w:spacing w:val="1"/>
          <w:w w:val="100"/>
          <w:sz w:val="21"/>
        </w:rPr>
        <w:t>m</w:t>
      </w:r>
      <w:r>
        <w:rPr>
          <w:spacing w:val="-1"/>
          <w:w w:val="100"/>
          <w:sz w:val="21"/>
        </w:rPr>
        <w:t>or</w:t>
      </w:r>
      <w:r>
        <w:rPr>
          <w:w w:val="100"/>
          <w:sz w:val="21"/>
        </w:rPr>
        <w:t>e</w:t>
      </w:r>
      <w:r>
        <w:rPr>
          <w:spacing w:val="8"/>
          <w:sz w:val="21"/>
        </w:rPr>
        <w:t> </w:t>
      </w:r>
      <w:r>
        <w:rPr>
          <w:spacing w:val="-3"/>
          <w:w w:val="100"/>
          <w:sz w:val="21"/>
        </w:rPr>
        <w:t>p</w:t>
      </w:r>
      <w:r>
        <w:rPr>
          <w:spacing w:val="-1"/>
          <w:w w:val="100"/>
          <w:sz w:val="21"/>
        </w:rPr>
        <w:t>er</w:t>
      </w:r>
      <w:r>
        <w:rPr>
          <w:spacing w:val="-2"/>
          <w:w w:val="100"/>
          <w:sz w:val="21"/>
        </w:rPr>
        <w:t>f</w:t>
      </w:r>
      <w:r>
        <w:rPr>
          <w:spacing w:val="-1"/>
          <w:w w:val="100"/>
          <w:sz w:val="21"/>
        </w:rPr>
        <w:t>ec</w:t>
      </w:r>
      <w:r>
        <w:rPr>
          <w:w w:val="100"/>
          <w:sz w:val="21"/>
        </w:rPr>
        <w:t>t</w:t>
      </w:r>
      <w:r>
        <w:rPr>
          <w:spacing w:val="7"/>
          <w:sz w:val="21"/>
        </w:rPr>
        <w:t> </w:t>
      </w:r>
      <w:r>
        <w:rPr>
          <w:w w:val="100"/>
          <w:sz w:val="21"/>
        </w:rPr>
        <w:t>a</w:t>
      </w:r>
      <w:r>
        <w:rPr>
          <w:spacing w:val="8"/>
          <w:sz w:val="21"/>
        </w:rPr>
        <w:t> </w:t>
      </w:r>
      <w:r>
        <w:rPr>
          <w:w w:val="100"/>
          <w:sz w:val="21"/>
        </w:rPr>
        <w:t>s</w:t>
      </w:r>
      <w:r>
        <w:rPr>
          <w:spacing w:val="-3"/>
          <w:w w:val="100"/>
          <w:sz w:val="21"/>
        </w:rPr>
        <w:t>c</w:t>
      </w:r>
      <w:r>
        <w:rPr>
          <w:w w:val="100"/>
          <w:sz w:val="21"/>
        </w:rPr>
        <w:t>i</w:t>
      </w:r>
      <w:r>
        <w:rPr>
          <w:spacing w:val="-1"/>
          <w:w w:val="100"/>
          <w:sz w:val="21"/>
        </w:rPr>
        <w:t>en</w:t>
      </w:r>
      <w:r>
        <w:rPr>
          <w:spacing w:val="-3"/>
          <w:w w:val="100"/>
          <w:sz w:val="21"/>
        </w:rPr>
        <w:t>c</w:t>
      </w:r>
      <w:r>
        <w:rPr>
          <w:spacing w:val="-1"/>
          <w:w w:val="100"/>
          <w:sz w:val="21"/>
        </w:rPr>
        <w:t>e</w:t>
      </w:r>
      <w:r>
        <w:rPr>
          <w:w w:val="100"/>
          <w:sz w:val="21"/>
        </w:rPr>
        <w:t>,</w:t>
      </w:r>
      <w:r>
        <w:rPr>
          <w:spacing w:val="7"/>
          <w:sz w:val="21"/>
        </w:rPr>
        <w:t> </w:t>
      </w:r>
      <w:r>
        <w:rPr>
          <w:spacing w:val="-2"/>
          <w:w w:val="100"/>
          <w:sz w:val="21"/>
        </w:rPr>
        <w:t>t</w:t>
      </w:r>
      <w:r>
        <w:rPr>
          <w:spacing w:val="-1"/>
          <w:w w:val="100"/>
          <w:sz w:val="21"/>
        </w:rPr>
        <w:t>he </w:t>
      </w:r>
      <w:r>
        <w:rPr>
          <w:sz w:val="21"/>
        </w:rPr>
        <w:t>less the chance of an incorrect opinion and the converse if  the science is less developed and imperfect. The science of identification of finger-prints has attained near perfection and the risk of an incorrect opinion is practically non-existent. On the other hand, the science of identification of handwriting is not nearly so perfect and the risk is, therefore,</w:t>
      </w:r>
      <w:r>
        <w:rPr>
          <w:spacing w:val="-35"/>
          <w:sz w:val="21"/>
        </w:rPr>
        <w:t> </w:t>
      </w:r>
      <w:r>
        <w:rPr>
          <w:sz w:val="21"/>
        </w:rPr>
        <w:t>higher...‖</w:t>
      </w:r>
    </w:p>
    <w:p>
      <w:pPr>
        <w:pStyle w:val="BodyText"/>
        <w:rPr>
          <w:sz w:val="20"/>
        </w:rPr>
      </w:pPr>
    </w:p>
    <w:p>
      <w:pPr>
        <w:pStyle w:val="BodyText"/>
        <w:rPr>
          <w:sz w:val="20"/>
        </w:rPr>
      </w:pPr>
    </w:p>
    <w:p>
      <w:pPr>
        <w:pStyle w:val="BodyText"/>
        <w:spacing w:before="2"/>
        <w:rPr>
          <w:sz w:val="23"/>
        </w:rPr>
      </w:pPr>
      <w:r>
        <w:rPr/>
        <w:pict>
          <v:rect style="position:absolute;margin-left:72.024002pt;margin-top:15.298761pt;width:144.020pt;height:.60004pt;mso-position-horizontal-relative:page;mso-position-vertical-relative:paragraph;z-index:-15647232;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285</w:t>
      </w:r>
      <w:r>
        <w:rPr>
          <w:sz w:val="18"/>
          <w:vertAlign w:val="baseline"/>
        </w:rPr>
        <w:t> AIR 1954 SC 316</w:t>
      </w:r>
    </w:p>
    <w:p>
      <w:pPr>
        <w:spacing w:line="207" w:lineRule="exact" w:before="0"/>
        <w:ind w:left="500" w:right="0" w:firstLine="0"/>
        <w:jc w:val="left"/>
        <w:rPr>
          <w:sz w:val="18"/>
        </w:rPr>
      </w:pPr>
      <w:r>
        <w:rPr>
          <w:sz w:val="18"/>
          <w:vertAlign w:val="superscript"/>
        </w:rPr>
        <w:t>286</w:t>
      </w:r>
      <w:r>
        <w:rPr>
          <w:sz w:val="18"/>
          <w:vertAlign w:val="baseline"/>
        </w:rPr>
        <w:t> (1973) 4 SCC 46</w:t>
      </w:r>
    </w:p>
    <w:p>
      <w:pPr>
        <w:spacing w:before="1"/>
        <w:ind w:left="500" w:right="0" w:firstLine="0"/>
        <w:jc w:val="left"/>
        <w:rPr>
          <w:sz w:val="18"/>
        </w:rPr>
      </w:pPr>
      <w:r>
        <w:rPr>
          <w:sz w:val="18"/>
          <w:vertAlign w:val="superscript"/>
        </w:rPr>
        <w:t>287</w:t>
      </w:r>
      <w:r>
        <w:rPr>
          <w:sz w:val="18"/>
          <w:vertAlign w:val="baseline"/>
        </w:rPr>
        <w:t> (1980) 1 SCC 704</w:t>
      </w:r>
    </w:p>
    <w:p>
      <w:pPr>
        <w:spacing w:after="0"/>
        <w:jc w:val="left"/>
        <w:rPr>
          <w:sz w:val="18"/>
        </w:rPr>
        <w:sectPr>
          <w:pgSz w:w="11910" w:h="16840"/>
          <w:pgMar w:header="721" w:footer="1014" w:top="1300" w:bottom="1200" w:left="940" w:right="1000"/>
        </w:sectPr>
      </w:pPr>
    </w:p>
    <w:p>
      <w:pPr>
        <w:pStyle w:val="BodyText"/>
        <w:spacing w:line="480" w:lineRule="auto" w:before="124"/>
        <w:ind w:left="500" w:right="433"/>
        <w:jc w:val="both"/>
      </w:pPr>
      <w:r>
        <w:rPr/>
        <w:t>Thus, in the above extract, the court made a distinction between identification of fingerprints and opinions of handwriting experts. Hence, the weight that should be given to expert evidence is based on the nature of the underlying science on the basis of which the expert opines. Commenting on the imperfect nature of the science of identification of handwriting this Court in </w:t>
      </w:r>
      <w:r>
        <w:rPr>
          <w:b/>
        </w:rPr>
        <w:t>State of Maharashtra </w:t>
      </w:r>
      <w:r>
        <w:rPr/>
        <w:t>v </w:t>
      </w:r>
      <w:r>
        <w:rPr>
          <w:b/>
        </w:rPr>
        <w:t>Sukhdev Singh</w:t>
      </w:r>
      <w:r>
        <w:rPr>
          <w:vertAlign w:val="superscript"/>
        </w:rPr>
        <w:t>288</w:t>
      </w:r>
      <w:r>
        <w:rPr>
          <w:vertAlign w:val="baseline"/>
        </w:rPr>
        <w:t> held:</w:t>
      </w:r>
    </w:p>
    <w:p>
      <w:pPr>
        <w:spacing w:line="276" w:lineRule="auto" w:before="0"/>
        <w:ind w:left="1940" w:right="2261" w:firstLine="0"/>
        <w:jc w:val="both"/>
        <w:rPr>
          <w:sz w:val="21"/>
        </w:rPr>
      </w:pPr>
      <w:r>
        <w:rPr>
          <w:spacing w:val="-1"/>
          <w:w w:val="33"/>
          <w:sz w:val="21"/>
        </w:rPr>
        <w:t>―</w:t>
      </w:r>
      <w:r>
        <w:rPr>
          <w:spacing w:val="-1"/>
          <w:w w:val="100"/>
          <w:sz w:val="21"/>
        </w:rPr>
        <w:t>29</w:t>
      </w:r>
      <w:r>
        <w:rPr>
          <w:spacing w:val="-3"/>
          <w:w w:val="100"/>
          <w:sz w:val="21"/>
        </w:rPr>
        <w:t>…</w:t>
      </w:r>
      <w:r>
        <w:rPr>
          <w:w w:val="100"/>
          <w:sz w:val="21"/>
        </w:rPr>
        <w:t>But</w:t>
      </w:r>
      <w:r>
        <w:rPr>
          <w:spacing w:val="17"/>
          <w:sz w:val="21"/>
        </w:rPr>
        <w:t> </w:t>
      </w:r>
      <w:r>
        <w:rPr>
          <w:w w:val="100"/>
          <w:sz w:val="21"/>
        </w:rPr>
        <w:t>si</w:t>
      </w:r>
      <w:r>
        <w:rPr>
          <w:spacing w:val="-3"/>
          <w:w w:val="100"/>
          <w:sz w:val="21"/>
        </w:rPr>
        <w:t>n</w:t>
      </w:r>
      <w:r>
        <w:rPr>
          <w:w w:val="100"/>
          <w:sz w:val="21"/>
        </w:rPr>
        <w:t>ce</w:t>
      </w:r>
      <w:r>
        <w:rPr>
          <w:spacing w:val="18"/>
          <w:sz w:val="21"/>
        </w:rPr>
        <w:t> </w:t>
      </w:r>
      <w:r>
        <w:rPr>
          <w:spacing w:val="-2"/>
          <w:w w:val="100"/>
          <w:sz w:val="21"/>
        </w:rPr>
        <w:t>t</w:t>
      </w:r>
      <w:r>
        <w:rPr>
          <w:w w:val="100"/>
          <w:sz w:val="21"/>
        </w:rPr>
        <w:t>he</w:t>
      </w:r>
      <w:r>
        <w:rPr>
          <w:spacing w:val="18"/>
          <w:sz w:val="21"/>
        </w:rPr>
        <w:t> </w:t>
      </w:r>
      <w:r>
        <w:rPr>
          <w:w w:val="100"/>
          <w:sz w:val="21"/>
        </w:rPr>
        <w:t>sc</w:t>
      </w:r>
      <w:r>
        <w:rPr>
          <w:spacing w:val="-2"/>
          <w:w w:val="100"/>
          <w:sz w:val="21"/>
        </w:rPr>
        <w:t>i</w:t>
      </w:r>
      <w:r>
        <w:rPr>
          <w:w w:val="100"/>
          <w:sz w:val="21"/>
        </w:rPr>
        <w:t>en</w:t>
      </w:r>
      <w:r>
        <w:rPr>
          <w:spacing w:val="-3"/>
          <w:w w:val="100"/>
          <w:sz w:val="21"/>
        </w:rPr>
        <w:t>c</w:t>
      </w:r>
      <w:r>
        <w:rPr>
          <w:w w:val="100"/>
          <w:sz w:val="21"/>
        </w:rPr>
        <w:t>e</w:t>
      </w:r>
      <w:r>
        <w:rPr>
          <w:spacing w:val="18"/>
          <w:sz w:val="21"/>
        </w:rPr>
        <w:t> </w:t>
      </w:r>
      <w:r>
        <w:rPr>
          <w:w w:val="100"/>
          <w:sz w:val="21"/>
        </w:rPr>
        <w:t>of</w:t>
      </w:r>
      <w:r>
        <w:rPr>
          <w:spacing w:val="19"/>
          <w:sz w:val="21"/>
        </w:rPr>
        <w:t> </w:t>
      </w:r>
      <w:r>
        <w:rPr>
          <w:w w:val="100"/>
          <w:sz w:val="21"/>
        </w:rPr>
        <w:t>i</w:t>
      </w:r>
      <w:r>
        <w:rPr>
          <w:spacing w:val="-3"/>
          <w:w w:val="100"/>
          <w:sz w:val="21"/>
        </w:rPr>
        <w:t>d</w:t>
      </w:r>
      <w:r>
        <w:rPr>
          <w:w w:val="100"/>
          <w:sz w:val="21"/>
        </w:rPr>
        <w:t>en</w:t>
      </w:r>
      <w:r>
        <w:rPr>
          <w:spacing w:val="-1"/>
          <w:w w:val="100"/>
          <w:sz w:val="21"/>
        </w:rPr>
        <w:t>t</w:t>
      </w:r>
      <w:r>
        <w:rPr>
          <w:spacing w:val="-2"/>
          <w:w w:val="100"/>
          <w:sz w:val="21"/>
        </w:rPr>
        <w:t>i</w:t>
      </w:r>
      <w:r>
        <w:rPr>
          <w:spacing w:val="1"/>
          <w:w w:val="100"/>
          <w:sz w:val="21"/>
        </w:rPr>
        <w:t>f</w:t>
      </w:r>
      <w:r>
        <w:rPr>
          <w:spacing w:val="-2"/>
          <w:w w:val="100"/>
          <w:sz w:val="21"/>
        </w:rPr>
        <w:t>i</w:t>
      </w:r>
      <w:r>
        <w:rPr>
          <w:w w:val="100"/>
          <w:sz w:val="21"/>
        </w:rPr>
        <w:t>ca</w:t>
      </w:r>
      <w:r>
        <w:rPr>
          <w:spacing w:val="-1"/>
          <w:w w:val="100"/>
          <w:sz w:val="21"/>
        </w:rPr>
        <w:t>t</w:t>
      </w:r>
      <w:r>
        <w:rPr>
          <w:spacing w:val="-2"/>
          <w:w w:val="100"/>
          <w:sz w:val="21"/>
        </w:rPr>
        <w:t>i</w:t>
      </w:r>
      <w:r>
        <w:rPr>
          <w:w w:val="100"/>
          <w:sz w:val="21"/>
        </w:rPr>
        <w:t>on</w:t>
      </w:r>
      <w:r>
        <w:rPr>
          <w:spacing w:val="18"/>
          <w:sz w:val="21"/>
        </w:rPr>
        <w:t> </w:t>
      </w:r>
      <w:r>
        <w:rPr>
          <w:w w:val="100"/>
          <w:sz w:val="21"/>
        </w:rPr>
        <w:t>of</w:t>
      </w:r>
      <w:r>
        <w:rPr>
          <w:spacing w:val="19"/>
          <w:sz w:val="21"/>
        </w:rPr>
        <w:t> </w:t>
      </w:r>
      <w:r>
        <w:rPr>
          <w:spacing w:val="-3"/>
          <w:w w:val="100"/>
          <w:sz w:val="21"/>
        </w:rPr>
        <w:t>h</w:t>
      </w:r>
      <w:r>
        <w:rPr>
          <w:w w:val="100"/>
          <w:sz w:val="21"/>
        </w:rPr>
        <w:t>an</w:t>
      </w:r>
      <w:r>
        <w:rPr>
          <w:spacing w:val="-2"/>
          <w:w w:val="100"/>
          <w:sz w:val="21"/>
        </w:rPr>
        <w:t>dw</w:t>
      </w:r>
      <w:r>
        <w:rPr>
          <w:spacing w:val="-1"/>
          <w:w w:val="100"/>
          <w:sz w:val="21"/>
        </w:rPr>
        <w:t>r</w:t>
      </w:r>
      <w:r>
        <w:rPr>
          <w:w w:val="100"/>
          <w:sz w:val="21"/>
        </w:rPr>
        <w:t>i</w:t>
      </w:r>
      <w:r>
        <w:rPr>
          <w:spacing w:val="-2"/>
          <w:w w:val="100"/>
          <w:sz w:val="21"/>
        </w:rPr>
        <w:t>t</w:t>
      </w:r>
      <w:r>
        <w:rPr>
          <w:w w:val="100"/>
          <w:sz w:val="21"/>
        </w:rPr>
        <w:t>i</w:t>
      </w:r>
      <w:r>
        <w:rPr>
          <w:w w:val="100"/>
          <w:sz w:val="21"/>
        </w:rPr>
        <w:t>ng</w:t>
      </w:r>
      <w:r>
        <w:rPr>
          <w:spacing w:val="18"/>
          <w:sz w:val="21"/>
        </w:rPr>
        <w:t> </w:t>
      </w:r>
      <w:r>
        <w:rPr>
          <w:w w:val="100"/>
          <w:sz w:val="21"/>
        </w:rPr>
        <w:t>by </w:t>
      </w:r>
      <w:r>
        <w:rPr>
          <w:sz w:val="21"/>
        </w:rPr>
        <w:t>comparison is not an infallible one, prudence demands that before acting on such opinion the court should be fully satisfied about the authorship of the admitted writings which  is made the sole basis for comparison and the court should also be fully satisfied about the competence and credibility of the handwriting</w:t>
      </w:r>
      <w:r>
        <w:rPr>
          <w:spacing w:val="-3"/>
          <w:sz w:val="21"/>
        </w:rPr>
        <w:t> </w:t>
      </w:r>
      <w:r>
        <w:rPr>
          <w:sz w:val="21"/>
        </w:rPr>
        <w:t>expert…</w:t>
      </w:r>
    </w:p>
    <w:p>
      <w:pPr>
        <w:spacing w:line="276" w:lineRule="auto" w:before="0"/>
        <w:ind w:left="1940" w:right="2261" w:firstLine="0"/>
        <w:jc w:val="both"/>
        <w:rPr>
          <w:sz w:val="21"/>
        </w:rPr>
      </w:pPr>
      <w:r>
        <w:rPr>
          <w:sz w:val="21"/>
        </w:rPr>
        <w:t>True it is, there is no rule of law that the evidence of a handwriting expert cannot be acted upon unless substantially corroborated but courts have been slow in placing implicit reliance on such opinion evidence, without more, because of the imperfect nature of the science of identification of handwriting and its accepted fallibility…‖</w:t>
      </w:r>
    </w:p>
    <w:p>
      <w:pPr>
        <w:pStyle w:val="BodyText"/>
        <w:rPr>
          <w:sz w:val="24"/>
        </w:rPr>
      </w:pPr>
    </w:p>
    <w:p>
      <w:pPr>
        <w:pStyle w:val="BodyText"/>
        <w:spacing w:before="6"/>
        <w:rPr>
          <w:sz w:val="29"/>
        </w:rPr>
      </w:pPr>
    </w:p>
    <w:p>
      <w:pPr>
        <w:spacing w:line="480" w:lineRule="auto" w:before="0"/>
        <w:ind w:left="500" w:right="435" w:firstLine="0"/>
        <w:jc w:val="both"/>
        <w:rPr>
          <w:sz w:val="25"/>
        </w:rPr>
      </w:pPr>
      <w:r>
        <w:rPr>
          <w:sz w:val="25"/>
        </w:rPr>
        <w:t>[See also in this context: </w:t>
      </w:r>
      <w:r>
        <w:rPr>
          <w:b/>
          <w:sz w:val="25"/>
        </w:rPr>
        <w:t>Shashi Kumar Banerjee </w:t>
      </w:r>
      <w:r>
        <w:rPr>
          <w:sz w:val="25"/>
        </w:rPr>
        <w:t>v </w:t>
      </w:r>
      <w:r>
        <w:rPr>
          <w:b/>
          <w:sz w:val="25"/>
        </w:rPr>
        <w:t>Subodh Kumar Banerjee</w:t>
      </w:r>
      <w:r>
        <w:rPr>
          <w:sz w:val="25"/>
          <w:vertAlign w:val="superscript"/>
        </w:rPr>
        <w:t>289</w:t>
      </w:r>
      <w:r>
        <w:rPr>
          <w:sz w:val="25"/>
          <w:vertAlign w:val="baseline"/>
        </w:rPr>
        <w:t>, </w:t>
      </w:r>
      <w:r>
        <w:rPr>
          <w:b/>
          <w:sz w:val="25"/>
          <w:vertAlign w:val="baseline"/>
        </w:rPr>
        <w:t>S P S Rathore </w:t>
      </w:r>
      <w:r>
        <w:rPr>
          <w:sz w:val="25"/>
          <w:vertAlign w:val="baseline"/>
        </w:rPr>
        <w:t>v </w:t>
      </w:r>
      <w:r>
        <w:rPr>
          <w:b/>
          <w:sz w:val="25"/>
          <w:vertAlign w:val="baseline"/>
        </w:rPr>
        <w:t>CBI</w:t>
      </w:r>
      <w:r>
        <w:rPr>
          <w:sz w:val="25"/>
          <w:vertAlign w:val="superscript"/>
        </w:rPr>
        <w:t>290</w:t>
      </w:r>
      <w:r>
        <w:rPr>
          <w:sz w:val="25"/>
          <w:vertAlign w:val="baseline"/>
        </w:rPr>
        <w:t> and </w:t>
      </w:r>
      <w:r>
        <w:rPr>
          <w:b/>
          <w:sz w:val="25"/>
          <w:vertAlign w:val="baseline"/>
        </w:rPr>
        <w:t>Chennadi Jalapathi Reddy </w:t>
      </w:r>
      <w:r>
        <w:rPr>
          <w:sz w:val="25"/>
          <w:vertAlign w:val="baseline"/>
        </w:rPr>
        <w:t>v </w:t>
      </w:r>
      <w:r>
        <w:rPr>
          <w:b/>
          <w:sz w:val="25"/>
          <w:vertAlign w:val="baseline"/>
        </w:rPr>
        <w:t>Baddam Pratapa Reddy</w:t>
      </w:r>
      <w:r>
        <w:rPr>
          <w:sz w:val="25"/>
          <w:vertAlign w:val="superscript"/>
        </w:rPr>
        <w:t>291</w:t>
      </w:r>
      <w:r>
        <w:rPr>
          <w:sz w:val="25"/>
          <w:vertAlign w:val="baseline"/>
        </w:rPr>
        <w:t>.]</w:t>
      </w:r>
    </w:p>
    <w:p>
      <w:pPr>
        <w:pStyle w:val="BodyText"/>
        <w:rPr>
          <w:sz w:val="32"/>
        </w:rPr>
      </w:pPr>
    </w:p>
    <w:p>
      <w:pPr>
        <w:pStyle w:val="BodyText"/>
        <w:spacing w:line="480" w:lineRule="auto" w:before="210"/>
        <w:ind w:left="500" w:right="442"/>
        <w:jc w:val="both"/>
      </w:pPr>
      <w:r>
        <w:rPr/>
        <w:t>The attempt by Ms Arora, learned Senior Counsel in her submissions to compare archaeological evidence with handwriting analysis is flawed. Underlying this submission is an erroneous appreciation of the knowledge, skills and expertise required of an archaeologist. It becomes necessary to dwell on the process adopted by ASI in conducting the excavation.</w:t>
      </w:r>
    </w:p>
    <w:p>
      <w:pPr>
        <w:pStyle w:val="BodyText"/>
        <w:spacing w:before="6"/>
        <w:rPr>
          <w:sz w:val="10"/>
        </w:rPr>
      </w:pPr>
      <w:r>
        <w:rPr/>
        <w:pict>
          <v:rect style="position:absolute;margin-left:72.024002pt;margin-top:8.035828pt;width:144.020pt;height:.599980pt;mso-position-horizontal-relative:page;mso-position-vertical-relative:paragraph;z-index:-15646720;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288</w:t>
      </w:r>
      <w:r>
        <w:rPr>
          <w:sz w:val="18"/>
          <w:vertAlign w:val="baseline"/>
        </w:rPr>
        <w:t> (1992) 3 SCC 700</w:t>
      </w:r>
    </w:p>
    <w:p>
      <w:pPr>
        <w:spacing w:line="206" w:lineRule="exact" w:before="0"/>
        <w:ind w:left="500" w:right="0" w:firstLine="0"/>
        <w:jc w:val="left"/>
        <w:rPr>
          <w:sz w:val="18"/>
        </w:rPr>
      </w:pPr>
      <w:r>
        <w:rPr>
          <w:sz w:val="18"/>
          <w:vertAlign w:val="superscript"/>
        </w:rPr>
        <w:t>289</w:t>
      </w:r>
      <w:r>
        <w:rPr>
          <w:sz w:val="18"/>
          <w:vertAlign w:val="baseline"/>
        </w:rPr>
        <w:t> AIR 1964 SC 529</w:t>
      </w:r>
    </w:p>
    <w:p>
      <w:pPr>
        <w:spacing w:line="207" w:lineRule="exact" w:before="0"/>
        <w:ind w:left="500" w:right="0" w:firstLine="0"/>
        <w:jc w:val="left"/>
        <w:rPr>
          <w:sz w:val="18"/>
        </w:rPr>
      </w:pPr>
      <w:r>
        <w:rPr>
          <w:sz w:val="18"/>
          <w:vertAlign w:val="superscript"/>
        </w:rPr>
        <w:t>290</w:t>
      </w:r>
      <w:r>
        <w:rPr>
          <w:sz w:val="18"/>
          <w:vertAlign w:val="baseline"/>
        </w:rPr>
        <w:t> (2017) 5 SCC 817</w:t>
      </w:r>
    </w:p>
    <w:p>
      <w:pPr>
        <w:spacing w:before="1"/>
        <w:ind w:left="500" w:right="0" w:firstLine="0"/>
        <w:jc w:val="left"/>
        <w:rPr>
          <w:sz w:val="18"/>
        </w:rPr>
      </w:pPr>
      <w:r>
        <w:rPr>
          <w:sz w:val="18"/>
          <w:vertAlign w:val="superscript"/>
        </w:rPr>
        <w:t>291</w:t>
      </w:r>
      <w:r>
        <w:rPr>
          <w:sz w:val="18"/>
          <w:vertAlign w:val="baseline"/>
        </w:rPr>
        <w:t> (2019) SCC Online SC 1098</w:t>
      </w:r>
    </w:p>
    <w:p>
      <w:pPr>
        <w:spacing w:after="0"/>
        <w:jc w:val="left"/>
        <w:rPr>
          <w:sz w:val="18"/>
        </w:rPr>
        <w:sectPr>
          <w:pgSz w:w="11910" w:h="16840"/>
          <w:pgMar w:header="721" w:footer="1014" w:top="1300" w:bottom="1200" w:left="940" w:right="1000"/>
        </w:sectPr>
      </w:pPr>
    </w:p>
    <w:p>
      <w:pPr>
        <w:pStyle w:val="Heading4"/>
        <w:spacing w:before="126"/>
        <w:jc w:val="left"/>
        <w:rPr>
          <w:i/>
        </w:rPr>
      </w:pPr>
      <w:r>
        <w:rPr>
          <w:i/>
        </w:rPr>
        <w:t>The process</w:t>
      </w:r>
    </w:p>
    <w:p>
      <w:pPr>
        <w:pStyle w:val="BodyText"/>
        <w:rPr>
          <w:i/>
          <w:sz w:val="28"/>
        </w:rPr>
      </w:pPr>
    </w:p>
    <w:p>
      <w:pPr>
        <w:pStyle w:val="BodyText"/>
        <w:spacing w:before="9"/>
        <w:rPr>
          <w:i/>
          <w:sz w:val="36"/>
        </w:rPr>
      </w:pPr>
    </w:p>
    <w:p>
      <w:pPr>
        <w:pStyle w:val="ListParagraph"/>
        <w:numPr>
          <w:ilvl w:val="0"/>
          <w:numId w:val="111"/>
        </w:numPr>
        <w:tabs>
          <w:tab w:pos="1221" w:val="left" w:leader="none"/>
        </w:tabs>
        <w:spacing w:line="480" w:lineRule="auto" w:before="0" w:after="0"/>
        <w:ind w:left="500" w:right="434" w:firstLine="0"/>
        <w:jc w:val="both"/>
        <w:rPr>
          <w:sz w:val="25"/>
        </w:rPr>
      </w:pPr>
      <w:r>
        <w:rPr>
          <w:sz w:val="25"/>
        </w:rPr>
        <w:t>The High Court issued detailed directions for the preservation of the record of excavation. Following the order of the High Court on 5 March 2003, a fourteen member ASI team was constituted by the Director General. On 11 March 2003, the High Court directed that a general survey of the site and layout of trenches would be conducted in the presence of contesting parties or their counsel. Videography was ordered and the results were to be placed in a sealed cover. </w:t>
      </w:r>
      <w:r>
        <w:rPr>
          <w:w w:val="99"/>
          <w:sz w:val="25"/>
        </w:rPr>
        <w:t>T</w:t>
      </w:r>
      <w:r>
        <w:rPr>
          <w:w w:val="99"/>
          <w:sz w:val="25"/>
        </w:rPr>
        <w:t>he</w:t>
      </w:r>
      <w:r>
        <w:rPr>
          <w:spacing w:val="2"/>
          <w:sz w:val="25"/>
        </w:rPr>
        <w:t> </w:t>
      </w:r>
      <w:r>
        <w:rPr>
          <w:w w:val="99"/>
          <w:sz w:val="25"/>
        </w:rPr>
        <w:t>mat</w:t>
      </w:r>
      <w:r>
        <w:rPr>
          <w:spacing w:val="-2"/>
          <w:w w:val="99"/>
          <w:sz w:val="25"/>
        </w:rPr>
        <w:t>e</w:t>
      </w:r>
      <w:r>
        <w:rPr>
          <w:w w:val="99"/>
          <w:sz w:val="25"/>
        </w:rPr>
        <w:t>r</w:t>
      </w:r>
      <w:r>
        <w:rPr>
          <w:w w:val="99"/>
          <w:sz w:val="25"/>
        </w:rPr>
        <w:t>ials</w:t>
      </w:r>
      <w:r>
        <w:rPr>
          <w:spacing w:val="2"/>
          <w:sz w:val="25"/>
        </w:rPr>
        <w:t> </w:t>
      </w:r>
      <w:r>
        <w:rPr>
          <w:w w:val="99"/>
          <w:sz w:val="25"/>
        </w:rPr>
        <w:t>r</w:t>
      </w:r>
      <w:r>
        <w:rPr>
          <w:w w:val="99"/>
          <w:sz w:val="25"/>
        </w:rPr>
        <w:t>eco</w:t>
      </w:r>
      <w:r>
        <w:rPr>
          <w:spacing w:val="-3"/>
          <w:w w:val="99"/>
          <w:sz w:val="25"/>
        </w:rPr>
        <w:t>v</w:t>
      </w:r>
      <w:r>
        <w:rPr>
          <w:w w:val="99"/>
          <w:sz w:val="25"/>
        </w:rPr>
        <w:t>e</w:t>
      </w:r>
      <w:r>
        <w:rPr>
          <w:spacing w:val="1"/>
          <w:w w:val="99"/>
          <w:sz w:val="25"/>
        </w:rPr>
        <w:t>r</w:t>
      </w:r>
      <w:r>
        <w:rPr>
          <w:w w:val="99"/>
          <w:sz w:val="25"/>
        </w:rPr>
        <w:t>ed</w:t>
      </w:r>
      <w:r>
        <w:rPr>
          <w:spacing w:val="2"/>
          <w:sz w:val="25"/>
        </w:rPr>
        <w:t> </w:t>
      </w:r>
      <w:r>
        <w:rPr>
          <w:w w:val="99"/>
          <w:sz w:val="25"/>
        </w:rPr>
        <w:t>were</w:t>
      </w:r>
      <w:r>
        <w:rPr>
          <w:spacing w:val="2"/>
          <w:sz w:val="25"/>
        </w:rPr>
        <w:t> </w:t>
      </w:r>
      <w:r>
        <w:rPr>
          <w:w w:val="99"/>
          <w:sz w:val="25"/>
        </w:rPr>
        <w:t>also</w:t>
      </w:r>
      <w:r>
        <w:rPr>
          <w:spacing w:val="2"/>
          <w:sz w:val="25"/>
        </w:rPr>
        <w:t> </w:t>
      </w:r>
      <w:r>
        <w:rPr>
          <w:w w:val="99"/>
          <w:sz w:val="25"/>
        </w:rPr>
        <w:t>d</w:t>
      </w:r>
      <w:r>
        <w:rPr>
          <w:spacing w:val="4"/>
          <w:w w:val="99"/>
          <w:sz w:val="25"/>
        </w:rPr>
        <w:t>i</w:t>
      </w:r>
      <w:r>
        <w:rPr>
          <w:w w:val="99"/>
          <w:sz w:val="25"/>
        </w:rPr>
        <w:t>r</w:t>
      </w:r>
      <w:r>
        <w:rPr>
          <w:spacing w:val="-1"/>
          <w:w w:val="99"/>
          <w:sz w:val="25"/>
        </w:rPr>
        <w:t>ect</w:t>
      </w:r>
      <w:r>
        <w:rPr>
          <w:spacing w:val="-2"/>
          <w:w w:val="99"/>
          <w:sz w:val="25"/>
        </w:rPr>
        <w:t>e</w:t>
      </w:r>
      <w:r>
        <w:rPr>
          <w:w w:val="99"/>
          <w:sz w:val="25"/>
        </w:rPr>
        <w:t>d</w:t>
      </w:r>
      <w:r>
        <w:rPr>
          <w:spacing w:val="-1"/>
          <w:sz w:val="25"/>
        </w:rPr>
        <w:t> </w:t>
      </w:r>
      <w:r>
        <w:rPr>
          <w:w w:val="99"/>
          <w:sz w:val="25"/>
        </w:rPr>
        <w:t>to</w:t>
      </w:r>
      <w:r>
        <w:rPr>
          <w:spacing w:val="2"/>
          <w:sz w:val="25"/>
        </w:rPr>
        <w:t> </w:t>
      </w:r>
      <w:r>
        <w:rPr>
          <w:spacing w:val="-1"/>
          <w:w w:val="99"/>
          <w:sz w:val="25"/>
        </w:rPr>
        <w:t>b</w:t>
      </w:r>
      <w:r>
        <w:rPr>
          <w:w w:val="99"/>
          <w:sz w:val="25"/>
        </w:rPr>
        <w:t>e</w:t>
      </w:r>
      <w:r>
        <w:rPr>
          <w:spacing w:val="2"/>
          <w:sz w:val="25"/>
        </w:rPr>
        <w:t> </w:t>
      </w:r>
      <w:r>
        <w:rPr>
          <w:spacing w:val="-1"/>
          <w:w w:val="99"/>
          <w:sz w:val="25"/>
        </w:rPr>
        <w:t>p</w:t>
      </w:r>
      <w:r>
        <w:rPr>
          <w:w w:val="99"/>
          <w:sz w:val="25"/>
        </w:rPr>
        <w:t>r</w:t>
      </w:r>
      <w:r>
        <w:rPr>
          <w:spacing w:val="-1"/>
          <w:w w:val="99"/>
          <w:sz w:val="25"/>
        </w:rPr>
        <w:t>es</w:t>
      </w:r>
      <w:r>
        <w:rPr>
          <w:spacing w:val="-2"/>
          <w:w w:val="99"/>
          <w:sz w:val="25"/>
        </w:rPr>
        <w:t>e</w:t>
      </w:r>
      <w:r>
        <w:rPr>
          <w:w w:val="99"/>
          <w:sz w:val="25"/>
        </w:rPr>
        <w:t>r</w:t>
      </w:r>
      <w:r>
        <w:rPr>
          <w:spacing w:val="-3"/>
          <w:w w:val="99"/>
          <w:sz w:val="25"/>
        </w:rPr>
        <w:t>v</w:t>
      </w:r>
      <w:r>
        <w:rPr>
          <w:spacing w:val="-1"/>
          <w:w w:val="99"/>
          <w:sz w:val="25"/>
        </w:rPr>
        <w:t>e</w:t>
      </w:r>
      <w:r>
        <w:rPr>
          <w:w w:val="99"/>
          <w:sz w:val="25"/>
        </w:rPr>
        <w:t>d</w:t>
      </w:r>
      <w:r>
        <w:rPr>
          <w:spacing w:val="2"/>
          <w:sz w:val="25"/>
        </w:rPr>
        <w:t> </w:t>
      </w:r>
      <w:r>
        <w:rPr>
          <w:w w:val="33"/>
          <w:sz w:val="25"/>
        </w:rPr>
        <w:t>―</w:t>
      </w:r>
      <w:r>
        <w:rPr>
          <w:spacing w:val="-1"/>
          <w:w w:val="99"/>
          <w:sz w:val="25"/>
        </w:rPr>
        <w:t>u</w:t>
      </w:r>
      <w:r>
        <w:rPr>
          <w:w w:val="99"/>
          <w:sz w:val="25"/>
        </w:rPr>
        <w:t>n</w:t>
      </w:r>
      <w:r>
        <w:rPr>
          <w:spacing w:val="-1"/>
          <w:w w:val="99"/>
          <w:sz w:val="25"/>
        </w:rPr>
        <w:t>d</w:t>
      </w:r>
      <w:r>
        <w:rPr>
          <w:w w:val="99"/>
          <w:sz w:val="25"/>
        </w:rPr>
        <w:t>er</w:t>
      </w:r>
      <w:r>
        <w:rPr>
          <w:spacing w:val="2"/>
          <w:sz w:val="25"/>
        </w:rPr>
        <w:t> </w:t>
      </w:r>
      <w:r>
        <w:rPr>
          <w:spacing w:val="-1"/>
          <w:w w:val="99"/>
          <w:sz w:val="25"/>
        </w:rPr>
        <w:t>loc</w:t>
      </w:r>
      <w:r>
        <w:rPr>
          <w:w w:val="99"/>
          <w:sz w:val="25"/>
        </w:rPr>
        <w:t>k</w:t>
      </w:r>
      <w:r>
        <w:rPr>
          <w:spacing w:val="2"/>
          <w:sz w:val="25"/>
        </w:rPr>
        <w:t> </w:t>
      </w:r>
      <w:r>
        <w:rPr>
          <w:spacing w:val="-1"/>
          <w:w w:val="99"/>
          <w:sz w:val="25"/>
        </w:rPr>
        <w:t>a</w:t>
      </w:r>
      <w:r>
        <w:rPr>
          <w:w w:val="99"/>
          <w:sz w:val="25"/>
        </w:rPr>
        <w:t>nd</w:t>
      </w:r>
      <w:r>
        <w:rPr>
          <w:spacing w:val="2"/>
          <w:sz w:val="25"/>
        </w:rPr>
        <w:t> </w:t>
      </w:r>
      <w:r>
        <w:rPr>
          <w:w w:val="99"/>
          <w:sz w:val="25"/>
        </w:rPr>
        <w:t>sea</w:t>
      </w:r>
      <w:r>
        <w:rPr>
          <w:spacing w:val="-3"/>
          <w:w w:val="99"/>
          <w:sz w:val="25"/>
        </w:rPr>
        <w:t>l</w:t>
      </w:r>
      <w:r>
        <w:rPr>
          <w:w w:val="80"/>
          <w:sz w:val="25"/>
        </w:rPr>
        <w:t>‖ </w:t>
      </w:r>
      <w:r>
        <w:rPr>
          <w:sz w:val="25"/>
        </w:rPr>
        <w:t>in a building situated in proximity to the site. Periodical progress reports of the work of excavation were submitted to the High Court. The High Court was periodically informed about the trenches which had been laid, the nature of the excavation and the material that was recovered. On 26 March 2003, the High Court issued specific directions to the ASI team to maintain a register recording the recovery of finds, which was to be sealed in the presence of parties. The following directions were</w:t>
      </w:r>
      <w:r>
        <w:rPr>
          <w:spacing w:val="-3"/>
          <w:sz w:val="25"/>
        </w:rPr>
        <w:t> </w:t>
      </w:r>
      <w:r>
        <w:rPr>
          <w:sz w:val="25"/>
        </w:rPr>
        <w:t>issued:</w:t>
      </w:r>
    </w:p>
    <w:p>
      <w:pPr>
        <w:spacing w:line="276" w:lineRule="auto" w:before="161"/>
        <w:ind w:left="1940" w:right="2260" w:firstLine="0"/>
        <w:jc w:val="both"/>
        <w:rPr>
          <w:sz w:val="21"/>
        </w:rPr>
      </w:pPr>
      <w:r>
        <w:rPr>
          <w:spacing w:val="-1"/>
          <w:w w:val="33"/>
          <w:sz w:val="21"/>
        </w:rPr>
        <w:t>―</w:t>
      </w:r>
      <w:r>
        <w:rPr>
          <w:spacing w:val="-1"/>
          <w:w w:val="100"/>
          <w:sz w:val="21"/>
        </w:rPr>
        <w:t>(</w:t>
      </w:r>
      <w:r>
        <w:rPr>
          <w:w w:val="100"/>
          <w:sz w:val="21"/>
        </w:rPr>
        <w:t>i)</w:t>
      </w:r>
      <w:r>
        <w:rPr>
          <w:sz w:val="21"/>
        </w:rPr>
        <w:t> </w:t>
      </w:r>
      <w:r>
        <w:rPr>
          <w:spacing w:val="16"/>
          <w:sz w:val="21"/>
        </w:rPr>
        <w:t> </w:t>
      </w:r>
      <w:r>
        <w:rPr>
          <w:w w:val="100"/>
          <w:sz w:val="21"/>
        </w:rPr>
        <w:t>ASI</w:t>
      </w:r>
      <w:r>
        <w:rPr>
          <w:sz w:val="21"/>
        </w:rPr>
        <w:t> </w:t>
      </w:r>
      <w:r>
        <w:rPr>
          <w:spacing w:val="16"/>
          <w:sz w:val="21"/>
        </w:rPr>
        <w:t> </w:t>
      </w:r>
      <w:r>
        <w:rPr>
          <w:spacing w:val="-2"/>
          <w:w w:val="100"/>
          <w:sz w:val="21"/>
        </w:rPr>
        <w:t>t</w:t>
      </w:r>
      <w:r>
        <w:rPr>
          <w:spacing w:val="-1"/>
          <w:w w:val="100"/>
          <w:sz w:val="21"/>
        </w:rPr>
        <w:t>e</w:t>
      </w:r>
      <w:r>
        <w:rPr>
          <w:spacing w:val="-3"/>
          <w:w w:val="100"/>
          <w:sz w:val="21"/>
        </w:rPr>
        <w:t>a</w:t>
      </w:r>
      <w:r>
        <w:rPr>
          <w:w w:val="100"/>
          <w:sz w:val="21"/>
        </w:rPr>
        <w:t>m</w:t>
      </w:r>
      <w:r>
        <w:rPr>
          <w:sz w:val="21"/>
        </w:rPr>
        <w:t> </w:t>
      </w:r>
      <w:r>
        <w:rPr>
          <w:spacing w:val="18"/>
          <w:sz w:val="21"/>
        </w:rPr>
        <w:t> </w:t>
      </w:r>
      <w:r>
        <w:rPr>
          <w:w w:val="100"/>
          <w:sz w:val="21"/>
        </w:rPr>
        <w:t>sh</w:t>
      </w:r>
      <w:r>
        <w:rPr>
          <w:spacing w:val="-3"/>
          <w:w w:val="100"/>
          <w:sz w:val="21"/>
        </w:rPr>
        <w:t>a</w:t>
      </w:r>
      <w:r>
        <w:rPr>
          <w:w w:val="100"/>
          <w:sz w:val="21"/>
        </w:rPr>
        <w:t>ll</w:t>
      </w:r>
      <w:r>
        <w:rPr>
          <w:sz w:val="21"/>
        </w:rPr>
        <w:t> </w:t>
      </w:r>
      <w:r>
        <w:rPr>
          <w:spacing w:val="18"/>
          <w:sz w:val="21"/>
        </w:rPr>
        <w:t> </w:t>
      </w:r>
      <w:r>
        <w:rPr>
          <w:spacing w:val="-3"/>
          <w:w w:val="100"/>
          <w:sz w:val="21"/>
        </w:rPr>
        <w:t>n</w:t>
      </w:r>
      <w:r>
        <w:rPr>
          <w:spacing w:val="-1"/>
          <w:w w:val="100"/>
          <w:sz w:val="21"/>
        </w:rPr>
        <w:t>ot</w:t>
      </w:r>
      <w:r>
        <w:rPr>
          <w:w w:val="100"/>
          <w:sz w:val="21"/>
        </w:rPr>
        <w:t>e</w:t>
      </w:r>
      <w:r>
        <w:rPr>
          <w:sz w:val="21"/>
        </w:rPr>
        <w:t> </w:t>
      </w:r>
      <w:r>
        <w:rPr>
          <w:spacing w:val="15"/>
          <w:sz w:val="21"/>
        </w:rPr>
        <w:t> </w:t>
      </w:r>
      <w:r>
        <w:rPr>
          <w:spacing w:val="-1"/>
          <w:w w:val="100"/>
          <w:sz w:val="21"/>
        </w:rPr>
        <w:t>dow</w:t>
      </w:r>
      <w:r>
        <w:rPr>
          <w:w w:val="100"/>
          <w:sz w:val="21"/>
        </w:rPr>
        <w:t>n</w:t>
      </w:r>
      <w:r>
        <w:rPr>
          <w:sz w:val="21"/>
        </w:rPr>
        <w:t> </w:t>
      </w:r>
      <w:r>
        <w:rPr>
          <w:spacing w:val="17"/>
          <w:sz w:val="21"/>
        </w:rPr>
        <w:t> </w:t>
      </w:r>
      <w:r>
        <w:rPr>
          <w:w w:val="100"/>
          <w:sz w:val="21"/>
        </w:rPr>
        <w:t>in</w:t>
      </w:r>
      <w:r>
        <w:rPr>
          <w:sz w:val="21"/>
        </w:rPr>
        <w:t> </w:t>
      </w:r>
      <w:r>
        <w:rPr>
          <w:spacing w:val="17"/>
          <w:sz w:val="21"/>
        </w:rPr>
        <w:t> </w:t>
      </w:r>
      <w:r>
        <w:rPr>
          <w:w w:val="100"/>
          <w:sz w:val="21"/>
        </w:rPr>
        <w:t>i</w:t>
      </w:r>
      <w:r>
        <w:rPr>
          <w:spacing w:val="-2"/>
          <w:w w:val="100"/>
          <w:sz w:val="21"/>
        </w:rPr>
        <w:t>t</w:t>
      </w:r>
      <w:r>
        <w:rPr>
          <w:w w:val="100"/>
          <w:sz w:val="21"/>
        </w:rPr>
        <w:t>s</w:t>
      </w:r>
      <w:r>
        <w:rPr>
          <w:sz w:val="21"/>
        </w:rPr>
        <w:t> </w:t>
      </w:r>
      <w:r>
        <w:rPr>
          <w:spacing w:val="17"/>
          <w:sz w:val="21"/>
        </w:rPr>
        <w:t> </w:t>
      </w:r>
      <w:r>
        <w:rPr>
          <w:spacing w:val="-1"/>
          <w:w w:val="100"/>
          <w:sz w:val="21"/>
        </w:rPr>
        <w:t>o</w:t>
      </w:r>
      <w:r>
        <w:rPr>
          <w:spacing w:val="-2"/>
          <w:w w:val="100"/>
          <w:sz w:val="21"/>
        </w:rPr>
        <w:t>w</w:t>
      </w:r>
      <w:r>
        <w:rPr>
          <w:w w:val="100"/>
          <w:sz w:val="21"/>
        </w:rPr>
        <w:t>n</w:t>
      </w:r>
      <w:r>
        <w:rPr>
          <w:sz w:val="21"/>
        </w:rPr>
        <w:t> </w:t>
      </w:r>
      <w:r>
        <w:rPr>
          <w:spacing w:val="17"/>
          <w:sz w:val="21"/>
        </w:rPr>
        <w:t> </w:t>
      </w:r>
      <w:r>
        <w:rPr>
          <w:spacing w:val="-1"/>
          <w:w w:val="100"/>
          <w:sz w:val="21"/>
        </w:rPr>
        <w:t>re</w:t>
      </w:r>
      <w:r>
        <w:rPr>
          <w:spacing w:val="-3"/>
          <w:w w:val="100"/>
          <w:sz w:val="21"/>
        </w:rPr>
        <w:t>g</w:t>
      </w:r>
      <w:r>
        <w:rPr>
          <w:w w:val="100"/>
          <w:sz w:val="21"/>
        </w:rPr>
        <w:t>is</w:t>
      </w:r>
      <w:r>
        <w:rPr>
          <w:spacing w:val="-4"/>
          <w:w w:val="100"/>
          <w:sz w:val="21"/>
        </w:rPr>
        <w:t>t</w:t>
      </w:r>
      <w:r>
        <w:rPr>
          <w:spacing w:val="-1"/>
          <w:w w:val="100"/>
          <w:sz w:val="21"/>
        </w:rPr>
        <w:t>e</w:t>
      </w:r>
      <w:r>
        <w:rPr>
          <w:w w:val="100"/>
          <w:sz w:val="21"/>
        </w:rPr>
        <w:t>r</w:t>
      </w:r>
      <w:r>
        <w:rPr>
          <w:sz w:val="21"/>
        </w:rPr>
        <w:t> </w:t>
      </w:r>
      <w:r>
        <w:rPr>
          <w:spacing w:val="16"/>
          <w:sz w:val="21"/>
        </w:rPr>
        <w:t> </w:t>
      </w:r>
      <w:r>
        <w:rPr>
          <w:spacing w:val="-2"/>
          <w:w w:val="100"/>
          <w:sz w:val="21"/>
        </w:rPr>
        <w:t>t</w:t>
      </w:r>
      <w:r>
        <w:rPr>
          <w:w w:val="100"/>
          <w:sz w:val="21"/>
        </w:rPr>
        <w:t>o</w:t>
      </w:r>
      <w:r>
        <w:rPr>
          <w:sz w:val="21"/>
        </w:rPr>
        <w:t> </w:t>
      </w:r>
      <w:r>
        <w:rPr>
          <w:spacing w:val="17"/>
          <w:sz w:val="21"/>
        </w:rPr>
        <w:t> </w:t>
      </w:r>
      <w:r>
        <w:rPr>
          <w:spacing w:val="-1"/>
          <w:w w:val="100"/>
          <w:sz w:val="21"/>
        </w:rPr>
        <w:t>be </w:t>
      </w:r>
      <w:r>
        <w:rPr>
          <w:sz w:val="21"/>
        </w:rPr>
        <w:t>maintained (in respect of recovery of finds) the depth in meter/feet of the trench where it is found. It may also note down the layer of the strata according to its own interpretation.</w:t>
      </w:r>
    </w:p>
    <w:p>
      <w:pPr>
        <w:pStyle w:val="ListParagraph"/>
        <w:numPr>
          <w:ilvl w:val="1"/>
          <w:numId w:val="165"/>
        </w:numPr>
        <w:tabs>
          <w:tab w:pos="2300" w:val="left" w:leader="none"/>
        </w:tabs>
        <w:spacing w:line="276" w:lineRule="auto" w:before="0" w:after="0"/>
        <w:ind w:left="1940" w:right="2264" w:firstLine="0"/>
        <w:jc w:val="both"/>
        <w:rPr>
          <w:sz w:val="21"/>
        </w:rPr>
      </w:pPr>
      <w:r>
        <w:rPr>
          <w:sz w:val="21"/>
        </w:rPr>
        <w:t>The signature of either the contesting parties or their counsel may be</w:t>
      </w:r>
      <w:r>
        <w:rPr>
          <w:spacing w:val="-8"/>
          <w:sz w:val="21"/>
        </w:rPr>
        <w:t> </w:t>
      </w:r>
      <w:r>
        <w:rPr>
          <w:sz w:val="21"/>
        </w:rPr>
        <w:t>obtained.</w:t>
      </w:r>
    </w:p>
    <w:p>
      <w:pPr>
        <w:pStyle w:val="ListParagraph"/>
        <w:numPr>
          <w:ilvl w:val="1"/>
          <w:numId w:val="165"/>
        </w:numPr>
        <w:tabs>
          <w:tab w:pos="2295" w:val="left" w:leader="none"/>
        </w:tabs>
        <w:spacing w:line="240" w:lineRule="auto" w:before="1" w:after="0"/>
        <w:ind w:left="2295" w:right="0" w:hanging="355"/>
        <w:jc w:val="both"/>
        <w:rPr>
          <w:sz w:val="21"/>
        </w:rPr>
      </w:pPr>
      <w:r>
        <w:rPr>
          <w:sz w:val="21"/>
        </w:rPr>
        <w:t>The</w:t>
      </w:r>
      <w:r>
        <w:rPr>
          <w:spacing w:val="15"/>
          <w:sz w:val="21"/>
        </w:rPr>
        <w:t> </w:t>
      </w:r>
      <w:r>
        <w:rPr>
          <w:sz w:val="21"/>
        </w:rPr>
        <w:t>register</w:t>
      </w:r>
      <w:r>
        <w:rPr>
          <w:spacing w:val="15"/>
          <w:sz w:val="21"/>
        </w:rPr>
        <w:t> </w:t>
      </w:r>
      <w:r>
        <w:rPr>
          <w:sz w:val="21"/>
        </w:rPr>
        <w:t>should</w:t>
      </w:r>
      <w:r>
        <w:rPr>
          <w:spacing w:val="13"/>
          <w:sz w:val="21"/>
        </w:rPr>
        <w:t> </w:t>
      </w:r>
      <w:r>
        <w:rPr>
          <w:sz w:val="21"/>
        </w:rPr>
        <w:t>further</w:t>
      </w:r>
      <w:r>
        <w:rPr>
          <w:spacing w:val="14"/>
          <w:sz w:val="21"/>
        </w:rPr>
        <w:t> </w:t>
      </w:r>
      <w:r>
        <w:rPr>
          <w:sz w:val="21"/>
        </w:rPr>
        <w:t>specify</w:t>
      </w:r>
      <w:r>
        <w:rPr>
          <w:spacing w:val="13"/>
          <w:sz w:val="21"/>
        </w:rPr>
        <w:t> </w:t>
      </w:r>
      <w:r>
        <w:rPr>
          <w:sz w:val="21"/>
        </w:rPr>
        <w:t>the</w:t>
      </w:r>
      <w:r>
        <w:rPr>
          <w:spacing w:val="16"/>
          <w:sz w:val="21"/>
        </w:rPr>
        <w:t> </w:t>
      </w:r>
      <w:r>
        <w:rPr>
          <w:sz w:val="21"/>
        </w:rPr>
        <w:t>nature</w:t>
      </w:r>
      <w:r>
        <w:rPr>
          <w:spacing w:val="13"/>
          <w:sz w:val="21"/>
        </w:rPr>
        <w:t> </w:t>
      </w:r>
      <w:r>
        <w:rPr>
          <w:sz w:val="21"/>
        </w:rPr>
        <w:t>of</w:t>
      </w:r>
      <w:r>
        <w:rPr>
          <w:spacing w:val="13"/>
          <w:sz w:val="21"/>
        </w:rPr>
        <w:t> </w:t>
      </w:r>
      <w:r>
        <w:rPr>
          <w:sz w:val="21"/>
        </w:rPr>
        <w:t>the</w:t>
      </w:r>
      <w:r>
        <w:rPr>
          <w:spacing w:val="16"/>
          <w:sz w:val="21"/>
        </w:rPr>
        <w:t> </w:t>
      </w:r>
      <w:r>
        <w:rPr>
          <w:sz w:val="21"/>
        </w:rPr>
        <w:t>finds</w:t>
      </w:r>
    </w:p>
    <w:p>
      <w:pPr>
        <w:spacing w:before="34"/>
        <w:ind w:left="1940" w:right="0" w:firstLine="0"/>
        <w:jc w:val="both"/>
        <w:rPr>
          <w:sz w:val="21"/>
        </w:rPr>
      </w:pPr>
      <w:r>
        <w:rPr>
          <w:sz w:val="21"/>
        </w:rPr>
        <w:t>i.e. bones and glazed ware etc.</w:t>
      </w:r>
    </w:p>
    <w:p>
      <w:pPr>
        <w:pStyle w:val="ListParagraph"/>
        <w:numPr>
          <w:ilvl w:val="1"/>
          <w:numId w:val="165"/>
        </w:numPr>
        <w:tabs>
          <w:tab w:pos="2389" w:val="left" w:leader="none"/>
        </w:tabs>
        <w:spacing w:line="276" w:lineRule="auto" w:before="37" w:after="0"/>
        <w:ind w:left="1940" w:right="2260" w:firstLine="0"/>
        <w:jc w:val="both"/>
        <w:rPr>
          <w:sz w:val="21"/>
        </w:rPr>
      </w:pPr>
      <w:r>
        <w:rPr>
          <w:sz w:val="21"/>
        </w:rPr>
        <w:t>The finds shall be sealed in the presence of the parties/counsel and signatures of either the contesting party or his/their counsel shall also be obtained who are present on the</w:t>
      </w:r>
      <w:r>
        <w:rPr>
          <w:spacing w:val="-1"/>
          <w:sz w:val="21"/>
        </w:rPr>
        <w:t> </w:t>
      </w:r>
      <w:r>
        <w:rPr>
          <w:sz w:val="21"/>
        </w:rPr>
        <w:t>spot.</w:t>
      </w:r>
    </w:p>
    <w:p>
      <w:pPr>
        <w:pStyle w:val="ListParagraph"/>
        <w:numPr>
          <w:ilvl w:val="1"/>
          <w:numId w:val="165"/>
        </w:numPr>
        <w:tabs>
          <w:tab w:pos="2349" w:val="left" w:leader="none"/>
        </w:tabs>
        <w:spacing w:line="276" w:lineRule="auto" w:before="1" w:after="0"/>
        <w:ind w:left="1940" w:right="2261" w:firstLine="0"/>
        <w:jc w:val="both"/>
        <w:rPr>
          <w:sz w:val="21"/>
        </w:rPr>
      </w:pPr>
      <w:r>
        <w:rPr>
          <w:sz w:val="21"/>
        </w:rPr>
        <w:t>If the nature of the finds is not certain, a noting may be made accordingly and when it is unsealed, its nature may be verified after the Court permits to do</w:t>
      </w:r>
      <w:r>
        <w:rPr>
          <w:spacing w:val="-15"/>
          <w:sz w:val="21"/>
        </w:rPr>
        <w:t> </w:t>
      </w:r>
      <w:r>
        <w:rPr>
          <w:sz w:val="21"/>
        </w:rPr>
        <w:t>so.‖</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41"/>
        <w:jc w:val="both"/>
      </w:pPr>
      <w:r>
        <w:rPr/>
        <w:t>Photographs both in colour and black and white were directed to be taken. A register of work carried out from day to day was directed to be prepared by the ASI team. Parties were also permitted to observe the work of excavating trenches. The High Court</w:t>
      </w:r>
      <w:r>
        <w:rPr>
          <w:spacing w:val="-3"/>
        </w:rPr>
        <w:t> </w:t>
      </w:r>
      <w:r>
        <w:rPr/>
        <w:t>observed:</w:t>
      </w:r>
    </w:p>
    <w:p>
      <w:pPr>
        <w:spacing w:before="159"/>
        <w:ind w:left="1940" w:right="0" w:firstLine="0"/>
        <w:jc w:val="both"/>
        <w:rPr>
          <w:sz w:val="21"/>
        </w:rPr>
      </w:pPr>
      <w:r>
        <w:rPr>
          <w:spacing w:val="-1"/>
          <w:w w:val="33"/>
          <w:sz w:val="21"/>
        </w:rPr>
        <w:t>―</w:t>
      </w:r>
      <w:r>
        <w:rPr>
          <w:spacing w:val="-1"/>
          <w:w w:val="100"/>
          <w:sz w:val="21"/>
        </w:rPr>
        <w:t>228.</w:t>
      </w:r>
      <w:r>
        <w:rPr>
          <w:rFonts w:ascii="Times New Roman" w:hAnsi="Times New Roman"/>
          <w:w w:val="100"/>
          <w:sz w:val="21"/>
        </w:rPr>
        <w:t> </w:t>
      </w:r>
      <w:r>
        <w:rPr>
          <w:rFonts w:ascii="Times New Roman" w:hAnsi="Times New Roman"/>
          <w:sz w:val="21"/>
        </w:rPr>
        <w:t>  </w:t>
      </w:r>
      <w:r>
        <w:rPr>
          <w:rFonts w:ascii="Times New Roman" w:hAnsi="Times New Roman"/>
          <w:spacing w:val="-27"/>
          <w:sz w:val="21"/>
        </w:rPr>
        <w:t> </w:t>
      </w:r>
      <w:r>
        <w:rPr>
          <w:spacing w:val="-1"/>
          <w:w w:val="100"/>
          <w:sz w:val="21"/>
        </w:rPr>
        <w:t>4</w:t>
      </w:r>
      <w:r>
        <w:rPr>
          <w:w w:val="100"/>
          <w:sz w:val="21"/>
        </w:rPr>
        <w:t>.</w:t>
      </w:r>
      <w:r>
        <w:rPr>
          <w:spacing w:val="10"/>
          <w:sz w:val="21"/>
        </w:rPr>
        <w:t> </w:t>
      </w:r>
      <w:r>
        <w:rPr>
          <w:spacing w:val="-2"/>
          <w:w w:val="100"/>
          <w:sz w:val="21"/>
        </w:rPr>
        <w:t>I</w:t>
      </w:r>
      <w:r>
        <w:rPr>
          <w:w w:val="100"/>
          <w:sz w:val="21"/>
        </w:rPr>
        <w:t>t</w:t>
      </w:r>
      <w:r>
        <w:rPr>
          <w:spacing w:val="12"/>
          <w:sz w:val="21"/>
        </w:rPr>
        <w:t> </w:t>
      </w:r>
      <w:r>
        <w:rPr>
          <w:w w:val="100"/>
          <w:sz w:val="21"/>
        </w:rPr>
        <w:t>is</w:t>
      </w:r>
      <w:r>
        <w:rPr>
          <w:spacing w:val="11"/>
          <w:sz w:val="21"/>
        </w:rPr>
        <w:t> </w:t>
      </w:r>
      <w:r>
        <w:rPr>
          <w:w w:val="100"/>
          <w:sz w:val="21"/>
        </w:rPr>
        <w:t>sugges</w:t>
      </w:r>
      <w:r>
        <w:rPr>
          <w:spacing w:val="-2"/>
          <w:w w:val="100"/>
          <w:sz w:val="21"/>
        </w:rPr>
        <w:t>t</w:t>
      </w:r>
      <w:r>
        <w:rPr>
          <w:spacing w:val="-3"/>
          <w:w w:val="100"/>
          <w:sz w:val="21"/>
        </w:rPr>
        <w:t>e</w:t>
      </w:r>
      <w:r>
        <w:rPr>
          <w:w w:val="100"/>
          <w:sz w:val="21"/>
        </w:rPr>
        <w:t>d</w:t>
      </w:r>
      <w:r>
        <w:rPr>
          <w:spacing w:val="11"/>
          <w:sz w:val="21"/>
        </w:rPr>
        <w:t> </w:t>
      </w:r>
      <w:r>
        <w:rPr>
          <w:spacing w:val="-1"/>
          <w:w w:val="100"/>
          <w:sz w:val="21"/>
        </w:rPr>
        <w:t>b</w:t>
      </w:r>
      <w:r>
        <w:rPr>
          <w:w w:val="100"/>
          <w:sz w:val="21"/>
        </w:rPr>
        <w:t>y</w:t>
      </w:r>
      <w:r>
        <w:rPr>
          <w:spacing w:val="8"/>
          <w:sz w:val="21"/>
        </w:rPr>
        <w:t> </w:t>
      </w:r>
      <w:r>
        <w:rPr>
          <w:w w:val="100"/>
          <w:sz w:val="21"/>
        </w:rPr>
        <w:t>S</w:t>
      </w:r>
      <w:r>
        <w:rPr>
          <w:spacing w:val="-1"/>
          <w:w w:val="100"/>
          <w:sz w:val="21"/>
        </w:rPr>
        <w:t>r</w:t>
      </w:r>
      <w:r>
        <w:rPr>
          <w:w w:val="100"/>
          <w:sz w:val="21"/>
        </w:rPr>
        <w:t>i</w:t>
      </w:r>
      <w:r>
        <w:rPr>
          <w:spacing w:val="11"/>
          <w:sz w:val="21"/>
        </w:rPr>
        <w:t> </w:t>
      </w:r>
      <w:r>
        <w:rPr>
          <w:w w:val="100"/>
          <w:sz w:val="21"/>
        </w:rPr>
        <w:t>Ji</w:t>
      </w:r>
      <w:r>
        <w:rPr>
          <w:spacing w:val="-2"/>
          <w:w w:val="100"/>
          <w:sz w:val="21"/>
        </w:rPr>
        <w:t>l</w:t>
      </w:r>
      <w:r>
        <w:rPr>
          <w:spacing w:val="-1"/>
          <w:w w:val="100"/>
          <w:sz w:val="21"/>
        </w:rPr>
        <w:t>an</w:t>
      </w:r>
      <w:r>
        <w:rPr>
          <w:spacing w:val="1"/>
          <w:w w:val="100"/>
          <w:sz w:val="21"/>
        </w:rPr>
        <w:t>i</w:t>
      </w:r>
      <w:r>
        <w:rPr>
          <w:w w:val="100"/>
          <w:sz w:val="21"/>
        </w:rPr>
        <w:t>,</w:t>
      </w:r>
      <w:r>
        <w:rPr>
          <w:spacing w:val="10"/>
          <w:sz w:val="21"/>
        </w:rPr>
        <w:t> </w:t>
      </w:r>
      <w:r>
        <w:rPr>
          <w:spacing w:val="-2"/>
          <w:w w:val="100"/>
          <w:sz w:val="21"/>
        </w:rPr>
        <w:t>l</w:t>
      </w:r>
      <w:r>
        <w:rPr>
          <w:spacing w:val="-1"/>
          <w:w w:val="100"/>
          <w:sz w:val="21"/>
        </w:rPr>
        <w:t>ear</w:t>
      </w:r>
      <w:r>
        <w:rPr>
          <w:spacing w:val="-3"/>
          <w:w w:val="100"/>
          <w:sz w:val="21"/>
        </w:rPr>
        <w:t>n</w:t>
      </w:r>
      <w:r>
        <w:rPr>
          <w:spacing w:val="-1"/>
          <w:w w:val="100"/>
          <w:sz w:val="21"/>
        </w:rPr>
        <w:t>e</w:t>
      </w:r>
      <w:r>
        <w:rPr>
          <w:w w:val="100"/>
          <w:sz w:val="21"/>
        </w:rPr>
        <w:t>d</w:t>
      </w:r>
      <w:r>
        <w:rPr>
          <w:spacing w:val="11"/>
          <w:sz w:val="21"/>
        </w:rPr>
        <w:t> </w:t>
      </w:r>
      <w:r>
        <w:rPr>
          <w:w w:val="100"/>
          <w:sz w:val="21"/>
        </w:rPr>
        <w:t>co</w:t>
      </w:r>
      <w:r>
        <w:rPr>
          <w:spacing w:val="-3"/>
          <w:w w:val="100"/>
          <w:sz w:val="21"/>
        </w:rPr>
        <w:t>un</w:t>
      </w:r>
      <w:r>
        <w:rPr>
          <w:w w:val="100"/>
          <w:sz w:val="21"/>
        </w:rPr>
        <w:t>sel</w:t>
      </w:r>
      <w:r>
        <w:rPr>
          <w:spacing w:val="12"/>
          <w:sz w:val="21"/>
        </w:rPr>
        <w:t> </w:t>
      </w:r>
      <w:r>
        <w:rPr>
          <w:spacing w:val="-2"/>
          <w:w w:val="100"/>
          <w:sz w:val="21"/>
        </w:rPr>
        <w:t>f</w:t>
      </w:r>
      <w:r>
        <w:rPr>
          <w:spacing w:val="-1"/>
          <w:w w:val="100"/>
          <w:sz w:val="21"/>
        </w:rPr>
        <w:t>o</w:t>
      </w:r>
      <w:r>
        <w:rPr>
          <w:w w:val="100"/>
          <w:sz w:val="21"/>
        </w:rPr>
        <w:t>r</w:t>
      </w:r>
      <w:r>
        <w:rPr>
          <w:spacing w:val="10"/>
          <w:sz w:val="21"/>
        </w:rPr>
        <w:t> </w:t>
      </w:r>
      <w:r>
        <w:rPr>
          <w:spacing w:val="-2"/>
          <w:w w:val="100"/>
          <w:sz w:val="21"/>
        </w:rPr>
        <w:t>t</w:t>
      </w:r>
      <w:r>
        <w:rPr>
          <w:spacing w:val="-1"/>
          <w:w w:val="100"/>
          <w:sz w:val="21"/>
        </w:rPr>
        <w:t>he</w:t>
      </w:r>
    </w:p>
    <w:p>
      <w:pPr>
        <w:spacing w:line="276" w:lineRule="auto" w:before="37"/>
        <w:ind w:left="1940" w:right="2262" w:firstLine="0"/>
        <w:jc w:val="both"/>
        <w:rPr>
          <w:sz w:val="21"/>
        </w:rPr>
      </w:pPr>
      <w:r>
        <w:rPr>
          <w:sz w:val="21"/>
        </w:rPr>
        <w:t>Sunni Central Board of Waqfs, that not more than two trenches should be excavated at one time after the completion of work in the trenches already being excavated for the reason that the parties or their counsel may not be able to observe the excavation of the trenches at one</w:t>
      </w:r>
      <w:r>
        <w:rPr>
          <w:spacing w:val="-13"/>
          <w:sz w:val="21"/>
        </w:rPr>
        <w:t> </w:t>
      </w:r>
      <w:r>
        <w:rPr>
          <w:sz w:val="21"/>
        </w:rPr>
        <w:t>time.</w:t>
      </w:r>
    </w:p>
    <w:p>
      <w:pPr>
        <w:spacing w:line="276" w:lineRule="auto" w:before="0"/>
        <w:ind w:left="1940" w:right="2261" w:firstLine="0"/>
        <w:jc w:val="both"/>
        <w:rPr>
          <w:sz w:val="21"/>
        </w:rPr>
      </w:pPr>
      <w:r>
        <w:rPr>
          <w:sz w:val="21"/>
        </w:rPr>
        <w:t>Sri B.R. Mani, Superintending Archaeologist and team leader has submitted a report dated 22.3.2003 stating that it has carved out various trenches of area 4 x 4 meters leaving 0.5 meter baulk all around. If the trenches are adjoining to each other, it can be observed by the contesting parties or their counsel and their nominees. </w:t>
      </w:r>
      <w:r>
        <w:rPr>
          <w:spacing w:val="3"/>
          <w:sz w:val="21"/>
        </w:rPr>
        <w:t>We </w:t>
      </w:r>
      <w:r>
        <w:rPr>
          <w:sz w:val="21"/>
        </w:rPr>
        <w:t>have permitted for each of the contesting parties to observe with their counsel as well as their nominees (one nominee at one time). The result is that for each of the contesting parties, there are three observers. If the distance is too much and it is difficult to observe another trench by any of them, they can legitimately raise grievance in this respect. It may be noted that the ASI team should ensure confidence of the parties and their counsel in the matter of excavation. It is, however, to be kept in mind that we have directed for expeditious excavation and for that purpose if necessary and without losing the confidence of the parties more than two trenches may also be laid by the ASI</w:t>
      </w:r>
      <w:r>
        <w:rPr>
          <w:spacing w:val="-34"/>
          <w:sz w:val="21"/>
        </w:rPr>
        <w:t> </w:t>
      </w:r>
      <w:r>
        <w:rPr>
          <w:sz w:val="21"/>
        </w:rPr>
        <w:t>team.‖</w:t>
      </w:r>
    </w:p>
    <w:p>
      <w:pPr>
        <w:pStyle w:val="BodyText"/>
        <w:rPr>
          <w:sz w:val="24"/>
        </w:rPr>
      </w:pPr>
    </w:p>
    <w:p>
      <w:pPr>
        <w:pStyle w:val="BodyText"/>
        <w:spacing w:before="7"/>
        <w:rPr>
          <w:sz w:val="28"/>
        </w:rPr>
      </w:pPr>
    </w:p>
    <w:p>
      <w:pPr>
        <w:pStyle w:val="BodyText"/>
        <w:spacing w:line="480" w:lineRule="auto"/>
        <w:ind w:left="500" w:right="438"/>
        <w:jc w:val="both"/>
      </w:pPr>
      <w:r>
        <w:rPr/>
        <w:t>Another suggestion was that there must be adequate representation to the Muslim community in the ASI team and in the engagement of labour for the work of excavation. This was also acceded to by the High Court by directing that adequate representation for both the communities should be given in the constitution of the ASI team and the labour deputed at the site. In order to ensure transparency, two judicial officers from the Uttar Pradesh Higher Judicial Service of the rank of Additional District Judge were deputed to oversee the work. The process</w:t>
      </w:r>
      <w:r>
        <w:rPr>
          <w:spacing w:val="8"/>
        </w:rPr>
        <w:t> </w:t>
      </w:r>
      <w:r>
        <w:rPr/>
        <w:t>of</w:t>
      </w:r>
      <w:r>
        <w:rPr>
          <w:spacing w:val="9"/>
        </w:rPr>
        <w:t> </w:t>
      </w:r>
      <w:r>
        <w:rPr/>
        <w:t>excavation</w:t>
      </w:r>
      <w:r>
        <w:rPr>
          <w:spacing w:val="10"/>
        </w:rPr>
        <w:t> </w:t>
      </w:r>
      <w:r>
        <w:rPr/>
        <w:t>was</w:t>
      </w:r>
      <w:r>
        <w:rPr>
          <w:spacing w:val="8"/>
        </w:rPr>
        <w:t> </w:t>
      </w:r>
      <w:r>
        <w:rPr/>
        <w:t>carried</w:t>
      </w:r>
      <w:r>
        <w:rPr>
          <w:spacing w:val="10"/>
        </w:rPr>
        <w:t> </w:t>
      </w:r>
      <w:r>
        <w:rPr/>
        <w:t>out</w:t>
      </w:r>
      <w:r>
        <w:rPr>
          <w:spacing w:val="11"/>
        </w:rPr>
        <w:t> </w:t>
      </w:r>
      <w:r>
        <w:rPr/>
        <w:t>in</w:t>
      </w:r>
      <w:r>
        <w:rPr>
          <w:spacing w:val="10"/>
        </w:rPr>
        <w:t> </w:t>
      </w:r>
      <w:r>
        <w:rPr/>
        <w:t>the</w:t>
      </w:r>
      <w:r>
        <w:rPr>
          <w:spacing w:val="9"/>
        </w:rPr>
        <w:t> </w:t>
      </w:r>
      <w:r>
        <w:rPr/>
        <w:t>presence</w:t>
      </w:r>
      <w:r>
        <w:rPr>
          <w:spacing w:val="10"/>
        </w:rPr>
        <w:t> </w:t>
      </w:r>
      <w:r>
        <w:rPr/>
        <w:t>of</w:t>
      </w:r>
      <w:r>
        <w:rPr>
          <w:spacing w:val="11"/>
        </w:rPr>
        <w:t> </w:t>
      </w:r>
      <w:r>
        <w:rPr/>
        <w:t>parties</w:t>
      </w:r>
      <w:r>
        <w:rPr>
          <w:spacing w:val="9"/>
        </w:rPr>
        <w:t> </w:t>
      </w:r>
      <w:r>
        <w:rPr/>
        <w:t>and</w:t>
      </w:r>
      <w:r>
        <w:rPr>
          <w:spacing w:val="10"/>
        </w:rPr>
        <w:t> </w:t>
      </w:r>
      <w:r>
        <w:rPr/>
        <w:t>was</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governed by the directions issued by the High Court to ensure impartiality and transparency. This was facilitated by directing the preservation of records, videographing of the excavation process, preservation of photographs and by the presence of two judicial officers for the purpose of overseeing the work. After the completion of the excavation work but before the preparation of the final report, further directions were issued by the High Court on 8 August 2003 for keeping intact all the trenches so as to facilitate the ASI team to complete the study and submit its report.</w:t>
      </w:r>
    </w:p>
    <w:p>
      <w:pPr>
        <w:pStyle w:val="ListParagraph"/>
        <w:numPr>
          <w:ilvl w:val="0"/>
          <w:numId w:val="111"/>
        </w:numPr>
        <w:tabs>
          <w:tab w:pos="1221" w:val="left" w:leader="none"/>
        </w:tabs>
        <w:spacing w:line="240" w:lineRule="auto" w:before="160" w:after="0"/>
        <w:ind w:left="1220" w:right="0" w:hanging="721"/>
        <w:jc w:val="both"/>
        <w:rPr>
          <w:sz w:val="25"/>
        </w:rPr>
      </w:pPr>
      <w:r>
        <w:rPr>
          <w:sz w:val="25"/>
        </w:rPr>
        <w:t>The ASI report has ten chapters which consist</w:t>
      </w:r>
      <w:r>
        <w:rPr>
          <w:spacing w:val="-8"/>
          <w:sz w:val="25"/>
        </w:rPr>
        <w:t> </w:t>
      </w:r>
      <w:r>
        <w:rPr>
          <w:sz w:val="25"/>
        </w:rPr>
        <w:t>of:</w:t>
      </w:r>
    </w:p>
    <w:p>
      <w:pPr>
        <w:pStyle w:val="BodyText"/>
        <w:spacing w:before="10"/>
        <w:rPr>
          <w:sz w:val="38"/>
        </w:rPr>
      </w:pPr>
    </w:p>
    <w:p>
      <w:pPr>
        <w:pStyle w:val="BodyText"/>
        <w:tabs>
          <w:tab w:pos="1940" w:val="left" w:leader="none"/>
          <w:tab w:pos="2009" w:val="left" w:leader="none"/>
        </w:tabs>
        <w:spacing w:line="480" w:lineRule="auto"/>
        <w:ind w:left="500" w:right="6649"/>
      </w:pPr>
      <w:r>
        <w:rPr/>
        <w:t>Chapter I</w:t>
        <w:tab/>
        <w:tab/>
      </w:r>
      <w:r>
        <w:rPr>
          <w:spacing w:val="-2"/>
        </w:rPr>
        <w:t>Introduction </w:t>
      </w:r>
      <w:r>
        <w:rPr/>
        <w:t>Chapter</w:t>
      </w:r>
      <w:r>
        <w:rPr>
          <w:spacing w:val="-1"/>
        </w:rPr>
        <w:t> </w:t>
      </w:r>
      <w:r>
        <w:rPr/>
        <w:t>II</w:t>
        <w:tab/>
        <w:t>Cuttings</w:t>
      </w:r>
    </w:p>
    <w:p>
      <w:pPr>
        <w:pStyle w:val="BodyText"/>
        <w:tabs>
          <w:tab w:pos="1940" w:val="left" w:leader="none"/>
          <w:tab w:pos="2015" w:val="left" w:leader="none"/>
        </w:tabs>
        <w:spacing w:line="480" w:lineRule="auto" w:before="2"/>
        <w:ind w:left="500" w:right="4770"/>
      </w:pPr>
      <w:r>
        <w:rPr/>
        <w:t>Chapter III</w:t>
        <w:tab/>
        <w:tab/>
        <w:t>Stratigraphy and </w:t>
      </w:r>
      <w:r>
        <w:rPr>
          <w:spacing w:val="-2"/>
        </w:rPr>
        <w:t>Chronology </w:t>
      </w:r>
      <w:r>
        <w:rPr/>
        <w:t>Chapter IV</w:t>
        <w:tab/>
        <w:t>Structure</w:t>
      </w:r>
    </w:p>
    <w:p>
      <w:pPr>
        <w:pStyle w:val="BodyText"/>
        <w:tabs>
          <w:tab w:pos="1940" w:val="left" w:leader="none"/>
        </w:tabs>
        <w:spacing w:line="287" w:lineRule="exact"/>
        <w:ind w:left="500"/>
      </w:pPr>
      <w:r>
        <w:rPr/>
        <w:t>Chapter V</w:t>
        <w:tab/>
        <w:t>Pottery</w:t>
      </w:r>
    </w:p>
    <w:p>
      <w:pPr>
        <w:pStyle w:val="BodyText"/>
        <w:spacing w:before="10"/>
        <w:rPr>
          <w:sz w:val="24"/>
        </w:rPr>
      </w:pPr>
    </w:p>
    <w:p>
      <w:pPr>
        <w:pStyle w:val="BodyText"/>
        <w:tabs>
          <w:tab w:pos="1940" w:val="left" w:leader="none"/>
        </w:tabs>
        <w:spacing w:line="480" w:lineRule="auto"/>
        <w:ind w:left="500" w:right="5372"/>
      </w:pPr>
      <w:r>
        <w:rPr/>
        <w:t>Chapter VI</w:t>
        <w:tab/>
        <w:t>Architectural </w:t>
      </w:r>
      <w:r>
        <w:rPr>
          <w:spacing w:val="-3"/>
        </w:rPr>
        <w:t>Fragments </w:t>
      </w:r>
      <w:r>
        <w:rPr/>
        <w:t>Chapter VII Terracotta</w:t>
      </w:r>
      <w:r>
        <w:rPr>
          <w:spacing w:val="-36"/>
        </w:rPr>
        <w:t> </w:t>
      </w:r>
      <w:r>
        <w:rPr/>
        <w:t>Figurines</w:t>
      </w:r>
    </w:p>
    <w:p>
      <w:pPr>
        <w:pStyle w:val="BodyText"/>
        <w:tabs>
          <w:tab w:pos="1940" w:val="left" w:leader="none"/>
        </w:tabs>
        <w:spacing w:line="482" w:lineRule="auto"/>
        <w:ind w:left="500" w:right="3704"/>
      </w:pPr>
      <w:r>
        <w:rPr/>
        <w:t>Chapter VIII Inscriptions, Seals, Sealings and </w:t>
      </w:r>
      <w:r>
        <w:rPr>
          <w:spacing w:val="-3"/>
        </w:rPr>
        <w:t>Coins </w:t>
      </w:r>
      <w:r>
        <w:rPr/>
        <w:t>Chapter IX</w:t>
        <w:tab/>
        <w:t>Miscellaneous</w:t>
      </w:r>
      <w:r>
        <w:rPr>
          <w:spacing w:val="-1"/>
        </w:rPr>
        <w:t> </w:t>
      </w:r>
      <w:r>
        <w:rPr/>
        <w:t>Objects</w:t>
      </w:r>
    </w:p>
    <w:p>
      <w:pPr>
        <w:pStyle w:val="BodyText"/>
        <w:tabs>
          <w:tab w:pos="1940" w:val="left" w:leader="none"/>
        </w:tabs>
        <w:spacing w:line="282" w:lineRule="exact"/>
        <w:ind w:left="500"/>
      </w:pPr>
      <w:r>
        <w:rPr/>
        <w:t>Chapter X</w:t>
        <w:tab/>
        <w:t>Summary of</w:t>
      </w:r>
      <w:r>
        <w:rPr>
          <w:spacing w:val="-3"/>
        </w:rPr>
        <w:t> </w:t>
      </w:r>
      <w:r>
        <w:rPr/>
        <w:t>Results</w:t>
      </w:r>
    </w:p>
    <w:p>
      <w:pPr>
        <w:pStyle w:val="BodyText"/>
        <w:rPr>
          <w:sz w:val="28"/>
        </w:rPr>
      </w:pPr>
    </w:p>
    <w:p>
      <w:pPr>
        <w:pStyle w:val="BodyText"/>
        <w:spacing w:before="1"/>
        <w:rPr>
          <w:sz w:val="22"/>
        </w:rPr>
      </w:pPr>
    </w:p>
    <w:p>
      <w:pPr>
        <w:pStyle w:val="BodyText"/>
        <w:spacing w:before="1"/>
        <w:ind w:left="500"/>
      </w:pPr>
      <w:r>
        <w:rPr/>
        <w:t>Appendices I to IV to the report contain the following information :</w:t>
      </w:r>
    </w:p>
    <w:p>
      <w:pPr>
        <w:pStyle w:val="BodyText"/>
        <w:spacing w:before="10"/>
        <w:rPr>
          <w:sz w:val="24"/>
        </w:rPr>
      </w:pPr>
    </w:p>
    <w:p>
      <w:pPr>
        <w:pStyle w:val="BodyText"/>
        <w:tabs>
          <w:tab w:pos="2660" w:val="left" w:leader="none"/>
          <w:tab w:pos="3631" w:val="left" w:leader="none"/>
          <w:tab w:pos="4130" w:val="left" w:leader="none"/>
          <w:tab w:pos="4696" w:val="left" w:leader="none"/>
          <w:tab w:pos="5955" w:val="left" w:leader="none"/>
          <w:tab w:pos="7102" w:val="left" w:leader="none"/>
          <w:tab w:pos="7533" w:val="left" w:leader="none"/>
          <w:tab w:pos="8531" w:val="left" w:leader="none"/>
        </w:tabs>
        <w:spacing w:line="480" w:lineRule="auto"/>
        <w:ind w:left="500" w:right="461"/>
      </w:pPr>
      <w:r>
        <w:rPr/>
        <w:t>Appendix</w:t>
      </w:r>
      <w:r>
        <w:rPr>
          <w:spacing w:val="-4"/>
        </w:rPr>
        <w:t> </w:t>
      </w:r>
      <w:r>
        <w:rPr/>
        <w:t>I</w:t>
        <w:tab/>
        <w:t>C14 Dating of Charcoal Samples from Ayodhya excavation Appendix</w:t>
      </w:r>
      <w:r>
        <w:rPr>
          <w:spacing w:val="-4"/>
        </w:rPr>
        <w:t> </w:t>
      </w:r>
      <w:r>
        <w:rPr/>
        <w:t>IIA</w:t>
        <w:tab/>
        <w:t>Report</w:t>
        <w:tab/>
        <w:t>on</w:t>
        <w:tab/>
        <w:t>the</w:t>
        <w:tab/>
        <w:t>Chemical</w:t>
        <w:tab/>
        <w:t>Analysis</w:t>
        <w:tab/>
        <w:t>of</w:t>
        <w:tab/>
        <w:t>Plaster</w:t>
        <w:tab/>
      </w:r>
      <w:r>
        <w:rPr>
          <w:spacing w:val="-3"/>
        </w:rPr>
        <w:t>Samples</w:t>
      </w:r>
    </w:p>
    <w:p>
      <w:pPr>
        <w:pStyle w:val="BodyText"/>
        <w:spacing w:before="2"/>
        <w:ind w:left="2660"/>
      </w:pPr>
      <w:r>
        <w:rPr/>
        <w:t>pertaining to different trenches collected from Ayodhya</w:t>
      </w:r>
    </w:p>
    <w:p>
      <w:pPr>
        <w:spacing w:after="0"/>
        <w:sectPr>
          <w:pgSz w:w="11910" w:h="16840"/>
          <w:pgMar w:header="721" w:footer="1014" w:top="1300" w:bottom="1200" w:left="940" w:right="1000"/>
        </w:sectPr>
      </w:pPr>
    </w:p>
    <w:p>
      <w:pPr>
        <w:pStyle w:val="BodyText"/>
        <w:tabs>
          <w:tab w:pos="2660" w:val="left" w:leader="none"/>
        </w:tabs>
        <w:spacing w:line="480" w:lineRule="auto" w:before="124"/>
        <w:ind w:left="2660" w:right="512" w:hanging="2160"/>
      </w:pPr>
      <w:r>
        <w:rPr/>
        <w:t>Appendix</w:t>
      </w:r>
      <w:r>
        <w:rPr>
          <w:spacing w:val="-4"/>
        </w:rPr>
        <w:t> </w:t>
      </w:r>
      <w:r>
        <w:rPr/>
        <w:t>IIB</w:t>
        <w:tab/>
        <w:t>Report on the Chemical Analysis of Floor Samples pertaining to different trenches collected from</w:t>
      </w:r>
      <w:r>
        <w:rPr>
          <w:spacing w:val="-5"/>
        </w:rPr>
        <w:t> </w:t>
      </w:r>
      <w:r>
        <w:rPr/>
        <w:t>Ayodhya</w:t>
      </w:r>
    </w:p>
    <w:p>
      <w:pPr>
        <w:pStyle w:val="BodyText"/>
        <w:tabs>
          <w:tab w:pos="2660" w:val="left" w:leader="none"/>
        </w:tabs>
        <w:spacing w:line="480" w:lineRule="auto"/>
        <w:ind w:left="2660" w:right="512" w:hanging="2160"/>
      </w:pPr>
      <w:r>
        <w:rPr/>
        <w:t>Appendix</w:t>
      </w:r>
      <w:r>
        <w:rPr>
          <w:spacing w:val="-4"/>
        </w:rPr>
        <w:t> </w:t>
      </w:r>
      <w:r>
        <w:rPr/>
        <w:t>III</w:t>
        <w:tab/>
        <w:t>On-Site Chemical Treatment and Preservation of Excavated Artefacts</w:t>
      </w:r>
    </w:p>
    <w:p>
      <w:pPr>
        <w:pStyle w:val="BodyText"/>
        <w:tabs>
          <w:tab w:pos="2660" w:val="left" w:leader="none"/>
        </w:tabs>
        <w:spacing w:line="480" w:lineRule="auto"/>
        <w:ind w:left="2660" w:right="512" w:hanging="2160"/>
      </w:pPr>
      <w:r>
        <w:rPr/>
        <w:t>Appendix</w:t>
      </w:r>
      <w:r>
        <w:rPr>
          <w:spacing w:val="-4"/>
        </w:rPr>
        <w:t> </w:t>
      </w:r>
      <w:r>
        <w:rPr/>
        <w:t>IV</w:t>
        <w:tab/>
        <w:t>Information on the Data-Form as per direction of Special Full Bench, Lucknow of the Hon‘ble High Court,</w:t>
      </w:r>
      <w:r>
        <w:rPr>
          <w:spacing w:val="-11"/>
        </w:rPr>
        <w:t> </w:t>
      </w:r>
      <w:r>
        <w:rPr/>
        <w:t>Allahabad.</w:t>
      </w:r>
    </w:p>
    <w:p>
      <w:pPr>
        <w:pStyle w:val="BodyText"/>
        <w:rPr>
          <w:sz w:val="28"/>
        </w:rPr>
      </w:pPr>
    </w:p>
    <w:p>
      <w:pPr>
        <w:pStyle w:val="BodyText"/>
        <w:rPr>
          <w:sz w:val="22"/>
        </w:rPr>
      </w:pPr>
    </w:p>
    <w:p>
      <w:pPr>
        <w:pStyle w:val="ListParagraph"/>
        <w:numPr>
          <w:ilvl w:val="0"/>
          <w:numId w:val="111"/>
        </w:numPr>
        <w:tabs>
          <w:tab w:pos="1221" w:val="left" w:leader="none"/>
        </w:tabs>
        <w:spacing w:line="480" w:lineRule="auto" w:before="0" w:after="0"/>
        <w:ind w:left="500" w:right="436" w:firstLine="0"/>
        <w:jc w:val="both"/>
        <w:rPr>
          <w:sz w:val="25"/>
        </w:rPr>
      </w:pPr>
      <w:r>
        <w:rPr>
          <w:sz w:val="25"/>
        </w:rPr>
        <w:t>The ASI submitted its final report on 22 August 2003 together with a complete record containing field notebooks, series, registers, site notebooks and a laptop together with a hard disk and compact disks. The record that was submitted by the ASI together with its report has been tabulated in paragraph 241 of the judgment of Justice Sudhir Agarwal. In assessing the report of the ASI, it must therefore be borne in mind that a structured process was followed in the course of excavation in order to ensure that the process of excavation was documented both in electronic and conventional forms. What is excavated and found is a matter of fact. Undoubtedly, the archaeologist has to relate the data which emerges from the excavation to a context. The process of drawing inferences from data is an essential element of archaeology as a discipline but to reject this exercise as conjectural and hypothetical would be a dis-service both to the discipline and to the underlying process. No submission questioning the independence of the ASI team has been urged by Ms Arora. In this backdrop, the fact the none of the parties called for examination of any one from the ASI team under the provisions of Order XXVI Rule 10 (2) cannot be</w:t>
      </w:r>
      <w:r>
        <w:rPr>
          <w:spacing w:val="-13"/>
          <w:sz w:val="25"/>
        </w:rPr>
        <w:t> </w:t>
      </w:r>
      <w:r>
        <w:rPr>
          <w:sz w:val="25"/>
        </w:rPr>
        <w:t>ignored.</w:t>
      </w:r>
    </w:p>
    <w:p>
      <w:pPr>
        <w:spacing w:after="0" w:line="480" w:lineRule="auto"/>
        <w:jc w:val="both"/>
        <w:rPr>
          <w:sz w:val="25"/>
        </w:rPr>
        <w:sectPr>
          <w:pgSz w:w="11910" w:h="16840"/>
          <w:pgMar w:header="721" w:footer="1014" w:top="1300" w:bottom="1200" w:left="940" w:right="1000"/>
        </w:sectPr>
      </w:pPr>
    </w:p>
    <w:p>
      <w:pPr>
        <w:pStyle w:val="Heading4"/>
        <w:spacing w:before="126"/>
        <w:rPr>
          <w:i/>
        </w:rPr>
      </w:pPr>
      <w:r>
        <w:rPr>
          <w:i/>
        </w:rPr>
        <w:t>The Idgah defence</w:t>
      </w:r>
    </w:p>
    <w:p>
      <w:pPr>
        <w:pStyle w:val="BodyText"/>
        <w:rPr>
          <w:i/>
          <w:sz w:val="28"/>
        </w:rPr>
      </w:pPr>
    </w:p>
    <w:p>
      <w:pPr>
        <w:pStyle w:val="BodyText"/>
        <w:spacing w:before="9"/>
        <w:rPr>
          <w:i/>
          <w:sz w:val="36"/>
        </w:rPr>
      </w:pPr>
    </w:p>
    <w:p>
      <w:pPr>
        <w:pStyle w:val="ListParagraph"/>
        <w:numPr>
          <w:ilvl w:val="0"/>
          <w:numId w:val="111"/>
        </w:numPr>
        <w:tabs>
          <w:tab w:pos="1221" w:val="left" w:leader="none"/>
        </w:tabs>
        <w:spacing w:line="480" w:lineRule="auto" w:before="0" w:after="0"/>
        <w:ind w:left="500" w:right="439" w:firstLine="0"/>
        <w:jc w:val="both"/>
        <w:rPr>
          <w:sz w:val="25"/>
        </w:rPr>
      </w:pPr>
      <w:r>
        <w:rPr>
          <w:sz w:val="25"/>
        </w:rPr>
        <w:t>The case of the plaintiffs in Suit 5 is that below the disputed site there was an ancient temple dating back to the era of Vikramaditya which was destroyed by Mir Baqi, the Commander of Babur‘s forces and that the Babri mosque was built upon it. It is alleged that the material used to construct the mosque was taken from the destroyed temple, including the black Kasauti stone</w:t>
      </w:r>
      <w:r>
        <w:rPr>
          <w:spacing w:val="-8"/>
          <w:sz w:val="25"/>
        </w:rPr>
        <w:t> </w:t>
      </w:r>
      <w:r>
        <w:rPr>
          <w:sz w:val="25"/>
        </w:rPr>
        <w:t>pillars.</w:t>
      </w:r>
    </w:p>
    <w:p>
      <w:pPr>
        <w:pStyle w:val="BodyText"/>
        <w:spacing w:before="10"/>
        <w:rPr>
          <w:sz w:val="38"/>
        </w:rPr>
      </w:pPr>
    </w:p>
    <w:p>
      <w:pPr>
        <w:pStyle w:val="BodyText"/>
        <w:spacing w:line="480" w:lineRule="auto" w:before="1"/>
        <w:ind w:left="500" w:right="433"/>
        <w:jc w:val="both"/>
      </w:pPr>
      <w:r>
        <w:rPr/>
        <w:t>In its written statement, the Sunni Central Waqf Board denied that there was in existence any temple relatable to the era of Vikramaditya at the site of Babri Masjid. It also denied that the mosque was constructed at the site of a temple by utilising the material used in the underlying temple. In the written statement, the Sunni Central Waqf Board also stated in paragraph 24(b) that:</w:t>
      </w:r>
    </w:p>
    <w:p>
      <w:pPr>
        <w:spacing w:line="276" w:lineRule="auto" w:before="160"/>
        <w:ind w:left="1940" w:right="2265" w:firstLine="0"/>
        <w:jc w:val="both"/>
        <w:rPr>
          <w:sz w:val="21"/>
        </w:rPr>
      </w:pPr>
      <w:r>
        <w:rPr>
          <w:w w:val="33"/>
          <w:sz w:val="21"/>
        </w:rPr>
        <w:t>―</w:t>
      </w:r>
      <w:r>
        <w:rPr>
          <w:w w:val="100"/>
          <w:sz w:val="21"/>
        </w:rPr>
        <w:t>Emperor</w:t>
      </w:r>
      <w:r>
        <w:rPr>
          <w:sz w:val="21"/>
        </w:rPr>
        <w:t> </w:t>
      </w:r>
      <w:r>
        <w:rPr>
          <w:w w:val="100"/>
          <w:sz w:val="21"/>
        </w:rPr>
        <w:t>Babur</w:t>
      </w:r>
      <w:r>
        <w:rPr>
          <w:sz w:val="21"/>
        </w:rPr>
        <w:t> </w:t>
      </w:r>
      <w:r>
        <w:rPr>
          <w:w w:val="100"/>
          <w:sz w:val="21"/>
        </w:rPr>
        <w:t>was</w:t>
      </w:r>
      <w:r>
        <w:rPr>
          <w:sz w:val="21"/>
        </w:rPr>
        <w:t> </w:t>
      </w:r>
      <w:r>
        <w:rPr>
          <w:w w:val="100"/>
          <w:sz w:val="21"/>
        </w:rPr>
        <w:t>a</w:t>
      </w:r>
      <w:r>
        <w:rPr>
          <w:sz w:val="21"/>
        </w:rPr>
        <w:t> </w:t>
      </w:r>
      <w:r>
        <w:rPr>
          <w:w w:val="100"/>
          <w:sz w:val="21"/>
        </w:rPr>
        <w:t>Su</w:t>
      </w:r>
      <w:r>
        <w:rPr>
          <w:w w:val="100"/>
          <w:sz w:val="21"/>
        </w:rPr>
        <w:t>nn</w:t>
      </w:r>
      <w:r>
        <w:rPr>
          <w:w w:val="100"/>
          <w:sz w:val="21"/>
        </w:rPr>
        <w:t>i</w:t>
      </w:r>
      <w:r>
        <w:rPr>
          <w:sz w:val="21"/>
        </w:rPr>
        <w:t> </w:t>
      </w:r>
      <w:r>
        <w:rPr>
          <w:w w:val="100"/>
          <w:sz w:val="21"/>
        </w:rPr>
        <w:t>M</w:t>
      </w:r>
      <w:r>
        <w:rPr>
          <w:w w:val="100"/>
          <w:sz w:val="21"/>
        </w:rPr>
        <w:t>us</w:t>
      </w:r>
      <w:r>
        <w:rPr>
          <w:w w:val="100"/>
          <w:sz w:val="21"/>
        </w:rPr>
        <w:t>li</w:t>
      </w:r>
      <w:r>
        <w:rPr>
          <w:w w:val="100"/>
          <w:sz w:val="21"/>
        </w:rPr>
        <w:t>m</w:t>
      </w:r>
      <w:r>
        <w:rPr>
          <w:sz w:val="21"/>
        </w:rPr>
        <w:t> </w:t>
      </w:r>
      <w:r>
        <w:rPr>
          <w:w w:val="100"/>
          <w:sz w:val="21"/>
        </w:rPr>
        <w:t>and</w:t>
      </w:r>
      <w:r>
        <w:rPr>
          <w:sz w:val="21"/>
        </w:rPr>
        <w:t> </w:t>
      </w:r>
      <w:r>
        <w:rPr>
          <w:w w:val="100"/>
          <w:sz w:val="21"/>
        </w:rPr>
        <w:t>t</w:t>
      </w:r>
      <w:r>
        <w:rPr>
          <w:w w:val="100"/>
          <w:sz w:val="21"/>
        </w:rPr>
        <w:t>he</w:t>
      </w:r>
      <w:r>
        <w:rPr>
          <w:sz w:val="21"/>
        </w:rPr>
        <w:t> </w:t>
      </w:r>
      <w:r>
        <w:rPr>
          <w:w w:val="100"/>
          <w:sz w:val="21"/>
        </w:rPr>
        <w:t>v</w:t>
      </w:r>
      <w:r>
        <w:rPr>
          <w:w w:val="100"/>
          <w:sz w:val="21"/>
        </w:rPr>
        <w:t>ac</w:t>
      </w:r>
      <w:r>
        <w:rPr>
          <w:w w:val="100"/>
          <w:sz w:val="21"/>
        </w:rPr>
        <w:t>a</w:t>
      </w:r>
      <w:r>
        <w:rPr>
          <w:w w:val="100"/>
          <w:sz w:val="21"/>
        </w:rPr>
        <w:t>nt</w:t>
      </w:r>
      <w:r>
        <w:rPr>
          <w:sz w:val="21"/>
        </w:rPr>
        <w:t> </w:t>
      </w:r>
      <w:r>
        <w:rPr>
          <w:w w:val="100"/>
          <w:sz w:val="21"/>
        </w:rPr>
        <w:t>l</w:t>
      </w:r>
      <w:r>
        <w:rPr>
          <w:w w:val="100"/>
          <w:sz w:val="21"/>
        </w:rPr>
        <w:t>and</w:t>
      </w:r>
      <w:r>
        <w:rPr>
          <w:sz w:val="21"/>
        </w:rPr>
        <w:t> </w:t>
      </w:r>
      <w:r>
        <w:rPr>
          <w:w w:val="100"/>
          <w:sz w:val="21"/>
        </w:rPr>
        <w:t>on </w:t>
      </w:r>
      <w:r>
        <w:rPr>
          <w:sz w:val="21"/>
        </w:rPr>
        <w:t>which the Babri Masjid was built lay in state territories and did not belong to anyone …‖</w:t>
      </w:r>
    </w:p>
    <w:p>
      <w:pPr>
        <w:pStyle w:val="BodyText"/>
        <w:rPr>
          <w:sz w:val="24"/>
        </w:rPr>
      </w:pPr>
    </w:p>
    <w:p>
      <w:pPr>
        <w:pStyle w:val="BodyText"/>
        <w:spacing w:before="11"/>
      </w:pPr>
    </w:p>
    <w:p>
      <w:pPr>
        <w:pStyle w:val="BodyText"/>
        <w:spacing w:line="480" w:lineRule="auto"/>
        <w:ind w:left="500" w:right="442"/>
        <w:jc w:val="both"/>
      </w:pPr>
      <w:r>
        <w:rPr/>
        <w:t>It therefore denied that there existed any underlying temple below the disputed site or that the underlying temple was destroyed for the construction of the mosque.</w:t>
      </w:r>
    </w:p>
    <w:p>
      <w:pPr>
        <w:pStyle w:val="BodyText"/>
        <w:spacing w:before="2"/>
      </w:pPr>
    </w:p>
    <w:p>
      <w:pPr>
        <w:pStyle w:val="ListParagraph"/>
        <w:numPr>
          <w:ilvl w:val="0"/>
          <w:numId w:val="111"/>
        </w:numPr>
        <w:tabs>
          <w:tab w:pos="1221" w:val="left" w:leader="none"/>
        </w:tabs>
        <w:spacing w:line="480" w:lineRule="auto" w:before="0" w:after="0"/>
        <w:ind w:left="500" w:right="441" w:firstLine="0"/>
        <w:jc w:val="both"/>
        <w:rPr>
          <w:sz w:val="25"/>
        </w:rPr>
      </w:pPr>
      <w:r>
        <w:rPr>
          <w:sz w:val="25"/>
        </w:rPr>
        <w:t>Initially, the defence that was urged in response to the plaint in Suit 5 was that there was no underlying structure which was demolished for the construction of the mosque. Confronted with the findings in the ASI report, the Sunni Central Waqf Board altered the stance and sought to claim that among the structures that came</w:t>
      </w:r>
      <w:r>
        <w:rPr>
          <w:spacing w:val="-15"/>
          <w:sz w:val="25"/>
        </w:rPr>
        <w:t> </w:t>
      </w:r>
      <w:r>
        <w:rPr>
          <w:sz w:val="25"/>
        </w:rPr>
        <w:t>to</w:t>
      </w:r>
      <w:r>
        <w:rPr>
          <w:spacing w:val="-15"/>
          <w:sz w:val="25"/>
        </w:rPr>
        <w:t> </w:t>
      </w:r>
      <w:r>
        <w:rPr>
          <w:sz w:val="25"/>
        </w:rPr>
        <w:t>be</w:t>
      </w:r>
      <w:r>
        <w:rPr>
          <w:spacing w:val="-14"/>
          <w:sz w:val="25"/>
        </w:rPr>
        <w:t> </w:t>
      </w:r>
      <w:r>
        <w:rPr>
          <w:sz w:val="25"/>
        </w:rPr>
        <w:t>revealed</w:t>
      </w:r>
      <w:r>
        <w:rPr>
          <w:spacing w:val="-12"/>
          <w:sz w:val="25"/>
        </w:rPr>
        <w:t> </w:t>
      </w:r>
      <w:r>
        <w:rPr>
          <w:sz w:val="25"/>
        </w:rPr>
        <w:t>during</w:t>
      </w:r>
      <w:r>
        <w:rPr>
          <w:spacing w:val="-14"/>
          <w:sz w:val="25"/>
        </w:rPr>
        <w:t> </w:t>
      </w:r>
      <w:r>
        <w:rPr>
          <w:sz w:val="25"/>
        </w:rPr>
        <w:t>the</w:t>
      </w:r>
      <w:r>
        <w:rPr>
          <w:spacing w:val="-15"/>
          <w:sz w:val="25"/>
        </w:rPr>
        <w:t> </w:t>
      </w:r>
      <w:r>
        <w:rPr>
          <w:sz w:val="25"/>
        </w:rPr>
        <w:t>course</w:t>
      </w:r>
      <w:r>
        <w:rPr>
          <w:spacing w:val="-14"/>
          <w:sz w:val="25"/>
        </w:rPr>
        <w:t> </w:t>
      </w:r>
      <w:r>
        <w:rPr>
          <w:sz w:val="25"/>
        </w:rPr>
        <w:t>of</w:t>
      </w:r>
      <w:r>
        <w:rPr>
          <w:spacing w:val="-14"/>
          <w:sz w:val="25"/>
        </w:rPr>
        <w:t> </w:t>
      </w:r>
      <w:r>
        <w:rPr>
          <w:sz w:val="25"/>
        </w:rPr>
        <w:t>the</w:t>
      </w:r>
      <w:r>
        <w:rPr>
          <w:spacing w:val="-14"/>
          <w:sz w:val="25"/>
        </w:rPr>
        <w:t> </w:t>
      </w:r>
      <w:r>
        <w:rPr>
          <w:sz w:val="25"/>
        </w:rPr>
        <w:t>excavation</w:t>
      </w:r>
      <w:r>
        <w:rPr>
          <w:spacing w:val="-15"/>
          <w:sz w:val="25"/>
        </w:rPr>
        <w:t> </w:t>
      </w:r>
      <w:r>
        <w:rPr>
          <w:sz w:val="25"/>
        </w:rPr>
        <w:t>was</w:t>
      </w:r>
      <w:r>
        <w:rPr>
          <w:spacing w:val="-12"/>
          <w:sz w:val="25"/>
        </w:rPr>
        <w:t> </w:t>
      </w:r>
      <w:r>
        <w:rPr>
          <w:sz w:val="25"/>
        </w:rPr>
        <w:t>an</w:t>
      </w:r>
      <w:r>
        <w:rPr>
          <w:spacing w:val="-14"/>
          <w:sz w:val="25"/>
        </w:rPr>
        <w:t> </w:t>
      </w:r>
      <w:r>
        <w:rPr>
          <w:sz w:val="25"/>
        </w:rPr>
        <w:t>‗Idgah‘</w:t>
      </w:r>
      <w:r>
        <w:rPr>
          <w:spacing w:val="-14"/>
          <w:sz w:val="25"/>
        </w:rPr>
        <w:t> </w:t>
      </w:r>
      <w:r>
        <w:rPr>
          <w:sz w:val="25"/>
        </w:rPr>
        <w:t>or</w:t>
      </w:r>
      <w:r>
        <w:rPr>
          <w:spacing w:val="-14"/>
          <w:sz w:val="25"/>
        </w:rPr>
        <w:t> </w:t>
      </w:r>
      <w:r>
        <w:rPr>
          <w:sz w:val="25"/>
        </w:rPr>
        <w:t>‗Kanati</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Masjid‘. This indeed, was not the case which was made out in the pleadings and was directly contrary to the case of the Sunni Central Waqf Board that the mosque had not been constructed upon the site of an existing temple but was constructed on vacant land. The reference to the existence of an Idgah in the underlying excavation was sought to be established through the archaeologist witnesses – Dr Jaya Menon (PW 29), Dr Supriya Verma (PW 32) and R C Thakran (PW 30).</w:t>
      </w:r>
    </w:p>
    <w:p>
      <w:pPr>
        <w:pStyle w:val="BodyText"/>
        <w:spacing w:before="10"/>
        <w:rPr>
          <w:sz w:val="38"/>
        </w:rPr>
      </w:pPr>
    </w:p>
    <w:p>
      <w:pPr>
        <w:pStyle w:val="BodyText"/>
        <w:spacing w:line="480" w:lineRule="auto"/>
        <w:ind w:left="500" w:right="440"/>
        <w:jc w:val="both"/>
      </w:pPr>
      <w:r>
        <w:rPr/>
        <w:t>Mr C S Vaidyanathan, learned Senior Counsel appearing on behalf of the plaintiffs in Suit 5, urged that none of the witnesses produced by the Sunni Central Waqf Board deposed to the existence of an Idgah. The High Court observed:</w:t>
      </w:r>
    </w:p>
    <w:p>
      <w:pPr>
        <w:spacing w:line="276" w:lineRule="auto" w:before="159"/>
        <w:ind w:left="1940" w:right="2259" w:firstLine="0"/>
        <w:jc w:val="both"/>
        <w:rPr>
          <w:sz w:val="21"/>
        </w:rPr>
      </w:pPr>
      <w:r>
        <w:rPr>
          <w:spacing w:val="-1"/>
          <w:w w:val="33"/>
          <w:sz w:val="21"/>
        </w:rPr>
        <w:t>―</w:t>
      </w:r>
      <w:r>
        <w:rPr>
          <w:spacing w:val="-1"/>
          <w:w w:val="100"/>
          <w:sz w:val="21"/>
        </w:rPr>
        <w:t>380</w:t>
      </w:r>
      <w:r>
        <w:rPr>
          <w:w w:val="100"/>
          <w:sz w:val="21"/>
        </w:rPr>
        <w:t>9.</w:t>
      </w:r>
      <w:r>
        <w:rPr>
          <w:sz w:val="21"/>
        </w:rPr>
        <w:t> </w:t>
      </w:r>
      <w:r>
        <w:rPr>
          <w:spacing w:val="-25"/>
          <w:sz w:val="21"/>
        </w:rPr>
        <w:t> </w:t>
      </w:r>
      <w:r>
        <w:rPr>
          <w:spacing w:val="-2"/>
          <w:w w:val="100"/>
          <w:sz w:val="21"/>
        </w:rPr>
        <w:t>In</w:t>
      </w:r>
      <w:r>
        <w:rPr>
          <w:w w:val="100"/>
          <w:sz w:val="21"/>
        </w:rPr>
        <w:t>i</w:t>
      </w:r>
      <w:r>
        <w:rPr>
          <w:spacing w:val="-2"/>
          <w:w w:val="100"/>
          <w:sz w:val="21"/>
        </w:rPr>
        <w:t>t</w:t>
      </w:r>
      <w:r>
        <w:rPr>
          <w:w w:val="100"/>
          <w:sz w:val="21"/>
        </w:rPr>
        <w:t>i</w:t>
      </w:r>
      <w:r>
        <w:rPr>
          <w:spacing w:val="-3"/>
          <w:w w:val="100"/>
          <w:sz w:val="21"/>
        </w:rPr>
        <w:t>a</w:t>
      </w:r>
      <w:r>
        <w:rPr>
          <w:spacing w:val="-2"/>
          <w:w w:val="100"/>
          <w:sz w:val="21"/>
        </w:rPr>
        <w:t>l</w:t>
      </w:r>
      <w:r>
        <w:rPr>
          <w:w w:val="100"/>
          <w:sz w:val="21"/>
        </w:rPr>
        <w:t>l</w:t>
      </w:r>
      <w:r>
        <w:rPr>
          <w:w w:val="100"/>
          <w:sz w:val="21"/>
        </w:rPr>
        <w:t>y</w:t>
      </w:r>
      <w:r>
        <w:rPr>
          <w:sz w:val="21"/>
        </w:rPr>
        <w:t> </w:t>
      </w:r>
      <w:r>
        <w:rPr>
          <w:spacing w:val="-26"/>
          <w:sz w:val="21"/>
        </w:rPr>
        <w:t> </w:t>
      </w:r>
      <w:r>
        <w:rPr>
          <w:spacing w:val="-2"/>
          <w:w w:val="100"/>
          <w:sz w:val="21"/>
        </w:rPr>
        <w:t>t</w:t>
      </w:r>
      <w:r>
        <w:rPr>
          <w:w w:val="100"/>
          <w:sz w:val="21"/>
        </w:rPr>
        <w:t>he</w:t>
      </w:r>
      <w:r>
        <w:rPr>
          <w:sz w:val="21"/>
        </w:rPr>
        <w:t> </w:t>
      </w:r>
      <w:r>
        <w:rPr>
          <w:spacing w:val="-23"/>
          <w:sz w:val="21"/>
        </w:rPr>
        <w:t> </w:t>
      </w:r>
      <w:r>
        <w:rPr>
          <w:w w:val="100"/>
          <w:sz w:val="21"/>
        </w:rPr>
        <w:t>c</w:t>
      </w:r>
      <w:r>
        <w:rPr>
          <w:spacing w:val="-3"/>
          <w:w w:val="100"/>
          <w:sz w:val="21"/>
        </w:rPr>
        <w:t>a</w:t>
      </w:r>
      <w:r>
        <w:rPr>
          <w:w w:val="100"/>
          <w:sz w:val="21"/>
        </w:rPr>
        <w:t>se</w:t>
      </w:r>
      <w:r>
        <w:rPr>
          <w:sz w:val="21"/>
        </w:rPr>
        <w:t> </w:t>
      </w:r>
      <w:r>
        <w:rPr>
          <w:spacing w:val="-26"/>
          <w:sz w:val="21"/>
        </w:rPr>
        <w:t> </w:t>
      </w:r>
      <w:r>
        <w:rPr>
          <w:spacing w:val="-3"/>
          <w:w w:val="100"/>
          <w:sz w:val="21"/>
        </w:rPr>
        <w:t>s</w:t>
      </w:r>
      <w:r>
        <w:rPr>
          <w:w w:val="100"/>
          <w:sz w:val="21"/>
        </w:rPr>
        <w:t>et</w:t>
      </w:r>
      <w:r>
        <w:rPr>
          <w:sz w:val="21"/>
        </w:rPr>
        <w:t> </w:t>
      </w:r>
      <w:r>
        <w:rPr>
          <w:spacing w:val="-25"/>
          <w:sz w:val="21"/>
        </w:rPr>
        <w:t> </w:t>
      </w:r>
      <w:r>
        <w:rPr>
          <w:w w:val="100"/>
          <w:sz w:val="21"/>
        </w:rPr>
        <w:t>up</w:t>
      </w:r>
      <w:r>
        <w:rPr>
          <w:sz w:val="21"/>
        </w:rPr>
        <w:t> </w:t>
      </w:r>
      <w:r>
        <w:rPr>
          <w:spacing w:val="-26"/>
          <w:sz w:val="21"/>
        </w:rPr>
        <w:t> </w:t>
      </w:r>
      <w:r>
        <w:rPr>
          <w:w w:val="100"/>
          <w:sz w:val="21"/>
        </w:rPr>
        <w:t>by</w:t>
      </w:r>
      <w:r>
        <w:rPr>
          <w:sz w:val="21"/>
        </w:rPr>
        <w:t> </w:t>
      </w:r>
      <w:r>
        <w:rPr>
          <w:spacing w:val="-26"/>
          <w:sz w:val="21"/>
        </w:rPr>
        <w:t> </w:t>
      </w:r>
      <w:r>
        <w:rPr>
          <w:spacing w:val="-2"/>
          <w:w w:val="100"/>
          <w:sz w:val="21"/>
        </w:rPr>
        <w:t>t</w:t>
      </w:r>
      <w:r>
        <w:rPr>
          <w:w w:val="100"/>
          <w:sz w:val="21"/>
        </w:rPr>
        <w:t>he</w:t>
      </w:r>
      <w:r>
        <w:rPr>
          <w:sz w:val="21"/>
        </w:rPr>
        <w:t> </w:t>
      </w:r>
      <w:r>
        <w:rPr>
          <w:spacing w:val="-23"/>
          <w:sz w:val="21"/>
        </w:rPr>
        <w:t> </w:t>
      </w:r>
      <w:r>
        <w:rPr>
          <w:spacing w:val="-3"/>
          <w:w w:val="100"/>
          <w:sz w:val="21"/>
        </w:rPr>
        <w:t>p</w:t>
      </w:r>
      <w:r>
        <w:rPr>
          <w:w w:val="100"/>
          <w:sz w:val="21"/>
        </w:rPr>
        <w:t>l</w:t>
      </w:r>
      <w:r>
        <w:rPr>
          <w:spacing w:val="-3"/>
          <w:w w:val="100"/>
          <w:sz w:val="21"/>
        </w:rPr>
        <w:t>a</w:t>
      </w:r>
      <w:r>
        <w:rPr>
          <w:w w:val="100"/>
          <w:sz w:val="21"/>
        </w:rPr>
        <w:t>i</w:t>
      </w:r>
      <w:r>
        <w:rPr>
          <w:w w:val="100"/>
          <w:sz w:val="21"/>
        </w:rPr>
        <w:t>n</w:t>
      </w:r>
      <w:r>
        <w:rPr>
          <w:spacing w:val="-1"/>
          <w:w w:val="100"/>
          <w:sz w:val="21"/>
        </w:rPr>
        <w:t>t</w:t>
      </w:r>
      <w:r>
        <w:rPr>
          <w:spacing w:val="-2"/>
          <w:w w:val="100"/>
          <w:sz w:val="21"/>
        </w:rPr>
        <w:t>i</w:t>
      </w:r>
      <w:r>
        <w:rPr>
          <w:spacing w:val="-2"/>
          <w:w w:val="100"/>
          <w:sz w:val="21"/>
        </w:rPr>
        <w:t>f</w:t>
      </w:r>
      <w:r>
        <w:rPr>
          <w:spacing w:val="1"/>
          <w:w w:val="100"/>
          <w:sz w:val="21"/>
        </w:rPr>
        <w:t>f</w:t>
      </w:r>
      <w:r>
        <w:rPr>
          <w:w w:val="100"/>
          <w:sz w:val="21"/>
        </w:rPr>
        <w:t>s</w:t>
      </w:r>
      <w:r>
        <w:rPr>
          <w:sz w:val="21"/>
        </w:rPr>
        <w:t> </w:t>
      </w:r>
      <w:r>
        <w:rPr>
          <w:spacing w:val="-24"/>
          <w:sz w:val="21"/>
        </w:rPr>
        <w:t> </w:t>
      </w:r>
      <w:r>
        <w:rPr>
          <w:spacing w:val="-4"/>
          <w:w w:val="100"/>
          <w:sz w:val="21"/>
        </w:rPr>
        <w:t>(</w:t>
      </w:r>
      <w:r>
        <w:rPr>
          <w:spacing w:val="-2"/>
          <w:w w:val="100"/>
          <w:sz w:val="21"/>
        </w:rPr>
        <w:t>S</w:t>
      </w:r>
      <w:r>
        <w:rPr>
          <w:w w:val="100"/>
          <w:sz w:val="21"/>
        </w:rPr>
        <w:t>u</w:t>
      </w:r>
      <w:r>
        <w:rPr>
          <w:spacing w:val="1"/>
          <w:w w:val="100"/>
          <w:sz w:val="21"/>
        </w:rPr>
        <w:t>i</w:t>
      </w:r>
      <w:r>
        <w:rPr>
          <w:spacing w:val="3"/>
          <w:w w:val="100"/>
          <w:sz w:val="21"/>
        </w:rPr>
        <w:t>t</w:t>
      </w:r>
      <w:r>
        <w:rPr>
          <w:spacing w:val="-1"/>
          <w:w w:val="100"/>
          <w:sz w:val="21"/>
        </w:rPr>
        <w:t>-</w:t>
      </w:r>
      <w:r>
        <w:rPr>
          <w:w w:val="100"/>
          <w:sz w:val="21"/>
        </w:rPr>
        <w:t>4)</w:t>
      </w:r>
      <w:r>
        <w:rPr>
          <w:sz w:val="21"/>
        </w:rPr>
        <w:t> </w:t>
      </w:r>
      <w:r>
        <w:rPr>
          <w:spacing w:val="-24"/>
          <w:sz w:val="21"/>
        </w:rPr>
        <w:t> </w:t>
      </w:r>
      <w:r>
        <w:rPr>
          <w:spacing w:val="-2"/>
          <w:w w:val="100"/>
          <w:sz w:val="21"/>
        </w:rPr>
        <w:t>w</w:t>
      </w:r>
      <w:r>
        <w:rPr>
          <w:w w:val="100"/>
          <w:sz w:val="21"/>
        </w:rPr>
        <w:t>as </w:t>
      </w:r>
      <w:r>
        <w:rPr>
          <w:sz w:val="21"/>
        </w:rPr>
        <w:t>that the building in dispute was constructed at a place where (there) neither…existed any Hindu religious structure nor (was) the place in dispute (a) place of worship…However, when the excavation proceedings progressed, a marked change in the approach of plaintiffs (Suit-4) became evident. Some of the archaeologists, who also deposed later in favour of plaintiffs (Suit-4)…tried to set up a new case that there appears to be an Islamic religious structure existing beneath the disputed building or that there existed an Islamic religious structure when the disputed building was constructed. The suggestion was that it could be either an Idgah or a Kanati Masjid wherein only one long wall on the western side was constructed with a niche. The consensus appears to be amongst the eight experts of Muslim parties, more or less accepting the existence of a structure beneath the disputed structure. The above approach that the earlier structure was a Islamic religious structure excludes the possibility of a non- religious structure at the disputed site beneath the disputed structure. It narrows down our enquiry to the question  whether such structure could be an Islamic religious structure or non-Islamic structure i.e. a Hindu Religious</w:t>
      </w:r>
      <w:r>
        <w:rPr>
          <w:spacing w:val="-27"/>
          <w:sz w:val="21"/>
        </w:rPr>
        <w:t> </w:t>
      </w:r>
      <w:r>
        <w:rPr>
          <w:sz w:val="21"/>
        </w:rPr>
        <w:t>Structure.‖</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4"/>
        <w:jc w:val="both"/>
      </w:pPr>
      <w:r>
        <w:rPr/>
        <w:t>The defence which was taken was that the pre-existing structure had an Islamic origin. Once this defence was taken the issue narrowed down to whether the pre- existing structure had an Islamic or non-Islamic origin. The ASI report had concluded that there was a Hindu temple underlying the disputed structure and the correctness of this opinion was being tested.</w:t>
      </w:r>
    </w:p>
    <w:p>
      <w:pPr>
        <w:pStyle w:val="BodyText"/>
      </w:pPr>
    </w:p>
    <w:p>
      <w:pPr>
        <w:pStyle w:val="ListParagraph"/>
        <w:numPr>
          <w:ilvl w:val="0"/>
          <w:numId w:val="111"/>
        </w:numPr>
        <w:tabs>
          <w:tab w:pos="1221" w:val="left" w:leader="none"/>
        </w:tabs>
        <w:spacing w:line="480" w:lineRule="auto" w:before="1" w:after="0"/>
        <w:ind w:left="500" w:right="438" w:firstLine="0"/>
        <w:jc w:val="both"/>
        <w:rPr>
          <w:sz w:val="25"/>
        </w:rPr>
      </w:pPr>
      <w:r>
        <w:rPr>
          <w:sz w:val="25"/>
        </w:rPr>
        <w:t>During the course of the excavation, 28 walls came to be traced as shown in figure 3A of the report. Of this, wall numbers 1 to 15 belong to or were contemporaneous to the disputed structure. Wall numbers 16 to 28 dated prior to the disputed structure and were found underneath. The ASI report found that wall 16 with a length of 50m had a width of 1.77m. Ten of its lower brick courses were original while the upper six courses were added later in the subsequent phase of construction:</w:t>
      </w:r>
    </w:p>
    <w:p>
      <w:pPr>
        <w:spacing w:line="276" w:lineRule="auto" w:before="158"/>
        <w:ind w:left="1940" w:right="2261" w:firstLine="0"/>
        <w:jc w:val="both"/>
        <w:rPr>
          <w:sz w:val="21"/>
        </w:rPr>
      </w:pPr>
      <w:r>
        <w:rPr>
          <w:spacing w:val="-1"/>
          <w:w w:val="33"/>
          <w:sz w:val="21"/>
        </w:rPr>
        <w:t>―</w:t>
      </w:r>
      <w:r>
        <w:rPr>
          <w:w w:val="100"/>
          <w:sz w:val="21"/>
        </w:rPr>
        <w:t>The</w:t>
      </w:r>
      <w:r>
        <w:rPr>
          <w:sz w:val="21"/>
        </w:rPr>
        <w:t> </w:t>
      </w:r>
      <w:r>
        <w:rPr>
          <w:spacing w:val="-26"/>
          <w:sz w:val="21"/>
        </w:rPr>
        <w:t> </w:t>
      </w:r>
      <w:r>
        <w:rPr>
          <w:spacing w:val="-2"/>
          <w:w w:val="100"/>
          <w:sz w:val="21"/>
        </w:rPr>
        <w:t>w</w:t>
      </w:r>
      <w:r>
        <w:rPr>
          <w:spacing w:val="-3"/>
          <w:w w:val="100"/>
          <w:sz w:val="21"/>
        </w:rPr>
        <w:t>a</w:t>
      </w:r>
      <w:r>
        <w:rPr>
          <w:w w:val="100"/>
          <w:sz w:val="21"/>
        </w:rPr>
        <w:t>ll</w:t>
      </w:r>
      <w:r>
        <w:rPr>
          <w:sz w:val="21"/>
        </w:rPr>
        <w:t> </w:t>
      </w:r>
      <w:r>
        <w:rPr>
          <w:spacing w:val="-25"/>
          <w:sz w:val="21"/>
        </w:rPr>
        <w:t> </w:t>
      </w:r>
      <w:r>
        <w:rPr>
          <w:spacing w:val="-3"/>
          <w:w w:val="100"/>
          <w:sz w:val="21"/>
        </w:rPr>
        <w:t>1</w:t>
      </w:r>
      <w:r>
        <w:rPr>
          <w:w w:val="100"/>
          <w:sz w:val="21"/>
        </w:rPr>
        <w:t>6</w:t>
      </w:r>
      <w:r>
        <w:rPr>
          <w:sz w:val="21"/>
        </w:rPr>
        <w:t> </w:t>
      </w:r>
      <w:r>
        <w:rPr>
          <w:spacing w:val="-26"/>
          <w:sz w:val="21"/>
        </w:rPr>
        <w:t> </w:t>
      </w:r>
      <w:r>
        <w:rPr>
          <w:spacing w:val="-1"/>
          <w:w w:val="100"/>
          <w:sz w:val="21"/>
        </w:rPr>
        <w:t>ha</w:t>
      </w:r>
      <w:r>
        <w:rPr>
          <w:spacing w:val="-3"/>
          <w:w w:val="100"/>
          <w:sz w:val="21"/>
        </w:rPr>
        <w:t>v</w:t>
      </w:r>
      <w:r>
        <w:rPr>
          <w:w w:val="100"/>
          <w:sz w:val="21"/>
        </w:rPr>
        <w:t>i</w:t>
      </w:r>
      <w:r>
        <w:rPr>
          <w:spacing w:val="-3"/>
          <w:w w:val="100"/>
          <w:sz w:val="21"/>
        </w:rPr>
        <w:t>n</w:t>
      </w:r>
      <w:r>
        <w:rPr>
          <w:w w:val="100"/>
          <w:sz w:val="21"/>
        </w:rPr>
        <w:t>g</w:t>
      </w:r>
      <w:r>
        <w:rPr>
          <w:sz w:val="21"/>
        </w:rPr>
        <w:t> </w:t>
      </w:r>
      <w:r>
        <w:rPr>
          <w:spacing w:val="-26"/>
          <w:sz w:val="21"/>
        </w:rPr>
        <w:t> </w:t>
      </w:r>
      <w:r>
        <w:rPr>
          <w:w w:val="100"/>
          <w:sz w:val="21"/>
        </w:rPr>
        <w:t>i</w:t>
      </w:r>
      <w:r>
        <w:rPr>
          <w:spacing w:val="-2"/>
          <w:w w:val="100"/>
          <w:sz w:val="21"/>
        </w:rPr>
        <w:t>t</w:t>
      </w:r>
      <w:r>
        <w:rPr>
          <w:w w:val="100"/>
          <w:sz w:val="21"/>
        </w:rPr>
        <w:t>s</w:t>
      </w:r>
      <w:r>
        <w:rPr>
          <w:sz w:val="21"/>
        </w:rPr>
        <w:t> </w:t>
      </w:r>
      <w:r>
        <w:rPr>
          <w:spacing w:val="-26"/>
          <w:sz w:val="21"/>
        </w:rPr>
        <w:t> </w:t>
      </w:r>
      <w:r>
        <w:rPr>
          <w:spacing w:val="-3"/>
          <w:w w:val="100"/>
          <w:sz w:val="21"/>
        </w:rPr>
        <w:t>e</w:t>
      </w:r>
      <w:r>
        <w:rPr>
          <w:w w:val="100"/>
          <w:sz w:val="21"/>
        </w:rPr>
        <w:t>xis</w:t>
      </w:r>
      <w:r>
        <w:rPr>
          <w:spacing w:val="-2"/>
          <w:w w:val="100"/>
          <w:sz w:val="21"/>
        </w:rPr>
        <w:t>ti</w:t>
      </w:r>
      <w:r>
        <w:rPr>
          <w:spacing w:val="-1"/>
          <w:w w:val="100"/>
          <w:sz w:val="21"/>
        </w:rPr>
        <w:t>n</w:t>
      </w:r>
      <w:r>
        <w:rPr>
          <w:w w:val="100"/>
          <w:sz w:val="21"/>
        </w:rPr>
        <w:t>g</w:t>
      </w:r>
      <w:r>
        <w:rPr>
          <w:sz w:val="21"/>
        </w:rPr>
        <w:t> </w:t>
      </w:r>
      <w:r>
        <w:rPr>
          <w:spacing w:val="-26"/>
          <w:sz w:val="21"/>
        </w:rPr>
        <w:t> </w:t>
      </w:r>
      <w:r>
        <w:rPr>
          <w:spacing w:val="-2"/>
          <w:w w:val="100"/>
          <w:sz w:val="21"/>
        </w:rPr>
        <w:t>l</w:t>
      </w:r>
      <w:r>
        <w:rPr>
          <w:spacing w:val="-1"/>
          <w:w w:val="100"/>
          <w:sz w:val="21"/>
        </w:rPr>
        <w:t>engt</w:t>
      </w:r>
      <w:r>
        <w:rPr>
          <w:w w:val="100"/>
          <w:sz w:val="21"/>
        </w:rPr>
        <w:t>h</w:t>
      </w:r>
      <w:r>
        <w:rPr>
          <w:sz w:val="21"/>
        </w:rPr>
        <w:t> </w:t>
      </w:r>
      <w:r>
        <w:rPr>
          <w:spacing w:val="-29"/>
          <w:sz w:val="21"/>
        </w:rPr>
        <w:t> </w:t>
      </w:r>
      <w:r>
        <w:rPr>
          <w:spacing w:val="-1"/>
          <w:w w:val="100"/>
          <w:sz w:val="21"/>
        </w:rPr>
        <w:t>arou</w:t>
      </w:r>
      <w:r>
        <w:rPr>
          <w:spacing w:val="-3"/>
          <w:w w:val="100"/>
          <w:sz w:val="21"/>
        </w:rPr>
        <w:t>n</w:t>
      </w:r>
      <w:r>
        <w:rPr>
          <w:w w:val="100"/>
          <w:sz w:val="21"/>
        </w:rPr>
        <w:t>d</w:t>
      </w:r>
      <w:r>
        <w:rPr>
          <w:sz w:val="21"/>
        </w:rPr>
        <w:t> </w:t>
      </w:r>
      <w:r>
        <w:rPr>
          <w:spacing w:val="-26"/>
          <w:sz w:val="21"/>
        </w:rPr>
        <w:t> </w:t>
      </w:r>
      <w:r>
        <w:rPr>
          <w:spacing w:val="-1"/>
          <w:w w:val="100"/>
          <w:sz w:val="21"/>
        </w:rPr>
        <w:t>5</w:t>
      </w:r>
      <w:r>
        <w:rPr>
          <w:spacing w:val="-3"/>
          <w:w w:val="100"/>
          <w:sz w:val="21"/>
        </w:rPr>
        <w:t>0</w:t>
      </w:r>
      <w:r>
        <w:rPr>
          <w:spacing w:val="1"/>
          <w:w w:val="100"/>
          <w:sz w:val="21"/>
        </w:rPr>
        <w:t>m</w:t>
      </w:r>
      <w:r>
        <w:rPr>
          <w:w w:val="100"/>
          <w:sz w:val="21"/>
        </w:rPr>
        <w:t>,</w:t>
      </w:r>
      <w:r>
        <w:rPr>
          <w:sz w:val="21"/>
        </w:rPr>
        <w:t> </w:t>
      </w:r>
      <w:r>
        <w:rPr>
          <w:spacing w:val="-27"/>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26"/>
          <w:sz w:val="21"/>
        </w:rPr>
        <w:t> </w:t>
      </w:r>
      <w:r>
        <w:rPr>
          <w:w w:val="100"/>
          <w:sz w:val="21"/>
        </w:rPr>
        <w:t>i</w:t>
      </w:r>
      <w:r>
        <w:rPr>
          <w:spacing w:val="-4"/>
          <w:w w:val="100"/>
          <w:sz w:val="21"/>
        </w:rPr>
        <w:t>t</w:t>
      </w:r>
      <w:r>
        <w:rPr>
          <w:w w:val="100"/>
          <w:sz w:val="21"/>
        </w:rPr>
        <w:t>s </w:t>
      </w:r>
      <w:r>
        <w:rPr>
          <w:sz w:val="21"/>
        </w:rPr>
        <w:t>unexposed middle part, is 1.77m wide. Its ten lower brick courses are original and belong to the first phase of its construction, but the upper six courses as seen in trenches E6, E7 and E8 are added at a later date – four courses during the second phase of construction and top two courses when its southern length outside the disputed structure was utilized in later constructions by reducing the width of the wall for the new structure along with the structure 3. It is also noticed that the first phase of wall 16 has been plastered in the inner side with lime plaster while on the outer side the plaster was provided in the second phase of its raising. There are a few square cavities at intervals on both the faces of the wall in the second phase which might have been used for providing reinforcement to the</w:t>
      </w:r>
      <w:r>
        <w:rPr>
          <w:spacing w:val="-6"/>
          <w:sz w:val="21"/>
        </w:rPr>
        <w:t> </w:t>
      </w:r>
      <w:r>
        <w:rPr>
          <w:sz w:val="21"/>
        </w:rPr>
        <w:t>wall…‖</w:t>
      </w:r>
    </w:p>
    <w:p>
      <w:pPr>
        <w:pStyle w:val="BodyText"/>
        <w:rPr>
          <w:sz w:val="24"/>
        </w:rPr>
      </w:pPr>
    </w:p>
    <w:p>
      <w:pPr>
        <w:pStyle w:val="BodyText"/>
        <w:spacing w:before="1"/>
        <w:rPr>
          <w:sz w:val="26"/>
        </w:rPr>
      </w:pPr>
    </w:p>
    <w:p>
      <w:pPr>
        <w:pStyle w:val="BodyText"/>
        <w:ind w:left="500"/>
        <w:jc w:val="both"/>
      </w:pPr>
      <w:r>
        <w:rPr/>
        <w:t>Walls 16 and 17 were found to be in a similar north-south alignment:</w:t>
      </w:r>
    </w:p>
    <w:p>
      <w:pPr>
        <w:pStyle w:val="BodyText"/>
      </w:pPr>
    </w:p>
    <w:p>
      <w:pPr>
        <w:spacing w:line="276" w:lineRule="auto" w:before="0"/>
        <w:ind w:left="1940" w:right="2263" w:firstLine="0"/>
        <w:jc w:val="both"/>
        <w:rPr>
          <w:sz w:val="21"/>
        </w:rPr>
      </w:pPr>
      <w:r>
        <w:rPr>
          <w:spacing w:val="-1"/>
          <w:w w:val="33"/>
          <w:sz w:val="21"/>
        </w:rPr>
        <w:t>―</w:t>
      </w:r>
      <w:r>
        <w:rPr>
          <w:spacing w:val="-5"/>
          <w:w w:val="100"/>
          <w:sz w:val="21"/>
        </w:rPr>
        <w:t>…</w:t>
      </w:r>
      <w:r>
        <w:rPr>
          <w:spacing w:val="6"/>
          <w:w w:val="100"/>
          <w:sz w:val="21"/>
        </w:rPr>
        <w:t>W</w:t>
      </w:r>
      <w:r>
        <w:rPr>
          <w:spacing w:val="-3"/>
          <w:w w:val="100"/>
          <w:sz w:val="21"/>
        </w:rPr>
        <w:t>a</w:t>
      </w:r>
      <w:r>
        <w:rPr>
          <w:spacing w:val="-2"/>
          <w:w w:val="100"/>
          <w:sz w:val="21"/>
        </w:rPr>
        <w:t>l</w:t>
      </w:r>
      <w:r>
        <w:rPr>
          <w:w w:val="100"/>
          <w:sz w:val="21"/>
        </w:rPr>
        <w:t>ls</w:t>
      </w:r>
      <w:r>
        <w:rPr>
          <w:spacing w:val="20"/>
          <w:sz w:val="21"/>
        </w:rPr>
        <w:t> </w:t>
      </w:r>
      <w:r>
        <w:rPr>
          <w:spacing w:val="-1"/>
          <w:w w:val="100"/>
          <w:sz w:val="21"/>
        </w:rPr>
        <w:t>1</w:t>
      </w:r>
      <w:r>
        <w:rPr>
          <w:w w:val="100"/>
          <w:sz w:val="21"/>
        </w:rPr>
        <w:t>6</w:t>
      </w:r>
      <w:r>
        <w:rPr>
          <w:spacing w:val="20"/>
          <w:sz w:val="21"/>
        </w:rPr>
        <w:t> </w:t>
      </w:r>
      <w:r>
        <w:rPr>
          <w:spacing w:val="-1"/>
          <w:w w:val="100"/>
          <w:sz w:val="21"/>
        </w:rPr>
        <w:t>a</w:t>
      </w:r>
      <w:r>
        <w:rPr>
          <w:spacing w:val="-3"/>
          <w:w w:val="100"/>
          <w:sz w:val="21"/>
        </w:rPr>
        <w:t>n</w:t>
      </w:r>
      <w:r>
        <w:rPr>
          <w:w w:val="100"/>
          <w:sz w:val="21"/>
        </w:rPr>
        <w:t>d</w:t>
      </w:r>
      <w:r>
        <w:rPr>
          <w:spacing w:val="23"/>
          <w:sz w:val="21"/>
        </w:rPr>
        <w:t> </w:t>
      </w:r>
      <w:r>
        <w:rPr>
          <w:spacing w:val="-1"/>
          <w:w w:val="100"/>
          <w:sz w:val="21"/>
        </w:rPr>
        <w:t>1</w:t>
      </w:r>
      <w:r>
        <w:rPr>
          <w:w w:val="100"/>
          <w:sz w:val="21"/>
        </w:rPr>
        <w:t>7</w:t>
      </w:r>
      <w:r>
        <w:rPr>
          <w:spacing w:val="20"/>
          <w:sz w:val="21"/>
        </w:rPr>
        <w:t> </w:t>
      </w:r>
      <w:r>
        <w:rPr>
          <w:spacing w:val="-2"/>
          <w:w w:val="100"/>
          <w:sz w:val="21"/>
        </w:rPr>
        <w:t>w</w:t>
      </w:r>
      <w:r>
        <w:rPr>
          <w:spacing w:val="-1"/>
          <w:w w:val="100"/>
          <w:sz w:val="21"/>
        </w:rPr>
        <w:t>er</w:t>
      </w:r>
      <w:r>
        <w:rPr>
          <w:w w:val="100"/>
          <w:sz w:val="21"/>
        </w:rPr>
        <w:t>e</w:t>
      </w:r>
      <w:r>
        <w:rPr>
          <w:spacing w:val="20"/>
          <w:sz w:val="21"/>
        </w:rPr>
        <w:t> </w:t>
      </w:r>
      <w:r>
        <w:rPr>
          <w:spacing w:val="1"/>
          <w:w w:val="100"/>
          <w:sz w:val="21"/>
        </w:rPr>
        <w:t>f</w:t>
      </w:r>
      <w:r>
        <w:rPr>
          <w:spacing w:val="-3"/>
          <w:w w:val="100"/>
          <w:sz w:val="21"/>
        </w:rPr>
        <w:t>o</w:t>
      </w:r>
      <w:r>
        <w:rPr>
          <w:spacing w:val="-1"/>
          <w:w w:val="100"/>
          <w:sz w:val="21"/>
        </w:rPr>
        <w:t>un</w:t>
      </w:r>
      <w:r>
        <w:rPr>
          <w:w w:val="100"/>
          <w:sz w:val="21"/>
        </w:rPr>
        <w:t>d</w:t>
      </w:r>
      <w:r>
        <w:rPr>
          <w:spacing w:val="23"/>
          <w:sz w:val="21"/>
        </w:rPr>
        <w:t> </w:t>
      </w:r>
      <w:r>
        <w:rPr>
          <w:spacing w:val="-4"/>
          <w:w w:val="100"/>
          <w:sz w:val="21"/>
        </w:rPr>
        <w:t>r</w:t>
      </w:r>
      <w:r>
        <w:rPr>
          <w:spacing w:val="-1"/>
          <w:w w:val="100"/>
          <w:sz w:val="21"/>
        </w:rPr>
        <w:t>un</w:t>
      </w:r>
      <w:r>
        <w:rPr>
          <w:spacing w:val="-2"/>
          <w:w w:val="100"/>
          <w:sz w:val="21"/>
        </w:rPr>
        <w:t>n</w:t>
      </w:r>
      <w:r>
        <w:rPr>
          <w:w w:val="100"/>
          <w:sz w:val="21"/>
        </w:rPr>
        <w:t>i</w:t>
      </w:r>
      <w:r>
        <w:rPr>
          <w:spacing w:val="-3"/>
          <w:w w:val="100"/>
          <w:sz w:val="21"/>
        </w:rPr>
        <w:t>n</w:t>
      </w:r>
      <w:r>
        <w:rPr>
          <w:w w:val="100"/>
          <w:sz w:val="21"/>
        </w:rPr>
        <w:t>g</w:t>
      </w:r>
      <w:r>
        <w:rPr>
          <w:spacing w:val="23"/>
          <w:sz w:val="21"/>
        </w:rPr>
        <w:t> </w:t>
      </w:r>
      <w:r>
        <w:rPr>
          <w:spacing w:val="-1"/>
          <w:w w:val="100"/>
          <w:sz w:val="21"/>
        </w:rPr>
        <w:t>o</w:t>
      </w:r>
      <w:r>
        <w:rPr>
          <w:w w:val="100"/>
          <w:sz w:val="21"/>
        </w:rPr>
        <w:t>n</w:t>
      </w:r>
      <w:r>
        <w:rPr>
          <w:spacing w:val="20"/>
          <w:sz w:val="21"/>
        </w:rPr>
        <w:t> </w:t>
      </w:r>
      <w:r>
        <w:rPr>
          <w:spacing w:val="-3"/>
          <w:w w:val="100"/>
          <w:sz w:val="21"/>
        </w:rPr>
        <w:t>a</w:t>
      </w:r>
      <w:r>
        <w:rPr>
          <w:spacing w:val="-2"/>
          <w:w w:val="100"/>
          <w:sz w:val="21"/>
        </w:rPr>
        <w:t>l</w:t>
      </w:r>
      <w:r>
        <w:rPr>
          <w:spacing w:val="1"/>
          <w:w w:val="100"/>
          <w:sz w:val="21"/>
        </w:rPr>
        <w:t>m</w:t>
      </w:r>
      <w:r>
        <w:rPr>
          <w:spacing w:val="-1"/>
          <w:w w:val="100"/>
          <w:sz w:val="21"/>
        </w:rPr>
        <w:t>os</w:t>
      </w:r>
      <w:r>
        <w:rPr>
          <w:w w:val="100"/>
          <w:sz w:val="21"/>
        </w:rPr>
        <w:t>t</w:t>
      </w:r>
      <w:r>
        <w:rPr>
          <w:spacing w:val="19"/>
          <w:sz w:val="21"/>
        </w:rPr>
        <w:t> </w:t>
      </w:r>
      <w:r>
        <w:rPr>
          <w:spacing w:val="-2"/>
          <w:w w:val="100"/>
          <w:sz w:val="21"/>
        </w:rPr>
        <w:t>t</w:t>
      </w:r>
      <w:r>
        <w:rPr>
          <w:spacing w:val="-1"/>
          <w:w w:val="100"/>
          <w:sz w:val="21"/>
        </w:rPr>
        <w:t>h</w:t>
      </w:r>
      <w:r>
        <w:rPr>
          <w:w w:val="100"/>
          <w:sz w:val="21"/>
        </w:rPr>
        <w:t>e</w:t>
      </w:r>
      <w:r>
        <w:rPr>
          <w:spacing w:val="23"/>
          <w:sz w:val="21"/>
        </w:rPr>
        <w:t> </w:t>
      </w:r>
      <w:r>
        <w:rPr>
          <w:w w:val="100"/>
          <w:sz w:val="21"/>
        </w:rPr>
        <w:t>s</w:t>
      </w:r>
      <w:r>
        <w:rPr>
          <w:spacing w:val="-3"/>
          <w:w w:val="100"/>
          <w:sz w:val="21"/>
        </w:rPr>
        <w:t>a</w:t>
      </w:r>
      <w:r>
        <w:rPr>
          <w:spacing w:val="-1"/>
          <w:w w:val="100"/>
          <w:sz w:val="21"/>
        </w:rPr>
        <w:t>m</w:t>
      </w:r>
      <w:r>
        <w:rPr>
          <w:w w:val="100"/>
          <w:sz w:val="21"/>
        </w:rPr>
        <w:t>e </w:t>
      </w:r>
      <w:r>
        <w:rPr>
          <w:sz w:val="21"/>
        </w:rPr>
        <w:t>alignment in north-south orientation in trenches ZE1 and ZF1.‖</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43"/>
        <w:jc w:val="both"/>
      </w:pPr>
      <w:r>
        <w:rPr/>
        <w:t>Wall 17 is a brick wall which was 1.86 m wide with four courses in the northern area and six courses in the southern area. Wall 17 had the same length as wall</w:t>
      </w:r>
    </w:p>
    <w:p>
      <w:pPr>
        <w:pStyle w:val="BodyText"/>
        <w:spacing w:line="287" w:lineRule="exact"/>
        <w:ind w:left="500"/>
      </w:pPr>
      <w:r>
        <w:rPr/>
        <w:t>16. Wall 17 runs at a lower level:</w:t>
      </w:r>
    </w:p>
    <w:p>
      <w:pPr>
        <w:pStyle w:val="BodyText"/>
      </w:pPr>
    </w:p>
    <w:p>
      <w:pPr>
        <w:spacing w:line="276" w:lineRule="auto" w:before="0"/>
        <w:ind w:left="2031" w:right="2261" w:firstLine="0"/>
        <w:jc w:val="both"/>
        <w:rPr>
          <w:sz w:val="21"/>
        </w:rPr>
      </w:pPr>
      <w:r>
        <w:rPr>
          <w:spacing w:val="-1"/>
          <w:w w:val="33"/>
          <w:sz w:val="21"/>
        </w:rPr>
        <w:t>―</w:t>
      </w:r>
      <w:r>
        <w:rPr>
          <w:w w:val="100"/>
          <w:sz w:val="21"/>
        </w:rPr>
        <w:t>The</w:t>
      </w:r>
      <w:r>
        <w:rPr>
          <w:sz w:val="21"/>
        </w:rPr>
        <w:t> </w:t>
      </w:r>
      <w:r>
        <w:rPr>
          <w:spacing w:val="-29"/>
          <w:sz w:val="21"/>
        </w:rPr>
        <w:t> </w:t>
      </w:r>
      <w:r>
        <w:rPr>
          <w:spacing w:val="-4"/>
          <w:w w:val="100"/>
          <w:sz w:val="21"/>
        </w:rPr>
        <w:t>w</w:t>
      </w:r>
      <w:r>
        <w:rPr>
          <w:spacing w:val="-1"/>
          <w:w w:val="100"/>
          <w:sz w:val="21"/>
        </w:rPr>
        <w:t>a</w:t>
      </w:r>
      <w:r>
        <w:rPr>
          <w:spacing w:val="-2"/>
          <w:w w:val="100"/>
          <w:sz w:val="21"/>
        </w:rPr>
        <w:t>l</w:t>
      </w:r>
      <w:r>
        <w:rPr>
          <w:w w:val="100"/>
          <w:sz w:val="21"/>
        </w:rPr>
        <w:t>l</w:t>
      </w:r>
      <w:r>
        <w:rPr>
          <w:spacing w:val="28"/>
          <w:sz w:val="21"/>
        </w:rPr>
        <w:t> </w:t>
      </w:r>
      <w:r>
        <w:rPr>
          <w:spacing w:val="-1"/>
          <w:w w:val="100"/>
          <w:sz w:val="21"/>
        </w:rPr>
        <w:t>1</w:t>
      </w:r>
      <w:r>
        <w:rPr>
          <w:w w:val="100"/>
          <w:sz w:val="21"/>
        </w:rPr>
        <w:t>7</w:t>
      </w:r>
      <w:r>
        <w:rPr>
          <w:sz w:val="21"/>
        </w:rPr>
        <w:t> </w:t>
      </w:r>
      <w:r>
        <w:rPr>
          <w:spacing w:val="-28"/>
          <w:sz w:val="21"/>
        </w:rPr>
        <w:t> </w:t>
      </w:r>
      <w:r>
        <w:rPr>
          <w:spacing w:val="-2"/>
          <w:w w:val="100"/>
          <w:sz w:val="21"/>
        </w:rPr>
        <w:t>w</w:t>
      </w:r>
      <w:r>
        <w:rPr>
          <w:spacing w:val="-3"/>
          <w:w w:val="100"/>
          <w:sz w:val="21"/>
        </w:rPr>
        <w:t>h</w:t>
      </w:r>
      <w:r>
        <w:rPr>
          <w:w w:val="100"/>
          <w:sz w:val="21"/>
        </w:rPr>
        <w:t>i</w:t>
      </w:r>
      <w:r>
        <w:rPr>
          <w:spacing w:val="-3"/>
          <w:w w:val="100"/>
          <w:sz w:val="21"/>
        </w:rPr>
        <w:t>c</w:t>
      </w:r>
      <w:r>
        <w:rPr>
          <w:w w:val="100"/>
          <w:sz w:val="21"/>
        </w:rPr>
        <w:t>h</w:t>
      </w:r>
      <w:r>
        <w:rPr>
          <w:spacing w:val="27"/>
          <w:sz w:val="21"/>
        </w:rPr>
        <w:t> </w:t>
      </w:r>
      <w:r>
        <w:rPr>
          <w:w w:val="100"/>
          <w:sz w:val="21"/>
        </w:rPr>
        <w:t>is</w:t>
      </w:r>
      <w:r>
        <w:rPr>
          <w:spacing w:val="27"/>
          <w:sz w:val="21"/>
        </w:rPr>
        <w:t> </w:t>
      </w:r>
      <w:r>
        <w:rPr>
          <w:w w:val="100"/>
          <w:sz w:val="21"/>
        </w:rPr>
        <w:t>a</w:t>
      </w:r>
      <w:r>
        <w:rPr>
          <w:spacing w:val="27"/>
          <w:sz w:val="21"/>
        </w:rPr>
        <w:t> </w:t>
      </w:r>
      <w:r>
        <w:rPr>
          <w:spacing w:val="-1"/>
          <w:w w:val="100"/>
          <w:sz w:val="21"/>
        </w:rPr>
        <w:t>bri</w:t>
      </w:r>
      <w:r>
        <w:rPr>
          <w:spacing w:val="-2"/>
          <w:w w:val="100"/>
          <w:sz w:val="21"/>
        </w:rPr>
        <w:t>c</w:t>
      </w:r>
      <w:r>
        <w:rPr>
          <w:w w:val="100"/>
          <w:sz w:val="21"/>
        </w:rPr>
        <w:t>k</w:t>
      </w:r>
      <w:r>
        <w:rPr>
          <w:sz w:val="21"/>
        </w:rPr>
        <w:t> </w:t>
      </w:r>
      <w:r>
        <w:rPr>
          <w:spacing w:val="-29"/>
          <w:sz w:val="21"/>
        </w:rPr>
        <w:t> </w:t>
      </w:r>
      <w:r>
        <w:rPr>
          <w:spacing w:val="-2"/>
          <w:w w:val="100"/>
          <w:sz w:val="21"/>
        </w:rPr>
        <w:t>w</w:t>
      </w:r>
      <w:r>
        <w:rPr>
          <w:spacing w:val="-1"/>
          <w:w w:val="100"/>
          <w:sz w:val="21"/>
        </w:rPr>
        <w:t>a</w:t>
      </w:r>
      <w:r>
        <w:rPr>
          <w:spacing w:val="-2"/>
          <w:w w:val="100"/>
          <w:sz w:val="21"/>
        </w:rPr>
        <w:t>l</w:t>
      </w:r>
      <w:r>
        <w:rPr>
          <w:w w:val="100"/>
          <w:sz w:val="21"/>
        </w:rPr>
        <w:t>l</w:t>
      </w:r>
      <w:r>
        <w:rPr>
          <w:sz w:val="21"/>
        </w:rPr>
        <w:t> </w:t>
      </w:r>
      <w:r>
        <w:rPr>
          <w:spacing w:val="-28"/>
          <w:sz w:val="21"/>
        </w:rPr>
        <w:t> </w:t>
      </w:r>
      <w:r>
        <w:rPr>
          <w:spacing w:val="-2"/>
          <w:w w:val="100"/>
          <w:sz w:val="21"/>
        </w:rPr>
        <w:t>w</w:t>
      </w:r>
      <w:r>
        <w:rPr>
          <w:spacing w:val="-3"/>
          <w:w w:val="100"/>
          <w:sz w:val="21"/>
        </w:rPr>
        <w:t>a</w:t>
      </w:r>
      <w:r>
        <w:rPr>
          <w:w w:val="100"/>
          <w:sz w:val="21"/>
        </w:rPr>
        <w:t>s</w:t>
      </w:r>
      <w:r>
        <w:rPr>
          <w:spacing w:val="27"/>
          <w:sz w:val="21"/>
        </w:rPr>
        <w:t> </w:t>
      </w:r>
      <w:r>
        <w:rPr>
          <w:spacing w:val="1"/>
          <w:w w:val="100"/>
          <w:sz w:val="21"/>
        </w:rPr>
        <w:t>f</w:t>
      </w:r>
      <w:r>
        <w:rPr>
          <w:spacing w:val="-3"/>
          <w:w w:val="100"/>
          <w:sz w:val="21"/>
        </w:rPr>
        <w:t>o</w:t>
      </w:r>
      <w:r>
        <w:rPr>
          <w:spacing w:val="-1"/>
          <w:w w:val="100"/>
          <w:sz w:val="21"/>
        </w:rPr>
        <w:t>un</w:t>
      </w:r>
      <w:r>
        <w:rPr>
          <w:w w:val="100"/>
          <w:sz w:val="21"/>
        </w:rPr>
        <w:t>d</w:t>
      </w:r>
      <w:r>
        <w:rPr>
          <w:spacing w:val="28"/>
          <w:sz w:val="21"/>
        </w:rPr>
        <w:t> </w:t>
      </w:r>
      <w:r>
        <w:rPr>
          <w:spacing w:val="-2"/>
          <w:w w:val="100"/>
          <w:sz w:val="21"/>
        </w:rPr>
        <w:t>t</w:t>
      </w:r>
      <w:r>
        <w:rPr>
          <w:w w:val="100"/>
          <w:sz w:val="21"/>
        </w:rPr>
        <w:t>o</w:t>
      </w:r>
      <w:r>
        <w:rPr>
          <w:sz w:val="21"/>
        </w:rPr>
        <w:t> </w:t>
      </w:r>
      <w:r>
        <w:rPr>
          <w:spacing w:val="-29"/>
          <w:sz w:val="21"/>
        </w:rPr>
        <w:t> </w:t>
      </w:r>
      <w:r>
        <w:rPr>
          <w:spacing w:val="-3"/>
          <w:w w:val="100"/>
          <w:sz w:val="21"/>
        </w:rPr>
        <w:t>b</w:t>
      </w:r>
      <w:r>
        <w:rPr>
          <w:w w:val="100"/>
          <w:sz w:val="21"/>
        </w:rPr>
        <w:t>e</w:t>
      </w:r>
      <w:r>
        <w:rPr>
          <w:sz w:val="21"/>
        </w:rPr>
        <w:t> </w:t>
      </w:r>
      <w:r>
        <w:rPr>
          <w:spacing w:val="-29"/>
          <w:sz w:val="21"/>
        </w:rPr>
        <w:t> </w:t>
      </w:r>
      <w:r>
        <w:rPr>
          <w:spacing w:val="-1"/>
          <w:w w:val="100"/>
          <w:sz w:val="21"/>
        </w:rPr>
        <w:t>1.</w:t>
      </w:r>
      <w:r>
        <w:rPr>
          <w:spacing w:val="-3"/>
          <w:w w:val="100"/>
          <w:sz w:val="21"/>
        </w:rPr>
        <w:t>8</w:t>
      </w:r>
      <w:r>
        <w:rPr>
          <w:w w:val="100"/>
          <w:sz w:val="21"/>
        </w:rPr>
        <w:t>6</w:t>
      </w:r>
      <w:r>
        <w:rPr>
          <w:spacing w:val="25"/>
          <w:sz w:val="21"/>
        </w:rPr>
        <w:t> </w:t>
      </w:r>
      <w:r>
        <w:rPr>
          <w:w w:val="100"/>
          <w:sz w:val="21"/>
        </w:rPr>
        <w:t>m </w:t>
      </w:r>
      <w:r>
        <w:rPr>
          <w:sz w:val="21"/>
        </w:rPr>
        <w:t>wide having the maximum of four courses in the northern area (Pl. 50) and six courses in southern area. It was found to be of the same length as that of wall 16, though having a slight deviation in its orientation in the cardinal direction. Thus, it runs in the lower level than that of wall 16, almost parallel to it in the northern area and comes out below the wall 16 in the southern area as noticed in trench D7 where in the northern part it is projected 0.74 m below wall 16 and in the southern part it is projected 1.07 m below wall 16 having provided decorated stone blocks on its top and also refixed in its veneer (Pl. 51), probably at the time of the construction of wall 16 to serve as its foundation. A thick floor of brick crush (Pl. 52) spread over a large area in northern and southern areas with varying thickness was found associated with wall</w:t>
      </w:r>
      <w:r>
        <w:rPr>
          <w:spacing w:val="-2"/>
          <w:sz w:val="21"/>
        </w:rPr>
        <w:t> </w:t>
      </w:r>
      <w:r>
        <w:rPr>
          <w:sz w:val="21"/>
        </w:rPr>
        <w:t>17.‖</w:t>
      </w:r>
    </w:p>
    <w:p>
      <w:pPr>
        <w:pStyle w:val="BodyText"/>
        <w:rPr>
          <w:sz w:val="24"/>
        </w:rPr>
      </w:pPr>
    </w:p>
    <w:p>
      <w:pPr>
        <w:pStyle w:val="BodyText"/>
        <w:spacing w:before="2"/>
        <w:rPr>
          <w:sz w:val="26"/>
        </w:rPr>
      </w:pPr>
    </w:p>
    <w:p>
      <w:pPr>
        <w:pStyle w:val="BodyText"/>
        <w:spacing w:line="480" w:lineRule="auto"/>
        <w:ind w:left="500" w:right="437"/>
        <w:jc w:val="both"/>
      </w:pPr>
      <w:r>
        <w:rPr/>
        <w:t>The ASI report notes the existence of inner walls which are attached to wall 16 both in the northern and southern areas. In the northern area, the inner wall (wall 18A) extends to a length of 15m in the East–West direction. Similarly, the excavation found two parallel walls (walls 18C and D). Accordingly, these findings indicate that the case that wall 16 was a single Idgah wall stands belied and the claim of the Sunni Central Waqf Board that an Islamic structure existed below the disputed site cannot be accepted. Moreover, the defence in regard to the existence of an Idgah beneath the mosque would postulate that the mosque was built on the foundation of a demolished Idgah. Besides being a far-fetched hypothesis, the nature of the recoveries belied the claim. The Idgah defence was hence an afterthought, quite contrary to the pleadings of the Sunni Central Waqf Board. The defence was an attempt to gloss over the initial case that the mosque was built over vacant land. The underlying structure was not of an Islamic origin.</w:t>
      </w:r>
    </w:p>
    <w:p>
      <w:pPr>
        <w:spacing w:after="0" w:line="480" w:lineRule="auto"/>
        <w:jc w:val="both"/>
        <w:sectPr>
          <w:pgSz w:w="11910" w:h="16840"/>
          <w:pgMar w:header="721" w:footer="1014" w:top="1300" w:bottom="1200" w:left="940" w:right="1000"/>
        </w:sectPr>
      </w:pPr>
    </w:p>
    <w:p>
      <w:pPr>
        <w:pStyle w:val="Heading4"/>
        <w:spacing w:before="126"/>
        <w:rPr>
          <w:i/>
        </w:rPr>
      </w:pPr>
      <w:r>
        <w:rPr>
          <w:i/>
        </w:rPr>
        <w:t>Disputed Structure and Pillar Bases</w:t>
      </w:r>
    </w:p>
    <w:p>
      <w:pPr>
        <w:pStyle w:val="BodyText"/>
        <w:spacing w:before="8"/>
        <w:rPr>
          <w:i/>
          <w:sz w:val="38"/>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The ASI report discloses that the disputed structure or structure 3 was found to be directly resting over structure 4 which is an earlier construction. Structure 4 had a 50m long wall (wall 16) in the west and fifty exposed pillar bases to its east, attached with floor 2 or the floor of the last phase of structure 4. The report</w:t>
      </w:r>
      <w:r>
        <w:rPr>
          <w:spacing w:val="-4"/>
          <w:sz w:val="25"/>
        </w:rPr>
        <w:t> </w:t>
      </w:r>
      <w:r>
        <w:rPr>
          <w:sz w:val="25"/>
        </w:rPr>
        <w:t>notes:</w:t>
      </w:r>
    </w:p>
    <w:p>
      <w:pPr>
        <w:spacing w:line="276" w:lineRule="auto" w:before="161"/>
        <w:ind w:left="1940" w:right="2259" w:firstLine="0"/>
        <w:jc w:val="both"/>
        <w:rPr>
          <w:sz w:val="21"/>
        </w:rPr>
      </w:pPr>
      <w:r>
        <w:rPr>
          <w:spacing w:val="-1"/>
          <w:w w:val="33"/>
          <w:sz w:val="21"/>
        </w:rPr>
        <w:t>―</w:t>
      </w:r>
      <w:r>
        <w:rPr>
          <w:w w:val="100"/>
          <w:sz w:val="21"/>
        </w:rPr>
        <w:t>A</w:t>
      </w:r>
      <w:r>
        <w:rPr>
          <w:sz w:val="21"/>
        </w:rPr>
        <w:t>  </w:t>
      </w:r>
      <w:r>
        <w:rPr>
          <w:spacing w:val="-17"/>
          <w:sz w:val="21"/>
        </w:rPr>
        <w:t> </w:t>
      </w:r>
      <w:r>
        <w:rPr>
          <w:w w:val="100"/>
          <w:sz w:val="21"/>
        </w:rPr>
        <w:t>sq</w:t>
      </w:r>
      <w:r>
        <w:rPr>
          <w:spacing w:val="-3"/>
          <w:w w:val="100"/>
          <w:sz w:val="21"/>
        </w:rPr>
        <w:t>u</w:t>
      </w:r>
      <w:r>
        <w:rPr>
          <w:spacing w:val="-1"/>
          <w:w w:val="100"/>
          <w:sz w:val="21"/>
        </w:rPr>
        <w:t>ar</w:t>
      </w:r>
      <w:r>
        <w:rPr>
          <w:w w:val="100"/>
          <w:sz w:val="21"/>
        </w:rPr>
        <w:t>e</w:t>
      </w:r>
      <w:r>
        <w:rPr>
          <w:sz w:val="21"/>
        </w:rPr>
        <w:t>  </w:t>
      </w:r>
      <w:r>
        <w:rPr>
          <w:spacing w:val="-18"/>
          <w:sz w:val="21"/>
        </w:rPr>
        <w:t> </w:t>
      </w:r>
      <w:r>
        <w:rPr>
          <w:w w:val="100"/>
          <w:sz w:val="21"/>
        </w:rPr>
        <w:t>s</w:t>
      </w:r>
      <w:r>
        <w:rPr>
          <w:spacing w:val="-3"/>
          <w:w w:val="100"/>
          <w:sz w:val="21"/>
        </w:rPr>
        <w:t>a</w:t>
      </w:r>
      <w:r>
        <w:rPr>
          <w:spacing w:val="-1"/>
          <w:w w:val="100"/>
          <w:sz w:val="21"/>
        </w:rPr>
        <w:t>ndst</w:t>
      </w:r>
      <w:r>
        <w:rPr>
          <w:spacing w:val="-3"/>
          <w:w w:val="100"/>
          <w:sz w:val="21"/>
        </w:rPr>
        <w:t>o</w:t>
      </w:r>
      <w:r>
        <w:rPr>
          <w:spacing w:val="-1"/>
          <w:w w:val="100"/>
          <w:sz w:val="21"/>
        </w:rPr>
        <w:t>n</w:t>
      </w:r>
      <w:r>
        <w:rPr>
          <w:w w:val="100"/>
          <w:sz w:val="21"/>
        </w:rPr>
        <w:t>e</w:t>
      </w:r>
      <w:r>
        <w:rPr>
          <w:sz w:val="21"/>
        </w:rPr>
        <w:t>  </w:t>
      </w:r>
      <w:r>
        <w:rPr>
          <w:spacing w:val="-17"/>
          <w:sz w:val="21"/>
        </w:rPr>
        <w:t> </w:t>
      </w:r>
      <w:r>
        <w:rPr>
          <w:spacing w:val="-3"/>
          <w:w w:val="100"/>
          <w:sz w:val="21"/>
        </w:rPr>
        <w:t>b</w:t>
      </w:r>
      <w:r>
        <w:rPr>
          <w:w w:val="100"/>
          <w:sz w:val="21"/>
        </w:rPr>
        <w:t>l</w:t>
      </w:r>
      <w:r>
        <w:rPr>
          <w:spacing w:val="-1"/>
          <w:w w:val="100"/>
          <w:sz w:val="21"/>
        </w:rPr>
        <w:t>o</w:t>
      </w:r>
      <w:r>
        <w:rPr>
          <w:spacing w:val="-3"/>
          <w:w w:val="100"/>
          <w:sz w:val="21"/>
        </w:rPr>
        <w:t>c</w:t>
      </w:r>
      <w:r>
        <w:rPr>
          <w:w w:val="100"/>
          <w:sz w:val="21"/>
        </w:rPr>
        <w:t>k</w:t>
      </w:r>
      <w:r>
        <w:rPr>
          <w:sz w:val="21"/>
        </w:rPr>
        <w:t>  </w:t>
      </w:r>
      <w:r>
        <w:rPr>
          <w:spacing w:val="-18"/>
          <w:sz w:val="21"/>
        </w:rPr>
        <w:t> </w:t>
      </w:r>
      <w:r>
        <w:rPr>
          <w:spacing w:val="-1"/>
          <w:w w:val="100"/>
          <w:sz w:val="21"/>
        </w:rPr>
        <w:t>p</w:t>
      </w:r>
      <w:r>
        <w:rPr>
          <w:spacing w:val="1"/>
          <w:w w:val="100"/>
          <w:sz w:val="21"/>
        </w:rPr>
        <w:t>l</w:t>
      </w:r>
      <w:r>
        <w:rPr>
          <w:spacing w:val="-3"/>
          <w:w w:val="100"/>
          <w:sz w:val="21"/>
        </w:rPr>
        <w:t>a</w:t>
      </w:r>
      <w:r>
        <w:rPr>
          <w:w w:val="100"/>
          <w:sz w:val="21"/>
        </w:rPr>
        <w:t>ced</w:t>
      </w:r>
      <w:r>
        <w:rPr>
          <w:sz w:val="21"/>
        </w:rPr>
        <w:t>  </w:t>
      </w:r>
      <w:r>
        <w:rPr>
          <w:spacing w:val="-19"/>
          <w:sz w:val="21"/>
        </w:rPr>
        <w:t> </w:t>
      </w:r>
      <w:r>
        <w:rPr>
          <w:spacing w:val="-1"/>
          <w:w w:val="100"/>
          <w:sz w:val="21"/>
        </w:rPr>
        <w:t>a</w:t>
      </w:r>
      <w:r>
        <w:rPr>
          <w:w w:val="100"/>
          <w:sz w:val="21"/>
        </w:rPr>
        <w:t>t</w:t>
      </w:r>
      <w:r>
        <w:rPr>
          <w:sz w:val="21"/>
        </w:rPr>
        <w:t>  </w:t>
      </w:r>
      <w:r>
        <w:rPr>
          <w:spacing w:val="-18"/>
          <w:sz w:val="21"/>
        </w:rPr>
        <w:t> </w:t>
      </w:r>
      <w:r>
        <w:rPr>
          <w:spacing w:val="-2"/>
          <w:w w:val="100"/>
          <w:sz w:val="21"/>
        </w:rPr>
        <w:t>t</w:t>
      </w:r>
      <w:r>
        <w:rPr>
          <w:spacing w:val="-1"/>
          <w:w w:val="100"/>
          <w:sz w:val="21"/>
        </w:rPr>
        <w:t>h</w:t>
      </w:r>
      <w:r>
        <w:rPr>
          <w:w w:val="100"/>
          <w:sz w:val="21"/>
        </w:rPr>
        <w:t>e</w:t>
      </w:r>
      <w:r>
        <w:rPr>
          <w:sz w:val="21"/>
        </w:rPr>
        <w:t>  </w:t>
      </w:r>
      <w:r>
        <w:rPr>
          <w:spacing w:val="-17"/>
          <w:sz w:val="21"/>
        </w:rPr>
        <w:t> </w:t>
      </w:r>
      <w:r>
        <w:rPr>
          <w:spacing w:val="-2"/>
          <w:w w:val="100"/>
          <w:sz w:val="21"/>
        </w:rPr>
        <w:t>t</w:t>
      </w:r>
      <w:r>
        <w:rPr>
          <w:spacing w:val="-1"/>
          <w:w w:val="100"/>
          <w:sz w:val="21"/>
        </w:rPr>
        <w:t>o</w:t>
      </w:r>
      <w:r>
        <w:rPr>
          <w:w w:val="100"/>
          <w:sz w:val="21"/>
        </w:rPr>
        <w:t>p</w:t>
      </w:r>
      <w:r>
        <w:rPr>
          <w:sz w:val="21"/>
        </w:rPr>
        <w:t>  </w:t>
      </w:r>
      <w:r>
        <w:rPr>
          <w:spacing w:val="-19"/>
          <w:sz w:val="21"/>
        </w:rPr>
        <w:t> </w:t>
      </w:r>
      <w:r>
        <w:rPr>
          <w:spacing w:val="-1"/>
          <w:w w:val="100"/>
          <w:sz w:val="21"/>
        </w:rPr>
        <w:t>an</w:t>
      </w:r>
      <w:r>
        <w:rPr>
          <w:w w:val="100"/>
          <w:sz w:val="21"/>
        </w:rPr>
        <w:t>d</w:t>
      </w:r>
      <w:r>
        <w:rPr>
          <w:sz w:val="21"/>
        </w:rPr>
        <w:t>  </w:t>
      </w:r>
      <w:r>
        <w:rPr>
          <w:spacing w:val="-17"/>
          <w:sz w:val="21"/>
        </w:rPr>
        <w:t> </w:t>
      </w:r>
      <w:r>
        <w:rPr>
          <w:spacing w:val="-2"/>
          <w:w w:val="100"/>
          <w:sz w:val="21"/>
        </w:rPr>
        <w:t>t</w:t>
      </w:r>
      <w:r>
        <w:rPr>
          <w:spacing w:val="-1"/>
          <w:w w:val="100"/>
          <w:sz w:val="21"/>
        </w:rPr>
        <w:t>he </w:t>
      </w:r>
      <w:r>
        <w:rPr>
          <w:sz w:val="21"/>
        </w:rPr>
        <w:t>orthostats provided on its four sides, contemporary with the floor 2 was the prima facie nature of the pillar base which primarily served as base for the pillar erected over it. Their foundations were circular or square or irregular in shapes made of brick-bat courses laid in mud mortar, most of them resting over floor 4, top of which was provided with sand- stone or calcrete blocks in lime mortar, these blocks were also encased with brick-bats and somewhere sandstone  chips were used to get the desired height and</w:t>
      </w:r>
      <w:r>
        <w:rPr>
          <w:spacing w:val="-24"/>
          <w:sz w:val="21"/>
        </w:rPr>
        <w:t> </w:t>
      </w:r>
      <w:r>
        <w:rPr>
          <w:sz w:val="21"/>
        </w:rPr>
        <w:t>level.‖</w:t>
      </w:r>
    </w:p>
    <w:p>
      <w:pPr>
        <w:pStyle w:val="BodyText"/>
        <w:rPr>
          <w:sz w:val="24"/>
        </w:rPr>
      </w:pPr>
    </w:p>
    <w:p>
      <w:pPr>
        <w:pStyle w:val="BodyText"/>
        <w:spacing w:before="2"/>
        <w:rPr>
          <w:sz w:val="21"/>
        </w:rPr>
      </w:pPr>
    </w:p>
    <w:p>
      <w:pPr>
        <w:pStyle w:val="BodyText"/>
        <w:spacing w:line="480" w:lineRule="auto"/>
        <w:ind w:left="500" w:right="436"/>
        <w:jc w:val="both"/>
      </w:pPr>
      <w:r>
        <w:rPr/>
        <w:t>Seventeen rows of pillar bases were revealed from north to south, each row with five pillar bases. The pillar bases in the central portion below the makeshift structure on the raised platform could not be located due to the area restrictions imposed by the High Court. Out of fifty excavated pillar bases, twelve were completely exposed, thirty-five were partially exposed while three could be traced in sections. The report notes that the controversy about the association of the pillar bases with different layers and in respect of their load bearing capacity was set at rest after the original form of the bases was exposed:</w:t>
      </w:r>
    </w:p>
    <w:p>
      <w:pPr>
        <w:spacing w:line="276" w:lineRule="auto" w:before="159"/>
        <w:ind w:left="1940" w:right="2262" w:firstLine="0"/>
        <w:jc w:val="both"/>
        <w:rPr>
          <w:sz w:val="21"/>
        </w:rPr>
      </w:pPr>
      <w:r>
        <w:rPr>
          <w:spacing w:val="-1"/>
          <w:w w:val="33"/>
          <w:sz w:val="21"/>
        </w:rPr>
        <w:t>―</w:t>
      </w:r>
      <w:r>
        <w:rPr>
          <w:w w:val="100"/>
          <w:sz w:val="21"/>
        </w:rPr>
        <w:t>…T</w:t>
      </w:r>
      <w:r>
        <w:rPr>
          <w:spacing w:val="-2"/>
          <w:w w:val="100"/>
          <w:sz w:val="21"/>
        </w:rPr>
        <w:t>h</w:t>
      </w:r>
      <w:r>
        <w:rPr>
          <w:w w:val="100"/>
          <w:sz w:val="21"/>
        </w:rPr>
        <w:t>e</w:t>
      </w:r>
      <w:r>
        <w:rPr>
          <w:spacing w:val="27"/>
          <w:sz w:val="21"/>
        </w:rPr>
        <w:t> </w:t>
      </w:r>
      <w:r>
        <w:rPr>
          <w:spacing w:val="-1"/>
          <w:w w:val="100"/>
          <w:sz w:val="21"/>
        </w:rPr>
        <w:t>pre</w:t>
      </w:r>
      <w:r>
        <w:rPr>
          <w:spacing w:val="-3"/>
          <w:w w:val="100"/>
          <w:sz w:val="21"/>
        </w:rPr>
        <w:t>s</w:t>
      </w:r>
      <w:r>
        <w:rPr>
          <w:spacing w:val="-1"/>
          <w:w w:val="100"/>
          <w:sz w:val="21"/>
        </w:rPr>
        <w:t>en</w:t>
      </w:r>
      <w:r>
        <w:rPr>
          <w:w w:val="100"/>
          <w:sz w:val="21"/>
        </w:rPr>
        <w:t>t</w:t>
      </w:r>
      <w:r>
        <w:rPr>
          <w:spacing w:val="26"/>
          <w:sz w:val="21"/>
        </w:rPr>
        <w:t> </w:t>
      </w:r>
      <w:r>
        <w:rPr>
          <w:spacing w:val="-1"/>
          <w:w w:val="100"/>
          <w:sz w:val="21"/>
        </w:rPr>
        <w:t>ex</w:t>
      </w:r>
      <w:r>
        <w:rPr>
          <w:spacing w:val="-3"/>
          <w:w w:val="100"/>
          <w:sz w:val="21"/>
        </w:rPr>
        <w:t>c</w:t>
      </w:r>
      <w:r>
        <w:rPr>
          <w:spacing w:val="-1"/>
          <w:w w:val="100"/>
          <w:sz w:val="21"/>
        </w:rPr>
        <w:t>a</w:t>
      </w:r>
      <w:r>
        <w:rPr>
          <w:spacing w:val="-3"/>
          <w:w w:val="100"/>
          <w:sz w:val="21"/>
        </w:rPr>
        <w:t>v</w:t>
      </w:r>
      <w:r>
        <w:rPr>
          <w:spacing w:val="-1"/>
          <w:w w:val="100"/>
          <w:sz w:val="21"/>
        </w:rPr>
        <w:t>at</w:t>
      </w:r>
      <w:r>
        <w:rPr>
          <w:w w:val="100"/>
          <w:sz w:val="21"/>
        </w:rPr>
        <w:t>i</w:t>
      </w:r>
      <w:r>
        <w:rPr>
          <w:spacing w:val="-3"/>
          <w:w w:val="100"/>
          <w:sz w:val="21"/>
        </w:rPr>
        <w:t>o</w:t>
      </w:r>
      <w:r>
        <w:rPr>
          <w:w w:val="100"/>
          <w:sz w:val="21"/>
        </w:rPr>
        <w:t>n</w:t>
      </w:r>
      <w:r>
        <w:rPr>
          <w:spacing w:val="27"/>
          <w:sz w:val="21"/>
        </w:rPr>
        <w:t> </w:t>
      </w:r>
      <w:r>
        <w:rPr>
          <w:spacing w:val="-1"/>
          <w:w w:val="100"/>
          <w:sz w:val="21"/>
        </w:rPr>
        <w:t>ha</w:t>
      </w:r>
      <w:r>
        <w:rPr>
          <w:w w:val="100"/>
          <w:sz w:val="21"/>
        </w:rPr>
        <w:t>s</w:t>
      </w:r>
      <w:r>
        <w:rPr>
          <w:spacing w:val="28"/>
          <w:sz w:val="21"/>
        </w:rPr>
        <w:t> </w:t>
      </w:r>
      <w:r>
        <w:rPr>
          <w:spacing w:val="-3"/>
          <w:w w:val="100"/>
          <w:sz w:val="21"/>
        </w:rPr>
        <w:t>s</w:t>
      </w:r>
      <w:r>
        <w:rPr>
          <w:spacing w:val="-1"/>
          <w:w w:val="100"/>
          <w:sz w:val="21"/>
        </w:rPr>
        <w:t>e</w:t>
      </w:r>
      <w:r>
        <w:rPr>
          <w:w w:val="100"/>
          <w:sz w:val="21"/>
        </w:rPr>
        <w:t>t</w:t>
      </w:r>
      <w:r>
        <w:rPr>
          <w:spacing w:val="26"/>
          <w:sz w:val="21"/>
        </w:rPr>
        <w:t> </w:t>
      </w:r>
      <w:r>
        <w:rPr>
          <w:spacing w:val="-1"/>
          <w:w w:val="100"/>
          <w:sz w:val="21"/>
        </w:rPr>
        <w:t>as</w:t>
      </w:r>
      <w:r>
        <w:rPr>
          <w:spacing w:val="-2"/>
          <w:w w:val="100"/>
          <w:sz w:val="21"/>
        </w:rPr>
        <w:t>i</w:t>
      </w:r>
      <w:r>
        <w:rPr>
          <w:spacing w:val="-1"/>
          <w:w w:val="100"/>
          <w:sz w:val="21"/>
        </w:rPr>
        <w:t>d</w:t>
      </w:r>
      <w:r>
        <w:rPr>
          <w:w w:val="100"/>
          <w:sz w:val="21"/>
        </w:rPr>
        <w:t>e</w:t>
      </w:r>
      <w:r>
        <w:rPr>
          <w:spacing w:val="28"/>
          <w:sz w:val="21"/>
        </w:rPr>
        <w:t> </w:t>
      </w:r>
      <w:r>
        <w:rPr>
          <w:spacing w:val="-2"/>
          <w:w w:val="100"/>
          <w:sz w:val="21"/>
        </w:rPr>
        <w:t>t</w:t>
      </w:r>
      <w:r>
        <w:rPr>
          <w:spacing w:val="-1"/>
          <w:w w:val="100"/>
          <w:sz w:val="21"/>
        </w:rPr>
        <w:t>h</w:t>
      </w:r>
      <w:r>
        <w:rPr>
          <w:w w:val="100"/>
          <w:sz w:val="21"/>
        </w:rPr>
        <w:t>e</w:t>
      </w:r>
      <w:r>
        <w:rPr>
          <w:spacing w:val="28"/>
          <w:sz w:val="21"/>
        </w:rPr>
        <w:t> </w:t>
      </w:r>
      <w:r>
        <w:rPr>
          <w:spacing w:val="-3"/>
          <w:w w:val="100"/>
          <w:sz w:val="21"/>
        </w:rPr>
        <w:t>c</w:t>
      </w:r>
      <w:r>
        <w:rPr>
          <w:spacing w:val="-1"/>
          <w:w w:val="100"/>
          <w:sz w:val="21"/>
        </w:rPr>
        <w:t>ontro</w:t>
      </w:r>
      <w:r>
        <w:rPr>
          <w:spacing w:val="-3"/>
          <w:w w:val="100"/>
          <w:sz w:val="21"/>
        </w:rPr>
        <w:t>v</w:t>
      </w:r>
      <w:r>
        <w:rPr>
          <w:spacing w:val="-1"/>
          <w:w w:val="100"/>
          <w:sz w:val="21"/>
        </w:rPr>
        <w:t>ers</w:t>
      </w:r>
      <w:r>
        <w:rPr>
          <w:w w:val="100"/>
          <w:sz w:val="21"/>
        </w:rPr>
        <w:t>y</w:t>
      </w:r>
      <w:r>
        <w:rPr>
          <w:spacing w:val="24"/>
          <w:sz w:val="21"/>
        </w:rPr>
        <w:t> </w:t>
      </w:r>
      <w:r>
        <w:rPr>
          <w:spacing w:val="-1"/>
          <w:w w:val="100"/>
          <w:sz w:val="21"/>
        </w:rPr>
        <w:t>by </w:t>
      </w:r>
      <w:r>
        <w:rPr>
          <w:sz w:val="21"/>
        </w:rPr>
        <w:t>exposing the original form of the bases having calcrete and stone blocks arranged and set in a proper manner over a brick foundation and their arrangements in rows including their association with the top floor of the structure existing prior to the disputed</w:t>
      </w:r>
      <w:r>
        <w:rPr>
          <w:spacing w:val="-8"/>
          <w:sz w:val="21"/>
        </w:rPr>
        <w:t> </w:t>
      </w:r>
      <w:r>
        <w:rPr>
          <w:sz w:val="21"/>
        </w:rPr>
        <w:t>structure.‖</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5"/>
        <w:jc w:val="both"/>
      </w:pPr>
      <w:r>
        <w:rPr/>
        <w:t>Forty-six pillar bases belong to floor number three and pertain to period VII dating back to the twelfth century A.D., while four pillar bases belong to floor number four dating back to the eleventh century A.D. Seventeen rows of pillar bases were constructed along the north-south brick wall (wall 16). The ASI report deduces from the arrangement of the pillar bases that the central part of the pillared structure was important and special treatment was given to it in architectural planning. The decorated octagonal sand stone block on pillar base number thirty- two having flower motifs on four corners in trench F7 in the southern area is stated</w:t>
      </w:r>
      <w:r>
        <w:rPr>
          <w:spacing w:val="34"/>
        </w:rPr>
        <w:t> </w:t>
      </w:r>
      <w:r>
        <w:rPr/>
        <w:t>to</w:t>
      </w:r>
      <w:r>
        <w:rPr>
          <w:spacing w:val="35"/>
        </w:rPr>
        <w:t> </w:t>
      </w:r>
      <w:r>
        <w:rPr/>
        <w:t>be</w:t>
      </w:r>
      <w:r>
        <w:rPr>
          <w:spacing w:val="32"/>
        </w:rPr>
        <w:t> </w:t>
      </w:r>
      <w:r>
        <w:rPr/>
        <w:t>a</w:t>
      </w:r>
      <w:r>
        <w:rPr>
          <w:spacing w:val="34"/>
        </w:rPr>
        <w:t> </w:t>
      </w:r>
      <w:r>
        <w:rPr/>
        <w:t>unique</w:t>
      </w:r>
      <w:r>
        <w:rPr>
          <w:spacing w:val="34"/>
        </w:rPr>
        <w:t> </w:t>
      </w:r>
      <w:r>
        <w:rPr/>
        <w:t>example</w:t>
      </w:r>
      <w:r>
        <w:rPr>
          <w:spacing w:val="35"/>
        </w:rPr>
        <w:t> </w:t>
      </w:r>
      <w:r>
        <w:rPr/>
        <w:t>at</w:t>
      </w:r>
      <w:r>
        <w:rPr>
          <w:spacing w:val="35"/>
        </w:rPr>
        <w:t> </w:t>
      </w:r>
      <w:r>
        <w:rPr/>
        <w:t>the</w:t>
      </w:r>
      <w:r>
        <w:rPr>
          <w:spacing w:val="35"/>
        </w:rPr>
        <w:t> </w:t>
      </w:r>
      <w:r>
        <w:rPr/>
        <w:t>site</w:t>
      </w:r>
      <w:r>
        <w:rPr>
          <w:spacing w:val="32"/>
        </w:rPr>
        <w:t> </w:t>
      </w:r>
      <w:r>
        <w:rPr/>
        <w:t>which</w:t>
      </w:r>
      <w:r>
        <w:rPr>
          <w:spacing w:val="34"/>
        </w:rPr>
        <w:t> </w:t>
      </w:r>
      <w:r>
        <w:rPr/>
        <w:t>belongs</w:t>
      </w:r>
      <w:r>
        <w:rPr>
          <w:spacing w:val="34"/>
        </w:rPr>
        <w:t> </w:t>
      </w:r>
      <w:r>
        <w:rPr/>
        <w:t>to</w:t>
      </w:r>
      <w:r>
        <w:rPr>
          <w:spacing w:val="35"/>
        </w:rPr>
        <w:t> </w:t>
      </w:r>
      <w:r>
        <w:rPr/>
        <w:t>the</w:t>
      </w:r>
      <w:r>
        <w:rPr>
          <w:spacing w:val="34"/>
        </w:rPr>
        <w:t> </w:t>
      </w:r>
      <w:r>
        <w:rPr/>
        <w:t>twelfth</w:t>
      </w:r>
      <w:r>
        <w:rPr>
          <w:spacing w:val="35"/>
        </w:rPr>
        <w:t> </w:t>
      </w:r>
      <w:r>
        <w:rPr/>
        <w:t>century</w:t>
      </w:r>
    </w:p>
    <w:p>
      <w:pPr>
        <w:pStyle w:val="BodyText"/>
        <w:spacing w:line="480" w:lineRule="auto"/>
        <w:ind w:left="500" w:right="436"/>
        <w:jc w:val="both"/>
      </w:pPr>
      <w:r>
        <w:rPr/>
        <w:t>A.D. as it is comparable to the ones found in Sarnath. In the backdrop of these observations in the ASI report, the finding which was arrived at by the High Court was thus:</w:t>
      </w:r>
    </w:p>
    <w:p>
      <w:pPr>
        <w:spacing w:line="276" w:lineRule="auto" w:before="159"/>
        <w:ind w:left="1940" w:right="2257" w:firstLine="0"/>
        <w:jc w:val="both"/>
        <w:rPr>
          <w:sz w:val="21"/>
        </w:rPr>
      </w:pPr>
      <w:r>
        <w:rPr>
          <w:spacing w:val="-1"/>
          <w:w w:val="33"/>
          <w:sz w:val="21"/>
        </w:rPr>
        <w:t>―</w:t>
      </w:r>
      <w:r>
        <w:rPr>
          <w:spacing w:val="-1"/>
          <w:w w:val="100"/>
          <w:sz w:val="21"/>
        </w:rPr>
        <w:t>390</w:t>
      </w:r>
      <w:r>
        <w:rPr>
          <w:w w:val="100"/>
          <w:sz w:val="21"/>
        </w:rPr>
        <w:t>4.</w:t>
      </w:r>
      <w:r>
        <w:rPr>
          <w:spacing w:val="21"/>
          <w:sz w:val="21"/>
        </w:rPr>
        <w:t> </w:t>
      </w:r>
      <w:r>
        <w:rPr>
          <w:w w:val="100"/>
          <w:sz w:val="21"/>
        </w:rPr>
        <w:t>A</w:t>
      </w:r>
      <w:r>
        <w:rPr>
          <w:spacing w:val="25"/>
          <w:sz w:val="21"/>
        </w:rPr>
        <w:t> </w:t>
      </w:r>
      <w:r>
        <w:rPr>
          <w:spacing w:val="-3"/>
          <w:w w:val="100"/>
          <w:sz w:val="21"/>
        </w:rPr>
        <w:t>p</w:t>
      </w:r>
      <w:r>
        <w:rPr>
          <w:spacing w:val="-1"/>
          <w:w w:val="100"/>
          <w:sz w:val="21"/>
        </w:rPr>
        <w:t>erus</w:t>
      </w:r>
      <w:r>
        <w:rPr>
          <w:spacing w:val="-3"/>
          <w:w w:val="100"/>
          <w:sz w:val="21"/>
        </w:rPr>
        <w:t>a</w:t>
      </w:r>
      <w:r>
        <w:rPr>
          <w:w w:val="100"/>
          <w:sz w:val="21"/>
        </w:rPr>
        <w:t>l</w:t>
      </w:r>
      <w:r>
        <w:rPr>
          <w:spacing w:val="23"/>
          <w:sz w:val="21"/>
        </w:rPr>
        <w:t> </w:t>
      </w:r>
      <w:r>
        <w:rPr>
          <w:spacing w:val="-1"/>
          <w:w w:val="100"/>
          <w:sz w:val="21"/>
        </w:rPr>
        <w:t>o</w:t>
      </w:r>
      <w:r>
        <w:rPr>
          <w:w w:val="100"/>
          <w:sz w:val="21"/>
        </w:rPr>
        <w:t>f</w:t>
      </w:r>
      <w:r>
        <w:rPr>
          <w:spacing w:val="24"/>
          <w:sz w:val="21"/>
        </w:rPr>
        <w:t> </w:t>
      </w:r>
      <w:r>
        <w:rPr>
          <w:spacing w:val="-2"/>
          <w:w w:val="100"/>
          <w:sz w:val="21"/>
        </w:rPr>
        <w:t>t</w:t>
      </w:r>
      <w:r>
        <w:rPr>
          <w:spacing w:val="-1"/>
          <w:w w:val="100"/>
          <w:sz w:val="21"/>
        </w:rPr>
        <w:t>h</w:t>
      </w:r>
      <w:r>
        <w:rPr>
          <w:w w:val="100"/>
          <w:sz w:val="21"/>
        </w:rPr>
        <w:t>e</w:t>
      </w:r>
      <w:r>
        <w:rPr>
          <w:spacing w:val="25"/>
          <w:sz w:val="21"/>
        </w:rPr>
        <w:t> </w:t>
      </w:r>
      <w:r>
        <w:rPr>
          <w:spacing w:val="-4"/>
          <w:w w:val="100"/>
          <w:sz w:val="21"/>
        </w:rPr>
        <w:t>r</w:t>
      </w:r>
      <w:r>
        <w:rPr>
          <w:spacing w:val="-1"/>
          <w:w w:val="100"/>
          <w:sz w:val="21"/>
        </w:rPr>
        <w:t>epor</w:t>
      </w:r>
      <w:r>
        <w:rPr>
          <w:w w:val="100"/>
          <w:sz w:val="21"/>
        </w:rPr>
        <w:t>t</w:t>
      </w:r>
      <w:r>
        <w:rPr>
          <w:spacing w:val="24"/>
          <w:sz w:val="21"/>
        </w:rPr>
        <w:t> </w:t>
      </w:r>
      <w:r>
        <w:rPr>
          <w:spacing w:val="-1"/>
          <w:w w:val="100"/>
          <w:sz w:val="21"/>
        </w:rPr>
        <w:t>par</w:t>
      </w:r>
      <w:r>
        <w:rPr>
          <w:spacing w:val="-4"/>
          <w:w w:val="100"/>
          <w:sz w:val="21"/>
        </w:rPr>
        <w:t>t</w:t>
      </w:r>
      <w:r>
        <w:rPr>
          <w:w w:val="100"/>
          <w:sz w:val="21"/>
        </w:rPr>
        <w:t>ic</w:t>
      </w:r>
      <w:r>
        <w:rPr>
          <w:spacing w:val="-3"/>
          <w:w w:val="100"/>
          <w:sz w:val="21"/>
        </w:rPr>
        <w:t>u</w:t>
      </w:r>
      <w:r>
        <w:rPr>
          <w:w w:val="100"/>
          <w:sz w:val="21"/>
        </w:rPr>
        <w:t>l</w:t>
      </w:r>
      <w:r>
        <w:rPr>
          <w:spacing w:val="-1"/>
          <w:w w:val="100"/>
          <w:sz w:val="21"/>
        </w:rPr>
        <w:t>arl</w:t>
      </w:r>
      <w:r>
        <w:rPr>
          <w:w w:val="100"/>
          <w:sz w:val="21"/>
        </w:rPr>
        <w:t>y</w:t>
      </w:r>
      <w:r>
        <w:rPr>
          <w:spacing w:val="23"/>
          <w:sz w:val="21"/>
        </w:rPr>
        <w:t> </w:t>
      </w:r>
      <w:r>
        <w:rPr>
          <w:spacing w:val="-1"/>
          <w:w w:val="100"/>
          <w:sz w:val="21"/>
        </w:rPr>
        <w:t>a</w:t>
      </w:r>
      <w:r>
        <w:rPr>
          <w:w w:val="100"/>
          <w:sz w:val="21"/>
        </w:rPr>
        <w:t>t</w:t>
      </w:r>
      <w:r>
        <w:rPr>
          <w:spacing w:val="22"/>
          <w:sz w:val="21"/>
        </w:rPr>
        <w:t> </w:t>
      </w:r>
      <w:r>
        <w:rPr>
          <w:spacing w:val="-1"/>
          <w:w w:val="100"/>
          <w:sz w:val="21"/>
        </w:rPr>
        <w:t>pa</w:t>
      </w:r>
      <w:r>
        <w:rPr>
          <w:spacing w:val="-2"/>
          <w:w w:val="100"/>
          <w:sz w:val="21"/>
        </w:rPr>
        <w:t>g</w:t>
      </w:r>
      <w:r>
        <w:rPr>
          <w:w w:val="100"/>
          <w:sz w:val="21"/>
        </w:rPr>
        <w:t>e</w:t>
      </w:r>
      <w:r>
        <w:rPr>
          <w:spacing w:val="23"/>
          <w:sz w:val="21"/>
        </w:rPr>
        <w:t> </w:t>
      </w:r>
      <w:r>
        <w:rPr>
          <w:spacing w:val="-1"/>
          <w:w w:val="100"/>
          <w:sz w:val="21"/>
        </w:rPr>
        <w:t>5</w:t>
      </w:r>
      <w:r>
        <w:rPr>
          <w:w w:val="100"/>
          <w:sz w:val="21"/>
        </w:rPr>
        <w:t>4</w:t>
      </w:r>
      <w:r>
        <w:rPr>
          <w:spacing w:val="25"/>
          <w:sz w:val="21"/>
        </w:rPr>
        <w:t> </w:t>
      </w:r>
      <w:r>
        <w:rPr>
          <w:spacing w:val="-3"/>
          <w:w w:val="100"/>
          <w:sz w:val="21"/>
        </w:rPr>
        <w:t>s</w:t>
      </w:r>
      <w:r>
        <w:rPr>
          <w:spacing w:val="-1"/>
          <w:w w:val="100"/>
          <w:sz w:val="21"/>
        </w:rPr>
        <w:t>how</w:t>
      </w:r>
      <w:r>
        <w:rPr>
          <w:w w:val="100"/>
          <w:sz w:val="21"/>
        </w:rPr>
        <w:t>s </w:t>
      </w:r>
      <w:r>
        <w:rPr>
          <w:sz w:val="21"/>
        </w:rPr>
        <w:t>that all the 50 exposed pillar bases are attached with floor 2 dateable to 1200 A. D. and most of them are resting over floor no. 4 which has the earliest floor. The carbon dating report referred at page 69 of the report also proves that in a trench ZH1 the date reported between floor 2 &amp; 3 is between 900- 1300 A.D. which </w:t>
      </w:r>
      <w:r>
        <w:rPr>
          <w:i/>
          <w:sz w:val="21"/>
        </w:rPr>
        <w:t>prima facie </w:t>
      </w:r>
      <w:r>
        <w:rPr>
          <w:sz w:val="21"/>
        </w:rPr>
        <w:t>makes it clear that floor 2 was not made after 1300 A.D. and not before 900 A.D. while floor 3 was made before 900 A.D. It is also clear from the report that all the pillar bases exposed are attached with the floors existing prior to the floor of disputed structure. Pillar base is reported from the same trench, i.e. ZH-1 along with the floor which confirms the association of floor 2/3 and pillar bases along with C14 date between floor 2 &amp; 3 (S. No. 47 of pillar base in page no. 28). The same pillar base of ZH-1 was predicted as an anomaly in the GRP Survey. Therefore, it is clear that floor 4 which supports the foundation of pillar bases was the most extensive floor belonging to period VII A (page 42 of the report &amp; fig. 23 &amp; plate 35). The timing of period VII- A is the beginning of 12th</w:t>
      </w:r>
      <w:r>
        <w:rPr>
          <w:spacing w:val="-12"/>
          <w:sz w:val="21"/>
        </w:rPr>
        <w:t> </w:t>
      </w:r>
      <w:r>
        <w:rPr>
          <w:sz w:val="21"/>
        </w:rPr>
        <w:t>century.‖</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46"/>
        <w:jc w:val="both"/>
      </w:pPr>
      <w:r>
        <w:rPr/>
        <w:t>The ASI report concludes that there is in existence a massive underlying structure, below the disputed structure.</w:t>
      </w:r>
    </w:p>
    <w:p>
      <w:pPr>
        <w:pStyle w:val="BodyText"/>
        <w:spacing w:before="2"/>
      </w:pPr>
    </w:p>
    <w:p>
      <w:pPr>
        <w:pStyle w:val="Heading4"/>
        <w:rPr>
          <w:i/>
        </w:rPr>
      </w:pPr>
      <w:r>
        <w:rPr>
          <w:i/>
        </w:rPr>
        <w:t>Circular Shrine</w:t>
      </w:r>
    </w:p>
    <w:p>
      <w:pPr>
        <w:pStyle w:val="BodyText"/>
        <w:spacing w:before="8"/>
        <w:rPr>
          <w:i/>
          <w:sz w:val="38"/>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The ASI report refers to the presence of an east facing brick shrine  labelled as Structure 5 (corresponding to plates 59 and 60 of the photographs). The circular structure possesses a rectangular projection in the east and has a chute or outlet which according to the ASI is a ‗pranala‘ for draining out water. This brick circular shrine is stated to be similar to Shiva temples near Rewa in Madhya Pradesh at Chandrehe and Masaon belonging to 950 A.D. and a Vishnu temple and another temple without a deity at Kurari and a Surya temple at Tinduli in Fatehpur district. ASI has drawn an inference that on stylistic grounds, the circular shrine dates back to the tenth century</w:t>
      </w:r>
      <w:r>
        <w:rPr>
          <w:spacing w:val="-7"/>
          <w:sz w:val="25"/>
        </w:rPr>
        <w:t> </w:t>
      </w:r>
      <w:r>
        <w:rPr>
          <w:sz w:val="25"/>
        </w:rPr>
        <w:t>A.D.</w:t>
      </w:r>
    </w:p>
    <w:p>
      <w:pPr>
        <w:pStyle w:val="BodyText"/>
        <w:spacing w:before="1"/>
        <w:rPr>
          <w:sz w:val="39"/>
        </w:rPr>
      </w:pPr>
    </w:p>
    <w:p>
      <w:pPr>
        <w:pStyle w:val="BodyText"/>
        <w:spacing w:line="480" w:lineRule="auto"/>
        <w:ind w:left="500" w:right="438"/>
        <w:jc w:val="both"/>
      </w:pPr>
      <w:r>
        <w:rPr/>
        <w:t>In the context of the above findings, Mr C S Vaidyanathan has relied on the testimony of the expert witnesses, to displace the submission of the Sunni Central Waqf Board that these witnesses produced by them do not support the ASI report. The following extracts from the depositions of the expert witnesses need to be borne in</w:t>
      </w:r>
      <w:r>
        <w:rPr>
          <w:spacing w:val="-2"/>
        </w:rPr>
        <w:t> </w:t>
      </w:r>
      <w:r>
        <w:rPr/>
        <w:t>mind:</w:t>
      </w:r>
    </w:p>
    <w:p>
      <w:pPr>
        <w:pStyle w:val="Heading5"/>
        <w:numPr>
          <w:ilvl w:val="0"/>
          <w:numId w:val="167"/>
        </w:numPr>
        <w:tabs>
          <w:tab w:pos="1221" w:val="left" w:leader="none"/>
        </w:tabs>
        <w:spacing w:line="240" w:lineRule="auto" w:before="157" w:after="0"/>
        <w:ind w:left="1220" w:right="0" w:hanging="721"/>
        <w:jc w:val="both"/>
        <w:rPr>
          <w:b w:val="0"/>
        </w:rPr>
      </w:pPr>
      <w:r>
        <w:rPr/>
        <w:t>Suraj Bhan (PW 16)</w:t>
      </w:r>
      <w:r>
        <w:rPr>
          <w:spacing w:val="2"/>
        </w:rPr>
        <w:t> </w:t>
      </w:r>
      <w:r>
        <w:rPr>
          <w:b w:val="0"/>
        </w:rPr>
        <w:t>–</w:t>
      </w:r>
    </w:p>
    <w:p>
      <w:pPr>
        <w:pStyle w:val="BodyText"/>
        <w:rPr>
          <w:sz w:val="28"/>
        </w:rPr>
      </w:pPr>
    </w:p>
    <w:p>
      <w:pPr>
        <w:spacing w:line="276" w:lineRule="auto" w:before="168"/>
        <w:ind w:left="1940" w:right="2264" w:firstLine="0"/>
        <w:jc w:val="both"/>
        <w:rPr>
          <w:sz w:val="21"/>
        </w:rPr>
      </w:pPr>
      <w:r>
        <w:rPr>
          <w:w w:val="33"/>
          <w:sz w:val="21"/>
        </w:rPr>
        <w:t>―</w:t>
      </w:r>
      <w:r>
        <w:rPr>
          <w:w w:val="100"/>
          <w:sz w:val="21"/>
        </w:rPr>
        <w:t>I</w:t>
      </w:r>
      <w:r>
        <w:rPr>
          <w:sz w:val="21"/>
        </w:rPr>
        <w:t> </w:t>
      </w:r>
      <w:r>
        <w:rPr>
          <w:w w:val="100"/>
          <w:sz w:val="21"/>
        </w:rPr>
        <w:t>agree</w:t>
      </w:r>
      <w:r>
        <w:rPr>
          <w:sz w:val="21"/>
        </w:rPr>
        <w:t> </w:t>
      </w:r>
      <w:r>
        <w:rPr>
          <w:w w:val="100"/>
          <w:sz w:val="21"/>
        </w:rPr>
        <w:t>with</w:t>
      </w:r>
      <w:r>
        <w:rPr>
          <w:sz w:val="21"/>
        </w:rPr>
        <w:t> </w:t>
      </w:r>
      <w:r>
        <w:rPr>
          <w:w w:val="100"/>
          <w:sz w:val="21"/>
        </w:rPr>
        <w:t>the</w:t>
      </w:r>
      <w:r>
        <w:rPr>
          <w:sz w:val="21"/>
        </w:rPr>
        <w:t> </w:t>
      </w:r>
      <w:r>
        <w:rPr>
          <w:w w:val="100"/>
          <w:sz w:val="21"/>
        </w:rPr>
        <w:t>report</w:t>
      </w:r>
      <w:r>
        <w:rPr>
          <w:sz w:val="21"/>
        </w:rPr>
        <w:t> </w:t>
      </w:r>
      <w:r>
        <w:rPr>
          <w:w w:val="100"/>
          <w:sz w:val="21"/>
        </w:rPr>
        <w:t>of</w:t>
      </w:r>
      <w:r>
        <w:rPr>
          <w:sz w:val="21"/>
        </w:rPr>
        <w:t> </w:t>
      </w:r>
      <w:r>
        <w:rPr>
          <w:w w:val="100"/>
          <w:sz w:val="21"/>
        </w:rPr>
        <w:t>ASI</w:t>
      </w:r>
      <w:r>
        <w:rPr>
          <w:sz w:val="21"/>
        </w:rPr>
        <w:t> </w:t>
      </w:r>
      <w:r>
        <w:rPr>
          <w:w w:val="100"/>
          <w:sz w:val="21"/>
        </w:rPr>
        <w:t>about</w:t>
      </w:r>
      <w:r>
        <w:rPr>
          <w:sz w:val="21"/>
        </w:rPr>
        <w:t> </w:t>
      </w:r>
      <w:r>
        <w:rPr>
          <w:w w:val="100"/>
          <w:sz w:val="21"/>
        </w:rPr>
        <w:t>the</w:t>
      </w:r>
      <w:r>
        <w:rPr>
          <w:sz w:val="21"/>
        </w:rPr>
        <w:t> </w:t>
      </w:r>
      <w:r>
        <w:rPr>
          <w:w w:val="100"/>
          <w:sz w:val="21"/>
        </w:rPr>
        <w:t>remains</w:t>
      </w:r>
      <w:r>
        <w:rPr>
          <w:sz w:val="21"/>
        </w:rPr>
        <w:t> </w:t>
      </w:r>
      <w:r>
        <w:rPr>
          <w:w w:val="100"/>
          <w:sz w:val="21"/>
        </w:rPr>
        <w:t>of</w:t>
      </w:r>
      <w:r>
        <w:rPr>
          <w:sz w:val="21"/>
        </w:rPr>
        <w:t> </w:t>
      </w:r>
      <w:r>
        <w:rPr>
          <w:w w:val="100"/>
          <w:sz w:val="21"/>
        </w:rPr>
        <w:t>Temple</w:t>
      </w:r>
      <w:r>
        <w:rPr>
          <w:sz w:val="21"/>
        </w:rPr>
        <w:t> </w:t>
      </w:r>
      <w:r>
        <w:rPr>
          <w:w w:val="100"/>
          <w:sz w:val="21"/>
        </w:rPr>
        <w:t>to </w:t>
      </w:r>
      <w:r>
        <w:rPr>
          <w:sz w:val="21"/>
        </w:rPr>
        <w:t>the extent that these remains may have been of some temple.‖</w:t>
      </w:r>
    </w:p>
    <w:p>
      <w:pPr>
        <w:pStyle w:val="BodyText"/>
        <w:spacing w:before="10"/>
        <w:rPr>
          <w:sz w:val="20"/>
        </w:rPr>
      </w:pPr>
    </w:p>
    <w:p>
      <w:pPr>
        <w:pStyle w:val="Heading5"/>
        <w:numPr>
          <w:ilvl w:val="0"/>
          <w:numId w:val="167"/>
        </w:numPr>
        <w:tabs>
          <w:tab w:pos="1221" w:val="left" w:leader="none"/>
        </w:tabs>
        <w:spacing w:line="240" w:lineRule="auto" w:before="0" w:after="0"/>
        <w:ind w:left="1220" w:right="0" w:hanging="721"/>
        <w:jc w:val="both"/>
        <w:rPr>
          <w:b w:val="0"/>
        </w:rPr>
      </w:pPr>
      <w:r>
        <w:rPr/>
        <w:t>D Mandal (PW 24) </w:t>
      </w:r>
      <w:r>
        <w:rPr>
          <w:b w:val="0"/>
        </w:rPr>
        <w:t>–</w:t>
      </w:r>
    </w:p>
    <w:p>
      <w:pPr>
        <w:spacing w:after="0" w:line="240" w:lineRule="auto"/>
        <w:jc w:val="both"/>
        <w:sectPr>
          <w:pgSz w:w="11910" w:h="16840"/>
          <w:pgMar w:header="721" w:footer="1014" w:top="1300" w:bottom="1200" w:left="940" w:right="1000"/>
        </w:sectPr>
      </w:pPr>
    </w:p>
    <w:p>
      <w:pPr>
        <w:spacing w:line="276" w:lineRule="auto" w:before="122"/>
        <w:ind w:left="1940" w:right="2265" w:firstLine="0"/>
        <w:jc w:val="both"/>
        <w:rPr>
          <w:sz w:val="21"/>
        </w:rPr>
      </w:pPr>
      <w:r>
        <w:rPr>
          <w:spacing w:val="-1"/>
          <w:w w:val="33"/>
          <w:sz w:val="21"/>
        </w:rPr>
        <w:t>―</w:t>
      </w:r>
      <w:r>
        <w:rPr>
          <w:w w:val="100"/>
          <w:sz w:val="21"/>
        </w:rPr>
        <w:t>…a</w:t>
      </w:r>
      <w:r>
        <w:rPr>
          <w:sz w:val="21"/>
        </w:rPr>
        <w:t> </w:t>
      </w:r>
      <w:r>
        <w:rPr>
          <w:spacing w:val="-4"/>
          <w:sz w:val="21"/>
        </w:rPr>
        <w:t> </w:t>
      </w:r>
      <w:r>
        <w:rPr>
          <w:spacing w:val="-1"/>
          <w:w w:val="100"/>
          <w:sz w:val="21"/>
        </w:rPr>
        <w:t>d</w:t>
      </w:r>
      <w:r>
        <w:rPr>
          <w:spacing w:val="-3"/>
          <w:w w:val="100"/>
          <w:sz w:val="21"/>
        </w:rPr>
        <w:t>e</w:t>
      </w:r>
      <w:r>
        <w:rPr>
          <w:w w:val="100"/>
          <w:sz w:val="21"/>
        </w:rPr>
        <w:t>cora</w:t>
      </w:r>
      <w:r>
        <w:rPr>
          <w:spacing w:val="-2"/>
          <w:w w:val="100"/>
          <w:sz w:val="21"/>
        </w:rPr>
        <w:t>t</w:t>
      </w:r>
      <w:r>
        <w:rPr>
          <w:w w:val="100"/>
          <w:sz w:val="21"/>
        </w:rPr>
        <w:t>i</w:t>
      </w:r>
      <w:r>
        <w:rPr>
          <w:spacing w:val="-3"/>
          <w:w w:val="100"/>
          <w:sz w:val="21"/>
        </w:rPr>
        <w:t>v</w:t>
      </w:r>
      <w:r>
        <w:rPr>
          <w:w w:val="100"/>
          <w:sz w:val="21"/>
        </w:rPr>
        <w:t>e</w:t>
      </w:r>
      <w:r>
        <w:rPr>
          <w:sz w:val="21"/>
        </w:rPr>
        <w:t> </w:t>
      </w:r>
      <w:r>
        <w:rPr>
          <w:spacing w:val="-4"/>
          <w:sz w:val="21"/>
        </w:rPr>
        <w:t> </w:t>
      </w:r>
      <w:r>
        <w:rPr>
          <w:w w:val="100"/>
          <w:sz w:val="21"/>
        </w:rPr>
        <w:t>s</w:t>
      </w:r>
      <w:r>
        <w:rPr>
          <w:spacing w:val="-2"/>
          <w:w w:val="100"/>
          <w:sz w:val="21"/>
        </w:rPr>
        <w:t>t</w:t>
      </w:r>
      <w:r>
        <w:rPr>
          <w:spacing w:val="-3"/>
          <w:w w:val="100"/>
          <w:sz w:val="21"/>
        </w:rPr>
        <w:t>o</w:t>
      </w:r>
      <w:r>
        <w:rPr>
          <w:spacing w:val="-1"/>
          <w:w w:val="100"/>
          <w:sz w:val="21"/>
        </w:rPr>
        <w:t>n</w:t>
      </w:r>
      <w:r>
        <w:rPr>
          <w:w w:val="100"/>
          <w:sz w:val="21"/>
        </w:rPr>
        <w:t>e</w:t>
      </w:r>
      <w:r>
        <w:rPr>
          <w:sz w:val="21"/>
        </w:rPr>
        <w:t> </w:t>
      </w:r>
      <w:r>
        <w:rPr>
          <w:spacing w:val="-7"/>
          <w:sz w:val="21"/>
        </w:rPr>
        <w:t> </w:t>
      </w:r>
      <w:r>
        <w:rPr>
          <w:spacing w:val="-1"/>
          <w:w w:val="100"/>
          <w:sz w:val="21"/>
        </w:rPr>
        <w:t>h</w:t>
      </w:r>
      <w:r>
        <w:rPr>
          <w:spacing w:val="-3"/>
          <w:w w:val="100"/>
          <w:sz w:val="21"/>
        </w:rPr>
        <w:t>a</w:t>
      </w:r>
      <w:r>
        <w:rPr>
          <w:w w:val="100"/>
          <w:sz w:val="21"/>
        </w:rPr>
        <w:t>s</w:t>
      </w:r>
      <w:r>
        <w:rPr>
          <w:sz w:val="21"/>
        </w:rPr>
        <w:t> </w:t>
      </w:r>
      <w:r>
        <w:rPr>
          <w:spacing w:val="-5"/>
          <w:sz w:val="21"/>
        </w:rPr>
        <w:t> </w:t>
      </w:r>
      <w:r>
        <w:rPr>
          <w:spacing w:val="-1"/>
          <w:w w:val="100"/>
          <w:sz w:val="21"/>
        </w:rPr>
        <w:t>be</w:t>
      </w:r>
      <w:r>
        <w:rPr>
          <w:spacing w:val="-2"/>
          <w:w w:val="100"/>
          <w:sz w:val="21"/>
        </w:rPr>
        <w:t>e</w:t>
      </w:r>
      <w:r>
        <w:rPr>
          <w:w w:val="100"/>
          <w:sz w:val="21"/>
        </w:rPr>
        <w:t>n</w:t>
      </w:r>
      <w:r>
        <w:rPr>
          <w:sz w:val="21"/>
        </w:rPr>
        <w:t> </w:t>
      </w:r>
      <w:r>
        <w:rPr>
          <w:spacing w:val="-4"/>
          <w:sz w:val="21"/>
        </w:rPr>
        <w:t> </w:t>
      </w:r>
      <w:r>
        <w:rPr>
          <w:spacing w:val="-2"/>
          <w:w w:val="100"/>
          <w:sz w:val="21"/>
        </w:rPr>
        <w:t>f</w:t>
      </w:r>
      <w:r>
        <w:rPr>
          <w:w w:val="100"/>
          <w:sz w:val="21"/>
        </w:rPr>
        <w:t>i</w:t>
      </w:r>
      <w:r>
        <w:rPr>
          <w:spacing w:val="-3"/>
          <w:w w:val="100"/>
          <w:sz w:val="21"/>
        </w:rPr>
        <w:t>x</w:t>
      </w:r>
      <w:r>
        <w:rPr>
          <w:spacing w:val="-1"/>
          <w:w w:val="100"/>
          <w:sz w:val="21"/>
        </w:rPr>
        <w:t>e</w:t>
      </w:r>
      <w:r>
        <w:rPr>
          <w:w w:val="100"/>
          <w:sz w:val="21"/>
        </w:rPr>
        <w:t>d</w:t>
      </w:r>
      <w:r>
        <w:rPr>
          <w:sz w:val="21"/>
        </w:rPr>
        <w:t> </w:t>
      </w:r>
      <w:r>
        <w:rPr>
          <w:spacing w:val="-7"/>
          <w:sz w:val="21"/>
        </w:rPr>
        <w:t> </w:t>
      </w:r>
      <w:r>
        <w:rPr>
          <w:w w:val="100"/>
          <w:sz w:val="21"/>
        </w:rPr>
        <w:t>in</w:t>
      </w:r>
      <w:r>
        <w:rPr>
          <w:sz w:val="21"/>
        </w:rPr>
        <w:t> </w:t>
      </w:r>
      <w:r>
        <w:rPr>
          <w:spacing w:val="-4"/>
          <w:sz w:val="21"/>
        </w:rPr>
        <w:t> </w:t>
      </w:r>
      <w:r>
        <w:rPr>
          <w:spacing w:val="-2"/>
          <w:w w:val="100"/>
          <w:sz w:val="21"/>
        </w:rPr>
        <w:t>w</w:t>
      </w:r>
      <w:r>
        <w:rPr>
          <w:spacing w:val="-3"/>
          <w:w w:val="100"/>
          <w:sz w:val="21"/>
        </w:rPr>
        <w:t>a</w:t>
      </w:r>
      <w:r>
        <w:rPr>
          <w:w w:val="100"/>
          <w:sz w:val="21"/>
        </w:rPr>
        <w:t>ll</w:t>
      </w:r>
      <w:r>
        <w:rPr>
          <w:sz w:val="21"/>
        </w:rPr>
        <w:t> </w:t>
      </w:r>
      <w:r>
        <w:rPr>
          <w:spacing w:val="-6"/>
          <w:sz w:val="21"/>
        </w:rPr>
        <w:t> </w:t>
      </w:r>
      <w:r>
        <w:rPr>
          <w:spacing w:val="-1"/>
          <w:w w:val="100"/>
          <w:sz w:val="21"/>
        </w:rPr>
        <w:t>no</w:t>
      </w:r>
      <w:r>
        <w:rPr>
          <w:w w:val="100"/>
          <w:sz w:val="21"/>
        </w:rPr>
        <w:t>.</w:t>
      </w:r>
      <w:r>
        <w:rPr>
          <w:sz w:val="21"/>
        </w:rPr>
        <w:t> </w:t>
      </w:r>
      <w:r>
        <w:rPr>
          <w:spacing w:val="-8"/>
          <w:sz w:val="21"/>
        </w:rPr>
        <w:t> </w:t>
      </w:r>
      <w:r>
        <w:rPr>
          <w:spacing w:val="-1"/>
          <w:w w:val="100"/>
          <w:sz w:val="21"/>
        </w:rPr>
        <w:t>17</w:t>
      </w:r>
      <w:r>
        <w:rPr>
          <w:w w:val="100"/>
          <w:sz w:val="21"/>
        </w:rPr>
        <w:t>.</w:t>
      </w:r>
      <w:r>
        <w:rPr>
          <w:sz w:val="21"/>
        </w:rPr>
        <w:t> </w:t>
      </w:r>
      <w:r>
        <w:rPr>
          <w:spacing w:val="-5"/>
          <w:sz w:val="21"/>
        </w:rPr>
        <w:t> </w:t>
      </w:r>
      <w:r>
        <w:rPr>
          <w:w w:val="100"/>
          <w:sz w:val="21"/>
        </w:rPr>
        <w:t>T</w:t>
      </w:r>
      <w:r>
        <w:rPr>
          <w:spacing w:val="-2"/>
          <w:w w:val="100"/>
          <w:sz w:val="21"/>
        </w:rPr>
        <w:t>h</w:t>
      </w:r>
      <w:r>
        <w:rPr>
          <w:w w:val="100"/>
          <w:sz w:val="21"/>
        </w:rPr>
        <w:t>is </w:t>
      </w:r>
      <w:r>
        <w:rPr>
          <w:sz w:val="21"/>
        </w:rPr>
        <w:t>decorative stone is floral motif, it is used</w:t>
      </w:r>
      <w:r>
        <w:rPr>
          <w:spacing w:val="-43"/>
          <w:sz w:val="21"/>
        </w:rPr>
        <w:t> </w:t>
      </w:r>
      <w:r>
        <w:rPr>
          <w:sz w:val="21"/>
        </w:rPr>
        <w:t>in Hindu Temples.‖</w:t>
      </w:r>
    </w:p>
    <w:p>
      <w:pPr>
        <w:pStyle w:val="BodyText"/>
        <w:spacing w:before="2"/>
        <w:rPr>
          <w:sz w:val="24"/>
        </w:rPr>
      </w:pPr>
    </w:p>
    <w:p>
      <w:pPr>
        <w:spacing w:before="0"/>
        <w:ind w:left="1940" w:right="0" w:firstLine="0"/>
        <w:jc w:val="left"/>
        <w:rPr>
          <w:sz w:val="21"/>
        </w:rPr>
      </w:pPr>
      <w:r>
        <w:rPr>
          <w:sz w:val="21"/>
        </w:rPr>
        <w:t>...</w:t>
      </w:r>
    </w:p>
    <w:p>
      <w:pPr>
        <w:pStyle w:val="BodyText"/>
        <w:spacing w:before="5"/>
        <w:rPr>
          <w:sz w:val="27"/>
        </w:rPr>
      </w:pPr>
    </w:p>
    <w:p>
      <w:pPr>
        <w:spacing w:line="276" w:lineRule="auto" w:before="0"/>
        <w:ind w:left="1940" w:right="2263" w:firstLine="0"/>
        <w:jc w:val="both"/>
        <w:rPr>
          <w:sz w:val="21"/>
        </w:rPr>
      </w:pPr>
      <w:r>
        <w:rPr>
          <w:spacing w:val="-1"/>
          <w:w w:val="33"/>
          <w:sz w:val="21"/>
        </w:rPr>
        <w:t>―</w:t>
      </w:r>
      <w:r>
        <w:rPr>
          <w:spacing w:val="-2"/>
          <w:w w:val="100"/>
          <w:sz w:val="21"/>
        </w:rPr>
        <w:t>I</w:t>
      </w:r>
      <w:r>
        <w:rPr>
          <w:w w:val="100"/>
          <w:sz w:val="21"/>
        </w:rPr>
        <w:t>t</w:t>
      </w:r>
      <w:r>
        <w:rPr>
          <w:sz w:val="21"/>
        </w:rPr>
        <w:t> </w:t>
      </w:r>
      <w:r>
        <w:rPr>
          <w:spacing w:val="11"/>
          <w:sz w:val="21"/>
        </w:rPr>
        <w:t> </w:t>
      </w:r>
      <w:r>
        <w:rPr>
          <w:w w:val="100"/>
          <w:sz w:val="21"/>
        </w:rPr>
        <w:t>is</w:t>
      </w:r>
      <w:r>
        <w:rPr>
          <w:sz w:val="21"/>
        </w:rPr>
        <w:t> </w:t>
      </w:r>
      <w:r>
        <w:rPr>
          <w:spacing w:val="12"/>
          <w:sz w:val="21"/>
        </w:rPr>
        <w:t> </w:t>
      </w:r>
      <w:r>
        <w:rPr>
          <w:w w:val="100"/>
          <w:sz w:val="21"/>
        </w:rPr>
        <w:t>cor</w:t>
      </w:r>
      <w:r>
        <w:rPr>
          <w:spacing w:val="-2"/>
          <w:w w:val="100"/>
          <w:sz w:val="21"/>
        </w:rPr>
        <w:t>r</w:t>
      </w:r>
      <w:r>
        <w:rPr>
          <w:spacing w:val="-1"/>
          <w:w w:val="100"/>
          <w:sz w:val="21"/>
        </w:rPr>
        <w:t>ec</w:t>
      </w:r>
      <w:r>
        <w:rPr>
          <w:w w:val="100"/>
          <w:sz w:val="21"/>
        </w:rPr>
        <w:t>t</w:t>
      </w:r>
      <w:r>
        <w:rPr>
          <w:sz w:val="21"/>
        </w:rPr>
        <w:t> </w:t>
      </w:r>
      <w:r>
        <w:rPr>
          <w:spacing w:val="11"/>
          <w:sz w:val="21"/>
        </w:rPr>
        <w:t> </w:t>
      </w:r>
      <w:r>
        <w:rPr>
          <w:spacing w:val="-2"/>
          <w:w w:val="100"/>
          <w:sz w:val="21"/>
        </w:rPr>
        <w:t>t</w:t>
      </w:r>
      <w:r>
        <w:rPr>
          <w:w w:val="100"/>
          <w:sz w:val="21"/>
        </w:rPr>
        <w:t>o</w:t>
      </w:r>
      <w:r>
        <w:rPr>
          <w:sz w:val="21"/>
        </w:rPr>
        <w:t> </w:t>
      </w:r>
      <w:r>
        <w:rPr>
          <w:spacing w:val="12"/>
          <w:sz w:val="21"/>
        </w:rPr>
        <w:t> </w:t>
      </w:r>
      <w:r>
        <w:rPr>
          <w:w w:val="100"/>
          <w:sz w:val="21"/>
        </w:rPr>
        <w:t>say</w:t>
      </w:r>
      <w:r>
        <w:rPr>
          <w:sz w:val="21"/>
        </w:rPr>
        <w:t> </w:t>
      </w:r>
      <w:r>
        <w:rPr>
          <w:spacing w:val="10"/>
          <w:sz w:val="21"/>
        </w:rPr>
        <w:t> </w:t>
      </w:r>
      <w:r>
        <w:rPr>
          <w:spacing w:val="-2"/>
          <w:w w:val="100"/>
          <w:sz w:val="21"/>
        </w:rPr>
        <w:t>t</w:t>
      </w:r>
      <w:r>
        <w:rPr>
          <w:spacing w:val="-1"/>
          <w:w w:val="100"/>
          <w:sz w:val="21"/>
        </w:rPr>
        <w:t>h</w:t>
      </w:r>
      <w:r>
        <w:rPr>
          <w:spacing w:val="2"/>
          <w:w w:val="100"/>
          <w:sz w:val="21"/>
        </w:rPr>
        <w:t>a</w:t>
      </w:r>
      <w:r>
        <w:rPr>
          <w:w w:val="100"/>
          <w:sz w:val="21"/>
        </w:rPr>
        <w:t>t</w:t>
      </w:r>
      <w:r>
        <w:rPr>
          <w:sz w:val="21"/>
        </w:rPr>
        <w:t> </w:t>
      </w:r>
      <w:r>
        <w:rPr>
          <w:spacing w:val="11"/>
          <w:sz w:val="21"/>
        </w:rPr>
        <w:t> </w:t>
      </w:r>
      <w:r>
        <w:rPr>
          <w:w w:val="100"/>
          <w:sz w:val="21"/>
        </w:rPr>
        <w:t>cons</w:t>
      </w:r>
      <w:r>
        <w:rPr>
          <w:spacing w:val="-1"/>
          <w:w w:val="100"/>
          <w:sz w:val="21"/>
        </w:rPr>
        <w:t>truct</w:t>
      </w:r>
      <w:r>
        <w:rPr>
          <w:w w:val="100"/>
          <w:sz w:val="21"/>
        </w:rPr>
        <w:t>i</w:t>
      </w:r>
      <w:r>
        <w:rPr>
          <w:spacing w:val="-3"/>
          <w:w w:val="100"/>
          <w:sz w:val="21"/>
        </w:rPr>
        <w:t>o</w:t>
      </w:r>
      <w:r>
        <w:rPr>
          <w:w w:val="100"/>
          <w:sz w:val="21"/>
        </w:rPr>
        <w:t>n</w:t>
      </w:r>
      <w:r>
        <w:rPr>
          <w:sz w:val="21"/>
        </w:rPr>
        <w:t> </w:t>
      </w:r>
      <w:r>
        <w:rPr>
          <w:spacing w:val="12"/>
          <w:sz w:val="21"/>
        </w:rPr>
        <w:t> </w:t>
      </w:r>
      <w:r>
        <w:rPr>
          <w:spacing w:val="-1"/>
          <w:w w:val="100"/>
          <w:sz w:val="21"/>
        </w:rPr>
        <w:t>act</w:t>
      </w:r>
      <w:r>
        <w:rPr>
          <w:w w:val="100"/>
          <w:sz w:val="21"/>
        </w:rPr>
        <w:t>i</w:t>
      </w:r>
      <w:r>
        <w:rPr>
          <w:spacing w:val="-3"/>
          <w:w w:val="100"/>
          <w:sz w:val="21"/>
        </w:rPr>
        <w:t>v</w:t>
      </w:r>
      <w:r>
        <w:rPr>
          <w:w w:val="100"/>
          <w:sz w:val="21"/>
        </w:rPr>
        <w:t>i</w:t>
      </w:r>
      <w:r>
        <w:rPr>
          <w:spacing w:val="-2"/>
          <w:w w:val="100"/>
          <w:sz w:val="21"/>
        </w:rPr>
        <w:t>ti</w:t>
      </w:r>
      <w:r>
        <w:rPr>
          <w:spacing w:val="-1"/>
          <w:w w:val="100"/>
          <w:sz w:val="21"/>
        </w:rPr>
        <w:t>e</w:t>
      </w:r>
      <w:r>
        <w:rPr>
          <w:w w:val="100"/>
          <w:sz w:val="21"/>
        </w:rPr>
        <w:t>s</w:t>
      </w:r>
      <w:r>
        <w:rPr>
          <w:sz w:val="21"/>
        </w:rPr>
        <w:t> </w:t>
      </w:r>
      <w:r>
        <w:rPr>
          <w:spacing w:val="12"/>
          <w:sz w:val="21"/>
        </w:rPr>
        <w:t> </w:t>
      </w:r>
      <w:r>
        <w:rPr>
          <w:spacing w:val="-1"/>
          <w:w w:val="100"/>
          <w:sz w:val="21"/>
        </w:rPr>
        <w:t>ha</w:t>
      </w:r>
      <w:r>
        <w:rPr>
          <w:w w:val="100"/>
          <w:sz w:val="21"/>
        </w:rPr>
        <w:t>d</w:t>
      </w:r>
      <w:r>
        <w:rPr>
          <w:sz w:val="21"/>
        </w:rPr>
        <w:t> </w:t>
      </w:r>
      <w:r>
        <w:rPr>
          <w:spacing w:val="13"/>
          <w:sz w:val="21"/>
        </w:rPr>
        <w:t> </w:t>
      </w:r>
      <w:r>
        <w:rPr>
          <w:spacing w:val="-1"/>
          <w:w w:val="100"/>
          <w:sz w:val="21"/>
        </w:rPr>
        <w:t>b</w:t>
      </w:r>
      <w:r>
        <w:rPr>
          <w:spacing w:val="-3"/>
          <w:w w:val="100"/>
          <w:sz w:val="21"/>
        </w:rPr>
        <w:t>ee</w:t>
      </w:r>
      <w:r>
        <w:rPr>
          <w:w w:val="100"/>
          <w:sz w:val="21"/>
        </w:rPr>
        <w:t>n </w:t>
      </w:r>
      <w:r>
        <w:rPr>
          <w:sz w:val="21"/>
        </w:rPr>
        <w:t>carried out at the disputed site even before the Mughal Period. As an Archeologist I admit discovery of structures beneath the disputed structure during</w:t>
      </w:r>
      <w:r>
        <w:rPr>
          <w:spacing w:val="-14"/>
          <w:sz w:val="21"/>
        </w:rPr>
        <w:t> </w:t>
      </w:r>
      <w:r>
        <w:rPr>
          <w:sz w:val="21"/>
        </w:rPr>
        <w:t>excavation.‖</w:t>
      </w:r>
    </w:p>
    <w:p>
      <w:pPr>
        <w:pStyle w:val="BodyText"/>
        <w:spacing w:before="9"/>
        <w:rPr>
          <w:sz w:val="20"/>
        </w:rPr>
      </w:pPr>
    </w:p>
    <w:p>
      <w:pPr>
        <w:pStyle w:val="Heading5"/>
        <w:numPr>
          <w:ilvl w:val="0"/>
          <w:numId w:val="167"/>
        </w:numPr>
        <w:tabs>
          <w:tab w:pos="1220" w:val="left" w:leader="none"/>
          <w:tab w:pos="1221" w:val="left" w:leader="none"/>
        </w:tabs>
        <w:spacing w:line="240" w:lineRule="auto" w:before="0" w:after="0"/>
        <w:ind w:left="1220" w:right="0" w:hanging="721"/>
        <w:jc w:val="left"/>
        <w:rPr>
          <w:b w:val="0"/>
        </w:rPr>
      </w:pPr>
      <w:r>
        <w:rPr/>
        <w:t>Supriya Verma (PW 32)</w:t>
      </w:r>
      <w:r>
        <w:rPr>
          <w:spacing w:val="5"/>
        </w:rPr>
        <w:t> </w:t>
      </w:r>
      <w:r>
        <w:rPr>
          <w:b w:val="0"/>
        </w:rPr>
        <w:t>–</w:t>
      </w:r>
    </w:p>
    <w:p>
      <w:pPr>
        <w:pStyle w:val="BodyText"/>
        <w:rPr>
          <w:sz w:val="28"/>
        </w:rPr>
      </w:pPr>
    </w:p>
    <w:p>
      <w:pPr>
        <w:spacing w:line="276" w:lineRule="auto" w:before="168"/>
        <w:ind w:left="1940" w:right="2261" w:firstLine="0"/>
        <w:jc w:val="both"/>
        <w:rPr>
          <w:sz w:val="21"/>
        </w:rPr>
      </w:pPr>
      <w:r>
        <w:rPr>
          <w:w w:val="33"/>
          <w:sz w:val="21"/>
        </w:rPr>
        <w:t>―</w:t>
      </w:r>
      <w:r>
        <w:rPr>
          <w:w w:val="100"/>
          <w:sz w:val="21"/>
        </w:rPr>
        <w:t>…I</w:t>
      </w:r>
      <w:r>
        <w:rPr>
          <w:sz w:val="21"/>
        </w:rPr>
        <w:t> </w:t>
      </w:r>
      <w:r>
        <w:rPr>
          <w:w w:val="100"/>
          <w:sz w:val="21"/>
        </w:rPr>
        <w:t>agree</w:t>
      </w:r>
      <w:r>
        <w:rPr>
          <w:sz w:val="21"/>
        </w:rPr>
        <w:t> </w:t>
      </w:r>
      <w:r>
        <w:rPr>
          <w:w w:val="100"/>
          <w:sz w:val="21"/>
        </w:rPr>
        <w:t>with</w:t>
      </w:r>
      <w:r>
        <w:rPr>
          <w:sz w:val="21"/>
        </w:rPr>
        <w:t> </w:t>
      </w:r>
      <w:r>
        <w:rPr>
          <w:w w:val="100"/>
          <w:sz w:val="21"/>
        </w:rPr>
        <w:t>the</w:t>
      </w:r>
      <w:r>
        <w:rPr>
          <w:sz w:val="21"/>
        </w:rPr>
        <w:t> </w:t>
      </w:r>
      <w:r>
        <w:rPr>
          <w:w w:val="100"/>
          <w:sz w:val="21"/>
        </w:rPr>
        <w:t>finding</w:t>
      </w:r>
      <w:r>
        <w:rPr>
          <w:sz w:val="21"/>
        </w:rPr>
        <w:t> </w:t>
      </w:r>
      <w:r>
        <w:rPr>
          <w:w w:val="100"/>
          <w:sz w:val="21"/>
        </w:rPr>
        <w:t>of</w:t>
      </w:r>
      <w:r>
        <w:rPr>
          <w:sz w:val="21"/>
        </w:rPr>
        <w:t> </w:t>
      </w:r>
      <w:r>
        <w:rPr>
          <w:w w:val="100"/>
          <w:sz w:val="21"/>
        </w:rPr>
        <w:t>ASI</w:t>
      </w:r>
      <w:r>
        <w:rPr>
          <w:sz w:val="21"/>
        </w:rPr>
        <w:t> </w:t>
      </w:r>
      <w:r>
        <w:rPr>
          <w:w w:val="100"/>
          <w:sz w:val="21"/>
        </w:rPr>
        <w:t>regarding</w:t>
      </w:r>
      <w:r>
        <w:rPr>
          <w:sz w:val="21"/>
        </w:rPr>
        <w:t> </w:t>
      </w:r>
      <w:r>
        <w:rPr>
          <w:w w:val="100"/>
          <w:sz w:val="21"/>
        </w:rPr>
        <w:t>existence</w:t>
      </w:r>
      <w:r>
        <w:rPr>
          <w:sz w:val="21"/>
        </w:rPr>
        <w:t> </w:t>
      </w:r>
      <w:r>
        <w:rPr>
          <w:w w:val="100"/>
          <w:sz w:val="21"/>
        </w:rPr>
        <w:t>of</w:t>
      </w:r>
      <w:r>
        <w:rPr>
          <w:sz w:val="21"/>
        </w:rPr>
        <w:t> </w:t>
      </w:r>
      <w:r>
        <w:rPr>
          <w:w w:val="100"/>
          <w:sz w:val="21"/>
        </w:rPr>
        <w:t>the </w:t>
      </w:r>
      <w:r>
        <w:rPr>
          <w:sz w:val="21"/>
        </w:rPr>
        <w:t>structure but I disagree with the interpretation arrived at by ASI. Further, it is correct to say the disputed structure was not constructed on the virgin land.‖</w:t>
      </w:r>
    </w:p>
    <w:p>
      <w:pPr>
        <w:pStyle w:val="BodyText"/>
        <w:rPr>
          <w:sz w:val="24"/>
        </w:rPr>
      </w:pPr>
    </w:p>
    <w:p>
      <w:pPr>
        <w:pStyle w:val="BodyText"/>
        <w:spacing w:before="1"/>
        <w:rPr>
          <w:sz w:val="24"/>
        </w:rPr>
      </w:pPr>
    </w:p>
    <w:p>
      <w:pPr>
        <w:pStyle w:val="Heading5"/>
        <w:numPr>
          <w:ilvl w:val="0"/>
          <w:numId w:val="167"/>
        </w:numPr>
        <w:tabs>
          <w:tab w:pos="1220" w:val="left" w:leader="none"/>
          <w:tab w:pos="1221" w:val="left" w:leader="none"/>
        </w:tabs>
        <w:spacing w:line="240" w:lineRule="auto" w:before="0" w:after="0"/>
        <w:ind w:left="1220" w:right="0" w:hanging="721"/>
        <w:jc w:val="left"/>
        <w:rPr>
          <w:b w:val="0"/>
        </w:rPr>
      </w:pPr>
      <w:r>
        <w:rPr/>
        <w:t>Dr Ashok Dutta (PW 31)</w:t>
      </w:r>
      <w:r>
        <w:rPr>
          <w:spacing w:val="3"/>
        </w:rPr>
        <w:t> </w:t>
      </w:r>
      <w:r>
        <w:rPr>
          <w:b w:val="0"/>
        </w:rPr>
        <w:t>-</w:t>
      </w:r>
    </w:p>
    <w:p>
      <w:pPr>
        <w:pStyle w:val="BodyText"/>
        <w:rPr>
          <w:sz w:val="28"/>
        </w:rPr>
      </w:pPr>
    </w:p>
    <w:p>
      <w:pPr>
        <w:spacing w:line="276" w:lineRule="auto" w:before="167"/>
        <w:ind w:left="1940" w:right="2265" w:firstLine="57"/>
        <w:jc w:val="both"/>
        <w:rPr>
          <w:sz w:val="21"/>
        </w:rPr>
      </w:pPr>
      <w:r>
        <w:rPr>
          <w:w w:val="33"/>
          <w:sz w:val="21"/>
        </w:rPr>
        <w:t>―</w:t>
      </w:r>
      <w:r>
        <w:rPr>
          <w:w w:val="100"/>
          <w:sz w:val="21"/>
        </w:rPr>
        <w:t>…I</w:t>
      </w:r>
      <w:r>
        <w:rPr>
          <w:sz w:val="21"/>
        </w:rPr>
        <w:t> </w:t>
      </w:r>
      <w:r>
        <w:rPr>
          <w:w w:val="100"/>
          <w:sz w:val="21"/>
        </w:rPr>
        <w:t>agree</w:t>
      </w:r>
      <w:r>
        <w:rPr>
          <w:sz w:val="21"/>
        </w:rPr>
        <w:t> </w:t>
      </w:r>
      <w:r>
        <w:rPr>
          <w:w w:val="100"/>
          <w:sz w:val="21"/>
        </w:rPr>
        <w:t>with</w:t>
      </w:r>
      <w:r>
        <w:rPr>
          <w:sz w:val="21"/>
        </w:rPr>
        <w:t> </w:t>
      </w:r>
      <w:r>
        <w:rPr>
          <w:w w:val="100"/>
          <w:sz w:val="21"/>
        </w:rPr>
        <w:t>the</w:t>
      </w:r>
      <w:r>
        <w:rPr>
          <w:sz w:val="21"/>
        </w:rPr>
        <w:t> </w:t>
      </w:r>
      <w:r>
        <w:rPr>
          <w:w w:val="100"/>
          <w:sz w:val="21"/>
        </w:rPr>
        <w:t>opinion</w:t>
      </w:r>
      <w:r>
        <w:rPr>
          <w:sz w:val="21"/>
        </w:rPr>
        <w:t> </w:t>
      </w:r>
      <w:r>
        <w:rPr>
          <w:w w:val="100"/>
          <w:sz w:val="21"/>
        </w:rPr>
        <w:t>of</w:t>
      </w:r>
      <w:r>
        <w:rPr>
          <w:sz w:val="21"/>
        </w:rPr>
        <w:t> </w:t>
      </w:r>
      <w:r>
        <w:rPr>
          <w:w w:val="100"/>
          <w:sz w:val="21"/>
        </w:rPr>
        <w:t>ASI</w:t>
      </w:r>
      <w:r>
        <w:rPr>
          <w:sz w:val="21"/>
        </w:rPr>
        <w:t> </w:t>
      </w:r>
      <w:r>
        <w:rPr>
          <w:w w:val="100"/>
          <w:sz w:val="21"/>
        </w:rPr>
        <w:t>that</w:t>
      </w:r>
      <w:r>
        <w:rPr>
          <w:sz w:val="21"/>
        </w:rPr>
        <w:t> </w:t>
      </w:r>
      <w:r>
        <w:rPr>
          <w:w w:val="100"/>
          <w:sz w:val="21"/>
        </w:rPr>
        <w:t>there</w:t>
      </w:r>
      <w:r>
        <w:rPr>
          <w:sz w:val="21"/>
        </w:rPr>
        <w:t> </w:t>
      </w:r>
      <w:r>
        <w:rPr>
          <w:w w:val="100"/>
          <w:sz w:val="21"/>
        </w:rPr>
        <w:t>lie</w:t>
      </w:r>
      <w:r>
        <w:rPr>
          <w:sz w:val="21"/>
        </w:rPr>
        <w:t> </w:t>
      </w:r>
      <w:r>
        <w:rPr>
          <w:w w:val="100"/>
          <w:sz w:val="21"/>
        </w:rPr>
        <w:t>a</w:t>
      </w:r>
      <w:r>
        <w:rPr>
          <w:sz w:val="21"/>
        </w:rPr>
        <w:t> </w:t>
      </w:r>
      <w:r>
        <w:rPr>
          <w:w w:val="100"/>
          <w:sz w:val="21"/>
        </w:rPr>
        <w:t>number</w:t>
      </w:r>
      <w:r>
        <w:rPr>
          <w:sz w:val="21"/>
        </w:rPr>
        <w:t> </w:t>
      </w:r>
      <w:r>
        <w:rPr>
          <w:w w:val="100"/>
          <w:sz w:val="21"/>
        </w:rPr>
        <w:t>of </w:t>
      </w:r>
      <w:r>
        <w:rPr>
          <w:sz w:val="21"/>
        </w:rPr>
        <w:t>structures in the form of walls and floors beneath the disputed structure. Wall no. 1 to 15 may be related to the disputed structure. Wall no. 16 onwards are walls belonging to a period before the construction of the disputed structure.‖</w:t>
      </w:r>
    </w:p>
    <w:p>
      <w:pPr>
        <w:pStyle w:val="BodyText"/>
        <w:rPr>
          <w:sz w:val="24"/>
        </w:rPr>
      </w:pPr>
    </w:p>
    <w:p>
      <w:pPr>
        <w:pStyle w:val="BodyText"/>
        <w:spacing w:before="1"/>
        <w:rPr>
          <w:sz w:val="26"/>
        </w:rPr>
      </w:pPr>
    </w:p>
    <w:p>
      <w:pPr>
        <w:pStyle w:val="BodyText"/>
        <w:ind w:left="500"/>
      </w:pPr>
      <w:r>
        <w:rPr/>
        <w:t>Dealing with the circular shrine, the High Court observed:</w:t>
      </w:r>
    </w:p>
    <w:p>
      <w:pPr>
        <w:pStyle w:val="BodyText"/>
      </w:pPr>
    </w:p>
    <w:p>
      <w:pPr>
        <w:spacing w:line="276" w:lineRule="auto" w:before="1"/>
        <w:ind w:left="1940" w:right="2261" w:firstLine="0"/>
        <w:jc w:val="both"/>
        <w:rPr>
          <w:sz w:val="21"/>
        </w:rPr>
      </w:pPr>
      <w:r>
        <w:rPr>
          <w:w w:val="33"/>
          <w:sz w:val="21"/>
        </w:rPr>
        <w:t>―</w:t>
      </w:r>
      <w:r>
        <w:rPr>
          <w:w w:val="100"/>
          <w:sz w:val="21"/>
        </w:rPr>
        <w:t>3937.</w:t>
      </w:r>
      <w:r>
        <w:rPr>
          <w:sz w:val="21"/>
        </w:rPr>
        <w:t> </w:t>
      </w:r>
      <w:r>
        <w:rPr>
          <w:w w:val="100"/>
          <w:sz w:val="21"/>
        </w:rPr>
        <w:t>The</w:t>
      </w:r>
      <w:r>
        <w:rPr>
          <w:sz w:val="21"/>
        </w:rPr>
        <w:t> </w:t>
      </w:r>
      <w:r>
        <w:rPr>
          <w:w w:val="100"/>
          <w:sz w:val="21"/>
        </w:rPr>
        <w:t>elevation,</w:t>
      </w:r>
      <w:r>
        <w:rPr>
          <w:sz w:val="21"/>
        </w:rPr>
        <w:t> </w:t>
      </w:r>
      <w:r>
        <w:rPr>
          <w:w w:val="100"/>
          <w:sz w:val="21"/>
        </w:rPr>
        <w:t>as</w:t>
      </w:r>
      <w:r>
        <w:rPr>
          <w:sz w:val="21"/>
        </w:rPr>
        <w:t> </w:t>
      </w:r>
      <w:r>
        <w:rPr>
          <w:w w:val="100"/>
          <w:sz w:val="21"/>
        </w:rPr>
        <w:t>shown</w:t>
      </w:r>
      <w:r>
        <w:rPr>
          <w:sz w:val="21"/>
        </w:rPr>
        <w:t> </w:t>
      </w:r>
      <w:r>
        <w:rPr>
          <w:w w:val="100"/>
          <w:sz w:val="21"/>
        </w:rPr>
        <w:t>in</w:t>
      </w:r>
      <w:r>
        <w:rPr>
          <w:sz w:val="21"/>
        </w:rPr>
        <w:t> </w:t>
      </w:r>
      <w:r>
        <w:rPr>
          <w:w w:val="100"/>
          <w:sz w:val="21"/>
        </w:rPr>
        <w:t>the</w:t>
      </w:r>
      <w:r>
        <w:rPr>
          <w:sz w:val="21"/>
        </w:rPr>
        <w:t> </w:t>
      </w:r>
      <w:r>
        <w:rPr>
          <w:w w:val="100"/>
          <w:sz w:val="21"/>
        </w:rPr>
        <w:t>drawing</w:t>
      </w:r>
      <w:r>
        <w:rPr>
          <w:sz w:val="21"/>
        </w:rPr>
        <w:t> </w:t>
      </w:r>
      <w:r>
        <w:rPr>
          <w:w w:val="100"/>
          <w:sz w:val="21"/>
        </w:rPr>
        <w:t>(Fig.</w:t>
      </w:r>
      <w:r>
        <w:rPr>
          <w:sz w:val="21"/>
        </w:rPr>
        <w:t> </w:t>
      </w:r>
      <w:r>
        <w:rPr>
          <w:w w:val="100"/>
          <w:sz w:val="21"/>
        </w:rPr>
        <w:t>17</w:t>
      </w:r>
      <w:r>
        <w:rPr>
          <w:sz w:val="21"/>
        </w:rPr>
        <w:t> </w:t>
      </w:r>
      <w:r>
        <w:rPr>
          <w:w w:val="100"/>
          <w:sz w:val="21"/>
        </w:rPr>
        <w:t>of</w:t>
      </w:r>
      <w:r>
        <w:rPr>
          <w:sz w:val="21"/>
        </w:rPr>
        <w:t> </w:t>
      </w:r>
      <w:r>
        <w:rPr>
          <w:w w:val="100"/>
          <w:sz w:val="21"/>
        </w:rPr>
        <w:t>the </w:t>
      </w:r>
      <w:r>
        <w:rPr>
          <w:sz w:val="21"/>
        </w:rPr>
        <w:t>ASI Report) suggests that this structure was built on a raised platform, viz. adhisthana. The gargoyle, or the drain, was provided on the northern side. The structure may be dated to 9</w:t>
      </w:r>
      <w:r>
        <w:rPr>
          <w:sz w:val="21"/>
          <w:vertAlign w:val="superscript"/>
        </w:rPr>
        <w:t>th</w:t>
      </w:r>
      <w:r>
        <w:rPr>
          <w:sz w:val="21"/>
          <w:vertAlign w:val="baseline"/>
        </w:rPr>
        <w:t>-10th century A.D. (The ASI carried out C-14 determination from this level and the calibrated date ranges between 900</w:t>
      </w:r>
    </w:p>
    <w:p>
      <w:pPr>
        <w:spacing w:before="0"/>
        <w:ind w:left="1940" w:right="0" w:firstLine="0"/>
        <w:jc w:val="both"/>
        <w:rPr>
          <w:sz w:val="21"/>
        </w:rPr>
      </w:pPr>
      <w:r>
        <w:rPr>
          <w:sz w:val="21"/>
        </w:rPr>
        <w:t>A.D. and 1030 A.D.).</w:t>
      </w:r>
    </w:p>
    <w:p>
      <w:pPr>
        <w:spacing w:line="276" w:lineRule="auto" w:before="36"/>
        <w:ind w:left="1940" w:right="2264" w:firstLine="0"/>
        <w:jc w:val="left"/>
        <w:rPr>
          <w:sz w:val="21"/>
        </w:rPr>
      </w:pPr>
      <w:r>
        <w:rPr>
          <w:sz w:val="21"/>
        </w:rPr>
        <w:t>3938. This was an independent miniature shrine. The architectural features suggest that, that it was a Shiva shrine. 3939. It is unthinkable that inspite of these clear features of Shiva shrine, the objectors are identifying the same as a Muslim tomb.</w:t>
      </w:r>
    </w:p>
    <w:p>
      <w:pPr>
        <w:spacing w:line="276" w:lineRule="auto" w:before="0"/>
        <w:ind w:left="1940" w:right="2259" w:firstLine="0"/>
        <w:jc w:val="both"/>
        <w:rPr>
          <w:sz w:val="21"/>
        </w:rPr>
      </w:pPr>
      <w:r>
        <w:rPr>
          <w:sz w:val="21"/>
        </w:rPr>
        <w:t>3940. Secondly, it is too small a structure for a tomb, from inside it is only 4.4 ft. square. Neither could it accommodate a grave in its interior, nor a Qiblah-Mihrab on its western wall ; Qiblah was an integral and essential part of tomb-structure during the Sultanate period (1192-1526 A.D.) as is illustrated by numerous examples all over northern India.</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sz w:val="21"/>
        </w:rPr>
      </w:pPr>
      <w:r>
        <w:rPr>
          <w:sz w:val="21"/>
        </w:rPr>
        <w:t>3941. Thirdly, there is no trace of an arch required for constructing dome over the tomb. There are no hook-shafts to bear and no structural trace to suggest any lateral thrust of the mihrab. It may be noted that the sub-structure of the mihrab is built massively on the edges of the four corners, to counter the lateral thrust. One wonders, if it was a tomb without any arch or dome, and without even a</w:t>
      </w:r>
      <w:r>
        <w:rPr>
          <w:spacing w:val="-16"/>
          <w:sz w:val="21"/>
        </w:rPr>
        <w:t> </w:t>
      </w:r>
      <w:r>
        <w:rPr>
          <w:sz w:val="21"/>
        </w:rPr>
        <w:t>grave?</w:t>
      </w:r>
    </w:p>
    <w:p>
      <w:pPr>
        <w:spacing w:line="276" w:lineRule="auto" w:before="1"/>
        <w:ind w:left="1940" w:right="2261" w:firstLine="0"/>
        <w:jc w:val="both"/>
        <w:rPr>
          <w:sz w:val="21"/>
        </w:rPr>
      </w:pPr>
      <w:r>
        <w:rPr>
          <w:sz w:val="21"/>
        </w:rPr>
        <w:t>3942. Thus, on the one hand the dimensions of this structure are too small for a tomb and on the other the gargoyle was never in tombs while it was an integral feature of the sanctum of Shiva temples to drain out water poured on the Sivlinga.</w:t>
      </w:r>
    </w:p>
    <w:p>
      <w:pPr>
        <w:spacing w:line="276" w:lineRule="auto" w:before="0"/>
        <w:ind w:left="1940" w:right="2262" w:firstLine="0"/>
        <w:jc w:val="both"/>
        <w:rPr>
          <w:sz w:val="21"/>
        </w:rPr>
      </w:pPr>
      <w:r>
        <w:rPr>
          <w:sz w:val="21"/>
        </w:rPr>
        <w:t>3943. Shrine is a holy place where worship is performed. It is a structure where holiness is enshrined. Denial for the sake of denial should not be allowed. "No evidence to make this structure a shrine" and "a sheer figment of imagination and a conjecture without any evidentiary basis", such comments grossly lack technical acumen and clearly show the dearth of logical thinking. These themselves are mere arguments lacking "evidentiary basis". By these and many like  arguments show the 'ostrich attitude' of the</w:t>
      </w:r>
      <w:r>
        <w:rPr>
          <w:spacing w:val="-10"/>
          <w:sz w:val="21"/>
        </w:rPr>
        <w:t> </w:t>
      </w:r>
      <w:r>
        <w:rPr>
          <w:sz w:val="21"/>
        </w:rPr>
        <w:t>plaintiff.</w:t>
      </w:r>
    </w:p>
    <w:p>
      <w:pPr>
        <w:spacing w:line="276" w:lineRule="auto" w:before="0"/>
        <w:ind w:left="1940" w:right="2260" w:firstLine="0"/>
        <w:jc w:val="both"/>
        <w:rPr>
          <w:sz w:val="21"/>
        </w:rPr>
      </w:pPr>
      <w:r>
        <w:rPr>
          <w:sz w:val="21"/>
        </w:rPr>
        <w:t>3944. A structure is identified by its shape and/or by the use it was put to or by the function it was supposed to perform. This circular structure was found with a well defined 'Pranala' (water chute to drain out ablution liquids).The pranala could well have been denoted as drain but the area from where it was issuing was only 40 x 60 m (including the squarish hollow chamber for fixing the object of worship and the small entrance of the east) which could not be used for bath room or for kitchen, a few alternatives where water is required to be drained out, thus, the only valid explanation was it being a 'pranala' of a shrine, small only a subsidiary one and not the main shrine holding central/main</w:t>
      </w:r>
      <w:r>
        <w:rPr>
          <w:spacing w:val="-6"/>
          <w:sz w:val="21"/>
        </w:rPr>
        <w:t> </w:t>
      </w:r>
      <w:r>
        <w:rPr>
          <w:sz w:val="21"/>
        </w:rPr>
        <w:t>deity.</w:t>
      </w:r>
    </w:p>
    <w:p>
      <w:pPr>
        <w:spacing w:line="276" w:lineRule="auto" w:before="1"/>
        <w:ind w:left="1940" w:right="2261" w:firstLine="0"/>
        <w:jc w:val="both"/>
        <w:rPr>
          <w:sz w:val="21"/>
        </w:rPr>
      </w:pPr>
      <w:r>
        <w:rPr>
          <w:sz w:val="21"/>
        </w:rPr>
        <w:t>3945. Circular Shrine is found resting over wall 19A and others, this single fact, does not make the 'Circular Shrine' Contemporary to the said walls, as the working level for the 'Circular Shrine' is much higher, and only foundations of Circular Shrine rest over the existing walls, which have been incorporated as foundation of Circular Shrine, these walls definitely are not made for providing foundation to the circular Shrine. Apparently, when the Circular Shrine was built the wall 19A and others were all buried under the ground and foundation of the circular shrine just reached upto that</w:t>
      </w:r>
      <w:r>
        <w:rPr>
          <w:spacing w:val="-39"/>
          <w:sz w:val="21"/>
        </w:rPr>
        <w:t> </w:t>
      </w:r>
      <w:r>
        <w:rPr>
          <w:sz w:val="21"/>
        </w:rPr>
        <w:t>level.‖</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45"/>
        <w:jc w:val="both"/>
      </w:pPr>
      <w:r>
        <w:rPr/>
        <w:t>There is a significant aspect in relation to the circular shrine which must be borne in mind. This is the presence of pillar bases above the circular shrine. This aspect must be taken into account while ascertaining the overall weight to be ascribed to the ASI report.</w:t>
      </w:r>
    </w:p>
    <w:p>
      <w:pPr>
        <w:pStyle w:val="BodyText"/>
        <w:spacing w:before="11"/>
        <w:rPr>
          <w:sz w:val="24"/>
        </w:rPr>
      </w:pPr>
    </w:p>
    <w:p>
      <w:pPr>
        <w:pStyle w:val="BodyText"/>
        <w:spacing w:line="480" w:lineRule="auto"/>
        <w:ind w:left="500" w:right="442"/>
        <w:jc w:val="both"/>
      </w:pPr>
      <w:r>
        <w:rPr/>
        <w:t>As regards the use of lime surkhi, it is urged by Ms Meenakshi Arora, learned Senior Counsel that this is a typical material used in Islamic structures. Controverting this, Mr C S Vaidyanathan has placed reliance on the deposition of Suraj Bhan (PW 16) who stated :</w:t>
      </w:r>
    </w:p>
    <w:p>
      <w:pPr>
        <w:spacing w:line="276" w:lineRule="auto" w:before="0"/>
        <w:ind w:left="1940" w:right="2174" w:firstLine="0"/>
        <w:jc w:val="both"/>
        <w:rPr>
          <w:sz w:val="21"/>
        </w:rPr>
      </w:pPr>
      <w:r>
        <w:rPr>
          <w:spacing w:val="-1"/>
          <w:w w:val="33"/>
          <w:sz w:val="21"/>
        </w:rPr>
        <w:t>―</w:t>
      </w:r>
      <w:r>
        <w:rPr>
          <w:w w:val="100"/>
          <w:sz w:val="21"/>
        </w:rPr>
        <w:t>it</w:t>
      </w:r>
      <w:r>
        <w:rPr>
          <w:sz w:val="21"/>
        </w:rPr>
        <w:t> </w:t>
      </w:r>
      <w:r>
        <w:rPr>
          <w:spacing w:val="-25"/>
          <w:sz w:val="21"/>
        </w:rPr>
        <w:t> </w:t>
      </w:r>
      <w:r>
        <w:rPr>
          <w:w w:val="100"/>
          <w:sz w:val="21"/>
        </w:rPr>
        <w:t>is</w:t>
      </w:r>
      <w:r>
        <w:rPr>
          <w:sz w:val="21"/>
        </w:rPr>
        <w:t> </w:t>
      </w:r>
      <w:r>
        <w:rPr>
          <w:spacing w:val="-24"/>
          <w:sz w:val="21"/>
        </w:rPr>
        <w:t> </w:t>
      </w:r>
      <w:r>
        <w:rPr>
          <w:w w:val="100"/>
          <w:sz w:val="21"/>
        </w:rPr>
        <w:t>cor</w:t>
      </w:r>
      <w:r>
        <w:rPr>
          <w:spacing w:val="-2"/>
          <w:w w:val="100"/>
          <w:sz w:val="21"/>
        </w:rPr>
        <w:t>r</w:t>
      </w:r>
      <w:r>
        <w:rPr>
          <w:spacing w:val="-1"/>
          <w:w w:val="100"/>
          <w:sz w:val="21"/>
        </w:rPr>
        <w:t>ec</w:t>
      </w:r>
      <w:r>
        <w:rPr>
          <w:w w:val="100"/>
          <w:sz w:val="21"/>
        </w:rPr>
        <w:t>t</w:t>
      </w:r>
      <w:r>
        <w:rPr>
          <w:sz w:val="21"/>
        </w:rPr>
        <w:t> </w:t>
      </w:r>
      <w:r>
        <w:rPr>
          <w:spacing w:val="-25"/>
          <w:sz w:val="21"/>
        </w:rPr>
        <w:t> </w:t>
      </w:r>
      <w:r>
        <w:rPr>
          <w:spacing w:val="-2"/>
          <w:w w:val="100"/>
          <w:sz w:val="21"/>
        </w:rPr>
        <w:t>t</w:t>
      </w:r>
      <w:r>
        <w:rPr>
          <w:w w:val="100"/>
          <w:sz w:val="21"/>
        </w:rPr>
        <w:t>o</w:t>
      </w:r>
      <w:r>
        <w:rPr>
          <w:sz w:val="21"/>
        </w:rPr>
        <w:t> </w:t>
      </w:r>
      <w:r>
        <w:rPr>
          <w:spacing w:val="-24"/>
          <w:sz w:val="21"/>
        </w:rPr>
        <w:t> </w:t>
      </w:r>
      <w:r>
        <w:rPr>
          <w:w w:val="100"/>
          <w:sz w:val="21"/>
        </w:rPr>
        <w:t>say</w:t>
      </w:r>
      <w:r>
        <w:rPr>
          <w:sz w:val="21"/>
        </w:rPr>
        <w:t> </w:t>
      </w:r>
      <w:r>
        <w:rPr>
          <w:spacing w:val="-26"/>
          <w:sz w:val="21"/>
        </w:rPr>
        <w:t> </w:t>
      </w:r>
      <w:r>
        <w:rPr>
          <w:spacing w:val="-2"/>
          <w:w w:val="100"/>
          <w:sz w:val="21"/>
        </w:rPr>
        <w:t>t</w:t>
      </w:r>
      <w:r>
        <w:rPr>
          <w:spacing w:val="-1"/>
          <w:w w:val="100"/>
          <w:sz w:val="21"/>
        </w:rPr>
        <w:t>ha</w:t>
      </w:r>
      <w:r>
        <w:rPr>
          <w:w w:val="100"/>
          <w:sz w:val="21"/>
        </w:rPr>
        <w:t>t</w:t>
      </w:r>
      <w:r>
        <w:rPr>
          <w:sz w:val="21"/>
        </w:rPr>
        <w:t> </w:t>
      </w:r>
      <w:r>
        <w:rPr>
          <w:spacing w:val="-25"/>
          <w:sz w:val="21"/>
        </w:rPr>
        <w:t> </w:t>
      </w:r>
      <w:r>
        <w:rPr>
          <w:w w:val="100"/>
          <w:sz w:val="21"/>
        </w:rPr>
        <w:t>l</w:t>
      </w:r>
      <w:r>
        <w:rPr>
          <w:spacing w:val="-2"/>
          <w:w w:val="100"/>
          <w:sz w:val="21"/>
        </w:rPr>
        <w:t>i</w:t>
      </w:r>
      <w:r>
        <w:rPr>
          <w:spacing w:val="1"/>
          <w:w w:val="100"/>
          <w:sz w:val="21"/>
        </w:rPr>
        <w:t>m</w:t>
      </w:r>
      <w:r>
        <w:rPr>
          <w:w w:val="100"/>
          <w:sz w:val="21"/>
        </w:rPr>
        <w:t>e</w:t>
      </w:r>
      <w:r>
        <w:rPr>
          <w:sz w:val="21"/>
        </w:rPr>
        <w:t> </w:t>
      </w:r>
      <w:r>
        <w:rPr>
          <w:spacing w:val="-24"/>
          <w:sz w:val="21"/>
        </w:rPr>
        <w:t> </w:t>
      </w:r>
      <w:r>
        <w:rPr>
          <w:spacing w:val="-2"/>
          <w:w w:val="100"/>
          <w:sz w:val="21"/>
        </w:rPr>
        <w:t>w</w:t>
      </w:r>
      <w:r>
        <w:rPr>
          <w:spacing w:val="-1"/>
          <w:w w:val="100"/>
          <w:sz w:val="21"/>
        </w:rPr>
        <w:t>ate</w:t>
      </w:r>
      <w:r>
        <w:rPr>
          <w:w w:val="100"/>
          <w:sz w:val="21"/>
        </w:rPr>
        <w:t>r</w:t>
      </w:r>
      <w:r>
        <w:rPr>
          <w:sz w:val="21"/>
        </w:rPr>
        <w:t> </w:t>
      </w:r>
      <w:r>
        <w:rPr>
          <w:spacing w:val="-24"/>
          <w:sz w:val="21"/>
        </w:rPr>
        <w:t> </w:t>
      </w:r>
      <w:r>
        <w:rPr>
          <w:spacing w:val="-2"/>
          <w:w w:val="100"/>
          <w:sz w:val="21"/>
        </w:rPr>
        <w:t>w</w:t>
      </w:r>
      <w:r>
        <w:rPr>
          <w:spacing w:val="-1"/>
          <w:w w:val="100"/>
          <w:sz w:val="21"/>
        </w:rPr>
        <w:t>a</w:t>
      </w:r>
      <w:r>
        <w:rPr>
          <w:w w:val="100"/>
          <w:sz w:val="21"/>
        </w:rPr>
        <w:t>s</w:t>
      </w:r>
      <w:r>
        <w:rPr>
          <w:sz w:val="21"/>
        </w:rPr>
        <w:t> </w:t>
      </w:r>
      <w:r>
        <w:rPr>
          <w:spacing w:val="-24"/>
          <w:sz w:val="21"/>
        </w:rPr>
        <w:t> </w:t>
      </w:r>
      <w:r>
        <w:rPr>
          <w:spacing w:val="1"/>
          <w:w w:val="100"/>
          <w:sz w:val="21"/>
        </w:rPr>
        <w:t>f</w:t>
      </w:r>
      <w:r>
        <w:rPr>
          <w:spacing w:val="-3"/>
          <w:w w:val="100"/>
          <w:sz w:val="21"/>
        </w:rPr>
        <w:t>o</w:t>
      </w:r>
      <w:r>
        <w:rPr>
          <w:spacing w:val="-1"/>
          <w:w w:val="100"/>
          <w:sz w:val="21"/>
        </w:rPr>
        <w:t>un</w:t>
      </w:r>
      <w:r>
        <w:rPr>
          <w:w w:val="100"/>
          <w:sz w:val="21"/>
        </w:rPr>
        <w:t>d</w:t>
      </w:r>
      <w:r>
        <w:rPr>
          <w:sz w:val="21"/>
        </w:rPr>
        <w:t> </w:t>
      </w:r>
      <w:r>
        <w:rPr>
          <w:spacing w:val="-23"/>
          <w:sz w:val="21"/>
        </w:rPr>
        <w:t> </w:t>
      </w:r>
      <w:r>
        <w:rPr>
          <w:spacing w:val="-2"/>
          <w:w w:val="100"/>
          <w:sz w:val="21"/>
        </w:rPr>
        <w:t>t</w:t>
      </w:r>
      <w:r>
        <w:rPr>
          <w:w w:val="100"/>
          <w:sz w:val="21"/>
        </w:rPr>
        <w:t>o</w:t>
      </w:r>
      <w:r>
        <w:rPr>
          <w:sz w:val="21"/>
        </w:rPr>
        <w:t> </w:t>
      </w:r>
      <w:r>
        <w:rPr>
          <w:spacing w:val="-26"/>
          <w:sz w:val="21"/>
        </w:rPr>
        <w:t> </w:t>
      </w:r>
      <w:r>
        <w:rPr>
          <w:spacing w:val="-1"/>
          <w:w w:val="100"/>
          <w:sz w:val="21"/>
        </w:rPr>
        <w:t>ha</w:t>
      </w:r>
      <w:r>
        <w:rPr>
          <w:spacing w:val="-3"/>
          <w:w w:val="100"/>
          <w:sz w:val="21"/>
        </w:rPr>
        <w:t>v</w:t>
      </w:r>
      <w:r>
        <w:rPr>
          <w:w w:val="100"/>
          <w:sz w:val="21"/>
        </w:rPr>
        <w:t>e</w:t>
      </w:r>
      <w:r>
        <w:rPr>
          <w:sz w:val="21"/>
        </w:rPr>
        <w:t> </w:t>
      </w:r>
      <w:r>
        <w:rPr>
          <w:spacing w:val="-24"/>
          <w:sz w:val="21"/>
        </w:rPr>
        <w:t> </w:t>
      </w:r>
      <w:r>
        <w:rPr>
          <w:spacing w:val="-1"/>
          <w:w w:val="100"/>
          <w:sz w:val="21"/>
        </w:rPr>
        <w:t>been </w:t>
      </w:r>
      <w:r>
        <w:rPr>
          <w:sz w:val="21"/>
        </w:rPr>
        <w:t>used in the 3</w:t>
      </w:r>
      <w:r>
        <w:rPr>
          <w:sz w:val="21"/>
          <w:vertAlign w:val="superscript"/>
        </w:rPr>
        <w:t>rd</w:t>
      </w:r>
      <w:r>
        <w:rPr>
          <w:sz w:val="21"/>
          <w:vertAlign w:val="baseline"/>
        </w:rPr>
        <w:t> Century A.D. during the Kushana period in Takshshila and</w:t>
      </w:r>
      <w:r>
        <w:rPr>
          <w:spacing w:val="-5"/>
          <w:sz w:val="21"/>
          <w:vertAlign w:val="baseline"/>
        </w:rPr>
        <w:t> </w:t>
      </w:r>
      <w:r>
        <w:rPr>
          <w:sz w:val="21"/>
          <w:vertAlign w:val="baseline"/>
        </w:rPr>
        <w:t>Pakistan…‖</w:t>
      </w:r>
    </w:p>
    <w:p>
      <w:pPr>
        <w:pStyle w:val="BodyText"/>
        <w:spacing w:before="2"/>
        <w:rPr>
          <w:sz w:val="24"/>
        </w:rPr>
      </w:pPr>
    </w:p>
    <w:p>
      <w:pPr>
        <w:pStyle w:val="BodyText"/>
        <w:ind w:left="500"/>
      </w:pPr>
      <w:r>
        <w:rPr/>
        <w:t>Similarly, Dr Jaya Menon (PW 29) also stated that :</w:t>
      </w:r>
    </w:p>
    <w:p>
      <w:pPr>
        <w:pStyle w:val="BodyText"/>
      </w:pPr>
    </w:p>
    <w:p>
      <w:pPr>
        <w:spacing w:before="1"/>
        <w:ind w:left="1940" w:right="0" w:firstLine="0"/>
        <w:jc w:val="both"/>
        <w:rPr>
          <w:sz w:val="21"/>
        </w:rPr>
      </w:pPr>
      <w:r>
        <w:rPr>
          <w:spacing w:val="-1"/>
          <w:w w:val="33"/>
          <w:sz w:val="21"/>
        </w:rPr>
        <w:t>―</w:t>
      </w:r>
      <w:r>
        <w:rPr>
          <w:w w:val="100"/>
          <w:sz w:val="21"/>
        </w:rPr>
        <w:t>…l</w:t>
      </w:r>
      <w:r>
        <w:rPr>
          <w:spacing w:val="-2"/>
          <w:w w:val="100"/>
          <w:sz w:val="21"/>
        </w:rPr>
        <w:t>i</w:t>
      </w:r>
      <w:r>
        <w:rPr>
          <w:spacing w:val="-1"/>
          <w:w w:val="100"/>
          <w:sz w:val="21"/>
        </w:rPr>
        <w:t>m</w:t>
      </w:r>
      <w:r>
        <w:rPr>
          <w:w w:val="100"/>
          <w:sz w:val="21"/>
        </w:rPr>
        <w:t>e</w:t>
      </w:r>
      <w:r>
        <w:rPr>
          <w:spacing w:val="-4"/>
          <w:sz w:val="21"/>
        </w:rPr>
        <w:t> </w:t>
      </w:r>
      <w:r>
        <w:rPr>
          <w:spacing w:val="1"/>
          <w:w w:val="100"/>
          <w:sz w:val="21"/>
        </w:rPr>
        <w:t>m</w:t>
      </w:r>
      <w:r>
        <w:rPr>
          <w:spacing w:val="-1"/>
          <w:w w:val="100"/>
          <w:sz w:val="21"/>
        </w:rPr>
        <w:t>or</w:t>
      </w:r>
      <w:r>
        <w:rPr>
          <w:spacing w:val="-2"/>
          <w:w w:val="100"/>
          <w:sz w:val="21"/>
        </w:rPr>
        <w:t>t</w:t>
      </w:r>
      <w:r>
        <w:rPr>
          <w:spacing w:val="-1"/>
          <w:w w:val="100"/>
          <w:sz w:val="21"/>
        </w:rPr>
        <w:t>a</w:t>
      </w:r>
      <w:r>
        <w:rPr>
          <w:w w:val="100"/>
          <w:sz w:val="21"/>
        </w:rPr>
        <w:t>r</w:t>
      </w:r>
      <w:r>
        <w:rPr>
          <w:spacing w:val="-2"/>
          <w:sz w:val="21"/>
        </w:rPr>
        <w:t> </w:t>
      </w:r>
      <w:r>
        <w:rPr>
          <w:spacing w:val="-2"/>
          <w:w w:val="100"/>
          <w:sz w:val="21"/>
        </w:rPr>
        <w:t>w</w:t>
      </w:r>
      <w:r>
        <w:rPr>
          <w:spacing w:val="-1"/>
          <w:w w:val="100"/>
          <w:sz w:val="21"/>
        </w:rPr>
        <w:t>a</w:t>
      </w:r>
      <w:r>
        <w:rPr>
          <w:w w:val="100"/>
          <w:sz w:val="21"/>
        </w:rPr>
        <w:t>s</w:t>
      </w:r>
      <w:r>
        <w:rPr>
          <w:spacing w:val="-1"/>
          <w:sz w:val="21"/>
        </w:rPr>
        <w:t> </w:t>
      </w:r>
      <w:r>
        <w:rPr>
          <w:spacing w:val="-1"/>
          <w:w w:val="100"/>
          <w:sz w:val="21"/>
        </w:rPr>
        <w:t>d</w:t>
      </w:r>
      <w:r>
        <w:rPr>
          <w:spacing w:val="-3"/>
          <w:w w:val="100"/>
          <w:sz w:val="21"/>
        </w:rPr>
        <w:t>e</w:t>
      </w:r>
      <w:r>
        <w:rPr>
          <w:spacing w:val="1"/>
          <w:w w:val="100"/>
          <w:sz w:val="21"/>
        </w:rPr>
        <w:t>f</w:t>
      </w:r>
      <w:r>
        <w:rPr>
          <w:spacing w:val="-2"/>
          <w:w w:val="100"/>
          <w:sz w:val="21"/>
        </w:rPr>
        <w:t>i</w:t>
      </w:r>
      <w:r>
        <w:rPr>
          <w:spacing w:val="-1"/>
          <w:w w:val="100"/>
          <w:sz w:val="21"/>
        </w:rPr>
        <w:t>n</w:t>
      </w:r>
      <w:r>
        <w:rPr>
          <w:spacing w:val="1"/>
          <w:w w:val="100"/>
          <w:sz w:val="21"/>
        </w:rPr>
        <w:t>i</w:t>
      </w:r>
      <w:r>
        <w:rPr>
          <w:spacing w:val="-4"/>
          <w:w w:val="100"/>
          <w:sz w:val="21"/>
        </w:rPr>
        <w:t>t</w:t>
      </w:r>
      <w:r>
        <w:rPr>
          <w:spacing w:val="-1"/>
          <w:w w:val="100"/>
          <w:sz w:val="21"/>
        </w:rPr>
        <w:t>e</w:t>
      </w:r>
      <w:r>
        <w:rPr>
          <w:spacing w:val="1"/>
          <w:w w:val="100"/>
          <w:sz w:val="21"/>
        </w:rPr>
        <w:t>l</w:t>
      </w:r>
      <w:r>
        <w:rPr>
          <w:w w:val="100"/>
          <w:sz w:val="21"/>
        </w:rPr>
        <w:t>y</w:t>
      </w:r>
      <w:r>
        <w:rPr>
          <w:spacing w:val="-4"/>
          <w:sz w:val="21"/>
        </w:rPr>
        <w:t> </w:t>
      </w:r>
      <w:r>
        <w:rPr>
          <w:spacing w:val="-1"/>
          <w:w w:val="100"/>
          <w:sz w:val="21"/>
        </w:rPr>
        <w:t>use</w:t>
      </w:r>
      <w:r>
        <w:rPr>
          <w:w w:val="100"/>
          <w:sz w:val="21"/>
        </w:rPr>
        <w:t>d</w:t>
      </w:r>
      <w:r>
        <w:rPr>
          <w:spacing w:val="1"/>
          <w:sz w:val="21"/>
        </w:rPr>
        <w:t> </w:t>
      </w:r>
      <w:r>
        <w:rPr>
          <w:spacing w:val="1"/>
          <w:w w:val="100"/>
          <w:sz w:val="21"/>
        </w:rPr>
        <w:t>f</w:t>
      </w:r>
      <w:r>
        <w:rPr>
          <w:spacing w:val="-4"/>
          <w:w w:val="100"/>
          <w:sz w:val="21"/>
        </w:rPr>
        <w:t>r</w:t>
      </w:r>
      <w:r>
        <w:rPr>
          <w:spacing w:val="-3"/>
          <w:w w:val="100"/>
          <w:sz w:val="21"/>
        </w:rPr>
        <w:t>o</w:t>
      </w:r>
      <w:r>
        <w:rPr>
          <w:w w:val="100"/>
          <w:sz w:val="21"/>
        </w:rPr>
        <w:t>m</w:t>
      </w:r>
      <w:r>
        <w:rPr>
          <w:sz w:val="21"/>
        </w:rPr>
        <w:t> </w:t>
      </w:r>
      <w:r>
        <w:rPr>
          <w:spacing w:val="-2"/>
          <w:w w:val="100"/>
          <w:sz w:val="21"/>
        </w:rPr>
        <w:t>N</w:t>
      </w:r>
      <w:r>
        <w:rPr>
          <w:spacing w:val="-1"/>
          <w:w w:val="100"/>
          <w:sz w:val="21"/>
        </w:rPr>
        <w:t>eol</w:t>
      </w:r>
      <w:r>
        <w:rPr>
          <w:w w:val="100"/>
          <w:sz w:val="21"/>
        </w:rPr>
        <w:t>i</w:t>
      </w:r>
      <w:r>
        <w:rPr>
          <w:spacing w:val="-2"/>
          <w:w w:val="100"/>
          <w:sz w:val="21"/>
        </w:rPr>
        <w:t>t</w:t>
      </w:r>
      <w:r>
        <w:rPr>
          <w:spacing w:val="-3"/>
          <w:w w:val="100"/>
          <w:sz w:val="21"/>
        </w:rPr>
        <w:t>h</w:t>
      </w:r>
      <w:r>
        <w:rPr>
          <w:w w:val="100"/>
          <w:sz w:val="21"/>
        </w:rPr>
        <w:t>ic</w:t>
      </w:r>
      <w:r>
        <w:rPr>
          <w:spacing w:val="-1"/>
          <w:sz w:val="21"/>
        </w:rPr>
        <w:t> </w:t>
      </w:r>
      <w:r>
        <w:rPr>
          <w:spacing w:val="-1"/>
          <w:w w:val="100"/>
          <w:sz w:val="21"/>
        </w:rPr>
        <w:t>p</w:t>
      </w:r>
      <w:r>
        <w:rPr>
          <w:spacing w:val="-3"/>
          <w:w w:val="100"/>
          <w:sz w:val="21"/>
        </w:rPr>
        <w:t>e</w:t>
      </w:r>
      <w:r>
        <w:rPr>
          <w:spacing w:val="-1"/>
          <w:w w:val="100"/>
          <w:sz w:val="21"/>
        </w:rPr>
        <w:t>r</w:t>
      </w:r>
      <w:r>
        <w:rPr>
          <w:w w:val="100"/>
          <w:sz w:val="21"/>
        </w:rPr>
        <w:t>i</w:t>
      </w:r>
      <w:r>
        <w:rPr>
          <w:spacing w:val="-1"/>
          <w:w w:val="100"/>
          <w:sz w:val="21"/>
        </w:rPr>
        <w:t>od.</w:t>
      </w:r>
      <w:r>
        <w:rPr>
          <w:w w:val="81"/>
          <w:sz w:val="21"/>
        </w:rPr>
        <w:t>‖</w:t>
      </w:r>
    </w:p>
    <w:p>
      <w:pPr>
        <w:pStyle w:val="BodyText"/>
        <w:rPr>
          <w:sz w:val="24"/>
        </w:rPr>
      </w:pPr>
    </w:p>
    <w:p>
      <w:pPr>
        <w:pStyle w:val="BodyText"/>
        <w:spacing w:before="2"/>
        <w:rPr>
          <w:sz w:val="21"/>
        </w:rPr>
      </w:pPr>
    </w:p>
    <w:p>
      <w:pPr>
        <w:pStyle w:val="BodyText"/>
        <w:ind w:left="500"/>
      </w:pPr>
      <w:r>
        <w:rPr/>
        <w:t>Further elaboration is hence not required on the use of lime surkhi.</w:t>
      </w:r>
    </w:p>
    <w:p>
      <w:pPr>
        <w:pStyle w:val="BodyText"/>
        <w:rPr>
          <w:sz w:val="28"/>
        </w:rPr>
      </w:pPr>
    </w:p>
    <w:p>
      <w:pPr>
        <w:pStyle w:val="BodyText"/>
        <w:spacing w:before="2"/>
        <w:rPr>
          <w:sz w:val="22"/>
        </w:rPr>
      </w:pPr>
    </w:p>
    <w:p>
      <w:pPr>
        <w:pStyle w:val="Heading4"/>
        <w:ind w:left="570"/>
        <w:jc w:val="left"/>
        <w:rPr>
          <w:i/>
        </w:rPr>
      </w:pPr>
      <w:r>
        <w:rPr>
          <w:i/>
        </w:rPr>
        <w:t>Architectural fragments</w:t>
      </w:r>
    </w:p>
    <w:p>
      <w:pPr>
        <w:pStyle w:val="BodyText"/>
        <w:spacing w:before="8"/>
        <w:rPr>
          <w:i/>
          <w:sz w:val="38"/>
        </w:rPr>
      </w:pPr>
    </w:p>
    <w:p>
      <w:pPr>
        <w:pStyle w:val="ListParagraph"/>
        <w:numPr>
          <w:ilvl w:val="0"/>
          <w:numId w:val="166"/>
        </w:numPr>
        <w:tabs>
          <w:tab w:pos="1221" w:val="left" w:leader="none"/>
        </w:tabs>
        <w:spacing w:line="480" w:lineRule="auto" w:before="0" w:after="0"/>
        <w:ind w:left="500" w:right="435" w:firstLine="0"/>
        <w:jc w:val="both"/>
        <w:rPr>
          <w:sz w:val="25"/>
        </w:rPr>
      </w:pPr>
      <w:r>
        <w:rPr>
          <w:sz w:val="25"/>
        </w:rPr>
        <w:t>Archaeological excavation of the disputed site at Ayodhya resulted in the recovery of architectural fragments such as pillars, pilasters</w:t>
      </w:r>
      <w:r>
        <w:rPr>
          <w:sz w:val="25"/>
          <w:vertAlign w:val="superscript"/>
        </w:rPr>
        <w:t>292</w:t>
      </w:r>
      <w:r>
        <w:rPr>
          <w:sz w:val="25"/>
          <w:vertAlign w:val="baseline"/>
        </w:rPr>
        <w:t>, broken door jambs, lintels, brackets, etc. These were retrieved as </w:t>
      </w:r>
      <w:r>
        <w:rPr>
          <w:i/>
          <w:sz w:val="25"/>
          <w:vertAlign w:val="baseline"/>
        </w:rPr>
        <w:t>disjecta membra </w:t>
      </w:r>
      <w:r>
        <w:rPr>
          <w:sz w:val="25"/>
          <w:vertAlign w:val="baseline"/>
        </w:rPr>
        <w:t>or broken fragments from areas ranging from the surface of the mound to a considerable depth in the trenches which were</w:t>
      </w:r>
      <w:r>
        <w:rPr>
          <w:spacing w:val="-8"/>
          <w:sz w:val="25"/>
          <w:vertAlign w:val="baseline"/>
        </w:rPr>
        <w:t> </w:t>
      </w:r>
      <w:r>
        <w:rPr>
          <w:sz w:val="25"/>
          <w:vertAlign w:val="baseline"/>
        </w:rPr>
        <w:t>excavated.</w:t>
      </w:r>
    </w:p>
    <w:p>
      <w:pPr>
        <w:pStyle w:val="BodyText"/>
        <w:rPr>
          <w:sz w:val="20"/>
        </w:rPr>
      </w:pPr>
    </w:p>
    <w:p>
      <w:pPr>
        <w:pStyle w:val="BodyText"/>
        <w:rPr>
          <w:sz w:val="20"/>
        </w:rPr>
      </w:pPr>
    </w:p>
    <w:p>
      <w:pPr>
        <w:pStyle w:val="BodyText"/>
        <w:rPr>
          <w:sz w:val="20"/>
        </w:rPr>
      </w:pPr>
    </w:p>
    <w:p>
      <w:pPr>
        <w:pStyle w:val="BodyText"/>
        <w:spacing w:before="7"/>
        <w:rPr>
          <w:sz w:val="22"/>
        </w:rPr>
      </w:pPr>
      <w:r>
        <w:rPr/>
        <w:pict>
          <v:rect style="position:absolute;margin-left:72.024002pt;margin-top:14.977669pt;width:144.020pt;height:.599980pt;mso-position-horizontal-relative:page;mso-position-vertical-relative:paragraph;z-index:-15646208;mso-wrap-distance-left:0;mso-wrap-distance-right:0" filled="true" fillcolor="#000000" stroked="false">
            <v:fill type="solid"/>
            <w10:wrap type="topAndBottom"/>
          </v:rect>
        </w:pict>
      </w:r>
    </w:p>
    <w:p>
      <w:pPr>
        <w:spacing w:line="237" w:lineRule="auto" w:before="82"/>
        <w:ind w:left="500" w:right="433" w:firstLine="0"/>
        <w:jc w:val="both"/>
        <w:rPr>
          <w:sz w:val="18"/>
        </w:rPr>
      </w:pPr>
      <w:r>
        <w:rPr>
          <w:sz w:val="18"/>
          <w:vertAlign w:val="superscript"/>
        </w:rPr>
        <w:t>292</w:t>
      </w:r>
      <w:r>
        <w:rPr>
          <w:sz w:val="18"/>
          <w:vertAlign w:val="baseline"/>
        </w:rPr>
        <w:t> ―Pilaster is a shallow pier or rectangular form projecting from a wall and, in classical architecture, conforming to one of the orders and carrying an entablature.‖ - Michael Clarke, The Concise Oxford Dictionary of Art Terms</w:t>
      </w:r>
      <w:r>
        <w:rPr>
          <w:color w:val="212121"/>
          <w:sz w:val="18"/>
          <w:vertAlign w:val="baseline"/>
        </w:rPr>
        <w:t>, </w:t>
      </w:r>
      <w:r>
        <w:rPr>
          <w:i/>
          <w:sz w:val="18"/>
          <w:vertAlign w:val="baseline"/>
        </w:rPr>
        <w:t>Oxford Paperback Reference, </w:t>
      </w:r>
      <w:r>
        <w:rPr>
          <w:sz w:val="18"/>
          <w:vertAlign w:val="baseline"/>
        </w:rPr>
        <w:t>OUP Oxford, 2010, pg 191</w:t>
      </w:r>
    </w:p>
    <w:p>
      <w:pPr>
        <w:spacing w:after="0" w:line="237" w:lineRule="auto"/>
        <w:jc w:val="both"/>
        <w:rPr>
          <w:sz w:val="18"/>
        </w:rPr>
        <w:sectPr>
          <w:pgSz w:w="11910" w:h="16840"/>
          <w:pgMar w:header="721" w:footer="1014" w:top="1300" w:bottom="1200" w:left="940" w:right="1000"/>
        </w:sectPr>
      </w:pPr>
    </w:p>
    <w:p>
      <w:pPr>
        <w:pStyle w:val="BodyText"/>
        <w:spacing w:line="480" w:lineRule="auto" w:before="124"/>
        <w:ind w:left="500" w:right="445"/>
        <w:jc w:val="both"/>
      </w:pPr>
      <w:r>
        <w:rPr/>
        <w:t>Chapter VI of the ASI report which deals with architectural fragments states that among the recoveries, the notable ones are:</w:t>
      </w:r>
    </w:p>
    <w:p>
      <w:pPr>
        <w:spacing w:line="276" w:lineRule="auto" w:before="159"/>
        <w:ind w:left="1940" w:right="2259" w:firstLine="0"/>
        <w:jc w:val="both"/>
        <w:rPr>
          <w:sz w:val="21"/>
        </w:rPr>
      </w:pPr>
      <w:r>
        <w:rPr>
          <w:spacing w:val="-1"/>
          <w:w w:val="33"/>
          <w:sz w:val="21"/>
        </w:rPr>
        <w:t>―</w:t>
      </w:r>
      <w:r>
        <w:rPr>
          <w:w w:val="100"/>
          <w:sz w:val="21"/>
        </w:rPr>
        <w:t>A</w:t>
      </w:r>
      <w:r>
        <w:rPr>
          <w:sz w:val="21"/>
        </w:rPr>
        <w:t> </w:t>
      </w:r>
      <w:r>
        <w:rPr>
          <w:spacing w:val="-9"/>
          <w:sz w:val="21"/>
        </w:rPr>
        <w:t> </w:t>
      </w:r>
      <w:r>
        <w:rPr>
          <w:spacing w:val="1"/>
          <w:w w:val="100"/>
          <w:sz w:val="21"/>
        </w:rPr>
        <w:t>f</w:t>
      </w:r>
      <w:r>
        <w:rPr>
          <w:spacing w:val="-1"/>
          <w:w w:val="100"/>
          <w:sz w:val="21"/>
        </w:rPr>
        <w:t>e</w:t>
      </w:r>
      <w:r>
        <w:rPr>
          <w:w w:val="100"/>
          <w:sz w:val="21"/>
        </w:rPr>
        <w:t>w</w:t>
      </w:r>
      <w:r>
        <w:rPr>
          <w:sz w:val="21"/>
        </w:rPr>
        <w:t> </w:t>
      </w:r>
      <w:r>
        <w:rPr>
          <w:spacing w:val="-11"/>
          <w:sz w:val="21"/>
        </w:rPr>
        <w:t> </w:t>
      </w:r>
      <w:r>
        <w:rPr>
          <w:spacing w:val="-2"/>
          <w:w w:val="100"/>
          <w:sz w:val="21"/>
        </w:rPr>
        <w:t>i</w:t>
      </w:r>
      <w:r>
        <w:rPr>
          <w:spacing w:val="-1"/>
          <w:w w:val="100"/>
          <w:sz w:val="21"/>
        </w:rPr>
        <w:t>ntac</w:t>
      </w:r>
      <w:r>
        <w:rPr>
          <w:w w:val="100"/>
          <w:sz w:val="21"/>
        </w:rPr>
        <w:t>t</w:t>
      </w:r>
      <w:r>
        <w:rPr>
          <w:sz w:val="21"/>
        </w:rPr>
        <w:t> </w:t>
      </w:r>
      <w:r>
        <w:rPr>
          <w:spacing w:val="-10"/>
          <w:sz w:val="21"/>
        </w:rPr>
        <w:t> </w:t>
      </w:r>
      <w:r>
        <w:rPr>
          <w:spacing w:val="-1"/>
          <w:w w:val="100"/>
          <w:sz w:val="21"/>
        </w:rPr>
        <w:t>arc</w:t>
      </w:r>
      <w:r>
        <w:rPr>
          <w:spacing w:val="-3"/>
          <w:w w:val="100"/>
          <w:sz w:val="21"/>
        </w:rPr>
        <w:t>h</w:t>
      </w:r>
      <w:r>
        <w:rPr>
          <w:w w:val="100"/>
          <w:sz w:val="21"/>
        </w:rPr>
        <w:t>i</w:t>
      </w:r>
      <w:r>
        <w:rPr>
          <w:spacing w:val="-2"/>
          <w:w w:val="100"/>
          <w:sz w:val="21"/>
        </w:rPr>
        <w:t>t</w:t>
      </w:r>
      <w:r>
        <w:rPr>
          <w:spacing w:val="-1"/>
          <w:w w:val="100"/>
          <w:sz w:val="21"/>
        </w:rPr>
        <w:t>ectu</w:t>
      </w:r>
      <w:r>
        <w:rPr>
          <w:spacing w:val="-3"/>
          <w:w w:val="100"/>
          <w:sz w:val="21"/>
        </w:rPr>
        <w:t>r</w:t>
      </w:r>
      <w:r>
        <w:rPr>
          <w:spacing w:val="-1"/>
          <w:w w:val="100"/>
          <w:sz w:val="21"/>
        </w:rPr>
        <w:t>a</w:t>
      </w:r>
      <w:r>
        <w:rPr>
          <w:w w:val="100"/>
          <w:sz w:val="21"/>
        </w:rPr>
        <w:t>l</w:t>
      </w:r>
      <w:r>
        <w:rPr>
          <w:sz w:val="21"/>
        </w:rPr>
        <w:t> </w:t>
      </w:r>
      <w:r>
        <w:rPr>
          <w:spacing w:val="-11"/>
          <w:sz w:val="21"/>
        </w:rPr>
        <w:t> </w:t>
      </w:r>
      <w:r>
        <w:rPr>
          <w:spacing w:val="1"/>
          <w:w w:val="100"/>
          <w:sz w:val="21"/>
        </w:rPr>
        <w:t>m</w:t>
      </w:r>
      <w:r>
        <w:rPr>
          <w:spacing w:val="-3"/>
          <w:w w:val="100"/>
          <w:sz w:val="21"/>
        </w:rPr>
        <w:t>e</w:t>
      </w:r>
      <w:r>
        <w:rPr>
          <w:spacing w:val="1"/>
          <w:w w:val="100"/>
          <w:sz w:val="21"/>
        </w:rPr>
        <w:t>m</w:t>
      </w:r>
      <w:r>
        <w:rPr>
          <w:spacing w:val="-3"/>
          <w:w w:val="100"/>
          <w:sz w:val="21"/>
        </w:rPr>
        <w:t>b</w:t>
      </w:r>
      <w:r>
        <w:rPr>
          <w:spacing w:val="-1"/>
          <w:w w:val="100"/>
          <w:sz w:val="21"/>
        </w:rPr>
        <w:t>er</w:t>
      </w:r>
      <w:r>
        <w:rPr>
          <w:w w:val="100"/>
          <w:sz w:val="21"/>
        </w:rPr>
        <w:t>s</w:t>
      </w:r>
      <w:r>
        <w:rPr>
          <w:sz w:val="21"/>
        </w:rPr>
        <w:t> </w:t>
      </w:r>
      <w:r>
        <w:rPr>
          <w:spacing w:val="-10"/>
          <w:sz w:val="21"/>
        </w:rPr>
        <w:t> </w:t>
      </w:r>
      <w:r>
        <w:rPr>
          <w:spacing w:val="-2"/>
          <w:w w:val="100"/>
          <w:sz w:val="21"/>
        </w:rPr>
        <w:t>li</w:t>
      </w:r>
      <w:r>
        <w:rPr>
          <w:spacing w:val="2"/>
          <w:w w:val="100"/>
          <w:sz w:val="21"/>
        </w:rPr>
        <w:t>k</w:t>
      </w:r>
      <w:r>
        <w:rPr>
          <w:w w:val="100"/>
          <w:sz w:val="21"/>
        </w:rPr>
        <w:t>e</w:t>
      </w:r>
      <w:r>
        <w:rPr>
          <w:sz w:val="21"/>
        </w:rPr>
        <w:t> </w:t>
      </w:r>
      <w:r>
        <w:rPr>
          <w:spacing w:val="-12"/>
          <w:sz w:val="21"/>
        </w:rPr>
        <w:t> </w:t>
      </w:r>
      <w:r>
        <w:rPr>
          <w:spacing w:val="-2"/>
          <w:w w:val="100"/>
          <w:sz w:val="21"/>
        </w:rPr>
        <w:t>A</w:t>
      </w:r>
      <w:r>
        <w:rPr>
          <w:spacing w:val="1"/>
          <w:w w:val="100"/>
          <w:sz w:val="21"/>
        </w:rPr>
        <w:t>m</w:t>
      </w:r>
      <w:r>
        <w:rPr>
          <w:spacing w:val="-2"/>
          <w:w w:val="100"/>
          <w:sz w:val="21"/>
        </w:rPr>
        <w:t>l</w:t>
      </w:r>
      <w:r>
        <w:rPr>
          <w:spacing w:val="-3"/>
          <w:w w:val="100"/>
          <w:sz w:val="21"/>
        </w:rPr>
        <w:t>a</w:t>
      </w:r>
      <w:r>
        <w:rPr>
          <w:spacing w:val="2"/>
          <w:w w:val="100"/>
          <w:sz w:val="21"/>
        </w:rPr>
        <w:t>k</w:t>
      </w:r>
      <w:r>
        <w:rPr>
          <w:w w:val="100"/>
          <w:sz w:val="21"/>
        </w:rPr>
        <w:t>a</w:t>
      </w:r>
      <w:r>
        <w:rPr>
          <w:sz w:val="21"/>
        </w:rPr>
        <w:t> </w:t>
      </w:r>
      <w:r>
        <w:rPr>
          <w:spacing w:val="-12"/>
          <w:sz w:val="21"/>
        </w:rPr>
        <w:t> </w:t>
      </w:r>
      <w:r>
        <w:rPr>
          <w:spacing w:val="-1"/>
          <w:w w:val="100"/>
          <w:sz w:val="21"/>
        </w:rPr>
        <w:t>(p</w:t>
      </w:r>
      <w:r>
        <w:rPr>
          <w:spacing w:val="1"/>
          <w:w w:val="100"/>
          <w:sz w:val="21"/>
        </w:rPr>
        <w:t>l</w:t>
      </w:r>
      <w:r>
        <w:rPr>
          <w:spacing w:val="-1"/>
          <w:w w:val="100"/>
          <w:sz w:val="21"/>
        </w:rPr>
        <w:t>at</w:t>
      </w:r>
      <w:r>
        <w:rPr>
          <w:w w:val="100"/>
          <w:sz w:val="21"/>
        </w:rPr>
        <w:t>e</w:t>
      </w:r>
      <w:r>
        <w:rPr>
          <w:sz w:val="21"/>
        </w:rPr>
        <w:t> </w:t>
      </w:r>
      <w:r>
        <w:rPr>
          <w:spacing w:val="-9"/>
          <w:sz w:val="21"/>
        </w:rPr>
        <w:t> </w:t>
      </w:r>
      <w:r>
        <w:rPr>
          <w:spacing w:val="-1"/>
          <w:w w:val="100"/>
          <w:sz w:val="21"/>
        </w:rPr>
        <w:t>81, </w:t>
      </w:r>
      <w:r>
        <w:rPr>
          <w:sz w:val="21"/>
        </w:rPr>
        <w:t>figure 59) pillar with Ghata-Pallava base with dwarf beings as weight-bearers and Kirtimukhas (plates 82-83, figure 59) to mention a few, have also been recovered. Besides, there are a number of architectural members which have been decorated with deeply carved foliage motifs. This pattern is a </w:t>
      </w:r>
      <w:r>
        <w:rPr>
          <w:spacing w:val="-1"/>
          <w:w w:val="100"/>
          <w:sz w:val="21"/>
        </w:rPr>
        <w:t>d</w:t>
      </w:r>
      <w:r>
        <w:rPr>
          <w:spacing w:val="1"/>
          <w:w w:val="100"/>
          <w:sz w:val="21"/>
        </w:rPr>
        <w:t>i</w:t>
      </w:r>
      <w:r>
        <w:rPr>
          <w:w w:val="100"/>
          <w:sz w:val="21"/>
        </w:rPr>
        <w:t>s</w:t>
      </w:r>
      <w:r>
        <w:rPr>
          <w:spacing w:val="-2"/>
          <w:w w:val="100"/>
          <w:sz w:val="21"/>
        </w:rPr>
        <w:t>ti</w:t>
      </w:r>
      <w:r>
        <w:rPr>
          <w:spacing w:val="-1"/>
          <w:w w:val="100"/>
          <w:sz w:val="21"/>
        </w:rPr>
        <w:t>nc</w:t>
      </w:r>
      <w:r>
        <w:rPr>
          <w:w w:val="100"/>
          <w:sz w:val="21"/>
        </w:rPr>
        <w:t>t</w:t>
      </w:r>
      <w:r>
        <w:rPr>
          <w:spacing w:val="26"/>
          <w:sz w:val="21"/>
        </w:rPr>
        <w:t> </w:t>
      </w:r>
      <w:r>
        <w:rPr>
          <w:spacing w:val="-1"/>
          <w:w w:val="100"/>
          <w:sz w:val="21"/>
        </w:rPr>
        <w:t>o</w:t>
      </w:r>
      <w:r>
        <w:rPr>
          <w:spacing w:val="-3"/>
          <w:w w:val="100"/>
          <w:sz w:val="21"/>
        </w:rPr>
        <w:t>n</w:t>
      </w:r>
      <w:r>
        <w:rPr>
          <w:w w:val="100"/>
          <w:sz w:val="21"/>
        </w:rPr>
        <w:t>e</w:t>
      </w:r>
      <w:r>
        <w:rPr>
          <w:spacing w:val="27"/>
          <w:sz w:val="21"/>
        </w:rPr>
        <w:t> </w:t>
      </w:r>
      <w:r>
        <w:rPr>
          <w:spacing w:val="-1"/>
          <w:w w:val="100"/>
          <w:sz w:val="21"/>
        </w:rPr>
        <w:t>re</w:t>
      </w:r>
      <w:r>
        <w:rPr>
          <w:spacing w:val="-3"/>
          <w:w w:val="100"/>
          <w:sz w:val="21"/>
        </w:rPr>
        <w:t>se</w:t>
      </w:r>
      <w:r>
        <w:rPr>
          <w:spacing w:val="1"/>
          <w:w w:val="100"/>
          <w:sz w:val="21"/>
        </w:rPr>
        <w:t>m</w:t>
      </w:r>
      <w:r>
        <w:rPr>
          <w:spacing w:val="-3"/>
          <w:w w:val="100"/>
          <w:sz w:val="21"/>
        </w:rPr>
        <w:t>b</w:t>
      </w:r>
      <w:r>
        <w:rPr>
          <w:w w:val="100"/>
          <w:sz w:val="21"/>
        </w:rPr>
        <w:t>li</w:t>
      </w:r>
      <w:r>
        <w:rPr>
          <w:spacing w:val="-3"/>
          <w:w w:val="100"/>
          <w:sz w:val="21"/>
        </w:rPr>
        <w:t>n</w:t>
      </w:r>
      <w:r>
        <w:rPr>
          <w:w w:val="100"/>
          <w:sz w:val="21"/>
        </w:rPr>
        <w:t>g</w:t>
      </w:r>
      <w:r>
        <w:rPr>
          <w:spacing w:val="27"/>
          <w:sz w:val="21"/>
        </w:rPr>
        <w:t> </w:t>
      </w:r>
      <w:r>
        <w:rPr>
          <w:spacing w:val="-2"/>
          <w:w w:val="100"/>
          <w:sz w:val="21"/>
        </w:rPr>
        <w:t>li</w:t>
      </w:r>
      <w:r>
        <w:rPr>
          <w:w w:val="100"/>
          <w:sz w:val="21"/>
        </w:rPr>
        <w:t>ke</w:t>
      </w:r>
      <w:r>
        <w:rPr>
          <w:spacing w:val="28"/>
          <w:sz w:val="21"/>
        </w:rPr>
        <w:t> </w:t>
      </w:r>
      <w:r>
        <w:rPr>
          <w:spacing w:val="-2"/>
          <w:w w:val="100"/>
          <w:sz w:val="21"/>
        </w:rPr>
        <w:t>t</w:t>
      </w:r>
      <w:r>
        <w:rPr>
          <w:spacing w:val="-1"/>
          <w:w w:val="100"/>
          <w:sz w:val="21"/>
        </w:rPr>
        <w:t>ha</w:t>
      </w:r>
      <w:r>
        <w:rPr>
          <w:w w:val="100"/>
          <w:sz w:val="21"/>
        </w:rPr>
        <w:t>t</w:t>
      </w:r>
      <w:r>
        <w:rPr>
          <w:spacing w:val="26"/>
          <w:sz w:val="21"/>
        </w:rPr>
        <w:t> </w:t>
      </w:r>
      <w:r>
        <w:rPr>
          <w:spacing w:val="-3"/>
          <w:w w:val="100"/>
          <w:sz w:val="21"/>
        </w:rPr>
        <w:t>o</w:t>
      </w:r>
      <w:r>
        <w:rPr>
          <w:w w:val="100"/>
          <w:sz w:val="21"/>
        </w:rPr>
        <w:t>f</w:t>
      </w:r>
      <w:r>
        <w:rPr>
          <w:spacing w:val="28"/>
          <w:sz w:val="21"/>
        </w:rPr>
        <w:t> </w:t>
      </w:r>
      <w:r>
        <w:rPr>
          <w:spacing w:val="-1"/>
          <w:w w:val="33"/>
          <w:sz w:val="21"/>
        </w:rPr>
        <w:t>―</w:t>
      </w:r>
      <w:r>
        <w:rPr>
          <w:w w:val="100"/>
          <w:sz w:val="21"/>
        </w:rPr>
        <w:t>s</w:t>
      </w:r>
      <w:r>
        <w:rPr>
          <w:spacing w:val="-2"/>
          <w:w w:val="100"/>
          <w:sz w:val="21"/>
        </w:rPr>
        <w:t>t</w:t>
      </w:r>
      <w:r>
        <w:rPr>
          <w:spacing w:val="-1"/>
          <w:w w:val="100"/>
          <w:sz w:val="21"/>
        </w:rPr>
        <w:t>e</w:t>
      </w:r>
      <w:r>
        <w:rPr>
          <w:spacing w:val="-3"/>
          <w:w w:val="100"/>
          <w:sz w:val="21"/>
        </w:rPr>
        <w:t>n</w:t>
      </w:r>
      <w:r>
        <w:rPr>
          <w:w w:val="100"/>
          <w:sz w:val="21"/>
        </w:rPr>
        <w:t>c</w:t>
      </w:r>
      <w:r>
        <w:rPr>
          <w:spacing w:val="-2"/>
          <w:w w:val="100"/>
          <w:sz w:val="21"/>
        </w:rPr>
        <w:t>i</w:t>
      </w:r>
      <w:r>
        <w:rPr>
          <w:w w:val="100"/>
          <w:sz w:val="21"/>
        </w:rPr>
        <w:t>l</w:t>
      </w:r>
      <w:r>
        <w:rPr>
          <w:w w:val="81"/>
          <w:sz w:val="21"/>
        </w:rPr>
        <w:t>‖</w:t>
      </w:r>
      <w:r>
        <w:rPr>
          <w:spacing w:val="27"/>
          <w:sz w:val="21"/>
        </w:rPr>
        <w:t> </w:t>
      </w:r>
      <w:r>
        <w:rPr>
          <w:spacing w:val="-2"/>
          <w:w w:val="100"/>
          <w:sz w:val="21"/>
        </w:rPr>
        <w:t>w</w:t>
      </w:r>
      <w:r>
        <w:rPr>
          <w:spacing w:val="-1"/>
          <w:w w:val="100"/>
          <w:sz w:val="21"/>
        </w:rPr>
        <w:t>o</w:t>
      </w:r>
      <w:r>
        <w:rPr>
          <w:spacing w:val="-3"/>
          <w:w w:val="100"/>
          <w:sz w:val="21"/>
        </w:rPr>
        <w:t>r</w:t>
      </w:r>
      <w:r>
        <w:rPr>
          <w:w w:val="100"/>
          <w:sz w:val="21"/>
        </w:rPr>
        <w:t>k</w:t>
      </w:r>
      <w:r>
        <w:rPr>
          <w:sz w:val="21"/>
        </w:rPr>
        <w:t> </w:t>
      </w:r>
      <w:r>
        <w:rPr>
          <w:spacing w:val="-29"/>
          <w:sz w:val="21"/>
        </w:rPr>
        <w:t> </w:t>
      </w:r>
      <w:r>
        <w:rPr>
          <w:spacing w:val="-4"/>
          <w:w w:val="100"/>
          <w:sz w:val="21"/>
        </w:rPr>
        <w:t>(</w:t>
      </w:r>
      <w:r>
        <w:rPr>
          <w:spacing w:val="-1"/>
          <w:w w:val="100"/>
          <w:sz w:val="21"/>
        </w:rPr>
        <w:t>p</w:t>
      </w:r>
      <w:r>
        <w:rPr>
          <w:spacing w:val="1"/>
          <w:w w:val="100"/>
          <w:sz w:val="21"/>
        </w:rPr>
        <w:t>l</w:t>
      </w:r>
      <w:r>
        <w:rPr>
          <w:spacing w:val="-1"/>
          <w:w w:val="100"/>
          <w:sz w:val="21"/>
        </w:rPr>
        <w:t>ate</w:t>
      </w:r>
      <w:r>
        <w:rPr>
          <w:w w:val="100"/>
          <w:sz w:val="21"/>
        </w:rPr>
        <w:t>s</w:t>
      </w:r>
      <w:r>
        <w:rPr>
          <w:spacing w:val="25"/>
          <w:sz w:val="21"/>
        </w:rPr>
        <w:t> </w:t>
      </w:r>
      <w:r>
        <w:rPr>
          <w:spacing w:val="-1"/>
          <w:w w:val="100"/>
          <w:sz w:val="21"/>
        </w:rPr>
        <w:t>8</w:t>
      </w:r>
      <w:r>
        <w:rPr>
          <w:spacing w:val="5"/>
          <w:w w:val="100"/>
          <w:sz w:val="21"/>
        </w:rPr>
        <w:t>6</w:t>
      </w:r>
      <w:r>
        <w:rPr>
          <w:w w:val="100"/>
          <w:sz w:val="21"/>
        </w:rPr>
        <w:t>- </w:t>
      </w:r>
      <w:r>
        <w:rPr>
          <w:sz w:val="21"/>
        </w:rPr>
        <w:t>87). It may be pointed out that the various architectural members with similar decorative designs have been found used in the foundation of one of the major brick structures (wall 16) (see Chapter IV- Structures) exposed in these excavations.</w:t>
      </w:r>
    </w:p>
    <w:p>
      <w:pPr>
        <w:spacing w:line="276" w:lineRule="auto" w:before="0"/>
        <w:ind w:left="1940" w:right="2261" w:firstLine="0"/>
        <w:jc w:val="both"/>
        <w:rPr>
          <w:sz w:val="21"/>
        </w:rPr>
      </w:pPr>
      <w:r>
        <w:rPr>
          <w:sz w:val="21"/>
        </w:rPr>
        <w:t>The aforesaid pillars and other decorative architectural members of this site like fragment of broken jamb with semi pilaster (plate 85), fragment of an octagonal shaft of Pillar (plate 84), a square slab with </w:t>
      </w:r>
      <w:r>
        <w:rPr>
          <w:i/>
          <w:sz w:val="21"/>
        </w:rPr>
        <w:t>Srivatsa </w:t>
      </w:r>
      <w:r>
        <w:rPr>
          <w:sz w:val="21"/>
        </w:rPr>
        <w:t>motif (plate 88), fragment of lotus medallion motif (plates 89-90) emphatically speak about their association with the temple architecture. Stylistically, these architectural members in general and pillars in particular may be placed in a time bracket of tenth- twelfth Century A.D. It is also pertinent to note that there are a few architectural members (plates 92-94), which can clearly be associated with the Islamic architecture on stylistic grounds, which might belong to sixteenth century A.D. onwards.</w:t>
      </w:r>
    </w:p>
    <w:p>
      <w:pPr>
        <w:spacing w:line="276" w:lineRule="auto" w:before="2"/>
        <w:ind w:left="1940" w:right="2261" w:firstLine="0"/>
        <w:jc w:val="both"/>
        <w:rPr>
          <w:sz w:val="21"/>
        </w:rPr>
      </w:pPr>
      <w:r>
        <w:rPr>
          <w:sz w:val="21"/>
        </w:rPr>
        <w:t>In addition to the architectural fragments, a highly mutilated sculpture of divine couple seated in </w:t>
      </w:r>
      <w:r>
        <w:rPr>
          <w:i/>
          <w:sz w:val="21"/>
        </w:rPr>
        <w:t>alinganamudra </w:t>
      </w:r>
      <w:r>
        <w:rPr>
          <w:sz w:val="21"/>
        </w:rPr>
        <w:t>has also been recovered. The extant remain depicts the waist, thigh and foot (plate 235).‖</w:t>
      </w:r>
    </w:p>
    <w:p>
      <w:pPr>
        <w:pStyle w:val="BodyText"/>
        <w:rPr>
          <w:sz w:val="24"/>
        </w:rPr>
      </w:pPr>
    </w:p>
    <w:p>
      <w:pPr>
        <w:pStyle w:val="BodyText"/>
        <w:spacing w:before="6"/>
        <w:rPr>
          <w:sz w:val="28"/>
        </w:rPr>
      </w:pPr>
    </w:p>
    <w:p>
      <w:pPr>
        <w:pStyle w:val="ListParagraph"/>
        <w:numPr>
          <w:ilvl w:val="0"/>
          <w:numId w:val="166"/>
        </w:numPr>
        <w:tabs>
          <w:tab w:pos="1221" w:val="left" w:leader="none"/>
        </w:tabs>
        <w:spacing w:line="480" w:lineRule="auto" w:before="0" w:after="0"/>
        <w:ind w:left="500" w:right="444" w:firstLine="0"/>
        <w:jc w:val="both"/>
        <w:rPr>
          <w:sz w:val="25"/>
        </w:rPr>
      </w:pPr>
      <w:r>
        <w:rPr>
          <w:sz w:val="25"/>
        </w:rPr>
        <w:t>During the course of the hearing, we have had the benefit of perusing the plates depicting the photographs of the architectural fragments. Ms Meenakshi </w:t>
      </w:r>
      <w:r>
        <w:rPr>
          <w:spacing w:val="-1"/>
          <w:w w:val="99"/>
          <w:sz w:val="25"/>
        </w:rPr>
        <w:t>A</w:t>
      </w:r>
      <w:r>
        <w:rPr>
          <w:w w:val="99"/>
          <w:sz w:val="25"/>
        </w:rPr>
        <w:t>r</w:t>
      </w:r>
      <w:r>
        <w:rPr>
          <w:spacing w:val="-1"/>
          <w:w w:val="99"/>
          <w:sz w:val="25"/>
        </w:rPr>
        <w:t>o</w:t>
      </w:r>
      <w:r>
        <w:rPr>
          <w:w w:val="99"/>
          <w:sz w:val="25"/>
        </w:rPr>
        <w:t>r</w:t>
      </w:r>
      <w:r>
        <w:rPr>
          <w:spacing w:val="-1"/>
          <w:w w:val="99"/>
          <w:sz w:val="25"/>
        </w:rPr>
        <w:t>a</w:t>
      </w:r>
      <w:r>
        <w:rPr>
          <w:w w:val="99"/>
          <w:sz w:val="25"/>
        </w:rPr>
        <w:t>,</w:t>
      </w:r>
      <w:r>
        <w:rPr>
          <w:spacing w:val="5"/>
          <w:sz w:val="25"/>
        </w:rPr>
        <w:t> </w:t>
      </w:r>
      <w:r>
        <w:rPr>
          <w:spacing w:val="-1"/>
          <w:w w:val="99"/>
          <w:sz w:val="25"/>
        </w:rPr>
        <w:t>lea</w:t>
      </w:r>
      <w:r>
        <w:rPr>
          <w:spacing w:val="1"/>
          <w:w w:val="99"/>
          <w:sz w:val="25"/>
        </w:rPr>
        <w:t>r</w:t>
      </w:r>
      <w:r>
        <w:rPr>
          <w:spacing w:val="-1"/>
          <w:w w:val="99"/>
          <w:sz w:val="25"/>
        </w:rPr>
        <w:t>n</w:t>
      </w:r>
      <w:r>
        <w:rPr>
          <w:w w:val="99"/>
          <w:sz w:val="25"/>
        </w:rPr>
        <w:t>ed</w:t>
      </w:r>
      <w:r>
        <w:rPr>
          <w:spacing w:val="5"/>
          <w:sz w:val="25"/>
        </w:rPr>
        <w:t> </w:t>
      </w:r>
      <w:r>
        <w:rPr>
          <w:spacing w:val="-1"/>
          <w:w w:val="99"/>
          <w:sz w:val="25"/>
        </w:rPr>
        <w:t>Se</w:t>
      </w:r>
      <w:r>
        <w:rPr>
          <w:w w:val="99"/>
          <w:sz w:val="25"/>
        </w:rPr>
        <w:t>n</w:t>
      </w:r>
      <w:r>
        <w:rPr>
          <w:spacing w:val="-1"/>
          <w:w w:val="99"/>
          <w:sz w:val="25"/>
        </w:rPr>
        <w:t>io</w:t>
      </w:r>
      <w:r>
        <w:rPr>
          <w:w w:val="99"/>
          <w:sz w:val="25"/>
        </w:rPr>
        <w:t>r</w:t>
      </w:r>
      <w:r>
        <w:rPr>
          <w:spacing w:val="5"/>
          <w:sz w:val="25"/>
        </w:rPr>
        <w:t> </w:t>
      </w:r>
      <w:r>
        <w:rPr>
          <w:spacing w:val="-1"/>
          <w:w w:val="99"/>
          <w:sz w:val="25"/>
        </w:rPr>
        <w:t>Cou</w:t>
      </w:r>
      <w:r>
        <w:rPr>
          <w:w w:val="99"/>
          <w:sz w:val="25"/>
        </w:rPr>
        <w:t>nsel</w:t>
      </w:r>
      <w:r>
        <w:rPr>
          <w:spacing w:val="4"/>
          <w:sz w:val="25"/>
        </w:rPr>
        <w:t> </w:t>
      </w:r>
      <w:r>
        <w:rPr>
          <w:w w:val="99"/>
          <w:sz w:val="25"/>
        </w:rPr>
        <w:t>cr</w:t>
      </w:r>
      <w:r>
        <w:rPr>
          <w:spacing w:val="-1"/>
          <w:w w:val="99"/>
          <w:sz w:val="25"/>
        </w:rPr>
        <w:t>iticise</w:t>
      </w:r>
      <w:r>
        <w:rPr>
          <w:w w:val="99"/>
          <w:sz w:val="25"/>
        </w:rPr>
        <w:t>d</w:t>
      </w:r>
      <w:r>
        <w:rPr>
          <w:spacing w:val="5"/>
          <w:sz w:val="25"/>
        </w:rPr>
        <w:t> </w:t>
      </w:r>
      <w:r>
        <w:rPr>
          <w:w w:val="99"/>
          <w:sz w:val="25"/>
        </w:rPr>
        <w:t>t</w:t>
      </w:r>
      <w:r>
        <w:rPr>
          <w:spacing w:val="2"/>
          <w:w w:val="99"/>
          <w:sz w:val="25"/>
        </w:rPr>
        <w:t>h</w:t>
      </w:r>
      <w:r>
        <w:rPr>
          <w:w w:val="99"/>
          <w:sz w:val="25"/>
        </w:rPr>
        <w:t>e</w:t>
      </w:r>
      <w:r>
        <w:rPr>
          <w:spacing w:val="5"/>
          <w:sz w:val="25"/>
        </w:rPr>
        <w:t> </w:t>
      </w:r>
      <w:r>
        <w:rPr>
          <w:spacing w:val="-1"/>
          <w:w w:val="99"/>
          <w:sz w:val="25"/>
        </w:rPr>
        <w:t>us</w:t>
      </w:r>
      <w:r>
        <w:rPr>
          <w:w w:val="99"/>
          <w:sz w:val="25"/>
        </w:rPr>
        <w:t>e</w:t>
      </w:r>
      <w:r>
        <w:rPr>
          <w:spacing w:val="5"/>
          <w:sz w:val="25"/>
        </w:rPr>
        <w:t> </w:t>
      </w:r>
      <w:r>
        <w:rPr>
          <w:spacing w:val="-1"/>
          <w:w w:val="99"/>
          <w:sz w:val="25"/>
        </w:rPr>
        <w:t>o</w:t>
      </w:r>
      <w:r>
        <w:rPr>
          <w:w w:val="99"/>
          <w:sz w:val="25"/>
        </w:rPr>
        <w:t>f</w:t>
      </w:r>
      <w:r>
        <w:rPr>
          <w:spacing w:val="5"/>
          <w:sz w:val="25"/>
        </w:rPr>
        <w:t> </w:t>
      </w:r>
      <w:r>
        <w:rPr>
          <w:w w:val="99"/>
          <w:sz w:val="25"/>
        </w:rPr>
        <w:t>the</w:t>
      </w:r>
      <w:r>
        <w:rPr>
          <w:spacing w:val="5"/>
          <w:sz w:val="25"/>
        </w:rPr>
        <w:t> </w:t>
      </w:r>
      <w:r>
        <w:rPr>
          <w:spacing w:val="2"/>
          <w:w w:val="99"/>
          <w:sz w:val="25"/>
        </w:rPr>
        <w:t>e</w:t>
      </w:r>
      <w:r>
        <w:rPr>
          <w:spacing w:val="-3"/>
          <w:w w:val="99"/>
          <w:sz w:val="25"/>
        </w:rPr>
        <w:t>x</w:t>
      </w:r>
      <w:r>
        <w:rPr>
          <w:spacing w:val="-1"/>
          <w:w w:val="99"/>
          <w:sz w:val="25"/>
        </w:rPr>
        <w:t>p</w:t>
      </w:r>
      <w:r>
        <w:rPr>
          <w:w w:val="99"/>
          <w:sz w:val="25"/>
        </w:rPr>
        <w:t>r</w:t>
      </w:r>
      <w:r>
        <w:rPr>
          <w:spacing w:val="-1"/>
          <w:w w:val="99"/>
          <w:sz w:val="25"/>
        </w:rPr>
        <w:t>ess</w:t>
      </w:r>
      <w:r>
        <w:rPr>
          <w:spacing w:val="2"/>
          <w:w w:val="99"/>
          <w:sz w:val="25"/>
        </w:rPr>
        <w:t>i</w:t>
      </w:r>
      <w:r>
        <w:rPr>
          <w:spacing w:val="-1"/>
          <w:w w:val="99"/>
          <w:sz w:val="25"/>
        </w:rPr>
        <w:t>o</w:t>
      </w:r>
      <w:r>
        <w:rPr>
          <w:w w:val="99"/>
          <w:sz w:val="25"/>
        </w:rPr>
        <w:t>n</w:t>
      </w:r>
      <w:r>
        <w:rPr>
          <w:spacing w:val="5"/>
          <w:sz w:val="25"/>
        </w:rPr>
        <w:t> </w:t>
      </w:r>
      <w:r>
        <w:rPr>
          <w:w w:val="33"/>
          <w:sz w:val="25"/>
        </w:rPr>
        <w:t>―</w:t>
      </w:r>
      <w:r>
        <w:rPr>
          <w:spacing w:val="-1"/>
          <w:w w:val="99"/>
          <w:sz w:val="25"/>
        </w:rPr>
        <w:t>di</w:t>
      </w:r>
      <w:r>
        <w:rPr>
          <w:spacing w:val="-3"/>
          <w:w w:val="99"/>
          <w:sz w:val="25"/>
        </w:rPr>
        <w:t>v</w:t>
      </w:r>
      <w:r>
        <w:rPr>
          <w:spacing w:val="-1"/>
          <w:w w:val="99"/>
          <w:sz w:val="25"/>
        </w:rPr>
        <w:t>in</w:t>
      </w:r>
      <w:r>
        <w:rPr>
          <w:w w:val="99"/>
          <w:sz w:val="25"/>
        </w:rPr>
        <w:t>e</w:t>
      </w:r>
      <w:r>
        <w:rPr>
          <w:spacing w:val="5"/>
          <w:sz w:val="25"/>
        </w:rPr>
        <w:t> </w:t>
      </w:r>
      <w:r>
        <w:rPr>
          <w:w w:val="99"/>
          <w:sz w:val="25"/>
        </w:rPr>
        <w:t>cou</w:t>
      </w:r>
      <w:r>
        <w:rPr>
          <w:spacing w:val="-1"/>
          <w:w w:val="95"/>
          <w:sz w:val="25"/>
        </w:rPr>
        <w:t>ple‖ </w:t>
      </w:r>
      <w:r>
        <w:rPr>
          <w:sz w:val="25"/>
        </w:rPr>
        <w:t>to depict the recovery reflected in plate 235. The criticism advanced by counsel is not</w:t>
      </w:r>
      <w:r>
        <w:rPr>
          <w:spacing w:val="25"/>
          <w:sz w:val="25"/>
        </w:rPr>
        <w:t> </w:t>
      </w:r>
      <w:r>
        <w:rPr>
          <w:sz w:val="25"/>
        </w:rPr>
        <w:t>unfounded.</w:t>
      </w:r>
      <w:r>
        <w:rPr>
          <w:spacing w:val="25"/>
          <w:sz w:val="25"/>
        </w:rPr>
        <w:t> </w:t>
      </w:r>
      <w:r>
        <w:rPr>
          <w:sz w:val="25"/>
        </w:rPr>
        <w:t>The</w:t>
      </w:r>
      <w:r>
        <w:rPr>
          <w:spacing w:val="25"/>
          <w:sz w:val="25"/>
        </w:rPr>
        <w:t> </w:t>
      </w:r>
      <w:r>
        <w:rPr>
          <w:sz w:val="25"/>
        </w:rPr>
        <w:t>sculpture</w:t>
      </w:r>
      <w:r>
        <w:rPr>
          <w:spacing w:val="25"/>
          <w:sz w:val="25"/>
        </w:rPr>
        <w:t> </w:t>
      </w:r>
      <w:r>
        <w:rPr>
          <w:sz w:val="25"/>
        </w:rPr>
        <w:t>reflected</w:t>
      </w:r>
      <w:r>
        <w:rPr>
          <w:spacing w:val="26"/>
          <w:sz w:val="25"/>
        </w:rPr>
        <w:t> </w:t>
      </w:r>
      <w:r>
        <w:rPr>
          <w:sz w:val="25"/>
        </w:rPr>
        <w:t>in</w:t>
      </w:r>
      <w:r>
        <w:rPr>
          <w:spacing w:val="25"/>
          <w:sz w:val="25"/>
        </w:rPr>
        <w:t> </w:t>
      </w:r>
      <w:r>
        <w:rPr>
          <w:sz w:val="25"/>
        </w:rPr>
        <w:t>the</w:t>
      </w:r>
      <w:r>
        <w:rPr>
          <w:spacing w:val="26"/>
          <w:sz w:val="25"/>
        </w:rPr>
        <w:t> </w:t>
      </w:r>
      <w:r>
        <w:rPr>
          <w:sz w:val="25"/>
        </w:rPr>
        <w:t>plate</w:t>
      </w:r>
      <w:r>
        <w:rPr>
          <w:spacing w:val="26"/>
          <w:sz w:val="25"/>
        </w:rPr>
        <w:t> </w:t>
      </w:r>
      <w:r>
        <w:rPr>
          <w:sz w:val="25"/>
        </w:rPr>
        <w:t>is</w:t>
      </w:r>
      <w:r>
        <w:rPr>
          <w:spacing w:val="25"/>
          <w:sz w:val="25"/>
        </w:rPr>
        <w:t> </w:t>
      </w:r>
      <w:r>
        <w:rPr>
          <w:sz w:val="25"/>
        </w:rPr>
        <w:t>(as</w:t>
      </w:r>
      <w:r>
        <w:rPr>
          <w:spacing w:val="25"/>
          <w:sz w:val="25"/>
        </w:rPr>
        <w:t> </w:t>
      </w:r>
      <w:r>
        <w:rPr>
          <w:sz w:val="25"/>
        </w:rPr>
        <w:t>the</w:t>
      </w:r>
      <w:r>
        <w:rPr>
          <w:spacing w:val="28"/>
          <w:sz w:val="25"/>
        </w:rPr>
        <w:t> </w:t>
      </w:r>
      <w:r>
        <w:rPr>
          <w:sz w:val="25"/>
        </w:rPr>
        <w:t>ASI</w:t>
      </w:r>
      <w:r>
        <w:rPr>
          <w:spacing w:val="25"/>
          <w:sz w:val="25"/>
        </w:rPr>
        <w:t> </w:t>
      </w:r>
      <w:r>
        <w:rPr>
          <w:sz w:val="25"/>
        </w:rPr>
        <w:t>report</w:t>
      </w:r>
      <w:r>
        <w:rPr>
          <w:spacing w:val="25"/>
          <w:sz w:val="25"/>
        </w:rPr>
        <w:t> </w:t>
      </w:r>
      <w:r>
        <w:rPr>
          <w:sz w:val="25"/>
        </w:rPr>
        <w:t>states)</w:t>
      </w:r>
    </w:p>
    <w:p>
      <w:pPr>
        <w:pStyle w:val="BodyText"/>
        <w:spacing w:line="480" w:lineRule="auto" w:before="1"/>
        <w:ind w:left="500" w:right="434"/>
        <w:jc w:val="both"/>
      </w:pPr>
      <w:r>
        <w:rPr>
          <w:w w:val="33"/>
        </w:rPr>
        <w:t>―</w:t>
      </w:r>
      <w:r>
        <w:rPr>
          <w:spacing w:val="-1"/>
          <w:w w:val="99"/>
        </w:rPr>
        <w:t>hig</w:t>
      </w:r>
      <w:r>
        <w:rPr>
          <w:w w:val="99"/>
        </w:rPr>
        <w:t>h</w:t>
      </w:r>
      <w:r>
        <w:rPr>
          <w:spacing w:val="-1"/>
          <w:w w:val="99"/>
        </w:rPr>
        <w:t>l</w:t>
      </w:r>
      <w:r>
        <w:rPr>
          <w:w w:val="99"/>
        </w:rPr>
        <w:t>y</w:t>
      </w:r>
      <w:r>
        <w:rPr/>
        <w:t> </w:t>
      </w:r>
      <w:r>
        <w:rPr>
          <w:spacing w:val="-10"/>
        </w:rPr>
        <w:t> </w:t>
      </w:r>
      <w:r>
        <w:rPr>
          <w:w w:val="99"/>
        </w:rPr>
        <w:t>m</w:t>
      </w:r>
      <w:r>
        <w:rPr>
          <w:spacing w:val="-1"/>
          <w:w w:val="99"/>
        </w:rPr>
        <w:t>utila</w:t>
      </w:r>
      <w:r>
        <w:rPr>
          <w:w w:val="99"/>
        </w:rPr>
        <w:t>t</w:t>
      </w:r>
      <w:r>
        <w:rPr>
          <w:spacing w:val="-1"/>
          <w:w w:val="99"/>
        </w:rPr>
        <w:t>e</w:t>
      </w:r>
      <w:r>
        <w:rPr>
          <w:w w:val="99"/>
        </w:rPr>
        <w:t>d</w:t>
      </w:r>
      <w:r>
        <w:rPr>
          <w:w w:val="80"/>
        </w:rPr>
        <w:t>‖</w:t>
      </w:r>
      <w:r>
        <w:rPr>
          <w:w w:val="99"/>
        </w:rPr>
        <w:t>.</w:t>
      </w:r>
      <w:r>
        <w:rPr/>
        <w:t> </w:t>
      </w:r>
      <w:r>
        <w:rPr>
          <w:spacing w:val="-7"/>
        </w:rPr>
        <w:t> </w:t>
      </w:r>
      <w:r>
        <w:rPr>
          <w:spacing w:val="-1"/>
          <w:w w:val="99"/>
        </w:rPr>
        <w:t>A</w:t>
      </w:r>
      <w:r>
        <w:rPr>
          <w:w w:val="99"/>
        </w:rPr>
        <w:t>cco</w:t>
      </w:r>
      <w:r>
        <w:rPr>
          <w:spacing w:val="1"/>
          <w:w w:val="99"/>
        </w:rPr>
        <w:t>r</w:t>
      </w:r>
      <w:r>
        <w:rPr>
          <w:spacing w:val="-1"/>
          <w:w w:val="99"/>
        </w:rPr>
        <w:t>din</w:t>
      </w:r>
      <w:r>
        <w:rPr>
          <w:w w:val="99"/>
        </w:rPr>
        <w:t>g</w:t>
      </w:r>
      <w:r>
        <w:rPr/>
        <w:t> </w:t>
      </w:r>
      <w:r>
        <w:rPr>
          <w:spacing w:val="-7"/>
        </w:rPr>
        <w:t> </w:t>
      </w:r>
      <w:r>
        <w:rPr>
          <w:w w:val="99"/>
        </w:rPr>
        <w:t>to</w:t>
      </w:r>
      <w:r>
        <w:rPr/>
        <w:t> </w:t>
      </w:r>
      <w:r>
        <w:rPr>
          <w:spacing w:val="-7"/>
        </w:rPr>
        <w:t> </w:t>
      </w:r>
      <w:r>
        <w:rPr>
          <w:w w:val="99"/>
        </w:rPr>
        <w:t>t</w:t>
      </w:r>
      <w:r>
        <w:rPr>
          <w:spacing w:val="-2"/>
          <w:w w:val="99"/>
        </w:rPr>
        <w:t>h</w:t>
      </w:r>
      <w:r>
        <w:rPr>
          <w:w w:val="99"/>
        </w:rPr>
        <w:t>e</w:t>
      </w:r>
      <w:r>
        <w:rPr/>
        <w:t> </w:t>
      </w:r>
      <w:r>
        <w:rPr>
          <w:spacing w:val="-7"/>
        </w:rPr>
        <w:t> </w:t>
      </w:r>
      <w:r>
        <w:rPr>
          <w:spacing w:val="-1"/>
          <w:w w:val="99"/>
        </w:rPr>
        <w:t>AS</w:t>
      </w:r>
      <w:r>
        <w:rPr>
          <w:w w:val="99"/>
        </w:rPr>
        <w:t>I</w:t>
      </w:r>
      <w:r>
        <w:rPr/>
        <w:t> </w:t>
      </w:r>
      <w:r>
        <w:rPr>
          <w:spacing w:val="-10"/>
        </w:rPr>
        <w:t> </w:t>
      </w:r>
      <w:r>
        <w:rPr>
          <w:w w:val="99"/>
        </w:rPr>
        <w:t>team,</w:t>
      </w:r>
      <w:r>
        <w:rPr/>
        <w:t> </w:t>
      </w:r>
      <w:r>
        <w:rPr>
          <w:spacing w:val="-7"/>
        </w:rPr>
        <w:t> </w:t>
      </w:r>
      <w:r>
        <w:rPr>
          <w:spacing w:val="-1"/>
          <w:w w:val="99"/>
        </w:rPr>
        <w:t>wha</w:t>
      </w:r>
      <w:r>
        <w:rPr>
          <w:w w:val="99"/>
        </w:rPr>
        <w:t>t</w:t>
      </w:r>
      <w:r>
        <w:rPr/>
        <w:t> </w:t>
      </w:r>
      <w:r>
        <w:rPr>
          <w:spacing w:val="-10"/>
        </w:rPr>
        <w:t> </w:t>
      </w:r>
      <w:r>
        <w:rPr>
          <w:w w:val="99"/>
        </w:rPr>
        <w:t>r</w:t>
      </w:r>
      <w:r>
        <w:rPr>
          <w:spacing w:val="-1"/>
          <w:w w:val="99"/>
        </w:rPr>
        <w:t>e</w:t>
      </w:r>
      <w:r>
        <w:rPr>
          <w:w w:val="99"/>
        </w:rPr>
        <w:t>m</w:t>
      </w:r>
      <w:r>
        <w:rPr>
          <w:spacing w:val="-1"/>
          <w:w w:val="99"/>
        </w:rPr>
        <w:t>ain</w:t>
      </w:r>
      <w:r>
        <w:rPr>
          <w:w w:val="99"/>
        </w:rPr>
        <w:t>s</w:t>
      </w:r>
      <w:r>
        <w:rPr/>
        <w:t> </w:t>
      </w:r>
      <w:r>
        <w:rPr>
          <w:spacing w:val="-9"/>
        </w:rPr>
        <w:t> </w:t>
      </w:r>
      <w:r>
        <w:rPr>
          <w:spacing w:val="-1"/>
          <w:w w:val="99"/>
        </w:rPr>
        <w:t>o</w:t>
      </w:r>
      <w:r>
        <w:rPr>
          <w:w w:val="99"/>
        </w:rPr>
        <w:t>f</w:t>
      </w:r>
      <w:r>
        <w:rPr/>
        <w:t> </w:t>
      </w:r>
      <w:r>
        <w:rPr>
          <w:spacing w:val="-7"/>
        </w:rPr>
        <w:t> </w:t>
      </w:r>
      <w:r>
        <w:rPr>
          <w:w w:val="99"/>
        </w:rPr>
        <w:t>the</w:t>
      </w:r>
      <w:r>
        <w:rPr/>
        <w:t> </w:t>
      </w:r>
      <w:r>
        <w:rPr>
          <w:spacing w:val="1"/>
        </w:rPr>
        <w:t> </w:t>
      </w:r>
      <w:r>
        <w:rPr>
          <w:w w:val="99"/>
        </w:rPr>
        <w:t>sculpt</w:t>
      </w:r>
      <w:r>
        <w:rPr>
          <w:spacing w:val="-2"/>
          <w:w w:val="99"/>
        </w:rPr>
        <w:t>u</w:t>
      </w:r>
      <w:r>
        <w:rPr>
          <w:w w:val="99"/>
        </w:rPr>
        <w:t>r</w:t>
      </w:r>
      <w:r>
        <w:rPr>
          <w:w w:val="99"/>
        </w:rPr>
        <w:t>e </w:t>
      </w:r>
      <w:r>
        <w:rPr>
          <w:spacing w:val="-1"/>
          <w:w w:val="99"/>
        </w:rPr>
        <w:t>indic</w:t>
      </w:r>
      <w:r>
        <w:rPr>
          <w:w w:val="99"/>
        </w:rPr>
        <w:t>ates</w:t>
      </w:r>
      <w:r>
        <w:rPr>
          <w:spacing w:val="29"/>
        </w:rPr>
        <w:t> </w:t>
      </w:r>
      <w:r>
        <w:rPr>
          <w:w w:val="99"/>
        </w:rPr>
        <w:t>a</w:t>
      </w:r>
      <w:r>
        <w:rPr>
          <w:spacing w:val="29"/>
        </w:rPr>
        <w:t> </w:t>
      </w:r>
      <w:r>
        <w:rPr>
          <w:w w:val="33"/>
        </w:rPr>
        <w:t>―</w:t>
      </w:r>
      <w:r>
        <w:rPr>
          <w:spacing w:val="-1"/>
          <w:w w:val="99"/>
        </w:rPr>
        <w:t>waist</w:t>
      </w:r>
      <w:r>
        <w:rPr>
          <w:w w:val="99"/>
        </w:rPr>
        <w:t>,</w:t>
      </w:r>
      <w:r>
        <w:rPr>
          <w:spacing w:val="29"/>
        </w:rPr>
        <w:t> </w:t>
      </w:r>
      <w:r>
        <w:rPr>
          <w:w w:val="99"/>
        </w:rPr>
        <w:t>th</w:t>
      </w:r>
      <w:r>
        <w:rPr>
          <w:spacing w:val="-2"/>
          <w:w w:val="99"/>
        </w:rPr>
        <w:t>i</w:t>
      </w:r>
      <w:r>
        <w:rPr>
          <w:spacing w:val="-1"/>
          <w:w w:val="99"/>
        </w:rPr>
        <w:t>g</w:t>
      </w:r>
      <w:r>
        <w:rPr>
          <w:w w:val="99"/>
        </w:rPr>
        <w:t>h</w:t>
      </w:r>
      <w:r>
        <w:rPr>
          <w:spacing w:val="29"/>
        </w:rPr>
        <w:t> </w:t>
      </w:r>
      <w:r>
        <w:rPr>
          <w:spacing w:val="-1"/>
          <w:w w:val="99"/>
        </w:rPr>
        <w:t>a</w:t>
      </w:r>
      <w:r>
        <w:rPr>
          <w:w w:val="99"/>
        </w:rPr>
        <w:t>nd</w:t>
      </w:r>
      <w:r>
        <w:rPr>
          <w:spacing w:val="29"/>
        </w:rPr>
        <w:t> </w:t>
      </w:r>
      <w:r>
        <w:rPr>
          <w:w w:val="99"/>
        </w:rPr>
        <w:t>fo</w:t>
      </w:r>
      <w:r>
        <w:rPr>
          <w:spacing w:val="4"/>
          <w:w w:val="99"/>
        </w:rPr>
        <w:t>o</w:t>
      </w:r>
      <w:r>
        <w:rPr>
          <w:w w:val="88"/>
        </w:rPr>
        <w:t>t‖</w:t>
      </w:r>
      <w:r>
        <w:rPr>
          <w:spacing w:val="27"/>
        </w:rPr>
        <w:t> </w:t>
      </w:r>
      <w:r>
        <w:rPr>
          <w:spacing w:val="-1"/>
          <w:w w:val="99"/>
        </w:rPr>
        <w:t>o</w:t>
      </w:r>
      <w:r>
        <w:rPr>
          <w:w w:val="99"/>
        </w:rPr>
        <w:t>f</w:t>
      </w:r>
      <w:r>
        <w:rPr>
          <w:spacing w:val="29"/>
        </w:rPr>
        <w:t> </w:t>
      </w:r>
      <w:r>
        <w:rPr>
          <w:w w:val="99"/>
        </w:rPr>
        <w:t>a</w:t>
      </w:r>
      <w:r>
        <w:rPr>
          <w:spacing w:val="29"/>
        </w:rPr>
        <w:t> </w:t>
      </w:r>
      <w:r>
        <w:rPr>
          <w:w w:val="99"/>
        </w:rPr>
        <w:t>co</w:t>
      </w:r>
      <w:r>
        <w:rPr>
          <w:spacing w:val="-2"/>
          <w:w w:val="99"/>
        </w:rPr>
        <w:t>u</w:t>
      </w:r>
      <w:r>
        <w:rPr>
          <w:spacing w:val="-1"/>
          <w:w w:val="99"/>
        </w:rPr>
        <w:t>ple</w:t>
      </w:r>
      <w:r>
        <w:rPr>
          <w:w w:val="99"/>
        </w:rPr>
        <w:t>.</w:t>
      </w:r>
      <w:r>
        <w:rPr>
          <w:spacing w:val="29"/>
        </w:rPr>
        <w:t> </w:t>
      </w:r>
      <w:r>
        <w:rPr>
          <w:w w:val="99"/>
        </w:rPr>
        <w:t>T</w:t>
      </w:r>
      <w:r>
        <w:rPr>
          <w:spacing w:val="-1"/>
          <w:w w:val="99"/>
        </w:rPr>
        <w:t>hi</w:t>
      </w:r>
      <w:r>
        <w:rPr>
          <w:w w:val="99"/>
        </w:rPr>
        <w:t>s</w:t>
      </w:r>
      <w:r>
        <w:rPr>
          <w:spacing w:val="28"/>
        </w:rPr>
        <w:t> </w:t>
      </w:r>
      <w:r>
        <w:rPr>
          <w:w w:val="99"/>
        </w:rPr>
        <w:t>m</w:t>
      </w:r>
      <w:r>
        <w:rPr>
          <w:spacing w:val="-1"/>
          <w:w w:val="99"/>
        </w:rPr>
        <w:t>a</w:t>
      </w:r>
      <w:r>
        <w:rPr>
          <w:w w:val="99"/>
        </w:rPr>
        <w:t>y</w:t>
      </w:r>
      <w:r>
        <w:rPr>
          <w:spacing w:val="26"/>
        </w:rPr>
        <w:t> </w:t>
      </w:r>
      <w:r>
        <w:rPr>
          <w:spacing w:val="-1"/>
          <w:w w:val="99"/>
        </w:rPr>
        <w:t>wel</w:t>
      </w:r>
      <w:r>
        <w:rPr>
          <w:w w:val="99"/>
        </w:rPr>
        <w:t>l</w:t>
      </w:r>
      <w:r>
        <w:rPr>
          <w:spacing w:val="28"/>
        </w:rPr>
        <w:t> </w:t>
      </w:r>
      <w:r>
        <w:rPr>
          <w:spacing w:val="-1"/>
          <w:w w:val="99"/>
        </w:rPr>
        <w:t>b</w:t>
      </w:r>
      <w:r>
        <w:rPr>
          <w:w w:val="99"/>
        </w:rPr>
        <w:t>e</w:t>
      </w:r>
      <w:r>
        <w:rPr>
          <w:spacing w:val="29"/>
        </w:rPr>
        <w:t> </w:t>
      </w:r>
      <w:r>
        <w:rPr>
          <w:spacing w:val="-1"/>
          <w:w w:val="99"/>
        </w:rPr>
        <w:t>a</w:t>
      </w:r>
      <w:r>
        <w:rPr>
          <w:w w:val="99"/>
        </w:rPr>
        <w:t>n</w:t>
      </w:r>
      <w:r>
        <w:rPr>
          <w:spacing w:val="29"/>
        </w:rPr>
        <w:t> </w:t>
      </w:r>
      <w:r>
        <w:rPr>
          <w:spacing w:val="-1"/>
          <w:w w:val="99"/>
        </w:rPr>
        <w:t>im</w:t>
      </w:r>
      <w:r>
        <w:rPr>
          <w:w w:val="99"/>
        </w:rPr>
        <w:t>a</w:t>
      </w:r>
      <w:r>
        <w:rPr>
          <w:spacing w:val="-1"/>
          <w:w w:val="99"/>
        </w:rPr>
        <w:t>gin</w:t>
      </w:r>
      <w:r>
        <w:rPr>
          <w:w w:val="99"/>
        </w:rPr>
        <w:t>ati</w:t>
      </w:r>
      <w:r>
        <w:rPr>
          <w:spacing w:val="-3"/>
          <w:w w:val="99"/>
        </w:rPr>
        <w:t>v</w:t>
      </w:r>
      <w:r>
        <w:rPr>
          <w:w w:val="99"/>
        </w:rPr>
        <w:t>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spacing w:val="-1"/>
          <w:w w:val="99"/>
        </w:rPr>
        <w:t>e</w:t>
      </w:r>
      <w:r>
        <w:rPr>
          <w:spacing w:val="-3"/>
          <w:w w:val="99"/>
        </w:rPr>
        <w:t>x</w:t>
      </w:r>
      <w:r>
        <w:rPr>
          <w:w w:val="99"/>
        </w:rPr>
        <w:t>tr</w:t>
      </w:r>
      <w:r>
        <w:rPr>
          <w:spacing w:val="-1"/>
          <w:w w:val="99"/>
        </w:rPr>
        <w:t>a</w:t>
      </w:r>
      <w:r>
        <w:rPr>
          <w:w w:val="99"/>
        </w:rPr>
        <w:t>p</w:t>
      </w:r>
      <w:r>
        <w:rPr>
          <w:spacing w:val="-1"/>
          <w:w w:val="99"/>
        </w:rPr>
        <w:t>ola</w:t>
      </w:r>
      <w:r>
        <w:rPr>
          <w:w w:val="99"/>
        </w:rPr>
        <w:t>t</w:t>
      </w:r>
      <w:r>
        <w:rPr>
          <w:spacing w:val="-1"/>
          <w:w w:val="99"/>
        </w:rPr>
        <w:t>io</w:t>
      </w:r>
      <w:r>
        <w:rPr>
          <w:w w:val="99"/>
        </w:rPr>
        <w:t>n</w:t>
      </w:r>
      <w:r>
        <w:rPr/>
        <w:t> </w:t>
      </w:r>
      <w:r>
        <w:rPr>
          <w:spacing w:val="-7"/>
        </w:rPr>
        <w:t> </w:t>
      </w:r>
      <w:r>
        <w:rPr>
          <w:spacing w:val="-1"/>
          <w:w w:val="99"/>
        </w:rPr>
        <w:t>o</w:t>
      </w:r>
      <w:r>
        <w:rPr>
          <w:w w:val="99"/>
        </w:rPr>
        <w:t>f</w:t>
      </w:r>
      <w:r>
        <w:rPr/>
        <w:t> </w:t>
      </w:r>
      <w:r>
        <w:rPr>
          <w:spacing w:val="-7"/>
        </w:rPr>
        <w:t> </w:t>
      </w:r>
      <w:r>
        <w:rPr>
          <w:spacing w:val="-1"/>
          <w:w w:val="99"/>
        </w:rPr>
        <w:t>a</w:t>
      </w:r>
      <w:r>
        <w:rPr>
          <w:w w:val="99"/>
        </w:rPr>
        <w:t>rc</w:t>
      </w:r>
      <w:r>
        <w:rPr>
          <w:spacing w:val="2"/>
          <w:w w:val="99"/>
        </w:rPr>
        <w:t>h</w:t>
      </w:r>
      <w:r>
        <w:rPr>
          <w:spacing w:val="-1"/>
          <w:w w:val="99"/>
        </w:rPr>
        <w:t>a</w:t>
      </w:r>
      <w:r>
        <w:rPr>
          <w:w w:val="99"/>
        </w:rPr>
        <w:t>e</w:t>
      </w:r>
      <w:r>
        <w:rPr>
          <w:spacing w:val="-1"/>
          <w:w w:val="99"/>
        </w:rPr>
        <w:t>olo</w:t>
      </w:r>
      <w:r>
        <w:rPr>
          <w:w w:val="99"/>
        </w:rPr>
        <w:t>g</w:t>
      </w:r>
      <w:r>
        <w:rPr>
          <w:spacing w:val="-1"/>
          <w:w w:val="99"/>
        </w:rPr>
        <w:t>ica</w:t>
      </w:r>
      <w:r>
        <w:rPr>
          <w:w w:val="99"/>
        </w:rPr>
        <w:t>l</w:t>
      </w:r>
      <w:r>
        <w:rPr/>
        <w:t> </w:t>
      </w:r>
      <w:r>
        <w:rPr>
          <w:spacing w:val="-8"/>
        </w:rPr>
        <w:t> </w:t>
      </w:r>
      <w:r>
        <w:rPr>
          <w:spacing w:val="-1"/>
          <w:w w:val="99"/>
        </w:rPr>
        <w:t>e</w:t>
      </w:r>
      <w:r>
        <w:rPr>
          <w:spacing w:val="-3"/>
          <w:w w:val="99"/>
        </w:rPr>
        <w:t>x</w:t>
      </w:r>
      <w:r>
        <w:rPr>
          <w:spacing w:val="-1"/>
          <w:w w:val="99"/>
        </w:rPr>
        <w:t>p</w:t>
      </w:r>
      <w:r>
        <w:rPr>
          <w:w w:val="99"/>
        </w:rPr>
        <w:t>er</w:t>
      </w:r>
      <w:r>
        <w:rPr>
          <w:spacing w:val="-1"/>
          <w:w w:val="99"/>
        </w:rPr>
        <w:t>ien</w:t>
      </w:r>
      <w:r>
        <w:rPr>
          <w:spacing w:val="2"/>
          <w:w w:val="99"/>
        </w:rPr>
        <w:t>c</w:t>
      </w:r>
      <w:r>
        <w:rPr>
          <w:spacing w:val="-1"/>
          <w:w w:val="99"/>
        </w:rPr>
        <w:t>e</w:t>
      </w:r>
      <w:r>
        <w:rPr>
          <w:w w:val="99"/>
        </w:rPr>
        <w:t>.</w:t>
      </w:r>
      <w:r>
        <w:rPr/>
        <w:t> </w:t>
      </w:r>
      <w:r>
        <w:rPr>
          <w:spacing w:val="-7"/>
        </w:rPr>
        <w:t> </w:t>
      </w:r>
      <w:r>
        <w:rPr>
          <w:spacing w:val="-1"/>
          <w:w w:val="99"/>
        </w:rPr>
        <w:t>But</w:t>
      </w:r>
      <w:r>
        <w:rPr>
          <w:w w:val="99"/>
        </w:rPr>
        <w:t>,</w:t>
      </w:r>
      <w:r>
        <w:rPr/>
        <w:t> </w:t>
      </w:r>
      <w:r>
        <w:rPr>
          <w:spacing w:val="-7"/>
        </w:rPr>
        <w:t> </w:t>
      </w:r>
      <w:r>
        <w:rPr>
          <w:w w:val="99"/>
        </w:rPr>
        <w:t>calling</w:t>
      </w:r>
      <w:r>
        <w:rPr/>
        <w:t> </w:t>
      </w:r>
      <w:r>
        <w:rPr>
          <w:spacing w:val="-5"/>
        </w:rPr>
        <w:t> </w:t>
      </w:r>
      <w:r>
        <w:rPr>
          <w:spacing w:val="-1"/>
          <w:w w:val="99"/>
        </w:rPr>
        <w:t>i</w:t>
      </w:r>
      <w:r>
        <w:rPr>
          <w:w w:val="99"/>
        </w:rPr>
        <w:t>t</w:t>
      </w:r>
      <w:r>
        <w:rPr/>
        <w:t> </w:t>
      </w:r>
      <w:r>
        <w:rPr>
          <w:spacing w:val="-8"/>
        </w:rPr>
        <w:t> </w:t>
      </w:r>
      <w:r>
        <w:rPr>
          <w:w w:val="99"/>
        </w:rPr>
        <w:t>a</w:t>
      </w:r>
      <w:r>
        <w:rPr/>
        <w:t> </w:t>
      </w:r>
      <w:r>
        <w:rPr>
          <w:spacing w:val="-7"/>
        </w:rPr>
        <w:t> </w:t>
      </w:r>
      <w:r>
        <w:rPr>
          <w:spacing w:val="3"/>
          <w:w w:val="33"/>
        </w:rPr>
        <w:t>―</w:t>
      </w:r>
      <w:r>
        <w:rPr>
          <w:spacing w:val="-1"/>
          <w:w w:val="99"/>
        </w:rPr>
        <w:t>di</w:t>
      </w:r>
      <w:r>
        <w:rPr>
          <w:spacing w:val="-3"/>
          <w:w w:val="99"/>
        </w:rPr>
        <w:t>v</w:t>
      </w:r>
      <w:r>
        <w:rPr>
          <w:spacing w:val="-1"/>
          <w:w w:val="99"/>
        </w:rPr>
        <w:t>in</w:t>
      </w:r>
      <w:r>
        <w:rPr>
          <w:w w:val="99"/>
        </w:rPr>
        <w:t>e</w:t>
      </w:r>
      <w:r>
        <w:rPr/>
        <w:t> </w:t>
      </w:r>
      <w:r>
        <w:rPr>
          <w:spacing w:val="-5"/>
        </w:rPr>
        <w:t> </w:t>
      </w:r>
      <w:r>
        <w:rPr>
          <w:w w:val="99"/>
        </w:rPr>
        <w:t>cou</w:t>
      </w:r>
      <w:r>
        <w:rPr>
          <w:spacing w:val="-1"/>
          <w:w w:val="95"/>
        </w:rPr>
        <w:t>ple</w:t>
      </w:r>
      <w:r>
        <w:rPr>
          <w:w w:val="95"/>
        </w:rPr>
        <w:t>‖</w:t>
      </w:r>
      <w:r>
        <w:rPr/>
        <w:t> </w:t>
      </w:r>
      <w:r>
        <w:rPr>
          <w:spacing w:val="-6"/>
        </w:rPr>
        <w:t> </w:t>
      </w:r>
      <w:r>
        <w:rPr>
          <w:spacing w:val="-1"/>
          <w:w w:val="99"/>
        </w:rPr>
        <w:t>is </w:t>
      </w:r>
      <w:r>
        <w:rPr/>
        <w:t>beyond the stretch of imagination. Excluding this from consideration, the ASI team has on a cumulative analysis of all the other findings arrived at the  inference that stylistically these architectural findings and pillars in particular belong to the time span of the tenth to twelfth century A.D. and are typical of temple architecture. This inference, as it appears from the above extract is </w:t>
      </w:r>
      <w:r>
        <w:rPr>
          <w:spacing w:val="-1"/>
          <w:w w:val="99"/>
        </w:rPr>
        <w:t>ind</w:t>
      </w:r>
      <w:r>
        <w:rPr>
          <w:w w:val="99"/>
        </w:rPr>
        <w:t>e</w:t>
      </w:r>
      <w:r>
        <w:rPr>
          <w:spacing w:val="-1"/>
          <w:w w:val="99"/>
        </w:rPr>
        <w:t>p</w:t>
      </w:r>
      <w:r>
        <w:rPr>
          <w:w w:val="99"/>
        </w:rPr>
        <w:t>e</w:t>
      </w:r>
      <w:r>
        <w:rPr>
          <w:spacing w:val="-1"/>
          <w:w w:val="99"/>
        </w:rPr>
        <w:t>n</w:t>
      </w:r>
      <w:r>
        <w:rPr>
          <w:w w:val="99"/>
        </w:rPr>
        <w:t>d</w:t>
      </w:r>
      <w:r>
        <w:rPr>
          <w:spacing w:val="-1"/>
          <w:w w:val="99"/>
        </w:rPr>
        <w:t>e</w:t>
      </w:r>
      <w:r>
        <w:rPr>
          <w:w w:val="99"/>
        </w:rPr>
        <w:t>nt</w:t>
      </w:r>
      <w:r>
        <w:rPr>
          <w:spacing w:val="9"/>
        </w:rPr>
        <w:t> </w:t>
      </w:r>
      <w:r>
        <w:rPr>
          <w:spacing w:val="-1"/>
          <w:w w:val="99"/>
        </w:rPr>
        <w:t>o</w:t>
      </w:r>
      <w:r>
        <w:rPr>
          <w:w w:val="99"/>
        </w:rPr>
        <w:t>f</w:t>
      </w:r>
      <w:r>
        <w:rPr>
          <w:spacing w:val="10"/>
        </w:rPr>
        <w:t> </w:t>
      </w:r>
      <w:r>
        <w:rPr>
          <w:w w:val="99"/>
        </w:rPr>
        <w:t>the</w:t>
      </w:r>
      <w:r>
        <w:rPr>
          <w:spacing w:val="10"/>
        </w:rPr>
        <w:t> </w:t>
      </w:r>
      <w:r>
        <w:rPr>
          <w:w w:val="99"/>
        </w:rPr>
        <w:t>s</w:t>
      </w:r>
      <w:r>
        <w:rPr>
          <w:spacing w:val="-3"/>
          <w:w w:val="99"/>
        </w:rPr>
        <w:t>c</w:t>
      </w:r>
      <w:r>
        <w:rPr>
          <w:spacing w:val="-1"/>
          <w:w w:val="99"/>
        </w:rPr>
        <w:t>ulp</w:t>
      </w:r>
      <w:r>
        <w:rPr>
          <w:w w:val="99"/>
        </w:rPr>
        <w:t>t</w:t>
      </w:r>
      <w:r>
        <w:rPr>
          <w:spacing w:val="-1"/>
          <w:w w:val="99"/>
        </w:rPr>
        <w:t>u</w:t>
      </w:r>
      <w:r>
        <w:rPr>
          <w:w w:val="99"/>
        </w:rPr>
        <w:t>re</w:t>
      </w:r>
      <w:r>
        <w:rPr>
          <w:spacing w:val="9"/>
        </w:rPr>
        <w:t> </w:t>
      </w:r>
      <w:r>
        <w:rPr>
          <w:spacing w:val="-1"/>
          <w:w w:val="99"/>
        </w:rPr>
        <w:t>o</w:t>
      </w:r>
      <w:r>
        <w:rPr>
          <w:w w:val="99"/>
        </w:rPr>
        <w:t>f</w:t>
      </w:r>
      <w:r>
        <w:rPr>
          <w:spacing w:val="10"/>
        </w:rPr>
        <w:t> </w:t>
      </w:r>
      <w:r>
        <w:rPr>
          <w:w w:val="99"/>
        </w:rPr>
        <w:t>the</w:t>
      </w:r>
      <w:r>
        <w:rPr>
          <w:spacing w:val="10"/>
        </w:rPr>
        <w:t> </w:t>
      </w:r>
      <w:r>
        <w:rPr>
          <w:w w:val="99"/>
        </w:rPr>
        <w:t>cou</w:t>
      </w:r>
      <w:r>
        <w:rPr>
          <w:spacing w:val="-1"/>
          <w:w w:val="99"/>
        </w:rPr>
        <w:t>pl</w:t>
      </w:r>
      <w:r>
        <w:rPr>
          <w:w w:val="99"/>
        </w:rPr>
        <w:t>e</w:t>
      </w:r>
      <w:r>
        <w:rPr>
          <w:spacing w:val="10"/>
        </w:rPr>
        <w:t> </w:t>
      </w:r>
      <w:r>
        <w:rPr>
          <w:spacing w:val="-3"/>
          <w:w w:val="99"/>
        </w:rPr>
        <w:t>f</w:t>
      </w:r>
      <w:r>
        <w:rPr>
          <w:spacing w:val="-1"/>
          <w:w w:val="99"/>
        </w:rPr>
        <w:t>o</w:t>
      </w:r>
      <w:r>
        <w:rPr>
          <w:w w:val="99"/>
        </w:rPr>
        <w:t>u</w:t>
      </w:r>
      <w:r>
        <w:rPr>
          <w:spacing w:val="-1"/>
          <w:w w:val="99"/>
        </w:rPr>
        <w:t>n</w:t>
      </w:r>
      <w:r>
        <w:rPr>
          <w:w w:val="99"/>
        </w:rPr>
        <w:t>d</w:t>
      </w:r>
      <w:r>
        <w:rPr>
          <w:spacing w:val="9"/>
        </w:rPr>
        <w:t> </w:t>
      </w:r>
      <w:r>
        <w:rPr>
          <w:spacing w:val="-1"/>
          <w:w w:val="99"/>
        </w:rPr>
        <w:t>i</w:t>
      </w:r>
      <w:r>
        <w:rPr>
          <w:w w:val="99"/>
        </w:rPr>
        <w:t>n</w:t>
      </w:r>
      <w:r>
        <w:rPr>
          <w:spacing w:val="9"/>
        </w:rPr>
        <w:t> </w:t>
      </w:r>
      <w:r>
        <w:rPr>
          <w:w w:val="33"/>
        </w:rPr>
        <w:t>―</w:t>
      </w:r>
      <w:r>
        <w:rPr>
          <w:spacing w:val="-1"/>
          <w:w w:val="99"/>
        </w:rPr>
        <w:t>alin</w:t>
      </w:r>
      <w:r>
        <w:rPr>
          <w:spacing w:val="8"/>
          <w:w w:val="99"/>
        </w:rPr>
        <w:t>g</w:t>
      </w:r>
      <w:r>
        <w:rPr>
          <w:w w:val="99"/>
        </w:rPr>
        <w:t>a</w:t>
      </w:r>
      <w:r>
        <w:rPr>
          <w:w w:val="99"/>
        </w:rPr>
        <w:t>n</w:t>
      </w:r>
      <w:r>
        <w:rPr>
          <w:spacing w:val="9"/>
        </w:rPr>
        <w:t> </w:t>
      </w:r>
      <w:r>
        <w:rPr>
          <w:w w:val="99"/>
        </w:rPr>
        <w:t>m</w:t>
      </w:r>
      <w:r>
        <w:rPr>
          <w:spacing w:val="-1"/>
          <w:w w:val="99"/>
        </w:rPr>
        <w:t>u</w:t>
      </w:r>
      <w:r>
        <w:rPr>
          <w:w w:val="99"/>
        </w:rPr>
        <w:t>d</w:t>
      </w:r>
      <w:r>
        <w:rPr>
          <w:spacing w:val="-2"/>
          <w:w w:val="99"/>
        </w:rPr>
        <w:t>r</w:t>
      </w:r>
      <w:r>
        <w:rPr>
          <w:spacing w:val="-1"/>
          <w:w w:val="91"/>
        </w:rPr>
        <w:t>a</w:t>
      </w:r>
      <w:r>
        <w:rPr>
          <w:w w:val="91"/>
        </w:rPr>
        <w:t>‖</w:t>
      </w:r>
      <w:r>
        <w:rPr>
          <w:w w:val="99"/>
        </w:rPr>
        <w:t>.</w:t>
      </w:r>
      <w:r>
        <w:rPr>
          <w:spacing w:val="9"/>
        </w:rPr>
        <w:t> </w:t>
      </w:r>
      <w:r>
        <w:rPr>
          <w:spacing w:val="-1"/>
          <w:w w:val="99"/>
        </w:rPr>
        <w:t>Henc</w:t>
      </w:r>
      <w:r>
        <w:rPr>
          <w:w w:val="99"/>
        </w:rPr>
        <w:t>e</w:t>
      </w:r>
      <w:r>
        <w:rPr>
          <w:spacing w:val="10"/>
        </w:rPr>
        <w:t> </w:t>
      </w:r>
      <w:r>
        <w:rPr>
          <w:spacing w:val="-1"/>
          <w:w w:val="99"/>
        </w:rPr>
        <w:t>e</w:t>
      </w:r>
      <w:r>
        <w:rPr>
          <w:spacing w:val="-3"/>
          <w:w w:val="99"/>
        </w:rPr>
        <w:t>v</w:t>
      </w:r>
      <w:r>
        <w:rPr>
          <w:spacing w:val="-1"/>
          <w:w w:val="99"/>
        </w:rPr>
        <w:t>en </w:t>
      </w:r>
      <w:r>
        <w:rPr/>
        <w:t>excluding the above sculpture, there is a reasonable basis for an expert to draw the above</w:t>
      </w:r>
      <w:r>
        <w:rPr>
          <w:spacing w:val="-2"/>
        </w:rPr>
        <w:t> </w:t>
      </w:r>
      <w:r>
        <w:rPr/>
        <w:t>inference.</w:t>
      </w:r>
    </w:p>
    <w:p>
      <w:pPr>
        <w:pStyle w:val="BodyText"/>
        <w:rPr>
          <w:sz w:val="28"/>
        </w:rPr>
      </w:pPr>
    </w:p>
    <w:p>
      <w:pPr>
        <w:pStyle w:val="BodyText"/>
        <w:spacing w:before="9"/>
        <w:rPr>
          <w:sz w:val="24"/>
        </w:rPr>
      </w:pPr>
    </w:p>
    <w:p>
      <w:pPr>
        <w:pStyle w:val="BodyText"/>
        <w:spacing w:line="480" w:lineRule="auto"/>
        <w:ind w:left="500" w:right="440"/>
        <w:jc w:val="both"/>
      </w:pPr>
      <w:r>
        <w:rPr/>
        <w:t>During the course of excavation, ASI recovered an ‗Amalaka‘ which is typically a segmented or notched globular stone disc with ridges on its rim with which sits on top of the Hindu temples‘ shikhara or main tower.</w:t>
      </w:r>
      <w:r>
        <w:rPr>
          <w:vertAlign w:val="superscript"/>
        </w:rPr>
        <w:t>293</w:t>
      </w:r>
      <w:r>
        <w:rPr>
          <w:vertAlign w:val="baseline"/>
        </w:rPr>
        <w:t> An amalaka may also resemble a lotus and is a symbol of a deity seated below. ASI also recovered a</w:t>
      </w:r>
    </w:p>
    <w:p>
      <w:pPr>
        <w:pStyle w:val="BodyText"/>
        <w:spacing w:line="480" w:lineRule="auto"/>
        <w:ind w:left="500" w:right="446"/>
        <w:jc w:val="both"/>
      </w:pPr>
      <w:r>
        <w:rPr/>
        <w:t>‗ghatapalava‘ motif which is associated with a ceremonial offering to a deity and as a symbol has been used to decorate shrines.</w:t>
      </w:r>
    </w:p>
    <w:p>
      <w:pPr>
        <w:pStyle w:val="BodyText"/>
        <w:rPr>
          <w:sz w:val="39"/>
        </w:rPr>
      </w:pPr>
    </w:p>
    <w:p>
      <w:pPr>
        <w:pStyle w:val="ListParagraph"/>
        <w:numPr>
          <w:ilvl w:val="0"/>
          <w:numId w:val="166"/>
        </w:numPr>
        <w:tabs>
          <w:tab w:pos="1221" w:val="left" w:leader="none"/>
        </w:tabs>
        <w:spacing w:line="480" w:lineRule="auto" w:before="0" w:after="0"/>
        <w:ind w:left="500" w:right="437" w:firstLine="0"/>
        <w:jc w:val="both"/>
        <w:rPr>
          <w:sz w:val="25"/>
        </w:rPr>
      </w:pPr>
      <w:r>
        <w:rPr/>
        <w:pict>
          <v:rect style="position:absolute;margin-left:72.024002pt;margin-top:175.434814pt;width:144.020pt;height:.60004pt;mso-position-horizontal-relative:page;mso-position-vertical-relative:paragraph;z-index:-15645696;mso-wrap-distance-left:0;mso-wrap-distance-right:0" filled="true" fillcolor="#000000" stroked="false">
            <v:fill type="solid"/>
            <w10:wrap type="topAndBottom"/>
          </v:rect>
        </w:pict>
      </w:r>
      <w:r>
        <w:rPr>
          <w:sz w:val="25"/>
        </w:rPr>
        <w:t>Ms Arora sought to rely on the testimonies of Jayanti Prasad (DW 20/5) and Dr Supriya Verma (PW 32) in support of the submission that apart from Hindu religious structures, these architectural fragments could belong to Buddhist or Jain structures as well. Dr Supriya Verma states that it could well have been a part of palaces or may belong to an Islamic structure. Extracts from the depositions of the two witnesses are set out</w:t>
      </w:r>
      <w:r>
        <w:rPr>
          <w:spacing w:val="-5"/>
          <w:sz w:val="25"/>
        </w:rPr>
        <w:t> </w:t>
      </w:r>
      <w:r>
        <w:rPr>
          <w:sz w:val="25"/>
        </w:rPr>
        <w:t>below:</w:t>
      </w:r>
    </w:p>
    <w:p>
      <w:pPr>
        <w:pStyle w:val="BodyText"/>
        <w:spacing w:before="1"/>
        <w:rPr>
          <w:sz w:val="16"/>
        </w:rPr>
      </w:pPr>
    </w:p>
    <w:p>
      <w:pPr>
        <w:spacing w:before="131"/>
        <w:ind w:left="500" w:right="512" w:firstLine="0"/>
        <w:jc w:val="left"/>
        <w:rPr>
          <w:sz w:val="18"/>
        </w:rPr>
      </w:pPr>
      <w:r>
        <w:rPr>
          <w:w w:val="105"/>
          <w:sz w:val="18"/>
          <w:vertAlign w:val="superscript"/>
        </w:rPr>
        <w:t>293</w:t>
      </w:r>
      <w:r>
        <w:rPr>
          <w:w w:val="105"/>
          <w:sz w:val="18"/>
          <w:vertAlign w:val="baseline"/>
        </w:rPr>
        <w:t> Adam Hardy, </w:t>
      </w:r>
      <w:r>
        <w:rPr>
          <w:i/>
          <w:w w:val="105"/>
          <w:sz w:val="18"/>
          <w:vertAlign w:val="baseline"/>
        </w:rPr>
        <w:t>Indian temple architecture form and transformation the ar a </w:t>
      </w:r>
      <w:r>
        <w:rPr>
          <w:i/>
          <w:w w:val="150"/>
          <w:sz w:val="18"/>
          <w:vertAlign w:val="baseline"/>
        </w:rPr>
        <w:t>r </w:t>
      </w:r>
      <w:r>
        <w:rPr>
          <w:i/>
          <w:w w:val="105"/>
          <w:sz w:val="18"/>
          <w:vertAlign w:val="baseline"/>
        </w:rPr>
        <w:t>vi a tradition, th to th </w:t>
      </w:r>
      <w:r>
        <w:rPr>
          <w:i/>
          <w:w w:val="105"/>
          <w:sz w:val="18"/>
          <w:vertAlign w:val="baseline"/>
        </w:rPr>
        <w:t>centuries</w:t>
      </w:r>
      <w:r>
        <w:rPr>
          <w:w w:val="105"/>
          <w:sz w:val="18"/>
          <w:vertAlign w:val="baseline"/>
        </w:rPr>
        <w:t>.</w:t>
      </w:r>
      <w:r>
        <w:rPr>
          <w:spacing w:val="-6"/>
          <w:w w:val="105"/>
          <w:sz w:val="18"/>
          <w:vertAlign w:val="baseline"/>
        </w:rPr>
        <w:t> </w:t>
      </w:r>
      <w:r>
        <w:rPr>
          <w:w w:val="105"/>
          <w:sz w:val="18"/>
          <w:vertAlign w:val="baseline"/>
        </w:rPr>
        <w:t>New</w:t>
      </w:r>
      <w:r>
        <w:rPr>
          <w:spacing w:val="-9"/>
          <w:w w:val="105"/>
          <w:sz w:val="18"/>
          <w:vertAlign w:val="baseline"/>
        </w:rPr>
        <w:t> </w:t>
      </w:r>
      <w:r>
        <w:rPr>
          <w:w w:val="105"/>
          <w:sz w:val="18"/>
          <w:vertAlign w:val="baseline"/>
        </w:rPr>
        <w:t>Delhi:</w:t>
      </w:r>
      <w:r>
        <w:rPr>
          <w:spacing w:val="-8"/>
          <w:w w:val="105"/>
          <w:sz w:val="18"/>
          <w:vertAlign w:val="baseline"/>
        </w:rPr>
        <w:t> </w:t>
      </w:r>
      <w:r>
        <w:rPr>
          <w:w w:val="105"/>
          <w:sz w:val="18"/>
          <w:vertAlign w:val="baseline"/>
        </w:rPr>
        <w:t>Indira</w:t>
      </w:r>
      <w:r>
        <w:rPr>
          <w:spacing w:val="-6"/>
          <w:w w:val="105"/>
          <w:sz w:val="18"/>
          <w:vertAlign w:val="baseline"/>
        </w:rPr>
        <w:t> </w:t>
      </w:r>
      <w:r>
        <w:rPr>
          <w:w w:val="105"/>
          <w:sz w:val="18"/>
          <w:vertAlign w:val="baseline"/>
        </w:rPr>
        <w:t>Gandhi</w:t>
      </w:r>
      <w:r>
        <w:rPr>
          <w:spacing w:val="-8"/>
          <w:w w:val="105"/>
          <w:sz w:val="18"/>
          <w:vertAlign w:val="baseline"/>
        </w:rPr>
        <w:t> </w:t>
      </w:r>
      <w:r>
        <w:rPr>
          <w:w w:val="105"/>
          <w:sz w:val="18"/>
          <w:vertAlign w:val="baseline"/>
        </w:rPr>
        <w:t>National</w:t>
      </w:r>
      <w:r>
        <w:rPr>
          <w:spacing w:val="-8"/>
          <w:w w:val="105"/>
          <w:sz w:val="18"/>
          <w:vertAlign w:val="baseline"/>
        </w:rPr>
        <w:t> </w:t>
      </w:r>
      <w:r>
        <w:rPr>
          <w:w w:val="105"/>
          <w:sz w:val="18"/>
          <w:vertAlign w:val="baseline"/>
        </w:rPr>
        <w:t>Centre</w:t>
      </w:r>
      <w:r>
        <w:rPr>
          <w:spacing w:val="-7"/>
          <w:w w:val="105"/>
          <w:sz w:val="18"/>
          <w:vertAlign w:val="baseline"/>
        </w:rPr>
        <w:t> </w:t>
      </w:r>
      <w:r>
        <w:rPr>
          <w:w w:val="105"/>
          <w:sz w:val="18"/>
          <w:vertAlign w:val="baseline"/>
        </w:rPr>
        <w:t>for</w:t>
      </w:r>
      <w:r>
        <w:rPr>
          <w:spacing w:val="-6"/>
          <w:w w:val="105"/>
          <w:sz w:val="18"/>
          <w:vertAlign w:val="baseline"/>
        </w:rPr>
        <w:t> </w:t>
      </w:r>
      <w:r>
        <w:rPr>
          <w:w w:val="105"/>
          <w:sz w:val="18"/>
          <w:vertAlign w:val="baseline"/>
        </w:rPr>
        <w:t>the</w:t>
      </w:r>
      <w:r>
        <w:rPr>
          <w:spacing w:val="-8"/>
          <w:w w:val="105"/>
          <w:sz w:val="18"/>
          <w:vertAlign w:val="baseline"/>
        </w:rPr>
        <w:t> </w:t>
      </w:r>
      <w:r>
        <w:rPr>
          <w:w w:val="105"/>
          <w:sz w:val="18"/>
          <w:vertAlign w:val="baseline"/>
        </w:rPr>
        <w:t>Arts</w:t>
      </w:r>
      <w:r>
        <w:rPr>
          <w:spacing w:val="-5"/>
          <w:w w:val="105"/>
          <w:sz w:val="18"/>
          <w:vertAlign w:val="baseline"/>
        </w:rPr>
        <w:t> </w:t>
      </w:r>
      <w:r>
        <w:rPr>
          <w:w w:val="105"/>
          <w:sz w:val="18"/>
          <w:vertAlign w:val="baseline"/>
        </w:rPr>
        <w:t>(1995)</w:t>
      </w:r>
    </w:p>
    <w:p>
      <w:pPr>
        <w:spacing w:after="0"/>
        <w:jc w:val="left"/>
        <w:rPr>
          <w:sz w:val="18"/>
        </w:rPr>
        <w:sectPr>
          <w:pgSz w:w="11910" w:h="16840"/>
          <w:pgMar w:header="721" w:footer="1014" w:top="1300" w:bottom="1200" w:left="940" w:right="1000"/>
        </w:sectPr>
      </w:pPr>
    </w:p>
    <w:p>
      <w:pPr>
        <w:spacing w:line="276" w:lineRule="auto" w:before="122"/>
        <w:ind w:left="1940" w:right="2597" w:firstLine="0"/>
        <w:jc w:val="both"/>
        <w:rPr>
          <w:sz w:val="21"/>
        </w:rPr>
      </w:pPr>
      <w:r>
        <w:rPr>
          <w:spacing w:val="-1"/>
          <w:w w:val="33"/>
          <w:sz w:val="21"/>
        </w:rPr>
        <w:t>―</w:t>
      </w:r>
      <w:r>
        <w:rPr>
          <w:spacing w:val="-1"/>
          <w:w w:val="100"/>
          <w:sz w:val="21"/>
        </w:rPr>
        <w:t>(a</w:t>
      </w:r>
      <w:r>
        <w:rPr>
          <w:w w:val="100"/>
          <w:sz w:val="21"/>
        </w:rPr>
        <w:t>)</w:t>
      </w:r>
      <w:r>
        <w:rPr>
          <w:sz w:val="21"/>
        </w:rPr>
        <w:t>       </w:t>
      </w:r>
      <w:r>
        <w:rPr>
          <w:spacing w:val="-1"/>
          <w:w w:val="100"/>
          <w:sz w:val="21"/>
        </w:rPr>
        <w:t>Mr</w:t>
      </w:r>
      <w:r>
        <w:rPr>
          <w:w w:val="100"/>
          <w:sz w:val="21"/>
        </w:rPr>
        <w:t>.</w:t>
      </w:r>
      <w:r>
        <w:rPr>
          <w:sz w:val="21"/>
        </w:rPr>
        <w:t> </w:t>
      </w:r>
      <w:r>
        <w:rPr>
          <w:w w:val="100"/>
          <w:sz w:val="21"/>
        </w:rPr>
        <w:t>Ja</w:t>
      </w:r>
      <w:r>
        <w:rPr>
          <w:spacing w:val="-3"/>
          <w:w w:val="100"/>
          <w:sz w:val="21"/>
        </w:rPr>
        <w:t>y</w:t>
      </w:r>
      <w:r>
        <w:rPr>
          <w:w w:val="100"/>
          <w:sz w:val="21"/>
        </w:rPr>
        <w:t>an</w:t>
      </w:r>
      <w:r>
        <w:rPr>
          <w:spacing w:val="-1"/>
          <w:w w:val="100"/>
          <w:sz w:val="21"/>
        </w:rPr>
        <w:t>t</w:t>
      </w:r>
      <w:r>
        <w:rPr>
          <w:w w:val="100"/>
          <w:sz w:val="21"/>
        </w:rPr>
        <w:t>i</w:t>
      </w:r>
      <w:r>
        <w:rPr>
          <w:sz w:val="21"/>
        </w:rPr>
        <w:t> </w:t>
      </w:r>
      <w:r>
        <w:rPr>
          <w:w w:val="100"/>
          <w:sz w:val="21"/>
        </w:rPr>
        <w:t>P</w:t>
      </w:r>
      <w:r>
        <w:rPr>
          <w:spacing w:val="-1"/>
          <w:w w:val="100"/>
          <w:sz w:val="21"/>
        </w:rPr>
        <w:t>r</w:t>
      </w:r>
      <w:r>
        <w:rPr>
          <w:spacing w:val="-3"/>
          <w:w w:val="100"/>
          <w:sz w:val="21"/>
        </w:rPr>
        <w:t>a</w:t>
      </w:r>
      <w:r>
        <w:rPr>
          <w:w w:val="100"/>
          <w:sz w:val="21"/>
        </w:rPr>
        <w:t>sad</w:t>
      </w:r>
      <w:r>
        <w:rPr>
          <w:sz w:val="21"/>
        </w:rPr>
        <w:t> </w:t>
      </w:r>
      <w:r>
        <w:rPr>
          <w:w w:val="100"/>
          <w:sz w:val="21"/>
        </w:rPr>
        <w:t>S</w:t>
      </w:r>
      <w:r>
        <w:rPr>
          <w:spacing w:val="-4"/>
          <w:w w:val="100"/>
          <w:sz w:val="21"/>
        </w:rPr>
        <w:t>r</w:t>
      </w:r>
      <w:r>
        <w:rPr>
          <w:w w:val="100"/>
          <w:sz w:val="21"/>
        </w:rPr>
        <w:t>i</w:t>
      </w:r>
      <w:r>
        <w:rPr>
          <w:spacing w:val="-3"/>
          <w:w w:val="100"/>
          <w:sz w:val="21"/>
        </w:rPr>
        <w:t>v</w:t>
      </w:r>
      <w:r>
        <w:rPr>
          <w:w w:val="100"/>
          <w:sz w:val="21"/>
        </w:rPr>
        <w:t>as</w:t>
      </w:r>
      <w:r>
        <w:rPr>
          <w:spacing w:val="-1"/>
          <w:w w:val="100"/>
          <w:sz w:val="21"/>
        </w:rPr>
        <w:t>t</w:t>
      </w:r>
      <w:r>
        <w:rPr>
          <w:w w:val="100"/>
          <w:sz w:val="21"/>
        </w:rPr>
        <w:t>av</w:t>
      </w:r>
      <w:r>
        <w:rPr>
          <w:sz w:val="21"/>
        </w:rPr>
        <w:t> </w:t>
      </w:r>
      <w:r>
        <w:rPr>
          <w:spacing w:val="-1"/>
          <w:w w:val="100"/>
          <w:sz w:val="21"/>
        </w:rPr>
        <w:t>(</w:t>
      </w:r>
      <w:r>
        <w:rPr>
          <w:spacing w:val="-4"/>
          <w:w w:val="100"/>
          <w:sz w:val="21"/>
        </w:rPr>
        <w:t>D</w:t>
      </w:r>
      <w:r>
        <w:rPr>
          <w:w w:val="100"/>
          <w:sz w:val="21"/>
        </w:rPr>
        <w:t>W</w:t>
      </w:r>
      <w:r>
        <w:rPr>
          <w:sz w:val="21"/>
        </w:rPr>
        <w:t> </w:t>
      </w:r>
      <w:r>
        <w:rPr>
          <w:w w:val="100"/>
          <w:sz w:val="21"/>
        </w:rPr>
        <w:t>20</w:t>
      </w:r>
      <w:r>
        <w:rPr>
          <w:spacing w:val="-1"/>
          <w:w w:val="100"/>
          <w:sz w:val="21"/>
        </w:rPr>
        <w:t>/</w:t>
      </w:r>
      <w:r>
        <w:rPr>
          <w:w w:val="100"/>
          <w:sz w:val="21"/>
        </w:rPr>
        <w:t>5),</w:t>
      </w:r>
      <w:r>
        <w:rPr>
          <w:sz w:val="21"/>
        </w:rPr>
        <w:t> </w:t>
      </w:r>
      <w:r>
        <w:rPr>
          <w:spacing w:val="-3"/>
          <w:w w:val="100"/>
          <w:sz w:val="21"/>
        </w:rPr>
        <w:t>a</w:t>
      </w:r>
      <w:r>
        <w:rPr>
          <w:w w:val="100"/>
          <w:sz w:val="21"/>
        </w:rPr>
        <w:t>n</w:t>
      </w:r>
      <w:r>
        <w:rPr>
          <w:sz w:val="21"/>
        </w:rPr>
        <w:t> </w:t>
      </w:r>
      <w:r>
        <w:rPr>
          <w:w w:val="100"/>
          <w:sz w:val="21"/>
        </w:rPr>
        <w:t>e</w:t>
      </w:r>
      <w:r>
        <w:rPr>
          <w:spacing w:val="-3"/>
          <w:w w:val="100"/>
          <w:sz w:val="21"/>
        </w:rPr>
        <w:t>x</w:t>
      </w:r>
      <w:r>
        <w:rPr>
          <w:w w:val="100"/>
          <w:sz w:val="21"/>
        </w:rPr>
        <w:t>pert </w:t>
      </w:r>
      <w:r>
        <w:rPr>
          <w:sz w:val="21"/>
        </w:rPr>
        <w:t>witness who supported the ASI Report:</w:t>
      </w:r>
    </w:p>
    <w:p>
      <w:pPr>
        <w:spacing w:line="276" w:lineRule="auto" w:before="0"/>
        <w:ind w:left="1940" w:right="2598" w:firstLine="0"/>
        <w:jc w:val="both"/>
        <w:rPr>
          <w:sz w:val="21"/>
        </w:rPr>
      </w:pPr>
      <w:r>
        <w:rPr>
          <w:w w:val="33"/>
          <w:sz w:val="21"/>
        </w:rPr>
        <w:t>―</w:t>
      </w:r>
      <w:r>
        <w:rPr>
          <w:w w:val="100"/>
          <w:sz w:val="21"/>
        </w:rPr>
        <w:t>…Amongst</w:t>
      </w:r>
      <w:r>
        <w:rPr>
          <w:sz w:val="21"/>
        </w:rPr>
        <w:t> </w:t>
      </w:r>
      <w:r>
        <w:rPr>
          <w:w w:val="100"/>
          <w:sz w:val="21"/>
        </w:rPr>
        <w:t>Jains,</w:t>
      </w:r>
      <w:r>
        <w:rPr>
          <w:sz w:val="21"/>
        </w:rPr>
        <w:t> </w:t>
      </w:r>
      <w:r>
        <w:rPr>
          <w:w w:val="100"/>
          <w:sz w:val="21"/>
        </w:rPr>
        <w:t>big</w:t>
      </w:r>
      <w:r>
        <w:rPr>
          <w:sz w:val="21"/>
        </w:rPr>
        <w:t> </w:t>
      </w:r>
      <w:r>
        <w:rPr>
          <w:w w:val="100"/>
          <w:sz w:val="21"/>
        </w:rPr>
        <w:t>temples</w:t>
      </w:r>
      <w:r>
        <w:rPr>
          <w:sz w:val="21"/>
        </w:rPr>
        <w:t> </w:t>
      </w:r>
      <w:r>
        <w:rPr>
          <w:w w:val="100"/>
          <w:sz w:val="21"/>
        </w:rPr>
        <w:t>are</w:t>
      </w:r>
      <w:r>
        <w:rPr>
          <w:sz w:val="21"/>
        </w:rPr>
        <w:t> </w:t>
      </w:r>
      <w:r>
        <w:rPr>
          <w:w w:val="100"/>
          <w:sz w:val="21"/>
        </w:rPr>
        <w:t>found</w:t>
      </w:r>
      <w:r>
        <w:rPr>
          <w:sz w:val="21"/>
        </w:rPr>
        <w:t> </w:t>
      </w:r>
      <w:r>
        <w:rPr>
          <w:w w:val="100"/>
          <w:sz w:val="21"/>
        </w:rPr>
        <w:t>but</w:t>
      </w:r>
      <w:r>
        <w:rPr>
          <w:sz w:val="21"/>
        </w:rPr>
        <w:t> </w:t>
      </w:r>
      <w:r>
        <w:rPr>
          <w:w w:val="100"/>
          <w:sz w:val="21"/>
        </w:rPr>
        <w:t>architectural </w:t>
      </w:r>
      <w:r>
        <w:rPr>
          <w:sz w:val="21"/>
        </w:rPr>
        <w:t>pattern is the same i.e. North Indian Shikhar style…‖</w:t>
      </w:r>
    </w:p>
    <w:p>
      <w:pPr>
        <w:spacing w:before="1"/>
        <w:ind w:left="1940" w:right="0" w:firstLine="0"/>
        <w:jc w:val="both"/>
        <w:rPr>
          <w:sz w:val="21"/>
        </w:rPr>
      </w:pPr>
      <w:r>
        <w:rPr>
          <w:sz w:val="21"/>
        </w:rPr>
        <w:t>(b) Dr Supriya Varma (PW 32) deposed thus:</w:t>
      </w:r>
    </w:p>
    <w:p>
      <w:pPr>
        <w:spacing w:line="276" w:lineRule="auto" w:before="37"/>
        <w:ind w:left="1940" w:right="2595" w:firstLine="0"/>
        <w:jc w:val="both"/>
        <w:rPr>
          <w:sz w:val="21"/>
        </w:rPr>
      </w:pPr>
      <w:r>
        <w:rPr>
          <w:spacing w:val="-1"/>
          <w:w w:val="33"/>
          <w:sz w:val="21"/>
        </w:rPr>
        <w:t>―</w:t>
      </w:r>
      <w:r>
        <w:rPr>
          <w:w w:val="100"/>
          <w:sz w:val="21"/>
        </w:rPr>
        <w:t>I</w:t>
      </w:r>
      <w:r>
        <w:rPr>
          <w:sz w:val="21"/>
        </w:rPr>
        <w:t> </w:t>
      </w:r>
      <w:r>
        <w:rPr>
          <w:spacing w:val="-10"/>
          <w:sz w:val="21"/>
        </w:rPr>
        <w:t> </w:t>
      </w:r>
      <w:r>
        <w:rPr>
          <w:spacing w:val="-2"/>
          <w:w w:val="100"/>
          <w:sz w:val="21"/>
        </w:rPr>
        <w:t>t</w:t>
      </w:r>
      <w:r>
        <w:rPr>
          <w:spacing w:val="-1"/>
          <w:w w:val="100"/>
          <w:sz w:val="21"/>
        </w:rPr>
        <w:t>h</w:t>
      </w:r>
      <w:r>
        <w:rPr>
          <w:spacing w:val="1"/>
          <w:w w:val="100"/>
          <w:sz w:val="21"/>
        </w:rPr>
        <w:t>i</w:t>
      </w:r>
      <w:r>
        <w:rPr>
          <w:spacing w:val="-3"/>
          <w:w w:val="100"/>
          <w:sz w:val="21"/>
        </w:rPr>
        <w:t>n</w:t>
      </w:r>
      <w:r>
        <w:rPr>
          <w:spacing w:val="2"/>
          <w:w w:val="100"/>
          <w:sz w:val="21"/>
        </w:rPr>
        <w:t>k</w:t>
      </w:r>
      <w:r>
        <w:rPr>
          <w:w w:val="100"/>
          <w:sz w:val="21"/>
        </w:rPr>
        <w:t>,</w:t>
      </w:r>
      <w:r>
        <w:rPr>
          <w:sz w:val="21"/>
        </w:rPr>
        <w:t> </w:t>
      </w:r>
      <w:r>
        <w:rPr>
          <w:spacing w:val="-10"/>
          <w:sz w:val="21"/>
        </w:rPr>
        <w:t> </w:t>
      </w:r>
      <w:r>
        <w:rPr>
          <w:spacing w:val="-3"/>
          <w:w w:val="100"/>
          <w:sz w:val="21"/>
        </w:rPr>
        <w:t>v</w:t>
      </w:r>
      <w:r>
        <w:rPr>
          <w:spacing w:val="-1"/>
          <w:w w:val="100"/>
          <w:sz w:val="21"/>
        </w:rPr>
        <w:t>er</w:t>
      </w:r>
      <w:r>
        <w:rPr>
          <w:w w:val="100"/>
          <w:sz w:val="21"/>
        </w:rPr>
        <w:t>y</w:t>
      </w:r>
      <w:r>
        <w:rPr>
          <w:sz w:val="21"/>
        </w:rPr>
        <w:t> </w:t>
      </w:r>
      <w:r>
        <w:rPr>
          <w:spacing w:val="-12"/>
          <w:sz w:val="21"/>
        </w:rPr>
        <w:t> </w:t>
      </w:r>
      <w:r>
        <w:rPr>
          <w:w w:val="100"/>
          <w:sz w:val="21"/>
        </w:rPr>
        <w:t>ca</w:t>
      </w:r>
      <w:r>
        <w:rPr>
          <w:spacing w:val="-1"/>
          <w:w w:val="100"/>
          <w:sz w:val="21"/>
        </w:rPr>
        <w:t>tego</w:t>
      </w:r>
      <w:r>
        <w:rPr>
          <w:spacing w:val="-3"/>
          <w:w w:val="100"/>
          <w:sz w:val="21"/>
        </w:rPr>
        <w:t>r</w:t>
      </w:r>
      <w:r>
        <w:rPr>
          <w:w w:val="100"/>
          <w:sz w:val="21"/>
        </w:rPr>
        <w:t>ic</w:t>
      </w:r>
      <w:r>
        <w:rPr>
          <w:spacing w:val="-3"/>
          <w:w w:val="100"/>
          <w:sz w:val="21"/>
        </w:rPr>
        <w:t>a</w:t>
      </w:r>
      <w:r>
        <w:rPr>
          <w:w w:val="100"/>
          <w:sz w:val="21"/>
        </w:rPr>
        <w:t>l</w:t>
      </w:r>
      <w:r>
        <w:rPr>
          <w:spacing w:val="-2"/>
          <w:w w:val="100"/>
          <w:sz w:val="21"/>
        </w:rPr>
        <w:t>l</w:t>
      </w:r>
      <w:r>
        <w:rPr>
          <w:w w:val="100"/>
          <w:sz w:val="21"/>
        </w:rPr>
        <w:t>y</w:t>
      </w:r>
      <w:r>
        <w:rPr>
          <w:sz w:val="21"/>
        </w:rPr>
        <w:t> </w:t>
      </w:r>
      <w:r>
        <w:rPr>
          <w:spacing w:val="-12"/>
          <w:sz w:val="21"/>
        </w:rPr>
        <w:t> </w:t>
      </w:r>
      <w:r>
        <w:rPr>
          <w:w w:val="100"/>
          <w:sz w:val="21"/>
        </w:rPr>
        <w:t>it</w:t>
      </w:r>
      <w:r>
        <w:rPr>
          <w:sz w:val="21"/>
        </w:rPr>
        <w:t> </w:t>
      </w:r>
      <w:r>
        <w:rPr>
          <w:spacing w:val="-10"/>
          <w:sz w:val="21"/>
        </w:rPr>
        <w:t> </w:t>
      </w:r>
      <w:r>
        <w:rPr>
          <w:w w:val="100"/>
          <w:sz w:val="21"/>
        </w:rPr>
        <w:t>is</w:t>
      </w:r>
      <w:r>
        <w:rPr>
          <w:sz w:val="21"/>
        </w:rPr>
        <w:t> </w:t>
      </w:r>
      <w:r>
        <w:rPr>
          <w:spacing w:val="-9"/>
          <w:sz w:val="21"/>
        </w:rPr>
        <w:t> </w:t>
      </w:r>
      <w:r>
        <w:rPr>
          <w:spacing w:val="-3"/>
          <w:w w:val="100"/>
          <w:sz w:val="21"/>
        </w:rPr>
        <w:t>v</w:t>
      </w:r>
      <w:r>
        <w:rPr>
          <w:spacing w:val="-1"/>
          <w:w w:val="100"/>
          <w:sz w:val="21"/>
        </w:rPr>
        <w:t>er</w:t>
      </w:r>
      <w:r>
        <w:rPr>
          <w:w w:val="100"/>
          <w:sz w:val="21"/>
        </w:rPr>
        <w:t>y</w:t>
      </w:r>
      <w:r>
        <w:rPr>
          <w:sz w:val="21"/>
        </w:rPr>
        <w:t> </w:t>
      </w:r>
      <w:r>
        <w:rPr>
          <w:spacing w:val="-12"/>
          <w:sz w:val="21"/>
        </w:rPr>
        <w:t> </w:t>
      </w:r>
      <w:r>
        <w:rPr>
          <w:spacing w:val="-1"/>
          <w:w w:val="100"/>
          <w:sz w:val="21"/>
        </w:rPr>
        <w:t>d</w:t>
      </w:r>
      <w:r>
        <w:rPr>
          <w:spacing w:val="-2"/>
          <w:w w:val="100"/>
          <w:sz w:val="21"/>
        </w:rPr>
        <w:t>i</w:t>
      </w:r>
      <w:r>
        <w:rPr>
          <w:spacing w:val="1"/>
          <w:w w:val="100"/>
          <w:sz w:val="21"/>
        </w:rPr>
        <w:t>f</w:t>
      </w:r>
      <w:r>
        <w:rPr>
          <w:spacing w:val="-2"/>
          <w:w w:val="100"/>
          <w:sz w:val="21"/>
        </w:rPr>
        <w:t>f</w:t>
      </w:r>
      <w:r>
        <w:rPr>
          <w:w w:val="100"/>
          <w:sz w:val="21"/>
        </w:rPr>
        <w:t>i</w:t>
      </w:r>
      <w:r>
        <w:rPr>
          <w:spacing w:val="-3"/>
          <w:w w:val="100"/>
          <w:sz w:val="21"/>
        </w:rPr>
        <w:t>c</w:t>
      </w:r>
      <w:r>
        <w:rPr>
          <w:spacing w:val="-1"/>
          <w:w w:val="100"/>
          <w:sz w:val="21"/>
        </w:rPr>
        <w:t>u</w:t>
      </w:r>
      <w:r>
        <w:rPr>
          <w:spacing w:val="1"/>
          <w:w w:val="100"/>
          <w:sz w:val="21"/>
        </w:rPr>
        <w:t>l</w:t>
      </w:r>
      <w:r>
        <w:rPr>
          <w:w w:val="100"/>
          <w:sz w:val="21"/>
        </w:rPr>
        <w:t>t</w:t>
      </w:r>
      <w:r>
        <w:rPr>
          <w:sz w:val="21"/>
        </w:rPr>
        <w:t> </w:t>
      </w:r>
      <w:r>
        <w:rPr>
          <w:spacing w:val="-10"/>
          <w:sz w:val="21"/>
        </w:rPr>
        <w:t> </w:t>
      </w:r>
      <w:r>
        <w:rPr>
          <w:spacing w:val="-2"/>
          <w:w w:val="100"/>
          <w:sz w:val="21"/>
        </w:rPr>
        <w:t>t</w:t>
      </w:r>
      <w:r>
        <w:rPr>
          <w:w w:val="100"/>
          <w:sz w:val="21"/>
        </w:rPr>
        <w:t>o</w:t>
      </w:r>
      <w:r>
        <w:rPr>
          <w:sz w:val="21"/>
        </w:rPr>
        <w:t> </w:t>
      </w:r>
      <w:r>
        <w:rPr>
          <w:spacing w:val="-12"/>
          <w:sz w:val="21"/>
        </w:rPr>
        <w:t> </w:t>
      </w:r>
      <w:r>
        <w:rPr>
          <w:w w:val="100"/>
          <w:sz w:val="21"/>
        </w:rPr>
        <w:t>s</w:t>
      </w:r>
      <w:r>
        <w:rPr>
          <w:spacing w:val="-3"/>
          <w:w w:val="100"/>
          <w:sz w:val="21"/>
        </w:rPr>
        <w:t>a</w:t>
      </w:r>
      <w:r>
        <w:rPr>
          <w:w w:val="100"/>
          <w:sz w:val="21"/>
        </w:rPr>
        <w:t>y</w:t>
      </w:r>
      <w:r>
        <w:rPr>
          <w:sz w:val="21"/>
        </w:rPr>
        <w:t> </w:t>
      </w:r>
      <w:r>
        <w:rPr>
          <w:spacing w:val="-12"/>
          <w:sz w:val="21"/>
        </w:rPr>
        <w:t> </w:t>
      </w:r>
      <w:r>
        <w:rPr>
          <w:spacing w:val="-2"/>
          <w:w w:val="100"/>
          <w:sz w:val="21"/>
        </w:rPr>
        <w:t>t</w:t>
      </w:r>
      <w:r>
        <w:rPr>
          <w:spacing w:val="-1"/>
          <w:w w:val="100"/>
          <w:sz w:val="21"/>
        </w:rPr>
        <w:t>hat </w:t>
      </w:r>
      <w:r>
        <w:rPr>
          <w:sz w:val="21"/>
        </w:rPr>
        <w:t>some of the finds of ASI relate to Hindu religious structures because these finds could well have been part of palaces, Buddhist structure, Jain structure and Islamic structure…‖</w:t>
      </w:r>
    </w:p>
    <w:p>
      <w:pPr>
        <w:pStyle w:val="BodyText"/>
        <w:spacing w:before="2"/>
        <w:rPr>
          <w:sz w:val="24"/>
        </w:rPr>
      </w:pPr>
    </w:p>
    <w:p>
      <w:pPr>
        <w:pStyle w:val="BodyText"/>
        <w:spacing w:line="480" w:lineRule="auto"/>
        <w:ind w:left="500" w:right="460"/>
        <w:jc w:val="both"/>
      </w:pPr>
      <w:r>
        <w:rPr/>
        <w:t>The possible linkages of Buddhist or Jain traditions cannot be excluded. Indeed, in assessing archaeological or historical material one must eschew </w:t>
      </w:r>
      <w:r>
        <w:rPr>
          <w:spacing w:val="3"/>
        </w:rPr>
        <w:t>an </w:t>
      </w:r>
      <w:r>
        <w:rPr/>
        <w:t>unidimensional view. The excavation in the present case does in fact suggest a confluence of civilisations, cultures and</w:t>
      </w:r>
      <w:r>
        <w:rPr>
          <w:spacing w:val="-3"/>
        </w:rPr>
        <w:t> </w:t>
      </w:r>
      <w:r>
        <w:rPr/>
        <w:t>traditions.</w:t>
      </w:r>
    </w:p>
    <w:p>
      <w:pPr>
        <w:pStyle w:val="BodyText"/>
      </w:pPr>
    </w:p>
    <w:p>
      <w:pPr>
        <w:pStyle w:val="BodyText"/>
        <w:spacing w:line="480" w:lineRule="auto" w:before="1"/>
        <w:ind w:left="500" w:right="437"/>
        <w:jc w:val="both"/>
      </w:pPr>
      <w:r>
        <w:rPr/>
        <w:t>Carefully analysing these depositions, the issue essentially is whether this will discredit the overall findings contained in the ASI report. In specialised subjects, experts may and do differ. The statement that some of the fragments belong to an Islamic structure has in fact been noticed in the ASI report. The report </w:t>
      </w:r>
      <w:r>
        <w:rPr>
          <w:w w:val="99"/>
        </w:rPr>
        <w:t>specifical</w:t>
      </w:r>
      <w:r>
        <w:rPr>
          <w:spacing w:val="2"/>
          <w:w w:val="99"/>
        </w:rPr>
        <w:t>l</w:t>
      </w:r>
      <w:r>
        <w:rPr>
          <w:w w:val="99"/>
        </w:rPr>
        <w:t>y</w:t>
      </w:r>
      <w:r>
        <w:rPr>
          <w:spacing w:val="-3"/>
        </w:rPr>
        <w:t> </w:t>
      </w:r>
      <w:r>
        <w:rPr>
          <w:w w:val="99"/>
        </w:rPr>
        <w:t>speaks</w:t>
      </w:r>
      <w:r>
        <w:rPr>
          <w:spacing w:val="-1"/>
        </w:rPr>
        <w:t> </w:t>
      </w:r>
      <w:r>
        <w:rPr>
          <w:w w:val="99"/>
        </w:rPr>
        <w:t>o</w:t>
      </w:r>
      <w:r>
        <w:rPr>
          <w:w w:val="99"/>
        </w:rPr>
        <w:t>f</w:t>
      </w:r>
      <w:r>
        <w:rPr>
          <w:spacing w:val="2"/>
        </w:rPr>
        <w:t> </w:t>
      </w:r>
      <w:r>
        <w:rPr>
          <w:w w:val="99"/>
        </w:rPr>
        <w:t>those</w:t>
      </w:r>
      <w:r>
        <w:rPr>
          <w:spacing w:val="-1"/>
        </w:rPr>
        <w:t> </w:t>
      </w:r>
      <w:r>
        <w:rPr>
          <w:w w:val="99"/>
        </w:rPr>
        <w:t>f</w:t>
      </w:r>
      <w:r>
        <w:rPr>
          <w:w w:val="99"/>
        </w:rPr>
        <w:t>r</w:t>
      </w:r>
      <w:r>
        <w:rPr>
          <w:w w:val="99"/>
        </w:rPr>
        <w:t>ag</w:t>
      </w:r>
      <w:r>
        <w:rPr>
          <w:w w:val="99"/>
        </w:rPr>
        <w:t>m</w:t>
      </w:r>
      <w:r>
        <w:rPr>
          <w:w w:val="99"/>
        </w:rPr>
        <w:t>en</w:t>
      </w:r>
      <w:r>
        <w:rPr>
          <w:w w:val="99"/>
        </w:rPr>
        <w:t>ts</w:t>
      </w:r>
      <w:r>
        <w:rPr>
          <w:spacing w:val="-1"/>
        </w:rPr>
        <w:t> </w:t>
      </w:r>
      <w:r>
        <w:rPr>
          <w:w w:val="99"/>
        </w:rPr>
        <w:t>den</w:t>
      </w:r>
      <w:r>
        <w:rPr>
          <w:spacing w:val="-2"/>
          <w:w w:val="99"/>
        </w:rPr>
        <w:t>o</w:t>
      </w:r>
      <w:r>
        <w:rPr>
          <w:w w:val="99"/>
        </w:rPr>
        <w:t>ted</w:t>
      </w:r>
      <w:r>
        <w:rPr/>
        <w:t> </w:t>
      </w:r>
      <w:r>
        <w:rPr>
          <w:w w:val="99"/>
        </w:rPr>
        <w:t>by</w:t>
      </w:r>
      <w:r>
        <w:rPr>
          <w:spacing w:val="-2"/>
        </w:rPr>
        <w:t> </w:t>
      </w:r>
      <w:r>
        <w:rPr>
          <w:w w:val="99"/>
        </w:rPr>
        <w:t>pla</w:t>
      </w:r>
      <w:r>
        <w:rPr>
          <w:w w:val="99"/>
        </w:rPr>
        <w:t>tes</w:t>
      </w:r>
      <w:r>
        <w:rPr/>
        <w:t> </w:t>
      </w:r>
      <w:r>
        <w:rPr>
          <w:w w:val="99"/>
        </w:rPr>
        <w:t>9</w:t>
      </w:r>
      <w:r>
        <w:rPr>
          <w:spacing w:val="6"/>
          <w:w w:val="99"/>
        </w:rPr>
        <w:t>2</w:t>
      </w:r>
      <w:r>
        <w:rPr>
          <w:w w:val="99"/>
        </w:rPr>
        <w:t>-</w:t>
      </w:r>
      <w:r>
        <w:rPr>
          <w:spacing w:val="-1"/>
          <w:w w:val="99"/>
        </w:rPr>
        <w:t>9</w:t>
      </w:r>
      <w:r>
        <w:rPr>
          <w:w w:val="99"/>
        </w:rPr>
        <w:t>4</w:t>
      </w:r>
      <w:r>
        <w:rPr/>
        <w:t> </w:t>
      </w:r>
      <w:r>
        <w:rPr>
          <w:spacing w:val="2"/>
          <w:w w:val="99"/>
        </w:rPr>
        <w:t>w</w:t>
      </w:r>
      <w:r>
        <w:rPr>
          <w:spacing w:val="-1"/>
          <w:w w:val="99"/>
        </w:rPr>
        <w:t>hic</w:t>
      </w:r>
      <w:r>
        <w:rPr>
          <w:w w:val="99"/>
        </w:rPr>
        <w:t>h</w:t>
      </w:r>
      <w:r>
        <w:rPr/>
        <w:t> </w:t>
      </w:r>
      <w:r>
        <w:rPr>
          <w:w w:val="33"/>
        </w:rPr>
        <w:t>―</w:t>
      </w:r>
      <w:r>
        <w:rPr>
          <w:w w:val="99"/>
        </w:rPr>
        <w:t>can</w:t>
      </w:r>
      <w:r>
        <w:rPr/>
        <w:t> </w:t>
      </w:r>
      <w:r>
        <w:rPr>
          <w:w w:val="99"/>
        </w:rPr>
        <w:t>clear</w:t>
      </w:r>
      <w:r>
        <w:rPr>
          <w:spacing w:val="1"/>
          <w:w w:val="99"/>
        </w:rPr>
        <w:t>l</w:t>
      </w:r>
      <w:r>
        <w:rPr>
          <w:w w:val="99"/>
        </w:rPr>
        <w:t>y </w:t>
      </w:r>
      <w:r>
        <w:rPr/>
        <w:t>be associated the Islamic architecture on stylistic ground‖. Hence, the ASI report delineated those architectural recoveries which belong to Islamic architecture of the sixteenth century. Even taking the opinion of </w:t>
      </w:r>
      <w:r>
        <w:rPr>
          <w:spacing w:val="-3"/>
        </w:rPr>
        <w:t>DW </w:t>
      </w:r>
      <w:r>
        <w:rPr/>
        <w:t>20/5 and </w:t>
      </w:r>
      <w:r>
        <w:rPr>
          <w:spacing w:val="-3"/>
        </w:rPr>
        <w:t>PW </w:t>
      </w:r>
      <w:r>
        <w:rPr/>
        <w:t>32 that the recoveries may also be consistent with a palace or a Buddhist and Jain structures, the noteworthy point that emerges is that those fragments are of a non-Islamic origin (except for those specific artefacts which have been identified to be of an Islamic origin by ASI, as noted</w:t>
      </w:r>
      <w:r>
        <w:rPr>
          <w:spacing w:val="-8"/>
        </w:rPr>
        <w:t> </w:t>
      </w:r>
      <w:r>
        <w:rPr/>
        <w:t>above).</w:t>
      </w:r>
    </w:p>
    <w:p>
      <w:pPr>
        <w:pStyle w:val="BodyText"/>
        <w:spacing w:before="11"/>
        <w:rPr>
          <w:sz w:val="24"/>
        </w:rPr>
      </w:pPr>
    </w:p>
    <w:p>
      <w:pPr>
        <w:pStyle w:val="BodyText"/>
        <w:spacing w:line="482" w:lineRule="auto"/>
        <w:ind w:left="500" w:right="439"/>
        <w:jc w:val="both"/>
      </w:pPr>
      <w:r>
        <w:rPr/>
        <w:t>Once this is the position, the ASI report has to be read and interpreted in its entirety. It would be unfair to reject the conclusions which have been arrived at by</w:t>
      </w:r>
    </w:p>
    <w:p>
      <w:pPr>
        <w:spacing w:after="0" w:line="482" w:lineRule="auto"/>
        <w:jc w:val="both"/>
        <w:sectPr>
          <w:pgSz w:w="11910" w:h="16840"/>
          <w:pgMar w:header="721" w:footer="1014" w:top="1300" w:bottom="1200" w:left="940" w:right="1000"/>
        </w:sectPr>
      </w:pPr>
    </w:p>
    <w:p>
      <w:pPr>
        <w:pStyle w:val="BodyText"/>
        <w:spacing w:line="480" w:lineRule="auto" w:before="124"/>
        <w:ind w:left="500" w:right="438"/>
        <w:jc w:val="both"/>
      </w:pPr>
      <w:r>
        <w:rPr/>
        <w:t>an expert team which carried out the excavation under the orders of the High Court and has carefully analysed the recoveries from distinct perspectives. Yet the report must be read contextually, allowing for genuine divergences that arise on matters of interpretation.</w:t>
      </w:r>
    </w:p>
    <w:p>
      <w:pPr>
        <w:pStyle w:val="BodyText"/>
        <w:spacing w:before="11"/>
        <w:rPr>
          <w:sz w:val="38"/>
        </w:rPr>
      </w:pPr>
    </w:p>
    <w:p>
      <w:pPr>
        <w:pStyle w:val="BodyText"/>
        <w:spacing w:line="480" w:lineRule="auto"/>
        <w:ind w:left="500" w:right="444"/>
        <w:jc w:val="both"/>
      </w:pPr>
      <w:r>
        <w:rPr/>
        <w:t>The formulation of conclusions by the ASI was preceded by a careful analysis of the excavated materials. Individually, a different view may be possible in respect of discrete recoveries or finds. However, the test which the court must apply is whether on a preponderance of probabilities, the conclusions which have been drawn by the ASI are justified.</w:t>
      </w:r>
    </w:p>
    <w:p>
      <w:pPr>
        <w:pStyle w:val="BodyText"/>
        <w:spacing w:before="10"/>
        <w:rPr>
          <w:sz w:val="24"/>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Though bias and </w:t>
      </w:r>
      <w:r>
        <w:rPr>
          <w:i/>
          <w:sz w:val="25"/>
        </w:rPr>
        <w:t>mala fides </w:t>
      </w:r>
      <w:r>
        <w:rPr>
          <w:sz w:val="25"/>
        </w:rPr>
        <w:t>were sought to be attributed to the ASI during the course of the proceedings before the High Court, Ms Arora, learned Senior Counsel has specifically submitted that no case to that effect is being pressed in the present appeals. In fact, when Mr Vaidyanathan attributed a submission of bias or </w:t>
      </w:r>
      <w:r>
        <w:rPr>
          <w:i/>
          <w:sz w:val="25"/>
        </w:rPr>
        <w:t>mala fides </w:t>
      </w:r>
      <w:r>
        <w:rPr>
          <w:sz w:val="25"/>
        </w:rPr>
        <w:t>to Ms Arora with respect to the task undertaken by the ASI, Ms Arora intervened to state that she had not made any submission to that</w:t>
      </w:r>
      <w:r>
        <w:rPr>
          <w:spacing w:val="-19"/>
          <w:sz w:val="25"/>
        </w:rPr>
        <w:t> </w:t>
      </w:r>
      <w:r>
        <w:rPr>
          <w:sz w:val="25"/>
        </w:rPr>
        <w:t>effect.</w:t>
      </w:r>
    </w:p>
    <w:p>
      <w:pPr>
        <w:pStyle w:val="BodyText"/>
        <w:spacing w:before="1"/>
        <w:rPr>
          <w:sz w:val="39"/>
        </w:rPr>
      </w:pPr>
    </w:p>
    <w:p>
      <w:pPr>
        <w:pStyle w:val="BodyText"/>
        <w:spacing w:line="480" w:lineRule="auto"/>
        <w:ind w:left="500" w:right="437"/>
        <w:jc w:val="both"/>
      </w:pPr>
      <w:r>
        <w:rPr/>
        <w:t>One of the criticisms of the ASI report is that no analysis was made of the recovery of bones and that thermoluminescence dating of pottery was not carried out. Justice Agarwal has noted that an analysis of the bones would have been instructive if they were recovered from the regular layer. However, in this case, </w:t>
      </w:r>
      <w:r>
        <w:rPr>
          <w:w w:val="99"/>
        </w:rPr>
        <w:t>they</w:t>
      </w:r>
      <w:r>
        <w:rPr>
          <w:spacing w:val="2"/>
        </w:rPr>
        <w:t> </w:t>
      </w:r>
      <w:r>
        <w:rPr>
          <w:spacing w:val="-1"/>
          <w:w w:val="99"/>
        </w:rPr>
        <w:t>h</w:t>
      </w:r>
      <w:r>
        <w:rPr>
          <w:spacing w:val="2"/>
          <w:w w:val="99"/>
        </w:rPr>
        <w:t>a</w:t>
      </w:r>
      <w:r>
        <w:rPr>
          <w:spacing w:val="-3"/>
          <w:w w:val="99"/>
        </w:rPr>
        <w:t>v</w:t>
      </w:r>
      <w:r>
        <w:rPr>
          <w:w w:val="99"/>
        </w:rPr>
        <w:t>e</w:t>
      </w:r>
      <w:r>
        <w:rPr>
          <w:spacing w:val="5"/>
        </w:rPr>
        <w:t> </w:t>
      </w:r>
      <w:r>
        <w:rPr>
          <w:spacing w:val="-1"/>
          <w:w w:val="99"/>
        </w:rPr>
        <w:t>b</w:t>
      </w:r>
      <w:r>
        <w:rPr>
          <w:w w:val="99"/>
        </w:rPr>
        <w:t>e</w:t>
      </w:r>
      <w:r>
        <w:rPr>
          <w:spacing w:val="-1"/>
          <w:w w:val="99"/>
        </w:rPr>
        <w:t>e</w:t>
      </w:r>
      <w:r>
        <w:rPr>
          <w:w w:val="99"/>
        </w:rPr>
        <w:t>n</w:t>
      </w:r>
      <w:r>
        <w:rPr>
          <w:spacing w:val="5"/>
        </w:rPr>
        <w:t> </w:t>
      </w:r>
      <w:r>
        <w:rPr>
          <w:w w:val="99"/>
        </w:rPr>
        <w:t>r</w:t>
      </w:r>
      <w:r>
        <w:rPr>
          <w:spacing w:val="-1"/>
          <w:w w:val="99"/>
        </w:rPr>
        <w:t>ec</w:t>
      </w:r>
      <w:r>
        <w:rPr>
          <w:w w:val="99"/>
        </w:rPr>
        <w:t>ove</w:t>
      </w:r>
      <w:r>
        <w:rPr>
          <w:spacing w:val="1"/>
          <w:w w:val="99"/>
        </w:rPr>
        <w:t>r</w:t>
      </w:r>
      <w:r>
        <w:rPr>
          <w:spacing w:val="-1"/>
          <w:w w:val="99"/>
        </w:rPr>
        <w:t>e</w:t>
      </w:r>
      <w:r>
        <w:rPr>
          <w:w w:val="99"/>
        </w:rPr>
        <w:t>d</w:t>
      </w:r>
      <w:r>
        <w:rPr>
          <w:spacing w:val="5"/>
        </w:rPr>
        <w:t> </w:t>
      </w:r>
      <w:r>
        <w:rPr>
          <w:w w:val="99"/>
        </w:rPr>
        <w:t>fr</w:t>
      </w:r>
      <w:r>
        <w:rPr>
          <w:spacing w:val="-1"/>
          <w:w w:val="99"/>
        </w:rPr>
        <w:t>o</w:t>
      </w:r>
      <w:r>
        <w:rPr>
          <w:w w:val="99"/>
        </w:rPr>
        <w:t>m</w:t>
      </w:r>
      <w:r>
        <w:rPr>
          <w:spacing w:val="5"/>
        </w:rPr>
        <w:t> </w:t>
      </w:r>
      <w:r>
        <w:rPr>
          <w:w w:val="99"/>
        </w:rPr>
        <w:t>a</w:t>
      </w:r>
      <w:r>
        <w:rPr>
          <w:spacing w:val="5"/>
        </w:rPr>
        <w:t> </w:t>
      </w:r>
      <w:r>
        <w:rPr>
          <w:w w:val="99"/>
        </w:rPr>
        <w:t>filling</w:t>
      </w:r>
      <w:r>
        <w:rPr>
          <w:spacing w:val="5"/>
        </w:rPr>
        <w:t> </w:t>
      </w:r>
      <w:r>
        <w:rPr>
          <w:spacing w:val="-1"/>
          <w:w w:val="99"/>
        </w:rPr>
        <w:t>a</w:t>
      </w:r>
      <w:r>
        <w:rPr>
          <w:w w:val="99"/>
        </w:rPr>
        <w:t>nd</w:t>
      </w:r>
      <w:r>
        <w:rPr>
          <w:spacing w:val="2"/>
        </w:rPr>
        <w:t> </w:t>
      </w:r>
      <w:r>
        <w:rPr>
          <w:spacing w:val="-1"/>
          <w:w w:val="99"/>
        </w:rPr>
        <w:t>h</w:t>
      </w:r>
      <w:r>
        <w:rPr>
          <w:w w:val="99"/>
        </w:rPr>
        <w:t>e</w:t>
      </w:r>
      <w:r>
        <w:rPr>
          <w:spacing w:val="-1"/>
          <w:w w:val="99"/>
        </w:rPr>
        <w:t>nc</w:t>
      </w:r>
      <w:r>
        <w:rPr>
          <w:w w:val="99"/>
        </w:rPr>
        <w:t>e</w:t>
      </w:r>
      <w:r>
        <w:rPr>
          <w:spacing w:val="5"/>
        </w:rPr>
        <w:t> </w:t>
      </w:r>
      <w:r>
        <w:rPr>
          <w:spacing w:val="-1"/>
          <w:w w:val="99"/>
        </w:rPr>
        <w:t>we</w:t>
      </w:r>
      <w:r>
        <w:rPr>
          <w:w w:val="99"/>
        </w:rPr>
        <w:t>re</w:t>
      </w:r>
      <w:r>
        <w:rPr>
          <w:spacing w:val="5"/>
        </w:rPr>
        <w:t> </w:t>
      </w:r>
      <w:r>
        <w:rPr>
          <w:spacing w:val="-1"/>
          <w:w w:val="99"/>
        </w:rPr>
        <w:t>h</w:t>
      </w:r>
      <w:r>
        <w:rPr>
          <w:w w:val="99"/>
        </w:rPr>
        <w:t>e</w:t>
      </w:r>
      <w:r>
        <w:rPr>
          <w:spacing w:val="-1"/>
          <w:w w:val="99"/>
        </w:rPr>
        <w:t>l</w:t>
      </w:r>
      <w:r>
        <w:rPr>
          <w:w w:val="99"/>
        </w:rPr>
        <w:t>d</w:t>
      </w:r>
      <w:r>
        <w:rPr>
          <w:spacing w:val="4"/>
        </w:rPr>
        <w:t> </w:t>
      </w:r>
      <w:r>
        <w:rPr>
          <w:w w:val="99"/>
        </w:rPr>
        <w:t>to</w:t>
      </w:r>
      <w:r>
        <w:rPr>
          <w:spacing w:val="5"/>
        </w:rPr>
        <w:t> </w:t>
      </w:r>
      <w:r>
        <w:rPr>
          <w:w w:val="33"/>
        </w:rPr>
        <w:t>―</w:t>
      </w:r>
      <w:r>
        <w:rPr>
          <w:spacing w:val="-3"/>
          <w:w w:val="99"/>
        </w:rPr>
        <w:t>l</w:t>
      </w:r>
      <w:r>
        <w:rPr>
          <w:spacing w:val="-1"/>
          <w:w w:val="99"/>
        </w:rPr>
        <w:t>os</w:t>
      </w:r>
      <w:r>
        <w:rPr>
          <w:w w:val="99"/>
        </w:rPr>
        <w:t>e</w:t>
      </w:r>
      <w:r>
        <w:rPr>
          <w:spacing w:val="5"/>
        </w:rPr>
        <w:t> </w:t>
      </w:r>
      <w:r>
        <w:rPr>
          <w:w w:val="99"/>
        </w:rPr>
        <w:t>significa</w:t>
      </w:r>
      <w:r>
        <w:rPr>
          <w:spacing w:val="-1"/>
          <w:w w:val="99"/>
        </w:rPr>
        <w:t>nce </w:t>
      </w:r>
      <w:r>
        <w:rPr/>
        <w:t>and</w:t>
      </w:r>
      <w:r>
        <w:rPr>
          <w:spacing w:val="-6"/>
        </w:rPr>
        <w:t> </w:t>
      </w:r>
      <w:r>
        <w:rPr/>
        <w:t>importance‖.</w:t>
      </w:r>
      <w:r>
        <w:rPr>
          <w:spacing w:val="-5"/>
        </w:rPr>
        <w:t> </w:t>
      </w:r>
      <w:r>
        <w:rPr/>
        <w:t>It</w:t>
      </w:r>
      <w:r>
        <w:rPr>
          <w:spacing w:val="-4"/>
        </w:rPr>
        <w:t> </w:t>
      </w:r>
      <w:r>
        <w:rPr/>
        <w:t>also</w:t>
      </w:r>
      <w:r>
        <w:rPr>
          <w:spacing w:val="-6"/>
        </w:rPr>
        <w:t> </w:t>
      </w:r>
      <w:r>
        <w:rPr/>
        <w:t>appears</w:t>
      </w:r>
      <w:r>
        <w:rPr>
          <w:spacing w:val="-5"/>
        </w:rPr>
        <w:t> </w:t>
      </w:r>
      <w:r>
        <w:rPr/>
        <w:t>that</w:t>
      </w:r>
      <w:r>
        <w:rPr>
          <w:spacing w:val="-5"/>
        </w:rPr>
        <w:t> </w:t>
      </w:r>
      <w:r>
        <w:rPr/>
        <w:t>the</w:t>
      </w:r>
      <w:r>
        <w:rPr>
          <w:spacing w:val="-5"/>
        </w:rPr>
        <w:t> </w:t>
      </w:r>
      <w:r>
        <w:rPr/>
        <w:t>facility</w:t>
      </w:r>
      <w:r>
        <w:rPr>
          <w:spacing w:val="-7"/>
        </w:rPr>
        <w:t> </w:t>
      </w:r>
      <w:r>
        <w:rPr/>
        <w:t>for</w:t>
      </w:r>
      <w:r>
        <w:rPr>
          <w:spacing w:val="-5"/>
        </w:rPr>
        <w:t> </w:t>
      </w:r>
      <w:r>
        <w:rPr/>
        <w:t>thermoluminescence</w:t>
      </w:r>
      <w:r>
        <w:rPr>
          <w:spacing w:val="-4"/>
        </w:rPr>
        <w:t> </w:t>
      </w:r>
      <w:r>
        <w:rPr/>
        <w:t>dating</w:t>
      </w:r>
      <w:r>
        <w:rPr>
          <w:spacing w:val="-5"/>
        </w:rPr>
        <w:t> </w:t>
      </w:r>
      <w:r>
        <w:rPr/>
        <w:t>of pottery</w:t>
      </w:r>
      <w:r>
        <w:rPr>
          <w:spacing w:val="8"/>
        </w:rPr>
        <w:t> </w:t>
      </w:r>
      <w:r>
        <w:rPr/>
        <w:t>was</w:t>
      </w:r>
      <w:r>
        <w:rPr>
          <w:spacing w:val="11"/>
        </w:rPr>
        <w:t> </w:t>
      </w:r>
      <w:r>
        <w:rPr/>
        <w:t>not</w:t>
      </w:r>
      <w:r>
        <w:rPr>
          <w:spacing w:val="11"/>
        </w:rPr>
        <w:t> </w:t>
      </w:r>
      <w:r>
        <w:rPr/>
        <w:t>available</w:t>
      </w:r>
      <w:r>
        <w:rPr>
          <w:spacing w:val="11"/>
        </w:rPr>
        <w:t> </w:t>
      </w:r>
      <w:r>
        <w:rPr/>
        <w:t>at</w:t>
      </w:r>
      <w:r>
        <w:rPr>
          <w:spacing w:val="11"/>
        </w:rPr>
        <w:t> </w:t>
      </w:r>
      <w:r>
        <w:rPr/>
        <w:t>the</w:t>
      </w:r>
      <w:r>
        <w:rPr>
          <w:spacing w:val="11"/>
        </w:rPr>
        <w:t> </w:t>
      </w:r>
      <w:r>
        <w:rPr/>
        <w:t>Institute</w:t>
      </w:r>
      <w:r>
        <w:rPr>
          <w:spacing w:val="11"/>
        </w:rPr>
        <w:t> </w:t>
      </w:r>
      <w:r>
        <w:rPr/>
        <w:t>at</w:t>
      </w:r>
      <w:r>
        <w:rPr>
          <w:spacing w:val="9"/>
        </w:rPr>
        <w:t> </w:t>
      </w:r>
      <w:r>
        <w:rPr/>
        <w:t>Lucknow</w:t>
      </w:r>
      <w:r>
        <w:rPr>
          <w:spacing w:val="10"/>
        </w:rPr>
        <w:t> </w:t>
      </w:r>
      <w:r>
        <w:rPr>
          <w:spacing w:val="2"/>
        </w:rPr>
        <w:t>and</w:t>
      </w:r>
      <w:r>
        <w:rPr>
          <w:spacing w:val="11"/>
        </w:rPr>
        <w:t> </w:t>
      </w:r>
      <w:r>
        <w:rPr/>
        <w:t>since</w:t>
      </w:r>
      <w:r>
        <w:rPr>
          <w:spacing w:val="12"/>
        </w:rPr>
        <w:t> </w:t>
      </w:r>
      <w:r>
        <w:rPr/>
        <w:t>charcoal</w:t>
      </w:r>
      <w:r>
        <w:rPr>
          <w:spacing w:val="10"/>
        </w:rPr>
        <w:t> </w:t>
      </w:r>
      <w:r>
        <w:rPr/>
        <w:t>samples</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t>were available for C14 dating, further analysis of the pottery was not carried out. This explanation apart, the deficiency is not sufficient to discredit the report in its entirety.</w:t>
      </w:r>
    </w:p>
    <w:p>
      <w:pPr>
        <w:pStyle w:val="BodyText"/>
        <w:spacing w:before="1"/>
        <w:rPr>
          <w:sz w:val="40"/>
        </w:rPr>
      </w:pPr>
    </w:p>
    <w:p>
      <w:pPr>
        <w:pStyle w:val="Heading4"/>
        <w:rPr>
          <w:i/>
        </w:rPr>
      </w:pPr>
      <w:r>
        <w:rPr>
          <w:i/>
        </w:rPr>
        <w:t>The standard of proof</w:t>
      </w:r>
    </w:p>
    <w:p>
      <w:pPr>
        <w:pStyle w:val="BodyText"/>
        <w:rPr>
          <w:i/>
          <w:sz w:val="28"/>
        </w:rPr>
      </w:pPr>
    </w:p>
    <w:p>
      <w:pPr>
        <w:pStyle w:val="BodyText"/>
        <w:spacing w:before="9"/>
        <w:rPr>
          <w:i/>
          <w:sz w:val="36"/>
        </w:rPr>
      </w:pPr>
    </w:p>
    <w:p>
      <w:pPr>
        <w:pStyle w:val="ListParagraph"/>
        <w:numPr>
          <w:ilvl w:val="0"/>
          <w:numId w:val="166"/>
        </w:numPr>
        <w:tabs>
          <w:tab w:pos="1221" w:val="left" w:leader="none"/>
        </w:tabs>
        <w:spacing w:line="480" w:lineRule="auto" w:before="0" w:after="0"/>
        <w:ind w:left="500" w:right="437" w:firstLine="0"/>
        <w:jc w:val="both"/>
        <w:rPr>
          <w:sz w:val="25"/>
        </w:rPr>
      </w:pPr>
      <w:r>
        <w:rPr>
          <w:sz w:val="25"/>
        </w:rPr>
        <w:t>The court in a civil trial applies a standard of proof governed by a preponderance of probabilities. This standard is also described sometimes as a </w:t>
      </w:r>
      <w:r>
        <w:rPr>
          <w:spacing w:val="-1"/>
          <w:w w:val="99"/>
          <w:sz w:val="25"/>
        </w:rPr>
        <w:t>b</w:t>
      </w:r>
      <w:r>
        <w:rPr>
          <w:w w:val="99"/>
          <w:sz w:val="25"/>
        </w:rPr>
        <w:t>a</w:t>
      </w:r>
      <w:r>
        <w:rPr>
          <w:spacing w:val="-1"/>
          <w:w w:val="99"/>
          <w:sz w:val="25"/>
        </w:rPr>
        <w:t>lanc</w:t>
      </w:r>
      <w:r>
        <w:rPr>
          <w:w w:val="99"/>
          <w:sz w:val="25"/>
        </w:rPr>
        <w:t>e</w:t>
      </w:r>
      <w:r>
        <w:rPr>
          <w:sz w:val="25"/>
        </w:rPr>
        <w:t> </w:t>
      </w:r>
      <w:r>
        <w:rPr>
          <w:spacing w:val="17"/>
          <w:sz w:val="25"/>
        </w:rPr>
        <w:t> </w:t>
      </w:r>
      <w:r>
        <w:rPr>
          <w:spacing w:val="-1"/>
          <w:w w:val="99"/>
          <w:sz w:val="25"/>
        </w:rPr>
        <w:t>o</w:t>
      </w:r>
      <w:r>
        <w:rPr>
          <w:w w:val="99"/>
          <w:sz w:val="25"/>
        </w:rPr>
        <w:t>f</w:t>
      </w:r>
      <w:r>
        <w:rPr>
          <w:sz w:val="25"/>
        </w:rPr>
        <w:t> </w:t>
      </w:r>
      <w:r>
        <w:rPr>
          <w:spacing w:val="17"/>
          <w:sz w:val="25"/>
        </w:rPr>
        <w:t> </w:t>
      </w:r>
      <w:r>
        <w:rPr>
          <w:spacing w:val="-1"/>
          <w:w w:val="99"/>
          <w:sz w:val="25"/>
        </w:rPr>
        <w:t>p</w:t>
      </w:r>
      <w:r>
        <w:rPr>
          <w:w w:val="99"/>
          <w:sz w:val="25"/>
        </w:rPr>
        <w:t>r</w:t>
      </w:r>
      <w:r>
        <w:rPr>
          <w:spacing w:val="-3"/>
          <w:w w:val="99"/>
          <w:sz w:val="25"/>
        </w:rPr>
        <w:t>o</w:t>
      </w:r>
      <w:r>
        <w:rPr>
          <w:spacing w:val="-1"/>
          <w:w w:val="99"/>
          <w:sz w:val="25"/>
        </w:rPr>
        <w:t>b</w:t>
      </w:r>
      <w:r>
        <w:rPr>
          <w:w w:val="99"/>
          <w:sz w:val="25"/>
        </w:rPr>
        <w:t>a</w:t>
      </w:r>
      <w:r>
        <w:rPr>
          <w:spacing w:val="-1"/>
          <w:w w:val="99"/>
          <w:sz w:val="25"/>
        </w:rPr>
        <w:t>bilit</w:t>
      </w:r>
      <w:r>
        <w:rPr>
          <w:w w:val="99"/>
          <w:sz w:val="25"/>
        </w:rPr>
        <w:t>y</w:t>
      </w:r>
      <w:r>
        <w:rPr>
          <w:sz w:val="25"/>
        </w:rPr>
        <w:t> </w:t>
      </w:r>
      <w:r>
        <w:rPr>
          <w:spacing w:val="14"/>
          <w:sz w:val="25"/>
        </w:rPr>
        <w:t> </w:t>
      </w:r>
      <w:r>
        <w:rPr>
          <w:spacing w:val="-1"/>
          <w:w w:val="99"/>
          <w:sz w:val="25"/>
        </w:rPr>
        <w:t>o</w:t>
      </w:r>
      <w:r>
        <w:rPr>
          <w:w w:val="99"/>
          <w:sz w:val="25"/>
        </w:rPr>
        <w:t>r</w:t>
      </w:r>
      <w:r>
        <w:rPr>
          <w:sz w:val="25"/>
        </w:rPr>
        <w:t> </w:t>
      </w:r>
      <w:r>
        <w:rPr>
          <w:spacing w:val="17"/>
          <w:sz w:val="25"/>
        </w:rPr>
        <w:t> </w:t>
      </w:r>
      <w:r>
        <w:rPr>
          <w:w w:val="99"/>
          <w:sz w:val="25"/>
        </w:rPr>
        <w:t>the</w:t>
      </w:r>
      <w:r>
        <w:rPr>
          <w:sz w:val="25"/>
        </w:rPr>
        <w:t> </w:t>
      </w:r>
      <w:r>
        <w:rPr>
          <w:spacing w:val="17"/>
          <w:sz w:val="25"/>
        </w:rPr>
        <w:t> </w:t>
      </w:r>
      <w:r>
        <w:rPr>
          <w:spacing w:val="-1"/>
          <w:w w:val="99"/>
          <w:sz w:val="25"/>
        </w:rPr>
        <w:t>p</w:t>
      </w:r>
      <w:r>
        <w:rPr>
          <w:w w:val="99"/>
          <w:sz w:val="25"/>
        </w:rPr>
        <w:t>r</w:t>
      </w:r>
      <w:r>
        <w:rPr>
          <w:spacing w:val="-1"/>
          <w:w w:val="99"/>
          <w:sz w:val="25"/>
        </w:rPr>
        <w:t>e</w:t>
      </w:r>
      <w:r>
        <w:rPr>
          <w:w w:val="99"/>
          <w:sz w:val="25"/>
        </w:rPr>
        <w:t>p</w:t>
      </w:r>
      <w:r>
        <w:rPr>
          <w:spacing w:val="-1"/>
          <w:w w:val="99"/>
          <w:sz w:val="25"/>
        </w:rPr>
        <w:t>o</w:t>
      </w:r>
      <w:r>
        <w:rPr>
          <w:w w:val="99"/>
          <w:sz w:val="25"/>
        </w:rPr>
        <w:t>n</w:t>
      </w:r>
      <w:r>
        <w:rPr>
          <w:spacing w:val="-3"/>
          <w:w w:val="99"/>
          <w:sz w:val="25"/>
        </w:rPr>
        <w:t>d</w:t>
      </w:r>
      <w:r>
        <w:rPr>
          <w:spacing w:val="-1"/>
          <w:w w:val="99"/>
          <w:sz w:val="25"/>
        </w:rPr>
        <w:t>e</w:t>
      </w:r>
      <w:r>
        <w:rPr>
          <w:w w:val="99"/>
          <w:sz w:val="25"/>
        </w:rPr>
        <w:t>r</w:t>
      </w:r>
      <w:r>
        <w:rPr>
          <w:spacing w:val="-3"/>
          <w:w w:val="99"/>
          <w:sz w:val="25"/>
        </w:rPr>
        <w:t>a</w:t>
      </w:r>
      <w:r>
        <w:rPr>
          <w:spacing w:val="-1"/>
          <w:w w:val="99"/>
          <w:sz w:val="25"/>
        </w:rPr>
        <w:t>nc</w:t>
      </w:r>
      <w:r>
        <w:rPr>
          <w:w w:val="99"/>
          <w:sz w:val="25"/>
        </w:rPr>
        <w:t>e</w:t>
      </w:r>
      <w:r>
        <w:rPr>
          <w:sz w:val="25"/>
        </w:rPr>
        <w:t> </w:t>
      </w:r>
      <w:r>
        <w:rPr>
          <w:spacing w:val="17"/>
          <w:sz w:val="25"/>
        </w:rPr>
        <w:t> </w:t>
      </w:r>
      <w:r>
        <w:rPr>
          <w:spacing w:val="-1"/>
          <w:w w:val="99"/>
          <w:sz w:val="25"/>
        </w:rPr>
        <w:t>o</w:t>
      </w:r>
      <w:r>
        <w:rPr>
          <w:w w:val="99"/>
          <w:sz w:val="25"/>
        </w:rPr>
        <w:t>f</w:t>
      </w:r>
      <w:r>
        <w:rPr>
          <w:sz w:val="25"/>
        </w:rPr>
        <w:t> </w:t>
      </w:r>
      <w:r>
        <w:rPr>
          <w:spacing w:val="17"/>
          <w:sz w:val="25"/>
        </w:rPr>
        <w:t> </w:t>
      </w:r>
      <w:r>
        <w:rPr>
          <w:w w:val="99"/>
          <w:sz w:val="25"/>
        </w:rPr>
        <w:t>the</w:t>
      </w:r>
      <w:r>
        <w:rPr>
          <w:sz w:val="25"/>
        </w:rPr>
        <w:t> </w:t>
      </w:r>
      <w:r>
        <w:rPr>
          <w:spacing w:val="15"/>
          <w:sz w:val="25"/>
        </w:rPr>
        <w:t> </w:t>
      </w:r>
      <w:r>
        <w:rPr>
          <w:spacing w:val="-1"/>
          <w:w w:val="99"/>
          <w:sz w:val="25"/>
        </w:rPr>
        <w:t>e</w:t>
      </w:r>
      <w:r>
        <w:rPr>
          <w:spacing w:val="-3"/>
          <w:w w:val="99"/>
          <w:sz w:val="25"/>
        </w:rPr>
        <w:t>v</w:t>
      </w:r>
      <w:r>
        <w:rPr>
          <w:spacing w:val="-1"/>
          <w:w w:val="99"/>
          <w:sz w:val="25"/>
        </w:rPr>
        <w:t>ide</w:t>
      </w:r>
      <w:r>
        <w:rPr>
          <w:w w:val="99"/>
          <w:sz w:val="25"/>
        </w:rPr>
        <w:t>nce.</w:t>
      </w:r>
      <w:r>
        <w:rPr>
          <w:sz w:val="25"/>
        </w:rPr>
        <w:t> </w:t>
      </w:r>
      <w:r>
        <w:rPr>
          <w:spacing w:val="17"/>
          <w:sz w:val="25"/>
        </w:rPr>
        <w:t> </w:t>
      </w:r>
      <w:r>
        <w:rPr>
          <w:spacing w:val="8"/>
          <w:w w:val="33"/>
          <w:sz w:val="25"/>
        </w:rPr>
        <w:t>―</w:t>
      </w:r>
      <w:r>
        <w:rPr>
          <w:b/>
          <w:spacing w:val="-1"/>
          <w:w w:val="99"/>
          <w:sz w:val="25"/>
        </w:rPr>
        <w:t>P</w:t>
      </w:r>
      <w:r>
        <w:rPr>
          <w:b/>
          <w:w w:val="99"/>
          <w:sz w:val="25"/>
        </w:rPr>
        <w:t>hi</w:t>
      </w:r>
      <w:r>
        <w:rPr>
          <w:b/>
          <w:spacing w:val="1"/>
          <w:w w:val="99"/>
          <w:sz w:val="25"/>
        </w:rPr>
        <w:t>p</w:t>
      </w:r>
      <w:r>
        <w:rPr>
          <w:b/>
          <w:spacing w:val="-2"/>
          <w:w w:val="99"/>
          <w:sz w:val="25"/>
        </w:rPr>
        <w:t>s</w:t>
      </w:r>
      <w:r>
        <w:rPr>
          <w:b/>
          <w:w w:val="99"/>
          <w:sz w:val="25"/>
        </w:rPr>
        <w:t>on</w:t>
      </w:r>
      <w:r>
        <w:rPr>
          <w:b/>
          <w:sz w:val="25"/>
        </w:rPr>
        <w:t> </w:t>
      </w:r>
      <w:r>
        <w:rPr>
          <w:b/>
          <w:spacing w:val="15"/>
          <w:sz w:val="25"/>
        </w:rPr>
        <w:t> </w:t>
      </w:r>
      <w:r>
        <w:rPr>
          <w:b/>
          <w:w w:val="99"/>
          <w:sz w:val="25"/>
        </w:rPr>
        <w:t>on </w:t>
      </w:r>
      <w:r>
        <w:rPr>
          <w:b/>
          <w:sz w:val="25"/>
        </w:rPr>
        <w:t>Evidence</w:t>
      </w:r>
      <w:r>
        <w:rPr>
          <w:sz w:val="25"/>
        </w:rPr>
        <w:t>‖ formulates the standard succinctly: If therefore, the evidence is such </w:t>
      </w:r>
      <w:r>
        <w:rPr>
          <w:w w:val="99"/>
          <w:sz w:val="25"/>
        </w:rPr>
        <w:t>that</w:t>
      </w:r>
      <w:r>
        <w:rPr>
          <w:sz w:val="25"/>
        </w:rPr>
        <w:t> </w:t>
      </w:r>
      <w:r>
        <w:rPr>
          <w:spacing w:val="5"/>
          <w:sz w:val="25"/>
        </w:rPr>
        <w:t> </w:t>
      </w:r>
      <w:r>
        <w:rPr>
          <w:w w:val="99"/>
          <w:sz w:val="25"/>
        </w:rPr>
        <w:t>the</w:t>
      </w:r>
      <w:r>
        <w:rPr>
          <w:sz w:val="25"/>
        </w:rPr>
        <w:t> </w:t>
      </w:r>
      <w:r>
        <w:rPr>
          <w:spacing w:val="5"/>
          <w:sz w:val="25"/>
        </w:rPr>
        <w:t> </w:t>
      </w:r>
      <w:r>
        <w:rPr>
          <w:w w:val="99"/>
          <w:sz w:val="25"/>
        </w:rPr>
        <w:t>court</w:t>
      </w:r>
      <w:r>
        <w:rPr>
          <w:sz w:val="25"/>
        </w:rPr>
        <w:t> </w:t>
      </w:r>
      <w:r>
        <w:rPr>
          <w:spacing w:val="5"/>
          <w:sz w:val="25"/>
        </w:rPr>
        <w:t> </w:t>
      </w:r>
      <w:r>
        <w:rPr>
          <w:w w:val="99"/>
          <w:sz w:val="25"/>
        </w:rPr>
        <w:t>can</w:t>
      </w:r>
      <w:r>
        <w:rPr>
          <w:sz w:val="25"/>
        </w:rPr>
        <w:t> </w:t>
      </w:r>
      <w:r>
        <w:rPr>
          <w:spacing w:val="5"/>
          <w:sz w:val="25"/>
        </w:rPr>
        <w:t> </w:t>
      </w:r>
      <w:r>
        <w:rPr>
          <w:w w:val="99"/>
          <w:sz w:val="25"/>
        </w:rPr>
        <w:t>say</w:t>
      </w:r>
      <w:r>
        <w:rPr>
          <w:sz w:val="25"/>
        </w:rPr>
        <w:t> </w:t>
      </w:r>
      <w:r>
        <w:rPr>
          <w:spacing w:val="2"/>
          <w:sz w:val="25"/>
        </w:rPr>
        <w:t> </w:t>
      </w:r>
      <w:r>
        <w:rPr>
          <w:w w:val="33"/>
          <w:sz w:val="25"/>
        </w:rPr>
        <w:t>―</w:t>
      </w:r>
      <w:r>
        <w:rPr>
          <w:spacing w:val="-1"/>
          <w:w w:val="99"/>
          <w:sz w:val="25"/>
        </w:rPr>
        <w:t>w</w:t>
      </w:r>
      <w:r>
        <w:rPr>
          <w:w w:val="99"/>
          <w:sz w:val="25"/>
        </w:rPr>
        <w:t>e</w:t>
      </w:r>
      <w:r>
        <w:rPr>
          <w:sz w:val="25"/>
        </w:rPr>
        <w:t> </w:t>
      </w:r>
      <w:r>
        <w:rPr>
          <w:spacing w:val="5"/>
          <w:sz w:val="25"/>
        </w:rPr>
        <w:t> </w:t>
      </w:r>
      <w:r>
        <w:rPr>
          <w:w w:val="99"/>
          <w:sz w:val="25"/>
        </w:rPr>
        <w:t>think</w:t>
      </w:r>
      <w:r>
        <w:rPr>
          <w:sz w:val="25"/>
        </w:rPr>
        <w:t> </w:t>
      </w:r>
      <w:r>
        <w:rPr>
          <w:spacing w:val="7"/>
          <w:sz w:val="25"/>
        </w:rPr>
        <w:t> </w:t>
      </w:r>
      <w:r>
        <w:rPr>
          <w:spacing w:val="-1"/>
          <w:w w:val="99"/>
          <w:sz w:val="25"/>
        </w:rPr>
        <w:t>i</w:t>
      </w:r>
      <w:r>
        <w:rPr>
          <w:w w:val="99"/>
          <w:sz w:val="25"/>
        </w:rPr>
        <w:t>t</w:t>
      </w:r>
      <w:r>
        <w:rPr>
          <w:sz w:val="25"/>
        </w:rPr>
        <w:t> </w:t>
      </w:r>
      <w:r>
        <w:rPr>
          <w:spacing w:val="4"/>
          <w:sz w:val="25"/>
        </w:rPr>
        <w:t> </w:t>
      </w:r>
      <w:r>
        <w:rPr>
          <w:w w:val="99"/>
          <w:sz w:val="25"/>
        </w:rPr>
        <w:t>m</w:t>
      </w:r>
      <w:r>
        <w:rPr>
          <w:spacing w:val="-1"/>
          <w:w w:val="99"/>
          <w:sz w:val="25"/>
        </w:rPr>
        <w:t>o</w:t>
      </w:r>
      <w:r>
        <w:rPr>
          <w:w w:val="99"/>
          <w:sz w:val="25"/>
        </w:rPr>
        <w:t>re</w:t>
      </w:r>
      <w:r>
        <w:rPr>
          <w:sz w:val="25"/>
        </w:rPr>
        <w:t> </w:t>
      </w:r>
      <w:r>
        <w:rPr>
          <w:spacing w:val="5"/>
          <w:sz w:val="25"/>
        </w:rPr>
        <w:t> </w:t>
      </w:r>
      <w:r>
        <w:rPr>
          <w:spacing w:val="-1"/>
          <w:w w:val="99"/>
          <w:sz w:val="25"/>
        </w:rPr>
        <w:t>p</w:t>
      </w:r>
      <w:r>
        <w:rPr>
          <w:w w:val="99"/>
          <w:sz w:val="25"/>
        </w:rPr>
        <w:t>r</w:t>
      </w:r>
      <w:r>
        <w:rPr>
          <w:spacing w:val="-1"/>
          <w:w w:val="99"/>
          <w:sz w:val="25"/>
        </w:rPr>
        <w:t>o</w:t>
      </w:r>
      <w:r>
        <w:rPr>
          <w:w w:val="99"/>
          <w:sz w:val="25"/>
        </w:rPr>
        <w:t>b</w:t>
      </w:r>
      <w:r>
        <w:rPr>
          <w:spacing w:val="-1"/>
          <w:w w:val="99"/>
          <w:sz w:val="25"/>
        </w:rPr>
        <w:t>a</w:t>
      </w:r>
      <w:r>
        <w:rPr>
          <w:w w:val="99"/>
          <w:sz w:val="25"/>
        </w:rPr>
        <w:t>b</w:t>
      </w:r>
      <w:r>
        <w:rPr>
          <w:spacing w:val="-1"/>
          <w:w w:val="99"/>
          <w:sz w:val="25"/>
        </w:rPr>
        <w:t>l</w:t>
      </w:r>
      <w:r>
        <w:rPr>
          <w:w w:val="99"/>
          <w:sz w:val="25"/>
        </w:rPr>
        <w:t>e</w:t>
      </w:r>
      <w:r>
        <w:rPr>
          <w:sz w:val="25"/>
        </w:rPr>
        <w:t> </w:t>
      </w:r>
      <w:r>
        <w:rPr>
          <w:spacing w:val="5"/>
          <w:sz w:val="25"/>
        </w:rPr>
        <w:t> </w:t>
      </w:r>
      <w:r>
        <w:rPr>
          <w:w w:val="99"/>
          <w:sz w:val="25"/>
        </w:rPr>
        <w:t>than</w:t>
      </w:r>
      <w:r>
        <w:rPr>
          <w:sz w:val="25"/>
        </w:rPr>
        <w:t> </w:t>
      </w:r>
      <w:r>
        <w:rPr>
          <w:spacing w:val="5"/>
          <w:sz w:val="25"/>
        </w:rPr>
        <w:t> </w:t>
      </w:r>
      <w:r>
        <w:rPr>
          <w:spacing w:val="-1"/>
          <w:w w:val="99"/>
          <w:sz w:val="25"/>
        </w:rPr>
        <w:t>n</w:t>
      </w:r>
      <w:r>
        <w:rPr>
          <w:w w:val="99"/>
          <w:sz w:val="25"/>
        </w:rPr>
        <w:t>o</w:t>
      </w:r>
      <w:r>
        <w:rPr>
          <w:spacing w:val="-3"/>
          <w:w w:val="99"/>
          <w:sz w:val="25"/>
        </w:rPr>
        <w:t>t</w:t>
      </w:r>
      <w:r>
        <w:rPr>
          <w:w w:val="80"/>
          <w:sz w:val="25"/>
        </w:rPr>
        <w:t>‖</w:t>
      </w:r>
      <w:r>
        <w:rPr>
          <w:w w:val="99"/>
          <w:sz w:val="25"/>
        </w:rPr>
        <w:t>,</w:t>
      </w:r>
      <w:r>
        <w:rPr>
          <w:sz w:val="25"/>
        </w:rPr>
        <w:t> </w:t>
      </w:r>
      <w:r>
        <w:rPr>
          <w:spacing w:val="5"/>
          <w:sz w:val="25"/>
        </w:rPr>
        <w:t> </w:t>
      </w:r>
      <w:r>
        <w:rPr>
          <w:w w:val="99"/>
          <w:sz w:val="25"/>
        </w:rPr>
        <w:t>the</w:t>
      </w:r>
      <w:r>
        <w:rPr>
          <w:sz w:val="25"/>
        </w:rPr>
        <w:t> </w:t>
      </w:r>
      <w:r>
        <w:rPr>
          <w:spacing w:val="5"/>
          <w:sz w:val="25"/>
        </w:rPr>
        <w:t> </w:t>
      </w:r>
      <w:r>
        <w:rPr>
          <w:spacing w:val="-1"/>
          <w:w w:val="99"/>
          <w:sz w:val="25"/>
        </w:rPr>
        <w:t>b</w:t>
      </w:r>
      <w:r>
        <w:rPr>
          <w:w w:val="99"/>
          <w:sz w:val="25"/>
        </w:rPr>
        <w:t>ur</w:t>
      </w:r>
      <w:r>
        <w:rPr>
          <w:spacing w:val="-1"/>
          <w:w w:val="99"/>
          <w:sz w:val="25"/>
        </w:rPr>
        <w:t>d</w:t>
      </w:r>
      <w:r>
        <w:rPr>
          <w:w w:val="99"/>
          <w:sz w:val="25"/>
        </w:rPr>
        <w:t>en</w:t>
      </w:r>
      <w:r>
        <w:rPr>
          <w:sz w:val="25"/>
        </w:rPr>
        <w:t> </w:t>
      </w:r>
      <w:r>
        <w:rPr>
          <w:spacing w:val="5"/>
          <w:sz w:val="25"/>
        </w:rPr>
        <w:t> </w:t>
      </w:r>
      <w:r>
        <w:rPr>
          <w:spacing w:val="-1"/>
          <w:w w:val="99"/>
          <w:sz w:val="25"/>
        </w:rPr>
        <w:t>is </w:t>
      </w:r>
      <w:r>
        <w:rPr>
          <w:sz w:val="25"/>
        </w:rPr>
        <w:t>discharged, but if the probabilities are equal, it is not.</w:t>
      </w:r>
      <w:r>
        <w:rPr>
          <w:sz w:val="25"/>
          <w:vertAlign w:val="superscript"/>
        </w:rPr>
        <w:t>294</w:t>
      </w:r>
      <w:r>
        <w:rPr>
          <w:sz w:val="25"/>
          <w:vertAlign w:val="baseline"/>
        </w:rPr>
        <w:t> In </w:t>
      </w:r>
      <w:r>
        <w:rPr>
          <w:b/>
          <w:sz w:val="25"/>
          <w:vertAlign w:val="baseline"/>
        </w:rPr>
        <w:t>Miller </w:t>
      </w:r>
      <w:r>
        <w:rPr>
          <w:sz w:val="25"/>
          <w:vertAlign w:val="baseline"/>
        </w:rPr>
        <w:t>v </w:t>
      </w:r>
      <w:r>
        <w:rPr>
          <w:b/>
          <w:sz w:val="25"/>
          <w:vertAlign w:val="baseline"/>
        </w:rPr>
        <w:t>Minister of Pensions</w:t>
      </w:r>
      <w:r>
        <w:rPr>
          <w:sz w:val="25"/>
          <w:vertAlign w:val="superscript"/>
        </w:rPr>
        <w:t>295</w:t>
      </w:r>
      <w:r>
        <w:rPr>
          <w:sz w:val="25"/>
          <w:vertAlign w:val="baseline"/>
        </w:rPr>
        <w:t>, Lord Denning, J (as the Master of Rolls then was) defined the doctrine of the balance or preponderance of probabilities in the following terms</w:t>
      </w:r>
      <w:r>
        <w:rPr>
          <w:spacing w:val="-24"/>
          <w:sz w:val="25"/>
          <w:vertAlign w:val="baseline"/>
        </w:rPr>
        <w:t> </w:t>
      </w:r>
      <w:r>
        <w:rPr>
          <w:sz w:val="25"/>
          <w:vertAlign w:val="baseline"/>
        </w:rPr>
        <w:t>:</w:t>
      </w:r>
    </w:p>
    <w:p>
      <w:pPr>
        <w:spacing w:line="276" w:lineRule="auto" w:before="160"/>
        <w:ind w:left="1940" w:right="2262" w:firstLine="0"/>
        <w:jc w:val="both"/>
        <w:rPr>
          <w:sz w:val="21"/>
        </w:rPr>
      </w:pPr>
      <w:r>
        <w:rPr>
          <w:w w:val="33"/>
          <w:sz w:val="21"/>
        </w:rPr>
        <w:t>―</w:t>
      </w:r>
      <w:r>
        <w:rPr>
          <w:w w:val="100"/>
          <w:sz w:val="21"/>
        </w:rPr>
        <w:t>(1)…</w:t>
      </w:r>
      <w:r>
        <w:rPr>
          <w:sz w:val="21"/>
        </w:rPr>
        <w:t> </w:t>
      </w:r>
      <w:r>
        <w:rPr>
          <w:b/>
          <w:w w:val="100"/>
          <w:sz w:val="21"/>
        </w:rPr>
        <w:t>It</w:t>
      </w:r>
      <w:r>
        <w:rPr>
          <w:b/>
          <w:sz w:val="21"/>
        </w:rPr>
        <w:t> </w:t>
      </w:r>
      <w:r>
        <w:rPr>
          <w:b/>
          <w:w w:val="100"/>
          <w:sz w:val="21"/>
        </w:rPr>
        <w:t>n</w:t>
      </w:r>
      <w:r>
        <w:rPr>
          <w:b/>
          <w:w w:val="100"/>
          <w:sz w:val="21"/>
        </w:rPr>
        <w:t>ee</w:t>
      </w:r>
      <w:r>
        <w:rPr>
          <w:b/>
          <w:w w:val="100"/>
          <w:sz w:val="21"/>
        </w:rPr>
        <w:t>d</w:t>
      </w:r>
      <w:r>
        <w:rPr>
          <w:b/>
          <w:sz w:val="21"/>
        </w:rPr>
        <w:t> </w:t>
      </w:r>
      <w:r>
        <w:rPr>
          <w:b/>
          <w:w w:val="100"/>
          <w:sz w:val="21"/>
        </w:rPr>
        <w:t>not</w:t>
      </w:r>
      <w:r>
        <w:rPr>
          <w:b/>
          <w:sz w:val="21"/>
        </w:rPr>
        <w:t> </w:t>
      </w:r>
      <w:r>
        <w:rPr>
          <w:b/>
          <w:w w:val="100"/>
          <w:sz w:val="21"/>
        </w:rPr>
        <w:t>r</w:t>
      </w:r>
      <w:r>
        <w:rPr>
          <w:b/>
          <w:w w:val="100"/>
          <w:sz w:val="21"/>
        </w:rPr>
        <w:t>eac</w:t>
      </w:r>
      <w:r>
        <w:rPr>
          <w:b/>
          <w:w w:val="100"/>
          <w:sz w:val="21"/>
        </w:rPr>
        <w:t>h</w:t>
      </w:r>
      <w:r>
        <w:rPr>
          <w:b/>
          <w:sz w:val="21"/>
        </w:rPr>
        <w:t> </w:t>
      </w:r>
      <w:r>
        <w:rPr>
          <w:b/>
          <w:w w:val="100"/>
          <w:sz w:val="21"/>
        </w:rPr>
        <w:t>certai</w:t>
      </w:r>
      <w:r>
        <w:rPr>
          <w:b/>
          <w:w w:val="100"/>
          <w:sz w:val="21"/>
        </w:rPr>
        <w:t>nty</w:t>
      </w:r>
      <w:r>
        <w:rPr>
          <w:b/>
          <w:w w:val="100"/>
          <w:sz w:val="21"/>
        </w:rPr>
        <w:t>,</w:t>
      </w:r>
      <w:r>
        <w:rPr>
          <w:b/>
          <w:sz w:val="21"/>
        </w:rPr>
        <w:t> </w:t>
      </w:r>
      <w:r>
        <w:rPr>
          <w:b/>
          <w:w w:val="100"/>
          <w:sz w:val="21"/>
        </w:rPr>
        <w:t>but</w:t>
      </w:r>
      <w:r>
        <w:rPr>
          <w:b/>
          <w:sz w:val="21"/>
        </w:rPr>
        <w:t> </w:t>
      </w:r>
      <w:r>
        <w:rPr>
          <w:b/>
          <w:w w:val="100"/>
          <w:sz w:val="21"/>
        </w:rPr>
        <w:t>it</w:t>
      </w:r>
      <w:r>
        <w:rPr>
          <w:b/>
          <w:sz w:val="21"/>
        </w:rPr>
        <w:t> </w:t>
      </w:r>
      <w:r>
        <w:rPr>
          <w:b/>
          <w:w w:val="100"/>
          <w:sz w:val="21"/>
        </w:rPr>
        <w:t>must</w:t>
      </w:r>
      <w:r>
        <w:rPr>
          <w:b/>
          <w:sz w:val="21"/>
        </w:rPr>
        <w:t> </w:t>
      </w:r>
      <w:r>
        <w:rPr>
          <w:b/>
          <w:w w:val="100"/>
          <w:sz w:val="21"/>
        </w:rPr>
        <w:t>ca</w:t>
      </w:r>
      <w:r>
        <w:rPr>
          <w:b/>
          <w:w w:val="100"/>
          <w:sz w:val="21"/>
        </w:rPr>
        <w:t>rr</w:t>
      </w:r>
      <w:r>
        <w:rPr>
          <w:b/>
          <w:w w:val="100"/>
          <w:sz w:val="21"/>
        </w:rPr>
        <w:t>y</w:t>
      </w:r>
      <w:r>
        <w:rPr>
          <w:b/>
          <w:sz w:val="21"/>
        </w:rPr>
        <w:t> </w:t>
      </w:r>
      <w:r>
        <w:rPr>
          <w:b/>
          <w:w w:val="100"/>
          <w:sz w:val="21"/>
        </w:rPr>
        <w:t>a</w:t>
      </w:r>
      <w:r>
        <w:rPr>
          <w:b/>
          <w:sz w:val="21"/>
        </w:rPr>
        <w:t> </w:t>
      </w:r>
      <w:r>
        <w:rPr>
          <w:b/>
          <w:w w:val="100"/>
          <w:sz w:val="21"/>
        </w:rPr>
        <w:t>high </w:t>
      </w:r>
      <w:r>
        <w:rPr>
          <w:b/>
          <w:sz w:val="21"/>
        </w:rPr>
        <w:t>degree of probability. Proof beyond reasonable doubt does not mean proof beyond the shadow of doubt. The law would fail to protect the community if it admitted fanciful possibilities to deflect the course of justice. </w:t>
      </w:r>
      <w:r>
        <w:rPr>
          <w:sz w:val="21"/>
        </w:rPr>
        <w:t>If the evidence is so strong against a man as to leave only a remote possibility in his favour which can be dismissed with the </w:t>
      </w:r>
      <w:r>
        <w:rPr>
          <w:w w:val="100"/>
          <w:sz w:val="21"/>
        </w:rPr>
        <w:t>sentence,</w:t>
      </w:r>
      <w:r>
        <w:rPr>
          <w:sz w:val="21"/>
        </w:rPr>
        <w:t>  </w:t>
      </w:r>
      <w:r>
        <w:rPr>
          <w:w w:val="33"/>
          <w:sz w:val="21"/>
        </w:rPr>
        <w:t>―</w:t>
      </w:r>
      <w:r>
        <w:rPr>
          <w:w w:val="100"/>
          <w:sz w:val="21"/>
        </w:rPr>
        <w:t>of</w:t>
      </w:r>
      <w:r>
        <w:rPr>
          <w:sz w:val="21"/>
        </w:rPr>
        <w:t>  </w:t>
      </w:r>
      <w:r>
        <w:rPr>
          <w:w w:val="100"/>
          <w:sz w:val="21"/>
        </w:rPr>
        <w:t>course</w:t>
      </w:r>
      <w:r>
        <w:rPr>
          <w:sz w:val="21"/>
        </w:rPr>
        <w:t>  </w:t>
      </w:r>
      <w:r>
        <w:rPr>
          <w:w w:val="100"/>
          <w:sz w:val="21"/>
        </w:rPr>
        <w:t>it</w:t>
      </w:r>
      <w:r>
        <w:rPr>
          <w:sz w:val="21"/>
        </w:rPr>
        <w:t>  </w:t>
      </w:r>
      <w:r>
        <w:rPr>
          <w:w w:val="100"/>
          <w:sz w:val="21"/>
        </w:rPr>
        <w:t>i</w:t>
      </w:r>
      <w:r>
        <w:rPr>
          <w:w w:val="100"/>
          <w:sz w:val="21"/>
        </w:rPr>
        <w:t>s</w:t>
      </w:r>
      <w:r>
        <w:rPr>
          <w:sz w:val="21"/>
        </w:rPr>
        <w:t>  </w:t>
      </w:r>
      <w:r>
        <w:rPr>
          <w:w w:val="100"/>
          <w:sz w:val="21"/>
        </w:rPr>
        <w:t>poss</w:t>
      </w:r>
      <w:r>
        <w:rPr>
          <w:w w:val="100"/>
          <w:sz w:val="21"/>
        </w:rPr>
        <w:t>i</w:t>
      </w:r>
      <w:r>
        <w:rPr>
          <w:w w:val="100"/>
          <w:sz w:val="21"/>
        </w:rPr>
        <w:t>b</w:t>
      </w:r>
      <w:r>
        <w:rPr>
          <w:w w:val="100"/>
          <w:sz w:val="21"/>
        </w:rPr>
        <w:t>l</w:t>
      </w:r>
      <w:r>
        <w:rPr>
          <w:w w:val="100"/>
          <w:sz w:val="21"/>
        </w:rPr>
        <w:t>e,</w:t>
      </w:r>
      <w:r>
        <w:rPr>
          <w:sz w:val="21"/>
        </w:rPr>
        <w:t>  </w:t>
      </w:r>
      <w:r>
        <w:rPr>
          <w:w w:val="100"/>
          <w:sz w:val="21"/>
        </w:rPr>
        <w:t>but</w:t>
      </w:r>
      <w:r>
        <w:rPr>
          <w:sz w:val="21"/>
        </w:rPr>
        <w:t>  </w:t>
      </w:r>
      <w:r>
        <w:rPr>
          <w:w w:val="100"/>
          <w:sz w:val="21"/>
        </w:rPr>
        <w:t>n</w:t>
      </w:r>
      <w:r>
        <w:rPr>
          <w:w w:val="100"/>
          <w:sz w:val="21"/>
        </w:rPr>
        <w:t>ot</w:t>
      </w:r>
      <w:r>
        <w:rPr>
          <w:sz w:val="21"/>
        </w:rPr>
        <w:t>  </w:t>
      </w:r>
      <w:r>
        <w:rPr>
          <w:w w:val="100"/>
          <w:sz w:val="21"/>
        </w:rPr>
        <w:t>i</w:t>
      </w:r>
      <w:r>
        <w:rPr>
          <w:w w:val="100"/>
          <w:sz w:val="21"/>
        </w:rPr>
        <w:t>n</w:t>
      </w:r>
      <w:r>
        <w:rPr>
          <w:sz w:val="21"/>
        </w:rPr>
        <w:t>  </w:t>
      </w:r>
      <w:r>
        <w:rPr>
          <w:w w:val="100"/>
          <w:sz w:val="21"/>
        </w:rPr>
        <w:t>t</w:t>
      </w:r>
      <w:r>
        <w:rPr>
          <w:w w:val="100"/>
          <w:sz w:val="21"/>
        </w:rPr>
        <w:t>he</w:t>
      </w:r>
      <w:r>
        <w:rPr>
          <w:sz w:val="21"/>
        </w:rPr>
        <w:t>  </w:t>
      </w:r>
      <w:r>
        <w:rPr>
          <w:w w:val="100"/>
          <w:sz w:val="21"/>
        </w:rPr>
        <w:t>l</w:t>
      </w:r>
      <w:r>
        <w:rPr>
          <w:w w:val="100"/>
          <w:sz w:val="21"/>
        </w:rPr>
        <w:t>east </w:t>
      </w:r>
      <w:r>
        <w:rPr>
          <w:sz w:val="21"/>
        </w:rPr>
        <w:t>probable‖ the case is proved beyond reasonable doubt, but nothing short of that will suffice.‖</w:t>
      </w:r>
    </w:p>
    <w:p>
      <w:pPr>
        <w:spacing w:before="0"/>
        <w:ind w:left="5798" w:right="0" w:firstLine="0"/>
        <w:jc w:val="left"/>
        <w:rPr>
          <w:sz w:val="21"/>
        </w:rPr>
      </w:pPr>
      <w:r>
        <w:rPr>
          <w:sz w:val="21"/>
        </w:rPr>
        <w:t>(Emphasis supplied)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rect style="position:absolute;margin-left:72.024002pt;margin-top:17.575727pt;width:144.020pt;height:.599980pt;mso-position-horizontal-relative:page;mso-position-vertical-relative:paragraph;z-index:-1564518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294</w:t>
      </w:r>
      <w:r>
        <w:rPr>
          <w:sz w:val="18"/>
          <w:vertAlign w:val="baseline"/>
        </w:rPr>
        <w:t>Phipson on Evidence, 16</w:t>
      </w:r>
      <w:r>
        <w:rPr>
          <w:sz w:val="18"/>
          <w:vertAlign w:val="superscript"/>
        </w:rPr>
        <w:t>th</w:t>
      </w:r>
      <w:r>
        <w:rPr>
          <w:sz w:val="18"/>
          <w:vertAlign w:val="baseline"/>
        </w:rPr>
        <w:t> Edn. at pgs 154-155</w:t>
      </w:r>
    </w:p>
    <w:p>
      <w:pPr>
        <w:spacing w:before="2"/>
        <w:ind w:left="500" w:right="0" w:firstLine="0"/>
        <w:jc w:val="left"/>
        <w:rPr>
          <w:sz w:val="18"/>
        </w:rPr>
      </w:pPr>
      <w:r>
        <w:rPr>
          <w:sz w:val="18"/>
          <w:vertAlign w:val="superscript"/>
        </w:rPr>
        <w:t>295</w:t>
      </w:r>
      <w:r>
        <w:rPr>
          <w:sz w:val="18"/>
          <w:vertAlign w:val="baseline"/>
        </w:rPr>
        <w:t> (1947) 2 ALL ER 372</w:t>
      </w:r>
    </w:p>
    <w:p>
      <w:pPr>
        <w:spacing w:after="0"/>
        <w:jc w:val="left"/>
        <w:rPr>
          <w:sz w:val="18"/>
        </w:rPr>
        <w:sectPr>
          <w:pgSz w:w="11910" w:h="16840"/>
          <w:pgMar w:header="721" w:footer="1014" w:top="1300" w:bottom="1200" w:left="940" w:right="1000"/>
        </w:sectPr>
      </w:pPr>
    </w:p>
    <w:p>
      <w:pPr>
        <w:pStyle w:val="BodyText"/>
        <w:spacing w:line="480" w:lineRule="auto" w:before="124"/>
        <w:ind w:left="500" w:right="445"/>
        <w:jc w:val="both"/>
      </w:pPr>
      <w:r>
        <w:rPr/>
        <w:t>The law recognises that within the standard of preponderance of probabilities, there could be different degrees of probability. This was succinctly summarized by Denning, LJ in </w:t>
      </w:r>
      <w:r>
        <w:rPr>
          <w:b/>
        </w:rPr>
        <w:t>Bater </w:t>
      </w:r>
      <w:r>
        <w:rPr/>
        <w:t>v </w:t>
      </w:r>
      <w:r>
        <w:rPr>
          <w:b/>
        </w:rPr>
        <w:t>Bater</w:t>
      </w:r>
      <w:r>
        <w:rPr>
          <w:vertAlign w:val="superscript"/>
        </w:rPr>
        <w:t>296</w:t>
      </w:r>
      <w:r>
        <w:rPr>
          <w:vertAlign w:val="baseline"/>
        </w:rPr>
        <w:t>,where he formulated the principle thus</w:t>
      </w:r>
      <w:r>
        <w:rPr>
          <w:spacing w:val="-16"/>
          <w:vertAlign w:val="baseline"/>
        </w:rPr>
        <w:t> </w:t>
      </w:r>
      <w:r>
        <w:rPr>
          <w:vertAlign w:val="baseline"/>
        </w:rPr>
        <w:t>:</w:t>
      </w:r>
    </w:p>
    <w:p>
      <w:pPr>
        <w:spacing w:line="276" w:lineRule="auto" w:before="0"/>
        <w:ind w:left="1940" w:right="2261" w:firstLine="0"/>
        <w:jc w:val="both"/>
        <w:rPr>
          <w:sz w:val="21"/>
        </w:rPr>
      </w:pPr>
      <w:r>
        <w:rPr>
          <w:w w:val="33"/>
          <w:sz w:val="21"/>
        </w:rPr>
        <w:t>―</w:t>
      </w:r>
      <w:r>
        <w:rPr>
          <w:w w:val="100"/>
          <w:sz w:val="21"/>
        </w:rPr>
        <w:t>So</w:t>
      </w:r>
      <w:r>
        <w:rPr>
          <w:sz w:val="21"/>
        </w:rPr>
        <w:t>  </w:t>
      </w:r>
      <w:r>
        <w:rPr>
          <w:w w:val="100"/>
          <w:sz w:val="21"/>
        </w:rPr>
        <w:t>also</w:t>
      </w:r>
      <w:r>
        <w:rPr>
          <w:sz w:val="21"/>
        </w:rPr>
        <w:t>  </w:t>
      </w:r>
      <w:r>
        <w:rPr>
          <w:w w:val="100"/>
          <w:sz w:val="21"/>
        </w:rPr>
        <w:t>in</w:t>
      </w:r>
      <w:r>
        <w:rPr>
          <w:sz w:val="21"/>
        </w:rPr>
        <w:t>  </w:t>
      </w:r>
      <w:r>
        <w:rPr>
          <w:w w:val="100"/>
          <w:sz w:val="21"/>
        </w:rPr>
        <w:t>civil</w:t>
      </w:r>
      <w:r>
        <w:rPr>
          <w:sz w:val="21"/>
        </w:rPr>
        <w:t>  </w:t>
      </w:r>
      <w:r>
        <w:rPr>
          <w:w w:val="100"/>
          <w:sz w:val="21"/>
        </w:rPr>
        <w:t>cases</w:t>
      </w:r>
      <w:r>
        <w:rPr>
          <w:w w:val="100"/>
          <w:sz w:val="21"/>
        </w:rPr>
        <w:t>,</w:t>
      </w:r>
      <w:r>
        <w:rPr>
          <w:sz w:val="21"/>
        </w:rPr>
        <w:t>  </w:t>
      </w:r>
      <w:r>
        <w:rPr>
          <w:w w:val="100"/>
          <w:sz w:val="21"/>
        </w:rPr>
        <w:t>t</w:t>
      </w:r>
      <w:r>
        <w:rPr>
          <w:w w:val="100"/>
          <w:sz w:val="21"/>
        </w:rPr>
        <w:t>he</w:t>
      </w:r>
      <w:r>
        <w:rPr>
          <w:sz w:val="21"/>
        </w:rPr>
        <w:t>  </w:t>
      </w:r>
      <w:r>
        <w:rPr>
          <w:w w:val="100"/>
          <w:sz w:val="21"/>
        </w:rPr>
        <w:t>c</w:t>
      </w:r>
      <w:r>
        <w:rPr>
          <w:w w:val="100"/>
          <w:sz w:val="21"/>
        </w:rPr>
        <w:t>ase</w:t>
      </w:r>
      <w:r>
        <w:rPr>
          <w:sz w:val="21"/>
        </w:rPr>
        <w:t>  </w:t>
      </w:r>
      <w:r>
        <w:rPr>
          <w:w w:val="100"/>
          <w:sz w:val="21"/>
        </w:rPr>
        <w:t>must</w:t>
      </w:r>
      <w:r>
        <w:rPr>
          <w:sz w:val="21"/>
        </w:rPr>
        <w:t>  </w:t>
      </w:r>
      <w:r>
        <w:rPr>
          <w:w w:val="100"/>
          <w:sz w:val="21"/>
        </w:rPr>
        <w:t>be</w:t>
      </w:r>
      <w:r>
        <w:rPr>
          <w:sz w:val="21"/>
        </w:rPr>
        <w:t>  </w:t>
      </w:r>
      <w:r>
        <w:rPr>
          <w:w w:val="100"/>
          <w:sz w:val="21"/>
        </w:rPr>
        <w:t>pro</w:t>
      </w:r>
      <w:r>
        <w:rPr>
          <w:w w:val="100"/>
          <w:sz w:val="21"/>
        </w:rPr>
        <w:t>v</w:t>
      </w:r>
      <w:r>
        <w:rPr>
          <w:w w:val="100"/>
          <w:sz w:val="21"/>
        </w:rPr>
        <w:t>ed</w:t>
      </w:r>
      <w:r>
        <w:rPr>
          <w:sz w:val="21"/>
        </w:rPr>
        <w:t>  </w:t>
      </w:r>
      <w:r>
        <w:rPr>
          <w:w w:val="100"/>
          <w:sz w:val="21"/>
        </w:rPr>
        <w:t>by</w:t>
      </w:r>
      <w:r>
        <w:rPr>
          <w:sz w:val="21"/>
        </w:rPr>
        <w:t>  </w:t>
      </w:r>
      <w:r>
        <w:rPr>
          <w:w w:val="100"/>
          <w:sz w:val="21"/>
        </w:rPr>
        <w:t>a </w:t>
      </w:r>
      <w:r>
        <w:rPr>
          <w:sz w:val="21"/>
        </w:rPr>
        <w:t>preponderance of probability, but there may be degrees of probability within that standard. </w:t>
      </w:r>
      <w:r>
        <w:rPr>
          <w:b/>
          <w:sz w:val="21"/>
        </w:rPr>
        <w:t>The degree depends on that subject matter</w:t>
      </w:r>
      <w:r>
        <w:rPr>
          <w:sz w:val="21"/>
        </w:rPr>
        <w:t>.‖</w:t>
      </w:r>
    </w:p>
    <w:p>
      <w:pPr>
        <w:spacing w:before="0"/>
        <w:ind w:left="5798" w:right="0" w:firstLine="0"/>
        <w:jc w:val="left"/>
        <w:rPr>
          <w:sz w:val="21"/>
        </w:rPr>
      </w:pPr>
      <w:r>
        <w:rPr>
          <w:sz w:val="21"/>
        </w:rPr>
        <w:t>(Emphasis supplied)</w:t>
      </w:r>
    </w:p>
    <w:p>
      <w:pPr>
        <w:pStyle w:val="BodyText"/>
        <w:rPr>
          <w:sz w:val="24"/>
        </w:rPr>
      </w:pPr>
    </w:p>
    <w:p>
      <w:pPr>
        <w:pStyle w:val="BodyText"/>
        <w:spacing w:before="8"/>
        <w:rPr>
          <w:sz w:val="31"/>
        </w:rPr>
      </w:pPr>
    </w:p>
    <w:p>
      <w:pPr>
        <w:pStyle w:val="BodyText"/>
        <w:spacing w:line="480" w:lineRule="auto"/>
        <w:ind w:left="500"/>
      </w:pPr>
      <w:r>
        <w:rPr/>
        <w:t>The definition of the expression ‗proved‘ in Section 3 of the Evidence Act is in the following terms:</w:t>
      </w:r>
    </w:p>
    <w:p>
      <w:pPr>
        <w:spacing w:line="276" w:lineRule="auto" w:before="0"/>
        <w:ind w:left="1940" w:right="2261" w:firstLine="0"/>
        <w:jc w:val="both"/>
        <w:rPr>
          <w:sz w:val="21"/>
        </w:rPr>
      </w:pPr>
      <w:r>
        <w:rPr>
          <w:spacing w:val="-1"/>
          <w:w w:val="33"/>
          <w:sz w:val="21"/>
        </w:rPr>
        <w:t>―</w:t>
      </w:r>
      <w:r>
        <w:rPr>
          <w:w w:val="100"/>
          <w:sz w:val="21"/>
        </w:rPr>
        <w:t>P</w:t>
      </w:r>
      <w:r>
        <w:rPr>
          <w:spacing w:val="-1"/>
          <w:w w:val="100"/>
          <w:sz w:val="21"/>
        </w:rPr>
        <w:t>ro</w:t>
      </w:r>
      <w:r>
        <w:rPr>
          <w:spacing w:val="-3"/>
          <w:w w:val="100"/>
          <w:sz w:val="21"/>
        </w:rPr>
        <w:t>v</w:t>
      </w:r>
      <w:r>
        <w:rPr>
          <w:spacing w:val="-1"/>
          <w:w w:val="95"/>
          <w:sz w:val="21"/>
        </w:rPr>
        <w:t>ed</w:t>
      </w:r>
      <w:r>
        <w:rPr>
          <w:w w:val="95"/>
          <w:sz w:val="21"/>
        </w:rPr>
        <w:t>‖</w:t>
      </w:r>
      <w:r>
        <w:rPr>
          <w:sz w:val="21"/>
        </w:rPr>
        <w:t>  </w:t>
      </w:r>
      <w:r>
        <w:rPr>
          <w:spacing w:val="6"/>
          <w:sz w:val="21"/>
        </w:rPr>
        <w:t> </w:t>
      </w:r>
      <w:r>
        <w:rPr>
          <w:w w:val="100"/>
          <w:sz w:val="21"/>
        </w:rPr>
        <w:t>.—A</w:t>
      </w:r>
      <w:r>
        <w:rPr>
          <w:sz w:val="21"/>
        </w:rPr>
        <w:t>  </w:t>
      </w:r>
      <w:r>
        <w:rPr>
          <w:spacing w:val="5"/>
          <w:sz w:val="21"/>
        </w:rPr>
        <w:t> </w:t>
      </w:r>
      <w:r>
        <w:rPr>
          <w:spacing w:val="1"/>
          <w:w w:val="100"/>
          <w:sz w:val="21"/>
        </w:rPr>
        <w:t>f</w:t>
      </w:r>
      <w:r>
        <w:rPr>
          <w:spacing w:val="-3"/>
          <w:w w:val="100"/>
          <w:sz w:val="21"/>
        </w:rPr>
        <w:t>a</w:t>
      </w:r>
      <w:r>
        <w:rPr>
          <w:w w:val="100"/>
          <w:sz w:val="21"/>
        </w:rPr>
        <w:t>ct</w:t>
      </w:r>
      <w:r>
        <w:rPr>
          <w:sz w:val="21"/>
        </w:rPr>
        <w:t>  </w:t>
      </w:r>
      <w:r>
        <w:rPr>
          <w:spacing w:val="6"/>
          <w:sz w:val="21"/>
        </w:rPr>
        <w:t> </w:t>
      </w:r>
      <w:r>
        <w:rPr>
          <w:w w:val="100"/>
          <w:sz w:val="21"/>
        </w:rPr>
        <w:t>i</w:t>
      </w:r>
      <w:r>
        <w:rPr>
          <w:w w:val="100"/>
          <w:sz w:val="21"/>
        </w:rPr>
        <w:t>s</w:t>
      </w:r>
      <w:r>
        <w:rPr>
          <w:sz w:val="21"/>
        </w:rPr>
        <w:t>  </w:t>
      </w:r>
      <w:r>
        <w:rPr>
          <w:spacing w:val="4"/>
          <w:sz w:val="21"/>
        </w:rPr>
        <w:t> </w:t>
      </w:r>
      <w:r>
        <w:rPr>
          <w:w w:val="100"/>
          <w:sz w:val="21"/>
        </w:rPr>
        <w:t>sa</w:t>
      </w:r>
      <w:r>
        <w:rPr>
          <w:spacing w:val="1"/>
          <w:w w:val="100"/>
          <w:sz w:val="21"/>
        </w:rPr>
        <w:t>i</w:t>
      </w:r>
      <w:r>
        <w:rPr>
          <w:w w:val="100"/>
          <w:sz w:val="21"/>
        </w:rPr>
        <w:t>d</w:t>
      </w:r>
      <w:r>
        <w:rPr>
          <w:sz w:val="21"/>
        </w:rPr>
        <w:t>  </w:t>
      </w:r>
      <w:r>
        <w:rPr>
          <w:spacing w:val="4"/>
          <w:sz w:val="21"/>
        </w:rPr>
        <w:t> </w:t>
      </w:r>
      <w:r>
        <w:rPr>
          <w:spacing w:val="-2"/>
          <w:w w:val="100"/>
          <w:sz w:val="21"/>
        </w:rPr>
        <w:t>t</w:t>
      </w:r>
      <w:r>
        <w:rPr>
          <w:w w:val="100"/>
          <w:sz w:val="21"/>
        </w:rPr>
        <w:t>o</w:t>
      </w:r>
      <w:r>
        <w:rPr>
          <w:sz w:val="21"/>
        </w:rPr>
        <w:t>  </w:t>
      </w:r>
      <w:r>
        <w:rPr>
          <w:spacing w:val="7"/>
          <w:sz w:val="21"/>
        </w:rPr>
        <w:t> </w:t>
      </w:r>
      <w:r>
        <w:rPr>
          <w:w w:val="100"/>
          <w:sz w:val="21"/>
        </w:rPr>
        <w:t>be</w:t>
      </w:r>
      <w:r>
        <w:rPr>
          <w:sz w:val="21"/>
        </w:rPr>
        <w:t>  </w:t>
      </w:r>
      <w:r>
        <w:rPr>
          <w:spacing w:val="5"/>
          <w:sz w:val="21"/>
        </w:rPr>
        <w:t> </w:t>
      </w:r>
      <w:r>
        <w:rPr>
          <w:w w:val="100"/>
          <w:sz w:val="21"/>
        </w:rPr>
        <w:t>pro</w:t>
      </w:r>
      <w:r>
        <w:rPr>
          <w:spacing w:val="-3"/>
          <w:w w:val="100"/>
          <w:sz w:val="21"/>
        </w:rPr>
        <w:t>v</w:t>
      </w:r>
      <w:r>
        <w:rPr>
          <w:w w:val="100"/>
          <w:sz w:val="21"/>
        </w:rPr>
        <w:t>ed</w:t>
      </w:r>
      <w:r>
        <w:rPr>
          <w:sz w:val="21"/>
        </w:rPr>
        <w:t>  </w:t>
      </w:r>
      <w:r>
        <w:rPr>
          <w:spacing w:val="7"/>
          <w:sz w:val="21"/>
        </w:rPr>
        <w:t> </w:t>
      </w:r>
      <w:r>
        <w:rPr>
          <w:spacing w:val="-2"/>
          <w:w w:val="100"/>
          <w:sz w:val="21"/>
        </w:rPr>
        <w:t>w</w:t>
      </w:r>
      <w:r>
        <w:rPr>
          <w:spacing w:val="-3"/>
          <w:w w:val="100"/>
          <w:sz w:val="21"/>
        </w:rPr>
        <w:t>h</w:t>
      </w:r>
      <w:r>
        <w:rPr>
          <w:w w:val="100"/>
          <w:sz w:val="21"/>
        </w:rPr>
        <w:t>en,</w:t>
      </w:r>
      <w:r>
        <w:rPr>
          <w:sz w:val="21"/>
        </w:rPr>
        <w:t>  </w:t>
      </w:r>
      <w:r>
        <w:rPr>
          <w:spacing w:val="6"/>
          <w:sz w:val="21"/>
        </w:rPr>
        <w:t> </w:t>
      </w:r>
      <w:r>
        <w:rPr>
          <w:w w:val="100"/>
          <w:sz w:val="21"/>
        </w:rPr>
        <w:t>a</w:t>
      </w:r>
      <w:r>
        <w:rPr>
          <w:spacing w:val="1"/>
          <w:w w:val="100"/>
          <w:sz w:val="21"/>
        </w:rPr>
        <w:t>f</w:t>
      </w:r>
      <w:r>
        <w:rPr>
          <w:spacing w:val="-2"/>
          <w:w w:val="100"/>
          <w:sz w:val="21"/>
        </w:rPr>
        <w:t>t</w:t>
      </w:r>
      <w:r>
        <w:rPr>
          <w:spacing w:val="-3"/>
          <w:w w:val="100"/>
          <w:sz w:val="21"/>
        </w:rPr>
        <w:t>e</w:t>
      </w:r>
      <w:r>
        <w:rPr>
          <w:w w:val="100"/>
          <w:sz w:val="21"/>
        </w:rPr>
        <w:t>r </w:t>
      </w:r>
      <w:r>
        <w:rPr>
          <w:sz w:val="21"/>
        </w:rPr>
        <w:t>considering the matters before it, the Court either believes it to exist, or considers its existence so probable that a prudent man ought, under the circumstances of the particular case, to act upon the supposition that it</w:t>
      </w:r>
      <w:r>
        <w:rPr>
          <w:spacing w:val="-14"/>
          <w:sz w:val="21"/>
        </w:rPr>
        <w:t> </w:t>
      </w:r>
      <w:r>
        <w:rPr>
          <w:sz w:val="21"/>
        </w:rPr>
        <w:t>exists.‖</w:t>
      </w:r>
    </w:p>
    <w:p>
      <w:pPr>
        <w:pStyle w:val="BodyText"/>
        <w:spacing w:before="1"/>
        <w:rPr>
          <w:sz w:val="24"/>
        </w:rPr>
      </w:pPr>
    </w:p>
    <w:p>
      <w:pPr>
        <w:pStyle w:val="BodyText"/>
        <w:spacing w:line="480" w:lineRule="auto"/>
        <w:ind w:left="500" w:right="512"/>
      </w:pPr>
      <w:r>
        <w:rPr/>
        <w:t>Proof of a fact depends upon the probability of its existence. The finding of the court must be based on:</w:t>
      </w:r>
    </w:p>
    <w:p>
      <w:pPr>
        <w:pStyle w:val="ListParagraph"/>
        <w:numPr>
          <w:ilvl w:val="1"/>
          <w:numId w:val="166"/>
        </w:numPr>
        <w:tabs>
          <w:tab w:pos="1220" w:val="left" w:leader="none"/>
          <w:tab w:pos="1221" w:val="left" w:leader="none"/>
        </w:tabs>
        <w:spacing w:line="480" w:lineRule="auto" w:before="161" w:after="0"/>
        <w:ind w:left="1220" w:right="446" w:hanging="629"/>
        <w:jc w:val="left"/>
        <w:rPr>
          <w:sz w:val="25"/>
        </w:rPr>
      </w:pPr>
      <w:r>
        <w:rPr>
          <w:sz w:val="25"/>
        </w:rPr>
        <w:t>The test of a prudent person, who acts under the supposition that a fact exists;</w:t>
      </w:r>
      <w:r>
        <w:rPr>
          <w:spacing w:val="-2"/>
          <w:sz w:val="25"/>
        </w:rPr>
        <w:t> </w:t>
      </w:r>
      <w:r>
        <w:rPr>
          <w:sz w:val="25"/>
        </w:rPr>
        <w:t>and</w:t>
      </w:r>
    </w:p>
    <w:p>
      <w:pPr>
        <w:pStyle w:val="ListParagraph"/>
        <w:numPr>
          <w:ilvl w:val="1"/>
          <w:numId w:val="166"/>
        </w:numPr>
        <w:tabs>
          <w:tab w:pos="1220" w:val="left" w:leader="none"/>
          <w:tab w:pos="1221" w:val="left" w:leader="none"/>
        </w:tabs>
        <w:spacing w:line="287" w:lineRule="exact" w:before="0" w:after="0"/>
        <w:ind w:left="1220" w:right="0" w:hanging="630"/>
        <w:jc w:val="left"/>
        <w:rPr>
          <w:sz w:val="25"/>
        </w:rPr>
      </w:pPr>
      <w:r>
        <w:rPr>
          <w:sz w:val="25"/>
        </w:rPr>
        <w:t>In the context and circumstances of a particular</w:t>
      </w:r>
      <w:r>
        <w:rPr>
          <w:spacing w:val="-5"/>
          <w:sz w:val="25"/>
        </w:rPr>
        <w:t> </w:t>
      </w:r>
      <w:r>
        <w:rPr>
          <w:sz w:val="25"/>
        </w:rPr>
        <w:t>case.</w:t>
      </w:r>
    </w:p>
    <w:p>
      <w:pPr>
        <w:pStyle w:val="BodyText"/>
        <w:rPr>
          <w:sz w:val="28"/>
        </w:rPr>
      </w:pPr>
    </w:p>
    <w:p>
      <w:pPr>
        <w:spacing w:line="480" w:lineRule="auto" w:before="250"/>
        <w:ind w:left="500" w:right="512" w:firstLine="0"/>
        <w:jc w:val="left"/>
        <w:rPr>
          <w:sz w:val="25"/>
        </w:rPr>
      </w:pPr>
      <w:r>
        <w:rPr>
          <w:sz w:val="25"/>
        </w:rPr>
        <w:t>Analysing this, Y V Chandrachud J (as the learned Chief Justice then was) in </w:t>
      </w:r>
      <w:r>
        <w:rPr>
          <w:b/>
          <w:sz w:val="25"/>
        </w:rPr>
        <w:t>Dr N G Dastane </w:t>
      </w:r>
      <w:r>
        <w:rPr>
          <w:sz w:val="25"/>
        </w:rPr>
        <w:t>v </w:t>
      </w:r>
      <w:r>
        <w:rPr>
          <w:b/>
          <w:sz w:val="25"/>
        </w:rPr>
        <w:t>S Dastane</w:t>
      </w:r>
      <w:r>
        <w:rPr>
          <w:sz w:val="25"/>
          <w:vertAlign w:val="superscript"/>
        </w:rPr>
        <w:t>297</w:t>
      </w:r>
      <w:r>
        <w:rPr>
          <w:sz w:val="25"/>
          <w:vertAlign w:val="baseline"/>
        </w:rPr>
        <w:t> held</w:t>
      </w:r>
      <w:r>
        <w:rPr>
          <w:spacing w:val="-8"/>
          <w:sz w:val="25"/>
          <w:vertAlign w:val="baseline"/>
        </w:rPr>
        <w:t> </w:t>
      </w:r>
      <w:r>
        <w:rPr>
          <w:sz w:val="25"/>
          <w:vertAlign w:val="baseline"/>
        </w:rPr>
        <w:t>:</w:t>
      </w:r>
    </w:p>
    <w:p>
      <w:pPr>
        <w:spacing w:line="276" w:lineRule="auto" w:before="4"/>
        <w:ind w:left="1940" w:right="2260" w:firstLine="0"/>
        <w:jc w:val="both"/>
        <w:rPr>
          <w:b/>
          <w:sz w:val="21"/>
        </w:rPr>
      </w:pPr>
      <w:r>
        <w:rPr>
          <w:spacing w:val="-1"/>
          <w:w w:val="33"/>
          <w:sz w:val="21"/>
        </w:rPr>
        <w:t>―</w:t>
      </w:r>
      <w:r>
        <w:rPr>
          <w:w w:val="100"/>
          <w:sz w:val="21"/>
        </w:rPr>
        <w:t>The</w:t>
      </w:r>
      <w:r>
        <w:rPr>
          <w:sz w:val="21"/>
        </w:rPr>
        <w:t> </w:t>
      </w:r>
      <w:r>
        <w:rPr>
          <w:spacing w:val="-7"/>
          <w:sz w:val="21"/>
        </w:rPr>
        <w:t> </w:t>
      </w:r>
      <w:r>
        <w:rPr>
          <w:spacing w:val="-3"/>
          <w:w w:val="100"/>
          <w:sz w:val="21"/>
        </w:rPr>
        <w:t>b</w:t>
      </w:r>
      <w:r>
        <w:rPr>
          <w:spacing w:val="-1"/>
          <w:w w:val="100"/>
          <w:sz w:val="21"/>
        </w:rPr>
        <w:t>e</w:t>
      </w:r>
      <w:r>
        <w:rPr>
          <w:spacing w:val="-2"/>
          <w:w w:val="100"/>
          <w:sz w:val="21"/>
        </w:rPr>
        <w:t>l</w:t>
      </w:r>
      <w:r>
        <w:rPr>
          <w:w w:val="100"/>
          <w:sz w:val="21"/>
        </w:rPr>
        <w:t>i</w:t>
      </w:r>
      <w:r>
        <w:rPr>
          <w:spacing w:val="-3"/>
          <w:w w:val="100"/>
          <w:sz w:val="21"/>
        </w:rPr>
        <w:t>e</w:t>
      </w:r>
      <w:r>
        <w:rPr>
          <w:w w:val="100"/>
          <w:sz w:val="21"/>
        </w:rPr>
        <w:t>f</w:t>
      </w:r>
      <w:r>
        <w:rPr>
          <w:sz w:val="21"/>
        </w:rPr>
        <w:t> </w:t>
      </w:r>
      <w:r>
        <w:rPr>
          <w:spacing w:val="-6"/>
          <w:sz w:val="21"/>
        </w:rPr>
        <w:t> </w:t>
      </w:r>
      <w:r>
        <w:rPr>
          <w:spacing w:val="-1"/>
          <w:w w:val="100"/>
          <w:sz w:val="21"/>
        </w:rPr>
        <w:t>r</w:t>
      </w:r>
      <w:r>
        <w:rPr>
          <w:spacing w:val="-3"/>
          <w:w w:val="100"/>
          <w:sz w:val="21"/>
        </w:rPr>
        <w:t>e</w:t>
      </w:r>
      <w:r>
        <w:rPr>
          <w:spacing w:val="-1"/>
          <w:w w:val="100"/>
          <w:sz w:val="21"/>
        </w:rPr>
        <w:t>gar</w:t>
      </w:r>
      <w:r>
        <w:rPr>
          <w:spacing w:val="-3"/>
          <w:w w:val="100"/>
          <w:sz w:val="21"/>
        </w:rPr>
        <w:t>d</w:t>
      </w:r>
      <w:r>
        <w:rPr>
          <w:w w:val="100"/>
          <w:sz w:val="21"/>
        </w:rPr>
        <w:t>i</w:t>
      </w:r>
      <w:r>
        <w:rPr>
          <w:spacing w:val="-1"/>
          <w:w w:val="100"/>
          <w:sz w:val="21"/>
        </w:rPr>
        <w:t>n</w:t>
      </w:r>
      <w:r>
        <w:rPr>
          <w:w w:val="100"/>
          <w:sz w:val="21"/>
        </w:rPr>
        <w:t>g</w:t>
      </w:r>
      <w:r>
        <w:rPr>
          <w:sz w:val="21"/>
        </w:rPr>
        <w:t> </w:t>
      </w:r>
      <w:r>
        <w:rPr>
          <w:spacing w:val="-7"/>
          <w:sz w:val="21"/>
        </w:rPr>
        <w:t> </w:t>
      </w:r>
      <w:r>
        <w:rPr>
          <w:spacing w:val="-2"/>
          <w:w w:val="100"/>
          <w:sz w:val="21"/>
        </w:rPr>
        <w:t>t</w:t>
      </w:r>
      <w:r>
        <w:rPr>
          <w:spacing w:val="-3"/>
          <w:w w:val="100"/>
          <w:sz w:val="21"/>
        </w:rPr>
        <w:t>h</w:t>
      </w:r>
      <w:r>
        <w:rPr>
          <w:w w:val="100"/>
          <w:sz w:val="21"/>
        </w:rPr>
        <w:t>e</w:t>
      </w:r>
      <w:r>
        <w:rPr>
          <w:sz w:val="21"/>
        </w:rPr>
        <w:t> </w:t>
      </w:r>
      <w:r>
        <w:rPr>
          <w:spacing w:val="-9"/>
          <w:sz w:val="21"/>
        </w:rPr>
        <w:t> </w:t>
      </w:r>
      <w:r>
        <w:rPr>
          <w:spacing w:val="-1"/>
          <w:w w:val="100"/>
          <w:sz w:val="21"/>
        </w:rPr>
        <w:t>ex</w:t>
      </w:r>
      <w:r>
        <w:rPr>
          <w:spacing w:val="1"/>
          <w:w w:val="100"/>
          <w:sz w:val="21"/>
        </w:rPr>
        <w:t>i</w:t>
      </w:r>
      <w:r>
        <w:rPr>
          <w:w w:val="100"/>
          <w:sz w:val="21"/>
        </w:rPr>
        <w:t>s</w:t>
      </w:r>
      <w:r>
        <w:rPr>
          <w:spacing w:val="-2"/>
          <w:w w:val="100"/>
          <w:sz w:val="21"/>
        </w:rPr>
        <w:t>t</w:t>
      </w:r>
      <w:r>
        <w:rPr>
          <w:spacing w:val="-3"/>
          <w:w w:val="100"/>
          <w:sz w:val="21"/>
        </w:rPr>
        <w:t>e</w:t>
      </w:r>
      <w:r>
        <w:rPr>
          <w:spacing w:val="-1"/>
          <w:w w:val="100"/>
          <w:sz w:val="21"/>
        </w:rPr>
        <w:t>nc</w:t>
      </w:r>
      <w:r>
        <w:rPr>
          <w:w w:val="100"/>
          <w:sz w:val="21"/>
        </w:rPr>
        <w:t>e</w:t>
      </w:r>
      <w:r>
        <w:rPr>
          <w:sz w:val="21"/>
        </w:rPr>
        <w:t> </w:t>
      </w:r>
      <w:r>
        <w:rPr>
          <w:spacing w:val="-9"/>
          <w:sz w:val="21"/>
        </w:rPr>
        <w:t> </w:t>
      </w:r>
      <w:r>
        <w:rPr>
          <w:spacing w:val="-1"/>
          <w:w w:val="100"/>
          <w:sz w:val="21"/>
        </w:rPr>
        <w:t>o</w:t>
      </w:r>
      <w:r>
        <w:rPr>
          <w:w w:val="100"/>
          <w:sz w:val="21"/>
        </w:rPr>
        <w:t>f</w:t>
      </w:r>
      <w:r>
        <w:rPr>
          <w:sz w:val="21"/>
        </w:rPr>
        <w:t> </w:t>
      </w:r>
      <w:r>
        <w:rPr>
          <w:spacing w:val="-8"/>
          <w:sz w:val="21"/>
        </w:rPr>
        <w:t> </w:t>
      </w:r>
      <w:r>
        <w:rPr>
          <w:w w:val="100"/>
          <w:sz w:val="21"/>
        </w:rPr>
        <w:t>a</w:t>
      </w:r>
      <w:r>
        <w:rPr>
          <w:sz w:val="21"/>
        </w:rPr>
        <w:t> </w:t>
      </w:r>
      <w:r>
        <w:rPr>
          <w:spacing w:val="-9"/>
          <w:sz w:val="21"/>
        </w:rPr>
        <w:t> </w:t>
      </w:r>
      <w:r>
        <w:rPr>
          <w:spacing w:val="1"/>
          <w:w w:val="100"/>
          <w:sz w:val="21"/>
        </w:rPr>
        <w:t>f</w:t>
      </w:r>
      <w:r>
        <w:rPr>
          <w:spacing w:val="-1"/>
          <w:w w:val="100"/>
          <w:sz w:val="21"/>
        </w:rPr>
        <w:t>ac</w:t>
      </w:r>
      <w:r>
        <w:rPr>
          <w:w w:val="100"/>
          <w:sz w:val="21"/>
        </w:rPr>
        <w:t>t</w:t>
      </w:r>
      <w:r>
        <w:rPr>
          <w:sz w:val="21"/>
        </w:rPr>
        <w:t> </w:t>
      </w:r>
      <w:r>
        <w:rPr>
          <w:spacing w:val="-10"/>
          <w:sz w:val="21"/>
        </w:rPr>
        <w:t> </w:t>
      </w:r>
      <w:r>
        <w:rPr>
          <w:spacing w:val="1"/>
          <w:w w:val="100"/>
          <w:sz w:val="21"/>
        </w:rPr>
        <w:t>m</w:t>
      </w:r>
      <w:r>
        <w:rPr>
          <w:spacing w:val="-3"/>
          <w:w w:val="100"/>
          <w:sz w:val="21"/>
        </w:rPr>
        <w:t>a</w:t>
      </w:r>
      <w:r>
        <w:rPr>
          <w:w w:val="100"/>
          <w:sz w:val="21"/>
        </w:rPr>
        <w:t>y</w:t>
      </w:r>
      <w:r>
        <w:rPr>
          <w:sz w:val="21"/>
        </w:rPr>
        <w:t> </w:t>
      </w:r>
      <w:r>
        <w:rPr>
          <w:spacing w:val="-9"/>
          <w:sz w:val="21"/>
        </w:rPr>
        <w:t> </w:t>
      </w:r>
      <w:r>
        <w:rPr>
          <w:spacing w:val="-2"/>
          <w:w w:val="100"/>
          <w:sz w:val="21"/>
        </w:rPr>
        <w:t>t</w:t>
      </w:r>
      <w:r>
        <w:rPr>
          <w:spacing w:val="-1"/>
          <w:w w:val="100"/>
          <w:sz w:val="21"/>
        </w:rPr>
        <w:t>hu</w:t>
      </w:r>
      <w:r>
        <w:rPr>
          <w:w w:val="100"/>
          <w:sz w:val="21"/>
        </w:rPr>
        <w:t>s</w:t>
      </w:r>
      <w:r>
        <w:rPr>
          <w:sz w:val="21"/>
        </w:rPr>
        <w:t> </w:t>
      </w:r>
      <w:r>
        <w:rPr>
          <w:spacing w:val="-7"/>
          <w:sz w:val="21"/>
        </w:rPr>
        <w:t> </w:t>
      </w:r>
      <w:r>
        <w:rPr>
          <w:spacing w:val="-1"/>
          <w:w w:val="100"/>
          <w:sz w:val="21"/>
        </w:rPr>
        <w:t>be </w:t>
      </w:r>
      <w:r>
        <w:rPr>
          <w:sz w:val="21"/>
        </w:rPr>
        <w:t>founded on a balance of probabilities. A prudent man faced with conflicting probabilities concerning a fact-situation will act on the supposition that the fact exists, if on weighing the various probabilities he finds that the preponderance is in favour of the existence of the particular fact. As a prudent man, so the court applies this test for finding whether a fact in issue</w:t>
      </w:r>
      <w:r>
        <w:rPr>
          <w:spacing w:val="14"/>
          <w:sz w:val="21"/>
        </w:rPr>
        <w:t> </w:t>
      </w:r>
      <w:r>
        <w:rPr>
          <w:sz w:val="21"/>
        </w:rPr>
        <w:t>can</w:t>
      </w:r>
      <w:r>
        <w:rPr>
          <w:spacing w:val="12"/>
          <w:sz w:val="21"/>
        </w:rPr>
        <w:t> </w:t>
      </w:r>
      <w:r>
        <w:rPr>
          <w:sz w:val="21"/>
        </w:rPr>
        <w:t>be</w:t>
      </w:r>
      <w:r>
        <w:rPr>
          <w:spacing w:val="11"/>
          <w:sz w:val="21"/>
        </w:rPr>
        <w:t> </w:t>
      </w:r>
      <w:r>
        <w:rPr>
          <w:sz w:val="21"/>
        </w:rPr>
        <w:t>said</w:t>
      </w:r>
      <w:r>
        <w:rPr>
          <w:spacing w:val="15"/>
          <w:sz w:val="21"/>
        </w:rPr>
        <w:t> </w:t>
      </w:r>
      <w:r>
        <w:rPr>
          <w:sz w:val="21"/>
        </w:rPr>
        <w:t>to</w:t>
      </w:r>
      <w:r>
        <w:rPr>
          <w:spacing w:val="12"/>
          <w:sz w:val="21"/>
        </w:rPr>
        <w:t> </w:t>
      </w:r>
      <w:r>
        <w:rPr>
          <w:sz w:val="21"/>
        </w:rPr>
        <w:t>be</w:t>
      </w:r>
      <w:r>
        <w:rPr>
          <w:spacing w:val="14"/>
          <w:sz w:val="21"/>
        </w:rPr>
        <w:t> </w:t>
      </w:r>
      <w:r>
        <w:rPr>
          <w:sz w:val="21"/>
        </w:rPr>
        <w:t>proved.</w:t>
      </w:r>
      <w:r>
        <w:rPr>
          <w:spacing w:val="15"/>
          <w:sz w:val="21"/>
        </w:rPr>
        <w:t> </w:t>
      </w:r>
      <w:r>
        <w:rPr>
          <w:b/>
          <w:sz w:val="21"/>
        </w:rPr>
        <w:t>The</w:t>
      </w:r>
      <w:r>
        <w:rPr>
          <w:b/>
          <w:spacing w:val="15"/>
          <w:sz w:val="21"/>
        </w:rPr>
        <w:t> </w:t>
      </w:r>
      <w:r>
        <w:rPr>
          <w:b/>
          <w:sz w:val="21"/>
        </w:rPr>
        <w:t>first</w:t>
      </w:r>
      <w:r>
        <w:rPr>
          <w:b/>
          <w:spacing w:val="10"/>
          <w:sz w:val="21"/>
        </w:rPr>
        <w:t> </w:t>
      </w:r>
      <w:r>
        <w:rPr>
          <w:b/>
          <w:sz w:val="21"/>
        </w:rPr>
        <w:t>step</w:t>
      </w:r>
      <w:r>
        <w:rPr>
          <w:b/>
          <w:spacing w:val="15"/>
          <w:sz w:val="21"/>
        </w:rPr>
        <w:t> </w:t>
      </w:r>
      <w:r>
        <w:rPr>
          <w:b/>
          <w:sz w:val="21"/>
        </w:rPr>
        <w:t>in</w:t>
      </w:r>
      <w:r>
        <w:rPr>
          <w:b/>
          <w:spacing w:val="13"/>
          <w:sz w:val="21"/>
        </w:rPr>
        <w:t> </w:t>
      </w:r>
      <w:r>
        <w:rPr>
          <w:b/>
          <w:sz w:val="21"/>
        </w:rPr>
        <w:t>this</w:t>
      </w:r>
    </w:p>
    <w:p>
      <w:pPr>
        <w:pStyle w:val="BodyText"/>
        <w:rPr>
          <w:b/>
          <w:sz w:val="14"/>
        </w:rPr>
      </w:pPr>
      <w:r>
        <w:rPr/>
        <w:pict>
          <v:rect style="position:absolute;margin-left:72.024002pt;margin-top:10.036647pt;width:144.020pt;height:.599980pt;mso-position-horizontal-relative:page;mso-position-vertical-relative:paragraph;z-index:-1564467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296</w:t>
      </w:r>
      <w:r>
        <w:rPr>
          <w:sz w:val="18"/>
          <w:vertAlign w:val="baseline"/>
        </w:rPr>
        <w:t> [1951] P. 35</w:t>
      </w:r>
    </w:p>
    <w:p>
      <w:pPr>
        <w:spacing w:after="0"/>
        <w:jc w:val="left"/>
        <w:rPr>
          <w:sz w:val="18"/>
        </w:rPr>
        <w:sectPr>
          <w:headerReference w:type="default" r:id="rId164"/>
          <w:footerReference w:type="default" r:id="rId165"/>
          <w:pgSz w:w="11910" w:h="16840"/>
          <w:pgMar w:header="721" w:footer="1367" w:top="1300" w:bottom="1560" w:left="940" w:right="1000"/>
          <w:pgNumType w:start="297"/>
        </w:sectPr>
      </w:pPr>
    </w:p>
    <w:p>
      <w:pPr>
        <w:spacing w:line="276" w:lineRule="auto" w:before="122"/>
        <w:ind w:left="1940" w:right="2261" w:firstLine="0"/>
        <w:jc w:val="both"/>
        <w:rPr>
          <w:b/>
          <w:sz w:val="21"/>
        </w:rPr>
      </w:pPr>
      <w:r>
        <w:rPr>
          <w:b/>
          <w:sz w:val="21"/>
        </w:rPr>
        <w:t>process is to fix the probabilities, the second to weigh them, though the </w:t>
      </w:r>
      <w:r>
        <w:rPr>
          <w:b/>
          <w:spacing w:val="-2"/>
          <w:sz w:val="21"/>
        </w:rPr>
        <w:t>two </w:t>
      </w:r>
      <w:r>
        <w:rPr>
          <w:b/>
          <w:sz w:val="21"/>
        </w:rPr>
        <w:t>may often intermingle. The impossible is weeded out at the first stage, the improbable at the second. </w:t>
      </w:r>
      <w:r>
        <w:rPr>
          <w:sz w:val="21"/>
        </w:rPr>
        <w:t>Within the wide range of probabilities the court has often a difficult choice to make but it is this choice which ultimately determines where the preponderance of probabilities lies. </w:t>
      </w:r>
      <w:r>
        <w:rPr>
          <w:b/>
          <w:sz w:val="21"/>
        </w:rPr>
        <w:t>Important issues like those which affect the status of parties demand a closer scrutiny</w:t>
      </w:r>
      <w:r>
        <w:rPr>
          <w:b/>
          <w:spacing w:val="28"/>
          <w:sz w:val="21"/>
        </w:rPr>
        <w:t> </w:t>
      </w:r>
      <w:r>
        <w:rPr>
          <w:b/>
          <w:sz w:val="21"/>
        </w:rPr>
        <w:t>than</w:t>
      </w:r>
      <w:r>
        <w:rPr>
          <w:b/>
          <w:spacing w:val="31"/>
          <w:sz w:val="21"/>
        </w:rPr>
        <w:t> </w:t>
      </w:r>
      <w:r>
        <w:rPr>
          <w:b/>
          <w:sz w:val="21"/>
        </w:rPr>
        <w:t>those</w:t>
      </w:r>
      <w:r>
        <w:rPr>
          <w:b/>
          <w:spacing w:val="30"/>
          <w:sz w:val="21"/>
        </w:rPr>
        <w:t> </w:t>
      </w:r>
      <w:r>
        <w:rPr>
          <w:b/>
          <w:sz w:val="21"/>
        </w:rPr>
        <w:t>like</w:t>
      </w:r>
      <w:r>
        <w:rPr>
          <w:b/>
          <w:spacing w:val="31"/>
          <w:sz w:val="21"/>
        </w:rPr>
        <w:t> </w:t>
      </w:r>
      <w:r>
        <w:rPr>
          <w:b/>
          <w:sz w:val="21"/>
        </w:rPr>
        <w:t>the</w:t>
      </w:r>
      <w:r>
        <w:rPr>
          <w:b/>
          <w:spacing w:val="31"/>
          <w:sz w:val="21"/>
        </w:rPr>
        <w:t> </w:t>
      </w:r>
      <w:r>
        <w:rPr>
          <w:b/>
          <w:sz w:val="21"/>
        </w:rPr>
        <w:t>loan</w:t>
      </w:r>
      <w:r>
        <w:rPr>
          <w:b/>
          <w:spacing w:val="31"/>
          <w:sz w:val="21"/>
        </w:rPr>
        <w:t> </w:t>
      </w:r>
      <w:r>
        <w:rPr>
          <w:b/>
          <w:sz w:val="21"/>
        </w:rPr>
        <w:t>on</w:t>
      </w:r>
      <w:r>
        <w:rPr>
          <w:b/>
          <w:spacing w:val="30"/>
          <w:sz w:val="21"/>
        </w:rPr>
        <w:t> </w:t>
      </w:r>
      <w:r>
        <w:rPr>
          <w:b/>
          <w:sz w:val="21"/>
        </w:rPr>
        <w:t>a</w:t>
      </w:r>
      <w:r>
        <w:rPr>
          <w:b/>
          <w:spacing w:val="31"/>
          <w:sz w:val="21"/>
        </w:rPr>
        <w:t> </w:t>
      </w:r>
      <w:r>
        <w:rPr>
          <w:b/>
          <w:sz w:val="21"/>
        </w:rPr>
        <w:t>promissory</w:t>
      </w:r>
      <w:r>
        <w:rPr>
          <w:b/>
          <w:spacing w:val="28"/>
          <w:sz w:val="21"/>
        </w:rPr>
        <w:t> </w:t>
      </w:r>
      <w:r>
        <w:rPr>
          <w:b/>
          <w:sz w:val="21"/>
        </w:rPr>
        <w:t>note:</w:t>
      </w:r>
    </w:p>
    <w:p>
      <w:pPr>
        <w:spacing w:line="276" w:lineRule="auto" w:before="0"/>
        <w:ind w:left="1940" w:right="2260" w:firstLine="0"/>
        <w:jc w:val="both"/>
        <w:rPr>
          <w:sz w:val="21"/>
        </w:rPr>
      </w:pPr>
      <w:r>
        <w:rPr>
          <w:b/>
          <w:sz w:val="21"/>
        </w:rPr>
        <w:t>―the nature and gravity of an issue necessarily determines the manner of attaining reasonable satisfaction  of  the  truth  of  the  issue  </w:t>
      </w:r>
      <w:r>
        <w:rPr>
          <w:sz w:val="21"/>
        </w:rPr>
        <w:t>[  Per  Dixon,  J.  in </w:t>
      </w:r>
      <w:r>
        <w:rPr>
          <w:i/>
          <w:sz w:val="21"/>
        </w:rPr>
        <w:t>Wright </w:t>
      </w:r>
      <w:r>
        <w:rPr>
          <w:sz w:val="21"/>
        </w:rPr>
        <w:t>v. </w:t>
      </w:r>
      <w:r>
        <w:rPr>
          <w:i/>
          <w:sz w:val="21"/>
        </w:rPr>
        <w:t>Wright</w:t>
      </w:r>
      <w:r>
        <w:rPr>
          <w:sz w:val="21"/>
        </w:rPr>
        <w:t>, (1948) 77 CLR 191, 210] ‖; or as said by Lord Denning, </w:t>
      </w:r>
      <w:r>
        <w:rPr>
          <w:b/>
          <w:sz w:val="21"/>
        </w:rPr>
        <w:t>―the degree of probability depends on the subject-matter. </w:t>
      </w:r>
      <w:r>
        <w:rPr>
          <w:sz w:val="21"/>
        </w:rPr>
        <w:t>In proportion as the offence is grave, so ought the proof to be clear [</w:t>
      </w:r>
      <w:r>
        <w:rPr>
          <w:i/>
          <w:sz w:val="21"/>
        </w:rPr>
        <w:t>Blyth </w:t>
      </w:r>
      <w:r>
        <w:rPr>
          <w:sz w:val="21"/>
        </w:rPr>
        <w:t>v. </w:t>
      </w:r>
      <w:r>
        <w:rPr>
          <w:i/>
          <w:sz w:val="21"/>
        </w:rPr>
        <w:t>Blyth</w:t>
      </w:r>
      <w:r>
        <w:rPr>
          <w:sz w:val="21"/>
        </w:rPr>
        <w:t>, (1966) 1 AER 524, 536] ‖. But whether the issue is one of cruelty or of a loan on a pronote, the test to apply is whether on a preponderance of probabilities the relevant fact is proved. In civil cases this, normally, is the standard of proof to apply for finding whether the burden of proof is</w:t>
      </w:r>
      <w:r>
        <w:rPr>
          <w:spacing w:val="-7"/>
          <w:sz w:val="21"/>
        </w:rPr>
        <w:t> </w:t>
      </w:r>
      <w:r>
        <w:rPr>
          <w:sz w:val="21"/>
        </w:rPr>
        <w:t>discharged.‖</w:t>
      </w:r>
    </w:p>
    <w:p>
      <w:pPr>
        <w:spacing w:before="2"/>
        <w:ind w:left="5798" w:right="0" w:firstLine="0"/>
        <w:jc w:val="both"/>
        <w:rPr>
          <w:sz w:val="21"/>
        </w:rPr>
      </w:pPr>
      <w:r>
        <w:rPr>
          <w:sz w:val="21"/>
        </w:rPr>
        <w:t>(Emphasis supplied)</w:t>
      </w:r>
    </w:p>
    <w:p>
      <w:pPr>
        <w:pStyle w:val="BodyText"/>
        <w:rPr>
          <w:sz w:val="24"/>
        </w:rPr>
      </w:pPr>
    </w:p>
    <w:p>
      <w:pPr>
        <w:pStyle w:val="BodyText"/>
        <w:spacing w:before="2"/>
        <w:rPr>
          <w:sz w:val="29"/>
        </w:rPr>
      </w:pPr>
    </w:p>
    <w:p>
      <w:pPr>
        <w:pStyle w:val="BodyText"/>
        <w:spacing w:line="480" w:lineRule="auto"/>
        <w:ind w:left="500" w:right="512"/>
      </w:pPr>
      <w:r>
        <w:rPr/>
        <w:t>The Court recognised that within the standard of preponderance of probabilities, the degree of probability is based on the subject matter involved.</w:t>
      </w:r>
    </w:p>
    <w:p>
      <w:pPr>
        <w:spacing w:line="285" w:lineRule="exact" w:before="0"/>
        <w:ind w:left="500" w:right="0" w:firstLine="0"/>
        <w:jc w:val="left"/>
        <w:rPr>
          <w:sz w:val="25"/>
        </w:rPr>
      </w:pPr>
      <w:r>
        <w:rPr>
          <w:sz w:val="25"/>
        </w:rPr>
        <w:t>In </w:t>
      </w:r>
      <w:r>
        <w:rPr>
          <w:b/>
          <w:sz w:val="25"/>
        </w:rPr>
        <w:t>State of U P v Krishna Gopal</w:t>
      </w:r>
      <w:r>
        <w:rPr>
          <w:sz w:val="25"/>
          <w:vertAlign w:val="superscript"/>
        </w:rPr>
        <w:t>298</w:t>
      </w:r>
      <w:r>
        <w:rPr>
          <w:sz w:val="25"/>
          <w:vertAlign w:val="baseline"/>
        </w:rPr>
        <w:t>, this Court observed:</w:t>
      </w:r>
    </w:p>
    <w:p>
      <w:pPr>
        <w:pStyle w:val="BodyText"/>
        <w:spacing w:before="2"/>
      </w:pPr>
    </w:p>
    <w:p>
      <w:pPr>
        <w:spacing w:line="276" w:lineRule="auto" w:before="0"/>
        <w:ind w:left="1940" w:right="2262" w:firstLine="0"/>
        <w:jc w:val="both"/>
        <w:rPr>
          <w:sz w:val="21"/>
        </w:rPr>
      </w:pPr>
      <w:r>
        <w:rPr>
          <w:spacing w:val="-1"/>
          <w:w w:val="33"/>
          <w:sz w:val="21"/>
        </w:rPr>
        <w:t>―</w:t>
      </w:r>
      <w:r>
        <w:rPr>
          <w:spacing w:val="-1"/>
          <w:w w:val="100"/>
          <w:sz w:val="21"/>
        </w:rPr>
        <w:t>2</w:t>
      </w:r>
      <w:r>
        <w:rPr>
          <w:w w:val="100"/>
          <w:sz w:val="21"/>
        </w:rPr>
        <w:t>6</w:t>
      </w:r>
      <w:r>
        <w:rPr>
          <w:w w:val="100"/>
          <w:sz w:val="21"/>
        </w:rPr>
        <w:t>.</w:t>
      </w:r>
      <w:r>
        <w:rPr>
          <w:spacing w:val="-2"/>
          <w:sz w:val="21"/>
        </w:rPr>
        <w:t> </w:t>
      </w:r>
      <w:r>
        <w:rPr>
          <w:w w:val="100"/>
          <w:sz w:val="21"/>
        </w:rPr>
        <w:t>Th</w:t>
      </w:r>
      <w:r>
        <w:rPr>
          <w:w w:val="100"/>
          <w:sz w:val="21"/>
        </w:rPr>
        <w:t>e</w:t>
      </w:r>
      <w:r>
        <w:rPr>
          <w:spacing w:val="3"/>
          <w:sz w:val="21"/>
        </w:rPr>
        <w:t> </w:t>
      </w:r>
      <w:r>
        <w:rPr>
          <w:w w:val="100"/>
          <w:sz w:val="21"/>
        </w:rPr>
        <w:t>co</w:t>
      </w:r>
      <w:r>
        <w:rPr>
          <w:spacing w:val="-3"/>
          <w:w w:val="100"/>
          <w:sz w:val="21"/>
        </w:rPr>
        <w:t>n</w:t>
      </w:r>
      <w:r>
        <w:rPr>
          <w:w w:val="100"/>
          <w:sz w:val="21"/>
        </w:rPr>
        <w:t>cep</w:t>
      </w:r>
      <w:r>
        <w:rPr>
          <w:spacing w:val="-1"/>
          <w:w w:val="100"/>
          <w:sz w:val="21"/>
        </w:rPr>
        <w:t>t</w:t>
      </w:r>
      <w:r>
        <w:rPr>
          <w:w w:val="100"/>
          <w:sz w:val="21"/>
        </w:rPr>
        <w:t>s</w:t>
      </w:r>
      <w:r>
        <w:rPr>
          <w:spacing w:val="3"/>
          <w:sz w:val="21"/>
        </w:rPr>
        <w:t> </w:t>
      </w:r>
      <w:r>
        <w:rPr>
          <w:spacing w:val="-3"/>
          <w:w w:val="100"/>
          <w:sz w:val="21"/>
        </w:rPr>
        <w:t>o</w:t>
      </w:r>
      <w:r>
        <w:rPr>
          <w:w w:val="100"/>
          <w:sz w:val="21"/>
        </w:rPr>
        <w:t>f</w:t>
      </w:r>
      <w:r>
        <w:rPr>
          <w:spacing w:val="7"/>
          <w:sz w:val="21"/>
        </w:rPr>
        <w:t> </w:t>
      </w:r>
      <w:r>
        <w:rPr>
          <w:w w:val="100"/>
          <w:sz w:val="21"/>
        </w:rPr>
        <w:t>pr</w:t>
      </w:r>
      <w:r>
        <w:rPr>
          <w:spacing w:val="-3"/>
          <w:w w:val="100"/>
          <w:sz w:val="21"/>
        </w:rPr>
        <w:t>ob</w:t>
      </w:r>
      <w:r>
        <w:rPr>
          <w:w w:val="100"/>
          <w:sz w:val="21"/>
        </w:rPr>
        <w:t>ab</w:t>
      </w:r>
      <w:r>
        <w:rPr>
          <w:spacing w:val="-1"/>
          <w:w w:val="100"/>
          <w:sz w:val="21"/>
        </w:rPr>
        <w:t>i</w:t>
      </w:r>
      <w:r>
        <w:rPr>
          <w:w w:val="100"/>
          <w:sz w:val="21"/>
        </w:rPr>
        <w:t>li</w:t>
      </w:r>
      <w:r>
        <w:rPr>
          <w:spacing w:val="-2"/>
          <w:w w:val="100"/>
          <w:sz w:val="21"/>
        </w:rPr>
        <w:t>t</w:t>
      </w:r>
      <w:r>
        <w:rPr>
          <w:spacing w:val="-3"/>
          <w:w w:val="100"/>
          <w:sz w:val="21"/>
        </w:rPr>
        <w:t>y</w:t>
      </w:r>
      <w:r>
        <w:rPr>
          <w:w w:val="100"/>
          <w:sz w:val="21"/>
        </w:rPr>
        <w:t>,</w:t>
      </w:r>
      <w:r>
        <w:rPr>
          <w:spacing w:val="5"/>
          <w:sz w:val="21"/>
        </w:rPr>
        <w:t> </w:t>
      </w:r>
      <w:r>
        <w:rPr>
          <w:w w:val="100"/>
          <w:sz w:val="21"/>
        </w:rPr>
        <w:t>and</w:t>
      </w:r>
      <w:r>
        <w:rPr>
          <w:spacing w:val="4"/>
          <w:sz w:val="21"/>
        </w:rPr>
        <w:t> </w:t>
      </w:r>
      <w:r>
        <w:rPr>
          <w:spacing w:val="-2"/>
          <w:w w:val="100"/>
          <w:sz w:val="21"/>
        </w:rPr>
        <w:t>t</w:t>
      </w:r>
      <w:r>
        <w:rPr>
          <w:w w:val="100"/>
          <w:sz w:val="21"/>
        </w:rPr>
        <w:t>he</w:t>
      </w:r>
      <w:r>
        <w:rPr>
          <w:spacing w:val="4"/>
          <w:sz w:val="21"/>
        </w:rPr>
        <w:t> </w:t>
      </w:r>
      <w:r>
        <w:rPr>
          <w:w w:val="100"/>
          <w:sz w:val="21"/>
        </w:rPr>
        <w:t>degr</w:t>
      </w:r>
      <w:r>
        <w:rPr>
          <w:spacing w:val="-3"/>
          <w:w w:val="100"/>
          <w:sz w:val="21"/>
        </w:rPr>
        <w:t>e</w:t>
      </w:r>
      <w:r>
        <w:rPr>
          <w:w w:val="100"/>
          <w:sz w:val="21"/>
        </w:rPr>
        <w:t>es</w:t>
      </w:r>
      <w:r>
        <w:rPr>
          <w:spacing w:val="3"/>
          <w:sz w:val="21"/>
        </w:rPr>
        <w:t> </w:t>
      </w:r>
      <w:r>
        <w:rPr>
          <w:w w:val="100"/>
          <w:sz w:val="21"/>
        </w:rPr>
        <w:t>of</w:t>
      </w:r>
      <w:r>
        <w:rPr>
          <w:spacing w:val="5"/>
          <w:sz w:val="21"/>
        </w:rPr>
        <w:t> </w:t>
      </w:r>
      <w:r>
        <w:rPr>
          <w:w w:val="100"/>
          <w:sz w:val="21"/>
        </w:rPr>
        <w:t>i</w:t>
      </w:r>
      <w:r>
        <w:rPr>
          <w:spacing w:val="-2"/>
          <w:w w:val="100"/>
          <w:sz w:val="21"/>
        </w:rPr>
        <w:t>t</w:t>
      </w:r>
      <w:r>
        <w:rPr>
          <w:w w:val="100"/>
          <w:sz w:val="21"/>
        </w:rPr>
        <w:t>,</w:t>
      </w:r>
      <w:r>
        <w:rPr>
          <w:spacing w:val="5"/>
          <w:sz w:val="21"/>
        </w:rPr>
        <w:t> </w:t>
      </w:r>
      <w:r>
        <w:rPr>
          <w:w w:val="100"/>
          <w:sz w:val="21"/>
        </w:rPr>
        <w:t>ca</w:t>
      </w:r>
      <w:r>
        <w:rPr>
          <w:spacing w:val="-3"/>
          <w:w w:val="100"/>
          <w:sz w:val="21"/>
        </w:rPr>
        <w:t>n</w:t>
      </w:r>
      <w:r>
        <w:rPr>
          <w:w w:val="100"/>
          <w:sz w:val="21"/>
        </w:rPr>
        <w:t>not </w:t>
      </w:r>
      <w:r>
        <w:rPr>
          <w:sz w:val="21"/>
        </w:rPr>
        <w:t>obviously be expressed in terms of units to be mathematically enumerated as to how many of such units constitute proof beyond reasonable doubt. There is an unmistakable subjective element in the evaluation of the degrees of probability and the quantum of proof. Forensic probability must, in the last analysis, rest on a </w:t>
      </w:r>
      <w:r>
        <w:rPr>
          <w:b/>
          <w:sz w:val="21"/>
        </w:rPr>
        <w:t>robust common sense and, ultimately, on the trained intuitions of the</w:t>
      </w:r>
      <w:r>
        <w:rPr>
          <w:b/>
          <w:spacing w:val="-22"/>
          <w:sz w:val="21"/>
        </w:rPr>
        <w:t> </w:t>
      </w:r>
      <w:r>
        <w:rPr>
          <w:b/>
          <w:sz w:val="21"/>
        </w:rPr>
        <w:t>Judge</w:t>
      </w:r>
      <w:r>
        <w:rPr>
          <w:sz w:val="21"/>
        </w:rPr>
        <w:t>.‖</w:t>
      </w:r>
    </w:p>
    <w:p>
      <w:pPr>
        <w:spacing w:before="2"/>
        <w:ind w:left="5714" w:right="0" w:firstLine="0"/>
        <w:jc w:val="both"/>
        <w:rPr>
          <w:sz w:val="21"/>
        </w:rPr>
      </w:pPr>
      <w:r>
        <w:rPr>
          <w:sz w:val="21"/>
        </w:rPr>
        <w:t>(Emphasis supplied)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rect style="position:absolute;margin-left:72.024002pt;margin-top:11.594172pt;width:144.020pt;height:.599980pt;mso-position-horizontal-relative:page;mso-position-vertical-relative:paragraph;z-index:-15644160;mso-wrap-distance-left:0;mso-wrap-distance-right:0" filled="true" fillcolor="#000000" stroked="false">
            <v:fill type="solid"/>
            <w10:wrap type="topAndBottom"/>
          </v:rect>
        </w:pict>
      </w:r>
    </w:p>
    <w:p>
      <w:pPr>
        <w:spacing w:after="0"/>
        <w:rPr>
          <w:sz w:val="16"/>
        </w:rPr>
        <w:sectPr>
          <w:headerReference w:type="default" r:id="rId166"/>
          <w:footerReference w:type="default" r:id="rId167"/>
          <w:pgSz w:w="11910" w:h="16840"/>
          <w:pgMar w:header="721" w:footer="1476" w:top="1300" w:bottom="1660" w:left="940" w:right="1000"/>
        </w:sectPr>
      </w:pPr>
    </w:p>
    <w:p>
      <w:pPr>
        <w:pStyle w:val="ListParagraph"/>
        <w:numPr>
          <w:ilvl w:val="0"/>
          <w:numId w:val="166"/>
        </w:numPr>
        <w:tabs>
          <w:tab w:pos="1220" w:val="left" w:leader="none"/>
          <w:tab w:pos="1221" w:val="left" w:leader="none"/>
        </w:tabs>
        <w:spacing w:line="480" w:lineRule="auto" w:before="124" w:after="0"/>
        <w:ind w:left="500" w:right="442" w:firstLine="0"/>
        <w:jc w:val="left"/>
        <w:rPr>
          <w:sz w:val="25"/>
        </w:rPr>
      </w:pPr>
      <w:r>
        <w:rPr>
          <w:sz w:val="25"/>
        </w:rPr>
        <w:t>On the basis of the ASI report, Justice Sudhir Agarwal entered the following findings of</w:t>
      </w:r>
      <w:r>
        <w:rPr>
          <w:spacing w:val="-1"/>
          <w:sz w:val="25"/>
        </w:rPr>
        <w:t> </w:t>
      </w:r>
      <w:r>
        <w:rPr>
          <w:sz w:val="25"/>
        </w:rPr>
        <w:t>fact:</w:t>
      </w:r>
    </w:p>
    <w:p>
      <w:pPr>
        <w:spacing w:line="276" w:lineRule="auto" w:before="159"/>
        <w:ind w:left="1940" w:right="2264" w:firstLine="0"/>
        <w:jc w:val="both"/>
        <w:rPr>
          <w:sz w:val="21"/>
        </w:rPr>
      </w:pPr>
      <w:r>
        <w:rPr>
          <w:w w:val="33"/>
          <w:sz w:val="21"/>
        </w:rPr>
        <w:t>―</w:t>
      </w:r>
      <w:r>
        <w:rPr>
          <w:w w:val="100"/>
          <w:sz w:val="21"/>
        </w:rPr>
        <w:t>4055.</w:t>
      </w:r>
      <w:r>
        <w:rPr>
          <w:sz w:val="21"/>
        </w:rPr>
        <w:t>  </w:t>
      </w:r>
      <w:r>
        <w:rPr>
          <w:w w:val="100"/>
          <w:sz w:val="21"/>
        </w:rPr>
        <w:t>The</w:t>
      </w:r>
      <w:r>
        <w:rPr>
          <w:sz w:val="21"/>
        </w:rPr>
        <w:t>  </w:t>
      </w:r>
      <w:r>
        <w:rPr>
          <w:w w:val="100"/>
          <w:sz w:val="21"/>
        </w:rPr>
        <w:t>ultimate</w:t>
      </w:r>
      <w:r>
        <w:rPr>
          <w:sz w:val="21"/>
        </w:rPr>
        <w:t>  </w:t>
      </w:r>
      <w:r>
        <w:rPr>
          <w:w w:val="100"/>
          <w:sz w:val="21"/>
        </w:rPr>
        <w:t>inference,</w:t>
      </w:r>
      <w:r>
        <w:rPr>
          <w:sz w:val="21"/>
        </w:rPr>
        <w:t>  </w:t>
      </w:r>
      <w:r>
        <w:rPr>
          <w:w w:val="100"/>
          <w:sz w:val="21"/>
        </w:rPr>
        <w:t>which</w:t>
      </w:r>
      <w:r>
        <w:rPr>
          <w:sz w:val="21"/>
        </w:rPr>
        <w:t>  </w:t>
      </w:r>
      <w:r>
        <w:rPr>
          <w:w w:val="100"/>
          <w:sz w:val="21"/>
        </w:rPr>
        <w:t>can</w:t>
      </w:r>
      <w:r>
        <w:rPr>
          <w:sz w:val="21"/>
        </w:rPr>
        <w:t>  </w:t>
      </w:r>
      <w:r>
        <w:rPr>
          <w:w w:val="100"/>
          <w:sz w:val="21"/>
        </w:rPr>
        <w:t>reasonably</w:t>
      </w:r>
      <w:r>
        <w:rPr>
          <w:sz w:val="21"/>
        </w:rPr>
        <w:t>  </w:t>
      </w:r>
      <w:r>
        <w:rPr>
          <w:w w:val="100"/>
          <w:sz w:val="21"/>
        </w:rPr>
        <w:t>be </w:t>
      </w:r>
      <w:r>
        <w:rPr>
          <w:sz w:val="21"/>
        </w:rPr>
        <w:t>drawn by this Court from the entire discussion and material noticed above, is: (i) The disputed structure was not raised on a virgin, vacant, unoccupied, open land;</w:t>
      </w:r>
    </w:p>
    <w:p>
      <w:pPr>
        <w:pStyle w:val="ListParagraph"/>
        <w:numPr>
          <w:ilvl w:val="1"/>
          <w:numId w:val="167"/>
        </w:numPr>
        <w:tabs>
          <w:tab w:pos="2248" w:val="left" w:leader="none"/>
        </w:tabs>
        <w:spacing w:line="276" w:lineRule="auto" w:before="1" w:after="0"/>
        <w:ind w:left="1940" w:right="2263" w:firstLine="0"/>
        <w:jc w:val="both"/>
        <w:rPr>
          <w:sz w:val="21"/>
        </w:rPr>
      </w:pPr>
      <w:r>
        <w:rPr>
          <w:sz w:val="21"/>
        </w:rPr>
        <w:t>There existed a structure, if not much bigger then at least comparable or bigger than the disputed structure, at the site in</w:t>
      </w:r>
      <w:r>
        <w:rPr>
          <w:spacing w:val="-1"/>
          <w:sz w:val="21"/>
        </w:rPr>
        <w:t> </w:t>
      </w:r>
      <w:r>
        <w:rPr>
          <w:sz w:val="21"/>
        </w:rPr>
        <w:t>dispute;</w:t>
      </w:r>
    </w:p>
    <w:p>
      <w:pPr>
        <w:pStyle w:val="ListParagraph"/>
        <w:numPr>
          <w:ilvl w:val="1"/>
          <w:numId w:val="167"/>
        </w:numPr>
        <w:tabs>
          <w:tab w:pos="2305" w:val="left" w:leader="none"/>
        </w:tabs>
        <w:spacing w:line="276" w:lineRule="auto" w:before="0" w:after="0"/>
        <w:ind w:left="1940" w:right="2263" w:firstLine="0"/>
        <w:jc w:val="both"/>
        <w:rPr>
          <w:sz w:val="21"/>
        </w:rPr>
      </w:pPr>
      <w:r>
        <w:rPr>
          <w:sz w:val="21"/>
        </w:rPr>
        <w:t>The builder of the disputed structure knew the details of the erstwhile structure, its strength, capacity, the size of the walls etc. and therefore did not hesitate in using the walls etc. without any further</w:t>
      </w:r>
      <w:r>
        <w:rPr>
          <w:spacing w:val="-7"/>
          <w:sz w:val="21"/>
        </w:rPr>
        <w:t> </w:t>
      </w:r>
      <w:r>
        <w:rPr>
          <w:sz w:val="21"/>
        </w:rPr>
        <w:t>improvement;</w:t>
      </w:r>
    </w:p>
    <w:p>
      <w:pPr>
        <w:pStyle w:val="ListParagraph"/>
        <w:numPr>
          <w:ilvl w:val="1"/>
          <w:numId w:val="167"/>
        </w:numPr>
        <w:tabs>
          <w:tab w:pos="2375" w:val="left" w:leader="none"/>
        </w:tabs>
        <w:spacing w:line="273" w:lineRule="auto" w:before="0" w:after="0"/>
        <w:ind w:left="1940" w:right="2266" w:firstLine="57"/>
        <w:jc w:val="both"/>
        <w:rPr>
          <w:sz w:val="21"/>
        </w:rPr>
      </w:pPr>
      <w:r>
        <w:rPr>
          <w:sz w:val="21"/>
        </w:rPr>
        <w:t>The erstwhile structure was religious in nature and that too</w:t>
      </w:r>
      <w:r>
        <w:rPr>
          <w:spacing w:val="-2"/>
          <w:sz w:val="21"/>
        </w:rPr>
        <w:t> </w:t>
      </w:r>
      <w:r>
        <w:rPr>
          <w:sz w:val="21"/>
        </w:rPr>
        <w:t>non-Islamic…;</w:t>
      </w:r>
    </w:p>
    <w:p>
      <w:pPr>
        <w:pStyle w:val="ListParagraph"/>
        <w:numPr>
          <w:ilvl w:val="1"/>
          <w:numId w:val="167"/>
        </w:numPr>
        <w:tabs>
          <w:tab w:pos="2330" w:val="left" w:leader="none"/>
        </w:tabs>
        <w:spacing w:line="276" w:lineRule="auto" w:before="4" w:after="0"/>
        <w:ind w:left="1940" w:right="2263" w:firstLine="57"/>
        <w:jc w:val="both"/>
        <w:rPr>
          <w:sz w:val="21"/>
        </w:rPr>
      </w:pPr>
      <w:r>
        <w:rPr>
          <w:sz w:val="21"/>
        </w:rPr>
        <w:t>The material like stone, pillars, bricks… of the erstwhile structure was used in raising the disputed structure;</w:t>
      </w:r>
      <w:r>
        <w:rPr>
          <w:spacing w:val="-12"/>
          <w:sz w:val="21"/>
        </w:rPr>
        <w:t> </w:t>
      </w:r>
      <w:r>
        <w:rPr>
          <w:sz w:val="21"/>
        </w:rPr>
        <w:t>and</w:t>
      </w:r>
    </w:p>
    <w:p>
      <w:pPr>
        <w:pStyle w:val="ListParagraph"/>
        <w:numPr>
          <w:ilvl w:val="1"/>
          <w:numId w:val="167"/>
        </w:numPr>
        <w:tabs>
          <w:tab w:pos="2404" w:val="left" w:leader="none"/>
        </w:tabs>
        <w:spacing w:line="276" w:lineRule="auto" w:before="0" w:after="0"/>
        <w:ind w:left="1940" w:right="2261" w:firstLine="57"/>
        <w:jc w:val="both"/>
        <w:rPr>
          <w:sz w:val="21"/>
        </w:rPr>
      </w:pPr>
      <w:r>
        <w:rPr>
          <w:sz w:val="21"/>
        </w:rPr>
        <w:t>The artefacts recovered during excavation are mostly such as are non-Islamic i.e. pertaining to Hindu religious places, even if we accept that some of the items are such which may be used in other religions also. Simultaneously no artefacts etc., which can be used only in Islamic religious place, has been</w:t>
      </w:r>
      <w:r>
        <w:rPr>
          <w:spacing w:val="-6"/>
          <w:sz w:val="21"/>
        </w:rPr>
        <w:t> </w:t>
      </w:r>
      <w:r>
        <w:rPr>
          <w:sz w:val="21"/>
        </w:rPr>
        <w:t>found.‖</w:t>
      </w:r>
    </w:p>
    <w:p>
      <w:pPr>
        <w:pStyle w:val="BodyText"/>
        <w:rPr>
          <w:sz w:val="24"/>
        </w:rPr>
      </w:pPr>
    </w:p>
    <w:p>
      <w:pPr>
        <w:pStyle w:val="BodyText"/>
        <w:spacing w:line="480" w:lineRule="auto" w:before="209"/>
        <w:ind w:left="500" w:right="437"/>
        <w:jc w:val="both"/>
      </w:pPr>
      <w:r>
        <w:rPr/>
        <w:t>Justice S U Khan placed no credence on the ASI report. The reasons which led the judge to that conclusion are specious. Firstly, the learned Judge observed that the finding that there was evidence of continuity in structural phases from the tenth Century onward upto the construction of the disputed structure is directly </w:t>
      </w:r>
      <w:r>
        <w:rPr>
          <w:spacing w:val="6"/>
        </w:rPr>
        <w:t>in </w:t>
      </w:r>
      <w:r>
        <w:rPr/>
        <w:t>conflict with the pleadings, gazetteers and history books. This omnibus finding has no factual basis. The purpose of the excavation was to enable an assessment to be made by the court to determine whether the disputed structure had been constructed on the site of a pre-existing temple. Whether after the construction of temples by Vikramaditya and till the construction of the mosque any construction activity had been carried out under the disputed structure was a matter which could be deduced after the excavation was carried out at the</w:t>
      </w:r>
      <w:r>
        <w:rPr>
          <w:spacing w:val="36"/>
        </w:rPr>
        <w:t> </w:t>
      </w:r>
      <w:r>
        <w:rPr/>
        <w:t>site.</w:t>
      </w:r>
    </w:p>
    <w:p>
      <w:pPr>
        <w:spacing w:after="0" w:line="480" w:lineRule="auto"/>
        <w:jc w:val="both"/>
        <w:sectPr>
          <w:headerReference w:type="default" r:id="rId168"/>
          <w:footerReference w:type="default" r:id="rId169"/>
          <w:pgSz w:w="11910" w:h="16840"/>
          <w:pgMar w:header="721" w:footer="1014" w:top="1300" w:bottom="1200" w:left="940" w:right="1000"/>
          <w:pgNumType w:start="593"/>
        </w:sectPr>
      </w:pPr>
    </w:p>
    <w:p>
      <w:pPr>
        <w:pStyle w:val="BodyText"/>
        <w:spacing w:line="480" w:lineRule="auto" w:before="124"/>
        <w:ind w:left="500" w:right="441"/>
        <w:jc w:val="both"/>
      </w:pPr>
      <w:r>
        <w:rPr/>
        <w:t>The second reason was that in case a temple had been demolished for </w:t>
      </w:r>
      <w:r>
        <w:rPr>
          <w:w w:val="99"/>
        </w:rPr>
        <w:t>constr</w:t>
      </w:r>
      <w:r>
        <w:rPr>
          <w:spacing w:val="-1"/>
          <w:w w:val="99"/>
        </w:rPr>
        <w:t>ucti</w:t>
      </w:r>
      <w:r>
        <w:rPr>
          <w:w w:val="99"/>
        </w:rPr>
        <w:t>ng</w:t>
      </w:r>
      <w:r>
        <w:rPr>
          <w:spacing w:val="26"/>
        </w:rPr>
        <w:t> </w:t>
      </w:r>
      <w:r>
        <w:rPr>
          <w:w w:val="99"/>
        </w:rPr>
        <w:t>a</w:t>
      </w:r>
      <w:r>
        <w:rPr>
          <w:spacing w:val="26"/>
        </w:rPr>
        <w:t> </w:t>
      </w:r>
      <w:r>
        <w:rPr>
          <w:w w:val="99"/>
        </w:rPr>
        <w:t>m</w:t>
      </w:r>
      <w:r>
        <w:rPr>
          <w:spacing w:val="-1"/>
          <w:w w:val="99"/>
        </w:rPr>
        <w:t>os</w:t>
      </w:r>
      <w:r>
        <w:rPr>
          <w:w w:val="99"/>
        </w:rPr>
        <w:t>q</w:t>
      </w:r>
      <w:r>
        <w:rPr>
          <w:spacing w:val="-3"/>
          <w:w w:val="99"/>
        </w:rPr>
        <w:t>u</w:t>
      </w:r>
      <w:r>
        <w:rPr>
          <w:spacing w:val="-1"/>
          <w:w w:val="99"/>
        </w:rPr>
        <w:t>e</w:t>
      </w:r>
      <w:r>
        <w:rPr>
          <w:w w:val="99"/>
        </w:rPr>
        <w:t>,</w:t>
      </w:r>
      <w:r>
        <w:rPr>
          <w:spacing w:val="26"/>
        </w:rPr>
        <w:t> </w:t>
      </w:r>
      <w:r>
        <w:rPr>
          <w:w w:val="99"/>
        </w:rPr>
        <w:t>the</w:t>
      </w:r>
      <w:r>
        <w:rPr>
          <w:spacing w:val="27"/>
        </w:rPr>
        <w:t> </w:t>
      </w:r>
      <w:r>
        <w:rPr>
          <w:w w:val="99"/>
        </w:rPr>
        <w:t>sup</w:t>
      </w:r>
      <w:r>
        <w:rPr>
          <w:spacing w:val="-1"/>
          <w:w w:val="99"/>
        </w:rPr>
        <w:t>e</w:t>
      </w:r>
      <w:r>
        <w:rPr>
          <w:w w:val="99"/>
        </w:rPr>
        <w:t>r</w:t>
      </w:r>
      <w:r>
        <w:rPr>
          <w:spacing w:val="27"/>
        </w:rPr>
        <w:t> </w:t>
      </w:r>
      <w:r>
        <w:rPr>
          <w:w w:val="99"/>
        </w:rPr>
        <w:t>s</w:t>
      </w:r>
      <w:r>
        <w:rPr>
          <w:spacing w:val="-3"/>
          <w:w w:val="99"/>
        </w:rPr>
        <w:t>t</w:t>
      </w:r>
      <w:r>
        <w:rPr>
          <w:w w:val="99"/>
        </w:rPr>
        <w:t>r</w:t>
      </w:r>
      <w:r>
        <w:rPr>
          <w:spacing w:val="-1"/>
          <w:w w:val="99"/>
        </w:rPr>
        <w:t>uct</w:t>
      </w:r>
      <w:r>
        <w:rPr>
          <w:w w:val="99"/>
        </w:rPr>
        <w:t>ure</w:t>
      </w:r>
      <w:r>
        <w:rPr>
          <w:spacing w:val="24"/>
        </w:rPr>
        <w:t> </w:t>
      </w:r>
      <w:r>
        <w:rPr>
          <w:spacing w:val="-1"/>
          <w:w w:val="99"/>
        </w:rPr>
        <w:t>o</w:t>
      </w:r>
      <w:r>
        <w:rPr>
          <w:w w:val="99"/>
        </w:rPr>
        <w:t>f</w:t>
      </w:r>
      <w:r>
        <w:rPr>
          <w:spacing w:val="26"/>
        </w:rPr>
        <w:t> </w:t>
      </w:r>
      <w:r>
        <w:rPr>
          <w:w w:val="99"/>
        </w:rPr>
        <w:t>the</w:t>
      </w:r>
      <w:r>
        <w:rPr>
          <w:spacing w:val="27"/>
        </w:rPr>
        <w:t> </w:t>
      </w:r>
      <w:r>
        <w:rPr>
          <w:w w:val="99"/>
        </w:rPr>
        <w:t>te</w:t>
      </w:r>
      <w:r>
        <w:rPr>
          <w:spacing w:val="1"/>
          <w:w w:val="99"/>
        </w:rPr>
        <w:t>m</w:t>
      </w:r>
      <w:r>
        <w:rPr>
          <w:spacing w:val="-1"/>
          <w:w w:val="99"/>
        </w:rPr>
        <w:t>pl</w:t>
      </w:r>
      <w:r>
        <w:rPr>
          <w:w w:val="99"/>
        </w:rPr>
        <w:t>e</w:t>
      </w:r>
      <w:r>
        <w:rPr>
          <w:spacing w:val="24"/>
        </w:rPr>
        <w:t> </w:t>
      </w:r>
      <w:r>
        <w:rPr>
          <w:w w:val="33"/>
        </w:rPr>
        <w:t>―</w:t>
      </w:r>
      <w:r>
        <w:rPr>
          <w:spacing w:val="-1"/>
          <w:w w:val="99"/>
        </w:rPr>
        <w:t>woul</w:t>
      </w:r>
      <w:r>
        <w:rPr>
          <w:w w:val="99"/>
        </w:rPr>
        <w:t>d</w:t>
      </w:r>
      <w:r>
        <w:rPr>
          <w:spacing w:val="24"/>
        </w:rPr>
        <w:t> </w:t>
      </w:r>
      <w:r>
        <w:rPr>
          <w:spacing w:val="-1"/>
          <w:w w:val="99"/>
        </w:rPr>
        <w:t>n</w:t>
      </w:r>
      <w:r>
        <w:rPr>
          <w:w w:val="99"/>
        </w:rPr>
        <w:t>ot</w:t>
      </w:r>
      <w:r>
        <w:rPr>
          <w:spacing w:val="26"/>
        </w:rPr>
        <w:t> </w:t>
      </w:r>
      <w:r>
        <w:rPr>
          <w:spacing w:val="-1"/>
          <w:w w:val="99"/>
        </w:rPr>
        <w:t>h</w:t>
      </w:r>
      <w:r>
        <w:rPr>
          <w:w w:val="99"/>
        </w:rPr>
        <w:t>a</w:t>
      </w:r>
      <w:r>
        <w:rPr>
          <w:spacing w:val="-3"/>
          <w:w w:val="99"/>
        </w:rPr>
        <w:t>v</w:t>
      </w:r>
      <w:r>
        <w:rPr>
          <w:w w:val="99"/>
        </w:rPr>
        <w:t>e</w:t>
      </w:r>
      <w:r>
        <w:rPr>
          <w:spacing w:val="26"/>
        </w:rPr>
        <w:t> </w:t>
      </w:r>
      <w:r>
        <w:rPr>
          <w:spacing w:val="-1"/>
          <w:w w:val="99"/>
        </w:rPr>
        <w:t>g</w:t>
      </w:r>
      <w:r>
        <w:rPr>
          <w:w w:val="99"/>
        </w:rPr>
        <w:t>o</w:t>
      </w:r>
      <w:r>
        <w:rPr>
          <w:spacing w:val="-1"/>
          <w:w w:val="99"/>
        </w:rPr>
        <w:t>ne </w:t>
      </w:r>
      <w:r>
        <w:rPr/>
        <w:t>inside the ground‖. This again is pure conjecture. The learned judge then disregarded the architectural fragments on the ground that it is only in the case of </w:t>
      </w:r>
      <w:r>
        <w:rPr>
          <w:w w:val="99"/>
        </w:rPr>
        <w:t>a</w:t>
      </w:r>
      <w:r>
        <w:rPr/>
        <w:t> </w:t>
      </w:r>
      <w:r>
        <w:rPr>
          <w:spacing w:val="31"/>
        </w:rPr>
        <w:t> </w:t>
      </w:r>
      <w:r>
        <w:rPr>
          <w:spacing w:val="-1"/>
          <w:w w:val="99"/>
        </w:rPr>
        <w:t>n</w:t>
      </w:r>
      <w:r>
        <w:rPr>
          <w:w w:val="99"/>
        </w:rPr>
        <w:t>atu</w:t>
      </w:r>
      <w:r>
        <w:rPr>
          <w:spacing w:val="1"/>
          <w:w w:val="99"/>
        </w:rPr>
        <w:t>r</w:t>
      </w:r>
      <w:r>
        <w:rPr>
          <w:spacing w:val="-1"/>
          <w:w w:val="99"/>
        </w:rPr>
        <w:t>a</w:t>
      </w:r>
      <w:r>
        <w:rPr>
          <w:w w:val="99"/>
        </w:rPr>
        <w:t>l</w:t>
      </w:r>
      <w:r>
        <w:rPr/>
        <w:t> </w:t>
      </w:r>
      <w:r>
        <w:rPr>
          <w:spacing w:val="31"/>
        </w:rPr>
        <w:t> </w:t>
      </w:r>
      <w:r>
        <w:rPr>
          <w:w w:val="99"/>
        </w:rPr>
        <w:t>cala</w:t>
      </w:r>
      <w:r>
        <w:rPr>
          <w:spacing w:val="1"/>
          <w:w w:val="99"/>
        </w:rPr>
        <w:t>m</w:t>
      </w:r>
      <w:r>
        <w:rPr>
          <w:spacing w:val="-1"/>
          <w:w w:val="99"/>
        </w:rPr>
        <w:t>it</w:t>
      </w:r>
      <w:r>
        <w:rPr>
          <w:w w:val="99"/>
        </w:rPr>
        <w:t>y</w:t>
      </w:r>
      <w:r>
        <w:rPr/>
        <w:t> </w:t>
      </w:r>
      <w:r>
        <w:rPr>
          <w:spacing w:val="28"/>
        </w:rPr>
        <w:t> </w:t>
      </w:r>
      <w:r>
        <w:rPr>
          <w:w w:val="99"/>
        </w:rPr>
        <w:t>that</w:t>
      </w:r>
      <w:r>
        <w:rPr/>
        <w:t> </w:t>
      </w:r>
      <w:r>
        <w:rPr>
          <w:spacing w:val="31"/>
        </w:rPr>
        <w:t> </w:t>
      </w:r>
      <w:r>
        <w:rPr>
          <w:w w:val="99"/>
        </w:rPr>
        <w:t>such</w:t>
      </w:r>
      <w:r>
        <w:rPr/>
        <w:t> </w:t>
      </w:r>
      <w:r>
        <w:rPr>
          <w:spacing w:val="31"/>
        </w:rPr>
        <w:t> </w:t>
      </w:r>
      <w:r>
        <w:rPr>
          <w:w w:val="99"/>
        </w:rPr>
        <w:t>m</w:t>
      </w:r>
      <w:r>
        <w:rPr>
          <w:spacing w:val="-1"/>
          <w:w w:val="99"/>
        </w:rPr>
        <w:t>at</w:t>
      </w:r>
      <w:r>
        <w:rPr>
          <w:w w:val="99"/>
        </w:rPr>
        <w:t>er</w:t>
      </w:r>
      <w:r>
        <w:rPr>
          <w:spacing w:val="-1"/>
          <w:w w:val="99"/>
        </w:rPr>
        <w:t>ia</w:t>
      </w:r>
      <w:r>
        <w:rPr>
          <w:w w:val="99"/>
        </w:rPr>
        <w:t>l</w:t>
      </w:r>
      <w:r>
        <w:rPr/>
        <w:t> </w:t>
      </w:r>
      <w:r>
        <w:rPr>
          <w:spacing w:val="28"/>
        </w:rPr>
        <w:t> </w:t>
      </w:r>
      <w:r>
        <w:rPr>
          <w:spacing w:val="-2"/>
          <w:w w:val="33"/>
        </w:rPr>
        <w:t>―</w:t>
      </w:r>
      <w:r>
        <w:rPr>
          <w:spacing w:val="-1"/>
          <w:w w:val="99"/>
        </w:rPr>
        <w:t>g</w:t>
      </w:r>
      <w:r>
        <w:rPr>
          <w:w w:val="99"/>
        </w:rPr>
        <w:t>o</w:t>
      </w:r>
      <w:r>
        <w:rPr>
          <w:spacing w:val="-1"/>
          <w:w w:val="99"/>
        </w:rPr>
        <w:t>e</w:t>
      </w:r>
      <w:r>
        <w:rPr>
          <w:w w:val="99"/>
        </w:rPr>
        <w:t>s</w:t>
      </w:r>
      <w:r>
        <w:rPr/>
        <w:t> </w:t>
      </w:r>
      <w:r>
        <w:rPr>
          <w:spacing w:val="31"/>
        </w:rPr>
        <w:t> </w:t>
      </w:r>
      <w:r>
        <w:rPr>
          <w:spacing w:val="-1"/>
          <w:w w:val="99"/>
        </w:rPr>
        <w:t>d</w:t>
      </w:r>
      <w:r>
        <w:rPr>
          <w:w w:val="99"/>
        </w:rPr>
        <w:t>o</w:t>
      </w:r>
      <w:r>
        <w:rPr>
          <w:spacing w:val="-1"/>
          <w:w w:val="99"/>
        </w:rPr>
        <w:t>w</w:t>
      </w:r>
      <w:r>
        <w:rPr>
          <w:w w:val="99"/>
        </w:rPr>
        <w:t>n</w:t>
      </w:r>
      <w:r>
        <w:rPr/>
        <w:t> </w:t>
      </w:r>
      <w:r>
        <w:rPr>
          <w:spacing w:val="31"/>
        </w:rPr>
        <w:t> </w:t>
      </w:r>
      <w:r>
        <w:rPr>
          <w:spacing w:val="-1"/>
          <w:w w:val="99"/>
        </w:rPr>
        <w:t>insid</w:t>
      </w:r>
      <w:r>
        <w:rPr>
          <w:w w:val="99"/>
        </w:rPr>
        <w:t>e</w:t>
      </w:r>
      <w:r>
        <w:rPr/>
        <w:t> </w:t>
      </w:r>
      <w:r>
        <w:rPr>
          <w:spacing w:val="31"/>
        </w:rPr>
        <w:t> </w:t>
      </w:r>
      <w:r>
        <w:rPr>
          <w:spacing w:val="-3"/>
          <w:w w:val="99"/>
        </w:rPr>
        <w:t>t</w:t>
      </w:r>
      <w:r>
        <w:rPr>
          <w:spacing w:val="-1"/>
          <w:w w:val="99"/>
        </w:rPr>
        <w:t>h</w:t>
      </w:r>
      <w:r>
        <w:rPr>
          <w:w w:val="99"/>
        </w:rPr>
        <w:t>e</w:t>
      </w:r>
      <w:r>
        <w:rPr/>
        <w:t> </w:t>
      </w:r>
      <w:r>
        <w:rPr>
          <w:spacing w:val="31"/>
        </w:rPr>
        <w:t> </w:t>
      </w:r>
      <w:r>
        <w:rPr>
          <w:spacing w:val="-1"/>
          <w:w w:val="99"/>
        </w:rPr>
        <w:t>g</w:t>
      </w:r>
      <w:r>
        <w:rPr>
          <w:w w:val="99"/>
        </w:rPr>
        <w:t>r</w:t>
      </w:r>
      <w:r>
        <w:rPr>
          <w:spacing w:val="-1"/>
          <w:w w:val="99"/>
        </w:rPr>
        <w:t>o</w:t>
      </w:r>
      <w:r>
        <w:rPr>
          <w:w w:val="99"/>
        </w:rPr>
        <w:t>u</w:t>
      </w:r>
      <w:r>
        <w:rPr>
          <w:spacing w:val="-1"/>
          <w:w w:val="99"/>
        </w:rPr>
        <w:t>n</w:t>
      </w:r>
      <w:r>
        <w:rPr>
          <w:w w:val="99"/>
        </w:rPr>
        <w:t>d</w:t>
      </w:r>
      <w:r>
        <w:rPr>
          <w:w w:val="80"/>
        </w:rPr>
        <w:t>‖</w:t>
      </w:r>
      <w:r>
        <w:rPr/>
        <w:t> </w:t>
      </w:r>
      <w:r>
        <w:rPr>
          <w:spacing w:val="29"/>
        </w:rPr>
        <w:t> </w:t>
      </w:r>
      <w:r>
        <w:rPr>
          <w:spacing w:val="-1"/>
          <w:w w:val="99"/>
        </w:rPr>
        <w:t>a</w:t>
      </w:r>
      <w:r>
        <w:rPr>
          <w:w w:val="99"/>
        </w:rPr>
        <w:t>nd </w:t>
      </w:r>
      <w:r>
        <w:rPr/>
        <w:t>otherwise, a ruined building would be buried under the ground after centuries. The judge observed that there is neither any requirement nor any practice that even in the foundation of a temple, there must be such items which denote the nature of the super structure. These observations and findings of Justice S U Khan are hypothetical and without any</w:t>
      </w:r>
      <w:r>
        <w:rPr>
          <w:spacing w:val="-6"/>
        </w:rPr>
        <w:t> </w:t>
      </w:r>
      <w:r>
        <w:rPr/>
        <w:t>basis.</w:t>
      </w:r>
    </w:p>
    <w:p>
      <w:pPr>
        <w:pStyle w:val="BodyText"/>
        <w:spacing w:before="10"/>
        <w:rPr>
          <w:sz w:val="24"/>
        </w:rPr>
      </w:pPr>
    </w:p>
    <w:p>
      <w:pPr>
        <w:pStyle w:val="BodyText"/>
        <w:spacing w:line="482" w:lineRule="auto" w:before="1"/>
        <w:ind w:left="500" w:right="444"/>
        <w:jc w:val="both"/>
      </w:pPr>
      <w:r>
        <w:rPr/>
        <w:t>The third learned judge, Justice D V Sharma has relied on the findings contained in the ASI report.</w:t>
      </w:r>
    </w:p>
    <w:p>
      <w:pPr>
        <w:pStyle w:val="BodyText"/>
        <w:spacing w:before="6"/>
        <w:rPr>
          <w:sz w:val="24"/>
        </w:rPr>
      </w:pPr>
    </w:p>
    <w:p>
      <w:pPr>
        <w:pStyle w:val="ListParagraph"/>
        <w:numPr>
          <w:ilvl w:val="0"/>
          <w:numId w:val="166"/>
        </w:numPr>
        <w:tabs>
          <w:tab w:pos="1221" w:val="left" w:leader="none"/>
        </w:tabs>
        <w:spacing w:line="480" w:lineRule="auto" w:before="0" w:after="0"/>
        <w:ind w:left="500" w:right="442" w:firstLine="0"/>
        <w:jc w:val="both"/>
        <w:rPr>
          <w:sz w:val="25"/>
        </w:rPr>
      </w:pPr>
      <w:r>
        <w:rPr>
          <w:sz w:val="25"/>
        </w:rPr>
        <w:t>The conclusions which have been arrived at by Justice Sudhir Agarwal on the ASI report, as extracted above are worthy of acceptance. There is adequate basis in the material contained in the ASI report to lead to the following conclusions:</w:t>
      </w:r>
    </w:p>
    <w:p>
      <w:pPr>
        <w:pStyle w:val="ListParagraph"/>
        <w:numPr>
          <w:ilvl w:val="0"/>
          <w:numId w:val="168"/>
        </w:numPr>
        <w:tabs>
          <w:tab w:pos="1221" w:val="left" w:leader="none"/>
        </w:tabs>
        <w:spacing w:line="240" w:lineRule="auto" w:before="161" w:after="0"/>
        <w:ind w:left="1220" w:right="0" w:hanging="721"/>
        <w:jc w:val="both"/>
        <w:rPr>
          <w:sz w:val="25"/>
        </w:rPr>
      </w:pPr>
      <w:r>
        <w:rPr>
          <w:sz w:val="25"/>
        </w:rPr>
        <w:t>The Babri mosque was not constructed on vacant</w:t>
      </w:r>
      <w:r>
        <w:rPr>
          <w:spacing w:val="-8"/>
          <w:sz w:val="25"/>
        </w:rPr>
        <w:t> </w:t>
      </w:r>
      <w:r>
        <w:rPr>
          <w:sz w:val="25"/>
        </w:rPr>
        <w:t>land;</w:t>
      </w:r>
    </w:p>
    <w:p>
      <w:pPr>
        <w:pStyle w:val="BodyText"/>
        <w:spacing w:before="1"/>
      </w:pPr>
    </w:p>
    <w:p>
      <w:pPr>
        <w:pStyle w:val="ListParagraph"/>
        <w:numPr>
          <w:ilvl w:val="0"/>
          <w:numId w:val="168"/>
        </w:numPr>
        <w:tabs>
          <w:tab w:pos="1220" w:val="left" w:leader="none"/>
          <w:tab w:pos="1221" w:val="left" w:leader="none"/>
        </w:tabs>
        <w:spacing w:line="480" w:lineRule="auto" w:before="0" w:after="0"/>
        <w:ind w:left="1220" w:right="447" w:hanging="720"/>
        <w:jc w:val="left"/>
        <w:rPr>
          <w:sz w:val="25"/>
        </w:rPr>
      </w:pPr>
      <w:r>
        <w:rPr>
          <w:sz w:val="25"/>
        </w:rPr>
        <w:t>The excavation indicates the presence of an underlying structure below the disputed</w:t>
      </w:r>
      <w:r>
        <w:rPr>
          <w:spacing w:val="-1"/>
          <w:sz w:val="25"/>
        </w:rPr>
        <w:t> </w:t>
      </w:r>
      <w:r>
        <w:rPr>
          <w:sz w:val="25"/>
        </w:rPr>
        <w:t>structure;</w:t>
      </w:r>
    </w:p>
    <w:p>
      <w:pPr>
        <w:pStyle w:val="ListParagraph"/>
        <w:numPr>
          <w:ilvl w:val="0"/>
          <w:numId w:val="168"/>
        </w:numPr>
        <w:tabs>
          <w:tab w:pos="1220" w:val="left" w:leader="none"/>
          <w:tab w:pos="1221" w:val="left" w:leader="none"/>
        </w:tabs>
        <w:spacing w:line="480" w:lineRule="auto" w:before="0" w:after="0"/>
        <w:ind w:left="1220" w:right="442" w:hanging="720"/>
        <w:jc w:val="left"/>
        <w:rPr>
          <w:sz w:val="25"/>
        </w:rPr>
      </w:pPr>
      <w:r>
        <w:rPr>
          <w:sz w:val="25"/>
        </w:rPr>
        <w:t>The underlying structure was at least of equal, if not larger dimensions than the disputed</w:t>
      </w:r>
      <w:r>
        <w:rPr>
          <w:spacing w:val="-3"/>
          <w:sz w:val="25"/>
        </w:rPr>
        <w:t> </w:t>
      </w:r>
      <w:r>
        <w:rPr>
          <w:sz w:val="25"/>
        </w:rPr>
        <w:t>structure;</w:t>
      </w:r>
    </w:p>
    <w:p>
      <w:pPr>
        <w:spacing w:after="0" w:line="480" w:lineRule="auto"/>
        <w:jc w:val="left"/>
        <w:rPr>
          <w:sz w:val="25"/>
        </w:rPr>
        <w:sectPr>
          <w:pgSz w:w="11910" w:h="16840"/>
          <w:pgMar w:header="721" w:footer="1014" w:top="1300" w:bottom="1200" w:left="940" w:right="1000"/>
        </w:sectPr>
      </w:pPr>
    </w:p>
    <w:p>
      <w:pPr>
        <w:pStyle w:val="ListParagraph"/>
        <w:numPr>
          <w:ilvl w:val="0"/>
          <w:numId w:val="168"/>
        </w:numPr>
        <w:tabs>
          <w:tab w:pos="1221" w:val="left" w:leader="none"/>
        </w:tabs>
        <w:spacing w:line="480" w:lineRule="auto" w:before="124" w:after="0"/>
        <w:ind w:left="1220" w:right="444" w:hanging="720"/>
        <w:jc w:val="both"/>
        <w:rPr>
          <w:sz w:val="25"/>
        </w:rPr>
      </w:pPr>
      <w:r>
        <w:rPr>
          <w:sz w:val="25"/>
        </w:rPr>
        <w:t>The excavation of the walls of the underlying structure coupled with the presence of pillar bases supports the conclusion of the ASI of the presence of a structure underlying the disputed structure;</w:t>
      </w:r>
    </w:p>
    <w:p>
      <w:pPr>
        <w:pStyle w:val="ListParagraph"/>
        <w:numPr>
          <w:ilvl w:val="0"/>
          <w:numId w:val="168"/>
        </w:numPr>
        <w:tabs>
          <w:tab w:pos="1221" w:val="left" w:leader="none"/>
        </w:tabs>
        <w:spacing w:line="240" w:lineRule="auto" w:before="0" w:after="0"/>
        <w:ind w:left="1220" w:right="0" w:hanging="721"/>
        <w:jc w:val="both"/>
        <w:rPr>
          <w:sz w:val="25"/>
        </w:rPr>
      </w:pPr>
      <w:r>
        <w:rPr>
          <w:sz w:val="25"/>
        </w:rPr>
        <w:t>The underlying structure was not of Islamic</w:t>
      </w:r>
      <w:r>
        <w:rPr>
          <w:spacing w:val="-9"/>
          <w:sz w:val="25"/>
        </w:rPr>
        <w:t> </w:t>
      </w:r>
      <w:r>
        <w:rPr>
          <w:sz w:val="25"/>
        </w:rPr>
        <w:t>origin;</w:t>
      </w:r>
    </w:p>
    <w:p>
      <w:pPr>
        <w:pStyle w:val="BodyText"/>
        <w:spacing w:before="10"/>
        <w:rPr>
          <w:sz w:val="24"/>
        </w:rPr>
      </w:pPr>
    </w:p>
    <w:p>
      <w:pPr>
        <w:pStyle w:val="ListParagraph"/>
        <w:numPr>
          <w:ilvl w:val="0"/>
          <w:numId w:val="168"/>
        </w:numPr>
        <w:tabs>
          <w:tab w:pos="1221" w:val="left" w:leader="none"/>
        </w:tabs>
        <w:spacing w:line="480" w:lineRule="auto" w:before="0" w:after="0"/>
        <w:ind w:left="1220" w:right="445" w:hanging="720"/>
        <w:jc w:val="both"/>
        <w:rPr>
          <w:sz w:val="25"/>
        </w:rPr>
      </w:pPr>
      <w:r>
        <w:rPr>
          <w:sz w:val="25"/>
        </w:rPr>
        <w:t>The foundation of the disputed structure rests on the walls of the underlying structure;</w:t>
      </w:r>
      <w:r>
        <w:rPr>
          <w:spacing w:val="2"/>
          <w:sz w:val="25"/>
        </w:rPr>
        <w:t> </w:t>
      </w:r>
      <w:r>
        <w:rPr>
          <w:sz w:val="25"/>
        </w:rPr>
        <w:t>and</w:t>
      </w:r>
    </w:p>
    <w:p>
      <w:pPr>
        <w:pStyle w:val="ListParagraph"/>
        <w:numPr>
          <w:ilvl w:val="0"/>
          <w:numId w:val="168"/>
        </w:numPr>
        <w:tabs>
          <w:tab w:pos="1221" w:val="left" w:leader="none"/>
        </w:tabs>
        <w:spacing w:line="480" w:lineRule="auto" w:before="1" w:after="0"/>
        <w:ind w:left="1220" w:right="438" w:hanging="720"/>
        <w:jc w:val="both"/>
        <w:rPr>
          <w:sz w:val="25"/>
        </w:rPr>
      </w:pPr>
      <w:r>
        <w:rPr>
          <w:sz w:val="25"/>
        </w:rPr>
        <w:t>Artefacts, including architectural fragments which have been recovered during excavation have a distinct non-Islamic origin. Though individually, some of the artefacts could also have been utilised in a structure of Buddhist or Jain origins, there is no evidence of the underlying structure being of an Islamic religious nature. The conclusion which has been drawn by the ASI that the nature of the underlying structure and the recoveries which have been made would on stylistic grounds suggest the existence of temple structure dating back to the twelfth century A.D. would on a balance of probabilities be a conclusion which is supported by evidence. The conclusion cannot be rejected as unsupported by evidence or lying beyond the test of a preponderance of probabilities, which must govern a civil</w:t>
      </w:r>
      <w:r>
        <w:rPr>
          <w:spacing w:val="-20"/>
          <w:sz w:val="25"/>
        </w:rPr>
        <w:t> </w:t>
      </w:r>
      <w:r>
        <w:rPr>
          <w:sz w:val="25"/>
        </w:rPr>
        <w:t>trial.</w:t>
      </w:r>
    </w:p>
    <w:p>
      <w:pPr>
        <w:pStyle w:val="BodyText"/>
        <w:rPr>
          <w:sz w:val="28"/>
        </w:rPr>
      </w:pPr>
    </w:p>
    <w:p>
      <w:pPr>
        <w:pStyle w:val="BodyText"/>
        <w:spacing w:before="8"/>
        <w:rPr>
          <w:sz w:val="41"/>
        </w:rPr>
      </w:pPr>
    </w:p>
    <w:p>
      <w:pPr>
        <w:pStyle w:val="Heading4"/>
        <w:spacing w:before="1"/>
        <w:jc w:val="left"/>
        <w:rPr>
          <w:i/>
        </w:rPr>
      </w:pPr>
      <w:r>
        <w:rPr>
          <w:i/>
        </w:rPr>
        <w:t>Caveats</w:t>
      </w:r>
    </w:p>
    <w:p>
      <w:pPr>
        <w:pStyle w:val="BodyText"/>
        <w:rPr>
          <w:i/>
          <w:sz w:val="28"/>
        </w:rPr>
      </w:pPr>
    </w:p>
    <w:p>
      <w:pPr>
        <w:pStyle w:val="BodyText"/>
        <w:spacing w:before="9"/>
        <w:rPr>
          <w:i/>
          <w:sz w:val="23"/>
        </w:rPr>
      </w:pPr>
    </w:p>
    <w:p>
      <w:pPr>
        <w:pStyle w:val="ListParagraph"/>
        <w:numPr>
          <w:ilvl w:val="0"/>
          <w:numId w:val="166"/>
        </w:numPr>
        <w:tabs>
          <w:tab w:pos="1221" w:val="left" w:leader="none"/>
        </w:tabs>
        <w:spacing w:line="480" w:lineRule="auto" w:before="0" w:after="0"/>
        <w:ind w:left="500" w:right="448" w:firstLine="0"/>
        <w:jc w:val="both"/>
        <w:rPr>
          <w:sz w:val="25"/>
        </w:rPr>
      </w:pPr>
      <w:r>
        <w:rPr>
          <w:sz w:val="25"/>
        </w:rPr>
        <w:t>Having said this, we must also read the ASI report with the following caveats:</w:t>
      </w:r>
    </w:p>
    <w:p>
      <w:pPr>
        <w:pStyle w:val="ListParagraph"/>
        <w:numPr>
          <w:ilvl w:val="0"/>
          <w:numId w:val="169"/>
        </w:numPr>
        <w:tabs>
          <w:tab w:pos="1221" w:val="left" w:leader="none"/>
        </w:tabs>
        <w:spacing w:line="480" w:lineRule="auto" w:before="161" w:after="0"/>
        <w:ind w:left="1220" w:right="441" w:hanging="720"/>
        <w:jc w:val="both"/>
        <w:rPr>
          <w:sz w:val="25"/>
        </w:rPr>
      </w:pPr>
      <w:r>
        <w:rPr>
          <w:sz w:val="25"/>
        </w:rPr>
        <w:t>Though the excavation has revealed the existence of a circular shrine, conceivably a Shiva shrine dating back to the seventh to ninth century</w:t>
      </w:r>
      <w:r>
        <w:rPr>
          <w:spacing w:val="5"/>
          <w:sz w:val="25"/>
        </w:rPr>
        <w:t> </w:t>
      </w:r>
      <w:r>
        <w:rPr>
          <w:sz w:val="25"/>
        </w:rPr>
        <w:t>A.D,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39"/>
        <w:jc w:val="both"/>
      </w:pPr>
      <w:r>
        <w:rPr/>
        <w:t>the underlying structure belongs to twelfth century A.D. The circular shrine and the underlying structure with pillar bases belong to two different time periods between three to five centuries apart;</w:t>
      </w:r>
    </w:p>
    <w:p>
      <w:pPr>
        <w:pStyle w:val="ListParagraph"/>
        <w:numPr>
          <w:ilvl w:val="0"/>
          <w:numId w:val="169"/>
        </w:numPr>
        <w:tabs>
          <w:tab w:pos="1221" w:val="left" w:leader="none"/>
        </w:tabs>
        <w:spacing w:line="480" w:lineRule="auto" w:before="0" w:after="0"/>
        <w:ind w:left="1220" w:right="441" w:hanging="720"/>
        <w:jc w:val="both"/>
        <w:rPr>
          <w:sz w:val="25"/>
        </w:rPr>
      </w:pPr>
      <w:r>
        <w:rPr>
          <w:sz w:val="25"/>
        </w:rPr>
        <w:t>There is no specific finding that the underlying structure was a temple dedicated to Lord Ram;</w:t>
      </w:r>
      <w:r>
        <w:rPr>
          <w:spacing w:val="-3"/>
          <w:sz w:val="25"/>
        </w:rPr>
        <w:t> </w:t>
      </w:r>
      <w:r>
        <w:rPr>
          <w:sz w:val="25"/>
        </w:rPr>
        <w:t>and</w:t>
      </w:r>
    </w:p>
    <w:p>
      <w:pPr>
        <w:pStyle w:val="ListParagraph"/>
        <w:numPr>
          <w:ilvl w:val="0"/>
          <w:numId w:val="169"/>
        </w:numPr>
        <w:tabs>
          <w:tab w:pos="1221" w:val="left" w:leader="none"/>
        </w:tabs>
        <w:spacing w:line="480" w:lineRule="auto" w:before="0" w:after="0"/>
        <w:ind w:left="1220" w:right="441" w:hanging="720"/>
        <w:jc w:val="both"/>
        <w:rPr>
          <w:sz w:val="25"/>
        </w:rPr>
      </w:pPr>
      <w:r>
        <w:rPr>
          <w:sz w:val="25"/>
        </w:rPr>
        <w:t>Significantly, the ASI has not specifically opined on whether a temple was demolished for the construction of the disputed structure though it has emerged from the report that the disputed structure was constructed on the site of and utilised the foundation and material of the underlying</w:t>
      </w:r>
      <w:r>
        <w:rPr>
          <w:spacing w:val="-21"/>
          <w:sz w:val="25"/>
        </w:rPr>
        <w:t> </w:t>
      </w:r>
      <w:r>
        <w:rPr>
          <w:sz w:val="25"/>
        </w:rPr>
        <w:t>structure.</w:t>
      </w:r>
    </w:p>
    <w:p>
      <w:pPr>
        <w:pStyle w:val="BodyText"/>
        <w:rPr>
          <w:sz w:val="28"/>
        </w:rPr>
      </w:pPr>
    </w:p>
    <w:p>
      <w:pPr>
        <w:pStyle w:val="Heading4"/>
        <w:spacing w:before="168"/>
        <w:jc w:val="left"/>
        <w:rPr>
          <w:i/>
        </w:rPr>
      </w:pPr>
      <w:r>
        <w:rPr>
          <w:i/>
        </w:rPr>
        <w:t>The unanswered question of demolition</w:t>
      </w:r>
    </w:p>
    <w:p>
      <w:pPr>
        <w:pStyle w:val="BodyText"/>
        <w:rPr>
          <w:i/>
          <w:sz w:val="28"/>
        </w:rPr>
      </w:pPr>
    </w:p>
    <w:p>
      <w:pPr>
        <w:pStyle w:val="BodyText"/>
        <w:spacing w:before="10"/>
        <w:rPr>
          <w:i/>
          <w:sz w:val="23"/>
        </w:rPr>
      </w:pPr>
    </w:p>
    <w:p>
      <w:pPr>
        <w:pStyle w:val="ListParagraph"/>
        <w:numPr>
          <w:ilvl w:val="0"/>
          <w:numId w:val="166"/>
        </w:numPr>
        <w:tabs>
          <w:tab w:pos="1221" w:val="left" w:leader="none"/>
        </w:tabs>
        <w:spacing w:line="480" w:lineRule="auto" w:before="0" w:after="0"/>
        <w:ind w:left="500" w:right="440" w:firstLine="0"/>
        <w:jc w:val="both"/>
        <w:rPr>
          <w:sz w:val="25"/>
        </w:rPr>
      </w:pPr>
      <w:r>
        <w:rPr>
          <w:sz w:val="25"/>
        </w:rPr>
        <w:t>The ASI report has been criticised on the ground that it fails to answer the question as to whether the disputed structure of a mosque was constructed on the demolition of a pre-existing temple at the</w:t>
      </w:r>
      <w:r>
        <w:rPr>
          <w:spacing w:val="-2"/>
          <w:sz w:val="25"/>
        </w:rPr>
        <w:t> </w:t>
      </w:r>
      <w:r>
        <w:rPr>
          <w:sz w:val="25"/>
        </w:rPr>
        <w:t>site.</w:t>
      </w:r>
    </w:p>
    <w:p>
      <w:pPr>
        <w:pStyle w:val="BodyText"/>
        <w:spacing w:before="10"/>
        <w:rPr>
          <w:sz w:val="38"/>
        </w:rPr>
      </w:pPr>
    </w:p>
    <w:p>
      <w:pPr>
        <w:pStyle w:val="BodyText"/>
        <w:spacing w:line="480" w:lineRule="auto"/>
        <w:ind w:left="500" w:right="512"/>
      </w:pPr>
      <w:r>
        <w:rPr/>
        <w:t>The High Court dealt with this objection in the following observations of Justice Sudhir Agarwal:</w:t>
      </w:r>
    </w:p>
    <w:p>
      <w:pPr>
        <w:spacing w:line="276" w:lineRule="auto" w:before="160"/>
        <w:ind w:left="1940" w:right="2261" w:firstLine="0"/>
        <w:jc w:val="both"/>
        <w:rPr>
          <w:sz w:val="21"/>
        </w:rPr>
      </w:pPr>
      <w:r>
        <w:rPr>
          <w:spacing w:val="-1"/>
          <w:w w:val="33"/>
          <w:sz w:val="21"/>
        </w:rPr>
        <w:t>―</w:t>
      </w:r>
      <w:r>
        <w:rPr>
          <w:spacing w:val="-1"/>
          <w:w w:val="100"/>
          <w:sz w:val="21"/>
        </w:rPr>
        <w:t>399</w:t>
      </w:r>
      <w:r>
        <w:rPr>
          <w:w w:val="100"/>
          <w:sz w:val="21"/>
        </w:rPr>
        <w:t>0.</w:t>
      </w:r>
      <w:r>
        <w:rPr>
          <w:spacing w:val="7"/>
          <w:sz w:val="21"/>
        </w:rPr>
        <w:t> </w:t>
      </w:r>
      <w:r>
        <w:rPr>
          <w:spacing w:val="-2"/>
          <w:w w:val="100"/>
          <w:sz w:val="21"/>
        </w:rPr>
        <w:t>A</w:t>
      </w:r>
      <w:r>
        <w:rPr>
          <w:w w:val="100"/>
          <w:sz w:val="21"/>
        </w:rPr>
        <w:t>S</w:t>
      </w:r>
      <w:r>
        <w:rPr>
          <w:spacing w:val="-2"/>
          <w:w w:val="100"/>
          <w:sz w:val="21"/>
        </w:rPr>
        <w:t>I</w:t>
      </w:r>
      <w:r>
        <w:rPr>
          <w:w w:val="100"/>
          <w:sz w:val="21"/>
        </w:rPr>
        <w:t>,</w:t>
      </w:r>
      <w:r>
        <w:rPr>
          <w:spacing w:val="7"/>
          <w:sz w:val="21"/>
        </w:rPr>
        <w:t> </w:t>
      </w:r>
      <w:r>
        <w:rPr>
          <w:w w:val="100"/>
          <w:sz w:val="21"/>
        </w:rPr>
        <w:t>in</w:t>
      </w:r>
      <w:r>
        <w:rPr>
          <w:spacing w:val="8"/>
          <w:sz w:val="21"/>
        </w:rPr>
        <w:t> </w:t>
      </w:r>
      <w:r>
        <w:rPr>
          <w:spacing w:val="-1"/>
          <w:w w:val="100"/>
          <w:sz w:val="21"/>
        </w:rPr>
        <w:t>ou</w:t>
      </w:r>
      <w:r>
        <w:rPr>
          <w:w w:val="100"/>
          <w:sz w:val="21"/>
        </w:rPr>
        <w:t>r</w:t>
      </w:r>
      <w:r>
        <w:rPr>
          <w:spacing w:val="8"/>
          <w:sz w:val="21"/>
        </w:rPr>
        <w:t> </w:t>
      </w:r>
      <w:r>
        <w:rPr>
          <w:spacing w:val="-3"/>
          <w:w w:val="100"/>
          <w:sz w:val="21"/>
        </w:rPr>
        <w:t>v</w:t>
      </w:r>
      <w:r>
        <w:rPr>
          <w:w w:val="100"/>
          <w:sz w:val="21"/>
        </w:rPr>
        <w:t>i</w:t>
      </w:r>
      <w:r>
        <w:rPr>
          <w:spacing w:val="-1"/>
          <w:w w:val="100"/>
          <w:sz w:val="21"/>
        </w:rPr>
        <w:t>e</w:t>
      </w:r>
      <w:r>
        <w:rPr>
          <w:spacing w:val="-2"/>
          <w:w w:val="100"/>
          <w:sz w:val="21"/>
        </w:rPr>
        <w:t>w</w:t>
      </w:r>
      <w:r>
        <w:rPr>
          <w:w w:val="100"/>
          <w:sz w:val="21"/>
        </w:rPr>
        <w:t>,</w:t>
      </w:r>
      <w:r>
        <w:rPr>
          <w:spacing w:val="7"/>
          <w:sz w:val="21"/>
        </w:rPr>
        <w:t> </w:t>
      </w:r>
      <w:r>
        <w:rPr>
          <w:spacing w:val="-1"/>
          <w:w w:val="100"/>
          <w:sz w:val="21"/>
        </w:rPr>
        <w:t>ha</w:t>
      </w:r>
      <w:r>
        <w:rPr>
          <w:w w:val="100"/>
          <w:sz w:val="21"/>
        </w:rPr>
        <w:t>s</w:t>
      </w:r>
      <w:r>
        <w:rPr>
          <w:spacing w:val="8"/>
          <w:sz w:val="21"/>
        </w:rPr>
        <w:t> </w:t>
      </w:r>
      <w:r>
        <w:rPr>
          <w:spacing w:val="-1"/>
          <w:w w:val="100"/>
          <w:sz w:val="21"/>
        </w:rPr>
        <w:t>r</w:t>
      </w:r>
      <w:r>
        <w:rPr>
          <w:w w:val="100"/>
          <w:sz w:val="21"/>
        </w:rPr>
        <w:t>i</w:t>
      </w:r>
      <w:r>
        <w:rPr>
          <w:spacing w:val="-1"/>
          <w:w w:val="100"/>
          <w:sz w:val="21"/>
        </w:rPr>
        <w:t>ght</w:t>
      </w:r>
      <w:r>
        <w:rPr>
          <w:w w:val="100"/>
          <w:sz w:val="21"/>
        </w:rPr>
        <w:t>ly</w:t>
      </w:r>
      <w:r>
        <w:rPr>
          <w:spacing w:val="6"/>
          <w:sz w:val="21"/>
        </w:rPr>
        <w:t> </w:t>
      </w:r>
      <w:r>
        <w:rPr>
          <w:spacing w:val="-1"/>
          <w:w w:val="100"/>
          <w:sz w:val="21"/>
        </w:rPr>
        <w:t>re</w:t>
      </w:r>
      <w:r>
        <w:rPr>
          <w:spacing w:val="1"/>
          <w:w w:val="100"/>
          <w:sz w:val="21"/>
        </w:rPr>
        <w:t>f</w:t>
      </w:r>
      <w:r>
        <w:rPr>
          <w:spacing w:val="-1"/>
          <w:w w:val="100"/>
          <w:sz w:val="21"/>
        </w:rPr>
        <w:t>r</w:t>
      </w:r>
      <w:r>
        <w:rPr>
          <w:spacing w:val="-3"/>
          <w:w w:val="100"/>
          <w:sz w:val="21"/>
        </w:rPr>
        <w:t>a</w:t>
      </w:r>
      <w:r>
        <w:rPr>
          <w:w w:val="100"/>
          <w:sz w:val="21"/>
        </w:rPr>
        <w:t>i</w:t>
      </w:r>
      <w:r>
        <w:rPr>
          <w:spacing w:val="-3"/>
          <w:w w:val="100"/>
          <w:sz w:val="21"/>
        </w:rPr>
        <w:t>n</w:t>
      </w:r>
      <w:r>
        <w:rPr>
          <w:spacing w:val="-1"/>
          <w:w w:val="100"/>
          <w:sz w:val="21"/>
        </w:rPr>
        <w:t>e</w:t>
      </w:r>
      <w:r>
        <w:rPr>
          <w:w w:val="100"/>
          <w:sz w:val="21"/>
        </w:rPr>
        <w:t>d</w:t>
      </w:r>
      <w:r>
        <w:rPr>
          <w:spacing w:val="8"/>
          <w:sz w:val="21"/>
        </w:rPr>
        <w:t> </w:t>
      </w:r>
      <w:r>
        <w:rPr>
          <w:spacing w:val="1"/>
          <w:w w:val="100"/>
          <w:sz w:val="21"/>
        </w:rPr>
        <w:t>f</w:t>
      </w:r>
      <w:r>
        <w:rPr>
          <w:spacing w:val="4"/>
          <w:w w:val="100"/>
          <w:sz w:val="21"/>
        </w:rPr>
        <w:t>r</w:t>
      </w:r>
      <w:r>
        <w:rPr>
          <w:spacing w:val="-3"/>
          <w:w w:val="100"/>
          <w:sz w:val="21"/>
        </w:rPr>
        <w:t>o</w:t>
      </w:r>
      <w:r>
        <w:rPr>
          <w:w w:val="100"/>
          <w:sz w:val="21"/>
        </w:rPr>
        <w:t>m</w:t>
      </w:r>
      <w:r>
        <w:rPr>
          <w:spacing w:val="10"/>
          <w:sz w:val="21"/>
        </w:rPr>
        <w:t> </w:t>
      </w:r>
      <w:r>
        <w:rPr>
          <w:spacing w:val="-4"/>
          <w:w w:val="100"/>
          <w:sz w:val="21"/>
        </w:rPr>
        <w:t>r</w:t>
      </w:r>
      <w:r>
        <w:rPr>
          <w:w w:val="100"/>
          <w:sz w:val="21"/>
        </w:rPr>
        <w:t>ecor</w:t>
      </w:r>
      <w:r>
        <w:rPr>
          <w:spacing w:val="-3"/>
          <w:w w:val="100"/>
          <w:sz w:val="21"/>
        </w:rPr>
        <w:t>d</w:t>
      </w:r>
      <w:r>
        <w:rPr>
          <w:w w:val="100"/>
          <w:sz w:val="21"/>
        </w:rPr>
        <w:t>i</w:t>
      </w:r>
      <w:r>
        <w:rPr>
          <w:w w:val="100"/>
          <w:sz w:val="21"/>
        </w:rPr>
        <w:t>ng</w:t>
      </w:r>
      <w:r>
        <w:rPr>
          <w:spacing w:val="9"/>
          <w:sz w:val="21"/>
        </w:rPr>
        <w:t> </w:t>
      </w:r>
      <w:r>
        <w:rPr>
          <w:w w:val="100"/>
          <w:sz w:val="21"/>
        </w:rPr>
        <w:t>a </w:t>
      </w:r>
      <w:r>
        <w:rPr>
          <w:sz w:val="21"/>
        </w:rPr>
        <w:t>categorical finding whether there was any demolition or not for the reason when a building is constructed over another and that too hundreds of years back, it may sometimes be difficult to ascertain…in what circumstances building was raised and whether the earlier building collapsed on its own or due to natural forces or for the reason attributable to some persons interested for its damage. Sufficient indication has been given by ASI that the building in dispute did not have its own foundation but it was raised on the existing walls. If a building would not have been existing before construction of the subsequent building, the builder might not have been able to use foundation of the erstwhile building without knowing its strength</w:t>
      </w:r>
      <w:r>
        <w:rPr>
          <w:spacing w:val="38"/>
          <w:sz w:val="21"/>
        </w:rPr>
        <w:t> </w:t>
      </w:r>
      <w:r>
        <w:rPr>
          <w:sz w:val="21"/>
        </w:rPr>
        <w:t>and</w:t>
      </w:r>
      <w:r>
        <w:rPr>
          <w:spacing w:val="37"/>
          <w:sz w:val="21"/>
        </w:rPr>
        <w:t> </w:t>
      </w:r>
      <w:r>
        <w:rPr>
          <w:sz w:val="21"/>
        </w:rPr>
        <w:t>capacity</w:t>
      </w:r>
      <w:r>
        <w:rPr>
          <w:spacing w:val="38"/>
          <w:sz w:val="21"/>
        </w:rPr>
        <w:t> </w:t>
      </w:r>
      <w:r>
        <w:rPr>
          <w:sz w:val="21"/>
        </w:rPr>
        <w:t>of</w:t>
      </w:r>
      <w:r>
        <w:rPr>
          <w:spacing w:val="38"/>
          <w:sz w:val="21"/>
        </w:rPr>
        <w:t> </w:t>
      </w:r>
      <w:r>
        <w:rPr>
          <w:sz w:val="21"/>
        </w:rPr>
        <w:t>bearing</w:t>
      </w:r>
      <w:r>
        <w:rPr>
          <w:spacing w:val="39"/>
          <w:sz w:val="21"/>
        </w:rPr>
        <w:t> </w:t>
      </w:r>
      <w:r>
        <w:rPr>
          <w:sz w:val="21"/>
        </w:rPr>
        <w:t>the</w:t>
      </w:r>
      <w:r>
        <w:rPr>
          <w:spacing w:val="38"/>
          <w:sz w:val="21"/>
        </w:rPr>
        <w:t> </w:t>
      </w:r>
      <w:r>
        <w:rPr>
          <w:sz w:val="21"/>
        </w:rPr>
        <w:t>load</w:t>
      </w:r>
      <w:r>
        <w:rPr>
          <w:spacing w:val="37"/>
          <w:sz w:val="21"/>
        </w:rPr>
        <w:t> </w:t>
      </w:r>
      <w:r>
        <w:rPr>
          <w:sz w:val="21"/>
        </w:rPr>
        <w:t>of</w:t>
      </w:r>
      <w:r>
        <w:rPr>
          <w:spacing w:val="40"/>
          <w:sz w:val="21"/>
        </w:rPr>
        <w:t> </w:t>
      </w:r>
      <w:r>
        <w:rPr>
          <w:sz w:val="21"/>
        </w:rPr>
        <w:t>new</w:t>
      </w:r>
      <w:r>
        <w:rPr>
          <w:spacing w:val="36"/>
          <w:sz w:val="21"/>
        </w:rPr>
        <w:t> </w:t>
      </w:r>
      <w:r>
        <w:rPr>
          <w:sz w:val="21"/>
        </w:rPr>
        <w:t>structure.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sz w:val="21"/>
        </w:rPr>
      </w:pPr>
      <w:r>
        <w:rPr>
          <w:sz w:val="21"/>
        </w:rPr>
        <w:t>The floor of the disputed building was just over the floor of earlier building. The existence of several pillar bases all show another earlier existence of a sufficiently bigger structure, if not bigger than the disputed structure then not lessor than that</w:t>
      </w:r>
      <w:r>
        <w:rPr>
          <w:spacing w:val="-3"/>
          <w:sz w:val="21"/>
        </w:rPr>
        <w:t> </w:t>
      </w:r>
      <w:r>
        <w:rPr>
          <w:sz w:val="21"/>
        </w:rPr>
        <w:t>also.‖</w:t>
      </w:r>
    </w:p>
    <w:p>
      <w:pPr>
        <w:pStyle w:val="BodyText"/>
        <w:rPr>
          <w:sz w:val="24"/>
        </w:rPr>
      </w:pPr>
    </w:p>
    <w:p>
      <w:pPr>
        <w:pStyle w:val="BodyText"/>
        <w:spacing w:before="1"/>
        <w:rPr>
          <w:sz w:val="26"/>
        </w:rPr>
      </w:pPr>
    </w:p>
    <w:p>
      <w:pPr>
        <w:pStyle w:val="BodyText"/>
        <w:spacing w:line="480" w:lineRule="auto"/>
        <w:ind w:left="500" w:right="440"/>
        <w:jc w:val="both"/>
      </w:pPr>
      <w:r>
        <w:rPr/>
        <w:t>The High Court noted that the floor of the disputed structure was situated just above the floor of the earlier building. The ASI report has opined that the disputed structure did not have its own foundation and was raised on existing walls. Moreover, the existence of pillar bases has been utilised to sustain an inference of a larger structure on which the disputed structure had been</w:t>
      </w:r>
      <w:r>
        <w:rPr>
          <w:spacing w:val="-14"/>
        </w:rPr>
        <w:t> </w:t>
      </w:r>
      <w:r>
        <w:rPr/>
        <w:t>constructed.</w:t>
      </w:r>
    </w:p>
    <w:p>
      <w:pPr>
        <w:pStyle w:val="BodyText"/>
        <w:rPr>
          <w:sz w:val="28"/>
        </w:rPr>
      </w:pPr>
    </w:p>
    <w:p>
      <w:pPr>
        <w:pStyle w:val="BodyText"/>
        <w:rPr>
          <w:sz w:val="22"/>
        </w:rPr>
      </w:pPr>
    </w:p>
    <w:p>
      <w:pPr>
        <w:pStyle w:val="BodyText"/>
        <w:spacing w:line="480" w:lineRule="auto"/>
        <w:ind w:left="500" w:right="437"/>
        <w:jc w:val="both"/>
      </w:pPr>
      <w:r>
        <w:rPr/>
        <w:t>The High Court justified the inability of ASI to come to a specific finding on whether an erstwhile structure of a Hindu religious origin was demolished for the construction of the mosque. The High Court noted that when a structure has  been constructed several hundred years ago, it is difficult to conclude with any degree of certainty whether the underlying structure on whose foundations it rests had collapsed due to natural causes or whether the structure was demolished to give way to the structure of a mosque. This would indicate that the existence of the ruins of an underlying structure is not reason in itself to infer that the structure had been demolished for the construction of a new structure which rests on its foundations. ASI, as an expert body refrained from recording a specific finding on whether the underlying structure was demolished for the purpose of the construction of a mosque. Assuming that an inference in regard to demolition could have been made several hundred years later, ASI evidently did not find specific evidence to suggest that a structure had been demolished for the purpose</w:t>
      </w:r>
      <w:r>
        <w:rPr>
          <w:spacing w:val="22"/>
        </w:rPr>
        <w:t> </w:t>
      </w:r>
      <w:r>
        <w:rPr/>
        <w:t>of</w:t>
      </w:r>
      <w:r>
        <w:rPr>
          <w:spacing w:val="20"/>
        </w:rPr>
        <w:t> </w:t>
      </w:r>
      <w:r>
        <w:rPr/>
        <w:t>constructing</w:t>
      </w:r>
      <w:r>
        <w:rPr>
          <w:spacing w:val="23"/>
        </w:rPr>
        <w:t> </w:t>
      </w:r>
      <w:r>
        <w:rPr/>
        <w:t>a</w:t>
      </w:r>
      <w:r>
        <w:rPr>
          <w:spacing w:val="22"/>
        </w:rPr>
        <w:t> </w:t>
      </w:r>
      <w:r>
        <w:rPr/>
        <w:t>mosque.</w:t>
      </w:r>
      <w:r>
        <w:rPr>
          <w:spacing w:val="22"/>
        </w:rPr>
        <w:t> </w:t>
      </w:r>
      <w:r>
        <w:rPr/>
        <w:t>The</w:t>
      </w:r>
      <w:r>
        <w:rPr>
          <w:spacing w:val="23"/>
        </w:rPr>
        <w:t> </w:t>
      </w:r>
      <w:r>
        <w:rPr/>
        <w:t>report</w:t>
      </w:r>
      <w:r>
        <w:rPr>
          <w:spacing w:val="22"/>
        </w:rPr>
        <w:t> </w:t>
      </w:r>
      <w:r>
        <w:rPr/>
        <w:t>submitted</w:t>
      </w:r>
      <w:r>
        <w:rPr>
          <w:spacing w:val="21"/>
        </w:rPr>
        <w:t> </w:t>
      </w:r>
      <w:r>
        <w:rPr/>
        <w:t>by</w:t>
      </w:r>
      <w:r>
        <w:rPr>
          <w:spacing w:val="19"/>
        </w:rPr>
        <w:t> </w:t>
      </w:r>
      <w:r>
        <w:rPr/>
        <w:t>ASI</w:t>
      </w:r>
      <w:r>
        <w:rPr>
          <w:spacing w:val="22"/>
        </w:rPr>
        <w:t> </w:t>
      </w:r>
      <w:r>
        <w:rPr/>
        <w:t>is</w:t>
      </w:r>
      <w:r>
        <w:rPr>
          <w:spacing w:val="22"/>
        </w:rPr>
        <w:t> </w:t>
      </w:r>
      <w:r>
        <w:rPr/>
        <w:t>silent</w:t>
      </w:r>
      <w:r>
        <w:rPr>
          <w:spacing w:val="22"/>
        </w:rPr>
        <w:t> </w:t>
      </w:r>
      <w:r>
        <w:rPr/>
        <w:t>on</w:t>
      </w:r>
      <w:r>
        <w:rPr>
          <w:spacing w:val="21"/>
        </w:rPr>
        <w:t> </w:t>
      </w:r>
      <w:r>
        <w:rPr/>
        <w:t>this</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4"/>
        <w:jc w:val="both"/>
      </w:pPr>
      <w:r>
        <w:rPr/>
        <w:t>facet. The High Court, therefore, indicated that there could be one of two hypotheses: either that the underlying structure had collapsed due to natural forces or that its demolition was the work of human intervention as part of the process of building a mosque on its foundations. Though, the ASI did not venture to enter a specific finding, the High Court seems to infer that since the foundation of the erstwhile structure was used for the construction of a mosque, the builder of the mosque would have been aware of the nature of the erstwhile structure and its foundation while constructing the mosque. This is an </w:t>
      </w:r>
      <w:r>
        <w:rPr>
          <w:b/>
        </w:rPr>
        <w:t>inference </w:t>
      </w:r>
      <w:r>
        <w:rPr/>
        <w:t>which the High Court has drawn though that is not a specific finding which the ASI has returned in the course of its</w:t>
      </w:r>
      <w:r>
        <w:rPr>
          <w:spacing w:val="-7"/>
        </w:rPr>
        <w:t> </w:t>
      </w:r>
      <w:r>
        <w:rPr/>
        <w:t>report.</w:t>
      </w:r>
    </w:p>
    <w:p>
      <w:pPr>
        <w:pStyle w:val="BodyText"/>
        <w:spacing w:before="10"/>
        <w:rPr>
          <w:sz w:val="38"/>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Consequently, when the ASI report will be placed in balance in terms of its evidentiary value in the course of this judgment, it is crucial for the court to sift between what the report finds and what it leaves unanswered. The ASI report does find the existence of a pre-existing structure. The report deduces 17 rows of pillar bases (a total of 85 of which 50 were exposed in sections, in parts or whole). The report concludes on the basis of the architectural fragments found at the site and the nature of the structure that it was of a Hindu religious origin. The report rejects the possibility (urged by the Sunni Central Waqf Board) of the underlying structure being of Islamic origin. But the ASI report has left unanswered a critical part of the remit which was made to it, namely, a determination of whether a Hindu temple had been demolished to pave way for the construction of the mosque. ASI‘s inability to render a specific finding on this facet</w:t>
      </w:r>
      <w:r>
        <w:rPr>
          <w:spacing w:val="32"/>
          <w:sz w:val="25"/>
        </w:rPr>
        <w:t> </w:t>
      </w:r>
      <w:r>
        <w:rPr>
          <w:sz w:val="25"/>
        </w:rPr>
        <w:t>is</w:t>
      </w:r>
      <w:r>
        <w:rPr>
          <w:spacing w:val="32"/>
          <w:sz w:val="25"/>
        </w:rPr>
        <w:t> </w:t>
      </w:r>
      <w:r>
        <w:rPr>
          <w:sz w:val="25"/>
        </w:rPr>
        <w:t>certainly</w:t>
      </w:r>
      <w:r>
        <w:rPr>
          <w:spacing w:val="29"/>
          <w:sz w:val="25"/>
        </w:rPr>
        <w:t> </w:t>
      </w:r>
      <w:r>
        <w:rPr>
          <w:sz w:val="25"/>
        </w:rPr>
        <w:t>a</w:t>
      </w:r>
      <w:r>
        <w:rPr>
          <w:spacing w:val="35"/>
          <w:sz w:val="25"/>
        </w:rPr>
        <w:t> </w:t>
      </w:r>
      <w:r>
        <w:rPr>
          <w:sz w:val="25"/>
        </w:rPr>
        <w:t>significant</w:t>
      </w:r>
      <w:r>
        <w:rPr>
          <w:spacing w:val="32"/>
          <w:sz w:val="25"/>
        </w:rPr>
        <w:t> </w:t>
      </w:r>
      <w:r>
        <w:rPr>
          <w:sz w:val="25"/>
        </w:rPr>
        <w:t>evidentiary</w:t>
      </w:r>
      <w:r>
        <w:rPr>
          <w:spacing w:val="35"/>
          <w:sz w:val="25"/>
        </w:rPr>
        <w:t> </w:t>
      </w:r>
      <w:r>
        <w:rPr>
          <w:sz w:val="25"/>
        </w:rPr>
        <w:t>circumstance</w:t>
      </w:r>
      <w:r>
        <w:rPr>
          <w:spacing w:val="32"/>
          <w:sz w:val="25"/>
        </w:rPr>
        <w:t> </w:t>
      </w:r>
      <w:r>
        <w:rPr>
          <w:sz w:val="25"/>
        </w:rPr>
        <w:t>which</w:t>
      </w:r>
      <w:r>
        <w:rPr>
          <w:spacing w:val="35"/>
          <w:sz w:val="25"/>
        </w:rPr>
        <w:t> </w:t>
      </w:r>
      <w:r>
        <w:rPr>
          <w:sz w:val="25"/>
        </w:rPr>
        <w:t>must</w:t>
      </w:r>
      <w:r>
        <w:rPr>
          <w:spacing w:val="33"/>
          <w:sz w:val="25"/>
        </w:rPr>
        <w:t> </w:t>
      </w:r>
      <w:r>
        <w:rPr>
          <w:sz w:val="25"/>
        </w:rPr>
        <w:t>be</w:t>
      </w:r>
      <w:r>
        <w:rPr>
          <w:spacing w:val="32"/>
          <w:sz w:val="25"/>
        </w:rPr>
        <w:t> </w:t>
      </w:r>
      <w:r>
        <w:rPr>
          <w:sz w:val="25"/>
        </w:rPr>
        <w:t>borne</w:t>
      </w:r>
      <w:r>
        <w:rPr>
          <w:spacing w:val="32"/>
          <w:sz w:val="25"/>
        </w:rPr>
        <w:t> </w:t>
      </w:r>
      <w:r>
        <w:rPr>
          <w:sz w:val="25"/>
        </w:rPr>
        <w:t>in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pPr>
      <w:r>
        <w:rPr/>
        <w:t>mind when the cumulative impact of the entire evidence is considered in the final analysis.</w:t>
      </w:r>
    </w:p>
    <w:p>
      <w:pPr>
        <w:pStyle w:val="BodyText"/>
        <w:spacing w:before="11"/>
        <w:rPr>
          <w:sz w:val="38"/>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There is another aspect which needs to be flagged at this stage and which will be considered when the question of title is evaluated. That issue is whether a determination of title can rest on the basis of the ASI findings as they stand. Whether the construction of a mosque in 1528 A.D. (over 450 years ago) on the foundations of an erstwhile religious structure (dating back to the twelfth century A.D.) can result in a finding on the question of title is a distinct matter. At this stage, it will suffice to note that a determination of title was not obviously within the remit of ASI. This is a matter on which the court will need to draw a considered and objective conclusion when it deals with the issue of title later in this</w:t>
      </w:r>
      <w:r>
        <w:rPr>
          <w:spacing w:val="-2"/>
          <w:sz w:val="25"/>
        </w:rPr>
        <w:t> </w:t>
      </w:r>
      <w:r>
        <w:rPr>
          <w:sz w:val="25"/>
        </w:rPr>
        <w:t>judgment.</w:t>
      </w:r>
    </w:p>
    <w:p>
      <w:pPr>
        <w:pStyle w:val="BodyText"/>
        <w:rPr>
          <w:sz w:val="28"/>
        </w:rPr>
      </w:pPr>
    </w:p>
    <w:p>
      <w:pPr>
        <w:pStyle w:val="Heading3"/>
        <w:numPr>
          <w:ilvl w:val="1"/>
          <w:numId w:val="131"/>
        </w:numPr>
        <w:tabs>
          <w:tab w:pos="1221" w:val="left" w:leader="none"/>
        </w:tabs>
        <w:spacing w:line="240" w:lineRule="auto" w:before="247" w:after="0"/>
        <w:ind w:left="1220" w:right="0" w:hanging="721"/>
        <w:jc w:val="both"/>
      </w:pPr>
      <w:r>
        <w:rPr/>
        <w:t>Nature and use of the disputed structure: oral</w:t>
      </w:r>
      <w:r>
        <w:rPr>
          <w:spacing w:val="-7"/>
        </w:rPr>
        <w:t> </w:t>
      </w:r>
      <w:r>
        <w:rPr/>
        <w:t>evidence</w:t>
      </w:r>
    </w:p>
    <w:p>
      <w:pPr>
        <w:pStyle w:val="BodyText"/>
        <w:rPr>
          <w:b/>
          <w:sz w:val="28"/>
        </w:rPr>
      </w:pPr>
    </w:p>
    <w:p>
      <w:pPr>
        <w:pStyle w:val="BodyText"/>
        <w:rPr>
          <w:b/>
          <w:sz w:val="28"/>
        </w:rPr>
      </w:pPr>
    </w:p>
    <w:p>
      <w:pPr>
        <w:pStyle w:val="ListParagraph"/>
        <w:numPr>
          <w:ilvl w:val="0"/>
          <w:numId w:val="166"/>
        </w:numPr>
        <w:tabs>
          <w:tab w:pos="1221" w:val="left" w:leader="none"/>
        </w:tabs>
        <w:spacing w:line="480" w:lineRule="auto" w:before="182" w:after="0"/>
        <w:ind w:left="500" w:right="441" w:firstLine="0"/>
        <w:jc w:val="both"/>
        <w:rPr>
          <w:sz w:val="25"/>
        </w:rPr>
      </w:pPr>
      <w:r>
        <w:rPr>
          <w:sz w:val="25"/>
        </w:rPr>
        <w:t>The plaintiffs in Suit 5 produced nineteen witnesses. A broad categorisation of these witnesses is indicated</w:t>
      </w:r>
      <w:r>
        <w:rPr>
          <w:spacing w:val="-5"/>
          <w:sz w:val="25"/>
        </w:rPr>
        <w:t> </w:t>
      </w:r>
      <w:r>
        <w:rPr>
          <w:sz w:val="25"/>
        </w:rPr>
        <w:t>below:</w:t>
      </w:r>
    </w:p>
    <w:p>
      <w:pPr>
        <w:pStyle w:val="Heading5"/>
        <w:numPr>
          <w:ilvl w:val="0"/>
          <w:numId w:val="170"/>
        </w:numPr>
        <w:tabs>
          <w:tab w:pos="710" w:val="left" w:leader="none"/>
        </w:tabs>
        <w:spacing w:line="240" w:lineRule="auto" w:before="156" w:after="0"/>
        <w:ind w:left="709" w:right="0" w:hanging="210"/>
        <w:jc w:val="both"/>
        <w:rPr>
          <w:b w:val="0"/>
        </w:rPr>
      </w:pPr>
      <w:r>
        <w:rPr/>
        <w:t>Witnesses on</w:t>
      </w:r>
      <w:r>
        <w:rPr>
          <w:spacing w:val="-3"/>
        </w:rPr>
        <w:t> </w:t>
      </w:r>
      <w:r>
        <w:rPr/>
        <w:t>facts</w:t>
      </w:r>
      <w:r>
        <w:rPr>
          <w:b w:val="0"/>
        </w:rPr>
        <w:t>:</w:t>
      </w:r>
    </w:p>
    <w:p>
      <w:pPr>
        <w:pStyle w:val="BodyText"/>
        <w:spacing w:before="4"/>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1 Mahant Paramhans Ram Chandra</w:t>
      </w:r>
      <w:r>
        <w:rPr>
          <w:spacing w:val="1"/>
          <w:sz w:val="25"/>
        </w:rPr>
        <w:t> </w:t>
      </w:r>
      <w:r>
        <w:rPr>
          <w:sz w:val="25"/>
        </w:rPr>
        <w:t>Das</w:t>
      </w:r>
    </w:p>
    <w:p>
      <w:pPr>
        <w:pStyle w:val="BodyText"/>
        <w:spacing w:before="10"/>
        <w:rPr>
          <w:sz w:val="24"/>
        </w:rPr>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2 Shri Devaki Nandan</w:t>
      </w:r>
      <w:r>
        <w:rPr>
          <w:spacing w:val="3"/>
          <w:sz w:val="25"/>
        </w:rPr>
        <w:t> </w:t>
      </w:r>
      <w:r>
        <w:rPr>
          <w:sz w:val="25"/>
        </w:rPr>
        <w:t>Agarwal</w:t>
      </w:r>
    </w:p>
    <w:p>
      <w:pPr>
        <w:pStyle w:val="BodyText"/>
        <w:spacing w:before="1"/>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4 Harihar Prasad</w:t>
      </w:r>
      <w:r>
        <w:rPr>
          <w:spacing w:val="6"/>
          <w:sz w:val="25"/>
        </w:rPr>
        <w:t> </w:t>
      </w:r>
      <w:r>
        <w:rPr>
          <w:sz w:val="25"/>
        </w:rPr>
        <w:t>Tewari</w:t>
      </w:r>
    </w:p>
    <w:p>
      <w:pPr>
        <w:pStyle w:val="BodyText"/>
        <w:spacing w:before="1"/>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5 Shri Ram Nath Mishra Alias Banarsi</w:t>
      </w:r>
      <w:r>
        <w:rPr>
          <w:spacing w:val="8"/>
          <w:sz w:val="25"/>
        </w:rPr>
        <w:t> </w:t>
      </w:r>
      <w:r>
        <w:rPr>
          <w:sz w:val="25"/>
        </w:rPr>
        <w:t>Panda</w:t>
      </w:r>
    </w:p>
    <w:p>
      <w:pPr>
        <w:pStyle w:val="BodyText"/>
        <w:spacing w:before="10"/>
        <w:rPr>
          <w:sz w:val="24"/>
        </w:rPr>
      </w:pPr>
    </w:p>
    <w:p>
      <w:pPr>
        <w:pStyle w:val="ListParagraph"/>
        <w:numPr>
          <w:ilvl w:val="1"/>
          <w:numId w:val="170"/>
        </w:numPr>
        <w:tabs>
          <w:tab w:pos="1940" w:val="left" w:leader="none"/>
          <w:tab w:pos="1941" w:val="left" w:leader="none"/>
        </w:tabs>
        <w:spacing w:line="240" w:lineRule="auto" w:before="1" w:after="0"/>
        <w:ind w:left="1940" w:right="0" w:hanging="721"/>
        <w:jc w:val="left"/>
        <w:rPr>
          <w:sz w:val="25"/>
        </w:rPr>
      </w:pPr>
      <w:r>
        <w:rPr>
          <w:sz w:val="25"/>
        </w:rPr>
        <w:t>OPW 6 Shri Housila Prasad</w:t>
      </w:r>
      <w:r>
        <w:rPr>
          <w:spacing w:val="3"/>
          <w:sz w:val="25"/>
        </w:rPr>
        <w:t> </w:t>
      </w:r>
      <w:r>
        <w:rPr>
          <w:sz w:val="25"/>
        </w:rPr>
        <w:t>Tripathi</w:t>
      </w:r>
    </w:p>
    <w:p>
      <w:pPr>
        <w:spacing w:after="0" w:line="240" w:lineRule="auto"/>
        <w:jc w:val="left"/>
        <w:rPr>
          <w:sz w:val="25"/>
        </w:rPr>
        <w:sectPr>
          <w:pgSz w:w="11910" w:h="16840"/>
          <w:pgMar w:header="721" w:footer="1014" w:top="1300" w:bottom="1200" w:left="940" w:right="1000"/>
        </w:sectPr>
      </w:pPr>
    </w:p>
    <w:p>
      <w:pPr>
        <w:pStyle w:val="ListParagraph"/>
        <w:numPr>
          <w:ilvl w:val="1"/>
          <w:numId w:val="170"/>
        </w:numPr>
        <w:tabs>
          <w:tab w:pos="1940" w:val="left" w:leader="none"/>
          <w:tab w:pos="1941" w:val="left" w:leader="none"/>
        </w:tabs>
        <w:spacing w:line="240" w:lineRule="auto" w:before="124" w:after="0"/>
        <w:ind w:left="1940" w:right="0" w:hanging="721"/>
        <w:jc w:val="left"/>
        <w:rPr>
          <w:sz w:val="25"/>
        </w:rPr>
      </w:pPr>
      <w:r>
        <w:rPr>
          <w:sz w:val="25"/>
        </w:rPr>
        <w:t>OPW 7 Ram Surat</w:t>
      </w:r>
      <w:r>
        <w:rPr>
          <w:spacing w:val="4"/>
          <w:sz w:val="25"/>
        </w:rPr>
        <w:t> </w:t>
      </w:r>
      <w:r>
        <w:rPr>
          <w:sz w:val="25"/>
        </w:rPr>
        <w:t>Tewari</w:t>
      </w:r>
    </w:p>
    <w:p>
      <w:pPr>
        <w:pStyle w:val="BodyText"/>
      </w:pPr>
    </w:p>
    <w:p>
      <w:pPr>
        <w:pStyle w:val="ListParagraph"/>
        <w:numPr>
          <w:ilvl w:val="1"/>
          <w:numId w:val="170"/>
        </w:numPr>
        <w:tabs>
          <w:tab w:pos="1940" w:val="left" w:leader="none"/>
          <w:tab w:pos="1941" w:val="left" w:leader="none"/>
        </w:tabs>
        <w:spacing w:line="240" w:lineRule="auto" w:before="1" w:after="0"/>
        <w:ind w:left="1940" w:right="0" w:hanging="721"/>
        <w:jc w:val="left"/>
        <w:rPr>
          <w:sz w:val="25"/>
        </w:rPr>
      </w:pPr>
      <w:r>
        <w:rPr>
          <w:sz w:val="25"/>
        </w:rPr>
        <w:t>OPW 12 Shri Kaushal Kishore</w:t>
      </w:r>
      <w:r>
        <w:rPr>
          <w:spacing w:val="4"/>
          <w:sz w:val="25"/>
        </w:rPr>
        <w:t> </w:t>
      </w:r>
      <w:r>
        <w:rPr>
          <w:sz w:val="25"/>
        </w:rPr>
        <w:t>Mishra</w:t>
      </w:r>
    </w:p>
    <w:p>
      <w:pPr>
        <w:pStyle w:val="BodyText"/>
        <w:spacing w:before="10"/>
        <w:rPr>
          <w:sz w:val="24"/>
        </w:rPr>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13 Narad</w:t>
      </w:r>
      <w:r>
        <w:rPr>
          <w:spacing w:val="7"/>
          <w:sz w:val="25"/>
        </w:rPr>
        <w:t> </w:t>
      </w:r>
      <w:r>
        <w:rPr>
          <w:sz w:val="25"/>
        </w:rPr>
        <w:t>Saran</w:t>
      </w:r>
    </w:p>
    <w:p>
      <w:pPr>
        <w:pStyle w:val="BodyText"/>
        <w:rPr>
          <w:sz w:val="28"/>
        </w:rPr>
      </w:pPr>
    </w:p>
    <w:p>
      <w:pPr>
        <w:pStyle w:val="Heading5"/>
        <w:numPr>
          <w:ilvl w:val="0"/>
          <w:numId w:val="170"/>
        </w:numPr>
        <w:tabs>
          <w:tab w:pos="779" w:val="left" w:leader="none"/>
        </w:tabs>
        <w:spacing w:line="240" w:lineRule="auto" w:before="163" w:after="0"/>
        <w:ind w:left="778" w:right="0" w:hanging="279"/>
        <w:jc w:val="left"/>
        <w:rPr>
          <w:b w:val="0"/>
        </w:rPr>
      </w:pPr>
      <w:r>
        <w:rPr/>
        <w:t>Witnesses in relation to Vishnu Hari</w:t>
      </w:r>
      <w:r>
        <w:rPr>
          <w:spacing w:val="-3"/>
        </w:rPr>
        <w:t> </w:t>
      </w:r>
      <w:r>
        <w:rPr/>
        <w:t>Inscriptions</w:t>
      </w:r>
      <w:r>
        <w:rPr>
          <w:b w:val="0"/>
        </w:rPr>
        <w:t>:</w:t>
      </w:r>
    </w:p>
    <w:p>
      <w:pPr>
        <w:pStyle w:val="BodyText"/>
        <w:spacing w:before="3"/>
      </w:pPr>
    </w:p>
    <w:p>
      <w:pPr>
        <w:pStyle w:val="ListParagraph"/>
        <w:numPr>
          <w:ilvl w:val="1"/>
          <w:numId w:val="170"/>
        </w:numPr>
        <w:tabs>
          <w:tab w:pos="1940" w:val="left" w:leader="none"/>
          <w:tab w:pos="1941" w:val="left" w:leader="none"/>
        </w:tabs>
        <w:spacing w:line="240" w:lineRule="auto" w:before="1" w:after="0"/>
        <w:ind w:left="1940" w:right="0" w:hanging="721"/>
        <w:jc w:val="left"/>
        <w:rPr>
          <w:sz w:val="25"/>
        </w:rPr>
      </w:pPr>
      <w:r>
        <w:rPr>
          <w:sz w:val="25"/>
        </w:rPr>
        <w:t>OPW 8 Ashok Chandra</w:t>
      </w:r>
      <w:r>
        <w:rPr>
          <w:spacing w:val="5"/>
          <w:sz w:val="25"/>
        </w:rPr>
        <w:t> </w:t>
      </w:r>
      <w:r>
        <w:rPr>
          <w:sz w:val="25"/>
        </w:rPr>
        <w:t>Chatterjee</w:t>
      </w:r>
    </w:p>
    <w:p>
      <w:pPr>
        <w:pStyle w:val="BodyText"/>
        <w:spacing w:before="10"/>
        <w:rPr>
          <w:sz w:val="24"/>
        </w:rPr>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10 Dr. K.V.</w:t>
      </w:r>
      <w:r>
        <w:rPr>
          <w:spacing w:val="5"/>
          <w:sz w:val="25"/>
        </w:rPr>
        <w:t> </w:t>
      </w:r>
      <w:r>
        <w:rPr>
          <w:sz w:val="25"/>
        </w:rPr>
        <w:t>Ramesh</w:t>
      </w:r>
    </w:p>
    <w:p>
      <w:pPr>
        <w:pStyle w:val="BodyText"/>
        <w:spacing w:before="1"/>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15 Dr. M.N.</w:t>
      </w:r>
      <w:r>
        <w:rPr>
          <w:spacing w:val="8"/>
          <w:sz w:val="25"/>
        </w:rPr>
        <w:t> </w:t>
      </w:r>
      <w:r>
        <w:rPr>
          <w:sz w:val="25"/>
        </w:rPr>
        <w:t>Katti</w:t>
      </w:r>
    </w:p>
    <w:p>
      <w:pPr>
        <w:pStyle w:val="BodyText"/>
        <w:rPr>
          <w:sz w:val="28"/>
        </w:rPr>
      </w:pPr>
    </w:p>
    <w:p>
      <w:pPr>
        <w:pStyle w:val="Heading5"/>
        <w:numPr>
          <w:ilvl w:val="0"/>
          <w:numId w:val="170"/>
        </w:numPr>
        <w:tabs>
          <w:tab w:pos="849" w:val="left" w:leader="none"/>
        </w:tabs>
        <w:spacing w:line="240" w:lineRule="auto" w:before="164" w:after="0"/>
        <w:ind w:left="848" w:right="0" w:hanging="349"/>
        <w:jc w:val="left"/>
      </w:pPr>
      <w:r>
        <w:rPr/>
        <w:t>Expert witnesses –</w:t>
      </w:r>
      <w:r>
        <w:rPr>
          <w:spacing w:val="-4"/>
        </w:rPr>
        <w:t> </w:t>
      </w:r>
      <w:r>
        <w:rPr/>
        <w:t>Historians</w:t>
      </w:r>
    </w:p>
    <w:p>
      <w:pPr>
        <w:pStyle w:val="BodyText"/>
        <w:spacing w:before="1"/>
        <w:rPr>
          <w:b/>
        </w:rPr>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9 Dr. T.P.</w:t>
      </w:r>
      <w:r>
        <w:rPr>
          <w:spacing w:val="4"/>
          <w:sz w:val="25"/>
        </w:rPr>
        <w:t> </w:t>
      </w:r>
      <w:r>
        <w:rPr>
          <w:sz w:val="25"/>
        </w:rPr>
        <w:t>Verma</w:t>
      </w:r>
    </w:p>
    <w:p>
      <w:pPr>
        <w:pStyle w:val="BodyText"/>
        <w:spacing w:before="1"/>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11 Dr. Satish Chandra</w:t>
      </w:r>
      <w:r>
        <w:rPr>
          <w:spacing w:val="3"/>
          <w:sz w:val="25"/>
        </w:rPr>
        <w:t> </w:t>
      </w:r>
      <w:r>
        <w:rPr>
          <w:sz w:val="25"/>
        </w:rPr>
        <w:t>Mittal</w:t>
      </w:r>
    </w:p>
    <w:p>
      <w:pPr>
        <w:pStyle w:val="BodyText"/>
        <w:rPr>
          <w:sz w:val="28"/>
        </w:rPr>
      </w:pPr>
    </w:p>
    <w:p>
      <w:pPr>
        <w:pStyle w:val="Heading5"/>
        <w:numPr>
          <w:ilvl w:val="0"/>
          <w:numId w:val="170"/>
        </w:numPr>
        <w:tabs>
          <w:tab w:pos="875" w:val="left" w:leader="none"/>
        </w:tabs>
        <w:spacing w:line="240" w:lineRule="auto" w:before="163" w:after="0"/>
        <w:ind w:left="874" w:right="0" w:hanging="375"/>
        <w:jc w:val="left"/>
      </w:pPr>
      <w:r>
        <w:rPr/>
        <w:t>Expert witnesses - Religious</w:t>
      </w:r>
      <w:r>
        <w:rPr>
          <w:spacing w:val="-4"/>
        </w:rPr>
        <w:t> </w:t>
      </w:r>
      <w:r>
        <w:rPr/>
        <w:t>matters</w:t>
      </w:r>
    </w:p>
    <w:p>
      <w:pPr>
        <w:pStyle w:val="BodyText"/>
        <w:spacing w:before="1"/>
        <w:rPr>
          <w:b/>
        </w:rPr>
      </w:pPr>
    </w:p>
    <w:p>
      <w:pPr>
        <w:pStyle w:val="ListParagraph"/>
        <w:numPr>
          <w:ilvl w:val="1"/>
          <w:numId w:val="170"/>
        </w:numPr>
        <w:tabs>
          <w:tab w:pos="1940" w:val="left" w:leader="none"/>
          <w:tab w:pos="1941" w:val="left" w:leader="none"/>
        </w:tabs>
        <w:spacing w:line="480" w:lineRule="auto" w:before="1" w:after="0"/>
        <w:ind w:left="1220" w:right="2022" w:firstLine="0"/>
        <w:jc w:val="left"/>
        <w:rPr>
          <w:sz w:val="25"/>
        </w:rPr>
      </w:pPr>
      <w:r>
        <w:rPr>
          <w:sz w:val="25"/>
        </w:rPr>
        <w:t>OPW 16 Jagadguru Ramanandacharya – Swami Ram Bhadracharya</w:t>
      </w:r>
      <w:r>
        <w:rPr>
          <w:spacing w:val="-2"/>
          <w:sz w:val="25"/>
        </w:rPr>
        <w:t> </w:t>
      </w:r>
      <w:r>
        <w:rPr>
          <w:sz w:val="25"/>
        </w:rPr>
        <w:t>Ji</w:t>
      </w:r>
    </w:p>
    <w:p>
      <w:pPr>
        <w:pStyle w:val="Heading5"/>
        <w:numPr>
          <w:ilvl w:val="0"/>
          <w:numId w:val="170"/>
        </w:numPr>
        <w:tabs>
          <w:tab w:pos="806" w:val="left" w:leader="none"/>
        </w:tabs>
        <w:spacing w:line="240" w:lineRule="auto" w:before="199" w:after="0"/>
        <w:ind w:left="805" w:right="0" w:hanging="306"/>
        <w:jc w:val="left"/>
      </w:pPr>
      <w:r>
        <w:rPr/>
        <w:t>Expert witnesses –</w:t>
      </w:r>
      <w:r>
        <w:rPr>
          <w:spacing w:val="-1"/>
        </w:rPr>
        <w:t> </w:t>
      </w:r>
      <w:r>
        <w:rPr/>
        <w:t>Archaeologists</w:t>
      </w:r>
    </w:p>
    <w:p>
      <w:pPr>
        <w:pStyle w:val="BodyText"/>
        <w:rPr>
          <w:b/>
        </w:rPr>
      </w:pPr>
    </w:p>
    <w:p>
      <w:pPr>
        <w:pStyle w:val="ListParagraph"/>
        <w:numPr>
          <w:ilvl w:val="1"/>
          <w:numId w:val="170"/>
        </w:numPr>
        <w:tabs>
          <w:tab w:pos="1940" w:val="left" w:leader="none"/>
          <w:tab w:pos="1941" w:val="left" w:leader="none"/>
        </w:tabs>
        <w:spacing w:line="240" w:lineRule="auto" w:before="1" w:after="0"/>
        <w:ind w:left="1940" w:right="0" w:hanging="721"/>
        <w:jc w:val="left"/>
        <w:rPr>
          <w:sz w:val="25"/>
        </w:rPr>
      </w:pPr>
      <w:r>
        <w:rPr>
          <w:sz w:val="25"/>
        </w:rPr>
        <w:t>OPW 3 Dr. S.P.</w:t>
      </w:r>
      <w:r>
        <w:rPr>
          <w:spacing w:val="4"/>
          <w:sz w:val="25"/>
        </w:rPr>
        <w:t> </w:t>
      </w:r>
      <w:r>
        <w:rPr>
          <w:sz w:val="25"/>
        </w:rPr>
        <w:t>Gupta</w:t>
      </w:r>
    </w:p>
    <w:p>
      <w:pPr>
        <w:pStyle w:val="BodyText"/>
      </w:pPr>
    </w:p>
    <w:p>
      <w:pPr>
        <w:pStyle w:val="ListParagraph"/>
        <w:numPr>
          <w:ilvl w:val="1"/>
          <w:numId w:val="170"/>
        </w:numPr>
        <w:tabs>
          <w:tab w:pos="1940" w:val="left" w:leader="none"/>
          <w:tab w:pos="1941" w:val="left" w:leader="none"/>
        </w:tabs>
        <w:spacing w:line="240" w:lineRule="auto" w:before="1" w:after="0"/>
        <w:ind w:left="1940" w:right="0" w:hanging="721"/>
        <w:jc w:val="left"/>
        <w:rPr>
          <w:sz w:val="25"/>
        </w:rPr>
      </w:pPr>
      <w:r>
        <w:rPr>
          <w:sz w:val="25"/>
        </w:rPr>
        <w:t>OPW 14 Dr. Rakesh</w:t>
      </w:r>
      <w:r>
        <w:rPr>
          <w:spacing w:val="6"/>
          <w:sz w:val="25"/>
        </w:rPr>
        <w:t> </w:t>
      </w:r>
      <w:r>
        <w:rPr>
          <w:sz w:val="25"/>
        </w:rPr>
        <w:t>Tewari</w:t>
      </w:r>
    </w:p>
    <w:p>
      <w:pPr>
        <w:pStyle w:val="BodyText"/>
        <w:spacing w:before="10"/>
        <w:rPr>
          <w:sz w:val="24"/>
        </w:rPr>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17 Dr R.</w:t>
      </w:r>
      <w:r>
        <w:rPr>
          <w:spacing w:val="4"/>
          <w:sz w:val="25"/>
        </w:rPr>
        <w:t> </w:t>
      </w:r>
      <w:r>
        <w:rPr>
          <w:sz w:val="25"/>
        </w:rPr>
        <w:t>Nagaswami</w:t>
      </w:r>
    </w:p>
    <w:p>
      <w:pPr>
        <w:pStyle w:val="BodyText"/>
        <w:spacing w:before="1"/>
      </w:pPr>
    </w:p>
    <w:p>
      <w:pPr>
        <w:pStyle w:val="ListParagraph"/>
        <w:numPr>
          <w:ilvl w:val="1"/>
          <w:numId w:val="170"/>
        </w:numPr>
        <w:tabs>
          <w:tab w:pos="1940" w:val="left" w:leader="none"/>
          <w:tab w:pos="1941" w:val="left" w:leader="none"/>
        </w:tabs>
        <w:spacing w:line="240" w:lineRule="auto" w:before="0" w:after="0"/>
        <w:ind w:left="1940" w:right="0" w:hanging="721"/>
        <w:jc w:val="left"/>
        <w:rPr>
          <w:sz w:val="25"/>
        </w:rPr>
      </w:pPr>
      <w:r>
        <w:rPr>
          <w:sz w:val="25"/>
        </w:rPr>
        <w:t>OPW 18 Sri Arun Kumar</w:t>
      </w:r>
      <w:r>
        <w:rPr>
          <w:spacing w:val="5"/>
          <w:sz w:val="25"/>
        </w:rPr>
        <w:t> </w:t>
      </w:r>
      <w:r>
        <w:rPr>
          <w:sz w:val="25"/>
        </w:rPr>
        <w:t>Sharma</w:t>
      </w:r>
    </w:p>
    <w:p>
      <w:pPr>
        <w:pStyle w:val="BodyText"/>
        <w:spacing w:before="10"/>
        <w:rPr>
          <w:sz w:val="24"/>
        </w:rPr>
      </w:pPr>
    </w:p>
    <w:p>
      <w:pPr>
        <w:pStyle w:val="ListParagraph"/>
        <w:numPr>
          <w:ilvl w:val="1"/>
          <w:numId w:val="170"/>
        </w:numPr>
        <w:tabs>
          <w:tab w:pos="1940" w:val="left" w:leader="none"/>
          <w:tab w:pos="1941" w:val="left" w:leader="none"/>
        </w:tabs>
        <w:spacing w:line="240" w:lineRule="auto" w:before="1" w:after="0"/>
        <w:ind w:left="1940" w:right="0" w:hanging="721"/>
        <w:jc w:val="left"/>
        <w:rPr>
          <w:sz w:val="25"/>
        </w:rPr>
      </w:pPr>
      <w:r>
        <w:rPr>
          <w:sz w:val="25"/>
        </w:rPr>
        <w:t>OPW 19 Sri Rakesh Dutta</w:t>
      </w:r>
      <w:r>
        <w:rPr>
          <w:spacing w:val="3"/>
          <w:sz w:val="25"/>
        </w:rPr>
        <w:t> </w:t>
      </w:r>
      <w:r>
        <w:rPr>
          <w:sz w:val="25"/>
        </w:rPr>
        <w:t>Trivedi.</w:t>
      </w:r>
    </w:p>
    <w:p>
      <w:pPr>
        <w:pStyle w:val="BodyText"/>
        <w:rPr>
          <w:sz w:val="28"/>
        </w:rPr>
      </w:pPr>
    </w:p>
    <w:p>
      <w:pPr>
        <w:pStyle w:val="BodyText"/>
        <w:rPr>
          <w:sz w:val="24"/>
        </w:rPr>
      </w:pPr>
    </w:p>
    <w:p>
      <w:pPr>
        <w:pStyle w:val="BodyText"/>
        <w:spacing w:line="480" w:lineRule="auto"/>
        <w:ind w:left="500" w:right="441"/>
        <w:jc w:val="both"/>
      </w:pPr>
      <w:r>
        <w:rPr/>
        <w:t>The depositions of the witnesses of fact need to be analysed to determine the nature and use of the disputed building. The witnesses have spoken also about the basis of their faith about the birth-place of Lord Ram.</w:t>
      </w:r>
    </w:p>
    <w:p>
      <w:pPr>
        <w:spacing w:after="0" w:line="480" w:lineRule="auto"/>
        <w:jc w:val="both"/>
        <w:sectPr>
          <w:pgSz w:w="11910" w:h="16840"/>
          <w:pgMar w:header="721" w:footer="1014" w:top="1300" w:bottom="1200" w:left="940" w:right="1000"/>
        </w:sectPr>
      </w:pPr>
    </w:p>
    <w:p>
      <w:pPr>
        <w:spacing w:before="126"/>
        <w:ind w:left="500" w:right="0" w:firstLine="0"/>
        <w:jc w:val="both"/>
        <w:rPr>
          <w:i/>
          <w:sz w:val="26"/>
        </w:rPr>
      </w:pPr>
      <w:r>
        <w:rPr>
          <w:i/>
          <w:sz w:val="26"/>
        </w:rPr>
        <w:t>The Hindu witnesses</w:t>
      </w:r>
    </w:p>
    <w:p>
      <w:pPr>
        <w:pStyle w:val="BodyText"/>
        <w:rPr>
          <w:i/>
          <w:sz w:val="28"/>
        </w:rPr>
      </w:pPr>
    </w:p>
    <w:p>
      <w:pPr>
        <w:pStyle w:val="BodyText"/>
        <w:spacing w:before="7"/>
        <w:rPr>
          <w:i/>
          <w:sz w:val="23"/>
        </w:rPr>
      </w:pPr>
    </w:p>
    <w:p>
      <w:pPr>
        <w:pStyle w:val="ListParagraph"/>
        <w:numPr>
          <w:ilvl w:val="0"/>
          <w:numId w:val="166"/>
        </w:numPr>
        <w:tabs>
          <w:tab w:pos="1221" w:val="left" w:leader="none"/>
        </w:tabs>
        <w:spacing w:line="480" w:lineRule="auto" w:before="0" w:after="0"/>
        <w:ind w:left="500" w:right="436" w:firstLine="0"/>
        <w:jc w:val="both"/>
        <w:rPr>
          <w:sz w:val="25"/>
        </w:rPr>
      </w:pPr>
      <w:r>
        <w:rPr>
          <w:b/>
          <w:sz w:val="25"/>
        </w:rPr>
        <w:t>Mahant Paramhans Ram Chandra Das (OPW-1): </w:t>
      </w:r>
      <w:r>
        <w:rPr>
          <w:sz w:val="25"/>
        </w:rPr>
        <w:t>Mahant Paramhans Ram Chandra Das was ninety-years old and the Mahant of All India Shri Panch Ramanandi Digamber Ani Akhara and Digamber Ayodhya Akhara, Baithak. The witness deposed that according to Valmiki‘s Ramayan, Lord Ram was born in Ayodhya. According to</w:t>
      </w:r>
      <w:r>
        <w:rPr>
          <w:spacing w:val="1"/>
          <w:sz w:val="25"/>
        </w:rPr>
        <w:t> </w:t>
      </w:r>
      <w:r>
        <w:rPr>
          <w:sz w:val="25"/>
        </w:rPr>
        <w:t>him:</w:t>
      </w:r>
    </w:p>
    <w:p>
      <w:pPr>
        <w:spacing w:line="276" w:lineRule="auto" w:before="161"/>
        <w:ind w:left="1940" w:right="2261" w:firstLine="0"/>
        <w:jc w:val="both"/>
        <w:rPr>
          <w:sz w:val="21"/>
        </w:rPr>
      </w:pPr>
      <w:r>
        <w:rPr>
          <w:w w:val="33"/>
          <w:sz w:val="21"/>
        </w:rPr>
        <w:t>―</w:t>
      </w:r>
      <w:r>
        <w:rPr>
          <w:w w:val="100"/>
          <w:sz w:val="21"/>
        </w:rPr>
        <w:t>It</w:t>
      </w:r>
      <w:r>
        <w:rPr>
          <w:sz w:val="21"/>
        </w:rPr>
        <w:t> </w:t>
      </w:r>
      <w:r>
        <w:rPr>
          <w:w w:val="100"/>
          <w:sz w:val="21"/>
        </w:rPr>
        <w:t>is</w:t>
      </w:r>
      <w:r>
        <w:rPr>
          <w:sz w:val="21"/>
        </w:rPr>
        <w:t> </w:t>
      </w:r>
      <w:r>
        <w:rPr>
          <w:w w:val="100"/>
          <w:sz w:val="21"/>
        </w:rPr>
        <w:t>mentioned</w:t>
      </w:r>
      <w:r>
        <w:rPr>
          <w:sz w:val="21"/>
        </w:rPr>
        <w:t> </w:t>
      </w:r>
      <w:r>
        <w:rPr>
          <w:w w:val="100"/>
          <w:sz w:val="21"/>
        </w:rPr>
        <w:t>in</w:t>
      </w:r>
      <w:r>
        <w:rPr>
          <w:sz w:val="21"/>
        </w:rPr>
        <w:t> </w:t>
      </w:r>
      <w:r>
        <w:rPr>
          <w:w w:val="100"/>
          <w:sz w:val="21"/>
        </w:rPr>
        <w:t>Valmiki</w:t>
      </w:r>
      <w:r>
        <w:rPr>
          <w:sz w:val="21"/>
        </w:rPr>
        <w:t> </w:t>
      </w:r>
      <w:r>
        <w:rPr>
          <w:w w:val="100"/>
          <w:sz w:val="21"/>
        </w:rPr>
        <w:t>Ramayan</w:t>
      </w:r>
      <w:r>
        <w:rPr>
          <w:sz w:val="21"/>
        </w:rPr>
        <w:t> </w:t>
      </w:r>
      <w:r>
        <w:rPr>
          <w:w w:val="100"/>
          <w:sz w:val="21"/>
        </w:rPr>
        <w:t>that</w:t>
      </w:r>
      <w:r>
        <w:rPr>
          <w:sz w:val="21"/>
        </w:rPr>
        <w:t> </w:t>
      </w:r>
      <w:r>
        <w:rPr>
          <w:w w:val="100"/>
          <w:sz w:val="21"/>
        </w:rPr>
        <w:t>Lord</w:t>
      </w:r>
      <w:r>
        <w:rPr>
          <w:sz w:val="21"/>
        </w:rPr>
        <w:t> </w:t>
      </w:r>
      <w:r>
        <w:rPr>
          <w:w w:val="100"/>
          <w:sz w:val="21"/>
        </w:rPr>
        <w:t>Ram</w:t>
      </w:r>
      <w:r>
        <w:rPr>
          <w:sz w:val="21"/>
        </w:rPr>
        <w:t> </w:t>
      </w:r>
      <w:r>
        <w:rPr>
          <w:w w:val="100"/>
          <w:sz w:val="21"/>
        </w:rPr>
        <w:t>was</w:t>
      </w:r>
      <w:r>
        <w:rPr>
          <w:sz w:val="21"/>
        </w:rPr>
        <w:t> </w:t>
      </w:r>
      <w:r>
        <w:rPr>
          <w:w w:val="100"/>
          <w:sz w:val="21"/>
        </w:rPr>
        <w:t>born </w:t>
      </w:r>
      <w:r>
        <w:rPr>
          <w:sz w:val="21"/>
        </w:rPr>
        <w:t>in Ayodhya. Description of Ayodhya has been made in Vedas, Upanishads, in codes (Samhitas) and in eighteen Puranas, in Smritis; and in recognized works of Sanskrit literature of Bharat. In all these, Ayodhya has been accepted as the birthplace of Lord Ram. This is the same Ayodhya, which exists at present. Lord Ram was born here.‖</w:t>
      </w:r>
    </w:p>
    <w:p>
      <w:pPr>
        <w:pStyle w:val="BodyText"/>
        <w:rPr>
          <w:sz w:val="24"/>
        </w:rPr>
      </w:pPr>
    </w:p>
    <w:p>
      <w:pPr>
        <w:pStyle w:val="BodyText"/>
        <w:spacing w:before="6"/>
        <w:rPr>
          <w:sz w:val="24"/>
        </w:rPr>
      </w:pPr>
    </w:p>
    <w:p>
      <w:pPr>
        <w:pStyle w:val="BodyText"/>
        <w:spacing w:line="480" w:lineRule="auto"/>
        <w:ind w:left="500" w:right="436"/>
        <w:jc w:val="both"/>
      </w:pPr>
      <w:r>
        <w:rPr/>
        <w:t>The witness stated that the </w:t>
      </w:r>
      <w:r>
        <w:rPr>
          <w:i/>
        </w:rPr>
        <w:t>Skand Puran</w:t>
      </w:r>
      <w:r>
        <w:rPr/>
        <w:t>, in a chapter relating to the importance of Ayodhya, contains a reference to the birth-place of Lord Ram. He stated that the ‗Garbh Grih‘ is at the disputed place where the idol of Ram Lalla was in existence at the time of his deposition.</w:t>
      </w:r>
    </w:p>
    <w:p>
      <w:pPr>
        <w:pStyle w:val="BodyText"/>
      </w:pPr>
    </w:p>
    <w:p>
      <w:pPr>
        <w:pStyle w:val="BodyText"/>
        <w:spacing w:line="480" w:lineRule="auto"/>
        <w:ind w:left="500" w:right="439"/>
        <w:jc w:val="both"/>
      </w:pPr>
      <w:r>
        <w:rPr/>
        <w:t>According to the witness, he came to Ayodhya after leaving home when he was fourteen to fifteen years of age and since then he had seen people seeking darshan at several places in Ayodhya including at Ram Janmabhumi. According to the witness, between 1934-1947, no obstacle was placed in the way of worship of Lord Ram at Ram Janmabhumi and since the time when he came to Ayodhya, he had not seen namaz being offered in the disputed complex. </w:t>
      </w:r>
      <w:r>
        <w:rPr>
          <w:spacing w:val="3"/>
        </w:rPr>
        <w:t>He </w:t>
      </w:r>
      <w:r>
        <w:rPr/>
        <w:t>spoke of a door of iron bars in the courtyard of Ram Janmabhumi and of the riots of 1934. The witness stated that there were engravings containing depictions of Gods and Goddesses on the pillars under the dome which were worshipped. He stated</w:t>
      </w:r>
      <w:r>
        <w:rPr>
          <w:spacing w:val="67"/>
        </w:rPr>
        <w:t> </w:t>
      </w:r>
      <w:r>
        <w:rPr/>
        <w:t>that</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w w:val="99"/>
        </w:rPr>
        <w:t>the</w:t>
      </w:r>
      <w:r>
        <w:rPr/>
        <w:t> </w:t>
      </w:r>
      <w:r>
        <w:rPr>
          <w:w w:val="99"/>
        </w:rPr>
        <w:t>pl</w:t>
      </w:r>
      <w:r>
        <w:rPr>
          <w:w w:val="99"/>
        </w:rPr>
        <w:t>ace</w:t>
      </w:r>
      <w:r>
        <w:rPr/>
        <w:t> </w:t>
      </w:r>
      <w:r>
        <w:rPr>
          <w:w w:val="99"/>
        </w:rPr>
        <w:t>below</w:t>
      </w:r>
      <w:r>
        <w:rPr/>
        <w:t> </w:t>
      </w:r>
      <w:r>
        <w:rPr>
          <w:w w:val="99"/>
        </w:rPr>
        <w:t>the</w:t>
      </w:r>
      <w:r>
        <w:rPr/>
        <w:t> </w:t>
      </w:r>
      <w:r>
        <w:rPr>
          <w:w w:val="33"/>
        </w:rPr>
        <w:t>―</w:t>
      </w:r>
      <w:r>
        <w:rPr>
          <w:w w:val="99"/>
        </w:rPr>
        <w:t>middle</w:t>
      </w:r>
      <w:r>
        <w:rPr/>
        <w:t> </w:t>
      </w:r>
      <w:r>
        <w:rPr>
          <w:w w:val="99"/>
        </w:rPr>
        <w:t>dom</w:t>
      </w:r>
      <w:r>
        <w:rPr>
          <w:w w:val="91"/>
        </w:rPr>
        <w:t>e‖</w:t>
      </w:r>
      <w:r>
        <w:rPr/>
        <w:t> </w:t>
      </w:r>
      <w:r>
        <w:rPr>
          <w:w w:val="99"/>
        </w:rPr>
        <w:t>is</w:t>
      </w:r>
      <w:r>
        <w:rPr/>
        <w:t> </w:t>
      </w:r>
      <w:r>
        <w:rPr>
          <w:w w:val="99"/>
        </w:rPr>
        <w:t>the</w:t>
      </w:r>
      <w:r>
        <w:rPr/>
        <w:t> </w:t>
      </w:r>
      <w:r>
        <w:rPr>
          <w:w w:val="99"/>
        </w:rPr>
        <w:t>place</w:t>
      </w:r>
      <w:r>
        <w:rPr/>
        <w:t> </w:t>
      </w:r>
      <w:r>
        <w:rPr>
          <w:w w:val="99"/>
        </w:rPr>
        <w:t>where</w:t>
      </w:r>
      <w:r>
        <w:rPr/>
        <w:t> </w:t>
      </w:r>
      <w:r>
        <w:rPr>
          <w:w w:val="99"/>
        </w:rPr>
        <w:t>Lord</w:t>
      </w:r>
      <w:r>
        <w:rPr/>
        <w:t> </w:t>
      </w:r>
      <w:r>
        <w:rPr>
          <w:w w:val="99"/>
        </w:rPr>
        <w:t>Ram</w:t>
      </w:r>
      <w:r>
        <w:rPr/>
        <w:t> </w:t>
      </w:r>
      <w:r>
        <w:rPr>
          <w:w w:val="99"/>
        </w:rPr>
        <w:t>was</w:t>
      </w:r>
      <w:r>
        <w:rPr/>
        <w:t> </w:t>
      </w:r>
      <w:r>
        <w:rPr>
          <w:w w:val="99"/>
        </w:rPr>
        <w:t>born,</w:t>
      </w:r>
      <w:r>
        <w:rPr/>
        <w:t> </w:t>
      </w:r>
      <w:r>
        <w:rPr>
          <w:w w:val="99"/>
        </w:rPr>
        <w:t>and </w:t>
      </w:r>
      <w:r>
        <w:rPr/>
        <w:t>this represented the ‗Garbh Grih‘. The witness deposed to the importance of Ayodhya in religious texts. Deposing to his belief, the witness stated:</w:t>
      </w:r>
    </w:p>
    <w:p>
      <w:pPr>
        <w:spacing w:line="276" w:lineRule="auto" w:before="158"/>
        <w:ind w:left="1940" w:right="2260" w:firstLine="0"/>
        <w:jc w:val="both"/>
        <w:rPr>
          <w:sz w:val="21"/>
        </w:rPr>
      </w:pPr>
      <w:r>
        <w:rPr>
          <w:spacing w:val="-1"/>
          <w:w w:val="33"/>
          <w:sz w:val="21"/>
        </w:rPr>
        <w:t>―</w:t>
      </w:r>
      <w:r>
        <w:rPr>
          <w:spacing w:val="-2"/>
          <w:w w:val="100"/>
          <w:sz w:val="21"/>
        </w:rPr>
        <w:t>I</w:t>
      </w:r>
      <w:r>
        <w:rPr>
          <w:w w:val="100"/>
          <w:sz w:val="21"/>
        </w:rPr>
        <w:t>n</w:t>
      </w:r>
      <w:r>
        <w:rPr>
          <w:sz w:val="21"/>
        </w:rPr>
        <w:t> </w:t>
      </w:r>
      <w:r>
        <w:rPr>
          <w:spacing w:val="-2"/>
          <w:w w:val="100"/>
          <w:sz w:val="21"/>
        </w:rPr>
        <w:t>t</w:t>
      </w:r>
      <w:r>
        <w:rPr>
          <w:spacing w:val="-1"/>
          <w:w w:val="100"/>
          <w:sz w:val="21"/>
        </w:rPr>
        <w:t>h</w:t>
      </w:r>
      <w:r>
        <w:rPr>
          <w:spacing w:val="1"/>
          <w:w w:val="100"/>
          <w:sz w:val="21"/>
        </w:rPr>
        <w:t>i</w:t>
      </w:r>
      <w:r>
        <w:rPr>
          <w:w w:val="100"/>
          <w:sz w:val="21"/>
        </w:rPr>
        <w:t>s</w:t>
      </w:r>
      <w:r>
        <w:rPr>
          <w:sz w:val="21"/>
        </w:rPr>
        <w:t> </w:t>
      </w:r>
      <w:r>
        <w:rPr>
          <w:w w:val="100"/>
          <w:sz w:val="21"/>
        </w:rPr>
        <w:t>conn</w:t>
      </w:r>
      <w:r>
        <w:rPr>
          <w:spacing w:val="-2"/>
          <w:w w:val="100"/>
          <w:sz w:val="21"/>
        </w:rPr>
        <w:t>e</w:t>
      </w:r>
      <w:r>
        <w:rPr>
          <w:w w:val="100"/>
          <w:sz w:val="21"/>
        </w:rPr>
        <w:t>c</w:t>
      </w:r>
      <w:r>
        <w:rPr>
          <w:spacing w:val="-2"/>
          <w:w w:val="100"/>
          <w:sz w:val="21"/>
        </w:rPr>
        <w:t>t</w:t>
      </w:r>
      <w:r>
        <w:rPr>
          <w:w w:val="100"/>
          <w:sz w:val="21"/>
        </w:rPr>
        <w:t>i</w:t>
      </w:r>
      <w:r>
        <w:rPr>
          <w:spacing w:val="-3"/>
          <w:w w:val="100"/>
          <w:sz w:val="21"/>
        </w:rPr>
        <w:t>o</w:t>
      </w:r>
      <w:r>
        <w:rPr>
          <w:spacing w:val="-1"/>
          <w:w w:val="100"/>
          <w:sz w:val="21"/>
        </w:rPr>
        <w:t>n</w:t>
      </w:r>
      <w:r>
        <w:rPr>
          <w:w w:val="100"/>
          <w:sz w:val="21"/>
        </w:rPr>
        <w:t>,</w:t>
      </w:r>
      <w:r>
        <w:rPr>
          <w:sz w:val="21"/>
        </w:rPr>
        <w:t> </w:t>
      </w:r>
      <w:r>
        <w:rPr>
          <w:spacing w:val="-2"/>
          <w:w w:val="100"/>
          <w:sz w:val="21"/>
        </w:rPr>
        <w:t>t</w:t>
      </w:r>
      <w:r>
        <w:rPr>
          <w:spacing w:val="-1"/>
          <w:w w:val="100"/>
          <w:sz w:val="21"/>
        </w:rPr>
        <w:t>her</w:t>
      </w:r>
      <w:r>
        <w:rPr>
          <w:w w:val="100"/>
          <w:sz w:val="21"/>
        </w:rPr>
        <w:t>e</w:t>
      </w:r>
      <w:r>
        <w:rPr>
          <w:sz w:val="21"/>
        </w:rPr>
        <w:t> </w:t>
      </w:r>
      <w:r>
        <w:rPr>
          <w:w w:val="100"/>
          <w:sz w:val="21"/>
        </w:rPr>
        <w:t>is</w:t>
      </w:r>
      <w:r>
        <w:rPr>
          <w:sz w:val="21"/>
        </w:rPr>
        <w:t> </w:t>
      </w:r>
      <w:r>
        <w:rPr>
          <w:w w:val="100"/>
          <w:sz w:val="21"/>
        </w:rPr>
        <w:t>a</w:t>
      </w:r>
      <w:r>
        <w:rPr>
          <w:sz w:val="21"/>
        </w:rPr>
        <w:t> </w:t>
      </w:r>
      <w:r>
        <w:rPr>
          <w:spacing w:val="-1"/>
          <w:w w:val="100"/>
          <w:sz w:val="21"/>
        </w:rPr>
        <w:t>re</w:t>
      </w:r>
      <w:r>
        <w:rPr>
          <w:spacing w:val="1"/>
          <w:w w:val="100"/>
          <w:sz w:val="21"/>
        </w:rPr>
        <w:t>f</w:t>
      </w:r>
      <w:r>
        <w:rPr>
          <w:spacing w:val="-1"/>
          <w:w w:val="100"/>
          <w:sz w:val="21"/>
        </w:rPr>
        <w:t>er</w:t>
      </w:r>
      <w:r>
        <w:rPr>
          <w:spacing w:val="2"/>
          <w:w w:val="100"/>
          <w:sz w:val="21"/>
        </w:rPr>
        <w:t>e</w:t>
      </w:r>
      <w:r>
        <w:rPr>
          <w:spacing w:val="-3"/>
          <w:w w:val="100"/>
          <w:sz w:val="21"/>
        </w:rPr>
        <w:t>n</w:t>
      </w:r>
      <w:r>
        <w:rPr>
          <w:w w:val="100"/>
          <w:sz w:val="21"/>
        </w:rPr>
        <w:t>ce</w:t>
      </w:r>
      <w:r>
        <w:rPr>
          <w:sz w:val="21"/>
        </w:rPr>
        <w:t> </w:t>
      </w:r>
      <w:r>
        <w:rPr>
          <w:w w:val="100"/>
          <w:sz w:val="21"/>
        </w:rPr>
        <w:t>i</w:t>
      </w:r>
      <w:r>
        <w:rPr>
          <w:w w:val="100"/>
          <w:sz w:val="21"/>
        </w:rPr>
        <w:t>n</w:t>
      </w:r>
      <w:r>
        <w:rPr>
          <w:sz w:val="21"/>
        </w:rPr>
        <w:t> </w:t>
      </w:r>
      <w:r>
        <w:rPr>
          <w:w w:val="100"/>
          <w:sz w:val="21"/>
        </w:rPr>
        <w:t>R</w:t>
      </w:r>
      <w:r>
        <w:rPr>
          <w:spacing w:val="-3"/>
          <w:w w:val="100"/>
          <w:sz w:val="21"/>
        </w:rPr>
        <w:t>a</w:t>
      </w:r>
      <w:r>
        <w:rPr>
          <w:w w:val="100"/>
          <w:sz w:val="21"/>
        </w:rPr>
        <w:t>m</w:t>
      </w:r>
      <w:r>
        <w:rPr>
          <w:sz w:val="21"/>
        </w:rPr>
        <w:t> </w:t>
      </w:r>
      <w:r>
        <w:rPr>
          <w:w w:val="100"/>
          <w:sz w:val="21"/>
        </w:rPr>
        <w:t>Ch</w:t>
      </w:r>
      <w:r>
        <w:rPr>
          <w:spacing w:val="-3"/>
          <w:w w:val="100"/>
          <w:sz w:val="21"/>
        </w:rPr>
        <w:t>a</w:t>
      </w:r>
      <w:r>
        <w:rPr>
          <w:spacing w:val="-1"/>
          <w:w w:val="100"/>
          <w:sz w:val="21"/>
        </w:rPr>
        <w:t>r</w:t>
      </w:r>
      <w:r>
        <w:rPr>
          <w:w w:val="100"/>
          <w:sz w:val="21"/>
        </w:rPr>
        <w:t>i</w:t>
      </w:r>
      <w:r>
        <w:rPr>
          <w:w w:val="100"/>
          <w:sz w:val="21"/>
        </w:rPr>
        <w:t>t</w:t>
      </w:r>
      <w:r>
        <w:rPr>
          <w:sz w:val="21"/>
        </w:rPr>
        <w:t> </w:t>
      </w:r>
      <w:r>
        <w:rPr>
          <w:spacing w:val="-1"/>
          <w:w w:val="100"/>
          <w:sz w:val="21"/>
        </w:rPr>
        <w:t>M</w:t>
      </w:r>
      <w:r>
        <w:rPr>
          <w:w w:val="100"/>
          <w:sz w:val="21"/>
        </w:rPr>
        <w:t>an</w:t>
      </w:r>
      <w:r>
        <w:rPr>
          <w:spacing w:val="-2"/>
          <w:w w:val="100"/>
          <w:sz w:val="21"/>
        </w:rPr>
        <w:t>a</w:t>
      </w:r>
      <w:r>
        <w:rPr>
          <w:w w:val="100"/>
          <w:sz w:val="21"/>
        </w:rPr>
        <w:t>s </w:t>
      </w:r>
      <w:r>
        <w:rPr>
          <w:spacing w:val="-2"/>
          <w:w w:val="100"/>
          <w:sz w:val="21"/>
        </w:rPr>
        <w:t>t</w:t>
      </w:r>
      <w:r>
        <w:rPr>
          <w:spacing w:val="-1"/>
          <w:w w:val="100"/>
          <w:sz w:val="21"/>
        </w:rPr>
        <w:t>ha</w:t>
      </w:r>
      <w:r>
        <w:rPr>
          <w:w w:val="100"/>
          <w:sz w:val="21"/>
        </w:rPr>
        <w:t>t</w:t>
      </w:r>
      <w:r>
        <w:rPr>
          <w:sz w:val="21"/>
        </w:rPr>
        <w:t> </w:t>
      </w:r>
      <w:r>
        <w:rPr>
          <w:spacing w:val="-1"/>
          <w:w w:val="33"/>
          <w:sz w:val="21"/>
        </w:rPr>
        <w:t>―</w:t>
      </w:r>
      <w:r>
        <w:rPr>
          <w:spacing w:val="-1"/>
          <w:w w:val="100"/>
          <w:sz w:val="21"/>
        </w:rPr>
        <w:t>ut</w:t>
      </w:r>
      <w:r>
        <w:rPr>
          <w:spacing w:val="-2"/>
          <w:w w:val="100"/>
          <w:sz w:val="21"/>
        </w:rPr>
        <w:t>t</w:t>
      </w:r>
      <w:r>
        <w:rPr>
          <w:spacing w:val="-1"/>
          <w:w w:val="100"/>
          <w:sz w:val="21"/>
        </w:rPr>
        <w:t>a</w:t>
      </w:r>
      <w:r>
        <w:rPr>
          <w:w w:val="100"/>
          <w:sz w:val="21"/>
        </w:rPr>
        <w:t>t</w:t>
      </w:r>
      <w:r>
        <w:rPr>
          <w:sz w:val="21"/>
        </w:rPr>
        <w:t> </w:t>
      </w:r>
      <w:r>
        <w:rPr>
          <w:spacing w:val="-1"/>
          <w:w w:val="100"/>
          <w:sz w:val="21"/>
        </w:rPr>
        <w:t>d</w:t>
      </w:r>
      <w:r>
        <w:rPr>
          <w:spacing w:val="1"/>
          <w:w w:val="100"/>
          <w:sz w:val="21"/>
        </w:rPr>
        <w:t>i</w:t>
      </w:r>
      <w:r>
        <w:rPr>
          <w:w w:val="100"/>
          <w:sz w:val="21"/>
        </w:rPr>
        <w:t>s</w:t>
      </w:r>
      <w:r>
        <w:rPr>
          <w:spacing w:val="-3"/>
          <w:w w:val="100"/>
          <w:sz w:val="21"/>
        </w:rPr>
        <w:t>h</w:t>
      </w:r>
      <w:r>
        <w:rPr>
          <w:w w:val="100"/>
          <w:sz w:val="21"/>
        </w:rPr>
        <w:t>i</w:t>
      </w:r>
      <w:r>
        <w:rPr>
          <w:sz w:val="21"/>
        </w:rPr>
        <w:t> </w:t>
      </w:r>
      <w:r>
        <w:rPr>
          <w:spacing w:val="-1"/>
          <w:w w:val="100"/>
          <w:sz w:val="21"/>
        </w:rPr>
        <w:t>b</w:t>
      </w:r>
      <w:r>
        <w:rPr>
          <w:spacing w:val="-3"/>
          <w:w w:val="100"/>
          <w:sz w:val="21"/>
        </w:rPr>
        <w:t>a</w:t>
      </w:r>
      <w:r>
        <w:rPr>
          <w:spacing w:val="-1"/>
          <w:w w:val="100"/>
          <w:sz w:val="21"/>
        </w:rPr>
        <w:t>h</w:t>
      </w:r>
      <w:r>
        <w:rPr>
          <w:w w:val="100"/>
          <w:sz w:val="21"/>
        </w:rPr>
        <w:t>i</w:t>
      </w:r>
      <w:r>
        <w:rPr>
          <w:sz w:val="21"/>
        </w:rPr>
        <w:t> </w:t>
      </w:r>
      <w:r>
        <w:rPr>
          <w:w w:val="100"/>
          <w:sz w:val="21"/>
        </w:rPr>
        <w:t>S</w:t>
      </w:r>
      <w:r>
        <w:rPr>
          <w:spacing w:val="-1"/>
          <w:w w:val="100"/>
          <w:sz w:val="21"/>
        </w:rPr>
        <w:t>ar</w:t>
      </w:r>
      <w:r>
        <w:rPr>
          <w:spacing w:val="-3"/>
          <w:w w:val="100"/>
          <w:sz w:val="21"/>
        </w:rPr>
        <w:t>y</w:t>
      </w:r>
      <w:r>
        <w:rPr>
          <w:w w:val="100"/>
          <w:sz w:val="21"/>
        </w:rPr>
        <w:t>u</w:t>
      </w:r>
      <w:r>
        <w:rPr>
          <w:sz w:val="21"/>
        </w:rPr>
        <w:t> </w:t>
      </w:r>
      <w:r>
        <w:rPr>
          <w:spacing w:val="-1"/>
          <w:w w:val="100"/>
          <w:sz w:val="21"/>
        </w:rPr>
        <w:t>pa</w:t>
      </w:r>
      <w:r>
        <w:rPr>
          <w:spacing w:val="-3"/>
          <w:w w:val="100"/>
          <w:sz w:val="21"/>
        </w:rPr>
        <w:t>v</w:t>
      </w:r>
      <w:r>
        <w:rPr>
          <w:w w:val="100"/>
          <w:sz w:val="21"/>
        </w:rPr>
        <w:t>i</w:t>
      </w:r>
      <w:r>
        <w:rPr>
          <w:spacing w:val="-3"/>
          <w:w w:val="100"/>
          <w:sz w:val="21"/>
        </w:rPr>
        <w:t>n</w:t>
      </w:r>
      <w:r>
        <w:rPr>
          <w:w w:val="100"/>
          <w:sz w:val="21"/>
        </w:rPr>
        <w:t>i</w:t>
      </w:r>
      <w:r>
        <w:rPr>
          <w:sz w:val="21"/>
        </w:rPr>
        <w:t> </w:t>
      </w:r>
      <w:r>
        <w:rPr>
          <w:spacing w:val="-1"/>
          <w:w w:val="100"/>
          <w:sz w:val="21"/>
        </w:rPr>
        <w:t>(</w:t>
      </w:r>
      <w:r>
        <w:rPr>
          <w:w w:val="100"/>
          <w:sz w:val="21"/>
        </w:rPr>
        <w:t>i</w:t>
      </w:r>
      <w:r>
        <w:rPr>
          <w:spacing w:val="-2"/>
          <w:w w:val="100"/>
          <w:sz w:val="21"/>
        </w:rPr>
        <w:t>.</w:t>
      </w:r>
      <w:r>
        <w:rPr>
          <w:spacing w:val="-1"/>
          <w:w w:val="100"/>
          <w:sz w:val="21"/>
        </w:rPr>
        <w:t>e</w:t>
      </w:r>
      <w:r>
        <w:rPr>
          <w:w w:val="100"/>
          <w:sz w:val="21"/>
        </w:rPr>
        <w:t>.</w:t>
      </w:r>
      <w:r>
        <w:rPr>
          <w:sz w:val="21"/>
        </w:rPr>
        <w:t> </w:t>
      </w:r>
      <w:r>
        <w:rPr>
          <w:w w:val="100"/>
          <w:sz w:val="21"/>
        </w:rPr>
        <w:t>S</w:t>
      </w:r>
      <w:r>
        <w:rPr>
          <w:spacing w:val="-1"/>
          <w:w w:val="100"/>
          <w:sz w:val="21"/>
        </w:rPr>
        <w:t>ar</w:t>
      </w:r>
      <w:r>
        <w:rPr>
          <w:spacing w:val="-3"/>
          <w:w w:val="100"/>
          <w:sz w:val="21"/>
        </w:rPr>
        <w:t>y</w:t>
      </w:r>
      <w:r>
        <w:rPr>
          <w:w w:val="100"/>
          <w:sz w:val="21"/>
        </w:rPr>
        <w:t>u</w:t>
      </w:r>
      <w:r>
        <w:rPr>
          <w:sz w:val="21"/>
        </w:rPr>
        <w:t> </w:t>
      </w:r>
      <w:r>
        <w:rPr>
          <w:spacing w:val="-1"/>
          <w:w w:val="100"/>
          <w:sz w:val="21"/>
        </w:rPr>
        <w:t>r</w:t>
      </w:r>
      <w:r>
        <w:rPr>
          <w:w w:val="100"/>
          <w:sz w:val="21"/>
        </w:rPr>
        <w:t>i</w:t>
      </w:r>
      <w:r>
        <w:rPr>
          <w:spacing w:val="-3"/>
          <w:w w:val="100"/>
          <w:sz w:val="21"/>
        </w:rPr>
        <w:t>v</w:t>
      </w:r>
      <w:r>
        <w:rPr>
          <w:spacing w:val="-1"/>
          <w:w w:val="100"/>
          <w:sz w:val="21"/>
        </w:rPr>
        <w:t>e</w:t>
      </w:r>
      <w:r>
        <w:rPr>
          <w:w w:val="100"/>
          <w:sz w:val="21"/>
        </w:rPr>
        <w:t>r</w:t>
      </w:r>
      <w:r>
        <w:rPr>
          <w:sz w:val="21"/>
        </w:rPr>
        <w:t> </w:t>
      </w:r>
      <w:r>
        <w:rPr>
          <w:spacing w:val="-2"/>
          <w:w w:val="100"/>
          <w:sz w:val="21"/>
        </w:rPr>
        <w:t>fl</w:t>
      </w:r>
      <w:r>
        <w:rPr>
          <w:spacing w:val="-1"/>
          <w:w w:val="100"/>
          <w:sz w:val="21"/>
        </w:rPr>
        <w:t>o</w:t>
      </w:r>
      <w:r>
        <w:rPr>
          <w:spacing w:val="-2"/>
          <w:w w:val="100"/>
          <w:sz w:val="21"/>
        </w:rPr>
        <w:t>w</w:t>
      </w:r>
      <w:r>
        <w:rPr>
          <w:w w:val="100"/>
          <w:sz w:val="21"/>
        </w:rPr>
        <w:t>s</w:t>
      </w:r>
      <w:r>
        <w:rPr>
          <w:sz w:val="21"/>
        </w:rPr>
        <w:t> </w:t>
      </w:r>
      <w:r>
        <w:rPr>
          <w:w w:val="100"/>
          <w:sz w:val="21"/>
        </w:rPr>
        <w:t>in</w:t>
      </w:r>
      <w:r>
        <w:rPr>
          <w:sz w:val="21"/>
        </w:rPr>
        <w:t> </w:t>
      </w:r>
      <w:r>
        <w:rPr>
          <w:spacing w:val="-2"/>
          <w:w w:val="100"/>
          <w:sz w:val="21"/>
        </w:rPr>
        <w:t>t</w:t>
      </w:r>
      <w:r>
        <w:rPr>
          <w:spacing w:val="-3"/>
          <w:w w:val="100"/>
          <w:sz w:val="21"/>
        </w:rPr>
        <w:t>h</w:t>
      </w:r>
      <w:r>
        <w:rPr>
          <w:w w:val="100"/>
          <w:sz w:val="21"/>
        </w:rPr>
        <w:t>e </w:t>
      </w:r>
      <w:r>
        <w:rPr>
          <w:sz w:val="21"/>
        </w:rPr>
        <w:t>North)‖. This is an authentic statement about the location of Saryu river. There is a statement in Ramayan, i.e. Ram Charit Manas [</w:t>
      </w:r>
      <w:r>
        <w:rPr>
          <w:i/>
          <w:sz w:val="21"/>
        </w:rPr>
        <w:t>Ramcharitmanas</w:t>
      </w:r>
      <w:r>
        <w:rPr>
          <w:sz w:val="21"/>
        </w:rPr>
        <w:t>] regarding the importance of </w:t>
      </w:r>
      <w:r>
        <w:rPr>
          <w:w w:val="100"/>
          <w:sz w:val="21"/>
        </w:rPr>
        <w:t>A</w:t>
      </w:r>
      <w:r>
        <w:rPr>
          <w:spacing w:val="-3"/>
          <w:w w:val="100"/>
          <w:sz w:val="21"/>
        </w:rPr>
        <w:t>y</w:t>
      </w:r>
      <w:r>
        <w:rPr>
          <w:spacing w:val="-1"/>
          <w:w w:val="100"/>
          <w:sz w:val="21"/>
        </w:rPr>
        <w:t>odh</w:t>
      </w:r>
      <w:r>
        <w:rPr>
          <w:spacing w:val="-2"/>
          <w:w w:val="100"/>
          <w:sz w:val="21"/>
        </w:rPr>
        <w:t>y</w:t>
      </w:r>
      <w:r>
        <w:rPr>
          <w:w w:val="100"/>
          <w:sz w:val="21"/>
        </w:rPr>
        <w:t>a</w:t>
      </w:r>
      <w:r>
        <w:rPr>
          <w:sz w:val="21"/>
        </w:rPr>
        <w:t>  </w:t>
      </w:r>
      <w:r>
        <w:rPr>
          <w:spacing w:val="-2"/>
          <w:w w:val="100"/>
          <w:sz w:val="21"/>
        </w:rPr>
        <w:t>t</w:t>
      </w:r>
      <w:r>
        <w:rPr>
          <w:spacing w:val="-1"/>
          <w:w w:val="100"/>
          <w:sz w:val="21"/>
        </w:rPr>
        <w:t>ha</w:t>
      </w:r>
      <w:r>
        <w:rPr>
          <w:w w:val="100"/>
          <w:sz w:val="21"/>
        </w:rPr>
        <w:t>t</w:t>
      </w:r>
      <w:r>
        <w:rPr>
          <w:sz w:val="21"/>
        </w:rPr>
        <w:t>  </w:t>
      </w:r>
      <w:r>
        <w:rPr>
          <w:spacing w:val="-1"/>
          <w:w w:val="33"/>
          <w:sz w:val="21"/>
        </w:rPr>
        <w:t>―</w:t>
      </w:r>
      <w:r>
        <w:rPr>
          <w:w w:val="100"/>
          <w:sz w:val="21"/>
        </w:rPr>
        <w:t>A</w:t>
      </w:r>
      <w:r>
        <w:rPr>
          <w:spacing w:val="-3"/>
          <w:w w:val="100"/>
          <w:sz w:val="21"/>
        </w:rPr>
        <w:t>v</w:t>
      </w:r>
      <w:r>
        <w:rPr>
          <w:spacing w:val="-1"/>
          <w:w w:val="100"/>
          <w:sz w:val="21"/>
        </w:rPr>
        <w:t>ad</w:t>
      </w:r>
      <w:r>
        <w:rPr>
          <w:w w:val="100"/>
          <w:sz w:val="21"/>
        </w:rPr>
        <w:t>h</w:t>
      </w:r>
      <w:r>
        <w:rPr>
          <w:sz w:val="21"/>
        </w:rPr>
        <w:t>  </w:t>
      </w:r>
      <w:r>
        <w:rPr>
          <w:spacing w:val="-1"/>
          <w:w w:val="100"/>
          <w:sz w:val="21"/>
        </w:rPr>
        <w:t>p</w:t>
      </w:r>
      <w:r>
        <w:rPr>
          <w:spacing w:val="-3"/>
          <w:w w:val="100"/>
          <w:sz w:val="21"/>
        </w:rPr>
        <w:t>u</w:t>
      </w:r>
      <w:r>
        <w:rPr>
          <w:spacing w:val="-1"/>
          <w:w w:val="100"/>
          <w:sz w:val="21"/>
        </w:rPr>
        <w:t>r</w:t>
      </w:r>
      <w:r>
        <w:rPr>
          <w:w w:val="100"/>
          <w:sz w:val="21"/>
        </w:rPr>
        <w:t>i</w:t>
      </w:r>
      <w:r>
        <w:rPr>
          <w:sz w:val="21"/>
        </w:rPr>
        <w:t>  </w:t>
      </w:r>
      <w:r>
        <w:rPr>
          <w:spacing w:val="-1"/>
          <w:w w:val="100"/>
          <w:sz w:val="21"/>
        </w:rPr>
        <w:t>m</w:t>
      </w:r>
      <w:r>
        <w:rPr>
          <w:spacing w:val="-3"/>
          <w:w w:val="100"/>
          <w:sz w:val="21"/>
        </w:rPr>
        <w:t>a</w:t>
      </w:r>
      <w:r>
        <w:rPr>
          <w:w w:val="100"/>
          <w:sz w:val="21"/>
        </w:rPr>
        <w:t>m</w:t>
      </w:r>
      <w:r>
        <w:rPr>
          <w:sz w:val="21"/>
        </w:rPr>
        <w:t>  </w:t>
      </w:r>
      <w:r>
        <w:rPr>
          <w:spacing w:val="-1"/>
          <w:w w:val="100"/>
          <w:sz w:val="21"/>
        </w:rPr>
        <w:t>pur</w:t>
      </w:r>
      <w:r>
        <w:rPr>
          <w:w w:val="100"/>
          <w:sz w:val="21"/>
        </w:rPr>
        <w:t>i</w:t>
      </w:r>
      <w:r>
        <w:rPr>
          <w:sz w:val="21"/>
        </w:rPr>
        <w:t>  </w:t>
      </w:r>
      <w:r>
        <w:rPr>
          <w:spacing w:val="-3"/>
          <w:w w:val="100"/>
          <w:sz w:val="21"/>
        </w:rPr>
        <w:t>s</w:t>
      </w:r>
      <w:r>
        <w:rPr>
          <w:spacing w:val="-1"/>
          <w:w w:val="100"/>
          <w:sz w:val="21"/>
        </w:rPr>
        <w:t>uh</w:t>
      </w:r>
      <w:r>
        <w:rPr>
          <w:spacing w:val="-2"/>
          <w:w w:val="100"/>
          <w:sz w:val="21"/>
        </w:rPr>
        <w:t>a</w:t>
      </w:r>
      <w:r>
        <w:rPr>
          <w:w w:val="100"/>
          <w:sz w:val="21"/>
        </w:rPr>
        <w:t>i</w:t>
      </w:r>
      <w:r>
        <w:rPr>
          <w:spacing w:val="-3"/>
          <w:w w:val="100"/>
          <w:sz w:val="21"/>
        </w:rPr>
        <w:t>s</w:t>
      </w:r>
      <w:r>
        <w:rPr>
          <w:w w:val="100"/>
          <w:sz w:val="21"/>
        </w:rPr>
        <w:t>i</w:t>
      </w:r>
      <w:r>
        <w:rPr>
          <w:spacing w:val="-3"/>
          <w:w w:val="100"/>
          <w:sz w:val="21"/>
        </w:rPr>
        <w:t>n</w:t>
      </w:r>
      <w:r>
        <w:rPr>
          <w:w w:val="100"/>
          <w:sz w:val="21"/>
        </w:rPr>
        <w:t>i</w:t>
      </w:r>
      <w:r>
        <w:rPr>
          <w:sz w:val="21"/>
        </w:rPr>
        <w:t>  </w:t>
      </w:r>
      <w:r>
        <w:rPr>
          <w:spacing w:val="-1"/>
          <w:w w:val="100"/>
          <w:sz w:val="21"/>
        </w:rPr>
        <w:t>(</w:t>
      </w:r>
      <w:r>
        <w:rPr>
          <w:spacing w:val="-2"/>
          <w:w w:val="100"/>
          <w:sz w:val="21"/>
        </w:rPr>
        <w:t>T</w:t>
      </w:r>
      <w:r>
        <w:rPr>
          <w:spacing w:val="-1"/>
          <w:w w:val="100"/>
          <w:sz w:val="21"/>
        </w:rPr>
        <w:t>h</w:t>
      </w:r>
      <w:r>
        <w:rPr>
          <w:w w:val="100"/>
          <w:sz w:val="21"/>
        </w:rPr>
        <w:t>e</w:t>
      </w:r>
      <w:r>
        <w:rPr>
          <w:sz w:val="21"/>
        </w:rPr>
        <w:t>  </w:t>
      </w:r>
      <w:r>
        <w:rPr>
          <w:w w:val="100"/>
          <w:sz w:val="21"/>
        </w:rPr>
        <w:t>ci</w:t>
      </w:r>
      <w:r>
        <w:rPr>
          <w:spacing w:val="-2"/>
          <w:w w:val="100"/>
          <w:sz w:val="21"/>
        </w:rPr>
        <w:t>t</w:t>
      </w:r>
      <w:r>
        <w:rPr>
          <w:w w:val="100"/>
          <w:sz w:val="21"/>
        </w:rPr>
        <w:t>y</w:t>
      </w:r>
      <w:r>
        <w:rPr>
          <w:sz w:val="21"/>
        </w:rPr>
        <w:t>  </w:t>
      </w:r>
      <w:r>
        <w:rPr>
          <w:spacing w:val="-1"/>
          <w:w w:val="100"/>
          <w:sz w:val="21"/>
        </w:rPr>
        <w:t>of </w:t>
      </w:r>
      <w:r>
        <w:rPr>
          <w:sz w:val="21"/>
        </w:rPr>
        <w:t>Avadh is my dear city)‖ which makes it clear that Ayodhya is the birthplace of Lord Ram. It has also been mentioned here that people living here are very dear to me. The place, where a person is born, is called his birthplace. It has also been mentioned in Valmiki Ramayan that the land of my birth is dearer to me than Lanka, which is built of gold, because birthplace is superior even to heaven.‖</w:t>
      </w:r>
    </w:p>
    <w:p>
      <w:pPr>
        <w:pStyle w:val="BodyText"/>
        <w:rPr>
          <w:sz w:val="24"/>
        </w:rPr>
      </w:pPr>
    </w:p>
    <w:p>
      <w:pPr>
        <w:pStyle w:val="BodyText"/>
        <w:rPr>
          <w:sz w:val="24"/>
        </w:rPr>
      </w:pPr>
    </w:p>
    <w:p>
      <w:pPr>
        <w:pStyle w:val="BodyText"/>
        <w:spacing w:before="2"/>
        <w:rPr>
          <w:sz w:val="27"/>
        </w:rPr>
      </w:pPr>
    </w:p>
    <w:p>
      <w:pPr>
        <w:pStyle w:val="BodyText"/>
        <w:ind w:left="500"/>
        <w:jc w:val="both"/>
      </w:pPr>
      <w:r>
        <w:rPr/>
        <w:t>Again, according to the witness:</w:t>
      </w:r>
    </w:p>
    <w:p>
      <w:pPr>
        <w:pStyle w:val="BodyText"/>
        <w:spacing w:before="10"/>
        <w:rPr>
          <w:sz w:val="24"/>
        </w:rPr>
      </w:pPr>
    </w:p>
    <w:p>
      <w:pPr>
        <w:spacing w:line="276" w:lineRule="auto" w:before="0"/>
        <w:ind w:left="1940" w:right="2264" w:firstLine="0"/>
        <w:jc w:val="both"/>
        <w:rPr>
          <w:sz w:val="21"/>
        </w:rPr>
      </w:pPr>
      <w:r>
        <w:rPr>
          <w:spacing w:val="-1"/>
          <w:w w:val="33"/>
          <w:sz w:val="21"/>
        </w:rPr>
        <w:t>―</w:t>
      </w:r>
      <w:r>
        <w:rPr>
          <w:w w:val="100"/>
          <w:sz w:val="21"/>
        </w:rPr>
        <w:t>The</w:t>
      </w:r>
      <w:r>
        <w:rPr>
          <w:sz w:val="21"/>
        </w:rPr>
        <w:t> </w:t>
      </w:r>
      <w:r>
        <w:rPr>
          <w:spacing w:val="-16"/>
          <w:sz w:val="21"/>
        </w:rPr>
        <w:t> </w:t>
      </w:r>
      <w:r>
        <w:rPr>
          <w:spacing w:val="-2"/>
          <w:w w:val="100"/>
          <w:sz w:val="21"/>
        </w:rPr>
        <w:t>f</w:t>
      </w:r>
      <w:r>
        <w:rPr>
          <w:spacing w:val="-1"/>
          <w:w w:val="100"/>
          <w:sz w:val="21"/>
        </w:rPr>
        <w:t>a</w:t>
      </w:r>
      <w:r>
        <w:rPr>
          <w:spacing w:val="1"/>
          <w:w w:val="100"/>
          <w:sz w:val="21"/>
        </w:rPr>
        <w:t>i</w:t>
      </w:r>
      <w:r>
        <w:rPr>
          <w:spacing w:val="-2"/>
          <w:w w:val="100"/>
          <w:sz w:val="21"/>
        </w:rPr>
        <w:t>t</w:t>
      </w:r>
      <w:r>
        <w:rPr>
          <w:w w:val="100"/>
          <w:sz w:val="21"/>
        </w:rPr>
        <w:t>h</w:t>
      </w:r>
      <w:r>
        <w:rPr>
          <w:sz w:val="21"/>
        </w:rPr>
        <w:t> </w:t>
      </w:r>
      <w:r>
        <w:rPr>
          <w:spacing w:val="-16"/>
          <w:sz w:val="21"/>
        </w:rPr>
        <w:t> </w:t>
      </w:r>
      <w:r>
        <w:rPr>
          <w:spacing w:val="-3"/>
          <w:w w:val="100"/>
          <w:sz w:val="21"/>
        </w:rPr>
        <w:t>o</w:t>
      </w:r>
      <w:r>
        <w:rPr>
          <w:w w:val="100"/>
          <w:sz w:val="21"/>
        </w:rPr>
        <w:t>f</w:t>
      </w:r>
      <w:r>
        <w:rPr>
          <w:sz w:val="21"/>
        </w:rPr>
        <w:t> </w:t>
      </w:r>
      <w:r>
        <w:rPr>
          <w:spacing w:val="-16"/>
          <w:sz w:val="21"/>
        </w:rPr>
        <w:t> </w:t>
      </w:r>
      <w:r>
        <w:rPr>
          <w:w w:val="100"/>
          <w:sz w:val="21"/>
        </w:rPr>
        <w:t>H</w:t>
      </w:r>
      <w:r>
        <w:rPr>
          <w:spacing w:val="-2"/>
          <w:w w:val="100"/>
          <w:sz w:val="21"/>
        </w:rPr>
        <w:t>i</w:t>
      </w:r>
      <w:r>
        <w:rPr>
          <w:spacing w:val="-1"/>
          <w:w w:val="100"/>
          <w:sz w:val="21"/>
        </w:rPr>
        <w:t>nd</w:t>
      </w:r>
      <w:r>
        <w:rPr>
          <w:spacing w:val="-2"/>
          <w:w w:val="100"/>
          <w:sz w:val="21"/>
        </w:rPr>
        <w:t>u</w:t>
      </w:r>
      <w:r>
        <w:rPr>
          <w:w w:val="100"/>
          <w:sz w:val="21"/>
        </w:rPr>
        <w:t>s</w:t>
      </w:r>
      <w:r>
        <w:rPr>
          <w:sz w:val="21"/>
        </w:rPr>
        <w:t> </w:t>
      </w:r>
      <w:r>
        <w:rPr>
          <w:spacing w:val="-14"/>
          <w:sz w:val="21"/>
        </w:rPr>
        <w:t> </w:t>
      </w:r>
      <w:r>
        <w:rPr>
          <w:spacing w:val="-3"/>
          <w:w w:val="100"/>
          <w:sz w:val="21"/>
        </w:rPr>
        <w:t>o</w:t>
      </w:r>
      <w:r>
        <w:rPr>
          <w:w w:val="100"/>
          <w:sz w:val="21"/>
        </w:rPr>
        <w:t>f</w:t>
      </w:r>
      <w:r>
        <w:rPr>
          <w:sz w:val="21"/>
        </w:rPr>
        <w:t> </w:t>
      </w:r>
      <w:r>
        <w:rPr>
          <w:spacing w:val="-15"/>
          <w:sz w:val="21"/>
        </w:rPr>
        <w:t> </w:t>
      </w:r>
      <w:r>
        <w:rPr>
          <w:spacing w:val="-2"/>
          <w:w w:val="100"/>
          <w:sz w:val="21"/>
        </w:rPr>
        <w:t>t</w:t>
      </w:r>
      <w:r>
        <w:rPr>
          <w:spacing w:val="-1"/>
          <w:w w:val="100"/>
          <w:sz w:val="21"/>
        </w:rPr>
        <w:t>h</w:t>
      </w:r>
      <w:r>
        <w:rPr>
          <w:w w:val="100"/>
          <w:sz w:val="21"/>
        </w:rPr>
        <w:t>e</w:t>
      </w:r>
      <w:r>
        <w:rPr>
          <w:sz w:val="21"/>
        </w:rPr>
        <w:t> </w:t>
      </w:r>
      <w:r>
        <w:rPr>
          <w:spacing w:val="-14"/>
          <w:sz w:val="21"/>
        </w:rPr>
        <w:t> </w:t>
      </w:r>
      <w:r>
        <w:rPr>
          <w:spacing w:val="-3"/>
          <w:w w:val="100"/>
          <w:sz w:val="21"/>
        </w:rPr>
        <w:t>e</w:t>
      </w:r>
      <w:r>
        <w:rPr>
          <w:spacing w:val="-1"/>
          <w:w w:val="100"/>
          <w:sz w:val="21"/>
        </w:rPr>
        <w:t>nt</w:t>
      </w:r>
      <w:r>
        <w:rPr>
          <w:w w:val="100"/>
          <w:sz w:val="21"/>
        </w:rPr>
        <w:t>i</w:t>
      </w:r>
      <w:r>
        <w:rPr>
          <w:spacing w:val="-1"/>
          <w:w w:val="100"/>
          <w:sz w:val="21"/>
        </w:rPr>
        <w:t>r</w:t>
      </w:r>
      <w:r>
        <w:rPr>
          <w:w w:val="100"/>
          <w:sz w:val="21"/>
        </w:rPr>
        <w:t>e</w:t>
      </w:r>
      <w:r>
        <w:rPr>
          <w:sz w:val="21"/>
        </w:rPr>
        <w:t> </w:t>
      </w:r>
      <w:r>
        <w:rPr>
          <w:spacing w:val="-16"/>
          <w:sz w:val="21"/>
        </w:rPr>
        <w:t> </w:t>
      </w:r>
      <w:r>
        <w:rPr>
          <w:spacing w:val="-2"/>
          <w:w w:val="100"/>
          <w:sz w:val="21"/>
        </w:rPr>
        <w:t>w</w:t>
      </w:r>
      <w:r>
        <w:rPr>
          <w:spacing w:val="-1"/>
          <w:w w:val="100"/>
          <w:sz w:val="21"/>
        </w:rPr>
        <w:t>or</w:t>
      </w:r>
      <w:r>
        <w:rPr>
          <w:spacing w:val="-2"/>
          <w:w w:val="100"/>
          <w:sz w:val="21"/>
        </w:rPr>
        <w:t>l</w:t>
      </w:r>
      <w:r>
        <w:rPr>
          <w:w w:val="100"/>
          <w:sz w:val="21"/>
        </w:rPr>
        <w:t>d</w:t>
      </w:r>
      <w:r>
        <w:rPr>
          <w:sz w:val="21"/>
        </w:rPr>
        <w:t> </w:t>
      </w:r>
      <w:r>
        <w:rPr>
          <w:spacing w:val="-14"/>
          <w:sz w:val="21"/>
        </w:rPr>
        <w:t> </w:t>
      </w:r>
      <w:r>
        <w:rPr>
          <w:spacing w:val="-1"/>
          <w:w w:val="100"/>
          <w:sz w:val="21"/>
        </w:rPr>
        <w:t>o</w:t>
      </w:r>
      <w:r>
        <w:rPr>
          <w:spacing w:val="-3"/>
          <w:w w:val="100"/>
          <w:sz w:val="21"/>
        </w:rPr>
        <w:t>v</w:t>
      </w:r>
      <w:r>
        <w:rPr>
          <w:spacing w:val="-1"/>
          <w:w w:val="100"/>
          <w:sz w:val="21"/>
        </w:rPr>
        <w:t>e</w:t>
      </w:r>
      <w:r>
        <w:rPr>
          <w:w w:val="100"/>
          <w:sz w:val="21"/>
        </w:rPr>
        <w:t>r</w:t>
      </w:r>
      <w:r>
        <w:rPr>
          <w:sz w:val="21"/>
        </w:rPr>
        <w:t> </w:t>
      </w:r>
      <w:r>
        <w:rPr>
          <w:spacing w:val="-15"/>
          <w:sz w:val="21"/>
        </w:rPr>
        <w:t> </w:t>
      </w:r>
      <w:r>
        <w:rPr>
          <w:spacing w:val="-2"/>
          <w:w w:val="100"/>
          <w:sz w:val="21"/>
        </w:rPr>
        <w:t>t</w:t>
      </w:r>
      <w:r>
        <w:rPr>
          <w:spacing w:val="-1"/>
          <w:w w:val="100"/>
          <w:sz w:val="21"/>
        </w:rPr>
        <w:t>o</w:t>
      </w:r>
      <w:r>
        <w:rPr>
          <w:spacing w:val="-4"/>
          <w:w w:val="100"/>
          <w:sz w:val="21"/>
        </w:rPr>
        <w:t>w</w:t>
      </w:r>
      <w:r>
        <w:rPr>
          <w:spacing w:val="-1"/>
          <w:w w:val="100"/>
          <w:sz w:val="21"/>
        </w:rPr>
        <w:t>ard</w:t>
      </w:r>
      <w:r>
        <w:rPr>
          <w:w w:val="100"/>
          <w:sz w:val="21"/>
        </w:rPr>
        <w:t>s</w:t>
      </w:r>
      <w:r>
        <w:rPr>
          <w:sz w:val="21"/>
        </w:rPr>
        <w:t> </w:t>
      </w:r>
      <w:r>
        <w:rPr>
          <w:spacing w:val="-17"/>
          <w:sz w:val="21"/>
        </w:rPr>
        <w:t> </w:t>
      </w:r>
      <w:r>
        <w:rPr>
          <w:spacing w:val="-2"/>
          <w:w w:val="100"/>
          <w:sz w:val="21"/>
        </w:rPr>
        <w:t>R</w:t>
      </w:r>
      <w:r>
        <w:rPr>
          <w:spacing w:val="-3"/>
          <w:w w:val="100"/>
          <w:sz w:val="21"/>
        </w:rPr>
        <w:t>a</w:t>
      </w:r>
      <w:r>
        <w:rPr>
          <w:w w:val="100"/>
          <w:sz w:val="21"/>
        </w:rPr>
        <w:t>m </w:t>
      </w:r>
      <w:r>
        <w:rPr>
          <w:sz w:val="21"/>
        </w:rPr>
        <w:t>Janam Bhoomi Sthal is similar to that of Muslims towards Kaba. There is only one Ram Janam Bhoomi temple in whole of the world, whereas there are thousands of temples of Lord Ram.‖</w:t>
      </w:r>
    </w:p>
    <w:p>
      <w:pPr>
        <w:pStyle w:val="BodyText"/>
        <w:spacing w:before="2"/>
      </w:pPr>
    </w:p>
    <w:p>
      <w:pPr>
        <w:pStyle w:val="BodyText"/>
        <w:spacing w:line="480" w:lineRule="auto" w:before="1"/>
        <w:ind w:left="500" w:right="442"/>
        <w:jc w:val="both"/>
      </w:pPr>
      <w:r>
        <w:rPr/>
        <w:t>During the course of his examination, the witness was shown an album containing black and white and coloured photographs pertaining to the disputed site. He identified the figures of lions and a peacock and the depictions of Lord Ganesh, Lord Shankar and of a</w:t>
      </w:r>
      <w:r>
        <w:rPr>
          <w:spacing w:val="-5"/>
        </w:rPr>
        <w:t> </w:t>
      </w:r>
      <w:r>
        <w:rPr/>
        <w:t>Nandi:</w:t>
      </w:r>
    </w:p>
    <w:p>
      <w:pPr>
        <w:spacing w:line="276" w:lineRule="auto" w:before="159"/>
        <w:ind w:left="1940" w:right="2262" w:firstLine="0"/>
        <w:jc w:val="both"/>
        <w:rPr>
          <w:sz w:val="21"/>
        </w:rPr>
      </w:pPr>
      <w:r>
        <w:rPr>
          <w:spacing w:val="-1"/>
          <w:w w:val="33"/>
          <w:sz w:val="21"/>
        </w:rPr>
        <w:t>―</w:t>
      </w:r>
      <w:r>
        <w:rPr>
          <w:w w:val="100"/>
          <w:sz w:val="21"/>
        </w:rPr>
        <w:t>Pic</w:t>
      </w:r>
      <w:r>
        <w:rPr>
          <w:spacing w:val="-2"/>
          <w:w w:val="100"/>
          <w:sz w:val="21"/>
        </w:rPr>
        <w:t>t</w:t>
      </w:r>
      <w:r>
        <w:rPr>
          <w:spacing w:val="-1"/>
          <w:w w:val="100"/>
          <w:sz w:val="21"/>
        </w:rPr>
        <w:t>u</w:t>
      </w:r>
      <w:r>
        <w:rPr>
          <w:spacing w:val="-3"/>
          <w:w w:val="100"/>
          <w:sz w:val="21"/>
        </w:rPr>
        <w:t>r</w:t>
      </w:r>
      <w:r>
        <w:rPr>
          <w:w w:val="100"/>
          <w:sz w:val="21"/>
        </w:rPr>
        <w:t>e</w:t>
      </w:r>
      <w:r>
        <w:rPr>
          <w:spacing w:val="6"/>
          <w:sz w:val="21"/>
        </w:rPr>
        <w:t> </w:t>
      </w:r>
      <w:r>
        <w:rPr>
          <w:spacing w:val="-2"/>
          <w:w w:val="100"/>
          <w:sz w:val="21"/>
        </w:rPr>
        <w:t>N</w:t>
      </w:r>
      <w:r>
        <w:rPr>
          <w:spacing w:val="-1"/>
          <w:w w:val="100"/>
          <w:sz w:val="21"/>
        </w:rPr>
        <w:t>o</w:t>
      </w:r>
      <w:r>
        <w:rPr>
          <w:w w:val="100"/>
          <w:sz w:val="21"/>
        </w:rPr>
        <w:t>.</w:t>
      </w:r>
      <w:r>
        <w:rPr>
          <w:spacing w:val="5"/>
          <w:sz w:val="21"/>
        </w:rPr>
        <w:t> </w:t>
      </w:r>
      <w:r>
        <w:rPr>
          <w:spacing w:val="-1"/>
          <w:w w:val="100"/>
          <w:sz w:val="21"/>
        </w:rPr>
        <w:t>2</w:t>
      </w:r>
      <w:r>
        <w:rPr>
          <w:w w:val="100"/>
          <w:sz w:val="21"/>
        </w:rPr>
        <w:t>0</w:t>
      </w:r>
      <w:r>
        <w:rPr>
          <w:spacing w:val="6"/>
          <w:sz w:val="21"/>
        </w:rPr>
        <w:t> </w:t>
      </w:r>
      <w:r>
        <w:rPr>
          <w:spacing w:val="-3"/>
          <w:w w:val="100"/>
          <w:sz w:val="21"/>
        </w:rPr>
        <w:t>o</w:t>
      </w:r>
      <w:r>
        <w:rPr>
          <w:w w:val="100"/>
          <w:sz w:val="21"/>
        </w:rPr>
        <w:t>f</w:t>
      </w:r>
      <w:r>
        <w:rPr>
          <w:spacing w:val="7"/>
          <w:sz w:val="21"/>
        </w:rPr>
        <w:t> </w:t>
      </w:r>
      <w:r>
        <w:rPr>
          <w:spacing w:val="-3"/>
          <w:w w:val="100"/>
          <w:sz w:val="21"/>
        </w:rPr>
        <w:t>a</w:t>
      </w:r>
      <w:r>
        <w:rPr>
          <w:w w:val="100"/>
          <w:sz w:val="21"/>
        </w:rPr>
        <w:t>l</w:t>
      </w:r>
      <w:r>
        <w:rPr>
          <w:spacing w:val="-3"/>
          <w:w w:val="100"/>
          <w:sz w:val="21"/>
        </w:rPr>
        <w:t>bu</w:t>
      </w:r>
      <w:r>
        <w:rPr>
          <w:w w:val="100"/>
          <w:sz w:val="21"/>
        </w:rPr>
        <w:t>m</w:t>
      </w:r>
      <w:r>
        <w:rPr>
          <w:spacing w:val="5"/>
          <w:sz w:val="21"/>
        </w:rPr>
        <w:t> </w:t>
      </w:r>
      <w:r>
        <w:rPr>
          <w:spacing w:val="-1"/>
          <w:w w:val="100"/>
          <w:sz w:val="21"/>
        </w:rPr>
        <w:t>o</w:t>
      </w:r>
      <w:r>
        <w:rPr>
          <w:w w:val="100"/>
          <w:sz w:val="21"/>
        </w:rPr>
        <w:t>f</w:t>
      </w:r>
      <w:r>
        <w:rPr>
          <w:spacing w:val="7"/>
          <w:sz w:val="21"/>
        </w:rPr>
        <w:t> </w:t>
      </w:r>
      <w:r>
        <w:rPr>
          <w:spacing w:val="-3"/>
          <w:w w:val="100"/>
          <w:sz w:val="21"/>
        </w:rPr>
        <w:t>b</w:t>
      </w:r>
      <w:r>
        <w:rPr>
          <w:w w:val="100"/>
          <w:sz w:val="21"/>
        </w:rPr>
        <w:t>l</w:t>
      </w:r>
      <w:r>
        <w:rPr>
          <w:spacing w:val="-3"/>
          <w:w w:val="100"/>
          <w:sz w:val="21"/>
        </w:rPr>
        <w:t>ac</w:t>
      </w:r>
      <w:r>
        <w:rPr>
          <w:w w:val="100"/>
          <w:sz w:val="21"/>
        </w:rPr>
        <w:t>k</w:t>
      </w:r>
      <w:r>
        <w:rPr>
          <w:spacing w:val="8"/>
          <w:sz w:val="21"/>
        </w:rPr>
        <w:t> </w:t>
      </w:r>
      <w:r>
        <w:rPr>
          <w:spacing w:val="-1"/>
          <w:w w:val="100"/>
          <w:sz w:val="21"/>
        </w:rPr>
        <w:t>a</w:t>
      </w:r>
      <w:r>
        <w:rPr>
          <w:spacing w:val="-3"/>
          <w:w w:val="100"/>
          <w:sz w:val="21"/>
        </w:rPr>
        <w:t>n</w:t>
      </w:r>
      <w:r>
        <w:rPr>
          <w:w w:val="100"/>
          <w:sz w:val="21"/>
        </w:rPr>
        <w:t>d</w:t>
      </w:r>
      <w:r>
        <w:rPr>
          <w:spacing w:val="6"/>
          <w:sz w:val="21"/>
        </w:rPr>
        <w:t> </w:t>
      </w:r>
      <w:r>
        <w:rPr>
          <w:spacing w:val="-2"/>
          <w:w w:val="100"/>
          <w:sz w:val="21"/>
        </w:rPr>
        <w:t>w</w:t>
      </w:r>
      <w:r>
        <w:rPr>
          <w:spacing w:val="-3"/>
          <w:w w:val="100"/>
          <w:sz w:val="21"/>
        </w:rPr>
        <w:t>h</w:t>
      </w:r>
      <w:r>
        <w:rPr>
          <w:w w:val="100"/>
          <w:sz w:val="21"/>
        </w:rPr>
        <w:t>i</w:t>
      </w:r>
      <w:r>
        <w:rPr>
          <w:spacing w:val="-2"/>
          <w:w w:val="100"/>
          <w:sz w:val="21"/>
        </w:rPr>
        <w:t>t</w:t>
      </w:r>
      <w:r>
        <w:rPr>
          <w:w w:val="100"/>
          <w:sz w:val="21"/>
        </w:rPr>
        <w:t>e</w:t>
      </w:r>
      <w:r>
        <w:rPr>
          <w:spacing w:val="6"/>
          <w:sz w:val="21"/>
        </w:rPr>
        <w:t> </w:t>
      </w:r>
      <w:r>
        <w:rPr>
          <w:spacing w:val="-1"/>
          <w:w w:val="100"/>
          <w:sz w:val="21"/>
        </w:rPr>
        <w:t>p</w:t>
      </w:r>
      <w:r>
        <w:rPr>
          <w:spacing w:val="-2"/>
          <w:w w:val="100"/>
          <w:sz w:val="21"/>
        </w:rPr>
        <w:t>i</w:t>
      </w:r>
      <w:r>
        <w:rPr>
          <w:w w:val="100"/>
          <w:sz w:val="21"/>
        </w:rPr>
        <w:t>c</w:t>
      </w:r>
      <w:r>
        <w:rPr>
          <w:spacing w:val="-2"/>
          <w:w w:val="100"/>
          <w:sz w:val="21"/>
        </w:rPr>
        <w:t>t</w:t>
      </w:r>
      <w:r>
        <w:rPr>
          <w:spacing w:val="-1"/>
          <w:w w:val="100"/>
          <w:sz w:val="21"/>
        </w:rPr>
        <w:t>ur</w:t>
      </w:r>
      <w:r>
        <w:rPr>
          <w:spacing w:val="-3"/>
          <w:w w:val="100"/>
          <w:sz w:val="21"/>
        </w:rPr>
        <w:t>e</w:t>
      </w:r>
      <w:r>
        <w:rPr>
          <w:w w:val="100"/>
          <w:sz w:val="21"/>
        </w:rPr>
        <w:t>s</w:t>
      </w:r>
      <w:r>
        <w:rPr>
          <w:spacing w:val="6"/>
          <w:sz w:val="21"/>
        </w:rPr>
        <w:t> </w:t>
      </w:r>
      <w:r>
        <w:rPr>
          <w:spacing w:val="-1"/>
          <w:w w:val="100"/>
          <w:sz w:val="21"/>
        </w:rPr>
        <w:t>prepa</w:t>
      </w:r>
      <w:r>
        <w:rPr>
          <w:spacing w:val="-4"/>
          <w:w w:val="100"/>
          <w:sz w:val="21"/>
        </w:rPr>
        <w:t>r</w:t>
      </w:r>
      <w:r>
        <w:rPr>
          <w:spacing w:val="-1"/>
          <w:w w:val="100"/>
          <w:sz w:val="21"/>
        </w:rPr>
        <w:t>ed </w:t>
      </w:r>
      <w:r>
        <w:rPr>
          <w:sz w:val="21"/>
        </w:rPr>
        <w:t>by the Archaeological Department of Uttar Pradesh and filed in OOS 4/1989 about the disputed site was shown to the witness. The witness, after seeing the picture, said that there is a figure of a lion on both sides of the upper part of the gate. Then picture nos. 37 to 42 of the coloured album was again shown to the witness. After seeing it, witness said that a picture of peacock has been painted on the northern gate. The picture no. 58 of the coloured album was shown to the witness. After seeing it, the witness said that it is about</w:t>
      </w:r>
      <w:r>
        <w:rPr>
          <w:spacing w:val="14"/>
          <w:sz w:val="21"/>
        </w:rPr>
        <w:t> </w:t>
      </w:r>
      <w:r>
        <w:rPr>
          <w:sz w:val="21"/>
        </w:rPr>
        <w:t>the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sz w:val="21"/>
        </w:rPr>
      </w:pPr>
      <w:r>
        <w:rPr>
          <w:sz w:val="21"/>
        </w:rPr>
        <w:t>cave temple. The statues of Ganesh and Shanker, which are installed on the eastern-southern corner of the platform (Chabutra), have been shown in these pictures. The above pictures include the picture of Nandi and Lord Shanker also. After seeing picture no. 61 of the coloured album, the witness said that it is a picture of above – mentioned Gods.‖</w:t>
      </w:r>
    </w:p>
    <w:p>
      <w:pPr>
        <w:pStyle w:val="BodyText"/>
        <w:spacing w:before="1"/>
      </w:pPr>
    </w:p>
    <w:p>
      <w:pPr>
        <w:pStyle w:val="BodyText"/>
        <w:spacing w:line="480" w:lineRule="auto"/>
        <w:ind w:left="500" w:right="437"/>
        <w:jc w:val="both"/>
      </w:pPr>
      <w:r>
        <w:rPr/>
        <w:t>The witness deposed to the inventory made by the Commissioner after the attachment took place under Section 145 and to the presence of footprints and other sources of worship including Ramchabutra (in the outer courtyard). According to the witness, no Muslim had offered namaz in the mosque after 1934. Speaking of his belief and faith, the witness</w:t>
      </w:r>
      <w:r>
        <w:rPr>
          <w:spacing w:val="-7"/>
        </w:rPr>
        <w:t> </w:t>
      </w:r>
      <w:r>
        <w:rPr/>
        <w:t>stated:</w:t>
      </w:r>
    </w:p>
    <w:p>
      <w:pPr>
        <w:spacing w:line="276" w:lineRule="auto" w:before="1"/>
        <w:ind w:left="1940" w:right="2266" w:firstLine="0"/>
        <w:jc w:val="both"/>
        <w:rPr>
          <w:sz w:val="21"/>
        </w:rPr>
      </w:pPr>
      <w:r>
        <w:rPr>
          <w:spacing w:val="-1"/>
          <w:w w:val="33"/>
          <w:sz w:val="21"/>
        </w:rPr>
        <w:t>―</w:t>
      </w:r>
      <w:r>
        <w:rPr>
          <w:w w:val="100"/>
          <w:sz w:val="21"/>
        </w:rPr>
        <w:t>The</w:t>
      </w:r>
      <w:r>
        <w:rPr>
          <w:sz w:val="21"/>
        </w:rPr>
        <w:t> </w:t>
      </w:r>
      <w:r>
        <w:rPr>
          <w:spacing w:val="-4"/>
          <w:sz w:val="21"/>
        </w:rPr>
        <w:t> </w:t>
      </w:r>
      <w:r>
        <w:rPr>
          <w:spacing w:val="-2"/>
          <w:w w:val="100"/>
          <w:sz w:val="21"/>
        </w:rPr>
        <w:t>w</w:t>
      </w:r>
      <w:r>
        <w:rPr>
          <w:spacing w:val="-1"/>
          <w:w w:val="100"/>
          <w:sz w:val="21"/>
        </w:rPr>
        <w:t>h</w:t>
      </w:r>
      <w:r>
        <w:rPr>
          <w:spacing w:val="-3"/>
          <w:w w:val="100"/>
          <w:sz w:val="21"/>
        </w:rPr>
        <w:t>o</w:t>
      </w:r>
      <w:r>
        <w:rPr>
          <w:w w:val="100"/>
          <w:sz w:val="21"/>
        </w:rPr>
        <w:t>le</w:t>
      </w:r>
      <w:r>
        <w:rPr>
          <w:sz w:val="21"/>
        </w:rPr>
        <w:t> </w:t>
      </w:r>
      <w:r>
        <w:rPr>
          <w:spacing w:val="-4"/>
          <w:sz w:val="21"/>
        </w:rPr>
        <w:t> </w:t>
      </w:r>
      <w:r>
        <w:rPr>
          <w:spacing w:val="-3"/>
          <w:w w:val="100"/>
          <w:sz w:val="21"/>
        </w:rPr>
        <w:t>p</w:t>
      </w:r>
      <w:r>
        <w:rPr>
          <w:w w:val="100"/>
          <w:sz w:val="21"/>
        </w:rPr>
        <w:t>l</w:t>
      </w:r>
      <w:r>
        <w:rPr>
          <w:spacing w:val="-1"/>
          <w:w w:val="100"/>
          <w:sz w:val="21"/>
        </w:rPr>
        <w:t>ace</w:t>
      </w:r>
      <w:r>
        <w:rPr>
          <w:w w:val="100"/>
          <w:sz w:val="21"/>
        </w:rPr>
        <w:t>,</w:t>
      </w:r>
      <w:r>
        <w:rPr>
          <w:sz w:val="21"/>
        </w:rPr>
        <w:t> </w:t>
      </w:r>
      <w:r>
        <w:rPr>
          <w:spacing w:val="-5"/>
          <w:sz w:val="21"/>
        </w:rPr>
        <w:t> </w:t>
      </w:r>
      <w:r>
        <w:rPr>
          <w:spacing w:val="-1"/>
          <w:w w:val="100"/>
          <w:sz w:val="21"/>
        </w:rPr>
        <w:t>b</w:t>
      </w:r>
      <w:r>
        <w:rPr>
          <w:spacing w:val="-3"/>
          <w:w w:val="100"/>
          <w:sz w:val="21"/>
        </w:rPr>
        <w:t>e</w:t>
      </w:r>
      <w:r>
        <w:rPr>
          <w:w w:val="100"/>
          <w:sz w:val="21"/>
        </w:rPr>
        <w:t>i</w:t>
      </w:r>
      <w:r>
        <w:rPr>
          <w:spacing w:val="-3"/>
          <w:w w:val="100"/>
          <w:sz w:val="21"/>
        </w:rPr>
        <w:t>n</w:t>
      </w:r>
      <w:r>
        <w:rPr>
          <w:w w:val="100"/>
          <w:sz w:val="21"/>
        </w:rPr>
        <w:t>g</w:t>
      </w:r>
      <w:r>
        <w:rPr>
          <w:sz w:val="21"/>
        </w:rPr>
        <w:t> </w:t>
      </w:r>
      <w:r>
        <w:rPr>
          <w:spacing w:val="-7"/>
          <w:sz w:val="21"/>
        </w:rPr>
        <w:t> </w:t>
      </w:r>
      <w:r>
        <w:rPr>
          <w:spacing w:val="-2"/>
          <w:w w:val="100"/>
          <w:sz w:val="21"/>
        </w:rPr>
        <w:t>t</w:t>
      </w:r>
      <w:r>
        <w:rPr>
          <w:spacing w:val="-1"/>
          <w:w w:val="100"/>
          <w:sz w:val="21"/>
        </w:rPr>
        <w:t>h</w:t>
      </w:r>
      <w:r>
        <w:rPr>
          <w:w w:val="100"/>
          <w:sz w:val="21"/>
        </w:rPr>
        <w:t>e</w:t>
      </w:r>
      <w:r>
        <w:rPr>
          <w:sz w:val="21"/>
        </w:rPr>
        <w:t> </w:t>
      </w:r>
      <w:r>
        <w:rPr>
          <w:spacing w:val="-4"/>
          <w:sz w:val="21"/>
        </w:rPr>
        <w:t> </w:t>
      </w:r>
      <w:r>
        <w:rPr>
          <w:spacing w:val="-1"/>
          <w:w w:val="100"/>
          <w:sz w:val="21"/>
        </w:rPr>
        <w:t>b</w:t>
      </w:r>
      <w:r>
        <w:rPr>
          <w:spacing w:val="1"/>
          <w:w w:val="100"/>
          <w:sz w:val="21"/>
        </w:rPr>
        <w:t>i</w:t>
      </w:r>
      <w:r>
        <w:rPr>
          <w:spacing w:val="-1"/>
          <w:w w:val="100"/>
          <w:sz w:val="21"/>
        </w:rPr>
        <w:t>r</w:t>
      </w:r>
      <w:r>
        <w:rPr>
          <w:spacing w:val="-2"/>
          <w:w w:val="100"/>
          <w:sz w:val="21"/>
        </w:rPr>
        <w:t>t</w:t>
      </w:r>
      <w:r>
        <w:rPr>
          <w:spacing w:val="-1"/>
          <w:w w:val="100"/>
          <w:sz w:val="21"/>
        </w:rPr>
        <w:t>hplac</w:t>
      </w:r>
      <w:r>
        <w:rPr>
          <w:w w:val="100"/>
          <w:sz w:val="21"/>
        </w:rPr>
        <w:t>e</w:t>
      </w:r>
      <w:r>
        <w:rPr>
          <w:sz w:val="21"/>
        </w:rPr>
        <w:t> </w:t>
      </w:r>
      <w:r>
        <w:rPr>
          <w:spacing w:val="-4"/>
          <w:sz w:val="21"/>
        </w:rPr>
        <w:t> </w:t>
      </w:r>
      <w:r>
        <w:rPr>
          <w:spacing w:val="-3"/>
          <w:w w:val="100"/>
          <w:sz w:val="21"/>
        </w:rPr>
        <w:t>o</w:t>
      </w:r>
      <w:r>
        <w:rPr>
          <w:w w:val="100"/>
          <w:sz w:val="21"/>
        </w:rPr>
        <w:t>f</w:t>
      </w:r>
      <w:r>
        <w:rPr>
          <w:sz w:val="21"/>
        </w:rPr>
        <w:t> </w:t>
      </w:r>
      <w:r>
        <w:rPr>
          <w:spacing w:val="-4"/>
          <w:sz w:val="21"/>
        </w:rPr>
        <w:t> </w:t>
      </w:r>
      <w:r>
        <w:rPr>
          <w:spacing w:val="-1"/>
          <w:w w:val="100"/>
          <w:sz w:val="21"/>
        </w:rPr>
        <w:t>Lor</w:t>
      </w:r>
      <w:r>
        <w:rPr>
          <w:w w:val="100"/>
          <w:sz w:val="21"/>
        </w:rPr>
        <w:t>d</w:t>
      </w:r>
      <w:r>
        <w:rPr>
          <w:sz w:val="21"/>
        </w:rPr>
        <w:t> </w:t>
      </w:r>
      <w:r>
        <w:rPr>
          <w:spacing w:val="-7"/>
          <w:sz w:val="21"/>
        </w:rPr>
        <w:t> </w:t>
      </w:r>
      <w:r>
        <w:rPr>
          <w:w w:val="100"/>
          <w:sz w:val="21"/>
        </w:rPr>
        <w:t>R</w:t>
      </w:r>
      <w:r>
        <w:rPr>
          <w:spacing w:val="-3"/>
          <w:w w:val="100"/>
          <w:sz w:val="21"/>
        </w:rPr>
        <w:t>a</w:t>
      </w:r>
      <w:r>
        <w:rPr>
          <w:spacing w:val="1"/>
          <w:w w:val="100"/>
          <w:sz w:val="21"/>
        </w:rPr>
        <w:t>m</w:t>
      </w:r>
      <w:r>
        <w:rPr>
          <w:w w:val="100"/>
          <w:sz w:val="21"/>
        </w:rPr>
        <w:t>,</w:t>
      </w:r>
      <w:r>
        <w:rPr>
          <w:sz w:val="21"/>
        </w:rPr>
        <w:t> </w:t>
      </w:r>
      <w:r>
        <w:rPr>
          <w:spacing w:val="-6"/>
          <w:sz w:val="21"/>
        </w:rPr>
        <w:t> </w:t>
      </w:r>
      <w:r>
        <w:rPr>
          <w:w w:val="100"/>
          <w:sz w:val="21"/>
        </w:rPr>
        <w:t>is</w:t>
      </w:r>
      <w:r>
        <w:rPr>
          <w:sz w:val="21"/>
        </w:rPr>
        <w:t> </w:t>
      </w:r>
      <w:r>
        <w:rPr>
          <w:spacing w:val="-5"/>
          <w:sz w:val="21"/>
        </w:rPr>
        <w:t> </w:t>
      </w:r>
      <w:r>
        <w:rPr>
          <w:w w:val="100"/>
          <w:sz w:val="21"/>
        </w:rPr>
        <w:t>a </w:t>
      </w:r>
      <w:r>
        <w:rPr>
          <w:sz w:val="21"/>
        </w:rPr>
        <w:t>symbol of belief and faith for</w:t>
      </w:r>
      <w:r>
        <w:rPr>
          <w:spacing w:val="-8"/>
          <w:sz w:val="21"/>
        </w:rPr>
        <w:t> </w:t>
      </w:r>
      <w:r>
        <w:rPr>
          <w:sz w:val="21"/>
        </w:rPr>
        <w:t>me.‖</w:t>
      </w:r>
    </w:p>
    <w:p>
      <w:pPr>
        <w:pStyle w:val="BodyText"/>
        <w:rPr>
          <w:sz w:val="24"/>
        </w:rPr>
      </w:pPr>
    </w:p>
    <w:p>
      <w:pPr>
        <w:pStyle w:val="BodyText"/>
        <w:spacing w:before="2"/>
      </w:pPr>
    </w:p>
    <w:p>
      <w:pPr>
        <w:pStyle w:val="BodyText"/>
        <w:spacing w:line="480" w:lineRule="auto"/>
        <w:ind w:left="500" w:right="434"/>
        <w:jc w:val="both"/>
      </w:pPr>
      <w:r>
        <w:rPr/>
        <w:t>Speaking of the ceremony associated with the consecration of an idol (</w:t>
      </w:r>
      <w:r>
        <w:rPr>
          <w:i/>
        </w:rPr>
        <w:t>pran </w:t>
      </w:r>
      <w:r>
        <w:rPr>
          <w:i/>
        </w:rPr>
        <w:t>pratishtha</w:t>
      </w:r>
      <w:r>
        <w:rPr/>
        <w:t>), the witness stated that a minimum of 24 hours and a maximum of 3 days are dedicated to the performance of the ceremony. During the course of his cross-examination by Mr Zafaryab Jilani, learned Senior Counsel appearing for the Sunni Central Waqf Board, on 17 January 2000, the witness stated:</w:t>
      </w:r>
    </w:p>
    <w:p>
      <w:pPr>
        <w:spacing w:line="276" w:lineRule="auto" w:before="0"/>
        <w:ind w:left="1940" w:right="2262" w:firstLine="0"/>
        <w:jc w:val="both"/>
        <w:rPr>
          <w:sz w:val="21"/>
        </w:rPr>
      </w:pPr>
      <w:r>
        <w:rPr>
          <w:w w:val="33"/>
          <w:sz w:val="21"/>
        </w:rPr>
        <w:t>―</w:t>
      </w:r>
      <w:r>
        <w:rPr>
          <w:w w:val="100"/>
          <w:sz w:val="21"/>
        </w:rPr>
        <w:t>From</w:t>
      </w:r>
      <w:r>
        <w:rPr>
          <w:sz w:val="21"/>
        </w:rPr>
        <w:t> </w:t>
      </w:r>
      <w:r>
        <w:rPr>
          <w:w w:val="100"/>
          <w:sz w:val="21"/>
        </w:rPr>
        <w:t>the</w:t>
      </w:r>
      <w:r>
        <w:rPr>
          <w:sz w:val="21"/>
        </w:rPr>
        <w:t> </w:t>
      </w:r>
      <w:r>
        <w:rPr>
          <w:w w:val="100"/>
          <w:sz w:val="21"/>
        </w:rPr>
        <w:t>time,</w:t>
      </w:r>
      <w:r>
        <w:rPr>
          <w:sz w:val="21"/>
        </w:rPr>
        <w:t> </w:t>
      </w:r>
      <w:r>
        <w:rPr>
          <w:w w:val="100"/>
          <w:sz w:val="21"/>
        </w:rPr>
        <w:t>I</w:t>
      </w:r>
      <w:r>
        <w:rPr>
          <w:sz w:val="21"/>
        </w:rPr>
        <w:t> </w:t>
      </w:r>
      <w:r>
        <w:rPr>
          <w:w w:val="100"/>
          <w:sz w:val="21"/>
        </w:rPr>
        <w:t>first</w:t>
      </w:r>
      <w:r>
        <w:rPr>
          <w:sz w:val="21"/>
        </w:rPr>
        <w:t> </w:t>
      </w:r>
      <w:r>
        <w:rPr>
          <w:w w:val="100"/>
          <w:sz w:val="21"/>
        </w:rPr>
        <w:t>came</w:t>
      </w:r>
      <w:r>
        <w:rPr>
          <w:sz w:val="21"/>
        </w:rPr>
        <w:t> </w:t>
      </w:r>
      <w:r>
        <w:rPr>
          <w:w w:val="100"/>
          <w:sz w:val="21"/>
        </w:rPr>
        <w:t>to</w:t>
      </w:r>
      <w:r>
        <w:rPr>
          <w:sz w:val="21"/>
        </w:rPr>
        <w:t> </w:t>
      </w:r>
      <w:r>
        <w:rPr>
          <w:w w:val="100"/>
          <w:sz w:val="21"/>
        </w:rPr>
        <w:t>Ayodhya</w:t>
      </w:r>
      <w:r>
        <w:rPr>
          <w:sz w:val="21"/>
        </w:rPr>
        <w:t> </w:t>
      </w:r>
      <w:r>
        <w:rPr>
          <w:w w:val="100"/>
          <w:sz w:val="21"/>
        </w:rPr>
        <w:t>till</w:t>
      </w:r>
      <w:r>
        <w:rPr>
          <w:sz w:val="21"/>
        </w:rPr>
        <w:t> </w:t>
      </w:r>
      <w:r>
        <w:rPr>
          <w:w w:val="100"/>
          <w:sz w:val="21"/>
        </w:rPr>
        <w:t>1934,</w:t>
      </w:r>
      <w:r>
        <w:rPr>
          <w:sz w:val="21"/>
        </w:rPr>
        <w:t> </w:t>
      </w:r>
      <w:r>
        <w:rPr>
          <w:w w:val="100"/>
          <w:sz w:val="21"/>
        </w:rPr>
        <w:t>I</w:t>
      </w:r>
      <w:r>
        <w:rPr>
          <w:sz w:val="21"/>
        </w:rPr>
        <w:t> </w:t>
      </w:r>
      <w:r>
        <w:rPr>
          <w:w w:val="100"/>
          <w:sz w:val="21"/>
        </w:rPr>
        <w:t>had</w:t>
      </w:r>
      <w:r>
        <w:rPr>
          <w:sz w:val="21"/>
        </w:rPr>
        <w:t> </w:t>
      </w:r>
      <w:r>
        <w:rPr>
          <w:w w:val="100"/>
          <w:sz w:val="21"/>
        </w:rPr>
        <w:t>been </w:t>
      </w:r>
      <w:r>
        <w:rPr>
          <w:sz w:val="21"/>
        </w:rPr>
        <w:t>going to Ram Janam Bhoomi (disputed place) regularly every day. At that time, I used to go to that portion of the disputed place (building) where pillars were installed. There were two </w:t>
      </w:r>
      <w:r>
        <w:rPr>
          <w:w w:val="100"/>
          <w:sz w:val="21"/>
        </w:rPr>
        <w:t>pillars</w:t>
      </w:r>
      <w:r>
        <w:rPr>
          <w:sz w:val="21"/>
        </w:rPr>
        <w:t> </w:t>
      </w:r>
      <w:r>
        <w:rPr>
          <w:w w:val="100"/>
          <w:sz w:val="21"/>
        </w:rPr>
        <w:t>installed</w:t>
      </w:r>
      <w:r>
        <w:rPr>
          <w:sz w:val="21"/>
        </w:rPr>
        <w:t> </w:t>
      </w:r>
      <w:r>
        <w:rPr>
          <w:w w:val="100"/>
          <w:sz w:val="21"/>
        </w:rPr>
        <w:t>at</w:t>
      </w:r>
      <w:r>
        <w:rPr>
          <w:sz w:val="21"/>
        </w:rPr>
        <w:t> </w:t>
      </w:r>
      <w:r>
        <w:rPr>
          <w:w w:val="100"/>
          <w:sz w:val="21"/>
        </w:rPr>
        <w:t>the</w:t>
      </w:r>
      <w:r>
        <w:rPr>
          <w:sz w:val="21"/>
        </w:rPr>
        <w:t> </w:t>
      </w:r>
      <w:r>
        <w:rPr>
          <w:w w:val="100"/>
          <w:sz w:val="21"/>
        </w:rPr>
        <w:t>eastern</w:t>
      </w:r>
      <w:r>
        <w:rPr>
          <w:sz w:val="21"/>
        </w:rPr>
        <w:t> </w:t>
      </w:r>
      <w:r>
        <w:rPr>
          <w:w w:val="100"/>
          <w:sz w:val="21"/>
        </w:rPr>
        <w:t>gate.</w:t>
      </w:r>
      <w:r>
        <w:rPr>
          <w:sz w:val="21"/>
        </w:rPr>
        <w:t> </w:t>
      </w:r>
      <w:r>
        <w:rPr>
          <w:w w:val="100"/>
          <w:sz w:val="21"/>
        </w:rPr>
        <w:t>I</w:t>
      </w:r>
      <w:r>
        <w:rPr>
          <w:sz w:val="21"/>
        </w:rPr>
        <w:t> </w:t>
      </w:r>
      <w:r>
        <w:rPr>
          <w:w w:val="100"/>
          <w:sz w:val="21"/>
        </w:rPr>
        <w:t>used</w:t>
      </w:r>
      <w:r>
        <w:rPr>
          <w:sz w:val="21"/>
        </w:rPr>
        <w:t> </w:t>
      </w:r>
      <w:r>
        <w:rPr>
          <w:w w:val="100"/>
          <w:sz w:val="21"/>
        </w:rPr>
        <w:t>to</w:t>
      </w:r>
      <w:r>
        <w:rPr>
          <w:sz w:val="21"/>
        </w:rPr>
        <w:t> </w:t>
      </w:r>
      <w:r>
        <w:rPr>
          <w:w w:val="100"/>
          <w:sz w:val="21"/>
        </w:rPr>
        <w:t>have</w:t>
      </w:r>
      <w:r>
        <w:rPr>
          <w:sz w:val="21"/>
        </w:rPr>
        <w:t> </w:t>
      </w:r>
      <w:r>
        <w:rPr>
          <w:w w:val="40"/>
          <w:sz w:val="21"/>
        </w:rPr>
        <w:t>‗</w:t>
      </w:r>
      <w:r>
        <w:rPr>
          <w:w w:val="100"/>
          <w:sz w:val="21"/>
        </w:rPr>
        <w:t>Darshan‘ </w:t>
      </w:r>
      <w:r>
        <w:rPr>
          <w:sz w:val="21"/>
        </w:rPr>
        <w:t>of them also. Statues of Gods were engraved on those pillars…</w:t>
      </w:r>
    </w:p>
    <w:p>
      <w:pPr>
        <w:spacing w:line="276" w:lineRule="auto" w:before="1"/>
        <w:ind w:left="1940" w:right="2261" w:firstLine="0"/>
        <w:jc w:val="both"/>
        <w:rPr>
          <w:sz w:val="21"/>
        </w:rPr>
      </w:pPr>
      <w:r>
        <w:rPr>
          <w:sz w:val="21"/>
        </w:rPr>
        <w:t>Two pillars of black stone were installed inside the main building. Volunteer: that pictures of Gods were engraved on stones thereon. There was a statute of Hanumanji on one of the two pillars of eastern gate and the second statue was a broken one, which was also of some God or Goddess. There was a wall of iron bars after the main gate and there were three gates thereafter in the main building and pillars of black stones were installed in all the three gates.‖</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45"/>
        <w:jc w:val="both"/>
      </w:pPr>
      <w:r>
        <w:rPr/>
        <w:t>The witness alluded to the location of the pillars of black Kasauti stones and to the depiction of Hindu Gods and Goddesses on</w:t>
      </w:r>
      <w:r>
        <w:rPr>
          <w:spacing w:val="-4"/>
        </w:rPr>
        <w:t> </w:t>
      </w:r>
      <w:r>
        <w:rPr/>
        <w:t>them:</w:t>
      </w:r>
    </w:p>
    <w:p>
      <w:pPr>
        <w:spacing w:line="276" w:lineRule="auto" w:before="0"/>
        <w:ind w:left="1940" w:right="2600" w:firstLine="0"/>
        <w:jc w:val="both"/>
        <w:rPr>
          <w:sz w:val="21"/>
        </w:rPr>
      </w:pPr>
      <w:r>
        <w:rPr>
          <w:w w:val="33"/>
          <w:sz w:val="21"/>
        </w:rPr>
        <w:t>―</w:t>
      </w:r>
      <w:r>
        <w:rPr>
          <w:w w:val="100"/>
          <w:sz w:val="21"/>
        </w:rPr>
        <w:t>Question:-</w:t>
      </w:r>
      <w:r>
        <w:rPr>
          <w:sz w:val="21"/>
        </w:rPr>
        <w:t>   </w:t>
      </w:r>
      <w:r>
        <w:rPr>
          <w:w w:val="100"/>
          <w:sz w:val="21"/>
        </w:rPr>
        <w:t>W</w:t>
      </w:r>
      <w:r>
        <w:rPr>
          <w:w w:val="100"/>
          <w:sz w:val="21"/>
        </w:rPr>
        <w:t>hat</w:t>
      </w:r>
      <w:r>
        <w:rPr>
          <w:sz w:val="21"/>
        </w:rPr>
        <w:t> </w:t>
      </w:r>
      <w:r>
        <w:rPr>
          <w:w w:val="100"/>
          <w:sz w:val="21"/>
        </w:rPr>
        <w:t>was</w:t>
      </w:r>
      <w:r>
        <w:rPr>
          <w:sz w:val="21"/>
        </w:rPr>
        <w:t> </w:t>
      </w:r>
      <w:r>
        <w:rPr>
          <w:w w:val="100"/>
          <w:sz w:val="21"/>
        </w:rPr>
        <w:t>t</w:t>
      </w:r>
      <w:r>
        <w:rPr>
          <w:w w:val="100"/>
          <w:sz w:val="21"/>
        </w:rPr>
        <w:t>he</w:t>
      </w:r>
      <w:r>
        <w:rPr>
          <w:sz w:val="21"/>
        </w:rPr>
        <w:t> </w:t>
      </w:r>
      <w:r>
        <w:rPr>
          <w:w w:val="100"/>
          <w:sz w:val="21"/>
        </w:rPr>
        <w:t>l</w:t>
      </w:r>
      <w:r>
        <w:rPr>
          <w:w w:val="100"/>
          <w:sz w:val="21"/>
        </w:rPr>
        <w:t>ocat</w:t>
      </w:r>
      <w:r>
        <w:rPr>
          <w:w w:val="100"/>
          <w:sz w:val="21"/>
        </w:rPr>
        <w:t>i</w:t>
      </w:r>
      <w:r>
        <w:rPr>
          <w:w w:val="100"/>
          <w:sz w:val="21"/>
        </w:rPr>
        <w:t>on</w:t>
      </w:r>
      <w:r>
        <w:rPr>
          <w:sz w:val="21"/>
        </w:rPr>
        <w:t> </w:t>
      </w:r>
      <w:r>
        <w:rPr>
          <w:w w:val="100"/>
          <w:sz w:val="21"/>
        </w:rPr>
        <w:t>o</w:t>
      </w:r>
      <w:r>
        <w:rPr>
          <w:w w:val="100"/>
          <w:sz w:val="21"/>
        </w:rPr>
        <w:t>f</w:t>
      </w:r>
      <w:r>
        <w:rPr>
          <w:sz w:val="21"/>
        </w:rPr>
        <w:t> </w:t>
      </w:r>
      <w:r>
        <w:rPr>
          <w:w w:val="100"/>
          <w:sz w:val="21"/>
        </w:rPr>
        <w:t>t</w:t>
      </w:r>
      <w:r>
        <w:rPr>
          <w:w w:val="100"/>
          <w:sz w:val="21"/>
        </w:rPr>
        <w:t>he</w:t>
      </w:r>
      <w:r>
        <w:rPr>
          <w:sz w:val="21"/>
        </w:rPr>
        <w:t> </w:t>
      </w:r>
      <w:r>
        <w:rPr>
          <w:w w:val="100"/>
          <w:sz w:val="21"/>
        </w:rPr>
        <w:t>pi</w:t>
      </w:r>
      <w:r>
        <w:rPr>
          <w:w w:val="100"/>
          <w:sz w:val="21"/>
        </w:rPr>
        <w:t>ll</w:t>
      </w:r>
      <w:r>
        <w:rPr>
          <w:w w:val="100"/>
          <w:sz w:val="21"/>
        </w:rPr>
        <w:t>ars</w:t>
      </w:r>
      <w:r>
        <w:rPr>
          <w:sz w:val="21"/>
        </w:rPr>
        <w:t> </w:t>
      </w:r>
      <w:r>
        <w:rPr>
          <w:w w:val="100"/>
          <w:sz w:val="21"/>
        </w:rPr>
        <w:t>of</w:t>
      </w:r>
      <w:r>
        <w:rPr>
          <w:sz w:val="21"/>
        </w:rPr>
        <w:t> </w:t>
      </w:r>
      <w:r>
        <w:rPr>
          <w:w w:val="100"/>
          <w:sz w:val="21"/>
        </w:rPr>
        <w:t>bl</w:t>
      </w:r>
      <w:r>
        <w:rPr>
          <w:w w:val="100"/>
          <w:sz w:val="21"/>
        </w:rPr>
        <w:t>a</w:t>
      </w:r>
      <w:r>
        <w:rPr>
          <w:w w:val="100"/>
          <w:sz w:val="21"/>
        </w:rPr>
        <w:t>ck </w:t>
      </w:r>
      <w:r>
        <w:rPr>
          <w:sz w:val="21"/>
        </w:rPr>
        <w:t>stones installed inside?</w:t>
      </w:r>
    </w:p>
    <w:p>
      <w:pPr>
        <w:spacing w:before="0"/>
        <w:ind w:left="1940" w:right="0" w:firstLine="0"/>
        <w:jc w:val="both"/>
        <w:rPr>
          <w:sz w:val="21"/>
        </w:rPr>
      </w:pPr>
      <w:r>
        <w:rPr>
          <w:sz w:val="21"/>
        </w:rPr>
        <w:t>Answer:- There were four pillars in every</w:t>
      </w:r>
      <w:r>
        <w:rPr>
          <w:spacing w:val="-10"/>
          <w:sz w:val="21"/>
        </w:rPr>
        <w:t> </w:t>
      </w:r>
      <w:r>
        <w:rPr>
          <w:sz w:val="21"/>
        </w:rPr>
        <w:t>gate.</w:t>
      </w:r>
    </w:p>
    <w:p>
      <w:pPr>
        <w:spacing w:line="276" w:lineRule="auto" w:before="34"/>
        <w:ind w:left="1940" w:right="2597" w:firstLine="0"/>
        <w:jc w:val="both"/>
        <w:rPr>
          <w:sz w:val="21"/>
        </w:rPr>
      </w:pPr>
      <w:r>
        <w:rPr>
          <w:sz w:val="21"/>
        </w:rPr>
        <w:t>There were statues of Gods and Goddesses in the four pillars in the southern gate. Some of them were clear and some were not. I cannot say that statue of which God or Goddess was engraved on southern gate or any other </w:t>
      </w:r>
      <w:r>
        <w:rPr>
          <w:spacing w:val="-1"/>
          <w:w w:val="100"/>
          <w:sz w:val="21"/>
        </w:rPr>
        <w:t>gate</w:t>
      </w:r>
      <w:r>
        <w:rPr>
          <w:w w:val="100"/>
          <w:sz w:val="21"/>
        </w:rPr>
        <w:t>.</w:t>
      </w:r>
      <w:r>
        <w:rPr>
          <w:sz w:val="21"/>
        </w:rPr>
        <w:t> </w:t>
      </w:r>
      <w:r>
        <w:rPr>
          <w:spacing w:val="-5"/>
          <w:sz w:val="21"/>
        </w:rPr>
        <w:t> </w:t>
      </w:r>
      <w:r>
        <w:rPr>
          <w:w w:val="100"/>
          <w:sz w:val="21"/>
        </w:rPr>
        <w:t>B</w:t>
      </w:r>
      <w:r>
        <w:rPr>
          <w:spacing w:val="-3"/>
          <w:w w:val="100"/>
          <w:sz w:val="21"/>
        </w:rPr>
        <w:t>e</w:t>
      </w:r>
      <w:r>
        <w:rPr>
          <w:spacing w:val="1"/>
          <w:w w:val="100"/>
          <w:sz w:val="21"/>
        </w:rPr>
        <w:t>f</w:t>
      </w:r>
      <w:r>
        <w:rPr>
          <w:spacing w:val="-1"/>
          <w:w w:val="100"/>
          <w:sz w:val="21"/>
        </w:rPr>
        <w:t>or</w:t>
      </w:r>
      <w:r>
        <w:rPr>
          <w:w w:val="100"/>
          <w:sz w:val="21"/>
        </w:rPr>
        <w:t>e</w:t>
      </w:r>
      <w:r>
        <w:rPr>
          <w:sz w:val="21"/>
        </w:rPr>
        <w:t> </w:t>
      </w:r>
      <w:r>
        <w:rPr>
          <w:spacing w:val="-5"/>
          <w:sz w:val="21"/>
        </w:rPr>
        <w:t> </w:t>
      </w:r>
      <w:r>
        <w:rPr>
          <w:spacing w:val="-1"/>
          <w:w w:val="100"/>
          <w:sz w:val="21"/>
        </w:rPr>
        <w:t>1</w:t>
      </w:r>
      <w:r>
        <w:rPr>
          <w:spacing w:val="-3"/>
          <w:w w:val="100"/>
          <w:sz w:val="21"/>
        </w:rPr>
        <w:t>9</w:t>
      </w:r>
      <w:r>
        <w:rPr>
          <w:spacing w:val="-1"/>
          <w:w w:val="100"/>
          <w:sz w:val="21"/>
        </w:rPr>
        <w:t>34</w:t>
      </w:r>
      <w:r>
        <w:rPr>
          <w:w w:val="100"/>
          <w:sz w:val="21"/>
        </w:rPr>
        <w:t>,</w:t>
      </w:r>
      <w:r>
        <w:rPr>
          <w:sz w:val="21"/>
        </w:rPr>
        <w:t> </w:t>
      </w:r>
      <w:r>
        <w:rPr>
          <w:spacing w:val="-5"/>
          <w:sz w:val="21"/>
        </w:rPr>
        <w:t> </w:t>
      </w:r>
      <w:r>
        <w:rPr>
          <w:w w:val="100"/>
          <w:sz w:val="21"/>
        </w:rPr>
        <w:t>I</w:t>
      </w:r>
      <w:r>
        <w:rPr>
          <w:sz w:val="21"/>
        </w:rPr>
        <w:t> </w:t>
      </w:r>
      <w:r>
        <w:rPr>
          <w:spacing w:val="-6"/>
          <w:sz w:val="21"/>
        </w:rPr>
        <w:t> </w:t>
      </w:r>
      <w:r>
        <w:rPr>
          <w:spacing w:val="-1"/>
          <w:w w:val="100"/>
          <w:sz w:val="21"/>
        </w:rPr>
        <w:t>use</w:t>
      </w:r>
      <w:r>
        <w:rPr>
          <w:w w:val="100"/>
          <w:sz w:val="21"/>
        </w:rPr>
        <w:t>d</w:t>
      </w:r>
      <w:r>
        <w:rPr>
          <w:sz w:val="21"/>
        </w:rPr>
        <w:t> </w:t>
      </w:r>
      <w:r>
        <w:rPr>
          <w:spacing w:val="-4"/>
          <w:sz w:val="21"/>
        </w:rPr>
        <w:t> </w:t>
      </w:r>
      <w:r>
        <w:rPr>
          <w:spacing w:val="-2"/>
          <w:w w:val="100"/>
          <w:sz w:val="21"/>
        </w:rPr>
        <w:t>t</w:t>
      </w:r>
      <w:r>
        <w:rPr>
          <w:w w:val="100"/>
          <w:sz w:val="21"/>
        </w:rPr>
        <w:t>o</w:t>
      </w:r>
      <w:r>
        <w:rPr>
          <w:sz w:val="21"/>
        </w:rPr>
        <w:t> </w:t>
      </w:r>
      <w:r>
        <w:rPr>
          <w:spacing w:val="-4"/>
          <w:sz w:val="21"/>
        </w:rPr>
        <w:t> </w:t>
      </w:r>
      <w:r>
        <w:rPr>
          <w:spacing w:val="-1"/>
          <w:w w:val="100"/>
          <w:sz w:val="21"/>
        </w:rPr>
        <w:t>ha</w:t>
      </w:r>
      <w:r>
        <w:rPr>
          <w:spacing w:val="-3"/>
          <w:w w:val="100"/>
          <w:sz w:val="21"/>
        </w:rPr>
        <w:t>v</w:t>
      </w:r>
      <w:r>
        <w:rPr>
          <w:w w:val="100"/>
          <w:sz w:val="21"/>
        </w:rPr>
        <w:t>e</w:t>
      </w:r>
      <w:r>
        <w:rPr>
          <w:sz w:val="21"/>
        </w:rPr>
        <w:t> </w:t>
      </w:r>
      <w:r>
        <w:rPr>
          <w:spacing w:val="-4"/>
          <w:sz w:val="21"/>
        </w:rPr>
        <w:t> </w:t>
      </w:r>
      <w:r>
        <w:rPr>
          <w:spacing w:val="4"/>
          <w:w w:val="40"/>
          <w:sz w:val="21"/>
        </w:rPr>
        <w:t>‗</w:t>
      </w:r>
      <w:r>
        <w:rPr>
          <w:w w:val="100"/>
          <w:sz w:val="21"/>
        </w:rPr>
        <w:t>D</w:t>
      </w:r>
      <w:r>
        <w:rPr>
          <w:spacing w:val="-1"/>
          <w:w w:val="100"/>
          <w:sz w:val="21"/>
        </w:rPr>
        <w:t>ar</w:t>
      </w:r>
      <w:r>
        <w:rPr>
          <w:spacing w:val="-3"/>
          <w:w w:val="100"/>
          <w:sz w:val="21"/>
        </w:rPr>
        <w:t>s</w:t>
      </w:r>
      <w:r>
        <w:rPr>
          <w:spacing w:val="-1"/>
          <w:w w:val="100"/>
          <w:sz w:val="21"/>
        </w:rPr>
        <w:t>ha</w:t>
      </w:r>
      <w:r>
        <w:rPr>
          <w:spacing w:val="-2"/>
          <w:w w:val="100"/>
          <w:sz w:val="21"/>
        </w:rPr>
        <w:t>n</w:t>
      </w:r>
      <w:r>
        <w:rPr>
          <w:w w:val="100"/>
          <w:sz w:val="21"/>
        </w:rPr>
        <w:t>‘</w:t>
      </w:r>
      <w:r>
        <w:rPr>
          <w:sz w:val="21"/>
        </w:rPr>
        <w:t> </w:t>
      </w:r>
      <w:r>
        <w:rPr>
          <w:spacing w:val="-4"/>
          <w:sz w:val="21"/>
        </w:rPr>
        <w:t> </w:t>
      </w:r>
      <w:r>
        <w:rPr>
          <w:spacing w:val="-3"/>
          <w:w w:val="100"/>
          <w:sz w:val="21"/>
        </w:rPr>
        <w:t>o</w:t>
      </w:r>
      <w:r>
        <w:rPr>
          <w:w w:val="100"/>
          <w:sz w:val="21"/>
        </w:rPr>
        <w:t>f</w:t>
      </w:r>
      <w:r>
        <w:rPr>
          <w:sz w:val="21"/>
        </w:rPr>
        <w:t> </w:t>
      </w:r>
      <w:r>
        <w:rPr>
          <w:spacing w:val="-6"/>
          <w:sz w:val="21"/>
        </w:rPr>
        <w:t> </w:t>
      </w:r>
      <w:r>
        <w:rPr>
          <w:spacing w:val="-2"/>
          <w:w w:val="100"/>
          <w:sz w:val="21"/>
        </w:rPr>
        <w:t>G</w:t>
      </w:r>
      <w:r>
        <w:rPr>
          <w:spacing w:val="-1"/>
          <w:w w:val="100"/>
          <w:sz w:val="21"/>
        </w:rPr>
        <w:t>arbh </w:t>
      </w:r>
      <w:r>
        <w:rPr>
          <w:spacing w:val="-2"/>
          <w:w w:val="100"/>
          <w:sz w:val="21"/>
        </w:rPr>
        <w:t>G</w:t>
      </w:r>
      <w:r>
        <w:rPr>
          <w:spacing w:val="-1"/>
          <w:w w:val="100"/>
          <w:sz w:val="21"/>
        </w:rPr>
        <w:t>r</w:t>
      </w:r>
      <w:r>
        <w:rPr>
          <w:w w:val="100"/>
          <w:sz w:val="21"/>
        </w:rPr>
        <w:t>i</w:t>
      </w:r>
      <w:r>
        <w:rPr>
          <w:spacing w:val="-1"/>
          <w:w w:val="100"/>
          <w:sz w:val="21"/>
        </w:rPr>
        <w:t>h</w:t>
      </w:r>
      <w:r>
        <w:rPr>
          <w:spacing w:val="-3"/>
          <w:w w:val="100"/>
          <w:sz w:val="21"/>
        </w:rPr>
        <w:t>a</w:t>
      </w:r>
      <w:r>
        <w:rPr>
          <w:w w:val="100"/>
          <w:sz w:val="21"/>
        </w:rPr>
        <w:t>‘</w:t>
      </w:r>
      <w:r>
        <w:rPr>
          <w:sz w:val="21"/>
        </w:rPr>
        <w:t>  </w:t>
      </w:r>
      <w:r>
        <w:rPr>
          <w:spacing w:val="-26"/>
          <w:sz w:val="21"/>
        </w:rPr>
        <w:t> </w:t>
      </w:r>
      <w:r>
        <w:rPr>
          <w:w w:val="100"/>
          <w:sz w:val="21"/>
        </w:rPr>
        <w:t>si</w:t>
      </w:r>
      <w:r>
        <w:rPr>
          <w:spacing w:val="-2"/>
          <w:w w:val="100"/>
          <w:sz w:val="21"/>
        </w:rPr>
        <w:t>t</w:t>
      </w:r>
      <w:r>
        <w:rPr>
          <w:spacing w:val="-1"/>
          <w:w w:val="100"/>
          <w:sz w:val="21"/>
        </w:rPr>
        <w:t>uat</w:t>
      </w:r>
      <w:r>
        <w:rPr>
          <w:spacing w:val="-3"/>
          <w:w w:val="100"/>
          <w:sz w:val="21"/>
        </w:rPr>
        <w:t>e</w:t>
      </w:r>
      <w:r>
        <w:rPr>
          <w:w w:val="100"/>
          <w:sz w:val="21"/>
        </w:rPr>
        <w:t>d</w:t>
      </w:r>
      <w:r>
        <w:rPr>
          <w:sz w:val="21"/>
        </w:rPr>
        <w:t>  </w:t>
      </w:r>
      <w:r>
        <w:rPr>
          <w:spacing w:val="-27"/>
          <w:sz w:val="21"/>
        </w:rPr>
        <w:t> </w:t>
      </w:r>
      <w:r>
        <w:rPr>
          <w:spacing w:val="-1"/>
          <w:w w:val="100"/>
          <w:sz w:val="21"/>
        </w:rPr>
        <w:t>un</w:t>
      </w:r>
      <w:r>
        <w:rPr>
          <w:spacing w:val="-2"/>
          <w:w w:val="100"/>
          <w:sz w:val="21"/>
        </w:rPr>
        <w:t>d</w:t>
      </w:r>
      <w:r>
        <w:rPr>
          <w:spacing w:val="-1"/>
          <w:w w:val="100"/>
          <w:sz w:val="21"/>
        </w:rPr>
        <w:t>e</w:t>
      </w:r>
      <w:r>
        <w:rPr>
          <w:w w:val="100"/>
          <w:sz w:val="21"/>
        </w:rPr>
        <w:t>r</w:t>
      </w:r>
      <w:r>
        <w:rPr>
          <w:sz w:val="21"/>
        </w:rPr>
        <w:t>  </w:t>
      </w:r>
      <w:r>
        <w:rPr>
          <w:spacing w:val="-28"/>
          <w:sz w:val="21"/>
        </w:rPr>
        <w:t> </w:t>
      </w:r>
      <w:r>
        <w:rPr>
          <w:spacing w:val="-2"/>
          <w:w w:val="100"/>
          <w:sz w:val="21"/>
        </w:rPr>
        <w:t>t</w:t>
      </w:r>
      <w:r>
        <w:rPr>
          <w:spacing w:val="-1"/>
          <w:w w:val="100"/>
          <w:sz w:val="21"/>
        </w:rPr>
        <w:t>h</w:t>
      </w:r>
      <w:r>
        <w:rPr>
          <w:w w:val="100"/>
          <w:sz w:val="21"/>
        </w:rPr>
        <w:t>e</w:t>
      </w:r>
      <w:r>
        <w:rPr>
          <w:sz w:val="21"/>
        </w:rPr>
        <w:t>  </w:t>
      </w:r>
      <w:r>
        <w:rPr>
          <w:spacing w:val="-27"/>
          <w:sz w:val="21"/>
        </w:rPr>
        <w:t> </w:t>
      </w:r>
      <w:r>
        <w:rPr>
          <w:spacing w:val="-1"/>
          <w:w w:val="100"/>
          <w:sz w:val="21"/>
        </w:rPr>
        <w:t>m</w:t>
      </w:r>
      <w:r>
        <w:rPr>
          <w:w w:val="100"/>
          <w:sz w:val="21"/>
        </w:rPr>
        <w:t>i</w:t>
      </w:r>
      <w:r>
        <w:rPr>
          <w:spacing w:val="-3"/>
          <w:w w:val="100"/>
          <w:sz w:val="21"/>
        </w:rPr>
        <w:t>d</w:t>
      </w:r>
      <w:r>
        <w:rPr>
          <w:spacing w:val="-1"/>
          <w:w w:val="100"/>
          <w:sz w:val="21"/>
        </w:rPr>
        <w:t>d</w:t>
      </w:r>
      <w:r>
        <w:rPr>
          <w:spacing w:val="1"/>
          <w:w w:val="100"/>
          <w:sz w:val="21"/>
        </w:rPr>
        <w:t>l</w:t>
      </w:r>
      <w:r>
        <w:rPr>
          <w:w w:val="100"/>
          <w:sz w:val="21"/>
        </w:rPr>
        <w:t>e</w:t>
      </w:r>
      <w:r>
        <w:rPr>
          <w:sz w:val="21"/>
        </w:rPr>
        <w:t>  </w:t>
      </w:r>
      <w:r>
        <w:rPr>
          <w:spacing w:val="-29"/>
          <w:sz w:val="21"/>
        </w:rPr>
        <w:t> </w:t>
      </w:r>
      <w:r>
        <w:rPr>
          <w:w w:val="40"/>
          <w:sz w:val="21"/>
        </w:rPr>
        <w:t>‗</w:t>
      </w:r>
      <w:r>
        <w:rPr>
          <w:w w:val="100"/>
          <w:sz w:val="21"/>
        </w:rPr>
        <w:t>s</w:t>
      </w:r>
      <w:r>
        <w:rPr>
          <w:spacing w:val="-3"/>
          <w:w w:val="100"/>
          <w:sz w:val="21"/>
        </w:rPr>
        <w:t>h</w:t>
      </w:r>
      <w:r>
        <w:rPr>
          <w:spacing w:val="-2"/>
          <w:w w:val="100"/>
          <w:sz w:val="21"/>
        </w:rPr>
        <w:t>i</w:t>
      </w:r>
      <w:r>
        <w:rPr>
          <w:spacing w:val="2"/>
          <w:w w:val="100"/>
          <w:sz w:val="21"/>
        </w:rPr>
        <w:t>k</w:t>
      </w:r>
      <w:r>
        <w:rPr>
          <w:spacing w:val="-3"/>
          <w:w w:val="100"/>
          <w:sz w:val="21"/>
        </w:rPr>
        <w:t>h</w:t>
      </w:r>
      <w:r>
        <w:rPr>
          <w:spacing w:val="-1"/>
          <w:w w:val="100"/>
          <w:sz w:val="21"/>
        </w:rPr>
        <w:t>ar</w:t>
      </w:r>
      <w:r>
        <w:rPr>
          <w:w w:val="100"/>
          <w:sz w:val="21"/>
        </w:rPr>
        <w:t>‘</w:t>
      </w:r>
      <w:r>
        <w:rPr>
          <w:sz w:val="21"/>
        </w:rPr>
        <w:t>  </w:t>
      </w:r>
      <w:r>
        <w:rPr>
          <w:spacing w:val="-26"/>
          <w:sz w:val="21"/>
        </w:rPr>
        <w:t> </w:t>
      </w:r>
      <w:r>
        <w:rPr>
          <w:spacing w:val="-3"/>
          <w:w w:val="100"/>
          <w:sz w:val="21"/>
        </w:rPr>
        <w:t>a</w:t>
      </w:r>
      <w:r>
        <w:rPr>
          <w:spacing w:val="1"/>
          <w:w w:val="100"/>
          <w:sz w:val="21"/>
        </w:rPr>
        <w:t>f</w:t>
      </w:r>
      <w:r>
        <w:rPr>
          <w:spacing w:val="-2"/>
          <w:w w:val="100"/>
          <w:sz w:val="21"/>
        </w:rPr>
        <w:t>t</w:t>
      </w:r>
      <w:r>
        <w:rPr>
          <w:spacing w:val="-3"/>
          <w:w w:val="100"/>
          <w:sz w:val="21"/>
        </w:rPr>
        <w:t>e</w:t>
      </w:r>
      <w:r>
        <w:rPr>
          <w:w w:val="100"/>
          <w:sz w:val="21"/>
        </w:rPr>
        <w:t>r</w:t>
      </w:r>
      <w:r>
        <w:rPr>
          <w:sz w:val="21"/>
        </w:rPr>
        <w:t>  </w:t>
      </w:r>
      <w:r>
        <w:rPr>
          <w:spacing w:val="-27"/>
          <w:sz w:val="21"/>
        </w:rPr>
        <w:t> </w:t>
      </w:r>
      <w:r>
        <w:rPr>
          <w:w w:val="100"/>
          <w:sz w:val="21"/>
        </w:rPr>
        <w:t>R</w:t>
      </w:r>
      <w:r>
        <w:rPr>
          <w:spacing w:val="-3"/>
          <w:w w:val="100"/>
          <w:sz w:val="21"/>
        </w:rPr>
        <w:t>a</w:t>
      </w:r>
      <w:r>
        <w:rPr>
          <w:w w:val="100"/>
          <w:sz w:val="21"/>
        </w:rPr>
        <w:t>m </w:t>
      </w:r>
      <w:r>
        <w:rPr>
          <w:sz w:val="21"/>
        </w:rPr>
        <w:t>Chabutra. Besides, I used to have darshan of the statues </w:t>
      </w:r>
      <w:r>
        <w:rPr>
          <w:spacing w:val="-1"/>
          <w:w w:val="100"/>
          <w:sz w:val="21"/>
        </w:rPr>
        <w:t>engra</w:t>
      </w:r>
      <w:r>
        <w:rPr>
          <w:spacing w:val="-3"/>
          <w:w w:val="100"/>
          <w:sz w:val="21"/>
        </w:rPr>
        <w:t>v</w:t>
      </w:r>
      <w:r>
        <w:rPr>
          <w:spacing w:val="-1"/>
          <w:w w:val="100"/>
          <w:sz w:val="21"/>
        </w:rPr>
        <w:t>e</w:t>
      </w:r>
      <w:r>
        <w:rPr>
          <w:w w:val="100"/>
          <w:sz w:val="21"/>
        </w:rPr>
        <w:t>d</w:t>
      </w:r>
      <w:r>
        <w:rPr>
          <w:spacing w:val="-1"/>
          <w:sz w:val="21"/>
        </w:rPr>
        <w:t> </w:t>
      </w:r>
      <w:r>
        <w:rPr>
          <w:spacing w:val="-1"/>
          <w:w w:val="100"/>
          <w:sz w:val="21"/>
        </w:rPr>
        <w:t>o</w:t>
      </w:r>
      <w:r>
        <w:rPr>
          <w:w w:val="100"/>
          <w:sz w:val="21"/>
        </w:rPr>
        <w:t>n</w:t>
      </w:r>
      <w:r>
        <w:rPr>
          <w:spacing w:val="-1"/>
          <w:sz w:val="21"/>
        </w:rPr>
        <w:t> </w:t>
      </w:r>
      <w:r>
        <w:rPr>
          <w:spacing w:val="-2"/>
          <w:w w:val="100"/>
          <w:sz w:val="21"/>
        </w:rPr>
        <w:t>t</w:t>
      </w:r>
      <w:r>
        <w:rPr>
          <w:spacing w:val="-1"/>
          <w:w w:val="100"/>
          <w:sz w:val="21"/>
        </w:rPr>
        <w:t>h</w:t>
      </w:r>
      <w:r>
        <w:rPr>
          <w:w w:val="100"/>
          <w:sz w:val="21"/>
        </w:rPr>
        <w:t>e</w:t>
      </w:r>
      <w:r>
        <w:rPr>
          <w:spacing w:val="-3"/>
          <w:sz w:val="21"/>
        </w:rPr>
        <w:t> </w:t>
      </w:r>
      <w:r>
        <w:rPr>
          <w:spacing w:val="-1"/>
          <w:w w:val="100"/>
          <w:sz w:val="21"/>
        </w:rPr>
        <w:t>p</w:t>
      </w:r>
      <w:r>
        <w:rPr>
          <w:spacing w:val="-2"/>
          <w:w w:val="100"/>
          <w:sz w:val="21"/>
        </w:rPr>
        <w:t>i</w:t>
      </w:r>
      <w:r>
        <w:rPr>
          <w:w w:val="100"/>
          <w:sz w:val="21"/>
        </w:rPr>
        <w:t>l</w:t>
      </w:r>
      <w:r>
        <w:rPr>
          <w:spacing w:val="-2"/>
          <w:w w:val="100"/>
          <w:sz w:val="21"/>
        </w:rPr>
        <w:t>l</w:t>
      </w:r>
      <w:r>
        <w:rPr>
          <w:spacing w:val="-1"/>
          <w:w w:val="100"/>
          <w:sz w:val="21"/>
        </w:rPr>
        <w:t>ar</w:t>
      </w:r>
      <w:r>
        <w:rPr>
          <w:w w:val="100"/>
          <w:sz w:val="21"/>
        </w:rPr>
        <w:t>s</w:t>
      </w:r>
      <w:r>
        <w:rPr>
          <w:spacing w:val="-2"/>
          <w:sz w:val="21"/>
        </w:rPr>
        <w:t> </w:t>
      </w:r>
      <w:r>
        <w:rPr>
          <w:spacing w:val="-1"/>
          <w:w w:val="100"/>
          <w:sz w:val="21"/>
        </w:rPr>
        <w:t>a</w:t>
      </w:r>
      <w:r>
        <w:rPr>
          <w:spacing w:val="-3"/>
          <w:w w:val="100"/>
          <w:sz w:val="21"/>
        </w:rPr>
        <w:t>n</w:t>
      </w:r>
      <w:r>
        <w:rPr>
          <w:w w:val="100"/>
          <w:sz w:val="21"/>
        </w:rPr>
        <w:t>d</w:t>
      </w:r>
      <w:r>
        <w:rPr>
          <w:spacing w:val="-1"/>
          <w:sz w:val="21"/>
        </w:rPr>
        <w:t> </w:t>
      </w:r>
      <w:r>
        <w:rPr>
          <w:spacing w:val="-1"/>
          <w:w w:val="100"/>
          <w:sz w:val="21"/>
        </w:rPr>
        <w:t>of</w:t>
      </w:r>
      <w:r>
        <w:rPr>
          <w:spacing w:val="1"/>
          <w:w w:val="100"/>
          <w:sz w:val="21"/>
        </w:rPr>
        <w:t>f</w:t>
      </w:r>
      <w:r>
        <w:rPr>
          <w:spacing w:val="-1"/>
          <w:w w:val="100"/>
          <w:sz w:val="21"/>
        </w:rPr>
        <w:t>e</w:t>
      </w:r>
      <w:r>
        <w:rPr>
          <w:w w:val="100"/>
          <w:sz w:val="21"/>
        </w:rPr>
        <w:t>r</w:t>
      </w:r>
      <w:r>
        <w:rPr>
          <w:spacing w:val="-2"/>
          <w:sz w:val="21"/>
        </w:rPr>
        <w:t> </w:t>
      </w:r>
      <w:r>
        <w:rPr>
          <w:w w:val="40"/>
          <w:sz w:val="21"/>
        </w:rPr>
        <w:t>‗</w:t>
      </w:r>
      <w:r>
        <w:rPr>
          <w:spacing w:val="-2"/>
          <w:w w:val="100"/>
          <w:sz w:val="21"/>
        </w:rPr>
        <w:t>t</w:t>
      </w:r>
      <w:r>
        <w:rPr>
          <w:spacing w:val="-3"/>
          <w:w w:val="100"/>
          <w:sz w:val="21"/>
        </w:rPr>
        <w:t>u</w:t>
      </w:r>
      <w:r>
        <w:rPr>
          <w:w w:val="100"/>
          <w:sz w:val="21"/>
        </w:rPr>
        <w:t>l</w:t>
      </w:r>
      <w:r>
        <w:rPr>
          <w:spacing w:val="-3"/>
          <w:w w:val="100"/>
          <w:sz w:val="21"/>
        </w:rPr>
        <w:t>s</w:t>
      </w:r>
      <w:r>
        <w:rPr>
          <w:w w:val="100"/>
          <w:sz w:val="21"/>
        </w:rPr>
        <w:t>i‘</w:t>
      </w:r>
      <w:r>
        <w:rPr>
          <w:sz w:val="21"/>
        </w:rPr>
        <w:t> </w:t>
      </w:r>
      <w:r>
        <w:rPr>
          <w:spacing w:val="-2"/>
          <w:w w:val="100"/>
          <w:sz w:val="21"/>
        </w:rPr>
        <w:t>l</w:t>
      </w:r>
      <w:r>
        <w:rPr>
          <w:spacing w:val="-1"/>
          <w:w w:val="100"/>
          <w:sz w:val="21"/>
        </w:rPr>
        <w:t>ea</w:t>
      </w:r>
      <w:r>
        <w:rPr>
          <w:spacing w:val="-3"/>
          <w:w w:val="100"/>
          <w:sz w:val="21"/>
        </w:rPr>
        <w:t>v</w:t>
      </w:r>
      <w:r>
        <w:rPr>
          <w:spacing w:val="-1"/>
          <w:w w:val="100"/>
          <w:sz w:val="21"/>
        </w:rPr>
        <w:t>es.</w:t>
      </w:r>
      <w:r>
        <w:rPr>
          <w:w w:val="81"/>
          <w:sz w:val="21"/>
        </w:rPr>
        <w:t>‖</w:t>
      </w:r>
    </w:p>
    <w:p>
      <w:pPr>
        <w:pStyle w:val="BodyText"/>
        <w:rPr>
          <w:sz w:val="24"/>
        </w:rPr>
      </w:pPr>
    </w:p>
    <w:p>
      <w:pPr>
        <w:pStyle w:val="BodyText"/>
        <w:spacing w:before="3"/>
      </w:pPr>
    </w:p>
    <w:p>
      <w:pPr>
        <w:pStyle w:val="BodyText"/>
        <w:ind w:left="500"/>
        <w:jc w:val="both"/>
      </w:pPr>
      <w:r>
        <w:rPr/>
        <w:t>The witness made a distinction between ‗Garbh Grih‘ and the outer platform:</w:t>
      </w:r>
    </w:p>
    <w:p>
      <w:pPr>
        <w:pStyle w:val="BodyText"/>
      </w:pPr>
    </w:p>
    <w:p>
      <w:pPr>
        <w:spacing w:line="276" w:lineRule="auto" w:before="0"/>
        <w:ind w:left="1940" w:right="2264" w:firstLine="0"/>
        <w:jc w:val="both"/>
        <w:rPr>
          <w:sz w:val="21"/>
        </w:rPr>
      </w:pPr>
      <w:r>
        <w:rPr>
          <w:spacing w:val="-1"/>
          <w:w w:val="33"/>
          <w:sz w:val="21"/>
        </w:rPr>
        <w:t>―</w:t>
      </w:r>
      <w:r>
        <w:rPr>
          <w:spacing w:val="-2"/>
          <w:w w:val="100"/>
          <w:sz w:val="21"/>
        </w:rPr>
        <w:t>Q</w:t>
      </w:r>
      <w:r>
        <w:rPr>
          <w:spacing w:val="-1"/>
          <w:w w:val="100"/>
          <w:sz w:val="21"/>
        </w:rPr>
        <w:t>uest</w:t>
      </w:r>
      <w:r>
        <w:rPr>
          <w:w w:val="100"/>
          <w:sz w:val="21"/>
        </w:rPr>
        <w:t>i</w:t>
      </w:r>
      <w:r>
        <w:rPr>
          <w:spacing w:val="-3"/>
          <w:w w:val="100"/>
          <w:sz w:val="21"/>
        </w:rPr>
        <w:t>o</w:t>
      </w:r>
      <w:r>
        <w:rPr>
          <w:w w:val="100"/>
          <w:sz w:val="21"/>
        </w:rPr>
        <w:t>n</w:t>
      </w:r>
      <w:r>
        <w:rPr>
          <w:spacing w:val="20"/>
          <w:sz w:val="21"/>
        </w:rPr>
        <w:t> </w:t>
      </w:r>
      <w:r>
        <w:rPr>
          <w:w w:val="100"/>
          <w:sz w:val="21"/>
        </w:rPr>
        <w:t>:-</w:t>
      </w:r>
      <w:r>
        <w:rPr>
          <w:spacing w:val="20"/>
          <w:sz w:val="21"/>
        </w:rPr>
        <w:t> </w:t>
      </w:r>
      <w:r>
        <w:rPr>
          <w:spacing w:val="-2"/>
          <w:w w:val="100"/>
          <w:sz w:val="21"/>
        </w:rPr>
        <w:t>I</w:t>
      </w:r>
      <w:r>
        <w:rPr>
          <w:w w:val="100"/>
          <w:sz w:val="21"/>
        </w:rPr>
        <w:t>n</w:t>
      </w:r>
      <w:r>
        <w:rPr>
          <w:spacing w:val="20"/>
          <w:sz w:val="21"/>
        </w:rPr>
        <w:t> </w:t>
      </w:r>
      <w:r>
        <w:rPr>
          <w:w w:val="100"/>
          <w:sz w:val="21"/>
        </w:rPr>
        <w:t>add</w:t>
      </w:r>
      <w:r>
        <w:rPr>
          <w:spacing w:val="1"/>
          <w:w w:val="100"/>
          <w:sz w:val="21"/>
        </w:rPr>
        <w:t>i</w:t>
      </w:r>
      <w:r>
        <w:rPr>
          <w:spacing w:val="-2"/>
          <w:w w:val="100"/>
          <w:sz w:val="21"/>
        </w:rPr>
        <w:t>t</w:t>
      </w:r>
      <w:r>
        <w:rPr>
          <w:spacing w:val="-2"/>
          <w:w w:val="100"/>
          <w:sz w:val="21"/>
        </w:rPr>
        <w:t>i</w:t>
      </w:r>
      <w:r>
        <w:rPr>
          <w:w w:val="100"/>
          <w:sz w:val="21"/>
        </w:rPr>
        <w:t>on</w:t>
      </w:r>
      <w:r>
        <w:rPr>
          <w:spacing w:val="21"/>
          <w:sz w:val="21"/>
        </w:rPr>
        <w:t> </w:t>
      </w:r>
      <w:r>
        <w:rPr>
          <w:spacing w:val="-3"/>
          <w:w w:val="100"/>
          <w:sz w:val="21"/>
        </w:rPr>
        <w:t>o</w:t>
      </w:r>
      <w:r>
        <w:rPr>
          <w:w w:val="100"/>
          <w:sz w:val="21"/>
        </w:rPr>
        <w:t>f</w:t>
      </w:r>
      <w:r>
        <w:rPr>
          <w:spacing w:val="19"/>
          <w:sz w:val="21"/>
        </w:rPr>
        <w:t> </w:t>
      </w:r>
      <w:r>
        <w:rPr>
          <w:w w:val="100"/>
          <w:sz w:val="21"/>
        </w:rPr>
        <w:t>d</w:t>
      </w:r>
      <w:r>
        <w:rPr>
          <w:spacing w:val="1"/>
          <w:w w:val="100"/>
          <w:sz w:val="21"/>
        </w:rPr>
        <w:t>i</w:t>
      </w:r>
      <w:r>
        <w:rPr>
          <w:w w:val="100"/>
          <w:sz w:val="21"/>
        </w:rPr>
        <w:t>s</w:t>
      </w:r>
      <w:r>
        <w:rPr>
          <w:spacing w:val="-3"/>
          <w:w w:val="100"/>
          <w:sz w:val="21"/>
        </w:rPr>
        <w:t>p</w:t>
      </w:r>
      <w:r>
        <w:rPr>
          <w:w w:val="100"/>
          <w:sz w:val="21"/>
        </w:rPr>
        <w:t>u</w:t>
      </w:r>
      <w:r>
        <w:rPr>
          <w:spacing w:val="-1"/>
          <w:w w:val="100"/>
          <w:sz w:val="21"/>
        </w:rPr>
        <w:t>t</w:t>
      </w:r>
      <w:r>
        <w:rPr>
          <w:w w:val="100"/>
          <w:sz w:val="21"/>
        </w:rPr>
        <w:t>ed</w:t>
      </w:r>
      <w:r>
        <w:rPr>
          <w:spacing w:val="21"/>
          <w:sz w:val="21"/>
        </w:rPr>
        <w:t> </w:t>
      </w:r>
      <w:r>
        <w:rPr>
          <w:w w:val="100"/>
          <w:sz w:val="21"/>
        </w:rPr>
        <w:t>b</w:t>
      </w:r>
      <w:r>
        <w:rPr>
          <w:spacing w:val="-3"/>
          <w:w w:val="100"/>
          <w:sz w:val="21"/>
        </w:rPr>
        <w:t>u</w:t>
      </w:r>
      <w:r>
        <w:rPr>
          <w:spacing w:val="-2"/>
          <w:w w:val="100"/>
          <w:sz w:val="21"/>
        </w:rPr>
        <w:t>i</w:t>
      </w:r>
      <w:r>
        <w:rPr>
          <w:w w:val="100"/>
          <w:sz w:val="21"/>
        </w:rPr>
        <w:t>l</w:t>
      </w:r>
      <w:r>
        <w:rPr>
          <w:w w:val="100"/>
          <w:sz w:val="21"/>
        </w:rPr>
        <w:t>d</w:t>
      </w:r>
      <w:r>
        <w:rPr>
          <w:spacing w:val="-2"/>
          <w:w w:val="100"/>
          <w:sz w:val="21"/>
        </w:rPr>
        <w:t>i</w:t>
      </w:r>
      <w:r>
        <w:rPr>
          <w:w w:val="100"/>
          <w:sz w:val="21"/>
        </w:rPr>
        <w:t>ng</w:t>
      </w:r>
      <w:r>
        <w:rPr>
          <w:spacing w:val="21"/>
          <w:sz w:val="21"/>
        </w:rPr>
        <w:t> </w:t>
      </w:r>
      <w:r>
        <w:rPr>
          <w:spacing w:val="-3"/>
          <w:w w:val="100"/>
          <w:sz w:val="21"/>
        </w:rPr>
        <w:t>a</w:t>
      </w:r>
      <w:r>
        <w:rPr>
          <w:w w:val="100"/>
          <w:sz w:val="21"/>
        </w:rPr>
        <w:t>nd</w:t>
      </w:r>
      <w:r>
        <w:rPr>
          <w:spacing w:val="21"/>
          <w:sz w:val="21"/>
        </w:rPr>
        <w:t> </w:t>
      </w:r>
      <w:r>
        <w:rPr>
          <w:spacing w:val="-2"/>
          <w:w w:val="100"/>
          <w:sz w:val="21"/>
        </w:rPr>
        <w:t>t</w:t>
      </w:r>
      <w:r>
        <w:rPr>
          <w:spacing w:val="-3"/>
          <w:w w:val="100"/>
          <w:sz w:val="21"/>
        </w:rPr>
        <w:t>h</w:t>
      </w:r>
      <w:r>
        <w:rPr>
          <w:w w:val="100"/>
          <w:sz w:val="21"/>
        </w:rPr>
        <w:t>e</w:t>
      </w:r>
      <w:r>
        <w:rPr>
          <w:spacing w:val="20"/>
          <w:sz w:val="21"/>
        </w:rPr>
        <w:t> </w:t>
      </w:r>
      <w:r>
        <w:rPr>
          <w:w w:val="100"/>
          <w:sz w:val="21"/>
        </w:rPr>
        <w:t>p</w:t>
      </w:r>
      <w:r>
        <w:rPr>
          <w:spacing w:val="1"/>
          <w:w w:val="100"/>
          <w:sz w:val="21"/>
        </w:rPr>
        <w:t>l</w:t>
      </w:r>
      <w:r>
        <w:rPr>
          <w:w w:val="100"/>
          <w:sz w:val="21"/>
        </w:rPr>
        <w:t>a</w:t>
      </w:r>
      <w:r>
        <w:rPr>
          <w:spacing w:val="-4"/>
          <w:w w:val="100"/>
          <w:sz w:val="21"/>
        </w:rPr>
        <w:t>t</w:t>
      </w:r>
      <w:r>
        <w:rPr>
          <w:spacing w:val="1"/>
          <w:w w:val="100"/>
          <w:sz w:val="21"/>
        </w:rPr>
        <w:t>f</w:t>
      </w:r>
      <w:r>
        <w:rPr>
          <w:w w:val="100"/>
          <w:sz w:val="21"/>
        </w:rPr>
        <w:t>o</w:t>
      </w:r>
      <w:r>
        <w:rPr>
          <w:spacing w:val="-3"/>
          <w:w w:val="100"/>
          <w:sz w:val="21"/>
        </w:rPr>
        <w:t>r</w:t>
      </w:r>
      <w:r>
        <w:rPr>
          <w:w w:val="100"/>
          <w:sz w:val="21"/>
        </w:rPr>
        <w:t>m </w:t>
      </w:r>
      <w:r>
        <w:rPr>
          <w:spacing w:val="-1"/>
          <w:w w:val="100"/>
          <w:sz w:val="21"/>
        </w:rPr>
        <w:t>out</w:t>
      </w:r>
      <w:r>
        <w:rPr>
          <w:w w:val="100"/>
          <w:sz w:val="21"/>
        </w:rPr>
        <w:t>si</w:t>
      </w:r>
      <w:r>
        <w:rPr>
          <w:spacing w:val="-3"/>
          <w:w w:val="100"/>
          <w:sz w:val="21"/>
        </w:rPr>
        <w:t>d</w:t>
      </w:r>
      <w:r>
        <w:rPr>
          <w:w w:val="100"/>
          <w:sz w:val="21"/>
        </w:rPr>
        <w:t>e</w:t>
      </w:r>
      <w:r>
        <w:rPr>
          <w:sz w:val="21"/>
        </w:rPr>
        <w:t> </w:t>
      </w:r>
      <w:r>
        <w:rPr>
          <w:spacing w:val="-29"/>
          <w:sz w:val="21"/>
        </w:rPr>
        <w:t> </w:t>
      </w:r>
      <w:r>
        <w:rPr>
          <w:w w:val="100"/>
          <w:sz w:val="21"/>
        </w:rPr>
        <w:t>i</w:t>
      </w:r>
      <w:r>
        <w:rPr>
          <w:spacing w:val="-2"/>
          <w:w w:val="100"/>
          <w:sz w:val="21"/>
        </w:rPr>
        <w:t>t</w:t>
      </w:r>
      <w:r>
        <w:rPr>
          <w:w w:val="100"/>
          <w:sz w:val="21"/>
        </w:rPr>
        <w:t>,</w:t>
      </w:r>
      <w:r>
        <w:rPr>
          <w:spacing w:val="29"/>
          <w:sz w:val="21"/>
        </w:rPr>
        <w:t> </w:t>
      </w:r>
      <w:r>
        <w:rPr>
          <w:spacing w:val="-1"/>
          <w:w w:val="100"/>
          <w:sz w:val="21"/>
        </w:rPr>
        <w:t>d</w:t>
      </w:r>
      <w:r>
        <w:rPr>
          <w:w w:val="100"/>
          <w:sz w:val="21"/>
        </w:rPr>
        <w:t>o</w:t>
      </w:r>
      <w:r>
        <w:rPr>
          <w:sz w:val="21"/>
        </w:rPr>
        <w:t> </w:t>
      </w:r>
      <w:r>
        <w:rPr>
          <w:spacing w:val="-28"/>
          <w:sz w:val="21"/>
        </w:rPr>
        <w:t> </w:t>
      </w:r>
      <w:r>
        <w:rPr>
          <w:spacing w:val="-3"/>
          <w:w w:val="100"/>
          <w:sz w:val="21"/>
        </w:rPr>
        <w:t>y</w:t>
      </w:r>
      <w:r>
        <w:rPr>
          <w:spacing w:val="-1"/>
          <w:w w:val="100"/>
          <w:sz w:val="21"/>
        </w:rPr>
        <w:t>o</w:t>
      </w:r>
      <w:r>
        <w:rPr>
          <w:w w:val="100"/>
          <w:sz w:val="21"/>
        </w:rPr>
        <w:t>u</w:t>
      </w:r>
      <w:r>
        <w:rPr>
          <w:sz w:val="21"/>
        </w:rPr>
        <w:t> </w:t>
      </w:r>
      <w:r>
        <w:rPr>
          <w:spacing w:val="-28"/>
          <w:sz w:val="21"/>
        </w:rPr>
        <w:t> </w:t>
      </w:r>
      <w:r>
        <w:rPr>
          <w:w w:val="100"/>
          <w:sz w:val="21"/>
        </w:rPr>
        <w:t>con</w:t>
      </w:r>
      <w:r>
        <w:rPr>
          <w:spacing w:val="-3"/>
          <w:w w:val="100"/>
          <w:sz w:val="21"/>
        </w:rPr>
        <w:t>s</w:t>
      </w:r>
      <w:r>
        <w:rPr>
          <w:w w:val="100"/>
          <w:sz w:val="21"/>
        </w:rPr>
        <w:t>i</w:t>
      </w:r>
      <w:r>
        <w:rPr>
          <w:spacing w:val="-3"/>
          <w:w w:val="100"/>
          <w:sz w:val="21"/>
        </w:rPr>
        <w:t>d</w:t>
      </w:r>
      <w:r>
        <w:rPr>
          <w:spacing w:val="-1"/>
          <w:w w:val="100"/>
          <w:sz w:val="21"/>
        </w:rPr>
        <w:t>e</w:t>
      </w:r>
      <w:r>
        <w:rPr>
          <w:w w:val="100"/>
          <w:sz w:val="21"/>
        </w:rPr>
        <w:t>r</w:t>
      </w:r>
      <w:r>
        <w:rPr>
          <w:sz w:val="21"/>
        </w:rPr>
        <w:t> </w:t>
      </w:r>
      <w:r>
        <w:rPr>
          <w:spacing w:val="-29"/>
          <w:sz w:val="21"/>
        </w:rPr>
        <w:t> </w:t>
      </w:r>
      <w:r>
        <w:rPr>
          <w:spacing w:val="-2"/>
          <w:w w:val="100"/>
          <w:sz w:val="21"/>
        </w:rPr>
        <w:t>t</w:t>
      </w:r>
      <w:r>
        <w:rPr>
          <w:spacing w:val="-1"/>
          <w:w w:val="100"/>
          <w:sz w:val="21"/>
        </w:rPr>
        <w:t>h</w:t>
      </w:r>
      <w:r>
        <w:rPr>
          <w:w w:val="100"/>
          <w:sz w:val="21"/>
        </w:rPr>
        <w:t>e</w:t>
      </w:r>
      <w:r>
        <w:rPr>
          <w:sz w:val="21"/>
        </w:rPr>
        <w:t> </w:t>
      </w:r>
      <w:r>
        <w:rPr>
          <w:spacing w:val="-28"/>
          <w:sz w:val="21"/>
        </w:rPr>
        <w:t> </w:t>
      </w:r>
      <w:r>
        <w:rPr>
          <w:w w:val="100"/>
          <w:sz w:val="21"/>
        </w:rPr>
        <w:t>l</w:t>
      </w:r>
      <w:r>
        <w:rPr>
          <w:spacing w:val="-1"/>
          <w:w w:val="100"/>
          <w:sz w:val="21"/>
        </w:rPr>
        <w:t>an</w:t>
      </w:r>
      <w:r>
        <w:rPr>
          <w:w w:val="100"/>
          <w:sz w:val="21"/>
        </w:rPr>
        <w:t>d</w:t>
      </w:r>
      <w:r>
        <w:rPr>
          <w:spacing w:val="28"/>
          <w:sz w:val="21"/>
        </w:rPr>
        <w:t> </w:t>
      </w:r>
      <w:r>
        <w:rPr>
          <w:spacing w:val="-1"/>
          <w:w w:val="100"/>
          <w:sz w:val="21"/>
        </w:rPr>
        <w:t>adjac</w:t>
      </w:r>
      <w:r>
        <w:rPr>
          <w:spacing w:val="-3"/>
          <w:w w:val="100"/>
          <w:sz w:val="21"/>
        </w:rPr>
        <w:t>e</w:t>
      </w:r>
      <w:r>
        <w:rPr>
          <w:spacing w:val="-1"/>
          <w:w w:val="100"/>
          <w:sz w:val="21"/>
        </w:rPr>
        <w:t>n</w:t>
      </w:r>
      <w:r>
        <w:rPr>
          <w:w w:val="100"/>
          <w:sz w:val="21"/>
        </w:rPr>
        <w:t>t</w:t>
      </w:r>
      <w:r>
        <w:rPr>
          <w:sz w:val="21"/>
        </w:rPr>
        <w:t> </w:t>
      </w:r>
      <w:r>
        <w:rPr>
          <w:spacing w:val="-30"/>
          <w:sz w:val="21"/>
        </w:rPr>
        <w:t> </w:t>
      </w:r>
      <w:r>
        <w:rPr>
          <w:spacing w:val="-2"/>
          <w:w w:val="100"/>
          <w:sz w:val="21"/>
        </w:rPr>
        <w:t>t</w:t>
      </w:r>
      <w:r>
        <w:rPr>
          <w:w w:val="100"/>
          <w:sz w:val="21"/>
        </w:rPr>
        <w:t>o</w:t>
      </w:r>
      <w:r>
        <w:rPr>
          <w:sz w:val="21"/>
        </w:rPr>
        <w:t> </w:t>
      </w:r>
      <w:r>
        <w:rPr>
          <w:spacing w:val="-29"/>
          <w:sz w:val="21"/>
        </w:rPr>
        <w:t> </w:t>
      </w:r>
      <w:r>
        <w:rPr>
          <w:w w:val="100"/>
          <w:sz w:val="21"/>
        </w:rPr>
        <w:t>it</w:t>
      </w:r>
      <w:r>
        <w:rPr>
          <w:spacing w:val="29"/>
          <w:sz w:val="21"/>
        </w:rPr>
        <w:t> </w:t>
      </w:r>
      <w:r>
        <w:rPr>
          <w:spacing w:val="-1"/>
          <w:w w:val="100"/>
          <w:sz w:val="21"/>
        </w:rPr>
        <w:t>a</w:t>
      </w:r>
      <w:r>
        <w:rPr>
          <w:w w:val="100"/>
          <w:sz w:val="21"/>
        </w:rPr>
        <w:t>s</w:t>
      </w:r>
      <w:r>
        <w:rPr>
          <w:sz w:val="21"/>
        </w:rPr>
        <w:t> </w:t>
      </w:r>
      <w:r>
        <w:rPr>
          <w:spacing w:val="-29"/>
          <w:sz w:val="21"/>
        </w:rPr>
        <w:t> </w:t>
      </w:r>
      <w:r>
        <w:rPr>
          <w:w w:val="40"/>
          <w:sz w:val="21"/>
        </w:rPr>
        <w:t>‗</w:t>
      </w:r>
      <w:r>
        <w:rPr>
          <w:spacing w:val="-1"/>
          <w:w w:val="100"/>
          <w:sz w:val="21"/>
        </w:rPr>
        <w:t>gar</w:t>
      </w:r>
      <w:r>
        <w:rPr>
          <w:spacing w:val="-3"/>
          <w:w w:val="100"/>
          <w:sz w:val="21"/>
        </w:rPr>
        <w:t>b</w:t>
      </w:r>
      <w:r>
        <w:rPr>
          <w:w w:val="100"/>
          <w:sz w:val="21"/>
        </w:rPr>
        <w:t>h </w:t>
      </w:r>
      <w:r>
        <w:rPr>
          <w:sz w:val="21"/>
        </w:rPr>
        <w:t>griha‘. By other platform, I mean the platform outside the disputed</w:t>
      </w:r>
      <w:r>
        <w:rPr>
          <w:spacing w:val="-2"/>
          <w:sz w:val="21"/>
        </w:rPr>
        <w:t> </w:t>
      </w:r>
      <w:r>
        <w:rPr>
          <w:sz w:val="21"/>
        </w:rPr>
        <w:t>building.</w:t>
      </w:r>
    </w:p>
    <w:p>
      <w:pPr>
        <w:spacing w:line="276" w:lineRule="auto" w:before="1"/>
        <w:ind w:left="1940" w:right="2261" w:firstLine="0"/>
        <w:jc w:val="both"/>
        <w:rPr>
          <w:sz w:val="21"/>
        </w:rPr>
      </w:pPr>
      <w:r>
        <w:rPr>
          <w:w w:val="100"/>
          <w:sz w:val="21"/>
        </w:rPr>
        <w:t>A</w:t>
      </w:r>
      <w:r>
        <w:rPr>
          <w:w w:val="100"/>
          <w:sz w:val="21"/>
        </w:rPr>
        <w:t>ns</w:t>
      </w:r>
      <w:r>
        <w:rPr>
          <w:spacing w:val="-2"/>
          <w:w w:val="100"/>
          <w:sz w:val="21"/>
        </w:rPr>
        <w:t>w</w:t>
      </w:r>
      <w:r>
        <w:rPr>
          <w:w w:val="100"/>
          <w:sz w:val="21"/>
        </w:rPr>
        <w:t>er</w:t>
      </w:r>
      <w:r>
        <w:rPr>
          <w:sz w:val="21"/>
        </w:rPr>
        <w:t> </w:t>
      </w:r>
      <w:r>
        <w:rPr>
          <w:spacing w:val="-5"/>
          <w:sz w:val="21"/>
        </w:rPr>
        <w:t> </w:t>
      </w:r>
      <w:r>
        <w:rPr>
          <w:spacing w:val="-1"/>
          <w:w w:val="100"/>
          <w:sz w:val="21"/>
        </w:rPr>
        <w:t>:</w:t>
      </w:r>
      <w:r>
        <w:rPr>
          <w:w w:val="100"/>
          <w:sz w:val="21"/>
        </w:rPr>
        <w:t>-</w:t>
      </w:r>
      <w:r>
        <w:rPr>
          <w:sz w:val="21"/>
        </w:rPr>
        <w:t> </w:t>
      </w:r>
      <w:r>
        <w:rPr>
          <w:spacing w:val="-5"/>
          <w:sz w:val="21"/>
        </w:rPr>
        <w:t> </w:t>
      </w:r>
      <w:r>
        <w:rPr>
          <w:w w:val="40"/>
          <w:sz w:val="21"/>
        </w:rPr>
        <w:t>‗</w:t>
      </w:r>
      <w:r>
        <w:rPr>
          <w:spacing w:val="-4"/>
          <w:w w:val="100"/>
          <w:sz w:val="21"/>
        </w:rPr>
        <w:t>G</w:t>
      </w:r>
      <w:r>
        <w:rPr>
          <w:spacing w:val="-1"/>
          <w:w w:val="100"/>
          <w:sz w:val="21"/>
        </w:rPr>
        <w:t>arb</w:t>
      </w:r>
      <w:r>
        <w:rPr>
          <w:w w:val="100"/>
          <w:sz w:val="21"/>
        </w:rPr>
        <w:t>h</w:t>
      </w:r>
      <w:r>
        <w:rPr>
          <w:sz w:val="21"/>
        </w:rPr>
        <w:t> </w:t>
      </w:r>
      <w:r>
        <w:rPr>
          <w:spacing w:val="-5"/>
          <w:sz w:val="21"/>
        </w:rPr>
        <w:t> </w:t>
      </w:r>
      <w:r>
        <w:rPr>
          <w:spacing w:val="-2"/>
          <w:w w:val="100"/>
          <w:sz w:val="21"/>
        </w:rPr>
        <w:t>G</w:t>
      </w:r>
      <w:r>
        <w:rPr>
          <w:spacing w:val="-4"/>
          <w:w w:val="100"/>
          <w:sz w:val="21"/>
        </w:rPr>
        <w:t>r</w:t>
      </w:r>
      <w:r>
        <w:rPr>
          <w:w w:val="100"/>
          <w:sz w:val="21"/>
        </w:rPr>
        <w:t>i</w:t>
      </w:r>
      <w:r>
        <w:rPr>
          <w:spacing w:val="-1"/>
          <w:w w:val="100"/>
          <w:sz w:val="21"/>
        </w:rPr>
        <w:t>h</w:t>
      </w:r>
      <w:r>
        <w:rPr>
          <w:spacing w:val="-3"/>
          <w:w w:val="100"/>
          <w:sz w:val="21"/>
        </w:rPr>
        <w:t>a</w:t>
      </w:r>
      <w:r>
        <w:rPr>
          <w:w w:val="100"/>
          <w:sz w:val="21"/>
        </w:rPr>
        <w:t>‘</w:t>
      </w:r>
      <w:r>
        <w:rPr>
          <w:sz w:val="21"/>
        </w:rPr>
        <w:t> </w:t>
      </w:r>
      <w:r>
        <w:rPr>
          <w:spacing w:val="-6"/>
          <w:sz w:val="21"/>
        </w:rPr>
        <w:t> </w:t>
      </w:r>
      <w:r>
        <w:rPr>
          <w:w w:val="100"/>
          <w:sz w:val="21"/>
        </w:rPr>
        <w:t>is</w:t>
      </w:r>
      <w:r>
        <w:rPr>
          <w:sz w:val="21"/>
        </w:rPr>
        <w:t> </w:t>
      </w:r>
      <w:r>
        <w:rPr>
          <w:spacing w:val="-5"/>
          <w:sz w:val="21"/>
        </w:rPr>
        <w:t> </w:t>
      </w:r>
      <w:r>
        <w:rPr>
          <w:spacing w:val="-2"/>
          <w:w w:val="100"/>
          <w:sz w:val="21"/>
        </w:rPr>
        <w:t>t</w:t>
      </w:r>
      <w:r>
        <w:rPr>
          <w:spacing w:val="-1"/>
          <w:w w:val="100"/>
          <w:sz w:val="21"/>
        </w:rPr>
        <w:t>h</w:t>
      </w:r>
      <w:r>
        <w:rPr>
          <w:w w:val="100"/>
          <w:sz w:val="21"/>
        </w:rPr>
        <w:t>e</w:t>
      </w:r>
      <w:r>
        <w:rPr>
          <w:sz w:val="21"/>
        </w:rPr>
        <w:t> </w:t>
      </w:r>
      <w:r>
        <w:rPr>
          <w:spacing w:val="-7"/>
          <w:sz w:val="21"/>
        </w:rPr>
        <w:t> </w:t>
      </w:r>
      <w:r>
        <w:rPr>
          <w:spacing w:val="-1"/>
          <w:w w:val="100"/>
          <w:sz w:val="21"/>
        </w:rPr>
        <w:t>p</w:t>
      </w:r>
      <w:r>
        <w:rPr>
          <w:spacing w:val="-2"/>
          <w:w w:val="100"/>
          <w:sz w:val="21"/>
        </w:rPr>
        <w:t>l</w:t>
      </w:r>
      <w:r>
        <w:rPr>
          <w:spacing w:val="-1"/>
          <w:w w:val="100"/>
          <w:sz w:val="21"/>
        </w:rPr>
        <w:t>ace</w:t>
      </w:r>
      <w:r>
        <w:rPr>
          <w:w w:val="100"/>
          <w:sz w:val="21"/>
        </w:rPr>
        <w:t>,</w:t>
      </w:r>
      <w:r>
        <w:rPr>
          <w:sz w:val="21"/>
        </w:rPr>
        <w:t> </w:t>
      </w:r>
      <w:r>
        <w:rPr>
          <w:spacing w:val="-5"/>
          <w:sz w:val="21"/>
        </w:rPr>
        <w:t> </w:t>
      </w:r>
      <w:r>
        <w:rPr>
          <w:spacing w:val="-2"/>
          <w:w w:val="100"/>
          <w:sz w:val="21"/>
        </w:rPr>
        <w:t>w</w:t>
      </w:r>
      <w:r>
        <w:rPr>
          <w:spacing w:val="-1"/>
          <w:w w:val="100"/>
          <w:sz w:val="21"/>
        </w:rPr>
        <w:t>her</w:t>
      </w:r>
      <w:r>
        <w:rPr>
          <w:w w:val="100"/>
          <w:sz w:val="21"/>
        </w:rPr>
        <w:t>e</w:t>
      </w:r>
      <w:r>
        <w:rPr>
          <w:sz w:val="21"/>
        </w:rPr>
        <w:t> </w:t>
      </w:r>
      <w:r>
        <w:rPr>
          <w:spacing w:val="-4"/>
          <w:sz w:val="21"/>
        </w:rPr>
        <w:t> </w:t>
      </w:r>
      <w:r>
        <w:rPr>
          <w:spacing w:val="-2"/>
          <w:w w:val="100"/>
          <w:sz w:val="21"/>
        </w:rPr>
        <w:t>R</w:t>
      </w:r>
      <w:r>
        <w:rPr>
          <w:spacing w:val="-3"/>
          <w:w w:val="100"/>
          <w:sz w:val="21"/>
        </w:rPr>
        <w:t>a</w:t>
      </w:r>
      <w:r>
        <w:rPr>
          <w:w w:val="100"/>
          <w:sz w:val="21"/>
        </w:rPr>
        <w:t>m</w:t>
      </w:r>
      <w:r>
        <w:rPr>
          <w:sz w:val="21"/>
        </w:rPr>
        <w:t> </w:t>
      </w:r>
      <w:r>
        <w:rPr>
          <w:spacing w:val="-5"/>
          <w:sz w:val="21"/>
        </w:rPr>
        <w:t> </w:t>
      </w:r>
      <w:r>
        <w:rPr>
          <w:w w:val="100"/>
          <w:sz w:val="21"/>
        </w:rPr>
        <w:t>La</w:t>
      </w:r>
      <w:r>
        <w:rPr>
          <w:spacing w:val="-1"/>
          <w:w w:val="100"/>
          <w:sz w:val="21"/>
        </w:rPr>
        <w:t>l</w:t>
      </w:r>
      <w:r>
        <w:rPr>
          <w:w w:val="100"/>
          <w:sz w:val="21"/>
        </w:rPr>
        <w:t>l</w:t>
      </w:r>
      <w:r>
        <w:rPr>
          <w:w w:val="100"/>
          <w:sz w:val="21"/>
        </w:rPr>
        <w:t>a</w:t>
      </w:r>
      <w:r>
        <w:rPr>
          <w:sz w:val="21"/>
        </w:rPr>
        <w:t> </w:t>
      </w:r>
      <w:r>
        <w:rPr>
          <w:spacing w:val="-7"/>
          <w:sz w:val="21"/>
        </w:rPr>
        <w:t> </w:t>
      </w:r>
      <w:r>
        <w:rPr>
          <w:w w:val="100"/>
          <w:sz w:val="21"/>
        </w:rPr>
        <w:t>i</w:t>
      </w:r>
      <w:r>
        <w:rPr>
          <w:w w:val="100"/>
          <w:sz w:val="21"/>
        </w:rPr>
        <w:t>s </w:t>
      </w:r>
      <w:r>
        <w:rPr>
          <w:sz w:val="21"/>
        </w:rPr>
        <w:t>seated (Virajman) at present. Outer platform is outside the disputed</w:t>
      </w:r>
      <w:r>
        <w:rPr>
          <w:spacing w:val="-2"/>
          <w:sz w:val="21"/>
        </w:rPr>
        <w:t> </w:t>
      </w:r>
      <w:r>
        <w:rPr>
          <w:sz w:val="21"/>
        </w:rPr>
        <w:t>place.‖</w:t>
      </w:r>
    </w:p>
    <w:p>
      <w:pPr>
        <w:pStyle w:val="BodyText"/>
        <w:spacing w:before="1"/>
      </w:pPr>
    </w:p>
    <w:p>
      <w:pPr>
        <w:pStyle w:val="BodyText"/>
        <w:spacing w:line="480" w:lineRule="auto"/>
        <w:ind w:left="500" w:right="435"/>
        <w:jc w:val="both"/>
      </w:pPr>
      <w:r>
        <w:rPr/>
        <w:t>According to the witness, the ‗Garbh Grih‘ represented the birth-place of Lord Ram and this was the place where on 23 December 1949, the idol was installed after removing it from the Chabutra:</w:t>
      </w:r>
    </w:p>
    <w:p>
      <w:pPr>
        <w:spacing w:line="276" w:lineRule="auto" w:before="0"/>
        <w:ind w:left="1940" w:right="2262" w:firstLine="0"/>
        <w:jc w:val="both"/>
        <w:rPr>
          <w:sz w:val="21"/>
        </w:rPr>
      </w:pPr>
      <w:r>
        <w:rPr>
          <w:w w:val="33"/>
          <w:sz w:val="21"/>
        </w:rPr>
        <w:t>―</w:t>
      </w:r>
      <w:r>
        <w:rPr>
          <w:w w:val="100"/>
          <w:sz w:val="21"/>
        </w:rPr>
        <w:t>The</w:t>
      </w:r>
      <w:r>
        <w:rPr>
          <w:sz w:val="21"/>
        </w:rPr>
        <w:t> </w:t>
      </w:r>
      <w:r>
        <w:rPr>
          <w:w w:val="100"/>
          <w:sz w:val="21"/>
        </w:rPr>
        <w:t>place,</w:t>
      </w:r>
      <w:r>
        <w:rPr>
          <w:sz w:val="21"/>
        </w:rPr>
        <w:t> </w:t>
      </w:r>
      <w:r>
        <w:rPr>
          <w:w w:val="100"/>
          <w:sz w:val="21"/>
        </w:rPr>
        <w:t>which</w:t>
      </w:r>
      <w:r>
        <w:rPr>
          <w:sz w:val="21"/>
        </w:rPr>
        <w:t> </w:t>
      </w:r>
      <w:r>
        <w:rPr>
          <w:w w:val="100"/>
          <w:sz w:val="21"/>
        </w:rPr>
        <w:t>I</w:t>
      </w:r>
      <w:r>
        <w:rPr>
          <w:sz w:val="21"/>
        </w:rPr>
        <w:t> </w:t>
      </w:r>
      <w:r>
        <w:rPr>
          <w:w w:val="100"/>
          <w:sz w:val="21"/>
        </w:rPr>
        <w:t>describe</w:t>
      </w:r>
      <w:r>
        <w:rPr>
          <w:sz w:val="21"/>
        </w:rPr>
        <w:t> </w:t>
      </w:r>
      <w:r>
        <w:rPr>
          <w:w w:val="100"/>
          <w:sz w:val="21"/>
        </w:rPr>
        <w:t>as</w:t>
      </w:r>
      <w:r>
        <w:rPr>
          <w:sz w:val="21"/>
        </w:rPr>
        <w:t> </w:t>
      </w:r>
      <w:r>
        <w:rPr>
          <w:w w:val="40"/>
          <w:sz w:val="21"/>
        </w:rPr>
        <w:t>‗</w:t>
      </w:r>
      <w:r>
        <w:rPr>
          <w:w w:val="100"/>
          <w:sz w:val="21"/>
        </w:rPr>
        <w:t>garbh</w:t>
      </w:r>
      <w:r>
        <w:rPr>
          <w:sz w:val="21"/>
        </w:rPr>
        <w:t> </w:t>
      </w:r>
      <w:r>
        <w:rPr>
          <w:w w:val="100"/>
          <w:sz w:val="21"/>
        </w:rPr>
        <w:t>griha‘,</w:t>
      </w:r>
      <w:r>
        <w:rPr>
          <w:sz w:val="21"/>
        </w:rPr>
        <w:t> </w:t>
      </w:r>
      <w:r>
        <w:rPr>
          <w:w w:val="100"/>
          <w:sz w:val="21"/>
        </w:rPr>
        <w:t>is</w:t>
      </w:r>
      <w:r>
        <w:rPr>
          <w:sz w:val="21"/>
        </w:rPr>
        <w:t> </w:t>
      </w:r>
      <w:r>
        <w:rPr>
          <w:w w:val="100"/>
          <w:sz w:val="21"/>
        </w:rPr>
        <w:t>according</w:t>
      </w:r>
      <w:r>
        <w:rPr>
          <w:sz w:val="21"/>
        </w:rPr>
        <w:t> </w:t>
      </w:r>
      <w:r>
        <w:rPr>
          <w:w w:val="100"/>
          <w:sz w:val="21"/>
        </w:rPr>
        <w:t>to </w:t>
      </w:r>
      <w:r>
        <w:rPr>
          <w:sz w:val="21"/>
        </w:rPr>
        <w:t>my belief and according to the belief of all Hindus, birth place of Ram Chandra ji. I consider that place, where on 23</w:t>
      </w:r>
      <w:r>
        <w:rPr>
          <w:sz w:val="21"/>
          <w:vertAlign w:val="superscript"/>
        </w:rPr>
        <w:t>rd</w:t>
      </w:r>
      <w:r>
        <w:rPr>
          <w:sz w:val="21"/>
          <w:vertAlign w:val="baseline"/>
        </w:rPr>
        <w:t> December 1949 idol was installed after removing it from the chabutara, as birth place and I used to consider that place as birth place before installation of the idol there.</w:t>
      </w:r>
    </w:p>
    <w:p>
      <w:pPr>
        <w:pStyle w:val="BodyText"/>
        <w:rPr>
          <w:sz w:val="24"/>
        </w:rPr>
      </w:pPr>
    </w:p>
    <w:p>
      <w:pPr>
        <w:spacing w:line="276" w:lineRule="auto" w:before="0"/>
        <w:ind w:left="1940" w:right="2260" w:firstLine="0"/>
        <w:jc w:val="both"/>
        <w:rPr>
          <w:sz w:val="21"/>
        </w:rPr>
      </w:pPr>
      <w:r>
        <w:rPr>
          <w:sz w:val="21"/>
        </w:rPr>
        <w:t>Question :- Can that place, which you describe as birth place according to your belief, be 10-15 hands away on either side of the middle dome place?</w:t>
      </w:r>
    </w:p>
    <w:p>
      <w:pPr>
        <w:pStyle w:val="BodyText"/>
        <w:spacing w:before="2"/>
        <w:rPr>
          <w:sz w:val="24"/>
        </w:rPr>
      </w:pPr>
    </w:p>
    <w:p>
      <w:pPr>
        <w:spacing w:line="276" w:lineRule="auto" w:before="0"/>
        <w:ind w:left="1940" w:right="2261" w:firstLine="0"/>
        <w:jc w:val="both"/>
        <w:rPr>
          <w:sz w:val="21"/>
        </w:rPr>
      </w:pPr>
      <w:r>
        <w:rPr>
          <w:sz w:val="21"/>
        </w:rPr>
        <w:t>Answer:- No. The place where the idol is placed, is an authentic place and the whole Hindu community believes in that very place. There is no scope of any doubt. There cannot be a distance of even two – four feet in the location of this place.</w:t>
      </w:r>
    </w:p>
    <w:p>
      <w:pPr>
        <w:spacing w:after="0" w:line="276" w:lineRule="auto"/>
        <w:jc w:val="both"/>
        <w:rPr>
          <w:sz w:val="21"/>
        </w:rPr>
        <w:sectPr>
          <w:pgSz w:w="11910" w:h="16840"/>
          <w:pgMar w:header="721" w:footer="1014" w:top="1300" w:bottom="1200" w:left="940" w:right="1000"/>
        </w:sectPr>
      </w:pPr>
    </w:p>
    <w:p>
      <w:pPr>
        <w:spacing w:before="122"/>
        <w:ind w:left="1940" w:right="0" w:firstLine="0"/>
        <w:jc w:val="both"/>
        <w:rPr>
          <w:sz w:val="21"/>
        </w:rPr>
      </w:pPr>
      <w:r>
        <w:rPr>
          <w:sz w:val="21"/>
        </w:rPr>
        <w:t>The basis of this belief is that Hindus have been having</w:t>
      </w:r>
    </w:p>
    <w:p>
      <w:pPr>
        <w:spacing w:before="38"/>
        <w:ind w:left="1940" w:right="0" w:firstLine="0"/>
        <w:jc w:val="both"/>
        <w:rPr>
          <w:sz w:val="21"/>
        </w:rPr>
      </w:pPr>
      <w:r>
        <w:rPr>
          <w:w w:val="40"/>
          <w:sz w:val="21"/>
        </w:rPr>
        <w:t>‗</w:t>
      </w:r>
      <w:r>
        <w:rPr>
          <w:spacing w:val="-1"/>
          <w:w w:val="100"/>
          <w:sz w:val="21"/>
        </w:rPr>
        <w:t>dar</w:t>
      </w:r>
      <w:r>
        <w:rPr>
          <w:spacing w:val="-3"/>
          <w:w w:val="100"/>
          <w:sz w:val="21"/>
        </w:rPr>
        <w:t>s</w:t>
      </w:r>
      <w:r>
        <w:rPr>
          <w:spacing w:val="-1"/>
          <w:w w:val="100"/>
          <w:sz w:val="21"/>
        </w:rPr>
        <w:t>ha</w:t>
      </w:r>
      <w:r>
        <w:rPr>
          <w:spacing w:val="-2"/>
          <w:w w:val="100"/>
          <w:sz w:val="21"/>
        </w:rPr>
        <w:t>n</w:t>
      </w:r>
      <w:r>
        <w:rPr>
          <w:w w:val="100"/>
          <w:sz w:val="21"/>
        </w:rPr>
        <w:t>‘</w:t>
      </w:r>
      <w:r>
        <w:rPr>
          <w:sz w:val="21"/>
        </w:rPr>
        <w:t> </w:t>
      </w:r>
      <w:r>
        <w:rPr>
          <w:spacing w:val="-3"/>
          <w:w w:val="100"/>
          <w:sz w:val="21"/>
        </w:rPr>
        <w:t>o</w:t>
      </w:r>
      <w:r>
        <w:rPr>
          <w:w w:val="100"/>
          <w:sz w:val="21"/>
        </w:rPr>
        <w:t>f</w:t>
      </w:r>
      <w:r>
        <w:rPr>
          <w:sz w:val="21"/>
        </w:rPr>
        <w:t> </w:t>
      </w:r>
      <w:r>
        <w:rPr>
          <w:spacing w:val="-2"/>
          <w:w w:val="100"/>
          <w:sz w:val="21"/>
        </w:rPr>
        <w:t>t</w:t>
      </w:r>
      <w:r>
        <w:rPr>
          <w:spacing w:val="-1"/>
          <w:w w:val="100"/>
          <w:sz w:val="21"/>
        </w:rPr>
        <w:t>h</w:t>
      </w:r>
      <w:r>
        <w:rPr>
          <w:spacing w:val="1"/>
          <w:w w:val="100"/>
          <w:sz w:val="21"/>
        </w:rPr>
        <w:t>i</w:t>
      </w:r>
      <w:r>
        <w:rPr>
          <w:w w:val="100"/>
          <w:sz w:val="21"/>
        </w:rPr>
        <w:t>s</w:t>
      </w:r>
      <w:r>
        <w:rPr>
          <w:spacing w:val="-1"/>
          <w:sz w:val="21"/>
        </w:rPr>
        <w:t> </w:t>
      </w:r>
      <w:r>
        <w:rPr>
          <w:spacing w:val="-3"/>
          <w:w w:val="100"/>
          <w:sz w:val="21"/>
        </w:rPr>
        <w:t>p</w:t>
      </w:r>
      <w:r>
        <w:rPr>
          <w:w w:val="100"/>
          <w:sz w:val="21"/>
        </w:rPr>
        <w:t>l</w:t>
      </w:r>
      <w:r>
        <w:rPr>
          <w:spacing w:val="-1"/>
          <w:w w:val="100"/>
          <w:sz w:val="21"/>
        </w:rPr>
        <w:t>a</w:t>
      </w:r>
      <w:r>
        <w:rPr>
          <w:spacing w:val="-3"/>
          <w:w w:val="100"/>
          <w:sz w:val="21"/>
        </w:rPr>
        <w:t>c</w:t>
      </w:r>
      <w:r>
        <w:rPr>
          <w:w w:val="100"/>
          <w:sz w:val="21"/>
        </w:rPr>
        <w:t>e</w:t>
      </w:r>
      <w:r>
        <w:rPr>
          <w:spacing w:val="-1"/>
          <w:sz w:val="21"/>
        </w:rPr>
        <w:t> </w:t>
      </w:r>
      <w:r>
        <w:rPr>
          <w:spacing w:val="-1"/>
          <w:w w:val="100"/>
          <w:sz w:val="21"/>
        </w:rPr>
        <w:t>a</w:t>
      </w:r>
      <w:r>
        <w:rPr>
          <w:w w:val="100"/>
          <w:sz w:val="21"/>
        </w:rPr>
        <w:t>s</w:t>
      </w:r>
      <w:r>
        <w:rPr>
          <w:spacing w:val="-4"/>
          <w:sz w:val="21"/>
        </w:rPr>
        <w:t> </w:t>
      </w:r>
      <w:r>
        <w:rPr>
          <w:w w:val="100"/>
          <w:sz w:val="21"/>
        </w:rPr>
        <w:t>Jan</w:t>
      </w:r>
      <w:r>
        <w:rPr>
          <w:spacing w:val="-2"/>
          <w:w w:val="100"/>
          <w:sz w:val="21"/>
        </w:rPr>
        <w:t>a</w:t>
      </w:r>
      <w:r>
        <w:rPr>
          <w:spacing w:val="-1"/>
          <w:w w:val="100"/>
          <w:sz w:val="21"/>
        </w:rPr>
        <w:t>mbh</w:t>
      </w:r>
      <w:r>
        <w:rPr>
          <w:spacing w:val="-2"/>
          <w:w w:val="100"/>
          <w:sz w:val="21"/>
        </w:rPr>
        <w:t>u</w:t>
      </w:r>
      <w:r>
        <w:rPr>
          <w:spacing w:val="-1"/>
          <w:w w:val="100"/>
          <w:sz w:val="21"/>
        </w:rPr>
        <w:t>m</w:t>
      </w:r>
      <w:r>
        <w:rPr>
          <w:w w:val="100"/>
          <w:sz w:val="21"/>
        </w:rPr>
        <w:t>i</w:t>
      </w:r>
      <w:r>
        <w:rPr>
          <w:sz w:val="21"/>
        </w:rPr>
        <w:t> </w:t>
      </w:r>
      <w:r>
        <w:rPr>
          <w:spacing w:val="-3"/>
          <w:w w:val="100"/>
          <w:sz w:val="21"/>
        </w:rPr>
        <w:t>s</w:t>
      </w:r>
      <w:r>
        <w:rPr>
          <w:w w:val="100"/>
          <w:sz w:val="21"/>
        </w:rPr>
        <w:t>i</w:t>
      </w:r>
      <w:r>
        <w:rPr>
          <w:spacing w:val="-1"/>
          <w:w w:val="100"/>
          <w:sz w:val="21"/>
        </w:rPr>
        <w:t>nc</w:t>
      </w:r>
      <w:r>
        <w:rPr>
          <w:w w:val="100"/>
          <w:sz w:val="21"/>
        </w:rPr>
        <w:t>e</w:t>
      </w:r>
      <w:r>
        <w:rPr>
          <w:spacing w:val="-1"/>
          <w:sz w:val="21"/>
        </w:rPr>
        <w:t> </w:t>
      </w:r>
      <w:r>
        <w:rPr>
          <w:spacing w:val="-3"/>
          <w:w w:val="100"/>
          <w:sz w:val="21"/>
        </w:rPr>
        <w:t>c</w:t>
      </w:r>
      <w:r>
        <w:rPr>
          <w:spacing w:val="-1"/>
          <w:w w:val="100"/>
          <w:sz w:val="21"/>
        </w:rPr>
        <w:t>entur</w:t>
      </w:r>
      <w:r>
        <w:rPr>
          <w:spacing w:val="-2"/>
          <w:w w:val="100"/>
          <w:sz w:val="21"/>
        </w:rPr>
        <w:t>i</w:t>
      </w:r>
      <w:r>
        <w:rPr>
          <w:spacing w:val="-1"/>
          <w:w w:val="100"/>
          <w:sz w:val="21"/>
        </w:rPr>
        <w:t>es.</w:t>
      </w:r>
      <w:r>
        <w:rPr>
          <w:w w:val="81"/>
          <w:sz w:val="21"/>
        </w:rPr>
        <w:t>‖</w:t>
      </w:r>
    </w:p>
    <w:p>
      <w:pPr>
        <w:pStyle w:val="BodyText"/>
        <w:rPr>
          <w:sz w:val="24"/>
        </w:rPr>
      </w:pPr>
    </w:p>
    <w:p>
      <w:pPr>
        <w:pStyle w:val="BodyText"/>
        <w:spacing w:before="2"/>
        <w:rPr>
          <w:sz w:val="21"/>
        </w:rPr>
      </w:pPr>
    </w:p>
    <w:p>
      <w:pPr>
        <w:pStyle w:val="BodyText"/>
        <w:spacing w:line="480" w:lineRule="auto"/>
        <w:ind w:left="500" w:right="441"/>
        <w:jc w:val="both"/>
      </w:pPr>
      <w:r>
        <w:rPr/>
        <w:t>Though an effort was made to elicit from the witness an answer to whether the birth-place could be situated at a short distance away from the middle dome, he specifically answered that question in the negative. The features which stand out from the evidence of OPW-1 are as follows:</w:t>
      </w:r>
    </w:p>
    <w:p>
      <w:pPr>
        <w:pStyle w:val="ListParagraph"/>
        <w:numPr>
          <w:ilvl w:val="0"/>
          <w:numId w:val="171"/>
        </w:numPr>
        <w:tabs>
          <w:tab w:pos="1221" w:val="left" w:leader="none"/>
        </w:tabs>
        <w:spacing w:line="480" w:lineRule="auto" w:before="161" w:after="0"/>
        <w:ind w:left="1220" w:right="448" w:hanging="720"/>
        <w:jc w:val="both"/>
        <w:rPr>
          <w:sz w:val="25"/>
        </w:rPr>
      </w:pPr>
      <w:r>
        <w:rPr>
          <w:sz w:val="25"/>
        </w:rPr>
        <w:t>The witness was in Ayodhya since the age of 14 or 15 spanning over three quarters of a</w:t>
      </w:r>
      <w:r>
        <w:rPr>
          <w:spacing w:val="-2"/>
          <w:sz w:val="25"/>
        </w:rPr>
        <w:t> </w:t>
      </w:r>
      <w:r>
        <w:rPr>
          <w:sz w:val="25"/>
        </w:rPr>
        <w:t>century;</w:t>
      </w:r>
    </w:p>
    <w:p>
      <w:pPr>
        <w:pStyle w:val="ListParagraph"/>
        <w:numPr>
          <w:ilvl w:val="0"/>
          <w:numId w:val="171"/>
        </w:numPr>
        <w:tabs>
          <w:tab w:pos="1221" w:val="left" w:leader="none"/>
        </w:tabs>
        <w:spacing w:line="480" w:lineRule="auto" w:before="0" w:after="0"/>
        <w:ind w:left="1220" w:right="444" w:hanging="720"/>
        <w:jc w:val="both"/>
        <w:rPr>
          <w:sz w:val="25"/>
        </w:rPr>
      </w:pPr>
      <w:r>
        <w:rPr>
          <w:sz w:val="25"/>
        </w:rPr>
        <w:t>The witness spoke of his faith and belief that the ‗Garbh Grih‘ under the middle dome represented the place where Lord Ram was</w:t>
      </w:r>
      <w:r>
        <w:rPr>
          <w:spacing w:val="-11"/>
          <w:sz w:val="25"/>
        </w:rPr>
        <w:t> </w:t>
      </w:r>
      <w:r>
        <w:rPr>
          <w:sz w:val="25"/>
        </w:rPr>
        <w:t>born;</w:t>
      </w:r>
    </w:p>
    <w:p>
      <w:pPr>
        <w:pStyle w:val="ListParagraph"/>
        <w:numPr>
          <w:ilvl w:val="0"/>
          <w:numId w:val="171"/>
        </w:numPr>
        <w:tabs>
          <w:tab w:pos="1220" w:val="left" w:leader="none"/>
          <w:tab w:pos="1221" w:val="left" w:leader="none"/>
        </w:tabs>
        <w:spacing w:line="287" w:lineRule="exact" w:before="0" w:after="0"/>
        <w:ind w:left="1220" w:right="0" w:hanging="721"/>
        <w:jc w:val="left"/>
        <w:rPr>
          <w:sz w:val="25"/>
        </w:rPr>
      </w:pPr>
      <w:r>
        <w:rPr>
          <w:sz w:val="25"/>
        </w:rPr>
        <w:t>The witness spoke of the offer of worship by</w:t>
      </w:r>
      <w:r>
        <w:rPr>
          <w:spacing w:val="-9"/>
          <w:sz w:val="25"/>
        </w:rPr>
        <w:t> </w:t>
      </w:r>
      <w:r>
        <w:rPr>
          <w:sz w:val="25"/>
        </w:rPr>
        <w:t>devotees;</w:t>
      </w:r>
    </w:p>
    <w:p>
      <w:pPr>
        <w:pStyle w:val="BodyText"/>
        <w:spacing w:before="10"/>
        <w:rPr>
          <w:sz w:val="24"/>
        </w:rPr>
      </w:pPr>
    </w:p>
    <w:p>
      <w:pPr>
        <w:pStyle w:val="ListParagraph"/>
        <w:numPr>
          <w:ilvl w:val="0"/>
          <w:numId w:val="171"/>
        </w:numPr>
        <w:tabs>
          <w:tab w:pos="1220" w:val="left" w:leader="none"/>
          <w:tab w:pos="1221" w:val="left" w:leader="none"/>
        </w:tabs>
        <w:spacing w:line="240" w:lineRule="auto" w:before="0" w:after="0"/>
        <w:ind w:left="1220" w:right="0" w:hanging="721"/>
        <w:jc w:val="left"/>
        <w:rPr>
          <w:sz w:val="25"/>
        </w:rPr>
      </w:pPr>
      <w:r>
        <w:rPr>
          <w:sz w:val="25"/>
        </w:rPr>
        <w:t>The presence of the iron railing was accepted;</w:t>
      </w:r>
      <w:r>
        <w:rPr>
          <w:spacing w:val="-5"/>
          <w:sz w:val="25"/>
        </w:rPr>
        <w:t> </w:t>
      </w:r>
      <w:r>
        <w:rPr>
          <w:sz w:val="25"/>
        </w:rPr>
        <w:t>and</w:t>
      </w:r>
    </w:p>
    <w:p>
      <w:pPr>
        <w:pStyle w:val="BodyText"/>
        <w:spacing w:before="1"/>
      </w:pPr>
    </w:p>
    <w:p>
      <w:pPr>
        <w:pStyle w:val="ListParagraph"/>
        <w:numPr>
          <w:ilvl w:val="0"/>
          <w:numId w:val="171"/>
        </w:numPr>
        <w:tabs>
          <w:tab w:pos="1220" w:val="left" w:leader="none"/>
          <w:tab w:pos="1221" w:val="left" w:leader="none"/>
        </w:tabs>
        <w:spacing w:line="240" w:lineRule="auto" w:before="0" w:after="0"/>
        <w:ind w:left="1220" w:right="0" w:hanging="721"/>
        <w:jc w:val="left"/>
        <w:rPr>
          <w:sz w:val="25"/>
        </w:rPr>
      </w:pPr>
      <w:r>
        <w:rPr>
          <w:sz w:val="25"/>
        </w:rPr>
        <w:t>The witness alluded to the shifting of the idols on 22/23 December</w:t>
      </w:r>
      <w:r>
        <w:rPr>
          <w:spacing w:val="-13"/>
          <w:sz w:val="25"/>
        </w:rPr>
        <w:t> </w:t>
      </w:r>
      <w:r>
        <w:rPr>
          <w:sz w:val="25"/>
        </w:rPr>
        <w:t>1949.</w:t>
      </w:r>
    </w:p>
    <w:p>
      <w:pPr>
        <w:pStyle w:val="BodyText"/>
        <w:rPr>
          <w:sz w:val="28"/>
        </w:rPr>
      </w:pPr>
    </w:p>
    <w:p>
      <w:pPr>
        <w:pStyle w:val="BodyText"/>
        <w:spacing w:before="6"/>
        <w:rPr>
          <w:sz w:val="39"/>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Dr Rajeev Dhavan, learned Senior Counsel appearing on behalf of the Sunni Central Waqf Board, has sought to draw the attention of this Court to certain contradictions which were elucidated in the course of the cross- examination which have been catalogued</w:t>
      </w:r>
      <w:r>
        <w:rPr>
          <w:spacing w:val="-4"/>
          <w:sz w:val="25"/>
        </w:rPr>
        <w:t> </w:t>
      </w:r>
      <w:r>
        <w:rPr>
          <w:sz w:val="25"/>
        </w:rPr>
        <w:t>below:</w:t>
      </w:r>
    </w:p>
    <w:p>
      <w:pPr>
        <w:spacing w:line="276" w:lineRule="auto" w:before="160"/>
        <w:ind w:left="1940" w:right="2266" w:firstLine="0"/>
        <w:jc w:val="both"/>
        <w:rPr>
          <w:sz w:val="21"/>
        </w:rPr>
      </w:pPr>
      <w:r>
        <w:rPr>
          <w:w w:val="33"/>
          <w:sz w:val="21"/>
        </w:rPr>
        <w:t>―</w:t>
      </w:r>
      <w:r>
        <w:rPr>
          <w:w w:val="100"/>
          <w:sz w:val="21"/>
        </w:rPr>
        <w:t>a)</w:t>
      </w:r>
      <w:r>
        <w:rPr>
          <w:sz w:val="21"/>
        </w:rPr>
        <w:t>        </w:t>
      </w:r>
      <w:r>
        <w:rPr>
          <w:w w:val="100"/>
          <w:sz w:val="21"/>
        </w:rPr>
        <w:t>O</w:t>
      </w:r>
      <w:r>
        <w:rPr>
          <w:w w:val="100"/>
          <w:sz w:val="21"/>
        </w:rPr>
        <w:t>n</w:t>
      </w:r>
      <w:r>
        <w:rPr>
          <w:sz w:val="21"/>
        </w:rPr>
        <w:t>  </w:t>
      </w:r>
      <w:r>
        <w:rPr>
          <w:w w:val="100"/>
          <w:sz w:val="21"/>
        </w:rPr>
        <w:t>Dece</w:t>
      </w:r>
      <w:r>
        <w:rPr>
          <w:w w:val="100"/>
          <w:sz w:val="21"/>
        </w:rPr>
        <w:t>m</w:t>
      </w:r>
      <w:r>
        <w:rPr>
          <w:w w:val="100"/>
          <w:sz w:val="21"/>
        </w:rPr>
        <w:t>ber</w:t>
      </w:r>
      <w:r>
        <w:rPr>
          <w:sz w:val="21"/>
        </w:rPr>
        <w:t>  </w:t>
      </w:r>
      <w:r>
        <w:rPr>
          <w:w w:val="100"/>
          <w:sz w:val="21"/>
        </w:rPr>
        <w:t>2</w:t>
      </w:r>
      <w:r>
        <w:rPr>
          <w:w w:val="100"/>
          <w:sz w:val="21"/>
        </w:rPr>
        <w:t>2/</w:t>
      </w:r>
      <w:r>
        <w:rPr>
          <w:w w:val="100"/>
          <w:sz w:val="21"/>
        </w:rPr>
        <w:t>23,</w:t>
      </w:r>
      <w:r>
        <w:rPr>
          <w:sz w:val="21"/>
        </w:rPr>
        <w:t>  </w:t>
      </w:r>
      <w:r>
        <w:rPr>
          <w:w w:val="100"/>
          <w:sz w:val="21"/>
        </w:rPr>
        <w:t>1</w:t>
      </w:r>
      <w:r>
        <w:rPr>
          <w:w w:val="100"/>
          <w:sz w:val="21"/>
        </w:rPr>
        <w:t>949,</w:t>
      </w:r>
      <w:r>
        <w:rPr>
          <w:sz w:val="21"/>
        </w:rPr>
        <w:t>  </w:t>
      </w:r>
      <w:r>
        <w:rPr>
          <w:w w:val="100"/>
          <w:sz w:val="21"/>
        </w:rPr>
        <w:t>an</w:t>
      </w:r>
      <w:r>
        <w:rPr>
          <w:sz w:val="21"/>
        </w:rPr>
        <w:t>  </w:t>
      </w:r>
      <w:r>
        <w:rPr>
          <w:w w:val="100"/>
          <w:sz w:val="21"/>
        </w:rPr>
        <w:t>i</w:t>
      </w:r>
      <w:r>
        <w:rPr>
          <w:w w:val="100"/>
          <w:sz w:val="21"/>
        </w:rPr>
        <w:t>d</w:t>
      </w:r>
      <w:r>
        <w:rPr>
          <w:w w:val="100"/>
          <w:sz w:val="21"/>
        </w:rPr>
        <w:t>ol</w:t>
      </w:r>
      <w:r>
        <w:rPr>
          <w:sz w:val="21"/>
        </w:rPr>
        <w:t>  </w:t>
      </w:r>
      <w:r>
        <w:rPr>
          <w:w w:val="100"/>
          <w:sz w:val="21"/>
        </w:rPr>
        <w:t>o</w:t>
      </w:r>
      <w:r>
        <w:rPr>
          <w:w w:val="100"/>
          <w:sz w:val="21"/>
        </w:rPr>
        <w:t>f</w:t>
      </w:r>
      <w:r>
        <w:rPr>
          <w:sz w:val="21"/>
        </w:rPr>
        <w:t>  </w:t>
      </w:r>
      <w:r>
        <w:rPr>
          <w:w w:val="100"/>
          <w:sz w:val="21"/>
        </w:rPr>
        <w:t>Lord</w:t>
      </w:r>
      <w:r>
        <w:rPr>
          <w:sz w:val="21"/>
        </w:rPr>
        <w:t>  </w:t>
      </w:r>
      <w:r>
        <w:rPr>
          <w:w w:val="100"/>
          <w:sz w:val="21"/>
        </w:rPr>
        <w:t>R</w:t>
      </w:r>
      <w:r>
        <w:rPr>
          <w:w w:val="100"/>
          <w:sz w:val="21"/>
        </w:rPr>
        <w:t>am </w:t>
      </w:r>
      <w:r>
        <w:rPr>
          <w:sz w:val="21"/>
        </w:rPr>
        <w:t>appeared in the early hours of the morning. After this miraculous development at the place, the idol installed on </w:t>
      </w:r>
      <w:r>
        <w:rPr>
          <w:w w:val="100"/>
          <w:sz w:val="21"/>
        </w:rPr>
        <w:t>Ra</w:t>
      </w:r>
      <w:r>
        <w:rPr>
          <w:w w:val="100"/>
          <w:sz w:val="21"/>
        </w:rPr>
        <w:t>m</w:t>
      </w:r>
      <w:r>
        <w:rPr>
          <w:sz w:val="21"/>
        </w:rPr>
        <w:t> </w:t>
      </w:r>
      <w:r>
        <w:rPr>
          <w:w w:val="100"/>
          <w:sz w:val="21"/>
        </w:rPr>
        <w:t>Cha</w:t>
      </w:r>
      <w:r>
        <w:rPr>
          <w:w w:val="100"/>
          <w:sz w:val="21"/>
        </w:rPr>
        <w:t>butr</w:t>
      </w:r>
      <w:r>
        <w:rPr>
          <w:w w:val="100"/>
          <w:sz w:val="21"/>
        </w:rPr>
        <w:t>a</w:t>
      </w:r>
      <w:r>
        <w:rPr>
          <w:sz w:val="21"/>
        </w:rPr>
        <w:t> </w:t>
      </w:r>
      <w:r>
        <w:rPr>
          <w:w w:val="100"/>
          <w:sz w:val="21"/>
        </w:rPr>
        <w:t>was</w:t>
      </w:r>
      <w:r>
        <w:rPr>
          <w:sz w:val="21"/>
        </w:rPr>
        <w:t> </w:t>
      </w:r>
      <w:r>
        <w:rPr>
          <w:w w:val="100"/>
          <w:sz w:val="21"/>
        </w:rPr>
        <w:t>r</w:t>
      </w:r>
      <w:r>
        <w:rPr>
          <w:w w:val="100"/>
          <w:sz w:val="21"/>
        </w:rPr>
        <w:t>e</w:t>
      </w:r>
      <w:r>
        <w:rPr>
          <w:w w:val="100"/>
          <w:sz w:val="21"/>
        </w:rPr>
        <w:t>m</w:t>
      </w:r>
      <w:r>
        <w:rPr>
          <w:w w:val="100"/>
          <w:sz w:val="21"/>
        </w:rPr>
        <w:t>ov</w:t>
      </w:r>
      <w:r>
        <w:rPr>
          <w:w w:val="100"/>
          <w:sz w:val="21"/>
        </w:rPr>
        <w:t>ed</w:t>
      </w:r>
      <w:r>
        <w:rPr>
          <w:sz w:val="21"/>
        </w:rPr>
        <w:t> </w:t>
      </w:r>
      <w:r>
        <w:rPr>
          <w:w w:val="100"/>
          <w:sz w:val="21"/>
        </w:rPr>
        <w:t>and</w:t>
      </w:r>
      <w:r>
        <w:rPr>
          <w:sz w:val="21"/>
        </w:rPr>
        <w:t> </w:t>
      </w:r>
      <w:r>
        <w:rPr>
          <w:w w:val="100"/>
          <w:sz w:val="21"/>
        </w:rPr>
        <w:t>shifted</w:t>
      </w:r>
      <w:r>
        <w:rPr>
          <w:sz w:val="21"/>
        </w:rPr>
        <w:t> </w:t>
      </w:r>
      <w:r>
        <w:rPr>
          <w:w w:val="100"/>
          <w:sz w:val="21"/>
        </w:rPr>
        <w:t>to</w:t>
      </w:r>
      <w:r>
        <w:rPr>
          <w:sz w:val="21"/>
        </w:rPr>
        <w:t> </w:t>
      </w:r>
      <w:r>
        <w:rPr>
          <w:w w:val="40"/>
          <w:sz w:val="21"/>
        </w:rPr>
        <w:t>‗</w:t>
      </w:r>
      <w:r>
        <w:rPr>
          <w:w w:val="100"/>
          <w:sz w:val="21"/>
        </w:rPr>
        <w:t>Garbh</w:t>
      </w:r>
      <w:r>
        <w:rPr>
          <w:sz w:val="21"/>
        </w:rPr>
        <w:t> </w:t>
      </w:r>
      <w:r>
        <w:rPr>
          <w:w w:val="100"/>
          <w:sz w:val="21"/>
        </w:rPr>
        <w:t>Grih‘.</w:t>
      </w:r>
    </w:p>
    <w:p>
      <w:pPr>
        <w:pStyle w:val="ListParagraph"/>
        <w:numPr>
          <w:ilvl w:val="0"/>
          <w:numId w:val="172"/>
        </w:numPr>
        <w:tabs>
          <w:tab w:pos="2661" w:val="left" w:leader="none"/>
        </w:tabs>
        <w:spacing w:line="276" w:lineRule="auto" w:before="0" w:after="0"/>
        <w:ind w:left="1940" w:right="2263" w:firstLine="0"/>
        <w:jc w:val="both"/>
        <w:rPr>
          <w:sz w:val="21"/>
        </w:rPr>
      </w:pPr>
      <w:r>
        <w:rPr>
          <w:sz w:val="21"/>
        </w:rPr>
        <w:t>Idol of only Ram Lalla was installed at Ramjanma Bhoomi... this statement is in contradiction of the statement made by several other witnesses who have stated that other idols were also</w:t>
      </w:r>
      <w:r>
        <w:rPr>
          <w:spacing w:val="-5"/>
          <w:sz w:val="21"/>
        </w:rPr>
        <w:t> </w:t>
      </w:r>
      <w:r>
        <w:rPr>
          <w:sz w:val="21"/>
        </w:rPr>
        <w:t>installed.</w:t>
      </w:r>
    </w:p>
    <w:p>
      <w:pPr>
        <w:pStyle w:val="ListParagraph"/>
        <w:numPr>
          <w:ilvl w:val="0"/>
          <w:numId w:val="172"/>
        </w:numPr>
        <w:tabs>
          <w:tab w:pos="2661" w:val="left" w:leader="none"/>
        </w:tabs>
        <w:spacing w:line="276" w:lineRule="auto" w:before="0" w:after="0"/>
        <w:ind w:left="1940" w:right="2263" w:firstLine="0"/>
        <w:jc w:val="both"/>
        <w:rPr>
          <w:sz w:val="21"/>
        </w:rPr>
      </w:pPr>
      <w:r>
        <w:rPr>
          <w:sz w:val="21"/>
        </w:rPr>
        <w:t>There was no idol of Ram Lalla below the top when it fell down. This shows that the demolition of the disputed structure</w:t>
      </w:r>
      <w:r>
        <w:rPr>
          <w:spacing w:val="21"/>
          <w:sz w:val="21"/>
        </w:rPr>
        <w:t> </w:t>
      </w:r>
      <w:r>
        <w:rPr>
          <w:sz w:val="21"/>
        </w:rPr>
        <w:t>which</w:t>
      </w:r>
      <w:r>
        <w:rPr>
          <w:spacing w:val="23"/>
          <w:sz w:val="21"/>
        </w:rPr>
        <w:t> </w:t>
      </w:r>
      <w:r>
        <w:rPr>
          <w:sz w:val="21"/>
        </w:rPr>
        <w:t>was</w:t>
      </w:r>
      <w:r>
        <w:rPr>
          <w:spacing w:val="23"/>
          <w:sz w:val="21"/>
        </w:rPr>
        <w:t> </w:t>
      </w:r>
      <w:r>
        <w:rPr>
          <w:sz w:val="21"/>
        </w:rPr>
        <w:t>in</w:t>
      </w:r>
      <w:r>
        <w:rPr>
          <w:spacing w:val="23"/>
          <w:sz w:val="21"/>
        </w:rPr>
        <w:t> </w:t>
      </w:r>
      <w:r>
        <w:rPr>
          <w:sz w:val="21"/>
        </w:rPr>
        <w:t>utter</w:t>
      </w:r>
      <w:r>
        <w:rPr>
          <w:spacing w:val="22"/>
          <w:sz w:val="21"/>
        </w:rPr>
        <w:t> </w:t>
      </w:r>
      <w:r>
        <w:rPr>
          <w:sz w:val="21"/>
        </w:rPr>
        <w:t>violation</w:t>
      </w:r>
      <w:r>
        <w:rPr>
          <w:spacing w:val="23"/>
          <w:sz w:val="21"/>
        </w:rPr>
        <w:t> </w:t>
      </w:r>
      <w:r>
        <w:rPr>
          <w:sz w:val="21"/>
        </w:rPr>
        <w:t>of</w:t>
      </w:r>
      <w:r>
        <w:rPr>
          <w:spacing w:val="24"/>
          <w:sz w:val="21"/>
        </w:rPr>
        <w:t> </w:t>
      </w:r>
      <w:r>
        <w:rPr>
          <w:sz w:val="21"/>
        </w:rPr>
        <w:t>the</w:t>
      </w:r>
      <w:r>
        <w:rPr>
          <w:spacing w:val="23"/>
          <w:sz w:val="21"/>
        </w:rPr>
        <w:t> </w:t>
      </w:r>
      <w:r>
        <w:rPr>
          <w:sz w:val="21"/>
        </w:rPr>
        <w:t>order</w:t>
      </w:r>
      <w:r>
        <w:rPr>
          <w:spacing w:val="22"/>
          <w:sz w:val="21"/>
        </w:rPr>
        <w:t> </w:t>
      </w:r>
      <w:r>
        <w:rPr>
          <w:sz w:val="21"/>
        </w:rPr>
        <w:t>passed</w:t>
      </w:r>
      <w:r>
        <w:rPr>
          <w:spacing w:val="21"/>
          <w:sz w:val="21"/>
        </w:rPr>
        <w:t> </w:t>
      </w:r>
      <w:r>
        <w:rPr>
          <w:sz w:val="21"/>
        </w:rPr>
        <w:t>by</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346" w:firstLine="0"/>
        <w:jc w:val="left"/>
        <w:rPr>
          <w:sz w:val="21"/>
        </w:rPr>
      </w:pPr>
      <w:r>
        <w:rPr>
          <w:sz w:val="21"/>
        </w:rPr>
        <w:t>this Hon‘ble Court, was also pre-planned, just like the desecration on December 22-23 1949.</w:t>
      </w:r>
    </w:p>
    <w:p>
      <w:pPr>
        <w:pStyle w:val="ListParagraph"/>
        <w:numPr>
          <w:ilvl w:val="0"/>
          <w:numId w:val="172"/>
        </w:numPr>
        <w:tabs>
          <w:tab w:pos="2660" w:val="left" w:leader="none"/>
          <w:tab w:pos="2661" w:val="left" w:leader="none"/>
        </w:tabs>
        <w:spacing w:line="241" w:lineRule="exact" w:before="0" w:after="0"/>
        <w:ind w:left="2660" w:right="0" w:hanging="721"/>
        <w:jc w:val="left"/>
        <w:rPr>
          <w:sz w:val="21"/>
        </w:rPr>
      </w:pPr>
      <w:r>
        <w:rPr>
          <w:sz w:val="21"/>
        </w:rPr>
        <w:t>First states that the whole of Parikrama was under</w:t>
      </w:r>
      <w:r>
        <w:rPr>
          <w:spacing w:val="6"/>
          <w:sz w:val="21"/>
        </w:rPr>
        <w:t> </w:t>
      </w:r>
      <w:r>
        <w:rPr>
          <w:sz w:val="21"/>
        </w:rPr>
        <w:t>the</w:t>
      </w:r>
    </w:p>
    <w:p>
      <w:pPr>
        <w:spacing w:before="37"/>
        <w:ind w:left="1940" w:right="0" w:firstLine="0"/>
        <w:jc w:val="left"/>
        <w:rPr>
          <w:sz w:val="21"/>
        </w:rPr>
      </w:pPr>
      <w:r>
        <w:rPr>
          <w:w w:val="40"/>
          <w:sz w:val="21"/>
        </w:rPr>
        <w:t>‗</w:t>
      </w:r>
      <w:r>
        <w:rPr>
          <w:spacing w:val="-2"/>
          <w:w w:val="100"/>
          <w:sz w:val="21"/>
        </w:rPr>
        <w:t>G</w:t>
      </w:r>
      <w:r>
        <w:rPr>
          <w:spacing w:val="-1"/>
          <w:w w:val="100"/>
          <w:sz w:val="21"/>
        </w:rPr>
        <w:t>arb</w:t>
      </w:r>
      <w:r>
        <w:rPr>
          <w:spacing w:val="-3"/>
          <w:w w:val="100"/>
          <w:sz w:val="21"/>
        </w:rPr>
        <w:t>h</w:t>
      </w:r>
      <w:r>
        <w:rPr>
          <w:w w:val="100"/>
          <w:sz w:val="21"/>
        </w:rPr>
        <w:t>a</w:t>
      </w:r>
      <w:r>
        <w:rPr>
          <w:spacing w:val="-1"/>
          <w:sz w:val="21"/>
        </w:rPr>
        <w:t> </w:t>
      </w:r>
      <w:r>
        <w:rPr>
          <w:spacing w:val="-2"/>
          <w:w w:val="100"/>
          <w:sz w:val="21"/>
        </w:rPr>
        <w:t>G</w:t>
      </w:r>
      <w:r>
        <w:rPr>
          <w:spacing w:val="-1"/>
          <w:w w:val="100"/>
          <w:sz w:val="21"/>
        </w:rPr>
        <w:t>r</w:t>
      </w:r>
      <w:r>
        <w:rPr>
          <w:w w:val="100"/>
          <w:sz w:val="21"/>
        </w:rPr>
        <w:t>i</w:t>
      </w:r>
      <w:r>
        <w:rPr>
          <w:spacing w:val="-1"/>
          <w:w w:val="100"/>
          <w:sz w:val="21"/>
        </w:rPr>
        <w:t>h</w:t>
      </w:r>
      <w:r>
        <w:rPr>
          <w:spacing w:val="-3"/>
          <w:w w:val="100"/>
          <w:sz w:val="21"/>
        </w:rPr>
        <w:t>a</w:t>
      </w:r>
      <w:r>
        <w:rPr>
          <w:w w:val="100"/>
          <w:sz w:val="21"/>
        </w:rPr>
        <w:t>‘,</w:t>
      </w:r>
      <w:r>
        <w:rPr>
          <w:spacing w:val="-2"/>
          <w:sz w:val="21"/>
        </w:rPr>
        <w:t> </w:t>
      </w:r>
      <w:r>
        <w:rPr>
          <w:w w:val="100"/>
          <w:sz w:val="21"/>
        </w:rPr>
        <w:t>l</w:t>
      </w:r>
      <w:r>
        <w:rPr>
          <w:spacing w:val="-1"/>
          <w:w w:val="100"/>
          <w:sz w:val="21"/>
        </w:rPr>
        <w:t>ate</w:t>
      </w:r>
      <w:r>
        <w:rPr>
          <w:w w:val="100"/>
          <w:sz w:val="21"/>
        </w:rPr>
        <w:t>r</w:t>
      </w:r>
      <w:r>
        <w:rPr>
          <w:spacing w:val="-2"/>
          <w:sz w:val="21"/>
        </w:rPr>
        <w:t> </w:t>
      </w:r>
      <w:r>
        <w:rPr>
          <w:w w:val="100"/>
          <w:sz w:val="21"/>
        </w:rPr>
        <w:t>sa</w:t>
      </w:r>
      <w:r>
        <w:rPr>
          <w:spacing w:val="-3"/>
          <w:w w:val="100"/>
          <w:sz w:val="21"/>
        </w:rPr>
        <w:t>y</w:t>
      </w:r>
      <w:r>
        <w:rPr>
          <w:w w:val="100"/>
          <w:sz w:val="21"/>
        </w:rPr>
        <w:t>s</w:t>
      </w:r>
      <w:r>
        <w:rPr>
          <w:spacing w:val="-4"/>
          <w:sz w:val="21"/>
        </w:rPr>
        <w:t> </w:t>
      </w:r>
      <w:r>
        <w:rPr>
          <w:w w:val="100"/>
          <w:sz w:val="21"/>
        </w:rPr>
        <w:t>P</w:t>
      </w:r>
      <w:r>
        <w:rPr>
          <w:spacing w:val="-1"/>
          <w:w w:val="100"/>
          <w:sz w:val="21"/>
        </w:rPr>
        <w:t>ar</w:t>
      </w:r>
      <w:r>
        <w:rPr>
          <w:spacing w:val="-2"/>
          <w:w w:val="100"/>
          <w:sz w:val="21"/>
        </w:rPr>
        <w:t>i</w:t>
      </w:r>
      <w:r>
        <w:rPr>
          <w:spacing w:val="2"/>
          <w:w w:val="100"/>
          <w:sz w:val="21"/>
        </w:rPr>
        <w:t>k</w:t>
      </w:r>
      <w:r>
        <w:rPr>
          <w:spacing w:val="-4"/>
          <w:w w:val="100"/>
          <w:sz w:val="21"/>
        </w:rPr>
        <w:t>r</w:t>
      </w:r>
      <w:r>
        <w:rPr>
          <w:spacing w:val="-3"/>
          <w:w w:val="100"/>
          <w:sz w:val="21"/>
        </w:rPr>
        <w:t>a</w:t>
      </w:r>
      <w:r>
        <w:rPr>
          <w:spacing w:val="1"/>
          <w:w w:val="100"/>
          <w:sz w:val="21"/>
        </w:rPr>
        <w:t>m</w:t>
      </w:r>
      <w:r>
        <w:rPr>
          <w:w w:val="100"/>
          <w:sz w:val="21"/>
        </w:rPr>
        <w:t>a</w:t>
      </w:r>
      <w:r>
        <w:rPr>
          <w:spacing w:val="-1"/>
          <w:sz w:val="21"/>
        </w:rPr>
        <w:t> </w:t>
      </w:r>
      <w:r>
        <w:rPr>
          <w:spacing w:val="-2"/>
          <w:w w:val="100"/>
          <w:sz w:val="21"/>
        </w:rPr>
        <w:t>w</w:t>
      </w:r>
      <w:r>
        <w:rPr>
          <w:spacing w:val="-1"/>
          <w:w w:val="100"/>
          <w:sz w:val="21"/>
        </w:rPr>
        <w:t>a</w:t>
      </w:r>
      <w:r>
        <w:rPr>
          <w:w w:val="100"/>
          <w:sz w:val="21"/>
        </w:rPr>
        <w:t>s</w:t>
      </w:r>
      <w:r>
        <w:rPr>
          <w:spacing w:val="-1"/>
          <w:sz w:val="21"/>
        </w:rPr>
        <w:t> </w:t>
      </w:r>
      <w:r>
        <w:rPr>
          <w:spacing w:val="-3"/>
          <w:w w:val="100"/>
          <w:sz w:val="21"/>
        </w:rPr>
        <w:t>o</w:t>
      </w:r>
      <w:r>
        <w:rPr>
          <w:w w:val="100"/>
          <w:sz w:val="21"/>
        </w:rPr>
        <w:t>n</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ou</w:t>
      </w:r>
      <w:r>
        <w:rPr>
          <w:spacing w:val="-4"/>
          <w:w w:val="100"/>
          <w:sz w:val="21"/>
        </w:rPr>
        <w:t>t</w:t>
      </w:r>
      <w:r>
        <w:rPr>
          <w:spacing w:val="-1"/>
          <w:w w:val="100"/>
          <w:sz w:val="21"/>
        </w:rPr>
        <w:t>e</w:t>
      </w:r>
      <w:r>
        <w:rPr>
          <w:w w:val="100"/>
          <w:sz w:val="21"/>
        </w:rPr>
        <w:t>r</w:t>
      </w:r>
      <w:r>
        <w:rPr>
          <w:spacing w:val="-2"/>
          <w:sz w:val="21"/>
        </w:rPr>
        <w:t> </w:t>
      </w:r>
      <w:r>
        <w:rPr>
          <w:w w:val="100"/>
          <w:sz w:val="21"/>
        </w:rPr>
        <w:t>si</w:t>
      </w:r>
      <w:r>
        <w:rPr>
          <w:spacing w:val="-1"/>
          <w:w w:val="100"/>
          <w:sz w:val="21"/>
        </w:rPr>
        <w:t>de.</w:t>
      </w:r>
      <w:r>
        <w:rPr>
          <w:w w:val="81"/>
          <w:sz w:val="21"/>
        </w:rPr>
        <w:t>‖</w:t>
      </w:r>
    </w:p>
    <w:p>
      <w:pPr>
        <w:pStyle w:val="BodyText"/>
        <w:rPr>
          <w:sz w:val="24"/>
        </w:rPr>
      </w:pPr>
    </w:p>
    <w:p>
      <w:pPr>
        <w:pStyle w:val="BodyText"/>
        <w:spacing w:before="11"/>
        <w:rPr>
          <w:sz w:val="32"/>
        </w:rPr>
      </w:pPr>
    </w:p>
    <w:p>
      <w:pPr>
        <w:pStyle w:val="BodyText"/>
        <w:spacing w:line="480" w:lineRule="auto"/>
        <w:ind w:left="500" w:right="441"/>
        <w:jc w:val="both"/>
      </w:pPr>
      <w:r>
        <w:rPr/>
        <w:t>These contradictions do not render the substratum of the evidence on the facets which have been highlighted above untrustworthy. The witness was ninety years of age when he deposed and had been associated with the disputed site for over seven decades. His evidence, in regard to the faith and belief of the Hindus in regard to the birth-place of Lord Ram, the sanctity attached to the place under the middle dome and the offerings of worship by devotees are significant facets of his testimony.</w:t>
      </w:r>
    </w:p>
    <w:p>
      <w:pPr>
        <w:pStyle w:val="BodyText"/>
        <w:spacing w:before="10"/>
        <w:rPr>
          <w:sz w:val="24"/>
        </w:rPr>
      </w:pPr>
    </w:p>
    <w:p>
      <w:pPr>
        <w:pStyle w:val="ListParagraph"/>
        <w:numPr>
          <w:ilvl w:val="0"/>
          <w:numId w:val="166"/>
        </w:numPr>
        <w:tabs>
          <w:tab w:pos="1221" w:val="left" w:leader="none"/>
        </w:tabs>
        <w:spacing w:line="480" w:lineRule="auto" w:before="0" w:after="0"/>
        <w:ind w:left="500" w:right="436" w:firstLine="0"/>
        <w:jc w:val="both"/>
        <w:rPr>
          <w:sz w:val="25"/>
        </w:rPr>
      </w:pPr>
      <w:r>
        <w:rPr>
          <w:b/>
          <w:sz w:val="25"/>
        </w:rPr>
        <w:t>Shri Devaki Nandan Agarwal (OPW–2): </w:t>
      </w:r>
      <w:r>
        <w:rPr>
          <w:sz w:val="25"/>
        </w:rPr>
        <w:t>Shri Devaki Nandan Agarwal was eighty years of age when his Examination-in-Chief was recorded between 16 and 18 June 2001. The witness was the third plaintiff in Suit 5 suing as the next friend of the deities. The cross-examination of the witness could not be  completed upon the death of the witness but Dr Dhavan stated that nonetheless, he is entitled to rely upon the evidence of the witness. Dr Dhavan has adverted to the testimony of OPW2, particularly in regard to the association between the Vishva Hindu Parishad and the Ram Janmabhumi Nyas. Moreover, in regard to the shifting of the idols, Dr Dhavan, in his note of submissions highlighted the following facets pertaining to the evidence of the</w:t>
      </w:r>
      <w:r>
        <w:rPr>
          <w:spacing w:val="-6"/>
          <w:sz w:val="25"/>
        </w:rPr>
        <w:t> </w:t>
      </w:r>
      <w:r>
        <w:rPr>
          <w:sz w:val="25"/>
        </w:rPr>
        <w:t>witness:</w:t>
      </w:r>
    </w:p>
    <w:p>
      <w:pPr>
        <w:spacing w:line="276" w:lineRule="auto" w:before="162"/>
        <w:ind w:left="1940" w:right="2262" w:firstLine="0"/>
        <w:jc w:val="both"/>
        <w:rPr>
          <w:sz w:val="21"/>
        </w:rPr>
      </w:pPr>
      <w:r>
        <w:rPr>
          <w:spacing w:val="-1"/>
          <w:w w:val="33"/>
          <w:sz w:val="21"/>
        </w:rPr>
        <w:t>―</w:t>
      </w:r>
      <w:r>
        <w:rPr>
          <w:w w:val="100"/>
          <w:sz w:val="21"/>
        </w:rPr>
        <w:t>i.</w:t>
      </w:r>
      <w:r>
        <w:rPr>
          <w:sz w:val="21"/>
        </w:rPr>
        <w:t> </w:t>
      </w:r>
      <w:r>
        <w:rPr>
          <w:spacing w:val="6"/>
          <w:sz w:val="21"/>
        </w:rPr>
        <w:t> </w:t>
      </w:r>
      <w:r>
        <w:rPr>
          <w:w w:val="100"/>
          <w:sz w:val="21"/>
        </w:rPr>
        <w:t>The</w:t>
      </w:r>
      <w:r>
        <w:rPr>
          <w:sz w:val="21"/>
        </w:rPr>
        <w:t> </w:t>
      </w:r>
      <w:r>
        <w:rPr>
          <w:spacing w:val="8"/>
          <w:sz w:val="21"/>
        </w:rPr>
        <w:t> </w:t>
      </w:r>
      <w:r>
        <w:rPr>
          <w:spacing w:val="-3"/>
          <w:w w:val="100"/>
          <w:sz w:val="21"/>
        </w:rPr>
        <w:t>v</w:t>
      </w:r>
      <w:r>
        <w:rPr>
          <w:w w:val="100"/>
          <w:sz w:val="21"/>
        </w:rPr>
        <w:t>i</w:t>
      </w:r>
      <w:r>
        <w:rPr>
          <w:spacing w:val="-1"/>
          <w:w w:val="100"/>
          <w:sz w:val="21"/>
        </w:rPr>
        <w:t>gra</w:t>
      </w:r>
      <w:r>
        <w:rPr>
          <w:w w:val="100"/>
          <w:sz w:val="21"/>
        </w:rPr>
        <w:t>h</w:t>
      </w:r>
      <w:r>
        <w:rPr>
          <w:sz w:val="21"/>
        </w:rPr>
        <w:t> </w:t>
      </w:r>
      <w:r>
        <w:rPr>
          <w:spacing w:val="7"/>
          <w:sz w:val="21"/>
        </w:rPr>
        <w:t> </w:t>
      </w:r>
      <w:r>
        <w:rPr>
          <w:spacing w:val="-3"/>
          <w:w w:val="100"/>
          <w:sz w:val="21"/>
        </w:rPr>
        <w:t>o</w:t>
      </w:r>
      <w:r>
        <w:rPr>
          <w:w w:val="100"/>
          <w:sz w:val="21"/>
        </w:rPr>
        <w:t>f</w:t>
      </w:r>
      <w:r>
        <w:rPr>
          <w:sz w:val="21"/>
        </w:rPr>
        <w:t> </w:t>
      </w:r>
      <w:r>
        <w:rPr>
          <w:spacing w:val="11"/>
          <w:sz w:val="21"/>
        </w:rPr>
        <w:t> </w:t>
      </w:r>
      <w:r>
        <w:rPr>
          <w:spacing w:val="-2"/>
          <w:w w:val="100"/>
          <w:sz w:val="21"/>
        </w:rPr>
        <w:t>R</w:t>
      </w:r>
      <w:r>
        <w:rPr>
          <w:spacing w:val="-3"/>
          <w:w w:val="100"/>
          <w:sz w:val="21"/>
        </w:rPr>
        <w:t>a</w:t>
      </w:r>
      <w:r>
        <w:rPr>
          <w:w w:val="100"/>
          <w:sz w:val="21"/>
        </w:rPr>
        <w:t>m</w:t>
      </w:r>
      <w:r>
        <w:rPr>
          <w:sz w:val="21"/>
        </w:rPr>
        <w:t> </w:t>
      </w:r>
      <w:r>
        <w:rPr>
          <w:spacing w:val="9"/>
          <w:sz w:val="21"/>
        </w:rPr>
        <w:t> </w:t>
      </w:r>
      <w:r>
        <w:rPr>
          <w:w w:val="100"/>
          <w:sz w:val="21"/>
        </w:rPr>
        <w:t>La</w:t>
      </w:r>
      <w:r>
        <w:rPr>
          <w:spacing w:val="-1"/>
          <w:w w:val="100"/>
          <w:sz w:val="21"/>
        </w:rPr>
        <w:t>l</w:t>
      </w:r>
      <w:r>
        <w:rPr>
          <w:w w:val="100"/>
          <w:sz w:val="21"/>
        </w:rPr>
        <w:t>l</w:t>
      </w:r>
      <w:r>
        <w:rPr>
          <w:w w:val="100"/>
          <w:sz w:val="21"/>
        </w:rPr>
        <w:t>a</w:t>
      </w:r>
      <w:r>
        <w:rPr>
          <w:sz w:val="21"/>
        </w:rPr>
        <w:t> </w:t>
      </w:r>
      <w:r>
        <w:rPr>
          <w:spacing w:val="8"/>
          <w:sz w:val="21"/>
        </w:rPr>
        <w:t> </w:t>
      </w:r>
      <w:r>
        <w:rPr>
          <w:spacing w:val="-2"/>
          <w:w w:val="100"/>
          <w:sz w:val="21"/>
        </w:rPr>
        <w:t>w</w:t>
      </w:r>
      <w:r>
        <w:rPr>
          <w:w w:val="100"/>
          <w:sz w:val="21"/>
        </w:rPr>
        <w:t>as</w:t>
      </w:r>
      <w:r>
        <w:rPr>
          <w:sz w:val="21"/>
        </w:rPr>
        <w:t> </w:t>
      </w:r>
      <w:r>
        <w:rPr>
          <w:spacing w:val="8"/>
          <w:sz w:val="21"/>
        </w:rPr>
        <w:t> </w:t>
      </w:r>
      <w:r>
        <w:rPr>
          <w:w w:val="100"/>
          <w:sz w:val="21"/>
        </w:rPr>
        <w:t>s</w:t>
      </w:r>
      <w:r>
        <w:rPr>
          <w:spacing w:val="-3"/>
          <w:w w:val="100"/>
          <w:sz w:val="21"/>
        </w:rPr>
        <w:t>e</w:t>
      </w:r>
      <w:r>
        <w:rPr>
          <w:w w:val="100"/>
          <w:sz w:val="21"/>
        </w:rPr>
        <w:t>a</w:t>
      </w:r>
      <w:r>
        <w:rPr>
          <w:spacing w:val="-1"/>
          <w:w w:val="100"/>
          <w:sz w:val="21"/>
        </w:rPr>
        <w:t>t</w:t>
      </w:r>
      <w:r>
        <w:rPr>
          <w:w w:val="100"/>
          <w:sz w:val="21"/>
        </w:rPr>
        <w:t>ed</w:t>
      </w:r>
      <w:r>
        <w:rPr>
          <w:sz w:val="21"/>
        </w:rPr>
        <w:t> </w:t>
      </w:r>
      <w:r>
        <w:rPr>
          <w:spacing w:val="8"/>
          <w:sz w:val="21"/>
        </w:rPr>
        <w:t> </w:t>
      </w:r>
      <w:r>
        <w:rPr>
          <w:spacing w:val="-2"/>
          <w:w w:val="100"/>
          <w:sz w:val="21"/>
        </w:rPr>
        <w:t>i</w:t>
      </w:r>
      <w:r>
        <w:rPr>
          <w:w w:val="100"/>
          <w:sz w:val="21"/>
        </w:rPr>
        <w:t>n</w:t>
      </w:r>
      <w:r>
        <w:rPr>
          <w:sz w:val="21"/>
        </w:rPr>
        <w:t> </w:t>
      </w:r>
      <w:r>
        <w:rPr>
          <w:spacing w:val="8"/>
          <w:sz w:val="21"/>
        </w:rPr>
        <w:t> </w:t>
      </w:r>
      <w:r>
        <w:rPr>
          <w:w w:val="100"/>
          <w:sz w:val="21"/>
        </w:rPr>
        <w:t>a</w:t>
      </w:r>
      <w:r>
        <w:rPr>
          <w:sz w:val="21"/>
        </w:rPr>
        <w:t> </w:t>
      </w:r>
      <w:r>
        <w:rPr>
          <w:spacing w:val="8"/>
          <w:sz w:val="21"/>
        </w:rPr>
        <w:t> </w:t>
      </w:r>
      <w:r>
        <w:rPr>
          <w:w w:val="100"/>
          <w:sz w:val="21"/>
        </w:rPr>
        <w:t>c</w:t>
      </w:r>
      <w:r>
        <w:rPr>
          <w:spacing w:val="-1"/>
          <w:w w:val="100"/>
          <w:sz w:val="21"/>
        </w:rPr>
        <w:t>r</w:t>
      </w:r>
      <w:r>
        <w:rPr>
          <w:w w:val="100"/>
          <w:sz w:val="21"/>
        </w:rPr>
        <w:t>ad</w:t>
      </w:r>
      <w:r>
        <w:rPr>
          <w:spacing w:val="-1"/>
          <w:w w:val="100"/>
          <w:sz w:val="21"/>
        </w:rPr>
        <w:t>l</w:t>
      </w:r>
      <w:r>
        <w:rPr>
          <w:w w:val="100"/>
          <w:sz w:val="21"/>
        </w:rPr>
        <w:t>e</w:t>
      </w:r>
      <w:r>
        <w:rPr>
          <w:sz w:val="21"/>
        </w:rPr>
        <w:t> </w:t>
      </w:r>
      <w:r>
        <w:rPr>
          <w:spacing w:val="8"/>
          <w:sz w:val="21"/>
        </w:rPr>
        <w:t> </w:t>
      </w:r>
      <w:r>
        <w:rPr>
          <w:w w:val="100"/>
          <w:sz w:val="21"/>
        </w:rPr>
        <w:t>a</w:t>
      </w:r>
      <w:r>
        <w:rPr>
          <w:spacing w:val="-3"/>
          <w:w w:val="100"/>
          <w:sz w:val="21"/>
        </w:rPr>
        <w:t>n</w:t>
      </w:r>
      <w:r>
        <w:rPr>
          <w:w w:val="100"/>
          <w:sz w:val="21"/>
        </w:rPr>
        <w:t>d </w:t>
      </w:r>
      <w:r>
        <w:rPr>
          <w:sz w:val="21"/>
        </w:rPr>
        <w:t>installed on Ram Chabutra. This vigrah was movable and therefore in accordance with the wishes of the devotees, it was shifted from Ram Chabutra and installed under the central dome.</w:t>
      </w:r>
    </w:p>
    <w:p>
      <w:pPr>
        <w:pStyle w:val="ListParagraph"/>
        <w:numPr>
          <w:ilvl w:val="2"/>
          <w:numId w:val="170"/>
        </w:numPr>
        <w:tabs>
          <w:tab w:pos="2216" w:val="left" w:leader="none"/>
        </w:tabs>
        <w:spacing w:line="276" w:lineRule="auto" w:before="2" w:after="0"/>
        <w:ind w:left="1940" w:right="2261" w:firstLine="0"/>
        <w:jc w:val="both"/>
        <w:rPr>
          <w:sz w:val="21"/>
        </w:rPr>
      </w:pPr>
      <w:r>
        <w:rPr>
          <w:sz w:val="21"/>
        </w:rPr>
        <w:t>Till December 22, 1949, the idols were not inside the disputed</w:t>
      </w:r>
      <w:r>
        <w:rPr>
          <w:spacing w:val="-2"/>
          <w:sz w:val="21"/>
        </w:rPr>
        <w:t> </w:t>
      </w:r>
      <w:r>
        <w:rPr>
          <w:sz w:val="21"/>
        </w:rPr>
        <w:t>building.</w:t>
      </w:r>
    </w:p>
    <w:p>
      <w:pPr>
        <w:spacing w:after="0" w:line="276" w:lineRule="auto"/>
        <w:jc w:val="both"/>
        <w:rPr>
          <w:sz w:val="21"/>
        </w:rPr>
        <w:sectPr>
          <w:pgSz w:w="11910" w:h="16840"/>
          <w:pgMar w:header="721" w:footer="1014" w:top="1300" w:bottom="1200" w:left="940" w:right="1000"/>
        </w:sectPr>
      </w:pPr>
    </w:p>
    <w:p>
      <w:pPr>
        <w:pStyle w:val="ListParagraph"/>
        <w:numPr>
          <w:ilvl w:val="2"/>
          <w:numId w:val="170"/>
        </w:numPr>
        <w:tabs>
          <w:tab w:pos="2204" w:val="left" w:leader="none"/>
        </w:tabs>
        <w:spacing w:line="276" w:lineRule="auto" w:before="122" w:after="0"/>
        <w:ind w:left="1940" w:right="2266" w:firstLine="0"/>
        <w:jc w:val="left"/>
        <w:rPr>
          <w:sz w:val="21"/>
        </w:rPr>
      </w:pPr>
      <w:r>
        <w:rPr>
          <w:sz w:val="21"/>
        </w:rPr>
        <w:t>There was an idol of Ram Lalla at the Chabutra which was later placed under the dome in the disputed</w:t>
      </w:r>
      <w:r>
        <w:rPr>
          <w:spacing w:val="-23"/>
          <w:sz w:val="21"/>
        </w:rPr>
        <w:t> </w:t>
      </w:r>
      <w:r>
        <w:rPr>
          <w:sz w:val="21"/>
        </w:rPr>
        <w:t>place.‖</w:t>
      </w:r>
    </w:p>
    <w:p>
      <w:pPr>
        <w:pStyle w:val="BodyText"/>
        <w:rPr>
          <w:sz w:val="24"/>
        </w:rPr>
      </w:pPr>
    </w:p>
    <w:p>
      <w:pPr>
        <w:pStyle w:val="BodyText"/>
        <w:spacing w:before="1"/>
        <w:rPr>
          <w:sz w:val="26"/>
        </w:rPr>
      </w:pPr>
    </w:p>
    <w:p>
      <w:pPr>
        <w:pStyle w:val="BodyText"/>
        <w:spacing w:before="1"/>
        <w:ind w:left="500"/>
      </w:pPr>
      <w:r>
        <w:rPr/>
        <w:t>Besides the above facets, Dr Dhavan relied on:</w:t>
      </w:r>
    </w:p>
    <w:p>
      <w:pPr>
        <w:pStyle w:val="BodyText"/>
        <w:spacing w:before="9"/>
        <w:rPr>
          <w:sz w:val="38"/>
        </w:rPr>
      </w:pPr>
    </w:p>
    <w:p>
      <w:pPr>
        <w:pStyle w:val="ListParagraph"/>
        <w:numPr>
          <w:ilvl w:val="0"/>
          <w:numId w:val="173"/>
        </w:numPr>
        <w:tabs>
          <w:tab w:pos="1221" w:val="left" w:leader="none"/>
        </w:tabs>
        <w:spacing w:line="480" w:lineRule="auto" w:before="1" w:after="0"/>
        <w:ind w:left="1220" w:right="436" w:hanging="720"/>
        <w:jc w:val="both"/>
        <w:rPr>
          <w:sz w:val="25"/>
        </w:rPr>
      </w:pPr>
      <w:r>
        <w:rPr>
          <w:sz w:val="25"/>
        </w:rPr>
        <w:t>The admission of the witness that he did not worship idols and there was no puja sthan in his</w:t>
      </w:r>
      <w:r>
        <w:rPr>
          <w:spacing w:val="-4"/>
          <w:sz w:val="25"/>
        </w:rPr>
        <w:t> </w:t>
      </w:r>
      <w:r>
        <w:rPr>
          <w:sz w:val="25"/>
        </w:rPr>
        <w:t>house;</w:t>
      </w:r>
    </w:p>
    <w:p>
      <w:pPr>
        <w:pStyle w:val="ListParagraph"/>
        <w:numPr>
          <w:ilvl w:val="0"/>
          <w:numId w:val="173"/>
        </w:numPr>
        <w:tabs>
          <w:tab w:pos="1221" w:val="left" w:leader="none"/>
        </w:tabs>
        <w:spacing w:line="482" w:lineRule="auto" w:before="0" w:after="0"/>
        <w:ind w:left="1220" w:right="443" w:hanging="720"/>
        <w:jc w:val="both"/>
        <w:rPr>
          <w:sz w:val="25"/>
        </w:rPr>
      </w:pPr>
      <w:r>
        <w:rPr>
          <w:sz w:val="25"/>
        </w:rPr>
        <w:t>The inability of the witness to state the name of the idol or the number of times he had obtained darshan in</w:t>
      </w:r>
      <w:r>
        <w:rPr>
          <w:spacing w:val="-5"/>
          <w:sz w:val="25"/>
        </w:rPr>
        <w:t> </w:t>
      </w:r>
      <w:r>
        <w:rPr>
          <w:sz w:val="25"/>
        </w:rPr>
        <w:t>1984-85;</w:t>
      </w:r>
    </w:p>
    <w:p>
      <w:pPr>
        <w:pStyle w:val="ListParagraph"/>
        <w:numPr>
          <w:ilvl w:val="0"/>
          <w:numId w:val="173"/>
        </w:numPr>
        <w:tabs>
          <w:tab w:pos="1221" w:val="left" w:leader="none"/>
        </w:tabs>
        <w:spacing w:line="480" w:lineRule="auto" w:before="0" w:after="0"/>
        <w:ind w:left="1220" w:right="443" w:hanging="720"/>
        <w:jc w:val="both"/>
        <w:rPr>
          <w:sz w:val="25"/>
        </w:rPr>
      </w:pPr>
      <w:r>
        <w:rPr>
          <w:sz w:val="25"/>
        </w:rPr>
        <w:t>The statement of the witness regarding his belief that the ‗Garbh Grih' was situated at that place where the temple had been demolished was hearsay; and</w:t>
      </w:r>
    </w:p>
    <w:p>
      <w:pPr>
        <w:pStyle w:val="ListParagraph"/>
        <w:numPr>
          <w:ilvl w:val="0"/>
          <w:numId w:val="173"/>
        </w:numPr>
        <w:tabs>
          <w:tab w:pos="1221" w:val="left" w:leader="none"/>
        </w:tabs>
        <w:spacing w:line="480" w:lineRule="auto" w:before="0" w:after="0"/>
        <w:ind w:left="1220" w:right="443" w:hanging="720"/>
        <w:jc w:val="both"/>
        <w:rPr>
          <w:sz w:val="25"/>
        </w:rPr>
      </w:pPr>
      <w:r>
        <w:rPr>
          <w:sz w:val="25"/>
        </w:rPr>
        <w:t>The reference by the witness to the Janmabhumi temple on the northern side or the disputed site which was bifurcated upon the construction of a road by the British</w:t>
      </w:r>
      <w:r>
        <w:rPr>
          <w:spacing w:val="-6"/>
          <w:sz w:val="25"/>
        </w:rPr>
        <w:t> </w:t>
      </w:r>
      <w:r>
        <w:rPr>
          <w:sz w:val="25"/>
        </w:rPr>
        <w:t>administration.</w:t>
      </w:r>
    </w:p>
    <w:p>
      <w:pPr>
        <w:pStyle w:val="BodyText"/>
        <w:rPr>
          <w:sz w:val="28"/>
        </w:rPr>
      </w:pPr>
    </w:p>
    <w:p>
      <w:pPr>
        <w:pStyle w:val="Heading4"/>
        <w:spacing w:before="176"/>
        <w:jc w:val="left"/>
        <w:rPr>
          <w:i/>
        </w:rPr>
      </w:pPr>
      <w:r>
        <w:rPr>
          <w:i/>
        </w:rPr>
        <w:t>Challenge to credentials of the witness</w:t>
      </w:r>
    </w:p>
    <w:p>
      <w:pPr>
        <w:pStyle w:val="BodyText"/>
        <w:rPr>
          <w:i/>
          <w:sz w:val="28"/>
        </w:rPr>
      </w:pPr>
    </w:p>
    <w:p>
      <w:pPr>
        <w:pStyle w:val="BodyText"/>
        <w:spacing w:before="7"/>
        <w:rPr>
          <w:i/>
          <w:sz w:val="23"/>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OPW2, who is the third plaintiff in Suit 5 has stated in the plaint that he is a Vaishnavite. In the course of his Examination-in-Chief he reiterated that he is a Vaishnavite and a Hindu and that he was suing as a next friend of the first and second plaintiffs in Suit 5 with no personal or vested interest but an intent of service to the deity. He stated that during 1932-1934 whenever he went to the disputed place with his mother, he saw the worship of the idol of Lord Ram at Ramchabutra. According to him, there was a picture of Lord Ram inside the disputed structure and the priest took flowers and garlands from worshippers and offered</w:t>
      </w:r>
      <w:r>
        <w:rPr>
          <w:spacing w:val="18"/>
          <w:sz w:val="25"/>
        </w:rPr>
        <w:t> </w:t>
      </w:r>
      <w:r>
        <w:rPr>
          <w:sz w:val="25"/>
        </w:rPr>
        <w:t>them</w:t>
      </w:r>
      <w:r>
        <w:rPr>
          <w:spacing w:val="18"/>
          <w:sz w:val="25"/>
        </w:rPr>
        <w:t> </w:t>
      </w:r>
      <w:r>
        <w:rPr>
          <w:sz w:val="25"/>
        </w:rPr>
        <w:t>from</w:t>
      </w:r>
      <w:r>
        <w:rPr>
          <w:spacing w:val="19"/>
          <w:sz w:val="25"/>
        </w:rPr>
        <w:t> </w:t>
      </w:r>
      <w:r>
        <w:rPr>
          <w:sz w:val="25"/>
        </w:rPr>
        <w:t>a</w:t>
      </w:r>
      <w:r>
        <w:rPr>
          <w:spacing w:val="16"/>
          <w:sz w:val="25"/>
        </w:rPr>
        <w:t> </w:t>
      </w:r>
      <w:r>
        <w:rPr>
          <w:sz w:val="25"/>
        </w:rPr>
        <w:t>distance.</w:t>
      </w:r>
      <w:r>
        <w:rPr>
          <w:spacing w:val="18"/>
          <w:sz w:val="25"/>
        </w:rPr>
        <w:t> </w:t>
      </w:r>
      <w:r>
        <w:rPr>
          <w:sz w:val="25"/>
        </w:rPr>
        <w:t>He</w:t>
      </w:r>
      <w:r>
        <w:rPr>
          <w:spacing w:val="19"/>
          <w:sz w:val="25"/>
        </w:rPr>
        <w:t> </w:t>
      </w:r>
      <w:r>
        <w:rPr>
          <w:sz w:val="25"/>
        </w:rPr>
        <w:t>referred</w:t>
      </w:r>
      <w:r>
        <w:rPr>
          <w:spacing w:val="16"/>
          <w:sz w:val="25"/>
        </w:rPr>
        <w:t> </w:t>
      </w:r>
      <w:r>
        <w:rPr>
          <w:sz w:val="25"/>
        </w:rPr>
        <w:t>to</w:t>
      </w:r>
      <w:r>
        <w:rPr>
          <w:spacing w:val="18"/>
          <w:sz w:val="25"/>
        </w:rPr>
        <w:t> </w:t>
      </w:r>
      <w:r>
        <w:rPr>
          <w:sz w:val="25"/>
        </w:rPr>
        <w:t>the</w:t>
      </w:r>
      <w:r>
        <w:rPr>
          <w:spacing w:val="19"/>
          <w:sz w:val="25"/>
        </w:rPr>
        <w:t> </w:t>
      </w:r>
      <w:r>
        <w:rPr>
          <w:sz w:val="25"/>
        </w:rPr>
        <w:t>presence</w:t>
      </w:r>
      <w:r>
        <w:rPr>
          <w:spacing w:val="18"/>
          <w:sz w:val="25"/>
        </w:rPr>
        <w:t> </w:t>
      </w:r>
      <w:r>
        <w:rPr>
          <w:sz w:val="25"/>
        </w:rPr>
        <w:t>of</w:t>
      </w:r>
      <w:r>
        <w:rPr>
          <w:spacing w:val="18"/>
          <w:sz w:val="25"/>
        </w:rPr>
        <w:t> </w:t>
      </w:r>
      <w:r>
        <w:rPr>
          <w:sz w:val="25"/>
        </w:rPr>
        <w:t>the</w:t>
      </w:r>
      <w:r>
        <w:rPr>
          <w:spacing w:val="19"/>
          <w:sz w:val="25"/>
        </w:rPr>
        <w:t> </w:t>
      </w:r>
      <w:r>
        <w:rPr>
          <w:sz w:val="25"/>
        </w:rPr>
        <w:t>stone</w:t>
      </w:r>
      <w:r>
        <w:rPr>
          <w:spacing w:val="18"/>
          <w:sz w:val="25"/>
        </w:rPr>
        <w:t> </w:t>
      </w:r>
      <w:r>
        <w:rPr>
          <w:sz w:val="25"/>
        </w:rPr>
        <w:t>pillars</w:t>
      </w:r>
      <w:r>
        <w:rPr>
          <w:spacing w:val="18"/>
          <w:sz w:val="25"/>
        </w:rPr>
        <w:t> </w:t>
      </w:r>
      <w:r>
        <w:rPr>
          <w:sz w:val="25"/>
        </w:rPr>
        <w:t>at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the gate and inside the disputed structure. However, according to him, as a result of the locks which were affixed on the gate to the inner premises of the disputed structure, the police did not allow worshippers to enter and worship was from outside the gate:</w:t>
      </w:r>
    </w:p>
    <w:p>
      <w:pPr>
        <w:spacing w:line="276" w:lineRule="auto" w:before="159"/>
        <w:ind w:left="1940" w:right="2261" w:firstLine="0"/>
        <w:jc w:val="both"/>
        <w:rPr>
          <w:sz w:val="21"/>
        </w:rPr>
      </w:pPr>
      <w:r>
        <w:rPr>
          <w:w w:val="33"/>
          <w:sz w:val="21"/>
        </w:rPr>
        <w:t>―</w:t>
      </w:r>
      <w:r>
        <w:rPr>
          <w:w w:val="100"/>
          <w:sz w:val="21"/>
        </w:rPr>
        <w:t>There</w:t>
      </w:r>
      <w:r>
        <w:rPr>
          <w:sz w:val="21"/>
        </w:rPr>
        <w:t>  </w:t>
      </w:r>
      <w:r>
        <w:rPr>
          <w:w w:val="100"/>
          <w:sz w:val="21"/>
        </w:rPr>
        <w:t>were</w:t>
      </w:r>
      <w:r>
        <w:rPr>
          <w:sz w:val="21"/>
        </w:rPr>
        <w:t>  </w:t>
      </w:r>
      <w:r>
        <w:rPr>
          <w:w w:val="100"/>
          <w:sz w:val="21"/>
        </w:rPr>
        <w:t>two</w:t>
      </w:r>
      <w:r>
        <w:rPr>
          <w:sz w:val="21"/>
        </w:rPr>
        <w:t>  </w:t>
      </w:r>
      <w:r>
        <w:rPr>
          <w:w w:val="100"/>
          <w:sz w:val="21"/>
        </w:rPr>
        <w:t>pillars</w:t>
      </w:r>
      <w:r>
        <w:rPr>
          <w:sz w:val="21"/>
        </w:rPr>
        <w:t>  </w:t>
      </w:r>
      <w:r>
        <w:rPr>
          <w:w w:val="100"/>
          <w:sz w:val="21"/>
        </w:rPr>
        <w:t>of</w:t>
      </w:r>
      <w:r>
        <w:rPr>
          <w:sz w:val="21"/>
        </w:rPr>
        <w:t>  </w:t>
      </w:r>
      <w:r>
        <w:rPr>
          <w:w w:val="100"/>
          <w:sz w:val="21"/>
        </w:rPr>
        <w:t>touchstone</w:t>
      </w:r>
      <w:r>
        <w:rPr>
          <w:sz w:val="21"/>
        </w:rPr>
        <w:t>  </w:t>
      </w:r>
      <w:r>
        <w:rPr>
          <w:w w:val="100"/>
          <w:sz w:val="21"/>
        </w:rPr>
        <w:t>at</w:t>
      </w:r>
      <w:r>
        <w:rPr>
          <w:sz w:val="21"/>
        </w:rPr>
        <w:t>  </w:t>
      </w:r>
      <w:r>
        <w:rPr>
          <w:w w:val="100"/>
          <w:sz w:val="21"/>
        </w:rPr>
        <w:t>the</w:t>
      </w:r>
      <w:r>
        <w:rPr>
          <w:sz w:val="21"/>
        </w:rPr>
        <w:t>  </w:t>
      </w:r>
      <w:r>
        <w:rPr>
          <w:w w:val="100"/>
          <w:sz w:val="21"/>
        </w:rPr>
        <w:t>gate</w:t>
      </w:r>
      <w:r>
        <w:rPr>
          <w:sz w:val="21"/>
        </w:rPr>
        <w:t>  </w:t>
      </w:r>
      <w:r>
        <w:rPr>
          <w:w w:val="100"/>
          <w:sz w:val="21"/>
        </w:rPr>
        <w:t>of</w:t>
      </w:r>
      <w:r>
        <w:rPr>
          <w:sz w:val="21"/>
        </w:rPr>
        <w:t>  </w:t>
      </w:r>
      <w:r>
        <w:rPr>
          <w:w w:val="100"/>
          <w:sz w:val="21"/>
        </w:rPr>
        <w:t>the </w:t>
      </w:r>
      <w:r>
        <w:rPr>
          <w:sz w:val="21"/>
        </w:rPr>
        <w:t>disputed structure, which were used for its construction after demolishing the temple which earlier existed there. There were two similar pillars also inside the structure, which could be seen from a distance. But two locks were affixed on the gate of the inner premises of the disputed structure and because of them, the police did not allow anybody to enter inside and worship etc. of Bhagwan Shri Ram Lalla, who was Virajman inside, was done from outside the gate and nonstop recitation and chanting of name of Lord was being continuously done in the outer premises.‖</w:t>
      </w:r>
    </w:p>
    <w:p>
      <w:pPr>
        <w:pStyle w:val="BodyText"/>
        <w:rPr>
          <w:sz w:val="24"/>
        </w:rPr>
      </w:pPr>
    </w:p>
    <w:p>
      <w:pPr>
        <w:pStyle w:val="BodyText"/>
        <w:spacing w:before="4"/>
        <w:rPr>
          <w:sz w:val="24"/>
        </w:rPr>
      </w:pPr>
    </w:p>
    <w:p>
      <w:pPr>
        <w:pStyle w:val="BodyText"/>
        <w:spacing w:line="480" w:lineRule="auto"/>
        <w:ind w:left="500" w:right="444"/>
        <w:jc w:val="both"/>
      </w:pPr>
      <w:r>
        <w:rPr/>
        <w:t>The witness has been candid in admitting that with the locks being placed on the gate of the inner premises, Hindu devotees offered worship from outside since the police did not permit entry into the inner</w:t>
      </w:r>
      <w:r>
        <w:rPr>
          <w:spacing w:val="-10"/>
        </w:rPr>
        <w:t> </w:t>
      </w:r>
      <w:r>
        <w:rPr/>
        <w:t>courtyard.</w:t>
      </w:r>
    </w:p>
    <w:p>
      <w:pPr>
        <w:pStyle w:val="BodyText"/>
        <w:spacing w:before="2"/>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Dr Dhavan‘s attempt to discredit the witness as a person who was not a worshipper is not borne out from the cross-examination of OPW2. During the course of his cross-examination, he stated that between 1940 and 1952, he conducted the business of a brick kiln and worked as a contractor while undertaking his studies. The witness was candid enough to state that during the time he was carrying on business, he had no time to take interest in religion and did not worship an idol. However, he spoke about his worship of Hindu religious deities on the occasion of religious festivals. This part of the cross-examination must be read in the context of a particular phase of the life of the witness when he carried on business, before he entered the legal profession. It would</w:t>
      </w:r>
      <w:r>
        <w:rPr>
          <w:spacing w:val="33"/>
          <w:sz w:val="25"/>
        </w:rPr>
        <w:t> </w:t>
      </w:r>
      <w:r>
        <w:rPr>
          <w:sz w:val="25"/>
        </w:rPr>
        <w:t>be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incorrect to infer from the answers elucidated during the course of cross- examination that the witness was not a believer or worshipper of Lord Ram. The pleadings in the Suit and his evidence establish the personal credentials of the witness as a person genuinely interested in the deity of Lord Ram.</w:t>
      </w:r>
    </w:p>
    <w:p>
      <w:pPr>
        <w:pStyle w:val="BodyText"/>
        <w:spacing w:before="8"/>
        <w:rPr>
          <w:sz w:val="38"/>
        </w:rPr>
      </w:pPr>
    </w:p>
    <w:p>
      <w:pPr>
        <w:pStyle w:val="ListParagraph"/>
        <w:numPr>
          <w:ilvl w:val="0"/>
          <w:numId w:val="166"/>
        </w:numPr>
        <w:tabs>
          <w:tab w:pos="1221" w:val="left" w:leader="none"/>
        </w:tabs>
        <w:spacing w:line="480" w:lineRule="auto" w:before="0" w:after="0"/>
        <w:ind w:left="500" w:right="439" w:firstLine="0"/>
        <w:jc w:val="both"/>
        <w:rPr>
          <w:sz w:val="25"/>
        </w:rPr>
      </w:pPr>
      <w:r>
        <w:rPr>
          <w:b/>
          <w:sz w:val="25"/>
        </w:rPr>
        <w:t>Harihar Prasad Tewari (OPW-4): </w:t>
      </w:r>
      <w:r>
        <w:rPr>
          <w:sz w:val="25"/>
        </w:rPr>
        <w:t>Harihar Prasad Tewari was eighty-five years of age on the date of his Examination-in-Chief on 1 August 2002. He was born in 1917, came to Ayodhya in 1938, where he lived for four years to study Ayurveda. The witness stated that he used to visit Ram Janmabhumi temple. The witness has been principally relied upon by the plaintiffs in Suit 5 in support of the belief that the disputed site was the birth-place of Lord Ram. In the course of his Examination-in-Chief he</w:t>
      </w:r>
      <w:r>
        <w:rPr>
          <w:spacing w:val="-1"/>
          <w:sz w:val="25"/>
        </w:rPr>
        <w:t> </w:t>
      </w:r>
      <w:r>
        <w:rPr>
          <w:sz w:val="25"/>
        </w:rPr>
        <w:t>stated:</w:t>
      </w:r>
    </w:p>
    <w:p>
      <w:pPr>
        <w:spacing w:line="276" w:lineRule="auto" w:before="161"/>
        <w:ind w:left="1940" w:right="2259" w:firstLine="0"/>
        <w:jc w:val="both"/>
        <w:rPr>
          <w:sz w:val="21"/>
        </w:rPr>
      </w:pPr>
      <w:r>
        <w:rPr>
          <w:spacing w:val="-1"/>
          <w:w w:val="33"/>
          <w:sz w:val="21"/>
        </w:rPr>
        <w:t>―</w:t>
      </w:r>
      <w:r>
        <w:rPr>
          <w:w w:val="100"/>
          <w:sz w:val="21"/>
        </w:rPr>
        <w:t>A</w:t>
      </w:r>
      <w:r>
        <w:rPr>
          <w:spacing w:val="-3"/>
          <w:w w:val="100"/>
          <w:sz w:val="21"/>
        </w:rPr>
        <w:t>y</w:t>
      </w:r>
      <w:r>
        <w:rPr>
          <w:spacing w:val="-1"/>
          <w:w w:val="100"/>
          <w:sz w:val="21"/>
        </w:rPr>
        <w:t>odh</w:t>
      </w:r>
      <w:r>
        <w:rPr>
          <w:spacing w:val="-2"/>
          <w:w w:val="100"/>
          <w:sz w:val="21"/>
        </w:rPr>
        <w:t>y</w:t>
      </w:r>
      <w:r>
        <w:rPr>
          <w:w w:val="100"/>
          <w:sz w:val="21"/>
        </w:rPr>
        <w:t>a</w:t>
      </w:r>
      <w:r>
        <w:rPr>
          <w:spacing w:val="15"/>
          <w:sz w:val="21"/>
        </w:rPr>
        <w:t> </w:t>
      </w:r>
      <w:r>
        <w:rPr>
          <w:w w:val="100"/>
          <w:sz w:val="21"/>
        </w:rPr>
        <w:t>is</w:t>
      </w:r>
      <w:r>
        <w:rPr>
          <w:spacing w:val="15"/>
          <w:sz w:val="21"/>
        </w:rPr>
        <w:t> </w:t>
      </w:r>
      <w:r>
        <w:rPr>
          <w:spacing w:val="-3"/>
          <w:w w:val="100"/>
          <w:sz w:val="21"/>
        </w:rPr>
        <w:t>a</w:t>
      </w:r>
      <w:r>
        <w:rPr>
          <w:w w:val="100"/>
          <w:sz w:val="21"/>
        </w:rPr>
        <w:t>n</w:t>
      </w:r>
      <w:r>
        <w:rPr>
          <w:spacing w:val="15"/>
          <w:sz w:val="21"/>
        </w:rPr>
        <w:t> </w:t>
      </w:r>
      <w:r>
        <w:rPr>
          <w:spacing w:val="-1"/>
          <w:w w:val="100"/>
          <w:sz w:val="21"/>
        </w:rPr>
        <w:t>a</w:t>
      </w:r>
      <w:r>
        <w:rPr>
          <w:spacing w:val="-3"/>
          <w:w w:val="100"/>
          <w:sz w:val="21"/>
        </w:rPr>
        <w:t>n</w:t>
      </w:r>
      <w:r>
        <w:rPr>
          <w:w w:val="100"/>
          <w:sz w:val="21"/>
        </w:rPr>
        <w:t>ci</w:t>
      </w:r>
      <w:r>
        <w:rPr>
          <w:spacing w:val="-3"/>
          <w:w w:val="100"/>
          <w:sz w:val="21"/>
        </w:rPr>
        <w:t>e</w:t>
      </w:r>
      <w:r>
        <w:rPr>
          <w:spacing w:val="-1"/>
          <w:w w:val="100"/>
          <w:sz w:val="21"/>
        </w:rPr>
        <w:t>n</w:t>
      </w:r>
      <w:r>
        <w:rPr>
          <w:w w:val="100"/>
          <w:sz w:val="21"/>
        </w:rPr>
        <w:t>t</w:t>
      </w:r>
      <w:r>
        <w:rPr>
          <w:spacing w:val="14"/>
          <w:sz w:val="21"/>
        </w:rPr>
        <w:t> </w:t>
      </w:r>
      <w:r>
        <w:rPr>
          <w:spacing w:val="-3"/>
          <w:w w:val="100"/>
          <w:sz w:val="21"/>
        </w:rPr>
        <w:t>a</w:t>
      </w:r>
      <w:r>
        <w:rPr>
          <w:spacing w:val="-1"/>
          <w:w w:val="100"/>
          <w:sz w:val="21"/>
        </w:rPr>
        <w:t>n</w:t>
      </w:r>
      <w:r>
        <w:rPr>
          <w:w w:val="100"/>
          <w:sz w:val="21"/>
        </w:rPr>
        <w:t>d</w:t>
      </w:r>
      <w:r>
        <w:rPr>
          <w:spacing w:val="16"/>
          <w:sz w:val="21"/>
        </w:rPr>
        <w:t> </w:t>
      </w:r>
      <w:r>
        <w:rPr>
          <w:spacing w:val="-2"/>
          <w:w w:val="100"/>
          <w:sz w:val="21"/>
        </w:rPr>
        <w:t>t</w:t>
      </w:r>
      <w:r>
        <w:rPr>
          <w:spacing w:val="-1"/>
          <w:w w:val="100"/>
          <w:sz w:val="21"/>
        </w:rPr>
        <w:t>h</w:t>
      </w:r>
      <w:r>
        <w:rPr>
          <w:w w:val="100"/>
          <w:sz w:val="21"/>
        </w:rPr>
        <w:t>e</w:t>
      </w:r>
      <w:r>
        <w:rPr>
          <w:spacing w:val="16"/>
          <w:sz w:val="21"/>
        </w:rPr>
        <w:t> </w:t>
      </w:r>
      <w:r>
        <w:rPr>
          <w:spacing w:val="-3"/>
          <w:w w:val="100"/>
          <w:sz w:val="21"/>
        </w:rPr>
        <w:t>h</w:t>
      </w:r>
      <w:r>
        <w:rPr>
          <w:spacing w:val="-1"/>
          <w:w w:val="100"/>
          <w:sz w:val="21"/>
        </w:rPr>
        <w:t>o</w:t>
      </w:r>
      <w:r>
        <w:rPr>
          <w:spacing w:val="-2"/>
          <w:w w:val="100"/>
          <w:sz w:val="21"/>
        </w:rPr>
        <w:t>l</w:t>
      </w:r>
      <w:r>
        <w:rPr>
          <w:w w:val="100"/>
          <w:sz w:val="21"/>
        </w:rPr>
        <w:t>i</w:t>
      </w:r>
      <w:r>
        <w:rPr>
          <w:spacing w:val="-1"/>
          <w:w w:val="100"/>
          <w:sz w:val="21"/>
        </w:rPr>
        <w:t>es</w:t>
      </w:r>
      <w:r>
        <w:rPr>
          <w:w w:val="100"/>
          <w:sz w:val="21"/>
        </w:rPr>
        <w:t>t</w:t>
      </w:r>
      <w:r>
        <w:rPr>
          <w:spacing w:val="12"/>
          <w:sz w:val="21"/>
        </w:rPr>
        <w:t> </w:t>
      </w:r>
      <w:r>
        <w:rPr>
          <w:w w:val="100"/>
          <w:sz w:val="21"/>
        </w:rPr>
        <w:t>P</w:t>
      </w:r>
      <w:r>
        <w:rPr>
          <w:spacing w:val="-2"/>
          <w:w w:val="100"/>
          <w:sz w:val="21"/>
        </w:rPr>
        <w:t>i</w:t>
      </w:r>
      <w:r>
        <w:rPr>
          <w:w w:val="100"/>
          <w:sz w:val="21"/>
        </w:rPr>
        <w:t>l</w:t>
      </w:r>
      <w:r>
        <w:rPr>
          <w:spacing w:val="-1"/>
          <w:w w:val="100"/>
          <w:sz w:val="21"/>
        </w:rPr>
        <w:t>gr</w:t>
      </w:r>
      <w:r>
        <w:rPr>
          <w:spacing w:val="-2"/>
          <w:w w:val="100"/>
          <w:sz w:val="21"/>
        </w:rPr>
        <w:t>i</w:t>
      </w:r>
      <w:r>
        <w:rPr>
          <w:spacing w:val="-1"/>
          <w:w w:val="100"/>
          <w:sz w:val="21"/>
        </w:rPr>
        <w:t>ma</w:t>
      </w:r>
      <w:r>
        <w:rPr>
          <w:spacing w:val="-3"/>
          <w:w w:val="100"/>
          <w:sz w:val="21"/>
        </w:rPr>
        <w:t>g</w:t>
      </w:r>
      <w:r>
        <w:rPr>
          <w:w w:val="100"/>
          <w:sz w:val="21"/>
        </w:rPr>
        <w:t>e</w:t>
      </w:r>
      <w:r>
        <w:rPr>
          <w:spacing w:val="13"/>
          <w:sz w:val="21"/>
        </w:rPr>
        <w:t> </w:t>
      </w:r>
      <w:r>
        <w:rPr>
          <w:spacing w:val="1"/>
          <w:w w:val="100"/>
          <w:sz w:val="21"/>
        </w:rPr>
        <w:t>f</w:t>
      </w:r>
      <w:r>
        <w:rPr>
          <w:spacing w:val="-1"/>
          <w:w w:val="100"/>
          <w:sz w:val="21"/>
        </w:rPr>
        <w:t>o</w:t>
      </w:r>
      <w:r>
        <w:rPr>
          <w:w w:val="100"/>
          <w:sz w:val="21"/>
        </w:rPr>
        <w:t>r</w:t>
      </w:r>
      <w:r>
        <w:rPr>
          <w:spacing w:val="12"/>
          <w:sz w:val="21"/>
        </w:rPr>
        <w:t> </w:t>
      </w:r>
      <w:r>
        <w:rPr>
          <w:w w:val="100"/>
          <w:sz w:val="21"/>
        </w:rPr>
        <w:t>H</w:t>
      </w:r>
      <w:r>
        <w:rPr>
          <w:spacing w:val="-2"/>
          <w:w w:val="100"/>
          <w:sz w:val="21"/>
        </w:rPr>
        <w:t>i</w:t>
      </w:r>
      <w:r>
        <w:rPr>
          <w:spacing w:val="-1"/>
          <w:w w:val="100"/>
          <w:sz w:val="21"/>
        </w:rPr>
        <w:t>ndus </w:t>
      </w:r>
      <w:r>
        <w:rPr>
          <w:sz w:val="21"/>
        </w:rPr>
        <w:t>where Parambrahma Parmeshwar Bhagwan Vishnu incarnated as Sri Ram, son of King Dashratha. The followers of Hinduism have the faith from the time immemorial that Bhagwan Vishnu incarnated at Ayodhya as Lord Sri Ram. This place is worship-able. Owing to this trust and faith  people used to visit for Darshan and Parikrama (taking round) of Shri Ram Janam Bhoomi. My family members, my grand- father and elderly people, saints and hermits of Ayodhya, during my study there from 1934 to 1938, used to say that Bhagwan Vishnu had incarnated as Bhagwan Shri Ram at this very place and this is Sri Ram Janam Bhoomi. Based on this faith and belief I have been going to Shri Ram Janam Bhoomi for Darshan. After completing my study, whenever I came to Ayodhya I used to go there for Darshan invariably. I mostly lived in Sugreev Quila, Ram Kot, Ayodhya for about last 8-9 years and usually go to the Ram Janam Bhoomi for having</w:t>
      </w:r>
      <w:r>
        <w:rPr>
          <w:spacing w:val="-4"/>
          <w:sz w:val="21"/>
        </w:rPr>
        <w:t> </w:t>
      </w:r>
      <w:r>
        <w:rPr>
          <w:sz w:val="21"/>
        </w:rPr>
        <w:t>Darshan.‖</w:t>
      </w:r>
    </w:p>
    <w:p>
      <w:pPr>
        <w:pStyle w:val="BodyText"/>
        <w:rPr>
          <w:sz w:val="24"/>
        </w:rPr>
      </w:pPr>
    </w:p>
    <w:p>
      <w:pPr>
        <w:pStyle w:val="BodyText"/>
        <w:spacing w:before="5"/>
        <w:rPr>
          <w:sz w:val="24"/>
        </w:rPr>
      </w:pPr>
    </w:p>
    <w:p>
      <w:pPr>
        <w:pStyle w:val="BodyText"/>
        <w:spacing w:line="480" w:lineRule="auto"/>
        <w:ind w:left="500" w:right="438"/>
        <w:jc w:val="both"/>
      </w:pPr>
      <w:r>
        <w:rPr/>
        <w:t>The witness has spoken about the entry to the outer courtyard through the two gates – Hanumat Dwar and Singh Dwar, the presence of Sita Rasoi, Ramchabutra and the Bhandar within. He has referred to pilgrims visiting in</w:t>
      </w:r>
      <w:r>
        <w:rPr>
          <w:spacing w:val="67"/>
        </w:rPr>
        <w:t> </w:t>
      </w:r>
      <w:r>
        <w:rPr/>
        <w:t>large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t>numbers particularly on the occasion of Chaitra Ramnavami and other religious festivals and to </w:t>
      </w:r>
      <w:r>
        <w:rPr>
          <w:i/>
        </w:rPr>
        <w:t>parikrama </w:t>
      </w:r>
      <w:r>
        <w:rPr/>
        <w:t>being performed daily by hundreds of devotees. The witness stated that he had never seen any Muslim offering namaz within the disputed site. The witness stated:</w:t>
      </w:r>
    </w:p>
    <w:p>
      <w:pPr>
        <w:spacing w:line="276" w:lineRule="auto" w:before="0"/>
        <w:ind w:left="1940" w:right="2261" w:firstLine="0"/>
        <w:jc w:val="both"/>
        <w:rPr>
          <w:sz w:val="21"/>
        </w:rPr>
      </w:pPr>
      <w:r>
        <w:rPr>
          <w:w w:val="33"/>
          <w:sz w:val="21"/>
        </w:rPr>
        <w:t>―</w:t>
      </w:r>
      <w:r>
        <w:rPr>
          <w:w w:val="100"/>
          <w:sz w:val="21"/>
        </w:rPr>
        <w:t>During</w:t>
      </w:r>
      <w:r>
        <w:rPr>
          <w:sz w:val="21"/>
        </w:rPr>
        <w:t> </w:t>
      </w:r>
      <w:r>
        <w:rPr>
          <w:w w:val="100"/>
          <w:sz w:val="21"/>
        </w:rPr>
        <w:t>1934-38,</w:t>
      </w:r>
      <w:r>
        <w:rPr>
          <w:sz w:val="21"/>
        </w:rPr>
        <w:t> </w:t>
      </w:r>
      <w:r>
        <w:rPr>
          <w:w w:val="100"/>
          <w:sz w:val="21"/>
        </w:rPr>
        <w:t>I</w:t>
      </w:r>
      <w:r>
        <w:rPr>
          <w:sz w:val="21"/>
        </w:rPr>
        <w:t> </w:t>
      </w:r>
      <w:r>
        <w:rPr>
          <w:w w:val="100"/>
          <w:sz w:val="21"/>
        </w:rPr>
        <w:t>f</w:t>
      </w:r>
      <w:r>
        <w:rPr>
          <w:w w:val="100"/>
          <w:sz w:val="21"/>
        </w:rPr>
        <w:t>r</w:t>
      </w:r>
      <w:r>
        <w:rPr>
          <w:w w:val="100"/>
          <w:sz w:val="21"/>
        </w:rPr>
        <w:t>eque</w:t>
      </w:r>
      <w:r>
        <w:rPr>
          <w:w w:val="100"/>
          <w:sz w:val="21"/>
        </w:rPr>
        <w:t>nt</w:t>
      </w:r>
      <w:r>
        <w:rPr>
          <w:w w:val="100"/>
          <w:sz w:val="21"/>
        </w:rPr>
        <w:t>l</w:t>
      </w:r>
      <w:r>
        <w:rPr>
          <w:w w:val="100"/>
          <w:sz w:val="21"/>
        </w:rPr>
        <w:t>y</w:t>
      </w:r>
      <w:r>
        <w:rPr>
          <w:sz w:val="21"/>
        </w:rPr>
        <w:t> </w:t>
      </w:r>
      <w:r>
        <w:rPr>
          <w:w w:val="100"/>
          <w:sz w:val="21"/>
        </w:rPr>
        <w:t>v</w:t>
      </w:r>
      <w:r>
        <w:rPr>
          <w:w w:val="100"/>
          <w:sz w:val="21"/>
        </w:rPr>
        <w:t>i</w:t>
      </w:r>
      <w:r>
        <w:rPr>
          <w:w w:val="100"/>
          <w:sz w:val="21"/>
        </w:rPr>
        <w:t>si</w:t>
      </w:r>
      <w:r>
        <w:rPr>
          <w:w w:val="100"/>
          <w:sz w:val="21"/>
        </w:rPr>
        <w:t>t</w:t>
      </w:r>
      <w:r>
        <w:rPr>
          <w:w w:val="100"/>
          <w:sz w:val="21"/>
        </w:rPr>
        <w:t>ed</w:t>
      </w:r>
      <w:r>
        <w:rPr>
          <w:sz w:val="21"/>
        </w:rPr>
        <w:t> </w:t>
      </w:r>
      <w:r>
        <w:rPr>
          <w:w w:val="100"/>
          <w:sz w:val="21"/>
        </w:rPr>
        <w:t>t</w:t>
      </w:r>
      <w:r>
        <w:rPr>
          <w:w w:val="100"/>
          <w:sz w:val="21"/>
        </w:rPr>
        <w:t>he</w:t>
      </w:r>
      <w:r>
        <w:rPr>
          <w:sz w:val="21"/>
        </w:rPr>
        <w:t> </w:t>
      </w:r>
      <w:r>
        <w:rPr>
          <w:w w:val="100"/>
          <w:sz w:val="21"/>
        </w:rPr>
        <w:t>di</w:t>
      </w:r>
      <w:r>
        <w:rPr>
          <w:w w:val="100"/>
          <w:sz w:val="21"/>
        </w:rPr>
        <w:t>sput</w:t>
      </w:r>
      <w:r>
        <w:rPr>
          <w:w w:val="100"/>
          <w:sz w:val="21"/>
        </w:rPr>
        <w:t>ed</w:t>
      </w:r>
      <w:r>
        <w:rPr>
          <w:sz w:val="21"/>
        </w:rPr>
        <w:t> </w:t>
      </w:r>
      <w:r>
        <w:rPr>
          <w:w w:val="100"/>
          <w:sz w:val="21"/>
        </w:rPr>
        <w:t>s</w:t>
      </w:r>
      <w:r>
        <w:rPr>
          <w:w w:val="100"/>
          <w:sz w:val="21"/>
        </w:rPr>
        <w:t>i</w:t>
      </w:r>
      <w:r>
        <w:rPr>
          <w:w w:val="100"/>
          <w:sz w:val="21"/>
        </w:rPr>
        <w:t>t</w:t>
      </w:r>
      <w:r>
        <w:rPr>
          <w:w w:val="100"/>
          <w:sz w:val="21"/>
        </w:rPr>
        <w:t>e</w:t>
      </w:r>
      <w:r>
        <w:rPr>
          <w:sz w:val="21"/>
        </w:rPr>
        <w:t> </w:t>
      </w:r>
      <w:r>
        <w:rPr>
          <w:w w:val="100"/>
          <w:sz w:val="21"/>
        </w:rPr>
        <w:t>t</w:t>
      </w:r>
      <w:r>
        <w:rPr>
          <w:w w:val="100"/>
          <w:sz w:val="21"/>
        </w:rPr>
        <w:t>o</w:t>
      </w:r>
      <w:r>
        <w:rPr>
          <w:sz w:val="21"/>
        </w:rPr>
        <w:t> </w:t>
      </w:r>
      <w:r>
        <w:rPr>
          <w:w w:val="100"/>
          <w:sz w:val="21"/>
        </w:rPr>
        <w:t>have </w:t>
      </w:r>
      <w:r>
        <w:rPr>
          <w:sz w:val="21"/>
        </w:rPr>
        <w:t>a Darshan of Bhagwan Ram. Inside the building at the disputed site there was no idol of Bhagwan Ram seated, but his photo hung on a wall which was visible from the outside of the gate. The gate was locked so I had seen that photo from outside.‖</w:t>
      </w:r>
    </w:p>
    <w:p>
      <w:pPr>
        <w:pStyle w:val="BodyText"/>
        <w:rPr>
          <w:sz w:val="24"/>
        </w:rPr>
      </w:pPr>
    </w:p>
    <w:p>
      <w:pPr>
        <w:pStyle w:val="BodyText"/>
        <w:spacing w:line="480" w:lineRule="auto" w:before="208"/>
        <w:ind w:left="500" w:right="441"/>
        <w:jc w:val="both"/>
      </w:pPr>
      <w:r>
        <w:rPr/>
        <w:t>The witness has thus admitted that worship was from outside the locked gate of the inner courtyard for Hindu devotees.</w:t>
      </w:r>
    </w:p>
    <w:p>
      <w:pPr>
        <w:pStyle w:val="BodyText"/>
        <w:spacing w:line="287" w:lineRule="exact"/>
        <w:ind w:left="500"/>
        <w:jc w:val="both"/>
      </w:pPr>
      <w:r>
        <w:rPr/>
        <w:t>The witness spoke of the worship in the outer courtyard between 1934 and 1938:</w:t>
      </w:r>
    </w:p>
    <w:p>
      <w:pPr>
        <w:pStyle w:val="BodyText"/>
        <w:spacing w:before="9"/>
        <w:rPr>
          <w:sz w:val="24"/>
        </w:rPr>
      </w:pPr>
    </w:p>
    <w:p>
      <w:pPr>
        <w:spacing w:line="276" w:lineRule="auto" w:before="0"/>
        <w:ind w:left="1940" w:right="2262" w:firstLine="0"/>
        <w:jc w:val="both"/>
        <w:rPr>
          <w:sz w:val="21"/>
        </w:rPr>
      </w:pPr>
      <w:r>
        <w:rPr>
          <w:spacing w:val="-1"/>
          <w:w w:val="33"/>
          <w:sz w:val="21"/>
        </w:rPr>
        <w:t>―</w:t>
      </w:r>
      <w:r>
        <w:rPr>
          <w:w w:val="100"/>
          <w:sz w:val="21"/>
        </w:rPr>
        <w:t>Th</w:t>
      </w:r>
      <w:r>
        <w:rPr>
          <w:spacing w:val="-1"/>
          <w:w w:val="100"/>
          <w:sz w:val="21"/>
        </w:rPr>
        <w:t>er</w:t>
      </w:r>
      <w:r>
        <w:rPr>
          <w:w w:val="100"/>
          <w:sz w:val="21"/>
        </w:rPr>
        <w:t>e</w:t>
      </w:r>
      <w:r>
        <w:rPr>
          <w:sz w:val="21"/>
        </w:rPr>
        <w:t> </w:t>
      </w:r>
      <w:r>
        <w:rPr>
          <w:spacing w:val="-19"/>
          <w:sz w:val="21"/>
        </w:rPr>
        <w:t> </w:t>
      </w:r>
      <w:r>
        <w:rPr>
          <w:spacing w:val="-4"/>
          <w:w w:val="100"/>
          <w:sz w:val="21"/>
        </w:rPr>
        <w:t>w</w:t>
      </w:r>
      <w:r>
        <w:rPr>
          <w:spacing w:val="-1"/>
          <w:w w:val="100"/>
          <w:sz w:val="21"/>
        </w:rPr>
        <w:t>a</w:t>
      </w:r>
      <w:r>
        <w:rPr>
          <w:w w:val="100"/>
          <w:sz w:val="21"/>
        </w:rPr>
        <w:t>s</w:t>
      </w:r>
      <w:r>
        <w:rPr>
          <w:sz w:val="21"/>
        </w:rPr>
        <w:t> </w:t>
      </w:r>
      <w:r>
        <w:rPr>
          <w:spacing w:val="-19"/>
          <w:sz w:val="21"/>
        </w:rPr>
        <w:t> </w:t>
      </w:r>
      <w:r>
        <w:rPr>
          <w:w w:val="100"/>
          <w:sz w:val="21"/>
        </w:rPr>
        <w:t>a</w:t>
      </w:r>
      <w:r>
        <w:rPr>
          <w:sz w:val="21"/>
        </w:rPr>
        <w:t> </w:t>
      </w:r>
      <w:r>
        <w:rPr>
          <w:spacing w:val="-21"/>
          <w:sz w:val="21"/>
        </w:rPr>
        <w:t> </w:t>
      </w:r>
      <w:r>
        <w:rPr>
          <w:spacing w:val="-1"/>
          <w:w w:val="100"/>
          <w:sz w:val="21"/>
        </w:rPr>
        <w:t>doo</w:t>
      </w:r>
      <w:r>
        <w:rPr>
          <w:w w:val="100"/>
          <w:sz w:val="21"/>
        </w:rPr>
        <w:t>r</w:t>
      </w:r>
      <w:r>
        <w:rPr>
          <w:sz w:val="21"/>
        </w:rPr>
        <w:t> </w:t>
      </w:r>
      <w:r>
        <w:rPr>
          <w:spacing w:val="-22"/>
          <w:sz w:val="21"/>
        </w:rPr>
        <w:t> </w:t>
      </w:r>
      <w:r>
        <w:rPr>
          <w:spacing w:val="-1"/>
          <w:w w:val="100"/>
          <w:sz w:val="21"/>
        </w:rPr>
        <w:t>o</w:t>
      </w:r>
      <w:r>
        <w:rPr>
          <w:w w:val="100"/>
          <w:sz w:val="21"/>
        </w:rPr>
        <w:t>n</w:t>
      </w:r>
      <w:r>
        <w:rPr>
          <w:sz w:val="21"/>
        </w:rPr>
        <w:t> </w:t>
      </w:r>
      <w:r>
        <w:rPr>
          <w:spacing w:val="-19"/>
          <w:sz w:val="21"/>
        </w:rPr>
        <w:t> </w:t>
      </w:r>
      <w:r>
        <w:rPr>
          <w:spacing w:val="-2"/>
          <w:w w:val="100"/>
          <w:sz w:val="21"/>
        </w:rPr>
        <w:t>t</w:t>
      </w:r>
      <w:r>
        <w:rPr>
          <w:spacing w:val="-3"/>
          <w:w w:val="100"/>
          <w:sz w:val="21"/>
        </w:rPr>
        <w:t>h</w:t>
      </w:r>
      <w:r>
        <w:rPr>
          <w:w w:val="100"/>
          <w:sz w:val="21"/>
        </w:rPr>
        <w:t>e</w:t>
      </w:r>
      <w:r>
        <w:rPr>
          <w:sz w:val="21"/>
        </w:rPr>
        <w:t> </w:t>
      </w:r>
      <w:r>
        <w:rPr>
          <w:spacing w:val="-19"/>
          <w:sz w:val="21"/>
        </w:rPr>
        <w:t> </w:t>
      </w:r>
      <w:r>
        <w:rPr>
          <w:spacing w:val="-1"/>
          <w:w w:val="100"/>
          <w:sz w:val="21"/>
        </w:rPr>
        <w:t>nor</w:t>
      </w:r>
      <w:r>
        <w:rPr>
          <w:spacing w:val="-2"/>
          <w:w w:val="100"/>
          <w:sz w:val="21"/>
        </w:rPr>
        <w:t>t</w:t>
      </w:r>
      <w:r>
        <w:rPr>
          <w:w w:val="100"/>
          <w:sz w:val="21"/>
        </w:rPr>
        <w:t>h</w:t>
      </w:r>
      <w:r>
        <w:rPr>
          <w:sz w:val="21"/>
        </w:rPr>
        <w:t> </w:t>
      </w:r>
      <w:r>
        <w:rPr>
          <w:spacing w:val="-19"/>
          <w:sz w:val="21"/>
        </w:rPr>
        <w:t> </w:t>
      </w:r>
      <w:r>
        <w:rPr>
          <w:spacing w:val="-3"/>
          <w:w w:val="100"/>
          <w:sz w:val="21"/>
        </w:rPr>
        <w:t>s</w:t>
      </w:r>
      <w:r>
        <w:rPr>
          <w:w w:val="100"/>
          <w:sz w:val="21"/>
        </w:rPr>
        <w:t>i</w:t>
      </w:r>
      <w:r>
        <w:rPr>
          <w:spacing w:val="-3"/>
          <w:w w:val="100"/>
          <w:sz w:val="21"/>
        </w:rPr>
        <w:t>d</w:t>
      </w:r>
      <w:r>
        <w:rPr>
          <w:w w:val="100"/>
          <w:sz w:val="21"/>
        </w:rPr>
        <w:t>e</w:t>
      </w:r>
      <w:r>
        <w:rPr>
          <w:sz w:val="21"/>
        </w:rPr>
        <w:t> </w:t>
      </w:r>
      <w:r>
        <w:rPr>
          <w:spacing w:val="-19"/>
          <w:sz w:val="21"/>
        </w:rPr>
        <w:t> </w:t>
      </w:r>
      <w:r>
        <w:rPr>
          <w:spacing w:val="-3"/>
          <w:w w:val="100"/>
          <w:sz w:val="21"/>
        </w:rPr>
        <w:t>o</w:t>
      </w:r>
      <w:r>
        <w:rPr>
          <w:w w:val="100"/>
          <w:sz w:val="21"/>
        </w:rPr>
        <w:t>f</w:t>
      </w:r>
      <w:r>
        <w:rPr>
          <w:sz w:val="21"/>
        </w:rPr>
        <w:t> </w:t>
      </w:r>
      <w:r>
        <w:rPr>
          <w:spacing w:val="-18"/>
          <w:sz w:val="21"/>
        </w:rPr>
        <w:t> </w:t>
      </w:r>
      <w:r>
        <w:rPr>
          <w:spacing w:val="-2"/>
          <w:w w:val="100"/>
          <w:sz w:val="21"/>
        </w:rPr>
        <w:t>t</w:t>
      </w:r>
      <w:r>
        <w:rPr>
          <w:spacing w:val="-1"/>
          <w:w w:val="100"/>
          <w:sz w:val="21"/>
        </w:rPr>
        <w:t>h</w:t>
      </w:r>
      <w:r>
        <w:rPr>
          <w:w w:val="100"/>
          <w:sz w:val="21"/>
        </w:rPr>
        <w:t>e</w:t>
      </w:r>
      <w:r>
        <w:rPr>
          <w:sz w:val="21"/>
        </w:rPr>
        <w:t> </w:t>
      </w:r>
      <w:r>
        <w:rPr>
          <w:spacing w:val="-21"/>
          <w:sz w:val="21"/>
        </w:rPr>
        <w:t> </w:t>
      </w:r>
      <w:r>
        <w:rPr>
          <w:spacing w:val="-1"/>
          <w:w w:val="100"/>
          <w:sz w:val="21"/>
        </w:rPr>
        <w:t>pre</w:t>
      </w:r>
      <w:r>
        <w:rPr>
          <w:spacing w:val="-3"/>
          <w:w w:val="100"/>
          <w:sz w:val="21"/>
        </w:rPr>
        <w:t>c</w:t>
      </w:r>
      <w:r>
        <w:rPr>
          <w:spacing w:val="-2"/>
          <w:w w:val="100"/>
          <w:sz w:val="21"/>
        </w:rPr>
        <w:t>i</w:t>
      </w:r>
      <w:r>
        <w:rPr>
          <w:spacing w:val="-1"/>
          <w:w w:val="100"/>
          <w:sz w:val="21"/>
        </w:rPr>
        <w:t>nct</w:t>
      </w:r>
      <w:r>
        <w:rPr>
          <w:w w:val="100"/>
          <w:sz w:val="21"/>
        </w:rPr>
        <w:t>s.</w:t>
      </w:r>
      <w:r>
        <w:rPr>
          <w:sz w:val="21"/>
        </w:rPr>
        <w:t> </w:t>
      </w:r>
      <w:r>
        <w:rPr>
          <w:spacing w:val="-20"/>
          <w:sz w:val="21"/>
        </w:rPr>
        <w:t> </w:t>
      </w:r>
      <w:r>
        <w:rPr>
          <w:w w:val="100"/>
          <w:sz w:val="21"/>
        </w:rPr>
        <w:t>T</w:t>
      </w:r>
      <w:r>
        <w:rPr>
          <w:spacing w:val="-2"/>
          <w:w w:val="100"/>
          <w:sz w:val="21"/>
        </w:rPr>
        <w:t>h</w:t>
      </w:r>
      <w:r>
        <w:rPr>
          <w:w w:val="100"/>
          <w:sz w:val="21"/>
        </w:rPr>
        <w:t>is </w:t>
      </w:r>
      <w:r>
        <w:rPr>
          <w:sz w:val="21"/>
        </w:rPr>
        <w:t>door was known as Singh Dwar. While going inside Singh Dwar, on left side, on a platform there was rolling board (Chauka), Belan (rolling pin), Hearth (chulha) and Charan Chinha (foot marks) etc. Charan Chinhas were in four pairs. According to belief these Charan Chinhas were of Ram, Lakshaman, Bharat and Shatrughan. All the above things existed on the platform during 1934 to 38. Worship was performed by the priests at the platform also. At first the priests did worship at the Ram Temple Platform and then walked to above platform for</w:t>
      </w:r>
      <w:r>
        <w:rPr>
          <w:spacing w:val="-9"/>
          <w:sz w:val="21"/>
        </w:rPr>
        <w:t> </w:t>
      </w:r>
      <w:r>
        <w:rPr>
          <w:sz w:val="21"/>
        </w:rPr>
        <w:t>worship.‖</w:t>
      </w:r>
    </w:p>
    <w:p>
      <w:pPr>
        <w:pStyle w:val="BodyText"/>
        <w:rPr>
          <w:sz w:val="24"/>
        </w:rPr>
      </w:pPr>
    </w:p>
    <w:p>
      <w:pPr>
        <w:pStyle w:val="BodyText"/>
        <w:spacing w:before="5"/>
      </w:pPr>
    </w:p>
    <w:p>
      <w:pPr>
        <w:pStyle w:val="BodyText"/>
        <w:spacing w:line="480" w:lineRule="auto"/>
        <w:ind w:left="500" w:right="440"/>
        <w:jc w:val="both"/>
      </w:pPr>
      <w:r>
        <w:rPr/>
        <w:t>The doors leading to what he described as the sanctum sanctorum were stated to have been closed during 1934-1938. According to the witness, worship was offered outside the sanctum sanctorum. On the source of his religious faith, the witness stated that this was not based on any religious text but having heard </w:t>
      </w:r>
      <w:r>
        <w:rPr>
          <w:w w:val="99"/>
        </w:rPr>
        <w:t>about</w:t>
      </w:r>
      <w:r>
        <w:rPr/>
        <w:t> </w:t>
      </w:r>
      <w:r>
        <w:rPr>
          <w:w w:val="99"/>
        </w:rPr>
        <w:t>the</w:t>
      </w:r>
      <w:r>
        <w:rPr/>
        <w:t> </w:t>
      </w:r>
      <w:r>
        <w:rPr>
          <w:w w:val="99"/>
        </w:rPr>
        <w:t>Janmabhumi</w:t>
      </w:r>
      <w:r>
        <w:rPr/>
        <w:t> </w:t>
      </w:r>
      <w:r>
        <w:rPr>
          <w:w w:val="99"/>
        </w:rPr>
        <w:t>of</w:t>
      </w:r>
      <w:r>
        <w:rPr/>
        <w:t> </w:t>
      </w:r>
      <w:r>
        <w:rPr>
          <w:w w:val="99"/>
        </w:rPr>
        <w:t>Lord</w:t>
      </w:r>
      <w:r>
        <w:rPr/>
        <w:t> </w:t>
      </w:r>
      <w:r>
        <w:rPr>
          <w:w w:val="99"/>
        </w:rPr>
        <w:t>Ram</w:t>
      </w:r>
      <w:r>
        <w:rPr/>
        <w:t> </w:t>
      </w:r>
      <w:r>
        <w:rPr>
          <w:w w:val="33"/>
        </w:rPr>
        <w:t>―</w:t>
      </w:r>
      <w:r>
        <w:rPr>
          <w:w w:val="99"/>
        </w:rPr>
        <w:t>from</w:t>
      </w:r>
      <w:r>
        <w:rPr/>
        <w:t> </w:t>
      </w:r>
      <w:r>
        <w:rPr>
          <w:w w:val="99"/>
        </w:rPr>
        <w:t>an</w:t>
      </w:r>
      <w:r>
        <w:rPr/>
        <w:t> </w:t>
      </w:r>
      <w:r>
        <w:rPr>
          <w:w w:val="99"/>
        </w:rPr>
        <w:t>old</w:t>
      </w:r>
      <w:r>
        <w:rPr/>
        <w:t> </w:t>
      </w:r>
      <w:r>
        <w:rPr>
          <w:w w:val="99"/>
        </w:rPr>
        <w:t>aged</w:t>
      </w:r>
      <w:r>
        <w:rPr/>
        <w:t> </w:t>
      </w:r>
      <w:r>
        <w:rPr>
          <w:w w:val="99"/>
        </w:rPr>
        <w:t>person</w:t>
      </w:r>
      <w:r>
        <w:rPr>
          <w:w w:val="80"/>
        </w:rPr>
        <w:t>‖</w:t>
      </w:r>
      <w:r>
        <w:rPr>
          <w:w w:val="99"/>
        </w:rPr>
        <w:t>.</w:t>
      </w:r>
      <w:r>
        <w:rPr/>
        <w:t> </w:t>
      </w:r>
      <w:r>
        <w:rPr>
          <w:w w:val="99"/>
        </w:rPr>
        <w:t>This</w:t>
      </w:r>
      <w:r>
        <w:rPr/>
        <w:t> </w:t>
      </w:r>
      <w:r>
        <w:rPr>
          <w:w w:val="99"/>
        </w:rPr>
        <w:t>is</w:t>
      </w:r>
      <w:r>
        <w:rPr/>
        <w:t> </w:t>
      </w:r>
      <w:r>
        <w:rPr>
          <w:w w:val="99"/>
        </w:rPr>
        <w:t>no</w:t>
      </w:r>
      <w:r>
        <w:rPr/>
        <w:t> </w:t>
      </w:r>
      <w:r>
        <w:rPr>
          <w:w w:val="99"/>
        </w:rPr>
        <w:t>reason </w:t>
      </w:r>
      <w:r>
        <w:rPr/>
        <w:t>to discredit the genuineness of the belief and faith of OPW4. He has specifically deposed to the regularity with which he visited the Janmabhumi to offer worship</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2"/>
        <w:jc w:val="both"/>
      </w:pPr>
      <w:r>
        <w:rPr/>
        <w:t>and this aspect of his evidence has not been shaken. The witness fairly stated that he had not gone within the disputed building because it was locked and that after 1938 while entry was forbidden, arrangement for darshan was made at the Chabutra.</w:t>
      </w:r>
    </w:p>
    <w:p>
      <w:pPr>
        <w:pStyle w:val="BodyText"/>
      </w:pPr>
    </w:p>
    <w:p>
      <w:pPr>
        <w:pStyle w:val="ListParagraph"/>
        <w:numPr>
          <w:ilvl w:val="0"/>
          <w:numId w:val="166"/>
        </w:numPr>
        <w:tabs>
          <w:tab w:pos="1221" w:val="left" w:leader="none"/>
        </w:tabs>
        <w:spacing w:line="480" w:lineRule="auto" w:before="0" w:after="0"/>
        <w:ind w:left="500" w:right="435" w:firstLine="0"/>
        <w:jc w:val="both"/>
        <w:rPr>
          <w:sz w:val="25"/>
        </w:rPr>
      </w:pPr>
      <w:r>
        <w:rPr>
          <w:b/>
          <w:sz w:val="25"/>
        </w:rPr>
        <w:t>Shri Ram Nath Mishra Alias Banarsi Panda (OPW-5)</w:t>
      </w:r>
      <w:r>
        <w:rPr>
          <w:b/>
          <w:sz w:val="26"/>
        </w:rPr>
        <w:t>: </w:t>
      </w:r>
      <w:r>
        <w:rPr>
          <w:sz w:val="25"/>
        </w:rPr>
        <w:t>On 6 August 2002, when the Examination-in-Chief of the witness was recorded, he was ninety- one years old. He stated that he was married to the daughter of Pandit </w:t>
      </w:r>
      <w:r>
        <w:rPr>
          <w:w w:val="99"/>
          <w:sz w:val="25"/>
        </w:rPr>
        <w:t>Ram</w:t>
      </w:r>
      <w:r>
        <w:rPr>
          <w:w w:val="99"/>
          <w:sz w:val="25"/>
        </w:rPr>
        <w:t>kr</w:t>
      </w:r>
      <w:r>
        <w:rPr>
          <w:spacing w:val="-1"/>
          <w:w w:val="99"/>
          <w:sz w:val="25"/>
        </w:rPr>
        <w:t>ishn</w:t>
      </w:r>
      <w:r>
        <w:rPr>
          <w:w w:val="99"/>
          <w:sz w:val="25"/>
        </w:rPr>
        <w:t>a</w:t>
      </w:r>
      <w:r>
        <w:rPr>
          <w:spacing w:val="5"/>
          <w:sz w:val="25"/>
        </w:rPr>
        <w:t> </w:t>
      </w:r>
      <w:r>
        <w:rPr>
          <w:spacing w:val="-1"/>
          <w:w w:val="99"/>
          <w:sz w:val="25"/>
        </w:rPr>
        <w:t>Upa</w:t>
      </w:r>
      <w:r>
        <w:rPr>
          <w:w w:val="99"/>
          <w:sz w:val="25"/>
        </w:rPr>
        <w:t>d</w:t>
      </w:r>
      <w:r>
        <w:rPr>
          <w:spacing w:val="-1"/>
          <w:w w:val="99"/>
          <w:sz w:val="25"/>
        </w:rPr>
        <w:t>h</w:t>
      </w:r>
      <w:r>
        <w:rPr>
          <w:spacing w:val="-3"/>
          <w:w w:val="99"/>
          <w:sz w:val="25"/>
        </w:rPr>
        <w:t>y</w:t>
      </w:r>
      <w:r>
        <w:rPr>
          <w:w w:val="99"/>
          <w:sz w:val="25"/>
        </w:rPr>
        <w:t>a</w:t>
      </w:r>
      <w:r>
        <w:rPr>
          <w:spacing w:val="7"/>
          <w:sz w:val="25"/>
        </w:rPr>
        <w:t> </w:t>
      </w:r>
      <w:r>
        <w:rPr>
          <w:spacing w:val="-1"/>
          <w:w w:val="99"/>
          <w:sz w:val="25"/>
        </w:rPr>
        <w:t>wh</w:t>
      </w:r>
      <w:r>
        <w:rPr>
          <w:w w:val="99"/>
          <w:sz w:val="25"/>
        </w:rPr>
        <w:t>o</w:t>
      </w:r>
      <w:r>
        <w:rPr>
          <w:spacing w:val="5"/>
          <w:sz w:val="25"/>
        </w:rPr>
        <w:t> </w:t>
      </w:r>
      <w:r>
        <w:rPr>
          <w:spacing w:val="-1"/>
          <w:w w:val="99"/>
          <w:sz w:val="25"/>
        </w:rPr>
        <w:t>wa</w:t>
      </w:r>
      <w:r>
        <w:rPr>
          <w:w w:val="99"/>
          <w:sz w:val="25"/>
        </w:rPr>
        <w:t>s</w:t>
      </w:r>
      <w:r>
        <w:rPr>
          <w:spacing w:val="4"/>
          <w:sz w:val="25"/>
        </w:rPr>
        <w:t> </w:t>
      </w:r>
      <w:r>
        <w:rPr>
          <w:w w:val="99"/>
          <w:sz w:val="25"/>
        </w:rPr>
        <w:t>a</w:t>
      </w:r>
      <w:r>
        <w:rPr>
          <w:spacing w:val="5"/>
          <w:sz w:val="25"/>
        </w:rPr>
        <w:t> </w:t>
      </w:r>
      <w:r>
        <w:rPr>
          <w:w w:val="99"/>
          <w:sz w:val="25"/>
        </w:rPr>
        <w:t>r</w:t>
      </w:r>
      <w:r>
        <w:rPr>
          <w:spacing w:val="-1"/>
          <w:w w:val="99"/>
          <w:sz w:val="25"/>
        </w:rPr>
        <w:t>e</w:t>
      </w:r>
      <w:r>
        <w:rPr>
          <w:w w:val="99"/>
          <w:sz w:val="25"/>
        </w:rPr>
        <w:t>p</w:t>
      </w:r>
      <w:r>
        <w:rPr>
          <w:spacing w:val="-1"/>
          <w:w w:val="99"/>
          <w:sz w:val="25"/>
        </w:rPr>
        <w:t>ut</w:t>
      </w:r>
      <w:r>
        <w:rPr>
          <w:w w:val="99"/>
          <w:sz w:val="25"/>
        </w:rPr>
        <w:t>ed</w:t>
      </w:r>
      <w:r>
        <w:rPr>
          <w:spacing w:val="5"/>
          <w:sz w:val="25"/>
        </w:rPr>
        <w:t> </w:t>
      </w:r>
      <w:r>
        <w:rPr>
          <w:spacing w:val="-2"/>
          <w:w w:val="33"/>
          <w:sz w:val="25"/>
        </w:rPr>
        <w:t>―</w:t>
      </w:r>
      <w:r>
        <w:rPr>
          <w:w w:val="99"/>
          <w:sz w:val="25"/>
        </w:rPr>
        <w:t>T</w:t>
      </w:r>
      <w:r>
        <w:rPr>
          <w:spacing w:val="-1"/>
          <w:w w:val="99"/>
          <w:sz w:val="25"/>
        </w:rPr>
        <w:t>e</w:t>
      </w:r>
      <w:r>
        <w:rPr>
          <w:w w:val="99"/>
          <w:sz w:val="25"/>
        </w:rPr>
        <w:t>ert</w:t>
      </w:r>
      <w:r>
        <w:rPr>
          <w:spacing w:val="6"/>
          <w:w w:val="99"/>
          <w:sz w:val="25"/>
        </w:rPr>
        <w:t>h</w:t>
      </w:r>
      <w:r>
        <w:rPr>
          <w:w w:val="99"/>
          <w:sz w:val="25"/>
        </w:rPr>
        <w:t>-</w:t>
      </w:r>
      <w:r>
        <w:rPr>
          <w:spacing w:val="-1"/>
          <w:w w:val="99"/>
          <w:sz w:val="25"/>
        </w:rPr>
        <w:t>P</w:t>
      </w:r>
      <w:r>
        <w:rPr>
          <w:w w:val="99"/>
          <w:sz w:val="25"/>
        </w:rPr>
        <w:t>u</w:t>
      </w:r>
      <w:r>
        <w:rPr>
          <w:spacing w:val="1"/>
          <w:w w:val="99"/>
          <w:sz w:val="25"/>
        </w:rPr>
        <w:t>r</w:t>
      </w:r>
      <w:r>
        <w:rPr>
          <w:w w:val="99"/>
          <w:sz w:val="25"/>
        </w:rPr>
        <w:t>oh</w:t>
      </w:r>
      <w:r>
        <w:rPr>
          <w:w w:val="99"/>
          <w:sz w:val="25"/>
        </w:rPr>
        <w:t>it</w:t>
      </w:r>
      <w:r>
        <w:rPr>
          <w:spacing w:val="-2"/>
          <w:w w:val="80"/>
          <w:sz w:val="25"/>
        </w:rPr>
        <w:t>‖</w:t>
      </w:r>
      <w:r>
        <w:rPr>
          <w:w w:val="99"/>
          <w:sz w:val="25"/>
        </w:rPr>
        <w:t>.</w:t>
      </w:r>
      <w:r>
        <w:rPr>
          <w:spacing w:val="4"/>
          <w:sz w:val="25"/>
        </w:rPr>
        <w:t> </w:t>
      </w:r>
      <w:r>
        <w:rPr>
          <w:w w:val="99"/>
          <w:sz w:val="25"/>
        </w:rPr>
        <w:t>He</w:t>
      </w:r>
      <w:r>
        <w:rPr>
          <w:spacing w:val="4"/>
          <w:sz w:val="25"/>
        </w:rPr>
        <w:t> </w:t>
      </w:r>
      <w:r>
        <w:rPr>
          <w:w w:val="99"/>
          <w:sz w:val="25"/>
        </w:rPr>
        <w:t>deposed</w:t>
      </w:r>
      <w:r>
        <w:rPr>
          <w:spacing w:val="5"/>
          <w:sz w:val="25"/>
        </w:rPr>
        <w:t> </w:t>
      </w:r>
      <w:r>
        <w:rPr>
          <w:w w:val="99"/>
          <w:sz w:val="25"/>
        </w:rPr>
        <w:t>to</w:t>
      </w:r>
      <w:r>
        <w:rPr>
          <w:spacing w:val="7"/>
          <w:sz w:val="25"/>
        </w:rPr>
        <w:t> </w:t>
      </w:r>
      <w:r>
        <w:rPr>
          <w:w w:val="99"/>
          <w:sz w:val="25"/>
        </w:rPr>
        <w:t>ha</w:t>
      </w:r>
      <w:r>
        <w:rPr>
          <w:spacing w:val="-3"/>
          <w:w w:val="99"/>
          <w:sz w:val="25"/>
        </w:rPr>
        <w:t>v</w:t>
      </w:r>
      <w:r>
        <w:rPr>
          <w:w w:val="99"/>
          <w:sz w:val="25"/>
        </w:rPr>
        <w:t>ing </w:t>
      </w:r>
      <w:r>
        <w:rPr>
          <w:sz w:val="25"/>
        </w:rPr>
        <w:t>worshipped at Ram Janmabhumi and of performing the </w:t>
      </w:r>
      <w:r>
        <w:rPr>
          <w:i/>
          <w:sz w:val="25"/>
        </w:rPr>
        <w:t>parikrama </w:t>
      </w:r>
      <w:r>
        <w:rPr>
          <w:sz w:val="25"/>
        </w:rPr>
        <w:t>since his marriage. Since 1932, he together with his spouse came to Ayodhya and started managing and looking after the work performed by his father-in-law including of about a hundred ghats which were owned by him. The witness stated that on Chaitra Ram Navami nearly 10 to 15 lakh devotees of Lord Ram visited Ayodhya and after a bath in the Saryu river proceeded for darshan to Ram Janmabhumi, Kanak Bhawan and Hanuman Garhi. He stated that thousands of devotees visited from villages for seeking darshan at the Janmabhumi. The witness stated that the importance of Ayodhya has been described in the Brahmpuran, </w:t>
      </w:r>
      <w:r>
        <w:rPr>
          <w:i/>
          <w:sz w:val="25"/>
        </w:rPr>
        <w:t>Skand </w:t>
      </w:r>
      <w:r>
        <w:rPr>
          <w:i/>
          <w:sz w:val="25"/>
        </w:rPr>
        <w:t>Puran </w:t>
      </w:r>
      <w:r>
        <w:rPr>
          <w:sz w:val="25"/>
        </w:rPr>
        <w:t>and</w:t>
      </w:r>
      <w:r>
        <w:rPr>
          <w:spacing w:val="-1"/>
          <w:sz w:val="25"/>
        </w:rPr>
        <w:t> </w:t>
      </w:r>
      <w:r>
        <w:rPr>
          <w:sz w:val="25"/>
        </w:rPr>
        <w:t>Barahpuran.</w:t>
      </w:r>
    </w:p>
    <w:p>
      <w:pPr>
        <w:pStyle w:val="BodyText"/>
        <w:spacing w:before="161"/>
        <w:ind w:left="500"/>
        <w:jc w:val="both"/>
      </w:pPr>
      <w:r>
        <w:rPr/>
        <w:t>Some of the salient aspects of the examination of OPW-5 are:</w:t>
      </w:r>
    </w:p>
    <w:p>
      <w:pPr>
        <w:pStyle w:val="BodyText"/>
        <w:spacing w:before="10"/>
        <w:rPr>
          <w:sz w:val="38"/>
        </w:rPr>
      </w:pPr>
    </w:p>
    <w:p>
      <w:pPr>
        <w:pStyle w:val="ListParagraph"/>
        <w:numPr>
          <w:ilvl w:val="0"/>
          <w:numId w:val="174"/>
        </w:numPr>
        <w:tabs>
          <w:tab w:pos="1221" w:val="left" w:leader="none"/>
        </w:tabs>
        <w:spacing w:line="480" w:lineRule="auto" w:before="0" w:after="0"/>
        <w:ind w:left="1220" w:right="443" w:hanging="720"/>
        <w:jc w:val="both"/>
        <w:rPr>
          <w:sz w:val="25"/>
        </w:rPr>
      </w:pPr>
      <w:r>
        <w:rPr>
          <w:sz w:val="25"/>
        </w:rPr>
        <w:t>The witness adverted to the two doors providing entry into what he described as the Ram Janmabhumi premises. The first was Hanumat Dwar from the east and the second was Singh Dwar on the northern</w:t>
      </w:r>
      <w:r>
        <w:rPr>
          <w:spacing w:val="-20"/>
          <w:sz w:val="25"/>
        </w:rPr>
        <w:t> </w:t>
      </w:r>
      <w:r>
        <w:rPr>
          <w:sz w:val="25"/>
        </w:rPr>
        <w:t>side;</w:t>
      </w:r>
    </w:p>
    <w:p>
      <w:pPr>
        <w:spacing w:after="0" w:line="480" w:lineRule="auto"/>
        <w:jc w:val="both"/>
        <w:rPr>
          <w:sz w:val="25"/>
        </w:rPr>
        <w:sectPr>
          <w:pgSz w:w="11910" w:h="16840"/>
          <w:pgMar w:header="721" w:footer="1014" w:top="1300" w:bottom="1200" w:left="940" w:right="1000"/>
        </w:sectPr>
      </w:pPr>
    </w:p>
    <w:p>
      <w:pPr>
        <w:pStyle w:val="ListParagraph"/>
        <w:numPr>
          <w:ilvl w:val="0"/>
          <w:numId w:val="174"/>
        </w:numPr>
        <w:tabs>
          <w:tab w:pos="1221" w:val="left" w:leader="none"/>
        </w:tabs>
        <w:spacing w:line="480" w:lineRule="auto" w:before="124" w:after="0"/>
        <w:ind w:left="1220" w:right="439" w:hanging="720"/>
        <w:jc w:val="both"/>
        <w:rPr>
          <w:sz w:val="25"/>
        </w:rPr>
      </w:pPr>
      <w:r>
        <w:rPr>
          <w:sz w:val="25"/>
        </w:rPr>
        <w:t>On both corners of the gate of Hanumat Dwar, there were black stone pillars with pictures of flowers, leaves and deities. Similarly, on the upper side of Singh Dwar there was a picture of a ‗garud‘ flanked by lions on either</w:t>
      </w:r>
      <w:r>
        <w:rPr>
          <w:spacing w:val="-1"/>
          <w:sz w:val="25"/>
        </w:rPr>
        <w:t> </w:t>
      </w:r>
      <w:r>
        <w:rPr>
          <w:sz w:val="25"/>
        </w:rPr>
        <w:t>side;</w:t>
      </w:r>
    </w:p>
    <w:p>
      <w:pPr>
        <w:pStyle w:val="ListParagraph"/>
        <w:numPr>
          <w:ilvl w:val="0"/>
          <w:numId w:val="174"/>
        </w:numPr>
        <w:tabs>
          <w:tab w:pos="1221" w:val="left" w:leader="none"/>
        </w:tabs>
        <w:spacing w:line="480" w:lineRule="auto" w:before="0" w:after="0"/>
        <w:ind w:left="1220" w:right="437" w:hanging="720"/>
        <w:jc w:val="both"/>
        <w:rPr>
          <w:sz w:val="25"/>
        </w:rPr>
      </w:pPr>
      <w:r>
        <w:rPr>
          <w:sz w:val="25"/>
        </w:rPr>
        <w:t>On entering through the main gate called Hanumat Dwar, there was a platform towards the south called the Ramchabutra on which were placed the idols of and associated with Lord Ram. On the south-eastern corner of Ramchabutra, there were idols under a peepal tree including those of Lord Ganesh, Lord Shanker and other deities. Inside the main gate towards the northern side, there was a thatched enclosure known as the Bhandar or store in which provisions were stored;</w:t>
      </w:r>
    </w:p>
    <w:p>
      <w:pPr>
        <w:pStyle w:val="ListParagraph"/>
        <w:numPr>
          <w:ilvl w:val="0"/>
          <w:numId w:val="174"/>
        </w:numPr>
        <w:tabs>
          <w:tab w:pos="1221" w:val="left" w:leader="none"/>
        </w:tabs>
        <w:spacing w:line="480" w:lineRule="auto" w:before="0" w:after="0"/>
        <w:ind w:left="1220" w:right="434" w:hanging="720"/>
        <w:jc w:val="both"/>
        <w:rPr>
          <w:sz w:val="25"/>
        </w:rPr>
      </w:pPr>
      <w:r>
        <w:rPr>
          <w:sz w:val="25"/>
        </w:rPr>
        <w:t>Inside the grill-brick wall towards the west of Ramchabutra there was, what he described as the ‗Garbh Grih‘ temple covered by three domes and it was a matter of belief that the site below the central dome was the birth- place of Lord Ram. The witness and other Hindu devotees would seek the darshan of Ram Janmabhumi at the site, which was considered to be sacrosanct;</w:t>
      </w:r>
    </w:p>
    <w:p>
      <w:pPr>
        <w:pStyle w:val="ListParagraph"/>
        <w:numPr>
          <w:ilvl w:val="0"/>
          <w:numId w:val="174"/>
        </w:numPr>
        <w:tabs>
          <w:tab w:pos="1221" w:val="left" w:leader="none"/>
        </w:tabs>
        <w:spacing w:line="480" w:lineRule="auto" w:before="2" w:after="0"/>
        <w:ind w:left="1220" w:right="436" w:hanging="720"/>
        <w:jc w:val="both"/>
        <w:rPr>
          <w:sz w:val="25"/>
        </w:rPr>
      </w:pPr>
      <w:r>
        <w:rPr>
          <w:sz w:val="25"/>
        </w:rPr>
        <w:t>Within the same complex was situated the Sita Rasoi which had a </w:t>
      </w:r>
      <w:r>
        <w:rPr>
          <w:i/>
          <w:sz w:val="25"/>
        </w:rPr>
        <w:t>Chauka- </w:t>
      </w:r>
      <w:r>
        <w:rPr>
          <w:i/>
          <w:sz w:val="25"/>
        </w:rPr>
        <w:t>Belan</w:t>
      </w:r>
      <w:r>
        <w:rPr>
          <w:sz w:val="25"/>
        </w:rPr>
        <w:t>, hearth and</w:t>
      </w:r>
      <w:r>
        <w:rPr>
          <w:spacing w:val="-3"/>
          <w:sz w:val="25"/>
        </w:rPr>
        <w:t> </w:t>
      </w:r>
      <w:r>
        <w:rPr>
          <w:sz w:val="25"/>
        </w:rPr>
        <w:t>footprints;</w:t>
      </w:r>
    </w:p>
    <w:p>
      <w:pPr>
        <w:pStyle w:val="ListParagraph"/>
        <w:numPr>
          <w:ilvl w:val="0"/>
          <w:numId w:val="174"/>
        </w:numPr>
        <w:tabs>
          <w:tab w:pos="1221" w:val="left" w:leader="none"/>
        </w:tabs>
        <w:spacing w:line="480" w:lineRule="auto" w:before="0" w:after="0"/>
        <w:ind w:left="1220" w:right="435" w:hanging="720"/>
        <w:jc w:val="both"/>
        <w:rPr>
          <w:sz w:val="25"/>
        </w:rPr>
      </w:pPr>
      <w:r>
        <w:rPr>
          <w:sz w:val="25"/>
        </w:rPr>
        <w:t>Inside the domed structure, there were pillars of black touchstone which had images of flowers, leaves and deities. Between 1928-1949, he had seen the picture of Lord Ram hanging inside the ‗Garbh Grih‘ and he claimed to have seen the idol of Lord Ram until</w:t>
      </w:r>
      <w:r>
        <w:rPr>
          <w:spacing w:val="-11"/>
          <w:sz w:val="25"/>
        </w:rPr>
        <w:t> </w:t>
      </w:r>
      <w:r>
        <w:rPr>
          <w:sz w:val="25"/>
        </w:rPr>
        <w:t>1949;</w:t>
      </w:r>
    </w:p>
    <w:p>
      <w:pPr>
        <w:spacing w:after="0" w:line="480" w:lineRule="auto"/>
        <w:jc w:val="both"/>
        <w:rPr>
          <w:sz w:val="25"/>
        </w:rPr>
        <w:sectPr>
          <w:pgSz w:w="11910" w:h="16840"/>
          <w:pgMar w:header="721" w:footer="1014" w:top="1300" w:bottom="1200" w:left="940" w:right="1000"/>
        </w:sectPr>
      </w:pPr>
    </w:p>
    <w:p>
      <w:pPr>
        <w:pStyle w:val="ListParagraph"/>
        <w:numPr>
          <w:ilvl w:val="0"/>
          <w:numId w:val="174"/>
        </w:numPr>
        <w:tabs>
          <w:tab w:pos="1220" w:val="left" w:leader="none"/>
          <w:tab w:pos="1221" w:val="left" w:leader="none"/>
        </w:tabs>
        <w:spacing w:line="480" w:lineRule="auto" w:before="124" w:after="0"/>
        <w:ind w:left="1220" w:right="440" w:hanging="720"/>
        <w:jc w:val="left"/>
        <w:rPr>
          <w:sz w:val="25"/>
        </w:rPr>
      </w:pPr>
      <w:r>
        <w:rPr>
          <w:sz w:val="25"/>
        </w:rPr>
        <w:t>In the grill-brick wall, there were two doors which remained locked and which were opened by the pujaris of Nirmohi Akhara. Darshan of</w:t>
      </w:r>
      <w:r>
        <w:rPr>
          <w:spacing w:val="33"/>
          <w:sz w:val="25"/>
        </w:rPr>
        <w:t> </w:t>
      </w:r>
      <w:r>
        <w:rPr>
          <w:sz w:val="25"/>
        </w:rPr>
        <w:t>the</w:t>
      </w:r>
    </w:p>
    <w:p>
      <w:pPr>
        <w:pStyle w:val="BodyText"/>
        <w:spacing w:line="480" w:lineRule="auto"/>
        <w:ind w:left="1220" w:right="512"/>
      </w:pPr>
      <w:r>
        <w:rPr/>
        <w:t>‗Garbh Grih‘ was arranged for the pilgrims from the railing where a donation box was kept;</w:t>
      </w:r>
    </w:p>
    <w:p>
      <w:pPr>
        <w:pStyle w:val="ListParagraph"/>
        <w:numPr>
          <w:ilvl w:val="0"/>
          <w:numId w:val="174"/>
        </w:numPr>
        <w:tabs>
          <w:tab w:pos="1220" w:val="left" w:leader="none"/>
          <w:tab w:pos="1221" w:val="left" w:leader="none"/>
        </w:tabs>
        <w:spacing w:line="480" w:lineRule="auto" w:before="0" w:after="0"/>
        <w:ind w:left="1220" w:right="437" w:hanging="720"/>
        <w:jc w:val="left"/>
        <w:rPr>
          <w:sz w:val="25"/>
        </w:rPr>
      </w:pPr>
      <w:r>
        <w:rPr>
          <w:sz w:val="25"/>
        </w:rPr>
        <w:t>Speaking of the worship at the ‗Garbh Grih‘, the following answers were elicited during the course of the cross-examination of the</w:t>
      </w:r>
      <w:r>
        <w:rPr>
          <w:spacing w:val="-7"/>
          <w:sz w:val="25"/>
        </w:rPr>
        <w:t> </w:t>
      </w:r>
      <w:r>
        <w:rPr>
          <w:sz w:val="25"/>
        </w:rPr>
        <w:t>witness:</w:t>
      </w:r>
    </w:p>
    <w:p>
      <w:pPr>
        <w:spacing w:line="276" w:lineRule="auto" w:before="0"/>
        <w:ind w:left="1940" w:right="2262" w:firstLine="0"/>
        <w:jc w:val="both"/>
        <w:rPr>
          <w:sz w:val="21"/>
        </w:rPr>
      </w:pPr>
      <w:r>
        <w:rPr>
          <w:spacing w:val="-1"/>
          <w:w w:val="33"/>
          <w:sz w:val="21"/>
        </w:rPr>
        <w:t>―</w:t>
      </w:r>
      <w:r>
        <w:rPr>
          <w:w w:val="100"/>
          <w:sz w:val="21"/>
        </w:rPr>
        <w:t>For</w:t>
      </w:r>
      <w:r>
        <w:rPr>
          <w:spacing w:val="17"/>
          <w:sz w:val="21"/>
        </w:rPr>
        <w:t> </w:t>
      </w:r>
      <w:r>
        <w:rPr>
          <w:spacing w:val="-1"/>
          <w:w w:val="100"/>
          <w:sz w:val="21"/>
        </w:rPr>
        <w:t>entr</w:t>
      </w:r>
      <w:r>
        <w:rPr>
          <w:w w:val="100"/>
          <w:sz w:val="21"/>
        </w:rPr>
        <w:t>y</w:t>
      </w:r>
      <w:r>
        <w:rPr>
          <w:spacing w:val="16"/>
          <w:sz w:val="21"/>
        </w:rPr>
        <w:t> </w:t>
      </w:r>
      <w:r>
        <w:rPr>
          <w:w w:val="100"/>
          <w:sz w:val="21"/>
        </w:rPr>
        <w:t>i</w:t>
      </w:r>
      <w:r>
        <w:rPr>
          <w:spacing w:val="-1"/>
          <w:w w:val="100"/>
          <w:sz w:val="21"/>
        </w:rPr>
        <w:t>nt</w:t>
      </w:r>
      <w:r>
        <w:rPr>
          <w:w w:val="100"/>
          <w:sz w:val="21"/>
        </w:rPr>
        <w:t>o</w:t>
      </w:r>
      <w:r>
        <w:rPr>
          <w:spacing w:val="18"/>
          <w:sz w:val="21"/>
        </w:rPr>
        <w:t> </w:t>
      </w:r>
      <w:r>
        <w:rPr>
          <w:spacing w:val="-2"/>
          <w:w w:val="100"/>
          <w:sz w:val="21"/>
        </w:rPr>
        <w:t>t</w:t>
      </w:r>
      <w:r>
        <w:rPr>
          <w:spacing w:val="-3"/>
          <w:w w:val="100"/>
          <w:sz w:val="21"/>
        </w:rPr>
        <w:t>h</w:t>
      </w:r>
      <w:r>
        <w:rPr>
          <w:w w:val="100"/>
          <w:sz w:val="21"/>
        </w:rPr>
        <w:t>e</w:t>
      </w:r>
      <w:r>
        <w:rPr>
          <w:spacing w:val="15"/>
          <w:sz w:val="21"/>
        </w:rPr>
        <w:t> </w:t>
      </w:r>
      <w:r>
        <w:rPr>
          <w:w w:val="40"/>
          <w:sz w:val="21"/>
        </w:rPr>
        <w:t>‗</w:t>
      </w:r>
      <w:r>
        <w:rPr>
          <w:spacing w:val="-2"/>
          <w:w w:val="100"/>
          <w:sz w:val="21"/>
        </w:rPr>
        <w:t>G</w:t>
      </w:r>
      <w:r>
        <w:rPr>
          <w:spacing w:val="-1"/>
          <w:w w:val="100"/>
          <w:sz w:val="21"/>
        </w:rPr>
        <w:t>arb</w:t>
      </w:r>
      <w:r>
        <w:rPr>
          <w:spacing w:val="-3"/>
          <w:w w:val="100"/>
          <w:sz w:val="21"/>
        </w:rPr>
        <w:t>h</w:t>
      </w:r>
      <w:r>
        <w:rPr>
          <w:spacing w:val="-1"/>
          <w:w w:val="100"/>
          <w:sz w:val="21"/>
        </w:rPr>
        <w:t>grah</w:t>
      </w:r>
      <w:r>
        <w:rPr>
          <w:spacing w:val="-3"/>
          <w:w w:val="100"/>
          <w:sz w:val="21"/>
        </w:rPr>
        <w:t>a</w:t>
      </w:r>
      <w:r>
        <w:rPr>
          <w:w w:val="100"/>
          <w:sz w:val="21"/>
        </w:rPr>
        <w:t>‘,</w:t>
      </w:r>
      <w:r>
        <w:rPr>
          <w:spacing w:val="17"/>
          <w:sz w:val="21"/>
        </w:rPr>
        <w:t> </w:t>
      </w:r>
      <w:r>
        <w:rPr>
          <w:spacing w:val="-2"/>
          <w:w w:val="100"/>
          <w:sz w:val="21"/>
        </w:rPr>
        <w:t>t</w:t>
      </w:r>
      <w:r>
        <w:rPr>
          <w:spacing w:val="-1"/>
          <w:w w:val="100"/>
          <w:sz w:val="21"/>
        </w:rPr>
        <w:t>her</w:t>
      </w:r>
      <w:r>
        <w:rPr>
          <w:w w:val="100"/>
          <w:sz w:val="21"/>
        </w:rPr>
        <w:t>e</w:t>
      </w:r>
      <w:r>
        <w:rPr>
          <w:spacing w:val="18"/>
          <w:sz w:val="21"/>
        </w:rPr>
        <w:t> </w:t>
      </w:r>
      <w:r>
        <w:rPr>
          <w:spacing w:val="-2"/>
          <w:w w:val="100"/>
          <w:sz w:val="21"/>
        </w:rPr>
        <w:t>w</w:t>
      </w:r>
      <w:r>
        <w:rPr>
          <w:spacing w:val="-1"/>
          <w:w w:val="100"/>
          <w:sz w:val="21"/>
        </w:rPr>
        <w:t>e</w:t>
      </w:r>
      <w:r>
        <w:rPr>
          <w:spacing w:val="-3"/>
          <w:w w:val="100"/>
          <w:sz w:val="21"/>
        </w:rPr>
        <w:t>r</w:t>
      </w:r>
      <w:r>
        <w:rPr>
          <w:w w:val="100"/>
          <w:sz w:val="21"/>
        </w:rPr>
        <w:t>e</w:t>
      </w:r>
      <w:r>
        <w:rPr>
          <w:spacing w:val="18"/>
          <w:sz w:val="21"/>
        </w:rPr>
        <w:t> </w:t>
      </w:r>
      <w:r>
        <w:rPr>
          <w:spacing w:val="-2"/>
          <w:w w:val="100"/>
          <w:sz w:val="21"/>
        </w:rPr>
        <w:t>tw</w:t>
      </w:r>
      <w:r>
        <w:rPr>
          <w:w w:val="100"/>
          <w:sz w:val="21"/>
        </w:rPr>
        <w:t>o</w:t>
      </w:r>
      <w:r>
        <w:rPr>
          <w:spacing w:val="18"/>
          <w:sz w:val="21"/>
        </w:rPr>
        <w:t> </w:t>
      </w:r>
      <w:r>
        <w:rPr>
          <w:spacing w:val="-1"/>
          <w:w w:val="100"/>
          <w:sz w:val="21"/>
        </w:rPr>
        <w:t>d</w:t>
      </w:r>
      <w:r>
        <w:rPr>
          <w:spacing w:val="-3"/>
          <w:w w:val="100"/>
          <w:sz w:val="21"/>
        </w:rPr>
        <w:t>o</w:t>
      </w:r>
      <w:r>
        <w:rPr>
          <w:spacing w:val="-1"/>
          <w:w w:val="100"/>
          <w:sz w:val="21"/>
        </w:rPr>
        <w:t>or</w:t>
      </w:r>
      <w:r>
        <w:rPr>
          <w:w w:val="100"/>
          <w:sz w:val="21"/>
        </w:rPr>
        <w:t>s</w:t>
      </w:r>
      <w:r>
        <w:rPr>
          <w:spacing w:val="17"/>
          <w:sz w:val="21"/>
        </w:rPr>
        <w:t> </w:t>
      </w:r>
      <w:r>
        <w:rPr>
          <w:w w:val="100"/>
          <w:sz w:val="21"/>
        </w:rPr>
        <w:t>in</w:t>
      </w:r>
      <w:r>
        <w:rPr>
          <w:spacing w:val="15"/>
          <w:sz w:val="21"/>
        </w:rPr>
        <w:t> </w:t>
      </w:r>
      <w:r>
        <w:rPr>
          <w:spacing w:val="-2"/>
          <w:w w:val="100"/>
          <w:sz w:val="21"/>
        </w:rPr>
        <w:t>t</w:t>
      </w:r>
      <w:r>
        <w:rPr>
          <w:spacing w:val="-3"/>
          <w:w w:val="100"/>
          <w:sz w:val="21"/>
        </w:rPr>
        <w:t>h</w:t>
      </w:r>
      <w:r>
        <w:rPr>
          <w:w w:val="100"/>
          <w:sz w:val="21"/>
        </w:rPr>
        <w:t>e </w:t>
      </w:r>
      <w:r>
        <w:rPr>
          <w:sz w:val="21"/>
        </w:rPr>
        <w:t>wall. Below the three shikhars were the pillars of touchstone. These pillars were similar to the pillars flanking the Hanumat </w:t>
      </w:r>
      <w:r>
        <w:rPr>
          <w:w w:val="100"/>
          <w:sz w:val="21"/>
        </w:rPr>
        <w:t>D</w:t>
      </w:r>
      <w:r>
        <w:rPr>
          <w:spacing w:val="-2"/>
          <w:w w:val="100"/>
          <w:sz w:val="21"/>
        </w:rPr>
        <w:t>w</w:t>
      </w:r>
      <w:r>
        <w:rPr>
          <w:spacing w:val="-1"/>
          <w:w w:val="100"/>
          <w:sz w:val="21"/>
        </w:rPr>
        <w:t>ar</w:t>
      </w:r>
      <w:r>
        <w:rPr>
          <w:w w:val="100"/>
          <w:sz w:val="21"/>
        </w:rPr>
        <w:t>.</w:t>
      </w:r>
      <w:r>
        <w:rPr>
          <w:spacing w:val="-1"/>
          <w:sz w:val="21"/>
        </w:rPr>
        <w:t> </w:t>
      </w:r>
      <w:r>
        <w:rPr>
          <w:spacing w:val="-2"/>
          <w:w w:val="100"/>
          <w:sz w:val="21"/>
        </w:rPr>
        <w:t>I</w:t>
      </w:r>
      <w:r>
        <w:rPr>
          <w:w w:val="100"/>
          <w:sz w:val="21"/>
        </w:rPr>
        <w:t>n</w:t>
      </w:r>
      <w:r>
        <w:rPr>
          <w:spacing w:val="1"/>
          <w:sz w:val="21"/>
        </w:rPr>
        <w:t> </w:t>
      </w:r>
      <w:r>
        <w:rPr>
          <w:spacing w:val="-2"/>
          <w:w w:val="100"/>
          <w:sz w:val="21"/>
        </w:rPr>
        <w:t>t</w:t>
      </w:r>
      <w:r>
        <w:rPr>
          <w:spacing w:val="-1"/>
          <w:w w:val="100"/>
          <w:sz w:val="21"/>
        </w:rPr>
        <w:t>h</w:t>
      </w:r>
      <w:r>
        <w:rPr>
          <w:w w:val="100"/>
          <w:sz w:val="21"/>
        </w:rPr>
        <w:t>e</w:t>
      </w:r>
      <w:r>
        <w:rPr>
          <w:spacing w:val="-1"/>
          <w:sz w:val="21"/>
        </w:rPr>
        <w:t> </w:t>
      </w:r>
      <w:r>
        <w:rPr>
          <w:w w:val="40"/>
          <w:sz w:val="21"/>
        </w:rPr>
        <w:t>‗</w:t>
      </w:r>
      <w:r>
        <w:rPr>
          <w:spacing w:val="-2"/>
          <w:w w:val="100"/>
          <w:sz w:val="21"/>
        </w:rPr>
        <w:t>G</w:t>
      </w:r>
      <w:r>
        <w:rPr>
          <w:spacing w:val="-1"/>
          <w:w w:val="100"/>
          <w:sz w:val="21"/>
        </w:rPr>
        <w:t>arb</w:t>
      </w:r>
      <w:r>
        <w:rPr>
          <w:spacing w:val="-3"/>
          <w:w w:val="100"/>
          <w:sz w:val="21"/>
        </w:rPr>
        <w:t>h</w:t>
      </w:r>
      <w:r>
        <w:rPr>
          <w:spacing w:val="-1"/>
          <w:w w:val="100"/>
          <w:sz w:val="21"/>
        </w:rPr>
        <w:t>gra</w:t>
      </w:r>
      <w:r>
        <w:rPr>
          <w:spacing w:val="-3"/>
          <w:w w:val="100"/>
          <w:sz w:val="21"/>
        </w:rPr>
        <w:t>h</w:t>
      </w:r>
      <w:r>
        <w:rPr>
          <w:spacing w:val="-1"/>
          <w:w w:val="100"/>
          <w:sz w:val="21"/>
        </w:rPr>
        <w:t>a</w:t>
      </w:r>
      <w:r>
        <w:rPr>
          <w:w w:val="100"/>
          <w:sz w:val="21"/>
        </w:rPr>
        <w:t>‘</w:t>
      </w:r>
      <w:r>
        <w:rPr>
          <w:sz w:val="21"/>
        </w:rPr>
        <w:t> </w:t>
      </w:r>
      <w:r>
        <w:rPr>
          <w:spacing w:val="-2"/>
          <w:w w:val="100"/>
          <w:sz w:val="21"/>
        </w:rPr>
        <w:t>w</w:t>
      </w:r>
      <w:r>
        <w:rPr>
          <w:spacing w:val="-1"/>
          <w:w w:val="100"/>
          <w:sz w:val="21"/>
        </w:rPr>
        <w:t>a</w:t>
      </w:r>
      <w:r>
        <w:rPr>
          <w:w w:val="100"/>
          <w:sz w:val="21"/>
        </w:rPr>
        <w:t>s</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2"/>
          <w:w w:val="100"/>
          <w:sz w:val="21"/>
        </w:rPr>
        <w:t>i</w:t>
      </w:r>
      <w:r>
        <w:rPr>
          <w:spacing w:val="-1"/>
          <w:w w:val="100"/>
          <w:sz w:val="21"/>
        </w:rPr>
        <w:t>d</w:t>
      </w:r>
      <w:r>
        <w:rPr>
          <w:spacing w:val="-3"/>
          <w:w w:val="100"/>
          <w:sz w:val="21"/>
        </w:rPr>
        <w:t>o</w:t>
      </w:r>
      <w:r>
        <w:rPr>
          <w:w w:val="100"/>
          <w:sz w:val="21"/>
        </w:rPr>
        <w:t>l</w:t>
      </w:r>
      <w:r>
        <w:rPr>
          <w:sz w:val="21"/>
        </w:rPr>
        <w:t> </w:t>
      </w:r>
      <w:r>
        <w:rPr>
          <w:spacing w:val="1"/>
          <w:w w:val="100"/>
          <w:sz w:val="21"/>
        </w:rPr>
        <w:t>m</w:t>
      </w:r>
      <w:r>
        <w:rPr>
          <w:spacing w:val="-1"/>
          <w:w w:val="100"/>
          <w:sz w:val="21"/>
        </w:rPr>
        <w:t>a</w:t>
      </w:r>
      <w:r>
        <w:rPr>
          <w:spacing w:val="-3"/>
          <w:w w:val="100"/>
          <w:sz w:val="21"/>
        </w:rPr>
        <w:t>d</w:t>
      </w:r>
      <w:r>
        <w:rPr>
          <w:w w:val="100"/>
          <w:sz w:val="21"/>
        </w:rPr>
        <w:t>e</w:t>
      </w:r>
      <w:r>
        <w:rPr>
          <w:spacing w:val="1"/>
          <w:sz w:val="21"/>
        </w:rPr>
        <w:t> </w:t>
      </w:r>
      <w:r>
        <w:rPr>
          <w:spacing w:val="-3"/>
          <w:w w:val="100"/>
          <w:sz w:val="21"/>
        </w:rPr>
        <w:t>o</w:t>
      </w:r>
      <w:r>
        <w:rPr>
          <w:w w:val="100"/>
          <w:sz w:val="21"/>
        </w:rPr>
        <w:t>f</w:t>
      </w:r>
      <w:r>
        <w:rPr>
          <w:spacing w:val="2"/>
          <w:sz w:val="21"/>
        </w:rPr>
        <w:t> </w:t>
      </w:r>
      <w:r>
        <w:rPr>
          <w:spacing w:val="-3"/>
          <w:w w:val="100"/>
          <w:sz w:val="21"/>
        </w:rPr>
        <w:t>b</w:t>
      </w:r>
      <w:r>
        <w:rPr>
          <w:w w:val="100"/>
          <w:sz w:val="21"/>
        </w:rPr>
        <w:t>l</w:t>
      </w:r>
      <w:r>
        <w:rPr>
          <w:spacing w:val="-1"/>
          <w:w w:val="100"/>
          <w:sz w:val="21"/>
        </w:rPr>
        <w:t>a</w:t>
      </w:r>
      <w:r>
        <w:rPr>
          <w:spacing w:val="-3"/>
          <w:w w:val="100"/>
          <w:sz w:val="21"/>
        </w:rPr>
        <w:t>c</w:t>
      </w:r>
      <w:r>
        <w:rPr>
          <w:w w:val="100"/>
          <w:sz w:val="21"/>
        </w:rPr>
        <w:t>k</w:t>
      </w:r>
      <w:r>
        <w:rPr>
          <w:spacing w:val="1"/>
          <w:sz w:val="21"/>
        </w:rPr>
        <w:t> </w:t>
      </w:r>
      <w:r>
        <w:rPr>
          <w:w w:val="100"/>
          <w:sz w:val="21"/>
        </w:rPr>
        <w:t>s</w:t>
      </w:r>
      <w:r>
        <w:rPr>
          <w:spacing w:val="-2"/>
          <w:w w:val="100"/>
          <w:sz w:val="21"/>
        </w:rPr>
        <w:t>t</w:t>
      </w:r>
      <w:r>
        <w:rPr>
          <w:spacing w:val="-1"/>
          <w:w w:val="100"/>
          <w:sz w:val="21"/>
        </w:rPr>
        <w:t>on</w:t>
      </w:r>
      <w:r>
        <w:rPr>
          <w:w w:val="100"/>
          <w:sz w:val="21"/>
        </w:rPr>
        <w:t>e</w:t>
      </w:r>
      <w:r>
        <w:rPr>
          <w:sz w:val="21"/>
        </w:rPr>
        <w:t> </w:t>
      </w:r>
      <w:r>
        <w:rPr>
          <w:spacing w:val="-3"/>
          <w:w w:val="100"/>
          <w:sz w:val="21"/>
        </w:rPr>
        <w:t>o</w:t>
      </w:r>
      <w:r>
        <w:rPr>
          <w:w w:val="100"/>
          <w:sz w:val="21"/>
        </w:rPr>
        <w:t>f </w:t>
      </w:r>
      <w:r>
        <w:rPr>
          <w:sz w:val="21"/>
        </w:rPr>
        <w:t>approximated 7‖ – 8‖ height. The idol was made of black stone. It is difficult to say whether it was made of touchstone because we used to see it from outside. This was the idol of Sita and Lord Rama in one stone. Apart from that I do not remember whether there was Lord Saligram or not because I used to see it from outside and it used to remain locked. I had not seen the idol or Rambhakt Hanuman Ji inside. The key of the lock used to be in the possession of the people of Nirmohi Akhara and whose pujaris would open the lock, close the lock, and perform aarti puja and sounded bells and bugles. Whenever I went there, the devotees made the offerings from </w:t>
      </w:r>
      <w:r>
        <w:rPr>
          <w:w w:val="100"/>
          <w:sz w:val="21"/>
        </w:rPr>
        <w:t>ou</w:t>
      </w:r>
      <w:r>
        <w:rPr>
          <w:spacing w:val="-1"/>
          <w:w w:val="100"/>
          <w:sz w:val="21"/>
        </w:rPr>
        <w:t>t</w:t>
      </w:r>
      <w:r>
        <w:rPr>
          <w:w w:val="100"/>
          <w:sz w:val="21"/>
        </w:rPr>
        <w:t>si</w:t>
      </w:r>
      <w:r>
        <w:rPr>
          <w:spacing w:val="-3"/>
          <w:w w:val="100"/>
          <w:sz w:val="21"/>
        </w:rPr>
        <w:t>d</w:t>
      </w:r>
      <w:r>
        <w:rPr>
          <w:w w:val="100"/>
          <w:sz w:val="21"/>
        </w:rPr>
        <w:t>e</w:t>
      </w:r>
      <w:r>
        <w:rPr>
          <w:spacing w:val="6"/>
          <w:sz w:val="21"/>
        </w:rPr>
        <w:t> </w:t>
      </w:r>
      <w:r>
        <w:rPr>
          <w:spacing w:val="-3"/>
          <w:w w:val="100"/>
          <w:sz w:val="21"/>
        </w:rPr>
        <w:t>o</w:t>
      </w:r>
      <w:r>
        <w:rPr>
          <w:w w:val="100"/>
          <w:sz w:val="21"/>
        </w:rPr>
        <w:t>n</w:t>
      </w:r>
      <w:r>
        <w:rPr>
          <w:spacing w:val="1"/>
          <w:w w:val="100"/>
          <w:sz w:val="21"/>
        </w:rPr>
        <w:t>l</w:t>
      </w:r>
      <w:r>
        <w:rPr>
          <w:w w:val="100"/>
          <w:sz w:val="21"/>
        </w:rPr>
        <w:t>y</w:t>
      </w:r>
      <w:r>
        <w:rPr>
          <w:spacing w:val="3"/>
          <w:sz w:val="21"/>
        </w:rPr>
        <w:t> </w:t>
      </w:r>
      <w:r>
        <w:rPr>
          <w:w w:val="100"/>
          <w:sz w:val="21"/>
        </w:rPr>
        <w:t>and</w:t>
      </w:r>
      <w:r>
        <w:rPr>
          <w:spacing w:val="4"/>
          <w:sz w:val="21"/>
        </w:rPr>
        <w:t> </w:t>
      </w:r>
      <w:r>
        <w:rPr>
          <w:w w:val="100"/>
          <w:sz w:val="21"/>
        </w:rPr>
        <w:t>ac</w:t>
      </w:r>
      <w:r>
        <w:rPr>
          <w:spacing w:val="-1"/>
          <w:w w:val="100"/>
          <w:sz w:val="21"/>
        </w:rPr>
        <w:t>cept</w:t>
      </w:r>
      <w:r>
        <w:rPr>
          <w:spacing w:val="-3"/>
          <w:w w:val="100"/>
          <w:sz w:val="21"/>
        </w:rPr>
        <w:t>e</w:t>
      </w:r>
      <w:r>
        <w:rPr>
          <w:w w:val="100"/>
          <w:sz w:val="21"/>
        </w:rPr>
        <w:t>d</w:t>
      </w:r>
      <w:r>
        <w:rPr>
          <w:spacing w:val="6"/>
          <w:sz w:val="21"/>
        </w:rPr>
        <w:t> </w:t>
      </w:r>
      <w:r>
        <w:rPr>
          <w:spacing w:val="-2"/>
          <w:w w:val="100"/>
          <w:sz w:val="21"/>
        </w:rPr>
        <w:t>t</w:t>
      </w:r>
      <w:r>
        <w:rPr>
          <w:spacing w:val="-1"/>
          <w:w w:val="100"/>
          <w:sz w:val="21"/>
        </w:rPr>
        <w:t>h</w:t>
      </w:r>
      <w:r>
        <w:rPr>
          <w:w w:val="100"/>
          <w:sz w:val="21"/>
        </w:rPr>
        <w:t>e</w:t>
      </w:r>
      <w:r>
        <w:rPr>
          <w:spacing w:val="6"/>
          <w:sz w:val="21"/>
        </w:rPr>
        <w:t> </w:t>
      </w:r>
      <w:r>
        <w:rPr>
          <w:spacing w:val="-2"/>
          <w:w w:val="40"/>
          <w:sz w:val="21"/>
        </w:rPr>
        <w:t>‗</w:t>
      </w:r>
      <w:r>
        <w:rPr>
          <w:spacing w:val="-1"/>
          <w:w w:val="100"/>
          <w:sz w:val="21"/>
        </w:rPr>
        <w:t>pras</w:t>
      </w:r>
      <w:r>
        <w:rPr>
          <w:spacing w:val="-3"/>
          <w:w w:val="100"/>
          <w:sz w:val="21"/>
        </w:rPr>
        <w:t>a</w:t>
      </w:r>
      <w:r>
        <w:rPr>
          <w:spacing w:val="-1"/>
          <w:w w:val="100"/>
          <w:sz w:val="21"/>
        </w:rPr>
        <w:t>d</w:t>
      </w:r>
      <w:r>
        <w:rPr>
          <w:spacing w:val="1"/>
          <w:w w:val="100"/>
          <w:sz w:val="21"/>
        </w:rPr>
        <w:t>‘</w:t>
      </w:r>
      <w:r>
        <w:rPr>
          <w:w w:val="100"/>
          <w:sz w:val="21"/>
        </w:rPr>
        <w:t>.</w:t>
      </w:r>
      <w:r>
        <w:rPr>
          <w:spacing w:val="2"/>
          <w:sz w:val="21"/>
        </w:rPr>
        <w:t> </w:t>
      </w:r>
      <w:r>
        <w:rPr>
          <w:w w:val="100"/>
          <w:sz w:val="21"/>
        </w:rPr>
        <w:t>Th</w:t>
      </w:r>
      <w:r>
        <w:rPr>
          <w:spacing w:val="-1"/>
          <w:w w:val="100"/>
          <w:sz w:val="21"/>
        </w:rPr>
        <w:t>e</w:t>
      </w:r>
      <w:r>
        <w:rPr>
          <w:w w:val="100"/>
          <w:sz w:val="21"/>
        </w:rPr>
        <w:t>y</w:t>
      </w:r>
      <w:r>
        <w:rPr>
          <w:spacing w:val="3"/>
          <w:sz w:val="21"/>
        </w:rPr>
        <w:t> </w:t>
      </w:r>
      <w:r>
        <w:rPr>
          <w:spacing w:val="-2"/>
          <w:w w:val="100"/>
          <w:sz w:val="21"/>
        </w:rPr>
        <w:t>w</w:t>
      </w:r>
      <w:r>
        <w:rPr>
          <w:spacing w:val="-1"/>
          <w:w w:val="100"/>
          <w:sz w:val="21"/>
        </w:rPr>
        <w:t>o</w:t>
      </w:r>
      <w:r>
        <w:rPr>
          <w:spacing w:val="-3"/>
          <w:w w:val="100"/>
          <w:sz w:val="21"/>
        </w:rPr>
        <w:t>u</w:t>
      </w:r>
      <w:r>
        <w:rPr>
          <w:spacing w:val="-2"/>
          <w:w w:val="100"/>
          <w:sz w:val="21"/>
        </w:rPr>
        <w:t>l</w:t>
      </w:r>
      <w:r>
        <w:rPr>
          <w:w w:val="100"/>
          <w:sz w:val="21"/>
        </w:rPr>
        <w:t>d</w:t>
      </w:r>
      <w:r>
        <w:rPr>
          <w:spacing w:val="6"/>
          <w:sz w:val="21"/>
        </w:rPr>
        <w:t> </w:t>
      </w:r>
      <w:r>
        <w:rPr>
          <w:spacing w:val="-1"/>
          <w:w w:val="100"/>
          <w:sz w:val="21"/>
        </w:rPr>
        <w:t>no</w:t>
      </w:r>
      <w:r>
        <w:rPr>
          <w:w w:val="100"/>
          <w:sz w:val="21"/>
        </w:rPr>
        <w:t>t</w:t>
      </w:r>
      <w:r>
        <w:rPr>
          <w:spacing w:val="5"/>
          <w:sz w:val="21"/>
        </w:rPr>
        <w:t> </w:t>
      </w:r>
      <w:r>
        <w:rPr>
          <w:spacing w:val="-1"/>
          <w:w w:val="100"/>
          <w:sz w:val="21"/>
        </w:rPr>
        <w:t>g</w:t>
      </w:r>
      <w:r>
        <w:rPr>
          <w:w w:val="100"/>
          <w:sz w:val="21"/>
        </w:rPr>
        <w:t>o</w:t>
      </w:r>
      <w:r>
        <w:rPr>
          <w:spacing w:val="4"/>
          <w:sz w:val="21"/>
        </w:rPr>
        <w:t> </w:t>
      </w:r>
      <w:r>
        <w:rPr>
          <w:w w:val="100"/>
          <w:sz w:val="21"/>
        </w:rPr>
        <w:t>i</w:t>
      </w:r>
      <w:r>
        <w:rPr>
          <w:spacing w:val="-1"/>
          <w:w w:val="100"/>
          <w:sz w:val="21"/>
        </w:rPr>
        <w:t>n. </w:t>
      </w:r>
      <w:r>
        <w:rPr>
          <w:sz w:val="21"/>
        </w:rPr>
        <w:t>From 1932 to 1949, I saw things happening in the same</w:t>
      </w:r>
      <w:r>
        <w:rPr>
          <w:spacing w:val="-42"/>
          <w:sz w:val="21"/>
        </w:rPr>
        <w:t> </w:t>
      </w:r>
      <w:r>
        <w:rPr>
          <w:sz w:val="21"/>
        </w:rPr>
        <w:t>way.‖</w:t>
      </w:r>
    </w:p>
    <w:p>
      <w:pPr>
        <w:pStyle w:val="BodyText"/>
      </w:pPr>
    </w:p>
    <w:p>
      <w:pPr>
        <w:pStyle w:val="BodyText"/>
        <w:spacing w:line="480" w:lineRule="auto"/>
        <w:ind w:left="500" w:right="462"/>
        <w:jc w:val="both"/>
      </w:pPr>
      <w:r>
        <w:rPr/>
        <w:t>OPW-5 spoke of the locks on the gate of the inner premises, as noticed earlier. OPW-5 also noted worship being offered from outside but according to him, the keys were with Nirmohi Akhara.</w:t>
      </w:r>
    </w:p>
    <w:p>
      <w:pPr>
        <w:pStyle w:val="ListParagraph"/>
        <w:numPr>
          <w:ilvl w:val="0"/>
          <w:numId w:val="174"/>
        </w:numPr>
        <w:tabs>
          <w:tab w:pos="1221" w:val="left" w:leader="none"/>
        </w:tabs>
        <w:spacing w:line="480" w:lineRule="auto" w:before="1" w:after="0"/>
        <w:ind w:left="1220" w:right="434" w:hanging="720"/>
        <w:jc w:val="both"/>
        <w:rPr>
          <w:sz w:val="25"/>
        </w:rPr>
      </w:pPr>
      <w:r>
        <w:rPr>
          <w:sz w:val="25"/>
        </w:rPr>
        <w:t>During the course his cross-examination by Mr Zafaryab Jilani, </w:t>
      </w:r>
      <w:r>
        <w:rPr>
          <w:spacing w:val="2"/>
          <w:sz w:val="25"/>
        </w:rPr>
        <w:t>the </w:t>
      </w:r>
      <w:r>
        <w:rPr>
          <w:sz w:val="25"/>
        </w:rPr>
        <w:t>witness spoke about three types of </w:t>
      </w:r>
      <w:r>
        <w:rPr>
          <w:i/>
          <w:sz w:val="25"/>
        </w:rPr>
        <w:t>parikrama </w:t>
      </w:r>
      <w:r>
        <w:rPr>
          <w:sz w:val="25"/>
        </w:rPr>
        <w:t>namely:</w:t>
      </w:r>
    </w:p>
    <w:p>
      <w:pPr>
        <w:pStyle w:val="ListParagraph"/>
        <w:numPr>
          <w:ilvl w:val="1"/>
          <w:numId w:val="174"/>
        </w:numPr>
        <w:tabs>
          <w:tab w:pos="1492" w:val="left" w:leader="none"/>
        </w:tabs>
        <w:spacing w:line="287" w:lineRule="exact" w:before="0" w:after="0"/>
        <w:ind w:left="1491" w:right="0" w:hanging="361"/>
        <w:jc w:val="left"/>
        <w:rPr>
          <w:sz w:val="25"/>
        </w:rPr>
      </w:pPr>
      <w:r>
        <w:rPr>
          <w:sz w:val="25"/>
        </w:rPr>
        <w:t>Fourteen</w:t>
      </w:r>
      <w:r>
        <w:rPr>
          <w:spacing w:val="-2"/>
          <w:sz w:val="25"/>
        </w:rPr>
        <w:t> </w:t>
      </w:r>
      <w:r>
        <w:rPr>
          <w:sz w:val="25"/>
        </w:rPr>
        <w:t>Kosi;</w:t>
      </w:r>
    </w:p>
    <w:p>
      <w:pPr>
        <w:pStyle w:val="BodyText"/>
        <w:spacing w:before="1"/>
      </w:pPr>
    </w:p>
    <w:p>
      <w:pPr>
        <w:pStyle w:val="ListParagraph"/>
        <w:numPr>
          <w:ilvl w:val="1"/>
          <w:numId w:val="174"/>
        </w:numPr>
        <w:tabs>
          <w:tab w:pos="1492" w:val="left" w:leader="none"/>
        </w:tabs>
        <w:spacing w:line="240" w:lineRule="auto" w:before="0" w:after="0"/>
        <w:ind w:left="1491" w:right="0" w:hanging="361"/>
        <w:jc w:val="left"/>
        <w:rPr>
          <w:sz w:val="25"/>
        </w:rPr>
      </w:pPr>
      <w:r>
        <w:rPr>
          <w:sz w:val="25"/>
        </w:rPr>
        <w:t>Five Kosi;</w:t>
      </w:r>
      <w:r>
        <w:rPr>
          <w:spacing w:val="-3"/>
          <w:sz w:val="25"/>
        </w:rPr>
        <w:t> </w:t>
      </w:r>
      <w:r>
        <w:rPr>
          <w:sz w:val="25"/>
        </w:rPr>
        <w:t>and</w:t>
      </w:r>
    </w:p>
    <w:p>
      <w:pPr>
        <w:pStyle w:val="BodyText"/>
        <w:spacing w:before="10"/>
        <w:rPr>
          <w:sz w:val="24"/>
        </w:rPr>
      </w:pPr>
    </w:p>
    <w:p>
      <w:pPr>
        <w:pStyle w:val="ListParagraph"/>
        <w:numPr>
          <w:ilvl w:val="1"/>
          <w:numId w:val="174"/>
        </w:numPr>
        <w:tabs>
          <w:tab w:pos="1492" w:val="left" w:leader="none"/>
        </w:tabs>
        <w:spacing w:line="240" w:lineRule="auto" w:before="1" w:after="0"/>
        <w:ind w:left="1491" w:right="0" w:hanging="361"/>
        <w:jc w:val="left"/>
        <w:rPr>
          <w:sz w:val="25"/>
        </w:rPr>
      </w:pPr>
      <w:r>
        <w:rPr>
          <w:sz w:val="25"/>
        </w:rPr>
        <w:t>Antargrahi</w:t>
      </w:r>
    </w:p>
    <w:p>
      <w:pPr>
        <w:spacing w:after="0" w:line="240" w:lineRule="auto"/>
        <w:jc w:val="left"/>
        <w:rPr>
          <w:sz w:val="25"/>
        </w:rPr>
        <w:sectPr>
          <w:pgSz w:w="11910" w:h="16840"/>
          <w:pgMar w:header="721" w:footer="1014" w:top="1300" w:bottom="1200" w:left="940" w:right="1000"/>
        </w:sectPr>
      </w:pPr>
    </w:p>
    <w:p>
      <w:pPr>
        <w:pStyle w:val="ListParagraph"/>
        <w:numPr>
          <w:ilvl w:val="0"/>
          <w:numId w:val="174"/>
        </w:numPr>
        <w:tabs>
          <w:tab w:pos="1221" w:val="left" w:leader="none"/>
        </w:tabs>
        <w:spacing w:line="480" w:lineRule="auto" w:before="124" w:after="0"/>
        <w:ind w:left="1220" w:right="437" w:hanging="720"/>
        <w:jc w:val="both"/>
        <w:rPr>
          <w:sz w:val="25"/>
        </w:rPr>
      </w:pPr>
      <w:r>
        <w:rPr>
          <w:sz w:val="25"/>
        </w:rPr>
        <w:t>Again, during the course of the cross-examination by Mr Jilani, the witness stated:</w:t>
      </w:r>
    </w:p>
    <w:p>
      <w:pPr>
        <w:spacing w:line="276" w:lineRule="auto" w:before="0"/>
        <w:ind w:left="1940" w:right="2263" w:firstLine="0"/>
        <w:jc w:val="both"/>
        <w:rPr>
          <w:sz w:val="21"/>
        </w:rPr>
      </w:pPr>
      <w:r>
        <w:rPr>
          <w:w w:val="33"/>
          <w:sz w:val="21"/>
        </w:rPr>
        <w:t>―</w:t>
      </w:r>
      <w:r>
        <w:rPr>
          <w:w w:val="100"/>
          <w:sz w:val="21"/>
        </w:rPr>
        <w:t>At</w:t>
      </w:r>
      <w:r>
        <w:rPr>
          <w:sz w:val="21"/>
        </w:rPr>
        <w:t> </w:t>
      </w:r>
      <w:r>
        <w:rPr>
          <w:w w:val="100"/>
          <w:sz w:val="21"/>
        </w:rPr>
        <w:t>the</w:t>
      </w:r>
      <w:r>
        <w:rPr>
          <w:sz w:val="21"/>
        </w:rPr>
        <w:t> </w:t>
      </w:r>
      <w:r>
        <w:rPr>
          <w:w w:val="100"/>
          <w:sz w:val="21"/>
        </w:rPr>
        <w:t>disputed</w:t>
      </w:r>
      <w:r>
        <w:rPr>
          <w:sz w:val="21"/>
        </w:rPr>
        <w:t> </w:t>
      </w:r>
      <w:r>
        <w:rPr>
          <w:w w:val="100"/>
          <w:sz w:val="21"/>
        </w:rPr>
        <w:t>premises,</w:t>
      </w:r>
      <w:r>
        <w:rPr>
          <w:sz w:val="21"/>
        </w:rPr>
        <w:t> </w:t>
      </w:r>
      <w:r>
        <w:rPr>
          <w:w w:val="100"/>
          <w:sz w:val="21"/>
        </w:rPr>
        <w:t>I</w:t>
      </w:r>
      <w:r>
        <w:rPr>
          <w:sz w:val="21"/>
        </w:rPr>
        <w:t> </w:t>
      </w:r>
      <w:r>
        <w:rPr>
          <w:w w:val="100"/>
          <w:sz w:val="21"/>
        </w:rPr>
        <w:t>used</w:t>
      </w:r>
      <w:r>
        <w:rPr>
          <w:sz w:val="21"/>
        </w:rPr>
        <w:t> </w:t>
      </w:r>
      <w:r>
        <w:rPr>
          <w:w w:val="100"/>
          <w:sz w:val="21"/>
        </w:rPr>
        <w:t>to</w:t>
      </w:r>
      <w:r>
        <w:rPr>
          <w:sz w:val="21"/>
        </w:rPr>
        <w:t> </w:t>
      </w:r>
      <w:r>
        <w:rPr>
          <w:w w:val="100"/>
          <w:sz w:val="21"/>
        </w:rPr>
        <w:t>have</w:t>
      </w:r>
      <w:r>
        <w:rPr>
          <w:sz w:val="21"/>
        </w:rPr>
        <w:t> </w:t>
      </w:r>
      <w:r>
        <w:rPr>
          <w:w w:val="100"/>
          <w:sz w:val="21"/>
        </w:rPr>
        <w:t>darshans</w:t>
      </w:r>
      <w:r>
        <w:rPr>
          <w:sz w:val="21"/>
        </w:rPr>
        <w:t> </w:t>
      </w:r>
      <w:r>
        <w:rPr>
          <w:w w:val="100"/>
          <w:sz w:val="21"/>
        </w:rPr>
        <w:t>at</w:t>
      </w:r>
      <w:r>
        <w:rPr>
          <w:sz w:val="21"/>
        </w:rPr>
        <w:t> </w:t>
      </w:r>
      <w:r>
        <w:rPr>
          <w:w w:val="100"/>
          <w:sz w:val="21"/>
        </w:rPr>
        <w:t>three </w:t>
      </w:r>
      <w:r>
        <w:rPr>
          <w:sz w:val="21"/>
        </w:rPr>
        <w:t>places- first, at the Chabutra on the left, then of the domed </w:t>
      </w:r>
      <w:r>
        <w:rPr>
          <w:w w:val="100"/>
          <w:sz w:val="21"/>
        </w:rPr>
        <w:t>(shikhar</w:t>
      </w:r>
      <w:r>
        <w:rPr>
          <w:sz w:val="21"/>
        </w:rPr>
        <w:t> </w:t>
      </w:r>
      <w:r>
        <w:rPr>
          <w:w w:val="100"/>
          <w:sz w:val="21"/>
        </w:rPr>
        <w:t>wale)</w:t>
      </w:r>
      <w:r>
        <w:rPr>
          <w:sz w:val="21"/>
        </w:rPr>
        <w:t> </w:t>
      </w:r>
      <w:r>
        <w:rPr>
          <w:w w:val="40"/>
          <w:sz w:val="21"/>
        </w:rPr>
        <w:t>‗</w:t>
      </w:r>
      <w:r>
        <w:rPr>
          <w:w w:val="100"/>
          <w:sz w:val="21"/>
        </w:rPr>
        <w:t>Garbhgraha‘</w:t>
      </w:r>
      <w:r>
        <w:rPr>
          <w:sz w:val="21"/>
        </w:rPr>
        <w:t> </w:t>
      </w:r>
      <w:r>
        <w:rPr>
          <w:w w:val="100"/>
          <w:sz w:val="21"/>
        </w:rPr>
        <w:t>from</w:t>
      </w:r>
      <w:r>
        <w:rPr>
          <w:sz w:val="21"/>
        </w:rPr>
        <w:t> </w:t>
      </w:r>
      <w:r>
        <w:rPr>
          <w:w w:val="100"/>
          <w:sz w:val="21"/>
        </w:rPr>
        <w:t>the</w:t>
      </w:r>
      <w:r>
        <w:rPr>
          <w:sz w:val="21"/>
        </w:rPr>
        <w:t> </w:t>
      </w:r>
      <w:r>
        <w:rPr>
          <w:w w:val="100"/>
          <w:sz w:val="21"/>
        </w:rPr>
        <w:t>railing</w:t>
      </w:r>
      <w:r>
        <w:rPr>
          <w:sz w:val="21"/>
        </w:rPr>
        <w:t> </w:t>
      </w:r>
      <w:r>
        <w:rPr>
          <w:w w:val="100"/>
          <w:sz w:val="21"/>
        </w:rPr>
        <w:t>outside</w:t>
      </w:r>
      <w:r>
        <w:rPr>
          <w:sz w:val="21"/>
        </w:rPr>
        <w:t> </w:t>
      </w:r>
      <w:r>
        <w:rPr>
          <w:w w:val="100"/>
          <w:sz w:val="21"/>
        </w:rPr>
        <w:t>and</w:t>
      </w:r>
      <w:r>
        <w:rPr>
          <w:sz w:val="21"/>
        </w:rPr>
        <w:t> </w:t>
      </w:r>
      <w:r>
        <w:rPr>
          <w:w w:val="100"/>
          <w:sz w:val="21"/>
        </w:rPr>
        <w:t>then </w:t>
      </w:r>
      <w:r>
        <w:rPr>
          <w:sz w:val="21"/>
        </w:rPr>
        <w:t>north to have darshan of Sita Rasoi.‖</w:t>
      </w:r>
    </w:p>
    <w:p>
      <w:pPr>
        <w:pStyle w:val="BodyText"/>
      </w:pPr>
    </w:p>
    <w:p>
      <w:pPr>
        <w:pStyle w:val="ListParagraph"/>
        <w:numPr>
          <w:ilvl w:val="0"/>
          <w:numId w:val="174"/>
        </w:numPr>
        <w:tabs>
          <w:tab w:pos="1221" w:val="left" w:leader="none"/>
        </w:tabs>
        <w:spacing w:line="480" w:lineRule="auto" w:before="0" w:after="0"/>
        <w:ind w:left="1220" w:right="440" w:hanging="720"/>
        <w:jc w:val="both"/>
        <w:rPr>
          <w:sz w:val="25"/>
        </w:rPr>
      </w:pPr>
      <w:r>
        <w:rPr>
          <w:sz w:val="25"/>
        </w:rPr>
        <w:t>The witness stated that between 1928 and 1949, two gates in the wall of the railings were locked as a result of which darshan was obtained only from the railings from where offerings of flowers were</w:t>
      </w:r>
      <w:r>
        <w:rPr>
          <w:spacing w:val="-8"/>
          <w:sz w:val="25"/>
        </w:rPr>
        <w:t> </w:t>
      </w:r>
      <w:r>
        <w:rPr>
          <w:sz w:val="25"/>
        </w:rPr>
        <w:t>made.</w:t>
      </w:r>
    </w:p>
    <w:p>
      <w:pPr>
        <w:pStyle w:val="BodyText"/>
        <w:spacing w:before="11"/>
        <w:rPr>
          <w:sz w:val="24"/>
        </w:rPr>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Dr Rajeev Dhavan has made an earnest effort to discredit the evidence of the witness on the basis of his inability to identify whether the photographs which were shown to him pertained to the disputed site. The witness stated that in  1990, a monkey caused the collapse of the disputed building. This answer is evidently a figment of his imagination and he did not furnish a true account of the demolition. The inability of the witness to respond to the photographs shown by the cross-examiner is certainly one aspect which has </w:t>
      </w:r>
      <w:r>
        <w:rPr>
          <w:spacing w:val="2"/>
          <w:sz w:val="25"/>
        </w:rPr>
        <w:t>to </w:t>
      </w:r>
      <w:r>
        <w:rPr>
          <w:sz w:val="25"/>
        </w:rPr>
        <w:t>be borne in mind but that cannot be a ground to discredit the witness. At the date of his cross-examination, the witness was over 90 years of age and the contradictions must be viewed keeping in mind the entirety of the evidence. The explanation of the witness in regard to the collapse of the structure is indeed far-fetched. However, an overall reading of the evidence would indicate that the answers which were elicited during the cross-examination of the witness by Mr Jilani leaves the substratum of the Examination-in-Chief of the witness on the nature of the worship by Hindu devotees at the site unshaken. The witness was conversant with the nature and manner</w:t>
      </w:r>
      <w:r>
        <w:rPr>
          <w:spacing w:val="7"/>
          <w:sz w:val="25"/>
        </w:rPr>
        <w:t> </w:t>
      </w:r>
      <w:r>
        <w:rPr>
          <w:sz w:val="25"/>
        </w:rPr>
        <w:t>of</w:t>
      </w:r>
      <w:r>
        <w:rPr>
          <w:spacing w:val="6"/>
          <w:sz w:val="25"/>
        </w:rPr>
        <w:t> </w:t>
      </w:r>
      <w:r>
        <w:rPr>
          <w:sz w:val="25"/>
        </w:rPr>
        <w:t>worship</w:t>
      </w:r>
      <w:r>
        <w:rPr>
          <w:spacing w:val="6"/>
          <w:sz w:val="25"/>
        </w:rPr>
        <w:t> </w:t>
      </w:r>
      <w:r>
        <w:rPr>
          <w:sz w:val="25"/>
        </w:rPr>
        <w:t>and</w:t>
      </w:r>
      <w:r>
        <w:rPr>
          <w:spacing w:val="6"/>
          <w:sz w:val="25"/>
        </w:rPr>
        <w:t> </w:t>
      </w:r>
      <w:r>
        <w:rPr>
          <w:sz w:val="25"/>
        </w:rPr>
        <w:t>there</w:t>
      </w:r>
      <w:r>
        <w:rPr>
          <w:spacing w:val="6"/>
          <w:sz w:val="25"/>
        </w:rPr>
        <w:t> </w:t>
      </w:r>
      <w:r>
        <w:rPr>
          <w:sz w:val="25"/>
        </w:rPr>
        <w:t>can</w:t>
      </w:r>
      <w:r>
        <w:rPr>
          <w:spacing w:val="6"/>
          <w:sz w:val="25"/>
        </w:rPr>
        <w:t> </w:t>
      </w:r>
      <w:r>
        <w:rPr>
          <w:sz w:val="25"/>
        </w:rPr>
        <w:t>be</w:t>
      </w:r>
      <w:r>
        <w:rPr>
          <w:spacing w:val="6"/>
          <w:sz w:val="25"/>
        </w:rPr>
        <w:t> </w:t>
      </w:r>
      <w:r>
        <w:rPr>
          <w:sz w:val="25"/>
        </w:rPr>
        <w:t>no</w:t>
      </w:r>
      <w:r>
        <w:rPr>
          <w:spacing w:val="6"/>
          <w:sz w:val="25"/>
        </w:rPr>
        <w:t> </w:t>
      </w:r>
      <w:r>
        <w:rPr>
          <w:sz w:val="25"/>
        </w:rPr>
        <w:t>manner</w:t>
      </w:r>
      <w:r>
        <w:rPr>
          <w:spacing w:val="7"/>
          <w:sz w:val="25"/>
        </w:rPr>
        <w:t> </w:t>
      </w:r>
      <w:r>
        <w:rPr>
          <w:sz w:val="25"/>
        </w:rPr>
        <w:t>of</w:t>
      </w:r>
      <w:r>
        <w:rPr>
          <w:spacing w:val="6"/>
          <w:sz w:val="25"/>
        </w:rPr>
        <w:t> </w:t>
      </w:r>
      <w:r>
        <w:rPr>
          <w:sz w:val="25"/>
        </w:rPr>
        <w:t>doubt</w:t>
      </w:r>
      <w:r>
        <w:rPr>
          <w:spacing w:val="6"/>
          <w:sz w:val="25"/>
        </w:rPr>
        <w:t> </w:t>
      </w:r>
      <w:r>
        <w:rPr>
          <w:sz w:val="25"/>
        </w:rPr>
        <w:t>either</w:t>
      </w:r>
      <w:r>
        <w:rPr>
          <w:spacing w:val="7"/>
          <w:sz w:val="25"/>
        </w:rPr>
        <w:t> </w:t>
      </w:r>
      <w:r>
        <w:rPr>
          <w:sz w:val="25"/>
        </w:rPr>
        <w:t>about</w:t>
      </w:r>
      <w:r>
        <w:rPr>
          <w:spacing w:val="6"/>
          <w:sz w:val="25"/>
        </w:rPr>
        <w:t> </w:t>
      </w:r>
      <w:r>
        <w:rPr>
          <w:sz w:val="25"/>
        </w:rPr>
        <w:t>his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5"/>
        <w:jc w:val="both"/>
      </w:pPr>
      <w:r>
        <w:rPr/>
        <w:t>presence at the disputed site as a worshipper or awareness of the modalities followed by the devotees including himself in the course of seeking worship at the disputed site.</w:t>
      </w:r>
    </w:p>
    <w:p>
      <w:pPr>
        <w:pStyle w:val="BodyText"/>
        <w:spacing w:before="7"/>
        <w:rPr>
          <w:sz w:val="38"/>
        </w:rPr>
      </w:pPr>
    </w:p>
    <w:p>
      <w:pPr>
        <w:pStyle w:val="ListParagraph"/>
        <w:numPr>
          <w:ilvl w:val="0"/>
          <w:numId w:val="166"/>
        </w:numPr>
        <w:tabs>
          <w:tab w:pos="1221" w:val="left" w:leader="none"/>
        </w:tabs>
        <w:spacing w:line="480" w:lineRule="auto" w:before="0" w:after="0"/>
        <w:ind w:left="500" w:right="435" w:firstLine="0"/>
        <w:jc w:val="both"/>
        <w:rPr>
          <w:sz w:val="25"/>
        </w:rPr>
      </w:pPr>
      <w:r>
        <w:rPr>
          <w:b/>
          <w:sz w:val="25"/>
        </w:rPr>
        <w:t>Housila Prasad Tripathi (OPW-6): </w:t>
      </w:r>
      <w:r>
        <w:rPr>
          <w:sz w:val="25"/>
        </w:rPr>
        <w:t>The witness was eighty years of age on 13 August 2002 on the date of his Examination-in-Chief. His village was 30 to 35 kilometres from Ayodhya which he visited in December 1935 for the first time when he was between the age of twelve-thirteen. The witness stated that his uncle was receiving education between 1932 and 1945 at Sanskrit Vidyalaya at Ayodhya. During this period, the witness came to Ayodhya three to four times a year. Thereafter also, the witness stated that he had visited Ayodhya for the purpose of darshan at Ram Janmabhumi. During the course of his Examination- in-Chief, the witness spoke about darshan at Ram</w:t>
      </w:r>
      <w:r>
        <w:rPr>
          <w:spacing w:val="-7"/>
          <w:sz w:val="25"/>
        </w:rPr>
        <w:t> </w:t>
      </w:r>
      <w:r>
        <w:rPr>
          <w:sz w:val="25"/>
        </w:rPr>
        <w:t>Janmabhumi:</w:t>
      </w:r>
    </w:p>
    <w:p>
      <w:pPr>
        <w:spacing w:line="276" w:lineRule="auto" w:before="164"/>
        <w:ind w:left="1940" w:right="2261" w:firstLine="0"/>
        <w:jc w:val="both"/>
        <w:rPr>
          <w:sz w:val="21"/>
        </w:rPr>
      </w:pPr>
      <w:r>
        <w:rPr>
          <w:spacing w:val="-1"/>
          <w:w w:val="33"/>
          <w:sz w:val="21"/>
        </w:rPr>
        <w:t>―</w:t>
      </w:r>
      <w:r>
        <w:rPr>
          <w:w w:val="100"/>
          <w:sz w:val="21"/>
        </w:rPr>
        <w:t>At</w:t>
      </w:r>
      <w:r>
        <w:rPr>
          <w:sz w:val="21"/>
        </w:rPr>
        <w:t> </w:t>
      </w:r>
      <w:r>
        <w:rPr>
          <w:spacing w:val="-10"/>
          <w:sz w:val="21"/>
        </w:rPr>
        <w:t> </w:t>
      </w:r>
      <w:r>
        <w:rPr>
          <w:spacing w:val="-2"/>
          <w:w w:val="100"/>
          <w:sz w:val="21"/>
        </w:rPr>
        <w:t>t</w:t>
      </w:r>
      <w:r>
        <w:rPr>
          <w:spacing w:val="-1"/>
          <w:w w:val="100"/>
          <w:sz w:val="21"/>
        </w:rPr>
        <w:t>h</w:t>
      </w:r>
      <w:r>
        <w:rPr>
          <w:w w:val="100"/>
          <w:sz w:val="21"/>
        </w:rPr>
        <w:t>e</w:t>
      </w:r>
      <w:r>
        <w:rPr>
          <w:sz w:val="21"/>
        </w:rPr>
        <w:t> </w:t>
      </w:r>
      <w:r>
        <w:rPr>
          <w:spacing w:val="-9"/>
          <w:sz w:val="21"/>
        </w:rPr>
        <w:t> </w:t>
      </w:r>
      <w:r>
        <w:rPr>
          <w:spacing w:val="-2"/>
          <w:w w:val="100"/>
          <w:sz w:val="21"/>
        </w:rPr>
        <w:t>t</w:t>
      </w:r>
      <w:r>
        <w:rPr>
          <w:w w:val="100"/>
          <w:sz w:val="21"/>
        </w:rPr>
        <w:t>i</w:t>
      </w:r>
      <w:r>
        <w:rPr>
          <w:spacing w:val="-1"/>
          <w:w w:val="100"/>
          <w:sz w:val="21"/>
        </w:rPr>
        <w:t>m</w:t>
      </w:r>
      <w:r>
        <w:rPr>
          <w:w w:val="100"/>
          <w:sz w:val="21"/>
        </w:rPr>
        <w:t>e</w:t>
      </w:r>
      <w:r>
        <w:rPr>
          <w:sz w:val="21"/>
        </w:rPr>
        <w:t> </w:t>
      </w:r>
      <w:r>
        <w:rPr>
          <w:spacing w:val="-9"/>
          <w:sz w:val="21"/>
        </w:rPr>
        <w:t> </w:t>
      </w:r>
      <w:r>
        <w:rPr>
          <w:spacing w:val="-1"/>
          <w:w w:val="100"/>
          <w:sz w:val="21"/>
        </w:rPr>
        <w:t>o</w:t>
      </w:r>
      <w:r>
        <w:rPr>
          <w:w w:val="100"/>
          <w:sz w:val="21"/>
        </w:rPr>
        <w:t>f</w:t>
      </w:r>
      <w:r>
        <w:rPr>
          <w:sz w:val="21"/>
        </w:rPr>
        <w:t> </w:t>
      </w:r>
      <w:r>
        <w:rPr>
          <w:spacing w:val="-11"/>
          <w:sz w:val="21"/>
        </w:rPr>
        <w:t> </w:t>
      </w:r>
      <w:r>
        <w:rPr>
          <w:w w:val="100"/>
          <w:sz w:val="21"/>
        </w:rPr>
        <w:t>R</w:t>
      </w:r>
      <w:r>
        <w:rPr>
          <w:spacing w:val="-3"/>
          <w:w w:val="100"/>
          <w:sz w:val="21"/>
        </w:rPr>
        <w:t>a</w:t>
      </w:r>
      <w:r>
        <w:rPr>
          <w:w w:val="100"/>
          <w:sz w:val="21"/>
        </w:rPr>
        <w:t>m</w:t>
      </w:r>
      <w:r>
        <w:rPr>
          <w:sz w:val="21"/>
        </w:rPr>
        <w:t> </w:t>
      </w:r>
      <w:r>
        <w:rPr>
          <w:spacing w:val="-10"/>
          <w:sz w:val="21"/>
        </w:rPr>
        <w:t> </w:t>
      </w:r>
      <w:r>
        <w:rPr>
          <w:w w:val="100"/>
          <w:sz w:val="21"/>
        </w:rPr>
        <w:t>N</w:t>
      </w:r>
      <w:r>
        <w:rPr>
          <w:spacing w:val="-3"/>
          <w:w w:val="100"/>
          <w:sz w:val="21"/>
        </w:rPr>
        <w:t>av</w:t>
      </w:r>
      <w:r>
        <w:rPr>
          <w:spacing w:val="1"/>
          <w:w w:val="100"/>
          <w:sz w:val="21"/>
        </w:rPr>
        <w:t>m</w:t>
      </w:r>
      <w:r>
        <w:rPr>
          <w:w w:val="100"/>
          <w:sz w:val="21"/>
        </w:rPr>
        <w:t>i,</w:t>
      </w:r>
      <w:r>
        <w:rPr>
          <w:sz w:val="21"/>
        </w:rPr>
        <w:t> </w:t>
      </w:r>
      <w:r>
        <w:rPr>
          <w:spacing w:val="-10"/>
          <w:sz w:val="21"/>
        </w:rPr>
        <w:t> </w:t>
      </w:r>
      <w:r>
        <w:rPr>
          <w:w w:val="100"/>
          <w:sz w:val="21"/>
        </w:rPr>
        <w:t>l</w:t>
      </w:r>
      <w:r>
        <w:rPr>
          <w:spacing w:val="-3"/>
          <w:w w:val="100"/>
          <w:sz w:val="21"/>
        </w:rPr>
        <w:t>a</w:t>
      </w:r>
      <w:r>
        <w:rPr>
          <w:w w:val="100"/>
          <w:sz w:val="21"/>
        </w:rPr>
        <w:t>khs</w:t>
      </w:r>
      <w:r>
        <w:rPr>
          <w:sz w:val="21"/>
        </w:rPr>
        <w:t> </w:t>
      </w:r>
      <w:r>
        <w:rPr>
          <w:spacing w:val="-9"/>
          <w:sz w:val="21"/>
        </w:rPr>
        <w:t> </w:t>
      </w:r>
      <w:r>
        <w:rPr>
          <w:spacing w:val="-3"/>
          <w:w w:val="100"/>
          <w:sz w:val="21"/>
        </w:rPr>
        <w:t>o</w:t>
      </w:r>
      <w:r>
        <w:rPr>
          <w:w w:val="100"/>
          <w:sz w:val="21"/>
        </w:rPr>
        <w:t>f</w:t>
      </w:r>
      <w:r>
        <w:rPr>
          <w:sz w:val="21"/>
        </w:rPr>
        <w:t> </w:t>
      </w:r>
      <w:r>
        <w:rPr>
          <w:spacing w:val="-8"/>
          <w:sz w:val="21"/>
        </w:rPr>
        <w:t> </w:t>
      </w:r>
      <w:r>
        <w:rPr>
          <w:spacing w:val="-1"/>
          <w:w w:val="100"/>
          <w:sz w:val="21"/>
        </w:rPr>
        <w:t>pe</w:t>
      </w:r>
      <w:r>
        <w:rPr>
          <w:spacing w:val="-2"/>
          <w:w w:val="100"/>
          <w:sz w:val="21"/>
        </w:rPr>
        <w:t>o</w:t>
      </w:r>
      <w:r>
        <w:rPr>
          <w:spacing w:val="-1"/>
          <w:w w:val="100"/>
          <w:sz w:val="21"/>
        </w:rPr>
        <w:t>p</w:t>
      </w:r>
      <w:r>
        <w:rPr>
          <w:spacing w:val="-2"/>
          <w:w w:val="100"/>
          <w:sz w:val="21"/>
        </w:rPr>
        <w:t>l</w:t>
      </w:r>
      <w:r>
        <w:rPr>
          <w:w w:val="100"/>
          <w:sz w:val="21"/>
        </w:rPr>
        <w:t>e</w:t>
      </w:r>
      <w:r>
        <w:rPr>
          <w:sz w:val="21"/>
        </w:rPr>
        <w:t> </w:t>
      </w:r>
      <w:r>
        <w:rPr>
          <w:spacing w:val="-9"/>
          <w:sz w:val="21"/>
        </w:rPr>
        <w:t> </w:t>
      </w:r>
      <w:r>
        <w:rPr>
          <w:spacing w:val="-1"/>
          <w:w w:val="100"/>
          <w:sz w:val="21"/>
        </w:rPr>
        <w:t>h</w:t>
      </w:r>
      <w:r>
        <w:rPr>
          <w:spacing w:val="-3"/>
          <w:w w:val="100"/>
          <w:sz w:val="21"/>
        </w:rPr>
        <w:t>a</w:t>
      </w:r>
      <w:r>
        <w:rPr>
          <w:w w:val="100"/>
          <w:sz w:val="21"/>
        </w:rPr>
        <w:t>d</w:t>
      </w:r>
      <w:r>
        <w:rPr>
          <w:sz w:val="21"/>
        </w:rPr>
        <w:t> </w:t>
      </w:r>
      <w:r>
        <w:rPr>
          <w:spacing w:val="-9"/>
          <w:sz w:val="21"/>
        </w:rPr>
        <w:t> </w:t>
      </w:r>
      <w:r>
        <w:rPr>
          <w:w w:val="100"/>
          <w:sz w:val="21"/>
        </w:rPr>
        <w:t>c</w:t>
      </w:r>
      <w:r>
        <w:rPr>
          <w:spacing w:val="-3"/>
          <w:w w:val="100"/>
          <w:sz w:val="21"/>
        </w:rPr>
        <w:t>o</w:t>
      </w:r>
      <w:r>
        <w:rPr>
          <w:spacing w:val="1"/>
          <w:w w:val="100"/>
          <w:sz w:val="21"/>
        </w:rPr>
        <w:t>m</w:t>
      </w:r>
      <w:r>
        <w:rPr>
          <w:w w:val="100"/>
          <w:sz w:val="21"/>
        </w:rPr>
        <w:t>e</w:t>
      </w:r>
      <w:r>
        <w:rPr>
          <w:sz w:val="21"/>
        </w:rPr>
        <w:t> </w:t>
      </w:r>
      <w:r>
        <w:rPr>
          <w:spacing w:val="-9"/>
          <w:sz w:val="21"/>
        </w:rPr>
        <w:t> </w:t>
      </w:r>
      <w:r>
        <w:rPr>
          <w:spacing w:val="-2"/>
          <w:w w:val="100"/>
          <w:sz w:val="21"/>
        </w:rPr>
        <w:t>t</w:t>
      </w:r>
      <w:r>
        <w:rPr>
          <w:w w:val="100"/>
          <w:sz w:val="21"/>
        </w:rPr>
        <w:t>o </w:t>
      </w:r>
      <w:r>
        <w:rPr>
          <w:sz w:val="21"/>
        </w:rPr>
        <w:t>Ayodhya from every nook and corner of the country. Majority of the pilgrims and visitors to Ayodhya come for the darshan of Ram Janam Bhoomi and offer prayers there. After having darshan of Shri Ram Janam Bhoomi, I have seen thousands of people doing Parikrama of the entire Shri Ram Janam Bhoomi premises from outside. I, alongwith my father and grand mother also had Parikrama of the entire Shri Ram Janam Bhoomi premises after darshans. Due to old age, my grand mother could do Parikrama only once whereas I and my father completed the Parikrama of Shri Ram Janam Bhoomi five</w:t>
      </w:r>
      <w:r>
        <w:rPr>
          <w:spacing w:val="-5"/>
          <w:sz w:val="21"/>
        </w:rPr>
        <w:t> </w:t>
      </w:r>
      <w:r>
        <w:rPr>
          <w:sz w:val="21"/>
        </w:rPr>
        <w:t>times.‖</w:t>
      </w:r>
    </w:p>
    <w:p>
      <w:pPr>
        <w:pStyle w:val="BodyText"/>
        <w:rPr>
          <w:sz w:val="24"/>
        </w:rPr>
      </w:pPr>
    </w:p>
    <w:p>
      <w:pPr>
        <w:pStyle w:val="BodyText"/>
        <w:spacing w:before="1"/>
        <w:rPr>
          <w:sz w:val="26"/>
        </w:rPr>
      </w:pPr>
    </w:p>
    <w:p>
      <w:pPr>
        <w:pStyle w:val="BodyText"/>
        <w:ind w:left="500"/>
        <w:jc w:val="both"/>
      </w:pPr>
      <w:r>
        <w:rPr/>
        <w:t>The salient aspects of his evidence are as follows:</w:t>
      </w:r>
    </w:p>
    <w:p>
      <w:pPr>
        <w:pStyle w:val="BodyText"/>
        <w:spacing w:before="10"/>
        <w:rPr>
          <w:sz w:val="24"/>
        </w:rPr>
      </w:pPr>
    </w:p>
    <w:p>
      <w:pPr>
        <w:pStyle w:val="ListParagraph"/>
        <w:numPr>
          <w:ilvl w:val="0"/>
          <w:numId w:val="175"/>
        </w:numPr>
        <w:tabs>
          <w:tab w:pos="1221" w:val="left" w:leader="none"/>
        </w:tabs>
        <w:spacing w:line="480" w:lineRule="auto" w:before="0" w:after="0"/>
        <w:ind w:left="1220" w:right="445" w:hanging="720"/>
        <w:jc w:val="both"/>
        <w:rPr>
          <w:sz w:val="25"/>
        </w:rPr>
      </w:pPr>
      <w:r>
        <w:rPr>
          <w:sz w:val="25"/>
        </w:rPr>
        <w:t>The witness spoke of the close proximity of Ramchabutra to the railing behind which there was a three domed structure which according to him represented the sanctum sanctorum of Ram</w:t>
      </w:r>
      <w:r>
        <w:rPr>
          <w:spacing w:val="-3"/>
          <w:sz w:val="25"/>
        </w:rPr>
        <w:t> </w:t>
      </w:r>
      <w:r>
        <w:rPr>
          <w:sz w:val="25"/>
        </w:rPr>
        <w:t>Janmabhumi:</w:t>
      </w:r>
    </w:p>
    <w:p>
      <w:pPr>
        <w:spacing w:after="0" w:line="480" w:lineRule="auto"/>
        <w:jc w:val="both"/>
        <w:rPr>
          <w:sz w:val="25"/>
        </w:rPr>
        <w:sectPr>
          <w:pgSz w:w="11910" w:h="16840"/>
          <w:pgMar w:header="721" w:footer="1014" w:top="1300" w:bottom="1200" w:left="940" w:right="1000"/>
        </w:sectPr>
      </w:pPr>
    </w:p>
    <w:p>
      <w:pPr>
        <w:spacing w:line="276" w:lineRule="auto" w:before="122"/>
        <w:ind w:left="1940" w:right="2259" w:firstLine="0"/>
        <w:jc w:val="both"/>
        <w:rPr>
          <w:sz w:val="21"/>
        </w:rPr>
      </w:pPr>
      <w:r>
        <w:rPr>
          <w:spacing w:val="-1"/>
          <w:w w:val="33"/>
          <w:sz w:val="21"/>
        </w:rPr>
        <w:t>―</w:t>
      </w:r>
      <w:r>
        <w:rPr>
          <w:w w:val="100"/>
          <w:sz w:val="21"/>
        </w:rPr>
        <w:t>R</w:t>
      </w:r>
      <w:r>
        <w:rPr>
          <w:spacing w:val="-2"/>
          <w:w w:val="100"/>
          <w:sz w:val="21"/>
        </w:rPr>
        <w:t>i</w:t>
      </w:r>
      <w:r>
        <w:rPr>
          <w:spacing w:val="-1"/>
          <w:w w:val="100"/>
          <w:sz w:val="21"/>
        </w:rPr>
        <w:t>gh</w:t>
      </w:r>
      <w:r>
        <w:rPr>
          <w:w w:val="100"/>
          <w:sz w:val="21"/>
        </w:rPr>
        <w:t>t</w:t>
      </w:r>
      <w:r>
        <w:rPr>
          <w:spacing w:val="7"/>
          <w:sz w:val="21"/>
        </w:rPr>
        <w:t> </w:t>
      </w:r>
      <w:r>
        <w:rPr>
          <w:spacing w:val="-2"/>
          <w:w w:val="100"/>
          <w:sz w:val="21"/>
        </w:rPr>
        <w:t>i</w:t>
      </w:r>
      <w:r>
        <w:rPr>
          <w:w w:val="100"/>
          <w:sz w:val="21"/>
        </w:rPr>
        <w:t>n</w:t>
      </w:r>
      <w:r>
        <w:rPr>
          <w:spacing w:val="8"/>
          <w:sz w:val="21"/>
        </w:rPr>
        <w:t> </w:t>
      </w:r>
      <w:r>
        <w:rPr>
          <w:spacing w:val="1"/>
          <w:w w:val="100"/>
          <w:sz w:val="21"/>
        </w:rPr>
        <w:t>f</w:t>
      </w:r>
      <w:r>
        <w:rPr>
          <w:spacing w:val="-1"/>
          <w:w w:val="100"/>
          <w:sz w:val="21"/>
        </w:rPr>
        <w:t>r</w:t>
      </w:r>
      <w:r>
        <w:rPr>
          <w:spacing w:val="-3"/>
          <w:w w:val="100"/>
          <w:sz w:val="21"/>
        </w:rPr>
        <w:t>o</w:t>
      </w:r>
      <w:r>
        <w:rPr>
          <w:spacing w:val="-1"/>
          <w:w w:val="100"/>
          <w:sz w:val="21"/>
        </w:rPr>
        <w:t>n</w:t>
      </w:r>
      <w:r>
        <w:rPr>
          <w:w w:val="100"/>
          <w:sz w:val="21"/>
        </w:rPr>
        <w:t>t</w:t>
      </w:r>
      <w:r>
        <w:rPr>
          <w:spacing w:val="7"/>
          <w:sz w:val="21"/>
        </w:rPr>
        <w:t> </w:t>
      </w:r>
      <w:r>
        <w:rPr>
          <w:spacing w:val="-3"/>
          <w:w w:val="100"/>
          <w:sz w:val="21"/>
        </w:rPr>
        <w:t>o</w:t>
      </w:r>
      <w:r>
        <w:rPr>
          <w:w w:val="100"/>
          <w:sz w:val="21"/>
        </w:rPr>
        <w:t>f</w:t>
      </w:r>
      <w:r>
        <w:rPr>
          <w:spacing w:val="9"/>
          <w:sz w:val="21"/>
        </w:rPr>
        <w:t> </w:t>
      </w:r>
      <w:r>
        <w:rPr>
          <w:spacing w:val="-2"/>
          <w:w w:val="100"/>
          <w:sz w:val="21"/>
        </w:rPr>
        <w:t>t</w:t>
      </w:r>
      <w:r>
        <w:rPr>
          <w:spacing w:val="-1"/>
          <w:w w:val="100"/>
          <w:sz w:val="21"/>
        </w:rPr>
        <w:t>h</w:t>
      </w:r>
      <w:r>
        <w:rPr>
          <w:w w:val="100"/>
          <w:sz w:val="21"/>
        </w:rPr>
        <w:t>e</w:t>
      </w:r>
      <w:r>
        <w:rPr>
          <w:spacing w:val="6"/>
          <w:sz w:val="21"/>
        </w:rPr>
        <w:t> </w:t>
      </w:r>
      <w:r>
        <w:rPr>
          <w:w w:val="100"/>
          <w:sz w:val="21"/>
        </w:rPr>
        <w:t>R</w:t>
      </w:r>
      <w:r>
        <w:rPr>
          <w:spacing w:val="-3"/>
          <w:w w:val="100"/>
          <w:sz w:val="21"/>
        </w:rPr>
        <w:t>a</w:t>
      </w:r>
      <w:r>
        <w:rPr>
          <w:w w:val="100"/>
          <w:sz w:val="21"/>
        </w:rPr>
        <w:t>m</w:t>
      </w:r>
      <w:r>
        <w:rPr>
          <w:spacing w:val="7"/>
          <w:sz w:val="21"/>
        </w:rPr>
        <w:t> </w:t>
      </w:r>
      <w:r>
        <w:rPr>
          <w:w w:val="100"/>
          <w:sz w:val="21"/>
        </w:rPr>
        <w:t>C</w:t>
      </w:r>
      <w:r>
        <w:rPr>
          <w:spacing w:val="-3"/>
          <w:w w:val="100"/>
          <w:sz w:val="21"/>
        </w:rPr>
        <w:t>h</w:t>
      </w:r>
      <w:r>
        <w:rPr>
          <w:spacing w:val="-1"/>
          <w:w w:val="100"/>
          <w:sz w:val="21"/>
        </w:rPr>
        <w:t>ab</w:t>
      </w:r>
      <w:r>
        <w:rPr>
          <w:spacing w:val="-2"/>
          <w:w w:val="100"/>
          <w:sz w:val="21"/>
        </w:rPr>
        <w:t>o</w:t>
      </w:r>
      <w:r>
        <w:rPr>
          <w:spacing w:val="-1"/>
          <w:w w:val="100"/>
          <w:sz w:val="21"/>
        </w:rPr>
        <w:t>otr</w:t>
      </w:r>
      <w:r>
        <w:rPr>
          <w:w w:val="100"/>
          <w:sz w:val="21"/>
        </w:rPr>
        <w:t>a</w:t>
      </w:r>
      <w:r>
        <w:rPr>
          <w:spacing w:val="8"/>
          <w:sz w:val="21"/>
        </w:rPr>
        <w:t> </w:t>
      </w:r>
      <w:r>
        <w:rPr>
          <w:spacing w:val="-1"/>
          <w:w w:val="100"/>
          <w:sz w:val="21"/>
        </w:rPr>
        <w:t>an</w:t>
      </w:r>
      <w:r>
        <w:rPr>
          <w:w w:val="100"/>
          <w:sz w:val="21"/>
        </w:rPr>
        <w:t>d</w:t>
      </w:r>
      <w:r>
        <w:rPr>
          <w:spacing w:val="6"/>
          <w:sz w:val="21"/>
        </w:rPr>
        <w:t> </w:t>
      </w:r>
      <w:r>
        <w:rPr>
          <w:spacing w:val="-2"/>
          <w:w w:val="100"/>
          <w:sz w:val="21"/>
        </w:rPr>
        <w:t>B</w:t>
      </w:r>
      <w:r>
        <w:rPr>
          <w:spacing w:val="-1"/>
          <w:w w:val="100"/>
          <w:sz w:val="21"/>
        </w:rPr>
        <w:t>ha</w:t>
      </w:r>
      <w:r>
        <w:rPr>
          <w:spacing w:val="-2"/>
          <w:w w:val="100"/>
          <w:sz w:val="21"/>
        </w:rPr>
        <w:t>n</w:t>
      </w:r>
      <w:r>
        <w:rPr>
          <w:spacing w:val="-1"/>
          <w:w w:val="100"/>
          <w:sz w:val="21"/>
        </w:rPr>
        <w:t>dar</w:t>
      </w:r>
      <w:r>
        <w:rPr>
          <w:w w:val="100"/>
          <w:sz w:val="21"/>
        </w:rPr>
        <w:t>,</w:t>
      </w:r>
      <w:r>
        <w:rPr>
          <w:spacing w:val="7"/>
          <w:sz w:val="21"/>
        </w:rPr>
        <w:t> </w:t>
      </w:r>
      <w:r>
        <w:rPr>
          <w:spacing w:val="-2"/>
          <w:w w:val="100"/>
          <w:sz w:val="21"/>
        </w:rPr>
        <w:t>t</w:t>
      </w:r>
      <w:r>
        <w:rPr>
          <w:spacing w:val="-1"/>
          <w:w w:val="100"/>
          <w:sz w:val="21"/>
        </w:rPr>
        <w:t>her</w:t>
      </w:r>
      <w:r>
        <w:rPr>
          <w:w w:val="100"/>
          <w:sz w:val="21"/>
        </w:rPr>
        <w:t>e</w:t>
      </w:r>
      <w:r>
        <w:rPr>
          <w:spacing w:val="8"/>
          <w:sz w:val="21"/>
        </w:rPr>
        <w:t> </w:t>
      </w:r>
      <w:r>
        <w:rPr>
          <w:spacing w:val="-2"/>
          <w:w w:val="100"/>
          <w:sz w:val="21"/>
        </w:rPr>
        <w:t>w</w:t>
      </w:r>
      <w:r>
        <w:rPr>
          <w:spacing w:val="-3"/>
          <w:w w:val="100"/>
          <w:sz w:val="21"/>
        </w:rPr>
        <w:t>a</w:t>
      </w:r>
      <w:r>
        <w:rPr>
          <w:w w:val="100"/>
          <w:sz w:val="21"/>
        </w:rPr>
        <w:t>s </w:t>
      </w:r>
      <w:r>
        <w:rPr>
          <w:sz w:val="21"/>
        </w:rPr>
        <w:t>a wall to the west in which there were several barred windows and two doors. The doors used to remain locked. There was  a building of three shikhars to the west of the wall with iron- bars in which the place of the central shikhar portion is Shri Ram Janam Bhoomi which is called Sanctum-Sanctorum, according to Hindu tradition, faith and belief. On the basis of this faith and belief, I also used to go for the darshan and Parikrama of the Shri Ram Janam</w:t>
      </w:r>
      <w:r>
        <w:rPr>
          <w:spacing w:val="-10"/>
          <w:sz w:val="21"/>
        </w:rPr>
        <w:t> </w:t>
      </w:r>
      <w:r>
        <w:rPr>
          <w:sz w:val="21"/>
        </w:rPr>
        <w:t>Bhoomi.‖</w:t>
      </w:r>
    </w:p>
    <w:p>
      <w:pPr>
        <w:pStyle w:val="BodyText"/>
        <w:spacing w:before="1"/>
      </w:pPr>
    </w:p>
    <w:p>
      <w:pPr>
        <w:pStyle w:val="BodyText"/>
        <w:spacing w:line="480" w:lineRule="auto"/>
        <w:ind w:left="1220" w:right="437"/>
        <w:jc w:val="both"/>
      </w:pPr>
      <w:r>
        <w:rPr/>
        <w:t>The close-proximity of Ramchabutra with the grill-brick wall is a matter </w:t>
      </w:r>
      <w:r>
        <w:rPr>
          <w:w w:val="99"/>
        </w:rPr>
        <w:t>which</w:t>
      </w:r>
      <w:r>
        <w:rPr/>
        <w:t> </w:t>
      </w:r>
      <w:r>
        <w:rPr>
          <w:w w:val="99"/>
        </w:rPr>
        <w:t>will</w:t>
      </w:r>
      <w:r>
        <w:rPr/>
        <w:t> </w:t>
      </w:r>
      <w:r>
        <w:rPr>
          <w:w w:val="99"/>
        </w:rPr>
        <w:t>assume</w:t>
      </w:r>
      <w:r>
        <w:rPr/>
        <w:t> </w:t>
      </w:r>
      <w:r>
        <w:rPr>
          <w:w w:val="99"/>
        </w:rPr>
        <w:t>importance.</w:t>
      </w:r>
      <w:r>
        <w:rPr/>
        <w:t> </w:t>
      </w:r>
      <w:r>
        <w:rPr>
          <w:w w:val="99"/>
        </w:rPr>
        <w:t>The</w:t>
      </w:r>
      <w:r>
        <w:rPr/>
        <w:t> </w:t>
      </w:r>
      <w:r>
        <w:rPr>
          <w:w w:val="99"/>
        </w:rPr>
        <w:t>witness</w:t>
      </w:r>
      <w:r>
        <w:rPr/>
        <w:t> </w:t>
      </w:r>
      <w:r>
        <w:rPr>
          <w:w w:val="99"/>
        </w:rPr>
        <w:t>noted</w:t>
      </w:r>
      <w:r>
        <w:rPr/>
        <w:t> </w:t>
      </w:r>
      <w:r>
        <w:rPr>
          <w:w w:val="99"/>
        </w:rPr>
        <w:t>that</w:t>
      </w:r>
      <w:r>
        <w:rPr/>
        <w:t> </w:t>
      </w:r>
      <w:r>
        <w:rPr>
          <w:w w:val="99"/>
        </w:rPr>
        <w:t>the</w:t>
      </w:r>
      <w:r>
        <w:rPr/>
        <w:t> </w:t>
      </w:r>
      <w:r>
        <w:rPr>
          <w:w w:val="99"/>
        </w:rPr>
        <w:t>wall</w:t>
      </w:r>
      <w:r>
        <w:rPr/>
        <w:t> </w:t>
      </w:r>
      <w:r>
        <w:rPr>
          <w:w w:val="99"/>
        </w:rPr>
        <w:t>was</w:t>
      </w:r>
      <w:r>
        <w:rPr/>
        <w:t> </w:t>
      </w:r>
      <w:r>
        <w:rPr>
          <w:w w:val="33"/>
        </w:rPr>
        <w:t>―</w:t>
      </w:r>
      <w:r>
        <w:rPr>
          <w:w w:val="99"/>
        </w:rPr>
        <w:t>right</w:t>
      </w:r>
      <w:r>
        <w:rPr/>
        <w:t> </w:t>
      </w:r>
      <w:r>
        <w:rPr>
          <w:w w:val="99"/>
        </w:rPr>
        <w:t>in </w:t>
      </w:r>
      <w:r>
        <w:rPr/>
        <w:t>front of Ramchabutra‖.</w:t>
      </w:r>
    </w:p>
    <w:p>
      <w:pPr>
        <w:pStyle w:val="ListParagraph"/>
        <w:numPr>
          <w:ilvl w:val="0"/>
          <w:numId w:val="175"/>
        </w:numPr>
        <w:tabs>
          <w:tab w:pos="1221" w:val="left" w:leader="none"/>
        </w:tabs>
        <w:spacing w:line="480" w:lineRule="auto" w:before="2" w:after="0"/>
        <w:ind w:left="1220" w:right="434" w:hanging="720"/>
        <w:jc w:val="both"/>
        <w:rPr>
          <w:sz w:val="25"/>
        </w:rPr>
      </w:pPr>
      <w:r>
        <w:rPr>
          <w:sz w:val="25"/>
        </w:rPr>
        <w:t>The witness spoke of the manner in which devotees would enter the courtyard and proceed for</w:t>
      </w:r>
      <w:r>
        <w:rPr>
          <w:spacing w:val="-3"/>
          <w:sz w:val="25"/>
        </w:rPr>
        <w:t> </w:t>
      </w:r>
      <w:r>
        <w:rPr>
          <w:sz w:val="25"/>
        </w:rPr>
        <w:t>darshan:</w:t>
      </w:r>
    </w:p>
    <w:p>
      <w:pPr>
        <w:spacing w:line="276" w:lineRule="auto" w:before="0"/>
        <w:ind w:left="1940" w:right="2261" w:firstLine="0"/>
        <w:jc w:val="both"/>
        <w:rPr>
          <w:sz w:val="21"/>
        </w:rPr>
      </w:pPr>
      <w:r>
        <w:rPr>
          <w:spacing w:val="-1"/>
          <w:w w:val="33"/>
          <w:sz w:val="21"/>
        </w:rPr>
        <w:t>―</w:t>
      </w:r>
      <w:r>
        <w:rPr>
          <w:w w:val="100"/>
          <w:sz w:val="21"/>
        </w:rPr>
        <w:t>A</w:t>
      </w:r>
      <w:r>
        <w:rPr>
          <w:spacing w:val="-2"/>
          <w:w w:val="100"/>
          <w:sz w:val="21"/>
        </w:rPr>
        <w:t>l</w:t>
      </w:r>
      <w:r>
        <w:rPr>
          <w:w w:val="100"/>
          <w:sz w:val="21"/>
        </w:rPr>
        <w:t>l</w:t>
      </w:r>
      <w:r>
        <w:rPr>
          <w:sz w:val="21"/>
        </w:rPr>
        <w:t> </w:t>
      </w:r>
      <w:r>
        <w:rPr>
          <w:spacing w:val="-23"/>
          <w:sz w:val="21"/>
        </w:rPr>
        <w:t> </w:t>
      </w:r>
      <w:r>
        <w:rPr>
          <w:spacing w:val="-2"/>
          <w:w w:val="100"/>
          <w:sz w:val="21"/>
        </w:rPr>
        <w:t>t</w:t>
      </w:r>
      <w:r>
        <w:rPr>
          <w:spacing w:val="-1"/>
          <w:w w:val="100"/>
          <w:sz w:val="21"/>
        </w:rPr>
        <w:t>h</w:t>
      </w:r>
      <w:r>
        <w:rPr>
          <w:w w:val="100"/>
          <w:sz w:val="21"/>
        </w:rPr>
        <w:t>e</w:t>
      </w:r>
      <w:r>
        <w:rPr>
          <w:sz w:val="21"/>
        </w:rPr>
        <w:t> </w:t>
      </w:r>
      <w:r>
        <w:rPr>
          <w:spacing w:val="-23"/>
          <w:sz w:val="21"/>
        </w:rPr>
        <w:t> </w:t>
      </w:r>
      <w:r>
        <w:rPr>
          <w:spacing w:val="-3"/>
          <w:w w:val="100"/>
          <w:sz w:val="21"/>
        </w:rPr>
        <w:t>p</w:t>
      </w:r>
      <w:r>
        <w:rPr>
          <w:w w:val="100"/>
          <w:sz w:val="21"/>
        </w:rPr>
        <w:t>il</w:t>
      </w:r>
      <w:r>
        <w:rPr>
          <w:spacing w:val="-1"/>
          <w:w w:val="100"/>
          <w:sz w:val="21"/>
        </w:rPr>
        <w:t>g</w:t>
      </w:r>
      <w:r>
        <w:rPr>
          <w:spacing w:val="-3"/>
          <w:w w:val="100"/>
          <w:sz w:val="21"/>
        </w:rPr>
        <w:t>r</w:t>
      </w:r>
      <w:r>
        <w:rPr>
          <w:spacing w:val="-2"/>
          <w:w w:val="100"/>
          <w:sz w:val="21"/>
        </w:rPr>
        <w:t>i</w:t>
      </w:r>
      <w:r>
        <w:rPr>
          <w:spacing w:val="1"/>
          <w:w w:val="100"/>
          <w:sz w:val="21"/>
        </w:rPr>
        <w:t>m</w:t>
      </w:r>
      <w:r>
        <w:rPr>
          <w:w w:val="100"/>
          <w:sz w:val="21"/>
        </w:rPr>
        <w:t>s</w:t>
      </w:r>
      <w:r>
        <w:rPr>
          <w:sz w:val="21"/>
        </w:rPr>
        <w:t> </w:t>
      </w:r>
      <w:r>
        <w:rPr>
          <w:spacing w:val="-21"/>
          <w:sz w:val="21"/>
        </w:rPr>
        <w:t> </w:t>
      </w:r>
      <w:r>
        <w:rPr>
          <w:w w:val="100"/>
          <w:sz w:val="21"/>
        </w:rPr>
        <w:t>–</w:t>
      </w:r>
      <w:r>
        <w:rPr>
          <w:sz w:val="21"/>
        </w:rPr>
        <w:t> </w:t>
      </w:r>
      <w:r>
        <w:rPr>
          <w:spacing w:val="-26"/>
          <w:sz w:val="21"/>
        </w:rPr>
        <w:t> </w:t>
      </w:r>
      <w:r>
        <w:rPr>
          <w:w w:val="100"/>
          <w:sz w:val="21"/>
        </w:rPr>
        <w:t>dars</w:t>
      </w:r>
      <w:r>
        <w:rPr>
          <w:spacing w:val="-3"/>
          <w:w w:val="100"/>
          <w:sz w:val="21"/>
        </w:rPr>
        <w:t>ha</w:t>
      </w:r>
      <w:r>
        <w:rPr>
          <w:w w:val="100"/>
          <w:sz w:val="21"/>
        </w:rPr>
        <w:t>nar</w:t>
      </w:r>
      <w:r>
        <w:rPr>
          <w:spacing w:val="-2"/>
          <w:w w:val="100"/>
          <w:sz w:val="21"/>
        </w:rPr>
        <w:t>t</w:t>
      </w:r>
      <w:r>
        <w:rPr>
          <w:w w:val="100"/>
          <w:sz w:val="21"/>
        </w:rPr>
        <w:t>hees</w:t>
      </w:r>
      <w:r>
        <w:rPr>
          <w:sz w:val="21"/>
        </w:rPr>
        <w:t> </w:t>
      </w:r>
      <w:r>
        <w:rPr>
          <w:spacing w:val="-23"/>
          <w:sz w:val="21"/>
        </w:rPr>
        <w:t> </w:t>
      </w:r>
      <w:r>
        <w:rPr>
          <w:spacing w:val="-2"/>
          <w:w w:val="100"/>
          <w:sz w:val="21"/>
        </w:rPr>
        <w:t>w</w:t>
      </w:r>
      <w:r>
        <w:rPr>
          <w:spacing w:val="-3"/>
          <w:w w:val="100"/>
          <w:sz w:val="21"/>
        </w:rPr>
        <w:t>o</w:t>
      </w:r>
      <w:r>
        <w:rPr>
          <w:w w:val="100"/>
          <w:sz w:val="21"/>
        </w:rPr>
        <w:t>u</w:t>
      </w:r>
      <w:r>
        <w:rPr>
          <w:spacing w:val="-2"/>
          <w:w w:val="100"/>
          <w:sz w:val="21"/>
        </w:rPr>
        <w:t>l</w:t>
      </w:r>
      <w:r>
        <w:rPr>
          <w:w w:val="100"/>
          <w:sz w:val="21"/>
        </w:rPr>
        <w:t>d</w:t>
      </w:r>
      <w:r>
        <w:rPr>
          <w:sz w:val="21"/>
        </w:rPr>
        <w:t> </w:t>
      </w:r>
      <w:r>
        <w:rPr>
          <w:spacing w:val="-24"/>
          <w:sz w:val="21"/>
        </w:rPr>
        <w:t> </w:t>
      </w:r>
      <w:r>
        <w:rPr>
          <w:w w:val="100"/>
          <w:sz w:val="21"/>
        </w:rPr>
        <w:t>en</w:t>
      </w:r>
      <w:r>
        <w:rPr>
          <w:spacing w:val="-1"/>
          <w:w w:val="100"/>
          <w:sz w:val="21"/>
        </w:rPr>
        <w:t>t</w:t>
      </w:r>
      <w:r>
        <w:rPr>
          <w:w w:val="100"/>
          <w:sz w:val="21"/>
        </w:rPr>
        <w:t>er</w:t>
      </w:r>
      <w:r>
        <w:rPr>
          <w:sz w:val="21"/>
        </w:rPr>
        <w:t> </w:t>
      </w:r>
      <w:r>
        <w:rPr>
          <w:spacing w:val="-24"/>
          <w:sz w:val="21"/>
        </w:rPr>
        <w:t> </w:t>
      </w:r>
      <w:r>
        <w:rPr>
          <w:spacing w:val="-2"/>
          <w:w w:val="100"/>
          <w:sz w:val="21"/>
        </w:rPr>
        <w:t>t</w:t>
      </w:r>
      <w:r>
        <w:rPr>
          <w:w w:val="100"/>
          <w:sz w:val="21"/>
        </w:rPr>
        <w:t>he</w:t>
      </w:r>
      <w:r>
        <w:rPr>
          <w:sz w:val="21"/>
        </w:rPr>
        <w:t> </w:t>
      </w:r>
      <w:r>
        <w:rPr>
          <w:spacing w:val="-26"/>
          <w:sz w:val="21"/>
        </w:rPr>
        <w:t> </w:t>
      </w:r>
      <w:r>
        <w:rPr>
          <w:w w:val="100"/>
          <w:sz w:val="21"/>
        </w:rPr>
        <w:t>S</w:t>
      </w:r>
      <w:r>
        <w:rPr>
          <w:spacing w:val="-1"/>
          <w:w w:val="100"/>
          <w:sz w:val="21"/>
        </w:rPr>
        <w:t>r</w:t>
      </w:r>
      <w:r>
        <w:rPr>
          <w:w w:val="100"/>
          <w:sz w:val="21"/>
        </w:rPr>
        <w:t>i</w:t>
      </w:r>
      <w:r>
        <w:rPr>
          <w:sz w:val="21"/>
        </w:rPr>
        <w:t> </w:t>
      </w:r>
      <w:r>
        <w:rPr>
          <w:spacing w:val="-25"/>
          <w:sz w:val="21"/>
        </w:rPr>
        <w:t> </w:t>
      </w:r>
      <w:r>
        <w:rPr>
          <w:w w:val="100"/>
          <w:sz w:val="21"/>
        </w:rPr>
        <w:t>R</w:t>
      </w:r>
      <w:r>
        <w:rPr>
          <w:spacing w:val="-3"/>
          <w:w w:val="100"/>
          <w:sz w:val="21"/>
        </w:rPr>
        <w:t>a</w:t>
      </w:r>
      <w:r>
        <w:rPr>
          <w:w w:val="100"/>
          <w:sz w:val="21"/>
        </w:rPr>
        <w:t>m </w:t>
      </w:r>
      <w:r>
        <w:rPr>
          <w:sz w:val="21"/>
        </w:rPr>
        <w:t>Janam Bhoomi premises from the entry gate to the east and have darshans of the idols placed at Ram Chabootra, of the idols placed under the neem and peepal tree located to its south-east corner and Sita Rasoi and the foot prints etc., there and also have darshan of sacrosanct Sri Ram Janam Bhoomi located inside the barred wall which is considered to be the</w:t>
      </w:r>
      <w:r>
        <w:rPr>
          <w:spacing w:val="-3"/>
          <w:sz w:val="21"/>
        </w:rPr>
        <w:t> </w:t>
      </w:r>
      <w:r>
        <w:rPr>
          <w:sz w:val="21"/>
        </w:rPr>
        <w:t>Sanctum-Sanctorum.‖</w:t>
      </w:r>
    </w:p>
    <w:p>
      <w:pPr>
        <w:pStyle w:val="BodyText"/>
        <w:spacing w:before="10"/>
        <w:rPr>
          <w:sz w:val="20"/>
        </w:rPr>
      </w:pPr>
    </w:p>
    <w:p>
      <w:pPr>
        <w:pStyle w:val="ListParagraph"/>
        <w:numPr>
          <w:ilvl w:val="0"/>
          <w:numId w:val="175"/>
        </w:numPr>
        <w:tabs>
          <w:tab w:pos="1221" w:val="left" w:leader="none"/>
        </w:tabs>
        <w:spacing w:line="480" w:lineRule="auto" w:before="0" w:after="0"/>
        <w:ind w:left="1220" w:right="445" w:hanging="720"/>
        <w:jc w:val="both"/>
        <w:rPr>
          <w:sz w:val="25"/>
        </w:rPr>
      </w:pPr>
      <w:r>
        <w:rPr>
          <w:sz w:val="25"/>
        </w:rPr>
        <w:t>The witness deposed to the presence of the black stone pillars within the three domed structure and of the carvings of deities on them. The space of the sanctum sanctorum represented, according to the witness, the place of birth of Lord</w:t>
      </w:r>
      <w:r>
        <w:rPr>
          <w:spacing w:val="-2"/>
          <w:sz w:val="25"/>
        </w:rPr>
        <w:t> </w:t>
      </w:r>
      <w:r>
        <w:rPr>
          <w:sz w:val="25"/>
        </w:rPr>
        <w:t>Ram:</w:t>
      </w:r>
    </w:p>
    <w:p>
      <w:pPr>
        <w:spacing w:line="276" w:lineRule="auto" w:before="2"/>
        <w:ind w:left="1940" w:right="2259" w:firstLine="0"/>
        <w:jc w:val="both"/>
        <w:rPr>
          <w:sz w:val="21"/>
        </w:rPr>
      </w:pPr>
      <w:r>
        <w:rPr>
          <w:spacing w:val="-1"/>
          <w:w w:val="33"/>
          <w:sz w:val="21"/>
        </w:rPr>
        <w:t>―</w:t>
      </w:r>
      <w:r>
        <w:rPr>
          <w:spacing w:val="-2"/>
          <w:w w:val="100"/>
          <w:sz w:val="21"/>
        </w:rPr>
        <w:t>I</w:t>
      </w:r>
      <w:r>
        <w:rPr>
          <w:w w:val="100"/>
          <w:sz w:val="21"/>
        </w:rPr>
        <w:t>n</w:t>
      </w:r>
      <w:r>
        <w:rPr>
          <w:sz w:val="21"/>
        </w:rPr>
        <w:t>  </w:t>
      </w:r>
      <w:r>
        <w:rPr>
          <w:spacing w:val="-12"/>
          <w:sz w:val="21"/>
        </w:rPr>
        <w:t> </w:t>
      </w:r>
      <w:r>
        <w:rPr>
          <w:spacing w:val="-2"/>
          <w:w w:val="100"/>
          <w:sz w:val="21"/>
        </w:rPr>
        <w:t>t</w:t>
      </w:r>
      <w:r>
        <w:rPr>
          <w:spacing w:val="-1"/>
          <w:w w:val="100"/>
          <w:sz w:val="21"/>
        </w:rPr>
        <w:t>h</w:t>
      </w:r>
      <w:r>
        <w:rPr>
          <w:w w:val="100"/>
          <w:sz w:val="21"/>
        </w:rPr>
        <w:t>e</w:t>
      </w:r>
      <w:r>
        <w:rPr>
          <w:sz w:val="21"/>
        </w:rPr>
        <w:t>  </w:t>
      </w:r>
      <w:r>
        <w:rPr>
          <w:spacing w:val="-12"/>
          <w:sz w:val="21"/>
        </w:rPr>
        <w:t> </w:t>
      </w:r>
      <w:r>
        <w:rPr>
          <w:spacing w:val="-2"/>
          <w:w w:val="100"/>
          <w:sz w:val="21"/>
        </w:rPr>
        <w:t>S</w:t>
      </w:r>
      <w:r>
        <w:rPr>
          <w:spacing w:val="-1"/>
          <w:w w:val="100"/>
          <w:sz w:val="21"/>
        </w:rPr>
        <w:t>anct</w:t>
      </w:r>
      <w:r>
        <w:rPr>
          <w:spacing w:val="-3"/>
          <w:w w:val="100"/>
          <w:sz w:val="21"/>
        </w:rPr>
        <w:t>u</w:t>
      </w:r>
      <w:r>
        <w:rPr>
          <w:spacing w:val="2"/>
          <w:w w:val="100"/>
          <w:sz w:val="21"/>
        </w:rPr>
        <w:t>m</w:t>
      </w:r>
      <w:r>
        <w:rPr>
          <w:spacing w:val="-4"/>
          <w:w w:val="100"/>
          <w:sz w:val="21"/>
        </w:rPr>
        <w:t>-</w:t>
      </w:r>
      <w:r>
        <w:rPr>
          <w:w w:val="100"/>
          <w:sz w:val="21"/>
        </w:rPr>
        <w:t>S</w:t>
      </w:r>
      <w:r>
        <w:rPr>
          <w:spacing w:val="-3"/>
          <w:w w:val="100"/>
          <w:sz w:val="21"/>
        </w:rPr>
        <w:t>a</w:t>
      </w:r>
      <w:r>
        <w:rPr>
          <w:w w:val="100"/>
          <w:sz w:val="21"/>
        </w:rPr>
        <w:t>nc</w:t>
      </w:r>
      <w:r>
        <w:rPr>
          <w:spacing w:val="-1"/>
          <w:w w:val="100"/>
          <w:sz w:val="21"/>
        </w:rPr>
        <w:t>t</w:t>
      </w:r>
      <w:r>
        <w:rPr>
          <w:spacing w:val="-3"/>
          <w:w w:val="100"/>
          <w:sz w:val="21"/>
        </w:rPr>
        <w:t>o</w:t>
      </w:r>
      <w:r>
        <w:rPr>
          <w:spacing w:val="-1"/>
          <w:w w:val="100"/>
          <w:sz w:val="21"/>
        </w:rPr>
        <w:t>r</w:t>
      </w:r>
      <w:r>
        <w:rPr>
          <w:w w:val="100"/>
          <w:sz w:val="21"/>
        </w:rPr>
        <w:t>um</w:t>
      </w:r>
      <w:r>
        <w:rPr>
          <w:sz w:val="21"/>
        </w:rPr>
        <w:t>  </w:t>
      </w:r>
      <w:r>
        <w:rPr>
          <w:spacing w:val="-13"/>
          <w:sz w:val="21"/>
        </w:rPr>
        <w:t> </w:t>
      </w:r>
      <w:r>
        <w:rPr>
          <w:w w:val="100"/>
          <w:sz w:val="21"/>
        </w:rPr>
        <w:t>l</w:t>
      </w:r>
      <w:r>
        <w:rPr>
          <w:spacing w:val="-3"/>
          <w:w w:val="100"/>
          <w:sz w:val="21"/>
        </w:rPr>
        <w:t>o</w:t>
      </w:r>
      <w:r>
        <w:rPr>
          <w:w w:val="100"/>
          <w:sz w:val="21"/>
        </w:rPr>
        <w:t>ca</w:t>
      </w:r>
      <w:r>
        <w:rPr>
          <w:spacing w:val="-1"/>
          <w:w w:val="100"/>
          <w:sz w:val="21"/>
        </w:rPr>
        <w:t>t</w:t>
      </w:r>
      <w:r>
        <w:rPr>
          <w:w w:val="100"/>
          <w:sz w:val="21"/>
        </w:rPr>
        <w:t>ed</w:t>
      </w:r>
      <w:r>
        <w:rPr>
          <w:sz w:val="21"/>
        </w:rPr>
        <w:t>  </w:t>
      </w:r>
      <w:r>
        <w:rPr>
          <w:spacing w:val="-15"/>
          <w:sz w:val="21"/>
        </w:rPr>
        <w:t> </w:t>
      </w:r>
      <w:r>
        <w:rPr>
          <w:spacing w:val="-2"/>
          <w:w w:val="100"/>
          <w:sz w:val="21"/>
        </w:rPr>
        <w:t>i</w:t>
      </w:r>
      <w:r>
        <w:rPr>
          <w:w w:val="100"/>
          <w:sz w:val="21"/>
        </w:rPr>
        <w:t>n</w:t>
      </w:r>
      <w:r>
        <w:rPr>
          <w:sz w:val="21"/>
        </w:rPr>
        <w:t>  </w:t>
      </w:r>
      <w:r>
        <w:rPr>
          <w:spacing w:val="-12"/>
          <w:sz w:val="21"/>
        </w:rPr>
        <w:t> </w:t>
      </w:r>
      <w:r>
        <w:rPr>
          <w:spacing w:val="2"/>
          <w:w w:val="100"/>
          <w:sz w:val="21"/>
        </w:rPr>
        <w:t>S</w:t>
      </w:r>
      <w:r>
        <w:rPr>
          <w:spacing w:val="-4"/>
          <w:w w:val="100"/>
          <w:sz w:val="21"/>
        </w:rPr>
        <w:t>r</w:t>
      </w:r>
      <w:r>
        <w:rPr>
          <w:w w:val="100"/>
          <w:sz w:val="21"/>
        </w:rPr>
        <w:t>i</w:t>
      </w:r>
      <w:r>
        <w:rPr>
          <w:sz w:val="21"/>
        </w:rPr>
        <w:t>  </w:t>
      </w:r>
      <w:r>
        <w:rPr>
          <w:spacing w:val="-14"/>
          <w:sz w:val="21"/>
        </w:rPr>
        <w:t> </w:t>
      </w:r>
      <w:r>
        <w:rPr>
          <w:w w:val="100"/>
          <w:sz w:val="21"/>
        </w:rPr>
        <w:t>R</w:t>
      </w:r>
      <w:r>
        <w:rPr>
          <w:spacing w:val="-3"/>
          <w:w w:val="100"/>
          <w:sz w:val="21"/>
        </w:rPr>
        <w:t>a</w:t>
      </w:r>
      <w:r>
        <w:rPr>
          <w:w w:val="100"/>
          <w:sz w:val="21"/>
        </w:rPr>
        <w:t>m</w:t>
      </w:r>
      <w:r>
        <w:rPr>
          <w:sz w:val="21"/>
        </w:rPr>
        <w:t>  </w:t>
      </w:r>
      <w:r>
        <w:rPr>
          <w:spacing w:val="-14"/>
          <w:sz w:val="21"/>
        </w:rPr>
        <w:t> </w:t>
      </w:r>
      <w:r>
        <w:rPr>
          <w:w w:val="100"/>
          <w:sz w:val="21"/>
        </w:rPr>
        <w:t>Ja</w:t>
      </w:r>
      <w:r>
        <w:rPr>
          <w:spacing w:val="-3"/>
          <w:w w:val="100"/>
          <w:sz w:val="21"/>
        </w:rPr>
        <w:t>na</w:t>
      </w:r>
      <w:r>
        <w:rPr>
          <w:w w:val="100"/>
          <w:sz w:val="21"/>
        </w:rPr>
        <w:t>m </w:t>
      </w:r>
      <w:r>
        <w:rPr>
          <w:sz w:val="21"/>
        </w:rPr>
        <w:t>Bhoomi, there were black pillars of touchstone on which drawn the pictures of flower-leaves and Gods and Goddesses. The temple with shikhars is the sacred Sanctum- Sanctorum whereas per the ancient belief, Lord Ram was born…</w:t>
      </w:r>
    </w:p>
    <w:p>
      <w:pPr>
        <w:spacing w:line="276" w:lineRule="auto" w:before="0"/>
        <w:ind w:left="1940" w:right="2265" w:firstLine="0"/>
        <w:jc w:val="both"/>
        <w:rPr>
          <w:sz w:val="21"/>
        </w:rPr>
      </w:pPr>
      <w:r>
        <w:rPr>
          <w:sz w:val="21"/>
        </w:rPr>
        <w:t>The touchstone (black stone) pillars were fixed at the doors of Garb Griha. The Hindu pilgrims also used to have the darshans of the idols drawn on those pillars.‖</w:t>
      </w:r>
    </w:p>
    <w:p>
      <w:pPr>
        <w:spacing w:after="0" w:line="276" w:lineRule="auto"/>
        <w:jc w:val="both"/>
        <w:rPr>
          <w:sz w:val="21"/>
        </w:rPr>
        <w:sectPr>
          <w:pgSz w:w="11910" w:h="16840"/>
          <w:pgMar w:header="721" w:footer="1014" w:top="1300" w:bottom="1200" w:left="940" w:right="1000"/>
        </w:sectPr>
      </w:pPr>
    </w:p>
    <w:p>
      <w:pPr>
        <w:pStyle w:val="ListParagraph"/>
        <w:numPr>
          <w:ilvl w:val="0"/>
          <w:numId w:val="175"/>
        </w:numPr>
        <w:tabs>
          <w:tab w:pos="1221" w:val="left" w:leader="none"/>
        </w:tabs>
        <w:spacing w:line="480" w:lineRule="auto" w:before="124" w:after="0"/>
        <w:ind w:left="1220" w:right="440" w:hanging="720"/>
        <w:jc w:val="both"/>
        <w:rPr>
          <w:sz w:val="25"/>
        </w:rPr>
      </w:pPr>
      <w:r>
        <w:rPr>
          <w:sz w:val="25"/>
        </w:rPr>
        <w:t>During the course of his cross-examination, certain material statements were elicited from the witness, some of which</w:t>
      </w:r>
      <w:r>
        <w:rPr>
          <w:spacing w:val="-8"/>
          <w:sz w:val="25"/>
        </w:rPr>
        <w:t> </w:t>
      </w:r>
      <w:r>
        <w:rPr>
          <w:sz w:val="25"/>
        </w:rPr>
        <w:t>are:</w:t>
      </w:r>
    </w:p>
    <w:p>
      <w:pPr>
        <w:pStyle w:val="ListParagraph"/>
        <w:numPr>
          <w:ilvl w:val="1"/>
          <w:numId w:val="175"/>
        </w:numPr>
        <w:tabs>
          <w:tab w:pos="1941" w:val="left" w:leader="none"/>
        </w:tabs>
        <w:spacing w:line="480" w:lineRule="auto" w:before="0" w:after="0"/>
        <w:ind w:left="1940" w:right="442" w:hanging="720"/>
        <w:jc w:val="both"/>
        <w:rPr>
          <w:sz w:val="25"/>
        </w:rPr>
      </w:pPr>
      <w:r>
        <w:rPr>
          <w:sz w:val="25"/>
        </w:rPr>
        <w:t>Between 1935 and 1949, when he went to the Ram Janmabhumi, he had darshan of Lord Ram at all the religious places like Ramchabutra, Sita Rasoi and the main sanctum</w:t>
      </w:r>
      <w:r>
        <w:rPr>
          <w:spacing w:val="-6"/>
          <w:sz w:val="25"/>
        </w:rPr>
        <w:t> </w:t>
      </w:r>
      <w:r>
        <w:rPr>
          <w:sz w:val="25"/>
        </w:rPr>
        <w:t>sanctorum;</w:t>
      </w:r>
    </w:p>
    <w:p>
      <w:pPr>
        <w:pStyle w:val="ListParagraph"/>
        <w:numPr>
          <w:ilvl w:val="1"/>
          <w:numId w:val="175"/>
        </w:numPr>
        <w:tabs>
          <w:tab w:pos="1941" w:val="left" w:leader="none"/>
        </w:tabs>
        <w:spacing w:line="480" w:lineRule="auto" w:before="0" w:after="0"/>
        <w:ind w:left="1940" w:right="441" w:hanging="720"/>
        <w:jc w:val="both"/>
        <w:rPr>
          <w:sz w:val="25"/>
        </w:rPr>
      </w:pPr>
      <w:r>
        <w:rPr>
          <w:sz w:val="25"/>
        </w:rPr>
        <w:t>At the sanctum sanctorum, darshan was obtained from outside the iron bars and prasad would be placed near the iron</w:t>
      </w:r>
      <w:r>
        <w:rPr>
          <w:spacing w:val="-14"/>
          <w:sz w:val="25"/>
        </w:rPr>
        <w:t> </w:t>
      </w:r>
      <w:r>
        <w:rPr>
          <w:sz w:val="25"/>
        </w:rPr>
        <w:t>bars;</w:t>
      </w:r>
    </w:p>
    <w:p>
      <w:pPr>
        <w:pStyle w:val="ListParagraph"/>
        <w:numPr>
          <w:ilvl w:val="1"/>
          <w:numId w:val="175"/>
        </w:numPr>
        <w:tabs>
          <w:tab w:pos="1941" w:val="left" w:leader="none"/>
        </w:tabs>
        <w:spacing w:line="480" w:lineRule="auto" w:before="0" w:after="0"/>
        <w:ind w:left="1940" w:right="436" w:hanging="720"/>
        <w:jc w:val="both"/>
        <w:rPr>
          <w:sz w:val="25"/>
        </w:rPr>
      </w:pPr>
      <w:r>
        <w:rPr>
          <w:sz w:val="25"/>
        </w:rPr>
        <w:t>In front of the eastern gate, there was a wall with iron bars in which there were two doors. Inside the door and below the dome was the sanctum sanctorum. There was a photo of Lord Ram inside the sanctum sanctorum. However, the witness had not himself seen any aarti being performed inside the sanctum sanctorum;</w:t>
      </w:r>
      <w:r>
        <w:rPr>
          <w:spacing w:val="-8"/>
          <w:sz w:val="25"/>
        </w:rPr>
        <w:t> </w:t>
      </w:r>
      <w:r>
        <w:rPr>
          <w:sz w:val="25"/>
        </w:rPr>
        <w:t>and</w:t>
      </w:r>
    </w:p>
    <w:p>
      <w:pPr>
        <w:pStyle w:val="ListParagraph"/>
        <w:numPr>
          <w:ilvl w:val="1"/>
          <w:numId w:val="175"/>
        </w:numPr>
        <w:tabs>
          <w:tab w:pos="1941" w:val="left" w:leader="none"/>
        </w:tabs>
        <w:spacing w:line="480" w:lineRule="auto" w:before="1" w:after="0"/>
        <w:ind w:left="1940" w:right="444" w:hanging="720"/>
        <w:jc w:val="both"/>
        <w:rPr>
          <w:sz w:val="25"/>
        </w:rPr>
      </w:pPr>
      <w:r>
        <w:rPr>
          <w:sz w:val="25"/>
        </w:rPr>
        <w:t>No Muslim would approach the premises out of fear of the sadhus and</w:t>
      </w:r>
      <w:r>
        <w:rPr>
          <w:spacing w:val="-2"/>
          <w:sz w:val="25"/>
        </w:rPr>
        <w:t> </w:t>
      </w:r>
      <w:r>
        <w:rPr>
          <w:sz w:val="25"/>
        </w:rPr>
        <w:t>bairagis.</w:t>
      </w:r>
    </w:p>
    <w:p>
      <w:pPr>
        <w:pStyle w:val="BodyText"/>
      </w:pPr>
    </w:p>
    <w:p>
      <w:pPr>
        <w:pStyle w:val="BodyText"/>
        <w:spacing w:line="480" w:lineRule="auto"/>
        <w:ind w:left="500" w:right="434"/>
        <w:jc w:val="both"/>
      </w:pPr>
      <w:r>
        <w:rPr/>
        <w:t>Based on what he perceived to be contradictions in the identification by the witness of certain photographs, Dr Rajeev Dhavan, in his written submissions criticised the testimony of the witness. He has also adverted to the statement of the witness that Ram Lalla had made his appearance under the middle dome in 1949. The witness also offered some explanation of the damage that was done to the building in 1934. These contradictions cannot lead to the discrediting of the witness or his entire testimony on the nature of worship by Hindu devotees at the site. There is no reason to doubt the statement of the witness that he was a regular visitor and a worshipper at the site. His testimony in the Examination-in- Chief on the nature and site of worship has not been shaken in the course of 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t>cross-examination. The discrepancies which have been noticed by Dr Rajeev Dhavan are certainly not of a nature which would cast doubt on the substratum of the deposition on the above aspects.</w:t>
      </w:r>
    </w:p>
    <w:p>
      <w:pPr>
        <w:pStyle w:val="BodyText"/>
        <w:spacing w:before="7"/>
        <w:rPr>
          <w:sz w:val="24"/>
        </w:rPr>
      </w:pPr>
    </w:p>
    <w:p>
      <w:pPr>
        <w:pStyle w:val="ListParagraph"/>
        <w:numPr>
          <w:ilvl w:val="0"/>
          <w:numId w:val="166"/>
        </w:numPr>
        <w:tabs>
          <w:tab w:pos="1221" w:val="left" w:leader="none"/>
        </w:tabs>
        <w:spacing w:line="480" w:lineRule="auto" w:before="1" w:after="0"/>
        <w:ind w:left="500" w:right="436" w:firstLine="0"/>
        <w:jc w:val="both"/>
        <w:rPr>
          <w:sz w:val="25"/>
        </w:rPr>
      </w:pPr>
      <w:r>
        <w:rPr>
          <w:b/>
          <w:sz w:val="25"/>
        </w:rPr>
        <w:t>Ram Surat Tewari (OPW-7): </w:t>
      </w:r>
      <w:r>
        <w:rPr>
          <w:sz w:val="25"/>
        </w:rPr>
        <w:t>The witness was seventy-three years old on the date of his Examination-in-Chief which is 19 September 2002. His village was situated 8 kilometres from Ayodhya. The witness stated that he visited Ayodhya for the first time in 1942 during the summer when he resided with his brother who was in service there. Thereafter, he visited Ayodhya four to five times each year. The witness has specifically adverted to the pillars of black stone on either side of Hanumat Dwar and to the carvings of</w:t>
      </w:r>
      <w:r>
        <w:rPr>
          <w:spacing w:val="-7"/>
          <w:sz w:val="25"/>
        </w:rPr>
        <w:t> </w:t>
      </w:r>
      <w:r>
        <w:rPr>
          <w:sz w:val="25"/>
        </w:rPr>
        <w:t>stone:</w:t>
      </w:r>
    </w:p>
    <w:p>
      <w:pPr>
        <w:spacing w:line="276" w:lineRule="auto" w:before="163"/>
        <w:ind w:left="1940" w:right="2264" w:firstLine="0"/>
        <w:jc w:val="both"/>
        <w:rPr>
          <w:sz w:val="21"/>
        </w:rPr>
      </w:pPr>
      <w:r>
        <w:rPr>
          <w:spacing w:val="-1"/>
          <w:w w:val="33"/>
          <w:sz w:val="21"/>
        </w:rPr>
        <w:t>―</w:t>
      </w:r>
      <w:r>
        <w:rPr>
          <w:spacing w:val="-2"/>
          <w:w w:val="100"/>
          <w:sz w:val="21"/>
        </w:rPr>
        <w:t>O</w:t>
      </w:r>
      <w:r>
        <w:rPr>
          <w:w w:val="100"/>
          <w:sz w:val="21"/>
        </w:rPr>
        <w:t>n</w:t>
      </w:r>
      <w:r>
        <w:rPr>
          <w:spacing w:val="18"/>
          <w:sz w:val="21"/>
        </w:rPr>
        <w:t> </w:t>
      </w:r>
      <w:r>
        <w:rPr>
          <w:spacing w:val="-1"/>
          <w:w w:val="100"/>
          <w:sz w:val="21"/>
        </w:rPr>
        <w:t>bot</w:t>
      </w:r>
      <w:r>
        <w:rPr>
          <w:w w:val="100"/>
          <w:sz w:val="21"/>
        </w:rPr>
        <w:t>h</w:t>
      </w:r>
      <w:r>
        <w:rPr>
          <w:spacing w:val="18"/>
          <w:sz w:val="21"/>
        </w:rPr>
        <w:t> </w:t>
      </w:r>
      <w:r>
        <w:rPr>
          <w:spacing w:val="-2"/>
          <w:w w:val="100"/>
          <w:sz w:val="21"/>
        </w:rPr>
        <w:t>t</w:t>
      </w:r>
      <w:r>
        <w:rPr>
          <w:spacing w:val="-1"/>
          <w:w w:val="100"/>
          <w:sz w:val="21"/>
        </w:rPr>
        <w:t>h</w:t>
      </w:r>
      <w:r>
        <w:rPr>
          <w:w w:val="100"/>
          <w:sz w:val="21"/>
        </w:rPr>
        <w:t>e</w:t>
      </w:r>
      <w:r>
        <w:rPr>
          <w:spacing w:val="16"/>
          <w:sz w:val="21"/>
        </w:rPr>
        <w:t> </w:t>
      </w:r>
      <w:r>
        <w:rPr>
          <w:w w:val="100"/>
          <w:sz w:val="21"/>
        </w:rPr>
        <w:t>si</w:t>
      </w:r>
      <w:r>
        <w:rPr>
          <w:w w:val="100"/>
          <w:sz w:val="21"/>
        </w:rPr>
        <w:t>des</w:t>
      </w:r>
      <w:r>
        <w:rPr>
          <w:spacing w:val="16"/>
          <w:sz w:val="21"/>
        </w:rPr>
        <w:t> </w:t>
      </w:r>
      <w:r>
        <w:rPr>
          <w:spacing w:val="-3"/>
          <w:w w:val="100"/>
          <w:sz w:val="21"/>
        </w:rPr>
        <w:t>o</w:t>
      </w:r>
      <w:r>
        <w:rPr>
          <w:w w:val="100"/>
          <w:sz w:val="21"/>
        </w:rPr>
        <w:t>f</w:t>
      </w:r>
      <w:r>
        <w:rPr>
          <w:spacing w:val="19"/>
          <w:sz w:val="21"/>
        </w:rPr>
        <w:t> </w:t>
      </w:r>
      <w:r>
        <w:rPr>
          <w:spacing w:val="-2"/>
          <w:w w:val="100"/>
          <w:sz w:val="21"/>
        </w:rPr>
        <w:t>H</w:t>
      </w:r>
      <w:r>
        <w:rPr>
          <w:spacing w:val="-3"/>
          <w:w w:val="100"/>
          <w:sz w:val="21"/>
        </w:rPr>
        <w:t>a</w:t>
      </w:r>
      <w:r>
        <w:rPr>
          <w:w w:val="100"/>
          <w:sz w:val="21"/>
        </w:rPr>
        <w:t>n</w:t>
      </w:r>
      <w:r>
        <w:rPr>
          <w:spacing w:val="-3"/>
          <w:w w:val="100"/>
          <w:sz w:val="21"/>
        </w:rPr>
        <w:t>u</w:t>
      </w:r>
      <w:r>
        <w:rPr>
          <w:spacing w:val="1"/>
          <w:w w:val="100"/>
          <w:sz w:val="21"/>
        </w:rPr>
        <w:t>m</w:t>
      </w:r>
      <w:r>
        <w:rPr>
          <w:w w:val="100"/>
          <w:sz w:val="21"/>
        </w:rPr>
        <w:t>at</w:t>
      </w:r>
      <w:r>
        <w:rPr>
          <w:spacing w:val="14"/>
          <w:sz w:val="21"/>
        </w:rPr>
        <w:t> </w:t>
      </w:r>
      <w:r>
        <w:rPr>
          <w:w w:val="100"/>
          <w:sz w:val="21"/>
        </w:rPr>
        <w:t>D</w:t>
      </w:r>
      <w:r>
        <w:rPr>
          <w:spacing w:val="-2"/>
          <w:w w:val="100"/>
          <w:sz w:val="21"/>
        </w:rPr>
        <w:t>w</w:t>
      </w:r>
      <w:r>
        <w:rPr>
          <w:w w:val="100"/>
          <w:sz w:val="21"/>
        </w:rPr>
        <w:t>ar,</w:t>
      </w:r>
      <w:r>
        <w:rPr>
          <w:spacing w:val="16"/>
          <w:sz w:val="21"/>
        </w:rPr>
        <w:t> </w:t>
      </w:r>
      <w:r>
        <w:rPr>
          <w:w w:val="100"/>
          <w:sz w:val="21"/>
        </w:rPr>
        <w:t>p</w:t>
      </w:r>
      <w:r>
        <w:rPr>
          <w:spacing w:val="-2"/>
          <w:w w:val="100"/>
          <w:sz w:val="21"/>
        </w:rPr>
        <w:t>i</w:t>
      </w:r>
      <w:r>
        <w:rPr>
          <w:spacing w:val="-2"/>
          <w:w w:val="100"/>
          <w:sz w:val="21"/>
        </w:rPr>
        <w:t>l</w:t>
      </w:r>
      <w:r>
        <w:rPr>
          <w:w w:val="100"/>
          <w:sz w:val="21"/>
        </w:rPr>
        <w:t>l</w:t>
      </w:r>
      <w:r>
        <w:rPr>
          <w:w w:val="100"/>
          <w:sz w:val="21"/>
        </w:rPr>
        <w:t>ars</w:t>
      </w:r>
      <w:r>
        <w:rPr>
          <w:spacing w:val="17"/>
          <w:sz w:val="21"/>
        </w:rPr>
        <w:t> </w:t>
      </w:r>
      <w:r>
        <w:rPr>
          <w:spacing w:val="-2"/>
          <w:w w:val="100"/>
          <w:sz w:val="21"/>
        </w:rPr>
        <w:t>w</w:t>
      </w:r>
      <w:r>
        <w:rPr>
          <w:w w:val="100"/>
          <w:sz w:val="21"/>
        </w:rPr>
        <w:t>e</w:t>
      </w:r>
      <w:r>
        <w:rPr>
          <w:spacing w:val="-3"/>
          <w:w w:val="100"/>
          <w:sz w:val="21"/>
        </w:rPr>
        <w:t>r</w:t>
      </w:r>
      <w:r>
        <w:rPr>
          <w:w w:val="100"/>
          <w:sz w:val="21"/>
        </w:rPr>
        <w:t>e</w:t>
      </w:r>
      <w:r>
        <w:rPr>
          <w:spacing w:val="16"/>
          <w:sz w:val="21"/>
        </w:rPr>
        <w:t> </w:t>
      </w:r>
      <w:r>
        <w:rPr>
          <w:w w:val="100"/>
          <w:sz w:val="21"/>
        </w:rPr>
        <w:t>erec</w:t>
      </w:r>
      <w:r>
        <w:rPr>
          <w:spacing w:val="-2"/>
          <w:w w:val="100"/>
          <w:sz w:val="21"/>
        </w:rPr>
        <w:t>t</w:t>
      </w:r>
      <w:r>
        <w:rPr>
          <w:w w:val="100"/>
          <w:sz w:val="21"/>
        </w:rPr>
        <w:t>ed</w:t>
      </w:r>
      <w:r>
        <w:rPr>
          <w:spacing w:val="16"/>
          <w:sz w:val="21"/>
        </w:rPr>
        <w:t> </w:t>
      </w:r>
      <w:r>
        <w:rPr>
          <w:w w:val="100"/>
          <w:sz w:val="21"/>
        </w:rPr>
        <w:t>of </w:t>
      </w:r>
      <w:r>
        <w:rPr>
          <w:sz w:val="21"/>
        </w:rPr>
        <w:t>black touch stone on which flowers, petals and human images were engraved. Human images looked like Dwarpal and their faces appeared scratched. My brother had told that the idols were of Jai and</w:t>
      </w:r>
      <w:r>
        <w:rPr>
          <w:spacing w:val="-11"/>
          <w:sz w:val="21"/>
        </w:rPr>
        <w:t> </w:t>
      </w:r>
      <w:r>
        <w:rPr>
          <w:sz w:val="21"/>
        </w:rPr>
        <w:t>Vijay.‖</w:t>
      </w:r>
    </w:p>
    <w:p>
      <w:pPr>
        <w:pStyle w:val="BodyText"/>
        <w:rPr>
          <w:sz w:val="24"/>
        </w:rPr>
      </w:pPr>
    </w:p>
    <w:p>
      <w:pPr>
        <w:pStyle w:val="BodyText"/>
        <w:spacing w:line="480" w:lineRule="auto" w:before="208"/>
        <w:ind w:left="500" w:right="435"/>
        <w:jc w:val="both"/>
      </w:pPr>
      <w:r>
        <w:rPr/>
        <w:t>In the above extract, the witness adverts to images which resembled dwarpal (gatekeeper) and of Jai and Vijay. Like the other witnesses, OPW-7 spoke of the fact that devotees would have darshan at Ramchabutra and then proceed through the lattice wall for obtaining darshan of the ‗Garbh Grih‘. The witness deposed that above the Singh Dwar, there existed two statues of lions, and between them of </w:t>
      </w:r>
      <w:r>
        <w:rPr>
          <w:i/>
        </w:rPr>
        <w:t>garuda</w:t>
      </w:r>
      <w:r>
        <w:rPr/>
        <w:t>. He also stated that a statue of varah (a boar) was installed on the southern wall of the main entrance gate. The witness spoke of twelve pillars of Kasauti stone inside and outside the main gate of the middle dome:</w:t>
      </w:r>
    </w:p>
    <w:p>
      <w:pPr>
        <w:spacing w:line="276" w:lineRule="auto" w:before="0"/>
        <w:ind w:left="1940" w:right="2260" w:firstLine="0"/>
        <w:jc w:val="both"/>
        <w:rPr>
          <w:sz w:val="21"/>
        </w:rPr>
      </w:pPr>
      <w:r>
        <w:rPr>
          <w:spacing w:val="-1"/>
          <w:w w:val="33"/>
          <w:sz w:val="21"/>
        </w:rPr>
        <w:t>―</w:t>
      </w:r>
      <w:r>
        <w:rPr>
          <w:w w:val="100"/>
          <w:sz w:val="21"/>
        </w:rPr>
        <w:t>T</w:t>
      </w:r>
      <w:r>
        <w:rPr>
          <w:spacing w:val="-1"/>
          <w:w w:val="100"/>
          <w:sz w:val="21"/>
        </w:rPr>
        <w:t>we</w:t>
      </w:r>
      <w:r>
        <w:rPr>
          <w:spacing w:val="1"/>
          <w:w w:val="100"/>
          <w:sz w:val="21"/>
        </w:rPr>
        <w:t>l</w:t>
      </w:r>
      <w:r>
        <w:rPr>
          <w:spacing w:val="-3"/>
          <w:w w:val="100"/>
          <w:sz w:val="21"/>
        </w:rPr>
        <w:t>v</w:t>
      </w:r>
      <w:r>
        <w:rPr>
          <w:w w:val="100"/>
          <w:sz w:val="21"/>
        </w:rPr>
        <w:t>e</w:t>
      </w:r>
      <w:r>
        <w:rPr>
          <w:sz w:val="21"/>
        </w:rPr>
        <w:t> </w:t>
      </w:r>
      <w:r>
        <w:rPr>
          <w:spacing w:val="-26"/>
          <w:sz w:val="21"/>
        </w:rPr>
        <w:t> </w:t>
      </w:r>
      <w:r>
        <w:rPr>
          <w:spacing w:val="-3"/>
          <w:w w:val="100"/>
          <w:sz w:val="21"/>
        </w:rPr>
        <w:t>p</w:t>
      </w:r>
      <w:r>
        <w:rPr>
          <w:w w:val="100"/>
          <w:sz w:val="21"/>
        </w:rPr>
        <w:t>i</w:t>
      </w:r>
      <w:r>
        <w:rPr>
          <w:spacing w:val="-2"/>
          <w:w w:val="100"/>
          <w:sz w:val="21"/>
        </w:rPr>
        <w:t>l</w:t>
      </w:r>
      <w:r>
        <w:rPr>
          <w:w w:val="100"/>
          <w:sz w:val="21"/>
        </w:rPr>
        <w:t>l</w:t>
      </w:r>
      <w:r>
        <w:rPr>
          <w:spacing w:val="-1"/>
          <w:w w:val="100"/>
          <w:sz w:val="21"/>
        </w:rPr>
        <w:t>ar</w:t>
      </w:r>
      <w:r>
        <w:rPr>
          <w:w w:val="100"/>
          <w:sz w:val="21"/>
        </w:rPr>
        <w:t>s</w:t>
      </w:r>
      <w:r>
        <w:rPr>
          <w:sz w:val="21"/>
        </w:rPr>
        <w:t> </w:t>
      </w:r>
      <w:r>
        <w:rPr>
          <w:spacing w:val="-27"/>
          <w:sz w:val="21"/>
        </w:rPr>
        <w:t> </w:t>
      </w:r>
      <w:r>
        <w:rPr>
          <w:spacing w:val="-3"/>
          <w:w w:val="100"/>
          <w:sz w:val="21"/>
        </w:rPr>
        <w:t>o</w:t>
      </w:r>
      <w:r>
        <w:rPr>
          <w:w w:val="100"/>
          <w:sz w:val="21"/>
        </w:rPr>
        <w:t>f</w:t>
      </w:r>
      <w:r>
        <w:rPr>
          <w:sz w:val="21"/>
        </w:rPr>
        <w:t> </w:t>
      </w:r>
      <w:r>
        <w:rPr>
          <w:spacing w:val="-28"/>
          <w:sz w:val="21"/>
        </w:rPr>
        <w:t> </w:t>
      </w:r>
      <w:r>
        <w:rPr>
          <w:w w:val="100"/>
          <w:sz w:val="21"/>
        </w:rPr>
        <w:t>K</w:t>
      </w:r>
      <w:r>
        <w:rPr>
          <w:spacing w:val="-1"/>
          <w:w w:val="100"/>
          <w:sz w:val="21"/>
        </w:rPr>
        <w:t>a</w:t>
      </w:r>
      <w:r>
        <w:rPr>
          <w:spacing w:val="-3"/>
          <w:w w:val="100"/>
          <w:sz w:val="21"/>
        </w:rPr>
        <w:t>s</w:t>
      </w:r>
      <w:r>
        <w:rPr>
          <w:spacing w:val="-1"/>
          <w:w w:val="100"/>
          <w:sz w:val="21"/>
        </w:rPr>
        <w:t>aut</w:t>
      </w:r>
      <w:r>
        <w:rPr>
          <w:w w:val="100"/>
          <w:sz w:val="21"/>
        </w:rPr>
        <w:t>i</w:t>
      </w:r>
      <w:r>
        <w:rPr>
          <w:sz w:val="21"/>
        </w:rPr>
        <w:t> </w:t>
      </w:r>
      <w:r>
        <w:rPr>
          <w:spacing w:val="-27"/>
          <w:sz w:val="21"/>
        </w:rPr>
        <w:t> </w:t>
      </w:r>
      <w:r>
        <w:rPr>
          <w:spacing w:val="-1"/>
          <w:w w:val="100"/>
          <w:sz w:val="21"/>
        </w:rPr>
        <w:t>(</w:t>
      </w:r>
      <w:r>
        <w:rPr>
          <w:spacing w:val="-2"/>
          <w:w w:val="100"/>
          <w:sz w:val="21"/>
        </w:rPr>
        <w:t>t</w:t>
      </w:r>
      <w:r>
        <w:rPr>
          <w:spacing w:val="-1"/>
          <w:w w:val="100"/>
          <w:sz w:val="21"/>
        </w:rPr>
        <w:t>ouc</w:t>
      </w:r>
      <w:r>
        <w:rPr>
          <w:w w:val="100"/>
          <w:sz w:val="21"/>
        </w:rPr>
        <w:t>h</w:t>
      </w:r>
      <w:r>
        <w:rPr>
          <w:sz w:val="21"/>
        </w:rPr>
        <w:t> </w:t>
      </w:r>
      <w:r>
        <w:rPr>
          <w:spacing w:val="-26"/>
          <w:sz w:val="21"/>
        </w:rPr>
        <w:t> </w:t>
      </w:r>
      <w:r>
        <w:rPr>
          <w:w w:val="100"/>
          <w:sz w:val="21"/>
        </w:rPr>
        <w:t>s</w:t>
      </w:r>
      <w:r>
        <w:rPr>
          <w:spacing w:val="-2"/>
          <w:w w:val="100"/>
          <w:sz w:val="21"/>
        </w:rPr>
        <w:t>t</w:t>
      </w:r>
      <w:r>
        <w:rPr>
          <w:spacing w:val="-1"/>
          <w:w w:val="100"/>
          <w:sz w:val="21"/>
        </w:rPr>
        <w:t>o</w:t>
      </w:r>
      <w:r>
        <w:rPr>
          <w:spacing w:val="-3"/>
          <w:w w:val="100"/>
          <w:sz w:val="21"/>
        </w:rPr>
        <w:t>n</w:t>
      </w:r>
      <w:r>
        <w:rPr>
          <w:spacing w:val="-1"/>
          <w:w w:val="100"/>
          <w:sz w:val="21"/>
        </w:rPr>
        <w:t>e</w:t>
      </w:r>
      <w:r>
        <w:rPr>
          <w:w w:val="100"/>
          <w:sz w:val="21"/>
        </w:rPr>
        <w:t>)</w:t>
      </w:r>
      <w:r>
        <w:rPr>
          <w:sz w:val="21"/>
        </w:rPr>
        <w:t> </w:t>
      </w:r>
      <w:r>
        <w:rPr>
          <w:spacing w:val="-27"/>
          <w:sz w:val="21"/>
        </w:rPr>
        <w:t> </w:t>
      </w:r>
      <w:r>
        <w:rPr>
          <w:spacing w:val="-2"/>
          <w:w w:val="100"/>
          <w:sz w:val="21"/>
        </w:rPr>
        <w:t>w</w:t>
      </w:r>
      <w:r>
        <w:rPr>
          <w:spacing w:val="-1"/>
          <w:w w:val="100"/>
          <w:sz w:val="21"/>
        </w:rPr>
        <w:t>er</w:t>
      </w:r>
      <w:r>
        <w:rPr>
          <w:w w:val="100"/>
          <w:sz w:val="21"/>
        </w:rPr>
        <w:t>e</w:t>
      </w:r>
      <w:r>
        <w:rPr>
          <w:sz w:val="21"/>
        </w:rPr>
        <w:t> </w:t>
      </w:r>
      <w:r>
        <w:rPr>
          <w:spacing w:val="-27"/>
          <w:sz w:val="21"/>
        </w:rPr>
        <w:t> </w:t>
      </w:r>
      <w:r>
        <w:rPr>
          <w:spacing w:val="-1"/>
          <w:w w:val="100"/>
          <w:sz w:val="21"/>
        </w:rPr>
        <w:t>e</w:t>
      </w:r>
      <w:r>
        <w:rPr>
          <w:spacing w:val="-3"/>
          <w:w w:val="100"/>
          <w:sz w:val="21"/>
        </w:rPr>
        <w:t>r</w:t>
      </w:r>
      <w:r>
        <w:rPr>
          <w:spacing w:val="-1"/>
          <w:w w:val="100"/>
          <w:sz w:val="21"/>
        </w:rPr>
        <w:t>ecte</w:t>
      </w:r>
      <w:r>
        <w:rPr>
          <w:w w:val="100"/>
          <w:sz w:val="21"/>
        </w:rPr>
        <w:t>d</w:t>
      </w:r>
      <w:r>
        <w:rPr>
          <w:sz w:val="21"/>
        </w:rPr>
        <w:t> </w:t>
      </w:r>
      <w:r>
        <w:rPr>
          <w:spacing w:val="-26"/>
          <w:sz w:val="21"/>
        </w:rPr>
        <w:t> </w:t>
      </w:r>
      <w:r>
        <w:rPr>
          <w:spacing w:val="-2"/>
          <w:w w:val="100"/>
          <w:sz w:val="21"/>
        </w:rPr>
        <w:t>i</w:t>
      </w:r>
      <w:r>
        <w:rPr>
          <w:spacing w:val="-1"/>
          <w:w w:val="100"/>
          <w:sz w:val="21"/>
        </w:rPr>
        <w:t>ns</w:t>
      </w:r>
      <w:r>
        <w:rPr>
          <w:spacing w:val="-2"/>
          <w:w w:val="100"/>
          <w:sz w:val="21"/>
        </w:rPr>
        <w:t>i</w:t>
      </w:r>
      <w:r>
        <w:rPr>
          <w:spacing w:val="-3"/>
          <w:w w:val="100"/>
          <w:sz w:val="21"/>
        </w:rPr>
        <w:t>d</w:t>
      </w:r>
      <w:r>
        <w:rPr>
          <w:w w:val="100"/>
          <w:sz w:val="21"/>
        </w:rPr>
        <w:t>e </w:t>
      </w:r>
      <w:r>
        <w:rPr>
          <w:sz w:val="21"/>
        </w:rPr>
        <w:t>and outside the main gate of middle dome of the three-domed</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sz w:val="21"/>
        </w:rPr>
      </w:pPr>
      <w:r>
        <w:rPr>
          <w:sz w:val="21"/>
        </w:rPr>
        <w:t>building inside the lattice wall and on those pillars a ghat- pallav, flowers and petals and the idols of Hindu Gods and Goddesses were inscribed and among them the faces of idols, hands and their legs were</w:t>
      </w:r>
      <w:r>
        <w:rPr>
          <w:spacing w:val="-15"/>
          <w:sz w:val="21"/>
        </w:rPr>
        <w:t> </w:t>
      </w:r>
      <w:r>
        <w:rPr>
          <w:sz w:val="21"/>
        </w:rPr>
        <w:t>scratched.‖</w:t>
      </w:r>
    </w:p>
    <w:p>
      <w:pPr>
        <w:pStyle w:val="BodyText"/>
        <w:rPr>
          <w:sz w:val="24"/>
        </w:rPr>
      </w:pPr>
    </w:p>
    <w:p>
      <w:pPr>
        <w:pStyle w:val="ListParagraph"/>
        <w:numPr>
          <w:ilvl w:val="0"/>
          <w:numId w:val="166"/>
        </w:numPr>
        <w:tabs>
          <w:tab w:pos="1221" w:val="left" w:leader="none"/>
        </w:tabs>
        <w:spacing w:line="480" w:lineRule="auto" w:before="206" w:after="0"/>
        <w:ind w:left="500" w:right="438" w:firstLine="0"/>
        <w:jc w:val="both"/>
        <w:rPr>
          <w:sz w:val="25"/>
        </w:rPr>
      </w:pPr>
      <w:r>
        <w:rPr>
          <w:b/>
          <w:sz w:val="25"/>
        </w:rPr>
        <w:t>Kaushal Kishore Mishra (OPW-12): </w:t>
      </w:r>
      <w:r>
        <w:rPr>
          <w:sz w:val="25"/>
        </w:rPr>
        <w:t>The witness was seventy-five years of age on 19 September 2002, the date of the Examination-in-Chief. A resident of Ayodhya, the witness is an Acharya and belongs to a family of priests. Since the age of fourteen or fifteen, the witness stated that he was performing worship at Ram Janmabhumi. During the course of the Examination-in-Chief, the witness stated that lakhs of people gathered there for worship on the occasion of festivals when they would visit Ramchabutra, Sita Rasoi and the sanctum sanctorum where Lord Ram was born below the middle dome of the three domed structure. The devotees would also perform a </w:t>
      </w:r>
      <w:r>
        <w:rPr>
          <w:i/>
          <w:sz w:val="25"/>
        </w:rPr>
        <w:t>parikrama</w:t>
      </w:r>
      <w:r>
        <w:rPr>
          <w:sz w:val="25"/>
        </w:rPr>
        <w:t>. The witness also stated that no Muslim of Ayodhya came near the premises of Ram Janmabhumi for the purpose of prayer and there was no offering of</w:t>
      </w:r>
      <w:r>
        <w:rPr>
          <w:spacing w:val="-6"/>
          <w:sz w:val="25"/>
        </w:rPr>
        <w:t> </w:t>
      </w:r>
      <w:r>
        <w:rPr>
          <w:sz w:val="25"/>
        </w:rPr>
        <w:t>namaz.</w:t>
      </w:r>
    </w:p>
    <w:p>
      <w:pPr>
        <w:pStyle w:val="BodyText"/>
        <w:rPr>
          <w:sz w:val="28"/>
        </w:rPr>
      </w:pPr>
    </w:p>
    <w:p>
      <w:pPr>
        <w:pStyle w:val="BodyText"/>
      </w:pPr>
    </w:p>
    <w:p>
      <w:pPr>
        <w:pStyle w:val="BodyText"/>
        <w:spacing w:line="480" w:lineRule="auto" w:before="1"/>
        <w:ind w:left="500" w:right="435"/>
        <w:jc w:val="both"/>
      </w:pPr>
      <w:r>
        <w:rPr/>
        <w:t>According to the witness, there were idols of Ram Lalla and Shaligram on the Chabutra where offerings were made. Bairagis and sadhus also lived there, and they belonged to Nirmohi Akhara. Prasad for the deities was prepared in the  store of Nirmohi Akhara and a priest was also appointed to look after the Ram Mandir and Sita Rasoi. The witness spoke about the two doors at the outer courtyard and the grill-brick wall separating the disputed building and the outer courtyard. Both the doors of the wall with bars would be opened and the witness stated that he would go through the gate to worship the idol of Lord Ram. Though,</w:t>
      </w:r>
      <w:r>
        <w:rPr>
          <w:spacing w:val="11"/>
        </w:rPr>
        <w:t> </w:t>
      </w:r>
      <w:r>
        <w:rPr/>
        <w:t>the</w:t>
      </w:r>
      <w:r>
        <w:rPr>
          <w:spacing w:val="12"/>
        </w:rPr>
        <w:t> </w:t>
      </w:r>
      <w:r>
        <w:rPr/>
        <w:t>witness</w:t>
      </w:r>
      <w:r>
        <w:rPr>
          <w:spacing w:val="14"/>
        </w:rPr>
        <w:t> </w:t>
      </w:r>
      <w:r>
        <w:rPr/>
        <w:t>stated</w:t>
      </w:r>
      <w:r>
        <w:rPr>
          <w:spacing w:val="12"/>
        </w:rPr>
        <w:t> </w:t>
      </w:r>
      <w:r>
        <w:rPr/>
        <w:t>during</w:t>
      </w:r>
      <w:r>
        <w:rPr>
          <w:spacing w:val="12"/>
        </w:rPr>
        <w:t> </w:t>
      </w:r>
      <w:r>
        <w:rPr/>
        <w:t>the</w:t>
      </w:r>
      <w:r>
        <w:rPr>
          <w:spacing w:val="11"/>
        </w:rPr>
        <w:t> </w:t>
      </w:r>
      <w:r>
        <w:rPr/>
        <w:t>course</w:t>
      </w:r>
      <w:r>
        <w:rPr>
          <w:spacing w:val="12"/>
        </w:rPr>
        <w:t> </w:t>
      </w:r>
      <w:r>
        <w:rPr/>
        <w:t>of</w:t>
      </w:r>
      <w:r>
        <w:rPr>
          <w:spacing w:val="12"/>
        </w:rPr>
        <w:t> </w:t>
      </w:r>
      <w:r>
        <w:rPr/>
        <w:t>his</w:t>
      </w:r>
      <w:r>
        <w:rPr>
          <w:spacing w:val="14"/>
        </w:rPr>
        <w:t> </w:t>
      </w:r>
      <w:r>
        <w:rPr/>
        <w:t>Examination-in-Chief</w:t>
      </w:r>
      <w:r>
        <w:rPr>
          <w:spacing w:val="12"/>
        </w:rPr>
        <w:t> </w:t>
      </w:r>
      <w:r>
        <w:rPr/>
        <w:t>that</w:t>
      </w:r>
      <w:r>
        <w:rPr>
          <w:spacing w:val="11"/>
        </w:rPr>
        <w:t> </w:t>
      </w:r>
      <w:r>
        <w:rPr/>
        <w: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accompanied his father and grand-father to Ram Janmabhumi and saw the pilgrims praying below the middle dome of the disputed structure in the sanctum sanctorum, in the course of his cross-examination, he stated that in 1934, he did not go inside the disputed building but only upto Ramchabutra. However, since 1934, he claimed to have been going inside the three domed building. He  claimed that there were two iron doors to enter the building; one of which on the North was always kept open. According to him, in 1949 there was no idol inside the building with domes but only a calendar was put up on the platform constructed below the middle dome. According to the witness, he performed worship inside the building when there was no rush but when there was a rush of people, worship would be performed outside near the Ramchabutra. However, he took devotees inside the disputed building for worship after 1949 and not before it. Between 1949 and 1986, he took oral permission from the receiver to go inside the building. During 1934-1949, some people made their offerings outside at Ramchabutra; others gave it to a priest near the iron wall gate due to the rush of the people while some people would go inside to make their offerings. The priest sitting in the platform below the middle dome accepted the offerings. In response to the question as to how aarti and bhog was offered between 1934 and 1949 when there was no idol, the witness</w:t>
      </w:r>
      <w:r>
        <w:rPr>
          <w:spacing w:val="-5"/>
        </w:rPr>
        <w:t> </w:t>
      </w:r>
      <w:r>
        <w:rPr/>
        <w:t>stated:</w:t>
      </w:r>
    </w:p>
    <w:p>
      <w:pPr>
        <w:spacing w:line="273" w:lineRule="auto" w:before="1"/>
        <w:ind w:left="1940" w:right="2263" w:firstLine="0"/>
        <w:jc w:val="both"/>
        <w:rPr>
          <w:sz w:val="21"/>
        </w:rPr>
      </w:pPr>
      <w:r>
        <w:rPr>
          <w:w w:val="33"/>
          <w:sz w:val="21"/>
        </w:rPr>
        <w:t>―</w:t>
      </w:r>
      <w:r>
        <w:rPr>
          <w:w w:val="100"/>
          <w:sz w:val="21"/>
        </w:rPr>
        <w:t>Q</w:t>
      </w:r>
      <w:r>
        <w:rPr>
          <w:w w:val="100"/>
          <w:sz w:val="21"/>
        </w:rPr>
        <w:t>uest</w:t>
      </w:r>
      <w:r>
        <w:rPr>
          <w:w w:val="100"/>
          <w:sz w:val="21"/>
        </w:rPr>
        <w:t>i</w:t>
      </w:r>
      <w:r>
        <w:rPr>
          <w:w w:val="100"/>
          <w:sz w:val="21"/>
        </w:rPr>
        <w:t>on</w:t>
      </w:r>
      <w:r>
        <w:rPr>
          <w:sz w:val="21"/>
        </w:rPr>
        <w:t> </w:t>
      </w:r>
      <w:r>
        <w:rPr>
          <w:w w:val="100"/>
          <w:sz w:val="21"/>
        </w:rPr>
        <w:t>:</w:t>
      </w:r>
      <w:r>
        <w:rPr>
          <w:sz w:val="21"/>
        </w:rPr>
        <w:t> </w:t>
      </w:r>
      <w:r>
        <w:rPr>
          <w:w w:val="100"/>
          <w:sz w:val="21"/>
        </w:rPr>
        <w:t>-</w:t>
      </w:r>
      <w:r>
        <w:rPr>
          <w:sz w:val="21"/>
        </w:rPr>
        <w:t> </w:t>
      </w:r>
      <w:r>
        <w:rPr>
          <w:w w:val="100"/>
          <w:sz w:val="21"/>
        </w:rPr>
        <w:t>From</w:t>
      </w:r>
      <w:r>
        <w:rPr>
          <w:sz w:val="21"/>
        </w:rPr>
        <w:t> </w:t>
      </w:r>
      <w:r>
        <w:rPr>
          <w:w w:val="100"/>
          <w:sz w:val="21"/>
        </w:rPr>
        <w:t>1934</w:t>
      </w:r>
      <w:r>
        <w:rPr>
          <w:sz w:val="21"/>
        </w:rPr>
        <w:t> </w:t>
      </w:r>
      <w:r>
        <w:rPr>
          <w:w w:val="100"/>
          <w:sz w:val="21"/>
        </w:rPr>
        <w:t>t</w:t>
      </w:r>
      <w:r>
        <w:rPr>
          <w:w w:val="100"/>
          <w:sz w:val="21"/>
        </w:rPr>
        <w:t>o</w:t>
      </w:r>
      <w:r>
        <w:rPr>
          <w:sz w:val="21"/>
        </w:rPr>
        <w:t> </w:t>
      </w:r>
      <w:r>
        <w:rPr>
          <w:w w:val="100"/>
          <w:sz w:val="21"/>
        </w:rPr>
        <w:t>1949</w:t>
      </w:r>
      <w:r>
        <w:rPr>
          <w:sz w:val="21"/>
        </w:rPr>
        <w:t> </w:t>
      </w:r>
      <w:r>
        <w:rPr>
          <w:w w:val="100"/>
          <w:sz w:val="21"/>
        </w:rPr>
        <w:t>t</w:t>
      </w:r>
      <w:r>
        <w:rPr>
          <w:w w:val="100"/>
          <w:sz w:val="21"/>
        </w:rPr>
        <w:t>here</w:t>
      </w:r>
      <w:r>
        <w:rPr>
          <w:sz w:val="21"/>
        </w:rPr>
        <w:t> </w:t>
      </w:r>
      <w:r>
        <w:rPr>
          <w:w w:val="100"/>
          <w:sz w:val="21"/>
        </w:rPr>
        <w:t>was</w:t>
      </w:r>
      <w:r>
        <w:rPr>
          <w:sz w:val="21"/>
        </w:rPr>
        <w:t> </w:t>
      </w:r>
      <w:r>
        <w:rPr>
          <w:w w:val="100"/>
          <w:sz w:val="21"/>
        </w:rPr>
        <w:t>no</w:t>
      </w:r>
      <w:r>
        <w:rPr>
          <w:sz w:val="21"/>
        </w:rPr>
        <w:t> </w:t>
      </w:r>
      <w:r>
        <w:rPr>
          <w:w w:val="100"/>
          <w:sz w:val="21"/>
        </w:rPr>
        <w:t>i</w:t>
      </w:r>
      <w:r>
        <w:rPr>
          <w:w w:val="100"/>
          <w:sz w:val="21"/>
        </w:rPr>
        <w:t>d</w:t>
      </w:r>
      <w:r>
        <w:rPr>
          <w:w w:val="100"/>
          <w:sz w:val="21"/>
        </w:rPr>
        <w:t>ol</w:t>
      </w:r>
      <w:r>
        <w:rPr>
          <w:sz w:val="21"/>
        </w:rPr>
        <w:t> </w:t>
      </w:r>
      <w:r>
        <w:rPr>
          <w:w w:val="100"/>
          <w:sz w:val="21"/>
        </w:rPr>
        <w:t>bel</w:t>
      </w:r>
      <w:r>
        <w:rPr>
          <w:w w:val="100"/>
          <w:sz w:val="21"/>
        </w:rPr>
        <w:t>ow</w:t>
      </w:r>
      <w:r>
        <w:rPr>
          <w:sz w:val="21"/>
        </w:rPr>
        <w:t> </w:t>
      </w:r>
      <w:r>
        <w:rPr>
          <w:w w:val="100"/>
          <w:sz w:val="21"/>
        </w:rPr>
        <w:t>t</w:t>
      </w:r>
      <w:r>
        <w:rPr>
          <w:w w:val="100"/>
          <w:sz w:val="21"/>
        </w:rPr>
        <w:t>he </w:t>
      </w:r>
      <w:r>
        <w:rPr>
          <w:sz w:val="21"/>
        </w:rPr>
        <w:t>dome, to whom the Aarti, bhog etc. offered?</w:t>
      </w:r>
    </w:p>
    <w:p>
      <w:pPr>
        <w:spacing w:line="276" w:lineRule="auto" w:before="4"/>
        <w:ind w:left="1940" w:right="2261" w:firstLine="0"/>
        <w:jc w:val="both"/>
        <w:rPr>
          <w:sz w:val="21"/>
        </w:rPr>
      </w:pPr>
      <w:r>
        <w:rPr>
          <w:sz w:val="21"/>
        </w:rPr>
        <w:t>Answer : - The importance of the disputed building, the pictures on the Calendars, mental worship and meditation were such things for which worship, bhog, recitation, Aarti were performed.‖</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6"/>
        <w:jc w:val="both"/>
      </w:pPr>
      <w:r>
        <w:rPr/>
        <w:t>The witness however accepted that there is no other public temple lacking an idol in the sanctum sanctorum. According to him, the idol of Ram Lalla was placed before the middle dome of the disputed building during the night of 22/23 December 1949. According to the witness, prior to 1949, the north side door to the disputed structure was opened while the southern door remained closed, keys being in the custody of police. Hence, between 1934 and 1949, he entered the disputed structure below the dome only through the north door. Between 1934 and 1949, the police was deputed there as the crowd began to increase  and the southern door was kept locked. According to him, it was during 1934-49, that he visited the disputed structure below the middle dome and made offerings to the photo of an idol in a</w:t>
      </w:r>
      <w:r>
        <w:rPr>
          <w:spacing w:val="-5"/>
        </w:rPr>
        <w:t> </w:t>
      </w:r>
      <w:r>
        <w:rPr/>
        <w:t>calendar.</w:t>
      </w:r>
    </w:p>
    <w:p>
      <w:pPr>
        <w:pStyle w:val="BodyText"/>
        <w:spacing w:before="10"/>
        <w:rPr>
          <w:sz w:val="24"/>
        </w:rPr>
      </w:pPr>
    </w:p>
    <w:p>
      <w:pPr>
        <w:pStyle w:val="ListParagraph"/>
        <w:numPr>
          <w:ilvl w:val="0"/>
          <w:numId w:val="166"/>
        </w:numPr>
        <w:tabs>
          <w:tab w:pos="1221" w:val="left" w:leader="none"/>
        </w:tabs>
        <w:spacing w:line="480" w:lineRule="auto" w:before="0" w:after="0"/>
        <w:ind w:left="500" w:right="437" w:firstLine="0"/>
        <w:jc w:val="both"/>
        <w:rPr>
          <w:sz w:val="25"/>
        </w:rPr>
      </w:pPr>
      <w:r>
        <w:rPr>
          <w:b/>
          <w:sz w:val="25"/>
        </w:rPr>
        <w:t>Narad Saran (OPW-13): </w:t>
      </w:r>
      <w:r>
        <w:rPr>
          <w:sz w:val="25"/>
        </w:rPr>
        <w:t>The witness was seventy-six years old on the date of his Examination-in-Chief which was on 27 January 2003. He came to Ayodhya in 1946 and after the death of his Guru, he succeeded him </w:t>
      </w:r>
      <w:r>
        <w:rPr>
          <w:spacing w:val="5"/>
          <w:sz w:val="25"/>
        </w:rPr>
        <w:t>as </w:t>
      </w:r>
      <w:r>
        <w:rPr>
          <w:sz w:val="25"/>
        </w:rPr>
        <w:t>the Mahant to Saraju Kund in 1979. The witness has accepted that the idols were shifted from Ramchabutra to the place below the central dome on the night between 22/23 December 1949. He was confronted with photographs of the </w:t>
      </w:r>
      <w:r>
        <w:rPr>
          <w:w w:val="99"/>
          <w:sz w:val="25"/>
        </w:rPr>
        <w:t>inscr</w:t>
      </w:r>
      <w:r>
        <w:rPr>
          <w:w w:val="99"/>
          <w:sz w:val="25"/>
        </w:rPr>
        <w:t>iption</w:t>
      </w:r>
      <w:r>
        <w:rPr>
          <w:spacing w:val="22"/>
          <w:sz w:val="25"/>
        </w:rPr>
        <w:t> </w:t>
      </w:r>
      <w:r>
        <w:rPr>
          <w:w w:val="99"/>
          <w:sz w:val="25"/>
        </w:rPr>
        <w:t>contain</w:t>
      </w:r>
      <w:r>
        <w:rPr>
          <w:w w:val="99"/>
          <w:sz w:val="25"/>
        </w:rPr>
        <w:t>ing</w:t>
      </w:r>
      <w:r>
        <w:rPr>
          <w:spacing w:val="22"/>
          <w:sz w:val="25"/>
        </w:rPr>
        <w:t> </w:t>
      </w:r>
      <w:r>
        <w:rPr>
          <w:w w:val="99"/>
          <w:sz w:val="25"/>
        </w:rPr>
        <w:t>the</w:t>
      </w:r>
      <w:r>
        <w:rPr>
          <w:spacing w:val="22"/>
          <w:sz w:val="25"/>
        </w:rPr>
        <w:t> </w:t>
      </w:r>
      <w:r>
        <w:rPr>
          <w:w w:val="99"/>
          <w:sz w:val="25"/>
        </w:rPr>
        <w:t>w</w:t>
      </w:r>
      <w:r>
        <w:rPr>
          <w:spacing w:val="3"/>
          <w:w w:val="99"/>
          <w:sz w:val="25"/>
        </w:rPr>
        <w:t>o</w:t>
      </w:r>
      <w:r>
        <w:rPr>
          <w:w w:val="99"/>
          <w:sz w:val="25"/>
        </w:rPr>
        <w:t>rd</w:t>
      </w:r>
      <w:r>
        <w:rPr>
          <w:spacing w:val="21"/>
          <w:sz w:val="25"/>
        </w:rPr>
        <w:t> </w:t>
      </w:r>
      <w:r>
        <w:rPr>
          <w:w w:val="33"/>
          <w:sz w:val="25"/>
        </w:rPr>
        <w:t>―</w:t>
      </w:r>
      <w:r>
        <w:rPr>
          <w:spacing w:val="-1"/>
          <w:w w:val="99"/>
          <w:sz w:val="25"/>
        </w:rPr>
        <w:t>A</w:t>
      </w:r>
      <w:r>
        <w:rPr>
          <w:spacing w:val="-1"/>
          <w:w w:val="95"/>
          <w:sz w:val="25"/>
        </w:rPr>
        <w:t>llah</w:t>
      </w:r>
      <w:r>
        <w:rPr>
          <w:w w:val="95"/>
          <w:sz w:val="25"/>
        </w:rPr>
        <w:t>‖</w:t>
      </w:r>
      <w:r>
        <w:rPr>
          <w:w w:val="99"/>
          <w:sz w:val="25"/>
        </w:rPr>
        <w:t>.</w:t>
      </w:r>
      <w:r>
        <w:rPr>
          <w:spacing w:val="21"/>
          <w:sz w:val="25"/>
        </w:rPr>
        <w:t> </w:t>
      </w:r>
      <w:r>
        <w:rPr>
          <w:spacing w:val="-1"/>
          <w:w w:val="99"/>
          <w:sz w:val="25"/>
        </w:rPr>
        <w:t>A</w:t>
      </w:r>
      <w:r>
        <w:rPr>
          <w:w w:val="99"/>
          <w:sz w:val="25"/>
        </w:rPr>
        <w:t>cco</w:t>
      </w:r>
      <w:r>
        <w:rPr>
          <w:spacing w:val="1"/>
          <w:w w:val="99"/>
          <w:sz w:val="25"/>
        </w:rPr>
        <w:t>r</w:t>
      </w:r>
      <w:r>
        <w:rPr>
          <w:spacing w:val="-1"/>
          <w:w w:val="99"/>
          <w:sz w:val="25"/>
        </w:rPr>
        <w:t>din</w:t>
      </w:r>
      <w:r>
        <w:rPr>
          <w:w w:val="99"/>
          <w:sz w:val="25"/>
        </w:rPr>
        <w:t>g</w:t>
      </w:r>
      <w:r>
        <w:rPr>
          <w:spacing w:val="22"/>
          <w:sz w:val="25"/>
        </w:rPr>
        <w:t> </w:t>
      </w:r>
      <w:r>
        <w:rPr>
          <w:w w:val="99"/>
          <w:sz w:val="25"/>
        </w:rPr>
        <w:t>to</w:t>
      </w:r>
      <w:r>
        <w:rPr>
          <w:spacing w:val="22"/>
          <w:sz w:val="25"/>
        </w:rPr>
        <w:t> </w:t>
      </w:r>
      <w:r>
        <w:rPr>
          <w:w w:val="99"/>
          <w:sz w:val="25"/>
        </w:rPr>
        <w:t>the</w:t>
      </w:r>
      <w:r>
        <w:rPr>
          <w:spacing w:val="22"/>
          <w:sz w:val="25"/>
        </w:rPr>
        <w:t> </w:t>
      </w:r>
      <w:r>
        <w:rPr>
          <w:spacing w:val="-1"/>
          <w:w w:val="99"/>
          <w:sz w:val="25"/>
        </w:rPr>
        <w:t>witness</w:t>
      </w:r>
      <w:r>
        <w:rPr>
          <w:w w:val="99"/>
          <w:sz w:val="25"/>
        </w:rPr>
        <w:t>,</w:t>
      </w:r>
      <w:r>
        <w:rPr>
          <w:spacing w:val="19"/>
          <w:sz w:val="25"/>
        </w:rPr>
        <w:t> </w:t>
      </w:r>
      <w:r>
        <w:rPr>
          <w:w w:val="99"/>
          <w:sz w:val="25"/>
        </w:rPr>
        <w:t>the</w:t>
      </w:r>
      <w:r>
        <w:rPr>
          <w:spacing w:val="22"/>
          <w:sz w:val="25"/>
        </w:rPr>
        <w:t> </w:t>
      </w:r>
      <w:r>
        <w:rPr>
          <w:spacing w:val="-1"/>
          <w:w w:val="99"/>
          <w:sz w:val="25"/>
        </w:rPr>
        <w:t>insc</w:t>
      </w:r>
      <w:r>
        <w:rPr>
          <w:w w:val="99"/>
          <w:sz w:val="25"/>
        </w:rPr>
        <w:t>r</w:t>
      </w:r>
      <w:r>
        <w:rPr>
          <w:spacing w:val="-1"/>
          <w:w w:val="99"/>
          <w:sz w:val="25"/>
        </w:rPr>
        <w:t>iptio</w:t>
      </w:r>
      <w:r>
        <w:rPr>
          <w:w w:val="99"/>
          <w:sz w:val="25"/>
        </w:rPr>
        <w:t>ns </w:t>
      </w:r>
      <w:r>
        <w:rPr>
          <w:sz w:val="25"/>
        </w:rPr>
        <w:t>were leaves and flowers only. He accepted that where Allah is written, the wall cannot be a wall of the temple. The witness could not confirm as to whether Muslims had offered namaz in the disputed building on the dates that he did not visit it. The witness spoke about the belief of the sanctum sanctorum being below the</w:t>
      </w:r>
      <w:r>
        <w:rPr>
          <w:spacing w:val="20"/>
          <w:sz w:val="25"/>
        </w:rPr>
        <w:t> </w:t>
      </w:r>
      <w:r>
        <w:rPr>
          <w:sz w:val="25"/>
        </w:rPr>
        <w:t>middle</w:t>
      </w:r>
      <w:r>
        <w:rPr>
          <w:spacing w:val="20"/>
          <w:sz w:val="25"/>
        </w:rPr>
        <w:t> </w:t>
      </w:r>
      <w:r>
        <w:rPr>
          <w:sz w:val="25"/>
        </w:rPr>
        <w:t>dome.</w:t>
      </w:r>
      <w:r>
        <w:rPr>
          <w:spacing w:val="21"/>
          <w:sz w:val="25"/>
        </w:rPr>
        <w:t> </w:t>
      </w:r>
      <w:r>
        <w:rPr>
          <w:sz w:val="25"/>
        </w:rPr>
        <w:t>The</w:t>
      </w:r>
      <w:r>
        <w:rPr>
          <w:spacing w:val="20"/>
          <w:sz w:val="25"/>
        </w:rPr>
        <w:t> </w:t>
      </w:r>
      <w:r>
        <w:rPr>
          <w:sz w:val="25"/>
        </w:rPr>
        <w:t>witness</w:t>
      </w:r>
      <w:r>
        <w:rPr>
          <w:spacing w:val="21"/>
          <w:sz w:val="25"/>
        </w:rPr>
        <w:t> </w:t>
      </w:r>
      <w:r>
        <w:rPr>
          <w:sz w:val="25"/>
        </w:rPr>
        <w:t>deposed</w:t>
      </w:r>
      <w:r>
        <w:rPr>
          <w:spacing w:val="20"/>
          <w:sz w:val="25"/>
        </w:rPr>
        <w:t> </w:t>
      </w:r>
      <w:r>
        <w:rPr>
          <w:sz w:val="25"/>
        </w:rPr>
        <w:t>that</w:t>
      </w:r>
      <w:r>
        <w:rPr>
          <w:spacing w:val="21"/>
          <w:sz w:val="25"/>
        </w:rPr>
        <w:t> </w:t>
      </w:r>
      <w:r>
        <w:rPr>
          <w:sz w:val="25"/>
        </w:rPr>
        <w:t>there</w:t>
      </w:r>
      <w:r>
        <w:rPr>
          <w:spacing w:val="20"/>
          <w:sz w:val="25"/>
        </w:rPr>
        <w:t> </w:t>
      </w:r>
      <w:r>
        <w:rPr>
          <w:sz w:val="25"/>
        </w:rPr>
        <w:t>were</w:t>
      </w:r>
      <w:r>
        <w:rPr>
          <w:spacing w:val="20"/>
          <w:sz w:val="25"/>
        </w:rPr>
        <w:t> </w:t>
      </w:r>
      <w:r>
        <w:rPr>
          <w:sz w:val="25"/>
        </w:rPr>
        <w:t>Kasauti</w:t>
      </w:r>
      <w:r>
        <w:rPr>
          <w:spacing w:val="22"/>
          <w:sz w:val="25"/>
        </w:rPr>
        <w:t> </w:t>
      </w:r>
      <w:r>
        <w:rPr>
          <w:sz w:val="25"/>
        </w:rPr>
        <w:t>pillars</w:t>
      </w:r>
      <w:r>
        <w:rPr>
          <w:spacing w:val="20"/>
          <w:sz w:val="25"/>
        </w:rPr>
        <w:t> </w:t>
      </w:r>
      <w:r>
        <w:rPr>
          <w:sz w:val="25"/>
        </w:rPr>
        <w:t>on</w:t>
      </w:r>
      <w:r>
        <w:rPr>
          <w:spacing w:val="20"/>
          <w:sz w:val="25"/>
        </w:rPr>
        <w:t> </w:t>
      </w:r>
      <w:r>
        <w:rPr>
          <w:sz w:val="25"/>
        </w:rPr>
        <w:t>either</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side of the gate at Hanumat Dwar with the idols of Jai and Vijay engraved thereon.</w:t>
      </w:r>
    </w:p>
    <w:p>
      <w:pPr>
        <w:pStyle w:val="BodyText"/>
        <w:spacing w:before="2"/>
        <w:rPr>
          <w:sz w:val="39"/>
        </w:rPr>
      </w:pPr>
    </w:p>
    <w:p>
      <w:pPr>
        <w:pStyle w:val="Heading4"/>
        <w:rPr>
          <w:i/>
        </w:rPr>
      </w:pPr>
      <w:r>
        <w:rPr>
          <w:i/>
        </w:rPr>
        <w:t>The Sunni witnesses</w:t>
      </w:r>
    </w:p>
    <w:p>
      <w:pPr>
        <w:pStyle w:val="BodyText"/>
        <w:spacing w:before="8"/>
        <w:rPr>
          <w:i/>
          <w:sz w:val="38"/>
        </w:rPr>
      </w:pPr>
    </w:p>
    <w:p>
      <w:pPr>
        <w:pStyle w:val="ListParagraph"/>
        <w:numPr>
          <w:ilvl w:val="0"/>
          <w:numId w:val="166"/>
        </w:numPr>
        <w:tabs>
          <w:tab w:pos="1220" w:val="left" w:leader="none"/>
          <w:tab w:pos="1221" w:val="left" w:leader="none"/>
        </w:tabs>
        <w:spacing w:line="480" w:lineRule="auto" w:before="0" w:after="0"/>
        <w:ind w:left="500" w:right="444" w:firstLine="0"/>
        <w:jc w:val="left"/>
        <w:rPr>
          <w:sz w:val="25"/>
        </w:rPr>
      </w:pPr>
      <w:r>
        <w:rPr>
          <w:sz w:val="25"/>
        </w:rPr>
        <w:t>The plaintiffs in Suit 5 have relied upon the account of Sunni witnesses as strengthening their case. The following Sunni witnesses were relied</w:t>
      </w:r>
      <w:r>
        <w:rPr>
          <w:spacing w:val="-5"/>
          <w:sz w:val="25"/>
        </w:rPr>
        <w:t> </w:t>
      </w:r>
      <w:r>
        <w:rPr>
          <w:sz w:val="25"/>
        </w:rPr>
        <w:t>upon:</w:t>
      </w:r>
    </w:p>
    <w:p>
      <w:pPr>
        <w:pStyle w:val="BodyText"/>
        <w:spacing w:before="10"/>
        <w:rPr>
          <w:sz w:val="38"/>
        </w:rPr>
      </w:pPr>
    </w:p>
    <w:p>
      <w:pPr>
        <w:pStyle w:val="BodyText"/>
        <w:spacing w:line="480" w:lineRule="auto"/>
        <w:ind w:left="500" w:right="434"/>
        <w:jc w:val="both"/>
      </w:pPr>
      <w:r>
        <w:rPr>
          <w:b/>
        </w:rPr>
        <w:t>Mohd Hashim (PW-1): </w:t>
      </w:r>
      <w:r>
        <w:rPr/>
        <w:t>The witness was seventy-five years old when his statement was recorded in July 1996. He worked as a tailor by profession and was a resident of Mohalla Kothia at Ayodhya. The witness stated that his residence was three furlongs away from the disputed site and he went to offer namaz in Babri Masjid for the first time in 1938. The witness stated that at that time, Friday namaz used to be performed in the two mosques but Taravi namaz (special prayer/namaz performed after Isha namaz during the pious month of Ramzan) used to be performed only in Babri Masjid. The witness claims to have read the last namaz at the disputed site on 22 December 1949 and was thereafter prevented from accessing and offering prayers at the site by government officials. The witness stated that pursuant to the order of attachment, he and many others attempted to offer namaz but were prosecuted for  committing a breach of Section 144 CrPC and they were sentenced to two months‘ imprisonment with a fine of Rs 50/-. During the course of his statement, the witness deposed that Ganj-E-Shahidan was in the east of the disputed site. On the northern side there was a road and beyond that was a Janmasthan temple</w:t>
      </w:r>
      <w:r>
        <w:rPr>
          <w:spacing w:val="35"/>
        </w:rPr>
        <w:t> </w:t>
      </w:r>
      <w:r>
        <w:rPr/>
        <w:t>with</w:t>
      </w:r>
      <w:r>
        <w:rPr>
          <w:spacing w:val="34"/>
        </w:rPr>
        <w:t> </w:t>
      </w:r>
      <w:r>
        <w:rPr/>
        <w:t>a</w:t>
      </w:r>
      <w:r>
        <w:rPr>
          <w:spacing w:val="34"/>
        </w:rPr>
        <w:t> </w:t>
      </w:r>
      <w:r>
        <w:rPr/>
        <w:t>signboard</w:t>
      </w:r>
      <w:r>
        <w:rPr>
          <w:spacing w:val="34"/>
        </w:rPr>
        <w:t> </w:t>
      </w:r>
      <w:r>
        <w:rPr/>
        <w:t>marking</w:t>
      </w:r>
      <w:r>
        <w:rPr>
          <w:spacing w:val="33"/>
        </w:rPr>
        <w:t> </w:t>
      </w:r>
      <w:r>
        <w:rPr/>
        <w:t>the</w:t>
      </w:r>
      <w:r>
        <w:rPr>
          <w:spacing w:val="35"/>
        </w:rPr>
        <w:t> </w:t>
      </w:r>
      <w:r>
        <w:rPr/>
        <w:t>Janmasthan.</w:t>
      </w:r>
      <w:r>
        <w:rPr>
          <w:spacing w:val="34"/>
        </w:rPr>
        <w:t> </w:t>
      </w:r>
      <w:r>
        <w:rPr/>
        <w:t>On</w:t>
      </w:r>
      <w:r>
        <w:rPr>
          <w:spacing w:val="35"/>
        </w:rPr>
        <w:t> </w:t>
      </w:r>
      <w:r>
        <w:rPr/>
        <w:t>the</w:t>
      </w:r>
      <w:r>
        <w:rPr>
          <w:spacing w:val="33"/>
        </w:rPr>
        <w:t> </w:t>
      </w:r>
      <w:r>
        <w:rPr/>
        <w:t>southern</w:t>
      </w:r>
      <w:r>
        <w:rPr>
          <w:spacing w:val="34"/>
        </w:rPr>
        <w:t> </w:t>
      </w:r>
      <w:r>
        <w:rPr/>
        <w:t>side</w:t>
      </w:r>
      <w:r>
        <w:rPr>
          <w:spacing w:val="35"/>
        </w:rPr>
        <w:t> </w:t>
      </w:r>
      <w:r>
        <w:rPr/>
        <w:t>of</w:t>
      </w:r>
      <w:r>
        <w:rPr>
          <w:spacing w:val="32"/>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4"/>
        <w:jc w:val="both"/>
      </w:pPr>
      <w:r>
        <w:rPr/>
        <w:t>disputed site was a graveyard. There was a gate each on the northern and eastern sides of the disputed site and the entry was mostly from the eastern gate. On entering from the eastern gate there used to be a </w:t>
      </w:r>
      <w:r>
        <w:rPr>
          <w:color w:val="000009"/>
        </w:rPr>
        <w:t>Chabutra </w:t>
      </w:r>
      <w:r>
        <w:rPr/>
        <w:t>whereupon sometimes the priest used to sit. Near the northern gate of the mosque there was a ‗Chulha‘ called Sita Rasoi. According to the witness, there was a wall in front of Sita Rasoi and when the crowd used to increase, the northern gate used to be opened for passage. The northern and eastern gates were surrounded by a boundary wall. There was another wall of the mosque where there was a main door which was locked. This lock was put on the date when the mosque was attached. The witness stated that no idols were placed inside the disputed site upto 22 December 1949 and no worship was ever performed inside the three domed structure.</w:t>
      </w:r>
    </w:p>
    <w:p>
      <w:pPr>
        <w:pStyle w:val="BodyText"/>
        <w:rPr>
          <w:sz w:val="28"/>
        </w:rPr>
      </w:pPr>
    </w:p>
    <w:p>
      <w:pPr>
        <w:pStyle w:val="BodyText"/>
        <w:spacing w:before="10"/>
        <w:rPr>
          <w:sz w:val="24"/>
        </w:rPr>
      </w:pPr>
    </w:p>
    <w:p>
      <w:pPr>
        <w:pStyle w:val="BodyText"/>
        <w:spacing w:line="480" w:lineRule="auto"/>
        <w:ind w:left="500" w:right="434"/>
        <w:jc w:val="both"/>
      </w:pPr>
      <w:r>
        <w:rPr/>
        <w:t>The witness was cross-examined initially on 24 June 1996. During the course of his cross-examination, the witness stated that the disputed site which was attached on 22/23 December 1949 was called Ram Janmabhumi by Hindus </w:t>
      </w:r>
      <w:r>
        <w:rPr>
          <w:spacing w:val="3"/>
        </w:rPr>
        <w:t>and </w:t>
      </w:r>
      <w:r>
        <w:rPr/>
        <w:t>Babri Masjid by the Muslims. He stated that the Janmasthan temple was the Ram Janmabhumi temple and even in the Suit of 1885, the disputed site was referred to as the Ram Janmabhumi. During the course of his cross-examination, the witness further stated that as Ayodhya is considered to be the birth-place of Lord Ram, it is as important for Hindus as Mecca is for the Muslims. He further stated that pilgrims from outside India also visited the Janmasthan temple for darshan on the occasion of festivals and temporary shops for selling offerings like flowers, garlands and batasha were set up for the pilgrims. The witness stated that he</w:t>
      </w:r>
      <w:r>
        <w:rPr>
          <w:spacing w:val="-21"/>
        </w:rPr>
        <w:t> </w:t>
      </w:r>
      <w:r>
        <w:rPr/>
        <w:t>had</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4"/>
        <w:jc w:val="both"/>
      </w:pPr>
      <w:r>
        <w:rPr/>
        <w:t>seen the Hindus doing the Panchkoshi and Chaudhakoshi </w:t>
      </w:r>
      <w:r>
        <w:rPr>
          <w:i/>
        </w:rPr>
        <w:t>parikrama </w:t>
      </w:r>
      <w:r>
        <w:rPr/>
        <w:t>around the disputed property since his childhood and that the practice was being followed for hundreds of years. The witness after seeing photograph nos 45, 46 and 54 and A 2/41 of the Kasauti pillars stated that the figurines or the carvings on the pillars were of Hindu Gods and that the pillars that were visible at the eastern main gate were similar to the ones used in the dome. The witness confirmed that the stone pillars remained intact till the destruction of the disputed premises in 1992. In response to a question whether a Muslim would go to offer namaz in a place where there are pictures of Gods, Goddesses or flowers, the witness responded that it was prohibited to offer namaz before a picture of a God.</w:t>
      </w:r>
    </w:p>
    <w:p>
      <w:pPr>
        <w:pStyle w:val="BodyText"/>
        <w:spacing w:before="8"/>
        <w:rPr>
          <w:sz w:val="38"/>
        </w:rPr>
      </w:pPr>
    </w:p>
    <w:p>
      <w:pPr>
        <w:pStyle w:val="ListParagraph"/>
        <w:numPr>
          <w:ilvl w:val="0"/>
          <w:numId w:val="166"/>
        </w:numPr>
        <w:tabs>
          <w:tab w:pos="1221" w:val="left" w:leader="none"/>
        </w:tabs>
        <w:spacing w:line="480" w:lineRule="auto" w:before="0" w:after="0"/>
        <w:ind w:left="500" w:right="435" w:firstLine="0"/>
        <w:jc w:val="both"/>
        <w:rPr>
          <w:sz w:val="25"/>
        </w:rPr>
      </w:pPr>
      <w:r>
        <w:rPr>
          <w:b/>
          <w:sz w:val="25"/>
        </w:rPr>
        <w:t>Haji Mehboob Ahmed (PW-2): </w:t>
      </w:r>
      <w:r>
        <w:rPr>
          <w:sz w:val="25"/>
        </w:rPr>
        <w:t>was fifty-eight years old when his statement was recorded in September 1996. He was a resident of Tedhi Bazar, Ayodhya and his house was situated about three furlongs away from the disputed site. He stated that he had offered namaz in the disputed site hundreds of times and besides the Friday namaz he used to offer namaz five times till 22 December 1949. The witness stated that he never saw any worship or puja being performed by the Hindus inside the disputed site. The witness was cross-examined initially on 17 September 1996. During the course of his cross-examination, the witness referred to the grilled wall that joined the boundary wall of the three domed structure and stated that the structure was considered to be a mosque by the Muslims and a mandir by the Hindus. The witness stated that just as Ayodhya was a place of pilgrimage for the Hindus, similarly, it was for the Muslims and they</w:t>
      </w:r>
      <w:r>
        <w:rPr>
          <w:spacing w:val="20"/>
          <w:sz w:val="25"/>
        </w:rPr>
        <w:t> </w:t>
      </w:r>
      <w:r>
        <w:rPr>
          <w:sz w:val="25"/>
        </w:rPr>
        <w:t>referred</w:t>
      </w:r>
      <w:r>
        <w:rPr>
          <w:spacing w:val="23"/>
          <w:sz w:val="25"/>
        </w:rPr>
        <w:t> </w:t>
      </w:r>
      <w:r>
        <w:rPr>
          <w:sz w:val="25"/>
        </w:rPr>
        <w:t>to</w:t>
      </w:r>
      <w:r>
        <w:rPr>
          <w:spacing w:val="21"/>
          <w:sz w:val="25"/>
        </w:rPr>
        <w:t> </w:t>
      </w:r>
      <w:r>
        <w:rPr>
          <w:sz w:val="25"/>
        </w:rPr>
        <w:t>it</w:t>
      </w:r>
      <w:r>
        <w:rPr>
          <w:spacing w:val="23"/>
          <w:sz w:val="25"/>
        </w:rPr>
        <w:t> </w:t>
      </w:r>
      <w:r>
        <w:rPr>
          <w:sz w:val="25"/>
        </w:rPr>
        <w:t>as</w:t>
      </w:r>
      <w:r>
        <w:rPr>
          <w:spacing w:val="21"/>
          <w:sz w:val="25"/>
        </w:rPr>
        <w:t> </w:t>
      </w:r>
      <w:r>
        <w:rPr>
          <w:sz w:val="25"/>
        </w:rPr>
        <w:t>‗Khurd</w:t>
      </w:r>
      <w:r>
        <w:rPr>
          <w:spacing w:val="22"/>
          <w:sz w:val="25"/>
        </w:rPr>
        <w:t> </w:t>
      </w:r>
      <w:r>
        <w:rPr>
          <w:sz w:val="25"/>
        </w:rPr>
        <w:t>Mecca‘.</w:t>
      </w:r>
      <w:r>
        <w:rPr>
          <w:spacing w:val="23"/>
          <w:sz w:val="25"/>
        </w:rPr>
        <w:t> </w:t>
      </w:r>
      <w:r>
        <w:rPr>
          <w:sz w:val="25"/>
        </w:rPr>
        <w:t>He</w:t>
      </w:r>
      <w:r>
        <w:rPr>
          <w:spacing w:val="23"/>
          <w:sz w:val="25"/>
        </w:rPr>
        <w:t> </w:t>
      </w:r>
      <w:r>
        <w:rPr>
          <w:sz w:val="25"/>
        </w:rPr>
        <w:t>stated</w:t>
      </w:r>
      <w:r>
        <w:rPr>
          <w:spacing w:val="23"/>
          <w:sz w:val="25"/>
        </w:rPr>
        <w:t> </w:t>
      </w:r>
      <w:r>
        <w:rPr>
          <w:sz w:val="25"/>
        </w:rPr>
        <w:t>that</w:t>
      </w:r>
      <w:r>
        <w:rPr>
          <w:spacing w:val="23"/>
          <w:sz w:val="25"/>
        </w:rPr>
        <w:t> </w:t>
      </w:r>
      <w:r>
        <w:rPr>
          <w:sz w:val="25"/>
        </w:rPr>
        <w:t>the</w:t>
      </w:r>
      <w:r>
        <w:rPr>
          <w:spacing w:val="29"/>
          <w:sz w:val="25"/>
        </w:rPr>
        <w:t> </w:t>
      </w:r>
      <w:r>
        <w:rPr>
          <w:i/>
          <w:sz w:val="25"/>
        </w:rPr>
        <w:t>parikrama</w:t>
      </w:r>
      <w:r>
        <w:rPr>
          <w:i/>
          <w:spacing w:val="24"/>
          <w:sz w:val="25"/>
        </w:rPr>
        <w:t> </w:t>
      </w:r>
      <w:r>
        <w:rPr>
          <w:sz w:val="25"/>
        </w:rPr>
        <w:t>used</w:t>
      </w:r>
      <w:r>
        <w:rPr>
          <w:spacing w:val="23"/>
          <w:sz w:val="25"/>
        </w:rPr>
        <w:t> </w:t>
      </w:r>
      <w:r>
        <w:rPr>
          <w:sz w:val="25"/>
        </w:rPr>
        <w:t>to</w:t>
      </w:r>
      <w:r>
        <w:rPr>
          <w:spacing w:val="23"/>
          <w:sz w:val="25"/>
        </w:rPr>
        <w:t> </w:t>
      </w:r>
      <w:r>
        <w:rPr>
          <w:sz w:val="25"/>
        </w:rPr>
        <w:t>take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place in the winters and those performing </w:t>
      </w:r>
      <w:r>
        <w:rPr>
          <w:i/>
        </w:rPr>
        <w:t>parikrama </w:t>
      </w:r>
      <w:r>
        <w:rPr/>
        <w:t>also used to visit the temple for darshan. The witness was unable to determine whether the pillars were made of stone or Kasauti stone. The witness denied the existence of idols and other symbols of the temple shown in photograph nos 29 and 30 and stated they were not there at the time when he went to offer namaz at the disputed site.</w:t>
      </w:r>
    </w:p>
    <w:p>
      <w:pPr>
        <w:pStyle w:val="BodyText"/>
        <w:spacing w:before="7"/>
        <w:rPr>
          <w:sz w:val="38"/>
        </w:rPr>
      </w:pPr>
    </w:p>
    <w:p>
      <w:pPr>
        <w:pStyle w:val="ListParagraph"/>
        <w:numPr>
          <w:ilvl w:val="0"/>
          <w:numId w:val="166"/>
        </w:numPr>
        <w:tabs>
          <w:tab w:pos="1221" w:val="left" w:leader="none"/>
        </w:tabs>
        <w:spacing w:line="480" w:lineRule="auto" w:before="1" w:after="0"/>
        <w:ind w:left="500" w:right="437" w:firstLine="0"/>
        <w:jc w:val="both"/>
        <w:rPr>
          <w:sz w:val="25"/>
        </w:rPr>
      </w:pPr>
      <w:r>
        <w:rPr>
          <w:b/>
          <w:sz w:val="25"/>
        </w:rPr>
        <w:t>Mohd Yaseen (PW-4): </w:t>
      </w:r>
      <w:r>
        <w:rPr>
          <w:sz w:val="25"/>
        </w:rPr>
        <w:t>He was sixty-six years old when his statement was recorded in November 1996. He was a resident of Mohalla Raiganj, Ayodhya and was a shoemaker. The witness stated that the disputed structure was used for offering namaz and he had been continuously reading Friday prayers at the disputed site. He stated that there existed black stone pillars in the disputed structure, but no images of Gods and Goddesses were engraved on them. According to the witness, images of flowers and leaves in the shape of flowerpots were carved on them. The witness was first cross-examined on 29 November 1996. During the course of his cross-examination, the witness stated that the Hindus believed that the disputed structure was the birth-place of Lord Ram and they considered it as a sacred place of worship. The witness further stated that it was wrong to assume that demolishing a temple or an idol was not an offence according to the Quran. The witness deposed that no Muslim was allowed to demolish a temple built at a particular place and construct a mosque over it and if any person could prove a mosque was built upon the destruction of temple, it would not be a valid</w:t>
      </w:r>
      <w:r>
        <w:rPr>
          <w:spacing w:val="-1"/>
          <w:sz w:val="25"/>
        </w:rPr>
        <w:t> </w:t>
      </w:r>
      <w:r>
        <w:rPr>
          <w:sz w:val="25"/>
        </w:rPr>
        <w:t>mosque.</w:t>
      </w:r>
    </w:p>
    <w:p>
      <w:pPr>
        <w:pStyle w:val="BodyText"/>
        <w:spacing w:before="1"/>
        <w:rPr>
          <w:sz w:val="39"/>
        </w:rPr>
      </w:pPr>
    </w:p>
    <w:p>
      <w:pPr>
        <w:pStyle w:val="ListParagraph"/>
        <w:numPr>
          <w:ilvl w:val="0"/>
          <w:numId w:val="166"/>
        </w:numPr>
        <w:tabs>
          <w:tab w:pos="1221" w:val="left" w:leader="none"/>
        </w:tabs>
        <w:spacing w:line="482" w:lineRule="auto" w:before="0" w:after="0"/>
        <w:ind w:left="500" w:right="439" w:firstLine="0"/>
        <w:jc w:val="both"/>
        <w:rPr>
          <w:sz w:val="25"/>
        </w:rPr>
      </w:pPr>
      <w:r>
        <w:rPr>
          <w:b/>
          <w:sz w:val="25"/>
        </w:rPr>
        <w:t>Hasmat-ulla-Ansari (PW-7): </w:t>
      </w:r>
      <w:r>
        <w:rPr>
          <w:sz w:val="25"/>
        </w:rPr>
        <w:t>He was sixty-five years old when his statement</w:t>
      </w:r>
      <w:r>
        <w:rPr>
          <w:spacing w:val="8"/>
          <w:sz w:val="25"/>
        </w:rPr>
        <w:t> </w:t>
      </w:r>
      <w:r>
        <w:rPr>
          <w:sz w:val="25"/>
        </w:rPr>
        <w:t>was</w:t>
      </w:r>
      <w:r>
        <w:rPr>
          <w:spacing w:val="8"/>
          <w:sz w:val="25"/>
        </w:rPr>
        <w:t> </w:t>
      </w:r>
      <w:r>
        <w:rPr>
          <w:sz w:val="25"/>
        </w:rPr>
        <w:t>recorded</w:t>
      </w:r>
      <w:r>
        <w:rPr>
          <w:spacing w:val="9"/>
          <w:sz w:val="25"/>
        </w:rPr>
        <w:t> </w:t>
      </w:r>
      <w:r>
        <w:rPr>
          <w:sz w:val="25"/>
        </w:rPr>
        <w:t>in</w:t>
      </w:r>
      <w:r>
        <w:rPr>
          <w:spacing w:val="8"/>
          <w:sz w:val="25"/>
        </w:rPr>
        <w:t> </w:t>
      </w:r>
      <w:r>
        <w:rPr>
          <w:sz w:val="25"/>
        </w:rPr>
        <w:t>December</w:t>
      </w:r>
      <w:r>
        <w:rPr>
          <w:spacing w:val="9"/>
          <w:sz w:val="25"/>
        </w:rPr>
        <w:t> </w:t>
      </w:r>
      <w:r>
        <w:rPr>
          <w:sz w:val="25"/>
        </w:rPr>
        <w:t>1996.</w:t>
      </w:r>
      <w:r>
        <w:rPr>
          <w:spacing w:val="9"/>
          <w:sz w:val="25"/>
        </w:rPr>
        <w:t> </w:t>
      </w:r>
      <w:r>
        <w:rPr>
          <w:sz w:val="25"/>
        </w:rPr>
        <w:t>He</w:t>
      </w:r>
      <w:r>
        <w:rPr>
          <w:spacing w:val="8"/>
          <w:sz w:val="25"/>
        </w:rPr>
        <w:t> </w:t>
      </w:r>
      <w:r>
        <w:rPr>
          <w:sz w:val="25"/>
        </w:rPr>
        <w:t>was</w:t>
      </w:r>
      <w:r>
        <w:rPr>
          <w:spacing w:val="8"/>
          <w:sz w:val="25"/>
        </w:rPr>
        <w:t> </w:t>
      </w:r>
      <w:r>
        <w:rPr>
          <w:sz w:val="25"/>
        </w:rPr>
        <w:t>a</w:t>
      </w:r>
      <w:r>
        <w:rPr>
          <w:spacing w:val="11"/>
          <w:sz w:val="25"/>
        </w:rPr>
        <w:t> </w:t>
      </w:r>
      <w:r>
        <w:rPr>
          <w:sz w:val="25"/>
        </w:rPr>
        <w:t>resident</w:t>
      </w:r>
      <w:r>
        <w:rPr>
          <w:spacing w:val="9"/>
          <w:sz w:val="25"/>
        </w:rPr>
        <w:t> </w:t>
      </w:r>
      <w:r>
        <w:rPr>
          <w:sz w:val="25"/>
        </w:rPr>
        <w:t>of</w:t>
      </w:r>
      <w:r>
        <w:rPr>
          <w:spacing w:val="11"/>
          <w:sz w:val="25"/>
        </w:rPr>
        <w:t> </w:t>
      </w:r>
      <w:r>
        <w:rPr>
          <w:sz w:val="25"/>
        </w:rPr>
        <w:t>Mohalla</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Kaziana, Ayodhya and was a typist. The witness stated that the disputed structure was a mosque and that he had first offered namaz there in 1943 and thereafter till 1949. He also claimed that the disputed structure was never a temple and no Hindu offered worship there till 22 December 1949. The witness was first cross-examined on 5 December 1996. During the course of his cross- examination, he stated</w:t>
      </w:r>
      <w:r>
        <w:rPr>
          <w:spacing w:val="-1"/>
        </w:rPr>
        <w:t> </w:t>
      </w:r>
      <w:r>
        <w:rPr/>
        <w:t>thus:</w:t>
      </w:r>
    </w:p>
    <w:p>
      <w:pPr>
        <w:spacing w:line="276" w:lineRule="auto" w:before="159"/>
        <w:ind w:left="1940" w:right="2260" w:firstLine="0"/>
        <w:jc w:val="both"/>
        <w:rPr>
          <w:sz w:val="21"/>
        </w:rPr>
      </w:pPr>
      <w:r>
        <w:rPr>
          <w:spacing w:val="-1"/>
          <w:w w:val="33"/>
          <w:sz w:val="21"/>
        </w:rPr>
        <w:t>―</w:t>
      </w:r>
      <w:r>
        <w:rPr>
          <w:w w:val="100"/>
          <w:sz w:val="21"/>
        </w:rPr>
        <w:t>A</w:t>
      </w:r>
      <w:r>
        <w:rPr>
          <w:spacing w:val="21"/>
          <w:sz w:val="21"/>
        </w:rPr>
        <w:t> </w:t>
      </w:r>
      <w:r>
        <w:rPr>
          <w:w w:val="100"/>
          <w:sz w:val="21"/>
        </w:rPr>
        <w:t>F</w:t>
      </w:r>
      <w:r>
        <w:rPr>
          <w:spacing w:val="-2"/>
          <w:w w:val="100"/>
          <w:sz w:val="21"/>
        </w:rPr>
        <w:t>a</w:t>
      </w:r>
      <w:r>
        <w:rPr>
          <w:w w:val="100"/>
          <w:sz w:val="21"/>
        </w:rPr>
        <w:t>ir</w:t>
      </w:r>
      <w:r>
        <w:rPr>
          <w:spacing w:val="20"/>
          <w:sz w:val="21"/>
        </w:rPr>
        <w:t> </w:t>
      </w:r>
      <w:r>
        <w:rPr>
          <w:w w:val="100"/>
          <w:sz w:val="21"/>
        </w:rPr>
        <w:t>in</w:t>
      </w:r>
      <w:r>
        <w:rPr>
          <w:spacing w:val="20"/>
          <w:sz w:val="21"/>
        </w:rPr>
        <w:t> </w:t>
      </w:r>
      <w:r>
        <w:rPr>
          <w:w w:val="100"/>
          <w:sz w:val="21"/>
        </w:rPr>
        <w:t>S</w:t>
      </w:r>
      <w:r>
        <w:rPr>
          <w:spacing w:val="-1"/>
          <w:w w:val="100"/>
          <w:sz w:val="21"/>
        </w:rPr>
        <w:t>h</w:t>
      </w:r>
      <w:r>
        <w:rPr>
          <w:spacing w:val="-3"/>
          <w:w w:val="100"/>
          <w:sz w:val="21"/>
        </w:rPr>
        <w:t>r</w:t>
      </w:r>
      <w:r>
        <w:rPr>
          <w:spacing w:val="-1"/>
          <w:w w:val="100"/>
          <w:sz w:val="21"/>
        </w:rPr>
        <w:t>a</w:t>
      </w:r>
      <w:r>
        <w:rPr>
          <w:spacing w:val="-3"/>
          <w:w w:val="100"/>
          <w:sz w:val="21"/>
        </w:rPr>
        <w:t>v</w:t>
      </w:r>
      <w:r>
        <w:rPr>
          <w:spacing w:val="-1"/>
          <w:w w:val="100"/>
          <w:sz w:val="21"/>
        </w:rPr>
        <w:t>a</w:t>
      </w:r>
      <w:r>
        <w:rPr>
          <w:w w:val="100"/>
          <w:sz w:val="21"/>
        </w:rPr>
        <w:t>n</w:t>
      </w:r>
      <w:r>
        <w:rPr>
          <w:spacing w:val="21"/>
          <w:sz w:val="21"/>
        </w:rPr>
        <w:t> </w:t>
      </w:r>
      <w:r>
        <w:rPr>
          <w:w w:val="100"/>
          <w:sz w:val="21"/>
        </w:rPr>
        <w:t>is</w:t>
      </w:r>
      <w:r>
        <w:rPr>
          <w:spacing w:val="20"/>
          <w:sz w:val="21"/>
        </w:rPr>
        <w:t> </w:t>
      </w:r>
      <w:r>
        <w:rPr>
          <w:spacing w:val="-1"/>
          <w:w w:val="100"/>
          <w:sz w:val="21"/>
        </w:rPr>
        <w:t>h</w:t>
      </w:r>
      <w:r>
        <w:rPr>
          <w:spacing w:val="-3"/>
          <w:w w:val="100"/>
          <w:sz w:val="21"/>
        </w:rPr>
        <w:t>e</w:t>
      </w:r>
      <w:r>
        <w:rPr>
          <w:spacing w:val="-2"/>
          <w:w w:val="100"/>
          <w:sz w:val="21"/>
        </w:rPr>
        <w:t>l</w:t>
      </w:r>
      <w:r>
        <w:rPr>
          <w:w w:val="100"/>
          <w:sz w:val="21"/>
        </w:rPr>
        <w:t>d</w:t>
      </w:r>
      <w:r>
        <w:rPr>
          <w:spacing w:val="20"/>
          <w:sz w:val="21"/>
        </w:rPr>
        <w:t> </w:t>
      </w:r>
      <w:r>
        <w:rPr>
          <w:spacing w:val="-1"/>
          <w:w w:val="100"/>
          <w:sz w:val="21"/>
        </w:rPr>
        <w:t>here</w:t>
      </w:r>
      <w:r>
        <w:rPr>
          <w:w w:val="100"/>
          <w:sz w:val="21"/>
        </w:rPr>
        <w:t>.</w:t>
      </w:r>
      <w:r>
        <w:rPr>
          <w:spacing w:val="19"/>
          <w:sz w:val="21"/>
        </w:rPr>
        <w:t> </w:t>
      </w:r>
      <w:r>
        <w:rPr>
          <w:w w:val="100"/>
          <w:sz w:val="21"/>
        </w:rPr>
        <w:t>Fair</w:t>
      </w:r>
      <w:r>
        <w:rPr>
          <w:spacing w:val="20"/>
          <w:sz w:val="21"/>
        </w:rPr>
        <w:t> </w:t>
      </w:r>
      <w:r>
        <w:rPr>
          <w:spacing w:val="-1"/>
          <w:w w:val="100"/>
          <w:sz w:val="21"/>
        </w:rPr>
        <w:t>a</w:t>
      </w:r>
      <w:r>
        <w:rPr>
          <w:w w:val="100"/>
          <w:sz w:val="21"/>
        </w:rPr>
        <w:t>t</w:t>
      </w:r>
      <w:r>
        <w:rPr>
          <w:spacing w:val="19"/>
          <w:sz w:val="21"/>
        </w:rPr>
        <w:t> </w:t>
      </w:r>
      <w:r>
        <w:rPr>
          <w:spacing w:val="-2"/>
          <w:w w:val="100"/>
          <w:sz w:val="21"/>
        </w:rPr>
        <w:t>t</w:t>
      </w:r>
      <w:r>
        <w:rPr>
          <w:spacing w:val="-1"/>
          <w:w w:val="100"/>
          <w:sz w:val="21"/>
        </w:rPr>
        <w:t>h</w:t>
      </w:r>
      <w:r>
        <w:rPr>
          <w:w w:val="100"/>
          <w:sz w:val="21"/>
        </w:rPr>
        <w:t>e</w:t>
      </w:r>
      <w:r>
        <w:rPr>
          <w:spacing w:val="21"/>
          <w:sz w:val="21"/>
        </w:rPr>
        <w:t> </w:t>
      </w:r>
      <w:r>
        <w:rPr>
          <w:spacing w:val="-1"/>
          <w:w w:val="100"/>
          <w:sz w:val="21"/>
        </w:rPr>
        <w:t>Ma</w:t>
      </w:r>
      <w:r>
        <w:rPr>
          <w:spacing w:val="-3"/>
          <w:w w:val="100"/>
          <w:sz w:val="21"/>
        </w:rPr>
        <w:t>n</w:t>
      </w:r>
      <w:r>
        <w:rPr>
          <w:w w:val="100"/>
          <w:sz w:val="21"/>
        </w:rPr>
        <w:t>i</w:t>
      </w:r>
      <w:r>
        <w:rPr>
          <w:spacing w:val="21"/>
          <w:sz w:val="21"/>
        </w:rPr>
        <w:t> </w:t>
      </w:r>
      <w:r>
        <w:rPr>
          <w:w w:val="100"/>
          <w:sz w:val="21"/>
        </w:rPr>
        <w:t>P</w:t>
      </w:r>
      <w:r>
        <w:rPr>
          <w:spacing w:val="-1"/>
          <w:w w:val="100"/>
          <w:sz w:val="21"/>
        </w:rPr>
        <w:t>arba</w:t>
      </w:r>
      <w:r>
        <w:rPr>
          <w:w w:val="100"/>
          <w:sz w:val="21"/>
        </w:rPr>
        <w:t>t</w:t>
      </w:r>
      <w:r>
        <w:rPr>
          <w:spacing w:val="19"/>
          <w:sz w:val="21"/>
        </w:rPr>
        <w:t> </w:t>
      </w:r>
      <w:r>
        <w:rPr>
          <w:spacing w:val="-1"/>
          <w:w w:val="100"/>
          <w:sz w:val="21"/>
        </w:rPr>
        <w:t>a</w:t>
      </w:r>
      <w:r>
        <w:rPr>
          <w:spacing w:val="-3"/>
          <w:w w:val="100"/>
          <w:sz w:val="21"/>
        </w:rPr>
        <w:t>n</w:t>
      </w:r>
      <w:r>
        <w:rPr>
          <w:w w:val="100"/>
          <w:sz w:val="21"/>
        </w:rPr>
        <w:t>d </w:t>
      </w:r>
      <w:r>
        <w:rPr>
          <w:sz w:val="21"/>
        </w:rPr>
        <w:t>another fair at Vashishtha Kund is also organised. There is Ram Navami Fair in the month of Chaitra. It is said that Ram Navami Fair is organised on the occasion of birthday of Lord Rama. On this occasion, people from outside also come to Ayodhya. During the </w:t>
      </w:r>
      <w:r>
        <w:rPr>
          <w:spacing w:val="-3"/>
          <w:sz w:val="21"/>
        </w:rPr>
        <w:t>days </w:t>
      </w:r>
      <w:r>
        <w:rPr>
          <w:sz w:val="21"/>
        </w:rPr>
        <w:t>of our childhood thousands of people from outside used to come. These days lakhs of people come. Parikramas are also organised there. Of the two parikramas one is Panchkosi and another is Chaudahkosi. Hindus come from different places and they perform Parikramas also on this</w:t>
      </w:r>
      <w:r>
        <w:rPr>
          <w:spacing w:val="-12"/>
          <w:sz w:val="21"/>
        </w:rPr>
        <w:t> </w:t>
      </w:r>
      <w:r>
        <w:rPr>
          <w:sz w:val="21"/>
        </w:rPr>
        <w:t>occasion.‖</w:t>
      </w:r>
    </w:p>
    <w:p>
      <w:pPr>
        <w:pStyle w:val="BodyText"/>
        <w:rPr>
          <w:sz w:val="24"/>
        </w:rPr>
      </w:pPr>
    </w:p>
    <w:p>
      <w:pPr>
        <w:pStyle w:val="ListParagraph"/>
        <w:numPr>
          <w:ilvl w:val="0"/>
          <w:numId w:val="166"/>
        </w:numPr>
        <w:tabs>
          <w:tab w:pos="1221" w:val="left" w:leader="none"/>
        </w:tabs>
        <w:spacing w:line="480" w:lineRule="auto" w:before="206" w:after="0"/>
        <w:ind w:left="500" w:right="437" w:firstLine="0"/>
        <w:jc w:val="both"/>
        <w:rPr>
          <w:sz w:val="25"/>
        </w:rPr>
      </w:pPr>
      <w:r>
        <w:rPr>
          <w:b/>
          <w:sz w:val="25"/>
        </w:rPr>
        <w:t>Mohd Qasim Ansari (PW-23): </w:t>
      </w:r>
      <w:r>
        <w:rPr>
          <w:sz w:val="25"/>
        </w:rPr>
        <w:t>He was seventy-four years old when he filed an affidavit in January 2002. He was a resident of Mohalla Kutia, Ayodhya and was a motor mechanic by profession. The witness stated that his residence was situated about three furlongs away from the disputed site. The witness stated that he had recited Fazir Zohar, Asir, Magrib, Isha, Tarvi and even Zumma  namaz multiple times at the disputed site. According to the witness, he recited the last namaz on 22 December 1949 and till the time he recited namaz, there was no idol kept inside the three domed structure and no Hindus ever prayed at the disputed site. The witness was first cross-examined on 16 January 2002. During the course of cross-examination, the witness stated that the Hindus considered Lord Ram as their God and believed that Lord Ram was born in Ayodhya. The witness stated that Babri Masjid was referred to as the Janmabhumi by</w:t>
      </w:r>
      <w:r>
        <w:rPr>
          <w:spacing w:val="-7"/>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Hindus and that he was aware of Panchkoshi Marg and </w:t>
      </w:r>
      <w:r>
        <w:rPr>
          <w:i/>
        </w:rPr>
        <w:t>Panchkoshi Parikrama</w:t>
      </w:r>
      <w:r>
        <w:rPr/>
        <w:t>. He stated that the disputed site was at a distance of 300 metres from Panchkosi Marg and all the famous temples of Ayodhya including the disputed site were situated within the Panchkosi Marg. According to the witness, during the month of Kartik, a grand festival was organised in Ayodhya, shops were set up and lakhs of pilgrims came to have darshan at the Ram Janmabhumi, Kanak Bhawan and Hanuman Garhi. The witness also stated that the </w:t>
      </w:r>
      <w:r>
        <w:rPr>
          <w:i/>
        </w:rPr>
        <w:t>Chaudahkosi Parikrama </w:t>
      </w:r>
      <w:r>
        <w:rPr/>
        <w:t>was also performed once a year during the month of Kartik and lakhs of pilgrims used to take part in it. The witness also referred to the Ram Navami festival held in the month of Chaitra and the Sawan festival which attracted lakhs of people to the city of Ayodhya. The pilgrims used to take a dip in the river Saryu and have darshan at Kanak Bhavan, Janmasthan mandir and even the Janmabhumi. According to the witness, during the days of the festival, Hindus and Muslims co- existed in love and</w:t>
      </w:r>
      <w:r>
        <w:rPr>
          <w:spacing w:val="-3"/>
        </w:rPr>
        <w:t> </w:t>
      </w:r>
      <w:r>
        <w:rPr/>
        <w:t>peace.</w:t>
      </w:r>
    </w:p>
    <w:p>
      <w:pPr>
        <w:pStyle w:val="BodyText"/>
        <w:spacing w:before="10"/>
        <w:rPr>
          <w:sz w:val="38"/>
        </w:rPr>
      </w:pPr>
    </w:p>
    <w:p>
      <w:pPr>
        <w:pStyle w:val="ListParagraph"/>
        <w:numPr>
          <w:ilvl w:val="0"/>
          <w:numId w:val="166"/>
        </w:numPr>
        <w:tabs>
          <w:tab w:pos="1221" w:val="left" w:leader="none"/>
        </w:tabs>
        <w:spacing w:line="480" w:lineRule="auto" w:before="0" w:after="0"/>
        <w:ind w:left="500" w:right="445" w:firstLine="0"/>
        <w:jc w:val="both"/>
        <w:rPr>
          <w:sz w:val="25"/>
        </w:rPr>
      </w:pPr>
      <w:r>
        <w:rPr>
          <w:sz w:val="25"/>
        </w:rPr>
        <w:t>Analysing the depositions of the above witnesses, the following facets can be</w:t>
      </w:r>
      <w:r>
        <w:rPr>
          <w:spacing w:val="-1"/>
          <w:sz w:val="25"/>
        </w:rPr>
        <w:t> </w:t>
      </w:r>
      <w:r>
        <w:rPr>
          <w:sz w:val="25"/>
        </w:rPr>
        <w:t>gleaned:</w:t>
      </w:r>
    </w:p>
    <w:p>
      <w:pPr>
        <w:pStyle w:val="ListParagraph"/>
        <w:numPr>
          <w:ilvl w:val="0"/>
          <w:numId w:val="176"/>
        </w:numPr>
        <w:tabs>
          <w:tab w:pos="1221" w:val="left" w:leader="none"/>
        </w:tabs>
        <w:spacing w:line="480" w:lineRule="auto" w:before="161" w:after="0"/>
        <w:ind w:left="1220" w:right="440" w:hanging="720"/>
        <w:jc w:val="both"/>
        <w:rPr>
          <w:sz w:val="25"/>
        </w:rPr>
      </w:pPr>
      <w:r>
        <w:rPr>
          <w:sz w:val="25"/>
        </w:rPr>
        <w:t>Hindus consider Ayodhya as the birth-place of Lord Ram. Hindu Shastras and religious scriptures refer to it being a place of religious</w:t>
      </w:r>
      <w:r>
        <w:rPr>
          <w:spacing w:val="-11"/>
          <w:sz w:val="25"/>
        </w:rPr>
        <w:t> </w:t>
      </w:r>
      <w:r>
        <w:rPr>
          <w:sz w:val="25"/>
        </w:rPr>
        <w:t>significance;</w:t>
      </w:r>
    </w:p>
    <w:p>
      <w:pPr>
        <w:pStyle w:val="ListParagraph"/>
        <w:numPr>
          <w:ilvl w:val="0"/>
          <w:numId w:val="176"/>
        </w:numPr>
        <w:tabs>
          <w:tab w:pos="1221" w:val="left" w:leader="none"/>
        </w:tabs>
        <w:spacing w:line="480" w:lineRule="auto" w:before="0" w:after="0"/>
        <w:ind w:left="1220" w:right="444" w:hanging="720"/>
        <w:jc w:val="both"/>
        <w:rPr>
          <w:sz w:val="25"/>
        </w:rPr>
      </w:pPr>
      <w:r>
        <w:rPr>
          <w:sz w:val="25"/>
        </w:rPr>
        <w:t>The faith and belief of the Hindus is that Lord Ram was born inside the inner sanctum or ‗Garbh Grih‘ right below the central dome of the three domed</w:t>
      </w:r>
      <w:r>
        <w:rPr>
          <w:spacing w:val="-1"/>
          <w:sz w:val="25"/>
        </w:rPr>
        <w:t> </w:t>
      </w:r>
      <w:r>
        <w:rPr>
          <w:sz w:val="25"/>
        </w:rPr>
        <w:t>structure;</w:t>
      </w:r>
    </w:p>
    <w:p>
      <w:pPr>
        <w:pStyle w:val="ListParagraph"/>
        <w:numPr>
          <w:ilvl w:val="0"/>
          <w:numId w:val="176"/>
        </w:numPr>
        <w:tabs>
          <w:tab w:pos="1221" w:val="left" w:leader="none"/>
        </w:tabs>
        <w:spacing w:line="482" w:lineRule="auto" w:before="1" w:after="0"/>
        <w:ind w:left="1220" w:right="445" w:hanging="720"/>
        <w:jc w:val="both"/>
        <w:rPr>
          <w:sz w:val="25"/>
        </w:rPr>
      </w:pPr>
      <w:r>
        <w:rPr>
          <w:sz w:val="25"/>
        </w:rPr>
        <w:t>What Muslims call the Babri mosque, the Hindus consider as the Ram Janmabhumi or the birth-place of Lord</w:t>
      </w:r>
      <w:r>
        <w:rPr>
          <w:spacing w:val="-5"/>
          <w:sz w:val="25"/>
        </w:rPr>
        <w:t> </w:t>
      </w:r>
      <w:r>
        <w:rPr>
          <w:sz w:val="25"/>
        </w:rPr>
        <w:t>Ram;</w:t>
      </w:r>
    </w:p>
    <w:p>
      <w:pPr>
        <w:spacing w:after="0" w:line="482" w:lineRule="auto"/>
        <w:jc w:val="both"/>
        <w:rPr>
          <w:sz w:val="25"/>
        </w:rPr>
        <w:sectPr>
          <w:pgSz w:w="11910" w:h="16840"/>
          <w:pgMar w:header="721" w:footer="1014" w:top="1300" w:bottom="1200" w:left="940" w:right="1000"/>
        </w:sectPr>
      </w:pPr>
    </w:p>
    <w:p>
      <w:pPr>
        <w:pStyle w:val="ListParagraph"/>
        <w:numPr>
          <w:ilvl w:val="0"/>
          <w:numId w:val="176"/>
        </w:numPr>
        <w:tabs>
          <w:tab w:pos="1221" w:val="left" w:leader="none"/>
        </w:tabs>
        <w:spacing w:line="480" w:lineRule="auto" w:before="124" w:after="0"/>
        <w:ind w:left="1220" w:right="442" w:hanging="720"/>
        <w:jc w:val="both"/>
        <w:rPr>
          <w:sz w:val="25"/>
        </w:rPr>
      </w:pPr>
      <w:r>
        <w:rPr>
          <w:sz w:val="25"/>
        </w:rPr>
        <w:t>The faith and belief of the Hindus that Lord Ram was born in Ayodhya is undisputed. Muslim witnesses also stated that Hindus have faith and belief in the existence of the</w:t>
      </w:r>
      <w:r>
        <w:rPr>
          <w:spacing w:val="-6"/>
          <w:sz w:val="25"/>
        </w:rPr>
        <w:t> </w:t>
      </w:r>
      <w:r>
        <w:rPr>
          <w:sz w:val="25"/>
        </w:rPr>
        <w:t>Janmasthan;</w:t>
      </w:r>
    </w:p>
    <w:p>
      <w:pPr>
        <w:pStyle w:val="ListParagraph"/>
        <w:numPr>
          <w:ilvl w:val="0"/>
          <w:numId w:val="176"/>
        </w:numPr>
        <w:tabs>
          <w:tab w:pos="1221" w:val="left" w:leader="none"/>
        </w:tabs>
        <w:spacing w:line="480" w:lineRule="auto" w:before="0" w:after="0"/>
        <w:ind w:left="1220" w:right="438" w:hanging="720"/>
        <w:jc w:val="both"/>
        <w:rPr>
          <w:sz w:val="25"/>
        </w:rPr>
      </w:pPr>
      <w:r>
        <w:rPr>
          <w:sz w:val="25"/>
        </w:rPr>
        <w:t>Both Hindu and Sunni witness testimonies indicate that the disputed site was being used for offering worship by devotees of both</w:t>
      </w:r>
      <w:r>
        <w:rPr>
          <w:spacing w:val="-11"/>
          <w:sz w:val="25"/>
        </w:rPr>
        <w:t> </w:t>
      </w:r>
      <w:r>
        <w:rPr>
          <w:sz w:val="25"/>
        </w:rPr>
        <w:t>faiths;</w:t>
      </w:r>
    </w:p>
    <w:p>
      <w:pPr>
        <w:pStyle w:val="ListParagraph"/>
        <w:numPr>
          <w:ilvl w:val="0"/>
          <w:numId w:val="176"/>
        </w:numPr>
        <w:tabs>
          <w:tab w:pos="1221" w:val="left" w:leader="none"/>
        </w:tabs>
        <w:spacing w:line="480" w:lineRule="auto" w:before="0" w:after="0"/>
        <w:ind w:left="1220" w:right="445" w:hanging="720"/>
        <w:jc w:val="both"/>
        <w:rPr>
          <w:sz w:val="25"/>
        </w:rPr>
      </w:pPr>
      <w:r>
        <w:rPr>
          <w:sz w:val="25"/>
        </w:rPr>
        <w:t>Both Hindu and Sunni witnesses have described the physical layout of the disputed structure in the following</w:t>
      </w:r>
      <w:r>
        <w:rPr>
          <w:spacing w:val="-3"/>
          <w:sz w:val="25"/>
        </w:rPr>
        <w:t> </w:t>
      </w:r>
      <w:r>
        <w:rPr>
          <w:sz w:val="25"/>
        </w:rPr>
        <w:t>manner:</w:t>
      </w:r>
    </w:p>
    <w:p>
      <w:pPr>
        <w:pStyle w:val="ListParagraph"/>
        <w:numPr>
          <w:ilvl w:val="1"/>
          <w:numId w:val="176"/>
        </w:numPr>
        <w:tabs>
          <w:tab w:pos="1941" w:val="left" w:leader="none"/>
        </w:tabs>
        <w:spacing w:line="480" w:lineRule="auto" w:before="0" w:after="0"/>
        <w:ind w:left="1940" w:right="438" w:hanging="720"/>
        <w:jc w:val="both"/>
        <w:rPr>
          <w:i/>
          <w:sz w:val="25"/>
        </w:rPr>
      </w:pPr>
      <w:r>
        <w:rPr>
          <w:sz w:val="25"/>
        </w:rPr>
        <w:t>There were two entrances to the disputed premises – one from the East through the Hanumat Dwar and the other from the North through Singh Dwar. There were on both sides of Hanumat Dwar black touch stone (Kasauti stone) pillars with engravings of flowers, leaves and Hindu Gods and Goddesses. Hindus used to pray and offer worship to the engravings on the pillars. Two Hindu witnesses spoke about the ‗Jai and Vijai‘</w:t>
      </w:r>
      <w:r>
        <w:rPr>
          <w:spacing w:val="-16"/>
          <w:sz w:val="25"/>
        </w:rPr>
        <w:t> </w:t>
      </w:r>
      <w:r>
        <w:rPr>
          <w:sz w:val="25"/>
        </w:rPr>
        <w:t>engravings</w:t>
      </w:r>
      <w:r>
        <w:rPr>
          <w:i/>
          <w:sz w:val="25"/>
        </w:rPr>
        <w:t>;</w:t>
      </w:r>
    </w:p>
    <w:p>
      <w:pPr>
        <w:pStyle w:val="ListParagraph"/>
        <w:numPr>
          <w:ilvl w:val="1"/>
          <w:numId w:val="176"/>
        </w:numPr>
        <w:tabs>
          <w:tab w:pos="1941" w:val="left" w:leader="none"/>
        </w:tabs>
        <w:spacing w:line="480" w:lineRule="auto" w:before="1" w:after="0"/>
        <w:ind w:left="1940" w:right="439" w:hanging="720"/>
        <w:jc w:val="both"/>
        <w:rPr>
          <w:sz w:val="25"/>
        </w:rPr>
      </w:pPr>
      <w:r>
        <w:rPr>
          <w:sz w:val="25"/>
        </w:rPr>
        <w:t>Outside the main gate was a fixed stone with the words ‗Janam Bhumi Nitya Yatra‘ written on it. On entering through this gate, the Ramchabutra was on the left upon which the idols of Lord Ram had been placed. Kirtan was carried out near the Ramchabutra by devotees and</w:t>
      </w:r>
      <w:r>
        <w:rPr>
          <w:spacing w:val="-2"/>
          <w:sz w:val="25"/>
        </w:rPr>
        <w:t> </w:t>
      </w:r>
      <w:r>
        <w:rPr>
          <w:sz w:val="25"/>
        </w:rPr>
        <w:t>saints;</w:t>
      </w:r>
    </w:p>
    <w:p>
      <w:pPr>
        <w:pStyle w:val="ListParagraph"/>
        <w:numPr>
          <w:ilvl w:val="1"/>
          <w:numId w:val="176"/>
        </w:numPr>
        <w:tabs>
          <w:tab w:pos="1941" w:val="left" w:leader="none"/>
        </w:tabs>
        <w:spacing w:line="480" w:lineRule="auto" w:before="1" w:after="0"/>
        <w:ind w:left="1940" w:right="439" w:hanging="720"/>
        <w:jc w:val="both"/>
        <w:rPr>
          <w:sz w:val="25"/>
        </w:rPr>
      </w:pPr>
      <w:r>
        <w:rPr>
          <w:sz w:val="25"/>
        </w:rPr>
        <w:t>In one corner of the outer courtyard idols of Ganesha, Nandi, Shivlinga, Parvati and others were placed below a fig and a neem tree;</w:t>
      </w:r>
    </w:p>
    <w:p>
      <w:pPr>
        <w:pStyle w:val="ListParagraph"/>
        <w:numPr>
          <w:ilvl w:val="1"/>
          <w:numId w:val="176"/>
        </w:numPr>
        <w:tabs>
          <w:tab w:pos="1941" w:val="left" w:leader="none"/>
        </w:tabs>
        <w:spacing w:line="482" w:lineRule="auto" w:before="0" w:after="0"/>
        <w:ind w:left="1940" w:right="443" w:hanging="720"/>
        <w:jc w:val="both"/>
        <w:rPr>
          <w:sz w:val="25"/>
        </w:rPr>
      </w:pPr>
      <w:r>
        <w:rPr>
          <w:sz w:val="25"/>
        </w:rPr>
        <w:t>There existed a structure with a thatched roof, which had provisions for storing food and preparing</w:t>
      </w:r>
      <w:r>
        <w:rPr>
          <w:spacing w:val="-1"/>
          <w:sz w:val="25"/>
        </w:rPr>
        <w:t> </w:t>
      </w:r>
      <w:r>
        <w:rPr>
          <w:sz w:val="25"/>
        </w:rPr>
        <w:t>meals;</w:t>
      </w:r>
    </w:p>
    <w:p>
      <w:pPr>
        <w:spacing w:after="0" w:line="482" w:lineRule="auto"/>
        <w:jc w:val="both"/>
        <w:rPr>
          <w:sz w:val="25"/>
        </w:rPr>
        <w:sectPr>
          <w:pgSz w:w="11910" w:h="16840"/>
          <w:pgMar w:header="721" w:footer="1014" w:top="1300" w:bottom="1200" w:left="940" w:right="1000"/>
        </w:sectPr>
      </w:pPr>
    </w:p>
    <w:p>
      <w:pPr>
        <w:pStyle w:val="ListParagraph"/>
        <w:numPr>
          <w:ilvl w:val="1"/>
          <w:numId w:val="176"/>
        </w:numPr>
        <w:tabs>
          <w:tab w:pos="1941" w:val="left" w:leader="none"/>
        </w:tabs>
        <w:spacing w:line="480" w:lineRule="auto" w:before="124" w:after="0"/>
        <w:ind w:left="1940" w:right="438" w:hanging="720"/>
        <w:jc w:val="both"/>
        <w:rPr>
          <w:sz w:val="25"/>
        </w:rPr>
      </w:pPr>
      <w:r>
        <w:rPr>
          <w:sz w:val="25"/>
        </w:rPr>
        <w:t>Outside the disputed premises, in the south-eastern corner, Sita Koop was located at a distance of 200-250</w:t>
      </w:r>
      <w:r>
        <w:rPr>
          <w:spacing w:val="-6"/>
          <w:sz w:val="25"/>
        </w:rPr>
        <w:t> </w:t>
      </w:r>
      <w:r>
        <w:rPr>
          <w:sz w:val="25"/>
        </w:rPr>
        <w:t>paces;</w:t>
      </w:r>
    </w:p>
    <w:p>
      <w:pPr>
        <w:pStyle w:val="ListParagraph"/>
        <w:numPr>
          <w:ilvl w:val="1"/>
          <w:numId w:val="176"/>
        </w:numPr>
        <w:tabs>
          <w:tab w:pos="1941" w:val="left" w:leader="none"/>
        </w:tabs>
        <w:spacing w:line="480" w:lineRule="auto" w:before="0" w:after="0"/>
        <w:ind w:left="1940" w:right="434" w:hanging="720"/>
        <w:jc w:val="both"/>
        <w:rPr>
          <w:sz w:val="25"/>
        </w:rPr>
      </w:pPr>
      <w:r>
        <w:rPr>
          <w:sz w:val="25"/>
        </w:rPr>
        <w:t>The Northern entrance gate to the disputed site was Singh Dwar above which a pictorial representation of </w:t>
      </w:r>
      <w:r>
        <w:rPr>
          <w:i/>
          <w:sz w:val="25"/>
        </w:rPr>
        <w:t>garuda </w:t>
      </w:r>
      <w:r>
        <w:rPr>
          <w:sz w:val="25"/>
        </w:rPr>
        <w:t>was engraved in the centre with two lions on either side. On entering through Singh Dwar, Sita Rasoi was accessed, which included a </w:t>
      </w:r>
      <w:r>
        <w:rPr>
          <w:i/>
          <w:sz w:val="25"/>
        </w:rPr>
        <w:t>Chauka-Belan- </w:t>
      </w:r>
      <w:r>
        <w:rPr>
          <w:i/>
          <w:sz w:val="25"/>
        </w:rPr>
        <w:t>Choolha</w:t>
      </w:r>
      <w:r>
        <w:rPr>
          <w:sz w:val="25"/>
        </w:rPr>
        <w:t>, </w:t>
      </w:r>
      <w:r>
        <w:rPr>
          <w:i/>
          <w:sz w:val="25"/>
        </w:rPr>
        <w:t>Charan Chinha </w:t>
      </w:r>
      <w:r>
        <w:rPr>
          <w:sz w:val="25"/>
        </w:rPr>
        <w:t>and other signs of religious significance; and</w:t>
      </w:r>
    </w:p>
    <w:p>
      <w:pPr>
        <w:pStyle w:val="ListParagraph"/>
        <w:numPr>
          <w:ilvl w:val="1"/>
          <w:numId w:val="176"/>
        </w:numPr>
        <w:tabs>
          <w:tab w:pos="1941" w:val="left" w:leader="none"/>
        </w:tabs>
        <w:spacing w:line="480" w:lineRule="auto" w:before="1" w:after="0"/>
        <w:ind w:left="1940" w:right="440" w:hanging="720"/>
        <w:jc w:val="both"/>
        <w:rPr>
          <w:sz w:val="25"/>
        </w:rPr>
      </w:pPr>
      <w:r>
        <w:rPr>
          <w:sz w:val="25"/>
        </w:rPr>
        <w:t>To the West of Ramchabutra, there was a wall with iron bars. Inside the railing was the three domed structure which Hindus believed to be</w:t>
      </w:r>
      <w:r>
        <w:rPr>
          <w:spacing w:val="51"/>
          <w:sz w:val="25"/>
        </w:rPr>
        <w:t> </w:t>
      </w:r>
      <w:r>
        <w:rPr>
          <w:sz w:val="25"/>
        </w:rPr>
        <w:t>the</w:t>
      </w:r>
      <w:r>
        <w:rPr>
          <w:spacing w:val="51"/>
          <w:sz w:val="25"/>
        </w:rPr>
        <w:t> </w:t>
      </w:r>
      <w:r>
        <w:rPr>
          <w:sz w:val="25"/>
        </w:rPr>
        <w:t>birth-place</w:t>
      </w:r>
      <w:r>
        <w:rPr>
          <w:spacing w:val="52"/>
          <w:sz w:val="25"/>
        </w:rPr>
        <w:t> </w:t>
      </w:r>
      <w:r>
        <w:rPr>
          <w:sz w:val="25"/>
        </w:rPr>
        <w:t>of</w:t>
      </w:r>
      <w:r>
        <w:rPr>
          <w:spacing w:val="49"/>
          <w:sz w:val="25"/>
        </w:rPr>
        <w:t> </w:t>
      </w:r>
      <w:r>
        <w:rPr>
          <w:sz w:val="25"/>
        </w:rPr>
        <w:t>Lord</w:t>
      </w:r>
      <w:r>
        <w:rPr>
          <w:spacing w:val="51"/>
          <w:sz w:val="25"/>
        </w:rPr>
        <w:t> </w:t>
      </w:r>
      <w:r>
        <w:rPr>
          <w:sz w:val="25"/>
        </w:rPr>
        <w:t>Ram.</w:t>
      </w:r>
      <w:r>
        <w:rPr>
          <w:spacing w:val="52"/>
          <w:sz w:val="25"/>
        </w:rPr>
        <w:t> </w:t>
      </w:r>
      <w:r>
        <w:rPr>
          <w:sz w:val="25"/>
        </w:rPr>
        <w:t>The</w:t>
      </w:r>
      <w:r>
        <w:rPr>
          <w:spacing w:val="51"/>
          <w:sz w:val="25"/>
        </w:rPr>
        <w:t> </w:t>
      </w:r>
      <w:r>
        <w:rPr>
          <w:sz w:val="25"/>
        </w:rPr>
        <w:t>Hindus</w:t>
      </w:r>
      <w:r>
        <w:rPr>
          <w:spacing w:val="52"/>
          <w:sz w:val="25"/>
        </w:rPr>
        <w:t> </w:t>
      </w:r>
      <w:r>
        <w:rPr>
          <w:sz w:val="25"/>
        </w:rPr>
        <w:t>believed</w:t>
      </w:r>
      <w:r>
        <w:rPr>
          <w:spacing w:val="51"/>
          <w:sz w:val="25"/>
        </w:rPr>
        <w:t> </w:t>
      </w:r>
      <w:r>
        <w:rPr>
          <w:sz w:val="25"/>
        </w:rPr>
        <w:t>this</w:t>
      </w:r>
      <w:r>
        <w:rPr>
          <w:spacing w:val="51"/>
          <w:sz w:val="25"/>
        </w:rPr>
        <w:t> </w:t>
      </w:r>
      <w:r>
        <w:rPr>
          <w:sz w:val="25"/>
        </w:rPr>
        <w:t>as</w:t>
      </w:r>
      <w:r>
        <w:rPr>
          <w:spacing w:val="54"/>
          <w:sz w:val="25"/>
        </w:rPr>
        <w:t> </w:t>
      </w:r>
      <w:r>
        <w:rPr>
          <w:sz w:val="25"/>
        </w:rPr>
        <w:t>the</w:t>
      </w:r>
    </w:p>
    <w:p>
      <w:pPr>
        <w:pStyle w:val="BodyText"/>
        <w:spacing w:line="480" w:lineRule="auto"/>
        <w:ind w:left="1940" w:right="441"/>
        <w:jc w:val="both"/>
      </w:pPr>
      <w:r>
        <w:rPr/>
        <w:t>‗Garbh Grih‘ which was considered a holy and revered place. There existed black Kasauti stone pillars in the three domed structure. The witnesses stated that the pillars had engravings of flowers, leaves, Gods and Goddesses on them;</w:t>
      </w:r>
    </w:p>
    <w:p>
      <w:pPr>
        <w:pStyle w:val="BodyText"/>
        <w:spacing w:before="10"/>
        <w:rPr>
          <w:sz w:val="24"/>
        </w:rPr>
      </w:pPr>
    </w:p>
    <w:p>
      <w:pPr>
        <w:pStyle w:val="ListParagraph"/>
        <w:numPr>
          <w:ilvl w:val="0"/>
          <w:numId w:val="176"/>
        </w:numPr>
        <w:tabs>
          <w:tab w:pos="1221" w:val="left" w:leader="none"/>
        </w:tabs>
        <w:spacing w:line="480" w:lineRule="auto" w:before="1" w:after="0"/>
        <w:ind w:left="1220" w:right="438" w:hanging="720"/>
        <w:jc w:val="both"/>
        <w:rPr>
          <w:sz w:val="25"/>
        </w:rPr>
      </w:pPr>
      <w:r>
        <w:rPr>
          <w:sz w:val="25"/>
        </w:rPr>
        <w:t>A pattern of worship and prayer emerges from the testimonies of the witnesses. Upon entering Hanumat Dwar, the Hindus used to offer prayers and worship the idols of Lord Ram placed upon the Chabutra in the outer courtyard followed by the idols placed below the fig and neem tree. Prayers were offered at the Sita Rasoi and then pilgrims used to pay obeisance to the ‗Garbh Grih‘ located inside the three domed structure, while making their offerings standing at the iron railing that divided the inner and outer courtyard. The Hindus performed a </w:t>
      </w:r>
      <w:r>
        <w:rPr>
          <w:i/>
          <w:sz w:val="25"/>
        </w:rPr>
        <w:t>parikrama </w:t>
      </w:r>
      <w:r>
        <w:rPr>
          <w:sz w:val="25"/>
        </w:rPr>
        <w:t>or  performed circumambulation of the Ram</w:t>
      </w:r>
      <w:r>
        <w:rPr>
          <w:spacing w:val="-2"/>
          <w:sz w:val="25"/>
        </w:rPr>
        <w:t> </w:t>
      </w:r>
      <w:r>
        <w:rPr>
          <w:sz w:val="25"/>
        </w:rPr>
        <w:t>Janmabhumi;</w:t>
      </w:r>
    </w:p>
    <w:p>
      <w:pPr>
        <w:spacing w:after="0" w:line="480" w:lineRule="auto"/>
        <w:jc w:val="both"/>
        <w:rPr>
          <w:sz w:val="25"/>
        </w:rPr>
        <w:sectPr>
          <w:pgSz w:w="11910" w:h="16840"/>
          <w:pgMar w:header="721" w:footer="1014" w:top="1300" w:bottom="1200" w:left="940" w:right="1000"/>
        </w:sectPr>
      </w:pPr>
    </w:p>
    <w:p>
      <w:pPr>
        <w:pStyle w:val="ListParagraph"/>
        <w:numPr>
          <w:ilvl w:val="0"/>
          <w:numId w:val="176"/>
        </w:numPr>
        <w:tabs>
          <w:tab w:pos="1221" w:val="left" w:leader="none"/>
        </w:tabs>
        <w:spacing w:line="480" w:lineRule="auto" w:before="124" w:after="0"/>
        <w:ind w:left="1220" w:right="436" w:hanging="720"/>
        <w:jc w:val="both"/>
        <w:rPr>
          <w:sz w:val="25"/>
        </w:rPr>
      </w:pPr>
      <w:r>
        <w:rPr>
          <w:sz w:val="25"/>
        </w:rPr>
        <w:t>Both Hindu and Muslim witnesses stated that on religious occasions and festivals such as Ram Navami, Sawan Jhoola, Kartik Poornima, Parikrama Mela and Ram Vivah, many Hindu pilgrims from across the country visited the disputed premises for darshan. Worshippers used to take a dip in the Saryu river and have darshan at Ram Janmabhumi, Kanak Bhawan and Hanumangarhi. Pilgrims would perform a customary circumambulation around the disputed premises;</w:t>
      </w:r>
      <w:r>
        <w:rPr>
          <w:spacing w:val="-3"/>
          <w:sz w:val="25"/>
        </w:rPr>
        <w:t> </w:t>
      </w:r>
      <w:r>
        <w:rPr>
          <w:sz w:val="25"/>
        </w:rPr>
        <w:t>and</w:t>
      </w:r>
    </w:p>
    <w:p>
      <w:pPr>
        <w:pStyle w:val="BodyText"/>
        <w:spacing w:before="1"/>
      </w:pPr>
    </w:p>
    <w:p>
      <w:pPr>
        <w:pStyle w:val="ListParagraph"/>
        <w:numPr>
          <w:ilvl w:val="0"/>
          <w:numId w:val="176"/>
        </w:numPr>
        <w:tabs>
          <w:tab w:pos="1221" w:val="left" w:leader="none"/>
        </w:tabs>
        <w:spacing w:line="480" w:lineRule="auto" w:before="0" w:after="0"/>
        <w:ind w:left="1220" w:right="436" w:hanging="720"/>
        <w:jc w:val="both"/>
        <w:rPr>
          <w:sz w:val="25"/>
        </w:rPr>
      </w:pPr>
      <w:r>
        <w:rPr>
          <w:sz w:val="25"/>
        </w:rPr>
        <w:t>Both Hindu and Muslim witnesses have referred to </w:t>
      </w:r>
      <w:r>
        <w:rPr>
          <w:i/>
          <w:sz w:val="25"/>
        </w:rPr>
        <w:t>Panchkoshi </w:t>
      </w:r>
      <w:r>
        <w:rPr>
          <w:sz w:val="25"/>
        </w:rPr>
        <w:t>and </w:t>
      </w:r>
      <w:r>
        <w:rPr>
          <w:i/>
          <w:sz w:val="25"/>
        </w:rPr>
        <w:t>Chaudahkosi Parikramas </w:t>
      </w:r>
      <w:r>
        <w:rPr>
          <w:sz w:val="25"/>
        </w:rPr>
        <w:t>that were performed once a year during the month of Kartik, which attracted lakhs of pilgrims to the city of</w:t>
      </w:r>
      <w:r>
        <w:rPr>
          <w:spacing w:val="-17"/>
          <w:sz w:val="25"/>
        </w:rPr>
        <w:t> </w:t>
      </w:r>
      <w:r>
        <w:rPr>
          <w:sz w:val="25"/>
        </w:rPr>
        <w:t>Ayodhya.</w:t>
      </w:r>
    </w:p>
    <w:p>
      <w:pPr>
        <w:pStyle w:val="BodyText"/>
        <w:rPr>
          <w:sz w:val="28"/>
        </w:rPr>
      </w:pPr>
    </w:p>
    <w:p>
      <w:pPr>
        <w:pStyle w:val="BodyText"/>
        <w:spacing w:before="2"/>
        <w:rPr>
          <w:sz w:val="22"/>
        </w:rPr>
      </w:pPr>
    </w:p>
    <w:p>
      <w:pPr>
        <w:pStyle w:val="Heading4"/>
        <w:jc w:val="left"/>
        <w:rPr>
          <w:i/>
        </w:rPr>
      </w:pPr>
      <w:r>
        <w:rPr>
          <w:i/>
        </w:rPr>
        <w:t>The areas of dispute</w:t>
      </w:r>
    </w:p>
    <w:p>
      <w:pPr>
        <w:pStyle w:val="BodyText"/>
        <w:rPr>
          <w:i/>
          <w:sz w:val="28"/>
        </w:rPr>
      </w:pPr>
    </w:p>
    <w:p>
      <w:pPr>
        <w:pStyle w:val="BodyText"/>
        <w:spacing w:before="10"/>
        <w:rPr>
          <w:i/>
          <w:sz w:val="23"/>
        </w:rPr>
      </w:pPr>
    </w:p>
    <w:p>
      <w:pPr>
        <w:pStyle w:val="ListParagraph"/>
        <w:numPr>
          <w:ilvl w:val="0"/>
          <w:numId w:val="166"/>
        </w:numPr>
        <w:tabs>
          <w:tab w:pos="1221" w:val="left" w:leader="none"/>
        </w:tabs>
        <w:spacing w:line="480" w:lineRule="auto" w:before="0" w:after="0"/>
        <w:ind w:left="500" w:right="441" w:firstLine="0"/>
        <w:jc w:val="both"/>
        <w:rPr>
          <w:sz w:val="25"/>
        </w:rPr>
      </w:pPr>
      <w:r>
        <w:rPr>
          <w:sz w:val="25"/>
        </w:rPr>
        <w:t>From the testimony of the Hindu and Sunni Muslims witnesses, there appear three significant areas of</w:t>
      </w:r>
      <w:r>
        <w:rPr>
          <w:spacing w:val="-2"/>
          <w:sz w:val="25"/>
        </w:rPr>
        <w:t> </w:t>
      </w:r>
      <w:r>
        <w:rPr>
          <w:sz w:val="25"/>
        </w:rPr>
        <w:t>dispute:</w:t>
      </w:r>
    </w:p>
    <w:p>
      <w:pPr>
        <w:pStyle w:val="ListParagraph"/>
        <w:numPr>
          <w:ilvl w:val="0"/>
          <w:numId w:val="177"/>
        </w:numPr>
        <w:tabs>
          <w:tab w:pos="1221" w:val="left" w:leader="none"/>
        </w:tabs>
        <w:spacing w:line="480" w:lineRule="auto" w:before="158" w:after="0"/>
        <w:ind w:left="1220" w:right="436" w:hanging="720"/>
        <w:jc w:val="both"/>
        <w:rPr>
          <w:sz w:val="25"/>
        </w:rPr>
      </w:pPr>
      <w:r>
        <w:rPr>
          <w:sz w:val="25"/>
        </w:rPr>
        <w:t>The first is about the presence of idols under the central dome of the three domed structure, which was a part of the Babri mosque to the Muslims and the ‗Garbh Grih‘ to the Hindus. The oral accounts contain isolated references to the presence of a calendar bearing a photograph of the idol and of worship being offered to this pictorial representation. The Hindu witnesses have however accepted that the idol of Lord Ram was shifted into the inner courtyard, below the central dome on the night between </w:t>
      </w:r>
      <w:r>
        <w:rPr>
          <w:spacing w:val="3"/>
          <w:sz w:val="25"/>
        </w:rPr>
        <w:t>22- </w:t>
      </w:r>
      <w:r>
        <w:rPr>
          <w:sz w:val="25"/>
        </w:rPr>
        <w:t>23 December 1949. The possibility of any idol under the central dome</w:t>
      </w:r>
      <w:r>
        <w:rPr>
          <w:spacing w:val="11"/>
          <w:sz w:val="25"/>
        </w:rPr>
        <w:t> </w:t>
      </w:r>
      <w:r>
        <w:rPr>
          <w:sz w:val="25"/>
        </w:rPr>
        <w:t>prior</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35"/>
        <w:jc w:val="both"/>
      </w:pPr>
      <w:r>
        <w:rPr/>
        <w:t>to 22-23 December 1949 stands excluded on a preponderance of probabilities;</w:t>
      </w:r>
    </w:p>
    <w:p>
      <w:pPr>
        <w:pStyle w:val="ListParagraph"/>
        <w:numPr>
          <w:ilvl w:val="0"/>
          <w:numId w:val="177"/>
        </w:numPr>
        <w:tabs>
          <w:tab w:pos="1221" w:val="left" w:leader="none"/>
        </w:tabs>
        <w:spacing w:line="480" w:lineRule="auto" w:before="0" w:after="0"/>
        <w:ind w:left="1220" w:right="437" w:hanging="720"/>
        <w:jc w:val="both"/>
        <w:rPr>
          <w:sz w:val="25"/>
        </w:rPr>
      </w:pPr>
      <w:r>
        <w:rPr>
          <w:sz w:val="25"/>
        </w:rPr>
        <w:t>Second, there are variations in regard to the statements of the Hindu witnesses on whether and, if so the nature of the prayers, that were offered inside the inner sanctum prior to 22-23 December 1949. While some witnesses have stated that they had entered the disputed structure for offering prayers below the central dome, other witnesses have stated that prayers were being offered only at the railing separating the inner and the outer courtyards. The case that prayers were offered at the railing is inconsistent with the claim that prayers were being offered inside the three domed structure by the Hindus between 1934 and 1949. According to the Muslim witnesses, no prayers were being offered inside the three domed structure by the Hindus;</w:t>
      </w:r>
      <w:r>
        <w:rPr>
          <w:spacing w:val="-5"/>
          <w:sz w:val="25"/>
        </w:rPr>
        <w:t> </w:t>
      </w:r>
      <w:r>
        <w:rPr>
          <w:sz w:val="25"/>
        </w:rPr>
        <w:t>and</w:t>
      </w:r>
    </w:p>
    <w:p>
      <w:pPr>
        <w:pStyle w:val="ListParagraph"/>
        <w:numPr>
          <w:ilvl w:val="0"/>
          <w:numId w:val="177"/>
        </w:numPr>
        <w:tabs>
          <w:tab w:pos="1221" w:val="left" w:leader="none"/>
        </w:tabs>
        <w:spacing w:line="480" w:lineRule="auto" w:before="0" w:after="0"/>
        <w:ind w:left="1220" w:right="441" w:hanging="720"/>
        <w:jc w:val="both"/>
        <w:rPr>
          <w:sz w:val="25"/>
        </w:rPr>
      </w:pPr>
      <w:r>
        <w:rPr>
          <w:sz w:val="25"/>
        </w:rPr>
        <w:t>Third, there is a variation between the statements of the Hindu and Muslim witnesses on whether namaz was offered inside the three domed structure of the mosque between 1934 and 1949. The Muslim witnesses  consistently deposed that namaz was being offered and that the last Friday prayers were offered on 22 December 1949. On the other hand, according to the Hindu witnesses, no Muslim offered prayers at the three domed structure and if anyone ventured near the premises, they were made to leave out of the fear of the sadhus and Bairagis in the</w:t>
      </w:r>
      <w:r>
        <w:rPr>
          <w:spacing w:val="-12"/>
          <w:sz w:val="25"/>
        </w:rPr>
        <w:t> </w:t>
      </w:r>
      <w:r>
        <w:rPr>
          <w:sz w:val="25"/>
        </w:rPr>
        <w:t>neighbourhood.</w:t>
      </w:r>
    </w:p>
    <w:p>
      <w:pPr>
        <w:spacing w:after="0" w:line="480" w:lineRule="auto"/>
        <w:jc w:val="both"/>
        <w:rPr>
          <w:sz w:val="25"/>
        </w:rPr>
        <w:sectPr>
          <w:pgSz w:w="11910" w:h="16840"/>
          <w:pgMar w:header="721" w:footer="1014" w:top="1300" w:bottom="1200" w:left="940" w:right="1000"/>
        </w:sectPr>
      </w:pPr>
    </w:p>
    <w:p>
      <w:pPr>
        <w:pStyle w:val="Heading3"/>
        <w:numPr>
          <w:ilvl w:val="1"/>
          <w:numId w:val="131"/>
        </w:numPr>
        <w:tabs>
          <w:tab w:pos="1221" w:val="left" w:leader="none"/>
        </w:tabs>
        <w:spacing w:line="240" w:lineRule="auto" w:before="124" w:after="0"/>
        <w:ind w:left="1220" w:right="0" w:hanging="721"/>
        <w:jc w:val="both"/>
      </w:pPr>
      <w:r>
        <w:rPr/>
        <w:t>Photographs of the disputed</w:t>
      </w:r>
      <w:r>
        <w:rPr>
          <w:spacing w:val="1"/>
        </w:rPr>
        <w:t> </w:t>
      </w:r>
      <w:r>
        <w:rPr/>
        <w:t>structure</w:t>
      </w:r>
    </w:p>
    <w:p>
      <w:pPr>
        <w:pStyle w:val="BodyText"/>
        <w:rPr>
          <w:b/>
          <w:sz w:val="28"/>
        </w:rPr>
      </w:pPr>
    </w:p>
    <w:p>
      <w:pPr>
        <w:spacing w:before="216"/>
        <w:ind w:left="500" w:right="0" w:firstLine="0"/>
        <w:jc w:val="both"/>
        <w:rPr>
          <w:i/>
          <w:sz w:val="25"/>
        </w:rPr>
      </w:pPr>
      <w:r>
        <w:rPr>
          <w:i/>
          <w:sz w:val="25"/>
        </w:rPr>
        <w:t>The report of the Commissioner dated 3 August 1950</w:t>
      </w:r>
    </w:p>
    <w:p>
      <w:pPr>
        <w:pStyle w:val="BodyText"/>
        <w:rPr>
          <w:i/>
          <w:sz w:val="28"/>
        </w:rPr>
      </w:pPr>
    </w:p>
    <w:p>
      <w:pPr>
        <w:pStyle w:val="BodyText"/>
        <w:spacing w:before="11"/>
        <w:rPr>
          <w:i/>
          <w:sz w:val="21"/>
        </w:rPr>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The judgment of Justice Sudhir Agarwal records that there are three sets of albums containing photographs taken by the State Archaeological Department pursuant to an order dated 10 January 1990. Dr Rakesh Tewari (OPW-14) who was the Director of the State Archaeological Department verified the photographs. Among them, one album of coloured photographs containing 204 photographs was marked as paper No. 200 C1/1-204. The second album of black and white photographs contains 111 photographs and was marked as paper No. 201 C(1)/1-111. The albums contained photographs of the Kasauti stone pillars and other features of the disputed</w:t>
      </w:r>
      <w:r>
        <w:rPr>
          <w:spacing w:val="-6"/>
          <w:sz w:val="25"/>
        </w:rPr>
        <w:t> </w:t>
      </w:r>
      <w:r>
        <w:rPr>
          <w:sz w:val="25"/>
        </w:rPr>
        <w:t>structure.</w:t>
      </w:r>
    </w:p>
    <w:p>
      <w:pPr>
        <w:pStyle w:val="BodyText"/>
        <w:spacing w:before="1"/>
        <w:rPr>
          <w:sz w:val="39"/>
        </w:rPr>
      </w:pPr>
    </w:p>
    <w:p>
      <w:pPr>
        <w:pStyle w:val="BodyText"/>
        <w:spacing w:line="480" w:lineRule="auto"/>
        <w:ind w:left="500" w:right="437"/>
        <w:jc w:val="both"/>
      </w:pPr>
      <w:r>
        <w:rPr/>
        <w:t>Dr Rajeev Dhavan, learned Senior Counsel appearing on behalf of the Sunni Central Waqf Board, has placed reliance on the report dated 3 August 1950 submitted by Mr Basheer Ahmad Khan, pleader commissioner in Suit 1. The report contains thirteen photographs. Paragraphs 1 and 8 to 10 of the report contain an explanation about photographs 1, 8, 9 and 10. Photograph 1 depicts the word ‗Allah‘ inscribed in Arabic above the arch of the main gate outside the disputed structure. The Commissioner‘s report states:</w:t>
      </w:r>
    </w:p>
    <w:p>
      <w:pPr>
        <w:spacing w:line="276" w:lineRule="auto" w:before="161"/>
        <w:ind w:left="1940" w:right="2264" w:firstLine="0"/>
        <w:jc w:val="both"/>
        <w:rPr>
          <w:sz w:val="21"/>
        </w:rPr>
      </w:pPr>
      <w:r>
        <w:rPr>
          <w:color w:val="212121"/>
          <w:spacing w:val="-1"/>
          <w:w w:val="33"/>
          <w:sz w:val="21"/>
        </w:rPr>
        <w:t>―</w:t>
      </w:r>
      <w:r>
        <w:rPr>
          <w:color w:val="212121"/>
          <w:spacing w:val="-1"/>
          <w:w w:val="100"/>
          <w:sz w:val="21"/>
        </w:rPr>
        <w:t>1</w:t>
      </w:r>
      <w:r>
        <w:rPr>
          <w:color w:val="212121"/>
          <w:w w:val="100"/>
          <w:sz w:val="21"/>
        </w:rPr>
        <w:t>.</w:t>
      </w:r>
      <w:r>
        <w:rPr>
          <w:color w:val="212121"/>
          <w:sz w:val="21"/>
        </w:rPr>
        <w:t> </w:t>
      </w:r>
      <w:r>
        <w:rPr>
          <w:color w:val="212121"/>
          <w:w w:val="100"/>
          <w:sz w:val="21"/>
        </w:rPr>
        <w:t>P</w:t>
      </w:r>
      <w:r>
        <w:rPr>
          <w:color w:val="212121"/>
          <w:spacing w:val="-3"/>
          <w:w w:val="100"/>
          <w:sz w:val="21"/>
        </w:rPr>
        <w:t>h</w:t>
      </w:r>
      <w:r>
        <w:rPr>
          <w:color w:val="212121"/>
          <w:spacing w:val="-1"/>
          <w:w w:val="100"/>
          <w:sz w:val="21"/>
        </w:rPr>
        <w:t>ot</w:t>
      </w:r>
      <w:r>
        <w:rPr>
          <w:color w:val="212121"/>
          <w:w w:val="100"/>
          <w:sz w:val="21"/>
        </w:rPr>
        <w:t>o</w:t>
      </w:r>
      <w:r>
        <w:rPr>
          <w:color w:val="212121"/>
          <w:spacing w:val="-1"/>
          <w:sz w:val="21"/>
        </w:rPr>
        <w:t> </w:t>
      </w:r>
      <w:r>
        <w:rPr>
          <w:color w:val="212121"/>
          <w:w w:val="100"/>
          <w:sz w:val="21"/>
        </w:rPr>
        <w:t>N</w:t>
      </w:r>
      <w:r>
        <w:rPr>
          <w:color w:val="212121"/>
          <w:spacing w:val="-1"/>
          <w:w w:val="100"/>
          <w:sz w:val="21"/>
        </w:rPr>
        <w:t>o.</w:t>
      </w:r>
      <w:r>
        <w:rPr>
          <w:color w:val="212121"/>
          <w:w w:val="100"/>
          <w:sz w:val="21"/>
        </w:rPr>
        <w:t>1</w:t>
      </w:r>
      <w:r>
        <w:rPr>
          <w:color w:val="212121"/>
          <w:spacing w:val="-1"/>
          <w:sz w:val="21"/>
        </w:rPr>
        <w:t> </w:t>
      </w:r>
      <w:r>
        <w:rPr>
          <w:color w:val="212121"/>
          <w:spacing w:val="-2"/>
          <w:w w:val="100"/>
          <w:sz w:val="21"/>
        </w:rPr>
        <w:t>i</w:t>
      </w:r>
      <w:r>
        <w:rPr>
          <w:color w:val="212121"/>
          <w:w w:val="100"/>
          <w:sz w:val="21"/>
        </w:rPr>
        <w:t>s</w:t>
      </w:r>
      <w:r>
        <w:rPr>
          <w:color w:val="212121"/>
          <w:spacing w:val="1"/>
          <w:sz w:val="21"/>
        </w:rPr>
        <w:t> </w:t>
      </w:r>
      <w:r>
        <w:rPr>
          <w:color w:val="212121"/>
          <w:spacing w:val="-2"/>
          <w:w w:val="100"/>
          <w:sz w:val="21"/>
        </w:rPr>
        <w:t>t</w:t>
      </w:r>
      <w:r>
        <w:rPr>
          <w:color w:val="212121"/>
          <w:spacing w:val="-1"/>
          <w:w w:val="100"/>
          <w:sz w:val="21"/>
        </w:rPr>
        <w:t>h</w:t>
      </w:r>
      <w:r>
        <w:rPr>
          <w:color w:val="212121"/>
          <w:w w:val="100"/>
          <w:sz w:val="21"/>
        </w:rPr>
        <w:t>e</w:t>
      </w:r>
      <w:r>
        <w:rPr>
          <w:color w:val="212121"/>
          <w:spacing w:val="-3"/>
          <w:sz w:val="21"/>
        </w:rPr>
        <w:t> </w:t>
      </w:r>
      <w:r>
        <w:rPr>
          <w:color w:val="212121"/>
          <w:w w:val="100"/>
          <w:sz w:val="21"/>
        </w:rPr>
        <w:t>P</w:t>
      </w:r>
      <w:r>
        <w:rPr>
          <w:color w:val="212121"/>
          <w:spacing w:val="-1"/>
          <w:w w:val="100"/>
          <w:sz w:val="21"/>
        </w:rPr>
        <w:t>ho</w:t>
      </w:r>
      <w:r>
        <w:rPr>
          <w:color w:val="212121"/>
          <w:spacing w:val="-4"/>
          <w:w w:val="100"/>
          <w:sz w:val="21"/>
        </w:rPr>
        <w:t>t</w:t>
      </w:r>
      <w:r>
        <w:rPr>
          <w:color w:val="212121"/>
          <w:spacing w:val="-1"/>
          <w:w w:val="100"/>
          <w:sz w:val="21"/>
        </w:rPr>
        <w:t>ogra</w:t>
      </w:r>
      <w:r>
        <w:rPr>
          <w:color w:val="212121"/>
          <w:spacing w:val="-3"/>
          <w:w w:val="100"/>
          <w:sz w:val="21"/>
        </w:rPr>
        <w:t>p</w:t>
      </w:r>
      <w:r>
        <w:rPr>
          <w:color w:val="212121"/>
          <w:w w:val="100"/>
          <w:sz w:val="21"/>
        </w:rPr>
        <w:t>h</w:t>
      </w:r>
      <w:r>
        <w:rPr>
          <w:color w:val="212121"/>
          <w:spacing w:val="1"/>
          <w:sz w:val="21"/>
        </w:rPr>
        <w:t> </w:t>
      </w:r>
      <w:r>
        <w:rPr>
          <w:color w:val="212121"/>
          <w:spacing w:val="-3"/>
          <w:w w:val="100"/>
          <w:sz w:val="21"/>
        </w:rPr>
        <w:t>o</w:t>
      </w:r>
      <w:r>
        <w:rPr>
          <w:color w:val="212121"/>
          <w:w w:val="100"/>
          <w:sz w:val="21"/>
        </w:rPr>
        <w:t>f</w:t>
      </w:r>
      <w:r>
        <w:rPr>
          <w:color w:val="212121"/>
          <w:sz w:val="21"/>
        </w:rPr>
        <w:t> </w:t>
      </w:r>
      <w:r>
        <w:rPr>
          <w:color w:val="212121"/>
          <w:spacing w:val="-2"/>
          <w:w w:val="100"/>
          <w:sz w:val="21"/>
        </w:rPr>
        <w:t>t</w:t>
      </w:r>
      <w:r>
        <w:rPr>
          <w:color w:val="212121"/>
          <w:spacing w:val="-1"/>
          <w:w w:val="100"/>
          <w:sz w:val="21"/>
        </w:rPr>
        <w:t>h</w:t>
      </w:r>
      <w:r>
        <w:rPr>
          <w:color w:val="212121"/>
          <w:w w:val="100"/>
          <w:sz w:val="21"/>
        </w:rPr>
        <w:t>e</w:t>
      </w:r>
      <w:r>
        <w:rPr>
          <w:color w:val="212121"/>
          <w:spacing w:val="-1"/>
          <w:sz w:val="21"/>
        </w:rPr>
        <w:t> </w:t>
      </w:r>
      <w:r>
        <w:rPr>
          <w:color w:val="212121"/>
          <w:spacing w:val="-1"/>
          <w:w w:val="100"/>
          <w:sz w:val="21"/>
        </w:rPr>
        <w:t>d</w:t>
      </w:r>
      <w:r>
        <w:rPr>
          <w:color w:val="212121"/>
          <w:spacing w:val="-2"/>
          <w:w w:val="100"/>
          <w:sz w:val="21"/>
        </w:rPr>
        <w:t>i</w:t>
      </w:r>
      <w:r>
        <w:rPr>
          <w:color w:val="212121"/>
          <w:w w:val="100"/>
          <w:sz w:val="21"/>
        </w:rPr>
        <w:t>spu</w:t>
      </w:r>
      <w:r>
        <w:rPr>
          <w:color w:val="212121"/>
          <w:spacing w:val="-1"/>
          <w:w w:val="100"/>
          <w:sz w:val="21"/>
        </w:rPr>
        <w:t>t</w:t>
      </w:r>
      <w:r>
        <w:rPr>
          <w:color w:val="212121"/>
          <w:spacing w:val="-3"/>
          <w:w w:val="100"/>
          <w:sz w:val="21"/>
        </w:rPr>
        <w:t>e</w:t>
      </w:r>
      <w:r>
        <w:rPr>
          <w:color w:val="212121"/>
          <w:w w:val="100"/>
          <w:sz w:val="21"/>
        </w:rPr>
        <w:t>d</w:t>
      </w:r>
      <w:r>
        <w:rPr>
          <w:color w:val="212121"/>
          <w:spacing w:val="1"/>
          <w:sz w:val="21"/>
        </w:rPr>
        <w:t> </w:t>
      </w:r>
      <w:r>
        <w:rPr>
          <w:color w:val="212121"/>
          <w:spacing w:val="-3"/>
          <w:w w:val="100"/>
          <w:sz w:val="21"/>
        </w:rPr>
        <w:t>b</w:t>
      </w:r>
      <w:r>
        <w:rPr>
          <w:color w:val="212121"/>
          <w:spacing w:val="-1"/>
          <w:w w:val="100"/>
          <w:sz w:val="21"/>
        </w:rPr>
        <w:t>u</w:t>
      </w:r>
      <w:r>
        <w:rPr>
          <w:color w:val="212121"/>
          <w:spacing w:val="-2"/>
          <w:w w:val="100"/>
          <w:sz w:val="21"/>
        </w:rPr>
        <w:t>i</w:t>
      </w:r>
      <w:r>
        <w:rPr>
          <w:color w:val="212121"/>
          <w:w w:val="100"/>
          <w:sz w:val="21"/>
        </w:rPr>
        <w:t>l</w:t>
      </w:r>
      <w:r>
        <w:rPr>
          <w:color w:val="212121"/>
          <w:spacing w:val="-1"/>
          <w:w w:val="100"/>
          <w:sz w:val="21"/>
        </w:rPr>
        <w:t>d</w:t>
      </w:r>
      <w:r>
        <w:rPr>
          <w:color w:val="212121"/>
          <w:spacing w:val="-2"/>
          <w:w w:val="100"/>
          <w:sz w:val="21"/>
        </w:rPr>
        <w:t>i</w:t>
      </w:r>
      <w:r>
        <w:rPr>
          <w:color w:val="212121"/>
          <w:spacing w:val="-1"/>
          <w:w w:val="100"/>
          <w:sz w:val="21"/>
        </w:rPr>
        <w:t>n</w:t>
      </w:r>
      <w:r>
        <w:rPr>
          <w:color w:val="212121"/>
          <w:w w:val="100"/>
          <w:sz w:val="21"/>
        </w:rPr>
        <w:t>g</w:t>
      </w:r>
      <w:r>
        <w:rPr>
          <w:color w:val="212121"/>
          <w:spacing w:val="-1"/>
          <w:sz w:val="21"/>
        </w:rPr>
        <w:t> </w:t>
      </w:r>
      <w:r>
        <w:rPr>
          <w:color w:val="212121"/>
          <w:spacing w:val="1"/>
          <w:w w:val="100"/>
          <w:sz w:val="21"/>
        </w:rPr>
        <w:t>f</w:t>
      </w:r>
      <w:r>
        <w:rPr>
          <w:color w:val="212121"/>
          <w:spacing w:val="-4"/>
          <w:w w:val="100"/>
          <w:sz w:val="21"/>
        </w:rPr>
        <w:t>r</w:t>
      </w:r>
      <w:r>
        <w:rPr>
          <w:color w:val="212121"/>
          <w:spacing w:val="-3"/>
          <w:w w:val="100"/>
          <w:sz w:val="21"/>
        </w:rPr>
        <w:t>o</w:t>
      </w:r>
      <w:r>
        <w:rPr>
          <w:color w:val="212121"/>
          <w:w w:val="100"/>
          <w:sz w:val="21"/>
        </w:rPr>
        <w:t>m </w:t>
      </w:r>
      <w:r>
        <w:rPr>
          <w:color w:val="212121"/>
          <w:sz w:val="21"/>
        </w:rPr>
        <w:t>outside, of the main entrance. </w:t>
      </w:r>
      <w:r>
        <w:rPr>
          <w:b/>
          <w:color w:val="212121"/>
          <w:sz w:val="21"/>
        </w:rPr>
        <w:t>A little above the arch of the main gate towards the right and left there are small circles in which the word "Allah" is written (inscribed) in Arabic. </w:t>
      </w:r>
      <w:r>
        <w:rPr>
          <w:color w:val="212121"/>
          <w:sz w:val="21"/>
        </w:rPr>
        <w:t>A little above it there now hangs a picture of Hanumanji. (Beneath the frame of the picture 'Allaho Akbar' is inscribed in the wall in the Arabic character). This inscription has</w:t>
      </w:r>
      <w:r>
        <w:rPr>
          <w:color w:val="212121"/>
          <w:spacing w:val="25"/>
          <w:sz w:val="21"/>
        </w:rPr>
        <w:t> </w:t>
      </w:r>
      <w:r>
        <w:rPr>
          <w:color w:val="212121"/>
          <w:sz w:val="21"/>
        </w:rPr>
        <w:t>been</w:t>
      </w:r>
      <w:r>
        <w:rPr>
          <w:color w:val="212121"/>
          <w:spacing w:val="28"/>
          <w:sz w:val="21"/>
        </w:rPr>
        <w:t> </w:t>
      </w:r>
      <w:r>
        <w:rPr>
          <w:color w:val="212121"/>
          <w:sz w:val="21"/>
        </w:rPr>
        <w:t>covered</w:t>
      </w:r>
      <w:r>
        <w:rPr>
          <w:color w:val="212121"/>
          <w:spacing w:val="25"/>
          <w:sz w:val="21"/>
        </w:rPr>
        <w:t> </w:t>
      </w:r>
      <w:r>
        <w:rPr>
          <w:color w:val="212121"/>
          <w:sz w:val="21"/>
        </w:rPr>
        <w:t>by</w:t>
      </w:r>
      <w:r>
        <w:rPr>
          <w:color w:val="212121"/>
          <w:spacing w:val="25"/>
          <w:sz w:val="21"/>
        </w:rPr>
        <w:t> </w:t>
      </w:r>
      <w:r>
        <w:rPr>
          <w:color w:val="212121"/>
          <w:sz w:val="21"/>
        </w:rPr>
        <w:t>the</w:t>
      </w:r>
      <w:r>
        <w:rPr>
          <w:color w:val="212121"/>
          <w:spacing w:val="26"/>
          <w:sz w:val="21"/>
        </w:rPr>
        <w:t> </w:t>
      </w:r>
      <w:r>
        <w:rPr>
          <w:color w:val="212121"/>
          <w:sz w:val="21"/>
        </w:rPr>
        <w:t>said</w:t>
      </w:r>
      <w:r>
        <w:rPr>
          <w:color w:val="212121"/>
          <w:spacing w:val="25"/>
          <w:sz w:val="21"/>
        </w:rPr>
        <w:t> </w:t>
      </w:r>
      <w:r>
        <w:rPr>
          <w:color w:val="212121"/>
          <w:sz w:val="21"/>
        </w:rPr>
        <w:t>picture</w:t>
      </w:r>
      <w:r>
        <w:rPr>
          <w:color w:val="212121"/>
          <w:spacing w:val="25"/>
          <w:sz w:val="21"/>
        </w:rPr>
        <w:t> </w:t>
      </w:r>
      <w:r>
        <w:rPr>
          <w:color w:val="212121"/>
          <w:sz w:val="21"/>
        </w:rPr>
        <w:t>and</w:t>
      </w:r>
      <w:r>
        <w:rPr>
          <w:color w:val="212121"/>
          <w:spacing w:val="25"/>
          <w:sz w:val="21"/>
        </w:rPr>
        <w:t> </w:t>
      </w:r>
      <w:r>
        <w:rPr>
          <w:color w:val="212121"/>
          <w:sz w:val="21"/>
        </w:rPr>
        <w:t>therefore</w:t>
      </w:r>
      <w:r>
        <w:rPr>
          <w:color w:val="212121"/>
          <w:spacing w:val="29"/>
          <w:sz w:val="21"/>
        </w:rPr>
        <w:t> </w:t>
      </w:r>
      <w:r>
        <w:rPr>
          <w:color w:val="212121"/>
          <w:sz w:val="21"/>
        </w:rPr>
        <w:t>it</w:t>
      </w:r>
      <w:r>
        <w:rPr>
          <w:color w:val="212121"/>
          <w:spacing w:val="24"/>
          <w:sz w:val="21"/>
        </w:rPr>
        <w:t> </w:t>
      </w:r>
      <w:r>
        <w:rPr>
          <w:color w:val="212121"/>
          <w:sz w:val="21"/>
        </w:rPr>
        <w:t>is</w:t>
      </w:r>
      <w:r>
        <w:rPr>
          <w:color w:val="212121"/>
          <w:spacing w:val="25"/>
          <w:sz w:val="21"/>
        </w:rPr>
        <w:t> </w:t>
      </w:r>
      <w:r>
        <w:rPr>
          <w:color w:val="212121"/>
          <w:sz w:val="21"/>
        </w:rPr>
        <w:t>not</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sz w:val="21"/>
        </w:rPr>
      </w:pPr>
      <w:r>
        <w:rPr>
          <w:color w:val="212121"/>
          <w:sz w:val="21"/>
        </w:rPr>
        <w:t>visible in the Photograph, and as the photo of this portion could not be taken without the removal of the Picture of Hanumanji, I am making it clear in my report. I did not insist on the removal of the Picture with a view to avoid any trouble or ugly situation that might have</w:t>
      </w:r>
      <w:r>
        <w:rPr>
          <w:color w:val="212121"/>
          <w:spacing w:val="-21"/>
          <w:sz w:val="21"/>
        </w:rPr>
        <w:t> </w:t>
      </w:r>
      <w:r>
        <w:rPr>
          <w:color w:val="212121"/>
          <w:sz w:val="21"/>
        </w:rPr>
        <w:t>arisen.‖</w:t>
      </w:r>
    </w:p>
    <w:p>
      <w:pPr>
        <w:spacing w:before="2"/>
        <w:ind w:left="5798" w:right="0" w:firstLine="0"/>
        <w:jc w:val="left"/>
        <w:rPr>
          <w:sz w:val="21"/>
        </w:rPr>
      </w:pPr>
      <w:r>
        <w:rPr>
          <w:sz w:val="21"/>
        </w:rPr>
        <w:t>(Emphasis supplied)</w:t>
      </w:r>
    </w:p>
    <w:p>
      <w:pPr>
        <w:pStyle w:val="BodyText"/>
        <w:spacing w:before="1"/>
        <w:rPr>
          <w:sz w:val="28"/>
        </w:rPr>
      </w:pPr>
    </w:p>
    <w:p>
      <w:pPr>
        <w:pStyle w:val="ListParagraph"/>
        <w:numPr>
          <w:ilvl w:val="0"/>
          <w:numId w:val="166"/>
        </w:numPr>
        <w:tabs>
          <w:tab w:pos="1221" w:val="left" w:leader="none"/>
        </w:tabs>
        <w:spacing w:line="480" w:lineRule="auto" w:before="0" w:after="0"/>
        <w:ind w:left="500" w:right="441" w:firstLine="0"/>
        <w:jc w:val="both"/>
        <w:rPr>
          <w:sz w:val="25"/>
        </w:rPr>
      </w:pPr>
      <w:r>
        <w:rPr>
          <w:spacing w:val="-1"/>
          <w:w w:val="99"/>
          <w:sz w:val="25"/>
        </w:rPr>
        <w:t>Ph</w:t>
      </w:r>
      <w:r>
        <w:rPr>
          <w:w w:val="99"/>
          <w:sz w:val="25"/>
        </w:rPr>
        <w:t>oto</w:t>
      </w:r>
      <w:r>
        <w:rPr>
          <w:sz w:val="25"/>
        </w:rPr>
        <w:t> </w:t>
      </w:r>
      <w:r>
        <w:rPr>
          <w:spacing w:val="-14"/>
          <w:sz w:val="25"/>
        </w:rPr>
        <w:t> </w:t>
      </w:r>
      <w:r>
        <w:rPr>
          <w:w w:val="99"/>
          <w:sz w:val="25"/>
        </w:rPr>
        <w:t>8</w:t>
      </w:r>
      <w:r>
        <w:rPr>
          <w:sz w:val="25"/>
        </w:rPr>
        <w:t> </w:t>
      </w:r>
      <w:r>
        <w:rPr>
          <w:spacing w:val="-14"/>
          <w:sz w:val="25"/>
        </w:rPr>
        <w:t> </w:t>
      </w:r>
      <w:r>
        <w:rPr>
          <w:w w:val="99"/>
          <w:sz w:val="25"/>
        </w:rPr>
        <w:t>contains</w:t>
      </w:r>
      <w:r>
        <w:rPr>
          <w:sz w:val="25"/>
        </w:rPr>
        <w:t> </w:t>
      </w:r>
      <w:r>
        <w:rPr>
          <w:spacing w:val="-15"/>
          <w:sz w:val="25"/>
        </w:rPr>
        <w:t> </w:t>
      </w:r>
      <w:r>
        <w:rPr>
          <w:w w:val="99"/>
          <w:sz w:val="25"/>
        </w:rPr>
        <w:t>th</w:t>
      </w:r>
      <w:r>
        <w:rPr>
          <w:spacing w:val="1"/>
          <w:w w:val="99"/>
          <w:sz w:val="25"/>
        </w:rPr>
        <w:t>r</w:t>
      </w:r>
      <w:r>
        <w:rPr>
          <w:spacing w:val="-1"/>
          <w:w w:val="99"/>
          <w:sz w:val="25"/>
        </w:rPr>
        <w:t>e</w:t>
      </w:r>
      <w:r>
        <w:rPr>
          <w:w w:val="99"/>
          <w:sz w:val="25"/>
        </w:rPr>
        <w:t>e</w:t>
      </w:r>
      <w:r>
        <w:rPr>
          <w:sz w:val="25"/>
        </w:rPr>
        <w:t> </w:t>
      </w:r>
      <w:r>
        <w:rPr>
          <w:spacing w:val="-14"/>
          <w:sz w:val="25"/>
        </w:rPr>
        <w:t> </w:t>
      </w:r>
      <w:r>
        <w:rPr>
          <w:spacing w:val="-1"/>
          <w:w w:val="99"/>
          <w:sz w:val="25"/>
        </w:rPr>
        <w:t>insc</w:t>
      </w:r>
      <w:r>
        <w:rPr>
          <w:w w:val="99"/>
          <w:sz w:val="25"/>
        </w:rPr>
        <w:t>r</w:t>
      </w:r>
      <w:r>
        <w:rPr>
          <w:spacing w:val="-1"/>
          <w:w w:val="99"/>
          <w:sz w:val="25"/>
        </w:rPr>
        <w:t>iptio</w:t>
      </w:r>
      <w:r>
        <w:rPr>
          <w:w w:val="99"/>
          <w:sz w:val="25"/>
        </w:rPr>
        <w:t>ns</w:t>
      </w:r>
      <w:r>
        <w:rPr>
          <w:sz w:val="25"/>
        </w:rPr>
        <w:t> </w:t>
      </w:r>
      <w:r>
        <w:rPr>
          <w:spacing w:val="-15"/>
          <w:sz w:val="25"/>
        </w:rPr>
        <w:t> </w:t>
      </w:r>
      <w:r>
        <w:rPr>
          <w:spacing w:val="-1"/>
          <w:w w:val="99"/>
          <w:sz w:val="25"/>
        </w:rPr>
        <w:t>o</w:t>
      </w:r>
      <w:r>
        <w:rPr>
          <w:w w:val="99"/>
          <w:sz w:val="25"/>
        </w:rPr>
        <w:t>f</w:t>
      </w:r>
      <w:r>
        <w:rPr>
          <w:sz w:val="25"/>
        </w:rPr>
        <w:t> </w:t>
      </w:r>
      <w:r>
        <w:rPr>
          <w:spacing w:val="-14"/>
          <w:sz w:val="25"/>
        </w:rPr>
        <w:t> </w:t>
      </w:r>
      <w:r>
        <w:rPr>
          <w:w w:val="33"/>
          <w:sz w:val="25"/>
        </w:rPr>
        <w:t>―</w:t>
      </w:r>
      <w:r>
        <w:rPr>
          <w:spacing w:val="-1"/>
          <w:w w:val="99"/>
          <w:sz w:val="25"/>
        </w:rPr>
        <w:t>A</w:t>
      </w:r>
      <w:r>
        <w:rPr>
          <w:spacing w:val="-1"/>
          <w:w w:val="95"/>
          <w:sz w:val="25"/>
        </w:rPr>
        <w:t>llah</w:t>
      </w:r>
      <w:r>
        <w:rPr>
          <w:w w:val="95"/>
          <w:sz w:val="25"/>
        </w:rPr>
        <w:t>‖</w:t>
      </w:r>
      <w:r>
        <w:rPr>
          <w:sz w:val="25"/>
        </w:rPr>
        <w:t> </w:t>
      </w:r>
      <w:r>
        <w:rPr>
          <w:spacing w:val="-14"/>
          <w:sz w:val="25"/>
        </w:rPr>
        <w:t> </w:t>
      </w:r>
      <w:r>
        <w:rPr>
          <w:spacing w:val="-1"/>
          <w:w w:val="99"/>
          <w:sz w:val="25"/>
        </w:rPr>
        <w:t>i</w:t>
      </w:r>
      <w:r>
        <w:rPr>
          <w:w w:val="99"/>
          <w:sz w:val="25"/>
        </w:rPr>
        <w:t>n</w:t>
      </w:r>
      <w:r>
        <w:rPr>
          <w:sz w:val="25"/>
        </w:rPr>
        <w:t> </w:t>
      </w:r>
      <w:r>
        <w:rPr>
          <w:spacing w:val="-15"/>
          <w:sz w:val="25"/>
        </w:rPr>
        <w:t> </w:t>
      </w:r>
      <w:r>
        <w:rPr>
          <w:spacing w:val="-1"/>
          <w:w w:val="99"/>
          <w:sz w:val="25"/>
        </w:rPr>
        <w:t>A</w:t>
      </w:r>
      <w:r>
        <w:rPr>
          <w:w w:val="99"/>
          <w:sz w:val="25"/>
        </w:rPr>
        <w:t>r</w:t>
      </w:r>
      <w:r>
        <w:rPr>
          <w:spacing w:val="-1"/>
          <w:w w:val="99"/>
          <w:sz w:val="25"/>
        </w:rPr>
        <w:t>a</w:t>
      </w:r>
      <w:r>
        <w:rPr>
          <w:w w:val="99"/>
          <w:sz w:val="25"/>
        </w:rPr>
        <w:t>b</w:t>
      </w:r>
      <w:r>
        <w:rPr>
          <w:spacing w:val="-1"/>
          <w:w w:val="99"/>
          <w:sz w:val="25"/>
        </w:rPr>
        <w:t>i</w:t>
      </w:r>
      <w:r>
        <w:rPr>
          <w:w w:val="99"/>
          <w:sz w:val="25"/>
        </w:rPr>
        <w:t>c</w:t>
      </w:r>
      <w:r>
        <w:rPr>
          <w:sz w:val="25"/>
        </w:rPr>
        <w:t> </w:t>
      </w:r>
      <w:r>
        <w:rPr>
          <w:spacing w:val="-15"/>
          <w:sz w:val="25"/>
        </w:rPr>
        <w:t> </w:t>
      </w:r>
      <w:r>
        <w:rPr>
          <w:w w:val="99"/>
          <w:sz w:val="25"/>
        </w:rPr>
        <w:t>char</w:t>
      </w:r>
      <w:r>
        <w:rPr>
          <w:spacing w:val="-1"/>
          <w:w w:val="99"/>
          <w:sz w:val="25"/>
        </w:rPr>
        <w:t>act</w:t>
      </w:r>
      <w:r>
        <w:rPr>
          <w:w w:val="99"/>
          <w:sz w:val="25"/>
        </w:rPr>
        <w:t>ers.</w:t>
      </w:r>
      <w:r>
        <w:rPr>
          <w:sz w:val="25"/>
        </w:rPr>
        <w:t> </w:t>
      </w:r>
      <w:r>
        <w:rPr>
          <w:spacing w:val="-15"/>
          <w:sz w:val="25"/>
        </w:rPr>
        <w:t> </w:t>
      </w:r>
      <w:r>
        <w:rPr>
          <w:w w:val="99"/>
          <w:sz w:val="25"/>
        </w:rPr>
        <w:t>It</w:t>
      </w:r>
      <w:r>
        <w:rPr>
          <w:sz w:val="25"/>
        </w:rPr>
        <w:t> </w:t>
      </w:r>
      <w:r>
        <w:rPr>
          <w:spacing w:val="-14"/>
          <w:sz w:val="25"/>
        </w:rPr>
        <w:t> </w:t>
      </w:r>
      <w:r>
        <w:rPr>
          <w:spacing w:val="-1"/>
          <w:w w:val="99"/>
          <w:sz w:val="25"/>
        </w:rPr>
        <w:t>is </w:t>
      </w:r>
      <w:r>
        <w:rPr>
          <w:sz w:val="25"/>
        </w:rPr>
        <w:t>taken from the courtyard of the building of the middle arch in the eastern wall. The Commissioner‘s report</w:t>
      </w:r>
      <w:r>
        <w:rPr>
          <w:spacing w:val="-2"/>
          <w:sz w:val="25"/>
        </w:rPr>
        <w:t> </w:t>
      </w:r>
      <w:r>
        <w:rPr>
          <w:sz w:val="25"/>
        </w:rPr>
        <w:t>states:</w:t>
      </w:r>
    </w:p>
    <w:p>
      <w:pPr>
        <w:spacing w:line="276" w:lineRule="auto" w:before="159"/>
        <w:ind w:left="1940" w:right="2260" w:firstLine="0"/>
        <w:jc w:val="both"/>
        <w:rPr>
          <w:sz w:val="21"/>
        </w:rPr>
      </w:pPr>
      <w:r>
        <w:rPr>
          <w:spacing w:val="-1"/>
          <w:w w:val="33"/>
          <w:sz w:val="21"/>
        </w:rPr>
        <w:t>―</w:t>
      </w:r>
      <w:r>
        <w:rPr>
          <w:spacing w:val="-1"/>
          <w:w w:val="100"/>
          <w:sz w:val="21"/>
        </w:rPr>
        <w:t>8</w:t>
      </w:r>
      <w:r>
        <w:rPr>
          <w:w w:val="100"/>
          <w:sz w:val="21"/>
        </w:rPr>
        <w:t>.</w:t>
      </w:r>
      <w:r>
        <w:rPr>
          <w:spacing w:val="19"/>
          <w:sz w:val="21"/>
        </w:rPr>
        <w:t> </w:t>
      </w:r>
      <w:r>
        <w:rPr>
          <w:w w:val="100"/>
          <w:sz w:val="21"/>
        </w:rPr>
        <w:t>N</w:t>
      </w:r>
      <w:r>
        <w:rPr>
          <w:spacing w:val="-1"/>
          <w:w w:val="100"/>
          <w:sz w:val="21"/>
        </w:rPr>
        <w:t>o.</w:t>
      </w:r>
      <w:r>
        <w:rPr>
          <w:w w:val="100"/>
          <w:sz w:val="21"/>
        </w:rPr>
        <w:t>8</w:t>
      </w:r>
      <w:r>
        <w:rPr>
          <w:spacing w:val="18"/>
          <w:sz w:val="21"/>
        </w:rPr>
        <w:t> </w:t>
      </w:r>
      <w:r>
        <w:rPr>
          <w:w w:val="100"/>
          <w:sz w:val="21"/>
        </w:rPr>
        <w:t>is</w:t>
      </w:r>
      <w:r>
        <w:rPr>
          <w:spacing w:val="18"/>
          <w:sz w:val="21"/>
        </w:rPr>
        <w:t> </w:t>
      </w:r>
      <w:r>
        <w:rPr>
          <w:w w:val="100"/>
          <w:sz w:val="21"/>
        </w:rPr>
        <w:t>P</w:t>
      </w:r>
      <w:r>
        <w:rPr>
          <w:spacing w:val="-1"/>
          <w:w w:val="100"/>
          <w:sz w:val="21"/>
        </w:rPr>
        <w:t>hot</w:t>
      </w:r>
      <w:r>
        <w:rPr>
          <w:w w:val="100"/>
          <w:sz w:val="21"/>
        </w:rPr>
        <w:t>o</w:t>
      </w:r>
      <w:r>
        <w:rPr>
          <w:spacing w:val="18"/>
          <w:sz w:val="21"/>
        </w:rPr>
        <w:t> </w:t>
      </w:r>
      <w:r>
        <w:rPr>
          <w:spacing w:val="-2"/>
          <w:w w:val="100"/>
          <w:sz w:val="21"/>
        </w:rPr>
        <w:t>t</w:t>
      </w:r>
      <w:r>
        <w:rPr>
          <w:spacing w:val="-3"/>
          <w:w w:val="100"/>
          <w:sz w:val="21"/>
        </w:rPr>
        <w:t>a</w:t>
      </w:r>
      <w:r>
        <w:rPr>
          <w:spacing w:val="2"/>
          <w:w w:val="100"/>
          <w:sz w:val="21"/>
        </w:rPr>
        <w:t>k</w:t>
      </w:r>
      <w:r>
        <w:rPr>
          <w:spacing w:val="-1"/>
          <w:w w:val="100"/>
          <w:sz w:val="21"/>
        </w:rPr>
        <w:t>e</w:t>
      </w:r>
      <w:r>
        <w:rPr>
          <w:w w:val="100"/>
          <w:sz w:val="21"/>
        </w:rPr>
        <w:t>n</w:t>
      </w:r>
      <w:r>
        <w:rPr>
          <w:spacing w:val="18"/>
          <w:sz w:val="21"/>
        </w:rPr>
        <w:t> </w:t>
      </w:r>
      <w:r>
        <w:rPr>
          <w:spacing w:val="1"/>
          <w:w w:val="100"/>
          <w:sz w:val="21"/>
        </w:rPr>
        <w:t>f</w:t>
      </w:r>
      <w:r>
        <w:rPr>
          <w:spacing w:val="-4"/>
          <w:w w:val="100"/>
          <w:sz w:val="21"/>
        </w:rPr>
        <w:t>r</w:t>
      </w:r>
      <w:r>
        <w:rPr>
          <w:spacing w:val="-1"/>
          <w:w w:val="100"/>
          <w:sz w:val="21"/>
        </w:rPr>
        <w:t>o</w:t>
      </w:r>
      <w:r>
        <w:rPr>
          <w:w w:val="100"/>
          <w:sz w:val="21"/>
        </w:rPr>
        <w:t>m</w:t>
      </w:r>
      <w:r>
        <w:rPr>
          <w:spacing w:val="19"/>
          <w:sz w:val="21"/>
        </w:rPr>
        <w:t> </w:t>
      </w:r>
      <w:r>
        <w:rPr>
          <w:spacing w:val="-2"/>
          <w:w w:val="100"/>
          <w:sz w:val="21"/>
        </w:rPr>
        <w:t>t</w:t>
      </w:r>
      <w:r>
        <w:rPr>
          <w:spacing w:val="-1"/>
          <w:w w:val="100"/>
          <w:sz w:val="21"/>
        </w:rPr>
        <w:t>h</w:t>
      </w:r>
      <w:r>
        <w:rPr>
          <w:w w:val="100"/>
          <w:sz w:val="21"/>
        </w:rPr>
        <w:t>e</w:t>
      </w:r>
      <w:r>
        <w:rPr>
          <w:spacing w:val="18"/>
          <w:sz w:val="21"/>
        </w:rPr>
        <w:t> </w:t>
      </w:r>
      <w:r>
        <w:rPr>
          <w:w w:val="100"/>
          <w:sz w:val="21"/>
        </w:rPr>
        <w:t>C</w:t>
      </w:r>
      <w:r>
        <w:rPr>
          <w:spacing w:val="-1"/>
          <w:w w:val="100"/>
          <w:sz w:val="21"/>
        </w:rPr>
        <w:t>our</w:t>
      </w:r>
      <w:r>
        <w:rPr>
          <w:spacing w:val="-2"/>
          <w:w w:val="100"/>
          <w:sz w:val="21"/>
        </w:rPr>
        <w:t>t</w:t>
      </w:r>
      <w:r>
        <w:rPr>
          <w:spacing w:val="-3"/>
          <w:w w:val="100"/>
          <w:sz w:val="21"/>
        </w:rPr>
        <w:t>y</w:t>
      </w:r>
      <w:r>
        <w:rPr>
          <w:spacing w:val="-1"/>
          <w:w w:val="100"/>
          <w:sz w:val="21"/>
        </w:rPr>
        <w:t>ar</w:t>
      </w:r>
      <w:r>
        <w:rPr>
          <w:w w:val="100"/>
          <w:sz w:val="21"/>
        </w:rPr>
        <w:t>d</w:t>
      </w:r>
      <w:r>
        <w:rPr>
          <w:spacing w:val="20"/>
          <w:sz w:val="21"/>
        </w:rPr>
        <w:t> </w:t>
      </w:r>
      <w:r>
        <w:rPr>
          <w:spacing w:val="-3"/>
          <w:w w:val="100"/>
          <w:sz w:val="21"/>
        </w:rPr>
        <w:t>o</w:t>
      </w:r>
      <w:r>
        <w:rPr>
          <w:w w:val="100"/>
          <w:sz w:val="21"/>
        </w:rPr>
        <w:t>f</w:t>
      </w:r>
      <w:r>
        <w:rPr>
          <w:spacing w:val="21"/>
          <w:sz w:val="21"/>
        </w:rPr>
        <w:t> </w:t>
      </w:r>
      <w:r>
        <w:rPr>
          <w:spacing w:val="-2"/>
          <w:w w:val="100"/>
          <w:sz w:val="21"/>
        </w:rPr>
        <w:t>t</w:t>
      </w:r>
      <w:r>
        <w:rPr>
          <w:spacing w:val="-1"/>
          <w:w w:val="100"/>
          <w:sz w:val="21"/>
        </w:rPr>
        <w:t>h</w:t>
      </w:r>
      <w:r>
        <w:rPr>
          <w:w w:val="100"/>
          <w:sz w:val="21"/>
        </w:rPr>
        <w:t>e</w:t>
      </w:r>
      <w:r>
        <w:rPr>
          <w:spacing w:val="18"/>
          <w:sz w:val="21"/>
        </w:rPr>
        <w:t> </w:t>
      </w:r>
      <w:r>
        <w:rPr>
          <w:spacing w:val="-1"/>
          <w:w w:val="100"/>
          <w:sz w:val="21"/>
        </w:rPr>
        <w:t>bui</w:t>
      </w:r>
      <w:r>
        <w:rPr>
          <w:w w:val="100"/>
          <w:sz w:val="21"/>
        </w:rPr>
        <w:t>l</w:t>
      </w:r>
      <w:r>
        <w:rPr>
          <w:spacing w:val="-3"/>
          <w:w w:val="100"/>
          <w:sz w:val="21"/>
        </w:rPr>
        <w:t>d</w:t>
      </w:r>
      <w:r>
        <w:rPr>
          <w:w w:val="100"/>
          <w:sz w:val="21"/>
        </w:rPr>
        <w:t>i</w:t>
      </w:r>
      <w:r>
        <w:rPr>
          <w:spacing w:val="-1"/>
          <w:w w:val="100"/>
          <w:sz w:val="21"/>
        </w:rPr>
        <w:t>n</w:t>
      </w:r>
      <w:r>
        <w:rPr>
          <w:w w:val="100"/>
          <w:sz w:val="21"/>
        </w:rPr>
        <w:t>g</w:t>
      </w:r>
      <w:r>
        <w:rPr>
          <w:spacing w:val="18"/>
          <w:sz w:val="21"/>
        </w:rPr>
        <w:t> </w:t>
      </w:r>
      <w:r>
        <w:rPr>
          <w:spacing w:val="-2"/>
          <w:w w:val="100"/>
          <w:sz w:val="21"/>
        </w:rPr>
        <w:t>i</w:t>
      </w:r>
      <w:r>
        <w:rPr>
          <w:w w:val="100"/>
          <w:sz w:val="21"/>
        </w:rPr>
        <w:t>n </w:t>
      </w:r>
      <w:r>
        <w:rPr>
          <w:sz w:val="21"/>
        </w:rPr>
        <w:t>suit of the Middle Arch in the eastern wall. </w:t>
      </w:r>
      <w:r>
        <w:rPr>
          <w:b/>
          <w:sz w:val="21"/>
        </w:rPr>
        <w:t>A little below the top</w:t>
      </w:r>
      <w:r>
        <w:rPr>
          <w:b/>
          <w:spacing w:val="-10"/>
          <w:sz w:val="21"/>
        </w:rPr>
        <w:t> </w:t>
      </w:r>
      <w:r>
        <w:rPr>
          <w:b/>
          <w:sz w:val="21"/>
        </w:rPr>
        <w:t>of</w:t>
      </w:r>
      <w:r>
        <w:rPr>
          <w:b/>
          <w:spacing w:val="-8"/>
          <w:sz w:val="21"/>
        </w:rPr>
        <w:t> </w:t>
      </w:r>
      <w:r>
        <w:rPr>
          <w:b/>
          <w:sz w:val="21"/>
        </w:rPr>
        <w:t>the</w:t>
      </w:r>
      <w:r>
        <w:rPr>
          <w:b/>
          <w:spacing w:val="-10"/>
          <w:sz w:val="21"/>
        </w:rPr>
        <w:t> </w:t>
      </w:r>
      <w:r>
        <w:rPr>
          <w:b/>
          <w:sz w:val="21"/>
        </w:rPr>
        <w:t>arch</w:t>
      </w:r>
      <w:r>
        <w:rPr>
          <w:b/>
          <w:spacing w:val="-8"/>
          <w:sz w:val="21"/>
        </w:rPr>
        <w:t> </w:t>
      </w:r>
      <w:r>
        <w:rPr>
          <w:b/>
          <w:sz w:val="21"/>
        </w:rPr>
        <w:t>at</w:t>
      </w:r>
      <w:r>
        <w:rPr>
          <w:b/>
          <w:spacing w:val="-11"/>
          <w:sz w:val="21"/>
        </w:rPr>
        <w:t> </w:t>
      </w:r>
      <w:r>
        <w:rPr>
          <w:b/>
          <w:sz w:val="21"/>
        </w:rPr>
        <w:t>three</w:t>
      </w:r>
      <w:r>
        <w:rPr>
          <w:b/>
          <w:spacing w:val="-10"/>
          <w:sz w:val="21"/>
        </w:rPr>
        <w:t> </w:t>
      </w:r>
      <w:r>
        <w:rPr>
          <w:b/>
          <w:sz w:val="21"/>
        </w:rPr>
        <w:t>places</w:t>
      </w:r>
      <w:r>
        <w:rPr>
          <w:b/>
          <w:spacing w:val="-8"/>
          <w:sz w:val="21"/>
        </w:rPr>
        <w:t> </w:t>
      </w:r>
      <w:r>
        <w:rPr>
          <w:b/>
          <w:sz w:val="21"/>
        </w:rPr>
        <w:t>―Allah‖</w:t>
      </w:r>
      <w:r>
        <w:rPr>
          <w:b/>
          <w:spacing w:val="-8"/>
          <w:sz w:val="21"/>
        </w:rPr>
        <w:t> </w:t>
      </w:r>
      <w:r>
        <w:rPr>
          <w:b/>
          <w:sz w:val="21"/>
        </w:rPr>
        <w:t>in</w:t>
      </w:r>
      <w:r>
        <w:rPr>
          <w:b/>
          <w:spacing w:val="-5"/>
          <w:sz w:val="21"/>
        </w:rPr>
        <w:t> </w:t>
      </w:r>
      <w:r>
        <w:rPr>
          <w:b/>
          <w:sz w:val="21"/>
        </w:rPr>
        <w:t>Arabic</w:t>
      </w:r>
      <w:r>
        <w:rPr>
          <w:b/>
          <w:spacing w:val="-8"/>
          <w:sz w:val="21"/>
        </w:rPr>
        <w:t> </w:t>
      </w:r>
      <w:r>
        <w:rPr>
          <w:b/>
          <w:sz w:val="21"/>
        </w:rPr>
        <w:t>character </w:t>
      </w:r>
      <w:r>
        <w:rPr>
          <w:b/>
          <w:spacing w:val="-2"/>
          <w:w w:val="100"/>
          <w:sz w:val="21"/>
        </w:rPr>
        <w:t>i</w:t>
      </w:r>
      <w:r>
        <w:rPr>
          <w:b/>
          <w:w w:val="100"/>
          <w:sz w:val="21"/>
        </w:rPr>
        <w:t>s</w:t>
      </w:r>
      <w:r>
        <w:rPr>
          <w:b/>
          <w:sz w:val="21"/>
        </w:rPr>
        <w:t> </w:t>
      </w:r>
      <w:r>
        <w:rPr>
          <w:b/>
          <w:spacing w:val="-28"/>
          <w:sz w:val="21"/>
        </w:rPr>
        <w:t> </w:t>
      </w:r>
      <w:r>
        <w:rPr>
          <w:b/>
          <w:spacing w:val="-2"/>
          <w:w w:val="100"/>
          <w:sz w:val="21"/>
        </w:rPr>
        <w:t>i</w:t>
      </w:r>
      <w:r>
        <w:rPr>
          <w:b/>
          <w:w w:val="100"/>
          <w:sz w:val="21"/>
        </w:rPr>
        <w:t>ns</w:t>
      </w:r>
      <w:r>
        <w:rPr>
          <w:b/>
          <w:w w:val="100"/>
          <w:sz w:val="21"/>
        </w:rPr>
        <w:t>cr</w:t>
      </w:r>
      <w:r>
        <w:rPr>
          <w:b/>
          <w:spacing w:val="-2"/>
          <w:w w:val="100"/>
          <w:sz w:val="21"/>
        </w:rPr>
        <w:t>i</w:t>
      </w:r>
      <w:r>
        <w:rPr>
          <w:b/>
          <w:w w:val="100"/>
          <w:sz w:val="21"/>
        </w:rPr>
        <w:t>b</w:t>
      </w:r>
      <w:r>
        <w:rPr>
          <w:b/>
          <w:spacing w:val="-2"/>
          <w:w w:val="100"/>
          <w:sz w:val="21"/>
        </w:rPr>
        <w:t>e</w:t>
      </w:r>
      <w:r>
        <w:rPr>
          <w:b/>
          <w:w w:val="100"/>
          <w:sz w:val="21"/>
        </w:rPr>
        <w:t>d.</w:t>
      </w:r>
      <w:r>
        <w:rPr>
          <w:b/>
          <w:sz w:val="21"/>
        </w:rPr>
        <w:t> </w:t>
      </w:r>
      <w:r>
        <w:rPr>
          <w:b/>
          <w:spacing w:val="-28"/>
          <w:sz w:val="21"/>
        </w:rPr>
        <w:t> </w:t>
      </w:r>
      <w:r>
        <w:rPr>
          <w:spacing w:val="-2"/>
          <w:w w:val="100"/>
          <w:sz w:val="21"/>
        </w:rPr>
        <w:t>B</w:t>
      </w:r>
      <w:r>
        <w:rPr>
          <w:spacing w:val="-1"/>
          <w:w w:val="100"/>
          <w:sz w:val="21"/>
        </w:rPr>
        <w:t>e</w:t>
      </w:r>
      <w:r>
        <w:rPr>
          <w:spacing w:val="-2"/>
          <w:w w:val="100"/>
          <w:sz w:val="21"/>
        </w:rPr>
        <w:t>l</w:t>
      </w:r>
      <w:r>
        <w:rPr>
          <w:spacing w:val="-1"/>
          <w:w w:val="100"/>
          <w:sz w:val="21"/>
        </w:rPr>
        <w:t>o</w:t>
      </w:r>
      <w:r>
        <w:rPr>
          <w:w w:val="100"/>
          <w:sz w:val="21"/>
        </w:rPr>
        <w:t>w</w:t>
      </w:r>
      <w:r>
        <w:rPr>
          <w:spacing w:val="29"/>
          <w:sz w:val="21"/>
        </w:rPr>
        <w:t> </w:t>
      </w:r>
      <w:r>
        <w:rPr>
          <w:spacing w:val="-2"/>
          <w:w w:val="100"/>
          <w:sz w:val="21"/>
        </w:rPr>
        <w:t>t</w:t>
      </w:r>
      <w:r>
        <w:rPr>
          <w:spacing w:val="-1"/>
          <w:w w:val="100"/>
          <w:sz w:val="21"/>
        </w:rPr>
        <w:t>h</w:t>
      </w:r>
      <w:r>
        <w:rPr>
          <w:w w:val="100"/>
          <w:sz w:val="21"/>
        </w:rPr>
        <w:t>e</w:t>
      </w:r>
      <w:r>
        <w:rPr>
          <w:sz w:val="21"/>
        </w:rPr>
        <w:t> </w:t>
      </w:r>
      <w:r>
        <w:rPr>
          <w:spacing w:val="-28"/>
          <w:sz w:val="21"/>
        </w:rPr>
        <w:t> </w:t>
      </w:r>
      <w:r>
        <w:rPr>
          <w:spacing w:val="-2"/>
          <w:w w:val="40"/>
          <w:sz w:val="21"/>
        </w:rPr>
        <w:t>‗</w:t>
      </w:r>
      <w:r>
        <w:rPr>
          <w:w w:val="100"/>
          <w:sz w:val="21"/>
        </w:rPr>
        <w:t>A</w:t>
      </w:r>
      <w:r>
        <w:rPr>
          <w:spacing w:val="-2"/>
          <w:w w:val="100"/>
          <w:sz w:val="21"/>
        </w:rPr>
        <w:t>l</w:t>
      </w:r>
      <w:r>
        <w:rPr>
          <w:w w:val="100"/>
          <w:sz w:val="21"/>
        </w:rPr>
        <w:t>l</w:t>
      </w:r>
      <w:r>
        <w:rPr>
          <w:spacing w:val="-1"/>
          <w:w w:val="100"/>
          <w:sz w:val="21"/>
        </w:rPr>
        <w:t>a</w:t>
      </w:r>
      <w:r>
        <w:rPr>
          <w:spacing w:val="-3"/>
          <w:w w:val="100"/>
          <w:sz w:val="21"/>
        </w:rPr>
        <w:t>h</w:t>
      </w:r>
      <w:r>
        <w:rPr>
          <w:w w:val="100"/>
          <w:sz w:val="21"/>
        </w:rPr>
        <w:t>‘</w:t>
      </w:r>
      <w:r>
        <w:rPr>
          <w:spacing w:val="28"/>
          <w:sz w:val="21"/>
        </w:rPr>
        <w:t> </w:t>
      </w:r>
      <w:r>
        <w:rPr>
          <w:w w:val="100"/>
          <w:sz w:val="21"/>
        </w:rPr>
        <w:t>in</w:t>
      </w:r>
      <w:r>
        <w:rPr>
          <w:sz w:val="21"/>
        </w:rPr>
        <w:t> </w:t>
      </w:r>
      <w:r>
        <w:rPr>
          <w:spacing w:val="-29"/>
          <w:sz w:val="21"/>
        </w:rPr>
        <w:t> </w:t>
      </w:r>
      <w:r>
        <w:rPr>
          <w:spacing w:val="-2"/>
          <w:w w:val="100"/>
          <w:sz w:val="21"/>
        </w:rPr>
        <w:t>t</w:t>
      </w:r>
      <w:r>
        <w:rPr>
          <w:spacing w:val="-1"/>
          <w:w w:val="100"/>
          <w:sz w:val="21"/>
        </w:rPr>
        <w:t>h</w:t>
      </w:r>
      <w:r>
        <w:rPr>
          <w:w w:val="100"/>
          <w:sz w:val="21"/>
        </w:rPr>
        <w:t>e</w:t>
      </w:r>
      <w:r>
        <w:rPr>
          <w:spacing w:val="28"/>
          <w:sz w:val="21"/>
        </w:rPr>
        <w:t> </w:t>
      </w:r>
      <w:r>
        <w:rPr>
          <w:spacing w:val="-1"/>
          <w:w w:val="100"/>
          <w:sz w:val="21"/>
        </w:rPr>
        <w:t>m</w:t>
      </w:r>
      <w:r>
        <w:rPr>
          <w:w w:val="100"/>
          <w:sz w:val="21"/>
        </w:rPr>
        <w:t>i</w:t>
      </w:r>
      <w:r>
        <w:rPr>
          <w:spacing w:val="-3"/>
          <w:w w:val="100"/>
          <w:sz w:val="21"/>
        </w:rPr>
        <w:t>d</w:t>
      </w:r>
      <w:r>
        <w:rPr>
          <w:spacing w:val="-1"/>
          <w:w w:val="100"/>
          <w:sz w:val="21"/>
        </w:rPr>
        <w:t>d</w:t>
      </w:r>
      <w:r>
        <w:rPr>
          <w:spacing w:val="1"/>
          <w:w w:val="100"/>
          <w:sz w:val="21"/>
        </w:rPr>
        <w:t>l</w:t>
      </w:r>
      <w:r>
        <w:rPr>
          <w:spacing w:val="-1"/>
          <w:w w:val="100"/>
          <w:sz w:val="21"/>
        </w:rPr>
        <w:t>e</w:t>
      </w:r>
      <w:r>
        <w:rPr>
          <w:w w:val="100"/>
          <w:sz w:val="21"/>
        </w:rPr>
        <w:t>,</w:t>
      </w:r>
      <w:r>
        <w:rPr>
          <w:sz w:val="21"/>
        </w:rPr>
        <w:t> </w:t>
      </w:r>
      <w:r>
        <w:rPr>
          <w:spacing w:val="-30"/>
          <w:sz w:val="21"/>
        </w:rPr>
        <w:t> </w:t>
      </w:r>
      <w:r>
        <w:rPr>
          <w:spacing w:val="-2"/>
          <w:w w:val="100"/>
          <w:sz w:val="21"/>
        </w:rPr>
        <w:t>t</w:t>
      </w:r>
      <w:r>
        <w:rPr>
          <w:spacing w:val="-1"/>
          <w:w w:val="100"/>
          <w:sz w:val="21"/>
        </w:rPr>
        <w:t>h</w:t>
      </w:r>
      <w:r>
        <w:rPr>
          <w:w w:val="100"/>
          <w:sz w:val="21"/>
        </w:rPr>
        <w:t>e</w:t>
      </w:r>
      <w:r>
        <w:rPr>
          <w:spacing w:val="28"/>
          <w:sz w:val="21"/>
        </w:rPr>
        <w:t> </w:t>
      </w:r>
      <w:r>
        <w:rPr>
          <w:spacing w:val="-2"/>
          <w:w w:val="100"/>
          <w:sz w:val="21"/>
        </w:rPr>
        <w:t>i</w:t>
      </w:r>
      <w:r>
        <w:rPr>
          <w:spacing w:val="-1"/>
          <w:w w:val="100"/>
          <w:sz w:val="21"/>
        </w:rPr>
        <w:t>nscr</w:t>
      </w:r>
      <w:r>
        <w:rPr>
          <w:spacing w:val="-2"/>
          <w:w w:val="100"/>
          <w:sz w:val="21"/>
        </w:rPr>
        <w:t>i</w:t>
      </w:r>
      <w:r>
        <w:rPr>
          <w:spacing w:val="-1"/>
          <w:w w:val="100"/>
          <w:sz w:val="21"/>
        </w:rPr>
        <w:t>pt</w:t>
      </w:r>
      <w:r>
        <w:rPr>
          <w:w w:val="100"/>
          <w:sz w:val="21"/>
        </w:rPr>
        <w:t>i</w:t>
      </w:r>
      <w:r>
        <w:rPr>
          <w:spacing w:val="-3"/>
          <w:w w:val="100"/>
          <w:sz w:val="21"/>
        </w:rPr>
        <w:t>o</w:t>
      </w:r>
      <w:r>
        <w:rPr>
          <w:w w:val="100"/>
          <w:sz w:val="21"/>
        </w:rPr>
        <w:t>n</w:t>
      </w:r>
    </w:p>
    <w:p>
      <w:pPr>
        <w:spacing w:line="276" w:lineRule="auto" w:before="0"/>
        <w:ind w:left="1940" w:right="2265" w:firstLine="0"/>
        <w:jc w:val="both"/>
        <w:rPr>
          <w:sz w:val="21"/>
        </w:rPr>
      </w:pPr>
      <w:r>
        <w:rPr>
          <w:w w:val="40"/>
          <w:sz w:val="21"/>
        </w:rPr>
        <w:t>‗</w:t>
      </w:r>
      <w:r>
        <w:rPr>
          <w:w w:val="100"/>
          <w:sz w:val="21"/>
        </w:rPr>
        <w:t>Toghra‘</w:t>
      </w:r>
      <w:r>
        <w:rPr>
          <w:sz w:val="21"/>
        </w:rPr>
        <w:t> </w:t>
      </w:r>
      <w:r>
        <w:rPr>
          <w:w w:val="100"/>
          <w:sz w:val="21"/>
        </w:rPr>
        <w:t>(...)</w:t>
      </w:r>
      <w:r>
        <w:rPr>
          <w:sz w:val="21"/>
        </w:rPr>
        <w:t> </w:t>
      </w:r>
      <w:r>
        <w:rPr>
          <w:w w:val="100"/>
          <w:sz w:val="21"/>
        </w:rPr>
        <w:t>is</w:t>
      </w:r>
      <w:r>
        <w:rPr>
          <w:sz w:val="21"/>
        </w:rPr>
        <w:t> </w:t>
      </w:r>
      <w:r>
        <w:rPr>
          <w:w w:val="100"/>
          <w:sz w:val="21"/>
        </w:rPr>
        <w:t>blurred</w:t>
      </w:r>
      <w:r>
        <w:rPr>
          <w:sz w:val="21"/>
        </w:rPr>
        <w:t> </w:t>
      </w:r>
      <w:r>
        <w:rPr>
          <w:w w:val="100"/>
          <w:sz w:val="21"/>
        </w:rPr>
        <w:t>in</w:t>
      </w:r>
      <w:r>
        <w:rPr>
          <w:sz w:val="21"/>
        </w:rPr>
        <w:t> </w:t>
      </w:r>
      <w:r>
        <w:rPr>
          <w:w w:val="100"/>
          <w:sz w:val="21"/>
        </w:rPr>
        <w:t>the</w:t>
      </w:r>
      <w:r>
        <w:rPr>
          <w:sz w:val="21"/>
        </w:rPr>
        <w:t> </w:t>
      </w:r>
      <w:r>
        <w:rPr>
          <w:w w:val="100"/>
          <w:sz w:val="21"/>
        </w:rPr>
        <w:t>photo</w:t>
      </w:r>
      <w:r>
        <w:rPr>
          <w:sz w:val="21"/>
        </w:rPr>
        <w:t> </w:t>
      </w:r>
      <w:r>
        <w:rPr>
          <w:w w:val="100"/>
          <w:sz w:val="21"/>
        </w:rPr>
        <w:t>(but</w:t>
      </w:r>
      <w:r>
        <w:rPr>
          <w:sz w:val="21"/>
        </w:rPr>
        <w:t> </w:t>
      </w:r>
      <w:r>
        <w:rPr>
          <w:w w:val="100"/>
          <w:sz w:val="21"/>
        </w:rPr>
        <w:t>at</w:t>
      </w:r>
      <w:r>
        <w:rPr>
          <w:sz w:val="21"/>
        </w:rPr>
        <w:t> </w:t>
      </w:r>
      <w:r>
        <w:rPr>
          <w:w w:val="100"/>
          <w:sz w:val="21"/>
        </w:rPr>
        <w:t>the</w:t>
      </w:r>
      <w:r>
        <w:rPr>
          <w:sz w:val="21"/>
        </w:rPr>
        <w:t> </w:t>
      </w:r>
      <w:r>
        <w:rPr>
          <w:w w:val="100"/>
          <w:sz w:val="21"/>
        </w:rPr>
        <w:t>spot</w:t>
      </w:r>
      <w:r>
        <w:rPr>
          <w:sz w:val="21"/>
        </w:rPr>
        <w:t> </w:t>
      </w:r>
      <w:r>
        <w:rPr>
          <w:w w:val="100"/>
          <w:sz w:val="21"/>
        </w:rPr>
        <w:t>it</w:t>
      </w:r>
      <w:r>
        <w:rPr>
          <w:sz w:val="21"/>
        </w:rPr>
        <w:t> </w:t>
      </w:r>
      <w:r>
        <w:rPr>
          <w:w w:val="100"/>
          <w:sz w:val="21"/>
        </w:rPr>
        <w:t>can</w:t>
      </w:r>
      <w:r>
        <w:rPr>
          <w:sz w:val="21"/>
        </w:rPr>
        <w:t> </w:t>
      </w:r>
      <w:r>
        <w:rPr>
          <w:w w:val="100"/>
          <w:sz w:val="21"/>
        </w:rPr>
        <w:t>be </w:t>
      </w:r>
      <w:r>
        <w:rPr>
          <w:sz w:val="21"/>
        </w:rPr>
        <w:t>read).‖</w:t>
      </w:r>
    </w:p>
    <w:p>
      <w:pPr>
        <w:spacing w:before="2"/>
        <w:ind w:left="5798" w:right="0" w:firstLine="0"/>
        <w:jc w:val="left"/>
        <w:rPr>
          <w:sz w:val="21"/>
        </w:rPr>
      </w:pPr>
      <w:r>
        <w:rPr>
          <w:sz w:val="21"/>
        </w:rPr>
        <w:t>(Emphasis supplied)</w:t>
      </w:r>
    </w:p>
    <w:p>
      <w:pPr>
        <w:pStyle w:val="BodyText"/>
        <w:rPr>
          <w:sz w:val="24"/>
        </w:rPr>
      </w:pPr>
    </w:p>
    <w:p>
      <w:pPr>
        <w:pStyle w:val="BodyText"/>
        <w:spacing w:before="7"/>
        <w:rPr>
          <w:sz w:val="31"/>
        </w:rPr>
      </w:pPr>
    </w:p>
    <w:p>
      <w:pPr>
        <w:pStyle w:val="BodyText"/>
        <w:spacing w:line="480" w:lineRule="auto" w:before="1"/>
        <w:ind w:left="500"/>
      </w:pPr>
      <w:r>
        <w:rPr/>
        <w:t>Photograph 9 was of the inner central Mihrab in the western wall. Of this, the Commissioner states:</w:t>
      </w:r>
    </w:p>
    <w:p>
      <w:pPr>
        <w:spacing w:line="276" w:lineRule="auto" w:before="0"/>
        <w:ind w:left="1940" w:right="2262" w:firstLine="0"/>
        <w:jc w:val="both"/>
        <w:rPr>
          <w:sz w:val="21"/>
        </w:rPr>
      </w:pPr>
      <w:r>
        <w:rPr>
          <w:color w:val="212121"/>
          <w:spacing w:val="-1"/>
          <w:w w:val="33"/>
          <w:sz w:val="21"/>
        </w:rPr>
        <w:t>―</w:t>
      </w:r>
      <w:r>
        <w:rPr>
          <w:color w:val="212121"/>
          <w:spacing w:val="-1"/>
          <w:w w:val="100"/>
          <w:sz w:val="21"/>
        </w:rPr>
        <w:t>9</w:t>
      </w:r>
      <w:r>
        <w:rPr>
          <w:color w:val="212121"/>
          <w:w w:val="100"/>
          <w:sz w:val="21"/>
        </w:rPr>
        <w:t>.</w:t>
      </w:r>
      <w:r>
        <w:rPr>
          <w:color w:val="212121"/>
          <w:sz w:val="21"/>
        </w:rPr>
        <w:t> </w:t>
      </w:r>
      <w:r>
        <w:rPr>
          <w:color w:val="212121"/>
          <w:spacing w:val="-22"/>
          <w:sz w:val="21"/>
        </w:rPr>
        <w:t> </w:t>
      </w:r>
      <w:r>
        <w:rPr>
          <w:color w:val="212121"/>
          <w:spacing w:val="-2"/>
          <w:w w:val="100"/>
          <w:sz w:val="21"/>
        </w:rPr>
        <w:t>N</w:t>
      </w:r>
      <w:r>
        <w:rPr>
          <w:color w:val="212121"/>
          <w:spacing w:val="-1"/>
          <w:w w:val="100"/>
          <w:sz w:val="21"/>
        </w:rPr>
        <w:t>o</w:t>
      </w:r>
      <w:r>
        <w:rPr>
          <w:color w:val="212121"/>
          <w:w w:val="100"/>
          <w:sz w:val="21"/>
        </w:rPr>
        <w:t>.</w:t>
      </w:r>
      <w:r>
        <w:rPr>
          <w:color w:val="212121"/>
          <w:sz w:val="21"/>
        </w:rPr>
        <w:t> </w:t>
      </w:r>
      <w:r>
        <w:rPr>
          <w:color w:val="212121"/>
          <w:spacing w:val="-22"/>
          <w:sz w:val="21"/>
        </w:rPr>
        <w:t> </w:t>
      </w:r>
      <w:r>
        <w:rPr>
          <w:color w:val="212121"/>
          <w:spacing w:val="-1"/>
          <w:w w:val="100"/>
          <w:sz w:val="21"/>
        </w:rPr>
        <w:t>9</w:t>
      </w:r>
      <w:r>
        <w:rPr>
          <w:color w:val="212121"/>
          <w:w w:val="100"/>
          <w:sz w:val="21"/>
        </w:rPr>
        <w:t>,</w:t>
      </w:r>
      <w:r>
        <w:rPr>
          <w:color w:val="212121"/>
          <w:sz w:val="21"/>
        </w:rPr>
        <w:t> </w:t>
      </w:r>
      <w:r>
        <w:rPr>
          <w:color w:val="212121"/>
          <w:spacing w:val="-25"/>
          <w:sz w:val="21"/>
        </w:rPr>
        <w:t> </w:t>
      </w:r>
      <w:r>
        <w:rPr>
          <w:color w:val="212121"/>
          <w:w w:val="100"/>
          <w:sz w:val="21"/>
        </w:rPr>
        <w:t>is</w:t>
      </w:r>
      <w:r>
        <w:rPr>
          <w:color w:val="212121"/>
          <w:sz w:val="21"/>
        </w:rPr>
        <w:t> </w:t>
      </w:r>
      <w:r>
        <w:rPr>
          <w:color w:val="212121"/>
          <w:spacing w:val="-24"/>
          <w:sz w:val="21"/>
        </w:rPr>
        <w:t> </w:t>
      </w:r>
      <w:r>
        <w:rPr>
          <w:color w:val="212121"/>
          <w:w w:val="100"/>
          <w:sz w:val="21"/>
        </w:rPr>
        <w:t>a</w:t>
      </w:r>
      <w:r>
        <w:rPr>
          <w:color w:val="212121"/>
          <w:sz w:val="21"/>
        </w:rPr>
        <w:t> </w:t>
      </w:r>
      <w:r>
        <w:rPr>
          <w:color w:val="212121"/>
          <w:spacing w:val="-24"/>
          <w:sz w:val="21"/>
        </w:rPr>
        <w:t> </w:t>
      </w:r>
      <w:r>
        <w:rPr>
          <w:color w:val="212121"/>
          <w:w w:val="100"/>
          <w:sz w:val="21"/>
        </w:rPr>
        <w:t>P</w:t>
      </w:r>
      <w:r>
        <w:rPr>
          <w:color w:val="212121"/>
          <w:spacing w:val="-3"/>
          <w:w w:val="100"/>
          <w:sz w:val="21"/>
        </w:rPr>
        <w:t>h</w:t>
      </w:r>
      <w:r>
        <w:rPr>
          <w:color w:val="212121"/>
          <w:spacing w:val="-1"/>
          <w:w w:val="100"/>
          <w:sz w:val="21"/>
        </w:rPr>
        <w:t>ot</w:t>
      </w:r>
      <w:r>
        <w:rPr>
          <w:color w:val="212121"/>
          <w:w w:val="100"/>
          <w:sz w:val="21"/>
        </w:rPr>
        <w:t>o</w:t>
      </w:r>
      <w:r>
        <w:rPr>
          <w:color w:val="212121"/>
          <w:sz w:val="21"/>
        </w:rPr>
        <w:t> </w:t>
      </w:r>
      <w:r>
        <w:rPr>
          <w:color w:val="212121"/>
          <w:spacing w:val="-21"/>
          <w:sz w:val="21"/>
        </w:rPr>
        <w:t> </w:t>
      </w:r>
      <w:r>
        <w:rPr>
          <w:color w:val="212121"/>
          <w:spacing w:val="-3"/>
          <w:w w:val="100"/>
          <w:sz w:val="21"/>
        </w:rPr>
        <w:t>o</w:t>
      </w:r>
      <w:r>
        <w:rPr>
          <w:color w:val="212121"/>
          <w:w w:val="100"/>
          <w:sz w:val="21"/>
        </w:rPr>
        <w:t>f</w:t>
      </w:r>
      <w:r>
        <w:rPr>
          <w:color w:val="212121"/>
          <w:sz w:val="21"/>
        </w:rPr>
        <w:t> </w:t>
      </w:r>
      <w:r>
        <w:rPr>
          <w:color w:val="212121"/>
          <w:spacing w:val="-22"/>
          <w:sz w:val="21"/>
        </w:rPr>
        <w:t> </w:t>
      </w:r>
      <w:r>
        <w:rPr>
          <w:color w:val="212121"/>
          <w:spacing w:val="-2"/>
          <w:w w:val="100"/>
          <w:sz w:val="21"/>
        </w:rPr>
        <w:t>i</w:t>
      </w:r>
      <w:r>
        <w:rPr>
          <w:color w:val="212121"/>
          <w:spacing w:val="-1"/>
          <w:w w:val="100"/>
          <w:sz w:val="21"/>
        </w:rPr>
        <w:t>nne</w:t>
      </w:r>
      <w:r>
        <w:rPr>
          <w:color w:val="212121"/>
          <w:w w:val="100"/>
          <w:sz w:val="21"/>
        </w:rPr>
        <w:t>r</w:t>
      </w:r>
      <w:r>
        <w:rPr>
          <w:color w:val="212121"/>
          <w:sz w:val="21"/>
        </w:rPr>
        <w:t> </w:t>
      </w:r>
      <w:r>
        <w:rPr>
          <w:color w:val="212121"/>
          <w:spacing w:val="-24"/>
          <w:sz w:val="21"/>
        </w:rPr>
        <w:t> </w:t>
      </w:r>
      <w:r>
        <w:rPr>
          <w:color w:val="212121"/>
          <w:w w:val="100"/>
          <w:sz w:val="21"/>
        </w:rPr>
        <w:t>C</w:t>
      </w:r>
      <w:r>
        <w:rPr>
          <w:color w:val="212121"/>
          <w:spacing w:val="-3"/>
          <w:w w:val="100"/>
          <w:sz w:val="21"/>
        </w:rPr>
        <w:t>e</w:t>
      </w:r>
      <w:r>
        <w:rPr>
          <w:color w:val="212121"/>
          <w:spacing w:val="-1"/>
          <w:w w:val="100"/>
          <w:sz w:val="21"/>
        </w:rPr>
        <w:t>ntra</w:t>
      </w:r>
      <w:r>
        <w:rPr>
          <w:color w:val="212121"/>
          <w:w w:val="100"/>
          <w:sz w:val="21"/>
        </w:rPr>
        <w:t>l</w:t>
      </w:r>
      <w:r>
        <w:rPr>
          <w:color w:val="212121"/>
          <w:sz w:val="21"/>
        </w:rPr>
        <w:t> </w:t>
      </w:r>
      <w:r>
        <w:rPr>
          <w:color w:val="212121"/>
          <w:spacing w:val="-22"/>
          <w:sz w:val="21"/>
        </w:rPr>
        <w:t> </w:t>
      </w:r>
      <w:r>
        <w:rPr>
          <w:color w:val="212121"/>
          <w:spacing w:val="-1"/>
          <w:w w:val="100"/>
          <w:sz w:val="21"/>
        </w:rPr>
        <w:t>M</w:t>
      </w:r>
      <w:r>
        <w:rPr>
          <w:color w:val="212121"/>
          <w:spacing w:val="-3"/>
          <w:w w:val="100"/>
          <w:sz w:val="21"/>
        </w:rPr>
        <w:t>e</w:t>
      </w:r>
      <w:r>
        <w:rPr>
          <w:color w:val="212121"/>
          <w:spacing w:val="-1"/>
          <w:w w:val="100"/>
          <w:sz w:val="21"/>
        </w:rPr>
        <w:t>hra</w:t>
      </w:r>
      <w:r>
        <w:rPr>
          <w:color w:val="212121"/>
          <w:w w:val="100"/>
          <w:sz w:val="21"/>
        </w:rPr>
        <w:t>b</w:t>
      </w:r>
      <w:r>
        <w:rPr>
          <w:color w:val="212121"/>
          <w:sz w:val="21"/>
        </w:rPr>
        <w:t> </w:t>
      </w:r>
      <w:r>
        <w:rPr>
          <w:color w:val="212121"/>
          <w:spacing w:val="-24"/>
          <w:sz w:val="21"/>
        </w:rPr>
        <w:t> </w:t>
      </w:r>
      <w:r>
        <w:rPr>
          <w:color w:val="212121"/>
          <w:spacing w:val="-1"/>
          <w:w w:val="100"/>
          <w:sz w:val="21"/>
        </w:rPr>
        <w:t>(</w:t>
      </w:r>
      <w:r>
        <w:rPr>
          <w:color w:val="212121"/>
          <w:w w:val="100"/>
          <w:sz w:val="21"/>
        </w:rPr>
        <w:t>A</w:t>
      </w:r>
      <w:r>
        <w:rPr>
          <w:color w:val="212121"/>
          <w:spacing w:val="-4"/>
          <w:w w:val="100"/>
          <w:sz w:val="21"/>
        </w:rPr>
        <w:t>r</w:t>
      </w:r>
      <w:r>
        <w:rPr>
          <w:color w:val="212121"/>
          <w:w w:val="100"/>
          <w:sz w:val="21"/>
        </w:rPr>
        <w:t>ch)</w:t>
      </w:r>
      <w:r>
        <w:rPr>
          <w:color w:val="212121"/>
          <w:sz w:val="21"/>
        </w:rPr>
        <w:t> </w:t>
      </w:r>
      <w:r>
        <w:rPr>
          <w:color w:val="212121"/>
          <w:spacing w:val="-22"/>
          <w:sz w:val="21"/>
        </w:rPr>
        <w:t> </w:t>
      </w:r>
      <w:r>
        <w:rPr>
          <w:color w:val="212121"/>
          <w:spacing w:val="-2"/>
          <w:w w:val="100"/>
          <w:sz w:val="21"/>
        </w:rPr>
        <w:t>i</w:t>
      </w:r>
      <w:r>
        <w:rPr>
          <w:color w:val="212121"/>
          <w:w w:val="100"/>
          <w:sz w:val="21"/>
        </w:rPr>
        <w:t>n</w:t>
      </w:r>
      <w:r>
        <w:rPr>
          <w:color w:val="212121"/>
          <w:sz w:val="21"/>
        </w:rPr>
        <w:t> </w:t>
      </w:r>
      <w:r>
        <w:rPr>
          <w:color w:val="212121"/>
          <w:spacing w:val="-21"/>
          <w:sz w:val="21"/>
        </w:rPr>
        <w:t> </w:t>
      </w:r>
      <w:r>
        <w:rPr>
          <w:color w:val="212121"/>
          <w:spacing w:val="-2"/>
          <w:w w:val="100"/>
          <w:sz w:val="21"/>
        </w:rPr>
        <w:t>t</w:t>
      </w:r>
      <w:r>
        <w:rPr>
          <w:color w:val="212121"/>
          <w:spacing w:val="-3"/>
          <w:w w:val="100"/>
          <w:sz w:val="21"/>
        </w:rPr>
        <w:t>h</w:t>
      </w:r>
      <w:r>
        <w:rPr>
          <w:color w:val="212121"/>
          <w:w w:val="100"/>
          <w:sz w:val="21"/>
        </w:rPr>
        <w:t>e </w:t>
      </w:r>
      <w:r>
        <w:rPr>
          <w:color w:val="212121"/>
          <w:sz w:val="21"/>
        </w:rPr>
        <w:t>western wall of the building in suit. </w:t>
      </w:r>
      <w:r>
        <w:rPr>
          <w:b/>
          <w:color w:val="212121"/>
          <w:sz w:val="21"/>
        </w:rPr>
        <w:t>On the top of the arch Caligraphic </w:t>
      </w:r>
      <w:r>
        <w:rPr>
          <w:b/>
          <w:color w:val="212121"/>
          <w:spacing w:val="-3"/>
          <w:sz w:val="21"/>
        </w:rPr>
        <w:t>Allah </w:t>
      </w:r>
      <w:r>
        <w:rPr>
          <w:b/>
          <w:color w:val="212121"/>
          <w:sz w:val="21"/>
        </w:rPr>
        <w:t>in Arabic character is inscribed in the wall and below it "Bimillah-hirrahman-irrahim" and still below it "Iailaha-illahah Moammadur Rasulullah" is inscribed</w:t>
      </w:r>
      <w:r>
        <w:rPr>
          <w:color w:val="212121"/>
          <w:sz w:val="21"/>
        </w:rPr>
        <w:t>.‖</w:t>
      </w:r>
    </w:p>
    <w:p>
      <w:pPr>
        <w:spacing w:line="240" w:lineRule="exact" w:before="0"/>
        <w:ind w:left="5798" w:right="0" w:firstLine="0"/>
        <w:jc w:val="both"/>
        <w:rPr>
          <w:sz w:val="21"/>
        </w:rPr>
      </w:pPr>
      <w:r>
        <w:rPr>
          <w:color w:val="212121"/>
          <w:sz w:val="21"/>
        </w:rPr>
        <w:t>(Emphasis supplied)</w:t>
      </w:r>
    </w:p>
    <w:p>
      <w:pPr>
        <w:pStyle w:val="BodyText"/>
        <w:rPr>
          <w:sz w:val="24"/>
        </w:rPr>
      </w:pPr>
    </w:p>
    <w:p>
      <w:pPr>
        <w:pStyle w:val="BodyText"/>
        <w:rPr>
          <w:sz w:val="24"/>
        </w:rPr>
      </w:pPr>
    </w:p>
    <w:p>
      <w:pPr>
        <w:pStyle w:val="BodyText"/>
        <w:tabs>
          <w:tab w:pos="2008" w:val="left" w:leader="none"/>
          <w:tab w:pos="2502" w:val="left" w:leader="none"/>
          <w:tab w:pos="3161" w:val="left" w:leader="none"/>
          <w:tab w:pos="3586" w:val="left" w:leader="none"/>
          <w:tab w:pos="4149" w:val="left" w:leader="none"/>
          <w:tab w:pos="5199" w:val="left" w:leader="none"/>
          <w:tab w:pos="5636" w:val="left" w:leader="none"/>
          <w:tab w:pos="6449" w:val="left" w:leader="none"/>
          <w:tab w:pos="6859" w:val="left" w:leader="none"/>
          <w:tab w:pos="7892" w:val="left" w:leader="none"/>
          <w:tab w:pos="8317" w:val="left" w:leader="none"/>
          <w:tab w:pos="9171" w:val="left" w:leader="none"/>
        </w:tabs>
        <w:spacing w:line="480" w:lineRule="auto" w:before="204"/>
        <w:ind w:left="500" w:right="445"/>
      </w:pPr>
      <w:r>
        <w:rPr/>
        <w:t>Photograph</w:t>
        <w:tab/>
        <w:t>10</w:t>
        <w:tab/>
        <w:t>was</w:t>
        <w:tab/>
        <w:t>of</w:t>
        <w:tab/>
        <w:t>the</w:t>
        <w:tab/>
        <w:t>mimber</w:t>
        <w:tab/>
        <w:t>or</w:t>
        <w:tab/>
        <w:t>pulpit</w:t>
        <w:tab/>
        <w:t>in</w:t>
        <w:tab/>
        <w:t>respect</w:t>
        <w:tab/>
        <w:t>of</w:t>
        <w:tab/>
        <w:t>which</w:t>
        <w:tab/>
      </w:r>
      <w:r>
        <w:rPr>
          <w:spacing w:val="-6"/>
        </w:rPr>
        <w:t>the </w:t>
      </w:r>
      <w:r>
        <w:rPr/>
        <w:t>Commissioner‘s report</w:t>
      </w:r>
      <w:r>
        <w:rPr>
          <w:spacing w:val="-2"/>
        </w:rPr>
        <w:t> </w:t>
      </w:r>
      <w:r>
        <w:rPr/>
        <w:t>states:</w:t>
      </w:r>
    </w:p>
    <w:p>
      <w:pPr>
        <w:spacing w:line="276" w:lineRule="auto" w:before="1"/>
        <w:ind w:left="1940" w:right="2261" w:firstLine="0"/>
        <w:jc w:val="both"/>
        <w:rPr>
          <w:sz w:val="21"/>
        </w:rPr>
      </w:pPr>
      <w:r>
        <w:rPr>
          <w:color w:val="212121"/>
          <w:spacing w:val="-1"/>
          <w:w w:val="33"/>
          <w:sz w:val="21"/>
        </w:rPr>
        <w:t>―</w:t>
      </w:r>
      <w:r>
        <w:rPr>
          <w:color w:val="212121"/>
          <w:spacing w:val="-1"/>
          <w:w w:val="100"/>
          <w:sz w:val="21"/>
        </w:rPr>
        <w:t>10</w:t>
      </w:r>
      <w:r>
        <w:rPr>
          <w:color w:val="212121"/>
          <w:w w:val="100"/>
          <w:sz w:val="21"/>
        </w:rPr>
        <w:t>.</w:t>
      </w:r>
      <w:r>
        <w:rPr>
          <w:color w:val="212121"/>
          <w:sz w:val="21"/>
        </w:rPr>
        <w:t> </w:t>
      </w:r>
      <w:r>
        <w:rPr>
          <w:color w:val="212121"/>
          <w:spacing w:val="-25"/>
          <w:sz w:val="21"/>
        </w:rPr>
        <w:t> </w:t>
      </w:r>
      <w:r>
        <w:rPr>
          <w:color w:val="212121"/>
          <w:w w:val="100"/>
          <w:sz w:val="21"/>
        </w:rPr>
        <w:t>N</w:t>
      </w:r>
      <w:r>
        <w:rPr>
          <w:color w:val="212121"/>
          <w:spacing w:val="-1"/>
          <w:w w:val="100"/>
          <w:sz w:val="21"/>
        </w:rPr>
        <w:t>o.</w:t>
      </w:r>
      <w:r>
        <w:rPr>
          <w:color w:val="212121"/>
          <w:spacing w:val="-3"/>
          <w:w w:val="100"/>
          <w:sz w:val="21"/>
        </w:rPr>
        <w:t>1</w:t>
      </w:r>
      <w:r>
        <w:rPr>
          <w:color w:val="212121"/>
          <w:w w:val="100"/>
          <w:sz w:val="21"/>
        </w:rPr>
        <w:t>0</w:t>
      </w:r>
      <w:r>
        <w:rPr>
          <w:color w:val="212121"/>
          <w:sz w:val="21"/>
        </w:rPr>
        <w:t> </w:t>
      </w:r>
      <w:r>
        <w:rPr>
          <w:color w:val="212121"/>
          <w:spacing w:val="-24"/>
          <w:sz w:val="21"/>
        </w:rPr>
        <w:t> </w:t>
      </w:r>
      <w:r>
        <w:rPr>
          <w:color w:val="212121"/>
          <w:w w:val="100"/>
          <w:sz w:val="21"/>
        </w:rPr>
        <w:t>in</w:t>
      </w:r>
      <w:r>
        <w:rPr>
          <w:color w:val="212121"/>
          <w:sz w:val="21"/>
        </w:rPr>
        <w:t> </w:t>
      </w:r>
      <w:r>
        <w:rPr>
          <w:color w:val="212121"/>
          <w:spacing w:val="-24"/>
          <w:sz w:val="21"/>
        </w:rPr>
        <w:t> </w:t>
      </w:r>
      <w:r>
        <w:rPr>
          <w:color w:val="212121"/>
          <w:spacing w:val="-2"/>
          <w:w w:val="100"/>
          <w:sz w:val="21"/>
        </w:rPr>
        <w:t>t</w:t>
      </w:r>
      <w:r>
        <w:rPr>
          <w:color w:val="212121"/>
          <w:spacing w:val="-3"/>
          <w:w w:val="100"/>
          <w:sz w:val="21"/>
        </w:rPr>
        <w:t>h</w:t>
      </w:r>
      <w:r>
        <w:rPr>
          <w:color w:val="212121"/>
          <w:w w:val="100"/>
          <w:sz w:val="21"/>
        </w:rPr>
        <w:t>e</w:t>
      </w:r>
      <w:r>
        <w:rPr>
          <w:color w:val="212121"/>
          <w:sz w:val="21"/>
        </w:rPr>
        <w:t> </w:t>
      </w:r>
      <w:r>
        <w:rPr>
          <w:color w:val="212121"/>
          <w:spacing w:val="-24"/>
          <w:sz w:val="21"/>
        </w:rPr>
        <w:t> </w:t>
      </w:r>
      <w:r>
        <w:rPr>
          <w:color w:val="212121"/>
          <w:w w:val="100"/>
          <w:sz w:val="21"/>
        </w:rPr>
        <w:t>P</w:t>
      </w:r>
      <w:r>
        <w:rPr>
          <w:color w:val="212121"/>
          <w:spacing w:val="-3"/>
          <w:w w:val="100"/>
          <w:sz w:val="21"/>
        </w:rPr>
        <w:t>h</w:t>
      </w:r>
      <w:r>
        <w:rPr>
          <w:color w:val="212121"/>
          <w:spacing w:val="-1"/>
          <w:w w:val="100"/>
          <w:sz w:val="21"/>
        </w:rPr>
        <w:t>ot</w:t>
      </w:r>
      <w:r>
        <w:rPr>
          <w:color w:val="212121"/>
          <w:w w:val="100"/>
          <w:sz w:val="21"/>
        </w:rPr>
        <w:t>o</w:t>
      </w:r>
      <w:r>
        <w:rPr>
          <w:color w:val="212121"/>
          <w:sz w:val="21"/>
        </w:rPr>
        <w:t> </w:t>
      </w:r>
      <w:r>
        <w:rPr>
          <w:color w:val="212121"/>
          <w:spacing w:val="-24"/>
          <w:sz w:val="21"/>
        </w:rPr>
        <w:t> </w:t>
      </w:r>
      <w:r>
        <w:rPr>
          <w:color w:val="212121"/>
          <w:spacing w:val="-2"/>
          <w:w w:val="100"/>
          <w:sz w:val="21"/>
        </w:rPr>
        <w:t>i</w:t>
      </w:r>
      <w:r>
        <w:rPr>
          <w:color w:val="212121"/>
          <w:w w:val="100"/>
          <w:sz w:val="21"/>
        </w:rPr>
        <w:t>f</w:t>
      </w:r>
      <w:r>
        <w:rPr>
          <w:color w:val="212121"/>
          <w:sz w:val="21"/>
        </w:rPr>
        <w:t> </w:t>
      </w:r>
      <w:r>
        <w:rPr>
          <w:color w:val="212121"/>
          <w:spacing w:val="-23"/>
          <w:sz w:val="21"/>
        </w:rPr>
        <w:t> </w:t>
      </w:r>
      <w:r>
        <w:rPr>
          <w:color w:val="212121"/>
          <w:spacing w:val="-2"/>
          <w:w w:val="100"/>
          <w:sz w:val="21"/>
        </w:rPr>
        <w:t>t</w:t>
      </w:r>
      <w:r>
        <w:rPr>
          <w:color w:val="212121"/>
          <w:spacing w:val="-1"/>
          <w:w w:val="100"/>
          <w:sz w:val="21"/>
        </w:rPr>
        <w:t>h</w:t>
      </w:r>
      <w:r>
        <w:rPr>
          <w:color w:val="212121"/>
          <w:w w:val="100"/>
          <w:sz w:val="21"/>
        </w:rPr>
        <w:t>e</w:t>
      </w:r>
      <w:r>
        <w:rPr>
          <w:color w:val="212121"/>
          <w:sz w:val="21"/>
        </w:rPr>
        <w:t> </w:t>
      </w:r>
      <w:r>
        <w:rPr>
          <w:color w:val="212121"/>
          <w:spacing w:val="-23"/>
          <w:sz w:val="21"/>
        </w:rPr>
        <w:t> </w:t>
      </w:r>
      <w:r>
        <w:rPr>
          <w:color w:val="212121"/>
          <w:spacing w:val="-1"/>
          <w:w w:val="100"/>
          <w:sz w:val="21"/>
        </w:rPr>
        <w:t>p</w:t>
      </w:r>
      <w:r>
        <w:rPr>
          <w:color w:val="212121"/>
          <w:spacing w:val="-3"/>
          <w:w w:val="100"/>
          <w:sz w:val="21"/>
        </w:rPr>
        <w:t>u</w:t>
      </w:r>
      <w:r>
        <w:rPr>
          <w:color w:val="212121"/>
          <w:w w:val="100"/>
          <w:sz w:val="21"/>
        </w:rPr>
        <w:t>l</w:t>
      </w:r>
      <w:r>
        <w:rPr>
          <w:color w:val="212121"/>
          <w:spacing w:val="-3"/>
          <w:w w:val="100"/>
          <w:sz w:val="21"/>
        </w:rPr>
        <w:t>p</w:t>
      </w:r>
      <w:r>
        <w:rPr>
          <w:color w:val="212121"/>
          <w:w w:val="100"/>
          <w:sz w:val="21"/>
        </w:rPr>
        <w:t>it</w:t>
      </w:r>
      <w:r>
        <w:rPr>
          <w:color w:val="212121"/>
          <w:sz w:val="21"/>
        </w:rPr>
        <w:t> </w:t>
      </w:r>
      <w:r>
        <w:rPr>
          <w:color w:val="212121"/>
          <w:spacing w:val="-25"/>
          <w:sz w:val="21"/>
        </w:rPr>
        <w:t> </w:t>
      </w:r>
      <w:r>
        <w:rPr>
          <w:color w:val="212121"/>
          <w:spacing w:val="-1"/>
          <w:w w:val="100"/>
          <w:sz w:val="21"/>
        </w:rPr>
        <w:t>(M</w:t>
      </w:r>
      <w:r>
        <w:rPr>
          <w:color w:val="212121"/>
          <w:spacing w:val="-2"/>
          <w:w w:val="100"/>
          <w:sz w:val="21"/>
        </w:rPr>
        <w:t>i</w:t>
      </w:r>
      <w:r>
        <w:rPr>
          <w:color w:val="212121"/>
          <w:spacing w:val="1"/>
          <w:w w:val="100"/>
          <w:sz w:val="21"/>
        </w:rPr>
        <w:t>m</w:t>
      </w:r>
      <w:r>
        <w:rPr>
          <w:color w:val="212121"/>
          <w:spacing w:val="-3"/>
          <w:w w:val="100"/>
          <w:sz w:val="21"/>
        </w:rPr>
        <w:t>b</w:t>
      </w:r>
      <w:r>
        <w:rPr>
          <w:color w:val="212121"/>
          <w:spacing w:val="-1"/>
          <w:w w:val="100"/>
          <w:sz w:val="21"/>
        </w:rPr>
        <w:t>e</w:t>
      </w:r>
      <w:r>
        <w:rPr>
          <w:color w:val="212121"/>
          <w:spacing w:val="4"/>
          <w:w w:val="100"/>
          <w:sz w:val="21"/>
        </w:rPr>
        <w:t>r</w:t>
      </w:r>
      <w:r>
        <w:rPr>
          <w:color w:val="212121"/>
          <w:w w:val="100"/>
          <w:sz w:val="21"/>
        </w:rPr>
        <w:t>)</w:t>
      </w:r>
      <w:r>
        <w:rPr>
          <w:color w:val="212121"/>
          <w:sz w:val="21"/>
        </w:rPr>
        <w:t> </w:t>
      </w:r>
      <w:r>
        <w:rPr>
          <w:color w:val="212121"/>
          <w:spacing w:val="-24"/>
          <w:sz w:val="21"/>
        </w:rPr>
        <w:t> </w:t>
      </w:r>
      <w:r>
        <w:rPr>
          <w:color w:val="212121"/>
          <w:w w:val="100"/>
          <w:sz w:val="21"/>
        </w:rPr>
        <w:t>on</w:t>
      </w:r>
      <w:r>
        <w:rPr>
          <w:color w:val="212121"/>
          <w:sz w:val="21"/>
        </w:rPr>
        <w:t> </w:t>
      </w:r>
      <w:r>
        <w:rPr>
          <w:color w:val="212121"/>
          <w:spacing w:val="-26"/>
          <w:sz w:val="21"/>
        </w:rPr>
        <w:t> </w:t>
      </w:r>
      <w:r>
        <w:rPr>
          <w:color w:val="212121"/>
          <w:spacing w:val="-2"/>
          <w:w w:val="100"/>
          <w:sz w:val="21"/>
        </w:rPr>
        <w:t>w</w:t>
      </w:r>
      <w:r>
        <w:rPr>
          <w:color w:val="212121"/>
          <w:w w:val="100"/>
          <w:sz w:val="21"/>
        </w:rPr>
        <w:t>h</w:t>
      </w:r>
      <w:r>
        <w:rPr>
          <w:color w:val="212121"/>
          <w:spacing w:val="1"/>
          <w:w w:val="100"/>
          <w:sz w:val="21"/>
        </w:rPr>
        <w:t>i</w:t>
      </w:r>
      <w:r>
        <w:rPr>
          <w:color w:val="212121"/>
          <w:w w:val="100"/>
          <w:sz w:val="21"/>
        </w:rPr>
        <w:t>ch</w:t>
      </w:r>
      <w:r>
        <w:rPr>
          <w:color w:val="212121"/>
          <w:sz w:val="21"/>
        </w:rPr>
        <w:t> </w:t>
      </w:r>
      <w:r>
        <w:rPr>
          <w:color w:val="212121"/>
          <w:spacing w:val="-24"/>
          <w:sz w:val="21"/>
        </w:rPr>
        <w:t> </w:t>
      </w:r>
      <w:r>
        <w:rPr>
          <w:color w:val="212121"/>
          <w:spacing w:val="-2"/>
          <w:w w:val="100"/>
          <w:sz w:val="21"/>
        </w:rPr>
        <w:t>t</w:t>
      </w:r>
      <w:r>
        <w:rPr>
          <w:color w:val="212121"/>
          <w:spacing w:val="-3"/>
          <w:w w:val="100"/>
          <w:sz w:val="21"/>
        </w:rPr>
        <w:t>h</w:t>
      </w:r>
      <w:r>
        <w:rPr>
          <w:color w:val="212121"/>
          <w:w w:val="100"/>
          <w:sz w:val="21"/>
        </w:rPr>
        <w:t>e </w:t>
      </w:r>
      <w:r>
        <w:rPr>
          <w:color w:val="212121"/>
          <w:sz w:val="21"/>
        </w:rPr>
        <w:t>idols are placed. </w:t>
      </w:r>
      <w:r>
        <w:rPr>
          <w:b/>
          <w:color w:val="212121"/>
          <w:sz w:val="21"/>
        </w:rPr>
        <w:t>On the left side of the mimber there is a Persian inscription which is blurred in the</w:t>
      </w:r>
      <w:r>
        <w:rPr>
          <w:b/>
          <w:color w:val="212121"/>
          <w:spacing w:val="-14"/>
          <w:sz w:val="21"/>
        </w:rPr>
        <w:t> </w:t>
      </w:r>
      <w:r>
        <w:rPr>
          <w:b/>
          <w:color w:val="212121"/>
          <w:sz w:val="21"/>
        </w:rPr>
        <w:t>Photo</w:t>
      </w:r>
      <w:r>
        <w:rPr>
          <w:color w:val="212121"/>
          <w:sz w:val="21"/>
        </w:rPr>
        <w:t>.‖</w:t>
      </w:r>
    </w:p>
    <w:p>
      <w:pPr>
        <w:spacing w:line="241" w:lineRule="exact" w:before="0"/>
        <w:ind w:left="5889" w:right="0" w:firstLine="0"/>
        <w:jc w:val="both"/>
        <w:rPr>
          <w:sz w:val="21"/>
        </w:rPr>
      </w:pPr>
      <w:r>
        <w:rPr>
          <w:color w:val="212121"/>
          <w:sz w:val="21"/>
        </w:rPr>
        <w:t>(Emphasis supplied)</w:t>
      </w:r>
    </w:p>
    <w:p>
      <w:pPr>
        <w:spacing w:after="0" w:line="241" w:lineRule="exact"/>
        <w:jc w:val="both"/>
        <w:rPr>
          <w:sz w:val="21"/>
        </w:rPr>
        <w:sectPr>
          <w:pgSz w:w="11910" w:h="16840"/>
          <w:pgMar w:header="721" w:footer="1014" w:top="1300" w:bottom="1200" w:left="940" w:right="1000"/>
        </w:sectPr>
      </w:pPr>
    </w:p>
    <w:p>
      <w:pPr>
        <w:pStyle w:val="BodyText"/>
        <w:spacing w:line="480" w:lineRule="auto" w:before="124"/>
        <w:ind w:left="500" w:right="512"/>
      </w:pPr>
      <w:r>
        <w:rPr/>
        <w:t>Finally, in respect of the photograph nos 11 and 12, Commissioner‘s report contains the following observations:</w:t>
      </w:r>
    </w:p>
    <w:p>
      <w:pPr>
        <w:spacing w:line="276" w:lineRule="auto" w:before="0"/>
        <w:ind w:left="1940" w:right="2263" w:firstLine="0"/>
        <w:jc w:val="both"/>
        <w:rPr>
          <w:b/>
          <w:sz w:val="21"/>
        </w:rPr>
      </w:pPr>
      <w:r>
        <w:rPr>
          <w:color w:val="212121"/>
          <w:w w:val="33"/>
          <w:sz w:val="21"/>
        </w:rPr>
        <w:t>―</w:t>
      </w:r>
      <w:r>
        <w:rPr>
          <w:color w:val="212121"/>
          <w:w w:val="100"/>
          <w:sz w:val="21"/>
        </w:rPr>
        <w:t>11.</w:t>
      </w:r>
      <w:r>
        <w:rPr>
          <w:color w:val="212121"/>
          <w:sz w:val="21"/>
        </w:rPr>
        <w:t> </w:t>
      </w:r>
      <w:r>
        <w:rPr>
          <w:color w:val="212121"/>
          <w:w w:val="100"/>
          <w:sz w:val="21"/>
        </w:rPr>
        <w:t>No.11</w:t>
      </w:r>
      <w:r>
        <w:rPr>
          <w:color w:val="212121"/>
          <w:sz w:val="21"/>
        </w:rPr>
        <w:t> </w:t>
      </w:r>
      <w:r>
        <w:rPr>
          <w:color w:val="212121"/>
          <w:w w:val="100"/>
          <w:sz w:val="21"/>
        </w:rPr>
        <w:t>is</w:t>
      </w:r>
      <w:r>
        <w:rPr>
          <w:color w:val="212121"/>
          <w:sz w:val="21"/>
        </w:rPr>
        <w:t> </w:t>
      </w:r>
      <w:r>
        <w:rPr>
          <w:color w:val="212121"/>
          <w:w w:val="100"/>
          <w:sz w:val="21"/>
        </w:rPr>
        <w:t>the</w:t>
      </w:r>
      <w:r>
        <w:rPr>
          <w:color w:val="212121"/>
          <w:sz w:val="21"/>
        </w:rPr>
        <w:t> </w:t>
      </w:r>
      <w:r>
        <w:rPr>
          <w:b/>
          <w:color w:val="212121"/>
          <w:w w:val="100"/>
          <w:sz w:val="21"/>
        </w:rPr>
        <w:t>Photo</w:t>
      </w:r>
      <w:r>
        <w:rPr>
          <w:b/>
          <w:color w:val="212121"/>
          <w:sz w:val="21"/>
        </w:rPr>
        <w:t> </w:t>
      </w:r>
      <w:r>
        <w:rPr>
          <w:b/>
          <w:color w:val="212121"/>
          <w:w w:val="100"/>
          <w:sz w:val="21"/>
        </w:rPr>
        <w:t>of</w:t>
      </w:r>
      <w:r>
        <w:rPr>
          <w:b/>
          <w:color w:val="212121"/>
          <w:sz w:val="21"/>
        </w:rPr>
        <w:t> </w:t>
      </w:r>
      <w:r>
        <w:rPr>
          <w:b/>
          <w:color w:val="212121"/>
          <w:w w:val="100"/>
          <w:sz w:val="21"/>
        </w:rPr>
        <w:t>t</w:t>
      </w:r>
      <w:r>
        <w:rPr>
          <w:b/>
          <w:color w:val="212121"/>
          <w:w w:val="100"/>
          <w:sz w:val="21"/>
        </w:rPr>
        <w:t>he</w:t>
      </w:r>
      <w:r>
        <w:rPr>
          <w:b/>
          <w:color w:val="212121"/>
          <w:sz w:val="21"/>
        </w:rPr>
        <w:t> </w:t>
      </w:r>
      <w:r>
        <w:rPr>
          <w:b/>
          <w:color w:val="212121"/>
          <w:w w:val="100"/>
          <w:sz w:val="21"/>
        </w:rPr>
        <w:t>inn</w:t>
      </w:r>
      <w:r>
        <w:rPr>
          <w:b/>
          <w:color w:val="212121"/>
          <w:w w:val="100"/>
          <w:sz w:val="21"/>
        </w:rPr>
        <w:t>er</w:t>
      </w:r>
      <w:r>
        <w:rPr>
          <w:b/>
          <w:color w:val="212121"/>
          <w:sz w:val="21"/>
        </w:rPr>
        <w:t> </w:t>
      </w:r>
      <w:r>
        <w:rPr>
          <w:b/>
          <w:color w:val="212121"/>
          <w:w w:val="100"/>
          <w:sz w:val="21"/>
        </w:rPr>
        <w:t>N</w:t>
      </w:r>
      <w:r>
        <w:rPr>
          <w:b/>
          <w:color w:val="212121"/>
          <w:w w:val="100"/>
          <w:sz w:val="21"/>
        </w:rPr>
        <w:t>orthe</w:t>
      </w:r>
      <w:r>
        <w:rPr>
          <w:b/>
          <w:color w:val="212121"/>
          <w:w w:val="100"/>
          <w:sz w:val="21"/>
        </w:rPr>
        <w:t>r</w:t>
      </w:r>
      <w:r>
        <w:rPr>
          <w:b/>
          <w:color w:val="212121"/>
          <w:w w:val="100"/>
          <w:sz w:val="21"/>
        </w:rPr>
        <w:t>n</w:t>
      </w:r>
      <w:r>
        <w:rPr>
          <w:b/>
          <w:color w:val="212121"/>
          <w:sz w:val="21"/>
        </w:rPr>
        <w:t> </w:t>
      </w:r>
      <w:r>
        <w:rPr>
          <w:b/>
          <w:color w:val="212121"/>
          <w:w w:val="100"/>
          <w:sz w:val="21"/>
        </w:rPr>
        <w:t>Arch</w:t>
      </w:r>
      <w:r>
        <w:rPr>
          <w:b/>
          <w:color w:val="212121"/>
          <w:sz w:val="21"/>
        </w:rPr>
        <w:t> </w:t>
      </w:r>
      <w:r>
        <w:rPr>
          <w:b/>
          <w:color w:val="212121"/>
          <w:w w:val="100"/>
          <w:sz w:val="21"/>
        </w:rPr>
        <w:t>in</w:t>
      </w:r>
      <w:r>
        <w:rPr>
          <w:b/>
          <w:color w:val="212121"/>
          <w:sz w:val="21"/>
        </w:rPr>
        <w:t> </w:t>
      </w:r>
      <w:r>
        <w:rPr>
          <w:b/>
          <w:color w:val="212121"/>
          <w:w w:val="100"/>
          <w:sz w:val="21"/>
        </w:rPr>
        <w:t>th</w:t>
      </w:r>
      <w:r>
        <w:rPr>
          <w:b/>
          <w:color w:val="212121"/>
          <w:w w:val="100"/>
          <w:sz w:val="21"/>
        </w:rPr>
        <w:t>e </w:t>
      </w:r>
      <w:r>
        <w:rPr>
          <w:b/>
          <w:color w:val="212121"/>
          <w:sz w:val="21"/>
        </w:rPr>
        <w:t>West wall towards the North of No.10. The calligraphic Allah in the Arabic character is inscribed in the wall.</w:t>
      </w:r>
    </w:p>
    <w:p>
      <w:pPr>
        <w:spacing w:line="276" w:lineRule="auto" w:before="0"/>
        <w:ind w:left="1940" w:right="2263" w:firstLine="0"/>
        <w:jc w:val="both"/>
        <w:rPr>
          <w:sz w:val="21"/>
        </w:rPr>
      </w:pPr>
      <w:r>
        <w:rPr>
          <w:color w:val="212121"/>
          <w:sz w:val="21"/>
        </w:rPr>
        <w:t>12. No. 12 is Photo of the </w:t>
      </w:r>
      <w:r>
        <w:rPr>
          <w:b/>
          <w:color w:val="212121"/>
          <w:sz w:val="21"/>
        </w:rPr>
        <w:t>Southern Arch in the Western wall from inside the building with similar Arabic inscription of Allah </w:t>
      </w:r>
      <w:r>
        <w:rPr>
          <w:color w:val="212121"/>
          <w:sz w:val="21"/>
        </w:rPr>
        <w:t>as in No.11.‖</w:t>
      </w:r>
    </w:p>
    <w:p>
      <w:pPr>
        <w:spacing w:line="240" w:lineRule="exact" w:before="0"/>
        <w:ind w:left="5349" w:right="0" w:firstLine="0"/>
        <w:jc w:val="left"/>
        <w:rPr>
          <w:sz w:val="21"/>
        </w:rPr>
      </w:pPr>
      <w:r>
        <w:rPr>
          <w:color w:val="212121"/>
          <w:sz w:val="21"/>
        </w:rPr>
        <w:t>(Emphasis supplied)</w:t>
      </w:r>
    </w:p>
    <w:p>
      <w:pPr>
        <w:pStyle w:val="BodyText"/>
        <w:rPr>
          <w:sz w:val="24"/>
        </w:rPr>
      </w:pPr>
    </w:p>
    <w:p>
      <w:pPr>
        <w:pStyle w:val="BodyText"/>
        <w:spacing w:before="3"/>
        <w:rPr>
          <w:sz w:val="21"/>
        </w:rPr>
      </w:pPr>
    </w:p>
    <w:p>
      <w:pPr>
        <w:pStyle w:val="BodyText"/>
        <w:spacing w:line="480" w:lineRule="auto"/>
        <w:ind w:left="500" w:right="441"/>
        <w:jc w:val="both"/>
      </w:pPr>
      <w:r>
        <w:rPr/>
        <w:t>Photo 13 contained a depiction of the Vazoo or place of ablution. In the photographs which have been annexed to the report of the Commissioner dated</w:t>
      </w:r>
    </w:p>
    <w:p>
      <w:pPr>
        <w:pStyle w:val="BodyText"/>
        <w:spacing w:line="480" w:lineRule="auto"/>
        <w:ind w:left="500" w:right="436"/>
        <w:jc w:val="both"/>
      </w:pPr>
      <w:r>
        <w:rPr/>
        <w:t>3 August 1950, the inscription of Allah appears, as stated above, in several places. Among them, in photograph 10, the inscription is not visible upon the  idols being placed at the pulpit. The Commissioner has also noted that there is a Persian inscription which is blurred in the photographs. Similarly, the Commissioner also noted that the inscription in photograph 1 was not visible since it had been covered by the photograph of a Hindu idol. The Commissioner found that the inscription in photograph 8 was blurred but could be read at the spot. Be that as it may, during the course of the hearing, we have noticed with the assistance</w:t>
      </w:r>
      <w:r>
        <w:rPr>
          <w:spacing w:val="-5"/>
        </w:rPr>
        <w:t> </w:t>
      </w:r>
      <w:r>
        <w:rPr/>
        <w:t>of</w:t>
      </w:r>
      <w:r>
        <w:rPr>
          <w:spacing w:val="-4"/>
        </w:rPr>
        <w:t> </w:t>
      </w:r>
      <w:r>
        <w:rPr/>
        <w:t>the</w:t>
      </w:r>
      <w:r>
        <w:rPr>
          <w:spacing w:val="-4"/>
        </w:rPr>
        <w:t> </w:t>
      </w:r>
      <w:r>
        <w:rPr/>
        <w:t>learned</w:t>
      </w:r>
      <w:r>
        <w:rPr>
          <w:spacing w:val="-4"/>
        </w:rPr>
        <w:t> </w:t>
      </w:r>
      <w:r>
        <w:rPr/>
        <w:t>Counsel</w:t>
      </w:r>
      <w:r>
        <w:rPr>
          <w:spacing w:val="-5"/>
        </w:rPr>
        <w:t> </w:t>
      </w:r>
      <w:r>
        <w:rPr/>
        <w:t>the</w:t>
      </w:r>
      <w:r>
        <w:rPr>
          <w:spacing w:val="-4"/>
        </w:rPr>
        <w:t> </w:t>
      </w:r>
      <w:r>
        <w:rPr/>
        <w:t>inscription</w:t>
      </w:r>
      <w:r>
        <w:rPr>
          <w:spacing w:val="-4"/>
        </w:rPr>
        <w:t> </w:t>
      </w:r>
      <w:r>
        <w:rPr/>
        <w:t>of</w:t>
      </w:r>
      <w:r>
        <w:rPr>
          <w:spacing w:val="-4"/>
        </w:rPr>
        <w:t> </w:t>
      </w:r>
      <w:r>
        <w:rPr/>
        <w:t>‗Allah‘</w:t>
      </w:r>
      <w:r>
        <w:rPr>
          <w:spacing w:val="-5"/>
        </w:rPr>
        <w:t> </w:t>
      </w:r>
      <w:r>
        <w:rPr/>
        <w:t>in</w:t>
      </w:r>
      <w:r>
        <w:rPr>
          <w:spacing w:val="-5"/>
        </w:rPr>
        <w:t> </w:t>
      </w:r>
      <w:r>
        <w:rPr/>
        <w:t>photograph</w:t>
      </w:r>
      <w:r>
        <w:rPr>
          <w:spacing w:val="-4"/>
        </w:rPr>
        <w:t> </w:t>
      </w:r>
      <w:r>
        <w:rPr/>
        <w:t>9</w:t>
      </w:r>
      <w:r>
        <w:rPr>
          <w:spacing w:val="-4"/>
        </w:rPr>
        <w:t> </w:t>
      </w:r>
      <w:r>
        <w:rPr/>
        <w:t>and</w:t>
      </w:r>
      <w:r>
        <w:rPr>
          <w:spacing w:val="-4"/>
        </w:rPr>
        <w:t> </w:t>
      </w:r>
      <w:r>
        <w:rPr/>
        <w:t>in photographs 11 and</w:t>
      </w:r>
      <w:r>
        <w:rPr>
          <w:spacing w:val="-3"/>
        </w:rPr>
        <w:t> </w:t>
      </w:r>
      <w:r>
        <w:rPr/>
        <w:t>12.</w:t>
      </w:r>
    </w:p>
    <w:p>
      <w:pPr>
        <w:pStyle w:val="BodyText"/>
        <w:spacing w:before="2"/>
      </w:pPr>
    </w:p>
    <w:p>
      <w:pPr>
        <w:pStyle w:val="ListParagraph"/>
        <w:numPr>
          <w:ilvl w:val="0"/>
          <w:numId w:val="166"/>
        </w:numPr>
        <w:tabs>
          <w:tab w:pos="1221" w:val="left" w:leader="none"/>
        </w:tabs>
        <w:spacing w:line="480" w:lineRule="auto" w:before="0" w:after="0"/>
        <w:ind w:left="500" w:right="443" w:firstLine="0"/>
        <w:jc w:val="both"/>
        <w:rPr>
          <w:sz w:val="25"/>
        </w:rPr>
      </w:pPr>
      <w:r>
        <w:rPr>
          <w:sz w:val="25"/>
        </w:rPr>
        <w:t>Turning to the albums of coloured and black and white photographs, there is in photograph 40 of the coloured album, an emblem of two lions flanking the </w:t>
      </w:r>
      <w:r>
        <w:rPr>
          <w:i/>
          <w:sz w:val="25"/>
        </w:rPr>
        <w:t>garuda </w:t>
      </w:r>
      <w:r>
        <w:rPr>
          <w:sz w:val="25"/>
        </w:rPr>
        <w:t>on either side above the entry door. The album of coloured photographs contains, among other things, depictions of the black Kasauti stone pillars. Justice Sudhir Agarwal has recorded a reference to them as well as to the album of black and white photographs in the following</w:t>
      </w:r>
      <w:r>
        <w:rPr>
          <w:spacing w:val="-7"/>
          <w:sz w:val="25"/>
        </w:rPr>
        <w:t> </w:t>
      </w:r>
      <w:r>
        <w:rPr>
          <w:sz w:val="25"/>
        </w:rPr>
        <w:t>extract:</w:t>
      </w:r>
    </w:p>
    <w:p>
      <w:pPr>
        <w:spacing w:after="0" w:line="480" w:lineRule="auto"/>
        <w:jc w:val="both"/>
        <w:rPr>
          <w:sz w:val="25"/>
        </w:rPr>
        <w:sectPr>
          <w:pgSz w:w="11910" w:h="16840"/>
          <w:pgMar w:header="721" w:footer="1014" w:top="1300" w:bottom="1200" w:left="940" w:right="1000"/>
        </w:sectPr>
      </w:pPr>
    </w:p>
    <w:p>
      <w:pPr>
        <w:spacing w:line="276" w:lineRule="auto" w:before="122"/>
        <w:ind w:left="1940" w:right="2260" w:firstLine="0"/>
        <w:jc w:val="both"/>
        <w:rPr>
          <w:sz w:val="21"/>
        </w:rPr>
      </w:pPr>
      <w:r>
        <w:rPr>
          <w:spacing w:val="-1"/>
          <w:w w:val="33"/>
          <w:sz w:val="21"/>
        </w:rPr>
        <w:t>―</w:t>
      </w:r>
      <w:r>
        <w:rPr>
          <w:spacing w:val="-1"/>
          <w:w w:val="100"/>
          <w:sz w:val="21"/>
        </w:rPr>
        <w:t>343</w:t>
      </w:r>
      <w:r>
        <w:rPr>
          <w:w w:val="100"/>
          <w:sz w:val="21"/>
        </w:rPr>
        <w:t>5.</w:t>
      </w:r>
      <w:r>
        <w:rPr>
          <w:sz w:val="21"/>
        </w:rPr>
        <w:t>  </w:t>
      </w:r>
      <w:r>
        <w:rPr>
          <w:spacing w:val="-4"/>
          <w:sz w:val="21"/>
        </w:rPr>
        <w:t> </w:t>
      </w:r>
      <w:r>
        <w:rPr>
          <w:spacing w:val="-2"/>
          <w:w w:val="100"/>
          <w:sz w:val="21"/>
        </w:rPr>
        <w:t>T</w:t>
      </w:r>
      <w:r>
        <w:rPr>
          <w:spacing w:val="-1"/>
          <w:w w:val="100"/>
          <w:sz w:val="21"/>
        </w:rPr>
        <w:t>her</w:t>
      </w:r>
      <w:r>
        <w:rPr>
          <w:w w:val="100"/>
          <w:sz w:val="21"/>
        </w:rPr>
        <w:t>e</w:t>
      </w:r>
      <w:r>
        <w:rPr>
          <w:sz w:val="21"/>
        </w:rPr>
        <w:t>  </w:t>
      </w:r>
      <w:r>
        <w:rPr>
          <w:spacing w:val="-6"/>
          <w:sz w:val="21"/>
        </w:rPr>
        <w:t> </w:t>
      </w:r>
      <w:r>
        <w:rPr>
          <w:spacing w:val="-1"/>
          <w:w w:val="100"/>
          <w:sz w:val="21"/>
        </w:rPr>
        <w:t>ar</w:t>
      </w:r>
      <w:r>
        <w:rPr>
          <w:w w:val="100"/>
          <w:sz w:val="21"/>
        </w:rPr>
        <w:t>e</w:t>
      </w:r>
      <w:r>
        <w:rPr>
          <w:sz w:val="21"/>
        </w:rPr>
        <w:t>  </w:t>
      </w:r>
      <w:r>
        <w:rPr>
          <w:spacing w:val="-3"/>
          <w:sz w:val="21"/>
        </w:rPr>
        <w:t> </w:t>
      </w:r>
      <w:r>
        <w:rPr>
          <w:spacing w:val="-2"/>
          <w:w w:val="100"/>
          <w:sz w:val="21"/>
        </w:rPr>
        <w:t>t</w:t>
      </w:r>
      <w:r>
        <w:rPr>
          <w:spacing w:val="-1"/>
          <w:w w:val="100"/>
          <w:sz w:val="21"/>
        </w:rPr>
        <w:t>hre</w:t>
      </w:r>
      <w:r>
        <w:rPr>
          <w:w w:val="100"/>
          <w:sz w:val="21"/>
        </w:rPr>
        <w:t>e</w:t>
      </w:r>
      <w:r>
        <w:rPr>
          <w:sz w:val="21"/>
        </w:rPr>
        <w:t>  </w:t>
      </w:r>
      <w:r>
        <w:rPr>
          <w:spacing w:val="-6"/>
          <w:sz w:val="21"/>
        </w:rPr>
        <w:t> </w:t>
      </w:r>
      <w:r>
        <w:rPr>
          <w:w w:val="100"/>
          <w:sz w:val="21"/>
        </w:rPr>
        <w:t>se</w:t>
      </w:r>
      <w:r>
        <w:rPr>
          <w:spacing w:val="-1"/>
          <w:w w:val="100"/>
          <w:sz w:val="21"/>
        </w:rPr>
        <w:t>t</w:t>
      </w:r>
      <w:r>
        <w:rPr>
          <w:w w:val="100"/>
          <w:sz w:val="21"/>
        </w:rPr>
        <w:t>s</w:t>
      </w:r>
      <w:r>
        <w:rPr>
          <w:sz w:val="21"/>
        </w:rPr>
        <w:t>  </w:t>
      </w:r>
      <w:r>
        <w:rPr>
          <w:spacing w:val="-3"/>
          <w:sz w:val="21"/>
        </w:rPr>
        <w:t> </w:t>
      </w:r>
      <w:r>
        <w:rPr>
          <w:spacing w:val="-3"/>
          <w:w w:val="100"/>
          <w:sz w:val="21"/>
        </w:rPr>
        <w:t>o</w:t>
      </w:r>
      <w:r>
        <w:rPr>
          <w:w w:val="100"/>
          <w:sz w:val="21"/>
        </w:rPr>
        <w:t>f</w:t>
      </w:r>
      <w:r>
        <w:rPr>
          <w:sz w:val="21"/>
        </w:rPr>
        <w:t>  </w:t>
      </w:r>
      <w:r>
        <w:rPr>
          <w:spacing w:val="-2"/>
          <w:sz w:val="21"/>
        </w:rPr>
        <w:t> </w:t>
      </w:r>
      <w:r>
        <w:rPr>
          <w:spacing w:val="-1"/>
          <w:w w:val="100"/>
          <w:sz w:val="21"/>
        </w:rPr>
        <w:t>a</w:t>
      </w:r>
      <w:r>
        <w:rPr>
          <w:spacing w:val="-2"/>
          <w:w w:val="100"/>
          <w:sz w:val="21"/>
        </w:rPr>
        <w:t>l</w:t>
      </w:r>
      <w:r>
        <w:rPr>
          <w:spacing w:val="-1"/>
          <w:w w:val="100"/>
          <w:sz w:val="21"/>
        </w:rPr>
        <w:t>b</w:t>
      </w:r>
      <w:r>
        <w:rPr>
          <w:spacing w:val="-3"/>
          <w:w w:val="100"/>
          <w:sz w:val="21"/>
        </w:rPr>
        <w:t>u</w:t>
      </w:r>
      <w:r>
        <w:rPr>
          <w:spacing w:val="1"/>
          <w:w w:val="100"/>
          <w:sz w:val="21"/>
        </w:rPr>
        <w:t>m</w:t>
      </w:r>
      <w:r>
        <w:rPr>
          <w:w w:val="100"/>
          <w:sz w:val="21"/>
        </w:rPr>
        <w:t>s</w:t>
      </w:r>
      <w:r>
        <w:rPr>
          <w:sz w:val="21"/>
        </w:rPr>
        <w:t>  </w:t>
      </w:r>
      <w:r>
        <w:rPr>
          <w:spacing w:val="-3"/>
          <w:sz w:val="21"/>
        </w:rPr>
        <w:t> </w:t>
      </w:r>
      <w:r>
        <w:rPr>
          <w:spacing w:val="-4"/>
          <w:w w:val="100"/>
          <w:sz w:val="21"/>
        </w:rPr>
        <w:t>w</w:t>
      </w:r>
      <w:r>
        <w:rPr>
          <w:spacing w:val="-1"/>
          <w:w w:val="100"/>
          <w:sz w:val="21"/>
        </w:rPr>
        <w:t>h</w:t>
      </w:r>
      <w:r>
        <w:rPr>
          <w:spacing w:val="1"/>
          <w:w w:val="100"/>
          <w:sz w:val="21"/>
        </w:rPr>
        <w:t>i</w:t>
      </w:r>
      <w:r>
        <w:rPr>
          <w:spacing w:val="-3"/>
          <w:w w:val="100"/>
          <w:sz w:val="21"/>
        </w:rPr>
        <w:t>c</w:t>
      </w:r>
      <w:r>
        <w:rPr>
          <w:w w:val="100"/>
          <w:sz w:val="21"/>
        </w:rPr>
        <w:t>h</w:t>
      </w:r>
      <w:r>
        <w:rPr>
          <w:sz w:val="21"/>
        </w:rPr>
        <w:t>  </w:t>
      </w:r>
      <w:r>
        <w:rPr>
          <w:spacing w:val="-3"/>
          <w:sz w:val="21"/>
        </w:rPr>
        <w:t> </w:t>
      </w:r>
      <w:r>
        <w:rPr>
          <w:w w:val="100"/>
          <w:sz w:val="21"/>
        </w:rPr>
        <w:t>con</w:t>
      </w:r>
      <w:r>
        <w:rPr>
          <w:spacing w:val="-1"/>
          <w:w w:val="100"/>
          <w:sz w:val="21"/>
        </w:rPr>
        <w:t>t</w:t>
      </w:r>
      <w:r>
        <w:rPr>
          <w:spacing w:val="-3"/>
          <w:w w:val="100"/>
          <w:sz w:val="21"/>
        </w:rPr>
        <w:t>a</w:t>
      </w:r>
      <w:r>
        <w:rPr>
          <w:spacing w:val="-2"/>
          <w:w w:val="100"/>
          <w:sz w:val="21"/>
        </w:rPr>
        <w:t>i</w:t>
      </w:r>
      <w:r>
        <w:rPr>
          <w:w w:val="100"/>
          <w:sz w:val="21"/>
        </w:rPr>
        <w:t>n </w:t>
      </w:r>
      <w:r>
        <w:rPr>
          <w:sz w:val="21"/>
        </w:rPr>
        <w:t>photographs taken by the State Archaeological Department pursuant to order dated 10.01.1990 passed by this Court. Dr. Rakesh Tiwari, OPW-14 was Director of State Archaeological Department who deposed statement as </w:t>
      </w:r>
      <w:r>
        <w:rPr>
          <w:spacing w:val="-3"/>
          <w:sz w:val="21"/>
        </w:rPr>
        <w:t>OPW </w:t>
      </w:r>
      <w:r>
        <w:rPr>
          <w:sz w:val="21"/>
        </w:rPr>
        <w:t>14 and verified all these photographs. One album which the learned counsel for the parties have termed as "Album of Coloured Photographs" contain 204 photographs and has been marked as Paper No.200 C1/1-204. The second one contains 111 photographs which are black &amp; white and the parties counsels have commonly call it "The Album of Black &amp; White Photographs" and it is Paper No.201 C1/1-111. The relevant photographs of these pillars in the coloured album are Paper No.200 C1/48, 200 C1/50, 200 C1/51, 200 C1/52, 200</w:t>
      </w:r>
      <w:r>
        <w:rPr>
          <w:spacing w:val="49"/>
          <w:sz w:val="21"/>
        </w:rPr>
        <w:t> </w:t>
      </w:r>
      <w:r>
        <w:rPr>
          <w:sz w:val="21"/>
        </w:rPr>
        <w:t>C1/54,</w:t>
      </w:r>
    </w:p>
    <w:p>
      <w:pPr>
        <w:spacing w:before="1"/>
        <w:ind w:left="0" w:right="323" w:firstLine="0"/>
        <w:jc w:val="center"/>
        <w:rPr>
          <w:sz w:val="21"/>
        </w:rPr>
      </w:pPr>
      <w:r>
        <w:rPr>
          <w:sz w:val="21"/>
        </w:rPr>
        <w:t>200 </w:t>
      </w:r>
      <w:r>
        <w:rPr>
          <w:spacing w:val="29"/>
          <w:sz w:val="21"/>
        </w:rPr>
        <w:t> </w:t>
      </w:r>
      <w:r>
        <w:rPr>
          <w:sz w:val="21"/>
        </w:rPr>
        <w:t>C1/87, </w:t>
      </w:r>
      <w:r>
        <w:rPr>
          <w:spacing w:val="31"/>
          <w:sz w:val="21"/>
        </w:rPr>
        <w:t> </w:t>
      </w:r>
      <w:r>
        <w:rPr>
          <w:sz w:val="21"/>
        </w:rPr>
        <w:t>200 </w:t>
      </w:r>
      <w:r>
        <w:rPr>
          <w:spacing w:val="29"/>
          <w:sz w:val="21"/>
        </w:rPr>
        <w:t> </w:t>
      </w:r>
      <w:r>
        <w:rPr>
          <w:sz w:val="21"/>
        </w:rPr>
        <w:t>C1/104, </w:t>
      </w:r>
      <w:r>
        <w:rPr>
          <w:spacing w:val="31"/>
          <w:sz w:val="21"/>
        </w:rPr>
        <w:t> </w:t>
      </w:r>
      <w:r>
        <w:rPr>
          <w:sz w:val="21"/>
        </w:rPr>
        <w:t>200 </w:t>
      </w:r>
      <w:r>
        <w:rPr>
          <w:spacing w:val="30"/>
          <w:sz w:val="21"/>
        </w:rPr>
        <w:t> </w:t>
      </w:r>
      <w:r>
        <w:rPr>
          <w:sz w:val="21"/>
        </w:rPr>
        <w:t>C1/105, </w:t>
      </w:r>
      <w:r>
        <w:rPr>
          <w:spacing w:val="28"/>
          <w:sz w:val="21"/>
        </w:rPr>
        <w:t> </w:t>
      </w:r>
      <w:r>
        <w:rPr>
          <w:sz w:val="21"/>
        </w:rPr>
        <w:t>200 </w:t>
      </w:r>
      <w:r>
        <w:rPr>
          <w:spacing w:val="27"/>
          <w:sz w:val="21"/>
        </w:rPr>
        <w:t> </w:t>
      </w:r>
      <w:r>
        <w:rPr>
          <w:sz w:val="21"/>
        </w:rPr>
        <w:t>C1/109, </w:t>
      </w:r>
      <w:r>
        <w:rPr>
          <w:spacing w:val="32"/>
          <w:sz w:val="21"/>
        </w:rPr>
        <w:t> </w:t>
      </w:r>
      <w:r>
        <w:rPr>
          <w:sz w:val="21"/>
        </w:rPr>
        <w:t>200</w:t>
      </w:r>
    </w:p>
    <w:p>
      <w:pPr>
        <w:spacing w:before="37"/>
        <w:ind w:left="0" w:right="325" w:firstLine="0"/>
        <w:jc w:val="center"/>
        <w:rPr>
          <w:sz w:val="21"/>
        </w:rPr>
      </w:pPr>
      <w:r>
        <w:rPr>
          <w:sz w:val="21"/>
        </w:rPr>
        <w:t>C1/114,</w:t>
      </w:r>
      <w:r>
        <w:rPr>
          <w:spacing w:val="24"/>
          <w:sz w:val="21"/>
        </w:rPr>
        <w:t> </w:t>
      </w:r>
      <w:r>
        <w:rPr>
          <w:sz w:val="21"/>
        </w:rPr>
        <w:t>200</w:t>
      </w:r>
      <w:r>
        <w:rPr>
          <w:spacing w:val="25"/>
          <w:sz w:val="21"/>
        </w:rPr>
        <w:t> </w:t>
      </w:r>
      <w:r>
        <w:rPr>
          <w:sz w:val="21"/>
        </w:rPr>
        <w:t>C1/115,</w:t>
      </w:r>
      <w:r>
        <w:rPr>
          <w:spacing w:val="25"/>
          <w:sz w:val="21"/>
        </w:rPr>
        <w:t> </w:t>
      </w:r>
      <w:r>
        <w:rPr>
          <w:sz w:val="21"/>
        </w:rPr>
        <w:t>200</w:t>
      </w:r>
      <w:r>
        <w:rPr>
          <w:spacing w:val="23"/>
          <w:sz w:val="21"/>
        </w:rPr>
        <w:t> </w:t>
      </w:r>
      <w:r>
        <w:rPr>
          <w:sz w:val="21"/>
        </w:rPr>
        <w:t>C1/141,</w:t>
      </w:r>
      <w:r>
        <w:rPr>
          <w:spacing w:val="24"/>
          <w:sz w:val="21"/>
        </w:rPr>
        <w:t> </w:t>
      </w:r>
      <w:r>
        <w:rPr>
          <w:sz w:val="21"/>
        </w:rPr>
        <w:t>200</w:t>
      </w:r>
      <w:r>
        <w:rPr>
          <w:spacing w:val="26"/>
          <w:sz w:val="21"/>
        </w:rPr>
        <w:t> </w:t>
      </w:r>
      <w:r>
        <w:rPr>
          <w:sz w:val="21"/>
        </w:rPr>
        <w:t>C1/146,</w:t>
      </w:r>
      <w:r>
        <w:rPr>
          <w:spacing w:val="24"/>
          <w:sz w:val="21"/>
        </w:rPr>
        <w:t> </w:t>
      </w:r>
      <w:r>
        <w:rPr>
          <w:sz w:val="21"/>
        </w:rPr>
        <w:t>200</w:t>
      </w:r>
      <w:r>
        <w:rPr>
          <w:spacing w:val="26"/>
          <w:sz w:val="21"/>
        </w:rPr>
        <w:t> </w:t>
      </w:r>
      <w:r>
        <w:rPr>
          <w:sz w:val="21"/>
        </w:rPr>
        <w:t>C1/147,</w:t>
      </w:r>
    </w:p>
    <w:p>
      <w:pPr>
        <w:spacing w:before="35"/>
        <w:ind w:left="0" w:right="323" w:firstLine="0"/>
        <w:jc w:val="center"/>
        <w:rPr>
          <w:sz w:val="21"/>
        </w:rPr>
      </w:pPr>
      <w:r>
        <w:rPr>
          <w:sz w:val="21"/>
        </w:rPr>
        <w:t>200 </w:t>
      </w:r>
      <w:r>
        <w:rPr>
          <w:spacing w:val="15"/>
          <w:sz w:val="21"/>
        </w:rPr>
        <w:t> </w:t>
      </w:r>
      <w:r>
        <w:rPr>
          <w:sz w:val="21"/>
        </w:rPr>
        <w:t>C1/166, </w:t>
      </w:r>
      <w:r>
        <w:rPr>
          <w:spacing w:val="14"/>
          <w:sz w:val="21"/>
        </w:rPr>
        <w:t> </w:t>
      </w:r>
      <w:r>
        <w:rPr>
          <w:sz w:val="21"/>
        </w:rPr>
        <w:t>200 </w:t>
      </w:r>
      <w:r>
        <w:rPr>
          <w:spacing w:val="13"/>
          <w:sz w:val="21"/>
        </w:rPr>
        <w:t> </w:t>
      </w:r>
      <w:r>
        <w:rPr>
          <w:sz w:val="21"/>
        </w:rPr>
        <w:t>C1/167, </w:t>
      </w:r>
      <w:r>
        <w:rPr>
          <w:spacing w:val="16"/>
          <w:sz w:val="21"/>
        </w:rPr>
        <w:t> </w:t>
      </w:r>
      <w:r>
        <w:rPr>
          <w:sz w:val="21"/>
        </w:rPr>
        <w:t>200 </w:t>
      </w:r>
      <w:r>
        <w:rPr>
          <w:spacing w:val="14"/>
          <w:sz w:val="21"/>
        </w:rPr>
        <w:t> </w:t>
      </w:r>
      <w:r>
        <w:rPr>
          <w:sz w:val="21"/>
        </w:rPr>
        <w:t>C1/181, </w:t>
      </w:r>
      <w:r>
        <w:rPr>
          <w:spacing w:val="16"/>
          <w:sz w:val="21"/>
        </w:rPr>
        <w:t> </w:t>
      </w:r>
      <w:r>
        <w:rPr>
          <w:sz w:val="21"/>
        </w:rPr>
        <w:t>200 </w:t>
      </w:r>
      <w:r>
        <w:rPr>
          <w:spacing w:val="15"/>
          <w:sz w:val="21"/>
        </w:rPr>
        <w:t> </w:t>
      </w:r>
      <w:r>
        <w:rPr>
          <w:sz w:val="21"/>
        </w:rPr>
        <w:t>C1/186, </w:t>
      </w:r>
      <w:r>
        <w:rPr>
          <w:spacing w:val="17"/>
          <w:sz w:val="21"/>
        </w:rPr>
        <w:t> </w:t>
      </w:r>
      <w:r>
        <w:rPr>
          <w:sz w:val="21"/>
        </w:rPr>
        <w:t>200</w:t>
      </w:r>
    </w:p>
    <w:p>
      <w:pPr>
        <w:spacing w:line="276" w:lineRule="auto" w:before="37"/>
        <w:ind w:left="1940" w:right="2264" w:firstLine="0"/>
        <w:jc w:val="both"/>
        <w:rPr>
          <w:sz w:val="21"/>
        </w:rPr>
      </w:pPr>
      <w:r>
        <w:rPr>
          <w:sz w:val="21"/>
        </w:rPr>
        <w:t>C1/187, 200 C1/195, 200 C1/199 and 200 C1/200. Similarly, in the album of Black &amp; White, photographs, the relevant one of concerning pillars are 201 C1/55, 201 C1/57, 201 C1/76, 201  C1/88,  201  C1/91,  201  C1/103,  201  C1/104  and 201</w:t>
      </w:r>
    </w:p>
    <w:p>
      <w:pPr>
        <w:spacing w:line="276" w:lineRule="auto" w:before="0"/>
        <w:ind w:left="1940" w:right="2266" w:firstLine="0"/>
        <w:jc w:val="both"/>
        <w:rPr>
          <w:sz w:val="21"/>
        </w:rPr>
      </w:pPr>
      <w:r>
        <w:rPr>
          <w:sz w:val="21"/>
        </w:rPr>
        <w:t>C1/106. All these photos are being appended collectively as Appendix 5 (A) to 5 (DD) to this judgment.‖</w:t>
      </w:r>
    </w:p>
    <w:p>
      <w:pPr>
        <w:pStyle w:val="BodyText"/>
        <w:rPr>
          <w:sz w:val="24"/>
        </w:rPr>
      </w:pPr>
    </w:p>
    <w:p>
      <w:pPr>
        <w:pStyle w:val="BodyText"/>
        <w:spacing w:before="1"/>
        <w:rPr>
          <w:sz w:val="26"/>
        </w:rPr>
      </w:pPr>
    </w:p>
    <w:p>
      <w:pPr>
        <w:pStyle w:val="ListParagraph"/>
        <w:numPr>
          <w:ilvl w:val="0"/>
          <w:numId w:val="166"/>
        </w:numPr>
        <w:tabs>
          <w:tab w:pos="1221" w:val="left" w:leader="none"/>
        </w:tabs>
        <w:spacing w:line="480" w:lineRule="auto" w:before="1" w:after="0"/>
        <w:ind w:left="500" w:right="437" w:firstLine="0"/>
        <w:jc w:val="both"/>
        <w:rPr>
          <w:sz w:val="25"/>
        </w:rPr>
      </w:pPr>
      <w:r>
        <w:rPr>
          <w:sz w:val="25"/>
        </w:rPr>
        <w:t>During the course of the hearing, this Court has perused the photographs in the albums which tally with the above observations of learned Judge. The  black Kasauti stone pillars have carved engravings, many of which have been smeared with vermillion colour. Some of the images on the black Kasauti stone pillars have been desecrated. Among the witnesses who deposed in connection with the photographs was Dr T P Verma (OPW 3/5) who became the next friend of the first and second plaintiffs in Suit 5 after the death of Shri Deoki Nandan Agarwal. Dr T P Verma deposed that the places where vermillion has been applied may be images of idols, but he was not able to specifically state whether it was a picture of Yaksha –Yakshini or Jai-Vijay. Since the testimony of Dr T P Verma has been emphasized by Dr Dhavan during the course of his arguments, we extract the relevant</w:t>
      </w:r>
      <w:r>
        <w:rPr>
          <w:spacing w:val="-3"/>
          <w:sz w:val="25"/>
        </w:rPr>
        <w:t> </w:t>
      </w:r>
      <w:r>
        <w:rPr>
          <w:sz w:val="25"/>
        </w:rPr>
        <w:t>part:</w:t>
      </w:r>
    </w:p>
    <w:p>
      <w:pPr>
        <w:spacing w:after="0" w:line="480" w:lineRule="auto"/>
        <w:jc w:val="both"/>
        <w:rPr>
          <w:sz w:val="25"/>
        </w:rPr>
        <w:sectPr>
          <w:pgSz w:w="11910" w:h="16840"/>
          <w:pgMar w:header="721" w:footer="1014" w:top="1300" w:bottom="1200" w:left="940" w:right="1000"/>
        </w:sectPr>
      </w:pPr>
    </w:p>
    <w:p>
      <w:pPr>
        <w:spacing w:line="276" w:lineRule="auto" w:before="122"/>
        <w:ind w:left="1940" w:right="2259" w:firstLine="0"/>
        <w:jc w:val="both"/>
        <w:rPr>
          <w:sz w:val="21"/>
        </w:rPr>
      </w:pPr>
      <w:r>
        <w:rPr>
          <w:spacing w:val="-1"/>
          <w:w w:val="33"/>
          <w:sz w:val="21"/>
        </w:rPr>
        <w:t>―</w:t>
      </w:r>
      <w:r>
        <w:rPr>
          <w:spacing w:val="-2"/>
          <w:w w:val="100"/>
          <w:sz w:val="21"/>
        </w:rPr>
        <w:t>I</w:t>
      </w:r>
      <w:r>
        <w:rPr>
          <w:spacing w:val="-1"/>
          <w:w w:val="100"/>
          <w:sz w:val="21"/>
        </w:rPr>
        <w:t>do</w:t>
      </w:r>
      <w:r>
        <w:rPr>
          <w:spacing w:val="1"/>
          <w:w w:val="100"/>
          <w:sz w:val="21"/>
        </w:rPr>
        <w:t>l</w:t>
      </w:r>
      <w:r>
        <w:rPr>
          <w:w w:val="100"/>
          <w:sz w:val="21"/>
        </w:rPr>
        <w:t>s</w:t>
      </w:r>
      <w:r>
        <w:rPr>
          <w:spacing w:val="27"/>
          <w:sz w:val="21"/>
        </w:rPr>
        <w:t> </w:t>
      </w:r>
      <w:r>
        <w:rPr>
          <w:spacing w:val="1"/>
          <w:w w:val="100"/>
          <w:sz w:val="21"/>
        </w:rPr>
        <w:t>m</w:t>
      </w:r>
      <w:r>
        <w:rPr>
          <w:spacing w:val="-1"/>
          <w:w w:val="100"/>
          <w:sz w:val="21"/>
        </w:rPr>
        <w:t>a</w:t>
      </w:r>
      <w:r>
        <w:rPr>
          <w:w w:val="100"/>
          <w:sz w:val="21"/>
        </w:rPr>
        <w:t>y</w:t>
      </w:r>
      <w:r>
        <w:rPr>
          <w:spacing w:val="27"/>
          <w:sz w:val="21"/>
        </w:rPr>
        <w:t> </w:t>
      </w:r>
      <w:r>
        <w:rPr>
          <w:spacing w:val="-1"/>
          <w:w w:val="100"/>
          <w:sz w:val="21"/>
        </w:rPr>
        <w:t>b</w:t>
      </w:r>
      <w:r>
        <w:rPr>
          <w:w w:val="100"/>
          <w:sz w:val="21"/>
        </w:rPr>
        <w:t>e</w:t>
      </w:r>
      <w:r>
        <w:rPr>
          <w:sz w:val="21"/>
        </w:rPr>
        <w:t> </w:t>
      </w:r>
      <w:r>
        <w:rPr>
          <w:spacing w:val="-28"/>
          <w:sz w:val="21"/>
        </w:rPr>
        <w:t> </w:t>
      </w:r>
      <w:r>
        <w:rPr>
          <w:spacing w:val="-1"/>
          <w:w w:val="100"/>
          <w:sz w:val="21"/>
        </w:rPr>
        <w:t>pr</w:t>
      </w:r>
      <w:r>
        <w:rPr>
          <w:spacing w:val="-3"/>
          <w:w w:val="100"/>
          <w:sz w:val="21"/>
        </w:rPr>
        <w:t>e</w:t>
      </w:r>
      <w:r>
        <w:rPr>
          <w:w w:val="100"/>
          <w:sz w:val="21"/>
        </w:rPr>
        <w:t>sent</w:t>
      </w:r>
      <w:r>
        <w:rPr>
          <w:sz w:val="21"/>
        </w:rPr>
        <w:t> </w:t>
      </w:r>
      <w:r>
        <w:rPr>
          <w:spacing w:val="-30"/>
          <w:sz w:val="21"/>
        </w:rPr>
        <w:t> </w:t>
      </w:r>
      <w:r>
        <w:rPr>
          <w:spacing w:val="-1"/>
          <w:w w:val="100"/>
          <w:sz w:val="21"/>
        </w:rPr>
        <w:t>a</w:t>
      </w:r>
      <w:r>
        <w:rPr>
          <w:w w:val="100"/>
          <w:sz w:val="21"/>
        </w:rPr>
        <w:t>t</w:t>
      </w:r>
      <w:r>
        <w:rPr>
          <w:spacing w:val="26"/>
          <w:sz w:val="21"/>
        </w:rPr>
        <w:t> </w:t>
      </w:r>
      <w:r>
        <w:rPr>
          <w:spacing w:val="-2"/>
          <w:w w:val="100"/>
          <w:sz w:val="21"/>
        </w:rPr>
        <w:t>t</w:t>
      </w:r>
      <w:r>
        <w:rPr>
          <w:spacing w:val="-1"/>
          <w:w w:val="100"/>
          <w:sz w:val="21"/>
        </w:rPr>
        <w:t>h</w:t>
      </w:r>
      <w:r>
        <w:rPr>
          <w:w w:val="100"/>
          <w:sz w:val="21"/>
        </w:rPr>
        <w:t>e</w:t>
      </w:r>
      <w:r>
        <w:rPr>
          <w:sz w:val="21"/>
        </w:rPr>
        <w:t> </w:t>
      </w:r>
      <w:r>
        <w:rPr>
          <w:spacing w:val="-28"/>
          <w:sz w:val="21"/>
        </w:rPr>
        <w:t> </w:t>
      </w:r>
      <w:r>
        <w:rPr>
          <w:spacing w:val="-1"/>
          <w:w w:val="100"/>
          <w:sz w:val="21"/>
        </w:rPr>
        <w:t>p</w:t>
      </w:r>
      <w:r>
        <w:rPr>
          <w:spacing w:val="1"/>
          <w:w w:val="100"/>
          <w:sz w:val="21"/>
        </w:rPr>
        <w:t>l</w:t>
      </w:r>
      <w:r>
        <w:rPr>
          <w:spacing w:val="-1"/>
          <w:w w:val="100"/>
          <w:sz w:val="21"/>
        </w:rPr>
        <w:t>a</w:t>
      </w:r>
      <w:r>
        <w:rPr>
          <w:spacing w:val="-3"/>
          <w:w w:val="100"/>
          <w:sz w:val="21"/>
        </w:rPr>
        <w:t>c</w:t>
      </w:r>
      <w:r>
        <w:rPr>
          <w:spacing w:val="-1"/>
          <w:w w:val="100"/>
          <w:sz w:val="21"/>
        </w:rPr>
        <w:t>e</w:t>
      </w:r>
      <w:r>
        <w:rPr>
          <w:w w:val="100"/>
          <w:sz w:val="21"/>
        </w:rPr>
        <w:t>s</w:t>
      </w:r>
      <w:r>
        <w:rPr>
          <w:sz w:val="21"/>
        </w:rPr>
        <w:t> </w:t>
      </w:r>
      <w:r>
        <w:rPr>
          <w:spacing w:val="-29"/>
          <w:sz w:val="21"/>
        </w:rPr>
        <w:t> </w:t>
      </w:r>
      <w:r>
        <w:rPr>
          <w:spacing w:val="-2"/>
          <w:w w:val="100"/>
          <w:sz w:val="21"/>
        </w:rPr>
        <w:t>w</w:t>
      </w:r>
      <w:r>
        <w:rPr>
          <w:spacing w:val="-1"/>
          <w:w w:val="100"/>
          <w:sz w:val="21"/>
        </w:rPr>
        <w:t>her</w:t>
      </w:r>
      <w:r>
        <w:rPr>
          <w:w w:val="100"/>
          <w:sz w:val="21"/>
        </w:rPr>
        <w:t>e</w:t>
      </w:r>
      <w:r>
        <w:rPr>
          <w:sz w:val="21"/>
        </w:rPr>
        <w:t> </w:t>
      </w:r>
      <w:r>
        <w:rPr>
          <w:spacing w:val="-29"/>
          <w:sz w:val="21"/>
        </w:rPr>
        <w:t> </w:t>
      </w:r>
      <w:r>
        <w:rPr>
          <w:spacing w:val="-3"/>
          <w:w w:val="100"/>
          <w:sz w:val="21"/>
        </w:rPr>
        <w:t>v</w:t>
      </w:r>
      <w:r>
        <w:rPr>
          <w:spacing w:val="-1"/>
          <w:w w:val="100"/>
          <w:sz w:val="21"/>
        </w:rPr>
        <w:t>e</w:t>
      </w:r>
      <w:r>
        <w:rPr>
          <w:spacing w:val="-3"/>
          <w:w w:val="100"/>
          <w:sz w:val="21"/>
        </w:rPr>
        <w:t>r</w:t>
      </w:r>
      <w:r>
        <w:rPr>
          <w:spacing w:val="1"/>
          <w:w w:val="100"/>
          <w:sz w:val="21"/>
        </w:rPr>
        <w:t>m</w:t>
      </w:r>
      <w:r>
        <w:rPr>
          <w:spacing w:val="-2"/>
          <w:w w:val="100"/>
          <w:sz w:val="21"/>
        </w:rPr>
        <w:t>ill</w:t>
      </w:r>
      <w:r>
        <w:rPr>
          <w:w w:val="100"/>
          <w:sz w:val="21"/>
        </w:rPr>
        <w:t>i</w:t>
      </w:r>
      <w:r>
        <w:rPr>
          <w:spacing w:val="-1"/>
          <w:w w:val="100"/>
          <w:sz w:val="21"/>
        </w:rPr>
        <w:t>o</w:t>
      </w:r>
      <w:r>
        <w:rPr>
          <w:w w:val="100"/>
          <w:sz w:val="21"/>
        </w:rPr>
        <w:t>n</w:t>
      </w:r>
      <w:r>
        <w:rPr>
          <w:sz w:val="21"/>
        </w:rPr>
        <w:t> </w:t>
      </w:r>
      <w:r>
        <w:rPr>
          <w:spacing w:val="-28"/>
          <w:sz w:val="21"/>
        </w:rPr>
        <w:t> </w:t>
      </w:r>
      <w:r>
        <w:rPr>
          <w:spacing w:val="-1"/>
          <w:w w:val="100"/>
          <w:sz w:val="21"/>
        </w:rPr>
        <w:t>o</w:t>
      </w:r>
      <w:r>
        <w:rPr>
          <w:w w:val="100"/>
          <w:sz w:val="21"/>
        </w:rPr>
        <w:t>r</w:t>
      </w:r>
      <w:r>
        <w:rPr>
          <w:sz w:val="21"/>
        </w:rPr>
        <w:t> </w:t>
      </w:r>
      <w:r>
        <w:rPr>
          <w:spacing w:val="-29"/>
          <w:sz w:val="21"/>
        </w:rPr>
        <w:t> </w:t>
      </w:r>
      <w:r>
        <w:rPr>
          <w:spacing w:val="-1"/>
          <w:w w:val="100"/>
          <w:sz w:val="21"/>
        </w:rPr>
        <w:t>r</w:t>
      </w:r>
      <w:r>
        <w:rPr>
          <w:spacing w:val="-3"/>
          <w:w w:val="100"/>
          <w:sz w:val="21"/>
        </w:rPr>
        <w:t>e</w:t>
      </w:r>
      <w:r>
        <w:rPr>
          <w:w w:val="100"/>
          <w:sz w:val="21"/>
        </w:rPr>
        <w:t>d </w:t>
      </w:r>
      <w:r>
        <w:rPr>
          <w:sz w:val="21"/>
        </w:rPr>
        <w:t>colour has been used in photographs No. 104, 105, 109, 110, 114 and 115 but it is not clearly visible in the photographs as to which god-goddess or Yaksha-Yakshini or Jay-Vijay are represented therein. The picture of Yaksha-Yakshini or Jay- Vijay is not visible at the place where colour has been used in the pillars appearing in the rest of the photographs out of the aforesaid photographs. (page 130-131), I am not able to recognize any god-goddess, Yaksha-Yakshini or Jay-Vijay in the black-white photographs of these pillars. There is a hazy </w:t>
      </w:r>
      <w:r>
        <w:rPr>
          <w:spacing w:val="1"/>
          <w:w w:val="100"/>
          <w:sz w:val="21"/>
        </w:rPr>
        <w:t>f</w:t>
      </w:r>
      <w:r>
        <w:rPr>
          <w:spacing w:val="-2"/>
          <w:w w:val="100"/>
          <w:sz w:val="21"/>
        </w:rPr>
        <w:t>i</w:t>
      </w:r>
      <w:r>
        <w:rPr>
          <w:spacing w:val="-1"/>
          <w:w w:val="100"/>
          <w:sz w:val="21"/>
        </w:rPr>
        <w:t>gur</w:t>
      </w:r>
      <w:r>
        <w:rPr>
          <w:w w:val="100"/>
          <w:sz w:val="21"/>
        </w:rPr>
        <w:t>e</w:t>
      </w:r>
      <w:r>
        <w:rPr>
          <w:sz w:val="21"/>
        </w:rPr>
        <w:t> </w:t>
      </w:r>
      <w:r>
        <w:rPr>
          <w:spacing w:val="-29"/>
          <w:sz w:val="21"/>
        </w:rPr>
        <w:t> </w:t>
      </w:r>
      <w:r>
        <w:rPr>
          <w:spacing w:val="-3"/>
          <w:w w:val="100"/>
          <w:sz w:val="21"/>
        </w:rPr>
        <w:t>a</w:t>
      </w:r>
      <w:r>
        <w:rPr>
          <w:spacing w:val="-1"/>
          <w:w w:val="100"/>
          <w:sz w:val="21"/>
        </w:rPr>
        <w:t>bo</w:t>
      </w:r>
      <w:r>
        <w:rPr>
          <w:spacing w:val="-3"/>
          <w:w w:val="100"/>
          <w:sz w:val="21"/>
        </w:rPr>
        <w:t>v</w:t>
      </w:r>
      <w:r>
        <w:rPr>
          <w:w w:val="100"/>
          <w:sz w:val="21"/>
        </w:rPr>
        <w:t>e</w:t>
      </w:r>
      <w:r>
        <w:rPr>
          <w:sz w:val="21"/>
        </w:rPr>
        <w:t> </w:t>
      </w:r>
      <w:r>
        <w:rPr>
          <w:spacing w:val="-29"/>
          <w:sz w:val="21"/>
        </w:rPr>
        <w:t> </w:t>
      </w:r>
      <w:r>
        <w:rPr>
          <w:spacing w:val="-2"/>
          <w:w w:val="100"/>
          <w:sz w:val="21"/>
        </w:rPr>
        <w:t>t</w:t>
      </w:r>
      <w:r>
        <w:rPr>
          <w:spacing w:val="-1"/>
          <w:w w:val="100"/>
          <w:sz w:val="21"/>
        </w:rPr>
        <w:t>h</w:t>
      </w:r>
      <w:r>
        <w:rPr>
          <w:w w:val="100"/>
          <w:sz w:val="21"/>
        </w:rPr>
        <w:t>e</w:t>
      </w:r>
      <w:r>
        <w:rPr>
          <w:spacing w:val="28"/>
          <w:sz w:val="21"/>
        </w:rPr>
        <w:t> </w:t>
      </w:r>
      <w:r>
        <w:rPr>
          <w:spacing w:val="3"/>
          <w:w w:val="40"/>
          <w:sz w:val="21"/>
        </w:rPr>
        <w:t>‗</w:t>
      </w:r>
      <w:r>
        <w:rPr>
          <w:i/>
          <w:spacing w:val="-2"/>
          <w:w w:val="100"/>
          <w:sz w:val="21"/>
        </w:rPr>
        <w:t>G</w:t>
      </w:r>
      <w:r>
        <w:rPr>
          <w:i/>
          <w:spacing w:val="-1"/>
          <w:w w:val="100"/>
          <w:sz w:val="21"/>
        </w:rPr>
        <w:t>ha</w:t>
      </w:r>
      <w:r>
        <w:rPr>
          <w:i/>
          <w:w w:val="100"/>
          <w:sz w:val="21"/>
        </w:rPr>
        <w:t>t</w:t>
      </w:r>
      <w:r>
        <w:rPr>
          <w:i/>
          <w:spacing w:val="26"/>
          <w:sz w:val="21"/>
        </w:rPr>
        <w:t> </w:t>
      </w:r>
      <w:r>
        <w:rPr>
          <w:i/>
          <w:spacing w:val="-2"/>
          <w:w w:val="241"/>
          <w:sz w:val="21"/>
        </w:rPr>
        <w:t> </w:t>
      </w:r>
      <w:r>
        <w:rPr>
          <w:i/>
          <w:spacing w:val="-1"/>
          <w:w w:val="100"/>
          <w:sz w:val="21"/>
        </w:rPr>
        <w:t>a</w:t>
      </w:r>
      <w:r>
        <w:rPr>
          <w:i/>
          <w:spacing w:val="1"/>
          <w:w w:val="100"/>
          <w:sz w:val="21"/>
        </w:rPr>
        <w:t>l</w:t>
      </w:r>
      <w:r>
        <w:rPr>
          <w:i/>
          <w:spacing w:val="-1"/>
          <w:w w:val="100"/>
          <w:sz w:val="21"/>
        </w:rPr>
        <w:t>a</w:t>
      </w:r>
      <w:r>
        <w:rPr>
          <w:i/>
          <w:spacing w:val="-3"/>
          <w:w w:val="100"/>
          <w:sz w:val="21"/>
        </w:rPr>
        <w:t>s</w:t>
      </w:r>
      <w:r>
        <w:rPr>
          <w:i/>
          <w:spacing w:val="2"/>
          <w:w w:val="100"/>
          <w:sz w:val="21"/>
        </w:rPr>
        <w:t>h</w:t>
      </w:r>
      <w:r>
        <w:rPr>
          <w:i/>
          <w:w w:val="100"/>
          <w:sz w:val="21"/>
        </w:rPr>
        <w:t>‘</w:t>
      </w:r>
      <w:r>
        <w:rPr>
          <w:i/>
          <w:spacing w:val="25"/>
          <w:sz w:val="21"/>
        </w:rPr>
        <w:t> </w:t>
      </w:r>
      <w:r>
        <w:rPr>
          <w:w w:val="100"/>
          <w:sz w:val="21"/>
        </w:rPr>
        <w:t>i</w:t>
      </w:r>
      <w:r>
        <w:rPr>
          <w:w w:val="100"/>
          <w:sz w:val="21"/>
        </w:rPr>
        <w:t>n</w:t>
      </w:r>
      <w:r>
        <w:rPr>
          <w:sz w:val="21"/>
        </w:rPr>
        <w:t> </w:t>
      </w:r>
      <w:r>
        <w:rPr>
          <w:spacing w:val="-28"/>
          <w:sz w:val="21"/>
        </w:rPr>
        <w:t> </w:t>
      </w:r>
      <w:r>
        <w:rPr>
          <w:w w:val="100"/>
          <w:sz w:val="21"/>
        </w:rPr>
        <w:t>phot</w:t>
      </w:r>
      <w:r>
        <w:rPr>
          <w:spacing w:val="-3"/>
          <w:w w:val="100"/>
          <w:sz w:val="21"/>
        </w:rPr>
        <w:t>o</w:t>
      </w:r>
      <w:r>
        <w:rPr>
          <w:w w:val="100"/>
          <w:sz w:val="21"/>
        </w:rPr>
        <w:t>gra</w:t>
      </w:r>
      <w:r>
        <w:rPr>
          <w:spacing w:val="-3"/>
          <w:w w:val="100"/>
          <w:sz w:val="21"/>
        </w:rPr>
        <w:t>p</w:t>
      </w:r>
      <w:r>
        <w:rPr>
          <w:w w:val="100"/>
          <w:sz w:val="21"/>
        </w:rPr>
        <w:t>h</w:t>
      </w:r>
      <w:r>
        <w:rPr>
          <w:sz w:val="21"/>
        </w:rPr>
        <w:t> </w:t>
      </w:r>
      <w:r>
        <w:rPr>
          <w:spacing w:val="-28"/>
          <w:sz w:val="21"/>
        </w:rPr>
        <w:t> </w:t>
      </w:r>
      <w:r>
        <w:rPr>
          <w:spacing w:val="-2"/>
          <w:w w:val="100"/>
          <w:sz w:val="21"/>
        </w:rPr>
        <w:t>N</w:t>
      </w:r>
      <w:r>
        <w:rPr>
          <w:w w:val="100"/>
          <w:sz w:val="21"/>
        </w:rPr>
        <w:t>o.</w:t>
      </w:r>
      <w:r>
        <w:rPr>
          <w:sz w:val="21"/>
        </w:rPr>
        <w:t> </w:t>
      </w:r>
      <w:r>
        <w:rPr>
          <w:spacing w:val="-30"/>
          <w:sz w:val="21"/>
        </w:rPr>
        <w:t> </w:t>
      </w:r>
      <w:r>
        <w:rPr>
          <w:w w:val="100"/>
          <w:sz w:val="21"/>
        </w:rPr>
        <w:t>55,</w:t>
      </w:r>
      <w:r>
        <w:rPr>
          <w:sz w:val="21"/>
        </w:rPr>
        <w:t> </w:t>
      </w:r>
      <w:r>
        <w:rPr>
          <w:spacing w:val="-30"/>
          <w:sz w:val="21"/>
        </w:rPr>
        <w:t> </w:t>
      </w:r>
      <w:r>
        <w:rPr>
          <w:spacing w:val="-2"/>
          <w:w w:val="100"/>
          <w:sz w:val="21"/>
        </w:rPr>
        <w:t>w</w:t>
      </w:r>
      <w:r>
        <w:rPr>
          <w:w w:val="100"/>
          <w:sz w:val="21"/>
        </w:rPr>
        <w:t>h</w:t>
      </w:r>
      <w:r>
        <w:rPr>
          <w:spacing w:val="1"/>
          <w:w w:val="100"/>
          <w:sz w:val="21"/>
        </w:rPr>
        <w:t>i</w:t>
      </w:r>
      <w:r>
        <w:rPr>
          <w:spacing w:val="-3"/>
          <w:w w:val="100"/>
          <w:sz w:val="21"/>
        </w:rPr>
        <w:t>c</w:t>
      </w:r>
      <w:r>
        <w:rPr>
          <w:w w:val="100"/>
          <w:sz w:val="21"/>
        </w:rPr>
        <w:t>h </w:t>
      </w:r>
      <w:r>
        <w:rPr>
          <w:sz w:val="21"/>
        </w:rPr>
        <w:t>can be of some god-goddess or</w:t>
      </w:r>
      <w:r>
        <w:rPr>
          <w:spacing w:val="-12"/>
          <w:sz w:val="21"/>
        </w:rPr>
        <w:t> </w:t>
      </w:r>
      <w:r>
        <w:rPr>
          <w:sz w:val="21"/>
        </w:rPr>
        <w:t>Yaksha-Yakshini.‖</w:t>
      </w:r>
    </w:p>
    <w:p>
      <w:pPr>
        <w:pStyle w:val="BodyText"/>
        <w:rPr>
          <w:sz w:val="24"/>
        </w:rPr>
      </w:pPr>
    </w:p>
    <w:p>
      <w:pPr>
        <w:pStyle w:val="BodyText"/>
        <w:spacing w:before="2"/>
        <w:rPr>
          <w:sz w:val="26"/>
        </w:rPr>
      </w:pPr>
    </w:p>
    <w:p>
      <w:pPr>
        <w:pStyle w:val="BodyText"/>
        <w:ind w:left="500"/>
        <w:jc w:val="both"/>
      </w:pPr>
      <w:r>
        <w:rPr/>
        <w:t>Proceeding ahead, Dr Verma stated:</w:t>
      </w:r>
    </w:p>
    <w:p>
      <w:pPr>
        <w:pStyle w:val="BodyText"/>
      </w:pPr>
    </w:p>
    <w:p>
      <w:pPr>
        <w:spacing w:line="276" w:lineRule="auto" w:before="0"/>
        <w:ind w:left="1940" w:right="2259" w:firstLine="0"/>
        <w:jc w:val="both"/>
        <w:rPr>
          <w:sz w:val="21"/>
        </w:rPr>
      </w:pPr>
      <w:r>
        <w:rPr>
          <w:spacing w:val="-1"/>
          <w:w w:val="33"/>
          <w:sz w:val="21"/>
        </w:rPr>
        <w:t>―</w:t>
      </w:r>
      <w:r>
        <w:rPr>
          <w:w w:val="100"/>
          <w:sz w:val="21"/>
        </w:rPr>
        <w:t>Th</w:t>
      </w:r>
      <w:r>
        <w:rPr>
          <w:spacing w:val="-1"/>
          <w:w w:val="100"/>
          <w:sz w:val="21"/>
        </w:rPr>
        <w:t>er</w:t>
      </w:r>
      <w:r>
        <w:rPr>
          <w:w w:val="100"/>
          <w:sz w:val="21"/>
        </w:rPr>
        <w:t>e</w:t>
      </w:r>
      <w:r>
        <w:rPr>
          <w:sz w:val="21"/>
        </w:rPr>
        <w:t> </w:t>
      </w:r>
      <w:r>
        <w:rPr>
          <w:spacing w:val="-17"/>
          <w:sz w:val="21"/>
        </w:rPr>
        <w:t> </w:t>
      </w:r>
      <w:r>
        <w:rPr>
          <w:spacing w:val="-1"/>
          <w:w w:val="100"/>
          <w:sz w:val="21"/>
        </w:rPr>
        <w:t>ar</w:t>
      </w:r>
      <w:r>
        <w:rPr>
          <w:w w:val="100"/>
          <w:sz w:val="21"/>
        </w:rPr>
        <w:t>e</w:t>
      </w:r>
      <w:r>
        <w:rPr>
          <w:sz w:val="21"/>
        </w:rPr>
        <w:t> </w:t>
      </w:r>
      <w:r>
        <w:rPr>
          <w:spacing w:val="-19"/>
          <w:sz w:val="21"/>
        </w:rPr>
        <w:t> </w:t>
      </w:r>
      <w:r>
        <w:rPr>
          <w:spacing w:val="1"/>
          <w:w w:val="100"/>
          <w:sz w:val="21"/>
        </w:rPr>
        <w:t>f</w:t>
      </w:r>
      <w:r>
        <w:rPr>
          <w:spacing w:val="-1"/>
          <w:w w:val="100"/>
          <w:sz w:val="21"/>
        </w:rPr>
        <w:t>e</w:t>
      </w:r>
      <w:r>
        <w:rPr>
          <w:w w:val="100"/>
          <w:sz w:val="21"/>
        </w:rPr>
        <w:t>w</w:t>
      </w:r>
      <w:r>
        <w:rPr>
          <w:sz w:val="21"/>
        </w:rPr>
        <w:t> </w:t>
      </w:r>
      <w:r>
        <w:rPr>
          <w:spacing w:val="-18"/>
          <w:sz w:val="21"/>
        </w:rPr>
        <w:t> </w:t>
      </w:r>
      <w:r>
        <w:rPr>
          <w:w w:val="100"/>
          <w:sz w:val="21"/>
        </w:rPr>
        <w:t>i</w:t>
      </w:r>
      <w:r>
        <w:rPr>
          <w:spacing w:val="-3"/>
          <w:w w:val="100"/>
          <w:sz w:val="21"/>
        </w:rPr>
        <w:t>d</w:t>
      </w:r>
      <w:r>
        <w:rPr>
          <w:spacing w:val="-1"/>
          <w:w w:val="100"/>
          <w:sz w:val="21"/>
        </w:rPr>
        <w:t>o</w:t>
      </w:r>
      <w:r>
        <w:rPr>
          <w:spacing w:val="-2"/>
          <w:w w:val="100"/>
          <w:sz w:val="21"/>
        </w:rPr>
        <w:t>l</w:t>
      </w:r>
      <w:r>
        <w:rPr>
          <w:w w:val="100"/>
          <w:sz w:val="21"/>
        </w:rPr>
        <w:t>s</w:t>
      </w:r>
      <w:r>
        <w:rPr>
          <w:sz w:val="21"/>
        </w:rPr>
        <w:t> </w:t>
      </w:r>
      <w:r>
        <w:rPr>
          <w:spacing w:val="-17"/>
          <w:sz w:val="21"/>
        </w:rPr>
        <w:t> </w:t>
      </w:r>
      <w:r>
        <w:rPr>
          <w:w w:val="100"/>
          <w:sz w:val="21"/>
        </w:rPr>
        <w:t>in</w:t>
      </w:r>
      <w:r>
        <w:rPr>
          <w:sz w:val="21"/>
        </w:rPr>
        <w:t> </w:t>
      </w:r>
      <w:r>
        <w:rPr>
          <w:spacing w:val="-17"/>
          <w:sz w:val="21"/>
        </w:rPr>
        <w:t> </w:t>
      </w:r>
      <w:r>
        <w:rPr>
          <w:spacing w:val="-2"/>
          <w:w w:val="100"/>
          <w:sz w:val="21"/>
        </w:rPr>
        <w:t>t</w:t>
      </w:r>
      <w:r>
        <w:rPr>
          <w:spacing w:val="-1"/>
          <w:w w:val="100"/>
          <w:sz w:val="21"/>
        </w:rPr>
        <w:t>h</w:t>
      </w:r>
      <w:r>
        <w:rPr>
          <w:w w:val="100"/>
          <w:sz w:val="21"/>
        </w:rPr>
        <w:t>e</w:t>
      </w:r>
      <w:r>
        <w:rPr>
          <w:sz w:val="21"/>
        </w:rPr>
        <w:t> </w:t>
      </w:r>
      <w:r>
        <w:rPr>
          <w:spacing w:val="-16"/>
          <w:sz w:val="21"/>
        </w:rPr>
        <w:t> </w:t>
      </w:r>
      <w:r>
        <w:rPr>
          <w:w w:val="100"/>
          <w:sz w:val="21"/>
        </w:rPr>
        <w:t>co</w:t>
      </w:r>
      <w:r>
        <w:rPr>
          <w:spacing w:val="-2"/>
          <w:w w:val="100"/>
          <w:sz w:val="21"/>
        </w:rPr>
        <w:t>l</w:t>
      </w:r>
      <w:r>
        <w:rPr>
          <w:spacing w:val="-1"/>
          <w:w w:val="100"/>
          <w:sz w:val="21"/>
        </w:rPr>
        <w:t>our</w:t>
      </w:r>
      <w:r>
        <w:rPr>
          <w:spacing w:val="-3"/>
          <w:w w:val="100"/>
          <w:sz w:val="21"/>
        </w:rPr>
        <w:t>e</w:t>
      </w:r>
      <w:r>
        <w:rPr>
          <w:w w:val="100"/>
          <w:sz w:val="21"/>
        </w:rPr>
        <w:t>d</w:t>
      </w:r>
      <w:r>
        <w:rPr>
          <w:sz w:val="21"/>
        </w:rPr>
        <w:t> </w:t>
      </w:r>
      <w:r>
        <w:rPr>
          <w:spacing w:val="-17"/>
          <w:sz w:val="21"/>
        </w:rPr>
        <w:t> </w:t>
      </w:r>
      <w:r>
        <w:rPr>
          <w:spacing w:val="-1"/>
          <w:w w:val="100"/>
          <w:sz w:val="21"/>
        </w:rPr>
        <w:t>por</w:t>
      </w:r>
      <w:r>
        <w:rPr>
          <w:spacing w:val="-2"/>
          <w:w w:val="100"/>
          <w:sz w:val="21"/>
        </w:rPr>
        <w:t>t</w:t>
      </w:r>
      <w:r>
        <w:rPr>
          <w:w w:val="100"/>
          <w:sz w:val="21"/>
        </w:rPr>
        <w:t>i</w:t>
      </w:r>
      <w:r>
        <w:rPr>
          <w:spacing w:val="-3"/>
          <w:w w:val="100"/>
          <w:sz w:val="21"/>
        </w:rPr>
        <w:t>o</w:t>
      </w:r>
      <w:r>
        <w:rPr>
          <w:w w:val="100"/>
          <w:sz w:val="21"/>
        </w:rPr>
        <w:t>n</w:t>
      </w:r>
      <w:r>
        <w:rPr>
          <w:sz w:val="21"/>
        </w:rPr>
        <w:t> </w:t>
      </w:r>
      <w:r>
        <w:rPr>
          <w:spacing w:val="-17"/>
          <w:sz w:val="21"/>
        </w:rPr>
        <w:t> </w:t>
      </w:r>
      <w:r>
        <w:rPr>
          <w:spacing w:val="-1"/>
          <w:w w:val="100"/>
          <w:sz w:val="21"/>
        </w:rPr>
        <w:t>o</w:t>
      </w:r>
      <w:r>
        <w:rPr>
          <w:w w:val="100"/>
          <w:sz w:val="21"/>
        </w:rPr>
        <w:t>f</w:t>
      </w:r>
      <w:r>
        <w:rPr>
          <w:sz w:val="21"/>
        </w:rPr>
        <w:t> </w:t>
      </w:r>
      <w:r>
        <w:rPr>
          <w:spacing w:val="-18"/>
          <w:sz w:val="21"/>
        </w:rPr>
        <w:t> </w:t>
      </w:r>
      <w:r>
        <w:rPr>
          <w:spacing w:val="-2"/>
          <w:w w:val="100"/>
          <w:sz w:val="21"/>
        </w:rPr>
        <w:t>P</w:t>
      </w:r>
      <w:r>
        <w:rPr>
          <w:spacing w:val="-1"/>
          <w:w w:val="100"/>
          <w:sz w:val="21"/>
        </w:rPr>
        <w:t>hotogr</w:t>
      </w:r>
      <w:r>
        <w:rPr>
          <w:spacing w:val="-3"/>
          <w:w w:val="100"/>
          <w:sz w:val="21"/>
        </w:rPr>
        <w:t>a</w:t>
      </w:r>
      <w:r>
        <w:rPr>
          <w:spacing w:val="-1"/>
          <w:w w:val="100"/>
          <w:sz w:val="21"/>
        </w:rPr>
        <w:t>ph </w:t>
      </w:r>
      <w:r>
        <w:rPr>
          <w:sz w:val="21"/>
        </w:rPr>
        <w:t>Nos. 141, 146 and 147, which may be of Gods-Goddess but I cannot recognise them. No idol is visible to me in the remaining photographs. In all these photographs where red colour is not present, I am not able to see the pictures of any God-Goddess, Yaksha- Yakshini or</w:t>
      </w:r>
      <w:r>
        <w:rPr>
          <w:spacing w:val="-7"/>
          <w:sz w:val="21"/>
        </w:rPr>
        <w:t> </w:t>
      </w:r>
      <w:r>
        <w:rPr>
          <w:sz w:val="21"/>
        </w:rPr>
        <w:t>Jai-Vijai.</w:t>
      </w:r>
    </w:p>
    <w:p>
      <w:pPr>
        <w:pStyle w:val="BodyText"/>
        <w:spacing w:before="2"/>
        <w:rPr>
          <w:sz w:val="24"/>
        </w:rPr>
      </w:pPr>
    </w:p>
    <w:p>
      <w:pPr>
        <w:spacing w:line="276" w:lineRule="auto" w:before="0"/>
        <w:ind w:left="1940" w:right="2261" w:firstLine="0"/>
        <w:jc w:val="both"/>
        <w:rPr>
          <w:sz w:val="21"/>
        </w:rPr>
      </w:pPr>
      <w:r>
        <w:rPr>
          <w:sz w:val="21"/>
        </w:rPr>
        <w:t>I am not able to recognize the idol of any God-Goddess, Yaksha- Yakshini or Jai-Vijai over the pillars appearing in these photographs.‖</w:t>
      </w:r>
    </w:p>
    <w:p>
      <w:pPr>
        <w:pStyle w:val="BodyText"/>
        <w:rPr>
          <w:sz w:val="24"/>
        </w:rPr>
      </w:pPr>
    </w:p>
    <w:p>
      <w:pPr>
        <w:pStyle w:val="BodyText"/>
        <w:spacing w:line="480" w:lineRule="auto" w:before="207"/>
        <w:ind w:left="500" w:right="438"/>
        <w:jc w:val="both"/>
      </w:pPr>
      <w:r>
        <w:rPr/>
        <w:t>On the other hand, other witnesses have specifically spoken of the presence of Hindu idols in the photographs. Among them are Raghunath Prasad Pandey </w:t>
      </w:r>
      <w:r>
        <w:rPr>
          <w:spacing w:val="-3"/>
        </w:rPr>
        <w:t>(DW </w:t>
      </w:r>
      <w:r>
        <w:rPr/>
        <w:t>3/5), Mahant Dharam Das (DW 13/1-1), Ramesh Chandra Tripathi (DW 17/1) and Shashi Kant Rungta (DW 20/1). The High Court noted certain contradictions in the statements of the witnesses particularly in regard to the clarity of the photographs and the identity of the images. Justice Sudhir Agarwal observed that these variations were normal since the witnesses were not experts in the field of iconography. Justice Sudhir Agarwal also noted the testimony of Dr TP Verma which noticed the images of Gods and Goddesses in the coloured portions of photographs 188, 193-195, 189 and 200. However, he also stated that he was not able to precisely recognise which Gods or Goddesses have been</w:t>
      </w:r>
      <w:r>
        <w:rPr>
          <w:spacing w:val="-16"/>
        </w:rPr>
        <w:t> </w:t>
      </w:r>
      <w:r>
        <w:rPr/>
        <w:t>represented</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6"/>
        <w:jc w:val="both"/>
      </w:pPr>
      <w:r>
        <w:rPr/>
        <w:t>having regard to the hazy nature of the images. After a review of the evidence, Justice Sudhir Agarwal came to the following conclusion:</w:t>
      </w:r>
    </w:p>
    <w:p>
      <w:pPr>
        <w:spacing w:line="276" w:lineRule="auto" w:before="0"/>
        <w:ind w:left="1940" w:right="2262" w:firstLine="0"/>
        <w:jc w:val="both"/>
        <w:rPr>
          <w:sz w:val="21"/>
        </w:rPr>
      </w:pPr>
      <w:r>
        <w:rPr>
          <w:w w:val="33"/>
          <w:sz w:val="21"/>
        </w:rPr>
        <w:t>―</w:t>
      </w:r>
      <w:r>
        <w:rPr>
          <w:w w:val="100"/>
          <w:sz w:val="21"/>
        </w:rPr>
        <w:t>3443.</w:t>
      </w:r>
      <w:r>
        <w:rPr>
          <w:sz w:val="21"/>
        </w:rPr>
        <w:t>  </w:t>
      </w:r>
      <w:r>
        <w:rPr>
          <w:w w:val="100"/>
          <w:sz w:val="21"/>
        </w:rPr>
        <w:t>In</w:t>
      </w:r>
      <w:r>
        <w:rPr>
          <w:sz w:val="21"/>
        </w:rPr>
        <w:t>  </w:t>
      </w:r>
      <w:r>
        <w:rPr>
          <w:w w:val="100"/>
          <w:sz w:val="21"/>
        </w:rPr>
        <w:t>view</w:t>
      </w:r>
      <w:r>
        <w:rPr>
          <w:sz w:val="21"/>
        </w:rPr>
        <w:t>  </w:t>
      </w:r>
      <w:r>
        <w:rPr>
          <w:w w:val="100"/>
          <w:sz w:val="21"/>
        </w:rPr>
        <w:t>of</w:t>
      </w:r>
      <w:r>
        <w:rPr>
          <w:sz w:val="21"/>
        </w:rPr>
        <w:t>  </w:t>
      </w:r>
      <w:r>
        <w:rPr>
          <w:w w:val="100"/>
          <w:sz w:val="21"/>
        </w:rPr>
        <w:t>the</w:t>
      </w:r>
      <w:r>
        <w:rPr>
          <w:sz w:val="21"/>
        </w:rPr>
        <w:t>  </w:t>
      </w:r>
      <w:r>
        <w:rPr>
          <w:w w:val="100"/>
          <w:sz w:val="21"/>
        </w:rPr>
        <w:t>abov</w:t>
      </w:r>
      <w:r>
        <w:rPr>
          <w:w w:val="100"/>
          <w:sz w:val="21"/>
        </w:rPr>
        <w:t>e,</w:t>
      </w:r>
      <w:r>
        <w:rPr>
          <w:sz w:val="21"/>
        </w:rPr>
        <w:t>  </w:t>
      </w:r>
      <w:r>
        <w:rPr>
          <w:w w:val="100"/>
          <w:sz w:val="21"/>
        </w:rPr>
        <w:t>we</w:t>
      </w:r>
      <w:r>
        <w:rPr>
          <w:sz w:val="21"/>
        </w:rPr>
        <w:t>  </w:t>
      </w:r>
      <w:r>
        <w:rPr>
          <w:w w:val="100"/>
          <w:sz w:val="21"/>
        </w:rPr>
        <w:t>have</w:t>
      </w:r>
      <w:r>
        <w:rPr>
          <w:sz w:val="21"/>
        </w:rPr>
        <w:t>   </w:t>
      </w:r>
      <w:r>
        <w:rPr>
          <w:w w:val="100"/>
          <w:sz w:val="21"/>
        </w:rPr>
        <w:t>no</w:t>
      </w:r>
      <w:r>
        <w:rPr>
          <w:sz w:val="21"/>
        </w:rPr>
        <w:t>  </w:t>
      </w:r>
      <w:r>
        <w:rPr>
          <w:w w:val="100"/>
          <w:sz w:val="21"/>
        </w:rPr>
        <w:t>hesi</w:t>
      </w:r>
      <w:r>
        <w:rPr>
          <w:w w:val="100"/>
          <w:sz w:val="21"/>
        </w:rPr>
        <w:t>t</w:t>
      </w:r>
      <w:r>
        <w:rPr>
          <w:w w:val="100"/>
          <w:sz w:val="21"/>
        </w:rPr>
        <w:t>at</w:t>
      </w:r>
      <w:r>
        <w:rPr>
          <w:w w:val="100"/>
          <w:sz w:val="21"/>
        </w:rPr>
        <w:t>i</w:t>
      </w:r>
      <w:r>
        <w:rPr>
          <w:w w:val="100"/>
          <w:sz w:val="21"/>
        </w:rPr>
        <w:t>on</w:t>
      </w:r>
      <w:r>
        <w:rPr>
          <w:sz w:val="21"/>
        </w:rPr>
        <w:t>  </w:t>
      </w:r>
      <w:r>
        <w:rPr>
          <w:w w:val="100"/>
          <w:sz w:val="21"/>
        </w:rPr>
        <w:t>i</w:t>
      </w:r>
      <w:r>
        <w:rPr>
          <w:w w:val="100"/>
          <w:sz w:val="21"/>
        </w:rPr>
        <w:t>n </w:t>
      </w:r>
      <w:r>
        <w:rPr>
          <w:sz w:val="21"/>
        </w:rPr>
        <w:t>observing that the pillars fixed inside and outside the building in dispute contain some human images and at some places there appears to be some images of Hindu Gods and Goddesses.‖</w:t>
      </w:r>
    </w:p>
    <w:p>
      <w:pPr>
        <w:pStyle w:val="BodyText"/>
        <w:rPr>
          <w:sz w:val="24"/>
        </w:rPr>
      </w:pPr>
    </w:p>
    <w:p>
      <w:pPr>
        <w:pStyle w:val="BodyText"/>
        <w:spacing w:line="480" w:lineRule="auto" w:before="207"/>
        <w:ind w:left="500" w:right="439"/>
        <w:jc w:val="both"/>
      </w:pPr>
      <w:r>
        <w:rPr/>
        <w:t>The photographs on the record contain inscriptions of Islamic origin and of images traceable to Hindu forms of worship. Both co-existed in the disputed structure.</w:t>
      </w:r>
    </w:p>
    <w:p>
      <w:pPr>
        <w:pStyle w:val="BodyText"/>
        <w:spacing w:before="10"/>
        <w:rPr>
          <w:sz w:val="38"/>
        </w:rPr>
      </w:pPr>
    </w:p>
    <w:p>
      <w:pPr>
        <w:pStyle w:val="ListParagraph"/>
        <w:numPr>
          <w:ilvl w:val="0"/>
          <w:numId w:val="166"/>
        </w:numPr>
        <w:tabs>
          <w:tab w:pos="1221" w:val="left" w:leader="none"/>
        </w:tabs>
        <w:spacing w:line="480" w:lineRule="auto" w:before="1" w:after="0"/>
        <w:ind w:left="500" w:right="436" w:firstLine="0"/>
        <w:jc w:val="both"/>
        <w:rPr>
          <w:sz w:val="25"/>
        </w:rPr>
      </w:pPr>
      <w:r>
        <w:rPr>
          <w:sz w:val="25"/>
        </w:rPr>
        <w:t>Justice Sharma while holding that the pillars contained images of Hindu Gods and Goddesses inside the mosque held that the disputed structure lacked the character of a mosque under the tenets of Islam. Justice S U Khan has agreed with the view of Justice Agarwal to the</w:t>
      </w:r>
      <w:r>
        <w:rPr>
          <w:spacing w:val="-5"/>
          <w:sz w:val="25"/>
        </w:rPr>
        <w:t> </w:t>
      </w:r>
      <w:r>
        <w:rPr>
          <w:sz w:val="25"/>
        </w:rPr>
        <w:t>contrary.</w:t>
      </w:r>
    </w:p>
    <w:p>
      <w:pPr>
        <w:pStyle w:val="BodyText"/>
        <w:spacing w:before="160"/>
        <w:ind w:left="500"/>
        <w:jc w:val="both"/>
      </w:pPr>
      <w:r>
        <w:rPr/>
        <w:t>Issue No. 19(f) in Suit 4 was:</w:t>
      </w:r>
    </w:p>
    <w:p>
      <w:pPr>
        <w:pStyle w:val="BodyText"/>
      </w:pPr>
    </w:p>
    <w:p>
      <w:pPr>
        <w:spacing w:line="276" w:lineRule="auto" w:before="0"/>
        <w:ind w:left="1940" w:right="2264"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ethe</w:t>
      </w:r>
      <w:r>
        <w:rPr>
          <w:w w:val="100"/>
          <w:sz w:val="21"/>
        </w:rPr>
        <w:t>r</w:t>
      </w:r>
      <w:r>
        <w:rPr>
          <w:sz w:val="21"/>
        </w:rPr>
        <w:t>  </w:t>
      </w:r>
      <w:r>
        <w:rPr>
          <w:spacing w:val="-13"/>
          <w:sz w:val="21"/>
        </w:rPr>
        <w:t> </w:t>
      </w:r>
      <w:r>
        <w:rPr>
          <w:spacing w:val="-2"/>
          <w:w w:val="100"/>
          <w:sz w:val="21"/>
        </w:rPr>
        <w:t>t</w:t>
      </w:r>
      <w:r>
        <w:rPr>
          <w:spacing w:val="-3"/>
          <w:w w:val="100"/>
          <w:sz w:val="21"/>
        </w:rPr>
        <w:t>h</w:t>
      </w:r>
      <w:r>
        <w:rPr>
          <w:w w:val="100"/>
          <w:sz w:val="21"/>
        </w:rPr>
        <w:t>e</w:t>
      </w:r>
      <w:r>
        <w:rPr>
          <w:sz w:val="21"/>
        </w:rPr>
        <w:t>  </w:t>
      </w:r>
      <w:r>
        <w:rPr>
          <w:spacing w:val="-12"/>
          <w:sz w:val="21"/>
        </w:rPr>
        <w:t> </w:t>
      </w:r>
      <w:r>
        <w:rPr>
          <w:spacing w:val="-3"/>
          <w:w w:val="100"/>
          <w:sz w:val="21"/>
        </w:rPr>
        <w:t>p</w:t>
      </w:r>
      <w:r>
        <w:rPr>
          <w:w w:val="100"/>
          <w:sz w:val="21"/>
        </w:rPr>
        <w:t>i</w:t>
      </w:r>
      <w:r>
        <w:rPr>
          <w:spacing w:val="-2"/>
          <w:w w:val="100"/>
          <w:sz w:val="21"/>
        </w:rPr>
        <w:t>l</w:t>
      </w:r>
      <w:r>
        <w:rPr>
          <w:w w:val="100"/>
          <w:sz w:val="21"/>
        </w:rPr>
        <w:t>l</w:t>
      </w:r>
      <w:r>
        <w:rPr>
          <w:spacing w:val="-1"/>
          <w:w w:val="100"/>
          <w:sz w:val="21"/>
        </w:rPr>
        <w:t>ar</w:t>
      </w:r>
      <w:r>
        <w:rPr>
          <w:w w:val="100"/>
          <w:sz w:val="21"/>
        </w:rPr>
        <w:t>s</w:t>
      </w:r>
      <w:r>
        <w:rPr>
          <w:sz w:val="21"/>
        </w:rPr>
        <w:t>  </w:t>
      </w:r>
      <w:r>
        <w:rPr>
          <w:spacing w:val="-15"/>
          <w:sz w:val="21"/>
        </w:rPr>
        <w:t> </w:t>
      </w:r>
      <w:r>
        <w:rPr>
          <w:spacing w:val="-2"/>
          <w:w w:val="100"/>
          <w:sz w:val="21"/>
        </w:rPr>
        <w:t>i</w:t>
      </w:r>
      <w:r>
        <w:rPr>
          <w:spacing w:val="-3"/>
          <w:w w:val="100"/>
          <w:sz w:val="21"/>
        </w:rPr>
        <w:t>n</w:t>
      </w:r>
      <w:r>
        <w:rPr>
          <w:w w:val="100"/>
          <w:sz w:val="21"/>
        </w:rPr>
        <w:t>si</w:t>
      </w:r>
      <w:r>
        <w:rPr>
          <w:spacing w:val="-1"/>
          <w:w w:val="100"/>
          <w:sz w:val="21"/>
        </w:rPr>
        <w:t>d</w:t>
      </w:r>
      <w:r>
        <w:rPr>
          <w:w w:val="100"/>
          <w:sz w:val="21"/>
        </w:rPr>
        <w:t>e</w:t>
      </w:r>
      <w:r>
        <w:rPr>
          <w:sz w:val="21"/>
        </w:rPr>
        <w:t>  </w:t>
      </w:r>
      <w:r>
        <w:rPr>
          <w:spacing w:val="-15"/>
          <w:sz w:val="21"/>
        </w:rPr>
        <w:t> </w:t>
      </w:r>
      <w:r>
        <w:rPr>
          <w:spacing w:val="-1"/>
          <w:w w:val="100"/>
          <w:sz w:val="21"/>
        </w:rPr>
        <w:t>a</w:t>
      </w:r>
      <w:r>
        <w:rPr>
          <w:spacing w:val="-3"/>
          <w:w w:val="100"/>
          <w:sz w:val="21"/>
        </w:rPr>
        <w:t>n</w:t>
      </w:r>
      <w:r>
        <w:rPr>
          <w:w w:val="100"/>
          <w:sz w:val="21"/>
        </w:rPr>
        <w:t>d</w:t>
      </w:r>
      <w:r>
        <w:rPr>
          <w:sz w:val="21"/>
        </w:rPr>
        <w:t>  </w:t>
      </w:r>
      <w:r>
        <w:rPr>
          <w:spacing w:val="-12"/>
          <w:sz w:val="21"/>
        </w:rPr>
        <w:t> </w:t>
      </w:r>
      <w:r>
        <w:rPr>
          <w:spacing w:val="-3"/>
          <w:w w:val="100"/>
          <w:sz w:val="21"/>
        </w:rPr>
        <w:t>o</w:t>
      </w:r>
      <w:r>
        <w:rPr>
          <w:spacing w:val="-1"/>
          <w:w w:val="100"/>
          <w:sz w:val="21"/>
        </w:rPr>
        <w:t>ut</w:t>
      </w:r>
      <w:r>
        <w:rPr>
          <w:w w:val="100"/>
          <w:sz w:val="21"/>
        </w:rPr>
        <w:t>si</w:t>
      </w:r>
      <w:r>
        <w:rPr>
          <w:spacing w:val="-3"/>
          <w:w w:val="100"/>
          <w:sz w:val="21"/>
        </w:rPr>
        <w:t>d</w:t>
      </w:r>
      <w:r>
        <w:rPr>
          <w:w w:val="100"/>
          <w:sz w:val="21"/>
        </w:rPr>
        <w:t>e</w:t>
      </w:r>
      <w:r>
        <w:rPr>
          <w:sz w:val="21"/>
        </w:rPr>
        <w:t>  </w:t>
      </w:r>
      <w:r>
        <w:rPr>
          <w:spacing w:val="-12"/>
          <w:sz w:val="21"/>
        </w:rPr>
        <w:t> </w:t>
      </w:r>
      <w:r>
        <w:rPr>
          <w:spacing w:val="-2"/>
          <w:w w:val="100"/>
          <w:sz w:val="21"/>
        </w:rPr>
        <w:t>t</w:t>
      </w:r>
      <w:r>
        <w:rPr>
          <w:spacing w:val="-1"/>
          <w:w w:val="100"/>
          <w:sz w:val="21"/>
        </w:rPr>
        <w:t>h</w:t>
      </w:r>
      <w:r>
        <w:rPr>
          <w:w w:val="100"/>
          <w:sz w:val="21"/>
        </w:rPr>
        <w:t>e</w:t>
      </w:r>
      <w:r>
        <w:rPr>
          <w:sz w:val="21"/>
        </w:rPr>
        <w:t>  </w:t>
      </w:r>
      <w:r>
        <w:rPr>
          <w:spacing w:val="-17"/>
          <w:sz w:val="21"/>
        </w:rPr>
        <w:t> </w:t>
      </w:r>
      <w:r>
        <w:rPr>
          <w:spacing w:val="-1"/>
          <w:w w:val="100"/>
          <w:sz w:val="21"/>
        </w:rPr>
        <w:t>bui</w:t>
      </w:r>
      <w:r>
        <w:rPr>
          <w:w w:val="100"/>
          <w:sz w:val="21"/>
        </w:rPr>
        <w:t>l</w:t>
      </w:r>
      <w:r>
        <w:rPr>
          <w:spacing w:val="-3"/>
          <w:w w:val="100"/>
          <w:sz w:val="21"/>
        </w:rPr>
        <w:t>d</w:t>
      </w:r>
      <w:r>
        <w:rPr>
          <w:w w:val="100"/>
          <w:sz w:val="21"/>
        </w:rPr>
        <w:t>i</w:t>
      </w:r>
      <w:r>
        <w:rPr>
          <w:spacing w:val="-1"/>
          <w:w w:val="100"/>
          <w:sz w:val="21"/>
        </w:rPr>
        <w:t>n</w:t>
      </w:r>
      <w:r>
        <w:rPr>
          <w:w w:val="100"/>
          <w:sz w:val="21"/>
        </w:rPr>
        <w:t>g</w:t>
      </w:r>
      <w:r>
        <w:rPr>
          <w:sz w:val="21"/>
        </w:rPr>
        <w:t>  </w:t>
      </w:r>
      <w:r>
        <w:rPr>
          <w:spacing w:val="-15"/>
          <w:sz w:val="21"/>
        </w:rPr>
        <w:t> </w:t>
      </w:r>
      <w:r>
        <w:rPr>
          <w:w w:val="100"/>
          <w:sz w:val="21"/>
        </w:rPr>
        <w:t>in </w:t>
      </w:r>
      <w:r>
        <w:rPr>
          <w:sz w:val="21"/>
        </w:rPr>
        <w:t>question contain images of Hindu Gods and Goddesses? If the finding is in the affirmative, whether on that account the building in question cannot have the character of Mosque under the tenets of</w:t>
      </w:r>
      <w:r>
        <w:rPr>
          <w:spacing w:val="-6"/>
          <w:sz w:val="21"/>
        </w:rPr>
        <w:t> </w:t>
      </w:r>
      <w:r>
        <w:rPr>
          <w:sz w:val="21"/>
        </w:rPr>
        <w:t>Islam?‖</w:t>
      </w:r>
    </w:p>
    <w:p>
      <w:pPr>
        <w:pStyle w:val="BodyText"/>
        <w:rPr>
          <w:sz w:val="24"/>
        </w:rPr>
      </w:pPr>
    </w:p>
    <w:p>
      <w:pPr>
        <w:pStyle w:val="BodyText"/>
        <w:spacing w:before="1"/>
        <w:rPr>
          <w:sz w:val="21"/>
        </w:rPr>
      </w:pPr>
    </w:p>
    <w:p>
      <w:pPr>
        <w:pStyle w:val="BodyText"/>
        <w:spacing w:line="480" w:lineRule="auto"/>
        <w:ind w:left="500" w:right="439"/>
        <w:jc w:val="both"/>
      </w:pPr>
      <w:r>
        <w:rPr/>
        <w:t>Justice Sudhir Agarwal came to the conclusion that despite the existence of certain images of Hindu Gods and Goddesses on some of the pillars inside and outside the building in question, the character of the structure of a mosque remains unaffected. His view was that though human or animal images at a place where namaz is to be offered are not permitted under Islamic tenets, despite the existence of the pillars containing those images, Muslims treated the building in dispute to be a mosque and offered namaz for at least eighty years until the order</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of attachment was issued on 29 December 1949. In his view, where persons who believe in a particular form of worship treated the building as a place of Islamic worship, it was not open to a third party to contend particularly after a long time of lapse that the building was not a mosque constructed in accordance with the tenets of that religion. This aspect of the case has already been explored while dealing with the submission which was urged by Mr P N Misra on the tenets of Islam. It is sufficient to note that the evidence on the record consisting of the report of the Commissioner dated 3 August 1950 as well as the coloured and black and white albums of photographs indicate firstly, the inscriptions of Allah on the disputed structure, secondly, the presence of black Kasauti stone pillars containing some images of Hindu Gods and Goddesses and thirdly, a depiction  of a </w:t>
      </w:r>
      <w:r>
        <w:rPr>
          <w:i/>
        </w:rPr>
        <w:t>garuda </w:t>
      </w:r>
      <w:r>
        <w:rPr/>
        <w:t>flanked by lions which would appear to be of a non-Islamic origin. Inscriptions of an Islamic religious origin and engravings of a Hindu religious character have co-existed on the disputed structure. They signify that in the diversity of plural cultures in the sub-continent, there is underlying it all a universal truth founded in the essential one-ness of</w:t>
      </w:r>
      <w:r>
        <w:rPr>
          <w:spacing w:val="-7"/>
        </w:rPr>
        <w:t> </w:t>
      </w:r>
      <w:r>
        <w:rPr/>
        <w:t>mankind.</w:t>
      </w:r>
    </w:p>
    <w:p>
      <w:pPr>
        <w:pStyle w:val="BodyText"/>
        <w:spacing w:before="1"/>
      </w:pPr>
    </w:p>
    <w:p>
      <w:pPr>
        <w:pStyle w:val="ListParagraph"/>
        <w:numPr>
          <w:ilvl w:val="0"/>
          <w:numId w:val="166"/>
        </w:numPr>
        <w:tabs>
          <w:tab w:pos="1221" w:val="left" w:leader="none"/>
        </w:tabs>
        <w:spacing w:line="480" w:lineRule="auto" w:before="0" w:after="0"/>
        <w:ind w:left="500" w:right="437" w:firstLine="0"/>
        <w:jc w:val="both"/>
        <w:rPr>
          <w:sz w:val="25"/>
        </w:rPr>
      </w:pPr>
      <w:r>
        <w:rPr>
          <w:sz w:val="25"/>
        </w:rPr>
        <w:t>Dr Dhavan argued that there was no image of Hindu Gods or Goddesses on the Kasauti pillars. He urged that the floral designs which were found </w:t>
      </w:r>
      <w:r>
        <w:rPr>
          <w:spacing w:val="4"/>
          <w:sz w:val="25"/>
        </w:rPr>
        <w:t>on </w:t>
      </w:r>
      <w:r>
        <w:rPr>
          <w:sz w:val="25"/>
        </w:rPr>
        <w:t>them exist in Islamic architecture. The submission is that decorative engravings and inscriptions do not detract from the character of a mosque and therefore a theological question was argued by the Hindus to the effect that the carvings were </w:t>
      </w:r>
      <w:r>
        <w:rPr>
          <w:i/>
          <w:sz w:val="25"/>
        </w:rPr>
        <w:t>per se </w:t>
      </w:r>
      <w:r>
        <w:rPr>
          <w:sz w:val="25"/>
        </w:rPr>
        <w:t>un-Islamic. Dr Dhavan is not right in asserting that there is an absence of any depiction of Hindu Gods and Goddesses on the Kasauti stone pillars. The evidence indicates a position to the contrary. Dr Dhavan</w:t>
      </w:r>
      <w:r>
        <w:rPr>
          <w:spacing w:val="18"/>
          <w:sz w:val="25"/>
        </w:rPr>
        <w:t> </w:t>
      </w:r>
      <w:r>
        <w:rPr>
          <w:sz w:val="25"/>
        </w:rPr>
        <w:t>placed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reliance on two specific photographs, photograph nos 128 and 129 of the albums containing coloured photographs. These photographs have been placed below the inner dome. Dr Dhavan submitted that one of the photographs is of Guru Dutt Singh who was a City Magistrate while another photograph, is of K K Nayyar who was the District Magistrate at the relevant time when the incident took place in December 1949. According to Dr Dhavan, these are photographs placed within the structure in 1990 in breach of the order of </w:t>
      </w:r>
      <w:r>
        <w:rPr>
          <w:i/>
        </w:rPr>
        <w:t>status quo </w:t>
      </w:r>
      <w:r>
        <w:rPr/>
        <w:t>that was passed. Dr Dhavan has drawn the attention of this Court to the evidence of Mahant Bhaskar Das (DW 13/1) to whom photograph nos 128 and 129 were shown during the course of his cross-examination. Extracts from the deposition of the witness, tracing the career of K K Nayyar have been relied upon. On the basis of these photographs, it was submitted that K K Nayyar and Guru Dutt Singh adopted a partisan attitude when the mosque was desecrated in December 1949.</w:t>
      </w:r>
    </w:p>
    <w:p>
      <w:pPr>
        <w:pStyle w:val="BodyText"/>
        <w:spacing w:line="480" w:lineRule="auto" w:before="161"/>
        <w:ind w:left="500" w:right="439"/>
        <w:jc w:val="both"/>
      </w:pPr>
      <w:r>
        <w:rPr>
          <w:spacing w:val="3"/>
        </w:rPr>
        <w:t>We </w:t>
      </w:r>
      <w:r>
        <w:rPr/>
        <w:t>have adverted to the submission of Dr Dhavan for the completeness of the record and insofar as it has a bearing on the reason which may have led to the installation of the photographs of two public officials of the State government in the southern dome of the disputed</w:t>
      </w:r>
      <w:r>
        <w:rPr>
          <w:spacing w:val="-9"/>
        </w:rPr>
        <w:t> </w:t>
      </w:r>
      <w:r>
        <w:rPr/>
        <w:t>structure.</w:t>
      </w:r>
    </w:p>
    <w:p>
      <w:pPr>
        <w:pStyle w:val="BodyText"/>
        <w:rPr>
          <w:sz w:val="28"/>
        </w:rPr>
      </w:pPr>
    </w:p>
    <w:p>
      <w:pPr>
        <w:pStyle w:val="BodyText"/>
        <w:spacing w:before="3"/>
        <w:rPr>
          <w:sz w:val="22"/>
        </w:rPr>
      </w:pPr>
    </w:p>
    <w:p>
      <w:pPr>
        <w:pStyle w:val="Heading3"/>
        <w:numPr>
          <w:ilvl w:val="1"/>
          <w:numId w:val="131"/>
        </w:numPr>
        <w:tabs>
          <w:tab w:pos="1221" w:val="left" w:leader="none"/>
        </w:tabs>
        <w:spacing w:line="240" w:lineRule="auto" w:before="0" w:after="0"/>
        <w:ind w:left="1220" w:right="0" w:hanging="721"/>
        <w:jc w:val="left"/>
      </w:pPr>
      <w:r>
        <w:rPr/>
        <w:t>Vishnu Hari</w:t>
      </w:r>
      <w:r>
        <w:rPr>
          <w:spacing w:val="-23"/>
        </w:rPr>
        <w:t> </w:t>
      </w:r>
      <w:r>
        <w:rPr/>
        <w:t>Inscriptions</w:t>
      </w:r>
    </w:p>
    <w:p>
      <w:pPr>
        <w:pStyle w:val="BodyText"/>
        <w:rPr>
          <w:b/>
          <w:sz w:val="28"/>
        </w:rPr>
      </w:pPr>
    </w:p>
    <w:p>
      <w:pPr>
        <w:pStyle w:val="ListParagraph"/>
        <w:numPr>
          <w:ilvl w:val="0"/>
          <w:numId w:val="166"/>
        </w:numPr>
        <w:tabs>
          <w:tab w:pos="1220" w:val="left" w:leader="none"/>
          <w:tab w:pos="1221" w:val="left" w:leader="none"/>
        </w:tabs>
        <w:spacing w:line="480" w:lineRule="auto" w:before="207" w:after="0"/>
        <w:ind w:left="500" w:right="446" w:firstLine="0"/>
        <w:jc w:val="left"/>
        <w:rPr>
          <w:sz w:val="25"/>
        </w:rPr>
      </w:pPr>
      <w:r>
        <w:rPr>
          <w:sz w:val="25"/>
        </w:rPr>
        <w:t>On 7 February 2002, counsel for the plaintiffs in Suit 5 filed a report dated 3</w:t>
      </w:r>
      <w:r>
        <w:rPr>
          <w:spacing w:val="49"/>
          <w:sz w:val="25"/>
        </w:rPr>
        <w:t> </w:t>
      </w:r>
      <w:r>
        <w:rPr>
          <w:sz w:val="25"/>
        </w:rPr>
        <w:t>February</w:t>
      </w:r>
      <w:r>
        <w:rPr>
          <w:spacing w:val="47"/>
          <w:sz w:val="25"/>
        </w:rPr>
        <w:t> </w:t>
      </w:r>
      <w:r>
        <w:rPr>
          <w:sz w:val="25"/>
        </w:rPr>
        <w:t>2002</w:t>
      </w:r>
      <w:r>
        <w:rPr>
          <w:spacing w:val="50"/>
          <w:sz w:val="25"/>
        </w:rPr>
        <w:t> </w:t>
      </w:r>
      <w:r>
        <w:rPr>
          <w:sz w:val="25"/>
        </w:rPr>
        <w:t>before</w:t>
      </w:r>
      <w:r>
        <w:rPr>
          <w:spacing w:val="50"/>
          <w:sz w:val="25"/>
        </w:rPr>
        <w:t> </w:t>
      </w:r>
      <w:r>
        <w:rPr>
          <w:sz w:val="25"/>
        </w:rPr>
        <w:t>the</w:t>
      </w:r>
      <w:r>
        <w:rPr>
          <w:spacing w:val="50"/>
          <w:sz w:val="25"/>
        </w:rPr>
        <w:t> </w:t>
      </w:r>
      <w:r>
        <w:rPr>
          <w:sz w:val="25"/>
        </w:rPr>
        <w:t>High</w:t>
      </w:r>
      <w:r>
        <w:rPr>
          <w:spacing w:val="50"/>
          <w:sz w:val="25"/>
        </w:rPr>
        <w:t> </w:t>
      </w:r>
      <w:r>
        <w:rPr>
          <w:sz w:val="25"/>
        </w:rPr>
        <w:t>Court</w:t>
      </w:r>
      <w:r>
        <w:rPr>
          <w:spacing w:val="50"/>
          <w:sz w:val="25"/>
        </w:rPr>
        <w:t> </w:t>
      </w:r>
      <w:r>
        <w:rPr>
          <w:sz w:val="25"/>
        </w:rPr>
        <w:t>of</w:t>
      </w:r>
      <w:r>
        <w:rPr>
          <w:spacing w:val="50"/>
          <w:sz w:val="25"/>
        </w:rPr>
        <w:t> </w:t>
      </w:r>
      <w:r>
        <w:rPr>
          <w:sz w:val="25"/>
        </w:rPr>
        <w:t>Dr</w:t>
      </w:r>
      <w:r>
        <w:rPr>
          <w:spacing w:val="50"/>
          <w:sz w:val="25"/>
        </w:rPr>
        <w:t> </w:t>
      </w:r>
      <w:r>
        <w:rPr>
          <w:sz w:val="25"/>
        </w:rPr>
        <w:t>K</w:t>
      </w:r>
      <w:r>
        <w:rPr>
          <w:spacing w:val="51"/>
          <w:sz w:val="25"/>
        </w:rPr>
        <w:t> </w:t>
      </w:r>
      <w:r>
        <w:rPr>
          <w:sz w:val="25"/>
        </w:rPr>
        <w:t>V</w:t>
      </w:r>
      <w:r>
        <w:rPr>
          <w:spacing w:val="47"/>
          <w:sz w:val="25"/>
        </w:rPr>
        <w:t> </w:t>
      </w:r>
      <w:r>
        <w:rPr>
          <w:sz w:val="25"/>
        </w:rPr>
        <w:t>Ramesh,</w:t>
      </w:r>
      <w:r>
        <w:rPr>
          <w:spacing w:val="50"/>
          <w:sz w:val="25"/>
        </w:rPr>
        <w:t> </w:t>
      </w:r>
      <w:r>
        <w:rPr>
          <w:sz w:val="25"/>
        </w:rPr>
        <w:t>pertaining</w:t>
      </w:r>
      <w:r>
        <w:rPr>
          <w:spacing w:val="50"/>
          <w:sz w:val="25"/>
        </w:rPr>
        <w:t> </w:t>
      </w:r>
      <w:r>
        <w:rPr>
          <w:sz w:val="25"/>
        </w:rPr>
        <w:t>to</w:t>
      </w:r>
      <w:r>
        <w:rPr>
          <w:spacing w:val="50"/>
          <w:sz w:val="25"/>
        </w:rPr>
        <w:t> </w:t>
      </w:r>
      <w:r>
        <w:rPr>
          <w:sz w:val="25"/>
        </w:rPr>
        <w:t>the</w:t>
      </w:r>
    </w:p>
    <w:p>
      <w:pPr>
        <w:pStyle w:val="BodyText"/>
        <w:spacing w:line="287" w:lineRule="exact"/>
        <w:ind w:left="500"/>
        <w:jc w:val="both"/>
      </w:pPr>
      <w:r>
        <w:rPr>
          <w:w w:val="33"/>
        </w:rPr>
        <w:t>―</w:t>
      </w:r>
      <w:r>
        <w:rPr>
          <w:spacing w:val="-1"/>
          <w:w w:val="99"/>
        </w:rPr>
        <w:t>A</w:t>
      </w:r>
      <w:r>
        <w:rPr>
          <w:spacing w:val="-3"/>
          <w:w w:val="99"/>
        </w:rPr>
        <w:t>y</w:t>
      </w:r>
      <w:r>
        <w:rPr>
          <w:spacing w:val="-1"/>
          <w:w w:val="99"/>
        </w:rPr>
        <w:t>o</w:t>
      </w:r>
      <w:r>
        <w:rPr>
          <w:w w:val="99"/>
        </w:rPr>
        <w:t>d</w:t>
      </w:r>
      <w:r>
        <w:rPr>
          <w:spacing w:val="2"/>
          <w:w w:val="99"/>
        </w:rPr>
        <w:t>h</w:t>
      </w:r>
      <w:r>
        <w:rPr>
          <w:spacing w:val="-3"/>
          <w:w w:val="99"/>
        </w:rPr>
        <w:t>y</w:t>
      </w:r>
      <w:r>
        <w:rPr>
          <w:w w:val="99"/>
        </w:rPr>
        <w:t>a</w:t>
      </w:r>
      <w:r>
        <w:rPr>
          <w:spacing w:val="24"/>
        </w:rPr>
        <w:t> </w:t>
      </w:r>
      <w:r>
        <w:rPr>
          <w:spacing w:val="-1"/>
          <w:w w:val="99"/>
        </w:rPr>
        <w:t>Vishn</w:t>
      </w:r>
      <w:r>
        <w:rPr>
          <w:w w:val="99"/>
        </w:rPr>
        <w:t>u</w:t>
      </w:r>
      <w:r>
        <w:rPr>
          <w:spacing w:val="24"/>
        </w:rPr>
        <w:t> </w:t>
      </w:r>
      <w:r>
        <w:rPr>
          <w:spacing w:val="-1"/>
          <w:w w:val="99"/>
        </w:rPr>
        <w:t>Ha</w:t>
      </w:r>
      <w:r>
        <w:rPr>
          <w:spacing w:val="3"/>
          <w:w w:val="99"/>
        </w:rPr>
        <w:t>r</w:t>
      </w:r>
      <w:r>
        <w:rPr>
          <w:w w:val="99"/>
        </w:rPr>
        <w:t>i</w:t>
      </w:r>
      <w:r>
        <w:rPr>
          <w:spacing w:val="23"/>
        </w:rPr>
        <w:t> </w:t>
      </w:r>
      <w:r>
        <w:rPr>
          <w:w w:val="99"/>
        </w:rPr>
        <w:t>te</w:t>
      </w:r>
      <w:r>
        <w:rPr>
          <w:spacing w:val="1"/>
          <w:w w:val="99"/>
        </w:rPr>
        <w:t>m</w:t>
      </w:r>
      <w:r>
        <w:rPr>
          <w:spacing w:val="-1"/>
          <w:w w:val="99"/>
        </w:rPr>
        <w:t>pl</w:t>
      </w:r>
      <w:r>
        <w:rPr>
          <w:w w:val="99"/>
        </w:rPr>
        <w:t>e</w:t>
      </w:r>
      <w:r>
        <w:rPr>
          <w:spacing w:val="24"/>
        </w:rPr>
        <w:t> </w:t>
      </w:r>
      <w:r>
        <w:rPr>
          <w:spacing w:val="-1"/>
          <w:w w:val="99"/>
        </w:rPr>
        <w:t>insc</w:t>
      </w:r>
      <w:r>
        <w:rPr>
          <w:w w:val="99"/>
        </w:rPr>
        <w:t>r</w:t>
      </w:r>
      <w:r>
        <w:rPr>
          <w:spacing w:val="-1"/>
          <w:w w:val="99"/>
        </w:rPr>
        <w:t>iptio</w:t>
      </w:r>
      <w:r>
        <w:rPr>
          <w:w w:val="99"/>
        </w:rPr>
        <w:t>n</w:t>
      </w:r>
      <w:r>
        <w:rPr>
          <w:w w:val="80"/>
        </w:rPr>
        <w:t>‖</w:t>
      </w:r>
      <w:r>
        <w:rPr>
          <w:w w:val="99"/>
        </w:rPr>
        <w:t>.</w:t>
      </w:r>
      <w:r>
        <w:rPr>
          <w:spacing w:val="19"/>
        </w:rPr>
        <w:t> </w:t>
      </w:r>
      <w:r>
        <w:rPr>
          <w:w w:val="99"/>
        </w:rPr>
        <w:t>T</w:t>
      </w:r>
      <w:r>
        <w:rPr>
          <w:spacing w:val="-1"/>
          <w:w w:val="99"/>
        </w:rPr>
        <w:t>h</w:t>
      </w:r>
      <w:r>
        <w:rPr>
          <w:w w:val="99"/>
        </w:rPr>
        <w:t>e</w:t>
      </w:r>
      <w:r>
        <w:rPr>
          <w:spacing w:val="24"/>
        </w:rPr>
        <w:t> </w:t>
      </w:r>
      <w:r>
        <w:rPr>
          <w:spacing w:val="-1"/>
          <w:w w:val="99"/>
        </w:rPr>
        <w:t>d</w:t>
      </w:r>
      <w:r>
        <w:rPr>
          <w:w w:val="99"/>
        </w:rPr>
        <w:t>ocu</w:t>
      </w:r>
      <w:r>
        <w:rPr>
          <w:spacing w:val="1"/>
          <w:w w:val="99"/>
        </w:rPr>
        <w:t>m</w:t>
      </w:r>
      <w:r>
        <w:rPr>
          <w:spacing w:val="-1"/>
          <w:w w:val="99"/>
        </w:rPr>
        <w:t>e</w:t>
      </w:r>
      <w:r>
        <w:rPr>
          <w:w w:val="99"/>
        </w:rPr>
        <w:t>nts</w:t>
      </w:r>
      <w:r>
        <w:rPr>
          <w:spacing w:val="21"/>
        </w:rPr>
        <w:t> </w:t>
      </w:r>
      <w:r>
        <w:rPr>
          <w:spacing w:val="-1"/>
          <w:w w:val="99"/>
        </w:rPr>
        <w:t>we</w:t>
      </w:r>
      <w:r>
        <w:rPr>
          <w:w w:val="99"/>
        </w:rPr>
        <w:t>re</w:t>
      </w:r>
      <w:r>
        <w:rPr>
          <w:spacing w:val="21"/>
        </w:rPr>
        <w:t> </w:t>
      </w:r>
      <w:r>
        <w:rPr>
          <w:w w:val="99"/>
        </w:rPr>
        <w:t>taken</w:t>
      </w:r>
      <w:r>
        <w:rPr>
          <w:spacing w:val="24"/>
        </w:rPr>
        <w:t> </w:t>
      </w:r>
      <w:r>
        <w:rPr>
          <w:spacing w:val="-1"/>
          <w:w w:val="99"/>
        </w:rPr>
        <w:t>o</w:t>
      </w:r>
      <w:r>
        <w:rPr>
          <w:w w:val="99"/>
        </w:rPr>
        <w:t>n</w:t>
      </w:r>
      <w:r>
        <w:rPr>
          <w:spacing w:val="22"/>
        </w:rPr>
        <w:t> </w:t>
      </w:r>
      <w:r>
        <w:rPr>
          <w:w w:val="99"/>
        </w:rPr>
        <w:t>r</w:t>
      </w:r>
      <w:r>
        <w:rPr>
          <w:spacing w:val="-1"/>
          <w:w w:val="99"/>
        </w:rPr>
        <w:t>ec</w:t>
      </w:r>
      <w:r>
        <w:rPr>
          <w:w w:val="99"/>
        </w:rPr>
        <w:t>o</w:t>
      </w:r>
      <w:r>
        <w:rPr>
          <w:spacing w:val="-2"/>
          <w:w w:val="99"/>
        </w:rPr>
        <w:t>r</w:t>
      </w:r>
      <w:r>
        <w:rPr>
          <w:w w:val="99"/>
        </w:rPr>
        <w:t>d</w:t>
      </w:r>
    </w:p>
    <w:p>
      <w:pPr>
        <w:pStyle w:val="BodyText"/>
        <w:spacing w:before="1"/>
      </w:pPr>
    </w:p>
    <w:p>
      <w:pPr>
        <w:pStyle w:val="BodyText"/>
        <w:spacing w:line="480" w:lineRule="auto" w:before="1"/>
        <w:ind w:left="500" w:right="445"/>
        <w:jc w:val="both"/>
      </w:pPr>
      <w:r>
        <w:rPr>
          <w:w w:val="33"/>
        </w:rPr>
        <w:t>―</w:t>
      </w:r>
      <w:r>
        <w:rPr>
          <w:w w:val="99"/>
        </w:rPr>
        <w:t>sub</w:t>
      </w:r>
      <w:r>
        <w:rPr>
          <w:spacing w:val="-1"/>
          <w:w w:val="99"/>
        </w:rPr>
        <w:t>jec</w:t>
      </w:r>
      <w:r>
        <w:rPr>
          <w:w w:val="99"/>
        </w:rPr>
        <w:t>t</w:t>
      </w:r>
      <w:r>
        <w:rPr>
          <w:spacing w:val="7"/>
        </w:rPr>
        <w:t> </w:t>
      </w:r>
      <w:r>
        <w:rPr>
          <w:w w:val="99"/>
        </w:rPr>
        <w:t>to</w:t>
      </w:r>
      <w:r>
        <w:rPr>
          <w:spacing w:val="7"/>
        </w:rPr>
        <w:t> </w:t>
      </w:r>
      <w:r>
        <w:rPr>
          <w:spacing w:val="-1"/>
          <w:w w:val="99"/>
        </w:rPr>
        <w:t>o</w:t>
      </w:r>
      <w:r>
        <w:rPr>
          <w:w w:val="99"/>
        </w:rPr>
        <w:t>b</w:t>
      </w:r>
      <w:r>
        <w:rPr>
          <w:spacing w:val="-1"/>
          <w:w w:val="99"/>
        </w:rPr>
        <w:t>jectio</w:t>
      </w:r>
      <w:r>
        <w:rPr>
          <w:w w:val="99"/>
        </w:rPr>
        <w:t>n</w:t>
      </w:r>
      <w:r>
        <w:rPr>
          <w:spacing w:val="7"/>
        </w:rPr>
        <w:t> </w:t>
      </w:r>
      <w:r>
        <w:rPr>
          <w:spacing w:val="-1"/>
          <w:w w:val="99"/>
        </w:rPr>
        <w:t>a</w:t>
      </w:r>
      <w:r>
        <w:rPr>
          <w:w w:val="99"/>
        </w:rPr>
        <w:t>nd</w:t>
      </w:r>
      <w:r>
        <w:rPr>
          <w:spacing w:val="7"/>
        </w:rPr>
        <w:t> </w:t>
      </w:r>
      <w:r>
        <w:rPr>
          <w:spacing w:val="-1"/>
          <w:w w:val="99"/>
        </w:rPr>
        <w:t>p</w:t>
      </w:r>
      <w:r>
        <w:rPr>
          <w:w w:val="99"/>
        </w:rPr>
        <w:t>r</w:t>
      </w:r>
      <w:r>
        <w:rPr>
          <w:spacing w:val="-1"/>
          <w:w w:val="99"/>
        </w:rPr>
        <w:t>o</w:t>
      </w:r>
      <w:r>
        <w:rPr>
          <w:w w:val="99"/>
        </w:rPr>
        <w:t>o</w:t>
      </w:r>
      <w:r>
        <w:rPr>
          <w:w w:val="88"/>
        </w:rPr>
        <w:t>f‖</w:t>
      </w:r>
      <w:r>
        <w:rPr>
          <w:spacing w:val="12"/>
        </w:rPr>
        <w:t> </w:t>
      </w:r>
      <w:r>
        <w:rPr>
          <w:w w:val="99"/>
        </w:rPr>
        <w:t>as</w:t>
      </w:r>
      <w:r>
        <w:rPr>
          <w:spacing w:val="7"/>
        </w:rPr>
        <w:t> </w:t>
      </w:r>
      <w:r>
        <w:rPr>
          <w:w w:val="99"/>
        </w:rPr>
        <w:t>r</w:t>
      </w:r>
      <w:r>
        <w:rPr>
          <w:w w:val="99"/>
        </w:rPr>
        <w:t>equired</w:t>
      </w:r>
      <w:r>
        <w:rPr>
          <w:spacing w:val="5"/>
        </w:rPr>
        <w:t> </w:t>
      </w:r>
      <w:r>
        <w:rPr>
          <w:w w:val="99"/>
        </w:rPr>
        <w:t>by</w:t>
      </w:r>
      <w:r>
        <w:rPr>
          <w:spacing w:val="5"/>
        </w:rPr>
        <w:t> </w:t>
      </w:r>
      <w:r>
        <w:rPr>
          <w:w w:val="99"/>
        </w:rPr>
        <w:t>the</w:t>
      </w:r>
      <w:r>
        <w:rPr>
          <w:spacing w:val="7"/>
        </w:rPr>
        <w:t> </w:t>
      </w:r>
      <w:r>
        <w:rPr>
          <w:w w:val="99"/>
        </w:rPr>
        <w:t>p</w:t>
      </w:r>
      <w:r>
        <w:rPr>
          <w:spacing w:val="1"/>
          <w:w w:val="99"/>
        </w:rPr>
        <w:t>r</w:t>
      </w:r>
      <w:r>
        <w:rPr>
          <w:spacing w:val="2"/>
          <w:w w:val="99"/>
        </w:rPr>
        <w:t>o</w:t>
      </w:r>
      <w:r>
        <w:rPr>
          <w:spacing w:val="-3"/>
          <w:w w:val="99"/>
        </w:rPr>
        <w:t>v</w:t>
      </w:r>
      <w:r>
        <w:rPr>
          <w:w w:val="99"/>
        </w:rPr>
        <w:t>isions</w:t>
      </w:r>
      <w:r>
        <w:rPr>
          <w:spacing w:val="9"/>
        </w:rPr>
        <w:t> </w:t>
      </w:r>
      <w:r>
        <w:rPr>
          <w:w w:val="99"/>
        </w:rPr>
        <w:t>of</w:t>
      </w:r>
      <w:r>
        <w:rPr>
          <w:spacing w:val="7"/>
        </w:rPr>
        <w:t> </w:t>
      </w:r>
      <w:r>
        <w:rPr>
          <w:spacing w:val="2"/>
          <w:w w:val="99"/>
        </w:rPr>
        <w:t>t</w:t>
      </w:r>
      <w:r>
        <w:rPr>
          <w:w w:val="99"/>
        </w:rPr>
        <w:t>he</w:t>
      </w:r>
      <w:r>
        <w:rPr>
          <w:spacing w:val="7"/>
        </w:rPr>
        <w:t> </w:t>
      </w:r>
      <w:r>
        <w:rPr>
          <w:spacing w:val="1"/>
          <w:w w:val="99"/>
        </w:rPr>
        <w:t>E</w:t>
      </w:r>
      <w:r>
        <w:rPr>
          <w:spacing w:val="-3"/>
          <w:w w:val="99"/>
        </w:rPr>
        <w:t>v</w:t>
      </w:r>
      <w:r>
        <w:rPr>
          <w:w w:val="99"/>
        </w:rPr>
        <w:t>iden</w:t>
      </w:r>
      <w:r>
        <w:rPr>
          <w:w w:val="99"/>
        </w:rPr>
        <w:t>ce</w:t>
      </w:r>
      <w:r>
        <w:rPr>
          <w:spacing w:val="7"/>
        </w:rPr>
        <w:t> </w:t>
      </w:r>
      <w:r>
        <w:rPr>
          <w:spacing w:val="1"/>
          <w:w w:val="99"/>
        </w:rPr>
        <w:t>A</w:t>
      </w:r>
      <w:r>
        <w:rPr>
          <w:w w:val="99"/>
        </w:rPr>
        <w:t>ct </w:t>
      </w:r>
      <w:r>
        <w:rPr/>
        <w:t>1872.</w:t>
      </w:r>
      <w:r>
        <w:rPr>
          <w:spacing w:val="7"/>
        </w:rPr>
        <w:t> </w:t>
      </w:r>
      <w:r>
        <w:rPr/>
        <w:t>During</w:t>
      </w:r>
      <w:r>
        <w:rPr>
          <w:spacing w:val="9"/>
        </w:rPr>
        <w:t> </w:t>
      </w:r>
      <w:r>
        <w:rPr/>
        <w:t>the</w:t>
      </w:r>
      <w:r>
        <w:rPr>
          <w:spacing w:val="8"/>
        </w:rPr>
        <w:t> </w:t>
      </w:r>
      <w:r>
        <w:rPr/>
        <w:t>course</w:t>
      </w:r>
      <w:r>
        <w:rPr>
          <w:spacing w:val="8"/>
        </w:rPr>
        <w:t> </w:t>
      </w:r>
      <w:r>
        <w:rPr/>
        <w:t>of</w:t>
      </w:r>
      <w:r>
        <w:rPr>
          <w:spacing w:val="9"/>
        </w:rPr>
        <w:t> </w:t>
      </w:r>
      <w:r>
        <w:rPr/>
        <w:t>the</w:t>
      </w:r>
      <w:r>
        <w:rPr>
          <w:spacing w:val="8"/>
        </w:rPr>
        <w:t> </w:t>
      </w:r>
      <w:r>
        <w:rPr/>
        <w:t>trial,</w:t>
      </w:r>
      <w:r>
        <w:rPr>
          <w:spacing w:val="8"/>
        </w:rPr>
        <w:t> </w:t>
      </w:r>
      <w:r>
        <w:rPr/>
        <w:t>the</w:t>
      </w:r>
      <w:r>
        <w:rPr>
          <w:spacing w:val="8"/>
        </w:rPr>
        <w:t> </w:t>
      </w:r>
      <w:r>
        <w:rPr/>
        <w:t>plaintiffs</w:t>
      </w:r>
      <w:r>
        <w:rPr>
          <w:spacing w:val="8"/>
        </w:rPr>
        <w:t> </w:t>
      </w:r>
      <w:r>
        <w:rPr/>
        <w:t>of</w:t>
      </w:r>
      <w:r>
        <w:rPr>
          <w:spacing w:val="9"/>
        </w:rPr>
        <w:t> </w:t>
      </w:r>
      <w:r>
        <w:rPr/>
        <w:t>Suit</w:t>
      </w:r>
      <w:r>
        <w:rPr>
          <w:spacing w:val="7"/>
        </w:rPr>
        <w:t> </w:t>
      </w:r>
      <w:r>
        <w:rPr/>
        <w:t>5</w:t>
      </w:r>
      <w:r>
        <w:rPr>
          <w:spacing w:val="8"/>
        </w:rPr>
        <w:t> </w:t>
      </w:r>
      <w:r>
        <w:rPr/>
        <w:t>claimed</w:t>
      </w:r>
      <w:r>
        <w:rPr>
          <w:spacing w:val="8"/>
        </w:rPr>
        <w:t> </w:t>
      </w:r>
      <w:r>
        <w:rPr/>
        <w:t>that</w:t>
      </w:r>
      <w:r>
        <w:rPr>
          <w:spacing w:val="7"/>
        </w:rPr>
        <w:t> </w:t>
      </w:r>
      <w:r>
        <w:rPr/>
        <w:t>the</w:t>
      </w:r>
      <w:r>
        <w:rPr>
          <w:spacing w:val="9"/>
        </w:rPr>
        <w:t> </w:t>
      </w:r>
      <w:r>
        <w:rPr/>
        <w:t>above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2"/>
        <w:jc w:val="both"/>
      </w:pPr>
      <w:r>
        <w:rPr/>
        <w:t>inscription was recovered on 6/7 December 1992 from the debris of the disputed structure which was demolished. The inscription is in stone with a dimension of 115cm X 55cm. Under the orders of the Court, an e-stampage (paper no. 203 C- 1/1) was prepared and was deciphered by Dr K V Ramesh (OPW-10) who is an epigraphist. The translation of the text was marked as Exhibit 2 in Suit 5. The case of the plaintiffs is that there was a Vishnu Hari temple at the site in dispute and it was on the demolition of the temple that a mosque was constructed in its place. In this segment, the inscription forms the fulcrum of the</w:t>
      </w:r>
      <w:r>
        <w:rPr>
          <w:spacing w:val="-17"/>
        </w:rPr>
        <w:t> </w:t>
      </w:r>
      <w:r>
        <w:rPr/>
        <w:t>submission.</w:t>
      </w:r>
    </w:p>
    <w:p>
      <w:pPr>
        <w:pStyle w:val="BodyText"/>
        <w:spacing w:before="11"/>
        <w:rPr>
          <w:sz w:val="38"/>
        </w:rPr>
      </w:pPr>
    </w:p>
    <w:p>
      <w:pPr>
        <w:pStyle w:val="ListParagraph"/>
        <w:numPr>
          <w:ilvl w:val="0"/>
          <w:numId w:val="166"/>
        </w:numPr>
        <w:tabs>
          <w:tab w:pos="1220" w:val="left" w:leader="none"/>
          <w:tab w:pos="1221" w:val="left" w:leader="none"/>
        </w:tabs>
        <w:spacing w:line="480" w:lineRule="auto" w:before="0" w:after="0"/>
        <w:ind w:left="500" w:right="447" w:firstLine="0"/>
        <w:jc w:val="left"/>
        <w:rPr>
          <w:sz w:val="25"/>
        </w:rPr>
      </w:pPr>
      <w:r>
        <w:rPr>
          <w:sz w:val="25"/>
        </w:rPr>
        <w:t>Material portions of the translation have been adverted to during the course of the proceedings and are extracted</w:t>
      </w:r>
      <w:r>
        <w:rPr>
          <w:spacing w:val="-8"/>
          <w:sz w:val="25"/>
        </w:rPr>
        <w:t> </w:t>
      </w:r>
      <w:r>
        <w:rPr>
          <w:sz w:val="25"/>
        </w:rPr>
        <w:t>below:</w:t>
      </w:r>
    </w:p>
    <w:p>
      <w:pPr>
        <w:spacing w:line="276" w:lineRule="auto" w:before="159"/>
        <w:ind w:left="1940" w:right="2263" w:firstLine="0"/>
        <w:jc w:val="both"/>
        <w:rPr>
          <w:sz w:val="21"/>
        </w:rPr>
      </w:pPr>
      <w:r>
        <w:rPr>
          <w:spacing w:val="-1"/>
          <w:w w:val="33"/>
          <w:sz w:val="21"/>
        </w:rPr>
        <w:t>―</w:t>
      </w:r>
      <w:r>
        <w:rPr>
          <w:spacing w:val="-1"/>
          <w:w w:val="100"/>
          <w:sz w:val="21"/>
        </w:rPr>
        <w:t>L</w:t>
      </w:r>
      <w:r>
        <w:rPr>
          <w:spacing w:val="1"/>
          <w:w w:val="100"/>
          <w:sz w:val="21"/>
        </w:rPr>
        <w:t>i</w:t>
      </w:r>
      <w:r>
        <w:rPr>
          <w:spacing w:val="-1"/>
          <w:w w:val="100"/>
          <w:sz w:val="21"/>
        </w:rPr>
        <w:t>n</w:t>
      </w:r>
      <w:r>
        <w:rPr>
          <w:spacing w:val="-3"/>
          <w:w w:val="100"/>
          <w:sz w:val="21"/>
        </w:rPr>
        <w:t>e</w:t>
      </w:r>
      <w:r>
        <w:rPr>
          <w:w w:val="100"/>
          <w:sz w:val="21"/>
        </w:rPr>
        <w:t>s</w:t>
      </w:r>
      <w:r>
        <w:rPr>
          <w:sz w:val="21"/>
        </w:rPr>
        <w:t> </w:t>
      </w:r>
      <w:r>
        <w:rPr>
          <w:spacing w:val="-26"/>
          <w:sz w:val="21"/>
        </w:rPr>
        <w:t> </w:t>
      </w:r>
      <w:r>
        <w:rPr>
          <w:spacing w:val="-1"/>
          <w:w w:val="100"/>
          <w:sz w:val="21"/>
        </w:rPr>
        <w:t>1</w:t>
      </w:r>
      <w:r>
        <w:rPr>
          <w:w w:val="100"/>
          <w:sz w:val="21"/>
        </w:rPr>
        <w:t>3</w:t>
      </w:r>
      <w:r>
        <w:rPr>
          <w:spacing w:val="-1"/>
          <w:w w:val="100"/>
          <w:sz w:val="21"/>
        </w:rPr>
        <w:t>-</w:t>
      </w:r>
      <w:r>
        <w:rPr>
          <w:spacing w:val="-3"/>
          <w:w w:val="100"/>
          <w:sz w:val="21"/>
        </w:rPr>
        <w:t>1</w:t>
      </w:r>
      <w:r>
        <w:rPr>
          <w:w w:val="100"/>
          <w:sz w:val="21"/>
        </w:rPr>
        <w:t>4,</w:t>
      </w:r>
      <w:r>
        <w:rPr>
          <w:sz w:val="21"/>
        </w:rPr>
        <w:t> </w:t>
      </w:r>
      <w:r>
        <w:rPr>
          <w:spacing w:val="-27"/>
          <w:sz w:val="21"/>
        </w:rPr>
        <w:t> </w:t>
      </w:r>
      <w:r>
        <w:rPr>
          <w:spacing w:val="-3"/>
          <w:w w:val="100"/>
          <w:sz w:val="21"/>
        </w:rPr>
        <w:t>v</w:t>
      </w:r>
      <w:r>
        <w:rPr>
          <w:w w:val="100"/>
          <w:sz w:val="21"/>
        </w:rPr>
        <w:t>erse</w:t>
      </w:r>
      <w:r>
        <w:rPr>
          <w:sz w:val="21"/>
        </w:rPr>
        <w:t> </w:t>
      </w:r>
      <w:r>
        <w:rPr>
          <w:spacing w:val="-27"/>
          <w:sz w:val="21"/>
        </w:rPr>
        <w:t> </w:t>
      </w:r>
      <w:r>
        <w:rPr>
          <w:w w:val="100"/>
          <w:sz w:val="21"/>
        </w:rPr>
        <w:t>19</w:t>
      </w:r>
      <w:r>
        <w:rPr>
          <w:w w:val="100"/>
          <w:sz w:val="21"/>
        </w:rPr>
        <w:t>-</w:t>
      </w:r>
      <w:r>
        <w:rPr>
          <w:sz w:val="21"/>
        </w:rPr>
        <w:t> </w:t>
      </w:r>
      <w:r>
        <w:rPr>
          <w:spacing w:val="-27"/>
          <w:sz w:val="21"/>
        </w:rPr>
        <w:t> </w:t>
      </w:r>
      <w:r>
        <w:rPr>
          <w:w w:val="100"/>
          <w:sz w:val="21"/>
        </w:rPr>
        <w:t>H</w:t>
      </w:r>
      <w:r>
        <w:rPr>
          <w:spacing w:val="-2"/>
          <w:w w:val="100"/>
          <w:sz w:val="21"/>
        </w:rPr>
        <w:t>i</w:t>
      </w:r>
      <w:r>
        <w:rPr>
          <w:w w:val="100"/>
          <w:sz w:val="21"/>
        </w:rPr>
        <w:t>s</w:t>
      </w:r>
      <w:r>
        <w:rPr>
          <w:sz w:val="21"/>
        </w:rPr>
        <w:t> </w:t>
      </w:r>
      <w:r>
        <w:rPr>
          <w:spacing w:val="-26"/>
          <w:sz w:val="21"/>
        </w:rPr>
        <w:t> </w:t>
      </w:r>
      <w:r>
        <w:rPr>
          <w:w w:val="100"/>
          <w:sz w:val="21"/>
        </w:rPr>
        <w:t>ne</w:t>
      </w:r>
      <w:r>
        <w:rPr>
          <w:spacing w:val="-2"/>
          <w:w w:val="100"/>
          <w:sz w:val="21"/>
        </w:rPr>
        <w:t>p</w:t>
      </w:r>
      <w:r>
        <w:rPr>
          <w:w w:val="100"/>
          <w:sz w:val="21"/>
        </w:rPr>
        <w:t>hew</w:t>
      </w:r>
      <w:r>
        <w:rPr>
          <w:sz w:val="21"/>
        </w:rPr>
        <w:t> </w:t>
      </w:r>
      <w:r>
        <w:rPr>
          <w:spacing w:val="-27"/>
          <w:sz w:val="21"/>
        </w:rPr>
        <w:t> </w:t>
      </w:r>
      <w:r>
        <w:rPr>
          <w:spacing w:val="-1"/>
          <w:w w:val="100"/>
          <w:sz w:val="21"/>
        </w:rPr>
        <w:t>(</w:t>
      </w:r>
      <w:r>
        <w:rPr>
          <w:w w:val="100"/>
          <w:sz w:val="21"/>
        </w:rPr>
        <w:t>li</w:t>
      </w:r>
      <w:r>
        <w:rPr>
          <w:spacing w:val="-2"/>
          <w:w w:val="100"/>
          <w:sz w:val="21"/>
        </w:rPr>
        <w:t>t</w:t>
      </w:r>
      <w:r>
        <w:rPr>
          <w:w w:val="100"/>
          <w:sz w:val="21"/>
        </w:rPr>
        <w:t>e</w:t>
      </w:r>
      <w:r>
        <w:rPr>
          <w:spacing w:val="-3"/>
          <w:w w:val="100"/>
          <w:sz w:val="21"/>
        </w:rPr>
        <w:t>r</w:t>
      </w:r>
      <w:r>
        <w:rPr>
          <w:w w:val="100"/>
          <w:sz w:val="21"/>
        </w:rPr>
        <w:t>a</w:t>
      </w:r>
      <w:r>
        <w:rPr>
          <w:spacing w:val="-2"/>
          <w:w w:val="100"/>
          <w:sz w:val="21"/>
        </w:rPr>
        <w:t>l</w:t>
      </w:r>
      <w:r>
        <w:rPr>
          <w:w w:val="100"/>
          <w:sz w:val="21"/>
        </w:rPr>
        <w:t>l</w:t>
      </w:r>
      <w:r>
        <w:rPr>
          <w:w w:val="100"/>
          <w:sz w:val="21"/>
        </w:rPr>
        <w:t>y</w:t>
      </w:r>
      <w:r>
        <w:rPr>
          <w:sz w:val="21"/>
        </w:rPr>
        <w:t> </w:t>
      </w:r>
      <w:r>
        <w:rPr>
          <w:spacing w:val="-28"/>
          <w:sz w:val="21"/>
        </w:rPr>
        <w:t> </w:t>
      </w:r>
      <w:r>
        <w:rPr>
          <w:w w:val="100"/>
          <w:sz w:val="21"/>
        </w:rPr>
        <w:t>bro</w:t>
      </w:r>
      <w:r>
        <w:rPr>
          <w:spacing w:val="-2"/>
          <w:w w:val="100"/>
          <w:sz w:val="21"/>
        </w:rPr>
        <w:t>t</w:t>
      </w:r>
      <w:r>
        <w:rPr>
          <w:w w:val="100"/>
          <w:sz w:val="21"/>
        </w:rPr>
        <w:t>her's</w:t>
      </w:r>
      <w:r>
        <w:rPr>
          <w:sz w:val="21"/>
        </w:rPr>
        <w:t> </w:t>
      </w:r>
      <w:r>
        <w:rPr>
          <w:spacing w:val="-26"/>
          <w:sz w:val="21"/>
        </w:rPr>
        <w:t> </w:t>
      </w:r>
      <w:r>
        <w:rPr>
          <w:w w:val="100"/>
          <w:sz w:val="21"/>
        </w:rPr>
        <w:t>s</w:t>
      </w:r>
      <w:r>
        <w:rPr>
          <w:spacing w:val="-3"/>
          <w:w w:val="100"/>
          <w:sz w:val="21"/>
        </w:rPr>
        <w:t>o</w:t>
      </w:r>
      <w:r>
        <w:rPr>
          <w:w w:val="100"/>
          <w:sz w:val="21"/>
        </w:rPr>
        <w:t>n), </w:t>
      </w:r>
      <w:r>
        <w:rPr>
          <w:sz w:val="21"/>
        </w:rPr>
        <w:t>the widely celebrated Meghasuta, the illustrious one, who superseded Anayacandra; he earned the lordship of Saketamandala through the grace of his elder, the Lord of the earth,</w:t>
      </w:r>
      <w:r>
        <w:rPr>
          <w:spacing w:val="-2"/>
          <w:sz w:val="21"/>
        </w:rPr>
        <w:t> </w:t>
      </w:r>
      <w:r>
        <w:rPr>
          <w:sz w:val="21"/>
        </w:rPr>
        <w:t>Govindacandra.</w:t>
      </w:r>
    </w:p>
    <w:p>
      <w:pPr>
        <w:tabs>
          <w:tab w:pos="2501" w:val="left" w:leader="none"/>
          <w:tab w:pos="2885" w:val="left" w:leader="none"/>
          <w:tab w:pos="3386" w:val="left" w:leader="none"/>
          <w:tab w:pos="4375" w:val="left" w:leader="none"/>
          <w:tab w:pos="5332" w:val="left" w:leader="none"/>
          <w:tab w:pos="5927" w:val="left" w:leader="none"/>
          <w:tab w:pos="6591" w:val="left" w:leader="none"/>
          <w:tab w:pos="7534" w:val="left" w:leader="none"/>
        </w:tabs>
        <w:spacing w:line="276" w:lineRule="auto" w:before="0"/>
        <w:ind w:left="1940" w:right="2260" w:firstLine="0"/>
        <w:jc w:val="left"/>
        <w:rPr>
          <w:sz w:val="21"/>
        </w:rPr>
      </w:pPr>
      <w:r>
        <w:rPr>
          <w:sz w:val="21"/>
        </w:rPr>
        <w:t>Line 14, verse 20- Not only did he, who was powerful, put an end</w:t>
        <w:tab/>
        <w:t>to</w:t>
        <w:tab/>
        <w:t>the</w:t>
        <w:tab/>
        <w:t>arrogant</w:t>
        <w:tab/>
        <w:t>warriors</w:t>
        <w:tab/>
        <w:t>who</w:t>
        <w:tab/>
        <w:t>were</w:t>
        <w:tab/>
        <w:t>dancing</w:t>
        <w:tab/>
      </w:r>
      <w:r>
        <w:rPr>
          <w:spacing w:val="-6"/>
          <w:sz w:val="21"/>
        </w:rPr>
        <w:t>in </w:t>
      </w:r>
      <w:r>
        <w:rPr>
          <w:sz w:val="21"/>
        </w:rPr>
        <w:t>unrestrained frenzy in the battles constantly fought by him, but he also gave (to his people) an excellent army which was replete with (soldiers comparable to) the wish-fulfilling trees. Lines 14-15, verse 21- By him, who was meditating in his mind on the easiest means of quickly jumping across the ocean of worldly attachments, was erected this beautiful temple of (The god) Visnu-Hari, [on a scale] never before done by the preceding kings, compactly formed [i.e. built] with rows of large and lofty stones which had been sculpted</w:t>
      </w:r>
      <w:r>
        <w:rPr>
          <w:spacing w:val="-14"/>
          <w:sz w:val="21"/>
        </w:rPr>
        <w:t> </w:t>
      </w:r>
      <w:r>
        <w:rPr>
          <w:sz w:val="21"/>
        </w:rPr>
        <w:t>out.</w:t>
      </w:r>
    </w:p>
    <w:p>
      <w:pPr>
        <w:spacing w:line="276" w:lineRule="auto" w:before="1"/>
        <w:ind w:left="1940" w:right="2263" w:firstLine="0"/>
        <w:jc w:val="both"/>
        <w:rPr>
          <w:sz w:val="21"/>
        </w:rPr>
      </w:pPr>
      <w:r>
        <w:rPr>
          <w:sz w:val="21"/>
        </w:rPr>
        <w:t>Lines 15-16, verse 22- The position of Alhana, whose tireless shoulders were like safety latches for the stability of the king Govindacandra's empire, was subsequently occupied by his younger (son?) Ayusyacandra.</w:t>
      </w:r>
    </w:p>
    <w:p>
      <w:pPr>
        <w:spacing w:line="276" w:lineRule="auto" w:before="0"/>
        <w:ind w:left="1940" w:right="2261" w:firstLine="57"/>
        <w:jc w:val="both"/>
        <w:rPr>
          <w:sz w:val="21"/>
        </w:rPr>
      </w:pPr>
      <w:r>
        <w:rPr>
          <w:sz w:val="21"/>
        </w:rPr>
        <w:t>Line 16, verse 23- Great poets dared not compare him with Sahasanka and Sudraka; out of sheer fear none save the God of Love dared draw the bow-string in his</w:t>
      </w:r>
      <w:r>
        <w:rPr>
          <w:spacing w:val="-12"/>
          <w:sz w:val="21"/>
        </w:rPr>
        <w:t> </w:t>
      </w:r>
      <w:r>
        <w:rPr>
          <w:sz w:val="21"/>
        </w:rPr>
        <w:t>presence.</w:t>
      </w:r>
    </w:p>
    <w:p>
      <w:pPr>
        <w:spacing w:line="276" w:lineRule="auto" w:before="0"/>
        <w:ind w:left="1940" w:right="2260" w:firstLine="0"/>
        <w:jc w:val="both"/>
        <w:rPr>
          <w:sz w:val="21"/>
        </w:rPr>
      </w:pPr>
      <w:r>
        <w:rPr>
          <w:sz w:val="21"/>
        </w:rPr>
        <w:t>Line 17, verse 24- By him, who was of good conduct, and abhorred strife, while residing at Ayodhya, which  had towering abodes, intellectuals and</w:t>
      </w:r>
      <w:r>
        <w:rPr>
          <w:spacing w:val="24"/>
          <w:sz w:val="21"/>
        </w:rPr>
        <w:t> </w:t>
      </w:r>
      <w:r>
        <w:rPr>
          <w:sz w:val="21"/>
        </w:rPr>
        <w:t>temples, Saketa-Mandala</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sz w:val="21"/>
        </w:rPr>
      </w:pPr>
      <w:r>
        <w:rPr>
          <w:sz w:val="21"/>
        </w:rPr>
        <w:t>was endowed with thousands of wells, reservoirs, alms- houses, tanks.‖</w:t>
      </w:r>
    </w:p>
    <w:p>
      <w:pPr>
        <w:pStyle w:val="BodyText"/>
        <w:rPr>
          <w:sz w:val="24"/>
        </w:rPr>
      </w:pPr>
    </w:p>
    <w:p>
      <w:pPr>
        <w:pStyle w:val="BodyText"/>
        <w:spacing w:before="209"/>
        <w:ind w:left="500"/>
      </w:pPr>
      <w:r>
        <w:rPr/>
        <w:t>Dr Ramesh submitted a report about the inscription. The report states thus:</w:t>
      </w:r>
    </w:p>
    <w:p>
      <w:pPr>
        <w:pStyle w:val="BodyText"/>
        <w:spacing w:before="9"/>
        <w:rPr>
          <w:sz w:val="24"/>
        </w:rPr>
      </w:pPr>
    </w:p>
    <w:p>
      <w:pPr>
        <w:spacing w:line="276" w:lineRule="auto" w:before="1"/>
        <w:ind w:left="1940" w:right="2261" w:firstLine="0"/>
        <w:jc w:val="both"/>
        <w:rPr>
          <w:sz w:val="21"/>
        </w:rPr>
      </w:pPr>
      <w:r>
        <w:rPr>
          <w:spacing w:val="-1"/>
          <w:w w:val="33"/>
          <w:sz w:val="21"/>
        </w:rPr>
        <w:t>―</w:t>
      </w:r>
      <w:r>
        <w:rPr>
          <w:w w:val="100"/>
          <w:sz w:val="21"/>
        </w:rPr>
        <w:t>The</w:t>
      </w:r>
      <w:r>
        <w:rPr>
          <w:spacing w:val="8"/>
          <w:sz w:val="21"/>
        </w:rPr>
        <w:t> </w:t>
      </w:r>
      <w:r>
        <w:rPr>
          <w:w w:val="100"/>
          <w:sz w:val="21"/>
        </w:rPr>
        <w:t>s</w:t>
      </w:r>
      <w:r>
        <w:rPr>
          <w:spacing w:val="-3"/>
          <w:w w:val="100"/>
          <w:sz w:val="21"/>
        </w:rPr>
        <w:t>u</w:t>
      </w:r>
      <w:r>
        <w:rPr>
          <w:spacing w:val="-1"/>
          <w:w w:val="100"/>
          <w:sz w:val="21"/>
        </w:rPr>
        <w:t>b</w:t>
      </w:r>
      <w:r>
        <w:rPr>
          <w:spacing w:val="-2"/>
          <w:w w:val="100"/>
          <w:sz w:val="21"/>
        </w:rPr>
        <w:t>j</w:t>
      </w:r>
      <w:r>
        <w:rPr>
          <w:spacing w:val="-1"/>
          <w:w w:val="100"/>
          <w:sz w:val="21"/>
        </w:rPr>
        <w:t>o</w:t>
      </w:r>
      <w:r>
        <w:rPr>
          <w:spacing w:val="-2"/>
          <w:w w:val="100"/>
          <w:sz w:val="21"/>
        </w:rPr>
        <w:t>i</w:t>
      </w:r>
      <w:r>
        <w:rPr>
          <w:spacing w:val="-1"/>
          <w:w w:val="100"/>
          <w:sz w:val="21"/>
        </w:rPr>
        <w:t>ne</w:t>
      </w:r>
      <w:r>
        <w:rPr>
          <w:w w:val="100"/>
          <w:sz w:val="21"/>
        </w:rPr>
        <w:t>d</w:t>
      </w:r>
      <w:r>
        <w:rPr>
          <w:spacing w:val="9"/>
          <w:sz w:val="21"/>
        </w:rPr>
        <w:t> </w:t>
      </w:r>
      <w:r>
        <w:rPr>
          <w:w w:val="100"/>
          <w:sz w:val="21"/>
        </w:rPr>
        <w:t>s</w:t>
      </w:r>
      <w:r>
        <w:rPr>
          <w:spacing w:val="-2"/>
          <w:w w:val="100"/>
          <w:sz w:val="21"/>
        </w:rPr>
        <w:t>t</w:t>
      </w:r>
      <w:r>
        <w:rPr>
          <w:spacing w:val="-3"/>
          <w:w w:val="100"/>
          <w:sz w:val="21"/>
        </w:rPr>
        <w:t>o</w:t>
      </w:r>
      <w:r>
        <w:rPr>
          <w:spacing w:val="-1"/>
          <w:w w:val="100"/>
          <w:sz w:val="21"/>
        </w:rPr>
        <w:t>n</w:t>
      </w:r>
      <w:r>
        <w:rPr>
          <w:w w:val="100"/>
          <w:sz w:val="21"/>
        </w:rPr>
        <w:t>e</w:t>
      </w:r>
      <w:r>
        <w:rPr>
          <w:spacing w:val="8"/>
          <w:sz w:val="21"/>
        </w:rPr>
        <w:t> </w:t>
      </w:r>
      <w:r>
        <w:rPr>
          <w:spacing w:val="-2"/>
          <w:w w:val="100"/>
          <w:sz w:val="21"/>
        </w:rPr>
        <w:t>i</w:t>
      </w:r>
      <w:r>
        <w:rPr>
          <w:spacing w:val="-1"/>
          <w:w w:val="100"/>
          <w:sz w:val="21"/>
        </w:rPr>
        <w:t>ns</w:t>
      </w:r>
      <w:r>
        <w:rPr>
          <w:spacing w:val="-3"/>
          <w:w w:val="100"/>
          <w:sz w:val="21"/>
        </w:rPr>
        <w:t>c</w:t>
      </w:r>
      <w:r>
        <w:rPr>
          <w:spacing w:val="-1"/>
          <w:w w:val="100"/>
          <w:sz w:val="21"/>
        </w:rPr>
        <w:t>r</w:t>
      </w:r>
      <w:r>
        <w:rPr>
          <w:w w:val="100"/>
          <w:sz w:val="21"/>
        </w:rPr>
        <w:t>i</w:t>
      </w:r>
      <w:r>
        <w:rPr>
          <w:spacing w:val="-1"/>
          <w:w w:val="100"/>
          <w:sz w:val="21"/>
        </w:rPr>
        <w:t>pt</w:t>
      </w:r>
      <w:r>
        <w:rPr>
          <w:w w:val="100"/>
          <w:sz w:val="21"/>
        </w:rPr>
        <w:t>i</w:t>
      </w:r>
      <w:r>
        <w:rPr>
          <w:spacing w:val="-3"/>
          <w:w w:val="100"/>
          <w:sz w:val="21"/>
        </w:rPr>
        <w:t>o</w:t>
      </w:r>
      <w:r>
        <w:rPr>
          <w:w w:val="100"/>
          <w:sz w:val="21"/>
        </w:rPr>
        <w:t>n</w:t>
      </w:r>
      <w:r>
        <w:rPr>
          <w:spacing w:val="8"/>
          <w:sz w:val="21"/>
        </w:rPr>
        <w:t> </w:t>
      </w:r>
      <w:r>
        <w:rPr>
          <w:w w:val="100"/>
          <w:sz w:val="21"/>
        </w:rPr>
        <w:t>is</w:t>
      </w:r>
      <w:r>
        <w:rPr>
          <w:spacing w:val="8"/>
          <w:sz w:val="21"/>
        </w:rPr>
        <w:t> </w:t>
      </w:r>
      <w:r>
        <w:rPr>
          <w:spacing w:val="-3"/>
          <w:w w:val="100"/>
          <w:sz w:val="21"/>
        </w:rPr>
        <w:t>e</w:t>
      </w:r>
      <w:r>
        <w:rPr>
          <w:spacing w:val="-1"/>
          <w:w w:val="100"/>
          <w:sz w:val="21"/>
        </w:rPr>
        <w:t>ngra</w:t>
      </w:r>
      <w:r>
        <w:rPr>
          <w:spacing w:val="-3"/>
          <w:w w:val="100"/>
          <w:sz w:val="21"/>
        </w:rPr>
        <w:t>v</w:t>
      </w:r>
      <w:r>
        <w:rPr>
          <w:spacing w:val="-1"/>
          <w:w w:val="100"/>
          <w:sz w:val="21"/>
        </w:rPr>
        <w:t>e</w:t>
      </w:r>
      <w:r>
        <w:rPr>
          <w:w w:val="100"/>
          <w:sz w:val="21"/>
        </w:rPr>
        <w:t>d</w:t>
      </w:r>
      <w:r>
        <w:rPr>
          <w:spacing w:val="8"/>
          <w:sz w:val="21"/>
        </w:rPr>
        <w:t> </w:t>
      </w:r>
      <w:r>
        <w:rPr>
          <w:spacing w:val="-3"/>
          <w:w w:val="100"/>
          <w:sz w:val="21"/>
        </w:rPr>
        <w:t>o</w:t>
      </w:r>
      <w:r>
        <w:rPr>
          <w:w w:val="100"/>
          <w:sz w:val="21"/>
        </w:rPr>
        <w:t>n</w:t>
      </w:r>
      <w:r>
        <w:rPr>
          <w:spacing w:val="8"/>
          <w:sz w:val="21"/>
        </w:rPr>
        <w:t> </w:t>
      </w:r>
      <w:r>
        <w:rPr>
          <w:w w:val="100"/>
          <w:sz w:val="21"/>
        </w:rPr>
        <w:t>a</w:t>
      </w:r>
      <w:r>
        <w:rPr>
          <w:spacing w:val="8"/>
          <w:sz w:val="21"/>
        </w:rPr>
        <w:t> </w:t>
      </w:r>
      <w:r>
        <w:rPr>
          <w:spacing w:val="-1"/>
          <w:w w:val="100"/>
          <w:sz w:val="21"/>
        </w:rPr>
        <w:t>rectan</w:t>
      </w:r>
      <w:r>
        <w:rPr>
          <w:spacing w:val="-2"/>
          <w:w w:val="100"/>
          <w:sz w:val="21"/>
        </w:rPr>
        <w:t>g</w:t>
      </w:r>
      <w:r>
        <w:rPr>
          <w:spacing w:val="-1"/>
          <w:w w:val="100"/>
          <w:sz w:val="21"/>
        </w:rPr>
        <w:t>u</w:t>
      </w:r>
      <w:r>
        <w:rPr>
          <w:spacing w:val="1"/>
          <w:w w:val="100"/>
          <w:sz w:val="21"/>
        </w:rPr>
        <w:t>l</w:t>
      </w:r>
      <w:r>
        <w:rPr>
          <w:spacing w:val="-3"/>
          <w:w w:val="100"/>
          <w:sz w:val="21"/>
        </w:rPr>
        <w:t>a</w:t>
      </w:r>
      <w:r>
        <w:rPr>
          <w:w w:val="100"/>
          <w:sz w:val="21"/>
        </w:rPr>
        <w:t>r </w:t>
      </w:r>
      <w:r>
        <w:rPr>
          <w:sz w:val="21"/>
        </w:rPr>
        <w:t>stone slab, the written area roughly covering an area of 115 cms X 55 cms. The slab as at present extant is diagonally broken in two leading to the loss of a couple of letters in almost every line. Besides, the first and last two lines have suffered heavy damage resulting in the loss of many letters. All in all, the loss of letters have proved a handicap to epigraphists and Sanskritists in the matter of fully interpreting the contents of the text. Nevertheless, the overall purport and the crux of its import are clear beyond doubt. In the first instance a hurriedly prepared estampage, and in recent  times, a high quality estampage as well as some photographs were all provided by Dr. S.P. Gupta Chairman, Archaeological Society of India, New Delhi for which I am highly thankful to him.</w:t>
      </w:r>
    </w:p>
    <w:p>
      <w:pPr>
        <w:pStyle w:val="BodyText"/>
        <w:spacing w:before="3"/>
        <w:rPr>
          <w:sz w:val="24"/>
        </w:rPr>
      </w:pPr>
    </w:p>
    <w:p>
      <w:pPr>
        <w:spacing w:line="276" w:lineRule="auto" w:before="1"/>
        <w:ind w:left="1940" w:right="2259" w:firstLine="0"/>
        <w:jc w:val="both"/>
        <w:rPr>
          <w:sz w:val="21"/>
        </w:rPr>
      </w:pPr>
      <w:r>
        <w:rPr>
          <w:sz w:val="21"/>
        </w:rPr>
        <w:t>The text of the inscription is written in fairly chaste Sanskrit, the orthographical features being regular for the period to which the inscription belongs, namely the middle of the 12th Century A.D. The inscription is not in any way dated, but may be assigned, with confidence, to the middle of the 12th Century on palaeographical grounds as well as the internal evidence provided by the inscriptional text in question.</w:t>
      </w:r>
    </w:p>
    <w:p>
      <w:pPr>
        <w:pStyle w:val="BodyText"/>
        <w:rPr>
          <w:sz w:val="24"/>
        </w:rPr>
      </w:pPr>
    </w:p>
    <w:p>
      <w:pPr>
        <w:spacing w:line="276" w:lineRule="auto" w:before="0"/>
        <w:ind w:left="1940" w:right="2263" w:firstLine="0"/>
        <w:jc w:val="both"/>
        <w:rPr>
          <w:sz w:val="21"/>
        </w:rPr>
      </w:pPr>
      <w:r>
        <w:rPr>
          <w:sz w:val="21"/>
        </w:rPr>
        <w:t>But for the opening salutation to Siva at the very beginning, the entire text of the inscription is composed in Sanskrit verse of fairly high literary excellence. As has been stated above, the palaeographical and orthographical features are normal for the period to which the inscription belongs, viz, the middle of the 12th century A.D. This was an important period of transition from classical Sanskrit to the North Indian vernaculars. This can be easily identified in contemporaneous inscriptions, including the present one, in the confusion in the use of class nasals and anusvara, and in the employment of the sibilants and</w:t>
      </w:r>
      <w:r>
        <w:rPr>
          <w:spacing w:val="-4"/>
          <w:sz w:val="21"/>
        </w:rPr>
        <w:t> </w:t>
      </w:r>
      <w:r>
        <w:rPr>
          <w:sz w:val="21"/>
        </w:rPr>
        <w:t>palatals.</w:t>
      </w:r>
    </w:p>
    <w:p>
      <w:pPr>
        <w:pStyle w:val="BodyText"/>
        <w:spacing w:before="3"/>
        <w:rPr>
          <w:sz w:val="24"/>
        </w:rPr>
      </w:pPr>
    </w:p>
    <w:p>
      <w:pPr>
        <w:spacing w:line="276" w:lineRule="auto" w:before="1"/>
        <w:ind w:left="1940" w:right="2260" w:firstLine="0"/>
        <w:jc w:val="both"/>
        <w:rPr>
          <w:sz w:val="21"/>
        </w:rPr>
      </w:pPr>
      <w:r>
        <w:rPr>
          <w:sz w:val="21"/>
        </w:rPr>
        <w:t>As for the contents of the text, it is fully reflective of medieval vanity as far as the eulogies of the heroes mentioned in the inscription are concerned. The most important internal historical information we get from this epigraph is the mention of Govindachandra, obviously of the Gahadavala dynasty, who ruled over a fairly vast empire from 1114 to 1155 A.D. Verse 1 is entirely lost. Verse 2, which is badly mutilated, refers to Trivikrama and, hence, may have been composed</w:t>
      </w:r>
      <w:r>
        <w:rPr>
          <w:spacing w:val="32"/>
          <w:sz w:val="21"/>
        </w:rPr>
        <w:t> </w:t>
      </w:r>
      <w:r>
        <w:rPr>
          <w:sz w:val="21"/>
        </w:rPr>
        <w:t>in</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0" w:firstLine="0"/>
        <w:jc w:val="both"/>
        <w:rPr>
          <w:sz w:val="21"/>
        </w:rPr>
      </w:pPr>
      <w:r>
        <w:rPr>
          <w:sz w:val="21"/>
        </w:rPr>
        <w:t>praise of Lord Visnu. Verse 3, which is also badly damaged, seems to allude to the near-total decimation of the warrior clans by Bhargava-Parasurama. Verse 4 refers to the emergence of a Ksatriya family, heroes born in which successfully resurrected the decadent warrior clans. According to Verse 5, in that noble family was born the beloved of the people, Mame. Verse 7 speaks of his detachment from mundane things while Verse 8 informs us that he bequeathed his realm and wealth to his son Sallaksana. Verse 9 to 14 contain conventional praises showered on this Sallaksana in which the poet has displayed a high level of poetic imagination. Verse 15 refers to the birth of his son whose stunning resemblance to his father was the talk among the people. Verse 16 refers to this son as Alhana and credits him with retrieving the past power and glory of his family. While the next two verses (17 and 18) contain his conventional praise, verse 19 gives the information that his nephew, Meghasuta by name, as superseding a certain Anayacandra and obtaining the Lordship of Saketa-mandala through the grace of the senior Lord of the earth, Govindacandra, While verse 20 lauds the military might of this hero, verse 21 gives the important information that, in order to ensure his easy passage into the heavens, Meghasuta built a lofty stone temple for the god Visnu-Hari. From verse 22 we learn that he, who was responsible for the stability of Govindacandra's empire, was succeeded by the younger Ayusyacandra as the Lord of Saketa-mandala. Verse 23 contains his conventional praise. According to verse 24, he set up residence in the city of Ayodhya, which </w:t>
      </w:r>
      <w:r>
        <w:rPr>
          <w:spacing w:val="-3"/>
          <w:sz w:val="21"/>
        </w:rPr>
        <w:t>was </w:t>
      </w:r>
      <w:r>
        <w:rPr>
          <w:sz w:val="21"/>
        </w:rPr>
        <w:t>adorned with lofty abodes, intellectuals and temples, and added to the entire Saketa-mandala thousands of small and big water reservoirs. Verse 25 and 26 contain more conventional praises of Ayusyacandra. Verse 27, which is partly damaged, alludes to the well-known episodes of Vishnu's incarnations as Narasimha, Krsna, Vamana and Rama. The badly damaged verse 28 refers to a King (probably Ayusyacandra) as warding off the danger of invasion from the west (i.e. from the invading Muslim forces). Verse 29, which is incomplete, mentions the king</w:t>
      </w:r>
      <w:r>
        <w:rPr>
          <w:spacing w:val="-5"/>
          <w:sz w:val="21"/>
        </w:rPr>
        <w:t> </w:t>
      </w:r>
      <w:r>
        <w:rPr>
          <w:sz w:val="21"/>
        </w:rPr>
        <w:t>Ayusyacandra.</w:t>
      </w:r>
    </w:p>
    <w:p>
      <w:pPr>
        <w:pStyle w:val="BodyText"/>
        <w:spacing w:before="3"/>
        <w:rPr>
          <w:sz w:val="24"/>
        </w:rPr>
      </w:pPr>
    </w:p>
    <w:p>
      <w:pPr>
        <w:spacing w:line="276" w:lineRule="auto" w:before="0"/>
        <w:ind w:left="1940" w:right="2262" w:firstLine="0"/>
        <w:jc w:val="both"/>
        <w:rPr>
          <w:sz w:val="21"/>
        </w:rPr>
      </w:pPr>
      <w:r>
        <w:rPr>
          <w:sz w:val="21"/>
        </w:rPr>
        <w:t>The reference to Saketa-mandala is interesting. It is well known that North India just as in the case of the South, was divided into administrate divisions called mandalas (see the word mandala in the indices to H.C. Ray's monumental two- volume work 'The Dynastic History of Northern India', II edn.' 1973, Delhi).‖</w:t>
      </w:r>
    </w:p>
    <w:p>
      <w:pPr>
        <w:spacing w:after="0" w:line="276" w:lineRule="auto"/>
        <w:jc w:val="both"/>
        <w:rPr>
          <w:sz w:val="21"/>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34" w:firstLine="0"/>
        <w:jc w:val="both"/>
        <w:rPr>
          <w:sz w:val="25"/>
        </w:rPr>
      </w:pPr>
      <w:r>
        <w:rPr>
          <w:sz w:val="25"/>
        </w:rPr>
        <w:t>While discussing the evidence of the witness, Justice Sudhir Agarwal has noted that the expertise of OPW-10 as an epigraphist could not be disputed by any of the parties. OPW-10 appeared as a witness and proved the translation of the contents of the stone inscription by him. According to the witness, the inscription would belong to the twelfth century A.D. and from it, the existence of a Vishnu Hari temple constructed in Ayodhya in twelfth century A.D. has been noted. OPW-10 stated that the expression indicates that Ayodhya was the headquarters of Saket Mandala. Moreover, while the temple was constructed by Meghasuta, the inscription was written by his successors. Justice Sudhir Agarwal in the course of his decision has observed that the genuineness and authenticity of the inscription could not be doubted though it was argued on behalf of the Muslim parties that the manner in which it was claimed to have been retrieved was not trustworthy so as to enter a finding that it had been affixed in the building at the disputed site prior to its demolition. Hence, it was urged by them that the stone inscription by itself cannot be evidence to hold that a Vishnu Hari temple existed or was constructed at the disputed</w:t>
      </w:r>
      <w:r>
        <w:rPr>
          <w:spacing w:val="-6"/>
          <w:sz w:val="25"/>
        </w:rPr>
        <w:t> </w:t>
      </w:r>
      <w:r>
        <w:rPr>
          <w:sz w:val="25"/>
        </w:rPr>
        <w:t>site.</w:t>
      </w:r>
    </w:p>
    <w:p>
      <w:pPr>
        <w:pStyle w:val="BodyText"/>
        <w:spacing w:before="10"/>
        <w:rPr>
          <w:sz w:val="38"/>
        </w:rPr>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Dr K V Ramesh (OPW-10) stated in the affidavit in lieu of his Examination- in-Chief that he has an M.A. in Sanskrit Language and Literature from Madras University and completed a Ph.D. in History in 1965 from Karnataka University. In 1965, he joined the ASI in the office of the Government Epigraphist </w:t>
      </w:r>
      <w:r>
        <w:rPr>
          <w:spacing w:val="3"/>
          <w:sz w:val="25"/>
        </w:rPr>
        <w:t>and </w:t>
      </w:r>
      <w:r>
        <w:rPr>
          <w:sz w:val="25"/>
        </w:rPr>
        <w:t>was selected by UPSC as Deputy Superintending Epigraphist for Sanskrit inscriptions in 1966. He was promoted and eventually rose to become the Joint Director of the ASI in 1992 before his retirement on 30 June 1993. Dr Ramesh stated that</w:t>
      </w:r>
      <w:r>
        <w:rPr>
          <w:spacing w:val="11"/>
          <w:sz w:val="25"/>
        </w:rPr>
        <w:t> </w:t>
      </w:r>
      <w:r>
        <w:rPr>
          <w:sz w:val="25"/>
        </w:rPr>
        <w: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was approached by D N Agarwal and his counsel for deciphering the twenty-line stone inscription on the basis of an e-stampage made available to him, which  was paper no. 203C-1/1 on the record of Suit 5. He accordingly made a translation of the e-stampage and handed over the report to D N Agarwal. During the course of his cross-examination, Dr Ramesh stated that he had seen an additional legible photograph of the inscription in December 1992 when it was brought to him by Dr S P Gupta at Delhi. He also stated that he had partly deciphered the inscription on his own in his office at the ASI at Delhi. He stated that he had once assembled with several other persons at the office of the Indian Archaeological Society which was headed by Dr S P Gupta. The witness stated that he was conversant with the inscriptions of Gahadawala Nagri script and that he had seen nearly ten to twenty inscriptions of the dynasty published in Ephigraphia Indica. The witness had written over fifty articles on Sanskrit inscriptions found in northern and southern India. Of them, ten inscriptions belonged to northern India all of which relate to the period prior or up to the end of the twelfth century A.D. During his cross-examination, the witness explained the basis on which it had been deduced that the inscription dated to the twelfth century:</w:t>
      </w:r>
    </w:p>
    <w:p>
      <w:pPr>
        <w:spacing w:line="276" w:lineRule="auto" w:before="161"/>
        <w:ind w:left="1940" w:right="2260" w:firstLine="0"/>
        <w:jc w:val="both"/>
        <w:rPr>
          <w:sz w:val="21"/>
        </w:rPr>
      </w:pPr>
      <w:r>
        <w:rPr>
          <w:w w:val="33"/>
          <w:sz w:val="21"/>
        </w:rPr>
        <w:t>―</w:t>
      </w:r>
      <w:r>
        <w:rPr>
          <w:w w:val="100"/>
          <w:sz w:val="21"/>
        </w:rPr>
        <w:t>According</w:t>
      </w:r>
      <w:r>
        <w:rPr>
          <w:sz w:val="21"/>
        </w:rPr>
        <w:t> </w:t>
      </w:r>
      <w:r>
        <w:rPr>
          <w:w w:val="100"/>
          <w:sz w:val="21"/>
        </w:rPr>
        <w:t>to</w:t>
      </w:r>
      <w:r>
        <w:rPr>
          <w:sz w:val="21"/>
        </w:rPr>
        <w:t> </w:t>
      </w:r>
      <w:r>
        <w:rPr>
          <w:w w:val="100"/>
          <w:sz w:val="21"/>
        </w:rPr>
        <w:t>me,</w:t>
      </w:r>
      <w:r>
        <w:rPr>
          <w:sz w:val="21"/>
        </w:rPr>
        <w:t> </w:t>
      </w:r>
      <w:r>
        <w:rPr>
          <w:w w:val="100"/>
          <w:sz w:val="21"/>
        </w:rPr>
        <w:t>the</w:t>
      </w:r>
      <w:r>
        <w:rPr>
          <w:sz w:val="21"/>
        </w:rPr>
        <w:t> </w:t>
      </w:r>
      <w:r>
        <w:rPr>
          <w:w w:val="100"/>
          <w:sz w:val="21"/>
        </w:rPr>
        <w:t>period</w:t>
      </w:r>
      <w:r>
        <w:rPr>
          <w:sz w:val="21"/>
        </w:rPr>
        <w:t> </w:t>
      </w:r>
      <w:r>
        <w:rPr>
          <w:w w:val="100"/>
          <w:sz w:val="21"/>
        </w:rPr>
        <w:t>of</w:t>
      </w:r>
      <w:r>
        <w:rPr>
          <w:sz w:val="21"/>
        </w:rPr>
        <w:t> </w:t>
      </w:r>
      <w:r>
        <w:rPr>
          <w:w w:val="100"/>
          <w:sz w:val="21"/>
        </w:rPr>
        <w:t>the</w:t>
      </w:r>
      <w:r>
        <w:rPr>
          <w:sz w:val="21"/>
        </w:rPr>
        <w:t> </w:t>
      </w:r>
      <w:r>
        <w:rPr>
          <w:w w:val="100"/>
          <w:sz w:val="21"/>
        </w:rPr>
        <w:t>inscription</w:t>
      </w:r>
      <w:r>
        <w:rPr>
          <w:sz w:val="21"/>
        </w:rPr>
        <w:t> </w:t>
      </w:r>
      <w:r>
        <w:rPr>
          <w:w w:val="100"/>
          <w:sz w:val="21"/>
        </w:rPr>
        <w:t>in</w:t>
      </w:r>
      <w:r>
        <w:rPr>
          <w:sz w:val="21"/>
        </w:rPr>
        <w:t> </w:t>
      </w:r>
      <w:r>
        <w:rPr>
          <w:w w:val="100"/>
          <w:sz w:val="21"/>
        </w:rPr>
        <w:t>question</w:t>
      </w:r>
      <w:r>
        <w:rPr>
          <w:sz w:val="21"/>
        </w:rPr>
        <w:t> </w:t>
      </w:r>
      <w:r>
        <w:rPr>
          <w:w w:val="100"/>
          <w:sz w:val="21"/>
        </w:rPr>
        <w:t>can </w:t>
      </w:r>
      <w:r>
        <w:rPr>
          <w:sz w:val="21"/>
        </w:rPr>
        <w:t>be dated back to the 12</w:t>
      </w:r>
      <w:r>
        <w:rPr>
          <w:sz w:val="21"/>
          <w:vertAlign w:val="superscript"/>
        </w:rPr>
        <w:t>th</w:t>
      </w:r>
      <w:r>
        <w:rPr>
          <w:sz w:val="21"/>
          <w:vertAlign w:val="baseline"/>
        </w:rPr>
        <w:t> Century, and wherever I have used specifically the period around middle of 12</w:t>
      </w:r>
      <w:r>
        <w:rPr>
          <w:sz w:val="21"/>
          <w:vertAlign w:val="superscript"/>
        </w:rPr>
        <w:t>th</w:t>
      </w:r>
      <w:r>
        <w:rPr>
          <w:sz w:val="21"/>
          <w:vertAlign w:val="baseline"/>
        </w:rPr>
        <w:t> Century, I meant that it was from about 1130 to 1170 A.D. If once I have used the period around middle of the 12</w:t>
      </w:r>
      <w:r>
        <w:rPr>
          <w:sz w:val="21"/>
          <w:vertAlign w:val="superscript"/>
        </w:rPr>
        <w:t>th</w:t>
      </w:r>
      <w:r>
        <w:rPr>
          <w:sz w:val="21"/>
          <w:vertAlign w:val="baseline"/>
        </w:rPr>
        <w:t> Century, it will remain the same even if I subsequently refer it to as 12</w:t>
      </w:r>
      <w:r>
        <w:rPr>
          <w:sz w:val="21"/>
          <w:vertAlign w:val="superscript"/>
        </w:rPr>
        <w:t>th</w:t>
      </w:r>
      <w:r>
        <w:rPr>
          <w:sz w:val="21"/>
          <w:vertAlign w:val="baseline"/>
        </w:rPr>
        <w:t> Century. It is on account of the palaeographical grounds and the internal evidence as recited by me in para 2 at page 1 of my report (Ext. OOS 5-2) that I arrived at the approximate period of the inscriptional text in question.‖</w:t>
      </w:r>
    </w:p>
    <w:p>
      <w:pPr>
        <w:spacing w:after="0" w:line="276" w:lineRule="auto"/>
        <w:jc w:val="both"/>
        <w:rPr>
          <w:sz w:val="21"/>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35" w:firstLine="0"/>
        <w:jc w:val="both"/>
        <w:rPr>
          <w:sz w:val="25"/>
        </w:rPr>
      </w:pPr>
      <w:r>
        <w:rPr>
          <w:sz w:val="25"/>
        </w:rPr>
        <w:t>The expertise of Dr K V Ramesh, based on his qualifications and experience in the ASI, is a matter of record. Dr Rajeev Dhavan, learned Senior Counsel appearing on behalf of the Sunni Waqf Board, however sought to emphasise the following aspects in regard to the testimony of Dr</w:t>
      </w:r>
      <w:r>
        <w:rPr>
          <w:spacing w:val="-13"/>
          <w:sz w:val="25"/>
        </w:rPr>
        <w:t> </w:t>
      </w:r>
      <w:r>
        <w:rPr>
          <w:sz w:val="25"/>
        </w:rPr>
        <w:t>Ramesh:</w:t>
      </w:r>
    </w:p>
    <w:p>
      <w:pPr>
        <w:pStyle w:val="ListParagraph"/>
        <w:numPr>
          <w:ilvl w:val="0"/>
          <w:numId w:val="178"/>
        </w:numPr>
        <w:tabs>
          <w:tab w:pos="1221" w:val="left" w:leader="none"/>
        </w:tabs>
        <w:spacing w:line="480" w:lineRule="auto" w:before="160" w:after="0"/>
        <w:ind w:left="1220" w:right="443" w:hanging="720"/>
        <w:jc w:val="both"/>
        <w:rPr>
          <w:sz w:val="25"/>
        </w:rPr>
      </w:pPr>
      <w:r>
        <w:rPr>
          <w:sz w:val="25"/>
        </w:rPr>
        <w:t>In the translation at verse 27, incarnations of Lord Vishnu are mentioned in the avatars – Narsimha, Krishna, Vamana and Ram. Hence, according to the submission, no specific importance or focus on Lord Ram has been made in the</w:t>
      </w:r>
      <w:r>
        <w:rPr>
          <w:spacing w:val="-3"/>
          <w:sz w:val="25"/>
        </w:rPr>
        <w:t> </w:t>
      </w:r>
      <w:r>
        <w:rPr>
          <w:sz w:val="25"/>
        </w:rPr>
        <w:t>inscription;</w:t>
      </w:r>
    </w:p>
    <w:p>
      <w:pPr>
        <w:pStyle w:val="ListParagraph"/>
        <w:numPr>
          <w:ilvl w:val="0"/>
          <w:numId w:val="178"/>
        </w:numPr>
        <w:tabs>
          <w:tab w:pos="1221" w:val="left" w:leader="none"/>
        </w:tabs>
        <w:spacing w:line="480" w:lineRule="auto" w:before="0" w:after="0"/>
        <w:ind w:left="1220" w:right="442" w:hanging="720"/>
        <w:jc w:val="both"/>
        <w:rPr>
          <w:sz w:val="25"/>
        </w:rPr>
      </w:pPr>
      <w:r>
        <w:rPr>
          <w:sz w:val="25"/>
        </w:rPr>
        <w:t>Dr Ramesh is not a historian of Northern India and according to him it is not possible to interpret inscriptions until the epigraphist knows contemporary</w:t>
      </w:r>
      <w:r>
        <w:rPr>
          <w:spacing w:val="-4"/>
          <w:sz w:val="25"/>
        </w:rPr>
        <w:t> </w:t>
      </w:r>
      <w:r>
        <w:rPr>
          <w:sz w:val="25"/>
        </w:rPr>
        <w:t>history;</w:t>
      </w:r>
    </w:p>
    <w:p>
      <w:pPr>
        <w:pStyle w:val="ListParagraph"/>
        <w:numPr>
          <w:ilvl w:val="0"/>
          <w:numId w:val="178"/>
        </w:numPr>
        <w:tabs>
          <w:tab w:pos="1221" w:val="left" w:leader="none"/>
        </w:tabs>
        <w:spacing w:line="480" w:lineRule="auto" w:before="1" w:after="0"/>
        <w:ind w:left="1220" w:right="441" w:hanging="720"/>
        <w:jc w:val="both"/>
        <w:rPr>
          <w:sz w:val="25"/>
        </w:rPr>
      </w:pPr>
      <w:r>
        <w:rPr>
          <w:sz w:val="25"/>
        </w:rPr>
        <w:t>Dr Ramesh had occasion to sit with Dr S P Gupta in the office of the Indian Archaeological Society (which is distinct from the ASI which is a governmental</w:t>
      </w:r>
      <w:r>
        <w:rPr>
          <w:spacing w:val="-2"/>
          <w:sz w:val="25"/>
        </w:rPr>
        <w:t> </w:t>
      </w:r>
      <w:r>
        <w:rPr>
          <w:sz w:val="25"/>
        </w:rPr>
        <w:t>body);</w:t>
      </w:r>
    </w:p>
    <w:p>
      <w:pPr>
        <w:pStyle w:val="ListParagraph"/>
        <w:numPr>
          <w:ilvl w:val="0"/>
          <w:numId w:val="178"/>
        </w:numPr>
        <w:tabs>
          <w:tab w:pos="1221" w:val="left" w:leader="none"/>
        </w:tabs>
        <w:spacing w:line="480" w:lineRule="auto" w:before="1" w:after="0"/>
        <w:ind w:left="1220" w:right="440" w:hanging="720"/>
        <w:jc w:val="both"/>
        <w:rPr>
          <w:sz w:val="25"/>
        </w:rPr>
      </w:pPr>
      <w:r>
        <w:rPr>
          <w:sz w:val="25"/>
        </w:rPr>
        <w:t>Dr S P Gupta who is OPW-3 had admitted to being a member of the RSS before 1975 and hence, bias cannot be ruled</w:t>
      </w:r>
      <w:r>
        <w:rPr>
          <w:spacing w:val="-7"/>
          <w:sz w:val="25"/>
        </w:rPr>
        <w:t> </w:t>
      </w:r>
      <w:r>
        <w:rPr>
          <w:sz w:val="25"/>
        </w:rPr>
        <w:t>out;</w:t>
      </w:r>
    </w:p>
    <w:p>
      <w:pPr>
        <w:pStyle w:val="ListParagraph"/>
        <w:numPr>
          <w:ilvl w:val="0"/>
          <w:numId w:val="178"/>
        </w:numPr>
        <w:tabs>
          <w:tab w:pos="1221" w:val="left" w:leader="none"/>
        </w:tabs>
        <w:spacing w:line="480" w:lineRule="auto" w:before="0" w:after="0"/>
        <w:ind w:left="1220" w:right="434" w:hanging="720"/>
        <w:jc w:val="both"/>
        <w:rPr>
          <w:sz w:val="25"/>
        </w:rPr>
      </w:pPr>
      <w:r>
        <w:rPr>
          <w:sz w:val="25"/>
        </w:rPr>
        <w:t>Dr Ramesh clarified that at page 9 of his report in verse 5 – line 4 and 5, while making a reference to the noble family, he has translated Ram Janmabhumi as the birth-place of valour – meaning thereby the birth-place of the Royal Kshatriya family of the dynasty. He clarifies that the members of this family later became chieftains of Saketa Mandala during the time of Meghasuta. This, in the submission, shows that the reference to Ram Janmabhumi was not to the birth-place of Lord Ram but to the birth-place of the royal dynasty at the time;</w:t>
      </w:r>
      <w:r>
        <w:rPr>
          <w:spacing w:val="-5"/>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ListParagraph"/>
        <w:numPr>
          <w:ilvl w:val="0"/>
          <w:numId w:val="178"/>
        </w:numPr>
        <w:tabs>
          <w:tab w:pos="1220" w:val="left" w:leader="none"/>
          <w:tab w:pos="1221" w:val="left" w:leader="none"/>
        </w:tabs>
        <w:spacing w:line="480" w:lineRule="auto" w:before="124" w:after="0"/>
        <w:ind w:left="1220" w:right="446" w:hanging="720"/>
        <w:jc w:val="left"/>
        <w:rPr>
          <w:sz w:val="25"/>
        </w:rPr>
      </w:pPr>
      <w:r>
        <w:rPr>
          <w:sz w:val="25"/>
        </w:rPr>
        <w:t>Verse 27 in para 13 of the report is in praise of Lord Vishnu and there is no specific mention of Lord</w:t>
      </w:r>
      <w:r>
        <w:rPr>
          <w:spacing w:val="-1"/>
          <w:sz w:val="25"/>
        </w:rPr>
        <w:t> </w:t>
      </w:r>
      <w:r>
        <w:rPr>
          <w:sz w:val="25"/>
        </w:rPr>
        <w:t>Ram.</w:t>
      </w:r>
    </w:p>
    <w:p>
      <w:pPr>
        <w:pStyle w:val="BodyText"/>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In assessing this submission, we must at the outset note that no cogent basis has been furnished to doubt the qualifications and experience of Dr K V Ramesh. Dr Ramesh was employed with the ASI for many years and eventually rose to occupy the position of Joint Director General. He has furnished a translation of the original inscription and has indicated the basis on which he deduced that it relates to the twelfth century. He notes that the epigraphists mention Govindachandra who belonged to the Gahadavala dynasty and ruled between 1114 and 1155 A.D. Moreover, the chaste Sanskrit, orthographical features and palaeography confirmed (according to Dr Ramesh) that the inscription belongs to the twelfth century A.D. Dr Ramesh also spoke about verses 21 to 24 mentioning the construction of a lofty stone temple by Meghasuta dedicated to Lord Vishnu Hari. He was succeeded by Ayusyacandra who, while ruling Ayodhya endowed Saketa Mandala with the construction of reservoirs. Verse 27 which has been damaged </w:t>
      </w:r>
      <w:r>
        <w:rPr>
          <w:spacing w:val="2"/>
          <w:sz w:val="25"/>
        </w:rPr>
        <w:t>in </w:t>
      </w:r>
      <w:r>
        <w:rPr>
          <w:sz w:val="25"/>
        </w:rPr>
        <w:t>part has been interpreted by Dr Ramesh in the course of his Examination-in-Chief as follows</w:t>
      </w:r>
      <w:r>
        <w:rPr>
          <w:spacing w:val="-7"/>
          <w:sz w:val="25"/>
        </w:rPr>
        <w:t> </w:t>
      </w:r>
      <w:r>
        <w:rPr>
          <w:sz w:val="25"/>
        </w:rPr>
        <w:t>:</w:t>
      </w:r>
    </w:p>
    <w:p>
      <w:pPr>
        <w:spacing w:line="276" w:lineRule="auto" w:before="160"/>
        <w:ind w:left="1940" w:right="2260" w:firstLine="0"/>
        <w:jc w:val="both"/>
        <w:rPr>
          <w:sz w:val="21"/>
        </w:rPr>
      </w:pPr>
      <w:r>
        <w:rPr>
          <w:spacing w:val="-1"/>
          <w:w w:val="33"/>
          <w:sz w:val="21"/>
        </w:rPr>
        <w:t>―</w:t>
      </w:r>
      <w:r>
        <w:rPr>
          <w:spacing w:val="-1"/>
          <w:w w:val="100"/>
          <w:sz w:val="21"/>
        </w:rPr>
        <w:t>13</w:t>
      </w:r>
      <w:r>
        <w:rPr>
          <w:w w:val="100"/>
          <w:sz w:val="21"/>
        </w:rPr>
        <w:t>.</w:t>
      </w:r>
      <w:r>
        <w:rPr>
          <w:spacing w:val="26"/>
          <w:sz w:val="21"/>
        </w:rPr>
        <w:t> </w:t>
      </w:r>
      <w:r>
        <w:rPr>
          <w:spacing w:val="-1"/>
          <w:w w:val="33"/>
          <w:sz w:val="21"/>
        </w:rPr>
        <w:t>―</w:t>
      </w:r>
      <w:r>
        <w:rPr>
          <w:w w:val="100"/>
          <w:sz w:val="21"/>
        </w:rPr>
        <w:t>V</w:t>
      </w:r>
      <w:r>
        <w:rPr>
          <w:spacing w:val="-1"/>
          <w:w w:val="100"/>
          <w:sz w:val="21"/>
        </w:rPr>
        <w:t>er</w:t>
      </w:r>
      <w:r>
        <w:rPr>
          <w:spacing w:val="-3"/>
          <w:w w:val="100"/>
          <w:sz w:val="21"/>
        </w:rPr>
        <w:t>s</w:t>
      </w:r>
      <w:r>
        <w:rPr>
          <w:w w:val="100"/>
          <w:sz w:val="21"/>
        </w:rPr>
        <w:t>e</w:t>
      </w:r>
      <w:r>
        <w:rPr>
          <w:spacing w:val="27"/>
          <w:sz w:val="21"/>
        </w:rPr>
        <w:t> </w:t>
      </w:r>
      <w:r>
        <w:rPr>
          <w:spacing w:val="-3"/>
          <w:w w:val="100"/>
          <w:sz w:val="21"/>
        </w:rPr>
        <w:t>2</w:t>
      </w:r>
      <w:r>
        <w:rPr>
          <w:w w:val="100"/>
          <w:sz w:val="21"/>
        </w:rPr>
        <w:t>7</w:t>
      </w:r>
      <w:r>
        <w:rPr>
          <w:spacing w:val="27"/>
          <w:sz w:val="21"/>
        </w:rPr>
        <w:t> </w:t>
      </w:r>
      <w:r>
        <w:rPr>
          <w:spacing w:val="-1"/>
          <w:w w:val="100"/>
          <w:sz w:val="21"/>
        </w:rPr>
        <w:t>(</w:t>
      </w:r>
      <w:r>
        <w:rPr>
          <w:spacing w:val="-3"/>
          <w:w w:val="100"/>
          <w:sz w:val="21"/>
        </w:rPr>
        <w:t>da</w:t>
      </w:r>
      <w:r>
        <w:rPr>
          <w:spacing w:val="1"/>
          <w:w w:val="100"/>
          <w:sz w:val="21"/>
        </w:rPr>
        <w:t>m</w:t>
      </w:r>
      <w:r>
        <w:rPr>
          <w:spacing w:val="-1"/>
          <w:w w:val="100"/>
          <w:sz w:val="21"/>
        </w:rPr>
        <w:t>a</w:t>
      </w:r>
      <w:r>
        <w:rPr>
          <w:spacing w:val="-3"/>
          <w:w w:val="100"/>
          <w:sz w:val="21"/>
        </w:rPr>
        <w:t>g</w:t>
      </w:r>
      <w:r>
        <w:rPr>
          <w:spacing w:val="-1"/>
          <w:w w:val="100"/>
          <w:sz w:val="21"/>
        </w:rPr>
        <w:t>e</w:t>
      </w:r>
      <w:r>
        <w:rPr>
          <w:w w:val="100"/>
          <w:sz w:val="21"/>
        </w:rPr>
        <w:t>d</w:t>
      </w:r>
      <w:r>
        <w:rPr>
          <w:spacing w:val="25"/>
          <w:sz w:val="21"/>
        </w:rPr>
        <w:t> </w:t>
      </w:r>
      <w:r>
        <w:rPr>
          <w:w w:val="100"/>
          <w:sz w:val="21"/>
        </w:rPr>
        <w:t>in</w:t>
      </w:r>
      <w:r>
        <w:rPr>
          <w:spacing w:val="25"/>
          <w:sz w:val="21"/>
        </w:rPr>
        <w:t> </w:t>
      </w:r>
      <w:r>
        <w:rPr>
          <w:spacing w:val="-1"/>
          <w:w w:val="100"/>
          <w:sz w:val="21"/>
        </w:rPr>
        <w:t>par</w:t>
      </w:r>
      <w:r>
        <w:rPr>
          <w:spacing w:val="-2"/>
          <w:w w:val="100"/>
          <w:sz w:val="21"/>
        </w:rPr>
        <w:t>t</w:t>
      </w:r>
      <w:r>
        <w:rPr>
          <w:w w:val="100"/>
          <w:sz w:val="21"/>
        </w:rPr>
        <w:t>)</w:t>
      </w:r>
      <w:r>
        <w:rPr>
          <w:spacing w:val="27"/>
          <w:sz w:val="21"/>
        </w:rPr>
        <w:t> </w:t>
      </w:r>
      <w:r>
        <w:rPr>
          <w:spacing w:val="-3"/>
          <w:w w:val="100"/>
          <w:sz w:val="21"/>
        </w:rPr>
        <w:t>a</w:t>
      </w:r>
      <w:r>
        <w:rPr>
          <w:w w:val="100"/>
          <w:sz w:val="21"/>
        </w:rPr>
        <w:t>l</w:t>
      </w:r>
      <w:r>
        <w:rPr>
          <w:spacing w:val="-2"/>
          <w:w w:val="100"/>
          <w:sz w:val="21"/>
        </w:rPr>
        <w:t>l</w:t>
      </w:r>
      <w:r>
        <w:rPr>
          <w:spacing w:val="-1"/>
          <w:w w:val="100"/>
          <w:sz w:val="21"/>
        </w:rPr>
        <w:t>ud</w:t>
      </w:r>
      <w:r>
        <w:rPr>
          <w:spacing w:val="-2"/>
          <w:w w:val="100"/>
          <w:sz w:val="21"/>
        </w:rPr>
        <w:t>e</w:t>
      </w:r>
      <w:r>
        <w:rPr>
          <w:w w:val="100"/>
          <w:sz w:val="21"/>
        </w:rPr>
        <w:t>s</w:t>
      </w:r>
      <w:r>
        <w:rPr>
          <w:spacing w:val="27"/>
          <w:sz w:val="21"/>
        </w:rPr>
        <w:t> </w:t>
      </w:r>
      <w:r>
        <w:rPr>
          <w:spacing w:val="-2"/>
          <w:w w:val="100"/>
          <w:sz w:val="21"/>
        </w:rPr>
        <w:t>t</w:t>
      </w:r>
      <w:r>
        <w:rPr>
          <w:w w:val="100"/>
          <w:sz w:val="21"/>
        </w:rPr>
        <w:t>o</w:t>
      </w:r>
      <w:r>
        <w:rPr>
          <w:spacing w:val="27"/>
          <w:sz w:val="21"/>
        </w:rPr>
        <w:t> </w:t>
      </w:r>
      <w:r>
        <w:rPr>
          <w:spacing w:val="-2"/>
          <w:w w:val="100"/>
          <w:sz w:val="21"/>
        </w:rPr>
        <w:t>t</w:t>
      </w:r>
      <w:r>
        <w:rPr>
          <w:spacing w:val="-3"/>
          <w:w w:val="100"/>
          <w:sz w:val="21"/>
        </w:rPr>
        <w:t>h</w:t>
      </w:r>
      <w:r>
        <w:rPr>
          <w:w w:val="100"/>
          <w:sz w:val="21"/>
        </w:rPr>
        <w:t>e</w:t>
      </w:r>
      <w:r>
        <w:rPr>
          <w:spacing w:val="27"/>
          <w:sz w:val="21"/>
        </w:rPr>
        <w:t> </w:t>
      </w:r>
      <w:r>
        <w:rPr>
          <w:spacing w:val="-3"/>
          <w:w w:val="100"/>
          <w:sz w:val="21"/>
        </w:rPr>
        <w:t>e</w:t>
      </w:r>
      <w:r>
        <w:rPr>
          <w:spacing w:val="-1"/>
          <w:w w:val="100"/>
          <w:sz w:val="21"/>
        </w:rPr>
        <w:t>p</w:t>
      </w:r>
      <w:r>
        <w:rPr>
          <w:spacing w:val="1"/>
          <w:w w:val="100"/>
          <w:sz w:val="21"/>
        </w:rPr>
        <w:t>i</w:t>
      </w:r>
      <w:r>
        <w:rPr>
          <w:w w:val="100"/>
          <w:sz w:val="21"/>
        </w:rPr>
        <w:t>s</w:t>
      </w:r>
      <w:r>
        <w:rPr>
          <w:spacing w:val="-3"/>
          <w:w w:val="100"/>
          <w:sz w:val="21"/>
        </w:rPr>
        <w:t>o</w:t>
      </w:r>
      <w:r>
        <w:rPr>
          <w:spacing w:val="-1"/>
          <w:w w:val="100"/>
          <w:sz w:val="21"/>
        </w:rPr>
        <w:t>de</w:t>
      </w:r>
      <w:r>
        <w:rPr>
          <w:w w:val="100"/>
          <w:sz w:val="21"/>
        </w:rPr>
        <w:t>s</w:t>
      </w:r>
      <w:r>
        <w:rPr>
          <w:spacing w:val="25"/>
          <w:sz w:val="21"/>
        </w:rPr>
        <w:t> </w:t>
      </w:r>
      <w:r>
        <w:rPr>
          <w:spacing w:val="-3"/>
          <w:w w:val="100"/>
          <w:sz w:val="21"/>
        </w:rPr>
        <w:t>o</w:t>
      </w:r>
      <w:r>
        <w:rPr>
          <w:w w:val="100"/>
          <w:sz w:val="21"/>
        </w:rPr>
        <w:t>f </w:t>
      </w:r>
      <w:r>
        <w:rPr>
          <w:sz w:val="21"/>
        </w:rPr>
        <w:t>Vishnu‘s incarnation as Narasimha (who killed Hirnyakasipu), Krishna (who killed Banasura), Vamana (who destroyed Bali) and Rama (who killed ten-headed</w:t>
      </w:r>
      <w:r>
        <w:rPr>
          <w:spacing w:val="-11"/>
          <w:sz w:val="21"/>
        </w:rPr>
        <w:t> </w:t>
      </w:r>
      <w:r>
        <w:rPr>
          <w:sz w:val="21"/>
        </w:rPr>
        <w:t>Ravana).‖</w:t>
      </w:r>
    </w:p>
    <w:p>
      <w:pPr>
        <w:pStyle w:val="BodyText"/>
        <w:rPr>
          <w:sz w:val="24"/>
        </w:rPr>
      </w:pPr>
    </w:p>
    <w:p>
      <w:pPr>
        <w:pStyle w:val="BodyText"/>
        <w:rPr>
          <w:sz w:val="26"/>
        </w:rPr>
      </w:pPr>
    </w:p>
    <w:p>
      <w:pPr>
        <w:pStyle w:val="BodyText"/>
        <w:spacing w:line="480" w:lineRule="auto"/>
        <w:ind w:left="500" w:right="437"/>
        <w:jc w:val="both"/>
      </w:pPr>
      <w:r>
        <w:rPr/>
        <w:t>Hence, he deduced that the Vishnu temple constructed by Meghasuta must have been in existence in the temple town of Ayodhya from twelfth century A.D. We must note at this stage that the authenticity of the inscription has not been challenged. The language on the stone slab is Sanskrit of the twelfth century A.D.</w:t>
      </w:r>
    </w:p>
    <w:p>
      <w:pPr>
        <w:spacing w:after="0" w:line="480" w:lineRule="auto"/>
        <w:jc w:val="both"/>
        <w:sectPr>
          <w:pgSz w:w="11910" w:h="16840"/>
          <w:pgMar w:header="721" w:footer="1014" w:top="1300" w:bottom="1200" w:left="940" w:right="1000"/>
        </w:sectPr>
      </w:pPr>
    </w:p>
    <w:p>
      <w:pPr>
        <w:pStyle w:val="BodyText"/>
        <w:spacing w:line="480" w:lineRule="auto" w:before="124"/>
        <w:ind w:left="500" w:right="512"/>
      </w:pPr>
      <w:r>
        <w:rPr/>
        <w:t>The challenge pertains to the place and manner in which the inscription was alleged to have been recovered, which shall now be considered.</w:t>
      </w:r>
    </w:p>
    <w:p>
      <w:pPr>
        <w:pStyle w:val="BodyText"/>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As regards the recovery of the stone inscription, the plaintiffs in Suit 5 relied on the evidence of Ashok Chandra Chatterjee (OPW-8). The witness who is a resident of Faizabad stated that he was a partner in a firm by the name of Majestic Automobiles as well as the owner of Majestic Talkies. He claimed to be </w:t>
      </w:r>
      <w:r>
        <w:rPr>
          <w:w w:val="99"/>
          <w:sz w:val="25"/>
        </w:rPr>
        <w:t>a</w:t>
      </w:r>
      <w:r>
        <w:rPr>
          <w:spacing w:val="31"/>
          <w:sz w:val="25"/>
        </w:rPr>
        <w:t> </w:t>
      </w:r>
      <w:r>
        <w:rPr>
          <w:w w:val="99"/>
          <w:sz w:val="25"/>
        </w:rPr>
        <w:t>r</w:t>
      </w:r>
      <w:r>
        <w:rPr>
          <w:spacing w:val="-1"/>
          <w:w w:val="99"/>
          <w:sz w:val="25"/>
        </w:rPr>
        <w:t>e</w:t>
      </w:r>
      <w:r>
        <w:rPr>
          <w:w w:val="99"/>
          <w:sz w:val="25"/>
        </w:rPr>
        <w:t>p</w:t>
      </w:r>
      <w:r>
        <w:rPr>
          <w:spacing w:val="-1"/>
          <w:w w:val="99"/>
          <w:sz w:val="25"/>
        </w:rPr>
        <w:t>o</w:t>
      </w:r>
      <w:r>
        <w:rPr>
          <w:w w:val="99"/>
          <w:sz w:val="25"/>
        </w:rPr>
        <w:t>rt</w:t>
      </w:r>
      <w:r>
        <w:rPr>
          <w:spacing w:val="-2"/>
          <w:w w:val="99"/>
          <w:sz w:val="25"/>
        </w:rPr>
        <w:t>e</w:t>
      </w:r>
      <w:r>
        <w:rPr>
          <w:w w:val="99"/>
          <w:sz w:val="25"/>
        </w:rPr>
        <w:t>r</w:t>
      </w:r>
      <w:r>
        <w:rPr>
          <w:spacing w:val="31"/>
          <w:sz w:val="25"/>
        </w:rPr>
        <w:t> </w:t>
      </w:r>
      <w:r>
        <w:rPr>
          <w:spacing w:val="-1"/>
          <w:w w:val="99"/>
          <w:sz w:val="25"/>
        </w:rPr>
        <w:t>wit</w:t>
      </w:r>
      <w:r>
        <w:rPr>
          <w:w w:val="99"/>
          <w:sz w:val="25"/>
        </w:rPr>
        <w:t>h</w:t>
      </w:r>
      <w:r>
        <w:rPr>
          <w:spacing w:val="31"/>
          <w:sz w:val="25"/>
        </w:rPr>
        <w:t> </w:t>
      </w:r>
      <w:r>
        <w:rPr>
          <w:w w:val="99"/>
          <w:sz w:val="25"/>
        </w:rPr>
        <w:t>a</w:t>
      </w:r>
      <w:r>
        <w:rPr>
          <w:spacing w:val="31"/>
          <w:sz w:val="25"/>
        </w:rPr>
        <w:t> </w:t>
      </w:r>
      <w:r>
        <w:rPr>
          <w:spacing w:val="-1"/>
          <w:w w:val="99"/>
          <w:sz w:val="25"/>
        </w:rPr>
        <w:t>w</w:t>
      </w:r>
      <w:r>
        <w:rPr>
          <w:spacing w:val="-3"/>
          <w:w w:val="99"/>
          <w:sz w:val="25"/>
        </w:rPr>
        <w:t>e</w:t>
      </w:r>
      <w:r>
        <w:rPr>
          <w:spacing w:val="-1"/>
          <w:w w:val="99"/>
          <w:sz w:val="25"/>
        </w:rPr>
        <w:t>ekl</w:t>
      </w:r>
      <w:r>
        <w:rPr>
          <w:w w:val="99"/>
          <w:sz w:val="25"/>
        </w:rPr>
        <w:t>y</w:t>
      </w:r>
      <w:r>
        <w:rPr>
          <w:spacing w:val="28"/>
          <w:sz w:val="25"/>
        </w:rPr>
        <w:t> </w:t>
      </w:r>
      <w:r>
        <w:rPr>
          <w:spacing w:val="-1"/>
          <w:w w:val="99"/>
          <w:sz w:val="25"/>
        </w:rPr>
        <w:t>jou</w:t>
      </w:r>
      <w:r>
        <w:rPr>
          <w:spacing w:val="1"/>
          <w:w w:val="99"/>
          <w:sz w:val="25"/>
        </w:rPr>
        <w:t>r</w:t>
      </w:r>
      <w:r>
        <w:rPr>
          <w:spacing w:val="-1"/>
          <w:w w:val="99"/>
          <w:sz w:val="25"/>
        </w:rPr>
        <w:t>n</w:t>
      </w:r>
      <w:r>
        <w:rPr>
          <w:w w:val="99"/>
          <w:sz w:val="25"/>
        </w:rPr>
        <w:t>al</w:t>
      </w:r>
      <w:r>
        <w:rPr>
          <w:spacing w:val="30"/>
          <w:sz w:val="25"/>
        </w:rPr>
        <w:t> </w:t>
      </w:r>
      <w:r>
        <w:rPr>
          <w:w w:val="99"/>
          <w:sz w:val="25"/>
        </w:rPr>
        <w:t>titled</w:t>
      </w:r>
      <w:r>
        <w:rPr>
          <w:spacing w:val="31"/>
          <w:sz w:val="25"/>
        </w:rPr>
        <w:t> </w:t>
      </w:r>
      <w:r>
        <w:rPr>
          <w:w w:val="33"/>
          <w:sz w:val="25"/>
        </w:rPr>
        <w:t>―</w:t>
      </w:r>
      <w:r>
        <w:rPr>
          <w:spacing w:val="-1"/>
          <w:w w:val="99"/>
          <w:sz w:val="25"/>
        </w:rPr>
        <w:t>Pa</w:t>
      </w:r>
      <w:r>
        <w:rPr>
          <w:w w:val="99"/>
          <w:sz w:val="25"/>
        </w:rPr>
        <w:t>nchjan</w:t>
      </w:r>
      <w:r>
        <w:rPr>
          <w:spacing w:val="-3"/>
          <w:w w:val="99"/>
          <w:sz w:val="25"/>
        </w:rPr>
        <w:t>y</w:t>
      </w:r>
      <w:r>
        <w:rPr>
          <w:spacing w:val="-1"/>
          <w:w w:val="91"/>
          <w:sz w:val="25"/>
        </w:rPr>
        <w:t>a</w:t>
      </w:r>
      <w:r>
        <w:rPr>
          <w:w w:val="91"/>
          <w:sz w:val="25"/>
        </w:rPr>
        <w:t>‖</w:t>
      </w:r>
      <w:r>
        <w:rPr>
          <w:spacing w:val="32"/>
          <w:sz w:val="25"/>
        </w:rPr>
        <w:t> </w:t>
      </w:r>
      <w:r>
        <w:rPr>
          <w:spacing w:val="-1"/>
          <w:w w:val="99"/>
          <w:sz w:val="25"/>
        </w:rPr>
        <w:t>o</w:t>
      </w:r>
      <w:r>
        <w:rPr>
          <w:w w:val="99"/>
          <w:sz w:val="25"/>
        </w:rPr>
        <w:t>f</w:t>
      </w:r>
      <w:r>
        <w:rPr>
          <w:spacing w:val="31"/>
          <w:sz w:val="25"/>
        </w:rPr>
        <w:t> </w:t>
      </w:r>
      <w:r>
        <w:rPr>
          <w:w w:val="99"/>
          <w:sz w:val="25"/>
        </w:rPr>
        <w:t>F</w:t>
      </w:r>
      <w:r>
        <w:rPr>
          <w:spacing w:val="-1"/>
          <w:w w:val="99"/>
          <w:sz w:val="25"/>
        </w:rPr>
        <w:t>aiza</w:t>
      </w:r>
      <w:r>
        <w:rPr>
          <w:w w:val="99"/>
          <w:sz w:val="25"/>
        </w:rPr>
        <w:t>b</w:t>
      </w:r>
      <w:r>
        <w:rPr>
          <w:spacing w:val="-1"/>
          <w:w w:val="99"/>
          <w:sz w:val="25"/>
        </w:rPr>
        <w:t>a</w:t>
      </w:r>
      <w:r>
        <w:rPr>
          <w:w w:val="99"/>
          <w:sz w:val="25"/>
        </w:rPr>
        <w:t>d</w:t>
      </w:r>
      <w:r>
        <w:rPr>
          <w:spacing w:val="31"/>
          <w:sz w:val="25"/>
        </w:rPr>
        <w:t> </w:t>
      </w:r>
      <w:r>
        <w:rPr>
          <w:w w:val="99"/>
          <w:sz w:val="25"/>
        </w:rPr>
        <w:t>r</w:t>
      </w:r>
      <w:r>
        <w:rPr>
          <w:spacing w:val="-1"/>
          <w:w w:val="99"/>
          <w:sz w:val="25"/>
        </w:rPr>
        <w:t>e</w:t>
      </w:r>
      <w:r>
        <w:rPr>
          <w:w w:val="99"/>
          <w:sz w:val="25"/>
        </w:rPr>
        <w:t>g</w:t>
      </w:r>
      <w:r>
        <w:rPr>
          <w:spacing w:val="-1"/>
          <w:w w:val="99"/>
          <w:sz w:val="25"/>
        </w:rPr>
        <w:t>io</w:t>
      </w:r>
      <w:r>
        <w:rPr>
          <w:w w:val="99"/>
          <w:sz w:val="25"/>
        </w:rPr>
        <w:t>n</w:t>
      </w:r>
      <w:r>
        <w:rPr>
          <w:spacing w:val="31"/>
          <w:sz w:val="25"/>
        </w:rPr>
        <w:t> </w:t>
      </w:r>
      <w:r>
        <w:rPr>
          <w:w w:val="99"/>
          <w:sz w:val="25"/>
        </w:rPr>
        <w:t>for</w:t>
      </w:r>
      <w:r>
        <w:rPr>
          <w:spacing w:val="30"/>
          <w:sz w:val="25"/>
        </w:rPr>
        <w:t> </w:t>
      </w:r>
      <w:r>
        <w:rPr>
          <w:spacing w:val="-1"/>
          <w:w w:val="99"/>
          <w:sz w:val="25"/>
        </w:rPr>
        <w:t>o</w:t>
      </w:r>
      <w:r>
        <w:rPr>
          <w:spacing w:val="-3"/>
          <w:w w:val="99"/>
          <w:sz w:val="25"/>
        </w:rPr>
        <w:t>v</w:t>
      </w:r>
      <w:r>
        <w:rPr>
          <w:spacing w:val="-1"/>
          <w:w w:val="99"/>
          <w:sz w:val="25"/>
        </w:rPr>
        <w:t>er </w:t>
      </w:r>
      <w:r>
        <w:rPr>
          <w:sz w:val="25"/>
        </w:rPr>
        <w:t>fifteen years. On the recovery of the stone inscription, OPW-8 stated that on 6 December 1992 when the disputed structure was demolished, he was present at the site for the collection of news, on the western side of the three domed structure. When the work of levelling was being undertaken by the Government of Uttar Pradesh on the eastern side of the Ram Janmabhumi premises, he states that some stones were found which appeared to be the ruins of the temple. On getting this information, he proceeded to the site and all the idols including the ruins of the temple recovered during the process of levelling were placed in the custody of the Ram Katha Museum, Raj Sadan Ayodhya of the Archaeology Department of Uttar</w:t>
      </w:r>
      <w:r>
        <w:rPr>
          <w:spacing w:val="-3"/>
          <w:sz w:val="25"/>
        </w:rPr>
        <w:t> </w:t>
      </w:r>
      <w:r>
        <w:rPr>
          <w:sz w:val="25"/>
        </w:rPr>
        <w:t>Pradesh.</w:t>
      </w:r>
    </w:p>
    <w:p>
      <w:pPr>
        <w:pStyle w:val="BodyText"/>
        <w:rPr>
          <w:sz w:val="39"/>
        </w:rPr>
      </w:pPr>
    </w:p>
    <w:p>
      <w:pPr>
        <w:pStyle w:val="ListParagraph"/>
        <w:numPr>
          <w:ilvl w:val="0"/>
          <w:numId w:val="166"/>
        </w:numPr>
        <w:tabs>
          <w:tab w:pos="1221" w:val="left" w:leader="none"/>
        </w:tabs>
        <w:spacing w:line="480" w:lineRule="auto" w:before="1" w:after="0"/>
        <w:ind w:left="500" w:right="440" w:firstLine="0"/>
        <w:jc w:val="both"/>
        <w:rPr>
          <w:sz w:val="25"/>
        </w:rPr>
      </w:pPr>
      <w:r>
        <w:rPr>
          <w:sz w:val="25"/>
        </w:rPr>
        <w:t>OPW-8 stated that on 6 December 1992 while he was standing behind the disputed structure, he saw a plaster of a part of the western wall being broken and stones and bricks of uneven shape and size fitted in the wall. During the course of the demolition of the structure a slab (three and half feet long, two feet wide and six inches thick) fell down. He states that many of the slabs which had fallen</w:t>
      </w:r>
      <w:r>
        <w:rPr>
          <w:spacing w:val="61"/>
          <w:sz w:val="25"/>
        </w:rPr>
        <w:t> </w:t>
      </w:r>
      <w:r>
        <w:rPr>
          <w:sz w:val="25"/>
        </w:rPr>
        <w:t>appeared</w:t>
      </w:r>
      <w:r>
        <w:rPr>
          <w:spacing w:val="62"/>
          <w:sz w:val="25"/>
        </w:rPr>
        <w:t> </w:t>
      </w:r>
      <w:r>
        <w:rPr>
          <w:sz w:val="25"/>
        </w:rPr>
        <w:t>to</w:t>
      </w:r>
      <w:r>
        <w:rPr>
          <w:spacing w:val="62"/>
          <w:sz w:val="25"/>
        </w:rPr>
        <w:t> </w:t>
      </w:r>
      <w:r>
        <w:rPr>
          <w:sz w:val="25"/>
        </w:rPr>
        <w:t>be</w:t>
      </w:r>
      <w:r>
        <w:rPr>
          <w:spacing w:val="61"/>
          <w:sz w:val="25"/>
        </w:rPr>
        <w:t> </w:t>
      </w:r>
      <w:r>
        <w:rPr>
          <w:sz w:val="25"/>
        </w:rPr>
        <w:t>the</w:t>
      </w:r>
      <w:r>
        <w:rPr>
          <w:spacing w:val="62"/>
          <w:sz w:val="25"/>
        </w:rPr>
        <w:t> </w:t>
      </w:r>
      <w:r>
        <w:rPr>
          <w:sz w:val="25"/>
        </w:rPr>
        <w:t>ruins</w:t>
      </w:r>
      <w:r>
        <w:rPr>
          <w:spacing w:val="62"/>
          <w:sz w:val="25"/>
        </w:rPr>
        <w:t> </w:t>
      </w:r>
      <w:r>
        <w:rPr>
          <w:sz w:val="25"/>
        </w:rPr>
        <w:t>of</w:t>
      </w:r>
      <w:r>
        <w:rPr>
          <w:spacing w:val="61"/>
          <w:sz w:val="25"/>
        </w:rPr>
        <w:t> </w:t>
      </w:r>
      <w:r>
        <w:rPr>
          <w:sz w:val="25"/>
        </w:rPr>
        <w:t>some</w:t>
      </w:r>
      <w:r>
        <w:rPr>
          <w:spacing w:val="59"/>
          <w:sz w:val="25"/>
        </w:rPr>
        <w:t> </w:t>
      </w:r>
      <w:r>
        <w:rPr>
          <w:sz w:val="25"/>
        </w:rPr>
        <w:t>temple</w:t>
      </w:r>
      <w:r>
        <w:rPr>
          <w:spacing w:val="62"/>
          <w:sz w:val="25"/>
        </w:rPr>
        <w:t> </w:t>
      </w:r>
      <w:r>
        <w:rPr>
          <w:sz w:val="25"/>
        </w:rPr>
        <w:t>and</w:t>
      </w:r>
      <w:r>
        <w:rPr>
          <w:spacing w:val="62"/>
          <w:sz w:val="25"/>
        </w:rPr>
        <w:t> </w:t>
      </w:r>
      <w:r>
        <w:rPr>
          <w:sz w:val="25"/>
        </w:rPr>
        <w:t>that</w:t>
      </w:r>
      <w:r>
        <w:rPr>
          <w:spacing w:val="61"/>
          <w:sz w:val="25"/>
        </w:rPr>
        <w:t> </w:t>
      </w:r>
      <w:r>
        <w:rPr>
          <w:sz w:val="25"/>
        </w:rPr>
        <w:t>a</w:t>
      </w:r>
      <w:r>
        <w:rPr>
          <w:spacing w:val="59"/>
          <w:sz w:val="25"/>
        </w:rPr>
        <w:t> </w:t>
      </w:r>
      <w:r>
        <w:rPr>
          <w:sz w:val="25"/>
        </w:rPr>
        <w:t>saint</w:t>
      </w:r>
      <w:r>
        <w:rPr>
          <w:spacing w:val="62"/>
          <w:sz w:val="25"/>
        </w:rPr>
        <w:t> </w:t>
      </w:r>
      <w:r>
        <w:rPr>
          <w:sz w:val="25"/>
        </w:rPr>
        <w:t>at</w:t>
      </w:r>
      <w:r>
        <w:rPr>
          <w:spacing w:val="61"/>
          <w:sz w:val="25"/>
        </w:rPr>
        <w:t> </w:t>
      </w:r>
      <w:r>
        <w:rPr>
          <w:sz w:val="25"/>
        </w:rPr>
        <w:t>the</w:t>
      </w:r>
      <w:r>
        <w:rPr>
          <w:spacing w:val="62"/>
          <w:sz w:val="25"/>
        </w:rPr>
        <w:t> </w:t>
      </w:r>
      <w:r>
        <w:rPr>
          <w:sz w:val="25"/>
        </w:rPr>
        <w:t>site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informed him that the slab appeared to be an inscription of an old temple. The inscription was picked up by the Kar Sewaks who brought it near the building located at Ram Katha Kunj. The witness stated that subsequently the police took custody of the slabs. The witness stated that on 6 December 1992, the date of destruction of the mosque, he got acquainted with Dr Sudha Mallayya. On 13 December 1992, Dr Sudha Mallaya contacted him for his help in inspecting the slabs which had been recovered during the course of the demolition. Dr S P Gupta and Dr Sudha Mallayya accordingly came to the building located at Ram Katha Kunj. The witness stated that on 15 December 1992, a photograph of the inscription</w:t>
      </w:r>
      <w:r>
        <w:rPr>
          <w:spacing w:val="-8"/>
        </w:rPr>
        <w:t> </w:t>
      </w:r>
      <w:r>
        <w:rPr/>
        <w:t>was</w:t>
      </w:r>
      <w:r>
        <w:rPr>
          <w:spacing w:val="-7"/>
        </w:rPr>
        <w:t> </w:t>
      </w:r>
      <w:r>
        <w:rPr/>
        <w:t>published</w:t>
      </w:r>
      <w:r>
        <w:rPr>
          <w:spacing w:val="-7"/>
        </w:rPr>
        <w:t> </w:t>
      </w:r>
      <w:r>
        <w:rPr/>
        <w:t>in</w:t>
      </w:r>
      <w:r>
        <w:rPr>
          <w:spacing w:val="-8"/>
        </w:rPr>
        <w:t> </w:t>
      </w:r>
      <w:r>
        <w:rPr/>
        <w:t>the</w:t>
      </w:r>
      <w:r>
        <w:rPr>
          <w:spacing w:val="-9"/>
        </w:rPr>
        <w:t> </w:t>
      </w:r>
      <w:r>
        <w:rPr/>
        <w:t>Lucknow</w:t>
      </w:r>
      <w:r>
        <w:rPr>
          <w:spacing w:val="-7"/>
        </w:rPr>
        <w:t> </w:t>
      </w:r>
      <w:r>
        <w:rPr/>
        <w:t>edition</w:t>
      </w:r>
      <w:r>
        <w:rPr>
          <w:spacing w:val="-7"/>
        </w:rPr>
        <w:t> </w:t>
      </w:r>
      <w:r>
        <w:rPr/>
        <w:t>of</w:t>
      </w:r>
      <w:r>
        <w:rPr>
          <w:spacing w:val="-8"/>
        </w:rPr>
        <w:t> </w:t>
      </w:r>
      <w:r>
        <w:rPr/>
        <w:t>the</w:t>
      </w:r>
      <w:r>
        <w:rPr>
          <w:spacing w:val="-9"/>
        </w:rPr>
        <w:t> </w:t>
      </w:r>
      <w:r>
        <w:rPr/>
        <w:t>daily</w:t>
      </w:r>
      <w:r>
        <w:rPr>
          <w:spacing w:val="-10"/>
        </w:rPr>
        <w:t> </w:t>
      </w:r>
      <w:r>
        <w:rPr/>
        <w:t>by</w:t>
      </w:r>
      <w:r>
        <w:rPr>
          <w:spacing w:val="-9"/>
        </w:rPr>
        <w:t> </w:t>
      </w:r>
      <w:r>
        <w:rPr/>
        <w:t>the</w:t>
      </w:r>
      <w:r>
        <w:rPr>
          <w:spacing w:val="-7"/>
        </w:rPr>
        <w:t> </w:t>
      </w:r>
      <w:r>
        <w:rPr/>
        <w:t>name</w:t>
      </w:r>
      <w:r>
        <w:rPr>
          <w:spacing w:val="-7"/>
        </w:rPr>
        <w:t> </w:t>
      </w:r>
      <w:r>
        <w:rPr/>
        <w:t>of</w:t>
      </w:r>
      <w:r>
        <w:rPr>
          <w:spacing w:val="-8"/>
        </w:rPr>
        <w:t> </w:t>
      </w:r>
      <w:r>
        <w:rPr/>
        <w:t>‗AaJ‘. During the course of his cross-examination, the witness stated that he did not know the place where the slab was exactly fitted in the wall before it fell. He claimed that the photograph of the rock inscription / slab was handed over to him at night by someone whom he could not identify. He also stated that the photograph of the slab was published in Panchjanya of 13/20 December</w:t>
      </w:r>
      <w:r>
        <w:rPr>
          <w:spacing w:val="-18"/>
        </w:rPr>
        <w:t> </w:t>
      </w:r>
      <w:r>
        <w:rPr/>
        <w:t>1992.</w:t>
      </w:r>
    </w:p>
    <w:p>
      <w:pPr>
        <w:pStyle w:val="BodyText"/>
        <w:rPr>
          <w:sz w:val="39"/>
        </w:rPr>
      </w:pPr>
    </w:p>
    <w:p>
      <w:pPr>
        <w:pStyle w:val="ListParagraph"/>
        <w:numPr>
          <w:ilvl w:val="0"/>
          <w:numId w:val="166"/>
        </w:numPr>
        <w:tabs>
          <w:tab w:pos="1221" w:val="left" w:leader="none"/>
        </w:tabs>
        <w:spacing w:line="480" w:lineRule="auto" w:before="0" w:after="0"/>
        <w:ind w:left="500" w:right="445" w:firstLine="0"/>
        <w:jc w:val="both"/>
        <w:rPr>
          <w:sz w:val="25"/>
        </w:rPr>
      </w:pPr>
      <w:r>
        <w:rPr>
          <w:sz w:val="25"/>
        </w:rPr>
        <w:t>The testimony of OPW-8 has been challenged by Dr Dhavan on the following</w:t>
      </w:r>
      <w:r>
        <w:rPr>
          <w:spacing w:val="-1"/>
          <w:sz w:val="25"/>
        </w:rPr>
        <w:t> </w:t>
      </w:r>
      <w:r>
        <w:rPr>
          <w:sz w:val="25"/>
        </w:rPr>
        <w:t>grounds:</w:t>
      </w:r>
    </w:p>
    <w:p>
      <w:pPr>
        <w:pStyle w:val="ListParagraph"/>
        <w:numPr>
          <w:ilvl w:val="0"/>
          <w:numId w:val="179"/>
        </w:numPr>
        <w:tabs>
          <w:tab w:pos="1221" w:val="left" w:leader="none"/>
        </w:tabs>
        <w:spacing w:line="480" w:lineRule="auto" w:before="161" w:after="0"/>
        <w:ind w:left="1220" w:right="437" w:hanging="720"/>
        <w:jc w:val="both"/>
        <w:rPr>
          <w:sz w:val="25"/>
        </w:rPr>
      </w:pPr>
      <w:r>
        <w:rPr>
          <w:sz w:val="25"/>
        </w:rPr>
        <w:t>The witness stated in his Examination-in-Chief that he was standing on the western side of the disputed building at the time of</w:t>
      </w:r>
      <w:r>
        <w:rPr>
          <w:spacing w:val="-13"/>
          <w:sz w:val="25"/>
        </w:rPr>
        <w:t> </w:t>
      </w:r>
      <w:r>
        <w:rPr>
          <w:sz w:val="25"/>
        </w:rPr>
        <w:t>demolition;</w:t>
      </w:r>
    </w:p>
    <w:p>
      <w:pPr>
        <w:pStyle w:val="ListParagraph"/>
        <w:numPr>
          <w:ilvl w:val="0"/>
          <w:numId w:val="179"/>
        </w:numPr>
        <w:tabs>
          <w:tab w:pos="1221" w:val="left" w:leader="none"/>
        </w:tabs>
        <w:spacing w:line="480" w:lineRule="auto" w:before="0" w:after="0"/>
        <w:ind w:left="1220" w:right="441" w:hanging="720"/>
        <w:jc w:val="both"/>
        <w:rPr>
          <w:sz w:val="25"/>
        </w:rPr>
      </w:pPr>
      <w:r>
        <w:rPr>
          <w:sz w:val="25"/>
        </w:rPr>
        <w:t>In the course of his cross-examination, the witness stated that he was standing on the southern side of the disputed building at the time of demolition and that nothing was clearly visible because of</w:t>
      </w:r>
      <w:r>
        <w:rPr>
          <w:spacing w:val="-10"/>
          <w:sz w:val="25"/>
        </w:rPr>
        <w:t> </w:t>
      </w:r>
      <w:r>
        <w:rPr>
          <w:sz w:val="25"/>
        </w:rPr>
        <w:t>dust;</w:t>
      </w:r>
    </w:p>
    <w:p>
      <w:pPr>
        <w:spacing w:after="0" w:line="480" w:lineRule="auto"/>
        <w:jc w:val="both"/>
        <w:rPr>
          <w:sz w:val="25"/>
        </w:rPr>
        <w:sectPr>
          <w:pgSz w:w="11910" w:h="16840"/>
          <w:pgMar w:header="721" w:footer="1014" w:top="1300" w:bottom="1200" w:left="940" w:right="1000"/>
        </w:sectPr>
      </w:pPr>
    </w:p>
    <w:p>
      <w:pPr>
        <w:pStyle w:val="ListParagraph"/>
        <w:numPr>
          <w:ilvl w:val="0"/>
          <w:numId w:val="179"/>
        </w:numPr>
        <w:tabs>
          <w:tab w:pos="1221" w:val="left" w:leader="none"/>
        </w:tabs>
        <w:spacing w:line="480" w:lineRule="auto" w:before="124" w:after="0"/>
        <w:ind w:left="1220" w:right="443" w:hanging="720"/>
        <w:jc w:val="both"/>
        <w:rPr>
          <w:sz w:val="25"/>
        </w:rPr>
      </w:pPr>
      <w:r>
        <w:rPr>
          <w:sz w:val="25"/>
        </w:rPr>
        <w:t>In spite of this, he claims to have seen the slab containing the inscription falling;</w:t>
      </w:r>
    </w:p>
    <w:p>
      <w:pPr>
        <w:pStyle w:val="ListParagraph"/>
        <w:numPr>
          <w:ilvl w:val="0"/>
          <w:numId w:val="179"/>
        </w:numPr>
        <w:tabs>
          <w:tab w:pos="1221" w:val="left" w:leader="none"/>
        </w:tabs>
        <w:spacing w:line="480" w:lineRule="auto" w:before="0" w:after="0"/>
        <w:ind w:left="1220" w:right="437" w:hanging="720"/>
        <w:jc w:val="both"/>
        <w:rPr>
          <w:sz w:val="25"/>
        </w:rPr>
      </w:pPr>
      <w:r>
        <w:rPr>
          <w:sz w:val="25"/>
        </w:rPr>
        <w:t>He then states that on the day following the demolition, he went together with Dr Sudha Mallaya and Dr S P Gupta to obtain pictures of the inscription;</w:t>
      </w:r>
    </w:p>
    <w:p>
      <w:pPr>
        <w:pStyle w:val="ListParagraph"/>
        <w:numPr>
          <w:ilvl w:val="0"/>
          <w:numId w:val="179"/>
        </w:numPr>
        <w:tabs>
          <w:tab w:pos="1221" w:val="left" w:leader="none"/>
        </w:tabs>
        <w:spacing w:line="480" w:lineRule="auto" w:before="0" w:after="0"/>
        <w:ind w:left="1220" w:right="444" w:hanging="720"/>
        <w:jc w:val="both"/>
        <w:rPr>
          <w:sz w:val="25"/>
        </w:rPr>
      </w:pPr>
      <w:r>
        <w:rPr>
          <w:sz w:val="25"/>
        </w:rPr>
        <w:t>Dr S P Gupta is a member of the RSS prior to 1975 and Dr Ramesh had also mentioned having met Dr S P</w:t>
      </w:r>
      <w:r>
        <w:rPr>
          <w:spacing w:val="-5"/>
          <w:sz w:val="25"/>
        </w:rPr>
        <w:t> </w:t>
      </w:r>
      <w:r>
        <w:rPr>
          <w:sz w:val="25"/>
        </w:rPr>
        <w:t>Gupta;</w:t>
      </w:r>
    </w:p>
    <w:p>
      <w:pPr>
        <w:pStyle w:val="ListParagraph"/>
        <w:numPr>
          <w:ilvl w:val="0"/>
          <w:numId w:val="179"/>
        </w:numPr>
        <w:tabs>
          <w:tab w:pos="1221" w:val="left" w:leader="none"/>
        </w:tabs>
        <w:spacing w:line="480" w:lineRule="auto" w:before="0" w:after="0"/>
        <w:ind w:left="1220" w:right="441" w:hanging="720"/>
        <w:jc w:val="both"/>
        <w:rPr>
          <w:sz w:val="25"/>
        </w:rPr>
      </w:pPr>
      <w:r>
        <w:rPr>
          <w:sz w:val="25"/>
        </w:rPr>
        <w:t>The witness was not able to identify the pictures of the disputed site, stating that it was not clear from the photographs whether this was the western boundary since he had visited the place only once in his lifetime; and</w:t>
      </w:r>
    </w:p>
    <w:p>
      <w:pPr>
        <w:pStyle w:val="ListParagraph"/>
        <w:numPr>
          <w:ilvl w:val="0"/>
          <w:numId w:val="179"/>
        </w:numPr>
        <w:tabs>
          <w:tab w:pos="1221" w:val="left" w:leader="none"/>
        </w:tabs>
        <w:spacing w:line="480" w:lineRule="auto" w:before="0" w:after="0"/>
        <w:ind w:left="1220" w:right="442" w:hanging="720"/>
        <w:jc w:val="both"/>
        <w:rPr>
          <w:sz w:val="25"/>
        </w:rPr>
      </w:pPr>
      <w:r>
        <w:rPr>
          <w:sz w:val="25"/>
        </w:rPr>
        <w:t>Initially, the witness stated that the rock inscription shown had fallen from the western wall of the southern dome but after seeing the picture, he stated that rock inscription which was available after the demolition of the structure did not appear to be fixed on the</w:t>
      </w:r>
      <w:r>
        <w:rPr>
          <w:spacing w:val="-6"/>
          <w:sz w:val="25"/>
        </w:rPr>
        <w:t> </w:t>
      </w:r>
      <w:r>
        <w:rPr>
          <w:sz w:val="25"/>
        </w:rPr>
        <w:t>wall.</w:t>
      </w:r>
    </w:p>
    <w:p>
      <w:pPr>
        <w:pStyle w:val="BodyText"/>
        <w:rPr>
          <w:sz w:val="28"/>
        </w:rPr>
      </w:pPr>
    </w:p>
    <w:p>
      <w:pPr>
        <w:pStyle w:val="BodyText"/>
        <w:spacing w:line="480" w:lineRule="auto" w:before="167"/>
        <w:ind w:left="500" w:right="434"/>
        <w:jc w:val="both"/>
      </w:pPr>
      <w:r>
        <w:rPr/>
        <w:t>The inconsistencies in the testimony of the witness, which have been copiously analysed by Dr Dhavan, cast serious doubt on the credibility of the witness, his presence at the site and of his having witnessed the recovery of the slabs from the disputed structure during the course of demolition on 6 December 1992. The recovery of the stone inscription from the disputed site following the demolition which took place on 6 December 1992 has not been established. The chain of custody is not established. The evidence of OPW-8 on the recovery of the stone inscription does not inspire confidence. On the one hand, reading his testimony,</w:t>
      </w:r>
      <w:r>
        <w:rPr>
          <w:spacing w:val="-3"/>
        </w:rPr>
        <w:t> </w:t>
      </w:r>
      <w:r>
        <w:rPr/>
        <w:t>it</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is evident that nothing was clearly visible to the witness because of the pall of dust which was raised. How he saw a particular rock inscription or the slab on which it was borne falling defies rational explanation. In fact, during the course of his cross-examination, the witness stated</w:t>
      </w:r>
      <w:r>
        <w:rPr>
          <w:spacing w:val="-3"/>
        </w:rPr>
        <w:t> </w:t>
      </w:r>
      <w:r>
        <w:rPr/>
        <w:t>that:</w:t>
      </w:r>
    </w:p>
    <w:p>
      <w:pPr>
        <w:spacing w:line="276" w:lineRule="auto" w:before="0"/>
        <w:ind w:left="1940" w:right="2266" w:firstLine="0"/>
        <w:jc w:val="both"/>
        <w:rPr>
          <w:sz w:val="21"/>
        </w:rPr>
      </w:pPr>
      <w:r>
        <w:rPr>
          <w:w w:val="33"/>
          <w:sz w:val="21"/>
        </w:rPr>
        <w:t>―</w:t>
      </w:r>
      <w:r>
        <w:rPr>
          <w:w w:val="100"/>
          <w:sz w:val="21"/>
        </w:rPr>
        <w:t>Rock</w:t>
      </w:r>
      <w:r>
        <w:rPr>
          <w:sz w:val="21"/>
        </w:rPr>
        <w:t>   </w:t>
      </w:r>
      <w:r>
        <w:rPr>
          <w:w w:val="100"/>
          <w:sz w:val="21"/>
        </w:rPr>
        <w:t>inscription</w:t>
      </w:r>
      <w:r>
        <w:rPr>
          <w:sz w:val="21"/>
        </w:rPr>
        <w:t>   </w:t>
      </w:r>
      <w:r>
        <w:rPr>
          <w:w w:val="100"/>
          <w:sz w:val="21"/>
        </w:rPr>
        <w:t>/slab</w:t>
      </w:r>
      <w:r>
        <w:rPr>
          <w:sz w:val="21"/>
        </w:rPr>
        <w:t>   </w:t>
      </w:r>
      <w:r>
        <w:rPr>
          <w:w w:val="100"/>
          <w:sz w:val="21"/>
        </w:rPr>
        <w:t>which</w:t>
      </w:r>
      <w:r>
        <w:rPr>
          <w:sz w:val="21"/>
        </w:rPr>
        <w:t>   </w:t>
      </w:r>
      <w:r>
        <w:rPr>
          <w:w w:val="100"/>
          <w:sz w:val="21"/>
        </w:rPr>
        <w:t>was</w:t>
      </w:r>
      <w:r>
        <w:rPr>
          <w:sz w:val="21"/>
        </w:rPr>
        <w:t>   </w:t>
      </w:r>
      <w:r>
        <w:rPr>
          <w:w w:val="100"/>
          <w:sz w:val="21"/>
        </w:rPr>
        <w:t>available</w:t>
      </w:r>
      <w:r>
        <w:rPr>
          <w:sz w:val="21"/>
        </w:rPr>
        <w:t>   </w:t>
      </w:r>
      <w:r>
        <w:rPr>
          <w:w w:val="100"/>
          <w:sz w:val="21"/>
        </w:rPr>
        <w:t>after</w:t>
      </w:r>
      <w:r>
        <w:rPr>
          <w:sz w:val="21"/>
        </w:rPr>
        <w:t>   </w:t>
      </w:r>
      <w:r>
        <w:rPr>
          <w:w w:val="100"/>
          <w:sz w:val="21"/>
        </w:rPr>
        <w:t>the </w:t>
      </w:r>
      <w:r>
        <w:rPr>
          <w:sz w:val="21"/>
        </w:rPr>
        <w:t>demolition of the structure does not appear to be fixed in the wall.‖</w:t>
      </w:r>
    </w:p>
    <w:p>
      <w:pPr>
        <w:pStyle w:val="BodyText"/>
        <w:rPr>
          <w:sz w:val="24"/>
        </w:rPr>
      </w:pPr>
    </w:p>
    <w:p>
      <w:pPr>
        <w:pStyle w:val="BodyText"/>
        <w:spacing w:before="2"/>
        <w:rPr>
          <w:sz w:val="21"/>
        </w:rPr>
      </w:pPr>
    </w:p>
    <w:p>
      <w:pPr>
        <w:pStyle w:val="BodyText"/>
        <w:spacing w:line="480" w:lineRule="auto" w:before="1"/>
        <w:ind w:left="500" w:right="446"/>
        <w:jc w:val="both"/>
      </w:pPr>
      <w:r>
        <w:rPr/>
        <w:t>Thus, from the evidence of OPW-8, it cannot be inferred that the rock inscription / slab was recovered from the disputed site.</w:t>
      </w:r>
    </w:p>
    <w:p>
      <w:pPr>
        <w:pStyle w:val="BodyText"/>
      </w:pPr>
    </w:p>
    <w:p>
      <w:pPr>
        <w:pStyle w:val="ListParagraph"/>
        <w:numPr>
          <w:ilvl w:val="0"/>
          <w:numId w:val="166"/>
        </w:numPr>
        <w:tabs>
          <w:tab w:pos="1221" w:val="left" w:leader="none"/>
        </w:tabs>
        <w:spacing w:line="480" w:lineRule="auto" w:before="0" w:after="0"/>
        <w:ind w:left="500" w:right="437" w:firstLine="0"/>
        <w:jc w:val="both"/>
        <w:rPr>
          <w:sz w:val="25"/>
        </w:rPr>
      </w:pPr>
      <w:r>
        <w:rPr>
          <w:sz w:val="25"/>
        </w:rPr>
        <w:t>Since the recovery of the rock inscription from the disputed structure is not borne out from the evidence, a crucial link in the case which has been sought to be made out on the basis of the inscription, by the plaintiffs in Suit 5 is found to be missing. The rock inscription would indicate the existence of a Vishnu Hari temple at Ayodhya, having been constructed in twelfth century A.D. But once the recovery of the inscription from the site in question is disbelieved, the inscription cannot be the basis to conclude that the Vishnu Hari temple which is referred to in the inscription was a temple which existed at the very site of the demolished structure.</w:t>
      </w:r>
    </w:p>
    <w:p>
      <w:pPr>
        <w:pStyle w:val="Heading3"/>
        <w:numPr>
          <w:ilvl w:val="1"/>
          <w:numId w:val="131"/>
        </w:numPr>
        <w:tabs>
          <w:tab w:pos="1221" w:val="left" w:leader="none"/>
        </w:tabs>
        <w:spacing w:line="240" w:lineRule="auto" w:before="159" w:after="0"/>
        <w:ind w:left="1220" w:right="0" w:hanging="721"/>
        <w:jc w:val="both"/>
      </w:pPr>
      <w:r>
        <w:rPr/>
        <w:t>The polestar of faith and</w:t>
      </w:r>
      <w:r>
        <w:rPr>
          <w:spacing w:val="-6"/>
        </w:rPr>
        <w:t> </w:t>
      </w:r>
      <w:r>
        <w:rPr/>
        <w:t>belief</w:t>
      </w:r>
    </w:p>
    <w:p>
      <w:pPr>
        <w:pStyle w:val="BodyText"/>
        <w:rPr>
          <w:b/>
          <w:sz w:val="28"/>
        </w:rPr>
      </w:pPr>
    </w:p>
    <w:p>
      <w:pPr>
        <w:pStyle w:val="ListParagraph"/>
        <w:numPr>
          <w:ilvl w:val="0"/>
          <w:numId w:val="166"/>
        </w:numPr>
        <w:tabs>
          <w:tab w:pos="1221" w:val="left" w:leader="none"/>
        </w:tabs>
        <w:spacing w:line="480" w:lineRule="auto" w:before="217" w:after="0"/>
        <w:ind w:left="500" w:right="438" w:firstLine="0"/>
        <w:jc w:val="both"/>
        <w:rPr>
          <w:sz w:val="25"/>
        </w:rPr>
      </w:pPr>
      <w:r>
        <w:rPr>
          <w:sz w:val="25"/>
        </w:rPr>
        <w:t>Setting course through history, the cornerstone of the edifice for the  Hindus is their faith and belief in the birth-place of Lord Ram as the incarnation of Vishnu. Their faith is founded principally on the significance attached to Ayodhya in the</w:t>
      </w:r>
      <w:r>
        <w:rPr>
          <w:spacing w:val="-3"/>
          <w:sz w:val="25"/>
        </w:rPr>
        <w:t> </w:t>
      </w:r>
      <w:r>
        <w:rPr>
          <w:sz w:val="25"/>
        </w:rPr>
        <w:t>following:</w:t>
      </w:r>
    </w:p>
    <w:p>
      <w:pPr>
        <w:spacing w:after="0" w:line="480" w:lineRule="auto"/>
        <w:jc w:val="both"/>
        <w:rPr>
          <w:sz w:val="25"/>
        </w:rPr>
        <w:sectPr>
          <w:pgSz w:w="11910" w:h="16840"/>
          <w:pgMar w:header="721" w:footer="1014" w:top="1300" w:bottom="1200" w:left="940" w:right="1000"/>
        </w:sectPr>
      </w:pPr>
    </w:p>
    <w:p>
      <w:pPr>
        <w:pStyle w:val="ListParagraph"/>
        <w:numPr>
          <w:ilvl w:val="0"/>
          <w:numId w:val="180"/>
        </w:numPr>
        <w:tabs>
          <w:tab w:pos="2661" w:val="left" w:leader="none"/>
        </w:tabs>
        <w:spacing w:line="480" w:lineRule="auto" w:before="124" w:after="0"/>
        <w:ind w:left="2660" w:right="437" w:hanging="720"/>
        <w:jc w:val="both"/>
        <w:rPr>
          <w:sz w:val="25"/>
        </w:rPr>
      </w:pPr>
      <w:r>
        <w:rPr>
          <w:sz w:val="25"/>
        </w:rPr>
        <w:t>Religious scriptures, principally the association of Ayodhya with the presiding deity of Lord Ram in Valmiki‘s Ramayan, </w:t>
      </w:r>
      <w:r>
        <w:rPr>
          <w:i/>
          <w:sz w:val="25"/>
        </w:rPr>
        <w:t>Skand Puran </w:t>
      </w:r>
      <w:r>
        <w:rPr>
          <w:sz w:val="25"/>
        </w:rPr>
        <w:t>and Sri Ramacharitmanas. Their submissions have been embellished in this Court by Mr P N Mishra (appearing on behalf of defendant no 20 in Suit </w:t>
      </w:r>
      <w:r>
        <w:rPr>
          <w:spacing w:val="3"/>
          <w:sz w:val="25"/>
        </w:rPr>
        <w:t>5, </w:t>
      </w:r>
      <w:r>
        <w:rPr>
          <w:sz w:val="25"/>
        </w:rPr>
        <w:t>Akhil Bharatiya Shri Ram JanmBhumi Punrudhar Samiti), who used religion and mythology to weave through the warp and weft of history;</w:t>
      </w:r>
      <w:r>
        <w:rPr>
          <w:spacing w:val="-2"/>
          <w:sz w:val="25"/>
        </w:rPr>
        <w:t> </w:t>
      </w:r>
      <w:r>
        <w:rPr>
          <w:sz w:val="25"/>
        </w:rPr>
        <w:t>and</w:t>
      </w:r>
    </w:p>
    <w:p>
      <w:pPr>
        <w:pStyle w:val="ListParagraph"/>
        <w:numPr>
          <w:ilvl w:val="0"/>
          <w:numId w:val="180"/>
        </w:numPr>
        <w:tabs>
          <w:tab w:pos="2661" w:val="left" w:leader="none"/>
        </w:tabs>
        <w:spacing w:line="240" w:lineRule="auto" w:before="1" w:after="0"/>
        <w:ind w:left="2660" w:right="0" w:hanging="721"/>
        <w:jc w:val="both"/>
        <w:rPr>
          <w:sz w:val="25"/>
        </w:rPr>
      </w:pPr>
      <w:r>
        <w:rPr>
          <w:sz w:val="25"/>
        </w:rPr>
        <w:t>Travelogues, gazetteers and</w:t>
      </w:r>
      <w:r>
        <w:rPr>
          <w:spacing w:val="-1"/>
          <w:sz w:val="25"/>
        </w:rPr>
        <w:t> </w:t>
      </w:r>
      <w:r>
        <w:rPr>
          <w:sz w:val="25"/>
        </w:rPr>
        <w:t>books.</w:t>
      </w:r>
    </w:p>
    <w:p>
      <w:pPr>
        <w:pStyle w:val="BodyText"/>
        <w:rPr>
          <w:sz w:val="28"/>
        </w:rPr>
      </w:pPr>
    </w:p>
    <w:p>
      <w:pPr>
        <w:pStyle w:val="BodyText"/>
        <w:spacing w:before="3"/>
        <w:rPr>
          <w:sz w:val="39"/>
        </w:rPr>
      </w:pPr>
    </w:p>
    <w:p>
      <w:pPr>
        <w:pStyle w:val="BodyText"/>
        <w:spacing w:line="480" w:lineRule="auto"/>
        <w:ind w:left="500" w:right="438"/>
        <w:jc w:val="both"/>
      </w:pPr>
      <w:r>
        <w:rPr/>
        <w:t>In weaving through the wealth of documents produced before this Court, it is necessary to answer both the extent of judicial review of faith and belief and the evidentiary value of the reliance on travelogues, gazetteers and books.</w:t>
      </w:r>
    </w:p>
    <w:p>
      <w:pPr>
        <w:pStyle w:val="BodyText"/>
        <w:spacing w:before="11"/>
        <w:rPr>
          <w:sz w:val="38"/>
        </w:rPr>
      </w:pPr>
    </w:p>
    <w:p>
      <w:pPr>
        <w:pStyle w:val="ListParagraph"/>
        <w:numPr>
          <w:ilvl w:val="0"/>
          <w:numId w:val="166"/>
        </w:numPr>
        <w:tabs>
          <w:tab w:pos="1220" w:val="left" w:leader="none"/>
          <w:tab w:pos="1221" w:val="left" w:leader="none"/>
        </w:tabs>
        <w:spacing w:line="480" w:lineRule="auto" w:before="0" w:after="0"/>
        <w:ind w:left="500" w:right="443" w:firstLine="0"/>
        <w:jc w:val="left"/>
        <w:rPr>
          <w:sz w:val="25"/>
        </w:rPr>
      </w:pPr>
      <w:r>
        <w:rPr>
          <w:sz w:val="25"/>
        </w:rPr>
        <w:t>The first extract from </w:t>
      </w:r>
      <w:r>
        <w:rPr>
          <w:i/>
          <w:sz w:val="25"/>
        </w:rPr>
        <w:t>Skand Puran </w:t>
      </w:r>
      <w:r>
        <w:rPr>
          <w:sz w:val="25"/>
        </w:rPr>
        <w:t>upon which reliance has been placed is thus:</w:t>
      </w:r>
    </w:p>
    <w:p>
      <w:pPr>
        <w:spacing w:line="276" w:lineRule="auto" w:before="159"/>
        <w:ind w:left="1940" w:right="2263" w:firstLine="0"/>
        <w:jc w:val="both"/>
        <w:rPr>
          <w:sz w:val="21"/>
        </w:rPr>
      </w:pPr>
      <w:r>
        <w:rPr>
          <w:w w:val="33"/>
          <w:sz w:val="21"/>
        </w:rPr>
        <w:t>―</w:t>
      </w:r>
      <w:r>
        <w:rPr>
          <w:w w:val="100"/>
          <w:sz w:val="21"/>
        </w:rPr>
        <w:t>I</w:t>
      </w:r>
      <w:r>
        <w:rPr>
          <w:sz w:val="21"/>
        </w:rPr>
        <w:t> </w:t>
      </w:r>
      <w:r>
        <w:rPr>
          <w:w w:val="100"/>
          <w:sz w:val="21"/>
        </w:rPr>
        <w:t>bow</w:t>
      </w:r>
      <w:r>
        <w:rPr>
          <w:sz w:val="21"/>
        </w:rPr>
        <w:t> </w:t>
      </w:r>
      <w:r>
        <w:rPr>
          <w:w w:val="100"/>
          <w:sz w:val="21"/>
        </w:rPr>
        <w:t>down</w:t>
      </w:r>
      <w:r>
        <w:rPr>
          <w:sz w:val="21"/>
        </w:rPr>
        <w:t> </w:t>
      </w:r>
      <w:r>
        <w:rPr>
          <w:w w:val="100"/>
          <w:sz w:val="21"/>
        </w:rPr>
        <w:t>to</w:t>
      </w:r>
      <w:r>
        <w:rPr>
          <w:sz w:val="21"/>
        </w:rPr>
        <w:t> </w:t>
      </w:r>
      <w:r>
        <w:rPr>
          <w:w w:val="100"/>
          <w:sz w:val="21"/>
        </w:rPr>
        <w:t>the</w:t>
      </w:r>
      <w:r>
        <w:rPr>
          <w:sz w:val="21"/>
        </w:rPr>
        <w:t> </w:t>
      </w:r>
      <w:r>
        <w:rPr>
          <w:w w:val="100"/>
          <w:sz w:val="21"/>
        </w:rPr>
        <w:t>immutable</w:t>
      </w:r>
      <w:r>
        <w:rPr>
          <w:sz w:val="21"/>
        </w:rPr>
        <w:t> </w:t>
      </w:r>
      <w:r>
        <w:rPr>
          <w:w w:val="100"/>
          <w:sz w:val="21"/>
        </w:rPr>
        <w:t>Rama,</w:t>
      </w:r>
      <w:r>
        <w:rPr>
          <w:sz w:val="21"/>
        </w:rPr>
        <w:t> </w:t>
      </w:r>
      <w:r>
        <w:rPr>
          <w:w w:val="100"/>
          <w:sz w:val="21"/>
        </w:rPr>
        <w:t>the</w:t>
      </w:r>
      <w:r>
        <w:rPr>
          <w:sz w:val="21"/>
        </w:rPr>
        <w:t> </w:t>
      </w:r>
      <w:r>
        <w:rPr>
          <w:w w:val="100"/>
          <w:sz w:val="21"/>
        </w:rPr>
        <w:t>Supreme</w:t>
      </w:r>
      <w:r>
        <w:rPr>
          <w:sz w:val="21"/>
        </w:rPr>
        <w:t> </w:t>
      </w:r>
      <w:r>
        <w:rPr>
          <w:w w:val="100"/>
          <w:sz w:val="21"/>
        </w:rPr>
        <w:t>Brahman </w:t>
      </w:r>
      <w:r>
        <w:rPr>
          <w:sz w:val="21"/>
        </w:rPr>
        <w:t>whose eyes resemble lotus, who is as dark-blue as flower of flax (in complexion) and who killed Ravana.</w:t>
      </w:r>
    </w:p>
    <w:p>
      <w:pPr>
        <w:spacing w:line="276" w:lineRule="auto" w:before="1"/>
        <w:ind w:left="1940" w:right="2261" w:firstLine="0"/>
        <w:jc w:val="both"/>
        <w:rPr>
          <w:sz w:val="21"/>
        </w:rPr>
      </w:pPr>
      <w:r>
        <w:rPr>
          <w:sz w:val="21"/>
        </w:rPr>
        <w:t>Great and holy is the City of Ayodhya which is inaccessible to perpetrators of evil deeds. Who would not like to visit Ayodhya wherein Lord Hari himself</w:t>
      </w:r>
      <w:r>
        <w:rPr>
          <w:spacing w:val="-7"/>
          <w:sz w:val="21"/>
        </w:rPr>
        <w:t> </w:t>
      </w:r>
      <w:r>
        <w:rPr>
          <w:sz w:val="21"/>
        </w:rPr>
        <w:t>resided?</w:t>
      </w:r>
    </w:p>
    <w:p>
      <w:pPr>
        <w:spacing w:line="276" w:lineRule="auto" w:before="0"/>
        <w:ind w:left="1940" w:right="2266" w:firstLine="0"/>
        <w:jc w:val="both"/>
        <w:rPr>
          <w:sz w:val="21"/>
        </w:rPr>
      </w:pPr>
      <w:r>
        <w:rPr>
          <w:sz w:val="21"/>
        </w:rPr>
        <w:t>This divine and splendid City is on the bank of the river Sarayu. It is on par with Amaravati (the capital of Indra) and is resorted to by many ascetics.</w:t>
      </w:r>
    </w:p>
    <w:p>
      <w:pPr>
        <w:spacing w:line="241" w:lineRule="exact" w:before="0"/>
        <w:ind w:left="1940" w:right="0" w:firstLine="0"/>
        <w:jc w:val="both"/>
        <w:rPr>
          <w:sz w:val="21"/>
        </w:rPr>
      </w:pPr>
      <w:r>
        <w:rPr>
          <w:sz w:val="21"/>
        </w:rPr>
        <w:t>(Srimad Skandpuranam .II.VIII… 29-31)‖</w:t>
      </w:r>
    </w:p>
    <w:p>
      <w:pPr>
        <w:pStyle w:val="BodyText"/>
        <w:rPr>
          <w:sz w:val="24"/>
        </w:rPr>
      </w:pPr>
    </w:p>
    <w:p>
      <w:pPr>
        <w:pStyle w:val="BodyText"/>
        <w:spacing w:before="4"/>
        <w:rPr>
          <w:sz w:val="29"/>
        </w:rPr>
      </w:pPr>
    </w:p>
    <w:p>
      <w:pPr>
        <w:pStyle w:val="BodyText"/>
        <w:spacing w:line="480" w:lineRule="auto"/>
        <w:ind w:left="500" w:right="442"/>
        <w:jc w:val="both"/>
      </w:pPr>
      <w:r>
        <w:rPr/>
        <w:t>The </w:t>
      </w:r>
      <w:r>
        <w:rPr>
          <w:i/>
        </w:rPr>
        <w:t>Skand Puran</w:t>
      </w:r>
      <w:r>
        <w:rPr/>
        <w:t>, contains an edict for the devotees to offer worship to Lord Ram as a means of salvation. There is a reference to the place of birth of Lord Ram in another</w:t>
      </w:r>
      <w:r>
        <w:rPr>
          <w:spacing w:val="-2"/>
        </w:rPr>
        <w:t> </w:t>
      </w:r>
      <w:r>
        <w:rPr/>
        <w:t>extract:</w:t>
      </w:r>
    </w:p>
    <w:p>
      <w:pPr>
        <w:spacing w:after="0" w:line="480" w:lineRule="auto"/>
        <w:jc w:val="both"/>
        <w:sectPr>
          <w:pgSz w:w="11910" w:h="16840"/>
          <w:pgMar w:header="721" w:footer="1014" w:top="1300" w:bottom="1200" w:left="940" w:right="1000"/>
        </w:sectPr>
      </w:pPr>
    </w:p>
    <w:p>
      <w:pPr>
        <w:spacing w:line="276" w:lineRule="auto" w:before="122"/>
        <w:ind w:left="1940" w:right="2261" w:firstLine="0"/>
        <w:jc w:val="both"/>
        <w:rPr>
          <w:sz w:val="21"/>
        </w:rPr>
      </w:pPr>
      <w:r>
        <w:rPr>
          <w:spacing w:val="-1"/>
          <w:w w:val="33"/>
          <w:sz w:val="21"/>
        </w:rPr>
        <w:t>―</w:t>
      </w:r>
      <w:r>
        <w:rPr>
          <w:w w:val="100"/>
          <w:sz w:val="21"/>
        </w:rPr>
        <w:t>The</w:t>
      </w:r>
      <w:r>
        <w:rPr>
          <w:sz w:val="21"/>
        </w:rPr>
        <w:t>  </w:t>
      </w:r>
      <w:r>
        <w:rPr>
          <w:spacing w:val="2"/>
          <w:sz w:val="21"/>
        </w:rPr>
        <w:t> </w:t>
      </w:r>
      <w:r>
        <w:rPr>
          <w:spacing w:val="-1"/>
          <w:w w:val="100"/>
          <w:sz w:val="21"/>
        </w:rPr>
        <w:t>de</w:t>
      </w:r>
      <w:r>
        <w:rPr>
          <w:spacing w:val="-3"/>
          <w:w w:val="100"/>
          <w:sz w:val="21"/>
        </w:rPr>
        <w:t>v</w:t>
      </w:r>
      <w:r>
        <w:rPr>
          <w:spacing w:val="-1"/>
          <w:w w:val="100"/>
          <w:sz w:val="21"/>
        </w:rPr>
        <w:t>ote</w:t>
      </w:r>
      <w:r>
        <w:rPr>
          <w:w w:val="100"/>
          <w:sz w:val="21"/>
        </w:rPr>
        <w:t>e</w:t>
      </w:r>
      <w:r>
        <w:rPr>
          <w:sz w:val="21"/>
        </w:rPr>
        <w:t>  </w:t>
      </w:r>
      <w:r>
        <w:rPr>
          <w:spacing w:val="5"/>
          <w:sz w:val="21"/>
        </w:rPr>
        <w:t> </w:t>
      </w:r>
      <w:r>
        <w:rPr>
          <w:spacing w:val="-3"/>
          <w:w w:val="100"/>
          <w:sz w:val="21"/>
        </w:rPr>
        <w:t>s</w:t>
      </w:r>
      <w:r>
        <w:rPr>
          <w:spacing w:val="-1"/>
          <w:w w:val="100"/>
          <w:sz w:val="21"/>
        </w:rPr>
        <w:t>h</w:t>
      </w:r>
      <w:r>
        <w:rPr>
          <w:spacing w:val="-3"/>
          <w:w w:val="100"/>
          <w:sz w:val="21"/>
        </w:rPr>
        <w:t>a</w:t>
      </w:r>
      <w:r>
        <w:rPr>
          <w:w w:val="100"/>
          <w:sz w:val="21"/>
        </w:rPr>
        <w:t>ll</w:t>
      </w:r>
      <w:r>
        <w:rPr>
          <w:sz w:val="21"/>
        </w:rPr>
        <w:t>  </w:t>
      </w:r>
      <w:r>
        <w:rPr>
          <w:spacing w:val="5"/>
          <w:sz w:val="21"/>
        </w:rPr>
        <w:t> </w:t>
      </w:r>
      <w:r>
        <w:rPr>
          <w:spacing w:val="-2"/>
          <w:w w:val="100"/>
          <w:sz w:val="21"/>
        </w:rPr>
        <w:t>t</w:t>
      </w:r>
      <w:r>
        <w:rPr>
          <w:spacing w:val="-3"/>
          <w:w w:val="100"/>
          <w:sz w:val="21"/>
        </w:rPr>
        <w:t>ak</w:t>
      </w:r>
      <w:r>
        <w:rPr>
          <w:w w:val="100"/>
          <w:sz w:val="21"/>
        </w:rPr>
        <w:t>e</w:t>
      </w:r>
      <w:r>
        <w:rPr>
          <w:sz w:val="21"/>
        </w:rPr>
        <w:t>  </w:t>
      </w:r>
      <w:r>
        <w:rPr>
          <w:spacing w:val="4"/>
          <w:sz w:val="21"/>
        </w:rPr>
        <w:t> </w:t>
      </w:r>
      <w:r>
        <w:rPr>
          <w:spacing w:val="-1"/>
          <w:w w:val="100"/>
          <w:sz w:val="21"/>
        </w:rPr>
        <w:t>h</w:t>
      </w:r>
      <w:r>
        <w:rPr>
          <w:spacing w:val="-2"/>
          <w:w w:val="100"/>
          <w:sz w:val="21"/>
        </w:rPr>
        <w:t>i</w:t>
      </w:r>
      <w:r>
        <w:rPr>
          <w:w w:val="100"/>
          <w:sz w:val="21"/>
        </w:rPr>
        <w:t>s</w:t>
      </w:r>
      <w:r>
        <w:rPr>
          <w:sz w:val="21"/>
        </w:rPr>
        <w:t>  </w:t>
      </w:r>
      <w:r>
        <w:rPr>
          <w:spacing w:val="4"/>
          <w:sz w:val="21"/>
        </w:rPr>
        <w:t> </w:t>
      </w:r>
      <w:r>
        <w:rPr>
          <w:spacing w:val="-3"/>
          <w:w w:val="100"/>
          <w:sz w:val="21"/>
        </w:rPr>
        <w:t>h</w:t>
      </w:r>
      <w:r>
        <w:rPr>
          <w:spacing w:val="-1"/>
          <w:w w:val="100"/>
          <w:sz w:val="21"/>
        </w:rPr>
        <w:t>o</w:t>
      </w:r>
      <w:r>
        <w:rPr>
          <w:spacing w:val="1"/>
          <w:w w:val="100"/>
          <w:sz w:val="21"/>
        </w:rPr>
        <w:t>l</w:t>
      </w:r>
      <w:r>
        <w:rPr>
          <w:w w:val="100"/>
          <w:sz w:val="21"/>
        </w:rPr>
        <w:t>y</w:t>
      </w:r>
      <w:r>
        <w:rPr>
          <w:sz w:val="21"/>
        </w:rPr>
        <w:t>  </w:t>
      </w:r>
      <w:r>
        <w:rPr>
          <w:spacing w:val="2"/>
          <w:sz w:val="21"/>
        </w:rPr>
        <w:t> </w:t>
      </w:r>
      <w:r>
        <w:rPr>
          <w:spacing w:val="-1"/>
          <w:w w:val="100"/>
          <w:sz w:val="21"/>
        </w:rPr>
        <w:t>bat</w:t>
      </w:r>
      <w:r>
        <w:rPr>
          <w:w w:val="100"/>
          <w:sz w:val="21"/>
        </w:rPr>
        <w:t>h</w:t>
      </w:r>
      <w:r>
        <w:rPr>
          <w:sz w:val="21"/>
        </w:rPr>
        <w:t>  </w:t>
      </w:r>
      <w:r>
        <w:rPr>
          <w:spacing w:val="2"/>
          <w:sz w:val="21"/>
        </w:rPr>
        <w:t> </w:t>
      </w:r>
      <w:r>
        <w:rPr>
          <w:w w:val="100"/>
          <w:sz w:val="21"/>
        </w:rPr>
        <w:t>in</w:t>
      </w:r>
      <w:r>
        <w:rPr>
          <w:sz w:val="21"/>
        </w:rPr>
        <w:t>  </w:t>
      </w:r>
      <w:r>
        <w:rPr>
          <w:spacing w:val="4"/>
          <w:sz w:val="21"/>
        </w:rPr>
        <w:t> </w:t>
      </w:r>
      <w:r>
        <w:rPr>
          <w:spacing w:val="-2"/>
          <w:w w:val="100"/>
          <w:sz w:val="21"/>
        </w:rPr>
        <w:t>t</w:t>
      </w:r>
      <w:r>
        <w:rPr>
          <w:spacing w:val="-3"/>
          <w:w w:val="100"/>
          <w:sz w:val="21"/>
        </w:rPr>
        <w:t>h</w:t>
      </w:r>
      <w:r>
        <w:rPr>
          <w:w w:val="100"/>
          <w:sz w:val="21"/>
        </w:rPr>
        <w:t>e</w:t>
      </w:r>
      <w:r>
        <w:rPr>
          <w:sz w:val="21"/>
        </w:rPr>
        <w:t>  </w:t>
      </w:r>
      <w:r>
        <w:rPr>
          <w:spacing w:val="4"/>
          <w:sz w:val="21"/>
        </w:rPr>
        <w:t> </w:t>
      </w:r>
      <w:r>
        <w:rPr>
          <w:spacing w:val="-2"/>
          <w:w w:val="100"/>
          <w:sz w:val="21"/>
        </w:rPr>
        <w:t>w</w:t>
      </w:r>
      <w:r>
        <w:rPr>
          <w:spacing w:val="-1"/>
          <w:w w:val="100"/>
          <w:sz w:val="21"/>
        </w:rPr>
        <w:t>aters </w:t>
      </w:r>
      <w:r>
        <w:rPr>
          <w:sz w:val="21"/>
        </w:rPr>
        <w:t>of </w:t>
      </w:r>
      <w:r>
        <w:rPr>
          <w:i/>
          <w:sz w:val="21"/>
        </w:rPr>
        <w:t>Sarayu </w:t>
      </w:r>
      <w:r>
        <w:rPr>
          <w:sz w:val="21"/>
        </w:rPr>
        <w:t>and then worship </w:t>
      </w:r>
      <w:r>
        <w:rPr>
          <w:i/>
          <w:sz w:val="21"/>
        </w:rPr>
        <w:t>Pindaraka </w:t>
      </w:r>
      <w:r>
        <w:rPr>
          <w:sz w:val="21"/>
        </w:rPr>
        <w:t>who deludes sinners and bestows good intellect on men of good deeds always. The     (annual)     festival     should     be     celebrated  during </w:t>
      </w:r>
      <w:r>
        <w:rPr>
          <w:i/>
          <w:sz w:val="21"/>
        </w:rPr>
        <w:t>Navaratris </w:t>
      </w:r>
      <w:r>
        <w:rPr>
          <w:sz w:val="21"/>
        </w:rPr>
        <w:t>with great luxury. To the west of it, the devotee should worship </w:t>
      </w:r>
      <w:r>
        <w:rPr>
          <w:i/>
          <w:sz w:val="21"/>
        </w:rPr>
        <w:t>Vighnesvara </w:t>
      </w:r>
      <w:r>
        <w:rPr>
          <w:sz w:val="21"/>
        </w:rPr>
        <w:t>by seeking whom not even the least obstacle remains (in the affairs) of men. Hence Vighnesvara, the bestower of all desired</w:t>
      </w:r>
      <w:r>
        <w:rPr>
          <w:spacing w:val="-13"/>
          <w:sz w:val="21"/>
        </w:rPr>
        <w:t> </w:t>
      </w:r>
      <w:r>
        <w:rPr>
          <w:sz w:val="21"/>
        </w:rPr>
        <w:t>benefits…</w:t>
      </w:r>
    </w:p>
    <w:p>
      <w:pPr>
        <w:spacing w:before="1"/>
        <w:ind w:left="1940" w:right="0" w:firstLine="0"/>
        <w:jc w:val="both"/>
        <w:rPr>
          <w:i/>
          <w:sz w:val="21"/>
        </w:rPr>
      </w:pPr>
      <w:r>
        <w:rPr>
          <w:sz w:val="21"/>
        </w:rPr>
        <w:t>(</w:t>
      </w:r>
      <w:r>
        <w:rPr>
          <w:i/>
          <w:sz w:val="21"/>
        </w:rPr>
        <w:t>Srimad Skandapuranam II.VIII.10.15-17)</w:t>
      </w:r>
    </w:p>
    <w:p>
      <w:pPr>
        <w:pStyle w:val="BodyText"/>
        <w:spacing w:before="3"/>
        <w:rPr>
          <w:i/>
          <w:sz w:val="27"/>
        </w:rPr>
      </w:pPr>
    </w:p>
    <w:p>
      <w:pPr>
        <w:spacing w:line="276" w:lineRule="auto" w:before="0"/>
        <w:ind w:left="1940" w:right="2260" w:firstLine="0"/>
        <w:jc w:val="both"/>
        <w:rPr>
          <w:sz w:val="21"/>
        </w:rPr>
      </w:pPr>
      <w:r>
        <w:rPr>
          <w:sz w:val="21"/>
        </w:rPr>
        <w:t>"To the North-East of that spot is the place of the birth of Rama. This holy spot of the birth is the means of achieving salvation etc. It is said that the place of the birth is situated to the East of </w:t>
      </w:r>
      <w:r>
        <w:rPr>
          <w:i/>
          <w:sz w:val="21"/>
        </w:rPr>
        <w:t>Vighneswar, </w:t>
      </w:r>
      <w:r>
        <w:rPr>
          <w:sz w:val="21"/>
        </w:rPr>
        <w:t>to the North of </w:t>
      </w:r>
      <w:r>
        <w:rPr>
          <w:i/>
          <w:sz w:val="21"/>
        </w:rPr>
        <w:t>Vasistha </w:t>
      </w:r>
      <w:r>
        <w:rPr>
          <w:sz w:val="21"/>
        </w:rPr>
        <w:t>and to the West of </w:t>
      </w:r>
      <w:r>
        <w:rPr>
          <w:i/>
          <w:sz w:val="21"/>
        </w:rPr>
        <w:t>Laumasa. </w:t>
      </w:r>
      <w:r>
        <w:rPr>
          <w:sz w:val="21"/>
        </w:rPr>
        <w:t>Only by visiting it a man can get rid of staying (frequently) in womb (i.e. rebirth). There is no necessity for making charitable gifts, performing a penance or sacrifices  or  undertake  pilgrimage   to   holy   spots.   On  the </w:t>
      </w:r>
      <w:r>
        <w:rPr>
          <w:i/>
          <w:sz w:val="21"/>
        </w:rPr>
        <w:t>Navami </w:t>
      </w:r>
      <w:r>
        <w:rPr>
          <w:sz w:val="21"/>
        </w:rPr>
        <w:t>day the man should observe the Holy vow. By  the power of the holy bath and charitable gifts, he is liberated from the bondage of births. By visiting the place of birth, one attains that benefit which is obtained by one who gives thousands of tawny-coloured cows every day. By seeing the place of birth, one attains the merit of ascetics performing penance in hermitage, of thousands of </w:t>
      </w:r>
      <w:r>
        <w:rPr>
          <w:i/>
          <w:sz w:val="21"/>
        </w:rPr>
        <w:t>Rajasuya </w:t>
      </w:r>
      <w:r>
        <w:rPr>
          <w:sz w:val="21"/>
        </w:rPr>
        <w:t>sacrifices and </w:t>
      </w:r>
      <w:r>
        <w:rPr>
          <w:i/>
          <w:sz w:val="21"/>
        </w:rPr>
        <w:t>Agnihotra </w:t>
      </w:r>
      <w:r>
        <w:rPr>
          <w:sz w:val="21"/>
        </w:rPr>
        <w:t>sacrifices performed every year. By seeing a man observing the holy rite particularly in the place of birth, he obtains the merit of the holy men endowed with devotion  to mother and father as well as</w:t>
      </w:r>
      <w:r>
        <w:rPr>
          <w:spacing w:val="-7"/>
          <w:sz w:val="21"/>
        </w:rPr>
        <w:t> </w:t>
      </w:r>
      <w:r>
        <w:rPr>
          <w:sz w:val="21"/>
        </w:rPr>
        <w:t>preceptors.</w:t>
      </w:r>
    </w:p>
    <w:p>
      <w:pPr>
        <w:spacing w:before="2"/>
        <w:ind w:left="1940" w:right="0" w:firstLine="0"/>
        <w:jc w:val="both"/>
        <w:rPr>
          <w:sz w:val="21"/>
        </w:rPr>
      </w:pPr>
      <w:r>
        <w:rPr>
          <w:sz w:val="21"/>
        </w:rPr>
        <w:t>(</w:t>
      </w:r>
      <w:r>
        <w:rPr>
          <w:i/>
          <w:sz w:val="21"/>
        </w:rPr>
        <w:t>Srimad Skandapuranam II.VIII.10.18-25)</w:t>
      </w:r>
      <w:r>
        <w:rPr>
          <w:sz w:val="21"/>
        </w:rPr>
        <w:t>‖</w:t>
      </w:r>
    </w:p>
    <w:p>
      <w:pPr>
        <w:pStyle w:val="BodyText"/>
        <w:rPr>
          <w:sz w:val="24"/>
        </w:rPr>
      </w:pPr>
    </w:p>
    <w:p>
      <w:pPr>
        <w:pStyle w:val="BodyText"/>
        <w:spacing w:before="4"/>
        <w:rPr>
          <w:sz w:val="28"/>
        </w:rPr>
      </w:pPr>
    </w:p>
    <w:p>
      <w:pPr>
        <w:pStyle w:val="ListParagraph"/>
        <w:numPr>
          <w:ilvl w:val="0"/>
          <w:numId w:val="166"/>
        </w:numPr>
        <w:tabs>
          <w:tab w:pos="1221" w:val="left" w:leader="none"/>
        </w:tabs>
        <w:spacing w:line="480" w:lineRule="auto" w:before="0" w:after="0"/>
        <w:ind w:left="500" w:right="437" w:firstLine="0"/>
        <w:jc w:val="both"/>
        <w:rPr>
          <w:sz w:val="25"/>
        </w:rPr>
      </w:pPr>
      <w:r>
        <w:rPr>
          <w:sz w:val="25"/>
        </w:rPr>
        <w:t>Mr Zafaryab Jilani, learned Senior Counsel appearing on behalf of the Sunni Central Waqf Board has a nuanced response to the submissions which are founded in the religious scriptures relied upon by Mr P N Misra. Learned Senior Counsel argued</w:t>
      </w:r>
      <w:r>
        <w:rPr>
          <w:spacing w:val="-2"/>
          <w:sz w:val="25"/>
        </w:rPr>
        <w:t> </w:t>
      </w:r>
      <w:r>
        <w:rPr>
          <w:sz w:val="25"/>
        </w:rPr>
        <w:t>that:</w:t>
      </w:r>
    </w:p>
    <w:p>
      <w:pPr>
        <w:pStyle w:val="ListParagraph"/>
        <w:numPr>
          <w:ilvl w:val="0"/>
          <w:numId w:val="181"/>
        </w:numPr>
        <w:tabs>
          <w:tab w:pos="1221" w:val="left" w:leader="none"/>
        </w:tabs>
        <w:spacing w:line="480" w:lineRule="auto" w:before="161" w:after="0"/>
        <w:ind w:left="1220" w:right="445" w:hanging="720"/>
        <w:jc w:val="both"/>
        <w:rPr>
          <w:sz w:val="25"/>
        </w:rPr>
      </w:pPr>
      <w:r>
        <w:rPr>
          <w:sz w:val="25"/>
        </w:rPr>
        <w:t>There is no reference to the Ram Janmabhumi site either in Valmiki‘s Ramayan or in Ramacharitmanas, the latter dating to 1574 A.D;</w:t>
      </w:r>
      <w:r>
        <w:rPr>
          <w:spacing w:val="-10"/>
          <w:sz w:val="25"/>
        </w:rPr>
        <w:t> </w:t>
      </w:r>
      <w:r>
        <w:rPr>
          <w:sz w:val="25"/>
        </w:rPr>
        <w:t>and</w:t>
      </w:r>
    </w:p>
    <w:p>
      <w:pPr>
        <w:pStyle w:val="ListParagraph"/>
        <w:numPr>
          <w:ilvl w:val="0"/>
          <w:numId w:val="181"/>
        </w:numPr>
        <w:tabs>
          <w:tab w:pos="1221" w:val="left" w:leader="none"/>
        </w:tabs>
        <w:spacing w:line="480" w:lineRule="auto" w:before="0" w:after="0"/>
        <w:ind w:left="1220" w:right="444" w:hanging="720"/>
        <w:jc w:val="both"/>
        <w:rPr>
          <w:sz w:val="25"/>
        </w:rPr>
      </w:pPr>
      <w:r>
        <w:rPr>
          <w:sz w:val="25"/>
        </w:rPr>
        <w:t>The religious scriptures contain no reference to a Ram Janmabhumi temple or to the Janmasthan</w:t>
      </w:r>
      <w:r>
        <w:rPr>
          <w:spacing w:val="-1"/>
          <w:sz w:val="25"/>
        </w:rPr>
        <w:t> </w:t>
      </w:r>
      <w:r>
        <w:rPr>
          <w:sz w:val="25"/>
        </w:rPr>
        <w:t>temple.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7"/>
        <w:jc w:val="both"/>
      </w:pPr>
      <w:r>
        <w:rPr/>
        <w:t>The submission which has been urged is that there is no dispute about the faith and belief of the Hindus that Lord Ram was born in Ayodhya but the Janmasthan temple which has been worshipped, lies to the north of the disputed site. Moreover, it has been stated that after 1855, the Chabutra in the outer courtyard was worshipped as the place of birth. Hence, according to Mr Jilani, there is no evidence of the area below the central dome being worshipped as the place of birth of Lord Ram before the dispute over the site which arose in 1949.</w:t>
      </w:r>
    </w:p>
    <w:p>
      <w:pPr>
        <w:pStyle w:val="BodyText"/>
        <w:spacing w:before="1"/>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Having set out the basis of the claim of the Hindus in the religious texts outlined above, it becomes necessary to advert to the testimony of Jagadguru Ramanandacharya, a witness whom Mr Jilani himself relied upon extensively. </w:t>
      </w:r>
      <w:r>
        <w:rPr>
          <w:w w:val="99"/>
          <w:sz w:val="25"/>
        </w:rPr>
        <w:t>Dur</w:t>
      </w:r>
      <w:r>
        <w:rPr>
          <w:w w:val="99"/>
          <w:sz w:val="25"/>
        </w:rPr>
        <w:t>ing</w:t>
      </w:r>
      <w:r>
        <w:rPr>
          <w:spacing w:val="26"/>
          <w:sz w:val="25"/>
        </w:rPr>
        <w:t> </w:t>
      </w:r>
      <w:r>
        <w:rPr>
          <w:w w:val="99"/>
          <w:sz w:val="25"/>
        </w:rPr>
        <w:t>his</w:t>
      </w:r>
      <w:r>
        <w:rPr>
          <w:spacing w:val="26"/>
          <w:sz w:val="25"/>
        </w:rPr>
        <w:t> </w:t>
      </w:r>
      <w:r>
        <w:rPr>
          <w:w w:val="99"/>
          <w:sz w:val="25"/>
        </w:rPr>
        <w:t>o</w:t>
      </w:r>
      <w:r>
        <w:rPr>
          <w:spacing w:val="1"/>
          <w:w w:val="99"/>
          <w:sz w:val="25"/>
        </w:rPr>
        <w:t>r</w:t>
      </w:r>
      <w:r>
        <w:rPr>
          <w:w w:val="99"/>
          <w:sz w:val="25"/>
        </w:rPr>
        <w:t>al</w:t>
      </w:r>
      <w:r>
        <w:rPr>
          <w:spacing w:val="26"/>
          <w:sz w:val="25"/>
        </w:rPr>
        <w:t> </w:t>
      </w:r>
      <w:r>
        <w:rPr>
          <w:w w:val="99"/>
          <w:sz w:val="25"/>
        </w:rPr>
        <w:t>a</w:t>
      </w:r>
      <w:r>
        <w:rPr>
          <w:spacing w:val="1"/>
          <w:w w:val="99"/>
          <w:sz w:val="25"/>
        </w:rPr>
        <w:t>r</w:t>
      </w:r>
      <w:r>
        <w:rPr>
          <w:w w:val="99"/>
          <w:sz w:val="25"/>
        </w:rPr>
        <w:t>gu</w:t>
      </w:r>
      <w:r>
        <w:rPr>
          <w:w w:val="99"/>
          <w:sz w:val="25"/>
        </w:rPr>
        <w:t>m</w:t>
      </w:r>
      <w:r>
        <w:rPr>
          <w:w w:val="99"/>
          <w:sz w:val="25"/>
        </w:rPr>
        <w:t>en</w:t>
      </w:r>
      <w:r>
        <w:rPr>
          <w:w w:val="99"/>
          <w:sz w:val="25"/>
        </w:rPr>
        <w:t>ts,</w:t>
      </w:r>
      <w:r>
        <w:rPr>
          <w:spacing w:val="32"/>
          <w:sz w:val="25"/>
        </w:rPr>
        <w:t> </w:t>
      </w:r>
      <w:r>
        <w:rPr>
          <w:spacing w:val="-4"/>
          <w:w w:val="99"/>
          <w:sz w:val="25"/>
        </w:rPr>
        <w:t>M</w:t>
      </w:r>
      <w:r>
        <w:rPr>
          <w:w w:val="99"/>
          <w:sz w:val="25"/>
        </w:rPr>
        <w:t>r</w:t>
      </w:r>
      <w:r>
        <w:rPr>
          <w:spacing w:val="27"/>
          <w:sz w:val="25"/>
        </w:rPr>
        <w:t> </w:t>
      </w:r>
      <w:r>
        <w:rPr>
          <w:w w:val="99"/>
          <w:sz w:val="25"/>
        </w:rPr>
        <w:t>Jilani</w:t>
      </w:r>
      <w:r>
        <w:rPr>
          <w:spacing w:val="28"/>
          <w:sz w:val="25"/>
        </w:rPr>
        <w:t> </w:t>
      </w:r>
      <w:r>
        <w:rPr>
          <w:spacing w:val="-1"/>
          <w:w w:val="99"/>
          <w:sz w:val="25"/>
        </w:rPr>
        <w:t>d</w:t>
      </w:r>
      <w:r>
        <w:rPr>
          <w:w w:val="99"/>
          <w:sz w:val="25"/>
        </w:rPr>
        <w:t>es</w:t>
      </w:r>
      <w:r>
        <w:rPr>
          <w:spacing w:val="2"/>
          <w:w w:val="99"/>
          <w:sz w:val="25"/>
        </w:rPr>
        <w:t>c</w:t>
      </w:r>
      <w:r>
        <w:rPr>
          <w:w w:val="99"/>
          <w:sz w:val="25"/>
        </w:rPr>
        <w:t>r</w:t>
      </w:r>
      <w:r>
        <w:rPr>
          <w:spacing w:val="-1"/>
          <w:w w:val="99"/>
          <w:sz w:val="25"/>
        </w:rPr>
        <w:t>ibe</w:t>
      </w:r>
      <w:r>
        <w:rPr>
          <w:w w:val="99"/>
          <w:sz w:val="25"/>
        </w:rPr>
        <w:t>d</w:t>
      </w:r>
      <w:r>
        <w:rPr>
          <w:spacing w:val="27"/>
          <w:sz w:val="25"/>
        </w:rPr>
        <w:t> </w:t>
      </w:r>
      <w:r>
        <w:rPr>
          <w:w w:val="99"/>
          <w:sz w:val="25"/>
        </w:rPr>
        <w:t>the</w:t>
      </w:r>
      <w:r>
        <w:rPr>
          <w:spacing w:val="27"/>
          <w:sz w:val="25"/>
        </w:rPr>
        <w:t> </w:t>
      </w:r>
      <w:r>
        <w:rPr>
          <w:spacing w:val="-1"/>
          <w:w w:val="99"/>
          <w:sz w:val="25"/>
        </w:rPr>
        <w:t>witnes</w:t>
      </w:r>
      <w:r>
        <w:rPr>
          <w:w w:val="99"/>
          <w:sz w:val="25"/>
        </w:rPr>
        <w:t>s</w:t>
      </w:r>
      <w:r>
        <w:rPr>
          <w:spacing w:val="26"/>
          <w:sz w:val="25"/>
        </w:rPr>
        <w:t> </w:t>
      </w:r>
      <w:r>
        <w:rPr>
          <w:spacing w:val="-1"/>
          <w:w w:val="99"/>
          <w:sz w:val="25"/>
        </w:rPr>
        <w:t>a</w:t>
      </w:r>
      <w:r>
        <w:rPr>
          <w:w w:val="99"/>
          <w:sz w:val="25"/>
        </w:rPr>
        <w:t>s</w:t>
      </w:r>
      <w:r>
        <w:rPr>
          <w:spacing w:val="29"/>
          <w:sz w:val="25"/>
        </w:rPr>
        <w:t> </w:t>
      </w:r>
      <w:r>
        <w:rPr>
          <w:w w:val="33"/>
          <w:sz w:val="25"/>
        </w:rPr>
        <w:t>―</w:t>
      </w:r>
      <w:r>
        <w:rPr>
          <w:w w:val="99"/>
          <w:sz w:val="25"/>
        </w:rPr>
        <w:t>a</w:t>
      </w:r>
      <w:r>
        <w:rPr>
          <w:spacing w:val="26"/>
          <w:sz w:val="25"/>
        </w:rPr>
        <w:t> </w:t>
      </w:r>
      <w:r>
        <w:rPr>
          <w:w w:val="99"/>
          <w:sz w:val="25"/>
        </w:rPr>
        <w:t>m</w:t>
      </w:r>
      <w:r>
        <w:rPr>
          <w:spacing w:val="-1"/>
          <w:w w:val="99"/>
          <w:sz w:val="25"/>
        </w:rPr>
        <w:t>os</w:t>
      </w:r>
      <w:r>
        <w:rPr>
          <w:w w:val="99"/>
          <w:sz w:val="25"/>
        </w:rPr>
        <w:t>t</w:t>
      </w:r>
      <w:r>
        <w:rPr>
          <w:spacing w:val="26"/>
          <w:sz w:val="25"/>
        </w:rPr>
        <w:t> </w:t>
      </w:r>
      <w:r>
        <w:rPr>
          <w:w w:val="99"/>
          <w:sz w:val="25"/>
        </w:rPr>
        <w:t>scho</w:t>
      </w:r>
      <w:r>
        <w:rPr>
          <w:spacing w:val="-1"/>
          <w:w w:val="99"/>
          <w:sz w:val="25"/>
        </w:rPr>
        <w:t>la</w:t>
      </w:r>
      <w:r>
        <w:rPr>
          <w:w w:val="99"/>
          <w:sz w:val="25"/>
        </w:rPr>
        <w:t>r</w:t>
      </w:r>
      <w:r>
        <w:rPr>
          <w:spacing w:val="-1"/>
          <w:w w:val="99"/>
          <w:sz w:val="25"/>
        </w:rPr>
        <w:t>ly </w:t>
      </w:r>
      <w:r>
        <w:rPr>
          <w:sz w:val="25"/>
        </w:rPr>
        <w:t>person who knows religion‖. He has been bestowed with the title of Ramanandacharya. The witness suffered from a visual disability since infancy. Surmounting these challenges, he obtained the degree of Acharya by pursuing Prathma, Vidyavaridhi and Vachaspati at the Sampooranand Sanskrit Vishwavidyalaya at Varanasi. The witness has a Ph.D. and a D.Lit and on the date of his evidence in lieu of the Examination-in-Chief had authored seventy six publications. Except for Urdu, the witness stated that he had knowledge of almost all Indian languages. In his Examination-in-Chief, the witness</w:t>
      </w:r>
      <w:r>
        <w:rPr>
          <w:spacing w:val="-7"/>
          <w:sz w:val="25"/>
        </w:rPr>
        <w:t> </w:t>
      </w:r>
      <w:r>
        <w:rPr>
          <w:sz w:val="25"/>
        </w:rPr>
        <w:t>stated:</w:t>
      </w:r>
    </w:p>
    <w:p>
      <w:pPr>
        <w:spacing w:line="276" w:lineRule="auto" w:before="159"/>
        <w:ind w:left="1940" w:right="2261" w:firstLine="0"/>
        <w:jc w:val="both"/>
        <w:rPr>
          <w:sz w:val="21"/>
        </w:rPr>
      </w:pPr>
      <w:r>
        <w:rPr>
          <w:spacing w:val="-1"/>
          <w:w w:val="33"/>
          <w:sz w:val="21"/>
        </w:rPr>
        <w:t>―</w:t>
      </w:r>
      <w:r>
        <w:rPr>
          <w:w w:val="100"/>
          <w:sz w:val="21"/>
        </w:rPr>
        <w:t>Acco</w:t>
      </w:r>
      <w:r>
        <w:rPr>
          <w:spacing w:val="-3"/>
          <w:w w:val="100"/>
          <w:sz w:val="21"/>
        </w:rPr>
        <w:t>r</w:t>
      </w:r>
      <w:r>
        <w:rPr>
          <w:spacing w:val="-1"/>
          <w:w w:val="100"/>
          <w:sz w:val="21"/>
        </w:rPr>
        <w:t>d</w:t>
      </w:r>
      <w:r>
        <w:rPr>
          <w:spacing w:val="1"/>
          <w:w w:val="100"/>
          <w:sz w:val="21"/>
        </w:rPr>
        <w:t>i</w:t>
      </w:r>
      <w:r>
        <w:rPr>
          <w:spacing w:val="-3"/>
          <w:w w:val="100"/>
          <w:sz w:val="21"/>
        </w:rPr>
        <w:t>n</w:t>
      </w:r>
      <w:r>
        <w:rPr>
          <w:w w:val="100"/>
          <w:sz w:val="21"/>
        </w:rPr>
        <w:t>g</w:t>
      </w:r>
      <w:r>
        <w:rPr>
          <w:spacing w:val="25"/>
          <w:sz w:val="21"/>
        </w:rPr>
        <w:t> </w:t>
      </w:r>
      <w:r>
        <w:rPr>
          <w:spacing w:val="-2"/>
          <w:w w:val="100"/>
          <w:sz w:val="21"/>
        </w:rPr>
        <w:t>t</w:t>
      </w:r>
      <w:r>
        <w:rPr>
          <w:w w:val="100"/>
          <w:sz w:val="21"/>
        </w:rPr>
        <w:t>o</w:t>
      </w:r>
      <w:r>
        <w:rPr>
          <w:spacing w:val="25"/>
          <w:sz w:val="21"/>
        </w:rPr>
        <w:t> </w:t>
      </w:r>
      <w:r>
        <w:rPr>
          <w:spacing w:val="1"/>
          <w:w w:val="100"/>
          <w:sz w:val="21"/>
        </w:rPr>
        <w:t>m</w:t>
      </w:r>
      <w:r>
        <w:rPr>
          <w:w w:val="100"/>
          <w:sz w:val="21"/>
        </w:rPr>
        <w:t>y</w:t>
      </w:r>
      <w:r>
        <w:rPr>
          <w:spacing w:val="23"/>
          <w:sz w:val="21"/>
        </w:rPr>
        <w:t> </w:t>
      </w:r>
      <w:r>
        <w:rPr>
          <w:w w:val="100"/>
          <w:sz w:val="21"/>
        </w:rPr>
        <w:t>s</w:t>
      </w:r>
      <w:r>
        <w:rPr>
          <w:spacing w:val="-2"/>
          <w:w w:val="100"/>
          <w:sz w:val="21"/>
        </w:rPr>
        <w:t>t</w:t>
      </w:r>
      <w:r>
        <w:rPr>
          <w:spacing w:val="-1"/>
          <w:w w:val="100"/>
          <w:sz w:val="21"/>
        </w:rPr>
        <w:t>ud</w:t>
      </w:r>
      <w:r>
        <w:rPr>
          <w:w w:val="100"/>
          <w:sz w:val="21"/>
        </w:rPr>
        <w:t>y</w:t>
      </w:r>
      <w:r>
        <w:rPr>
          <w:spacing w:val="23"/>
          <w:sz w:val="21"/>
        </w:rPr>
        <w:t> </w:t>
      </w:r>
      <w:r>
        <w:rPr>
          <w:spacing w:val="-1"/>
          <w:w w:val="100"/>
          <w:sz w:val="21"/>
        </w:rPr>
        <w:t>an</w:t>
      </w:r>
      <w:r>
        <w:rPr>
          <w:w w:val="100"/>
          <w:sz w:val="21"/>
        </w:rPr>
        <w:t>d</w:t>
      </w:r>
      <w:r>
        <w:rPr>
          <w:spacing w:val="25"/>
          <w:sz w:val="21"/>
        </w:rPr>
        <w:t> </w:t>
      </w:r>
      <w:r>
        <w:rPr>
          <w:w w:val="100"/>
          <w:sz w:val="21"/>
        </w:rPr>
        <w:t>in</w:t>
      </w:r>
      <w:r>
        <w:rPr>
          <w:spacing w:val="1"/>
          <w:w w:val="100"/>
          <w:sz w:val="21"/>
        </w:rPr>
        <w:t>f</w:t>
      </w:r>
      <w:r>
        <w:rPr>
          <w:w w:val="100"/>
          <w:sz w:val="21"/>
        </w:rPr>
        <w:t>o</w:t>
      </w:r>
      <w:r>
        <w:rPr>
          <w:spacing w:val="-3"/>
          <w:w w:val="100"/>
          <w:sz w:val="21"/>
        </w:rPr>
        <w:t>r</w:t>
      </w:r>
      <w:r>
        <w:rPr>
          <w:spacing w:val="-1"/>
          <w:w w:val="100"/>
          <w:sz w:val="21"/>
        </w:rPr>
        <w:t>m</w:t>
      </w:r>
      <w:r>
        <w:rPr>
          <w:w w:val="100"/>
          <w:sz w:val="21"/>
        </w:rPr>
        <w:t>a</w:t>
      </w:r>
      <w:r>
        <w:rPr>
          <w:spacing w:val="-1"/>
          <w:w w:val="100"/>
          <w:sz w:val="21"/>
        </w:rPr>
        <w:t>t</w:t>
      </w:r>
      <w:r>
        <w:rPr>
          <w:w w:val="100"/>
          <w:sz w:val="21"/>
        </w:rPr>
        <w:t>i</w:t>
      </w:r>
      <w:r>
        <w:rPr>
          <w:w w:val="100"/>
          <w:sz w:val="21"/>
        </w:rPr>
        <w:t>on,</w:t>
      </w:r>
      <w:r>
        <w:rPr>
          <w:spacing w:val="24"/>
          <w:sz w:val="21"/>
        </w:rPr>
        <w:t> </w:t>
      </w:r>
      <w:r>
        <w:rPr>
          <w:spacing w:val="-2"/>
          <w:w w:val="100"/>
          <w:sz w:val="21"/>
        </w:rPr>
        <w:t>t</w:t>
      </w:r>
      <w:r>
        <w:rPr>
          <w:w w:val="100"/>
          <w:sz w:val="21"/>
        </w:rPr>
        <w:t>he</w:t>
      </w:r>
      <w:r>
        <w:rPr>
          <w:spacing w:val="25"/>
          <w:sz w:val="21"/>
        </w:rPr>
        <w:t> </w:t>
      </w:r>
      <w:r>
        <w:rPr>
          <w:spacing w:val="-3"/>
          <w:w w:val="100"/>
          <w:sz w:val="21"/>
        </w:rPr>
        <w:t>d</w:t>
      </w:r>
      <w:r>
        <w:rPr>
          <w:w w:val="100"/>
          <w:sz w:val="21"/>
        </w:rPr>
        <w:t>i</w:t>
      </w:r>
      <w:r>
        <w:rPr>
          <w:w w:val="100"/>
          <w:sz w:val="21"/>
        </w:rPr>
        <w:t>s</w:t>
      </w:r>
      <w:r>
        <w:rPr>
          <w:spacing w:val="-3"/>
          <w:w w:val="100"/>
          <w:sz w:val="21"/>
        </w:rPr>
        <w:t>p</w:t>
      </w:r>
      <w:r>
        <w:rPr>
          <w:w w:val="100"/>
          <w:sz w:val="21"/>
        </w:rPr>
        <w:t>u</w:t>
      </w:r>
      <w:r>
        <w:rPr>
          <w:spacing w:val="-1"/>
          <w:w w:val="100"/>
          <w:sz w:val="21"/>
        </w:rPr>
        <w:t>t</w:t>
      </w:r>
      <w:r>
        <w:rPr>
          <w:w w:val="100"/>
          <w:sz w:val="21"/>
        </w:rPr>
        <w:t>ed</w:t>
      </w:r>
      <w:r>
        <w:rPr>
          <w:spacing w:val="25"/>
          <w:sz w:val="21"/>
        </w:rPr>
        <w:t> </w:t>
      </w:r>
      <w:r>
        <w:rPr>
          <w:w w:val="100"/>
          <w:sz w:val="21"/>
        </w:rPr>
        <w:t>si</w:t>
      </w:r>
      <w:r>
        <w:rPr>
          <w:spacing w:val="-2"/>
          <w:w w:val="100"/>
          <w:sz w:val="21"/>
        </w:rPr>
        <w:t>t</w:t>
      </w:r>
      <w:r>
        <w:rPr>
          <w:w w:val="100"/>
          <w:sz w:val="21"/>
        </w:rPr>
        <w:t>e</w:t>
      </w:r>
      <w:r>
        <w:rPr>
          <w:spacing w:val="25"/>
          <w:sz w:val="21"/>
        </w:rPr>
        <w:t> </w:t>
      </w:r>
      <w:r>
        <w:rPr>
          <w:w w:val="100"/>
          <w:sz w:val="21"/>
        </w:rPr>
        <w:t>at </w:t>
      </w:r>
      <w:r>
        <w:rPr>
          <w:sz w:val="21"/>
        </w:rPr>
        <w:t>Ayodhya is the birthplace of Lord Shri Ram and from time immemorial and as per traditions and faith, the disputed site  is recognized as the birthplace of Lord Rama and that place is being worshiped on a continuing</w:t>
      </w:r>
      <w:r>
        <w:rPr>
          <w:spacing w:val="-10"/>
          <w:sz w:val="21"/>
        </w:rPr>
        <w:t> </w:t>
      </w:r>
      <w:r>
        <w:rPr>
          <w:sz w:val="21"/>
        </w:rPr>
        <w:t>basis.‖</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5"/>
        <w:jc w:val="both"/>
      </w:pPr>
      <w:r>
        <w:rPr/>
        <w:t>The witness relied on an extract from Shri Tulsi Dohashatak by Goswami Tulsi Das and on Episode 18 (Bal Khand) of Valmiki Ramayan and the Vaishnav Khand of </w:t>
      </w:r>
      <w:r>
        <w:rPr>
          <w:i/>
        </w:rPr>
        <w:t>Skand Puran </w:t>
      </w:r>
      <w:r>
        <w:rPr/>
        <w:t>to sustain the faith and belief in the birth-place of Lord Ram. In the course of his cross-examination, the witness was subjected to a searching enquiry on his knowledge of Shri Ramcharitmanas, when he</w:t>
      </w:r>
      <w:r>
        <w:rPr>
          <w:spacing w:val="-15"/>
        </w:rPr>
        <w:t> </w:t>
      </w:r>
      <w:r>
        <w:rPr/>
        <w:t>stated:</w:t>
      </w:r>
    </w:p>
    <w:p>
      <w:pPr>
        <w:spacing w:line="276" w:lineRule="auto" w:before="0"/>
        <w:ind w:left="1940" w:right="2261" w:firstLine="0"/>
        <w:jc w:val="both"/>
        <w:rPr>
          <w:sz w:val="21"/>
        </w:rPr>
      </w:pPr>
      <w:r>
        <w:rPr>
          <w:spacing w:val="-1"/>
          <w:w w:val="33"/>
          <w:sz w:val="21"/>
        </w:rPr>
        <w:t>―</w:t>
      </w:r>
      <w:r>
        <w:rPr>
          <w:w w:val="100"/>
          <w:sz w:val="21"/>
        </w:rPr>
        <w:t>…</w:t>
      </w:r>
      <w:r>
        <w:rPr>
          <w:spacing w:val="-2"/>
          <w:w w:val="100"/>
          <w:sz w:val="21"/>
        </w:rPr>
        <w:t>t</w:t>
      </w:r>
      <w:r>
        <w:rPr>
          <w:spacing w:val="-1"/>
          <w:w w:val="100"/>
          <w:sz w:val="21"/>
        </w:rPr>
        <w:t>her</w:t>
      </w:r>
      <w:r>
        <w:rPr>
          <w:w w:val="100"/>
          <w:sz w:val="21"/>
        </w:rPr>
        <w:t>e</w:t>
      </w:r>
      <w:r>
        <w:rPr>
          <w:spacing w:val="10"/>
          <w:sz w:val="21"/>
        </w:rPr>
        <w:t> </w:t>
      </w:r>
      <w:r>
        <w:rPr>
          <w:w w:val="100"/>
          <w:sz w:val="21"/>
        </w:rPr>
        <w:t>is</w:t>
      </w:r>
      <w:r>
        <w:rPr>
          <w:spacing w:val="11"/>
          <w:sz w:val="21"/>
        </w:rPr>
        <w:t> </w:t>
      </w:r>
      <w:r>
        <w:rPr>
          <w:spacing w:val="-2"/>
          <w:w w:val="100"/>
          <w:sz w:val="21"/>
        </w:rPr>
        <w:t>t</w:t>
      </w:r>
      <w:r>
        <w:rPr>
          <w:spacing w:val="-1"/>
          <w:w w:val="100"/>
          <w:sz w:val="21"/>
        </w:rPr>
        <w:t>h</w:t>
      </w:r>
      <w:r>
        <w:rPr>
          <w:w w:val="100"/>
          <w:sz w:val="21"/>
        </w:rPr>
        <w:t>e</w:t>
      </w:r>
      <w:r>
        <w:rPr>
          <w:spacing w:val="12"/>
          <w:sz w:val="21"/>
        </w:rPr>
        <w:t> </w:t>
      </w:r>
      <w:r>
        <w:rPr>
          <w:w w:val="100"/>
          <w:sz w:val="21"/>
        </w:rPr>
        <w:t>c</w:t>
      </w:r>
      <w:r>
        <w:rPr>
          <w:spacing w:val="-3"/>
          <w:w w:val="100"/>
          <w:sz w:val="21"/>
        </w:rPr>
        <w:t>o</w:t>
      </w:r>
      <w:r>
        <w:rPr>
          <w:w w:val="100"/>
          <w:sz w:val="21"/>
        </w:rPr>
        <w:t>n</w:t>
      </w:r>
      <w:r>
        <w:rPr>
          <w:spacing w:val="-3"/>
          <w:w w:val="100"/>
          <w:sz w:val="21"/>
        </w:rPr>
        <w:t>c</w:t>
      </w:r>
      <w:r>
        <w:rPr>
          <w:w w:val="100"/>
          <w:sz w:val="21"/>
        </w:rPr>
        <w:t>l</w:t>
      </w:r>
      <w:r>
        <w:rPr>
          <w:w w:val="100"/>
          <w:sz w:val="21"/>
        </w:rPr>
        <w:t>u</w:t>
      </w:r>
      <w:r>
        <w:rPr>
          <w:spacing w:val="-3"/>
          <w:w w:val="100"/>
          <w:sz w:val="21"/>
        </w:rPr>
        <w:t>d</w:t>
      </w:r>
      <w:r>
        <w:rPr>
          <w:w w:val="100"/>
          <w:sz w:val="21"/>
        </w:rPr>
        <w:t>i</w:t>
      </w:r>
      <w:r>
        <w:rPr>
          <w:w w:val="100"/>
          <w:sz w:val="21"/>
        </w:rPr>
        <w:t>ng</w:t>
      </w:r>
      <w:r>
        <w:rPr>
          <w:spacing w:val="9"/>
          <w:sz w:val="21"/>
        </w:rPr>
        <w:t> </w:t>
      </w:r>
      <w:r>
        <w:rPr>
          <w:spacing w:val="-1"/>
          <w:w w:val="100"/>
          <w:sz w:val="21"/>
        </w:rPr>
        <w:t>par</w:t>
      </w:r>
      <w:r>
        <w:rPr>
          <w:w w:val="100"/>
          <w:sz w:val="21"/>
        </w:rPr>
        <w:t>t</w:t>
      </w:r>
      <w:r>
        <w:rPr>
          <w:spacing w:val="9"/>
          <w:sz w:val="21"/>
        </w:rPr>
        <w:t> </w:t>
      </w:r>
      <w:r>
        <w:rPr>
          <w:spacing w:val="-1"/>
          <w:w w:val="100"/>
          <w:sz w:val="21"/>
        </w:rPr>
        <w:t>o</w:t>
      </w:r>
      <w:r>
        <w:rPr>
          <w:w w:val="100"/>
          <w:sz w:val="21"/>
        </w:rPr>
        <w:t>f</w:t>
      </w:r>
      <w:r>
        <w:rPr>
          <w:spacing w:val="12"/>
          <w:sz w:val="21"/>
        </w:rPr>
        <w:t> </w:t>
      </w:r>
      <w:r>
        <w:rPr>
          <w:spacing w:val="-2"/>
          <w:w w:val="100"/>
          <w:sz w:val="21"/>
        </w:rPr>
        <w:t>t</w:t>
      </w:r>
      <w:r>
        <w:rPr>
          <w:spacing w:val="-1"/>
          <w:w w:val="100"/>
          <w:sz w:val="21"/>
        </w:rPr>
        <w:t>h</w:t>
      </w:r>
      <w:r>
        <w:rPr>
          <w:w w:val="100"/>
          <w:sz w:val="21"/>
        </w:rPr>
        <w:t>e</w:t>
      </w:r>
      <w:r>
        <w:rPr>
          <w:spacing w:val="11"/>
          <w:sz w:val="21"/>
        </w:rPr>
        <w:t> </w:t>
      </w:r>
      <w:r>
        <w:rPr>
          <w:spacing w:val="-1"/>
          <w:w w:val="100"/>
          <w:sz w:val="21"/>
        </w:rPr>
        <w:t>bo</w:t>
      </w:r>
      <w:r>
        <w:rPr>
          <w:spacing w:val="-2"/>
          <w:w w:val="100"/>
          <w:sz w:val="21"/>
        </w:rPr>
        <w:t>o</w:t>
      </w:r>
      <w:r>
        <w:rPr>
          <w:w w:val="100"/>
          <w:sz w:val="21"/>
        </w:rPr>
        <w:t>k</w:t>
      </w:r>
      <w:r>
        <w:rPr>
          <w:spacing w:val="13"/>
          <w:sz w:val="21"/>
        </w:rPr>
        <w:t> </w:t>
      </w:r>
      <w:r>
        <w:rPr>
          <w:spacing w:val="-2"/>
          <w:w w:val="100"/>
          <w:sz w:val="21"/>
        </w:rPr>
        <w:t>t</w:t>
      </w:r>
      <w:r>
        <w:rPr>
          <w:w w:val="100"/>
          <w:sz w:val="21"/>
        </w:rPr>
        <w:t>i</w:t>
      </w:r>
      <w:r>
        <w:rPr>
          <w:spacing w:val="-2"/>
          <w:w w:val="100"/>
          <w:sz w:val="21"/>
        </w:rPr>
        <w:t>tl</w:t>
      </w:r>
      <w:r>
        <w:rPr>
          <w:spacing w:val="-1"/>
          <w:w w:val="100"/>
          <w:sz w:val="21"/>
        </w:rPr>
        <w:t>e</w:t>
      </w:r>
      <w:r>
        <w:rPr>
          <w:w w:val="100"/>
          <w:sz w:val="21"/>
        </w:rPr>
        <w:t>d</w:t>
      </w:r>
      <w:r>
        <w:rPr>
          <w:spacing w:val="11"/>
          <w:sz w:val="21"/>
        </w:rPr>
        <w:t> </w:t>
      </w:r>
      <w:r>
        <w:rPr>
          <w:spacing w:val="-2"/>
          <w:w w:val="40"/>
          <w:sz w:val="21"/>
        </w:rPr>
        <w:t>‗</w:t>
      </w:r>
      <w:r>
        <w:rPr>
          <w:w w:val="100"/>
          <w:sz w:val="21"/>
        </w:rPr>
        <w:t>U</w:t>
      </w:r>
      <w:r>
        <w:rPr>
          <w:spacing w:val="-4"/>
          <w:w w:val="100"/>
          <w:sz w:val="21"/>
        </w:rPr>
        <w:t>t</w:t>
      </w:r>
      <w:r>
        <w:rPr>
          <w:spacing w:val="-2"/>
          <w:w w:val="100"/>
          <w:sz w:val="21"/>
        </w:rPr>
        <w:t>t</w:t>
      </w:r>
      <w:r>
        <w:rPr>
          <w:spacing w:val="-1"/>
          <w:w w:val="100"/>
          <w:sz w:val="21"/>
        </w:rPr>
        <w:t>ar</w:t>
      </w:r>
      <w:r>
        <w:rPr>
          <w:spacing w:val="1"/>
          <w:w w:val="100"/>
          <w:sz w:val="21"/>
        </w:rPr>
        <w:t>k</w:t>
      </w:r>
      <w:r>
        <w:rPr>
          <w:spacing w:val="-3"/>
          <w:w w:val="100"/>
          <w:sz w:val="21"/>
        </w:rPr>
        <w:t>a</w:t>
      </w:r>
      <w:r>
        <w:rPr>
          <w:spacing w:val="-1"/>
          <w:w w:val="100"/>
          <w:sz w:val="21"/>
        </w:rPr>
        <w:t>n</w:t>
      </w:r>
      <w:r>
        <w:rPr>
          <w:spacing w:val="-3"/>
          <w:w w:val="100"/>
          <w:sz w:val="21"/>
        </w:rPr>
        <w:t>d</w:t>
      </w:r>
      <w:r>
        <w:rPr>
          <w:w w:val="100"/>
          <w:sz w:val="21"/>
        </w:rPr>
        <w:t>‘.</w:t>
      </w:r>
      <w:r>
        <w:rPr>
          <w:spacing w:val="10"/>
          <w:sz w:val="21"/>
        </w:rPr>
        <w:t> </w:t>
      </w:r>
      <w:r>
        <w:rPr>
          <w:w w:val="100"/>
          <w:sz w:val="21"/>
        </w:rPr>
        <w:t>I </w:t>
      </w:r>
      <w:r>
        <w:rPr>
          <w:sz w:val="21"/>
        </w:rPr>
        <w:t>remember the fifth line of the 4</w:t>
      </w:r>
      <w:r>
        <w:rPr>
          <w:sz w:val="21"/>
          <w:vertAlign w:val="superscript"/>
        </w:rPr>
        <w:t>th</w:t>
      </w:r>
      <w:r>
        <w:rPr>
          <w:sz w:val="21"/>
          <w:vertAlign w:val="baseline"/>
        </w:rPr>
        <w:t> Doha in the Uttarkand relating to the Janam Bhoomi which goes like this – Janam Bhoomi Mam Puri Suhavan Uttar Disi Bah Sarju Pavani (Manas 7/4/5). The meaning of the above doha is – in my pleasant City is situated Janam Bhoomi Sthal to the north of which flows the Saryu river. It is wrong to suggest that there is no mention of the Janam Bhoomi in this couplet. As a matter of fact, it has been said that this pleasant city is my birthplace, which in turn, means that in my pleasant city is the Janam Bhoomi</w:t>
      </w:r>
      <w:r>
        <w:rPr>
          <w:spacing w:val="-1"/>
          <w:sz w:val="21"/>
          <w:vertAlign w:val="baseline"/>
        </w:rPr>
        <w:t> </w:t>
      </w:r>
      <w:r>
        <w:rPr>
          <w:sz w:val="21"/>
          <w:vertAlign w:val="baseline"/>
        </w:rPr>
        <w:t>site.‖</w:t>
      </w:r>
    </w:p>
    <w:p>
      <w:pPr>
        <w:pStyle w:val="BodyText"/>
        <w:rPr>
          <w:sz w:val="24"/>
        </w:rPr>
      </w:pPr>
    </w:p>
    <w:p>
      <w:pPr>
        <w:pStyle w:val="BodyText"/>
        <w:rPr>
          <w:sz w:val="26"/>
        </w:rPr>
      </w:pPr>
    </w:p>
    <w:p>
      <w:pPr>
        <w:pStyle w:val="BodyText"/>
        <w:spacing w:line="480" w:lineRule="auto"/>
        <w:ind w:left="500" w:right="441"/>
        <w:jc w:val="both"/>
      </w:pPr>
      <w:r>
        <w:rPr/>
        <w:t>The witness explained the significance of the fifth and seventh couplets during the course of his</w:t>
      </w:r>
      <w:r>
        <w:rPr>
          <w:spacing w:val="-4"/>
        </w:rPr>
        <w:t> </w:t>
      </w:r>
      <w:r>
        <w:rPr/>
        <w:t>cross-examination:</w:t>
      </w:r>
    </w:p>
    <w:p>
      <w:pPr>
        <w:spacing w:line="276" w:lineRule="auto" w:before="0"/>
        <w:ind w:left="1940" w:right="2261" w:firstLine="0"/>
        <w:jc w:val="both"/>
        <w:rPr>
          <w:sz w:val="21"/>
        </w:rPr>
      </w:pPr>
      <w:r>
        <w:rPr>
          <w:spacing w:val="-1"/>
          <w:w w:val="33"/>
          <w:sz w:val="21"/>
        </w:rPr>
        <w:t>―</w:t>
      </w:r>
      <w:r>
        <w:rPr>
          <w:spacing w:val="-2"/>
          <w:w w:val="100"/>
          <w:sz w:val="21"/>
        </w:rPr>
        <w:t>I</w:t>
      </w:r>
      <w:r>
        <w:rPr>
          <w:w w:val="100"/>
          <w:sz w:val="21"/>
        </w:rPr>
        <w:t>n</w:t>
      </w:r>
      <w:r>
        <w:rPr>
          <w:sz w:val="21"/>
        </w:rPr>
        <w:t> </w:t>
      </w:r>
      <w:r>
        <w:rPr>
          <w:spacing w:val="27"/>
          <w:sz w:val="21"/>
        </w:rPr>
        <w:t> </w:t>
      </w:r>
      <w:r>
        <w:rPr>
          <w:spacing w:val="-2"/>
          <w:w w:val="100"/>
          <w:sz w:val="21"/>
        </w:rPr>
        <w:t>t</w:t>
      </w:r>
      <w:r>
        <w:rPr>
          <w:spacing w:val="-1"/>
          <w:w w:val="100"/>
          <w:sz w:val="21"/>
        </w:rPr>
        <w:t>h</w:t>
      </w:r>
      <w:r>
        <w:rPr>
          <w:w w:val="100"/>
          <w:sz w:val="21"/>
        </w:rPr>
        <w:t>e</w:t>
      </w:r>
      <w:r>
        <w:rPr>
          <w:sz w:val="21"/>
        </w:rPr>
        <w:t> </w:t>
      </w:r>
      <w:r>
        <w:rPr>
          <w:spacing w:val="27"/>
          <w:sz w:val="21"/>
        </w:rPr>
        <w:t> </w:t>
      </w:r>
      <w:r>
        <w:rPr>
          <w:spacing w:val="1"/>
          <w:w w:val="100"/>
          <w:sz w:val="21"/>
        </w:rPr>
        <w:t>f</w:t>
      </w:r>
      <w:r>
        <w:rPr>
          <w:spacing w:val="-2"/>
          <w:w w:val="100"/>
          <w:sz w:val="21"/>
        </w:rPr>
        <w:t>i</w:t>
      </w:r>
      <w:r>
        <w:rPr>
          <w:spacing w:val="1"/>
          <w:w w:val="100"/>
          <w:sz w:val="21"/>
        </w:rPr>
        <w:t>f</w:t>
      </w:r>
      <w:r>
        <w:rPr>
          <w:spacing w:val="-2"/>
          <w:w w:val="100"/>
          <w:sz w:val="21"/>
        </w:rPr>
        <w:t>t</w:t>
      </w:r>
      <w:r>
        <w:rPr>
          <w:w w:val="100"/>
          <w:sz w:val="21"/>
        </w:rPr>
        <w:t>h</w:t>
      </w:r>
      <w:r>
        <w:rPr>
          <w:sz w:val="21"/>
        </w:rPr>
        <w:t> </w:t>
      </w:r>
      <w:r>
        <w:rPr>
          <w:spacing w:val="27"/>
          <w:sz w:val="21"/>
        </w:rPr>
        <w:t> </w:t>
      </w:r>
      <w:r>
        <w:rPr>
          <w:w w:val="100"/>
          <w:sz w:val="21"/>
        </w:rPr>
        <w:t>co</w:t>
      </w:r>
      <w:r>
        <w:rPr>
          <w:spacing w:val="-3"/>
          <w:w w:val="100"/>
          <w:sz w:val="21"/>
        </w:rPr>
        <w:t>u</w:t>
      </w:r>
      <w:r>
        <w:rPr>
          <w:spacing w:val="-1"/>
          <w:w w:val="100"/>
          <w:sz w:val="21"/>
        </w:rPr>
        <w:t>p</w:t>
      </w:r>
      <w:r>
        <w:rPr>
          <w:spacing w:val="-2"/>
          <w:w w:val="100"/>
          <w:sz w:val="21"/>
        </w:rPr>
        <w:t>l</w:t>
      </w:r>
      <w:r>
        <w:rPr>
          <w:spacing w:val="-1"/>
          <w:w w:val="100"/>
          <w:sz w:val="21"/>
        </w:rPr>
        <w:t>et</w:t>
      </w:r>
      <w:r>
        <w:rPr>
          <w:w w:val="100"/>
          <w:sz w:val="21"/>
        </w:rPr>
        <w:t>,</w:t>
      </w:r>
      <w:r>
        <w:rPr>
          <w:sz w:val="21"/>
        </w:rPr>
        <w:t> </w:t>
      </w:r>
      <w:r>
        <w:rPr>
          <w:spacing w:val="26"/>
          <w:sz w:val="21"/>
        </w:rPr>
        <w:t> </w:t>
      </w:r>
      <w:r>
        <w:rPr>
          <w:spacing w:val="-2"/>
          <w:w w:val="100"/>
          <w:sz w:val="21"/>
        </w:rPr>
        <w:t>w</w:t>
      </w:r>
      <w:r>
        <w:rPr>
          <w:spacing w:val="-1"/>
          <w:w w:val="100"/>
          <w:sz w:val="21"/>
        </w:rPr>
        <w:t>h</w:t>
      </w:r>
      <w:r>
        <w:rPr>
          <w:spacing w:val="1"/>
          <w:w w:val="100"/>
          <w:sz w:val="21"/>
        </w:rPr>
        <w:t>i</w:t>
      </w:r>
      <w:r>
        <w:rPr>
          <w:w w:val="100"/>
          <w:sz w:val="21"/>
        </w:rPr>
        <w:t>ch</w:t>
      </w:r>
      <w:r>
        <w:rPr>
          <w:sz w:val="21"/>
        </w:rPr>
        <w:t> </w:t>
      </w:r>
      <w:r>
        <w:rPr>
          <w:spacing w:val="27"/>
          <w:sz w:val="21"/>
        </w:rPr>
        <w:t> </w:t>
      </w:r>
      <w:r>
        <w:rPr>
          <w:w w:val="100"/>
          <w:sz w:val="21"/>
        </w:rPr>
        <w:t>s</w:t>
      </w:r>
      <w:r>
        <w:rPr>
          <w:spacing w:val="-2"/>
          <w:w w:val="100"/>
          <w:sz w:val="21"/>
        </w:rPr>
        <w:t>t</w:t>
      </w:r>
      <w:r>
        <w:rPr>
          <w:spacing w:val="-1"/>
          <w:w w:val="100"/>
          <w:sz w:val="21"/>
        </w:rPr>
        <w:t>ar</w:t>
      </w:r>
      <w:r>
        <w:rPr>
          <w:spacing w:val="-2"/>
          <w:w w:val="100"/>
          <w:sz w:val="21"/>
        </w:rPr>
        <w:t>t</w:t>
      </w:r>
      <w:r>
        <w:rPr>
          <w:w w:val="100"/>
          <w:sz w:val="21"/>
        </w:rPr>
        <w:t>s</w:t>
      </w:r>
      <w:r>
        <w:rPr>
          <w:sz w:val="21"/>
        </w:rPr>
        <w:t> </w:t>
      </w:r>
      <w:r>
        <w:rPr>
          <w:spacing w:val="27"/>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27"/>
          <w:sz w:val="21"/>
        </w:rPr>
        <w:t> </w:t>
      </w:r>
      <w:r>
        <w:rPr>
          <w:spacing w:val="-2"/>
          <w:w w:val="100"/>
          <w:sz w:val="21"/>
        </w:rPr>
        <w:t>t</w:t>
      </w:r>
      <w:r>
        <w:rPr>
          <w:spacing w:val="-3"/>
          <w:w w:val="100"/>
          <w:sz w:val="21"/>
        </w:rPr>
        <w:t>h</w:t>
      </w:r>
      <w:r>
        <w:rPr>
          <w:w w:val="100"/>
          <w:sz w:val="21"/>
        </w:rPr>
        <w:t>e</w:t>
      </w:r>
      <w:r>
        <w:rPr>
          <w:sz w:val="21"/>
        </w:rPr>
        <w:t> </w:t>
      </w:r>
      <w:r>
        <w:rPr>
          <w:spacing w:val="27"/>
          <w:sz w:val="21"/>
        </w:rPr>
        <w:t> </w:t>
      </w:r>
      <w:r>
        <w:rPr>
          <w:spacing w:val="-2"/>
          <w:w w:val="100"/>
          <w:sz w:val="21"/>
        </w:rPr>
        <w:t>w</w:t>
      </w:r>
      <w:r>
        <w:rPr>
          <w:spacing w:val="-1"/>
          <w:w w:val="100"/>
          <w:sz w:val="21"/>
        </w:rPr>
        <w:t>or</w:t>
      </w:r>
      <w:r>
        <w:rPr>
          <w:w w:val="100"/>
          <w:sz w:val="21"/>
        </w:rPr>
        <w:t>d</w:t>
      </w:r>
      <w:r>
        <w:rPr>
          <w:sz w:val="21"/>
        </w:rPr>
        <w:t> </w:t>
      </w:r>
      <w:r>
        <w:rPr>
          <w:spacing w:val="26"/>
          <w:sz w:val="21"/>
        </w:rPr>
        <w:t> </w:t>
      </w:r>
      <w:r>
        <w:rPr>
          <w:w w:val="40"/>
          <w:sz w:val="21"/>
        </w:rPr>
        <w:t>‗</w:t>
      </w:r>
      <w:r>
        <w:rPr>
          <w:w w:val="100"/>
          <w:sz w:val="21"/>
        </w:rPr>
        <w:t>Ja</w:t>
      </w:r>
      <w:r>
        <w:rPr>
          <w:spacing w:val="-3"/>
          <w:w w:val="100"/>
          <w:sz w:val="21"/>
        </w:rPr>
        <w:t>na</w:t>
      </w:r>
      <w:r>
        <w:rPr>
          <w:w w:val="100"/>
          <w:sz w:val="21"/>
        </w:rPr>
        <w:t>m </w:t>
      </w:r>
      <w:r>
        <w:rPr>
          <w:sz w:val="21"/>
        </w:rPr>
        <w:t>Bhoomi‘, the word city stands for the whole city and not for any particular site and the same thing has been mentioned by </w:t>
      </w:r>
      <w:r>
        <w:rPr>
          <w:spacing w:val="-2"/>
          <w:w w:val="100"/>
          <w:sz w:val="21"/>
        </w:rPr>
        <w:t>t</w:t>
      </w:r>
      <w:r>
        <w:rPr>
          <w:spacing w:val="-1"/>
          <w:w w:val="100"/>
          <w:sz w:val="21"/>
        </w:rPr>
        <w:t>h</w:t>
      </w:r>
      <w:r>
        <w:rPr>
          <w:w w:val="100"/>
          <w:sz w:val="21"/>
        </w:rPr>
        <w:t>e</w:t>
      </w:r>
      <w:r>
        <w:rPr>
          <w:spacing w:val="23"/>
          <w:sz w:val="21"/>
        </w:rPr>
        <w:t> </w:t>
      </w:r>
      <w:r>
        <w:rPr>
          <w:spacing w:val="-2"/>
          <w:w w:val="100"/>
          <w:sz w:val="21"/>
        </w:rPr>
        <w:t>w</w:t>
      </w:r>
      <w:r>
        <w:rPr>
          <w:spacing w:val="-1"/>
          <w:w w:val="100"/>
          <w:sz w:val="21"/>
        </w:rPr>
        <w:t>or</w:t>
      </w:r>
      <w:r>
        <w:rPr>
          <w:w w:val="100"/>
          <w:sz w:val="21"/>
        </w:rPr>
        <w:t>d</w:t>
      </w:r>
      <w:r>
        <w:rPr>
          <w:spacing w:val="22"/>
          <w:sz w:val="21"/>
        </w:rPr>
        <w:t> </w:t>
      </w:r>
      <w:r>
        <w:rPr>
          <w:w w:val="40"/>
          <w:sz w:val="21"/>
        </w:rPr>
        <w:t>‗</w:t>
      </w:r>
      <w:r>
        <w:rPr>
          <w:spacing w:val="-2"/>
          <w:w w:val="100"/>
          <w:sz w:val="21"/>
        </w:rPr>
        <w:t>i</w:t>
      </w:r>
      <w:r>
        <w:rPr>
          <w:spacing w:val="-1"/>
          <w:w w:val="100"/>
          <w:sz w:val="21"/>
        </w:rPr>
        <w:t>ha</w:t>
      </w:r>
      <w:r>
        <w:rPr>
          <w:spacing w:val="-2"/>
          <w:w w:val="100"/>
          <w:sz w:val="21"/>
        </w:rPr>
        <w:t>n</w:t>
      </w:r>
      <w:r>
        <w:rPr>
          <w:w w:val="100"/>
          <w:sz w:val="21"/>
        </w:rPr>
        <w:t>‘</w:t>
      </w:r>
      <w:r>
        <w:rPr>
          <w:spacing w:val="23"/>
          <w:sz w:val="21"/>
        </w:rPr>
        <w:t> </w:t>
      </w:r>
      <w:r>
        <w:rPr>
          <w:spacing w:val="-2"/>
          <w:w w:val="100"/>
          <w:sz w:val="21"/>
        </w:rPr>
        <w:t>i</w:t>
      </w:r>
      <w:r>
        <w:rPr>
          <w:w w:val="100"/>
          <w:sz w:val="21"/>
        </w:rPr>
        <w:t>n</w:t>
      </w:r>
      <w:r>
        <w:rPr>
          <w:spacing w:val="23"/>
          <w:sz w:val="21"/>
        </w:rPr>
        <w:t> </w:t>
      </w:r>
      <w:r>
        <w:rPr>
          <w:spacing w:val="-2"/>
          <w:w w:val="100"/>
          <w:sz w:val="21"/>
        </w:rPr>
        <w:t>t</w:t>
      </w:r>
      <w:r>
        <w:rPr>
          <w:spacing w:val="-1"/>
          <w:w w:val="100"/>
          <w:sz w:val="21"/>
        </w:rPr>
        <w:t>h</w:t>
      </w:r>
      <w:r>
        <w:rPr>
          <w:w w:val="100"/>
          <w:sz w:val="21"/>
        </w:rPr>
        <w:t>e</w:t>
      </w:r>
      <w:r>
        <w:rPr>
          <w:spacing w:val="23"/>
          <w:sz w:val="21"/>
        </w:rPr>
        <w:t> </w:t>
      </w:r>
      <w:r>
        <w:rPr>
          <w:spacing w:val="2"/>
          <w:w w:val="100"/>
          <w:sz w:val="21"/>
        </w:rPr>
        <w:t>7</w:t>
      </w:r>
      <w:r>
        <w:rPr>
          <w:spacing w:val="-1"/>
          <w:w w:val="97"/>
          <w:sz w:val="21"/>
          <w:vertAlign w:val="superscript"/>
        </w:rPr>
        <w:t>t</w:t>
      </w:r>
      <w:r>
        <w:rPr>
          <w:w w:val="97"/>
          <w:sz w:val="21"/>
          <w:vertAlign w:val="superscript"/>
        </w:rPr>
        <w:t>h</w:t>
      </w:r>
      <w:r>
        <w:rPr>
          <w:spacing w:val="22"/>
          <w:sz w:val="21"/>
          <w:vertAlign w:val="baseline"/>
        </w:rPr>
        <w:t> </w:t>
      </w:r>
      <w:r>
        <w:rPr>
          <w:w w:val="100"/>
          <w:sz w:val="21"/>
          <w:vertAlign w:val="baseline"/>
        </w:rPr>
        <w:t>cou</w:t>
      </w:r>
      <w:r>
        <w:rPr>
          <w:spacing w:val="-2"/>
          <w:w w:val="100"/>
          <w:sz w:val="21"/>
          <w:vertAlign w:val="baseline"/>
        </w:rPr>
        <w:t>p</w:t>
      </w:r>
      <w:r>
        <w:rPr>
          <w:w w:val="100"/>
          <w:sz w:val="21"/>
          <w:vertAlign w:val="baseline"/>
        </w:rPr>
        <w:t>l</w:t>
      </w:r>
      <w:r>
        <w:rPr>
          <w:w w:val="100"/>
          <w:sz w:val="21"/>
          <w:vertAlign w:val="baseline"/>
        </w:rPr>
        <w:t>et</w:t>
      </w:r>
      <w:r>
        <w:rPr>
          <w:spacing w:val="22"/>
          <w:sz w:val="21"/>
          <w:vertAlign w:val="baseline"/>
        </w:rPr>
        <w:t> </w:t>
      </w:r>
      <w:r>
        <w:rPr>
          <w:w w:val="100"/>
          <w:sz w:val="21"/>
          <w:vertAlign w:val="baseline"/>
        </w:rPr>
        <w:t>a</w:t>
      </w:r>
      <w:r>
        <w:rPr>
          <w:spacing w:val="-3"/>
          <w:w w:val="100"/>
          <w:sz w:val="21"/>
          <w:vertAlign w:val="baseline"/>
        </w:rPr>
        <w:t>n</w:t>
      </w:r>
      <w:r>
        <w:rPr>
          <w:w w:val="100"/>
          <w:sz w:val="21"/>
          <w:vertAlign w:val="baseline"/>
        </w:rPr>
        <w:t>d</w:t>
      </w:r>
      <w:r>
        <w:rPr>
          <w:spacing w:val="23"/>
          <w:sz w:val="21"/>
          <w:vertAlign w:val="baseline"/>
        </w:rPr>
        <w:t> </w:t>
      </w:r>
      <w:r>
        <w:rPr>
          <w:spacing w:val="-2"/>
          <w:w w:val="100"/>
          <w:sz w:val="21"/>
          <w:vertAlign w:val="baseline"/>
        </w:rPr>
        <w:t>t</w:t>
      </w:r>
      <w:r>
        <w:rPr>
          <w:w w:val="100"/>
          <w:sz w:val="21"/>
          <w:vertAlign w:val="baseline"/>
        </w:rPr>
        <w:t>he</w:t>
      </w:r>
      <w:r>
        <w:rPr>
          <w:spacing w:val="23"/>
          <w:sz w:val="21"/>
          <w:vertAlign w:val="baseline"/>
        </w:rPr>
        <w:t> </w:t>
      </w:r>
      <w:r>
        <w:rPr>
          <w:w w:val="100"/>
          <w:sz w:val="21"/>
          <w:vertAlign w:val="baseline"/>
        </w:rPr>
        <w:t>s</w:t>
      </w:r>
      <w:r>
        <w:rPr>
          <w:spacing w:val="-3"/>
          <w:w w:val="100"/>
          <w:sz w:val="21"/>
          <w:vertAlign w:val="baseline"/>
        </w:rPr>
        <w:t>a</w:t>
      </w:r>
      <w:r>
        <w:rPr>
          <w:spacing w:val="-1"/>
          <w:w w:val="100"/>
          <w:sz w:val="21"/>
          <w:vertAlign w:val="baseline"/>
        </w:rPr>
        <w:t>m</w:t>
      </w:r>
      <w:r>
        <w:rPr>
          <w:w w:val="100"/>
          <w:sz w:val="21"/>
          <w:vertAlign w:val="baseline"/>
        </w:rPr>
        <w:t>e</w:t>
      </w:r>
      <w:r>
        <w:rPr>
          <w:spacing w:val="23"/>
          <w:sz w:val="21"/>
          <w:vertAlign w:val="baseline"/>
        </w:rPr>
        <w:t> </w:t>
      </w:r>
      <w:r>
        <w:rPr>
          <w:spacing w:val="-3"/>
          <w:w w:val="100"/>
          <w:sz w:val="21"/>
          <w:vertAlign w:val="baseline"/>
        </w:rPr>
        <w:t>v</w:t>
      </w:r>
      <w:r>
        <w:rPr>
          <w:w w:val="100"/>
          <w:sz w:val="21"/>
          <w:vertAlign w:val="baseline"/>
        </w:rPr>
        <w:t>ery</w:t>
      </w:r>
      <w:r>
        <w:rPr>
          <w:spacing w:val="20"/>
          <w:sz w:val="21"/>
          <w:vertAlign w:val="baseline"/>
        </w:rPr>
        <w:t> </w:t>
      </w:r>
      <w:r>
        <w:rPr>
          <w:spacing w:val="-2"/>
          <w:w w:val="100"/>
          <w:sz w:val="21"/>
          <w:vertAlign w:val="baseline"/>
        </w:rPr>
        <w:t>t</w:t>
      </w:r>
      <w:r>
        <w:rPr>
          <w:w w:val="100"/>
          <w:sz w:val="21"/>
          <w:vertAlign w:val="baseline"/>
        </w:rPr>
        <w:t>h</w:t>
      </w:r>
      <w:r>
        <w:rPr>
          <w:spacing w:val="1"/>
          <w:w w:val="100"/>
          <w:sz w:val="21"/>
          <w:vertAlign w:val="baseline"/>
        </w:rPr>
        <w:t>i</w:t>
      </w:r>
      <w:r>
        <w:rPr>
          <w:w w:val="100"/>
          <w:sz w:val="21"/>
          <w:vertAlign w:val="baseline"/>
        </w:rPr>
        <w:t>ng</w:t>
      </w:r>
      <w:r>
        <w:rPr>
          <w:spacing w:val="23"/>
          <w:sz w:val="21"/>
          <w:vertAlign w:val="baseline"/>
        </w:rPr>
        <w:t> </w:t>
      </w:r>
      <w:r>
        <w:rPr>
          <w:w w:val="100"/>
          <w:sz w:val="21"/>
          <w:vertAlign w:val="baseline"/>
        </w:rPr>
        <w:t>i</w:t>
      </w:r>
      <w:r>
        <w:rPr>
          <w:w w:val="100"/>
          <w:sz w:val="21"/>
          <w:vertAlign w:val="baseline"/>
        </w:rPr>
        <w:t>n </w:t>
      </w:r>
      <w:r>
        <w:rPr>
          <w:w w:val="100"/>
          <w:sz w:val="21"/>
          <w:vertAlign w:val="baseline"/>
        </w:rPr>
        <w:t>cou</w:t>
      </w:r>
      <w:r>
        <w:rPr>
          <w:spacing w:val="-2"/>
          <w:w w:val="100"/>
          <w:sz w:val="21"/>
          <w:vertAlign w:val="baseline"/>
        </w:rPr>
        <w:t>p</w:t>
      </w:r>
      <w:r>
        <w:rPr>
          <w:w w:val="100"/>
          <w:sz w:val="21"/>
          <w:vertAlign w:val="baseline"/>
        </w:rPr>
        <w:t>l</w:t>
      </w:r>
      <w:r>
        <w:rPr>
          <w:spacing w:val="-1"/>
          <w:w w:val="100"/>
          <w:sz w:val="21"/>
          <w:vertAlign w:val="baseline"/>
        </w:rPr>
        <w:t>e</w:t>
      </w:r>
      <w:r>
        <w:rPr>
          <w:w w:val="100"/>
          <w:sz w:val="21"/>
          <w:vertAlign w:val="baseline"/>
        </w:rPr>
        <w:t>t</w:t>
      </w:r>
      <w:r>
        <w:rPr>
          <w:spacing w:val="19"/>
          <w:sz w:val="21"/>
          <w:vertAlign w:val="baseline"/>
        </w:rPr>
        <w:t> </w:t>
      </w:r>
      <w:r>
        <w:rPr>
          <w:spacing w:val="-2"/>
          <w:w w:val="100"/>
          <w:sz w:val="21"/>
          <w:vertAlign w:val="baseline"/>
        </w:rPr>
        <w:t>N</w:t>
      </w:r>
      <w:r>
        <w:rPr>
          <w:spacing w:val="-1"/>
          <w:w w:val="100"/>
          <w:sz w:val="21"/>
          <w:vertAlign w:val="baseline"/>
        </w:rPr>
        <w:t>o.</w:t>
      </w:r>
      <w:r>
        <w:rPr>
          <w:w w:val="100"/>
          <w:sz w:val="21"/>
          <w:vertAlign w:val="baseline"/>
        </w:rPr>
        <w:t>4</w:t>
      </w:r>
      <w:r>
        <w:rPr>
          <w:spacing w:val="20"/>
          <w:sz w:val="21"/>
          <w:vertAlign w:val="baseline"/>
        </w:rPr>
        <w:t> </w:t>
      </w:r>
      <w:r>
        <w:rPr>
          <w:spacing w:val="-1"/>
          <w:w w:val="100"/>
          <w:sz w:val="21"/>
          <w:vertAlign w:val="baseline"/>
        </w:rPr>
        <w:t>h</w:t>
      </w:r>
      <w:r>
        <w:rPr>
          <w:spacing w:val="-3"/>
          <w:w w:val="100"/>
          <w:sz w:val="21"/>
          <w:vertAlign w:val="baseline"/>
        </w:rPr>
        <w:t>a</w:t>
      </w:r>
      <w:r>
        <w:rPr>
          <w:w w:val="100"/>
          <w:sz w:val="21"/>
          <w:vertAlign w:val="baseline"/>
        </w:rPr>
        <w:t>s</w:t>
      </w:r>
      <w:r>
        <w:rPr>
          <w:spacing w:val="20"/>
          <w:sz w:val="21"/>
          <w:vertAlign w:val="baseline"/>
        </w:rPr>
        <w:t> </w:t>
      </w:r>
      <w:r>
        <w:rPr>
          <w:spacing w:val="-1"/>
          <w:w w:val="100"/>
          <w:sz w:val="21"/>
          <w:vertAlign w:val="baseline"/>
        </w:rPr>
        <w:t>be</w:t>
      </w:r>
      <w:r>
        <w:rPr>
          <w:spacing w:val="-2"/>
          <w:w w:val="100"/>
          <w:sz w:val="21"/>
          <w:vertAlign w:val="baseline"/>
        </w:rPr>
        <w:t>e</w:t>
      </w:r>
      <w:r>
        <w:rPr>
          <w:w w:val="100"/>
          <w:sz w:val="21"/>
          <w:vertAlign w:val="baseline"/>
        </w:rPr>
        <w:t>n</w:t>
      </w:r>
      <w:r>
        <w:rPr>
          <w:spacing w:val="20"/>
          <w:sz w:val="21"/>
          <w:vertAlign w:val="baseline"/>
        </w:rPr>
        <w:t> </w:t>
      </w:r>
      <w:r>
        <w:rPr>
          <w:spacing w:val="-3"/>
          <w:w w:val="100"/>
          <w:sz w:val="21"/>
          <w:vertAlign w:val="baseline"/>
        </w:rPr>
        <w:t>d</w:t>
      </w:r>
      <w:r>
        <w:rPr>
          <w:spacing w:val="-1"/>
          <w:w w:val="100"/>
          <w:sz w:val="21"/>
          <w:vertAlign w:val="baseline"/>
        </w:rPr>
        <w:t>escr</w:t>
      </w:r>
      <w:r>
        <w:rPr>
          <w:spacing w:val="-2"/>
          <w:w w:val="100"/>
          <w:sz w:val="21"/>
          <w:vertAlign w:val="baseline"/>
        </w:rPr>
        <w:t>i</w:t>
      </w:r>
      <w:r>
        <w:rPr>
          <w:spacing w:val="-1"/>
          <w:w w:val="100"/>
          <w:sz w:val="21"/>
          <w:vertAlign w:val="baseline"/>
        </w:rPr>
        <w:t>be</w:t>
      </w:r>
      <w:r>
        <w:rPr>
          <w:w w:val="100"/>
          <w:sz w:val="21"/>
          <w:vertAlign w:val="baseline"/>
        </w:rPr>
        <w:t>d</w:t>
      </w:r>
      <w:r>
        <w:rPr>
          <w:spacing w:val="21"/>
          <w:sz w:val="21"/>
          <w:vertAlign w:val="baseline"/>
        </w:rPr>
        <w:t> </w:t>
      </w:r>
      <w:r>
        <w:rPr>
          <w:spacing w:val="-3"/>
          <w:w w:val="100"/>
          <w:sz w:val="21"/>
          <w:vertAlign w:val="baseline"/>
        </w:rPr>
        <w:t>a</w:t>
      </w:r>
      <w:r>
        <w:rPr>
          <w:w w:val="100"/>
          <w:sz w:val="21"/>
          <w:vertAlign w:val="baseline"/>
        </w:rPr>
        <w:t>s</w:t>
      </w:r>
      <w:r>
        <w:rPr>
          <w:spacing w:val="20"/>
          <w:sz w:val="21"/>
          <w:vertAlign w:val="baseline"/>
        </w:rPr>
        <w:t> </w:t>
      </w:r>
      <w:r>
        <w:rPr>
          <w:spacing w:val="-2"/>
          <w:w w:val="40"/>
          <w:sz w:val="21"/>
          <w:vertAlign w:val="baseline"/>
        </w:rPr>
        <w:t>‗</w:t>
      </w:r>
      <w:r>
        <w:rPr>
          <w:w w:val="100"/>
          <w:sz w:val="21"/>
          <w:vertAlign w:val="baseline"/>
        </w:rPr>
        <w:t>A</w:t>
      </w:r>
      <w:r>
        <w:rPr>
          <w:spacing w:val="-2"/>
          <w:w w:val="100"/>
          <w:sz w:val="21"/>
          <w:vertAlign w:val="baseline"/>
        </w:rPr>
        <w:t>w</w:t>
      </w:r>
      <w:r>
        <w:rPr>
          <w:spacing w:val="-1"/>
          <w:w w:val="100"/>
          <w:sz w:val="21"/>
          <w:vertAlign w:val="baseline"/>
        </w:rPr>
        <w:t>ad</w:t>
      </w:r>
      <w:r>
        <w:rPr>
          <w:spacing w:val="-2"/>
          <w:w w:val="100"/>
          <w:sz w:val="21"/>
          <w:vertAlign w:val="baseline"/>
        </w:rPr>
        <w:t>h</w:t>
      </w:r>
      <w:r>
        <w:rPr>
          <w:spacing w:val="-1"/>
          <w:w w:val="100"/>
          <w:sz w:val="21"/>
          <w:vertAlign w:val="baseline"/>
        </w:rPr>
        <w:t>pu</w:t>
      </w:r>
      <w:r>
        <w:rPr>
          <w:spacing w:val="-3"/>
          <w:w w:val="100"/>
          <w:sz w:val="21"/>
          <w:vertAlign w:val="baseline"/>
        </w:rPr>
        <w:t>r</w:t>
      </w:r>
      <w:r>
        <w:rPr>
          <w:w w:val="100"/>
          <w:sz w:val="21"/>
          <w:vertAlign w:val="baseline"/>
        </w:rPr>
        <w:t>i‘.</w:t>
      </w:r>
      <w:r>
        <w:rPr>
          <w:spacing w:val="17"/>
          <w:sz w:val="21"/>
          <w:vertAlign w:val="baseline"/>
        </w:rPr>
        <w:t> </w:t>
      </w:r>
      <w:r>
        <w:rPr>
          <w:spacing w:val="-2"/>
          <w:w w:val="100"/>
          <w:sz w:val="21"/>
          <w:vertAlign w:val="baseline"/>
        </w:rPr>
        <w:t>I</w:t>
      </w:r>
      <w:r>
        <w:rPr>
          <w:w w:val="100"/>
          <w:sz w:val="21"/>
          <w:vertAlign w:val="baseline"/>
        </w:rPr>
        <w:t>t</w:t>
      </w:r>
      <w:r>
        <w:rPr>
          <w:spacing w:val="19"/>
          <w:sz w:val="21"/>
          <w:vertAlign w:val="baseline"/>
        </w:rPr>
        <w:t> </w:t>
      </w:r>
      <w:r>
        <w:rPr>
          <w:w w:val="100"/>
          <w:sz w:val="21"/>
          <w:vertAlign w:val="baseline"/>
        </w:rPr>
        <w:t>is</w:t>
      </w:r>
      <w:r>
        <w:rPr>
          <w:spacing w:val="20"/>
          <w:sz w:val="21"/>
          <w:vertAlign w:val="baseline"/>
        </w:rPr>
        <w:t> </w:t>
      </w:r>
      <w:r>
        <w:rPr>
          <w:spacing w:val="-2"/>
          <w:w w:val="100"/>
          <w:sz w:val="21"/>
          <w:vertAlign w:val="baseline"/>
        </w:rPr>
        <w:t>w</w:t>
      </w:r>
      <w:r>
        <w:rPr>
          <w:spacing w:val="-1"/>
          <w:w w:val="100"/>
          <w:sz w:val="21"/>
          <w:vertAlign w:val="baseline"/>
        </w:rPr>
        <w:t>rong </w:t>
      </w:r>
      <w:r>
        <w:rPr>
          <w:spacing w:val="-2"/>
          <w:w w:val="100"/>
          <w:sz w:val="21"/>
          <w:vertAlign w:val="baseline"/>
        </w:rPr>
        <w:t>t</w:t>
      </w:r>
      <w:r>
        <w:rPr>
          <w:w w:val="100"/>
          <w:sz w:val="21"/>
          <w:vertAlign w:val="baseline"/>
        </w:rPr>
        <w:t>o</w:t>
      </w:r>
      <w:r>
        <w:rPr>
          <w:spacing w:val="11"/>
          <w:sz w:val="21"/>
          <w:vertAlign w:val="baseline"/>
        </w:rPr>
        <w:t> </w:t>
      </w:r>
      <w:r>
        <w:rPr>
          <w:w w:val="100"/>
          <w:sz w:val="21"/>
          <w:vertAlign w:val="baseline"/>
        </w:rPr>
        <w:t>sug</w:t>
      </w:r>
      <w:r>
        <w:rPr>
          <w:spacing w:val="-2"/>
          <w:w w:val="100"/>
          <w:sz w:val="21"/>
          <w:vertAlign w:val="baseline"/>
        </w:rPr>
        <w:t>g</w:t>
      </w:r>
      <w:r>
        <w:rPr>
          <w:spacing w:val="-1"/>
          <w:w w:val="100"/>
          <w:sz w:val="21"/>
          <w:vertAlign w:val="baseline"/>
        </w:rPr>
        <w:t>es</w:t>
      </w:r>
      <w:r>
        <w:rPr>
          <w:w w:val="100"/>
          <w:sz w:val="21"/>
          <w:vertAlign w:val="baseline"/>
        </w:rPr>
        <w:t>t</w:t>
      </w:r>
      <w:r>
        <w:rPr>
          <w:spacing w:val="10"/>
          <w:sz w:val="21"/>
          <w:vertAlign w:val="baseline"/>
        </w:rPr>
        <w:t> </w:t>
      </w:r>
      <w:r>
        <w:rPr>
          <w:spacing w:val="-2"/>
          <w:w w:val="100"/>
          <w:sz w:val="21"/>
          <w:vertAlign w:val="baseline"/>
        </w:rPr>
        <w:t>t</w:t>
      </w:r>
      <w:r>
        <w:rPr>
          <w:spacing w:val="-1"/>
          <w:w w:val="100"/>
          <w:sz w:val="21"/>
          <w:vertAlign w:val="baseline"/>
        </w:rPr>
        <w:t>ha</w:t>
      </w:r>
      <w:r>
        <w:rPr>
          <w:w w:val="100"/>
          <w:sz w:val="21"/>
          <w:vertAlign w:val="baseline"/>
        </w:rPr>
        <w:t>t</w:t>
      </w:r>
      <w:r>
        <w:rPr>
          <w:spacing w:val="10"/>
          <w:sz w:val="21"/>
          <w:vertAlign w:val="baseline"/>
        </w:rPr>
        <w:t> </w:t>
      </w:r>
      <w:r>
        <w:rPr>
          <w:spacing w:val="-2"/>
          <w:w w:val="100"/>
          <w:sz w:val="21"/>
          <w:vertAlign w:val="baseline"/>
        </w:rPr>
        <w:t>i</w:t>
      </w:r>
      <w:r>
        <w:rPr>
          <w:w w:val="100"/>
          <w:sz w:val="21"/>
          <w:vertAlign w:val="baseline"/>
        </w:rPr>
        <w:t>n</w:t>
      </w:r>
      <w:r>
        <w:rPr>
          <w:spacing w:val="11"/>
          <w:sz w:val="21"/>
          <w:vertAlign w:val="baseline"/>
        </w:rPr>
        <w:t> </w:t>
      </w:r>
      <w:r>
        <w:rPr>
          <w:spacing w:val="-3"/>
          <w:w w:val="100"/>
          <w:sz w:val="21"/>
          <w:vertAlign w:val="baseline"/>
        </w:rPr>
        <w:t>a</w:t>
      </w:r>
      <w:r>
        <w:rPr>
          <w:w w:val="100"/>
          <w:sz w:val="21"/>
          <w:vertAlign w:val="baseline"/>
        </w:rPr>
        <w:t>ll</w:t>
      </w:r>
      <w:r>
        <w:rPr>
          <w:spacing w:val="11"/>
          <w:sz w:val="21"/>
          <w:vertAlign w:val="baseline"/>
        </w:rPr>
        <w:t> </w:t>
      </w:r>
      <w:r>
        <w:rPr>
          <w:spacing w:val="-2"/>
          <w:w w:val="100"/>
          <w:sz w:val="21"/>
          <w:vertAlign w:val="baseline"/>
        </w:rPr>
        <w:t>t</w:t>
      </w:r>
      <w:r>
        <w:rPr>
          <w:spacing w:val="-3"/>
          <w:w w:val="100"/>
          <w:sz w:val="21"/>
          <w:vertAlign w:val="baseline"/>
        </w:rPr>
        <w:t>h</w:t>
      </w:r>
      <w:r>
        <w:rPr>
          <w:spacing w:val="-1"/>
          <w:w w:val="100"/>
          <w:sz w:val="21"/>
          <w:vertAlign w:val="baseline"/>
        </w:rPr>
        <w:t>e</w:t>
      </w:r>
      <w:r>
        <w:rPr>
          <w:spacing w:val="-3"/>
          <w:w w:val="100"/>
          <w:sz w:val="21"/>
          <w:vertAlign w:val="baseline"/>
        </w:rPr>
        <w:t>s</w:t>
      </w:r>
      <w:r>
        <w:rPr>
          <w:w w:val="100"/>
          <w:sz w:val="21"/>
          <w:vertAlign w:val="baseline"/>
        </w:rPr>
        <w:t>e</w:t>
      </w:r>
      <w:r>
        <w:rPr>
          <w:spacing w:val="11"/>
          <w:sz w:val="21"/>
          <w:vertAlign w:val="baseline"/>
        </w:rPr>
        <w:t> </w:t>
      </w:r>
      <w:r>
        <w:rPr>
          <w:spacing w:val="-2"/>
          <w:w w:val="100"/>
          <w:sz w:val="21"/>
          <w:vertAlign w:val="baseline"/>
        </w:rPr>
        <w:t>t</w:t>
      </w:r>
      <w:r>
        <w:rPr>
          <w:spacing w:val="-1"/>
          <w:w w:val="100"/>
          <w:sz w:val="21"/>
          <w:vertAlign w:val="baseline"/>
        </w:rPr>
        <w:t>hre</w:t>
      </w:r>
      <w:r>
        <w:rPr>
          <w:w w:val="100"/>
          <w:sz w:val="21"/>
          <w:vertAlign w:val="baseline"/>
        </w:rPr>
        <w:t>e</w:t>
      </w:r>
      <w:r>
        <w:rPr>
          <w:spacing w:val="10"/>
          <w:sz w:val="21"/>
          <w:vertAlign w:val="baseline"/>
        </w:rPr>
        <w:t> </w:t>
      </w:r>
      <w:r>
        <w:rPr>
          <w:spacing w:val="-3"/>
          <w:w w:val="100"/>
          <w:sz w:val="21"/>
          <w:vertAlign w:val="baseline"/>
        </w:rPr>
        <w:t>c</w:t>
      </w:r>
      <w:r>
        <w:rPr>
          <w:spacing w:val="-1"/>
          <w:w w:val="100"/>
          <w:sz w:val="21"/>
          <w:vertAlign w:val="baseline"/>
        </w:rPr>
        <w:t>ou</w:t>
      </w:r>
      <w:r>
        <w:rPr>
          <w:spacing w:val="-2"/>
          <w:w w:val="100"/>
          <w:sz w:val="21"/>
          <w:vertAlign w:val="baseline"/>
        </w:rPr>
        <w:t>p</w:t>
      </w:r>
      <w:r>
        <w:rPr>
          <w:w w:val="100"/>
          <w:sz w:val="21"/>
          <w:vertAlign w:val="baseline"/>
        </w:rPr>
        <w:t>l</w:t>
      </w:r>
      <w:r>
        <w:rPr>
          <w:spacing w:val="-1"/>
          <w:w w:val="100"/>
          <w:sz w:val="21"/>
          <w:vertAlign w:val="baseline"/>
        </w:rPr>
        <w:t>et</w:t>
      </w:r>
      <w:r>
        <w:rPr>
          <w:w w:val="100"/>
          <w:sz w:val="21"/>
          <w:vertAlign w:val="baseline"/>
        </w:rPr>
        <w:t>s,</w:t>
      </w:r>
      <w:r>
        <w:rPr>
          <w:spacing w:val="10"/>
          <w:sz w:val="21"/>
          <w:vertAlign w:val="baseline"/>
        </w:rPr>
        <w:t> </w:t>
      </w:r>
      <w:r>
        <w:rPr>
          <w:spacing w:val="-2"/>
          <w:w w:val="100"/>
          <w:sz w:val="21"/>
          <w:vertAlign w:val="baseline"/>
        </w:rPr>
        <w:t>t</w:t>
      </w:r>
      <w:r>
        <w:rPr>
          <w:spacing w:val="-1"/>
          <w:w w:val="100"/>
          <w:sz w:val="21"/>
          <w:vertAlign w:val="baseline"/>
        </w:rPr>
        <w:t>h</w:t>
      </w:r>
      <w:r>
        <w:rPr>
          <w:w w:val="100"/>
          <w:sz w:val="21"/>
          <w:vertAlign w:val="baseline"/>
        </w:rPr>
        <w:t>e</w:t>
      </w:r>
      <w:r>
        <w:rPr>
          <w:spacing w:val="11"/>
          <w:sz w:val="21"/>
          <w:vertAlign w:val="baseline"/>
        </w:rPr>
        <w:t> </w:t>
      </w:r>
      <w:r>
        <w:rPr>
          <w:spacing w:val="-2"/>
          <w:w w:val="100"/>
          <w:sz w:val="21"/>
          <w:vertAlign w:val="baseline"/>
        </w:rPr>
        <w:t>w</w:t>
      </w:r>
      <w:r>
        <w:rPr>
          <w:spacing w:val="-1"/>
          <w:w w:val="100"/>
          <w:sz w:val="21"/>
          <w:vertAlign w:val="baseline"/>
        </w:rPr>
        <w:t>o</w:t>
      </w:r>
      <w:r>
        <w:rPr>
          <w:spacing w:val="-3"/>
          <w:w w:val="100"/>
          <w:sz w:val="21"/>
          <w:vertAlign w:val="baseline"/>
        </w:rPr>
        <w:t>r</w:t>
      </w:r>
      <w:r>
        <w:rPr>
          <w:w w:val="100"/>
          <w:sz w:val="21"/>
          <w:vertAlign w:val="baseline"/>
        </w:rPr>
        <w:t>d</w:t>
      </w:r>
      <w:r>
        <w:rPr>
          <w:spacing w:val="11"/>
          <w:sz w:val="21"/>
          <w:vertAlign w:val="baseline"/>
        </w:rPr>
        <w:t> </w:t>
      </w:r>
      <w:r>
        <w:rPr>
          <w:w w:val="40"/>
          <w:sz w:val="21"/>
          <w:vertAlign w:val="baseline"/>
        </w:rPr>
        <w:t>‗</w:t>
      </w:r>
      <w:r>
        <w:rPr>
          <w:spacing w:val="-3"/>
          <w:w w:val="100"/>
          <w:sz w:val="21"/>
          <w:vertAlign w:val="baseline"/>
        </w:rPr>
        <w:t>p</w:t>
      </w:r>
      <w:r>
        <w:rPr>
          <w:spacing w:val="-1"/>
          <w:w w:val="100"/>
          <w:sz w:val="21"/>
          <w:vertAlign w:val="baseline"/>
        </w:rPr>
        <w:t>ur</w:t>
      </w:r>
      <w:r>
        <w:rPr>
          <w:spacing w:val="-2"/>
          <w:w w:val="100"/>
          <w:sz w:val="21"/>
          <w:vertAlign w:val="baseline"/>
        </w:rPr>
        <w:t>i</w:t>
      </w:r>
      <w:r>
        <w:rPr>
          <w:w w:val="100"/>
          <w:sz w:val="21"/>
          <w:vertAlign w:val="baseline"/>
        </w:rPr>
        <w:t>‘</w:t>
      </w:r>
      <w:r>
        <w:rPr>
          <w:spacing w:val="11"/>
          <w:sz w:val="21"/>
          <w:vertAlign w:val="baseline"/>
        </w:rPr>
        <w:t> </w:t>
      </w:r>
      <w:r>
        <w:rPr>
          <w:spacing w:val="-1"/>
          <w:w w:val="100"/>
          <w:sz w:val="21"/>
          <w:vertAlign w:val="baseline"/>
        </w:rPr>
        <w:t>h</w:t>
      </w:r>
      <w:r>
        <w:rPr>
          <w:spacing w:val="-3"/>
          <w:w w:val="100"/>
          <w:sz w:val="21"/>
          <w:vertAlign w:val="baseline"/>
        </w:rPr>
        <w:t>a</w:t>
      </w:r>
      <w:r>
        <w:rPr>
          <w:w w:val="100"/>
          <w:sz w:val="21"/>
          <w:vertAlign w:val="baseline"/>
        </w:rPr>
        <w:t>s </w:t>
      </w:r>
      <w:r>
        <w:rPr>
          <w:sz w:val="21"/>
          <w:vertAlign w:val="baseline"/>
        </w:rPr>
        <w:t>been used in the sense of Janam Bhoomi. It is correct that in Ramcharitmanas, except this couplet, there is no mention of Ram Janam Bhoomi elsewhere. It is true that there is mention of Ayodhya and Awadhpuri at various places in Ramcharitmanas. In Shri Ramcharitmanas, there is no mention of the emergence of or habitation in Ayodhya. </w:t>
      </w:r>
      <w:r>
        <w:rPr>
          <w:w w:val="100"/>
          <w:sz w:val="21"/>
          <w:vertAlign w:val="baseline"/>
        </w:rPr>
        <w:t>Ho</w:t>
      </w:r>
      <w:r>
        <w:rPr>
          <w:spacing w:val="-2"/>
          <w:w w:val="100"/>
          <w:sz w:val="21"/>
          <w:vertAlign w:val="baseline"/>
        </w:rPr>
        <w:t>w</w:t>
      </w:r>
      <w:r>
        <w:rPr>
          <w:w w:val="100"/>
          <w:sz w:val="21"/>
          <w:vertAlign w:val="baseline"/>
        </w:rPr>
        <w:t>e</w:t>
      </w:r>
      <w:r>
        <w:rPr>
          <w:spacing w:val="-3"/>
          <w:w w:val="100"/>
          <w:sz w:val="21"/>
          <w:vertAlign w:val="baseline"/>
        </w:rPr>
        <w:t>v</w:t>
      </w:r>
      <w:r>
        <w:rPr>
          <w:w w:val="100"/>
          <w:sz w:val="21"/>
          <w:vertAlign w:val="baseline"/>
        </w:rPr>
        <w:t>er,</w:t>
      </w:r>
      <w:r>
        <w:rPr>
          <w:sz w:val="21"/>
          <w:vertAlign w:val="baseline"/>
        </w:rPr>
        <w:t> </w:t>
      </w:r>
      <w:r>
        <w:rPr>
          <w:spacing w:val="25"/>
          <w:sz w:val="21"/>
          <w:vertAlign w:val="baseline"/>
        </w:rPr>
        <w:t> </w:t>
      </w:r>
      <w:r>
        <w:rPr>
          <w:w w:val="100"/>
          <w:sz w:val="21"/>
          <w:vertAlign w:val="baseline"/>
        </w:rPr>
        <w:t>i</w:t>
      </w:r>
      <w:r>
        <w:rPr>
          <w:w w:val="100"/>
          <w:sz w:val="21"/>
          <w:vertAlign w:val="baseline"/>
        </w:rPr>
        <w:t>n</w:t>
      </w:r>
      <w:r>
        <w:rPr>
          <w:sz w:val="21"/>
          <w:vertAlign w:val="baseline"/>
        </w:rPr>
        <w:t> </w:t>
      </w:r>
      <w:r>
        <w:rPr>
          <w:spacing w:val="27"/>
          <w:sz w:val="21"/>
          <w:vertAlign w:val="baseline"/>
        </w:rPr>
        <w:t> </w:t>
      </w:r>
      <w:r>
        <w:rPr>
          <w:spacing w:val="-2"/>
          <w:w w:val="100"/>
          <w:sz w:val="21"/>
          <w:vertAlign w:val="baseline"/>
        </w:rPr>
        <w:t>t</w:t>
      </w:r>
      <w:r>
        <w:rPr>
          <w:w w:val="100"/>
          <w:sz w:val="21"/>
          <w:vertAlign w:val="baseline"/>
        </w:rPr>
        <w:t>he</w:t>
      </w:r>
      <w:r>
        <w:rPr>
          <w:sz w:val="21"/>
          <w:vertAlign w:val="baseline"/>
        </w:rPr>
        <w:t> </w:t>
      </w:r>
      <w:r>
        <w:rPr>
          <w:spacing w:val="25"/>
          <w:sz w:val="21"/>
          <w:vertAlign w:val="baseline"/>
        </w:rPr>
        <w:t> </w:t>
      </w:r>
      <w:r>
        <w:rPr>
          <w:w w:val="100"/>
          <w:sz w:val="21"/>
          <w:vertAlign w:val="baseline"/>
        </w:rPr>
        <w:t>V</w:t>
      </w:r>
      <w:r>
        <w:rPr>
          <w:spacing w:val="-3"/>
          <w:w w:val="100"/>
          <w:sz w:val="21"/>
          <w:vertAlign w:val="baseline"/>
        </w:rPr>
        <w:t>a</w:t>
      </w:r>
      <w:r>
        <w:rPr>
          <w:spacing w:val="-2"/>
          <w:w w:val="100"/>
          <w:sz w:val="21"/>
          <w:vertAlign w:val="baseline"/>
        </w:rPr>
        <w:t>l</w:t>
      </w:r>
      <w:r>
        <w:rPr>
          <w:spacing w:val="-1"/>
          <w:w w:val="100"/>
          <w:sz w:val="21"/>
          <w:vertAlign w:val="baseline"/>
        </w:rPr>
        <w:t>m</w:t>
      </w:r>
      <w:r>
        <w:rPr>
          <w:spacing w:val="-2"/>
          <w:w w:val="100"/>
          <w:sz w:val="21"/>
          <w:vertAlign w:val="baseline"/>
        </w:rPr>
        <w:t>i</w:t>
      </w:r>
      <w:r>
        <w:rPr>
          <w:spacing w:val="2"/>
          <w:w w:val="100"/>
          <w:sz w:val="21"/>
          <w:vertAlign w:val="baseline"/>
        </w:rPr>
        <w:t>k</w:t>
      </w:r>
      <w:r>
        <w:rPr>
          <w:w w:val="100"/>
          <w:sz w:val="21"/>
          <w:vertAlign w:val="baseline"/>
        </w:rPr>
        <w:t>i</w:t>
      </w:r>
      <w:r>
        <w:rPr>
          <w:sz w:val="21"/>
          <w:vertAlign w:val="baseline"/>
        </w:rPr>
        <w:t> </w:t>
      </w:r>
      <w:r>
        <w:rPr>
          <w:spacing w:val="25"/>
          <w:sz w:val="21"/>
          <w:vertAlign w:val="baseline"/>
        </w:rPr>
        <w:t> </w:t>
      </w:r>
      <w:r>
        <w:rPr>
          <w:w w:val="100"/>
          <w:sz w:val="21"/>
          <w:vertAlign w:val="baseline"/>
        </w:rPr>
        <w:t>R</w:t>
      </w:r>
      <w:r>
        <w:rPr>
          <w:spacing w:val="-3"/>
          <w:w w:val="100"/>
          <w:sz w:val="21"/>
          <w:vertAlign w:val="baseline"/>
        </w:rPr>
        <w:t>a</w:t>
      </w:r>
      <w:r>
        <w:rPr>
          <w:spacing w:val="1"/>
          <w:w w:val="100"/>
          <w:sz w:val="21"/>
          <w:vertAlign w:val="baseline"/>
        </w:rPr>
        <w:t>m</w:t>
      </w:r>
      <w:r>
        <w:rPr>
          <w:w w:val="100"/>
          <w:sz w:val="21"/>
          <w:vertAlign w:val="baseline"/>
        </w:rPr>
        <w:t>a</w:t>
      </w:r>
      <w:r>
        <w:rPr>
          <w:spacing w:val="-3"/>
          <w:w w:val="100"/>
          <w:sz w:val="21"/>
          <w:vertAlign w:val="baseline"/>
        </w:rPr>
        <w:t>y</w:t>
      </w:r>
      <w:r>
        <w:rPr>
          <w:w w:val="100"/>
          <w:sz w:val="21"/>
          <w:vertAlign w:val="baseline"/>
        </w:rPr>
        <w:t>a</w:t>
      </w:r>
      <w:r>
        <w:rPr>
          <w:spacing w:val="-3"/>
          <w:w w:val="100"/>
          <w:sz w:val="21"/>
          <w:vertAlign w:val="baseline"/>
        </w:rPr>
        <w:t>n</w:t>
      </w:r>
      <w:r>
        <w:rPr>
          <w:spacing w:val="3"/>
          <w:w w:val="100"/>
          <w:sz w:val="21"/>
          <w:vertAlign w:val="baseline"/>
        </w:rPr>
        <w:t>a</w:t>
      </w:r>
      <w:r>
        <w:rPr>
          <w:spacing w:val="-1"/>
          <w:w w:val="100"/>
          <w:sz w:val="21"/>
          <w:vertAlign w:val="baseline"/>
        </w:rPr>
        <w:t>-</w:t>
      </w:r>
      <w:r>
        <w:rPr>
          <w:w w:val="100"/>
          <w:sz w:val="21"/>
          <w:vertAlign w:val="baseline"/>
        </w:rPr>
        <w:t>in</w:t>
      </w:r>
      <w:r>
        <w:rPr>
          <w:sz w:val="21"/>
          <w:vertAlign w:val="baseline"/>
        </w:rPr>
        <w:t> </w:t>
      </w:r>
      <w:r>
        <w:rPr>
          <w:spacing w:val="27"/>
          <w:sz w:val="21"/>
          <w:vertAlign w:val="baseline"/>
        </w:rPr>
        <w:t> </w:t>
      </w:r>
      <w:r>
        <w:rPr>
          <w:spacing w:val="-2"/>
          <w:w w:val="100"/>
          <w:sz w:val="21"/>
          <w:vertAlign w:val="baseline"/>
        </w:rPr>
        <w:t>t</w:t>
      </w:r>
      <w:r>
        <w:rPr>
          <w:spacing w:val="-3"/>
          <w:w w:val="100"/>
          <w:sz w:val="21"/>
          <w:vertAlign w:val="baseline"/>
        </w:rPr>
        <w:t>h</w:t>
      </w:r>
      <w:r>
        <w:rPr>
          <w:w w:val="100"/>
          <w:sz w:val="21"/>
          <w:vertAlign w:val="baseline"/>
        </w:rPr>
        <w:t>e</w:t>
      </w:r>
      <w:r>
        <w:rPr>
          <w:sz w:val="21"/>
          <w:vertAlign w:val="baseline"/>
        </w:rPr>
        <w:t> </w:t>
      </w:r>
      <w:r>
        <w:rPr>
          <w:spacing w:val="27"/>
          <w:sz w:val="21"/>
          <w:vertAlign w:val="baseline"/>
        </w:rPr>
        <w:t> </w:t>
      </w:r>
      <w:r>
        <w:rPr>
          <w:spacing w:val="-2"/>
          <w:w w:val="40"/>
          <w:sz w:val="21"/>
          <w:vertAlign w:val="baseline"/>
        </w:rPr>
        <w:t>‗</w:t>
      </w:r>
      <w:r>
        <w:rPr>
          <w:w w:val="100"/>
          <w:sz w:val="21"/>
          <w:vertAlign w:val="baseline"/>
        </w:rPr>
        <w:t>B</w:t>
      </w:r>
      <w:r>
        <w:rPr>
          <w:spacing w:val="-3"/>
          <w:w w:val="100"/>
          <w:sz w:val="21"/>
          <w:vertAlign w:val="baseline"/>
        </w:rPr>
        <w:t>a</w:t>
      </w:r>
      <w:r>
        <w:rPr>
          <w:spacing w:val="-2"/>
          <w:w w:val="100"/>
          <w:sz w:val="21"/>
          <w:vertAlign w:val="baseline"/>
        </w:rPr>
        <w:t>l</w:t>
      </w:r>
      <w:r>
        <w:rPr>
          <w:w w:val="100"/>
          <w:sz w:val="21"/>
          <w:vertAlign w:val="baseline"/>
        </w:rPr>
        <w:t>kan</w:t>
      </w:r>
      <w:r>
        <w:rPr>
          <w:spacing w:val="-2"/>
          <w:w w:val="100"/>
          <w:sz w:val="21"/>
          <w:vertAlign w:val="baseline"/>
        </w:rPr>
        <w:t>d</w:t>
      </w:r>
      <w:r>
        <w:rPr>
          <w:w w:val="100"/>
          <w:sz w:val="21"/>
          <w:vertAlign w:val="baseline"/>
        </w:rPr>
        <w:t>‘</w:t>
      </w:r>
      <w:r>
        <w:rPr>
          <w:sz w:val="21"/>
          <w:vertAlign w:val="baseline"/>
        </w:rPr>
        <w:t> </w:t>
      </w:r>
      <w:r>
        <w:rPr>
          <w:spacing w:val="27"/>
          <w:sz w:val="21"/>
          <w:vertAlign w:val="baseline"/>
        </w:rPr>
        <w:t> </w:t>
      </w:r>
      <w:r>
        <w:rPr>
          <w:spacing w:val="-2"/>
          <w:w w:val="100"/>
          <w:sz w:val="21"/>
          <w:vertAlign w:val="baseline"/>
        </w:rPr>
        <w:t>f</w:t>
      </w:r>
      <w:r>
        <w:rPr>
          <w:w w:val="100"/>
          <w:sz w:val="21"/>
          <w:vertAlign w:val="baseline"/>
        </w:rPr>
        <w:t>i</w:t>
      </w:r>
      <w:r>
        <w:rPr>
          <w:spacing w:val="1"/>
          <w:w w:val="100"/>
          <w:sz w:val="21"/>
          <w:vertAlign w:val="baseline"/>
        </w:rPr>
        <w:t>f</w:t>
      </w:r>
      <w:r>
        <w:rPr>
          <w:spacing w:val="-4"/>
          <w:w w:val="100"/>
          <w:sz w:val="21"/>
          <w:vertAlign w:val="baseline"/>
        </w:rPr>
        <w:t>t</w:t>
      </w:r>
      <w:r>
        <w:rPr>
          <w:w w:val="100"/>
          <w:sz w:val="21"/>
          <w:vertAlign w:val="baseline"/>
        </w:rPr>
        <w:t>h </w:t>
      </w:r>
      <w:r>
        <w:rPr>
          <w:sz w:val="21"/>
          <w:vertAlign w:val="baseline"/>
        </w:rPr>
        <w:t>section – one does find mention to this</w:t>
      </w:r>
      <w:r>
        <w:rPr>
          <w:spacing w:val="-18"/>
          <w:sz w:val="21"/>
          <w:vertAlign w:val="baseline"/>
        </w:rPr>
        <w:t> </w:t>
      </w:r>
      <w:r>
        <w:rPr>
          <w:sz w:val="21"/>
          <w:vertAlign w:val="baseline"/>
        </w:rPr>
        <w:t>effect.‖</w:t>
      </w:r>
    </w:p>
    <w:p>
      <w:pPr>
        <w:pStyle w:val="BodyText"/>
        <w:rPr>
          <w:sz w:val="24"/>
        </w:rPr>
      </w:pPr>
    </w:p>
    <w:p>
      <w:pPr>
        <w:pStyle w:val="BodyText"/>
        <w:spacing w:before="3"/>
      </w:pPr>
    </w:p>
    <w:p>
      <w:pPr>
        <w:pStyle w:val="ListParagraph"/>
        <w:numPr>
          <w:ilvl w:val="0"/>
          <w:numId w:val="166"/>
        </w:numPr>
        <w:tabs>
          <w:tab w:pos="1221" w:val="left" w:leader="none"/>
        </w:tabs>
        <w:spacing w:line="480" w:lineRule="auto" w:before="1" w:after="0"/>
        <w:ind w:left="500" w:right="436" w:firstLine="0"/>
        <w:jc w:val="both"/>
        <w:rPr>
          <w:sz w:val="25"/>
        </w:rPr>
      </w:pPr>
      <w:r>
        <w:rPr>
          <w:sz w:val="25"/>
        </w:rPr>
        <w:t>Swami Avimuketshwaranand Saraswati (DW 20/2) stated that according to </w:t>
      </w:r>
      <w:r>
        <w:rPr>
          <w:spacing w:val="-1"/>
          <w:w w:val="99"/>
          <w:sz w:val="25"/>
        </w:rPr>
        <w:t>hi</w:t>
      </w:r>
      <w:r>
        <w:rPr>
          <w:w w:val="99"/>
          <w:sz w:val="25"/>
        </w:rPr>
        <w:t>s</w:t>
      </w:r>
      <w:r>
        <w:rPr>
          <w:spacing w:val="16"/>
          <w:sz w:val="25"/>
        </w:rPr>
        <w:t> </w:t>
      </w:r>
      <w:r>
        <w:rPr>
          <w:w w:val="33"/>
          <w:sz w:val="25"/>
        </w:rPr>
        <w:t>―</w:t>
      </w:r>
      <w:r>
        <w:rPr>
          <w:w w:val="99"/>
          <w:sz w:val="25"/>
        </w:rPr>
        <w:t>study</w:t>
      </w:r>
      <w:r>
        <w:rPr>
          <w:spacing w:val="14"/>
          <w:sz w:val="25"/>
        </w:rPr>
        <w:t> </w:t>
      </w:r>
      <w:r>
        <w:rPr>
          <w:spacing w:val="-1"/>
          <w:w w:val="99"/>
          <w:sz w:val="25"/>
        </w:rPr>
        <w:t>a</w:t>
      </w:r>
      <w:r>
        <w:rPr>
          <w:w w:val="99"/>
          <w:sz w:val="25"/>
        </w:rPr>
        <w:t>nd</w:t>
      </w:r>
      <w:r>
        <w:rPr>
          <w:spacing w:val="17"/>
          <w:sz w:val="25"/>
        </w:rPr>
        <w:t> </w:t>
      </w:r>
      <w:r>
        <w:rPr>
          <w:w w:val="99"/>
          <w:sz w:val="25"/>
        </w:rPr>
        <w:t>kno</w:t>
      </w:r>
      <w:r>
        <w:rPr>
          <w:spacing w:val="-1"/>
          <w:w w:val="99"/>
          <w:sz w:val="25"/>
        </w:rPr>
        <w:t>wled</w:t>
      </w:r>
      <w:r>
        <w:rPr>
          <w:w w:val="99"/>
          <w:sz w:val="25"/>
        </w:rPr>
        <w:t>g</w:t>
      </w:r>
      <w:r>
        <w:rPr>
          <w:spacing w:val="-1"/>
          <w:w w:val="91"/>
          <w:sz w:val="25"/>
        </w:rPr>
        <w:t>e</w:t>
      </w:r>
      <w:r>
        <w:rPr>
          <w:w w:val="91"/>
          <w:sz w:val="25"/>
        </w:rPr>
        <w:t>‖</w:t>
      </w:r>
      <w:r>
        <w:rPr>
          <w:spacing w:val="17"/>
          <w:sz w:val="25"/>
        </w:rPr>
        <w:t> </w:t>
      </w:r>
      <w:r>
        <w:rPr>
          <w:w w:val="99"/>
          <w:sz w:val="25"/>
        </w:rPr>
        <w:t>the</w:t>
      </w:r>
      <w:r>
        <w:rPr>
          <w:spacing w:val="17"/>
          <w:sz w:val="25"/>
        </w:rPr>
        <w:t> </w:t>
      </w:r>
      <w:r>
        <w:rPr>
          <w:spacing w:val="-1"/>
          <w:w w:val="99"/>
          <w:sz w:val="25"/>
        </w:rPr>
        <w:t>disp</w:t>
      </w:r>
      <w:r>
        <w:rPr>
          <w:w w:val="99"/>
          <w:sz w:val="25"/>
        </w:rPr>
        <w:t>uted</w:t>
      </w:r>
      <w:r>
        <w:rPr>
          <w:spacing w:val="17"/>
          <w:sz w:val="25"/>
        </w:rPr>
        <w:t> </w:t>
      </w:r>
      <w:r>
        <w:rPr>
          <w:w w:val="99"/>
          <w:sz w:val="25"/>
        </w:rPr>
        <w:t>site</w:t>
      </w:r>
      <w:r>
        <w:rPr>
          <w:spacing w:val="14"/>
          <w:sz w:val="25"/>
        </w:rPr>
        <w:t> </w:t>
      </w:r>
      <w:r>
        <w:rPr>
          <w:spacing w:val="-1"/>
          <w:w w:val="99"/>
          <w:sz w:val="25"/>
        </w:rPr>
        <w:t>a</w:t>
      </w:r>
      <w:r>
        <w:rPr>
          <w:w w:val="99"/>
          <w:sz w:val="25"/>
        </w:rPr>
        <w:t>t</w:t>
      </w:r>
      <w:r>
        <w:rPr>
          <w:spacing w:val="23"/>
          <w:sz w:val="25"/>
        </w:rPr>
        <w:t> </w:t>
      </w:r>
      <w:r>
        <w:rPr>
          <w:spacing w:val="-1"/>
          <w:w w:val="99"/>
          <w:sz w:val="25"/>
        </w:rPr>
        <w:t>A</w:t>
      </w:r>
      <w:r>
        <w:rPr>
          <w:spacing w:val="-3"/>
          <w:w w:val="99"/>
          <w:sz w:val="25"/>
        </w:rPr>
        <w:t>y</w:t>
      </w:r>
      <w:r>
        <w:rPr>
          <w:w w:val="99"/>
          <w:sz w:val="25"/>
        </w:rPr>
        <w:t>od</w:t>
      </w:r>
      <w:r>
        <w:rPr>
          <w:spacing w:val="2"/>
          <w:w w:val="99"/>
          <w:sz w:val="25"/>
        </w:rPr>
        <w:t>h</w:t>
      </w:r>
      <w:r>
        <w:rPr>
          <w:spacing w:val="-3"/>
          <w:w w:val="99"/>
          <w:sz w:val="25"/>
        </w:rPr>
        <w:t>y</w:t>
      </w:r>
      <w:r>
        <w:rPr>
          <w:w w:val="99"/>
          <w:sz w:val="25"/>
        </w:rPr>
        <w:t>a</w:t>
      </w:r>
      <w:r>
        <w:rPr>
          <w:spacing w:val="17"/>
          <w:sz w:val="25"/>
        </w:rPr>
        <w:t> </w:t>
      </w:r>
      <w:r>
        <w:rPr>
          <w:w w:val="99"/>
          <w:sz w:val="25"/>
        </w:rPr>
        <w:t>is</w:t>
      </w:r>
      <w:r>
        <w:rPr>
          <w:spacing w:val="16"/>
          <w:sz w:val="25"/>
        </w:rPr>
        <w:t> </w:t>
      </w:r>
      <w:r>
        <w:rPr>
          <w:w w:val="99"/>
          <w:sz w:val="25"/>
        </w:rPr>
        <w:t>the</w:t>
      </w:r>
      <w:r>
        <w:rPr>
          <w:spacing w:val="17"/>
          <w:sz w:val="25"/>
        </w:rPr>
        <w:t> </w:t>
      </w:r>
      <w:r>
        <w:rPr>
          <w:w w:val="99"/>
          <w:sz w:val="25"/>
        </w:rPr>
        <w:t>bir</w:t>
      </w:r>
      <w:r>
        <w:rPr>
          <w:w w:val="99"/>
          <w:sz w:val="25"/>
        </w:rPr>
        <w:t>t</w:t>
      </w:r>
      <w:r>
        <w:rPr>
          <w:spacing w:val="3"/>
          <w:w w:val="99"/>
          <w:sz w:val="25"/>
        </w:rPr>
        <w:t>h</w:t>
      </w:r>
      <w:r>
        <w:rPr>
          <w:w w:val="99"/>
          <w:sz w:val="25"/>
        </w:rPr>
        <w:t>-</w:t>
      </w:r>
      <w:r>
        <w:rPr>
          <w:w w:val="99"/>
          <w:sz w:val="25"/>
        </w:rPr>
        <w:t>place</w:t>
      </w:r>
      <w:r>
        <w:rPr>
          <w:spacing w:val="17"/>
          <w:sz w:val="25"/>
        </w:rPr>
        <w:t> </w:t>
      </w:r>
      <w:r>
        <w:rPr>
          <w:w w:val="99"/>
          <w:sz w:val="25"/>
        </w:rPr>
        <w:t>of</w:t>
      </w:r>
      <w:r>
        <w:rPr>
          <w:spacing w:val="17"/>
          <w:sz w:val="25"/>
        </w:rPr>
        <w:t> </w:t>
      </w:r>
      <w:r>
        <w:rPr>
          <w:spacing w:val="-1"/>
          <w:w w:val="99"/>
          <w:sz w:val="25"/>
        </w:rPr>
        <w:t>S</w:t>
      </w:r>
      <w:r>
        <w:rPr>
          <w:w w:val="99"/>
          <w:sz w:val="25"/>
        </w:rPr>
        <w:t>h</w:t>
      </w:r>
      <w:r>
        <w:rPr>
          <w:spacing w:val="1"/>
          <w:w w:val="99"/>
          <w:sz w:val="25"/>
        </w:rPr>
        <w:t>r</w:t>
      </w:r>
      <w:r>
        <w:rPr>
          <w:w w:val="99"/>
          <w:sz w:val="25"/>
        </w:rPr>
        <w:t>i </w:t>
      </w:r>
      <w:r>
        <w:rPr>
          <w:sz w:val="25"/>
        </w:rPr>
        <w:t>Ram</w:t>
      </w:r>
      <w:r>
        <w:rPr>
          <w:spacing w:val="22"/>
          <w:sz w:val="25"/>
        </w:rPr>
        <w:t> </w:t>
      </w:r>
      <w:r>
        <w:rPr>
          <w:sz w:val="25"/>
        </w:rPr>
        <w:t>and</w:t>
      </w:r>
      <w:r>
        <w:rPr>
          <w:spacing w:val="23"/>
          <w:sz w:val="25"/>
        </w:rPr>
        <w:t> </w:t>
      </w:r>
      <w:r>
        <w:rPr>
          <w:sz w:val="25"/>
        </w:rPr>
        <w:t>has</w:t>
      </w:r>
      <w:r>
        <w:rPr>
          <w:spacing w:val="22"/>
          <w:sz w:val="25"/>
        </w:rPr>
        <w:t> </w:t>
      </w:r>
      <w:r>
        <w:rPr>
          <w:sz w:val="25"/>
        </w:rPr>
        <w:t>been</w:t>
      </w:r>
      <w:r>
        <w:rPr>
          <w:spacing w:val="20"/>
          <w:sz w:val="25"/>
        </w:rPr>
        <w:t> </w:t>
      </w:r>
      <w:r>
        <w:rPr>
          <w:sz w:val="25"/>
        </w:rPr>
        <w:t>worshipped</w:t>
      </w:r>
      <w:r>
        <w:rPr>
          <w:spacing w:val="23"/>
          <w:sz w:val="25"/>
        </w:rPr>
        <w:t> </w:t>
      </w:r>
      <w:r>
        <w:rPr>
          <w:sz w:val="25"/>
        </w:rPr>
        <w:t>regularly</w:t>
      </w:r>
      <w:r>
        <w:rPr>
          <w:spacing w:val="20"/>
          <w:sz w:val="25"/>
        </w:rPr>
        <w:t> </w:t>
      </w:r>
      <w:r>
        <w:rPr>
          <w:sz w:val="25"/>
        </w:rPr>
        <w:t>by</w:t>
      </w:r>
      <w:r>
        <w:rPr>
          <w:spacing w:val="20"/>
          <w:sz w:val="25"/>
        </w:rPr>
        <w:t> </w:t>
      </w:r>
      <w:r>
        <w:rPr>
          <w:sz w:val="25"/>
        </w:rPr>
        <w:t>devotees.</w:t>
      </w:r>
      <w:r>
        <w:rPr>
          <w:spacing w:val="23"/>
          <w:sz w:val="25"/>
        </w:rPr>
        <w:t> </w:t>
      </w:r>
      <w:r>
        <w:rPr>
          <w:sz w:val="25"/>
        </w:rPr>
        <w:t>He</w:t>
      </w:r>
      <w:r>
        <w:rPr>
          <w:spacing w:val="23"/>
          <w:sz w:val="25"/>
        </w:rPr>
        <w:t> </w:t>
      </w:r>
      <w:r>
        <w:rPr>
          <w:sz w:val="25"/>
        </w:rPr>
        <w:t>founded</w:t>
      </w:r>
      <w:r>
        <w:rPr>
          <w:spacing w:val="23"/>
          <w:sz w:val="25"/>
        </w:rPr>
        <w:t> </w:t>
      </w:r>
      <w:r>
        <w:rPr>
          <w:sz w:val="25"/>
        </w:rPr>
        <w:t>his</w:t>
      </w:r>
      <w:r>
        <w:rPr>
          <w:spacing w:val="23"/>
          <w:sz w:val="25"/>
        </w:rPr>
        <w:t> </w:t>
      </w:r>
      <w:r>
        <w:rPr>
          <w:sz w:val="25"/>
        </w:rPr>
        <w:t>belief</w:t>
      </w:r>
      <w:r>
        <w:rPr>
          <w:spacing w:val="23"/>
          <w:sz w:val="25"/>
        </w:rPr>
        <w:t> </w:t>
      </w:r>
      <w:r>
        <w:rPr>
          <w:sz w:val="25"/>
        </w:rPr>
        <w:t>on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the scriptures, more particularly the Valmiki Ramayan to which he makes a reference:</w:t>
      </w:r>
    </w:p>
    <w:p>
      <w:pPr>
        <w:spacing w:line="276" w:lineRule="auto" w:before="159"/>
        <w:ind w:left="1940" w:right="2263" w:firstLine="0"/>
        <w:jc w:val="both"/>
        <w:rPr>
          <w:sz w:val="21"/>
        </w:rPr>
      </w:pPr>
      <w:r>
        <w:rPr>
          <w:w w:val="33"/>
          <w:sz w:val="21"/>
        </w:rPr>
        <w:t>―</w:t>
      </w:r>
      <w:r>
        <w:rPr>
          <w:w w:val="100"/>
          <w:sz w:val="21"/>
        </w:rPr>
        <w:t>That,</w:t>
      </w:r>
      <w:r>
        <w:rPr>
          <w:sz w:val="21"/>
        </w:rPr>
        <w:t>  </w:t>
      </w:r>
      <w:r>
        <w:rPr>
          <w:w w:val="100"/>
          <w:sz w:val="21"/>
        </w:rPr>
        <w:t>Lord</w:t>
      </w:r>
      <w:r>
        <w:rPr>
          <w:sz w:val="21"/>
        </w:rPr>
        <w:t>  </w:t>
      </w:r>
      <w:r>
        <w:rPr>
          <w:w w:val="100"/>
          <w:sz w:val="21"/>
        </w:rPr>
        <w:t>Narayana,</w:t>
      </w:r>
      <w:r>
        <w:rPr>
          <w:sz w:val="21"/>
        </w:rPr>
        <w:t>  </w:t>
      </w:r>
      <w:r>
        <w:rPr>
          <w:w w:val="100"/>
          <w:sz w:val="21"/>
        </w:rPr>
        <w:t>in</w:t>
      </w:r>
      <w:r>
        <w:rPr>
          <w:sz w:val="21"/>
        </w:rPr>
        <w:t>  </w:t>
      </w:r>
      <w:r>
        <w:rPr>
          <w:w w:val="100"/>
          <w:sz w:val="21"/>
        </w:rPr>
        <w:t>third</w:t>
      </w:r>
      <w:r>
        <w:rPr>
          <w:sz w:val="21"/>
        </w:rPr>
        <w:t>  </w:t>
      </w:r>
      <w:r>
        <w:rPr>
          <w:w w:val="100"/>
          <w:sz w:val="21"/>
        </w:rPr>
        <w:t>Shlok</w:t>
      </w:r>
      <w:r>
        <w:rPr>
          <w:sz w:val="21"/>
        </w:rPr>
        <w:t>  </w:t>
      </w:r>
      <w:r>
        <w:rPr>
          <w:w w:val="100"/>
          <w:sz w:val="21"/>
        </w:rPr>
        <w:t>Couplet)</w:t>
      </w:r>
      <w:r>
        <w:rPr>
          <w:sz w:val="21"/>
        </w:rPr>
        <w:t>  </w:t>
      </w:r>
      <w:r>
        <w:rPr>
          <w:w w:val="100"/>
          <w:sz w:val="21"/>
        </w:rPr>
        <w:t>of</w:t>
      </w:r>
      <w:r>
        <w:rPr>
          <w:sz w:val="21"/>
        </w:rPr>
        <w:t>  </w:t>
      </w:r>
      <w:r>
        <w:rPr>
          <w:w w:val="100"/>
          <w:sz w:val="21"/>
        </w:rPr>
        <w:t>fifteenth </w:t>
      </w:r>
      <w:r>
        <w:rPr>
          <w:sz w:val="21"/>
        </w:rPr>
        <w:t>Canto of Balkand of Srimad Valmiki Ramayana had himself, before taking incarnation by thinking about his birthplace proved the importance of birthplace.‖</w:t>
      </w:r>
    </w:p>
    <w:p>
      <w:pPr>
        <w:pStyle w:val="BodyText"/>
        <w:spacing w:before="11"/>
        <w:rPr>
          <w:sz w:val="24"/>
        </w:rPr>
      </w:pPr>
    </w:p>
    <w:p>
      <w:pPr>
        <w:pStyle w:val="BodyText"/>
        <w:spacing w:line="482" w:lineRule="auto"/>
        <w:ind w:left="500" w:right="448"/>
        <w:jc w:val="both"/>
      </w:pPr>
      <w:r>
        <w:rPr/>
        <w:t>Referring to the tenth chapter of the Ayodhya Mahatmya, the witness relied on the importance of the</w:t>
      </w:r>
      <w:r>
        <w:rPr>
          <w:spacing w:val="-5"/>
        </w:rPr>
        <w:t> </w:t>
      </w:r>
      <w:r>
        <w:rPr/>
        <w:t>Janmasthan:</w:t>
      </w:r>
    </w:p>
    <w:p>
      <w:pPr>
        <w:spacing w:line="276" w:lineRule="auto" w:before="0"/>
        <w:ind w:left="1940" w:right="2261" w:firstLine="0"/>
        <w:jc w:val="both"/>
        <w:rPr>
          <w:sz w:val="21"/>
        </w:rPr>
      </w:pPr>
      <w:r>
        <w:rPr>
          <w:spacing w:val="-1"/>
          <w:w w:val="33"/>
          <w:sz w:val="21"/>
        </w:rPr>
        <w:t>―</w:t>
      </w:r>
      <w:r>
        <w:rPr>
          <w:w w:val="100"/>
          <w:sz w:val="21"/>
        </w:rPr>
        <w:t>Th</w:t>
      </w:r>
      <w:r>
        <w:rPr>
          <w:spacing w:val="-1"/>
          <w:w w:val="100"/>
          <w:sz w:val="21"/>
        </w:rPr>
        <w:t>at</w:t>
      </w:r>
      <w:r>
        <w:rPr>
          <w:w w:val="100"/>
          <w:sz w:val="21"/>
        </w:rPr>
        <w:t>,</w:t>
      </w:r>
      <w:r>
        <w:rPr>
          <w:spacing w:val="24"/>
          <w:sz w:val="21"/>
        </w:rPr>
        <w:t> </w:t>
      </w:r>
      <w:r>
        <w:rPr>
          <w:spacing w:val="1"/>
          <w:w w:val="100"/>
          <w:sz w:val="21"/>
        </w:rPr>
        <w:t>m</w:t>
      </w:r>
      <w:r>
        <w:rPr>
          <w:spacing w:val="-1"/>
          <w:w w:val="100"/>
          <w:sz w:val="21"/>
        </w:rPr>
        <w:t>eth</w:t>
      </w:r>
      <w:r>
        <w:rPr>
          <w:spacing w:val="-3"/>
          <w:w w:val="100"/>
          <w:sz w:val="21"/>
        </w:rPr>
        <w:t>o</w:t>
      </w:r>
      <w:r>
        <w:rPr>
          <w:w w:val="100"/>
          <w:sz w:val="21"/>
        </w:rPr>
        <w:t>d</w:t>
      </w:r>
      <w:r>
        <w:rPr>
          <w:spacing w:val="27"/>
          <w:sz w:val="21"/>
        </w:rPr>
        <w:t> </w:t>
      </w:r>
      <w:r>
        <w:rPr>
          <w:spacing w:val="-3"/>
          <w:w w:val="100"/>
          <w:sz w:val="21"/>
        </w:rPr>
        <w:t>o</w:t>
      </w:r>
      <w:r>
        <w:rPr>
          <w:w w:val="100"/>
          <w:sz w:val="21"/>
        </w:rPr>
        <w:t>f</w:t>
      </w:r>
      <w:r>
        <w:rPr>
          <w:spacing w:val="28"/>
          <w:sz w:val="21"/>
        </w:rPr>
        <w:t> </w:t>
      </w:r>
      <w:r>
        <w:rPr>
          <w:spacing w:val="-2"/>
          <w:w w:val="100"/>
          <w:sz w:val="21"/>
        </w:rPr>
        <w:t>j</w:t>
      </w:r>
      <w:r>
        <w:rPr>
          <w:spacing w:val="-1"/>
          <w:w w:val="100"/>
          <w:sz w:val="21"/>
        </w:rPr>
        <w:t>our</w:t>
      </w:r>
      <w:r>
        <w:rPr>
          <w:spacing w:val="-3"/>
          <w:w w:val="100"/>
          <w:sz w:val="21"/>
        </w:rPr>
        <w:t>n</w:t>
      </w:r>
      <w:r>
        <w:rPr>
          <w:spacing w:val="-1"/>
          <w:w w:val="100"/>
          <w:sz w:val="21"/>
        </w:rPr>
        <w:t>e</w:t>
      </w:r>
      <w:r>
        <w:rPr>
          <w:w w:val="100"/>
          <w:sz w:val="21"/>
        </w:rPr>
        <w:t>y</w:t>
      </w:r>
      <w:r>
        <w:rPr>
          <w:spacing w:val="25"/>
          <w:sz w:val="21"/>
        </w:rPr>
        <w:t> </w:t>
      </w:r>
      <w:r>
        <w:rPr>
          <w:spacing w:val="-2"/>
          <w:w w:val="100"/>
          <w:sz w:val="21"/>
        </w:rPr>
        <w:t>t</w:t>
      </w:r>
      <w:r>
        <w:rPr>
          <w:w w:val="100"/>
          <w:sz w:val="21"/>
        </w:rPr>
        <w:t>o</w:t>
      </w:r>
      <w:r>
        <w:rPr>
          <w:spacing w:val="27"/>
          <w:sz w:val="21"/>
        </w:rPr>
        <w:t> </w:t>
      </w:r>
      <w:r>
        <w:rPr>
          <w:w w:val="100"/>
          <w:sz w:val="21"/>
        </w:rPr>
        <w:t>A</w:t>
      </w:r>
      <w:r>
        <w:rPr>
          <w:spacing w:val="-3"/>
          <w:w w:val="100"/>
          <w:sz w:val="21"/>
        </w:rPr>
        <w:t>y</w:t>
      </w:r>
      <w:r>
        <w:rPr>
          <w:spacing w:val="-1"/>
          <w:w w:val="100"/>
          <w:sz w:val="21"/>
        </w:rPr>
        <w:t>odh</w:t>
      </w:r>
      <w:r>
        <w:rPr>
          <w:spacing w:val="-2"/>
          <w:w w:val="100"/>
          <w:sz w:val="21"/>
        </w:rPr>
        <w:t>y</w:t>
      </w:r>
      <w:r>
        <w:rPr>
          <w:w w:val="100"/>
          <w:sz w:val="21"/>
        </w:rPr>
        <w:t>a</w:t>
      </w:r>
      <w:r>
        <w:rPr>
          <w:spacing w:val="27"/>
          <w:sz w:val="21"/>
        </w:rPr>
        <w:t> </w:t>
      </w:r>
      <w:r>
        <w:rPr>
          <w:spacing w:val="-1"/>
          <w:w w:val="100"/>
          <w:sz w:val="21"/>
        </w:rPr>
        <w:t>h</w:t>
      </w:r>
      <w:r>
        <w:rPr>
          <w:spacing w:val="-3"/>
          <w:w w:val="100"/>
          <w:sz w:val="21"/>
        </w:rPr>
        <w:t>a</w:t>
      </w:r>
      <w:r>
        <w:rPr>
          <w:w w:val="100"/>
          <w:sz w:val="21"/>
        </w:rPr>
        <w:t>s</w:t>
      </w:r>
      <w:r>
        <w:rPr>
          <w:spacing w:val="27"/>
          <w:sz w:val="21"/>
        </w:rPr>
        <w:t> </w:t>
      </w:r>
      <w:r>
        <w:rPr>
          <w:spacing w:val="-3"/>
          <w:w w:val="100"/>
          <w:sz w:val="21"/>
        </w:rPr>
        <w:t>b</w:t>
      </w:r>
      <w:r>
        <w:rPr>
          <w:spacing w:val="-1"/>
          <w:w w:val="100"/>
          <w:sz w:val="21"/>
        </w:rPr>
        <w:t>ee</w:t>
      </w:r>
      <w:r>
        <w:rPr>
          <w:w w:val="100"/>
          <w:sz w:val="21"/>
        </w:rPr>
        <w:t>n</w:t>
      </w:r>
      <w:r>
        <w:rPr>
          <w:sz w:val="21"/>
        </w:rPr>
        <w:t> </w:t>
      </w:r>
      <w:r>
        <w:rPr>
          <w:spacing w:val="-29"/>
          <w:sz w:val="21"/>
        </w:rPr>
        <w:t> </w:t>
      </w:r>
      <w:r>
        <w:rPr>
          <w:spacing w:val="-3"/>
          <w:w w:val="100"/>
          <w:sz w:val="21"/>
        </w:rPr>
        <w:t>d</w:t>
      </w:r>
      <w:r>
        <w:rPr>
          <w:w w:val="100"/>
          <w:sz w:val="21"/>
        </w:rPr>
        <w:t>escr</w:t>
      </w:r>
      <w:r>
        <w:rPr>
          <w:spacing w:val="-2"/>
          <w:w w:val="100"/>
          <w:sz w:val="21"/>
        </w:rPr>
        <w:t>i</w:t>
      </w:r>
      <w:r>
        <w:rPr>
          <w:w w:val="100"/>
          <w:sz w:val="21"/>
        </w:rPr>
        <w:t>bed</w:t>
      </w:r>
      <w:r>
        <w:rPr>
          <w:spacing w:val="26"/>
          <w:sz w:val="21"/>
        </w:rPr>
        <w:t> </w:t>
      </w:r>
      <w:r>
        <w:rPr>
          <w:w w:val="100"/>
          <w:sz w:val="21"/>
        </w:rPr>
        <w:t>i</w:t>
      </w:r>
      <w:r>
        <w:rPr>
          <w:w w:val="100"/>
          <w:sz w:val="21"/>
        </w:rPr>
        <w:t>n </w:t>
      </w:r>
      <w:r>
        <w:rPr>
          <w:sz w:val="21"/>
        </w:rPr>
        <w:t>the Tenth Chapter of Ayodhya Mahatamya of Vaishnavkhand of Skand Puran, famous as Sthal-Puran. Wherein Janmsthan of Shri Rama is clearly referred and its importance is given. Sites described in Purans with reference to above context are still in existence in Ayodhya. That is why every follower of Sanatan Dharma, visits these sites, particularly takes Darshan at Shri Ram Janam Bhoomi in Ayodhya, performs Parikarma and takes the dust of that place to his head and feels</w:t>
      </w:r>
      <w:r>
        <w:rPr>
          <w:spacing w:val="-2"/>
          <w:sz w:val="21"/>
        </w:rPr>
        <w:t> </w:t>
      </w:r>
      <w:r>
        <w:rPr>
          <w:sz w:val="21"/>
        </w:rPr>
        <w:t>gratified.‖</w:t>
      </w:r>
    </w:p>
    <w:p>
      <w:pPr>
        <w:pStyle w:val="BodyText"/>
        <w:spacing w:before="7"/>
        <w:rPr>
          <w:sz w:val="24"/>
        </w:rPr>
      </w:pPr>
    </w:p>
    <w:p>
      <w:pPr>
        <w:pStyle w:val="BodyText"/>
        <w:spacing w:line="480" w:lineRule="auto"/>
        <w:ind w:left="500" w:right="438"/>
        <w:jc w:val="both"/>
      </w:pPr>
      <w:r>
        <w:rPr/>
        <w:t>He adverted to the image of Varah (the Boar God) on the southern wall of the eastern main gate. The witness narrated the other temples at which he had worshipped in Ayodhya besides Ram Janmabhumi. He stated that there was a full structure in 1990. He had entered from the eastern gate and that there was a wall with a grill at the main gate. He took darshan at Ramchabutra. During the course of his cross-examination, the witness stated that Ramacharitmanas does not contain a reference to the Ram Janmabhumi Mandir nor does it contain a specific reference to the construction of a mosque upon the demolition of a temple. During the course of his evidence, the witness alluded to the inscription on the disputed building to which there was a reference in the 1960 Uttar  Pradesh</w:t>
      </w:r>
      <w:r>
        <w:rPr>
          <w:spacing w:val="27"/>
        </w:rPr>
        <w:t> </w:t>
      </w:r>
      <w:r>
        <w:rPr/>
        <w:t>District</w:t>
      </w:r>
      <w:r>
        <w:rPr>
          <w:spacing w:val="28"/>
        </w:rPr>
        <w:t> </w:t>
      </w:r>
      <w:r>
        <w:rPr/>
        <w:t>Gazetteer,</w:t>
      </w:r>
      <w:r>
        <w:rPr>
          <w:spacing w:val="28"/>
        </w:rPr>
        <w:t> </w:t>
      </w:r>
      <w:r>
        <w:rPr/>
        <w:t>Faizabad</w:t>
      </w:r>
      <w:r>
        <w:rPr>
          <w:spacing w:val="28"/>
        </w:rPr>
        <w:t> </w:t>
      </w:r>
      <w:r>
        <w:rPr/>
        <w:t>where</w:t>
      </w:r>
      <w:r>
        <w:rPr>
          <w:spacing w:val="28"/>
        </w:rPr>
        <w:t> </w:t>
      </w:r>
      <w:r>
        <w:rPr/>
        <w:t>there</w:t>
      </w:r>
      <w:r>
        <w:rPr>
          <w:spacing w:val="28"/>
        </w:rPr>
        <w:t> </w:t>
      </w:r>
      <w:r>
        <w:rPr/>
        <w:t>was</w:t>
      </w:r>
      <w:r>
        <w:rPr>
          <w:spacing w:val="28"/>
        </w:rPr>
        <w:t> </w:t>
      </w:r>
      <w:r>
        <w:rPr/>
        <w:t>a</w:t>
      </w:r>
      <w:r>
        <w:rPr>
          <w:spacing w:val="28"/>
        </w:rPr>
        <w:t> </w:t>
      </w:r>
      <w:r>
        <w:rPr/>
        <w:t>reference</w:t>
      </w:r>
      <w:r>
        <w:rPr>
          <w:spacing w:val="28"/>
        </w:rPr>
        <w:t> </w:t>
      </w:r>
      <w:r>
        <w:rPr/>
        <w:t>to</w:t>
      </w:r>
      <w:r>
        <w:rPr>
          <w:spacing w:val="28"/>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t>construction of a building at a place where angels would descend. The witness stated that the site represented the place of the incarnation of Lord Ram.</w:t>
      </w:r>
    </w:p>
    <w:p>
      <w:pPr>
        <w:pStyle w:val="BodyText"/>
      </w:pPr>
    </w:p>
    <w:p>
      <w:pPr>
        <w:pStyle w:val="BodyText"/>
        <w:spacing w:line="480" w:lineRule="auto"/>
        <w:ind w:left="500" w:right="434"/>
        <w:jc w:val="both"/>
      </w:pPr>
      <w:r>
        <w:rPr/>
        <w:t>During the course of his cross-examination, the witness deposed on whether there is a reference to the birth-place of Lord Ram in the scriptures. The witness stated that there is no reference to any particular birth-place of Lord Ram in the Purans except in the Ayodhya Mahatmya and Vaibhav Khand in the </w:t>
      </w:r>
      <w:r>
        <w:rPr>
          <w:i/>
        </w:rPr>
        <w:t>Skand </w:t>
      </w:r>
      <w:r>
        <w:rPr>
          <w:i/>
        </w:rPr>
        <w:t>Puran</w:t>
      </w:r>
      <w:r>
        <w:rPr/>
        <w:t>. However, he stated that he did not recall the distance of any place from the disputed site. During the course of his cross-examination, the witness furnished an explanation for worship being conducted at Ramchabutra, stating that after an outer enclosure was constructed near the mosque in 1858, the Hindus were not allowed to go inside as a result of which they performed puja at the outer Chabutra. This situation according to the witness was altered in 1949 after the installation of the idols inside the</w:t>
      </w:r>
      <w:r>
        <w:rPr>
          <w:spacing w:val="-8"/>
        </w:rPr>
        <w:t> </w:t>
      </w:r>
      <w:r>
        <w:rPr/>
        <w:t>mosque.</w:t>
      </w:r>
    </w:p>
    <w:p>
      <w:pPr>
        <w:pStyle w:val="BodyText"/>
        <w:rPr>
          <w:sz w:val="28"/>
        </w:rPr>
      </w:pPr>
    </w:p>
    <w:p>
      <w:pPr>
        <w:pStyle w:val="BodyText"/>
        <w:spacing w:before="10"/>
        <w:rPr>
          <w:sz w:val="35"/>
        </w:rPr>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Satya Narain Tripathi (DW3/3) stated that in Ramacharitmanas, there is no </w:t>
      </w:r>
      <w:r>
        <w:rPr>
          <w:w w:val="99"/>
          <w:sz w:val="25"/>
        </w:rPr>
        <w:t>m</w:t>
      </w:r>
      <w:r>
        <w:rPr>
          <w:spacing w:val="-1"/>
          <w:w w:val="99"/>
          <w:sz w:val="25"/>
        </w:rPr>
        <w:t>e</w:t>
      </w:r>
      <w:r>
        <w:rPr>
          <w:w w:val="99"/>
          <w:sz w:val="25"/>
        </w:rPr>
        <w:t>ntion</w:t>
      </w:r>
      <w:r>
        <w:rPr>
          <w:sz w:val="25"/>
        </w:rPr>
        <w:t> </w:t>
      </w:r>
      <w:r>
        <w:rPr>
          <w:spacing w:val="-34"/>
          <w:sz w:val="25"/>
        </w:rPr>
        <w:t> </w:t>
      </w:r>
      <w:r>
        <w:rPr>
          <w:spacing w:val="-1"/>
          <w:w w:val="99"/>
          <w:sz w:val="25"/>
        </w:rPr>
        <w:t>o</w:t>
      </w:r>
      <w:r>
        <w:rPr>
          <w:w w:val="99"/>
          <w:sz w:val="25"/>
        </w:rPr>
        <w:t>f</w:t>
      </w:r>
      <w:r>
        <w:rPr>
          <w:sz w:val="25"/>
        </w:rPr>
        <w:t> </w:t>
      </w:r>
      <w:r>
        <w:rPr>
          <w:spacing w:val="-33"/>
          <w:sz w:val="25"/>
        </w:rPr>
        <w:t> </w:t>
      </w:r>
      <w:r>
        <w:rPr>
          <w:w w:val="33"/>
          <w:sz w:val="25"/>
        </w:rPr>
        <w:t>―</w:t>
      </w:r>
      <w:r>
        <w:rPr>
          <w:spacing w:val="-1"/>
          <w:w w:val="99"/>
          <w:sz w:val="25"/>
        </w:rPr>
        <w:t>a</w:t>
      </w:r>
      <w:r>
        <w:rPr>
          <w:w w:val="99"/>
          <w:sz w:val="25"/>
        </w:rPr>
        <w:t>ny</w:t>
      </w:r>
      <w:r>
        <w:rPr>
          <w:sz w:val="25"/>
        </w:rPr>
        <w:t> </w:t>
      </w:r>
      <w:r>
        <w:rPr>
          <w:spacing w:val="-35"/>
          <w:sz w:val="25"/>
        </w:rPr>
        <w:t> </w:t>
      </w:r>
      <w:r>
        <w:rPr>
          <w:w w:val="99"/>
          <w:sz w:val="25"/>
        </w:rPr>
        <w:t>spe</w:t>
      </w:r>
      <w:r>
        <w:rPr>
          <w:spacing w:val="2"/>
          <w:w w:val="99"/>
          <w:sz w:val="25"/>
        </w:rPr>
        <w:t>c</w:t>
      </w:r>
      <w:r>
        <w:rPr>
          <w:w w:val="99"/>
          <w:sz w:val="25"/>
        </w:rPr>
        <w:t>ial</w:t>
      </w:r>
      <w:r>
        <w:rPr>
          <w:sz w:val="25"/>
        </w:rPr>
        <w:t> </w:t>
      </w:r>
      <w:r>
        <w:rPr>
          <w:spacing w:val="-33"/>
          <w:sz w:val="25"/>
        </w:rPr>
        <w:t> </w:t>
      </w:r>
      <w:r>
        <w:rPr>
          <w:w w:val="99"/>
          <w:sz w:val="25"/>
        </w:rPr>
        <w:t>place</w:t>
      </w:r>
      <w:r>
        <w:rPr>
          <w:sz w:val="25"/>
        </w:rPr>
        <w:t> </w:t>
      </w:r>
      <w:r>
        <w:rPr>
          <w:spacing w:val="-33"/>
          <w:sz w:val="25"/>
        </w:rPr>
        <w:t> </w:t>
      </w:r>
      <w:r>
        <w:rPr>
          <w:w w:val="99"/>
          <w:sz w:val="25"/>
        </w:rPr>
        <w:t>r</w:t>
      </w:r>
      <w:r>
        <w:rPr>
          <w:w w:val="99"/>
          <w:sz w:val="25"/>
        </w:rPr>
        <w:t>ega</w:t>
      </w:r>
      <w:r>
        <w:rPr>
          <w:spacing w:val="1"/>
          <w:w w:val="99"/>
          <w:sz w:val="25"/>
        </w:rPr>
        <w:t>r</w:t>
      </w:r>
      <w:r>
        <w:rPr>
          <w:w w:val="99"/>
          <w:sz w:val="25"/>
        </w:rPr>
        <w:t>ding</w:t>
      </w:r>
      <w:r>
        <w:rPr>
          <w:sz w:val="25"/>
        </w:rPr>
        <w:t> </w:t>
      </w:r>
      <w:r>
        <w:rPr>
          <w:spacing w:val="-33"/>
          <w:sz w:val="25"/>
        </w:rPr>
        <w:t> </w:t>
      </w:r>
      <w:r>
        <w:rPr>
          <w:w w:val="99"/>
          <w:sz w:val="25"/>
        </w:rPr>
        <w:t>the</w:t>
      </w:r>
      <w:r>
        <w:rPr>
          <w:sz w:val="25"/>
        </w:rPr>
        <w:t> </w:t>
      </w:r>
      <w:r>
        <w:rPr>
          <w:spacing w:val="-33"/>
          <w:sz w:val="25"/>
        </w:rPr>
        <w:t> </w:t>
      </w:r>
      <w:r>
        <w:rPr>
          <w:w w:val="99"/>
          <w:sz w:val="25"/>
        </w:rPr>
        <w:t>bir</w:t>
      </w:r>
      <w:r>
        <w:rPr>
          <w:w w:val="99"/>
          <w:sz w:val="25"/>
        </w:rPr>
        <w:t>th</w:t>
      </w:r>
      <w:r>
        <w:rPr>
          <w:sz w:val="25"/>
        </w:rPr>
        <w:t> </w:t>
      </w:r>
      <w:r>
        <w:rPr>
          <w:spacing w:val="-33"/>
          <w:sz w:val="25"/>
        </w:rPr>
        <w:t> </w:t>
      </w:r>
      <w:r>
        <w:rPr>
          <w:w w:val="99"/>
          <w:sz w:val="25"/>
        </w:rPr>
        <w:t>of</w:t>
      </w:r>
      <w:r>
        <w:rPr>
          <w:sz w:val="25"/>
        </w:rPr>
        <w:t> </w:t>
      </w:r>
      <w:r>
        <w:rPr>
          <w:spacing w:val="-33"/>
          <w:sz w:val="25"/>
        </w:rPr>
        <w:t> </w:t>
      </w:r>
      <w:r>
        <w:rPr>
          <w:w w:val="99"/>
          <w:sz w:val="25"/>
        </w:rPr>
        <w:t>Ramach</w:t>
      </w:r>
      <w:r>
        <w:rPr>
          <w:w w:val="99"/>
          <w:sz w:val="25"/>
        </w:rPr>
        <w:t>and</w:t>
      </w:r>
      <w:r>
        <w:rPr>
          <w:spacing w:val="1"/>
          <w:w w:val="99"/>
          <w:sz w:val="25"/>
        </w:rPr>
        <w:t>r</w:t>
      </w:r>
      <w:r>
        <w:rPr>
          <w:w w:val="99"/>
          <w:sz w:val="25"/>
        </w:rPr>
        <w:t>aji,</w:t>
      </w:r>
      <w:r>
        <w:rPr>
          <w:sz w:val="25"/>
        </w:rPr>
        <w:t> </w:t>
      </w:r>
      <w:r>
        <w:rPr>
          <w:spacing w:val="-34"/>
          <w:sz w:val="25"/>
        </w:rPr>
        <w:t> </w:t>
      </w:r>
      <w:r>
        <w:rPr>
          <w:w w:val="99"/>
          <w:sz w:val="25"/>
        </w:rPr>
        <w:t>bu</w:t>
      </w:r>
      <w:r>
        <w:rPr>
          <w:w w:val="99"/>
          <w:sz w:val="25"/>
        </w:rPr>
        <w:t>t</w:t>
      </w:r>
      <w:r>
        <w:rPr>
          <w:sz w:val="25"/>
        </w:rPr>
        <w:t> </w:t>
      </w:r>
      <w:r>
        <w:rPr>
          <w:spacing w:val="-34"/>
          <w:sz w:val="25"/>
        </w:rPr>
        <w:t> </w:t>
      </w:r>
      <w:r>
        <w:rPr>
          <w:w w:val="99"/>
          <w:sz w:val="25"/>
        </w:rPr>
        <w:t>only</w:t>
      </w:r>
      <w:r>
        <w:rPr>
          <w:spacing w:val="33"/>
          <w:sz w:val="25"/>
        </w:rPr>
        <w:t> </w:t>
      </w:r>
      <w:r>
        <w:rPr>
          <w:w w:val="99"/>
          <w:sz w:val="25"/>
        </w:rPr>
        <w:t>a </w:t>
      </w:r>
      <w:r>
        <w:rPr>
          <w:sz w:val="25"/>
        </w:rPr>
        <w:t>mention about Ayodhya‖. Mahant Ramji Das (DW3/7) was asked during cross- examination whether there is a reference in Sri Ramacharitmanas to the birth- place of Lord Ram. The question posed to and the answer of the witness are extracted</w:t>
      </w:r>
      <w:r>
        <w:rPr>
          <w:spacing w:val="-2"/>
          <w:sz w:val="25"/>
        </w:rPr>
        <w:t> </w:t>
      </w:r>
      <w:r>
        <w:rPr>
          <w:sz w:val="25"/>
        </w:rPr>
        <w:t>below:</w:t>
      </w:r>
    </w:p>
    <w:p>
      <w:pPr>
        <w:spacing w:line="276" w:lineRule="auto" w:before="160"/>
        <w:ind w:left="1940" w:right="2260" w:firstLine="0"/>
        <w:jc w:val="both"/>
        <w:rPr>
          <w:sz w:val="21"/>
        </w:rPr>
      </w:pPr>
      <w:r>
        <w:rPr>
          <w:spacing w:val="-1"/>
          <w:w w:val="33"/>
          <w:sz w:val="21"/>
        </w:rPr>
        <w:t>―</w:t>
      </w:r>
      <w:r>
        <w:rPr>
          <w:b/>
          <w:spacing w:val="-2"/>
          <w:w w:val="100"/>
          <w:sz w:val="21"/>
        </w:rPr>
        <w:t>Q</w:t>
      </w:r>
      <w:r>
        <w:rPr>
          <w:b/>
          <w:w w:val="100"/>
          <w:sz w:val="21"/>
        </w:rPr>
        <w:t>uest</w:t>
      </w:r>
      <w:r>
        <w:rPr>
          <w:b/>
          <w:spacing w:val="-2"/>
          <w:w w:val="100"/>
          <w:sz w:val="21"/>
        </w:rPr>
        <w:t>i</w:t>
      </w:r>
      <w:r>
        <w:rPr>
          <w:b/>
          <w:spacing w:val="-2"/>
          <w:w w:val="100"/>
          <w:sz w:val="21"/>
        </w:rPr>
        <w:t>o</w:t>
      </w:r>
      <w:r>
        <w:rPr>
          <w:b/>
          <w:spacing w:val="1"/>
          <w:w w:val="100"/>
          <w:sz w:val="21"/>
        </w:rPr>
        <w:t>n</w:t>
      </w:r>
      <w:r>
        <w:rPr>
          <w:w w:val="100"/>
          <w:sz w:val="21"/>
        </w:rPr>
        <w:t>:</w:t>
      </w:r>
      <w:r>
        <w:rPr>
          <w:sz w:val="21"/>
        </w:rPr>
        <w:t> </w:t>
      </w:r>
      <w:r>
        <w:rPr>
          <w:spacing w:val="-2"/>
          <w:w w:val="100"/>
          <w:sz w:val="21"/>
        </w:rPr>
        <w:t>I</w:t>
      </w:r>
      <w:r>
        <w:rPr>
          <w:w w:val="100"/>
          <w:sz w:val="21"/>
        </w:rPr>
        <w:t>s</w:t>
      </w:r>
      <w:r>
        <w:rPr>
          <w:spacing w:val="1"/>
          <w:sz w:val="21"/>
        </w:rPr>
        <w:t> </w:t>
      </w:r>
      <w:r>
        <w:rPr>
          <w:spacing w:val="-2"/>
          <w:w w:val="100"/>
          <w:sz w:val="21"/>
        </w:rPr>
        <w:t>t</w:t>
      </w:r>
      <w:r>
        <w:rPr>
          <w:w w:val="100"/>
          <w:sz w:val="21"/>
        </w:rPr>
        <w:t>here</w:t>
      </w:r>
      <w:r>
        <w:rPr>
          <w:spacing w:val="-4"/>
          <w:sz w:val="21"/>
        </w:rPr>
        <w:t> </w:t>
      </w:r>
      <w:r>
        <w:rPr>
          <w:spacing w:val="1"/>
          <w:w w:val="100"/>
          <w:sz w:val="21"/>
        </w:rPr>
        <w:t>m</w:t>
      </w:r>
      <w:r>
        <w:rPr>
          <w:w w:val="100"/>
          <w:sz w:val="21"/>
        </w:rPr>
        <w:t>en</w:t>
      </w:r>
      <w:r>
        <w:rPr>
          <w:spacing w:val="-4"/>
          <w:w w:val="100"/>
          <w:sz w:val="21"/>
        </w:rPr>
        <w:t>t</w:t>
      </w:r>
      <w:r>
        <w:rPr>
          <w:spacing w:val="-2"/>
          <w:w w:val="100"/>
          <w:sz w:val="21"/>
        </w:rPr>
        <w:t>i</w:t>
      </w:r>
      <w:r>
        <w:rPr>
          <w:w w:val="100"/>
          <w:sz w:val="21"/>
        </w:rPr>
        <w:t>on</w:t>
      </w:r>
      <w:r>
        <w:rPr>
          <w:spacing w:val="1"/>
          <w:sz w:val="21"/>
        </w:rPr>
        <w:t> </w:t>
      </w:r>
      <w:r>
        <w:rPr>
          <w:spacing w:val="-2"/>
          <w:w w:val="100"/>
          <w:sz w:val="21"/>
        </w:rPr>
        <w:t>o</w:t>
      </w:r>
      <w:r>
        <w:rPr>
          <w:w w:val="100"/>
          <w:sz w:val="21"/>
        </w:rPr>
        <w:t>f</w:t>
      </w:r>
      <w:r>
        <w:rPr>
          <w:spacing w:val="2"/>
          <w:sz w:val="21"/>
        </w:rPr>
        <w:t> </w:t>
      </w:r>
      <w:r>
        <w:rPr>
          <w:w w:val="100"/>
          <w:sz w:val="21"/>
        </w:rPr>
        <w:t>p</w:t>
      </w:r>
      <w:r>
        <w:rPr>
          <w:spacing w:val="-3"/>
          <w:w w:val="100"/>
          <w:sz w:val="21"/>
        </w:rPr>
        <w:t>r</w:t>
      </w:r>
      <w:r>
        <w:rPr>
          <w:w w:val="100"/>
          <w:sz w:val="21"/>
        </w:rPr>
        <w:t>a</w:t>
      </w:r>
      <w:r>
        <w:rPr>
          <w:spacing w:val="1"/>
          <w:w w:val="100"/>
          <w:sz w:val="21"/>
        </w:rPr>
        <w:t>i</w:t>
      </w:r>
      <w:r>
        <w:rPr>
          <w:spacing w:val="-3"/>
          <w:w w:val="100"/>
          <w:sz w:val="21"/>
        </w:rPr>
        <w:t>s</w:t>
      </w:r>
      <w:r>
        <w:rPr>
          <w:w w:val="100"/>
          <w:sz w:val="21"/>
        </w:rPr>
        <w:t>e</w:t>
      </w:r>
      <w:r>
        <w:rPr>
          <w:spacing w:val="1"/>
          <w:sz w:val="21"/>
        </w:rPr>
        <w:t> </w:t>
      </w:r>
      <w:r>
        <w:rPr>
          <w:spacing w:val="-3"/>
          <w:w w:val="100"/>
          <w:sz w:val="21"/>
        </w:rPr>
        <w:t>o</w:t>
      </w:r>
      <w:r>
        <w:rPr>
          <w:w w:val="100"/>
          <w:sz w:val="21"/>
        </w:rPr>
        <w:t>f</w:t>
      </w:r>
      <w:r>
        <w:rPr>
          <w:sz w:val="21"/>
        </w:rPr>
        <w:t> </w:t>
      </w:r>
      <w:r>
        <w:rPr>
          <w:w w:val="100"/>
          <w:sz w:val="21"/>
        </w:rPr>
        <w:t>R</w:t>
      </w:r>
      <w:r>
        <w:rPr>
          <w:spacing w:val="-3"/>
          <w:w w:val="100"/>
          <w:sz w:val="21"/>
        </w:rPr>
        <w:t>a</w:t>
      </w:r>
      <w:r>
        <w:rPr>
          <w:spacing w:val="-1"/>
          <w:w w:val="100"/>
          <w:sz w:val="21"/>
        </w:rPr>
        <w:t>m</w:t>
      </w:r>
      <w:r>
        <w:rPr>
          <w:w w:val="100"/>
          <w:sz w:val="21"/>
        </w:rPr>
        <w:t>ac</w:t>
      </w:r>
      <w:r>
        <w:rPr>
          <w:spacing w:val="-3"/>
          <w:w w:val="100"/>
          <w:sz w:val="21"/>
        </w:rPr>
        <w:t>h</w:t>
      </w:r>
      <w:r>
        <w:rPr>
          <w:w w:val="100"/>
          <w:sz w:val="21"/>
        </w:rPr>
        <w:t>a</w:t>
      </w:r>
      <w:r>
        <w:rPr>
          <w:spacing w:val="-3"/>
          <w:w w:val="100"/>
          <w:sz w:val="21"/>
        </w:rPr>
        <w:t>n</w:t>
      </w:r>
      <w:r>
        <w:rPr>
          <w:w w:val="100"/>
          <w:sz w:val="21"/>
        </w:rPr>
        <w:t>dra</w:t>
      </w:r>
      <w:r>
        <w:rPr>
          <w:spacing w:val="-2"/>
          <w:w w:val="100"/>
          <w:sz w:val="21"/>
        </w:rPr>
        <w:t>j</w:t>
      </w:r>
      <w:r>
        <w:rPr>
          <w:w w:val="100"/>
          <w:sz w:val="21"/>
        </w:rPr>
        <w:t>i</w:t>
      </w:r>
      <w:r>
        <w:rPr>
          <w:spacing w:val="2"/>
          <w:sz w:val="21"/>
        </w:rPr>
        <w:t> </w:t>
      </w:r>
      <w:r>
        <w:rPr>
          <w:spacing w:val="-2"/>
          <w:w w:val="100"/>
          <w:sz w:val="21"/>
        </w:rPr>
        <w:t>i</w:t>
      </w:r>
      <w:r>
        <w:rPr>
          <w:w w:val="100"/>
          <w:sz w:val="21"/>
        </w:rPr>
        <w:t>n</w:t>
      </w:r>
      <w:r>
        <w:rPr>
          <w:spacing w:val="1"/>
          <w:sz w:val="21"/>
        </w:rPr>
        <w:t> </w:t>
      </w:r>
      <w:r>
        <w:rPr>
          <w:spacing w:val="2"/>
          <w:w w:val="100"/>
          <w:sz w:val="21"/>
        </w:rPr>
        <w:t>3</w:t>
      </w:r>
      <w:r>
        <w:rPr>
          <w:spacing w:val="-1"/>
          <w:w w:val="97"/>
          <w:sz w:val="21"/>
          <w:vertAlign w:val="superscript"/>
        </w:rPr>
        <w:t>rd</w:t>
      </w:r>
      <w:r>
        <w:rPr>
          <w:w w:val="100"/>
          <w:sz w:val="21"/>
          <w:vertAlign w:val="baseline"/>
        </w:rPr>
        <w:t>, </w:t>
      </w:r>
      <w:r>
        <w:rPr>
          <w:sz w:val="21"/>
          <w:vertAlign w:val="baseline"/>
        </w:rPr>
        <w:t>4</w:t>
      </w:r>
      <w:r>
        <w:rPr>
          <w:sz w:val="21"/>
          <w:vertAlign w:val="superscript"/>
        </w:rPr>
        <w:t>th</w:t>
      </w:r>
      <w:r>
        <w:rPr>
          <w:sz w:val="21"/>
          <w:vertAlign w:val="baseline"/>
        </w:rPr>
        <w:t>, 5</w:t>
      </w:r>
      <w:r>
        <w:rPr>
          <w:sz w:val="21"/>
          <w:vertAlign w:val="superscript"/>
        </w:rPr>
        <w:t>th</w:t>
      </w:r>
      <w:r>
        <w:rPr>
          <w:sz w:val="21"/>
          <w:vertAlign w:val="baseline"/>
        </w:rPr>
        <w:t>, 6</w:t>
      </w:r>
      <w:r>
        <w:rPr>
          <w:sz w:val="21"/>
          <w:vertAlign w:val="superscript"/>
        </w:rPr>
        <w:t>th</w:t>
      </w:r>
      <w:r>
        <w:rPr>
          <w:sz w:val="21"/>
          <w:vertAlign w:val="baseline"/>
        </w:rPr>
        <w:t> ,7</w:t>
      </w:r>
      <w:r>
        <w:rPr>
          <w:sz w:val="21"/>
          <w:vertAlign w:val="superscript"/>
        </w:rPr>
        <w:t>th</w:t>
      </w:r>
      <w:r>
        <w:rPr>
          <w:sz w:val="21"/>
          <w:vertAlign w:val="baseline"/>
        </w:rPr>
        <w:t>, 8</w:t>
      </w:r>
      <w:r>
        <w:rPr>
          <w:sz w:val="21"/>
          <w:vertAlign w:val="superscript"/>
        </w:rPr>
        <w:t>th</w:t>
      </w:r>
      <w:r>
        <w:rPr>
          <w:sz w:val="21"/>
          <w:vertAlign w:val="baseline"/>
        </w:rPr>
        <w:t> chopayees after above couplet No.71(b) in </w:t>
      </w:r>
      <w:r>
        <w:rPr>
          <w:w w:val="100"/>
          <w:sz w:val="21"/>
          <w:vertAlign w:val="baseline"/>
        </w:rPr>
        <w:t>U</w:t>
      </w:r>
      <w:r>
        <w:rPr>
          <w:spacing w:val="-2"/>
          <w:w w:val="100"/>
          <w:sz w:val="21"/>
          <w:vertAlign w:val="baseline"/>
        </w:rPr>
        <w:t>tt</w:t>
      </w:r>
      <w:r>
        <w:rPr>
          <w:spacing w:val="-1"/>
          <w:w w:val="100"/>
          <w:sz w:val="21"/>
          <w:vertAlign w:val="baseline"/>
        </w:rPr>
        <w:t>a</w:t>
      </w:r>
      <w:r>
        <w:rPr>
          <w:spacing w:val="-3"/>
          <w:w w:val="100"/>
          <w:sz w:val="21"/>
          <w:vertAlign w:val="baseline"/>
        </w:rPr>
        <w:t>r</w:t>
      </w:r>
      <w:r>
        <w:rPr>
          <w:spacing w:val="2"/>
          <w:w w:val="100"/>
          <w:sz w:val="21"/>
          <w:vertAlign w:val="baseline"/>
        </w:rPr>
        <w:t>k</w:t>
      </w:r>
      <w:r>
        <w:rPr>
          <w:spacing w:val="-1"/>
          <w:w w:val="100"/>
          <w:sz w:val="21"/>
          <w:vertAlign w:val="baseline"/>
        </w:rPr>
        <w:t>a</w:t>
      </w:r>
      <w:r>
        <w:rPr>
          <w:spacing w:val="-3"/>
          <w:w w:val="100"/>
          <w:sz w:val="21"/>
          <w:vertAlign w:val="baseline"/>
        </w:rPr>
        <w:t>n</w:t>
      </w:r>
      <w:r>
        <w:rPr>
          <w:w w:val="100"/>
          <w:sz w:val="21"/>
          <w:vertAlign w:val="baseline"/>
        </w:rPr>
        <w:t>d</w:t>
      </w:r>
      <w:r>
        <w:rPr>
          <w:sz w:val="21"/>
          <w:vertAlign w:val="baseline"/>
        </w:rPr>
        <w:t> </w:t>
      </w:r>
      <w:r>
        <w:rPr>
          <w:spacing w:val="-29"/>
          <w:sz w:val="21"/>
          <w:vertAlign w:val="baseline"/>
        </w:rPr>
        <w:t> </w:t>
      </w:r>
      <w:r>
        <w:rPr>
          <w:spacing w:val="-1"/>
          <w:w w:val="100"/>
          <w:sz w:val="21"/>
          <w:vertAlign w:val="baseline"/>
        </w:rPr>
        <w:t>o</w:t>
      </w:r>
      <w:r>
        <w:rPr>
          <w:w w:val="100"/>
          <w:sz w:val="21"/>
          <w:vertAlign w:val="baseline"/>
        </w:rPr>
        <w:t>f</w:t>
      </w:r>
      <w:r>
        <w:rPr>
          <w:sz w:val="21"/>
          <w:vertAlign w:val="baseline"/>
        </w:rPr>
        <w:t> </w:t>
      </w:r>
      <w:r>
        <w:rPr>
          <w:spacing w:val="-27"/>
          <w:sz w:val="21"/>
          <w:vertAlign w:val="baseline"/>
        </w:rPr>
        <w:t> </w:t>
      </w:r>
      <w:r>
        <w:rPr>
          <w:spacing w:val="-1"/>
          <w:w w:val="33"/>
          <w:sz w:val="21"/>
          <w:vertAlign w:val="baseline"/>
        </w:rPr>
        <w:t>―</w:t>
      </w:r>
      <w:r>
        <w:rPr>
          <w:spacing w:val="-2"/>
          <w:w w:val="100"/>
          <w:sz w:val="21"/>
          <w:vertAlign w:val="baseline"/>
        </w:rPr>
        <w:t>S</w:t>
      </w:r>
      <w:r>
        <w:rPr>
          <w:spacing w:val="-1"/>
          <w:w w:val="100"/>
          <w:sz w:val="21"/>
          <w:vertAlign w:val="baseline"/>
        </w:rPr>
        <w:t>hr</w:t>
      </w:r>
      <w:r>
        <w:rPr>
          <w:w w:val="100"/>
          <w:sz w:val="21"/>
          <w:vertAlign w:val="baseline"/>
        </w:rPr>
        <w:t>i</w:t>
      </w:r>
      <w:r>
        <w:rPr>
          <w:spacing w:val="28"/>
          <w:sz w:val="21"/>
          <w:vertAlign w:val="baseline"/>
        </w:rPr>
        <w:t> </w:t>
      </w:r>
      <w:r>
        <w:rPr>
          <w:w w:val="100"/>
          <w:sz w:val="21"/>
          <w:vertAlign w:val="baseline"/>
        </w:rPr>
        <w:t>R</w:t>
      </w:r>
      <w:r>
        <w:rPr>
          <w:spacing w:val="-3"/>
          <w:w w:val="100"/>
          <w:sz w:val="21"/>
          <w:vertAlign w:val="baseline"/>
        </w:rPr>
        <w:t>a</w:t>
      </w:r>
      <w:r>
        <w:rPr>
          <w:spacing w:val="1"/>
          <w:w w:val="100"/>
          <w:sz w:val="21"/>
          <w:vertAlign w:val="baseline"/>
        </w:rPr>
        <w:t>m</w:t>
      </w:r>
      <w:r>
        <w:rPr>
          <w:spacing w:val="-3"/>
          <w:w w:val="100"/>
          <w:sz w:val="21"/>
          <w:vertAlign w:val="baseline"/>
        </w:rPr>
        <w:t>c</w:t>
      </w:r>
      <w:r>
        <w:rPr>
          <w:spacing w:val="-1"/>
          <w:w w:val="100"/>
          <w:sz w:val="21"/>
          <w:vertAlign w:val="baseline"/>
        </w:rPr>
        <w:t>har</w:t>
      </w:r>
      <w:r>
        <w:rPr>
          <w:w w:val="100"/>
          <w:sz w:val="21"/>
          <w:vertAlign w:val="baseline"/>
        </w:rPr>
        <w:t>it</w:t>
      </w:r>
      <w:r>
        <w:rPr>
          <w:spacing w:val="29"/>
          <w:sz w:val="21"/>
          <w:vertAlign w:val="baseline"/>
        </w:rPr>
        <w:t> </w:t>
      </w:r>
      <w:r>
        <w:rPr>
          <w:spacing w:val="-1"/>
          <w:w w:val="100"/>
          <w:sz w:val="21"/>
          <w:vertAlign w:val="baseline"/>
        </w:rPr>
        <w:t>Ma</w:t>
      </w:r>
      <w:r>
        <w:rPr>
          <w:spacing w:val="-3"/>
          <w:w w:val="100"/>
          <w:sz w:val="21"/>
          <w:vertAlign w:val="baseline"/>
        </w:rPr>
        <w:t>n</w:t>
      </w:r>
      <w:r>
        <w:rPr>
          <w:spacing w:val="-1"/>
          <w:w w:val="95"/>
          <w:sz w:val="21"/>
          <w:vertAlign w:val="baseline"/>
        </w:rPr>
        <w:t>as</w:t>
      </w:r>
      <w:r>
        <w:rPr>
          <w:w w:val="95"/>
          <w:sz w:val="21"/>
          <w:vertAlign w:val="baseline"/>
        </w:rPr>
        <w:t>‖</w:t>
      </w:r>
      <w:r>
        <w:rPr>
          <w:sz w:val="21"/>
          <w:vertAlign w:val="baseline"/>
        </w:rPr>
        <w:t> </w:t>
      </w:r>
      <w:r>
        <w:rPr>
          <w:spacing w:val="-29"/>
          <w:sz w:val="21"/>
          <w:vertAlign w:val="baseline"/>
        </w:rPr>
        <w:t> </w:t>
      </w:r>
      <w:r>
        <w:rPr>
          <w:spacing w:val="-1"/>
          <w:w w:val="100"/>
          <w:sz w:val="21"/>
          <w:vertAlign w:val="baseline"/>
        </w:rPr>
        <w:t>an</w:t>
      </w:r>
      <w:r>
        <w:rPr>
          <w:w w:val="100"/>
          <w:sz w:val="21"/>
          <w:vertAlign w:val="baseline"/>
        </w:rPr>
        <w:t>d</w:t>
      </w:r>
      <w:r>
        <w:rPr>
          <w:sz w:val="21"/>
          <w:vertAlign w:val="baseline"/>
        </w:rPr>
        <w:t> </w:t>
      </w:r>
      <w:r>
        <w:rPr>
          <w:spacing w:val="-28"/>
          <w:sz w:val="21"/>
          <w:vertAlign w:val="baseline"/>
        </w:rPr>
        <w:t> </w:t>
      </w:r>
      <w:r>
        <w:rPr>
          <w:spacing w:val="-3"/>
          <w:w w:val="100"/>
          <w:sz w:val="21"/>
          <w:vertAlign w:val="baseline"/>
        </w:rPr>
        <w:t>n</w:t>
      </w:r>
      <w:r>
        <w:rPr>
          <w:w w:val="100"/>
          <w:sz w:val="21"/>
          <w:vertAlign w:val="baseline"/>
        </w:rPr>
        <w:t>o</w:t>
      </w:r>
      <w:r>
        <w:rPr>
          <w:sz w:val="21"/>
          <w:vertAlign w:val="baseline"/>
        </w:rPr>
        <w:t> </w:t>
      </w:r>
      <w:r>
        <w:rPr>
          <w:spacing w:val="-24"/>
          <w:sz w:val="21"/>
          <w:vertAlign w:val="baseline"/>
        </w:rPr>
        <w:t> </w:t>
      </w:r>
      <w:r>
        <w:rPr>
          <w:spacing w:val="-1"/>
          <w:w w:val="100"/>
          <w:sz w:val="21"/>
          <w:vertAlign w:val="baseline"/>
        </w:rPr>
        <w:t>m</w:t>
      </w:r>
      <w:r>
        <w:rPr>
          <w:spacing w:val="-3"/>
          <w:w w:val="100"/>
          <w:sz w:val="21"/>
          <w:vertAlign w:val="baseline"/>
        </w:rPr>
        <w:t>e</w:t>
      </w:r>
      <w:r>
        <w:rPr>
          <w:w w:val="100"/>
          <w:sz w:val="21"/>
          <w:vertAlign w:val="baseline"/>
        </w:rPr>
        <w:t>n</w:t>
      </w:r>
      <w:r>
        <w:rPr>
          <w:spacing w:val="-1"/>
          <w:w w:val="100"/>
          <w:sz w:val="21"/>
          <w:vertAlign w:val="baseline"/>
        </w:rPr>
        <w:t>t</w:t>
      </w:r>
      <w:r>
        <w:rPr>
          <w:w w:val="100"/>
          <w:sz w:val="21"/>
          <w:vertAlign w:val="baseline"/>
        </w:rPr>
        <w:t>i</w:t>
      </w:r>
      <w:r>
        <w:rPr>
          <w:w w:val="100"/>
          <w:sz w:val="21"/>
          <w:vertAlign w:val="baseline"/>
        </w:rPr>
        <w:t>on</w:t>
      </w:r>
      <w:r>
        <w:rPr>
          <w:sz w:val="21"/>
          <w:vertAlign w:val="baseline"/>
        </w:rPr>
        <w:t> </w:t>
      </w:r>
      <w:r>
        <w:rPr>
          <w:spacing w:val="-28"/>
          <w:sz w:val="21"/>
          <w:vertAlign w:val="baseline"/>
        </w:rPr>
        <w:t> </w:t>
      </w:r>
      <w:r>
        <w:rPr>
          <w:spacing w:val="-3"/>
          <w:w w:val="100"/>
          <w:sz w:val="21"/>
          <w:vertAlign w:val="baseline"/>
        </w:rPr>
        <w:t>a</w:t>
      </w:r>
      <w:r>
        <w:rPr>
          <w:w w:val="100"/>
          <w:sz w:val="21"/>
          <w:vertAlign w:val="baseline"/>
        </w:rPr>
        <w:t>bout </w:t>
      </w:r>
      <w:r>
        <w:rPr>
          <w:sz w:val="21"/>
          <w:vertAlign w:val="baseline"/>
        </w:rPr>
        <w:t>the birth place of Ramachandraji made in</w:t>
      </w:r>
      <w:r>
        <w:rPr>
          <w:spacing w:val="-13"/>
          <w:sz w:val="21"/>
          <w:vertAlign w:val="baseline"/>
        </w:rPr>
        <w:t> </w:t>
      </w:r>
      <w:r>
        <w:rPr>
          <w:sz w:val="21"/>
          <w:vertAlign w:val="baseline"/>
        </w:rPr>
        <w:t>them?</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4" w:firstLine="0"/>
        <w:jc w:val="both"/>
        <w:rPr>
          <w:sz w:val="21"/>
        </w:rPr>
      </w:pPr>
      <w:r>
        <w:rPr>
          <w:b/>
          <w:sz w:val="21"/>
        </w:rPr>
        <w:t>Answer</w:t>
      </w:r>
      <w:r>
        <w:rPr>
          <w:sz w:val="21"/>
        </w:rPr>
        <w:t>: </w:t>
      </w:r>
      <w:r>
        <w:rPr>
          <w:b/>
          <w:sz w:val="21"/>
        </w:rPr>
        <w:t>There is no mention about the birth place of Ramachandraji in the above chopayees, it is only about taking birth of Ramachandraji</w:t>
      </w:r>
      <w:r>
        <w:rPr>
          <w:sz w:val="21"/>
        </w:rPr>
        <w:t>.‖</w:t>
      </w:r>
    </w:p>
    <w:p>
      <w:pPr>
        <w:pStyle w:val="BodyText"/>
        <w:rPr>
          <w:sz w:val="24"/>
        </w:rPr>
      </w:pPr>
    </w:p>
    <w:p>
      <w:pPr>
        <w:pStyle w:val="BodyText"/>
        <w:spacing w:before="2"/>
        <w:rPr>
          <w:sz w:val="21"/>
        </w:rPr>
      </w:pPr>
    </w:p>
    <w:p>
      <w:pPr>
        <w:pStyle w:val="BodyText"/>
        <w:spacing w:line="480" w:lineRule="auto"/>
        <w:ind w:left="500" w:right="440"/>
        <w:jc w:val="both"/>
      </w:pPr>
      <w:r>
        <w:rPr/>
        <w:t>Relying on the Ayodhya Mahatmaya, the witness adverted to the reference to the birth-place in relation to the location of Sitakoop – the wall near the disputed site. According to the witness:</w:t>
      </w:r>
    </w:p>
    <w:p>
      <w:pPr>
        <w:spacing w:line="278" w:lineRule="auto" w:before="0"/>
        <w:ind w:left="1940" w:right="2260" w:firstLine="0"/>
        <w:jc w:val="both"/>
        <w:rPr>
          <w:sz w:val="21"/>
        </w:rPr>
      </w:pPr>
      <w:r>
        <w:rPr>
          <w:spacing w:val="-1"/>
          <w:w w:val="33"/>
          <w:sz w:val="21"/>
        </w:rPr>
        <w:t>―</w:t>
      </w:r>
      <w:r>
        <w:rPr>
          <w:w w:val="100"/>
          <w:sz w:val="21"/>
        </w:rPr>
        <w:t>Si</w:t>
      </w:r>
      <w:r>
        <w:rPr>
          <w:spacing w:val="-2"/>
          <w:w w:val="100"/>
          <w:sz w:val="21"/>
        </w:rPr>
        <w:t>t</w:t>
      </w:r>
      <w:r>
        <w:rPr>
          <w:spacing w:val="-3"/>
          <w:w w:val="100"/>
          <w:sz w:val="21"/>
        </w:rPr>
        <w:t>a</w:t>
      </w:r>
      <w:r>
        <w:rPr>
          <w:w w:val="100"/>
          <w:sz w:val="21"/>
        </w:rPr>
        <w:t>koop</w:t>
      </w:r>
      <w:r>
        <w:rPr>
          <w:sz w:val="21"/>
        </w:rPr>
        <w:t> </w:t>
      </w:r>
      <w:r>
        <w:rPr>
          <w:spacing w:val="-1"/>
          <w:w w:val="100"/>
          <w:sz w:val="21"/>
        </w:rPr>
        <w:t>i</w:t>
      </w:r>
      <w:r>
        <w:rPr>
          <w:w w:val="100"/>
          <w:sz w:val="21"/>
        </w:rPr>
        <w:t>s</w:t>
      </w:r>
      <w:r>
        <w:rPr>
          <w:sz w:val="21"/>
        </w:rPr>
        <w:t> </w:t>
      </w:r>
      <w:r>
        <w:rPr>
          <w:spacing w:val="-1"/>
          <w:w w:val="100"/>
          <w:sz w:val="21"/>
        </w:rPr>
        <w:t>l</w:t>
      </w:r>
      <w:r>
        <w:rPr>
          <w:spacing w:val="-2"/>
          <w:w w:val="100"/>
          <w:sz w:val="21"/>
        </w:rPr>
        <w:t>y</w:t>
      </w:r>
      <w:r>
        <w:rPr>
          <w:w w:val="100"/>
          <w:sz w:val="21"/>
        </w:rPr>
        <w:t>i</w:t>
      </w:r>
      <w:r>
        <w:rPr>
          <w:spacing w:val="-1"/>
          <w:w w:val="100"/>
          <w:sz w:val="21"/>
        </w:rPr>
        <w:t>n</w:t>
      </w:r>
      <w:r>
        <w:rPr>
          <w:w w:val="100"/>
          <w:sz w:val="21"/>
        </w:rPr>
        <w:t>g</w:t>
      </w:r>
      <w:r>
        <w:rPr>
          <w:sz w:val="21"/>
        </w:rPr>
        <w:t> </w:t>
      </w:r>
      <w:r>
        <w:rPr>
          <w:w w:val="100"/>
          <w:sz w:val="21"/>
        </w:rPr>
        <w:t>in</w:t>
      </w:r>
      <w:r>
        <w:rPr>
          <w:sz w:val="21"/>
        </w:rPr>
        <w:t> </w:t>
      </w:r>
      <w:r>
        <w:rPr>
          <w:w w:val="100"/>
          <w:sz w:val="21"/>
        </w:rPr>
        <w:t>A</w:t>
      </w:r>
      <w:r>
        <w:rPr>
          <w:spacing w:val="-3"/>
          <w:w w:val="100"/>
          <w:sz w:val="21"/>
        </w:rPr>
        <w:t>g</w:t>
      </w:r>
      <w:r>
        <w:rPr>
          <w:spacing w:val="-1"/>
          <w:w w:val="100"/>
          <w:sz w:val="21"/>
        </w:rPr>
        <w:t>n</w:t>
      </w:r>
      <w:r>
        <w:rPr>
          <w:spacing w:val="-2"/>
          <w:w w:val="100"/>
          <w:sz w:val="21"/>
        </w:rPr>
        <w:t>i</w:t>
      </w:r>
      <w:r>
        <w:rPr>
          <w:w w:val="100"/>
          <w:sz w:val="21"/>
        </w:rPr>
        <w:t>kona</w:t>
      </w:r>
      <w:r>
        <w:rPr>
          <w:sz w:val="21"/>
        </w:rPr>
        <w:t> </w:t>
      </w:r>
      <w:r>
        <w:rPr>
          <w:spacing w:val="-3"/>
          <w:w w:val="100"/>
          <w:sz w:val="21"/>
        </w:rPr>
        <w:t>a</w:t>
      </w:r>
      <w:r>
        <w:rPr>
          <w:spacing w:val="-1"/>
          <w:w w:val="100"/>
          <w:sz w:val="21"/>
        </w:rPr>
        <w:t>n</w:t>
      </w:r>
      <w:r>
        <w:rPr>
          <w:w w:val="100"/>
          <w:sz w:val="21"/>
        </w:rPr>
        <w:t>d</w:t>
      </w:r>
      <w:r>
        <w:rPr>
          <w:sz w:val="21"/>
        </w:rPr>
        <w:t> </w:t>
      </w:r>
      <w:r>
        <w:rPr>
          <w:spacing w:val="-2"/>
          <w:w w:val="100"/>
          <w:sz w:val="21"/>
        </w:rPr>
        <w:t>t</w:t>
      </w:r>
      <w:r>
        <w:rPr>
          <w:spacing w:val="-1"/>
          <w:w w:val="100"/>
          <w:sz w:val="21"/>
        </w:rPr>
        <w:t>h</w:t>
      </w:r>
      <w:r>
        <w:rPr>
          <w:w w:val="100"/>
          <w:sz w:val="21"/>
        </w:rPr>
        <w:t>e</w:t>
      </w:r>
      <w:r>
        <w:rPr>
          <w:sz w:val="21"/>
        </w:rPr>
        <w:t> </w:t>
      </w:r>
      <w:r>
        <w:rPr>
          <w:w w:val="100"/>
          <w:sz w:val="21"/>
        </w:rPr>
        <w:t>b</w:t>
      </w:r>
      <w:r>
        <w:rPr>
          <w:spacing w:val="1"/>
          <w:w w:val="100"/>
          <w:sz w:val="21"/>
        </w:rPr>
        <w:t>i</w:t>
      </w:r>
      <w:r>
        <w:rPr>
          <w:spacing w:val="-1"/>
          <w:w w:val="100"/>
          <w:sz w:val="21"/>
        </w:rPr>
        <w:t>r</w:t>
      </w:r>
      <w:r>
        <w:rPr>
          <w:spacing w:val="-2"/>
          <w:w w:val="100"/>
          <w:sz w:val="21"/>
        </w:rPr>
        <w:t>t</w:t>
      </w:r>
      <w:r>
        <w:rPr>
          <w:spacing w:val="-3"/>
          <w:w w:val="100"/>
          <w:sz w:val="21"/>
        </w:rPr>
        <w:t>h</w:t>
      </w:r>
      <w:r>
        <w:rPr>
          <w:w w:val="100"/>
          <w:sz w:val="21"/>
        </w:rPr>
        <w:t>p</w:t>
      </w:r>
      <w:r>
        <w:rPr>
          <w:spacing w:val="-2"/>
          <w:w w:val="100"/>
          <w:sz w:val="21"/>
        </w:rPr>
        <w:t>l</w:t>
      </w:r>
      <w:r>
        <w:rPr>
          <w:w w:val="100"/>
          <w:sz w:val="21"/>
        </w:rPr>
        <w:t>ace</w:t>
      </w:r>
      <w:r>
        <w:rPr>
          <w:sz w:val="21"/>
        </w:rPr>
        <w:t> </w:t>
      </w:r>
      <w:r>
        <w:rPr>
          <w:w w:val="100"/>
          <w:sz w:val="21"/>
        </w:rPr>
        <w:t>i</w:t>
      </w:r>
      <w:r>
        <w:rPr>
          <w:w w:val="100"/>
          <w:sz w:val="21"/>
        </w:rPr>
        <w:t>s</w:t>
      </w:r>
      <w:r>
        <w:rPr>
          <w:sz w:val="21"/>
        </w:rPr>
        <w:t> </w:t>
      </w:r>
      <w:r>
        <w:rPr>
          <w:spacing w:val="-2"/>
          <w:w w:val="100"/>
          <w:sz w:val="21"/>
        </w:rPr>
        <w:t>i</w:t>
      </w:r>
      <w:r>
        <w:rPr>
          <w:w w:val="100"/>
          <w:sz w:val="21"/>
        </w:rPr>
        <w:t>n</w:t>
      </w:r>
      <w:r>
        <w:rPr>
          <w:sz w:val="21"/>
        </w:rPr>
        <w:t> </w:t>
      </w:r>
      <w:r>
        <w:rPr>
          <w:spacing w:val="-2"/>
          <w:w w:val="100"/>
          <w:sz w:val="21"/>
        </w:rPr>
        <w:t>t</w:t>
      </w:r>
      <w:r>
        <w:rPr>
          <w:w w:val="100"/>
          <w:sz w:val="21"/>
        </w:rPr>
        <w:t>he</w:t>
      </w:r>
      <w:r>
        <w:rPr>
          <w:sz w:val="21"/>
        </w:rPr>
        <w:t> </w:t>
      </w:r>
      <w:r>
        <w:rPr>
          <w:spacing w:val="-2"/>
          <w:w w:val="100"/>
          <w:sz w:val="21"/>
        </w:rPr>
        <w:t>w</w:t>
      </w:r>
      <w:r>
        <w:rPr>
          <w:w w:val="100"/>
          <w:sz w:val="21"/>
        </w:rPr>
        <w:t>est </w:t>
      </w:r>
      <w:r>
        <w:rPr>
          <w:sz w:val="21"/>
        </w:rPr>
        <w:t>of Sitakoop.‖</w:t>
      </w:r>
    </w:p>
    <w:p>
      <w:pPr>
        <w:pStyle w:val="BodyText"/>
        <w:spacing w:before="8"/>
        <w:rPr>
          <w:sz w:val="24"/>
        </w:rPr>
      </w:pPr>
    </w:p>
    <w:p>
      <w:pPr>
        <w:pStyle w:val="BodyText"/>
        <w:spacing w:line="480" w:lineRule="auto"/>
        <w:ind w:left="500" w:right="439"/>
        <w:jc w:val="both"/>
      </w:pPr>
      <w:r>
        <w:rPr/>
        <w:t>He explained that the distance from Sitakoop to the birth-place would be about two hundred steps.</w:t>
      </w:r>
    </w:p>
    <w:p>
      <w:pPr>
        <w:pStyle w:val="BodyText"/>
      </w:pPr>
    </w:p>
    <w:p>
      <w:pPr>
        <w:pStyle w:val="BodyText"/>
        <w:spacing w:line="480" w:lineRule="auto"/>
        <w:ind w:left="500" w:right="434"/>
        <w:jc w:val="both"/>
      </w:pPr>
      <w:r>
        <w:rPr/>
        <w:t>Both Dr Rajeev Dhavan and Mr Zafaryab Jilani contested the claim of the Hindus that the place under the central dome of the disputed structure represents the birth-place of Lord Ram. The evidence of the above witnesses was relied upon by Mr Jilani to submit that: (i) the scriptures do not contain a reference to the site called Ram Janmabhumi; (ii) there is no reference in the scriptures to the Ram Janmabhumi temple or the Janmasthan temple; and (iii) there is an absence of evidence that the place below the central dome was worshipped prior to 1950 by the Hindus as the birth place of Lord Ram. Mr Jilani submitted that after 1855, the Chabutra was being worshipped as the place of birth of Lord Ram, which belies the notion that the place below the central dome was believed to represent Lord Ram‘s birth-place.</w:t>
      </w:r>
    </w:p>
    <w:p>
      <w:pPr>
        <w:pStyle w:val="BodyText"/>
        <w:spacing w:before="1"/>
        <w:rPr>
          <w:sz w:val="39"/>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The Hindu witnesses to whom a reference has been made earlier have furnished statements of their faith and belief in the place under the central dome being the birth-place of Lord Ram. The witnesses explained the basis of</w:t>
      </w:r>
      <w:r>
        <w:rPr>
          <w:spacing w:val="33"/>
          <w:sz w:val="25"/>
        </w:rPr>
        <w:t> </w:t>
      </w:r>
      <w:r>
        <w:rPr>
          <w:sz w:val="25"/>
        </w:rPr>
        <w:t>their</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belief by interpreting the texts of the scriptures: the Ayodhya Mahatmya, Valmiki Ramayan and Ramacharitmanas. The cross-examination of the witnesses has not established any basis for the court to be led to the conclusion that the faith and belief of the Hindus, as portrayed through these witnesses is not genuine or that it is a mere pretence. Matters of faith and belief lie in the personal realm of the believer. That which sustains solace to the soul is inscrutable. Whether a belief is justified lies beyond ken of judicial inquiry. This is not a case where the witness statements indicate that the belief or faith is a veneer or that it is being put-forth merely as a strategy in a litigation. Once the witnesses have deposed to the basis of the belief and there is nothing to doubt its genuineness, it is not open to the court to question the basis of the belief. Scriptural interpretations are susceptible to a multitude of inferences. The court would do well not to step into the pulpit by adjudging which, if any, of competing interpretations should be accepted. Faith is a matter for the individual believer. Once the court has intrinsic material to accept that the faith or the belief is genuine and not a pretence, it  must defer to the belief of the worshipper. This, we must do well to recognise, applies across the spectrum of religions and their texts, Hinduism and Islam being among them. The value of a secular constitution lies in a tradition of equal deference.</w:t>
      </w:r>
    </w:p>
    <w:p>
      <w:pPr>
        <w:pStyle w:val="BodyText"/>
        <w:rPr>
          <w:sz w:val="39"/>
        </w:rPr>
      </w:pPr>
    </w:p>
    <w:p>
      <w:pPr>
        <w:pStyle w:val="ListParagraph"/>
        <w:numPr>
          <w:ilvl w:val="0"/>
          <w:numId w:val="166"/>
        </w:numPr>
        <w:tabs>
          <w:tab w:pos="1221" w:val="left" w:leader="none"/>
        </w:tabs>
        <w:spacing w:line="480" w:lineRule="auto" w:before="0" w:after="0"/>
        <w:ind w:left="500" w:right="442" w:firstLine="0"/>
        <w:jc w:val="both"/>
        <w:rPr>
          <w:sz w:val="25"/>
        </w:rPr>
      </w:pPr>
      <w:r>
        <w:rPr>
          <w:sz w:val="25"/>
        </w:rPr>
        <w:t>The fact that a belief and faith is held is however a matter which is distinct from the actual place where worship was offered. In deciding the latter, there has to be a careful evaluation of the evidentiary record. The evidentiary material in the present case consists among other things</w:t>
      </w:r>
      <w:r>
        <w:rPr>
          <w:spacing w:val="-5"/>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ListParagraph"/>
        <w:numPr>
          <w:ilvl w:val="0"/>
          <w:numId w:val="182"/>
        </w:numPr>
        <w:tabs>
          <w:tab w:pos="1220" w:val="left" w:leader="none"/>
          <w:tab w:pos="1221" w:val="left" w:leader="none"/>
        </w:tabs>
        <w:spacing w:line="240" w:lineRule="auto" w:before="124" w:after="0"/>
        <w:ind w:left="1220" w:right="0" w:hanging="721"/>
        <w:jc w:val="left"/>
        <w:rPr>
          <w:sz w:val="25"/>
        </w:rPr>
      </w:pPr>
      <w:r>
        <w:rPr>
          <w:sz w:val="25"/>
        </w:rPr>
        <w:t>Travelogues;</w:t>
      </w:r>
    </w:p>
    <w:p>
      <w:pPr>
        <w:pStyle w:val="BodyText"/>
      </w:pPr>
    </w:p>
    <w:p>
      <w:pPr>
        <w:pStyle w:val="ListParagraph"/>
        <w:numPr>
          <w:ilvl w:val="0"/>
          <w:numId w:val="182"/>
        </w:numPr>
        <w:tabs>
          <w:tab w:pos="1220" w:val="left" w:leader="none"/>
          <w:tab w:pos="1221" w:val="left" w:leader="none"/>
        </w:tabs>
        <w:spacing w:line="240" w:lineRule="auto" w:before="1" w:after="0"/>
        <w:ind w:left="1220" w:right="0" w:hanging="721"/>
        <w:jc w:val="left"/>
        <w:rPr>
          <w:sz w:val="25"/>
        </w:rPr>
      </w:pPr>
      <w:r>
        <w:rPr>
          <w:sz w:val="25"/>
        </w:rPr>
        <w:t>Gazetteers;</w:t>
      </w:r>
    </w:p>
    <w:p>
      <w:pPr>
        <w:pStyle w:val="BodyText"/>
        <w:spacing w:before="10"/>
        <w:rPr>
          <w:sz w:val="24"/>
        </w:rPr>
      </w:pPr>
    </w:p>
    <w:p>
      <w:pPr>
        <w:pStyle w:val="ListParagraph"/>
        <w:numPr>
          <w:ilvl w:val="0"/>
          <w:numId w:val="182"/>
        </w:numPr>
        <w:tabs>
          <w:tab w:pos="1220" w:val="left" w:leader="none"/>
          <w:tab w:pos="1221" w:val="left" w:leader="none"/>
        </w:tabs>
        <w:spacing w:line="480" w:lineRule="auto" w:before="0" w:after="0"/>
        <w:ind w:left="1220" w:right="446" w:hanging="720"/>
        <w:jc w:val="left"/>
        <w:rPr>
          <w:sz w:val="25"/>
        </w:rPr>
      </w:pPr>
      <w:r>
        <w:rPr>
          <w:sz w:val="25"/>
        </w:rPr>
        <w:t>The documentary record pertaining to the genesis of and the course which the disputes over the site in question followed;</w:t>
      </w:r>
      <w:r>
        <w:rPr>
          <w:spacing w:val="-5"/>
          <w:sz w:val="25"/>
        </w:rPr>
        <w:t> </w:t>
      </w:r>
      <w:r>
        <w:rPr>
          <w:sz w:val="25"/>
        </w:rPr>
        <w:t>and</w:t>
      </w:r>
    </w:p>
    <w:p>
      <w:pPr>
        <w:pStyle w:val="ListParagraph"/>
        <w:numPr>
          <w:ilvl w:val="0"/>
          <w:numId w:val="182"/>
        </w:numPr>
        <w:tabs>
          <w:tab w:pos="1220" w:val="left" w:leader="none"/>
          <w:tab w:pos="1221" w:val="left" w:leader="none"/>
        </w:tabs>
        <w:spacing w:line="287" w:lineRule="exact" w:before="0" w:after="0"/>
        <w:ind w:left="1220" w:right="0" w:hanging="721"/>
        <w:jc w:val="left"/>
        <w:rPr>
          <w:sz w:val="25"/>
        </w:rPr>
      </w:pPr>
      <w:r>
        <w:rPr>
          <w:sz w:val="25"/>
        </w:rPr>
        <w:t>Documentary material pertaining to the use of the three domed</w:t>
      </w:r>
      <w:r>
        <w:rPr>
          <w:spacing w:val="-11"/>
          <w:sz w:val="25"/>
        </w:rPr>
        <w:t> </w:t>
      </w:r>
      <w:r>
        <w:rPr>
          <w:sz w:val="25"/>
        </w:rPr>
        <w:t>structure.</w:t>
      </w:r>
    </w:p>
    <w:p>
      <w:pPr>
        <w:pStyle w:val="BodyText"/>
        <w:rPr>
          <w:sz w:val="28"/>
        </w:rPr>
      </w:pPr>
    </w:p>
    <w:p>
      <w:pPr>
        <w:pStyle w:val="BodyText"/>
        <w:spacing w:before="1"/>
        <w:rPr>
          <w:sz w:val="22"/>
        </w:rPr>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In dealing with this aspect of the case, we must confront a two-fold difficulty which the High Court perceived. The first facet of that difficulty pertains to scrutinising documentary evidence dealing with over five hundred years of history. The High Court gave expression to its difficulty in unravelling</w:t>
      </w:r>
      <w:r>
        <w:rPr>
          <w:spacing w:val="-18"/>
          <w:sz w:val="25"/>
        </w:rPr>
        <w:t> </w:t>
      </w:r>
      <w:r>
        <w:rPr>
          <w:sz w:val="25"/>
        </w:rPr>
        <w:t>history:</w:t>
      </w:r>
    </w:p>
    <w:p>
      <w:pPr>
        <w:spacing w:line="276" w:lineRule="auto" w:before="160"/>
        <w:ind w:left="1940" w:right="2261" w:firstLine="0"/>
        <w:jc w:val="both"/>
        <w:rPr>
          <w:sz w:val="21"/>
        </w:rPr>
      </w:pPr>
      <w:r>
        <w:rPr>
          <w:spacing w:val="-1"/>
          <w:w w:val="33"/>
          <w:sz w:val="21"/>
        </w:rPr>
        <w:t>―</w:t>
      </w:r>
      <w:r>
        <w:rPr>
          <w:spacing w:val="-1"/>
          <w:w w:val="100"/>
          <w:sz w:val="21"/>
        </w:rPr>
        <w:t>367</w:t>
      </w:r>
      <w:r>
        <w:rPr>
          <w:w w:val="100"/>
          <w:sz w:val="21"/>
        </w:rPr>
        <w:t>2.</w:t>
      </w:r>
      <w:r>
        <w:rPr>
          <w:sz w:val="21"/>
        </w:rPr>
        <w:t> </w:t>
      </w:r>
      <w:r>
        <w:rPr>
          <w:spacing w:val="-10"/>
          <w:sz w:val="21"/>
        </w:rPr>
        <w:t> </w:t>
      </w:r>
      <w:r>
        <w:rPr>
          <w:spacing w:val="4"/>
          <w:w w:val="100"/>
          <w:sz w:val="21"/>
        </w:rPr>
        <w:t>W</w:t>
      </w:r>
      <w:r>
        <w:rPr>
          <w:spacing w:val="-3"/>
          <w:w w:val="100"/>
          <w:sz w:val="21"/>
        </w:rPr>
        <w:t>h</w:t>
      </w:r>
      <w:r>
        <w:rPr>
          <w:spacing w:val="-1"/>
          <w:w w:val="100"/>
          <w:sz w:val="21"/>
        </w:rPr>
        <w:t>a</w:t>
      </w:r>
      <w:r>
        <w:rPr>
          <w:w w:val="100"/>
          <w:sz w:val="21"/>
        </w:rPr>
        <w:t>t</w:t>
      </w:r>
      <w:r>
        <w:rPr>
          <w:sz w:val="21"/>
        </w:rPr>
        <w:t> </w:t>
      </w:r>
      <w:r>
        <w:rPr>
          <w:spacing w:val="-5"/>
          <w:sz w:val="21"/>
        </w:rPr>
        <w:t> </w:t>
      </w:r>
      <w:r>
        <w:rPr>
          <w:spacing w:val="-2"/>
          <w:w w:val="100"/>
          <w:sz w:val="21"/>
        </w:rPr>
        <w:t>l</w:t>
      </w:r>
      <w:r>
        <w:rPr>
          <w:w w:val="100"/>
          <w:sz w:val="21"/>
        </w:rPr>
        <w:t>i</w:t>
      </w:r>
      <w:r>
        <w:rPr>
          <w:spacing w:val="-1"/>
          <w:w w:val="100"/>
          <w:sz w:val="21"/>
        </w:rPr>
        <w:t>e</w:t>
      </w:r>
      <w:r>
        <w:rPr>
          <w:w w:val="100"/>
          <w:sz w:val="21"/>
        </w:rPr>
        <w:t>s</w:t>
      </w:r>
      <w:r>
        <w:rPr>
          <w:sz w:val="21"/>
        </w:rPr>
        <w:t> </w:t>
      </w:r>
      <w:r>
        <w:rPr>
          <w:spacing w:val="-4"/>
          <w:sz w:val="21"/>
        </w:rPr>
        <w:t> </w:t>
      </w:r>
      <w:r>
        <w:rPr>
          <w:spacing w:val="-3"/>
          <w:w w:val="100"/>
          <w:sz w:val="21"/>
        </w:rPr>
        <w:t>u</w:t>
      </w:r>
      <w:r>
        <w:rPr>
          <w:spacing w:val="-1"/>
          <w:w w:val="100"/>
          <w:sz w:val="21"/>
        </w:rPr>
        <w:t>nde</w:t>
      </w:r>
      <w:r>
        <w:rPr>
          <w:spacing w:val="-3"/>
          <w:w w:val="100"/>
          <w:sz w:val="21"/>
        </w:rPr>
        <w:t>rn</w:t>
      </w:r>
      <w:r>
        <w:rPr>
          <w:spacing w:val="-1"/>
          <w:w w:val="100"/>
          <w:sz w:val="21"/>
        </w:rPr>
        <w:t>eath</w:t>
      </w:r>
      <w:r>
        <w:rPr>
          <w:w w:val="100"/>
          <w:sz w:val="21"/>
        </w:rPr>
        <w:t>?</w:t>
      </w:r>
      <w:r>
        <w:rPr>
          <w:sz w:val="21"/>
        </w:rPr>
        <w:t> </w:t>
      </w:r>
      <w:r>
        <w:rPr>
          <w:spacing w:val="-4"/>
          <w:sz w:val="21"/>
        </w:rPr>
        <w:t> </w:t>
      </w:r>
      <w:r>
        <w:rPr>
          <w:spacing w:val="-2"/>
          <w:w w:val="100"/>
          <w:sz w:val="21"/>
        </w:rPr>
        <w:t>T</w:t>
      </w:r>
      <w:r>
        <w:rPr>
          <w:spacing w:val="-1"/>
          <w:w w:val="100"/>
          <w:sz w:val="21"/>
        </w:rPr>
        <w:t>h</w:t>
      </w:r>
      <w:r>
        <w:rPr>
          <w:spacing w:val="-2"/>
          <w:w w:val="100"/>
          <w:sz w:val="21"/>
        </w:rPr>
        <w:t>i</w:t>
      </w:r>
      <w:r>
        <w:rPr>
          <w:w w:val="100"/>
          <w:sz w:val="21"/>
        </w:rPr>
        <w:t>s</w:t>
      </w:r>
      <w:r>
        <w:rPr>
          <w:sz w:val="21"/>
        </w:rPr>
        <w:t> </w:t>
      </w:r>
      <w:r>
        <w:rPr>
          <w:spacing w:val="-5"/>
          <w:sz w:val="21"/>
        </w:rPr>
        <w:t> </w:t>
      </w:r>
      <w:r>
        <w:rPr>
          <w:spacing w:val="-1"/>
          <w:w w:val="100"/>
          <w:sz w:val="21"/>
        </w:rPr>
        <w:t>q</w:t>
      </w:r>
      <w:r>
        <w:rPr>
          <w:spacing w:val="-3"/>
          <w:w w:val="100"/>
          <w:sz w:val="21"/>
        </w:rPr>
        <w:t>u</w:t>
      </w:r>
      <w:r>
        <w:rPr>
          <w:spacing w:val="-1"/>
          <w:w w:val="100"/>
          <w:sz w:val="21"/>
        </w:rPr>
        <w:t>est</w:t>
      </w:r>
      <w:r>
        <w:rPr>
          <w:w w:val="100"/>
          <w:sz w:val="21"/>
        </w:rPr>
        <w:t>i</w:t>
      </w:r>
      <w:r>
        <w:rPr>
          <w:spacing w:val="-3"/>
          <w:w w:val="100"/>
          <w:sz w:val="21"/>
        </w:rPr>
        <w:t>o</w:t>
      </w:r>
      <w:r>
        <w:rPr>
          <w:w w:val="100"/>
          <w:sz w:val="21"/>
        </w:rPr>
        <w:t>n</w:t>
      </w:r>
      <w:r>
        <w:rPr>
          <w:sz w:val="21"/>
        </w:rPr>
        <w:t> </w:t>
      </w:r>
      <w:r>
        <w:rPr>
          <w:spacing w:val="-4"/>
          <w:sz w:val="21"/>
        </w:rPr>
        <w:t> </w:t>
      </w:r>
      <w:r>
        <w:rPr>
          <w:w w:val="100"/>
          <w:sz w:val="21"/>
        </w:rPr>
        <w:t>is</w:t>
      </w:r>
      <w:r>
        <w:rPr>
          <w:sz w:val="21"/>
        </w:rPr>
        <w:t> </w:t>
      </w:r>
      <w:r>
        <w:rPr>
          <w:spacing w:val="-7"/>
          <w:sz w:val="21"/>
        </w:rPr>
        <w:t> </w:t>
      </w:r>
      <w:r>
        <w:rPr>
          <w:spacing w:val="-3"/>
          <w:w w:val="100"/>
          <w:sz w:val="21"/>
        </w:rPr>
        <w:t>o</w:t>
      </w:r>
      <w:r>
        <w:rPr>
          <w:w w:val="100"/>
          <w:sz w:val="21"/>
        </w:rPr>
        <w:t>f</w:t>
      </w:r>
      <w:r>
        <w:rPr>
          <w:sz w:val="21"/>
        </w:rPr>
        <w:t> </w:t>
      </w:r>
      <w:r>
        <w:rPr>
          <w:spacing w:val="-4"/>
          <w:sz w:val="21"/>
        </w:rPr>
        <w:t> </w:t>
      </w:r>
      <w:r>
        <w:rPr>
          <w:spacing w:val="-1"/>
          <w:w w:val="100"/>
          <w:sz w:val="21"/>
        </w:rPr>
        <w:t>extr</w:t>
      </w:r>
      <w:r>
        <w:rPr>
          <w:spacing w:val="-3"/>
          <w:w w:val="100"/>
          <w:sz w:val="21"/>
        </w:rPr>
        <w:t>e</w:t>
      </w:r>
      <w:r>
        <w:rPr>
          <w:spacing w:val="-1"/>
          <w:w w:val="100"/>
          <w:sz w:val="21"/>
        </w:rPr>
        <w:t>m</w:t>
      </w:r>
      <w:r>
        <w:rPr>
          <w:w w:val="100"/>
          <w:sz w:val="21"/>
        </w:rPr>
        <w:t>e </w:t>
      </w:r>
      <w:r>
        <w:rPr>
          <w:sz w:val="21"/>
        </w:rPr>
        <w:t>complication ranging in a period of more than 500 years‘ of history. No clear picture emerges from various history books… In fact, the contemporary record did not answer the issues, one or the other way, with certainty but some record, authored after about 200 years i.e., 18th Century, states about existence of temple, its demolition and the construction of the disputed building, while some well-known historians dispute it and some history books are</w:t>
      </w:r>
      <w:r>
        <w:rPr>
          <w:spacing w:val="-16"/>
          <w:sz w:val="21"/>
        </w:rPr>
        <w:t> </w:t>
      </w:r>
      <w:r>
        <w:rPr>
          <w:sz w:val="21"/>
        </w:rPr>
        <w:t>silent.‖</w:t>
      </w:r>
    </w:p>
    <w:p>
      <w:pPr>
        <w:pStyle w:val="BodyText"/>
        <w:rPr>
          <w:sz w:val="24"/>
        </w:rPr>
      </w:pPr>
    </w:p>
    <w:p>
      <w:pPr>
        <w:pStyle w:val="BodyText"/>
        <w:spacing w:before="11"/>
      </w:pPr>
    </w:p>
    <w:p>
      <w:pPr>
        <w:pStyle w:val="BodyText"/>
        <w:spacing w:line="480" w:lineRule="auto"/>
        <w:ind w:left="500" w:right="437"/>
        <w:jc w:val="both"/>
      </w:pPr>
      <w:r>
        <w:rPr/>
        <w:t>In another segment of its judgment, the High Court underscored: (i) the religious importance of Ayodhya; and (ii) its significance for Vaishnavites. While dealing with the unquestioned belief that Lord Ram was born at Ayodhya, the High Court encountered another difficulty. This related to the attempt to link the birth-place of Lord Ram, as reflected in the scriptures, with an identified spot in the evidentiary record.</w:t>
      </w:r>
    </w:p>
    <w:p>
      <w:pPr>
        <w:pStyle w:val="BodyText"/>
        <w:spacing w:before="2"/>
      </w:pPr>
    </w:p>
    <w:p>
      <w:pPr>
        <w:pStyle w:val="BodyText"/>
        <w:spacing w:line="480" w:lineRule="auto"/>
        <w:ind w:left="500" w:right="443"/>
        <w:jc w:val="both"/>
      </w:pPr>
      <w:r>
        <w:rPr/>
        <w:t>The High Court alluded to the fact that the scriptures do not identify any particular place in Ayodhya as the place of birth. The interpretation placed by the Hindu witnesses particularly on Valmiki Ramayan and Ayodhya Mahatmya has been</w:t>
      </w:r>
    </w:p>
    <w:p>
      <w:pPr>
        <w:spacing w:after="0" w:line="480" w:lineRule="auto"/>
        <w:jc w:val="both"/>
        <w:sectPr>
          <w:pgSz w:w="11910" w:h="16840"/>
          <w:pgMar w:header="721" w:footer="1014" w:top="1300" w:bottom="1200" w:left="940" w:right="1000"/>
        </w:sectPr>
      </w:pPr>
    </w:p>
    <w:p>
      <w:pPr>
        <w:pStyle w:val="BodyText"/>
        <w:spacing w:before="124"/>
        <w:ind w:left="500"/>
        <w:jc w:val="both"/>
      </w:pPr>
      <w:r>
        <w:rPr/>
        <w:t>adverted to earlier. The High Court was of the view that in the absence of a</w:t>
      </w:r>
    </w:p>
    <w:p>
      <w:pPr>
        <w:pStyle w:val="BodyText"/>
      </w:pPr>
    </w:p>
    <w:p>
      <w:pPr>
        <w:pStyle w:val="BodyText"/>
        <w:spacing w:line="480" w:lineRule="auto" w:before="1"/>
        <w:ind w:left="500" w:right="441"/>
        <w:jc w:val="both"/>
      </w:pPr>
      <w:r>
        <w:rPr/>
        <w:t>‗specific designated‘ site in Ayodhya as the birth-place of Lord Ram, it was difficult to enter a precise finding by retracing history and linking religious belief to the situation on the ground. This emerges from the following extract from the judgment of Justice Sudhir Agarwal:</w:t>
      </w:r>
    </w:p>
    <w:p>
      <w:pPr>
        <w:spacing w:line="276" w:lineRule="auto" w:before="157"/>
        <w:ind w:left="1940" w:right="2260" w:firstLine="0"/>
        <w:jc w:val="both"/>
        <w:rPr>
          <w:sz w:val="21"/>
        </w:rPr>
      </w:pPr>
      <w:r>
        <w:rPr>
          <w:spacing w:val="-1"/>
          <w:w w:val="33"/>
          <w:sz w:val="21"/>
        </w:rPr>
        <w:t>―</w:t>
      </w:r>
      <w:r>
        <w:rPr>
          <w:w w:val="100"/>
          <w:sz w:val="21"/>
        </w:rPr>
        <w:t>To</w:t>
      </w:r>
      <w:r>
        <w:rPr>
          <w:sz w:val="21"/>
        </w:rPr>
        <w:t> </w:t>
      </w:r>
      <w:r>
        <w:rPr>
          <w:spacing w:val="25"/>
          <w:sz w:val="21"/>
        </w:rPr>
        <w:t> </w:t>
      </w:r>
      <w:r>
        <w:rPr>
          <w:spacing w:val="-3"/>
          <w:w w:val="100"/>
          <w:sz w:val="21"/>
        </w:rPr>
        <w:t>o</w:t>
      </w:r>
      <w:r>
        <w:rPr>
          <w:spacing w:val="-1"/>
          <w:w w:val="100"/>
          <w:sz w:val="21"/>
        </w:rPr>
        <w:t>u</w:t>
      </w:r>
      <w:r>
        <w:rPr>
          <w:w w:val="100"/>
          <w:sz w:val="21"/>
        </w:rPr>
        <w:t>r</w:t>
      </w:r>
      <w:r>
        <w:rPr>
          <w:sz w:val="21"/>
        </w:rPr>
        <w:t> </w:t>
      </w:r>
      <w:r>
        <w:rPr>
          <w:spacing w:val="21"/>
          <w:sz w:val="21"/>
        </w:rPr>
        <w:t> </w:t>
      </w:r>
      <w:r>
        <w:rPr>
          <w:spacing w:val="-1"/>
          <w:w w:val="100"/>
          <w:sz w:val="21"/>
        </w:rPr>
        <w:t>m</w:t>
      </w:r>
      <w:r>
        <w:rPr>
          <w:w w:val="100"/>
          <w:sz w:val="21"/>
        </w:rPr>
        <w:t>i</w:t>
      </w:r>
      <w:r>
        <w:rPr>
          <w:spacing w:val="-1"/>
          <w:w w:val="100"/>
          <w:sz w:val="21"/>
        </w:rPr>
        <w:t>n</w:t>
      </w:r>
      <w:r>
        <w:rPr>
          <w:w w:val="100"/>
          <w:sz w:val="21"/>
        </w:rPr>
        <w:t>d</w:t>
      </w:r>
      <w:r>
        <w:rPr>
          <w:sz w:val="21"/>
        </w:rPr>
        <w:t> </w:t>
      </w:r>
      <w:r>
        <w:rPr>
          <w:spacing w:val="22"/>
          <w:sz w:val="21"/>
        </w:rPr>
        <w:t> </w:t>
      </w:r>
      <w:r>
        <w:rPr>
          <w:spacing w:val="-2"/>
          <w:w w:val="100"/>
          <w:sz w:val="21"/>
        </w:rPr>
        <w:t>i</w:t>
      </w:r>
      <w:r>
        <w:rPr>
          <w:spacing w:val="-1"/>
          <w:w w:val="100"/>
          <w:sz w:val="21"/>
        </w:rPr>
        <w:t>nste</w:t>
      </w:r>
      <w:r>
        <w:rPr>
          <w:spacing w:val="-3"/>
          <w:w w:val="100"/>
          <w:sz w:val="21"/>
        </w:rPr>
        <w:t>a</w:t>
      </w:r>
      <w:r>
        <w:rPr>
          <w:w w:val="100"/>
          <w:sz w:val="21"/>
        </w:rPr>
        <w:t>d</w:t>
      </w:r>
      <w:r>
        <w:rPr>
          <w:sz w:val="21"/>
        </w:rPr>
        <w:t> </w:t>
      </w:r>
      <w:r>
        <w:rPr>
          <w:spacing w:val="24"/>
          <w:sz w:val="21"/>
        </w:rPr>
        <w:t> </w:t>
      </w:r>
      <w:r>
        <w:rPr>
          <w:spacing w:val="-3"/>
          <w:w w:val="100"/>
          <w:sz w:val="21"/>
        </w:rPr>
        <w:t>o</w:t>
      </w:r>
      <w:r>
        <w:rPr>
          <w:w w:val="100"/>
          <w:sz w:val="21"/>
        </w:rPr>
        <w:t>f</w:t>
      </w:r>
      <w:r>
        <w:rPr>
          <w:sz w:val="21"/>
        </w:rPr>
        <w:t> </w:t>
      </w:r>
      <w:r>
        <w:rPr>
          <w:spacing w:val="25"/>
          <w:sz w:val="21"/>
        </w:rPr>
        <w:t> </w:t>
      </w:r>
      <w:r>
        <w:rPr>
          <w:spacing w:val="-3"/>
          <w:w w:val="100"/>
          <w:sz w:val="21"/>
        </w:rPr>
        <w:t>p</w:t>
      </w:r>
      <w:r>
        <w:rPr>
          <w:spacing w:val="-1"/>
          <w:w w:val="100"/>
          <w:sz w:val="21"/>
        </w:rPr>
        <w:t>u</w:t>
      </w:r>
      <w:r>
        <w:rPr>
          <w:spacing w:val="-3"/>
          <w:w w:val="100"/>
          <w:sz w:val="21"/>
        </w:rPr>
        <w:t>zz</w:t>
      </w:r>
      <w:r>
        <w:rPr>
          <w:w w:val="100"/>
          <w:sz w:val="21"/>
        </w:rPr>
        <w:t>li</w:t>
      </w:r>
      <w:r>
        <w:rPr>
          <w:spacing w:val="-1"/>
          <w:w w:val="100"/>
          <w:sz w:val="21"/>
        </w:rPr>
        <w:t>n</w:t>
      </w:r>
      <w:r>
        <w:rPr>
          <w:w w:val="100"/>
          <w:sz w:val="21"/>
        </w:rPr>
        <w:t>g</w:t>
      </w:r>
      <w:r>
        <w:rPr>
          <w:sz w:val="21"/>
        </w:rPr>
        <w:t> </w:t>
      </w:r>
      <w:r>
        <w:rPr>
          <w:spacing w:val="22"/>
          <w:sz w:val="21"/>
        </w:rPr>
        <w:t> </w:t>
      </w:r>
      <w:r>
        <w:rPr>
          <w:spacing w:val="-1"/>
          <w:w w:val="100"/>
          <w:sz w:val="21"/>
        </w:rPr>
        <w:t>our</w:t>
      </w:r>
      <w:r>
        <w:rPr>
          <w:spacing w:val="-3"/>
          <w:w w:val="100"/>
          <w:sz w:val="21"/>
        </w:rPr>
        <w:t>s</w:t>
      </w:r>
      <w:r>
        <w:rPr>
          <w:spacing w:val="-1"/>
          <w:w w:val="100"/>
          <w:sz w:val="21"/>
        </w:rPr>
        <w:t>e</w:t>
      </w:r>
      <w:r>
        <w:rPr>
          <w:spacing w:val="1"/>
          <w:w w:val="100"/>
          <w:sz w:val="21"/>
        </w:rPr>
        <w:t>l</w:t>
      </w:r>
      <w:r>
        <w:rPr>
          <w:spacing w:val="-3"/>
          <w:w w:val="100"/>
          <w:sz w:val="21"/>
        </w:rPr>
        <w:t>v</w:t>
      </w:r>
      <w:r>
        <w:rPr>
          <w:spacing w:val="-1"/>
          <w:w w:val="100"/>
          <w:sz w:val="21"/>
        </w:rPr>
        <w:t>e</w:t>
      </w:r>
      <w:r>
        <w:rPr>
          <w:w w:val="100"/>
          <w:sz w:val="21"/>
        </w:rPr>
        <w:t>s</w:t>
      </w:r>
      <w:r>
        <w:rPr>
          <w:sz w:val="21"/>
        </w:rPr>
        <w:t> </w:t>
      </w:r>
      <w:r>
        <w:rPr>
          <w:spacing w:val="22"/>
          <w:sz w:val="21"/>
        </w:rPr>
        <w:t> </w:t>
      </w:r>
      <w:r>
        <w:rPr>
          <w:w w:val="100"/>
          <w:sz w:val="21"/>
        </w:rPr>
        <w:t>in</w:t>
      </w:r>
      <w:r>
        <w:rPr>
          <w:sz w:val="21"/>
        </w:rPr>
        <w:t> </w:t>
      </w:r>
      <w:r>
        <w:rPr>
          <w:spacing w:val="19"/>
          <w:sz w:val="21"/>
        </w:rPr>
        <w:t> </w:t>
      </w:r>
      <w:r>
        <w:rPr>
          <w:w w:val="100"/>
          <w:sz w:val="21"/>
        </w:rPr>
        <w:t>so</w:t>
      </w:r>
      <w:r>
        <w:rPr>
          <w:sz w:val="21"/>
        </w:rPr>
        <w:t> </w:t>
      </w:r>
      <w:r>
        <w:rPr>
          <w:spacing w:val="22"/>
          <w:sz w:val="21"/>
        </w:rPr>
        <w:t> </w:t>
      </w:r>
      <w:r>
        <w:rPr>
          <w:spacing w:val="1"/>
          <w:w w:val="100"/>
          <w:sz w:val="21"/>
        </w:rPr>
        <w:t>m</w:t>
      </w:r>
      <w:r>
        <w:rPr>
          <w:spacing w:val="-3"/>
          <w:w w:val="100"/>
          <w:sz w:val="21"/>
        </w:rPr>
        <w:t>u</w:t>
      </w:r>
      <w:r>
        <w:rPr>
          <w:w w:val="100"/>
          <w:sz w:val="21"/>
        </w:rPr>
        <w:t>ch </w:t>
      </w:r>
      <w:r>
        <w:rPr>
          <w:sz w:val="21"/>
        </w:rPr>
        <w:t>literature etc., certain aspects which emerge from whatever we have mentioned above may be summarised which probably may give some idea as to how the questions are to be answered. The antiquity of Ayodhya is not disputed. It is also not disputed that Ayodhya is known as the principal place of religion and mainly concerned with Vaishnavites, i.e., the followers of Lord Rama. Lord Rama was born at Ayodhya and ruled there. </w:t>
      </w:r>
      <w:r>
        <w:rPr>
          <w:b/>
          <w:sz w:val="21"/>
        </w:rPr>
        <w:t>The religious texts like Valmiki Ramayan and Ramcharitmanas of Goswami Tulsidas and others like Skandpuran etc. mention that Lord Rama was born at Ayodhya and it is his place of birth but do not identify any particular place in Ayodhya which can be said to be his place of birth. </w:t>
      </w:r>
      <w:r>
        <w:rPr>
          <w:sz w:val="21"/>
        </w:rPr>
        <w:t>On the one hand we do not get any idea about the exact place or site but simultaneously we can reasonably assume that once it is not disputed that Lord Rama was born at Ayodhya there must be a place which could be narrowed down at the site of his place of birth. It is true that a search of a place of birth after long time even today may not be very easy if one tried to find out in this regard just three or four generations back. Therefore,…such kind of inquiry in a matter of such an antiquity is almost impossible. But when a dispute in such a manner is raised then we go by the well accepted principle in law of evidence particularly as applicable in civil cases, i.e., preponderance of probability.‖</w:t>
      </w:r>
    </w:p>
    <w:p>
      <w:pPr>
        <w:spacing w:before="2"/>
        <w:ind w:left="5798" w:right="0" w:firstLine="0"/>
        <w:jc w:val="left"/>
        <w:rPr>
          <w:sz w:val="21"/>
        </w:rPr>
      </w:pPr>
      <w:r>
        <w:rPr>
          <w:sz w:val="21"/>
        </w:rPr>
        <w:t>(Emphasis supplied)</w:t>
      </w:r>
    </w:p>
    <w:p>
      <w:pPr>
        <w:pStyle w:val="BodyText"/>
        <w:rPr>
          <w:sz w:val="24"/>
        </w:rPr>
      </w:pPr>
    </w:p>
    <w:p>
      <w:pPr>
        <w:pStyle w:val="BodyText"/>
        <w:spacing w:before="4"/>
        <w:rPr>
          <w:sz w:val="28"/>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There are severe limitations in applying the test of a balance or preponderance of probabilities in situations like the present where faith is founded in aural traditions as much as in written text, where belief is nurtured by religion as much as by mythology and cultural traditions borne in epics, music and</w:t>
      </w:r>
      <w:r>
        <w:rPr>
          <w:spacing w:val="19"/>
          <w:sz w:val="25"/>
        </w:rPr>
        <w:t> </w:t>
      </w:r>
      <w:r>
        <w:rPr>
          <w:sz w:val="25"/>
        </w:rPr>
        <w:t>celebrations</w:t>
      </w:r>
      <w:r>
        <w:rPr>
          <w:spacing w:val="19"/>
          <w:sz w:val="25"/>
        </w:rPr>
        <w:t> </w:t>
      </w:r>
      <w:r>
        <w:rPr>
          <w:sz w:val="25"/>
        </w:rPr>
        <w:t>of</w:t>
      </w:r>
      <w:r>
        <w:rPr>
          <w:spacing w:val="22"/>
          <w:sz w:val="25"/>
        </w:rPr>
        <w:t> </w:t>
      </w:r>
      <w:r>
        <w:rPr>
          <w:sz w:val="25"/>
        </w:rPr>
        <w:t>festival</w:t>
      </w:r>
      <w:r>
        <w:rPr>
          <w:spacing w:val="20"/>
          <w:sz w:val="25"/>
        </w:rPr>
        <w:t> </w:t>
      </w:r>
      <w:r>
        <w:rPr>
          <w:sz w:val="25"/>
        </w:rPr>
        <w:t>provide</w:t>
      </w:r>
      <w:r>
        <w:rPr>
          <w:spacing w:val="20"/>
          <w:sz w:val="25"/>
        </w:rPr>
        <w:t> </w:t>
      </w:r>
      <w:r>
        <w:rPr>
          <w:sz w:val="25"/>
        </w:rPr>
        <w:t>balm</w:t>
      </w:r>
      <w:r>
        <w:rPr>
          <w:spacing w:val="21"/>
          <w:sz w:val="25"/>
        </w:rPr>
        <w:t> </w:t>
      </w:r>
      <w:r>
        <w:rPr>
          <w:sz w:val="25"/>
        </w:rPr>
        <w:t>to</w:t>
      </w:r>
      <w:r>
        <w:rPr>
          <w:spacing w:val="22"/>
          <w:sz w:val="25"/>
        </w:rPr>
        <w:t> </w:t>
      </w:r>
      <w:r>
        <w:rPr>
          <w:sz w:val="25"/>
        </w:rPr>
        <w:t>the</w:t>
      </w:r>
      <w:r>
        <w:rPr>
          <w:spacing w:val="20"/>
          <w:sz w:val="25"/>
        </w:rPr>
        <w:t> </w:t>
      </w:r>
      <w:r>
        <w:rPr>
          <w:sz w:val="25"/>
        </w:rPr>
        <w:t>soul</w:t>
      </w:r>
      <w:r>
        <w:rPr>
          <w:spacing w:val="20"/>
          <w:sz w:val="25"/>
        </w:rPr>
        <w:t> </w:t>
      </w:r>
      <w:r>
        <w:rPr>
          <w:sz w:val="25"/>
        </w:rPr>
        <w:t>of</w:t>
      </w:r>
      <w:r>
        <w:rPr>
          <w:spacing w:val="20"/>
          <w:sz w:val="25"/>
        </w:rPr>
        <w:t> </w:t>
      </w:r>
      <w:r>
        <w:rPr>
          <w:sz w:val="25"/>
        </w:rPr>
        <w:t>the</w:t>
      </w:r>
      <w:r>
        <w:rPr>
          <w:spacing w:val="20"/>
          <w:sz w:val="25"/>
        </w:rPr>
        <w:t> </w:t>
      </w:r>
      <w:r>
        <w:rPr>
          <w:sz w:val="25"/>
        </w:rPr>
        <w:t>believer.</w:t>
      </w:r>
      <w:r>
        <w:rPr>
          <w:spacing w:val="20"/>
          <w:sz w:val="25"/>
        </w:rPr>
        <w:t> </w:t>
      </w:r>
      <w:r>
        <w:rPr>
          <w:sz w:val="25"/>
        </w:rPr>
        <w:t>Bearing</w:t>
      </w:r>
      <w:r>
        <w:rPr>
          <w:spacing w:val="20"/>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512"/>
      </w:pPr>
      <w:r>
        <w:rPr/>
        <w:t>difficulties which the High Court has expressed in mind, it is now necessary to analyse in further detail various threads of the documentary material.</w:t>
      </w:r>
    </w:p>
    <w:p>
      <w:pPr>
        <w:pStyle w:val="BodyText"/>
        <w:spacing w:before="9"/>
        <w:rPr>
          <w:sz w:val="38"/>
        </w:rPr>
      </w:pPr>
    </w:p>
    <w:p>
      <w:pPr>
        <w:pStyle w:val="ListParagraph"/>
        <w:numPr>
          <w:ilvl w:val="0"/>
          <w:numId w:val="166"/>
        </w:numPr>
        <w:tabs>
          <w:tab w:pos="1221" w:val="left" w:leader="none"/>
        </w:tabs>
        <w:spacing w:line="480" w:lineRule="auto" w:before="0" w:after="0"/>
        <w:ind w:left="500" w:right="436" w:firstLine="0"/>
        <w:jc w:val="both"/>
        <w:rPr>
          <w:sz w:val="25"/>
        </w:rPr>
      </w:pPr>
      <w:r>
        <w:rPr>
          <w:spacing w:val="6"/>
          <w:w w:val="99"/>
          <w:sz w:val="25"/>
        </w:rPr>
        <w:t>W</w:t>
      </w:r>
      <w:r>
        <w:rPr>
          <w:w w:val="99"/>
          <w:sz w:val="25"/>
        </w:rPr>
        <w:t>e</w:t>
      </w:r>
      <w:r>
        <w:rPr>
          <w:sz w:val="25"/>
        </w:rPr>
        <w:t> </w:t>
      </w:r>
      <w:r>
        <w:rPr>
          <w:spacing w:val="-7"/>
          <w:sz w:val="25"/>
        </w:rPr>
        <w:t> </w:t>
      </w:r>
      <w:r>
        <w:rPr>
          <w:spacing w:val="-1"/>
          <w:w w:val="99"/>
          <w:sz w:val="25"/>
        </w:rPr>
        <w:t>h</w:t>
      </w:r>
      <w:r>
        <w:rPr>
          <w:w w:val="99"/>
          <w:sz w:val="25"/>
        </w:rPr>
        <w:t>a</w:t>
      </w:r>
      <w:r>
        <w:rPr>
          <w:spacing w:val="-3"/>
          <w:w w:val="99"/>
          <w:sz w:val="25"/>
        </w:rPr>
        <w:t>v</w:t>
      </w:r>
      <w:r>
        <w:rPr>
          <w:spacing w:val="-1"/>
          <w:w w:val="99"/>
          <w:sz w:val="25"/>
        </w:rPr>
        <w:t>e</w:t>
      </w:r>
      <w:r>
        <w:rPr>
          <w:w w:val="99"/>
          <w:sz w:val="25"/>
        </w:rPr>
        <w:t>,</w:t>
      </w:r>
      <w:r>
        <w:rPr>
          <w:sz w:val="25"/>
        </w:rPr>
        <w:t> </w:t>
      </w:r>
      <w:r>
        <w:rPr>
          <w:spacing w:val="-2"/>
          <w:sz w:val="25"/>
        </w:rPr>
        <w:t> </w:t>
      </w:r>
      <w:r>
        <w:rPr>
          <w:spacing w:val="-1"/>
          <w:w w:val="99"/>
          <w:sz w:val="25"/>
        </w:rPr>
        <w:t>o</w:t>
      </w:r>
      <w:r>
        <w:rPr>
          <w:w w:val="99"/>
          <w:sz w:val="25"/>
        </w:rPr>
        <w:t>n</w:t>
      </w:r>
      <w:r>
        <w:rPr>
          <w:sz w:val="25"/>
        </w:rPr>
        <w:t> </w:t>
      </w:r>
      <w:r>
        <w:rPr>
          <w:spacing w:val="-2"/>
          <w:sz w:val="25"/>
        </w:rPr>
        <w:t> </w:t>
      </w:r>
      <w:r>
        <w:rPr>
          <w:w w:val="99"/>
          <w:sz w:val="25"/>
        </w:rPr>
        <w:t>the</w:t>
      </w:r>
      <w:r>
        <w:rPr>
          <w:sz w:val="25"/>
        </w:rPr>
        <w:t> </w:t>
      </w:r>
      <w:r>
        <w:rPr>
          <w:spacing w:val="-2"/>
          <w:sz w:val="25"/>
        </w:rPr>
        <w:t> </w:t>
      </w:r>
      <w:r>
        <w:rPr>
          <w:spacing w:val="-3"/>
          <w:w w:val="99"/>
          <w:sz w:val="25"/>
        </w:rPr>
        <w:t>on</w:t>
      </w:r>
      <w:r>
        <w:rPr>
          <w:w w:val="99"/>
          <w:sz w:val="25"/>
        </w:rPr>
        <w:t>e</w:t>
      </w:r>
      <w:r>
        <w:rPr>
          <w:sz w:val="25"/>
        </w:rPr>
        <w:t> </w:t>
      </w:r>
      <w:r>
        <w:rPr>
          <w:spacing w:val="-2"/>
          <w:sz w:val="25"/>
        </w:rPr>
        <w:t> </w:t>
      </w:r>
      <w:r>
        <w:rPr>
          <w:spacing w:val="-1"/>
          <w:w w:val="99"/>
          <w:sz w:val="25"/>
        </w:rPr>
        <w:t>h</w:t>
      </w:r>
      <w:r>
        <w:rPr>
          <w:w w:val="99"/>
          <w:sz w:val="25"/>
        </w:rPr>
        <w:t>a</w:t>
      </w:r>
      <w:r>
        <w:rPr>
          <w:spacing w:val="-1"/>
          <w:w w:val="99"/>
          <w:sz w:val="25"/>
        </w:rPr>
        <w:t>n</w:t>
      </w:r>
      <w:r>
        <w:rPr>
          <w:w w:val="99"/>
          <w:sz w:val="25"/>
        </w:rPr>
        <w:t>d,</w:t>
      </w:r>
      <w:r>
        <w:rPr>
          <w:sz w:val="25"/>
        </w:rPr>
        <w:t> </w:t>
      </w:r>
      <w:r>
        <w:rPr>
          <w:spacing w:val="-3"/>
          <w:sz w:val="25"/>
        </w:rPr>
        <w:t> </w:t>
      </w:r>
      <w:r>
        <w:rPr>
          <w:spacing w:val="-1"/>
          <w:w w:val="99"/>
          <w:sz w:val="25"/>
        </w:rPr>
        <w:t>Ab</w:t>
      </w:r>
      <w:r>
        <w:rPr>
          <w:w w:val="99"/>
          <w:sz w:val="25"/>
        </w:rPr>
        <w:t>ul</w:t>
      </w:r>
      <w:r>
        <w:rPr>
          <w:sz w:val="25"/>
        </w:rPr>
        <w:t> </w:t>
      </w:r>
      <w:r>
        <w:rPr>
          <w:spacing w:val="-3"/>
          <w:sz w:val="25"/>
        </w:rPr>
        <w:t> </w:t>
      </w:r>
      <w:r>
        <w:rPr>
          <w:w w:val="99"/>
          <w:sz w:val="25"/>
        </w:rPr>
        <w:t>F</w:t>
      </w:r>
      <w:r>
        <w:rPr>
          <w:spacing w:val="-1"/>
          <w:w w:val="99"/>
          <w:sz w:val="25"/>
        </w:rPr>
        <w:t>az</w:t>
      </w:r>
      <w:r>
        <w:rPr>
          <w:w w:val="99"/>
          <w:sz w:val="25"/>
        </w:rPr>
        <w:t>a</w:t>
      </w:r>
      <w:r>
        <w:rPr>
          <w:spacing w:val="-1"/>
          <w:w w:val="99"/>
          <w:sz w:val="25"/>
        </w:rPr>
        <w:t>l</w:t>
      </w:r>
      <w:r>
        <w:rPr>
          <w:spacing w:val="-3"/>
          <w:w w:val="99"/>
          <w:sz w:val="25"/>
        </w:rPr>
        <w:t>‘</w:t>
      </w:r>
      <w:r>
        <w:rPr>
          <w:w w:val="99"/>
          <w:sz w:val="25"/>
        </w:rPr>
        <w:t>s</w:t>
      </w:r>
      <w:r>
        <w:rPr>
          <w:sz w:val="25"/>
        </w:rPr>
        <w:t> </w:t>
      </w:r>
      <w:r>
        <w:rPr>
          <w:spacing w:val="-3"/>
          <w:sz w:val="25"/>
        </w:rPr>
        <w:t> </w:t>
      </w:r>
      <w:r>
        <w:rPr>
          <w:spacing w:val="10"/>
          <w:w w:val="40"/>
          <w:sz w:val="25"/>
        </w:rPr>
        <w:t>‗</w:t>
      </w:r>
      <w:r>
        <w:rPr>
          <w:b/>
          <w:spacing w:val="-8"/>
          <w:w w:val="99"/>
          <w:sz w:val="25"/>
        </w:rPr>
        <w:t>A</w:t>
      </w:r>
      <w:r>
        <w:rPr>
          <w:b/>
          <w:w w:val="99"/>
          <w:sz w:val="25"/>
        </w:rPr>
        <w:t>i</w:t>
      </w:r>
      <w:r>
        <w:rPr>
          <w:b/>
          <w:spacing w:val="1"/>
          <w:w w:val="99"/>
          <w:sz w:val="25"/>
        </w:rPr>
        <w:t>n</w:t>
      </w:r>
      <w:r>
        <w:rPr>
          <w:b/>
          <w:w w:val="99"/>
          <w:sz w:val="25"/>
        </w:rPr>
        <w:t>-</w:t>
      </w:r>
      <w:r>
        <w:rPr>
          <w:b/>
          <w:w w:val="99"/>
          <w:sz w:val="25"/>
        </w:rPr>
        <w:t>e</w:t>
      </w:r>
      <w:r>
        <w:rPr>
          <w:b/>
          <w:spacing w:val="5"/>
          <w:w w:val="99"/>
          <w:sz w:val="25"/>
        </w:rPr>
        <w:t>-</w:t>
      </w:r>
      <w:r>
        <w:rPr>
          <w:b/>
          <w:spacing w:val="-8"/>
          <w:w w:val="99"/>
          <w:sz w:val="25"/>
        </w:rPr>
        <w:t>A</w:t>
      </w:r>
      <w:r>
        <w:rPr>
          <w:b/>
          <w:w w:val="99"/>
          <w:sz w:val="25"/>
        </w:rPr>
        <w:t>k</w:t>
      </w:r>
      <w:r>
        <w:rPr>
          <w:b/>
          <w:spacing w:val="1"/>
          <w:w w:val="99"/>
          <w:sz w:val="25"/>
        </w:rPr>
        <w:t>b</w:t>
      </w:r>
      <w:r>
        <w:rPr>
          <w:b/>
          <w:w w:val="99"/>
          <w:sz w:val="25"/>
        </w:rPr>
        <w:t>ar</w:t>
      </w:r>
      <w:r>
        <w:rPr>
          <w:b/>
          <w:spacing w:val="-1"/>
          <w:w w:val="99"/>
          <w:sz w:val="25"/>
        </w:rPr>
        <w:t>i</w:t>
      </w:r>
      <w:r>
        <w:rPr>
          <w:spacing w:val="-1"/>
          <w:w w:val="99"/>
          <w:sz w:val="25"/>
        </w:rPr>
        <w:t>‘</w:t>
      </w:r>
      <w:r>
        <w:rPr>
          <w:w w:val="99"/>
          <w:sz w:val="25"/>
        </w:rPr>
        <w:t>.</w:t>
      </w:r>
      <w:r>
        <w:rPr>
          <w:sz w:val="25"/>
        </w:rPr>
        <w:t> </w:t>
      </w:r>
      <w:r>
        <w:rPr>
          <w:spacing w:val="-3"/>
          <w:sz w:val="25"/>
        </w:rPr>
        <w:t> </w:t>
      </w:r>
      <w:r>
        <w:rPr>
          <w:spacing w:val="-1"/>
          <w:w w:val="99"/>
          <w:sz w:val="25"/>
        </w:rPr>
        <w:t>Co</w:t>
      </w:r>
      <w:r>
        <w:rPr>
          <w:spacing w:val="2"/>
          <w:w w:val="99"/>
          <w:sz w:val="25"/>
        </w:rPr>
        <w:t>l</w:t>
      </w:r>
      <w:r>
        <w:rPr>
          <w:spacing w:val="-1"/>
          <w:w w:val="99"/>
          <w:sz w:val="25"/>
        </w:rPr>
        <w:t>o</w:t>
      </w:r>
      <w:r>
        <w:rPr>
          <w:w w:val="99"/>
          <w:sz w:val="25"/>
        </w:rPr>
        <w:t>n</w:t>
      </w:r>
      <w:r>
        <w:rPr>
          <w:spacing w:val="-1"/>
          <w:w w:val="99"/>
          <w:sz w:val="25"/>
        </w:rPr>
        <w:t>e</w:t>
      </w:r>
      <w:r>
        <w:rPr>
          <w:w w:val="99"/>
          <w:sz w:val="25"/>
        </w:rPr>
        <w:t>l</w:t>
      </w:r>
      <w:r>
        <w:rPr>
          <w:sz w:val="25"/>
        </w:rPr>
        <w:t> </w:t>
      </w:r>
      <w:r>
        <w:rPr>
          <w:spacing w:val="-3"/>
          <w:sz w:val="25"/>
        </w:rPr>
        <w:t> </w:t>
      </w:r>
      <w:r>
        <w:rPr>
          <w:w w:val="99"/>
          <w:sz w:val="25"/>
        </w:rPr>
        <w:t>H</w:t>
      </w:r>
      <w:r>
        <w:rPr>
          <w:sz w:val="25"/>
        </w:rPr>
        <w:t> </w:t>
      </w:r>
      <w:r>
        <w:rPr>
          <w:spacing w:val="-3"/>
          <w:sz w:val="25"/>
        </w:rPr>
        <w:t> </w:t>
      </w:r>
      <w:r>
        <w:rPr>
          <w:w w:val="99"/>
          <w:sz w:val="25"/>
        </w:rPr>
        <w:t>S </w:t>
      </w:r>
      <w:r>
        <w:rPr>
          <w:sz w:val="25"/>
        </w:rPr>
        <w:t>Jerrett‘s English translation was first published in 1893-96. The second edition corrected and further annotated by Sir Jadunath Sarkar refers to the Ain-e-Akbari as:</w:t>
      </w:r>
    </w:p>
    <w:p>
      <w:pPr>
        <w:spacing w:line="276" w:lineRule="auto" w:before="160"/>
        <w:ind w:left="1940" w:right="2260" w:firstLine="0"/>
        <w:jc w:val="both"/>
        <w:rPr>
          <w:sz w:val="21"/>
        </w:rPr>
      </w:pPr>
      <w:r>
        <w:rPr>
          <w:spacing w:val="-1"/>
          <w:w w:val="33"/>
          <w:sz w:val="21"/>
        </w:rPr>
        <w:t>―</w:t>
      </w:r>
      <w:r>
        <w:rPr>
          <w:w w:val="100"/>
          <w:sz w:val="21"/>
        </w:rPr>
        <w:t>…an</w:t>
      </w:r>
      <w:r>
        <w:rPr>
          <w:sz w:val="21"/>
        </w:rPr>
        <w:t> </w:t>
      </w:r>
      <w:r>
        <w:rPr>
          <w:spacing w:val="-1"/>
          <w:w w:val="100"/>
          <w:sz w:val="21"/>
        </w:rPr>
        <w:t>enc</w:t>
      </w:r>
      <w:r>
        <w:rPr>
          <w:spacing w:val="-3"/>
          <w:w w:val="100"/>
          <w:sz w:val="21"/>
        </w:rPr>
        <w:t>y</w:t>
      </w:r>
      <w:r>
        <w:rPr>
          <w:w w:val="100"/>
          <w:sz w:val="21"/>
        </w:rPr>
        <w:t>c</w:t>
      </w:r>
      <w:r>
        <w:rPr>
          <w:spacing w:val="-2"/>
          <w:w w:val="100"/>
          <w:sz w:val="21"/>
        </w:rPr>
        <w:t>l</w:t>
      </w:r>
      <w:r>
        <w:rPr>
          <w:spacing w:val="-1"/>
          <w:w w:val="100"/>
          <w:sz w:val="21"/>
        </w:rPr>
        <w:t>op</w:t>
      </w:r>
      <w:r>
        <w:rPr>
          <w:spacing w:val="-2"/>
          <w:w w:val="100"/>
          <w:sz w:val="21"/>
        </w:rPr>
        <w:t>e</w:t>
      </w:r>
      <w:r>
        <w:rPr>
          <w:spacing w:val="-1"/>
          <w:w w:val="100"/>
          <w:sz w:val="21"/>
        </w:rPr>
        <w:t>d</w:t>
      </w:r>
      <w:r>
        <w:rPr>
          <w:spacing w:val="-2"/>
          <w:w w:val="100"/>
          <w:sz w:val="21"/>
        </w:rPr>
        <w:t>i</w:t>
      </w:r>
      <w:r>
        <w:rPr>
          <w:w w:val="100"/>
          <w:sz w:val="21"/>
        </w:rPr>
        <w:t>a</w:t>
      </w:r>
      <w:r>
        <w:rPr>
          <w:sz w:val="21"/>
        </w:rPr>
        <w:t> </w:t>
      </w:r>
      <w:r>
        <w:rPr>
          <w:spacing w:val="-3"/>
          <w:w w:val="100"/>
          <w:sz w:val="21"/>
        </w:rPr>
        <w:t>o</w:t>
      </w:r>
      <w:r>
        <w:rPr>
          <w:w w:val="100"/>
          <w:sz w:val="21"/>
        </w:rPr>
        <w:t>f</w:t>
      </w:r>
      <w:r>
        <w:rPr>
          <w:sz w:val="21"/>
        </w:rPr>
        <w:t> </w:t>
      </w:r>
      <w:r>
        <w:rPr>
          <w:spacing w:val="-2"/>
          <w:w w:val="100"/>
          <w:sz w:val="21"/>
        </w:rPr>
        <w:t>t</w:t>
      </w:r>
      <w:r>
        <w:rPr>
          <w:spacing w:val="-1"/>
          <w:w w:val="100"/>
          <w:sz w:val="21"/>
        </w:rPr>
        <w:t>h</w:t>
      </w:r>
      <w:r>
        <w:rPr>
          <w:w w:val="100"/>
          <w:sz w:val="21"/>
        </w:rPr>
        <w:t>e</w:t>
      </w:r>
      <w:r>
        <w:rPr>
          <w:sz w:val="21"/>
        </w:rPr>
        <w:t> </w:t>
      </w:r>
      <w:r>
        <w:rPr>
          <w:spacing w:val="-1"/>
          <w:w w:val="100"/>
          <w:sz w:val="21"/>
        </w:rPr>
        <w:t>re</w:t>
      </w:r>
      <w:r>
        <w:rPr>
          <w:spacing w:val="1"/>
          <w:w w:val="100"/>
          <w:sz w:val="21"/>
        </w:rPr>
        <w:t>l</w:t>
      </w:r>
      <w:r>
        <w:rPr>
          <w:spacing w:val="-2"/>
          <w:w w:val="100"/>
          <w:sz w:val="21"/>
        </w:rPr>
        <w:t>i</w:t>
      </w:r>
      <w:r>
        <w:rPr>
          <w:spacing w:val="-1"/>
          <w:w w:val="100"/>
          <w:sz w:val="21"/>
        </w:rPr>
        <w:t>g</w:t>
      </w:r>
      <w:r>
        <w:rPr>
          <w:spacing w:val="-2"/>
          <w:w w:val="100"/>
          <w:sz w:val="21"/>
        </w:rPr>
        <w:t>i</w:t>
      </w:r>
      <w:r>
        <w:rPr>
          <w:spacing w:val="-1"/>
          <w:w w:val="100"/>
          <w:sz w:val="21"/>
        </w:rPr>
        <w:t>on</w:t>
      </w:r>
      <w:r>
        <w:rPr>
          <w:w w:val="100"/>
          <w:sz w:val="21"/>
        </w:rPr>
        <w:t>,</w:t>
      </w:r>
      <w:r>
        <w:rPr>
          <w:sz w:val="21"/>
        </w:rPr>
        <w:t> </w:t>
      </w:r>
      <w:r>
        <w:rPr>
          <w:spacing w:val="-3"/>
          <w:w w:val="100"/>
          <w:sz w:val="21"/>
        </w:rPr>
        <w:t>p</w:t>
      </w:r>
      <w:r>
        <w:rPr>
          <w:spacing w:val="-1"/>
          <w:w w:val="100"/>
          <w:sz w:val="21"/>
        </w:rPr>
        <w:t>h</w:t>
      </w:r>
      <w:r>
        <w:rPr>
          <w:spacing w:val="-2"/>
          <w:w w:val="100"/>
          <w:sz w:val="21"/>
        </w:rPr>
        <w:t>i</w:t>
      </w:r>
      <w:r>
        <w:rPr>
          <w:w w:val="100"/>
          <w:sz w:val="21"/>
        </w:rPr>
        <w:t>l</w:t>
      </w:r>
      <w:r>
        <w:rPr>
          <w:spacing w:val="-1"/>
          <w:w w:val="100"/>
          <w:sz w:val="21"/>
        </w:rPr>
        <w:t>o</w:t>
      </w:r>
      <w:r>
        <w:rPr>
          <w:spacing w:val="-3"/>
          <w:w w:val="100"/>
          <w:sz w:val="21"/>
        </w:rPr>
        <w:t>s</w:t>
      </w:r>
      <w:r>
        <w:rPr>
          <w:spacing w:val="-1"/>
          <w:w w:val="100"/>
          <w:sz w:val="21"/>
        </w:rPr>
        <w:t>oph</w:t>
      </w:r>
      <w:r>
        <w:rPr>
          <w:w w:val="100"/>
          <w:sz w:val="21"/>
        </w:rPr>
        <w:t>y</w:t>
      </w:r>
      <w:r>
        <w:rPr>
          <w:sz w:val="21"/>
        </w:rPr>
        <w:t> </w:t>
      </w:r>
      <w:r>
        <w:rPr>
          <w:spacing w:val="-3"/>
          <w:w w:val="100"/>
          <w:sz w:val="21"/>
        </w:rPr>
        <w:t>a</w:t>
      </w:r>
      <w:r>
        <w:rPr>
          <w:spacing w:val="-1"/>
          <w:w w:val="100"/>
          <w:sz w:val="21"/>
        </w:rPr>
        <w:t>n</w:t>
      </w:r>
      <w:r>
        <w:rPr>
          <w:w w:val="100"/>
          <w:sz w:val="21"/>
        </w:rPr>
        <w:t>d</w:t>
      </w:r>
      <w:r>
        <w:rPr>
          <w:sz w:val="21"/>
        </w:rPr>
        <w:t> </w:t>
      </w:r>
      <w:r>
        <w:rPr>
          <w:spacing w:val="-3"/>
          <w:w w:val="100"/>
          <w:sz w:val="21"/>
        </w:rPr>
        <w:t>s</w:t>
      </w:r>
      <w:r>
        <w:rPr>
          <w:w w:val="100"/>
          <w:sz w:val="21"/>
        </w:rPr>
        <w:t>ci</w:t>
      </w:r>
      <w:r>
        <w:rPr>
          <w:spacing w:val="-1"/>
          <w:w w:val="100"/>
          <w:sz w:val="21"/>
        </w:rPr>
        <w:t>e</w:t>
      </w:r>
      <w:r>
        <w:rPr>
          <w:spacing w:val="-3"/>
          <w:w w:val="100"/>
          <w:sz w:val="21"/>
        </w:rPr>
        <w:t>n</w:t>
      </w:r>
      <w:r>
        <w:rPr>
          <w:w w:val="100"/>
          <w:sz w:val="21"/>
        </w:rPr>
        <w:t>ces</w:t>
      </w:r>
      <w:r>
        <w:rPr>
          <w:sz w:val="21"/>
        </w:rPr>
        <w:t> </w:t>
      </w:r>
      <w:r>
        <w:rPr>
          <w:spacing w:val="-3"/>
          <w:w w:val="100"/>
          <w:sz w:val="21"/>
        </w:rPr>
        <w:t>o</w:t>
      </w:r>
      <w:r>
        <w:rPr>
          <w:w w:val="100"/>
          <w:sz w:val="21"/>
        </w:rPr>
        <w:t>f </w:t>
      </w:r>
      <w:r>
        <w:rPr>
          <w:sz w:val="21"/>
        </w:rPr>
        <w:t>the Hindus, preceded by the chronology and cosmography of the Muslims, as required by literary convention, for comparison with the Hindu ideas on the same subjects.‖</w:t>
      </w:r>
    </w:p>
    <w:p>
      <w:pPr>
        <w:pStyle w:val="BodyText"/>
        <w:rPr>
          <w:sz w:val="24"/>
        </w:rPr>
      </w:pPr>
    </w:p>
    <w:p>
      <w:pPr>
        <w:pStyle w:val="BodyText"/>
        <w:spacing w:before="4"/>
        <w:rPr>
          <w:sz w:val="21"/>
        </w:rPr>
      </w:pPr>
    </w:p>
    <w:p>
      <w:pPr>
        <w:pStyle w:val="BodyText"/>
        <w:spacing w:line="480" w:lineRule="auto"/>
        <w:ind w:left="500" w:right="438"/>
      </w:pPr>
      <w:r>
        <w:rPr/>
        <w:t>In his editorial introduction written on 17 May 1894, Jerrett had made a reference to the range and diversity of the subjects covered:</w:t>
      </w:r>
    </w:p>
    <w:p>
      <w:pPr>
        <w:spacing w:line="276" w:lineRule="auto" w:before="0"/>
        <w:ind w:left="1940" w:right="2259" w:firstLine="0"/>
        <w:jc w:val="both"/>
        <w:rPr>
          <w:sz w:val="21"/>
        </w:rPr>
      </w:pPr>
      <w:r>
        <w:rPr>
          <w:spacing w:val="-1"/>
          <w:w w:val="33"/>
          <w:sz w:val="21"/>
        </w:rPr>
        <w:t>―</w:t>
      </w:r>
      <w:r>
        <w:rPr>
          <w:w w:val="100"/>
          <w:sz w:val="21"/>
        </w:rPr>
        <w:t>The</w:t>
      </w:r>
      <w:r>
        <w:rPr>
          <w:sz w:val="21"/>
        </w:rPr>
        <w:t> </w:t>
      </w:r>
      <w:r>
        <w:rPr>
          <w:spacing w:val="-4"/>
          <w:sz w:val="21"/>
        </w:rPr>
        <w:t> </w:t>
      </w:r>
      <w:r>
        <w:rPr>
          <w:spacing w:val="-1"/>
          <w:w w:val="100"/>
          <w:sz w:val="21"/>
        </w:rPr>
        <w:t>ra</w:t>
      </w:r>
      <w:r>
        <w:rPr>
          <w:spacing w:val="-3"/>
          <w:w w:val="100"/>
          <w:sz w:val="21"/>
        </w:rPr>
        <w:t>n</w:t>
      </w:r>
      <w:r>
        <w:rPr>
          <w:spacing w:val="-1"/>
          <w:w w:val="100"/>
          <w:sz w:val="21"/>
        </w:rPr>
        <w:t>g</w:t>
      </w:r>
      <w:r>
        <w:rPr>
          <w:w w:val="100"/>
          <w:sz w:val="21"/>
        </w:rPr>
        <w:t>e</w:t>
      </w:r>
      <w:r>
        <w:rPr>
          <w:sz w:val="21"/>
        </w:rPr>
        <w:t> </w:t>
      </w:r>
      <w:r>
        <w:rPr>
          <w:spacing w:val="-4"/>
          <w:sz w:val="21"/>
        </w:rPr>
        <w:t> </w:t>
      </w:r>
      <w:r>
        <w:rPr>
          <w:spacing w:val="-1"/>
          <w:w w:val="100"/>
          <w:sz w:val="21"/>
        </w:rPr>
        <w:t>an</w:t>
      </w:r>
      <w:r>
        <w:rPr>
          <w:w w:val="100"/>
          <w:sz w:val="21"/>
        </w:rPr>
        <w:t>d</w:t>
      </w:r>
      <w:r>
        <w:rPr>
          <w:sz w:val="21"/>
        </w:rPr>
        <w:t> </w:t>
      </w:r>
      <w:r>
        <w:rPr>
          <w:spacing w:val="-4"/>
          <w:sz w:val="21"/>
        </w:rPr>
        <w:t> </w:t>
      </w:r>
      <w:r>
        <w:rPr>
          <w:spacing w:val="-3"/>
          <w:w w:val="100"/>
          <w:sz w:val="21"/>
        </w:rPr>
        <w:t>d</w:t>
      </w:r>
      <w:r>
        <w:rPr>
          <w:w w:val="100"/>
          <w:sz w:val="21"/>
        </w:rPr>
        <w:t>i</w:t>
      </w:r>
      <w:r>
        <w:rPr>
          <w:spacing w:val="-3"/>
          <w:w w:val="100"/>
          <w:sz w:val="21"/>
        </w:rPr>
        <w:t>v</w:t>
      </w:r>
      <w:r>
        <w:rPr>
          <w:spacing w:val="-1"/>
          <w:w w:val="100"/>
          <w:sz w:val="21"/>
        </w:rPr>
        <w:t>ersit</w:t>
      </w:r>
      <w:r>
        <w:rPr>
          <w:w w:val="100"/>
          <w:sz w:val="21"/>
        </w:rPr>
        <w:t>y</w:t>
      </w:r>
      <w:r>
        <w:rPr>
          <w:sz w:val="21"/>
        </w:rPr>
        <w:t> </w:t>
      </w:r>
      <w:r>
        <w:rPr>
          <w:spacing w:val="-8"/>
          <w:sz w:val="21"/>
        </w:rPr>
        <w:t> </w:t>
      </w:r>
      <w:r>
        <w:rPr>
          <w:spacing w:val="-1"/>
          <w:w w:val="100"/>
          <w:sz w:val="21"/>
        </w:rPr>
        <w:t>o</w:t>
      </w:r>
      <w:r>
        <w:rPr>
          <w:w w:val="100"/>
          <w:sz w:val="21"/>
        </w:rPr>
        <w:t>f</w:t>
      </w:r>
      <w:r>
        <w:rPr>
          <w:sz w:val="21"/>
        </w:rPr>
        <w:t> </w:t>
      </w:r>
      <w:r>
        <w:rPr>
          <w:spacing w:val="-3"/>
          <w:sz w:val="21"/>
        </w:rPr>
        <w:t> </w:t>
      </w:r>
      <w:r>
        <w:rPr>
          <w:w w:val="100"/>
          <w:sz w:val="21"/>
        </w:rPr>
        <w:t>i</w:t>
      </w:r>
      <w:r>
        <w:rPr>
          <w:spacing w:val="-2"/>
          <w:w w:val="100"/>
          <w:sz w:val="21"/>
        </w:rPr>
        <w:t>t</w:t>
      </w:r>
      <w:r>
        <w:rPr>
          <w:w w:val="100"/>
          <w:sz w:val="21"/>
        </w:rPr>
        <w:t>s</w:t>
      </w:r>
      <w:r>
        <w:rPr>
          <w:sz w:val="21"/>
        </w:rPr>
        <w:t> </w:t>
      </w:r>
      <w:r>
        <w:rPr>
          <w:spacing w:val="-5"/>
          <w:sz w:val="21"/>
        </w:rPr>
        <w:t> </w:t>
      </w:r>
      <w:r>
        <w:rPr>
          <w:w w:val="100"/>
          <w:sz w:val="21"/>
        </w:rPr>
        <w:t>su</w:t>
      </w:r>
      <w:r>
        <w:rPr>
          <w:spacing w:val="-3"/>
          <w:w w:val="100"/>
          <w:sz w:val="21"/>
        </w:rPr>
        <w:t>b</w:t>
      </w:r>
      <w:r>
        <w:rPr>
          <w:w w:val="100"/>
          <w:sz w:val="21"/>
        </w:rPr>
        <w:t>j</w:t>
      </w:r>
      <w:r>
        <w:rPr>
          <w:spacing w:val="-1"/>
          <w:w w:val="100"/>
          <w:sz w:val="21"/>
        </w:rPr>
        <w:t>ect</w:t>
      </w:r>
      <w:r>
        <w:rPr>
          <w:w w:val="100"/>
          <w:sz w:val="21"/>
        </w:rPr>
        <w:t>s</w:t>
      </w:r>
      <w:r>
        <w:rPr>
          <w:sz w:val="21"/>
        </w:rPr>
        <w:t> </w:t>
      </w:r>
      <w:r>
        <w:rPr>
          <w:spacing w:val="-5"/>
          <w:sz w:val="21"/>
        </w:rPr>
        <w:t> </w:t>
      </w:r>
      <w:r>
        <w:rPr>
          <w:spacing w:val="-1"/>
          <w:w w:val="100"/>
          <w:sz w:val="21"/>
        </w:rPr>
        <w:t>(</w:t>
      </w:r>
      <w:r>
        <w:rPr>
          <w:w w:val="100"/>
          <w:sz w:val="21"/>
        </w:rPr>
        <w:t>i</w:t>
      </w:r>
      <w:r>
        <w:rPr>
          <w:spacing w:val="-2"/>
          <w:w w:val="100"/>
          <w:sz w:val="21"/>
        </w:rPr>
        <w:t>.</w:t>
      </w:r>
      <w:r>
        <w:rPr>
          <w:spacing w:val="-1"/>
          <w:w w:val="100"/>
          <w:sz w:val="21"/>
        </w:rPr>
        <w:t>e</w:t>
      </w:r>
      <w:r>
        <w:rPr>
          <w:w w:val="100"/>
          <w:sz w:val="21"/>
        </w:rPr>
        <w:t>.</w:t>
      </w:r>
      <w:r>
        <w:rPr>
          <w:sz w:val="21"/>
        </w:rPr>
        <w:t> </w:t>
      </w:r>
      <w:r>
        <w:rPr>
          <w:spacing w:val="-5"/>
          <w:sz w:val="21"/>
        </w:rPr>
        <w:t> </w:t>
      </w:r>
      <w:r>
        <w:rPr>
          <w:spacing w:val="-3"/>
          <w:w w:val="100"/>
          <w:sz w:val="21"/>
        </w:rPr>
        <w:t>o</w:t>
      </w:r>
      <w:r>
        <w:rPr>
          <w:w w:val="100"/>
          <w:sz w:val="21"/>
        </w:rPr>
        <w:t>f</w:t>
      </w:r>
      <w:r>
        <w:rPr>
          <w:sz w:val="21"/>
        </w:rPr>
        <w:t> </w:t>
      </w:r>
      <w:r>
        <w:rPr>
          <w:spacing w:val="-4"/>
          <w:sz w:val="21"/>
        </w:rPr>
        <w:t> </w:t>
      </w:r>
      <w:r>
        <w:rPr>
          <w:spacing w:val="-2"/>
          <w:w w:val="100"/>
          <w:sz w:val="21"/>
        </w:rPr>
        <w:t>t</w:t>
      </w:r>
      <w:r>
        <w:rPr>
          <w:spacing w:val="-1"/>
          <w:w w:val="100"/>
          <w:sz w:val="21"/>
        </w:rPr>
        <w:t>h</w:t>
      </w:r>
      <w:r>
        <w:rPr>
          <w:w w:val="100"/>
          <w:sz w:val="21"/>
        </w:rPr>
        <w:t>e</w:t>
      </w:r>
      <w:r>
        <w:rPr>
          <w:sz w:val="21"/>
        </w:rPr>
        <w:t> </w:t>
      </w:r>
      <w:r>
        <w:rPr>
          <w:spacing w:val="-4"/>
          <w:sz w:val="21"/>
        </w:rPr>
        <w:t> </w:t>
      </w:r>
      <w:r>
        <w:rPr>
          <w:w w:val="100"/>
          <w:sz w:val="21"/>
        </w:rPr>
        <w:t>A</w:t>
      </w:r>
      <w:r>
        <w:rPr>
          <w:spacing w:val="-2"/>
          <w:w w:val="100"/>
          <w:sz w:val="21"/>
        </w:rPr>
        <w:t>i</w:t>
      </w:r>
      <w:r>
        <w:rPr>
          <w:spacing w:val="5"/>
          <w:w w:val="100"/>
          <w:sz w:val="21"/>
        </w:rPr>
        <w:t>n</w:t>
      </w:r>
      <w:r>
        <w:rPr>
          <w:spacing w:val="-1"/>
          <w:w w:val="100"/>
          <w:sz w:val="21"/>
        </w:rPr>
        <w:t>-</w:t>
      </w:r>
      <w:r>
        <w:rPr>
          <w:w w:val="100"/>
          <w:sz w:val="21"/>
        </w:rPr>
        <w:t>e</w:t>
      </w:r>
      <w:r>
        <w:rPr>
          <w:w w:val="100"/>
          <w:sz w:val="21"/>
        </w:rPr>
        <w:t>- </w:t>
      </w:r>
      <w:r>
        <w:rPr>
          <w:sz w:val="21"/>
        </w:rPr>
        <w:t>Akbari) and the untiring industry which collected and marshalled, through the medium of an unfamiliar language, the many topics of information to their minutest details, treating of abstruse sciences, subtle philosophical problems, and the customs, social, political and religious of a different race and creed, will stand by an enduring monument of his learned and patient diligence…Though there is much to be desired, his comprehensive and admirable survey yet merits the highest</w:t>
      </w:r>
      <w:r>
        <w:rPr>
          <w:spacing w:val="-4"/>
          <w:sz w:val="21"/>
        </w:rPr>
        <w:t> </w:t>
      </w:r>
      <w:r>
        <w:rPr>
          <w:sz w:val="21"/>
        </w:rPr>
        <w:t>praise…‖</w:t>
      </w:r>
    </w:p>
    <w:p>
      <w:pPr>
        <w:pStyle w:val="BodyText"/>
        <w:spacing w:before="3"/>
        <w:rPr>
          <w:sz w:val="24"/>
        </w:rPr>
      </w:pPr>
    </w:p>
    <w:p>
      <w:pPr>
        <w:pStyle w:val="BodyText"/>
        <w:spacing w:line="480" w:lineRule="auto"/>
        <w:ind w:left="500" w:right="512"/>
      </w:pPr>
      <w:r>
        <w:rPr/>
        <w:t>There is a section titled as Ramavatara or Ram-Incarnation in which the Ain-e- Akbari states:</w:t>
      </w:r>
    </w:p>
    <w:p>
      <w:pPr>
        <w:spacing w:line="276" w:lineRule="auto" w:before="0"/>
        <w:ind w:left="1940" w:right="2261" w:firstLine="0"/>
        <w:jc w:val="both"/>
        <w:rPr>
          <w:sz w:val="21"/>
        </w:rPr>
      </w:pPr>
      <w:r>
        <w:rPr>
          <w:spacing w:val="-1"/>
          <w:w w:val="33"/>
          <w:sz w:val="21"/>
        </w:rPr>
        <w:t>―</w:t>
      </w:r>
      <w:r>
        <w:rPr>
          <w:w w:val="100"/>
          <w:sz w:val="21"/>
        </w:rPr>
        <w:t>He</w:t>
      </w:r>
      <w:r>
        <w:rPr>
          <w:spacing w:val="18"/>
          <w:sz w:val="21"/>
        </w:rPr>
        <w:t> </w:t>
      </w:r>
      <w:r>
        <w:rPr>
          <w:spacing w:val="-2"/>
          <w:w w:val="100"/>
          <w:sz w:val="21"/>
        </w:rPr>
        <w:t>w</w:t>
      </w:r>
      <w:r>
        <w:rPr>
          <w:spacing w:val="-3"/>
          <w:w w:val="100"/>
          <w:sz w:val="21"/>
        </w:rPr>
        <w:t>a</w:t>
      </w:r>
      <w:r>
        <w:rPr>
          <w:w w:val="100"/>
          <w:sz w:val="21"/>
        </w:rPr>
        <w:t>s</w:t>
      </w:r>
      <w:r>
        <w:rPr>
          <w:spacing w:val="19"/>
          <w:sz w:val="21"/>
        </w:rPr>
        <w:t> </w:t>
      </w:r>
      <w:r>
        <w:rPr>
          <w:w w:val="100"/>
          <w:sz w:val="21"/>
        </w:rPr>
        <w:t>a</w:t>
      </w:r>
      <w:r>
        <w:rPr>
          <w:spacing w:val="-3"/>
          <w:w w:val="100"/>
          <w:sz w:val="21"/>
        </w:rPr>
        <w:t>c</w:t>
      </w:r>
      <w:r>
        <w:rPr>
          <w:w w:val="100"/>
          <w:sz w:val="21"/>
        </w:rPr>
        <w:t>cor</w:t>
      </w:r>
      <w:r>
        <w:rPr>
          <w:spacing w:val="-3"/>
          <w:w w:val="100"/>
          <w:sz w:val="21"/>
        </w:rPr>
        <w:t>d</w:t>
      </w:r>
      <w:r>
        <w:rPr>
          <w:w w:val="100"/>
          <w:sz w:val="21"/>
        </w:rPr>
        <w:t>i</w:t>
      </w:r>
      <w:r>
        <w:rPr>
          <w:w w:val="100"/>
          <w:sz w:val="21"/>
        </w:rPr>
        <w:t>n</w:t>
      </w:r>
      <w:r>
        <w:rPr>
          <w:spacing w:val="-3"/>
          <w:w w:val="100"/>
          <w:sz w:val="21"/>
        </w:rPr>
        <w:t>g</w:t>
      </w:r>
      <w:r>
        <w:rPr>
          <w:w w:val="100"/>
          <w:sz w:val="21"/>
        </w:rPr>
        <w:t>l</w:t>
      </w:r>
      <w:r>
        <w:rPr>
          <w:w w:val="100"/>
          <w:sz w:val="21"/>
        </w:rPr>
        <w:t>y</w:t>
      </w:r>
      <w:r>
        <w:rPr>
          <w:spacing w:val="17"/>
          <w:sz w:val="21"/>
        </w:rPr>
        <w:t> </w:t>
      </w:r>
      <w:r>
        <w:rPr>
          <w:w w:val="100"/>
          <w:sz w:val="21"/>
        </w:rPr>
        <w:t>born</w:t>
      </w:r>
      <w:r>
        <w:rPr>
          <w:spacing w:val="15"/>
          <w:sz w:val="21"/>
        </w:rPr>
        <w:t> </w:t>
      </w:r>
      <w:r>
        <w:rPr>
          <w:w w:val="100"/>
          <w:sz w:val="21"/>
        </w:rPr>
        <w:t>dur</w:t>
      </w:r>
      <w:r>
        <w:rPr>
          <w:spacing w:val="-2"/>
          <w:w w:val="100"/>
          <w:sz w:val="21"/>
        </w:rPr>
        <w:t>i</w:t>
      </w:r>
      <w:r>
        <w:rPr>
          <w:w w:val="100"/>
          <w:sz w:val="21"/>
        </w:rPr>
        <w:t>ng</w:t>
      </w:r>
      <w:r>
        <w:rPr>
          <w:spacing w:val="18"/>
          <w:sz w:val="21"/>
        </w:rPr>
        <w:t> </w:t>
      </w:r>
      <w:r>
        <w:rPr>
          <w:spacing w:val="-2"/>
          <w:w w:val="100"/>
          <w:sz w:val="21"/>
        </w:rPr>
        <w:t>t</w:t>
      </w:r>
      <w:r>
        <w:rPr>
          <w:w w:val="100"/>
          <w:sz w:val="21"/>
        </w:rPr>
        <w:t>he</w:t>
      </w:r>
      <w:r>
        <w:rPr>
          <w:spacing w:val="16"/>
          <w:sz w:val="21"/>
        </w:rPr>
        <w:t> </w:t>
      </w:r>
      <w:r>
        <w:rPr>
          <w:w w:val="100"/>
          <w:sz w:val="21"/>
        </w:rPr>
        <w:t>Tre</w:t>
      </w:r>
      <w:r>
        <w:rPr>
          <w:spacing w:val="-2"/>
          <w:w w:val="100"/>
          <w:sz w:val="21"/>
        </w:rPr>
        <w:t>t</w:t>
      </w:r>
      <w:r>
        <w:rPr>
          <w:w w:val="100"/>
          <w:sz w:val="21"/>
        </w:rPr>
        <w:t>a</w:t>
      </w:r>
      <w:r>
        <w:rPr>
          <w:spacing w:val="16"/>
          <w:sz w:val="21"/>
        </w:rPr>
        <w:t> </w:t>
      </w:r>
      <w:r>
        <w:rPr>
          <w:spacing w:val="-3"/>
          <w:w w:val="100"/>
          <w:sz w:val="21"/>
        </w:rPr>
        <w:t>y</w:t>
      </w:r>
      <w:r>
        <w:rPr>
          <w:w w:val="100"/>
          <w:sz w:val="21"/>
        </w:rPr>
        <w:t>uga</w:t>
      </w:r>
      <w:r>
        <w:rPr>
          <w:spacing w:val="18"/>
          <w:sz w:val="21"/>
        </w:rPr>
        <w:t> </w:t>
      </w:r>
      <w:r>
        <w:rPr>
          <w:spacing w:val="-3"/>
          <w:w w:val="100"/>
          <w:sz w:val="21"/>
        </w:rPr>
        <w:t>o</w:t>
      </w:r>
      <w:r>
        <w:rPr>
          <w:w w:val="100"/>
          <w:sz w:val="21"/>
        </w:rPr>
        <w:t>n</w:t>
      </w:r>
      <w:r>
        <w:rPr>
          <w:spacing w:val="16"/>
          <w:sz w:val="21"/>
        </w:rPr>
        <w:t> </w:t>
      </w:r>
      <w:r>
        <w:rPr>
          <w:spacing w:val="-2"/>
          <w:w w:val="100"/>
          <w:sz w:val="21"/>
        </w:rPr>
        <w:t>t</w:t>
      </w:r>
      <w:r>
        <w:rPr>
          <w:w w:val="100"/>
          <w:sz w:val="21"/>
        </w:rPr>
        <w:t>he</w:t>
      </w:r>
      <w:r>
        <w:rPr>
          <w:spacing w:val="18"/>
          <w:sz w:val="21"/>
        </w:rPr>
        <w:t> </w:t>
      </w:r>
      <w:r>
        <w:rPr>
          <w:spacing w:val="-3"/>
          <w:w w:val="100"/>
          <w:sz w:val="21"/>
        </w:rPr>
        <w:t>n</w:t>
      </w:r>
      <w:r>
        <w:rPr>
          <w:w w:val="100"/>
          <w:sz w:val="21"/>
        </w:rPr>
        <w:t>i</w:t>
      </w:r>
      <w:r>
        <w:rPr>
          <w:w w:val="100"/>
          <w:sz w:val="21"/>
        </w:rPr>
        <w:t>n</w:t>
      </w:r>
      <w:r>
        <w:rPr>
          <w:spacing w:val="-1"/>
          <w:w w:val="100"/>
          <w:sz w:val="21"/>
        </w:rPr>
        <w:t>t</w:t>
      </w:r>
      <w:r>
        <w:rPr>
          <w:w w:val="100"/>
          <w:sz w:val="21"/>
        </w:rPr>
        <w:t>h </w:t>
      </w:r>
      <w:r>
        <w:rPr>
          <w:sz w:val="21"/>
        </w:rPr>
        <w:t>of the light half of the month of Chaitra (March-April) in </w:t>
      </w:r>
      <w:r>
        <w:rPr>
          <w:spacing w:val="-3"/>
          <w:sz w:val="21"/>
        </w:rPr>
        <w:t>the  </w:t>
      </w:r>
      <w:r>
        <w:rPr>
          <w:sz w:val="21"/>
        </w:rPr>
        <w:t>city of Ayodhya, of Kausalya wife of Raja</w:t>
      </w:r>
      <w:r>
        <w:rPr>
          <w:spacing w:val="-27"/>
          <w:sz w:val="21"/>
        </w:rPr>
        <w:t> </w:t>
      </w:r>
      <w:r>
        <w:rPr>
          <w:sz w:val="21"/>
        </w:rPr>
        <w:t>Dasaratha.‖</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6"/>
        <w:jc w:val="both"/>
      </w:pPr>
      <w:r>
        <w:rPr>
          <w:w w:val="99"/>
        </w:rPr>
        <w:t>In</w:t>
      </w:r>
      <w:r>
        <w:rPr/>
        <w:t> </w:t>
      </w:r>
      <w:r>
        <w:rPr>
          <w:w w:val="99"/>
        </w:rPr>
        <w:t>a</w:t>
      </w:r>
      <w:r>
        <w:rPr/>
        <w:t> </w:t>
      </w:r>
      <w:r>
        <w:rPr>
          <w:w w:val="99"/>
        </w:rPr>
        <w:t>segment</w:t>
      </w:r>
      <w:r>
        <w:rPr/>
        <w:t> </w:t>
      </w:r>
      <w:r>
        <w:rPr>
          <w:w w:val="99"/>
        </w:rPr>
        <w:t>titled</w:t>
      </w:r>
      <w:r>
        <w:rPr/>
        <w:t> </w:t>
      </w:r>
      <w:r>
        <w:rPr>
          <w:w w:val="33"/>
        </w:rPr>
        <w:t>―</w:t>
      </w:r>
      <w:r>
        <w:rPr>
          <w:w w:val="99"/>
        </w:rPr>
        <w:t>The</w:t>
      </w:r>
      <w:r>
        <w:rPr/>
        <w:t> </w:t>
      </w:r>
      <w:r>
        <w:rPr>
          <w:w w:val="99"/>
        </w:rPr>
        <w:t>Subah</w:t>
      </w:r>
      <w:r>
        <w:rPr/>
        <w:t> </w:t>
      </w:r>
      <w:r>
        <w:rPr>
          <w:w w:val="99"/>
        </w:rPr>
        <w:t>of</w:t>
      </w:r>
      <w:r>
        <w:rPr/>
        <w:t> </w:t>
      </w:r>
      <w:r>
        <w:rPr>
          <w:w w:val="99"/>
        </w:rPr>
        <w:t>Oud</w:t>
      </w:r>
      <w:r>
        <w:rPr>
          <w:w w:val="91"/>
        </w:rPr>
        <w:t>h‖</w:t>
      </w:r>
      <w:r>
        <w:rPr>
          <w:w w:val="99"/>
        </w:rPr>
        <w:t>,</w:t>
      </w:r>
      <w:r>
        <w:rPr/>
        <w:t> </w:t>
      </w:r>
      <w:r>
        <w:rPr>
          <w:w w:val="99"/>
        </w:rPr>
        <w:t>there</w:t>
      </w:r>
      <w:r>
        <w:rPr/>
        <w:t> </w:t>
      </w:r>
      <w:r>
        <w:rPr>
          <w:w w:val="99"/>
        </w:rPr>
        <w:t>is</w:t>
      </w:r>
      <w:r>
        <w:rPr/>
        <w:t> </w:t>
      </w:r>
      <w:r>
        <w:rPr>
          <w:w w:val="99"/>
        </w:rPr>
        <w:t>a</w:t>
      </w:r>
      <w:r>
        <w:rPr/>
        <w:t> </w:t>
      </w:r>
      <w:r>
        <w:rPr>
          <w:w w:val="99"/>
        </w:rPr>
        <w:t>reference</w:t>
      </w:r>
      <w:r>
        <w:rPr/>
        <w:t> </w:t>
      </w:r>
      <w:r>
        <w:rPr>
          <w:w w:val="99"/>
        </w:rPr>
        <w:t>to</w:t>
      </w:r>
      <w:r>
        <w:rPr/>
        <w:t> </w:t>
      </w:r>
      <w:r>
        <w:rPr>
          <w:w w:val="99"/>
        </w:rPr>
        <w:t>Oud</w:t>
      </w:r>
      <w:r>
        <w:rPr>
          <w:w w:val="99"/>
        </w:rPr>
        <w:t>h</w:t>
      </w:r>
      <w:r>
        <w:rPr/>
        <w:t> </w:t>
      </w:r>
      <w:r>
        <w:rPr>
          <w:w w:val="99"/>
        </w:rPr>
        <w:t>which</w:t>
      </w:r>
      <w:r>
        <w:rPr/>
        <w:t> </w:t>
      </w:r>
      <w:r>
        <w:rPr>
          <w:w w:val="99"/>
        </w:rPr>
        <w:t>r</w:t>
      </w:r>
      <w:r>
        <w:rPr>
          <w:w w:val="99"/>
        </w:rPr>
        <w:t>un</w:t>
      </w:r>
      <w:r>
        <w:rPr>
          <w:w w:val="99"/>
        </w:rPr>
        <w:t>s </w:t>
      </w:r>
      <w:r>
        <w:rPr/>
        <w:t>thus:</w:t>
      </w:r>
    </w:p>
    <w:p>
      <w:pPr>
        <w:spacing w:line="276" w:lineRule="auto" w:before="0"/>
        <w:ind w:left="1940" w:right="2259" w:firstLine="0"/>
        <w:jc w:val="both"/>
        <w:rPr>
          <w:sz w:val="21"/>
        </w:rPr>
      </w:pPr>
      <w:r>
        <w:rPr>
          <w:spacing w:val="-1"/>
          <w:w w:val="33"/>
          <w:sz w:val="21"/>
        </w:rPr>
        <w:t>―</w:t>
      </w:r>
      <w:r>
        <w:rPr>
          <w:w w:val="100"/>
          <w:sz w:val="21"/>
        </w:rPr>
        <w:t>A</w:t>
      </w:r>
      <w:r>
        <w:rPr>
          <w:spacing w:val="-2"/>
          <w:w w:val="100"/>
          <w:sz w:val="21"/>
        </w:rPr>
        <w:t>w</w:t>
      </w:r>
      <w:r>
        <w:rPr>
          <w:spacing w:val="-1"/>
          <w:w w:val="100"/>
          <w:sz w:val="21"/>
        </w:rPr>
        <w:t>ad</w:t>
      </w:r>
      <w:r>
        <w:rPr>
          <w:w w:val="100"/>
          <w:sz w:val="21"/>
        </w:rPr>
        <w:t>h</w:t>
      </w:r>
      <w:r>
        <w:rPr>
          <w:sz w:val="21"/>
        </w:rPr>
        <w:t> </w:t>
      </w:r>
      <w:r>
        <w:rPr>
          <w:spacing w:val="-21"/>
          <w:sz w:val="21"/>
        </w:rPr>
        <w:t> </w:t>
      </w:r>
      <w:r>
        <w:rPr>
          <w:spacing w:val="-4"/>
          <w:w w:val="100"/>
          <w:sz w:val="21"/>
        </w:rPr>
        <w:t>(</w:t>
      </w:r>
      <w:r>
        <w:rPr>
          <w:w w:val="100"/>
          <w:sz w:val="21"/>
        </w:rPr>
        <w:t>A</w:t>
      </w:r>
      <w:r>
        <w:rPr>
          <w:spacing w:val="-2"/>
          <w:w w:val="100"/>
          <w:sz w:val="21"/>
        </w:rPr>
        <w:t>j</w:t>
      </w:r>
      <w:r>
        <w:rPr>
          <w:spacing w:val="-1"/>
          <w:w w:val="100"/>
          <w:sz w:val="21"/>
        </w:rPr>
        <w:t>odh</w:t>
      </w:r>
      <w:r>
        <w:rPr>
          <w:spacing w:val="-2"/>
          <w:w w:val="100"/>
          <w:sz w:val="21"/>
        </w:rPr>
        <w:t>y</w:t>
      </w:r>
      <w:r>
        <w:rPr>
          <w:spacing w:val="-1"/>
          <w:w w:val="100"/>
          <w:sz w:val="21"/>
        </w:rPr>
        <w:t>a</w:t>
      </w:r>
      <w:r>
        <w:rPr>
          <w:w w:val="100"/>
          <w:sz w:val="21"/>
        </w:rPr>
        <w:t>)</w:t>
      </w:r>
      <w:r>
        <w:rPr>
          <w:sz w:val="21"/>
        </w:rPr>
        <w:t> </w:t>
      </w:r>
      <w:r>
        <w:rPr>
          <w:spacing w:val="-22"/>
          <w:sz w:val="21"/>
        </w:rPr>
        <w:t> </w:t>
      </w:r>
      <w:r>
        <w:rPr>
          <w:spacing w:val="-2"/>
          <w:w w:val="100"/>
          <w:sz w:val="21"/>
        </w:rPr>
        <w:t>i</w:t>
      </w:r>
      <w:r>
        <w:rPr>
          <w:w w:val="100"/>
          <w:sz w:val="21"/>
        </w:rPr>
        <w:t>s</w:t>
      </w:r>
      <w:r>
        <w:rPr>
          <w:sz w:val="21"/>
        </w:rPr>
        <w:t> </w:t>
      </w:r>
      <w:r>
        <w:rPr>
          <w:spacing w:val="-21"/>
          <w:sz w:val="21"/>
        </w:rPr>
        <w:t> </w:t>
      </w:r>
      <w:r>
        <w:rPr>
          <w:spacing w:val="-1"/>
          <w:w w:val="100"/>
          <w:sz w:val="21"/>
        </w:rPr>
        <w:t>o</w:t>
      </w:r>
      <w:r>
        <w:rPr>
          <w:spacing w:val="-3"/>
          <w:w w:val="100"/>
          <w:sz w:val="21"/>
        </w:rPr>
        <w:t>n</w:t>
      </w:r>
      <w:r>
        <w:rPr>
          <w:w w:val="100"/>
          <w:sz w:val="21"/>
        </w:rPr>
        <w:t>e</w:t>
      </w:r>
      <w:r>
        <w:rPr>
          <w:sz w:val="21"/>
        </w:rPr>
        <w:t> </w:t>
      </w:r>
      <w:r>
        <w:rPr>
          <w:spacing w:val="-24"/>
          <w:sz w:val="21"/>
        </w:rPr>
        <w:t> </w:t>
      </w:r>
      <w:r>
        <w:rPr>
          <w:spacing w:val="-1"/>
          <w:w w:val="100"/>
          <w:sz w:val="21"/>
        </w:rPr>
        <w:t>o</w:t>
      </w:r>
      <w:r>
        <w:rPr>
          <w:w w:val="100"/>
          <w:sz w:val="21"/>
        </w:rPr>
        <w:t>f</w:t>
      </w:r>
      <w:r>
        <w:rPr>
          <w:sz w:val="21"/>
        </w:rPr>
        <w:t> </w:t>
      </w:r>
      <w:r>
        <w:rPr>
          <w:spacing w:val="-20"/>
          <w:sz w:val="21"/>
        </w:rPr>
        <w:t> </w:t>
      </w:r>
      <w:r>
        <w:rPr>
          <w:spacing w:val="-2"/>
          <w:w w:val="100"/>
          <w:sz w:val="21"/>
        </w:rPr>
        <w:t>t</w:t>
      </w:r>
      <w:r>
        <w:rPr>
          <w:spacing w:val="-1"/>
          <w:w w:val="100"/>
          <w:sz w:val="21"/>
        </w:rPr>
        <w:t>h</w:t>
      </w:r>
      <w:r>
        <w:rPr>
          <w:w w:val="100"/>
          <w:sz w:val="21"/>
        </w:rPr>
        <w:t>e</w:t>
      </w:r>
      <w:r>
        <w:rPr>
          <w:sz w:val="21"/>
        </w:rPr>
        <w:t> </w:t>
      </w:r>
      <w:r>
        <w:rPr>
          <w:spacing w:val="-23"/>
          <w:sz w:val="21"/>
        </w:rPr>
        <w:t> </w:t>
      </w:r>
      <w:r>
        <w:rPr>
          <w:w w:val="100"/>
          <w:sz w:val="21"/>
        </w:rPr>
        <w:t>l</w:t>
      </w:r>
      <w:r>
        <w:rPr>
          <w:spacing w:val="-1"/>
          <w:w w:val="100"/>
          <w:sz w:val="21"/>
        </w:rPr>
        <w:t>ar</w:t>
      </w:r>
      <w:r>
        <w:rPr>
          <w:spacing w:val="-3"/>
          <w:w w:val="100"/>
          <w:sz w:val="21"/>
        </w:rPr>
        <w:t>g</w:t>
      </w:r>
      <w:r>
        <w:rPr>
          <w:spacing w:val="-1"/>
          <w:w w:val="100"/>
          <w:sz w:val="21"/>
        </w:rPr>
        <w:t>es</w:t>
      </w:r>
      <w:r>
        <w:rPr>
          <w:w w:val="100"/>
          <w:sz w:val="21"/>
        </w:rPr>
        <w:t>t</w:t>
      </w:r>
      <w:r>
        <w:rPr>
          <w:sz w:val="21"/>
        </w:rPr>
        <w:t> </w:t>
      </w:r>
      <w:r>
        <w:rPr>
          <w:spacing w:val="-22"/>
          <w:sz w:val="21"/>
        </w:rPr>
        <w:t> </w:t>
      </w:r>
      <w:r>
        <w:rPr>
          <w:spacing w:val="-3"/>
          <w:w w:val="100"/>
          <w:sz w:val="21"/>
        </w:rPr>
        <w:t>c</w:t>
      </w:r>
      <w:r>
        <w:rPr>
          <w:w w:val="100"/>
          <w:sz w:val="21"/>
        </w:rPr>
        <w:t>i</w:t>
      </w:r>
      <w:r>
        <w:rPr>
          <w:spacing w:val="-2"/>
          <w:w w:val="100"/>
          <w:sz w:val="21"/>
        </w:rPr>
        <w:t>t</w:t>
      </w:r>
      <w:r>
        <w:rPr>
          <w:w w:val="100"/>
          <w:sz w:val="21"/>
        </w:rPr>
        <w:t>i</w:t>
      </w:r>
      <w:r>
        <w:rPr>
          <w:spacing w:val="-1"/>
          <w:w w:val="100"/>
          <w:sz w:val="21"/>
        </w:rPr>
        <w:t>e</w:t>
      </w:r>
      <w:r>
        <w:rPr>
          <w:w w:val="100"/>
          <w:sz w:val="21"/>
        </w:rPr>
        <w:t>s</w:t>
      </w:r>
      <w:r>
        <w:rPr>
          <w:sz w:val="21"/>
        </w:rPr>
        <w:t> </w:t>
      </w:r>
      <w:r>
        <w:rPr>
          <w:spacing w:val="-24"/>
          <w:sz w:val="21"/>
        </w:rPr>
        <w:t> </w:t>
      </w:r>
      <w:r>
        <w:rPr>
          <w:spacing w:val="-1"/>
          <w:w w:val="100"/>
          <w:sz w:val="21"/>
        </w:rPr>
        <w:t>o</w:t>
      </w:r>
      <w:r>
        <w:rPr>
          <w:w w:val="100"/>
          <w:sz w:val="21"/>
        </w:rPr>
        <w:t>f</w:t>
      </w:r>
      <w:r>
        <w:rPr>
          <w:sz w:val="21"/>
        </w:rPr>
        <w:t> </w:t>
      </w:r>
      <w:r>
        <w:rPr>
          <w:spacing w:val="-20"/>
          <w:sz w:val="21"/>
        </w:rPr>
        <w:t> </w:t>
      </w:r>
      <w:r>
        <w:rPr>
          <w:spacing w:val="-4"/>
          <w:w w:val="100"/>
          <w:sz w:val="21"/>
        </w:rPr>
        <w:t>I</w:t>
      </w:r>
      <w:r>
        <w:rPr>
          <w:spacing w:val="-1"/>
          <w:w w:val="100"/>
          <w:sz w:val="21"/>
        </w:rPr>
        <w:t>ndia</w:t>
      </w:r>
      <w:r>
        <w:rPr>
          <w:w w:val="100"/>
          <w:sz w:val="21"/>
        </w:rPr>
        <w:t>.</w:t>
      </w:r>
      <w:r>
        <w:rPr>
          <w:sz w:val="21"/>
        </w:rPr>
        <w:t> </w:t>
      </w:r>
      <w:r>
        <w:rPr>
          <w:spacing w:val="-22"/>
          <w:sz w:val="21"/>
        </w:rPr>
        <w:t> </w:t>
      </w:r>
      <w:r>
        <w:rPr>
          <w:spacing w:val="-2"/>
          <w:w w:val="100"/>
          <w:sz w:val="21"/>
        </w:rPr>
        <w:t>I</w:t>
      </w:r>
      <w:r>
        <w:rPr>
          <w:w w:val="100"/>
          <w:sz w:val="21"/>
        </w:rPr>
        <w:t>n</w:t>
      </w:r>
      <w:r>
        <w:rPr>
          <w:sz w:val="21"/>
        </w:rPr>
        <w:t> </w:t>
      </w:r>
      <w:r>
        <w:rPr>
          <w:spacing w:val="-21"/>
          <w:sz w:val="21"/>
        </w:rPr>
        <w:t> </w:t>
      </w:r>
      <w:r>
        <w:rPr>
          <w:w w:val="100"/>
          <w:sz w:val="21"/>
        </w:rPr>
        <w:t>is </w:t>
      </w:r>
      <w:r>
        <w:rPr>
          <w:sz w:val="21"/>
        </w:rPr>
        <w:t>situated in longitude 118</w:t>
      </w:r>
      <w:r>
        <w:rPr>
          <w:sz w:val="21"/>
          <w:vertAlign w:val="superscript"/>
        </w:rPr>
        <w:t>o</w:t>
      </w:r>
      <w:r>
        <w:rPr>
          <w:sz w:val="21"/>
          <w:vertAlign w:val="baseline"/>
        </w:rPr>
        <w:t>, 6‘ and latitude 27</w:t>
      </w:r>
      <w:r>
        <w:rPr>
          <w:sz w:val="21"/>
          <w:vertAlign w:val="superscript"/>
        </w:rPr>
        <w:t>o</w:t>
      </w:r>
      <w:r>
        <w:rPr>
          <w:sz w:val="21"/>
          <w:vertAlign w:val="baseline"/>
        </w:rPr>
        <w:t>, 22. In ancient times its populous site covered an extent of 148 kos in length and 36 in breadth, and it is esteemed one of the holiest places of antiquity. Around the environs of the city, they sift the earth and gold is obtained. It was the residence of Rama- chandra who in the Treta age combined in his own person both the spiritual supremacy and the kingly</w:t>
      </w:r>
      <w:r>
        <w:rPr>
          <w:spacing w:val="-20"/>
          <w:sz w:val="21"/>
          <w:vertAlign w:val="baseline"/>
        </w:rPr>
        <w:t> </w:t>
      </w:r>
      <w:r>
        <w:rPr>
          <w:sz w:val="21"/>
          <w:vertAlign w:val="baseline"/>
        </w:rPr>
        <w:t>office.‖</w:t>
      </w:r>
    </w:p>
    <w:p>
      <w:pPr>
        <w:pStyle w:val="BodyText"/>
        <w:spacing w:before="1"/>
      </w:pPr>
    </w:p>
    <w:p>
      <w:pPr>
        <w:pStyle w:val="BodyText"/>
        <w:ind w:left="500"/>
        <w:jc w:val="both"/>
      </w:pPr>
      <w:r>
        <w:rPr/>
        <w:t>The footnote refers to Lord Ram:</w:t>
      </w:r>
    </w:p>
    <w:p>
      <w:pPr>
        <w:pStyle w:val="BodyText"/>
        <w:spacing w:before="9"/>
        <w:rPr>
          <w:sz w:val="24"/>
        </w:rPr>
      </w:pPr>
    </w:p>
    <w:p>
      <w:pPr>
        <w:spacing w:line="276" w:lineRule="auto" w:before="0"/>
        <w:ind w:left="1940" w:right="2263" w:firstLine="0"/>
        <w:jc w:val="both"/>
        <w:rPr>
          <w:sz w:val="21"/>
        </w:rPr>
      </w:pPr>
      <w:r>
        <w:rPr>
          <w:w w:val="33"/>
          <w:sz w:val="21"/>
        </w:rPr>
        <w:t>―</w:t>
      </w:r>
      <w:r>
        <w:rPr>
          <w:w w:val="100"/>
          <w:sz w:val="21"/>
        </w:rPr>
        <w:t>The</w:t>
      </w:r>
      <w:r>
        <w:rPr>
          <w:sz w:val="21"/>
        </w:rPr>
        <w:t>  </w:t>
      </w:r>
      <w:r>
        <w:rPr>
          <w:w w:val="100"/>
          <w:sz w:val="21"/>
        </w:rPr>
        <w:t>7</w:t>
      </w:r>
      <w:r>
        <w:rPr>
          <w:w w:val="97"/>
          <w:sz w:val="21"/>
          <w:vertAlign w:val="superscript"/>
        </w:rPr>
        <w:t>th</w:t>
      </w:r>
      <w:r>
        <w:rPr>
          <w:sz w:val="21"/>
          <w:vertAlign w:val="baseline"/>
        </w:rPr>
        <w:t>  </w:t>
      </w:r>
      <w:r>
        <w:rPr>
          <w:i/>
          <w:w w:val="100"/>
          <w:sz w:val="21"/>
          <w:vertAlign w:val="baseline"/>
        </w:rPr>
        <w:t>avatar</w:t>
      </w:r>
      <w:r>
        <w:rPr>
          <w:w w:val="100"/>
          <w:sz w:val="21"/>
          <w:vertAlign w:val="baseline"/>
        </w:rPr>
        <w:t>,</w:t>
      </w:r>
      <w:r>
        <w:rPr>
          <w:sz w:val="21"/>
          <w:vertAlign w:val="baseline"/>
        </w:rPr>
        <w:t>  </w:t>
      </w:r>
      <w:r>
        <w:rPr>
          <w:w w:val="100"/>
          <w:sz w:val="21"/>
          <w:vertAlign w:val="baseline"/>
        </w:rPr>
        <w:t>who</w:t>
      </w:r>
      <w:r>
        <w:rPr>
          <w:sz w:val="21"/>
          <w:vertAlign w:val="baseline"/>
        </w:rPr>
        <w:t>  </w:t>
      </w:r>
      <w:r>
        <w:rPr>
          <w:w w:val="100"/>
          <w:sz w:val="21"/>
          <w:vertAlign w:val="baseline"/>
        </w:rPr>
        <w:t>i</w:t>
      </w:r>
      <w:r>
        <w:rPr>
          <w:w w:val="100"/>
          <w:sz w:val="21"/>
          <w:vertAlign w:val="baseline"/>
        </w:rPr>
        <w:t>n</w:t>
      </w:r>
      <w:r>
        <w:rPr>
          <w:sz w:val="21"/>
          <w:vertAlign w:val="baseline"/>
        </w:rPr>
        <w:t>  </w:t>
      </w:r>
      <w:r>
        <w:rPr>
          <w:w w:val="100"/>
          <w:sz w:val="21"/>
          <w:vertAlign w:val="baseline"/>
        </w:rPr>
        <w:t>t</w:t>
      </w:r>
      <w:r>
        <w:rPr>
          <w:w w:val="100"/>
          <w:sz w:val="21"/>
          <w:vertAlign w:val="baseline"/>
        </w:rPr>
        <w:t>hi</w:t>
      </w:r>
      <w:r>
        <w:rPr>
          <w:w w:val="100"/>
          <w:sz w:val="21"/>
          <w:vertAlign w:val="baseline"/>
        </w:rPr>
        <w:t>s</w:t>
      </w:r>
      <w:r>
        <w:rPr>
          <w:sz w:val="21"/>
          <w:vertAlign w:val="baseline"/>
        </w:rPr>
        <w:t>  </w:t>
      </w:r>
      <w:r>
        <w:rPr>
          <w:w w:val="100"/>
          <w:sz w:val="21"/>
          <w:vertAlign w:val="baseline"/>
        </w:rPr>
        <w:t>cap</w:t>
      </w:r>
      <w:r>
        <w:rPr>
          <w:w w:val="100"/>
          <w:sz w:val="21"/>
          <w:vertAlign w:val="baseline"/>
        </w:rPr>
        <w:t>i</w:t>
      </w:r>
      <w:r>
        <w:rPr>
          <w:w w:val="100"/>
          <w:sz w:val="21"/>
          <w:vertAlign w:val="baseline"/>
        </w:rPr>
        <w:t>t</w:t>
      </w:r>
      <w:r>
        <w:rPr>
          <w:w w:val="100"/>
          <w:sz w:val="21"/>
          <w:vertAlign w:val="baseline"/>
        </w:rPr>
        <w:t>a</w:t>
      </w:r>
      <w:r>
        <w:rPr>
          <w:w w:val="100"/>
          <w:sz w:val="21"/>
          <w:vertAlign w:val="baseline"/>
        </w:rPr>
        <w:t>l</w:t>
      </w:r>
      <w:r>
        <w:rPr>
          <w:sz w:val="21"/>
          <w:vertAlign w:val="baseline"/>
        </w:rPr>
        <w:t>  </w:t>
      </w:r>
      <w:r>
        <w:rPr>
          <w:w w:val="100"/>
          <w:sz w:val="21"/>
          <w:vertAlign w:val="baseline"/>
        </w:rPr>
        <w:t>of</w:t>
      </w:r>
      <w:r>
        <w:rPr>
          <w:sz w:val="21"/>
          <w:vertAlign w:val="baseline"/>
        </w:rPr>
        <w:t>  </w:t>
      </w:r>
      <w:r>
        <w:rPr>
          <w:w w:val="100"/>
          <w:sz w:val="21"/>
          <w:vertAlign w:val="baseline"/>
        </w:rPr>
        <w:t>t</w:t>
      </w:r>
      <w:r>
        <w:rPr>
          <w:w w:val="100"/>
          <w:sz w:val="21"/>
          <w:vertAlign w:val="baseline"/>
        </w:rPr>
        <w:t>he</w:t>
      </w:r>
      <w:r>
        <w:rPr>
          <w:sz w:val="21"/>
          <w:vertAlign w:val="baseline"/>
        </w:rPr>
        <w:t>  </w:t>
      </w:r>
      <w:r>
        <w:rPr>
          <w:w w:val="100"/>
          <w:sz w:val="21"/>
          <w:vertAlign w:val="baseline"/>
        </w:rPr>
        <w:t>sola</w:t>
      </w:r>
      <w:r>
        <w:rPr>
          <w:w w:val="100"/>
          <w:sz w:val="21"/>
          <w:vertAlign w:val="baseline"/>
        </w:rPr>
        <w:t>r</w:t>
      </w:r>
      <w:r>
        <w:rPr>
          <w:sz w:val="21"/>
          <w:vertAlign w:val="baseline"/>
        </w:rPr>
        <w:t>  </w:t>
      </w:r>
      <w:r>
        <w:rPr>
          <w:w w:val="100"/>
          <w:sz w:val="21"/>
          <w:vertAlign w:val="baseline"/>
        </w:rPr>
        <w:t>dynast</w:t>
      </w:r>
      <w:r>
        <w:rPr>
          <w:w w:val="100"/>
          <w:sz w:val="21"/>
          <w:vertAlign w:val="baseline"/>
        </w:rPr>
        <w:t>y </w:t>
      </w:r>
      <w:r>
        <w:rPr>
          <w:sz w:val="21"/>
          <w:vertAlign w:val="baseline"/>
        </w:rPr>
        <w:t>founded on the chariot wheel of Brahma, consummated the glories of sixty generations of solar princes and as the incarnate Rama, is the hero of the famous epic that bears his name.‖</w:t>
      </w:r>
    </w:p>
    <w:p>
      <w:pPr>
        <w:pStyle w:val="BodyText"/>
        <w:spacing w:before="1"/>
        <w:rPr>
          <w:sz w:val="21"/>
        </w:rPr>
      </w:pPr>
    </w:p>
    <w:p>
      <w:pPr>
        <w:pStyle w:val="BodyText"/>
        <w:spacing w:line="480" w:lineRule="auto"/>
        <w:ind w:left="500" w:right="440"/>
        <w:jc w:val="both"/>
      </w:pPr>
      <w:r>
        <w:rPr/>
        <w:t>Mr Jilani has stressed that in the above extract there is no specific reference to the existence of a temple representing Ram Janmabhumi. Ayodhya is, however, referred to as the birth-place of Lord Ram. Much cannot be attributed to the negative inferences based on what a book does not contain. Absence of a reference to a temple may not be evidence of the absence of a temple. Equally, the reference to a mosque is absent in the above extract.</w:t>
      </w:r>
    </w:p>
    <w:p>
      <w:pPr>
        <w:pStyle w:val="BodyText"/>
      </w:pPr>
    </w:p>
    <w:p>
      <w:pPr>
        <w:pStyle w:val="Heading3"/>
        <w:ind w:left="500" w:firstLine="0"/>
      </w:pPr>
      <w:r>
        <w:rPr/>
        <w:t>Travelogues, gazetteers and books</w:t>
      </w:r>
    </w:p>
    <w:p>
      <w:pPr>
        <w:pStyle w:val="BodyText"/>
        <w:rPr>
          <w:b/>
          <w:sz w:val="28"/>
        </w:rPr>
      </w:pPr>
    </w:p>
    <w:p>
      <w:pPr>
        <w:pStyle w:val="BodyText"/>
        <w:spacing w:before="1"/>
        <w:rPr>
          <w:b/>
          <w:sz w:val="24"/>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Learned Senior Counsel appearing for the plaintiffs in Suit 5 placed reliance on the accounts of numerous travellers and gazetteers to highlight the religious importance attached to Ayodhya and the disputed site for the</w:t>
      </w:r>
      <w:r>
        <w:rPr>
          <w:spacing w:val="-20"/>
          <w:sz w:val="25"/>
        </w:rPr>
        <w:t> </w:t>
      </w:r>
      <w:r>
        <w:rPr>
          <w:sz w:val="25"/>
        </w:rPr>
        <w:t>Hindus:</w:t>
      </w:r>
    </w:p>
    <w:p>
      <w:pPr>
        <w:spacing w:after="0" w:line="480" w:lineRule="auto"/>
        <w:jc w:val="both"/>
        <w:rPr>
          <w:sz w:val="25"/>
        </w:rPr>
        <w:sectPr>
          <w:pgSz w:w="11910" w:h="16840"/>
          <w:pgMar w:header="721" w:footer="1014" w:top="1300" w:bottom="1200" w:left="940" w:right="1000"/>
        </w:sectPr>
      </w:pPr>
    </w:p>
    <w:p>
      <w:pPr>
        <w:spacing w:line="480" w:lineRule="auto" w:before="121"/>
        <w:ind w:left="500" w:right="434" w:firstLine="0"/>
        <w:jc w:val="both"/>
        <w:rPr>
          <w:sz w:val="25"/>
        </w:rPr>
      </w:pPr>
      <w:r>
        <w:rPr>
          <w:b/>
          <w:spacing w:val="-1"/>
          <w:w w:val="99"/>
          <w:sz w:val="25"/>
        </w:rPr>
        <w:t>E</w:t>
      </w:r>
      <w:r>
        <w:rPr>
          <w:b/>
          <w:w w:val="99"/>
          <w:sz w:val="25"/>
        </w:rPr>
        <w:t>x</w:t>
      </w:r>
      <w:r>
        <w:rPr>
          <w:b/>
          <w:spacing w:val="1"/>
          <w:w w:val="99"/>
          <w:sz w:val="25"/>
        </w:rPr>
        <w:t>h</w:t>
      </w:r>
      <w:r>
        <w:rPr>
          <w:b/>
          <w:w w:val="99"/>
          <w:sz w:val="25"/>
        </w:rPr>
        <w:t>i</w:t>
      </w:r>
      <w:r>
        <w:rPr>
          <w:b/>
          <w:spacing w:val="1"/>
          <w:w w:val="99"/>
          <w:sz w:val="25"/>
        </w:rPr>
        <w:t>b</w:t>
      </w:r>
      <w:r>
        <w:rPr>
          <w:b/>
          <w:w w:val="99"/>
          <w:sz w:val="25"/>
        </w:rPr>
        <w:t>it</w:t>
      </w:r>
      <w:r>
        <w:rPr>
          <w:b/>
          <w:sz w:val="25"/>
        </w:rPr>
        <w:t> </w:t>
      </w:r>
      <w:r>
        <w:rPr>
          <w:b/>
          <w:spacing w:val="-24"/>
          <w:sz w:val="25"/>
        </w:rPr>
        <w:t> </w:t>
      </w:r>
      <w:r>
        <w:rPr>
          <w:b/>
          <w:w w:val="99"/>
          <w:sz w:val="25"/>
        </w:rPr>
        <w:t>19</w:t>
      </w:r>
      <w:r>
        <w:rPr>
          <w:b/>
          <w:sz w:val="25"/>
        </w:rPr>
        <w:t> </w:t>
      </w:r>
      <w:r>
        <w:rPr>
          <w:b/>
          <w:spacing w:val="-22"/>
          <w:sz w:val="25"/>
        </w:rPr>
        <w:t> </w:t>
      </w:r>
      <w:r>
        <w:rPr>
          <w:b/>
          <w:w w:val="99"/>
          <w:sz w:val="25"/>
        </w:rPr>
        <w:t>–</w:t>
      </w:r>
      <w:r>
        <w:rPr>
          <w:b/>
          <w:sz w:val="25"/>
        </w:rPr>
        <w:t> </w:t>
      </w:r>
      <w:r>
        <w:rPr>
          <w:b/>
          <w:spacing w:val="-24"/>
          <w:sz w:val="25"/>
        </w:rPr>
        <w:t> </w:t>
      </w:r>
      <w:r>
        <w:rPr>
          <w:b/>
          <w:spacing w:val="-1"/>
          <w:w w:val="99"/>
          <w:sz w:val="25"/>
        </w:rPr>
        <w:t>S</w:t>
      </w:r>
      <w:r>
        <w:rPr>
          <w:b/>
          <w:w w:val="99"/>
          <w:sz w:val="25"/>
        </w:rPr>
        <w:t>u</w:t>
      </w:r>
      <w:r>
        <w:rPr>
          <w:b/>
          <w:spacing w:val="-3"/>
          <w:w w:val="99"/>
          <w:sz w:val="25"/>
        </w:rPr>
        <w:t>i</w:t>
      </w:r>
      <w:r>
        <w:rPr>
          <w:b/>
          <w:w w:val="99"/>
          <w:sz w:val="25"/>
        </w:rPr>
        <w:t>t</w:t>
      </w:r>
      <w:r>
        <w:rPr>
          <w:b/>
          <w:sz w:val="25"/>
        </w:rPr>
        <w:t> </w:t>
      </w:r>
      <w:r>
        <w:rPr>
          <w:b/>
          <w:spacing w:val="-24"/>
          <w:sz w:val="25"/>
        </w:rPr>
        <w:t> </w:t>
      </w:r>
      <w:r>
        <w:rPr>
          <w:b/>
          <w:w w:val="99"/>
          <w:sz w:val="25"/>
        </w:rPr>
        <w:t>5:</w:t>
      </w:r>
      <w:r>
        <w:rPr>
          <w:b/>
          <w:sz w:val="25"/>
        </w:rPr>
        <w:t> </w:t>
      </w:r>
      <w:r>
        <w:rPr>
          <w:b/>
          <w:spacing w:val="-24"/>
          <w:sz w:val="25"/>
        </w:rPr>
        <w:t> </w:t>
      </w:r>
      <w:r>
        <w:rPr>
          <w:b/>
          <w:w w:val="99"/>
          <w:sz w:val="25"/>
        </w:rPr>
        <w:t>Willia</w:t>
      </w:r>
      <w:r>
        <w:rPr>
          <w:b/>
          <w:w w:val="99"/>
          <w:sz w:val="25"/>
        </w:rPr>
        <w:t>m</w:t>
      </w:r>
      <w:r>
        <w:rPr>
          <w:b/>
          <w:sz w:val="25"/>
        </w:rPr>
        <w:t> </w:t>
      </w:r>
      <w:r>
        <w:rPr>
          <w:b/>
          <w:spacing w:val="-25"/>
          <w:sz w:val="25"/>
        </w:rPr>
        <w:t> </w:t>
      </w:r>
      <w:r>
        <w:rPr>
          <w:b/>
          <w:w w:val="99"/>
          <w:sz w:val="25"/>
        </w:rPr>
        <w:t>Fo</w:t>
      </w:r>
      <w:r>
        <w:rPr>
          <w:b/>
          <w:w w:val="99"/>
          <w:sz w:val="25"/>
        </w:rPr>
        <w:t>s</w:t>
      </w:r>
      <w:r>
        <w:rPr>
          <w:b/>
          <w:spacing w:val="1"/>
          <w:w w:val="99"/>
          <w:sz w:val="25"/>
        </w:rPr>
        <w:t>t</w:t>
      </w:r>
      <w:r>
        <w:rPr>
          <w:b/>
          <w:w w:val="99"/>
          <w:sz w:val="25"/>
        </w:rPr>
        <w:t>er</w:t>
      </w:r>
      <w:r>
        <w:rPr>
          <w:spacing w:val="-1"/>
          <w:w w:val="101"/>
          <w:sz w:val="25"/>
          <w:vertAlign w:val="superscript"/>
        </w:rPr>
        <w:t>29</w:t>
      </w:r>
      <w:r>
        <w:rPr>
          <w:w w:val="101"/>
          <w:sz w:val="25"/>
          <w:vertAlign w:val="superscript"/>
        </w:rPr>
        <w:t>9</w:t>
      </w:r>
      <w:r>
        <w:rPr>
          <w:sz w:val="25"/>
          <w:vertAlign w:val="baseline"/>
        </w:rPr>
        <w:t> </w:t>
      </w:r>
      <w:r>
        <w:rPr>
          <w:spacing w:val="-25"/>
          <w:sz w:val="25"/>
          <w:vertAlign w:val="baseline"/>
        </w:rPr>
        <w:t> </w:t>
      </w:r>
      <w:r>
        <w:rPr>
          <w:spacing w:val="-1"/>
          <w:w w:val="99"/>
          <w:sz w:val="25"/>
          <w:vertAlign w:val="baseline"/>
        </w:rPr>
        <w:t>e</w:t>
      </w:r>
      <w:r>
        <w:rPr>
          <w:w w:val="99"/>
          <w:sz w:val="25"/>
          <w:vertAlign w:val="baseline"/>
        </w:rPr>
        <w:t>d</w:t>
      </w:r>
      <w:r>
        <w:rPr>
          <w:spacing w:val="-1"/>
          <w:w w:val="99"/>
          <w:sz w:val="25"/>
          <w:vertAlign w:val="baseline"/>
        </w:rPr>
        <w:t>i</w:t>
      </w:r>
      <w:r>
        <w:rPr>
          <w:spacing w:val="-3"/>
          <w:w w:val="99"/>
          <w:sz w:val="25"/>
          <w:vertAlign w:val="baseline"/>
        </w:rPr>
        <w:t>t</w:t>
      </w:r>
      <w:r>
        <w:rPr>
          <w:spacing w:val="-1"/>
          <w:w w:val="99"/>
          <w:sz w:val="25"/>
          <w:vertAlign w:val="baseline"/>
        </w:rPr>
        <w:t>e</w:t>
      </w:r>
      <w:r>
        <w:rPr>
          <w:w w:val="99"/>
          <w:sz w:val="25"/>
          <w:vertAlign w:val="baseline"/>
        </w:rPr>
        <w:t>d</w:t>
      </w:r>
      <w:r>
        <w:rPr>
          <w:sz w:val="25"/>
          <w:vertAlign w:val="baseline"/>
        </w:rPr>
        <w:t> </w:t>
      </w:r>
      <w:r>
        <w:rPr>
          <w:spacing w:val="-24"/>
          <w:sz w:val="25"/>
          <w:vertAlign w:val="baseline"/>
        </w:rPr>
        <w:t> </w:t>
      </w:r>
      <w:r>
        <w:rPr>
          <w:w w:val="99"/>
          <w:sz w:val="25"/>
          <w:vertAlign w:val="baseline"/>
        </w:rPr>
        <w:t>a</w:t>
      </w:r>
      <w:r>
        <w:rPr>
          <w:sz w:val="25"/>
          <w:vertAlign w:val="baseline"/>
        </w:rPr>
        <w:t> </w:t>
      </w:r>
      <w:r>
        <w:rPr>
          <w:spacing w:val="-24"/>
          <w:sz w:val="25"/>
          <w:vertAlign w:val="baseline"/>
        </w:rPr>
        <w:t> </w:t>
      </w:r>
      <w:r>
        <w:rPr>
          <w:spacing w:val="-1"/>
          <w:w w:val="99"/>
          <w:sz w:val="25"/>
          <w:vertAlign w:val="baseline"/>
        </w:rPr>
        <w:t>b</w:t>
      </w:r>
      <w:r>
        <w:rPr>
          <w:w w:val="99"/>
          <w:sz w:val="25"/>
          <w:vertAlign w:val="baseline"/>
        </w:rPr>
        <w:t>o</w:t>
      </w:r>
      <w:r>
        <w:rPr>
          <w:spacing w:val="-1"/>
          <w:w w:val="99"/>
          <w:sz w:val="25"/>
          <w:vertAlign w:val="baseline"/>
        </w:rPr>
        <w:t>o</w:t>
      </w:r>
      <w:r>
        <w:rPr>
          <w:w w:val="99"/>
          <w:sz w:val="25"/>
          <w:vertAlign w:val="baseline"/>
        </w:rPr>
        <w:t>k</w:t>
      </w:r>
      <w:r>
        <w:rPr>
          <w:sz w:val="25"/>
          <w:vertAlign w:val="baseline"/>
        </w:rPr>
        <w:t> </w:t>
      </w:r>
      <w:r>
        <w:rPr>
          <w:spacing w:val="-24"/>
          <w:sz w:val="25"/>
          <w:vertAlign w:val="baseline"/>
        </w:rPr>
        <w:t> </w:t>
      </w:r>
      <w:r>
        <w:rPr>
          <w:w w:val="99"/>
          <w:sz w:val="25"/>
          <w:vertAlign w:val="baseline"/>
        </w:rPr>
        <w:t>titled</w:t>
      </w:r>
      <w:r>
        <w:rPr>
          <w:sz w:val="25"/>
          <w:vertAlign w:val="baseline"/>
        </w:rPr>
        <w:t> </w:t>
      </w:r>
      <w:r>
        <w:rPr>
          <w:spacing w:val="-24"/>
          <w:sz w:val="25"/>
          <w:vertAlign w:val="baseline"/>
        </w:rPr>
        <w:t> </w:t>
      </w:r>
      <w:r>
        <w:rPr>
          <w:spacing w:val="3"/>
          <w:w w:val="33"/>
          <w:sz w:val="25"/>
          <w:vertAlign w:val="baseline"/>
        </w:rPr>
        <w:t>―</w:t>
      </w:r>
      <w:r>
        <w:rPr>
          <w:b/>
          <w:spacing w:val="-1"/>
          <w:w w:val="99"/>
          <w:sz w:val="25"/>
          <w:vertAlign w:val="baseline"/>
        </w:rPr>
        <w:t>E</w:t>
      </w:r>
      <w:r>
        <w:rPr>
          <w:b/>
          <w:w w:val="99"/>
          <w:sz w:val="25"/>
          <w:vertAlign w:val="baseline"/>
        </w:rPr>
        <w:t>ar</w:t>
      </w:r>
      <w:r>
        <w:rPr>
          <w:b/>
          <w:spacing w:val="1"/>
          <w:w w:val="99"/>
          <w:sz w:val="25"/>
          <w:vertAlign w:val="baseline"/>
        </w:rPr>
        <w:t>l</w:t>
      </w:r>
      <w:r>
        <w:rPr>
          <w:b/>
          <w:w w:val="99"/>
          <w:sz w:val="25"/>
          <w:vertAlign w:val="baseline"/>
        </w:rPr>
        <w:t>y</w:t>
      </w:r>
      <w:r>
        <w:rPr>
          <w:b/>
          <w:sz w:val="25"/>
          <w:vertAlign w:val="baseline"/>
        </w:rPr>
        <w:t> </w:t>
      </w:r>
      <w:r>
        <w:rPr>
          <w:b/>
          <w:spacing w:val="-29"/>
          <w:sz w:val="25"/>
          <w:vertAlign w:val="baseline"/>
        </w:rPr>
        <w:t> </w:t>
      </w:r>
      <w:r>
        <w:rPr>
          <w:b/>
          <w:w w:val="99"/>
          <w:sz w:val="25"/>
          <w:vertAlign w:val="baseline"/>
        </w:rPr>
        <w:t>T</w:t>
      </w:r>
      <w:r>
        <w:rPr>
          <w:b/>
          <w:spacing w:val="-1"/>
          <w:w w:val="99"/>
          <w:sz w:val="25"/>
          <w:vertAlign w:val="baseline"/>
        </w:rPr>
        <w:t>r</w:t>
      </w:r>
      <w:r>
        <w:rPr>
          <w:b/>
          <w:spacing w:val="2"/>
          <w:w w:val="99"/>
          <w:sz w:val="25"/>
          <w:vertAlign w:val="baseline"/>
        </w:rPr>
        <w:t>a</w:t>
      </w:r>
      <w:r>
        <w:rPr>
          <w:b/>
          <w:spacing w:val="-2"/>
          <w:w w:val="99"/>
          <w:sz w:val="25"/>
          <w:vertAlign w:val="baseline"/>
        </w:rPr>
        <w:t>v</w:t>
      </w:r>
      <w:r>
        <w:rPr>
          <w:b/>
          <w:w w:val="99"/>
          <w:sz w:val="25"/>
          <w:vertAlign w:val="baseline"/>
        </w:rPr>
        <w:t>els</w:t>
      </w:r>
      <w:r>
        <w:rPr>
          <w:b/>
          <w:sz w:val="25"/>
          <w:vertAlign w:val="baseline"/>
        </w:rPr>
        <w:t> </w:t>
      </w:r>
      <w:r>
        <w:rPr>
          <w:b/>
          <w:spacing w:val="-24"/>
          <w:sz w:val="25"/>
          <w:vertAlign w:val="baseline"/>
        </w:rPr>
        <w:t> </w:t>
      </w:r>
      <w:r>
        <w:rPr>
          <w:b/>
          <w:w w:val="99"/>
          <w:sz w:val="25"/>
          <w:vertAlign w:val="baseline"/>
        </w:rPr>
        <w:t>in </w:t>
      </w:r>
      <w:r>
        <w:rPr>
          <w:b/>
          <w:sz w:val="25"/>
          <w:vertAlign w:val="baseline"/>
        </w:rPr>
        <w:t>India (1583-1619)</w:t>
      </w:r>
      <w:r>
        <w:rPr>
          <w:sz w:val="25"/>
          <w:vertAlign w:val="baseline"/>
        </w:rPr>
        <w:t>‖ which contains narratives of seven Englishmen who travelled in northern and western India during the reign of Akbar and Jahangir. These travellers</w:t>
      </w:r>
      <w:r>
        <w:rPr>
          <w:spacing w:val="-2"/>
          <w:sz w:val="25"/>
          <w:vertAlign w:val="baseline"/>
        </w:rPr>
        <w:t> </w:t>
      </w:r>
      <w:r>
        <w:rPr>
          <w:sz w:val="25"/>
          <w:vertAlign w:val="baseline"/>
        </w:rPr>
        <w:t>are:</w:t>
      </w:r>
    </w:p>
    <w:p>
      <w:pPr>
        <w:spacing w:line="276" w:lineRule="auto" w:before="162"/>
        <w:ind w:left="1940" w:right="2260" w:firstLine="0"/>
        <w:jc w:val="both"/>
        <w:rPr>
          <w:sz w:val="21"/>
        </w:rPr>
      </w:pPr>
      <w:r>
        <w:rPr>
          <w:spacing w:val="-1"/>
          <w:w w:val="33"/>
          <w:sz w:val="21"/>
        </w:rPr>
        <w:t>―</w:t>
      </w:r>
      <w:r>
        <w:rPr>
          <w:w w:val="100"/>
          <w:sz w:val="21"/>
        </w:rPr>
        <w:t>R</w:t>
      </w:r>
      <w:r>
        <w:rPr>
          <w:spacing w:val="-3"/>
          <w:w w:val="100"/>
          <w:sz w:val="21"/>
        </w:rPr>
        <w:t>a</w:t>
      </w:r>
      <w:r>
        <w:rPr>
          <w:w w:val="100"/>
          <w:sz w:val="21"/>
        </w:rPr>
        <w:t>l</w:t>
      </w:r>
      <w:r>
        <w:rPr>
          <w:spacing w:val="-1"/>
          <w:w w:val="100"/>
          <w:sz w:val="21"/>
        </w:rPr>
        <w:t>p</w:t>
      </w:r>
      <w:r>
        <w:rPr>
          <w:w w:val="100"/>
          <w:sz w:val="21"/>
        </w:rPr>
        <w:t>h</w:t>
      </w:r>
      <w:r>
        <w:rPr>
          <w:spacing w:val="13"/>
          <w:sz w:val="21"/>
        </w:rPr>
        <w:t> </w:t>
      </w:r>
      <w:r>
        <w:rPr>
          <w:spacing w:val="-2"/>
          <w:w w:val="100"/>
          <w:sz w:val="21"/>
        </w:rPr>
        <w:t>F</w:t>
      </w:r>
      <w:r>
        <w:rPr>
          <w:w w:val="100"/>
          <w:sz w:val="21"/>
        </w:rPr>
        <w:t>i</w:t>
      </w:r>
      <w:r>
        <w:rPr>
          <w:spacing w:val="-2"/>
          <w:w w:val="100"/>
          <w:sz w:val="21"/>
        </w:rPr>
        <w:t>t</w:t>
      </w:r>
      <w:r>
        <w:rPr>
          <w:w w:val="100"/>
          <w:sz w:val="21"/>
        </w:rPr>
        <w:t>ch</w:t>
      </w:r>
      <w:r>
        <w:rPr>
          <w:spacing w:val="13"/>
          <w:sz w:val="21"/>
        </w:rPr>
        <w:t> </w:t>
      </w:r>
      <w:r>
        <w:rPr>
          <w:spacing w:val="-1"/>
          <w:w w:val="100"/>
          <w:sz w:val="21"/>
        </w:rPr>
        <w:t>(1</w:t>
      </w:r>
      <w:r>
        <w:rPr>
          <w:spacing w:val="-3"/>
          <w:w w:val="100"/>
          <w:sz w:val="21"/>
        </w:rPr>
        <w:t>5</w:t>
      </w:r>
      <w:r>
        <w:rPr>
          <w:spacing w:val="-1"/>
          <w:w w:val="100"/>
          <w:sz w:val="21"/>
        </w:rPr>
        <w:t>8</w:t>
      </w:r>
      <w:r>
        <w:rPr>
          <w:spacing w:val="1"/>
          <w:w w:val="100"/>
          <w:sz w:val="21"/>
        </w:rPr>
        <w:t>3</w:t>
      </w:r>
      <w:r>
        <w:rPr>
          <w:spacing w:val="-1"/>
          <w:w w:val="100"/>
          <w:sz w:val="21"/>
        </w:rPr>
        <w:t>-</w:t>
      </w:r>
      <w:r>
        <w:rPr>
          <w:spacing w:val="-3"/>
          <w:w w:val="100"/>
          <w:sz w:val="21"/>
        </w:rPr>
        <w:t>9</w:t>
      </w:r>
      <w:r>
        <w:rPr>
          <w:w w:val="100"/>
          <w:sz w:val="21"/>
        </w:rPr>
        <w:t>1);</w:t>
      </w:r>
      <w:r>
        <w:rPr>
          <w:spacing w:val="11"/>
          <w:sz w:val="21"/>
        </w:rPr>
        <w:t> </w:t>
      </w:r>
      <w:r>
        <w:rPr>
          <w:w w:val="100"/>
          <w:sz w:val="21"/>
        </w:rPr>
        <w:t>John</w:t>
      </w:r>
      <w:r>
        <w:rPr>
          <w:spacing w:val="13"/>
          <w:sz w:val="21"/>
        </w:rPr>
        <w:t> </w:t>
      </w:r>
      <w:r>
        <w:rPr>
          <w:spacing w:val="-1"/>
          <w:w w:val="100"/>
          <w:sz w:val="21"/>
        </w:rPr>
        <w:t>M</w:t>
      </w:r>
      <w:r>
        <w:rPr>
          <w:spacing w:val="-2"/>
          <w:w w:val="100"/>
          <w:sz w:val="21"/>
        </w:rPr>
        <w:t>i</w:t>
      </w:r>
      <w:r>
        <w:rPr>
          <w:w w:val="100"/>
          <w:sz w:val="21"/>
        </w:rPr>
        <w:t>l</w:t>
      </w:r>
      <w:r>
        <w:rPr>
          <w:spacing w:val="-3"/>
          <w:w w:val="100"/>
          <w:sz w:val="21"/>
        </w:rPr>
        <w:t>d</w:t>
      </w:r>
      <w:r>
        <w:rPr>
          <w:w w:val="100"/>
          <w:sz w:val="21"/>
        </w:rPr>
        <w:t>en</w:t>
      </w:r>
      <w:r>
        <w:rPr>
          <w:spacing w:val="-2"/>
          <w:w w:val="100"/>
          <w:sz w:val="21"/>
        </w:rPr>
        <w:t>h</w:t>
      </w:r>
      <w:r>
        <w:rPr>
          <w:w w:val="100"/>
          <w:sz w:val="21"/>
        </w:rPr>
        <w:t>a</w:t>
      </w:r>
      <w:r>
        <w:rPr>
          <w:spacing w:val="-2"/>
          <w:w w:val="100"/>
          <w:sz w:val="21"/>
        </w:rPr>
        <w:t>l</w:t>
      </w:r>
      <w:r>
        <w:rPr>
          <w:w w:val="100"/>
          <w:sz w:val="21"/>
        </w:rPr>
        <w:t>l</w:t>
      </w:r>
      <w:r>
        <w:rPr>
          <w:spacing w:val="14"/>
          <w:sz w:val="21"/>
        </w:rPr>
        <w:t> </w:t>
      </w:r>
      <w:r>
        <w:rPr>
          <w:spacing w:val="-1"/>
          <w:w w:val="100"/>
          <w:sz w:val="21"/>
        </w:rPr>
        <w:t>(</w:t>
      </w:r>
      <w:r>
        <w:rPr>
          <w:w w:val="100"/>
          <w:sz w:val="21"/>
        </w:rPr>
        <w:t>159</w:t>
      </w:r>
      <w:r>
        <w:rPr>
          <w:spacing w:val="1"/>
          <w:w w:val="100"/>
          <w:sz w:val="21"/>
        </w:rPr>
        <w:t>9</w:t>
      </w:r>
      <w:r>
        <w:rPr>
          <w:spacing w:val="-4"/>
          <w:w w:val="100"/>
          <w:sz w:val="21"/>
        </w:rPr>
        <w:t>-</w:t>
      </w:r>
      <w:r>
        <w:rPr>
          <w:w w:val="100"/>
          <w:sz w:val="21"/>
        </w:rPr>
        <w:t>16</w:t>
      </w:r>
      <w:r>
        <w:rPr>
          <w:spacing w:val="-2"/>
          <w:w w:val="100"/>
          <w:sz w:val="21"/>
        </w:rPr>
        <w:t>0</w:t>
      </w:r>
      <w:r>
        <w:rPr>
          <w:w w:val="100"/>
          <w:sz w:val="21"/>
        </w:rPr>
        <w:t>6);</w:t>
      </w:r>
      <w:r>
        <w:rPr>
          <w:spacing w:val="6"/>
          <w:sz w:val="21"/>
        </w:rPr>
        <w:t> </w:t>
      </w:r>
      <w:r>
        <w:rPr>
          <w:spacing w:val="6"/>
          <w:w w:val="100"/>
          <w:sz w:val="21"/>
        </w:rPr>
        <w:t>W</w:t>
      </w:r>
      <w:r>
        <w:rPr>
          <w:spacing w:val="-2"/>
          <w:w w:val="100"/>
          <w:sz w:val="21"/>
        </w:rPr>
        <w:t>il</w:t>
      </w:r>
      <w:r>
        <w:rPr>
          <w:w w:val="100"/>
          <w:sz w:val="21"/>
        </w:rPr>
        <w:t>l</w:t>
      </w:r>
      <w:r>
        <w:rPr>
          <w:spacing w:val="-2"/>
          <w:w w:val="100"/>
          <w:sz w:val="21"/>
        </w:rPr>
        <w:t>i</w:t>
      </w:r>
      <w:r>
        <w:rPr>
          <w:spacing w:val="-3"/>
          <w:w w:val="100"/>
          <w:sz w:val="21"/>
        </w:rPr>
        <w:t>a</w:t>
      </w:r>
      <w:r>
        <w:rPr>
          <w:w w:val="100"/>
          <w:sz w:val="21"/>
        </w:rPr>
        <w:t>m </w:t>
      </w:r>
      <w:r>
        <w:rPr>
          <w:sz w:val="21"/>
        </w:rPr>
        <w:t>Hawkins (1608-13); William Finch (1608-11); Nicholas Withington (1612-16); Thomas Coriyat (1612-17) and Edward Terry</w:t>
      </w:r>
      <w:r>
        <w:rPr>
          <w:spacing w:val="-5"/>
          <w:sz w:val="21"/>
        </w:rPr>
        <w:t> </w:t>
      </w:r>
      <w:r>
        <w:rPr>
          <w:sz w:val="21"/>
        </w:rPr>
        <w:t>(1616-19).‖</w:t>
      </w:r>
    </w:p>
    <w:p>
      <w:pPr>
        <w:pStyle w:val="BodyText"/>
        <w:rPr>
          <w:sz w:val="24"/>
        </w:rPr>
      </w:pPr>
    </w:p>
    <w:p>
      <w:pPr>
        <w:pStyle w:val="BodyText"/>
        <w:rPr>
          <w:sz w:val="21"/>
        </w:rPr>
      </w:pPr>
    </w:p>
    <w:p>
      <w:pPr>
        <w:pStyle w:val="BodyText"/>
        <w:spacing w:line="480" w:lineRule="auto"/>
        <w:ind w:left="500" w:right="434"/>
        <w:jc w:val="both"/>
      </w:pPr>
      <w:r>
        <w:rPr/>
        <w:t>Among them, </w:t>
      </w:r>
      <w:r>
        <w:rPr>
          <w:b/>
        </w:rPr>
        <w:t>William Finch </w:t>
      </w:r>
      <w:r>
        <w:rPr/>
        <w:t>arrived in India in August 1608 at Surat with Captain Hawkins. According to the Hindu parties, the significance of the account of </w:t>
      </w:r>
      <w:r>
        <w:rPr>
          <w:b/>
        </w:rPr>
        <w:t>William Finch</w:t>
      </w:r>
      <w:r>
        <w:rPr/>
        <w:t>, who visited Ayodhya between 1608-1611 is that he did not find any building of importance of Islamic origin. There is a reference in the travels of </w:t>
      </w:r>
      <w:r>
        <w:rPr>
          <w:b/>
        </w:rPr>
        <w:t>William Finch </w:t>
      </w:r>
      <w:r>
        <w:rPr/>
        <w:t>to</w:t>
      </w:r>
      <w:r>
        <w:rPr>
          <w:spacing w:val="-1"/>
        </w:rPr>
        <w:t> </w:t>
      </w:r>
      <w:r>
        <w:rPr/>
        <w:t>Ayodhya:</w:t>
      </w:r>
    </w:p>
    <w:p>
      <w:pPr>
        <w:spacing w:line="276" w:lineRule="auto" w:before="3"/>
        <w:ind w:left="1940" w:right="2261" w:firstLine="0"/>
        <w:jc w:val="both"/>
        <w:rPr>
          <w:sz w:val="21"/>
        </w:rPr>
      </w:pPr>
      <w:r>
        <w:rPr>
          <w:spacing w:val="-1"/>
          <w:w w:val="33"/>
          <w:sz w:val="21"/>
        </w:rPr>
        <w:t>―</w:t>
      </w:r>
      <w:r>
        <w:rPr>
          <w:w w:val="100"/>
          <w:sz w:val="21"/>
        </w:rPr>
        <w:t>To</w:t>
      </w:r>
      <w:r>
        <w:rPr>
          <w:sz w:val="21"/>
        </w:rPr>
        <w:t> </w:t>
      </w:r>
      <w:r>
        <w:rPr>
          <w:spacing w:val="-23"/>
          <w:sz w:val="21"/>
        </w:rPr>
        <w:t> </w:t>
      </w:r>
      <w:r>
        <w:rPr>
          <w:spacing w:val="-2"/>
          <w:w w:val="100"/>
          <w:sz w:val="21"/>
        </w:rPr>
        <w:t>O</w:t>
      </w:r>
      <w:r>
        <w:rPr>
          <w:spacing w:val="-1"/>
          <w:w w:val="100"/>
          <w:sz w:val="21"/>
        </w:rPr>
        <w:t>u</w:t>
      </w:r>
      <w:r>
        <w:rPr>
          <w:spacing w:val="-3"/>
          <w:w w:val="100"/>
          <w:sz w:val="21"/>
        </w:rPr>
        <w:t>d</w:t>
      </w:r>
      <w:r>
        <w:rPr>
          <w:w w:val="100"/>
          <w:sz w:val="21"/>
        </w:rPr>
        <w:t>e</w:t>
      </w:r>
      <w:r>
        <w:rPr>
          <w:sz w:val="21"/>
        </w:rPr>
        <w:t> </w:t>
      </w:r>
      <w:r>
        <w:rPr>
          <w:spacing w:val="-24"/>
          <w:sz w:val="21"/>
        </w:rPr>
        <w:t> </w:t>
      </w:r>
      <w:r>
        <w:rPr>
          <w:spacing w:val="-1"/>
          <w:w w:val="100"/>
          <w:sz w:val="21"/>
        </w:rPr>
        <w:t>(</w:t>
      </w:r>
      <w:r>
        <w:rPr>
          <w:w w:val="100"/>
          <w:sz w:val="21"/>
        </w:rPr>
        <w:t>A</w:t>
      </w:r>
      <w:r>
        <w:rPr>
          <w:spacing w:val="-2"/>
          <w:w w:val="100"/>
          <w:sz w:val="21"/>
        </w:rPr>
        <w:t>j</w:t>
      </w:r>
      <w:r>
        <w:rPr>
          <w:spacing w:val="-1"/>
          <w:w w:val="100"/>
          <w:sz w:val="21"/>
        </w:rPr>
        <w:t>odh</w:t>
      </w:r>
      <w:r>
        <w:rPr>
          <w:spacing w:val="-2"/>
          <w:w w:val="100"/>
          <w:sz w:val="21"/>
        </w:rPr>
        <w:t>y</w:t>
      </w:r>
      <w:r>
        <w:rPr>
          <w:spacing w:val="-1"/>
          <w:w w:val="100"/>
          <w:sz w:val="21"/>
        </w:rPr>
        <w:t>a</w:t>
      </w:r>
      <w:r>
        <w:rPr>
          <w:w w:val="100"/>
          <w:sz w:val="21"/>
        </w:rPr>
        <w:t>)</w:t>
      </w:r>
      <w:r>
        <w:rPr>
          <w:sz w:val="21"/>
        </w:rPr>
        <w:t> </w:t>
      </w:r>
      <w:r>
        <w:rPr>
          <w:spacing w:val="-24"/>
          <w:sz w:val="21"/>
        </w:rPr>
        <w:t> </w:t>
      </w:r>
      <w:r>
        <w:rPr>
          <w:spacing w:val="1"/>
          <w:w w:val="100"/>
          <w:sz w:val="21"/>
        </w:rPr>
        <w:t>f</w:t>
      </w:r>
      <w:r>
        <w:rPr>
          <w:spacing w:val="-4"/>
          <w:w w:val="100"/>
          <w:sz w:val="21"/>
        </w:rPr>
        <w:t>r</w:t>
      </w:r>
      <w:r>
        <w:rPr>
          <w:spacing w:val="-3"/>
          <w:w w:val="100"/>
          <w:sz w:val="21"/>
        </w:rPr>
        <w:t>o</w:t>
      </w:r>
      <w:r>
        <w:rPr>
          <w:w w:val="100"/>
          <w:sz w:val="21"/>
        </w:rPr>
        <w:t>m</w:t>
      </w:r>
      <w:r>
        <w:rPr>
          <w:sz w:val="21"/>
        </w:rPr>
        <w:t> </w:t>
      </w:r>
      <w:r>
        <w:rPr>
          <w:spacing w:val="-24"/>
          <w:sz w:val="21"/>
        </w:rPr>
        <w:t> </w:t>
      </w:r>
      <w:r>
        <w:rPr>
          <w:spacing w:val="-2"/>
          <w:w w:val="100"/>
          <w:sz w:val="21"/>
        </w:rPr>
        <w:t>t</w:t>
      </w:r>
      <w:r>
        <w:rPr>
          <w:spacing w:val="-1"/>
          <w:w w:val="100"/>
          <w:sz w:val="21"/>
        </w:rPr>
        <w:t>henc</w:t>
      </w:r>
      <w:r>
        <w:rPr>
          <w:w w:val="100"/>
          <w:sz w:val="21"/>
        </w:rPr>
        <w:t>e</w:t>
      </w:r>
      <w:r>
        <w:rPr>
          <w:sz w:val="21"/>
        </w:rPr>
        <w:t> </w:t>
      </w:r>
      <w:r>
        <w:rPr>
          <w:spacing w:val="-23"/>
          <w:sz w:val="21"/>
        </w:rPr>
        <w:t> </w:t>
      </w:r>
      <w:r>
        <w:rPr>
          <w:spacing w:val="-1"/>
          <w:w w:val="100"/>
          <w:sz w:val="21"/>
        </w:rPr>
        <w:t>a</w:t>
      </w:r>
      <w:r>
        <w:rPr>
          <w:spacing w:val="-3"/>
          <w:w w:val="100"/>
          <w:sz w:val="21"/>
        </w:rPr>
        <w:t>r</w:t>
      </w:r>
      <w:r>
        <w:rPr>
          <w:w w:val="100"/>
          <w:sz w:val="21"/>
        </w:rPr>
        <w:t>e</w:t>
      </w:r>
      <w:r>
        <w:rPr>
          <w:sz w:val="21"/>
        </w:rPr>
        <w:t> </w:t>
      </w:r>
      <w:r>
        <w:rPr>
          <w:spacing w:val="-24"/>
          <w:sz w:val="21"/>
        </w:rPr>
        <w:t> </w:t>
      </w:r>
      <w:r>
        <w:rPr>
          <w:spacing w:val="-1"/>
          <w:w w:val="100"/>
          <w:sz w:val="21"/>
        </w:rPr>
        <w:t>50c</w:t>
      </w:r>
      <w:r>
        <w:rPr>
          <w:w w:val="100"/>
          <w:sz w:val="21"/>
        </w:rPr>
        <w:t>;</w:t>
      </w:r>
      <w:r>
        <w:rPr>
          <w:sz w:val="21"/>
        </w:rPr>
        <w:t> </w:t>
      </w:r>
      <w:r>
        <w:rPr>
          <w:spacing w:val="-25"/>
          <w:sz w:val="21"/>
        </w:rPr>
        <w:t> </w:t>
      </w:r>
      <w:r>
        <w:rPr>
          <w:w w:val="100"/>
          <w:sz w:val="21"/>
        </w:rPr>
        <w:t>a</w:t>
      </w:r>
      <w:r>
        <w:rPr>
          <w:sz w:val="21"/>
        </w:rPr>
        <w:t> </w:t>
      </w:r>
      <w:r>
        <w:rPr>
          <w:spacing w:val="-24"/>
          <w:sz w:val="21"/>
        </w:rPr>
        <w:t> </w:t>
      </w:r>
      <w:r>
        <w:rPr>
          <w:spacing w:val="-3"/>
          <w:w w:val="100"/>
          <w:sz w:val="21"/>
        </w:rPr>
        <w:t>c</w:t>
      </w:r>
      <w:r>
        <w:rPr>
          <w:w w:val="100"/>
          <w:sz w:val="21"/>
        </w:rPr>
        <w:t>i</w:t>
      </w:r>
      <w:r>
        <w:rPr>
          <w:spacing w:val="-2"/>
          <w:w w:val="100"/>
          <w:sz w:val="21"/>
        </w:rPr>
        <w:t>t</w:t>
      </w:r>
      <w:r>
        <w:rPr>
          <w:w w:val="100"/>
          <w:sz w:val="21"/>
        </w:rPr>
        <w:t>ie</w:t>
      </w:r>
      <w:r>
        <w:rPr>
          <w:sz w:val="21"/>
        </w:rPr>
        <w:t> </w:t>
      </w:r>
      <w:r>
        <w:rPr>
          <w:spacing w:val="-26"/>
          <w:sz w:val="21"/>
        </w:rPr>
        <w:t> </w:t>
      </w:r>
      <w:r>
        <w:rPr>
          <w:spacing w:val="-1"/>
          <w:w w:val="100"/>
          <w:sz w:val="21"/>
        </w:rPr>
        <w:t>o</w:t>
      </w:r>
      <w:r>
        <w:rPr>
          <w:w w:val="100"/>
          <w:sz w:val="21"/>
        </w:rPr>
        <w:t>f</w:t>
      </w:r>
      <w:r>
        <w:rPr>
          <w:sz w:val="21"/>
        </w:rPr>
        <w:t> </w:t>
      </w:r>
      <w:r>
        <w:rPr>
          <w:spacing w:val="-23"/>
          <w:sz w:val="21"/>
        </w:rPr>
        <w:t> </w:t>
      </w:r>
      <w:r>
        <w:rPr>
          <w:spacing w:val="-3"/>
          <w:w w:val="100"/>
          <w:sz w:val="21"/>
        </w:rPr>
        <w:t>a</w:t>
      </w:r>
      <w:r>
        <w:rPr>
          <w:spacing w:val="-1"/>
          <w:w w:val="100"/>
          <w:sz w:val="21"/>
        </w:rPr>
        <w:t>nc</w:t>
      </w:r>
      <w:r>
        <w:rPr>
          <w:spacing w:val="-2"/>
          <w:w w:val="100"/>
          <w:sz w:val="21"/>
        </w:rPr>
        <w:t>i</w:t>
      </w:r>
      <w:r>
        <w:rPr>
          <w:spacing w:val="-1"/>
          <w:w w:val="100"/>
          <w:sz w:val="21"/>
        </w:rPr>
        <w:t>ent </w:t>
      </w:r>
      <w:r>
        <w:rPr>
          <w:sz w:val="21"/>
        </w:rPr>
        <w:t>note, and seate of a Potan king, now much ruined; the castle built four hundred yeeres agoe. Heere are also the ruines of Ranichand(s) castle and houses, which the Indians acknowled(g)e for the great God, saying that he took flesh upon him to see the tamasha of the world. In these ruins remayne certaine Bramenes, who record the names of all such Indians as wash themselves in the river running</w:t>
      </w:r>
      <w:r>
        <w:rPr>
          <w:spacing w:val="57"/>
          <w:sz w:val="21"/>
        </w:rPr>
        <w:t> </w:t>
      </w:r>
      <w:r>
        <w:rPr>
          <w:sz w:val="21"/>
        </w:rPr>
        <w:t>thereby</w:t>
      </w:r>
    </w:p>
    <w:p>
      <w:pPr>
        <w:spacing w:line="276" w:lineRule="auto" w:before="0"/>
        <w:ind w:left="1940" w:right="2259" w:firstLine="0"/>
        <w:jc w:val="both"/>
        <w:rPr>
          <w:sz w:val="21"/>
        </w:rPr>
      </w:pPr>
      <w:r>
        <w:rPr>
          <w:sz w:val="21"/>
        </w:rPr>
        <w:t>; which custome, they say, hath continued foure lackes of yeeres (which is three hundred ninetie foure thousand and five hundred yeeres before the worlds creation). Some two miles on the further side of the river is a cave of his with a narrow entrance, but so spacious and full of turnings within that a man may well loose himself there, if he take not better heed ; where it is thought his ashes were buried. Hither resort many from all parts of India, which carry from hence in remembrance certaine graines of rice as blacke as gun- powder, which they say have beene reserved ever since. Out of the ruines of this castle is yet much gold tried. Here is great trade, and such abundance of Indian asse-horne that they make hereof bucklers and divers sorts of drinking cups. There are of these hornes, all </w:t>
      </w:r>
      <w:r>
        <w:rPr>
          <w:spacing w:val="-3"/>
          <w:sz w:val="21"/>
        </w:rPr>
        <w:t>the </w:t>
      </w:r>
      <w:r>
        <w:rPr>
          <w:sz w:val="21"/>
        </w:rPr>
        <w:t>Indians affirme, some rare of</w:t>
      </w:r>
      <w:r>
        <w:rPr>
          <w:spacing w:val="-3"/>
          <w:sz w:val="21"/>
        </w:rPr>
        <w:t> </w:t>
      </w:r>
      <w:r>
        <w:rPr>
          <w:sz w:val="21"/>
        </w:rPr>
        <w:t>great</w:t>
      </w:r>
    </w:p>
    <w:p>
      <w:pPr>
        <w:pStyle w:val="BodyText"/>
        <w:rPr>
          <w:sz w:val="20"/>
        </w:rPr>
      </w:pPr>
    </w:p>
    <w:p>
      <w:pPr>
        <w:pStyle w:val="BodyText"/>
        <w:spacing w:before="4"/>
      </w:pPr>
      <w:r>
        <w:rPr/>
        <w:pict>
          <v:rect style="position:absolute;margin-left:72.024002pt;margin-top:16.566725pt;width:144.020pt;height:.599980pt;mso-position-horizontal-relative:page;mso-position-vertical-relative:paragraph;z-index:-15643648;mso-wrap-distance-left:0;mso-wrap-distance-right:0" filled="true" fillcolor="#000000" stroked="false">
            <v:fill type="solid"/>
            <w10:wrap type="topAndBottom"/>
          </v:rect>
        </w:pict>
      </w:r>
    </w:p>
    <w:p>
      <w:pPr>
        <w:spacing w:before="80"/>
        <w:ind w:left="500" w:right="0" w:firstLine="0"/>
        <w:jc w:val="left"/>
        <w:rPr>
          <w:sz w:val="18"/>
        </w:rPr>
      </w:pPr>
      <w:r>
        <w:rPr>
          <w:w w:val="97"/>
          <w:sz w:val="18"/>
          <w:vertAlign w:val="superscript"/>
        </w:rPr>
        <w:t>299</w:t>
      </w:r>
      <w:r>
        <w:rPr>
          <w:spacing w:val="5"/>
          <w:sz w:val="18"/>
          <w:vertAlign w:val="baseline"/>
        </w:rPr>
        <w:t>W</w:t>
      </w:r>
      <w:r>
        <w:rPr>
          <w:spacing w:val="-2"/>
          <w:sz w:val="18"/>
          <w:vertAlign w:val="baseline"/>
        </w:rPr>
        <w:t>ill</w:t>
      </w:r>
      <w:r>
        <w:rPr>
          <w:sz w:val="18"/>
          <w:vertAlign w:val="baseline"/>
        </w:rPr>
        <w:t>iam</w:t>
      </w:r>
      <w:r>
        <w:rPr>
          <w:spacing w:val="-2"/>
          <w:sz w:val="18"/>
          <w:vertAlign w:val="baseline"/>
        </w:rPr>
        <w:t> </w:t>
      </w:r>
      <w:r>
        <w:rPr>
          <w:sz w:val="18"/>
          <w:vertAlign w:val="baseline"/>
        </w:rPr>
        <w:t>Fo</w:t>
      </w:r>
      <w:r>
        <w:rPr>
          <w:spacing w:val="-2"/>
          <w:sz w:val="18"/>
          <w:vertAlign w:val="baseline"/>
        </w:rPr>
        <w:t>s</w:t>
      </w:r>
      <w:r>
        <w:rPr>
          <w:sz w:val="18"/>
          <w:vertAlign w:val="baseline"/>
        </w:rPr>
        <w:t>ter, </w:t>
      </w:r>
      <w:r>
        <w:rPr>
          <w:spacing w:val="1"/>
          <w:w w:val="33"/>
          <w:sz w:val="18"/>
          <w:vertAlign w:val="baseline"/>
        </w:rPr>
        <w:t>―</w:t>
      </w:r>
      <w:r>
        <w:rPr>
          <w:spacing w:val="-3"/>
          <w:w w:val="100"/>
          <w:sz w:val="18"/>
          <w:vertAlign w:val="baseline"/>
        </w:rPr>
        <w:t>E</w:t>
      </w:r>
      <w:r>
        <w:rPr>
          <w:w w:val="99"/>
          <w:sz w:val="18"/>
          <w:vertAlign w:val="baseline"/>
        </w:rPr>
        <w:t>arl</w:t>
      </w:r>
      <w:r>
        <w:rPr>
          <w:sz w:val="18"/>
          <w:vertAlign w:val="baseline"/>
        </w:rPr>
        <w:t>y</w:t>
      </w:r>
      <w:r>
        <w:rPr>
          <w:spacing w:val="-2"/>
          <w:sz w:val="18"/>
          <w:vertAlign w:val="baseline"/>
        </w:rPr>
        <w:t> </w:t>
      </w:r>
      <w:r>
        <w:rPr>
          <w:spacing w:val="-2"/>
          <w:w w:val="100"/>
          <w:sz w:val="18"/>
          <w:vertAlign w:val="baseline"/>
        </w:rPr>
        <w:t>T</w:t>
      </w:r>
      <w:r>
        <w:rPr>
          <w:w w:val="99"/>
          <w:sz w:val="18"/>
          <w:vertAlign w:val="baseline"/>
        </w:rPr>
        <w:t>ra</w:t>
      </w:r>
      <w:r>
        <w:rPr>
          <w:spacing w:val="-2"/>
          <w:sz w:val="18"/>
          <w:vertAlign w:val="baseline"/>
        </w:rPr>
        <w:t>v</w:t>
      </w:r>
      <w:r>
        <w:rPr>
          <w:w w:val="99"/>
          <w:sz w:val="18"/>
          <w:vertAlign w:val="baseline"/>
        </w:rPr>
        <w:t>e</w:t>
      </w:r>
      <w:r>
        <w:rPr>
          <w:w w:val="99"/>
          <w:sz w:val="18"/>
          <w:vertAlign w:val="baseline"/>
        </w:rPr>
        <w:t>l</w:t>
      </w:r>
      <w:r>
        <w:rPr>
          <w:sz w:val="18"/>
          <w:vertAlign w:val="baseline"/>
        </w:rPr>
        <w:t>s</w:t>
      </w:r>
      <w:r>
        <w:rPr>
          <w:spacing w:val="1"/>
          <w:sz w:val="18"/>
          <w:vertAlign w:val="baseline"/>
        </w:rPr>
        <w:t> </w:t>
      </w:r>
      <w:r>
        <w:rPr>
          <w:spacing w:val="-2"/>
          <w:w w:val="99"/>
          <w:sz w:val="18"/>
          <w:vertAlign w:val="baseline"/>
        </w:rPr>
        <w:t>i</w:t>
      </w:r>
      <w:r>
        <w:rPr>
          <w:w w:val="99"/>
          <w:sz w:val="18"/>
          <w:vertAlign w:val="baseline"/>
        </w:rPr>
        <w:t>n</w:t>
      </w:r>
      <w:r>
        <w:rPr>
          <w:sz w:val="18"/>
          <w:vertAlign w:val="baseline"/>
        </w:rPr>
        <w:t> </w:t>
      </w:r>
      <w:r>
        <w:rPr>
          <w:w w:val="100"/>
          <w:sz w:val="18"/>
          <w:vertAlign w:val="baseline"/>
        </w:rPr>
        <w:t>I</w:t>
      </w:r>
      <w:r>
        <w:rPr>
          <w:w w:val="99"/>
          <w:sz w:val="18"/>
          <w:vertAlign w:val="baseline"/>
        </w:rPr>
        <w:t>n</w:t>
      </w:r>
      <w:r>
        <w:rPr>
          <w:spacing w:val="-2"/>
          <w:w w:val="99"/>
          <w:sz w:val="18"/>
          <w:vertAlign w:val="baseline"/>
        </w:rPr>
        <w:t>d</w:t>
      </w:r>
      <w:r>
        <w:rPr>
          <w:w w:val="99"/>
          <w:sz w:val="18"/>
          <w:vertAlign w:val="baseline"/>
        </w:rPr>
        <w:t>i</w:t>
      </w:r>
      <w:r>
        <w:rPr>
          <w:w w:val="99"/>
          <w:sz w:val="18"/>
          <w:vertAlign w:val="baseline"/>
        </w:rPr>
        <w:t>a</w:t>
      </w:r>
      <w:r>
        <w:rPr>
          <w:sz w:val="18"/>
          <w:vertAlign w:val="baseline"/>
        </w:rPr>
        <w:t> </w:t>
      </w:r>
      <w:r>
        <w:rPr>
          <w:w w:val="99"/>
          <w:sz w:val="18"/>
          <w:vertAlign w:val="baseline"/>
        </w:rPr>
        <w:t>(</w:t>
      </w:r>
      <w:r>
        <w:rPr>
          <w:spacing w:val="-2"/>
          <w:w w:val="99"/>
          <w:sz w:val="18"/>
          <w:vertAlign w:val="baseline"/>
        </w:rPr>
        <w:t>1</w:t>
      </w:r>
      <w:r>
        <w:rPr>
          <w:w w:val="99"/>
          <w:sz w:val="18"/>
          <w:vertAlign w:val="baseline"/>
        </w:rPr>
        <w:t>58</w:t>
      </w:r>
      <w:r>
        <w:rPr>
          <w:spacing w:val="3"/>
          <w:w w:val="99"/>
          <w:sz w:val="18"/>
          <w:vertAlign w:val="baseline"/>
        </w:rPr>
        <w:t>3</w:t>
      </w:r>
      <w:r>
        <w:rPr>
          <w:w w:val="99"/>
          <w:sz w:val="18"/>
          <w:vertAlign w:val="baseline"/>
        </w:rPr>
        <w:t>-</w:t>
      </w:r>
      <w:r>
        <w:rPr>
          <w:spacing w:val="-2"/>
          <w:w w:val="99"/>
          <w:sz w:val="18"/>
          <w:vertAlign w:val="baseline"/>
        </w:rPr>
        <w:t>1</w:t>
      </w:r>
      <w:r>
        <w:rPr>
          <w:w w:val="99"/>
          <w:sz w:val="18"/>
          <w:vertAlign w:val="baseline"/>
        </w:rPr>
        <w:t>619</w:t>
      </w:r>
      <w:r>
        <w:rPr>
          <w:w w:val="92"/>
          <w:sz w:val="18"/>
          <w:vertAlign w:val="baseline"/>
        </w:rPr>
        <w:t>)‖,</w:t>
      </w:r>
      <w:r>
        <w:rPr>
          <w:spacing w:val="-2"/>
          <w:sz w:val="18"/>
          <w:vertAlign w:val="baseline"/>
        </w:rPr>
        <w:t> </w:t>
      </w:r>
      <w:r>
        <w:rPr>
          <w:sz w:val="18"/>
          <w:vertAlign w:val="baseline"/>
        </w:rPr>
        <w:t>L</w:t>
      </w:r>
      <w:r>
        <w:rPr>
          <w:spacing w:val="-2"/>
          <w:sz w:val="18"/>
          <w:vertAlign w:val="baseline"/>
        </w:rPr>
        <w:t>o</w:t>
      </w:r>
      <w:r>
        <w:rPr>
          <w:sz w:val="18"/>
          <w:vertAlign w:val="baseline"/>
        </w:rPr>
        <w:t>ndon</w:t>
      </w:r>
      <w:r>
        <w:rPr>
          <w:spacing w:val="-2"/>
          <w:sz w:val="18"/>
          <w:vertAlign w:val="baseline"/>
        </w:rPr>
        <w:t> (</w:t>
      </w:r>
      <w:r>
        <w:rPr>
          <w:sz w:val="18"/>
          <w:vertAlign w:val="baseline"/>
        </w:rPr>
        <w:t>1921) </w:t>
      </w:r>
      <w:r>
        <w:rPr>
          <w:w w:val="99"/>
          <w:sz w:val="18"/>
          <w:vertAlign w:val="baseline"/>
        </w:rPr>
        <w:t>a</w:t>
      </w:r>
      <w:r>
        <w:rPr>
          <w:w w:val="100"/>
          <w:sz w:val="18"/>
          <w:vertAlign w:val="baseline"/>
        </w:rPr>
        <w:t>t</w:t>
      </w:r>
      <w:r>
        <w:rPr>
          <w:sz w:val="18"/>
          <w:vertAlign w:val="baseline"/>
        </w:rPr>
        <w:t> </w:t>
      </w:r>
      <w:r>
        <w:rPr>
          <w:spacing w:val="-2"/>
          <w:w w:val="99"/>
          <w:sz w:val="18"/>
          <w:vertAlign w:val="baseline"/>
        </w:rPr>
        <w:t>p</w:t>
      </w:r>
      <w:r>
        <w:rPr>
          <w:w w:val="99"/>
          <w:sz w:val="18"/>
          <w:vertAlign w:val="baseline"/>
        </w:rPr>
        <w:t>g</w:t>
      </w:r>
      <w:r>
        <w:rPr>
          <w:sz w:val="18"/>
          <w:vertAlign w:val="baseline"/>
        </w:rPr>
        <w:t> </w:t>
      </w:r>
      <w:r>
        <w:rPr>
          <w:w w:val="99"/>
          <w:sz w:val="18"/>
          <w:vertAlign w:val="baseline"/>
        </w:rPr>
        <w:t>1</w:t>
      </w:r>
      <w:r>
        <w:rPr>
          <w:spacing w:val="-2"/>
          <w:w w:val="99"/>
          <w:sz w:val="18"/>
          <w:vertAlign w:val="baseline"/>
        </w:rPr>
        <w:t>7</w:t>
      </w:r>
      <w:r>
        <w:rPr>
          <w:w w:val="99"/>
          <w:sz w:val="18"/>
          <w:vertAlign w:val="baseline"/>
        </w:rPr>
        <w:t>6</w:t>
      </w:r>
    </w:p>
    <w:p>
      <w:pPr>
        <w:spacing w:after="0"/>
        <w:jc w:val="left"/>
        <w:rPr>
          <w:sz w:val="18"/>
        </w:rPr>
        <w:sectPr>
          <w:pgSz w:w="11910" w:h="16840"/>
          <w:pgMar w:header="721" w:footer="1014" w:top="1300" w:bottom="1200" w:left="940" w:right="1000"/>
        </w:sectPr>
      </w:pPr>
    </w:p>
    <w:p>
      <w:pPr>
        <w:spacing w:line="276" w:lineRule="auto" w:before="122"/>
        <w:ind w:left="1940" w:right="2264" w:firstLine="0"/>
        <w:jc w:val="both"/>
        <w:rPr>
          <w:sz w:val="21"/>
        </w:rPr>
      </w:pPr>
      <w:r>
        <w:rPr>
          <w:sz w:val="21"/>
        </w:rPr>
        <w:t>price, no jewell comparable, some esteeming them the right unicorns horne.‖</w:t>
      </w:r>
    </w:p>
    <w:p>
      <w:pPr>
        <w:pStyle w:val="BodyText"/>
        <w:spacing w:before="6"/>
        <w:rPr>
          <w:sz w:val="31"/>
        </w:rPr>
      </w:pPr>
    </w:p>
    <w:p>
      <w:pPr>
        <w:pStyle w:val="BodyText"/>
        <w:spacing w:line="480" w:lineRule="auto"/>
        <w:ind w:left="500" w:right="434"/>
        <w:jc w:val="both"/>
      </w:pPr>
      <w:r>
        <w:rPr>
          <w:w w:val="99"/>
        </w:rPr>
        <w:t>The</w:t>
      </w:r>
      <w:r>
        <w:rPr/>
        <w:t> </w:t>
      </w:r>
      <w:r>
        <w:rPr>
          <w:w w:val="99"/>
        </w:rPr>
        <w:t>expression</w:t>
      </w:r>
      <w:r>
        <w:rPr/>
        <w:t> </w:t>
      </w:r>
      <w:r>
        <w:rPr>
          <w:w w:val="33"/>
        </w:rPr>
        <w:t>―</w:t>
      </w:r>
      <w:r>
        <w:rPr>
          <w:w w:val="99"/>
        </w:rPr>
        <w:t>ruines</w:t>
      </w:r>
      <w:r>
        <w:rPr/>
        <w:t> </w:t>
      </w:r>
      <w:r>
        <w:rPr>
          <w:w w:val="99"/>
        </w:rPr>
        <w:t>of</w:t>
      </w:r>
      <w:r>
        <w:rPr/>
        <w:t> </w:t>
      </w:r>
      <w:r>
        <w:rPr>
          <w:w w:val="99"/>
        </w:rPr>
        <w:t>Ranichand(s)</w:t>
      </w:r>
      <w:r>
        <w:rPr/>
        <w:t> </w:t>
      </w:r>
      <w:r>
        <w:rPr>
          <w:w w:val="99"/>
        </w:rPr>
        <w:t>castle</w:t>
      </w:r>
      <w:r>
        <w:rPr/>
        <w:t> </w:t>
      </w:r>
      <w:r>
        <w:rPr>
          <w:w w:val="99"/>
        </w:rPr>
        <w:t>and</w:t>
      </w:r>
      <w:r>
        <w:rPr/>
        <w:t> </w:t>
      </w:r>
      <w:r>
        <w:rPr>
          <w:w w:val="99"/>
        </w:rPr>
        <w:t>House</w:t>
      </w:r>
      <w:r>
        <w:rPr>
          <w:w w:val="91"/>
        </w:rPr>
        <w:t>s‖</w:t>
      </w:r>
      <w:r>
        <w:rPr/>
        <w:t> </w:t>
      </w:r>
      <w:r>
        <w:rPr>
          <w:w w:val="99"/>
        </w:rPr>
        <w:t>has</w:t>
      </w:r>
      <w:r>
        <w:rPr/>
        <w:t> </w:t>
      </w:r>
      <w:r>
        <w:rPr>
          <w:w w:val="99"/>
        </w:rPr>
        <w:t>appended</w:t>
      </w:r>
      <w:r>
        <w:rPr/>
        <w:t> </w:t>
      </w:r>
      <w:r>
        <w:rPr>
          <w:w w:val="99"/>
        </w:rPr>
        <w:t>to</w:t>
      </w:r>
      <w:r>
        <w:rPr/>
        <w:t> </w:t>
      </w:r>
      <w:r>
        <w:rPr>
          <w:w w:val="99"/>
        </w:rPr>
        <w:t>it</w:t>
      </w:r>
      <w:r>
        <w:rPr/>
        <w:t> </w:t>
      </w:r>
      <w:r>
        <w:rPr>
          <w:w w:val="99"/>
        </w:rPr>
        <w:t>a footnote</w:t>
      </w:r>
      <w:r>
        <w:rPr/>
        <w:t> </w:t>
      </w:r>
      <w:r>
        <w:rPr>
          <w:w w:val="99"/>
        </w:rPr>
        <w:t>stating:</w:t>
      </w:r>
      <w:r>
        <w:rPr/>
        <w:t> </w:t>
      </w:r>
      <w:r>
        <w:rPr>
          <w:w w:val="33"/>
        </w:rPr>
        <w:t>―</w:t>
      </w:r>
      <w:r>
        <w:rPr>
          <w:w w:val="99"/>
        </w:rPr>
        <w:t>Ram</w:t>
      </w:r>
      <w:r>
        <w:rPr/>
        <w:t> </w:t>
      </w:r>
      <w:r>
        <w:rPr>
          <w:w w:val="99"/>
        </w:rPr>
        <w:t>Chandra,</w:t>
      </w:r>
      <w:r>
        <w:rPr/>
        <w:t> </w:t>
      </w:r>
      <w:r>
        <w:rPr>
          <w:w w:val="99"/>
        </w:rPr>
        <w:t>the</w:t>
      </w:r>
      <w:r>
        <w:rPr/>
        <w:t> </w:t>
      </w:r>
      <w:r>
        <w:rPr>
          <w:w w:val="99"/>
        </w:rPr>
        <w:t>hero</w:t>
      </w:r>
      <w:r>
        <w:rPr/>
        <w:t> </w:t>
      </w:r>
      <w:r>
        <w:rPr>
          <w:w w:val="99"/>
        </w:rPr>
        <w:t>of</w:t>
      </w:r>
      <w:r>
        <w:rPr/>
        <w:t> </w:t>
      </w:r>
      <w:r>
        <w:rPr>
          <w:w w:val="99"/>
        </w:rPr>
        <w:t>the</w:t>
      </w:r>
      <w:r>
        <w:rPr/>
        <w:t> </w:t>
      </w:r>
      <w:r>
        <w:rPr>
          <w:w w:val="99"/>
        </w:rPr>
        <w:t>Ramayana.</w:t>
      </w:r>
      <w:r>
        <w:rPr/>
        <w:t> </w:t>
      </w:r>
      <w:r>
        <w:rPr>
          <w:w w:val="99"/>
        </w:rPr>
        <w:t>The</w:t>
      </w:r>
      <w:r>
        <w:rPr/>
        <w:t> </w:t>
      </w:r>
      <w:r>
        <w:rPr>
          <w:w w:val="99"/>
        </w:rPr>
        <w:t>reference</w:t>
      </w:r>
      <w:r>
        <w:rPr/>
        <w:t> </w:t>
      </w:r>
      <w:r>
        <w:rPr>
          <w:w w:val="99"/>
        </w:rPr>
        <w:t>is</w:t>
      </w:r>
      <w:r>
        <w:rPr/>
        <w:t> </w:t>
      </w:r>
      <w:r>
        <w:rPr>
          <w:w w:val="99"/>
        </w:rPr>
        <w:t>to </w:t>
      </w:r>
      <w:r>
        <w:rPr/>
        <w:t>the mound known as the Ramkot or fort of Rama.‖</w:t>
      </w:r>
    </w:p>
    <w:p>
      <w:pPr>
        <w:pStyle w:val="BodyText"/>
        <w:spacing w:before="11"/>
        <w:rPr>
          <w:sz w:val="24"/>
        </w:rPr>
      </w:pPr>
    </w:p>
    <w:p>
      <w:pPr>
        <w:pStyle w:val="ListParagraph"/>
        <w:numPr>
          <w:ilvl w:val="0"/>
          <w:numId w:val="166"/>
        </w:numPr>
        <w:tabs>
          <w:tab w:pos="1221" w:val="left" w:leader="none"/>
        </w:tabs>
        <w:spacing w:line="480" w:lineRule="auto" w:before="0" w:after="0"/>
        <w:ind w:left="500" w:right="433" w:firstLine="0"/>
        <w:jc w:val="both"/>
        <w:rPr>
          <w:sz w:val="25"/>
        </w:rPr>
      </w:pPr>
      <w:r>
        <w:rPr>
          <w:b/>
          <w:sz w:val="25"/>
        </w:rPr>
        <w:t>Exhibit 133 – Suit 5: Joseph Tieffenthaler </w:t>
      </w:r>
      <w:r>
        <w:rPr>
          <w:sz w:val="25"/>
        </w:rPr>
        <w:t>wrote his travel account in </w:t>
      </w:r>
      <w:r>
        <w:rPr>
          <w:spacing w:val="-1"/>
          <w:w w:val="99"/>
          <w:sz w:val="25"/>
        </w:rPr>
        <w:t>L</w:t>
      </w:r>
      <w:r>
        <w:rPr>
          <w:w w:val="99"/>
          <w:sz w:val="25"/>
        </w:rPr>
        <w:t>atin</w:t>
      </w:r>
      <w:r>
        <w:rPr>
          <w:sz w:val="25"/>
        </w:rPr>
        <w:t> </w:t>
      </w:r>
      <w:r>
        <w:rPr>
          <w:spacing w:val="7"/>
          <w:sz w:val="25"/>
        </w:rPr>
        <w:t> </w:t>
      </w:r>
      <w:r>
        <w:rPr>
          <w:spacing w:val="-1"/>
          <w:w w:val="99"/>
          <w:sz w:val="25"/>
        </w:rPr>
        <w:t>i</w:t>
      </w:r>
      <w:r>
        <w:rPr>
          <w:w w:val="99"/>
          <w:sz w:val="25"/>
        </w:rPr>
        <w:t>n</w:t>
      </w:r>
      <w:r>
        <w:rPr>
          <w:sz w:val="25"/>
        </w:rPr>
        <w:t> </w:t>
      </w:r>
      <w:r>
        <w:rPr>
          <w:spacing w:val="7"/>
          <w:sz w:val="25"/>
        </w:rPr>
        <w:t> </w:t>
      </w:r>
      <w:r>
        <w:rPr>
          <w:spacing w:val="-1"/>
          <w:w w:val="99"/>
          <w:sz w:val="25"/>
        </w:rPr>
        <w:t>hi</w:t>
      </w:r>
      <w:r>
        <w:rPr>
          <w:w w:val="99"/>
          <w:sz w:val="25"/>
        </w:rPr>
        <w:t>s</w:t>
      </w:r>
      <w:r>
        <w:rPr>
          <w:sz w:val="25"/>
        </w:rPr>
        <w:t> </w:t>
      </w:r>
      <w:r>
        <w:rPr>
          <w:spacing w:val="7"/>
          <w:sz w:val="25"/>
        </w:rPr>
        <w:t> </w:t>
      </w:r>
      <w:r>
        <w:rPr>
          <w:spacing w:val="-1"/>
          <w:w w:val="99"/>
          <w:sz w:val="25"/>
        </w:rPr>
        <w:t>b</w:t>
      </w:r>
      <w:r>
        <w:rPr>
          <w:w w:val="99"/>
          <w:sz w:val="25"/>
        </w:rPr>
        <w:t>o</w:t>
      </w:r>
      <w:r>
        <w:rPr>
          <w:spacing w:val="-1"/>
          <w:w w:val="99"/>
          <w:sz w:val="25"/>
        </w:rPr>
        <w:t>o</w:t>
      </w:r>
      <w:r>
        <w:rPr>
          <w:w w:val="99"/>
          <w:sz w:val="25"/>
        </w:rPr>
        <w:t>k</w:t>
      </w:r>
      <w:r>
        <w:rPr>
          <w:sz w:val="25"/>
        </w:rPr>
        <w:t> </w:t>
      </w:r>
      <w:r>
        <w:rPr>
          <w:spacing w:val="5"/>
          <w:sz w:val="25"/>
        </w:rPr>
        <w:t> </w:t>
      </w:r>
      <w:r>
        <w:rPr>
          <w:w w:val="99"/>
          <w:sz w:val="25"/>
        </w:rPr>
        <w:t>titled</w:t>
      </w:r>
      <w:r>
        <w:rPr>
          <w:sz w:val="25"/>
        </w:rPr>
        <w:t> </w:t>
      </w:r>
      <w:r>
        <w:rPr>
          <w:spacing w:val="7"/>
          <w:sz w:val="25"/>
        </w:rPr>
        <w:t> </w:t>
      </w:r>
      <w:r>
        <w:rPr>
          <w:spacing w:val="3"/>
          <w:w w:val="33"/>
          <w:sz w:val="25"/>
        </w:rPr>
        <w:t>―</w:t>
      </w:r>
      <w:r>
        <w:rPr>
          <w:b/>
          <w:spacing w:val="-1"/>
          <w:w w:val="99"/>
          <w:sz w:val="25"/>
        </w:rPr>
        <w:t>Des</w:t>
      </w:r>
      <w:r>
        <w:rPr>
          <w:b/>
          <w:w w:val="99"/>
          <w:sz w:val="25"/>
        </w:rPr>
        <w:t>c</w:t>
      </w:r>
      <w:r>
        <w:rPr>
          <w:b/>
          <w:spacing w:val="-2"/>
          <w:w w:val="99"/>
          <w:sz w:val="25"/>
        </w:rPr>
        <w:t>r</w:t>
      </w:r>
      <w:r>
        <w:rPr>
          <w:b/>
          <w:w w:val="99"/>
          <w:sz w:val="25"/>
        </w:rPr>
        <w:t>i</w:t>
      </w:r>
      <w:r>
        <w:rPr>
          <w:b/>
          <w:spacing w:val="1"/>
          <w:w w:val="99"/>
          <w:sz w:val="25"/>
        </w:rPr>
        <w:t>p</w:t>
      </w:r>
      <w:r>
        <w:rPr>
          <w:b/>
          <w:w w:val="99"/>
          <w:sz w:val="25"/>
        </w:rPr>
        <w:t>ti</w:t>
      </w:r>
      <w:r>
        <w:rPr>
          <w:b/>
          <w:spacing w:val="-1"/>
          <w:w w:val="99"/>
          <w:sz w:val="25"/>
        </w:rPr>
        <w:t>o</w:t>
      </w:r>
      <w:r>
        <w:rPr>
          <w:b/>
          <w:w w:val="99"/>
          <w:sz w:val="25"/>
        </w:rPr>
        <w:t>n</w:t>
      </w:r>
      <w:r>
        <w:rPr>
          <w:b/>
          <w:sz w:val="25"/>
        </w:rPr>
        <w:t> </w:t>
      </w:r>
      <w:r>
        <w:rPr>
          <w:b/>
          <w:spacing w:val="8"/>
          <w:sz w:val="25"/>
        </w:rPr>
        <w:t> </w:t>
      </w:r>
      <w:r>
        <w:rPr>
          <w:b/>
          <w:spacing w:val="-1"/>
          <w:w w:val="99"/>
          <w:sz w:val="25"/>
        </w:rPr>
        <w:t>Hi</w:t>
      </w:r>
      <w:r>
        <w:rPr>
          <w:b/>
          <w:spacing w:val="-3"/>
          <w:w w:val="99"/>
          <w:sz w:val="25"/>
        </w:rPr>
        <w:t>s</w:t>
      </w:r>
      <w:r>
        <w:rPr>
          <w:b/>
          <w:w w:val="99"/>
          <w:sz w:val="25"/>
        </w:rPr>
        <w:t>to</w:t>
      </w:r>
      <w:r>
        <w:rPr>
          <w:b/>
          <w:spacing w:val="-2"/>
          <w:w w:val="99"/>
          <w:sz w:val="25"/>
        </w:rPr>
        <w:t>r</w:t>
      </w:r>
      <w:r>
        <w:rPr>
          <w:b/>
          <w:w w:val="99"/>
          <w:sz w:val="25"/>
        </w:rPr>
        <w:t>i</w:t>
      </w:r>
      <w:r>
        <w:rPr>
          <w:b/>
          <w:spacing w:val="1"/>
          <w:w w:val="99"/>
          <w:sz w:val="25"/>
        </w:rPr>
        <w:t>q</w:t>
      </w:r>
      <w:r>
        <w:rPr>
          <w:b/>
          <w:w w:val="99"/>
          <w:sz w:val="25"/>
        </w:rPr>
        <w:t>u</w:t>
      </w:r>
      <w:r>
        <w:rPr>
          <w:b/>
          <w:spacing w:val="-1"/>
          <w:w w:val="99"/>
          <w:sz w:val="25"/>
        </w:rPr>
        <w:t>e</w:t>
      </w:r>
      <w:r>
        <w:rPr>
          <w:b/>
          <w:w w:val="99"/>
          <w:sz w:val="25"/>
        </w:rPr>
        <w:t>et</w:t>
      </w:r>
      <w:r>
        <w:rPr>
          <w:b/>
          <w:sz w:val="25"/>
        </w:rPr>
        <w:t> </w:t>
      </w:r>
      <w:r>
        <w:rPr>
          <w:b/>
          <w:spacing w:val="5"/>
          <w:sz w:val="25"/>
        </w:rPr>
        <w:t> </w:t>
      </w:r>
      <w:r>
        <w:rPr>
          <w:b/>
          <w:w w:val="99"/>
          <w:sz w:val="25"/>
        </w:rPr>
        <w:t>Geograp</w:t>
      </w:r>
      <w:r>
        <w:rPr>
          <w:b/>
          <w:spacing w:val="-2"/>
          <w:w w:val="99"/>
          <w:sz w:val="25"/>
        </w:rPr>
        <w:t>h</w:t>
      </w:r>
      <w:r>
        <w:rPr>
          <w:b/>
          <w:w w:val="99"/>
          <w:sz w:val="25"/>
        </w:rPr>
        <w:t>i</w:t>
      </w:r>
      <w:r>
        <w:rPr>
          <w:b/>
          <w:spacing w:val="1"/>
          <w:w w:val="99"/>
          <w:sz w:val="25"/>
        </w:rPr>
        <w:t>q</w:t>
      </w:r>
      <w:r>
        <w:rPr>
          <w:b/>
          <w:w w:val="99"/>
          <w:sz w:val="25"/>
        </w:rPr>
        <w:t>ue</w:t>
      </w:r>
      <w:r>
        <w:rPr>
          <w:b/>
          <w:sz w:val="25"/>
        </w:rPr>
        <w:t> </w:t>
      </w:r>
      <w:r>
        <w:rPr>
          <w:b/>
          <w:spacing w:val="7"/>
          <w:sz w:val="25"/>
        </w:rPr>
        <w:t> </w:t>
      </w:r>
      <w:r>
        <w:rPr>
          <w:b/>
          <w:spacing w:val="-1"/>
          <w:w w:val="99"/>
          <w:sz w:val="25"/>
        </w:rPr>
        <w:t>Del‘</w:t>
      </w:r>
      <w:r>
        <w:rPr>
          <w:b/>
          <w:spacing w:val="-2"/>
          <w:w w:val="99"/>
          <w:sz w:val="25"/>
        </w:rPr>
        <w:t>i</w:t>
      </w:r>
      <w:r>
        <w:rPr>
          <w:b/>
          <w:w w:val="99"/>
          <w:sz w:val="25"/>
        </w:rPr>
        <w:t>nd</w:t>
      </w:r>
      <w:r>
        <w:rPr>
          <w:b/>
          <w:spacing w:val="5"/>
          <w:w w:val="99"/>
          <w:sz w:val="25"/>
        </w:rPr>
        <w:t>e</w:t>
      </w:r>
      <w:r>
        <w:rPr>
          <w:spacing w:val="-2"/>
          <w:w w:val="88"/>
          <w:sz w:val="25"/>
        </w:rPr>
        <w:t>‖. </w:t>
      </w:r>
      <w:r>
        <w:rPr>
          <w:b/>
          <w:sz w:val="25"/>
        </w:rPr>
        <w:t>Tieffenthaler </w:t>
      </w:r>
      <w:r>
        <w:rPr>
          <w:sz w:val="25"/>
        </w:rPr>
        <w:t>was a Jesuit Missionary, reportedly proficient in Arabic, Persian and Sanskrit and visited India in 1740. His travels were between 1743-1785</w:t>
      </w:r>
      <w:r>
        <w:rPr>
          <w:sz w:val="25"/>
          <w:vertAlign w:val="superscript"/>
        </w:rPr>
        <w:t>300</w:t>
      </w:r>
      <w:r>
        <w:rPr>
          <w:sz w:val="25"/>
          <w:vertAlign w:val="baseline"/>
        </w:rPr>
        <w:t>. His visit to Ayodhya is described in the text, which was made available during the course of the trial in French. An English translation was furnished by the Government of India in pursuance of an order of the High Court. </w:t>
      </w:r>
      <w:r>
        <w:rPr>
          <w:b/>
          <w:sz w:val="25"/>
          <w:vertAlign w:val="baseline"/>
        </w:rPr>
        <w:t>Tieffenthaler‘s </w:t>
      </w:r>
      <w:r>
        <w:rPr>
          <w:sz w:val="25"/>
          <w:vertAlign w:val="baseline"/>
        </w:rPr>
        <w:t>account reads</w:t>
      </w:r>
      <w:r>
        <w:rPr>
          <w:spacing w:val="-3"/>
          <w:sz w:val="25"/>
          <w:vertAlign w:val="baseline"/>
        </w:rPr>
        <w:t> </w:t>
      </w:r>
      <w:r>
        <w:rPr>
          <w:sz w:val="25"/>
          <w:vertAlign w:val="baseline"/>
        </w:rPr>
        <w:t>thus:</w:t>
      </w:r>
    </w:p>
    <w:p>
      <w:pPr>
        <w:spacing w:line="276" w:lineRule="auto" w:before="162"/>
        <w:ind w:left="1940" w:right="2260" w:firstLine="0"/>
        <w:jc w:val="both"/>
        <w:rPr>
          <w:sz w:val="21"/>
        </w:rPr>
      </w:pPr>
      <w:r>
        <w:rPr>
          <w:spacing w:val="-1"/>
          <w:w w:val="33"/>
          <w:sz w:val="21"/>
        </w:rPr>
        <w:t>―</w:t>
      </w:r>
      <w:r>
        <w:rPr>
          <w:i/>
          <w:w w:val="100"/>
          <w:sz w:val="21"/>
        </w:rPr>
        <w:t>A</w:t>
      </w:r>
      <w:r>
        <w:rPr>
          <w:i/>
          <w:w w:val="100"/>
          <w:sz w:val="21"/>
        </w:rPr>
        <w:t>vad</w:t>
      </w:r>
      <w:r>
        <w:rPr>
          <w:i/>
          <w:spacing w:val="9"/>
          <w:sz w:val="21"/>
        </w:rPr>
        <w:t> </w:t>
      </w:r>
      <w:r>
        <w:rPr>
          <w:w w:val="100"/>
          <w:sz w:val="21"/>
        </w:rPr>
        <w:t>c</w:t>
      </w:r>
      <w:r>
        <w:rPr>
          <w:spacing w:val="-3"/>
          <w:w w:val="100"/>
          <w:sz w:val="21"/>
        </w:rPr>
        <w:t>a</w:t>
      </w:r>
      <w:r>
        <w:rPr>
          <w:w w:val="100"/>
          <w:sz w:val="21"/>
        </w:rPr>
        <w:t>l</w:t>
      </w:r>
      <w:r>
        <w:rPr>
          <w:spacing w:val="-2"/>
          <w:w w:val="100"/>
          <w:sz w:val="21"/>
        </w:rPr>
        <w:t>l</w:t>
      </w:r>
      <w:r>
        <w:rPr>
          <w:w w:val="100"/>
          <w:sz w:val="21"/>
        </w:rPr>
        <w:t>ed</w:t>
      </w:r>
      <w:r>
        <w:rPr>
          <w:spacing w:val="11"/>
          <w:sz w:val="21"/>
        </w:rPr>
        <w:t> </w:t>
      </w:r>
      <w:r>
        <w:rPr>
          <w:spacing w:val="-3"/>
          <w:w w:val="100"/>
          <w:sz w:val="21"/>
        </w:rPr>
        <w:t>a</w:t>
      </w:r>
      <w:r>
        <w:rPr>
          <w:w w:val="100"/>
          <w:sz w:val="21"/>
        </w:rPr>
        <w:t>s</w:t>
      </w:r>
      <w:r>
        <w:rPr>
          <w:spacing w:val="12"/>
          <w:sz w:val="21"/>
        </w:rPr>
        <w:t> </w:t>
      </w:r>
      <w:r>
        <w:rPr>
          <w:i/>
          <w:spacing w:val="-2"/>
          <w:w w:val="100"/>
          <w:sz w:val="21"/>
        </w:rPr>
        <w:t>A</w:t>
      </w:r>
      <w:r>
        <w:rPr>
          <w:i/>
          <w:w w:val="100"/>
          <w:sz w:val="21"/>
        </w:rPr>
        <w:t>d</w:t>
      </w:r>
      <w:r>
        <w:rPr>
          <w:i/>
          <w:spacing w:val="1"/>
          <w:w w:val="100"/>
          <w:sz w:val="21"/>
        </w:rPr>
        <w:t>j</w:t>
      </w:r>
      <w:r>
        <w:rPr>
          <w:i/>
          <w:spacing w:val="-3"/>
          <w:w w:val="100"/>
          <w:sz w:val="21"/>
        </w:rPr>
        <w:t>u</w:t>
      </w:r>
      <w:r>
        <w:rPr>
          <w:i/>
          <w:w w:val="100"/>
          <w:sz w:val="21"/>
        </w:rPr>
        <w:t>dea,</w:t>
      </w:r>
      <w:r>
        <w:rPr>
          <w:i/>
          <w:spacing w:val="8"/>
          <w:sz w:val="21"/>
        </w:rPr>
        <w:t> </w:t>
      </w:r>
      <w:r>
        <w:rPr>
          <w:w w:val="100"/>
          <w:sz w:val="21"/>
        </w:rPr>
        <w:t>by</w:t>
      </w:r>
      <w:r>
        <w:rPr>
          <w:spacing w:val="8"/>
          <w:sz w:val="21"/>
        </w:rPr>
        <w:t> </w:t>
      </w:r>
      <w:r>
        <w:rPr>
          <w:spacing w:val="-2"/>
          <w:w w:val="100"/>
          <w:sz w:val="21"/>
        </w:rPr>
        <w:t>t</w:t>
      </w:r>
      <w:r>
        <w:rPr>
          <w:w w:val="100"/>
          <w:sz w:val="21"/>
        </w:rPr>
        <w:t>he</w:t>
      </w:r>
      <w:r>
        <w:rPr>
          <w:spacing w:val="11"/>
          <w:sz w:val="21"/>
        </w:rPr>
        <w:t> </w:t>
      </w:r>
      <w:r>
        <w:rPr>
          <w:w w:val="100"/>
          <w:sz w:val="21"/>
        </w:rPr>
        <w:t>edu</w:t>
      </w:r>
      <w:r>
        <w:rPr>
          <w:spacing w:val="-2"/>
          <w:w w:val="100"/>
          <w:sz w:val="21"/>
        </w:rPr>
        <w:t>c</w:t>
      </w:r>
      <w:r>
        <w:rPr>
          <w:w w:val="100"/>
          <w:sz w:val="21"/>
        </w:rPr>
        <w:t>a</w:t>
      </w:r>
      <w:r>
        <w:rPr>
          <w:spacing w:val="-1"/>
          <w:w w:val="100"/>
          <w:sz w:val="21"/>
        </w:rPr>
        <w:t>t</w:t>
      </w:r>
      <w:r>
        <w:rPr>
          <w:w w:val="100"/>
          <w:sz w:val="21"/>
        </w:rPr>
        <w:t>ed</w:t>
      </w:r>
      <w:r>
        <w:rPr>
          <w:spacing w:val="9"/>
          <w:sz w:val="21"/>
        </w:rPr>
        <w:t> </w:t>
      </w:r>
      <w:r>
        <w:rPr>
          <w:w w:val="100"/>
          <w:sz w:val="21"/>
        </w:rPr>
        <w:t>H</w:t>
      </w:r>
      <w:r>
        <w:rPr>
          <w:spacing w:val="-2"/>
          <w:w w:val="100"/>
          <w:sz w:val="21"/>
        </w:rPr>
        <w:t>i</w:t>
      </w:r>
      <w:r>
        <w:rPr>
          <w:w w:val="100"/>
          <w:sz w:val="21"/>
        </w:rPr>
        <w:t>nd</w:t>
      </w:r>
      <w:r>
        <w:rPr>
          <w:spacing w:val="-2"/>
          <w:w w:val="100"/>
          <w:sz w:val="21"/>
        </w:rPr>
        <w:t>u</w:t>
      </w:r>
      <w:r>
        <w:rPr>
          <w:w w:val="100"/>
          <w:sz w:val="21"/>
        </w:rPr>
        <w:t>s,</w:t>
      </w:r>
      <w:r>
        <w:rPr>
          <w:spacing w:val="10"/>
          <w:sz w:val="21"/>
        </w:rPr>
        <w:t> </w:t>
      </w:r>
      <w:r>
        <w:rPr>
          <w:spacing w:val="-2"/>
          <w:w w:val="100"/>
          <w:sz w:val="21"/>
        </w:rPr>
        <w:t>i</w:t>
      </w:r>
      <w:r>
        <w:rPr>
          <w:w w:val="100"/>
          <w:sz w:val="21"/>
        </w:rPr>
        <w:t>s</w:t>
      </w:r>
      <w:r>
        <w:rPr>
          <w:spacing w:val="11"/>
          <w:sz w:val="21"/>
        </w:rPr>
        <w:t> </w:t>
      </w:r>
      <w:r>
        <w:rPr>
          <w:w w:val="100"/>
          <w:sz w:val="21"/>
        </w:rPr>
        <w:t>a</w:t>
      </w:r>
      <w:r>
        <w:rPr>
          <w:spacing w:val="11"/>
          <w:sz w:val="21"/>
        </w:rPr>
        <w:t> </w:t>
      </w:r>
      <w:r>
        <w:rPr>
          <w:spacing w:val="-3"/>
          <w:w w:val="100"/>
          <w:sz w:val="21"/>
        </w:rPr>
        <w:t>c</w:t>
      </w:r>
      <w:r>
        <w:rPr>
          <w:w w:val="100"/>
          <w:sz w:val="21"/>
        </w:rPr>
        <w:t>i</w:t>
      </w:r>
      <w:r>
        <w:rPr>
          <w:spacing w:val="-2"/>
          <w:w w:val="100"/>
          <w:sz w:val="21"/>
        </w:rPr>
        <w:t>t</w:t>
      </w:r>
      <w:r>
        <w:rPr>
          <w:w w:val="100"/>
          <w:sz w:val="21"/>
        </w:rPr>
        <w:t>y</w:t>
      </w:r>
      <w:r>
        <w:rPr>
          <w:spacing w:val="8"/>
          <w:sz w:val="21"/>
        </w:rPr>
        <w:t> </w:t>
      </w:r>
      <w:r>
        <w:rPr>
          <w:w w:val="100"/>
          <w:sz w:val="21"/>
        </w:rPr>
        <w:t>of </w:t>
      </w:r>
      <w:r>
        <w:rPr>
          <w:sz w:val="21"/>
        </w:rPr>
        <w:t>very olden times. Its houses are (mostly) made up of mud only; covered with straw or tiles. Many (however), are made of bricks. The main street goes from South to North and it has a length of about a mile. The width (of the city) is a little lesser. Its western side and that of North as well, are situated on a mud hill. That of north-east is situated on knolls. Towards Bangla it is</w:t>
      </w:r>
      <w:r>
        <w:rPr>
          <w:spacing w:val="-9"/>
          <w:sz w:val="21"/>
        </w:rPr>
        <w:t> </w:t>
      </w:r>
      <w:r>
        <w:rPr>
          <w:sz w:val="21"/>
        </w:rPr>
        <w:t>united.</w:t>
      </w:r>
    </w:p>
    <w:p>
      <w:pPr>
        <w:pStyle w:val="BodyText"/>
        <w:spacing w:before="1"/>
        <w:rPr>
          <w:sz w:val="24"/>
        </w:rPr>
      </w:pPr>
    </w:p>
    <w:p>
      <w:pPr>
        <w:spacing w:line="276" w:lineRule="auto" w:before="0"/>
        <w:ind w:left="1940" w:right="2260" w:firstLine="0"/>
        <w:jc w:val="both"/>
        <w:rPr>
          <w:sz w:val="21"/>
        </w:rPr>
      </w:pPr>
      <w:r>
        <w:rPr>
          <w:sz w:val="21"/>
        </w:rPr>
        <w:t>Today, this city has been hardly populated, since the foundation </w:t>
      </w:r>
      <w:r>
        <w:rPr>
          <w:i/>
          <w:sz w:val="21"/>
        </w:rPr>
        <w:t>Bangla or Fesabad </w:t>
      </w:r>
      <w:r>
        <w:rPr>
          <w:sz w:val="21"/>
        </w:rPr>
        <w:t>(1) – a new city where the Governor established his residence – and in which a great number (of inhabitants of Oude) settled in. On the South bank (</w:t>
      </w:r>
      <w:r>
        <w:rPr>
          <w:i/>
          <w:sz w:val="21"/>
        </w:rPr>
        <w:t>of Deva</w:t>
      </w:r>
      <w:r>
        <w:rPr>
          <w:sz w:val="21"/>
        </w:rPr>
        <w:t>) are found various buildings constructed by the nobles in memory of </w:t>
      </w:r>
      <w:r>
        <w:rPr>
          <w:i/>
          <w:sz w:val="21"/>
        </w:rPr>
        <w:t>Ram, </w:t>
      </w:r>
      <w:r>
        <w:rPr>
          <w:sz w:val="21"/>
        </w:rPr>
        <w:t>extending from East to West.</w:t>
      </w:r>
    </w:p>
    <w:p>
      <w:pPr>
        <w:pStyle w:val="BodyText"/>
        <w:spacing w:before="2"/>
        <w:rPr>
          <w:sz w:val="24"/>
        </w:rPr>
      </w:pPr>
    </w:p>
    <w:p>
      <w:pPr>
        <w:spacing w:line="276" w:lineRule="auto" w:before="0"/>
        <w:ind w:left="1940" w:right="2263" w:firstLine="0"/>
        <w:jc w:val="both"/>
        <w:rPr>
          <w:sz w:val="21"/>
        </w:rPr>
      </w:pPr>
      <w:r>
        <w:rPr>
          <w:sz w:val="21"/>
        </w:rPr>
        <w:t>The most remarkable place is the one which is called (2) </w:t>
      </w:r>
      <w:r>
        <w:rPr>
          <w:i/>
          <w:sz w:val="21"/>
        </w:rPr>
        <w:t>Sorgadaori, </w:t>
      </w:r>
      <w:r>
        <w:rPr>
          <w:sz w:val="21"/>
        </w:rPr>
        <w:t>which means: the celestial temple. Because they say that </w:t>
      </w:r>
      <w:r>
        <w:rPr>
          <w:i/>
          <w:sz w:val="21"/>
        </w:rPr>
        <w:t>Ram </w:t>
      </w:r>
      <w:r>
        <w:rPr>
          <w:sz w:val="21"/>
        </w:rPr>
        <w:t>took away all the inhabitants of the city from</w:t>
      </w:r>
    </w:p>
    <w:p>
      <w:pPr>
        <w:pStyle w:val="BodyText"/>
        <w:spacing w:before="8"/>
        <w:rPr>
          <w:sz w:val="18"/>
        </w:rPr>
      </w:pPr>
      <w:r>
        <w:rPr/>
        <w:pict>
          <v:rect style="position:absolute;margin-left:72.024002pt;margin-top:12.738898pt;width:144.020pt;height:.60004pt;mso-position-horizontal-relative:page;mso-position-vertical-relative:paragraph;z-index:-15643136;mso-wrap-distance-left:0;mso-wrap-distance-right:0" filled="true" fillcolor="#000000" stroked="false">
            <v:fill type="solid"/>
            <w10:wrap type="topAndBottom"/>
          </v:rect>
        </w:pict>
      </w:r>
    </w:p>
    <w:p>
      <w:pPr>
        <w:spacing w:before="81"/>
        <w:ind w:left="500" w:right="0" w:firstLine="0"/>
        <w:jc w:val="left"/>
        <w:rPr>
          <w:sz w:val="18"/>
        </w:rPr>
      </w:pPr>
      <w:r>
        <w:rPr>
          <w:sz w:val="18"/>
          <w:vertAlign w:val="superscript"/>
        </w:rPr>
        <w:t>300</w:t>
      </w:r>
      <w:r>
        <w:rPr>
          <w:sz w:val="18"/>
          <w:vertAlign w:val="baseline"/>
        </w:rPr>
        <w:t> Jose K. John, The Mapping of Hindustan : A Fortotten Geographer of India, Joseph Tieffenthaler (1710-1785), Proceedings of the Indian History Congress, Vol. 58 (1997) at pages 400-410</w:t>
      </w:r>
    </w:p>
    <w:p>
      <w:pPr>
        <w:spacing w:after="0"/>
        <w:jc w:val="left"/>
        <w:rPr>
          <w:sz w:val="18"/>
        </w:rPr>
        <w:sectPr>
          <w:pgSz w:w="11910" w:h="16840"/>
          <w:pgMar w:header="721" w:footer="1014" w:top="1300" w:bottom="1200" w:left="940" w:right="1000"/>
        </w:sectPr>
      </w:pPr>
    </w:p>
    <w:p>
      <w:pPr>
        <w:spacing w:line="276" w:lineRule="auto" w:before="122"/>
        <w:ind w:left="1940" w:right="2263" w:firstLine="0"/>
        <w:jc w:val="both"/>
        <w:rPr>
          <w:sz w:val="21"/>
        </w:rPr>
      </w:pPr>
      <w:r>
        <w:rPr>
          <w:sz w:val="21"/>
        </w:rPr>
        <w:t>there to heaven: This has some resemblance/ similarity to the Ascent of the Lord. The city, thus deserted, was repopulated and was brought back to its earlier status by </w:t>
      </w:r>
      <w:r>
        <w:rPr>
          <w:i/>
          <w:sz w:val="21"/>
        </w:rPr>
        <w:t>Bikarmadjit </w:t>
      </w:r>
      <w:r>
        <w:rPr>
          <w:sz w:val="21"/>
        </w:rPr>
        <w:t>- the famous king of Oude (OUDH) [OUDJEN] (3)</w:t>
      </w:r>
    </w:p>
    <w:p>
      <w:pPr>
        <w:pStyle w:val="BodyText"/>
        <w:spacing w:before="3"/>
        <w:rPr>
          <w:sz w:val="24"/>
        </w:rPr>
      </w:pPr>
    </w:p>
    <w:p>
      <w:pPr>
        <w:spacing w:line="276" w:lineRule="auto" w:before="1"/>
        <w:ind w:left="1940" w:right="2259" w:firstLine="0"/>
        <w:jc w:val="both"/>
        <w:rPr>
          <w:sz w:val="21"/>
        </w:rPr>
      </w:pPr>
      <w:r>
        <w:rPr>
          <w:sz w:val="21"/>
        </w:rPr>
        <w:t>There was a temple in this place constructed on the elevated bank of the river. But </w:t>
      </w:r>
      <w:r>
        <w:rPr>
          <w:i/>
          <w:sz w:val="21"/>
        </w:rPr>
        <w:t>Aurengzeb, </w:t>
      </w:r>
      <w:r>
        <w:rPr>
          <w:sz w:val="21"/>
        </w:rPr>
        <w:t>always keen to propagate the creed of Mohammed and abhorring the noble people, got it demolished and replaced with a mosque and two obelisks, with a view to obliterate even the very memory of the Hindu superstition. Another mosque build by the Moors is adjacent to the one towards the</w:t>
      </w:r>
      <w:r>
        <w:rPr>
          <w:spacing w:val="-6"/>
          <w:sz w:val="21"/>
        </w:rPr>
        <w:t> </w:t>
      </w:r>
      <w:r>
        <w:rPr>
          <w:sz w:val="21"/>
        </w:rPr>
        <w:t>East.</w:t>
      </w:r>
    </w:p>
    <w:p>
      <w:pPr>
        <w:pStyle w:val="BodyText"/>
        <w:rPr>
          <w:sz w:val="24"/>
        </w:rPr>
      </w:pPr>
    </w:p>
    <w:p>
      <w:pPr>
        <w:spacing w:line="276" w:lineRule="auto" w:before="0"/>
        <w:ind w:left="1940" w:right="2260" w:firstLine="0"/>
        <w:jc w:val="both"/>
        <w:rPr>
          <w:b/>
          <w:sz w:val="21"/>
        </w:rPr>
      </w:pPr>
      <w:r>
        <w:rPr>
          <w:sz w:val="21"/>
        </w:rPr>
        <w:t>Close to </w:t>
      </w:r>
      <w:r>
        <w:rPr>
          <w:i/>
          <w:sz w:val="21"/>
        </w:rPr>
        <w:t>Sorgadoari </w:t>
      </w:r>
      <w:r>
        <w:rPr>
          <w:sz w:val="21"/>
        </w:rPr>
        <w:t>is a building constructed lengthways by </w:t>
      </w:r>
      <w:r>
        <w:rPr>
          <w:i/>
          <w:sz w:val="21"/>
        </w:rPr>
        <w:t>Nabairay_</w:t>
      </w:r>
      <w:r>
        <w:rPr>
          <w:sz w:val="21"/>
        </w:rPr>
        <w:t>a Hindu, a formerly lieutenant of the Governor (proprietor) of this region (a). But </w:t>
      </w:r>
      <w:r>
        <w:rPr>
          <w:b/>
          <w:sz w:val="21"/>
        </w:rPr>
        <w:t>a place especially famous is the one called </w:t>
      </w:r>
      <w:r>
        <w:rPr>
          <w:b/>
          <w:i/>
          <w:sz w:val="21"/>
        </w:rPr>
        <w:t>Sitha Rassoi </w:t>
      </w:r>
      <w:r>
        <w:rPr>
          <w:b/>
          <w:sz w:val="21"/>
        </w:rPr>
        <w:t>i.e. the table of </w:t>
      </w:r>
      <w:r>
        <w:rPr>
          <w:b/>
          <w:i/>
          <w:sz w:val="21"/>
        </w:rPr>
        <w:t>Sita, </w:t>
      </w:r>
      <w:r>
        <w:rPr>
          <w:b/>
          <w:sz w:val="21"/>
        </w:rPr>
        <w:t>wife of </w:t>
      </w:r>
      <w:r>
        <w:rPr>
          <w:b/>
          <w:i/>
          <w:sz w:val="21"/>
        </w:rPr>
        <w:t>Ram, </w:t>
      </w:r>
      <w:r>
        <w:rPr>
          <w:b/>
          <w:sz w:val="21"/>
        </w:rPr>
        <w:t>adjoining to the city in the South, and is situated on a mud hill.</w:t>
      </w:r>
    </w:p>
    <w:p>
      <w:pPr>
        <w:pStyle w:val="BodyText"/>
        <w:spacing w:before="2"/>
        <w:rPr>
          <w:b/>
          <w:sz w:val="24"/>
        </w:rPr>
      </w:pPr>
    </w:p>
    <w:p>
      <w:pPr>
        <w:spacing w:line="276" w:lineRule="auto" w:before="0"/>
        <w:ind w:left="1940" w:right="2260" w:firstLine="0"/>
        <w:jc w:val="both"/>
        <w:rPr>
          <w:b/>
          <w:sz w:val="21"/>
        </w:rPr>
      </w:pPr>
      <w:r>
        <w:rPr>
          <w:b/>
          <w:sz w:val="21"/>
        </w:rPr>
        <w:t>Emperor </w:t>
      </w:r>
      <w:r>
        <w:rPr>
          <w:b/>
          <w:i/>
          <w:sz w:val="21"/>
        </w:rPr>
        <w:t>Aurengzeb </w:t>
      </w:r>
      <w:r>
        <w:rPr>
          <w:b/>
          <w:sz w:val="21"/>
        </w:rPr>
        <w:t>got the fortress called </w:t>
      </w:r>
      <w:r>
        <w:rPr>
          <w:b/>
          <w:i/>
          <w:sz w:val="21"/>
        </w:rPr>
        <w:t>Ramcot </w:t>
      </w:r>
      <w:r>
        <w:rPr>
          <w:b/>
          <w:i/>
          <w:sz w:val="21"/>
        </w:rPr>
        <w:t>demolished </w:t>
      </w:r>
      <w:r>
        <w:rPr>
          <w:b/>
          <w:sz w:val="21"/>
        </w:rPr>
        <w:t>and got a Muslim temple, with triple domes, constructed at the same place. Others say that it was constructed by </w:t>
      </w:r>
      <w:r>
        <w:rPr>
          <w:b/>
          <w:i/>
          <w:sz w:val="21"/>
        </w:rPr>
        <w:t>‘Babor’. </w:t>
      </w:r>
      <w:r>
        <w:rPr>
          <w:b/>
          <w:sz w:val="21"/>
        </w:rPr>
        <w:t>Fourteen black stone pillars of 5 (/) span (4) high, which had existed at the site of the fortress, are seen there. Twelve of these pillars now support the interior arcades of the mosque. Two (of these</w:t>
      </w:r>
    </w:p>
    <w:p>
      <w:pPr>
        <w:spacing w:line="276" w:lineRule="auto" w:before="1"/>
        <w:ind w:left="1940" w:right="2260" w:firstLine="0"/>
        <w:jc w:val="both"/>
        <w:rPr>
          <w:b/>
          <w:sz w:val="21"/>
        </w:rPr>
      </w:pPr>
      <w:r>
        <w:rPr>
          <w:b/>
          <w:sz w:val="21"/>
        </w:rPr>
        <w:t>12) are placed at the entrance of the cloister. The two others are part of the tomb of some ‗Moor‘. It is narrated that these pillars, or rather this debris of the pillars skillfully made, were brought from the Island of </w:t>
      </w:r>
      <w:r>
        <w:rPr>
          <w:b/>
          <w:i/>
          <w:sz w:val="21"/>
        </w:rPr>
        <w:t>Lanca or </w:t>
      </w:r>
      <w:r>
        <w:rPr>
          <w:b/>
          <w:i/>
          <w:sz w:val="21"/>
        </w:rPr>
        <w:t>Selendip </w:t>
      </w:r>
      <w:r>
        <w:rPr>
          <w:b/>
          <w:sz w:val="21"/>
        </w:rPr>
        <w:t>(called </w:t>
      </w:r>
      <w:r>
        <w:rPr>
          <w:b/>
          <w:i/>
          <w:sz w:val="21"/>
        </w:rPr>
        <w:t>Ceyian by the </w:t>
      </w:r>
      <w:r>
        <w:rPr>
          <w:b/>
          <w:sz w:val="21"/>
        </w:rPr>
        <w:t>Europeans) by </w:t>
      </w:r>
      <w:r>
        <w:rPr>
          <w:b/>
          <w:i/>
          <w:sz w:val="21"/>
        </w:rPr>
        <w:t>Hanuman, </w:t>
      </w:r>
      <w:r>
        <w:rPr>
          <w:b/>
          <w:sz w:val="21"/>
        </w:rPr>
        <w:t>King of Monkeys.</w:t>
      </w:r>
    </w:p>
    <w:p>
      <w:pPr>
        <w:pStyle w:val="BodyText"/>
        <w:spacing w:before="1"/>
        <w:rPr>
          <w:b/>
          <w:sz w:val="24"/>
        </w:rPr>
      </w:pPr>
    </w:p>
    <w:p>
      <w:pPr>
        <w:spacing w:line="276" w:lineRule="auto" w:before="0"/>
        <w:ind w:left="1940" w:right="2260" w:firstLine="0"/>
        <w:jc w:val="both"/>
        <w:rPr>
          <w:b/>
          <w:sz w:val="21"/>
        </w:rPr>
      </w:pPr>
      <w:r>
        <w:rPr>
          <w:b/>
          <w:sz w:val="21"/>
        </w:rPr>
        <w:t>On the left is seen a square box raised 5 inches above the ground, with borders made of lime, with a length of more than 5 ells(5) and a maximum width of about 4 ells. The Hindus call it </w:t>
      </w:r>
      <w:r>
        <w:rPr>
          <w:b/>
          <w:i/>
          <w:sz w:val="21"/>
        </w:rPr>
        <w:t>Bedi </w:t>
      </w:r>
      <w:r>
        <w:rPr>
          <w:b/>
          <w:sz w:val="21"/>
        </w:rPr>
        <w:t>i.e. ‗the cradle. The reason for</w:t>
      </w:r>
      <w:r>
        <w:rPr>
          <w:b/>
          <w:spacing w:val="-37"/>
          <w:sz w:val="21"/>
        </w:rPr>
        <w:t> </w:t>
      </w:r>
      <w:r>
        <w:rPr>
          <w:b/>
          <w:sz w:val="21"/>
        </w:rPr>
        <w:t>this is that once upon a time, here was a house where </w:t>
      </w:r>
      <w:r>
        <w:rPr>
          <w:b/>
          <w:i/>
          <w:sz w:val="21"/>
        </w:rPr>
        <w:t>Beschan </w:t>
      </w:r>
      <w:r>
        <w:rPr>
          <w:b/>
          <w:sz w:val="21"/>
        </w:rPr>
        <w:t>was born in the form of </w:t>
      </w:r>
      <w:r>
        <w:rPr>
          <w:b/>
          <w:i/>
          <w:sz w:val="21"/>
        </w:rPr>
        <w:t>Ram. </w:t>
      </w:r>
      <w:r>
        <w:rPr>
          <w:b/>
          <w:sz w:val="21"/>
        </w:rPr>
        <w:t>It is said that his three brothers too were born here. Subsequently, </w:t>
      </w:r>
      <w:r>
        <w:rPr>
          <w:b/>
          <w:i/>
          <w:sz w:val="21"/>
        </w:rPr>
        <w:t>Aurengzebe </w:t>
      </w:r>
      <w:r>
        <w:rPr>
          <w:b/>
          <w:sz w:val="21"/>
        </w:rPr>
        <w:t>or </w:t>
      </w:r>
      <w:r>
        <w:rPr>
          <w:b/>
          <w:i/>
          <w:sz w:val="21"/>
        </w:rPr>
        <w:t>Babor, </w:t>
      </w:r>
      <w:r>
        <w:rPr>
          <w:b/>
          <w:sz w:val="21"/>
        </w:rPr>
        <w:t>according to others, got this place razed in order to deny the noble people, the opportunity of practicing their supersitions. However, there still exists some superstitious cult in some place or other.  For example, in the place where the native house of </w:t>
      </w:r>
      <w:r>
        <w:rPr>
          <w:b/>
          <w:i/>
          <w:sz w:val="21"/>
        </w:rPr>
        <w:t>Ram </w:t>
      </w:r>
      <w:r>
        <w:rPr>
          <w:b/>
          <w:sz w:val="21"/>
        </w:rPr>
        <w:t>existed, they go around 3 times and prostrate on the floor. The two spots are surrounded by a low wall constructed with battlement. One enters the front hall through a low semi-circular</w:t>
      </w:r>
      <w:r>
        <w:rPr>
          <w:b/>
          <w:spacing w:val="-3"/>
          <w:sz w:val="21"/>
        </w:rPr>
        <w:t> </w:t>
      </w:r>
      <w:r>
        <w:rPr>
          <w:b/>
          <w:sz w:val="21"/>
        </w:rPr>
        <w:t>door.</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i/>
          <w:sz w:val="21"/>
        </w:rPr>
      </w:pPr>
      <w:r>
        <w:rPr>
          <w:b/>
          <w:sz w:val="21"/>
        </w:rPr>
        <w:t>Not far from there is a place where one digs out grains of black rice, burned into small stones, which are said to have been hidden under the earth since the time of </w:t>
      </w:r>
      <w:r>
        <w:rPr>
          <w:b/>
          <w:i/>
          <w:sz w:val="21"/>
        </w:rPr>
        <w:t>Ram. </w:t>
      </w:r>
      <w:r>
        <w:rPr>
          <w:b/>
          <w:sz w:val="21"/>
        </w:rPr>
        <w:t>On the 24</w:t>
      </w:r>
      <w:r>
        <w:rPr>
          <w:b/>
          <w:sz w:val="21"/>
          <w:vertAlign w:val="superscript"/>
        </w:rPr>
        <w:t>th</w:t>
      </w:r>
      <w:r>
        <w:rPr>
          <w:b/>
          <w:sz w:val="21"/>
          <w:vertAlign w:val="baseline"/>
        </w:rPr>
        <w:t> of the </w:t>
      </w:r>
      <w:r>
        <w:rPr>
          <w:b/>
          <w:i/>
          <w:sz w:val="21"/>
          <w:vertAlign w:val="baseline"/>
        </w:rPr>
        <w:t>Tschet </w:t>
      </w:r>
      <w:r>
        <w:rPr>
          <w:b/>
          <w:sz w:val="21"/>
          <w:vertAlign w:val="baseline"/>
        </w:rPr>
        <w:t>month, a big gathering of  people is done here to celebrate the birthday of </w:t>
      </w:r>
      <w:r>
        <w:rPr>
          <w:b/>
          <w:i/>
          <w:sz w:val="21"/>
          <w:vertAlign w:val="baseline"/>
        </w:rPr>
        <w:t>Ram, </w:t>
      </w:r>
      <w:r>
        <w:rPr>
          <w:b/>
          <w:sz w:val="21"/>
          <w:vertAlign w:val="baseline"/>
        </w:rPr>
        <w:t>famous in the entire India. </w:t>
      </w:r>
      <w:r>
        <w:rPr>
          <w:sz w:val="21"/>
          <w:vertAlign w:val="baseline"/>
        </w:rPr>
        <w:t>This vast city is a mile away from </w:t>
      </w:r>
      <w:r>
        <w:rPr>
          <w:i/>
          <w:sz w:val="21"/>
          <w:vertAlign w:val="baseline"/>
        </w:rPr>
        <w:t>Bangla </w:t>
      </w:r>
      <w:r>
        <w:rPr>
          <w:sz w:val="21"/>
          <w:vertAlign w:val="baseline"/>
        </w:rPr>
        <w:t>at the east towards E. N. E such that its latitude also will be greater by about one minute than that of</w:t>
      </w:r>
      <w:r>
        <w:rPr>
          <w:spacing w:val="-12"/>
          <w:sz w:val="21"/>
          <w:vertAlign w:val="baseline"/>
        </w:rPr>
        <w:t> </w:t>
      </w:r>
      <w:r>
        <w:rPr>
          <w:i/>
          <w:sz w:val="21"/>
          <w:vertAlign w:val="baseline"/>
        </w:rPr>
        <w:t>Bangla.</w:t>
      </w:r>
    </w:p>
    <w:p>
      <w:pPr>
        <w:pStyle w:val="BodyText"/>
        <w:spacing w:before="1"/>
        <w:rPr>
          <w:i/>
          <w:sz w:val="24"/>
        </w:rPr>
      </w:pPr>
    </w:p>
    <w:p>
      <w:pPr>
        <w:spacing w:line="276" w:lineRule="auto" w:before="1"/>
        <w:ind w:left="1940" w:right="2262" w:firstLine="0"/>
        <w:jc w:val="both"/>
        <w:rPr>
          <w:sz w:val="21"/>
        </w:rPr>
      </w:pPr>
      <w:r>
        <w:rPr>
          <w:sz w:val="21"/>
        </w:rPr>
        <w:t>The fortress constructed in square from situated on the elevated bank of the river, is equipped with round and low towers. The walls need to be repaired. It is uninhabited and is not protected. Earlier, the Governors of the province had their residence here. </w:t>
      </w:r>
      <w:r>
        <w:rPr>
          <w:i/>
          <w:sz w:val="21"/>
        </w:rPr>
        <w:t>Sadatkhan </w:t>
      </w:r>
      <w:r>
        <w:rPr>
          <w:sz w:val="21"/>
        </w:rPr>
        <w:t>frightened by a bad forecast got it transferred to </w:t>
      </w:r>
      <w:r>
        <w:rPr>
          <w:i/>
          <w:sz w:val="21"/>
        </w:rPr>
        <w:t>Bangla. </w:t>
      </w:r>
      <w:r>
        <w:rPr>
          <w:sz w:val="21"/>
        </w:rPr>
        <w:t>Today, it is destroyed from top to bottom.</w:t>
      </w:r>
    </w:p>
    <w:p>
      <w:pPr>
        <w:spacing w:line="276" w:lineRule="auto" w:before="0"/>
        <w:ind w:left="1940" w:right="2259" w:firstLine="0"/>
        <w:jc w:val="both"/>
        <w:rPr>
          <w:sz w:val="21"/>
        </w:rPr>
      </w:pPr>
      <w:r>
        <w:rPr>
          <w:sz w:val="21"/>
        </w:rPr>
        <w:t>In a space of 2 miles, from the place where the canons are </w:t>
      </w:r>
      <w:r>
        <w:rPr>
          <w:spacing w:val="-1"/>
          <w:w w:val="100"/>
          <w:sz w:val="21"/>
        </w:rPr>
        <w:t>p</w:t>
      </w:r>
      <w:r>
        <w:rPr>
          <w:spacing w:val="1"/>
          <w:w w:val="100"/>
          <w:sz w:val="21"/>
        </w:rPr>
        <w:t>l</w:t>
      </w:r>
      <w:r>
        <w:rPr>
          <w:spacing w:val="-3"/>
          <w:w w:val="100"/>
          <w:sz w:val="21"/>
        </w:rPr>
        <w:t>a</w:t>
      </w:r>
      <w:r>
        <w:rPr>
          <w:spacing w:val="-1"/>
          <w:w w:val="100"/>
          <w:sz w:val="21"/>
        </w:rPr>
        <w:t>nte</w:t>
      </w:r>
      <w:r>
        <w:rPr>
          <w:w w:val="100"/>
          <w:sz w:val="21"/>
        </w:rPr>
        <w:t>d</w:t>
      </w:r>
      <w:r>
        <w:rPr>
          <w:sz w:val="21"/>
        </w:rPr>
        <w:t> </w:t>
      </w:r>
      <w:r>
        <w:rPr>
          <w:spacing w:val="-1"/>
          <w:w w:val="100"/>
          <w:sz w:val="21"/>
        </w:rPr>
        <w:t>u</w:t>
      </w:r>
      <w:r>
        <w:rPr>
          <w:w w:val="100"/>
          <w:sz w:val="21"/>
        </w:rPr>
        <w:t>p</w:t>
      </w:r>
      <w:r>
        <w:rPr>
          <w:sz w:val="21"/>
        </w:rPr>
        <w:t> </w:t>
      </w:r>
      <w:r>
        <w:rPr>
          <w:spacing w:val="-2"/>
          <w:w w:val="100"/>
          <w:sz w:val="21"/>
        </w:rPr>
        <w:t>t</w:t>
      </w:r>
      <w:r>
        <w:rPr>
          <w:w w:val="100"/>
          <w:sz w:val="21"/>
        </w:rPr>
        <w:t>o</w:t>
      </w:r>
      <w:r>
        <w:rPr>
          <w:sz w:val="21"/>
        </w:rPr>
        <w:t> </w:t>
      </w:r>
      <w:r>
        <w:rPr>
          <w:spacing w:val="2"/>
          <w:w w:val="40"/>
          <w:sz w:val="21"/>
        </w:rPr>
        <w:t>‗</w:t>
      </w:r>
      <w:r>
        <w:rPr>
          <w:i/>
          <w:spacing w:val="-2"/>
          <w:w w:val="100"/>
          <w:sz w:val="21"/>
        </w:rPr>
        <w:t>O</w:t>
      </w:r>
      <w:r>
        <w:rPr>
          <w:i/>
          <w:spacing w:val="-1"/>
          <w:w w:val="100"/>
          <w:sz w:val="21"/>
        </w:rPr>
        <w:t>u</w:t>
      </w:r>
      <w:r>
        <w:rPr>
          <w:i/>
          <w:spacing w:val="-3"/>
          <w:w w:val="100"/>
          <w:sz w:val="21"/>
        </w:rPr>
        <w:t>d</w:t>
      </w:r>
      <w:r>
        <w:rPr>
          <w:i/>
          <w:spacing w:val="2"/>
          <w:w w:val="100"/>
          <w:sz w:val="21"/>
        </w:rPr>
        <w:t>e</w:t>
      </w:r>
      <w:r>
        <w:rPr>
          <w:i/>
          <w:spacing w:val="-7"/>
          <w:w w:val="100"/>
          <w:sz w:val="21"/>
        </w:rPr>
        <w:t>‘</w:t>
      </w:r>
      <w:r>
        <w:rPr>
          <w:i/>
          <w:w w:val="100"/>
          <w:sz w:val="21"/>
        </w:rPr>
        <w:t>,</w:t>
      </w:r>
      <w:r>
        <w:rPr>
          <w:i/>
          <w:sz w:val="21"/>
        </w:rPr>
        <w:t> </w:t>
      </w:r>
      <w:r>
        <w:rPr>
          <w:spacing w:val="-2"/>
          <w:w w:val="100"/>
          <w:sz w:val="21"/>
        </w:rPr>
        <w:t>t</w:t>
      </w:r>
      <w:r>
        <w:rPr>
          <w:w w:val="100"/>
          <w:sz w:val="21"/>
        </w:rPr>
        <w:t>he</w:t>
      </w:r>
      <w:r>
        <w:rPr>
          <w:sz w:val="21"/>
        </w:rPr>
        <w:t> </w:t>
      </w:r>
      <w:r>
        <w:rPr>
          <w:spacing w:val="-2"/>
          <w:w w:val="100"/>
          <w:sz w:val="21"/>
        </w:rPr>
        <w:t>G</w:t>
      </w:r>
      <w:r>
        <w:rPr>
          <w:w w:val="100"/>
          <w:sz w:val="21"/>
        </w:rPr>
        <w:t>agra</w:t>
      </w:r>
      <w:r>
        <w:rPr>
          <w:sz w:val="21"/>
        </w:rPr>
        <w:t> </w:t>
      </w:r>
      <w:r>
        <w:rPr>
          <w:spacing w:val="-2"/>
          <w:w w:val="100"/>
          <w:sz w:val="21"/>
        </w:rPr>
        <w:t>t</w:t>
      </w:r>
      <w:r>
        <w:rPr>
          <w:spacing w:val="-3"/>
          <w:w w:val="100"/>
          <w:sz w:val="21"/>
        </w:rPr>
        <w:t>a</w:t>
      </w:r>
      <w:r>
        <w:rPr>
          <w:w w:val="100"/>
          <w:sz w:val="21"/>
        </w:rPr>
        <w:t>kes</w:t>
      </w:r>
      <w:r>
        <w:rPr>
          <w:sz w:val="21"/>
        </w:rPr>
        <w:t> </w:t>
      </w:r>
      <w:r>
        <w:rPr>
          <w:w w:val="100"/>
          <w:sz w:val="21"/>
        </w:rPr>
        <w:t>i</w:t>
      </w:r>
      <w:r>
        <w:rPr>
          <w:spacing w:val="-2"/>
          <w:w w:val="100"/>
          <w:sz w:val="21"/>
        </w:rPr>
        <w:t>t</w:t>
      </w:r>
      <w:r>
        <w:rPr>
          <w:w w:val="100"/>
          <w:sz w:val="21"/>
        </w:rPr>
        <w:t>s</w:t>
      </w:r>
      <w:r>
        <w:rPr>
          <w:sz w:val="21"/>
        </w:rPr>
        <w:t> </w:t>
      </w:r>
      <w:r>
        <w:rPr>
          <w:w w:val="100"/>
          <w:sz w:val="21"/>
        </w:rPr>
        <w:t>cou</w:t>
      </w:r>
      <w:r>
        <w:rPr>
          <w:spacing w:val="-3"/>
          <w:w w:val="100"/>
          <w:sz w:val="21"/>
        </w:rPr>
        <w:t>r</w:t>
      </w:r>
      <w:r>
        <w:rPr>
          <w:w w:val="100"/>
          <w:sz w:val="21"/>
        </w:rPr>
        <w:t>se</w:t>
      </w:r>
      <w:r>
        <w:rPr>
          <w:sz w:val="21"/>
        </w:rPr>
        <w:t> </w:t>
      </w:r>
      <w:r>
        <w:rPr>
          <w:spacing w:val="-2"/>
          <w:w w:val="100"/>
          <w:sz w:val="21"/>
        </w:rPr>
        <w:t>t</w:t>
      </w:r>
      <w:r>
        <w:rPr>
          <w:spacing w:val="-3"/>
          <w:w w:val="100"/>
          <w:sz w:val="21"/>
        </w:rPr>
        <w:t>o</w:t>
      </w:r>
      <w:r>
        <w:rPr>
          <w:spacing w:val="-2"/>
          <w:w w:val="100"/>
          <w:sz w:val="21"/>
        </w:rPr>
        <w:t>w</w:t>
      </w:r>
      <w:r>
        <w:rPr>
          <w:w w:val="100"/>
          <w:sz w:val="21"/>
        </w:rPr>
        <w:t>ards</w:t>
      </w:r>
      <w:r>
        <w:rPr>
          <w:sz w:val="21"/>
        </w:rPr>
        <w:t> </w:t>
      </w:r>
      <w:r>
        <w:rPr>
          <w:spacing w:val="-3"/>
          <w:w w:val="100"/>
          <w:sz w:val="21"/>
        </w:rPr>
        <w:t>e</w:t>
      </w:r>
      <w:r>
        <w:rPr>
          <w:w w:val="100"/>
          <w:sz w:val="21"/>
        </w:rPr>
        <w:t>as</w:t>
      </w:r>
      <w:r>
        <w:rPr>
          <w:spacing w:val="-1"/>
          <w:w w:val="100"/>
          <w:sz w:val="21"/>
        </w:rPr>
        <w:t>t</w:t>
      </w:r>
      <w:r>
        <w:rPr>
          <w:w w:val="100"/>
          <w:sz w:val="21"/>
        </w:rPr>
        <w:t>, </w:t>
      </w:r>
      <w:r>
        <w:rPr>
          <w:sz w:val="21"/>
        </w:rPr>
        <w:t>making a double bend – one close to the western side of the city and the other, a little distance from there, towards the West. And bending from there towards the NE# and ¼ E, it washes the city in the West; after that, it returns towards the East, close to the northern side. But it has been changing its course almost every year. Its river bed is equal (in width) to that of </w:t>
      </w:r>
      <w:r>
        <w:rPr>
          <w:i/>
          <w:sz w:val="21"/>
        </w:rPr>
        <w:t>Danube </w:t>
      </w:r>
      <w:r>
        <w:rPr>
          <w:sz w:val="21"/>
        </w:rPr>
        <w:t>near the citadel of </w:t>
      </w:r>
      <w:r>
        <w:rPr>
          <w:i/>
          <w:sz w:val="21"/>
        </w:rPr>
        <w:t>Ingoldstadt </w:t>
      </w:r>
      <w:r>
        <w:rPr>
          <w:sz w:val="21"/>
        </w:rPr>
        <w:t>in </w:t>
      </w:r>
      <w:r>
        <w:rPr>
          <w:i/>
          <w:sz w:val="21"/>
        </w:rPr>
        <w:t>Bavaria, </w:t>
      </w:r>
      <w:r>
        <w:rPr>
          <w:sz w:val="21"/>
        </w:rPr>
        <w:t>but the volume of water is less. In rainy season, it increases breadth-wise in such a way that at some places, its breadth exceeds a mile and a half.‖</w:t>
      </w:r>
    </w:p>
    <w:p>
      <w:pPr>
        <w:spacing w:before="2"/>
        <w:ind w:left="5798" w:right="0" w:firstLine="0"/>
        <w:jc w:val="left"/>
        <w:rPr>
          <w:sz w:val="21"/>
        </w:rPr>
      </w:pPr>
      <w:r>
        <w:rPr>
          <w:sz w:val="21"/>
        </w:rPr>
        <w:t>(Emphasis supplied)</w:t>
      </w:r>
    </w:p>
    <w:p>
      <w:pPr>
        <w:pStyle w:val="BodyText"/>
        <w:spacing w:before="10"/>
        <w:rPr>
          <w:sz w:val="27"/>
        </w:rPr>
      </w:pPr>
    </w:p>
    <w:p>
      <w:pPr>
        <w:pStyle w:val="BodyText"/>
        <w:spacing w:line="602" w:lineRule="auto"/>
        <w:ind w:left="500" w:right="441"/>
        <w:jc w:val="both"/>
      </w:pPr>
      <w:r>
        <w:rPr>
          <w:b/>
        </w:rPr>
        <w:t>Tieffenthaler‘s </w:t>
      </w:r>
      <w:r>
        <w:rPr/>
        <w:t>account was relied on by various Hindu parties as it emphasises the following features:</w:t>
      </w:r>
    </w:p>
    <w:p>
      <w:pPr>
        <w:pStyle w:val="ListParagraph"/>
        <w:numPr>
          <w:ilvl w:val="0"/>
          <w:numId w:val="183"/>
        </w:numPr>
        <w:tabs>
          <w:tab w:pos="1221" w:val="left" w:leader="none"/>
        </w:tabs>
        <w:spacing w:line="480" w:lineRule="auto" w:before="0" w:after="0"/>
        <w:ind w:left="1220" w:right="439" w:hanging="720"/>
        <w:jc w:val="both"/>
        <w:rPr>
          <w:sz w:val="25"/>
        </w:rPr>
      </w:pPr>
      <w:r>
        <w:rPr>
          <w:sz w:val="25"/>
        </w:rPr>
        <w:t>It contains a reference to the belief of the Hindus that Lord Ram is the human incarnation of Vishnu (described as </w:t>
      </w:r>
      <w:r>
        <w:rPr>
          <w:i/>
          <w:sz w:val="25"/>
        </w:rPr>
        <w:t>Beschan </w:t>
      </w:r>
      <w:r>
        <w:rPr>
          <w:sz w:val="25"/>
        </w:rPr>
        <w:t>in the account). The account sets out the belief of the Hindus that Lord Ram was born at the </w:t>
      </w:r>
      <w:r>
        <w:rPr>
          <w:w w:val="99"/>
          <w:sz w:val="25"/>
        </w:rPr>
        <w:t>site,</w:t>
      </w:r>
      <w:r>
        <w:rPr>
          <w:sz w:val="25"/>
        </w:rPr>
        <w:t> </w:t>
      </w:r>
      <w:r>
        <w:rPr>
          <w:w w:val="99"/>
          <w:sz w:val="25"/>
        </w:rPr>
        <w:t>the</w:t>
      </w:r>
      <w:r>
        <w:rPr>
          <w:sz w:val="25"/>
        </w:rPr>
        <w:t> </w:t>
      </w:r>
      <w:r>
        <w:rPr>
          <w:w w:val="99"/>
          <w:sz w:val="25"/>
        </w:rPr>
        <w:t>s</w:t>
      </w:r>
      <w:r>
        <w:rPr>
          <w:spacing w:val="-3"/>
          <w:w w:val="99"/>
          <w:sz w:val="25"/>
        </w:rPr>
        <w:t>y</w:t>
      </w:r>
      <w:r>
        <w:rPr>
          <w:w w:val="99"/>
          <w:sz w:val="25"/>
        </w:rPr>
        <w:t>m</w:t>
      </w:r>
      <w:r>
        <w:rPr>
          <w:spacing w:val="-1"/>
          <w:w w:val="99"/>
          <w:sz w:val="25"/>
        </w:rPr>
        <w:t>b</w:t>
      </w:r>
      <w:r>
        <w:rPr>
          <w:w w:val="99"/>
          <w:sz w:val="25"/>
        </w:rPr>
        <w:t>ol</w:t>
      </w:r>
      <w:r>
        <w:rPr>
          <w:spacing w:val="-1"/>
          <w:sz w:val="25"/>
        </w:rPr>
        <w:t> </w:t>
      </w:r>
      <w:r>
        <w:rPr>
          <w:spacing w:val="-1"/>
          <w:w w:val="99"/>
          <w:sz w:val="25"/>
        </w:rPr>
        <w:t>o</w:t>
      </w:r>
      <w:r>
        <w:rPr>
          <w:w w:val="99"/>
          <w:sz w:val="25"/>
        </w:rPr>
        <w:t>f</w:t>
      </w:r>
      <w:r>
        <w:rPr>
          <w:sz w:val="25"/>
        </w:rPr>
        <w:t> </w:t>
      </w:r>
      <w:r>
        <w:rPr>
          <w:spacing w:val="-1"/>
          <w:w w:val="99"/>
          <w:sz w:val="25"/>
        </w:rPr>
        <w:t>i</w:t>
      </w:r>
      <w:r>
        <w:rPr>
          <w:w w:val="99"/>
          <w:sz w:val="25"/>
        </w:rPr>
        <w:t>t</w:t>
      </w:r>
      <w:r>
        <w:rPr>
          <w:spacing w:val="-1"/>
          <w:sz w:val="25"/>
        </w:rPr>
        <w:t> </w:t>
      </w:r>
      <w:r>
        <w:rPr>
          <w:spacing w:val="-1"/>
          <w:w w:val="99"/>
          <w:sz w:val="25"/>
        </w:rPr>
        <w:t>b</w:t>
      </w:r>
      <w:r>
        <w:rPr>
          <w:w w:val="99"/>
          <w:sz w:val="25"/>
        </w:rPr>
        <w:t>e</w:t>
      </w:r>
      <w:r>
        <w:rPr>
          <w:spacing w:val="-1"/>
          <w:w w:val="99"/>
          <w:sz w:val="25"/>
        </w:rPr>
        <w:t>in</w:t>
      </w:r>
      <w:r>
        <w:rPr>
          <w:w w:val="99"/>
          <w:sz w:val="25"/>
        </w:rPr>
        <w:t>g</w:t>
      </w:r>
      <w:r>
        <w:rPr>
          <w:sz w:val="25"/>
        </w:rPr>
        <w:t> </w:t>
      </w:r>
      <w:r>
        <w:rPr>
          <w:w w:val="99"/>
          <w:sz w:val="25"/>
        </w:rPr>
        <w:t>the</w:t>
      </w:r>
      <w:r>
        <w:rPr>
          <w:sz w:val="25"/>
        </w:rPr>
        <w:t> </w:t>
      </w:r>
      <w:r>
        <w:rPr>
          <w:spacing w:val="4"/>
          <w:w w:val="33"/>
          <w:sz w:val="25"/>
        </w:rPr>
        <w:t>―</w:t>
      </w:r>
      <w:r>
        <w:rPr>
          <w:i/>
          <w:spacing w:val="-1"/>
          <w:w w:val="99"/>
          <w:sz w:val="25"/>
        </w:rPr>
        <w:t>B</w:t>
      </w:r>
      <w:r>
        <w:rPr>
          <w:i/>
          <w:w w:val="99"/>
          <w:sz w:val="25"/>
        </w:rPr>
        <w:t>ed</w:t>
      </w:r>
      <w:r>
        <w:rPr>
          <w:i/>
          <w:w w:val="99"/>
          <w:sz w:val="25"/>
        </w:rPr>
        <w:t>i</w:t>
      </w:r>
      <w:r>
        <w:rPr>
          <w:w w:val="80"/>
          <w:sz w:val="25"/>
        </w:rPr>
        <w:t>‖</w:t>
      </w:r>
      <w:r>
        <w:rPr>
          <w:spacing w:val="1"/>
          <w:sz w:val="25"/>
        </w:rPr>
        <w:t> </w:t>
      </w:r>
      <w:r>
        <w:rPr>
          <w:spacing w:val="-1"/>
          <w:w w:val="99"/>
          <w:sz w:val="25"/>
        </w:rPr>
        <w:t>o</w:t>
      </w:r>
      <w:r>
        <w:rPr>
          <w:w w:val="99"/>
          <w:sz w:val="25"/>
        </w:rPr>
        <w:t>r</w:t>
      </w:r>
      <w:r>
        <w:rPr>
          <w:sz w:val="25"/>
        </w:rPr>
        <w:t> </w:t>
      </w:r>
      <w:r>
        <w:rPr>
          <w:spacing w:val="1"/>
          <w:w w:val="33"/>
          <w:sz w:val="25"/>
        </w:rPr>
        <w:t>―</w:t>
      </w:r>
      <w:r>
        <w:rPr>
          <w:w w:val="99"/>
          <w:sz w:val="25"/>
        </w:rPr>
        <w:t>c</w:t>
      </w:r>
      <w:r>
        <w:rPr>
          <w:spacing w:val="-2"/>
          <w:w w:val="99"/>
          <w:sz w:val="25"/>
        </w:rPr>
        <w:t>r</w:t>
      </w:r>
      <w:r>
        <w:rPr>
          <w:spacing w:val="-2"/>
          <w:w w:val="99"/>
          <w:sz w:val="25"/>
        </w:rPr>
        <w:t>a</w:t>
      </w:r>
      <w:r>
        <w:rPr>
          <w:w w:val="99"/>
          <w:sz w:val="25"/>
        </w:rPr>
        <w:t>dle</w:t>
      </w:r>
      <w:r>
        <w:rPr>
          <w:w w:val="88"/>
          <w:sz w:val="25"/>
        </w:rPr>
        <w:t>‖;</w:t>
      </w:r>
    </w:p>
    <w:p>
      <w:pPr>
        <w:pStyle w:val="ListParagraph"/>
        <w:numPr>
          <w:ilvl w:val="0"/>
          <w:numId w:val="183"/>
        </w:numPr>
        <w:tabs>
          <w:tab w:pos="1221" w:val="left" w:leader="none"/>
        </w:tabs>
        <w:spacing w:line="480" w:lineRule="auto" w:before="0" w:after="0"/>
        <w:ind w:left="1220" w:right="441" w:hanging="720"/>
        <w:jc w:val="both"/>
        <w:rPr>
          <w:sz w:val="25"/>
        </w:rPr>
      </w:pPr>
      <w:r>
        <w:rPr>
          <w:sz w:val="25"/>
        </w:rPr>
        <w:t>The account while adverting to the faith of the Hindus in Lord Ram makes </w:t>
      </w:r>
      <w:r>
        <w:rPr>
          <w:w w:val="99"/>
          <w:sz w:val="25"/>
        </w:rPr>
        <w:t>a</w:t>
      </w:r>
      <w:r>
        <w:rPr>
          <w:sz w:val="25"/>
        </w:rPr>
        <w:t> </w:t>
      </w:r>
      <w:r>
        <w:rPr>
          <w:spacing w:val="-31"/>
          <w:sz w:val="25"/>
        </w:rPr>
        <w:t> </w:t>
      </w:r>
      <w:r>
        <w:rPr>
          <w:w w:val="99"/>
          <w:sz w:val="25"/>
        </w:rPr>
        <w:t>r</w:t>
      </w:r>
      <w:r>
        <w:rPr>
          <w:spacing w:val="-1"/>
          <w:w w:val="99"/>
          <w:sz w:val="25"/>
        </w:rPr>
        <w:t>ef</w:t>
      </w:r>
      <w:r>
        <w:rPr>
          <w:w w:val="99"/>
          <w:sz w:val="25"/>
        </w:rPr>
        <w:t>er</w:t>
      </w:r>
      <w:r>
        <w:rPr>
          <w:spacing w:val="-1"/>
          <w:w w:val="99"/>
          <w:sz w:val="25"/>
        </w:rPr>
        <w:t>e</w:t>
      </w:r>
      <w:r>
        <w:rPr>
          <w:w w:val="99"/>
          <w:sz w:val="25"/>
        </w:rPr>
        <w:t>nce</w:t>
      </w:r>
      <w:r>
        <w:rPr>
          <w:sz w:val="25"/>
        </w:rPr>
        <w:t> </w:t>
      </w:r>
      <w:r>
        <w:rPr>
          <w:spacing w:val="-31"/>
          <w:sz w:val="25"/>
        </w:rPr>
        <w:t> </w:t>
      </w:r>
      <w:r>
        <w:rPr>
          <w:w w:val="99"/>
          <w:sz w:val="25"/>
        </w:rPr>
        <w:t>to</w:t>
      </w:r>
      <w:r>
        <w:rPr>
          <w:sz w:val="25"/>
        </w:rPr>
        <w:t> </w:t>
      </w:r>
      <w:r>
        <w:rPr>
          <w:spacing w:val="-33"/>
          <w:sz w:val="25"/>
        </w:rPr>
        <w:t> </w:t>
      </w:r>
      <w:r>
        <w:rPr>
          <w:spacing w:val="-1"/>
          <w:w w:val="99"/>
          <w:sz w:val="25"/>
        </w:rPr>
        <w:t>ot</w:t>
      </w:r>
      <w:r>
        <w:rPr>
          <w:w w:val="99"/>
          <w:sz w:val="25"/>
        </w:rPr>
        <w:t>h</w:t>
      </w:r>
      <w:r>
        <w:rPr>
          <w:spacing w:val="-1"/>
          <w:w w:val="99"/>
          <w:sz w:val="25"/>
        </w:rPr>
        <w:t>e</w:t>
      </w:r>
      <w:r>
        <w:rPr>
          <w:w w:val="99"/>
          <w:sz w:val="25"/>
        </w:rPr>
        <w:t>r</w:t>
      </w:r>
      <w:r>
        <w:rPr>
          <w:sz w:val="25"/>
        </w:rPr>
        <w:t> </w:t>
      </w:r>
      <w:r>
        <w:rPr>
          <w:spacing w:val="-33"/>
          <w:sz w:val="25"/>
        </w:rPr>
        <w:t> </w:t>
      </w:r>
      <w:r>
        <w:rPr>
          <w:spacing w:val="-1"/>
          <w:w w:val="99"/>
          <w:sz w:val="25"/>
        </w:rPr>
        <w:t>ass</w:t>
      </w:r>
      <w:r>
        <w:rPr>
          <w:w w:val="99"/>
          <w:sz w:val="25"/>
        </w:rPr>
        <w:t>ociated</w:t>
      </w:r>
      <w:r>
        <w:rPr>
          <w:sz w:val="25"/>
        </w:rPr>
        <w:t> </w:t>
      </w:r>
      <w:r>
        <w:rPr>
          <w:spacing w:val="-31"/>
          <w:sz w:val="25"/>
        </w:rPr>
        <w:t> </w:t>
      </w:r>
      <w:r>
        <w:rPr>
          <w:spacing w:val="-1"/>
          <w:w w:val="99"/>
          <w:sz w:val="25"/>
        </w:rPr>
        <w:t>plac</w:t>
      </w:r>
      <w:r>
        <w:rPr>
          <w:w w:val="99"/>
          <w:sz w:val="25"/>
        </w:rPr>
        <w:t>es</w:t>
      </w:r>
      <w:r>
        <w:rPr>
          <w:sz w:val="25"/>
        </w:rPr>
        <w:t> </w:t>
      </w:r>
      <w:r>
        <w:rPr>
          <w:spacing w:val="-32"/>
          <w:sz w:val="25"/>
        </w:rPr>
        <w:t> </w:t>
      </w:r>
      <w:r>
        <w:rPr>
          <w:spacing w:val="-1"/>
          <w:w w:val="99"/>
          <w:sz w:val="25"/>
        </w:rPr>
        <w:t>o</w:t>
      </w:r>
      <w:r>
        <w:rPr>
          <w:w w:val="99"/>
          <w:sz w:val="25"/>
        </w:rPr>
        <w:t>f</w:t>
      </w:r>
      <w:r>
        <w:rPr>
          <w:sz w:val="25"/>
        </w:rPr>
        <w:t> </w:t>
      </w:r>
      <w:r>
        <w:rPr>
          <w:spacing w:val="-31"/>
          <w:sz w:val="25"/>
        </w:rPr>
        <w:t> </w:t>
      </w:r>
      <w:r>
        <w:rPr>
          <w:spacing w:val="-1"/>
          <w:w w:val="99"/>
          <w:sz w:val="25"/>
        </w:rPr>
        <w:t>wo</w:t>
      </w:r>
      <w:r>
        <w:rPr>
          <w:w w:val="99"/>
          <w:sz w:val="25"/>
        </w:rPr>
        <w:t>rship</w:t>
      </w:r>
      <w:r>
        <w:rPr>
          <w:sz w:val="25"/>
        </w:rPr>
        <w:t> </w:t>
      </w:r>
      <w:r>
        <w:rPr>
          <w:spacing w:val="-31"/>
          <w:sz w:val="25"/>
        </w:rPr>
        <w:t> </w:t>
      </w:r>
      <w:r>
        <w:rPr>
          <w:spacing w:val="-1"/>
          <w:w w:val="99"/>
          <w:sz w:val="25"/>
        </w:rPr>
        <w:t>inclu</w:t>
      </w:r>
      <w:r>
        <w:rPr>
          <w:w w:val="99"/>
          <w:sz w:val="25"/>
        </w:rPr>
        <w:t>d</w:t>
      </w:r>
      <w:r>
        <w:rPr>
          <w:spacing w:val="-1"/>
          <w:w w:val="99"/>
          <w:sz w:val="25"/>
        </w:rPr>
        <w:t>in</w:t>
      </w:r>
      <w:r>
        <w:rPr>
          <w:w w:val="99"/>
          <w:sz w:val="25"/>
        </w:rPr>
        <w:t>g</w:t>
      </w:r>
      <w:r>
        <w:rPr>
          <w:sz w:val="25"/>
        </w:rPr>
        <w:t> </w:t>
      </w:r>
      <w:r>
        <w:rPr>
          <w:spacing w:val="-31"/>
          <w:sz w:val="25"/>
        </w:rPr>
        <w:t> </w:t>
      </w:r>
      <w:r>
        <w:rPr>
          <w:w w:val="33"/>
          <w:sz w:val="25"/>
        </w:rPr>
        <w:t>―</w:t>
      </w:r>
      <w:r>
        <w:rPr>
          <w:spacing w:val="-1"/>
          <w:w w:val="99"/>
          <w:sz w:val="25"/>
        </w:rPr>
        <w:t>So</w:t>
      </w:r>
      <w:r>
        <w:rPr>
          <w:w w:val="99"/>
          <w:sz w:val="25"/>
        </w:rPr>
        <w:t>r</w:t>
      </w:r>
      <w:r>
        <w:rPr>
          <w:spacing w:val="-1"/>
          <w:w w:val="99"/>
          <w:sz w:val="25"/>
        </w:rPr>
        <w:t>g</w:t>
      </w:r>
      <w:r>
        <w:rPr>
          <w:w w:val="99"/>
          <w:sz w:val="25"/>
        </w:rPr>
        <w:t>a</w:t>
      </w:r>
      <w:r>
        <w:rPr>
          <w:spacing w:val="-1"/>
          <w:w w:val="99"/>
          <w:sz w:val="25"/>
        </w:rPr>
        <w:t>d</w:t>
      </w:r>
      <w:r>
        <w:rPr>
          <w:w w:val="99"/>
          <w:sz w:val="25"/>
        </w:rPr>
        <w:t>a</w:t>
      </w:r>
      <w:r>
        <w:rPr>
          <w:spacing w:val="-1"/>
          <w:w w:val="99"/>
          <w:sz w:val="25"/>
        </w:rPr>
        <w:t>o</w:t>
      </w:r>
      <w:r>
        <w:rPr>
          <w:w w:val="99"/>
          <w:sz w:val="25"/>
        </w:rPr>
        <w:t>r</w:t>
      </w:r>
      <w:r>
        <w:rPr>
          <w:spacing w:val="-3"/>
          <w:w w:val="99"/>
          <w:sz w:val="25"/>
        </w:rPr>
        <w:t>i</w:t>
      </w:r>
      <w:r>
        <w:rPr>
          <w:w w:val="80"/>
          <w:sz w:val="25"/>
        </w:rPr>
        <w:t>‖ </w:t>
      </w:r>
      <w:r>
        <w:rPr>
          <w:w w:val="99"/>
          <w:sz w:val="25"/>
        </w:rPr>
        <w:t>(</w:t>
      </w:r>
      <w:r>
        <w:rPr>
          <w:spacing w:val="-1"/>
          <w:w w:val="99"/>
          <w:sz w:val="25"/>
        </w:rPr>
        <w:t>S</w:t>
      </w:r>
      <w:r>
        <w:rPr>
          <w:w w:val="99"/>
          <w:sz w:val="25"/>
        </w:rPr>
        <w:t>warg</w:t>
      </w:r>
      <w:r>
        <w:rPr>
          <w:spacing w:val="-1"/>
          <w:sz w:val="25"/>
        </w:rPr>
        <w:t> </w:t>
      </w:r>
      <w:r>
        <w:rPr>
          <w:w w:val="99"/>
          <w:sz w:val="25"/>
        </w:rPr>
        <w:t>Dwa</w:t>
      </w:r>
      <w:r>
        <w:rPr>
          <w:spacing w:val="1"/>
          <w:w w:val="99"/>
          <w:sz w:val="25"/>
        </w:rPr>
        <w:t>r</w:t>
      </w:r>
      <w:r>
        <w:rPr>
          <w:w w:val="99"/>
          <w:sz w:val="25"/>
        </w:rPr>
        <w:t>)</w:t>
      </w:r>
      <w:r>
        <w:rPr>
          <w:spacing w:val="1"/>
          <w:sz w:val="25"/>
        </w:rPr>
        <w:t> </w:t>
      </w:r>
      <w:r>
        <w:rPr>
          <w:w w:val="99"/>
          <w:sz w:val="25"/>
        </w:rPr>
        <w:t>and</w:t>
      </w:r>
      <w:r>
        <w:rPr>
          <w:spacing w:val="1"/>
          <w:sz w:val="25"/>
        </w:rPr>
        <w:t> </w:t>
      </w:r>
      <w:r>
        <w:rPr>
          <w:w w:val="33"/>
          <w:sz w:val="25"/>
        </w:rPr>
        <w:t>―</w:t>
      </w:r>
      <w:r>
        <w:rPr>
          <w:spacing w:val="-1"/>
          <w:w w:val="99"/>
          <w:sz w:val="25"/>
        </w:rPr>
        <w:t>Sith</w:t>
      </w:r>
      <w:r>
        <w:rPr>
          <w:w w:val="99"/>
          <w:sz w:val="25"/>
        </w:rPr>
        <w:t>a</w:t>
      </w:r>
      <w:r>
        <w:rPr>
          <w:sz w:val="25"/>
        </w:rPr>
        <w:t> </w:t>
      </w:r>
      <w:r>
        <w:rPr>
          <w:spacing w:val="-1"/>
          <w:w w:val="99"/>
          <w:sz w:val="25"/>
        </w:rPr>
        <w:t>Rass</w:t>
      </w:r>
      <w:r>
        <w:rPr>
          <w:w w:val="99"/>
          <w:sz w:val="25"/>
        </w:rPr>
        <w:t>o</w:t>
      </w:r>
      <w:r>
        <w:rPr>
          <w:spacing w:val="-1"/>
          <w:w w:val="87"/>
          <w:sz w:val="25"/>
        </w:rPr>
        <w:t>i</w:t>
      </w:r>
      <w:r>
        <w:rPr>
          <w:w w:val="87"/>
          <w:sz w:val="25"/>
        </w:rPr>
        <w:t>‖</w:t>
      </w:r>
      <w:r>
        <w:rPr>
          <w:sz w:val="25"/>
        </w:rPr>
        <w:t> </w:t>
      </w:r>
      <w:r>
        <w:rPr>
          <w:w w:val="99"/>
          <w:sz w:val="25"/>
        </w:rPr>
        <w:t>(</w:t>
      </w:r>
      <w:r>
        <w:rPr>
          <w:spacing w:val="-1"/>
          <w:w w:val="99"/>
          <w:sz w:val="25"/>
        </w:rPr>
        <w:t>Sit</w:t>
      </w:r>
      <w:r>
        <w:rPr>
          <w:w w:val="99"/>
          <w:sz w:val="25"/>
        </w:rPr>
        <w:t>a</w:t>
      </w:r>
      <w:r>
        <w:rPr>
          <w:spacing w:val="-1"/>
          <w:sz w:val="25"/>
        </w:rPr>
        <w:t> </w:t>
      </w:r>
      <w:r>
        <w:rPr>
          <w:spacing w:val="-1"/>
          <w:w w:val="99"/>
          <w:sz w:val="25"/>
        </w:rPr>
        <w:t>R</w:t>
      </w:r>
      <w:r>
        <w:rPr>
          <w:w w:val="99"/>
          <w:sz w:val="25"/>
        </w:rPr>
        <w:t>asoi);</w:t>
      </w:r>
    </w:p>
    <w:p>
      <w:pPr>
        <w:spacing w:after="0" w:line="480" w:lineRule="auto"/>
        <w:jc w:val="both"/>
        <w:rPr>
          <w:sz w:val="25"/>
        </w:rPr>
        <w:sectPr>
          <w:pgSz w:w="11910" w:h="16840"/>
          <w:pgMar w:header="721" w:footer="1014" w:top="1300" w:bottom="1200" w:left="940" w:right="1000"/>
        </w:sectPr>
      </w:pPr>
    </w:p>
    <w:p>
      <w:pPr>
        <w:pStyle w:val="ListParagraph"/>
        <w:numPr>
          <w:ilvl w:val="0"/>
          <w:numId w:val="183"/>
        </w:numPr>
        <w:tabs>
          <w:tab w:pos="1290" w:val="left" w:leader="none"/>
        </w:tabs>
        <w:spacing w:line="480" w:lineRule="auto" w:before="124" w:after="0"/>
        <w:ind w:left="1220" w:right="437" w:hanging="720"/>
        <w:jc w:val="both"/>
        <w:rPr>
          <w:sz w:val="25"/>
        </w:rPr>
      </w:pPr>
      <w:r>
        <w:rPr/>
        <w:tab/>
      </w:r>
      <w:r>
        <w:rPr>
          <w:sz w:val="25"/>
        </w:rPr>
        <w:t>The account contains a reference to the alleged demolition by Aurangzeb </w:t>
      </w:r>
      <w:r>
        <w:rPr>
          <w:spacing w:val="-1"/>
          <w:w w:val="99"/>
          <w:sz w:val="25"/>
        </w:rPr>
        <w:t>o</w:t>
      </w:r>
      <w:r>
        <w:rPr>
          <w:w w:val="99"/>
          <w:sz w:val="25"/>
        </w:rPr>
        <w:t>f</w:t>
      </w:r>
      <w:r>
        <w:rPr>
          <w:sz w:val="25"/>
        </w:rPr>
        <w:t> </w:t>
      </w:r>
      <w:r>
        <w:rPr>
          <w:spacing w:val="-24"/>
          <w:sz w:val="25"/>
        </w:rPr>
        <w:t> </w:t>
      </w:r>
      <w:r>
        <w:rPr>
          <w:w w:val="33"/>
          <w:sz w:val="25"/>
        </w:rPr>
        <w:t>―</w:t>
      </w:r>
      <w:r>
        <w:rPr>
          <w:w w:val="99"/>
          <w:sz w:val="25"/>
        </w:rPr>
        <w:t>the</w:t>
      </w:r>
      <w:r>
        <w:rPr>
          <w:sz w:val="25"/>
        </w:rPr>
        <w:t> </w:t>
      </w:r>
      <w:r>
        <w:rPr>
          <w:spacing w:val="-24"/>
          <w:sz w:val="25"/>
        </w:rPr>
        <w:t> </w:t>
      </w:r>
      <w:r>
        <w:rPr>
          <w:w w:val="99"/>
          <w:sz w:val="25"/>
        </w:rPr>
        <w:t>fo</w:t>
      </w:r>
      <w:r>
        <w:rPr>
          <w:spacing w:val="1"/>
          <w:w w:val="99"/>
          <w:sz w:val="25"/>
        </w:rPr>
        <w:t>r</w:t>
      </w:r>
      <w:r>
        <w:rPr>
          <w:w w:val="99"/>
          <w:sz w:val="25"/>
        </w:rPr>
        <w:t>tr</w:t>
      </w:r>
      <w:r>
        <w:rPr>
          <w:spacing w:val="-1"/>
          <w:w w:val="99"/>
          <w:sz w:val="25"/>
        </w:rPr>
        <w:t>es</w:t>
      </w:r>
      <w:r>
        <w:rPr>
          <w:w w:val="99"/>
          <w:sz w:val="25"/>
        </w:rPr>
        <w:t>s</w:t>
      </w:r>
      <w:r>
        <w:rPr>
          <w:sz w:val="25"/>
        </w:rPr>
        <w:t> </w:t>
      </w:r>
      <w:r>
        <w:rPr>
          <w:spacing w:val="-24"/>
          <w:sz w:val="25"/>
        </w:rPr>
        <w:t> </w:t>
      </w:r>
      <w:r>
        <w:rPr>
          <w:w w:val="99"/>
          <w:sz w:val="25"/>
        </w:rPr>
        <w:t>call</w:t>
      </w:r>
      <w:r>
        <w:rPr>
          <w:spacing w:val="-2"/>
          <w:w w:val="99"/>
          <w:sz w:val="25"/>
        </w:rPr>
        <w:t>e</w:t>
      </w:r>
      <w:r>
        <w:rPr>
          <w:w w:val="99"/>
          <w:sz w:val="25"/>
        </w:rPr>
        <w:t>d</w:t>
      </w:r>
      <w:r>
        <w:rPr>
          <w:sz w:val="25"/>
        </w:rPr>
        <w:t> </w:t>
      </w:r>
      <w:r>
        <w:rPr>
          <w:spacing w:val="-24"/>
          <w:sz w:val="25"/>
        </w:rPr>
        <w:t> </w:t>
      </w:r>
      <w:r>
        <w:rPr>
          <w:spacing w:val="-1"/>
          <w:w w:val="99"/>
          <w:sz w:val="25"/>
        </w:rPr>
        <w:t>Ra</w:t>
      </w:r>
      <w:r>
        <w:rPr>
          <w:w w:val="99"/>
          <w:sz w:val="25"/>
        </w:rPr>
        <w:t>m</w:t>
      </w:r>
      <w:r>
        <w:rPr>
          <w:sz w:val="25"/>
        </w:rPr>
        <w:t> </w:t>
      </w:r>
      <w:r>
        <w:rPr>
          <w:spacing w:val="-24"/>
          <w:sz w:val="25"/>
        </w:rPr>
        <w:t> </w:t>
      </w:r>
      <w:r>
        <w:rPr>
          <w:spacing w:val="-1"/>
          <w:w w:val="95"/>
          <w:sz w:val="25"/>
        </w:rPr>
        <w:t>Cot</w:t>
      </w:r>
      <w:r>
        <w:rPr>
          <w:w w:val="95"/>
          <w:sz w:val="25"/>
        </w:rPr>
        <w:t>‖</w:t>
      </w:r>
      <w:r>
        <w:rPr>
          <w:sz w:val="25"/>
        </w:rPr>
        <w:t> </w:t>
      </w:r>
      <w:r>
        <w:rPr>
          <w:spacing w:val="-23"/>
          <w:sz w:val="25"/>
        </w:rPr>
        <w:t> </w:t>
      </w:r>
      <w:r>
        <w:rPr>
          <w:spacing w:val="-1"/>
          <w:w w:val="99"/>
          <w:sz w:val="25"/>
        </w:rPr>
        <w:t>a</w:t>
      </w:r>
      <w:r>
        <w:rPr>
          <w:w w:val="99"/>
          <w:sz w:val="25"/>
        </w:rPr>
        <w:t>nd</w:t>
      </w:r>
      <w:r>
        <w:rPr>
          <w:sz w:val="25"/>
        </w:rPr>
        <w:t> </w:t>
      </w:r>
      <w:r>
        <w:rPr>
          <w:spacing w:val="-24"/>
          <w:sz w:val="25"/>
        </w:rPr>
        <w:t> </w:t>
      </w:r>
      <w:r>
        <w:rPr>
          <w:w w:val="99"/>
          <w:sz w:val="25"/>
        </w:rPr>
        <w:t>the</w:t>
      </w:r>
      <w:r>
        <w:rPr>
          <w:sz w:val="25"/>
        </w:rPr>
        <w:t> </w:t>
      </w:r>
      <w:r>
        <w:rPr>
          <w:spacing w:val="-24"/>
          <w:sz w:val="25"/>
        </w:rPr>
        <w:t> </w:t>
      </w:r>
      <w:r>
        <w:rPr>
          <w:w w:val="99"/>
          <w:sz w:val="25"/>
        </w:rPr>
        <w:t>constr</w:t>
      </w:r>
      <w:r>
        <w:rPr>
          <w:spacing w:val="-1"/>
          <w:w w:val="99"/>
          <w:sz w:val="25"/>
        </w:rPr>
        <w:t>ucti</w:t>
      </w:r>
      <w:r>
        <w:rPr>
          <w:w w:val="99"/>
          <w:sz w:val="25"/>
        </w:rPr>
        <w:t>on</w:t>
      </w:r>
      <w:r>
        <w:rPr>
          <w:sz w:val="25"/>
        </w:rPr>
        <w:t> </w:t>
      </w:r>
      <w:r>
        <w:rPr>
          <w:spacing w:val="-24"/>
          <w:sz w:val="25"/>
        </w:rPr>
        <w:t> </w:t>
      </w:r>
      <w:r>
        <w:rPr>
          <w:spacing w:val="-1"/>
          <w:w w:val="99"/>
          <w:sz w:val="25"/>
        </w:rPr>
        <w:t>o</w:t>
      </w:r>
      <w:r>
        <w:rPr>
          <w:w w:val="99"/>
          <w:sz w:val="25"/>
        </w:rPr>
        <w:t>f</w:t>
      </w:r>
      <w:r>
        <w:rPr>
          <w:sz w:val="25"/>
        </w:rPr>
        <w:t> </w:t>
      </w:r>
      <w:r>
        <w:rPr>
          <w:spacing w:val="-24"/>
          <w:sz w:val="25"/>
        </w:rPr>
        <w:t> </w:t>
      </w:r>
      <w:r>
        <w:rPr>
          <w:w w:val="99"/>
          <w:sz w:val="25"/>
        </w:rPr>
        <w:t>a</w:t>
      </w:r>
      <w:r>
        <w:rPr>
          <w:sz w:val="25"/>
        </w:rPr>
        <w:t> </w:t>
      </w:r>
      <w:r>
        <w:rPr>
          <w:spacing w:val="-24"/>
          <w:sz w:val="25"/>
        </w:rPr>
        <w:t> </w:t>
      </w:r>
      <w:r>
        <w:rPr>
          <w:w w:val="99"/>
          <w:sz w:val="25"/>
        </w:rPr>
        <w:t>m</w:t>
      </w:r>
      <w:r>
        <w:rPr>
          <w:spacing w:val="-1"/>
          <w:w w:val="99"/>
          <w:sz w:val="25"/>
        </w:rPr>
        <w:t>os</w:t>
      </w:r>
      <w:r>
        <w:rPr>
          <w:w w:val="99"/>
          <w:sz w:val="25"/>
        </w:rPr>
        <w:t>q</w:t>
      </w:r>
      <w:r>
        <w:rPr>
          <w:spacing w:val="-1"/>
          <w:w w:val="99"/>
          <w:sz w:val="25"/>
        </w:rPr>
        <w:t>u</w:t>
      </w:r>
      <w:r>
        <w:rPr>
          <w:w w:val="99"/>
          <w:sz w:val="25"/>
        </w:rPr>
        <w:t>e</w:t>
      </w:r>
      <w:r>
        <w:rPr>
          <w:sz w:val="25"/>
        </w:rPr>
        <w:t> </w:t>
      </w:r>
      <w:r>
        <w:rPr>
          <w:spacing w:val="-24"/>
          <w:sz w:val="25"/>
        </w:rPr>
        <w:t> </w:t>
      </w:r>
      <w:r>
        <w:rPr>
          <w:spacing w:val="-1"/>
          <w:w w:val="99"/>
          <w:sz w:val="25"/>
        </w:rPr>
        <w:t>with </w:t>
      </w:r>
      <w:r>
        <w:rPr>
          <w:sz w:val="25"/>
        </w:rPr>
        <w:t>triple domes at the same place. </w:t>
      </w:r>
      <w:r>
        <w:rPr>
          <w:b/>
          <w:sz w:val="25"/>
        </w:rPr>
        <w:t>Tieffenthaler </w:t>
      </w:r>
      <w:r>
        <w:rPr>
          <w:sz w:val="25"/>
        </w:rPr>
        <w:t>however, also records that according to some the mosque was constructed by</w:t>
      </w:r>
      <w:r>
        <w:rPr>
          <w:spacing w:val="-10"/>
          <w:sz w:val="25"/>
        </w:rPr>
        <w:t> </w:t>
      </w:r>
      <w:r>
        <w:rPr>
          <w:sz w:val="25"/>
        </w:rPr>
        <w:t>Babur;</w:t>
      </w:r>
    </w:p>
    <w:p>
      <w:pPr>
        <w:pStyle w:val="ListParagraph"/>
        <w:numPr>
          <w:ilvl w:val="0"/>
          <w:numId w:val="183"/>
        </w:numPr>
        <w:tabs>
          <w:tab w:pos="1290" w:val="left" w:leader="none"/>
        </w:tabs>
        <w:spacing w:line="480" w:lineRule="auto" w:before="0" w:after="0"/>
        <w:ind w:left="1220" w:right="438" w:hanging="720"/>
        <w:jc w:val="both"/>
        <w:rPr>
          <w:sz w:val="25"/>
        </w:rPr>
      </w:pPr>
      <w:r>
        <w:rPr/>
        <w:tab/>
      </w:r>
      <w:r>
        <w:rPr>
          <w:b/>
          <w:sz w:val="25"/>
        </w:rPr>
        <w:t>Tieffenthaler‘s </w:t>
      </w:r>
      <w:r>
        <w:rPr>
          <w:sz w:val="25"/>
        </w:rPr>
        <w:t>account contains a reference to the use of fourteen black stone pillars which had existed at the site of the erstwhile fortress. Twelve of them are stated to support the interior arcades of the mosque. Two are stated to be at the entrance of the</w:t>
      </w:r>
      <w:r>
        <w:rPr>
          <w:spacing w:val="-6"/>
          <w:sz w:val="25"/>
        </w:rPr>
        <w:t> </w:t>
      </w:r>
      <w:r>
        <w:rPr>
          <w:sz w:val="25"/>
        </w:rPr>
        <w:t>cloister;</w:t>
      </w:r>
    </w:p>
    <w:p>
      <w:pPr>
        <w:pStyle w:val="ListParagraph"/>
        <w:numPr>
          <w:ilvl w:val="0"/>
          <w:numId w:val="183"/>
        </w:numPr>
        <w:tabs>
          <w:tab w:pos="1221" w:val="left" w:leader="none"/>
        </w:tabs>
        <w:spacing w:line="480" w:lineRule="auto" w:before="1" w:after="0"/>
        <w:ind w:left="1220" w:right="445" w:hanging="720"/>
        <w:jc w:val="both"/>
        <w:rPr>
          <w:sz w:val="25"/>
        </w:rPr>
      </w:pPr>
      <w:r>
        <w:rPr>
          <w:sz w:val="25"/>
        </w:rPr>
        <w:t>He describes a square box raised 5 inches above the ground which according to the Hindus is the cradle (representing the birth of Lord</w:t>
      </w:r>
      <w:r>
        <w:rPr>
          <w:spacing w:val="-25"/>
          <w:sz w:val="25"/>
        </w:rPr>
        <w:t> </w:t>
      </w:r>
      <w:r>
        <w:rPr>
          <w:sz w:val="25"/>
        </w:rPr>
        <w:t>Ram);</w:t>
      </w:r>
    </w:p>
    <w:p>
      <w:pPr>
        <w:pStyle w:val="ListParagraph"/>
        <w:numPr>
          <w:ilvl w:val="0"/>
          <w:numId w:val="183"/>
        </w:numPr>
        <w:tabs>
          <w:tab w:pos="1221" w:val="left" w:leader="none"/>
        </w:tabs>
        <w:spacing w:line="480" w:lineRule="auto" w:before="0" w:after="0"/>
        <w:ind w:left="1220" w:right="436" w:hanging="720"/>
        <w:jc w:val="both"/>
        <w:rPr>
          <w:sz w:val="25"/>
        </w:rPr>
      </w:pPr>
      <w:r>
        <w:rPr>
          <w:sz w:val="25"/>
        </w:rPr>
        <w:t>The account notes that in spite of the alleged demolition (by Aurangzeb or </w:t>
      </w:r>
      <w:r>
        <w:rPr>
          <w:spacing w:val="-1"/>
          <w:w w:val="99"/>
          <w:sz w:val="25"/>
        </w:rPr>
        <w:t>Ba</w:t>
      </w:r>
      <w:r>
        <w:rPr>
          <w:w w:val="99"/>
          <w:sz w:val="25"/>
        </w:rPr>
        <w:t>b</w:t>
      </w:r>
      <w:r>
        <w:rPr>
          <w:spacing w:val="-1"/>
          <w:w w:val="99"/>
          <w:sz w:val="25"/>
        </w:rPr>
        <w:t>u</w:t>
      </w:r>
      <w:r>
        <w:rPr>
          <w:w w:val="99"/>
          <w:sz w:val="25"/>
        </w:rPr>
        <w:t>r),</w:t>
      </w:r>
      <w:r>
        <w:rPr>
          <w:sz w:val="25"/>
        </w:rPr>
        <w:t> </w:t>
      </w:r>
      <w:r>
        <w:rPr>
          <w:spacing w:val="-34"/>
          <w:sz w:val="25"/>
        </w:rPr>
        <w:t> </w:t>
      </w:r>
      <w:r>
        <w:rPr>
          <w:w w:val="33"/>
          <w:sz w:val="25"/>
        </w:rPr>
        <w:t>―</w:t>
      </w:r>
      <w:r>
        <w:rPr>
          <w:w w:val="99"/>
          <w:sz w:val="25"/>
        </w:rPr>
        <w:t>th</w:t>
      </w:r>
      <w:r>
        <w:rPr>
          <w:spacing w:val="-2"/>
          <w:w w:val="99"/>
          <w:sz w:val="25"/>
        </w:rPr>
        <w:t>e</w:t>
      </w:r>
      <w:r>
        <w:rPr>
          <w:w w:val="99"/>
          <w:sz w:val="25"/>
        </w:rPr>
        <w:t>re</w:t>
      </w:r>
      <w:r>
        <w:rPr>
          <w:sz w:val="25"/>
        </w:rPr>
        <w:t> </w:t>
      </w:r>
      <w:r>
        <w:rPr>
          <w:spacing w:val="-34"/>
          <w:sz w:val="25"/>
        </w:rPr>
        <w:t> </w:t>
      </w:r>
      <w:r>
        <w:rPr>
          <w:w w:val="99"/>
          <w:sz w:val="25"/>
        </w:rPr>
        <w:t>still</w:t>
      </w:r>
      <w:r>
        <w:rPr>
          <w:sz w:val="25"/>
        </w:rPr>
        <w:t> </w:t>
      </w:r>
      <w:r>
        <w:rPr>
          <w:spacing w:val="-35"/>
          <w:sz w:val="25"/>
        </w:rPr>
        <w:t> </w:t>
      </w:r>
      <w:r>
        <w:rPr>
          <w:spacing w:val="-1"/>
          <w:w w:val="99"/>
          <w:sz w:val="25"/>
        </w:rPr>
        <w:t>e</w:t>
      </w:r>
      <w:r>
        <w:rPr>
          <w:spacing w:val="-3"/>
          <w:w w:val="99"/>
          <w:sz w:val="25"/>
        </w:rPr>
        <w:t>x</w:t>
      </w:r>
      <w:r>
        <w:rPr>
          <w:spacing w:val="-1"/>
          <w:w w:val="99"/>
          <w:sz w:val="25"/>
        </w:rPr>
        <w:t>ist</w:t>
      </w:r>
      <w:r>
        <w:rPr>
          <w:w w:val="99"/>
          <w:sz w:val="25"/>
        </w:rPr>
        <w:t>s</w:t>
      </w:r>
      <w:r>
        <w:rPr>
          <w:sz w:val="25"/>
        </w:rPr>
        <w:t> </w:t>
      </w:r>
      <w:r>
        <w:rPr>
          <w:spacing w:val="-34"/>
          <w:sz w:val="25"/>
        </w:rPr>
        <w:t> </w:t>
      </w:r>
      <w:r>
        <w:rPr>
          <w:w w:val="99"/>
          <w:sz w:val="25"/>
        </w:rPr>
        <w:t>so</w:t>
      </w:r>
      <w:r>
        <w:rPr>
          <w:spacing w:val="1"/>
          <w:w w:val="99"/>
          <w:sz w:val="25"/>
        </w:rPr>
        <w:t>m</w:t>
      </w:r>
      <w:r>
        <w:rPr>
          <w:w w:val="99"/>
          <w:sz w:val="25"/>
        </w:rPr>
        <w:t>e</w:t>
      </w:r>
      <w:r>
        <w:rPr>
          <w:sz w:val="25"/>
        </w:rPr>
        <w:t> </w:t>
      </w:r>
      <w:r>
        <w:rPr>
          <w:spacing w:val="-34"/>
          <w:sz w:val="25"/>
        </w:rPr>
        <w:t> </w:t>
      </w:r>
      <w:r>
        <w:rPr>
          <w:w w:val="99"/>
          <w:sz w:val="25"/>
        </w:rPr>
        <w:t>sup</w:t>
      </w:r>
      <w:r>
        <w:rPr>
          <w:spacing w:val="-1"/>
          <w:w w:val="99"/>
          <w:sz w:val="25"/>
        </w:rPr>
        <w:t>e</w:t>
      </w:r>
      <w:r>
        <w:rPr>
          <w:w w:val="99"/>
          <w:sz w:val="25"/>
        </w:rPr>
        <w:t>rstiti</w:t>
      </w:r>
      <w:r>
        <w:rPr>
          <w:spacing w:val="-2"/>
          <w:w w:val="99"/>
          <w:sz w:val="25"/>
        </w:rPr>
        <w:t>o</w:t>
      </w:r>
      <w:r>
        <w:rPr>
          <w:spacing w:val="-1"/>
          <w:w w:val="99"/>
          <w:sz w:val="25"/>
        </w:rPr>
        <w:t>u</w:t>
      </w:r>
      <w:r>
        <w:rPr>
          <w:w w:val="99"/>
          <w:sz w:val="25"/>
        </w:rPr>
        <w:t>s</w:t>
      </w:r>
      <w:r>
        <w:rPr>
          <w:sz w:val="25"/>
        </w:rPr>
        <w:t> </w:t>
      </w:r>
      <w:r>
        <w:rPr>
          <w:spacing w:val="-34"/>
          <w:sz w:val="25"/>
        </w:rPr>
        <w:t> </w:t>
      </w:r>
      <w:r>
        <w:rPr>
          <w:w w:val="99"/>
          <w:sz w:val="25"/>
        </w:rPr>
        <w:t>cult</w:t>
      </w:r>
      <w:r>
        <w:rPr>
          <w:sz w:val="25"/>
        </w:rPr>
        <w:t> </w:t>
      </w:r>
      <w:r>
        <w:rPr>
          <w:spacing w:val="-34"/>
          <w:sz w:val="25"/>
        </w:rPr>
        <w:t> </w:t>
      </w:r>
      <w:r>
        <w:rPr>
          <w:spacing w:val="-1"/>
          <w:w w:val="99"/>
          <w:sz w:val="25"/>
        </w:rPr>
        <w:t>i</w:t>
      </w:r>
      <w:r>
        <w:rPr>
          <w:w w:val="99"/>
          <w:sz w:val="25"/>
        </w:rPr>
        <w:t>n</w:t>
      </w:r>
      <w:r>
        <w:rPr>
          <w:sz w:val="25"/>
        </w:rPr>
        <w:t> </w:t>
      </w:r>
      <w:r>
        <w:rPr>
          <w:spacing w:val="-34"/>
          <w:sz w:val="25"/>
        </w:rPr>
        <w:t> </w:t>
      </w:r>
      <w:r>
        <w:rPr>
          <w:w w:val="99"/>
          <w:sz w:val="25"/>
        </w:rPr>
        <w:t>s</w:t>
      </w:r>
      <w:r>
        <w:rPr>
          <w:spacing w:val="5"/>
          <w:w w:val="99"/>
          <w:sz w:val="25"/>
        </w:rPr>
        <w:t>o</w:t>
      </w:r>
      <w:r>
        <w:rPr>
          <w:w w:val="99"/>
          <w:sz w:val="25"/>
        </w:rPr>
        <w:t>me</w:t>
      </w:r>
      <w:r>
        <w:rPr>
          <w:spacing w:val="33"/>
          <w:sz w:val="25"/>
        </w:rPr>
        <w:t> </w:t>
      </w:r>
      <w:r>
        <w:rPr>
          <w:spacing w:val="-1"/>
          <w:w w:val="99"/>
          <w:sz w:val="25"/>
        </w:rPr>
        <w:t>pla</w:t>
      </w:r>
      <w:r>
        <w:rPr>
          <w:spacing w:val="-2"/>
          <w:w w:val="99"/>
          <w:sz w:val="25"/>
        </w:rPr>
        <w:t>c</w:t>
      </w:r>
      <w:r>
        <w:rPr>
          <w:w w:val="99"/>
          <w:sz w:val="25"/>
        </w:rPr>
        <w:t>e</w:t>
      </w:r>
      <w:r>
        <w:rPr>
          <w:sz w:val="25"/>
        </w:rPr>
        <w:t> </w:t>
      </w:r>
      <w:r>
        <w:rPr>
          <w:spacing w:val="-34"/>
          <w:sz w:val="25"/>
        </w:rPr>
        <w:t> </w:t>
      </w:r>
      <w:r>
        <w:rPr>
          <w:spacing w:val="-1"/>
          <w:w w:val="99"/>
          <w:sz w:val="25"/>
        </w:rPr>
        <w:t>o</w:t>
      </w:r>
      <w:r>
        <w:rPr>
          <w:w w:val="99"/>
          <w:sz w:val="25"/>
        </w:rPr>
        <w:t>r</w:t>
      </w:r>
      <w:r>
        <w:rPr>
          <w:sz w:val="25"/>
        </w:rPr>
        <w:t> </w:t>
      </w:r>
      <w:r>
        <w:rPr>
          <w:spacing w:val="-33"/>
          <w:sz w:val="25"/>
        </w:rPr>
        <w:t> </w:t>
      </w:r>
      <w:r>
        <w:rPr>
          <w:spacing w:val="-1"/>
          <w:w w:val="99"/>
          <w:sz w:val="25"/>
        </w:rPr>
        <w:t>ot</w:t>
      </w:r>
      <w:r>
        <w:rPr>
          <w:spacing w:val="-2"/>
          <w:w w:val="99"/>
          <w:sz w:val="25"/>
        </w:rPr>
        <w:t>h</w:t>
      </w:r>
      <w:r>
        <w:rPr>
          <w:spacing w:val="-1"/>
          <w:w w:val="99"/>
          <w:sz w:val="25"/>
        </w:rPr>
        <w:t>e</w:t>
      </w:r>
      <w:r>
        <w:rPr>
          <w:w w:val="99"/>
          <w:sz w:val="25"/>
        </w:rPr>
        <w:t>r</w:t>
      </w:r>
      <w:r>
        <w:rPr>
          <w:w w:val="80"/>
          <w:sz w:val="25"/>
        </w:rPr>
        <w:t>‖ </w:t>
      </w:r>
      <w:r>
        <w:rPr>
          <w:sz w:val="25"/>
        </w:rPr>
        <w:t>that continues to worship at the site. An example of that is stated to be the </w:t>
      </w:r>
      <w:r>
        <w:rPr>
          <w:spacing w:val="-1"/>
          <w:w w:val="99"/>
          <w:sz w:val="25"/>
        </w:rPr>
        <w:t>plac</w:t>
      </w:r>
      <w:r>
        <w:rPr>
          <w:w w:val="99"/>
          <w:sz w:val="25"/>
        </w:rPr>
        <w:t>e</w:t>
      </w:r>
      <w:r>
        <w:rPr>
          <w:sz w:val="25"/>
        </w:rPr>
        <w:t> </w:t>
      </w:r>
      <w:r>
        <w:rPr>
          <w:spacing w:val="-31"/>
          <w:sz w:val="25"/>
        </w:rPr>
        <w:t> </w:t>
      </w:r>
      <w:r>
        <w:rPr>
          <w:spacing w:val="-1"/>
          <w:w w:val="99"/>
          <w:sz w:val="25"/>
        </w:rPr>
        <w:t>whe</w:t>
      </w:r>
      <w:r>
        <w:rPr>
          <w:spacing w:val="1"/>
          <w:w w:val="99"/>
          <w:sz w:val="25"/>
        </w:rPr>
        <w:t>r</w:t>
      </w:r>
      <w:r>
        <w:rPr>
          <w:w w:val="99"/>
          <w:sz w:val="25"/>
        </w:rPr>
        <w:t>e</w:t>
      </w:r>
      <w:r>
        <w:rPr>
          <w:sz w:val="25"/>
        </w:rPr>
        <w:t> </w:t>
      </w:r>
      <w:r>
        <w:rPr>
          <w:spacing w:val="-31"/>
          <w:sz w:val="25"/>
        </w:rPr>
        <w:t> </w:t>
      </w:r>
      <w:r>
        <w:rPr>
          <w:w w:val="99"/>
          <w:sz w:val="25"/>
        </w:rPr>
        <w:t>the</w:t>
      </w:r>
      <w:r>
        <w:rPr>
          <w:sz w:val="25"/>
        </w:rPr>
        <w:t> </w:t>
      </w:r>
      <w:r>
        <w:rPr>
          <w:spacing w:val="-31"/>
          <w:sz w:val="25"/>
        </w:rPr>
        <w:t> </w:t>
      </w:r>
      <w:r>
        <w:rPr>
          <w:w w:val="33"/>
          <w:sz w:val="25"/>
        </w:rPr>
        <w:t>―</w:t>
      </w:r>
      <w:r>
        <w:rPr>
          <w:spacing w:val="-1"/>
          <w:w w:val="99"/>
          <w:sz w:val="25"/>
        </w:rPr>
        <w:t>n</w:t>
      </w:r>
      <w:r>
        <w:rPr>
          <w:w w:val="99"/>
          <w:sz w:val="25"/>
        </w:rPr>
        <w:t>ati</w:t>
      </w:r>
      <w:r>
        <w:rPr>
          <w:spacing w:val="-3"/>
          <w:w w:val="99"/>
          <w:sz w:val="25"/>
        </w:rPr>
        <w:t>v</w:t>
      </w:r>
      <w:r>
        <w:rPr>
          <w:w w:val="99"/>
          <w:sz w:val="25"/>
        </w:rPr>
        <w:t>e</w:t>
      </w:r>
      <w:r>
        <w:rPr>
          <w:sz w:val="25"/>
        </w:rPr>
        <w:t> </w:t>
      </w:r>
      <w:r>
        <w:rPr>
          <w:spacing w:val="-31"/>
          <w:sz w:val="25"/>
        </w:rPr>
        <w:t> </w:t>
      </w:r>
      <w:r>
        <w:rPr>
          <w:spacing w:val="-1"/>
          <w:w w:val="99"/>
          <w:sz w:val="25"/>
        </w:rPr>
        <w:t>h</w:t>
      </w:r>
      <w:r>
        <w:rPr>
          <w:w w:val="99"/>
          <w:sz w:val="25"/>
        </w:rPr>
        <w:t>o</w:t>
      </w:r>
      <w:r>
        <w:rPr>
          <w:spacing w:val="-1"/>
          <w:w w:val="99"/>
          <w:sz w:val="25"/>
        </w:rPr>
        <w:t>us</w:t>
      </w:r>
      <w:r>
        <w:rPr>
          <w:w w:val="99"/>
          <w:sz w:val="25"/>
        </w:rPr>
        <w:t>e</w:t>
      </w:r>
      <w:r>
        <w:rPr>
          <w:w w:val="80"/>
          <w:sz w:val="25"/>
        </w:rPr>
        <w:t>‖</w:t>
      </w:r>
      <w:r>
        <w:rPr>
          <w:sz w:val="25"/>
        </w:rPr>
        <w:t> </w:t>
      </w:r>
      <w:r>
        <w:rPr>
          <w:spacing w:val="-31"/>
          <w:sz w:val="25"/>
        </w:rPr>
        <w:t> </w:t>
      </w:r>
      <w:r>
        <w:rPr>
          <w:spacing w:val="-1"/>
          <w:w w:val="99"/>
          <w:sz w:val="25"/>
        </w:rPr>
        <w:t>o</w:t>
      </w:r>
      <w:r>
        <w:rPr>
          <w:w w:val="99"/>
          <w:sz w:val="25"/>
        </w:rPr>
        <w:t>f</w:t>
      </w:r>
      <w:r>
        <w:rPr>
          <w:sz w:val="25"/>
        </w:rPr>
        <w:t> </w:t>
      </w:r>
      <w:r>
        <w:rPr>
          <w:spacing w:val="-31"/>
          <w:sz w:val="25"/>
        </w:rPr>
        <w:t> </w:t>
      </w:r>
      <w:r>
        <w:rPr>
          <w:spacing w:val="-1"/>
          <w:w w:val="99"/>
          <w:sz w:val="25"/>
        </w:rPr>
        <w:t>L</w:t>
      </w:r>
      <w:r>
        <w:rPr>
          <w:w w:val="99"/>
          <w:sz w:val="25"/>
        </w:rPr>
        <w:t>ord</w:t>
      </w:r>
      <w:r>
        <w:rPr>
          <w:sz w:val="25"/>
        </w:rPr>
        <w:t> </w:t>
      </w:r>
      <w:r>
        <w:rPr>
          <w:spacing w:val="-31"/>
          <w:sz w:val="25"/>
        </w:rPr>
        <w:t> </w:t>
      </w:r>
      <w:r>
        <w:rPr>
          <w:spacing w:val="1"/>
          <w:w w:val="99"/>
          <w:sz w:val="25"/>
        </w:rPr>
        <w:t>R</w:t>
      </w:r>
      <w:r>
        <w:rPr>
          <w:spacing w:val="-1"/>
          <w:w w:val="99"/>
          <w:sz w:val="25"/>
        </w:rPr>
        <w:t>a</w:t>
      </w:r>
      <w:r>
        <w:rPr>
          <w:w w:val="99"/>
          <w:sz w:val="25"/>
        </w:rPr>
        <w:t>m</w:t>
      </w:r>
      <w:r>
        <w:rPr>
          <w:sz w:val="25"/>
        </w:rPr>
        <w:t> </w:t>
      </w:r>
      <w:r>
        <w:rPr>
          <w:spacing w:val="-31"/>
          <w:sz w:val="25"/>
        </w:rPr>
        <w:t> </w:t>
      </w:r>
      <w:r>
        <w:rPr>
          <w:spacing w:val="-1"/>
          <w:w w:val="99"/>
          <w:sz w:val="25"/>
        </w:rPr>
        <w:t>i</w:t>
      </w:r>
      <w:r>
        <w:rPr>
          <w:w w:val="99"/>
          <w:sz w:val="25"/>
        </w:rPr>
        <w:t>s</w:t>
      </w:r>
      <w:r>
        <w:rPr>
          <w:sz w:val="25"/>
        </w:rPr>
        <w:t> </w:t>
      </w:r>
      <w:r>
        <w:rPr>
          <w:spacing w:val="-32"/>
          <w:sz w:val="25"/>
        </w:rPr>
        <w:t> </w:t>
      </w:r>
      <w:r>
        <w:rPr>
          <w:w w:val="99"/>
          <w:sz w:val="25"/>
        </w:rPr>
        <w:t>tho</w:t>
      </w:r>
      <w:r>
        <w:rPr>
          <w:spacing w:val="-1"/>
          <w:w w:val="99"/>
          <w:sz w:val="25"/>
        </w:rPr>
        <w:t>u</w:t>
      </w:r>
      <w:r>
        <w:rPr>
          <w:w w:val="99"/>
          <w:sz w:val="25"/>
        </w:rPr>
        <w:t>g</w:t>
      </w:r>
      <w:r>
        <w:rPr>
          <w:spacing w:val="-1"/>
          <w:w w:val="99"/>
          <w:sz w:val="25"/>
        </w:rPr>
        <w:t>h</w:t>
      </w:r>
      <w:r>
        <w:rPr>
          <w:w w:val="99"/>
          <w:sz w:val="25"/>
        </w:rPr>
        <w:t>t</w:t>
      </w:r>
      <w:r>
        <w:rPr>
          <w:sz w:val="25"/>
        </w:rPr>
        <w:t> </w:t>
      </w:r>
      <w:r>
        <w:rPr>
          <w:spacing w:val="-31"/>
          <w:sz w:val="25"/>
        </w:rPr>
        <w:t> </w:t>
      </w:r>
      <w:r>
        <w:rPr>
          <w:w w:val="99"/>
          <w:sz w:val="25"/>
        </w:rPr>
        <w:t>to</w:t>
      </w:r>
      <w:r>
        <w:rPr>
          <w:sz w:val="25"/>
        </w:rPr>
        <w:t> </w:t>
      </w:r>
      <w:r>
        <w:rPr>
          <w:spacing w:val="-31"/>
          <w:sz w:val="25"/>
        </w:rPr>
        <w:t> </w:t>
      </w:r>
      <w:r>
        <w:rPr>
          <w:spacing w:val="-1"/>
          <w:w w:val="99"/>
          <w:sz w:val="25"/>
        </w:rPr>
        <w:t>h</w:t>
      </w:r>
      <w:r>
        <w:rPr>
          <w:w w:val="99"/>
          <w:sz w:val="25"/>
        </w:rPr>
        <w:t>ave</w:t>
      </w:r>
      <w:r>
        <w:rPr>
          <w:sz w:val="25"/>
        </w:rPr>
        <w:t> </w:t>
      </w:r>
      <w:r>
        <w:rPr>
          <w:spacing w:val="-31"/>
          <w:sz w:val="25"/>
        </w:rPr>
        <w:t> </w:t>
      </w:r>
      <w:r>
        <w:rPr>
          <w:spacing w:val="-1"/>
          <w:w w:val="99"/>
          <w:sz w:val="25"/>
        </w:rPr>
        <w:t>e</w:t>
      </w:r>
      <w:r>
        <w:rPr>
          <w:spacing w:val="-3"/>
          <w:w w:val="99"/>
          <w:sz w:val="25"/>
        </w:rPr>
        <w:t>x</w:t>
      </w:r>
      <w:r>
        <w:rPr>
          <w:spacing w:val="-1"/>
          <w:w w:val="99"/>
          <w:sz w:val="25"/>
        </w:rPr>
        <w:t>iste</w:t>
      </w:r>
      <w:r>
        <w:rPr>
          <w:w w:val="99"/>
          <w:sz w:val="25"/>
        </w:rPr>
        <w:t>d, </w:t>
      </w:r>
      <w:r>
        <w:rPr>
          <w:spacing w:val="-1"/>
          <w:w w:val="99"/>
          <w:sz w:val="25"/>
        </w:rPr>
        <w:t>a</w:t>
      </w:r>
      <w:r>
        <w:rPr>
          <w:w w:val="99"/>
          <w:sz w:val="25"/>
        </w:rPr>
        <w:t>r</w:t>
      </w:r>
      <w:r>
        <w:rPr>
          <w:spacing w:val="-1"/>
          <w:w w:val="99"/>
          <w:sz w:val="25"/>
        </w:rPr>
        <w:t>o</w:t>
      </w:r>
      <w:r>
        <w:rPr>
          <w:w w:val="99"/>
          <w:sz w:val="25"/>
        </w:rPr>
        <w:t>u</w:t>
      </w:r>
      <w:r>
        <w:rPr>
          <w:spacing w:val="-1"/>
          <w:w w:val="99"/>
          <w:sz w:val="25"/>
        </w:rPr>
        <w:t>n</w:t>
      </w:r>
      <w:r>
        <w:rPr>
          <w:w w:val="99"/>
          <w:sz w:val="25"/>
        </w:rPr>
        <w:t>d</w:t>
      </w:r>
      <w:r>
        <w:rPr>
          <w:sz w:val="25"/>
        </w:rPr>
        <w:t> </w:t>
      </w:r>
      <w:r>
        <w:rPr>
          <w:spacing w:val="31"/>
          <w:sz w:val="25"/>
        </w:rPr>
        <w:t> </w:t>
      </w:r>
      <w:r>
        <w:rPr>
          <w:spacing w:val="-1"/>
          <w:w w:val="99"/>
          <w:sz w:val="25"/>
        </w:rPr>
        <w:t>whic</w:t>
      </w:r>
      <w:r>
        <w:rPr>
          <w:w w:val="99"/>
          <w:sz w:val="25"/>
        </w:rPr>
        <w:t>h</w:t>
      </w:r>
      <w:r>
        <w:rPr>
          <w:sz w:val="25"/>
        </w:rPr>
        <w:t> </w:t>
      </w:r>
      <w:r>
        <w:rPr>
          <w:spacing w:val="31"/>
          <w:sz w:val="25"/>
        </w:rPr>
        <w:t> </w:t>
      </w:r>
      <w:r>
        <w:rPr>
          <w:spacing w:val="-1"/>
          <w:w w:val="99"/>
          <w:sz w:val="25"/>
        </w:rPr>
        <w:t>Hind</w:t>
      </w:r>
      <w:r>
        <w:rPr>
          <w:spacing w:val="2"/>
          <w:w w:val="99"/>
          <w:sz w:val="25"/>
        </w:rPr>
        <w:t>u</w:t>
      </w:r>
      <w:r>
        <w:rPr>
          <w:w w:val="99"/>
          <w:sz w:val="25"/>
        </w:rPr>
        <w:t>s</w:t>
      </w:r>
      <w:r>
        <w:rPr>
          <w:sz w:val="25"/>
        </w:rPr>
        <w:t> </w:t>
      </w:r>
      <w:r>
        <w:rPr>
          <w:spacing w:val="31"/>
          <w:sz w:val="25"/>
        </w:rPr>
        <w:t> </w:t>
      </w:r>
      <w:r>
        <w:rPr>
          <w:w w:val="99"/>
          <w:sz w:val="25"/>
        </w:rPr>
        <w:t>circum</w:t>
      </w:r>
      <w:r>
        <w:rPr>
          <w:spacing w:val="-1"/>
          <w:w w:val="99"/>
          <w:sz w:val="25"/>
        </w:rPr>
        <w:t>a</w:t>
      </w:r>
      <w:r>
        <w:rPr>
          <w:w w:val="99"/>
          <w:sz w:val="25"/>
        </w:rPr>
        <w:t>m</w:t>
      </w:r>
      <w:r>
        <w:rPr>
          <w:spacing w:val="-1"/>
          <w:w w:val="99"/>
          <w:sz w:val="25"/>
        </w:rPr>
        <w:t>b</w:t>
      </w:r>
      <w:r>
        <w:rPr>
          <w:w w:val="99"/>
          <w:sz w:val="25"/>
        </w:rPr>
        <w:t>u</w:t>
      </w:r>
      <w:r>
        <w:rPr>
          <w:spacing w:val="-1"/>
          <w:w w:val="99"/>
          <w:sz w:val="25"/>
        </w:rPr>
        <w:t>lat</w:t>
      </w:r>
      <w:r>
        <w:rPr>
          <w:w w:val="99"/>
          <w:sz w:val="25"/>
        </w:rPr>
        <w:t>e</w:t>
      </w:r>
      <w:r>
        <w:rPr>
          <w:sz w:val="25"/>
        </w:rPr>
        <w:t> </w:t>
      </w:r>
      <w:r>
        <w:rPr>
          <w:spacing w:val="31"/>
          <w:sz w:val="25"/>
        </w:rPr>
        <w:t> </w:t>
      </w:r>
      <w:r>
        <w:rPr>
          <w:w w:val="99"/>
          <w:sz w:val="25"/>
        </w:rPr>
        <w:t>(</w:t>
      </w:r>
      <w:r>
        <w:rPr>
          <w:w w:val="33"/>
          <w:sz w:val="25"/>
        </w:rPr>
        <w:t>―</w:t>
      </w:r>
      <w:r>
        <w:rPr>
          <w:spacing w:val="-1"/>
          <w:w w:val="99"/>
          <w:sz w:val="25"/>
        </w:rPr>
        <w:t>g</w:t>
      </w:r>
      <w:r>
        <w:rPr>
          <w:w w:val="99"/>
          <w:sz w:val="25"/>
        </w:rPr>
        <w:t>o</w:t>
      </w:r>
      <w:r>
        <w:rPr>
          <w:sz w:val="25"/>
        </w:rPr>
        <w:t> </w:t>
      </w:r>
      <w:r>
        <w:rPr>
          <w:spacing w:val="31"/>
          <w:sz w:val="25"/>
        </w:rPr>
        <w:t> </w:t>
      </w:r>
      <w:r>
        <w:rPr>
          <w:spacing w:val="-1"/>
          <w:w w:val="99"/>
          <w:sz w:val="25"/>
        </w:rPr>
        <w:t>a</w:t>
      </w:r>
      <w:r>
        <w:rPr>
          <w:w w:val="99"/>
          <w:sz w:val="25"/>
        </w:rPr>
        <w:t>r</w:t>
      </w:r>
      <w:r>
        <w:rPr>
          <w:spacing w:val="-1"/>
          <w:w w:val="99"/>
          <w:sz w:val="25"/>
        </w:rPr>
        <w:t>o</w:t>
      </w:r>
      <w:r>
        <w:rPr>
          <w:w w:val="99"/>
          <w:sz w:val="25"/>
        </w:rPr>
        <w:t>u</w:t>
      </w:r>
      <w:r>
        <w:rPr>
          <w:spacing w:val="-1"/>
          <w:w w:val="99"/>
          <w:sz w:val="25"/>
        </w:rPr>
        <w:t>n</w:t>
      </w:r>
      <w:r>
        <w:rPr>
          <w:w w:val="99"/>
          <w:sz w:val="25"/>
        </w:rPr>
        <w:t>d</w:t>
      </w:r>
      <w:r>
        <w:rPr>
          <w:w w:val="80"/>
          <w:sz w:val="25"/>
        </w:rPr>
        <w:t>‖</w:t>
      </w:r>
      <w:r>
        <w:rPr>
          <w:w w:val="99"/>
          <w:sz w:val="25"/>
        </w:rPr>
        <w:t>)</w:t>
      </w:r>
      <w:r>
        <w:rPr>
          <w:sz w:val="25"/>
        </w:rPr>
        <w:t> </w:t>
      </w:r>
      <w:r>
        <w:rPr>
          <w:spacing w:val="32"/>
          <w:sz w:val="25"/>
        </w:rPr>
        <w:t> </w:t>
      </w:r>
      <w:r>
        <w:rPr>
          <w:w w:val="99"/>
          <w:sz w:val="25"/>
        </w:rPr>
        <w:t>th</w:t>
      </w:r>
      <w:r>
        <w:rPr>
          <w:spacing w:val="1"/>
          <w:w w:val="99"/>
          <w:sz w:val="25"/>
        </w:rPr>
        <w:t>r</w:t>
      </w:r>
      <w:r>
        <w:rPr>
          <w:spacing w:val="-1"/>
          <w:w w:val="99"/>
          <w:sz w:val="25"/>
        </w:rPr>
        <w:t>e</w:t>
      </w:r>
      <w:r>
        <w:rPr>
          <w:w w:val="99"/>
          <w:sz w:val="25"/>
        </w:rPr>
        <w:t>e</w:t>
      </w:r>
      <w:r>
        <w:rPr>
          <w:sz w:val="25"/>
        </w:rPr>
        <w:t> </w:t>
      </w:r>
      <w:r>
        <w:rPr>
          <w:spacing w:val="31"/>
          <w:sz w:val="25"/>
        </w:rPr>
        <w:t> </w:t>
      </w:r>
      <w:r>
        <w:rPr>
          <w:w w:val="99"/>
          <w:sz w:val="25"/>
        </w:rPr>
        <w:t>tim</w:t>
      </w:r>
      <w:r>
        <w:rPr>
          <w:spacing w:val="-1"/>
          <w:w w:val="99"/>
          <w:sz w:val="25"/>
        </w:rPr>
        <w:t>e</w:t>
      </w:r>
      <w:r>
        <w:rPr>
          <w:w w:val="99"/>
          <w:sz w:val="25"/>
        </w:rPr>
        <w:t>s</w:t>
      </w:r>
      <w:r>
        <w:rPr>
          <w:sz w:val="25"/>
        </w:rPr>
        <w:t> </w:t>
      </w:r>
      <w:r>
        <w:rPr>
          <w:spacing w:val="31"/>
          <w:sz w:val="25"/>
        </w:rPr>
        <w:t> </w:t>
      </w:r>
      <w:r>
        <w:rPr>
          <w:spacing w:val="-1"/>
          <w:w w:val="99"/>
          <w:sz w:val="25"/>
        </w:rPr>
        <w:t>a</w:t>
      </w:r>
      <w:r>
        <w:rPr>
          <w:w w:val="99"/>
          <w:sz w:val="25"/>
        </w:rPr>
        <w:t>nd </w:t>
      </w:r>
      <w:r>
        <w:rPr>
          <w:sz w:val="25"/>
        </w:rPr>
        <w:t>prostrate on the floor;</w:t>
      </w:r>
      <w:r>
        <w:rPr>
          <w:spacing w:val="-2"/>
          <w:sz w:val="25"/>
        </w:rPr>
        <w:t> </w:t>
      </w:r>
      <w:r>
        <w:rPr>
          <w:sz w:val="25"/>
        </w:rPr>
        <w:t>and</w:t>
      </w:r>
    </w:p>
    <w:p>
      <w:pPr>
        <w:pStyle w:val="ListParagraph"/>
        <w:numPr>
          <w:ilvl w:val="0"/>
          <w:numId w:val="183"/>
        </w:numPr>
        <w:tabs>
          <w:tab w:pos="1221" w:val="left" w:leader="none"/>
        </w:tabs>
        <w:spacing w:line="482" w:lineRule="auto" w:before="0" w:after="0"/>
        <w:ind w:left="1220" w:right="444" w:hanging="720"/>
        <w:jc w:val="both"/>
        <w:rPr>
          <w:sz w:val="25"/>
        </w:rPr>
      </w:pPr>
      <w:r>
        <w:rPr>
          <w:sz w:val="25"/>
        </w:rPr>
        <w:t>The account makes a reference to the presence of a large gathering of people to mark and celebrate the birthday of Lord</w:t>
      </w:r>
      <w:r>
        <w:rPr>
          <w:spacing w:val="-11"/>
          <w:sz w:val="25"/>
        </w:rPr>
        <w:t> </w:t>
      </w:r>
      <w:r>
        <w:rPr>
          <w:sz w:val="25"/>
        </w:rPr>
        <w:t>Ram.</w:t>
      </w:r>
    </w:p>
    <w:p>
      <w:pPr>
        <w:pStyle w:val="BodyText"/>
        <w:spacing w:before="4"/>
        <w:rPr>
          <w:sz w:val="24"/>
        </w:rPr>
      </w:pPr>
    </w:p>
    <w:p>
      <w:pPr>
        <w:pStyle w:val="BodyText"/>
        <w:spacing w:line="480" w:lineRule="auto"/>
        <w:ind w:left="500" w:right="436"/>
        <w:jc w:val="both"/>
      </w:pPr>
      <w:r>
        <w:rPr>
          <w:b/>
        </w:rPr>
        <w:t>Tieffenthaler‘s </w:t>
      </w:r>
      <w:r>
        <w:rPr/>
        <w:t>travels to Ayodhya were after 1740, which would have been a little over three decades after the death of Aurangzeb. His account makes a reference to the faith of the Hindu devotees and contains a reference to the alleged demolition, in his opinion most likely to have been </w:t>
      </w:r>
      <w:r>
        <w:rPr>
          <w:spacing w:val="3"/>
        </w:rPr>
        <w:t>at </w:t>
      </w:r>
      <w:r>
        <w:rPr/>
        <w:t>the hands of Aurangzeb,</w:t>
      </w:r>
      <w:r>
        <w:rPr>
          <w:spacing w:val="12"/>
        </w:rPr>
        <w:t> </w:t>
      </w:r>
      <w:r>
        <w:rPr/>
        <w:t>and</w:t>
      </w:r>
      <w:r>
        <w:rPr>
          <w:spacing w:val="13"/>
        </w:rPr>
        <w:t> </w:t>
      </w:r>
      <w:r>
        <w:rPr/>
        <w:t>the</w:t>
      </w:r>
      <w:r>
        <w:rPr>
          <w:spacing w:val="14"/>
        </w:rPr>
        <w:t> </w:t>
      </w:r>
      <w:r>
        <w:rPr/>
        <w:t>erection</w:t>
      </w:r>
      <w:r>
        <w:rPr>
          <w:spacing w:val="13"/>
        </w:rPr>
        <w:t> </w:t>
      </w:r>
      <w:r>
        <w:rPr/>
        <w:t>of</w:t>
      </w:r>
      <w:r>
        <w:rPr>
          <w:spacing w:val="12"/>
        </w:rPr>
        <w:t> </w:t>
      </w:r>
      <w:r>
        <w:rPr/>
        <w:t>a</w:t>
      </w:r>
      <w:r>
        <w:rPr>
          <w:spacing w:val="13"/>
        </w:rPr>
        <w:t> </w:t>
      </w:r>
      <w:r>
        <w:rPr/>
        <w:t>mosque</w:t>
      </w:r>
      <w:r>
        <w:rPr>
          <w:spacing w:val="11"/>
        </w:rPr>
        <w:t> </w:t>
      </w:r>
      <w:r>
        <w:rPr/>
        <w:t>on</w:t>
      </w:r>
      <w:r>
        <w:rPr>
          <w:spacing w:val="13"/>
        </w:rPr>
        <w:t> </w:t>
      </w:r>
      <w:r>
        <w:rPr/>
        <w:t>the</w:t>
      </w:r>
      <w:r>
        <w:rPr>
          <w:spacing w:val="14"/>
        </w:rPr>
        <w:t> </w:t>
      </w:r>
      <w:r>
        <w:rPr/>
        <w:t>site</w:t>
      </w:r>
      <w:r>
        <w:rPr>
          <w:spacing w:val="12"/>
        </w:rPr>
        <w:t> </w:t>
      </w:r>
      <w:r>
        <w:rPr/>
        <w:t>which</w:t>
      </w:r>
      <w:r>
        <w:rPr>
          <w:spacing w:val="13"/>
        </w:rPr>
        <w:t> </w:t>
      </w:r>
      <w:r>
        <w:rPr/>
        <w:t>is</w:t>
      </w:r>
      <w:r>
        <w:rPr>
          <w:spacing w:val="13"/>
        </w:rPr>
        <w:t> </w:t>
      </w:r>
      <w:r>
        <w:rPr/>
        <w:t>believed</w:t>
      </w:r>
      <w:r>
        <w:rPr>
          <w:spacing w:val="13"/>
        </w:rPr>
        <w:t> </w:t>
      </w:r>
      <w:r>
        <w:rPr/>
        <w:t>to</w:t>
      </w:r>
      <w:r>
        <w:rPr>
          <w:spacing w:val="12"/>
        </w:rPr>
        <w:t> </w:t>
      </w:r>
      <w:r>
        <w:rPr/>
        <w:t>be</w:t>
      </w:r>
      <w:r>
        <w:rPr>
          <w:spacing w:val="13"/>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2"/>
        <w:jc w:val="both"/>
      </w:pPr>
      <w:r>
        <w:rPr/>
        <w:t>birth-place of Lord Ram. The account adverts to the use of many black stone pillars in the structure of the mosque.</w:t>
      </w:r>
    </w:p>
    <w:p>
      <w:pPr>
        <w:pStyle w:val="BodyText"/>
        <w:rPr>
          <w:sz w:val="28"/>
        </w:rPr>
      </w:pPr>
    </w:p>
    <w:p>
      <w:pPr>
        <w:pStyle w:val="ListParagraph"/>
        <w:numPr>
          <w:ilvl w:val="0"/>
          <w:numId w:val="166"/>
        </w:numPr>
        <w:tabs>
          <w:tab w:pos="1221" w:val="left" w:leader="none"/>
        </w:tabs>
        <w:spacing w:line="480" w:lineRule="auto" w:before="251" w:after="0"/>
        <w:ind w:left="500" w:right="434" w:firstLine="0"/>
        <w:jc w:val="both"/>
        <w:rPr>
          <w:sz w:val="25"/>
        </w:rPr>
      </w:pPr>
      <w:r>
        <w:rPr>
          <w:b/>
          <w:spacing w:val="-1"/>
          <w:w w:val="99"/>
          <w:sz w:val="25"/>
        </w:rPr>
        <w:t>E</w:t>
      </w:r>
      <w:r>
        <w:rPr>
          <w:b/>
          <w:w w:val="99"/>
          <w:sz w:val="25"/>
        </w:rPr>
        <w:t>x</w:t>
      </w:r>
      <w:r>
        <w:rPr>
          <w:b/>
          <w:spacing w:val="1"/>
          <w:w w:val="99"/>
          <w:sz w:val="25"/>
        </w:rPr>
        <w:t>h</w:t>
      </w:r>
      <w:r>
        <w:rPr>
          <w:b/>
          <w:w w:val="99"/>
          <w:sz w:val="25"/>
        </w:rPr>
        <w:t>i</w:t>
      </w:r>
      <w:r>
        <w:rPr>
          <w:b/>
          <w:spacing w:val="1"/>
          <w:w w:val="99"/>
          <w:sz w:val="25"/>
        </w:rPr>
        <w:t>b</w:t>
      </w:r>
      <w:r>
        <w:rPr>
          <w:b/>
          <w:w w:val="99"/>
          <w:sz w:val="25"/>
        </w:rPr>
        <w:t>it</w:t>
      </w:r>
      <w:r>
        <w:rPr>
          <w:b/>
          <w:sz w:val="25"/>
        </w:rPr>
        <w:t> </w:t>
      </w:r>
      <w:r>
        <w:rPr>
          <w:b/>
          <w:spacing w:val="-5"/>
          <w:sz w:val="25"/>
        </w:rPr>
        <w:t> </w:t>
      </w:r>
      <w:r>
        <w:rPr>
          <w:b/>
          <w:w w:val="99"/>
          <w:sz w:val="25"/>
        </w:rPr>
        <w:t>20</w:t>
      </w:r>
      <w:r>
        <w:rPr>
          <w:b/>
          <w:sz w:val="25"/>
        </w:rPr>
        <w:t> </w:t>
      </w:r>
      <w:r>
        <w:rPr>
          <w:b/>
          <w:spacing w:val="-5"/>
          <w:sz w:val="25"/>
        </w:rPr>
        <w:t> </w:t>
      </w:r>
      <w:r>
        <w:rPr>
          <w:b/>
          <w:w w:val="99"/>
          <w:sz w:val="25"/>
        </w:rPr>
        <w:t>–</w:t>
      </w:r>
      <w:r>
        <w:rPr>
          <w:b/>
          <w:sz w:val="25"/>
        </w:rPr>
        <w:t> </w:t>
      </w:r>
      <w:r>
        <w:rPr>
          <w:b/>
          <w:spacing w:val="-4"/>
          <w:sz w:val="25"/>
        </w:rPr>
        <w:t> </w:t>
      </w:r>
      <w:r>
        <w:rPr>
          <w:b/>
          <w:spacing w:val="-1"/>
          <w:w w:val="99"/>
          <w:sz w:val="25"/>
        </w:rPr>
        <w:t>S</w:t>
      </w:r>
      <w:r>
        <w:rPr>
          <w:b/>
          <w:w w:val="99"/>
          <w:sz w:val="25"/>
        </w:rPr>
        <w:t>u</w:t>
      </w:r>
      <w:r>
        <w:rPr>
          <w:b/>
          <w:spacing w:val="-3"/>
          <w:w w:val="99"/>
          <w:sz w:val="25"/>
        </w:rPr>
        <w:t>i</w:t>
      </w:r>
      <w:r>
        <w:rPr>
          <w:b/>
          <w:w w:val="99"/>
          <w:sz w:val="25"/>
        </w:rPr>
        <w:t>t</w:t>
      </w:r>
      <w:r>
        <w:rPr>
          <w:b/>
          <w:sz w:val="25"/>
        </w:rPr>
        <w:t> </w:t>
      </w:r>
      <w:r>
        <w:rPr>
          <w:b/>
          <w:spacing w:val="-5"/>
          <w:sz w:val="25"/>
        </w:rPr>
        <w:t> </w:t>
      </w:r>
      <w:r>
        <w:rPr>
          <w:b/>
          <w:spacing w:val="-2"/>
          <w:w w:val="99"/>
          <w:sz w:val="25"/>
        </w:rPr>
        <w:t>5</w:t>
      </w:r>
      <w:r>
        <w:rPr>
          <w:b/>
          <w:w w:val="99"/>
          <w:sz w:val="25"/>
        </w:rPr>
        <w:t>:</w:t>
      </w:r>
      <w:r>
        <w:rPr>
          <w:b/>
          <w:sz w:val="25"/>
        </w:rPr>
        <w:t> </w:t>
      </w:r>
      <w:r>
        <w:rPr>
          <w:b/>
          <w:spacing w:val="-7"/>
          <w:sz w:val="25"/>
        </w:rPr>
        <w:t> </w:t>
      </w:r>
      <w:r>
        <w:rPr>
          <w:b/>
          <w:w w:val="99"/>
          <w:sz w:val="25"/>
        </w:rPr>
        <w:t>Ro</w:t>
      </w:r>
      <w:r>
        <w:rPr>
          <w:b/>
          <w:w w:val="99"/>
          <w:sz w:val="25"/>
        </w:rPr>
        <w:t>b</w:t>
      </w:r>
      <w:r>
        <w:rPr>
          <w:b/>
          <w:w w:val="99"/>
          <w:sz w:val="25"/>
        </w:rPr>
        <w:t>ert</w:t>
      </w:r>
      <w:r>
        <w:rPr>
          <w:b/>
          <w:sz w:val="25"/>
        </w:rPr>
        <w:t> </w:t>
      </w:r>
      <w:r>
        <w:rPr>
          <w:b/>
          <w:spacing w:val="-5"/>
          <w:sz w:val="25"/>
        </w:rPr>
        <w:t> </w:t>
      </w:r>
      <w:r>
        <w:rPr>
          <w:b/>
          <w:w w:val="99"/>
          <w:sz w:val="25"/>
        </w:rPr>
        <w:t>M</w:t>
      </w:r>
      <w:r>
        <w:rPr>
          <w:b/>
          <w:spacing w:val="-2"/>
          <w:w w:val="99"/>
          <w:sz w:val="25"/>
        </w:rPr>
        <w:t>o</w:t>
      </w:r>
      <w:r>
        <w:rPr>
          <w:b/>
          <w:w w:val="99"/>
          <w:sz w:val="25"/>
        </w:rPr>
        <w:t>nt</w:t>
      </w:r>
      <w:r>
        <w:rPr>
          <w:b/>
          <w:spacing w:val="-2"/>
          <w:w w:val="99"/>
          <w:sz w:val="25"/>
        </w:rPr>
        <w:t>g</w:t>
      </w:r>
      <w:r>
        <w:rPr>
          <w:b/>
          <w:w w:val="99"/>
          <w:sz w:val="25"/>
        </w:rPr>
        <w:t>o</w:t>
      </w:r>
      <w:r>
        <w:rPr>
          <w:b/>
          <w:spacing w:val="-1"/>
          <w:w w:val="99"/>
          <w:sz w:val="25"/>
        </w:rPr>
        <w:t>m</w:t>
      </w:r>
      <w:r>
        <w:rPr>
          <w:b/>
          <w:w w:val="99"/>
          <w:sz w:val="25"/>
        </w:rPr>
        <w:t>e</w:t>
      </w:r>
      <w:r>
        <w:rPr>
          <w:b/>
          <w:spacing w:val="1"/>
          <w:w w:val="99"/>
          <w:sz w:val="25"/>
        </w:rPr>
        <w:t>r</w:t>
      </w:r>
      <w:r>
        <w:rPr>
          <w:b/>
          <w:w w:val="99"/>
          <w:sz w:val="25"/>
        </w:rPr>
        <w:t>y</w:t>
      </w:r>
      <w:r>
        <w:rPr>
          <w:b/>
          <w:sz w:val="25"/>
        </w:rPr>
        <w:t> </w:t>
      </w:r>
      <w:r>
        <w:rPr>
          <w:b/>
          <w:spacing w:val="-10"/>
          <w:sz w:val="25"/>
        </w:rPr>
        <w:t> </w:t>
      </w:r>
      <w:r>
        <w:rPr>
          <w:b/>
          <w:w w:val="99"/>
          <w:sz w:val="25"/>
        </w:rPr>
        <w:t>M</w:t>
      </w:r>
      <w:r>
        <w:rPr>
          <w:b/>
          <w:w w:val="99"/>
          <w:sz w:val="25"/>
        </w:rPr>
        <w:t>a</w:t>
      </w:r>
      <w:r>
        <w:rPr>
          <w:b/>
          <w:spacing w:val="3"/>
          <w:w w:val="99"/>
          <w:sz w:val="25"/>
        </w:rPr>
        <w:t>r</w:t>
      </w:r>
      <w:r>
        <w:rPr>
          <w:b/>
          <w:w w:val="99"/>
          <w:sz w:val="25"/>
        </w:rPr>
        <w:t>tin</w:t>
      </w:r>
      <w:r>
        <w:rPr>
          <w:b/>
          <w:sz w:val="25"/>
        </w:rPr>
        <w:t> </w:t>
      </w:r>
      <w:r>
        <w:rPr>
          <w:b/>
          <w:spacing w:val="-4"/>
          <w:sz w:val="25"/>
        </w:rPr>
        <w:t> </w:t>
      </w:r>
      <w:r>
        <w:rPr>
          <w:w w:val="99"/>
          <w:sz w:val="25"/>
        </w:rPr>
        <w:t>wro</w:t>
      </w:r>
      <w:r>
        <w:rPr>
          <w:w w:val="99"/>
          <w:sz w:val="25"/>
        </w:rPr>
        <w:t>te</w:t>
      </w:r>
      <w:r>
        <w:rPr>
          <w:sz w:val="25"/>
        </w:rPr>
        <w:t> </w:t>
      </w:r>
      <w:r>
        <w:rPr>
          <w:spacing w:val="-5"/>
          <w:sz w:val="25"/>
        </w:rPr>
        <w:t> </w:t>
      </w:r>
      <w:r>
        <w:rPr>
          <w:w w:val="99"/>
          <w:sz w:val="25"/>
        </w:rPr>
        <w:t>the</w:t>
      </w:r>
      <w:r>
        <w:rPr>
          <w:sz w:val="25"/>
        </w:rPr>
        <w:t> </w:t>
      </w:r>
      <w:r>
        <w:rPr>
          <w:spacing w:val="-5"/>
          <w:sz w:val="25"/>
        </w:rPr>
        <w:t> </w:t>
      </w:r>
      <w:r>
        <w:rPr>
          <w:w w:val="33"/>
          <w:sz w:val="25"/>
        </w:rPr>
        <w:t>―</w:t>
      </w:r>
      <w:r>
        <w:rPr>
          <w:b/>
          <w:w w:val="99"/>
          <w:sz w:val="25"/>
        </w:rPr>
        <w:t>His</w:t>
      </w:r>
      <w:r>
        <w:rPr>
          <w:b/>
          <w:spacing w:val="1"/>
          <w:w w:val="99"/>
          <w:sz w:val="25"/>
        </w:rPr>
        <w:t>t</w:t>
      </w:r>
      <w:r>
        <w:rPr>
          <w:b/>
          <w:w w:val="99"/>
          <w:sz w:val="25"/>
        </w:rPr>
        <w:t>o</w:t>
      </w:r>
      <w:r>
        <w:rPr>
          <w:b/>
          <w:spacing w:val="1"/>
          <w:w w:val="99"/>
          <w:sz w:val="25"/>
        </w:rPr>
        <w:t>r</w:t>
      </w:r>
      <w:r>
        <w:rPr>
          <w:b/>
          <w:spacing w:val="-7"/>
          <w:w w:val="99"/>
          <w:sz w:val="25"/>
        </w:rPr>
        <w:t>y</w:t>
      </w:r>
      <w:r>
        <w:rPr>
          <w:b/>
          <w:w w:val="99"/>
          <w:sz w:val="25"/>
        </w:rPr>
        <w:t>, </w:t>
      </w:r>
      <w:r>
        <w:rPr>
          <w:b/>
          <w:sz w:val="25"/>
        </w:rPr>
        <w:t>Antiquities, Topography and Statistics of Eastern India</w:t>
      </w:r>
      <w:r>
        <w:rPr>
          <w:sz w:val="25"/>
        </w:rPr>
        <w:t>‖ in three volumes. </w:t>
      </w:r>
      <w:r>
        <w:rPr>
          <w:b/>
          <w:sz w:val="25"/>
        </w:rPr>
        <w:t>Martin</w:t>
      </w:r>
      <w:r>
        <w:rPr>
          <w:sz w:val="25"/>
        </w:rPr>
        <w:t>, born in Dublin in 1801, was an Anglo-Irish author and civil servant.</w:t>
      </w:r>
      <w:r>
        <w:rPr>
          <w:sz w:val="25"/>
          <w:vertAlign w:val="superscript"/>
        </w:rPr>
        <w:t>301</w:t>
      </w:r>
      <w:r>
        <w:rPr>
          <w:sz w:val="25"/>
          <w:vertAlign w:val="baseline"/>
        </w:rPr>
        <w:t> He spent ten years in medical practice in Shillong, East Africa and New South Wales </w:t>
      </w:r>
      <w:r>
        <w:rPr>
          <w:spacing w:val="-1"/>
          <w:w w:val="99"/>
          <w:sz w:val="25"/>
          <w:vertAlign w:val="baseline"/>
        </w:rPr>
        <w:t>b</w:t>
      </w:r>
      <w:r>
        <w:rPr>
          <w:w w:val="99"/>
          <w:sz w:val="25"/>
          <w:vertAlign w:val="baseline"/>
        </w:rPr>
        <w:t>esides</w:t>
      </w:r>
      <w:r>
        <w:rPr>
          <w:sz w:val="25"/>
          <w:vertAlign w:val="baseline"/>
        </w:rPr>
        <w:t> </w:t>
      </w:r>
      <w:r>
        <w:rPr>
          <w:spacing w:val="-17"/>
          <w:sz w:val="25"/>
          <w:vertAlign w:val="baseline"/>
        </w:rPr>
        <w:t> </w:t>
      </w:r>
      <w:r>
        <w:rPr>
          <w:spacing w:val="-1"/>
          <w:w w:val="99"/>
          <w:sz w:val="25"/>
          <w:vertAlign w:val="baseline"/>
        </w:rPr>
        <w:t>wo</w:t>
      </w:r>
      <w:r>
        <w:rPr>
          <w:w w:val="99"/>
          <w:sz w:val="25"/>
          <w:vertAlign w:val="baseline"/>
        </w:rPr>
        <w:t>rking</w:t>
      </w:r>
      <w:r>
        <w:rPr>
          <w:sz w:val="25"/>
          <w:vertAlign w:val="baseline"/>
        </w:rPr>
        <w:t> </w:t>
      </w:r>
      <w:r>
        <w:rPr>
          <w:spacing w:val="-17"/>
          <w:sz w:val="25"/>
          <w:vertAlign w:val="baseline"/>
        </w:rPr>
        <w:t> </w:t>
      </w:r>
      <w:r>
        <w:rPr>
          <w:spacing w:val="-1"/>
          <w:w w:val="99"/>
          <w:sz w:val="25"/>
          <w:vertAlign w:val="baseline"/>
        </w:rPr>
        <w:t>a</w:t>
      </w:r>
      <w:r>
        <w:rPr>
          <w:w w:val="99"/>
          <w:sz w:val="25"/>
          <w:vertAlign w:val="baseline"/>
        </w:rPr>
        <w:t>s</w:t>
      </w:r>
      <w:r>
        <w:rPr>
          <w:sz w:val="25"/>
          <w:vertAlign w:val="baseline"/>
        </w:rPr>
        <w:t> </w:t>
      </w:r>
      <w:r>
        <w:rPr>
          <w:spacing w:val="-14"/>
          <w:sz w:val="25"/>
          <w:vertAlign w:val="baseline"/>
        </w:rPr>
        <w:t> </w:t>
      </w:r>
      <w:r>
        <w:rPr>
          <w:w w:val="99"/>
          <w:sz w:val="25"/>
          <w:vertAlign w:val="baseline"/>
        </w:rPr>
        <w:t>a</w:t>
      </w:r>
      <w:r>
        <w:rPr>
          <w:sz w:val="25"/>
          <w:vertAlign w:val="baseline"/>
        </w:rPr>
        <w:t> </w:t>
      </w:r>
      <w:r>
        <w:rPr>
          <w:spacing w:val="-17"/>
          <w:sz w:val="25"/>
          <w:vertAlign w:val="baseline"/>
        </w:rPr>
        <w:t> </w:t>
      </w:r>
      <w:r>
        <w:rPr>
          <w:spacing w:val="-1"/>
          <w:w w:val="99"/>
          <w:sz w:val="25"/>
          <w:vertAlign w:val="baseline"/>
        </w:rPr>
        <w:t>jou</w:t>
      </w:r>
      <w:r>
        <w:rPr>
          <w:spacing w:val="1"/>
          <w:w w:val="99"/>
          <w:sz w:val="25"/>
          <w:vertAlign w:val="baseline"/>
        </w:rPr>
        <w:t>r</w:t>
      </w:r>
      <w:r>
        <w:rPr>
          <w:spacing w:val="-1"/>
          <w:w w:val="99"/>
          <w:sz w:val="25"/>
          <w:vertAlign w:val="baseline"/>
        </w:rPr>
        <w:t>n</w:t>
      </w:r>
      <w:r>
        <w:rPr>
          <w:w w:val="99"/>
          <w:sz w:val="25"/>
          <w:vertAlign w:val="baseline"/>
        </w:rPr>
        <w:t>a</w:t>
      </w:r>
      <w:r>
        <w:rPr>
          <w:spacing w:val="-1"/>
          <w:w w:val="99"/>
          <w:sz w:val="25"/>
          <w:vertAlign w:val="baseline"/>
        </w:rPr>
        <w:t>lis</w:t>
      </w:r>
      <w:r>
        <w:rPr>
          <w:w w:val="99"/>
          <w:sz w:val="25"/>
          <w:vertAlign w:val="baseline"/>
        </w:rPr>
        <w:t>t</w:t>
      </w:r>
      <w:r>
        <w:rPr>
          <w:sz w:val="25"/>
          <w:vertAlign w:val="baseline"/>
        </w:rPr>
        <w:t> </w:t>
      </w:r>
      <w:r>
        <w:rPr>
          <w:spacing w:val="-17"/>
          <w:sz w:val="25"/>
          <w:vertAlign w:val="baseline"/>
        </w:rPr>
        <w:t> </w:t>
      </w:r>
      <w:r>
        <w:rPr>
          <w:spacing w:val="-1"/>
          <w:w w:val="99"/>
          <w:sz w:val="25"/>
          <w:vertAlign w:val="baseline"/>
        </w:rPr>
        <w:t>i</w:t>
      </w:r>
      <w:r>
        <w:rPr>
          <w:w w:val="99"/>
          <w:sz w:val="25"/>
          <w:vertAlign w:val="baseline"/>
        </w:rPr>
        <w:t>n</w:t>
      </w:r>
      <w:r>
        <w:rPr>
          <w:sz w:val="25"/>
          <w:vertAlign w:val="baseline"/>
        </w:rPr>
        <w:t> </w:t>
      </w:r>
      <w:r>
        <w:rPr>
          <w:spacing w:val="-17"/>
          <w:sz w:val="25"/>
          <w:vertAlign w:val="baseline"/>
        </w:rPr>
        <w:t> </w:t>
      </w:r>
      <w:r>
        <w:rPr>
          <w:spacing w:val="-1"/>
          <w:w w:val="99"/>
          <w:sz w:val="25"/>
          <w:vertAlign w:val="baseline"/>
        </w:rPr>
        <w:t>Calcu</w:t>
      </w:r>
      <w:r>
        <w:rPr>
          <w:spacing w:val="2"/>
          <w:w w:val="99"/>
          <w:sz w:val="25"/>
          <w:vertAlign w:val="baseline"/>
        </w:rPr>
        <w:t>t</w:t>
      </w:r>
      <w:r>
        <w:rPr>
          <w:w w:val="99"/>
          <w:sz w:val="25"/>
          <w:vertAlign w:val="baseline"/>
        </w:rPr>
        <w:t>ta</w:t>
      </w:r>
      <w:r>
        <w:rPr>
          <w:sz w:val="25"/>
          <w:vertAlign w:val="baseline"/>
        </w:rPr>
        <w:t> </w:t>
      </w:r>
      <w:r>
        <w:rPr>
          <w:spacing w:val="-17"/>
          <w:sz w:val="25"/>
          <w:vertAlign w:val="baseline"/>
        </w:rPr>
        <w:t> </w:t>
      </w:r>
      <w:r>
        <w:rPr>
          <w:spacing w:val="-1"/>
          <w:w w:val="99"/>
          <w:sz w:val="25"/>
          <w:vertAlign w:val="baseline"/>
        </w:rPr>
        <w:t>whe</w:t>
      </w:r>
      <w:r>
        <w:rPr>
          <w:spacing w:val="1"/>
          <w:w w:val="99"/>
          <w:sz w:val="25"/>
          <w:vertAlign w:val="baseline"/>
        </w:rPr>
        <w:t>r</w:t>
      </w:r>
      <w:r>
        <w:rPr>
          <w:w w:val="99"/>
          <w:sz w:val="25"/>
          <w:vertAlign w:val="baseline"/>
        </w:rPr>
        <w:t>e</w:t>
      </w:r>
      <w:r>
        <w:rPr>
          <w:sz w:val="25"/>
          <w:vertAlign w:val="baseline"/>
        </w:rPr>
        <w:t> </w:t>
      </w:r>
      <w:r>
        <w:rPr>
          <w:spacing w:val="-17"/>
          <w:sz w:val="25"/>
          <w:vertAlign w:val="baseline"/>
        </w:rPr>
        <w:t> </w:t>
      </w:r>
      <w:r>
        <w:rPr>
          <w:spacing w:val="-1"/>
          <w:w w:val="99"/>
          <w:sz w:val="25"/>
          <w:vertAlign w:val="baseline"/>
        </w:rPr>
        <w:t>h</w:t>
      </w:r>
      <w:r>
        <w:rPr>
          <w:w w:val="99"/>
          <w:sz w:val="25"/>
          <w:vertAlign w:val="baseline"/>
        </w:rPr>
        <w:t>e</w:t>
      </w:r>
      <w:r>
        <w:rPr>
          <w:sz w:val="25"/>
          <w:vertAlign w:val="baseline"/>
        </w:rPr>
        <w:t> </w:t>
      </w:r>
      <w:r>
        <w:rPr>
          <w:spacing w:val="-17"/>
          <w:sz w:val="25"/>
          <w:vertAlign w:val="baseline"/>
        </w:rPr>
        <w:t> </w:t>
      </w:r>
      <w:r>
        <w:rPr>
          <w:spacing w:val="-1"/>
          <w:w w:val="99"/>
          <w:sz w:val="25"/>
          <w:vertAlign w:val="baseline"/>
        </w:rPr>
        <w:t>est</w:t>
      </w:r>
      <w:r>
        <w:rPr>
          <w:w w:val="99"/>
          <w:sz w:val="25"/>
          <w:vertAlign w:val="baseline"/>
        </w:rPr>
        <w:t>a</w:t>
      </w:r>
      <w:r>
        <w:rPr>
          <w:spacing w:val="-1"/>
          <w:w w:val="99"/>
          <w:sz w:val="25"/>
          <w:vertAlign w:val="baseline"/>
        </w:rPr>
        <w:t>bli</w:t>
      </w:r>
      <w:r>
        <w:rPr>
          <w:spacing w:val="2"/>
          <w:w w:val="99"/>
          <w:sz w:val="25"/>
          <w:vertAlign w:val="baseline"/>
        </w:rPr>
        <w:t>s</w:t>
      </w:r>
      <w:r>
        <w:rPr>
          <w:spacing w:val="-1"/>
          <w:w w:val="99"/>
          <w:sz w:val="25"/>
          <w:vertAlign w:val="baseline"/>
        </w:rPr>
        <w:t>h</w:t>
      </w:r>
      <w:r>
        <w:rPr>
          <w:w w:val="99"/>
          <w:sz w:val="25"/>
          <w:vertAlign w:val="baseline"/>
        </w:rPr>
        <w:t>ed</w:t>
      </w:r>
      <w:r>
        <w:rPr>
          <w:sz w:val="25"/>
          <w:vertAlign w:val="baseline"/>
        </w:rPr>
        <w:t> </w:t>
      </w:r>
      <w:r>
        <w:rPr>
          <w:spacing w:val="-17"/>
          <w:sz w:val="25"/>
          <w:vertAlign w:val="baseline"/>
        </w:rPr>
        <w:t> </w:t>
      </w:r>
      <w:r>
        <w:rPr>
          <w:w w:val="99"/>
          <w:sz w:val="25"/>
          <w:vertAlign w:val="baseline"/>
        </w:rPr>
        <w:t>the</w:t>
      </w:r>
      <w:r>
        <w:rPr>
          <w:sz w:val="25"/>
          <w:vertAlign w:val="baseline"/>
        </w:rPr>
        <w:t> </w:t>
      </w:r>
      <w:r>
        <w:rPr>
          <w:spacing w:val="-17"/>
          <w:sz w:val="25"/>
          <w:vertAlign w:val="baseline"/>
        </w:rPr>
        <w:t> </w:t>
      </w:r>
      <w:r>
        <w:rPr>
          <w:w w:val="33"/>
          <w:sz w:val="25"/>
          <w:vertAlign w:val="baseline"/>
        </w:rPr>
        <w:t>―</w:t>
      </w:r>
      <w:r>
        <w:rPr>
          <w:spacing w:val="-1"/>
          <w:w w:val="99"/>
          <w:sz w:val="25"/>
          <w:vertAlign w:val="baseline"/>
        </w:rPr>
        <w:t>Be</w:t>
      </w:r>
      <w:r>
        <w:rPr>
          <w:w w:val="99"/>
          <w:sz w:val="25"/>
          <w:vertAlign w:val="baseline"/>
        </w:rPr>
        <w:t>n</w:t>
      </w:r>
      <w:r>
        <w:rPr>
          <w:spacing w:val="-1"/>
          <w:w w:val="99"/>
          <w:sz w:val="25"/>
          <w:vertAlign w:val="baseline"/>
        </w:rPr>
        <w:t>g</w:t>
      </w:r>
      <w:r>
        <w:rPr>
          <w:w w:val="99"/>
          <w:sz w:val="25"/>
          <w:vertAlign w:val="baseline"/>
        </w:rPr>
        <w:t>al </w:t>
      </w:r>
      <w:r>
        <w:rPr>
          <w:sz w:val="25"/>
          <w:vertAlign w:val="baseline"/>
        </w:rPr>
        <w:t>Herald‖.</w:t>
      </w:r>
      <w:r>
        <w:rPr>
          <w:sz w:val="25"/>
          <w:vertAlign w:val="superscript"/>
        </w:rPr>
        <w:t>302</w:t>
      </w:r>
    </w:p>
    <w:p>
      <w:pPr>
        <w:spacing w:before="160"/>
        <w:ind w:left="500" w:right="0" w:firstLine="0"/>
        <w:jc w:val="both"/>
        <w:rPr>
          <w:sz w:val="25"/>
        </w:rPr>
      </w:pPr>
      <w:r>
        <w:rPr>
          <w:b/>
          <w:sz w:val="25"/>
        </w:rPr>
        <w:t>Martin‘s </w:t>
      </w:r>
      <w:r>
        <w:rPr>
          <w:sz w:val="25"/>
        </w:rPr>
        <w:t>account on Ayodhya is as follows:</w:t>
      </w:r>
    </w:p>
    <w:p>
      <w:pPr>
        <w:pStyle w:val="BodyText"/>
      </w:pPr>
    </w:p>
    <w:p>
      <w:pPr>
        <w:spacing w:line="276" w:lineRule="auto" w:before="1"/>
        <w:ind w:left="1940" w:right="2262" w:firstLine="0"/>
        <w:jc w:val="both"/>
        <w:rPr>
          <w:sz w:val="21"/>
        </w:rPr>
      </w:pPr>
      <w:r>
        <w:rPr>
          <w:w w:val="33"/>
          <w:sz w:val="21"/>
        </w:rPr>
        <w:t>―</w:t>
      </w:r>
      <w:r>
        <w:rPr>
          <w:w w:val="100"/>
          <w:sz w:val="21"/>
        </w:rPr>
        <w:t>The</w:t>
      </w:r>
      <w:r>
        <w:rPr>
          <w:sz w:val="21"/>
        </w:rPr>
        <w:t>  </w:t>
      </w:r>
      <w:r>
        <w:rPr>
          <w:w w:val="100"/>
          <w:sz w:val="21"/>
        </w:rPr>
        <w:t>people</w:t>
      </w:r>
      <w:r>
        <w:rPr>
          <w:sz w:val="21"/>
        </w:rPr>
        <w:t>  </w:t>
      </w:r>
      <w:r>
        <w:rPr>
          <w:w w:val="100"/>
          <w:sz w:val="21"/>
        </w:rPr>
        <w:t>of</w:t>
      </w:r>
      <w:r>
        <w:rPr>
          <w:sz w:val="21"/>
        </w:rPr>
        <w:t>  </w:t>
      </w:r>
      <w:r>
        <w:rPr>
          <w:w w:val="100"/>
          <w:sz w:val="21"/>
        </w:rPr>
        <w:t>Ayodhya</w:t>
      </w:r>
      <w:r>
        <w:rPr>
          <w:sz w:val="21"/>
        </w:rPr>
        <w:t>  </w:t>
      </w:r>
      <w:r>
        <w:rPr>
          <w:w w:val="100"/>
          <w:sz w:val="21"/>
        </w:rPr>
        <w:t>imagine,</w:t>
      </w:r>
      <w:r>
        <w:rPr>
          <w:sz w:val="21"/>
        </w:rPr>
        <w:t>  </w:t>
      </w:r>
      <w:r>
        <w:rPr>
          <w:w w:val="100"/>
          <w:sz w:val="21"/>
        </w:rPr>
        <w:t>that</w:t>
      </w:r>
      <w:r>
        <w:rPr>
          <w:sz w:val="21"/>
        </w:rPr>
        <w:t>  </w:t>
      </w:r>
      <w:r>
        <w:rPr>
          <w:w w:val="100"/>
          <w:sz w:val="21"/>
        </w:rPr>
        <w:t>after</w:t>
      </w:r>
      <w:r>
        <w:rPr>
          <w:sz w:val="21"/>
        </w:rPr>
        <w:t>  </w:t>
      </w:r>
      <w:r>
        <w:rPr>
          <w:w w:val="100"/>
          <w:sz w:val="21"/>
        </w:rPr>
        <w:t>the</w:t>
      </w:r>
      <w:r>
        <w:rPr>
          <w:sz w:val="21"/>
        </w:rPr>
        <w:t>  </w:t>
      </w:r>
      <w:r>
        <w:rPr>
          <w:w w:val="100"/>
          <w:sz w:val="21"/>
        </w:rPr>
        <w:t>death</w:t>
      </w:r>
      <w:r>
        <w:rPr>
          <w:sz w:val="21"/>
        </w:rPr>
        <w:t>  </w:t>
      </w:r>
      <w:r>
        <w:rPr>
          <w:w w:val="100"/>
          <w:sz w:val="21"/>
        </w:rPr>
        <w:t>of </w:t>
      </w:r>
      <w:r>
        <w:rPr>
          <w:sz w:val="21"/>
        </w:rPr>
        <w:t>Vrihadbala, their city was deserted, and continued so until the time of Vikrama of Ujjain, who came in search of the holy city, erected a fort called Ramgar, cut down the forests by which the ruins were covered, and erected 360 temples on the places sanctified by the extraordinary actions of Rama, of his wife Sita, of his brother Lakshman, and of his general Mahavira. The only foundation probably for such a tradition is, that Vikrama may have erected some temples, and that in the Mahabharat the genealogy of the family is continued no lower than the time of Vrihadbala, as being foreign to the subject of the book; but in the sri Bhagwat Vrihadbala is succeeded by</w:t>
      </w:r>
    </w:p>
    <w:p>
      <w:pPr>
        <w:spacing w:line="276" w:lineRule="auto" w:before="1"/>
        <w:ind w:left="1940" w:right="2261" w:firstLine="0"/>
        <w:jc w:val="both"/>
        <w:rPr>
          <w:sz w:val="21"/>
        </w:rPr>
      </w:pPr>
      <w:r>
        <w:rPr>
          <w:sz w:val="21"/>
        </w:rPr>
        <w:t>29 princes, and in the Bangsalata by 24. These, taken according to the scales of Rama's predecessors in Valmiki and the Sri Ghagwat, would give 18 princes, and this will give us 279, or 558 years, according as we call these succesions reigns or generations, bringing the existence of the family down to the time nearly of Alexander; but none of the latter princes rose to considerable power, and they were vassals of the kings of Magadha. Their existence, however, throws a great doubt on the whole story concerning Vikrama.</w:t>
      </w:r>
    </w:p>
    <w:p>
      <w:pPr>
        <w:pStyle w:val="BodyText"/>
        <w:spacing w:before="2"/>
        <w:rPr>
          <w:sz w:val="24"/>
        </w:rPr>
      </w:pPr>
    </w:p>
    <w:p>
      <w:pPr>
        <w:spacing w:line="276" w:lineRule="auto" w:before="0"/>
        <w:ind w:left="1940" w:right="2260" w:firstLine="0"/>
        <w:jc w:val="both"/>
        <w:rPr>
          <w:sz w:val="21"/>
        </w:rPr>
      </w:pPr>
      <w:r>
        <w:rPr>
          <w:sz w:val="21"/>
        </w:rPr>
        <w:t>This Vikrama is usually supposed to have been the personage from whom the era called Sambat is derived, and according to the reckoning used in Kosala, this ere commences</w:t>
      </w:r>
      <w:r>
        <w:rPr>
          <w:spacing w:val="33"/>
          <w:sz w:val="21"/>
        </w:rPr>
        <w:t> </w:t>
      </w:r>
      <w:r>
        <w:rPr>
          <w:sz w:val="21"/>
        </w:rPr>
        <w:t>57</w:t>
      </w:r>
      <w:r>
        <w:rPr>
          <w:spacing w:val="34"/>
          <w:sz w:val="21"/>
        </w:rPr>
        <w:t> </w:t>
      </w:r>
      <w:r>
        <w:rPr>
          <w:sz w:val="21"/>
        </w:rPr>
        <w:t>years</w:t>
      </w:r>
      <w:r>
        <w:rPr>
          <w:spacing w:val="34"/>
          <w:sz w:val="21"/>
        </w:rPr>
        <w:t> </w:t>
      </w:r>
      <w:r>
        <w:rPr>
          <w:sz w:val="21"/>
        </w:rPr>
        <w:t>before</w:t>
      </w:r>
      <w:r>
        <w:rPr>
          <w:spacing w:val="33"/>
          <w:sz w:val="21"/>
        </w:rPr>
        <w:t> </w:t>
      </w:r>
      <w:r>
        <w:rPr>
          <w:sz w:val="21"/>
        </w:rPr>
        <w:t>the</w:t>
      </w:r>
      <w:r>
        <w:rPr>
          <w:spacing w:val="35"/>
          <w:sz w:val="21"/>
        </w:rPr>
        <w:t> </w:t>
      </w:r>
      <w:r>
        <w:rPr>
          <w:sz w:val="21"/>
        </w:rPr>
        <w:t>birth</w:t>
      </w:r>
      <w:r>
        <w:rPr>
          <w:spacing w:val="33"/>
          <w:sz w:val="21"/>
        </w:rPr>
        <w:t> </w:t>
      </w:r>
      <w:r>
        <w:rPr>
          <w:sz w:val="21"/>
        </w:rPr>
        <w:t>of</w:t>
      </w:r>
      <w:r>
        <w:rPr>
          <w:spacing w:val="33"/>
          <w:sz w:val="21"/>
        </w:rPr>
        <w:t> </w:t>
      </w:r>
      <w:r>
        <w:rPr>
          <w:sz w:val="21"/>
        </w:rPr>
        <w:t>Christ,</w:t>
      </w:r>
      <w:r>
        <w:rPr>
          <w:spacing w:val="33"/>
          <w:sz w:val="21"/>
        </w:rPr>
        <w:t> </w:t>
      </w:r>
      <w:r>
        <w:rPr>
          <w:sz w:val="21"/>
        </w:rPr>
        <w:t>so</w:t>
      </w:r>
      <w:r>
        <w:rPr>
          <w:spacing w:val="34"/>
          <w:sz w:val="21"/>
        </w:rPr>
        <w:t> </w:t>
      </w:r>
      <w:r>
        <w:rPr>
          <w:sz w:val="21"/>
        </w:rPr>
        <w:t>that</w:t>
      </w:r>
      <w:r>
        <w:rPr>
          <w:spacing w:val="32"/>
          <w:sz w:val="21"/>
        </w:rPr>
        <w:t> </w:t>
      </w:r>
      <w:r>
        <w:rPr>
          <w:sz w:val="21"/>
        </w:rPr>
        <w:t>the</w:t>
      </w:r>
    </w:p>
    <w:p>
      <w:pPr>
        <w:pStyle w:val="BodyText"/>
        <w:spacing w:before="7"/>
        <w:rPr>
          <w:sz w:val="22"/>
        </w:rPr>
      </w:pPr>
      <w:r>
        <w:rPr/>
        <w:pict>
          <v:rect style="position:absolute;margin-left:72.024002pt;margin-top:14.956161pt;width:144.020pt;height:.599980pt;mso-position-horizontal-relative:page;mso-position-vertical-relative:paragraph;z-index:-1564262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301</w:t>
      </w:r>
      <w:r>
        <w:rPr>
          <w:sz w:val="18"/>
          <w:vertAlign w:val="baseline"/>
        </w:rPr>
        <w:t> Robert Montgomery Martin (Biographical details) – British Museum</w:t>
      </w:r>
    </w:p>
    <w:p>
      <w:pPr>
        <w:spacing w:before="2"/>
        <w:ind w:left="500" w:right="0" w:firstLine="0"/>
        <w:jc w:val="left"/>
        <w:rPr>
          <w:sz w:val="18"/>
        </w:rPr>
      </w:pPr>
      <w:r>
        <w:rPr>
          <w:sz w:val="18"/>
          <w:vertAlign w:val="superscript"/>
        </w:rPr>
        <w:t>302</w:t>
      </w:r>
      <w:r>
        <w:rPr>
          <w:sz w:val="18"/>
          <w:vertAlign w:val="baseline"/>
        </w:rPr>
        <w:t> F. H. H. King, Survey our empire! Robert Montgomery Martin (1801–1868), a bio-bibliography (1979)</w:t>
      </w:r>
    </w:p>
    <w:p>
      <w:pPr>
        <w:spacing w:after="0"/>
        <w:jc w:val="left"/>
        <w:rPr>
          <w:sz w:val="18"/>
        </w:rPr>
        <w:sectPr>
          <w:pgSz w:w="11910" w:h="16840"/>
          <w:pgMar w:header="721" w:footer="1014" w:top="1300" w:bottom="1200" w:left="940" w:right="1000"/>
        </w:sectPr>
      </w:pPr>
    </w:p>
    <w:p>
      <w:pPr>
        <w:spacing w:line="276" w:lineRule="auto" w:before="122"/>
        <w:ind w:left="1940" w:right="2262" w:firstLine="0"/>
        <w:jc w:val="both"/>
        <w:rPr>
          <w:sz w:val="21"/>
        </w:rPr>
      </w:pPr>
      <w:r>
        <w:rPr>
          <w:sz w:val="21"/>
        </w:rPr>
        <w:t>city had been then deserted about 280 years. How the places remarkable for the actions of the God could be traced after such a long interval, and amidst the forest, seems rather doubtful; and the doubt will be increased, if we suppose that the latter Vikrama, the son-in-law of the Emperor Bhoj, was the person who constructed the temples at Ayodhya. This I am inclined to think was probably the case, for although Rama was probably worshipped before the time of the elder Vikrama, yet his worship, as that peculiarly distinguishing a sect of Bigots, seems to have been first established by Ramanuja about the time of the latter Vikrama, who may from thence be supposed peculiarly eager to discover the traces of the deity of his own sect. Unfortunately, if these temples ever existed, not the smallest trace of them remains to enable us to judge of the period when they were built; and the destruction is very generally attributed by the Hindus to the furious zeal of Aurungzebe, to whom also is imputed the overthrow of the temples in Benares and</w:t>
      </w:r>
      <w:r>
        <w:rPr>
          <w:spacing w:val="-20"/>
          <w:sz w:val="21"/>
        </w:rPr>
        <w:t> </w:t>
      </w:r>
      <w:r>
        <w:rPr>
          <w:sz w:val="21"/>
        </w:rPr>
        <w:t>Mathura.‖</w:t>
      </w:r>
    </w:p>
    <w:p>
      <w:pPr>
        <w:pStyle w:val="BodyText"/>
        <w:rPr>
          <w:sz w:val="24"/>
        </w:rPr>
      </w:pPr>
    </w:p>
    <w:p>
      <w:pPr>
        <w:pStyle w:val="BodyText"/>
        <w:spacing w:line="480" w:lineRule="auto" w:before="207"/>
        <w:ind w:left="500" w:right="438"/>
        <w:jc w:val="both"/>
      </w:pPr>
      <w:r>
        <w:rPr>
          <w:b/>
        </w:rPr>
        <w:t>Martin</w:t>
      </w:r>
      <w:r>
        <w:rPr/>
        <w:t>‘s account notes some inconsistencies as to the exact ruler who is said to have rediscovered Ayodhya and constructed the numerous temples. In his view the worship of Lord Ram in the region was likely carried out even prior to the time of Vikrama. </w:t>
      </w:r>
      <w:r>
        <w:rPr>
          <w:b/>
        </w:rPr>
        <w:t>Martin </w:t>
      </w:r>
      <w:r>
        <w:rPr/>
        <w:t>later refers to the destruction of temples and the erection of </w:t>
      </w:r>
      <w:r>
        <w:rPr>
          <w:w w:val="99"/>
        </w:rPr>
        <w:t>mosques</w:t>
      </w:r>
      <w:r>
        <w:rPr/>
        <w:t> </w:t>
      </w:r>
      <w:r>
        <w:rPr>
          <w:w w:val="33"/>
        </w:rPr>
        <w:t>―</w:t>
      </w:r>
      <w:r>
        <w:rPr>
          <w:w w:val="99"/>
        </w:rPr>
        <w:t>on</w:t>
      </w:r>
      <w:r>
        <w:rPr/>
        <w:t> </w:t>
      </w:r>
      <w:r>
        <w:rPr>
          <w:w w:val="99"/>
        </w:rPr>
        <w:t>the</w:t>
      </w:r>
      <w:r>
        <w:rPr/>
        <w:t> </w:t>
      </w:r>
      <w:r>
        <w:rPr>
          <w:w w:val="99"/>
        </w:rPr>
        <w:t>situations</w:t>
      </w:r>
      <w:r>
        <w:rPr/>
        <w:t> </w:t>
      </w:r>
      <w:r>
        <w:rPr>
          <w:w w:val="99"/>
        </w:rPr>
        <w:t>of</w:t>
      </w:r>
      <w:r>
        <w:rPr/>
        <w:t> </w:t>
      </w:r>
      <w:r>
        <w:rPr>
          <w:w w:val="99"/>
        </w:rPr>
        <w:t>the</w:t>
      </w:r>
      <w:r>
        <w:rPr/>
        <w:t> </w:t>
      </w:r>
      <w:r>
        <w:rPr>
          <w:w w:val="99"/>
        </w:rPr>
        <w:t>most</w:t>
      </w:r>
      <w:r>
        <w:rPr/>
        <w:t> </w:t>
      </w:r>
      <w:r>
        <w:rPr>
          <w:w w:val="99"/>
        </w:rPr>
        <w:t>remarkable</w:t>
      </w:r>
      <w:r>
        <w:rPr/>
        <w:t> </w:t>
      </w:r>
      <w:r>
        <w:rPr>
          <w:w w:val="99"/>
        </w:rPr>
        <w:t>tem</w:t>
      </w:r>
      <w:r>
        <w:rPr>
          <w:w w:val="96"/>
        </w:rPr>
        <w:t>ples‖</w:t>
      </w:r>
      <w:r>
        <w:rPr/>
        <w:t> </w:t>
      </w:r>
      <w:r>
        <w:rPr>
          <w:w w:val="99"/>
        </w:rPr>
        <w:t>of</w:t>
      </w:r>
      <w:r>
        <w:rPr/>
        <w:t> </w:t>
      </w:r>
      <w:r>
        <w:rPr>
          <w:w w:val="99"/>
        </w:rPr>
        <w:t>which,</w:t>
      </w:r>
      <w:r>
        <w:rPr/>
        <w:t> </w:t>
      </w:r>
      <w:r>
        <w:rPr>
          <w:w w:val="99"/>
        </w:rPr>
        <w:t>he</w:t>
      </w:r>
      <w:r>
        <w:rPr/>
        <w:t> </w:t>
      </w:r>
      <w:r>
        <w:rPr>
          <w:w w:val="99"/>
        </w:rPr>
        <w:t>states that</w:t>
      </w:r>
      <w:r>
        <w:rPr/>
        <w:t> </w:t>
      </w:r>
      <w:r>
        <w:rPr>
          <w:w w:val="99"/>
        </w:rPr>
        <w:t>the</w:t>
      </w:r>
      <w:r>
        <w:rPr/>
        <w:t> </w:t>
      </w:r>
      <w:r>
        <w:rPr>
          <w:w w:val="99"/>
        </w:rPr>
        <w:t>mosque</w:t>
      </w:r>
      <w:r>
        <w:rPr/>
        <w:t> </w:t>
      </w:r>
      <w:r>
        <w:rPr>
          <w:w w:val="99"/>
        </w:rPr>
        <w:t>at</w:t>
      </w:r>
      <w:r>
        <w:rPr/>
        <w:t> </w:t>
      </w:r>
      <w:r>
        <w:rPr>
          <w:w w:val="99"/>
        </w:rPr>
        <w:t>Ayodhya</w:t>
      </w:r>
      <w:r>
        <w:rPr/>
        <w:t> </w:t>
      </w:r>
      <w:r>
        <w:rPr>
          <w:w w:val="99"/>
        </w:rPr>
        <w:t>has</w:t>
      </w:r>
      <w:r>
        <w:rPr/>
        <w:t> </w:t>
      </w:r>
      <w:r>
        <w:rPr>
          <w:w w:val="33"/>
        </w:rPr>
        <w:t>―</w:t>
      </w:r>
      <w:r>
        <w:rPr>
          <w:w w:val="99"/>
        </w:rPr>
        <w:t>every</w:t>
      </w:r>
      <w:r>
        <w:rPr/>
        <w:t> </w:t>
      </w:r>
      <w:r>
        <w:rPr>
          <w:w w:val="99"/>
        </w:rPr>
        <w:t>appearance</w:t>
      </w:r>
      <w:r>
        <w:rPr/>
        <w:t> </w:t>
      </w:r>
      <w:r>
        <w:rPr>
          <w:w w:val="99"/>
        </w:rPr>
        <w:t>of</w:t>
      </w:r>
      <w:r>
        <w:rPr/>
        <w:t> </w:t>
      </w:r>
      <w:r>
        <w:rPr>
          <w:w w:val="99"/>
        </w:rPr>
        <w:t>being</w:t>
      </w:r>
      <w:r>
        <w:rPr/>
        <w:t> </w:t>
      </w:r>
      <w:r>
        <w:rPr>
          <w:w w:val="99"/>
        </w:rPr>
        <w:t>the</w:t>
      </w:r>
      <w:r>
        <w:rPr/>
        <w:t> </w:t>
      </w:r>
      <w:r>
        <w:rPr>
          <w:w w:val="99"/>
        </w:rPr>
        <w:t>most</w:t>
      </w:r>
      <w:r>
        <w:rPr/>
        <w:t> </w:t>
      </w:r>
      <w:r>
        <w:rPr>
          <w:w w:val="99"/>
        </w:rPr>
        <w:t>modern</w:t>
      </w:r>
      <w:r>
        <w:rPr>
          <w:w w:val="80"/>
        </w:rPr>
        <w:t>‖</w:t>
      </w:r>
      <w:r>
        <w:rPr>
          <w:w w:val="99"/>
        </w:rPr>
        <w:t>. </w:t>
      </w:r>
      <w:r>
        <w:rPr/>
        <w:t>His account (at pages 335 and 336) is as follows:</w:t>
      </w:r>
    </w:p>
    <w:p>
      <w:pPr>
        <w:spacing w:line="276" w:lineRule="auto" w:before="2"/>
        <w:ind w:left="1940" w:right="2261" w:firstLine="0"/>
        <w:jc w:val="both"/>
        <w:rPr>
          <w:sz w:val="21"/>
        </w:rPr>
      </w:pPr>
      <w:r>
        <w:rPr>
          <w:color w:val="212121"/>
          <w:spacing w:val="-1"/>
          <w:w w:val="33"/>
          <w:sz w:val="21"/>
        </w:rPr>
        <w:t>―</w:t>
      </w:r>
      <w:r>
        <w:rPr>
          <w:b/>
          <w:color w:val="212121"/>
          <w:w w:val="100"/>
          <w:sz w:val="21"/>
        </w:rPr>
        <w:t>Th</w:t>
      </w:r>
      <w:r>
        <w:rPr>
          <w:b/>
          <w:color w:val="212121"/>
          <w:w w:val="100"/>
          <w:sz w:val="21"/>
        </w:rPr>
        <w:t>e</w:t>
      </w:r>
      <w:r>
        <w:rPr>
          <w:b/>
          <w:color w:val="212121"/>
          <w:spacing w:val="18"/>
          <w:sz w:val="21"/>
        </w:rPr>
        <w:t> </w:t>
      </w:r>
      <w:r>
        <w:rPr>
          <w:b/>
          <w:color w:val="212121"/>
          <w:w w:val="100"/>
          <w:sz w:val="21"/>
        </w:rPr>
        <w:t>bi</w:t>
      </w:r>
      <w:r>
        <w:rPr>
          <w:b/>
          <w:color w:val="212121"/>
          <w:spacing w:val="-3"/>
          <w:w w:val="100"/>
          <w:sz w:val="21"/>
        </w:rPr>
        <w:t>g</w:t>
      </w:r>
      <w:r>
        <w:rPr>
          <w:b/>
          <w:color w:val="212121"/>
          <w:w w:val="100"/>
          <w:sz w:val="21"/>
        </w:rPr>
        <w:t>ot</w:t>
      </w:r>
      <w:r>
        <w:rPr>
          <w:b/>
          <w:color w:val="212121"/>
          <w:spacing w:val="18"/>
          <w:sz w:val="21"/>
        </w:rPr>
        <w:t> </w:t>
      </w:r>
      <w:r>
        <w:rPr>
          <w:b/>
          <w:color w:val="212121"/>
          <w:w w:val="100"/>
          <w:sz w:val="21"/>
        </w:rPr>
        <w:t>by</w:t>
      </w:r>
      <w:r>
        <w:rPr>
          <w:b/>
          <w:color w:val="212121"/>
          <w:spacing w:val="16"/>
          <w:sz w:val="21"/>
        </w:rPr>
        <w:t> </w:t>
      </w:r>
      <w:r>
        <w:rPr>
          <w:b/>
          <w:color w:val="212121"/>
          <w:spacing w:val="1"/>
          <w:w w:val="100"/>
          <w:sz w:val="21"/>
        </w:rPr>
        <w:t>w</w:t>
      </w:r>
      <w:r>
        <w:rPr>
          <w:b/>
          <w:color w:val="212121"/>
          <w:w w:val="100"/>
          <w:sz w:val="21"/>
        </w:rPr>
        <w:t>ho</w:t>
      </w:r>
      <w:r>
        <w:rPr>
          <w:b/>
          <w:color w:val="212121"/>
          <w:w w:val="100"/>
          <w:sz w:val="21"/>
        </w:rPr>
        <w:t>m</w:t>
      </w:r>
      <w:r>
        <w:rPr>
          <w:b/>
          <w:color w:val="212121"/>
          <w:spacing w:val="17"/>
          <w:sz w:val="21"/>
        </w:rPr>
        <w:t> </w:t>
      </w:r>
      <w:r>
        <w:rPr>
          <w:b/>
          <w:color w:val="212121"/>
          <w:spacing w:val="-1"/>
          <w:w w:val="100"/>
          <w:sz w:val="21"/>
        </w:rPr>
        <w:t>t</w:t>
      </w:r>
      <w:r>
        <w:rPr>
          <w:b/>
          <w:color w:val="212121"/>
          <w:w w:val="100"/>
          <w:sz w:val="21"/>
        </w:rPr>
        <w:t>he</w:t>
      </w:r>
      <w:r>
        <w:rPr>
          <w:b/>
          <w:color w:val="212121"/>
          <w:spacing w:val="18"/>
          <w:sz w:val="21"/>
        </w:rPr>
        <w:t> </w:t>
      </w:r>
      <w:r>
        <w:rPr>
          <w:b/>
          <w:color w:val="212121"/>
          <w:spacing w:val="-1"/>
          <w:w w:val="100"/>
          <w:sz w:val="21"/>
        </w:rPr>
        <w:t>t</w:t>
      </w:r>
      <w:r>
        <w:rPr>
          <w:b/>
          <w:color w:val="212121"/>
          <w:w w:val="100"/>
          <w:sz w:val="21"/>
        </w:rPr>
        <w:t>emp</w:t>
      </w:r>
      <w:r>
        <w:rPr>
          <w:b/>
          <w:color w:val="212121"/>
          <w:spacing w:val="-1"/>
          <w:w w:val="100"/>
          <w:sz w:val="21"/>
        </w:rPr>
        <w:t>l</w:t>
      </w:r>
      <w:r>
        <w:rPr>
          <w:b/>
          <w:color w:val="212121"/>
          <w:spacing w:val="-3"/>
          <w:w w:val="100"/>
          <w:sz w:val="21"/>
        </w:rPr>
        <w:t>e</w:t>
      </w:r>
      <w:r>
        <w:rPr>
          <w:b/>
          <w:color w:val="212121"/>
          <w:w w:val="100"/>
          <w:sz w:val="21"/>
        </w:rPr>
        <w:t>s</w:t>
      </w:r>
      <w:r>
        <w:rPr>
          <w:b/>
          <w:color w:val="212121"/>
          <w:spacing w:val="18"/>
          <w:sz w:val="21"/>
        </w:rPr>
        <w:t> </w:t>
      </w:r>
      <w:r>
        <w:rPr>
          <w:b/>
          <w:color w:val="212121"/>
          <w:spacing w:val="1"/>
          <w:w w:val="100"/>
          <w:sz w:val="21"/>
        </w:rPr>
        <w:t>w</w:t>
      </w:r>
      <w:r>
        <w:rPr>
          <w:b/>
          <w:color w:val="212121"/>
          <w:w w:val="100"/>
          <w:sz w:val="21"/>
        </w:rPr>
        <w:t>ere</w:t>
      </w:r>
      <w:r>
        <w:rPr>
          <w:b/>
          <w:color w:val="212121"/>
          <w:spacing w:val="18"/>
          <w:sz w:val="21"/>
        </w:rPr>
        <w:t> </w:t>
      </w:r>
      <w:r>
        <w:rPr>
          <w:b/>
          <w:color w:val="212121"/>
          <w:w w:val="100"/>
          <w:sz w:val="21"/>
        </w:rPr>
        <w:t>d</w:t>
      </w:r>
      <w:r>
        <w:rPr>
          <w:b/>
          <w:color w:val="212121"/>
          <w:spacing w:val="-2"/>
          <w:w w:val="100"/>
          <w:sz w:val="21"/>
        </w:rPr>
        <w:t>e</w:t>
      </w:r>
      <w:r>
        <w:rPr>
          <w:b/>
          <w:color w:val="212121"/>
          <w:w w:val="100"/>
          <w:sz w:val="21"/>
        </w:rPr>
        <w:t>st</w:t>
      </w:r>
      <w:r>
        <w:rPr>
          <w:b/>
          <w:color w:val="212121"/>
          <w:spacing w:val="-2"/>
          <w:w w:val="100"/>
          <w:sz w:val="21"/>
        </w:rPr>
        <w:t>r</w:t>
      </w:r>
      <w:r>
        <w:rPr>
          <w:b/>
          <w:color w:val="212121"/>
          <w:w w:val="100"/>
          <w:sz w:val="21"/>
        </w:rPr>
        <w:t>o</w:t>
      </w:r>
      <w:r>
        <w:rPr>
          <w:b/>
          <w:color w:val="212121"/>
          <w:spacing w:val="-4"/>
          <w:w w:val="100"/>
          <w:sz w:val="21"/>
        </w:rPr>
        <w:t>y</w:t>
      </w:r>
      <w:r>
        <w:rPr>
          <w:b/>
          <w:color w:val="212121"/>
          <w:w w:val="100"/>
          <w:sz w:val="21"/>
        </w:rPr>
        <w:t>ed</w:t>
      </w:r>
      <w:r>
        <w:rPr>
          <w:b/>
          <w:color w:val="212121"/>
          <w:w w:val="100"/>
          <w:sz w:val="21"/>
        </w:rPr>
        <w:t>,</w:t>
      </w:r>
      <w:r>
        <w:rPr>
          <w:b/>
          <w:color w:val="212121"/>
          <w:spacing w:val="19"/>
          <w:sz w:val="21"/>
        </w:rPr>
        <w:t> </w:t>
      </w:r>
      <w:r>
        <w:rPr>
          <w:b/>
          <w:color w:val="212121"/>
          <w:spacing w:val="-2"/>
          <w:w w:val="100"/>
          <w:sz w:val="21"/>
        </w:rPr>
        <w:t>i</w:t>
      </w:r>
      <w:r>
        <w:rPr>
          <w:b/>
          <w:color w:val="212121"/>
          <w:w w:val="100"/>
          <w:sz w:val="21"/>
        </w:rPr>
        <w:t>s</w:t>
      </w:r>
      <w:r>
        <w:rPr>
          <w:b/>
          <w:color w:val="212121"/>
          <w:spacing w:val="20"/>
          <w:sz w:val="21"/>
        </w:rPr>
        <w:t> </w:t>
      </w:r>
      <w:r>
        <w:rPr>
          <w:b/>
          <w:color w:val="212121"/>
          <w:w w:val="100"/>
          <w:sz w:val="21"/>
        </w:rPr>
        <w:t>sa</w:t>
      </w:r>
      <w:r>
        <w:rPr>
          <w:b/>
          <w:color w:val="212121"/>
          <w:spacing w:val="-4"/>
          <w:w w:val="100"/>
          <w:sz w:val="21"/>
        </w:rPr>
        <w:t>i</w:t>
      </w:r>
      <w:r>
        <w:rPr>
          <w:b/>
          <w:color w:val="212121"/>
          <w:w w:val="100"/>
          <w:sz w:val="21"/>
        </w:rPr>
        <w:t>d </w:t>
      </w:r>
      <w:r>
        <w:rPr>
          <w:b/>
          <w:color w:val="212121"/>
          <w:sz w:val="21"/>
        </w:rPr>
        <w:t>to have erected mosques on the situations of the most remarkable temples, but the mosque at Ayodhya, which is by far the most entire, and which has every  appearance of being the most modern, is ascertained by an inscription on its walls (of which a copy is given) to have been built by Babur, five generations before Aurungzeb. </w:t>
      </w:r>
      <w:r>
        <w:rPr>
          <w:color w:val="212121"/>
          <w:sz w:val="21"/>
        </w:rPr>
        <w:t>This renders the whole story of Vikrama exceedingly doubtful, especially as what are said to be the ruins of his fort, do not in any essential degree differ from those said to have belonged to the ancient city, that is,  consist entirely of irregular heaps of broken bricks, covered with sol, and remarkably productive of tobacco; and, from its name, Ramgar, I am inclined to suppose that it was a part of the building actually erected by</w:t>
      </w:r>
      <w:r>
        <w:rPr>
          <w:color w:val="212121"/>
          <w:spacing w:val="-12"/>
          <w:sz w:val="21"/>
        </w:rPr>
        <w:t> </w:t>
      </w:r>
      <w:r>
        <w:rPr>
          <w:color w:val="212121"/>
          <w:sz w:val="21"/>
        </w:rPr>
        <w:t>Rama.</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4" w:firstLine="0"/>
        <w:jc w:val="both"/>
        <w:rPr>
          <w:sz w:val="21"/>
        </w:rPr>
      </w:pPr>
      <w:r>
        <w:rPr>
          <w:color w:val="212121"/>
          <w:sz w:val="21"/>
        </w:rPr>
        <w:t>Although, I do not fail to visit the place, and whatever the Hindus reckon remarkable, I did not choose to take any measurements, so as to draw with any accuracy a plan of the space which the ruins occupy, as the doing so might have given offence to the Government of the Nawab Vazir, in whose territory, separated from this district only by the river Sarayu, they are situated.</w:t>
      </w:r>
    </w:p>
    <w:p>
      <w:pPr>
        <w:pStyle w:val="BodyText"/>
        <w:spacing w:before="3"/>
        <w:rPr>
          <w:sz w:val="24"/>
        </w:rPr>
      </w:pPr>
    </w:p>
    <w:p>
      <w:pPr>
        <w:spacing w:line="276" w:lineRule="auto" w:before="0"/>
        <w:ind w:left="1940" w:right="2260" w:firstLine="0"/>
        <w:jc w:val="both"/>
        <w:rPr>
          <w:sz w:val="21"/>
        </w:rPr>
      </w:pPr>
      <w:r>
        <w:rPr>
          <w:color w:val="212121"/>
          <w:sz w:val="21"/>
        </w:rPr>
        <w:t>I may in a general manner observe, that the heaps of bricks, although much seems to have been carried away by the river, extend a great way, that is, more than a mile in length, and more than half a mile in width: and that although vast quantities of materials have been removed to build the Muhammedan Ayodhya or Fyzabad, yet the ruins in many parts retain a very considerable elevation; nor is there any reason to doubt, that the structure to which they belonged, has been very great; when we consider that it has been ruined for above 2000 years. None of the Hindu buildings at present existing are in the least remarkable either for size for architecture, and they are all not only evidently, but avowedly, quite, modern. that is, they have been all erected since the reign of Aurungzeb, most of them even within the memory of man. Although they are built on what </w:t>
      </w:r>
      <w:r>
        <w:rPr>
          <w:b/>
          <w:color w:val="212121"/>
          <w:sz w:val="21"/>
        </w:rPr>
        <w:t>I have no doubt are  the ruins of the palace that was occupied by the princes of the family of the sun, their being built on the spots, where the events which they are intended to celebrate, actually happened, would have been extremely doubtful, even had the elder Vikrama built temples on the various places which had been destroyed by Aurungzeb, so that the spots selected by Vikrama might be known by tradition</w:t>
      </w:r>
      <w:r>
        <w:rPr>
          <w:color w:val="212121"/>
          <w:sz w:val="21"/>
        </w:rPr>
        <w:t>; but the whole of that story being liable to strong suspicion, we may consider the present appropriation of names of different places as no better founded than the miracles, which several of them are said to</w:t>
      </w:r>
      <w:r>
        <w:rPr>
          <w:color w:val="212121"/>
          <w:spacing w:val="-13"/>
          <w:sz w:val="21"/>
        </w:rPr>
        <w:t> </w:t>
      </w:r>
      <w:r>
        <w:rPr>
          <w:color w:val="212121"/>
          <w:sz w:val="21"/>
        </w:rPr>
        <w:t>commemorate.</w:t>
      </w:r>
    </w:p>
    <w:p>
      <w:pPr>
        <w:pStyle w:val="BodyText"/>
        <w:spacing w:before="2"/>
        <w:rPr>
          <w:sz w:val="24"/>
        </w:rPr>
      </w:pPr>
    </w:p>
    <w:p>
      <w:pPr>
        <w:spacing w:line="276" w:lineRule="auto" w:before="1"/>
        <w:ind w:left="1940" w:right="2260" w:firstLine="0"/>
        <w:jc w:val="both"/>
        <w:rPr>
          <w:b/>
          <w:sz w:val="21"/>
        </w:rPr>
      </w:pPr>
      <w:r>
        <w:rPr>
          <w:color w:val="212121"/>
          <w:sz w:val="21"/>
        </w:rPr>
        <w:t>It is said that in digging for bricks many images have been discovered, but the few which I was able to trace were too much broken to ascertain what they were meant to represent, except one at the convent (Aakhara) of Guptar, where Lakshman is supposed to have disappeared. This represents a man and woman carved on one stone. The latter carries somewhat on her head, and neither has any resemblance to what I have before seen. </w:t>
      </w:r>
      <w:r>
        <w:rPr>
          <w:b/>
          <w:color w:val="212121"/>
          <w:sz w:val="21"/>
        </w:rPr>
        <w:t>The only thing except these two figures and the bricks, that could with probability be traced to the ancient city, are some pillars in the mosque built by Babur. These are of black stone, and of an order which I have seen nowhere else, and which will be understood from the accompanying drawing. That they have been taken from a Hindu building, is evident, from the traces of images being observable on some of their</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sz w:val="21"/>
        </w:rPr>
      </w:pPr>
      <w:r>
        <w:rPr>
          <w:b/>
          <w:color w:val="212121"/>
          <w:sz w:val="21"/>
        </w:rPr>
        <w:t>basis; although the images have been cut off to satisfy the conscience of the bigot. It is possible that these pillars have belonged to a temple built by Vikrama; but I think the existence of such temples doubtful; and if they did not exist, it is probable that the pillars were taken from the ruins of the palace. They are only 6 feet</w:t>
      </w:r>
      <w:r>
        <w:rPr>
          <w:b/>
          <w:color w:val="212121"/>
          <w:spacing w:val="-23"/>
          <w:sz w:val="21"/>
        </w:rPr>
        <w:t> </w:t>
      </w:r>
      <w:r>
        <w:rPr>
          <w:b/>
          <w:color w:val="212121"/>
          <w:sz w:val="21"/>
        </w:rPr>
        <w:t>high</w:t>
      </w:r>
      <w:r>
        <w:rPr>
          <w:color w:val="212121"/>
          <w:sz w:val="21"/>
        </w:rPr>
        <w:t>.‖</w:t>
      </w:r>
    </w:p>
    <w:p>
      <w:pPr>
        <w:spacing w:line="241" w:lineRule="exact" w:before="0"/>
        <w:ind w:left="5798" w:right="0" w:firstLine="0"/>
        <w:jc w:val="both"/>
        <w:rPr>
          <w:sz w:val="21"/>
        </w:rPr>
      </w:pPr>
      <w:r>
        <w:rPr>
          <w:color w:val="212121"/>
          <w:sz w:val="21"/>
        </w:rPr>
        <w:t>(Emphasis supplied)</w:t>
      </w:r>
    </w:p>
    <w:p>
      <w:pPr>
        <w:pStyle w:val="BodyText"/>
        <w:spacing w:before="2"/>
        <w:rPr>
          <w:sz w:val="24"/>
        </w:rPr>
      </w:pPr>
    </w:p>
    <w:p>
      <w:pPr>
        <w:pStyle w:val="BodyText"/>
        <w:spacing w:line="480" w:lineRule="auto"/>
        <w:ind w:left="500" w:right="436"/>
        <w:jc w:val="both"/>
      </w:pPr>
      <w:r>
        <w:rPr>
          <w:b/>
        </w:rPr>
        <w:t>Martin‘s </w:t>
      </w:r>
      <w:r>
        <w:rPr/>
        <w:t>account adverts to the inscription on the walls of the mosque on the basis of a copy which was given to him and infers that the mosque was built by </w:t>
      </w:r>
      <w:r>
        <w:rPr>
          <w:spacing w:val="-1"/>
          <w:w w:val="99"/>
        </w:rPr>
        <w:t>Ba</w:t>
      </w:r>
      <w:r>
        <w:rPr>
          <w:w w:val="99"/>
        </w:rPr>
        <w:t>b</w:t>
      </w:r>
      <w:r>
        <w:rPr>
          <w:spacing w:val="-1"/>
          <w:w w:val="99"/>
        </w:rPr>
        <w:t>u</w:t>
      </w:r>
      <w:r>
        <w:rPr>
          <w:w w:val="99"/>
        </w:rPr>
        <w:t>r.</w:t>
      </w:r>
      <w:r>
        <w:rPr>
          <w:spacing w:val="33"/>
        </w:rPr>
        <w:t> </w:t>
      </w:r>
      <w:r>
        <w:rPr>
          <w:w w:val="99"/>
        </w:rPr>
        <w:t>T</w:t>
      </w:r>
      <w:r>
        <w:rPr>
          <w:spacing w:val="-1"/>
          <w:w w:val="99"/>
        </w:rPr>
        <w:t>h</w:t>
      </w:r>
      <w:r>
        <w:rPr>
          <w:w w:val="99"/>
        </w:rPr>
        <w:t>e</w:t>
      </w:r>
      <w:r>
        <w:rPr>
          <w:spacing w:val="33"/>
        </w:rPr>
        <w:t> </w:t>
      </w:r>
      <w:r>
        <w:rPr>
          <w:w w:val="99"/>
        </w:rPr>
        <w:t>m</w:t>
      </w:r>
      <w:r>
        <w:rPr>
          <w:spacing w:val="-1"/>
          <w:w w:val="99"/>
        </w:rPr>
        <w:t>os</w:t>
      </w:r>
      <w:r>
        <w:rPr>
          <w:w w:val="99"/>
        </w:rPr>
        <w:t>q</w:t>
      </w:r>
      <w:r>
        <w:rPr>
          <w:spacing w:val="-1"/>
          <w:w w:val="99"/>
        </w:rPr>
        <w:t>u</w:t>
      </w:r>
      <w:r>
        <w:rPr>
          <w:w w:val="99"/>
        </w:rPr>
        <w:t>e</w:t>
      </w:r>
      <w:r>
        <w:rPr>
          <w:spacing w:val="33"/>
        </w:rPr>
        <w:t> </w:t>
      </w:r>
      <w:r>
        <w:rPr>
          <w:spacing w:val="-1"/>
          <w:w w:val="99"/>
        </w:rPr>
        <w:t>a</w:t>
      </w:r>
      <w:r>
        <w:rPr>
          <w:w w:val="99"/>
        </w:rPr>
        <w:t>t</w:t>
      </w:r>
      <w:r>
        <w:rPr>
          <w:spacing w:val="34"/>
        </w:rPr>
        <w:t> </w:t>
      </w:r>
      <w:r>
        <w:rPr>
          <w:spacing w:val="1"/>
          <w:w w:val="99"/>
        </w:rPr>
        <w:t>A</w:t>
      </w:r>
      <w:r>
        <w:rPr>
          <w:spacing w:val="-3"/>
          <w:w w:val="99"/>
        </w:rPr>
        <w:t>y</w:t>
      </w:r>
      <w:r>
        <w:rPr>
          <w:spacing w:val="-1"/>
          <w:w w:val="99"/>
        </w:rPr>
        <w:t>o</w:t>
      </w:r>
      <w:r>
        <w:rPr>
          <w:w w:val="99"/>
        </w:rPr>
        <w:t>d</w:t>
      </w:r>
      <w:r>
        <w:rPr>
          <w:spacing w:val="2"/>
          <w:w w:val="99"/>
        </w:rPr>
        <w:t>h</w:t>
      </w:r>
      <w:r>
        <w:rPr>
          <w:spacing w:val="-3"/>
          <w:w w:val="99"/>
        </w:rPr>
        <w:t>y</w:t>
      </w:r>
      <w:r>
        <w:rPr>
          <w:spacing w:val="-1"/>
          <w:w w:val="99"/>
        </w:rPr>
        <w:t>a</w:t>
      </w:r>
      <w:r>
        <w:rPr>
          <w:w w:val="99"/>
        </w:rPr>
        <w:t>,</w:t>
      </w:r>
      <w:r>
        <w:rPr>
          <w:spacing w:val="34"/>
        </w:rPr>
        <w:t> </w:t>
      </w:r>
      <w:r>
        <w:rPr>
          <w:spacing w:val="-1"/>
          <w:w w:val="99"/>
        </w:rPr>
        <w:t>h</w:t>
      </w:r>
      <w:r>
        <w:rPr>
          <w:w w:val="99"/>
        </w:rPr>
        <w:t>e</w:t>
      </w:r>
      <w:r>
        <w:rPr>
          <w:spacing w:val="33"/>
        </w:rPr>
        <w:t> </w:t>
      </w:r>
      <w:r>
        <w:rPr>
          <w:spacing w:val="-1"/>
          <w:w w:val="99"/>
        </w:rPr>
        <w:t>d</w:t>
      </w:r>
      <w:r>
        <w:rPr>
          <w:w w:val="99"/>
        </w:rPr>
        <w:t>esc</w:t>
      </w:r>
      <w:r>
        <w:rPr>
          <w:spacing w:val="3"/>
          <w:w w:val="99"/>
        </w:rPr>
        <w:t>r</w:t>
      </w:r>
      <w:r>
        <w:rPr>
          <w:spacing w:val="-1"/>
          <w:w w:val="99"/>
        </w:rPr>
        <w:t>ibe</w:t>
      </w:r>
      <w:r>
        <w:rPr>
          <w:w w:val="99"/>
        </w:rPr>
        <w:t>s</w:t>
      </w:r>
      <w:r>
        <w:rPr>
          <w:spacing w:val="34"/>
        </w:rPr>
        <w:t> </w:t>
      </w:r>
      <w:r>
        <w:rPr>
          <w:spacing w:val="-1"/>
          <w:w w:val="99"/>
        </w:rPr>
        <w:t>a</w:t>
      </w:r>
      <w:r>
        <w:rPr>
          <w:w w:val="99"/>
        </w:rPr>
        <w:t>s</w:t>
      </w:r>
      <w:r>
        <w:rPr>
          <w:spacing w:val="33"/>
        </w:rPr>
        <w:t> </w:t>
      </w:r>
      <w:r>
        <w:rPr>
          <w:spacing w:val="-1"/>
          <w:w w:val="99"/>
        </w:rPr>
        <w:t>h</w:t>
      </w:r>
      <w:r>
        <w:rPr>
          <w:spacing w:val="2"/>
          <w:w w:val="99"/>
        </w:rPr>
        <w:t>a</w:t>
      </w:r>
      <w:r>
        <w:rPr>
          <w:spacing w:val="-3"/>
          <w:w w:val="99"/>
        </w:rPr>
        <w:t>v</w:t>
      </w:r>
      <w:r>
        <w:rPr>
          <w:spacing w:val="-1"/>
          <w:w w:val="99"/>
        </w:rPr>
        <w:t>in</w:t>
      </w:r>
      <w:r>
        <w:rPr>
          <w:w w:val="99"/>
        </w:rPr>
        <w:t>g</w:t>
      </w:r>
      <w:r>
        <w:rPr>
          <w:spacing w:val="34"/>
        </w:rPr>
        <w:t> </w:t>
      </w:r>
      <w:r>
        <w:rPr>
          <w:w w:val="33"/>
        </w:rPr>
        <w:t>―</w:t>
      </w:r>
      <w:r>
        <w:rPr>
          <w:spacing w:val="2"/>
          <w:w w:val="99"/>
        </w:rPr>
        <w:t>e</w:t>
      </w:r>
      <w:r>
        <w:rPr>
          <w:spacing w:val="-3"/>
          <w:w w:val="99"/>
        </w:rPr>
        <w:t>v</w:t>
      </w:r>
      <w:r>
        <w:rPr>
          <w:spacing w:val="-1"/>
          <w:w w:val="99"/>
        </w:rPr>
        <w:t>e</w:t>
      </w:r>
      <w:r>
        <w:rPr>
          <w:spacing w:val="3"/>
          <w:w w:val="99"/>
        </w:rPr>
        <w:t>r</w:t>
      </w:r>
      <w:r>
        <w:rPr>
          <w:w w:val="99"/>
        </w:rPr>
        <w:t>y</w:t>
      </w:r>
      <w:r>
        <w:rPr>
          <w:spacing w:val="30"/>
        </w:rPr>
        <w:t> </w:t>
      </w:r>
      <w:r>
        <w:rPr>
          <w:spacing w:val="-1"/>
          <w:w w:val="99"/>
        </w:rPr>
        <w:t>a</w:t>
      </w:r>
      <w:r>
        <w:rPr>
          <w:w w:val="99"/>
        </w:rPr>
        <w:t>p</w:t>
      </w:r>
      <w:r>
        <w:rPr>
          <w:spacing w:val="-1"/>
          <w:w w:val="99"/>
        </w:rPr>
        <w:t>p</w:t>
      </w:r>
      <w:r>
        <w:rPr>
          <w:w w:val="99"/>
        </w:rPr>
        <w:t>e</w:t>
      </w:r>
      <w:r>
        <w:rPr>
          <w:spacing w:val="-1"/>
          <w:w w:val="99"/>
        </w:rPr>
        <w:t>a</w:t>
      </w:r>
      <w:r>
        <w:rPr>
          <w:w w:val="99"/>
        </w:rPr>
        <w:t>r</w:t>
      </w:r>
      <w:r>
        <w:rPr>
          <w:spacing w:val="-1"/>
          <w:w w:val="99"/>
        </w:rPr>
        <w:t>a</w:t>
      </w:r>
      <w:r>
        <w:rPr>
          <w:w w:val="99"/>
        </w:rPr>
        <w:t>nce</w:t>
      </w:r>
      <w:r>
        <w:rPr>
          <w:spacing w:val="33"/>
        </w:rPr>
        <w:t> </w:t>
      </w:r>
      <w:r>
        <w:rPr>
          <w:spacing w:val="-1"/>
          <w:w w:val="99"/>
        </w:rPr>
        <w:t>of </w:t>
      </w:r>
      <w:r>
        <w:rPr/>
        <w:t>being the most modern‖. It also refers to the alleged destruction of Hindu places of worship by Aurangzeb. </w:t>
      </w:r>
      <w:r>
        <w:rPr>
          <w:b/>
        </w:rPr>
        <w:t>Martin </w:t>
      </w:r>
      <w:r>
        <w:rPr/>
        <w:t>has also adverted to the presence of pillars in the mosque made up of black stone. The account narrates that these have been taken from a Hindu building which he infers from the traces of the images </w:t>
      </w:r>
      <w:r>
        <w:rPr>
          <w:spacing w:val="-1"/>
          <w:w w:val="99"/>
        </w:rPr>
        <w:t>o</w:t>
      </w:r>
      <w:r>
        <w:rPr>
          <w:w w:val="99"/>
        </w:rPr>
        <w:t>bse</w:t>
      </w:r>
      <w:r>
        <w:rPr>
          <w:spacing w:val="1"/>
          <w:w w:val="99"/>
        </w:rPr>
        <w:t>r</w:t>
      </w:r>
      <w:r>
        <w:rPr>
          <w:spacing w:val="-3"/>
          <w:w w:val="99"/>
        </w:rPr>
        <w:t>v</w:t>
      </w:r>
      <w:r>
        <w:rPr>
          <w:spacing w:val="-1"/>
          <w:w w:val="99"/>
        </w:rPr>
        <w:t>a</w:t>
      </w:r>
      <w:r>
        <w:rPr>
          <w:w w:val="99"/>
        </w:rPr>
        <w:t>b</w:t>
      </w:r>
      <w:r>
        <w:rPr>
          <w:spacing w:val="-1"/>
          <w:w w:val="99"/>
        </w:rPr>
        <w:t>l</w:t>
      </w:r>
      <w:r>
        <w:rPr>
          <w:w w:val="99"/>
        </w:rPr>
        <w:t>e</w:t>
      </w:r>
      <w:r>
        <w:rPr/>
        <w:t> </w:t>
      </w:r>
      <w:r>
        <w:rPr>
          <w:spacing w:val="-27"/>
        </w:rPr>
        <w:t> </w:t>
      </w:r>
      <w:r>
        <w:rPr>
          <w:spacing w:val="-1"/>
          <w:w w:val="99"/>
        </w:rPr>
        <w:t>o</w:t>
      </w:r>
      <w:r>
        <w:rPr>
          <w:w w:val="99"/>
        </w:rPr>
        <w:t>n</w:t>
      </w:r>
      <w:r>
        <w:rPr/>
        <w:t> </w:t>
      </w:r>
      <w:r>
        <w:rPr>
          <w:spacing w:val="-26"/>
        </w:rPr>
        <w:t> </w:t>
      </w:r>
      <w:r>
        <w:rPr>
          <w:w w:val="99"/>
        </w:rPr>
        <w:t>so</w:t>
      </w:r>
      <w:r>
        <w:rPr>
          <w:spacing w:val="1"/>
          <w:w w:val="99"/>
        </w:rPr>
        <w:t>m</w:t>
      </w:r>
      <w:r>
        <w:rPr>
          <w:w w:val="99"/>
        </w:rPr>
        <w:t>e</w:t>
      </w:r>
      <w:r>
        <w:rPr/>
        <w:t> </w:t>
      </w:r>
      <w:r>
        <w:rPr>
          <w:spacing w:val="-29"/>
        </w:rPr>
        <w:t> </w:t>
      </w:r>
      <w:r>
        <w:rPr>
          <w:spacing w:val="-1"/>
          <w:w w:val="99"/>
        </w:rPr>
        <w:t>o</w:t>
      </w:r>
      <w:r>
        <w:rPr>
          <w:w w:val="99"/>
        </w:rPr>
        <w:t>f</w:t>
      </w:r>
      <w:r>
        <w:rPr/>
        <w:t> </w:t>
      </w:r>
      <w:r>
        <w:rPr>
          <w:spacing w:val="-26"/>
        </w:rPr>
        <w:t> </w:t>
      </w:r>
      <w:r>
        <w:rPr>
          <w:w w:val="99"/>
        </w:rPr>
        <w:t>the</w:t>
      </w:r>
      <w:r>
        <w:rPr/>
        <w:t> </w:t>
      </w:r>
      <w:r>
        <w:rPr>
          <w:spacing w:val="-26"/>
        </w:rPr>
        <w:t> </w:t>
      </w:r>
      <w:r>
        <w:rPr>
          <w:spacing w:val="-1"/>
          <w:w w:val="99"/>
        </w:rPr>
        <w:t>pilla</w:t>
      </w:r>
      <w:r>
        <w:rPr>
          <w:w w:val="99"/>
        </w:rPr>
        <w:t>rs,</w:t>
      </w:r>
      <w:r>
        <w:rPr/>
        <w:t> </w:t>
      </w:r>
      <w:r>
        <w:rPr>
          <w:spacing w:val="-29"/>
        </w:rPr>
        <w:t> </w:t>
      </w:r>
      <w:r>
        <w:rPr>
          <w:spacing w:val="-1"/>
          <w:w w:val="99"/>
        </w:rPr>
        <w:t>alt</w:t>
      </w:r>
      <w:r>
        <w:rPr>
          <w:w w:val="99"/>
        </w:rPr>
        <w:t>h</w:t>
      </w:r>
      <w:r>
        <w:rPr>
          <w:spacing w:val="-1"/>
          <w:w w:val="99"/>
        </w:rPr>
        <w:t>o</w:t>
      </w:r>
      <w:r>
        <w:rPr>
          <w:w w:val="99"/>
        </w:rPr>
        <w:t>u</w:t>
      </w:r>
      <w:r>
        <w:rPr>
          <w:spacing w:val="-3"/>
          <w:w w:val="99"/>
        </w:rPr>
        <w:t>g</w:t>
      </w:r>
      <w:r>
        <w:rPr>
          <w:spacing w:val="-1"/>
          <w:w w:val="99"/>
        </w:rPr>
        <w:t>h</w:t>
      </w:r>
      <w:r>
        <w:rPr>
          <w:w w:val="99"/>
        </w:rPr>
        <w:t>,</w:t>
      </w:r>
      <w:r>
        <w:rPr/>
        <w:t> </w:t>
      </w:r>
      <w:r>
        <w:rPr>
          <w:spacing w:val="-26"/>
        </w:rPr>
        <w:t> </w:t>
      </w:r>
      <w:r>
        <w:rPr>
          <w:w w:val="33"/>
        </w:rPr>
        <w:t>―</w:t>
      </w:r>
      <w:r>
        <w:rPr>
          <w:w w:val="99"/>
        </w:rPr>
        <w:t>the</w:t>
      </w:r>
      <w:r>
        <w:rPr/>
        <w:t> </w:t>
      </w:r>
      <w:r>
        <w:rPr>
          <w:spacing w:val="-28"/>
        </w:rPr>
        <w:t> </w:t>
      </w:r>
      <w:r>
        <w:rPr>
          <w:spacing w:val="-1"/>
          <w:w w:val="99"/>
        </w:rPr>
        <w:t>im</w:t>
      </w:r>
      <w:r>
        <w:rPr>
          <w:w w:val="99"/>
        </w:rPr>
        <w:t>a</w:t>
      </w:r>
      <w:r>
        <w:rPr>
          <w:spacing w:val="-1"/>
          <w:w w:val="99"/>
        </w:rPr>
        <w:t>g</w:t>
      </w:r>
      <w:r>
        <w:rPr>
          <w:w w:val="99"/>
        </w:rPr>
        <w:t>es</w:t>
      </w:r>
      <w:r>
        <w:rPr/>
        <w:t> </w:t>
      </w:r>
      <w:r>
        <w:rPr>
          <w:spacing w:val="-19"/>
        </w:rPr>
        <w:t> </w:t>
      </w:r>
      <w:r>
        <w:rPr>
          <w:w w:val="99"/>
        </w:rPr>
        <w:t>ha</w:t>
      </w:r>
      <w:r>
        <w:rPr>
          <w:spacing w:val="-3"/>
          <w:w w:val="99"/>
        </w:rPr>
        <w:t>v</w:t>
      </w:r>
      <w:r>
        <w:rPr>
          <w:w w:val="99"/>
        </w:rPr>
        <w:t>e</w:t>
      </w:r>
      <w:r>
        <w:rPr/>
        <w:t> </w:t>
      </w:r>
      <w:r>
        <w:rPr>
          <w:spacing w:val="-29"/>
        </w:rPr>
        <w:t> </w:t>
      </w:r>
      <w:r>
        <w:rPr>
          <w:w w:val="99"/>
        </w:rPr>
        <w:t>been</w:t>
      </w:r>
      <w:r>
        <w:rPr/>
        <w:t> </w:t>
      </w:r>
      <w:r>
        <w:rPr>
          <w:spacing w:val="-26"/>
        </w:rPr>
        <w:t> </w:t>
      </w:r>
      <w:r>
        <w:rPr>
          <w:w w:val="99"/>
        </w:rPr>
        <w:t>cut</w:t>
      </w:r>
      <w:r>
        <w:rPr/>
        <w:t> </w:t>
      </w:r>
      <w:r>
        <w:rPr>
          <w:spacing w:val="-26"/>
        </w:rPr>
        <w:t> </w:t>
      </w:r>
      <w:r>
        <w:rPr>
          <w:w w:val="99"/>
        </w:rPr>
        <w:t>off</w:t>
      </w:r>
      <w:r>
        <w:rPr/>
        <w:t> </w:t>
      </w:r>
      <w:r>
        <w:rPr>
          <w:spacing w:val="-28"/>
        </w:rPr>
        <w:t> </w:t>
      </w:r>
      <w:r>
        <w:rPr>
          <w:w w:val="99"/>
        </w:rPr>
        <w:t>to </w:t>
      </w:r>
      <w:r>
        <w:rPr/>
        <w:t>satisfy the conscience of the bigot‖. In Martin‘s view, it is unlikely that the ruins rest on the exact spots where the historical events attributed to them occurred.  To his mind the whole story is of greater religious and mythological significance than historical. Worship at these spots commemorates the significant events that are believed by the Hindus to have occurred</w:t>
      </w:r>
      <w:r>
        <w:rPr>
          <w:spacing w:val="-9"/>
        </w:rPr>
        <w:t> </w:t>
      </w:r>
      <w:r>
        <w:rPr/>
        <w:t>there.</w:t>
      </w:r>
    </w:p>
    <w:p>
      <w:pPr>
        <w:pStyle w:val="BodyText"/>
        <w:rPr>
          <w:sz w:val="28"/>
        </w:rPr>
      </w:pPr>
    </w:p>
    <w:p>
      <w:pPr>
        <w:pStyle w:val="BodyText"/>
        <w:spacing w:before="11"/>
        <w:rPr>
          <w:sz w:val="21"/>
        </w:rPr>
      </w:pPr>
    </w:p>
    <w:p>
      <w:pPr>
        <w:pStyle w:val="ListParagraph"/>
        <w:numPr>
          <w:ilvl w:val="0"/>
          <w:numId w:val="166"/>
        </w:numPr>
        <w:tabs>
          <w:tab w:pos="1221" w:val="left" w:leader="none"/>
        </w:tabs>
        <w:spacing w:line="480" w:lineRule="auto" w:before="0" w:after="0"/>
        <w:ind w:left="500" w:right="436" w:firstLine="0"/>
        <w:jc w:val="both"/>
        <w:rPr>
          <w:sz w:val="25"/>
        </w:rPr>
      </w:pPr>
      <w:r>
        <w:rPr>
          <w:b/>
          <w:spacing w:val="-1"/>
          <w:w w:val="99"/>
          <w:sz w:val="25"/>
        </w:rPr>
        <w:t>E</w:t>
      </w:r>
      <w:r>
        <w:rPr>
          <w:b/>
          <w:w w:val="99"/>
          <w:sz w:val="25"/>
        </w:rPr>
        <w:t>x</w:t>
      </w:r>
      <w:r>
        <w:rPr>
          <w:b/>
          <w:spacing w:val="1"/>
          <w:w w:val="99"/>
          <w:sz w:val="25"/>
        </w:rPr>
        <w:t>h</w:t>
      </w:r>
      <w:r>
        <w:rPr>
          <w:b/>
          <w:w w:val="99"/>
          <w:sz w:val="25"/>
        </w:rPr>
        <w:t>i</w:t>
      </w:r>
      <w:r>
        <w:rPr>
          <w:b/>
          <w:spacing w:val="1"/>
          <w:w w:val="99"/>
          <w:sz w:val="25"/>
        </w:rPr>
        <w:t>b</w:t>
      </w:r>
      <w:r>
        <w:rPr>
          <w:b/>
          <w:w w:val="99"/>
          <w:sz w:val="25"/>
        </w:rPr>
        <w:t>it</w:t>
      </w:r>
      <w:r>
        <w:rPr>
          <w:b/>
          <w:spacing w:val="7"/>
          <w:sz w:val="25"/>
        </w:rPr>
        <w:t> </w:t>
      </w:r>
      <w:r>
        <w:rPr>
          <w:b/>
          <w:w w:val="99"/>
          <w:sz w:val="25"/>
        </w:rPr>
        <w:t>5</w:t>
      </w:r>
      <w:r>
        <w:rPr>
          <w:b/>
          <w:spacing w:val="6"/>
          <w:sz w:val="25"/>
        </w:rPr>
        <w:t> </w:t>
      </w:r>
      <w:r>
        <w:rPr>
          <w:b/>
          <w:w w:val="99"/>
          <w:sz w:val="25"/>
        </w:rPr>
        <w:t>–</w:t>
      </w:r>
      <w:r>
        <w:rPr>
          <w:b/>
          <w:spacing w:val="7"/>
          <w:sz w:val="25"/>
        </w:rPr>
        <w:t> </w:t>
      </w:r>
      <w:r>
        <w:rPr>
          <w:b/>
          <w:spacing w:val="-1"/>
          <w:w w:val="99"/>
          <w:sz w:val="25"/>
        </w:rPr>
        <w:t>S</w:t>
      </w:r>
      <w:r>
        <w:rPr>
          <w:b/>
          <w:w w:val="99"/>
          <w:sz w:val="25"/>
        </w:rPr>
        <w:t>u</w:t>
      </w:r>
      <w:r>
        <w:rPr>
          <w:b/>
          <w:spacing w:val="-3"/>
          <w:w w:val="99"/>
          <w:sz w:val="25"/>
        </w:rPr>
        <w:t>i</w:t>
      </w:r>
      <w:r>
        <w:rPr>
          <w:b/>
          <w:w w:val="99"/>
          <w:sz w:val="25"/>
        </w:rPr>
        <w:t>t</w:t>
      </w:r>
      <w:r>
        <w:rPr>
          <w:b/>
          <w:spacing w:val="7"/>
          <w:sz w:val="25"/>
        </w:rPr>
        <w:t> </w:t>
      </w:r>
      <w:r>
        <w:rPr>
          <w:b/>
          <w:spacing w:val="-1"/>
          <w:w w:val="99"/>
          <w:sz w:val="25"/>
        </w:rPr>
        <w:t>5</w:t>
      </w:r>
      <w:r>
        <w:rPr>
          <w:b/>
          <w:w w:val="99"/>
          <w:sz w:val="25"/>
        </w:rPr>
        <w:t>:</w:t>
      </w:r>
      <w:r>
        <w:rPr>
          <w:b/>
          <w:spacing w:val="6"/>
          <w:sz w:val="25"/>
        </w:rPr>
        <w:t> </w:t>
      </w:r>
      <w:r>
        <w:rPr>
          <w:b/>
          <w:spacing w:val="-1"/>
          <w:w w:val="99"/>
          <w:sz w:val="25"/>
        </w:rPr>
        <w:t>E</w:t>
      </w:r>
      <w:r>
        <w:rPr>
          <w:b/>
          <w:spacing w:val="-2"/>
          <w:w w:val="99"/>
          <w:sz w:val="25"/>
        </w:rPr>
        <w:t>d</w:t>
      </w:r>
      <w:r>
        <w:rPr>
          <w:b/>
          <w:spacing w:val="4"/>
          <w:w w:val="99"/>
          <w:sz w:val="25"/>
        </w:rPr>
        <w:t>w</w:t>
      </w:r>
      <w:r>
        <w:rPr>
          <w:b/>
          <w:spacing w:val="-1"/>
          <w:w w:val="99"/>
          <w:sz w:val="25"/>
        </w:rPr>
        <w:t>ar</w:t>
      </w:r>
      <w:r>
        <w:rPr>
          <w:b/>
          <w:w w:val="99"/>
          <w:sz w:val="25"/>
        </w:rPr>
        <w:t>d</w:t>
      </w:r>
      <w:r>
        <w:rPr>
          <w:b/>
          <w:spacing w:val="5"/>
          <w:sz w:val="25"/>
        </w:rPr>
        <w:t> </w:t>
      </w:r>
      <w:r>
        <w:rPr>
          <w:b/>
          <w:spacing w:val="-2"/>
          <w:w w:val="99"/>
          <w:sz w:val="25"/>
        </w:rPr>
        <w:t>T</w:t>
      </w:r>
      <w:r>
        <w:rPr>
          <w:b/>
          <w:w w:val="99"/>
          <w:sz w:val="25"/>
        </w:rPr>
        <w:t>ho</w:t>
      </w:r>
      <w:r>
        <w:rPr>
          <w:b/>
          <w:spacing w:val="-2"/>
          <w:w w:val="99"/>
          <w:sz w:val="25"/>
        </w:rPr>
        <w:t>r</w:t>
      </w:r>
      <w:r>
        <w:rPr>
          <w:b/>
          <w:w w:val="99"/>
          <w:sz w:val="25"/>
        </w:rPr>
        <w:t>nt</w:t>
      </w:r>
      <w:r>
        <w:rPr>
          <w:b/>
          <w:spacing w:val="-2"/>
          <w:w w:val="99"/>
          <w:sz w:val="25"/>
        </w:rPr>
        <w:t>o</w:t>
      </w:r>
      <w:r>
        <w:rPr>
          <w:b/>
          <w:w w:val="99"/>
          <w:sz w:val="25"/>
        </w:rPr>
        <w:t>n‘s</w:t>
      </w:r>
      <w:r>
        <w:rPr>
          <w:b/>
          <w:spacing w:val="11"/>
          <w:sz w:val="25"/>
        </w:rPr>
        <w:t> </w:t>
      </w:r>
      <w:r>
        <w:rPr>
          <w:spacing w:val="-3"/>
          <w:w w:val="99"/>
          <w:sz w:val="25"/>
        </w:rPr>
        <w:t>G</w:t>
      </w:r>
      <w:r>
        <w:rPr>
          <w:w w:val="99"/>
          <w:sz w:val="25"/>
        </w:rPr>
        <w:t>aze</w:t>
      </w:r>
      <w:r>
        <w:rPr>
          <w:w w:val="99"/>
          <w:sz w:val="25"/>
        </w:rPr>
        <w:t>tte</w:t>
      </w:r>
      <w:r>
        <w:rPr>
          <w:w w:val="99"/>
          <w:sz w:val="25"/>
        </w:rPr>
        <w:t>er</w:t>
      </w:r>
      <w:r>
        <w:rPr>
          <w:spacing w:val="8"/>
          <w:sz w:val="25"/>
        </w:rPr>
        <w:t> </w:t>
      </w:r>
      <w:r>
        <w:rPr>
          <w:w w:val="99"/>
          <w:sz w:val="25"/>
        </w:rPr>
        <w:t>titled</w:t>
      </w:r>
      <w:r>
        <w:rPr>
          <w:spacing w:val="7"/>
          <w:sz w:val="25"/>
        </w:rPr>
        <w:t> </w:t>
      </w:r>
      <w:r>
        <w:rPr>
          <w:w w:val="33"/>
          <w:sz w:val="25"/>
        </w:rPr>
        <w:t>―</w:t>
      </w:r>
      <w:r>
        <w:rPr>
          <w:b/>
          <w:w w:val="99"/>
          <w:sz w:val="25"/>
        </w:rPr>
        <w:t>Gaze</w:t>
      </w:r>
      <w:r>
        <w:rPr>
          <w:b/>
          <w:w w:val="99"/>
          <w:sz w:val="25"/>
        </w:rPr>
        <w:t>t</w:t>
      </w:r>
      <w:r>
        <w:rPr>
          <w:b/>
          <w:spacing w:val="-2"/>
          <w:w w:val="99"/>
          <w:sz w:val="25"/>
        </w:rPr>
        <w:t>t</w:t>
      </w:r>
      <w:r>
        <w:rPr>
          <w:b/>
          <w:w w:val="99"/>
          <w:sz w:val="25"/>
        </w:rPr>
        <w:t>ee</w:t>
      </w:r>
      <w:r>
        <w:rPr>
          <w:b/>
          <w:w w:val="99"/>
          <w:sz w:val="25"/>
        </w:rPr>
        <w:t>r</w:t>
      </w:r>
      <w:r>
        <w:rPr>
          <w:b/>
          <w:spacing w:val="6"/>
          <w:sz w:val="25"/>
        </w:rPr>
        <w:t> </w:t>
      </w:r>
      <w:r>
        <w:rPr>
          <w:b/>
          <w:w w:val="99"/>
          <w:sz w:val="25"/>
        </w:rPr>
        <w:t>of</w:t>
      </w:r>
      <w:r>
        <w:rPr>
          <w:b/>
          <w:spacing w:val="5"/>
          <w:sz w:val="25"/>
        </w:rPr>
        <w:t> </w:t>
      </w:r>
      <w:r>
        <w:rPr>
          <w:b/>
          <w:w w:val="99"/>
          <w:sz w:val="25"/>
        </w:rPr>
        <w:t>t</w:t>
      </w:r>
      <w:r>
        <w:rPr>
          <w:b/>
          <w:spacing w:val="-2"/>
          <w:w w:val="99"/>
          <w:sz w:val="25"/>
        </w:rPr>
        <w:t>h</w:t>
      </w:r>
      <w:r>
        <w:rPr>
          <w:b/>
          <w:w w:val="99"/>
          <w:sz w:val="25"/>
        </w:rPr>
        <w:t>e </w:t>
      </w:r>
      <w:r>
        <w:rPr>
          <w:b/>
          <w:sz w:val="25"/>
        </w:rPr>
        <w:t>territories under the Government of East India Company and the Native States on the Continent of India</w:t>
      </w:r>
      <w:r>
        <w:rPr>
          <w:sz w:val="25"/>
        </w:rPr>
        <w:t>‖</w:t>
      </w:r>
      <w:r>
        <w:rPr>
          <w:sz w:val="25"/>
          <w:vertAlign w:val="superscript"/>
        </w:rPr>
        <w:t>303</w:t>
      </w:r>
      <w:r>
        <w:rPr>
          <w:sz w:val="25"/>
          <w:vertAlign w:val="baseline"/>
        </w:rPr>
        <w:t> first published in</w:t>
      </w:r>
      <w:r>
        <w:rPr>
          <w:spacing w:val="-12"/>
          <w:sz w:val="25"/>
          <w:vertAlign w:val="baseline"/>
        </w:rPr>
        <w:t> </w:t>
      </w:r>
      <w:r>
        <w:rPr>
          <w:sz w:val="25"/>
          <w:vertAlign w:val="baseline"/>
        </w:rPr>
        <w:t>1858.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r>
        <w:rPr/>
        <w:pict>
          <v:rect style="position:absolute;margin-left:72.024002pt;margin-top:17.145929pt;width:144.020pt;height:.60004pt;mso-position-horizontal-relative:page;mso-position-vertical-relative:paragraph;z-index:-15642112;mso-wrap-distance-left:0;mso-wrap-distance-right:0" filled="true" fillcolor="#000000" stroked="false">
            <v:fill type="solid"/>
            <w10:wrap type="topAndBottom"/>
          </v:rect>
        </w:pict>
      </w:r>
    </w:p>
    <w:p>
      <w:pPr>
        <w:spacing w:before="81"/>
        <w:ind w:left="500" w:right="512" w:firstLine="0"/>
        <w:jc w:val="left"/>
        <w:rPr>
          <w:sz w:val="18"/>
        </w:rPr>
      </w:pPr>
      <w:r>
        <w:rPr>
          <w:sz w:val="18"/>
          <w:vertAlign w:val="superscript"/>
        </w:rPr>
        <w:t>303</w:t>
      </w:r>
      <w:r>
        <w:rPr>
          <w:sz w:val="18"/>
          <w:vertAlign w:val="baseline"/>
        </w:rPr>
        <w:t> Edward Thornton, 1799-1875: A Gazetteer of the Territories Under the Government of the East-India Company, And of the Native States On the Continent of India, London: W. H. Allen (1854).</w:t>
      </w:r>
    </w:p>
    <w:p>
      <w:pPr>
        <w:spacing w:after="0"/>
        <w:jc w:val="left"/>
        <w:rPr>
          <w:sz w:val="18"/>
        </w:rPr>
        <w:sectPr>
          <w:pgSz w:w="11910" w:h="16840"/>
          <w:pgMar w:header="721" w:footer="1014" w:top="1300" w:bottom="1200" w:left="940" w:right="1000"/>
        </w:sectPr>
      </w:pPr>
    </w:p>
    <w:p>
      <w:pPr>
        <w:spacing w:before="121"/>
        <w:ind w:left="500" w:right="0" w:firstLine="0"/>
        <w:jc w:val="both"/>
        <w:rPr>
          <w:sz w:val="25"/>
        </w:rPr>
      </w:pPr>
      <w:r>
        <w:rPr>
          <w:b/>
          <w:spacing w:val="-2"/>
          <w:w w:val="99"/>
          <w:sz w:val="25"/>
        </w:rPr>
        <w:t>T</w:t>
      </w:r>
      <w:r>
        <w:rPr>
          <w:b/>
          <w:w w:val="99"/>
          <w:sz w:val="25"/>
        </w:rPr>
        <w:t>ho</w:t>
      </w:r>
      <w:r>
        <w:rPr>
          <w:b/>
          <w:spacing w:val="-2"/>
          <w:w w:val="99"/>
          <w:sz w:val="25"/>
        </w:rPr>
        <w:t>r</w:t>
      </w:r>
      <w:r>
        <w:rPr>
          <w:b/>
          <w:w w:val="99"/>
          <w:sz w:val="25"/>
        </w:rPr>
        <w:t>nton‘s</w:t>
      </w:r>
      <w:r>
        <w:rPr>
          <w:b/>
          <w:sz w:val="25"/>
        </w:rPr>
        <w:t> </w:t>
      </w:r>
      <w:r>
        <w:rPr>
          <w:b/>
          <w:w w:val="99"/>
          <w:sz w:val="25"/>
        </w:rPr>
        <w:t>Gazett</w:t>
      </w:r>
      <w:r>
        <w:rPr>
          <w:b/>
          <w:spacing w:val="-3"/>
          <w:w w:val="99"/>
          <w:sz w:val="25"/>
        </w:rPr>
        <w:t>ee</w:t>
      </w:r>
      <w:r>
        <w:rPr>
          <w:b/>
          <w:w w:val="99"/>
          <w:sz w:val="25"/>
        </w:rPr>
        <w:t>r</w:t>
      </w:r>
      <w:r>
        <w:rPr>
          <w:b/>
          <w:spacing w:val="1"/>
          <w:sz w:val="25"/>
        </w:rPr>
        <w:t> </w:t>
      </w:r>
      <w:r>
        <w:rPr>
          <w:w w:val="99"/>
          <w:sz w:val="25"/>
        </w:rPr>
        <w:t>contains</w:t>
      </w:r>
      <w:r>
        <w:rPr>
          <w:spacing w:val="-1"/>
          <w:sz w:val="25"/>
        </w:rPr>
        <w:t> </w:t>
      </w:r>
      <w:r>
        <w:rPr>
          <w:w w:val="99"/>
          <w:sz w:val="25"/>
        </w:rPr>
        <w:t>a</w:t>
      </w:r>
      <w:r>
        <w:rPr>
          <w:sz w:val="25"/>
        </w:rPr>
        <w:t> </w:t>
      </w:r>
      <w:r>
        <w:rPr>
          <w:w w:val="99"/>
          <w:sz w:val="25"/>
        </w:rPr>
        <w:t>r</w:t>
      </w:r>
      <w:r>
        <w:rPr>
          <w:spacing w:val="-1"/>
          <w:w w:val="99"/>
          <w:sz w:val="25"/>
        </w:rPr>
        <w:t>ef</w:t>
      </w:r>
      <w:r>
        <w:rPr>
          <w:w w:val="99"/>
          <w:sz w:val="25"/>
        </w:rPr>
        <w:t>er</w:t>
      </w:r>
      <w:r>
        <w:rPr>
          <w:spacing w:val="-1"/>
          <w:w w:val="99"/>
          <w:sz w:val="25"/>
        </w:rPr>
        <w:t>e</w:t>
      </w:r>
      <w:r>
        <w:rPr>
          <w:w w:val="99"/>
          <w:sz w:val="25"/>
        </w:rPr>
        <w:t>nce</w:t>
      </w:r>
      <w:r>
        <w:rPr>
          <w:spacing w:val="2"/>
          <w:sz w:val="25"/>
        </w:rPr>
        <w:t> </w:t>
      </w:r>
      <w:r>
        <w:rPr>
          <w:w w:val="99"/>
          <w:sz w:val="25"/>
        </w:rPr>
        <w:t>to</w:t>
      </w:r>
      <w:r>
        <w:rPr>
          <w:sz w:val="25"/>
        </w:rPr>
        <w:t> </w:t>
      </w:r>
      <w:r>
        <w:rPr>
          <w:w w:val="33"/>
          <w:sz w:val="25"/>
        </w:rPr>
        <w:t>―</w:t>
      </w:r>
      <w:r>
        <w:rPr>
          <w:spacing w:val="-1"/>
          <w:w w:val="99"/>
          <w:sz w:val="25"/>
        </w:rPr>
        <w:t>a</w:t>
      </w:r>
      <w:r>
        <w:rPr>
          <w:w w:val="99"/>
          <w:sz w:val="25"/>
        </w:rPr>
        <w:t>n</w:t>
      </w:r>
      <w:r>
        <w:rPr>
          <w:sz w:val="25"/>
        </w:rPr>
        <w:t> </w:t>
      </w:r>
      <w:r>
        <w:rPr>
          <w:spacing w:val="-1"/>
          <w:w w:val="99"/>
          <w:sz w:val="25"/>
        </w:rPr>
        <w:t>e</w:t>
      </w:r>
      <w:r>
        <w:rPr>
          <w:spacing w:val="-2"/>
          <w:w w:val="99"/>
          <w:sz w:val="25"/>
        </w:rPr>
        <w:t>x</w:t>
      </w:r>
      <w:r>
        <w:rPr>
          <w:w w:val="99"/>
          <w:sz w:val="25"/>
        </w:rPr>
        <w:t>tens</w:t>
      </w:r>
      <w:r>
        <w:rPr>
          <w:spacing w:val="2"/>
          <w:w w:val="99"/>
          <w:sz w:val="25"/>
        </w:rPr>
        <w:t>i</w:t>
      </w:r>
      <w:r>
        <w:rPr>
          <w:w w:val="99"/>
          <w:sz w:val="25"/>
        </w:rPr>
        <w:t>ve</w:t>
      </w:r>
      <w:r>
        <w:rPr>
          <w:spacing w:val="-1"/>
          <w:sz w:val="25"/>
        </w:rPr>
        <w:t> </w:t>
      </w:r>
      <w:r>
        <w:rPr>
          <w:w w:val="99"/>
          <w:sz w:val="25"/>
        </w:rPr>
        <w:t>est</w:t>
      </w:r>
      <w:r>
        <w:rPr>
          <w:spacing w:val="2"/>
          <w:w w:val="99"/>
          <w:sz w:val="25"/>
        </w:rPr>
        <w:t>a</w:t>
      </w:r>
      <w:r>
        <w:rPr>
          <w:spacing w:val="-1"/>
          <w:w w:val="99"/>
          <w:sz w:val="25"/>
        </w:rPr>
        <w:t>blish</w:t>
      </w:r>
      <w:r>
        <w:rPr>
          <w:w w:val="99"/>
          <w:sz w:val="25"/>
        </w:rPr>
        <w:t>m</w:t>
      </w:r>
      <w:r>
        <w:rPr>
          <w:spacing w:val="-1"/>
          <w:w w:val="99"/>
          <w:sz w:val="25"/>
        </w:rPr>
        <w:t>e</w:t>
      </w:r>
      <w:r>
        <w:rPr>
          <w:w w:val="99"/>
          <w:sz w:val="25"/>
        </w:rPr>
        <w:t>nt</w:t>
      </w:r>
      <w:r>
        <w:rPr>
          <w:sz w:val="25"/>
        </w:rPr>
        <w:t> </w:t>
      </w:r>
      <w:r>
        <w:rPr>
          <w:w w:val="99"/>
          <w:sz w:val="25"/>
        </w:rPr>
        <w:t>ca</w:t>
      </w:r>
      <w:r>
        <w:rPr>
          <w:spacing w:val="-1"/>
          <w:w w:val="99"/>
          <w:sz w:val="25"/>
        </w:rPr>
        <w:t>lled</w:t>
      </w:r>
    </w:p>
    <w:p>
      <w:pPr>
        <w:pStyle w:val="BodyText"/>
        <w:spacing w:before="3"/>
      </w:pPr>
    </w:p>
    <w:p>
      <w:pPr>
        <w:pStyle w:val="BodyText"/>
        <w:spacing w:line="480" w:lineRule="auto" w:before="1"/>
        <w:ind w:left="500" w:right="439"/>
        <w:jc w:val="both"/>
      </w:pPr>
      <w:r>
        <w:rPr>
          <w:w w:val="33"/>
        </w:rPr>
        <w:t>―</w:t>
      </w:r>
      <w:r>
        <w:rPr>
          <w:w w:val="99"/>
        </w:rPr>
        <w:t>Hanumangurh,</w:t>
      </w:r>
      <w:r>
        <w:rPr/>
        <w:t> </w:t>
      </w:r>
      <w:r>
        <w:rPr>
          <w:w w:val="99"/>
        </w:rPr>
        <w:t>or</w:t>
      </w:r>
      <w:r>
        <w:rPr/>
        <w:t> </w:t>
      </w:r>
      <w:r>
        <w:rPr>
          <w:w w:val="99"/>
        </w:rPr>
        <w:t>Fort</w:t>
      </w:r>
      <w:r>
        <w:rPr/>
        <w:t> </w:t>
      </w:r>
      <w:r>
        <w:rPr>
          <w:w w:val="99"/>
        </w:rPr>
        <w:t>of</w:t>
      </w:r>
      <w:r>
        <w:rPr/>
        <w:t> </w:t>
      </w:r>
      <w:r>
        <w:rPr>
          <w:w w:val="99"/>
        </w:rPr>
        <w:t>Hanuman</w:t>
      </w:r>
      <w:r>
        <w:rPr>
          <w:w w:val="80"/>
        </w:rPr>
        <w:t>‖</w:t>
      </w:r>
      <w:r>
        <w:rPr>
          <w:w w:val="99"/>
        </w:rPr>
        <w:t>,</w:t>
      </w:r>
      <w:r>
        <w:rPr/>
        <w:t> </w:t>
      </w:r>
      <w:r>
        <w:rPr>
          <w:w w:val="99"/>
        </w:rPr>
        <w:t>with</w:t>
      </w:r>
      <w:r>
        <w:rPr/>
        <w:t> </w:t>
      </w:r>
      <w:r>
        <w:rPr>
          <w:w w:val="99"/>
        </w:rPr>
        <w:t>an</w:t>
      </w:r>
      <w:r>
        <w:rPr/>
        <w:t> </w:t>
      </w:r>
      <w:r>
        <w:rPr>
          <w:w w:val="99"/>
        </w:rPr>
        <w:t>annual</w:t>
      </w:r>
      <w:r>
        <w:rPr/>
        <w:t> </w:t>
      </w:r>
      <w:r>
        <w:rPr>
          <w:w w:val="99"/>
        </w:rPr>
        <w:t>revenue</w:t>
      </w:r>
      <w:r>
        <w:rPr/>
        <w:t> </w:t>
      </w:r>
      <w:r>
        <w:rPr>
          <w:w w:val="99"/>
        </w:rPr>
        <w:t>of</w:t>
      </w:r>
      <w:r>
        <w:rPr/>
        <w:t> </w:t>
      </w:r>
      <w:r>
        <w:rPr>
          <w:w w:val="99"/>
        </w:rPr>
        <w:t>50,000</w:t>
      </w:r>
      <w:r>
        <w:rPr/>
        <w:t> </w:t>
      </w:r>
      <w:r>
        <w:rPr>
          <w:w w:val="99"/>
        </w:rPr>
        <w:t>settled </w:t>
      </w:r>
      <w:r>
        <w:rPr>
          <w:w w:val="99"/>
        </w:rPr>
        <w:t>on</w:t>
      </w:r>
      <w:r>
        <w:rPr/>
        <w:t> </w:t>
      </w:r>
      <w:r>
        <w:rPr>
          <w:w w:val="99"/>
        </w:rPr>
        <w:t>it</w:t>
      </w:r>
      <w:r>
        <w:rPr/>
        <w:t> </w:t>
      </w:r>
      <w:r>
        <w:rPr>
          <w:w w:val="99"/>
        </w:rPr>
        <w:t>b</w:t>
      </w:r>
      <w:r>
        <w:rPr>
          <w:w w:val="99"/>
        </w:rPr>
        <w:t>y</w:t>
      </w:r>
      <w:r>
        <w:rPr/>
        <w:t> </w:t>
      </w:r>
      <w:r>
        <w:rPr>
          <w:w w:val="99"/>
        </w:rPr>
        <w:t>S</w:t>
      </w:r>
      <w:r>
        <w:rPr>
          <w:w w:val="99"/>
        </w:rPr>
        <w:t>hu</w:t>
      </w:r>
      <w:r>
        <w:rPr>
          <w:w w:val="99"/>
        </w:rPr>
        <w:t>ja</w:t>
      </w:r>
      <w:r>
        <w:rPr>
          <w:w w:val="99"/>
        </w:rPr>
        <w:t>-</w:t>
      </w:r>
      <w:r>
        <w:rPr>
          <w:w w:val="99"/>
        </w:rPr>
        <w:t>ud</w:t>
      </w:r>
      <w:r>
        <w:rPr>
          <w:w w:val="99"/>
        </w:rPr>
        <w:t>-daulah,</w:t>
      </w:r>
      <w:r>
        <w:rPr/>
        <w:t> </w:t>
      </w:r>
      <w:r>
        <w:rPr>
          <w:w w:val="33"/>
        </w:rPr>
        <w:t>―</w:t>
      </w:r>
      <w:r>
        <w:rPr>
          <w:w w:val="99"/>
        </w:rPr>
        <w:t>formerly</w:t>
      </w:r>
      <w:r>
        <w:rPr/>
        <w:t> </w:t>
      </w:r>
      <w:r>
        <w:rPr>
          <w:w w:val="99"/>
        </w:rPr>
        <w:t>Nawaub</w:t>
      </w:r>
      <w:r>
        <w:rPr/>
        <w:t> </w:t>
      </w:r>
      <w:r>
        <w:rPr>
          <w:w w:val="99"/>
        </w:rPr>
        <w:t>Vizier</w:t>
      </w:r>
      <w:r>
        <w:rPr>
          <w:w w:val="80"/>
        </w:rPr>
        <w:t>‖</w:t>
      </w:r>
      <w:r>
        <w:rPr>
          <w:w w:val="99"/>
        </w:rPr>
        <w:t>.</w:t>
      </w:r>
      <w:r>
        <w:rPr/>
        <w:t> </w:t>
      </w:r>
      <w:r>
        <w:rPr>
          <w:w w:val="99"/>
        </w:rPr>
        <w:t>The</w:t>
      </w:r>
      <w:r>
        <w:rPr/>
        <w:t> </w:t>
      </w:r>
      <w:r>
        <w:rPr>
          <w:w w:val="99"/>
        </w:rPr>
        <w:t>revenues</w:t>
      </w:r>
      <w:r>
        <w:rPr/>
        <w:t> </w:t>
      </w:r>
      <w:r>
        <w:rPr>
          <w:w w:val="99"/>
        </w:rPr>
        <w:t>are</w:t>
      </w:r>
      <w:r>
        <w:rPr/>
        <w:t> </w:t>
      </w:r>
      <w:r>
        <w:rPr>
          <w:w w:val="99"/>
        </w:rPr>
        <w:t>stated</w:t>
      </w:r>
      <w:r>
        <w:rPr/>
        <w:t> </w:t>
      </w:r>
      <w:r>
        <w:rPr>
          <w:w w:val="99"/>
        </w:rPr>
        <w:t>to </w:t>
      </w:r>
      <w:r>
        <w:rPr/>
        <w:t>be dispensed to about 500 bairagis or religious ascetics and other Hindu </w:t>
      </w:r>
      <w:r>
        <w:rPr>
          <w:w w:val="99"/>
        </w:rPr>
        <w:t>mendicants</w:t>
      </w:r>
      <w:r>
        <w:rPr/>
        <w:t> </w:t>
      </w:r>
      <w:r>
        <w:rPr>
          <w:w w:val="99"/>
        </w:rPr>
        <w:t>of</w:t>
      </w:r>
      <w:r>
        <w:rPr/>
        <w:t> </w:t>
      </w:r>
      <w:r>
        <w:rPr>
          <w:w w:val="99"/>
        </w:rPr>
        <w:t>various</w:t>
      </w:r>
      <w:r>
        <w:rPr/>
        <w:t> </w:t>
      </w:r>
      <w:r>
        <w:rPr>
          <w:w w:val="99"/>
        </w:rPr>
        <w:t>descriptions</w:t>
      </w:r>
      <w:r>
        <w:rPr/>
        <w:t> </w:t>
      </w:r>
      <w:r>
        <w:rPr>
          <w:w w:val="33"/>
        </w:rPr>
        <w:t>―</w:t>
      </w:r>
      <w:r>
        <w:rPr>
          <w:w w:val="99"/>
        </w:rPr>
        <w:t>no</w:t>
      </w:r>
      <w:r>
        <w:rPr/>
        <w:t> </w:t>
      </w:r>
      <w:r>
        <w:rPr>
          <w:w w:val="99"/>
        </w:rPr>
        <w:t>Mussulman</w:t>
      </w:r>
      <w:r>
        <w:rPr/>
        <w:t> </w:t>
      </w:r>
      <w:r>
        <w:rPr>
          <w:w w:val="99"/>
        </w:rPr>
        <w:t>being</w:t>
      </w:r>
      <w:r>
        <w:rPr/>
        <w:t> </w:t>
      </w:r>
      <w:r>
        <w:rPr>
          <w:w w:val="99"/>
        </w:rPr>
        <w:t>allowed</w:t>
      </w:r>
      <w:r>
        <w:rPr/>
        <w:t> </w:t>
      </w:r>
      <w:r>
        <w:rPr>
          <w:w w:val="99"/>
        </w:rPr>
        <w:t>with</w:t>
      </w:r>
      <w:r>
        <w:rPr/>
        <w:t> </w:t>
      </w:r>
      <w:r>
        <w:rPr>
          <w:w w:val="99"/>
        </w:rPr>
        <w:t>the</w:t>
      </w:r>
      <w:r>
        <w:rPr/>
        <w:t> </w:t>
      </w:r>
      <w:r>
        <w:rPr>
          <w:w w:val="99"/>
        </w:rPr>
        <w:t>wall</w:t>
      </w:r>
      <w:r>
        <w:rPr>
          <w:w w:val="91"/>
        </w:rPr>
        <w:t>s‖</w:t>
      </w:r>
      <w:r>
        <w:rPr>
          <w:w w:val="99"/>
        </w:rPr>
        <w:t>. </w:t>
      </w:r>
      <w:r>
        <w:rPr>
          <w:b/>
          <w:w w:val="99"/>
        </w:rPr>
        <w:t>Thornton‘s</w:t>
      </w:r>
      <w:r>
        <w:rPr>
          <w:b/>
        </w:rPr>
        <w:t> </w:t>
      </w:r>
      <w:r>
        <w:rPr>
          <w:b/>
          <w:w w:val="99"/>
        </w:rPr>
        <w:t>Gazetteer</w:t>
      </w:r>
      <w:r>
        <w:rPr>
          <w:b/>
        </w:rPr>
        <w:t> </w:t>
      </w:r>
      <w:r>
        <w:rPr>
          <w:w w:val="99"/>
        </w:rPr>
        <w:t>als</w:t>
      </w:r>
      <w:r>
        <w:rPr>
          <w:w w:val="99"/>
        </w:rPr>
        <w:t>o</w:t>
      </w:r>
      <w:r>
        <w:rPr/>
        <w:t> </w:t>
      </w:r>
      <w:r>
        <w:rPr>
          <w:w w:val="99"/>
        </w:rPr>
        <w:t>refers</w:t>
      </w:r>
      <w:r>
        <w:rPr/>
        <w:t> </w:t>
      </w:r>
      <w:r>
        <w:rPr>
          <w:w w:val="99"/>
        </w:rPr>
        <w:t>to</w:t>
      </w:r>
      <w:r>
        <w:rPr/>
        <w:t> </w:t>
      </w:r>
      <w:r>
        <w:rPr>
          <w:w w:val="33"/>
        </w:rPr>
        <w:t>―</w:t>
      </w:r>
      <w:r>
        <w:rPr>
          <w:w w:val="99"/>
        </w:rPr>
        <w:t>extensive</w:t>
      </w:r>
      <w:r>
        <w:rPr/>
        <w:t> </w:t>
      </w:r>
      <w:r>
        <w:rPr>
          <w:w w:val="99"/>
        </w:rPr>
        <w:t>ruins,</w:t>
      </w:r>
      <w:r>
        <w:rPr/>
        <w:t> </w:t>
      </w:r>
      <w:r>
        <w:rPr>
          <w:w w:val="99"/>
        </w:rPr>
        <w:t>said</w:t>
      </w:r>
      <w:r>
        <w:rPr/>
        <w:t> </w:t>
      </w:r>
      <w:r>
        <w:rPr>
          <w:w w:val="99"/>
        </w:rPr>
        <w:t>to</w:t>
      </w:r>
      <w:r>
        <w:rPr/>
        <w:t> </w:t>
      </w:r>
      <w:r>
        <w:rPr>
          <w:w w:val="99"/>
        </w:rPr>
        <w:t>be</w:t>
      </w:r>
      <w:r>
        <w:rPr/>
        <w:t> </w:t>
      </w:r>
      <w:r>
        <w:rPr>
          <w:w w:val="99"/>
        </w:rPr>
        <w:t>those</w:t>
      </w:r>
      <w:r>
        <w:rPr/>
        <w:t> </w:t>
      </w:r>
      <w:r>
        <w:rPr>
          <w:w w:val="99"/>
        </w:rPr>
        <w:t>of</w:t>
      </w:r>
      <w:r>
        <w:rPr/>
        <w:t> </w:t>
      </w:r>
      <w:r>
        <w:rPr>
          <w:w w:val="99"/>
        </w:rPr>
        <w:t>the</w:t>
      </w:r>
      <w:r>
        <w:rPr/>
        <w:t> </w:t>
      </w:r>
      <w:r>
        <w:rPr>
          <w:w w:val="99"/>
        </w:rPr>
        <w:t>fort </w:t>
      </w:r>
      <w:r>
        <w:rPr/>
        <w:t>of Rama‖:</w:t>
      </w:r>
    </w:p>
    <w:p>
      <w:pPr>
        <w:spacing w:line="276" w:lineRule="auto" w:before="0"/>
        <w:ind w:left="1940" w:right="2260" w:firstLine="0"/>
        <w:jc w:val="both"/>
        <w:rPr>
          <w:sz w:val="21"/>
        </w:rPr>
      </w:pPr>
      <w:r>
        <w:rPr>
          <w:spacing w:val="-1"/>
          <w:w w:val="33"/>
          <w:sz w:val="21"/>
        </w:rPr>
        <w:t>―</w:t>
      </w:r>
      <w:r>
        <w:rPr>
          <w:w w:val="100"/>
          <w:sz w:val="21"/>
        </w:rPr>
        <w:t>C</w:t>
      </w:r>
      <w:r>
        <w:rPr>
          <w:spacing w:val="-2"/>
          <w:w w:val="100"/>
          <w:sz w:val="21"/>
        </w:rPr>
        <w:t>l</w:t>
      </w:r>
      <w:r>
        <w:rPr>
          <w:spacing w:val="-1"/>
          <w:w w:val="100"/>
          <w:sz w:val="21"/>
        </w:rPr>
        <w:t>os</w:t>
      </w:r>
      <w:r>
        <w:rPr>
          <w:w w:val="100"/>
          <w:sz w:val="21"/>
        </w:rPr>
        <w:t>e</w:t>
      </w:r>
      <w:r>
        <w:rPr>
          <w:spacing w:val="23"/>
          <w:sz w:val="21"/>
        </w:rPr>
        <w:t> </w:t>
      </w:r>
      <w:r>
        <w:rPr>
          <w:spacing w:val="-2"/>
          <w:w w:val="100"/>
          <w:sz w:val="21"/>
        </w:rPr>
        <w:t>t</w:t>
      </w:r>
      <w:r>
        <w:rPr>
          <w:w w:val="100"/>
          <w:sz w:val="21"/>
        </w:rPr>
        <w:t>o</w:t>
      </w:r>
      <w:r>
        <w:rPr>
          <w:spacing w:val="20"/>
          <w:sz w:val="21"/>
        </w:rPr>
        <w:t> </w:t>
      </w:r>
      <w:r>
        <w:rPr>
          <w:spacing w:val="-2"/>
          <w:w w:val="100"/>
          <w:sz w:val="21"/>
        </w:rPr>
        <w:t>t</w:t>
      </w:r>
      <w:r>
        <w:rPr>
          <w:spacing w:val="-1"/>
          <w:w w:val="100"/>
          <w:sz w:val="21"/>
        </w:rPr>
        <w:t>h</w:t>
      </w:r>
      <w:r>
        <w:rPr>
          <w:w w:val="100"/>
          <w:sz w:val="21"/>
        </w:rPr>
        <w:t>e</w:t>
      </w:r>
      <w:r>
        <w:rPr>
          <w:spacing w:val="23"/>
          <w:sz w:val="21"/>
        </w:rPr>
        <w:t> </w:t>
      </w:r>
      <w:r>
        <w:rPr>
          <w:spacing w:val="-2"/>
          <w:w w:val="100"/>
          <w:sz w:val="21"/>
        </w:rPr>
        <w:t>t</w:t>
      </w:r>
      <w:r>
        <w:rPr>
          <w:spacing w:val="-1"/>
          <w:w w:val="100"/>
          <w:sz w:val="21"/>
        </w:rPr>
        <w:t>o</w:t>
      </w:r>
      <w:r>
        <w:rPr>
          <w:spacing w:val="-2"/>
          <w:w w:val="100"/>
          <w:sz w:val="21"/>
        </w:rPr>
        <w:t>w</w:t>
      </w:r>
      <w:r>
        <w:rPr>
          <w:w w:val="100"/>
          <w:sz w:val="21"/>
        </w:rPr>
        <w:t>n</w:t>
      </w:r>
      <w:r>
        <w:rPr>
          <w:spacing w:val="20"/>
          <w:sz w:val="21"/>
        </w:rPr>
        <w:t> </w:t>
      </w:r>
      <w:r>
        <w:rPr>
          <w:spacing w:val="-1"/>
          <w:w w:val="100"/>
          <w:sz w:val="21"/>
        </w:rPr>
        <w:t>o</w:t>
      </w:r>
      <w:r>
        <w:rPr>
          <w:w w:val="100"/>
          <w:sz w:val="21"/>
        </w:rPr>
        <w:t>n</w:t>
      </w:r>
      <w:r>
        <w:rPr>
          <w:spacing w:val="23"/>
          <w:sz w:val="21"/>
        </w:rPr>
        <w:t> </w:t>
      </w:r>
      <w:r>
        <w:rPr>
          <w:spacing w:val="-2"/>
          <w:w w:val="100"/>
          <w:sz w:val="21"/>
        </w:rPr>
        <w:t>t</w:t>
      </w:r>
      <w:r>
        <w:rPr>
          <w:spacing w:val="-3"/>
          <w:w w:val="100"/>
          <w:sz w:val="21"/>
        </w:rPr>
        <w:t>h</w:t>
      </w:r>
      <w:r>
        <w:rPr>
          <w:w w:val="100"/>
          <w:sz w:val="21"/>
        </w:rPr>
        <w:t>e</w:t>
      </w:r>
      <w:r>
        <w:rPr>
          <w:spacing w:val="20"/>
          <w:sz w:val="21"/>
        </w:rPr>
        <w:t> </w:t>
      </w:r>
      <w:r>
        <w:rPr>
          <w:spacing w:val="-1"/>
          <w:w w:val="100"/>
          <w:sz w:val="21"/>
        </w:rPr>
        <w:t>east</w:t>
      </w:r>
      <w:r>
        <w:rPr>
          <w:w w:val="100"/>
          <w:sz w:val="21"/>
        </w:rPr>
        <w:t>,</w:t>
      </w:r>
      <w:r>
        <w:rPr>
          <w:spacing w:val="21"/>
          <w:sz w:val="21"/>
        </w:rPr>
        <w:t> </w:t>
      </w:r>
      <w:r>
        <w:rPr>
          <w:spacing w:val="-1"/>
          <w:w w:val="100"/>
          <w:sz w:val="21"/>
        </w:rPr>
        <w:t>a</w:t>
      </w:r>
      <w:r>
        <w:rPr>
          <w:spacing w:val="-3"/>
          <w:w w:val="100"/>
          <w:sz w:val="21"/>
        </w:rPr>
        <w:t>n</w:t>
      </w:r>
      <w:r>
        <w:rPr>
          <w:w w:val="100"/>
          <w:sz w:val="21"/>
        </w:rPr>
        <w:t>d</w:t>
      </w:r>
      <w:r>
        <w:rPr>
          <w:spacing w:val="23"/>
          <w:sz w:val="21"/>
        </w:rPr>
        <w:t> </w:t>
      </w:r>
      <w:r>
        <w:rPr>
          <w:spacing w:val="-3"/>
          <w:w w:val="100"/>
          <w:sz w:val="21"/>
        </w:rPr>
        <w:t>o</w:t>
      </w:r>
      <w:r>
        <w:rPr>
          <w:w w:val="100"/>
          <w:sz w:val="21"/>
        </w:rPr>
        <w:t>n</w:t>
      </w:r>
      <w:r>
        <w:rPr>
          <w:spacing w:val="23"/>
          <w:sz w:val="21"/>
        </w:rPr>
        <w:t> </w:t>
      </w:r>
      <w:r>
        <w:rPr>
          <w:spacing w:val="-2"/>
          <w:w w:val="100"/>
          <w:sz w:val="21"/>
        </w:rPr>
        <w:t>t</w:t>
      </w:r>
      <w:r>
        <w:rPr>
          <w:spacing w:val="-1"/>
          <w:w w:val="100"/>
          <w:sz w:val="21"/>
        </w:rPr>
        <w:t>h</w:t>
      </w:r>
      <w:r>
        <w:rPr>
          <w:w w:val="100"/>
          <w:sz w:val="21"/>
        </w:rPr>
        <w:t>e</w:t>
      </w:r>
      <w:r>
        <w:rPr>
          <w:spacing w:val="23"/>
          <w:sz w:val="21"/>
        </w:rPr>
        <w:t> </w:t>
      </w:r>
      <w:r>
        <w:rPr>
          <w:spacing w:val="-4"/>
          <w:w w:val="100"/>
          <w:sz w:val="21"/>
        </w:rPr>
        <w:t>r</w:t>
      </w:r>
      <w:r>
        <w:rPr>
          <w:w w:val="100"/>
          <w:sz w:val="21"/>
        </w:rPr>
        <w:t>i</w:t>
      </w:r>
      <w:r>
        <w:rPr>
          <w:spacing w:val="-1"/>
          <w:w w:val="100"/>
          <w:sz w:val="21"/>
        </w:rPr>
        <w:t>gh</w:t>
      </w:r>
      <w:r>
        <w:rPr>
          <w:w w:val="100"/>
          <w:sz w:val="21"/>
        </w:rPr>
        <w:t>t</w:t>
      </w:r>
      <w:r>
        <w:rPr>
          <w:spacing w:val="19"/>
          <w:sz w:val="21"/>
        </w:rPr>
        <w:t> </w:t>
      </w:r>
      <w:r>
        <w:rPr>
          <w:spacing w:val="-3"/>
          <w:w w:val="100"/>
          <w:sz w:val="21"/>
        </w:rPr>
        <w:t>b</w:t>
      </w:r>
      <w:r>
        <w:rPr>
          <w:spacing w:val="-1"/>
          <w:w w:val="100"/>
          <w:sz w:val="21"/>
        </w:rPr>
        <w:t>a</w:t>
      </w:r>
      <w:r>
        <w:rPr>
          <w:spacing w:val="-3"/>
          <w:w w:val="100"/>
          <w:sz w:val="21"/>
        </w:rPr>
        <w:t>n</w:t>
      </w:r>
      <w:r>
        <w:rPr>
          <w:w w:val="100"/>
          <w:sz w:val="21"/>
        </w:rPr>
        <w:t>k</w:t>
      </w:r>
      <w:r>
        <w:rPr>
          <w:spacing w:val="25"/>
          <w:sz w:val="21"/>
        </w:rPr>
        <w:t> </w:t>
      </w:r>
      <w:r>
        <w:rPr>
          <w:spacing w:val="-3"/>
          <w:w w:val="100"/>
          <w:sz w:val="21"/>
        </w:rPr>
        <w:t>o</w:t>
      </w:r>
      <w:r>
        <w:rPr>
          <w:w w:val="100"/>
          <w:sz w:val="21"/>
        </w:rPr>
        <w:t>f</w:t>
      </w:r>
      <w:r>
        <w:rPr>
          <w:spacing w:val="24"/>
          <w:sz w:val="21"/>
        </w:rPr>
        <w:t> </w:t>
      </w:r>
      <w:r>
        <w:rPr>
          <w:spacing w:val="-2"/>
          <w:w w:val="100"/>
          <w:sz w:val="21"/>
        </w:rPr>
        <w:t>t</w:t>
      </w:r>
      <w:r>
        <w:rPr>
          <w:spacing w:val="-3"/>
          <w:w w:val="100"/>
          <w:sz w:val="21"/>
        </w:rPr>
        <w:t>h</w:t>
      </w:r>
      <w:r>
        <w:rPr>
          <w:w w:val="100"/>
          <w:sz w:val="21"/>
        </w:rPr>
        <w:t>e </w:t>
      </w:r>
      <w:r>
        <w:rPr>
          <w:sz w:val="21"/>
        </w:rPr>
        <w:t>Ghogra, are extensive ruins, said to be those of the fort of Rama, king of Oude, hero of the Ramayana, and otherwise highly celebrated in the mythological and romantic legends of </w:t>
      </w:r>
      <w:r>
        <w:rPr>
          <w:spacing w:val="-2"/>
          <w:w w:val="100"/>
          <w:sz w:val="21"/>
        </w:rPr>
        <w:t>I</w:t>
      </w:r>
      <w:r>
        <w:rPr>
          <w:spacing w:val="-1"/>
          <w:w w:val="100"/>
          <w:sz w:val="21"/>
        </w:rPr>
        <w:t>nd</w:t>
      </w:r>
      <w:r>
        <w:rPr>
          <w:spacing w:val="1"/>
          <w:w w:val="100"/>
          <w:sz w:val="21"/>
        </w:rPr>
        <w:t>i</w:t>
      </w:r>
      <w:r>
        <w:rPr>
          <w:spacing w:val="-1"/>
          <w:w w:val="100"/>
          <w:sz w:val="21"/>
        </w:rPr>
        <w:t>a</w:t>
      </w:r>
      <w:r>
        <w:rPr>
          <w:w w:val="100"/>
          <w:sz w:val="21"/>
        </w:rPr>
        <w:t>.</w:t>
      </w:r>
      <w:r>
        <w:rPr>
          <w:spacing w:val="2"/>
          <w:sz w:val="21"/>
        </w:rPr>
        <w:t> </w:t>
      </w:r>
      <w:r>
        <w:rPr>
          <w:w w:val="100"/>
          <w:sz w:val="21"/>
        </w:rPr>
        <w:t>B</w:t>
      </w:r>
      <w:r>
        <w:rPr>
          <w:spacing w:val="-1"/>
          <w:w w:val="100"/>
          <w:sz w:val="21"/>
        </w:rPr>
        <w:t>uc</w:t>
      </w:r>
      <w:r>
        <w:rPr>
          <w:spacing w:val="-3"/>
          <w:w w:val="100"/>
          <w:sz w:val="21"/>
        </w:rPr>
        <w:t>h</w:t>
      </w:r>
      <w:r>
        <w:rPr>
          <w:spacing w:val="-1"/>
          <w:w w:val="100"/>
          <w:sz w:val="21"/>
        </w:rPr>
        <w:t>an</w:t>
      </w:r>
      <w:r>
        <w:rPr>
          <w:spacing w:val="-2"/>
          <w:w w:val="100"/>
          <w:sz w:val="21"/>
        </w:rPr>
        <w:t>a</w:t>
      </w:r>
      <w:r>
        <w:rPr>
          <w:w w:val="100"/>
          <w:sz w:val="21"/>
        </w:rPr>
        <w:t>n</w:t>
      </w:r>
      <w:r>
        <w:rPr>
          <w:spacing w:val="6"/>
          <w:sz w:val="21"/>
        </w:rPr>
        <w:t> </w:t>
      </w:r>
      <w:r>
        <w:rPr>
          <w:spacing w:val="-3"/>
          <w:w w:val="100"/>
          <w:sz w:val="21"/>
        </w:rPr>
        <w:t>o</w:t>
      </w:r>
      <w:r>
        <w:rPr>
          <w:spacing w:val="-1"/>
          <w:w w:val="100"/>
          <w:sz w:val="21"/>
        </w:rPr>
        <w:t>bser</w:t>
      </w:r>
      <w:r>
        <w:rPr>
          <w:spacing w:val="-3"/>
          <w:w w:val="100"/>
          <w:sz w:val="21"/>
        </w:rPr>
        <w:t>v</w:t>
      </w:r>
      <w:r>
        <w:rPr>
          <w:spacing w:val="-1"/>
          <w:w w:val="100"/>
          <w:sz w:val="21"/>
        </w:rPr>
        <w:t>e</w:t>
      </w:r>
      <w:r>
        <w:rPr>
          <w:spacing w:val="-3"/>
          <w:w w:val="100"/>
          <w:sz w:val="21"/>
        </w:rPr>
        <w:t>s</w:t>
      </w:r>
      <w:r>
        <w:rPr>
          <w:w w:val="100"/>
          <w:sz w:val="21"/>
        </w:rPr>
        <w:t>,</w:t>
      </w:r>
      <w:r>
        <w:rPr>
          <w:spacing w:val="5"/>
          <w:sz w:val="21"/>
        </w:rPr>
        <w:t> </w:t>
      </w:r>
      <w:r>
        <w:rPr>
          <w:spacing w:val="-1"/>
          <w:w w:val="33"/>
          <w:sz w:val="21"/>
        </w:rPr>
        <w:t>―</w:t>
      </w:r>
      <w:r>
        <w:rPr>
          <w:spacing w:val="-2"/>
          <w:w w:val="100"/>
          <w:sz w:val="21"/>
        </w:rPr>
        <w:t>t</w:t>
      </w:r>
      <w:r>
        <w:rPr>
          <w:spacing w:val="-1"/>
          <w:w w:val="100"/>
          <w:sz w:val="21"/>
        </w:rPr>
        <w:t>ha</w:t>
      </w:r>
      <w:r>
        <w:rPr>
          <w:w w:val="100"/>
          <w:sz w:val="21"/>
        </w:rPr>
        <w:t>t</w:t>
      </w:r>
      <w:r>
        <w:rPr>
          <w:spacing w:val="5"/>
          <w:sz w:val="21"/>
        </w:rPr>
        <w:t> </w:t>
      </w:r>
      <w:r>
        <w:rPr>
          <w:spacing w:val="-2"/>
          <w:w w:val="100"/>
          <w:sz w:val="21"/>
        </w:rPr>
        <w:t>t</w:t>
      </w:r>
      <w:r>
        <w:rPr>
          <w:spacing w:val="-1"/>
          <w:w w:val="100"/>
          <w:sz w:val="21"/>
        </w:rPr>
        <w:t>h</w:t>
      </w:r>
      <w:r>
        <w:rPr>
          <w:w w:val="100"/>
          <w:sz w:val="21"/>
        </w:rPr>
        <w:t>e</w:t>
      </w:r>
      <w:r>
        <w:rPr>
          <w:spacing w:val="6"/>
          <w:sz w:val="21"/>
        </w:rPr>
        <w:t> </w:t>
      </w:r>
      <w:r>
        <w:rPr>
          <w:spacing w:val="-1"/>
          <w:w w:val="100"/>
          <w:sz w:val="21"/>
        </w:rPr>
        <w:t>hea</w:t>
      </w:r>
      <w:r>
        <w:rPr>
          <w:spacing w:val="-2"/>
          <w:w w:val="100"/>
          <w:sz w:val="21"/>
        </w:rPr>
        <w:t>p</w:t>
      </w:r>
      <w:r>
        <w:rPr>
          <w:w w:val="100"/>
          <w:sz w:val="21"/>
        </w:rPr>
        <w:t>s</w:t>
      </w:r>
      <w:r>
        <w:rPr>
          <w:spacing w:val="6"/>
          <w:sz w:val="21"/>
        </w:rPr>
        <w:t> </w:t>
      </w:r>
      <w:r>
        <w:rPr>
          <w:spacing w:val="-3"/>
          <w:w w:val="100"/>
          <w:sz w:val="21"/>
        </w:rPr>
        <w:t>o</w:t>
      </w:r>
      <w:r>
        <w:rPr>
          <w:w w:val="100"/>
          <w:sz w:val="21"/>
        </w:rPr>
        <w:t>f</w:t>
      </w:r>
      <w:r>
        <w:rPr>
          <w:spacing w:val="7"/>
          <w:sz w:val="21"/>
        </w:rPr>
        <w:t> </w:t>
      </w:r>
      <w:r>
        <w:rPr>
          <w:spacing w:val="-1"/>
          <w:w w:val="100"/>
          <w:sz w:val="21"/>
        </w:rPr>
        <w:t>br</w:t>
      </w:r>
      <w:r>
        <w:rPr>
          <w:spacing w:val="-2"/>
          <w:w w:val="100"/>
          <w:sz w:val="21"/>
        </w:rPr>
        <w:t>i</w:t>
      </w:r>
      <w:r>
        <w:rPr>
          <w:spacing w:val="-3"/>
          <w:w w:val="100"/>
          <w:sz w:val="21"/>
        </w:rPr>
        <w:t>c</w:t>
      </w:r>
      <w:r>
        <w:rPr>
          <w:spacing w:val="2"/>
          <w:w w:val="100"/>
          <w:sz w:val="21"/>
        </w:rPr>
        <w:t>k</w:t>
      </w:r>
      <w:r>
        <w:rPr>
          <w:w w:val="100"/>
          <w:sz w:val="21"/>
        </w:rPr>
        <w:t>s,</w:t>
      </w:r>
      <w:r>
        <w:rPr>
          <w:spacing w:val="2"/>
          <w:sz w:val="21"/>
        </w:rPr>
        <w:t> </w:t>
      </w:r>
      <w:r>
        <w:rPr>
          <w:spacing w:val="-1"/>
          <w:w w:val="100"/>
          <w:sz w:val="21"/>
        </w:rPr>
        <w:t>a</w:t>
      </w:r>
      <w:r>
        <w:rPr>
          <w:spacing w:val="1"/>
          <w:w w:val="100"/>
          <w:sz w:val="21"/>
        </w:rPr>
        <w:t>l</w:t>
      </w:r>
      <w:r>
        <w:rPr>
          <w:spacing w:val="-2"/>
          <w:w w:val="100"/>
          <w:sz w:val="21"/>
        </w:rPr>
        <w:t>t</w:t>
      </w:r>
      <w:r>
        <w:rPr>
          <w:spacing w:val="-1"/>
          <w:w w:val="100"/>
          <w:sz w:val="21"/>
        </w:rPr>
        <w:t>h</w:t>
      </w:r>
      <w:r>
        <w:rPr>
          <w:spacing w:val="-3"/>
          <w:w w:val="100"/>
          <w:sz w:val="21"/>
        </w:rPr>
        <w:t>o</w:t>
      </w:r>
      <w:r>
        <w:rPr>
          <w:spacing w:val="-1"/>
          <w:w w:val="100"/>
          <w:sz w:val="21"/>
        </w:rPr>
        <w:t>ugh </w:t>
      </w:r>
      <w:r>
        <w:rPr>
          <w:sz w:val="21"/>
        </w:rPr>
        <w:t>much seems to have been carried away by the river, extend a great way: that is more than a mile in length, and more than half a mile in width; and that, although vast quantities of materials have been removed to build the Mahomedan Ayodhya or Fyzabad, yet the ruins in many parts retain a very considerable elevation nor is there any reason to doubt that the structure to which they belonged has been very great, when we consider that it has been ruined for above 2,000 </w:t>
      </w:r>
      <w:r>
        <w:rPr>
          <w:spacing w:val="-3"/>
          <w:w w:val="100"/>
          <w:sz w:val="21"/>
        </w:rPr>
        <w:t>y</w:t>
      </w:r>
      <w:r>
        <w:rPr>
          <w:spacing w:val="-1"/>
          <w:w w:val="100"/>
          <w:sz w:val="21"/>
        </w:rPr>
        <w:t>ears</w:t>
      </w:r>
      <w:r>
        <w:rPr>
          <w:w w:val="100"/>
          <w:sz w:val="21"/>
        </w:rPr>
        <w:t>.</w:t>
      </w:r>
      <w:r>
        <w:rPr>
          <w:spacing w:val="28"/>
          <w:sz w:val="21"/>
        </w:rPr>
        <w:t> </w:t>
      </w:r>
      <w:r>
        <w:rPr>
          <w:spacing w:val="-1"/>
          <w:w w:val="33"/>
          <w:sz w:val="21"/>
        </w:rPr>
        <w:t>―</w:t>
      </w:r>
      <w:r>
        <w:rPr>
          <w:w w:val="100"/>
          <w:sz w:val="21"/>
        </w:rPr>
        <w:t>The</w:t>
      </w:r>
      <w:r>
        <w:rPr>
          <w:sz w:val="21"/>
        </w:rPr>
        <w:t> </w:t>
      </w:r>
      <w:r>
        <w:rPr>
          <w:spacing w:val="-29"/>
          <w:sz w:val="21"/>
        </w:rPr>
        <w:t> </w:t>
      </w:r>
      <w:r>
        <w:rPr>
          <w:spacing w:val="-1"/>
          <w:w w:val="100"/>
          <w:sz w:val="21"/>
        </w:rPr>
        <w:t>r</w:t>
      </w:r>
      <w:r>
        <w:rPr>
          <w:spacing w:val="-3"/>
          <w:w w:val="100"/>
          <w:sz w:val="21"/>
        </w:rPr>
        <w:t>u</w:t>
      </w:r>
      <w:r>
        <w:rPr>
          <w:w w:val="100"/>
          <w:sz w:val="21"/>
        </w:rPr>
        <w:t>i</w:t>
      </w:r>
      <w:r>
        <w:rPr>
          <w:spacing w:val="-1"/>
          <w:w w:val="100"/>
          <w:sz w:val="21"/>
        </w:rPr>
        <w:t>n</w:t>
      </w:r>
      <w:r>
        <w:rPr>
          <w:w w:val="100"/>
          <w:sz w:val="21"/>
        </w:rPr>
        <w:t>s</w:t>
      </w:r>
      <w:r>
        <w:rPr>
          <w:spacing w:val="27"/>
          <w:sz w:val="21"/>
        </w:rPr>
        <w:t> </w:t>
      </w:r>
      <w:r>
        <w:rPr>
          <w:w w:val="100"/>
          <w:sz w:val="21"/>
        </w:rPr>
        <w:t>s</w:t>
      </w:r>
      <w:r>
        <w:rPr>
          <w:spacing w:val="-2"/>
          <w:w w:val="100"/>
          <w:sz w:val="21"/>
        </w:rPr>
        <w:t>t</w:t>
      </w:r>
      <w:r>
        <w:rPr>
          <w:w w:val="100"/>
          <w:sz w:val="21"/>
        </w:rPr>
        <w:t>i</w:t>
      </w:r>
      <w:r>
        <w:rPr>
          <w:spacing w:val="-2"/>
          <w:w w:val="100"/>
          <w:sz w:val="21"/>
        </w:rPr>
        <w:t>l</w:t>
      </w:r>
      <w:r>
        <w:rPr>
          <w:w w:val="100"/>
          <w:sz w:val="21"/>
        </w:rPr>
        <w:t>l</w:t>
      </w:r>
      <w:r>
        <w:rPr>
          <w:sz w:val="21"/>
        </w:rPr>
        <w:t> </w:t>
      </w:r>
      <w:r>
        <w:rPr>
          <w:spacing w:val="-28"/>
          <w:sz w:val="21"/>
        </w:rPr>
        <w:t> </w:t>
      </w:r>
      <w:r>
        <w:rPr>
          <w:spacing w:val="-3"/>
          <w:w w:val="100"/>
          <w:sz w:val="21"/>
        </w:rPr>
        <w:t>be</w:t>
      </w:r>
      <w:r>
        <w:rPr>
          <w:spacing w:val="-1"/>
          <w:w w:val="100"/>
          <w:sz w:val="21"/>
        </w:rPr>
        <w:t>a</w:t>
      </w:r>
      <w:r>
        <w:rPr>
          <w:w w:val="100"/>
          <w:sz w:val="21"/>
        </w:rPr>
        <w:t>r</w:t>
      </w:r>
      <w:r>
        <w:rPr>
          <w:sz w:val="21"/>
        </w:rPr>
        <w:t> </w:t>
      </w:r>
      <w:r>
        <w:rPr>
          <w:spacing w:val="-29"/>
          <w:sz w:val="21"/>
        </w:rPr>
        <w:t> </w:t>
      </w:r>
      <w:r>
        <w:rPr>
          <w:spacing w:val="-2"/>
          <w:w w:val="100"/>
          <w:sz w:val="21"/>
        </w:rPr>
        <w:t>t</w:t>
      </w:r>
      <w:r>
        <w:rPr>
          <w:spacing w:val="-1"/>
          <w:w w:val="100"/>
          <w:sz w:val="21"/>
        </w:rPr>
        <w:t>h</w:t>
      </w:r>
      <w:r>
        <w:rPr>
          <w:w w:val="100"/>
          <w:sz w:val="21"/>
        </w:rPr>
        <w:t>e</w:t>
      </w:r>
      <w:r>
        <w:rPr>
          <w:sz w:val="21"/>
        </w:rPr>
        <w:t> </w:t>
      </w:r>
      <w:r>
        <w:rPr>
          <w:spacing w:val="-28"/>
          <w:sz w:val="21"/>
        </w:rPr>
        <w:t> </w:t>
      </w:r>
      <w:r>
        <w:rPr>
          <w:spacing w:val="-1"/>
          <w:w w:val="100"/>
          <w:sz w:val="21"/>
        </w:rPr>
        <w:t>n</w:t>
      </w:r>
      <w:r>
        <w:rPr>
          <w:spacing w:val="-3"/>
          <w:w w:val="100"/>
          <w:sz w:val="21"/>
        </w:rPr>
        <w:t>a</w:t>
      </w:r>
      <w:r>
        <w:rPr>
          <w:spacing w:val="-1"/>
          <w:w w:val="100"/>
          <w:sz w:val="21"/>
        </w:rPr>
        <w:t>m</w:t>
      </w:r>
      <w:r>
        <w:rPr>
          <w:w w:val="100"/>
          <w:sz w:val="21"/>
        </w:rPr>
        <w:t>e</w:t>
      </w:r>
      <w:r>
        <w:rPr>
          <w:sz w:val="21"/>
        </w:rPr>
        <w:t> </w:t>
      </w:r>
      <w:r>
        <w:rPr>
          <w:spacing w:val="-29"/>
          <w:sz w:val="21"/>
        </w:rPr>
        <w:t> </w:t>
      </w:r>
      <w:r>
        <w:rPr>
          <w:spacing w:val="-3"/>
          <w:w w:val="100"/>
          <w:sz w:val="21"/>
        </w:rPr>
        <w:t>o</w:t>
      </w:r>
      <w:r>
        <w:rPr>
          <w:w w:val="100"/>
          <w:sz w:val="21"/>
        </w:rPr>
        <w:t>f</w:t>
      </w:r>
      <w:r>
        <w:rPr>
          <w:spacing w:val="28"/>
          <w:sz w:val="21"/>
        </w:rPr>
        <w:t> </w:t>
      </w:r>
      <w:r>
        <w:rPr>
          <w:w w:val="100"/>
          <w:sz w:val="21"/>
        </w:rPr>
        <w:t>R</w:t>
      </w:r>
      <w:r>
        <w:rPr>
          <w:spacing w:val="-3"/>
          <w:w w:val="100"/>
          <w:sz w:val="21"/>
        </w:rPr>
        <w:t>a</w:t>
      </w:r>
      <w:r>
        <w:rPr>
          <w:spacing w:val="-1"/>
          <w:w w:val="100"/>
          <w:sz w:val="21"/>
        </w:rPr>
        <w:t>mgur</w:t>
      </w:r>
      <w:r>
        <w:rPr>
          <w:w w:val="100"/>
          <w:sz w:val="21"/>
        </w:rPr>
        <w:t>,</w:t>
      </w:r>
      <w:r>
        <w:rPr>
          <w:spacing w:val="28"/>
          <w:sz w:val="21"/>
        </w:rPr>
        <w:t> </w:t>
      </w:r>
      <w:r>
        <w:rPr>
          <w:spacing w:val="-1"/>
          <w:w w:val="100"/>
          <w:sz w:val="21"/>
        </w:rPr>
        <w:t>o</w:t>
      </w:r>
      <w:r>
        <w:rPr>
          <w:w w:val="100"/>
          <w:sz w:val="21"/>
        </w:rPr>
        <w:t>r</w:t>
      </w:r>
      <w:r>
        <w:rPr>
          <w:sz w:val="21"/>
        </w:rPr>
        <w:t> </w:t>
      </w:r>
      <w:r>
        <w:rPr>
          <w:spacing w:val="-29"/>
          <w:sz w:val="21"/>
        </w:rPr>
        <w:t> </w:t>
      </w:r>
      <w:r>
        <w:rPr>
          <w:spacing w:val="-1"/>
          <w:w w:val="33"/>
          <w:sz w:val="21"/>
        </w:rPr>
        <w:t>―</w:t>
      </w:r>
      <w:r>
        <w:rPr>
          <w:w w:val="100"/>
          <w:sz w:val="21"/>
        </w:rPr>
        <w:t>Fo</w:t>
      </w:r>
      <w:r>
        <w:rPr>
          <w:spacing w:val="-1"/>
          <w:w w:val="100"/>
          <w:sz w:val="21"/>
        </w:rPr>
        <w:t>r</w:t>
      </w:r>
      <w:r>
        <w:rPr>
          <w:w w:val="100"/>
          <w:sz w:val="21"/>
        </w:rPr>
        <w:t>t</w:t>
      </w:r>
      <w:r>
        <w:rPr>
          <w:spacing w:val="29"/>
          <w:sz w:val="21"/>
        </w:rPr>
        <w:t> </w:t>
      </w:r>
      <w:r>
        <w:rPr>
          <w:spacing w:val="-3"/>
          <w:w w:val="100"/>
          <w:sz w:val="21"/>
        </w:rPr>
        <w:t>o</w:t>
      </w:r>
      <w:r>
        <w:rPr>
          <w:w w:val="100"/>
          <w:sz w:val="21"/>
        </w:rPr>
        <w:t>f R</w:t>
      </w:r>
      <w:r>
        <w:rPr>
          <w:spacing w:val="-3"/>
          <w:w w:val="100"/>
          <w:sz w:val="21"/>
        </w:rPr>
        <w:t>a</w:t>
      </w:r>
      <w:r>
        <w:rPr>
          <w:spacing w:val="-1"/>
          <w:w w:val="100"/>
          <w:sz w:val="21"/>
        </w:rPr>
        <w:t>ma</w:t>
      </w:r>
      <w:r>
        <w:rPr>
          <w:w w:val="100"/>
          <w:sz w:val="21"/>
        </w:rPr>
        <w:t>;</w:t>
      </w:r>
      <w:r>
        <w:rPr>
          <w:spacing w:val="5"/>
          <w:sz w:val="21"/>
        </w:rPr>
        <w:t> </w:t>
      </w:r>
      <w:r>
        <w:rPr>
          <w:spacing w:val="-1"/>
          <w:w w:val="33"/>
          <w:sz w:val="21"/>
        </w:rPr>
        <w:t>―</w:t>
      </w:r>
      <w:r>
        <w:rPr>
          <w:spacing w:val="-2"/>
          <w:w w:val="100"/>
          <w:sz w:val="21"/>
        </w:rPr>
        <w:t>t</w:t>
      </w:r>
      <w:r>
        <w:rPr>
          <w:spacing w:val="-1"/>
          <w:w w:val="100"/>
          <w:sz w:val="21"/>
        </w:rPr>
        <w:t>h</w:t>
      </w:r>
      <w:r>
        <w:rPr>
          <w:w w:val="100"/>
          <w:sz w:val="21"/>
        </w:rPr>
        <w:t>e</w:t>
      </w:r>
      <w:r>
        <w:rPr>
          <w:spacing w:val="6"/>
          <w:sz w:val="21"/>
        </w:rPr>
        <w:t> </w:t>
      </w:r>
      <w:r>
        <w:rPr>
          <w:spacing w:val="1"/>
          <w:w w:val="100"/>
          <w:sz w:val="21"/>
        </w:rPr>
        <w:t>m</w:t>
      </w:r>
      <w:r>
        <w:rPr>
          <w:spacing w:val="-1"/>
          <w:w w:val="100"/>
          <w:sz w:val="21"/>
        </w:rPr>
        <w:t>os</w:t>
      </w:r>
      <w:r>
        <w:rPr>
          <w:w w:val="100"/>
          <w:sz w:val="21"/>
        </w:rPr>
        <w:t>t</w:t>
      </w:r>
      <w:r>
        <w:rPr>
          <w:spacing w:val="5"/>
          <w:sz w:val="21"/>
        </w:rPr>
        <w:t> </w:t>
      </w:r>
      <w:r>
        <w:rPr>
          <w:spacing w:val="-1"/>
          <w:w w:val="100"/>
          <w:sz w:val="21"/>
        </w:rPr>
        <w:t>r</w:t>
      </w:r>
      <w:r>
        <w:rPr>
          <w:spacing w:val="-3"/>
          <w:w w:val="100"/>
          <w:sz w:val="21"/>
        </w:rPr>
        <w:t>e</w:t>
      </w:r>
      <w:r>
        <w:rPr>
          <w:spacing w:val="1"/>
          <w:w w:val="100"/>
          <w:sz w:val="21"/>
        </w:rPr>
        <w:t>m</w:t>
      </w:r>
      <w:r>
        <w:rPr>
          <w:spacing w:val="-1"/>
          <w:w w:val="100"/>
          <w:sz w:val="21"/>
        </w:rPr>
        <w:t>a</w:t>
      </w:r>
      <w:r>
        <w:rPr>
          <w:spacing w:val="-3"/>
          <w:w w:val="100"/>
          <w:sz w:val="21"/>
        </w:rPr>
        <w:t>r</w:t>
      </w:r>
      <w:r>
        <w:rPr>
          <w:spacing w:val="2"/>
          <w:w w:val="100"/>
          <w:sz w:val="21"/>
        </w:rPr>
        <w:t>k</w:t>
      </w:r>
      <w:r>
        <w:rPr>
          <w:spacing w:val="-3"/>
          <w:w w:val="100"/>
          <w:sz w:val="21"/>
        </w:rPr>
        <w:t>a</w:t>
      </w:r>
      <w:r>
        <w:rPr>
          <w:spacing w:val="-1"/>
          <w:w w:val="100"/>
          <w:sz w:val="21"/>
        </w:rPr>
        <w:t>b</w:t>
      </w:r>
      <w:r>
        <w:rPr>
          <w:spacing w:val="1"/>
          <w:w w:val="100"/>
          <w:sz w:val="21"/>
        </w:rPr>
        <w:t>l</w:t>
      </w:r>
      <w:r>
        <w:rPr>
          <w:w w:val="100"/>
          <w:sz w:val="21"/>
        </w:rPr>
        <w:t>e</w:t>
      </w:r>
      <w:r>
        <w:rPr>
          <w:spacing w:val="6"/>
          <w:sz w:val="21"/>
        </w:rPr>
        <w:t> </w:t>
      </w:r>
      <w:r>
        <w:rPr>
          <w:w w:val="100"/>
          <w:sz w:val="21"/>
        </w:rPr>
        <w:t>s</w:t>
      </w:r>
      <w:r>
        <w:rPr>
          <w:spacing w:val="-3"/>
          <w:w w:val="100"/>
          <w:sz w:val="21"/>
        </w:rPr>
        <w:t>p</w:t>
      </w:r>
      <w:r>
        <w:rPr>
          <w:spacing w:val="-1"/>
          <w:w w:val="100"/>
          <w:sz w:val="21"/>
        </w:rPr>
        <w:t>o</w:t>
      </w:r>
      <w:r>
        <w:rPr>
          <w:w w:val="100"/>
          <w:sz w:val="21"/>
        </w:rPr>
        <w:t>t</w:t>
      </w:r>
      <w:r>
        <w:rPr>
          <w:spacing w:val="5"/>
          <w:sz w:val="21"/>
        </w:rPr>
        <w:t> </w:t>
      </w:r>
      <w:r>
        <w:rPr>
          <w:w w:val="100"/>
          <w:sz w:val="21"/>
        </w:rPr>
        <w:t>in</w:t>
      </w:r>
      <w:r>
        <w:rPr>
          <w:spacing w:val="6"/>
          <w:sz w:val="21"/>
        </w:rPr>
        <w:t> </w:t>
      </w:r>
      <w:r>
        <w:rPr>
          <w:spacing w:val="-2"/>
          <w:w w:val="100"/>
          <w:sz w:val="21"/>
        </w:rPr>
        <w:t>w</w:t>
      </w:r>
      <w:r>
        <w:rPr>
          <w:spacing w:val="-1"/>
          <w:w w:val="100"/>
          <w:sz w:val="21"/>
        </w:rPr>
        <w:t>h</w:t>
      </w:r>
      <w:r>
        <w:rPr>
          <w:spacing w:val="1"/>
          <w:w w:val="100"/>
          <w:sz w:val="21"/>
        </w:rPr>
        <w:t>i</w:t>
      </w:r>
      <w:r>
        <w:rPr>
          <w:spacing w:val="-3"/>
          <w:w w:val="100"/>
          <w:sz w:val="21"/>
        </w:rPr>
        <w:t>c</w:t>
      </w:r>
      <w:r>
        <w:rPr>
          <w:w w:val="100"/>
          <w:sz w:val="21"/>
        </w:rPr>
        <w:t>h</w:t>
      </w:r>
      <w:r>
        <w:rPr>
          <w:spacing w:val="6"/>
          <w:sz w:val="21"/>
        </w:rPr>
        <w:t> </w:t>
      </w:r>
      <w:r>
        <w:rPr>
          <w:w w:val="100"/>
          <w:sz w:val="21"/>
        </w:rPr>
        <w:t>is</w:t>
      </w:r>
      <w:r>
        <w:rPr>
          <w:spacing w:val="6"/>
          <w:sz w:val="21"/>
        </w:rPr>
        <w:t> </w:t>
      </w:r>
      <w:r>
        <w:rPr>
          <w:spacing w:val="-2"/>
          <w:w w:val="100"/>
          <w:sz w:val="21"/>
        </w:rPr>
        <w:t>t</w:t>
      </w:r>
      <w:r>
        <w:rPr>
          <w:spacing w:val="-1"/>
          <w:w w:val="100"/>
          <w:sz w:val="21"/>
        </w:rPr>
        <w:t>ha</w:t>
      </w:r>
      <w:r>
        <w:rPr>
          <w:w w:val="100"/>
          <w:sz w:val="21"/>
        </w:rPr>
        <w:t>t</w:t>
      </w:r>
      <w:r>
        <w:rPr>
          <w:spacing w:val="5"/>
          <w:sz w:val="21"/>
        </w:rPr>
        <w:t> </w:t>
      </w:r>
      <w:r>
        <w:rPr>
          <w:spacing w:val="1"/>
          <w:w w:val="100"/>
          <w:sz w:val="21"/>
        </w:rPr>
        <w:t>f</w:t>
      </w:r>
      <w:r>
        <w:rPr>
          <w:spacing w:val="-1"/>
          <w:w w:val="100"/>
          <w:sz w:val="21"/>
        </w:rPr>
        <w:t>ro</w:t>
      </w:r>
      <w:r>
        <w:rPr>
          <w:w w:val="100"/>
          <w:sz w:val="21"/>
        </w:rPr>
        <w:t>m</w:t>
      </w:r>
      <w:r>
        <w:rPr>
          <w:spacing w:val="7"/>
          <w:sz w:val="21"/>
        </w:rPr>
        <w:t> </w:t>
      </w:r>
      <w:r>
        <w:rPr>
          <w:spacing w:val="-2"/>
          <w:w w:val="100"/>
          <w:sz w:val="21"/>
        </w:rPr>
        <w:t>w</w:t>
      </w:r>
      <w:r>
        <w:rPr>
          <w:spacing w:val="-3"/>
          <w:w w:val="100"/>
          <w:sz w:val="21"/>
        </w:rPr>
        <w:t>h</w:t>
      </w:r>
      <w:r>
        <w:rPr>
          <w:w w:val="100"/>
          <w:sz w:val="21"/>
        </w:rPr>
        <w:t>ic</w:t>
      </w:r>
      <w:r>
        <w:rPr>
          <w:spacing w:val="-3"/>
          <w:w w:val="100"/>
          <w:sz w:val="21"/>
        </w:rPr>
        <w:t>h</w:t>
      </w:r>
      <w:r>
        <w:rPr>
          <w:w w:val="100"/>
          <w:sz w:val="21"/>
        </w:rPr>
        <w:t>, </w:t>
      </w:r>
      <w:r>
        <w:rPr>
          <w:sz w:val="21"/>
        </w:rPr>
        <w:t>according to the legend, Rama took his flight to heaven, carrying with him the people of his city; in consequence of which it remained desolate until half a century before the Christian era, and by him embellished with 360 temples. </w:t>
      </w:r>
      <w:r>
        <w:rPr>
          <w:b/>
          <w:sz w:val="21"/>
        </w:rPr>
        <w:t>Not the smallest traces of these temples, however now remain; and according to native tradition, they were demolished by Aurungzebe, who built a mosque on part of the site. The falsehood of the tradition is, however, proved by an inscription on the wall of the mosque, attributing the work to the conqueror Baber, from whom Aurungzebe was fifth in descent. </w:t>
      </w:r>
      <w:r>
        <w:rPr>
          <w:sz w:val="21"/>
        </w:rPr>
        <w:t>The mosque is embellished with fourteen columns of only five to six feet in height, but of very elaborate and tasteful workmanship, said to have been taken from the ruins of the Hindoo</w:t>
      </w:r>
      <w:r>
        <w:rPr>
          <w:spacing w:val="-15"/>
          <w:sz w:val="21"/>
        </w:rPr>
        <w:t> </w:t>
      </w:r>
      <w:r>
        <w:rPr>
          <w:sz w:val="21"/>
        </w:rPr>
        <w:t>fanes...</w:t>
      </w:r>
    </w:p>
    <w:p>
      <w:pPr>
        <w:spacing w:line="276" w:lineRule="auto" w:before="0"/>
        <w:ind w:left="1940" w:right="2262" w:firstLine="0"/>
        <w:jc w:val="both"/>
        <w:rPr>
          <w:sz w:val="21"/>
        </w:rPr>
      </w:pPr>
      <w:r>
        <w:rPr>
          <w:sz w:val="21"/>
        </w:rPr>
        <w:t>A quadrangular coffer of stone, whitewashed, five ells long, four broad, and protruding five or six inches above ground, is pointed out as the cradle in which Rama was….as the seventh avtar of Vishnu; and is accordingly abundantly honoured</w:t>
      </w:r>
      <w:r>
        <w:rPr>
          <w:spacing w:val="31"/>
          <w:sz w:val="21"/>
        </w:rPr>
        <w:t> </w:t>
      </w:r>
      <w:r>
        <w:rPr>
          <w:sz w:val="21"/>
        </w:rPr>
        <w:t>by</w:t>
      </w:r>
      <w:r>
        <w:rPr>
          <w:spacing w:val="32"/>
          <w:sz w:val="21"/>
        </w:rPr>
        <w:t> </w:t>
      </w:r>
      <w:r>
        <w:rPr>
          <w:sz w:val="21"/>
        </w:rPr>
        <w:t>the</w:t>
      </w:r>
      <w:r>
        <w:rPr>
          <w:spacing w:val="32"/>
          <w:sz w:val="21"/>
        </w:rPr>
        <w:t> </w:t>
      </w:r>
      <w:r>
        <w:rPr>
          <w:sz w:val="21"/>
        </w:rPr>
        <w:t>pilgrimages</w:t>
      </w:r>
      <w:r>
        <w:rPr>
          <w:spacing w:val="32"/>
          <w:sz w:val="21"/>
        </w:rPr>
        <w:t> </w:t>
      </w:r>
      <w:r>
        <w:rPr>
          <w:sz w:val="21"/>
        </w:rPr>
        <w:t>and</w:t>
      </w:r>
      <w:r>
        <w:rPr>
          <w:spacing w:val="32"/>
          <w:sz w:val="21"/>
        </w:rPr>
        <w:t> </w:t>
      </w:r>
      <w:r>
        <w:rPr>
          <w:sz w:val="21"/>
        </w:rPr>
        <w:t>devotions</w:t>
      </w:r>
      <w:r>
        <w:rPr>
          <w:spacing w:val="32"/>
          <w:sz w:val="21"/>
        </w:rPr>
        <w:t> </w:t>
      </w:r>
      <w:r>
        <w:rPr>
          <w:sz w:val="21"/>
        </w:rPr>
        <w:t>of</w:t>
      </w:r>
      <w:r>
        <w:rPr>
          <w:spacing w:val="35"/>
          <w:sz w:val="21"/>
        </w:rPr>
        <w:t> </w:t>
      </w:r>
      <w:r>
        <w:rPr>
          <w:sz w:val="21"/>
        </w:rPr>
        <w:t>the</w:t>
      </w:r>
      <w:r>
        <w:rPr>
          <w:spacing w:val="32"/>
          <w:sz w:val="21"/>
        </w:rPr>
        <w:t> </w:t>
      </w:r>
      <w:r>
        <w:rPr>
          <w:sz w:val="21"/>
        </w:rPr>
        <w:t>Hindoos.</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346" w:firstLine="0"/>
        <w:jc w:val="left"/>
        <w:rPr>
          <w:sz w:val="21"/>
        </w:rPr>
      </w:pPr>
      <w:r>
        <w:rPr>
          <w:sz w:val="21"/>
        </w:rPr>
        <w:t>Ayodhya or Oude is considered by the best authorities to be the most ancient city in Hindostan.‖</w:t>
      </w:r>
    </w:p>
    <w:p>
      <w:pPr>
        <w:spacing w:before="0"/>
        <w:ind w:left="5798" w:right="0" w:firstLine="0"/>
        <w:jc w:val="left"/>
        <w:rPr>
          <w:sz w:val="21"/>
        </w:rPr>
      </w:pPr>
      <w:r>
        <w:rPr>
          <w:sz w:val="21"/>
        </w:rPr>
        <w:t>(Emphasis supplied)</w:t>
      </w:r>
    </w:p>
    <w:p>
      <w:pPr>
        <w:pStyle w:val="BodyText"/>
        <w:spacing w:before="3"/>
        <w:rPr>
          <w:sz w:val="28"/>
        </w:rPr>
      </w:pPr>
    </w:p>
    <w:p>
      <w:pPr>
        <w:pStyle w:val="BodyText"/>
        <w:spacing w:line="480" w:lineRule="auto" w:before="1"/>
        <w:ind w:left="500" w:right="435"/>
        <w:jc w:val="both"/>
      </w:pPr>
      <w:r>
        <w:rPr/>
        <w:t>This account notes that no traces of the ancient temples remain. The gazetteer </w:t>
      </w:r>
      <w:r>
        <w:rPr>
          <w:w w:val="99"/>
        </w:rPr>
        <w:t>relied</w:t>
      </w:r>
      <w:r>
        <w:rPr/>
        <w:t> </w:t>
      </w:r>
      <w:r>
        <w:rPr>
          <w:w w:val="99"/>
        </w:rPr>
        <w:t>on</w:t>
      </w:r>
      <w:r>
        <w:rPr/>
        <w:t> </w:t>
      </w:r>
      <w:r>
        <w:rPr>
          <w:w w:val="33"/>
        </w:rPr>
        <w:t>―</w:t>
      </w:r>
      <w:r>
        <w:rPr>
          <w:w w:val="99"/>
        </w:rPr>
        <w:t>an</w:t>
      </w:r>
      <w:r>
        <w:rPr/>
        <w:t> </w:t>
      </w:r>
      <w:r>
        <w:rPr>
          <w:w w:val="99"/>
        </w:rPr>
        <w:t>inscription</w:t>
      </w:r>
      <w:r>
        <w:rPr/>
        <w:t> </w:t>
      </w:r>
      <w:r>
        <w:rPr>
          <w:w w:val="99"/>
        </w:rPr>
        <w:t>on</w:t>
      </w:r>
      <w:r>
        <w:rPr/>
        <w:t> </w:t>
      </w:r>
      <w:r>
        <w:rPr>
          <w:w w:val="99"/>
        </w:rPr>
        <w:t>the</w:t>
      </w:r>
      <w:r>
        <w:rPr/>
        <w:t> </w:t>
      </w:r>
      <w:r>
        <w:rPr>
          <w:w w:val="99"/>
        </w:rPr>
        <w:t>wall</w:t>
      </w:r>
      <w:r>
        <w:rPr/>
        <w:t> </w:t>
      </w:r>
      <w:r>
        <w:rPr>
          <w:w w:val="99"/>
        </w:rPr>
        <w:t>of</w:t>
      </w:r>
      <w:r>
        <w:rPr/>
        <w:t> </w:t>
      </w:r>
      <w:r>
        <w:rPr>
          <w:w w:val="99"/>
        </w:rPr>
        <w:t>the</w:t>
      </w:r>
      <w:r>
        <w:rPr/>
        <w:t> </w:t>
      </w:r>
      <w:r>
        <w:rPr>
          <w:w w:val="99"/>
        </w:rPr>
        <w:t>mosque</w:t>
      </w:r>
      <w:r>
        <w:rPr>
          <w:w w:val="80"/>
        </w:rPr>
        <w:t>‖</w:t>
      </w:r>
      <w:r>
        <w:rPr/>
        <w:t> </w:t>
      </w:r>
      <w:r>
        <w:rPr>
          <w:w w:val="99"/>
        </w:rPr>
        <w:t>to</w:t>
      </w:r>
      <w:r>
        <w:rPr/>
        <w:t> </w:t>
      </w:r>
      <w:r>
        <w:rPr>
          <w:w w:val="99"/>
        </w:rPr>
        <w:t>attribute</w:t>
      </w:r>
      <w:r>
        <w:rPr/>
        <w:t> </w:t>
      </w:r>
      <w:r>
        <w:rPr>
          <w:w w:val="99"/>
        </w:rPr>
        <w:t>the</w:t>
      </w:r>
      <w:r>
        <w:rPr/>
        <w:t> </w:t>
      </w:r>
      <w:r>
        <w:rPr>
          <w:w w:val="99"/>
        </w:rPr>
        <w:t>construction</w:t>
      </w:r>
      <w:r>
        <w:rPr/>
        <w:t> </w:t>
      </w:r>
      <w:r>
        <w:rPr>
          <w:w w:val="99"/>
        </w:rPr>
        <w:t>to Babur</w:t>
      </w:r>
      <w:r>
        <w:rPr/>
        <w:t> </w:t>
      </w:r>
      <w:r>
        <w:rPr>
          <w:w w:val="99"/>
        </w:rPr>
        <w:t>while</w:t>
      </w:r>
      <w:r>
        <w:rPr/>
        <w:t> </w:t>
      </w:r>
      <w:r>
        <w:rPr>
          <w:w w:val="99"/>
        </w:rPr>
        <w:t>also</w:t>
      </w:r>
      <w:r>
        <w:rPr/>
        <w:t> </w:t>
      </w:r>
      <w:r>
        <w:rPr>
          <w:w w:val="99"/>
        </w:rPr>
        <w:t>noting</w:t>
      </w:r>
      <w:r>
        <w:rPr/>
        <w:t> </w:t>
      </w:r>
      <w:r>
        <w:rPr>
          <w:w w:val="99"/>
        </w:rPr>
        <w:t>that</w:t>
      </w:r>
      <w:r>
        <w:rPr/>
        <w:t> </w:t>
      </w:r>
      <w:r>
        <w:rPr>
          <w:w w:val="99"/>
        </w:rPr>
        <w:t>the</w:t>
      </w:r>
      <w:r>
        <w:rPr/>
        <w:t> </w:t>
      </w:r>
      <w:r>
        <w:rPr>
          <w:w w:val="33"/>
        </w:rPr>
        <w:t>―</w:t>
      </w:r>
      <w:r>
        <w:rPr>
          <w:w w:val="99"/>
        </w:rPr>
        <w:t>local</w:t>
      </w:r>
      <w:r>
        <w:rPr/>
        <w:t> </w:t>
      </w:r>
      <w:r>
        <w:rPr>
          <w:w w:val="99"/>
        </w:rPr>
        <w:t>trad</w:t>
      </w:r>
      <w:r>
        <w:rPr>
          <w:w w:val="96"/>
        </w:rPr>
        <w:t>ition‖</w:t>
      </w:r>
      <w:r>
        <w:rPr/>
        <w:t> </w:t>
      </w:r>
      <w:r>
        <w:rPr>
          <w:w w:val="99"/>
        </w:rPr>
        <w:t>ascribed</w:t>
      </w:r>
      <w:r>
        <w:rPr/>
        <w:t> </w:t>
      </w:r>
      <w:r>
        <w:rPr>
          <w:w w:val="99"/>
        </w:rPr>
        <w:t>the</w:t>
      </w:r>
      <w:r>
        <w:rPr/>
        <w:t> </w:t>
      </w:r>
      <w:r>
        <w:rPr>
          <w:w w:val="99"/>
        </w:rPr>
        <w:t>destruction</w:t>
      </w:r>
      <w:r>
        <w:rPr/>
        <w:t> </w:t>
      </w:r>
      <w:r>
        <w:rPr>
          <w:w w:val="99"/>
        </w:rPr>
        <w:t>of</w:t>
      </w:r>
      <w:r>
        <w:rPr/>
        <w:t> </w:t>
      </w:r>
      <w:r>
        <w:rPr>
          <w:w w:val="99"/>
        </w:rPr>
        <w:t>the </w:t>
      </w:r>
      <w:r>
        <w:rPr/>
        <w:t>temples and the construction to Aurangzeb. The gazetteer has relied on the opinion of Buchanan.</w:t>
      </w:r>
    </w:p>
    <w:p>
      <w:pPr>
        <w:pStyle w:val="BodyText"/>
        <w:spacing w:before="10"/>
        <w:rPr>
          <w:sz w:val="24"/>
        </w:rPr>
      </w:pPr>
    </w:p>
    <w:p>
      <w:pPr>
        <w:pStyle w:val="Heading5"/>
        <w:numPr>
          <w:ilvl w:val="0"/>
          <w:numId w:val="166"/>
        </w:numPr>
        <w:tabs>
          <w:tab w:pos="1221" w:val="left" w:leader="none"/>
        </w:tabs>
        <w:spacing w:line="240" w:lineRule="auto" w:before="0" w:after="0"/>
        <w:ind w:left="1220" w:right="0" w:hanging="721"/>
        <w:jc w:val="both"/>
        <w:rPr>
          <w:b w:val="0"/>
        </w:rPr>
      </w:pPr>
      <w:r>
        <w:rPr/>
        <w:t>Exhibit</w:t>
      </w:r>
      <w:r>
        <w:rPr>
          <w:spacing w:val="37"/>
        </w:rPr>
        <w:t> </w:t>
      </w:r>
      <w:r>
        <w:rPr/>
        <w:t>123-</w:t>
      </w:r>
      <w:r>
        <w:rPr>
          <w:spacing w:val="38"/>
        </w:rPr>
        <w:t> </w:t>
      </w:r>
      <w:r>
        <w:rPr/>
        <w:t>Suit</w:t>
      </w:r>
      <w:r>
        <w:rPr>
          <w:spacing w:val="36"/>
        </w:rPr>
        <w:t> </w:t>
      </w:r>
      <w:r>
        <w:rPr/>
        <w:t>5:</w:t>
      </w:r>
      <w:r>
        <w:rPr>
          <w:spacing w:val="36"/>
        </w:rPr>
        <w:t> </w:t>
      </w:r>
      <w:r>
        <w:rPr/>
        <w:t>Surgeon</w:t>
      </w:r>
      <w:r>
        <w:rPr>
          <w:spacing w:val="37"/>
        </w:rPr>
        <w:t> </w:t>
      </w:r>
      <w:r>
        <w:rPr/>
        <w:t>General</w:t>
      </w:r>
      <w:r>
        <w:rPr>
          <w:spacing w:val="37"/>
        </w:rPr>
        <w:t> </w:t>
      </w:r>
      <w:r>
        <w:rPr/>
        <w:t>Edward</w:t>
      </w:r>
      <w:r>
        <w:rPr>
          <w:spacing w:val="37"/>
        </w:rPr>
        <w:t> </w:t>
      </w:r>
      <w:r>
        <w:rPr/>
        <w:t>Balfour</w:t>
      </w:r>
      <w:r>
        <w:rPr>
          <w:spacing w:val="42"/>
        </w:rPr>
        <w:t> </w:t>
      </w:r>
      <w:r>
        <w:rPr>
          <w:b w:val="0"/>
        </w:rPr>
        <w:t>wrote</w:t>
      </w:r>
      <w:r>
        <w:rPr>
          <w:b w:val="0"/>
          <w:spacing w:val="37"/>
        </w:rPr>
        <w:t> </w:t>
      </w:r>
      <w:r>
        <w:rPr>
          <w:b w:val="0"/>
        </w:rPr>
        <w:t>the</w:t>
      </w:r>
    </w:p>
    <w:p>
      <w:pPr>
        <w:pStyle w:val="BodyText"/>
        <w:spacing w:before="10"/>
        <w:rPr>
          <w:sz w:val="24"/>
        </w:rPr>
      </w:pPr>
    </w:p>
    <w:p>
      <w:pPr>
        <w:spacing w:line="480" w:lineRule="auto" w:before="0"/>
        <w:ind w:left="500" w:right="448" w:firstLine="0"/>
        <w:jc w:val="both"/>
        <w:rPr>
          <w:sz w:val="25"/>
        </w:rPr>
      </w:pPr>
      <w:r>
        <w:rPr>
          <w:w w:val="33"/>
          <w:sz w:val="25"/>
        </w:rPr>
        <w:t>―</w:t>
      </w:r>
      <w:r>
        <w:rPr>
          <w:b/>
          <w:w w:val="99"/>
          <w:sz w:val="25"/>
        </w:rPr>
        <w:t>Cy</w:t>
      </w:r>
      <w:r>
        <w:rPr>
          <w:b/>
          <w:w w:val="99"/>
          <w:sz w:val="25"/>
        </w:rPr>
        <w:t>clo</w:t>
      </w:r>
      <w:r>
        <w:rPr>
          <w:b/>
          <w:w w:val="99"/>
          <w:sz w:val="25"/>
        </w:rPr>
        <w:t>p</w:t>
      </w:r>
      <w:r>
        <w:rPr>
          <w:b/>
          <w:w w:val="99"/>
          <w:sz w:val="25"/>
        </w:rPr>
        <w:t>edia</w:t>
      </w:r>
      <w:r>
        <w:rPr>
          <w:b/>
          <w:sz w:val="25"/>
        </w:rPr>
        <w:t>  </w:t>
      </w:r>
      <w:r>
        <w:rPr>
          <w:b/>
          <w:w w:val="99"/>
          <w:sz w:val="25"/>
        </w:rPr>
        <w:t>of</w:t>
      </w:r>
      <w:r>
        <w:rPr>
          <w:b/>
          <w:sz w:val="25"/>
        </w:rPr>
        <w:t>  </w:t>
      </w:r>
      <w:r>
        <w:rPr>
          <w:b/>
          <w:w w:val="99"/>
          <w:sz w:val="25"/>
        </w:rPr>
        <w:t>Indi</w:t>
      </w:r>
      <w:r>
        <w:rPr>
          <w:b/>
          <w:w w:val="99"/>
          <w:sz w:val="25"/>
        </w:rPr>
        <w:t>a</w:t>
      </w:r>
      <w:r>
        <w:rPr>
          <w:b/>
          <w:sz w:val="25"/>
        </w:rPr>
        <w:t>  </w:t>
      </w:r>
      <w:r>
        <w:rPr>
          <w:b/>
          <w:w w:val="99"/>
          <w:sz w:val="25"/>
        </w:rPr>
        <w:t>an</w:t>
      </w:r>
      <w:r>
        <w:rPr>
          <w:b/>
          <w:w w:val="99"/>
          <w:sz w:val="25"/>
        </w:rPr>
        <w:t>d</w:t>
      </w:r>
      <w:r>
        <w:rPr>
          <w:b/>
          <w:sz w:val="25"/>
        </w:rPr>
        <w:t>  </w:t>
      </w:r>
      <w:r>
        <w:rPr>
          <w:b/>
          <w:w w:val="99"/>
          <w:sz w:val="25"/>
        </w:rPr>
        <w:t>of</w:t>
      </w:r>
      <w:r>
        <w:rPr>
          <w:b/>
          <w:sz w:val="25"/>
        </w:rPr>
        <w:t>  </w:t>
      </w:r>
      <w:r>
        <w:rPr>
          <w:b/>
          <w:w w:val="99"/>
          <w:sz w:val="25"/>
        </w:rPr>
        <w:t>E</w:t>
      </w:r>
      <w:r>
        <w:rPr>
          <w:b/>
          <w:w w:val="99"/>
          <w:sz w:val="25"/>
        </w:rPr>
        <w:t>as</w:t>
      </w:r>
      <w:r>
        <w:rPr>
          <w:b/>
          <w:w w:val="99"/>
          <w:sz w:val="25"/>
        </w:rPr>
        <w:t>t</w:t>
      </w:r>
      <w:r>
        <w:rPr>
          <w:b/>
          <w:w w:val="99"/>
          <w:sz w:val="25"/>
        </w:rPr>
        <w:t>ern</w:t>
      </w:r>
      <w:r>
        <w:rPr>
          <w:b/>
          <w:sz w:val="25"/>
        </w:rPr>
        <w:t>  </w:t>
      </w:r>
      <w:r>
        <w:rPr>
          <w:b/>
          <w:w w:val="99"/>
          <w:sz w:val="25"/>
        </w:rPr>
        <w:t>an</w:t>
      </w:r>
      <w:r>
        <w:rPr>
          <w:b/>
          <w:w w:val="99"/>
          <w:sz w:val="25"/>
        </w:rPr>
        <w:t>d</w:t>
      </w:r>
      <w:r>
        <w:rPr>
          <w:b/>
          <w:sz w:val="25"/>
        </w:rPr>
        <w:t>  </w:t>
      </w:r>
      <w:r>
        <w:rPr>
          <w:b/>
          <w:w w:val="99"/>
          <w:sz w:val="25"/>
        </w:rPr>
        <w:t>South</w:t>
      </w:r>
      <w:r>
        <w:rPr>
          <w:b/>
          <w:w w:val="99"/>
          <w:sz w:val="25"/>
        </w:rPr>
        <w:t>ern</w:t>
      </w:r>
      <w:r>
        <w:rPr>
          <w:b/>
          <w:sz w:val="25"/>
        </w:rPr>
        <w:t>   </w:t>
      </w:r>
      <w:r>
        <w:rPr>
          <w:b/>
          <w:w w:val="99"/>
          <w:sz w:val="25"/>
        </w:rPr>
        <w:t>Asia</w:t>
      </w:r>
      <w:r>
        <w:rPr>
          <w:b/>
          <w:w w:val="99"/>
          <w:sz w:val="25"/>
        </w:rPr>
        <w:t>,</w:t>
      </w:r>
      <w:r>
        <w:rPr>
          <w:b/>
          <w:sz w:val="25"/>
        </w:rPr>
        <w:t>  </w:t>
      </w:r>
      <w:r>
        <w:rPr>
          <w:b/>
          <w:w w:val="99"/>
          <w:sz w:val="25"/>
        </w:rPr>
        <w:t>Commercial, </w:t>
      </w:r>
      <w:r>
        <w:rPr>
          <w:b/>
          <w:sz w:val="25"/>
        </w:rPr>
        <w:t>Industrial and Scientific: Products of the Mineral, Vegetable, and Animal Kingdoms, Useful Arts and Manufactures</w:t>
      </w:r>
      <w:r>
        <w:rPr>
          <w:sz w:val="25"/>
        </w:rPr>
        <w:t>‖</w:t>
      </w:r>
      <w:r>
        <w:rPr>
          <w:sz w:val="25"/>
          <w:vertAlign w:val="superscript"/>
        </w:rPr>
        <w:t>304</w:t>
      </w:r>
      <w:r>
        <w:rPr>
          <w:sz w:val="25"/>
          <w:vertAlign w:val="baseline"/>
        </w:rPr>
        <w:t>. Balfour‘s text refers to Ayodhya:</w:t>
      </w:r>
    </w:p>
    <w:p>
      <w:pPr>
        <w:spacing w:line="276" w:lineRule="auto" w:before="161"/>
        <w:ind w:left="1940" w:right="2260" w:firstLine="57"/>
        <w:jc w:val="both"/>
        <w:rPr>
          <w:sz w:val="21"/>
        </w:rPr>
      </w:pPr>
      <w:r>
        <w:rPr>
          <w:spacing w:val="1"/>
          <w:w w:val="33"/>
          <w:sz w:val="21"/>
        </w:rPr>
        <w:t>―</w:t>
      </w:r>
      <w:r>
        <w:rPr>
          <w:b/>
          <w:spacing w:val="-4"/>
          <w:w w:val="100"/>
          <w:sz w:val="21"/>
        </w:rPr>
        <w:t>A</w:t>
      </w:r>
      <w:r>
        <w:rPr>
          <w:b/>
          <w:spacing w:val="-2"/>
          <w:w w:val="100"/>
          <w:sz w:val="21"/>
        </w:rPr>
        <w:t>YO</w:t>
      </w:r>
      <w:r>
        <w:rPr>
          <w:b/>
          <w:w w:val="100"/>
          <w:sz w:val="21"/>
        </w:rPr>
        <w:t>DH</w:t>
      </w:r>
      <w:r>
        <w:rPr>
          <w:b/>
          <w:w w:val="100"/>
          <w:sz w:val="21"/>
        </w:rPr>
        <w:t>Y</w:t>
      </w:r>
      <w:r>
        <w:rPr>
          <w:b/>
          <w:spacing w:val="-5"/>
          <w:w w:val="100"/>
          <w:sz w:val="21"/>
        </w:rPr>
        <w:t>A</w:t>
      </w:r>
      <w:r>
        <w:rPr>
          <w:w w:val="100"/>
          <w:sz w:val="21"/>
        </w:rPr>
        <w:t>,</w:t>
      </w:r>
      <w:r>
        <w:rPr>
          <w:spacing w:val="5"/>
          <w:sz w:val="21"/>
        </w:rPr>
        <w:t> </w:t>
      </w:r>
      <w:r>
        <w:rPr>
          <w:w w:val="100"/>
          <w:sz w:val="21"/>
        </w:rPr>
        <w:t>on</w:t>
      </w:r>
      <w:r>
        <w:rPr>
          <w:spacing w:val="4"/>
          <w:sz w:val="21"/>
        </w:rPr>
        <w:t> </w:t>
      </w:r>
      <w:r>
        <w:rPr>
          <w:spacing w:val="-2"/>
          <w:w w:val="100"/>
          <w:sz w:val="21"/>
        </w:rPr>
        <w:t>t</w:t>
      </w:r>
      <w:r>
        <w:rPr>
          <w:w w:val="100"/>
          <w:sz w:val="21"/>
        </w:rPr>
        <w:t>he</w:t>
      </w:r>
      <w:r>
        <w:rPr>
          <w:spacing w:val="4"/>
          <w:sz w:val="21"/>
        </w:rPr>
        <w:t> </w:t>
      </w:r>
      <w:r>
        <w:rPr>
          <w:spacing w:val="-1"/>
          <w:w w:val="100"/>
          <w:sz w:val="21"/>
        </w:rPr>
        <w:t>r</w:t>
      </w:r>
      <w:r>
        <w:rPr>
          <w:w w:val="100"/>
          <w:sz w:val="21"/>
        </w:rPr>
        <w:t>i</w:t>
      </w:r>
      <w:r>
        <w:rPr>
          <w:w w:val="100"/>
          <w:sz w:val="21"/>
        </w:rPr>
        <w:t>ght</w:t>
      </w:r>
      <w:r>
        <w:rPr>
          <w:sz w:val="21"/>
        </w:rPr>
        <w:t> </w:t>
      </w:r>
      <w:r>
        <w:rPr>
          <w:w w:val="100"/>
          <w:sz w:val="21"/>
        </w:rPr>
        <w:t>ba</w:t>
      </w:r>
      <w:r>
        <w:rPr>
          <w:spacing w:val="-2"/>
          <w:w w:val="100"/>
          <w:sz w:val="21"/>
        </w:rPr>
        <w:t>n</w:t>
      </w:r>
      <w:r>
        <w:rPr>
          <w:w w:val="100"/>
          <w:sz w:val="21"/>
        </w:rPr>
        <w:t>k</w:t>
      </w:r>
      <w:r>
        <w:rPr>
          <w:spacing w:val="5"/>
          <w:sz w:val="21"/>
        </w:rPr>
        <w:t> </w:t>
      </w:r>
      <w:r>
        <w:rPr>
          <w:spacing w:val="-3"/>
          <w:w w:val="100"/>
          <w:sz w:val="21"/>
        </w:rPr>
        <w:t>o</w:t>
      </w:r>
      <w:r>
        <w:rPr>
          <w:w w:val="100"/>
          <w:sz w:val="21"/>
        </w:rPr>
        <w:t>f</w:t>
      </w:r>
      <w:r>
        <w:rPr>
          <w:spacing w:val="4"/>
          <w:sz w:val="21"/>
        </w:rPr>
        <w:t> </w:t>
      </w:r>
      <w:r>
        <w:rPr>
          <w:spacing w:val="-2"/>
          <w:w w:val="100"/>
          <w:sz w:val="21"/>
        </w:rPr>
        <w:t>G</w:t>
      </w:r>
      <w:r>
        <w:rPr>
          <w:w w:val="100"/>
          <w:sz w:val="21"/>
        </w:rPr>
        <w:t>og</w:t>
      </w:r>
      <w:r>
        <w:rPr>
          <w:spacing w:val="-3"/>
          <w:w w:val="100"/>
          <w:sz w:val="21"/>
        </w:rPr>
        <w:t>r</w:t>
      </w:r>
      <w:r>
        <w:rPr>
          <w:w w:val="100"/>
          <w:sz w:val="21"/>
        </w:rPr>
        <w:t>a</w:t>
      </w:r>
      <w:r>
        <w:rPr>
          <w:spacing w:val="3"/>
          <w:sz w:val="21"/>
        </w:rPr>
        <w:t> </w:t>
      </w:r>
      <w:r>
        <w:rPr>
          <w:spacing w:val="-2"/>
          <w:w w:val="100"/>
          <w:sz w:val="21"/>
        </w:rPr>
        <w:t>R</w:t>
      </w:r>
      <w:r>
        <w:rPr>
          <w:w w:val="100"/>
          <w:sz w:val="21"/>
        </w:rPr>
        <w:t>i</w:t>
      </w:r>
      <w:r>
        <w:rPr>
          <w:spacing w:val="-3"/>
          <w:w w:val="100"/>
          <w:sz w:val="21"/>
        </w:rPr>
        <w:t>v</w:t>
      </w:r>
      <w:r>
        <w:rPr>
          <w:w w:val="100"/>
          <w:sz w:val="21"/>
        </w:rPr>
        <w:t>er,</w:t>
      </w:r>
      <w:r>
        <w:rPr>
          <w:spacing w:val="2"/>
          <w:sz w:val="21"/>
        </w:rPr>
        <w:t> </w:t>
      </w:r>
      <w:r>
        <w:rPr>
          <w:w w:val="100"/>
          <w:sz w:val="21"/>
        </w:rPr>
        <w:t>Ne</w:t>
      </w:r>
      <w:r>
        <w:rPr>
          <w:spacing w:val="-3"/>
          <w:w w:val="100"/>
          <w:sz w:val="21"/>
        </w:rPr>
        <w:t>a</w:t>
      </w:r>
      <w:r>
        <w:rPr>
          <w:w w:val="100"/>
          <w:sz w:val="21"/>
        </w:rPr>
        <w:t>r</w:t>
      </w:r>
      <w:r>
        <w:rPr>
          <w:spacing w:val="3"/>
          <w:sz w:val="21"/>
        </w:rPr>
        <w:t> </w:t>
      </w:r>
      <w:r>
        <w:rPr>
          <w:w w:val="100"/>
          <w:sz w:val="21"/>
        </w:rPr>
        <w:t>F</w:t>
      </w:r>
      <w:r>
        <w:rPr>
          <w:spacing w:val="-2"/>
          <w:w w:val="100"/>
          <w:sz w:val="21"/>
        </w:rPr>
        <w:t>y</w:t>
      </w:r>
      <w:r>
        <w:rPr>
          <w:spacing w:val="-3"/>
          <w:w w:val="100"/>
          <w:sz w:val="21"/>
        </w:rPr>
        <w:t>z</w:t>
      </w:r>
      <w:r>
        <w:rPr>
          <w:w w:val="100"/>
          <w:sz w:val="21"/>
        </w:rPr>
        <w:t>abad </w:t>
      </w:r>
      <w:r>
        <w:rPr>
          <w:sz w:val="21"/>
        </w:rPr>
        <w:t>in Oudh, is in latitude on 26</w:t>
      </w:r>
      <w:r>
        <w:rPr>
          <w:sz w:val="21"/>
          <w:vertAlign w:val="superscript"/>
        </w:rPr>
        <w:t>o</w:t>
      </w:r>
      <w:r>
        <w:rPr>
          <w:sz w:val="21"/>
          <w:vertAlign w:val="baseline"/>
        </w:rPr>
        <w:t> 48‘ 20‖ North; and longitude 80</w:t>
      </w:r>
      <w:r>
        <w:rPr>
          <w:sz w:val="21"/>
          <w:vertAlign w:val="superscript"/>
        </w:rPr>
        <w:t>o</w:t>
      </w:r>
      <w:r>
        <w:rPr>
          <w:sz w:val="21"/>
          <w:vertAlign w:val="baseline"/>
        </w:rPr>
        <w:t> 24‘ 40‖ E. It has now a population of 7518 of Hindus and Mahomadans but in ancient times it was the capital of the kingdome of Kosala, the Modern Oudh, ruled over by the great King Dasarath of the Solar line, and father of Ram Chandra. At one time it is said to have covered an area of 12 yojana, equal of 96 miles. During Buddhist supremacy Ajodhya declined, but on the revival of Brahmanism it was restored by King Vikramaditya (AD 57). </w:t>
      </w:r>
      <w:r>
        <w:rPr>
          <w:b/>
          <w:sz w:val="21"/>
          <w:vertAlign w:val="baseline"/>
        </w:rPr>
        <w:t>There are many Jain Temples and three mosques on the site of three Hindu shrines, -the Janmsthan on the site where Ram was born, the Swarg Dwar (Mandir) where his remains were burnt, and the Tareta Ka Thakur, framed as the scene of one of his great sacrifices. </w:t>
      </w:r>
      <w:r>
        <w:rPr>
          <w:sz w:val="21"/>
          <w:vertAlign w:val="baseline"/>
        </w:rPr>
        <w:t>A mausoleum is here of the Babu Begum and is the finest in</w:t>
      </w:r>
      <w:r>
        <w:rPr>
          <w:spacing w:val="-15"/>
          <w:sz w:val="21"/>
          <w:vertAlign w:val="baseline"/>
        </w:rPr>
        <w:t> </w:t>
      </w:r>
      <w:r>
        <w:rPr>
          <w:sz w:val="21"/>
          <w:vertAlign w:val="baseline"/>
        </w:rPr>
        <w:t>Oudh.‖</w:t>
      </w:r>
    </w:p>
    <w:p>
      <w:pPr>
        <w:spacing w:before="3"/>
        <w:ind w:left="5798" w:right="0" w:firstLine="0"/>
        <w:jc w:val="left"/>
        <w:rPr>
          <w:sz w:val="21"/>
        </w:rPr>
      </w:pPr>
      <w:r>
        <w:rPr>
          <w:sz w:val="21"/>
        </w:rPr>
        <w:t>(Emphasis supplied)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r>
        <w:rPr/>
        <w:pict>
          <v:rect style="position:absolute;margin-left:72.024002pt;margin-top:9.075434pt;width:144.020pt;height:.60004pt;mso-position-horizontal-relative:page;mso-position-vertical-relative:paragraph;z-index:-15641600;mso-wrap-distance-left:0;mso-wrap-distance-right:0" filled="true" fillcolor="#000000" stroked="false">
            <v:fill type="solid"/>
            <w10:wrap type="topAndBottom"/>
          </v:rect>
        </w:pict>
      </w:r>
    </w:p>
    <w:p>
      <w:pPr>
        <w:spacing w:line="242" w:lineRule="auto" w:before="76"/>
        <w:ind w:left="500" w:right="437" w:firstLine="0"/>
        <w:jc w:val="both"/>
        <w:rPr>
          <w:sz w:val="18"/>
        </w:rPr>
      </w:pPr>
      <w:r>
        <w:rPr>
          <w:sz w:val="18"/>
          <w:vertAlign w:val="superscript"/>
        </w:rPr>
        <w:t>304</w:t>
      </w:r>
      <w:r>
        <w:rPr>
          <w:sz w:val="18"/>
          <w:vertAlign w:val="baseline"/>
        </w:rPr>
        <w:t> Surgeon General Edward Balfour</w:t>
      </w:r>
      <w:r>
        <w:rPr>
          <w:b/>
          <w:sz w:val="18"/>
          <w:vertAlign w:val="baseline"/>
        </w:rPr>
        <w:t>, </w:t>
      </w:r>
      <w:r>
        <w:rPr>
          <w:sz w:val="18"/>
          <w:vertAlign w:val="baseline"/>
        </w:rPr>
        <w:t>Cyclopaedia of India and of Eastern and Southern Asia, Commercial, Industrial and Scientific: Products of the Mineral, Vegetable, and Animal Kingdoms, Useful Arts and Manufactures, Third Edition, London: Bernard Quaritch, 15 Piccadilly 1885</w:t>
      </w:r>
    </w:p>
    <w:p>
      <w:pPr>
        <w:spacing w:after="0" w:line="242" w:lineRule="auto"/>
        <w:jc w:val="both"/>
        <w:rPr>
          <w:sz w:val="18"/>
        </w:rPr>
        <w:sectPr>
          <w:pgSz w:w="11910" w:h="16840"/>
          <w:pgMar w:header="721" w:footer="1014" w:top="1300" w:bottom="1200" w:left="940" w:right="1000"/>
        </w:sectPr>
      </w:pPr>
    </w:p>
    <w:p>
      <w:pPr>
        <w:pStyle w:val="ListParagraph"/>
        <w:numPr>
          <w:ilvl w:val="0"/>
          <w:numId w:val="166"/>
        </w:numPr>
        <w:tabs>
          <w:tab w:pos="1220" w:val="left" w:leader="none"/>
          <w:tab w:pos="1221" w:val="left" w:leader="none"/>
          <w:tab w:pos="1591" w:val="left" w:leader="none"/>
          <w:tab w:pos="2001" w:val="left" w:leader="none"/>
          <w:tab w:pos="2548" w:val="left" w:leader="none"/>
          <w:tab w:pos="4391" w:val="left" w:leader="none"/>
          <w:tab w:pos="5369" w:val="left" w:leader="none"/>
          <w:tab w:pos="5779" w:val="left" w:leader="none"/>
          <w:tab w:pos="6522" w:val="left" w:leader="none"/>
          <w:tab w:pos="7724" w:val="left" w:leader="none"/>
          <w:tab w:pos="8271" w:val="left" w:leader="none"/>
          <w:tab w:pos="9000" w:val="left" w:leader="none"/>
        </w:tabs>
        <w:spacing w:line="482" w:lineRule="auto" w:before="121" w:after="0"/>
        <w:ind w:left="500" w:right="438" w:firstLine="0"/>
        <w:jc w:val="left"/>
        <w:rPr>
          <w:sz w:val="25"/>
        </w:rPr>
      </w:pPr>
      <w:r>
        <w:rPr>
          <w:b/>
          <w:sz w:val="25"/>
        </w:rPr>
        <w:t>Exhibit 6 – Suit 5: Alexander Cunningham</w:t>
      </w:r>
      <w:r>
        <w:rPr>
          <w:sz w:val="25"/>
        </w:rPr>
        <w:t>, who was the Director General</w:t>
        <w:tab/>
        <w:t>of</w:t>
        <w:tab/>
        <w:t>the</w:t>
        <w:tab/>
        <w:t>Archaeological</w:t>
        <w:tab/>
        <w:t>Survey</w:t>
        <w:tab/>
        <w:t>of</w:t>
        <w:tab/>
        <w:t>India</w:t>
        <w:tab/>
        <w:t>compiled</w:t>
        <w:tab/>
        <w:t>the</w:t>
        <w:tab/>
        <w:t>work</w:t>
        <w:tab/>
      </w:r>
      <w:r>
        <w:rPr>
          <w:spacing w:val="-4"/>
          <w:sz w:val="25"/>
        </w:rPr>
        <w:t>titled</w:t>
      </w:r>
    </w:p>
    <w:p>
      <w:pPr>
        <w:spacing w:line="480" w:lineRule="auto" w:before="0"/>
        <w:ind w:left="500" w:right="439" w:firstLine="0"/>
        <w:jc w:val="left"/>
        <w:rPr>
          <w:sz w:val="25"/>
        </w:rPr>
      </w:pPr>
      <w:r>
        <w:rPr>
          <w:w w:val="33"/>
          <w:sz w:val="25"/>
        </w:rPr>
        <w:t>―</w:t>
      </w:r>
      <w:r>
        <w:rPr>
          <w:b/>
          <w:w w:val="99"/>
          <w:sz w:val="25"/>
        </w:rPr>
        <w:t>A</w:t>
      </w:r>
      <w:r>
        <w:rPr>
          <w:b/>
          <w:w w:val="99"/>
          <w:sz w:val="25"/>
        </w:rPr>
        <w:t>r</w:t>
      </w:r>
      <w:r>
        <w:rPr>
          <w:b/>
          <w:w w:val="99"/>
          <w:sz w:val="25"/>
        </w:rPr>
        <w:t>ch</w:t>
      </w:r>
      <w:r>
        <w:rPr>
          <w:b/>
          <w:w w:val="99"/>
          <w:sz w:val="25"/>
        </w:rPr>
        <w:t>ae</w:t>
      </w:r>
      <w:r>
        <w:rPr>
          <w:b/>
          <w:w w:val="99"/>
          <w:sz w:val="25"/>
        </w:rPr>
        <w:t>olog</w:t>
      </w:r>
      <w:r>
        <w:rPr>
          <w:b/>
          <w:w w:val="99"/>
          <w:sz w:val="25"/>
        </w:rPr>
        <w:t>ica</w:t>
      </w:r>
      <w:r>
        <w:rPr>
          <w:b/>
          <w:w w:val="99"/>
          <w:sz w:val="25"/>
        </w:rPr>
        <w:t>l</w:t>
      </w:r>
      <w:r>
        <w:rPr>
          <w:b/>
          <w:sz w:val="25"/>
        </w:rPr>
        <w:t> </w:t>
      </w:r>
      <w:r>
        <w:rPr>
          <w:b/>
          <w:w w:val="99"/>
          <w:sz w:val="25"/>
        </w:rPr>
        <w:t>Surv</w:t>
      </w:r>
      <w:r>
        <w:rPr>
          <w:b/>
          <w:w w:val="99"/>
          <w:sz w:val="25"/>
        </w:rPr>
        <w:t>ey</w:t>
      </w:r>
      <w:r>
        <w:rPr>
          <w:b/>
          <w:sz w:val="25"/>
        </w:rPr>
        <w:t> </w:t>
      </w:r>
      <w:r>
        <w:rPr>
          <w:b/>
          <w:w w:val="99"/>
          <w:sz w:val="25"/>
        </w:rPr>
        <w:t>of</w:t>
      </w:r>
      <w:r>
        <w:rPr>
          <w:b/>
          <w:sz w:val="25"/>
        </w:rPr>
        <w:t> </w:t>
      </w:r>
      <w:r>
        <w:rPr>
          <w:b/>
          <w:w w:val="99"/>
          <w:sz w:val="25"/>
        </w:rPr>
        <w:t>Ind</w:t>
      </w:r>
      <w:r>
        <w:rPr>
          <w:b/>
          <w:w w:val="99"/>
          <w:sz w:val="25"/>
        </w:rPr>
        <w:t>ia</w:t>
      </w:r>
      <w:r>
        <w:rPr>
          <w:b/>
          <w:sz w:val="25"/>
        </w:rPr>
        <w:t> </w:t>
      </w:r>
      <w:r>
        <w:rPr>
          <w:b/>
          <w:w w:val="99"/>
          <w:sz w:val="25"/>
        </w:rPr>
        <w:t>-</w:t>
      </w:r>
      <w:r>
        <w:rPr>
          <w:b/>
          <w:sz w:val="25"/>
        </w:rPr>
        <w:t> </w:t>
      </w:r>
      <w:r>
        <w:rPr>
          <w:b/>
          <w:w w:val="99"/>
          <w:sz w:val="25"/>
        </w:rPr>
        <w:t>Fou</w:t>
      </w:r>
      <w:r>
        <w:rPr>
          <w:b/>
          <w:w w:val="99"/>
          <w:sz w:val="25"/>
        </w:rPr>
        <w:t>r</w:t>
      </w:r>
      <w:r>
        <w:rPr>
          <w:b/>
          <w:sz w:val="25"/>
        </w:rPr>
        <w:t> </w:t>
      </w:r>
      <w:r>
        <w:rPr>
          <w:b/>
          <w:w w:val="99"/>
          <w:sz w:val="25"/>
        </w:rPr>
        <w:t>Rep</w:t>
      </w:r>
      <w:r>
        <w:rPr>
          <w:b/>
          <w:w w:val="99"/>
          <w:sz w:val="25"/>
        </w:rPr>
        <w:t>o</w:t>
      </w:r>
      <w:r>
        <w:rPr>
          <w:b/>
          <w:w w:val="99"/>
          <w:sz w:val="25"/>
        </w:rPr>
        <w:t>r</w:t>
      </w:r>
      <w:r>
        <w:rPr>
          <w:b/>
          <w:w w:val="99"/>
          <w:sz w:val="25"/>
        </w:rPr>
        <w:t>t</w:t>
      </w:r>
      <w:r>
        <w:rPr>
          <w:b/>
          <w:w w:val="99"/>
          <w:sz w:val="25"/>
        </w:rPr>
        <w:t>s</w:t>
      </w:r>
      <w:r>
        <w:rPr>
          <w:b/>
          <w:sz w:val="25"/>
        </w:rPr>
        <w:t> </w:t>
      </w:r>
      <w:r>
        <w:rPr>
          <w:b/>
          <w:w w:val="99"/>
          <w:sz w:val="25"/>
        </w:rPr>
        <w:t>M</w:t>
      </w:r>
      <w:r>
        <w:rPr>
          <w:b/>
          <w:w w:val="99"/>
          <w:sz w:val="25"/>
        </w:rPr>
        <w:t>ad</w:t>
      </w:r>
      <w:r>
        <w:rPr>
          <w:b/>
          <w:w w:val="99"/>
          <w:sz w:val="25"/>
        </w:rPr>
        <w:t>e</w:t>
      </w:r>
      <w:r>
        <w:rPr>
          <w:b/>
          <w:sz w:val="25"/>
        </w:rPr>
        <w:t> </w:t>
      </w:r>
      <w:r>
        <w:rPr>
          <w:b/>
          <w:w w:val="99"/>
          <w:sz w:val="25"/>
        </w:rPr>
        <w:t>Du</w:t>
      </w:r>
      <w:r>
        <w:rPr>
          <w:b/>
          <w:w w:val="99"/>
          <w:sz w:val="25"/>
        </w:rPr>
        <w:t>r</w:t>
      </w:r>
      <w:r>
        <w:rPr>
          <w:b/>
          <w:w w:val="99"/>
          <w:sz w:val="25"/>
        </w:rPr>
        <w:t>ing</w:t>
      </w:r>
      <w:r>
        <w:rPr>
          <w:b/>
          <w:sz w:val="25"/>
        </w:rPr>
        <w:t> </w:t>
      </w:r>
      <w:r>
        <w:rPr>
          <w:b/>
          <w:w w:val="99"/>
          <w:sz w:val="25"/>
        </w:rPr>
        <w:t>th</w:t>
      </w:r>
      <w:r>
        <w:rPr>
          <w:b/>
          <w:w w:val="99"/>
          <w:sz w:val="25"/>
        </w:rPr>
        <w:t>e</w:t>
      </w:r>
      <w:r>
        <w:rPr>
          <w:b/>
          <w:sz w:val="25"/>
        </w:rPr>
        <w:t> </w:t>
      </w:r>
      <w:r>
        <w:rPr>
          <w:b/>
          <w:w w:val="99"/>
          <w:sz w:val="25"/>
        </w:rPr>
        <w:t>Years</w:t>
      </w:r>
      <w:r>
        <w:rPr>
          <w:b/>
          <w:sz w:val="25"/>
        </w:rPr>
        <w:t> </w:t>
      </w:r>
      <w:r>
        <w:rPr>
          <w:b/>
          <w:w w:val="99"/>
          <w:sz w:val="25"/>
        </w:rPr>
        <w:t>1862</w:t>
      </w:r>
      <w:r>
        <w:rPr>
          <w:b/>
          <w:w w:val="99"/>
          <w:sz w:val="25"/>
        </w:rPr>
        <w:t>- </w:t>
      </w:r>
      <w:r>
        <w:rPr>
          <w:b/>
          <w:sz w:val="25"/>
        </w:rPr>
        <w:t>63-64-65</w:t>
      </w:r>
      <w:r>
        <w:rPr>
          <w:sz w:val="25"/>
        </w:rPr>
        <w:t>‖</w:t>
      </w:r>
      <w:r>
        <w:rPr>
          <w:sz w:val="25"/>
          <w:vertAlign w:val="superscript"/>
        </w:rPr>
        <w:t>305</w:t>
      </w:r>
      <w:r>
        <w:rPr>
          <w:sz w:val="25"/>
          <w:vertAlign w:val="baseline"/>
        </w:rPr>
        <w:t>. Cunningham refers to Ayodhya thus:</w:t>
      </w:r>
    </w:p>
    <w:p>
      <w:pPr>
        <w:spacing w:line="276" w:lineRule="auto" w:before="156"/>
        <w:ind w:left="1940" w:right="2258" w:firstLine="0"/>
        <w:jc w:val="both"/>
        <w:rPr>
          <w:sz w:val="21"/>
        </w:rPr>
      </w:pPr>
      <w:r>
        <w:rPr>
          <w:spacing w:val="-1"/>
          <w:w w:val="33"/>
          <w:sz w:val="21"/>
        </w:rPr>
        <w:t>―</w:t>
      </w:r>
      <w:r>
        <w:rPr>
          <w:w w:val="100"/>
          <w:sz w:val="21"/>
        </w:rPr>
        <w:t>Th</w:t>
      </w:r>
      <w:r>
        <w:rPr>
          <w:spacing w:val="-1"/>
          <w:w w:val="100"/>
          <w:sz w:val="21"/>
        </w:rPr>
        <w:t>er</w:t>
      </w:r>
      <w:r>
        <w:rPr>
          <w:w w:val="100"/>
          <w:sz w:val="21"/>
        </w:rPr>
        <w:t>e</w:t>
      </w:r>
      <w:r>
        <w:rPr>
          <w:sz w:val="21"/>
        </w:rPr>
        <w:t> </w:t>
      </w:r>
      <w:r>
        <w:rPr>
          <w:spacing w:val="17"/>
          <w:sz w:val="21"/>
        </w:rPr>
        <w:t> </w:t>
      </w:r>
      <w:r>
        <w:rPr>
          <w:spacing w:val="-1"/>
          <w:w w:val="100"/>
          <w:sz w:val="21"/>
        </w:rPr>
        <w:t>ar</w:t>
      </w:r>
      <w:r>
        <w:rPr>
          <w:w w:val="100"/>
          <w:sz w:val="21"/>
        </w:rPr>
        <w:t>e</w:t>
      </w:r>
      <w:r>
        <w:rPr>
          <w:sz w:val="21"/>
        </w:rPr>
        <w:t> </w:t>
      </w:r>
      <w:r>
        <w:rPr>
          <w:spacing w:val="17"/>
          <w:sz w:val="21"/>
        </w:rPr>
        <w:t> </w:t>
      </w:r>
      <w:r>
        <w:rPr>
          <w:w w:val="100"/>
          <w:sz w:val="21"/>
        </w:rPr>
        <w:t>se</w:t>
      </w:r>
      <w:r>
        <w:rPr>
          <w:spacing w:val="-3"/>
          <w:w w:val="100"/>
          <w:sz w:val="21"/>
        </w:rPr>
        <w:t>v</w:t>
      </w:r>
      <w:r>
        <w:rPr>
          <w:spacing w:val="-1"/>
          <w:w w:val="100"/>
          <w:sz w:val="21"/>
        </w:rPr>
        <w:t>era</w:t>
      </w:r>
      <w:r>
        <w:rPr>
          <w:w w:val="100"/>
          <w:sz w:val="21"/>
        </w:rPr>
        <w:t>l</w:t>
      </w:r>
      <w:r>
        <w:rPr>
          <w:sz w:val="21"/>
        </w:rPr>
        <w:t> </w:t>
      </w:r>
      <w:r>
        <w:rPr>
          <w:spacing w:val="18"/>
          <w:sz w:val="21"/>
        </w:rPr>
        <w:t> </w:t>
      </w:r>
      <w:r>
        <w:rPr>
          <w:spacing w:val="-3"/>
          <w:w w:val="100"/>
          <w:sz w:val="21"/>
        </w:rPr>
        <w:t>v</w:t>
      </w:r>
      <w:r>
        <w:rPr>
          <w:spacing w:val="-1"/>
          <w:w w:val="100"/>
          <w:sz w:val="21"/>
        </w:rPr>
        <w:t>er</w:t>
      </w:r>
      <w:r>
        <w:rPr>
          <w:w w:val="100"/>
          <w:sz w:val="21"/>
        </w:rPr>
        <w:t>y</w:t>
      </w:r>
      <w:r>
        <w:rPr>
          <w:sz w:val="21"/>
        </w:rPr>
        <w:t> </w:t>
      </w:r>
      <w:r>
        <w:rPr>
          <w:spacing w:val="16"/>
          <w:sz w:val="21"/>
        </w:rPr>
        <w:t> </w:t>
      </w:r>
      <w:r>
        <w:rPr>
          <w:spacing w:val="-1"/>
          <w:w w:val="100"/>
          <w:sz w:val="21"/>
        </w:rPr>
        <w:t>h</w:t>
      </w:r>
      <w:r>
        <w:rPr>
          <w:spacing w:val="-3"/>
          <w:w w:val="100"/>
          <w:sz w:val="21"/>
        </w:rPr>
        <w:t>o</w:t>
      </w:r>
      <w:r>
        <w:rPr>
          <w:w w:val="100"/>
          <w:sz w:val="21"/>
        </w:rPr>
        <w:t>ly</w:t>
      </w:r>
      <w:r>
        <w:rPr>
          <w:sz w:val="21"/>
        </w:rPr>
        <w:t> </w:t>
      </w:r>
      <w:r>
        <w:rPr>
          <w:spacing w:val="17"/>
          <w:sz w:val="21"/>
        </w:rPr>
        <w:t> </w:t>
      </w:r>
      <w:r>
        <w:rPr>
          <w:w w:val="100"/>
          <w:sz w:val="21"/>
        </w:rPr>
        <w:t>B</w:t>
      </w:r>
      <w:r>
        <w:rPr>
          <w:spacing w:val="-1"/>
          <w:w w:val="100"/>
          <w:sz w:val="21"/>
        </w:rPr>
        <w:t>ra</w:t>
      </w:r>
      <w:r>
        <w:rPr>
          <w:spacing w:val="-3"/>
          <w:w w:val="100"/>
          <w:sz w:val="21"/>
        </w:rPr>
        <w:t>h</w:t>
      </w:r>
      <w:r>
        <w:rPr>
          <w:spacing w:val="-1"/>
          <w:w w:val="100"/>
          <w:sz w:val="21"/>
        </w:rPr>
        <w:t>ma</w:t>
      </w:r>
      <w:r>
        <w:rPr>
          <w:spacing w:val="-3"/>
          <w:w w:val="100"/>
          <w:sz w:val="21"/>
        </w:rPr>
        <w:t>n</w:t>
      </w:r>
      <w:r>
        <w:rPr>
          <w:w w:val="100"/>
          <w:sz w:val="21"/>
        </w:rPr>
        <w:t>ic</w:t>
      </w:r>
      <w:r>
        <w:rPr>
          <w:spacing w:val="-3"/>
          <w:w w:val="100"/>
          <w:sz w:val="21"/>
        </w:rPr>
        <w:t>a</w:t>
      </w:r>
      <w:r>
        <w:rPr>
          <w:w w:val="100"/>
          <w:sz w:val="21"/>
        </w:rPr>
        <w:t>l</w:t>
      </w:r>
      <w:r>
        <w:rPr>
          <w:sz w:val="21"/>
        </w:rPr>
        <w:t> </w:t>
      </w:r>
      <w:r>
        <w:rPr>
          <w:spacing w:val="20"/>
          <w:sz w:val="21"/>
        </w:rPr>
        <w:t> </w:t>
      </w:r>
      <w:r>
        <w:rPr>
          <w:spacing w:val="-2"/>
          <w:w w:val="100"/>
          <w:sz w:val="21"/>
        </w:rPr>
        <w:t>t</w:t>
      </w:r>
      <w:r>
        <w:rPr>
          <w:spacing w:val="-3"/>
          <w:w w:val="100"/>
          <w:sz w:val="21"/>
        </w:rPr>
        <w:t>e</w:t>
      </w:r>
      <w:r>
        <w:rPr>
          <w:spacing w:val="-1"/>
          <w:w w:val="100"/>
          <w:sz w:val="21"/>
        </w:rPr>
        <w:t>m</w:t>
      </w:r>
      <w:r>
        <w:rPr>
          <w:spacing w:val="-3"/>
          <w:w w:val="100"/>
          <w:sz w:val="21"/>
        </w:rPr>
        <w:t>p</w:t>
      </w:r>
      <w:r>
        <w:rPr>
          <w:w w:val="100"/>
          <w:sz w:val="21"/>
        </w:rPr>
        <w:t>l</w:t>
      </w:r>
      <w:r>
        <w:rPr>
          <w:spacing w:val="-1"/>
          <w:w w:val="100"/>
          <w:sz w:val="21"/>
        </w:rPr>
        <w:t>e</w:t>
      </w:r>
      <w:r>
        <w:rPr>
          <w:w w:val="100"/>
          <w:sz w:val="21"/>
        </w:rPr>
        <w:t>s</w:t>
      </w:r>
      <w:r>
        <w:rPr>
          <w:sz w:val="21"/>
        </w:rPr>
        <w:t> </w:t>
      </w:r>
      <w:r>
        <w:rPr>
          <w:spacing w:val="17"/>
          <w:sz w:val="21"/>
        </w:rPr>
        <w:t> </w:t>
      </w:r>
      <w:r>
        <w:rPr>
          <w:spacing w:val="-1"/>
          <w:w w:val="100"/>
          <w:sz w:val="21"/>
        </w:rPr>
        <w:t>a</w:t>
      </w:r>
      <w:r>
        <w:rPr>
          <w:spacing w:val="-3"/>
          <w:w w:val="100"/>
          <w:sz w:val="21"/>
        </w:rPr>
        <w:t>b</w:t>
      </w:r>
      <w:r>
        <w:rPr>
          <w:spacing w:val="-1"/>
          <w:w w:val="100"/>
          <w:sz w:val="21"/>
        </w:rPr>
        <w:t>out </w:t>
      </w:r>
      <w:r>
        <w:rPr>
          <w:sz w:val="21"/>
        </w:rPr>
        <w:t>Ajudhya, but they are all of modern date, and without any architectural pretensions whatever. But there can be no doubt that most of them occupy the sites of more ancient temples that were destroyed by the Musulmans. Thus Ramkot, or Hanuman Garhi, on the east side of the city, is a small walled fort surrounding a modern temple on the top of an ancient mound. The name Ramkot is certainly old, as it is connected with the traditions of the Mani Parbat, which will be hereafter mentioned; but the temple of Hanuman is not older than the time of Aurangzib. Ram Ghat, at the north-east corner of the city, is said to be the spot where Rama bathed, and </w:t>
      </w:r>
      <w:r>
        <w:rPr>
          <w:w w:val="100"/>
          <w:sz w:val="21"/>
        </w:rPr>
        <w:t>S</w:t>
      </w:r>
      <w:r>
        <w:rPr>
          <w:spacing w:val="-1"/>
          <w:w w:val="100"/>
          <w:sz w:val="21"/>
        </w:rPr>
        <w:t>argd</w:t>
      </w:r>
      <w:r>
        <w:rPr>
          <w:spacing w:val="-4"/>
          <w:w w:val="100"/>
          <w:sz w:val="21"/>
        </w:rPr>
        <w:t>w</w:t>
      </w:r>
      <w:r>
        <w:rPr>
          <w:spacing w:val="-1"/>
          <w:w w:val="100"/>
          <w:sz w:val="21"/>
        </w:rPr>
        <w:t>ar</w:t>
      </w:r>
      <w:r>
        <w:rPr>
          <w:w w:val="100"/>
          <w:sz w:val="21"/>
        </w:rPr>
        <w:t>i</w:t>
      </w:r>
      <w:r>
        <w:rPr>
          <w:sz w:val="21"/>
        </w:rPr>
        <w:t> </w:t>
      </w:r>
      <w:r>
        <w:rPr>
          <w:spacing w:val="-14"/>
          <w:sz w:val="21"/>
        </w:rPr>
        <w:t> </w:t>
      </w:r>
      <w:r>
        <w:rPr>
          <w:spacing w:val="-1"/>
          <w:w w:val="100"/>
          <w:sz w:val="21"/>
        </w:rPr>
        <w:t>o</w:t>
      </w:r>
      <w:r>
        <w:rPr>
          <w:w w:val="100"/>
          <w:sz w:val="21"/>
        </w:rPr>
        <w:t>r</w:t>
      </w:r>
      <w:r>
        <w:rPr>
          <w:sz w:val="21"/>
        </w:rPr>
        <w:t> </w:t>
      </w:r>
      <w:r>
        <w:rPr>
          <w:spacing w:val="-15"/>
          <w:sz w:val="21"/>
        </w:rPr>
        <w:t> </w:t>
      </w:r>
      <w:r>
        <w:rPr>
          <w:w w:val="100"/>
          <w:sz w:val="21"/>
        </w:rPr>
        <w:t>S</w:t>
      </w:r>
      <w:r>
        <w:rPr>
          <w:spacing w:val="-2"/>
          <w:w w:val="100"/>
          <w:sz w:val="21"/>
        </w:rPr>
        <w:t>w</w:t>
      </w:r>
      <w:r>
        <w:rPr>
          <w:spacing w:val="-1"/>
          <w:w w:val="100"/>
          <w:sz w:val="21"/>
        </w:rPr>
        <w:t>ar</w:t>
      </w:r>
      <w:r>
        <w:rPr>
          <w:spacing w:val="-3"/>
          <w:w w:val="100"/>
          <w:sz w:val="21"/>
        </w:rPr>
        <w:t>g</w:t>
      </w:r>
      <w:r>
        <w:rPr>
          <w:spacing w:val="-1"/>
          <w:w w:val="100"/>
          <w:sz w:val="21"/>
        </w:rPr>
        <w:t>adw</w:t>
      </w:r>
      <w:r>
        <w:rPr>
          <w:spacing w:val="-3"/>
          <w:w w:val="100"/>
          <w:sz w:val="21"/>
        </w:rPr>
        <w:t>a</w:t>
      </w:r>
      <w:r>
        <w:rPr>
          <w:spacing w:val="-1"/>
          <w:w w:val="100"/>
          <w:sz w:val="21"/>
        </w:rPr>
        <w:t>r</w:t>
      </w:r>
      <w:r>
        <w:rPr>
          <w:w w:val="100"/>
          <w:sz w:val="21"/>
        </w:rPr>
        <w:t>i,</w:t>
      </w:r>
      <w:r>
        <w:rPr>
          <w:sz w:val="21"/>
        </w:rPr>
        <w:t> </w:t>
      </w:r>
      <w:r>
        <w:rPr>
          <w:spacing w:val="-15"/>
          <w:sz w:val="21"/>
        </w:rPr>
        <w:t> </w:t>
      </w:r>
      <w:r>
        <w:rPr>
          <w:spacing w:val="-2"/>
          <w:w w:val="100"/>
          <w:sz w:val="21"/>
        </w:rPr>
        <w:t>t</w:t>
      </w:r>
      <w:r>
        <w:rPr>
          <w:spacing w:val="-1"/>
          <w:w w:val="100"/>
          <w:sz w:val="21"/>
        </w:rPr>
        <w:t>h</w:t>
      </w:r>
      <w:r>
        <w:rPr>
          <w:w w:val="100"/>
          <w:sz w:val="21"/>
        </w:rPr>
        <w:t>e</w:t>
      </w:r>
      <w:r>
        <w:rPr>
          <w:sz w:val="21"/>
        </w:rPr>
        <w:t> </w:t>
      </w:r>
      <w:r>
        <w:rPr>
          <w:spacing w:val="-14"/>
          <w:sz w:val="21"/>
        </w:rPr>
        <w:t> </w:t>
      </w:r>
      <w:r>
        <w:rPr>
          <w:spacing w:val="-1"/>
          <w:w w:val="33"/>
          <w:sz w:val="21"/>
        </w:rPr>
        <w:t>―</w:t>
      </w:r>
      <w:r>
        <w:rPr>
          <w:spacing w:val="-2"/>
          <w:w w:val="100"/>
          <w:sz w:val="21"/>
        </w:rPr>
        <w:t>G</w:t>
      </w:r>
      <w:r>
        <w:rPr>
          <w:spacing w:val="-1"/>
          <w:w w:val="100"/>
          <w:sz w:val="21"/>
        </w:rPr>
        <w:t>at</w:t>
      </w:r>
      <w:r>
        <w:rPr>
          <w:w w:val="100"/>
          <w:sz w:val="21"/>
        </w:rPr>
        <w:t>e</w:t>
      </w:r>
      <w:r>
        <w:rPr>
          <w:sz w:val="21"/>
        </w:rPr>
        <w:t> </w:t>
      </w:r>
      <w:r>
        <w:rPr>
          <w:spacing w:val="-14"/>
          <w:sz w:val="21"/>
        </w:rPr>
        <w:t> </w:t>
      </w:r>
      <w:r>
        <w:rPr>
          <w:spacing w:val="-1"/>
          <w:w w:val="100"/>
          <w:sz w:val="21"/>
        </w:rPr>
        <w:t>o</w:t>
      </w:r>
      <w:r>
        <w:rPr>
          <w:w w:val="100"/>
          <w:sz w:val="21"/>
        </w:rPr>
        <w:t>f</w:t>
      </w:r>
      <w:r>
        <w:rPr>
          <w:sz w:val="21"/>
        </w:rPr>
        <w:t> </w:t>
      </w:r>
      <w:r>
        <w:rPr>
          <w:spacing w:val="-13"/>
          <w:sz w:val="21"/>
        </w:rPr>
        <w:t> </w:t>
      </w:r>
      <w:r>
        <w:rPr>
          <w:w w:val="100"/>
          <w:sz w:val="21"/>
        </w:rPr>
        <w:t>P</w:t>
      </w:r>
      <w:r>
        <w:rPr>
          <w:spacing w:val="-1"/>
          <w:w w:val="100"/>
          <w:sz w:val="21"/>
        </w:rPr>
        <w:t>ara</w:t>
      </w:r>
      <w:r>
        <w:rPr>
          <w:spacing w:val="-3"/>
          <w:w w:val="100"/>
          <w:sz w:val="21"/>
        </w:rPr>
        <w:t>d</w:t>
      </w:r>
      <w:r>
        <w:rPr>
          <w:w w:val="100"/>
          <w:sz w:val="21"/>
        </w:rPr>
        <w:t>is</w:t>
      </w:r>
      <w:r>
        <w:rPr>
          <w:spacing w:val="-3"/>
          <w:w w:val="100"/>
          <w:sz w:val="21"/>
        </w:rPr>
        <w:t>e</w:t>
      </w:r>
      <w:r>
        <w:rPr>
          <w:spacing w:val="-2"/>
          <w:w w:val="100"/>
          <w:sz w:val="21"/>
        </w:rPr>
        <w:t>.</w:t>
      </w:r>
      <w:r>
        <w:rPr>
          <w:w w:val="81"/>
          <w:sz w:val="21"/>
        </w:rPr>
        <w:t>‖</w:t>
      </w:r>
      <w:r>
        <w:rPr>
          <w:sz w:val="21"/>
        </w:rPr>
        <w:t> </w:t>
      </w:r>
      <w:r>
        <w:rPr>
          <w:spacing w:val="-15"/>
          <w:sz w:val="21"/>
        </w:rPr>
        <w:t> </w:t>
      </w:r>
      <w:r>
        <w:rPr>
          <w:spacing w:val="-2"/>
          <w:w w:val="100"/>
          <w:sz w:val="21"/>
        </w:rPr>
        <w:t>O</w:t>
      </w:r>
      <w:r>
        <w:rPr>
          <w:w w:val="100"/>
          <w:sz w:val="21"/>
        </w:rPr>
        <w:t>n</w:t>
      </w:r>
      <w:r>
        <w:rPr>
          <w:sz w:val="21"/>
        </w:rPr>
        <w:t> </w:t>
      </w:r>
      <w:r>
        <w:rPr>
          <w:spacing w:val="-14"/>
          <w:sz w:val="21"/>
        </w:rPr>
        <w:t> </w:t>
      </w:r>
      <w:r>
        <w:rPr>
          <w:spacing w:val="-2"/>
          <w:w w:val="100"/>
          <w:sz w:val="21"/>
        </w:rPr>
        <w:t>t</w:t>
      </w:r>
      <w:r>
        <w:rPr>
          <w:spacing w:val="-1"/>
          <w:w w:val="100"/>
          <w:sz w:val="21"/>
        </w:rPr>
        <w:t>he </w:t>
      </w:r>
      <w:r>
        <w:rPr>
          <w:sz w:val="21"/>
        </w:rPr>
        <w:t>north-west is believed to be the place where his body was burned. Within a few years ago there was still standing a very </w:t>
      </w:r>
      <w:r>
        <w:rPr>
          <w:w w:val="100"/>
          <w:sz w:val="21"/>
        </w:rPr>
        <w:t>ho</w:t>
      </w:r>
      <w:r>
        <w:rPr>
          <w:spacing w:val="1"/>
          <w:w w:val="100"/>
          <w:sz w:val="21"/>
        </w:rPr>
        <w:t>l</w:t>
      </w:r>
      <w:r>
        <w:rPr>
          <w:spacing w:val="-3"/>
          <w:w w:val="100"/>
          <w:sz w:val="21"/>
        </w:rPr>
        <w:t>y</w:t>
      </w:r>
      <w:r>
        <w:rPr>
          <w:spacing w:val="-1"/>
          <w:w w:val="100"/>
          <w:sz w:val="21"/>
        </w:rPr>
        <w:t>-</w:t>
      </w:r>
      <w:r>
        <w:rPr>
          <w:w w:val="100"/>
          <w:sz w:val="21"/>
        </w:rPr>
        <w:t>B</w:t>
      </w:r>
      <w:r>
        <w:rPr>
          <w:spacing w:val="-3"/>
          <w:w w:val="100"/>
          <w:sz w:val="21"/>
        </w:rPr>
        <w:t>a</w:t>
      </w:r>
      <w:r>
        <w:rPr>
          <w:spacing w:val="-1"/>
          <w:w w:val="100"/>
          <w:sz w:val="21"/>
        </w:rPr>
        <w:t>n</w:t>
      </w:r>
      <w:r>
        <w:rPr>
          <w:spacing w:val="-3"/>
          <w:w w:val="100"/>
          <w:sz w:val="21"/>
        </w:rPr>
        <w:t>y</w:t>
      </w:r>
      <w:r>
        <w:rPr>
          <w:spacing w:val="-1"/>
          <w:w w:val="100"/>
          <w:sz w:val="21"/>
        </w:rPr>
        <w:t>a</w:t>
      </w:r>
      <w:r>
        <w:rPr>
          <w:w w:val="100"/>
          <w:sz w:val="21"/>
        </w:rPr>
        <w:t>n</w:t>
      </w:r>
      <w:r>
        <w:rPr>
          <w:spacing w:val="28"/>
          <w:sz w:val="21"/>
        </w:rPr>
        <w:t> </w:t>
      </w:r>
      <w:r>
        <w:rPr>
          <w:spacing w:val="-2"/>
          <w:w w:val="100"/>
          <w:sz w:val="21"/>
        </w:rPr>
        <w:t>t</w:t>
      </w:r>
      <w:r>
        <w:rPr>
          <w:spacing w:val="-1"/>
          <w:w w:val="100"/>
          <w:sz w:val="21"/>
        </w:rPr>
        <w:t>re</w:t>
      </w:r>
      <w:r>
        <w:rPr>
          <w:w w:val="100"/>
          <w:sz w:val="21"/>
        </w:rPr>
        <w:t>e</w:t>
      </w:r>
      <w:r>
        <w:rPr>
          <w:spacing w:val="28"/>
          <w:sz w:val="21"/>
        </w:rPr>
        <w:t> </w:t>
      </w:r>
      <w:r>
        <w:rPr>
          <w:w w:val="100"/>
          <w:sz w:val="21"/>
        </w:rPr>
        <w:t>c</w:t>
      </w:r>
      <w:r>
        <w:rPr>
          <w:spacing w:val="-3"/>
          <w:w w:val="100"/>
          <w:sz w:val="21"/>
        </w:rPr>
        <w:t>a</w:t>
      </w:r>
      <w:r>
        <w:rPr>
          <w:w w:val="100"/>
          <w:sz w:val="21"/>
        </w:rPr>
        <w:t>ll</w:t>
      </w:r>
      <w:r>
        <w:rPr>
          <w:spacing w:val="-3"/>
          <w:w w:val="100"/>
          <w:sz w:val="21"/>
        </w:rPr>
        <w:t>e</w:t>
      </w:r>
      <w:r>
        <w:rPr>
          <w:w w:val="100"/>
          <w:sz w:val="21"/>
        </w:rPr>
        <w:t>d</w:t>
      </w:r>
      <w:r>
        <w:rPr>
          <w:spacing w:val="25"/>
          <w:sz w:val="21"/>
        </w:rPr>
        <w:t> </w:t>
      </w:r>
      <w:r>
        <w:rPr>
          <w:w w:val="100"/>
          <w:sz w:val="21"/>
        </w:rPr>
        <w:t>As</w:t>
      </w:r>
      <w:r>
        <w:rPr>
          <w:spacing w:val="-3"/>
          <w:w w:val="100"/>
          <w:sz w:val="21"/>
        </w:rPr>
        <w:t>o</w:t>
      </w:r>
      <w:r>
        <w:rPr>
          <w:w w:val="100"/>
          <w:sz w:val="21"/>
        </w:rPr>
        <w:t>k</w:t>
      </w:r>
      <w:r>
        <w:rPr>
          <w:spacing w:val="27"/>
          <w:sz w:val="21"/>
        </w:rPr>
        <w:t> </w:t>
      </w:r>
      <w:r>
        <w:rPr>
          <w:w w:val="100"/>
          <w:sz w:val="21"/>
        </w:rPr>
        <w:t>B</w:t>
      </w:r>
      <w:r>
        <w:rPr>
          <w:spacing w:val="-1"/>
          <w:w w:val="100"/>
          <w:sz w:val="21"/>
        </w:rPr>
        <w:t>at</w:t>
      </w:r>
      <w:r>
        <w:rPr>
          <w:w w:val="100"/>
          <w:sz w:val="21"/>
        </w:rPr>
        <w:t>,</w:t>
      </w:r>
      <w:r>
        <w:rPr>
          <w:spacing w:val="26"/>
          <w:sz w:val="21"/>
        </w:rPr>
        <w:t> </w:t>
      </w:r>
      <w:r>
        <w:rPr>
          <w:spacing w:val="-1"/>
          <w:w w:val="100"/>
          <w:sz w:val="21"/>
        </w:rPr>
        <w:t>o</w:t>
      </w:r>
      <w:r>
        <w:rPr>
          <w:w w:val="100"/>
          <w:sz w:val="21"/>
        </w:rPr>
        <w:t>r</w:t>
      </w:r>
      <w:r>
        <w:rPr>
          <w:spacing w:val="27"/>
          <w:sz w:val="21"/>
        </w:rPr>
        <w:t> </w:t>
      </w:r>
      <w:r>
        <w:rPr>
          <w:spacing w:val="-2"/>
          <w:w w:val="100"/>
          <w:sz w:val="21"/>
        </w:rPr>
        <w:t>t</w:t>
      </w:r>
      <w:r>
        <w:rPr>
          <w:spacing w:val="-1"/>
          <w:w w:val="100"/>
          <w:sz w:val="21"/>
        </w:rPr>
        <w:t>h</w:t>
      </w:r>
      <w:r>
        <w:rPr>
          <w:w w:val="100"/>
          <w:sz w:val="21"/>
        </w:rPr>
        <w:t>e</w:t>
      </w:r>
      <w:r>
        <w:rPr>
          <w:spacing w:val="28"/>
          <w:sz w:val="21"/>
        </w:rPr>
        <w:t> </w:t>
      </w:r>
      <w:r>
        <w:rPr>
          <w:spacing w:val="-1"/>
          <w:w w:val="33"/>
          <w:sz w:val="21"/>
        </w:rPr>
        <w:t>―</w:t>
      </w:r>
      <w:r>
        <w:rPr>
          <w:spacing w:val="-2"/>
          <w:w w:val="100"/>
          <w:sz w:val="21"/>
        </w:rPr>
        <w:t>G</w:t>
      </w:r>
      <w:r>
        <w:rPr>
          <w:spacing w:val="-1"/>
          <w:w w:val="100"/>
          <w:sz w:val="21"/>
        </w:rPr>
        <w:t>r</w:t>
      </w:r>
      <w:r>
        <w:rPr>
          <w:w w:val="100"/>
          <w:sz w:val="21"/>
        </w:rPr>
        <w:t>i</w:t>
      </w:r>
      <w:r>
        <w:rPr>
          <w:spacing w:val="-3"/>
          <w:w w:val="100"/>
          <w:sz w:val="21"/>
        </w:rPr>
        <w:t>e</w:t>
      </w:r>
      <w:r>
        <w:rPr>
          <w:spacing w:val="-2"/>
          <w:w w:val="100"/>
          <w:sz w:val="21"/>
        </w:rPr>
        <w:t>f</w:t>
      </w:r>
      <w:r>
        <w:rPr>
          <w:w w:val="100"/>
          <w:sz w:val="21"/>
        </w:rPr>
        <w:t>l</w:t>
      </w:r>
      <w:r>
        <w:rPr>
          <w:spacing w:val="-3"/>
          <w:w w:val="100"/>
          <w:sz w:val="21"/>
        </w:rPr>
        <w:t>e</w:t>
      </w:r>
      <w:r>
        <w:rPr>
          <w:w w:val="100"/>
          <w:sz w:val="21"/>
        </w:rPr>
        <w:t>ss</w:t>
      </w:r>
      <w:r>
        <w:rPr>
          <w:spacing w:val="27"/>
          <w:sz w:val="21"/>
        </w:rPr>
        <w:t> </w:t>
      </w:r>
      <w:r>
        <w:rPr>
          <w:w w:val="100"/>
          <w:sz w:val="21"/>
        </w:rPr>
        <w:t>B</w:t>
      </w:r>
      <w:r>
        <w:rPr>
          <w:spacing w:val="-3"/>
          <w:w w:val="100"/>
          <w:sz w:val="21"/>
        </w:rPr>
        <w:t>a</w:t>
      </w:r>
      <w:r>
        <w:rPr>
          <w:spacing w:val="-1"/>
          <w:w w:val="100"/>
          <w:sz w:val="21"/>
        </w:rPr>
        <w:t>n</w:t>
      </w:r>
      <w:r>
        <w:rPr>
          <w:spacing w:val="-3"/>
          <w:w w:val="100"/>
          <w:sz w:val="21"/>
        </w:rPr>
        <w:t>y</w:t>
      </w:r>
      <w:r>
        <w:rPr>
          <w:spacing w:val="-1"/>
          <w:w w:val="100"/>
          <w:sz w:val="21"/>
        </w:rPr>
        <w:t>an,</w:t>
      </w:r>
    </w:p>
    <w:p>
      <w:pPr>
        <w:spacing w:line="276" w:lineRule="auto" w:before="0"/>
        <w:ind w:left="1940" w:right="2260" w:firstLine="0"/>
        <w:jc w:val="both"/>
        <w:rPr>
          <w:sz w:val="21"/>
        </w:rPr>
      </w:pPr>
      <w:r>
        <w:rPr>
          <w:spacing w:val="-1"/>
          <w:w w:val="33"/>
          <w:sz w:val="21"/>
        </w:rPr>
        <w:t>―</w:t>
      </w:r>
      <w:r>
        <w:rPr>
          <w:w w:val="100"/>
          <w:sz w:val="21"/>
        </w:rPr>
        <w:t>a</w:t>
      </w:r>
      <w:r>
        <w:rPr>
          <w:sz w:val="21"/>
        </w:rPr>
        <w:t>  </w:t>
      </w:r>
      <w:r>
        <w:rPr>
          <w:spacing w:val="7"/>
          <w:sz w:val="21"/>
        </w:rPr>
        <w:t> </w:t>
      </w:r>
      <w:r>
        <w:rPr>
          <w:spacing w:val="-1"/>
          <w:w w:val="100"/>
          <w:sz w:val="21"/>
        </w:rPr>
        <w:t>n</w:t>
      </w:r>
      <w:r>
        <w:rPr>
          <w:spacing w:val="-3"/>
          <w:w w:val="100"/>
          <w:sz w:val="21"/>
        </w:rPr>
        <w:t>a</w:t>
      </w:r>
      <w:r>
        <w:rPr>
          <w:spacing w:val="1"/>
          <w:w w:val="100"/>
          <w:sz w:val="21"/>
        </w:rPr>
        <w:t>m</w:t>
      </w:r>
      <w:r>
        <w:rPr>
          <w:w w:val="100"/>
          <w:sz w:val="21"/>
        </w:rPr>
        <w:t>e</w:t>
      </w:r>
      <w:r>
        <w:rPr>
          <w:sz w:val="21"/>
        </w:rPr>
        <w:t>  </w:t>
      </w:r>
      <w:r>
        <w:rPr>
          <w:spacing w:val="7"/>
          <w:sz w:val="21"/>
        </w:rPr>
        <w:t> </w:t>
      </w:r>
      <w:r>
        <w:rPr>
          <w:spacing w:val="-2"/>
          <w:w w:val="100"/>
          <w:sz w:val="21"/>
        </w:rPr>
        <w:t>w</w:t>
      </w:r>
      <w:r>
        <w:rPr>
          <w:spacing w:val="-1"/>
          <w:w w:val="100"/>
          <w:sz w:val="21"/>
        </w:rPr>
        <w:t>h</w:t>
      </w:r>
      <w:r>
        <w:rPr>
          <w:spacing w:val="-2"/>
          <w:w w:val="100"/>
          <w:sz w:val="21"/>
        </w:rPr>
        <w:t>i</w:t>
      </w:r>
      <w:r>
        <w:rPr>
          <w:w w:val="100"/>
          <w:sz w:val="21"/>
        </w:rPr>
        <w:t>ch</w:t>
      </w:r>
      <w:r>
        <w:rPr>
          <w:sz w:val="21"/>
        </w:rPr>
        <w:t>  </w:t>
      </w:r>
      <w:r>
        <w:rPr>
          <w:spacing w:val="7"/>
          <w:sz w:val="21"/>
        </w:rPr>
        <w:t> </w:t>
      </w:r>
      <w:r>
        <w:rPr>
          <w:spacing w:val="-2"/>
          <w:w w:val="100"/>
          <w:sz w:val="21"/>
        </w:rPr>
        <w:t>w</w:t>
      </w:r>
      <w:r>
        <w:rPr>
          <w:spacing w:val="-1"/>
          <w:w w:val="100"/>
          <w:sz w:val="21"/>
        </w:rPr>
        <w:t>a</w:t>
      </w:r>
      <w:r>
        <w:rPr>
          <w:w w:val="100"/>
          <w:sz w:val="21"/>
        </w:rPr>
        <w:t>s</w:t>
      </w:r>
      <w:r>
        <w:rPr>
          <w:sz w:val="21"/>
        </w:rPr>
        <w:t>  </w:t>
      </w:r>
      <w:r>
        <w:rPr>
          <w:spacing w:val="4"/>
          <w:sz w:val="21"/>
        </w:rPr>
        <w:t> </w:t>
      </w:r>
      <w:r>
        <w:rPr>
          <w:spacing w:val="-1"/>
          <w:w w:val="100"/>
          <w:sz w:val="21"/>
        </w:rPr>
        <w:t>prob</w:t>
      </w:r>
      <w:r>
        <w:rPr>
          <w:spacing w:val="-3"/>
          <w:w w:val="100"/>
          <w:sz w:val="21"/>
        </w:rPr>
        <w:t>a</w:t>
      </w:r>
      <w:r>
        <w:rPr>
          <w:spacing w:val="-1"/>
          <w:w w:val="100"/>
          <w:sz w:val="21"/>
        </w:rPr>
        <w:t>b</w:t>
      </w:r>
      <w:r>
        <w:rPr>
          <w:spacing w:val="1"/>
          <w:w w:val="100"/>
          <w:sz w:val="21"/>
        </w:rPr>
        <w:t>l</w:t>
      </w:r>
      <w:r>
        <w:rPr>
          <w:w w:val="100"/>
          <w:sz w:val="21"/>
        </w:rPr>
        <w:t>y</w:t>
      </w:r>
      <w:r>
        <w:rPr>
          <w:sz w:val="21"/>
        </w:rPr>
        <w:t>  </w:t>
      </w:r>
      <w:r>
        <w:rPr>
          <w:spacing w:val="4"/>
          <w:sz w:val="21"/>
        </w:rPr>
        <w:t> </w:t>
      </w:r>
      <w:r>
        <w:rPr>
          <w:w w:val="100"/>
          <w:sz w:val="21"/>
        </w:rPr>
        <w:t>con</w:t>
      </w:r>
      <w:r>
        <w:rPr>
          <w:spacing w:val="-2"/>
          <w:w w:val="100"/>
          <w:sz w:val="21"/>
        </w:rPr>
        <w:t>n</w:t>
      </w:r>
      <w:r>
        <w:rPr>
          <w:spacing w:val="-1"/>
          <w:w w:val="100"/>
          <w:sz w:val="21"/>
        </w:rPr>
        <w:t>ecte</w:t>
      </w:r>
      <w:r>
        <w:rPr>
          <w:w w:val="100"/>
          <w:sz w:val="21"/>
        </w:rPr>
        <w:t>d</w:t>
      </w:r>
      <w:r>
        <w:rPr>
          <w:sz w:val="21"/>
        </w:rPr>
        <w:t>  </w:t>
      </w:r>
      <w:r>
        <w:rPr>
          <w:spacing w:val="7"/>
          <w:sz w:val="21"/>
        </w:rPr>
        <w:t> </w:t>
      </w:r>
      <w:r>
        <w:rPr>
          <w:spacing w:val="-2"/>
          <w:w w:val="100"/>
          <w:sz w:val="21"/>
        </w:rPr>
        <w:t>w</w:t>
      </w:r>
      <w:r>
        <w:rPr>
          <w:w w:val="100"/>
          <w:sz w:val="21"/>
        </w:rPr>
        <w:t>i</w:t>
      </w:r>
      <w:r>
        <w:rPr>
          <w:spacing w:val="-4"/>
          <w:w w:val="100"/>
          <w:sz w:val="21"/>
        </w:rPr>
        <w:t>t</w:t>
      </w:r>
      <w:r>
        <w:rPr>
          <w:w w:val="100"/>
          <w:sz w:val="21"/>
        </w:rPr>
        <w:t>h</w:t>
      </w:r>
      <w:r>
        <w:rPr>
          <w:sz w:val="21"/>
        </w:rPr>
        <w:t>  </w:t>
      </w:r>
      <w:r>
        <w:rPr>
          <w:spacing w:val="7"/>
          <w:sz w:val="21"/>
        </w:rPr>
        <w:t> </w:t>
      </w:r>
      <w:r>
        <w:rPr>
          <w:spacing w:val="-2"/>
          <w:w w:val="100"/>
          <w:sz w:val="21"/>
        </w:rPr>
        <w:t>t</w:t>
      </w:r>
      <w:r>
        <w:rPr>
          <w:spacing w:val="-1"/>
          <w:w w:val="100"/>
          <w:sz w:val="21"/>
        </w:rPr>
        <w:t>ha</w:t>
      </w:r>
      <w:r>
        <w:rPr>
          <w:w w:val="100"/>
          <w:sz w:val="21"/>
        </w:rPr>
        <w:t>t</w:t>
      </w:r>
      <w:r>
        <w:rPr>
          <w:sz w:val="21"/>
        </w:rPr>
        <w:t>  </w:t>
      </w:r>
      <w:r>
        <w:rPr>
          <w:spacing w:val="6"/>
          <w:sz w:val="21"/>
        </w:rPr>
        <w:t> </w:t>
      </w:r>
      <w:r>
        <w:rPr>
          <w:spacing w:val="-1"/>
          <w:w w:val="100"/>
          <w:sz w:val="21"/>
        </w:rPr>
        <w:t>of </w:t>
      </w:r>
      <w:r>
        <w:rPr>
          <w:sz w:val="21"/>
        </w:rPr>
        <w:t>Swargadwari, in the belief that people who died or were burned at this spot were at once relieved from the necessity of future births. Close by is the Lakshman Ghat, where his brother Lakshman bathed, and about one-quarter of a mile distant, in the very heart of the city, stands the Janam Asthan, </w:t>
      </w:r>
      <w:r>
        <w:rPr>
          <w:spacing w:val="-1"/>
          <w:w w:val="100"/>
          <w:sz w:val="21"/>
        </w:rPr>
        <w:t>o</w:t>
      </w:r>
      <w:r>
        <w:rPr>
          <w:w w:val="100"/>
          <w:sz w:val="21"/>
        </w:rPr>
        <w:t>r</w:t>
      </w:r>
      <w:r>
        <w:rPr>
          <w:sz w:val="21"/>
        </w:rPr>
        <w:t> </w:t>
      </w:r>
      <w:r>
        <w:rPr>
          <w:spacing w:val="28"/>
          <w:sz w:val="21"/>
        </w:rPr>
        <w:t> </w:t>
      </w:r>
      <w:r>
        <w:rPr>
          <w:spacing w:val="-1"/>
          <w:w w:val="33"/>
          <w:sz w:val="21"/>
        </w:rPr>
        <w:t>―</w:t>
      </w:r>
      <w:r>
        <w:rPr>
          <w:w w:val="100"/>
          <w:sz w:val="21"/>
        </w:rPr>
        <w:t>Bi</w:t>
      </w:r>
      <w:r>
        <w:rPr>
          <w:spacing w:val="-1"/>
          <w:w w:val="100"/>
          <w:sz w:val="21"/>
        </w:rPr>
        <w:t>r</w:t>
      </w:r>
      <w:r>
        <w:rPr>
          <w:spacing w:val="-2"/>
          <w:w w:val="100"/>
          <w:sz w:val="21"/>
        </w:rPr>
        <w:t>t</w:t>
      </w:r>
      <w:r>
        <w:rPr>
          <w:w w:val="100"/>
          <w:sz w:val="21"/>
        </w:rPr>
        <w:t>h</w:t>
      </w:r>
      <w:r>
        <w:rPr>
          <w:spacing w:val="-1"/>
          <w:w w:val="100"/>
          <w:sz w:val="21"/>
        </w:rPr>
        <w:t>-</w:t>
      </w:r>
      <w:r>
        <w:rPr>
          <w:spacing w:val="-3"/>
          <w:w w:val="100"/>
          <w:sz w:val="21"/>
        </w:rPr>
        <w:t>p</w:t>
      </w:r>
      <w:r>
        <w:rPr>
          <w:w w:val="100"/>
          <w:sz w:val="21"/>
        </w:rPr>
        <w:t>l</w:t>
      </w:r>
      <w:r>
        <w:rPr>
          <w:spacing w:val="-1"/>
          <w:w w:val="100"/>
          <w:sz w:val="21"/>
        </w:rPr>
        <w:t>a</w:t>
      </w:r>
      <w:r>
        <w:rPr>
          <w:spacing w:val="-3"/>
          <w:w w:val="100"/>
          <w:sz w:val="21"/>
        </w:rPr>
        <w:t>c</w:t>
      </w:r>
      <w:r>
        <w:rPr>
          <w:w w:val="100"/>
          <w:sz w:val="21"/>
        </w:rPr>
        <w:t>e</w:t>
      </w:r>
      <w:r>
        <w:rPr>
          <w:sz w:val="21"/>
        </w:rPr>
        <w:t>  </w:t>
      </w:r>
      <w:r>
        <w:rPr>
          <w:spacing w:val="-29"/>
          <w:sz w:val="21"/>
        </w:rPr>
        <w:t> </w:t>
      </w:r>
      <w:r>
        <w:rPr>
          <w:spacing w:val="-2"/>
          <w:w w:val="100"/>
          <w:sz w:val="21"/>
        </w:rPr>
        <w:t>t</w:t>
      </w:r>
      <w:r>
        <w:rPr>
          <w:spacing w:val="-3"/>
          <w:w w:val="100"/>
          <w:sz w:val="21"/>
        </w:rPr>
        <w:t>e</w:t>
      </w:r>
      <w:r>
        <w:rPr>
          <w:spacing w:val="1"/>
          <w:w w:val="100"/>
          <w:sz w:val="21"/>
        </w:rPr>
        <w:t>m</w:t>
      </w:r>
      <w:r>
        <w:rPr>
          <w:spacing w:val="-3"/>
          <w:w w:val="100"/>
          <w:sz w:val="21"/>
        </w:rPr>
        <w:t>p</w:t>
      </w:r>
      <w:r>
        <w:rPr>
          <w:w w:val="100"/>
          <w:sz w:val="21"/>
        </w:rPr>
        <w:t>l</w:t>
      </w:r>
      <w:r>
        <w:rPr>
          <w:spacing w:val="-1"/>
          <w:w w:val="92"/>
          <w:sz w:val="21"/>
        </w:rPr>
        <w:t>e</w:t>
      </w:r>
      <w:r>
        <w:rPr>
          <w:w w:val="92"/>
          <w:sz w:val="21"/>
        </w:rPr>
        <w:t>‖</w:t>
      </w:r>
      <w:r>
        <w:rPr>
          <w:sz w:val="21"/>
        </w:rPr>
        <w:t> </w:t>
      </w:r>
      <w:r>
        <w:rPr>
          <w:spacing w:val="26"/>
          <w:sz w:val="21"/>
        </w:rPr>
        <w:t> </w:t>
      </w:r>
      <w:r>
        <w:rPr>
          <w:spacing w:val="-1"/>
          <w:w w:val="100"/>
          <w:sz w:val="21"/>
        </w:rPr>
        <w:t>o</w:t>
      </w:r>
      <w:r>
        <w:rPr>
          <w:w w:val="100"/>
          <w:sz w:val="21"/>
        </w:rPr>
        <w:t>f</w:t>
      </w:r>
      <w:r>
        <w:rPr>
          <w:sz w:val="21"/>
        </w:rPr>
        <w:t> </w:t>
      </w:r>
      <w:r>
        <w:rPr>
          <w:spacing w:val="28"/>
          <w:sz w:val="21"/>
        </w:rPr>
        <w:t> </w:t>
      </w:r>
      <w:r>
        <w:rPr>
          <w:w w:val="100"/>
          <w:sz w:val="21"/>
        </w:rPr>
        <w:t>R</w:t>
      </w:r>
      <w:r>
        <w:rPr>
          <w:spacing w:val="-3"/>
          <w:w w:val="100"/>
          <w:sz w:val="21"/>
        </w:rPr>
        <w:t>a</w:t>
      </w:r>
      <w:r>
        <w:rPr>
          <w:spacing w:val="1"/>
          <w:w w:val="100"/>
          <w:sz w:val="21"/>
        </w:rPr>
        <w:t>m</w:t>
      </w:r>
      <w:r>
        <w:rPr>
          <w:spacing w:val="-1"/>
          <w:w w:val="100"/>
          <w:sz w:val="21"/>
        </w:rPr>
        <w:t>a</w:t>
      </w:r>
      <w:r>
        <w:rPr>
          <w:w w:val="100"/>
          <w:sz w:val="21"/>
        </w:rPr>
        <w:t>.</w:t>
      </w:r>
      <w:r>
        <w:rPr>
          <w:sz w:val="21"/>
        </w:rPr>
        <w:t> </w:t>
      </w:r>
      <w:r>
        <w:rPr>
          <w:spacing w:val="26"/>
          <w:sz w:val="21"/>
        </w:rPr>
        <w:t> </w:t>
      </w:r>
      <w:r>
        <w:rPr>
          <w:w w:val="100"/>
          <w:sz w:val="21"/>
        </w:rPr>
        <w:t>A</w:t>
      </w:r>
      <w:r>
        <w:rPr>
          <w:spacing w:val="-2"/>
          <w:w w:val="100"/>
          <w:sz w:val="21"/>
        </w:rPr>
        <w:t>l</w:t>
      </w:r>
      <w:r>
        <w:rPr>
          <w:spacing w:val="-1"/>
          <w:w w:val="100"/>
          <w:sz w:val="21"/>
        </w:rPr>
        <w:t>mos</w:t>
      </w:r>
      <w:r>
        <w:rPr>
          <w:w w:val="100"/>
          <w:sz w:val="21"/>
        </w:rPr>
        <w:t>t</w:t>
      </w:r>
      <w:r>
        <w:rPr>
          <w:sz w:val="21"/>
        </w:rPr>
        <w:t> </w:t>
      </w:r>
      <w:r>
        <w:rPr>
          <w:spacing w:val="28"/>
          <w:sz w:val="21"/>
        </w:rPr>
        <w:t> </w:t>
      </w:r>
      <w:r>
        <w:rPr>
          <w:spacing w:val="-1"/>
          <w:w w:val="100"/>
          <w:sz w:val="21"/>
        </w:rPr>
        <w:t>d</w:t>
      </w:r>
      <w:r>
        <w:rPr>
          <w:spacing w:val="-3"/>
          <w:w w:val="100"/>
          <w:sz w:val="21"/>
        </w:rPr>
        <w:t>u</w:t>
      </w:r>
      <w:r>
        <w:rPr>
          <w:w w:val="100"/>
          <w:sz w:val="21"/>
        </w:rPr>
        <w:t>e</w:t>
      </w:r>
      <w:r>
        <w:rPr>
          <w:sz w:val="21"/>
        </w:rPr>
        <w:t>  </w:t>
      </w:r>
      <w:r>
        <w:rPr>
          <w:spacing w:val="-29"/>
          <w:sz w:val="21"/>
        </w:rPr>
        <w:t> </w:t>
      </w:r>
      <w:r>
        <w:rPr>
          <w:spacing w:val="-2"/>
          <w:w w:val="100"/>
          <w:sz w:val="21"/>
        </w:rPr>
        <w:t>w</w:t>
      </w:r>
      <w:r>
        <w:rPr>
          <w:spacing w:val="-1"/>
          <w:w w:val="100"/>
          <w:sz w:val="21"/>
        </w:rPr>
        <w:t>est</w:t>
      </w:r>
      <w:r>
        <w:rPr>
          <w:w w:val="100"/>
          <w:sz w:val="21"/>
        </w:rPr>
        <w:t>,</w:t>
      </w:r>
      <w:r>
        <w:rPr>
          <w:sz w:val="21"/>
        </w:rPr>
        <w:t> </w:t>
      </w:r>
      <w:r>
        <w:rPr>
          <w:spacing w:val="28"/>
          <w:sz w:val="21"/>
        </w:rPr>
        <w:t> </w:t>
      </w:r>
      <w:r>
        <w:rPr>
          <w:spacing w:val="-1"/>
          <w:w w:val="100"/>
          <w:sz w:val="21"/>
        </w:rPr>
        <w:t>and </w:t>
      </w:r>
      <w:r>
        <w:rPr>
          <w:sz w:val="21"/>
        </w:rPr>
        <w:t>upwards of five miles distant, is the Gupta Ghat, with its group of modern white-washed temples. This is the place where Lakshman is said to have disappeared, and hence its name </w:t>
      </w:r>
      <w:r>
        <w:rPr>
          <w:spacing w:val="-1"/>
          <w:w w:val="100"/>
          <w:sz w:val="21"/>
        </w:rPr>
        <w:t>o</w:t>
      </w:r>
      <w:r>
        <w:rPr>
          <w:w w:val="100"/>
          <w:sz w:val="21"/>
        </w:rPr>
        <w:t>f</w:t>
      </w:r>
      <w:r>
        <w:rPr>
          <w:sz w:val="21"/>
        </w:rPr>
        <w:t> </w:t>
      </w:r>
      <w:r>
        <w:rPr>
          <w:spacing w:val="-23"/>
          <w:sz w:val="21"/>
        </w:rPr>
        <w:t> </w:t>
      </w:r>
      <w:r>
        <w:rPr>
          <w:spacing w:val="-2"/>
          <w:w w:val="100"/>
          <w:sz w:val="21"/>
        </w:rPr>
        <w:t>G</w:t>
      </w:r>
      <w:r>
        <w:rPr>
          <w:spacing w:val="-1"/>
          <w:w w:val="100"/>
          <w:sz w:val="21"/>
        </w:rPr>
        <w:t>upta</w:t>
      </w:r>
      <w:r>
        <w:rPr>
          <w:w w:val="100"/>
          <w:sz w:val="21"/>
        </w:rPr>
        <w:t>r</w:t>
      </w:r>
      <w:r>
        <w:rPr>
          <w:sz w:val="21"/>
        </w:rPr>
        <w:t> </w:t>
      </w:r>
      <w:r>
        <w:rPr>
          <w:spacing w:val="-27"/>
          <w:sz w:val="21"/>
        </w:rPr>
        <w:t> </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22"/>
          <w:sz w:val="21"/>
        </w:rPr>
        <w:t> </w:t>
      </w:r>
      <w:r>
        <w:rPr>
          <w:spacing w:val="-2"/>
          <w:w w:val="100"/>
          <w:sz w:val="21"/>
        </w:rPr>
        <w:t>G</w:t>
      </w:r>
      <w:r>
        <w:rPr>
          <w:spacing w:val="-3"/>
          <w:w w:val="100"/>
          <w:sz w:val="21"/>
        </w:rPr>
        <w:t>u</w:t>
      </w:r>
      <w:r>
        <w:rPr>
          <w:spacing w:val="-1"/>
          <w:w w:val="100"/>
          <w:sz w:val="21"/>
        </w:rPr>
        <w:t>pta</w:t>
      </w:r>
      <w:r>
        <w:rPr>
          <w:w w:val="100"/>
          <w:sz w:val="21"/>
        </w:rPr>
        <w:t>,</w:t>
      </w:r>
      <w:r>
        <w:rPr>
          <w:sz w:val="21"/>
        </w:rPr>
        <w:t> </w:t>
      </w:r>
      <w:r>
        <w:rPr>
          <w:spacing w:val="-25"/>
          <w:sz w:val="21"/>
        </w:rPr>
        <w:t> </w:t>
      </w:r>
      <w:r>
        <w:rPr>
          <w:spacing w:val="-2"/>
          <w:w w:val="100"/>
          <w:sz w:val="21"/>
        </w:rPr>
        <w:t>w</w:t>
      </w:r>
      <w:r>
        <w:rPr>
          <w:spacing w:val="-1"/>
          <w:w w:val="100"/>
          <w:sz w:val="21"/>
        </w:rPr>
        <w:t>h</w:t>
      </w:r>
      <w:r>
        <w:rPr>
          <w:spacing w:val="1"/>
          <w:w w:val="100"/>
          <w:sz w:val="21"/>
        </w:rPr>
        <w:t>i</w:t>
      </w:r>
      <w:r>
        <w:rPr>
          <w:w w:val="100"/>
          <w:sz w:val="21"/>
        </w:rPr>
        <w:t>ch</w:t>
      </w:r>
      <w:r>
        <w:rPr>
          <w:sz w:val="21"/>
        </w:rPr>
        <w:t> </w:t>
      </w:r>
      <w:r>
        <w:rPr>
          <w:spacing w:val="-26"/>
          <w:sz w:val="21"/>
        </w:rPr>
        <w:t> </w:t>
      </w:r>
      <w:r>
        <w:rPr>
          <w:spacing w:val="-1"/>
          <w:w w:val="100"/>
          <w:sz w:val="21"/>
        </w:rPr>
        <w:t>mea</w:t>
      </w:r>
      <w:r>
        <w:rPr>
          <w:spacing w:val="-2"/>
          <w:w w:val="100"/>
          <w:sz w:val="21"/>
        </w:rPr>
        <w:t>n</w:t>
      </w:r>
      <w:r>
        <w:rPr>
          <w:w w:val="100"/>
          <w:sz w:val="21"/>
        </w:rPr>
        <w:t>s</w:t>
      </w:r>
      <w:r>
        <w:rPr>
          <w:sz w:val="21"/>
        </w:rPr>
        <w:t> </w:t>
      </w:r>
      <w:r>
        <w:rPr>
          <w:spacing w:val="-24"/>
          <w:sz w:val="21"/>
        </w:rPr>
        <w:t> </w:t>
      </w:r>
      <w:r>
        <w:rPr>
          <w:spacing w:val="-1"/>
          <w:w w:val="33"/>
          <w:sz w:val="21"/>
        </w:rPr>
        <w:t>―</w:t>
      </w:r>
      <w:r>
        <w:rPr>
          <w:spacing w:val="-1"/>
          <w:w w:val="100"/>
          <w:sz w:val="21"/>
        </w:rPr>
        <w:t>h</w:t>
      </w:r>
      <w:r>
        <w:rPr>
          <w:spacing w:val="-2"/>
          <w:w w:val="100"/>
          <w:sz w:val="21"/>
        </w:rPr>
        <w:t>i</w:t>
      </w:r>
      <w:r>
        <w:rPr>
          <w:spacing w:val="-1"/>
          <w:w w:val="100"/>
          <w:sz w:val="21"/>
        </w:rPr>
        <w:t>dd</w:t>
      </w:r>
      <w:r>
        <w:rPr>
          <w:spacing w:val="-2"/>
          <w:w w:val="100"/>
          <w:sz w:val="21"/>
        </w:rPr>
        <w:t>e</w:t>
      </w:r>
      <w:r>
        <w:rPr>
          <w:w w:val="100"/>
          <w:sz w:val="21"/>
        </w:rPr>
        <w:t>n</w:t>
      </w:r>
      <w:r>
        <w:rPr>
          <w:sz w:val="21"/>
        </w:rPr>
        <w:t> </w:t>
      </w:r>
      <w:r>
        <w:rPr>
          <w:spacing w:val="-24"/>
          <w:sz w:val="21"/>
        </w:rPr>
        <w:t> </w:t>
      </w:r>
      <w:r>
        <w:rPr>
          <w:spacing w:val="-1"/>
          <w:w w:val="100"/>
          <w:sz w:val="21"/>
        </w:rPr>
        <w:t>o</w:t>
      </w:r>
      <w:r>
        <w:rPr>
          <w:w w:val="100"/>
          <w:sz w:val="21"/>
        </w:rPr>
        <w:t>r</w:t>
      </w:r>
      <w:r>
        <w:rPr>
          <w:sz w:val="21"/>
        </w:rPr>
        <w:t> </w:t>
      </w:r>
      <w:r>
        <w:rPr>
          <w:spacing w:val="-24"/>
          <w:sz w:val="21"/>
        </w:rPr>
        <w:t> </w:t>
      </w:r>
      <w:r>
        <w:rPr>
          <w:spacing w:val="-3"/>
          <w:w w:val="100"/>
          <w:sz w:val="21"/>
        </w:rPr>
        <w:t>c</w:t>
      </w:r>
      <w:r>
        <w:rPr>
          <w:spacing w:val="-1"/>
          <w:w w:val="100"/>
          <w:sz w:val="21"/>
        </w:rPr>
        <w:t>onc</w:t>
      </w:r>
      <w:r>
        <w:rPr>
          <w:spacing w:val="-2"/>
          <w:w w:val="100"/>
          <w:sz w:val="21"/>
        </w:rPr>
        <w:t>e</w:t>
      </w:r>
      <w:r>
        <w:rPr>
          <w:spacing w:val="-1"/>
          <w:w w:val="100"/>
          <w:sz w:val="21"/>
        </w:rPr>
        <w:t>a</w:t>
      </w:r>
      <w:r>
        <w:rPr>
          <w:spacing w:val="1"/>
          <w:w w:val="100"/>
          <w:sz w:val="21"/>
        </w:rPr>
        <w:t>l</w:t>
      </w:r>
      <w:r>
        <w:rPr>
          <w:spacing w:val="-3"/>
          <w:w w:val="100"/>
          <w:sz w:val="21"/>
        </w:rPr>
        <w:t>e</w:t>
      </w:r>
      <w:r>
        <w:rPr>
          <w:spacing w:val="-1"/>
          <w:w w:val="100"/>
          <w:sz w:val="21"/>
        </w:rPr>
        <w:t>d.</w:t>
      </w:r>
      <w:r>
        <w:rPr>
          <w:w w:val="81"/>
          <w:sz w:val="21"/>
        </w:rPr>
        <w:t>‖ </w:t>
      </w:r>
      <w:r>
        <w:rPr>
          <w:sz w:val="21"/>
        </w:rPr>
        <w:t>Some say that it was Rama who disappeared at this place, but this is at variance with the story of his cremation at Swargadwari.‖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r>
        <w:rPr/>
        <w:pict>
          <v:rect style="position:absolute;margin-left:72.024002pt;margin-top:18.027313pt;width:144.020pt;height:.60004pt;mso-position-horizontal-relative:page;mso-position-vertical-relative:paragraph;z-index:-15641088;mso-wrap-distance-left:0;mso-wrap-distance-right:0" filled="true" fillcolor="#000000" stroked="false">
            <v:fill type="solid"/>
            <w10:wrap type="topAndBottom"/>
          </v:rect>
        </w:pict>
      </w:r>
    </w:p>
    <w:p>
      <w:pPr>
        <w:spacing w:before="81"/>
        <w:ind w:left="500" w:right="0" w:firstLine="0"/>
        <w:jc w:val="left"/>
        <w:rPr>
          <w:sz w:val="18"/>
        </w:rPr>
      </w:pPr>
      <w:r>
        <w:rPr>
          <w:sz w:val="18"/>
          <w:vertAlign w:val="superscript"/>
        </w:rPr>
        <w:t>305</w:t>
      </w:r>
      <w:r>
        <w:rPr>
          <w:sz w:val="18"/>
          <w:vertAlign w:val="baseline"/>
        </w:rPr>
        <w:t> Alexander Cunningham, Four Reports Made During the Years 1862-63-64-65, Archaeological Survey of India, Volume 1, Simla: Government Central Press, 1871</w:t>
      </w:r>
    </w:p>
    <w:p>
      <w:pPr>
        <w:spacing w:after="0"/>
        <w:jc w:val="left"/>
        <w:rPr>
          <w:sz w:val="18"/>
        </w:rPr>
        <w:sectPr>
          <w:headerReference w:type="default" r:id="rId170"/>
          <w:footerReference w:type="default" r:id="rId171"/>
          <w:pgSz w:w="11910" w:h="16840"/>
          <w:pgMar w:header="721" w:footer="1014" w:top="1300" w:bottom="1200" w:left="940" w:right="1000"/>
          <w:pgNumType w:start="674"/>
        </w:sectPr>
      </w:pPr>
    </w:p>
    <w:p>
      <w:pPr>
        <w:pStyle w:val="ListParagraph"/>
        <w:numPr>
          <w:ilvl w:val="0"/>
          <w:numId w:val="166"/>
        </w:numPr>
        <w:tabs>
          <w:tab w:pos="1221" w:val="left" w:leader="none"/>
        </w:tabs>
        <w:spacing w:line="480" w:lineRule="auto" w:before="121" w:after="0"/>
        <w:ind w:left="500" w:right="435" w:firstLine="0"/>
        <w:jc w:val="both"/>
        <w:rPr>
          <w:sz w:val="25"/>
        </w:rPr>
      </w:pPr>
      <w:r>
        <w:rPr>
          <w:b/>
          <w:sz w:val="25"/>
        </w:rPr>
        <w:t>Exhibit 49- Suit 5: P Carnegy</w:t>
      </w:r>
      <w:r>
        <w:rPr>
          <w:sz w:val="25"/>
        </w:rPr>
        <w:t>, who was posted as Officiating </w:t>
      </w:r>
      <w:r>
        <w:rPr>
          <w:w w:val="99"/>
          <w:sz w:val="25"/>
        </w:rPr>
        <w:t>Com</w:t>
      </w:r>
      <w:r>
        <w:rPr>
          <w:w w:val="99"/>
          <w:sz w:val="25"/>
        </w:rPr>
        <w:t>m</w:t>
      </w:r>
      <w:r>
        <w:rPr>
          <w:w w:val="99"/>
          <w:sz w:val="25"/>
        </w:rPr>
        <w:t>issione</w:t>
      </w:r>
      <w:r>
        <w:rPr>
          <w:w w:val="99"/>
          <w:sz w:val="25"/>
        </w:rPr>
        <w:t>r</w:t>
      </w:r>
      <w:r>
        <w:rPr>
          <w:spacing w:val="12"/>
          <w:sz w:val="25"/>
        </w:rPr>
        <w:t> </w:t>
      </w:r>
      <w:r>
        <w:rPr>
          <w:w w:val="99"/>
          <w:sz w:val="25"/>
        </w:rPr>
        <w:t>and</w:t>
      </w:r>
      <w:r>
        <w:rPr>
          <w:spacing w:val="12"/>
          <w:sz w:val="25"/>
        </w:rPr>
        <w:t> </w:t>
      </w:r>
      <w:r>
        <w:rPr>
          <w:spacing w:val="1"/>
          <w:w w:val="99"/>
          <w:sz w:val="25"/>
        </w:rPr>
        <w:t>S</w:t>
      </w:r>
      <w:r>
        <w:rPr>
          <w:w w:val="99"/>
          <w:sz w:val="25"/>
        </w:rPr>
        <w:t>ett</w:t>
      </w:r>
      <w:r>
        <w:rPr>
          <w:w w:val="99"/>
          <w:sz w:val="25"/>
        </w:rPr>
        <w:t>lemen</w:t>
      </w:r>
      <w:r>
        <w:rPr>
          <w:w w:val="99"/>
          <w:sz w:val="25"/>
        </w:rPr>
        <w:t>t</w:t>
      </w:r>
      <w:r>
        <w:rPr>
          <w:spacing w:val="12"/>
          <w:sz w:val="25"/>
        </w:rPr>
        <w:t> </w:t>
      </w:r>
      <w:r>
        <w:rPr>
          <w:w w:val="99"/>
          <w:sz w:val="25"/>
        </w:rPr>
        <w:t>Officer</w:t>
      </w:r>
      <w:r>
        <w:rPr>
          <w:w w:val="99"/>
          <w:sz w:val="25"/>
        </w:rPr>
        <w:t>,</w:t>
      </w:r>
      <w:r>
        <w:rPr>
          <w:spacing w:val="12"/>
          <w:sz w:val="25"/>
        </w:rPr>
        <w:t> </w:t>
      </w:r>
      <w:r>
        <w:rPr>
          <w:w w:val="99"/>
          <w:sz w:val="25"/>
        </w:rPr>
        <w:t>F</w:t>
      </w:r>
      <w:r>
        <w:rPr>
          <w:w w:val="99"/>
          <w:sz w:val="25"/>
        </w:rPr>
        <w:t>aizabad</w:t>
      </w:r>
      <w:r>
        <w:rPr>
          <w:spacing w:val="12"/>
          <w:sz w:val="25"/>
        </w:rPr>
        <w:t> </w:t>
      </w:r>
      <w:r>
        <w:rPr>
          <w:w w:val="99"/>
          <w:sz w:val="25"/>
        </w:rPr>
        <w:t>wro</w:t>
      </w:r>
      <w:r>
        <w:rPr>
          <w:w w:val="99"/>
          <w:sz w:val="25"/>
        </w:rPr>
        <w:t>te</w:t>
      </w:r>
      <w:r>
        <w:rPr>
          <w:spacing w:val="12"/>
          <w:sz w:val="25"/>
        </w:rPr>
        <w:t> </w:t>
      </w:r>
      <w:r>
        <w:rPr>
          <w:w w:val="99"/>
          <w:sz w:val="25"/>
        </w:rPr>
        <w:t>the</w:t>
      </w:r>
      <w:r>
        <w:rPr>
          <w:spacing w:val="19"/>
          <w:sz w:val="25"/>
        </w:rPr>
        <w:t> </w:t>
      </w:r>
      <w:r>
        <w:rPr>
          <w:w w:val="33"/>
          <w:sz w:val="25"/>
        </w:rPr>
        <w:t>―</w:t>
      </w:r>
      <w:r>
        <w:rPr>
          <w:b/>
          <w:w w:val="99"/>
          <w:sz w:val="25"/>
        </w:rPr>
        <w:t>His</w:t>
      </w:r>
      <w:r>
        <w:rPr>
          <w:b/>
          <w:spacing w:val="1"/>
          <w:w w:val="99"/>
          <w:sz w:val="25"/>
        </w:rPr>
        <w:t>t</w:t>
      </w:r>
      <w:r>
        <w:rPr>
          <w:b/>
          <w:w w:val="99"/>
          <w:sz w:val="25"/>
        </w:rPr>
        <w:t>o</w:t>
      </w:r>
      <w:r>
        <w:rPr>
          <w:b/>
          <w:spacing w:val="-1"/>
          <w:w w:val="99"/>
          <w:sz w:val="25"/>
        </w:rPr>
        <w:t>r</w:t>
      </w:r>
      <w:r>
        <w:rPr>
          <w:b/>
          <w:w w:val="99"/>
          <w:sz w:val="25"/>
        </w:rPr>
        <w:t>ica</w:t>
      </w:r>
      <w:r>
        <w:rPr>
          <w:b/>
          <w:w w:val="99"/>
          <w:sz w:val="25"/>
        </w:rPr>
        <w:t>l</w:t>
      </w:r>
      <w:r>
        <w:rPr>
          <w:b/>
          <w:spacing w:val="12"/>
          <w:sz w:val="25"/>
        </w:rPr>
        <w:t> </w:t>
      </w:r>
      <w:r>
        <w:rPr>
          <w:b/>
          <w:spacing w:val="-1"/>
          <w:w w:val="99"/>
          <w:sz w:val="25"/>
        </w:rPr>
        <w:t>S</w:t>
      </w:r>
      <w:r>
        <w:rPr>
          <w:b/>
          <w:w w:val="99"/>
          <w:sz w:val="25"/>
        </w:rPr>
        <w:t>ke</w:t>
      </w:r>
      <w:r>
        <w:rPr>
          <w:b/>
          <w:w w:val="99"/>
          <w:sz w:val="25"/>
        </w:rPr>
        <w:t>t</w:t>
      </w:r>
      <w:r>
        <w:rPr>
          <w:b/>
          <w:w w:val="99"/>
          <w:sz w:val="25"/>
        </w:rPr>
        <w:t>ch</w:t>
      </w:r>
      <w:r>
        <w:rPr>
          <w:b/>
          <w:spacing w:val="13"/>
          <w:sz w:val="25"/>
        </w:rPr>
        <w:t> </w:t>
      </w:r>
      <w:r>
        <w:rPr>
          <w:b/>
          <w:w w:val="99"/>
          <w:sz w:val="25"/>
        </w:rPr>
        <w:t>of </w:t>
      </w:r>
      <w:r>
        <w:rPr>
          <w:b/>
          <w:sz w:val="25"/>
        </w:rPr>
        <w:t>Faizabad With Old Capitals Ajodhia and Fyzabad</w:t>
      </w:r>
      <w:r>
        <w:rPr>
          <w:sz w:val="25"/>
        </w:rPr>
        <w:t>‖</w:t>
      </w:r>
      <w:r>
        <w:rPr>
          <w:sz w:val="25"/>
          <w:vertAlign w:val="superscript"/>
        </w:rPr>
        <w:t>306</w:t>
      </w:r>
      <w:r>
        <w:rPr>
          <w:sz w:val="25"/>
          <w:vertAlign w:val="baseline"/>
        </w:rPr>
        <w:t> (1870). Carnegy underscores the importance of Ayodhya to the faith of the</w:t>
      </w:r>
      <w:r>
        <w:rPr>
          <w:spacing w:val="-13"/>
          <w:sz w:val="25"/>
          <w:vertAlign w:val="baseline"/>
        </w:rPr>
        <w:t> </w:t>
      </w:r>
      <w:r>
        <w:rPr>
          <w:sz w:val="25"/>
          <w:vertAlign w:val="baseline"/>
        </w:rPr>
        <w:t>Hindus:</w:t>
      </w:r>
    </w:p>
    <w:p>
      <w:pPr>
        <w:spacing w:line="276" w:lineRule="auto" w:before="162"/>
        <w:ind w:left="1940" w:right="2262" w:firstLine="0"/>
        <w:jc w:val="both"/>
        <w:rPr>
          <w:sz w:val="21"/>
        </w:rPr>
      </w:pPr>
      <w:r>
        <w:rPr>
          <w:w w:val="33"/>
          <w:sz w:val="21"/>
        </w:rPr>
        <w:t>―</w:t>
      </w:r>
      <w:r>
        <w:rPr>
          <w:w w:val="100"/>
          <w:sz w:val="21"/>
        </w:rPr>
        <w:t>Ajudhia</w:t>
      </w:r>
      <w:r>
        <w:rPr>
          <w:sz w:val="21"/>
        </w:rPr>
        <w:t> </w:t>
      </w:r>
      <w:r>
        <w:rPr>
          <w:w w:val="100"/>
          <w:sz w:val="21"/>
        </w:rPr>
        <w:t>–</w:t>
      </w:r>
      <w:r>
        <w:rPr>
          <w:sz w:val="21"/>
        </w:rPr>
        <w:t> </w:t>
      </w:r>
      <w:r>
        <w:rPr>
          <w:w w:val="100"/>
          <w:sz w:val="21"/>
        </w:rPr>
        <w:t>A</w:t>
      </w:r>
      <w:r>
        <w:rPr>
          <w:w w:val="100"/>
          <w:sz w:val="21"/>
        </w:rPr>
        <w:t>j</w:t>
      </w:r>
      <w:r>
        <w:rPr>
          <w:w w:val="100"/>
          <w:sz w:val="21"/>
        </w:rPr>
        <w:t>udhi</w:t>
      </w:r>
      <w:r>
        <w:rPr>
          <w:w w:val="100"/>
          <w:sz w:val="21"/>
        </w:rPr>
        <w:t>a,</w:t>
      </w:r>
      <w:r>
        <w:rPr>
          <w:sz w:val="21"/>
        </w:rPr>
        <w:t> </w:t>
      </w:r>
      <w:r>
        <w:rPr>
          <w:w w:val="100"/>
          <w:sz w:val="21"/>
        </w:rPr>
        <w:t>w</w:t>
      </w:r>
      <w:r>
        <w:rPr>
          <w:w w:val="100"/>
          <w:sz w:val="21"/>
        </w:rPr>
        <w:t>hi</w:t>
      </w:r>
      <w:r>
        <w:rPr>
          <w:w w:val="100"/>
          <w:sz w:val="21"/>
        </w:rPr>
        <w:t>ch</w:t>
      </w:r>
      <w:r>
        <w:rPr>
          <w:sz w:val="21"/>
        </w:rPr>
        <w:t> </w:t>
      </w:r>
      <w:r>
        <w:rPr>
          <w:w w:val="100"/>
          <w:sz w:val="21"/>
        </w:rPr>
        <w:t>i</w:t>
      </w:r>
      <w:r>
        <w:rPr>
          <w:w w:val="100"/>
          <w:sz w:val="21"/>
        </w:rPr>
        <w:t>s</w:t>
      </w:r>
      <w:r>
        <w:rPr>
          <w:sz w:val="21"/>
        </w:rPr>
        <w:t> </w:t>
      </w:r>
      <w:r>
        <w:rPr>
          <w:w w:val="100"/>
          <w:sz w:val="21"/>
        </w:rPr>
        <w:t>t</w:t>
      </w:r>
      <w:r>
        <w:rPr>
          <w:w w:val="100"/>
          <w:sz w:val="21"/>
        </w:rPr>
        <w:t>o</w:t>
      </w:r>
      <w:r>
        <w:rPr>
          <w:sz w:val="21"/>
        </w:rPr>
        <w:t> </w:t>
      </w:r>
      <w:r>
        <w:rPr>
          <w:w w:val="100"/>
          <w:sz w:val="21"/>
        </w:rPr>
        <w:t>t</w:t>
      </w:r>
      <w:r>
        <w:rPr>
          <w:w w:val="100"/>
          <w:sz w:val="21"/>
        </w:rPr>
        <w:t>he</w:t>
      </w:r>
      <w:r>
        <w:rPr>
          <w:sz w:val="21"/>
        </w:rPr>
        <w:t> </w:t>
      </w:r>
      <w:r>
        <w:rPr>
          <w:w w:val="100"/>
          <w:sz w:val="21"/>
        </w:rPr>
        <w:t>H</w:t>
      </w:r>
      <w:r>
        <w:rPr>
          <w:w w:val="100"/>
          <w:sz w:val="21"/>
        </w:rPr>
        <w:t>i</w:t>
      </w:r>
      <w:r>
        <w:rPr>
          <w:w w:val="100"/>
          <w:sz w:val="21"/>
        </w:rPr>
        <w:t>ndu</w:t>
      </w:r>
      <w:r>
        <w:rPr>
          <w:sz w:val="21"/>
        </w:rPr>
        <w:t> </w:t>
      </w:r>
      <w:r>
        <w:rPr>
          <w:w w:val="100"/>
          <w:sz w:val="21"/>
        </w:rPr>
        <w:t>w</w:t>
      </w:r>
      <w:r>
        <w:rPr>
          <w:w w:val="100"/>
          <w:sz w:val="21"/>
        </w:rPr>
        <w:t>hat</w:t>
      </w:r>
      <w:r>
        <w:rPr>
          <w:sz w:val="21"/>
        </w:rPr>
        <w:t> </w:t>
      </w:r>
      <w:r>
        <w:rPr>
          <w:w w:val="100"/>
          <w:sz w:val="21"/>
        </w:rPr>
        <w:t>Macc</w:t>
      </w:r>
      <w:r>
        <w:rPr>
          <w:w w:val="100"/>
          <w:sz w:val="21"/>
        </w:rPr>
        <w:t>a</w:t>
      </w:r>
      <w:r>
        <w:rPr>
          <w:sz w:val="21"/>
        </w:rPr>
        <w:t> </w:t>
      </w:r>
      <w:r>
        <w:rPr>
          <w:w w:val="100"/>
          <w:sz w:val="21"/>
        </w:rPr>
        <w:t>i</w:t>
      </w:r>
      <w:r>
        <w:rPr>
          <w:w w:val="100"/>
          <w:sz w:val="21"/>
        </w:rPr>
        <w:t>s</w:t>
      </w:r>
      <w:r>
        <w:rPr>
          <w:sz w:val="21"/>
        </w:rPr>
        <w:t> </w:t>
      </w:r>
      <w:r>
        <w:rPr>
          <w:w w:val="100"/>
          <w:sz w:val="21"/>
        </w:rPr>
        <w:t>t</w:t>
      </w:r>
      <w:r>
        <w:rPr>
          <w:w w:val="100"/>
          <w:sz w:val="21"/>
        </w:rPr>
        <w:t>o</w:t>
      </w:r>
      <w:r>
        <w:rPr>
          <w:sz w:val="21"/>
        </w:rPr>
        <w:t> </w:t>
      </w:r>
      <w:r>
        <w:rPr>
          <w:w w:val="100"/>
          <w:sz w:val="21"/>
        </w:rPr>
        <w:t>t</w:t>
      </w:r>
      <w:r>
        <w:rPr>
          <w:w w:val="100"/>
          <w:sz w:val="21"/>
        </w:rPr>
        <w:t>he </w:t>
      </w:r>
      <w:r>
        <w:rPr>
          <w:sz w:val="21"/>
        </w:rPr>
        <w:t>Mahomedan, Jerusalem to the Jews, has in the traditions of the orthodox, a highly mythical origin, being founded for additional security not on the earth for that is transitory, but on the chariot wheel of the Great Creator himself which will endure for over.‖</w:t>
      </w:r>
    </w:p>
    <w:p>
      <w:pPr>
        <w:pStyle w:val="BodyText"/>
        <w:rPr>
          <w:sz w:val="24"/>
        </w:rPr>
      </w:pPr>
    </w:p>
    <w:p>
      <w:pPr>
        <w:pStyle w:val="BodyText"/>
        <w:spacing w:before="11"/>
        <w:rPr>
          <w:sz w:val="20"/>
        </w:rPr>
      </w:pPr>
    </w:p>
    <w:p>
      <w:pPr>
        <w:pStyle w:val="BodyText"/>
        <w:spacing w:line="480" w:lineRule="auto"/>
        <w:ind w:left="500" w:right="434"/>
        <w:jc w:val="both"/>
      </w:pPr>
      <w:r>
        <w:rPr>
          <w:b/>
        </w:rPr>
        <w:t>Carnegy </w:t>
      </w:r>
      <w:r>
        <w:rPr/>
        <w:t>refers to the Janmasthan, Swarga Dwar Mandir and Treta-Ke-Thakur. He attributes the construction of the mosque to Babur in 1528, noting that it still bears his name. In </w:t>
      </w:r>
      <w:r>
        <w:rPr>
          <w:b/>
        </w:rPr>
        <w:t>Carnegy</w:t>
      </w:r>
      <w:r>
        <w:rPr/>
        <w:t>‘s opinion, many of the columns of an erstwhile temple have been used in the construction of the Babri mosque. These pillars as he states, are made out of Kasauti stone and are carved. </w:t>
      </w:r>
      <w:r>
        <w:rPr>
          <w:b/>
        </w:rPr>
        <w:t>Carnegy </w:t>
      </w:r>
      <w:r>
        <w:rPr/>
        <w:t>who was a settlement officer has adverted to the conflagration which took place in 1855 between the Hindus and Muslims. According to him, during the conflict, the Hindus occupied Hanuman Garhi while the Muslims took possession of the Janmasthan. The attempt of the Muslims to lead a charge on Hunuman Garhi was repulsed by the Hindus resulting in the death of 75 Muslims who are buried in the graveyard. The Hindus are stated to have then taken possession of the Janmasthan. According to </w:t>
      </w:r>
      <w:r>
        <w:rPr>
          <w:b/>
        </w:rPr>
        <w:t>Carnegy </w:t>
      </w:r>
      <w:r>
        <w:rPr/>
        <w:t>until then both Hindus and Muslims alike </w:t>
      </w:r>
      <w:r>
        <w:rPr>
          <w:spacing w:val="-1"/>
          <w:w w:val="99"/>
        </w:rPr>
        <w:t>wo</w:t>
      </w:r>
      <w:r>
        <w:rPr>
          <w:w w:val="99"/>
        </w:rPr>
        <w:t>rshipp</w:t>
      </w:r>
      <w:r>
        <w:rPr>
          <w:spacing w:val="-1"/>
          <w:w w:val="99"/>
        </w:rPr>
        <w:t>e</w:t>
      </w:r>
      <w:r>
        <w:rPr>
          <w:w w:val="99"/>
        </w:rPr>
        <w:t>d</w:t>
      </w:r>
      <w:r>
        <w:rPr/>
        <w:t> </w:t>
      </w:r>
      <w:r>
        <w:rPr>
          <w:spacing w:val="24"/>
        </w:rPr>
        <w:t> </w:t>
      </w:r>
      <w:r>
        <w:rPr>
          <w:spacing w:val="-1"/>
          <w:w w:val="99"/>
        </w:rPr>
        <w:t>i</w:t>
      </w:r>
      <w:r>
        <w:rPr>
          <w:w w:val="99"/>
        </w:rPr>
        <w:t>n</w:t>
      </w:r>
      <w:r>
        <w:rPr/>
        <w:t> </w:t>
      </w:r>
      <w:r>
        <w:rPr>
          <w:spacing w:val="24"/>
        </w:rPr>
        <w:t> </w:t>
      </w:r>
      <w:r>
        <w:rPr>
          <w:spacing w:val="-1"/>
          <w:w w:val="99"/>
        </w:rPr>
        <w:t>wha</w:t>
      </w:r>
      <w:r>
        <w:rPr>
          <w:w w:val="99"/>
        </w:rPr>
        <w:t>t</w:t>
      </w:r>
      <w:r>
        <w:rPr/>
        <w:t> </w:t>
      </w:r>
      <w:r>
        <w:rPr>
          <w:spacing w:val="24"/>
        </w:rPr>
        <w:t> </w:t>
      </w:r>
      <w:r>
        <w:rPr>
          <w:spacing w:val="-1"/>
          <w:w w:val="99"/>
        </w:rPr>
        <w:t>h</w:t>
      </w:r>
      <w:r>
        <w:rPr>
          <w:w w:val="99"/>
        </w:rPr>
        <w:t>e</w:t>
      </w:r>
      <w:r>
        <w:rPr/>
        <w:t> </w:t>
      </w:r>
      <w:r>
        <w:rPr>
          <w:spacing w:val="24"/>
        </w:rPr>
        <w:t> </w:t>
      </w:r>
      <w:r>
        <w:rPr>
          <w:spacing w:val="-1"/>
          <w:w w:val="99"/>
        </w:rPr>
        <w:t>d</w:t>
      </w:r>
      <w:r>
        <w:rPr>
          <w:w w:val="99"/>
        </w:rPr>
        <w:t>escr</w:t>
      </w:r>
      <w:r>
        <w:rPr>
          <w:spacing w:val="-1"/>
          <w:w w:val="99"/>
        </w:rPr>
        <w:t>ibe</w:t>
      </w:r>
      <w:r>
        <w:rPr>
          <w:w w:val="99"/>
        </w:rPr>
        <w:t>s</w:t>
      </w:r>
      <w:r>
        <w:rPr/>
        <w:t> </w:t>
      </w:r>
      <w:r>
        <w:rPr>
          <w:spacing w:val="24"/>
        </w:rPr>
        <w:t> </w:t>
      </w:r>
      <w:r>
        <w:rPr>
          <w:spacing w:val="-1"/>
          <w:w w:val="99"/>
        </w:rPr>
        <w:t>a</w:t>
      </w:r>
      <w:r>
        <w:rPr>
          <w:w w:val="99"/>
        </w:rPr>
        <w:t>s</w:t>
      </w:r>
      <w:r>
        <w:rPr/>
        <w:t> </w:t>
      </w:r>
      <w:r>
        <w:rPr>
          <w:spacing w:val="24"/>
        </w:rPr>
        <w:t> </w:t>
      </w:r>
      <w:r>
        <w:rPr>
          <w:spacing w:val="-3"/>
          <w:w w:val="99"/>
        </w:rPr>
        <w:t>t</w:t>
      </w:r>
      <w:r>
        <w:rPr>
          <w:spacing w:val="-1"/>
          <w:w w:val="99"/>
        </w:rPr>
        <w:t>h</w:t>
      </w:r>
      <w:r>
        <w:rPr>
          <w:w w:val="99"/>
        </w:rPr>
        <w:t>e</w:t>
      </w:r>
      <w:r>
        <w:rPr/>
        <w:t> </w:t>
      </w:r>
      <w:r>
        <w:rPr>
          <w:spacing w:val="24"/>
        </w:rPr>
        <w:t> </w:t>
      </w:r>
      <w:r>
        <w:rPr>
          <w:w w:val="33"/>
        </w:rPr>
        <w:t>―</w:t>
      </w:r>
      <w:r>
        <w:rPr>
          <w:spacing w:val="6"/>
          <w:w w:val="99"/>
        </w:rPr>
        <w:t>m</w:t>
      </w:r>
      <w:r>
        <w:rPr>
          <w:w w:val="99"/>
        </w:rPr>
        <w:t>osqu</w:t>
      </w:r>
      <w:r>
        <w:rPr>
          <w:spacing w:val="1"/>
          <w:w w:val="99"/>
        </w:rPr>
        <w:t>e</w:t>
      </w:r>
      <w:r>
        <w:rPr>
          <w:w w:val="99"/>
        </w:rPr>
        <w:t>-t</w:t>
      </w:r>
      <w:r>
        <w:rPr>
          <w:spacing w:val="-2"/>
          <w:w w:val="99"/>
        </w:rPr>
        <w:t>e</w:t>
      </w:r>
      <w:r>
        <w:rPr>
          <w:w w:val="99"/>
        </w:rPr>
        <w:t>m</w:t>
      </w:r>
      <w:r>
        <w:rPr>
          <w:spacing w:val="-1"/>
          <w:w w:val="95"/>
        </w:rPr>
        <w:t>ple</w:t>
      </w:r>
      <w:r>
        <w:rPr>
          <w:spacing w:val="1"/>
          <w:w w:val="95"/>
        </w:rPr>
        <w:t>‖</w:t>
      </w:r>
      <w:r>
        <w:rPr>
          <w:w w:val="99"/>
        </w:rPr>
        <w:t>.</w:t>
      </w:r>
      <w:r>
        <w:rPr/>
        <w:t> </w:t>
      </w:r>
      <w:r>
        <w:rPr>
          <w:spacing w:val="21"/>
        </w:rPr>
        <w:t> </w:t>
      </w:r>
      <w:r>
        <w:rPr>
          <w:spacing w:val="-1"/>
          <w:w w:val="99"/>
        </w:rPr>
        <w:t>Howe</w:t>
      </w:r>
      <w:r>
        <w:rPr>
          <w:spacing w:val="-3"/>
          <w:w w:val="99"/>
        </w:rPr>
        <w:t>v</w:t>
      </w:r>
      <w:r>
        <w:rPr>
          <w:spacing w:val="-1"/>
          <w:w w:val="99"/>
        </w:rPr>
        <w:t>e</w:t>
      </w:r>
      <w:r>
        <w:rPr>
          <w:w w:val="99"/>
        </w:rPr>
        <w:t>r,</w:t>
      </w:r>
      <w:r>
        <w:rPr/>
        <w:t> </w:t>
      </w:r>
      <w:r>
        <w:rPr>
          <w:spacing w:val="24"/>
        </w:rPr>
        <w:t> </w:t>
      </w:r>
      <w:r>
        <w:rPr>
          <w:w w:val="99"/>
        </w:rPr>
        <w:t>since </w:t>
      </w:r>
      <w:r>
        <w:rPr/>
        <w:t>colonial rule, a railing was put up within which, it has been stated that</w:t>
      </w:r>
      <w:r>
        <w:rPr>
          <w:spacing w:val="46"/>
        </w:rPr>
        <w:t> </w:t>
      </w:r>
      <w:r>
        <w:rPr/>
        <w:t>the</w:t>
      </w:r>
    </w:p>
    <w:p>
      <w:pPr>
        <w:pStyle w:val="BodyText"/>
        <w:rPr>
          <w:sz w:val="20"/>
        </w:rPr>
      </w:pPr>
    </w:p>
    <w:p>
      <w:pPr>
        <w:pStyle w:val="BodyText"/>
        <w:rPr>
          <w:sz w:val="20"/>
        </w:rPr>
      </w:pPr>
    </w:p>
    <w:p>
      <w:pPr>
        <w:pStyle w:val="BodyText"/>
        <w:spacing w:before="8"/>
        <w:rPr>
          <w:sz w:val="20"/>
        </w:rPr>
      </w:pPr>
      <w:r>
        <w:rPr/>
        <w:pict>
          <v:rect style="position:absolute;margin-left:72.024002pt;margin-top:13.896041pt;width:144.020pt;height:.599980pt;mso-position-horizontal-relative:page;mso-position-vertical-relative:paragraph;z-index:-15640576;mso-wrap-distance-left:0;mso-wrap-distance-right:0" filled="true" fillcolor="#000000" stroked="false">
            <v:fill type="solid"/>
            <w10:wrap type="topAndBottom"/>
          </v:rect>
        </w:pict>
      </w:r>
    </w:p>
    <w:p>
      <w:pPr>
        <w:spacing w:before="78"/>
        <w:ind w:left="500" w:right="512" w:firstLine="0"/>
        <w:jc w:val="left"/>
        <w:rPr>
          <w:sz w:val="18"/>
        </w:rPr>
      </w:pPr>
      <w:r>
        <w:rPr>
          <w:sz w:val="18"/>
          <w:vertAlign w:val="superscript"/>
        </w:rPr>
        <w:t>306</w:t>
      </w:r>
      <w:r>
        <w:rPr>
          <w:sz w:val="18"/>
          <w:vertAlign w:val="baseline"/>
        </w:rPr>
        <w:t> Historical Sketch of Faizabad With Old Capitals Ajodhia and Fyzabad by P. Carnegy, Officiating Commissioner and Settlement Officer, Oudh Government Press,</w:t>
      </w:r>
      <w:r>
        <w:rPr>
          <w:spacing w:val="-4"/>
          <w:sz w:val="18"/>
          <w:vertAlign w:val="baseline"/>
        </w:rPr>
        <w:t> </w:t>
      </w:r>
      <w:r>
        <w:rPr>
          <w:sz w:val="18"/>
          <w:vertAlign w:val="baseline"/>
        </w:rPr>
        <w:t>1870</w:t>
      </w:r>
    </w:p>
    <w:p>
      <w:pPr>
        <w:spacing w:after="0"/>
        <w:jc w:val="left"/>
        <w:rPr>
          <w:sz w:val="18"/>
        </w:rPr>
        <w:sectPr>
          <w:pgSz w:w="11910" w:h="16840"/>
          <w:pgMar w:header="721" w:footer="1014" w:top="1300" w:bottom="1200" w:left="940" w:right="1000"/>
        </w:sectPr>
      </w:pPr>
    </w:p>
    <w:p>
      <w:pPr>
        <w:pStyle w:val="BodyText"/>
        <w:spacing w:line="480" w:lineRule="auto" w:before="124"/>
        <w:ind w:left="500" w:right="431"/>
      </w:pPr>
      <w:r>
        <w:rPr/>
        <w:t>Muslims pray, while outside the fence the Hindus have raised a platform on which they make their offerings. </w:t>
      </w:r>
      <w:r>
        <w:rPr>
          <w:b/>
        </w:rPr>
        <w:t>Carnegy‘s </w:t>
      </w:r>
      <w:r>
        <w:rPr/>
        <w:t>account is extracted</w:t>
      </w:r>
      <w:r>
        <w:rPr>
          <w:spacing w:val="-6"/>
        </w:rPr>
        <w:t> </w:t>
      </w:r>
      <w:r>
        <w:rPr/>
        <w:t>below:</w:t>
      </w:r>
    </w:p>
    <w:p>
      <w:pPr>
        <w:spacing w:line="276" w:lineRule="auto" w:before="0"/>
        <w:ind w:left="1940" w:right="2261" w:firstLine="0"/>
        <w:jc w:val="both"/>
        <w:rPr>
          <w:sz w:val="21"/>
        </w:rPr>
      </w:pPr>
      <w:r>
        <w:rPr>
          <w:spacing w:val="-1"/>
          <w:w w:val="33"/>
          <w:sz w:val="21"/>
        </w:rPr>
        <w:t>―</w:t>
      </w:r>
      <w:r>
        <w:rPr>
          <w:w w:val="100"/>
          <w:sz w:val="21"/>
        </w:rPr>
        <w:t>T</w:t>
      </w:r>
      <w:r>
        <w:rPr>
          <w:w w:val="100"/>
          <w:sz w:val="21"/>
        </w:rPr>
        <w:t>he</w:t>
      </w:r>
      <w:r>
        <w:rPr>
          <w:spacing w:val="-1"/>
          <w:sz w:val="21"/>
        </w:rPr>
        <w:t> </w:t>
      </w:r>
      <w:r>
        <w:rPr>
          <w:w w:val="100"/>
          <w:sz w:val="21"/>
        </w:rPr>
        <w:t>Ja</w:t>
      </w:r>
      <w:r>
        <w:rPr>
          <w:spacing w:val="-3"/>
          <w:w w:val="100"/>
          <w:sz w:val="21"/>
        </w:rPr>
        <w:t>n</w:t>
      </w:r>
      <w:r>
        <w:rPr>
          <w:spacing w:val="-1"/>
          <w:w w:val="100"/>
          <w:sz w:val="21"/>
        </w:rPr>
        <w:t>m</w:t>
      </w:r>
      <w:r>
        <w:rPr>
          <w:w w:val="100"/>
          <w:sz w:val="21"/>
        </w:rPr>
        <w:t>as</w:t>
      </w:r>
      <w:r>
        <w:rPr>
          <w:spacing w:val="-1"/>
          <w:w w:val="100"/>
          <w:sz w:val="21"/>
        </w:rPr>
        <w:t>t</w:t>
      </w:r>
      <w:r>
        <w:rPr>
          <w:w w:val="100"/>
          <w:sz w:val="21"/>
        </w:rPr>
        <w:t>h</w:t>
      </w:r>
      <w:r>
        <w:rPr>
          <w:spacing w:val="-3"/>
          <w:w w:val="100"/>
          <w:sz w:val="21"/>
        </w:rPr>
        <w:t>a</w:t>
      </w:r>
      <w:r>
        <w:rPr>
          <w:w w:val="100"/>
          <w:sz w:val="21"/>
        </w:rPr>
        <w:t>n</w:t>
      </w:r>
      <w:r>
        <w:rPr>
          <w:spacing w:val="-1"/>
          <w:sz w:val="21"/>
        </w:rPr>
        <w:t> </w:t>
      </w:r>
      <w:r>
        <w:rPr>
          <w:w w:val="100"/>
          <w:sz w:val="21"/>
        </w:rPr>
        <w:t>and</w:t>
      </w:r>
      <w:r>
        <w:rPr>
          <w:spacing w:val="-1"/>
          <w:sz w:val="21"/>
        </w:rPr>
        <w:t> </w:t>
      </w:r>
      <w:r>
        <w:rPr>
          <w:w w:val="100"/>
          <w:sz w:val="21"/>
        </w:rPr>
        <w:t>o</w:t>
      </w:r>
      <w:r>
        <w:rPr>
          <w:spacing w:val="-1"/>
          <w:w w:val="100"/>
          <w:sz w:val="21"/>
        </w:rPr>
        <w:t>t</w:t>
      </w:r>
      <w:r>
        <w:rPr>
          <w:spacing w:val="-3"/>
          <w:w w:val="100"/>
          <w:sz w:val="21"/>
        </w:rPr>
        <w:t>h</w:t>
      </w:r>
      <w:r>
        <w:rPr>
          <w:w w:val="100"/>
          <w:sz w:val="21"/>
        </w:rPr>
        <w:t>er</w:t>
      </w:r>
      <w:r>
        <w:rPr>
          <w:sz w:val="21"/>
        </w:rPr>
        <w:t> </w:t>
      </w:r>
      <w:r>
        <w:rPr>
          <w:spacing w:val="-2"/>
          <w:w w:val="100"/>
          <w:sz w:val="21"/>
        </w:rPr>
        <w:t>t</w:t>
      </w:r>
      <w:r>
        <w:rPr>
          <w:spacing w:val="-3"/>
          <w:w w:val="100"/>
          <w:sz w:val="21"/>
        </w:rPr>
        <w:t>e</w:t>
      </w:r>
      <w:r>
        <w:rPr>
          <w:spacing w:val="1"/>
          <w:w w:val="100"/>
          <w:sz w:val="21"/>
        </w:rPr>
        <w:t>m</w:t>
      </w:r>
      <w:r>
        <w:rPr>
          <w:spacing w:val="-3"/>
          <w:w w:val="100"/>
          <w:sz w:val="21"/>
        </w:rPr>
        <w:t>p</w:t>
      </w:r>
      <w:r>
        <w:rPr>
          <w:w w:val="100"/>
          <w:sz w:val="21"/>
        </w:rPr>
        <w:t>l</w:t>
      </w:r>
      <w:r>
        <w:rPr>
          <w:w w:val="100"/>
          <w:sz w:val="21"/>
        </w:rPr>
        <w:t>es.-</w:t>
      </w:r>
      <w:r>
        <w:rPr>
          <w:spacing w:val="1"/>
          <w:sz w:val="21"/>
        </w:rPr>
        <w:t> </w:t>
      </w:r>
      <w:r>
        <w:rPr>
          <w:spacing w:val="-2"/>
          <w:w w:val="100"/>
          <w:sz w:val="21"/>
        </w:rPr>
        <w:t>I</w:t>
      </w:r>
      <w:r>
        <w:rPr>
          <w:w w:val="100"/>
          <w:sz w:val="21"/>
        </w:rPr>
        <w:t>t</w:t>
      </w:r>
      <w:r>
        <w:rPr>
          <w:spacing w:val="-2"/>
          <w:sz w:val="21"/>
        </w:rPr>
        <w:t> </w:t>
      </w:r>
      <w:r>
        <w:rPr>
          <w:w w:val="100"/>
          <w:sz w:val="21"/>
        </w:rPr>
        <w:t>i</w:t>
      </w:r>
      <w:r>
        <w:rPr>
          <w:w w:val="100"/>
          <w:sz w:val="21"/>
        </w:rPr>
        <w:t>s</w:t>
      </w:r>
      <w:r>
        <w:rPr>
          <w:spacing w:val="-1"/>
          <w:sz w:val="21"/>
        </w:rPr>
        <w:t> </w:t>
      </w:r>
      <w:r>
        <w:rPr>
          <w:w w:val="100"/>
          <w:sz w:val="21"/>
        </w:rPr>
        <w:t>l</w:t>
      </w:r>
      <w:r>
        <w:rPr>
          <w:w w:val="100"/>
          <w:sz w:val="21"/>
        </w:rPr>
        <w:t>o</w:t>
      </w:r>
      <w:r>
        <w:rPr>
          <w:spacing w:val="-3"/>
          <w:w w:val="100"/>
          <w:sz w:val="21"/>
        </w:rPr>
        <w:t>c</w:t>
      </w:r>
      <w:r>
        <w:rPr>
          <w:w w:val="100"/>
          <w:sz w:val="21"/>
        </w:rPr>
        <w:t>a</w:t>
      </w:r>
      <w:r>
        <w:rPr>
          <w:spacing w:val="-2"/>
          <w:w w:val="100"/>
          <w:sz w:val="21"/>
        </w:rPr>
        <w:t>l</w:t>
      </w:r>
      <w:r>
        <w:rPr>
          <w:w w:val="100"/>
          <w:sz w:val="21"/>
        </w:rPr>
        <w:t>l</w:t>
      </w:r>
      <w:r>
        <w:rPr>
          <w:w w:val="100"/>
          <w:sz w:val="21"/>
        </w:rPr>
        <w:t>y</w:t>
      </w:r>
      <w:r>
        <w:rPr>
          <w:spacing w:val="-1"/>
          <w:sz w:val="21"/>
        </w:rPr>
        <w:t> </w:t>
      </w:r>
      <w:r>
        <w:rPr>
          <w:w w:val="100"/>
          <w:sz w:val="21"/>
        </w:rPr>
        <w:t>a</w:t>
      </w:r>
      <w:r>
        <w:rPr>
          <w:spacing w:val="-1"/>
          <w:w w:val="100"/>
          <w:sz w:val="21"/>
        </w:rPr>
        <w:t>f</w:t>
      </w:r>
      <w:r>
        <w:rPr>
          <w:spacing w:val="-2"/>
          <w:w w:val="100"/>
          <w:sz w:val="21"/>
        </w:rPr>
        <w:t>f</w:t>
      </w:r>
      <w:r>
        <w:rPr>
          <w:w w:val="100"/>
          <w:sz w:val="21"/>
        </w:rPr>
        <w:t>i</w:t>
      </w:r>
      <w:r>
        <w:rPr>
          <w:spacing w:val="-4"/>
          <w:w w:val="100"/>
          <w:sz w:val="21"/>
        </w:rPr>
        <w:t>r</w:t>
      </w:r>
      <w:r>
        <w:rPr>
          <w:spacing w:val="1"/>
          <w:w w:val="100"/>
          <w:sz w:val="21"/>
        </w:rPr>
        <w:t>m</w:t>
      </w:r>
      <w:r>
        <w:rPr>
          <w:w w:val="100"/>
          <w:sz w:val="21"/>
        </w:rPr>
        <w:t>ed</w:t>
      </w:r>
      <w:r>
        <w:rPr>
          <w:spacing w:val="-1"/>
          <w:sz w:val="21"/>
        </w:rPr>
        <w:t> </w:t>
      </w:r>
      <w:r>
        <w:rPr>
          <w:spacing w:val="-2"/>
          <w:w w:val="100"/>
          <w:sz w:val="21"/>
        </w:rPr>
        <w:t>t</w:t>
      </w:r>
      <w:r>
        <w:rPr>
          <w:w w:val="100"/>
          <w:sz w:val="21"/>
        </w:rPr>
        <w:t>hat </w:t>
      </w:r>
      <w:r>
        <w:rPr>
          <w:sz w:val="21"/>
        </w:rPr>
        <w:t>at the Mahomedan conquest there were three important Hindu shrines, with but few devotees attached, at Ajudhya, which was then little other than </w:t>
      </w:r>
      <w:r>
        <w:rPr>
          <w:spacing w:val="16"/>
          <w:sz w:val="21"/>
        </w:rPr>
        <w:t> </w:t>
      </w:r>
      <w:r>
        <w:rPr>
          <w:sz w:val="21"/>
        </w:rPr>
        <w:t>a wilderness. These were the</w:t>
      </w:r>
    </w:p>
    <w:p>
      <w:pPr>
        <w:spacing w:line="276" w:lineRule="auto" w:before="0"/>
        <w:ind w:left="1940" w:right="2263" w:firstLine="0"/>
        <w:jc w:val="both"/>
        <w:rPr>
          <w:sz w:val="21"/>
        </w:rPr>
      </w:pPr>
      <w:r>
        <w:rPr>
          <w:spacing w:val="-1"/>
          <w:w w:val="33"/>
          <w:sz w:val="21"/>
        </w:rPr>
        <w:t>―</w:t>
      </w:r>
      <w:r>
        <w:rPr>
          <w:w w:val="100"/>
          <w:sz w:val="21"/>
        </w:rPr>
        <w:t>Ja</w:t>
      </w:r>
      <w:r>
        <w:rPr>
          <w:spacing w:val="-3"/>
          <w:w w:val="100"/>
          <w:sz w:val="21"/>
        </w:rPr>
        <w:t>n</w:t>
      </w:r>
      <w:r>
        <w:rPr>
          <w:spacing w:val="1"/>
          <w:w w:val="100"/>
          <w:sz w:val="21"/>
        </w:rPr>
        <w:t>m</w:t>
      </w:r>
      <w:r>
        <w:rPr>
          <w:spacing w:val="-1"/>
          <w:w w:val="100"/>
          <w:sz w:val="21"/>
        </w:rPr>
        <w:t>ast</w:t>
      </w:r>
      <w:r>
        <w:rPr>
          <w:spacing w:val="-3"/>
          <w:w w:val="100"/>
          <w:sz w:val="21"/>
        </w:rPr>
        <w:t>h</w:t>
      </w:r>
      <w:r>
        <w:rPr>
          <w:spacing w:val="-1"/>
          <w:w w:val="100"/>
          <w:sz w:val="21"/>
        </w:rPr>
        <w:t>an,</w:t>
      </w:r>
      <w:r>
        <w:rPr>
          <w:w w:val="81"/>
          <w:sz w:val="21"/>
        </w:rPr>
        <w:t>‖</w:t>
      </w:r>
      <w:r>
        <w:rPr>
          <w:spacing w:val="17"/>
          <w:sz w:val="21"/>
        </w:rPr>
        <w:t> </w:t>
      </w:r>
      <w:r>
        <w:rPr>
          <w:spacing w:val="-2"/>
          <w:w w:val="100"/>
          <w:sz w:val="21"/>
        </w:rPr>
        <w:t>t</w:t>
      </w:r>
      <w:r>
        <w:rPr>
          <w:spacing w:val="-1"/>
          <w:w w:val="100"/>
          <w:sz w:val="21"/>
        </w:rPr>
        <w:t>h</w:t>
      </w:r>
      <w:r>
        <w:rPr>
          <w:w w:val="100"/>
          <w:sz w:val="21"/>
        </w:rPr>
        <w:t>e</w:t>
      </w:r>
      <w:r>
        <w:rPr>
          <w:spacing w:val="18"/>
          <w:sz w:val="21"/>
        </w:rPr>
        <w:t> </w:t>
      </w:r>
      <w:r>
        <w:rPr>
          <w:spacing w:val="-1"/>
          <w:w w:val="33"/>
          <w:sz w:val="21"/>
        </w:rPr>
        <w:t>―</w:t>
      </w:r>
      <w:r>
        <w:rPr>
          <w:spacing w:val="1"/>
          <w:w w:val="100"/>
          <w:sz w:val="21"/>
        </w:rPr>
        <w:t>S</w:t>
      </w:r>
      <w:r>
        <w:rPr>
          <w:spacing w:val="-1"/>
          <w:w w:val="100"/>
          <w:sz w:val="21"/>
        </w:rPr>
        <w:t>ar</w:t>
      </w:r>
      <w:r>
        <w:rPr>
          <w:spacing w:val="-3"/>
          <w:w w:val="100"/>
          <w:sz w:val="21"/>
        </w:rPr>
        <w:t>ga</w:t>
      </w:r>
      <w:r>
        <w:rPr>
          <w:spacing w:val="-1"/>
          <w:w w:val="100"/>
          <w:sz w:val="21"/>
        </w:rPr>
        <w:t>d</w:t>
      </w:r>
      <w:r>
        <w:rPr>
          <w:spacing w:val="-2"/>
          <w:w w:val="100"/>
          <w:sz w:val="21"/>
        </w:rPr>
        <w:t>w</w:t>
      </w:r>
      <w:r>
        <w:rPr>
          <w:spacing w:val="-1"/>
          <w:w w:val="100"/>
          <w:sz w:val="21"/>
        </w:rPr>
        <w:t>a</w:t>
      </w:r>
      <w:r>
        <w:rPr>
          <w:w w:val="100"/>
          <w:sz w:val="21"/>
        </w:rPr>
        <w:t>r</w:t>
      </w:r>
      <w:r>
        <w:rPr>
          <w:spacing w:val="17"/>
          <w:sz w:val="21"/>
        </w:rPr>
        <w:t> </w:t>
      </w:r>
      <w:r>
        <w:rPr>
          <w:spacing w:val="1"/>
          <w:w w:val="100"/>
          <w:sz w:val="21"/>
        </w:rPr>
        <w:t>m</w:t>
      </w:r>
      <w:r>
        <w:rPr>
          <w:spacing w:val="-3"/>
          <w:w w:val="100"/>
          <w:sz w:val="21"/>
        </w:rPr>
        <w:t>a</w:t>
      </w:r>
      <w:r>
        <w:rPr>
          <w:spacing w:val="-1"/>
          <w:w w:val="100"/>
          <w:sz w:val="21"/>
        </w:rPr>
        <w:t>n</w:t>
      </w:r>
      <w:r>
        <w:rPr>
          <w:spacing w:val="-3"/>
          <w:w w:val="100"/>
          <w:sz w:val="21"/>
        </w:rPr>
        <w:t>d</w:t>
      </w:r>
      <w:r>
        <w:rPr>
          <w:w w:val="100"/>
          <w:sz w:val="21"/>
        </w:rPr>
        <w:t>i</w:t>
      </w:r>
      <w:r>
        <w:rPr>
          <w:spacing w:val="-1"/>
          <w:w w:val="100"/>
          <w:sz w:val="21"/>
        </w:rPr>
        <w:t>r</w:t>
      </w:r>
      <w:r>
        <w:rPr>
          <w:spacing w:val="-2"/>
          <w:w w:val="100"/>
          <w:sz w:val="21"/>
        </w:rPr>
        <w:t>,</w:t>
      </w:r>
      <w:r>
        <w:rPr>
          <w:w w:val="81"/>
          <w:sz w:val="21"/>
        </w:rPr>
        <w:t>‖</w:t>
      </w:r>
      <w:r>
        <w:rPr>
          <w:spacing w:val="17"/>
          <w:sz w:val="21"/>
        </w:rPr>
        <w:t> </w:t>
      </w:r>
      <w:r>
        <w:rPr>
          <w:spacing w:val="-1"/>
          <w:w w:val="100"/>
          <w:sz w:val="21"/>
        </w:rPr>
        <w:t>a</w:t>
      </w:r>
      <w:r>
        <w:rPr>
          <w:spacing w:val="1"/>
          <w:w w:val="100"/>
          <w:sz w:val="21"/>
        </w:rPr>
        <w:t>l</w:t>
      </w:r>
      <w:r>
        <w:rPr>
          <w:w w:val="100"/>
          <w:sz w:val="21"/>
        </w:rPr>
        <w:t>so</w:t>
      </w:r>
      <w:r>
        <w:rPr>
          <w:spacing w:val="16"/>
          <w:sz w:val="21"/>
        </w:rPr>
        <w:t> </w:t>
      </w:r>
      <w:r>
        <w:rPr>
          <w:w w:val="100"/>
          <w:sz w:val="21"/>
        </w:rPr>
        <w:t>kno</w:t>
      </w:r>
      <w:r>
        <w:rPr>
          <w:spacing w:val="-1"/>
          <w:w w:val="100"/>
          <w:sz w:val="21"/>
        </w:rPr>
        <w:t>w</w:t>
      </w:r>
      <w:r>
        <w:rPr>
          <w:w w:val="100"/>
          <w:sz w:val="21"/>
        </w:rPr>
        <w:t>n</w:t>
      </w:r>
      <w:r>
        <w:rPr>
          <w:spacing w:val="15"/>
          <w:sz w:val="21"/>
        </w:rPr>
        <w:t> </w:t>
      </w:r>
      <w:r>
        <w:rPr>
          <w:spacing w:val="-1"/>
          <w:w w:val="100"/>
          <w:sz w:val="21"/>
        </w:rPr>
        <w:t>a</w:t>
      </w:r>
      <w:r>
        <w:rPr>
          <w:w w:val="100"/>
          <w:sz w:val="21"/>
        </w:rPr>
        <w:t>s</w:t>
      </w:r>
      <w:r>
        <w:rPr>
          <w:spacing w:val="18"/>
          <w:sz w:val="21"/>
        </w:rPr>
        <w:t> </w:t>
      </w:r>
      <w:r>
        <w:rPr>
          <w:spacing w:val="-1"/>
          <w:w w:val="33"/>
          <w:sz w:val="21"/>
        </w:rPr>
        <w:t>―</w:t>
      </w:r>
      <w:r>
        <w:rPr>
          <w:w w:val="100"/>
          <w:sz w:val="21"/>
        </w:rPr>
        <w:t>R</w:t>
      </w:r>
      <w:r>
        <w:rPr>
          <w:spacing w:val="-3"/>
          <w:w w:val="100"/>
          <w:sz w:val="21"/>
        </w:rPr>
        <w:t>a</w:t>
      </w:r>
      <w:r>
        <w:rPr>
          <w:w w:val="100"/>
          <w:sz w:val="21"/>
        </w:rPr>
        <w:t>m D</w:t>
      </w:r>
      <w:r>
        <w:rPr>
          <w:spacing w:val="-1"/>
          <w:w w:val="100"/>
          <w:sz w:val="21"/>
        </w:rPr>
        <w:t>ar</w:t>
      </w:r>
      <w:r>
        <w:rPr>
          <w:spacing w:val="-3"/>
          <w:w w:val="100"/>
          <w:sz w:val="21"/>
        </w:rPr>
        <w:t>b</w:t>
      </w:r>
      <w:r>
        <w:rPr>
          <w:spacing w:val="-1"/>
          <w:w w:val="100"/>
          <w:sz w:val="21"/>
        </w:rPr>
        <w:t>ar</w:t>
      </w:r>
      <w:r>
        <w:rPr>
          <w:spacing w:val="-2"/>
          <w:w w:val="100"/>
          <w:sz w:val="21"/>
        </w:rPr>
        <w:t>,</w:t>
      </w:r>
      <w:r>
        <w:rPr>
          <w:w w:val="81"/>
          <w:sz w:val="21"/>
        </w:rPr>
        <w:t>‖</w:t>
      </w:r>
      <w:r>
        <w:rPr>
          <w:sz w:val="21"/>
        </w:rPr>
        <w:t> </w:t>
      </w:r>
      <w:r>
        <w:rPr>
          <w:spacing w:val="-5"/>
          <w:sz w:val="21"/>
        </w:rPr>
        <w:t> </w:t>
      </w:r>
      <w:r>
        <w:rPr>
          <w:spacing w:val="-1"/>
          <w:w w:val="100"/>
          <w:sz w:val="21"/>
        </w:rPr>
        <w:t>a</w:t>
      </w:r>
      <w:r>
        <w:rPr>
          <w:spacing w:val="-3"/>
          <w:w w:val="100"/>
          <w:sz w:val="21"/>
        </w:rPr>
        <w:t>n</w:t>
      </w:r>
      <w:r>
        <w:rPr>
          <w:w w:val="100"/>
          <w:sz w:val="21"/>
        </w:rPr>
        <w:t>d</w:t>
      </w:r>
      <w:r>
        <w:rPr>
          <w:sz w:val="21"/>
        </w:rPr>
        <w:t> </w:t>
      </w:r>
      <w:r>
        <w:rPr>
          <w:spacing w:val="-4"/>
          <w:sz w:val="21"/>
        </w:rPr>
        <w:t> </w:t>
      </w:r>
      <w:r>
        <w:rPr>
          <w:spacing w:val="-1"/>
          <w:w w:val="33"/>
          <w:sz w:val="21"/>
        </w:rPr>
        <w:t>―</w:t>
      </w:r>
      <w:r>
        <w:rPr>
          <w:spacing w:val="-2"/>
          <w:w w:val="100"/>
          <w:sz w:val="21"/>
        </w:rPr>
        <w:t>T</w:t>
      </w:r>
      <w:r>
        <w:rPr>
          <w:spacing w:val="-1"/>
          <w:w w:val="100"/>
          <w:sz w:val="21"/>
        </w:rPr>
        <w:t>are</w:t>
      </w:r>
      <w:r>
        <w:rPr>
          <w:spacing w:val="-2"/>
          <w:w w:val="100"/>
          <w:sz w:val="21"/>
        </w:rPr>
        <w:t>t</w:t>
      </w:r>
      <w:r>
        <w:rPr>
          <w:spacing w:val="1"/>
          <w:w w:val="100"/>
          <w:sz w:val="21"/>
        </w:rPr>
        <w:t>a</w:t>
      </w:r>
      <w:r>
        <w:rPr>
          <w:spacing w:val="-1"/>
          <w:w w:val="100"/>
          <w:sz w:val="21"/>
        </w:rPr>
        <w:t>-</w:t>
      </w:r>
      <w:r>
        <w:rPr>
          <w:spacing w:val="-2"/>
          <w:w w:val="100"/>
          <w:sz w:val="21"/>
        </w:rPr>
        <w:t>K</w:t>
      </w:r>
      <w:r>
        <w:rPr>
          <w:w w:val="100"/>
          <w:sz w:val="21"/>
        </w:rPr>
        <w:t>e</w:t>
      </w:r>
      <w:r>
        <w:rPr>
          <w:spacing w:val="-4"/>
          <w:w w:val="100"/>
          <w:sz w:val="21"/>
        </w:rPr>
        <w:t>-</w:t>
      </w:r>
      <w:r>
        <w:rPr>
          <w:w w:val="100"/>
          <w:sz w:val="21"/>
        </w:rPr>
        <w:t>Th</w:t>
      </w:r>
      <w:r>
        <w:rPr>
          <w:spacing w:val="-3"/>
          <w:w w:val="100"/>
          <w:sz w:val="21"/>
        </w:rPr>
        <w:t>a</w:t>
      </w:r>
      <w:r>
        <w:rPr>
          <w:w w:val="100"/>
          <w:sz w:val="21"/>
        </w:rPr>
        <w:t>kur</w:t>
      </w:r>
      <w:r>
        <w:rPr>
          <w:spacing w:val="-2"/>
          <w:w w:val="100"/>
          <w:sz w:val="21"/>
        </w:rPr>
        <w:t>.</w:t>
      </w:r>
      <w:r>
        <w:rPr>
          <w:w w:val="81"/>
          <w:sz w:val="21"/>
        </w:rPr>
        <w:t>‖</w:t>
      </w:r>
      <w:r>
        <w:rPr>
          <w:sz w:val="21"/>
        </w:rPr>
        <w:t> </w:t>
      </w:r>
      <w:r>
        <w:rPr>
          <w:spacing w:val="-5"/>
          <w:sz w:val="21"/>
        </w:rPr>
        <w:t> </w:t>
      </w:r>
      <w:r>
        <w:rPr>
          <w:spacing w:val="-2"/>
          <w:w w:val="100"/>
          <w:sz w:val="21"/>
        </w:rPr>
        <w:t>O</w:t>
      </w:r>
      <w:r>
        <w:rPr>
          <w:w w:val="100"/>
          <w:sz w:val="21"/>
        </w:rPr>
        <w:t>n</w:t>
      </w:r>
      <w:r>
        <w:rPr>
          <w:sz w:val="21"/>
        </w:rPr>
        <w:t> </w:t>
      </w:r>
      <w:r>
        <w:rPr>
          <w:spacing w:val="-4"/>
          <w:sz w:val="21"/>
        </w:rPr>
        <w:t> </w:t>
      </w:r>
      <w:r>
        <w:rPr>
          <w:spacing w:val="-2"/>
          <w:w w:val="100"/>
          <w:sz w:val="21"/>
        </w:rPr>
        <w:t>t</w:t>
      </w:r>
      <w:r>
        <w:rPr>
          <w:spacing w:val="-3"/>
          <w:w w:val="100"/>
          <w:sz w:val="21"/>
        </w:rPr>
        <w:t>h</w:t>
      </w:r>
      <w:r>
        <w:rPr>
          <w:w w:val="100"/>
          <w:sz w:val="21"/>
        </w:rPr>
        <w:t>e</w:t>
      </w:r>
      <w:r>
        <w:rPr>
          <w:sz w:val="21"/>
        </w:rPr>
        <w:t> </w:t>
      </w:r>
      <w:r>
        <w:rPr>
          <w:spacing w:val="-7"/>
          <w:sz w:val="21"/>
        </w:rPr>
        <w:t> </w:t>
      </w:r>
      <w:r>
        <w:rPr>
          <w:spacing w:val="-2"/>
          <w:w w:val="100"/>
          <w:sz w:val="21"/>
        </w:rPr>
        <w:t>f</w:t>
      </w:r>
      <w:r>
        <w:rPr>
          <w:w w:val="100"/>
          <w:sz w:val="21"/>
        </w:rPr>
        <w:t>i</w:t>
      </w:r>
      <w:r>
        <w:rPr>
          <w:spacing w:val="-1"/>
          <w:w w:val="100"/>
          <w:sz w:val="21"/>
        </w:rPr>
        <w:t>r</w:t>
      </w:r>
      <w:r>
        <w:rPr>
          <w:w w:val="100"/>
          <w:sz w:val="21"/>
        </w:rPr>
        <w:t>st</w:t>
      </w:r>
      <w:r>
        <w:rPr>
          <w:sz w:val="21"/>
        </w:rPr>
        <w:t> </w:t>
      </w:r>
      <w:r>
        <w:rPr>
          <w:spacing w:val="-6"/>
          <w:sz w:val="21"/>
        </w:rPr>
        <w:t> </w:t>
      </w:r>
      <w:r>
        <w:rPr>
          <w:spacing w:val="-3"/>
          <w:w w:val="100"/>
          <w:sz w:val="21"/>
        </w:rPr>
        <w:t>o</w:t>
      </w:r>
      <w:r>
        <w:rPr>
          <w:w w:val="100"/>
          <w:sz w:val="21"/>
        </w:rPr>
        <w:t>f</w:t>
      </w:r>
      <w:r>
        <w:rPr>
          <w:sz w:val="21"/>
        </w:rPr>
        <w:t> </w:t>
      </w:r>
      <w:r>
        <w:rPr>
          <w:spacing w:val="-6"/>
          <w:sz w:val="21"/>
        </w:rPr>
        <w:t> </w:t>
      </w:r>
      <w:r>
        <w:rPr>
          <w:spacing w:val="-2"/>
          <w:w w:val="100"/>
          <w:sz w:val="21"/>
        </w:rPr>
        <w:t>t</w:t>
      </w:r>
      <w:r>
        <w:rPr>
          <w:spacing w:val="-1"/>
          <w:w w:val="100"/>
          <w:sz w:val="21"/>
        </w:rPr>
        <w:t>hes</w:t>
      </w:r>
      <w:r>
        <w:rPr>
          <w:w w:val="100"/>
          <w:sz w:val="21"/>
        </w:rPr>
        <w:t>e</w:t>
      </w:r>
      <w:r>
        <w:rPr>
          <w:sz w:val="21"/>
        </w:rPr>
        <w:t> </w:t>
      </w:r>
      <w:r>
        <w:rPr>
          <w:spacing w:val="-4"/>
          <w:sz w:val="21"/>
        </w:rPr>
        <w:t> </w:t>
      </w:r>
      <w:r>
        <w:rPr>
          <w:spacing w:val="-2"/>
          <w:w w:val="100"/>
          <w:sz w:val="21"/>
        </w:rPr>
        <w:t>t</w:t>
      </w:r>
      <w:r>
        <w:rPr>
          <w:spacing w:val="-3"/>
          <w:w w:val="100"/>
          <w:sz w:val="21"/>
        </w:rPr>
        <w:t>h</w:t>
      </w:r>
      <w:r>
        <w:rPr>
          <w:w w:val="100"/>
          <w:sz w:val="21"/>
        </w:rPr>
        <w:t>e </w:t>
      </w:r>
      <w:r>
        <w:rPr>
          <w:sz w:val="21"/>
        </w:rPr>
        <w:t>Emperor Baber built the mosque  which still  bears his </w:t>
      </w:r>
      <w:r>
        <w:rPr>
          <w:spacing w:val="33"/>
          <w:sz w:val="21"/>
        </w:rPr>
        <w:t> </w:t>
      </w:r>
      <w:r>
        <w:rPr>
          <w:sz w:val="21"/>
        </w:rPr>
        <w:t>name,</w:t>
      </w:r>
    </w:p>
    <w:p>
      <w:pPr>
        <w:spacing w:line="276" w:lineRule="auto" w:before="0"/>
        <w:ind w:left="1940" w:right="2260" w:firstLine="0"/>
        <w:jc w:val="both"/>
        <w:rPr>
          <w:sz w:val="21"/>
        </w:rPr>
      </w:pPr>
      <w:r>
        <w:rPr>
          <w:sz w:val="21"/>
        </w:rPr>
        <w:t>A.D. 1528; on the second Aurangzeb did the same, A.D. 16581707; and on the third that sovereign, or his predecessor, built a mosque according to the well-known Mahomedan principle of enforcing their religion on all those whom they</w:t>
      </w:r>
      <w:r>
        <w:rPr>
          <w:spacing w:val="-3"/>
          <w:sz w:val="21"/>
        </w:rPr>
        <w:t> </w:t>
      </w:r>
      <w:r>
        <w:rPr>
          <w:sz w:val="21"/>
        </w:rPr>
        <w:t>conquered.</w:t>
      </w:r>
    </w:p>
    <w:p>
      <w:pPr>
        <w:spacing w:line="276" w:lineRule="auto" w:before="0"/>
        <w:ind w:left="1940" w:right="2261" w:firstLine="0"/>
        <w:jc w:val="both"/>
        <w:rPr>
          <w:b/>
          <w:sz w:val="21"/>
        </w:rPr>
      </w:pPr>
      <w:r>
        <w:rPr>
          <w:b/>
          <w:sz w:val="21"/>
        </w:rPr>
        <w:t>The Janmasthan marks the place where Ramchandar was born</w:t>
      </w:r>
      <w:r>
        <w:rPr>
          <w:sz w:val="21"/>
        </w:rPr>
        <w:t>. The Sargadwar is the gate through which he passed into Paradise, possibly the spot where his body was burned. The Tareta-Ke-Thakur was famous as the place where Rama performed a great sacrifice, and which he commemorated by </w:t>
      </w:r>
      <w:r>
        <w:rPr>
          <w:w w:val="100"/>
          <w:sz w:val="21"/>
        </w:rPr>
        <w:t>se</w:t>
      </w:r>
      <w:r>
        <w:rPr>
          <w:spacing w:val="-1"/>
          <w:w w:val="100"/>
          <w:sz w:val="21"/>
        </w:rPr>
        <w:t>t</w:t>
      </w:r>
      <w:r>
        <w:rPr>
          <w:spacing w:val="-2"/>
          <w:w w:val="100"/>
          <w:sz w:val="21"/>
        </w:rPr>
        <w:t>t</w:t>
      </w:r>
      <w:r>
        <w:rPr>
          <w:w w:val="100"/>
          <w:sz w:val="21"/>
        </w:rPr>
        <w:t>i</w:t>
      </w:r>
      <w:r>
        <w:rPr>
          <w:spacing w:val="-1"/>
          <w:w w:val="100"/>
          <w:sz w:val="21"/>
        </w:rPr>
        <w:t>n</w:t>
      </w:r>
      <w:r>
        <w:rPr>
          <w:w w:val="100"/>
          <w:sz w:val="21"/>
        </w:rPr>
        <w:t>g</w:t>
      </w:r>
      <w:r>
        <w:rPr>
          <w:sz w:val="21"/>
        </w:rPr>
        <w:t> </w:t>
      </w:r>
      <w:r>
        <w:rPr>
          <w:spacing w:val="-11"/>
          <w:sz w:val="21"/>
        </w:rPr>
        <w:t> </w:t>
      </w:r>
      <w:r>
        <w:rPr>
          <w:spacing w:val="-3"/>
          <w:w w:val="100"/>
          <w:sz w:val="21"/>
        </w:rPr>
        <w:t>u</w:t>
      </w:r>
      <w:r>
        <w:rPr>
          <w:w w:val="100"/>
          <w:sz w:val="21"/>
        </w:rPr>
        <w:t>p</w:t>
      </w:r>
      <w:r>
        <w:rPr>
          <w:sz w:val="21"/>
        </w:rPr>
        <w:t> </w:t>
      </w:r>
      <w:r>
        <w:rPr>
          <w:spacing w:val="-12"/>
          <w:sz w:val="21"/>
        </w:rPr>
        <w:t> </w:t>
      </w:r>
      <w:r>
        <w:rPr>
          <w:spacing w:val="-2"/>
          <w:w w:val="100"/>
          <w:sz w:val="21"/>
        </w:rPr>
        <w:t>t</w:t>
      </w:r>
      <w:r>
        <w:rPr>
          <w:spacing w:val="-1"/>
          <w:w w:val="100"/>
          <w:sz w:val="21"/>
        </w:rPr>
        <w:t>her</w:t>
      </w:r>
      <w:r>
        <w:rPr>
          <w:w w:val="100"/>
          <w:sz w:val="21"/>
        </w:rPr>
        <w:t>e</w:t>
      </w:r>
      <w:r>
        <w:rPr>
          <w:sz w:val="21"/>
        </w:rPr>
        <w:t> </w:t>
      </w:r>
      <w:r>
        <w:rPr>
          <w:spacing w:val="-12"/>
          <w:sz w:val="21"/>
        </w:rPr>
        <w:t> </w:t>
      </w:r>
      <w:r>
        <w:rPr>
          <w:spacing w:val="-2"/>
          <w:w w:val="100"/>
          <w:sz w:val="21"/>
        </w:rPr>
        <w:t>i</w:t>
      </w:r>
      <w:r>
        <w:rPr>
          <w:spacing w:val="1"/>
          <w:w w:val="100"/>
          <w:sz w:val="21"/>
        </w:rPr>
        <w:t>m</w:t>
      </w:r>
      <w:r>
        <w:rPr>
          <w:spacing w:val="-3"/>
          <w:w w:val="100"/>
          <w:sz w:val="21"/>
        </w:rPr>
        <w:t>a</w:t>
      </w:r>
      <w:r>
        <w:rPr>
          <w:spacing w:val="-1"/>
          <w:w w:val="100"/>
          <w:sz w:val="21"/>
        </w:rPr>
        <w:t>ge</w:t>
      </w:r>
      <w:r>
        <w:rPr>
          <w:w w:val="100"/>
          <w:sz w:val="21"/>
        </w:rPr>
        <w:t>s</w:t>
      </w:r>
      <w:r>
        <w:rPr>
          <w:sz w:val="21"/>
        </w:rPr>
        <w:t> </w:t>
      </w:r>
      <w:r>
        <w:rPr>
          <w:spacing w:val="-14"/>
          <w:sz w:val="21"/>
        </w:rPr>
        <w:t> </w:t>
      </w:r>
      <w:r>
        <w:rPr>
          <w:spacing w:val="-1"/>
          <w:w w:val="100"/>
          <w:sz w:val="21"/>
        </w:rPr>
        <w:t>o</w:t>
      </w:r>
      <w:r>
        <w:rPr>
          <w:w w:val="100"/>
          <w:sz w:val="21"/>
        </w:rPr>
        <w:t>f</w:t>
      </w:r>
      <w:r>
        <w:rPr>
          <w:sz w:val="21"/>
        </w:rPr>
        <w:t> </w:t>
      </w:r>
      <w:r>
        <w:rPr>
          <w:spacing w:val="-11"/>
          <w:sz w:val="21"/>
        </w:rPr>
        <w:t> </w:t>
      </w:r>
      <w:r>
        <w:rPr>
          <w:spacing w:val="-3"/>
          <w:w w:val="100"/>
          <w:sz w:val="21"/>
        </w:rPr>
        <w:t>h</w:t>
      </w:r>
      <w:r>
        <w:rPr>
          <w:spacing w:val="-2"/>
          <w:w w:val="100"/>
          <w:sz w:val="21"/>
        </w:rPr>
        <w:t>i</w:t>
      </w:r>
      <w:r>
        <w:rPr>
          <w:spacing w:val="1"/>
          <w:w w:val="100"/>
          <w:sz w:val="21"/>
        </w:rPr>
        <w:t>m</w:t>
      </w:r>
      <w:r>
        <w:rPr>
          <w:w w:val="100"/>
          <w:sz w:val="21"/>
        </w:rPr>
        <w:t>s</w:t>
      </w:r>
      <w:r>
        <w:rPr>
          <w:spacing w:val="-3"/>
          <w:w w:val="100"/>
          <w:sz w:val="21"/>
        </w:rPr>
        <w:t>e</w:t>
      </w:r>
      <w:r>
        <w:rPr>
          <w:spacing w:val="-2"/>
          <w:w w:val="100"/>
          <w:sz w:val="21"/>
        </w:rPr>
        <w:t>l</w:t>
      </w:r>
      <w:r>
        <w:rPr>
          <w:w w:val="100"/>
          <w:sz w:val="21"/>
        </w:rPr>
        <w:t>f</w:t>
      </w:r>
      <w:r>
        <w:rPr>
          <w:sz w:val="21"/>
        </w:rPr>
        <w:t> </w:t>
      </w:r>
      <w:r>
        <w:rPr>
          <w:spacing w:val="-11"/>
          <w:sz w:val="21"/>
        </w:rPr>
        <w:t> </w:t>
      </w:r>
      <w:r>
        <w:rPr>
          <w:spacing w:val="-1"/>
          <w:w w:val="100"/>
          <w:sz w:val="21"/>
        </w:rPr>
        <w:t>an</w:t>
      </w:r>
      <w:r>
        <w:rPr>
          <w:w w:val="100"/>
          <w:sz w:val="21"/>
        </w:rPr>
        <w:t>d</w:t>
      </w:r>
      <w:r>
        <w:rPr>
          <w:sz w:val="21"/>
        </w:rPr>
        <w:t> </w:t>
      </w:r>
      <w:r>
        <w:rPr>
          <w:spacing w:val="-14"/>
          <w:sz w:val="21"/>
        </w:rPr>
        <w:t> </w:t>
      </w:r>
      <w:r>
        <w:rPr>
          <w:w w:val="100"/>
          <w:sz w:val="21"/>
        </w:rPr>
        <w:t>Si</w:t>
      </w:r>
      <w:r>
        <w:rPr>
          <w:spacing w:val="-2"/>
          <w:w w:val="100"/>
          <w:sz w:val="21"/>
        </w:rPr>
        <w:t>t</w:t>
      </w:r>
      <w:r>
        <w:rPr>
          <w:spacing w:val="-1"/>
          <w:w w:val="100"/>
          <w:sz w:val="21"/>
        </w:rPr>
        <w:t>a</w:t>
      </w:r>
      <w:r>
        <w:rPr>
          <w:w w:val="100"/>
          <w:sz w:val="21"/>
        </w:rPr>
        <w:t>.</w:t>
      </w:r>
      <w:r>
        <w:rPr>
          <w:sz w:val="21"/>
        </w:rPr>
        <w:t> </w:t>
      </w:r>
      <w:r>
        <w:rPr>
          <w:spacing w:val="-13"/>
          <w:sz w:val="21"/>
        </w:rPr>
        <w:t> </w:t>
      </w:r>
      <w:r>
        <w:rPr>
          <w:spacing w:val="-1"/>
          <w:w w:val="33"/>
          <w:sz w:val="21"/>
        </w:rPr>
        <w:t>―</w:t>
      </w:r>
      <w:r>
        <w:rPr>
          <w:spacing w:val="-1"/>
          <w:w w:val="100"/>
          <w:sz w:val="21"/>
        </w:rPr>
        <w:t>6</w:t>
      </w:r>
      <w:r>
        <w:rPr>
          <w:spacing w:val="-3"/>
          <w:w w:val="100"/>
          <w:sz w:val="21"/>
        </w:rPr>
        <w:t>6</w:t>
      </w:r>
      <w:r>
        <w:rPr>
          <w:spacing w:val="-1"/>
          <w:w w:val="100"/>
          <w:sz w:val="21"/>
        </w:rPr>
        <w:t>7</w:t>
      </w:r>
      <w:r>
        <w:rPr>
          <w:w w:val="100"/>
          <w:sz w:val="21"/>
        </w:rPr>
        <w:t>.</w:t>
      </w:r>
      <w:r>
        <w:rPr>
          <w:sz w:val="21"/>
        </w:rPr>
        <w:t> </w:t>
      </w:r>
      <w:r>
        <w:rPr>
          <w:spacing w:val="-13"/>
          <w:sz w:val="21"/>
        </w:rPr>
        <w:t> </w:t>
      </w:r>
      <w:r>
        <w:rPr>
          <w:w w:val="100"/>
          <w:sz w:val="21"/>
        </w:rPr>
        <w:t>B</w:t>
      </w:r>
      <w:r>
        <w:rPr>
          <w:spacing w:val="-1"/>
          <w:w w:val="100"/>
          <w:sz w:val="21"/>
        </w:rPr>
        <w:t>abar</w:t>
      </w:r>
      <w:r>
        <w:rPr>
          <w:spacing w:val="-3"/>
          <w:w w:val="100"/>
          <w:sz w:val="21"/>
        </w:rPr>
        <w:t>'</w:t>
      </w:r>
      <w:r>
        <w:rPr>
          <w:w w:val="100"/>
          <w:sz w:val="21"/>
        </w:rPr>
        <w:t>s </w:t>
      </w:r>
      <w:r>
        <w:rPr>
          <w:sz w:val="21"/>
        </w:rPr>
        <w:t>mosque.- According to Leyden's Memoirs of Babar, that emperor encamped at the junction of the Serwu and Gogra rivers, two or three kos east from Ajudhya, on the 28th March, 1528, and there he halted seven or eight days, settling the surrounding country. A well-known hunting-ground is spoken of in that work, seven or eight kos above Oudh, on the banks of the Sarju. </w:t>
      </w:r>
      <w:r>
        <w:rPr>
          <w:b/>
          <w:sz w:val="21"/>
        </w:rPr>
        <w:t>It is remarkable that in all the copies of Babar's life now known the pages that relate to his doings at Ajudhya are wanting. In two places in the Babari mosque the year in which it was built, 935 H., corresponding with 1528 </w:t>
      </w:r>
      <w:r>
        <w:rPr>
          <w:b/>
          <w:spacing w:val="-3"/>
          <w:sz w:val="21"/>
        </w:rPr>
        <w:t>A.D., </w:t>
      </w:r>
      <w:r>
        <w:rPr>
          <w:b/>
          <w:sz w:val="21"/>
        </w:rPr>
        <w:t>is carved in stone, along with inscriptions dedicated to the glory of that</w:t>
      </w:r>
      <w:r>
        <w:rPr>
          <w:b/>
          <w:spacing w:val="-11"/>
          <w:sz w:val="21"/>
        </w:rPr>
        <w:t> </w:t>
      </w:r>
      <w:r>
        <w:rPr>
          <w:b/>
          <w:sz w:val="21"/>
        </w:rPr>
        <w:t>emperor.</w:t>
      </w:r>
    </w:p>
    <w:p>
      <w:pPr>
        <w:pStyle w:val="BodyText"/>
        <w:spacing w:before="1"/>
        <w:rPr>
          <w:b/>
          <w:sz w:val="24"/>
        </w:rPr>
      </w:pPr>
    </w:p>
    <w:p>
      <w:pPr>
        <w:spacing w:line="276" w:lineRule="auto" w:before="0"/>
        <w:ind w:left="1940" w:right="2260" w:firstLine="0"/>
        <w:jc w:val="both"/>
        <w:rPr>
          <w:b/>
          <w:sz w:val="21"/>
        </w:rPr>
      </w:pPr>
      <w:r>
        <w:rPr>
          <w:b/>
          <w:sz w:val="21"/>
        </w:rPr>
        <w:t>If Ajudhia was then little other than a wild, it must at least have possessed a fine temple in the Janamsthan; for many of its columns are still in existence and in good preservation, having been used by the Musalmans in the construction of the Babari Mosque. These are of strong close-grained dark slate-colored or black stone, called by the natives Kasoti (literally touch-stone,) and carved with different devices. To my thinking these strongly resemble Budhist pillars that I have seen at Benares and elsewhere. They are from seven to eight feet long, square at the base, centre and capital, and round or octagonal intermediately</w:t>
      </w:r>
    </w:p>
    <w:p>
      <w:pPr>
        <w:pStyle w:val="BodyText"/>
        <w:spacing w:before="2"/>
        <w:rPr>
          <w:b/>
          <w:sz w:val="24"/>
        </w:rPr>
      </w:pPr>
    </w:p>
    <w:p>
      <w:pPr>
        <w:spacing w:line="276" w:lineRule="auto" w:before="0"/>
        <w:ind w:left="1940" w:right="2262" w:firstLine="0"/>
        <w:jc w:val="both"/>
        <w:rPr>
          <w:sz w:val="21"/>
        </w:rPr>
      </w:pPr>
      <w:r>
        <w:rPr>
          <w:sz w:val="21"/>
        </w:rPr>
        <w:t>Hindu and Musalman differences.-The Janamsthan is within a few hundred paces of the Hanuman Garhi. In 1855 when a</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sz w:val="21"/>
        </w:rPr>
      </w:pPr>
      <w:r>
        <w:rPr>
          <w:sz w:val="21"/>
        </w:rPr>
        <w:t>great rupture took place between the Hindus and Mahomedans, the former occupied the Hanuman Garhi in force, while the Musalmans took possession of the Janamsthan. The Mahomedans on that occasion actually charged up the steps of the Hanuman Garhi, but were driven back with considerable loss. The Hindus then followed up this success, and at the third attempt, took the Janamasthan, at </w:t>
      </w:r>
      <w:r>
        <w:rPr>
          <w:spacing w:val="-2"/>
          <w:w w:val="100"/>
          <w:sz w:val="21"/>
        </w:rPr>
        <w:t>t</w:t>
      </w:r>
      <w:r>
        <w:rPr>
          <w:w w:val="100"/>
          <w:sz w:val="21"/>
        </w:rPr>
        <w:t>he</w:t>
      </w:r>
      <w:r>
        <w:rPr>
          <w:spacing w:val="11"/>
          <w:sz w:val="21"/>
        </w:rPr>
        <w:t> </w:t>
      </w:r>
      <w:r>
        <w:rPr>
          <w:spacing w:val="-1"/>
          <w:w w:val="100"/>
          <w:sz w:val="21"/>
        </w:rPr>
        <w:t>gat</w:t>
      </w:r>
      <w:r>
        <w:rPr>
          <w:w w:val="100"/>
          <w:sz w:val="21"/>
        </w:rPr>
        <w:t>e</w:t>
      </w:r>
      <w:r>
        <w:rPr>
          <w:spacing w:val="8"/>
          <w:sz w:val="21"/>
        </w:rPr>
        <w:t> </w:t>
      </w:r>
      <w:r>
        <w:rPr>
          <w:spacing w:val="-3"/>
          <w:w w:val="100"/>
          <w:sz w:val="21"/>
        </w:rPr>
        <w:t>o</w:t>
      </w:r>
      <w:r>
        <w:rPr>
          <w:w w:val="100"/>
          <w:sz w:val="21"/>
        </w:rPr>
        <w:t>f</w:t>
      </w:r>
      <w:r>
        <w:rPr>
          <w:spacing w:val="12"/>
          <w:sz w:val="21"/>
        </w:rPr>
        <w:t> </w:t>
      </w:r>
      <w:r>
        <w:rPr>
          <w:spacing w:val="-2"/>
          <w:w w:val="100"/>
          <w:sz w:val="21"/>
        </w:rPr>
        <w:t>w</w:t>
      </w:r>
      <w:r>
        <w:rPr>
          <w:spacing w:val="-3"/>
          <w:w w:val="100"/>
          <w:sz w:val="21"/>
        </w:rPr>
        <w:t>h</w:t>
      </w:r>
      <w:r>
        <w:rPr>
          <w:w w:val="100"/>
          <w:sz w:val="21"/>
        </w:rPr>
        <w:t>ich</w:t>
      </w:r>
      <w:r>
        <w:rPr>
          <w:spacing w:val="8"/>
          <w:sz w:val="21"/>
        </w:rPr>
        <w:t> </w:t>
      </w:r>
      <w:r>
        <w:rPr>
          <w:spacing w:val="-1"/>
          <w:w w:val="100"/>
          <w:sz w:val="21"/>
        </w:rPr>
        <w:t>7</w:t>
      </w:r>
      <w:r>
        <w:rPr>
          <w:w w:val="100"/>
          <w:sz w:val="21"/>
        </w:rPr>
        <w:t>5</w:t>
      </w:r>
      <w:r>
        <w:rPr>
          <w:spacing w:val="9"/>
          <w:sz w:val="21"/>
        </w:rPr>
        <w:t> </w:t>
      </w:r>
      <w:r>
        <w:rPr>
          <w:spacing w:val="-1"/>
          <w:w w:val="100"/>
          <w:sz w:val="21"/>
        </w:rPr>
        <w:t>Ma</w:t>
      </w:r>
      <w:r>
        <w:rPr>
          <w:spacing w:val="-3"/>
          <w:w w:val="100"/>
          <w:sz w:val="21"/>
        </w:rPr>
        <w:t>h</w:t>
      </w:r>
      <w:r>
        <w:rPr>
          <w:spacing w:val="-1"/>
          <w:w w:val="100"/>
          <w:sz w:val="21"/>
        </w:rPr>
        <w:t>omed</w:t>
      </w:r>
      <w:r>
        <w:rPr>
          <w:spacing w:val="-3"/>
          <w:w w:val="100"/>
          <w:sz w:val="21"/>
        </w:rPr>
        <w:t>a</w:t>
      </w:r>
      <w:r>
        <w:rPr>
          <w:spacing w:val="-1"/>
          <w:w w:val="100"/>
          <w:sz w:val="21"/>
        </w:rPr>
        <w:t>n</w:t>
      </w:r>
      <w:r>
        <w:rPr>
          <w:w w:val="100"/>
          <w:sz w:val="21"/>
        </w:rPr>
        <w:t>s</w:t>
      </w:r>
      <w:r>
        <w:rPr>
          <w:spacing w:val="8"/>
          <w:sz w:val="21"/>
        </w:rPr>
        <w:t> </w:t>
      </w:r>
      <w:r>
        <w:rPr>
          <w:spacing w:val="-1"/>
          <w:w w:val="100"/>
          <w:sz w:val="21"/>
        </w:rPr>
        <w:t>ar</w:t>
      </w:r>
      <w:r>
        <w:rPr>
          <w:w w:val="100"/>
          <w:sz w:val="21"/>
        </w:rPr>
        <w:t>e</w:t>
      </w:r>
      <w:r>
        <w:rPr>
          <w:spacing w:val="10"/>
          <w:sz w:val="21"/>
        </w:rPr>
        <w:t> </w:t>
      </w:r>
      <w:r>
        <w:rPr>
          <w:spacing w:val="-3"/>
          <w:w w:val="100"/>
          <w:sz w:val="21"/>
        </w:rPr>
        <w:t>b</w:t>
      </w:r>
      <w:r>
        <w:rPr>
          <w:spacing w:val="-1"/>
          <w:w w:val="100"/>
          <w:sz w:val="21"/>
        </w:rPr>
        <w:t>ur</w:t>
      </w:r>
      <w:r>
        <w:rPr>
          <w:spacing w:val="-2"/>
          <w:w w:val="100"/>
          <w:sz w:val="21"/>
        </w:rPr>
        <w:t>i</w:t>
      </w:r>
      <w:r>
        <w:rPr>
          <w:spacing w:val="-1"/>
          <w:w w:val="100"/>
          <w:sz w:val="21"/>
        </w:rPr>
        <w:t>e</w:t>
      </w:r>
      <w:r>
        <w:rPr>
          <w:w w:val="100"/>
          <w:sz w:val="21"/>
        </w:rPr>
        <w:t>d</w:t>
      </w:r>
      <w:r>
        <w:rPr>
          <w:spacing w:val="8"/>
          <w:sz w:val="21"/>
        </w:rPr>
        <w:t> </w:t>
      </w:r>
      <w:r>
        <w:rPr>
          <w:w w:val="100"/>
          <w:sz w:val="21"/>
        </w:rPr>
        <w:t>in</w:t>
      </w:r>
      <w:r>
        <w:rPr>
          <w:spacing w:val="11"/>
          <w:sz w:val="21"/>
        </w:rPr>
        <w:t> </w:t>
      </w:r>
      <w:r>
        <w:rPr>
          <w:spacing w:val="-2"/>
          <w:w w:val="100"/>
          <w:sz w:val="21"/>
        </w:rPr>
        <w:t>t</w:t>
      </w:r>
      <w:r>
        <w:rPr>
          <w:spacing w:val="-3"/>
          <w:w w:val="100"/>
          <w:sz w:val="21"/>
        </w:rPr>
        <w:t>h</w:t>
      </w:r>
      <w:r>
        <w:rPr>
          <w:w w:val="100"/>
          <w:sz w:val="21"/>
        </w:rPr>
        <w:t>e</w:t>
      </w:r>
      <w:r>
        <w:rPr>
          <w:spacing w:val="11"/>
          <w:sz w:val="21"/>
        </w:rPr>
        <w:t> </w:t>
      </w:r>
      <w:r>
        <w:rPr>
          <w:spacing w:val="-1"/>
          <w:w w:val="33"/>
          <w:sz w:val="21"/>
        </w:rPr>
        <w:t>―</w:t>
      </w:r>
      <w:r>
        <w:rPr>
          <w:spacing w:val="-1"/>
          <w:w w:val="100"/>
          <w:sz w:val="21"/>
        </w:rPr>
        <w:t>Mar</w:t>
      </w:r>
      <w:r>
        <w:rPr>
          <w:spacing w:val="-2"/>
          <w:w w:val="100"/>
          <w:sz w:val="21"/>
        </w:rPr>
        <w:t>t</w:t>
      </w:r>
      <w:r>
        <w:rPr>
          <w:spacing w:val="-3"/>
          <w:w w:val="100"/>
          <w:sz w:val="21"/>
        </w:rPr>
        <w:t>y</w:t>
      </w:r>
      <w:r>
        <w:rPr>
          <w:spacing w:val="-1"/>
          <w:w w:val="100"/>
          <w:sz w:val="21"/>
        </w:rPr>
        <w:t>r</w:t>
      </w:r>
      <w:r>
        <w:rPr>
          <w:w w:val="100"/>
          <w:sz w:val="21"/>
        </w:rPr>
        <w:t>s' </w:t>
      </w:r>
      <w:r>
        <w:rPr>
          <w:sz w:val="21"/>
        </w:rPr>
        <w:t>grave‖ (Ganj-Shahid.) Several of the King's Regiments wee looking on all the time, but their orders we not to interfere. </w:t>
      </w:r>
      <w:r>
        <w:rPr>
          <w:b/>
          <w:sz w:val="21"/>
        </w:rPr>
        <w:t>It is said that up to that time the Hindus and Mahomedans alike used to worship in the mosque-temple. Since  British rule a railing has been put up to prevent disputes, within which in the mosque the Mahomedans pray, while outside the fence the Hindus have raised a platform on which they make their offerings</w:t>
      </w:r>
      <w:r>
        <w:rPr>
          <w:sz w:val="21"/>
        </w:rPr>
        <w:t>.‖ (Emphasis</w:t>
      </w:r>
      <w:r>
        <w:rPr>
          <w:spacing w:val="-27"/>
          <w:sz w:val="21"/>
        </w:rPr>
        <w:t> </w:t>
      </w:r>
      <w:r>
        <w:rPr>
          <w:sz w:val="21"/>
        </w:rPr>
        <w:t>supplied)</w:t>
      </w:r>
    </w:p>
    <w:p>
      <w:pPr>
        <w:pStyle w:val="BodyText"/>
        <w:rPr>
          <w:sz w:val="24"/>
        </w:rPr>
      </w:pPr>
    </w:p>
    <w:p>
      <w:pPr>
        <w:pStyle w:val="BodyText"/>
        <w:rPr>
          <w:sz w:val="24"/>
        </w:rPr>
      </w:pPr>
    </w:p>
    <w:p>
      <w:pPr>
        <w:pStyle w:val="BodyText"/>
        <w:spacing w:before="4"/>
        <w:rPr>
          <w:sz w:val="24"/>
        </w:rPr>
      </w:pPr>
    </w:p>
    <w:p>
      <w:pPr>
        <w:pStyle w:val="BodyText"/>
        <w:spacing w:line="480" w:lineRule="auto"/>
        <w:ind w:left="500" w:right="432"/>
        <w:jc w:val="both"/>
      </w:pPr>
      <w:r>
        <w:rPr/>
        <w:t>The various Hindu parties placed reliance on the account of </w:t>
      </w:r>
      <w:r>
        <w:rPr>
          <w:b/>
        </w:rPr>
        <w:t>Carnegy </w:t>
      </w:r>
      <w:r>
        <w:rPr/>
        <w:t>to establish the belief of the Hindus that the Janmasthan was the place of birth of Lord Ram, and the Kasauti columns were used in the construction of the mosque. There is a reference to the carvings on the Kasauti pillars. </w:t>
      </w:r>
      <w:r>
        <w:rPr>
          <w:b/>
        </w:rPr>
        <w:t>Carnegy‘s </w:t>
      </w:r>
      <w:r>
        <w:rPr/>
        <w:t>account, which was published in 1870 has adverted to the incident which took place in 1855 involving a conflict between the Hindus and Muslims. He refers to worship being offered by </w:t>
      </w:r>
      <w:r>
        <w:rPr>
          <w:spacing w:val="-1"/>
          <w:w w:val="99"/>
        </w:rPr>
        <w:t>b</w:t>
      </w:r>
      <w:r>
        <w:rPr>
          <w:w w:val="99"/>
        </w:rPr>
        <w:t>oth</w:t>
      </w:r>
      <w:r>
        <w:rPr>
          <w:spacing w:val="15"/>
        </w:rPr>
        <w:t> </w:t>
      </w:r>
      <w:r>
        <w:rPr>
          <w:spacing w:val="-1"/>
          <w:w w:val="99"/>
        </w:rPr>
        <w:t>Hind</w:t>
      </w:r>
      <w:r>
        <w:rPr>
          <w:w w:val="99"/>
        </w:rPr>
        <w:t>us</w:t>
      </w:r>
      <w:r>
        <w:rPr>
          <w:spacing w:val="14"/>
        </w:rPr>
        <w:t> </w:t>
      </w:r>
      <w:r>
        <w:rPr>
          <w:spacing w:val="-1"/>
          <w:w w:val="99"/>
        </w:rPr>
        <w:t>a</w:t>
      </w:r>
      <w:r>
        <w:rPr>
          <w:w w:val="99"/>
        </w:rPr>
        <w:t>nd</w:t>
      </w:r>
      <w:r>
        <w:rPr>
          <w:spacing w:val="17"/>
        </w:rPr>
        <w:t> </w:t>
      </w:r>
      <w:r>
        <w:rPr>
          <w:spacing w:val="-2"/>
          <w:w w:val="99"/>
        </w:rPr>
        <w:t>M</w:t>
      </w:r>
      <w:r>
        <w:rPr>
          <w:spacing w:val="-1"/>
          <w:w w:val="99"/>
        </w:rPr>
        <w:t>u</w:t>
      </w:r>
      <w:r>
        <w:rPr>
          <w:spacing w:val="2"/>
          <w:w w:val="99"/>
        </w:rPr>
        <w:t>s</w:t>
      </w:r>
      <w:r>
        <w:rPr>
          <w:spacing w:val="-1"/>
          <w:w w:val="99"/>
        </w:rPr>
        <w:t>lim</w:t>
      </w:r>
      <w:r>
        <w:rPr>
          <w:w w:val="99"/>
        </w:rPr>
        <w:t>s</w:t>
      </w:r>
      <w:r>
        <w:rPr>
          <w:spacing w:val="14"/>
        </w:rPr>
        <w:t> </w:t>
      </w:r>
      <w:r>
        <w:rPr>
          <w:w w:val="33"/>
        </w:rPr>
        <w:t>―</w:t>
      </w:r>
      <w:r>
        <w:rPr>
          <w:spacing w:val="-1"/>
          <w:w w:val="99"/>
        </w:rPr>
        <w:t>i</w:t>
      </w:r>
      <w:r>
        <w:rPr>
          <w:w w:val="99"/>
        </w:rPr>
        <w:t>n</w:t>
      </w:r>
      <w:r>
        <w:rPr>
          <w:spacing w:val="14"/>
        </w:rPr>
        <w:t> </w:t>
      </w:r>
      <w:r>
        <w:rPr>
          <w:w w:val="99"/>
        </w:rPr>
        <w:t>the</w:t>
      </w:r>
      <w:r>
        <w:rPr>
          <w:spacing w:val="15"/>
        </w:rPr>
        <w:t> </w:t>
      </w:r>
      <w:r>
        <w:rPr>
          <w:w w:val="99"/>
        </w:rPr>
        <w:t>m</w:t>
      </w:r>
      <w:r>
        <w:rPr>
          <w:spacing w:val="-1"/>
          <w:w w:val="99"/>
        </w:rPr>
        <w:t>os</w:t>
      </w:r>
      <w:r>
        <w:rPr>
          <w:w w:val="99"/>
        </w:rPr>
        <w:t>q</w:t>
      </w:r>
      <w:r>
        <w:rPr>
          <w:spacing w:val="-1"/>
          <w:w w:val="99"/>
        </w:rPr>
        <w:t>u</w:t>
      </w:r>
      <w:r>
        <w:rPr>
          <w:spacing w:val="5"/>
          <w:w w:val="99"/>
        </w:rPr>
        <w:t>e</w:t>
      </w:r>
      <w:r>
        <w:rPr>
          <w:w w:val="99"/>
        </w:rPr>
        <w:t>-te</w:t>
      </w:r>
      <w:r>
        <w:rPr>
          <w:spacing w:val="1"/>
          <w:w w:val="99"/>
        </w:rPr>
        <w:t>m</w:t>
      </w:r>
      <w:r>
        <w:rPr>
          <w:spacing w:val="-1"/>
          <w:w w:val="95"/>
        </w:rPr>
        <w:t>ple</w:t>
      </w:r>
      <w:r>
        <w:rPr>
          <w:w w:val="95"/>
        </w:rPr>
        <w:t>‖</w:t>
      </w:r>
      <w:r>
        <w:rPr>
          <w:spacing w:val="15"/>
        </w:rPr>
        <w:t> </w:t>
      </w:r>
      <w:r>
        <w:rPr>
          <w:spacing w:val="-1"/>
          <w:w w:val="99"/>
        </w:rPr>
        <w:t>p</w:t>
      </w:r>
      <w:r>
        <w:rPr>
          <w:w w:val="99"/>
        </w:rPr>
        <w:t>r</w:t>
      </w:r>
      <w:r>
        <w:rPr>
          <w:spacing w:val="-1"/>
          <w:w w:val="99"/>
        </w:rPr>
        <w:t>io</w:t>
      </w:r>
      <w:r>
        <w:rPr>
          <w:w w:val="99"/>
        </w:rPr>
        <w:t>r</w:t>
      </w:r>
      <w:r>
        <w:rPr>
          <w:spacing w:val="15"/>
        </w:rPr>
        <w:t> </w:t>
      </w:r>
      <w:r>
        <w:rPr>
          <w:w w:val="99"/>
        </w:rPr>
        <w:t>to</w:t>
      </w:r>
      <w:r>
        <w:rPr>
          <w:spacing w:val="15"/>
        </w:rPr>
        <w:t> </w:t>
      </w:r>
      <w:r>
        <w:rPr>
          <w:w w:val="99"/>
        </w:rPr>
        <w:t>the</w:t>
      </w:r>
      <w:r>
        <w:rPr>
          <w:spacing w:val="15"/>
        </w:rPr>
        <w:t> </w:t>
      </w:r>
      <w:r>
        <w:rPr>
          <w:spacing w:val="-1"/>
          <w:w w:val="99"/>
        </w:rPr>
        <w:t>incid</w:t>
      </w:r>
      <w:r>
        <w:rPr>
          <w:w w:val="99"/>
        </w:rPr>
        <w:t>e</w:t>
      </w:r>
      <w:r>
        <w:rPr>
          <w:spacing w:val="-1"/>
          <w:w w:val="99"/>
        </w:rPr>
        <w:t>n</w:t>
      </w:r>
      <w:r>
        <w:rPr>
          <w:w w:val="99"/>
        </w:rPr>
        <w:t>t</w:t>
      </w:r>
      <w:r>
        <w:rPr>
          <w:spacing w:val="14"/>
        </w:rPr>
        <w:t> </w:t>
      </w:r>
      <w:r>
        <w:rPr>
          <w:spacing w:val="-1"/>
          <w:w w:val="99"/>
        </w:rPr>
        <w:t>a</w:t>
      </w:r>
      <w:r>
        <w:rPr>
          <w:w w:val="99"/>
        </w:rPr>
        <w:t>nd</w:t>
      </w:r>
      <w:r>
        <w:rPr>
          <w:spacing w:val="14"/>
        </w:rPr>
        <w:t> </w:t>
      </w:r>
      <w:r>
        <w:rPr>
          <w:w w:val="99"/>
        </w:rPr>
        <w:t>to</w:t>
      </w:r>
      <w:r>
        <w:rPr>
          <w:spacing w:val="15"/>
        </w:rPr>
        <w:t> </w:t>
      </w:r>
      <w:r>
        <w:rPr>
          <w:w w:val="99"/>
        </w:rPr>
        <w:t>the </w:t>
      </w:r>
      <w:r>
        <w:rPr/>
        <w:t>construction of a railing thereafter, with a view to prevent disputes. </w:t>
      </w:r>
      <w:r>
        <w:rPr>
          <w:b/>
        </w:rPr>
        <w:t>Carnegy </w:t>
      </w:r>
      <w:r>
        <w:rPr/>
        <w:t>notes that the railing was put up so as to separate the two communities, by allowing the Muslims to worship within its precincts in the mosque while the Hindus had outside it, raised a platform to make their</w:t>
      </w:r>
      <w:r>
        <w:rPr>
          <w:spacing w:val="-2"/>
        </w:rPr>
        <w:t> </w:t>
      </w:r>
      <w:r>
        <w:rPr/>
        <w:t>offerings.</w:t>
      </w:r>
    </w:p>
    <w:p>
      <w:pPr>
        <w:pStyle w:val="BodyText"/>
        <w:spacing w:before="1"/>
      </w:pPr>
    </w:p>
    <w:p>
      <w:pPr>
        <w:pStyle w:val="ListParagraph"/>
        <w:numPr>
          <w:ilvl w:val="0"/>
          <w:numId w:val="166"/>
        </w:numPr>
        <w:tabs>
          <w:tab w:pos="1221" w:val="left" w:leader="none"/>
        </w:tabs>
        <w:spacing w:line="482" w:lineRule="auto" w:before="0" w:after="0"/>
        <w:ind w:left="500" w:right="437" w:firstLine="0"/>
        <w:jc w:val="both"/>
        <w:rPr>
          <w:sz w:val="25"/>
        </w:rPr>
      </w:pPr>
      <w:r>
        <w:rPr>
          <w:b/>
          <w:sz w:val="25"/>
        </w:rPr>
        <w:t>Exhibit 7 – Suit 5: Gazetteer of Oudh (1877)</w:t>
      </w:r>
      <w:r>
        <w:rPr>
          <w:sz w:val="25"/>
        </w:rPr>
        <w:t>: The gazetteer contains a description in the same terms as the account of </w:t>
      </w:r>
      <w:r>
        <w:rPr>
          <w:b/>
          <w:sz w:val="25"/>
        </w:rPr>
        <w:t>Carnegy </w:t>
      </w:r>
      <w:r>
        <w:rPr>
          <w:sz w:val="25"/>
        </w:rPr>
        <w:t>and therefore does not need any further</w:t>
      </w:r>
      <w:r>
        <w:rPr>
          <w:spacing w:val="-4"/>
          <w:sz w:val="25"/>
        </w:rPr>
        <w:t> </w:t>
      </w:r>
      <w:r>
        <w:rPr>
          <w:sz w:val="25"/>
        </w:rPr>
        <w:t>elaboration.</w:t>
      </w:r>
    </w:p>
    <w:p>
      <w:pPr>
        <w:spacing w:after="0" w:line="482" w:lineRule="auto"/>
        <w:jc w:val="both"/>
        <w:rPr>
          <w:sz w:val="25"/>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1" w:after="0"/>
        <w:ind w:left="500" w:right="435" w:firstLine="0"/>
        <w:jc w:val="both"/>
        <w:rPr>
          <w:sz w:val="25"/>
        </w:rPr>
      </w:pPr>
      <w:r>
        <w:rPr>
          <w:b/>
          <w:spacing w:val="-1"/>
          <w:w w:val="99"/>
          <w:sz w:val="25"/>
        </w:rPr>
        <w:t>E</w:t>
      </w:r>
      <w:r>
        <w:rPr>
          <w:b/>
          <w:w w:val="99"/>
          <w:sz w:val="25"/>
        </w:rPr>
        <w:t>x</w:t>
      </w:r>
      <w:r>
        <w:rPr>
          <w:b/>
          <w:spacing w:val="1"/>
          <w:w w:val="99"/>
          <w:sz w:val="25"/>
        </w:rPr>
        <w:t>h</w:t>
      </w:r>
      <w:r>
        <w:rPr>
          <w:b/>
          <w:w w:val="99"/>
          <w:sz w:val="25"/>
        </w:rPr>
        <w:t>i</w:t>
      </w:r>
      <w:r>
        <w:rPr>
          <w:b/>
          <w:spacing w:val="1"/>
          <w:w w:val="99"/>
          <w:sz w:val="25"/>
        </w:rPr>
        <w:t>b</w:t>
      </w:r>
      <w:r>
        <w:rPr>
          <w:b/>
          <w:w w:val="99"/>
          <w:sz w:val="25"/>
        </w:rPr>
        <w:t>it</w:t>
      </w:r>
      <w:r>
        <w:rPr>
          <w:b/>
          <w:sz w:val="25"/>
        </w:rPr>
        <w:t> </w:t>
      </w:r>
      <w:r>
        <w:rPr>
          <w:b/>
          <w:spacing w:val="-2"/>
          <w:sz w:val="25"/>
        </w:rPr>
        <w:t> </w:t>
      </w:r>
      <w:r>
        <w:rPr>
          <w:b/>
          <w:w w:val="99"/>
          <w:sz w:val="25"/>
        </w:rPr>
        <w:t>8</w:t>
      </w:r>
      <w:r>
        <w:rPr>
          <w:b/>
          <w:sz w:val="25"/>
        </w:rPr>
        <w:t> </w:t>
      </w:r>
      <w:r>
        <w:rPr>
          <w:b/>
          <w:spacing w:val="-2"/>
          <w:sz w:val="25"/>
        </w:rPr>
        <w:t> </w:t>
      </w:r>
      <w:r>
        <w:rPr>
          <w:b/>
          <w:spacing w:val="-1"/>
          <w:w w:val="99"/>
          <w:sz w:val="25"/>
        </w:rPr>
        <w:t>S</w:t>
      </w:r>
      <w:r>
        <w:rPr>
          <w:b/>
          <w:w w:val="99"/>
          <w:sz w:val="25"/>
        </w:rPr>
        <w:t>uit</w:t>
      </w:r>
      <w:r>
        <w:rPr>
          <w:b/>
          <w:sz w:val="25"/>
        </w:rPr>
        <w:t> </w:t>
      </w:r>
      <w:r>
        <w:rPr>
          <w:b/>
          <w:spacing w:val="1"/>
          <w:sz w:val="25"/>
        </w:rPr>
        <w:t> </w:t>
      </w:r>
      <w:r>
        <w:rPr>
          <w:b/>
          <w:w w:val="99"/>
          <w:sz w:val="25"/>
        </w:rPr>
        <w:t>–</w:t>
      </w:r>
      <w:r>
        <w:rPr>
          <w:b/>
          <w:sz w:val="25"/>
        </w:rPr>
        <w:t> </w:t>
      </w:r>
      <w:r>
        <w:rPr>
          <w:b/>
          <w:spacing w:val="-5"/>
          <w:sz w:val="25"/>
        </w:rPr>
        <w:t> </w:t>
      </w:r>
      <w:r>
        <w:rPr>
          <w:b/>
          <w:spacing w:val="-1"/>
          <w:w w:val="99"/>
          <w:sz w:val="25"/>
        </w:rPr>
        <w:t>5</w:t>
      </w:r>
      <w:r>
        <w:rPr>
          <w:b/>
          <w:w w:val="99"/>
          <w:sz w:val="25"/>
        </w:rPr>
        <w:t>:</w:t>
      </w:r>
      <w:r>
        <w:rPr>
          <w:b/>
          <w:sz w:val="25"/>
        </w:rPr>
        <w:t> </w:t>
      </w:r>
      <w:r>
        <w:rPr>
          <w:b/>
          <w:spacing w:val="1"/>
          <w:sz w:val="25"/>
        </w:rPr>
        <w:t> </w:t>
      </w:r>
      <w:r>
        <w:rPr>
          <w:b/>
          <w:spacing w:val="-8"/>
          <w:w w:val="99"/>
          <w:sz w:val="25"/>
        </w:rPr>
        <w:t>A</w:t>
      </w:r>
      <w:r>
        <w:rPr>
          <w:b/>
          <w:w w:val="99"/>
          <w:sz w:val="25"/>
        </w:rPr>
        <w:t>F</w:t>
      </w:r>
      <w:r>
        <w:rPr>
          <w:b/>
          <w:sz w:val="25"/>
        </w:rPr>
        <w:t> </w:t>
      </w:r>
      <w:r>
        <w:rPr>
          <w:b/>
          <w:spacing w:val="-2"/>
          <w:sz w:val="25"/>
        </w:rPr>
        <w:t> </w:t>
      </w:r>
      <w:r>
        <w:rPr>
          <w:b/>
          <w:w w:val="99"/>
          <w:sz w:val="25"/>
        </w:rPr>
        <w:t>Millet‘s</w:t>
      </w:r>
      <w:r>
        <w:rPr>
          <w:b/>
          <w:sz w:val="25"/>
        </w:rPr>
        <w:t> </w:t>
      </w:r>
      <w:r>
        <w:rPr>
          <w:b/>
          <w:spacing w:val="-1"/>
          <w:sz w:val="25"/>
        </w:rPr>
        <w:t> </w:t>
      </w:r>
      <w:r>
        <w:rPr>
          <w:w w:val="33"/>
          <w:sz w:val="25"/>
        </w:rPr>
        <w:t>―</w:t>
      </w:r>
      <w:r>
        <w:rPr>
          <w:b/>
          <w:spacing w:val="-2"/>
          <w:w w:val="99"/>
          <w:sz w:val="25"/>
        </w:rPr>
        <w:t>T</w:t>
      </w:r>
      <w:r>
        <w:rPr>
          <w:b/>
          <w:w w:val="99"/>
          <w:sz w:val="25"/>
        </w:rPr>
        <w:t>h</w:t>
      </w:r>
      <w:r>
        <w:rPr>
          <w:b/>
          <w:w w:val="99"/>
          <w:sz w:val="25"/>
        </w:rPr>
        <w:t>e</w:t>
      </w:r>
      <w:r>
        <w:rPr>
          <w:b/>
          <w:sz w:val="25"/>
        </w:rPr>
        <w:t> </w:t>
      </w:r>
      <w:r>
        <w:rPr>
          <w:b/>
          <w:spacing w:val="-2"/>
          <w:sz w:val="25"/>
        </w:rPr>
        <w:t> </w:t>
      </w:r>
      <w:r>
        <w:rPr>
          <w:b/>
          <w:w w:val="99"/>
          <w:sz w:val="25"/>
        </w:rPr>
        <w:t>Re</w:t>
      </w:r>
      <w:r>
        <w:rPr>
          <w:b/>
          <w:spacing w:val="1"/>
          <w:w w:val="99"/>
          <w:sz w:val="25"/>
        </w:rPr>
        <w:t>p</w:t>
      </w:r>
      <w:r>
        <w:rPr>
          <w:b/>
          <w:w w:val="99"/>
          <w:sz w:val="25"/>
        </w:rPr>
        <w:t>o</w:t>
      </w:r>
      <w:r>
        <w:rPr>
          <w:b/>
          <w:spacing w:val="-1"/>
          <w:w w:val="99"/>
          <w:sz w:val="25"/>
        </w:rPr>
        <w:t>r</w:t>
      </w:r>
      <w:r>
        <w:rPr>
          <w:b/>
          <w:w w:val="99"/>
          <w:sz w:val="25"/>
        </w:rPr>
        <w:t>t</w:t>
      </w:r>
      <w:r>
        <w:rPr>
          <w:b/>
          <w:sz w:val="25"/>
        </w:rPr>
        <w:t> </w:t>
      </w:r>
      <w:r>
        <w:rPr>
          <w:b/>
          <w:spacing w:val="-2"/>
          <w:sz w:val="25"/>
        </w:rPr>
        <w:t> </w:t>
      </w:r>
      <w:r>
        <w:rPr>
          <w:b/>
          <w:w w:val="99"/>
          <w:sz w:val="25"/>
        </w:rPr>
        <w:t>of</w:t>
      </w:r>
      <w:r>
        <w:rPr>
          <w:b/>
          <w:sz w:val="25"/>
        </w:rPr>
        <w:t> </w:t>
      </w:r>
      <w:r>
        <w:rPr>
          <w:b/>
          <w:spacing w:val="-2"/>
          <w:sz w:val="25"/>
        </w:rPr>
        <w:t> </w:t>
      </w:r>
      <w:r>
        <w:rPr>
          <w:b/>
          <w:spacing w:val="-1"/>
          <w:w w:val="99"/>
          <w:sz w:val="25"/>
        </w:rPr>
        <w:t>S</w:t>
      </w:r>
      <w:r>
        <w:rPr>
          <w:b/>
          <w:w w:val="99"/>
          <w:sz w:val="25"/>
        </w:rPr>
        <w:t>e</w:t>
      </w:r>
      <w:r>
        <w:rPr>
          <w:b/>
          <w:spacing w:val="-1"/>
          <w:w w:val="99"/>
          <w:sz w:val="25"/>
        </w:rPr>
        <w:t>t</w:t>
      </w:r>
      <w:r>
        <w:rPr>
          <w:b/>
          <w:w w:val="99"/>
          <w:sz w:val="25"/>
        </w:rPr>
        <w:t>t</w:t>
      </w:r>
      <w:r>
        <w:rPr>
          <w:b/>
          <w:w w:val="99"/>
          <w:sz w:val="25"/>
        </w:rPr>
        <w:t>lemen</w:t>
      </w:r>
      <w:r>
        <w:rPr>
          <w:b/>
          <w:w w:val="99"/>
          <w:sz w:val="25"/>
        </w:rPr>
        <w:t>t</w:t>
      </w:r>
      <w:r>
        <w:rPr>
          <w:b/>
          <w:sz w:val="25"/>
        </w:rPr>
        <w:t> </w:t>
      </w:r>
      <w:r>
        <w:rPr>
          <w:b/>
          <w:spacing w:val="-4"/>
          <w:sz w:val="25"/>
        </w:rPr>
        <w:t> </w:t>
      </w:r>
      <w:r>
        <w:rPr>
          <w:b/>
          <w:w w:val="99"/>
          <w:sz w:val="25"/>
        </w:rPr>
        <w:t>of</w:t>
      </w:r>
      <w:r>
        <w:rPr>
          <w:b/>
          <w:sz w:val="25"/>
        </w:rPr>
        <w:t> </w:t>
      </w:r>
      <w:r>
        <w:rPr>
          <w:b/>
          <w:spacing w:val="-2"/>
          <w:sz w:val="25"/>
        </w:rPr>
        <w:t> </w:t>
      </w:r>
      <w:r>
        <w:rPr>
          <w:b/>
          <w:w w:val="99"/>
          <w:sz w:val="25"/>
        </w:rPr>
        <w:t>L</w:t>
      </w:r>
      <w:r>
        <w:rPr>
          <w:b/>
          <w:spacing w:val="3"/>
          <w:w w:val="99"/>
          <w:sz w:val="25"/>
        </w:rPr>
        <w:t>a</w:t>
      </w:r>
      <w:r>
        <w:rPr>
          <w:b/>
          <w:w w:val="99"/>
          <w:sz w:val="25"/>
        </w:rPr>
        <w:t>nd </w:t>
      </w:r>
      <w:r>
        <w:rPr>
          <w:b/>
          <w:sz w:val="25"/>
        </w:rPr>
        <w:t>Revenue, Faizabad District – (1880)</w:t>
      </w:r>
      <w:r>
        <w:rPr>
          <w:sz w:val="25"/>
        </w:rPr>
        <w:t>‖ broadly embodies the contents of </w:t>
      </w:r>
      <w:r>
        <w:rPr>
          <w:b/>
          <w:sz w:val="25"/>
        </w:rPr>
        <w:t>Carnegy‘s </w:t>
      </w:r>
      <w:r>
        <w:rPr>
          <w:sz w:val="25"/>
        </w:rPr>
        <w:t>account.</w:t>
      </w:r>
    </w:p>
    <w:p>
      <w:pPr>
        <w:pStyle w:val="BodyText"/>
        <w:rPr>
          <w:sz w:val="28"/>
        </w:rPr>
      </w:pPr>
    </w:p>
    <w:p>
      <w:pPr>
        <w:pStyle w:val="BodyText"/>
        <w:spacing w:before="10"/>
        <w:rPr>
          <w:sz w:val="24"/>
        </w:rPr>
      </w:pPr>
    </w:p>
    <w:p>
      <w:pPr>
        <w:pStyle w:val="ListParagraph"/>
        <w:numPr>
          <w:ilvl w:val="0"/>
          <w:numId w:val="166"/>
        </w:numPr>
        <w:tabs>
          <w:tab w:pos="1221" w:val="left" w:leader="none"/>
        </w:tabs>
        <w:spacing w:line="240" w:lineRule="auto" w:before="0" w:after="0"/>
        <w:ind w:left="1220" w:right="0" w:hanging="721"/>
        <w:jc w:val="both"/>
        <w:rPr>
          <w:sz w:val="25"/>
        </w:rPr>
      </w:pPr>
      <w:r>
        <w:rPr>
          <w:b/>
          <w:sz w:val="25"/>
        </w:rPr>
        <w:t>Exhibit 52 – Suit 5: H.R. Nevill, I.C.S.</w:t>
      </w:r>
      <w:r>
        <w:rPr>
          <w:b/>
          <w:spacing w:val="12"/>
          <w:sz w:val="25"/>
        </w:rPr>
        <w:t> </w:t>
      </w:r>
      <w:r>
        <w:rPr>
          <w:sz w:val="25"/>
        </w:rPr>
        <w:t>compiled and edited the work titled</w:t>
      </w:r>
    </w:p>
    <w:p>
      <w:pPr>
        <w:pStyle w:val="BodyText"/>
        <w:spacing w:before="10"/>
        <w:rPr>
          <w:sz w:val="24"/>
        </w:rPr>
      </w:pPr>
    </w:p>
    <w:p>
      <w:pPr>
        <w:spacing w:line="480" w:lineRule="auto" w:before="0"/>
        <w:ind w:left="500" w:right="443" w:firstLine="0"/>
        <w:jc w:val="both"/>
        <w:rPr>
          <w:sz w:val="25"/>
        </w:rPr>
      </w:pPr>
      <w:r>
        <w:rPr>
          <w:w w:val="33"/>
          <w:sz w:val="25"/>
        </w:rPr>
        <w:t>―</w:t>
      </w:r>
      <w:r>
        <w:rPr>
          <w:b/>
          <w:w w:val="99"/>
          <w:sz w:val="25"/>
        </w:rPr>
        <w:t>Bar</w:t>
      </w:r>
      <w:r>
        <w:rPr>
          <w:b/>
          <w:w w:val="99"/>
          <w:sz w:val="25"/>
        </w:rPr>
        <w:t>abanki:</w:t>
      </w:r>
      <w:r>
        <w:rPr>
          <w:b/>
          <w:sz w:val="25"/>
        </w:rPr>
        <w:t> </w:t>
      </w:r>
      <w:r>
        <w:rPr>
          <w:b/>
          <w:w w:val="99"/>
          <w:sz w:val="25"/>
        </w:rPr>
        <w:t>A</w:t>
      </w:r>
      <w:r>
        <w:rPr>
          <w:b/>
          <w:sz w:val="25"/>
        </w:rPr>
        <w:t> </w:t>
      </w:r>
      <w:r>
        <w:rPr>
          <w:b/>
          <w:w w:val="99"/>
          <w:sz w:val="25"/>
        </w:rPr>
        <w:t>Gaze</w:t>
      </w:r>
      <w:r>
        <w:rPr>
          <w:b/>
          <w:w w:val="99"/>
          <w:sz w:val="25"/>
        </w:rPr>
        <w:t>tt</w:t>
      </w:r>
      <w:r>
        <w:rPr>
          <w:b/>
          <w:w w:val="99"/>
          <w:sz w:val="25"/>
        </w:rPr>
        <w:t>ee</w:t>
      </w:r>
      <w:r>
        <w:rPr>
          <w:b/>
          <w:w w:val="99"/>
          <w:sz w:val="25"/>
        </w:rPr>
        <w:t>r</w:t>
      </w:r>
      <w:r>
        <w:rPr>
          <w:b/>
          <w:sz w:val="25"/>
        </w:rPr>
        <w:t> </w:t>
      </w:r>
      <w:r>
        <w:rPr>
          <w:b/>
          <w:w w:val="99"/>
          <w:sz w:val="25"/>
        </w:rPr>
        <w:t>b</w:t>
      </w:r>
      <w:r>
        <w:rPr>
          <w:b/>
          <w:w w:val="99"/>
          <w:sz w:val="25"/>
        </w:rPr>
        <w:t>ein</w:t>
      </w:r>
      <w:r>
        <w:rPr>
          <w:b/>
          <w:w w:val="99"/>
          <w:sz w:val="25"/>
        </w:rPr>
        <w:t>g</w:t>
      </w:r>
      <w:r>
        <w:rPr>
          <w:b/>
          <w:sz w:val="25"/>
        </w:rPr>
        <w:t> </w:t>
      </w:r>
      <w:r>
        <w:rPr>
          <w:b/>
          <w:w w:val="99"/>
          <w:sz w:val="25"/>
        </w:rPr>
        <w:t>Volu</w:t>
      </w:r>
      <w:r>
        <w:rPr>
          <w:b/>
          <w:w w:val="99"/>
          <w:sz w:val="25"/>
        </w:rPr>
        <w:t>me</w:t>
      </w:r>
      <w:r>
        <w:rPr>
          <w:b/>
          <w:sz w:val="25"/>
        </w:rPr>
        <w:t> </w:t>
      </w:r>
      <w:r>
        <w:rPr>
          <w:b/>
          <w:w w:val="99"/>
          <w:sz w:val="25"/>
        </w:rPr>
        <w:t>XLVIII</w:t>
      </w:r>
      <w:r>
        <w:rPr>
          <w:b/>
          <w:sz w:val="25"/>
        </w:rPr>
        <w:t> </w:t>
      </w:r>
      <w:r>
        <w:rPr>
          <w:b/>
          <w:w w:val="99"/>
          <w:sz w:val="25"/>
        </w:rPr>
        <w:t>of</w:t>
      </w:r>
      <w:r>
        <w:rPr>
          <w:b/>
          <w:sz w:val="25"/>
        </w:rPr>
        <w:t> </w:t>
      </w:r>
      <w:r>
        <w:rPr>
          <w:b/>
          <w:w w:val="99"/>
          <w:sz w:val="25"/>
        </w:rPr>
        <w:t>th</w:t>
      </w:r>
      <w:r>
        <w:rPr>
          <w:b/>
          <w:w w:val="99"/>
          <w:sz w:val="25"/>
        </w:rPr>
        <w:t>e</w:t>
      </w:r>
      <w:r>
        <w:rPr>
          <w:b/>
          <w:sz w:val="25"/>
        </w:rPr>
        <w:t> </w:t>
      </w:r>
      <w:r>
        <w:rPr>
          <w:b/>
          <w:w w:val="99"/>
          <w:sz w:val="25"/>
        </w:rPr>
        <w:t>Dist</w:t>
      </w:r>
      <w:r>
        <w:rPr>
          <w:b/>
          <w:w w:val="99"/>
          <w:sz w:val="25"/>
        </w:rPr>
        <w:t>r</w:t>
      </w:r>
      <w:r>
        <w:rPr>
          <w:b/>
          <w:w w:val="99"/>
          <w:sz w:val="25"/>
        </w:rPr>
        <w:t>ict</w:t>
      </w:r>
      <w:r>
        <w:rPr>
          <w:b/>
          <w:sz w:val="25"/>
        </w:rPr>
        <w:t> </w:t>
      </w:r>
      <w:r>
        <w:rPr>
          <w:b/>
          <w:w w:val="99"/>
          <w:sz w:val="25"/>
        </w:rPr>
        <w:t>Gaze</w:t>
      </w:r>
      <w:r>
        <w:rPr>
          <w:b/>
          <w:w w:val="99"/>
          <w:sz w:val="25"/>
        </w:rPr>
        <w:t>tt</w:t>
      </w:r>
      <w:r>
        <w:rPr>
          <w:b/>
          <w:w w:val="99"/>
          <w:sz w:val="25"/>
        </w:rPr>
        <w:t>ee</w:t>
      </w:r>
      <w:r>
        <w:rPr>
          <w:b/>
          <w:w w:val="99"/>
          <w:sz w:val="25"/>
        </w:rPr>
        <w:t>r</w:t>
      </w:r>
      <w:r>
        <w:rPr>
          <w:b/>
          <w:sz w:val="25"/>
        </w:rPr>
        <w:t> </w:t>
      </w:r>
      <w:r>
        <w:rPr>
          <w:b/>
          <w:w w:val="99"/>
          <w:sz w:val="25"/>
        </w:rPr>
        <w:t>of</w:t>
      </w:r>
      <w:r>
        <w:rPr>
          <w:b/>
          <w:sz w:val="25"/>
        </w:rPr>
        <w:t> </w:t>
      </w:r>
      <w:r>
        <w:rPr>
          <w:b/>
          <w:w w:val="99"/>
          <w:sz w:val="25"/>
        </w:rPr>
        <w:t>th</w:t>
      </w:r>
      <w:r>
        <w:rPr>
          <w:b/>
          <w:w w:val="99"/>
          <w:sz w:val="25"/>
        </w:rPr>
        <w:t>e </w:t>
      </w:r>
      <w:r>
        <w:rPr>
          <w:b/>
          <w:sz w:val="25"/>
        </w:rPr>
        <w:t>United Provinces of Agra and Oudh</w:t>
      </w:r>
      <w:r>
        <w:rPr>
          <w:sz w:val="25"/>
        </w:rPr>
        <w:t>‖ </w:t>
      </w:r>
      <w:r>
        <w:rPr>
          <w:b/>
          <w:sz w:val="25"/>
        </w:rPr>
        <w:t>(1902)</w:t>
      </w:r>
      <w:r>
        <w:rPr>
          <w:sz w:val="25"/>
        </w:rPr>
        <w:t>. This contains an account of the clash between the Hindus and Muslims which occurred in the 1850s.</w:t>
      </w:r>
    </w:p>
    <w:p>
      <w:pPr>
        <w:pStyle w:val="BodyText"/>
        <w:rPr>
          <w:sz w:val="28"/>
        </w:rPr>
      </w:pPr>
    </w:p>
    <w:p>
      <w:pPr>
        <w:pStyle w:val="BodyText"/>
        <w:rPr>
          <w:sz w:val="36"/>
        </w:rPr>
      </w:pPr>
    </w:p>
    <w:p>
      <w:pPr>
        <w:pStyle w:val="ListParagraph"/>
        <w:numPr>
          <w:ilvl w:val="0"/>
          <w:numId w:val="166"/>
        </w:numPr>
        <w:tabs>
          <w:tab w:pos="1221" w:val="left" w:leader="none"/>
        </w:tabs>
        <w:spacing w:line="480" w:lineRule="auto" w:before="0" w:after="0"/>
        <w:ind w:left="500" w:right="438" w:firstLine="0"/>
        <w:jc w:val="both"/>
        <w:rPr>
          <w:sz w:val="25"/>
        </w:rPr>
      </w:pPr>
      <w:r>
        <w:rPr>
          <w:b/>
          <w:spacing w:val="-1"/>
          <w:w w:val="99"/>
          <w:sz w:val="25"/>
        </w:rPr>
        <w:t>E</w:t>
      </w:r>
      <w:r>
        <w:rPr>
          <w:b/>
          <w:w w:val="99"/>
          <w:sz w:val="25"/>
        </w:rPr>
        <w:t>x</w:t>
      </w:r>
      <w:r>
        <w:rPr>
          <w:b/>
          <w:spacing w:val="1"/>
          <w:w w:val="99"/>
          <w:sz w:val="25"/>
        </w:rPr>
        <w:t>h</w:t>
      </w:r>
      <w:r>
        <w:rPr>
          <w:b/>
          <w:w w:val="99"/>
          <w:sz w:val="25"/>
        </w:rPr>
        <w:t>i</w:t>
      </w:r>
      <w:r>
        <w:rPr>
          <w:b/>
          <w:spacing w:val="1"/>
          <w:w w:val="99"/>
          <w:sz w:val="25"/>
        </w:rPr>
        <w:t>b</w:t>
      </w:r>
      <w:r>
        <w:rPr>
          <w:b/>
          <w:w w:val="99"/>
          <w:sz w:val="25"/>
        </w:rPr>
        <w:t>it</w:t>
      </w:r>
      <w:r>
        <w:rPr>
          <w:b/>
          <w:spacing w:val="5"/>
          <w:sz w:val="25"/>
        </w:rPr>
        <w:t> </w:t>
      </w:r>
      <w:r>
        <w:rPr>
          <w:b/>
          <w:w w:val="99"/>
          <w:sz w:val="25"/>
        </w:rPr>
        <w:t>10</w:t>
      </w:r>
      <w:r>
        <w:rPr>
          <w:b/>
          <w:spacing w:val="7"/>
          <w:sz w:val="25"/>
        </w:rPr>
        <w:t> </w:t>
      </w:r>
      <w:r>
        <w:rPr>
          <w:b/>
          <w:w w:val="99"/>
          <w:sz w:val="25"/>
        </w:rPr>
        <w:t>–</w:t>
      </w:r>
      <w:r>
        <w:rPr>
          <w:b/>
          <w:spacing w:val="5"/>
          <w:sz w:val="25"/>
        </w:rPr>
        <w:t> </w:t>
      </w:r>
      <w:r>
        <w:rPr>
          <w:b/>
          <w:spacing w:val="-1"/>
          <w:w w:val="99"/>
          <w:sz w:val="25"/>
        </w:rPr>
        <w:t>S</w:t>
      </w:r>
      <w:r>
        <w:rPr>
          <w:b/>
          <w:w w:val="99"/>
          <w:sz w:val="25"/>
        </w:rPr>
        <w:t>uit</w:t>
      </w:r>
      <w:r>
        <w:rPr>
          <w:b/>
          <w:spacing w:val="5"/>
          <w:sz w:val="25"/>
        </w:rPr>
        <w:t> </w:t>
      </w:r>
      <w:r>
        <w:rPr>
          <w:b/>
          <w:spacing w:val="-1"/>
          <w:w w:val="99"/>
          <w:sz w:val="25"/>
        </w:rPr>
        <w:t>5</w:t>
      </w:r>
      <w:r>
        <w:rPr>
          <w:b/>
          <w:w w:val="99"/>
          <w:sz w:val="25"/>
        </w:rPr>
        <w:t>:</w:t>
      </w:r>
      <w:r>
        <w:rPr>
          <w:b/>
          <w:spacing w:val="3"/>
          <w:sz w:val="25"/>
        </w:rPr>
        <w:t> </w:t>
      </w:r>
      <w:r>
        <w:rPr>
          <w:b/>
          <w:spacing w:val="-1"/>
          <w:w w:val="49"/>
          <w:sz w:val="25"/>
        </w:rPr>
        <w:t>―</w:t>
      </w:r>
      <w:r>
        <w:rPr>
          <w:b/>
          <w:spacing w:val="-2"/>
          <w:w w:val="99"/>
          <w:sz w:val="25"/>
        </w:rPr>
        <w:t>T</w:t>
      </w:r>
      <w:r>
        <w:rPr>
          <w:b/>
          <w:w w:val="99"/>
          <w:sz w:val="25"/>
        </w:rPr>
        <w:t>h</w:t>
      </w:r>
      <w:r>
        <w:rPr>
          <w:b/>
          <w:w w:val="99"/>
          <w:sz w:val="25"/>
        </w:rPr>
        <w:t>e</w:t>
      </w:r>
      <w:r>
        <w:rPr>
          <w:b/>
          <w:spacing w:val="5"/>
          <w:sz w:val="25"/>
        </w:rPr>
        <w:t> </w:t>
      </w:r>
      <w:r>
        <w:rPr>
          <w:b/>
          <w:w w:val="99"/>
          <w:sz w:val="25"/>
        </w:rPr>
        <w:t>I</w:t>
      </w:r>
      <w:r>
        <w:rPr>
          <w:b/>
          <w:spacing w:val="-1"/>
          <w:w w:val="99"/>
          <w:sz w:val="25"/>
        </w:rPr>
        <w:t>m</w:t>
      </w:r>
      <w:r>
        <w:rPr>
          <w:b/>
          <w:w w:val="99"/>
          <w:sz w:val="25"/>
        </w:rPr>
        <w:t>p</w:t>
      </w:r>
      <w:r>
        <w:rPr>
          <w:b/>
          <w:w w:val="99"/>
          <w:sz w:val="25"/>
        </w:rPr>
        <w:t>erial</w:t>
      </w:r>
      <w:r>
        <w:rPr>
          <w:b/>
          <w:spacing w:val="4"/>
          <w:sz w:val="25"/>
        </w:rPr>
        <w:t> </w:t>
      </w:r>
      <w:r>
        <w:rPr>
          <w:b/>
          <w:w w:val="99"/>
          <w:sz w:val="25"/>
        </w:rPr>
        <w:t>Gaze</w:t>
      </w:r>
      <w:r>
        <w:rPr>
          <w:b/>
          <w:w w:val="99"/>
          <w:sz w:val="25"/>
        </w:rPr>
        <w:t>tt</w:t>
      </w:r>
      <w:r>
        <w:rPr>
          <w:b/>
          <w:w w:val="99"/>
          <w:sz w:val="25"/>
        </w:rPr>
        <w:t>ee</w:t>
      </w:r>
      <w:r>
        <w:rPr>
          <w:b/>
          <w:w w:val="99"/>
          <w:sz w:val="25"/>
        </w:rPr>
        <w:t>r</w:t>
      </w:r>
      <w:r>
        <w:rPr>
          <w:b/>
          <w:spacing w:val="3"/>
          <w:sz w:val="25"/>
        </w:rPr>
        <w:t> </w:t>
      </w:r>
      <w:r>
        <w:rPr>
          <w:b/>
          <w:w w:val="99"/>
          <w:sz w:val="25"/>
        </w:rPr>
        <w:t>of</w:t>
      </w:r>
      <w:r>
        <w:rPr>
          <w:b/>
          <w:spacing w:val="5"/>
          <w:sz w:val="25"/>
        </w:rPr>
        <w:t> </w:t>
      </w:r>
      <w:r>
        <w:rPr>
          <w:b/>
          <w:w w:val="99"/>
          <w:sz w:val="25"/>
        </w:rPr>
        <w:t>I</w:t>
      </w:r>
      <w:r>
        <w:rPr>
          <w:b/>
          <w:spacing w:val="1"/>
          <w:w w:val="99"/>
          <w:sz w:val="25"/>
        </w:rPr>
        <w:t>n</w:t>
      </w:r>
      <w:r>
        <w:rPr>
          <w:b/>
          <w:w w:val="99"/>
          <w:sz w:val="25"/>
        </w:rPr>
        <w:t>d</w:t>
      </w:r>
      <w:r>
        <w:rPr>
          <w:b/>
          <w:w w:val="99"/>
          <w:sz w:val="25"/>
        </w:rPr>
        <w:t>ia,</w:t>
      </w:r>
      <w:r>
        <w:rPr>
          <w:b/>
          <w:spacing w:val="5"/>
          <w:sz w:val="25"/>
        </w:rPr>
        <w:t> </w:t>
      </w:r>
      <w:r>
        <w:rPr>
          <w:b/>
          <w:spacing w:val="-1"/>
          <w:w w:val="99"/>
          <w:sz w:val="25"/>
        </w:rPr>
        <w:t>P</w:t>
      </w:r>
      <w:r>
        <w:rPr>
          <w:b/>
          <w:spacing w:val="-1"/>
          <w:w w:val="99"/>
          <w:sz w:val="25"/>
        </w:rPr>
        <w:t>r</w:t>
      </w:r>
      <w:r>
        <w:rPr>
          <w:b/>
          <w:w w:val="99"/>
          <w:sz w:val="25"/>
        </w:rPr>
        <w:t>o</w:t>
      </w:r>
      <w:r>
        <w:rPr>
          <w:b/>
          <w:spacing w:val="-5"/>
          <w:w w:val="99"/>
          <w:sz w:val="25"/>
        </w:rPr>
        <w:t>v</w:t>
      </w:r>
      <w:r>
        <w:rPr>
          <w:b/>
          <w:w w:val="99"/>
          <w:sz w:val="25"/>
        </w:rPr>
        <w:t>i</w:t>
      </w:r>
      <w:r>
        <w:rPr>
          <w:b/>
          <w:spacing w:val="1"/>
          <w:w w:val="99"/>
          <w:sz w:val="25"/>
        </w:rPr>
        <w:t>n</w:t>
      </w:r>
      <w:r>
        <w:rPr>
          <w:b/>
          <w:w w:val="99"/>
          <w:sz w:val="25"/>
        </w:rPr>
        <w:t>c</w:t>
      </w:r>
      <w:r>
        <w:rPr>
          <w:b/>
          <w:spacing w:val="2"/>
          <w:w w:val="99"/>
          <w:sz w:val="25"/>
        </w:rPr>
        <w:t>i</w:t>
      </w:r>
      <w:r>
        <w:rPr>
          <w:b/>
          <w:w w:val="99"/>
          <w:sz w:val="25"/>
        </w:rPr>
        <w:t>al</w:t>
      </w:r>
      <w:r>
        <w:rPr>
          <w:b/>
          <w:spacing w:val="5"/>
          <w:sz w:val="25"/>
        </w:rPr>
        <w:t> </w:t>
      </w:r>
      <w:r>
        <w:rPr>
          <w:b/>
          <w:w w:val="99"/>
          <w:sz w:val="25"/>
        </w:rPr>
        <w:t>se</w:t>
      </w:r>
      <w:r>
        <w:rPr>
          <w:b/>
          <w:spacing w:val="-1"/>
          <w:w w:val="99"/>
          <w:sz w:val="25"/>
        </w:rPr>
        <w:t>r</w:t>
      </w:r>
      <w:r>
        <w:rPr>
          <w:b/>
          <w:w w:val="99"/>
          <w:sz w:val="25"/>
        </w:rPr>
        <w:t>ies</w:t>
      </w:r>
      <w:r>
        <w:rPr>
          <w:b/>
          <w:w w:val="99"/>
          <w:sz w:val="25"/>
        </w:rPr>
        <w:t>, </w:t>
      </w:r>
      <w:r>
        <w:rPr>
          <w:b/>
          <w:sz w:val="25"/>
        </w:rPr>
        <w:t>United provinces of </w:t>
      </w:r>
      <w:r>
        <w:rPr>
          <w:b/>
          <w:spacing w:val="-3"/>
          <w:sz w:val="25"/>
        </w:rPr>
        <w:t>Agra </w:t>
      </w:r>
      <w:r>
        <w:rPr>
          <w:b/>
          <w:sz w:val="25"/>
        </w:rPr>
        <w:t>and Oudh – Vol. II (Allahabad, Banaras, Gorakhpur, Kumaon, Lucknow and Faizabad divisions and the native states)</w:t>
      </w:r>
      <w:r>
        <w:rPr>
          <w:sz w:val="25"/>
        </w:rPr>
        <w:t>‖. The Imperial Gazetteer has the following account of</w:t>
      </w:r>
      <w:r>
        <w:rPr>
          <w:spacing w:val="-25"/>
          <w:sz w:val="25"/>
        </w:rPr>
        <w:t> </w:t>
      </w:r>
      <w:r>
        <w:rPr>
          <w:sz w:val="25"/>
        </w:rPr>
        <w:t>Ayodhya:</w:t>
      </w:r>
    </w:p>
    <w:p>
      <w:pPr>
        <w:spacing w:line="276" w:lineRule="auto" w:before="162"/>
        <w:ind w:left="1940" w:right="2261" w:firstLine="0"/>
        <w:jc w:val="both"/>
        <w:rPr>
          <w:sz w:val="21"/>
        </w:rPr>
      </w:pPr>
      <w:r>
        <w:rPr>
          <w:w w:val="33"/>
          <w:sz w:val="21"/>
        </w:rPr>
        <w:t>―</w:t>
      </w:r>
      <w:r>
        <w:rPr>
          <w:w w:val="100"/>
          <w:sz w:val="21"/>
        </w:rPr>
        <w:t>Ajodhya</w:t>
      </w:r>
      <w:r>
        <w:rPr>
          <w:sz w:val="21"/>
        </w:rPr>
        <w:t>  </w:t>
      </w:r>
      <w:r>
        <w:rPr>
          <w:w w:val="100"/>
          <w:sz w:val="21"/>
        </w:rPr>
        <w:t>was</w:t>
      </w:r>
      <w:r>
        <w:rPr>
          <w:sz w:val="21"/>
        </w:rPr>
        <w:t>  </w:t>
      </w:r>
      <w:r>
        <w:rPr>
          <w:w w:val="100"/>
          <w:sz w:val="21"/>
        </w:rPr>
        <w:t>the</w:t>
      </w:r>
      <w:r>
        <w:rPr>
          <w:sz w:val="21"/>
        </w:rPr>
        <w:t>  </w:t>
      </w:r>
      <w:r>
        <w:rPr>
          <w:w w:val="100"/>
          <w:sz w:val="21"/>
        </w:rPr>
        <w:t>capital</w:t>
      </w:r>
      <w:r>
        <w:rPr>
          <w:sz w:val="21"/>
        </w:rPr>
        <w:t>  </w:t>
      </w:r>
      <w:r>
        <w:rPr>
          <w:w w:val="100"/>
          <w:sz w:val="21"/>
        </w:rPr>
        <w:t>of</w:t>
      </w:r>
      <w:r>
        <w:rPr>
          <w:sz w:val="21"/>
        </w:rPr>
        <w:t>  </w:t>
      </w:r>
      <w:r>
        <w:rPr>
          <w:w w:val="100"/>
          <w:sz w:val="21"/>
        </w:rPr>
        <w:t>the</w:t>
      </w:r>
      <w:r>
        <w:rPr>
          <w:sz w:val="21"/>
        </w:rPr>
        <w:t>  </w:t>
      </w:r>
      <w:r>
        <w:rPr>
          <w:w w:val="100"/>
          <w:sz w:val="21"/>
        </w:rPr>
        <w:t>kingdom</w:t>
      </w:r>
      <w:r>
        <w:rPr>
          <w:sz w:val="21"/>
        </w:rPr>
        <w:t>  </w:t>
      </w:r>
      <w:r>
        <w:rPr>
          <w:w w:val="100"/>
          <w:sz w:val="21"/>
        </w:rPr>
        <w:t>of</w:t>
      </w:r>
      <w:r>
        <w:rPr>
          <w:sz w:val="21"/>
        </w:rPr>
        <w:t>  </w:t>
      </w:r>
      <w:r>
        <w:rPr>
          <w:w w:val="100"/>
          <w:sz w:val="21"/>
        </w:rPr>
        <w:t>Kosala</w:t>
      </w:r>
      <w:r>
        <w:rPr>
          <w:sz w:val="21"/>
        </w:rPr>
        <w:t>  </w:t>
      </w:r>
      <w:r>
        <w:rPr>
          <w:w w:val="100"/>
          <w:sz w:val="21"/>
        </w:rPr>
        <w:t>and </w:t>
      </w:r>
      <w:r>
        <w:rPr>
          <w:sz w:val="21"/>
        </w:rPr>
        <w:t>contained the court of the great king Dasaratha, fifty-sixth monarch of the Solar line in descent from Raja Manu. The opening chapters of the Ramayana recount the magnificence of the city, the glories of the monarch, and the virtues, wealth, and loyalty of his people. Dasaratha was the father of Rama Chandra, the hero of the epic, whose cult has experienced a great revival in modern times. With the fall of the last of the Solar line, Raja Sumintra, the one hundred and thirteenth monarch, Ajodhya became a wilderness and the royal family dispersed. From different members of this scattered stock the Rajas of Udaipur, Jaipur, &amp;c., claim descent. Tradition relates that Ajodhya was restored by king Vikramaditya of Ujjain, whose identity is a matter of dispute. Ajodhya was of small importance in Buddhist times, when Saketa became the chief city of Kosala. It is still uncertain where Saketa was situated, and it has been suggested that it occupied part of the ancient city of Ajodhya. Numismatic evidence points to the rule of a line of independent Rajas, in or near Ajodhya, about the commencement of the Christian era.‖</w:t>
      </w:r>
    </w:p>
    <w:p>
      <w:pPr>
        <w:spacing w:after="0" w:line="276" w:lineRule="auto"/>
        <w:jc w:val="both"/>
        <w:rPr>
          <w:sz w:val="21"/>
        </w:rPr>
        <w:sectPr>
          <w:pgSz w:w="11910" w:h="16840"/>
          <w:pgMar w:header="721" w:footer="1014" w:top="1300" w:bottom="1200" w:left="940" w:right="1000"/>
        </w:sectPr>
      </w:pPr>
    </w:p>
    <w:p>
      <w:pPr>
        <w:pStyle w:val="BodyText"/>
        <w:spacing w:before="124"/>
        <w:ind w:left="500"/>
      </w:pPr>
      <w:r>
        <w:rPr>
          <w:spacing w:val="-1"/>
          <w:w w:val="99"/>
        </w:rPr>
        <w:t>Ref</w:t>
      </w:r>
      <w:r>
        <w:rPr>
          <w:w w:val="99"/>
        </w:rPr>
        <w:t>err</w:t>
      </w:r>
      <w:r>
        <w:rPr>
          <w:spacing w:val="-1"/>
          <w:w w:val="99"/>
        </w:rPr>
        <w:t>in</w:t>
      </w:r>
      <w:r>
        <w:rPr>
          <w:w w:val="99"/>
        </w:rPr>
        <w:t>g</w:t>
      </w:r>
      <w:r>
        <w:rPr/>
        <w:t> </w:t>
      </w:r>
      <w:r>
        <w:rPr>
          <w:w w:val="99"/>
        </w:rPr>
        <w:t>to</w:t>
      </w:r>
      <w:r>
        <w:rPr/>
        <w:t> </w:t>
      </w:r>
      <w:r>
        <w:rPr>
          <w:w w:val="99"/>
        </w:rPr>
        <w:t>the</w:t>
      </w:r>
      <w:r>
        <w:rPr/>
        <w:t> </w:t>
      </w:r>
      <w:r>
        <w:rPr>
          <w:w w:val="33"/>
        </w:rPr>
        <w:t>―</w:t>
      </w:r>
      <w:r>
        <w:rPr>
          <w:spacing w:val="-3"/>
          <w:w w:val="99"/>
        </w:rPr>
        <w:t>p</w:t>
      </w:r>
      <w:r>
        <w:rPr>
          <w:w w:val="99"/>
        </w:rPr>
        <w:t>r</w:t>
      </w:r>
      <w:r>
        <w:rPr>
          <w:spacing w:val="-1"/>
          <w:w w:val="99"/>
        </w:rPr>
        <w:t>e</w:t>
      </w:r>
      <w:r>
        <w:rPr>
          <w:spacing w:val="-3"/>
          <w:w w:val="99"/>
        </w:rPr>
        <w:t>s</w:t>
      </w:r>
      <w:r>
        <w:rPr>
          <w:spacing w:val="-1"/>
          <w:w w:val="99"/>
        </w:rPr>
        <w:t>e</w:t>
      </w:r>
      <w:r>
        <w:rPr>
          <w:w w:val="99"/>
        </w:rPr>
        <w:t>nt</w:t>
      </w:r>
      <w:r>
        <w:rPr/>
        <w:t> </w:t>
      </w:r>
      <w:r>
        <w:rPr>
          <w:w w:val="99"/>
        </w:rPr>
        <w:t>to</w:t>
      </w:r>
      <w:r>
        <w:rPr>
          <w:spacing w:val="-1"/>
          <w:w w:val="95"/>
        </w:rPr>
        <w:t>wn</w:t>
      </w:r>
      <w:r>
        <w:rPr>
          <w:w w:val="95"/>
        </w:rPr>
        <w:t>‖</w:t>
      </w:r>
      <w:r>
        <w:rPr>
          <w:w w:val="99"/>
        </w:rPr>
        <w:t>,</w:t>
      </w:r>
      <w:r>
        <w:rPr/>
        <w:t> </w:t>
      </w:r>
      <w:r>
        <w:rPr>
          <w:w w:val="99"/>
        </w:rPr>
        <w:t>the</w:t>
      </w:r>
      <w:r>
        <w:rPr>
          <w:spacing w:val="4"/>
        </w:rPr>
        <w:t> </w:t>
      </w:r>
      <w:r>
        <w:rPr>
          <w:w w:val="99"/>
        </w:rPr>
        <w:t>gaze</w:t>
      </w:r>
      <w:r>
        <w:rPr>
          <w:w w:val="99"/>
        </w:rPr>
        <w:t>tt</w:t>
      </w:r>
      <w:r>
        <w:rPr>
          <w:spacing w:val="-2"/>
          <w:w w:val="99"/>
        </w:rPr>
        <w:t>e</w:t>
      </w:r>
      <w:r>
        <w:rPr>
          <w:w w:val="99"/>
        </w:rPr>
        <w:t>er</w:t>
      </w:r>
      <w:r>
        <w:rPr/>
        <w:t> </w:t>
      </w:r>
      <w:r>
        <w:rPr>
          <w:w w:val="99"/>
        </w:rPr>
        <w:t>no</w:t>
      </w:r>
      <w:r>
        <w:rPr>
          <w:w w:val="99"/>
        </w:rPr>
        <w:t>tes:</w:t>
      </w:r>
    </w:p>
    <w:p>
      <w:pPr>
        <w:pStyle w:val="BodyText"/>
        <w:spacing w:before="3"/>
        <w:rPr>
          <w:sz w:val="37"/>
        </w:rPr>
      </w:pPr>
    </w:p>
    <w:p>
      <w:pPr>
        <w:spacing w:line="276" w:lineRule="auto" w:before="0"/>
        <w:ind w:left="1940" w:right="2259" w:firstLine="0"/>
        <w:jc w:val="both"/>
        <w:rPr>
          <w:sz w:val="21"/>
        </w:rPr>
      </w:pPr>
      <w:r>
        <w:rPr>
          <w:spacing w:val="-1"/>
          <w:w w:val="33"/>
          <w:sz w:val="21"/>
        </w:rPr>
        <w:t>―</w:t>
      </w:r>
      <w:r>
        <w:rPr>
          <w:w w:val="100"/>
          <w:sz w:val="21"/>
        </w:rPr>
        <w:t>The</w:t>
      </w:r>
      <w:r>
        <w:rPr>
          <w:sz w:val="21"/>
        </w:rPr>
        <w:t>  </w:t>
      </w:r>
      <w:r>
        <w:rPr>
          <w:spacing w:val="4"/>
          <w:sz w:val="21"/>
        </w:rPr>
        <w:t> </w:t>
      </w:r>
      <w:r>
        <w:rPr>
          <w:spacing w:val="-1"/>
          <w:w w:val="100"/>
          <w:sz w:val="21"/>
        </w:rPr>
        <w:t>p</w:t>
      </w:r>
      <w:r>
        <w:rPr>
          <w:spacing w:val="-3"/>
          <w:w w:val="100"/>
          <w:sz w:val="21"/>
        </w:rPr>
        <w:t>r</w:t>
      </w:r>
      <w:r>
        <w:rPr>
          <w:spacing w:val="-1"/>
          <w:w w:val="100"/>
          <w:sz w:val="21"/>
        </w:rPr>
        <w:t>esen</w:t>
      </w:r>
      <w:r>
        <w:rPr>
          <w:w w:val="100"/>
          <w:sz w:val="21"/>
        </w:rPr>
        <w:t>t</w:t>
      </w:r>
      <w:r>
        <w:rPr>
          <w:sz w:val="21"/>
        </w:rPr>
        <w:t>  </w:t>
      </w:r>
      <w:r>
        <w:rPr>
          <w:spacing w:val="4"/>
          <w:sz w:val="21"/>
        </w:rPr>
        <w:t> </w:t>
      </w:r>
      <w:r>
        <w:rPr>
          <w:spacing w:val="-2"/>
          <w:w w:val="100"/>
          <w:sz w:val="21"/>
        </w:rPr>
        <w:t>t</w:t>
      </w:r>
      <w:r>
        <w:rPr>
          <w:spacing w:val="-1"/>
          <w:w w:val="100"/>
          <w:sz w:val="21"/>
        </w:rPr>
        <w:t>o</w:t>
      </w:r>
      <w:r>
        <w:rPr>
          <w:spacing w:val="-2"/>
          <w:w w:val="100"/>
          <w:sz w:val="21"/>
        </w:rPr>
        <w:t>w</w:t>
      </w:r>
      <w:r>
        <w:rPr>
          <w:w w:val="100"/>
          <w:sz w:val="21"/>
        </w:rPr>
        <w:t>n</w:t>
      </w:r>
      <w:r>
        <w:rPr>
          <w:sz w:val="21"/>
        </w:rPr>
        <w:t>  </w:t>
      </w:r>
      <w:r>
        <w:rPr>
          <w:spacing w:val="4"/>
          <w:sz w:val="21"/>
        </w:rPr>
        <w:t> </w:t>
      </w:r>
      <w:r>
        <w:rPr>
          <w:w w:val="100"/>
          <w:sz w:val="21"/>
        </w:rPr>
        <w:t>s</w:t>
      </w:r>
      <w:r>
        <w:rPr>
          <w:spacing w:val="-2"/>
          <w:w w:val="100"/>
          <w:sz w:val="21"/>
        </w:rPr>
        <w:t>t</w:t>
      </w:r>
      <w:r>
        <w:rPr>
          <w:spacing w:val="-4"/>
          <w:w w:val="100"/>
          <w:sz w:val="21"/>
        </w:rPr>
        <w:t>r</w:t>
      </w:r>
      <w:r>
        <w:rPr>
          <w:spacing w:val="-1"/>
          <w:w w:val="100"/>
          <w:sz w:val="21"/>
        </w:rPr>
        <w:t>et</w:t>
      </w:r>
      <w:r>
        <w:rPr>
          <w:w w:val="100"/>
          <w:sz w:val="21"/>
        </w:rPr>
        <w:t>ches</w:t>
      </w:r>
      <w:r>
        <w:rPr>
          <w:sz w:val="21"/>
        </w:rPr>
        <w:t>  </w:t>
      </w:r>
      <w:r>
        <w:rPr>
          <w:spacing w:val="2"/>
          <w:sz w:val="21"/>
        </w:rPr>
        <w:t> </w:t>
      </w:r>
      <w:r>
        <w:rPr>
          <w:w w:val="100"/>
          <w:sz w:val="21"/>
        </w:rPr>
        <w:t>i</w:t>
      </w:r>
      <w:r>
        <w:rPr>
          <w:spacing w:val="-3"/>
          <w:w w:val="100"/>
          <w:sz w:val="21"/>
        </w:rPr>
        <w:t>n</w:t>
      </w:r>
      <w:r>
        <w:rPr>
          <w:w w:val="100"/>
          <w:sz w:val="21"/>
        </w:rPr>
        <w:t>l</w:t>
      </w:r>
      <w:r>
        <w:rPr>
          <w:spacing w:val="-1"/>
          <w:w w:val="100"/>
          <w:sz w:val="21"/>
        </w:rPr>
        <w:t>a</w:t>
      </w:r>
      <w:r>
        <w:rPr>
          <w:spacing w:val="-3"/>
          <w:w w:val="100"/>
          <w:sz w:val="21"/>
        </w:rPr>
        <w:t>n</w:t>
      </w:r>
      <w:r>
        <w:rPr>
          <w:w w:val="100"/>
          <w:sz w:val="21"/>
        </w:rPr>
        <w:t>d</w:t>
      </w:r>
      <w:r>
        <w:rPr>
          <w:sz w:val="21"/>
        </w:rPr>
        <w:t>  </w:t>
      </w:r>
      <w:r>
        <w:rPr>
          <w:spacing w:val="4"/>
          <w:sz w:val="21"/>
        </w:rPr>
        <w:t> </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3"/>
          <w:sz w:val="21"/>
        </w:rPr>
        <w:t> </w:t>
      </w:r>
      <w:r>
        <w:rPr>
          <w:w w:val="100"/>
          <w:sz w:val="21"/>
        </w:rPr>
        <w:t>a</w:t>
      </w:r>
      <w:r>
        <w:rPr>
          <w:sz w:val="21"/>
        </w:rPr>
        <w:t>  </w:t>
      </w:r>
      <w:r>
        <w:rPr>
          <w:spacing w:val="2"/>
          <w:sz w:val="21"/>
        </w:rPr>
        <w:t> </w:t>
      </w:r>
      <w:r>
        <w:rPr>
          <w:spacing w:val="-1"/>
          <w:w w:val="100"/>
          <w:sz w:val="21"/>
        </w:rPr>
        <w:t>h</w:t>
      </w:r>
      <w:r>
        <w:rPr>
          <w:spacing w:val="1"/>
          <w:w w:val="100"/>
          <w:sz w:val="21"/>
        </w:rPr>
        <w:t>i</w:t>
      </w:r>
      <w:r>
        <w:rPr>
          <w:spacing w:val="-3"/>
          <w:w w:val="100"/>
          <w:sz w:val="21"/>
        </w:rPr>
        <w:t>g</w:t>
      </w:r>
      <w:r>
        <w:rPr>
          <w:w w:val="100"/>
          <w:sz w:val="21"/>
        </w:rPr>
        <w:t>h</w:t>
      </w:r>
      <w:r>
        <w:rPr>
          <w:sz w:val="21"/>
        </w:rPr>
        <w:t>  </w:t>
      </w:r>
      <w:r>
        <w:rPr>
          <w:spacing w:val="4"/>
          <w:sz w:val="21"/>
        </w:rPr>
        <w:t> </w:t>
      </w:r>
      <w:r>
        <w:rPr>
          <w:spacing w:val="-1"/>
          <w:w w:val="100"/>
          <w:sz w:val="21"/>
        </w:rPr>
        <w:t>b</w:t>
      </w:r>
      <w:r>
        <w:rPr>
          <w:spacing w:val="-2"/>
          <w:w w:val="100"/>
          <w:sz w:val="21"/>
        </w:rPr>
        <w:t>l</w:t>
      </w:r>
      <w:r>
        <w:rPr>
          <w:spacing w:val="-1"/>
          <w:w w:val="100"/>
          <w:sz w:val="21"/>
        </w:rPr>
        <w:t>uf</w:t>
      </w:r>
      <w:r>
        <w:rPr>
          <w:w w:val="100"/>
          <w:sz w:val="21"/>
        </w:rPr>
        <w:t>f </w:t>
      </w:r>
      <w:r>
        <w:rPr>
          <w:sz w:val="21"/>
        </w:rPr>
        <w:t>overlooking the Gogra. </w:t>
      </w:r>
      <w:r>
        <w:rPr>
          <w:b/>
          <w:sz w:val="21"/>
        </w:rPr>
        <w:t>At one corner of a vast mound known as Ramkot, or the fort of Rama, is the holy spot where the hero was born. Most of the enclosure is occupied by a mosque built by Babar from the remains of an old temple, and in the outer portion a small platform and shrine mark the birthplace. Close by is a larger temple in which is shown the cooking-place of Sita, the faithful wife of Rama. </w:t>
      </w:r>
      <w:r>
        <w:rPr>
          <w:sz w:val="21"/>
        </w:rPr>
        <w:t>A lofty temple stands on the bank of the Gogra at the place where Lakshmana bathed; and Hanuman, king of the monkeys, is worshipped in a large temple in the town, approached by an immense flight of  steps, which bears the name Hanuman Garhi. Other noticeable temples built during the eighteenth and nineteenth centuries are the Kanakbhawan, a fine building erected by a Rani of Tikamgarh, the Nageshwarnath temple, Darshan Singh's temple, and a small marble temple built by the present Maharaja. Ajodhya also contains a number of Jain temples, five of which were built in the eighteenth century to mark the birthplaces of the five hierarchs who are said to have been born at Ajodhya. Besides the mosque of Babar, two ruined mosques, built by Aurangzeb, stand on the sites of celebrated Hindu shrines-the Swargadwara, where Rama's body was cremated, and the Treta-ka-Thakur, where he sacrificed. An inscription of Jai Chand, the last king of Kanauj, has been found in the latter. Three graves are reverenced by Musalmans as the tombs of Noah, Seth, and Job, and the </w:t>
      </w:r>
      <w:r>
        <w:rPr>
          <w:spacing w:val="-2"/>
          <w:sz w:val="21"/>
        </w:rPr>
        <w:t>two </w:t>
      </w:r>
      <w:r>
        <w:rPr>
          <w:sz w:val="21"/>
        </w:rPr>
        <w:t>last are mentioned under those names in the Ain-i-Akbari. A large mound close by, called the Maniparbat, is said to have been dropped by Hanuman when carrying a portion of the Himalayas, while another tradition asserts that it was formed by the coolies who built Ramkot shaking their baskets as they left work ; it possibly covers a ruined</w:t>
      </w:r>
      <w:r>
        <w:rPr>
          <w:spacing w:val="-20"/>
          <w:sz w:val="21"/>
        </w:rPr>
        <w:t> </w:t>
      </w:r>
      <w:r>
        <w:rPr>
          <w:sz w:val="21"/>
        </w:rPr>
        <w:t>stupa.‖</w:t>
      </w:r>
    </w:p>
    <w:p>
      <w:pPr>
        <w:spacing w:before="3"/>
        <w:ind w:left="5541" w:right="0" w:firstLine="0"/>
        <w:jc w:val="both"/>
        <w:rPr>
          <w:sz w:val="21"/>
        </w:rPr>
      </w:pPr>
      <w:r>
        <w:rPr>
          <w:sz w:val="21"/>
        </w:rPr>
        <w:t>(Emphasis supplied)</w:t>
      </w:r>
    </w:p>
    <w:p>
      <w:pPr>
        <w:pStyle w:val="BodyText"/>
        <w:rPr>
          <w:sz w:val="24"/>
        </w:rPr>
      </w:pPr>
    </w:p>
    <w:p>
      <w:pPr>
        <w:pStyle w:val="BodyText"/>
        <w:rPr>
          <w:sz w:val="29"/>
        </w:rPr>
      </w:pPr>
    </w:p>
    <w:p>
      <w:pPr>
        <w:pStyle w:val="ListParagraph"/>
        <w:numPr>
          <w:ilvl w:val="0"/>
          <w:numId w:val="166"/>
        </w:numPr>
        <w:tabs>
          <w:tab w:pos="1221" w:val="left" w:leader="none"/>
        </w:tabs>
        <w:spacing w:line="480" w:lineRule="auto" w:before="0" w:after="0"/>
        <w:ind w:left="500" w:right="437" w:firstLine="0"/>
        <w:jc w:val="both"/>
        <w:rPr>
          <w:sz w:val="25"/>
        </w:rPr>
      </w:pPr>
      <w:r>
        <w:rPr/>
        <w:pict>
          <v:rect style="position:absolute;margin-left:72.024002pt;margin-top:145.064880pt;width:144.020pt;height:.599980pt;mso-position-horizontal-relative:page;mso-position-vertical-relative:paragraph;z-index:-15640064;mso-wrap-distance-left:0;mso-wrap-distance-right:0" filled="true" fillcolor="#000000" stroked="false">
            <v:fill type="solid"/>
            <w10:wrap type="topAndBottom"/>
          </v:rect>
        </w:pict>
      </w:r>
      <w:r>
        <w:rPr>
          <w:b/>
          <w:spacing w:val="-1"/>
          <w:w w:val="99"/>
          <w:sz w:val="25"/>
        </w:rPr>
        <w:t>E</w:t>
      </w:r>
      <w:r>
        <w:rPr>
          <w:b/>
          <w:w w:val="99"/>
          <w:sz w:val="25"/>
        </w:rPr>
        <w:t>x</w:t>
      </w:r>
      <w:r>
        <w:rPr>
          <w:b/>
          <w:spacing w:val="1"/>
          <w:w w:val="99"/>
          <w:sz w:val="25"/>
        </w:rPr>
        <w:t>h</w:t>
      </w:r>
      <w:r>
        <w:rPr>
          <w:b/>
          <w:w w:val="99"/>
          <w:sz w:val="25"/>
        </w:rPr>
        <w:t>i</w:t>
      </w:r>
      <w:r>
        <w:rPr>
          <w:b/>
          <w:spacing w:val="1"/>
          <w:w w:val="99"/>
          <w:sz w:val="25"/>
        </w:rPr>
        <w:t>b</w:t>
      </w:r>
      <w:r>
        <w:rPr>
          <w:b/>
          <w:w w:val="99"/>
          <w:sz w:val="25"/>
        </w:rPr>
        <w:t>it</w:t>
      </w:r>
      <w:r>
        <w:rPr>
          <w:b/>
          <w:sz w:val="25"/>
        </w:rPr>
        <w:t> </w:t>
      </w:r>
      <w:r>
        <w:rPr>
          <w:b/>
          <w:spacing w:val="-21"/>
          <w:sz w:val="25"/>
        </w:rPr>
        <w:t> </w:t>
      </w:r>
      <w:r>
        <w:rPr>
          <w:b/>
          <w:w w:val="99"/>
          <w:sz w:val="25"/>
        </w:rPr>
        <w:t>23</w:t>
      </w:r>
      <w:r>
        <w:rPr>
          <w:b/>
          <w:sz w:val="25"/>
        </w:rPr>
        <w:t> </w:t>
      </w:r>
      <w:r>
        <w:rPr>
          <w:b/>
          <w:spacing w:val="-22"/>
          <w:sz w:val="25"/>
        </w:rPr>
        <w:t> </w:t>
      </w:r>
      <w:r>
        <w:rPr>
          <w:b/>
          <w:w w:val="99"/>
          <w:sz w:val="25"/>
        </w:rPr>
        <w:t>-</w:t>
      </w:r>
      <w:r>
        <w:rPr>
          <w:b/>
          <w:sz w:val="25"/>
        </w:rPr>
        <w:t> </w:t>
      </w:r>
      <w:r>
        <w:rPr>
          <w:b/>
          <w:spacing w:val="-23"/>
          <w:sz w:val="25"/>
        </w:rPr>
        <w:t> </w:t>
      </w:r>
      <w:r>
        <w:rPr>
          <w:b/>
          <w:spacing w:val="-1"/>
          <w:w w:val="99"/>
          <w:sz w:val="25"/>
        </w:rPr>
        <w:t>S</w:t>
      </w:r>
      <w:r>
        <w:rPr>
          <w:b/>
          <w:w w:val="99"/>
          <w:sz w:val="25"/>
        </w:rPr>
        <w:t>uit</w:t>
      </w:r>
      <w:r>
        <w:rPr>
          <w:b/>
          <w:sz w:val="25"/>
        </w:rPr>
        <w:t> </w:t>
      </w:r>
      <w:r>
        <w:rPr>
          <w:b/>
          <w:spacing w:val="-21"/>
          <w:sz w:val="25"/>
        </w:rPr>
        <w:t> </w:t>
      </w:r>
      <w:r>
        <w:rPr>
          <w:b/>
          <w:w w:val="99"/>
          <w:sz w:val="25"/>
        </w:rPr>
        <w:t>5:</w:t>
      </w:r>
      <w:r>
        <w:rPr>
          <w:b/>
          <w:sz w:val="25"/>
        </w:rPr>
        <w:t> </w:t>
      </w:r>
      <w:r>
        <w:rPr>
          <w:b/>
          <w:spacing w:val="-24"/>
          <w:sz w:val="25"/>
        </w:rPr>
        <w:t> </w:t>
      </w:r>
      <w:r>
        <w:rPr>
          <w:b/>
          <w:w w:val="99"/>
          <w:sz w:val="25"/>
        </w:rPr>
        <w:t>Ha</w:t>
      </w:r>
      <w:r>
        <w:rPr>
          <w:b/>
          <w:spacing w:val="1"/>
          <w:w w:val="99"/>
          <w:sz w:val="25"/>
        </w:rPr>
        <w:t>n</w:t>
      </w:r>
      <w:r>
        <w:rPr>
          <w:b/>
          <w:w w:val="99"/>
          <w:sz w:val="25"/>
        </w:rPr>
        <w:t>s</w:t>
      </w:r>
      <w:r>
        <w:rPr>
          <w:b/>
          <w:sz w:val="25"/>
        </w:rPr>
        <w:t> </w:t>
      </w:r>
      <w:r>
        <w:rPr>
          <w:b/>
          <w:spacing w:val="-22"/>
          <w:sz w:val="25"/>
        </w:rPr>
        <w:t> </w:t>
      </w:r>
      <w:r>
        <w:rPr>
          <w:b/>
          <w:w w:val="99"/>
          <w:sz w:val="25"/>
        </w:rPr>
        <w:t>Bake</w:t>
      </w:r>
      <w:r>
        <w:rPr>
          <w:b/>
          <w:w w:val="99"/>
          <w:sz w:val="25"/>
        </w:rPr>
        <w:t>r</w:t>
      </w:r>
      <w:r>
        <w:rPr>
          <w:b/>
          <w:sz w:val="25"/>
        </w:rPr>
        <w:t> </w:t>
      </w:r>
      <w:r>
        <w:rPr>
          <w:b/>
          <w:spacing w:val="-22"/>
          <w:sz w:val="25"/>
        </w:rPr>
        <w:t> </w:t>
      </w:r>
      <w:r>
        <w:rPr>
          <w:spacing w:val="-1"/>
          <w:w w:val="99"/>
          <w:sz w:val="25"/>
        </w:rPr>
        <w:t>wr</w:t>
      </w:r>
      <w:r>
        <w:rPr>
          <w:w w:val="99"/>
          <w:sz w:val="25"/>
        </w:rPr>
        <w:t>ote</w:t>
      </w:r>
      <w:r>
        <w:rPr>
          <w:sz w:val="25"/>
        </w:rPr>
        <w:t> </w:t>
      </w:r>
      <w:r>
        <w:rPr>
          <w:spacing w:val="-26"/>
          <w:sz w:val="25"/>
        </w:rPr>
        <w:t> </w:t>
      </w:r>
      <w:r>
        <w:rPr>
          <w:spacing w:val="-1"/>
          <w:w w:val="99"/>
          <w:sz w:val="25"/>
        </w:rPr>
        <w:t>hi</w:t>
      </w:r>
      <w:r>
        <w:rPr>
          <w:w w:val="99"/>
          <w:sz w:val="25"/>
        </w:rPr>
        <w:t>s</w:t>
      </w:r>
      <w:r>
        <w:rPr>
          <w:sz w:val="25"/>
        </w:rPr>
        <w:t> </w:t>
      </w:r>
      <w:r>
        <w:rPr>
          <w:spacing w:val="-22"/>
          <w:sz w:val="25"/>
        </w:rPr>
        <w:t> </w:t>
      </w:r>
      <w:r>
        <w:rPr>
          <w:spacing w:val="-1"/>
          <w:w w:val="99"/>
          <w:sz w:val="25"/>
        </w:rPr>
        <w:t>wo</w:t>
      </w:r>
      <w:r>
        <w:rPr>
          <w:w w:val="99"/>
          <w:sz w:val="25"/>
        </w:rPr>
        <w:t>rk</w:t>
      </w:r>
      <w:r>
        <w:rPr>
          <w:sz w:val="25"/>
        </w:rPr>
        <w:t> </w:t>
      </w:r>
      <w:r>
        <w:rPr>
          <w:spacing w:val="-22"/>
          <w:sz w:val="25"/>
        </w:rPr>
        <w:t> </w:t>
      </w:r>
      <w:r>
        <w:rPr>
          <w:spacing w:val="5"/>
          <w:w w:val="33"/>
          <w:sz w:val="25"/>
        </w:rPr>
        <w:t>―</w:t>
      </w:r>
      <w:r>
        <w:rPr>
          <w:b/>
          <w:spacing w:val="-5"/>
          <w:w w:val="99"/>
          <w:sz w:val="25"/>
        </w:rPr>
        <w:t>Ay</w:t>
      </w:r>
      <w:r>
        <w:rPr>
          <w:b/>
          <w:w w:val="99"/>
          <w:sz w:val="25"/>
        </w:rPr>
        <w:t>od</w:t>
      </w:r>
      <w:r>
        <w:rPr>
          <w:b/>
          <w:spacing w:val="5"/>
          <w:w w:val="99"/>
          <w:sz w:val="25"/>
        </w:rPr>
        <w:t>h</w:t>
      </w:r>
      <w:r>
        <w:rPr>
          <w:b/>
          <w:spacing w:val="-5"/>
          <w:w w:val="99"/>
          <w:sz w:val="25"/>
        </w:rPr>
        <w:t>y</w:t>
      </w:r>
      <w:r>
        <w:rPr>
          <w:b/>
          <w:spacing w:val="2"/>
          <w:w w:val="99"/>
          <w:sz w:val="25"/>
        </w:rPr>
        <w:t>a</w:t>
      </w:r>
      <w:r>
        <w:rPr>
          <w:spacing w:val="3"/>
          <w:w w:val="80"/>
          <w:sz w:val="25"/>
        </w:rPr>
        <w:t>‖</w:t>
      </w:r>
      <w:r>
        <w:rPr>
          <w:spacing w:val="-1"/>
          <w:w w:val="101"/>
          <w:sz w:val="25"/>
          <w:vertAlign w:val="superscript"/>
        </w:rPr>
        <w:t>30</w:t>
      </w:r>
      <w:r>
        <w:rPr>
          <w:w w:val="101"/>
          <w:sz w:val="25"/>
          <w:vertAlign w:val="superscript"/>
        </w:rPr>
        <w:t>7</w:t>
      </w:r>
      <w:r>
        <w:rPr>
          <w:sz w:val="25"/>
          <w:vertAlign w:val="baseline"/>
        </w:rPr>
        <w:t> </w:t>
      </w:r>
      <w:r>
        <w:rPr>
          <w:spacing w:val="-25"/>
          <w:sz w:val="25"/>
          <w:vertAlign w:val="baseline"/>
        </w:rPr>
        <w:t> </w:t>
      </w:r>
      <w:r>
        <w:rPr>
          <w:w w:val="99"/>
          <w:sz w:val="25"/>
          <w:vertAlign w:val="baseline"/>
        </w:rPr>
        <w:t>in</w:t>
      </w:r>
      <w:r>
        <w:rPr>
          <w:sz w:val="25"/>
          <w:vertAlign w:val="baseline"/>
        </w:rPr>
        <w:t> </w:t>
      </w:r>
      <w:r>
        <w:rPr>
          <w:spacing w:val="-22"/>
          <w:sz w:val="25"/>
          <w:vertAlign w:val="baseline"/>
        </w:rPr>
        <w:t> </w:t>
      </w:r>
      <w:r>
        <w:rPr>
          <w:w w:val="99"/>
          <w:sz w:val="25"/>
          <w:vertAlign w:val="baseline"/>
        </w:rPr>
        <w:t>th</w:t>
      </w:r>
      <w:r>
        <w:rPr>
          <w:spacing w:val="1"/>
          <w:w w:val="99"/>
          <w:sz w:val="25"/>
          <w:vertAlign w:val="baseline"/>
        </w:rPr>
        <w:t>r</w:t>
      </w:r>
      <w:r>
        <w:rPr>
          <w:w w:val="99"/>
          <w:sz w:val="25"/>
          <w:vertAlign w:val="baseline"/>
        </w:rPr>
        <w:t>ee </w:t>
      </w:r>
      <w:r>
        <w:rPr>
          <w:sz w:val="25"/>
          <w:vertAlign w:val="baseline"/>
        </w:rPr>
        <w:t>parts. The introduction states that the first part deals with the history of Ayodhya, the religious movements which governed its development, the local context in which this took concrete shape and the manner in which it is reflected in the religious work, Ayodhya Mahatmya. Introducing his work, the author</w:t>
      </w:r>
      <w:r>
        <w:rPr>
          <w:spacing w:val="-11"/>
          <w:sz w:val="25"/>
          <w:vertAlign w:val="baseline"/>
        </w:rPr>
        <w:t> </w:t>
      </w:r>
      <w:r>
        <w:rPr>
          <w:sz w:val="25"/>
          <w:vertAlign w:val="baseline"/>
        </w:rPr>
        <w:t>notes:</w:t>
      </w:r>
    </w:p>
    <w:p>
      <w:pPr>
        <w:spacing w:before="80"/>
        <w:ind w:left="500" w:right="0" w:firstLine="0"/>
        <w:jc w:val="left"/>
        <w:rPr>
          <w:sz w:val="18"/>
        </w:rPr>
      </w:pPr>
      <w:r>
        <w:rPr>
          <w:sz w:val="18"/>
          <w:vertAlign w:val="superscript"/>
        </w:rPr>
        <w:t>307</w:t>
      </w:r>
      <w:r>
        <w:rPr>
          <w:sz w:val="18"/>
          <w:vertAlign w:val="baseline"/>
        </w:rPr>
        <w:t>Hans Bakker, Ayodhya, Egbert Forsten Publishers (1986)</w:t>
      </w:r>
    </w:p>
    <w:p>
      <w:pPr>
        <w:spacing w:after="0"/>
        <w:jc w:val="left"/>
        <w:rPr>
          <w:sz w:val="18"/>
        </w:rPr>
        <w:sectPr>
          <w:pgSz w:w="11910" w:h="16840"/>
          <w:pgMar w:header="721" w:footer="1014" w:top="1300" w:bottom="1200" w:left="940" w:right="1000"/>
        </w:sectPr>
      </w:pPr>
    </w:p>
    <w:p>
      <w:pPr>
        <w:spacing w:line="276" w:lineRule="auto" w:before="122"/>
        <w:ind w:left="1940" w:right="2263" w:firstLine="0"/>
        <w:jc w:val="both"/>
        <w:rPr>
          <w:sz w:val="21"/>
        </w:rPr>
      </w:pPr>
      <w:r>
        <w:rPr>
          <w:spacing w:val="-1"/>
          <w:w w:val="33"/>
          <w:sz w:val="21"/>
        </w:rPr>
        <w:t>―</w:t>
      </w:r>
      <w:r>
        <w:rPr>
          <w:w w:val="100"/>
          <w:sz w:val="21"/>
        </w:rPr>
        <w:t>…</w:t>
      </w:r>
      <w:r>
        <w:rPr>
          <w:spacing w:val="-2"/>
          <w:w w:val="100"/>
          <w:sz w:val="21"/>
        </w:rPr>
        <w:t>tw</w:t>
      </w:r>
      <w:r>
        <w:rPr>
          <w:w w:val="100"/>
          <w:sz w:val="21"/>
        </w:rPr>
        <w:t>o</w:t>
      </w:r>
      <w:r>
        <w:rPr>
          <w:sz w:val="21"/>
        </w:rPr>
        <w:t> </w:t>
      </w:r>
      <w:r>
        <w:rPr>
          <w:spacing w:val="-24"/>
          <w:sz w:val="21"/>
        </w:rPr>
        <w:t> </w:t>
      </w:r>
      <w:r>
        <w:rPr>
          <w:spacing w:val="1"/>
          <w:w w:val="100"/>
          <w:sz w:val="21"/>
        </w:rPr>
        <w:t>m</w:t>
      </w:r>
      <w:r>
        <w:rPr>
          <w:spacing w:val="-1"/>
          <w:w w:val="100"/>
          <w:sz w:val="21"/>
        </w:rPr>
        <w:t>at</w:t>
      </w:r>
      <w:r>
        <w:rPr>
          <w:spacing w:val="-2"/>
          <w:w w:val="100"/>
          <w:sz w:val="21"/>
        </w:rPr>
        <w:t>t</w:t>
      </w:r>
      <w:r>
        <w:rPr>
          <w:spacing w:val="-1"/>
          <w:w w:val="100"/>
          <w:sz w:val="21"/>
        </w:rPr>
        <w:t>er</w:t>
      </w:r>
      <w:r>
        <w:rPr>
          <w:w w:val="100"/>
          <w:sz w:val="21"/>
        </w:rPr>
        <w:t>s</w:t>
      </w:r>
      <w:r>
        <w:rPr>
          <w:sz w:val="21"/>
        </w:rPr>
        <w:t> </w:t>
      </w:r>
      <w:r>
        <w:rPr>
          <w:spacing w:val="-24"/>
          <w:sz w:val="21"/>
        </w:rPr>
        <w:t> </w:t>
      </w:r>
      <w:r>
        <w:rPr>
          <w:spacing w:val="-3"/>
          <w:w w:val="100"/>
          <w:sz w:val="21"/>
        </w:rPr>
        <w:t>o</w:t>
      </w:r>
      <w:r>
        <w:rPr>
          <w:w w:val="100"/>
          <w:sz w:val="21"/>
        </w:rPr>
        <w:t>f</w:t>
      </w:r>
      <w:r>
        <w:rPr>
          <w:sz w:val="21"/>
        </w:rPr>
        <w:t> </w:t>
      </w:r>
      <w:r>
        <w:rPr>
          <w:spacing w:val="-23"/>
          <w:sz w:val="21"/>
        </w:rPr>
        <w:t> </w:t>
      </w:r>
      <w:r>
        <w:rPr>
          <w:spacing w:val="-1"/>
          <w:w w:val="100"/>
          <w:sz w:val="21"/>
        </w:rPr>
        <w:t>gr</w:t>
      </w:r>
      <w:r>
        <w:rPr>
          <w:spacing w:val="-3"/>
          <w:w w:val="100"/>
          <w:sz w:val="21"/>
        </w:rPr>
        <w:t>e</w:t>
      </w:r>
      <w:r>
        <w:rPr>
          <w:spacing w:val="-1"/>
          <w:w w:val="100"/>
          <w:sz w:val="21"/>
        </w:rPr>
        <w:t>a</w:t>
      </w:r>
      <w:r>
        <w:rPr>
          <w:w w:val="100"/>
          <w:sz w:val="21"/>
        </w:rPr>
        <w:t>t</w:t>
      </w:r>
      <w:r>
        <w:rPr>
          <w:sz w:val="21"/>
        </w:rPr>
        <w:t> </w:t>
      </w:r>
      <w:r>
        <w:rPr>
          <w:spacing w:val="-25"/>
          <w:sz w:val="21"/>
        </w:rPr>
        <w:t> </w:t>
      </w:r>
      <w:r>
        <w:rPr>
          <w:w w:val="100"/>
          <w:sz w:val="21"/>
        </w:rPr>
        <w:t>cons</w:t>
      </w:r>
      <w:r>
        <w:rPr>
          <w:spacing w:val="-2"/>
          <w:w w:val="100"/>
          <w:sz w:val="21"/>
        </w:rPr>
        <w:t>e</w:t>
      </w:r>
      <w:r>
        <w:rPr>
          <w:spacing w:val="-1"/>
          <w:w w:val="100"/>
          <w:sz w:val="21"/>
        </w:rPr>
        <w:t>qu</w:t>
      </w:r>
      <w:r>
        <w:rPr>
          <w:spacing w:val="-2"/>
          <w:w w:val="100"/>
          <w:sz w:val="21"/>
        </w:rPr>
        <w:t>e</w:t>
      </w:r>
      <w:r>
        <w:rPr>
          <w:spacing w:val="-1"/>
          <w:w w:val="100"/>
          <w:sz w:val="21"/>
        </w:rPr>
        <w:t>nc</w:t>
      </w:r>
      <w:r>
        <w:rPr>
          <w:w w:val="100"/>
          <w:sz w:val="21"/>
        </w:rPr>
        <w:t>e</w:t>
      </w:r>
      <w:r>
        <w:rPr>
          <w:sz w:val="21"/>
        </w:rPr>
        <w:t> </w:t>
      </w:r>
      <w:r>
        <w:rPr>
          <w:spacing w:val="-23"/>
          <w:sz w:val="21"/>
        </w:rPr>
        <w:t> </w:t>
      </w:r>
      <w:r>
        <w:rPr>
          <w:spacing w:val="-3"/>
          <w:w w:val="100"/>
          <w:sz w:val="21"/>
        </w:rPr>
        <w:t>b</w:t>
      </w:r>
      <w:r>
        <w:rPr>
          <w:spacing w:val="-1"/>
          <w:w w:val="100"/>
          <w:sz w:val="21"/>
        </w:rPr>
        <w:t>ec</w:t>
      </w:r>
      <w:r>
        <w:rPr>
          <w:spacing w:val="-3"/>
          <w:w w:val="100"/>
          <w:sz w:val="21"/>
        </w:rPr>
        <w:t>a</w:t>
      </w:r>
      <w:r>
        <w:rPr>
          <w:spacing w:val="-1"/>
          <w:w w:val="100"/>
          <w:sz w:val="21"/>
        </w:rPr>
        <w:t>m</w:t>
      </w:r>
      <w:r>
        <w:rPr>
          <w:w w:val="100"/>
          <w:sz w:val="21"/>
        </w:rPr>
        <w:t>e</w:t>
      </w:r>
      <w:r>
        <w:rPr>
          <w:sz w:val="21"/>
        </w:rPr>
        <w:t> </w:t>
      </w:r>
      <w:r>
        <w:rPr>
          <w:spacing w:val="-24"/>
          <w:sz w:val="21"/>
        </w:rPr>
        <w:t> </w:t>
      </w:r>
      <w:r>
        <w:rPr>
          <w:spacing w:val="-1"/>
          <w:w w:val="100"/>
          <w:sz w:val="21"/>
        </w:rPr>
        <w:t>e</w:t>
      </w:r>
      <w:r>
        <w:rPr>
          <w:spacing w:val="-3"/>
          <w:w w:val="100"/>
          <w:sz w:val="21"/>
        </w:rPr>
        <w:t>v</w:t>
      </w:r>
      <w:r>
        <w:rPr>
          <w:w w:val="100"/>
          <w:sz w:val="21"/>
        </w:rPr>
        <w:t>i</w:t>
      </w:r>
      <w:r>
        <w:rPr>
          <w:spacing w:val="-1"/>
          <w:w w:val="100"/>
          <w:sz w:val="21"/>
        </w:rPr>
        <w:t>dent</w:t>
      </w:r>
      <w:r>
        <w:rPr>
          <w:w w:val="100"/>
          <w:sz w:val="21"/>
        </w:rPr>
        <w:t>.</w:t>
      </w:r>
      <w:r>
        <w:rPr>
          <w:sz w:val="21"/>
        </w:rPr>
        <w:t> </w:t>
      </w:r>
      <w:r>
        <w:rPr>
          <w:spacing w:val="-26"/>
          <w:sz w:val="21"/>
        </w:rPr>
        <w:t> </w:t>
      </w:r>
      <w:r>
        <w:rPr>
          <w:w w:val="100"/>
          <w:sz w:val="21"/>
        </w:rPr>
        <w:t>F</w:t>
      </w:r>
      <w:r>
        <w:rPr>
          <w:spacing w:val="1"/>
          <w:w w:val="100"/>
          <w:sz w:val="21"/>
        </w:rPr>
        <w:t>i</w:t>
      </w:r>
      <w:r>
        <w:rPr>
          <w:spacing w:val="-1"/>
          <w:w w:val="100"/>
          <w:sz w:val="21"/>
        </w:rPr>
        <w:t>r</w:t>
      </w:r>
      <w:r>
        <w:rPr>
          <w:spacing w:val="-3"/>
          <w:w w:val="100"/>
          <w:sz w:val="21"/>
        </w:rPr>
        <w:t>s</w:t>
      </w:r>
      <w:r>
        <w:rPr>
          <w:w w:val="100"/>
          <w:sz w:val="21"/>
        </w:rPr>
        <w:t>t </w:t>
      </w:r>
      <w:r>
        <w:rPr>
          <w:sz w:val="21"/>
        </w:rPr>
        <w:t>that the religious development of Ayodhya into a centre of pilgrimage took place in the second millennium AD and consequently the that the Ayodhyamahatmya in all its versions belongs to this period; secondly that the growth of the religious significance of the town was linked up with the rise of the worship of Rama as the principal manifestation of Visnu.‖</w:t>
      </w:r>
    </w:p>
    <w:p>
      <w:pPr>
        <w:pStyle w:val="BodyText"/>
        <w:rPr>
          <w:sz w:val="24"/>
        </w:rPr>
      </w:pPr>
    </w:p>
    <w:p>
      <w:pPr>
        <w:pStyle w:val="BodyText"/>
        <w:spacing w:line="480" w:lineRule="auto" w:before="209"/>
        <w:ind w:left="500" w:right="443"/>
        <w:jc w:val="both"/>
      </w:pPr>
      <w:r>
        <w:rPr/>
        <w:t>The author traces the History of Saketa/Ayodhya from 600 B.C. to A.D. 1000 in Chapter I, noting that the site is situated on a curve of river Sarayu (Gogra) which encircles the modern town on three sides. He states:</w:t>
      </w:r>
    </w:p>
    <w:p>
      <w:pPr>
        <w:spacing w:line="276" w:lineRule="auto" w:before="0"/>
        <w:ind w:left="1940" w:right="2259" w:firstLine="0"/>
        <w:jc w:val="both"/>
        <w:rPr>
          <w:sz w:val="21"/>
        </w:rPr>
      </w:pPr>
      <w:r>
        <w:rPr>
          <w:spacing w:val="-1"/>
          <w:w w:val="33"/>
          <w:sz w:val="21"/>
        </w:rPr>
        <w:t>―</w:t>
      </w:r>
      <w:r>
        <w:rPr>
          <w:spacing w:val="-2"/>
          <w:w w:val="100"/>
          <w:sz w:val="21"/>
        </w:rPr>
        <w:t>I</w:t>
      </w:r>
      <w:r>
        <w:rPr>
          <w:w w:val="100"/>
          <w:sz w:val="21"/>
        </w:rPr>
        <w:t>n</w:t>
      </w:r>
      <w:r>
        <w:rPr>
          <w:spacing w:val="23"/>
          <w:sz w:val="21"/>
        </w:rPr>
        <w:t> </w:t>
      </w:r>
      <w:r>
        <w:rPr>
          <w:spacing w:val="-2"/>
          <w:w w:val="100"/>
          <w:sz w:val="21"/>
        </w:rPr>
        <w:t>t</w:t>
      </w:r>
      <w:r>
        <w:rPr>
          <w:spacing w:val="-1"/>
          <w:w w:val="100"/>
          <w:sz w:val="21"/>
        </w:rPr>
        <w:t>h</w:t>
      </w:r>
      <w:r>
        <w:rPr>
          <w:w w:val="100"/>
          <w:sz w:val="21"/>
        </w:rPr>
        <w:t>e</w:t>
      </w:r>
      <w:r>
        <w:rPr>
          <w:spacing w:val="23"/>
          <w:sz w:val="21"/>
        </w:rPr>
        <w:t> </w:t>
      </w:r>
      <w:r>
        <w:rPr>
          <w:w w:val="100"/>
          <w:sz w:val="21"/>
        </w:rPr>
        <w:t>cen</w:t>
      </w:r>
      <w:r>
        <w:rPr>
          <w:spacing w:val="-1"/>
          <w:w w:val="100"/>
          <w:sz w:val="21"/>
        </w:rPr>
        <w:t>tr</w:t>
      </w:r>
      <w:r>
        <w:rPr>
          <w:w w:val="100"/>
          <w:sz w:val="21"/>
        </w:rPr>
        <w:t>e</w:t>
      </w:r>
      <w:r>
        <w:rPr>
          <w:spacing w:val="23"/>
          <w:sz w:val="21"/>
        </w:rPr>
        <w:t> </w:t>
      </w:r>
      <w:r>
        <w:rPr>
          <w:w w:val="100"/>
          <w:sz w:val="21"/>
        </w:rPr>
        <w:t>of</w:t>
      </w:r>
      <w:r>
        <w:rPr>
          <w:spacing w:val="24"/>
          <w:sz w:val="21"/>
        </w:rPr>
        <w:t> </w:t>
      </w:r>
      <w:r>
        <w:rPr>
          <w:spacing w:val="-2"/>
          <w:w w:val="100"/>
          <w:sz w:val="21"/>
        </w:rPr>
        <w:t>t</w:t>
      </w:r>
      <w:r>
        <w:rPr>
          <w:spacing w:val="-3"/>
          <w:w w:val="100"/>
          <w:sz w:val="21"/>
        </w:rPr>
        <w:t>h</w:t>
      </w:r>
      <w:r>
        <w:rPr>
          <w:w w:val="100"/>
          <w:sz w:val="21"/>
        </w:rPr>
        <w:t>i</w:t>
      </w:r>
      <w:r>
        <w:rPr>
          <w:w w:val="100"/>
          <w:sz w:val="21"/>
        </w:rPr>
        <w:t>s</w:t>
      </w:r>
      <w:r>
        <w:rPr>
          <w:spacing w:val="22"/>
          <w:sz w:val="21"/>
        </w:rPr>
        <w:t> </w:t>
      </w:r>
      <w:r>
        <w:rPr>
          <w:spacing w:val="-3"/>
          <w:w w:val="100"/>
          <w:sz w:val="21"/>
        </w:rPr>
        <w:t>s</w:t>
      </w:r>
      <w:r>
        <w:rPr>
          <w:w w:val="100"/>
          <w:sz w:val="21"/>
        </w:rPr>
        <w:t>i</w:t>
      </w:r>
      <w:r>
        <w:rPr>
          <w:spacing w:val="-2"/>
          <w:w w:val="100"/>
          <w:sz w:val="21"/>
        </w:rPr>
        <w:t>t</w:t>
      </w:r>
      <w:r>
        <w:rPr>
          <w:w w:val="100"/>
          <w:sz w:val="21"/>
        </w:rPr>
        <w:t>e</w:t>
      </w:r>
      <w:r>
        <w:rPr>
          <w:spacing w:val="23"/>
          <w:sz w:val="21"/>
        </w:rPr>
        <w:t> </w:t>
      </w:r>
      <w:r>
        <w:rPr>
          <w:w w:val="100"/>
          <w:sz w:val="21"/>
        </w:rPr>
        <w:t>i</w:t>
      </w:r>
      <w:r>
        <w:rPr>
          <w:w w:val="100"/>
          <w:sz w:val="21"/>
        </w:rPr>
        <w:t>s</w:t>
      </w:r>
      <w:r>
        <w:rPr>
          <w:spacing w:val="22"/>
          <w:sz w:val="21"/>
        </w:rPr>
        <w:t> </w:t>
      </w:r>
      <w:r>
        <w:rPr>
          <w:w w:val="100"/>
          <w:sz w:val="21"/>
        </w:rPr>
        <w:t>an</w:t>
      </w:r>
      <w:r>
        <w:rPr>
          <w:spacing w:val="23"/>
          <w:sz w:val="21"/>
        </w:rPr>
        <w:t> </w:t>
      </w:r>
      <w:r>
        <w:rPr>
          <w:w w:val="100"/>
          <w:sz w:val="21"/>
        </w:rPr>
        <w:t>a</w:t>
      </w:r>
      <w:r>
        <w:rPr>
          <w:spacing w:val="-3"/>
          <w:w w:val="100"/>
          <w:sz w:val="21"/>
        </w:rPr>
        <w:t>r</w:t>
      </w:r>
      <w:r>
        <w:rPr>
          <w:w w:val="100"/>
          <w:sz w:val="21"/>
        </w:rPr>
        <w:t>ea</w:t>
      </w:r>
      <w:r>
        <w:rPr>
          <w:spacing w:val="23"/>
          <w:sz w:val="21"/>
        </w:rPr>
        <w:t> </w:t>
      </w:r>
      <w:r>
        <w:rPr>
          <w:spacing w:val="-3"/>
          <w:w w:val="100"/>
          <w:sz w:val="21"/>
        </w:rPr>
        <w:t>o</w:t>
      </w:r>
      <w:r>
        <w:rPr>
          <w:w w:val="100"/>
          <w:sz w:val="21"/>
        </w:rPr>
        <w:t>f</w:t>
      </w:r>
      <w:r>
        <w:rPr>
          <w:spacing w:val="24"/>
          <w:sz w:val="21"/>
        </w:rPr>
        <w:t> </w:t>
      </w:r>
      <w:r>
        <w:rPr>
          <w:w w:val="100"/>
          <w:sz w:val="21"/>
        </w:rPr>
        <w:t>br</w:t>
      </w:r>
      <w:r>
        <w:rPr>
          <w:spacing w:val="-3"/>
          <w:w w:val="100"/>
          <w:sz w:val="21"/>
        </w:rPr>
        <w:t>o</w:t>
      </w:r>
      <w:r>
        <w:rPr>
          <w:w w:val="100"/>
          <w:sz w:val="21"/>
        </w:rPr>
        <w:t>ken</w:t>
      </w:r>
      <w:r>
        <w:rPr>
          <w:spacing w:val="23"/>
          <w:sz w:val="21"/>
        </w:rPr>
        <w:t> </w:t>
      </w:r>
      <w:r>
        <w:rPr>
          <w:w w:val="100"/>
          <w:sz w:val="21"/>
        </w:rPr>
        <w:t>gr</w:t>
      </w:r>
      <w:r>
        <w:rPr>
          <w:spacing w:val="-3"/>
          <w:w w:val="100"/>
          <w:sz w:val="21"/>
        </w:rPr>
        <w:t>ou</w:t>
      </w:r>
      <w:r>
        <w:rPr>
          <w:w w:val="100"/>
          <w:sz w:val="21"/>
        </w:rPr>
        <w:t>nd</w:t>
      </w:r>
      <w:r>
        <w:rPr>
          <w:spacing w:val="23"/>
          <w:sz w:val="21"/>
        </w:rPr>
        <w:t> </w:t>
      </w:r>
      <w:r>
        <w:rPr>
          <w:w w:val="100"/>
          <w:sz w:val="21"/>
        </w:rPr>
        <w:t>c</w:t>
      </w:r>
      <w:r>
        <w:rPr>
          <w:spacing w:val="-3"/>
          <w:w w:val="100"/>
          <w:sz w:val="21"/>
        </w:rPr>
        <w:t>a</w:t>
      </w:r>
      <w:r>
        <w:rPr>
          <w:w w:val="100"/>
          <w:sz w:val="21"/>
        </w:rPr>
        <w:t>ll</w:t>
      </w:r>
      <w:r>
        <w:rPr>
          <w:spacing w:val="-3"/>
          <w:w w:val="100"/>
          <w:sz w:val="21"/>
        </w:rPr>
        <w:t>e</w:t>
      </w:r>
      <w:r>
        <w:rPr>
          <w:w w:val="100"/>
          <w:sz w:val="21"/>
        </w:rPr>
        <w:t>d </w:t>
      </w:r>
      <w:r>
        <w:rPr>
          <w:sz w:val="21"/>
        </w:rPr>
        <w:t>the Ramkot or Kot Ramchandar, which today is occupied for  a great part by temples and maths. Especially on its southern side, however, several artificial mounds are found that are hardly built on and are strewn with broken bricks and blocks of stone, especially the so-called Kubertila on the south- western</w:t>
      </w:r>
      <w:r>
        <w:rPr>
          <w:spacing w:val="-2"/>
          <w:sz w:val="21"/>
        </w:rPr>
        <w:t> </w:t>
      </w:r>
      <w:r>
        <w:rPr>
          <w:sz w:val="21"/>
        </w:rPr>
        <w:t>corner.</w:t>
      </w:r>
    </w:p>
    <w:p>
      <w:pPr>
        <w:pStyle w:val="BodyText"/>
        <w:spacing w:before="1"/>
        <w:rPr>
          <w:sz w:val="24"/>
        </w:rPr>
      </w:pPr>
    </w:p>
    <w:p>
      <w:pPr>
        <w:spacing w:line="276" w:lineRule="auto" w:before="0"/>
        <w:ind w:left="1940" w:right="2263" w:firstLine="0"/>
        <w:jc w:val="both"/>
        <w:rPr>
          <w:sz w:val="21"/>
        </w:rPr>
      </w:pPr>
      <w:r>
        <w:rPr>
          <w:sz w:val="21"/>
        </w:rPr>
        <w:t>The site described above with a river surrounding it on three sides and an area of elevated ground in the centre, not far from a crossing of the river, seems to possesses all the essential physical characteristics of an ancient settlement. Two excavations in Ayodhya have been reported so far.‖</w:t>
      </w:r>
    </w:p>
    <w:p>
      <w:pPr>
        <w:pStyle w:val="BodyText"/>
        <w:rPr>
          <w:sz w:val="24"/>
        </w:rPr>
      </w:pPr>
    </w:p>
    <w:p>
      <w:pPr>
        <w:pStyle w:val="BodyText"/>
        <w:spacing w:before="9"/>
      </w:pPr>
    </w:p>
    <w:p>
      <w:pPr>
        <w:pStyle w:val="BodyText"/>
        <w:spacing w:line="480" w:lineRule="auto"/>
        <w:ind w:left="500" w:right="433"/>
        <w:jc w:val="both"/>
      </w:pPr>
      <w:r>
        <w:rPr>
          <w:b/>
        </w:rPr>
        <w:t>Baker </w:t>
      </w:r>
      <w:r>
        <w:rPr/>
        <w:t>notes that from the middle of the first century A.D., the Dattas of Kosala were increasingly confronted with the Kushana power in the west which resulted in a siege of a capital by Kanishka. According to </w:t>
      </w:r>
      <w:r>
        <w:rPr>
          <w:b/>
        </w:rPr>
        <w:t>Baker</w:t>
      </w:r>
      <w:r>
        <w:rPr/>
        <w:t>, following the reign of Chandragupta - I in A.D 320 and the reign of his successor Samudragupta, Saketa was placed under the direct rule of Patliputara. There was a renewal of Brahmanical institutions and learning in the latter half of fourth century A.D. in the context of which it has been stated:</w:t>
      </w:r>
    </w:p>
    <w:p>
      <w:pPr>
        <w:spacing w:line="276" w:lineRule="auto" w:before="3"/>
        <w:ind w:left="1940" w:right="2260" w:firstLine="0"/>
        <w:jc w:val="both"/>
        <w:rPr>
          <w:sz w:val="21"/>
        </w:rPr>
      </w:pPr>
      <w:r>
        <w:rPr>
          <w:w w:val="33"/>
          <w:sz w:val="21"/>
        </w:rPr>
        <w:t>―</w:t>
      </w:r>
      <w:r>
        <w:rPr>
          <w:w w:val="100"/>
          <w:sz w:val="21"/>
        </w:rPr>
        <w:t>During</w:t>
      </w:r>
      <w:r>
        <w:rPr>
          <w:sz w:val="21"/>
        </w:rPr>
        <w:t> </w:t>
      </w:r>
      <w:r>
        <w:rPr>
          <w:w w:val="100"/>
          <w:sz w:val="21"/>
        </w:rPr>
        <w:t>the</w:t>
      </w:r>
      <w:r>
        <w:rPr>
          <w:sz w:val="21"/>
        </w:rPr>
        <w:t> </w:t>
      </w:r>
      <w:r>
        <w:rPr>
          <w:w w:val="100"/>
          <w:sz w:val="21"/>
        </w:rPr>
        <w:t>early</w:t>
      </w:r>
      <w:r>
        <w:rPr>
          <w:sz w:val="21"/>
        </w:rPr>
        <w:t> </w:t>
      </w:r>
      <w:r>
        <w:rPr>
          <w:w w:val="100"/>
          <w:sz w:val="21"/>
        </w:rPr>
        <w:t>Gupta</w:t>
      </w:r>
      <w:r>
        <w:rPr>
          <w:sz w:val="21"/>
        </w:rPr>
        <w:t> </w:t>
      </w:r>
      <w:r>
        <w:rPr>
          <w:w w:val="100"/>
          <w:sz w:val="21"/>
        </w:rPr>
        <w:t>period</w:t>
      </w:r>
      <w:r>
        <w:rPr>
          <w:sz w:val="21"/>
        </w:rPr>
        <w:t> </w:t>
      </w:r>
      <w:r>
        <w:rPr>
          <w:w w:val="100"/>
          <w:sz w:val="21"/>
        </w:rPr>
        <w:t>the</w:t>
      </w:r>
      <w:r>
        <w:rPr>
          <w:sz w:val="21"/>
        </w:rPr>
        <w:t> </w:t>
      </w:r>
      <w:r>
        <w:rPr>
          <w:w w:val="100"/>
          <w:sz w:val="21"/>
        </w:rPr>
        <w:t>evolution</w:t>
      </w:r>
      <w:r>
        <w:rPr>
          <w:sz w:val="21"/>
        </w:rPr>
        <w:t> </w:t>
      </w:r>
      <w:r>
        <w:rPr>
          <w:w w:val="100"/>
          <w:sz w:val="21"/>
        </w:rPr>
        <w:t>of</w:t>
      </w:r>
      <w:r>
        <w:rPr>
          <w:sz w:val="21"/>
        </w:rPr>
        <w:t> </w:t>
      </w:r>
      <w:r>
        <w:rPr>
          <w:w w:val="100"/>
          <w:sz w:val="21"/>
        </w:rPr>
        <w:t>the</w:t>
      </w:r>
      <w:r>
        <w:rPr>
          <w:sz w:val="21"/>
        </w:rPr>
        <w:t> </w:t>
      </w:r>
      <w:r>
        <w:rPr>
          <w:w w:val="100"/>
          <w:sz w:val="21"/>
        </w:rPr>
        <w:t>Brahmanic </w:t>
      </w:r>
      <w:r>
        <w:rPr>
          <w:sz w:val="21"/>
        </w:rPr>
        <w:t>religion into Hinduism was accomplished. Along with the deification of the king the theory of god‘s avataras on earth – </w:t>
      </w:r>
      <w:r>
        <w:rPr>
          <w:w w:val="100"/>
          <w:sz w:val="21"/>
        </w:rPr>
        <w:t>be</w:t>
      </w:r>
      <w:r>
        <w:rPr>
          <w:sz w:val="21"/>
        </w:rPr>
        <w:t> </w:t>
      </w:r>
      <w:r>
        <w:rPr>
          <w:w w:val="100"/>
          <w:sz w:val="21"/>
        </w:rPr>
        <w:t>it</w:t>
      </w:r>
      <w:r>
        <w:rPr>
          <w:sz w:val="21"/>
        </w:rPr>
        <w:t> </w:t>
      </w:r>
      <w:r>
        <w:rPr>
          <w:w w:val="100"/>
          <w:sz w:val="21"/>
        </w:rPr>
        <w:t>in</w:t>
      </w:r>
      <w:r>
        <w:rPr>
          <w:sz w:val="21"/>
        </w:rPr>
        <w:t> </w:t>
      </w:r>
      <w:r>
        <w:rPr>
          <w:w w:val="100"/>
          <w:sz w:val="21"/>
        </w:rPr>
        <w:t>the</w:t>
      </w:r>
      <w:r>
        <w:rPr>
          <w:sz w:val="21"/>
        </w:rPr>
        <w:t> </w:t>
      </w:r>
      <w:r>
        <w:rPr>
          <w:w w:val="100"/>
          <w:sz w:val="21"/>
        </w:rPr>
        <w:t>form</w:t>
      </w:r>
      <w:r>
        <w:rPr>
          <w:sz w:val="21"/>
        </w:rPr>
        <w:t> </w:t>
      </w:r>
      <w:r>
        <w:rPr>
          <w:w w:val="100"/>
          <w:sz w:val="21"/>
        </w:rPr>
        <w:t>of</w:t>
      </w:r>
      <w:r>
        <w:rPr>
          <w:sz w:val="21"/>
        </w:rPr>
        <w:t> </w:t>
      </w:r>
      <w:r>
        <w:rPr>
          <w:w w:val="100"/>
          <w:sz w:val="21"/>
        </w:rPr>
        <w:t>an</w:t>
      </w:r>
      <w:r>
        <w:rPr>
          <w:sz w:val="21"/>
        </w:rPr>
        <w:t> </w:t>
      </w:r>
      <w:r>
        <w:rPr>
          <w:w w:val="100"/>
          <w:sz w:val="21"/>
        </w:rPr>
        <w:t>idol</w:t>
      </w:r>
      <w:r>
        <w:rPr>
          <w:sz w:val="21"/>
        </w:rPr>
        <w:t> </w:t>
      </w:r>
      <w:r>
        <w:rPr>
          <w:w w:val="100"/>
          <w:sz w:val="21"/>
        </w:rPr>
        <w:t>or</w:t>
      </w:r>
      <w:r>
        <w:rPr>
          <w:sz w:val="21"/>
        </w:rPr>
        <w:t> </w:t>
      </w:r>
      <w:r>
        <w:rPr>
          <w:w w:val="100"/>
          <w:sz w:val="21"/>
        </w:rPr>
        <w:t>as</w:t>
      </w:r>
      <w:r>
        <w:rPr>
          <w:sz w:val="21"/>
        </w:rPr>
        <w:t> </w:t>
      </w:r>
      <w:r>
        <w:rPr>
          <w:w w:val="100"/>
          <w:sz w:val="21"/>
        </w:rPr>
        <w:t>a</w:t>
      </w:r>
      <w:r>
        <w:rPr>
          <w:sz w:val="21"/>
        </w:rPr>
        <w:t> </w:t>
      </w:r>
      <w:r>
        <w:rPr>
          <w:w w:val="40"/>
          <w:sz w:val="21"/>
        </w:rPr>
        <w:t>‗</w:t>
      </w:r>
      <w:r>
        <w:rPr>
          <w:w w:val="100"/>
          <w:sz w:val="21"/>
        </w:rPr>
        <w:t>historical‘</w:t>
      </w:r>
      <w:r>
        <w:rPr>
          <w:sz w:val="21"/>
        </w:rPr>
        <w:t> </w:t>
      </w:r>
      <w:r>
        <w:rPr>
          <w:w w:val="100"/>
          <w:sz w:val="21"/>
        </w:rPr>
        <w:t>human</w:t>
      </w:r>
      <w:r>
        <w:rPr>
          <w:sz w:val="21"/>
        </w:rPr>
        <w:t> </w:t>
      </w:r>
      <w:r>
        <w:rPr>
          <w:w w:val="100"/>
          <w:sz w:val="21"/>
        </w:rPr>
        <w:t>being</w:t>
      </w:r>
      <w:r>
        <w:rPr>
          <w:sz w:val="21"/>
        </w:rPr>
        <w:t> </w:t>
      </w:r>
      <w:r>
        <w:rPr>
          <w:w w:val="100"/>
          <w:sz w:val="21"/>
        </w:rPr>
        <w:t>–</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sz w:val="21"/>
        </w:rPr>
      </w:pPr>
      <w:r>
        <w:rPr>
          <w:sz w:val="21"/>
        </w:rPr>
        <w:t>gained solid ground. By this development, as we have seen, the way was paved for recognition of the glorious town of Ayodhya of yore as the city of Saketa. So forceful was this revival, that the Budhist pilgrim Fahsien, who visited Saketa under Samudragupta‘s successor Chandragupta II, hardly </w:t>
      </w:r>
      <w:r>
        <w:rPr>
          <w:w w:val="100"/>
          <w:sz w:val="21"/>
        </w:rPr>
        <w:t>perceived</w:t>
      </w:r>
      <w:r>
        <w:rPr>
          <w:sz w:val="21"/>
        </w:rPr>
        <w:t> </w:t>
      </w:r>
      <w:r>
        <w:rPr>
          <w:w w:val="100"/>
          <w:sz w:val="21"/>
        </w:rPr>
        <w:t>anything</w:t>
      </w:r>
      <w:r>
        <w:rPr>
          <w:sz w:val="21"/>
        </w:rPr>
        <w:t> </w:t>
      </w:r>
      <w:r>
        <w:rPr>
          <w:w w:val="100"/>
          <w:sz w:val="21"/>
        </w:rPr>
        <w:t>of</w:t>
      </w:r>
      <w:r>
        <w:rPr>
          <w:sz w:val="21"/>
        </w:rPr>
        <w:t> </w:t>
      </w:r>
      <w:r>
        <w:rPr>
          <w:w w:val="100"/>
          <w:sz w:val="21"/>
        </w:rPr>
        <w:t>his</w:t>
      </w:r>
      <w:r>
        <w:rPr>
          <w:sz w:val="21"/>
        </w:rPr>
        <w:t> </w:t>
      </w:r>
      <w:r>
        <w:rPr>
          <w:w w:val="100"/>
          <w:sz w:val="21"/>
        </w:rPr>
        <w:t>interest</w:t>
      </w:r>
      <w:r>
        <w:rPr>
          <w:sz w:val="21"/>
        </w:rPr>
        <w:t> </w:t>
      </w:r>
      <w:r>
        <w:rPr>
          <w:w w:val="100"/>
          <w:sz w:val="21"/>
        </w:rPr>
        <w:t>in</w:t>
      </w:r>
      <w:r>
        <w:rPr>
          <w:sz w:val="21"/>
        </w:rPr>
        <w:t> </w:t>
      </w:r>
      <w:r>
        <w:rPr>
          <w:w w:val="33"/>
          <w:sz w:val="21"/>
        </w:rPr>
        <w:t>―</w:t>
      </w:r>
      <w:r>
        <w:rPr>
          <w:w w:val="100"/>
          <w:sz w:val="21"/>
        </w:rPr>
        <w:t>the</w:t>
      </w:r>
      <w:r>
        <w:rPr>
          <w:sz w:val="21"/>
        </w:rPr>
        <w:t> </w:t>
      </w:r>
      <w:r>
        <w:rPr>
          <w:w w:val="100"/>
          <w:sz w:val="21"/>
        </w:rPr>
        <w:t>great</w:t>
      </w:r>
      <w:r>
        <w:rPr>
          <w:sz w:val="21"/>
        </w:rPr>
        <w:t> </w:t>
      </w:r>
      <w:r>
        <w:rPr>
          <w:w w:val="100"/>
          <w:sz w:val="21"/>
        </w:rPr>
        <w:t>country</w:t>
      </w:r>
      <w:r>
        <w:rPr>
          <w:sz w:val="21"/>
        </w:rPr>
        <w:t> </w:t>
      </w:r>
      <w:r>
        <w:rPr>
          <w:w w:val="100"/>
          <w:sz w:val="21"/>
        </w:rPr>
        <w:t>of</w:t>
      </w:r>
      <w:r>
        <w:rPr>
          <w:sz w:val="21"/>
        </w:rPr>
        <w:t> </w:t>
      </w:r>
      <w:r>
        <w:rPr>
          <w:w w:val="100"/>
          <w:sz w:val="21"/>
        </w:rPr>
        <w:t>Sha- </w:t>
      </w:r>
      <w:r>
        <w:rPr>
          <w:sz w:val="21"/>
        </w:rPr>
        <w:t>chi‖ and its capital. What we accidentally learn from his account is that Saketa was a walled town.‖</w:t>
      </w:r>
    </w:p>
    <w:p>
      <w:pPr>
        <w:pStyle w:val="BodyText"/>
        <w:spacing w:before="9"/>
        <w:rPr>
          <w:sz w:val="24"/>
        </w:rPr>
      </w:pPr>
    </w:p>
    <w:p>
      <w:pPr>
        <w:pStyle w:val="BodyText"/>
        <w:spacing w:before="1"/>
        <w:ind w:left="500"/>
        <w:jc w:val="both"/>
      </w:pPr>
      <w:r>
        <w:rPr/>
        <w:t>Tracing the history of the town in the fifth century, </w:t>
      </w:r>
      <w:r>
        <w:rPr>
          <w:b/>
        </w:rPr>
        <w:t>Baker </w:t>
      </w:r>
      <w:r>
        <w:rPr/>
        <w:t>notes:</w:t>
      </w:r>
    </w:p>
    <w:p>
      <w:pPr>
        <w:pStyle w:val="BodyText"/>
        <w:spacing w:before="8"/>
        <w:rPr>
          <w:sz w:val="37"/>
        </w:rPr>
      </w:pPr>
    </w:p>
    <w:p>
      <w:pPr>
        <w:spacing w:line="276" w:lineRule="auto" w:before="0"/>
        <w:ind w:left="1940" w:right="2260" w:firstLine="0"/>
        <w:jc w:val="both"/>
        <w:rPr>
          <w:sz w:val="21"/>
        </w:rPr>
      </w:pPr>
      <w:r>
        <w:rPr>
          <w:spacing w:val="-1"/>
          <w:w w:val="33"/>
          <w:sz w:val="21"/>
        </w:rPr>
        <w:t>―</w:t>
      </w:r>
      <w:r>
        <w:rPr>
          <w:w w:val="100"/>
          <w:sz w:val="21"/>
        </w:rPr>
        <w:t>The</w:t>
      </w:r>
      <w:r>
        <w:rPr>
          <w:spacing w:val="25"/>
          <w:sz w:val="21"/>
        </w:rPr>
        <w:t> </w:t>
      </w:r>
      <w:r>
        <w:rPr>
          <w:spacing w:val="-2"/>
          <w:w w:val="100"/>
          <w:sz w:val="21"/>
        </w:rPr>
        <w:t>f</w:t>
      </w:r>
      <w:r>
        <w:rPr>
          <w:w w:val="100"/>
          <w:sz w:val="21"/>
        </w:rPr>
        <w:t>i</w:t>
      </w:r>
      <w:r>
        <w:rPr>
          <w:spacing w:val="1"/>
          <w:w w:val="100"/>
          <w:sz w:val="21"/>
        </w:rPr>
        <w:t>f</w:t>
      </w:r>
      <w:r>
        <w:rPr>
          <w:spacing w:val="-2"/>
          <w:w w:val="100"/>
          <w:sz w:val="21"/>
        </w:rPr>
        <w:t>t</w:t>
      </w:r>
      <w:r>
        <w:rPr>
          <w:w w:val="100"/>
          <w:sz w:val="21"/>
        </w:rPr>
        <w:t>h</w:t>
      </w:r>
      <w:r>
        <w:rPr>
          <w:spacing w:val="25"/>
          <w:sz w:val="21"/>
        </w:rPr>
        <w:t> </w:t>
      </w:r>
      <w:r>
        <w:rPr>
          <w:w w:val="100"/>
          <w:sz w:val="21"/>
        </w:rPr>
        <w:t>c</w:t>
      </w:r>
      <w:r>
        <w:rPr>
          <w:spacing w:val="-3"/>
          <w:w w:val="100"/>
          <w:sz w:val="21"/>
        </w:rPr>
        <w:t>e</w:t>
      </w:r>
      <w:r>
        <w:rPr>
          <w:spacing w:val="-1"/>
          <w:w w:val="100"/>
          <w:sz w:val="21"/>
        </w:rPr>
        <w:t>ntur</w:t>
      </w:r>
      <w:r>
        <w:rPr>
          <w:w w:val="100"/>
          <w:sz w:val="21"/>
        </w:rPr>
        <w:t>y</w:t>
      </w:r>
      <w:r>
        <w:rPr>
          <w:spacing w:val="24"/>
          <w:sz w:val="21"/>
        </w:rPr>
        <w:t> </w:t>
      </w:r>
      <w:r>
        <w:rPr>
          <w:spacing w:val="-2"/>
          <w:w w:val="100"/>
          <w:sz w:val="21"/>
        </w:rPr>
        <w:t>w</w:t>
      </w:r>
      <w:r>
        <w:rPr>
          <w:spacing w:val="-1"/>
          <w:w w:val="100"/>
          <w:sz w:val="21"/>
        </w:rPr>
        <w:t>oul</w:t>
      </w:r>
      <w:r>
        <w:rPr>
          <w:w w:val="100"/>
          <w:sz w:val="21"/>
        </w:rPr>
        <w:t>d</w:t>
      </w:r>
      <w:r>
        <w:rPr>
          <w:spacing w:val="25"/>
          <w:sz w:val="21"/>
        </w:rPr>
        <w:t> </w:t>
      </w:r>
      <w:r>
        <w:rPr>
          <w:spacing w:val="-1"/>
          <w:w w:val="100"/>
          <w:sz w:val="21"/>
        </w:rPr>
        <w:t>app</w:t>
      </w:r>
      <w:r>
        <w:rPr>
          <w:spacing w:val="-2"/>
          <w:w w:val="100"/>
          <w:sz w:val="21"/>
        </w:rPr>
        <w:t>e</w:t>
      </w:r>
      <w:r>
        <w:rPr>
          <w:spacing w:val="-1"/>
          <w:w w:val="100"/>
          <w:sz w:val="21"/>
        </w:rPr>
        <w:t>a</w:t>
      </w:r>
      <w:r>
        <w:rPr>
          <w:w w:val="100"/>
          <w:sz w:val="21"/>
        </w:rPr>
        <w:t>r</w:t>
      </w:r>
      <w:r>
        <w:rPr>
          <w:spacing w:val="27"/>
          <w:sz w:val="21"/>
        </w:rPr>
        <w:t> </w:t>
      </w:r>
      <w:r>
        <w:rPr>
          <w:spacing w:val="-2"/>
          <w:w w:val="100"/>
          <w:sz w:val="21"/>
        </w:rPr>
        <w:t>t</w:t>
      </w:r>
      <w:r>
        <w:rPr>
          <w:w w:val="100"/>
          <w:sz w:val="21"/>
        </w:rPr>
        <w:t>o</w:t>
      </w:r>
      <w:r>
        <w:rPr>
          <w:spacing w:val="25"/>
          <w:sz w:val="21"/>
        </w:rPr>
        <w:t> </w:t>
      </w:r>
      <w:r>
        <w:rPr>
          <w:spacing w:val="-1"/>
          <w:w w:val="100"/>
          <w:sz w:val="21"/>
        </w:rPr>
        <w:t>b</w:t>
      </w:r>
      <w:r>
        <w:rPr>
          <w:w w:val="100"/>
          <w:sz w:val="21"/>
        </w:rPr>
        <w:t>e</w:t>
      </w:r>
      <w:r>
        <w:rPr>
          <w:spacing w:val="25"/>
          <w:sz w:val="21"/>
        </w:rPr>
        <w:t> </w:t>
      </w:r>
      <w:r>
        <w:rPr>
          <w:w w:val="100"/>
          <w:sz w:val="21"/>
        </w:rPr>
        <w:t>a</w:t>
      </w:r>
      <w:r>
        <w:rPr>
          <w:spacing w:val="25"/>
          <w:sz w:val="21"/>
        </w:rPr>
        <w:t> </w:t>
      </w:r>
      <w:r>
        <w:rPr>
          <w:w w:val="100"/>
          <w:sz w:val="21"/>
        </w:rPr>
        <w:t>c</w:t>
      </w:r>
      <w:r>
        <w:rPr>
          <w:spacing w:val="-1"/>
          <w:w w:val="100"/>
          <w:sz w:val="21"/>
        </w:rPr>
        <w:t>ru</w:t>
      </w:r>
      <w:r>
        <w:rPr>
          <w:spacing w:val="-3"/>
          <w:w w:val="100"/>
          <w:sz w:val="21"/>
        </w:rPr>
        <w:t>c</w:t>
      </w:r>
      <w:r>
        <w:rPr>
          <w:w w:val="100"/>
          <w:sz w:val="21"/>
        </w:rPr>
        <w:t>i</w:t>
      </w:r>
      <w:r>
        <w:rPr>
          <w:spacing w:val="-1"/>
          <w:w w:val="100"/>
          <w:sz w:val="21"/>
        </w:rPr>
        <w:t>a</w:t>
      </w:r>
      <w:r>
        <w:rPr>
          <w:w w:val="100"/>
          <w:sz w:val="21"/>
        </w:rPr>
        <w:t>l</w:t>
      </w:r>
      <w:r>
        <w:rPr>
          <w:spacing w:val="26"/>
          <w:sz w:val="21"/>
        </w:rPr>
        <w:t> </w:t>
      </w:r>
      <w:r>
        <w:rPr>
          <w:spacing w:val="-3"/>
          <w:w w:val="100"/>
          <w:sz w:val="21"/>
        </w:rPr>
        <w:t>ph</w:t>
      </w:r>
      <w:r>
        <w:rPr>
          <w:spacing w:val="-1"/>
          <w:w w:val="100"/>
          <w:sz w:val="21"/>
        </w:rPr>
        <w:t>as</w:t>
      </w:r>
      <w:r>
        <w:rPr>
          <w:w w:val="100"/>
          <w:sz w:val="21"/>
        </w:rPr>
        <w:t>e</w:t>
      </w:r>
      <w:r>
        <w:rPr>
          <w:spacing w:val="25"/>
          <w:sz w:val="21"/>
        </w:rPr>
        <w:t> </w:t>
      </w:r>
      <w:r>
        <w:rPr>
          <w:w w:val="100"/>
          <w:sz w:val="21"/>
        </w:rPr>
        <w:t>in</w:t>
      </w:r>
      <w:r>
        <w:rPr>
          <w:spacing w:val="25"/>
          <w:sz w:val="21"/>
        </w:rPr>
        <w:t> </w:t>
      </w:r>
      <w:r>
        <w:rPr>
          <w:spacing w:val="-2"/>
          <w:w w:val="100"/>
          <w:sz w:val="21"/>
        </w:rPr>
        <w:t>t</w:t>
      </w:r>
      <w:r>
        <w:rPr>
          <w:spacing w:val="-1"/>
          <w:w w:val="100"/>
          <w:sz w:val="21"/>
        </w:rPr>
        <w:t>he </w:t>
      </w:r>
      <w:r>
        <w:rPr>
          <w:sz w:val="21"/>
        </w:rPr>
        <w:t>history of the town. It saw Saketa/Ayodhya in the heyday of </w:t>
      </w:r>
      <w:r>
        <w:rPr>
          <w:w w:val="100"/>
          <w:sz w:val="21"/>
        </w:rPr>
        <w:t>i</w:t>
      </w:r>
      <w:r>
        <w:rPr>
          <w:spacing w:val="-2"/>
          <w:w w:val="100"/>
          <w:sz w:val="21"/>
        </w:rPr>
        <w:t>t</w:t>
      </w:r>
      <w:r>
        <w:rPr>
          <w:w w:val="100"/>
          <w:sz w:val="21"/>
        </w:rPr>
        <w:t>s</w:t>
      </w:r>
      <w:r>
        <w:rPr>
          <w:spacing w:val="27"/>
          <w:sz w:val="21"/>
        </w:rPr>
        <w:t> </w:t>
      </w:r>
      <w:r>
        <w:rPr>
          <w:spacing w:val="-1"/>
          <w:w w:val="100"/>
          <w:sz w:val="21"/>
        </w:rPr>
        <w:t>pros</w:t>
      </w:r>
      <w:r>
        <w:rPr>
          <w:spacing w:val="-3"/>
          <w:w w:val="100"/>
          <w:sz w:val="21"/>
        </w:rPr>
        <w:t>p</w:t>
      </w:r>
      <w:r>
        <w:rPr>
          <w:spacing w:val="-1"/>
          <w:w w:val="100"/>
          <w:sz w:val="21"/>
        </w:rPr>
        <w:t>erit</w:t>
      </w:r>
      <w:r>
        <w:rPr>
          <w:w w:val="100"/>
          <w:sz w:val="21"/>
        </w:rPr>
        <w:t>y</w:t>
      </w:r>
      <w:r>
        <w:rPr>
          <w:spacing w:val="24"/>
          <w:sz w:val="21"/>
        </w:rPr>
        <w:t> </w:t>
      </w:r>
      <w:r>
        <w:rPr>
          <w:spacing w:val="-1"/>
          <w:w w:val="100"/>
          <w:sz w:val="21"/>
        </w:rPr>
        <w:t>an</w:t>
      </w:r>
      <w:r>
        <w:rPr>
          <w:w w:val="100"/>
          <w:sz w:val="21"/>
        </w:rPr>
        <w:t>d</w:t>
      </w:r>
      <w:r>
        <w:rPr>
          <w:spacing w:val="28"/>
          <w:sz w:val="21"/>
        </w:rPr>
        <w:t> </w:t>
      </w:r>
      <w:r>
        <w:rPr>
          <w:w w:val="40"/>
          <w:sz w:val="21"/>
        </w:rPr>
        <w:t>‗</w:t>
      </w:r>
      <w:r>
        <w:rPr>
          <w:spacing w:val="-1"/>
          <w:w w:val="100"/>
          <w:sz w:val="21"/>
        </w:rPr>
        <w:t>r</w:t>
      </w:r>
      <w:r>
        <w:rPr>
          <w:spacing w:val="-3"/>
          <w:w w:val="100"/>
          <w:sz w:val="21"/>
        </w:rPr>
        <w:t>e</w:t>
      </w:r>
      <w:r>
        <w:rPr>
          <w:w w:val="100"/>
          <w:sz w:val="21"/>
        </w:rPr>
        <w:t>s</w:t>
      </w:r>
      <w:r>
        <w:rPr>
          <w:spacing w:val="-2"/>
          <w:w w:val="100"/>
          <w:sz w:val="21"/>
        </w:rPr>
        <w:t>t</w:t>
      </w:r>
      <w:r>
        <w:rPr>
          <w:spacing w:val="-1"/>
          <w:w w:val="100"/>
          <w:sz w:val="21"/>
        </w:rPr>
        <w:t>or</w:t>
      </w:r>
      <w:r>
        <w:rPr>
          <w:spacing w:val="-3"/>
          <w:w w:val="100"/>
          <w:sz w:val="21"/>
        </w:rPr>
        <w:t>e</w:t>
      </w:r>
      <w:r>
        <w:rPr>
          <w:spacing w:val="-1"/>
          <w:w w:val="100"/>
          <w:sz w:val="21"/>
        </w:rPr>
        <w:t>d</w:t>
      </w:r>
      <w:r>
        <w:rPr>
          <w:w w:val="100"/>
          <w:sz w:val="21"/>
        </w:rPr>
        <w:t>‘</w:t>
      </w:r>
      <w:r>
        <w:rPr>
          <w:spacing w:val="28"/>
          <w:sz w:val="21"/>
        </w:rPr>
        <w:t> </w:t>
      </w:r>
      <w:r>
        <w:rPr>
          <w:spacing w:val="-2"/>
          <w:w w:val="100"/>
          <w:sz w:val="21"/>
        </w:rPr>
        <w:t>t</w:t>
      </w:r>
      <w:r>
        <w:rPr>
          <w:w w:val="100"/>
          <w:sz w:val="21"/>
        </w:rPr>
        <w:t>o</w:t>
      </w:r>
      <w:r>
        <w:rPr>
          <w:spacing w:val="27"/>
          <w:sz w:val="21"/>
        </w:rPr>
        <w:t> </w:t>
      </w:r>
      <w:r>
        <w:rPr>
          <w:w w:val="100"/>
          <w:sz w:val="21"/>
        </w:rPr>
        <w:t>i</w:t>
      </w:r>
      <w:r>
        <w:rPr>
          <w:spacing w:val="-2"/>
          <w:w w:val="100"/>
          <w:sz w:val="21"/>
        </w:rPr>
        <w:t>t</w:t>
      </w:r>
      <w:r>
        <w:rPr>
          <w:w w:val="100"/>
          <w:sz w:val="21"/>
        </w:rPr>
        <w:t>s</w:t>
      </w:r>
      <w:r>
        <w:rPr>
          <w:spacing w:val="27"/>
          <w:sz w:val="21"/>
        </w:rPr>
        <w:t> </w:t>
      </w:r>
      <w:r>
        <w:rPr>
          <w:spacing w:val="-2"/>
          <w:w w:val="40"/>
          <w:sz w:val="21"/>
        </w:rPr>
        <w:t>‗</w:t>
      </w:r>
      <w:r>
        <w:rPr>
          <w:spacing w:val="1"/>
          <w:w w:val="100"/>
          <w:sz w:val="21"/>
        </w:rPr>
        <w:t>f</w:t>
      </w:r>
      <w:r>
        <w:rPr>
          <w:spacing w:val="-1"/>
          <w:w w:val="100"/>
          <w:sz w:val="21"/>
        </w:rPr>
        <w:t>o</w:t>
      </w:r>
      <w:r>
        <w:rPr>
          <w:spacing w:val="-3"/>
          <w:w w:val="100"/>
          <w:sz w:val="21"/>
        </w:rPr>
        <w:t>r</w:t>
      </w:r>
      <w:r>
        <w:rPr>
          <w:spacing w:val="-1"/>
          <w:w w:val="100"/>
          <w:sz w:val="21"/>
        </w:rPr>
        <w:t>mer</w:t>
      </w:r>
      <w:r>
        <w:rPr>
          <w:w w:val="100"/>
          <w:sz w:val="21"/>
        </w:rPr>
        <w:t>‘</w:t>
      </w:r>
      <w:r>
        <w:rPr>
          <w:spacing w:val="28"/>
          <w:sz w:val="21"/>
        </w:rPr>
        <w:t> </w:t>
      </w:r>
      <w:r>
        <w:rPr>
          <w:spacing w:val="-3"/>
          <w:w w:val="100"/>
          <w:sz w:val="21"/>
        </w:rPr>
        <w:t>g</w:t>
      </w:r>
      <w:r>
        <w:rPr>
          <w:w w:val="100"/>
          <w:sz w:val="21"/>
        </w:rPr>
        <w:t>l</w:t>
      </w:r>
      <w:r>
        <w:rPr>
          <w:spacing w:val="-1"/>
          <w:w w:val="100"/>
          <w:sz w:val="21"/>
        </w:rPr>
        <w:t>or</w:t>
      </w:r>
      <w:r>
        <w:rPr>
          <w:w w:val="100"/>
          <w:sz w:val="21"/>
        </w:rPr>
        <w:t>y</w:t>
      </w:r>
      <w:r>
        <w:rPr>
          <w:spacing w:val="24"/>
          <w:sz w:val="21"/>
        </w:rPr>
        <w:t> </w:t>
      </w:r>
      <w:r>
        <w:rPr>
          <w:spacing w:val="-1"/>
          <w:w w:val="100"/>
          <w:sz w:val="21"/>
        </w:rPr>
        <w:t>a</w:t>
      </w:r>
      <w:r>
        <w:rPr>
          <w:w w:val="100"/>
          <w:sz w:val="21"/>
        </w:rPr>
        <w:t>s</w:t>
      </w:r>
      <w:r>
        <w:rPr>
          <w:spacing w:val="27"/>
          <w:sz w:val="21"/>
        </w:rPr>
        <w:t> </w:t>
      </w:r>
      <w:r>
        <w:rPr>
          <w:w w:val="100"/>
          <w:sz w:val="21"/>
        </w:rPr>
        <w:t>cap</w:t>
      </w:r>
      <w:r>
        <w:rPr>
          <w:spacing w:val="1"/>
          <w:w w:val="100"/>
          <w:sz w:val="21"/>
        </w:rPr>
        <w:t>i</w:t>
      </w:r>
      <w:r>
        <w:rPr>
          <w:spacing w:val="-2"/>
          <w:w w:val="100"/>
          <w:sz w:val="21"/>
        </w:rPr>
        <w:t>t</w:t>
      </w:r>
      <w:r>
        <w:rPr>
          <w:spacing w:val="-3"/>
          <w:w w:val="100"/>
          <w:sz w:val="21"/>
        </w:rPr>
        <w:t>a</w:t>
      </w:r>
      <w:r>
        <w:rPr>
          <w:w w:val="100"/>
          <w:sz w:val="21"/>
        </w:rPr>
        <w:t>l</w:t>
      </w:r>
      <w:r>
        <w:rPr>
          <w:spacing w:val="28"/>
          <w:sz w:val="21"/>
        </w:rPr>
        <w:t> </w:t>
      </w:r>
      <w:r>
        <w:rPr>
          <w:spacing w:val="-3"/>
          <w:w w:val="100"/>
          <w:sz w:val="21"/>
        </w:rPr>
        <w:t>o</w:t>
      </w:r>
      <w:r>
        <w:rPr>
          <w:w w:val="100"/>
          <w:sz w:val="21"/>
        </w:rPr>
        <w:t>f </w:t>
      </w:r>
      <w:r>
        <w:rPr>
          <w:sz w:val="21"/>
        </w:rPr>
        <w:t>the illustrious Iksvaku kings. It is true, owing to the disintegration of the Gupta empire and the consequent general recession, that this prestige suffered a serious drawback in the following centuries, yet it safeguarded the town from the same destiny that fall upon the majority of the cities of the Gupta empire, namely a languishing existence after the Gupta age resulting in a final disappearance from  the stage of history. Thanks to its recognition as the legendary town of the Iksvakus, and most of all as the capital of Lord Visnu himself in his incarnation of Rama, the town never fully disappeared from the purview of the Hindus, and consequently it could, when the circumstances were set for such a development, reappear as one of holiest places of North India. Like other holy places to come, Mathura and </w:t>
      </w:r>
      <w:r>
        <w:rPr>
          <w:w w:val="100"/>
          <w:sz w:val="21"/>
        </w:rPr>
        <w:t>V</w:t>
      </w:r>
      <w:r>
        <w:rPr>
          <w:spacing w:val="-1"/>
          <w:w w:val="100"/>
          <w:sz w:val="21"/>
        </w:rPr>
        <w:t>ara</w:t>
      </w:r>
      <w:r>
        <w:rPr>
          <w:spacing w:val="-3"/>
          <w:w w:val="100"/>
          <w:sz w:val="21"/>
        </w:rPr>
        <w:t>n</w:t>
      </w:r>
      <w:r>
        <w:rPr>
          <w:spacing w:val="-1"/>
          <w:w w:val="100"/>
          <w:sz w:val="21"/>
        </w:rPr>
        <w:t>a</w:t>
      </w:r>
      <w:r>
        <w:rPr>
          <w:spacing w:val="-3"/>
          <w:w w:val="100"/>
          <w:sz w:val="21"/>
        </w:rPr>
        <w:t>s</w:t>
      </w:r>
      <w:r>
        <w:rPr>
          <w:w w:val="100"/>
          <w:sz w:val="21"/>
        </w:rPr>
        <w:t>i,</w:t>
      </w:r>
      <w:r>
        <w:rPr>
          <w:sz w:val="21"/>
        </w:rPr>
        <w:t> </w:t>
      </w:r>
      <w:r>
        <w:rPr>
          <w:spacing w:val="21"/>
          <w:sz w:val="21"/>
        </w:rPr>
        <w:t> </w:t>
      </w:r>
      <w:r>
        <w:rPr>
          <w:spacing w:val="-1"/>
          <w:w w:val="33"/>
          <w:sz w:val="21"/>
        </w:rPr>
        <w:t>―</w:t>
      </w:r>
      <w:r>
        <w:rPr>
          <w:spacing w:val="-2"/>
          <w:w w:val="100"/>
          <w:sz w:val="21"/>
        </w:rPr>
        <w:t>w</w:t>
      </w:r>
      <w:r>
        <w:rPr>
          <w:spacing w:val="-1"/>
          <w:w w:val="100"/>
          <w:sz w:val="21"/>
        </w:rPr>
        <w:t>h</w:t>
      </w:r>
      <w:r>
        <w:rPr>
          <w:spacing w:val="1"/>
          <w:w w:val="100"/>
          <w:sz w:val="21"/>
        </w:rPr>
        <w:t>i</w:t>
      </w:r>
      <w:r>
        <w:rPr>
          <w:spacing w:val="-3"/>
          <w:w w:val="100"/>
          <w:sz w:val="21"/>
        </w:rPr>
        <w:t>c</w:t>
      </w:r>
      <w:r>
        <w:rPr>
          <w:w w:val="100"/>
          <w:sz w:val="21"/>
        </w:rPr>
        <w:t>h</w:t>
      </w:r>
      <w:r>
        <w:rPr>
          <w:sz w:val="21"/>
        </w:rPr>
        <w:t> </w:t>
      </w:r>
      <w:r>
        <w:rPr>
          <w:spacing w:val="22"/>
          <w:sz w:val="21"/>
        </w:rPr>
        <w:t> </w:t>
      </w:r>
      <w:r>
        <w:rPr>
          <w:spacing w:val="-2"/>
          <w:w w:val="100"/>
          <w:sz w:val="21"/>
        </w:rPr>
        <w:t>w</w:t>
      </w:r>
      <w:r>
        <w:rPr>
          <w:spacing w:val="-1"/>
          <w:w w:val="100"/>
          <w:sz w:val="21"/>
        </w:rPr>
        <w:t>er</w:t>
      </w:r>
      <w:r>
        <w:rPr>
          <w:w w:val="100"/>
          <w:sz w:val="21"/>
        </w:rPr>
        <w:t>e</w:t>
      </w:r>
      <w:r>
        <w:rPr>
          <w:sz w:val="21"/>
        </w:rPr>
        <w:t> </w:t>
      </w:r>
      <w:r>
        <w:rPr>
          <w:spacing w:val="19"/>
          <w:sz w:val="21"/>
        </w:rPr>
        <w:t> </w:t>
      </w:r>
      <w:r>
        <w:rPr>
          <w:spacing w:val="-1"/>
          <w:w w:val="100"/>
          <w:sz w:val="21"/>
        </w:rPr>
        <w:t>prac</w:t>
      </w:r>
      <w:r>
        <w:rPr>
          <w:spacing w:val="-2"/>
          <w:w w:val="100"/>
          <w:sz w:val="21"/>
        </w:rPr>
        <w:t>t</w:t>
      </w:r>
      <w:r>
        <w:rPr>
          <w:w w:val="100"/>
          <w:sz w:val="21"/>
        </w:rPr>
        <w:t>i</w:t>
      </w:r>
      <w:r>
        <w:rPr>
          <w:spacing w:val="-3"/>
          <w:w w:val="100"/>
          <w:sz w:val="21"/>
        </w:rPr>
        <w:t>c</w:t>
      </w:r>
      <w:r>
        <w:rPr>
          <w:spacing w:val="-1"/>
          <w:w w:val="100"/>
          <w:sz w:val="21"/>
        </w:rPr>
        <w:t>a</w:t>
      </w:r>
      <w:r>
        <w:rPr>
          <w:spacing w:val="-2"/>
          <w:w w:val="100"/>
          <w:sz w:val="21"/>
        </w:rPr>
        <w:t>l</w:t>
      </w:r>
      <w:r>
        <w:rPr>
          <w:w w:val="100"/>
          <w:sz w:val="21"/>
        </w:rPr>
        <w:t>ly</w:t>
      </w:r>
      <w:r>
        <w:rPr>
          <w:sz w:val="21"/>
        </w:rPr>
        <w:t> </w:t>
      </w:r>
      <w:r>
        <w:rPr>
          <w:spacing w:val="19"/>
          <w:sz w:val="21"/>
        </w:rPr>
        <w:t> </w:t>
      </w:r>
      <w:r>
        <w:rPr>
          <w:spacing w:val="-1"/>
          <w:w w:val="100"/>
          <w:sz w:val="21"/>
        </w:rPr>
        <w:t>aba</w:t>
      </w:r>
      <w:r>
        <w:rPr>
          <w:spacing w:val="-2"/>
          <w:w w:val="100"/>
          <w:sz w:val="21"/>
        </w:rPr>
        <w:t>n</w:t>
      </w:r>
      <w:r>
        <w:rPr>
          <w:spacing w:val="-1"/>
          <w:w w:val="100"/>
          <w:sz w:val="21"/>
        </w:rPr>
        <w:t>do</w:t>
      </w:r>
      <w:r>
        <w:rPr>
          <w:spacing w:val="-2"/>
          <w:w w:val="100"/>
          <w:sz w:val="21"/>
        </w:rPr>
        <w:t>n</w:t>
      </w:r>
      <w:r>
        <w:rPr>
          <w:spacing w:val="-1"/>
          <w:w w:val="100"/>
          <w:sz w:val="21"/>
        </w:rPr>
        <w:t>e</w:t>
      </w:r>
      <w:r>
        <w:rPr>
          <w:w w:val="100"/>
          <w:sz w:val="21"/>
        </w:rPr>
        <w:t>d</w:t>
      </w:r>
      <w:r>
        <w:rPr>
          <w:sz w:val="21"/>
        </w:rPr>
        <w:t> </w:t>
      </w:r>
      <w:r>
        <w:rPr>
          <w:spacing w:val="22"/>
          <w:sz w:val="21"/>
        </w:rPr>
        <w:t> </w:t>
      </w:r>
      <w:r>
        <w:rPr>
          <w:spacing w:val="-3"/>
          <w:w w:val="100"/>
          <w:sz w:val="21"/>
        </w:rPr>
        <w:t>a</w:t>
      </w:r>
      <w:r>
        <w:rPr>
          <w:spacing w:val="-2"/>
          <w:w w:val="100"/>
          <w:sz w:val="21"/>
        </w:rPr>
        <w:t>ft</w:t>
      </w:r>
      <w:r>
        <w:rPr>
          <w:spacing w:val="-1"/>
          <w:w w:val="100"/>
          <w:sz w:val="21"/>
        </w:rPr>
        <w:t>e</w:t>
      </w:r>
      <w:r>
        <w:rPr>
          <w:w w:val="100"/>
          <w:sz w:val="21"/>
        </w:rPr>
        <w:t>r</w:t>
      </w:r>
      <w:r>
        <w:rPr>
          <w:sz w:val="21"/>
        </w:rPr>
        <w:t> </w:t>
      </w:r>
      <w:r>
        <w:rPr>
          <w:spacing w:val="21"/>
          <w:sz w:val="21"/>
        </w:rPr>
        <w:t> </w:t>
      </w:r>
      <w:r>
        <w:rPr>
          <w:spacing w:val="-2"/>
          <w:w w:val="100"/>
          <w:sz w:val="21"/>
        </w:rPr>
        <w:t>G</w:t>
      </w:r>
      <w:r>
        <w:rPr>
          <w:spacing w:val="-1"/>
          <w:w w:val="100"/>
          <w:sz w:val="21"/>
        </w:rPr>
        <w:t>upt</w:t>
      </w:r>
      <w:r>
        <w:rPr>
          <w:w w:val="100"/>
          <w:sz w:val="21"/>
        </w:rPr>
        <w:t>a </w:t>
      </w:r>
      <w:r>
        <w:rPr>
          <w:sz w:val="21"/>
        </w:rPr>
        <w:t>times‖, the city reemerged in the beginning of the second millennium.‖</w:t>
      </w:r>
    </w:p>
    <w:p>
      <w:pPr>
        <w:pStyle w:val="BodyText"/>
        <w:rPr>
          <w:sz w:val="24"/>
        </w:rPr>
      </w:pPr>
    </w:p>
    <w:p>
      <w:pPr>
        <w:pStyle w:val="BodyText"/>
        <w:rPr>
          <w:sz w:val="21"/>
        </w:rPr>
      </w:pPr>
    </w:p>
    <w:p>
      <w:pPr>
        <w:pStyle w:val="BodyText"/>
        <w:spacing w:line="480" w:lineRule="auto"/>
        <w:ind w:left="500" w:right="435"/>
        <w:jc w:val="both"/>
      </w:pPr>
      <w:r>
        <w:rPr>
          <w:b/>
        </w:rPr>
        <w:t>Baker </w:t>
      </w:r>
      <w:r>
        <w:rPr/>
        <w:t>has noted that the survival of Ayodhya can also be attributed to its central position in north India and its strategic value in the Gangetic plain. Under the Delhi Sultanate of the thirteenth century, Ayodhya was to once again become a provincial capital. In later times, its commercial and strategic importance came to be taken over by rival townships – Jaunpur in the fifteenth century, Faizabad in the eighteenth century and by Lucknow towards the end of eighteenth and beginning of the nineteenth century. Ayodhya did not fall into decay and</w:t>
      </w:r>
      <w:r>
        <w:rPr>
          <w:spacing w:val="10"/>
        </w:rPr>
        <w:t> </w:t>
      </w:r>
      <w:r>
        <w:rPr/>
        <w:t>is stated</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t>to have witnessed a flourishing of the religious life in the city. Adverting to Chinese sources, </w:t>
      </w:r>
      <w:r>
        <w:rPr>
          <w:b/>
        </w:rPr>
        <w:t>Baker</w:t>
      </w:r>
      <w:r>
        <w:rPr>
          <w:b/>
          <w:spacing w:val="-2"/>
        </w:rPr>
        <w:t> </w:t>
      </w:r>
      <w:r>
        <w:rPr/>
        <w:t>observes:</w:t>
      </w:r>
    </w:p>
    <w:p>
      <w:pPr>
        <w:spacing w:line="240" w:lineRule="exact" w:before="0"/>
        <w:ind w:left="1940" w:right="0" w:firstLine="0"/>
        <w:jc w:val="both"/>
        <w:rPr>
          <w:sz w:val="21"/>
        </w:rPr>
      </w:pPr>
      <w:r>
        <w:rPr>
          <w:spacing w:val="-1"/>
          <w:w w:val="33"/>
          <w:sz w:val="21"/>
        </w:rPr>
        <w:t>―</w:t>
      </w:r>
      <w:r>
        <w:rPr>
          <w:w w:val="100"/>
          <w:sz w:val="21"/>
        </w:rPr>
        <w:t>Fr</w:t>
      </w:r>
      <w:r>
        <w:rPr>
          <w:spacing w:val="-3"/>
          <w:w w:val="100"/>
          <w:sz w:val="21"/>
        </w:rPr>
        <w:t>o</w:t>
      </w:r>
      <w:r>
        <w:rPr>
          <w:w w:val="100"/>
          <w:sz w:val="21"/>
        </w:rPr>
        <w:t>m</w:t>
      </w:r>
      <w:r>
        <w:rPr>
          <w:spacing w:val="10"/>
          <w:sz w:val="21"/>
        </w:rPr>
        <w:t> </w:t>
      </w:r>
      <w:r>
        <w:rPr>
          <w:w w:val="100"/>
          <w:sz w:val="21"/>
        </w:rPr>
        <w:t>C</w:t>
      </w:r>
      <w:r>
        <w:rPr>
          <w:spacing w:val="-3"/>
          <w:w w:val="100"/>
          <w:sz w:val="21"/>
        </w:rPr>
        <w:t>h</w:t>
      </w:r>
      <w:r>
        <w:rPr>
          <w:w w:val="100"/>
          <w:sz w:val="21"/>
        </w:rPr>
        <w:t>i</w:t>
      </w:r>
      <w:r>
        <w:rPr>
          <w:spacing w:val="-1"/>
          <w:w w:val="100"/>
          <w:sz w:val="21"/>
        </w:rPr>
        <w:t>ne</w:t>
      </w:r>
      <w:r>
        <w:rPr>
          <w:spacing w:val="-3"/>
          <w:w w:val="100"/>
          <w:sz w:val="21"/>
        </w:rPr>
        <w:t>s</w:t>
      </w:r>
      <w:r>
        <w:rPr>
          <w:w w:val="100"/>
          <w:sz w:val="21"/>
        </w:rPr>
        <w:t>e</w:t>
      </w:r>
      <w:r>
        <w:rPr>
          <w:spacing w:val="11"/>
          <w:sz w:val="21"/>
        </w:rPr>
        <w:t> </w:t>
      </w:r>
      <w:r>
        <w:rPr>
          <w:w w:val="100"/>
          <w:sz w:val="21"/>
        </w:rPr>
        <w:t>s</w:t>
      </w:r>
      <w:r>
        <w:rPr>
          <w:spacing w:val="-3"/>
          <w:w w:val="100"/>
          <w:sz w:val="21"/>
        </w:rPr>
        <w:t>o</w:t>
      </w:r>
      <w:r>
        <w:rPr>
          <w:spacing w:val="-1"/>
          <w:w w:val="100"/>
          <w:sz w:val="21"/>
        </w:rPr>
        <w:t>urce</w:t>
      </w:r>
      <w:r>
        <w:rPr>
          <w:w w:val="100"/>
          <w:sz w:val="21"/>
        </w:rPr>
        <w:t>s</w:t>
      </w:r>
      <w:r>
        <w:rPr>
          <w:spacing w:val="8"/>
          <w:sz w:val="21"/>
        </w:rPr>
        <w:t> </w:t>
      </w:r>
      <w:r>
        <w:rPr>
          <w:spacing w:val="-3"/>
          <w:w w:val="100"/>
          <w:sz w:val="21"/>
        </w:rPr>
        <w:t>a</w:t>
      </w:r>
      <w:r>
        <w:rPr>
          <w:w w:val="100"/>
          <w:sz w:val="21"/>
        </w:rPr>
        <w:t>s</w:t>
      </w:r>
      <w:r>
        <w:rPr>
          <w:spacing w:val="11"/>
          <w:sz w:val="21"/>
        </w:rPr>
        <w:t> </w:t>
      </w:r>
      <w:r>
        <w:rPr>
          <w:spacing w:val="-2"/>
          <w:w w:val="100"/>
          <w:sz w:val="21"/>
        </w:rPr>
        <w:t>w</w:t>
      </w:r>
      <w:r>
        <w:rPr>
          <w:w w:val="100"/>
          <w:sz w:val="21"/>
        </w:rPr>
        <w:t>e</w:t>
      </w:r>
      <w:r>
        <w:rPr>
          <w:spacing w:val="8"/>
          <w:sz w:val="21"/>
        </w:rPr>
        <w:t> </w:t>
      </w:r>
      <w:r>
        <w:rPr>
          <w:spacing w:val="2"/>
          <w:w w:val="100"/>
          <w:sz w:val="21"/>
        </w:rPr>
        <w:t>k</w:t>
      </w:r>
      <w:r>
        <w:rPr>
          <w:spacing w:val="-3"/>
          <w:w w:val="100"/>
          <w:sz w:val="21"/>
        </w:rPr>
        <w:t>n</w:t>
      </w:r>
      <w:r>
        <w:rPr>
          <w:spacing w:val="-1"/>
          <w:w w:val="100"/>
          <w:sz w:val="21"/>
        </w:rPr>
        <w:t>o</w:t>
      </w:r>
      <w:r>
        <w:rPr>
          <w:w w:val="100"/>
          <w:sz w:val="21"/>
        </w:rPr>
        <w:t>w</w:t>
      </w:r>
      <w:r>
        <w:rPr>
          <w:spacing w:val="10"/>
          <w:sz w:val="21"/>
        </w:rPr>
        <w:t> </w:t>
      </w:r>
      <w:r>
        <w:rPr>
          <w:spacing w:val="-2"/>
          <w:w w:val="100"/>
          <w:sz w:val="21"/>
        </w:rPr>
        <w:t>t</w:t>
      </w:r>
      <w:r>
        <w:rPr>
          <w:spacing w:val="-1"/>
          <w:w w:val="100"/>
          <w:sz w:val="21"/>
        </w:rPr>
        <w:t>ha</w:t>
      </w:r>
      <w:r>
        <w:rPr>
          <w:w w:val="100"/>
          <w:sz w:val="21"/>
        </w:rPr>
        <w:t>t</w:t>
      </w:r>
      <w:r>
        <w:rPr>
          <w:spacing w:val="10"/>
          <w:sz w:val="21"/>
        </w:rPr>
        <w:t> </w:t>
      </w:r>
      <w:r>
        <w:rPr>
          <w:spacing w:val="-2"/>
          <w:w w:val="100"/>
          <w:sz w:val="21"/>
        </w:rPr>
        <w:t>K</w:t>
      </w:r>
      <w:r>
        <w:rPr>
          <w:w w:val="100"/>
          <w:sz w:val="21"/>
        </w:rPr>
        <w:t>i</w:t>
      </w:r>
      <w:r>
        <w:rPr>
          <w:spacing w:val="-1"/>
          <w:w w:val="100"/>
          <w:sz w:val="21"/>
        </w:rPr>
        <w:t>n</w:t>
      </w:r>
      <w:r>
        <w:rPr>
          <w:w w:val="100"/>
          <w:sz w:val="21"/>
        </w:rPr>
        <w:t>g</w:t>
      </w:r>
      <w:r>
        <w:rPr>
          <w:spacing w:val="9"/>
          <w:sz w:val="21"/>
        </w:rPr>
        <w:t> </w:t>
      </w:r>
      <w:r>
        <w:rPr>
          <w:spacing w:val="-2"/>
          <w:w w:val="100"/>
          <w:sz w:val="21"/>
        </w:rPr>
        <w:t>Vi</w:t>
      </w:r>
      <w:r>
        <w:rPr>
          <w:spacing w:val="2"/>
          <w:w w:val="100"/>
          <w:sz w:val="21"/>
        </w:rPr>
        <w:t>k</w:t>
      </w:r>
      <w:r>
        <w:rPr>
          <w:spacing w:val="-4"/>
          <w:w w:val="100"/>
          <w:sz w:val="21"/>
        </w:rPr>
        <w:t>r</w:t>
      </w:r>
      <w:r>
        <w:rPr>
          <w:spacing w:val="-1"/>
          <w:w w:val="100"/>
          <w:sz w:val="21"/>
        </w:rPr>
        <w:t>ama</w:t>
      </w:r>
      <w:r>
        <w:rPr>
          <w:spacing w:val="1"/>
          <w:w w:val="100"/>
          <w:sz w:val="21"/>
        </w:rPr>
        <w:t>d</w:t>
      </w:r>
      <w:r>
        <w:rPr>
          <w:w w:val="100"/>
          <w:sz w:val="21"/>
        </w:rPr>
        <w:t>i</w:t>
      </w:r>
      <w:r>
        <w:rPr>
          <w:spacing w:val="-2"/>
          <w:w w:val="100"/>
          <w:sz w:val="21"/>
        </w:rPr>
        <w:t>t</w:t>
      </w:r>
      <w:r>
        <w:rPr>
          <w:w w:val="100"/>
          <w:sz w:val="21"/>
        </w:rPr>
        <w:t>a</w:t>
      </w:r>
      <w:r>
        <w:rPr>
          <w:spacing w:val="-3"/>
          <w:w w:val="100"/>
          <w:sz w:val="21"/>
        </w:rPr>
        <w:t>y</w:t>
      </w:r>
      <w:r>
        <w:rPr>
          <w:w w:val="100"/>
          <w:sz w:val="21"/>
        </w:rPr>
        <w:t>a,</w:t>
      </w:r>
    </w:p>
    <w:p>
      <w:pPr>
        <w:spacing w:line="276" w:lineRule="auto" w:before="36"/>
        <w:ind w:left="1940" w:right="2262" w:firstLine="0"/>
        <w:jc w:val="both"/>
        <w:rPr>
          <w:sz w:val="21"/>
        </w:rPr>
      </w:pPr>
      <w:r>
        <w:rPr>
          <w:sz w:val="21"/>
        </w:rPr>
        <w:t>i.e. Skandagupta, had the royal court installed in Ayodhya </w:t>
      </w:r>
      <w:r>
        <w:rPr>
          <w:spacing w:val="-1"/>
          <w:w w:val="100"/>
          <w:sz w:val="21"/>
        </w:rPr>
        <w:t>(</w:t>
      </w:r>
      <w:r>
        <w:rPr>
          <w:w w:val="100"/>
          <w:sz w:val="21"/>
        </w:rPr>
        <w:t>Acco</w:t>
      </w:r>
      <w:r>
        <w:rPr>
          <w:spacing w:val="-3"/>
          <w:w w:val="100"/>
          <w:sz w:val="21"/>
        </w:rPr>
        <w:t>r</w:t>
      </w:r>
      <w:r>
        <w:rPr>
          <w:spacing w:val="-1"/>
          <w:w w:val="100"/>
          <w:sz w:val="21"/>
        </w:rPr>
        <w:t>d</w:t>
      </w:r>
      <w:r>
        <w:rPr>
          <w:spacing w:val="1"/>
          <w:w w:val="100"/>
          <w:sz w:val="21"/>
        </w:rPr>
        <w:t>i</w:t>
      </w:r>
      <w:r>
        <w:rPr>
          <w:spacing w:val="-3"/>
          <w:w w:val="100"/>
          <w:sz w:val="21"/>
        </w:rPr>
        <w:t>n</w:t>
      </w:r>
      <w:r>
        <w:rPr>
          <w:w w:val="100"/>
          <w:sz w:val="21"/>
        </w:rPr>
        <w:t>g</w:t>
      </w:r>
      <w:r>
        <w:rPr>
          <w:spacing w:val="8"/>
          <w:sz w:val="21"/>
        </w:rPr>
        <w:t> </w:t>
      </w:r>
      <w:r>
        <w:rPr>
          <w:spacing w:val="-2"/>
          <w:w w:val="100"/>
          <w:sz w:val="21"/>
        </w:rPr>
        <w:t>t</w:t>
      </w:r>
      <w:r>
        <w:rPr>
          <w:w w:val="100"/>
          <w:sz w:val="21"/>
        </w:rPr>
        <w:t>o</w:t>
      </w:r>
      <w:r>
        <w:rPr>
          <w:spacing w:val="8"/>
          <w:sz w:val="21"/>
        </w:rPr>
        <w:t> </w:t>
      </w:r>
      <w:r>
        <w:rPr>
          <w:w w:val="100"/>
          <w:sz w:val="21"/>
        </w:rPr>
        <w:t>P</w:t>
      </w:r>
      <w:r>
        <w:rPr>
          <w:spacing w:val="-1"/>
          <w:w w:val="100"/>
          <w:sz w:val="21"/>
        </w:rPr>
        <w:t>a</w:t>
      </w:r>
      <w:r>
        <w:rPr>
          <w:spacing w:val="-3"/>
          <w:w w:val="100"/>
          <w:sz w:val="21"/>
        </w:rPr>
        <w:t>ra</w:t>
      </w:r>
      <w:r>
        <w:rPr>
          <w:spacing w:val="1"/>
          <w:w w:val="100"/>
          <w:sz w:val="21"/>
        </w:rPr>
        <w:t>m</w:t>
      </w:r>
      <w:r>
        <w:rPr>
          <w:spacing w:val="-1"/>
          <w:w w:val="100"/>
          <w:sz w:val="21"/>
        </w:rPr>
        <w:t>ar</w:t>
      </w:r>
      <w:r>
        <w:rPr>
          <w:spacing w:val="-2"/>
          <w:w w:val="100"/>
          <w:sz w:val="21"/>
        </w:rPr>
        <w:t>t</w:t>
      </w:r>
      <w:r>
        <w:rPr>
          <w:spacing w:val="-1"/>
          <w:w w:val="100"/>
          <w:sz w:val="21"/>
        </w:rPr>
        <w:t>h</w:t>
      </w:r>
      <w:r>
        <w:rPr>
          <w:spacing w:val="-3"/>
          <w:w w:val="100"/>
          <w:sz w:val="21"/>
        </w:rPr>
        <w:t>a</w:t>
      </w:r>
      <w:r>
        <w:rPr>
          <w:spacing w:val="-1"/>
          <w:w w:val="100"/>
          <w:sz w:val="21"/>
        </w:rPr>
        <w:t>)</w:t>
      </w:r>
      <w:r>
        <w:rPr>
          <w:w w:val="100"/>
          <w:sz w:val="21"/>
        </w:rPr>
        <w:t>,</w:t>
      </w:r>
      <w:r>
        <w:rPr>
          <w:spacing w:val="7"/>
          <w:sz w:val="21"/>
        </w:rPr>
        <w:t> </w:t>
      </w:r>
      <w:r>
        <w:rPr>
          <w:spacing w:val="-1"/>
          <w:w w:val="100"/>
          <w:sz w:val="21"/>
        </w:rPr>
        <w:t>o</w:t>
      </w:r>
      <w:r>
        <w:rPr>
          <w:w w:val="100"/>
          <w:sz w:val="21"/>
        </w:rPr>
        <w:t>r</w:t>
      </w:r>
      <w:r>
        <w:rPr>
          <w:spacing w:val="8"/>
          <w:sz w:val="21"/>
        </w:rPr>
        <w:t> </w:t>
      </w:r>
      <w:r>
        <w:rPr>
          <w:w w:val="40"/>
          <w:sz w:val="21"/>
        </w:rPr>
        <w:t>‗</w:t>
      </w:r>
      <w:r>
        <w:rPr>
          <w:w w:val="100"/>
          <w:sz w:val="21"/>
        </w:rPr>
        <w:t>count</w:t>
      </w:r>
      <w:r>
        <w:rPr>
          <w:spacing w:val="-2"/>
          <w:w w:val="100"/>
          <w:sz w:val="21"/>
        </w:rPr>
        <w:t>r</w:t>
      </w:r>
      <w:r>
        <w:rPr>
          <w:w w:val="100"/>
          <w:sz w:val="21"/>
        </w:rPr>
        <w:t>y</w:t>
      </w:r>
      <w:r>
        <w:rPr>
          <w:spacing w:val="6"/>
          <w:sz w:val="21"/>
        </w:rPr>
        <w:t> </w:t>
      </w:r>
      <w:r>
        <w:rPr>
          <w:spacing w:val="-1"/>
          <w:w w:val="100"/>
          <w:sz w:val="21"/>
        </w:rPr>
        <w:t>o</w:t>
      </w:r>
      <w:r>
        <w:rPr>
          <w:w w:val="100"/>
          <w:sz w:val="21"/>
        </w:rPr>
        <w:t>f</w:t>
      </w:r>
      <w:r>
        <w:rPr>
          <w:spacing w:val="9"/>
          <w:sz w:val="21"/>
        </w:rPr>
        <w:t> </w:t>
      </w:r>
      <w:r>
        <w:rPr>
          <w:w w:val="100"/>
          <w:sz w:val="21"/>
        </w:rPr>
        <w:t>S</w:t>
      </w:r>
      <w:r>
        <w:rPr>
          <w:spacing w:val="-4"/>
          <w:w w:val="100"/>
          <w:sz w:val="21"/>
        </w:rPr>
        <w:t>r</w:t>
      </w:r>
      <w:r>
        <w:rPr>
          <w:spacing w:val="-1"/>
          <w:w w:val="100"/>
          <w:sz w:val="21"/>
        </w:rPr>
        <w:t>as</w:t>
      </w:r>
      <w:r>
        <w:rPr>
          <w:spacing w:val="-3"/>
          <w:w w:val="100"/>
          <w:sz w:val="21"/>
        </w:rPr>
        <w:t>v</w:t>
      </w:r>
      <w:r>
        <w:rPr>
          <w:spacing w:val="-1"/>
          <w:w w:val="100"/>
          <w:sz w:val="21"/>
        </w:rPr>
        <w:t>at</w:t>
      </w:r>
      <w:r>
        <w:rPr>
          <w:w w:val="100"/>
          <w:sz w:val="21"/>
        </w:rPr>
        <w:t>i‘</w:t>
      </w:r>
      <w:r>
        <w:rPr>
          <w:spacing w:val="9"/>
          <w:sz w:val="21"/>
        </w:rPr>
        <w:t> </w:t>
      </w:r>
      <w:r>
        <w:rPr>
          <w:spacing w:val="-4"/>
          <w:w w:val="100"/>
          <w:sz w:val="21"/>
        </w:rPr>
        <w:t>(</w:t>
      </w:r>
      <w:r>
        <w:rPr>
          <w:spacing w:val="-1"/>
          <w:w w:val="100"/>
          <w:sz w:val="21"/>
        </w:rPr>
        <w:t>accor</w:t>
      </w:r>
      <w:r>
        <w:rPr>
          <w:spacing w:val="-3"/>
          <w:w w:val="100"/>
          <w:sz w:val="21"/>
        </w:rPr>
        <w:t>d</w:t>
      </w:r>
      <w:r>
        <w:rPr>
          <w:w w:val="100"/>
          <w:sz w:val="21"/>
        </w:rPr>
        <w:t>i</w:t>
      </w:r>
      <w:r>
        <w:rPr>
          <w:spacing w:val="-3"/>
          <w:w w:val="100"/>
          <w:sz w:val="21"/>
        </w:rPr>
        <w:t>n</w:t>
      </w:r>
      <w:r>
        <w:rPr>
          <w:w w:val="100"/>
          <w:sz w:val="21"/>
        </w:rPr>
        <w:t>g </w:t>
      </w:r>
      <w:r>
        <w:rPr>
          <w:spacing w:val="-2"/>
          <w:w w:val="100"/>
          <w:sz w:val="21"/>
        </w:rPr>
        <w:t>t</w:t>
      </w:r>
      <w:r>
        <w:rPr>
          <w:w w:val="100"/>
          <w:sz w:val="21"/>
        </w:rPr>
        <w:t>o</w:t>
      </w:r>
      <w:r>
        <w:rPr>
          <w:sz w:val="21"/>
        </w:rPr>
        <w:t> </w:t>
      </w:r>
      <w:r>
        <w:rPr>
          <w:spacing w:val="12"/>
          <w:sz w:val="21"/>
        </w:rPr>
        <w:t> </w:t>
      </w:r>
      <w:r>
        <w:rPr>
          <w:spacing w:val="-2"/>
          <w:w w:val="100"/>
          <w:sz w:val="21"/>
        </w:rPr>
        <w:t>H</w:t>
      </w:r>
      <w:r>
        <w:rPr>
          <w:w w:val="100"/>
          <w:sz w:val="21"/>
        </w:rPr>
        <w:t>i</w:t>
      </w:r>
      <w:r>
        <w:rPr>
          <w:spacing w:val="-1"/>
          <w:w w:val="100"/>
          <w:sz w:val="21"/>
        </w:rPr>
        <w:t>e</w:t>
      </w:r>
      <w:r>
        <w:rPr>
          <w:spacing w:val="-3"/>
          <w:w w:val="100"/>
          <w:sz w:val="21"/>
        </w:rPr>
        <w:t>u</w:t>
      </w:r>
      <w:r>
        <w:rPr>
          <w:w w:val="100"/>
          <w:sz w:val="21"/>
        </w:rPr>
        <w:t>n</w:t>
      </w:r>
      <w:r>
        <w:rPr>
          <w:sz w:val="21"/>
        </w:rPr>
        <w:t> </w:t>
      </w:r>
      <w:r>
        <w:rPr>
          <w:spacing w:val="10"/>
          <w:sz w:val="21"/>
        </w:rPr>
        <w:t> </w:t>
      </w:r>
      <w:r>
        <w:rPr>
          <w:w w:val="100"/>
          <w:sz w:val="21"/>
        </w:rPr>
        <w:t>Tsa</w:t>
      </w:r>
      <w:r>
        <w:rPr>
          <w:spacing w:val="-3"/>
          <w:w w:val="100"/>
          <w:sz w:val="21"/>
        </w:rPr>
        <w:t>n</w:t>
      </w:r>
      <w:r>
        <w:rPr>
          <w:spacing w:val="-1"/>
          <w:w w:val="100"/>
          <w:sz w:val="21"/>
        </w:rPr>
        <w:t>g)</w:t>
      </w:r>
      <w:r>
        <w:rPr>
          <w:w w:val="100"/>
          <w:sz w:val="21"/>
        </w:rPr>
        <w:t>.</w:t>
      </w:r>
      <w:r>
        <w:rPr>
          <w:sz w:val="21"/>
        </w:rPr>
        <w:t> </w:t>
      </w:r>
      <w:r>
        <w:rPr>
          <w:spacing w:val="11"/>
          <w:sz w:val="21"/>
        </w:rPr>
        <w:t> </w:t>
      </w:r>
      <w:r>
        <w:rPr>
          <w:spacing w:val="-2"/>
          <w:w w:val="100"/>
          <w:sz w:val="21"/>
        </w:rPr>
        <w:t>I</w:t>
      </w:r>
      <w:r>
        <w:rPr>
          <w:w w:val="100"/>
          <w:sz w:val="21"/>
        </w:rPr>
        <w:t>t</w:t>
      </w:r>
      <w:r>
        <w:rPr>
          <w:sz w:val="21"/>
        </w:rPr>
        <w:t> </w:t>
      </w:r>
      <w:r>
        <w:rPr>
          <w:spacing w:val="11"/>
          <w:sz w:val="21"/>
        </w:rPr>
        <w:t> </w:t>
      </w:r>
      <w:r>
        <w:rPr>
          <w:w w:val="100"/>
          <w:sz w:val="21"/>
        </w:rPr>
        <w:t>is</w:t>
      </w:r>
      <w:r>
        <w:rPr>
          <w:sz w:val="21"/>
        </w:rPr>
        <w:t> </w:t>
      </w:r>
      <w:r>
        <w:rPr>
          <w:spacing w:val="10"/>
          <w:sz w:val="21"/>
        </w:rPr>
        <w:t> </w:t>
      </w:r>
      <w:r>
        <w:rPr>
          <w:spacing w:val="-1"/>
          <w:w w:val="100"/>
          <w:sz w:val="21"/>
        </w:rPr>
        <w:t>be</w:t>
      </w:r>
      <w:r>
        <w:rPr>
          <w:spacing w:val="-3"/>
          <w:w w:val="100"/>
          <w:sz w:val="21"/>
        </w:rPr>
        <w:t>y</w:t>
      </w:r>
      <w:r>
        <w:rPr>
          <w:spacing w:val="-1"/>
          <w:w w:val="100"/>
          <w:sz w:val="21"/>
        </w:rPr>
        <w:t>on</w:t>
      </w:r>
      <w:r>
        <w:rPr>
          <w:w w:val="100"/>
          <w:sz w:val="21"/>
        </w:rPr>
        <w:t>d</w:t>
      </w:r>
      <w:r>
        <w:rPr>
          <w:sz w:val="21"/>
        </w:rPr>
        <w:t> </w:t>
      </w:r>
      <w:r>
        <w:rPr>
          <w:spacing w:val="10"/>
          <w:sz w:val="21"/>
        </w:rPr>
        <w:t> </w:t>
      </w:r>
      <w:r>
        <w:rPr>
          <w:spacing w:val="-1"/>
          <w:w w:val="100"/>
          <w:sz w:val="21"/>
        </w:rPr>
        <w:t>do</w:t>
      </w:r>
      <w:r>
        <w:rPr>
          <w:spacing w:val="-2"/>
          <w:w w:val="100"/>
          <w:sz w:val="21"/>
        </w:rPr>
        <w:t>u</w:t>
      </w:r>
      <w:r>
        <w:rPr>
          <w:spacing w:val="-1"/>
          <w:w w:val="100"/>
          <w:sz w:val="21"/>
        </w:rPr>
        <w:t>b</w:t>
      </w:r>
      <w:r>
        <w:rPr>
          <w:w w:val="100"/>
          <w:sz w:val="21"/>
        </w:rPr>
        <w:t>t</w:t>
      </w:r>
      <w:r>
        <w:rPr>
          <w:sz w:val="21"/>
        </w:rPr>
        <w:t> </w:t>
      </w:r>
      <w:r>
        <w:rPr>
          <w:spacing w:val="11"/>
          <w:sz w:val="21"/>
        </w:rPr>
        <w:t> </w:t>
      </w:r>
      <w:r>
        <w:rPr>
          <w:spacing w:val="-2"/>
          <w:w w:val="100"/>
          <w:sz w:val="21"/>
        </w:rPr>
        <w:t>t</w:t>
      </w:r>
      <w:r>
        <w:rPr>
          <w:spacing w:val="-1"/>
          <w:w w:val="100"/>
          <w:sz w:val="21"/>
        </w:rPr>
        <w:t>ha</w:t>
      </w:r>
      <w:r>
        <w:rPr>
          <w:w w:val="100"/>
          <w:sz w:val="21"/>
        </w:rPr>
        <w:t>t</w:t>
      </w:r>
      <w:r>
        <w:rPr>
          <w:sz w:val="21"/>
        </w:rPr>
        <w:t> </w:t>
      </w:r>
      <w:r>
        <w:rPr>
          <w:spacing w:val="11"/>
          <w:sz w:val="21"/>
        </w:rPr>
        <w:t> </w:t>
      </w:r>
      <w:r>
        <w:rPr>
          <w:spacing w:val="-2"/>
          <w:w w:val="100"/>
          <w:sz w:val="21"/>
        </w:rPr>
        <w:t>t</w:t>
      </w:r>
      <w:r>
        <w:rPr>
          <w:spacing w:val="-1"/>
          <w:w w:val="100"/>
          <w:sz w:val="21"/>
        </w:rPr>
        <w:t>h</w:t>
      </w:r>
      <w:r>
        <w:rPr>
          <w:w w:val="100"/>
          <w:sz w:val="21"/>
        </w:rPr>
        <w:t>e</w:t>
      </w:r>
      <w:r>
        <w:rPr>
          <w:sz w:val="21"/>
        </w:rPr>
        <w:t> </w:t>
      </w:r>
      <w:r>
        <w:rPr>
          <w:spacing w:val="10"/>
          <w:sz w:val="21"/>
        </w:rPr>
        <w:t> </w:t>
      </w:r>
      <w:r>
        <w:rPr>
          <w:spacing w:val="-2"/>
          <w:w w:val="40"/>
          <w:sz w:val="21"/>
        </w:rPr>
        <w:t>‗</w:t>
      </w:r>
      <w:r>
        <w:rPr>
          <w:w w:val="100"/>
          <w:sz w:val="21"/>
        </w:rPr>
        <w:t>count</w:t>
      </w:r>
      <w:r>
        <w:rPr>
          <w:spacing w:val="-2"/>
          <w:w w:val="100"/>
          <w:sz w:val="21"/>
        </w:rPr>
        <w:t>r</w:t>
      </w:r>
      <w:r>
        <w:rPr>
          <w:w w:val="100"/>
          <w:sz w:val="21"/>
        </w:rPr>
        <w:t>y</w:t>
      </w:r>
      <w:r>
        <w:rPr>
          <w:sz w:val="21"/>
        </w:rPr>
        <w:t> </w:t>
      </w:r>
      <w:r>
        <w:rPr>
          <w:spacing w:val="10"/>
          <w:sz w:val="21"/>
        </w:rPr>
        <w:t> </w:t>
      </w:r>
      <w:r>
        <w:rPr>
          <w:spacing w:val="-3"/>
          <w:w w:val="100"/>
          <w:sz w:val="21"/>
        </w:rPr>
        <w:t>o</w:t>
      </w:r>
      <w:r>
        <w:rPr>
          <w:w w:val="100"/>
          <w:sz w:val="21"/>
        </w:rPr>
        <w:t>f </w:t>
      </w:r>
      <w:r>
        <w:rPr>
          <w:sz w:val="21"/>
        </w:rPr>
        <w:t>Sravasti‘ refers to Kosala, the capital of which was at that  time Saketa/Ayodhya, not Sravasti. The possibility remains open that the royal court had already moved from Pataliputra to Saketa/Ayodhya during the reign of Kumaragupta. </w:t>
      </w:r>
      <w:r>
        <w:rPr>
          <w:spacing w:val="3"/>
          <w:sz w:val="21"/>
        </w:rPr>
        <w:t>We </w:t>
      </w:r>
      <w:r>
        <w:rPr>
          <w:sz w:val="21"/>
        </w:rPr>
        <w:t>have seen that the first inscription featuring the name of Ayodhya dated from the reign of this King. In the inscriptions preserved the last Gupta ruler to mention Pataliputra is Kumaragupta‘ father Candragupta</w:t>
      </w:r>
      <w:r>
        <w:rPr>
          <w:spacing w:val="-11"/>
          <w:sz w:val="21"/>
        </w:rPr>
        <w:t> </w:t>
      </w:r>
      <w:r>
        <w:rPr>
          <w:sz w:val="21"/>
        </w:rPr>
        <w:t>II.‖</w:t>
      </w:r>
    </w:p>
    <w:p>
      <w:pPr>
        <w:pStyle w:val="BodyText"/>
        <w:rPr>
          <w:sz w:val="24"/>
        </w:rPr>
      </w:pPr>
    </w:p>
    <w:p>
      <w:pPr>
        <w:pStyle w:val="BodyText"/>
        <w:spacing w:line="480" w:lineRule="auto" w:before="206"/>
        <w:ind w:left="500" w:right="434"/>
        <w:jc w:val="both"/>
      </w:pPr>
      <w:r>
        <w:rPr>
          <w:b/>
        </w:rPr>
        <w:t>Baker </w:t>
      </w:r>
      <w:r>
        <w:rPr/>
        <w:t>notes the prevalence of a local tradition in Ayodhya which ascribes the re- discovery of the town to Vikramaditya. This oral tradition was reported by </w:t>
      </w:r>
      <w:r>
        <w:rPr>
          <w:b/>
        </w:rPr>
        <w:t>Martin </w:t>
      </w:r>
      <w:r>
        <w:rPr/>
        <w:t>in 1838, and after him by </w:t>
      </w:r>
      <w:r>
        <w:rPr>
          <w:b/>
        </w:rPr>
        <w:t>Cunningham </w:t>
      </w:r>
      <w:r>
        <w:rPr/>
        <w:t>and </w:t>
      </w:r>
      <w:r>
        <w:rPr>
          <w:b/>
        </w:rPr>
        <w:t>Carnegy </w:t>
      </w:r>
      <w:r>
        <w:rPr/>
        <w:t>(1870).</w:t>
      </w:r>
    </w:p>
    <w:p>
      <w:pPr>
        <w:pStyle w:val="BodyText"/>
        <w:spacing w:before="5"/>
      </w:pPr>
    </w:p>
    <w:p>
      <w:pPr>
        <w:spacing w:before="0"/>
        <w:ind w:left="500" w:right="0" w:firstLine="0"/>
        <w:jc w:val="both"/>
        <w:rPr>
          <w:i/>
          <w:sz w:val="26"/>
        </w:rPr>
      </w:pPr>
      <w:r>
        <w:rPr>
          <w:i/>
          <w:sz w:val="26"/>
        </w:rPr>
        <w:t>Analysis of accounts of travellers and the gazetteers</w:t>
      </w:r>
    </w:p>
    <w:p>
      <w:pPr>
        <w:pStyle w:val="BodyText"/>
        <w:rPr>
          <w:i/>
          <w:sz w:val="28"/>
        </w:rPr>
      </w:pPr>
    </w:p>
    <w:p>
      <w:pPr>
        <w:pStyle w:val="ListParagraph"/>
        <w:numPr>
          <w:ilvl w:val="0"/>
          <w:numId w:val="166"/>
        </w:numPr>
        <w:tabs>
          <w:tab w:pos="1221" w:val="left" w:leader="none"/>
        </w:tabs>
        <w:spacing w:line="480" w:lineRule="auto" w:before="247" w:after="0"/>
        <w:ind w:left="500" w:right="434" w:firstLine="0"/>
        <w:jc w:val="both"/>
        <w:rPr>
          <w:sz w:val="25"/>
        </w:rPr>
      </w:pPr>
      <w:r>
        <w:rPr>
          <w:b/>
          <w:w w:val="99"/>
          <w:sz w:val="25"/>
        </w:rPr>
        <w:t>Willia</w:t>
      </w:r>
      <w:r>
        <w:rPr>
          <w:b/>
          <w:w w:val="99"/>
          <w:sz w:val="25"/>
        </w:rPr>
        <w:t>m</w:t>
      </w:r>
      <w:r>
        <w:rPr>
          <w:b/>
          <w:spacing w:val="20"/>
          <w:sz w:val="25"/>
        </w:rPr>
        <w:t> </w:t>
      </w:r>
      <w:r>
        <w:rPr>
          <w:b/>
          <w:w w:val="99"/>
          <w:sz w:val="25"/>
        </w:rPr>
        <w:t>Fi</w:t>
      </w:r>
      <w:r>
        <w:rPr>
          <w:b/>
          <w:spacing w:val="1"/>
          <w:w w:val="99"/>
          <w:sz w:val="25"/>
        </w:rPr>
        <w:t>n</w:t>
      </w:r>
      <w:r>
        <w:rPr>
          <w:b/>
          <w:w w:val="99"/>
          <w:sz w:val="25"/>
        </w:rPr>
        <w:t>ch</w:t>
      </w:r>
      <w:r>
        <w:rPr>
          <w:b/>
          <w:spacing w:val="25"/>
          <w:sz w:val="25"/>
        </w:rPr>
        <w:t> </w:t>
      </w:r>
      <w:r>
        <w:rPr>
          <w:w w:val="99"/>
          <w:sz w:val="25"/>
        </w:rPr>
        <w:t>(</w:t>
      </w:r>
      <w:r>
        <w:rPr>
          <w:w w:val="99"/>
          <w:sz w:val="25"/>
        </w:rPr>
        <w:t>160</w:t>
      </w:r>
      <w:r>
        <w:rPr>
          <w:spacing w:val="1"/>
          <w:w w:val="99"/>
          <w:sz w:val="25"/>
        </w:rPr>
        <w:t>8</w:t>
      </w:r>
      <w:r>
        <w:rPr>
          <w:spacing w:val="-2"/>
          <w:w w:val="99"/>
          <w:sz w:val="25"/>
        </w:rPr>
        <w:t>-</w:t>
      </w:r>
      <w:r>
        <w:rPr>
          <w:spacing w:val="-1"/>
          <w:w w:val="99"/>
          <w:sz w:val="25"/>
        </w:rPr>
        <w:t>1</w:t>
      </w:r>
      <w:r>
        <w:rPr>
          <w:w w:val="99"/>
          <w:sz w:val="25"/>
        </w:rPr>
        <w:t>1)</w:t>
      </w:r>
      <w:r>
        <w:rPr>
          <w:spacing w:val="22"/>
          <w:sz w:val="25"/>
        </w:rPr>
        <w:t> </w:t>
      </w:r>
      <w:r>
        <w:rPr>
          <w:w w:val="99"/>
          <w:sz w:val="25"/>
        </w:rPr>
        <w:t>m</w:t>
      </w:r>
      <w:r>
        <w:rPr>
          <w:spacing w:val="-1"/>
          <w:w w:val="99"/>
          <w:sz w:val="25"/>
        </w:rPr>
        <w:t>ak</w:t>
      </w:r>
      <w:r>
        <w:rPr>
          <w:w w:val="99"/>
          <w:sz w:val="25"/>
        </w:rPr>
        <w:t>es</w:t>
      </w:r>
      <w:r>
        <w:rPr>
          <w:spacing w:val="21"/>
          <w:sz w:val="25"/>
        </w:rPr>
        <w:t> </w:t>
      </w:r>
      <w:r>
        <w:rPr>
          <w:w w:val="99"/>
          <w:sz w:val="25"/>
        </w:rPr>
        <w:t>a</w:t>
      </w:r>
      <w:r>
        <w:rPr>
          <w:spacing w:val="21"/>
          <w:sz w:val="25"/>
        </w:rPr>
        <w:t> </w:t>
      </w:r>
      <w:r>
        <w:rPr>
          <w:w w:val="99"/>
          <w:sz w:val="25"/>
        </w:rPr>
        <w:t>r</w:t>
      </w:r>
      <w:r>
        <w:rPr>
          <w:spacing w:val="-1"/>
          <w:w w:val="99"/>
          <w:sz w:val="25"/>
        </w:rPr>
        <w:t>ef</w:t>
      </w:r>
      <w:r>
        <w:rPr>
          <w:w w:val="99"/>
          <w:sz w:val="25"/>
        </w:rPr>
        <w:t>er</w:t>
      </w:r>
      <w:r>
        <w:rPr>
          <w:spacing w:val="-1"/>
          <w:w w:val="99"/>
          <w:sz w:val="25"/>
        </w:rPr>
        <w:t>e</w:t>
      </w:r>
      <w:r>
        <w:rPr>
          <w:w w:val="99"/>
          <w:sz w:val="25"/>
        </w:rPr>
        <w:t>n</w:t>
      </w:r>
      <w:r>
        <w:rPr>
          <w:spacing w:val="-3"/>
          <w:w w:val="99"/>
          <w:sz w:val="25"/>
        </w:rPr>
        <w:t>c</w:t>
      </w:r>
      <w:r>
        <w:rPr>
          <w:w w:val="99"/>
          <w:sz w:val="25"/>
        </w:rPr>
        <w:t>e</w:t>
      </w:r>
      <w:r>
        <w:rPr>
          <w:spacing w:val="21"/>
          <w:sz w:val="25"/>
        </w:rPr>
        <w:t> </w:t>
      </w:r>
      <w:r>
        <w:rPr>
          <w:w w:val="99"/>
          <w:sz w:val="25"/>
        </w:rPr>
        <w:t>to</w:t>
      </w:r>
      <w:r>
        <w:rPr>
          <w:spacing w:val="22"/>
          <w:sz w:val="25"/>
        </w:rPr>
        <w:t> </w:t>
      </w:r>
      <w:r>
        <w:rPr>
          <w:w w:val="99"/>
          <w:sz w:val="25"/>
        </w:rPr>
        <w:t>Oude</w:t>
      </w:r>
      <w:r>
        <w:rPr>
          <w:spacing w:val="21"/>
          <w:sz w:val="25"/>
        </w:rPr>
        <w:t> </w:t>
      </w:r>
      <w:r>
        <w:rPr>
          <w:w w:val="99"/>
          <w:sz w:val="25"/>
        </w:rPr>
        <w:t>(</w:t>
      </w:r>
      <w:r>
        <w:rPr>
          <w:spacing w:val="-1"/>
          <w:w w:val="99"/>
          <w:sz w:val="25"/>
        </w:rPr>
        <w:t>Ajod</w:t>
      </w:r>
      <w:r>
        <w:rPr>
          <w:spacing w:val="3"/>
          <w:w w:val="99"/>
          <w:sz w:val="25"/>
        </w:rPr>
        <w:t>h</w:t>
      </w:r>
      <w:r>
        <w:rPr>
          <w:spacing w:val="-3"/>
          <w:w w:val="99"/>
          <w:sz w:val="25"/>
        </w:rPr>
        <w:t>y</w:t>
      </w:r>
      <w:r>
        <w:rPr>
          <w:spacing w:val="-1"/>
          <w:w w:val="99"/>
          <w:sz w:val="25"/>
        </w:rPr>
        <w:t>a</w:t>
      </w:r>
      <w:r>
        <w:rPr>
          <w:w w:val="99"/>
          <w:sz w:val="25"/>
        </w:rPr>
        <w:t>)</w:t>
      </w:r>
      <w:r>
        <w:rPr>
          <w:spacing w:val="22"/>
          <w:sz w:val="25"/>
        </w:rPr>
        <w:t> </w:t>
      </w:r>
      <w:r>
        <w:rPr>
          <w:spacing w:val="1"/>
          <w:w w:val="40"/>
          <w:sz w:val="25"/>
        </w:rPr>
        <w:t>‗</w:t>
      </w:r>
      <w:r>
        <w:rPr>
          <w:w w:val="99"/>
          <w:sz w:val="25"/>
        </w:rPr>
        <w:t>a</w:t>
      </w:r>
      <w:r>
        <w:rPr>
          <w:spacing w:val="21"/>
          <w:sz w:val="25"/>
        </w:rPr>
        <w:t> </w:t>
      </w:r>
      <w:r>
        <w:rPr>
          <w:w w:val="99"/>
          <w:sz w:val="25"/>
        </w:rPr>
        <w:t>citie</w:t>
      </w:r>
      <w:r>
        <w:rPr>
          <w:spacing w:val="21"/>
          <w:sz w:val="25"/>
        </w:rPr>
        <w:t> </w:t>
      </w:r>
      <w:r>
        <w:rPr>
          <w:spacing w:val="-1"/>
          <w:w w:val="99"/>
          <w:sz w:val="25"/>
        </w:rPr>
        <w:t>of </w:t>
      </w:r>
      <w:r>
        <w:rPr>
          <w:sz w:val="25"/>
        </w:rPr>
        <w:t>ancient note, and seate of a Potan king now much ruined‖. </w:t>
      </w:r>
      <w:r>
        <w:rPr>
          <w:b/>
          <w:sz w:val="25"/>
        </w:rPr>
        <w:t>Finch </w:t>
      </w:r>
      <w:r>
        <w:rPr>
          <w:sz w:val="25"/>
        </w:rPr>
        <w:t>notes of a </w:t>
      </w:r>
      <w:r>
        <w:rPr>
          <w:w w:val="99"/>
          <w:sz w:val="25"/>
        </w:rPr>
        <w:t>castle</w:t>
      </w:r>
      <w:r>
        <w:rPr>
          <w:sz w:val="25"/>
        </w:rPr>
        <w:t> </w:t>
      </w:r>
      <w:r>
        <w:rPr>
          <w:spacing w:val="14"/>
          <w:sz w:val="25"/>
        </w:rPr>
        <w:t> </w:t>
      </w:r>
      <w:r>
        <w:rPr>
          <w:spacing w:val="-1"/>
          <w:w w:val="99"/>
          <w:sz w:val="25"/>
        </w:rPr>
        <w:t>b</w:t>
      </w:r>
      <w:r>
        <w:rPr>
          <w:w w:val="99"/>
          <w:sz w:val="25"/>
        </w:rPr>
        <w:t>u</w:t>
      </w:r>
      <w:r>
        <w:rPr>
          <w:spacing w:val="-1"/>
          <w:w w:val="99"/>
          <w:sz w:val="25"/>
        </w:rPr>
        <w:t>il</w:t>
      </w:r>
      <w:r>
        <w:rPr>
          <w:w w:val="99"/>
          <w:sz w:val="25"/>
        </w:rPr>
        <w:t>t</w:t>
      </w:r>
      <w:r>
        <w:rPr>
          <w:sz w:val="25"/>
        </w:rPr>
        <w:t> </w:t>
      </w:r>
      <w:r>
        <w:rPr>
          <w:spacing w:val="14"/>
          <w:sz w:val="25"/>
        </w:rPr>
        <w:t> </w:t>
      </w:r>
      <w:r>
        <w:rPr>
          <w:spacing w:val="-1"/>
          <w:w w:val="99"/>
          <w:sz w:val="25"/>
        </w:rPr>
        <w:t>4</w:t>
      </w:r>
      <w:r>
        <w:rPr>
          <w:w w:val="99"/>
          <w:sz w:val="25"/>
        </w:rPr>
        <w:t>00</w:t>
      </w:r>
      <w:r>
        <w:rPr>
          <w:sz w:val="25"/>
        </w:rPr>
        <w:t> </w:t>
      </w:r>
      <w:r>
        <w:rPr>
          <w:spacing w:val="17"/>
          <w:sz w:val="25"/>
        </w:rPr>
        <w:t> </w:t>
      </w:r>
      <w:r>
        <w:rPr>
          <w:spacing w:val="-3"/>
          <w:w w:val="99"/>
          <w:sz w:val="25"/>
        </w:rPr>
        <w:t>y</w:t>
      </w:r>
      <w:r>
        <w:rPr>
          <w:spacing w:val="-1"/>
          <w:w w:val="99"/>
          <w:sz w:val="25"/>
        </w:rPr>
        <w:t>e</w:t>
      </w:r>
      <w:r>
        <w:rPr>
          <w:spacing w:val="2"/>
          <w:w w:val="99"/>
          <w:sz w:val="25"/>
        </w:rPr>
        <w:t>a</w:t>
      </w:r>
      <w:r>
        <w:rPr>
          <w:w w:val="99"/>
          <w:sz w:val="25"/>
        </w:rPr>
        <w:t>rs</w:t>
      </w:r>
      <w:r>
        <w:rPr>
          <w:sz w:val="25"/>
        </w:rPr>
        <w:t> </w:t>
      </w:r>
      <w:r>
        <w:rPr>
          <w:spacing w:val="14"/>
          <w:sz w:val="25"/>
        </w:rPr>
        <w:t> </w:t>
      </w:r>
      <w:r>
        <w:rPr>
          <w:spacing w:val="-1"/>
          <w:w w:val="99"/>
          <w:sz w:val="25"/>
        </w:rPr>
        <w:t>e</w:t>
      </w:r>
      <w:r>
        <w:rPr>
          <w:w w:val="99"/>
          <w:sz w:val="25"/>
        </w:rPr>
        <w:t>ar</w:t>
      </w:r>
      <w:r>
        <w:rPr>
          <w:spacing w:val="-1"/>
          <w:w w:val="99"/>
          <w:sz w:val="25"/>
        </w:rPr>
        <w:t>lie</w:t>
      </w:r>
      <w:r>
        <w:rPr>
          <w:w w:val="99"/>
          <w:sz w:val="25"/>
        </w:rPr>
        <w:t>r</w:t>
      </w:r>
      <w:r>
        <w:rPr>
          <w:sz w:val="25"/>
        </w:rPr>
        <w:t> </w:t>
      </w:r>
      <w:r>
        <w:rPr>
          <w:spacing w:val="15"/>
          <w:sz w:val="25"/>
        </w:rPr>
        <w:t> </w:t>
      </w:r>
      <w:r>
        <w:rPr>
          <w:spacing w:val="-1"/>
          <w:w w:val="99"/>
          <w:sz w:val="25"/>
        </w:rPr>
        <w:t>a</w:t>
      </w:r>
      <w:r>
        <w:rPr>
          <w:w w:val="99"/>
          <w:sz w:val="25"/>
        </w:rPr>
        <w:t>nd</w:t>
      </w:r>
      <w:r>
        <w:rPr>
          <w:sz w:val="25"/>
        </w:rPr>
        <w:t> </w:t>
      </w:r>
      <w:r>
        <w:rPr>
          <w:spacing w:val="14"/>
          <w:sz w:val="25"/>
        </w:rPr>
        <w:t> </w:t>
      </w:r>
      <w:r>
        <w:rPr>
          <w:w w:val="99"/>
          <w:sz w:val="25"/>
        </w:rPr>
        <w:t>the</w:t>
      </w:r>
      <w:r>
        <w:rPr>
          <w:sz w:val="25"/>
        </w:rPr>
        <w:t> </w:t>
      </w:r>
      <w:r>
        <w:rPr>
          <w:spacing w:val="15"/>
          <w:sz w:val="25"/>
        </w:rPr>
        <w:t> </w:t>
      </w:r>
      <w:r>
        <w:rPr>
          <w:w w:val="99"/>
          <w:sz w:val="25"/>
        </w:rPr>
        <w:t>r</w:t>
      </w:r>
      <w:r>
        <w:rPr>
          <w:spacing w:val="-1"/>
          <w:w w:val="99"/>
          <w:sz w:val="25"/>
        </w:rPr>
        <w:t>uin</w:t>
      </w:r>
      <w:r>
        <w:rPr>
          <w:w w:val="99"/>
          <w:sz w:val="25"/>
        </w:rPr>
        <w:t>s</w:t>
      </w:r>
      <w:r>
        <w:rPr>
          <w:sz w:val="25"/>
        </w:rPr>
        <w:t> </w:t>
      </w:r>
      <w:r>
        <w:rPr>
          <w:spacing w:val="15"/>
          <w:sz w:val="25"/>
        </w:rPr>
        <w:t> </w:t>
      </w:r>
      <w:r>
        <w:rPr>
          <w:spacing w:val="-1"/>
          <w:w w:val="99"/>
          <w:sz w:val="25"/>
        </w:rPr>
        <w:t>o</w:t>
      </w:r>
      <w:r>
        <w:rPr>
          <w:w w:val="99"/>
          <w:sz w:val="25"/>
        </w:rPr>
        <w:t>f</w:t>
      </w:r>
      <w:r>
        <w:rPr>
          <w:sz w:val="25"/>
        </w:rPr>
        <w:t> </w:t>
      </w:r>
      <w:r>
        <w:rPr>
          <w:spacing w:val="15"/>
          <w:sz w:val="25"/>
        </w:rPr>
        <w:t> </w:t>
      </w:r>
      <w:r>
        <w:rPr>
          <w:w w:val="33"/>
          <w:sz w:val="25"/>
        </w:rPr>
        <w:t>―</w:t>
      </w:r>
      <w:r>
        <w:rPr>
          <w:spacing w:val="-1"/>
          <w:w w:val="99"/>
          <w:sz w:val="25"/>
        </w:rPr>
        <w:t>Ra</w:t>
      </w:r>
      <w:r>
        <w:rPr>
          <w:w w:val="99"/>
          <w:sz w:val="25"/>
        </w:rPr>
        <w:t>m</w:t>
      </w:r>
      <w:r>
        <w:rPr>
          <w:sz w:val="25"/>
        </w:rPr>
        <w:t> </w:t>
      </w:r>
      <w:r>
        <w:rPr>
          <w:spacing w:val="15"/>
          <w:sz w:val="25"/>
        </w:rPr>
        <w:t> </w:t>
      </w:r>
      <w:r>
        <w:rPr>
          <w:spacing w:val="-1"/>
          <w:w w:val="99"/>
          <w:sz w:val="25"/>
        </w:rPr>
        <w:t>Cha</w:t>
      </w:r>
      <w:r>
        <w:rPr>
          <w:spacing w:val="3"/>
          <w:w w:val="99"/>
          <w:sz w:val="25"/>
        </w:rPr>
        <w:t>n</w:t>
      </w:r>
      <w:r>
        <w:rPr>
          <w:spacing w:val="-1"/>
          <w:w w:val="99"/>
          <w:sz w:val="25"/>
        </w:rPr>
        <w:t>d</w:t>
      </w:r>
      <w:r>
        <w:rPr>
          <w:w w:val="99"/>
          <w:sz w:val="25"/>
        </w:rPr>
        <w:t>r</w:t>
      </w:r>
      <w:r>
        <w:rPr>
          <w:spacing w:val="-1"/>
          <w:w w:val="99"/>
          <w:sz w:val="25"/>
        </w:rPr>
        <w:t>a‘</w:t>
      </w:r>
      <w:r>
        <w:rPr>
          <w:w w:val="99"/>
          <w:sz w:val="25"/>
        </w:rPr>
        <w:t>s</w:t>
      </w:r>
      <w:r>
        <w:rPr>
          <w:sz w:val="25"/>
        </w:rPr>
        <w:t> </w:t>
      </w:r>
      <w:r>
        <w:rPr>
          <w:spacing w:val="14"/>
          <w:sz w:val="25"/>
        </w:rPr>
        <w:t> </w:t>
      </w:r>
      <w:r>
        <w:rPr>
          <w:w w:val="99"/>
          <w:sz w:val="25"/>
        </w:rPr>
        <w:t>castle</w:t>
      </w:r>
      <w:r>
        <w:rPr>
          <w:sz w:val="25"/>
        </w:rPr>
        <w:t> </w:t>
      </w:r>
      <w:r>
        <w:rPr>
          <w:spacing w:val="14"/>
          <w:sz w:val="25"/>
        </w:rPr>
        <w:t> </w:t>
      </w:r>
      <w:r>
        <w:rPr>
          <w:spacing w:val="-1"/>
          <w:w w:val="99"/>
          <w:sz w:val="25"/>
        </w:rPr>
        <w:t>a</w:t>
      </w:r>
      <w:r>
        <w:rPr>
          <w:w w:val="99"/>
          <w:sz w:val="25"/>
        </w:rPr>
        <w:t>nd </w:t>
      </w:r>
      <w:r>
        <w:rPr>
          <w:sz w:val="25"/>
        </w:rPr>
        <w:t>houses‖</w:t>
      </w:r>
      <w:r>
        <w:rPr>
          <w:sz w:val="25"/>
          <w:vertAlign w:val="superscript"/>
        </w:rPr>
        <w:t>308</w:t>
      </w:r>
      <w:r>
        <w:rPr>
          <w:sz w:val="25"/>
          <w:vertAlign w:val="baseline"/>
        </w:rPr>
        <w:t>. </w:t>
      </w:r>
      <w:r>
        <w:rPr>
          <w:b/>
          <w:sz w:val="25"/>
          <w:vertAlign w:val="baseline"/>
        </w:rPr>
        <w:t>Finch </w:t>
      </w:r>
      <w:r>
        <w:rPr>
          <w:sz w:val="25"/>
          <w:vertAlign w:val="baseline"/>
        </w:rPr>
        <w:t>acknowledges the religious beliefs associated with Lord Ram stating the purpose of his incarnation. </w:t>
      </w:r>
      <w:r>
        <w:rPr>
          <w:b/>
          <w:sz w:val="25"/>
          <w:vertAlign w:val="baseline"/>
        </w:rPr>
        <w:t>Tieffenthaler </w:t>
      </w:r>
      <w:r>
        <w:rPr>
          <w:sz w:val="25"/>
          <w:vertAlign w:val="baseline"/>
        </w:rPr>
        <w:t>(1770) refers to the </w:t>
      </w:r>
      <w:r>
        <w:rPr>
          <w:spacing w:val="-1"/>
          <w:w w:val="99"/>
          <w:sz w:val="25"/>
          <w:vertAlign w:val="baseline"/>
        </w:rPr>
        <w:t>ass</w:t>
      </w:r>
      <w:r>
        <w:rPr>
          <w:w w:val="99"/>
          <w:sz w:val="25"/>
          <w:vertAlign w:val="baseline"/>
        </w:rPr>
        <w:t>ociation</w:t>
      </w:r>
      <w:r>
        <w:rPr>
          <w:spacing w:val="24"/>
          <w:sz w:val="25"/>
          <w:vertAlign w:val="baseline"/>
        </w:rPr>
        <w:t> </w:t>
      </w:r>
      <w:r>
        <w:rPr>
          <w:spacing w:val="-1"/>
          <w:w w:val="99"/>
          <w:sz w:val="25"/>
          <w:vertAlign w:val="baseline"/>
        </w:rPr>
        <w:t>o</w:t>
      </w:r>
      <w:r>
        <w:rPr>
          <w:w w:val="99"/>
          <w:sz w:val="25"/>
          <w:vertAlign w:val="baseline"/>
        </w:rPr>
        <w:t>f</w:t>
      </w:r>
      <w:r>
        <w:rPr>
          <w:spacing w:val="24"/>
          <w:sz w:val="25"/>
          <w:vertAlign w:val="baseline"/>
        </w:rPr>
        <w:t> </w:t>
      </w:r>
      <w:r>
        <w:rPr>
          <w:spacing w:val="-1"/>
          <w:w w:val="99"/>
          <w:sz w:val="25"/>
          <w:vertAlign w:val="baseline"/>
        </w:rPr>
        <w:t>L</w:t>
      </w:r>
      <w:r>
        <w:rPr>
          <w:w w:val="99"/>
          <w:sz w:val="25"/>
          <w:vertAlign w:val="baseline"/>
        </w:rPr>
        <w:t>ord</w:t>
      </w:r>
      <w:r>
        <w:rPr>
          <w:spacing w:val="24"/>
          <w:sz w:val="25"/>
          <w:vertAlign w:val="baseline"/>
        </w:rPr>
        <w:t> </w:t>
      </w:r>
      <w:r>
        <w:rPr>
          <w:spacing w:val="-1"/>
          <w:w w:val="99"/>
          <w:sz w:val="25"/>
          <w:vertAlign w:val="baseline"/>
        </w:rPr>
        <w:t>Ra</w:t>
      </w:r>
      <w:r>
        <w:rPr>
          <w:w w:val="99"/>
          <w:sz w:val="25"/>
          <w:vertAlign w:val="baseline"/>
        </w:rPr>
        <w:t>m</w:t>
      </w:r>
      <w:r>
        <w:rPr>
          <w:spacing w:val="24"/>
          <w:sz w:val="25"/>
          <w:vertAlign w:val="baseline"/>
        </w:rPr>
        <w:t> </w:t>
      </w:r>
      <w:r>
        <w:rPr>
          <w:spacing w:val="-1"/>
          <w:w w:val="99"/>
          <w:sz w:val="25"/>
          <w:vertAlign w:val="baseline"/>
        </w:rPr>
        <w:t>wit</w:t>
      </w:r>
      <w:r>
        <w:rPr>
          <w:w w:val="99"/>
          <w:sz w:val="25"/>
          <w:vertAlign w:val="baseline"/>
        </w:rPr>
        <w:t>h</w:t>
      </w:r>
      <w:r>
        <w:rPr>
          <w:spacing w:val="24"/>
          <w:sz w:val="25"/>
          <w:vertAlign w:val="baseline"/>
        </w:rPr>
        <w:t> </w:t>
      </w:r>
      <w:r>
        <w:rPr>
          <w:spacing w:val="1"/>
          <w:w w:val="99"/>
          <w:sz w:val="25"/>
          <w:vertAlign w:val="baseline"/>
        </w:rPr>
        <w:t>A</w:t>
      </w:r>
      <w:r>
        <w:rPr>
          <w:spacing w:val="-3"/>
          <w:w w:val="99"/>
          <w:sz w:val="25"/>
          <w:vertAlign w:val="baseline"/>
        </w:rPr>
        <w:t>y</w:t>
      </w:r>
      <w:r>
        <w:rPr>
          <w:spacing w:val="-1"/>
          <w:w w:val="99"/>
          <w:sz w:val="25"/>
          <w:vertAlign w:val="baseline"/>
        </w:rPr>
        <w:t>o</w:t>
      </w:r>
      <w:r>
        <w:rPr>
          <w:w w:val="99"/>
          <w:sz w:val="25"/>
          <w:vertAlign w:val="baseline"/>
        </w:rPr>
        <w:t>d</w:t>
      </w:r>
      <w:r>
        <w:rPr>
          <w:spacing w:val="2"/>
          <w:w w:val="99"/>
          <w:sz w:val="25"/>
          <w:vertAlign w:val="baseline"/>
        </w:rPr>
        <w:t>h</w:t>
      </w:r>
      <w:r>
        <w:rPr>
          <w:spacing w:val="-3"/>
          <w:w w:val="99"/>
          <w:sz w:val="25"/>
          <w:vertAlign w:val="baseline"/>
        </w:rPr>
        <w:t>y</w:t>
      </w:r>
      <w:r>
        <w:rPr>
          <w:spacing w:val="-1"/>
          <w:w w:val="99"/>
          <w:sz w:val="25"/>
          <w:vertAlign w:val="baseline"/>
        </w:rPr>
        <w:t>a</w:t>
      </w:r>
      <w:r>
        <w:rPr>
          <w:w w:val="99"/>
          <w:sz w:val="25"/>
          <w:vertAlign w:val="baseline"/>
        </w:rPr>
        <w:t>,</w:t>
      </w:r>
      <w:r>
        <w:rPr>
          <w:spacing w:val="24"/>
          <w:sz w:val="25"/>
          <w:vertAlign w:val="baseline"/>
        </w:rPr>
        <w:t> </w:t>
      </w:r>
      <w:r>
        <w:rPr>
          <w:spacing w:val="-1"/>
          <w:w w:val="99"/>
          <w:sz w:val="25"/>
          <w:vertAlign w:val="baseline"/>
        </w:rPr>
        <w:t>a</w:t>
      </w:r>
      <w:r>
        <w:rPr>
          <w:w w:val="99"/>
          <w:sz w:val="25"/>
          <w:vertAlign w:val="baseline"/>
        </w:rPr>
        <w:t>nd</w:t>
      </w:r>
      <w:r>
        <w:rPr>
          <w:spacing w:val="24"/>
          <w:sz w:val="25"/>
          <w:vertAlign w:val="baseline"/>
        </w:rPr>
        <w:t> </w:t>
      </w:r>
      <w:r>
        <w:rPr>
          <w:w w:val="99"/>
          <w:sz w:val="25"/>
          <w:vertAlign w:val="baseline"/>
        </w:rPr>
        <w:t>there</w:t>
      </w:r>
      <w:r>
        <w:rPr>
          <w:spacing w:val="24"/>
          <w:sz w:val="25"/>
          <w:vertAlign w:val="baseline"/>
        </w:rPr>
        <w:t> </w:t>
      </w:r>
      <w:r>
        <w:rPr>
          <w:spacing w:val="-1"/>
          <w:w w:val="99"/>
          <w:sz w:val="25"/>
          <w:vertAlign w:val="baseline"/>
        </w:rPr>
        <w:t>i</w:t>
      </w:r>
      <w:r>
        <w:rPr>
          <w:w w:val="99"/>
          <w:sz w:val="25"/>
          <w:vertAlign w:val="baseline"/>
        </w:rPr>
        <w:t>s</w:t>
      </w:r>
      <w:r>
        <w:rPr>
          <w:spacing w:val="23"/>
          <w:sz w:val="25"/>
          <w:vertAlign w:val="baseline"/>
        </w:rPr>
        <w:t> </w:t>
      </w:r>
      <w:r>
        <w:rPr>
          <w:w w:val="99"/>
          <w:sz w:val="25"/>
          <w:vertAlign w:val="baseline"/>
        </w:rPr>
        <w:t>a</w:t>
      </w:r>
      <w:r>
        <w:rPr>
          <w:spacing w:val="24"/>
          <w:sz w:val="25"/>
          <w:vertAlign w:val="baseline"/>
        </w:rPr>
        <w:t> </w:t>
      </w:r>
      <w:r>
        <w:rPr>
          <w:w w:val="99"/>
          <w:sz w:val="25"/>
          <w:vertAlign w:val="baseline"/>
        </w:rPr>
        <w:t>r</w:t>
      </w:r>
      <w:r>
        <w:rPr>
          <w:spacing w:val="-1"/>
          <w:w w:val="99"/>
          <w:sz w:val="25"/>
          <w:vertAlign w:val="baseline"/>
        </w:rPr>
        <w:t>ef</w:t>
      </w:r>
      <w:r>
        <w:rPr>
          <w:w w:val="99"/>
          <w:sz w:val="25"/>
          <w:vertAlign w:val="baseline"/>
        </w:rPr>
        <w:t>er</w:t>
      </w:r>
      <w:r>
        <w:rPr>
          <w:spacing w:val="-1"/>
          <w:w w:val="99"/>
          <w:sz w:val="25"/>
          <w:vertAlign w:val="baseline"/>
        </w:rPr>
        <w:t>e</w:t>
      </w:r>
      <w:r>
        <w:rPr>
          <w:w w:val="99"/>
          <w:sz w:val="25"/>
          <w:vertAlign w:val="baseline"/>
        </w:rPr>
        <w:t>n</w:t>
      </w:r>
      <w:r>
        <w:rPr>
          <w:spacing w:val="-3"/>
          <w:w w:val="99"/>
          <w:sz w:val="25"/>
          <w:vertAlign w:val="baseline"/>
        </w:rPr>
        <w:t>c</w:t>
      </w:r>
      <w:r>
        <w:rPr>
          <w:w w:val="99"/>
          <w:sz w:val="25"/>
          <w:vertAlign w:val="baseline"/>
        </w:rPr>
        <w:t>e</w:t>
      </w:r>
      <w:r>
        <w:rPr>
          <w:spacing w:val="24"/>
          <w:sz w:val="25"/>
          <w:vertAlign w:val="baseline"/>
        </w:rPr>
        <w:t> </w:t>
      </w:r>
      <w:r>
        <w:rPr>
          <w:w w:val="99"/>
          <w:sz w:val="25"/>
          <w:vertAlign w:val="baseline"/>
        </w:rPr>
        <w:t>to</w:t>
      </w:r>
      <w:r>
        <w:rPr>
          <w:spacing w:val="24"/>
          <w:sz w:val="25"/>
          <w:vertAlign w:val="baseline"/>
        </w:rPr>
        <w:t> </w:t>
      </w:r>
      <w:r>
        <w:rPr>
          <w:w w:val="33"/>
          <w:sz w:val="25"/>
          <w:vertAlign w:val="baseline"/>
        </w:rPr>
        <w:t>―</w:t>
      </w:r>
      <w:r>
        <w:rPr>
          <w:w w:val="99"/>
          <w:sz w:val="25"/>
          <w:vertAlign w:val="baseline"/>
        </w:rPr>
        <w:t>a</w:t>
      </w:r>
      <w:r>
        <w:rPr>
          <w:spacing w:val="24"/>
          <w:sz w:val="25"/>
          <w:vertAlign w:val="baseline"/>
        </w:rPr>
        <w:t> </w:t>
      </w:r>
      <w:r>
        <w:rPr>
          <w:w w:val="99"/>
          <w:sz w:val="25"/>
          <w:vertAlign w:val="baseline"/>
        </w:rPr>
        <w:t>te</w:t>
      </w:r>
      <w:r>
        <w:rPr>
          <w:spacing w:val="1"/>
          <w:w w:val="99"/>
          <w:sz w:val="25"/>
          <w:vertAlign w:val="baseline"/>
        </w:rPr>
        <w:t>m</w:t>
      </w:r>
      <w:r>
        <w:rPr>
          <w:spacing w:val="-1"/>
          <w:w w:val="99"/>
          <w:sz w:val="25"/>
          <w:vertAlign w:val="baseline"/>
        </w:rPr>
        <w:t>pl</w:t>
      </w:r>
      <w:r>
        <w:rPr>
          <w:w w:val="99"/>
          <w:sz w:val="25"/>
          <w:vertAlign w:val="baseline"/>
        </w:rPr>
        <w:t>e</w:t>
      </w:r>
      <w:r>
        <w:rPr>
          <w:spacing w:val="24"/>
          <w:sz w:val="25"/>
          <w:vertAlign w:val="baseline"/>
        </w:rPr>
        <w:t> </w:t>
      </w:r>
      <w:r>
        <w:rPr>
          <w:spacing w:val="-1"/>
          <w:w w:val="99"/>
          <w:sz w:val="25"/>
          <w:vertAlign w:val="baseline"/>
        </w:rPr>
        <w:t>in </w:t>
      </w:r>
      <w:r>
        <w:rPr>
          <w:sz w:val="25"/>
          <w:vertAlign w:val="baseline"/>
        </w:rPr>
        <w:t>this place constructed on the elevated bank of the river‖. </w:t>
      </w:r>
      <w:r>
        <w:rPr>
          <w:b/>
          <w:sz w:val="25"/>
          <w:vertAlign w:val="baseline"/>
        </w:rPr>
        <w:t>Tieffenthaler </w:t>
      </w:r>
      <w:r>
        <w:rPr>
          <w:sz w:val="25"/>
          <w:vertAlign w:val="baseline"/>
        </w:rPr>
        <w:t>states that the temple was demolished by Aurangzeb and was replaced with a mosque. </w:t>
      </w:r>
      <w:r>
        <w:rPr>
          <w:b/>
          <w:sz w:val="25"/>
          <w:vertAlign w:val="baseline"/>
        </w:rPr>
        <w:t>Tieffenthaler</w:t>
      </w:r>
      <w:r>
        <w:rPr>
          <w:b/>
          <w:spacing w:val="25"/>
          <w:sz w:val="25"/>
          <w:vertAlign w:val="baseline"/>
        </w:rPr>
        <w:t> </w:t>
      </w:r>
      <w:r>
        <w:rPr>
          <w:sz w:val="25"/>
          <w:vertAlign w:val="baseline"/>
        </w:rPr>
        <w:t>has</w:t>
      </w:r>
      <w:r>
        <w:rPr>
          <w:spacing w:val="27"/>
          <w:sz w:val="25"/>
          <w:vertAlign w:val="baseline"/>
        </w:rPr>
        <w:t> </w:t>
      </w:r>
      <w:r>
        <w:rPr>
          <w:sz w:val="25"/>
          <w:vertAlign w:val="baseline"/>
        </w:rPr>
        <w:t>made</w:t>
      </w:r>
      <w:r>
        <w:rPr>
          <w:spacing w:val="28"/>
          <w:sz w:val="25"/>
          <w:vertAlign w:val="baseline"/>
        </w:rPr>
        <w:t> </w:t>
      </w:r>
      <w:r>
        <w:rPr>
          <w:sz w:val="25"/>
          <w:vertAlign w:val="baseline"/>
        </w:rPr>
        <w:t>a</w:t>
      </w:r>
      <w:r>
        <w:rPr>
          <w:spacing w:val="28"/>
          <w:sz w:val="25"/>
          <w:vertAlign w:val="baseline"/>
        </w:rPr>
        <w:t> </w:t>
      </w:r>
      <w:r>
        <w:rPr>
          <w:sz w:val="25"/>
          <w:vertAlign w:val="baseline"/>
        </w:rPr>
        <w:t>specific</w:t>
      </w:r>
      <w:r>
        <w:rPr>
          <w:spacing w:val="27"/>
          <w:sz w:val="25"/>
          <w:vertAlign w:val="baseline"/>
        </w:rPr>
        <w:t> </w:t>
      </w:r>
      <w:r>
        <w:rPr>
          <w:sz w:val="25"/>
          <w:vertAlign w:val="baseline"/>
        </w:rPr>
        <w:t>reference</w:t>
      </w:r>
      <w:r>
        <w:rPr>
          <w:spacing w:val="28"/>
          <w:sz w:val="25"/>
          <w:vertAlign w:val="baseline"/>
        </w:rPr>
        <w:t> </w:t>
      </w:r>
      <w:r>
        <w:rPr>
          <w:sz w:val="25"/>
          <w:vertAlign w:val="baseline"/>
        </w:rPr>
        <w:t>to</w:t>
      </w:r>
      <w:r>
        <w:rPr>
          <w:spacing w:val="28"/>
          <w:sz w:val="25"/>
          <w:vertAlign w:val="baseline"/>
        </w:rPr>
        <w:t> </w:t>
      </w:r>
      <w:r>
        <w:rPr>
          <w:sz w:val="25"/>
          <w:vertAlign w:val="baseline"/>
        </w:rPr>
        <w:t>the</w:t>
      </w:r>
      <w:r>
        <w:rPr>
          <w:spacing w:val="27"/>
          <w:sz w:val="25"/>
          <w:vertAlign w:val="baseline"/>
        </w:rPr>
        <w:t> </w:t>
      </w:r>
      <w:r>
        <w:rPr>
          <w:sz w:val="25"/>
          <w:vertAlign w:val="baseline"/>
        </w:rPr>
        <w:t>demolition</w:t>
      </w:r>
      <w:r>
        <w:rPr>
          <w:spacing w:val="30"/>
          <w:sz w:val="25"/>
          <w:vertAlign w:val="baseline"/>
        </w:rPr>
        <w:t> </w:t>
      </w:r>
      <w:r>
        <w:rPr>
          <w:sz w:val="25"/>
          <w:vertAlign w:val="baseline"/>
        </w:rPr>
        <w:t>by</w:t>
      </w:r>
      <w:r>
        <w:rPr>
          <w:spacing w:val="28"/>
          <w:sz w:val="25"/>
          <w:vertAlign w:val="baseline"/>
        </w:rPr>
        <w:t> </w:t>
      </w:r>
      <w:r>
        <w:rPr>
          <w:sz w:val="25"/>
          <w:vertAlign w:val="baseline"/>
        </w:rPr>
        <w:t>Aurangzeb</w:t>
      </w:r>
      <w:r>
        <w:rPr>
          <w:spacing w:val="28"/>
          <w:sz w:val="25"/>
          <w:vertAlign w:val="baseline"/>
        </w:rPr>
        <w:t> </w:t>
      </w:r>
      <w:r>
        <w:rPr>
          <w:sz w:val="25"/>
          <w:vertAlign w:val="baseline"/>
        </w:rPr>
        <w:t>of</w:t>
      </w:r>
    </w:p>
    <w:p>
      <w:pPr>
        <w:pStyle w:val="BodyText"/>
        <w:rPr>
          <w:sz w:val="20"/>
        </w:rPr>
      </w:pPr>
    </w:p>
    <w:p>
      <w:pPr>
        <w:pStyle w:val="BodyText"/>
        <w:spacing w:before="10"/>
        <w:rPr>
          <w:sz w:val="11"/>
        </w:rPr>
      </w:pPr>
      <w:r>
        <w:rPr/>
        <w:pict>
          <v:rect style="position:absolute;margin-left:72.024002pt;margin-top:8.822993pt;width:144.020pt;height:.599980pt;mso-position-horizontal-relative:page;mso-position-vertical-relative:paragraph;z-index:-15639552;mso-wrap-distance-left:0;mso-wrap-distance-right:0" filled="true" fillcolor="#000000" stroked="false">
            <v:fill type="solid"/>
            <w10:wrap type="topAndBottom"/>
          </v:rect>
        </w:pict>
      </w:r>
    </w:p>
    <w:p>
      <w:pPr>
        <w:spacing w:before="78"/>
        <w:ind w:left="500" w:right="512" w:firstLine="0"/>
        <w:jc w:val="left"/>
        <w:rPr>
          <w:sz w:val="18"/>
        </w:rPr>
      </w:pPr>
      <w:r>
        <w:rPr>
          <w:sz w:val="18"/>
          <w:vertAlign w:val="superscript"/>
        </w:rPr>
        <w:t>308</w:t>
      </w:r>
      <w:r>
        <w:rPr>
          <w:sz w:val="18"/>
          <w:vertAlign w:val="baseline"/>
        </w:rPr>
        <w:t> Ram Chandra, the hero of the Ramayana. The reference is to the mound known as the Ramkot or fort of Rama.</w:t>
      </w:r>
    </w:p>
    <w:p>
      <w:pPr>
        <w:spacing w:after="0"/>
        <w:jc w:val="left"/>
        <w:rPr>
          <w:sz w:val="18"/>
        </w:rPr>
        <w:sectPr>
          <w:pgSz w:w="11910" w:h="16840"/>
          <w:pgMar w:header="721" w:footer="1014" w:top="1300" w:bottom="1200" w:left="940" w:right="1000"/>
        </w:sectPr>
      </w:pPr>
    </w:p>
    <w:p>
      <w:pPr>
        <w:pStyle w:val="BodyText"/>
        <w:spacing w:line="480" w:lineRule="auto" w:before="124"/>
        <w:ind w:left="500" w:right="434"/>
        <w:jc w:val="both"/>
      </w:pPr>
      <w:r>
        <w:rPr>
          <w:w w:val="99"/>
        </w:rPr>
        <w:t>the</w:t>
      </w:r>
      <w:r>
        <w:rPr/>
        <w:t> </w:t>
      </w:r>
      <w:r>
        <w:rPr>
          <w:spacing w:val="-21"/>
        </w:rPr>
        <w:t> </w:t>
      </w:r>
      <w:r>
        <w:rPr>
          <w:w w:val="99"/>
        </w:rPr>
        <w:t>fo</w:t>
      </w:r>
      <w:r>
        <w:rPr>
          <w:spacing w:val="1"/>
          <w:w w:val="99"/>
        </w:rPr>
        <w:t>r</w:t>
      </w:r>
      <w:r>
        <w:rPr>
          <w:w w:val="99"/>
        </w:rPr>
        <w:t>tr</w:t>
      </w:r>
      <w:r>
        <w:rPr>
          <w:w w:val="99"/>
        </w:rPr>
        <w:t>ess</w:t>
      </w:r>
      <w:r>
        <w:rPr/>
        <w:t> </w:t>
      </w:r>
      <w:r>
        <w:rPr>
          <w:spacing w:val="-22"/>
        </w:rPr>
        <w:t> </w:t>
      </w:r>
      <w:r>
        <w:rPr>
          <w:w w:val="99"/>
        </w:rPr>
        <w:t>called</w:t>
      </w:r>
      <w:r>
        <w:rPr/>
        <w:t> </w:t>
      </w:r>
      <w:r>
        <w:rPr>
          <w:spacing w:val="-22"/>
        </w:rPr>
        <w:t> </w:t>
      </w:r>
      <w:r>
        <w:rPr>
          <w:w w:val="99"/>
        </w:rPr>
        <w:t>Ram</w:t>
      </w:r>
      <w:r>
        <w:rPr/>
        <w:t> </w:t>
      </w:r>
      <w:r>
        <w:rPr>
          <w:spacing w:val="-21"/>
        </w:rPr>
        <w:t> </w:t>
      </w:r>
      <w:r>
        <w:rPr>
          <w:w w:val="99"/>
        </w:rPr>
        <w:t>Cot</w:t>
      </w:r>
      <w:r>
        <w:rPr/>
        <w:t> </w:t>
      </w:r>
      <w:r>
        <w:rPr>
          <w:spacing w:val="-19"/>
        </w:rPr>
        <w:t> </w:t>
      </w:r>
      <w:r>
        <w:rPr>
          <w:spacing w:val="-1"/>
          <w:w w:val="99"/>
        </w:rPr>
        <w:t>a</w:t>
      </w:r>
      <w:r>
        <w:rPr>
          <w:w w:val="99"/>
        </w:rPr>
        <w:t>nd</w:t>
      </w:r>
      <w:r>
        <w:rPr/>
        <w:t> </w:t>
      </w:r>
      <w:r>
        <w:rPr>
          <w:spacing w:val="-22"/>
        </w:rPr>
        <w:t> </w:t>
      </w:r>
      <w:r>
        <w:rPr>
          <w:w w:val="99"/>
        </w:rPr>
        <w:t>to</w:t>
      </w:r>
      <w:r>
        <w:rPr/>
        <w:t> </w:t>
      </w:r>
      <w:r>
        <w:rPr>
          <w:spacing w:val="-21"/>
        </w:rPr>
        <w:t> </w:t>
      </w:r>
      <w:r>
        <w:rPr>
          <w:w w:val="99"/>
        </w:rPr>
        <w:t>the</w:t>
      </w:r>
      <w:r>
        <w:rPr/>
        <w:t> </w:t>
      </w:r>
      <w:r>
        <w:rPr>
          <w:spacing w:val="-21"/>
        </w:rPr>
        <w:t> </w:t>
      </w:r>
      <w:r>
        <w:rPr>
          <w:spacing w:val="2"/>
          <w:w w:val="99"/>
        </w:rPr>
        <w:t>c</w:t>
      </w:r>
      <w:r>
        <w:rPr>
          <w:spacing w:val="-1"/>
          <w:w w:val="99"/>
        </w:rPr>
        <w:t>o</w:t>
      </w:r>
      <w:r>
        <w:rPr>
          <w:w w:val="99"/>
        </w:rPr>
        <w:t>nstr</w:t>
      </w:r>
      <w:r>
        <w:rPr>
          <w:spacing w:val="-1"/>
          <w:w w:val="99"/>
        </w:rPr>
        <w:t>ucti</w:t>
      </w:r>
      <w:r>
        <w:rPr>
          <w:w w:val="99"/>
        </w:rPr>
        <w:t>on</w:t>
      </w:r>
      <w:r>
        <w:rPr/>
        <w:t> </w:t>
      </w:r>
      <w:r>
        <w:rPr>
          <w:spacing w:val="-22"/>
        </w:rPr>
        <w:t> </w:t>
      </w:r>
      <w:r>
        <w:rPr>
          <w:spacing w:val="-1"/>
          <w:w w:val="99"/>
        </w:rPr>
        <w:t>o</w:t>
      </w:r>
      <w:r>
        <w:rPr>
          <w:w w:val="99"/>
        </w:rPr>
        <w:t>f</w:t>
      </w:r>
      <w:r>
        <w:rPr/>
        <w:t> </w:t>
      </w:r>
      <w:r>
        <w:rPr>
          <w:spacing w:val="-21"/>
        </w:rPr>
        <w:t> </w:t>
      </w:r>
      <w:r>
        <w:rPr>
          <w:w w:val="33"/>
        </w:rPr>
        <w:t>―</w:t>
      </w:r>
      <w:r>
        <w:rPr>
          <w:w w:val="99"/>
        </w:rPr>
        <w:t>a</w:t>
      </w:r>
      <w:r>
        <w:rPr/>
        <w:t> </w:t>
      </w:r>
      <w:r>
        <w:rPr>
          <w:spacing w:val="-19"/>
        </w:rPr>
        <w:t> </w:t>
      </w:r>
      <w:r>
        <w:rPr>
          <w:spacing w:val="-4"/>
          <w:w w:val="99"/>
        </w:rPr>
        <w:t>M</w:t>
      </w:r>
      <w:r>
        <w:rPr>
          <w:spacing w:val="2"/>
          <w:w w:val="99"/>
        </w:rPr>
        <w:t>u</w:t>
      </w:r>
      <w:r>
        <w:rPr>
          <w:w w:val="99"/>
        </w:rPr>
        <w:t>slim</w:t>
      </w:r>
      <w:r>
        <w:rPr/>
        <w:t> </w:t>
      </w:r>
      <w:r>
        <w:rPr>
          <w:spacing w:val="-22"/>
        </w:rPr>
        <w:t> </w:t>
      </w:r>
      <w:r>
        <w:rPr>
          <w:w w:val="99"/>
        </w:rPr>
        <w:t>te</w:t>
      </w:r>
      <w:r>
        <w:rPr>
          <w:spacing w:val="1"/>
          <w:w w:val="99"/>
        </w:rPr>
        <w:t>m</w:t>
      </w:r>
      <w:r>
        <w:rPr>
          <w:spacing w:val="-1"/>
          <w:w w:val="99"/>
        </w:rPr>
        <w:t>pl</w:t>
      </w:r>
      <w:r>
        <w:rPr>
          <w:w w:val="99"/>
        </w:rPr>
        <w:t>e</w:t>
      </w:r>
      <w:r>
        <w:rPr/>
        <w:t> </w:t>
      </w:r>
      <w:r>
        <w:rPr>
          <w:spacing w:val="-21"/>
        </w:rPr>
        <w:t> </w:t>
      </w:r>
      <w:r>
        <w:rPr>
          <w:spacing w:val="-1"/>
          <w:w w:val="99"/>
        </w:rPr>
        <w:t>with </w:t>
      </w:r>
      <w:r>
        <w:rPr/>
        <w:t>three domes‖ at the same place. </w:t>
      </w:r>
      <w:r>
        <w:rPr>
          <w:b/>
        </w:rPr>
        <w:t>Tieffenthaler</w:t>
      </w:r>
      <w:r>
        <w:rPr/>
        <w:t>‘s account also notes that according to some, the mosque was constructed by Babur. The account contains a reference to fourteen black stone pillars, twelve of which support the interior arcades of the mosque, two being placed at the entrance. His account also refers </w:t>
      </w:r>
      <w:r>
        <w:rPr>
          <w:w w:val="99"/>
        </w:rPr>
        <w:t>to</w:t>
      </w:r>
      <w:r>
        <w:rPr/>
        <w:t> </w:t>
      </w:r>
      <w:r>
        <w:rPr>
          <w:spacing w:val="-21"/>
        </w:rPr>
        <w:t> </w:t>
      </w:r>
      <w:r>
        <w:rPr>
          <w:w w:val="99"/>
        </w:rPr>
        <w:t>the</w:t>
      </w:r>
      <w:r>
        <w:rPr/>
        <w:t> </w:t>
      </w:r>
      <w:r>
        <w:rPr>
          <w:spacing w:val="-21"/>
        </w:rPr>
        <w:t> </w:t>
      </w:r>
      <w:r>
        <w:rPr>
          <w:w w:val="99"/>
        </w:rPr>
        <w:t>p</w:t>
      </w:r>
      <w:r>
        <w:rPr>
          <w:spacing w:val="1"/>
          <w:w w:val="99"/>
        </w:rPr>
        <w:t>r</w:t>
      </w:r>
      <w:r>
        <w:rPr>
          <w:w w:val="99"/>
        </w:rPr>
        <w:t>esence</w:t>
      </w:r>
      <w:r>
        <w:rPr/>
        <w:t> </w:t>
      </w:r>
      <w:r>
        <w:rPr>
          <w:spacing w:val="-22"/>
        </w:rPr>
        <w:t> </w:t>
      </w:r>
      <w:r>
        <w:rPr>
          <w:w w:val="99"/>
        </w:rPr>
        <w:t>of</w:t>
      </w:r>
      <w:r>
        <w:rPr/>
        <w:t> </w:t>
      </w:r>
      <w:r>
        <w:rPr>
          <w:spacing w:val="-21"/>
        </w:rPr>
        <w:t> </w:t>
      </w:r>
      <w:r>
        <w:rPr>
          <w:w w:val="99"/>
        </w:rPr>
        <w:t>a</w:t>
      </w:r>
      <w:r>
        <w:rPr/>
        <w:t> </w:t>
      </w:r>
      <w:r>
        <w:rPr>
          <w:spacing w:val="-20"/>
        </w:rPr>
        <w:t> </w:t>
      </w:r>
      <w:r>
        <w:rPr>
          <w:w w:val="99"/>
        </w:rPr>
        <w:t>squa</w:t>
      </w:r>
      <w:r>
        <w:rPr>
          <w:spacing w:val="1"/>
          <w:w w:val="99"/>
        </w:rPr>
        <w:t>r</w:t>
      </w:r>
      <w:r>
        <w:rPr>
          <w:w w:val="99"/>
        </w:rPr>
        <w:t>e</w:t>
      </w:r>
      <w:r>
        <w:rPr/>
        <w:t> </w:t>
      </w:r>
      <w:r>
        <w:rPr>
          <w:spacing w:val="-22"/>
        </w:rPr>
        <w:t> </w:t>
      </w:r>
      <w:r>
        <w:rPr>
          <w:w w:val="99"/>
        </w:rPr>
        <w:t>bo</w:t>
      </w:r>
      <w:r>
        <w:rPr>
          <w:w w:val="99"/>
        </w:rPr>
        <w:t>x</w:t>
      </w:r>
      <w:r>
        <w:rPr/>
        <w:t> </w:t>
      </w:r>
      <w:r>
        <w:rPr>
          <w:spacing w:val="-22"/>
        </w:rPr>
        <w:t> </w:t>
      </w:r>
      <w:r>
        <w:rPr>
          <w:w w:val="99"/>
        </w:rPr>
        <w:t>r</w:t>
      </w:r>
      <w:r>
        <w:rPr>
          <w:w w:val="99"/>
        </w:rPr>
        <w:t>aised</w:t>
      </w:r>
      <w:r>
        <w:rPr/>
        <w:t> </w:t>
      </w:r>
      <w:r>
        <w:rPr>
          <w:spacing w:val="-21"/>
        </w:rPr>
        <w:t> </w:t>
      </w:r>
      <w:r>
        <w:rPr>
          <w:w w:val="99"/>
        </w:rPr>
        <w:t>f</w:t>
      </w:r>
      <w:r>
        <w:rPr>
          <w:spacing w:val="2"/>
          <w:w w:val="99"/>
        </w:rPr>
        <w:t>i</w:t>
      </w:r>
      <w:r>
        <w:rPr>
          <w:spacing w:val="-3"/>
          <w:w w:val="99"/>
        </w:rPr>
        <w:t>v</w:t>
      </w:r>
      <w:r>
        <w:rPr>
          <w:w w:val="99"/>
        </w:rPr>
        <w:t>e</w:t>
      </w:r>
      <w:r>
        <w:rPr/>
        <w:t> </w:t>
      </w:r>
      <w:r>
        <w:rPr>
          <w:spacing w:val="-19"/>
        </w:rPr>
        <w:t> </w:t>
      </w:r>
      <w:r>
        <w:rPr>
          <w:w w:val="99"/>
        </w:rPr>
        <w:t>inche</w:t>
      </w:r>
      <w:r>
        <w:rPr>
          <w:w w:val="99"/>
        </w:rPr>
        <w:t>s</w:t>
      </w:r>
      <w:r>
        <w:rPr/>
        <w:t> </w:t>
      </w:r>
      <w:r>
        <w:rPr>
          <w:spacing w:val="-22"/>
        </w:rPr>
        <w:t> </w:t>
      </w:r>
      <w:r>
        <w:rPr>
          <w:w w:val="99"/>
        </w:rPr>
        <w:t>ab</w:t>
      </w:r>
      <w:r>
        <w:rPr>
          <w:spacing w:val="2"/>
          <w:w w:val="99"/>
        </w:rPr>
        <w:t>o</w:t>
      </w:r>
      <w:r>
        <w:rPr>
          <w:spacing w:val="-3"/>
          <w:w w:val="99"/>
        </w:rPr>
        <w:t>v</w:t>
      </w:r>
      <w:r>
        <w:rPr>
          <w:w w:val="99"/>
        </w:rPr>
        <w:t>e</w:t>
      </w:r>
      <w:r>
        <w:rPr/>
        <w:t> </w:t>
      </w:r>
      <w:r>
        <w:rPr>
          <w:spacing w:val="-13"/>
        </w:rPr>
        <w:t> </w:t>
      </w:r>
      <w:r>
        <w:rPr>
          <w:w w:val="99"/>
        </w:rPr>
        <w:t>the</w:t>
      </w:r>
      <w:r>
        <w:rPr/>
        <w:t> </w:t>
      </w:r>
      <w:r>
        <w:rPr>
          <w:spacing w:val="-19"/>
        </w:rPr>
        <w:t> </w:t>
      </w:r>
      <w:r>
        <w:rPr>
          <w:spacing w:val="-1"/>
          <w:w w:val="99"/>
        </w:rPr>
        <w:t>g</w:t>
      </w:r>
      <w:r>
        <w:rPr>
          <w:w w:val="99"/>
        </w:rPr>
        <w:t>r</w:t>
      </w:r>
      <w:r>
        <w:rPr>
          <w:spacing w:val="-1"/>
          <w:w w:val="99"/>
        </w:rPr>
        <w:t>o</w:t>
      </w:r>
      <w:r>
        <w:rPr>
          <w:w w:val="99"/>
        </w:rPr>
        <w:t>u</w:t>
      </w:r>
      <w:r>
        <w:rPr>
          <w:spacing w:val="-1"/>
          <w:w w:val="99"/>
        </w:rPr>
        <w:t>n</w:t>
      </w:r>
      <w:r>
        <w:rPr>
          <w:w w:val="99"/>
        </w:rPr>
        <w:t>d</w:t>
      </w:r>
      <w:r>
        <w:rPr/>
        <w:t> </w:t>
      </w:r>
      <w:r>
        <w:rPr>
          <w:spacing w:val="-22"/>
        </w:rPr>
        <w:t> </w:t>
      </w:r>
      <w:r>
        <w:rPr>
          <w:w w:val="33"/>
        </w:rPr>
        <w:t>―</w:t>
      </w:r>
      <w:r>
        <w:rPr>
          <w:spacing w:val="-1"/>
          <w:w w:val="99"/>
        </w:rPr>
        <w:t>wit</w:t>
      </w:r>
      <w:r>
        <w:rPr>
          <w:w w:val="99"/>
        </w:rPr>
        <w:t>h</w:t>
      </w:r>
      <w:r>
        <w:rPr/>
        <w:t> </w:t>
      </w:r>
      <w:r>
        <w:rPr>
          <w:spacing w:val="-22"/>
        </w:rPr>
        <w:t> </w:t>
      </w:r>
      <w:r>
        <w:rPr>
          <w:w w:val="99"/>
        </w:rPr>
        <w:t>a </w:t>
      </w:r>
      <w:r>
        <w:rPr/>
        <w:t>length of more than 5 ells and a maximum width of about 4 ells‖. The Hindus, according to </w:t>
      </w:r>
      <w:r>
        <w:rPr>
          <w:b/>
        </w:rPr>
        <w:t>Tieffenthaler</w:t>
      </w:r>
      <w:r>
        <w:rPr/>
        <w:t>, called it a cradle or </w:t>
      </w:r>
      <w:r>
        <w:rPr>
          <w:i/>
        </w:rPr>
        <w:t>Bedi </w:t>
      </w:r>
      <w:r>
        <w:rPr/>
        <w:t>based on the belief that once upon a time there was a house where </w:t>
      </w:r>
      <w:r>
        <w:rPr>
          <w:i/>
        </w:rPr>
        <w:t>Beschan </w:t>
      </w:r>
      <w:r>
        <w:rPr/>
        <w:t>(Vishnu) was born in the form of </w:t>
      </w:r>
      <w:r>
        <w:rPr>
          <w:spacing w:val="-1"/>
          <w:w w:val="99"/>
        </w:rPr>
        <w:t>L</w:t>
      </w:r>
      <w:r>
        <w:rPr>
          <w:w w:val="99"/>
        </w:rPr>
        <w:t>ord</w:t>
      </w:r>
      <w:r>
        <w:rPr>
          <w:spacing w:val="-1"/>
        </w:rPr>
        <w:t> </w:t>
      </w:r>
      <w:r>
        <w:rPr>
          <w:spacing w:val="-1"/>
          <w:w w:val="99"/>
        </w:rPr>
        <w:t>R</w:t>
      </w:r>
      <w:r>
        <w:rPr>
          <w:w w:val="99"/>
        </w:rPr>
        <w:t>am.</w:t>
      </w:r>
      <w:r>
        <w:rPr/>
        <w:t> </w:t>
      </w:r>
      <w:r>
        <w:rPr>
          <w:spacing w:val="1"/>
          <w:w w:val="99"/>
        </w:rPr>
        <w:t>T</w:t>
      </w:r>
      <w:r>
        <w:rPr>
          <w:spacing w:val="-1"/>
          <w:w w:val="99"/>
        </w:rPr>
        <w:t>h</w:t>
      </w:r>
      <w:r>
        <w:rPr>
          <w:w w:val="99"/>
        </w:rPr>
        <w:t>o</w:t>
      </w:r>
      <w:r>
        <w:rPr>
          <w:spacing w:val="-1"/>
          <w:w w:val="99"/>
        </w:rPr>
        <w:t>u</w:t>
      </w:r>
      <w:r>
        <w:rPr>
          <w:w w:val="99"/>
        </w:rPr>
        <w:t>g</w:t>
      </w:r>
      <w:r>
        <w:rPr>
          <w:spacing w:val="-1"/>
          <w:w w:val="99"/>
        </w:rPr>
        <w:t>h</w:t>
      </w:r>
      <w:r>
        <w:rPr>
          <w:w w:val="99"/>
        </w:rPr>
        <w:t>,</w:t>
      </w:r>
      <w:r>
        <w:rPr/>
        <w:t> </w:t>
      </w:r>
      <w:r>
        <w:rPr>
          <w:spacing w:val="-3"/>
          <w:w w:val="99"/>
        </w:rPr>
        <w:t>s</w:t>
      </w:r>
      <w:r>
        <w:rPr>
          <w:spacing w:val="-1"/>
          <w:w w:val="99"/>
        </w:rPr>
        <w:t>u</w:t>
      </w:r>
      <w:r>
        <w:rPr>
          <w:w w:val="99"/>
        </w:rPr>
        <w:t>bseq</w:t>
      </w:r>
      <w:r>
        <w:rPr>
          <w:spacing w:val="-1"/>
          <w:w w:val="99"/>
        </w:rPr>
        <w:t>u</w:t>
      </w:r>
      <w:r>
        <w:rPr>
          <w:w w:val="99"/>
        </w:rPr>
        <w:t>e</w:t>
      </w:r>
      <w:r>
        <w:rPr>
          <w:spacing w:val="-1"/>
          <w:w w:val="99"/>
        </w:rPr>
        <w:t>ntl</w:t>
      </w:r>
      <w:r>
        <w:rPr>
          <w:spacing w:val="-3"/>
          <w:w w:val="99"/>
        </w:rPr>
        <w:t>y</w:t>
      </w:r>
      <w:r>
        <w:rPr>
          <w:w w:val="99"/>
        </w:rPr>
        <w:t>,</w:t>
      </w:r>
      <w:r>
        <w:rPr/>
        <w:t> </w:t>
      </w:r>
      <w:r>
        <w:rPr>
          <w:w w:val="99"/>
        </w:rPr>
        <w:t>Aur</w:t>
      </w:r>
      <w:r>
        <w:rPr>
          <w:spacing w:val="-1"/>
          <w:w w:val="99"/>
        </w:rPr>
        <w:t>a</w:t>
      </w:r>
      <w:r>
        <w:rPr>
          <w:w w:val="99"/>
        </w:rPr>
        <w:t>n</w:t>
      </w:r>
      <w:r>
        <w:rPr>
          <w:spacing w:val="-1"/>
          <w:w w:val="99"/>
        </w:rPr>
        <w:t>g</w:t>
      </w:r>
      <w:r>
        <w:rPr>
          <w:spacing w:val="2"/>
          <w:w w:val="99"/>
        </w:rPr>
        <w:t>z</w:t>
      </w:r>
      <w:r>
        <w:rPr>
          <w:spacing w:val="-1"/>
          <w:w w:val="99"/>
        </w:rPr>
        <w:t>e</w:t>
      </w:r>
      <w:r>
        <w:rPr>
          <w:w w:val="99"/>
        </w:rPr>
        <w:t>b</w:t>
      </w:r>
      <w:r>
        <w:rPr/>
        <w:t> </w:t>
      </w:r>
      <w:r>
        <w:rPr>
          <w:spacing w:val="-1"/>
          <w:w w:val="99"/>
        </w:rPr>
        <w:t>o</w:t>
      </w:r>
      <w:r>
        <w:rPr>
          <w:w w:val="99"/>
        </w:rPr>
        <w:t>r</w:t>
      </w:r>
      <w:r>
        <w:rPr>
          <w:spacing w:val="1"/>
        </w:rPr>
        <w:t> </w:t>
      </w:r>
      <w:r>
        <w:rPr>
          <w:w w:val="99"/>
        </w:rPr>
        <w:t>Babur</w:t>
      </w:r>
      <w:r>
        <w:rPr>
          <w:spacing w:val="1"/>
        </w:rPr>
        <w:t> </w:t>
      </w:r>
      <w:r>
        <w:rPr>
          <w:w w:val="33"/>
        </w:rPr>
        <w:t>―</w:t>
      </w:r>
      <w:r>
        <w:rPr>
          <w:spacing w:val="-1"/>
          <w:w w:val="99"/>
        </w:rPr>
        <w:t>g</w:t>
      </w:r>
      <w:r>
        <w:rPr>
          <w:w w:val="99"/>
        </w:rPr>
        <w:t>ot</w:t>
      </w:r>
      <w:r>
        <w:rPr/>
        <w:t> </w:t>
      </w:r>
      <w:r>
        <w:rPr>
          <w:w w:val="99"/>
        </w:rPr>
        <w:t>th</w:t>
      </w:r>
      <w:r>
        <w:rPr>
          <w:spacing w:val="-1"/>
          <w:w w:val="99"/>
        </w:rPr>
        <w:t>i</w:t>
      </w:r>
      <w:r>
        <w:rPr>
          <w:w w:val="99"/>
        </w:rPr>
        <w:t>s</w:t>
      </w:r>
      <w:r>
        <w:rPr>
          <w:spacing w:val="-1"/>
        </w:rPr>
        <w:t> </w:t>
      </w:r>
      <w:r>
        <w:rPr>
          <w:spacing w:val="-1"/>
          <w:w w:val="99"/>
        </w:rPr>
        <w:t>plac</w:t>
      </w:r>
      <w:r>
        <w:rPr>
          <w:w w:val="99"/>
        </w:rPr>
        <w:t>e</w:t>
      </w:r>
      <w:r>
        <w:rPr/>
        <w:t> </w:t>
      </w:r>
      <w:r>
        <w:rPr>
          <w:spacing w:val="-1"/>
          <w:w w:val="99"/>
        </w:rPr>
        <w:t>d</w:t>
      </w:r>
      <w:r>
        <w:rPr>
          <w:w w:val="99"/>
        </w:rPr>
        <w:t>estr</w:t>
      </w:r>
      <w:r>
        <w:rPr>
          <w:spacing w:val="-1"/>
          <w:w w:val="99"/>
        </w:rPr>
        <w:t>o</w:t>
      </w:r>
      <w:r>
        <w:rPr>
          <w:spacing w:val="-3"/>
          <w:w w:val="99"/>
        </w:rPr>
        <w:t>y</w:t>
      </w:r>
      <w:r>
        <w:rPr>
          <w:spacing w:val="-1"/>
          <w:w w:val="99"/>
        </w:rPr>
        <w:t>e</w:t>
      </w:r>
      <w:r>
        <w:rPr>
          <w:w w:val="99"/>
        </w:rPr>
        <w:t>d</w:t>
      </w:r>
      <w:r>
        <w:rPr>
          <w:w w:val="80"/>
        </w:rPr>
        <w:t>‖</w:t>
      </w:r>
      <w:r>
        <w:rPr>
          <w:w w:val="99"/>
        </w:rPr>
        <w:t>, </w:t>
      </w:r>
      <w:r>
        <w:rPr/>
        <w:t>the text contains an observation that in the place where the native house of Lord </w:t>
      </w:r>
      <w:r>
        <w:rPr>
          <w:spacing w:val="-1"/>
          <w:w w:val="99"/>
        </w:rPr>
        <w:t>Ra</w:t>
      </w:r>
      <w:r>
        <w:rPr>
          <w:w w:val="99"/>
        </w:rPr>
        <w:t>m</w:t>
      </w:r>
      <w:r>
        <w:rPr>
          <w:spacing w:val="12"/>
        </w:rPr>
        <w:t> </w:t>
      </w:r>
      <w:r>
        <w:rPr>
          <w:spacing w:val="-1"/>
          <w:w w:val="99"/>
        </w:rPr>
        <w:t>e</w:t>
      </w:r>
      <w:r>
        <w:rPr>
          <w:spacing w:val="-3"/>
          <w:w w:val="99"/>
        </w:rPr>
        <w:t>x</w:t>
      </w:r>
      <w:r>
        <w:rPr>
          <w:spacing w:val="-1"/>
          <w:w w:val="99"/>
        </w:rPr>
        <w:t>iste</w:t>
      </w:r>
      <w:r>
        <w:rPr>
          <w:w w:val="99"/>
        </w:rPr>
        <w:t>d,</w:t>
      </w:r>
      <w:r>
        <w:rPr>
          <w:spacing w:val="12"/>
        </w:rPr>
        <w:t> </w:t>
      </w:r>
      <w:r>
        <w:rPr>
          <w:w w:val="99"/>
        </w:rPr>
        <w:t>the</w:t>
      </w:r>
      <w:r>
        <w:rPr>
          <w:spacing w:val="12"/>
        </w:rPr>
        <w:t> </w:t>
      </w:r>
      <w:r>
        <w:rPr>
          <w:spacing w:val="-1"/>
          <w:w w:val="99"/>
        </w:rPr>
        <w:t>Hind</w:t>
      </w:r>
      <w:r>
        <w:rPr>
          <w:w w:val="99"/>
        </w:rPr>
        <w:t>us</w:t>
      </w:r>
      <w:r>
        <w:rPr>
          <w:spacing w:val="11"/>
        </w:rPr>
        <w:t> </w:t>
      </w:r>
      <w:r>
        <w:rPr>
          <w:w w:val="33"/>
        </w:rPr>
        <w:t>―</w:t>
      </w:r>
      <w:r>
        <w:rPr>
          <w:spacing w:val="-1"/>
          <w:w w:val="99"/>
        </w:rPr>
        <w:t>g</w:t>
      </w:r>
      <w:r>
        <w:rPr>
          <w:w w:val="99"/>
        </w:rPr>
        <w:t>o</w:t>
      </w:r>
      <w:r>
        <w:rPr>
          <w:spacing w:val="12"/>
        </w:rPr>
        <w:t> </w:t>
      </w:r>
      <w:r>
        <w:rPr>
          <w:spacing w:val="-1"/>
          <w:w w:val="99"/>
        </w:rPr>
        <w:t>a</w:t>
      </w:r>
      <w:r>
        <w:rPr>
          <w:w w:val="99"/>
        </w:rPr>
        <w:t>r</w:t>
      </w:r>
      <w:r>
        <w:rPr>
          <w:spacing w:val="-3"/>
          <w:w w:val="99"/>
        </w:rPr>
        <w:t>o</w:t>
      </w:r>
      <w:r>
        <w:rPr>
          <w:spacing w:val="-1"/>
          <w:w w:val="99"/>
        </w:rPr>
        <w:t>u</w:t>
      </w:r>
      <w:r>
        <w:rPr>
          <w:w w:val="99"/>
        </w:rPr>
        <w:t>nd</w:t>
      </w:r>
      <w:r>
        <w:rPr>
          <w:spacing w:val="12"/>
        </w:rPr>
        <w:t> </w:t>
      </w:r>
      <w:r>
        <w:rPr>
          <w:w w:val="99"/>
        </w:rPr>
        <w:t>3</w:t>
      </w:r>
      <w:r>
        <w:rPr>
          <w:spacing w:val="12"/>
        </w:rPr>
        <w:t> </w:t>
      </w:r>
      <w:r>
        <w:rPr>
          <w:w w:val="99"/>
        </w:rPr>
        <w:t>ti</w:t>
      </w:r>
      <w:r>
        <w:rPr>
          <w:spacing w:val="-2"/>
          <w:w w:val="99"/>
        </w:rPr>
        <w:t>m</w:t>
      </w:r>
      <w:r>
        <w:rPr>
          <w:spacing w:val="-1"/>
          <w:w w:val="99"/>
        </w:rPr>
        <w:t>e</w:t>
      </w:r>
      <w:r>
        <w:rPr>
          <w:w w:val="99"/>
        </w:rPr>
        <w:t>s</w:t>
      </w:r>
      <w:r>
        <w:rPr>
          <w:spacing w:val="12"/>
        </w:rPr>
        <w:t> </w:t>
      </w:r>
      <w:r>
        <w:rPr>
          <w:spacing w:val="-1"/>
          <w:w w:val="99"/>
        </w:rPr>
        <w:t>a</w:t>
      </w:r>
      <w:r>
        <w:rPr>
          <w:w w:val="99"/>
        </w:rPr>
        <w:t>nd</w:t>
      </w:r>
      <w:r>
        <w:rPr>
          <w:spacing w:val="12"/>
        </w:rPr>
        <w:t> </w:t>
      </w:r>
      <w:r>
        <w:rPr>
          <w:spacing w:val="-1"/>
          <w:w w:val="99"/>
        </w:rPr>
        <w:t>p</w:t>
      </w:r>
      <w:r>
        <w:rPr>
          <w:w w:val="99"/>
        </w:rPr>
        <w:t>r</w:t>
      </w:r>
      <w:r>
        <w:rPr>
          <w:spacing w:val="-1"/>
          <w:w w:val="99"/>
        </w:rPr>
        <w:t>ost</w:t>
      </w:r>
      <w:r>
        <w:rPr>
          <w:spacing w:val="-2"/>
          <w:w w:val="99"/>
        </w:rPr>
        <w:t>r</w:t>
      </w:r>
      <w:r>
        <w:rPr>
          <w:spacing w:val="-1"/>
          <w:w w:val="99"/>
        </w:rPr>
        <w:t>at</w:t>
      </w:r>
      <w:r>
        <w:rPr>
          <w:w w:val="99"/>
        </w:rPr>
        <w:t>e</w:t>
      </w:r>
      <w:r>
        <w:rPr>
          <w:spacing w:val="12"/>
        </w:rPr>
        <w:t> </w:t>
      </w:r>
      <w:r>
        <w:rPr>
          <w:spacing w:val="-1"/>
          <w:w w:val="99"/>
        </w:rPr>
        <w:t>o</w:t>
      </w:r>
      <w:r>
        <w:rPr>
          <w:w w:val="99"/>
        </w:rPr>
        <w:t>n</w:t>
      </w:r>
      <w:r>
        <w:rPr>
          <w:spacing w:val="12"/>
        </w:rPr>
        <w:t> </w:t>
      </w:r>
      <w:r>
        <w:rPr>
          <w:spacing w:val="5"/>
          <w:w w:val="99"/>
        </w:rPr>
        <w:t>t</w:t>
      </w:r>
      <w:r>
        <w:rPr>
          <w:spacing w:val="-1"/>
          <w:w w:val="99"/>
        </w:rPr>
        <w:t>h</w:t>
      </w:r>
      <w:r>
        <w:rPr>
          <w:w w:val="99"/>
        </w:rPr>
        <w:t>e</w:t>
      </w:r>
      <w:r>
        <w:rPr>
          <w:spacing w:val="12"/>
        </w:rPr>
        <w:t> </w:t>
      </w:r>
      <w:r>
        <w:rPr>
          <w:w w:val="99"/>
        </w:rPr>
        <w:t>floor</w:t>
      </w:r>
      <w:r>
        <w:rPr>
          <w:w w:val="80"/>
        </w:rPr>
        <w:t>‖</w:t>
      </w:r>
      <w:r>
        <w:rPr>
          <w:w w:val="99"/>
        </w:rPr>
        <w:t>.</w:t>
      </w:r>
      <w:r>
        <w:rPr>
          <w:spacing w:val="9"/>
        </w:rPr>
        <w:t> </w:t>
      </w:r>
      <w:r>
        <w:rPr>
          <w:w w:val="99"/>
        </w:rPr>
        <w:t>T</w:t>
      </w:r>
      <w:r>
        <w:rPr>
          <w:spacing w:val="-1"/>
          <w:w w:val="99"/>
        </w:rPr>
        <w:t>h</w:t>
      </w:r>
      <w:r>
        <w:rPr>
          <w:w w:val="99"/>
        </w:rPr>
        <w:t>ere</w:t>
      </w:r>
      <w:r>
        <w:rPr>
          <w:spacing w:val="9"/>
        </w:rPr>
        <w:t> </w:t>
      </w:r>
      <w:r>
        <w:rPr>
          <w:spacing w:val="-1"/>
          <w:w w:val="99"/>
        </w:rPr>
        <w:t>is </w:t>
      </w:r>
      <w:r>
        <w:rPr/>
        <w:t>a reference to the gathering of devotees during the Chaitra</w:t>
      </w:r>
      <w:r>
        <w:rPr>
          <w:spacing w:val="-6"/>
        </w:rPr>
        <w:t> </w:t>
      </w:r>
      <w:r>
        <w:rPr/>
        <w:t>month.</w:t>
      </w:r>
    </w:p>
    <w:p>
      <w:pPr>
        <w:pStyle w:val="BodyText"/>
        <w:spacing w:before="9"/>
        <w:rPr>
          <w:sz w:val="38"/>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In assessing </w:t>
      </w:r>
      <w:r>
        <w:rPr>
          <w:b/>
          <w:sz w:val="25"/>
        </w:rPr>
        <w:t>Tieffenthaler‘s </w:t>
      </w:r>
      <w:r>
        <w:rPr>
          <w:sz w:val="25"/>
        </w:rPr>
        <w:t>account (and for that matter those of others)  it is necessary to distinguish between what he may have heard from others from what he has actually noticed and observed. The former is hearsay. </w:t>
      </w:r>
      <w:r>
        <w:rPr>
          <w:b/>
          <w:sz w:val="25"/>
        </w:rPr>
        <w:t>Tieffenthaler‘s </w:t>
      </w:r>
      <w:r>
        <w:rPr>
          <w:sz w:val="25"/>
        </w:rPr>
        <w:t>accounts of the existence of the mosque, a three domed structure with black stone pillars is evidently based on his personal observation. His opinion that the mosque was constructed most likely by Aurangzeb is evidently based on what he heard and is not something to his personal knowledge. Similarly, any finding of fact that the mosque was constructed upon the demolition of a temple needs independent verification and cannot be based purely</w:t>
      </w:r>
      <w:r>
        <w:rPr>
          <w:spacing w:val="34"/>
          <w:sz w:val="25"/>
        </w:rPr>
        <w:t> </w:t>
      </w:r>
      <w:r>
        <w:rPr>
          <w:sz w:val="25"/>
        </w:rPr>
        <w:t>on</w:t>
      </w:r>
      <w:r>
        <w:rPr>
          <w:spacing w:val="36"/>
          <w:sz w:val="25"/>
        </w:rPr>
        <w:t> </w:t>
      </w:r>
      <w:r>
        <w:rPr>
          <w:b/>
          <w:sz w:val="25"/>
        </w:rPr>
        <w:t>Tieffenthaler‘s</w:t>
      </w:r>
      <w:r>
        <w:rPr>
          <w:b/>
          <w:spacing w:val="37"/>
          <w:sz w:val="25"/>
        </w:rPr>
        <w:t> </w:t>
      </w:r>
      <w:r>
        <w:rPr>
          <w:sz w:val="25"/>
        </w:rPr>
        <w:t>account.</w:t>
      </w:r>
      <w:r>
        <w:rPr>
          <w:spacing w:val="37"/>
          <w:sz w:val="25"/>
        </w:rPr>
        <w:t> </w:t>
      </w:r>
      <w:r>
        <w:rPr>
          <w:sz w:val="25"/>
        </w:rPr>
        <w:t>The</w:t>
      </w:r>
      <w:r>
        <w:rPr>
          <w:spacing w:val="36"/>
          <w:sz w:val="25"/>
        </w:rPr>
        <w:t> </w:t>
      </w:r>
      <w:r>
        <w:rPr>
          <w:sz w:val="25"/>
        </w:rPr>
        <w:t>account</w:t>
      </w:r>
      <w:r>
        <w:rPr>
          <w:spacing w:val="36"/>
          <w:sz w:val="25"/>
        </w:rPr>
        <w:t> </w:t>
      </w:r>
      <w:r>
        <w:rPr>
          <w:sz w:val="25"/>
        </w:rPr>
        <w:t>is</w:t>
      </w:r>
      <w:r>
        <w:rPr>
          <w:spacing w:val="35"/>
          <w:sz w:val="25"/>
        </w:rPr>
        <w:t> </w:t>
      </w:r>
      <w:r>
        <w:rPr>
          <w:sz w:val="25"/>
        </w:rPr>
        <w:t>certainly</w:t>
      </w:r>
      <w:r>
        <w:rPr>
          <w:spacing w:val="34"/>
          <w:sz w:val="25"/>
        </w:rPr>
        <w:t> </w:t>
      </w:r>
      <w:r>
        <w:rPr>
          <w:sz w:val="25"/>
        </w:rPr>
        <w:t>of</w:t>
      </w:r>
      <w:r>
        <w:rPr>
          <w:spacing w:val="36"/>
          <w:sz w:val="25"/>
        </w:rPr>
        <w:t> </w:t>
      </w:r>
      <w:r>
        <w:rPr>
          <w:sz w:val="25"/>
        </w:rPr>
        <w:t>significant</w:t>
      </w:r>
      <w:r>
        <w:rPr>
          <w:spacing w:val="36"/>
          <w:sz w:val="25"/>
        </w:rPr>
        <w:t> </w:t>
      </w:r>
      <w:r>
        <w:rPr>
          <w:sz w:val="25"/>
        </w:rPr>
        <w:t>value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when it adverts to the existence of the faith and belief of the Hindus in Lord Ram and of the association of the place of birth in close-proximity to the three-domed </w:t>
      </w:r>
      <w:r>
        <w:rPr>
          <w:w w:val="99"/>
        </w:rPr>
        <w:t>str</w:t>
      </w:r>
      <w:r>
        <w:rPr>
          <w:w w:val="99"/>
        </w:rPr>
        <w:t>uctur</w:t>
      </w:r>
      <w:r>
        <w:rPr>
          <w:w w:val="99"/>
        </w:rPr>
        <w:t>e</w:t>
      </w:r>
      <w:r>
        <w:rPr/>
        <w:t> </w:t>
      </w:r>
      <w:r>
        <w:rPr>
          <w:spacing w:val="-14"/>
        </w:rPr>
        <w:t> </w:t>
      </w:r>
      <w:r>
        <w:rPr>
          <w:w w:val="99"/>
        </w:rPr>
        <w:t>whe</w:t>
      </w:r>
      <w:r>
        <w:rPr>
          <w:spacing w:val="1"/>
          <w:w w:val="99"/>
        </w:rPr>
        <w:t>r</w:t>
      </w:r>
      <w:r>
        <w:rPr>
          <w:w w:val="99"/>
        </w:rPr>
        <w:t>e</w:t>
      </w:r>
      <w:r>
        <w:rPr/>
        <w:t> </w:t>
      </w:r>
      <w:r>
        <w:rPr>
          <w:spacing w:val="-13"/>
        </w:rPr>
        <w:t> </w:t>
      </w:r>
      <w:r>
        <w:rPr>
          <w:w w:val="99"/>
        </w:rPr>
        <w:t>a</w:t>
      </w:r>
      <w:r>
        <w:rPr/>
        <w:t> </w:t>
      </w:r>
      <w:r>
        <w:rPr>
          <w:spacing w:val="-17"/>
        </w:rPr>
        <w:t> </w:t>
      </w:r>
      <w:r>
        <w:rPr>
          <w:w w:val="33"/>
        </w:rPr>
        <w:t>―</w:t>
      </w:r>
      <w:r>
        <w:rPr>
          <w:spacing w:val="-3"/>
          <w:w w:val="99"/>
        </w:rPr>
        <w:t>s</w:t>
      </w:r>
      <w:r>
        <w:rPr>
          <w:spacing w:val="-1"/>
          <w:w w:val="99"/>
        </w:rPr>
        <w:t>q</w:t>
      </w:r>
      <w:r>
        <w:rPr>
          <w:w w:val="99"/>
        </w:rPr>
        <w:t>u</w:t>
      </w:r>
      <w:r>
        <w:rPr>
          <w:spacing w:val="-1"/>
          <w:w w:val="99"/>
        </w:rPr>
        <w:t>a</w:t>
      </w:r>
      <w:r>
        <w:rPr>
          <w:w w:val="99"/>
        </w:rPr>
        <w:t>re</w:t>
      </w:r>
      <w:r>
        <w:rPr/>
        <w:t> </w:t>
      </w:r>
      <w:r>
        <w:rPr>
          <w:spacing w:val="-14"/>
        </w:rPr>
        <w:t> </w:t>
      </w:r>
      <w:r>
        <w:rPr>
          <w:spacing w:val="-1"/>
          <w:w w:val="99"/>
        </w:rPr>
        <w:t>b</w:t>
      </w:r>
      <w:r>
        <w:rPr>
          <w:w w:val="99"/>
        </w:rPr>
        <w:t>o</w:t>
      </w:r>
      <w:r>
        <w:rPr>
          <w:spacing w:val="-3"/>
          <w:w w:val="99"/>
        </w:rPr>
        <w:t>x</w:t>
      </w:r>
      <w:r>
        <w:rPr>
          <w:w w:val="80"/>
        </w:rPr>
        <w:t>‖</w:t>
      </w:r>
      <w:r>
        <w:rPr/>
        <w:t> </w:t>
      </w:r>
      <w:r>
        <w:rPr>
          <w:spacing w:val="-14"/>
        </w:rPr>
        <w:t> </w:t>
      </w:r>
      <w:r>
        <w:rPr>
          <w:spacing w:val="-1"/>
          <w:w w:val="99"/>
        </w:rPr>
        <w:t>wa</w:t>
      </w:r>
      <w:r>
        <w:rPr>
          <w:w w:val="99"/>
        </w:rPr>
        <w:t>s</w:t>
      </w:r>
      <w:r>
        <w:rPr/>
        <w:t> </w:t>
      </w:r>
      <w:r>
        <w:rPr>
          <w:spacing w:val="-15"/>
        </w:rPr>
        <w:t> </w:t>
      </w:r>
      <w:r>
        <w:rPr>
          <w:spacing w:val="-1"/>
          <w:w w:val="99"/>
        </w:rPr>
        <w:t>wo</w:t>
      </w:r>
      <w:r>
        <w:rPr>
          <w:w w:val="99"/>
        </w:rPr>
        <w:t>rshipp</w:t>
      </w:r>
      <w:r>
        <w:rPr>
          <w:spacing w:val="-1"/>
          <w:w w:val="99"/>
        </w:rPr>
        <w:t>e</w:t>
      </w:r>
      <w:r>
        <w:rPr>
          <w:w w:val="99"/>
        </w:rPr>
        <w:t>d</w:t>
      </w:r>
      <w:r>
        <w:rPr/>
        <w:t> </w:t>
      </w:r>
      <w:r>
        <w:rPr>
          <w:spacing w:val="-14"/>
        </w:rPr>
        <w:t> </w:t>
      </w:r>
      <w:r>
        <w:rPr>
          <w:spacing w:val="-1"/>
          <w:w w:val="99"/>
        </w:rPr>
        <w:t>a</w:t>
      </w:r>
      <w:r>
        <w:rPr>
          <w:w w:val="99"/>
        </w:rPr>
        <w:t>s</w:t>
      </w:r>
      <w:r>
        <w:rPr/>
        <w:t> </w:t>
      </w:r>
      <w:r>
        <w:rPr>
          <w:spacing w:val="-14"/>
        </w:rPr>
        <w:t> </w:t>
      </w:r>
      <w:r>
        <w:rPr>
          <w:w w:val="99"/>
        </w:rPr>
        <w:t>s</w:t>
      </w:r>
      <w:r>
        <w:rPr>
          <w:spacing w:val="-3"/>
          <w:w w:val="99"/>
        </w:rPr>
        <w:t>y</w:t>
      </w:r>
      <w:r>
        <w:rPr>
          <w:w w:val="99"/>
        </w:rPr>
        <w:t>m</w:t>
      </w:r>
      <w:r>
        <w:rPr>
          <w:spacing w:val="-1"/>
          <w:w w:val="99"/>
        </w:rPr>
        <w:t>b</w:t>
      </w:r>
      <w:r>
        <w:rPr>
          <w:w w:val="99"/>
        </w:rPr>
        <w:t>o</w:t>
      </w:r>
      <w:r>
        <w:rPr>
          <w:spacing w:val="-1"/>
          <w:w w:val="99"/>
        </w:rPr>
        <w:t>liz</w:t>
      </w:r>
      <w:r>
        <w:rPr>
          <w:spacing w:val="1"/>
          <w:w w:val="99"/>
        </w:rPr>
        <w:t>i</w:t>
      </w:r>
      <w:r>
        <w:rPr>
          <w:spacing w:val="-1"/>
          <w:w w:val="99"/>
        </w:rPr>
        <w:t>n</w:t>
      </w:r>
      <w:r>
        <w:rPr>
          <w:w w:val="99"/>
        </w:rPr>
        <w:t>g</w:t>
      </w:r>
      <w:r>
        <w:rPr/>
        <w:t> </w:t>
      </w:r>
      <w:r>
        <w:rPr>
          <w:spacing w:val="-14"/>
        </w:rPr>
        <w:t> </w:t>
      </w:r>
      <w:r>
        <w:rPr>
          <w:w w:val="99"/>
        </w:rPr>
        <w:t>the</w:t>
      </w:r>
      <w:r>
        <w:rPr/>
        <w:t> </w:t>
      </w:r>
      <w:r>
        <w:rPr>
          <w:spacing w:val="-14"/>
        </w:rPr>
        <w:t> </w:t>
      </w:r>
      <w:r>
        <w:rPr>
          <w:w w:val="99"/>
        </w:rPr>
        <w:t>cr</w:t>
      </w:r>
      <w:r>
        <w:rPr>
          <w:spacing w:val="-1"/>
          <w:w w:val="99"/>
        </w:rPr>
        <w:t>a</w:t>
      </w:r>
      <w:r>
        <w:rPr>
          <w:w w:val="99"/>
        </w:rPr>
        <w:t>d</w:t>
      </w:r>
      <w:r>
        <w:rPr>
          <w:spacing w:val="-1"/>
          <w:w w:val="99"/>
        </w:rPr>
        <w:t>l</w:t>
      </w:r>
      <w:r>
        <w:rPr>
          <w:w w:val="99"/>
        </w:rPr>
        <w:t>e</w:t>
      </w:r>
      <w:r>
        <w:rPr/>
        <w:t> </w:t>
      </w:r>
      <w:r>
        <w:rPr>
          <w:spacing w:val="-15"/>
        </w:rPr>
        <w:t> </w:t>
      </w:r>
      <w:r>
        <w:rPr>
          <w:spacing w:val="-1"/>
          <w:w w:val="99"/>
        </w:rPr>
        <w:t>of </w:t>
      </w:r>
      <w:r>
        <w:rPr/>
        <w:t>birth. The account has a reference to the form of worship, by circumambulation and to the assembly of devotees at the</w:t>
      </w:r>
      <w:r>
        <w:rPr>
          <w:spacing w:val="-8"/>
        </w:rPr>
        <w:t> </w:t>
      </w:r>
      <w:r>
        <w:rPr/>
        <w:t>site.</w:t>
      </w:r>
    </w:p>
    <w:p>
      <w:pPr>
        <w:pStyle w:val="BodyText"/>
        <w:spacing w:before="7"/>
        <w:rPr>
          <w:sz w:val="38"/>
        </w:rPr>
      </w:pPr>
    </w:p>
    <w:p>
      <w:pPr>
        <w:pStyle w:val="ListParagraph"/>
        <w:numPr>
          <w:ilvl w:val="0"/>
          <w:numId w:val="166"/>
        </w:numPr>
        <w:tabs>
          <w:tab w:pos="1221" w:val="left" w:leader="none"/>
        </w:tabs>
        <w:spacing w:line="480" w:lineRule="auto" w:before="1" w:after="0"/>
        <w:ind w:left="500" w:right="435" w:firstLine="0"/>
        <w:jc w:val="both"/>
        <w:rPr>
          <w:sz w:val="25"/>
        </w:rPr>
      </w:pPr>
      <w:r>
        <w:rPr>
          <w:b/>
          <w:spacing w:val="-1"/>
          <w:w w:val="99"/>
          <w:sz w:val="25"/>
        </w:rPr>
        <w:t>Ha</w:t>
      </w:r>
      <w:r>
        <w:rPr>
          <w:b/>
          <w:spacing w:val="-2"/>
          <w:w w:val="99"/>
          <w:sz w:val="25"/>
        </w:rPr>
        <w:t>m</w:t>
      </w:r>
      <w:r>
        <w:rPr>
          <w:b/>
          <w:w w:val="99"/>
          <w:sz w:val="25"/>
        </w:rPr>
        <w:t>il</w:t>
      </w:r>
      <w:r>
        <w:rPr>
          <w:b/>
          <w:spacing w:val="1"/>
          <w:w w:val="99"/>
          <w:sz w:val="25"/>
        </w:rPr>
        <w:t>t</w:t>
      </w:r>
      <w:r>
        <w:rPr>
          <w:b/>
          <w:w w:val="99"/>
          <w:sz w:val="25"/>
        </w:rPr>
        <w:t>on‘s</w:t>
      </w:r>
      <w:r>
        <w:rPr>
          <w:b/>
          <w:sz w:val="25"/>
        </w:rPr>
        <w:t> </w:t>
      </w:r>
      <w:r>
        <w:rPr>
          <w:b/>
          <w:spacing w:val="-15"/>
          <w:sz w:val="25"/>
        </w:rPr>
        <w:t> </w:t>
      </w:r>
      <w:r>
        <w:rPr>
          <w:spacing w:val="-1"/>
          <w:w w:val="99"/>
          <w:sz w:val="25"/>
        </w:rPr>
        <w:t>acc</w:t>
      </w:r>
      <w:r>
        <w:rPr>
          <w:w w:val="99"/>
          <w:sz w:val="25"/>
        </w:rPr>
        <w:t>o</w:t>
      </w:r>
      <w:r>
        <w:rPr>
          <w:spacing w:val="-1"/>
          <w:w w:val="99"/>
          <w:sz w:val="25"/>
        </w:rPr>
        <w:t>u</w:t>
      </w:r>
      <w:r>
        <w:rPr>
          <w:w w:val="99"/>
          <w:sz w:val="25"/>
        </w:rPr>
        <w:t>nt</w:t>
      </w:r>
      <w:r>
        <w:rPr>
          <w:sz w:val="25"/>
        </w:rPr>
        <w:t> </w:t>
      </w:r>
      <w:r>
        <w:rPr>
          <w:spacing w:val="-17"/>
          <w:sz w:val="25"/>
        </w:rPr>
        <w:t> </w:t>
      </w:r>
      <w:r>
        <w:rPr>
          <w:spacing w:val="-1"/>
          <w:w w:val="99"/>
          <w:sz w:val="25"/>
        </w:rPr>
        <w:t>i</w:t>
      </w:r>
      <w:r>
        <w:rPr>
          <w:w w:val="99"/>
          <w:sz w:val="25"/>
        </w:rPr>
        <w:t>n</w:t>
      </w:r>
      <w:r>
        <w:rPr>
          <w:sz w:val="25"/>
        </w:rPr>
        <w:t> </w:t>
      </w:r>
      <w:r>
        <w:rPr>
          <w:spacing w:val="-17"/>
          <w:sz w:val="25"/>
        </w:rPr>
        <w:t> </w:t>
      </w:r>
      <w:r>
        <w:rPr>
          <w:w w:val="99"/>
          <w:sz w:val="25"/>
        </w:rPr>
        <w:t>the</w:t>
      </w:r>
      <w:r>
        <w:rPr>
          <w:sz w:val="25"/>
        </w:rPr>
        <w:t> </w:t>
      </w:r>
      <w:r>
        <w:rPr>
          <w:spacing w:val="-17"/>
          <w:sz w:val="25"/>
        </w:rPr>
        <w:t> </w:t>
      </w:r>
      <w:r>
        <w:rPr>
          <w:w w:val="33"/>
          <w:sz w:val="25"/>
        </w:rPr>
        <w:t>―</w:t>
      </w:r>
      <w:r>
        <w:rPr>
          <w:spacing w:val="-1"/>
          <w:w w:val="99"/>
          <w:sz w:val="25"/>
        </w:rPr>
        <w:t>Eas</w:t>
      </w:r>
      <w:r>
        <w:rPr>
          <w:w w:val="99"/>
          <w:sz w:val="25"/>
        </w:rPr>
        <w:t>t</w:t>
      </w:r>
      <w:r>
        <w:rPr>
          <w:sz w:val="25"/>
        </w:rPr>
        <w:t> </w:t>
      </w:r>
      <w:r>
        <w:rPr>
          <w:spacing w:val="-17"/>
          <w:sz w:val="25"/>
        </w:rPr>
        <w:t> </w:t>
      </w:r>
      <w:r>
        <w:rPr>
          <w:w w:val="99"/>
          <w:sz w:val="25"/>
        </w:rPr>
        <w:t>Ind</w:t>
      </w:r>
      <w:r>
        <w:rPr>
          <w:spacing w:val="-1"/>
          <w:w w:val="99"/>
          <w:sz w:val="25"/>
        </w:rPr>
        <w:t>ia</w:t>
      </w:r>
      <w:r>
        <w:rPr>
          <w:w w:val="99"/>
          <w:sz w:val="25"/>
        </w:rPr>
        <w:t>n</w:t>
      </w:r>
      <w:r>
        <w:rPr>
          <w:sz w:val="25"/>
        </w:rPr>
        <w:t> </w:t>
      </w:r>
      <w:r>
        <w:rPr>
          <w:spacing w:val="-17"/>
          <w:sz w:val="25"/>
        </w:rPr>
        <w:t> </w:t>
      </w:r>
      <w:r>
        <w:rPr>
          <w:spacing w:val="2"/>
          <w:w w:val="99"/>
          <w:sz w:val="25"/>
        </w:rPr>
        <w:t>G</w:t>
      </w:r>
      <w:r>
        <w:rPr>
          <w:spacing w:val="-1"/>
          <w:w w:val="99"/>
          <w:sz w:val="25"/>
        </w:rPr>
        <w:t>az</w:t>
      </w:r>
      <w:r>
        <w:rPr>
          <w:w w:val="99"/>
          <w:sz w:val="25"/>
        </w:rPr>
        <w:t>ette</w:t>
      </w:r>
      <w:r>
        <w:rPr>
          <w:spacing w:val="-1"/>
          <w:w w:val="99"/>
          <w:sz w:val="25"/>
        </w:rPr>
        <w:t>e</w:t>
      </w:r>
      <w:r>
        <w:rPr>
          <w:w w:val="99"/>
          <w:sz w:val="25"/>
        </w:rPr>
        <w:t>r</w:t>
      </w:r>
      <w:r>
        <w:rPr>
          <w:sz w:val="25"/>
        </w:rPr>
        <w:t> </w:t>
      </w:r>
      <w:r>
        <w:rPr>
          <w:spacing w:val="-16"/>
          <w:sz w:val="25"/>
        </w:rPr>
        <w:t> </w:t>
      </w:r>
      <w:r>
        <w:rPr>
          <w:spacing w:val="-1"/>
          <w:w w:val="99"/>
          <w:sz w:val="25"/>
        </w:rPr>
        <w:t>o</w:t>
      </w:r>
      <w:r>
        <w:rPr>
          <w:w w:val="99"/>
          <w:sz w:val="25"/>
        </w:rPr>
        <w:t>f</w:t>
      </w:r>
      <w:r>
        <w:rPr>
          <w:sz w:val="25"/>
        </w:rPr>
        <w:t> </w:t>
      </w:r>
      <w:r>
        <w:rPr>
          <w:spacing w:val="-17"/>
          <w:sz w:val="25"/>
        </w:rPr>
        <w:t> </w:t>
      </w:r>
      <w:r>
        <w:rPr>
          <w:spacing w:val="-1"/>
          <w:w w:val="99"/>
          <w:sz w:val="25"/>
        </w:rPr>
        <w:t>Hind</w:t>
      </w:r>
      <w:r>
        <w:rPr>
          <w:w w:val="99"/>
          <w:sz w:val="25"/>
        </w:rPr>
        <w:t>ustan</w:t>
      </w:r>
      <w:r>
        <w:rPr>
          <w:w w:val="80"/>
          <w:sz w:val="25"/>
        </w:rPr>
        <w:t>‖</w:t>
      </w:r>
      <w:r>
        <w:rPr>
          <w:sz w:val="25"/>
        </w:rPr>
        <w:t> </w:t>
      </w:r>
      <w:r>
        <w:rPr>
          <w:spacing w:val="-17"/>
          <w:sz w:val="25"/>
        </w:rPr>
        <w:t> </w:t>
      </w:r>
      <w:r>
        <w:rPr>
          <w:w w:val="99"/>
          <w:sz w:val="25"/>
        </w:rPr>
        <w:t>(</w:t>
      </w:r>
      <w:r>
        <w:rPr>
          <w:spacing w:val="-1"/>
          <w:w w:val="99"/>
          <w:sz w:val="25"/>
        </w:rPr>
        <w:t>1</w:t>
      </w:r>
      <w:r>
        <w:rPr>
          <w:w w:val="99"/>
          <w:sz w:val="25"/>
        </w:rPr>
        <w:t>8</w:t>
      </w:r>
      <w:r>
        <w:rPr>
          <w:spacing w:val="-1"/>
          <w:w w:val="99"/>
          <w:sz w:val="25"/>
        </w:rPr>
        <w:t>2</w:t>
      </w:r>
      <w:r>
        <w:rPr>
          <w:w w:val="99"/>
          <w:sz w:val="25"/>
        </w:rPr>
        <w:t>8) refe</w:t>
      </w:r>
      <w:r>
        <w:rPr>
          <w:spacing w:val="1"/>
          <w:w w:val="99"/>
          <w:sz w:val="25"/>
        </w:rPr>
        <w:t>r</w:t>
      </w:r>
      <w:r>
        <w:rPr>
          <w:w w:val="99"/>
          <w:sz w:val="25"/>
        </w:rPr>
        <w:t>s</w:t>
      </w:r>
      <w:r>
        <w:rPr>
          <w:spacing w:val="26"/>
          <w:sz w:val="25"/>
        </w:rPr>
        <w:t> </w:t>
      </w:r>
      <w:r>
        <w:rPr>
          <w:w w:val="99"/>
          <w:sz w:val="25"/>
        </w:rPr>
        <w:t>to</w:t>
      </w:r>
      <w:r>
        <w:rPr>
          <w:spacing w:val="26"/>
          <w:sz w:val="25"/>
        </w:rPr>
        <w:t> </w:t>
      </w:r>
      <w:r>
        <w:rPr>
          <w:w w:val="99"/>
          <w:sz w:val="25"/>
        </w:rPr>
        <w:t>Oud</w:t>
      </w:r>
      <w:r>
        <w:rPr>
          <w:spacing w:val="-1"/>
          <w:w w:val="99"/>
          <w:sz w:val="25"/>
        </w:rPr>
        <w:t>e</w:t>
      </w:r>
      <w:r>
        <w:rPr>
          <w:w w:val="99"/>
          <w:sz w:val="25"/>
        </w:rPr>
        <w:t>,</w:t>
      </w:r>
      <w:r>
        <w:rPr>
          <w:spacing w:val="26"/>
          <w:sz w:val="25"/>
        </w:rPr>
        <w:t> </w:t>
      </w:r>
      <w:r>
        <w:rPr>
          <w:w w:val="33"/>
          <w:sz w:val="25"/>
        </w:rPr>
        <w:t>―</w:t>
      </w:r>
      <w:r>
        <w:rPr>
          <w:w w:val="99"/>
          <w:sz w:val="25"/>
        </w:rPr>
        <w:t>situated</w:t>
      </w:r>
      <w:r>
        <w:rPr>
          <w:spacing w:val="27"/>
          <w:sz w:val="25"/>
        </w:rPr>
        <w:t> </w:t>
      </w:r>
      <w:r>
        <w:rPr>
          <w:spacing w:val="-1"/>
          <w:w w:val="99"/>
          <w:sz w:val="25"/>
        </w:rPr>
        <w:t>o</w:t>
      </w:r>
      <w:r>
        <w:rPr>
          <w:w w:val="99"/>
          <w:sz w:val="25"/>
        </w:rPr>
        <w:t>n</w:t>
      </w:r>
      <w:r>
        <w:rPr>
          <w:spacing w:val="26"/>
          <w:sz w:val="25"/>
        </w:rPr>
        <w:t> </w:t>
      </w:r>
      <w:r>
        <w:rPr>
          <w:w w:val="99"/>
          <w:sz w:val="25"/>
        </w:rPr>
        <w:t>the</w:t>
      </w:r>
      <w:r>
        <w:rPr>
          <w:spacing w:val="27"/>
          <w:sz w:val="25"/>
        </w:rPr>
        <w:t> </w:t>
      </w:r>
      <w:r>
        <w:rPr>
          <w:w w:val="99"/>
          <w:sz w:val="25"/>
        </w:rPr>
        <w:t>r</w:t>
      </w:r>
      <w:r>
        <w:rPr>
          <w:spacing w:val="-1"/>
          <w:w w:val="99"/>
          <w:sz w:val="25"/>
        </w:rPr>
        <w:t>igh</w:t>
      </w:r>
      <w:r>
        <w:rPr>
          <w:w w:val="99"/>
          <w:sz w:val="25"/>
        </w:rPr>
        <w:t>t</w:t>
      </w:r>
      <w:r>
        <w:rPr>
          <w:spacing w:val="26"/>
          <w:sz w:val="25"/>
        </w:rPr>
        <w:t> </w:t>
      </w:r>
      <w:r>
        <w:rPr>
          <w:spacing w:val="-1"/>
          <w:w w:val="99"/>
          <w:sz w:val="25"/>
        </w:rPr>
        <w:t>b</w:t>
      </w:r>
      <w:r>
        <w:rPr>
          <w:w w:val="99"/>
          <w:sz w:val="25"/>
        </w:rPr>
        <w:t>a</w:t>
      </w:r>
      <w:r>
        <w:rPr>
          <w:spacing w:val="-1"/>
          <w:w w:val="99"/>
          <w:sz w:val="25"/>
        </w:rPr>
        <w:t>n</w:t>
      </w:r>
      <w:r>
        <w:rPr>
          <w:w w:val="99"/>
          <w:sz w:val="25"/>
        </w:rPr>
        <w:t>k</w:t>
      </w:r>
      <w:r>
        <w:rPr>
          <w:spacing w:val="26"/>
          <w:sz w:val="25"/>
        </w:rPr>
        <w:t> </w:t>
      </w:r>
      <w:r>
        <w:rPr>
          <w:spacing w:val="-1"/>
          <w:w w:val="99"/>
          <w:sz w:val="25"/>
        </w:rPr>
        <w:t>o</w:t>
      </w:r>
      <w:r>
        <w:rPr>
          <w:w w:val="99"/>
          <w:sz w:val="25"/>
        </w:rPr>
        <w:t>f</w:t>
      </w:r>
      <w:r>
        <w:rPr>
          <w:spacing w:val="26"/>
          <w:sz w:val="25"/>
        </w:rPr>
        <w:t> </w:t>
      </w:r>
      <w:r>
        <w:rPr>
          <w:w w:val="99"/>
          <w:sz w:val="25"/>
        </w:rPr>
        <w:t>the</w:t>
      </w:r>
      <w:r>
        <w:rPr>
          <w:spacing w:val="27"/>
          <w:sz w:val="25"/>
        </w:rPr>
        <w:t> </w:t>
      </w:r>
      <w:r>
        <w:rPr>
          <w:w w:val="99"/>
          <w:sz w:val="25"/>
        </w:rPr>
        <w:t>r</w:t>
      </w:r>
      <w:r>
        <w:rPr>
          <w:spacing w:val="1"/>
          <w:w w:val="99"/>
          <w:sz w:val="25"/>
        </w:rPr>
        <w:t>i</w:t>
      </w:r>
      <w:r>
        <w:rPr>
          <w:spacing w:val="-3"/>
          <w:w w:val="99"/>
          <w:sz w:val="25"/>
        </w:rPr>
        <w:t>v</w:t>
      </w:r>
      <w:r>
        <w:rPr>
          <w:spacing w:val="-1"/>
          <w:w w:val="99"/>
          <w:sz w:val="25"/>
        </w:rPr>
        <w:t>e</w:t>
      </w:r>
      <w:r>
        <w:rPr>
          <w:w w:val="99"/>
          <w:sz w:val="25"/>
        </w:rPr>
        <w:t>r</w:t>
      </w:r>
      <w:r>
        <w:rPr>
          <w:spacing w:val="27"/>
          <w:sz w:val="25"/>
        </w:rPr>
        <w:t> </w:t>
      </w:r>
      <w:r>
        <w:rPr>
          <w:w w:val="99"/>
          <w:sz w:val="25"/>
        </w:rPr>
        <w:t>Gog</w:t>
      </w:r>
      <w:r>
        <w:rPr>
          <w:spacing w:val="-1"/>
          <w:w w:val="99"/>
          <w:sz w:val="25"/>
        </w:rPr>
        <w:t>g</w:t>
      </w:r>
      <w:r>
        <w:rPr>
          <w:w w:val="99"/>
          <w:sz w:val="25"/>
        </w:rPr>
        <w:t>r</w:t>
      </w:r>
      <w:r>
        <w:rPr>
          <w:spacing w:val="-1"/>
          <w:w w:val="99"/>
          <w:sz w:val="25"/>
        </w:rPr>
        <w:t>a</w:t>
      </w:r>
      <w:r>
        <w:rPr>
          <w:w w:val="99"/>
          <w:sz w:val="25"/>
        </w:rPr>
        <w:t>.</w:t>
      </w:r>
      <w:r>
        <w:rPr>
          <w:spacing w:val="26"/>
          <w:sz w:val="25"/>
        </w:rPr>
        <w:t> </w:t>
      </w:r>
      <w:r>
        <w:rPr>
          <w:spacing w:val="-1"/>
          <w:w w:val="99"/>
          <w:sz w:val="25"/>
        </w:rPr>
        <w:t>Ref</w:t>
      </w:r>
      <w:r>
        <w:rPr>
          <w:w w:val="99"/>
          <w:sz w:val="25"/>
        </w:rPr>
        <w:t>err</w:t>
      </w:r>
      <w:r>
        <w:rPr>
          <w:spacing w:val="-1"/>
          <w:w w:val="99"/>
          <w:sz w:val="25"/>
        </w:rPr>
        <w:t>in</w:t>
      </w:r>
      <w:r>
        <w:rPr>
          <w:w w:val="99"/>
          <w:sz w:val="25"/>
        </w:rPr>
        <w:t>g</w:t>
      </w:r>
      <w:r>
        <w:rPr>
          <w:spacing w:val="26"/>
          <w:sz w:val="25"/>
        </w:rPr>
        <w:t> </w:t>
      </w:r>
      <w:r>
        <w:rPr>
          <w:w w:val="99"/>
          <w:sz w:val="25"/>
        </w:rPr>
        <w:t>to</w:t>
      </w:r>
      <w:r>
        <w:rPr>
          <w:spacing w:val="26"/>
          <w:sz w:val="25"/>
        </w:rPr>
        <w:t> </w:t>
      </w:r>
      <w:r>
        <w:rPr>
          <w:w w:val="99"/>
          <w:sz w:val="25"/>
        </w:rPr>
        <w:t>the </w:t>
      </w:r>
      <w:r>
        <w:rPr>
          <w:w w:val="99"/>
          <w:sz w:val="25"/>
        </w:rPr>
        <w:t>town</w:t>
      </w:r>
      <w:r>
        <w:rPr>
          <w:w w:val="99"/>
          <w:sz w:val="25"/>
        </w:rPr>
        <w:t>,</w:t>
      </w:r>
      <w:r>
        <w:rPr>
          <w:spacing w:val="12"/>
          <w:sz w:val="25"/>
        </w:rPr>
        <w:t> </w:t>
      </w:r>
      <w:r>
        <w:rPr>
          <w:b/>
          <w:w w:val="99"/>
          <w:sz w:val="25"/>
        </w:rPr>
        <w:t>Ha</w:t>
      </w:r>
      <w:r>
        <w:rPr>
          <w:b/>
          <w:spacing w:val="-1"/>
          <w:w w:val="99"/>
          <w:sz w:val="25"/>
        </w:rPr>
        <w:t>m</w:t>
      </w:r>
      <w:r>
        <w:rPr>
          <w:b/>
          <w:w w:val="99"/>
          <w:sz w:val="25"/>
        </w:rPr>
        <w:t>il</w:t>
      </w:r>
      <w:r>
        <w:rPr>
          <w:b/>
          <w:spacing w:val="1"/>
          <w:w w:val="99"/>
          <w:sz w:val="25"/>
        </w:rPr>
        <w:t>t</w:t>
      </w:r>
      <w:r>
        <w:rPr>
          <w:b/>
          <w:w w:val="99"/>
          <w:sz w:val="25"/>
        </w:rPr>
        <w:t>on</w:t>
      </w:r>
      <w:r>
        <w:rPr>
          <w:b/>
          <w:spacing w:val="14"/>
          <w:sz w:val="25"/>
        </w:rPr>
        <w:t> </w:t>
      </w:r>
      <w:r>
        <w:rPr>
          <w:w w:val="99"/>
          <w:sz w:val="25"/>
        </w:rPr>
        <w:t>no</w:t>
      </w:r>
      <w:r>
        <w:rPr>
          <w:w w:val="99"/>
          <w:sz w:val="25"/>
        </w:rPr>
        <w:t>tes</w:t>
      </w:r>
      <w:r>
        <w:rPr>
          <w:spacing w:val="12"/>
          <w:sz w:val="25"/>
        </w:rPr>
        <w:t> </w:t>
      </w:r>
      <w:r>
        <w:rPr>
          <w:w w:val="99"/>
          <w:sz w:val="25"/>
        </w:rPr>
        <w:t>tha</w:t>
      </w:r>
      <w:r>
        <w:rPr>
          <w:w w:val="99"/>
          <w:sz w:val="25"/>
        </w:rPr>
        <w:t>t</w:t>
      </w:r>
      <w:r>
        <w:rPr>
          <w:spacing w:val="13"/>
          <w:sz w:val="25"/>
        </w:rPr>
        <w:t> </w:t>
      </w:r>
      <w:r>
        <w:rPr>
          <w:w w:val="33"/>
          <w:sz w:val="25"/>
        </w:rPr>
        <w:t>―</w:t>
      </w:r>
      <w:r>
        <w:rPr>
          <w:w w:val="99"/>
          <w:sz w:val="25"/>
        </w:rPr>
        <w:t>this</w:t>
      </w:r>
      <w:r>
        <w:rPr>
          <w:spacing w:val="12"/>
          <w:sz w:val="25"/>
        </w:rPr>
        <w:t> </w:t>
      </w:r>
      <w:r>
        <w:rPr>
          <w:w w:val="99"/>
          <w:sz w:val="25"/>
        </w:rPr>
        <w:t>town</w:t>
      </w:r>
      <w:r>
        <w:rPr>
          <w:spacing w:val="12"/>
          <w:sz w:val="25"/>
        </w:rPr>
        <w:t> </w:t>
      </w:r>
      <w:r>
        <w:rPr>
          <w:spacing w:val="-1"/>
          <w:w w:val="99"/>
          <w:sz w:val="25"/>
        </w:rPr>
        <w:t>i</w:t>
      </w:r>
      <w:r>
        <w:rPr>
          <w:w w:val="99"/>
          <w:sz w:val="25"/>
        </w:rPr>
        <w:t>s</w:t>
      </w:r>
      <w:r>
        <w:rPr>
          <w:spacing w:val="11"/>
          <w:sz w:val="25"/>
        </w:rPr>
        <w:t> </w:t>
      </w:r>
      <w:r>
        <w:rPr>
          <w:spacing w:val="-1"/>
          <w:w w:val="99"/>
          <w:sz w:val="25"/>
        </w:rPr>
        <w:t>est</w:t>
      </w:r>
      <w:r>
        <w:rPr>
          <w:w w:val="99"/>
          <w:sz w:val="25"/>
        </w:rPr>
        <w:t>e</w:t>
      </w:r>
      <w:r>
        <w:rPr>
          <w:spacing w:val="-1"/>
          <w:w w:val="99"/>
          <w:sz w:val="25"/>
        </w:rPr>
        <w:t>e</w:t>
      </w:r>
      <w:r>
        <w:rPr>
          <w:w w:val="99"/>
          <w:sz w:val="25"/>
        </w:rPr>
        <w:t>m</w:t>
      </w:r>
      <w:r>
        <w:rPr>
          <w:spacing w:val="-1"/>
          <w:w w:val="99"/>
          <w:sz w:val="25"/>
        </w:rPr>
        <w:t>e</w:t>
      </w:r>
      <w:r>
        <w:rPr>
          <w:w w:val="99"/>
          <w:sz w:val="25"/>
        </w:rPr>
        <w:t>d</w:t>
      </w:r>
      <w:r>
        <w:rPr>
          <w:spacing w:val="12"/>
          <w:sz w:val="25"/>
        </w:rPr>
        <w:t> </w:t>
      </w:r>
      <w:r>
        <w:rPr>
          <w:spacing w:val="-1"/>
          <w:w w:val="99"/>
          <w:sz w:val="25"/>
        </w:rPr>
        <w:t>o</w:t>
      </w:r>
      <w:r>
        <w:rPr>
          <w:w w:val="99"/>
          <w:sz w:val="25"/>
        </w:rPr>
        <w:t>ne</w:t>
      </w:r>
      <w:r>
        <w:rPr>
          <w:spacing w:val="12"/>
          <w:sz w:val="25"/>
        </w:rPr>
        <w:t> </w:t>
      </w:r>
      <w:r>
        <w:rPr>
          <w:spacing w:val="-1"/>
          <w:w w:val="99"/>
          <w:sz w:val="25"/>
        </w:rPr>
        <w:t>o</w:t>
      </w:r>
      <w:r>
        <w:rPr>
          <w:w w:val="99"/>
          <w:sz w:val="25"/>
        </w:rPr>
        <w:t>f</w:t>
      </w:r>
      <w:r>
        <w:rPr>
          <w:spacing w:val="12"/>
          <w:sz w:val="25"/>
        </w:rPr>
        <w:t> </w:t>
      </w:r>
      <w:r>
        <w:rPr>
          <w:w w:val="99"/>
          <w:sz w:val="25"/>
        </w:rPr>
        <w:t>the</w:t>
      </w:r>
      <w:r>
        <w:rPr>
          <w:spacing w:val="12"/>
          <w:sz w:val="25"/>
        </w:rPr>
        <w:t> </w:t>
      </w:r>
      <w:r>
        <w:rPr>
          <w:w w:val="99"/>
          <w:sz w:val="25"/>
        </w:rPr>
        <w:t>m</w:t>
      </w:r>
      <w:r>
        <w:rPr>
          <w:spacing w:val="-3"/>
          <w:w w:val="99"/>
          <w:sz w:val="25"/>
        </w:rPr>
        <w:t>o</w:t>
      </w:r>
      <w:r>
        <w:rPr>
          <w:w w:val="99"/>
          <w:sz w:val="25"/>
        </w:rPr>
        <w:t>st</w:t>
      </w:r>
      <w:r>
        <w:rPr>
          <w:spacing w:val="12"/>
          <w:sz w:val="25"/>
        </w:rPr>
        <w:t> </w:t>
      </w:r>
      <w:r>
        <w:rPr>
          <w:w w:val="99"/>
          <w:sz w:val="25"/>
        </w:rPr>
        <w:t>sac</w:t>
      </w:r>
      <w:r>
        <w:rPr>
          <w:spacing w:val="1"/>
          <w:w w:val="99"/>
          <w:sz w:val="25"/>
        </w:rPr>
        <w:t>r</w:t>
      </w:r>
      <w:r>
        <w:rPr>
          <w:spacing w:val="-1"/>
          <w:w w:val="99"/>
          <w:sz w:val="25"/>
        </w:rPr>
        <w:t>e</w:t>
      </w:r>
      <w:r>
        <w:rPr>
          <w:w w:val="99"/>
          <w:sz w:val="25"/>
        </w:rPr>
        <w:t>d</w:t>
      </w:r>
      <w:r>
        <w:rPr>
          <w:spacing w:val="12"/>
          <w:sz w:val="25"/>
        </w:rPr>
        <w:t> </w:t>
      </w:r>
      <w:r>
        <w:rPr>
          <w:spacing w:val="-1"/>
          <w:w w:val="99"/>
          <w:sz w:val="25"/>
        </w:rPr>
        <w:t>plac</w:t>
      </w:r>
      <w:r>
        <w:rPr>
          <w:w w:val="99"/>
          <w:sz w:val="25"/>
        </w:rPr>
        <w:t>es </w:t>
      </w:r>
      <w:r>
        <w:rPr>
          <w:spacing w:val="-1"/>
          <w:w w:val="99"/>
          <w:sz w:val="25"/>
        </w:rPr>
        <w:t>o</w:t>
      </w:r>
      <w:r>
        <w:rPr>
          <w:w w:val="99"/>
          <w:sz w:val="25"/>
        </w:rPr>
        <w:t>f</w:t>
      </w:r>
      <w:r>
        <w:rPr>
          <w:spacing w:val="7"/>
          <w:sz w:val="25"/>
        </w:rPr>
        <w:t> </w:t>
      </w:r>
      <w:r>
        <w:rPr>
          <w:spacing w:val="-1"/>
          <w:w w:val="99"/>
          <w:sz w:val="25"/>
        </w:rPr>
        <w:t>a</w:t>
      </w:r>
      <w:r>
        <w:rPr>
          <w:w w:val="99"/>
          <w:sz w:val="25"/>
        </w:rPr>
        <w:t>ntiqu</w:t>
      </w:r>
      <w:r>
        <w:rPr>
          <w:spacing w:val="-1"/>
          <w:w w:val="99"/>
          <w:sz w:val="25"/>
        </w:rPr>
        <w:t>it</w:t>
      </w:r>
      <w:r>
        <w:rPr>
          <w:spacing w:val="-3"/>
          <w:w w:val="99"/>
          <w:sz w:val="25"/>
        </w:rPr>
        <w:t>y</w:t>
      </w:r>
      <w:r>
        <w:rPr>
          <w:w w:val="88"/>
          <w:sz w:val="25"/>
        </w:rPr>
        <w:t>.‖</w:t>
      </w:r>
      <w:r>
        <w:rPr>
          <w:sz w:val="25"/>
        </w:rPr>
        <w:t> </w:t>
      </w:r>
      <w:r>
        <w:rPr>
          <w:spacing w:val="17"/>
          <w:sz w:val="25"/>
        </w:rPr>
        <w:t> </w:t>
      </w:r>
      <w:r>
        <w:rPr>
          <w:spacing w:val="-1"/>
          <w:w w:val="99"/>
          <w:sz w:val="25"/>
        </w:rPr>
        <w:t>H</w:t>
      </w:r>
      <w:r>
        <w:rPr>
          <w:w w:val="99"/>
          <w:sz w:val="25"/>
        </w:rPr>
        <w:t>e</w:t>
      </w:r>
      <w:r>
        <w:rPr>
          <w:spacing w:val="9"/>
          <w:sz w:val="25"/>
        </w:rPr>
        <w:t> </w:t>
      </w:r>
      <w:r>
        <w:rPr>
          <w:spacing w:val="-1"/>
          <w:w w:val="99"/>
          <w:sz w:val="25"/>
        </w:rPr>
        <w:t>a</w:t>
      </w:r>
      <w:r>
        <w:rPr>
          <w:spacing w:val="2"/>
          <w:w w:val="99"/>
          <w:sz w:val="25"/>
        </w:rPr>
        <w:t>d</w:t>
      </w:r>
      <w:r>
        <w:rPr>
          <w:w w:val="99"/>
          <w:sz w:val="25"/>
        </w:rPr>
        <w:t>ve</w:t>
      </w:r>
      <w:r>
        <w:rPr>
          <w:spacing w:val="1"/>
          <w:w w:val="99"/>
          <w:sz w:val="25"/>
        </w:rPr>
        <w:t>r</w:t>
      </w:r>
      <w:r>
        <w:rPr>
          <w:w w:val="99"/>
          <w:sz w:val="25"/>
        </w:rPr>
        <w:t>ts</w:t>
      </w:r>
      <w:r>
        <w:rPr>
          <w:spacing w:val="7"/>
          <w:sz w:val="25"/>
        </w:rPr>
        <w:t> </w:t>
      </w:r>
      <w:r>
        <w:rPr>
          <w:w w:val="99"/>
          <w:sz w:val="25"/>
        </w:rPr>
        <w:t>to</w:t>
      </w:r>
      <w:r>
        <w:rPr>
          <w:spacing w:val="7"/>
          <w:sz w:val="25"/>
        </w:rPr>
        <w:t> </w:t>
      </w:r>
      <w:r>
        <w:rPr>
          <w:spacing w:val="-1"/>
          <w:w w:val="99"/>
          <w:sz w:val="25"/>
        </w:rPr>
        <w:t>pilg</w:t>
      </w:r>
      <w:r>
        <w:rPr>
          <w:w w:val="99"/>
          <w:sz w:val="25"/>
        </w:rPr>
        <w:t>r</w:t>
      </w:r>
      <w:r>
        <w:rPr>
          <w:spacing w:val="-1"/>
          <w:w w:val="99"/>
          <w:sz w:val="25"/>
        </w:rPr>
        <w:t>im</w:t>
      </w:r>
      <w:r>
        <w:rPr>
          <w:w w:val="99"/>
          <w:sz w:val="25"/>
        </w:rPr>
        <w:t>a</w:t>
      </w:r>
      <w:r>
        <w:rPr>
          <w:spacing w:val="-1"/>
          <w:w w:val="99"/>
          <w:sz w:val="25"/>
        </w:rPr>
        <w:t>g</w:t>
      </w:r>
      <w:r>
        <w:rPr>
          <w:w w:val="99"/>
          <w:sz w:val="25"/>
        </w:rPr>
        <w:t>es,</w:t>
      </w:r>
      <w:r>
        <w:rPr>
          <w:spacing w:val="7"/>
          <w:sz w:val="25"/>
        </w:rPr>
        <w:t> </w:t>
      </w:r>
      <w:r>
        <w:rPr>
          <w:w w:val="33"/>
          <w:sz w:val="25"/>
        </w:rPr>
        <w:t>―</w:t>
      </w:r>
      <w:r>
        <w:rPr>
          <w:spacing w:val="-1"/>
          <w:w w:val="99"/>
          <w:sz w:val="25"/>
        </w:rPr>
        <w:t>whe</w:t>
      </w:r>
      <w:r>
        <w:rPr>
          <w:spacing w:val="1"/>
          <w:w w:val="99"/>
          <w:sz w:val="25"/>
        </w:rPr>
        <w:t>r</w:t>
      </w:r>
      <w:r>
        <w:rPr>
          <w:w w:val="99"/>
          <w:sz w:val="25"/>
        </w:rPr>
        <w:t>e</w:t>
      </w:r>
      <w:r>
        <w:rPr>
          <w:spacing w:val="7"/>
          <w:sz w:val="25"/>
        </w:rPr>
        <w:t> </w:t>
      </w:r>
      <w:r>
        <w:rPr>
          <w:w w:val="99"/>
          <w:sz w:val="25"/>
        </w:rPr>
        <w:t>the</w:t>
      </w:r>
      <w:r>
        <w:rPr>
          <w:spacing w:val="7"/>
          <w:sz w:val="25"/>
        </w:rPr>
        <w:t> </w:t>
      </w:r>
      <w:r>
        <w:rPr>
          <w:w w:val="99"/>
          <w:sz w:val="25"/>
        </w:rPr>
        <w:t>r</w:t>
      </w:r>
      <w:r>
        <w:rPr>
          <w:spacing w:val="-1"/>
          <w:w w:val="99"/>
          <w:sz w:val="25"/>
        </w:rPr>
        <w:t>e</w:t>
      </w:r>
      <w:r>
        <w:rPr>
          <w:w w:val="99"/>
          <w:sz w:val="25"/>
        </w:rPr>
        <w:t>m</w:t>
      </w:r>
      <w:r>
        <w:rPr>
          <w:spacing w:val="-1"/>
          <w:w w:val="99"/>
          <w:sz w:val="25"/>
        </w:rPr>
        <w:t>ain</w:t>
      </w:r>
      <w:r>
        <w:rPr>
          <w:w w:val="99"/>
          <w:sz w:val="25"/>
        </w:rPr>
        <w:t>s</w:t>
      </w:r>
      <w:r>
        <w:rPr>
          <w:spacing w:val="7"/>
          <w:sz w:val="25"/>
        </w:rPr>
        <w:t> </w:t>
      </w:r>
      <w:r>
        <w:rPr>
          <w:spacing w:val="-1"/>
          <w:w w:val="99"/>
          <w:sz w:val="25"/>
        </w:rPr>
        <w:t>o</w:t>
      </w:r>
      <w:r>
        <w:rPr>
          <w:w w:val="99"/>
          <w:sz w:val="25"/>
        </w:rPr>
        <w:t>f</w:t>
      </w:r>
      <w:r>
        <w:rPr>
          <w:spacing w:val="10"/>
          <w:sz w:val="25"/>
        </w:rPr>
        <w:t> </w:t>
      </w:r>
      <w:r>
        <w:rPr>
          <w:w w:val="99"/>
          <w:sz w:val="25"/>
        </w:rPr>
        <w:t>the</w:t>
      </w:r>
      <w:r>
        <w:rPr>
          <w:spacing w:val="7"/>
          <w:sz w:val="25"/>
        </w:rPr>
        <w:t> </w:t>
      </w:r>
      <w:r>
        <w:rPr>
          <w:spacing w:val="-1"/>
          <w:w w:val="99"/>
          <w:sz w:val="25"/>
        </w:rPr>
        <w:t>a</w:t>
      </w:r>
      <w:r>
        <w:rPr>
          <w:w w:val="99"/>
          <w:sz w:val="25"/>
        </w:rPr>
        <w:t>ncient</w:t>
      </w:r>
      <w:r>
        <w:rPr>
          <w:spacing w:val="7"/>
          <w:sz w:val="25"/>
        </w:rPr>
        <w:t> </w:t>
      </w:r>
      <w:r>
        <w:rPr>
          <w:w w:val="99"/>
          <w:sz w:val="25"/>
        </w:rPr>
        <w:t>ci</w:t>
      </w:r>
      <w:r>
        <w:rPr>
          <w:spacing w:val="2"/>
          <w:w w:val="99"/>
          <w:sz w:val="25"/>
        </w:rPr>
        <w:t>t</w:t>
      </w:r>
      <w:r>
        <w:rPr>
          <w:w w:val="99"/>
          <w:sz w:val="25"/>
        </w:rPr>
        <w:t>y</w:t>
      </w:r>
      <w:r>
        <w:rPr>
          <w:spacing w:val="4"/>
          <w:sz w:val="25"/>
        </w:rPr>
        <w:t> </w:t>
      </w:r>
      <w:r>
        <w:rPr>
          <w:spacing w:val="-1"/>
          <w:w w:val="99"/>
          <w:sz w:val="25"/>
        </w:rPr>
        <w:t>of </w:t>
      </w:r>
      <w:r>
        <w:rPr>
          <w:sz w:val="25"/>
        </w:rPr>
        <w:t>Oude, the capital of the great Rama, are still to be seen; but whatever may have been its former magnificence it now exhibits nothing but a shapeless mass of </w:t>
      </w:r>
      <w:r>
        <w:rPr>
          <w:w w:val="99"/>
          <w:sz w:val="25"/>
        </w:rPr>
        <w:t>r</w:t>
      </w:r>
      <w:r>
        <w:rPr>
          <w:spacing w:val="-1"/>
          <w:w w:val="96"/>
          <w:sz w:val="25"/>
        </w:rPr>
        <w:t>uins</w:t>
      </w:r>
      <w:r>
        <w:rPr>
          <w:spacing w:val="1"/>
          <w:w w:val="96"/>
          <w:sz w:val="25"/>
        </w:rPr>
        <w:t>‖</w:t>
      </w:r>
      <w:r>
        <w:rPr>
          <w:w w:val="99"/>
          <w:sz w:val="25"/>
        </w:rPr>
        <w:t>.</w:t>
      </w:r>
      <w:r>
        <w:rPr>
          <w:sz w:val="25"/>
        </w:rPr>
        <w:t>  </w:t>
      </w:r>
      <w:r>
        <w:rPr>
          <w:spacing w:val="2"/>
          <w:sz w:val="25"/>
        </w:rPr>
        <w:t> </w:t>
      </w:r>
      <w:r>
        <w:rPr>
          <w:spacing w:val="-1"/>
          <w:w w:val="99"/>
          <w:sz w:val="25"/>
        </w:rPr>
        <w:t>H</w:t>
      </w:r>
      <w:r>
        <w:rPr>
          <w:w w:val="99"/>
          <w:sz w:val="25"/>
        </w:rPr>
        <w:t>e</w:t>
      </w:r>
      <w:r>
        <w:rPr>
          <w:sz w:val="25"/>
        </w:rPr>
        <w:t> </w:t>
      </w:r>
      <w:r>
        <w:rPr>
          <w:spacing w:val="-34"/>
          <w:sz w:val="25"/>
        </w:rPr>
        <w:t> </w:t>
      </w:r>
      <w:r>
        <w:rPr>
          <w:w w:val="99"/>
          <w:sz w:val="25"/>
        </w:rPr>
        <w:t>fou</w:t>
      </w:r>
      <w:r>
        <w:rPr>
          <w:spacing w:val="-1"/>
          <w:w w:val="99"/>
          <w:sz w:val="25"/>
        </w:rPr>
        <w:t>n</w:t>
      </w:r>
      <w:r>
        <w:rPr>
          <w:w w:val="99"/>
          <w:sz w:val="25"/>
        </w:rPr>
        <w:t>d</w:t>
      </w:r>
      <w:r>
        <w:rPr>
          <w:sz w:val="25"/>
        </w:rPr>
        <w:t> </w:t>
      </w:r>
      <w:r>
        <w:rPr>
          <w:spacing w:val="-34"/>
          <w:sz w:val="25"/>
        </w:rPr>
        <w:t> </w:t>
      </w:r>
      <w:r>
        <w:rPr>
          <w:w w:val="33"/>
          <w:sz w:val="25"/>
        </w:rPr>
        <w:t>―</w:t>
      </w:r>
      <w:r>
        <w:rPr>
          <w:w w:val="99"/>
          <w:sz w:val="25"/>
        </w:rPr>
        <w:t>a</w:t>
      </w:r>
      <w:r>
        <w:rPr>
          <w:sz w:val="25"/>
        </w:rPr>
        <w:t> </w:t>
      </w:r>
      <w:r>
        <w:rPr>
          <w:spacing w:val="-31"/>
          <w:sz w:val="25"/>
        </w:rPr>
        <w:t> </w:t>
      </w:r>
      <w:r>
        <w:rPr>
          <w:w w:val="99"/>
          <w:sz w:val="25"/>
        </w:rPr>
        <w:t>m</w:t>
      </w:r>
      <w:r>
        <w:rPr>
          <w:spacing w:val="-1"/>
          <w:w w:val="99"/>
          <w:sz w:val="25"/>
        </w:rPr>
        <w:t>as</w:t>
      </w:r>
      <w:r>
        <w:rPr>
          <w:w w:val="99"/>
          <w:sz w:val="25"/>
        </w:rPr>
        <w:t>s</w:t>
      </w:r>
      <w:r>
        <w:rPr>
          <w:sz w:val="25"/>
        </w:rPr>
        <w:t> </w:t>
      </w:r>
      <w:r>
        <w:rPr>
          <w:spacing w:val="-34"/>
          <w:sz w:val="25"/>
        </w:rPr>
        <w:t> </w:t>
      </w:r>
      <w:r>
        <w:rPr>
          <w:spacing w:val="-1"/>
          <w:w w:val="99"/>
          <w:sz w:val="25"/>
        </w:rPr>
        <w:t>o</w:t>
      </w:r>
      <w:r>
        <w:rPr>
          <w:w w:val="99"/>
          <w:sz w:val="25"/>
        </w:rPr>
        <w:t>f</w:t>
      </w:r>
      <w:r>
        <w:rPr>
          <w:sz w:val="25"/>
        </w:rPr>
        <w:t> </w:t>
      </w:r>
      <w:r>
        <w:rPr>
          <w:spacing w:val="-33"/>
          <w:sz w:val="25"/>
        </w:rPr>
        <w:t> </w:t>
      </w:r>
      <w:r>
        <w:rPr>
          <w:w w:val="99"/>
          <w:sz w:val="25"/>
        </w:rPr>
        <w:t>r</w:t>
      </w:r>
      <w:r>
        <w:rPr>
          <w:spacing w:val="-1"/>
          <w:w w:val="99"/>
          <w:sz w:val="25"/>
        </w:rPr>
        <w:t>u</w:t>
      </w:r>
      <w:r>
        <w:rPr>
          <w:w w:val="99"/>
          <w:sz w:val="25"/>
        </w:rPr>
        <w:t>b</w:t>
      </w:r>
      <w:r>
        <w:rPr>
          <w:spacing w:val="-1"/>
          <w:w w:val="99"/>
          <w:sz w:val="25"/>
        </w:rPr>
        <w:t>bis</w:t>
      </w:r>
      <w:r>
        <w:rPr>
          <w:w w:val="99"/>
          <w:sz w:val="25"/>
        </w:rPr>
        <w:t>h</w:t>
      </w:r>
      <w:r>
        <w:rPr>
          <w:sz w:val="25"/>
        </w:rPr>
        <w:t> </w:t>
      </w:r>
      <w:r>
        <w:rPr>
          <w:spacing w:val="-33"/>
          <w:sz w:val="25"/>
        </w:rPr>
        <w:t> </w:t>
      </w:r>
      <w:r>
        <w:rPr>
          <w:spacing w:val="-1"/>
          <w:w w:val="99"/>
          <w:sz w:val="25"/>
        </w:rPr>
        <w:t>a</w:t>
      </w:r>
      <w:r>
        <w:rPr>
          <w:w w:val="99"/>
          <w:sz w:val="25"/>
        </w:rPr>
        <w:t>nd</w:t>
      </w:r>
      <w:r>
        <w:rPr>
          <w:sz w:val="25"/>
        </w:rPr>
        <w:t> </w:t>
      </w:r>
      <w:r>
        <w:rPr>
          <w:spacing w:val="-32"/>
          <w:sz w:val="25"/>
        </w:rPr>
        <w:t> </w:t>
      </w:r>
      <w:r>
        <w:rPr>
          <w:spacing w:val="-1"/>
          <w:w w:val="99"/>
          <w:sz w:val="25"/>
        </w:rPr>
        <w:t>jun</w:t>
      </w:r>
      <w:r>
        <w:rPr>
          <w:w w:val="99"/>
          <w:sz w:val="25"/>
        </w:rPr>
        <w:t>g</w:t>
      </w:r>
      <w:r>
        <w:rPr>
          <w:spacing w:val="-1"/>
          <w:w w:val="99"/>
          <w:sz w:val="25"/>
        </w:rPr>
        <w:t>l</w:t>
      </w:r>
      <w:r>
        <w:rPr>
          <w:w w:val="99"/>
          <w:sz w:val="25"/>
        </w:rPr>
        <w:t>e</w:t>
      </w:r>
      <w:r>
        <w:rPr>
          <w:sz w:val="25"/>
        </w:rPr>
        <w:t> </w:t>
      </w:r>
      <w:r>
        <w:rPr>
          <w:spacing w:val="-34"/>
          <w:sz w:val="25"/>
        </w:rPr>
        <w:t> </w:t>
      </w:r>
      <w:r>
        <w:rPr>
          <w:spacing w:val="-1"/>
          <w:w w:val="99"/>
          <w:sz w:val="25"/>
        </w:rPr>
        <w:t>a</w:t>
      </w:r>
      <w:r>
        <w:rPr>
          <w:w w:val="99"/>
          <w:sz w:val="25"/>
        </w:rPr>
        <w:t>m</w:t>
      </w:r>
      <w:r>
        <w:rPr>
          <w:spacing w:val="-1"/>
          <w:w w:val="99"/>
          <w:sz w:val="25"/>
        </w:rPr>
        <w:t>o</w:t>
      </w:r>
      <w:r>
        <w:rPr>
          <w:w w:val="99"/>
          <w:sz w:val="25"/>
        </w:rPr>
        <w:t>ng</w:t>
      </w:r>
      <w:r>
        <w:rPr>
          <w:sz w:val="25"/>
        </w:rPr>
        <w:t> </w:t>
      </w:r>
      <w:r>
        <w:rPr>
          <w:spacing w:val="-34"/>
          <w:sz w:val="25"/>
        </w:rPr>
        <w:t> </w:t>
      </w:r>
      <w:r>
        <w:rPr>
          <w:spacing w:val="-1"/>
          <w:w w:val="99"/>
          <w:sz w:val="25"/>
        </w:rPr>
        <w:t>whic</w:t>
      </w:r>
      <w:r>
        <w:rPr>
          <w:w w:val="99"/>
          <w:sz w:val="25"/>
        </w:rPr>
        <w:t>h</w:t>
      </w:r>
      <w:r>
        <w:rPr>
          <w:sz w:val="25"/>
        </w:rPr>
        <w:t> </w:t>
      </w:r>
      <w:r>
        <w:rPr>
          <w:spacing w:val="-32"/>
          <w:sz w:val="25"/>
        </w:rPr>
        <w:t> </w:t>
      </w:r>
      <w:r>
        <w:rPr>
          <w:spacing w:val="-1"/>
          <w:w w:val="99"/>
          <w:sz w:val="25"/>
        </w:rPr>
        <w:t>a</w:t>
      </w:r>
      <w:r>
        <w:rPr>
          <w:w w:val="99"/>
          <w:sz w:val="25"/>
        </w:rPr>
        <w:t>re</w:t>
      </w:r>
      <w:r>
        <w:rPr>
          <w:sz w:val="25"/>
        </w:rPr>
        <w:t> </w:t>
      </w:r>
      <w:r>
        <w:rPr>
          <w:spacing w:val="-34"/>
          <w:sz w:val="25"/>
        </w:rPr>
        <w:t> </w:t>
      </w:r>
      <w:r>
        <w:rPr>
          <w:w w:val="99"/>
          <w:sz w:val="25"/>
        </w:rPr>
        <w:t>the</w:t>
      </w:r>
      <w:r>
        <w:rPr>
          <w:sz w:val="25"/>
        </w:rPr>
        <w:t> </w:t>
      </w:r>
      <w:r>
        <w:rPr>
          <w:spacing w:val="-33"/>
          <w:sz w:val="25"/>
        </w:rPr>
        <w:t> </w:t>
      </w:r>
      <w:r>
        <w:rPr>
          <w:w w:val="99"/>
          <w:sz w:val="25"/>
        </w:rPr>
        <w:t>r</w:t>
      </w:r>
      <w:r>
        <w:rPr>
          <w:spacing w:val="-1"/>
          <w:w w:val="99"/>
          <w:sz w:val="25"/>
        </w:rPr>
        <w:t>e</w:t>
      </w:r>
      <w:r>
        <w:rPr>
          <w:w w:val="99"/>
          <w:sz w:val="25"/>
        </w:rPr>
        <w:t>p</w:t>
      </w:r>
      <w:r>
        <w:rPr>
          <w:spacing w:val="-1"/>
          <w:w w:val="99"/>
          <w:sz w:val="25"/>
        </w:rPr>
        <w:t>ut</w:t>
      </w:r>
      <w:r>
        <w:rPr>
          <w:w w:val="99"/>
          <w:sz w:val="25"/>
        </w:rPr>
        <w:t>ed </w:t>
      </w:r>
      <w:r>
        <w:rPr>
          <w:sz w:val="25"/>
        </w:rPr>
        <w:t>sites of temples dedicated to Rama, Seeta, his wife, Lakshman, his general, and Hunimaun (a large monkey), his prime minister‖. Hamilton noticed the religious </w:t>
      </w:r>
      <w:r>
        <w:rPr>
          <w:w w:val="99"/>
          <w:sz w:val="25"/>
        </w:rPr>
        <w:t>m</w:t>
      </w:r>
      <w:r>
        <w:rPr>
          <w:spacing w:val="-1"/>
          <w:w w:val="99"/>
          <w:sz w:val="25"/>
        </w:rPr>
        <w:t>e</w:t>
      </w:r>
      <w:r>
        <w:rPr>
          <w:w w:val="99"/>
          <w:sz w:val="25"/>
        </w:rPr>
        <w:t>n</w:t>
      </w:r>
      <w:r>
        <w:rPr>
          <w:spacing w:val="-1"/>
          <w:w w:val="99"/>
          <w:sz w:val="25"/>
        </w:rPr>
        <w:t>dica</w:t>
      </w:r>
      <w:r>
        <w:rPr>
          <w:w w:val="99"/>
          <w:sz w:val="25"/>
        </w:rPr>
        <w:t>nts,</w:t>
      </w:r>
      <w:r>
        <w:rPr>
          <w:spacing w:val="31"/>
          <w:sz w:val="25"/>
        </w:rPr>
        <w:t> </w:t>
      </w:r>
      <w:r>
        <w:rPr>
          <w:spacing w:val="-1"/>
          <w:w w:val="99"/>
          <w:sz w:val="25"/>
        </w:rPr>
        <w:t>p</w:t>
      </w:r>
      <w:r>
        <w:rPr>
          <w:w w:val="99"/>
          <w:sz w:val="25"/>
        </w:rPr>
        <w:t>erfo</w:t>
      </w:r>
      <w:r>
        <w:rPr>
          <w:spacing w:val="1"/>
          <w:w w:val="99"/>
          <w:sz w:val="25"/>
        </w:rPr>
        <w:t>r</w:t>
      </w:r>
      <w:r>
        <w:rPr>
          <w:w w:val="99"/>
          <w:sz w:val="25"/>
        </w:rPr>
        <w:t>m</w:t>
      </w:r>
      <w:r>
        <w:rPr>
          <w:spacing w:val="-3"/>
          <w:w w:val="99"/>
          <w:sz w:val="25"/>
        </w:rPr>
        <w:t>i</w:t>
      </w:r>
      <w:r>
        <w:rPr>
          <w:spacing w:val="-1"/>
          <w:w w:val="99"/>
          <w:sz w:val="25"/>
        </w:rPr>
        <w:t>n</w:t>
      </w:r>
      <w:r>
        <w:rPr>
          <w:w w:val="99"/>
          <w:sz w:val="25"/>
        </w:rPr>
        <w:t>g</w:t>
      </w:r>
      <w:r>
        <w:rPr>
          <w:spacing w:val="31"/>
          <w:sz w:val="25"/>
        </w:rPr>
        <w:t> </w:t>
      </w:r>
      <w:r>
        <w:rPr>
          <w:w w:val="99"/>
          <w:sz w:val="25"/>
        </w:rPr>
        <w:t>the</w:t>
      </w:r>
      <w:r>
        <w:rPr>
          <w:spacing w:val="31"/>
          <w:sz w:val="25"/>
        </w:rPr>
        <w:t> </w:t>
      </w:r>
      <w:r>
        <w:rPr>
          <w:spacing w:val="-1"/>
          <w:w w:val="99"/>
          <w:sz w:val="25"/>
        </w:rPr>
        <w:t>pilg</w:t>
      </w:r>
      <w:r>
        <w:rPr>
          <w:w w:val="99"/>
          <w:sz w:val="25"/>
        </w:rPr>
        <w:t>r</w:t>
      </w:r>
      <w:r>
        <w:rPr>
          <w:spacing w:val="-1"/>
          <w:w w:val="99"/>
          <w:sz w:val="25"/>
        </w:rPr>
        <w:t>im</w:t>
      </w:r>
      <w:r>
        <w:rPr>
          <w:w w:val="99"/>
          <w:sz w:val="25"/>
        </w:rPr>
        <w:t>a</w:t>
      </w:r>
      <w:r>
        <w:rPr>
          <w:spacing w:val="-1"/>
          <w:w w:val="99"/>
          <w:sz w:val="25"/>
        </w:rPr>
        <w:t>g</w:t>
      </w:r>
      <w:r>
        <w:rPr>
          <w:w w:val="99"/>
          <w:sz w:val="25"/>
        </w:rPr>
        <w:t>e</w:t>
      </w:r>
      <w:r>
        <w:rPr>
          <w:spacing w:val="31"/>
          <w:sz w:val="25"/>
        </w:rPr>
        <w:t> </w:t>
      </w:r>
      <w:r>
        <w:rPr>
          <w:spacing w:val="-1"/>
          <w:w w:val="99"/>
          <w:sz w:val="25"/>
        </w:rPr>
        <w:t>d</w:t>
      </w:r>
      <w:r>
        <w:rPr>
          <w:w w:val="99"/>
          <w:sz w:val="25"/>
        </w:rPr>
        <w:t>r</w:t>
      </w:r>
      <w:r>
        <w:rPr>
          <w:spacing w:val="-3"/>
          <w:w w:val="99"/>
          <w:sz w:val="25"/>
        </w:rPr>
        <w:t>a</w:t>
      </w:r>
      <w:r>
        <w:rPr>
          <w:spacing w:val="-1"/>
          <w:w w:val="99"/>
          <w:sz w:val="25"/>
        </w:rPr>
        <w:t>w</w:t>
      </w:r>
      <w:r>
        <w:rPr>
          <w:w w:val="99"/>
          <w:sz w:val="25"/>
        </w:rPr>
        <w:t>n</w:t>
      </w:r>
      <w:r>
        <w:rPr>
          <w:spacing w:val="31"/>
          <w:sz w:val="25"/>
        </w:rPr>
        <w:t> </w:t>
      </w:r>
      <w:r>
        <w:rPr>
          <w:w w:val="99"/>
          <w:sz w:val="25"/>
        </w:rPr>
        <w:t>fr</w:t>
      </w:r>
      <w:r>
        <w:rPr>
          <w:spacing w:val="-1"/>
          <w:w w:val="99"/>
          <w:sz w:val="25"/>
        </w:rPr>
        <w:t>o</w:t>
      </w:r>
      <w:r>
        <w:rPr>
          <w:w w:val="99"/>
          <w:sz w:val="25"/>
        </w:rPr>
        <w:t>m</w:t>
      </w:r>
      <w:r>
        <w:rPr>
          <w:spacing w:val="32"/>
          <w:sz w:val="25"/>
        </w:rPr>
        <w:t> </w:t>
      </w:r>
      <w:r>
        <w:rPr>
          <w:w w:val="33"/>
          <w:sz w:val="25"/>
        </w:rPr>
        <w:t>―</w:t>
      </w:r>
      <w:r>
        <w:rPr>
          <w:w w:val="99"/>
          <w:sz w:val="25"/>
        </w:rPr>
        <w:t>the</w:t>
      </w:r>
      <w:r>
        <w:rPr>
          <w:spacing w:val="31"/>
          <w:sz w:val="25"/>
        </w:rPr>
        <w:t> </w:t>
      </w:r>
      <w:r>
        <w:rPr>
          <w:spacing w:val="-1"/>
          <w:w w:val="99"/>
          <w:sz w:val="25"/>
        </w:rPr>
        <w:t>Ra</w:t>
      </w:r>
      <w:r>
        <w:rPr>
          <w:w w:val="99"/>
          <w:sz w:val="25"/>
        </w:rPr>
        <w:t>m</w:t>
      </w:r>
      <w:r>
        <w:rPr>
          <w:spacing w:val="-1"/>
          <w:w w:val="99"/>
          <w:sz w:val="25"/>
        </w:rPr>
        <w:t>at</w:t>
      </w:r>
      <w:r>
        <w:rPr>
          <w:w w:val="99"/>
          <w:sz w:val="25"/>
        </w:rPr>
        <w:t>a</w:t>
      </w:r>
      <w:r>
        <w:rPr>
          <w:spacing w:val="29"/>
          <w:sz w:val="25"/>
        </w:rPr>
        <w:t> </w:t>
      </w:r>
      <w:r>
        <w:rPr>
          <w:w w:val="99"/>
          <w:sz w:val="25"/>
        </w:rPr>
        <w:t>sect,</w:t>
      </w:r>
      <w:r>
        <w:rPr>
          <w:spacing w:val="31"/>
          <w:sz w:val="25"/>
        </w:rPr>
        <w:t> </w:t>
      </w:r>
      <w:r>
        <w:rPr>
          <w:spacing w:val="-1"/>
          <w:w w:val="99"/>
          <w:sz w:val="25"/>
        </w:rPr>
        <w:t>wh</w:t>
      </w:r>
      <w:r>
        <w:rPr>
          <w:w w:val="99"/>
          <w:sz w:val="25"/>
        </w:rPr>
        <w:t>o</w:t>
      </w:r>
      <w:r>
        <w:rPr>
          <w:spacing w:val="31"/>
          <w:sz w:val="25"/>
        </w:rPr>
        <w:t> </w:t>
      </w:r>
      <w:r>
        <w:rPr>
          <w:spacing w:val="-1"/>
          <w:w w:val="99"/>
          <w:sz w:val="25"/>
        </w:rPr>
        <w:t>walk </w:t>
      </w:r>
      <w:r>
        <w:rPr>
          <w:sz w:val="25"/>
        </w:rPr>
        <w:t>round the temples and idols, bathe in the holy pools, and performed the customary ceremonies‖. While </w:t>
      </w:r>
      <w:r>
        <w:rPr>
          <w:b/>
          <w:sz w:val="25"/>
        </w:rPr>
        <w:t>Hamilton </w:t>
      </w:r>
      <w:r>
        <w:rPr>
          <w:sz w:val="25"/>
        </w:rPr>
        <w:t>evidently adverts to the belief and faith in Lord Ram, to the temples at Ayodhya and to the customary forms of worship, there is no specific observation either about a Ram Janmabhumi temple or to the mosque.</w:t>
      </w:r>
    </w:p>
    <w:p>
      <w:pPr>
        <w:pStyle w:val="BodyText"/>
        <w:rPr>
          <w:sz w:val="39"/>
        </w:rPr>
      </w:pPr>
    </w:p>
    <w:p>
      <w:pPr>
        <w:pStyle w:val="ListParagraph"/>
        <w:numPr>
          <w:ilvl w:val="0"/>
          <w:numId w:val="166"/>
        </w:numPr>
        <w:tabs>
          <w:tab w:pos="1221" w:val="left" w:leader="none"/>
        </w:tabs>
        <w:spacing w:line="480" w:lineRule="auto" w:before="0" w:after="0"/>
        <w:ind w:left="500" w:right="441" w:firstLine="0"/>
        <w:jc w:val="both"/>
        <w:rPr>
          <w:sz w:val="25"/>
        </w:rPr>
      </w:pPr>
      <w:r>
        <w:rPr>
          <w:b/>
          <w:sz w:val="25"/>
        </w:rPr>
        <w:t>Martin‘s </w:t>
      </w:r>
      <w:r>
        <w:rPr>
          <w:sz w:val="25"/>
        </w:rPr>
        <w:t>account (1838) contains a reference to the destruction of temples </w:t>
      </w:r>
      <w:r>
        <w:rPr>
          <w:spacing w:val="-1"/>
          <w:w w:val="99"/>
          <w:sz w:val="25"/>
        </w:rPr>
        <w:t>a</w:t>
      </w:r>
      <w:r>
        <w:rPr>
          <w:w w:val="99"/>
          <w:sz w:val="25"/>
        </w:rPr>
        <w:t>t</w:t>
      </w:r>
      <w:r>
        <w:rPr>
          <w:sz w:val="25"/>
        </w:rPr>
        <w:t> </w:t>
      </w:r>
      <w:r>
        <w:rPr>
          <w:spacing w:val="1"/>
          <w:w w:val="99"/>
          <w:sz w:val="25"/>
        </w:rPr>
        <w:t>A</w:t>
      </w:r>
      <w:r>
        <w:rPr>
          <w:spacing w:val="-3"/>
          <w:w w:val="99"/>
          <w:sz w:val="25"/>
        </w:rPr>
        <w:t>y</w:t>
      </w:r>
      <w:r>
        <w:rPr>
          <w:spacing w:val="-1"/>
          <w:w w:val="99"/>
          <w:sz w:val="25"/>
        </w:rPr>
        <w:t>o</w:t>
      </w:r>
      <w:r>
        <w:rPr>
          <w:w w:val="99"/>
          <w:sz w:val="25"/>
        </w:rPr>
        <w:t>d</w:t>
      </w:r>
      <w:r>
        <w:rPr>
          <w:spacing w:val="2"/>
          <w:w w:val="99"/>
          <w:sz w:val="25"/>
        </w:rPr>
        <w:t>h</w:t>
      </w:r>
      <w:r>
        <w:rPr>
          <w:spacing w:val="-3"/>
          <w:w w:val="99"/>
          <w:sz w:val="25"/>
        </w:rPr>
        <w:t>y</w:t>
      </w:r>
      <w:r>
        <w:rPr>
          <w:w w:val="99"/>
          <w:sz w:val="25"/>
        </w:rPr>
        <w:t>a</w:t>
      </w:r>
      <w:r>
        <w:rPr>
          <w:spacing w:val="-1"/>
          <w:sz w:val="25"/>
        </w:rPr>
        <w:t> </w:t>
      </w:r>
      <w:r>
        <w:rPr>
          <w:spacing w:val="1"/>
          <w:w w:val="33"/>
          <w:sz w:val="25"/>
        </w:rPr>
        <w:t>―</w:t>
      </w:r>
      <w:r>
        <w:rPr>
          <w:spacing w:val="-1"/>
          <w:w w:val="99"/>
          <w:sz w:val="25"/>
        </w:rPr>
        <w:t>g</w:t>
      </w:r>
      <w:r>
        <w:rPr>
          <w:w w:val="99"/>
          <w:sz w:val="25"/>
        </w:rPr>
        <w:t>e</w:t>
      </w:r>
      <w:r>
        <w:rPr>
          <w:spacing w:val="-1"/>
          <w:w w:val="99"/>
          <w:sz w:val="25"/>
        </w:rPr>
        <w:t>n</w:t>
      </w:r>
      <w:r>
        <w:rPr>
          <w:w w:val="99"/>
          <w:sz w:val="25"/>
        </w:rPr>
        <w:t>er</w:t>
      </w:r>
      <w:r>
        <w:rPr>
          <w:spacing w:val="-1"/>
          <w:w w:val="99"/>
          <w:sz w:val="25"/>
        </w:rPr>
        <w:t>all</w:t>
      </w:r>
      <w:r>
        <w:rPr>
          <w:w w:val="99"/>
          <w:sz w:val="25"/>
        </w:rPr>
        <w:t>y</w:t>
      </w:r>
      <w:r>
        <w:rPr>
          <w:spacing w:val="-1"/>
          <w:sz w:val="25"/>
        </w:rPr>
        <w:t> </w:t>
      </w:r>
      <w:r>
        <w:rPr>
          <w:spacing w:val="-1"/>
          <w:w w:val="99"/>
          <w:sz w:val="25"/>
        </w:rPr>
        <w:t>a</w:t>
      </w:r>
      <w:r>
        <w:rPr>
          <w:w w:val="99"/>
          <w:sz w:val="25"/>
        </w:rPr>
        <w:t>ttr</w:t>
      </w:r>
      <w:r>
        <w:rPr>
          <w:spacing w:val="-1"/>
          <w:w w:val="99"/>
          <w:sz w:val="25"/>
        </w:rPr>
        <w:t>ibu</w:t>
      </w:r>
      <w:r>
        <w:rPr>
          <w:w w:val="99"/>
          <w:sz w:val="25"/>
        </w:rPr>
        <w:t>t</w:t>
      </w:r>
      <w:r>
        <w:rPr>
          <w:spacing w:val="-1"/>
          <w:w w:val="99"/>
          <w:sz w:val="25"/>
        </w:rPr>
        <w:t>e</w:t>
      </w:r>
      <w:r>
        <w:rPr>
          <w:w w:val="99"/>
          <w:sz w:val="25"/>
        </w:rPr>
        <w:t>d</w:t>
      </w:r>
      <w:r>
        <w:rPr>
          <w:sz w:val="25"/>
        </w:rPr>
        <w:t> </w:t>
      </w:r>
      <w:r>
        <w:rPr>
          <w:spacing w:val="-1"/>
          <w:w w:val="99"/>
          <w:sz w:val="25"/>
        </w:rPr>
        <w:t>b</w:t>
      </w:r>
      <w:r>
        <w:rPr>
          <w:w w:val="99"/>
          <w:sz w:val="25"/>
        </w:rPr>
        <w:t>y</w:t>
      </w:r>
      <w:r>
        <w:rPr>
          <w:spacing w:val="-2"/>
          <w:sz w:val="25"/>
        </w:rPr>
        <w:t> </w:t>
      </w:r>
      <w:r>
        <w:rPr>
          <w:w w:val="99"/>
          <w:sz w:val="25"/>
        </w:rPr>
        <w:t>the</w:t>
      </w:r>
      <w:r>
        <w:rPr>
          <w:spacing w:val="-1"/>
          <w:sz w:val="25"/>
        </w:rPr>
        <w:t> </w:t>
      </w:r>
      <w:r>
        <w:rPr>
          <w:spacing w:val="-1"/>
          <w:w w:val="99"/>
          <w:sz w:val="25"/>
        </w:rPr>
        <w:t>Hin</w:t>
      </w:r>
      <w:r>
        <w:rPr>
          <w:spacing w:val="3"/>
          <w:w w:val="99"/>
          <w:sz w:val="25"/>
        </w:rPr>
        <w:t>d</w:t>
      </w:r>
      <w:r>
        <w:rPr>
          <w:spacing w:val="-1"/>
          <w:w w:val="99"/>
          <w:sz w:val="25"/>
        </w:rPr>
        <w:t>u</w:t>
      </w:r>
      <w:r>
        <w:rPr>
          <w:w w:val="99"/>
          <w:sz w:val="25"/>
        </w:rPr>
        <w:t>s</w:t>
      </w:r>
      <w:r>
        <w:rPr>
          <w:spacing w:val="-1"/>
          <w:sz w:val="25"/>
        </w:rPr>
        <w:t> </w:t>
      </w:r>
      <w:r>
        <w:rPr>
          <w:w w:val="99"/>
          <w:sz w:val="25"/>
        </w:rPr>
        <w:t>to</w:t>
      </w:r>
      <w:r>
        <w:rPr>
          <w:spacing w:val="-1"/>
          <w:sz w:val="25"/>
        </w:rPr>
        <w:t> </w:t>
      </w:r>
      <w:r>
        <w:rPr>
          <w:w w:val="99"/>
          <w:sz w:val="25"/>
        </w:rPr>
        <w:t>t</w:t>
      </w:r>
      <w:r>
        <w:rPr>
          <w:spacing w:val="-1"/>
          <w:w w:val="99"/>
          <w:sz w:val="25"/>
        </w:rPr>
        <w:t>h</w:t>
      </w:r>
      <w:r>
        <w:rPr>
          <w:w w:val="99"/>
          <w:sz w:val="25"/>
        </w:rPr>
        <w:t>e</w:t>
      </w:r>
      <w:r>
        <w:rPr>
          <w:sz w:val="25"/>
        </w:rPr>
        <w:t> </w:t>
      </w:r>
      <w:r>
        <w:rPr>
          <w:w w:val="99"/>
          <w:sz w:val="25"/>
        </w:rPr>
        <w:t>fur</w:t>
      </w:r>
      <w:r>
        <w:rPr>
          <w:spacing w:val="-1"/>
          <w:w w:val="99"/>
          <w:sz w:val="25"/>
        </w:rPr>
        <w:t>iou</w:t>
      </w:r>
      <w:r>
        <w:rPr>
          <w:w w:val="99"/>
          <w:sz w:val="25"/>
        </w:rPr>
        <w:t>s</w:t>
      </w:r>
      <w:r>
        <w:rPr>
          <w:sz w:val="25"/>
        </w:rPr>
        <w:t> </w:t>
      </w:r>
      <w:r>
        <w:rPr>
          <w:w w:val="99"/>
          <w:sz w:val="25"/>
        </w:rPr>
        <w:t>zeal</w:t>
      </w:r>
      <w:r>
        <w:rPr>
          <w:spacing w:val="-1"/>
          <w:sz w:val="25"/>
        </w:rPr>
        <w:t> </w:t>
      </w:r>
      <w:r>
        <w:rPr>
          <w:spacing w:val="-1"/>
          <w:w w:val="99"/>
          <w:sz w:val="25"/>
        </w:rPr>
        <w:t>o</w:t>
      </w:r>
      <w:r>
        <w:rPr>
          <w:w w:val="99"/>
          <w:sz w:val="25"/>
        </w:rPr>
        <w:t>f</w:t>
      </w:r>
      <w:r>
        <w:rPr>
          <w:sz w:val="25"/>
        </w:rPr>
        <w:t> </w:t>
      </w:r>
      <w:r>
        <w:rPr>
          <w:spacing w:val="-1"/>
          <w:w w:val="99"/>
          <w:sz w:val="25"/>
        </w:rPr>
        <w:t>Au</w:t>
      </w:r>
      <w:r>
        <w:rPr>
          <w:w w:val="99"/>
          <w:sz w:val="25"/>
        </w:rPr>
        <w:t>r</w:t>
      </w:r>
      <w:r>
        <w:rPr>
          <w:spacing w:val="-1"/>
          <w:w w:val="99"/>
          <w:sz w:val="25"/>
        </w:rPr>
        <w:t>a</w:t>
      </w:r>
      <w:r>
        <w:rPr>
          <w:w w:val="99"/>
          <w:sz w:val="25"/>
        </w:rPr>
        <w:t>n</w:t>
      </w:r>
      <w:r>
        <w:rPr>
          <w:spacing w:val="-1"/>
          <w:w w:val="99"/>
          <w:sz w:val="25"/>
        </w:rPr>
        <w:t>gz</w:t>
      </w:r>
      <w:r>
        <w:rPr>
          <w:w w:val="99"/>
          <w:sz w:val="25"/>
        </w:rPr>
        <w:t>e</w:t>
      </w:r>
      <w:r>
        <w:rPr>
          <w:spacing w:val="-1"/>
          <w:w w:val="99"/>
          <w:sz w:val="25"/>
        </w:rPr>
        <w:t>b</w:t>
      </w:r>
      <w:r>
        <w:rPr>
          <w:w w:val="99"/>
          <w:sz w:val="25"/>
        </w:rPr>
        <w:t>e</w:t>
      </w:r>
      <w:r>
        <w:rPr>
          <w:w w:val="80"/>
          <w:sz w:val="25"/>
        </w:rPr>
        <w:t>‖</w:t>
      </w:r>
      <w:r>
        <w:rPr>
          <w:w w:val="99"/>
          <w:sz w:val="25"/>
        </w:rPr>
        <w:t>, </w:t>
      </w:r>
      <w:r>
        <w:rPr>
          <w:spacing w:val="-1"/>
          <w:w w:val="99"/>
          <w:sz w:val="25"/>
        </w:rPr>
        <w:t>n</w:t>
      </w:r>
      <w:r>
        <w:rPr>
          <w:w w:val="99"/>
          <w:sz w:val="25"/>
        </w:rPr>
        <w:t>oting</w:t>
      </w:r>
      <w:r>
        <w:rPr>
          <w:sz w:val="25"/>
        </w:rPr>
        <w:t> </w:t>
      </w:r>
      <w:r>
        <w:rPr>
          <w:spacing w:val="-24"/>
          <w:sz w:val="25"/>
        </w:rPr>
        <w:t> </w:t>
      </w:r>
      <w:r>
        <w:rPr>
          <w:w w:val="99"/>
          <w:sz w:val="25"/>
        </w:rPr>
        <w:t>that</w:t>
      </w:r>
      <w:r>
        <w:rPr>
          <w:sz w:val="25"/>
        </w:rPr>
        <w:t> </w:t>
      </w:r>
      <w:r>
        <w:rPr>
          <w:spacing w:val="-27"/>
          <w:sz w:val="25"/>
        </w:rPr>
        <w:t> </w:t>
      </w:r>
      <w:r>
        <w:rPr>
          <w:w w:val="33"/>
          <w:sz w:val="25"/>
        </w:rPr>
        <w:t>―</w:t>
      </w:r>
      <w:r>
        <w:rPr>
          <w:spacing w:val="-1"/>
          <w:w w:val="99"/>
          <w:sz w:val="25"/>
        </w:rPr>
        <w:t>n</w:t>
      </w:r>
      <w:r>
        <w:rPr>
          <w:w w:val="99"/>
          <w:sz w:val="25"/>
        </w:rPr>
        <w:t>ot</w:t>
      </w:r>
      <w:r>
        <w:rPr>
          <w:sz w:val="25"/>
        </w:rPr>
        <w:t> </w:t>
      </w:r>
      <w:r>
        <w:rPr>
          <w:spacing w:val="-24"/>
          <w:sz w:val="25"/>
        </w:rPr>
        <w:t> </w:t>
      </w:r>
      <w:r>
        <w:rPr>
          <w:w w:val="99"/>
          <w:sz w:val="25"/>
        </w:rPr>
        <w:t>the</w:t>
      </w:r>
      <w:r>
        <w:rPr>
          <w:sz w:val="25"/>
        </w:rPr>
        <w:t> </w:t>
      </w:r>
      <w:r>
        <w:rPr>
          <w:spacing w:val="-28"/>
          <w:sz w:val="25"/>
        </w:rPr>
        <w:t> </w:t>
      </w:r>
      <w:r>
        <w:rPr>
          <w:w w:val="99"/>
          <w:sz w:val="25"/>
        </w:rPr>
        <w:t>sm</w:t>
      </w:r>
      <w:r>
        <w:rPr>
          <w:spacing w:val="-1"/>
          <w:w w:val="99"/>
          <w:sz w:val="25"/>
        </w:rPr>
        <w:t>alles</w:t>
      </w:r>
      <w:r>
        <w:rPr>
          <w:w w:val="99"/>
          <w:sz w:val="25"/>
        </w:rPr>
        <w:t>t</w:t>
      </w:r>
      <w:r>
        <w:rPr>
          <w:sz w:val="25"/>
        </w:rPr>
        <w:t> </w:t>
      </w:r>
      <w:r>
        <w:rPr>
          <w:spacing w:val="-24"/>
          <w:sz w:val="25"/>
        </w:rPr>
        <w:t> </w:t>
      </w:r>
      <w:r>
        <w:rPr>
          <w:w w:val="99"/>
          <w:sz w:val="25"/>
        </w:rPr>
        <w:t>tr</w:t>
      </w:r>
      <w:r>
        <w:rPr>
          <w:spacing w:val="-1"/>
          <w:w w:val="99"/>
          <w:sz w:val="25"/>
        </w:rPr>
        <w:t>ac</w:t>
      </w:r>
      <w:r>
        <w:rPr>
          <w:w w:val="99"/>
          <w:sz w:val="25"/>
        </w:rPr>
        <w:t>e</w:t>
      </w:r>
      <w:r>
        <w:rPr>
          <w:sz w:val="25"/>
        </w:rPr>
        <w:t> </w:t>
      </w:r>
      <w:r>
        <w:rPr>
          <w:spacing w:val="-24"/>
          <w:sz w:val="25"/>
        </w:rPr>
        <w:t> </w:t>
      </w:r>
      <w:r>
        <w:rPr>
          <w:spacing w:val="-1"/>
          <w:w w:val="99"/>
          <w:sz w:val="25"/>
        </w:rPr>
        <w:t>o</w:t>
      </w:r>
      <w:r>
        <w:rPr>
          <w:w w:val="99"/>
          <w:sz w:val="25"/>
        </w:rPr>
        <w:t>f</w:t>
      </w:r>
      <w:r>
        <w:rPr>
          <w:sz w:val="25"/>
        </w:rPr>
        <w:t> </w:t>
      </w:r>
      <w:r>
        <w:rPr>
          <w:spacing w:val="-26"/>
          <w:sz w:val="25"/>
        </w:rPr>
        <w:t> </w:t>
      </w:r>
      <w:r>
        <w:rPr>
          <w:w w:val="99"/>
          <w:sz w:val="25"/>
        </w:rPr>
        <w:t>th</w:t>
      </w:r>
      <w:r>
        <w:rPr>
          <w:spacing w:val="-2"/>
          <w:w w:val="99"/>
          <w:sz w:val="25"/>
        </w:rPr>
        <w:t>e</w:t>
      </w:r>
      <w:r>
        <w:rPr>
          <w:w w:val="99"/>
          <w:sz w:val="25"/>
        </w:rPr>
        <w:t>m</w:t>
      </w:r>
      <w:r>
        <w:rPr>
          <w:sz w:val="25"/>
        </w:rPr>
        <w:t> </w:t>
      </w:r>
      <w:r>
        <w:rPr>
          <w:spacing w:val="-24"/>
          <w:sz w:val="25"/>
        </w:rPr>
        <w:t> </w:t>
      </w:r>
      <w:r>
        <w:rPr>
          <w:w w:val="99"/>
          <w:sz w:val="25"/>
        </w:rPr>
        <w:t>r</w:t>
      </w:r>
      <w:r>
        <w:rPr>
          <w:spacing w:val="-1"/>
          <w:w w:val="99"/>
          <w:sz w:val="25"/>
        </w:rPr>
        <w:t>e</w:t>
      </w:r>
      <w:r>
        <w:rPr>
          <w:w w:val="99"/>
          <w:sz w:val="25"/>
        </w:rPr>
        <w:t>m</w:t>
      </w:r>
      <w:r>
        <w:rPr>
          <w:spacing w:val="-1"/>
          <w:w w:val="96"/>
          <w:sz w:val="25"/>
        </w:rPr>
        <w:t>ains</w:t>
      </w:r>
      <w:r>
        <w:rPr>
          <w:spacing w:val="-2"/>
          <w:w w:val="96"/>
          <w:sz w:val="25"/>
        </w:rPr>
        <w:t>‖</w:t>
      </w:r>
      <w:r>
        <w:rPr>
          <w:w w:val="99"/>
          <w:sz w:val="25"/>
        </w:rPr>
        <w:t>.</w:t>
      </w:r>
      <w:r>
        <w:rPr>
          <w:sz w:val="25"/>
        </w:rPr>
        <w:t> </w:t>
      </w:r>
      <w:r>
        <w:rPr>
          <w:spacing w:val="-24"/>
          <w:sz w:val="25"/>
        </w:rPr>
        <w:t> </w:t>
      </w:r>
      <w:r>
        <w:rPr>
          <w:w w:val="99"/>
          <w:sz w:val="25"/>
        </w:rPr>
        <w:t>T</w:t>
      </w:r>
      <w:r>
        <w:rPr>
          <w:spacing w:val="-1"/>
          <w:w w:val="99"/>
          <w:sz w:val="25"/>
        </w:rPr>
        <w:t>h</w:t>
      </w:r>
      <w:r>
        <w:rPr>
          <w:w w:val="99"/>
          <w:sz w:val="25"/>
        </w:rPr>
        <w:t>e</w:t>
      </w:r>
      <w:r>
        <w:rPr>
          <w:sz w:val="25"/>
        </w:rPr>
        <w:t> </w:t>
      </w:r>
      <w:r>
        <w:rPr>
          <w:spacing w:val="-26"/>
          <w:sz w:val="25"/>
        </w:rPr>
        <w:t> </w:t>
      </w:r>
      <w:r>
        <w:rPr>
          <w:w w:val="99"/>
          <w:sz w:val="25"/>
        </w:rPr>
        <w:t>m</w:t>
      </w:r>
      <w:r>
        <w:rPr>
          <w:spacing w:val="-3"/>
          <w:w w:val="99"/>
          <w:sz w:val="25"/>
        </w:rPr>
        <w:t>o</w:t>
      </w:r>
      <w:r>
        <w:rPr>
          <w:w w:val="99"/>
          <w:sz w:val="25"/>
        </w:rPr>
        <w:t>sque</w:t>
      </w:r>
      <w:r>
        <w:rPr>
          <w:sz w:val="25"/>
        </w:rPr>
        <w:t> </w:t>
      </w:r>
      <w:r>
        <w:rPr>
          <w:spacing w:val="-24"/>
          <w:sz w:val="25"/>
        </w:rPr>
        <w:t> </w:t>
      </w:r>
      <w:r>
        <w:rPr>
          <w:spacing w:val="-1"/>
          <w:w w:val="99"/>
          <w:sz w:val="25"/>
        </w:rPr>
        <w:t>a</w:t>
      </w:r>
      <w:r>
        <w:rPr>
          <w:w w:val="99"/>
          <w:sz w:val="25"/>
        </w:rPr>
        <w:t>t</w:t>
      </w:r>
      <w:r>
        <w:rPr>
          <w:sz w:val="25"/>
        </w:rPr>
        <w:t> </w:t>
      </w:r>
      <w:r>
        <w:rPr>
          <w:spacing w:val="-24"/>
          <w:sz w:val="25"/>
        </w:rPr>
        <w:t> </w:t>
      </w:r>
      <w:r>
        <w:rPr>
          <w:spacing w:val="-1"/>
          <w:w w:val="99"/>
          <w:sz w:val="25"/>
        </w:rPr>
        <w:t>A</w:t>
      </w:r>
      <w:r>
        <w:rPr>
          <w:spacing w:val="-3"/>
          <w:w w:val="99"/>
          <w:sz w:val="25"/>
        </w:rPr>
        <w:t>y</w:t>
      </w:r>
      <w:r>
        <w:rPr>
          <w:spacing w:val="-1"/>
          <w:w w:val="99"/>
          <w:sz w:val="25"/>
        </w:rPr>
        <w:t>o</w:t>
      </w:r>
      <w:r>
        <w:rPr>
          <w:w w:val="99"/>
          <w:sz w:val="25"/>
        </w:rPr>
        <w:t>d</w:t>
      </w:r>
      <w:r>
        <w:rPr>
          <w:spacing w:val="-1"/>
          <w:w w:val="99"/>
          <w:sz w:val="25"/>
        </w:rPr>
        <w:t>h</w:t>
      </w:r>
      <w:r>
        <w:rPr>
          <w:spacing w:val="-3"/>
          <w:w w:val="99"/>
          <w:sz w:val="25"/>
        </w:rPr>
        <w:t>y</w:t>
      </w:r>
      <w:r>
        <w:rPr>
          <w:w w:val="99"/>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1"/>
        <w:ind w:left="500" w:right="435"/>
        <w:jc w:val="both"/>
      </w:pPr>
      <w:r>
        <w:rPr>
          <w:w w:val="99"/>
        </w:rPr>
        <w:t>which</w:t>
      </w:r>
      <w:r>
        <w:rPr/>
        <w:t>  </w:t>
      </w:r>
      <w:r>
        <w:rPr>
          <w:b/>
          <w:w w:val="99"/>
        </w:rPr>
        <w:t>M</w:t>
      </w:r>
      <w:r>
        <w:rPr>
          <w:b/>
          <w:spacing w:val="-1"/>
          <w:w w:val="99"/>
        </w:rPr>
        <w:t>arti</w:t>
      </w:r>
      <w:r>
        <w:rPr>
          <w:b/>
          <w:spacing w:val="1"/>
          <w:w w:val="99"/>
        </w:rPr>
        <w:t>n</w:t>
      </w:r>
      <w:r>
        <w:rPr>
          <w:b/>
          <w:w w:val="99"/>
        </w:rPr>
        <w:t>‘s</w:t>
      </w:r>
      <w:r>
        <w:rPr>
          <w:b/>
        </w:rPr>
        <w:t> </w:t>
      </w:r>
      <w:r>
        <w:rPr>
          <w:b/>
          <w:spacing w:val="1"/>
        </w:rPr>
        <w:t> </w:t>
      </w:r>
      <w:r>
        <w:rPr>
          <w:w w:val="99"/>
        </w:rPr>
        <w:t>stat</w:t>
      </w:r>
      <w:r>
        <w:rPr>
          <w:spacing w:val="-3"/>
          <w:w w:val="99"/>
        </w:rPr>
        <w:t>e</w:t>
      </w:r>
      <w:r>
        <w:rPr>
          <w:w w:val="99"/>
        </w:rPr>
        <w:t>s</w:t>
      </w:r>
      <w:r>
        <w:rPr/>
        <w:t>  </w:t>
      </w:r>
      <w:r>
        <w:rPr>
          <w:w w:val="33"/>
        </w:rPr>
        <w:t>―</w:t>
      </w:r>
      <w:r>
        <w:rPr>
          <w:spacing w:val="-1"/>
          <w:w w:val="99"/>
        </w:rPr>
        <w:t>h</w:t>
      </w:r>
      <w:r>
        <w:rPr>
          <w:w w:val="99"/>
        </w:rPr>
        <w:t>as</w:t>
      </w:r>
      <w:r>
        <w:rPr/>
        <w:t>  </w:t>
      </w:r>
      <w:r>
        <w:rPr>
          <w:spacing w:val="-1"/>
          <w:w w:val="99"/>
        </w:rPr>
        <w:t>e</w:t>
      </w:r>
      <w:r>
        <w:rPr>
          <w:spacing w:val="-3"/>
          <w:w w:val="99"/>
        </w:rPr>
        <w:t>v</w:t>
      </w:r>
      <w:r>
        <w:rPr>
          <w:spacing w:val="-1"/>
          <w:w w:val="99"/>
        </w:rPr>
        <w:t>e</w:t>
      </w:r>
      <w:r>
        <w:rPr>
          <w:w w:val="99"/>
        </w:rPr>
        <w:t>ry</w:t>
      </w:r>
      <w:r>
        <w:rPr/>
        <w:t> </w:t>
      </w:r>
      <w:r>
        <w:rPr>
          <w:spacing w:val="-3"/>
        </w:rPr>
        <w:t> </w:t>
      </w:r>
      <w:r>
        <w:rPr>
          <w:spacing w:val="-1"/>
          <w:w w:val="99"/>
        </w:rPr>
        <w:t>a</w:t>
      </w:r>
      <w:r>
        <w:rPr>
          <w:w w:val="99"/>
        </w:rPr>
        <w:t>p</w:t>
      </w:r>
      <w:r>
        <w:rPr>
          <w:spacing w:val="-1"/>
          <w:w w:val="99"/>
        </w:rPr>
        <w:t>p</w:t>
      </w:r>
      <w:r>
        <w:rPr>
          <w:w w:val="99"/>
        </w:rPr>
        <w:t>e</w:t>
      </w:r>
      <w:r>
        <w:rPr>
          <w:spacing w:val="-1"/>
          <w:w w:val="99"/>
        </w:rPr>
        <w:t>a</w:t>
      </w:r>
      <w:r>
        <w:rPr>
          <w:w w:val="99"/>
        </w:rPr>
        <w:t>r</w:t>
      </w:r>
      <w:r>
        <w:rPr>
          <w:spacing w:val="-1"/>
          <w:w w:val="99"/>
        </w:rPr>
        <w:t>a</w:t>
      </w:r>
      <w:r>
        <w:rPr>
          <w:w w:val="99"/>
        </w:rPr>
        <w:t>nce</w:t>
      </w:r>
      <w:r>
        <w:rPr/>
        <w:t>  </w:t>
      </w:r>
      <w:r>
        <w:rPr>
          <w:spacing w:val="-1"/>
          <w:w w:val="99"/>
        </w:rPr>
        <w:t>o</w:t>
      </w:r>
      <w:r>
        <w:rPr>
          <w:w w:val="99"/>
        </w:rPr>
        <w:t>f</w:t>
      </w:r>
      <w:r>
        <w:rPr/>
        <w:t>  </w:t>
      </w:r>
      <w:r>
        <w:rPr>
          <w:spacing w:val="-1"/>
          <w:w w:val="99"/>
        </w:rPr>
        <w:t>b</w:t>
      </w:r>
      <w:r>
        <w:rPr>
          <w:w w:val="99"/>
        </w:rPr>
        <w:t>e</w:t>
      </w:r>
      <w:r>
        <w:rPr>
          <w:spacing w:val="-1"/>
          <w:w w:val="99"/>
        </w:rPr>
        <w:t>in</w:t>
      </w:r>
      <w:r>
        <w:rPr>
          <w:w w:val="99"/>
        </w:rPr>
        <w:t>g</w:t>
      </w:r>
      <w:r>
        <w:rPr/>
        <w:t>  </w:t>
      </w:r>
      <w:r>
        <w:rPr>
          <w:w w:val="99"/>
        </w:rPr>
        <w:t>t</w:t>
      </w:r>
      <w:r>
        <w:rPr>
          <w:spacing w:val="-2"/>
          <w:w w:val="99"/>
        </w:rPr>
        <w:t>h</w:t>
      </w:r>
      <w:r>
        <w:rPr>
          <w:w w:val="99"/>
        </w:rPr>
        <w:t>e</w:t>
      </w:r>
      <w:r>
        <w:rPr/>
        <w:t> </w:t>
      </w:r>
      <w:r>
        <w:rPr>
          <w:spacing w:val="-2"/>
        </w:rPr>
        <w:t> </w:t>
      </w:r>
      <w:r>
        <w:rPr>
          <w:w w:val="99"/>
        </w:rPr>
        <w:t>m</w:t>
      </w:r>
      <w:r>
        <w:rPr>
          <w:spacing w:val="-1"/>
          <w:w w:val="99"/>
        </w:rPr>
        <w:t>os</w:t>
      </w:r>
      <w:r>
        <w:rPr>
          <w:w w:val="99"/>
        </w:rPr>
        <w:t>t</w:t>
      </w:r>
      <w:r>
        <w:rPr/>
        <w:t>  </w:t>
      </w:r>
      <w:r>
        <w:rPr>
          <w:w w:val="99"/>
        </w:rPr>
        <w:t>m</w:t>
      </w:r>
      <w:r>
        <w:rPr>
          <w:spacing w:val="-1"/>
          <w:w w:val="99"/>
        </w:rPr>
        <w:t>o</w:t>
      </w:r>
      <w:r>
        <w:rPr>
          <w:w w:val="99"/>
        </w:rPr>
        <w:t>d</w:t>
      </w:r>
      <w:r>
        <w:rPr>
          <w:spacing w:val="-1"/>
          <w:w w:val="99"/>
        </w:rPr>
        <w:t>e</w:t>
      </w:r>
      <w:r>
        <w:rPr>
          <w:w w:val="99"/>
        </w:rPr>
        <w:t>r</w:t>
      </w:r>
      <w:r>
        <w:rPr>
          <w:spacing w:val="-3"/>
          <w:w w:val="99"/>
        </w:rPr>
        <w:t>n</w:t>
      </w:r>
      <w:r>
        <w:rPr>
          <w:w w:val="80"/>
        </w:rPr>
        <w:t>‖</w:t>
      </w:r>
      <w:r>
        <w:rPr/>
        <w:t>  </w:t>
      </w:r>
      <w:r>
        <w:rPr>
          <w:spacing w:val="-1"/>
          <w:w w:val="99"/>
        </w:rPr>
        <w:t>is </w:t>
      </w:r>
      <w:r>
        <w:rPr/>
        <w:t>ascertained by the inscription on its walls to have been built by Babur, five generations before Aurangzeb. </w:t>
      </w:r>
      <w:r>
        <w:rPr>
          <w:b/>
        </w:rPr>
        <w:t>Martin </w:t>
      </w:r>
      <w:r>
        <w:rPr/>
        <w:t>refers to the belief of the people of Ayodhya that after the death of Vrihadbala, their city was deserted until the time </w:t>
      </w:r>
      <w:r>
        <w:rPr>
          <w:spacing w:val="-1"/>
          <w:w w:val="99"/>
        </w:rPr>
        <w:t>o</w:t>
      </w:r>
      <w:r>
        <w:rPr>
          <w:w w:val="99"/>
        </w:rPr>
        <w:t>f</w:t>
      </w:r>
      <w:r>
        <w:rPr/>
        <w:t> </w:t>
      </w:r>
      <w:r>
        <w:rPr>
          <w:spacing w:val="-9"/>
        </w:rPr>
        <w:t> </w:t>
      </w:r>
      <w:r>
        <w:rPr>
          <w:w w:val="33"/>
        </w:rPr>
        <w:t>―</w:t>
      </w:r>
      <w:r>
        <w:rPr>
          <w:spacing w:val="-1"/>
          <w:w w:val="99"/>
        </w:rPr>
        <w:t>Vikr</w:t>
      </w:r>
      <w:r>
        <w:rPr>
          <w:w w:val="99"/>
        </w:rPr>
        <w:t>ama</w:t>
      </w:r>
      <w:r>
        <w:rPr/>
        <w:t> </w:t>
      </w:r>
      <w:r>
        <w:rPr>
          <w:spacing w:val="-10"/>
        </w:rPr>
        <w:t> </w:t>
      </w:r>
      <w:r>
        <w:rPr>
          <w:spacing w:val="-1"/>
          <w:w w:val="99"/>
        </w:rPr>
        <w:t>o</w:t>
      </w:r>
      <w:r>
        <w:rPr>
          <w:w w:val="99"/>
        </w:rPr>
        <w:t>f</w:t>
      </w:r>
      <w:r>
        <w:rPr/>
        <w:t> </w:t>
      </w:r>
      <w:r>
        <w:rPr>
          <w:spacing w:val="-9"/>
        </w:rPr>
        <w:t> </w:t>
      </w:r>
      <w:r>
        <w:rPr>
          <w:spacing w:val="-1"/>
          <w:w w:val="99"/>
        </w:rPr>
        <w:t>Ujjai</w:t>
      </w:r>
      <w:r>
        <w:rPr>
          <w:spacing w:val="2"/>
          <w:w w:val="99"/>
        </w:rPr>
        <w:t>n</w:t>
      </w:r>
      <w:r>
        <w:rPr>
          <w:w w:val="80"/>
        </w:rPr>
        <w:t>‖</w:t>
      </w:r>
      <w:r>
        <w:rPr/>
        <w:t> </w:t>
      </w:r>
      <w:r>
        <w:rPr>
          <w:spacing w:val="-9"/>
        </w:rPr>
        <w:t> </w:t>
      </w:r>
      <w:r>
        <w:rPr>
          <w:spacing w:val="-1"/>
          <w:w w:val="99"/>
        </w:rPr>
        <w:t>wh</w:t>
      </w:r>
      <w:r>
        <w:rPr>
          <w:w w:val="99"/>
        </w:rPr>
        <w:t>o</w:t>
      </w:r>
      <w:r>
        <w:rPr/>
        <w:t> </w:t>
      </w:r>
      <w:r>
        <w:rPr>
          <w:spacing w:val="-9"/>
        </w:rPr>
        <w:t> </w:t>
      </w:r>
      <w:r>
        <w:rPr>
          <w:w w:val="99"/>
        </w:rPr>
        <w:t>ca</w:t>
      </w:r>
      <w:r>
        <w:rPr>
          <w:spacing w:val="1"/>
          <w:w w:val="99"/>
        </w:rPr>
        <w:t>m</w:t>
      </w:r>
      <w:r>
        <w:rPr>
          <w:w w:val="99"/>
        </w:rPr>
        <w:t>e</w:t>
      </w:r>
      <w:r>
        <w:rPr/>
        <w:t> </w:t>
      </w:r>
      <w:r>
        <w:rPr>
          <w:spacing w:val="-10"/>
        </w:rPr>
        <w:t> </w:t>
      </w:r>
      <w:r>
        <w:rPr>
          <w:spacing w:val="-1"/>
          <w:w w:val="99"/>
        </w:rPr>
        <w:t>i</w:t>
      </w:r>
      <w:r>
        <w:rPr>
          <w:w w:val="99"/>
        </w:rPr>
        <w:t>n</w:t>
      </w:r>
      <w:r>
        <w:rPr/>
        <w:t> </w:t>
      </w:r>
      <w:r>
        <w:rPr>
          <w:spacing w:val="-10"/>
        </w:rPr>
        <w:t> </w:t>
      </w:r>
      <w:r>
        <w:rPr>
          <w:w w:val="99"/>
        </w:rPr>
        <w:t>sea</w:t>
      </w:r>
      <w:r>
        <w:rPr>
          <w:spacing w:val="3"/>
          <w:w w:val="99"/>
        </w:rPr>
        <w:t>r</w:t>
      </w:r>
      <w:r>
        <w:rPr>
          <w:w w:val="99"/>
        </w:rPr>
        <w:t>ch</w:t>
      </w:r>
      <w:r>
        <w:rPr/>
        <w:t> </w:t>
      </w:r>
      <w:r>
        <w:rPr>
          <w:spacing w:val="-10"/>
        </w:rPr>
        <w:t> </w:t>
      </w:r>
      <w:r>
        <w:rPr>
          <w:spacing w:val="-1"/>
          <w:w w:val="99"/>
        </w:rPr>
        <w:t>o</w:t>
      </w:r>
      <w:r>
        <w:rPr>
          <w:w w:val="99"/>
        </w:rPr>
        <w:t>f</w:t>
      </w:r>
      <w:r>
        <w:rPr/>
        <w:t> </w:t>
      </w:r>
      <w:r>
        <w:rPr>
          <w:spacing w:val="-9"/>
        </w:rPr>
        <w:t> </w:t>
      </w:r>
      <w:r>
        <w:rPr>
          <w:w w:val="99"/>
        </w:rPr>
        <w:t>the</w:t>
      </w:r>
      <w:r>
        <w:rPr/>
        <w:t> </w:t>
      </w:r>
      <w:r>
        <w:rPr>
          <w:spacing w:val="-9"/>
        </w:rPr>
        <w:t> </w:t>
      </w:r>
      <w:r>
        <w:rPr>
          <w:spacing w:val="-1"/>
          <w:w w:val="99"/>
        </w:rPr>
        <w:t>h</w:t>
      </w:r>
      <w:r>
        <w:rPr>
          <w:w w:val="99"/>
        </w:rPr>
        <w:t>o</w:t>
      </w:r>
      <w:r>
        <w:rPr>
          <w:spacing w:val="1"/>
          <w:w w:val="99"/>
        </w:rPr>
        <w:t>l</w:t>
      </w:r>
      <w:r>
        <w:rPr>
          <w:w w:val="99"/>
        </w:rPr>
        <w:t>y</w:t>
      </w:r>
      <w:r>
        <w:rPr/>
        <w:t> </w:t>
      </w:r>
      <w:r>
        <w:rPr>
          <w:spacing w:val="-10"/>
        </w:rPr>
        <w:t> </w:t>
      </w:r>
      <w:r>
        <w:rPr>
          <w:w w:val="99"/>
        </w:rPr>
        <w:t>ci</w:t>
      </w:r>
      <w:r>
        <w:rPr>
          <w:spacing w:val="2"/>
          <w:w w:val="99"/>
        </w:rPr>
        <w:t>t</w:t>
      </w:r>
      <w:r>
        <w:rPr>
          <w:w w:val="99"/>
        </w:rPr>
        <w:t>y</w:t>
      </w:r>
      <w:r>
        <w:rPr/>
        <w:t> </w:t>
      </w:r>
      <w:r>
        <w:rPr>
          <w:spacing w:val="-13"/>
        </w:rPr>
        <w:t> </w:t>
      </w:r>
      <w:r>
        <w:rPr>
          <w:spacing w:val="2"/>
          <w:w w:val="99"/>
        </w:rPr>
        <w:t>a</w:t>
      </w:r>
      <w:r>
        <w:rPr>
          <w:spacing w:val="-1"/>
          <w:w w:val="99"/>
        </w:rPr>
        <w:t>n</w:t>
      </w:r>
      <w:r>
        <w:rPr>
          <w:w w:val="99"/>
        </w:rPr>
        <w:t>d</w:t>
      </w:r>
      <w:r>
        <w:rPr/>
        <w:t> </w:t>
      </w:r>
      <w:r>
        <w:rPr>
          <w:spacing w:val="-10"/>
        </w:rPr>
        <w:t> </w:t>
      </w:r>
      <w:r>
        <w:rPr>
          <w:spacing w:val="-1"/>
          <w:w w:val="99"/>
        </w:rPr>
        <w:t>e</w:t>
      </w:r>
      <w:r>
        <w:rPr>
          <w:w w:val="99"/>
        </w:rPr>
        <w:t>r</w:t>
      </w:r>
      <w:r>
        <w:rPr>
          <w:spacing w:val="-1"/>
          <w:w w:val="99"/>
        </w:rPr>
        <w:t>ect</w:t>
      </w:r>
      <w:r>
        <w:rPr>
          <w:w w:val="99"/>
        </w:rPr>
        <w:t>ed</w:t>
      </w:r>
      <w:r>
        <w:rPr/>
        <w:t> </w:t>
      </w:r>
      <w:r>
        <w:rPr>
          <w:spacing w:val="-10"/>
        </w:rPr>
        <w:t> </w:t>
      </w:r>
      <w:r>
        <w:rPr>
          <w:spacing w:val="-1"/>
          <w:w w:val="99"/>
        </w:rPr>
        <w:t>3</w:t>
      </w:r>
      <w:r>
        <w:rPr>
          <w:w w:val="99"/>
        </w:rPr>
        <w:t>60 </w:t>
      </w:r>
      <w:r>
        <w:rPr/>
        <w:t>temples on the places sanctified by the belief of Lord Ram. </w:t>
      </w:r>
      <w:r>
        <w:rPr>
          <w:b/>
        </w:rPr>
        <w:t>Martin </w:t>
      </w:r>
      <w:r>
        <w:rPr/>
        <w:t>while referring </w:t>
      </w:r>
      <w:r>
        <w:rPr>
          <w:w w:val="99"/>
        </w:rPr>
        <w:t>to</w:t>
      </w:r>
      <w:r>
        <w:rPr>
          <w:spacing w:val="15"/>
        </w:rPr>
        <w:t> </w:t>
      </w:r>
      <w:r>
        <w:rPr>
          <w:w w:val="33"/>
        </w:rPr>
        <w:t>―</w:t>
      </w:r>
      <w:r>
        <w:rPr>
          <w:spacing w:val="-1"/>
          <w:w w:val="99"/>
        </w:rPr>
        <w:t>Vikr</w:t>
      </w:r>
      <w:r>
        <w:rPr>
          <w:w w:val="99"/>
        </w:rPr>
        <w:t>am</w:t>
      </w:r>
      <w:r>
        <w:rPr>
          <w:spacing w:val="-1"/>
          <w:w w:val="91"/>
        </w:rPr>
        <w:t>a</w:t>
      </w:r>
      <w:r>
        <w:rPr>
          <w:w w:val="91"/>
        </w:rPr>
        <w:t>‖</w:t>
      </w:r>
      <w:r>
        <w:rPr>
          <w:w w:val="99"/>
        </w:rPr>
        <w:t>,</w:t>
      </w:r>
      <w:r>
        <w:rPr>
          <w:spacing w:val="12"/>
        </w:rPr>
        <w:t> </w:t>
      </w:r>
      <w:r>
        <w:rPr>
          <w:w w:val="99"/>
        </w:rPr>
        <w:t>r</w:t>
      </w:r>
      <w:r>
        <w:rPr>
          <w:spacing w:val="-1"/>
          <w:w w:val="99"/>
        </w:rPr>
        <w:t>ef</w:t>
      </w:r>
      <w:r>
        <w:rPr>
          <w:w w:val="99"/>
        </w:rPr>
        <w:t>ers</w:t>
      </w:r>
      <w:r>
        <w:rPr>
          <w:spacing w:val="11"/>
        </w:rPr>
        <w:t> </w:t>
      </w:r>
      <w:r>
        <w:rPr>
          <w:spacing w:val="-3"/>
          <w:w w:val="99"/>
        </w:rPr>
        <w:t>b</w:t>
      </w:r>
      <w:r>
        <w:rPr>
          <w:spacing w:val="-1"/>
          <w:w w:val="99"/>
        </w:rPr>
        <w:t>ot</w:t>
      </w:r>
      <w:r>
        <w:rPr>
          <w:w w:val="99"/>
        </w:rPr>
        <w:t>h</w:t>
      </w:r>
      <w:r>
        <w:rPr>
          <w:spacing w:val="15"/>
        </w:rPr>
        <w:t> </w:t>
      </w:r>
      <w:r>
        <w:rPr>
          <w:w w:val="99"/>
        </w:rPr>
        <w:t>to</w:t>
      </w:r>
      <w:r>
        <w:rPr>
          <w:spacing w:val="15"/>
        </w:rPr>
        <w:t> </w:t>
      </w:r>
      <w:r>
        <w:rPr>
          <w:w w:val="99"/>
        </w:rPr>
        <w:t>the</w:t>
      </w:r>
      <w:r>
        <w:rPr>
          <w:spacing w:val="13"/>
        </w:rPr>
        <w:t> </w:t>
      </w:r>
      <w:r>
        <w:rPr>
          <w:spacing w:val="-1"/>
          <w:w w:val="99"/>
        </w:rPr>
        <w:t>o</w:t>
      </w:r>
      <w:r>
        <w:rPr>
          <w:w w:val="99"/>
        </w:rPr>
        <w:t>r</w:t>
      </w:r>
      <w:r>
        <w:rPr>
          <w:spacing w:val="-1"/>
          <w:w w:val="99"/>
        </w:rPr>
        <w:t>igin</w:t>
      </w:r>
      <w:r>
        <w:rPr>
          <w:w w:val="99"/>
        </w:rPr>
        <w:t>at</w:t>
      </w:r>
      <w:r>
        <w:rPr>
          <w:spacing w:val="-2"/>
          <w:w w:val="99"/>
        </w:rPr>
        <w:t>o</w:t>
      </w:r>
      <w:r>
        <w:rPr>
          <w:w w:val="99"/>
        </w:rPr>
        <w:t>r</w:t>
      </w:r>
      <w:r>
        <w:rPr>
          <w:spacing w:val="15"/>
        </w:rPr>
        <w:t> </w:t>
      </w:r>
      <w:r>
        <w:rPr>
          <w:spacing w:val="-3"/>
          <w:w w:val="99"/>
        </w:rPr>
        <w:t>o</w:t>
      </w:r>
      <w:r>
        <w:rPr>
          <w:w w:val="99"/>
        </w:rPr>
        <w:t>f</w:t>
      </w:r>
      <w:r>
        <w:rPr>
          <w:spacing w:val="14"/>
        </w:rPr>
        <w:t> </w:t>
      </w:r>
      <w:r>
        <w:rPr>
          <w:w w:val="99"/>
        </w:rPr>
        <w:t>the</w:t>
      </w:r>
      <w:r>
        <w:rPr>
          <w:spacing w:val="20"/>
        </w:rPr>
        <w:t> </w:t>
      </w:r>
      <w:r>
        <w:rPr>
          <w:spacing w:val="-1"/>
          <w:w w:val="99"/>
        </w:rPr>
        <w:t>S</w:t>
      </w:r>
      <w:r>
        <w:rPr>
          <w:w w:val="99"/>
        </w:rPr>
        <w:t>a</w:t>
      </w:r>
      <w:r>
        <w:rPr>
          <w:spacing w:val="1"/>
          <w:w w:val="99"/>
        </w:rPr>
        <w:t>m</w:t>
      </w:r>
      <w:r>
        <w:rPr>
          <w:spacing w:val="-3"/>
          <w:w w:val="99"/>
        </w:rPr>
        <w:t>v</w:t>
      </w:r>
      <w:r>
        <w:rPr>
          <w:w w:val="99"/>
        </w:rPr>
        <w:t>at</w:t>
      </w:r>
      <w:r>
        <w:rPr>
          <w:spacing w:val="14"/>
        </w:rPr>
        <w:t> </w:t>
      </w:r>
      <w:r>
        <w:rPr>
          <w:w w:val="99"/>
        </w:rPr>
        <w:t>e</w:t>
      </w:r>
      <w:r>
        <w:rPr>
          <w:spacing w:val="1"/>
          <w:w w:val="99"/>
        </w:rPr>
        <w:t>r</w:t>
      </w:r>
      <w:r>
        <w:rPr>
          <w:w w:val="99"/>
        </w:rPr>
        <w:t>a</w:t>
      </w:r>
      <w:r>
        <w:rPr>
          <w:spacing w:val="14"/>
        </w:rPr>
        <w:t> </w:t>
      </w:r>
      <w:r>
        <w:rPr>
          <w:w w:val="99"/>
        </w:rPr>
        <w:t>and</w:t>
      </w:r>
      <w:r>
        <w:rPr>
          <w:spacing w:val="12"/>
        </w:rPr>
        <w:t> </w:t>
      </w:r>
      <w:r>
        <w:rPr>
          <w:w w:val="99"/>
        </w:rPr>
        <w:t>to</w:t>
      </w:r>
      <w:r>
        <w:rPr>
          <w:spacing w:val="14"/>
        </w:rPr>
        <w:t> </w:t>
      </w:r>
      <w:r>
        <w:rPr>
          <w:w w:val="99"/>
        </w:rPr>
        <w:t>the</w:t>
      </w:r>
      <w:r>
        <w:rPr>
          <w:spacing w:val="13"/>
        </w:rPr>
        <w:t> </w:t>
      </w:r>
      <w:r>
        <w:rPr>
          <w:w w:val="99"/>
        </w:rPr>
        <w:t>latter</w:t>
      </w:r>
      <w:r>
        <w:rPr>
          <w:spacing w:val="12"/>
        </w:rPr>
        <w:t> </w:t>
      </w:r>
      <w:r>
        <w:rPr>
          <w:w w:val="99"/>
        </w:rPr>
        <w:t>da</w:t>
      </w:r>
      <w:r>
        <w:rPr>
          <w:w w:val="99"/>
        </w:rPr>
        <w:t>y </w:t>
      </w:r>
      <w:r>
        <w:rPr/>
        <w:t>Vikram. According to </w:t>
      </w:r>
      <w:r>
        <w:rPr>
          <w:b/>
        </w:rPr>
        <w:t>Martin</w:t>
      </w:r>
      <w:r>
        <w:rPr/>
        <w:t>, it was likely that the worship of Lord Ram dates </w:t>
      </w:r>
      <w:r>
        <w:rPr>
          <w:spacing w:val="-1"/>
          <w:w w:val="99"/>
        </w:rPr>
        <w:t>b</w:t>
      </w:r>
      <w:r>
        <w:rPr>
          <w:w w:val="99"/>
        </w:rPr>
        <w:t>ack</w:t>
      </w:r>
      <w:r>
        <w:rPr>
          <w:spacing w:val="7"/>
        </w:rPr>
        <w:t> </w:t>
      </w:r>
      <w:r>
        <w:rPr>
          <w:w w:val="99"/>
        </w:rPr>
        <w:t>to</w:t>
      </w:r>
      <w:r>
        <w:rPr>
          <w:spacing w:val="7"/>
        </w:rPr>
        <w:t> </w:t>
      </w:r>
      <w:r>
        <w:rPr>
          <w:w w:val="33"/>
        </w:rPr>
        <w:t>―</w:t>
      </w:r>
      <w:r>
        <w:rPr>
          <w:w w:val="99"/>
        </w:rPr>
        <w:t>the</w:t>
      </w:r>
      <w:r>
        <w:rPr>
          <w:spacing w:val="7"/>
        </w:rPr>
        <w:t> </w:t>
      </w:r>
      <w:r>
        <w:rPr>
          <w:w w:val="99"/>
        </w:rPr>
        <w:t>time</w:t>
      </w:r>
      <w:r>
        <w:rPr>
          <w:spacing w:val="7"/>
        </w:rPr>
        <w:t> </w:t>
      </w:r>
      <w:r>
        <w:rPr>
          <w:spacing w:val="-1"/>
          <w:w w:val="99"/>
        </w:rPr>
        <w:t>o</w:t>
      </w:r>
      <w:r>
        <w:rPr>
          <w:w w:val="99"/>
        </w:rPr>
        <w:t>f</w:t>
      </w:r>
      <w:r>
        <w:rPr>
          <w:spacing w:val="7"/>
        </w:rPr>
        <w:t> </w:t>
      </w:r>
      <w:r>
        <w:rPr>
          <w:spacing w:val="-1"/>
          <w:w w:val="99"/>
        </w:rPr>
        <w:t>eld</w:t>
      </w:r>
      <w:r>
        <w:rPr>
          <w:w w:val="99"/>
        </w:rPr>
        <w:t>er</w:t>
      </w:r>
      <w:r>
        <w:rPr>
          <w:spacing w:val="7"/>
        </w:rPr>
        <w:t> </w:t>
      </w:r>
      <w:r>
        <w:rPr>
          <w:spacing w:val="-1"/>
          <w:w w:val="99"/>
        </w:rPr>
        <w:t>Vikr</w:t>
      </w:r>
      <w:r>
        <w:rPr>
          <w:w w:val="99"/>
        </w:rPr>
        <w:t>am</w:t>
      </w:r>
      <w:r>
        <w:rPr>
          <w:spacing w:val="-1"/>
          <w:w w:val="91"/>
        </w:rPr>
        <w:t>a</w:t>
      </w:r>
      <w:r>
        <w:rPr>
          <w:w w:val="91"/>
        </w:rPr>
        <w:t>‖</w:t>
      </w:r>
      <w:r>
        <w:rPr>
          <w:spacing w:val="8"/>
        </w:rPr>
        <w:t> </w:t>
      </w:r>
      <w:r>
        <w:rPr>
          <w:spacing w:val="-3"/>
          <w:w w:val="99"/>
        </w:rPr>
        <w:t>y</w:t>
      </w:r>
      <w:r>
        <w:rPr>
          <w:spacing w:val="-1"/>
          <w:w w:val="99"/>
        </w:rPr>
        <w:t>et</w:t>
      </w:r>
      <w:r>
        <w:rPr>
          <w:w w:val="99"/>
        </w:rPr>
        <w:t>,</w:t>
      </w:r>
      <w:r>
        <w:rPr>
          <w:spacing w:val="7"/>
        </w:rPr>
        <w:t> </w:t>
      </w:r>
      <w:r>
        <w:rPr>
          <w:spacing w:val="-1"/>
          <w:w w:val="99"/>
        </w:rPr>
        <w:t>hi</w:t>
      </w:r>
      <w:r>
        <w:rPr>
          <w:w w:val="99"/>
        </w:rPr>
        <w:t>s</w:t>
      </w:r>
      <w:r>
        <w:rPr>
          <w:spacing w:val="9"/>
        </w:rPr>
        <w:t> </w:t>
      </w:r>
      <w:r>
        <w:rPr>
          <w:spacing w:val="-1"/>
          <w:w w:val="99"/>
        </w:rPr>
        <w:t>wo</w:t>
      </w:r>
      <w:r>
        <w:rPr>
          <w:w w:val="99"/>
        </w:rPr>
        <w:t>rship</w:t>
      </w:r>
      <w:r>
        <w:rPr>
          <w:spacing w:val="7"/>
        </w:rPr>
        <w:t> </w:t>
      </w:r>
      <w:r>
        <w:rPr>
          <w:spacing w:val="-1"/>
          <w:w w:val="99"/>
        </w:rPr>
        <w:t>a</w:t>
      </w:r>
      <w:r>
        <w:rPr>
          <w:w w:val="99"/>
        </w:rPr>
        <w:t>s</w:t>
      </w:r>
      <w:r>
        <w:rPr>
          <w:spacing w:val="7"/>
        </w:rPr>
        <w:t> </w:t>
      </w:r>
      <w:r>
        <w:rPr>
          <w:w w:val="99"/>
        </w:rPr>
        <w:t>a</w:t>
      </w:r>
      <w:r>
        <w:rPr>
          <w:spacing w:val="7"/>
        </w:rPr>
        <w:t> </w:t>
      </w:r>
      <w:r>
        <w:rPr>
          <w:spacing w:val="-1"/>
          <w:w w:val="99"/>
        </w:rPr>
        <w:t>p</w:t>
      </w:r>
      <w:r>
        <w:rPr>
          <w:w w:val="99"/>
        </w:rPr>
        <w:t>art</w:t>
      </w:r>
      <w:r>
        <w:rPr>
          <w:spacing w:val="7"/>
        </w:rPr>
        <w:t> </w:t>
      </w:r>
      <w:r>
        <w:rPr>
          <w:spacing w:val="-1"/>
          <w:w w:val="99"/>
        </w:rPr>
        <w:t>o</w:t>
      </w:r>
      <w:r>
        <w:rPr>
          <w:w w:val="99"/>
        </w:rPr>
        <w:t>f</w:t>
      </w:r>
      <w:r>
        <w:rPr>
          <w:spacing w:val="15"/>
        </w:rPr>
        <w:t> </w:t>
      </w:r>
      <w:r>
        <w:rPr>
          <w:w w:val="99"/>
        </w:rPr>
        <w:t>a</w:t>
      </w:r>
      <w:r>
        <w:rPr>
          <w:spacing w:val="7"/>
        </w:rPr>
        <w:t> </w:t>
      </w:r>
      <w:r>
        <w:rPr>
          <w:w w:val="99"/>
        </w:rPr>
        <w:t>sect</w:t>
      </w:r>
      <w:r>
        <w:rPr>
          <w:spacing w:val="7"/>
        </w:rPr>
        <w:t> </w:t>
      </w:r>
      <w:r>
        <w:rPr>
          <w:w w:val="99"/>
        </w:rPr>
        <w:t>must</w:t>
      </w:r>
      <w:r>
        <w:rPr>
          <w:spacing w:val="7"/>
        </w:rPr>
        <w:t> </w:t>
      </w:r>
      <w:r>
        <w:rPr>
          <w:w w:val="99"/>
        </w:rPr>
        <w:t>ha</w:t>
      </w:r>
      <w:r>
        <w:rPr>
          <w:w w:val="99"/>
        </w:rPr>
        <w:t>ve </w:t>
      </w:r>
      <w:r>
        <w:rPr/>
        <w:t>been first established by Ramanuja. These are a part of </w:t>
      </w:r>
      <w:r>
        <w:rPr>
          <w:b/>
        </w:rPr>
        <w:t>Martin </w:t>
      </w:r>
      <w:r>
        <w:rPr/>
        <w:t>hypothesising on the origins of the city and its temples. That does not constitute evidence. </w:t>
      </w:r>
      <w:r>
        <w:rPr>
          <w:b/>
        </w:rPr>
        <w:t>Martin</w:t>
      </w:r>
      <w:r>
        <w:rPr/>
        <w:t>, while referring to the pillars in the mosque built by Babur, notes that these are of black stones and have been taken from a Hindu building, which is evidenced by the images on some of their bases which have been desecrated. According to </w:t>
      </w:r>
      <w:r>
        <w:rPr>
          <w:b/>
        </w:rPr>
        <w:t>Martin</w:t>
      </w:r>
      <w:r>
        <w:rPr/>
        <w:t>, these pillars would have been taken from the ruins of a palace. </w:t>
      </w:r>
      <w:r>
        <w:rPr>
          <w:b/>
        </w:rPr>
        <w:t>Martin‘s </w:t>
      </w:r>
      <w:r>
        <w:rPr/>
        <w:t>account, as the above analysis indicates, is inferential. While he has spoken of his own observations in regard to the mosque; of the faith and belief associated with Lord Ram; and the presence of black stone pillars the account contains largely an account of his own assessment of past</w:t>
      </w:r>
      <w:r>
        <w:rPr>
          <w:spacing w:val="-11"/>
        </w:rPr>
        <w:t> </w:t>
      </w:r>
      <w:r>
        <w:rPr/>
        <w:t>history.</w:t>
      </w:r>
    </w:p>
    <w:p>
      <w:pPr>
        <w:pStyle w:val="BodyText"/>
        <w:rPr>
          <w:sz w:val="39"/>
        </w:rPr>
      </w:pPr>
    </w:p>
    <w:p>
      <w:pPr>
        <w:pStyle w:val="ListParagraph"/>
        <w:numPr>
          <w:ilvl w:val="0"/>
          <w:numId w:val="166"/>
        </w:numPr>
        <w:tabs>
          <w:tab w:pos="1221" w:val="left" w:leader="none"/>
        </w:tabs>
        <w:spacing w:line="480" w:lineRule="auto" w:before="0" w:after="0"/>
        <w:ind w:left="500" w:right="437" w:firstLine="0"/>
        <w:jc w:val="both"/>
        <w:rPr>
          <w:sz w:val="25"/>
        </w:rPr>
      </w:pPr>
      <w:r>
        <w:rPr>
          <w:b/>
          <w:spacing w:val="-1"/>
          <w:w w:val="99"/>
          <w:sz w:val="25"/>
        </w:rPr>
        <w:t>E</w:t>
      </w:r>
      <w:r>
        <w:rPr>
          <w:b/>
          <w:spacing w:val="-2"/>
          <w:w w:val="99"/>
          <w:sz w:val="25"/>
        </w:rPr>
        <w:t>d</w:t>
      </w:r>
      <w:r>
        <w:rPr>
          <w:b/>
          <w:spacing w:val="4"/>
          <w:w w:val="99"/>
          <w:sz w:val="25"/>
        </w:rPr>
        <w:t>w</w:t>
      </w:r>
      <w:r>
        <w:rPr>
          <w:b/>
          <w:spacing w:val="-1"/>
          <w:w w:val="99"/>
          <w:sz w:val="25"/>
        </w:rPr>
        <w:t>ar</w:t>
      </w:r>
      <w:r>
        <w:rPr>
          <w:b/>
          <w:w w:val="99"/>
          <w:sz w:val="25"/>
        </w:rPr>
        <w:t>d</w:t>
      </w:r>
      <w:r>
        <w:rPr>
          <w:b/>
          <w:spacing w:val="21"/>
          <w:sz w:val="25"/>
        </w:rPr>
        <w:t> </w:t>
      </w:r>
      <w:r>
        <w:rPr>
          <w:b/>
          <w:spacing w:val="-2"/>
          <w:w w:val="99"/>
          <w:sz w:val="25"/>
        </w:rPr>
        <w:t>T</w:t>
      </w:r>
      <w:r>
        <w:rPr>
          <w:b/>
          <w:w w:val="99"/>
          <w:sz w:val="25"/>
        </w:rPr>
        <w:t>ho</w:t>
      </w:r>
      <w:r>
        <w:rPr>
          <w:b/>
          <w:spacing w:val="-2"/>
          <w:w w:val="99"/>
          <w:sz w:val="25"/>
        </w:rPr>
        <w:t>r</w:t>
      </w:r>
      <w:r>
        <w:rPr>
          <w:b/>
          <w:w w:val="99"/>
          <w:sz w:val="25"/>
        </w:rPr>
        <w:t>nt</w:t>
      </w:r>
      <w:r>
        <w:rPr>
          <w:b/>
          <w:spacing w:val="-2"/>
          <w:w w:val="99"/>
          <w:sz w:val="25"/>
        </w:rPr>
        <w:t>o</w:t>
      </w:r>
      <w:r>
        <w:rPr>
          <w:b/>
          <w:w w:val="99"/>
          <w:sz w:val="25"/>
        </w:rPr>
        <w:t>n‘s</w:t>
      </w:r>
      <w:r>
        <w:rPr>
          <w:b/>
          <w:spacing w:val="22"/>
          <w:sz w:val="25"/>
        </w:rPr>
        <w:t> </w:t>
      </w:r>
      <w:r>
        <w:rPr>
          <w:spacing w:val="-1"/>
          <w:w w:val="99"/>
          <w:sz w:val="25"/>
        </w:rPr>
        <w:t>acc</w:t>
      </w:r>
      <w:r>
        <w:rPr>
          <w:w w:val="99"/>
          <w:sz w:val="25"/>
        </w:rPr>
        <w:t>o</w:t>
      </w:r>
      <w:r>
        <w:rPr>
          <w:spacing w:val="-1"/>
          <w:w w:val="99"/>
          <w:sz w:val="25"/>
        </w:rPr>
        <w:t>u</w:t>
      </w:r>
      <w:r>
        <w:rPr>
          <w:w w:val="99"/>
          <w:sz w:val="25"/>
        </w:rPr>
        <w:t>nt</w:t>
      </w:r>
      <w:r>
        <w:rPr>
          <w:spacing w:val="21"/>
          <w:sz w:val="25"/>
        </w:rPr>
        <w:t> </w:t>
      </w:r>
      <w:r>
        <w:rPr>
          <w:spacing w:val="-1"/>
          <w:w w:val="99"/>
          <w:sz w:val="25"/>
        </w:rPr>
        <w:t>i</w:t>
      </w:r>
      <w:r>
        <w:rPr>
          <w:w w:val="99"/>
          <w:sz w:val="25"/>
        </w:rPr>
        <w:t>n</w:t>
      </w:r>
      <w:r>
        <w:rPr>
          <w:spacing w:val="21"/>
          <w:sz w:val="25"/>
        </w:rPr>
        <w:t> </w:t>
      </w:r>
      <w:r>
        <w:rPr>
          <w:w w:val="99"/>
          <w:sz w:val="25"/>
        </w:rPr>
        <w:t>the</w:t>
      </w:r>
      <w:r>
        <w:rPr>
          <w:spacing w:val="22"/>
          <w:sz w:val="25"/>
        </w:rPr>
        <w:t> </w:t>
      </w:r>
      <w:r>
        <w:rPr>
          <w:spacing w:val="2"/>
          <w:w w:val="33"/>
          <w:sz w:val="25"/>
        </w:rPr>
        <w:t>―</w:t>
      </w:r>
      <w:r>
        <w:rPr>
          <w:w w:val="99"/>
          <w:sz w:val="25"/>
        </w:rPr>
        <w:t>Gaze</w:t>
      </w:r>
      <w:r>
        <w:rPr>
          <w:w w:val="99"/>
          <w:sz w:val="25"/>
        </w:rPr>
        <w:t>tte</w:t>
      </w:r>
      <w:r>
        <w:rPr>
          <w:w w:val="99"/>
          <w:sz w:val="25"/>
        </w:rPr>
        <w:t>er</w:t>
      </w:r>
      <w:r>
        <w:rPr>
          <w:spacing w:val="22"/>
          <w:sz w:val="25"/>
        </w:rPr>
        <w:t> </w:t>
      </w:r>
      <w:r>
        <w:rPr>
          <w:w w:val="99"/>
          <w:sz w:val="25"/>
        </w:rPr>
        <w:t>of</w:t>
      </w:r>
      <w:r>
        <w:rPr>
          <w:spacing w:val="22"/>
          <w:sz w:val="25"/>
        </w:rPr>
        <w:t> </w:t>
      </w:r>
      <w:r>
        <w:rPr>
          <w:w w:val="99"/>
          <w:sz w:val="25"/>
        </w:rPr>
        <w:t>the</w:t>
      </w:r>
      <w:r>
        <w:rPr>
          <w:spacing w:val="24"/>
          <w:sz w:val="25"/>
        </w:rPr>
        <w:t> </w:t>
      </w:r>
      <w:r>
        <w:rPr>
          <w:w w:val="99"/>
          <w:sz w:val="25"/>
        </w:rPr>
        <w:t>te</w:t>
      </w:r>
      <w:r>
        <w:rPr>
          <w:spacing w:val="1"/>
          <w:w w:val="99"/>
          <w:sz w:val="25"/>
        </w:rPr>
        <w:t>r</w:t>
      </w:r>
      <w:r>
        <w:rPr>
          <w:w w:val="99"/>
          <w:sz w:val="25"/>
        </w:rPr>
        <w:t>r</w:t>
      </w:r>
      <w:r>
        <w:rPr>
          <w:w w:val="99"/>
          <w:sz w:val="25"/>
        </w:rPr>
        <w:t>it</w:t>
      </w:r>
      <w:r>
        <w:rPr>
          <w:spacing w:val="-2"/>
          <w:w w:val="99"/>
          <w:sz w:val="25"/>
        </w:rPr>
        <w:t>o</w:t>
      </w:r>
      <w:r>
        <w:rPr>
          <w:w w:val="99"/>
          <w:sz w:val="25"/>
        </w:rPr>
        <w:t>r</w:t>
      </w:r>
      <w:r>
        <w:rPr>
          <w:w w:val="99"/>
          <w:sz w:val="25"/>
        </w:rPr>
        <w:t>ies</w:t>
      </w:r>
      <w:r>
        <w:rPr>
          <w:spacing w:val="21"/>
          <w:sz w:val="25"/>
        </w:rPr>
        <w:t> </w:t>
      </w:r>
      <w:r>
        <w:rPr>
          <w:w w:val="99"/>
          <w:sz w:val="25"/>
        </w:rPr>
        <w:t>unde</w:t>
      </w:r>
      <w:r>
        <w:rPr>
          <w:w w:val="99"/>
          <w:sz w:val="25"/>
        </w:rPr>
        <w:t>r</w:t>
      </w:r>
      <w:r>
        <w:rPr>
          <w:spacing w:val="22"/>
          <w:sz w:val="25"/>
        </w:rPr>
        <w:t> </w:t>
      </w:r>
      <w:r>
        <w:rPr>
          <w:w w:val="99"/>
          <w:sz w:val="25"/>
        </w:rPr>
        <w:t>the </w:t>
      </w:r>
      <w:r>
        <w:rPr>
          <w:w w:val="99"/>
          <w:sz w:val="25"/>
        </w:rPr>
        <w:t>Go</w:t>
      </w:r>
      <w:r>
        <w:rPr>
          <w:spacing w:val="-2"/>
          <w:w w:val="99"/>
          <w:sz w:val="25"/>
        </w:rPr>
        <w:t>v</w:t>
      </w:r>
      <w:r>
        <w:rPr>
          <w:spacing w:val="-1"/>
          <w:w w:val="99"/>
          <w:sz w:val="25"/>
        </w:rPr>
        <w:t>e</w:t>
      </w:r>
      <w:r>
        <w:rPr>
          <w:w w:val="99"/>
          <w:sz w:val="25"/>
        </w:rPr>
        <w:t>r</w:t>
      </w:r>
      <w:r>
        <w:rPr>
          <w:spacing w:val="-1"/>
          <w:w w:val="99"/>
          <w:sz w:val="25"/>
        </w:rPr>
        <w:t>n</w:t>
      </w:r>
      <w:r>
        <w:rPr>
          <w:w w:val="99"/>
          <w:sz w:val="25"/>
        </w:rPr>
        <w:t>m</w:t>
      </w:r>
      <w:r>
        <w:rPr>
          <w:spacing w:val="-1"/>
          <w:w w:val="99"/>
          <w:sz w:val="25"/>
        </w:rPr>
        <w:t>e</w:t>
      </w:r>
      <w:r>
        <w:rPr>
          <w:w w:val="99"/>
          <w:sz w:val="25"/>
        </w:rPr>
        <w:t>nt</w:t>
      </w:r>
      <w:r>
        <w:rPr>
          <w:spacing w:val="12"/>
          <w:sz w:val="25"/>
        </w:rPr>
        <w:t> </w:t>
      </w:r>
      <w:r>
        <w:rPr>
          <w:spacing w:val="-1"/>
          <w:w w:val="99"/>
          <w:sz w:val="25"/>
        </w:rPr>
        <w:t>o</w:t>
      </w:r>
      <w:r>
        <w:rPr>
          <w:w w:val="99"/>
          <w:sz w:val="25"/>
        </w:rPr>
        <w:t>f</w:t>
      </w:r>
      <w:r>
        <w:rPr>
          <w:spacing w:val="12"/>
          <w:sz w:val="25"/>
        </w:rPr>
        <w:t> </w:t>
      </w:r>
      <w:r>
        <w:rPr>
          <w:spacing w:val="-1"/>
          <w:w w:val="99"/>
          <w:sz w:val="25"/>
        </w:rPr>
        <w:t>Eas</w:t>
      </w:r>
      <w:r>
        <w:rPr>
          <w:w w:val="99"/>
          <w:sz w:val="25"/>
        </w:rPr>
        <w:t>t</w:t>
      </w:r>
      <w:r>
        <w:rPr>
          <w:spacing w:val="12"/>
          <w:sz w:val="25"/>
        </w:rPr>
        <w:t> </w:t>
      </w:r>
      <w:r>
        <w:rPr>
          <w:spacing w:val="2"/>
          <w:w w:val="99"/>
          <w:sz w:val="25"/>
        </w:rPr>
        <w:t>I</w:t>
      </w:r>
      <w:r>
        <w:rPr>
          <w:spacing w:val="-1"/>
          <w:w w:val="99"/>
          <w:sz w:val="25"/>
        </w:rPr>
        <w:t>n</w:t>
      </w:r>
      <w:r>
        <w:rPr>
          <w:w w:val="99"/>
          <w:sz w:val="25"/>
        </w:rPr>
        <w:t>d</w:t>
      </w:r>
      <w:r>
        <w:rPr>
          <w:spacing w:val="-1"/>
          <w:w w:val="99"/>
          <w:sz w:val="25"/>
        </w:rPr>
        <w:t>i</w:t>
      </w:r>
      <w:r>
        <w:rPr>
          <w:w w:val="99"/>
          <w:sz w:val="25"/>
        </w:rPr>
        <w:t>a</w:t>
      </w:r>
      <w:r>
        <w:rPr>
          <w:spacing w:val="12"/>
          <w:sz w:val="25"/>
        </w:rPr>
        <w:t> </w:t>
      </w:r>
      <w:r>
        <w:rPr>
          <w:spacing w:val="-1"/>
          <w:w w:val="99"/>
          <w:sz w:val="25"/>
        </w:rPr>
        <w:t>Co</w:t>
      </w:r>
      <w:r>
        <w:rPr>
          <w:w w:val="99"/>
          <w:sz w:val="25"/>
        </w:rPr>
        <w:t>m</w:t>
      </w:r>
      <w:r>
        <w:rPr>
          <w:spacing w:val="-1"/>
          <w:w w:val="99"/>
          <w:sz w:val="25"/>
        </w:rPr>
        <w:t>p</w:t>
      </w:r>
      <w:r>
        <w:rPr>
          <w:w w:val="99"/>
          <w:sz w:val="25"/>
        </w:rPr>
        <w:t>a</w:t>
      </w:r>
      <w:r>
        <w:rPr>
          <w:spacing w:val="-1"/>
          <w:w w:val="99"/>
          <w:sz w:val="25"/>
        </w:rPr>
        <w:t>n</w:t>
      </w:r>
      <w:r>
        <w:rPr>
          <w:spacing w:val="-3"/>
          <w:w w:val="99"/>
          <w:sz w:val="25"/>
        </w:rPr>
        <w:t>y</w:t>
      </w:r>
      <w:r>
        <w:rPr>
          <w:w w:val="80"/>
          <w:sz w:val="25"/>
        </w:rPr>
        <w:t>‖</w:t>
      </w:r>
      <w:r>
        <w:rPr>
          <w:spacing w:val="12"/>
          <w:sz w:val="25"/>
        </w:rPr>
        <w:t> </w:t>
      </w:r>
      <w:r>
        <w:rPr>
          <w:spacing w:val="5"/>
          <w:w w:val="99"/>
          <w:sz w:val="25"/>
        </w:rPr>
        <w:t>(</w:t>
      </w:r>
      <w:r>
        <w:rPr>
          <w:w w:val="99"/>
          <w:sz w:val="25"/>
        </w:rPr>
        <w:t>1858)</w:t>
      </w:r>
      <w:r>
        <w:rPr>
          <w:spacing w:val="13"/>
          <w:sz w:val="25"/>
        </w:rPr>
        <w:t> </w:t>
      </w:r>
      <w:r>
        <w:rPr>
          <w:w w:val="99"/>
          <w:sz w:val="25"/>
        </w:rPr>
        <w:t>r</w:t>
      </w:r>
      <w:r>
        <w:rPr>
          <w:spacing w:val="-1"/>
          <w:w w:val="99"/>
          <w:sz w:val="25"/>
        </w:rPr>
        <w:t>ef</w:t>
      </w:r>
      <w:r>
        <w:rPr>
          <w:w w:val="99"/>
          <w:sz w:val="25"/>
        </w:rPr>
        <w:t>ers</w:t>
      </w:r>
      <w:r>
        <w:rPr>
          <w:spacing w:val="11"/>
          <w:sz w:val="25"/>
        </w:rPr>
        <w:t> </w:t>
      </w:r>
      <w:r>
        <w:rPr>
          <w:w w:val="99"/>
          <w:sz w:val="25"/>
        </w:rPr>
        <w:t>to</w:t>
      </w:r>
      <w:r>
        <w:rPr>
          <w:spacing w:val="12"/>
          <w:sz w:val="25"/>
        </w:rPr>
        <w:t> </w:t>
      </w:r>
      <w:r>
        <w:rPr>
          <w:w w:val="33"/>
          <w:sz w:val="25"/>
        </w:rPr>
        <w:t>―</w:t>
      </w:r>
      <w:r>
        <w:rPr>
          <w:spacing w:val="-1"/>
          <w:w w:val="99"/>
          <w:sz w:val="25"/>
        </w:rPr>
        <w:t>e</w:t>
      </w:r>
      <w:r>
        <w:rPr>
          <w:spacing w:val="-3"/>
          <w:w w:val="99"/>
          <w:sz w:val="25"/>
        </w:rPr>
        <w:t>x</w:t>
      </w:r>
      <w:r>
        <w:rPr>
          <w:w w:val="99"/>
          <w:sz w:val="25"/>
        </w:rPr>
        <w:t>tensi</w:t>
      </w:r>
      <w:r>
        <w:rPr>
          <w:spacing w:val="-3"/>
          <w:w w:val="99"/>
          <w:sz w:val="25"/>
        </w:rPr>
        <w:t>v</w:t>
      </w:r>
      <w:r>
        <w:rPr>
          <w:w w:val="99"/>
          <w:sz w:val="25"/>
        </w:rPr>
        <w:t>e</w:t>
      </w:r>
      <w:r>
        <w:rPr>
          <w:spacing w:val="14"/>
          <w:sz w:val="25"/>
        </w:rPr>
        <w:t> </w:t>
      </w:r>
      <w:r>
        <w:rPr>
          <w:w w:val="99"/>
          <w:sz w:val="25"/>
        </w:rPr>
        <w:t>r</w:t>
      </w:r>
      <w:r>
        <w:rPr>
          <w:spacing w:val="-1"/>
          <w:w w:val="99"/>
          <w:sz w:val="25"/>
        </w:rPr>
        <w:t>uins</w:t>
      </w:r>
      <w:r>
        <w:rPr>
          <w:w w:val="99"/>
          <w:sz w:val="25"/>
        </w:rPr>
        <w:t>,</w:t>
      </w:r>
      <w:r>
        <w:rPr>
          <w:spacing w:val="12"/>
          <w:sz w:val="25"/>
        </w:rPr>
        <w:t> </w:t>
      </w:r>
      <w:r>
        <w:rPr>
          <w:w w:val="99"/>
          <w:sz w:val="25"/>
        </w:rPr>
        <w:t>said</w:t>
      </w:r>
      <w:r>
        <w:rPr>
          <w:spacing w:val="12"/>
          <w:sz w:val="25"/>
        </w:rPr>
        <w:t> </w:t>
      </w:r>
      <w:r>
        <w:rPr>
          <w:w w:val="99"/>
          <w:sz w:val="25"/>
        </w:rPr>
        <w:t>to</w:t>
      </w:r>
      <w:r>
        <w:rPr>
          <w:spacing w:val="12"/>
          <w:sz w:val="25"/>
        </w:rPr>
        <w:t> </w:t>
      </w:r>
      <w:r>
        <w:rPr>
          <w:spacing w:val="-1"/>
          <w:w w:val="99"/>
          <w:sz w:val="25"/>
        </w:rPr>
        <w:t>be </w:t>
      </w:r>
      <w:r>
        <w:rPr>
          <w:sz w:val="25"/>
        </w:rPr>
        <w:t>those of the fort of Rama‖. </w:t>
      </w:r>
      <w:r>
        <w:rPr>
          <w:b/>
          <w:sz w:val="25"/>
        </w:rPr>
        <w:t>Thornton </w:t>
      </w:r>
      <w:r>
        <w:rPr>
          <w:sz w:val="25"/>
        </w:rPr>
        <w:t>proceeds to cite extracts from a text attributed to Buchanan</w:t>
      </w:r>
      <w:r>
        <w:rPr>
          <w:b/>
          <w:sz w:val="25"/>
        </w:rPr>
        <w:t>. </w:t>
      </w:r>
      <w:r>
        <w:rPr>
          <w:sz w:val="25"/>
        </w:rPr>
        <w:t>He makes a reference to the lore surrounding</w:t>
      </w:r>
      <w:r>
        <w:rPr>
          <w:spacing w:val="1"/>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construction of 360 temples and to the belief of their demolition by Aurangzeb. His attribution of the construction of a mosque on the site of a temple is not proof of a historical fact. </w:t>
      </w:r>
      <w:r>
        <w:rPr>
          <w:b/>
        </w:rPr>
        <w:t>Thornton </w:t>
      </w:r>
      <w:r>
        <w:rPr/>
        <w:t>records what he heard: neither those who told him about their belief nor the author of the document are available to be assessed in the course of a cross-examination. Such an account cannot meet the rigorous standards of acceptable evidence as well as the more relaxed standard of a preponderance of probabilities which govern civil</w:t>
      </w:r>
      <w:r>
        <w:rPr>
          <w:spacing w:val="-3"/>
        </w:rPr>
        <w:t> </w:t>
      </w:r>
      <w:r>
        <w:rPr/>
        <w:t>trials.</w:t>
      </w:r>
    </w:p>
    <w:p>
      <w:pPr>
        <w:pStyle w:val="BodyText"/>
        <w:spacing w:before="10"/>
        <w:rPr>
          <w:sz w:val="38"/>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Mr Zafaryab Jilani, learned Senior Counsel appearing for the Sunni Central </w:t>
      </w:r>
      <w:r>
        <w:rPr>
          <w:spacing w:val="6"/>
          <w:w w:val="99"/>
          <w:sz w:val="25"/>
        </w:rPr>
        <w:t>W</w:t>
      </w:r>
      <w:r>
        <w:rPr>
          <w:spacing w:val="-2"/>
          <w:w w:val="99"/>
          <w:sz w:val="25"/>
        </w:rPr>
        <w:t>aq</w:t>
      </w:r>
      <w:r>
        <w:rPr>
          <w:w w:val="99"/>
          <w:sz w:val="25"/>
        </w:rPr>
        <w:t>f</w:t>
      </w:r>
      <w:r>
        <w:rPr>
          <w:spacing w:val="12"/>
          <w:sz w:val="25"/>
        </w:rPr>
        <w:t> </w:t>
      </w:r>
      <w:r>
        <w:rPr>
          <w:spacing w:val="-1"/>
          <w:w w:val="99"/>
          <w:sz w:val="25"/>
        </w:rPr>
        <w:t>B</w:t>
      </w:r>
      <w:r>
        <w:rPr>
          <w:w w:val="99"/>
          <w:sz w:val="25"/>
        </w:rPr>
        <w:t>oa</w:t>
      </w:r>
      <w:r>
        <w:rPr>
          <w:w w:val="99"/>
          <w:sz w:val="25"/>
        </w:rPr>
        <w:t>rd,</w:t>
      </w:r>
      <w:r>
        <w:rPr>
          <w:spacing w:val="13"/>
          <w:sz w:val="25"/>
        </w:rPr>
        <w:t> </w:t>
      </w:r>
      <w:r>
        <w:rPr>
          <w:w w:val="99"/>
          <w:sz w:val="25"/>
        </w:rPr>
        <w:t>ha</w:t>
      </w:r>
      <w:r>
        <w:rPr>
          <w:w w:val="99"/>
          <w:sz w:val="25"/>
        </w:rPr>
        <w:t>s</w:t>
      </w:r>
      <w:r>
        <w:rPr>
          <w:spacing w:val="11"/>
          <w:sz w:val="25"/>
        </w:rPr>
        <w:t> </w:t>
      </w:r>
      <w:r>
        <w:rPr>
          <w:w w:val="99"/>
          <w:sz w:val="25"/>
        </w:rPr>
        <w:t>str</w:t>
      </w:r>
      <w:r>
        <w:rPr>
          <w:spacing w:val="-2"/>
          <w:w w:val="99"/>
          <w:sz w:val="25"/>
        </w:rPr>
        <w:t>e</w:t>
      </w:r>
      <w:r>
        <w:rPr>
          <w:w w:val="99"/>
          <w:sz w:val="25"/>
        </w:rPr>
        <w:t>ssed</w:t>
      </w:r>
      <w:r>
        <w:rPr>
          <w:spacing w:val="12"/>
          <w:sz w:val="25"/>
        </w:rPr>
        <w:t> </w:t>
      </w:r>
      <w:r>
        <w:rPr>
          <w:w w:val="99"/>
          <w:sz w:val="25"/>
        </w:rPr>
        <w:t>tha</w:t>
      </w:r>
      <w:r>
        <w:rPr>
          <w:w w:val="99"/>
          <w:sz w:val="25"/>
        </w:rPr>
        <w:t>t</w:t>
      </w:r>
      <w:r>
        <w:rPr>
          <w:spacing w:val="12"/>
          <w:sz w:val="25"/>
        </w:rPr>
        <w:t> </w:t>
      </w:r>
      <w:r>
        <w:rPr>
          <w:w w:val="99"/>
          <w:sz w:val="25"/>
        </w:rPr>
        <w:t>in</w:t>
      </w:r>
      <w:r>
        <w:rPr>
          <w:spacing w:val="12"/>
          <w:sz w:val="25"/>
        </w:rPr>
        <w:t> </w:t>
      </w:r>
      <w:r>
        <w:rPr>
          <w:w w:val="99"/>
          <w:sz w:val="25"/>
        </w:rPr>
        <w:t>the</w:t>
      </w:r>
      <w:r>
        <w:rPr>
          <w:spacing w:val="12"/>
          <w:sz w:val="25"/>
        </w:rPr>
        <w:t> </w:t>
      </w:r>
      <w:r>
        <w:rPr>
          <w:w w:val="99"/>
          <w:sz w:val="25"/>
        </w:rPr>
        <w:t>above</w:t>
      </w:r>
      <w:r>
        <w:rPr>
          <w:spacing w:val="12"/>
          <w:sz w:val="25"/>
        </w:rPr>
        <w:t> </w:t>
      </w:r>
      <w:r>
        <w:rPr>
          <w:w w:val="99"/>
          <w:sz w:val="25"/>
        </w:rPr>
        <w:t>e</w:t>
      </w:r>
      <w:r>
        <w:rPr>
          <w:spacing w:val="-2"/>
          <w:w w:val="99"/>
          <w:sz w:val="25"/>
        </w:rPr>
        <w:t>x</w:t>
      </w:r>
      <w:r>
        <w:rPr>
          <w:w w:val="99"/>
          <w:sz w:val="25"/>
        </w:rPr>
        <w:t>tr</w:t>
      </w:r>
      <w:r>
        <w:rPr>
          <w:w w:val="99"/>
          <w:sz w:val="25"/>
        </w:rPr>
        <w:t>act</w:t>
      </w:r>
      <w:r>
        <w:rPr>
          <w:spacing w:val="17"/>
          <w:sz w:val="25"/>
        </w:rPr>
        <w:t> </w:t>
      </w:r>
      <w:r>
        <w:rPr>
          <w:w w:val="99"/>
          <w:sz w:val="25"/>
        </w:rPr>
        <w:t>the</w:t>
      </w:r>
      <w:r>
        <w:rPr>
          <w:spacing w:val="13"/>
          <w:sz w:val="25"/>
        </w:rPr>
        <w:t> </w:t>
      </w:r>
      <w:r>
        <w:rPr>
          <w:w w:val="99"/>
          <w:sz w:val="25"/>
        </w:rPr>
        <w:t>g</w:t>
      </w:r>
      <w:r>
        <w:rPr>
          <w:spacing w:val="-1"/>
          <w:w w:val="99"/>
          <w:sz w:val="25"/>
        </w:rPr>
        <w:t>az</w:t>
      </w:r>
      <w:r>
        <w:rPr>
          <w:w w:val="99"/>
          <w:sz w:val="25"/>
        </w:rPr>
        <w:t>ette</w:t>
      </w:r>
      <w:r>
        <w:rPr>
          <w:spacing w:val="-1"/>
          <w:w w:val="99"/>
          <w:sz w:val="25"/>
        </w:rPr>
        <w:t>e</w:t>
      </w:r>
      <w:r>
        <w:rPr>
          <w:w w:val="99"/>
          <w:sz w:val="25"/>
        </w:rPr>
        <w:t>r</w:t>
      </w:r>
      <w:r>
        <w:rPr>
          <w:spacing w:val="12"/>
          <w:sz w:val="25"/>
        </w:rPr>
        <w:t> </w:t>
      </w:r>
      <w:r>
        <w:rPr>
          <w:w w:val="99"/>
          <w:sz w:val="25"/>
        </w:rPr>
        <w:t>r</w:t>
      </w:r>
      <w:r>
        <w:rPr>
          <w:spacing w:val="-1"/>
          <w:w w:val="99"/>
          <w:sz w:val="25"/>
        </w:rPr>
        <w:t>elie</w:t>
      </w:r>
      <w:r>
        <w:rPr>
          <w:w w:val="99"/>
          <w:sz w:val="25"/>
        </w:rPr>
        <w:t>s</w:t>
      </w:r>
      <w:r>
        <w:rPr>
          <w:spacing w:val="12"/>
          <w:sz w:val="25"/>
        </w:rPr>
        <w:t> </w:t>
      </w:r>
      <w:r>
        <w:rPr>
          <w:spacing w:val="-1"/>
          <w:w w:val="99"/>
          <w:sz w:val="25"/>
        </w:rPr>
        <w:t>u</w:t>
      </w:r>
      <w:r>
        <w:rPr>
          <w:w w:val="99"/>
          <w:sz w:val="25"/>
        </w:rPr>
        <w:t>p</w:t>
      </w:r>
      <w:r>
        <w:rPr>
          <w:spacing w:val="-1"/>
          <w:w w:val="99"/>
          <w:sz w:val="25"/>
        </w:rPr>
        <w:t>o</w:t>
      </w:r>
      <w:r>
        <w:rPr>
          <w:w w:val="99"/>
          <w:sz w:val="25"/>
        </w:rPr>
        <w:t>n</w:t>
      </w:r>
      <w:r>
        <w:rPr>
          <w:spacing w:val="12"/>
          <w:sz w:val="25"/>
        </w:rPr>
        <w:t> </w:t>
      </w:r>
      <w:r>
        <w:rPr>
          <w:w w:val="33"/>
          <w:sz w:val="25"/>
        </w:rPr>
        <w:t>―</w:t>
      </w:r>
      <w:r>
        <w:rPr>
          <w:spacing w:val="-1"/>
          <w:w w:val="99"/>
          <w:sz w:val="25"/>
        </w:rPr>
        <w:t>an </w:t>
      </w:r>
      <w:r>
        <w:rPr>
          <w:sz w:val="25"/>
        </w:rPr>
        <w:t>inscription on the wall of the mosque‖ to support the theory that the mosque </w:t>
      </w:r>
      <w:r>
        <w:rPr>
          <w:spacing w:val="3"/>
          <w:sz w:val="25"/>
        </w:rPr>
        <w:t>was </w:t>
      </w:r>
      <w:r>
        <w:rPr>
          <w:sz w:val="25"/>
        </w:rPr>
        <w:t>constructed by Babur as opposed to the local tradition which ascribed the construction of the mosque to Aurangzeb. There is according to him, no specific reference to the worship by the Hindus under the middle dome of the mosque. However, it is relevant to note that </w:t>
      </w:r>
      <w:r>
        <w:rPr>
          <w:b/>
          <w:sz w:val="25"/>
        </w:rPr>
        <w:t>Thornton‘s </w:t>
      </w:r>
      <w:r>
        <w:rPr>
          <w:sz w:val="25"/>
        </w:rPr>
        <w:t>observations are not personal and he has drawn an inference from the text of</w:t>
      </w:r>
      <w:r>
        <w:rPr>
          <w:spacing w:val="-8"/>
          <w:sz w:val="25"/>
        </w:rPr>
        <w:t> </w:t>
      </w:r>
      <w:r>
        <w:rPr>
          <w:sz w:val="25"/>
        </w:rPr>
        <w:t>Buchanan.</w:t>
      </w:r>
    </w:p>
    <w:p>
      <w:pPr>
        <w:pStyle w:val="BodyText"/>
        <w:spacing w:line="480" w:lineRule="auto" w:before="162"/>
        <w:ind w:left="500" w:right="441"/>
        <w:jc w:val="both"/>
      </w:pPr>
      <w:r>
        <w:rPr>
          <w:w w:val="99"/>
        </w:rPr>
        <w:t>T</w:t>
      </w:r>
      <w:r>
        <w:rPr>
          <w:w w:val="99"/>
        </w:rPr>
        <w:t>he</w:t>
      </w:r>
      <w:r>
        <w:rPr/>
        <w:t> </w:t>
      </w:r>
      <w:r>
        <w:rPr>
          <w:spacing w:val="-34"/>
        </w:rPr>
        <w:t> </w:t>
      </w:r>
      <w:r>
        <w:rPr>
          <w:w w:val="99"/>
        </w:rPr>
        <w:t>pu</w:t>
      </w:r>
      <w:r>
        <w:rPr>
          <w:w w:val="99"/>
        </w:rPr>
        <w:t>r</w:t>
      </w:r>
      <w:r>
        <w:rPr>
          <w:w w:val="99"/>
        </w:rPr>
        <w:t>po</w:t>
      </w:r>
      <w:r>
        <w:rPr>
          <w:w w:val="99"/>
        </w:rPr>
        <w:t>se</w:t>
      </w:r>
      <w:r>
        <w:rPr/>
        <w:t> </w:t>
      </w:r>
      <w:r>
        <w:rPr>
          <w:spacing w:val="-32"/>
        </w:rPr>
        <w:t> </w:t>
      </w:r>
      <w:r>
        <w:rPr>
          <w:w w:val="99"/>
        </w:rPr>
        <w:t>of</w:t>
      </w:r>
      <w:r>
        <w:rPr/>
        <w:t> </w:t>
      </w:r>
      <w:r>
        <w:rPr>
          <w:spacing w:val="-33"/>
        </w:rPr>
        <w:t> </w:t>
      </w:r>
      <w:r>
        <w:rPr>
          <w:w w:val="99"/>
        </w:rPr>
        <w:t>the</w:t>
      </w:r>
      <w:r>
        <w:rPr/>
        <w:t> </w:t>
      </w:r>
      <w:r>
        <w:rPr>
          <w:spacing w:val="-33"/>
        </w:rPr>
        <w:t> </w:t>
      </w:r>
      <w:r>
        <w:rPr>
          <w:spacing w:val="2"/>
          <w:w w:val="99"/>
        </w:rPr>
        <w:t>c</w:t>
      </w:r>
      <w:r>
        <w:rPr>
          <w:w w:val="99"/>
        </w:rPr>
        <w:t>olon</w:t>
      </w:r>
      <w:r>
        <w:rPr>
          <w:w w:val="99"/>
        </w:rPr>
        <w:t>ial</w:t>
      </w:r>
      <w:r>
        <w:rPr/>
        <w:t> </w:t>
      </w:r>
      <w:r>
        <w:rPr>
          <w:spacing w:val="-32"/>
        </w:rPr>
        <w:t> </w:t>
      </w:r>
      <w:r>
        <w:rPr>
          <w:w w:val="99"/>
        </w:rPr>
        <w:t>g</w:t>
      </w:r>
      <w:r>
        <w:rPr>
          <w:spacing w:val="2"/>
          <w:w w:val="99"/>
        </w:rPr>
        <w:t>o</w:t>
      </w:r>
      <w:r>
        <w:rPr>
          <w:spacing w:val="-3"/>
          <w:w w:val="99"/>
        </w:rPr>
        <w:t>v</w:t>
      </w:r>
      <w:r>
        <w:rPr>
          <w:w w:val="99"/>
        </w:rPr>
        <w:t>e</w:t>
      </w:r>
      <w:r>
        <w:rPr>
          <w:spacing w:val="1"/>
          <w:w w:val="99"/>
        </w:rPr>
        <w:t>r</w:t>
      </w:r>
      <w:r>
        <w:rPr>
          <w:w w:val="99"/>
        </w:rPr>
        <w:t>n</w:t>
      </w:r>
      <w:r>
        <w:rPr>
          <w:spacing w:val="1"/>
          <w:w w:val="99"/>
        </w:rPr>
        <w:t>m</w:t>
      </w:r>
      <w:r>
        <w:rPr>
          <w:w w:val="99"/>
        </w:rPr>
        <w:t>en</w:t>
      </w:r>
      <w:r>
        <w:rPr>
          <w:w w:val="99"/>
        </w:rPr>
        <w:t>t</w:t>
      </w:r>
      <w:r>
        <w:rPr/>
        <w:t> </w:t>
      </w:r>
      <w:r>
        <w:rPr>
          <w:spacing w:val="-32"/>
        </w:rPr>
        <w:t> </w:t>
      </w:r>
      <w:r>
        <w:rPr>
          <w:spacing w:val="-1"/>
          <w:w w:val="99"/>
        </w:rPr>
        <w:t>wa</w:t>
      </w:r>
      <w:r>
        <w:rPr>
          <w:w w:val="99"/>
        </w:rPr>
        <w:t>s</w:t>
      </w:r>
      <w:r>
        <w:rPr/>
        <w:t> </w:t>
      </w:r>
      <w:r>
        <w:rPr>
          <w:spacing w:val="-34"/>
        </w:rPr>
        <w:t> </w:t>
      </w:r>
      <w:r>
        <w:rPr>
          <w:w w:val="99"/>
        </w:rPr>
        <w:t>to</w:t>
      </w:r>
      <w:r>
        <w:rPr/>
        <w:t> </w:t>
      </w:r>
      <w:r>
        <w:rPr>
          <w:spacing w:val="-33"/>
        </w:rPr>
        <w:t> </w:t>
      </w:r>
      <w:r>
        <w:rPr>
          <w:spacing w:val="-1"/>
          <w:w w:val="99"/>
        </w:rPr>
        <w:t>of</w:t>
      </w:r>
      <w:r>
        <w:rPr>
          <w:w w:val="99"/>
        </w:rPr>
        <w:t>f</w:t>
      </w:r>
      <w:r>
        <w:rPr>
          <w:spacing w:val="-1"/>
          <w:w w:val="99"/>
        </w:rPr>
        <w:t>e</w:t>
      </w:r>
      <w:r>
        <w:rPr>
          <w:w w:val="99"/>
        </w:rPr>
        <w:t>r</w:t>
      </w:r>
      <w:r>
        <w:rPr/>
        <w:t> </w:t>
      </w:r>
      <w:r>
        <w:rPr>
          <w:spacing w:val="-33"/>
        </w:rPr>
        <w:t> </w:t>
      </w:r>
      <w:r>
        <w:rPr>
          <w:w w:val="99"/>
        </w:rPr>
        <w:t>to</w:t>
      </w:r>
      <w:r>
        <w:rPr/>
        <w:t> </w:t>
      </w:r>
      <w:r>
        <w:rPr>
          <w:spacing w:val="-33"/>
        </w:rPr>
        <w:t> </w:t>
      </w:r>
      <w:r>
        <w:rPr>
          <w:w w:val="99"/>
        </w:rPr>
        <w:t>the</w:t>
      </w:r>
      <w:r>
        <w:rPr/>
        <w:t> </w:t>
      </w:r>
      <w:r>
        <w:rPr>
          <w:spacing w:val="-31"/>
        </w:rPr>
        <w:t> </w:t>
      </w:r>
      <w:r>
        <w:rPr>
          <w:spacing w:val="-1"/>
          <w:w w:val="99"/>
        </w:rPr>
        <w:t>B</w:t>
      </w:r>
      <w:r>
        <w:rPr>
          <w:w w:val="99"/>
        </w:rPr>
        <w:t>r</w:t>
      </w:r>
      <w:r>
        <w:rPr>
          <w:spacing w:val="-1"/>
          <w:w w:val="99"/>
        </w:rPr>
        <w:t>i</w:t>
      </w:r>
      <w:r>
        <w:rPr>
          <w:spacing w:val="2"/>
          <w:w w:val="99"/>
        </w:rPr>
        <w:t>t</w:t>
      </w:r>
      <w:r>
        <w:rPr>
          <w:spacing w:val="-1"/>
          <w:w w:val="99"/>
        </w:rPr>
        <w:t>is</w:t>
      </w:r>
      <w:r>
        <w:rPr>
          <w:w w:val="99"/>
        </w:rPr>
        <w:t>h</w:t>
      </w:r>
      <w:r>
        <w:rPr/>
        <w:t> </w:t>
      </w:r>
      <w:r>
        <w:rPr>
          <w:spacing w:val="-34"/>
        </w:rPr>
        <w:t> </w:t>
      </w:r>
      <w:r>
        <w:rPr>
          <w:spacing w:val="-1"/>
          <w:w w:val="99"/>
        </w:rPr>
        <w:t>p</w:t>
      </w:r>
      <w:r>
        <w:rPr>
          <w:w w:val="99"/>
        </w:rPr>
        <w:t>u</w:t>
      </w:r>
      <w:r>
        <w:rPr>
          <w:spacing w:val="-1"/>
          <w:w w:val="99"/>
        </w:rPr>
        <w:t>bli</w:t>
      </w:r>
      <w:r>
        <w:rPr>
          <w:w w:val="99"/>
        </w:rPr>
        <w:t>c</w:t>
      </w:r>
      <w:r>
        <w:rPr/>
        <w:t> </w:t>
      </w:r>
      <w:r>
        <w:rPr>
          <w:spacing w:val="-34"/>
        </w:rPr>
        <w:t> </w:t>
      </w:r>
      <w:r>
        <w:rPr>
          <w:spacing w:val="-1"/>
          <w:w w:val="99"/>
        </w:rPr>
        <w:t>i</w:t>
      </w:r>
      <w:r>
        <w:rPr>
          <w:w w:val="99"/>
        </w:rPr>
        <w:t>n</w:t>
      </w:r>
      <w:r>
        <w:rPr/>
        <w:t> </w:t>
      </w:r>
      <w:r>
        <w:rPr>
          <w:spacing w:val="-32"/>
        </w:rPr>
        <w:t> </w:t>
      </w:r>
      <w:r>
        <w:rPr>
          <w:w w:val="33"/>
        </w:rPr>
        <w:t>―</w:t>
      </w:r>
      <w:r>
        <w:rPr>
          <w:w w:val="99"/>
        </w:rPr>
        <w:t>a </w:t>
      </w:r>
      <w:r>
        <w:rPr/>
        <w:t>cheap and convenient form‖ authentic information about India in the form of a gazetteer. Bearing this caveat in mind, it is relevant to note that the above extract adverts</w:t>
      </w:r>
      <w:r>
        <w:rPr>
          <w:spacing w:val="-2"/>
        </w:rPr>
        <w:t> </w:t>
      </w:r>
      <w:r>
        <w:rPr/>
        <w:t>to:</w:t>
      </w:r>
    </w:p>
    <w:p>
      <w:pPr>
        <w:pStyle w:val="ListParagraph"/>
        <w:numPr>
          <w:ilvl w:val="0"/>
          <w:numId w:val="184"/>
        </w:numPr>
        <w:tabs>
          <w:tab w:pos="1221" w:val="left" w:leader="none"/>
        </w:tabs>
        <w:spacing w:line="240" w:lineRule="auto" w:before="0" w:after="0"/>
        <w:ind w:left="1220" w:right="0" w:hanging="721"/>
        <w:jc w:val="both"/>
        <w:rPr>
          <w:sz w:val="25"/>
        </w:rPr>
      </w:pPr>
      <w:r>
        <w:rPr>
          <w:w w:val="99"/>
          <w:sz w:val="25"/>
        </w:rPr>
        <w:t>T</w:t>
      </w:r>
      <w:r>
        <w:rPr>
          <w:spacing w:val="-1"/>
          <w:w w:val="99"/>
          <w:sz w:val="25"/>
        </w:rPr>
        <w:t>h</w:t>
      </w:r>
      <w:r>
        <w:rPr>
          <w:w w:val="99"/>
          <w:sz w:val="25"/>
        </w:rPr>
        <w:t>e</w:t>
      </w:r>
      <w:r>
        <w:rPr>
          <w:sz w:val="25"/>
        </w:rPr>
        <w:t> </w:t>
      </w:r>
      <w:r>
        <w:rPr>
          <w:w w:val="99"/>
          <w:sz w:val="25"/>
        </w:rPr>
        <w:t>r</w:t>
      </w:r>
      <w:r>
        <w:rPr>
          <w:spacing w:val="-1"/>
          <w:w w:val="99"/>
          <w:sz w:val="25"/>
        </w:rPr>
        <w:t>uin</w:t>
      </w:r>
      <w:r>
        <w:rPr>
          <w:w w:val="99"/>
          <w:sz w:val="25"/>
        </w:rPr>
        <w:t>s</w:t>
      </w:r>
      <w:r>
        <w:rPr>
          <w:sz w:val="25"/>
        </w:rPr>
        <w:t> </w:t>
      </w:r>
      <w:r>
        <w:rPr>
          <w:spacing w:val="-1"/>
          <w:w w:val="99"/>
          <w:sz w:val="25"/>
        </w:rPr>
        <w:t>o</w:t>
      </w:r>
      <w:r>
        <w:rPr>
          <w:w w:val="99"/>
          <w:sz w:val="25"/>
        </w:rPr>
        <w:t>f</w:t>
      </w:r>
      <w:r>
        <w:rPr>
          <w:sz w:val="25"/>
        </w:rPr>
        <w:t> </w:t>
      </w:r>
      <w:r>
        <w:rPr>
          <w:w w:val="33"/>
          <w:sz w:val="25"/>
        </w:rPr>
        <w:t>―</w:t>
      </w:r>
      <w:r>
        <w:rPr>
          <w:spacing w:val="-1"/>
          <w:w w:val="99"/>
          <w:sz w:val="25"/>
        </w:rPr>
        <w:t>Ra</w:t>
      </w:r>
      <w:r>
        <w:rPr>
          <w:w w:val="99"/>
          <w:sz w:val="25"/>
        </w:rPr>
        <w:t>m</w:t>
      </w:r>
      <w:r>
        <w:rPr>
          <w:spacing w:val="-1"/>
          <w:w w:val="99"/>
          <w:sz w:val="25"/>
        </w:rPr>
        <w:t>g</w:t>
      </w:r>
      <w:r>
        <w:rPr>
          <w:spacing w:val="-2"/>
          <w:w w:val="99"/>
          <w:sz w:val="25"/>
        </w:rPr>
        <w:t>u</w:t>
      </w:r>
      <w:r>
        <w:rPr>
          <w:w w:val="99"/>
          <w:sz w:val="25"/>
        </w:rPr>
        <w:t>r</w:t>
      </w:r>
      <w:r>
        <w:rPr>
          <w:spacing w:val="-2"/>
          <w:sz w:val="25"/>
        </w:rPr>
        <w:t> </w:t>
      </w:r>
      <w:r>
        <w:rPr>
          <w:spacing w:val="-1"/>
          <w:w w:val="99"/>
          <w:sz w:val="25"/>
        </w:rPr>
        <w:t>o</w:t>
      </w:r>
      <w:r>
        <w:rPr>
          <w:w w:val="99"/>
          <w:sz w:val="25"/>
        </w:rPr>
        <w:t>r</w:t>
      </w:r>
      <w:r>
        <w:rPr>
          <w:sz w:val="25"/>
        </w:rPr>
        <w:t> </w:t>
      </w:r>
      <w:r>
        <w:rPr>
          <w:spacing w:val="1"/>
          <w:w w:val="99"/>
          <w:sz w:val="25"/>
        </w:rPr>
        <w:t>F</w:t>
      </w:r>
      <w:r>
        <w:rPr>
          <w:spacing w:val="-1"/>
          <w:w w:val="99"/>
          <w:sz w:val="25"/>
        </w:rPr>
        <w:t>o</w:t>
      </w:r>
      <w:r>
        <w:rPr>
          <w:w w:val="99"/>
          <w:sz w:val="25"/>
        </w:rPr>
        <w:t>rt</w:t>
      </w:r>
      <w:r>
        <w:rPr>
          <w:sz w:val="25"/>
        </w:rPr>
        <w:t> </w:t>
      </w:r>
      <w:r>
        <w:rPr>
          <w:w w:val="99"/>
          <w:sz w:val="25"/>
        </w:rPr>
        <w:t>of</w:t>
      </w:r>
      <w:r>
        <w:rPr>
          <w:sz w:val="25"/>
        </w:rPr>
        <w:t> </w:t>
      </w:r>
      <w:r>
        <w:rPr>
          <w:spacing w:val="-1"/>
          <w:w w:val="99"/>
          <w:sz w:val="25"/>
        </w:rPr>
        <w:t>R</w:t>
      </w:r>
      <w:r>
        <w:rPr>
          <w:spacing w:val="2"/>
          <w:w w:val="99"/>
          <w:sz w:val="25"/>
        </w:rPr>
        <w:t>a</w:t>
      </w:r>
      <w:r>
        <w:rPr>
          <w:w w:val="99"/>
          <w:sz w:val="25"/>
        </w:rPr>
        <w:t>m</w:t>
      </w:r>
      <w:r>
        <w:rPr>
          <w:spacing w:val="-1"/>
          <w:w w:val="91"/>
          <w:sz w:val="25"/>
        </w:rPr>
        <w:t>a</w:t>
      </w:r>
      <w:r>
        <w:rPr>
          <w:w w:val="91"/>
          <w:sz w:val="25"/>
        </w:rPr>
        <w:t>‖</w:t>
      </w:r>
      <w:r>
        <w:rPr>
          <w:w w:val="99"/>
          <w:sz w:val="25"/>
        </w:rPr>
        <w:t>;</w:t>
      </w:r>
    </w:p>
    <w:p>
      <w:pPr>
        <w:pStyle w:val="BodyText"/>
        <w:spacing w:before="10"/>
        <w:rPr>
          <w:sz w:val="24"/>
        </w:rPr>
      </w:pPr>
    </w:p>
    <w:p>
      <w:pPr>
        <w:pStyle w:val="ListParagraph"/>
        <w:numPr>
          <w:ilvl w:val="0"/>
          <w:numId w:val="184"/>
        </w:numPr>
        <w:tabs>
          <w:tab w:pos="1221" w:val="left" w:leader="none"/>
        </w:tabs>
        <w:spacing w:line="480" w:lineRule="auto" w:before="0" w:after="0"/>
        <w:ind w:left="1220" w:right="445" w:hanging="720"/>
        <w:jc w:val="both"/>
        <w:rPr>
          <w:sz w:val="25"/>
        </w:rPr>
      </w:pPr>
      <w:r>
        <w:rPr>
          <w:w w:val="99"/>
          <w:sz w:val="25"/>
        </w:rPr>
        <w:t>T</w:t>
      </w:r>
      <w:r>
        <w:rPr>
          <w:spacing w:val="-1"/>
          <w:w w:val="99"/>
          <w:sz w:val="25"/>
        </w:rPr>
        <w:t>h</w:t>
      </w:r>
      <w:r>
        <w:rPr>
          <w:w w:val="99"/>
          <w:sz w:val="25"/>
        </w:rPr>
        <w:t>e</w:t>
      </w:r>
      <w:r>
        <w:rPr>
          <w:sz w:val="25"/>
        </w:rPr>
        <w:t> </w:t>
      </w:r>
      <w:r>
        <w:rPr>
          <w:spacing w:val="-1"/>
          <w:w w:val="99"/>
          <w:sz w:val="25"/>
        </w:rPr>
        <w:t>p</w:t>
      </w:r>
      <w:r>
        <w:rPr>
          <w:spacing w:val="1"/>
          <w:w w:val="99"/>
          <w:sz w:val="25"/>
        </w:rPr>
        <w:t>r</w:t>
      </w:r>
      <w:r>
        <w:rPr>
          <w:spacing w:val="-1"/>
          <w:w w:val="99"/>
          <w:sz w:val="25"/>
        </w:rPr>
        <w:t>es</w:t>
      </w:r>
      <w:r>
        <w:rPr>
          <w:w w:val="99"/>
          <w:sz w:val="25"/>
        </w:rPr>
        <w:t>e</w:t>
      </w:r>
      <w:r>
        <w:rPr>
          <w:spacing w:val="-1"/>
          <w:w w:val="99"/>
          <w:sz w:val="25"/>
        </w:rPr>
        <w:t>nc</w:t>
      </w:r>
      <w:r>
        <w:rPr>
          <w:w w:val="99"/>
          <w:sz w:val="25"/>
        </w:rPr>
        <w:t>e</w:t>
      </w:r>
      <w:r>
        <w:rPr>
          <w:sz w:val="25"/>
        </w:rPr>
        <w:t> </w:t>
      </w:r>
      <w:r>
        <w:rPr>
          <w:spacing w:val="-1"/>
          <w:w w:val="99"/>
          <w:sz w:val="25"/>
        </w:rPr>
        <w:t>o</w:t>
      </w:r>
      <w:r>
        <w:rPr>
          <w:w w:val="99"/>
          <w:sz w:val="25"/>
        </w:rPr>
        <w:t>f</w:t>
      </w:r>
      <w:r>
        <w:rPr>
          <w:sz w:val="25"/>
        </w:rPr>
        <w:t> </w:t>
      </w:r>
      <w:r>
        <w:rPr>
          <w:spacing w:val="-1"/>
          <w:w w:val="99"/>
          <w:sz w:val="25"/>
        </w:rPr>
        <w:t>1</w:t>
      </w:r>
      <w:r>
        <w:rPr>
          <w:w w:val="99"/>
          <w:sz w:val="25"/>
        </w:rPr>
        <w:t>4</w:t>
      </w:r>
      <w:r>
        <w:rPr>
          <w:sz w:val="25"/>
        </w:rPr>
        <w:t> </w:t>
      </w:r>
      <w:r>
        <w:rPr>
          <w:w w:val="99"/>
          <w:sz w:val="25"/>
        </w:rPr>
        <w:t>Kasauti</w:t>
      </w:r>
      <w:r>
        <w:rPr>
          <w:spacing w:val="-1"/>
          <w:sz w:val="25"/>
        </w:rPr>
        <w:t> </w:t>
      </w:r>
      <w:r>
        <w:rPr>
          <w:w w:val="99"/>
          <w:sz w:val="25"/>
        </w:rPr>
        <w:t>stone</w:t>
      </w:r>
      <w:r>
        <w:rPr>
          <w:spacing w:val="-1"/>
          <w:sz w:val="25"/>
        </w:rPr>
        <w:t> </w:t>
      </w:r>
      <w:r>
        <w:rPr>
          <w:w w:val="99"/>
          <w:sz w:val="25"/>
        </w:rPr>
        <w:t>p</w:t>
      </w:r>
      <w:r>
        <w:rPr>
          <w:spacing w:val="-1"/>
          <w:w w:val="99"/>
          <w:sz w:val="25"/>
        </w:rPr>
        <w:t>illar</w:t>
      </w:r>
      <w:r>
        <w:rPr>
          <w:w w:val="99"/>
          <w:sz w:val="25"/>
        </w:rPr>
        <w:t>s</w:t>
      </w:r>
      <w:r>
        <w:rPr>
          <w:sz w:val="25"/>
        </w:rPr>
        <w:t> </w:t>
      </w:r>
      <w:r>
        <w:rPr>
          <w:spacing w:val="-1"/>
          <w:w w:val="99"/>
          <w:sz w:val="25"/>
        </w:rPr>
        <w:t>i</w:t>
      </w:r>
      <w:r>
        <w:rPr>
          <w:w w:val="99"/>
          <w:sz w:val="25"/>
        </w:rPr>
        <w:t>n</w:t>
      </w:r>
      <w:r>
        <w:rPr>
          <w:spacing w:val="2"/>
          <w:sz w:val="25"/>
        </w:rPr>
        <w:t> </w:t>
      </w:r>
      <w:r>
        <w:rPr>
          <w:w w:val="99"/>
          <w:sz w:val="25"/>
        </w:rPr>
        <w:t>the</w:t>
      </w:r>
      <w:r>
        <w:rPr>
          <w:sz w:val="25"/>
        </w:rPr>
        <w:t> </w:t>
      </w:r>
      <w:r>
        <w:rPr>
          <w:w w:val="99"/>
          <w:sz w:val="25"/>
        </w:rPr>
        <w:t>m</w:t>
      </w:r>
      <w:r>
        <w:rPr>
          <w:spacing w:val="-1"/>
          <w:w w:val="99"/>
          <w:sz w:val="25"/>
        </w:rPr>
        <w:t>os</w:t>
      </w:r>
      <w:r>
        <w:rPr>
          <w:w w:val="99"/>
          <w:sz w:val="25"/>
        </w:rPr>
        <w:t>q</w:t>
      </w:r>
      <w:r>
        <w:rPr>
          <w:spacing w:val="-1"/>
          <w:w w:val="99"/>
          <w:sz w:val="25"/>
        </w:rPr>
        <w:t>u</w:t>
      </w:r>
      <w:r>
        <w:rPr>
          <w:w w:val="99"/>
          <w:sz w:val="25"/>
        </w:rPr>
        <w:t>e</w:t>
      </w:r>
      <w:r>
        <w:rPr>
          <w:sz w:val="25"/>
        </w:rPr>
        <w:t> </w:t>
      </w:r>
      <w:r>
        <w:rPr>
          <w:spacing w:val="-1"/>
          <w:w w:val="99"/>
          <w:sz w:val="25"/>
        </w:rPr>
        <w:t>wit</w:t>
      </w:r>
      <w:r>
        <w:rPr>
          <w:w w:val="99"/>
          <w:sz w:val="25"/>
        </w:rPr>
        <w:t>h</w:t>
      </w:r>
      <w:r>
        <w:rPr>
          <w:spacing w:val="-1"/>
          <w:sz w:val="25"/>
        </w:rPr>
        <w:t> </w:t>
      </w:r>
      <w:r>
        <w:rPr>
          <w:spacing w:val="1"/>
          <w:w w:val="33"/>
          <w:sz w:val="25"/>
        </w:rPr>
        <w:t>―</w:t>
      </w:r>
      <w:r>
        <w:rPr>
          <w:spacing w:val="-1"/>
          <w:w w:val="99"/>
          <w:sz w:val="25"/>
        </w:rPr>
        <w:t>ela</w:t>
      </w:r>
      <w:r>
        <w:rPr>
          <w:w w:val="99"/>
          <w:sz w:val="25"/>
        </w:rPr>
        <w:t>b</w:t>
      </w:r>
      <w:r>
        <w:rPr>
          <w:spacing w:val="-1"/>
          <w:w w:val="99"/>
          <w:sz w:val="25"/>
        </w:rPr>
        <w:t>o</w:t>
      </w:r>
      <w:r>
        <w:rPr>
          <w:w w:val="99"/>
          <w:sz w:val="25"/>
        </w:rPr>
        <w:t>r</w:t>
      </w:r>
      <w:r>
        <w:rPr>
          <w:spacing w:val="-1"/>
          <w:w w:val="99"/>
          <w:sz w:val="25"/>
        </w:rPr>
        <w:t>at</w:t>
      </w:r>
      <w:r>
        <w:rPr>
          <w:w w:val="99"/>
          <w:sz w:val="25"/>
        </w:rPr>
        <w:t>e</w:t>
      </w:r>
      <w:r>
        <w:rPr>
          <w:sz w:val="25"/>
        </w:rPr>
        <w:t> </w:t>
      </w:r>
      <w:r>
        <w:rPr>
          <w:spacing w:val="-1"/>
          <w:w w:val="99"/>
          <w:sz w:val="25"/>
        </w:rPr>
        <w:t>a</w:t>
      </w:r>
      <w:r>
        <w:rPr>
          <w:w w:val="99"/>
          <w:sz w:val="25"/>
        </w:rPr>
        <w:t>nd </w:t>
      </w:r>
      <w:r>
        <w:rPr>
          <w:sz w:val="25"/>
        </w:rPr>
        <w:t>tasteful workmanship‖</w:t>
      </w:r>
      <w:r>
        <w:rPr>
          <w:spacing w:val="-4"/>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ListParagraph"/>
        <w:numPr>
          <w:ilvl w:val="0"/>
          <w:numId w:val="184"/>
        </w:numPr>
        <w:tabs>
          <w:tab w:pos="1221" w:val="left" w:leader="none"/>
        </w:tabs>
        <w:spacing w:line="480" w:lineRule="auto" w:before="124" w:after="0"/>
        <w:ind w:left="1220" w:right="446" w:hanging="720"/>
        <w:jc w:val="both"/>
        <w:rPr>
          <w:sz w:val="25"/>
        </w:rPr>
      </w:pPr>
      <w:r>
        <w:rPr>
          <w:w w:val="99"/>
          <w:sz w:val="25"/>
        </w:rPr>
        <w:t>A</w:t>
      </w:r>
      <w:r>
        <w:rPr>
          <w:spacing w:val="30"/>
          <w:sz w:val="25"/>
        </w:rPr>
        <w:t> </w:t>
      </w:r>
      <w:r>
        <w:rPr>
          <w:w w:val="33"/>
          <w:sz w:val="25"/>
        </w:rPr>
        <w:t>―</w:t>
      </w:r>
      <w:r>
        <w:rPr>
          <w:spacing w:val="-1"/>
          <w:w w:val="99"/>
          <w:sz w:val="25"/>
        </w:rPr>
        <w:t>q</w:t>
      </w:r>
      <w:r>
        <w:rPr>
          <w:w w:val="99"/>
          <w:sz w:val="25"/>
        </w:rPr>
        <w:t>u</w:t>
      </w:r>
      <w:r>
        <w:rPr>
          <w:spacing w:val="-1"/>
          <w:w w:val="99"/>
          <w:sz w:val="25"/>
        </w:rPr>
        <w:t>a</w:t>
      </w:r>
      <w:r>
        <w:rPr>
          <w:w w:val="99"/>
          <w:sz w:val="25"/>
        </w:rPr>
        <w:t>dr</w:t>
      </w:r>
      <w:r>
        <w:rPr>
          <w:spacing w:val="-1"/>
          <w:w w:val="99"/>
          <w:sz w:val="25"/>
        </w:rPr>
        <w:t>a</w:t>
      </w:r>
      <w:r>
        <w:rPr>
          <w:w w:val="99"/>
          <w:sz w:val="25"/>
        </w:rPr>
        <w:t>n</w:t>
      </w:r>
      <w:r>
        <w:rPr>
          <w:spacing w:val="-1"/>
          <w:w w:val="99"/>
          <w:sz w:val="25"/>
        </w:rPr>
        <w:t>g</w:t>
      </w:r>
      <w:r>
        <w:rPr>
          <w:w w:val="99"/>
          <w:sz w:val="25"/>
        </w:rPr>
        <w:t>u</w:t>
      </w:r>
      <w:r>
        <w:rPr>
          <w:spacing w:val="-1"/>
          <w:w w:val="99"/>
          <w:sz w:val="25"/>
        </w:rPr>
        <w:t>la</w:t>
      </w:r>
      <w:r>
        <w:rPr>
          <w:w w:val="99"/>
          <w:sz w:val="25"/>
        </w:rPr>
        <w:t>r</w:t>
      </w:r>
      <w:r>
        <w:rPr>
          <w:spacing w:val="31"/>
          <w:sz w:val="25"/>
        </w:rPr>
        <w:t> </w:t>
      </w:r>
      <w:r>
        <w:rPr>
          <w:w w:val="99"/>
          <w:sz w:val="25"/>
        </w:rPr>
        <w:t>cof</w:t>
      </w:r>
      <w:r>
        <w:rPr>
          <w:spacing w:val="-2"/>
          <w:w w:val="99"/>
          <w:sz w:val="25"/>
        </w:rPr>
        <w:t>f</w:t>
      </w:r>
      <w:r>
        <w:rPr>
          <w:spacing w:val="-1"/>
          <w:w w:val="99"/>
          <w:sz w:val="25"/>
        </w:rPr>
        <w:t>e</w:t>
      </w:r>
      <w:r>
        <w:rPr>
          <w:w w:val="99"/>
          <w:sz w:val="25"/>
        </w:rPr>
        <w:t>r</w:t>
      </w:r>
      <w:r>
        <w:rPr>
          <w:spacing w:val="32"/>
          <w:sz w:val="25"/>
        </w:rPr>
        <w:t> </w:t>
      </w:r>
      <w:r>
        <w:rPr>
          <w:spacing w:val="-1"/>
          <w:w w:val="99"/>
          <w:sz w:val="25"/>
        </w:rPr>
        <w:t>o</w:t>
      </w:r>
      <w:r>
        <w:rPr>
          <w:w w:val="99"/>
          <w:sz w:val="25"/>
        </w:rPr>
        <w:t>f</w:t>
      </w:r>
      <w:r>
        <w:rPr>
          <w:spacing w:val="31"/>
          <w:sz w:val="25"/>
        </w:rPr>
        <w:t> </w:t>
      </w:r>
      <w:r>
        <w:rPr>
          <w:w w:val="99"/>
          <w:sz w:val="25"/>
        </w:rPr>
        <w:t>ston</w:t>
      </w:r>
      <w:r>
        <w:rPr>
          <w:spacing w:val="-1"/>
          <w:w w:val="91"/>
          <w:sz w:val="25"/>
        </w:rPr>
        <w:t>e</w:t>
      </w:r>
      <w:r>
        <w:rPr>
          <w:w w:val="91"/>
          <w:sz w:val="25"/>
        </w:rPr>
        <w:t>‖</w:t>
      </w:r>
      <w:r>
        <w:rPr>
          <w:w w:val="99"/>
          <w:sz w:val="25"/>
        </w:rPr>
        <w:t>,</w:t>
      </w:r>
      <w:r>
        <w:rPr>
          <w:spacing w:val="28"/>
          <w:sz w:val="25"/>
        </w:rPr>
        <w:t> </w:t>
      </w:r>
      <w:r>
        <w:rPr>
          <w:spacing w:val="-1"/>
          <w:w w:val="99"/>
          <w:sz w:val="25"/>
        </w:rPr>
        <w:t>b</w:t>
      </w:r>
      <w:r>
        <w:rPr>
          <w:w w:val="99"/>
          <w:sz w:val="25"/>
        </w:rPr>
        <w:t>e</w:t>
      </w:r>
      <w:r>
        <w:rPr>
          <w:spacing w:val="-1"/>
          <w:w w:val="99"/>
          <w:sz w:val="25"/>
        </w:rPr>
        <w:t>lie</w:t>
      </w:r>
      <w:r>
        <w:rPr>
          <w:spacing w:val="-3"/>
          <w:w w:val="99"/>
          <w:sz w:val="25"/>
        </w:rPr>
        <w:t>v</w:t>
      </w:r>
      <w:r>
        <w:rPr>
          <w:spacing w:val="-1"/>
          <w:w w:val="99"/>
          <w:sz w:val="25"/>
        </w:rPr>
        <w:t>e</w:t>
      </w:r>
      <w:r>
        <w:rPr>
          <w:w w:val="99"/>
          <w:sz w:val="25"/>
        </w:rPr>
        <w:t>d</w:t>
      </w:r>
      <w:r>
        <w:rPr>
          <w:spacing w:val="31"/>
          <w:sz w:val="25"/>
        </w:rPr>
        <w:t> </w:t>
      </w:r>
      <w:r>
        <w:rPr>
          <w:w w:val="99"/>
          <w:sz w:val="25"/>
        </w:rPr>
        <w:t>to</w:t>
      </w:r>
      <w:r>
        <w:rPr>
          <w:spacing w:val="31"/>
          <w:sz w:val="25"/>
        </w:rPr>
        <w:t> </w:t>
      </w:r>
      <w:r>
        <w:rPr>
          <w:spacing w:val="-1"/>
          <w:w w:val="99"/>
          <w:sz w:val="25"/>
        </w:rPr>
        <w:t>b</w:t>
      </w:r>
      <w:r>
        <w:rPr>
          <w:w w:val="99"/>
          <w:sz w:val="25"/>
        </w:rPr>
        <w:t>e</w:t>
      </w:r>
      <w:r>
        <w:rPr>
          <w:spacing w:val="31"/>
          <w:sz w:val="25"/>
        </w:rPr>
        <w:t> </w:t>
      </w:r>
      <w:r>
        <w:rPr>
          <w:w w:val="99"/>
          <w:sz w:val="25"/>
        </w:rPr>
        <w:t>the</w:t>
      </w:r>
      <w:r>
        <w:rPr>
          <w:spacing w:val="31"/>
          <w:sz w:val="25"/>
        </w:rPr>
        <w:t> </w:t>
      </w:r>
      <w:r>
        <w:rPr>
          <w:w w:val="99"/>
          <w:sz w:val="25"/>
        </w:rPr>
        <w:t>cr</w:t>
      </w:r>
      <w:r>
        <w:rPr>
          <w:spacing w:val="-3"/>
          <w:w w:val="99"/>
          <w:sz w:val="25"/>
        </w:rPr>
        <w:t>a</w:t>
      </w:r>
      <w:r>
        <w:rPr>
          <w:spacing w:val="-1"/>
          <w:w w:val="99"/>
          <w:sz w:val="25"/>
        </w:rPr>
        <w:t>dl</w:t>
      </w:r>
      <w:r>
        <w:rPr>
          <w:w w:val="99"/>
          <w:sz w:val="25"/>
        </w:rPr>
        <w:t>e</w:t>
      </w:r>
      <w:r>
        <w:rPr>
          <w:spacing w:val="31"/>
          <w:sz w:val="25"/>
        </w:rPr>
        <w:t> </w:t>
      </w:r>
      <w:r>
        <w:rPr>
          <w:spacing w:val="-1"/>
          <w:w w:val="99"/>
          <w:sz w:val="25"/>
        </w:rPr>
        <w:t>i</w:t>
      </w:r>
      <w:r>
        <w:rPr>
          <w:w w:val="99"/>
          <w:sz w:val="25"/>
        </w:rPr>
        <w:t>n</w:t>
      </w:r>
      <w:r>
        <w:rPr>
          <w:spacing w:val="28"/>
          <w:sz w:val="25"/>
        </w:rPr>
        <w:t> </w:t>
      </w:r>
      <w:r>
        <w:rPr>
          <w:spacing w:val="-1"/>
          <w:w w:val="99"/>
          <w:sz w:val="25"/>
        </w:rPr>
        <w:t>whic</w:t>
      </w:r>
      <w:r>
        <w:rPr>
          <w:w w:val="99"/>
          <w:sz w:val="25"/>
        </w:rPr>
        <w:t>h</w:t>
      </w:r>
      <w:r>
        <w:rPr>
          <w:spacing w:val="31"/>
          <w:sz w:val="25"/>
        </w:rPr>
        <w:t> </w:t>
      </w:r>
      <w:r>
        <w:rPr>
          <w:spacing w:val="-1"/>
          <w:w w:val="99"/>
          <w:sz w:val="25"/>
        </w:rPr>
        <w:t>L</w:t>
      </w:r>
      <w:r>
        <w:rPr>
          <w:w w:val="99"/>
          <w:sz w:val="25"/>
        </w:rPr>
        <w:t>ord </w:t>
      </w:r>
      <w:r>
        <w:rPr>
          <w:sz w:val="25"/>
        </w:rPr>
        <w:t>Ram was born as the avatar of Lord</w:t>
      </w:r>
      <w:r>
        <w:rPr>
          <w:spacing w:val="-8"/>
          <w:sz w:val="25"/>
        </w:rPr>
        <w:t> </w:t>
      </w:r>
      <w:r>
        <w:rPr>
          <w:sz w:val="25"/>
        </w:rPr>
        <w:t>Vishnu.</w:t>
      </w:r>
    </w:p>
    <w:p>
      <w:pPr>
        <w:pStyle w:val="BodyText"/>
        <w:spacing w:before="9"/>
        <w:rPr>
          <w:sz w:val="24"/>
        </w:rPr>
      </w:pPr>
    </w:p>
    <w:p>
      <w:pPr>
        <w:pStyle w:val="ListParagraph"/>
        <w:numPr>
          <w:ilvl w:val="0"/>
          <w:numId w:val="166"/>
        </w:numPr>
        <w:tabs>
          <w:tab w:pos="1221" w:val="left" w:leader="none"/>
        </w:tabs>
        <w:spacing w:line="480" w:lineRule="auto" w:before="0" w:after="0"/>
        <w:ind w:left="500" w:right="435" w:firstLine="0"/>
        <w:jc w:val="both"/>
        <w:rPr>
          <w:sz w:val="25"/>
        </w:rPr>
      </w:pPr>
      <w:r>
        <w:rPr>
          <w:b/>
          <w:spacing w:val="-1"/>
          <w:w w:val="99"/>
          <w:sz w:val="25"/>
        </w:rPr>
        <w:t>C</w:t>
      </w:r>
      <w:r>
        <w:rPr>
          <w:b/>
          <w:w w:val="99"/>
          <w:sz w:val="25"/>
        </w:rPr>
        <w:t>unni</w:t>
      </w:r>
      <w:r>
        <w:rPr>
          <w:b/>
          <w:spacing w:val="-1"/>
          <w:w w:val="99"/>
          <w:sz w:val="25"/>
        </w:rPr>
        <w:t>n</w:t>
      </w:r>
      <w:r>
        <w:rPr>
          <w:b/>
          <w:w w:val="99"/>
          <w:sz w:val="25"/>
        </w:rPr>
        <w:t>gh</w:t>
      </w:r>
      <w:r>
        <w:rPr>
          <w:b/>
          <w:spacing w:val="-1"/>
          <w:w w:val="99"/>
          <w:sz w:val="25"/>
        </w:rPr>
        <w:t>am‘</w:t>
      </w:r>
      <w:r>
        <w:rPr>
          <w:b/>
          <w:w w:val="99"/>
          <w:sz w:val="25"/>
        </w:rPr>
        <w:t>s</w:t>
      </w:r>
      <w:r>
        <w:rPr>
          <w:b/>
          <w:sz w:val="25"/>
        </w:rPr>
        <w:t>   </w:t>
      </w:r>
      <w:r>
        <w:rPr>
          <w:w w:val="33"/>
          <w:sz w:val="25"/>
        </w:rPr>
        <w:t>―</w:t>
      </w:r>
      <w:r>
        <w:rPr>
          <w:spacing w:val="-1"/>
          <w:w w:val="99"/>
          <w:sz w:val="25"/>
        </w:rPr>
        <w:t>A</w:t>
      </w:r>
      <w:r>
        <w:rPr>
          <w:w w:val="99"/>
          <w:sz w:val="25"/>
        </w:rPr>
        <w:t>r</w:t>
      </w:r>
      <w:r>
        <w:rPr>
          <w:spacing w:val="-3"/>
          <w:w w:val="99"/>
          <w:sz w:val="25"/>
        </w:rPr>
        <w:t>c</w:t>
      </w:r>
      <w:r>
        <w:rPr>
          <w:spacing w:val="-1"/>
          <w:w w:val="99"/>
          <w:sz w:val="25"/>
        </w:rPr>
        <w:t>h</w:t>
      </w:r>
      <w:r>
        <w:rPr>
          <w:w w:val="99"/>
          <w:sz w:val="25"/>
        </w:rPr>
        <w:t>a</w:t>
      </w:r>
      <w:r>
        <w:rPr>
          <w:spacing w:val="1"/>
          <w:w w:val="99"/>
          <w:sz w:val="25"/>
        </w:rPr>
        <w:t>e</w:t>
      </w:r>
      <w:r>
        <w:rPr>
          <w:spacing w:val="-1"/>
          <w:w w:val="99"/>
          <w:sz w:val="25"/>
        </w:rPr>
        <w:t>olo</w:t>
      </w:r>
      <w:r>
        <w:rPr>
          <w:w w:val="99"/>
          <w:sz w:val="25"/>
        </w:rPr>
        <w:t>g</w:t>
      </w:r>
      <w:r>
        <w:rPr>
          <w:spacing w:val="-1"/>
          <w:w w:val="99"/>
          <w:sz w:val="25"/>
        </w:rPr>
        <w:t>ica</w:t>
      </w:r>
      <w:r>
        <w:rPr>
          <w:w w:val="99"/>
          <w:sz w:val="25"/>
        </w:rPr>
        <w:t>l</w:t>
      </w:r>
      <w:r>
        <w:rPr>
          <w:sz w:val="25"/>
        </w:rPr>
        <w:t>  </w:t>
      </w:r>
      <w:r>
        <w:rPr>
          <w:spacing w:val="-3"/>
          <w:sz w:val="25"/>
        </w:rPr>
        <w:t> </w:t>
      </w:r>
      <w:r>
        <w:rPr>
          <w:spacing w:val="-1"/>
          <w:w w:val="99"/>
          <w:sz w:val="25"/>
        </w:rPr>
        <w:t>Su</w:t>
      </w:r>
      <w:r>
        <w:rPr>
          <w:w w:val="99"/>
          <w:sz w:val="25"/>
        </w:rPr>
        <w:t>r</w:t>
      </w:r>
      <w:r>
        <w:rPr>
          <w:spacing w:val="-3"/>
          <w:w w:val="99"/>
          <w:sz w:val="25"/>
        </w:rPr>
        <w:t>v</w:t>
      </w:r>
      <w:r>
        <w:rPr>
          <w:spacing w:val="2"/>
          <w:w w:val="99"/>
          <w:sz w:val="25"/>
        </w:rPr>
        <w:t>e</w:t>
      </w:r>
      <w:r>
        <w:rPr>
          <w:w w:val="99"/>
          <w:sz w:val="25"/>
        </w:rPr>
        <w:t>y</w:t>
      </w:r>
      <w:r>
        <w:rPr>
          <w:sz w:val="25"/>
        </w:rPr>
        <w:t>  </w:t>
      </w:r>
      <w:r>
        <w:rPr>
          <w:spacing w:val="-3"/>
          <w:sz w:val="25"/>
        </w:rPr>
        <w:t> </w:t>
      </w:r>
      <w:r>
        <w:rPr>
          <w:spacing w:val="-1"/>
          <w:w w:val="99"/>
          <w:sz w:val="25"/>
        </w:rPr>
        <w:t>o</w:t>
      </w:r>
      <w:r>
        <w:rPr>
          <w:w w:val="99"/>
          <w:sz w:val="25"/>
        </w:rPr>
        <w:t>f</w:t>
      </w:r>
      <w:r>
        <w:rPr>
          <w:sz w:val="25"/>
        </w:rPr>
        <w:t>  </w:t>
      </w:r>
      <w:r>
        <w:rPr>
          <w:spacing w:val="-2"/>
          <w:sz w:val="25"/>
        </w:rPr>
        <w:t> </w:t>
      </w:r>
      <w:r>
        <w:rPr>
          <w:w w:val="99"/>
          <w:sz w:val="25"/>
        </w:rPr>
        <w:t>Ind</w:t>
      </w:r>
      <w:r>
        <w:rPr>
          <w:spacing w:val="-1"/>
          <w:w w:val="93"/>
          <w:sz w:val="25"/>
        </w:rPr>
        <w:t>ia</w:t>
      </w:r>
      <w:r>
        <w:rPr>
          <w:w w:val="93"/>
          <w:sz w:val="25"/>
        </w:rPr>
        <w:t>‖</w:t>
      </w:r>
      <w:r>
        <w:rPr>
          <w:sz w:val="25"/>
        </w:rPr>
        <w:t>  </w:t>
      </w:r>
      <w:r>
        <w:rPr>
          <w:spacing w:val="-2"/>
          <w:sz w:val="25"/>
        </w:rPr>
        <w:t> </w:t>
      </w:r>
      <w:r>
        <w:rPr>
          <w:w w:val="99"/>
          <w:sz w:val="25"/>
        </w:rPr>
        <w:t>(</w:t>
      </w:r>
      <w:r>
        <w:rPr>
          <w:spacing w:val="-1"/>
          <w:w w:val="99"/>
          <w:sz w:val="25"/>
        </w:rPr>
        <w:t>1</w:t>
      </w:r>
      <w:r>
        <w:rPr>
          <w:w w:val="99"/>
          <w:sz w:val="25"/>
        </w:rPr>
        <w:t>8</w:t>
      </w:r>
      <w:r>
        <w:rPr>
          <w:spacing w:val="-1"/>
          <w:w w:val="99"/>
          <w:sz w:val="25"/>
        </w:rPr>
        <w:t>6</w:t>
      </w:r>
      <w:r>
        <w:rPr>
          <w:spacing w:val="3"/>
          <w:w w:val="99"/>
          <w:sz w:val="25"/>
        </w:rPr>
        <w:t>2</w:t>
      </w:r>
      <w:r>
        <w:rPr>
          <w:w w:val="99"/>
          <w:sz w:val="25"/>
        </w:rPr>
        <w:t>-</w:t>
      </w:r>
      <w:r>
        <w:rPr>
          <w:w w:val="99"/>
          <w:sz w:val="25"/>
        </w:rPr>
        <w:t>5)</w:t>
      </w:r>
      <w:r>
        <w:rPr>
          <w:sz w:val="25"/>
        </w:rPr>
        <w:t>  </w:t>
      </w:r>
      <w:r>
        <w:rPr>
          <w:spacing w:val="-4"/>
          <w:sz w:val="25"/>
        </w:rPr>
        <w:t> </w:t>
      </w:r>
      <w:r>
        <w:rPr>
          <w:w w:val="99"/>
          <w:sz w:val="25"/>
        </w:rPr>
        <w:t>refers</w:t>
      </w:r>
      <w:r>
        <w:rPr>
          <w:sz w:val="25"/>
        </w:rPr>
        <w:t>  </w:t>
      </w:r>
      <w:r>
        <w:rPr>
          <w:spacing w:val="-3"/>
          <w:sz w:val="25"/>
        </w:rPr>
        <w:t> </w:t>
      </w:r>
      <w:r>
        <w:rPr>
          <w:w w:val="99"/>
          <w:sz w:val="25"/>
        </w:rPr>
        <w:t>to </w:t>
      </w:r>
      <w:r>
        <w:rPr>
          <w:spacing w:val="-1"/>
          <w:w w:val="99"/>
          <w:sz w:val="25"/>
        </w:rPr>
        <w:t>e</w:t>
      </w:r>
      <w:r>
        <w:rPr>
          <w:spacing w:val="-3"/>
          <w:w w:val="99"/>
          <w:sz w:val="25"/>
        </w:rPr>
        <w:t>x</w:t>
      </w:r>
      <w:r>
        <w:rPr>
          <w:spacing w:val="-1"/>
          <w:w w:val="99"/>
          <w:sz w:val="25"/>
        </w:rPr>
        <w:t>iste</w:t>
      </w:r>
      <w:r>
        <w:rPr>
          <w:w w:val="99"/>
          <w:sz w:val="25"/>
        </w:rPr>
        <w:t>nce</w:t>
      </w:r>
      <w:r>
        <w:rPr>
          <w:sz w:val="25"/>
        </w:rPr>
        <w:t> </w:t>
      </w:r>
      <w:r>
        <w:rPr>
          <w:spacing w:val="-3"/>
          <w:sz w:val="25"/>
        </w:rPr>
        <w:t> </w:t>
      </w:r>
      <w:r>
        <w:rPr>
          <w:spacing w:val="-1"/>
          <w:w w:val="99"/>
          <w:sz w:val="25"/>
        </w:rPr>
        <w:t>o</w:t>
      </w:r>
      <w:r>
        <w:rPr>
          <w:w w:val="99"/>
          <w:sz w:val="25"/>
        </w:rPr>
        <w:t>f</w:t>
      </w:r>
      <w:r>
        <w:rPr>
          <w:sz w:val="25"/>
        </w:rPr>
        <w:t> </w:t>
      </w:r>
      <w:r>
        <w:rPr>
          <w:spacing w:val="-5"/>
          <w:sz w:val="25"/>
        </w:rPr>
        <w:t> </w:t>
      </w:r>
      <w:r>
        <w:rPr>
          <w:w w:val="33"/>
          <w:sz w:val="25"/>
        </w:rPr>
        <w:t>―</w:t>
      </w:r>
      <w:r>
        <w:rPr>
          <w:w w:val="99"/>
          <w:sz w:val="25"/>
        </w:rPr>
        <w:t>s</w:t>
      </w:r>
      <w:r>
        <w:rPr>
          <w:spacing w:val="2"/>
          <w:w w:val="99"/>
          <w:sz w:val="25"/>
        </w:rPr>
        <w:t>e</w:t>
      </w:r>
      <w:r>
        <w:rPr>
          <w:spacing w:val="-3"/>
          <w:w w:val="99"/>
          <w:sz w:val="25"/>
        </w:rPr>
        <w:t>v</w:t>
      </w:r>
      <w:r>
        <w:rPr>
          <w:spacing w:val="-1"/>
          <w:w w:val="99"/>
          <w:sz w:val="25"/>
        </w:rPr>
        <w:t>e</w:t>
      </w:r>
      <w:r>
        <w:rPr>
          <w:w w:val="99"/>
          <w:sz w:val="25"/>
        </w:rPr>
        <w:t>r</w:t>
      </w:r>
      <w:r>
        <w:rPr>
          <w:spacing w:val="-1"/>
          <w:w w:val="99"/>
          <w:sz w:val="25"/>
        </w:rPr>
        <w:t>a</w:t>
      </w:r>
      <w:r>
        <w:rPr>
          <w:w w:val="99"/>
          <w:sz w:val="25"/>
        </w:rPr>
        <w:t>l</w:t>
      </w:r>
      <w:r>
        <w:rPr>
          <w:sz w:val="25"/>
        </w:rPr>
        <w:t> </w:t>
      </w:r>
      <w:r>
        <w:rPr>
          <w:spacing w:val="-5"/>
          <w:sz w:val="25"/>
        </w:rPr>
        <w:t> </w:t>
      </w:r>
      <w:r>
        <w:rPr>
          <w:spacing w:val="-1"/>
          <w:w w:val="99"/>
          <w:sz w:val="25"/>
        </w:rPr>
        <w:t>h</w:t>
      </w:r>
      <w:r>
        <w:rPr>
          <w:w w:val="99"/>
          <w:sz w:val="25"/>
        </w:rPr>
        <w:t>o</w:t>
      </w:r>
      <w:r>
        <w:rPr>
          <w:spacing w:val="1"/>
          <w:w w:val="99"/>
          <w:sz w:val="25"/>
        </w:rPr>
        <w:t>l</w:t>
      </w:r>
      <w:r>
        <w:rPr>
          <w:w w:val="99"/>
          <w:sz w:val="25"/>
        </w:rPr>
        <w:t>y</w:t>
      </w:r>
      <w:r>
        <w:rPr>
          <w:sz w:val="25"/>
        </w:rPr>
        <w:t> </w:t>
      </w:r>
      <w:r>
        <w:rPr>
          <w:spacing w:val="-8"/>
          <w:sz w:val="25"/>
        </w:rPr>
        <w:t> </w:t>
      </w:r>
      <w:r>
        <w:rPr>
          <w:spacing w:val="-1"/>
          <w:w w:val="99"/>
          <w:sz w:val="25"/>
        </w:rPr>
        <w:t>B</w:t>
      </w:r>
      <w:r>
        <w:rPr>
          <w:w w:val="99"/>
          <w:sz w:val="25"/>
        </w:rPr>
        <w:t>r</w:t>
      </w:r>
      <w:r>
        <w:rPr>
          <w:spacing w:val="-1"/>
          <w:w w:val="99"/>
          <w:sz w:val="25"/>
        </w:rPr>
        <w:t>a</w:t>
      </w:r>
      <w:r>
        <w:rPr>
          <w:w w:val="99"/>
          <w:sz w:val="25"/>
        </w:rPr>
        <w:t>hm</w:t>
      </w:r>
      <w:r>
        <w:rPr>
          <w:spacing w:val="-1"/>
          <w:w w:val="99"/>
          <w:sz w:val="25"/>
        </w:rPr>
        <w:t>a</w:t>
      </w:r>
      <w:r>
        <w:rPr>
          <w:w w:val="99"/>
          <w:sz w:val="25"/>
        </w:rPr>
        <w:t>n</w:t>
      </w:r>
      <w:r>
        <w:rPr>
          <w:spacing w:val="-1"/>
          <w:w w:val="99"/>
          <w:sz w:val="25"/>
        </w:rPr>
        <w:t>ica</w:t>
      </w:r>
      <w:r>
        <w:rPr>
          <w:w w:val="99"/>
          <w:sz w:val="25"/>
        </w:rPr>
        <w:t>l</w:t>
      </w:r>
      <w:r>
        <w:rPr>
          <w:sz w:val="25"/>
        </w:rPr>
        <w:t> </w:t>
      </w:r>
      <w:r>
        <w:rPr>
          <w:spacing w:val="-5"/>
          <w:sz w:val="25"/>
        </w:rPr>
        <w:t> </w:t>
      </w:r>
      <w:r>
        <w:rPr>
          <w:spacing w:val="2"/>
          <w:w w:val="99"/>
          <w:sz w:val="25"/>
        </w:rPr>
        <w:t>t</w:t>
      </w:r>
      <w:r>
        <w:rPr>
          <w:spacing w:val="-1"/>
          <w:w w:val="99"/>
          <w:sz w:val="25"/>
        </w:rPr>
        <w:t>e</w:t>
      </w:r>
      <w:r>
        <w:rPr>
          <w:w w:val="99"/>
          <w:sz w:val="25"/>
        </w:rPr>
        <w:t>m</w:t>
      </w:r>
      <w:r>
        <w:rPr>
          <w:spacing w:val="-1"/>
          <w:w w:val="99"/>
          <w:sz w:val="25"/>
        </w:rPr>
        <w:t>ple</w:t>
      </w:r>
      <w:r>
        <w:rPr>
          <w:w w:val="99"/>
          <w:sz w:val="25"/>
        </w:rPr>
        <w:t>s</w:t>
      </w:r>
      <w:r>
        <w:rPr>
          <w:sz w:val="25"/>
        </w:rPr>
        <w:t> </w:t>
      </w:r>
      <w:r>
        <w:rPr>
          <w:spacing w:val="-5"/>
          <w:sz w:val="25"/>
        </w:rPr>
        <w:t> </w:t>
      </w:r>
      <w:r>
        <w:rPr>
          <w:spacing w:val="-1"/>
          <w:w w:val="99"/>
          <w:sz w:val="25"/>
        </w:rPr>
        <w:t>a</w:t>
      </w:r>
      <w:r>
        <w:rPr>
          <w:w w:val="99"/>
          <w:sz w:val="25"/>
        </w:rPr>
        <w:t>b</w:t>
      </w:r>
      <w:r>
        <w:rPr>
          <w:spacing w:val="-1"/>
          <w:w w:val="99"/>
          <w:sz w:val="25"/>
        </w:rPr>
        <w:t>o</w:t>
      </w:r>
      <w:r>
        <w:rPr>
          <w:w w:val="99"/>
          <w:sz w:val="25"/>
        </w:rPr>
        <w:t>ut</w:t>
      </w:r>
      <w:r>
        <w:rPr>
          <w:sz w:val="25"/>
        </w:rPr>
        <w:t> </w:t>
      </w:r>
      <w:r>
        <w:rPr>
          <w:spacing w:val="-5"/>
          <w:sz w:val="25"/>
        </w:rPr>
        <w:t> </w:t>
      </w:r>
      <w:r>
        <w:rPr>
          <w:spacing w:val="-1"/>
          <w:w w:val="99"/>
          <w:sz w:val="25"/>
        </w:rPr>
        <w:t>Ajud</w:t>
      </w:r>
      <w:r>
        <w:rPr>
          <w:spacing w:val="3"/>
          <w:w w:val="99"/>
          <w:sz w:val="25"/>
        </w:rPr>
        <w:t>h</w:t>
      </w:r>
      <w:r>
        <w:rPr>
          <w:spacing w:val="-3"/>
          <w:w w:val="99"/>
          <w:sz w:val="25"/>
        </w:rPr>
        <w:t>y</w:t>
      </w:r>
      <w:r>
        <w:rPr>
          <w:spacing w:val="-1"/>
          <w:w w:val="91"/>
          <w:sz w:val="25"/>
        </w:rPr>
        <w:t>a</w:t>
      </w:r>
      <w:r>
        <w:rPr>
          <w:w w:val="91"/>
          <w:sz w:val="25"/>
        </w:rPr>
        <w:t>‖</w:t>
      </w:r>
      <w:r>
        <w:rPr>
          <w:sz w:val="25"/>
        </w:rPr>
        <w:t> </w:t>
      </w:r>
      <w:r>
        <w:rPr>
          <w:spacing w:val="-4"/>
          <w:sz w:val="25"/>
        </w:rPr>
        <w:t> </w:t>
      </w:r>
      <w:r>
        <w:rPr>
          <w:spacing w:val="-1"/>
          <w:w w:val="99"/>
          <w:sz w:val="25"/>
        </w:rPr>
        <w:t>a</w:t>
      </w:r>
      <w:r>
        <w:rPr>
          <w:w w:val="99"/>
          <w:sz w:val="25"/>
        </w:rPr>
        <w:t>nd</w:t>
      </w:r>
      <w:r>
        <w:rPr>
          <w:sz w:val="25"/>
        </w:rPr>
        <w:t> </w:t>
      </w:r>
      <w:r>
        <w:rPr>
          <w:spacing w:val="-5"/>
          <w:sz w:val="25"/>
        </w:rPr>
        <w:t> </w:t>
      </w:r>
      <w:r>
        <w:rPr>
          <w:w w:val="99"/>
          <w:sz w:val="25"/>
        </w:rPr>
        <w:t>that</w:t>
      </w:r>
      <w:r>
        <w:rPr>
          <w:sz w:val="25"/>
        </w:rPr>
        <w:t> </w:t>
      </w:r>
      <w:r>
        <w:rPr>
          <w:spacing w:val="-3"/>
          <w:sz w:val="25"/>
        </w:rPr>
        <w:t> </w:t>
      </w:r>
      <w:r>
        <w:rPr>
          <w:w w:val="99"/>
          <w:sz w:val="25"/>
        </w:rPr>
        <w:t>the</w:t>
      </w:r>
    </w:p>
    <w:p>
      <w:pPr>
        <w:pStyle w:val="BodyText"/>
        <w:spacing w:line="480" w:lineRule="auto" w:before="2"/>
        <w:ind w:left="500" w:right="435"/>
        <w:jc w:val="both"/>
      </w:pPr>
      <w:r>
        <w:rPr>
          <w:w w:val="33"/>
        </w:rPr>
        <w:t>―</w:t>
      </w:r>
      <w:r>
        <w:rPr>
          <w:spacing w:val="-1"/>
          <w:w w:val="99"/>
        </w:rPr>
        <w:t>a</w:t>
      </w:r>
      <w:r>
        <w:rPr>
          <w:w w:val="99"/>
        </w:rPr>
        <w:t>ncient</w:t>
      </w:r>
      <w:r>
        <w:rPr>
          <w:spacing w:val="33"/>
        </w:rPr>
        <w:t> </w:t>
      </w:r>
      <w:r>
        <w:rPr>
          <w:w w:val="99"/>
        </w:rPr>
        <w:t>te</w:t>
      </w:r>
      <w:r>
        <w:rPr>
          <w:spacing w:val="1"/>
          <w:w w:val="99"/>
        </w:rPr>
        <w:t>m</w:t>
      </w:r>
      <w:r>
        <w:rPr>
          <w:spacing w:val="-1"/>
          <w:w w:val="99"/>
        </w:rPr>
        <w:t>ple</w:t>
      </w:r>
      <w:r>
        <w:rPr>
          <w:w w:val="99"/>
        </w:rPr>
        <w:t>s</w:t>
      </w:r>
      <w:r>
        <w:rPr>
          <w:spacing w:val="34"/>
        </w:rPr>
        <w:t> </w:t>
      </w:r>
      <w:r>
        <w:rPr>
          <w:spacing w:val="-1"/>
          <w:w w:val="99"/>
        </w:rPr>
        <w:t>we</w:t>
      </w:r>
      <w:r>
        <w:rPr>
          <w:spacing w:val="-2"/>
          <w:w w:val="99"/>
        </w:rPr>
        <w:t>r</w:t>
      </w:r>
      <w:r>
        <w:rPr>
          <w:w w:val="99"/>
        </w:rPr>
        <w:t>e</w:t>
      </w:r>
      <w:r>
        <w:rPr>
          <w:spacing w:val="33"/>
        </w:rPr>
        <w:t> </w:t>
      </w:r>
      <w:r>
        <w:rPr>
          <w:spacing w:val="-1"/>
          <w:w w:val="99"/>
        </w:rPr>
        <w:t>d</w:t>
      </w:r>
      <w:r>
        <w:rPr>
          <w:w w:val="99"/>
        </w:rPr>
        <w:t>estr</w:t>
      </w:r>
      <w:r>
        <w:rPr>
          <w:spacing w:val="-1"/>
          <w:w w:val="99"/>
        </w:rPr>
        <w:t>o</w:t>
      </w:r>
      <w:r>
        <w:rPr>
          <w:spacing w:val="-3"/>
          <w:w w:val="99"/>
        </w:rPr>
        <w:t>y</w:t>
      </w:r>
      <w:r>
        <w:rPr>
          <w:spacing w:val="-1"/>
          <w:w w:val="99"/>
        </w:rPr>
        <w:t>e</w:t>
      </w:r>
      <w:r>
        <w:rPr>
          <w:w w:val="99"/>
        </w:rPr>
        <w:t>d</w:t>
      </w:r>
      <w:r>
        <w:rPr>
          <w:spacing w:val="33"/>
        </w:rPr>
        <w:t> </w:t>
      </w:r>
      <w:r>
        <w:rPr>
          <w:spacing w:val="-1"/>
          <w:w w:val="99"/>
        </w:rPr>
        <w:t>b</w:t>
      </w:r>
      <w:r>
        <w:rPr>
          <w:w w:val="99"/>
        </w:rPr>
        <w:t>y</w:t>
      </w:r>
      <w:r>
        <w:rPr>
          <w:spacing w:val="31"/>
        </w:rPr>
        <w:t> </w:t>
      </w:r>
      <w:r>
        <w:rPr>
          <w:w w:val="99"/>
        </w:rPr>
        <w:t>the</w:t>
      </w:r>
      <w:r>
        <w:rPr/>
        <w:t> </w:t>
      </w:r>
      <w:r>
        <w:rPr>
          <w:spacing w:val="-33"/>
        </w:rPr>
        <w:t> </w:t>
      </w:r>
      <w:r>
        <w:rPr>
          <w:spacing w:val="-2"/>
          <w:w w:val="99"/>
        </w:rPr>
        <w:t>M</w:t>
      </w:r>
      <w:r>
        <w:rPr>
          <w:spacing w:val="-1"/>
          <w:w w:val="99"/>
        </w:rPr>
        <w:t>us</w:t>
      </w:r>
      <w:r>
        <w:rPr>
          <w:w w:val="99"/>
        </w:rPr>
        <w:t>a</w:t>
      </w:r>
      <w:r>
        <w:rPr>
          <w:spacing w:val="-1"/>
          <w:w w:val="99"/>
        </w:rPr>
        <w:t>lm</w:t>
      </w:r>
      <w:r>
        <w:rPr>
          <w:w w:val="99"/>
        </w:rPr>
        <w:t>a</w:t>
      </w:r>
      <w:r>
        <w:rPr>
          <w:spacing w:val="-1"/>
          <w:w w:val="94"/>
        </w:rPr>
        <w:t>ns</w:t>
      </w:r>
      <w:r>
        <w:rPr>
          <w:w w:val="94"/>
        </w:rPr>
        <w:t>‖</w:t>
      </w:r>
      <w:r>
        <w:rPr>
          <w:w w:val="99"/>
        </w:rPr>
        <w:t>.</w:t>
      </w:r>
      <w:r>
        <w:rPr>
          <w:spacing w:val="33"/>
        </w:rPr>
        <w:t> </w:t>
      </w:r>
      <w:r>
        <w:rPr>
          <w:w w:val="99"/>
        </w:rPr>
        <w:t>T</w:t>
      </w:r>
      <w:r>
        <w:rPr>
          <w:spacing w:val="-1"/>
          <w:w w:val="99"/>
        </w:rPr>
        <w:t>h</w:t>
      </w:r>
      <w:r>
        <w:rPr>
          <w:w w:val="99"/>
        </w:rPr>
        <w:t>e</w:t>
      </w:r>
      <w:r>
        <w:rPr>
          <w:spacing w:val="33"/>
        </w:rPr>
        <w:t> </w:t>
      </w:r>
      <w:r>
        <w:rPr>
          <w:w w:val="99"/>
        </w:rPr>
        <w:t>r</w:t>
      </w:r>
      <w:r>
        <w:rPr>
          <w:spacing w:val="-1"/>
          <w:w w:val="99"/>
        </w:rPr>
        <w:t>e</w:t>
      </w:r>
      <w:r>
        <w:rPr>
          <w:spacing w:val="-2"/>
          <w:w w:val="99"/>
        </w:rPr>
        <w:t>p</w:t>
      </w:r>
      <w:r>
        <w:rPr>
          <w:spacing w:val="-1"/>
          <w:w w:val="99"/>
        </w:rPr>
        <w:t>o</w:t>
      </w:r>
      <w:r>
        <w:rPr>
          <w:w w:val="99"/>
        </w:rPr>
        <w:t>rt</w:t>
      </w:r>
      <w:r>
        <w:rPr>
          <w:spacing w:val="33"/>
        </w:rPr>
        <w:t> </w:t>
      </w:r>
      <w:r>
        <w:rPr>
          <w:w w:val="99"/>
        </w:rPr>
        <w:t>stat</w:t>
      </w:r>
      <w:r>
        <w:rPr>
          <w:spacing w:val="-1"/>
          <w:w w:val="99"/>
        </w:rPr>
        <w:t>e</w:t>
      </w:r>
      <w:r>
        <w:rPr>
          <w:w w:val="99"/>
        </w:rPr>
        <w:t>s</w:t>
      </w:r>
      <w:r>
        <w:rPr>
          <w:spacing w:val="33"/>
        </w:rPr>
        <w:t> </w:t>
      </w:r>
      <w:r>
        <w:rPr>
          <w:w w:val="99"/>
        </w:rPr>
        <w:t>that</w:t>
      </w:r>
      <w:r>
        <w:rPr>
          <w:spacing w:val="33"/>
        </w:rPr>
        <w:t> </w:t>
      </w:r>
      <w:r>
        <w:rPr>
          <w:w w:val="33"/>
        </w:rPr>
        <w:t>―</w:t>
      </w:r>
      <w:r>
        <w:rPr>
          <w:spacing w:val="-1"/>
          <w:w w:val="99"/>
        </w:rPr>
        <w:t>in </w:t>
      </w:r>
      <w:r>
        <w:rPr>
          <w:w w:val="99"/>
        </w:rPr>
        <w:t>the</w:t>
      </w:r>
      <w:r>
        <w:rPr>
          <w:spacing w:val="34"/>
        </w:rPr>
        <w:t> </w:t>
      </w:r>
      <w:r>
        <w:rPr>
          <w:spacing w:val="-3"/>
          <w:w w:val="99"/>
        </w:rPr>
        <w:t>v</w:t>
      </w:r>
      <w:r>
        <w:rPr>
          <w:spacing w:val="-1"/>
          <w:w w:val="99"/>
        </w:rPr>
        <w:t>e</w:t>
      </w:r>
      <w:r>
        <w:rPr>
          <w:spacing w:val="3"/>
          <w:w w:val="99"/>
        </w:rPr>
        <w:t>r</w:t>
      </w:r>
      <w:r>
        <w:rPr>
          <w:w w:val="99"/>
        </w:rPr>
        <w:t>y</w:t>
      </w:r>
      <w:r>
        <w:rPr>
          <w:spacing w:val="33"/>
        </w:rPr>
        <w:t> </w:t>
      </w:r>
      <w:r>
        <w:rPr>
          <w:spacing w:val="-1"/>
          <w:w w:val="99"/>
        </w:rPr>
        <w:t>h</w:t>
      </w:r>
      <w:r>
        <w:rPr>
          <w:w w:val="99"/>
        </w:rPr>
        <w:t>e</w:t>
      </w:r>
      <w:r>
        <w:rPr>
          <w:spacing w:val="-1"/>
          <w:w w:val="99"/>
        </w:rPr>
        <w:t>a</w:t>
      </w:r>
      <w:r>
        <w:rPr>
          <w:w w:val="99"/>
        </w:rPr>
        <w:t>rt</w:t>
      </w:r>
      <w:r>
        <w:rPr>
          <w:spacing w:val="33"/>
        </w:rPr>
        <w:t> </w:t>
      </w:r>
      <w:r>
        <w:rPr>
          <w:spacing w:val="-1"/>
          <w:w w:val="99"/>
        </w:rPr>
        <w:t>o</w:t>
      </w:r>
      <w:r>
        <w:rPr>
          <w:w w:val="99"/>
        </w:rPr>
        <w:t>f</w:t>
      </w:r>
      <w:r>
        <w:rPr>
          <w:spacing w:val="34"/>
        </w:rPr>
        <w:t> </w:t>
      </w:r>
      <w:r>
        <w:rPr>
          <w:w w:val="99"/>
        </w:rPr>
        <w:t>the</w:t>
      </w:r>
      <w:r>
        <w:rPr/>
        <w:t> </w:t>
      </w:r>
      <w:r>
        <w:rPr>
          <w:spacing w:val="-33"/>
        </w:rPr>
        <w:t> </w:t>
      </w:r>
      <w:r>
        <w:rPr>
          <w:w w:val="99"/>
        </w:rPr>
        <w:t>ci</w:t>
      </w:r>
      <w:r>
        <w:rPr>
          <w:spacing w:val="2"/>
          <w:w w:val="99"/>
        </w:rPr>
        <w:t>t</w:t>
      </w:r>
      <w:r>
        <w:rPr>
          <w:spacing w:val="-3"/>
          <w:w w:val="99"/>
        </w:rPr>
        <w:t>y</w:t>
      </w:r>
      <w:r>
        <w:rPr>
          <w:w w:val="99"/>
        </w:rPr>
        <w:t>,</w:t>
      </w:r>
      <w:r>
        <w:rPr>
          <w:spacing w:val="33"/>
        </w:rPr>
        <w:t> </w:t>
      </w:r>
      <w:r>
        <w:rPr>
          <w:w w:val="99"/>
        </w:rPr>
        <w:t>stan</w:t>
      </w:r>
      <w:r>
        <w:rPr>
          <w:spacing w:val="-1"/>
          <w:w w:val="99"/>
        </w:rPr>
        <w:t>d</w:t>
      </w:r>
      <w:r>
        <w:rPr>
          <w:w w:val="99"/>
        </w:rPr>
        <w:t>s</w:t>
      </w:r>
      <w:r>
        <w:rPr>
          <w:spacing w:val="33"/>
        </w:rPr>
        <w:t> </w:t>
      </w:r>
      <w:r>
        <w:rPr>
          <w:w w:val="99"/>
        </w:rPr>
        <w:t>the</w:t>
      </w:r>
      <w:r>
        <w:rPr/>
        <w:t> </w:t>
      </w:r>
      <w:r>
        <w:rPr>
          <w:spacing w:val="-33"/>
        </w:rPr>
        <w:t> </w:t>
      </w:r>
      <w:r>
        <w:rPr>
          <w:w w:val="99"/>
        </w:rPr>
        <w:t>Ja</w:t>
      </w:r>
      <w:r>
        <w:rPr>
          <w:spacing w:val="3"/>
          <w:w w:val="99"/>
        </w:rPr>
        <w:t>n</w:t>
      </w:r>
      <w:r>
        <w:rPr>
          <w:spacing w:val="-1"/>
          <w:w w:val="99"/>
        </w:rPr>
        <w:t>a</w:t>
      </w:r>
      <w:r>
        <w:rPr>
          <w:w w:val="99"/>
        </w:rPr>
        <w:t>m</w:t>
      </w:r>
      <w:r>
        <w:rPr>
          <w:spacing w:val="34"/>
        </w:rPr>
        <w:t> </w:t>
      </w:r>
      <w:r>
        <w:rPr>
          <w:spacing w:val="-1"/>
          <w:w w:val="99"/>
        </w:rPr>
        <w:t>A</w:t>
      </w:r>
      <w:r>
        <w:rPr>
          <w:w w:val="99"/>
        </w:rPr>
        <w:t>stha</w:t>
      </w:r>
      <w:r>
        <w:rPr>
          <w:spacing w:val="-1"/>
          <w:w w:val="91"/>
        </w:rPr>
        <w:t>n</w:t>
      </w:r>
      <w:r>
        <w:rPr>
          <w:w w:val="91"/>
        </w:rPr>
        <w:t>‖</w:t>
      </w:r>
      <w:r>
        <w:rPr>
          <w:w w:val="99"/>
        </w:rPr>
        <w:t>,</w:t>
      </w:r>
      <w:r>
        <w:rPr>
          <w:spacing w:val="33"/>
        </w:rPr>
        <w:t> </w:t>
      </w:r>
      <w:r>
        <w:rPr>
          <w:spacing w:val="-1"/>
          <w:w w:val="99"/>
        </w:rPr>
        <w:t>o</w:t>
      </w:r>
      <w:r>
        <w:rPr>
          <w:w w:val="99"/>
        </w:rPr>
        <w:t>r</w:t>
      </w:r>
      <w:r>
        <w:rPr>
          <w:spacing w:val="34"/>
        </w:rPr>
        <w:t> </w:t>
      </w:r>
      <w:r>
        <w:rPr>
          <w:spacing w:val="9"/>
          <w:w w:val="33"/>
        </w:rPr>
        <w:t>―</w:t>
      </w:r>
      <w:r>
        <w:rPr>
          <w:w w:val="99"/>
        </w:rPr>
        <w:t>bir</w:t>
      </w:r>
      <w:r>
        <w:rPr>
          <w:w w:val="99"/>
        </w:rPr>
        <w:t>th-</w:t>
      </w:r>
      <w:r>
        <w:rPr>
          <w:spacing w:val="-1"/>
          <w:w w:val="99"/>
        </w:rPr>
        <w:t>plac</w:t>
      </w:r>
      <w:r>
        <w:rPr>
          <w:w w:val="99"/>
        </w:rPr>
        <w:t>e</w:t>
      </w:r>
      <w:r>
        <w:rPr>
          <w:spacing w:val="34"/>
        </w:rPr>
        <w:t> </w:t>
      </w:r>
      <w:r>
        <w:rPr>
          <w:w w:val="99"/>
        </w:rPr>
        <w:t>te</w:t>
      </w:r>
      <w:r>
        <w:rPr>
          <w:spacing w:val="1"/>
          <w:w w:val="99"/>
        </w:rPr>
        <w:t>m</w:t>
      </w:r>
      <w:r>
        <w:rPr>
          <w:spacing w:val="-1"/>
          <w:w w:val="95"/>
        </w:rPr>
        <w:t>ple</w:t>
      </w:r>
      <w:r>
        <w:rPr>
          <w:w w:val="95"/>
        </w:rPr>
        <w:t>‖</w:t>
      </w:r>
      <w:r>
        <w:rPr>
          <w:spacing w:val="34"/>
        </w:rPr>
        <w:t> </w:t>
      </w:r>
      <w:r>
        <w:rPr>
          <w:spacing w:val="-1"/>
          <w:w w:val="99"/>
        </w:rPr>
        <w:t>of Ra</w:t>
      </w:r>
      <w:r>
        <w:rPr>
          <w:w w:val="99"/>
        </w:rPr>
        <w:t>m</w:t>
      </w:r>
      <w:r>
        <w:rPr>
          <w:w w:val="80"/>
        </w:rPr>
        <w:t>‖</w:t>
      </w:r>
      <w:r>
        <w:rPr>
          <w:w w:val="99"/>
        </w:rPr>
        <w:t>.</w:t>
      </w:r>
      <w:r>
        <w:rPr/>
        <w:t> </w:t>
      </w:r>
      <w:r>
        <w:rPr>
          <w:spacing w:val="-7"/>
        </w:rPr>
        <w:t> </w:t>
      </w:r>
      <w:r>
        <w:rPr>
          <w:w w:val="99"/>
        </w:rPr>
        <w:t>T</w:t>
      </w:r>
      <w:r>
        <w:rPr>
          <w:spacing w:val="-1"/>
          <w:w w:val="99"/>
        </w:rPr>
        <w:t>h</w:t>
      </w:r>
      <w:r>
        <w:rPr>
          <w:w w:val="99"/>
        </w:rPr>
        <w:t>e</w:t>
      </w:r>
      <w:r>
        <w:rPr/>
        <w:t> </w:t>
      </w:r>
      <w:r>
        <w:rPr>
          <w:spacing w:val="-7"/>
        </w:rPr>
        <w:t> </w:t>
      </w:r>
      <w:r>
        <w:rPr>
          <w:w w:val="99"/>
        </w:rPr>
        <w:t>te</w:t>
      </w:r>
      <w:r>
        <w:rPr>
          <w:spacing w:val="-2"/>
          <w:w w:val="99"/>
        </w:rPr>
        <w:t>x</w:t>
      </w:r>
      <w:r>
        <w:rPr>
          <w:w w:val="99"/>
        </w:rPr>
        <w:t>t</w:t>
      </w:r>
      <w:r>
        <w:rPr/>
        <w:t> </w:t>
      </w:r>
      <w:r>
        <w:rPr>
          <w:spacing w:val="-7"/>
        </w:rPr>
        <w:t> </w:t>
      </w:r>
      <w:r>
        <w:rPr>
          <w:w w:val="99"/>
        </w:rPr>
        <w:t>r</w:t>
      </w:r>
      <w:r>
        <w:rPr>
          <w:spacing w:val="-1"/>
          <w:w w:val="99"/>
        </w:rPr>
        <w:t>ef</w:t>
      </w:r>
      <w:r>
        <w:rPr>
          <w:w w:val="99"/>
        </w:rPr>
        <w:t>e</w:t>
      </w:r>
      <w:r>
        <w:rPr>
          <w:spacing w:val="-2"/>
          <w:w w:val="99"/>
        </w:rPr>
        <w:t>r</w:t>
      </w:r>
      <w:r>
        <w:rPr>
          <w:w w:val="99"/>
        </w:rPr>
        <w:t>s</w:t>
      </w:r>
      <w:r>
        <w:rPr/>
        <w:t> </w:t>
      </w:r>
      <w:r>
        <w:rPr>
          <w:spacing w:val="-8"/>
        </w:rPr>
        <w:t> </w:t>
      </w:r>
      <w:r>
        <w:rPr>
          <w:w w:val="99"/>
        </w:rPr>
        <w:t>for</w:t>
      </w:r>
      <w:r>
        <w:rPr/>
        <w:t> </w:t>
      </w:r>
      <w:r>
        <w:rPr>
          <w:spacing w:val="-6"/>
        </w:rPr>
        <w:t> </w:t>
      </w:r>
      <w:r>
        <w:rPr>
          <w:spacing w:val="-1"/>
          <w:w w:val="99"/>
        </w:rPr>
        <w:t>Ra</w:t>
      </w:r>
      <w:r>
        <w:rPr>
          <w:w w:val="99"/>
        </w:rPr>
        <w:t>mkot,</w:t>
      </w:r>
      <w:r>
        <w:rPr/>
        <w:t> </w:t>
      </w:r>
      <w:r>
        <w:rPr>
          <w:spacing w:val="-7"/>
        </w:rPr>
        <w:t> </w:t>
      </w:r>
      <w:r>
        <w:rPr>
          <w:spacing w:val="-1"/>
          <w:w w:val="99"/>
        </w:rPr>
        <w:t>Swa</w:t>
      </w:r>
      <w:r>
        <w:rPr>
          <w:w w:val="99"/>
        </w:rPr>
        <w:t>r</w:t>
      </w:r>
      <w:r>
        <w:rPr>
          <w:spacing w:val="-1"/>
          <w:w w:val="99"/>
        </w:rPr>
        <w:t>g</w:t>
      </w:r>
      <w:r>
        <w:rPr>
          <w:w w:val="99"/>
        </w:rPr>
        <w:t>a</w:t>
      </w:r>
      <w:r>
        <w:rPr>
          <w:spacing w:val="-1"/>
          <w:w w:val="99"/>
        </w:rPr>
        <w:t>dwa</w:t>
      </w:r>
      <w:r>
        <w:rPr>
          <w:spacing w:val="1"/>
          <w:w w:val="99"/>
        </w:rPr>
        <w:t>r</w:t>
      </w:r>
      <w:r>
        <w:rPr>
          <w:w w:val="99"/>
        </w:rPr>
        <w:t>i</w:t>
      </w:r>
      <w:r>
        <w:rPr/>
        <w:t> </w:t>
      </w:r>
      <w:r>
        <w:rPr>
          <w:spacing w:val="-8"/>
        </w:rPr>
        <w:t> </w:t>
      </w:r>
      <w:r>
        <w:rPr>
          <w:spacing w:val="-1"/>
          <w:w w:val="99"/>
        </w:rPr>
        <w:t>a</w:t>
      </w:r>
      <w:r>
        <w:rPr>
          <w:w w:val="99"/>
        </w:rPr>
        <w:t>nd</w:t>
      </w:r>
      <w:r>
        <w:rPr/>
        <w:t> </w:t>
      </w:r>
      <w:r>
        <w:rPr>
          <w:spacing w:val="-7"/>
        </w:rPr>
        <w:t> </w:t>
      </w:r>
      <w:r>
        <w:rPr>
          <w:spacing w:val="-1"/>
          <w:w w:val="99"/>
        </w:rPr>
        <w:t>n</w:t>
      </w:r>
      <w:r>
        <w:rPr>
          <w:w w:val="99"/>
        </w:rPr>
        <w:t>otices</w:t>
      </w:r>
      <w:r>
        <w:rPr/>
        <w:t> </w:t>
      </w:r>
      <w:r>
        <w:rPr>
          <w:spacing w:val="-1"/>
        </w:rPr>
        <w:t> </w:t>
      </w:r>
      <w:r>
        <w:rPr>
          <w:w w:val="99"/>
        </w:rPr>
        <w:t>tha</w:t>
      </w:r>
      <w:r>
        <w:rPr>
          <w:w w:val="99"/>
        </w:rPr>
        <w:t>t</w:t>
      </w:r>
      <w:r>
        <w:rPr/>
        <w:t> </w:t>
      </w:r>
      <w:r>
        <w:rPr>
          <w:spacing w:val="-6"/>
        </w:rPr>
        <w:t> </w:t>
      </w:r>
      <w:r>
        <w:rPr>
          <w:w w:val="33"/>
        </w:rPr>
        <w:t>―</w:t>
      </w:r>
      <w:r>
        <w:rPr>
          <w:spacing w:val="-1"/>
          <w:w w:val="99"/>
        </w:rPr>
        <w:t>a</w:t>
      </w:r>
      <w:r>
        <w:rPr>
          <w:w w:val="99"/>
        </w:rPr>
        <w:t>b</w:t>
      </w:r>
      <w:r>
        <w:rPr>
          <w:spacing w:val="-1"/>
          <w:w w:val="99"/>
        </w:rPr>
        <w:t>o</w:t>
      </w:r>
      <w:r>
        <w:rPr>
          <w:w w:val="99"/>
        </w:rPr>
        <w:t>ut</w:t>
      </w:r>
      <w:r>
        <w:rPr/>
        <w:t> </w:t>
      </w:r>
      <w:r>
        <w:rPr>
          <w:spacing w:val="-7"/>
        </w:rPr>
        <w:t> </w:t>
      </w:r>
      <w:r>
        <w:rPr>
          <w:spacing w:val="-1"/>
          <w:w w:val="99"/>
        </w:rPr>
        <w:t>o</w:t>
      </w:r>
      <w:r>
        <w:rPr>
          <w:w w:val="99"/>
        </w:rPr>
        <w:t>ne </w:t>
      </w:r>
      <w:r>
        <w:rPr/>
        <w:t>quarter of a mile distant, in the very heart of the city, stands the Janam Asthan</w:t>
      </w:r>
      <w:r>
        <w:rPr>
          <w:spacing w:val="63"/>
        </w:rPr>
        <w:t> </w:t>
      </w:r>
      <w:r>
        <w:rPr/>
        <w:t>or</w:t>
      </w:r>
    </w:p>
    <w:p>
      <w:pPr>
        <w:pStyle w:val="BodyText"/>
        <w:spacing w:line="480" w:lineRule="auto"/>
        <w:ind w:left="500" w:right="436"/>
        <w:jc w:val="both"/>
      </w:pPr>
      <w:r>
        <w:rPr/>
        <w:t>‗Birth-place temple‘ of Rama.‖ Mr Jilani contended that the reference to the Janamsthan or birth-place temple of Ram is not the same as the disputed structure and that it is located somewhere else. </w:t>
      </w:r>
      <w:r>
        <w:rPr>
          <w:b/>
        </w:rPr>
        <w:t>Cunningham‘s </w:t>
      </w:r>
      <w:r>
        <w:rPr/>
        <w:t>account notices a conglomeration of religious sites including Hanuman Garhi, Swarg Dwar, Lakshman Ghat and the</w:t>
      </w:r>
      <w:r>
        <w:rPr>
          <w:spacing w:val="-2"/>
        </w:rPr>
        <w:t> </w:t>
      </w:r>
      <w:r>
        <w:rPr/>
        <w:t>Janmasthan.</w:t>
      </w:r>
    </w:p>
    <w:p>
      <w:pPr>
        <w:pStyle w:val="BodyText"/>
        <w:spacing w:before="10"/>
        <w:rPr>
          <w:sz w:val="38"/>
        </w:rPr>
      </w:pPr>
    </w:p>
    <w:p>
      <w:pPr>
        <w:pStyle w:val="ListParagraph"/>
        <w:numPr>
          <w:ilvl w:val="0"/>
          <w:numId w:val="166"/>
        </w:numPr>
        <w:tabs>
          <w:tab w:pos="1221" w:val="left" w:leader="none"/>
        </w:tabs>
        <w:spacing w:line="480" w:lineRule="auto" w:before="0" w:after="0"/>
        <w:ind w:left="500" w:right="444" w:firstLine="0"/>
        <w:jc w:val="both"/>
        <w:rPr>
          <w:sz w:val="25"/>
        </w:rPr>
      </w:pPr>
      <w:r>
        <w:rPr>
          <w:b/>
          <w:w w:val="99"/>
          <w:sz w:val="25"/>
        </w:rPr>
        <w:t>P</w:t>
      </w:r>
      <w:r>
        <w:rPr>
          <w:b/>
          <w:spacing w:val="25"/>
          <w:sz w:val="25"/>
        </w:rPr>
        <w:t> </w:t>
      </w:r>
      <w:r>
        <w:rPr>
          <w:b/>
          <w:w w:val="99"/>
          <w:sz w:val="25"/>
        </w:rPr>
        <w:t>C</w:t>
      </w:r>
      <w:r>
        <w:rPr>
          <w:b/>
          <w:spacing w:val="2"/>
          <w:w w:val="99"/>
          <w:sz w:val="25"/>
        </w:rPr>
        <w:t>a</w:t>
      </w:r>
      <w:r>
        <w:rPr>
          <w:b/>
          <w:spacing w:val="-1"/>
          <w:w w:val="99"/>
          <w:sz w:val="25"/>
        </w:rPr>
        <w:t>r</w:t>
      </w:r>
      <w:r>
        <w:rPr>
          <w:b/>
          <w:w w:val="99"/>
          <w:sz w:val="25"/>
        </w:rPr>
        <w:t>n</w:t>
      </w:r>
      <w:r>
        <w:rPr>
          <w:b/>
          <w:w w:val="99"/>
          <w:sz w:val="25"/>
        </w:rPr>
        <w:t>e</w:t>
      </w:r>
      <w:r>
        <w:rPr>
          <w:b/>
          <w:spacing w:val="3"/>
          <w:w w:val="99"/>
          <w:sz w:val="25"/>
        </w:rPr>
        <w:t>g</w:t>
      </w:r>
      <w:r>
        <w:rPr>
          <w:b/>
          <w:w w:val="99"/>
          <w:sz w:val="25"/>
        </w:rPr>
        <w:t>y</w:t>
      </w:r>
      <w:r>
        <w:rPr>
          <w:b/>
          <w:spacing w:val="23"/>
          <w:sz w:val="25"/>
        </w:rPr>
        <w:t> </w:t>
      </w:r>
      <w:r>
        <w:rPr>
          <w:w w:val="99"/>
          <w:sz w:val="25"/>
        </w:rPr>
        <w:t>as</w:t>
      </w:r>
      <w:r>
        <w:rPr>
          <w:spacing w:val="29"/>
          <w:sz w:val="25"/>
        </w:rPr>
        <w:t> </w:t>
      </w:r>
      <w:r>
        <w:rPr>
          <w:w w:val="99"/>
          <w:sz w:val="25"/>
        </w:rPr>
        <w:t>Offici</w:t>
      </w:r>
      <w:r>
        <w:rPr>
          <w:spacing w:val="2"/>
          <w:w w:val="99"/>
          <w:sz w:val="25"/>
        </w:rPr>
        <w:t>a</w:t>
      </w:r>
      <w:r>
        <w:rPr>
          <w:w w:val="99"/>
          <w:sz w:val="25"/>
        </w:rPr>
        <w:t>ting</w:t>
      </w:r>
      <w:r>
        <w:rPr>
          <w:spacing w:val="26"/>
          <w:sz w:val="25"/>
        </w:rPr>
        <w:t> </w:t>
      </w:r>
      <w:r>
        <w:rPr>
          <w:spacing w:val="-1"/>
          <w:w w:val="99"/>
          <w:sz w:val="25"/>
        </w:rPr>
        <w:t>Co</w:t>
      </w:r>
      <w:r>
        <w:rPr>
          <w:w w:val="99"/>
          <w:sz w:val="25"/>
        </w:rPr>
        <w:t>mm</w:t>
      </w:r>
      <w:r>
        <w:rPr>
          <w:spacing w:val="-1"/>
          <w:w w:val="99"/>
          <w:sz w:val="25"/>
        </w:rPr>
        <w:t>ission</w:t>
      </w:r>
      <w:r>
        <w:rPr>
          <w:w w:val="99"/>
          <w:sz w:val="25"/>
        </w:rPr>
        <w:t>er</w:t>
      </w:r>
      <w:r>
        <w:rPr>
          <w:spacing w:val="27"/>
          <w:sz w:val="25"/>
        </w:rPr>
        <w:t> </w:t>
      </w:r>
      <w:r>
        <w:rPr>
          <w:spacing w:val="-1"/>
          <w:w w:val="99"/>
          <w:sz w:val="25"/>
        </w:rPr>
        <w:t>a</w:t>
      </w:r>
      <w:r>
        <w:rPr>
          <w:w w:val="99"/>
          <w:sz w:val="25"/>
        </w:rPr>
        <w:t>nd</w:t>
      </w:r>
      <w:r>
        <w:rPr>
          <w:spacing w:val="26"/>
          <w:sz w:val="25"/>
        </w:rPr>
        <w:t> </w:t>
      </w:r>
      <w:r>
        <w:rPr>
          <w:spacing w:val="-1"/>
          <w:w w:val="99"/>
          <w:sz w:val="25"/>
        </w:rPr>
        <w:t>Set</w:t>
      </w:r>
      <w:r>
        <w:rPr>
          <w:w w:val="99"/>
          <w:sz w:val="25"/>
        </w:rPr>
        <w:t>t</w:t>
      </w:r>
      <w:r>
        <w:rPr>
          <w:spacing w:val="-1"/>
          <w:w w:val="99"/>
          <w:sz w:val="25"/>
        </w:rPr>
        <w:t>le</w:t>
      </w:r>
      <w:r>
        <w:rPr>
          <w:w w:val="99"/>
          <w:sz w:val="25"/>
        </w:rPr>
        <w:t>m</w:t>
      </w:r>
      <w:r>
        <w:rPr>
          <w:spacing w:val="-1"/>
          <w:w w:val="99"/>
          <w:sz w:val="25"/>
        </w:rPr>
        <w:t>e</w:t>
      </w:r>
      <w:r>
        <w:rPr>
          <w:w w:val="99"/>
          <w:sz w:val="25"/>
        </w:rPr>
        <w:t>nt</w:t>
      </w:r>
      <w:r>
        <w:rPr>
          <w:spacing w:val="26"/>
          <w:sz w:val="25"/>
        </w:rPr>
        <w:t> </w:t>
      </w:r>
      <w:r>
        <w:rPr>
          <w:w w:val="99"/>
          <w:sz w:val="25"/>
        </w:rPr>
        <w:t>Officer</w:t>
      </w:r>
      <w:r>
        <w:rPr>
          <w:spacing w:val="27"/>
          <w:sz w:val="25"/>
        </w:rPr>
        <w:t> </w:t>
      </w:r>
      <w:r>
        <w:rPr>
          <w:spacing w:val="-1"/>
          <w:w w:val="99"/>
          <w:sz w:val="25"/>
        </w:rPr>
        <w:t>h</w:t>
      </w:r>
      <w:r>
        <w:rPr>
          <w:w w:val="99"/>
          <w:sz w:val="25"/>
        </w:rPr>
        <w:t>as</w:t>
      </w:r>
      <w:r>
        <w:rPr>
          <w:spacing w:val="26"/>
          <w:sz w:val="25"/>
        </w:rPr>
        <w:t> </w:t>
      </w:r>
      <w:r>
        <w:rPr>
          <w:spacing w:val="-1"/>
          <w:w w:val="99"/>
          <w:sz w:val="25"/>
        </w:rPr>
        <w:t>i</w:t>
      </w:r>
      <w:r>
        <w:rPr>
          <w:w w:val="99"/>
          <w:sz w:val="25"/>
        </w:rPr>
        <w:t>n</w:t>
      </w:r>
      <w:r>
        <w:rPr>
          <w:spacing w:val="26"/>
          <w:sz w:val="25"/>
        </w:rPr>
        <w:t> </w:t>
      </w:r>
      <w:r>
        <w:rPr>
          <w:spacing w:val="3"/>
          <w:w w:val="33"/>
          <w:sz w:val="25"/>
        </w:rPr>
        <w:t>―</w:t>
      </w:r>
      <w:r>
        <w:rPr>
          <w:w w:val="99"/>
          <w:sz w:val="25"/>
        </w:rPr>
        <w:t>A </w:t>
      </w:r>
      <w:r>
        <w:rPr>
          <w:sz w:val="25"/>
        </w:rPr>
        <w:t>Historical Sketch of Faizabad‖ (1870) underscored the importance of Ayodhya to the faith of Hindus, with a reference to the Janmasthan, Swarga Dwar Mandir and Treta-Ke-Thakur.</w:t>
      </w:r>
      <w:r>
        <w:rPr>
          <w:spacing w:val="19"/>
          <w:sz w:val="25"/>
        </w:rPr>
        <w:t> </w:t>
      </w:r>
      <w:r>
        <w:rPr>
          <w:sz w:val="25"/>
        </w:rPr>
        <w:t>He</w:t>
      </w:r>
      <w:r>
        <w:rPr>
          <w:spacing w:val="20"/>
          <w:sz w:val="25"/>
        </w:rPr>
        <w:t> </w:t>
      </w:r>
      <w:r>
        <w:rPr>
          <w:sz w:val="25"/>
        </w:rPr>
        <w:t>attributes</w:t>
      </w:r>
      <w:r>
        <w:rPr>
          <w:spacing w:val="19"/>
          <w:sz w:val="25"/>
        </w:rPr>
        <w:t> </w:t>
      </w:r>
      <w:r>
        <w:rPr>
          <w:sz w:val="25"/>
        </w:rPr>
        <w:t>the</w:t>
      </w:r>
      <w:r>
        <w:rPr>
          <w:spacing w:val="21"/>
          <w:sz w:val="25"/>
        </w:rPr>
        <w:t> </w:t>
      </w:r>
      <w:r>
        <w:rPr>
          <w:sz w:val="25"/>
        </w:rPr>
        <w:t>construction</w:t>
      </w:r>
      <w:r>
        <w:rPr>
          <w:spacing w:val="19"/>
          <w:sz w:val="25"/>
        </w:rPr>
        <w:t> </w:t>
      </w:r>
      <w:r>
        <w:rPr>
          <w:sz w:val="25"/>
        </w:rPr>
        <w:t>of</w:t>
      </w:r>
      <w:r>
        <w:rPr>
          <w:spacing w:val="21"/>
          <w:sz w:val="25"/>
        </w:rPr>
        <w:t> </w:t>
      </w:r>
      <w:r>
        <w:rPr>
          <w:sz w:val="25"/>
        </w:rPr>
        <w:t>the</w:t>
      </w:r>
      <w:r>
        <w:rPr>
          <w:spacing w:val="20"/>
          <w:sz w:val="25"/>
        </w:rPr>
        <w:t> </w:t>
      </w:r>
      <w:r>
        <w:rPr>
          <w:sz w:val="25"/>
        </w:rPr>
        <w:t>mosque</w:t>
      </w:r>
      <w:r>
        <w:rPr>
          <w:spacing w:val="20"/>
          <w:sz w:val="25"/>
        </w:rPr>
        <w:t> </w:t>
      </w:r>
      <w:r>
        <w:rPr>
          <w:sz w:val="25"/>
        </w:rPr>
        <w:t>to</w:t>
      </w:r>
      <w:r>
        <w:rPr>
          <w:spacing w:val="21"/>
          <w:sz w:val="25"/>
        </w:rPr>
        <w:t> </w:t>
      </w:r>
      <w:r>
        <w:rPr>
          <w:sz w:val="25"/>
        </w:rPr>
        <w:t>Babur</w:t>
      </w:r>
      <w:r>
        <w:rPr>
          <w:spacing w:val="20"/>
          <w:sz w:val="25"/>
        </w:rPr>
        <w:t> </w:t>
      </w:r>
      <w:r>
        <w:rPr>
          <w:sz w:val="25"/>
        </w:rPr>
        <w:t>in</w:t>
      </w:r>
      <w:r>
        <w:rPr>
          <w:spacing w:val="20"/>
          <w:sz w:val="25"/>
        </w:rPr>
        <w:t> </w:t>
      </w:r>
      <w:r>
        <w:rPr>
          <w:sz w:val="25"/>
        </w:rPr>
        <w:t>1528</w:t>
      </w:r>
    </w:p>
    <w:p>
      <w:pPr>
        <w:pStyle w:val="BodyText"/>
        <w:spacing w:line="480" w:lineRule="auto" w:before="3"/>
        <w:ind w:left="500" w:right="436"/>
        <w:jc w:val="both"/>
      </w:pPr>
      <w:r>
        <w:rPr/>
        <w:t>A.D. and notes that many of the Kasauti stone columns of an erstwhile temple </w:t>
      </w:r>
      <w:r>
        <w:rPr>
          <w:spacing w:val="-1"/>
          <w:w w:val="99"/>
        </w:rPr>
        <w:t>h</w:t>
      </w:r>
      <w:r>
        <w:rPr>
          <w:w w:val="99"/>
        </w:rPr>
        <w:t>a</w:t>
      </w:r>
      <w:r>
        <w:rPr>
          <w:spacing w:val="-3"/>
          <w:w w:val="99"/>
        </w:rPr>
        <w:t>v</w:t>
      </w:r>
      <w:r>
        <w:rPr>
          <w:w w:val="99"/>
        </w:rPr>
        <w:t>e</w:t>
      </w:r>
      <w:r>
        <w:rPr>
          <w:spacing w:val="19"/>
        </w:rPr>
        <w:t> </w:t>
      </w:r>
      <w:r>
        <w:rPr>
          <w:spacing w:val="-1"/>
          <w:w w:val="99"/>
        </w:rPr>
        <w:t>b</w:t>
      </w:r>
      <w:r>
        <w:rPr>
          <w:w w:val="99"/>
        </w:rPr>
        <w:t>e</w:t>
      </w:r>
      <w:r>
        <w:rPr>
          <w:spacing w:val="-1"/>
          <w:w w:val="99"/>
        </w:rPr>
        <w:t>e</w:t>
      </w:r>
      <w:r>
        <w:rPr>
          <w:w w:val="99"/>
        </w:rPr>
        <w:t>n</w:t>
      </w:r>
      <w:r>
        <w:rPr>
          <w:spacing w:val="19"/>
        </w:rPr>
        <w:t> </w:t>
      </w:r>
      <w:r>
        <w:rPr>
          <w:spacing w:val="-1"/>
          <w:w w:val="99"/>
        </w:rPr>
        <w:t>us</w:t>
      </w:r>
      <w:r>
        <w:rPr>
          <w:w w:val="99"/>
        </w:rPr>
        <w:t>ed</w:t>
      </w:r>
      <w:r>
        <w:rPr>
          <w:spacing w:val="21"/>
        </w:rPr>
        <w:t> </w:t>
      </w:r>
      <w:r>
        <w:rPr>
          <w:spacing w:val="-1"/>
          <w:w w:val="99"/>
        </w:rPr>
        <w:t>i</w:t>
      </w:r>
      <w:r>
        <w:rPr>
          <w:w w:val="99"/>
        </w:rPr>
        <w:t>n</w:t>
      </w:r>
      <w:r>
        <w:rPr>
          <w:spacing w:val="19"/>
        </w:rPr>
        <w:t> </w:t>
      </w:r>
      <w:r>
        <w:rPr>
          <w:w w:val="99"/>
        </w:rPr>
        <w:t>t</w:t>
      </w:r>
      <w:r>
        <w:rPr>
          <w:spacing w:val="2"/>
          <w:w w:val="99"/>
        </w:rPr>
        <w:t>h</w:t>
      </w:r>
      <w:r>
        <w:rPr>
          <w:w w:val="99"/>
        </w:rPr>
        <w:t>e</w:t>
      </w:r>
      <w:r>
        <w:rPr>
          <w:spacing w:val="19"/>
        </w:rPr>
        <w:t> </w:t>
      </w:r>
      <w:r>
        <w:rPr>
          <w:w w:val="99"/>
        </w:rPr>
        <w:t>m</w:t>
      </w:r>
      <w:r>
        <w:rPr>
          <w:spacing w:val="-1"/>
          <w:w w:val="99"/>
        </w:rPr>
        <w:t>os</w:t>
      </w:r>
      <w:r>
        <w:rPr>
          <w:w w:val="99"/>
        </w:rPr>
        <w:t>q</w:t>
      </w:r>
      <w:r>
        <w:rPr>
          <w:spacing w:val="-1"/>
          <w:w w:val="99"/>
        </w:rPr>
        <w:t>u</w:t>
      </w:r>
      <w:r>
        <w:rPr>
          <w:w w:val="99"/>
        </w:rPr>
        <w:t>e.</w:t>
      </w:r>
      <w:r>
        <w:rPr>
          <w:spacing w:val="19"/>
        </w:rPr>
        <w:t> </w:t>
      </w:r>
      <w:r>
        <w:rPr>
          <w:spacing w:val="-1"/>
          <w:w w:val="99"/>
        </w:rPr>
        <w:t>Hi</w:t>
      </w:r>
      <w:r>
        <w:rPr>
          <w:w w:val="99"/>
        </w:rPr>
        <w:t>s</w:t>
      </w:r>
      <w:r>
        <w:rPr>
          <w:spacing w:val="18"/>
        </w:rPr>
        <w:t> </w:t>
      </w:r>
      <w:r>
        <w:rPr>
          <w:spacing w:val="-1"/>
          <w:w w:val="99"/>
        </w:rPr>
        <w:t>acc</w:t>
      </w:r>
      <w:r>
        <w:rPr>
          <w:w w:val="99"/>
        </w:rPr>
        <w:t>o</w:t>
      </w:r>
      <w:r>
        <w:rPr>
          <w:spacing w:val="2"/>
          <w:w w:val="99"/>
        </w:rPr>
        <w:t>u</w:t>
      </w:r>
      <w:r>
        <w:rPr>
          <w:spacing w:val="-1"/>
          <w:w w:val="99"/>
        </w:rPr>
        <w:t>n</w:t>
      </w:r>
      <w:r>
        <w:rPr>
          <w:w w:val="99"/>
        </w:rPr>
        <w:t>t</w:t>
      </w:r>
      <w:r>
        <w:rPr>
          <w:spacing w:val="19"/>
        </w:rPr>
        <w:t> </w:t>
      </w:r>
      <w:r>
        <w:rPr>
          <w:spacing w:val="-1"/>
          <w:w w:val="99"/>
        </w:rPr>
        <w:t>a</w:t>
      </w:r>
      <w:r>
        <w:rPr>
          <w:w w:val="99"/>
        </w:rPr>
        <w:t>d</w:t>
      </w:r>
      <w:r>
        <w:rPr>
          <w:spacing w:val="-3"/>
          <w:w w:val="99"/>
        </w:rPr>
        <w:t>v</w:t>
      </w:r>
      <w:r>
        <w:rPr>
          <w:spacing w:val="-1"/>
          <w:w w:val="99"/>
        </w:rPr>
        <w:t>e</w:t>
      </w:r>
      <w:r>
        <w:rPr>
          <w:w w:val="99"/>
        </w:rPr>
        <w:t>rts</w:t>
      </w:r>
      <w:r>
        <w:rPr>
          <w:spacing w:val="19"/>
        </w:rPr>
        <w:t> </w:t>
      </w:r>
      <w:r>
        <w:rPr>
          <w:w w:val="99"/>
        </w:rPr>
        <w:t>to</w:t>
      </w:r>
      <w:r>
        <w:rPr>
          <w:spacing w:val="21"/>
        </w:rPr>
        <w:t> </w:t>
      </w:r>
      <w:r>
        <w:rPr>
          <w:w w:val="33"/>
        </w:rPr>
        <w:t>―</w:t>
      </w:r>
      <w:r>
        <w:rPr>
          <w:spacing w:val="-1"/>
          <w:w w:val="99"/>
        </w:rPr>
        <w:t>Ra</w:t>
      </w:r>
      <w:r>
        <w:rPr>
          <w:w w:val="99"/>
        </w:rPr>
        <w:t>mkot</w:t>
      </w:r>
      <w:r>
        <w:rPr>
          <w:spacing w:val="19"/>
        </w:rPr>
        <w:t> </w:t>
      </w:r>
      <w:r>
        <w:rPr>
          <w:w w:val="99"/>
        </w:rPr>
        <w:t>the</w:t>
      </w:r>
      <w:r>
        <w:rPr>
          <w:spacing w:val="19"/>
        </w:rPr>
        <w:t> </w:t>
      </w:r>
      <w:r>
        <w:rPr>
          <w:w w:val="99"/>
        </w:rPr>
        <w:t>str</w:t>
      </w:r>
      <w:r>
        <w:rPr>
          <w:spacing w:val="-1"/>
          <w:w w:val="99"/>
        </w:rPr>
        <w:t>o</w:t>
      </w:r>
      <w:r>
        <w:rPr>
          <w:w w:val="99"/>
        </w:rPr>
        <w:t>n</w:t>
      </w:r>
      <w:r>
        <w:rPr>
          <w:spacing w:val="11"/>
          <w:w w:val="99"/>
        </w:rPr>
        <w:t>g</w:t>
      </w:r>
      <w:r>
        <w:rPr>
          <w:w w:val="99"/>
        </w:rPr>
        <w:t>-</w:t>
      </w:r>
      <w:r>
        <w:rPr>
          <w:w w:val="99"/>
        </w:rPr>
        <w:t>ho</w:t>
      </w:r>
      <w:r>
        <w:rPr>
          <w:w w:val="99"/>
        </w:rPr>
        <w:t>ld </w:t>
      </w:r>
      <w:r>
        <w:rPr>
          <w:spacing w:val="-1"/>
          <w:w w:val="99"/>
        </w:rPr>
        <w:t>o</w:t>
      </w:r>
      <w:r>
        <w:rPr>
          <w:w w:val="99"/>
        </w:rPr>
        <w:t>f</w:t>
      </w:r>
      <w:r>
        <w:rPr>
          <w:spacing w:val="5"/>
        </w:rPr>
        <w:t> </w:t>
      </w:r>
      <w:r>
        <w:rPr>
          <w:spacing w:val="-1"/>
          <w:w w:val="99"/>
        </w:rPr>
        <w:t>Ra</w:t>
      </w:r>
      <w:r>
        <w:rPr>
          <w:w w:val="99"/>
        </w:rPr>
        <w:t>mcha</w:t>
      </w:r>
      <w:r>
        <w:rPr>
          <w:spacing w:val="-1"/>
          <w:w w:val="99"/>
        </w:rPr>
        <w:t>n</w:t>
      </w:r>
      <w:r>
        <w:rPr>
          <w:w w:val="99"/>
        </w:rPr>
        <w:t>d</w:t>
      </w:r>
      <w:r>
        <w:rPr>
          <w:spacing w:val="-1"/>
          <w:w w:val="99"/>
        </w:rPr>
        <w:t>a</w:t>
      </w:r>
      <w:r>
        <w:rPr>
          <w:spacing w:val="-2"/>
          <w:w w:val="99"/>
        </w:rPr>
        <w:t>r</w:t>
      </w:r>
      <w:r>
        <w:rPr>
          <w:w w:val="80"/>
        </w:rPr>
        <w:t>‖</w:t>
      </w:r>
      <w:r>
        <w:rPr>
          <w:spacing w:val="5"/>
        </w:rPr>
        <w:t> </w:t>
      </w:r>
      <w:r>
        <w:rPr>
          <w:spacing w:val="-1"/>
          <w:w w:val="99"/>
        </w:rPr>
        <w:t>a</w:t>
      </w:r>
      <w:r>
        <w:rPr>
          <w:w w:val="99"/>
        </w:rPr>
        <w:t>nd</w:t>
      </w:r>
      <w:r>
        <w:rPr>
          <w:spacing w:val="2"/>
        </w:rPr>
        <w:t> </w:t>
      </w:r>
      <w:r>
        <w:rPr>
          <w:spacing w:val="-3"/>
          <w:w w:val="99"/>
        </w:rPr>
        <w:t>t</w:t>
      </w:r>
      <w:r>
        <w:rPr>
          <w:spacing w:val="-1"/>
          <w:w w:val="99"/>
        </w:rPr>
        <w:t>h</w:t>
      </w:r>
      <w:r>
        <w:rPr>
          <w:w w:val="99"/>
        </w:rPr>
        <w:t>at</w:t>
      </w:r>
      <w:r>
        <w:rPr>
          <w:spacing w:val="5"/>
        </w:rPr>
        <w:t> </w:t>
      </w:r>
      <w:r>
        <w:rPr>
          <w:w w:val="99"/>
        </w:rPr>
        <w:t>the</w:t>
      </w:r>
      <w:r>
        <w:rPr>
          <w:spacing w:val="5"/>
        </w:rPr>
        <w:t> </w:t>
      </w:r>
      <w:r>
        <w:rPr>
          <w:w w:val="99"/>
        </w:rPr>
        <w:t>f</w:t>
      </w:r>
      <w:r>
        <w:rPr>
          <w:spacing w:val="-2"/>
          <w:w w:val="99"/>
        </w:rPr>
        <w:t>o</w:t>
      </w:r>
      <w:r>
        <w:rPr>
          <w:w w:val="99"/>
        </w:rPr>
        <w:t>rt</w:t>
      </w:r>
      <w:r>
        <w:rPr>
          <w:spacing w:val="5"/>
        </w:rPr>
        <w:t> </w:t>
      </w:r>
      <w:r>
        <w:rPr>
          <w:spacing w:val="-1"/>
          <w:w w:val="99"/>
        </w:rPr>
        <w:t>wa</w:t>
      </w:r>
      <w:r>
        <w:rPr>
          <w:w w:val="99"/>
        </w:rPr>
        <w:t>s</w:t>
      </w:r>
      <w:r>
        <w:rPr>
          <w:spacing w:val="2"/>
        </w:rPr>
        <w:t> </w:t>
      </w:r>
      <w:r>
        <w:rPr>
          <w:w w:val="33"/>
        </w:rPr>
        <w:t>―</w:t>
      </w:r>
      <w:r>
        <w:rPr>
          <w:w w:val="99"/>
        </w:rPr>
        <w:t>su</w:t>
      </w:r>
      <w:r>
        <w:rPr>
          <w:spacing w:val="1"/>
          <w:w w:val="99"/>
        </w:rPr>
        <w:t>r</w:t>
      </w:r>
      <w:r>
        <w:rPr>
          <w:spacing w:val="-2"/>
          <w:w w:val="99"/>
        </w:rPr>
        <w:t>r</w:t>
      </w:r>
      <w:r>
        <w:rPr>
          <w:spacing w:val="-3"/>
          <w:w w:val="99"/>
        </w:rPr>
        <w:t>o</w:t>
      </w:r>
      <w:r>
        <w:rPr>
          <w:spacing w:val="5"/>
          <w:w w:val="99"/>
        </w:rPr>
        <w:t>u</w:t>
      </w:r>
      <w:r>
        <w:rPr>
          <w:spacing w:val="-1"/>
          <w:w w:val="99"/>
        </w:rPr>
        <w:t>n</w:t>
      </w:r>
      <w:r>
        <w:rPr>
          <w:w w:val="99"/>
        </w:rPr>
        <w:t>d</w:t>
      </w:r>
      <w:r>
        <w:rPr>
          <w:spacing w:val="-1"/>
          <w:w w:val="99"/>
        </w:rPr>
        <w:t>e</w:t>
      </w:r>
      <w:r>
        <w:rPr>
          <w:w w:val="99"/>
        </w:rPr>
        <w:t>d</w:t>
      </w:r>
      <w:r>
        <w:rPr>
          <w:spacing w:val="5"/>
        </w:rPr>
        <w:t> </w:t>
      </w:r>
      <w:r>
        <w:rPr>
          <w:spacing w:val="-1"/>
          <w:w w:val="99"/>
        </w:rPr>
        <w:t>b</w:t>
      </w:r>
      <w:r>
        <w:rPr>
          <w:w w:val="99"/>
        </w:rPr>
        <w:t>y</w:t>
      </w:r>
      <w:r>
        <w:rPr>
          <w:spacing w:val="2"/>
        </w:rPr>
        <w:t> </w:t>
      </w:r>
      <w:r>
        <w:rPr>
          <w:spacing w:val="-1"/>
          <w:w w:val="99"/>
        </w:rPr>
        <w:t>2</w:t>
      </w:r>
      <w:r>
        <w:rPr>
          <w:w w:val="99"/>
        </w:rPr>
        <w:t>0</w:t>
      </w:r>
      <w:r>
        <w:rPr>
          <w:spacing w:val="5"/>
        </w:rPr>
        <w:t> </w:t>
      </w:r>
      <w:r>
        <w:rPr>
          <w:spacing w:val="-1"/>
          <w:w w:val="99"/>
        </w:rPr>
        <w:t>b</w:t>
      </w:r>
      <w:r>
        <w:rPr>
          <w:w w:val="99"/>
        </w:rPr>
        <w:t>astion</w:t>
      </w:r>
      <w:r>
        <w:rPr>
          <w:spacing w:val="-3"/>
          <w:w w:val="99"/>
        </w:rPr>
        <w:t>s</w:t>
      </w:r>
      <w:r>
        <w:rPr>
          <w:w w:val="80"/>
        </w:rPr>
        <w:t>‖</w:t>
      </w:r>
      <w:r>
        <w:rPr>
          <w:w w:val="99"/>
        </w:rPr>
        <w:t>,</w:t>
      </w:r>
      <w:r>
        <w:rPr>
          <w:spacing w:val="5"/>
        </w:rPr>
        <w:t> </w:t>
      </w:r>
      <w:r>
        <w:rPr>
          <w:spacing w:val="-1"/>
          <w:w w:val="99"/>
        </w:rPr>
        <w:t>e</w:t>
      </w:r>
      <w:r>
        <w:rPr>
          <w:w w:val="99"/>
        </w:rPr>
        <w:t>ach</w:t>
      </w:r>
      <w:r>
        <w:rPr>
          <w:spacing w:val="2"/>
        </w:rPr>
        <w:t> </w:t>
      </w:r>
      <w:r>
        <w:rPr>
          <w:spacing w:val="-1"/>
          <w:w w:val="99"/>
        </w:rPr>
        <w:t>o</w:t>
      </w:r>
      <w:r>
        <w:rPr>
          <w:w w:val="99"/>
        </w:rPr>
        <w:t>f</w:t>
      </w:r>
      <w:r>
        <w:rPr>
          <w:spacing w:val="5"/>
        </w:rPr>
        <w:t> </w:t>
      </w:r>
      <w:r>
        <w:rPr>
          <w:spacing w:val="-1"/>
          <w:w w:val="99"/>
        </w:rPr>
        <w:t>which </w:t>
      </w:r>
      <w:r>
        <w:rPr/>
        <w:t>was believed to have been commanded by one of Lord Ram‘s famous generals. </w:t>
      </w:r>
      <w:r>
        <w:rPr>
          <w:b/>
        </w:rPr>
        <w:t>Carnegy </w:t>
      </w:r>
      <w:r>
        <w:rPr/>
        <w:t>adverted to the conflagration which took place in 1855 between the Hindus</w:t>
      </w:r>
      <w:r>
        <w:rPr>
          <w:spacing w:val="26"/>
        </w:rPr>
        <w:t> </w:t>
      </w:r>
      <w:r>
        <w:rPr/>
        <w:t>and</w:t>
      </w:r>
      <w:r>
        <w:rPr>
          <w:spacing w:val="27"/>
        </w:rPr>
        <w:t> </w:t>
      </w:r>
      <w:r>
        <w:rPr/>
        <w:t>Muslims</w:t>
      </w:r>
      <w:r>
        <w:rPr>
          <w:spacing w:val="28"/>
        </w:rPr>
        <w:t> </w:t>
      </w:r>
      <w:r>
        <w:rPr/>
        <w:t>and</w:t>
      </w:r>
      <w:r>
        <w:rPr>
          <w:spacing w:val="27"/>
        </w:rPr>
        <w:t> </w:t>
      </w:r>
      <w:r>
        <w:rPr/>
        <w:t>the</w:t>
      </w:r>
      <w:r>
        <w:rPr>
          <w:spacing w:val="28"/>
        </w:rPr>
        <w:t> </w:t>
      </w:r>
      <w:r>
        <w:rPr/>
        <w:t>resultant</w:t>
      </w:r>
      <w:r>
        <w:rPr>
          <w:spacing w:val="24"/>
        </w:rPr>
        <w:t> </w:t>
      </w:r>
      <w:r>
        <w:rPr/>
        <w:t>death</w:t>
      </w:r>
      <w:r>
        <w:rPr>
          <w:spacing w:val="28"/>
        </w:rPr>
        <w:t> </w:t>
      </w:r>
      <w:r>
        <w:rPr/>
        <w:t>of</w:t>
      </w:r>
      <w:r>
        <w:rPr>
          <w:spacing w:val="27"/>
        </w:rPr>
        <w:t> </w:t>
      </w:r>
      <w:r>
        <w:rPr/>
        <w:t>75</w:t>
      </w:r>
      <w:r>
        <w:rPr>
          <w:spacing w:val="28"/>
        </w:rPr>
        <w:t> </w:t>
      </w:r>
      <w:r>
        <w:rPr/>
        <w:t>Muslims</w:t>
      </w:r>
      <w:r>
        <w:rPr>
          <w:spacing w:val="26"/>
        </w:rPr>
        <w:t> </w:t>
      </w:r>
      <w:r>
        <w:rPr/>
        <w:t>who</w:t>
      </w:r>
      <w:r>
        <w:rPr>
          <w:spacing w:val="28"/>
        </w:rPr>
        <w:t> </w:t>
      </w:r>
      <w:r>
        <w:rPr/>
        <w:t>were</w:t>
      </w:r>
      <w:r>
        <w:rPr>
          <w:spacing w:val="27"/>
        </w:rPr>
        <w:t> </w:t>
      </w:r>
      <w:r>
        <w:rPr/>
        <w:t>buried</w:t>
      </w:r>
      <w:r>
        <w:rPr>
          <w:spacing w:val="28"/>
        </w:rPr>
        <w:t> </w:t>
      </w:r>
      <w:r>
        <w:rPr/>
        <w:t>in</w:t>
      </w:r>
    </w:p>
    <w:p>
      <w:pPr>
        <w:spacing w:after="0" w:line="480" w:lineRule="auto"/>
        <w:jc w:val="both"/>
        <w:sectPr>
          <w:pgSz w:w="11910" w:h="16840"/>
          <w:pgMar w:header="721" w:footer="1014" w:top="1300" w:bottom="1200" w:left="940" w:right="1000"/>
        </w:sectPr>
      </w:pPr>
    </w:p>
    <w:p>
      <w:pPr>
        <w:pStyle w:val="BodyText"/>
        <w:spacing w:line="480" w:lineRule="auto" w:before="121"/>
        <w:ind w:left="500" w:right="434"/>
        <w:jc w:val="both"/>
      </w:pPr>
      <w:r>
        <w:rPr/>
        <w:t>the graveyard next to the disputed structure. According to </w:t>
      </w:r>
      <w:r>
        <w:rPr>
          <w:b/>
        </w:rPr>
        <w:t>Carnegy</w:t>
      </w:r>
      <w:r>
        <w:rPr/>
        <w:t>, until then, </w:t>
      </w:r>
      <w:r>
        <w:rPr>
          <w:w w:val="99"/>
        </w:rPr>
        <w:t>Hindu</w:t>
      </w:r>
      <w:r>
        <w:rPr>
          <w:w w:val="99"/>
        </w:rPr>
        <w:t>s</w:t>
      </w:r>
      <w:r>
        <w:rPr>
          <w:spacing w:val="11"/>
        </w:rPr>
        <w:t> </w:t>
      </w:r>
      <w:r>
        <w:rPr>
          <w:w w:val="99"/>
        </w:rPr>
        <w:t>and</w:t>
      </w:r>
      <w:r>
        <w:rPr>
          <w:spacing w:val="12"/>
        </w:rPr>
        <w:t> </w:t>
      </w:r>
      <w:r>
        <w:rPr>
          <w:spacing w:val="-4"/>
          <w:w w:val="99"/>
        </w:rPr>
        <w:t>M</w:t>
      </w:r>
      <w:r>
        <w:rPr>
          <w:w w:val="99"/>
        </w:rPr>
        <w:t>uslim</w:t>
      </w:r>
      <w:r>
        <w:rPr>
          <w:w w:val="99"/>
        </w:rPr>
        <w:t>s</w:t>
      </w:r>
      <w:r>
        <w:rPr>
          <w:spacing w:val="14"/>
        </w:rPr>
        <w:t> </w:t>
      </w:r>
      <w:r>
        <w:rPr>
          <w:w w:val="99"/>
        </w:rPr>
        <w:t>alike</w:t>
      </w:r>
      <w:r>
        <w:rPr>
          <w:spacing w:val="12"/>
        </w:rPr>
        <w:t> </w:t>
      </w:r>
      <w:r>
        <w:rPr>
          <w:w w:val="99"/>
        </w:rPr>
        <w:t>used</w:t>
      </w:r>
      <w:r>
        <w:rPr>
          <w:spacing w:val="12"/>
        </w:rPr>
        <w:t> </w:t>
      </w:r>
      <w:r>
        <w:rPr>
          <w:w w:val="99"/>
        </w:rPr>
        <w:t>to</w:t>
      </w:r>
      <w:r>
        <w:rPr>
          <w:spacing w:val="15"/>
        </w:rPr>
        <w:t> </w:t>
      </w:r>
      <w:r>
        <w:rPr>
          <w:spacing w:val="-1"/>
          <w:w w:val="99"/>
        </w:rPr>
        <w:t>wo</w:t>
      </w:r>
      <w:r>
        <w:rPr>
          <w:w w:val="99"/>
        </w:rPr>
        <w:t>rship</w:t>
      </w:r>
      <w:r>
        <w:rPr>
          <w:spacing w:val="10"/>
        </w:rPr>
        <w:t> </w:t>
      </w:r>
      <w:r>
        <w:rPr>
          <w:spacing w:val="-1"/>
          <w:w w:val="99"/>
        </w:rPr>
        <w:t>i</w:t>
      </w:r>
      <w:r>
        <w:rPr>
          <w:w w:val="99"/>
        </w:rPr>
        <w:t>n</w:t>
      </w:r>
      <w:r>
        <w:rPr>
          <w:spacing w:val="12"/>
        </w:rPr>
        <w:t> </w:t>
      </w:r>
      <w:r>
        <w:rPr>
          <w:spacing w:val="-1"/>
          <w:w w:val="99"/>
        </w:rPr>
        <w:t>wha</w:t>
      </w:r>
      <w:r>
        <w:rPr>
          <w:w w:val="99"/>
        </w:rPr>
        <w:t>t</w:t>
      </w:r>
      <w:r>
        <w:rPr>
          <w:spacing w:val="12"/>
        </w:rPr>
        <w:t> </w:t>
      </w:r>
      <w:r>
        <w:rPr>
          <w:spacing w:val="-1"/>
          <w:w w:val="99"/>
        </w:rPr>
        <w:t>h</w:t>
      </w:r>
      <w:r>
        <w:rPr>
          <w:w w:val="99"/>
        </w:rPr>
        <w:t>e</w:t>
      </w:r>
      <w:r>
        <w:rPr>
          <w:spacing w:val="12"/>
        </w:rPr>
        <w:t> </w:t>
      </w:r>
      <w:r>
        <w:rPr>
          <w:spacing w:val="-1"/>
          <w:w w:val="99"/>
        </w:rPr>
        <w:t>d</w:t>
      </w:r>
      <w:r>
        <w:rPr>
          <w:w w:val="99"/>
        </w:rPr>
        <w:t>escr</w:t>
      </w:r>
      <w:r>
        <w:rPr>
          <w:spacing w:val="-1"/>
          <w:w w:val="99"/>
        </w:rPr>
        <w:t>ibe</w:t>
      </w:r>
      <w:r>
        <w:rPr>
          <w:w w:val="99"/>
        </w:rPr>
        <w:t>s</w:t>
      </w:r>
      <w:r>
        <w:rPr>
          <w:spacing w:val="7"/>
        </w:rPr>
        <w:t> </w:t>
      </w:r>
      <w:r>
        <w:rPr>
          <w:spacing w:val="-1"/>
          <w:w w:val="99"/>
        </w:rPr>
        <w:t>a</w:t>
      </w:r>
      <w:r>
        <w:rPr>
          <w:w w:val="99"/>
        </w:rPr>
        <w:t>s</w:t>
      </w:r>
      <w:r>
        <w:rPr>
          <w:spacing w:val="12"/>
        </w:rPr>
        <w:t> </w:t>
      </w:r>
      <w:r>
        <w:rPr>
          <w:w w:val="99"/>
        </w:rPr>
        <w:t>the</w:t>
      </w:r>
      <w:r>
        <w:rPr>
          <w:spacing w:val="12"/>
        </w:rPr>
        <w:t> </w:t>
      </w:r>
      <w:r>
        <w:rPr>
          <w:w w:val="33"/>
        </w:rPr>
        <w:t>―</w:t>
      </w:r>
      <w:r>
        <w:rPr>
          <w:w w:val="99"/>
        </w:rPr>
        <w:t>m</w:t>
      </w:r>
      <w:r>
        <w:rPr>
          <w:spacing w:val="-1"/>
          <w:w w:val="99"/>
        </w:rPr>
        <w:t>os</w:t>
      </w:r>
      <w:r>
        <w:rPr>
          <w:w w:val="99"/>
        </w:rPr>
        <w:t>q</w:t>
      </w:r>
      <w:r>
        <w:rPr>
          <w:spacing w:val="-3"/>
          <w:w w:val="99"/>
        </w:rPr>
        <w:t>u</w:t>
      </w:r>
      <w:r>
        <w:rPr>
          <w:spacing w:val="5"/>
          <w:w w:val="99"/>
        </w:rPr>
        <w:t>e</w:t>
      </w:r>
      <w:r>
        <w:rPr>
          <w:w w:val="99"/>
        </w:rPr>
        <w:t>- </w:t>
      </w:r>
      <w:r>
        <w:rPr/>
        <w:t>temple‖.</w:t>
      </w:r>
      <w:r>
        <w:rPr>
          <w:spacing w:val="-5"/>
        </w:rPr>
        <w:t> </w:t>
      </w:r>
      <w:r>
        <w:rPr/>
        <w:t>However,</w:t>
      </w:r>
      <w:r>
        <w:rPr>
          <w:spacing w:val="-4"/>
        </w:rPr>
        <w:t> </w:t>
      </w:r>
      <w:r>
        <w:rPr/>
        <w:t>since</w:t>
      </w:r>
      <w:r>
        <w:rPr>
          <w:spacing w:val="-5"/>
        </w:rPr>
        <w:t> </w:t>
      </w:r>
      <w:r>
        <w:rPr/>
        <w:t>British</w:t>
      </w:r>
      <w:r>
        <w:rPr>
          <w:spacing w:val="-5"/>
        </w:rPr>
        <w:t> </w:t>
      </w:r>
      <w:r>
        <w:rPr/>
        <w:t>Rule,</w:t>
      </w:r>
      <w:r>
        <w:rPr>
          <w:spacing w:val="-4"/>
        </w:rPr>
        <w:t> </w:t>
      </w:r>
      <w:r>
        <w:rPr/>
        <w:t>a</w:t>
      </w:r>
      <w:r>
        <w:rPr>
          <w:spacing w:val="-4"/>
        </w:rPr>
        <w:t> </w:t>
      </w:r>
      <w:r>
        <w:rPr/>
        <w:t>railing</w:t>
      </w:r>
      <w:r>
        <w:rPr>
          <w:spacing w:val="-5"/>
        </w:rPr>
        <w:t> </w:t>
      </w:r>
      <w:r>
        <w:rPr/>
        <w:t>was</w:t>
      </w:r>
      <w:r>
        <w:rPr>
          <w:spacing w:val="-5"/>
        </w:rPr>
        <w:t> </w:t>
      </w:r>
      <w:r>
        <w:rPr/>
        <w:t>put</w:t>
      </w:r>
      <w:r>
        <w:rPr>
          <w:spacing w:val="-4"/>
        </w:rPr>
        <w:t> </w:t>
      </w:r>
      <w:r>
        <w:rPr/>
        <w:t>up</w:t>
      </w:r>
      <w:r>
        <w:rPr>
          <w:spacing w:val="-5"/>
        </w:rPr>
        <w:t> </w:t>
      </w:r>
      <w:r>
        <w:rPr/>
        <w:t>to</w:t>
      </w:r>
      <w:r>
        <w:rPr>
          <w:spacing w:val="-4"/>
        </w:rPr>
        <w:t> </w:t>
      </w:r>
      <w:r>
        <w:rPr/>
        <w:t>avoid</w:t>
      </w:r>
      <w:r>
        <w:rPr>
          <w:spacing w:val="-5"/>
        </w:rPr>
        <w:t> </w:t>
      </w:r>
      <w:r>
        <w:rPr/>
        <w:t>future</w:t>
      </w:r>
      <w:r>
        <w:rPr>
          <w:spacing w:val="-6"/>
        </w:rPr>
        <w:t> </w:t>
      </w:r>
      <w:r>
        <w:rPr/>
        <w:t>conflicts. Within it, it has been stated, the Muslims pray, while outside the fence the Hindus raised a platform on which they made their offerings. </w:t>
      </w:r>
      <w:r>
        <w:rPr>
          <w:b/>
        </w:rPr>
        <w:t>Carnegy‘s </w:t>
      </w:r>
      <w:r>
        <w:rPr/>
        <w:t>account refers to three religious sites, including the Janmasthan. His account has attributed the construction of the mosque to Babur, on the site of the Janmasthan which he </w:t>
      </w:r>
      <w:r>
        <w:rPr>
          <w:w w:val="99"/>
        </w:rPr>
        <w:t>stat</w:t>
      </w:r>
      <w:r>
        <w:rPr>
          <w:spacing w:val="-1"/>
          <w:w w:val="99"/>
        </w:rPr>
        <w:t>es</w:t>
      </w:r>
      <w:r>
        <w:rPr>
          <w:w w:val="99"/>
        </w:rPr>
        <w:t>,</w:t>
      </w:r>
      <w:r>
        <w:rPr/>
        <w:t> </w:t>
      </w:r>
      <w:r>
        <w:rPr>
          <w:w w:val="33"/>
        </w:rPr>
        <w:t>―</w:t>
      </w:r>
      <w:r>
        <w:rPr>
          <w:w w:val="99"/>
        </w:rPr>
        <w:t>m</w:t>
      </w:r>
      <w:r>
        <w:rPr>
          <w:spacing w:val="-1"/>
          <w:w w:val="99"/>
        </w:rPr>
        <w:t>a</w:t>
      </w:r>
      <w:r>
        <w:rPr>
          <w:w w:val="99"/>
        </w:rPr>
        <w:t>rks</w:t>
      </w:r>
      <w:r>
        <w:rPr>
          <w:spacing w:val="-1"/>
        </w:rPr>
        <w:t> </w:t>
      </w:r>
      <w:r>
        <w:rPr>
          <w:w w:val="99"/>
        </w:rPr>
        <w:t>the</w:t>
      </w:r>
      <w:r>
        <w:rPr>
          <w:spacing w:val="-1"/>
        </w:rPr>
        <w:t> </w:t>
      </w:r>
      <w:r>
        <w:rPr>
          <w:w w:val="99"/>
        </w:rPr>
        <w:t>p</w:t>
      </w:r>
      <w:r>
        <w:rPr>
          <w:spacing w:val="-1"/>
          <w:w w:val="99"/>
        </w:rPr>
        <w:t>l</w:t>
      </w:r>
      <w:r>
        <w:rPr>
          <w:spacing w:val="-3"/>
          <w:w w:val="99"/>
        </w:rPr>
        <w:t>a</w:t>
      </w:r>
      <w:r>
        <w:rPr>
          <w:w w:val="99"/>
        </w:rPr>
        <w:t>ce</w:t>
      </w:r>
      <w:r>
        <w:rPr>
          <w:spacing w:val="-1"/>
        </w:rPr>
        <w:t> </w:t>
      </w:r>
      <w:r>
        <w:rPr>
          <w:spacing w:val="-1"/>
          <w:w w:val="99"/>
        </w:rPr>
        <w:t>w</w:t>
      </w:r>
      <w:r>
        <w:rPr>
          <w:w w:val="99"/>
        </w:rPr>
        <w:t>h</w:t>
      </w:r>
      <w:r>
        <w:rPr>
          <w:spacing w:val="-1"/>
          <w:w w:val="99"/>
        </w:rPr>
        <w:t>e</w:t>
      </w:r>
      <w:r>
        <w:rPr>
          <w:w w:val="99"/>
        </w:rPr>
        <w:t>re</w:t>
      </w:r>
      <w:r>
        <w:rPr>
          <w:spacing w:val="-1"/>
        </w:rPr>
        <w:t> </w:t>
      </w:r>
      <w:r>
        <w:rPr>
          <w:spacing w:val="-1"/>
          <w:w w:val="99"/>
        </w:rPr>
        <w:t>R</w:t>
      </w:r>
      <w:r>
        <w:rPr>
          <w:w w:val="99"/>
        </w:rPr>
        <w:t>am</w:t>
      </w:r>
      <w:r>
        <w:rPr/>
        <w:t> </w:t>
      </w:r>
      <w:r>
        <w:rPr>
          <w:spacing w:val="-1"/>
          <w:w w:val="99"/>
        </w:rPr>
        <w:t>Ch</w:t>
      </w:r>
      <w:r>
        <w:rPr>
          <w:w w:val="99"/>
        </w:rPr>
        <w:t>a</w:t>
      </w:r>
      <w:r>
        <w:rPr>
          <w:spacing w:val="-1"/>
          <w:w w:val="99"/>
        </w:rPr>
        <w:t>n</w:t>
      </w:r>
      <w:r>
        <w:rPr>
          <w:w w:val="99"/>
        </w:rPr>
        <w:t>d</w:t>
      </w:r>
      <w:r>
        <w:rPr>
          <w:spacing w:val="-1"/>
          <w:w w:val="99"/>
        </w:rPr>
        <w:t>e</w:t>
      </w:r>
      <w:r>
        <w:rPr>
          <w:w w:val="99"/>
        </w:rPr>
        <w:t>r</w:t>
      </w:r>
      <w:r>
        <w:rPr/>
        <w:t> </w:t>
      </w:r>
      <w:r>
        <w:rPr>
          <w:spacing w:val="-1"/>
          <w:w w:val="99"/>
        </w:rPr>
        <w:t>wa</w:t>
      </w:r>
      <w:r>
        <w:rPr>
          <w:w w:val="99"/>
        </w:rPr>
        <w:t>s</w:t>
      </w:r>
      <w:r>
        <w:rPr>
          <w:spacing w:val="-1"/>
        </w:rPr>
        <w:t> </w:t>
      </w:r>
      <w:r>
        <w:rPr>
          <w:w w:val="99"/>
        </w:rPr>
        <w:t>b</w:t>
      </w:r>
      <w:r>
        <w:rPr>
          <w:spacing w:val="-1"/>
          <w:w w:val="99"/>
        </w:rPr>
        <w:t>o</w:t>
      </w:r>
      <w:r>
        <w:rPr>
          <w:w w:val="99"/>
        </w:rPr>
        <w:t>r</w:t>
      </w:r>
      <w:r>
        <w:rPr>
          <w:spacing w:val="-1"/>
          <w:w w:val="91"/>
        </w:rPr>
        <w:t>n</w:t>
      </w:r>
      <w:r>
        <w:rPr>
          <w:w w:val="91"/>
        </w:rPr>
        <w:t>‖</w:t>
      </w:r>
      <w:r>
        <w:rPr>
          <w:w w:val="99"/>
        </w:rPr>
        <w:t>.</w:t>
      </w:r>
    </w:p>
    <w:p>
      <w:pPr>
        <w:pStyle w:val="BodyText"/>
        <w:rPr>
          <w:sz w:val="35"/>
        </w:rPr>
      </w:pPr>
    </w:p>
    <w:p>
      <w:pPr>
        <w:pStyle w:val="ListParagraph"/>
        <w:numPr>
          <w:ilvl w:val="0"/>
          <w:numId w:val="166"/>
        </w:numPr>
        <w:tabs>
          <w:tab w:pos="1221" w:val="left" w:leader="none"/>
        </w:tabs>
        <w:spacing w:line="480" w:lineRule="auto" w:before="0" w:after="0"/>
        <w:ind w:left="500" w:right="438" w:firstLine="0"/>
        <w:jc w:val="both"/>
        <w:rPr>
          <w:sz w:val="25"/>
        </w:rPr>
      </w:pPr>
      <w:r>
        <w:rPr>
          <w:b/>
          <w:sz w:val="25"/>
        </w:rPr>
        <w:t>Carnegy </w:t>
      </w:r>
      <w:r>
        <w:rPr>
          <w:sz w:val="25"/>
        </w:rPr>
        <w:t>has relied on Leyden‘s memoirs on the expedition of Babur, which camped at the junction of the Sarayu and Gogra river, taking notice of the </w:t>
      </w:r>
      <w:r>
        <w:rPr>
          <w:w w:val="99"/>
          <w:sz w:val="25"/>
        </w:rPr>
        <w:t>fact</w:t>
      </w:r>
      <w:r>
        <w:rPr>
          <w:sz w:val="25"/>
        </w:rPr>
        <w:t> </w:t>
      </w:r>
      <w:r>
        <w:rPr>
          <w:spacing w:val="-29"/>
          <w:sz w:val="25"/>
        </w:rPr>
        <w:t> </w:t>
      </w:r>
      <w:r>
        <w:rPr>
          <w:w w:val="99"/>
          <w:sz w:val="25"/>
        </w:rPr>
        <w:t>that</w:t>
      </w:r>
      <w:r>
        <w:rPr>
          <w:sz w:val="25"/>
        </w:rPr>
        <w:t> </w:t>
      </w:r>
      <w:r>
        <w:rPr>
          <w:spacing w:val="-29"/>
          <w:sz w:val="25"/>
        </w:rPr>
        <w:t> </w:t>
      </w:r>
      <w:r>
        <w:rPr>
          <w:w w:val="33"/>
          <w:sz w:val="25"/>
        </w:rPr>
        <w:t>―</w:t>
      </w:r>
      <w:r>
        <w:rPr>
          <w:spacing w:val="-1"/>
          <w:w w:val="99"/>
          <w:sz w:val="25"/>
        </w:rPr>
        <w:t>i</w:t>
      </w:r>
      <w:r>
        <w:rPr>
          <w:w w:val="99"/>
          <w:sz w:val="25"/>
        </w:rPr>
        <w:t>t</w:t>
      </w:r>
      <w:r>
        <w:rPr>
          <w:sz w:val="25"/>
        </w:rPr>
        <w:t> </w:t>
      </w:r>
      <w:r>
        <w:rPr>
          <w:spacing w:val="-29"/>
          <w:sz w:val="25"/>
        </w:rPr>
        <w:t> </w:t>
      </w:r>
      <w:r>
        <w:rPr>
          <w:spacing w:val="-1"/>
          <w:w w:val="99"/>
          <w:sz w:val="25"/>
        </w:rPr>
        <w:t>i</w:t>
      </w:r>
      <w:r>
        <w:rPr>
          <w:w w:val="99"/>
          <w:sz w:val="25"/>
        </w:rPr>
        <w:t>s</w:t>
      </w:r>
      <w:r>
        <w:rPr>
          <w:sz w:val="25"/>
        </w:rPr>
        <w:t> </w:t>
      </w:r>
      <w:r>
        <w:rPr>
          <w:spacing w:val="-30"/>
          <w:sz w:val="25"/>
        </w:rPr>
        <w:t> </w:t>
      </w:r>
      <w:r>
        <w:rPr>
          <w:w w:val="99"/>
          <w:sz w:val="25"/>
        </w:rPr>
        <w:t>r</w:t>
      </w:r>
      <w:r>
        <w:rPr>
          <w:spacing w:val="-1"/>
          <w:w w:val="99"/>
          <w:sz w:val="25"/>
        </w:rPr>
        <w:t>e</w:t>
      </w:r>
      <w:r>
        <w:rPr>
          <w:w w:val="99"/>
          <w:sz w:val="25"/>
        </w:rPr>
        <w:t>m</w:t>
      </w:r>
      <w:r>
        <w:rPr>
          <w:spacing w:val="-1"/>
          <w:w w:val="99"/>
          <w:sz w:val="25"/>
        </w:rPr>
        <w:t>a</w:t>
      </w:r>
      <w:r>
        <w:rPr>
          <w:w w:val="99"/>
          <w:sz w:val="25"/>
        </w:rPr>
        <w:t>r</w:t>
      </w:r>
      <w:r>
        <w:rPr>
          <w:spacing w:val="-3"/>
          <w:w w:val="99"/>
          <w:sz w:val="25"/>
        </w:rPr>
        <w:t>k</w:t>
      </w:r>
      <w:r>
        <w:rPr>
          <w:spacing w:val="-1"/>
          <w:w w:val="99"/>
          <w:sz w:val="25"/>
        </w:rPr>
        <w:t>a</w:t>
      </w:r>
      <w:r>
        <w:rPr>
          <w:w w:val="99"/>
          <w:sz w:val="25"/>
        </w:rPr>
        <w:t>b</w:t>
      </w:r>
      <w:r>
        <w:rPr>
          <w:spacing w:val="-1"/>
          <w:w w:val="99"/>
          <w:sz w:val="25"/>
        </w:rPr>
        <w:t>l</w:t>
      </w:r>
      <w:r>
        <w:rPr>
          <w:w w:val="99"/>
          <w:sz w:val="25"/>
        </w:rPr>
        <w:t>e</w:t>
      </w:r>
      <w:r>
        <w:rPr>
          <w:sz w:val="25"/>
        </w:rPr>
        <w:t> </w:t>
      </w:r>
      <w:r>
        <w:rPr>
          <w:spacing w:val="-29"/>
          <w:sz w:val="25"/>
        </w:rPr>
        <w:t> </w:t>
      </w:r>
      <w:r>
        <w:rPr>
          <w:w w:val="99"/>
          <w:sz w:val="25"/>
        </w:rPr>
        <w:t>that</w:t>
      </w:r>
      <w:r>
        <w:rPr>
          <w:sz w:val="25"/>
        </w:rPr>
        <w:t> </w:t>
      </w:r>
      <w:r>
        <w:rPr>
          <w:spacing w:val="-29"/>
          <w:sz w:val="25"/>
        </w:rPr>
        <w:t> </w:t>
      </w:r>
      <w:r>
        <w:rPr>
          <w:spacing w:val="-1"/>
          <w:w w:val="99"/>
          <w:sz w:val="25"/>
        </w:rPr>
        <w:t>i</w:t>
      </w:r>
      <w:r>
        <w:rPr>
          <w:w w:val="99"/>
          <w:sz w:val="25"/>
        </w:rPr>
        <w:t>n</w:t>
      </w:r>
      <w:r>
        <w:rPr>
          <w:sz w:val="25"/>
        </w:rPr>
        <w:t> </w:t>
      </w:r>
      <w:r>
        <w:rPr>
          <w:spacing w:val="-29"/>
          <w:sz w:val="25"/>
        </w:rPr>
        <w:t> </w:t>
      </w:r>
      <w:r>
        <w:rPr>
          <w:spacing w:val="-1"/>
          <w:w w:val="99"/>
          <w:sz w:val="25"/>
        </w:rPr>
        <w:t>al</w:t>
      </w:r>
      <w:r>
        <w:rPr>
          <w:w w:val="99"/>
          <w:sz w:val="25"/>
        </w:rPr>
        <w:t>l</w:t>
      </w:r>
      <w:r>
        <w:rPr>
          <w:sz w:val="25"/>
        </w:rPr>
        <w:t> </w:t>
      </w:r>
      <w:r>
        <w:rPr>
          <w:spacing w:val="-29"/>
          <w:sz w:val="25"/>
        </w:rPr>
        <w:t> </w:t>
      </w:r>
      <w:r>
        <w:rPr>
          <w:w w:val="99"/>
          <w:sz w:val="25"/>
        </w:rPr>
        <w:t>the</w:t>
      </w:r>
      <w:r>
        <w:rPr>
          <w:sz w:val="25"/>
        </w:rPr>
        <w:t> </w:t>
      </w:r>
      <w:r>
        <w:rPr>
          <w:spacing w:val="-29"/>
          <w:sz w:val="25"/>
        </w:rPr>
        <w:t> </w:t>
      </w:r>
      <w:r>
        <w:rPr>
          <w:spacing w:val="2"/>
          <w:w w:val="99"/>
          <w:sz w:val="25"/>
        </w:rPr>
        <w:t>c</w:t>
      </w:r>
      <w:r>
        <w:rPr>
          <w:spacing w:val="-1"/>
          <w:w w:val="99"/>
          <w:sz w:val="25"/>
        </w:rPr>
        <w:t>o</w:t>
      </w:r>
      <w:r>
        <w:rPr>
          <w:w w:val="99"/>
          <w:sz w:val="25"/>
        </w:rPr>
        <w:t>p</w:t>
      </w:r>
      <w:r>
        <w:rPr>
          <w:spacing w:val="-1"/>
          <w:w w:val="99"/>
          <w:sz w:val="25"/>
        </w:rPr>
        <w:t>ie</w:t>
      </w:r>
      <w:r>
        <w:rPr>
          <w:w w:val="99"/>
          <w:sz w:val="25"/>
        </w:rPr>
        <w:t>s</w:t>
      </w:r>
      <w:r>
        <w:rPr>
          <w:sz w:val="25"/>
        </w:rPr>
        <w:t> </w:t>
      </w:r>
      <w:r>
        <w:rPr>
          <w:spacing w:val="-29"/>
          <w:sz w:val="25"/>
        </w:rPr>
        <w:t> </w:t>
      </w:r>
      <w:r>
        <w:rPr>
          <w:spacing w:val="-1"/>
          <w:w w:val="99"/>
          <w:sz w:val="25"/>
        </w:rPr>
        <w:t>o</w:t>
      </w:r>
      <w:r>
        <w:rPr>
          <w:w w:val="99"/>
          <w:sz w:val="25"/>
        </w:rPr>
        <w:t>f</w:t>
      </w:r>
      <w:r>
        <w:rPr>
          <w:sz w:val="25"/>
        </w:rPr>
        <w:t> </w:t>
      </w:r>
      <w:r>
        <w:rPr>
          <w:spacing w:val="-29"/>
          <w:sz w:val="25"/>
        </w:rPr>
        <w:t> </w:t>
      </w:r>
      <w:r>
        <w:rPr>
          <w:spacing w:val="-1"/>
          <w:w w:val="99"/>
          <w:sz w:val="25"/>
        </w:rPr>
        <w:t>Ba</w:t>
      </w:r>
      <w:r>
        <w:rPr>
          <w:spacing w:val="8"/>
          <w:w w:val="99"/>
          <w:sz w:val="25"/>
        </w:rPr>
        <w:t>b</w:t>
      </w:r>
      <w:r>
        <w:rPr>
          <w:w w:val="99"/>
          <w:sz w:val="25"/>
        </w:rPr>
        <w:t>u</w:t>
      </w:r>
      <w:r>
        <w:rPr>
          <w:w w:val="99"/>
          <w:sz w:val="25"/>
        </w:rPr>
        <w:t>r</w:t>
      </w:r>
      <w:r>
        <w:rPr>
          <w:spacing w:val="-1"/>
          <w:w w:val="99"/>
          <w:sz w:val="25"/>
        </w:rPr>
        <w:t>‘</w:t>
      </w:r>
      <w:r>
        <w:rPr>
          <w:w w:val="99"/>
          <w:sz w:val="25"/>
        </w:rPr>
        <w:t>s</w:t>
      </w:r>
      <w:r>
        <w:rPr>
          <w:sz w:val="25"/>
        </w:rPr>
        <w:t> </w:t>
      </w:r>
      <w:r>
        <w:rPr>
          <w:spacing w:val="-30"/>
          <w:sz w:val="25"/>
        </w:rPr>
        <w:t> </w:t>
      </w:r>
      <w:r>
        <w:rPr>
          <w:spacing w:val="-1"/>
          <w:w w:val="99"/>
          <w:sz w:val="25"/>
        </w:rPr>
        <w:t>lif</w:t>
      </w:r>
      <w:r>
        <w:rPr>
          <w:w w:val="99"/>
          <w:sz w:val="25"/>
        </w:rPr>
        <w:t>e</w:t>
      </w:r>
      <w:r>
        <w:rPr>
          <w:sz w:val="25"/>
        </w:rPr>
        <w:t> </w:t>
      </w:r>
      <w:r>
        <w:rPr>
          <w:spacing w:val="-27"/>
          <w:sz w:val="25"/>
        </w:rPr>
        <w:t> </w:t>
      </w:r>
      <w:r>
        <w:rPr>
          <w:spacing w:val="-1"/>
          <w:w w:val="99"/>
          <w:sz w:val="25"/>
        </w:rPr>
        <w:t>n</w:t>
      </w:r>
      <w:r>
        <w:rPr>
          <w:w w:val="99"/>
          <w:sz w:val="25"/>
        </w:rPr>
        <w:t>ow</w:t>
      </w:r>
      <w:r>
        <w:rPr>
          <w:sz w:val="25"/>
        </w:rPr>
        <w:t> </w:t>
      </w:r>
      <w:r>
        <w:rPr>
          <w:spacing w:val="-30"/>
          <w:sz w:val="25"/>
        </w:rPr>
        <w:t> </w:t>
      </w:r>
      <w:r>
        <w:rPr>
          <w:w w:val="99"/>
          <w:sz w:val="25"/>
        </w:rPr>
        <w:t>kno</w:t>
      </w:r>
      <w:r>
        <w:rPr>
          <w:spacing w:val="-1"/>
          <w:w w:val="99"/>
          <w:sz w:val="25"/>
        </w:rPr>
        <w:t>wn</w:t>
      </w:r>
      <w:r>
        <w:rPr>
          <w:w w:val="99"/>
          <w:sz w:val="25"/>
        </w:rPr>
        <w:t>,</w:t>
      </w:r>
      <w:r>
        <w:rPr>
          <w:sz w:val="25"/>
        </w:rPr>
        <w:t> </w:t>
      </w:r>
      <w:r>
        <w:rPr>
          <w:spacing w:val="-29"/>
          <w:sz w:val="25"/>
        </w:rPr>
        <w:t> </w:t>
      </w:r>
      <w:r>
        <w:rPr>
          <w:w w:val="99"/>
          <w:sz w:val="25"/>
        </w:rPr>
        <w:t>the </w:t>
      </w:r>
      <w:r>
        <w:rPr>
          <w:sz w:val="25"/>
        </w:rPr>
        <w:t>pages that relate to his doings in Ajudhia are wanting‖. He noted two inscriptions on the mosque, attributing its construction to 1528 A.D. There is a reference to the Kasauti stone pillars used in the mosque, which to him, resemble Buddhist </w:t>
      </w:r>
      <w:r>
        <w:rPr>
          <w:w w:val="99"/>
          <w:sz w:val="25"/>
        </w:rPr>
        <w:t>pillar</w:t>
      </w:r>
      <w:r>
        <w:rPr>
          <w:w w:val="99"/>
          <w:sz w:val="25"/>
        </w:rPr>
        <w:t>s.</w:t>
      </w:r>
      <w:r>
        <w:rPr>
          <w:spacing w:val="12"/>
          <w:sz w:val="25"/>
        </w:rPr>
        <w:t> </w:t>
      </w:r>
      <w:r>
        <w:rPr>
          <w:spacing w:val="-1"/>
          <w:w w:val="99"/>
          <w:sz w:val="25"/>
        </w:rPr>
        <w:t>B</w:t>
      </w:r>
      <w:r>
        <w:rPr>
          <w:w w:val="99"/>
          <w:sz w:val="25"/>
        </w:rPr>
        <w:t>ased</w:t>
      </w:r>
      <w:r>
        <w:rPr>
          <w:spacing w:val="12"/>
          <w:sz w:val="25"/>
        </w:rPr>
        <w:t> </w:t>
      </w:r>
      <w:r>
        <w:rPr>
          <w:w w:val="99"/>
          <w:sz w:val="25"/>
        </w:rPr>
        <w:t>on</w:t>
      </w:r>
      <w:r>
        <w:rPr>
          <w:spacing w:val="12"/>
          <w:sz w:val="25"/>
        </w:rPr>
        <w:t> </w:t>
      </w:r>
      <w:r>
        <w:rPr>
          <w:w w:val="99"/>
          <w:sz w:val="25"/>
        </w:rPr>
        <w:t>them</w:t>
      </w:r>
      <w:r>
        <w:rPr>
          <w:w w:val="99"/>
          <w:sz w:val="25"/>
        </w:rPr>
        <w:t>,</w:t>
      </w:r>
      <w:r>
        <w:rPr>
          <w:spacing w:val="12"/>
          <w:sz w:val="25"/>
        </w:rPr>
        <w:t> </w:t>
      </w:r>
      <w:r>
        <w:rPr>
          <w:w w:val="99"/>
          <w:sz w:val="25"/>
        </w:rPr>
        <w:t>he</w:t>
      </w:r>
      <w:r>
        <w:rPr>
          <w:spacing w:val="12"/>
          <w:sz w:val="25"/>
        </w:rPr>
        <w:t> </w:t>
      </w:r>
      <w:r>
        <w:rPr>
          <w:w w:val="99"/>
          <w:sz w:val="25"/>
        </w:rPr>
        <w:t>h</w:t>
      </w:r>
      <w:r>
        <w:rPr>
          <w:spacing w:val="-2"/>
          <w:w w:val="99"/>
          <w:sz w:val="25"/>
        </w:rPr>
        <w:t>y</w:t>
      </w:r>
      <w:r>
        <w:rPr>
          <w:w w:val="99"/>
          <w:sz w:val="25"/>
        </w:rPr>
        <w:t>po</w:t>
      </w:r>
      <w:r>
        <w:rPr>
          <w:w w:val="99"/>
          <w:sz w:val="25"/>
        </w:rPr>
        <w:t>thesises</w:t>
      </w:r>
      <w:r>
        <w:rPr>
          <w:spacing w:val="12"/>
          <w:sz w:val="25"/>
        </w:rPr>
        <w:t> </w:t>
      </w:r>
      <w:r>
        <w:rPr>
          <w:spacing w:val="2"/>
          <w:w w:val="99"/>
          <w:sz w:val="25"/>
        </w:rPr>
        <w:t>t</w:t>
      </w:r>
      <w:r>
        <w:rPr>
          <w:w w:val="99"/>
          <w:sz w:val="25"/>
        </w:rPr>
        <w:t>ha</w:t>
      </w:r>
      <w:r>
        <w:rPr>
          <w:w w:val="99"/>
          <w:sz w:val="25"/>
        </w:rPr>
        <w:t>t</w:t>
      </w:r>
      <w:r>
        <w:rPr>
          <w:spacing w:val="17"/>
          <w:sz w:val="25"/>
        </w:rPr>
        <w:t> </w:t>
      </w:r>
      <w:r>
        <w:rPr>
          <w:w w:val="33"/>
          <w:sz w:val="25"/>
        </w:rPr>
        <w:t>―</w:t>
      </w:r>
      <w:r>
        <w:rPr>
          <w:spacing w:val="-1"/>
          <w:w w:val="99"/>
          <w:sz w:val="25"/>
        </w:rPr>
        <w:t>i</w:t>
      </w:r>
      <w:r>
        <w:rPr>
          <w:w w:val="99"/>
          <w:sz w:val="25"/>
        </w:rPr>
        <w:t>f</w:t>
      </w:r>
      <w:r>
        <w:rPr>
          <w:spacing w:val="11"/>
          <w:sz w:val="25"/>
        </w:rPr>
        <w:t> </w:t>
      </w:r>
      <w:r>
        <w:rPr>
          <w:spacing w:val="-1"/>
          <w:w w:val="99"/>
          <w:sz w:val="25"/>
        </w:rPr>
        <w:t>Ajud</w:t>
      </w:r>
      <w:r>
        <w:rPr>
          <w:w w:val="99"/>
          <w:sz w:val="25"/>
        </w:rPr>
        <w:t>h</w:t>
      </w:r>
      <w:r>
        <w:rPr>
          <w:spacing w:val="-1"/>
          <w:w w:val="99"/>
          <w:sz w:val="25"/>
        </w:rPr>
        <w:t>i</w:t>
      </w:r>
      <w:r>
        <w:rPr>
          <w:w w:val="99"/>
          <w:sz w:val="25"/>
        </w:rPr>
        <w:t>a</w:t>
      </w:r>
      <w:r>
        <w:rPr>
          <w:spacing w:val="12"/>
          <w:sz w:val="25"/>
        </w:rPr>
        <w:t> </w:t>
      </w:r>
      <w:r>
        <w:rPr>
          <w:spacing w:val="-1"/>
          <w:w w:val="99"/>
          <w:sz w:val="25"/>
        </w:rPr>
        <w:t>wa</w:t>
      </w:r>
      <w:r>
        <w:rPr>
          <w:w w:val="99"/>
          <w:sz w:val="25"/>
        </w:rPr>
        <w:t>s</w:t>
      </w:r>
      <w:r>
        <w:rPr>
          <w:spacing w:val="12"/>
          <w:sz w:val="25"/>
        </w:rPr>
        <w:t> </w:t>
      </w:r>
      <w:r>
        <w:rPr>
          <w:w w:val="99"/>
          <w:sz w:val="25"/>
        </w:rPr>
        <w:t>t</w:t>
      </w:r>
      <w:r>
        <w:rPr>
          <w:spacing w:val="2"/>
          <w:w w:val="99"/>
          <w:sz w:val="25"/>
        </w:rPr>
        <w:t>h</w:t>
      </w:r>
      <w:r>
        <w:rPr>
          <w:spacing w:val="-1"/>
          <w:w w:val="99"/>
          <w:sz w:val="25"/>
        </w:rPr>
        <w:t>e</w:t>
      </w:r>
      <w:r>
        <w:rPr>
          <w:w w:val="99"/>
          <w:sz w:val="25"/>
        </w:rPr>
        <w:t>n</w:t>
      </w:r>
      <w:r>
        <w:rPr>
          <w:spacing w:val="12"/>
          <w:sz w:val="25"/>
        </w:rPr>
        <w:t> </w:t>
      </w:r>
      <w:r>
        <w:rPr>
          <w:spacing w:val="-1"/>
          <w:w w:val="99"/>
          <w:sz w:val="25"/>
        </w:rPr>
        <w:t>littl</w:t>
      </w:r>
      <w:r>
        <w:rPr>
          <w:w w:val="99"/>
          <w:sz w:val="25"/>
        </w:rPr>
        <w:t>e</w:t>
      </w:r>
      <w:r>
        <w:rPr>
          <w:spacing w:val="12"/>
          <w:sz w:val="25"/>
        </w:rPr>
        <w:t> </w:t>
      </w:r>
      <w:r>
        <w:rPr>
          <w:spacing w:val="-1"/>
          <w:w w:val="99"/>
          <w:sz w:val="25"/>
        </w:rPr>
        <w:t>ot</w:t>
      </w:r>
      <w:r>
        <w:rPr>
          <w:w w:val="99"/>
          <w:sz w:val="25"/>
        </w:rPr>
        <w:t>h</w:t>
      </w:r>
      <w:r>
        <w:rPr>
          <w:spacing w:val="-1"/>
          <w:w w:val="99"/>
          <w:sz w:val="25"/>
        </w:rPr>
        <w:t>e</w:t>
      </w:r>
      <w:r>
        <w:rPr>
          <w:w w:val="99"/>
          <w:sz w:val="25"/>
        </w:rPr>
        <w:t>r</w:t>
      </w:r>
      <w:r>
        <w:rPr>
          <w:spacing w:val="12"/>
          <w:sz w:val="25"/>
        </w:rPr>
        <w:t> </w:t>
      </w:r>
      <w:r>
        <w:rPr>
          <w:w w:val="99"/>
          <w:sz w:val="25"/>
        </w:rPr>
        <w:t>than </w:t>
      </w:r>
      <w:r>
        <w:rPr>
          <w:sz w:val="25"/>
        </w:rPr>
        <w:t>a wild, it must at least have possessed a fine temple in the Janmasthan; for many of its columns are still in existence and in good preservation, having been used by the Musalmans in the construction of the Babri</w:t>
      </w:r>
      <w:r>
        <w:rPr>
          <w:spacing w:val="-13"/>
          <w:sz w:val="25"/>
        </w:rPr>
        <w:t> </w:t>
      </w:r>
      <w:r>
        <w:rPr>
          <w:sz w:val="25"/>
        </w:rPr>
        <w:t>Mosque.‖</w:t>
      </w:r>
    </w:p>
    <w:p>
      <w:pPr>
        <w:pStyle w:val="BodyText"/>
        <w:spacing w:before="161"/>
        <w:ind w:left="500"/>
        <w:jc w:val="both"/>
      </w:pPr>
      <w:r>
        <w:rPr>
          <w:b/>
        </w:rPr>
        <w:t>Carnegy </w:t>
      </w:r>
      <w:r>
        <w:rPr/>
        <w:t>provides an account of the conflagration of 1855:</w:t>
      </w:r>
    </w:p>
    <w:p>
      <w:pPr>
        <w:pStyle w:val="BodyText"/>
        <w:spacing w:before="2"/>
      </w:pPr>
    </w:p>
    <w:p>
      <w:pPr>
        <w:spacing w:line="276" w:lineRule="auto" w:before="0"/>
        <w:ind w:left="1940" w:right="2262" w:firstLine="0"/>
        <w:jc w:val="both"/>
        <w:rPr>
          <w:sz w:val="21"/>
        </w:rPr>
      </w:pPr>
      <w:r>
        <w:rPr>
          <w:spacing w:val="-1"/>
          <w:w w:val="33"/>
          <w:sz w:val="21"/>
        </w:rPr>
        <w:t>―</w:t>
      </w:r>
      <w:r>
        <w:rPr>
          <w:w w:val="100"/>
          <w:sz w:val="21"/>
        </w:rPr>
        <w:t>H</w:t>
      </w:r>
      <w:r>
        <w:rPr>
          <w:spacing w:val="-2"/>
          <w:w w:val="100"/>
          <w:sz w:val="21"/>
        </w:rPr>
        <w:t>i</w:t>
      </w:r>
      <w:r>
        <w:rPr>
          <w:spacing w:val="-1"/>
          <w:w w:val="100"/>
          <w:sz w:val="21"/>
        </w:rPr>
        <w:t>nd</w:t>
      </w:r>
      <w:r>
        <w:rPr>
          <w:w w:val="100"/>
          <w:sz w:val="21"/>
        </w:rPr>
        <w:t>u</w:t>
      </w:r>
      <w:r>
        <w:rPr>
          <w:spacing w:val="9"/>
          <w:sz w:val="21"/>
        </w:rPr>
        <w:t> </w:t>
      </w:r>
      <w:r>
        <w:rPr>
          <w:spacing w:val="-1"/>
          <w:w w:val="100"/>
          <w:sz w:val="21"/>
        </w:rPr>
        <w:t>an</w:t>
      </w:r>
      <w:r>
        <w:rPr>
          <w:w w:val="100"/>
          <w:sz w:val="21"/>
        </w:rPr>
        <w:t>d</w:t>
      </w:r>
      <w:r>
        <w:rPr>
          <w:spacing w:val="9"/>
          <w:sz w:val="21"/>
        </w:rPr>
        <w:t> </w:t>
      </w:r>
      <w:r>
        <w:rPr>
          <w:spacing w:val="-1"/>
          <w:w w:val="100"/>
          <w:sz w:val="21"/>
        </w:rPr>
        <w:t>Mu</w:t>
      </w:r>
      <w:r>
        <w:rPr>
          <w:spacing w:val="-3"/>
          <w:w w:val="100"/>
          <w:sz w:val="21"/>
        </w:rPr>
        <w:t>s</w:t>
      </w:r>
      <w:r>
        <w:rPr>
          <w:spacing w:val="-1"/>
          <w:w w:val="100"/>
          <w:sz w:val="21"/>
        </w:rPr>
        <w:t>a</w:t>
      </w:r>
      <w:r>
        <w:rPr>
          <w:spacing w:val="-2"/>
          <w:w w:val="100"/>
          <w:sz w:val="21"/>
        </w:rPr>
        <w:t>l</w:t>
      </w:r>
      <w:r>
        <w:rPr>
          <w:spacing w:val="-1"/>
          <w:w w:val="100"/>
          <w:sz w:val="21"/>
        </w:rPr>
        <w:t>ma</w:t>
      </w:r>
      <w:r>
        <w:rPr>
          <w:w w:val="100"/>
          <w:sz w:val="21"/>
        </w:rPr>
        <w:t>n</w:t>
      </w:r>
      <w:r>
        <w:rPr>
          <w:spacing w:val="11"/>
          <w:sz w:val="21"/>
        </w:rPr>
        <w:t> </w:t>
      </w:r>
      <w:r>
        <w:rPr>
          <w:spacing w:val="-3"/>
          <w:w w:val="100"/>
          <w:sz w:val="21"/>
        </w:rPr>
        <w:t>d</w:t>
      </w:r>
      <w:r>
        <w:rPr>
          <w:spacing w:val="-2"/>
          <w:w w:val="100"/>
          <w:sz w:val="21"/>
        </w:rPr>
        <w:t>i</w:t>
      </w:r>
      <w:r>
        <w:rPr>
          <w:spacing w:val="1"/>
          <w:w w:val="100"/>
          <w:sz w:val="21"/>
        </w:rPr>
        <w:t>f</w:t>
      </w:r>
      <w:r>
        <w:rPr>
          <w:spacing w:val="-2"/>
          <w:w w:val="100"/>
          <w:sz w:val="21"/>
        </w:rPr>
        <w:t>f</w:t>
      </w:r>
      <w:r>
        <w:rPr>
          <w:spacing w:val="-1"/>
          <w:w w:val="100"/>
          <w:sz w:val="21"/>
        </w:rPr>
        <w:t>erenc</w:t>
      </w:r>
      <w:r>
        <w:rPr>
          <w:spacing w:val="-3"/>
          <w:w w:val="100"/>
          <w:sz w:val="21"/>
        </w:rPr>
        <w:t>e</w:t>
      </w:r>
      <w:r>
        <w:rPr>
          <w:spacing w:val="1"/>
          <w:w w:val="100"/>
          <w:sz w:val="21"/>
        </w:rPr>
        <w:t>s</w:t>
      </w:r>
      <w:r>
        <w:rPr>
          <w:w w:val="100"/>
          <w:sz w:val="21"/>
        </w:rPr>
        <w:t>–</w:t>
      </w:r>
      <w:r>
        <w:rPr>
          <w:spacing w:val="9"/>
          <w:sz w:val="21"/>
        </w:rPr>
        <w:t> </w:t>
      </w:r>
      <w:r>
        <w:rPr>
          <w:w w:val="100"/>
          <w:sz w:val="21"/>
        </w:rPr>
        <w:t>Th</w:t>
      </w:r>
      <w:r>
        <w:rPr>
          <w:w w:val="100"/>
          <w:sz w:val="21"/>
        </w:rPr>
        <w:t>e</w:t>
      </w:r>
      <w:r>
        <w:rPr>
          <w:spacing w:val="8"/>
          <w:sz w:val="21"/>
        </w:rPr>
        <w:t> </w:t>
      </w:r>
      <w:r>
        <w:rPr>
          <w:w w:val="100"/>
          <w:sz w:val="21"/>
        </w:rPr>
        <w:t>J</w:t>
      </w:r>
      <w:r>
        <w:rPr>
          <w:spacing w:val="-3"/>
          <w:w w:val="100"/>
          <w:sz w:val="21"/>
        </w:rPr>
        <w:t>a</w:t>
      </w:r>
      <w:r>
        <w:rPr>
          <w:spacing w:val="-3"/>
          <w:w w:val="100"/>
          <w:sz w:val="21"/>
        </w:rPr>
        <w:t>n</w:t>
      </w:r>
      <w:r>
        <w:rPr>
          <w:spacing w:val="1"/>
          <w:w w:val="100"/>
          <w:sz w:val="21"/>
        </w:rPr>
        <w:t>m</w:t>
      </w:r>
      <w:r>
        <w:rPr>
          <w:w w:val="100"/>
          <w:sz w:val="21"/>
        </w:rPr>
        <w:t>as</w:t>
      </w:r>
      <w:r>
        <w:rPr>
          <w:spacing w:val="-1"/>
          <w:w w:val="100"/>
          <w:sz w:val="21"/>
        </w:rPr>
        <w:t>t</w:t>
      </w:r>
      <w:r>
        <w:rPr>
          <w:spacing w:val="-3"/>
          <w:w w:val="100"/>
          <w:sz w:val="21"/>
        </w:rPr>
        <w:t>ha</w:t>
      </w:r>
      <w:r>
        <w:rPr>
          <w:w w:val="100"/>
          <w:sz w:val="21"/>
        </w:rPr>
        <w:t>n</w:t>
      </w:r>
      <w:r>
        <w:rPr>
          <w:spacing w:val="11"/>
          <w:sz w:val="21"/>
        </w:rPr>
        <w:t> </w:t>
      </w:r>
      <w:r>
        <w:rPr>
          <w:w w:val="100"/>
          <w:sz w:val="21"/>
        </w:rPr>
        <w:t>i</w:t>
      </w:r>
      <w:r>
        <w:rPr>
          <w:w w:val="100"/>
          <w:sz w:val="21"/>
        </w:rPr>
        <w:t>s</w:t>
      </w:r>
      <w:r>
        <w:rPr>
          <w:spacing w:val="8"/>
          <w:sz w:val="21"/>
        </w:rPr>
        <w:t> </w:t>
      </w:r>
      <w:r>
        <w:rPr>
          <w:spacing w:val="-2"/>
          <w:w w:val="100"/>
          <w:sz w:val="21"/>
        </w:rPr>
        <w:t>w</w:t>
      </w:r>
      <w:r>
        <w:rPr>
          <w:w w:val="100"/>
          <w:sz w:val="21"/>
        </w:rPr>
        <w:t>i</w:t>
      </w:r>
      <w:r>
        <w:rPr>
          <w:spacing w:val="-2"/>
          <w:w w:val="100"/>
          <w:sz w:val="21"/>
        </w:rPr>
        <w:t>t</w:t>
      </w:r>
      <w:r>
        <w:rPr>
          <w:w w:val="100"/>
          <w:sz w:val="21"/>
        </w:rPr>
        <w:t>h</w:t>
      </w:r>
      <w:r>
        <w:rPr>
          <w:spacing w:val="-2"/>
          <w:w w:val="100"/>
          <w:sz w:val="21"/>
        </w:rPr>
        <w:t>i</w:t>
      </w:r>
      <w:r>
        <w:rPr>
          <w:w w:val="100"/>
          <w:sz w:val="21"/>
        </w:rPr>
        <w:t>n </w:t>
      </w:r>
      <w:r>
        <w:rPr>
          <w:sz w:val="21"/>
        </w:rPr>
        <w:t>a few hundred paces of the Hanuman Garhi. In 1855 when a great rapture took place between the Hindus and the Muhammadans, the former occupied the Hanuman Garhi in force, while the Musalmans took possession of the Janmasthan. The Mohammadans on that occasion actually charged up the steps of the Hanomangarhi, but were driven back with considerable loss. The Hindus then followed up  this</w:t>
      </w:r>
      <w:r>
        <w:rPr>
          <w:spacing w:val="7"/>
          <w:sz w:val="21"/>
        </w:rPr>
        <w:t> </w:t>
      </w:r>
      <w:r>
        <w:rPr>
          <w:sz w:val="21"/>
        </w:rPr>
        <w:t>success,</w:t>
      </w:r>
      <w:r>
        <w:rPr>
          <w:spacing w:val="7"/>
          <w:sz w:val="21"/>
        </w:rPr>
        <w:t> </w:t>
      </w:r>
      <w:r>
        <w:rPr>
          <w:sz w:val="21"/>
        </w:rPr>
        <w:t>and</w:t>
      </w:r>
      <w:r>
        <w:rPr>
          <w:spacing w:val="8"/>
          <w:sz w:val="21"/>
        </w:rPr>
        <w:t> </w:t>
      </w:r>
      <w:r>
        <w:rPr>
          <w:sz w:val="21"/>
        </w:rPr>
        <w:t>at</w:t>
      </w:r>
      <w:r>
        <w:rPr>
          <w:spacing w:val="7"/>
          <w:sz w:val="21"/>
        </w:rPr>
        <w:t> </w:t>
      </w:r>
      <w:r>
        <w:rPr>
          <w:sz w:val="21"/>
        </w:rPr>
        <w:t>the</w:t>
      </w:r>
      <w:r>
        <w:rPr>
          <w:spacing w:val="9"/>
          <w:sz w:val="21"/>
        </w:rPr>
        <w:t> </w:t>
      </w:r>
      <w:r>
        <w:rPr>
          <w:sz w:val="21"/>
        </w:rPr>
        <w:t>third</w:t>
      </w:r>
      <w:r>
        <w:rPr>
          <w:spacing w:val="8"/>
          <w:sz w:val="21"/>
        </w:rPr>
        <w:t> </w:t>
      </w:r>
      <w:r>
        <w:rPr>
          <w:sz w:val="21"/>
        </w:rPr>
        <w:t>attempt</w:t>
      </w:r>
      <w:r>
        <w:rPr>
          <w:spacing w:val="7"/>
          <w:sz w:val="21"/>
        </w:rPr>
        <w:t> </w:t>
      </w:r>
      <w:r>
        <w:rPr>
          <w:sz w:val="21"/>
        </w:rPr>
        <w:t>took</w:t>
      </w:r>
      <w:r>
        <w:rPr>
          <w:spacing w:val="9"/>
          <w:sz w:val="21"/>
        </w:rPr>
        <w:t> </w:t>
      </w:r>
      <w:r>
        <w:rPr>
          <w:sz w:val="21"/>
        </w:rPr>
        <w:t>the</w:t>
      </w:r>
      <w:r>
        <w:rPr>
          <w:spacing w:val="9"/>
          <w:sz w:val="21"/>
        </w:rPr>
        <w:t> </w:t>
      </w:r>
      <w:r>
        <w:rPr>
          <w:sz w:val="21"/>
        </w:rPr>
        <w:t>Janmasthan</w:t>
      </w:r>
      <w:r>
        <w:rPr>
          <w:spacing w:val="9"/>
          <w:sz w:val="21"/>
        </w:rPr>
        <w:t> </w:t>
      </w:r>
      <w:r>
        <w:rPr>
          <w:sz w:val="21"/>
        </w:rPr>
        <w:t>at</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2" w:firstLine="0"/>
        <w:jc w:val="both"/>
        <w:rPr>
          <w:sz w:val="21"/>
        </w:rPr>
      </w:pPr>
      <w:r>
        <w:rPr>
          <w:spacing w:val="-2"/>
          <w:w w:val="100"/>
          <w:sz w:val="21"/>
        </w:rPr>
        <w:t>t</w:t>
      </w:r>
      <w:r>
        <w:rPr>
          <w:spacing w:val="-1"/>
          <w:w w:val="100"/>
          <w:sz w:val="21"/>
        </w:rPr>
        <w:t>h</w:t>
      </w:r>
      <w:r>
        <w:rPr>
          <w:w w:val="100"/>
          <w:sz w:val="21"/>
        </w:rPr>
        <w:t>e</w:t>
      </w:r>
      <w:r>
        <w:rPr>
          <w:spacing w:val="4"/>
          <w:sz w:val="21"/>
        </w:rPr>
        <w:t> </w:t>
      </w:r>
      <w:r>
        <w:rPr>
          <w:spacing w:val="-1"/>
          <w:w w:val="100"/>
          <w:sz w:val="21"/>
        </w:rPr>
        <w:t>gat</w:t>
      </w:r>
      <w:r>
        <w:rPr>
          <w:w w:val="100"/>
          <w:sz w:val="21"/>
        </w:rPr>
        <w:t>e</w:t>
      </w:r>
      <w:r>
        <w:rPr>
          <w:spacing w:val="3"/>
          <w:sz w:val="21"/>
        </w:rPr>
        <w:t> </w:t>
      </w:r>
      <w:r>
        <w:rPr>
          <w:spacing w:val="-1"/>
          <w:w w:val="100"/>
          <w:sz w:val="21"/>
        </w:rPr>
        <w:t>o</w:t>
      </w:r>
      <w:r>
        <w:rPr>
          <w:w w:val="100"/>
          <w:sz w:val="21"/>
        </w:rPr>
        <w:t>f</w:t>
      </w:r>
      <w:r>
        <w:rPr>
          <w:spacing w:val="4"/>
          <w:sz w:val="21"/>
        </w:rPr>
        <w:t> </w:t>
      </w:r>
      <w:r>
        <w:rPr>
          <w:spacing w:val="-2"/>
          <w:w w:val="100"/>
          <w:sz w:val="21"/>
        </w:rPr>
        <w:t>w</w:t>
      </w:r>
      <w:r>
        <w:rPr>
          <w:spacing w:val="-1"/>
          <w:w w:val="100"/>
          <w:sz w:val="21"/>
        </w:rPr>
        <w:t>h</w:t>
      </w:r>
      <w:r>
        <w:rPr>
          <w:spacing w:val="-2"/>
          <w:w w:val="100"/>
          <w:sz w:val="21"/>
        </w:rPr>
        <w:t>i</w:t>
      </w:r>
      <w:r>
        <w:rPr>
          <w:w w:val="100"/>
          <w:sz w:val="21"/>
        </w:rPr>
        <w:t>ch</w:t>
      </w:r>
      <w:r>
        <w:rPr>
          <w:spacing w:val="3"/>
          <w:sz w:val="21"/>
        </w:rPr>
        <w:t> </w:t>
      </w:r>
      <w:r>
        <w:rPr>
          <w:spacing w:val="-1"/>
          <w:w w:val="100"/>
          <w:sz w:val="21"/>
        </w:rPr>
        <w:t>7</w:t>
      </w:r>
      <w:r>
        <w:rPr>
          <w:w w:val="100"/>
          <w:sz w:val="21"/>
        </w:rPr>
        <w:t>5</w:t>
      </w:r>
      <w:r>
        <w:rPr>
          <w:spacing w:val="4"/>
          <w:sz w:val="21"/>
        </w:rPr>
        <w:t> </w:t>
      </w:r>
      <w:r>
        <w:rPr>
          <w:spacing w:val="-1"/>
          <w:w w:val="100"/>
          <w:sz w:val="21"/>
        </w:rPr>
        <w:t>Mu</w:t>
      </w:r>
      <w:r>
        <w:rPr>
          <w:spacing w:val="-3"/>
          <w:w w:val="100"/>
          <w:sz w:val="21"/>
        </w:rPr>
        <w:t>h</w:t>
      </w:r>
      <w:r>
        <w:rPr>
          <w:spacing w:val="-1"/>
          <w:w w:val="100"/>
          <w:sz w:val="21"/>
        </w:rPr>
        <w:t>am</w:t>
      </w:r>
      <w:r>
        <w:rPr>
          <w:spacing w:val="-2"/>
          <w:w w:val="100"/>
          <w:sz w:val="21"/>
        </w:rPr>
        <w:t>m</w:t>
      </w:r>
      <w:r>
        <w:rPr>
          <w:spacing w:val="-1"/>
          <w:w w:val="100"/>
          <w:sz w:val="21"/>
        </w:rPr>
        <w:t>a</w:t>
      </w:r>
      <w:r>
        <w:rPr>
          <w:spacing w:val="-3"/>
          <w:w w:val="100"/>
          <w:sz w:val="21"/>
        </w:rPr>
        <w:t>d</w:t>
      </w:r>
      <w:r>
        <w:rPr>
          <w:spacing w:val="-1"/>
          <w:w w:val="100"/>
          <w:sz w:val="21"/>
        </w:rPr>
        <w:t>a</w:t>
      </w:r>
      <w:r>
        <w:rPr>
          <w:w w:val="100"/>
          <w:sz w:val="21"/>
        </w:rPr>
        <w:t>n</w:t>
      </w:r>
      <w:r>
        <w:rPr>
          <w:spacing w:val="4"/>
          <w:sz w:val="21"/>
        </w:rPr>
        <w:t> </w:t>
      </w:r>
      <w:r>
        <w:rPr>
          <w:spacing w:val="-1"/>
          <w:w w:val="100"/>
          <w:sz w:val="21"/>
        </w:rPr>
        <w:t>ar</w:t>
      </w:r>
      <w:r>
        <w:rPr>
          <w:w w:val="100"/>
          <w:sz w:val="21"/>
        </w:rPr>
        <w:t>e</w:t>
      </w:r>
      <w:r>
        <w:rPr>
          <w:spacing w:val="3"/>
          <w:sz w:val="21"/>
        </w:rPr>
        <w:t> </w:t>
      </w:r>
      <w:r>
        <w:rPr>
          <w:spacing w:val="-1"/>
          <w:w w:val="100"/>
          <w:sz w:val="21"/>
        </w:rPr>
        <w:t>bu</w:t>
      </w:r>
      <w:r>
        <w:rPr>
          <w:spacing w:val="-3"/>
          <w:w w:val="100"/>
          <w:sz w:val="21"/>
        </w:rPr>
        <w:t>r</w:t>
      </w:r>
      <w:r>
        <w:rPr>
          <w:w w:val="100"/>
          <w:sz w:val="21"/>
        </w:rPr>
        <w:t>i</w:t>
      </w:r>
      <w:r>
        <w:rPr>
          <w:spacing w:val="-1"/>
          <w:w w:val="100"/>
          <w:sz w:val="21"/>
        </w:rPr>
        <w:t>e</w:t>
      </w:r>
      <w:r>
        <w:rPr>
          <w:w w:val="100"/>
          <w:sz w:val="21"/>
        </w:rPr>
        <w:t>d</w:t>
      </w:r>
      <w:r>
        <w:rPr>
          <w:spacing w:val="4"/>
          <w:sz w:val="21"/>
        </w:rPr>
        <w:t> </w:t>
      </w:r>
      <w:r>
        <w:rPr>
          <w:spacing w:val="-2"/>
          <w:w w:val="100"/>
          <w:sz w:val="21"/>
        </w:rPr>
        <w:t>i</w:t>
      </w:r>
      <w:r>
        <w:rPr>
          <w:w w:val="100"/>
          <w:sz w:val="21"/>
        </w:rPr>
        <w:t>n</w:t>
      </w:r>
      <w:r>
        <w:rPr>
          <w:spacing w:val="3"/>
          <w:sz w:val="21"/>
        </w:rPr>
        <w:t> </w:t>
      </w:r>
      <w:r>
        <w:rPr>
          <w:spacing w:val="-2"/>
          <w:w w:val="100"/>
          <w:sz w:val="21"/>
        </w:rPr>
        <w:t>t</w:t>
      </w:r>
      <w:r>
        <w:rPr>
          <w:spacing w:val="-1"/>
          <w:w w:val="100"/>
          <w:sz w:val="21"/>
        </w:rPr>
        <w:t>h</w:t>
      </w:r>
      <w:r>
        <w:rPr>
          <w:w w:val="100"/>
          <w:sz w:val="21"/>
        </w:rPr>
        <w:t>e</w:t>
      </w:r>
      <w:r>
        <w:rPr>
          <w:spacing w:val="4"/>
          <w:sz w:val="21"/>
        </w:rPr>
        <w:t> </w:t>
      </w:r>
      <w:r>
        <w:rPr>
          <w:spacing w:val="-2"/>
          <w:w w:val="40"/>
          <w:sz w:val="21"/>
        </w:rPr>
        <w:t>‗</w:t>
      </w:r>
      <w:r>
        <w:rPr>
          <w:spacing w:val="1"/>
          <w:w w:val="100"/>
          <w:sz w:val="21"/>
        </w:rPr>
        <w:t>m</w:t>
      </w:r>
      <w:r>
        <w:rPr>
          <w:spacing w:val="-1"/>
          <w:w w:val="100"/>
          <w:sz w:val="21"/>
        </w:rPr>
        <w:t>ar</w:t>
      </w:r>
      <w:r>
        <w:rPr>
          <w:spacing w:val="-2"/>
          <w:w w:val="100"/>
          <w:sz w:val="21"/>
        </w:rPr>
        <w:t>t</w:t>
      </w:r>
      <w:r>
        <w:rPr>
          <w:spacing w:val="-3"/>
          <w:w w:val="100"/>
          <w:sz w:val="21"/>
        </w:rPr>
        <w:t>y</w:t>
      </w:r>
      <w:r>
        <w:rPr>
          <w:spacing w:val="-1"/>
          <w:w w:val="100"/>
          <w:sz w:val="21"/>
        </w:rPr>
        <w:t>r</w:t>
      </w:r>
      <w:r>
        <w:rPr>
          <w:w w:val="100"/>
          <w:sz w:val="21"/>
        </w:rPr>
        <w:t>‘s </w:t>
      </w:r>
      <w:r>
        <w:rPr>
          <w:sz w:val="21"/>
        </w:rPr>
        <w:t>grave‘ (ganj-i-shahid). Several of the King‘s Regiments were looking on all the time, but their orders were not to interfere.  It is said that up to that time the Hindus and Mohomedans alike used to worship in the mosque-temple. Since British  rule a railing has been put up to prevent the disputes, within which in the mosque, the Mahomedans pray, while outside the fence the Hindus have raised a platform on which they make their</w:t>
      </w:r>
      <w:r>
        <w:rPr>
          <w:spacing w:val="-4"/>
          <w:sz w:val="21"/>
        </w:rPr>
        <w:t> </w:t>
      </w:r>
      <w:r>
        <w:rPr>
          <w:sz w:val="21"/>
        </w:rPr>
        <w:t>offerings.‖</w:t>
      </w:r>
    </w:p>
    <w:p>
      <w:pPr>
        <w:pStyle w:val="BodyText"/>
        <w:rPr>
          <w:sz w:val="24"/>
        </w:rPr>
      </w:pPr>
    </w:p>
    <w:p>
      <w:pPr>
        <w:pStyle w:val="BodyText"/>
        <w:spacing w:before="1"/>
      </w:pPr>
    </w:p>
    <w:p>
      <w:pPr>
        <w:pStyle w:val="BodyText"/>
        <w:spacing w:line="480" w:lineRule="auto"/>
        <w:ind w:left="500" w:right="436"/>
        <w:jc w:val="both"/>
      </w:pPr>
      <w:r>
        <w:rPr>
          <w:b/>
        </w:rPr>
        <w:t>Carnegy‘s </w:t>
      </w:r>
      <w:r>
        <w:rPr/>
        <w:t>account is about fifteen years after the incident of violence which resulted in the railing being put up by the British to separate the two communities in their areas of worship. Mr Jilani challenged </w:t>
      </w:r>
      <w:r>
        <w:rPr>
          <w:b/>
        </w:rPr>
        <w:t>Carnegy‘s </w:t>
      </w:r>
      <w:r>
        <w:rPr/>
        <w:t>account insofar as it </w:t>
      </w:r>
      <w:r>
        <w:rPr>
          <w:w w:val="99"/>
        </w:rPr>
        <w:t>refers</w:t>
      </w:r>
      <w:r>
        <w:rPr>
          <w:spacing w:val="2"/>
        </w:rPr>
        <w:t> </w:t>
      </w:r>
      <w:r>
        <w:rPr>
          <w:w w:val="99"/>
        </w:rPr>
        <w:t>to</w:t>
      </w:r>
      <w:r>
        <w:rPr>
          <w:spacing w:val="2"/>
        </w:rPr>
        <w:t> </w:t>
      </w:r>
      <w:r>
        <w:rPr>
          <w:w w:val="99"/>
        </w:rPr>
        <w:t>worship</w:t>
      </w:r>
      <w:r>
        <w:rPr>
          <w:spacing w:val="2"/>
        </w:rPr>
        <w:t> </w:t>
      </w:r>
      <w:r>
        <w:rPr>
          <w:w w:val="99"/>
        </w:rPr>
        <w:t>bo</w:t>
      </w:r>
      <w:r>
        <w:rPr>
          <w:w w:val="99"/>
        </w:rPr>
        <w:t>th</w:t>
      </w:r>
      <w:r>
        <w:rPr/>
        <w:t> </w:t>
      </w:r>
      <w:r>
        <w:rPr>
          <w:spacing w:val="3"/>
          <w:w w:val="99"/>
        </w:rPr>
        <w:t>b</w:t>
      </w:r>
      <w:r>
        <w:rPr>
          <w:w w:val="99"/>
        </w:rPr>
        <w:t>y</w:t>
      </w:r>
      <w:r>
        <w:rPr>
          <w:spacing w:val="2"/>
        </w:rPr>
        <w:t> </w:t>
      </w:r>
      <w:r>
        <w:rPr>
          <w:spacing w:val="-1"/>
          <w:w w:val="99"/>
        </w:rPr>
        <w:t>Hind</w:t>
      </w:r>
      <w:r>
        <w:rPr>
          <w:w w:val="99"/>
        </w:rPr>
        <w:t>us</w:t>
      </w:r>
      <w:r>
        <w:rPr>
          <w:spacing w:val="2"/>
        </w:rPr>
        <w:t> </w:t>
      </w:r>
      <w:r>
        <w:rPr>
          <w:spacing w:val="-1"/>
          <w:w w:val="99"/>
        </w:rPr>
        <w:t>a</w:t>
      </w:r>
      <w:r>
        <w:rPr>
          <w:w w:val="99"/>
        </w:rPr>
        <w:t>nd</w:t>
      </w:r>
      <w:r>
        <w:rPr>
          <w:spacing w:val="5"/>
        </w:rPr>
        <w:t> </w:t>
      </w:r>
      <w:r>
        <w:rPr>
          <w:spacing w:val="-2"/>
          <w:w w:val="99"/>
        </w:rPr>
        <w:t>M</w:t>
      </w:r>
      <w:r>
        <w:rPr>
          <w:spacing w:val="-1"/>
          <w:w w:val="99"/>
        </w:rPr>
        <w:t>usl</w:t>
      </w:r>
      <w:r>
        <w:rPr>
          <w:spacing w:val="2"/>
          <w:w w:val="99"/>
        </w:rPr>
        <w:t>i</w:t>
      </w:r>
      <w:r>
        <w:rPr>
          <w:w w:val="99"/>
        </w:rPr>
        <w:t>ms</w:t>
      </w:r>
      <w:r>
        <w:rPr>
          <w:spacing w:val="2"/>
        </w:rPr>
        <w:t> </w:t>
      </w:r>
      <w:r>
        <w:rPr>
          <w:spacing w:val="-1"/>
          <w:w w:val="99"/>
        </w:rPr>
        <w:t>withi</w:t>
      </w:r>
      <w:r>
        <w:rPr>
          <w:w w:val="99"/>
        </w:rPr>
        <w:t>n</w:t>
      </w:r>
      <w:r>
        <w:rPr>
          <w:spacing w:val="2"/>
        </w:rPr>
        <w:t> </w:t>
      </w:r>
      <w:r>
        <w:rPr>
          <w:w w:val="99"/>
        </w:rPr>
        <w:t>the</w:t>
      </w:r>
      <w:r>
        <w:rPr>
          <w:spacing w:val="2"/>
        </w:rPr>
        <w:t> </w:t>
      </w:r>
      <w:r>
        <w:rPr>
          <w:w w:val="33"/>
        </w:rPr>
        <w:t>―</w:t>
      </w:r>
      <w:r>
        <w:rPr>
          <w:w w:val="99"/>
        </w:rPr>
        <w:t>m</w:t>
      </w:r>
      <w:r>
        <w:rPr>
          <w:spacing w:val="-1"/>
          <w:w w:val="99"/>
        </w:rPr>
        <w:t>os</w:t>
      </w:r>
      <w:r>
        <w:rPr>
          <w:w w:val="99"/>
        </w:rPr>
        <w:t>q</w:t>
      </w:r>
      <w:r>
        <w:rPr>
          <w:spacing w:val="-1"/>
          <w:w w:val="99"/>
        </w:rPr>
        <w:t>u</w:t>
      </w:r>
      <w:r>
        <w:rPr>
          <w:spacing w:val="5"/>
          <w:w w:val="99"/>
        </w:rPr>
        <w:t>e</w:t>
      </w:r>
      <w:r>
        <w:rPr>
          <w:w w:val="99"/>
        </w:rPr>
        <w:t>-te</w:t>
      </w:r>
      <w:r>
        <w:rPr>
          <w:spacing w:val="1"/>
          <w:w w:val="99"/>
        </w:rPr>
        <w:t>m</w:t>
      </w:r>
      <w:r>
        <w:rPr>
          <w:spacing w:val="-1"/>
          <w:w w:val="95"/>
        </w:rPr>
        <w:t>ple</w:t>
      </w:r>
      <w:r>
        <w:rPr>
          <w:w w:val="95"/>
        </w:rPr>
        <w:t>‖</w:t>
      </w:r>
      <w:r>
        <w:rPr>
          <w:spacing w:val="3"/>
        </w:rPr>
        <w:t> </w:t>
      </w:r>
      <w:r>
        <w:rPr>
          <w:spacing w:val="-1"/>
          <w:w w:val="99"/>
        </w:rPr>
        <w:t>p</w:t>
      </w:r>
      <w:r>
        <w:rPr>
          <w:w w:val="99"/>
        </w:rPr>
        <w:t>r</w:t>
      </w:r>
      <w:r>
        <w:rPr>
          <w:spacing w:val="-1"/>
          <w:w w:val="99"/>
        </w:rPr>
        <w:t>io</w:t>
      </w:r>
      <w:r>
        <w:rPr>
          <w:w w:val="99"/>
        </w:rPr>
        <w:t>r</w:t>
      </w:r>
      <w:r>
        <w:rPr>
          <w:spacing w:val="2"/>
        </w:rPr>
        <w:t> </w:t>
      </w:r>
      <w:r>
        <w:rPr>
          <w:w w:val="99"/>
        </w:rPr>
        <w:t>to </w:t>
      </w:r>
      <w:r>
        <w:rPr/>
        <w:t>the incident. </w:t>
      </w:r>
      <w:r>
        <w:rPr>
          <w:b/>
        </w:rPr>
        <w:t>Carnegy </w:t>
      </w:r>
      <w:r>
        <w:rPr/>
        <w:t>is indeed cautious in the above extract when he observes </w:t>
      </w:r>
      <w:r>
        <w:rPr>
          <w:w w:val="99"/>
        </w:rPr>
        <w:t>that</w:t>
      </w:r>
      <w:r>
        <w:rPr>
          <w:spacing w:val="31"/>
        </w:rPr>
        <w:t> </w:t>
      </w:r>
      <w:r>
        <w:rPr>
          <w:w w:val="33"/>
        </w:rPr>
        <w:t>―</w:t>
      </w:r>
      <w:r>
        <w:rPr>
          <w:spacing w:val="-1"/>
          <w:w w:val="99"/>
        </w:rPr>
        <w:t>i</w:t>
      </w:r>
      <w:r>
        <w:rPr>
          <w:w w:val="99"/>
        </w:rPr>
        <w:t>t</w:t>
      </w:r>
      <w:r>
        <w:rPr>
          <w:spacing w:val="31"/>
        </w:rPr>
        <w:t> </w:t>
      </w:r>
      <w:r>
        <w:rPr>
          <w:spacing w:val="-1"/>
          <w:w w:val="99"/>
        </w:rPr>
        <w:t>i</w:t>
      </w:r>
      <w:r>
        <w:rPr>
          <w:w w:val="99"/>
        </w:rPr>
        <w:t>s</w:t>
      </w:r>
      <w:r>
        <w:rPr>
          <w:spacing w:val="30"/>
        </w:rPr>
        <w:t> </w:t>
      </w:r>
      <w:r>
        <w:rPr>
          <w:w w:val="96"/>
        </w:rPr>
        <w:t>said‖</w:t>
      </w:r>
      <w:r>
        <w:rPr>
          <w:spacing w:val="32"/>
        </w:rPr>
        <w:t> </w:t>
      </w:r>
      <w:r>
        <w:rPr>
          <w:w w:val="99"/>
        </w:rPr>
        <w:t>that</w:t>
      </w:r>
      <w:r>
        <w:rPr>
          <w:spacing w:val="31"/>
        </w:rPr>
        <w:t> </w:t>
      </w:r>
      <w:r>
        <w:rPr>
          <w:spacing w:val="2"/>
          <w:w w:val="99"/>
        </w:rPr>
        <w:t>u</w:t>
      </w:r>
      <w:r>
        <w:rPr>
          <w:spacing w:val="-1"/>
          <w:w w:val="99"/>
        </w:rPr>
        <w:t>pt</w:t>
      </w:r>
      <w:r>
        <w:rPr>
          <w:w w:val="99"/>
        </w:rPr>
        <w:t>o</w:t>
      </w:r>
      <w:r>
        <w:rPr>
          <w:spacing w:val="31"/>
        </w:rPr>
        <w:t> </w:t>
      </w:r>
      <w:r>
        <w:rPr>
          <w:w w:val="99"/>
        </w:rPr>
        <w:t>that</w:t>
      </w:r>
      <w:r>
        <w:rPr>
          <w:spacing w:val="31"/>
        </w:rPr>
        <w:t> </w:t>
      </w:r>
      <w:r>
        <w:rPr>
          <w:w w:val="99"/>
        </w:rPr>
        <w:t>tim</w:t>
      </w:r>
      <w:r>
        <w:rPr>
          <w:spacing w:val="-1"/>
          <w:w w:val="99"/>
        </w:rPr>
        <w:t>e</w:t>
      </w:r>
      <w:r>
        <w:rPr>
          <w:w w:val="99"/>
        </w:rPr>
        <w:t>,</w:t>
      </w:r>
      <w:r>
        <w:rPr>
          <w:spacing w:val="34"/>
        </w:rPr>
        <w:t> </w:t>
      </w:r>
      <w:r>
        <w:rPr>
          <w:spacing w:val="-4"/>
          <w:w w:val="99"/>
        </w:rPr>
        <w:t>M</w:t>
      </w:r>
      <w:r>
        <w:rPr>
          <w:spacing w:val="-1"/>
          <w:w w:val="99"/>
        </w:rPr>
        <w:t>us</w:t>
      </w:r>
      <w:r>
        <w:rPr>
          <w:spacing w:val="2"/>
          <w:w w:val="99"/>
        </w:rPr>
        <w:t>l</w:t>
      </w:r>
      <w:r>
        <w:rPr>
          <w:spacing w:val="-1"/>
          <w:w w:val="99"/>
        </w:rPr>
        <w:t>im</w:t>
      </w:r>
      <w:r>
        <w:rPr>
          <w:w w:val="99"/>
        </w:rPr>
        <w:t>s</w:t>
      </w:r>
      <w:r>
        <w:rPr>
          <w:spacing w:val="31"/>
        </w:rPr>
        <w:t> </w:t>
      </w:r>
      <w:r>
        <w:rPr>
          <w:spacing w:val="-1"/>
          <w:w w:val="99"/>
        </w:rPr>
        <w:t>a</w:t>
      </w:r>
      <w:r>
        <w:rPr>
          <w:w w:val="99"/>
        </w:rPr>
        <w:t>nd</w:t>
      </w:r>
      <w:r>
        <w:rPr>
          <w:spacing w:val="31"/>
        </w:rPr>
        <w:t> </w:t>
      </w:r>
      <w:r>
        <w:rPr>
          <w:spacing w:val="-1"/>
          <w:w w:val="99"/>
        </w:rPr>
        <w:t>Hind</w:t>
      </w:r>
      <w:r>
        <w:rPr>
          <w:w w:val="99"/>
        </w:rPr>
        <w:t>us</w:t>
      </w:r>
      <w:r>
        <w:rPr>
          <w:spacing w:val="31"/>
        </w:rPr>
        <w:t> </w:t>
      </w:r>
      <w:r>
        <w:rPr>
          <w:spacing w:val="-1"/>
          <w:w w:val="99"/>
        </w:rPr>
        <w:t>a</w:t>
      </w:r>
      <w:r>
        <w:rPr>
          <w:spacing w:val="2"/>
          <w:w w:val="99"/>
        </w:rPr>
        <w:t>l</w:t>
      </w:r>
      <w:r>
        <w:rPr>
          <w:spacing w:val="-1"/>
          <w:w w:val="99"/>
        </w:rPr>
        <w:t>ik</w:t>
      </w:r>
      <w:r>
        <w:rPr>
          <w:w w:val="99"/>
        </w:rPr>
        <w:t>e</w:t>
      </w:r>
      <w:r>
        <w:rPr>
          <w:spacing w:val="31"/>
        </w:rPr>
        <w:t> </w:t>
      </w:r>
      <w:r>
        <w:rPr>
          <w:spacing w:val="2"/>
          <w:w w:val="99"/>
        </w:rPr>
        <w:t>p</w:t>
      </w:r>
      <w:r>
        <w:rPr>
          <w:w w:val="99"/>
        </w:rPr>
        <w:t>r</w:t>
      </w:r>
      <w:r>
        <w:rPr>
          <w:spacing w:val="-1"/>
          <w:w w:val="99"/>
        </w:rPr>
        <w:t>a</w:t>
      </w:r>
      <w:r>
        <w:rPr>
          <w:spacing w:val="-3"/>
          <w:w w:val="99"/>
        </w:rPr>
        <w:t>y</w:t>
      </w:r>
      <w:r>
        <w:rPr>
          <w:spacing w:val="-1"/>
          <w:w w:val="99"/>
        </w:rPr>
        <w:t>e</w:t>
      </w:r>
      <w:r>
        <w:rPr>
          <w:w w:val="99"/>
        </w:rPr>
        <w:t>d</w:t>
      </w:r>
      <w:r>
        <w:rPr>
          <w:spacing w:val="31"/>
        </w:rPr>
        <w:t> </w:t>
      </w:r>
      <w:r>
        <w:rPr>
          <w:spacing w:val="-1"/>
          <w:w w:val="99"/>
        </w:rPr>
        <w:t>insid</w:t>
      </w:r>
      <w:r>
        <w:rPr>
          <w:w w:val="99"/>
        </w:rPr>
        <w:t>e</w:t>
      </w:r>
      <w:r>
        <w:rPr>
          <w:spacing w:val="34"/>
        </w:rPr>
        <w:t> </w:t>
      </w:r>
      <w:r>
        <w:rPr>
          <w:w w:val="99"/>
        </w:rPr>
        <w:t>the </w:t>
      </w:r>
      <w:r>
        <w:rPr/>
        <w:t>mosque. But the account indicates something on which there is no dispute namely, that the railing came up after the incident as a barrier which would separate the two communities in the conduct of religious worship – Muslims in  the inner courtyard and the Hindus in the outer courtyard. Significantly, </w:t>
      </w:r>
      <w:r>
        <w:rPr>
          <w:b/>
        </w:rPr>
        <w:t>Carnegy‘s </w:t>
      </w:r>
      <w:r>
        <w:rPr/>
        <w:t>account links the construction of the platform by the Hindus to the construction of the railing outside the mosque. According to his account, the Hindus would have set up the platform outside the railing, faced with the exclusion caused from the erstwhile mode of worship as a result of the construction of the railing. As will be explored subsequently, the platform was constructed in close-proximity to the railing from where worship was offered and offerings were made to what the Hindus believe to be the birth-place of Lord Ram.</w:t>
      </w:r>
    </w:p>
    <w:p>
      <w:pPr>
        <w:spacing w:after="0" w:line="480" w:lineRule="auto"/>
        <w:jc w:val="both"/>
        <w:sectPr>
          <w:pgSz w:w="11910" w:h="16840"/>
          <w:pgMar w:header="721" w:footer="1014" w:top="1300" w:bottom="1200" w:left="940" w:right="1000"/>
        </w:sectPr>
      </w:pPr>
    </w:p>
    <w:p>
      <w:pPr>
        <w:pStyle w:val="ListParagraph"/>
        <w:numPr>
          <w:ilvl w:val="0"/>
          <w:numId w:val="166"/>
        </w:numPr>
        <w:tabs>
          <w:tab w:pos="1221" w:val="left" w:leader="none"/>
        </w:tabs>
        <w:spacing w:line="240" w:lineRule="auto" w:before="121" w:after="0"/>
        <w:ind w:left="1220" w:right="0" w:hanging="721"/>
        <w:jc w:val="both"/>
        <w:rPr>
          <w:sz w:val="25"/>
        </w:rPr>
      </w:pPr>
      <w:r>
        <w:rPr>
          <w:w w:val="99"/>
          <w:sz w:val="25"/>
        </w:rPr>
        <w:t>T</w:t>
      </w:r>
      <w:r>
        <w:rPr>
          <w:w w:val="99"/>
          <w:sz w:val="25"/>
        </w:rPr>
        <w:t>he</w:t>
      </w:r>
      <w:r>
        <w:rPr>
          <w:spacing w:val="3"/>
          <w:sz w:val="25"/>
        </w:rPr>
        <w:t> </w:t>
      </w:r>
      <w:r>
        <w:rPr>
          <w:b/>
          <w:w w:val="99"/>
          <w:sz w:val="25"/>
        </w:rPr>
        <w:t>I</w:t>
      </w:r>
      <w:r>
        <w:rPr>
          <w:b/>
          <w:spacing w:val="-1"/>
          <w:w w:val="99"/>
          <w:sz w:val="25"/>
        </w:rPr>
        <w:t>m</w:t>
      </w:r>
      <w:r>
        <w:rPr>
          <w:b/>
          <w:w w:val="99"/>
          <w:sz w:val="25"/>
        </w:rPr>
        <w:t>p</w:t>
      </w:r>
      <w:r>
        <w:rPr>
          <w:b/>
          <w:w w:val="99"/>
          <w:sz w:val="25"/>
        </w:rPr>
        <w:t>erial</w:t>
      </w:r>
      <w:r>
        <w:rPr>
          <w:b/>
          <w:spacing w:val="2"/>
          <w:sz w:val="25"/>
        </w:rPr>
        <w:t> </w:t>
      </w:r>
      <w:r>
        <w:rPr>
          <w:b/>
          <w:w w:val="99"/>
          <w:sz w:val="25"/>
        </w:rPr>
        <w:t>Gaze</w:t>
      </w:r>
      <w:r>
        <w:rPr>
          <w:b/>
          <w:w w:val="99"/>
          <w:sz w:val="25"/>
        </w:rPr>
        <w:t>tt</w:t>
      </w:r>
      <w:r>
        <w:rPr>
          <w:b/>
          <w:w w:val="99"/>
          <w:sz w:val="25"/>
        </w:rPr>
        <w:t>ee</w:t>
      </w:r>
      <w:r>
        <w:rPr>
          <w:b/>
          <w:w w:val="99"/>
          <w:sz w:val="25"/>
        </w:rPr>
        <w:t>r</w:t>
      </w:r>
      <w:r>
        <w:rPr>
          <w:b/>
          <w:spacing w:val="1"/>
          <w:sz w:val="25"/>
        </w:rPr>
        <w:t> </w:t>
      </w:r>
      <w:r>
        <w:rPr>
          <w:b/>
          <w:w w:val="99"/>
          <w:sz w:val="25"/>
        </w:rPr>
        <w:t>of</w:t>
      </w:r>
      <w:r>
        <w:rPr>
          <w:b/>
          <w:spacing w:val="2"/>
          <w:sz w:val="25"/>
        </w:rPr>
        <w:t> </w:t>
      </w:r>
      <w:r>
        <w:rPr>
          <w:b/>
          <w:w w:val="99"/>
          <w:sz w:val="25"/>
        </w:rPr>
        <w:t>I</w:t>
      </w:r>
      <w:r>
        <w:rPr>
          <w:b/>
          <w:spacing w:val="1"/>
          <w:w w:val="99"/>
          <w:sz w:val="25"/>
        </w:rPr>
        <w:t>n</w:t>
      </w:r>
      <w:r>
        <w:rPr>
          <w:b/>
          <w:w w:val="99"/>
          <w:sz w:val="25"/>
        </w:rPr>
        <w:t>d</w:t>
      </w:r>
      <w:r>
        <w:rPr>
          <w:b/>
          <w:w w:val="99"/>
          <w:sz w:val="25"/>
        </w:rPr>
        <w:t>ia</w:t>
      </w:r>
      <w:r>
        <w:rPr>
          <w:b/>
          <w:spacing w:val="2"/>
          <w:sz w:val="25"/>
        </w:rPr>
        <w:t> </w:t>
      </w:r>
      <w:r>
        <w:rPr>
          <w:b/>
          <w:w w:val="99"/>
          <w:sz w:val="25"/>
        </w:rPr>
        <w:t>(</w:t>
      </w:r>
      <w:r>
        <w:rPr>
          <w:b/>
          <w:w w:val="99"/>
          <w:sz w:val="25"/>
        </w:rPr>
        <w:t>1908</w:t>
      </w:r>
      <w:r>
        <w:rPr>
          <w:b/>
          <w:w w:val="99"/>
          <w:sz w:val="25"/>
        </w:rPr>
        <w:t>)</w:t>
      </w:r>
      <w:r>
        <w:rPr>
          <w:b/>
          <w:spacing w:val="9"/>
          <w:sz w:val="25"/>
        </w:rPr>
        <w:t> </w:t>
      </w:r>
      <w:r>
        <w:rPr>
          <w:w w:val="99"/>
          <w:sz w:val="25"/>
        </w:rPr>
        <w:t>r</w:t>
      </w:r>
      <w:r>
        <w:rPr>
          <w:spacing w:val="-1"/>
          <w:w w:val="99"/>
          <w:sz w:val="25"/>
        </w:rPr>
        <w:t>e</w:t>
      </w:r>
      <w:r>
        <w:rPr>
          <w:spacing w:val="-2"/>
          <w:w w:val="99"/>
          <w:sz w:val="25"/>
        </w:rPr>
        <w:t>f</w:t>
      </w:r>
      <w:r>
        <w:rPr>
          <w:spacing w:val="-1"/>
          <w:w w:val="99"/>
          <w:sz w:val="25"/>
        </w:rPr>
        <w:t>e</w:t>
      </w:r>
      <w:r>
        <w:rPr>
          <w:w w:val="99"/>
          <w:sz w:val="25"/>
        </w:rPr>
        <w:t>rs</w:t>
      </w:r>
      <w:r>
        <w:rPr>
          <w:spacing w:val="2"/>
          <w:sz w:val="25"/>
        </w:rPr>
        <w:t> </w:t>
      </w:r>
      <w:r>
        <w:rPr>
          <w:w w:val="99"/>
          <w:sz w:val="25"/>
        </w:rPr>
        <w:t>to</w:t>
      </w:r>
      <w:r>
        <w:rPr>
          <w:spacing w:val="3"/>
          <w:sz w:val="25"/>
        </w:rPr>
        <w:t> </w:t>
      </w:r>
      <w:r>
        <w:rPr>
          <w:w w:val="99"/>
          <w:sz w:val="25"/>
        </w:rPr>
        <w:t>a</w:t>
      </w:r>
      <w:r>
        <w:rPr>
          <w:spacing w:val="2"/>
          <w:sz w:val="25"/>
        </w:rPr>
        <w:t> </w:t>
      </w:r>
      <w:r>
        <w:rPr>
          <w:w w:val="33"/>
          <w:sz w:val="25"/>
        </w:rPr>
        <w:t>―</w:t>
      </w:r>
      <w:r>
        <w:rPr>
          <w:spacing w:val="-3"/>
          <w:w w:val="99"/>
          <w:sz w:val="25"/>
        </w:rPr>
        <w:t>v</w:t>
      </w:r>
      <w:r>
        <w:rPr>
          <w:spacing w:val="-1"/>
          <w:w w:val="99"/>
          <w:sz w:val="25"/>
        </w:rPr>
        <w:t>as</w:t>
      </w:r>
      <w:r>
        <w:rPr>
          <w:w w:val="99"/>
          <w:sz w:val="25"/>
        </w:rPr>
        <w:t>t</w:t>
      </w:r>
      <w:r>
        <w:rPr>
          <w:spacing w:val="2"/>
          <w:sz w:val="25"/>
        </w:rPr>
        <w:t> </w:t>
      </w:r>
      <w:r>
        <w:rPr>
          <w:w w:val="99"/>
          <w:sz w:val="25"/>
        </w:rPr>
        <w:t>m</w:t>
      </w:r>
      <w:r>
        <w:rPr>
          <w:spacing w:val="-1"/>
          <w:w w:val="99"/>
          <w:sz w:val="25"/>
        </w:rPr>
        <w:t>o</w:t>
      </w:r>
      <w:r>
        <w:rPr>
          <w:w w:val="99"/>
          <w:sz w:val="25"/>
        </w:rPr>
        <w:t>u</w:t>
      </w:r>
      <w:r>
        <w:rPr>
          <w:spacing w:val="-1"/>
          <w:w w:val="99"/>
          <w:sz w:val="25"/>
        </w:rPr>
        <w:t>n</w:t>
      </w:r>
      <w:r>
        <w:rPr>
          <w:w w:val="99"/>
          <w:sz w:val="25"/>
        </w:rPr>
        <w:t>d</w:t>
      </w:r>
      <w:r>
        <w:rPr>
          <w:w w:val="80"/>
          <w:sz w:val="25"/>
        </w:rPr>
        <w:t>‖</w:t>
      </w:r>
      <w:r>
        <w:rPr>
          <w:spacing w:val="5"/>
          <w:sz w:val="25"/>
        </w:rPr>
        <w:t> </w:t>
      </w:r>
      <w:r>
        <w:rPr>
          <w:w w:val="99"/>
          <w:sz w:val="25"/>
        </w:rPr>
        <w:t>kno</w:t>
      </w:r>
      <w:r>
        <w:rPr>
          <w:spacing w:val="-1"/>
          <w:w w:val="99"/>
          <w:sz w:val="25"/>
        </w:rPr>
        <w:t>w</w:t>
      </w:r>
      <w:r>
        <w:rPr>
          <w:w w:val="99"/>
          <w:sz w:val="25"/>
        </w:rPr>
        <w:t>n</w:t>
      </w:r>
      <w:r>
        <w:rPr>
          <w:spacing w:val="2"/>
          <w:sz w:val="25"/>
        </w:rPr>
        <w:t> </w:t>
      </w:r>
      <w:r>
        <w:rPr>
          <w:spacing w:val="-1"/>
          <w:w w:val="99"/>
          <w:sz w:val="25"/>
        </w:rPr>
        <w:t>as</w:t>
      </w:r>
    </w:p>
    <w:p>
      <w:pPr>
        <w:pStyle w:val="BodyText"/>
        <w:spacing w:before="3"/>
      </w:pPr>
    </w:p>
    <w:p>
      <w:pPr>
        <w:pStyle w:val="BodyText"/>
        <w:spacing w:line="480" w:lineRule="auto" w:before="1"/>
        <w:ind w:left="500" w:right="432"/>
        <w:jc w:val="both"/>
      </w:pPr>
      <w:r>
        <w:rPr>
          <w:w w:val="33"/>
        </w:rPr>
        <w:t>―</w:t>
      </w:r>
      <w:r>
        <w:rPr>
          <w:spacing w:val="-1"/>
          <w:w w:val="99"/>
        </w:rPr>
        <w:t>Ra</w:t>
      </w:r>
      <w:r>
        <w:rPr>
          <w:w w:val="99"/>
        </w:rPr>
        <w:t>mkot,</w:t>
      </w:r>
      <w:r>
        <w:rPr>
          <w:spacing w:val="19"/>
        </w:rPr>
        <w:t> </w:t>
      </w:r>
      <w:r>
        <w:rPr>
          <w:spacing w:val="-1"/>
          <w:w w:val="99"/>
        </w:rPr>
        <w:t>o</w:t>
      </w:r>
      <w:r>
        <w:rPr>
          <w:w w:val="99"/>
        </w:rPr>
        <w:t>r</w:t>
      </w:r>
      <w:r>
        <w:rPr>
          <w:spacing w:val="20"/>
        </w:rPr>
        <w:t> </w:t>
      </w:r>
      <w:r>
        <w:rPr>
          <w:w w:val="99"/>
        </w:rPr>
        <w:t>t</w:t>
      </w:r>
      <w:r>
        <w:rPr>
          <w:spacing w:val="-2"/>
          <w:w w:val="99"/>
        </w:rPr>
        <w:t>h</w:t>
      </w:r>
      <w:r>
        <w:rPr>
          <w:w w:val="99"/>
        </w:rPr>
        <w:t>e</w:t>
      </w:r>
      <w:r>
        <w:rPr>
          <w:spacing w:val="19"/>
        </w:rPr>
        <w:t> </w:t>
      </w:r>
      <w:r>
        <w:rPr>
          <w:w w:val="99"/>
        </w:rPr>
        <w:t>fo</w:t>
      </w:r>
      <w:r>
        <w:rPr>
          <w:spacing w:val="1"/>
          <w:w w:val="99"/>
        </w:rPr>
        <w:t>r</w:t>
      </w:r>
      <w:r>
        <w:rPr>
          <w:w w:val="99"/>
        </w:rPr>
        <w:t>t</w:t>
      </w:r>
      <w:r>
        <w:rPr>
          <w:spacing w:val="16"/>
        </w:rPr>
        <w:t> </w:t>
      </w:r>
      <w:r>
        <w:rPr>
          <w:spacing w:val="-3"/>
          <w:w w:val="99"/>
        </w:rPr>
        <w:t>o</w:t>
      </w:r>
      <w:r>
        <w:rPr>
          <w:w w:val="99"/>
        </w:rPr>
        <w:t>f</w:t>
      </w:r>
      <w:r>
        <w:rPr>
          <w:spacing w:val="19"/>
        </w:rPr>
        <w:t> </w:t>
      </w:r>
      <w:r>
        <w:rPr>
          <w:spacing w:val="-1"/>
          <w:w w:val="99"/>
        </w:rPr>
        <w:t>Ra</w:t>
      </w:r>
      <w:r>
        <w:rPr>
          <w:w w:val="99"/>
        </w:rPr>
        <w:t>m</w:t>
      </w:r>
      <w:r>
        <w:rPr>
          <w:spacing w:val="-1"/>
          <w:w w:val="91"/>
        </w:rPr>
        <w:t>a</w:t>
      </w:r>
      <w:r>
        <w:rPr>
          <w:w w:val="91"/>
        </w:rPr>
        <w:t>‖</w:t>
      </w:r>
      <w:r>
        <w:rPr>
          <w:spacing w:val="20"/>
        </w:rPr>
        <w:t> </w:t>
      </w:r>
      <w:r>
        <w:rPr>
          <w:spacing w:val="-1"/>
          <w:w w:val="99"/>
        </w:rPr>
        <w:t>a</w:t>
      </w:r>
      <w:r>
        <w:rPr>
          <w:w w:val="99"/>
        </w:rPr>
        <w:t>nd</w:t>
      </w:r>
      <w:r>
        <w:rPr>
          <w:spacing w:val="19"/>
        </w:rPr>
        <w:t> </w:t>
      </w:r>
      <w:r>
        <w:rPr>
          <w:spacing w:val="-3"/>
          <w:w w:val="99"/>
        </w:rPr>
        <w:t>t</w:t>
      </w:r>
      <w:r>
        <w:rPr>
          <w:spacing w:val="-1"/>
          <w:w w:val="99"/>
        </w:rPr>
        <w:t>h</w:t>
      </w:r>
      <w:r>
        <w:rPr>
          <w:w w:val="99"/>
        </w:rPr>
        <w:t>e</w:t>
      </w:r>
      <w:r>
        <w:rPr>
          <w:spacing w:val="19"/>
        </w:rPr>
        <w:t> </w:t>
      </w:r>
      <w:r>
        <w:rPr>
          <w:spacing w:val="-1"/>
          <w:w w:val="99"/>
        </w:rPr>
        <w:t>e</w:t>
      </w:r>
      <w:r>
        <w:rPr>
          <w:spacing w:val="-3"/>
          <w:w w:val="99"/>
        </w:rPr>
        <w:t>x</w:t>
      </w:r>
      <w:r>
        <w:rPr>
          <w:spacing w:val="-1"/>
          <w:w w:val="99"/>
        </w:rPr>
        <w:t>iste</w:t>
      </w:r>
      <w:r>
        <w:rPr>
          <w:w w:val="99"/>
        </w:rPr>
        <w:t>nce</w:t>
      </w:r>
      <w:r>
        <w:rPr>
          <w:spacing w:val="19"/>
        </w:rPr>
        <w:t> </w:t>
      </w:r>
      <w:r>
        <w:rPr>
          <w:spacing w:val="-1"/>
          <w:w w:val="99"/>
        </w:rPr>
        <w:t>a</w:t>
      </w:r>
      <w:r>
        <w:rPr>
          <w:w w:val="99"/>
        </w:rPr>
        <w:t>t</w:t>
      </w:r>
      <w:r>
        <w:rPr>
          <w:spacing w:val="19"/>
        </w:rPr>
        <w:t> </w:t>
      </w:r>
      <w:r>
        <w:rPr>
          <w:w w:val="99"/>
        </w:rPr>
        <w:t>a</w:t>
      </w:r>
      <w:r>
        <w:rPr>
          <w:spacing w:val="19"/>
        </w:rPr>
        <w:t> </w:t>
      </w:r>
      <w:r>
        <w:rPr>
          <w:w w:val="99"/>
        </w:rPr>
        <w:t>co</w:t>
      </w:r>
      <w:r>
        <w:rPr>
          <w:spacing w:val="1"/>
          <w:w w:val="99"/>
        </w:rPr>
        <w:t>r</w:t>
      </w:r>
      <w:r>
        <w:rPr>
          <w:spacing w:val="-1"/>
          <w:w w:val="99"/>
        </w:rPr>
        <w:t>n</w:t>
      </w:r>
      <w:r>
        <w:rPr>
          <w:spacing w:val="-2"/>
          <w:w w:val="99"/>
        </w:rPr>
        <w:t>e</w:t>
      </w:r>
      <w:r>
        <w:rPr>
          <w:w w:val="99"/>
        </w:rPr>
        <w:t>r</w:t>
      </w:r>
      <w:r>
        <w:rPr>
          <w:spacing w:val="19"/>
        </w:rPr>
        <w:t> </w:t>
      </w:r>
      <w:r>
        <w:rPr>
          <w:spacing w:val="-1"/>
          <w:w w:val="99"/>
        </w:rPr>
        <w:t>o</w:t>
      </w:r>
      <w:r>
        <w:rPr>
          <w:w w:val="99"/>
        </w:rPr>
        <w:t>f</w:t>
      </w:r>
      <w:r>
        <w:rPr>
          <w:spacing w:val="19"/>
        </w:rPr>
        <w:t> </w:t>
      </w:r>
      <w:r>
        <w:rPr>
          <w:spacing w:val="-3"/>
          <w:w w:val="99"/>
        </w:rPr>
        <w:t>w</w:t>
      </w:r>
      <w:r>
        <w:rPr>
          <w:spacing w:val="-1"/>
          <w:w w:val="99"/>
        </w:rPr>
        <w:t>hic</w:t>
      </w:r>
      <w:r>
        <w:rPr>
          <w:w w:val="99"/>
        </w:rPr>
        <w:t>h</w:t>
      </w:r>
      <w:r>
        <w:rPr>
          <w:spacing w:val="19"/>
        </w:rPr>
        <w:t> </w:t>
      </w:r>
      <w:r>
        <w:rPr>
          <w:spacing w:val="-1"/>
          <w:w w:val="99"/>
        </w:rPr>
        <w:t>i</w:t>
      </w:r>
      <w:r>
        <w:rPr>
          <w:w w:val="99"/>
        </w:rPr>
        <w:t>s</w:t>
      </w:r>
      <w:r>
        <w:rPr>
          <w:spacing w:val="18"/>
        </w:rPr>
        <w:t> </w:t>
      </w:r>
      <w:r>
        <w:rPr>
          <w:w w:val="99"/>
        </w:rPr>
        <w:t>the</w:t>
      </w:r>
      <w:r>
        <w:rPr>
          <w:spacing w:val="19"/>
        </w:rPr>
        <w:t> </w:t>
      </w:r>
      <w:r>
        <w:rPr>
          <w:spacing w:val="-1"/>
          <w:w w:val="99"/>
        </w:rPr>
        <w:t>h</w:t>
      </w:r>
      <w:r>
        <w:rPr>
          <w:w w:val="99"/>
        </w:rPr>
        <w:t>o</w:t>
      </w:r>
      <w:r>
        <w:rPr>
          <w:spacing w:val="-1"/>
          <w:w w:val="99"/>
        </w:rPr>
        <w:t>ly </w:t>
      </w:r>
      <w:r>
        <w:rPr/>
        <w:t>spot where Lord Ram was born. The gazetteer records that most of the enclosure is occupied by a mosque built by Babur from the remains of an old temple. It </w:t>
      </w:r>
      <w:r>
        <w:rPr>
          <w:w w:val="99"/>
        </w:rPr>
        <w:t>r</w:t>
      </w:r>
      <w:r>
        <w:rPr>
          <w:spacing w:val="-1"/>
          <w:w w:val="99"/>
        </w:rPr>
        <w:t>ef</w:t>
      </w:r>
      <w:r>
        <w:rPr>
          <w:w w:val="99"/>
        </w:rPr>
        <w:t>ers</w:t>
      </w:r>
      <w:r>
        <w:rPr/>
        <w:t> </w:t>
      </w:r>
      <w:r>
        <w:rPr>
          <w:spacing w:val="-32"/>
        </w:rPr>
        <w:t> </w:t>
      </w:r>
      <w:r>
        <w:rPr>
          <w:w w:val="99"/>
        </w:rPr>
        <w:t>the</w:t>
      </w:r>
      <w:r>
        <w:rPr/>
        <w:t> </w:t>
      </w:r>
      <w:r>
        <w:rPr>
          <w:spacing w:val="-31"/>
        </w:rPr>
        <w:t> </w:t>
      </w:r>
      <w:r>
        <w:rPr>
          <w:spacing w:val="-1"/>
          <w:w w:val="99"/>
        </w:rPr>
        <w:t>e</w:t>
      </w:r>
      <w:r>
        <w:rPr>
          <w:spacing w:val="-3"/>
          <w:w w:val="99"/>
        </w:rPr>
        <w:t>x</w:t>
      </w:r>
      <w:r>
        <w:rPr>
          <w:spacing w:val="-1"/>
          <w:w w:val="99"/>
        </w:rPr>
        <w:t>iste</w:t>
      </w:r>
      <w:r>
        <w:rPr>
          <w:w w:val="99"/>
        </w:rPr>
        <w:t>nce</w:t>
      </w:r>
      <w:r>
        <w:rPr/>
        <w:t> </w:t>
      </w:r>
      <w:r>
        <w:rPr>
          <w:spacing w:val="-29"/>
        </w:rPr>
        <w:t> </w:t>
      </w:r>
      <w:r>
        <w:rPr>
          <w:spacing w:val="-1"/>
          <w:w w:val="99"/>
        </w:rPr>
        <w:t>o</w:t>
      </w:r>
      <w:r>
        <w:rPr>
          <w:w w:val="99"/>
        </w:rPr>
        <w:t>f</w:t>
      </w:r>
      <w:r>
        <w:rPr/>
        <w:t> </w:t>
      </w:r>
      <w:r>
        <w:rPr>
          <w:spacing w:val="-31"/>
        </w:rPr>
        <w:t> </w:t>
      </w:r>
      <w:r>
        <w:rPr>
          <w:spacing w:val="-1"/>
          <w:w w:val="99"/>
        </w:rPr>
        <w:t>Ra</w:t>
      </w:r>
      <w:r>
        <w:rPr>
          <w:w w:val="99"/>
        </w:rPr>
        <w:t>mcha</w:t>
      </w:r>
      <w:r>
        <w:rPr>
          <w:spacing w:val="-1"/>
          <w:w w:val="99"/>
        </w:rPr>
        <w:t>b</w:t>
      </w:r>
      <w:r>
        <w:rPr>
          <w:w w:val="99"/>
        </w:rPr>
        <w:t>utra</w:t>
      </w:r>
      <w:r>
        <w:rPr/>
        <w:t> </w:t>
      </w:r>
      <w:r>
        <w:rPr>
          <w:spacing w:val="-31"/>
        </w:rPr>
        <w:t> </w:t>
      </w:r>
      <w:r>
        <w:rPr>
          <w:spacing w:val="-1"/>
          <w:w w:val="99"/>
        </w:rPr>
        <w:t>i</w:t>
      </w:r>
      <w:r>
        <w:rPr>
          <w:w w:val="99"/>
        </w:rPr>
        <w:t>n</w:t>
      </w:r>
      <w:r>
        <w:rPr/>
        <w:t> </w:t>
      </w:r>
      <w:r>
        <w:rPr>
          <w:spacing w:val="-31"/>
        </w:rPr>
        <w:t> </w:t>
      </w:r>
      <w:r>
        <w:rPr>
          <w:w w:val="99"/>
        </w:rPr>
        <w:t>the</w:t>
      </w:r>
      <w:r>
        <w:rPr/>
        <w:t> </w:t>
      </w:r>
      <w:r>
        <w:rPr>
          <w:spacing w:val="-31"/>
        </w:rPr>
        <w:t> </w:t>
      </w:r>
      <w:r>
        <w:rPr>
          <w:spacing w:val="-1"/>
          <w:w w:val="99"/>
        </w:rPr>
        <w:t>o</w:t>
      </w:r>
      <w:r>
        <w:rPr>
          <w:w w:val="99"/>
        </w:rPr>
        <w:t>uter</w:t>
      </w:r>
      <w:r>
        <w:rPr/>
        <w:t> </w:t>
      </w:r>
      <w:r>
        <w:rPr>
          <w:spacing w:val="-30"/>
        </w:rPr>
        <w:t> </w:t>
      </w:r>
      <w:r>
        <w:rPr>
          <w:spacing w:val="-1"/>
          <w:w w:val="99"/>
        </w:rPr>
        <w:t>p</w:t>
      </w:r>
      <w:r>
        <w:rPr>
          <w:w w:val="99"/>
        </w:rPr>
        <w:t>ortion</w:t>
      </w:r>
      <w:r>
        <w:rPr/>
        <w:t> </w:t>
      </w:r>
      <w:r>
        <w:rPr>
          <w:spacing w:val="-31"/>
        </w:rPr>
        <w:t> </w:t>
      </w:r>
      <w:r>
        <w:rPr>
          <w:w w:val="99"/>
        </w:rPr>
        <w:t>that</w:t>
      </w:r>
      <w:r>
        <w:rPr/>
        <w:t> </w:t>
      </w:r>
      <w:r>
        <w:rPr>
          <w:spacing w:val="-31"/>
        </w:rPr>
        <w:t> </w:t>
      </w:r>
      <w:r>
        <w:rPr>
          <w:spacing w:val="-2"/>
          <w:w w:val="33"/>
        </w:rPr>
        <w:t>―</w:t>
      </w:r>
      <w:r>
        <w:rPr>
          <w:w w:val="99"/>
        </w:rPr>
        <w:t>m</w:t>
      </w:r>
      <w:r>
        <w:rPr>
          <w:spacing w:val="-1"/>
          <w:w w:val="99"/>
        </w:rPr>
        <w:t>a</w:t>
      </w:r>
      <w:r>
        <w:rPr>
          <w:w w:val="99"/>
        </w:rPr>
        <w:t>rks</w:t>
      </w:r>
      <w:r>
        <w:rPr/>
        <w:t> </w:t>
      </w:r>
      <w:r>
        <w:rPr>
          <w:spacing w:val="-32"/>
        </w:rPr>
        <w:t> </w:t>
      </w:r>
      <w:r>
        <w:rPr>
          <w:w w:val="99"/>
        </w:rPr>
        <w:t>the</w:t>
      </w:r>
      <w:r>
        <w:rPr/>
        <w:t> </w:t>
      </w:r>
      <w:r>
        <w:rPr>
          <w:spacing w:val="-31"/>
        </w:rPr>
        <w:t> </w:t>
      </w:r>
      <w:r>
        <w:rPr>
          <w:spacing w:val="-1"/>
          <w:w w:val="99"/>
        </w:rPr>
        <w:t>bi</w:t>
      </w:r>
      <w:r>
        <w:rPr>
          <w:w w:val="99"/>
        </w:rPr>
        <w:t>rt</w:t>
      </w:r>
      <w:r>
        <w:rPr>
          <w:spacing w:val="9"/>
          <w:w w:val="99"/>
        </w:rPr>
        <w:t>h</w:t>
      </w:r>
      <w:r>
        <w:rPr>
          <w:w w:val="99"/>
        </w:rPr>
        <w:t>- </w:t>
      </w:r>
      <w:r>
        <w:rPr/>
        <w:t>place‖ of Lord Ram. The gazetteer notices the presence of Sita Rasoi in close- proximity.</w:t>
      </w:r>
    </w:p>
    <w:p>
      <w:pPr>
        <w:pStyle w:val="BodyText"/>
        <w:spacing w:before="6"/>
        <w:rPr>
          <w:sz w:val="38"/>
        </w:rPr>
      </w:pPr>
    </w:p>
    <w:p>
      <w:pPr>
        <w:pStyle w:val="ListParagraph"/>
        <w:numPr>
          <w:ilvl w:val="0"/>
          <w:numId w:val="166"/>
        </w:numPr>
        <w:tabs>
          <w:tab w:pos="1221" w:val="left" w:leader="none"/>
        </w:tabs>
        <w:spacing w:line="480" w:lineRule="auto" w:before="0" w:after="0"/>
        <w:ind w:left="500" w:right="433" w:firstLine="0"/>
        <w:jc w:val="both"/>
        <w:rPr>
          <w:sz w:val="25"/>
        </w:rPr>
      </w:pPr>
      <w:r>
        <w:rPr>
          <w:sz w:val="25"/>
        </w:rPr>
        <w:t>The </w:t>
      </w:r>
      <w:r>
        <w:rPr>
          <w:b/>
          <w:sz w:val="25"/>
        </w:rPr>
        <w:t>District Gazetteer of Faizabad, (1960)</w:t>
      </w:r>
      <w:r>
        <w:rPr>
          <w:sz w:val="25"/>
          <w:vertAlign w:val="superscript"/>
        </w:rPr>
        <w:t>309</w:t>
      </w:r>
      <w:r>
        <w:rPr>
          <w:sz w:val="25"/>
          <w:vertAlign w:val="baseline"/>
        </w:rPr>
        <w:t> attributes to Chandragupta </w:t>
      </w:r>
      <w:r>
        <w:rPr>
          <w:w w:val="99"/>
          <w:sz w:val="25"/>
          <w:vertAlign w:val="baseline"/>
        </w:rPr>
        <w:t>I</w:t>
      </w:r>
      <w:r>
        <w:rPr>
          <w:spacing w:val="2"/>
          <w:sz w:val="25"/>
          <w:vertAlign w:val="baseline"/>
        </w:rPr>
        <w:t> </w:t>
      </w:r>
      <w:r>
        <w:rPr>
          <w:w w:val="99"/>
          <w:sz w:val="25"/>
          <w:vertAlign w:val="baseline"/>
        </w:rPr>
        <w:t>the</w:t>
      </w:r>
      <w:r>
        <w:rPr>
          <w:spacing w:val="2"/>
          <w:sz w:val="25"/>
          <w:vertAlign w:val="baseline"/>
        </w:rPr>
        <w:t> </w:t>
      </w:r>
      <w:r>
        <w:rPr>
          <w:w w:val="99"/>
          <w:sz w:val="25"/>
          <w:vertAlign w:val="baseline"/>
        </w:rPr>
        <w:t>stat</w:t>
      </w:r>
      <w:r>
        <w:rPr>
          <w:spacing w:val="-1"/>
          <w:w w:val="99"/>
          <w:sz w:val="25"/>
          <w:vertAlign w:val="baseline"/>
        </w:rPr>
        <w:t>u</w:t>
      </w:r>
      <w:r>
        <w:rPr>
          <w:w w:val="99"/>
          <w:sz w:val="25"/>
          <w:vertAlign w:val="baseline"/>
        </w:rPr>
        <w:t>s</w:t>
      </w:r>
      <w:r>
        <w:rPr>
          <w:sz w:val="25"/>
          <w:vertAlign w:val="baseline"/>
        </w:rPr>
        <w:t> </w:t>
      </w:r>
      <w:r>
        <w:rPr>
          <w:spacing w:val="-1"/>
          <w:w w:val="99"/>
          <w:sz w:val="25"/>
          <w:vertAlign w:val="baseline"/>
        </w:rPr>
        <w:t>o</w:t>
      </w:r>
      <w:r>
        <w:rPr>
          <w:w w:val="99"/>
          <w:sz w:val="25"/>
          <w:vertAlign w:val="baseline"/>
        </w:rPr>
        <w:t>f</w:t>
      </w:r>
      <w:r>
        <w:rPr>
          <w:spacing w:val="2"/>
          <w:sz w:val="25"/>
          <w:vertAlign w:val="baseline"/>
        </w:rPr>
        <w:t> </w:t>
      </w:r>
      <w:r>
        <w:rPr>
          <w:spacing w:val="-1"/>
          <w:w w:val="99"/>
          <w:sz w:val="25"/>
          <w:vertAlign w:val="baseline"/>
        </w:rPr>
        <w:t>b</w:t>
      </w:r>
      <w:r>
        <w:rPr>
          <w:w w:val="99"/>
          <w:sz w:val="25"/>
          <w:vertAlign w:val="baseline"/>
        </w:rPr>
        <w:t>e</w:t>
      </w:r>
      <w:r>
        <w:rPr>
          <w:spacing w:val="-1"/>
          <w:w w:val="99"/>
          <w:sz w:val="25"/>
          <w:vertAlign w:val="baseline"/>
        </w:rPr>
        <w:t>in</w:t>
      </w:r>
      <w:r>
        <w:rPr>
          <w:w w:val="99"/>
          <w:sz w:val="25"/>
          <w:vertAlign w:val="baseline"/>
        </w:rPr>
        <w:t>g</w:t>
      </w:r>
      <w:r>
        <w:rPr>
          <w:sz w:val="25"/>
          <w:vertAlign w:val="baseline"/>
        </w:rPr>
        <w:t> </w:t>
      </w:r>
      <w:r>
        <w:rPr>
          <w:spacing w:val="-3"/>
          <w:w w:val="99"/>
          <w:sz w:val="25"/>
          <w:vertAlign w:val="baseline"/>
        </w:rPr>
        <w:t>t</w:t>
      </w:r>
      <w:r>
        <w:rPr>
          <w:spacing w:val="-1"/>
          <w:w w:val="99"/>
          <w:sz w:val="25"/>
          <w:vertAlign w:val="baseline"/>
        </w:rPr>
        <w:t>h</w:t>
      </w:r>
      <w:r>
        <w:rPr>
          <w:w w:val="99"/>
          <w:sz w:val="25"/>
          <w:vertAlign w:val="baseline"/>
        </w:rPr>
        <w:t>e</w:t>
      </w:r>
      <w:r>
        <w:rPr>
          <w:spacing w:val="2"/>
          <w:sz w:val="25"/>
          <w:vertAlign w:val="baseline"/>
        </w:rPr>
        <w:t> </w:t>
      </w:r>
      <w:r>
        <w:rPr>
          <w:w w:val="99"/>
          <w:sz w:val="25"/>
          <w:vertAlign w:val="baseline"/>
        </w:rPr>
        <w:t>r</w:t>
      </w:r>
      <w:r>
        <w:rPr>
          <w:spacing w:val="-1"/>
          <w:w w:val="99"/>
          <w:sz w:val="25"/>
          <w:vertAlign w:val="baseline"/>
        </w:rPr>
        <w:t>e</w:t>
      </w:r>
      <w:r>
        <w:rPr>
          <w:w w:val="99"/>
          <w:sz w:val="25"/>
          <w:vertAlign w:val="baseline"/>
        </w:rPr>
        <w:t>al</w:t>
      </w:r>
      <w:r>
        <w:rPr>
          <w:spacing w:val="2"/>
          <w:sz w:val="25"/>
          <w:vertAlign w:val="baseline"/>
        </w:rPr>
        <w:t> </w:t>
      </w:r>
      <w:r>
        <w:rPr>
          <w:w w:val="99"/>
          <w:sz w:val="25"/>
          <w:vertAlign w:val="baseline"/>
        </w:rPr>
        <w:t>f</w:t>
      </w:r>
      <w:r>
        <w:rPr>
          <w:spacing w:val="-2"/>
          <w:w w:val="99"/>
          <w:sz w:val="25"/>
          <w:vertAlign w:val="baseline"/>
        </w:rPr>
        <w:t>o</w:t>
      </w:r>
      <w:r>
        <w:rPr>
          <w:spacing w:val="-1"/>
          <w:w w:val="99"/>
          <w:sz w:val="25"/>
          <w:vertAlign w:val="baseline"/>
        </w:rPr>
        <w:t>u</w:t>
      </w:r>
      <w:r>
        <w:rPr>
          <w:w w:val="99"/>
          <w:sz w:val="25"/>
          <w:vertAlign w:val="baseline"/>
        </w:rPr>
        <w:t>n</w:t>
      </w:r>
      <w:r>
        <w:rPr>
          <w:spacing w:val="-1"/>
          <w:w w:val="99"/>
          <w:sz w:val="25"/>
          <w:vertAlign w:val="baseline"/>
        </w:rPr>
        <w:t>d</w:t>
      </w:r>
      <w:r>
        <w:rPr>
          <w:w w:val="99"/>
          <w:sz w:val="25"/>
          <w:vertAlign w:val="baseline"/>
        </w:rPr>
        <w:t>er</w:t>
      </w:r>
      <w:r>
        <w:rPr>
          <w:sz w:val="25"/>
          <w:vertAlign w:val="baseline"/>
        </w:rPr>
        <w:t> </w:t>
      </w:r>
      <w:r>
        <w:rPr>
          <w:spacing w:val="-1"/>
          <w:w w:val="99"/>
          <w:sz w:val="25"/>
          <w:vertAlign w:val="baseline"/>
        </w:rPr>
        <w:t>o</w:t>
      </w:r>
      <w:r>
        <w:rPr>
          <w:w w:val="99"/>
          <w:sz w:val="25"/>
          <w:vertAlign w:val="baseline"/>
        </w:rPr>
        <w:t>f</w:t>
      </w:r>
      <w:r>
        <w:rPr>
          <w:spacing w:val="2"/>
          <w:sz w:val="25"/>
          <w:vertAlign w:val="baseline"/>
        </w:rPr>
        <w:t> </w:t>
      </w:r>
      <w:r>
        <w:rPr>
          <w:w w:val="99"/>
          <w:sz w:val="25"/>
          <w:vertAlign w:val="baseline"/>
        </w:rPr>
        <w:t>the</w:t>
      </w:r>
      <w:r>
        <w:rPr>
          <w:spacing w:val="-2"/>
          <w:sz w:val="25"/>
          <w:vertAlign w:val="baseline"/>
        </w:rPr>
        <w:t> </w:t>
      </w:r>
      <w:r>
        <w:rPr>
          <w:w w:val="99"/>
          <w:sz w:val="25"/>
          <w:vertAlign w:val="baseline"/>
        </w:rPr>
        <w:t>king</w:t>
      </w:r>
      <w:r>
        <w:rPr>
          <w:spacing w:val="-1"/>
          <w:w w:val="99"/>
          <w:sz w:val="25"/>
          <w:vertAlign w:val="baseline"/>
        </w:rPr>
        <w:t>d</w:t>
      </w:r>
      <w:r>
        <w:rPr>
          <w:w w:val="99"/>
          <w:sz w:val="25"/>
          <w:vertAlign w:val="baseline"/>
        </w:rPr>
        <w:t>om</w:t>
      </w:r>
      <w:r>
        <w:rPr>
          <w:spacing w:val="2"/>
          <w:sz w:val="25"/>
          <w:vertAlign w:val="baseline"/>
        </w:rPr>
        <w:t> </w:t>
      </w:r>
      <w:r>
        <w:rPr>
          <w:w w:val="33"/>
          <w:sz w:val="25"/>
          <w:vertAlign w:val="baseline"/>
        </w:rPr>
        <w:t>―</w:t>
      </w:r>
      <w:r>
        <w:rPr>
          <w:spacing w:val="-1"/>
          <w:w w:val="99"/>
          <w:sz w:val="25"/>
          <w:vertAlign w:val="baseline"/>
        </w:rPr>
        <w:t>whic</w:t>
      </w:r>
      <w:r>
        <w:rPr>
          <w:w w:val="99"/>
          <w:sz w:val="25"/>
          <w:vertAlign w:val="baseline"/>
        </w:rPr>
        <w:t>h</w:t>
      </w:r>
      <w:r>
        <w:rPr>
          <w:spacing w:val="2"/>
          <w:sz w:val="25"/>
          <w:vertAlign w:val="baseline"/>
        </w:rPr>
        <w:t> </w:t>
      </w:r>
      <w:r>
        <w:rPr>
          <w:spacing w:val="-1"/>
          <w:w w:val="99"/>
          <w:sz w:val="25"/>
          <w:vertAlign w:val="baseline"/>
        </w:rPr>
        <w:t>e</w:t>
      </w:r>
      <w:r>
        <w:rPr>
          <w:spacing w:val="-3"/>
          <w:w w:val="99"/>
          <w:sz w:val="25"/>
          <w:vertAlign w:val="baseline"/>
        </w:rPr>
        <w:t>x</w:t>
      </w:r>
      <w:r>
        <w:rPr>
          <w:w w:val="99"/>
          <w:sz w:val="25"/>
          <w:vertAlign w:val="baseline"/>
        </w:rPr>
        <w:t>ten</w:t>
      </w:r>
      <w:r>
        <w:rPr>
          <w:spacing w:val="-1"/>
          <w:w w:val="99"/>
          <w:sz w:val="25"/>
          <w:vertAlign w:val="baseline"/>
        </w:rPr>
        <w:t>d</w:t>
      </w:r>
      <w:r>
        <w:rPr>
          <w:w w:val="99"/>
          <w:sz w:val="25"/>
          <w:vertAlign w:val="baseline"/>
        </w:rPr>
        <w:t>ed</w:t>
      </w:r>
      <w:r>
        <w:rPr>
          <w:spacing w:val="2"/>
          <w:sz w:val="25"/>
          <w:vertAlign w:val="baseline"/>
        </w:rPr>
        <w:t> </w:t>
      </w:r>
      <w:r>
        <w:rPr>
          <w:spacing w:val="-1"/>
          <w:w w:val="99"/>
          <w:sz w:val="25"/>
          <w:vertAlign w:val="baseline"/>
        </w:rPr>
        <w:t>u</w:t>
      </w:r>
      <w:r>
        <w:rPr>
          <w:w w:val="99"/>
          <w:sz w:val="25"/>
          <w:vertAlign w:val="baseline"/>
        </w:rPr>
        <w:t>pto</w:t>
      </w:r>
      <w:r>
        <w:rPr>
          <w:spacing w:val="3"/>
          <w:sz w:val="25"/>
          <w:vertAlign w:val="baseline"/>
        </w:rPr>
        <w:t> </w:t>
      </w:r>
      <w:r>
        <w:rPr>
          <w:spacing w:val="-1"/>
          <w:w w:val="99"/>
          <w:sz w:val="25"/>
          <w:vertAlign w:val="baseline"/>
        </w:rPr>
        <w:t>Sak</w:t>
      </w:r>
      <w:r>
        <w:rPr>
          <w:w w:val="99"/>
          <w:sz w:val="25"/>
          <w:vertAlign w:val="baseline"/>
        </w:rPr>
        <w:t>eta </w:t>
      </w:r>
      <w:r>
        <w:rPr>
          <w:sz w:val="25"/>
          <w:vertAlign w:val="baseline"/>
        </w:rPr>
        <w:t>(Awadh) and Prayaga (Allahabad)‖. The credit for restoration of Ayodhya is attributed to Vikramaditya of Ujjain identified as Chandragupta II. The gazetteer notes that the Chinese pilgrim Hiuen Tsang (630-644 A.D.) passed through Oudh </w:t>
      </w:r>
      <w:r>
        <w:rPr>
          <w:spacing w:val="-1"/>
          <w:w w:val="99"/>
          <w:sz w:val="25"/>
          <w:vertAlign w:val="baseline"/>
        </w:rPr>
        <w:t>a</w:t>
      </w:r>
      <w:r>
        <w:rPr>
          <w:w w:val="99"/>
          <w:sz w:val="25"/>
          <w:vertAlign w:val="baseline"/>
        </w:rPr>
        <w:t>nd</w:t>
      </w:r>
      <w:r>
        <w:rPr>
          <w:sz w:val="25"/>
          <w:vertAlign w:val="baseline"/>
        </w:rPr>
        <w:t> </w:t>
      </w:r>
      <w:r>
        <w:rPr>
          <w:spacing w:val="-19"/>
          <w:sz w:val="25"/>
          <w:vertAlign w:val="baseline"/>
        </w:rPr>
        <w:t> </w:t>
      </w:r>
      <w:r>
        <w:rPr>
          <w:w w:val="99"/>
          <w:sz w:val="25"/>
          <w:vertAlign w:val="baseline"/>
        </w:rPr>
        <w:t>r</w:t>
      </w:r>
      <w:r>
        <w:rPr>
          <w:spacing w:val="-1"/>
          <w:w w:val="99"/>
          <w:sz w:val="25"/>
          <w:vertAlign w:val="baseline"/>
        </w:rPr>
        <w:t>ef</w:t>
      </w:r>
      <w:r>
        <w:rPr>
          <w:w w:val="99"/>
          <w:sz w:val="25"/>
          <w:vertAlign w:val="baseline"/>
        </w:rPr>
        <w:t>err</w:t>
      </w:r>
      <w:r>
        <w:rPr>
          <w:spacing w:val="-1"/>
          <w:w w:val="99"/>
          <w:sz w:val="25"/>
          <w:vertAlign w:val="baseline"/>
        </w:rPr>
        <w:t>e</w:t>
      </w:r>
      <w:r>
        <w:rPr>
          <w:w w:val="99"/>
          <w:sz w:val="25"/>
          <w:vertAlign w:val="baseline"/>
        </w:rPr>
        <w:t>d</w:t>
      </w:r>
      <w:r>
        <w:rPr>
          <w:sz w:val="25"/>
          <w:vertAlign w:val="baseline"/>
        </w:rPr>
        <w:t> </w:t>
      </w:r>
      <w:r>
        <w:rPr>
          <w:spacing w:val="-19"/>
          <w:sz w:val="25"/>
          <w:vertAlign w:val="baseline"/>
        </w:rPr>
        <w:t> </w:t>
      </w:r>
      <w:r>
        <w:rPr>
          <w:w w:val="99"/>
          <w:sz w:val="25"/>
          <w:vertAlign w:val="baseline"/>
        </w:rPr>
        <w:t>to</w:t>
      </w:r>
      <w:r>
        <w:rPr>
          <w:sz w:val="25"/>
          <w:vertAlign w:val="baseline"/>
        </w:rPr>
        <w:t> </w:t>
      </w:r>
      <w:r>
        <w:rPr>
          <w:spacing w:val="-19"/>
          <w:sz w:val="25"/>
          <w:vertAlign w:val="baseline"/>
        </w:rPr>
        <w:t> </w:t>
      </w:r>
      <w:r>
        <w:rPr>
          <w:w w:val="99"/>
          <w:sz w:val="25"/>
          <w:vertAlign w:val="baseline"/>
        </w:rPr>
        <w:t>the</w:t>
      </w:r>
      <w:r>
        <w:rPr>
          <w:sz w:val="25"/>
          <w:vertAlign w:val="baseline"/>
        </w:rPr>
        <w:t> </w:t>
      </w:r>
      <w:r>
        <w:rPr>
          <w:spacing w:val="-21"/>
          <w:sz w:val="25"/>
          <w:vertAlign w:val="baseline"/>
        </w:rPr>
        <w:t> </w:t>
      </w:r>
      <w:r>
        <w:rPr>
          <w:spacing w:val="-1"/>
          <w:w w:val="99"/>
          <w:sz w:val="25"/>
          <w:vertAlign w:val="baseline"/>
        </w:rPr>
        <w:t>e</w:t>
      </w:r>
      <w:r>
        <w:rPr>
          <w:spacing w:val="-3"/>
          <w:w w:val="99"/>
          <w:sz w:val="25"/>
          <w:vertAlign w:val="baseline"/>
        </w:rPr>
        <w:t>x</w:t>
      </w:r>
      <w:r>
        <w:rPr>
          <w:spacing w:val="-1"/>
          <w:w w:val="99"/>
          <w:sz w:val="25"/>
          <w:vertAlign w:val="baseline"/>
        </w:rPr>
        <w:t>iste</w:t>
      </w:r>
      <w:r>
        <w:rPr>
          <w:w w:val="99"/>
          <w:sz w:val="25"/>
          <w:vertAlign w:val="baseline"/>
        </w:rPr>
        <w:t>nce</w:t>
      </w:r>
      <w:r>
        <w:rPr>
          <w:sz w:val="25"/>
          <w:vertAlign w:val="baseline"/>
        </w:rPr>
        <w:t> </w:t>
      </w:r>
      <w:r>
        <w:rPr>
          <w:spacing w:val="-19"/>
          <w:sz w:val="25"/>
          <w:vertAlign w:val="baseline"/>
        </w:rPr>
        <w:t> </w:t>
      </w:r>
      <w:r>
        <w:rPr>
          <w:spacing w:val="-1"/>
          <w:w w:val="99"/>
          <w:sz w:val="25"/>
          <w:vertAlign w:val="baseline"/>
        </w:rPr>
        <w:t>o</w:t>
      </w:r>
      <w:r>
        <w:rPr>
          <w:w w:val="99"/>
          <w:sz w:val="25"/>
          <w:vertAlign w:val="baseline"/>
        </w:rPr>
        <w:t>f</w:t>
      </w:r>
      <w:r>
        <w:rPr>
          <w:sz w:val="25"/>
          <w:vertAlign w:val="baseline"/>
        </w:rPr>
        <w:t> </w:t>
      </w:r>
      <w:r>
        <w:rPr>
          <w:spacing w:val="-19"/>
          <w:sz w:val="25"/>
          <w:vertAlign w:val="baseline"/>
        </w:rPr>
        <w:t> </w:t>
      </w:r>
      <w:r>
        <w:rPr>
          <w:w w:val="33"/>
          <w:sz w:val="25"/>
          <w:vertAlign w:val="baseline"/>
        </w:rPr>
        <w:t>―</w:t>
      </w:r>
      <w:r>
        <w:rPr>
          <w:spacing w:val="-1"/>
          <w:w w:val="99"/>
          <w:sz w:val="25"/>
          <w:vertAlign w:val="baseline"/>
        </w:rPr>
        <w:t>1</w:t>
      </w:r>
      <w:r>
        <w:rPr>
          <w:w w:val="99"/>
          <w:sz w:val="25"/>
          <w:vertAlign w:val="baseline"/>
        </w:rPr>
        <w:t>00</w:t>
      </w:r>
      <w:r>
        <w:rPr>
          <w:sz w:val="25"/>
          <w:vertAlign w:val="baseline"/>
        </w:rPr>
        <w:t> </w:t>
      </w:r>
      <w:r>
        <w:rPr>
          <w:spacing w:val="-17"/>
          <w:sz w:val="25"/>
          <w:vertAlign w:val="baseline"/>
        </w:rPr>
        <w:t> </w:t>
      </w:r>
      <w:r>
        <w:rPr>
          <w:spacing w:val="-1"/>
          <w:w w:val="99"/>
          <w:sz w:val="25"/>
          <w:vertAlign w:val="baseline"/>
        </w:rPr>
        <w:t>B</w:t>
      </w:r>
      <w:r>
        <w:rPr>
          <w:spacing w:val="2"/>
          <w:w w:val="99"/>
          <w:sz w:val="25"/>
          <w:vertAlign w:val="baseline"/>
        </w:rPr>
        <w:t>u</w:t>
      </w:r>
      <w:r>
        <w:rPr>
          <w:spacing w:val="-1"/>
          <w:w w:val="99"/>
          <w:sz w:val="25"/>
          <w:vertAlign w:val="baseline"/>
        </w:rPr>
        <w:t>d</w:t>
      </w:r>
      <w:r>
        <w:rPr>
          <w:w w:val="99"/>
          <w:sz w:val="25"/>
          <w:vertAlign w:val="baseline"/>
        </w:rPr>
        <w:t>d</w:t>
      </w:r>
      <w:r>
        <w:rPr>
          <w:spacing w:val="-1"/>
          <w:w w:val="99"/>
          <w:sz w:val="25"/>
          <w:vertAlign w:val="baseline"/>
        </w:rPr>
        <w:t>his</w:t>
      </w:r>
      <w:r>
        <w:rPr>
          <w:w w:val="99"/>
          <w:sz w:val="25"/>
          <w:vertAlign w:val="baseline"/>
        </w:rPr>
        <w:t>t</w:t>
      </w:r>
      <w:r>
        <w:rPr>
          <w:sz w:val="25"/>
          <w:vertAlign w:val="baseline"/>
        </w:rPr>
        <w:t> </w:t>
      </w:r>
      <w:r>
        <w:rPr>
          <w:spacing w:val="-19"/>
          <w:sz w:val="25"/>
          <w:vertAlign w:val="baseline"/>
        </w:rPr>
        <w:t> </w:t>
      </w:r>
      <w:r>
        <w:rPr>
          <w:w w:val="99"/>
          <w:sz w:val="25"/>
          <w:vertAlign w:val="baseline"/>
        </w:rPr>
        <w:t>m</w:t>
      </w:r>
      <w:r>
        <w:rPr>
          <w:spacing w:val="-1"/>
          <w:w w:val="99"/>
          <w:sz w:val="25"/>
          <w:vertAlign w:val="baseline"/>
        </w:rPr>
        <w:t>o</w:t>
      </w:r>
      <w:r>
        <w:rPr>
          <w:w w:val="99"/>
          <w:sz w:val="25"/>
          <w:vertAlign w:val="baseline"/>
        </w:rPr>
        <w:t>n</w:t>
      </w:r>
      <w:r>
        <w:rPr>
          <w:spacing w:val="-1"/>
          <w:w w:val="99"/>
          <w:sz w:val="25"/>
          <w:vertAlign w:val="baseline"/>
        </w:rPr>
        <w:t>ast</w:t>
      </w:r>
      <w:r>
        <w:rPr>
          <w:w w:val="99"/>
          <w:sz w:val="25"/>
          <w:vertAlign w:val="baseline"/>
        </w:rPr>
        <w:t>er</w:t>
      </w:r>
      <w:r>
        <w:rPr>
          <w:spacing w:val="-1"/>
          <w:w w:val="99"/>
          <w:sz w:val="25"/>
          <w:vertAlign w:val="baseline"/>
        </w:rPr>
        <w:t>ies</w:t>
      </w:r>
      <w:r>
        <w:rPr>
          <w:w w:val="99"/>
          <w:sz w:val="25"/>
          <w:vertAlign w:val="baseline"/>
        </w:rPr>
        <w:t>,</w:t>
      </w:r>
      <w:r>
        <w:rPr>
          <w:sz w:val="25"/>
          <w:vertAlign w:val="baseline"/>
        </w:rPr>
        <w:t> </w:t>
      </w:r>
      <w:r>
        <w:rPr>
          <w:spacing w:val="-19"/>
          <w:sz w:val="25"/>
          <w:vertAlign w:val="baseline"/>
        </w:rPr>
        <w:t> </w:t>
      </w:r>
      <w:r>
        <w:rPr>
          <w:w w:val="99"/>
          <w:sz w:val="25"/>
          <w:vertAlign w:val="baseline"/>
        </w:rPr>
        <w:t>m</w:t>
      </w:r>
      <w:r>
        <w:rPr>
          <w:spacing w:val="-1"/>
          <w:w w:val="99"/>
          <w:sz w:val="25"/>
          <w:vertAlign w:val="baseline"/>
        </w:rPr>
        <w:t>o</w:t>
      </w:r>
      <w:r>
        <w:rPr>
          <w:w w:val="99"/>
          <w:sz w:val="25"/>
          <w:vertAlign w:val="baseline"/>
        </w:rPr>
        <w:t>re</w:t>
      </w:r>
      <w:r>
        <w:rPr>
          <w:sz w:val="25"/>
          <w:vertAlign w:val="baseline"/>
        </w:rPr>
        <w:t> </w:t>
      </w:r>
      <w:r>
        <w:rPr>
          <w:spacing w:val="-19"/>
          <w:sz w:val="25"/>
          <w:vertAlign w:val="baseline"/>
        </w:rPr>
        <w:t> </w:t>
      </w:r>
      <w:r>
        <w:rPr>
          <w:w w:val="99"/>
          <w:sz w:val="25"/>
          <w:vertAlign w:val="baseline"/>
        </w:rPr>
        <w:t>than</w:t>
      </w:r>
      <w:r>
        <w:rPr>
          <w:sz w:val="25"/>
          <w:vertAlign w:val="baseline"/>
        </w:rPr>
        <w:t> </w:t>
      </w:r>
      <w:r>
        <w:rPr>
          <w:spacing w:val="-19"/>
          <w:sz w:val="25"/>
          <w:vertAlign w:val="baseline"/>
        </w:rPr>
        <w:t> </w:t>
      </w:r>
      <w:r>
        <w:rPr>
          <w:spacing w:val="-1"/>
          <w:w w:val="99"/>
          <w:sz w:val="25"/>
          <w:vertAlign w:val="baseline"/>
        </w:rPr>
        <w:t>3,</w:t>
      </w:r>
      <w:r>
        <w:rPr>
          <w:w w:val="99"/>
          <w:sz w:val="25"/>
          <w:vertAlign w:val="baseline"/>
        </w:rPr>
        <w:t>0</w:t>
      </w:r>
      <w:r>
        <w:rPr>
          <w:spacing w:val="-1"/>
          <w:w w:val="99"/>
          <w:sz w:val="25"/>
          <w:vertAlign w:val="baseline"/>
        </w:rPr>
        <w:t>00 </w:t>
      </w:r>
      <w:r>
        <w:rPr>
          <w:sz w:val="25"/>
          <w:vertAlign w:val="baseline"/>
        </w:rPr>
        <w:t>Mahayani and Hinayani monks and only ten deva (non-Buddhist god) temples, the non-Buddhist being but few in number‖. According to the gazetteer, most of the area represented by the beliefs of the Hindus, to be the birth-place of Lord Ram is occupied by the mosque. The claim by the gazetteer is that the mosque was constructed on the remains of an old temple. It notices that in the outer portion, a small platform and shrine marked the</w:t>
      </w:r>
      <w:r>
        <w:rPr>
          <w:spacing w:val="-8"/>
          <w:sz w:val="25"/>
          <w:vertAlign w:val="baseline"/>
        </w:rPr>
        <w:t> </w:t>
      </w:r>
      <w:r>
        <w:rPr>
          <w:sz w:val="25"/>
          <w:vertAlign w:val="baseline"/>
        </w:rPr>
        <w:t>birth-place.</w:t>
      </w:r>
    </w:p>
    <w:p>
      <w:pPr>
        <w:pStyle w:val="BodyText"/>
        <w:spacing w:before="4"/>
        <w:rPr>
          <w:sz w:val="39"/>
        </w:rPr>
      </w:pPr>
    </w:p>
    <w:p>
      <w:pPr>
        <w:pStyle w:val="ListParagraph"/>
        <w:numPr>
          <w:ilvl w:val="0"/>
          <w:numId w:val="166"/>
        </w:numPr>
        <w:tabs>
          <w:tab w:pos="1221" w:val="left" w:leader="none"/>
        </w:tabs>
        <w:spacing w:line="480" w:lineRule="auto" w:before="1" w:after="0"/>
        <w:ind w:left="500" w:right="441" w:firstLine="0"/>
        <w:jc w:val="both"/>
        <w:rPr>
          <w:sz w:val="25"/>
        </w:rPr>
      </w:pPr>
      <w:r>
        <w:rPr>
          <w:sz w:val="25"/>
        </w:rPr>
        <w:t>On his analysis of the gazetteereers and travelogues during the course of the submissions, Mr Jilani formulated the following</w:t>
      </w:r>
      <w:r>
        <w:rPr>
          <w:spacing w:val="-4"/>
          <w:sz w:val="25"/>
        </w:rPr>
        <w:t> </w:t>
      </w:r>
      <w:r>
        <w:rPr>
          <w:sz w:val="25"/>
        </w:rPr>
        <w:t>propositions:</w:t>
      </w:r>
    </w:p>
    <w:p>
      <w:pPr>
        <w:pStyle w:val="BodyText"/>
        <w:rPr>
          <w:sz w:val="20"/>
        </w:rPr>
      </w:pPr>
    </w:p>
    <w:p>
      <w:pPr>
        <w:pStyle w:val="BodyText"/>
        <w:spacing w:before="4"/>
        <w:rPr>
          <w:sz w:val="16"/>
        </w:rPr>
      </w:pPr>
      <w:r>
        <w:rPr/>
        <w:pict>
          <v:rect style="position:absolute;margin-left:72.024002pt;margin-top:11.389424pt;width:144.020pt;height:.599980pt;mso-position-horizontal-relative:page;mso-position-vertical-relative:paragraph;z-index:-1563904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309</w:t>
      </w:r>
      <w:r>
        <w:rPr>
          <w:sz w:val="18"/>
          <w:vertAlign w:val="baseline"/>
        </w:rPr>
        <w:t> U.P. District Gazetteer Faizabad by Smt. Isha Basant Joshi. (1960 Edition)</w:t>
      </w:r>
    </w:p>
    <w:p>
      <w:pPr>
        <w:spacing w:after="0"/>
        <w:jc w:val="left"/>
        <w:rPr>
          <w:sz w:val="18"/>
        </w:rPr>
        <w:sectPr>
          <w:pgSz w:w="11910" w:h="16840"/>
          <w:pgMar w:header="721" w:footer="1014" w:top="1300" w:bottom="1200" w:left="940" w:right="1000"/>
        </w:sectPr>
      </w:pPr>
    </w:p>
    <w:p>
      <w:pPr>
        <w:pStyle w:val="ListParagraph"/>
        <w:numPr>
          <w:ilvl w:val="0"/>
          <w:numId w:val="185"/>
        </w:numPr>
        <w:tabs>
          <w:tab w:pos="1221" w:val="left" w:leader="none"/>
        </w:tabs>
        <w:spacing w:line="480" w:lineRule="auto" w:before="124" w:after="0"/>
        <w:ind w:left="1220" w:right="390" w:hanging="720"/>
        <w:jc w:val="both"/>
        <w:rPr>
          <w:sz w:val="25"/>
        </w:rPr>
      </w:pPr>
      <w:r>
        <w:rPr>
          <w:sz w:val="25"/>
        </w:rPr>
        <w:t>For the period dating from the construction of the mosque in 1528 until 1949, there is no evidence to establish the belief of the Hindus that the place of birth of Lord Ram was below the middle dome of the</w:t>
      </w:r>
      <w:r>
        <w:rPr>
          <w:spacing w:val="-11"/>
          <w:sz w:val="25"/>
        </w:rPr>
        <w:t> </w:t>
      </w:r>
      <w:r>
        <w:rPr>
          <w:sz w:val="25"/>
        </w:rPr>
        <w:t>mosque;</w:t>
      </w:r>
    </w:p>
    <w:p>
      <w:pPr>
        <w:pStyle w:val="ListParagraph"/>
        <w:numPr>
          <w:ilvl w:val="0"/>
          <w:numId w:val="185"/>
        </w:numPr>
        <w:tabs>
          <w:tab w:pos="1221" w:val="left" w:leader="none"/>
        </w:tabs>
        <w:spacing w:line="480" w:lineRule="auto" w:before="0" w:after="0"/>
        <w:ind w:left="1220" w:right="395" w:hanging="720"/>
        <w:jc w:val="both"/>
        <w:rPr>
          <w:sz w:val="25"/>
        </w:rPr>
      </w:pPr>
      <w:r>
        <w:rPr>
          <w:sz w:val="25"/>
        </w:rPr>
        <w:t>There is no evidence to show continuity of Hindu worship inside the mosque onwards from</w:t>
      </w:r>
      <w:r>
        <w:rPr>
          <w:spacing w:val="-2"/>
          <w:sz w:val="25"/>
        </w:rPr>
        <w:t> </w:t>
      </w:r>
      <w:r>
        <w:rPr>
          <w:sz w:val="25"/>
        </w:rPr>
        <w:t>1828;</w:t>
      </w:r>
    </w:p>
    <w:p>
      <w:pPr>
        <w:pStyle w:val="ListParagraph"/>
        <w:numPr>
          <w:ilvl w:val="0"/>
          <w:numId w:val="185"/>
        </w:numPr>
        <w:tabs>
          <w:tab w:pos="1220" w:val="left" w:leader="none"/>
          <w:tab w:pos="1221" w:val="left" w:leader="none"/>
        </w:tabs>
        <w:spacing w:line="287" w:lineRule="exact" w:before="0" w:after="0"/>
        <w:ind w:left="1220" w:right="0" w:hanging="721"/>
        <w:jc w:val="left"/>
        <w:rPr>
          <w:sz w:val="25"/>
        </w:rPr>
      </w:pPr>
      <w:r>
        <w:rPr>
          <w:sz w:val="25"/>
        </w:rPr>
        <w:t>Ramchabutra is the birth-place of Lord</w:t>
      </w:r>
      <w:r>
        <w:rPr>
          <w:spacing w:val="-5"/>
          <w:sz w:val="25"/>
        </w:rPr>
        <w:t> </w:t>
      </w:r>
      <w:r>
        <w:rPr>
          <w:sz w:val="25"/>
        </w:rPr>
        <w:t>Ram;</w:t>
      </w:r>
    </w:p>
    <w:p>
      <w:pPr>
        <w:pStyle w:val="BodyText"/>
        <w:spacing w:before="11"/>
        <w:rPr>
          <w:sz w:val="24"/>
        </w:rPr>
      </w:pPr>
    </w:p>
    <w:p>
      <w:pPr>
        <w:pStyle w:val="ListParagraph"/>
        <w:numPr>
          <w:ilvl w:val="0"/>
          <w:numId w:val="185"/>
        </w:numPr>
        <w:tabs>
          <w:tab w:pos="1221" w:val="left" w:leader="none"/>
        </w:tabs>
        <w:spacing w:line="480" w:lineRule="auto" w:before="0" w:after="0"/>
        <w:ind w:left="1220" w:right="392" w:hanging="720"/>
        <w:jc w:val="both"/>
        <w:rPr>
          <w:sz w:val="25"/>
        </w:rPr>
      </w:pPr>
      <w:r>
        <w:rPr>
          <w:sz w:val="25"/>
        </w:rPr>
        <w:t>Ramchabutra as the birth-place is corroborated by the fact that in the Suit of 1885, the plaintiff sought no prayer with respect to the inner</w:t>
      </w:r>
      <w:r>
        <w:rPr>
          <w:spacing w:val="-17"/>
          <w:sz w:val="25"/>
        </w:rPr>
        <w:t> </w:t>
      </w:r>
      <w:r>
        <w:rPr>
          <w:sz w:val="25"/>
        </w:rPr>
        <w:t>courtyard;</w:t>
      </w:r>
    </w:p>
    <w:p>
      <w:pPr>
        <w:pStyle w:val="ListParagraph"/>
        <w:numPr>
          <w:ilvl w:val="0"/>
          <w:numId w:val="185"/>
        </w:numPr>
        <w:tabs>
          <w:tab w:pos="1221" w:val="left" w:leader="none"/>
        </w:tabs>
        <w:spacing w:line="480" w:lineRule="auto" w:before="2" w:after="0"/>
        <w:ind w:left="1220" w:right="384" w:hanging="720"/>
        <w:jc w:val="both"/>
        <w:rPr>
          <w:sz w:val="25"/>
        </w:rPr>
      </w:pPr>
      <w:r>
        <w:rPr>
          <w:sz w:val="25"/>
        </w:rPr>
        <w:t>It was only in Suit 5 of 1989 that the concept of a Janmasthan was introduced prior to which the belief that the central dome was the birth- place of Lord Ram did not exist;</w:t>
      </w:r>
      <w:r>
        <w:rPr>
          <w:spacing w:val="-6"/>
          <w:sz w:val="25"/>
        </w:rPr>
        <w:t> </w:t>
      </w:r>
      <w:r>
        <w:rPr>
          <w:sz w:val="25"/>
        </w:rPr>
        <w:t>and</w:t>
      </w:r>
    </w:p>
    <w:p>
      <w:pPr>
        <w:pStyle w:val="ListParagraph"/>
        <w:numPr>
          <w:ilvl w:val="0"/>
          <w:numId w:val="185"/>
        </w:numPr>
        <w:tabs>
          <w:tab w:pos="1221" w:val="left" w:leader="none"/>
        </w:tabs>
        <w:spacing w:line="482" w:lineRule="auto" w:before="0" w:after="0"/>
        <w:ind w:left="1220" w:right="386" w:hanging="720"/>
        <w:jc w:val="both"/>
        <w:rPr>
          <w:sz w:val="25"/>
        </w:rPr>
      </w:pPr>
      <w:r>
        <w:rPr>
          <w:sz w:val="25"/>
        </w:rPr>
        <w:t>The theory of the middle dome marking the birth-place of Lord Ram only comes from the statements of witnesses in Suit</w:t>
      </w:r>
      <w:r>
        <w:rPr>
          <w:spacing w:val="-8"/>
          <w:sz w:val="25"/>
        </w:rPr>
        <w:t> </w:t>
      </w:r>
      <w:r>
        <w:rPr>
          <w:sz w:val="25"/>
        </w:rPr>
        <w:t>5.</w:t>
      </w:r>
    </w:p>
    <w:p>
      <w:pPr>
        <w:pStyle w:val="BodyText"/>
        <w:spacing w:line="480" w:lineRule="auto" w:before="194"/>
        <w:ind w:left="500" w:right="434"/>
        <w:jc w:val="both"/>
      </w:pPr>
      <w:r>
        <w:rPr/>
        <w:t>The formulation of Mr Jilani that the Ramchabutra is the birth-place will assume significance from two perspectives: the first is that the entire site comprising of the inner and outer courtyards is one composite property, the railing being put up by the colonial government only as a measure to protect peace, law and order. The second perspective is that Mr Jilani‘s submission postulates: (i) the acceptance of the position that the birth-place is at an area within the disputed site (the Ramchabutra, according to him); and (ii) there is no denying the close physical proximity of Ramchabutra, which was set up right outside the</w:t>
      </w:r>
      <w:r>
        <w:rPr>
          <w:spacing w:val="-13"/>
        </w:rPr>
        <w:t> </w:t>
      </w:r>
      <w:r>
        <w:rPr/>
        <w:t>railing.</w:t>
      </w:r>
    </w:p>
    <w:p>
      <w:pPr>
        <w:spacing w:after="0" w:line="480" w:lineRule="auto"/>
        <w:jc w:val="both"/>
        <w:sectPr>
          <w:pgSz w:w="11910" w:h="16840"/>
          <w:pgMar w:header="721" w:footer="1014" w:top="1300" w:bottom="1200" w:left="940" w:right="1000"/>
        </w:sectPr>
      </w:pPr>
    </w:p>
    <w:p>
      <w:pPr>
        <w:pStyle w:val="Heading3"/>
        <w:spacing w:before="124"/>
        <w:ind w:left="500" w:firstLine="0"/>
      </w:pPr>
      <w:r>
        <w:rPr/>
        <w:t>Evidentiary value of travelogues, gazetteers and books</w:t>
      </w:r>
    </w:p>
    <w:p>
      <w:pPr>
        <w:pStyle w:val="BodyText"/>
        <w:rPr>
          <w:b/>
          <w:sz w:val="28"/>
        </w:rPr>
      </w:pPr>
    </w:p>
    <w:p>
      <w:pPr>
        <w:pStyle w:val="BodyText"/>
        <w:rPr>
          <w:b/>
          <w:sz w:val="23"/>
        </w:rPr>
      </w:pPr>
    </w:p>
    <w:p>
      <w:pPr>
        <w:pStyle w:val="ListParagraph"/>
        <w:numPr>
          <w:ilvl w:val="0"/>
          <w:numId w:val="166"/>
        </w:numPr>
        <w:tabs>
          <w:tab w:pos="1221" w:val="left" w:leader="none"/>
        </w:tabs>
        <w:spacing w:line="480" w:lineRule="auto" w:before="0" w:after="0"/>
        <w:ind w:left="500" w:right="446" w:firstLine="0"/>
        <w:jc w:val="both"/>
        <w:rPr>
          <w:sz w:val="25"/>
        </w:rPr>
      </w:pPr>
      <w:r>
        <w:rPr>
          <w:sz w:val="25"/>
        </w:rPr>
        <w:t>Dr Rajeev Dhavan, learned Senior Counsel appearing on behalf of the plaintiff in Suit 4 urged that any use of historical material consisting of travelogues and gazetteereers should be prefaced with caution. Dr Dhavan urged</w:t>
      </w:r>
      <w:r>
        <w:rPr>
          <w:spacing w:val="-12"/>
          <w:sz w:val="25"/>
        </w:rPr>
        <w:t> </w:t>
      </w:r>
      <w:r>
        <w:rPr>
          <w:sz w:val="25"/>
        </w:rPr>
        <w:t>that:</w:t>
      </w:r>
    </w:p>
    <w:p>
      <w:pPr>
        <w:pStyle w:val="ListParagraph"/>
        <w:numPr>
          <w:ilvl w:val="0"/>
          <w:numId w:val="186"/>
        </w:numPr>
        <w:tabs>
          <w:tab w:pos="1221" w:val="left" w:leader="none"/>
        </w:tabs>
        <w:spacing w:line="482" w:lineRule="auto" w:before="159" w:after="0"/>
        <w:ind w:left="1220" w:right="445" w:hanging="720"/>
        <w:jc w:val="both"/>
        <w:rPr>
          <w:sz w:val="25"/>
        </w:rPr>
      </w:pPr>
      <w:r>
        <w:rPr>
          <w:sz w:val="25"/>
        </w:rPr>
        <w:t>Issues of title cannot be decided on the basis of historical work, treatises and</w:t>
      </w:r>
      <w:r>
        <w:rPr>
          <w:spacing w:val="-2"/>
          <w:sz w:val="25"/>
        </w:rPr>
        <w:t> </w:t>
      </w:r>
      <w:r>
        <w:rPr>
          <w:sz w:val="25"/>
        </w:rPr>
        <w:t>travelogues;</w:t>
      </w:r>
    </w:p>
    <w:p>
      <w:pPr>
        <w:pStyle w:val="ListParagraph"/>
        <w:numPr>
          <w:ilvl w:val="0"/>
          <w:numId w:val="186"/>
        </w:numPr>
        <w:tabs>
          <w:tab w:pos="1221" w:val="left" w:leader="none"/>
        </w:tabs>
        <w:spacing w:line="480" w:lineRule="auto" w:before="0" w:after="0"/>
        <w:ind w:left="1220" w:right="440" w:hanging="720"/>
        <w:jc w:val="both"/>
        <w:rPr>
          <w:sz w:val="25"/>
        </w:rPr>
      </w:pPr>
      <w:r>
        <w:rPr>
          <w:sz w:val="25"/>
        </w:rPr>
        <w:t>The court ought not to pursue the line of approach adopted by counsel for the plaintiffs in Suit 5 who attempted to draw inferences </w:t>
      </w:r>
      <w:r>
        <w:rPr>
          <w:spacing w:val="3"/>
          <w:sz w:val="25"/>
        </w:rPr>
        <w:t>on </w:t>
      </w:r>
      <w:r>
        <w:rPr>
          <w:sz w:val="25"/>
        </w:rPr>
        <w:t>the basis of untested historical material;</w:t>
      </w:r>
      <w:r>
        <w:rPr>
          <w:spacing w:val="-3"/>
          <w:sz w:val="25"/>
        </w:rPr>
        <w:t> </w:t>
      </w:r>
      <w:r>
        <w:rPr>
          <w:sz w:val="25"/>
        </w:rPr>
        <w:t>and</w:t>
      </w:r>
    </w:p>
    <w:p>
      <w:pPr>
        <w:pStyle w:val="ListParagraph"/>
        <w:numPr>
          <w:ilvl w:val="0"/>
          <w:numId w:val="186"/>
        </w:numPr>
        <w:tabs>
          <w:tab w:pos="1221" w:val="left" w:leader="none"/>
        </w:tabs>
        <w:spacing w:line="240" w:lineRule="auto" w:before="0" w:after="0"/>
        <w:ind w:left="1220" w:right="0" w:hanging="721"/>
        <w:jc w:val="both"/>
        <w:rPr>
          <w:sz w:val="25"/>
        </w:rPr>
      </w:pPr>
      <w:r>
        <w:rPr>
          <w:sz w:val="25"/>
        </w:rPr>
        <w:t>History cannot be read or interpreted without recourse to</w:t>
      </w:r>
      <w:r>
        <w:rPr>
          <w:spacing w:val="-16"/>
          <w:sz w:val="25"/>
        </w:rPr>
        <w:t> </w:t>
      </w:r>
      <w:r>
        <w:rPr>
          <w:sz w:val="25"/>
        </w:rPr>
        <w:t>historiography.</w:t>
      </w:r>
    </w:p>
    <w:p>
      <w:pPr>
        <w:pStyle w:val="BodyText"/>
        <w:rPr>
          <w:sz w:val="28"/>
        </w:rPr>
      </w:pPr>
    </w:p>
    <w:p>
      <w:pPr>
        <w:pStyle w:val="BodyText"/>
        <w:spacing w:line="480" w:lineRule="auto" w:before="248"/>
        <w:ind w:left="500" w:right="437"/>
        <w:jc w:val="both"/>
      </w:pPr>
      <w:r>
        <w:rPr/>
        <w:t>Dr Dhavan faulted the methodology followed by Justice S U Khan and Justice Sudhir Agarwal on the ground that their analysis proceeds on the basis of guess work. Raising the issue as to how a preponderance of probabilities can be fed into gazetteereers, he submitted that by relying upon historical material, the High </w:t>
      </w:r>
      <w:r>
        <w:rPr>
          <w:spacing w:val="-1"/>
          <w:w w:val="99"/>
        </w:rPr>
        <w:t>Cou</w:t>
      </w:r>
      <w:r>
        <w:rPr>
          <w:spacing w:val="1"/>
          <w:w w:val="99"/>
        </w:rPr>
        <w:t>r</w:t>
      </w:r>
      <w:r>
        <w:rPr>
          <w:w w:val="99"/>
        </w:rPr>
        <w:t>t</w:t>
      </w:r>
      <w:r>
        <w:rPr>
          <w:spacing w:val="31"/>
        </w:rPr>
        <w:t> </w:t>
      </w:r>
      <w:r>
        <w:rPr>
          <w:spacing w:val="-1"/>
          <w:w w:val="99"/>
        </w:rPr>
        <w:t>wa</w:t>
      </w:r>
      <w:r>
        <w:rPr>
          <w:w w:val="99"/>
        </w:rPr>
        <w:t>s</w:t>
      </w:r>
      <w:r>
        <w:rPr>
          <w:spacing w:val="31"/>
        </w:rPr>
        <w:t> </w:t>
      </w:r>
      <w:r>
        <w:rPr>
          <w:spacing w:val="-1"/>
          <w:w w:val="99"/>
        </w:rPr>
        <w:t>ess</w:t>
      </w:r>
      <w:r>
        <w:rPr>
          <w:w w:val="99"/>
        </w:rPr>
        <w:t>e</w:t>
      </w:r>
      <w:r>
        <w:rPr>
          <w:spacing w:val="-1"/>
          <w:w w:val="99"/>
        </w:rPr>
        <w:t>nti</w:t>
      </w:r>
      <w:r>
        <w:rPr>
          <w:w w:val="99"/>
        </w:rPr>
        <w:t>a</w:t>
      </w:r>
      <w:r>
        <w:rPr>
          <w:spacing w:val="-1"/>
          <w:w w:val="99"/>
        </w:rPr>
        <w:t>ll</w:t>
      </w:r>
      <w:r>
        <w:rPr>
          <w:w w:val="99"/>
        </w:rPr>
        <w:t>y</w:t>
      </w:r>
      <w:r>
        <w:rPr>
          <w:spacing w:val="30"/>
        </w:rPr>
        <w:t> </w:t>
      </w:r>
      <w:r>
        <w:rPr>
          <w:spacing w:val="-1"/>
          <w:w w:val="99"/>
        </w:rPr>
        <w:t>b</w:t>
      </w:r>
      <w:r>
        <w:rPr>
          <w:w w:val="99"/>
        </w:rPr>
        <w:t>e</w:t>
      </w:r>
      <w:r>
        <w:rPr>
          <w:spacing w:val="-1"/>
          <w:w w:val="99"/>
        </w:rPr>
        <w:t>in</w:t>
      </w:r>
      <w:r>
        <w:rPr>
          <w:w w:val="99"/>
        </w:rPr>
        <w:t>g</w:t>
      </w:r>
      <w:r>
        <w:rPr>
          <w:spacing w:val="31"/>
        </w:rPr>
        <w:t> </w:t>
      </w:r>
      <w:r>
        <w:rPr>
          <w:spacing w:val="-1"/>
          <w:w w:val="99"/>
        </w:rPr>
        <w:t>ask</w:t>
      </w:r>
      <w:r>
        <w:rPr>
          <w:w w:val="99"/>
        </w:rPr>
        <w:t>ed</w:t>
      </w:r>
      <w:r>
        <w:rPr>
          <w:spacing w:val="31"/>
        </w:rPr>
        <w:t> </w:t>
      </w:r>
      <w:r>
        <w:rPr>
          <w:w w:val="99"/>
        </w:rPr>
        <w:t>(</w:t>
      </w:r>
      <w:r>
        <w:rPr>
          <w:spacing w:val="-1"/>
          <w:w w:val="99"/>
        </w:rPr>
        <w:t>a</w:t>
      </w:r>
      <w:r>
        <w:rPr>
          <w:w w:val="99"/>
        </w:rPr>
        <w:t>s</w:t>
      </w:r>
      <w:r>
        <w:rPr>
          <w:spacing w:val="31"/>
        </w:rPr>
        <w:t> </w:t>
      </w:r>
      <w:r>
        <w:rPr>
          <w:spacing w:val="-1"/>
          <w:w w:val="99"/>
        </w:rPr>
        <w:t>h</w:t>
      </w:r>
      <w:r>
        <w:rPr>
          <w:w w:val="99"/>
        </w:rPr>
        <w:t>e</w:t>
      </w:r>
      <w:r>
        <w:rPr>
          <w:spacing w:val="29"/>
        </w:rPr>
        <w:t> </w:t>
      </w:r>
      <w:r>
        <w:rPr>
          <w:spacing w:val="-1"/>
          <w:w w:val="99"/>
        </w:rPr>
        <w:t>d</w:t>
      </w:r>
      <w:r>
        <w:rPr>
          <w:w w:val="99"/>
        </w:rPr>
        <w:t>escr</w:t>
      </w:r>
      <w:r>
        <w:rPr>
          <w:spacing w:val="-1"/>
          <w:w w:val="99"/>
        </w:rPr>
        <w:t>ibe</w:t>
      </w:r>
      <w:r>
        <w:rPr>
          <w:w w:val="99"/>
        </w:rPr>
        <w:t>d</w:t>
      </w:r>
      <w:r>
        <w:rPr>
          <w:spacing w:val="31"/>
        </w:rPr>
        <w:t> </w:t>
      </w:r>
      <w:r>
        <w:rPr>
          <w:spacing w:val="-1"/>
          <w:w w:val="99"/>
        </w:rPr>
        <w:t>it</w:t>
      </w:r>
      <w:r>
        <w:rPr>
          <w:w w:val="99"/>
        </w:rPr>
        <w:t>)</w:t>
      </w:r>
      <w:r>
        <w:rPr>
          <w:spacing w:val="31"/>
        </w:rPr>
        <w:t> </w:t>
      </w:r>
      <w:r>
        <w:rPr>
          <w:w w:val="33"/>
        </w:rPr>
        <w:t>―</w:t>
      </w:r>
      <w:r>
        <w:rPr>
          <w:w w:val="99"/>
        </w:rPr>
        <w:t>to</w:t>
      </w:r>
      <w:r>
        <w:rPr>
          <w:spacing w:val="31"/>
        </w:rPr>
        <w:t> </w:t>
      </w:r>
      <w:r>
        <w:rPr>
          <w:w w:val="99"/>
        </w:rPr>
        <w:t>sta</w:t>
      </w:r>
      <w:r>
        <w:rPr>
          <w:spacing w:val="-2"/>
          <w:w w:val="99"/>
        </w:rPr>
        <w:t>n</w:t>
      </w:r>
      <w:r>
        <w:rPr>
          <w:w w:val="99"/>
        </w:rPr>
        <w:t>d</w:t>
      </w:r>
      <w:r>
        <w:rPr>
          <w:spacing w:val="31"/>
        </w:rPr>
        <w:t> </w:t>
      </w:r>
      <w:r>
        <w:rPr>
          <w:spacing w:val="-1"/>
          <w:w w:val="99"/>
        </w:rPr>
        <w:t>a</w:t>
      </w:r>
      <w:r>
        <w:rPr>
          <w:w w:val="99"/>
        </w:rPr>
        <w:t>t</w:t>
      </w:r>
      <w:r>
        <w:rPr>
          <w:spacing w:val="31"/>
        </w:rPr>
        <w:t> </w:t>
      </w:r>
      <w:r>
        <w:rPr>
          <w:w w:val="99"/>
        </w:rPr>
        <w:t>the</w:t>
      </w:r>
      <w:r>
        <w:rPr>
          <w:spacing w:val="31"/>
        </w:rPr>
        <w:t> </w:t>
      </w:r>
      <w:r>
        <w:rPr>
          <w:w w:val="99"/>
        </w:rPr>
        <w:t>cusp</w:t>
      </w:r>
      <w:r>
        <w:rPr>
          <w:spacing w:val="31"/>
        </w:rPr>
        <w:t> </w:t>
      </w:r>
      <w:r>
        <w:rPr>
          <w:spacing w:val="-1"/>
          <w:w w:val="99"/>
        </w:rPr>
        <w:t>of </w:t>
      </w:r>
      <w:r>
        <w:rPr/>
        <w:t>guess</w:t>
      </w:r>
      <w:r>
        <w:rPr>
          <w:spacing w:val="-2"/>
        </w:rPr>
        <w:t> </w:t>
      </w:r>
      <w:r>
        <w:rPr/>
        <w:t>work‖.</w:t>
      </w:r>
    </w:p>
    <w:p>
      <w:pPr>
        <w:pStyle w:val="BodyText"/>
        <w:spacing w:before="2"/>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Analysing the submissions which have been urged, we must at the outset advert to the decision of the Punjab Chief Court in </w:t>
      </w:r>
      <w:r>
        <w:rPr>
          <w:b/>
          <w:sz w:val="25"/>
        </w:rPr>
        <w:t>Farzand </w:t>
      </w:r>
      <w:r>
        <w:rPr>
          <w:b/>
          <w:spacing w:val="-3"/>
          <w:sz w:val="25"/>
        </w:rPr>
        <w:t>Ali </w:t>
      </w:r>
      <w:r>
        <w:rPr>
          <w:sz w:val="25"/>
        </w:rPr>
        <w:t>v </w:t>
      </w:r>
      <w:r>
        <w:rPr>
          <w:b/>
          <w:sz w:val="25"/>
        </w:rPr>
        <w:t>Zafar Ali</w:t>
      </w:r>
      <w:r>
        <w:rPr>
          <w:sz w:val="25"/>
          <w:vertAlign w:val="superscript"/>
        </w:rPr>
        <w:t>310</w:t>
      </w:r>
      <w:r>
        <w:rPr>
          <w:sz w:val="25"/>
          <w:vertAlign w:val="baseline"/>
        </w:rPr>
        <w:t>. In that case, there was a dispute between the Mutawalli of a mosque and the defendants, who were descendants of the late Imam, over certain properties. The Mutawalli claimed it as a part of a religious endowment. The court</w:t>
      </w:r>
      <w:r>
        <w:rPr>
          <w:spacing w:val="-11"/>
          <w:sz w:val="25"/>
          <w:vertAlign w:val="baseline"/>
        </w:rPr>
        <w:t> </w:t>
      </w:r>
      <w:r>
        <w:rPr>
          <w:sz w:val="25"/>
          <w:vertAlign w:val="baseline"/>
        </w:rPr>
        <w:t>held:</w:t>
      </w:r>
    </w:p>
    <w:p>
      <w:pPr>
        <w:pStyle w:val="BodyText"/>
        <w:rPr>
          <w:sz w:val="20"/>
        </w:rPr>
      </w:pPr>
    </w:p>
    <w:p>
      <w:pPr>
        <w:pStyle w:val="BodyText"/>
        <w:spacing w:before="3"/>
        <w:rPr>
          <w:sz w:val="21"/>
        </w:rPr>
      </w:pPr>
      <w:r>
        <w:rPr/>
        <w:pict>
          <v:rect style="position:absolute;margin-left:72.024002pt;margin-top:14.220875pt;width:144.020pt;height:.599980pt;mso-position-horizontal-relative:page;mso-position-vertical-relative:paragraph;z-index:-1563852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310</w:t>
      </w:r>
      <w:r>
        <w:rPr>
          <w:sz w:val="18"/>
          <w:vertAlign w:val="baseline"/>
        </w:rPr>
        <w:t> (1918) 46 IC 119</w:t>
      </w:r>
    </w:p>
    <w:p>
      <w:pPr>
        <w:spacing w:after="0"/>
        <w:jc w:val="left"/>
        <w:rPr>
          <w:sz w:val="18"/>
        </w:rPr>
        <w:sectPr>
          <w:pgSz w:w="11910" w:h="16840"/>
          <w:pgMar w:header="721" w:footer="1014" w:top="1300" w:bottom="1200" w:left="940" w:right="1000"/>
        </w:sectPr>
      </w:pPr>
    </w:p>
    <w:p>
      <w:pPr>
        <w:spacing w:line="276" w:lineRule="auto" w:before="122"/>
        <w:ind w:left="1940" w:right="2261" w:firstLine="0"/>
        <w:jc w:val="both"/>
        <w:rPr>
          <w:sz w:val="21"/>
        </w:rPr>
      </w:pPr>
      <w:r>
        <w:rPr>
          <w:spacing w:val="-6"/>
          <w:w w:val="33"/>
          <w:sz w:val="21"/>
        </w:rPr>
        <w:t>―</w:t>
      </w:r>
      <w:r>
        <w:rPr>
          <w:spacing w:val="6"/>
          <w:w w:val="100"/>
          <w:sz w:val="21"/>
        </w:rPr>
        <w:t>W</w:t>
      </w:r>
      <w:r>
        <w:rPr>
          <w:w w:val="100"/>
          <w:sz w:val="21"/>
        </w:rPr>
        <w:t>e</w:t>
      </w:r>
      <w:r>
        <w:rPr>
          <w:sz w:val="21"/>
        </w:rPr>
        <w:t> </w:t>
      </w:r>
      <w:r>
        <w:rPr>
          <w:spacing w:val="-1"/>
          <w:w w:val="100"/>
          <w:sz w:val="21"/>
        </w:rPr>
        <w:t>ar</w:t>
      </w:r>
      <w:r>
        <w:rPr>
          <w:w w:val="100"/>
          <w:sz w:val="21"/>
        </w:rPr>
        <w:t>e</w:t>
      </w:r>
      <w:r>
        <w:rPr>
          <w:sz w:val="21"/>
        </w:rPr>
        <w:t> </w:t>
      </w:r>
      <w:r>
        <w:rPr>
          <w:w w:val="100"/>
          <w:sz w:val="21"/>
        </w:rPr>
        <w:t>i</w:t>
      </w:r>
      <w:r>
        <w:rPr>
          <w:spacing w:val="-1"/>
          <w:w w:val="100"/>
          <w:sz w:val="21"/>
        </w:rPr>
        <w:t>n</w:t>
      </w:r>
      <w:r>
        <w:rPr>
          <w:spacing w:val="-3"/>
          <w:w w:val="100"/>
          <w:sz w:val="21"/>
        </w:rPr>
        <w:t>c</w:t>
      </w:r>
      <w:r>
        <w:rPr>
          <w:w w:val="100"/>
          <w:sz w:val="21"/>
        </w:rPr>
        <w:t>l</w:t>
      </w:r>
      <w:r>
        <w:rPr>
          <w:spacing w:val="-2"/>
          <w:w w:val="100"/>
          <w:sz w:val="21"/>
        </w:rPr>
        <w:t>i</w:t>
      </w:r>
      <w:r>
        <w:rPr>
          <w:spacing w:val="-1"/>
          <w:w w:val="100"/>
          <w:sz w:val="21"/>
        </w:rPr>
        <w:t>ne</w:t>
      </w:r>
      <w:r>
        <w:rPr>
          <w:w w:val="100"/>
          <w:sz w:val="21"/>
        </w:rPr>
        <w:t>d</w:t>
      </w:r>
      <w:r>
        <w:rPr>
          <w:sz w:val="21"/>
        </w:rPr>
        <w:t> </w:t>
      </w:r>
      <w:r>
        <w:rPr>
          <w:spacing w:val="-2"/>
          <w:w w:val="100"/>
          <w:sz w:val="21"/>
        </w:rPr>
        <w:t>t</w:t>
      </w:r>
      <w:r>
        <w:rPr>
          <w:w w:val="100"/>
          <w:sz w:val="21"/>
        </w:rPr>
        <w:t>o</w:t>
      </w:r>
      <w:r>
        <w:rPr>
          <w:sz w:val="21"/>
        </w:rPr>
        <w:t> </w:t>
      </w:r>
      <w:r>
        <w:rPr>
          <w:spacing w:val="-2"/>
          <w:w w:val="100"/>
          <w:sz w:val="21"/>
        </w:rPr>
        <w:t>t</w:t>
      </w:r>
      <w:r>
        <w:rPr>
          <w:spacing w:val="-3"/>
          <w:w w:val="100"/>
          <w:sz w:val="21"/>
        </w:rPr>
        <w:t>h</w:t>
      </w:r>
      <w:r>
        <w:rPr>
          <w:w w:val="100"/>
          <w:sz w:val="21"/>
        </w:rPr>
        <w:t>i</w:t>
      </w:r>
      <w:r>
        <w:rPr>
          <w:spacing w:val="-3"/>
          <w:w w:val="100"/>
          <w:sz w:val="21"/>
        </w:rPr>
        <w:t>n</w:t>
      </w:r>
      <w:r>
        <w:rPr>
          <w:w w:val="100"/>
          <w:sz w:val="21"/>
        </w:rPr>
        <w:t>k</w:t>
      </w:r>
      <w:r>
        <w:rPr>
          <w:sz w:val="21"/>
        </w:rPr>
        <w:t> </w:t>
      </w:r>
      <w:r>
        <w:rPr>
          <w:spacing w:val="-2"/>
          <w:w w:val="100"/>
          <w:sz w:val="21"/>
        </w:rPr>
        <w:t>t</w:t>
      </w:r>
      <w:r>
        <w:rPr>
          <w:spacing w:val="-1"/>
          <w:w w:val="100"/>
          <w:sz w:val="21"/>
        </w:rPr>
        <w:t>ha</w:t>
      </w:r>
      <w:r>
        <w:rPr>
          <w:w w:val="100"/>
          <w:sz w:val="21"/>
        </w:rPr>
        <w:t>t</w:t>
      </w:r>
      <w:r>
        <w:rPr>
          <w:sz w:val="21"/>
        </w:rPr>
        <w:t> </w:t>
      </w:r>
      <w:r>
        <w:rPr>
          <w:b/>
          <w:spacing w:val="-1"/>
          <w:w w:val="100"/>
          <w:sz w:val="21"/>
        </w:rPr>
        <w:t>t</w:t>
      </w:r>
      <w:r>
        <w:rPr>
          <w:b/>
          <w:w w:val="100"/>
          <w:sz w:val="21"/>
        </w:rPr>
        <w:t>he</w:t>
      </w:r>
      <w:r>
        <w:rPr>
          <w:b/>
          <w:sz w:val="21"/>
        </w:rPr>
        <w:t> </w:t>
      </w:r>
      <w:r>
        <w:rPr>
          <w:b/>
          <w:w w:val="100"/>
          <w:sz w:val="21"/>
        </w:rPr>
        <w:t>us</w:t>
      </w:r>
      <w:r>
        <w:rPr>
          <w:b/>
          <w:w w:val="100"/>
          <w:sz w:val="21"/>
        </w:rPr>
        <w:t>e</w:t>
      </w:r>
      <w:r>
        <w:rPr>
          <w:b/>
          <w:sz w:val="21"/>
        </w:rPr>
        <w:t> </w:t>
      </w:r>
      <w:r>
        <w:rPr>
          <w:b/>
          <w:w w:val="100"/>
          <w:sz w:val="21"/>
        </w:rPr>
        <w:t>of</w:t>
      </w:r>
      <w:r>
        <w:rPr>
          <w:b/>
          <w:sz w:val="21"/>
        </w:rPr>
        <w:t> </w:t>
      </w:r>
      <w:r>
        <w:rPr>
          <w:b/>
          <w:spacing w:val="-1"/>
          <w:w w:val="100"/>
          <w:sz w:val="21"/>
        </w:rPr>
        <w:t>t</w:t>
      </w:r>
      <w:r>
        <w:rPr>
          <w:b/>
          <w:w w:val="100"/>
          <w:sz w:val="21"/>
        </w:rPr>
        <w:t>he</w:t>
      </w:r>
      <w:r>
        <w:rPr>
          <w:b/>
          <w:sz w:val="21"/>
        </w:rPr>
        <w:t> </w:t>
      </w:r>
      <w:r>
        <w:rPr>
          <w:b/>
          <w:w w:val="100"/>
          <w:sz w:val="21"/>
        </w:rPr>
        <w:t>his</w:t>
      </w:r>
      <w:r>
        <w:rPr>
          <w:b/>
          <w:spacing w:val="-2"/>
          <w:w w:val="100"/>
          <w:sz w:val="21"/>
        </w:rPr>
        <w:t>t</w:t>
      </w:r>
      <w:r>
        <w:rPr>
          <w:b/>
          <w:w w:val="100"/>
          <w:sz w:val="21"/>
        </w:rPr>
        <w:t>or</w:t>
      </w:r>
      <w:r>
        <w:rPr>
          <w:b/>
          <w:spacing w:val="-4"/>
          <w:w w:val="100"/>
          <w:sz w:val="21"/>
        </w:rPr>
        <w:t>i</w:t>
      </w:r>
      <w:r>
        <w:rPr>
          <w:b/>
          <w:w w:val="100"/>
          <w:sz w:val="21"/>
        </w:rPr>
        <w:t>cal</w:t>
      </w:r>
      <w:r>
        <w:rPr>
          <w:b/>
          <w:sz w:val="21"/>
        </w:rPr>
        <w:t> </w:t>
      </w:r>
      <w:r>
        <w:rPr>
          <w:b/>
          <w:spacing w:val="1"/>
          <w:w w:val="100"/>
          <w:sz w:val="21"/>
        </w:rPr>
        <w:t>w</w:t>
      </w:r>
      <w:r>
        <w:rPr>
          <w:b/>
          <w:w w:val="100"/>
          <w:sz w:val="21"/>
        </w:rPr>
        <w:t>or</w:t>
      </w:r>
      <w:r>
        <w:rPr>
          <w:b/>
          <w:spacing w:val="-3"/>
          <w:w w:val="100"/>
          <w:sz w:val="21"/>
        </w:rPr>
        <w:t>k</w:t>
      </w:r>
      <w:r>
        <w:rPr>
          <w:b/>
          <w:w w:val="100"/>
          <w:sz w:val="21"/>
        </w:rPr>
        <w:t>s </w:t>
      </w:r>
      <w:r>
        <w:rPr>
          <w:b/>
          <w:sz w:val="21"/>
        </w:rPr>
        <w:t>to establish title to the property cannot be justified on the strength of section 57 of the Indian Evidence Act. The question of title between the trustee of a mosque, though an old and historical institution, and a private person cannot, in our opinion, be deemed to be a ―matter of public history‖ within </w:t>
      </w:r>
      <w:r>
        <w:rPr>
          <w:b/>
          <w:spacing w:val="-2"/>
          <w:sz w:val="21"/>
        </w:rPr>
        <w:t>the </w:t>
      </w:r>
      <w:r>
        <w:rPr>
          <w:b/>
          <w:sz w:val="21"/>
        </w:rPr>
        <w:t>meaning of the said section</w:t>
      </w:r>
      <w:r>
        <w:rPr>
          <w:sz w:val="21"/>
        </w:rPr>
        <w:t>.</w:t>
      </w:r>
    </w:p>
    <w:p>
      <w:pPr>
        <w:pStyle w:val="BodyText"/>
        <w:spacing w:before="3"/>
        <w:rPr>
          <w:sz w:val="24"/>
        </w:rPr>
      </w:pPr>
    </w:p>
    <w:p>
      <w:pPr>
        <w:spacing w:line="276" w:lineRule="auto" w:before="0"/>
        <w:ind w:left="1940" w:right="2263" w:firstLine="0"/>
        <w:jc w:val="both"/>
        <w:rPr>
          <w:sz w:val="21"/>
        </w:rPr>
      </w:pPr>
      <w:r>
        <w:rPr>
          <w:sz w:val="21"/>
        </w:rPr>
        <w:t>We must, therefore, exclude this piece of evidence from consideration, and we do not think that this exclusion would make any difference in the result. The description contained in the two books does not advance the case for the plaintiff to any appreciable extent, and, indeed, this description can be gathered from other admissible evidence on the</w:t>
      </w:r>
      <w:r>
        <w:rPr>
          <w:spacing w:val="-20"/>
          <w:sz w:val="21"/>
        </w:rPr>
        <w:t> </w:t>
      </w:r>
      <w:r>
        <w:rPr>
          <w:sz w:val="21"/>
        </w:rPr>
        <w:t>record.‖</w:t>
      </w:r>
    </w:p>
    <w:p>
      <w:pPr>
        <w:spacing w:before="0"/>
        <w:ind w:left="5541" w:right="0" w:firstLine="0"/>
        <w:jc w:val="both"/>
        <w:rPr>
          <w:sz w:val="21"/>
        </w:rPr>
      </w:pPr>
      <w:r>
        <w:rPr>
          <w:sz w:val="21"/>
        </w:rPr>
        <w:t>(Emphasis supplied)</w:t>
      </w:r>
    </w:p>
    <w:p>
      <w:pPr>
        <w:pStyle w:val="BodyText"/>
        <w:rPr>
          <w:sz w:val="24"/>
        </w:rPr>
      </w:pPr>
    </w:p>
    <w:p>
      <w:pPr>
        <w:pStyle w:val="BodyText"/>
        <w:spacing w:before="10"/>
      </w:pPr>
    </w:p>
    <w:p>
      <w:pPr>
        <w:spacing w:line="480" w:lineRule="auto" w:before="0"/>
        <w:ind w:left="500" w:right="434" w:firstLine="0"/>
        <w:jc w:val="both"/>
        <w:rPr>
          <w:sz w:val="25"/>
        </w:rPr>
      </w:pPr>
      <w:r>
        <w:rPr>
          <w:sz w:val="25"/>
        </w:rPr>
        <w:t>A similar view was adopted by a two judge Bench of this Court in </w:t>
      </w:r>
      <w:r>
        <w:rPr>
          <w:b/>
          <w:sz w:val="25"/>
        </w:rPr>
        <w:t>Karnataka Board of Waqf </w:t>
      </w:r>
      <w:r>
        <w:rPr>
          <w:sz w:val="25"/>
        </w:rPr>
        <w:t>v </w:t>
      </w:r>
      <w:r>
        <w:rPr>
          <w:b/>
          <w:sz w:val="25"/>
        </w:rPr>
        <w:t>Government of India</w:t>
      </w:r>
      <w:r>
        <w:rPr>
          <w:sz w:val="25"/>
          <w:vertAlign w:val="superscript"/>
        </w:rPr>
        <w:t>311</w:t>
      </w:r>
      <w:r>
        <w:rPr>
          <w:sz w:val="25"/>
          <w:vertAlign w:val="baseline"/>
        </w:rPr>
        <w:t>, where Justice Rajendra Babu observed:</w:t>
      </w:r>
    </w:p>
    <w:p>
      <w:pPr>
        <w:spacing w:line="276" w:lineRule="auto" w:before="2"/>
        <w:ind w:left="1940" w:right="2262" w:firstLine="0"/>
        <w:jc w:val="both"/>
        <w:rPr>
          <w:sz w:val="21"/>
        </w:rPr>
      </w:pPr>
      <w:r>
        <w:rPr>
          <w:w w:val="33"/>
          <w:sz w:val="21"/>
        </w:rPr>
        <w:t>―</w:t>
      </w:r>
      <w:r>
        <w:rPr>
          <w:w w:val="100"/>
          <w:sz w:val="21"/>
        </w:rPr>
        <w:t>8….As</w:t>
      </w:r>
      <w:r>
        <w:rPr>
          <w:sz w:val="21"/>
        </w:rPr>
        <w:t> </w:t>
      </w:r>
      <w:r>
        <w:rPr>
          <w:w w:val="100"/>
          <w:sz w:val="21"/>
        </w:rPr>
        <w:t>far</w:t>
      </w:r>
      <w:r>
        <w:rPr>
          <w:sz w:val="21"/>
        </w:rPr>
        <w:t> </w:t>
      </w:r>
      <w:r>
        <w:rPr>
          <w:w w:val="100"/>
          <w:sz w:val="21"/>
        </w:rPr>
        <w:t>as</w:t>
      </w:r>
      <w:r>
        <w:rPr>
          <w:sz w:val="21"/>
        </w:rPr>
        <w:t> </w:t>
      </w:r>
      <w:r>
        <w:rPr>
          <w:w w:val="100"/>
          <w:sz w:val="21"/>
        </w:rPr>
        <w:t>a</w:t>
      </w:r>
      <w:r>
        <w:rPr>
          <w:sz w:val="21"/>
        </w:rPr>
        <w:t> </w:t>
      </w:r>
      <w:r>
        <w:rPr>
          <w:w w:val="100"/>
          <w:sz w:val="21"/>
        </w:rPr>
        <w:t>title</w:t>
      </w:r>
      <w:r>
        <w:rPr>
          <w:sz w:val="21"/>
        </w:rPr>
        <w:t> </w:t>
      </w:r>
      <w:r>
        <w:rPr>
          <w:w w:val="100"/>
          <w:sz w:val="21"/>
        </w:rPr>
        <w:t>suit</w:t>
      </w:r>
      <w:r>
        <w:rPr>
          <w:sz w:val="21"/>
        </w:rPr>
        <w:t> </w:t>
      </w:r>
      <w:r>
        <w:rPr>
          <w:w w:val="100"/>
          <w:sz w:val="21"/>
        </w:rPr>
        <w:t>of</w:t>
      </w:r>
      <w:r>
        <w:rPr>
          <w:sz w:val="21"/>
        </w:rPr>
        <w:t> </w:t>
      </w:r>
      <w:r>
        <w:rPr>
          <w:w w:val="100"/>
          <w:sz w:val="21"/>
        </w:rPr>
        <w:t>civil</w:t>
      </w:r>
      <w:r>
        <w:rPr>
          <w:sz w:val="21"/>
        </w:rPr>
        <w:t> </w:t>
      </w:r>
      <w:r>
        <w:rPr>
          <w:w w:val="100"/>
          <w:sz w:val="21"/>
        </w:rPr>
        <w:t>nature</w:t>
      </w:r>
      <w:r>
        <w:rPr>
          <w:sz w:val="21"/>
        </w:rPr>
        <w:t> </w:t>
      </w:r>
      <w:r>
        <w:rPr>
          <w:w w:val="100"/>
          <w:sz w:val="21"/>
        </w:rPr>
        <w:t>is</w:t>
      </w:r>
      <w:r>
        <w:rPr>
          <w:sz w:val="21"/>
        </w:rPr>
        <w:t> </w:t>
      </w:r>
      <w:r>
        <w:rPr>
          <w:w w:val="100"/>
          <w:sz w:val="21"/>
        </w:rPr>
        <w:t>concerned,</w:t>
      </w:r>
      <w:r>
        <w:rPr>
          <w:sz w:val="21"/>
        </w:rPr>
        <w:t> </w:t>
      </w:r>
      <w:r>
        <w:rPr>
          <w:w w:val="100"/>
          <w:sz w:val="21"/>
        </w:rPr>
        <w:t>there</w:t>
      </w:r>
      <w:r>
        <w:rPr>
          <w:sz w:val="21"/>
        </w:rPr>
        <w:t> </w:t>
      </w:r>
      <w:r>
        <w:rPr>
          <w:w w:val="100"/>
          <w:sz w:val="21"/>
        </w:rPr>
        <w:t>is </w:t>
      </w:r>
      <w:r>
        <w:rPr>
          <w:sz w:val="21"/>
        </w:rPr>
        <w:t>no room for historical facts and claims. Reliance on borderline historical facts will lead to erroneous conclusions. The question for resolution herein is the </w:t>
      </w:r>
      <w:r>
        <w:rPr>
          <w:i/>
          <w:sz w:val="21"/>
        </w:rPr>
        <w:t>factum </w:t>
      </w:r>
      <w:r>
        <w:rPr>
          <w:sz w:val="21"/>
        </w:rPr>
        <w:t>of ownership, possession and title over the suit property. Only admissible evidence and records could be of assistance to prove this.‖</w:t>
      </w:r>
    </w:p>
    <w:p>
      <w:pPr>
        <w:pStyle w:val="BodyText"/>
        <w:rPr>
          <w:sz w:val="24"/>
        </w:rPr>
      </w:pPr>
    </w:p>
    <w:p>
      <w:pPr>
        <w:pStyle w:val="BodyText"/>
        <w:spacing w:before="3"/>
        <w:rPr>
          <w:sz w:val="24"/>
        </w:rPr>
      </w:pPr>
    </w:p>
    <w:p>
      <w:pPr>
        <w:pStyle w:val="ListParagraph"/>
        <w:numPr>
          <w:ilvl w:val="0"/>
          <w:numId w:val="166"/>
        </w:numPr>
        <w:tabs>
          <w:tab w:pos="1220" w:val="left" w:leader="none"/>
          <w:tab w:pos="1221" w:val="left" w:leader="none"/>
        </w:tabs>
        <w:spacing w:line="480" w:lineRule="auto" w:before="0" w:after="0"/>
        <w:ind w:left="500" w:right="434" w:firstLine="0"/>
        <w:jc w:val="left"/>
        <w:rPr>
          <w:sz w:val="25"/>
        </w:rPr>
      </w:pPr>
      <w:r>
        <w:rPr>
          <w:sz w:val="25"/>
        </w:rPr>
        <w:t>Section 57</w:t>
      </w:r>
      <w:r>
        <w:rPr>
          <w:sz w:val="25"/>
          <w:vertAlign w:val="superscript"/>
        </w:rPr>
        <w:t>312</w:t>
      </w:r>
      <w:r>
        <w:rPr>
          <w:sz w:val="25"/>
          <w:vertAlign w:val="baseline"/>
        </w:rPr>
        <w:t> of the Evidence Act 1872 elucidates facts of which judicial notice must be taken by the court. After delineating 13 categories of </w:t>
      </w:r>
      <w:r>
        <w:rPr>
          <w:spacing w:val="2"/>
          <w:sz w:val="25"/>
          <w:vertAlign w:val="baseline"/>
        </w:rPr>
        <w:t>fact </w:t>
      </w:r>
      <w:r>
        <w:rPr>
          <w:sz w:val="25"/>
          <w:vertAlign w:val="baseline"/>
        </w:rPr>
        <w:t>of</w:t>
      </w:r>
      <w:r>
        <w:rPr>
          <w:spacing w:val="68"/>
          <w:sz w:val="25"/>
          <w:vertAlign w:val="baseline"/>
        </w:rPr>
        <w:t> </w:t>
      </w:r>
      <w:r>
        <w:rPr>
          <w:sz w:val="25"/>
          <w:vertAlign w:val="baseline"/>
        </w:rPr>
        <w:t>which</w:t>
      </w:r>
    </w:p>
    <w:p>
      <w:pPr>
        <w:pStyle w:val="BodyText"/>
        <w:rPr>
          <w:sz w:val="20"/>
        </w:rPr>
      </w:pPr>
    </w:p>
    <w:p>
      <w:pPr>
        <w:pStyle w:val="BodyText"/>
        <w:spacing w:before="1"/>
        <w:rPr>
          <w:sz w:val="22"/>
        </w:rPr>
      </w:pPr>
      <w:r>
        <w:rPr/>
        <w:pict>
          <v:rect style="position:absolute;margin-left:72.024002pt;margin-top:14.66219pt;width:144.020pt;height:.599980pt;mso-position-horizontal-relative:page;mso-position-vertical-relative:paragraph;z-index:-15638016;mso-wrap-distance-left:0;mso-wrap-distance-right:0" filled="true" fillcolor="#000000" stroked="false">
            <v:fill type="solid"/>
            <w10:wrap type="topAndBottom"/>
          </v:rect>
        </w:pict>
      </w:r>
    </w:p>
    <w:p>
      <w:pPr>
        <w:spacing w:line="207" w:lineRule="exact" w:before="80"/>
        <w:ind w:left="500" w:right="0" w:firstLine="0"/>
        <w:jc w:val="both"/>
        <w:rPr>
          <w:sz w:val="18"/>
        </w:rPr>
      </w:pPr>
      <w:r>
        <w:rPr>
          <w:sz w:val="18"/>
          <w:vertAlign w:val="superscript"/>
        </w:rPr>
        <w:t>311</w:t>
      </w:r>
      <w:r>
        <w:rPr>
          <w:sz w:val="18"/>
          <w:vertAlign w:val="baseline"/>
        </w:rPr>
        <w:t> (2004) 10 SCC 779</w:t>
      </w:r>
    </w:p>
    <w:p>
      <w:pPr>
        <w:spacing w:before="0"/>
        <w:ind w:left="500" w:right="439" w:firstLine="0"/>
        <w:jc w:val="both"/>
        <w:rPr>
          <w:sz w:val="18"/>
        </w:rPr>
      </w:pPr>
      <w:r>
        <w:rPr>
          <w:sz w:val="18"/>
          <w:vertAlign w:val="superscript"/>
        </w:rPr>
        <w:t>312</w:t>
      </w:r>
      <w:r>
        <w:rPr>
          <w:sz w:val="18"/>
          <w:vertAlign w:val="baseline"/>
        </w:rPr>
        <w:t> 57. Facts of which Court must take judicial notice.—The Court shall take judicial notice of the following  facts:—</w:t>
      </w:r>
    </w:p>
    <w:p>
      <w:pPr>
        <w:spacing w:line="206" w:lineRule="exact" w:before="0"/>
        <w:ind w:left="500" w:right="0" w:firstLine="0"/>
        <w:jc w:val="both"/>
        <w:rPr>
          <w:sz w:val="18"/>
        </w:rPr>
      </w:pPr>
      <w:r>
        <w:rPr>
          <w:sz w:val="18"/>
        </w:rPr>
        <w:t>[(1) All laws in force in the territory of India;]</w:t>
      </w:r>
    </w:p>
    <w:p>
      <w:pPr>
        <w:pStyle w:val="ListParagraph"/>
        <w:numPr>
          <w:ilvl w:val="0"/>
          <w:numId w:val="187"/>
        </w:numPr>
        <w:tabs>
          <w:tab w:pos="772" w:val="left" w:leader="none"/>
        </w:tabs>
        <w:spacing w:line="240" w:lineRule="auto" w:before="2" w:after="0"/>
        <w:ind w:left="500" w:right="445" w:firstLine="0"/>
        <w:jc w:val="both"/>
        <w:rPr>
          <w:sz w:val="18"/>
        </w:rPr>
      </w:pPr>
      <w:r>
        <w:rPr>
          <w:sz w:val="18"/>
        </w:rPr>
        <w:t>All public Acts passed or hereafter to be passed by Parliament [of the United Kingdom], and all local and personal Acts directed by Parliament [of the United Kingdom] to be judicially</w:t>
      </w:r>
      <w:r>
        <w:rPr>
          <w:spacing w:val="-12"/>
          <w:sz w:val="18"/>
        </w:rPr>
        <w:t> </w:t>
      </w:r>
      <w:r>
        <w:rPr>
          <w:sz w:val="18"/>
        </w:rPr>
        <w:t>noticed;</w:t>
      </w:r>
    </w:p>
    <w:p>
      <w:pPr>
        <w:pStyle w:val="ListParagraph"/>
        <w:numPr>
          <w:ilvl w:val="0"/>
          <w:numId w:val="187"/>
        </w:numPr>
        <w:tabs>
          <w:tab w:pos="772" w:val="left" w:leader="none"/>
        </w:tabs>
        <w:spacing w:line="206" w:lineRule="exact" w:before="0" w:after="0"/>
        <w:ind w:left="771" w:right="0" w:hanging="272"/>
        <w:jc w:val="both"/>
        <w:rPr>
          <w:sz w:val="18"/>
        </w:rPr>
      </w:pPr>
      <w:r>
        <w:rPr>
          <w:sz w:val="18"/>
        </w:rPr>
        <w:t>Articles of War for [the Indian] Army, [Navy or Air</w:t>
      </w:r>
      <w:r>
        <w:rPr>
          <w:spacing w:val="-9"/>
          <w:sz w:val="18"/>
        </w:rPr>
        <w:t> </w:t>
      </w:r>
      <w:r>
        <w:rPr>
          <w:sz w:val="18"/>
        </w:rPr>
        <w:t>Force];</w:t>
      </w:r>
    </w:p>
    <w:p>
      <w:pPr>
        <w:spacing w:before="0"/>
        <w:ind w:left="500" w:right="445" w:firstLine="0"/>
        <w:jc w:val="both"/>
        <w:rPr>
          <w:sz w:val="18"/>
        </w:rPr>
      </w:pPr>
      <w:r>
        <w:rPr>
          <w:sz w:val="18"/>
        </w:rPr>
        <w:t>[(4) The course of proceeding of Parliament of the United Kingdom, of the Constituent Assembly of India, of Parliament and of the legislatures established under any law for the time being in force in a Province or in the State;]</w:t>
      </w:r>
    </w:p>
    <w:p>
      <w:pPr>
        <w:pStyle w:val="ListParagraph"/>
        <w:numPr>
          <w:ilvl w:val="0"/>
          <w:numId w:val="188"/>
        </w:numPr>
        <w:tabs>
          <w:tab w:pos="772" w:val="left" w:leader="none"/>
        </w:tabs>
        <w:spacing w:line="240" w:lineRule="auto" w:before="0" w:after="0"/>
        <w:ind w:left="500" w:right="444" w:firstLine="0"/>
        <w:jc w:val="both"/>
        <w:rPr>
          <w:sz w:val="18"/>
        </w:rPr>
      </w:pPr>
      <w:r>
        <w:rPr>
          <w:sz w:val="18"/>
        </w:rPr>
        <w:t>The accession and the sign manual of the Sovereign for the time being of the United Kingdom of Great Britain and</w:t>
      </w:r>
      <w:r>
        <w:rPr>
          <w:spacing w:val="-1"/>
          <w:sz w:val="18"/>
        </w:rPr>
        <w:t> </w:t>
      </w:r>
      <w:r>
        <w:rPr>
          <w:sz w:val="18"/>
        </w:rPr>
        <w:t>Ireland;</w:t>
      </w:r>
    </w:p>
    <w:p>
      <w:pPr>
        <w:pStyle w:val="ListParagraph"/>
        <w:numPr>
          <w:ilvl w:val="0"/>
          <w:numId w:val="188"/>
        </w:numPr>
        <w:tabs>
          <w:tab w:pos="772" w:val="left" w:leader="none"/>
        </w:tabs>
        <w:spacing w:line="240" w:lineRule="auto" w:before="1" w:after="0"/>
        <w:ind w:left="500" w:right="440" w:firstLine="0"/>
        <w:jc w:val="both"/>
        <w:rPr>
          <w:sz w:val="18"/>
        </w:rPr>
      </w:pPr>
      <w:r>
        <w:rPr>
          <w:sz w:val="18"/>
        </w:rPr>
        <w:t>All seals of which English Courts take judicial notice: the seals of all the [Courts in [India]], and all Courts out of [India] established by the authority of 8[the Central Government or the Crown Representative]: the seals of Courts of Admiralty and Maritime Jurisdiction and of Notaries Public, and all seals which any person is authorized to use by [the Constitution or an Act of Parliament of the United Kingdom or an] Act or Regulation having the force of law in</w:t>
      </w:r>
      <w:r>
        <w:rPr>
          <w:spacing w:val="-6"/>
          <w:sz w:val="18"/>
        </w:rPr>
        <w:t> </w:t>
      </w:r>
      <w:r>
        <w:rPr>
          <w:sz w:val="18"/>
        </w:rPr>
        <w:t>[India];</w:t>
      </w:r>
    </w:p>
    <w:p>
      <w:pPr>
        <w:spacing w:after="0" w:line="240" w:lineRule="auto"/>
        <w:jc w:val="both"/>
        <w:rPr>
          <w:sz w:val="18"/>
        </w:rPr>
        <w:sectPr>
          <w:pgSz w:w="11910" w:h="16840"/>
          <w:pgMar w:header="721" w:footer="1014" w:top="1300" w:bottom="1200" w:left="940" w:right="1000"/>
        </w:sectPr>
      </w:pPr>
    </w:p>
    <w:p>
      <w:pPr>
        <w:pStyle w:val="BodyText"/>
        <w:spacing w:line="480" w:lineRule="auto" w:before="124"/>
        <w:ind w:left="500" w:right="436"/>
        <w:jc w:val="both"/>
      </w:pPr>
      <w:r>
        <w:rPr>
          <w:w w:val="99"/>
        </w:rPr>
        <w:t>judicial</w:t>
      </w:r>
      <w:r>
        <w:rPr/>
        <w:t> </w:t>
      </w:r>
      <w:r>
        <w:rPr>
          <w:w w:val="99"/>
        </w:rPr>
        <w:t>notice</w:t>
      </w:r>
      <w:r>
        <w:rPr/>
        <w:t> </w:t>
      </w:r>
      <w:r>
        <w:rPr>
          <w:w w:val="99"/>
        </w:rPr>
        <w:t>may</w:t>
      </w:r>
      <w:r>
        <w:rPr/>
        <w:t> </w:t>
      </w:r>
      <w:r>
        <w:rPr>
          <w:w w:val="99"/>
        </w:rPr>
        <w:t>be</w:t>
      </w:r>
      <w:r>
        <w:rPr/>
        <w:t> </w:t>
      </w:r>
      <w:r>
        <w:rPr>
          <w:w w:val="99"/>
        </w:rPr>
        <w:t>taken,</w:t>
      </w:r>
      <w:r>
        <w:rPr/>
        <w:t> </w:t>
      </w:r>
      <w:r>
        <w:rPr>
          <w:w w:val="99"/>
        </w:rPr>
        <w:t>it</w:t>
      </w:r>
      <w:r>
        <w:rPr/>
        <w:t> </w:t>
      </w:r>
      <w:r>
        <w:rPr>
          <w:w w:val="99"/>
        </w:rPr>
        <w:t>stipulates</w:t>
      </w:r>
      <w:r>
        <w:rPr/>
        <w:t> </w:t>
      </w:r>
      <w:r>
        <w:rPr>
          <w:w w:val="99"/>
        </w:rPr>
        <w:t>that</w:t>
      </w:r>
      <w:r>
        <w:rPr/>
        <w:t> </w:t>
      </w:r>
      <w:r>
        <w:rPr>
          <w:w w:val="33"/>
        </w:rPr>
        <w:t>―</w:t>
      </w:r>
      <w:r>
        <w:rPr>
          <w:w w:val="99"/>
        </w:rPr>
        <w:t>in</w:t>
      </w:r>
      <w:r>
        <w:rPr/>
        <w:t> </w:t>
      </w:r>
      <w:r>
        <w:rPr>
          <w:w w:val="99"/>
        </w:rPr>
        <w:t>all</w:t>
      </w:r>
      <w:r>
        <w:rPr/>
        <w:t> </w:t>
      </w:r>
      <w:r>
        <w:rPr>
          <w:w w:val="99"/>
        </w:rPr>
        <w:t>these</w:t>
      </w:r>
      <w:r>
        <w:rPr/>
        <w:t> </w:t>
      </w:r>
      <w:r>
        <w:rPr>
          <w:w w:val="99"/>
        </w:rPr>
        <w:t>cases,</w:t>
      </w:r>
      <w:r>
        <w:rPr/>
        <w:t> </w:t>
      </w:r>
      <w:r>
        <w:rPr>
          <w:w w:val="99"/>
        </w:rPr>
        <w:t>and</w:t>
      </w:r>
      <w:r>
        <w:rPr/>
        <w:t> </w:t>
      </w:r>
      <w:r>
        <w:rPr>
          <w:w w:val="99"/>
        </w:rPr>
        <w:t>also</w:t>
      </w:r>
      <w:r>
        <w:rPr/>
        <w:t> </w:t>
      </w:r>
      <w:r>
        <w:rPr>
          <w:w w:val="99"/>
        </w:rPr>
        <w:t>on</w:t>
      </w:r>
      <w:r>
        <w:rPr/>
        <w:t> </w:t>
      </w:r>
      <w:r>
        <w:rPr>
          <w:w w:val="99"/>
        </w:rPr>
        <w:t>all </w:t>
      </w:r>
      <w:r>
        <w:rPr/>
        <w:t>matters of public history, literature, science and arts, the court may resort to appropriate books or documents for reference‖. The above provision enables the </w:t>
      </w:r>
      <w:r>
        <w:rPr>
          <w:w w:val="99"/>
        </w:rPr>
        <w:t>court</w:t>
      </w:r>
      <w:r>
        <w:rPr/>
        <w:t> </w:t>
      </w:r>
      <w:r>
        <w:rPr>
          <w:w w:val="99"/>
        </w:rPr>
        <w:t>to</w:t>
      </w:r>
      <w:r>
        <w:rPr/>
        <w:t> </w:t>
      </w:r>
      <w:r>
        <w:rPr>
          <w:w w:val="99"/>
        </w:rPr>
        <w:t>resort</w:t>
      </w:r>
      <w:r>
        <w:rPr/>
        <w:t> </w:t>
      </w:r>
      <w:r>
        <w:rPr>
          <w:w w:val="33"/>
        </w:rPr>
        <w:t>―</w:t>
      </w:r>
      <w:r>
        <w:rPr>
          <w:w w:val="99"/>
        </w:rPr>
        <w:t>for</w:t>
      </w:r>
      <w:r>
        <w:rPr/>
        <w:t> </w:t>
      </w:r>
      <w:r>
        <w:rPr>
          <w:w w:val="99"/>
        </w:rPr>
        <w:t>its</w:t>
      </w:r>
      <w:r>
        <w:rPr/>
        <w:t> </w:t>
      </w:r>
      <w:r>
        <w:rPr>
          <w:w w:val="95"/>
        </w:rPr>
        <w:t>aid‖</w:t>
      </w:r>
      <w:r>
        <w:rPr/>
        <w:t> </w:t>
      </w:r>
      <w:r>
        <w:rPr>
          <w:w w:val="99"/>
        </w:rPr>
        <w:t>to</w:t>
      </w:r>
      <w:r>
        <w:rPr/>
        <w:t> </w:t>
      </w:r>
      <w:r>
        <w:rPr>
          <w:w w:val="99"/>
        </w:rPr>
        <w:t>books</w:t>
      </w:r>
      <w:r>
        <w:rPr/>
        <w:t> </w:t>
      </w:r>
      <w:r>
        <w:rPr>
          <w:w w:val="99"/>
        </w:rPr>
        <w:t>and</w:t>
      </w:r>
      <w:r>
        <w:rPr/>
        <w:t> </w:t>
      </w:r>
      <w:r>
        <w:rPr>
          <w:w w:val="99"/>
        </w:rPr>
        <w:t>reference</w:t>
      </w:r>
      <w:r>
        <w:rPr/>
        <w:t> </w:t>
      </w:r>
      <w:r>
        <w:rPr>
          <w:w w:val="99"/>
        </w:rPr>
        <w:t>documents</w:t>
      </w:r>
      <w:r>
        <w:rPr/>
        <w:t> </w:t>
      </w:r>
      <w:r>
        <w:rPr>
          <w:i/>
          <w:w w:val="99"/>
        </w:rPr>
        <w:t>inte</w:t>
      </w:r>
      <w:r>
        <w:rPr>
          <w:i/>
          <w:w w:val="99"/>
        </w:rPr>
        <w:t>r</w:t>
      </w:r>
      <w:r>
        <w:rPr>
          <w:i/>
        </w:rPr>
        <w:t> </w:t>
      </w:r>
      <w:r>
        <w:rPr>
          <w:i/>
          <w:w w:val="99"/>
        </w:rPr>
        <w:t>alia</w:t>
      </w:r>
      <w:r>
        <w:rPr>
          <w:i/>
        </w:rPr>
        <w:t> </w:t>
      </w:r>
      <w:r>
        <w:rPr>
          <w:w w:val="99"/>
        </w:rPr>
        <w:t>on</w:t>
      </w:r>
      <w:r>
        <w:rPr/>
        <w:t> </w:t>
      </w:r>
      <w:r>
        <w:rPr>
          <w:w w:val="99"/>
        </w:rPr>
        <w:t>m</w:t>
      </w:r>
      <w:r>
        <w:rPr>
          <w:w w:val="99"/>
        </w:rPr>
        <w:t>att</w:t>
      </w:r>
      <w:r>
        <w:rPr>
          <w:w w:val="99"/>
        </w:rPr>
        <w:t>er</w:t>
      </w:r>
      <w:r>
        <w:rPr>
          <w:w w:val="99"/>
        </w:rPr>
        <w:t>s </w:t>
      </w:r>
      <w:r>
        <w:rPr/>
        <w:t>of public history.</w:t>
      </w:r>
    </w:p>
    <w:p>
      <w:pPr>
        <w:pStyle w:val="BodyText"/>
        <w:spacing w:before="10"/>
        <w:rPr>
          <w:sz w:val="38"/>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While extensive reliance has been placed on the gazetteereers by counsel representing the plaintiffs in Suit 5 and by other counsel appearing for the Hindu parties, it is necessary to read them in the context of the principles of law which govern the reliance on gazetteereers.</w:t>
      </w:r>
    </w:p>
    <w:p>
      <w:pPr>
        <w:pStyle w:val="BodyText"/>
        <w:rPr>
          <w:sz w:val="39"/>
        </w:rPr>
      </w:pPr>
    </w:p>
    <w:p>
      <w:pPr>
        <w:pStyle w:val="ListParagraph"/>
        <w:numPr>
          <w:ilvl w:val="0"/>
          <w:numId w:val="166"/>
        </w:numPr>
        <w:tabs>
          <w:tab w:pos="1221" w:val="left" w:leader="none"/>
        </w:tabs>
        <w:spacing w:line="480" w:lineRule="auto" w:before="0" w:after="0"/>
        <w:ind w:left="500" w:right="434" w:firstLine="0"/>
        <w:jc w:val="both"/>
        <w:rPr>
          <w:sz w:val="25"/>
        </w:rPr>
      </w:pPr>
      <w:r>
        <w:rPr>
          <w:spacing w:val="-1"/>
          <w:w w:val="99"/>
          <w:sz w:val="25"/>
        </w:rPr>
        <w:t>S</w:t>
      </w:r>
      <w:r>
        <w:rPr>
          <w:w w:val="99"/>
          <w:sz w:val="25"/>
        </w:rPr>
        <w:t>ectio</w:t>
      </w:r>
      <w:r>
        <w:rPr>
          <w:w w:val="99"/>
          <w:sz w:val="25"/>
        </w:rPr>
        <w:t>n</w:t>
      </w:r>
      <w:r>
        <w:rPr>
          <w:sz w:val="25"/>
        </w:rPr>
        <w:t> </w:t>
      </w:r>
      <w:r>
        <w:rPr>
          <w:spacing w:val="-33"/>
          <w:sz w:val="25"/>
        </w:rPr>
        <w:t> </w:t>
      </w:r>
      <w:r>
        <w:rPr>
          <w:w w:val="99"/>
          <w:sz w:val="25"/>
        </w:rPr>
        <w:t>81</w:t>
      </w:r>
      <w:r>
        <w:rPr>
          <w:sz w:val="25"/>
        </w:rPr>
        <w:t> </w:t>
      </w:r>
      <w:r>
        <w:rPr>
          <w:spacing w:val="-34"/>
          <w:sz w:val="25"/>
        </w:rPr>
        <w:t> </w:t>
      </w:r>
      <w:r>
        <w:rPr>
          <w:w w:val="99"/>
          <w:sz w:val="25"/>
        </w:rPr>
        <w:t>of</w:t>
      </w:r>
      <w:r>
        <w:rPr>
          <w:sz w:val="25"/>
        </w:rPr>
        <w:t> </w:t>
      </w:r>
      <w:r>
        <w:rPr>
          <w:spacing w:val="-33"/>
          <w:sz w:val="25"/>
        </w:rPr>
        <w:t> </w:t>
      </w:r>
      <w:r>
        <w:rPr>
          <w:w w:val="99"/>
          <w:sz w:val="25"/>
        </w:rPr>
        <w:t>the</w:t>
      </w:r>
      <w:r>
        <w:rPr>
          <w:sz w:val="25"/>
        </w:rPr>
        <w:t> </w:t>
      </w:r>
      <w:r>
        <w:rPr>
          <w:spacing w:val="-33"/>
          <w:sz w:val="25"/>
        </w:rPr>
        <w:t> </w:t>
      </w:r>
      <w:r>
        <w:rPr>
          <w:spacing w:val="1"/>
          <w:w w:val="99"/>
          <w:sz w:val="25"/>
        </w:rPr>
        <w:t>E</w:t>
      </w:r>
      <w:r>
        <w:rPr>
          <w:w w:val="99"/>
          <w:sz w:val="25"/>
        </w:rPr>
        <w:t>v</w:t>
      </w:r>
      <w:r>
        <w:rPr>
          <w:spacing w:val="2"/>
          <w:w w:val="99"/>
          <w:sz w:val="25"/>
        </w:rPr>
        <w:t>i</w:t>
      </w:r>
      <w:r>
        <w:rPr>
          <w:w w:val="99"/>
          <w:sz w:val="25"/>
        </w:rPr>
        <w:t>dence</w:t>
      </w:r>
      <w:r>
        <w:rPr>
          <w:sz w:val="25"/>
        </w:rPr>
        <w:t> </w:t>
      </w:r>
      <w:r>
        <w:rPr>
          <w:spacing w:val="-34"/>
          <w:sz w:val="25"/>
        </w:rPr>
        <w:t> </w:t>
      </w:r>
      <w:r>
        <w:rPr>
          <w:spacing w:val="-1"/>
          <w:w w:val="99"/>
          <w:sz w:val="25"/>
        </w:rPr>
        <w:t>A</w:t>
      </w:r>
      <w:r>
        <w:rPr>
          <w:w w:val="99"/>
          <w:sz w:val="25"/>
        </w:rPr>
        <w:t>ct</w:t>
      </w:r>
      <w:r>
        <w:rPr>
          <w:sz w:val="25"/>
        </w:rPr>
        <w:t> </w:t>
      </w:r>
      <w:r>
        <w:rPr>
          <w:spacing w:val="-34"/>
          <w:sz w:val="25"/>
        </w:rPr>
        <w:t> </w:t>
      </w:r>
      <w:r>
        <w:rPr>
          <w:w w:val="99"/>
          <w:sz w:val="25"/>
        </w:rPr>
        <w:t>1872</w:t>
      </w:r>
      <w:r>
        <w:rPr>
          <w:sz w:val="25"/>
        </w:rPr>
        <w:t> </w:t>
      </w:r>
      <w:r>
        <w:rPr>
          <w:spacing w:val="-34"/>
          <w:sz w:val="25"/>
        </w:rPr>
        <w:t> </w:t>
      </w:r>
      <w:r>
        <w:rPr>
          <w:spacing w:val="5"/>
          <w:w w:val="99"/>
          <w:sz w:val="25"/>
        </w:rPr>
        <w:t>r</w:t>
      </w:r>
      <w:r>
        <w:rPr>
          <w:spacing w:val="-1"/>
          <w:w w:val="99"/>
          <w:sz w:val="25"/>
        </w:rPr>
        <w:t>e</w:t>
      </w:r>
      <w:r>
        <w:rPr>
          <w:w w:val="99"/>
          <w:sz w:val="25"/>
        </w:rPr>
        <w:t>q</w:t>
      </w:r>
      <w:r>
        <w:rPr>
          <w:spacing w:val="-1"/>
          <w:w w:val="99"/>
          <w:sz w:val="25"/>
        </w:rPr>
        <w:t>ui</w:t>
      </w:r>
      <w:r>
        <w:rPr>
          <w:w w:val="99"/>
          <w:sz w:val="25"/>
        </w:rPr>
        <w:t>r</w:t>
      </w:r>
      <w:r>
        <w:rPr>
          <w:spacing w:val="-1"/>
          <w:w w:val="99"/>
          <w:sz w:val="25"/>
        </w:rPr>
        <w:t>e</w:t>
      </w:r>
      <w:r>
        <w:rPr>
          <w:w w:val="99"/>
          <w:sz w:val="25"/>
        </w:rPr>
        <w:t>s</w:t>
      </w:r>
      <w:r>
        <w:rPr>
          <w:sz w:val="25"/>
        </w:rPr>
        <w:t> </w:t>
      </w:r>
      <w:r>
        <w:rPr>
          <w:spacing w:val="-34"/>
          <w:sz w:val="25"/>
        </w:rPr>
        <w:t> </w:t>
      </w:r>
      <w:r>
        <w:rPr>
          <w:w w:val="99"/>
          <w:sz w:val="25"/>
        </w:rPr>
        <w:t>the</w:t>
      </w:r>
      <w:r>
        <w:rPr>
          <w:sz w:val="25"/>
        </w:rPr>
        <w:t> </w:t>
      </w:r>
      <w:r>
        <w:rPr>
          <w:spacing w:val="-33"/>
          <w:sz w:val="25"/>
        </w:rPr>
        <w:t> </w:t>
      </w:r>
      <w:r>
        <w:rPr>
          <w:w w:val="99"/>
          <w:sz w:val="25"/>
        </w:rPr>
        <w:t>court</w:t>
      </w:r>
      <w:r>
        <w:rPr>
          <w:sz w:val="25"/>
        </w:rPr>
        <w:t> </w:t>
      </w:r>
      <w:r>
        <w:rPr>
          <w:spacing w:val="-34"/>
          <w:sz w:val="25"/>
        </w:rPr>
        <w:t> </w:t>
      </w:r>
      <w:r>
        <w:rPr>
          <w:w w:val="99"/>
          <w:sz w:val="25"/>
        </w:rPr>
        <w:t>to</w:t>
      </w:r>
      <w:r>
        <w:rPr>
          <w:sz w:val="25"/>
        </w:rPr>
        <w:t> </w:t>
      </w:r>
      <w:r>
        <w:rPr>
          <w:spacing w:val="-33"/>
          <w:sz w:val="25"/>
        </w:rPr>
        <w:t> </w:t>
      </w:r>
      <w:r>
        <w:rPr>
          <w:w w:val="33"/>
          <w:sz w:val="25"/>
        </w:rPr>
        <w:t>―</w:t>
      </w:r>
      <w:r>
        <w:rPr>
          <w:spacing w:val="-1"/>
          <w:w w:val="99"/>
          <w:sz w:val="25"/>
        </w:rPr>
        <w:t>p</w:t>
      </w:r>
      <w:r>
        <w:rPr>
          <w:w w:val="99"/>
          <w:sz w:val="25"/>
        </w:rPr>
        <w:t>r</w:t>
      </w:r>
      <w:r>
        <w:rPr>
          <w:spacing w:val="-3"/>
          <w:w w:val="99"/>
          <w:sz w:val="25"/>
        </w:rPr>
        <w:t>e</w:t>
      </w:r>
      <w:r>
        <w:rPr>
          <w:w w:val="99"/>
          <w:sz w:val="25"/>
        </w:rPr>
        <w:t>su</w:t>
      </w:r>
      <w:r>
        <w:rPr>
          <w:spacing w:val="1"/>
          <w:w w:val="99"/>
          <w:sz w:val="25"/>
        </w:rPr>
        <w:t>m</w:t>
      </w:r>
      <w:r>
        <w:rPr>
          <w:w w:val="99"/>
          <w:sz w:val="25"/>
        </w:rPr>
        <w:t>e</w:t>
      </w:r>
      <w:r>
        <w:rPr>
          <w:sz w:val="25"/>
        </w:rPr>
        <w:t> </w:t>
      </w:r>
      <w:r>
        <w:rPr>
          <w:spacing w:val="-34"/>
          <w:sz w:val="25"/>
        </w:rPr>
        <w:t> </w:t>
      </w:r>
      <w:r>
        <w:rPr>
          <w:w w:val="99"/>
          <w:sz w:val="25"/>
        </w:rPr>
        <w:t>the </w:t>
      </w:r>
      <w:r>
        <w:rPr>
          <w:sz w:val="25"/>
        </w:rPr>
        <w:t>genuineness of every document purporting to be‖ any Official Gazetteere or the </w:t>
      </w:r>
      <w:r>
        <w:rPr>
          <w:w w:val="99"/>
          <w:sz w:val="25"/>
        </w:rPr>
        <w:t>Go</w:t>
      </w:r>
      <w:r>
        <w:rPr>
          <w:spacing w:val="-2"/>
          <w:w w:val="99"/>
          <w:sz w:val="25"/>
        </w:rPr>
        <w:t>v</w:t>
      </w:r>
      <w:r>
        <w:rPr>
          <w:spacing w:val="-1"/>
          <w:w w:val="99"/>
          <w:sz w:val="25"/>
        </w:rPr>
        <w:t>e</w:t>
      </w:r>
      <w:r>
        <w:rPr>
          <w:w w:val="99"/>
          <w:sz w:val="25"/>
        </w:rPr>
        <w:t>r</w:t>
      </w:r>
      <w:r>
        <w:rPr>
          <w:spacing w:val="-1"/>
          <w:w w:val="99"/>
          <w:sz w:val="25"/>
        </w:rPr>
        <w:t>n</w:t>
      </w:r>
      <w:r>
        <w:rPr>
          <w:w w:val="99"/>
          <w:sz w:val="25"/>
        </w:rPr>
        <w:t>m</w:t>
      </w:r>
      <w:r>
        <w:rPr>
          <w:spacing w:val="-1"/>
          <w:w w:val="99"/>
          <w:sz w:val="25"/>
        </w:rPr>
        <w:t>e</w:t>
      </w:r>
      <w:r>
        <w:rPr>
          <w:w w:val="99"/>
          <w:sz w:val="25"/>
        </w:rPr>
        <w:t>nt</w:t>
      </w:r>
      <w:r>
        <w:rPr>
          <w:sz w:val="25"/>
        </w:rPr>
        <w:t> </w:t>
      </w:r>
      <w:r>
        <w:rPr>
          <w:spacing w:val="-19"/>
          <w:sz w:val="25"/>
        </w:rPr>
        <w:t> </w:t>
      </w:r>
      <w:r>
        <w:rPr>
          <w:w w:val="99"/>
          <w:sz w:val="25"/>
        </w:rPr>
        <w:t>Gazette</w:t>
      </w:r>
      <w:r>
        <w:rPr>
          <w:sz w:val="25"/>
        </w:rPr>
        <w:t> </w:t>
      </w:r>
      <w:r>
        <w:rPr>
          <w:spacing w:val="-19"/>
          <w:sz w:val="25"/>
        </w:rPr>
        <w:t> </w:t>
      </w:r>
      <w:r>
        <w:rPr>
          <w:w w:val="33"/>
          <w:sz w:val="25"/>
        </w:rPr>
        <w:t>―</w:t>
      </w:r>
      <w:r>
        <w:rPr>
          <w:spacing w:val="-1"/>
          <w:w w:val="99"/>
          <w:sz w:val="25"/>
        </w:rPr>
        <w:t>o</w:t>
      </w:r>
      <w:r>
        <w:rPr>
          <w:w w:val="99"/>
          <w:sz w:val="25"/>
        </w:rPr>
        <w:t>f</w:t>
      </w:r>
      <w:r>
        <w:rPr>
          <w:sz w:val="25"/>
        </w:rPr>
        <w:t> </w:t>
      </w:r>
      <w:r>
        <w:rPr>
          <w:spacing w:val="-19"/>
          <w:sz w:val="25"/>
        </w:rPr>
        <w:t> </w:t>
      </w:r>
      <w:r>
        <w:rPr>
          <w:spacing w:val="-1"/>
          <w:w w:val="99"/>
          <w:sz w:val="25"/>
        </w:rPr>
        <w:t>a</w:t>
      </w:r>
      <w:r>
        <w:rPr>
          <w:w w:val="99"/>
          <w:sz w:val="25"/>
        </w:rPr>
        <w:t>ny</w:t>
      </w:r>
      <w:r>
        <w:rPr>
          <w:sz w:val="25"/>
        </w:rPr>
        <w:t> </w:t>
      </w:r>
      <w:r>
        <w:rPr>
          <w:spacing w:val="-22"/>
          <w:sz w:val="25"/>
        </w:rPr>
        <w:t> </w:t>
      </w:r>
      <w:r>
        <w:rPr>
          <w:w w:val="99"/>
          <w:sz w:val="25"/>
        </w:rPr>
        <w:t>colo</w:t>
      </w:r>
      <w:r>
        <w:rPr>
          <w:spacing w:val="3"/>
          <w:w w:val="99"/>
          <w:sz w:val="25"/>
        </w:rPr>
        <w:t>n</w:t>
      </w:r>
      <w:r>
        <w:rPr>
          <w:spacing w:val="-3"/>
          <w:w w:val="99"/>
          <w:sz w:val="25"/>
        </w:rPr>
        <w:t>y</w:t>
      </w:r>
      <w:r>
        <w:rPr>
          <w:w w:val="99"/>
          <w:sz w:val="25"/>
        </w:rPr>
        <w:t>,</w:t>
      </w:r>
      <w:r>
        <w:rPr>
          <w:sz w:val="25"/>
        </w:rPr>
        <w:t> </w:t>
      </w:r>
      <w:r>
        <w:rPr>
          <w:spacing w:val="-19"/>
          <w:sz w:val="25"/>
        </w:rPr>
        <w:t> </w:t>
      </w:r>
      <w:r>
        <w:rPr>
          <w:spacing w:val="-1"/>
          <w:w w:val="99"/>
          <w:sz w:val="25"/>
        </w:rPr>
        <w:t>d</w:t>
      </w:r>
      <w:r>
        <w:rPr>
          <w:w w:val="99"/>
          <w:sz w:val="25"/>
        </w:rPr>
        <w:t>e</w:t>
      </w:r>
      <w:r>
        <w:rPr>
          <w:spacing w:val="2"/>
          <w:w w:val="99"/>
          <w:sz w:val="25"/>
        </w:rPr>
        <w:t>p</w:t>
      </w:r>
      <w:r>
        <w:rPr>
          <w:spacing w:val="-1"/>
          <w:w w:val="99"/>
          <w:sz w:val="25"/>
        </w:rPr>
        <w:t>e</w:t>
      </w:r>
      <w:r>
        <w:rPr>
          <w:w w:val="99"/>
          <w:sz w:val="25"/>
        </w:rPr>
        <w:t>n</w:t>
      </w:r>
      <w:r>
        <w:rPr>
          <w:spacing w:val="-1"/>
          <w:w w:val="99"/>
          <w:sz w:val="25"/>
        </w:rPr>
        <w:t>d</w:t>
      </w:r>
      <w:r>
        <w:rPr>
          <w:w w:val="99"/>
          <w:sz w:val="25"/>
        </w:rPr>
        <w:t>e</w:t>
      </w:r>
      <w:r>
        <w:rPr>
          <w:spacing w:val="-1"/>
          <w:w w:val="99"/>
          <w:sz w:val="25"/>
        </w:rPr>
        <w:t>nc</w:t>
      </w:r>
      <w:r>
        <w:rPr>
          <w:w w:val="99"/>
          <w:sz w:val="25"/>
        </w:rPr>
        <w:t>y</w:t>
      </w:r>
      <w:r>
        <w:rPr>
          <w:sz w:val="25"/>
        </w:rPr>
        <w:t> </w:t>
      </w:r>
      <w:r>
        <w:rPr>
          <w:spacing w:val="-22"/>
          <w:sz w:val="25"/>
        </w:rPr>
        <w:t> </w:t>
      </w:r>
      <w:r>
        <w:rPr>
          <w:spacing w:val="-1"/>
          <w:w w:val="99"/>
          <w:sz w:val="25"/>
        </w:rPr>
        <w:t>o</w:t>
      </w:r>
      <w:r>
        <w:rPr>
          <w:w w:val="99"/>
          <w:sz w:val="25"/>
        </w:rPr>
        <w:t>r</w:t>
      </w:r>
      <w:r>
        <w:rPr>
          <w:sz w:val="25"/>
        </w:rPr>
        <w:t> </w:t>
      </w:r>
      <w:r>
        <w:rPr>
          <w:spacing w:val="-19"/>
          <w:sz w:val="25"/>
        </w:rPr>
        <w:t> </w:t>
      </w:r>
      <w:r>
        <w:rPr>
          <w:spacing w:val="-1"/>
          <w:w w:val="99"/>
          <w:sz w:val="25"/>
        </w:rPr>
        <w:t>p</w:t>
      </w:r>
      <w:r>
        <w:rPr>
          <w:w w:val="99"/>
          <w:sz w:val="25"/>
        </w:rPr>
        <w:t>ossess</w:t>
      </w:r>
      <w:r>
        <w:rPr>
          <w:spacing w:val="2"/>
          <w:w w:val="99"/>
          <w:sz w:val="25"/>
        </w:rPr>
        <w:t>i</w:t>
      </w:r>
      <w:r>
        <w:rPr>
          <w:spacing w:val="-1"/>
          <w:w w:val="99"/>
          <w:sz w:val="25"/>
        </w:rPr>
        <w:t>o</w:t>
      </w:r>
      <w:r>
        <w:rPr>
          <w:w w:val="99"/>
          <w:sz w:val="25"/>
        </w:rPr>
        <w:t>n</w:t>
      </w:r>
      <w:r>
        <w:rPr>
          <w:sz w:val="25"/>
        </w:rPr>
        <w:t> </w:t>
      </w:r>
      <w:r>
        <w:rPr>
          <w:spacing w:val="-19"/>
          <w:sz w:val="25"/>
        </w:rPr>
        <w:t> </w:t>
      </w:r>
      <w:r>
        <w:rPr>
          <w:spacing w:val="-1"/>
          <w:w w:val="99"/>
          <w:sz w:val="25"/>
        </w:rPr>
        <w:t>o</w:t>
      </w:r>
      <w:r>
        <w:rPr>
          <w:w w:val="99"/>
          <w:sz w:val="25"/>
        </w:rPr>
        <w:t>f</w:t>
      </w:r>
      <w:r>
        <w:rPr>
          <w:sz w:val="25"/>
        </w:rPr>
        <w:t> </w:t>
      </w:r>
      <w:r>
        <w:rPr>
          <w:spacing w:val="-19"/>
          <w:sz w:val="25"/>
        </w:rPr>
        <w:t> </w:t>
      </w:r>
      <w:r>
        <w:rPr>
          <w:w w:val="99"/>
          <w:sz w:val="25"/>
        </w:rPr>
        <w:t>the</w:t>
      </w:r>
      <w:r>
        <w:rPr>
          <w:sz w:val="25"/>
        </w:rPr>
        <w:t> </w:t>
      </w:r>
      <w:r>
        <w:rPr>
          <w:spacing w:val="-19"/>
          <w:sz w:val="25"/>
        </w:rPr>
        <w:t> </w:t>
      </w:r>
      <w:r>
        <w:rPr>
          <w:spacing w:val="-1"/>
          <w:w w:val="99"/>
          <w:sz w:val="25"/>
        </w:rPr>
        <w:t>B</w:t>
      </w:r>
      <w:r>
        <w:rPr>
          <w:w w:val="99"/>
          <w:sz w:val="25"/>
        </w:rPr>
        <w:t>r</w:t>
      </w:r>
      <w:r>
        <w:rPr>
          <w:spacing w:val="-1"/>
          <w:w w:val="99"/>
          <w:sz w:val="25"/>
        </w:rPr>
        <w:t>itish </w:t>
      </w:r>
      <w:r>
        <w:rPr>
          <w:sz w:val="25"/>
        </w:rPr>
        <w:t>Crown‖.</w:t>
      </w:r>
      <w:r>
        <w:rPr>
          <w:sz w:val="25"/>
          <w:vertAlign w:val="superscript"/>
        </w:rPr>
        <w:t>313</w:t>
      </w:r>
      <w:r>
        <w:rPr>
          <w:spacing w:val="13"/>
          <w:sz w:val="25"/>
          <w:vertAlign w:val="baseline"/>
        </w:rPr>
        <w:t> </w:t>
      </w:r>
      <w:r>
        <w:rPr>
          <w:sz w:val="25"/>
          <w:vertAlign w:val="baseline"/>
        </w:rPr>
        <w:t>Section</w:t>
      </w:r>
      <w:r>
        <w:rPr>
          <w:spacing w:val="15"/>
          <w:sz w:val="25"/>
          <w:vertAlign w:val="baseline"/>
        </w:rPr>
        <w:t> </w:t>
      </w:r>
      <w:r>
        <w:rPr>
          <w:sz w:val="25"/>
          <w:vertAlign w:val="baseline"/>
        </w:rPr>
        <w:t>81</w:t>
      </w:r>
      <w:r>
        <w:rPr>
          <w:spacing w:val="15"/>
          <w:sz w:val="25"/>
          <w:vertAlign w:val="baseline"/>
        </w:rPr>
        <w:t> </w:t>
      </w:r>
      <w:r>
        <w:rPr>
          <w:sz w:val="25"/>
          <w:vertAlign w:val="baseline"/>
        </w:rPr>
        <w:t>raises</w:t>
      </w:r>
      <w:r>
        <w:rPr>
          <w:spacing w:val="15"/>
          <w:sz w:val="25"/>
          <w:vertAlign w:val="baseline"/>
        </w:rPr>
        <w:t> </w:t>
      </w:r>
      <w:r>
        <w:rPr>
          <w:sz w:val="25"/>
          <w:vertAlign w:val="baseline"/>
        </w:rPr>
        <w:t>a</w:t>
      </w:r>
      <w:r>
        <w:rPr>
          <w:spacing w:val="15"/>
          <w:sz w:val="25"/>
          <w:vertAlign w:val="baseline"/>
        </w:rPr>
        <w:t> </w:t>
      </w:r>
      <w:r>
        <w:rPr>
          <w:sz w:val="25"/>
          <w:vertAlign w:val="baseline"/>
        </w:rPr>
        <w:t>presumption</w:t>
      </w:r>
      <w:r>
        <w:rPr>
          <w:spacing w:val="16"/>
          <w:sz w:val="25"/>
          <w:vertAlign w:val="baseline"/>
        </w:rPr>
        <w:t> </w:t>
      </w:r>
      <w:r>
        <w:rPr>
          <w:sz w:val="25"/>
          <w:vertAlign w:val="baseline"/>
        </w:rPr>
        <w:t>of</w:t>
      </w:r>
      <w:r>
        <w:rPr>
          <w:spacing w:val="15"/>
          <w:sz w:val="25"/>
          <w:vertAlign w:val="baseline"/>
        </w:rPr>
        <w:t> </w:t>
      </w:r>
      <w:r>
        <w:rPr>
          <w:sz w:val="25"/>
          <w:vertAlign w:val="baseline"/>
        </w:rPr>
        <w:t>the</w:t>
      </w:r>
      <w:r>
        <w:rPr>
          <w:spacing w:val="15"/>
          <w:sz w:val="25"/>
          <w:vertAlign w:val="baseline"/>
        </w:rPr>
        <w:t> </w:t>
      </w:r>
      <w:r>
        <w:rPr>
          <w:sz w:val="25"/>
          <w:vertAlign w:val="baseline"/>
        </w:rPr>
        <w:t>genuineness</w:t>
      </w:r>
      <w:r>
        <w:rPr>
          <w:spacing w:val="15"/>
          <w:sz w:val="25"/>
          <w:vertAlign w:val="baseline"/>
        </w:rPr>
        <w:t> </w:t>
      </w:r>
      <w:r>
        <w:rPr>
          <w:sz w:val="25"/>
          <w:vertAlign w:val="baseline"/>
        </w:rPr>
        <w:t>of</w:t>
      </w:r>
      <w:r>
        <w:rPr>
          <w:spacing w:val="17"/>
          <w:sz w:val="25"/>
          <w:vertAlign w:val="baseline"/>
        </w:rPr>
        <w:t> </w:t>
      </w:r>
      <w:r>
        <w:rPr>
          <w:sz w:val="25"/>
          <w:vertAlign w:val="baseline"/>
        </w:rPr>
        <w:t>the</w:t>
      </w:r>
      <w:r>
        <w:rPr>
          <w:spacing w:val="14"/>
          <w:sz w:val="25"/>
          <w:vertAlign w:val="baseline"/>
        </w:rPr>
        <w:t> </w:t>
      </w:r>
      <w:r>
        <w:rPr>
          <w:sz w:val="25"/>
          <w:vertAlign w:val="baseline"/>
        </w:rPr>
        <w:t>document</w:t>
      </w:r>
    </w:p>
    <w:p>
      <w:pPr>
        <w:pStyle w:val="BodyText"/>
        <w:spacing w:before="4"/>
        <w:rPr>
          <w:sz w:val="22"/>
        </w:rPr>
      </w:pPr>
      <w:r>
        <w:rPr/>
        <w:pict>
          <v:rect style="position:absolute;margin-left:72.024002pt;margin-top:14.838886pt;width:451.39pt;height:.600010pt;mso-position-horizontal-relative:page;mso-position-vertical-relative:paragraph;z-index:-15637504;mso-wrap-distance-left:0;mso-wrap-distance-right:0" filled="true" fillcolor="#000000" stroked="false">
            <v:fill type="solid"/>
            <w10:wrap type="topAndBottom"/>
          </v:rect>
        </w:pict>
      </w:r>
    </w:p>
    <w:p>
      <w:pPr>
        <w:pStyle w:val="ListParagraph"/>
        <w:numPr>
          <w:ilvl w:val="0"/>
          <w:numId w:val="188"/>
        </w:numPr>
        <w:tabs>
          <w:tab w:pos="772" w:val="left" w:leader="none"/>
        </w:tabs>
        <w:spacing w:line="240" w:lineRule="auto" w:before="80" w:after="0"/>
        <w:ind w:left="500" w:right="446" w:firstLine="0"/>
        <w:jc w:val="both"/>
        <w:rPr>
          <w:sz w:val="18"/>
        </w:rPr>
      </w:pPr>
      <w:r>
        <w:rPr>
          <w:sz w:val="18"/>
        </w:rPr>
        <w:t>The accession to office, names, titles, functions, and signatures of the persons filling for the time being any public office in any State, if the fact of their appointment to such office is notified in [any Official</w:t>
      </w:r>
      <w:r>
        <w:rPr>
          <w:spacing w:val="-30"/>
          <w:sz w:val="18"/>
        </w:rPr>
        <w:t> </w:t>
      </w:r>
      <w:r>
        <w:rPr>
          <w:sz w:val="18"/>
        </w:rPr>
        <w:t>Gazette];</w:t>
      </w:r>
    </w:p>
    <w:p>
      <w:pPr>
        <w:pStyle w:val="ListParagraph"/>
        <w:numPr>
          <w:ilvl w:val="0"/>
          <w:numId w:val="188"/>
        </w:numPr>
        <w:tabs>
          <w:tab w:pos="772" w:val="left" w:leader="none"/>
        </w:tabs>
        <w:spacing w:line="206" w:lineRule="exact" w:before="0" w:after="0"/>
        <w:ind w:left="771" w:right="0" w:hanging="272"/>
        <w:jc w:val="both"/>
        <w:rPr>
          <w:sz w:val="18"/>
        </w:rPr>
      </w:pPr>
      <w:r>
        <w:rPr>
          <w:sz w:val="18"/>
        </w:rPr>
        <w:t>The existence, title and national flag of every State or Sovereign recognized by [the Government of</w:t>
      </w:r>
      <w:r>
        <w:rPr>
          <w:spacing w:val="-32"/>
          <w:sz w:val="18"/>
        </w:rPr>
        <w:t> </w:t>
      </w:r>
      <w:r>
        <w:rPr>
          <w:sz w:val="18"/>
        </w:rPr>
        <w:t>India];</w:t>
      </w:r>
    </w:p>
    <w:p>
      <w:pPr>
        <w:pStyle w:val="ListParagraph"/>
        <w:numPr>
          <w:ilvl w:val="0"/>
          <w:numId w:val="188"/>
        </w:numPr>
        <w:tabs>
          <w:tab w:pos="772" w:val="left" w:leader="none"/>
        </w:tabs>
        <w:spacing w:line="240" w:lineRule="auto" w:before="0" w:after="0"/>
        <w:ind w:left="500" w:right="439" w:firstLine="0"/>
        <w:jc w:val="both"/>
        <w:rPr>
          <w:sz w:val="18"/>
        </w:rPr>
      </w:pPr>
      <w:r>
        <w:rPr>
          <w:sz w:val="18"/>
        </w:rPr>
        <w:t>The divisions of time, the geographical divisions of the world, and public festivals, fasts and holidays notified in the Official</w:t>
      </w:r>
      <w:r>
        <w:rPr>
          <w:spacing w:val="-3"/>
          <w:sz w:val="18"/>
        </w:rPr>
        <w:t> </w:t>
      </w:r>
      <w:r>
        <w:rPr>
          <w:sz w:val="18"/>
        </w:rPr>
        <w:t>Gazette;</w:t>
      </w:r>
    </w:p>
    <w:p>
      <w:pPr>
        <w:pStyle w:val="ListParagraph"/>
        <w:numPr>
          <w:ilvl w:val="0"/>
          <w:numId w:val="188"/>
        </w:numPr>
        <w:tabs>
          <w:tab w:pos="873" w:val="left" w:leader="none"/>
        </w:tabs>
        <w:spacing w:line="240" w:lineRule="auto" w:before="1" w:after="0"/>
        <w:ind w:left="872" w:right="0" w:hanging="373"/>
        <w:jc w:val="both"/>
        <w:rPr>
          <w:sz w:val="18"/>
        </w:rPr>
      </w:pPr>
      <w:r>
        <w:rPr>
          <w:sz w:val="18"/>
        </w:rPr>
        <w:t>The territories under the dominion of [the Government of</w:t>
      </w:r>
      <w:r>
        <w:rPr>
          <w:spacing w:val="-14"/>
          <w:sz w:val="18"/>
        </w:rPr>
        <w:t> </w:t>
      </w:r>
      <w:r>
        <w:rPr>
          <w:sz w:val="18"/>
        </w:rPr>
        <w:t>India];</w:t>
      </w:r>
    </w:p>
    <w:p>
      <w:pPr>
        <w:pStyle w:val="ListParagraph"/>
        <w:numPr>
          <w:ilvl w:val="0"/>
          <w:numId w:val="188"/>
        </w:numPr>
        <w:tabs>
          <w:tab w:pos="873" w:val="left" w:leader="none"/>
        </w:tabs>
        <w:spacing w:line="240" w:lineRule="auto" w:before="0" w:after="0"/>
        <w:ind w:left="500" w:right="444" w:firstLine="0"/>
        <w:jc w:val="both"/>
        <w:rPr>
          <w:sz w:val="18"/>
        </w:rPr>
      </w:pPr>
      <w:r>
        <w:rPr>
          <w:sz w:val="18"/>
        </w:rPr>
        <w:t>The commencement, continuance, and termination of hostilities between [the Government of India] and any other State or body of</w:t>
      </w:r>
      <w:r>
        <w:rPr>
          <w:spacing w:val="-5"/>
          <w:sz w:val="18"/>
        </w:rPr>
        <w:t> </w:t>
      </w:r>
      <w:r>
        <w:rPr>
          <w:sz w:val="18"/>
        </w:rPr>
        <w:t>persons;</w:t>
      </w:r>
    </w:p>
    <w:p>
      <w:pPr>
        <w:pStyle w:val="ListParagraph"/>
        <w:numPr>
          <w:ilvl w:val="0"/>
          <w:numId w:val="188"/>
        </w:numPr>
        <w:tabs>
          <w:tab w:pos="873" w:val="left" w:leader="none"/>
        </w:tabs>
        <w:spacing w:line="240" w:lineRule="auto" w:before="1" w:after="0"/>
        <w:ind w:left="500" w:right="445" w:firstLine="0"/>
        <w:jc w:val="both"/>
        <w:rPr>
          <w:sz w:val="18"/>
        </w:rPr>
      </w:pPr>
      <w:r>
        <w:rPr>
          <w:sz w:val="18"/>
        </w:rPr>
        <w:t>The names of the members and officers of the Court and of their deputies and subordinate officers and assistants, and also of all officers acting in execution of its process, and of all advocates, attorneys, proctors, vakils, pleaders and other persons authorized by law to appear or act before</w:t>
      </w:r>
      <w:r>
        <w:rPr>
          <w:spacing w:val="-16"/>
          <w:sz w:val="18"/>
        </w:rPr>
        <w:t> </w:t>
      </w:r>
      <w:r>
        <w:rPr>
          <w:sz w:val="18"/>
        </w:rPr>
        <w:t>it;</w:t>
      </w:r>
    </w:p>
    <w:p>
      <w:pPr>
        <w:pStyle w:val="ListParagraph"/>
        <w:numPr>
          <w:ilvl w:val="0"/>
          <w:numId w:val="188"/>
        </w:numPr>
        <w:tabs>
          <w:tab w:pos="873" w:val="left" w:leader="none"/>
        </w:tabs>
        <w:spacing w:line="205" w:lineRule="exact" w:before="0" w:after="0"/>
        <w:ind w:left="872" w:right="0" w:hanging="373"/>
        <w:jc w:val="both"/>
        <w:rPr>
          <w:sz w:val="18"/>
        </w:rPr>
      </w:pPr>
      <w:r>
        <w:rPr>
          <w:sz w:val="18"/>
        </w:rPr>
        <w:t>The rule of the road, [on land or at</w:t>
      </w:r>
      <w:r>
        <w:rPr>
          <w:spacing w:val="-18"/>
          <w:sz w:val="18"/>
        </w:rPr>
        <w:t> </w:t>
      </w:r>
      <w:r>
        <w:rPr>
          <w:sz w:val="18"/>
        </w:rPr>
        <w:t>sea].</w:t>
      </w:r>
    </w:p>
    <w:p>
      <w:pPr>
        <w:spacing w:before="2"/>
        <w:ind w:left="500" w:right="439" w:firstLine="201"/>
        <w:jc w:val="both"/>
        <w:rPr>
          <w:sz w:val="18"/>
        </w:rPr>
      </w:pPr>
      <w:r>
        <w:rPr>
          <w:sz w:val="18"/>
        </w:rPr>
        <w:t>In all these cases, and also on all matters of public history, literature, science or art, the Court may resort for its aid to appropriate books or documents of</w:t>
      </w:r>
      <w:r>
        <w:rPr>
          <w:spacing w:val="-4"/>
          <w:sz w:val="18"/>
        </w:rPr>
        <w:t> </w:t>
      </w:r>
      <w:r>
        <w:rPr>
          <w:sz w:val="18"/>
        </w:rPr>
        <w:t>reference.</w:t>
      </w:r>
    </w:p>
    <w:p>
      <w:pPr>
        <w:spacing w:before="0"/>
        <w:ind w:left="500" w:right="445" w:firstLine="151"/>
        <w:jc w:val="both"/>
        <w:rPr>
          <w:sz w:val="18"/>
        </w:rPr>
      </w:pPr>
      <w:r>
        <w:rPr>
          <w:sz w:val="18"/>
        </w:rPr>
        <w:t>If the Court is called upon by any person to take judicial notice of any fact, it may refuse to do so, unless and until such person produces any such book or document as it may consider necessary to enable it to do so.</w:t>
      </w:r>
    </w:p>
    <w:p>
      <w:pPr>
        <w:pStyle w:val="BodyText"/>
        <w:rPr>
          <w:sz w:val="20"/>
        </w:rPr>
      </w:pPr>
    </w:p>
    <w:p>
      <w:pPr>
        <w:pStyle w:val="BodyText"/>
        <w:spacing w:before="10"/>
        <w:rPr>
          <w:sz w:val="15"/>
        </w:rPr>
      </w:pPr>
    </w:p>
    <w:p>
      <w:pPr>
        <w:spacing w:line="207" w:lineRule="exact" w:before="1"/>
        <w:ind w:left="500" w:right="0" w:firstLine="0"/>
        <w:jc w:val="both"/>
        <w:rPr>
          <w:sz w:val="18"/>
        </w:rPr>
      </w:pPr>
      <w:r>
        <w:rPr>
          <w:sz w:val="18"/>
          <w:vertAlign w:val="superscript"/>
        </w:rPr>
        <w:t>313</w:t>
      </w:r>
      <w:r>
        <w:rPr>
          <w:sz w:val="18"/>
          <w:vertAlign w:val="baseline"/>
        </w:rPr>
        <w:t> Section 81 of the Evidence Act 1872 provides thus:</w:t>
      </w:r>
    </w:p>
    <w:p>
      <w:pPr>
        <w:spacing w:before="0"/>
        <w:ind w:left="500" w:right="434" w:firstLine="0"/>
        <w:jc w:val="both"/>
        <w:rPr>
          <w:sz w:val="18"/>
        </w:rPr>
      </w:pPr>
      <w:r>
        <w:rPr>
          <w:sz w:val="18"/>
        </w:rPr>
        <w:t>Presumption as to Gazettes, newspapers, private Acts of Parliament and other documents - The Court shall presume the genuineness of every document purporting to be the London Gazette, or [any Official Gazette, or  the Government Gazette] of any colony, dependency of possession of the British Crown, or to be a newspaper or journal, or to be a copy of a private Act of Parliament [of the United Kingdom] printed by the Queen's Printer, and of every document purporting to be a document directed by any law to be kept by any person, if such document  is kept substantially in the form required by law and is produced from proper</w:t>
      </w:r>
      <w:r>
        <w:rPr>
          <w:spacing w:val="-23"/>
          <w:sz w:val="18"/>
        </w:rPr>
        <w:t> </w:t>
      </w:r>
      <w:r>
        <w:rPr>
          <w:sz w:val="18"/>
        </w:rPr>
        <w:t>custody.</w:t>
      </w:r>
    </w:p>
    <w:p>
      <w:pPr>
        <w:spacing w:after="0"/>
        <w:jc w:val="both"/>
        <w:rPr>
          <w:sz w:val="18"/>
        </w:rPr>
        <w:sectPr>
          <w:pgSz w:w="11910" w:h="16840"/>
          <w:pgMar w:header="721" w:footer="1014" w:top="1300" w:bottom="1200" w:left="940" w:right="1000"/>
        </w:sectPr>
      </w:pPr>
    </w:p>
    <w:p>
      <w:pPr>
        <w:pStyle w:val="BodyText"/>
        <w:spacing w:line="480" w:lineRule="auto" w:before="124"/>
        <w:ind w:left="500" w:right="433"/>
        <w:jc w:val="both"/>
      </w:pPr>
      <w:r>
        <w:rPr/>
        <w:t>and not of its contents. When the court has to form an opinion on the existence of a fact of a public nature, Section 37 of the Evidence Act</w:t>
      </w:r>
      <w:r>
        <w:rPr>
          <w:vertAlign w:val="superscript"/>
        </w:rPr>
        <w:t>314</w:t>
      </w:r>
      <w:r>
        <w:rPr>
          <w:vertAlign w:val="baseline"/>
        </w:rPr>
        <w:t> indicates that </w:t>
      </w:r>
      <w:r>
        <w:rPr>
          <w:spacing w:val="-4"/>
          <w:vertAlign w:val="baseline"/>
        </w:rPr>
        <w:t>any </w:t>
      </w:r>
      <w:r>
        <w:rPr>
          <w:vertAlign w:val="baseline"/>
        </w:rPr>
        <w:t>statement of it in a government gazette is a relevant fact. While gazetteereers have been noticed in several decisions of this Court, it is equally important to  note that the reliance placed on them is more in the nature of corroborative material.</w:t>
      </w:r>
    </w:p>
    <w:p>
      <w:pPr>
        <w:pStyle w:val="BodyText"/>
        <w:spacing w:before="9"/>
        <w:rPr>
          <w:sz w:val="38"/>
        </w:rPr>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In </w:t>
      </w:r>
      <w:r>
        <w:rPr>
          <w:b/>
          <w:sz w:val="25"/>
        </w:rPr>
        <w:t>Rajah Muttu Ramalinga Setupati </w:t>
      </w:r>
      <w:r>
        <w:rPr>
          <w:sz w:val="25"/>
        </w:rPr>
        <w:t>v </w:t>
      </w:r>
      <w:r>
        <w:rPr>
          <w:b/>
          <w:sz w:val="25"/>
        </w:rPr>
        <w:t>Perianayagum Pillai</w:t>
      </w:r>
      <w:r>
        <w:rPr>
          <w:sz w:val="25"/>
          <w:vertAlign w:val="superscript"/>
        </w:rPr>
        <w:t>315</w:t>
      </w:r>
      <w:r>
        <w:rPr>
          <w:sz w:val="25"/>
          <w:vertAlign w:val="baseline"/>
        </w:rPr>
        <w:t>, the Privy Council dealt with an objection to the judgment of the High Court on the ground that excessive weight had been given to the reports of Collectors. In that context, the Privy Council</w:t>
      </w:r>
      <w:r>
        <w:rPr>
          <w:spacing w:val="-4"/>
          <w:sz w:val="25"/>
          <w:vertAlign w:val="baseline"/>
        </w:rPr>
        <w:t> </w:t>
      </w:r>
      <w:r>
        <w:rPr>
          <w:sz w:val="25"/>
          <w:vertAlign w:val="baseline"/>
        </w:rPr>
        <w:t>held:</w:t>
      </w:r>
    </w:p>
    <w:p>
      <w:pPr>
        <w:spacing w:line="276" w:lineRule="auto" w:before="161"/>
        <w:ind w:left="1940" w:right="2261" w:firstLine="0"/>
        <w:jc w:val="both"/>
        <w:rPr>
          <w:sz w:val="21"/>
        </w:rPr>
      </w:pPr>
      <w:r>
        <w:rPr>
          <w:w w:val="33"/>
          <w:sz w:val="21"/>
        </w:rPr>
        <w:t>―</w:t>
      </w:r>
      <w:r>
        <w:rPr>
          <w:w w:val="100"/>
          <w:sz w:val="21"/>
        </w:rPr>
        <w:t>Their</w:t>
      </w:r>
      <w:r>
        <w:rPr>
          <w:sz w:val="21"/>
        </w:rPr>
        <w:t> </w:t>
      </w:r>
      <w:r>
        <w:rPr>
          <w:w w:val="100"/>
          <w:sz w:val="21"/>
        </w:rPr>
        <w:t>Lordships</w:t>
      </w:r>
      <w:r>
        <w:rPr>
          <w:sz w:val="21"/>
        </w:rPr>
        <w:t> </w:t>
      </w:r>
      <w:r>
        <w:rPr>
          <w:w w:val="100"/>
          <w:sz w:val="21"/>
        </w:rPr>
        <w:t>think</w:t>
      </w:r>
      <w:r>
        <w:rPr>
          <w:sz w:val="21"/>
        </w:rPr>
        <w:t> </w:t>
      </w:r>
      <w:r>
        <w:rPr>
          <w:w w:val="100"/>
          <w:sz w:val="21"/>
        </w:rPr>
        <w:t>it</w:t>
      </w:r>
      <w:r>
        <w:rPr>
          <w:sz w:val="21"/>
        </w:rPr>
        <w:t> </w:t>
      </w:r>
      <w:r>
        <w:rPr>
          <w:w w:val="100"/>
          <w:sz w:val="21"/>
        </w:rPr>
        <w:t>must</w:t>
      </w:r>
      <w:r>
        <w:rPr>
          <w:sz w:val="21"/>
        </w:rPr>
        <w:t> </w:t>
      </w:r>
      <w:r>
        <w:rPr>
          <w:w w:val="100"/>
          <w:sz w:val="21"/>
        </w:rPr>
        <w:t>be</w:t>
      </w:r>
      <w:r>
        <w:rPr>
          <w:sz w:val="21"/>
        </w:rPr>
        <w:t> </w:t>
      </w:r>
      <w:r>
        <w:rPr>
          <w:w w:val="100"/>
          <w:sz w:val="21"/>
        </w:rPr>
        <w:t>conceded</w:t>
      </w:r>
      <w:r>
        <w:rPr>
          <w:sz w:val="21"/>
        </w:rPr>
        <w:t> </w:t>
      </w:r>
      <w:r>
        <w:rPr>
          <w:w w:val="100"/>
          <w:sz w:val="21"/>
        </w:rPr>
        <w:t>that</w:t>
      </w:r>
      <w:r>
        <w:rPr>
          <w:sz w:val="21"/>
        </w:rPr>
        <w:t> </w:t>
      </w:r>
      <w:r>
        <w:rPr>
          <w:b/>
          <w:w w:val="100"/>
          <w:sz w:val="21"/>
        </w:rPr>
        <w:t>w</w:t>
      </w:r>
      <w:r>
        <w:rPr>
          <w:b/>
          <w:w w:val="100"/>
          <w:sz w:val="21"/>
        </w:rPr>
        <w:t>he</w:t>
      </w:r>
      <w:r>
        <w:rPr>
          <w:b/>
          <w:w w:val="100"/>
          <w:sz w:val="21"/>
        </w:rPr>
        <w:t>n</w:t>
      </w:r>
      <w:r>
        <w:rPr>
          <w:b/>
          <w:sz w:val="21"/>
        </w:rPr>
        <w:t> </w:t>
      </w:r>
      <w:r>
        <w:rPr>
          <w:b/>
          <w:w w:val="100"/>
          <w:sz w:val="21"/>
        </w:rPr>
        <w:t>t</w:t>
      </w:r>
      <w:r>
        <w:rPr>
          <w:b/>
          <w:w w:val="100"/>
          <w:sz w:val="21"/>
        </w:rPr>
        <w:t>he</w:t>
      </w:r>
      <w:r>
        <w:rPr>
          <w:b/>
          <w:w w:val="100"/>
          <w:sz w:val="21"/>
        </w:rPr>
        <w:t>se </w:t>
      </w:r>
      <w:r>
        <w:rPr>
          <w:b/>
          <w:sz w:val="21"/>
        </w:rPr>
        <w:t>reports express opinions on the private rights of parties, such opinions are not to be regarded as having judicial authority or force</w:t>
      </w:r>
      <w:r>
        <w:rPr>
          <w:sz w:val="21"/>
        </w:rPr>
        <w:t>. But being the report of public officers made in the course of duty, and under statutable authority, </w:t>
      </w:r>
      <w:r>
        <w:rPr>
          <w:b/>
          <w:sz w:val="21"/>
        </w:rPr>
        <w:t>they are entitled to great consideration so far as they supply information of official proceedings and historical facts</w:t>
      </w:r>
      <w:r>
        <w:rPr>
          <w:sz w:val="21"/>
        </w:rPr>
        <w:t>, and also in so far as they are relevant to explain the conduct and acts of the parties in relation to them, and the proceedings of the Government founded upon them.‖</w:t>
      </w:r>
    </w:p>
    <w:p>
      <w:pPr>
        <w:spacing w:before="1"/>
        <w:ind w:left="5798" w:right="0" w:firstLine="0"/>
        <w:jc w:val="both"/>
        <w:rPr>
          <w:sz w:val="21"/>
        </w:rPr>
      </w:pPr>
      <w:r>
        <w:rPr>
          <w:sz w:val="21"/>
        </w:rPr>
        <w:t>(Emphasis supplied)</w:t>
      </w:r>
    </w:p>
    <w:p>
      <w:pPr>
        <w:pStyle w:val="BodyText"/>
        <w:rPr>
          <w:sz w:val="24"/>
        </w:rPr>
      </w:pPr>
    </w:p>
    <w:p>
      <w:pPr>
        <w:pStyle w:val="BodyText"/>
        <w:spacing w:before="4"/>
        <w:rPr>
          <w:sz w:val="24"/>
        </w:rPr>
      </w:pPr>
    </w:p>
    <w:p>
      <w:pPr>
        <w:pStyle w:val="BodyText"/>
        <w:spacing w:line="480" w:lineRule="auto"/>
        <w:ind w:left="500" w:right="460"/>
        <w:jc w:val="both"/>
      </w:pPr>
      <w:r>
        <w:rPr/>
        <w:pict>
          <v:rect style="position:absolute;margin-left:72.024002pt;margin-top:112.644867pt;width:144.020pt;height:.599980pt;mso-position-horizontal-relative:page;mso-position-vertical-relative:paragraph;z-index:-23832576" filled="true" fillcolor="#000000" stroked="false">
            <v:fill type="solid"/>
            <w10:wrap type="none"/>
          </v:rect>
        </w:pict>
      </w:r>
      <w:r>
        <w:rPr/>
        <w:t>The Privy Council cautioned against the use of the report of the Collector when it opined on matters relating to private rights. But as records of official proceedings or historical facts, and to explain the conduct of parties in relation to them, they would provide useful material.</w:t>
      </w:r>
    </w:p>
    <w:p>
      <w:pPr>
        <w:spacing w:line="204" w:lineRule="exact" w:before="75"/>
        <w:ind w:left="500" w:right="0" w:firstLine="0"/>
        <w:jc w:val="both"/>
        <w:rPr>
          <w:sz w:val="18"/>
        </w:rPr>
      </w:pPr>
      <w:r>
        <w:rPr>
          <w:sz w:val="18"/>
          <w:vertAlign w:val="superscript"/>
        </w:rPr>
        <w:t>314</w:t>
      </w:r>
      <w:r>
        <w:rPr>
          <w:sz w:val="18"/>
          <w:vertAlign w:val="baseline"/>
        </w:rPr>
        <w:t> Section 37 of the Evidence Act 1872 provides thus :</w:t>
      </w:r>
    </w:p>
    <w:p>
      <w:pPr>
        <w:spacing w:line="240" w:lineRule="auto" w:before="0"/>
        <w:ind w:left="500" w:right="433" w:firstLine="0"/>
        <w:jc w:val="both"/>
        <w:rPr>
          <w:sz w:val="18"/>
        </w:rPr>
      </w:pPr>
      <w:r>
        <w:rPr>
          <w:b/>
          <w:sz w:val="18"/>
        </w:rPr>
        <w:t>Relevancy of statement as to fact of public nature, contained in certain Acts or notifications.- </w:t>
      </w:r>
      <w:r>
        <w:rPr>
          <w:sz w:val="18"/>
        </w:rPr>
        <w:t>When the Court has to form an opinion as to the existence of any fact of a public nature, any statement of it, made in a recital contained in any Act of Parliament [of the United Kingdom], or in any [Central Act, Provincial Act, or [a State Act], or in a Government notification or notification by the Crown Representative appearing in the Official Gazette or in any printed paper purporting to be the London Gazette or the Government Gazette of any Dominion, colony or possession of His Majesty is a relevant</w:t>
      </w:r>
      <w:r>
        <w:rPr>
          <w:spacing w:val="-12"/>
          <w:sz w:val="18"/>
        </w:rPr>
        <w:t> </w:t>
      </w:r>
      <w:r>
        <w:rPr>
          <w:sz w:val="18"/>
        </w:rPr>
        <w:t>fact.</w:t>
      </w:r>
    </w:p>
    <w:p>
      <w:pPr>
        <w:spacing w:before="4"/>
        <w:ind w:left="500" w:right="0" w:firstLine="0"/>
        <w:jc w:val="both"/>
        <w:rPr>
          <w:sz w:val="18"/>
        </w:rPr>
      </w:pPr>
      <w:r>
        <w:rPr>
          <w:sz w:val="18"/>
          <w:vertAlign w:val="superscript"/>
        </w:rPr>
        <w:t>315</w:t>
      </w:r>
      <w:r>
        <w:rPr>
          <w:sz w:val="18"/>
          <w:vertAlign w:val="baseline"/>
        </w:rPr>
        <w:t> (1873-74) 1 IA 209</w:t>
      </w:r>
    </w:p>
    <w:p>
      <w:pPr>
        <w:spacing w:after="0"/>
        <w:jc w:val="both"/>
        <w:rPr>
          <w:sz w:val="18"/>
        </w:rPr>
        <w:sectPr>
          <w:pgSz w:w="11910" w:h="16840"/>
          <w:pgMar w:header="721" w:footer="1014" w:top="1300" w:bottom="1200" w:left="940" w:right="1000"/>
        </w:sectPr>
      </w:pPr>
    </w:p>
    <w:p>
      <w:pPr>
        <w:pStyle w:val="BodyText"/>
        <w:spacing w:before="2"/>
        <w:rPr>
          <w:sz w:val="24"/>
        </w:rPr>
      </w:pPr>
    </w:p>
    <w:p>
      <w:pPr>
        <w:spacing w:line="480" w:lineRule="auto" w:before="131"/>
        <w:ind w:left="500" w:right="0" w:firstLine="0"/>
        <w:jc w:val="left"/>
        <w:rPr>
          <w:sz w:val="25"/>
        </w:rPr>
      </w:pPr>
      <w:r>
        <w:rPr>
          <w:sz w:val="25"/>
        </w:rPr>
        <w:t>In </w:t>
      </w:r>
      <w:r>
        <w:rPr>
          <w:b/>
          <w:sz w:val="25"/>
        </w:rPr>
        <w:t>Ghulam Rasul Khan </w:t>
      </w:r>
      <w:r>
        <w:rPr>
          <w:sz w:val="25"/>
        </w:rPr>
        <w:t>v </w:t>
      </w:r>
      <w:r>
        <w:rPr>
          <w:b/>
          <w:sz w:val="25"/>
        </w:rPr>
        <w:t>Secretary of State for India in Council</w:t>
      </w:r>
      <w:r>
        <w:rPr>
          <w:sz w:val="25"/>
          <w:vertAlign w:val="superscript"/>
        </w:rPr>
        <w:t>316</w:t>
      </w:r>
      <w:r>
        <w:rPr>
          <w:sz w:val="25"/>
          <w:vertAlign w:val="baseline"/>
        </w:rPr>
        <w:t>, the Privy Council held:</w:t>
      </w:r>
    </w:p>
    <w:p>
      <w:pPr>
        <w:spacing w:line="276" w:lineRule="auto" w:before="162"/>
        <w:ind w:left="1940" w:right="2258" w:firstLine="0"/>
        <w:jc w:val="both"/>
        <w:rPr>
          <w:sz w:val="21"/>
        </w:rPr>
      </w:pPr>
      <w:r>
        <w:rPr>
          <w:sz w:val="21"/>
        </w:rPr>
        <w:t>―…</w:t>
      </w:r>
      <w:r>
        <w:rPr>
          <w:b/>
          <w:sz w:val="21"/>
        </w:rPr>
        <w:t>statements in public documents are receivable to prove the facts </w:t>
      </w:r>
      <w:r>
        <w:rPr>
          <w:sz w:val="21"/>
        </w:rPr>
        <w:t>stated on the general grounds that they were made by the authorized agents of the public in the course of official duty and respecting facts which were of public interest or required to be recorded for the benefit of the Community: Taylor‘s, </w:t>
      </w:r>
      <w:r>
        <w:rPr>
          <w:i/>
          <w:sz w:val="21"/>
        </w:rPr>
        <w:t>Law of Evidence</w:t>
      </w:r>
      <w:r>
        <w:rPr>
          <w:sz w:val="21"/>
        </w:rPr>
        <w:t>, 10th Ed., S. 1591). </w:t>
      </w:r>
      <w:r>
        <w:rPr>
          <w:b/>
          <w:sz w:val="21"/>
        </w:rPr>
        <w:t>In many cases, indeed, in nearly all cases, after a lapse of years it would be impossible to give evidence that the statements contained in such documents were in fact true, and it is for this reason that such an exception is made to the rule of hearsay</w:t>
      </w:r>
      <w:r>
        <w:rPr>
          <w:b/>
          <w:spacing w:val="-7"/>
          <w:sz w:val="21"/>
        </w:rPr>
        <w:t> </w:t>
      </w:r>
      <w:r>
        <w:rPr>
          <w:b/>
          <w:sz w:val="21"/>
        </w:rPr>
        <w:t>evidence</w:t>
      </w:r>
      <w:r>
        <w:rPr>
          <w:sz w:val="21"/>
        </w:rPr>
        <w:t>.‖</w:t>
      </w:r>
    </w:p>
    <w:p>
      <w:pPr>
        <w:spacing w:line="241" w:lineRule="exact" w:before="0"/>
        <w:ind w:left="5740" w:right="0" w:firstLine="0"/>
        <w:jc w:val="left"/>
        <w:rPr>
          <w:sz w:val="21"/>
        </w:rPr>
      </w:pPr>
      <w:r>
        <w:rPr>
          <w:sz w:val="21"/>
        </w:rPr>
        <w:t>(Emphasis supplied)</w:t>
      </w:r>
    </w:p>
    <w:p>
      <w:pPr>
        <w:pStyle w:val="BodyText"/>
        <w:spacing w:before="1"/>
        <w:rPr>
          <w:sz w:val="28"/>
        </w:rPr>
      </w:pPr>
    </w:p>
    <w:p>
      <w:pPr>
        <w:spacing w:line="480" w:lineRule="auto" w:before="0"/>
        <w:ind w:left="500" w:right="439" w:firstLine="0"/>
        <w:jc w:val="both"/>
        <w:rPr>
          <w:sz w:val="25"/>
        </w:rPr>
      </w:pPr>
      <w:r>
        <w:rPr>
          <w:sz w:val="25"/>
        </w:rPr>
        <w:t>In </w:t>
      </w:r>
      <w:r>
        <w:rPr>
          <w:b/>
          <w:sz w:val="25"/>
        </w:rPr>
        <w:t>Sukhdev Singh </w:t>
      </w:r>
      <w:r>
        <w:rPr>
          <w:sz w:val="25"/>
        </w:rPr>
        <w:t>v </w:t>
      </w:r>
      <w:r>
        <w:rPr>
          <w:b/>
          <w:sz w:val="25"/>
        </w:rPr>
        <w:t>Maharaja Bahadur of Gidhaur</w:t>
      </w:r>
      <w:r>
        <w:rPr>
          <w:sz w:val="25"/>
          <w:vertAlign w:val="superscript"/>
        </w:rPr>
        <w:t>317</w:t>
      </w:r>
      <w:r>
        <w:rPr>
          <w:sz w:val="25"/>
          <w:vertAlign w:val="baseline"/>
        </w:rPr>
        <w:t>, this Court explored the nature of a zamindari and examined the District Gazetteer in that context. The court observed:</w:t>
      </w:r>
    </w:p>
    <w:p>
      <w:pPr>
        <w:spacing w:line="276" w:lineRule="auto" w:before="161"/>
        <w:ind w:left="1940" w:right="2263" w:firstLine="0"/>
        <w:jc w:val="both"/>
        <w:rPr>
          <w:sz w:val="21"/>
        </w:rPr>
      </w:pPr>
      <w:r>
        <w:rPr>
          <w:w w:val="33"/>
          <w:sz w:val="21"/>
        </w:rPr>
        <w:t>―</w:t>
      </w:r>
      <w:r>
        <w:rPr>
          <w:w w:val="100"/>
          <w:sz w:val="21"/>
        </w:rPr>
        <w:t>The</w:t>
      </w:r>
      <w:r>
        <w:rPr>
          <w:sz w:val="21"/>
        </w:rPr>
        <w:t> </w:t>
      </w:r>
      <w:r>
        <w:rPr>
          <w:w w:val="100"/>
          <w:sz w:val="21"/>
        </w:rPr>
        <w:t>statement</w:t>
      </w:r>
      <w:r>
        <w:rPr>
          <w:sz w:val="21"/>
        </w:rPr>
        <w:t> </w:t>
      </w:r>
      <w:r>
        <w:rPr>
          <w:w w:val="100"/>
          <w:sz w:val="21"/>
        </w:rPr>
        <w:t>in</w:t>
      </w:r>
      <w:r>
        <w:rPr>
          <w:sz w:val="21"/>
        </w:rPr>
        <w:t> </w:t>
      </w:r>
      <w:r>
        <w:rPr>
          <w:w w:val="100"/>
          <w:sz w:val="21"/>
        </w:rPr>
        <w:t>the</w:t>
      </w:r>
      <w:r>
        <w:rPr>
          <w:sz w:val="21"/>
        </w:rPr>
        <w:t> </w:t>
      </w:r>
      <w:r>
        <w:rPr>
          <w:w w:val="100"/>
          <w:sz w:val="21"/>
        </w:rPr>
        <w:t>Gazetteer</w:t>
      </w:r>
      <w:r>
        <w:rPr>
          <w:sz w:val="21"/>
        </w:rPr>
        <w:t> </w:t>
      </w:r>
      <w:r>
        <w:rPr>
          <w:w w:val="100"/>
          <w:sz w:val="21"/>
        </w:rPr>
        <w:t>i</w:t>
      </w:r>
      <w:r>
        <w:rPr>
          <w:w w:val="100"/>
          <w:sz w:val="21"/>
        </w:rPr>
        <w:t>s</w:t>
      </w:r>
      <w:r>
        <w:rPr>
          <w:sz w:val="21"/>
        </w:rPr>
        <w:t> </w:t>
      </w:r>
      <w:r>
        <w:rPr>
          <w:w w:val="100"/>
          <w:sz w:val="21"/>
        </w:rPr>
        <w:t>not</w:t>
      </w:r>
      <w:r>
        <w:rPr>
          <w:sz w:val="21"/>
        </w:rPr>
        <w:t> </w:t>
      </w:r>
      <w:r>
        <w:rPr>
          <w:w w:val="100"/>
          <w:sz w:val="21"/>
        </w:rPr>
        <w:t>n</w:t>
      </w:r>
      <w:r>
        <w:rPr>
          <w:w w:val="100"/>
          <w:sz w:val="21"/>
        </w:rPr>
        <w:t>ecessari</w:t>
      </w:r>
      <w:r>
        <w:rPr>
          <w:w w:val="100"/>
          <w:sz w:val="21"/>
        </w:rPr>
        <w:t>l</w:t>
      </w:r>
      <w:r>
        <w:rPr>
          <w:w w:val="100"/>
          <w:sz w:val="21"/>
        </w:rPr>
        <w:t>y</w:t>
      </w:r>
      <w:r>
        <w:rPr>
          <w:sz w:val="21"/>
        </w:rPr>
        <w:t> </w:t>
      </w:r>
      <w:r>
        <w:rPr>
          <w:w w:val="100"/>
          <w:sz w:val="21"/>
        </w:rPr>
        <w:t>c</w:t>
      </w:r>
      <w:r>
        <w:rPr>
          <w:w w:val="100"/>
          <w:sz w:val="21"/>
        </w:rPr>
        <w:t>oncl</w:t>
      </w:r>
      <w:r>
        <w:rPr>
          <w:w w:val="100"/>
          <w:sz w:val="21"/>
        </w:rPr>
        <w:t>us</w:t>
      </w:r>
      <w:r>
        <w:rPr>
          <w:w w:val="100"/>
          <w:sz w:val="21"/>
        </w:rPr>
        <w:t>i</w:t>
      </w:r>
      <w:r>
        <w:rPr>
          <w:w w:val="100"/>
          <w:sz w:val="21"/>
        </w:rPr>
        <w:t>ve, </w:t>
      </w:r>
      <w:r>
        <w:rPr>
          <w:sz w:val="21"/>
        </w:rPr>
        <w:t>but the Gazetteer is an official document of some value, as it is compiled by experienced officials with great care after obtaining the facts from official records. As Dawson Miller,</w:t>
      </w:r>
    </w:p>
    <w:p>
      <w:pPr>
        <w:spacing w:line="276" w:lineRule="auto" w:before="1"/>
        <w:ind w:left="1940" w:right="2260" w:firstLine="0"/>
        <w:jc w:val="both"/>
        <w:rPr>
          <w:sz w:val="21"/>
        </w:rPr>
      </w:pPr>
      <w:r>
        <w:rPr>
          <w:sz w:val="21"/>
        </w:rPr>
        <w:t>C.J. has pointed out in </w:t>
      </w:r>
      <w:r>
        <w:rPr>
          <w:i/>
          <w:sz w:val="21"/>
        </w:rPr>
        <w:t>Fulbati‘s case </w:t>
      </w:r>
      <w:r>
        <w:rPr>
          <w:sz w:val="21"/>
        </w:rPr>
        <w:t>[AIR 1923 Patna 453] there are a few inaccuracies in the latter part of the statement quoted above, but so far as the earlier part of it is concerned, it seems to derive considerable support from the documents to which reference is</w:t>
      </w:r>
      <w:r>
        <w:rPr>
          <w:spacing w:val="-9"/>
          <w:sz w:val="21"/>
        </w:rPr>
        <w:t> </w:t>
      </w:r>
      <w:r>
        <w:rPr>
          <w:sz w:val="21"/>
        </w:rPr>
        <w:t>made.‖</w:t>
      </w:r>
    </w:p>
    <w:p>
      <w:pPr>
        <w:pStyle w:val="BodyText"/>
      </w:pPr>
    </w:p>
    <w:p>
      <w:pPr>
        <w:pStyle w:val="BodyText"/>
        <w:spacing w:line="480" w:lineRule="auto"/>
        <w:ind w:left="500" w:right="439"/>
        <w:jc w:val="both"/>
      </w:pPr>
      <w:r>
        <w:rPr/>
        <w:pict>
          <v:rect style="position:absolute;margin-left:72.024002pt;margin-top:176.984863pt;width:144.020pt;height:.599980pt;mso-position-horizontal-relative:page;mso-position-vertical-relative:paragraph;z-index:-15636480;mso-wrap-distance-left:0;mso-wrap-distance-right:0" filled="true" fillcolor="#000000" stroked="false">
            <v:fill type="solid"/>
            <w10:wrap type="topAndBottom"/>
          </v:rect>
        </w:pict>
      </w:r>
      <w:r>
        <w:rPr/>
        <w:t>In the above extract, the court carefully calibrated its reliance on the </w:t>
      </w:r>
      <w:r>
        <w:rPr>
          <w:w w:val="99"/>
        </w:rPr>
        <w:t>gaze</w:t>
      </w:r>
      <w:r>
        <w:rPr>
          <w:w w:val="99"/>
        </w:rPr>
        <w:t>tte</w:t>
      </w:r>
      <w:r>
        <w:rPr>
          <w:w w:val="99"/>
        </w:rPr>
        <w:t>e</w:t>
      </w:r>
      <w:r>
        <w:rPr>
          <w:spacing w:val="1"/>
          <w:w w:val="99"/>
        </w:rPr>
        <w:t>r</w:t>
      </w:r>
      <w:r>
        <w:rPr>
          <w:spacing w:val="-1"/>
          <w:w w:val="99"/>
        </w:rPr>
        <w:t>e</w:t>
      </w:r>
      <w:r>
        <w:rPr>
          <w:w w:val="99"/>
        </w:rPr>
        <w:t>er,</w:t>
      </w:r>
      <w:r>
        <w:rPr>
          <w:spacing w:val="9"/>
        </w:rPr>
        <w:t> </w:t>
      </w:r>
      <w:r>
        <w:rPr>
          <w:spacing w:val="-1"/>
          <w:w w:val="99"/>
        </w:rPr>
        <w:t>n</w:t>
      </w:r>
      <w:r>
        <w:rPr>
          <w:w w:val="99"/>
        </w:rPr>
        <w:t>oting</w:t>
      </w:r>
      <w:r>
        <w:rPr>
          <w:spacing w:val="9"/>
        </w:rPr>
        <w:t> </w:t>
      </w:r>
      <w:r>
        <w:rPr>
          <w:w w:val="99"/>
        </w:rPr>
        <w:t>that</w:t>
      </w:r>
      <w:r>
        <w:rPr>
          <w:spacing w:val="9"/>
        </w:rPr>
        <w:t> </w:t>
      </w:r>
      <w:r>
        <w:rPr>
          <w:spacing w:val="-1"/>
          <w:w w:val="99"/>
        </w:rPr>
        <w:t>i</w:t>
      </w:r>
      <w:r>
        <w:rPr>
          <w:w w:val="99"/>
        </w:rPr>
        <w:t>t</w:t>
      </w:r>
      <w:r>
        <w:rPr>
          <w:spacing w:val="9"/>
        </w:rPr>
        <w:t> </w:t>
      </w:r>
      <w:r>
        <w:rPr>
          <w:spacing w:val="-1"/>
          <w:w w:val="99"/>
        </w:rPr>
        <w:t>wa</w:t>
      </w:r>
      <w:r>
        <w:rPr>
          <w:w w:val="99"/>
        </w:rPr>
        <w:t>s</w:t>
      </w:r>
      <w:r>
        <w:rPr>
          <w:spacing w:val="11"/>
        </w:rPr>
        <w:t> </w:t>
      </w:r>
      <w:r>
        <w:rPr>
          <w:spacing w:val="-1"/>
          <w:w w:val="99"/>
        </w:rPr>
        <w:t>n</w:t>
      </w:r>
      <w:r>
        <w:rPr>
          <w:w w:val="99"/>
        </w:rPr>
        <w:t>ot</w:t>
      </w:r>
      <w:r>
        <w:rPr>
          <w:spacing w:val="9"/>
        </w:rPr>
        <w:t> </w:t>
      </w:r>
      <w:r>
        <w:rPr>
          <w:w w:val="33"/>
        </w:rPr>
        <w:t>―</w:t>
      </w:r>
      <w:r>
        <w:rPr>
          <w:spacing w:val="-1"/>
          <w:w w:val="99"/>
        </w:rPr>
        <w:t>n</w:t>
      </w:r>
      <w:r>
        <w:rPr>
          <w:w w:val="99"/>
        </w:rPr>
        <w:t>ecessar</w:t>
      </w:r>
      <w:r>
        <w:rPr>
          <w:spacing w:val="-1"/>
          <w:w w:val="99"/>
        </w:rPr>
        <w:t>il</w:t>
      </w:r>
      <w:r>
        <w:rPr>
          <w:w w:val="99"/>
        </w:rPr>
        <w:t>y</w:t>
      </w:r>
      <w:r>
        <w:rPr>
          <w:spacing w:val="9"/>
        </w:rPr>
        <w:t> </w:t>
      </w:r>
      <w:r>
        <w:rPr>
          <w:w w:val="99"/>
        </w:rPr>
        <w:t>conclus</w:t>
      </w:r>
      <w:r>
        <w:rPr>
          <w:spacing w:val="2"/>
          <w:w w:val="99"/>
        </w:rPr>
        <w:t>i</w:t>
      </w:r>
      <w:r>
        <w:rPr>
          <w:spacing w:val="-3"/>
          <w:w w:val="99"/>
        </w:rPr>
        <w:t>v</w:t>
      </w:r>
      <w:r>
        <w:rPr>
          <w:spacing w:val="-1"/>
          <w:w w:val="93"/>
        </w:rPr>
        <w:t>e,</w:t>
      </w:r>
      <w:r>
        <w:rPr>
          <w:w w:val="93"/>
        </w:rPr>
        <w:t>‖</w:t>
      </w:r>
      <w:r>
        <w:rPr>
          <w:spacing w:val="10"/>
        </w:rPr>
        <w:t> </w:t>
      </w:r>
      <w:r>
        <w:rPr>
          <w:spacing w:val="-1"/>
          <w:w w:val="99"/>
        </w:rPr>
        <w:t>b</w:t>
      </w:r>
      <w:r>
        <w:rPr>
          <w:w w:val="99"/>
        </w:rPr>
        <w:t>ut</w:t>
      </w:r>
      <w:r>
        <w:rPr>
          <w:spacing w:val="11"/>
        </w:rPr>
        <w:t> </w:t>
      </w:r>
      <w:r>
        <w:rPr>
          <w:spacing w:val="-1"/>
          <w:w w:val="99"/>
        </w:rPr>
        <w:t>o</w:t>
      </w:r>
      <w:r>
        <w:rPr>
          <w:w w:val="99"/>
        </w:rPr>
        <w:t>f</w:t>
      </w:r>
      <w:r>
        <w:rPr>
          <w:spacing w:val="10"/>
        </w:rPr>
        <w:t> </w:t>
      </w:r>
      <w:r>
        <w:rPr>
          <w:w w:val="33"/>
        </w:rPr>
        <w:t>―</w:t>
      </w:r>
      <w:r>
        <w:rPr>
          <w:w w:val="99"/>
        </w:rPr>
        <w:t>so</w:t>
      </w:r>
      <w:r>
        <w:rPr>
          <w:spacing w:val="1"/>
          <w:w w:val="99"/>
        </w:rPr>
        <w:t>m</w:t>
      </w:r>
      <w:r>
        <w:rPr>
          <w:w w:val="99"/>
        </w:rPr>
        <w:t>e</w:t>
      </w:r>
      <w:r>
        <w:rPr>
          <w:spacing w:val="12"/>
        </w:rPr>
        <w:t> </w:t>
      </w:r>
      <w:r>
        <w:rPr>
          <w:spacing w:val="-3"/>
          <w:w w:val="99"/>
        </w:rPr>
        <w:t>v</w:t>
      </w:r>
      <w:r>
        <w:rPr>
          <w:spacing w:val="-1"/>
          <w:w w:val="99"/>
        </w:rPr>
        <w:t>alu</w:t>
      </w:r>
      <w:r>
        <w:rPr>
          <w:w w:val="99"/>
        </w:rPr>
        <w:t>e</w:t>
      </w:r>
      <w:r>
        <w:rPr>
          <w:w w:val="80"/>
        </w:rPr>
        <w:t>‖</w:t>
      </w:r>
      <w:r>
        <w:rPr>
          <w:w w:val="99"/>
        </w:rPr>
        <w:t>. </w:t>
      </w:r>
      <w:r>
        <w:rPr/>
        <w:t>The portion, which was relied upon by the court, as it noted, derived considerable support from documents and was hence grounded in them. The rest was not relied upon. The court independently assessed its corroborative value. It rejected one</w:t>
      </w:r>
      <w:r>
        <w:rPr>
          <w:spacing w:val="24"/>
        </w:rPr>
        <w:t> </w:t>
      </w:r>
      <w:r>
        <w:rPr/>
        <w:t>part</w:t>
      </w:r>
      <w:r>
        <w:rPr>
          <w:spacing w:val="25"/>
        </w:rPr>
        <w:t> </w:t>
      </w:r>
      <w:r>
        <w:rPr/>
        <w:t>and</w:t>
      </w:r>
      <w:r>
        <w:rPr>
          <w:spacing w:val="25"/>
        </w:rPr>
        <w:t> </w:t>
      </w:r>
      <w:r>
        <w:rPr/>
        <w:t>the</w:t>
      </w:r>
      <w:r>
        <w:rPr>
          <w:spacing w:val="22"/>
        </w:rPr>
        <w:t> </w:t>
      </w:r>
      <w:r>
        <w:rPr/>
        <w:t>part</w:t>
      </w:r>
      <w:r>
        <w:rPr>
          <w:spacing w:val="23"/>
        </w:rPr>
        <w:t> </w:t>
      </w:r>
      <w:r>
        <w:rPr/>
        <w:t>which</w:t>
      </w:r>
      <w:r>
        <w:rPr>
          <w:spacing w:val="25"/>
        </w:rPr>
        <w:t> </w:t>
      </w:r>
      <w:r>
        <w:rPr/>
        <w:t>it</w:t>
      </w:r>
      <w:r>
        <w:rPr>
          <w:spacing w:val="25"/>
        </w:rPr>
        <w:t> </w:t>
      </w:r>
      <w:r>
        <w:rPr/>
        <w:t>accepted</w:t>
      </w:r>
      <w:r>
        <w:rPr>
          <w:spacing w:val="24"/>
        </w:rPr>
        <w:t> </w:t>
      </w:r>
      <w:r>
        <w:rPr/>
        <w:t>was</w:t>
      </w:r>
      <w:r>
        <w:rPr>
          <w:spacing w:val="25"/>
        </w:rPr>
        <w:t> </w:t>
      </w:r>
      <w:r>
        <w:rPr/>
        <w:t>found</w:t>
      </w:r>
      <w:r>
        <w:rPr>
          <w:spacing w:val="25"/>
        </w:rPr>
        <w:t> </w:t>
      </w:r>
      <w:r>
        <w:rPr/>
        <w:t>to</w:t>
      </w:r>
      <w:r>
        <w:rPr>
          <w:spacing w:val="24"/>
        </w:rPr>
        <w:t> </w:t>
      </w:r>
      <w:r>
        <w:rPr/>
        <w:t>derive</w:t>
      </w:r>
      <w:r>
        <w:rPr>
          <w:spacing w:val="25"/>
        </w:rPr>
        <w:t> </w:t>
      </w:r>
      <w:r>
        <w:rPr/>
        <w:t>support</w:t>
      </w:r>
      <w:r>
        <w:rPr>
          <w:spacing w:val="25"/>
        </w:rPr>
        <w:t> </w:t>
      </w:r>
      <w:r>
        <w:rPr/>
        <w:t>from</w:t>
      </w:r>
      <w:r>
        <w:rPr>
          <w:spacing w:val="25"/>
        </w:rPr>
        <w:t> </w:t>
      </w:r>
      <w:r>
        <w:rPr/>
        <w:t>other</w:t>
      </w:r>
    </w:p>
    <w:p>
      <w:pPr>
        <w:spacing w:before="78"/>
        <w:ind w:left="500" w:right="0" w:firstLine="0"/>
        <w:jc w:val="left"/>
        <w:rPr>
          <w:sz w:val="18"/>
        </w:rPr>
      </w:pPr>
      <w:r>
        <w:rPr>
          <w:sz w:val="18"/>
          <w:vertAlign w:val="superscript"/>
        </w:rPr>
        <w:t>316</w:t>
      </w:r>
      <w:r>
        <w:rPr>
          <w:sz w:val="18"/>
          <w:vertAlign w:val="baseline"/>
        </w:rPr>
        <w:t> 1925 SCCOnLine PC 12</w:t>
      </w:r>
    </w:p>
    <w:p>
      <w:pPr>
        <w:spacing w:before="2"/>
        <w:ind w:left="500" w:right="0" w:firstLine="0"/>
        <w:jc w:val="left"/>
        <w:rPr>
          <w:sz w:val="18"/>
        </w:rPr>
      </w:pPr>
      <w:r>
        <w:rPr>
          <w:sz w:val="18"/>
          <w:vertAlign w:val="superscript"/>
        </w:rPr>
        <w:t>317</w:t>
      </w:r>
      <w:r>
        <w:rPr>
          <w:sz w:val="18"/>
          <w:vertAlign w:val="baseline"/>
        </w:rPr>
        <w:t> (1951) SCR 534</w:t>
      </w:r>
    </w:p>
    <w:p>
      <w:pPr>
        <w:spacing w:after="0"/>
        <w:jc w:val="left"/>
        <w:rPr>
          <w:sz w:val="18"/>
        </w:rPr>
        <w:sectPr>
          <w:pgSz w:w="11910" w:h="16840"/>
          <w:pgMar w:header="721" w:footer="1014" w:top="1300" w:bottom="1200" w:left="940" w:right="1000"/>
        </w:sectPr>
      </w:pPr>
    </w:p>
    <w:p>
      <w:pPr>
        <w:pStyle w:val="BodyText"/>
        <w:spacing w:line="480" w:lineRule="auto" w:before="124"/>
        <w:ind w:left="500" w:right="434"/>
        <w:jc w:val="both"/>
      </w:pPr>
      <w:r>
        <w:rPr/>
        <w:t>documentary material. In other words, the contents of the gazetteereer, even in so far as they were acceptable, were</w:t>
      </w:r>
      <w:r>
        <w:rPr>
          <w:spacing w:val="-5"/>
        </w:rPr>
        <w:t> </w:t>
      </w:r>
      <w:r>
        <w:rPr/>
        <w:t>corroborative.</w:t>
      </w:r>
    </w:p>
    <w:p>
      <w:pPr>
        <w:pStyle w:val="BodyText"/>
        <w:spacing w:before="9"/>
        <w:rPr>
          <w:sz w:val="24"/>
        </w:rPr>
      </w:pPr>
    </w:p>
    <w:p>
      <w:pPr>
        <w:pStyle w:val="ListParagraph"/>
        <w:numPr>
          <w:ilvl w:val="0"/>
          <w:numId w:val="166"/>
        </w:numPr>
        <w:tabs>
          <w:tab w:pos="1221" w:val="left" w:leader="none"/>
        </w:tabs>
        <w:spacing w:line="480" w:lineRule="auto" w:before="0" w:after="0"/>
        <w:ind w:left="500" w:right="435" w:firstLine="0"/>
        <w:jc w:val="both"/>
        <w:rPr>
          <w:sz w:val="25"/>
        </w:rPr>
      </w:pPr>
      <w:r>
        <w:rPr>
          <w:sz w:val="25"/>
        </w:rPr>
        <w:t>In </w:t>
      </w:r>
      <w:r>
        <w:rPr>
          <w:b/>
          <w:sz w:val="25"/>
        </w:rPr>
        <w:t>Mahant Shri Srinivasa Ramanuj Das </w:t>
      </w:r>
      <w:r>
        <w:rPr>
          <w:sz w:val="25"/>
        </w:rPr>
        <w:t>v </w:t>
      </w:r>
      <w:r>
        <w:rPr>
          <w:b/>
          <w:sz w:val="25"/>
        </w:rPr>
        <w:t>Surajnarayan Dass</w:t>
      </w:r>
      <w:r>
        <w:rPr>
          <w:sz w:val="25"/>
          <w:vertAlign w:val="superscript"/>
        </w:rPr>
        <w:t>318</w:t>
      </w:r>
      <w:r>
        <w:rPr>
          <w:sz w:val="25"/>
          <w:vertAlign w:val="baseline"/>
        </w:rPr>
        <w:t>, Justice Raghubar Dayal, while dealing with the contents of O‘ Malley‘s Puri Gazetteer of 1908, which had elucidated the history of a Math</w:t>
      </w:r>
      <w:r>
        <w:rPr>
          <w:spacing w:val="-9"/>
          <w:sz w:val="25"/>
          <w:vertAlign w:val="baseline"/>
        </w:rPr>
        <w:t> </w:t>
      </w:r>
      <w:r>
        <w:rPr>
          <w:sz w:val="25"/>
          <w:vertAlign w:val="baseline"/>
        </w:rPr>
        <w:t>observed:</w:t>
      </w:r>
    </w:p>
    <w:p>
      <w:pPr>
        <w:spacing w:line="276" w:lineRule="auto" w:before="161"/>
        <w:ind w:left="1940" w:right="2263" w:firstLine="0"/>
        <w:jc w:val="both"/>
        <w:rPr>
          <w:sz w:val="21"/>
        </w:rPr>
      </w:pPr>
      <w:r>
        <w:rPr>
          <w:spacing w:val="-1"/>
          <w:w w:val="33"/>
          <w:sz w:val="21"/>
        </w:rPr>
        <w:t>―</w:t>
      </w:r>
      <w:r>
        <w:rPr>
          <w:spacing w:val="-2"/>
          <w:w w:val="100"/>
          <w:sz w:val="21"/>
        </w:rPr>
        <w:t>I</w:t>
      </w:r>
      <w:r>
        <w:rPr>
          <w:w w:val="100"/>
          <w:sz w:val="21"/>
        </w:rPr>
        <w:t>t</w:t>
      </w:r>
      <w:r>
        <w:rPr>
          <w:sz w:val="21"/>
        </w:rPr>
        <w:t> </w:t>
      </w:r>
      <w:r>
        <w:rPr>
          <w:spacing w:val="21"/>
          <w:sz w:val="21"/>
        </w:rPr>
        <w:t> </w:t>
      </w:r>
      <w:r>
        <w:rPr>
          <w:w w:val="100"/>
          <w:sz w:val="21"/>
        </w:rPr>
        <w:t>is</w:t>
      </w:r>
      <w:r>
        <w:rPr>
          <w:sz w:val="21"/>
        </w:rPr>
        <w:t> </w:t>
      </w:r>
      <w:r>
        <w:rPr>
          <w:spacing w:val="22"/>
          <w:sz w:val="21"/>
        </w:rPr>
        <w:t> </w:t>
      </w:r>
      <w:r>
        <w:rPr>
          <w:spacing w:val="-1"/>
          <w:w w:val="100"/>
          <w:sz w:val="21"/>
        </w:rPr>
        <w:t>ur</w:t>
      </w:r>
      <w:r>
        <w:rPr>
          <w:spacing w:val="-3"/>
          <w:w w:val="100"/>
          <w:sz w:val="21"/>
        </w:rPr>
        <w:t>g</w:t>
      </w:r>
      <w:r>
        <w:rPr>
          <w:spacing w:val="-1"/>
          <w:w w:val="100"/>
          <w:sz w:val="21"/>
        </w:rPr>
        <w:t>e</w:t>
      </w:r>
      <w:r>
        <w:rPr>
          <w:w w:val="100"/>
          <w:sz w:val="21"/>
        </w:rPr>
        <w:t>d</w:t>
      </w:r>
      <w:r>
        <w:rPr>
          <w:sz w:val="21"/>
        </w:rPr>
        <w:t> </w:t>
      </w:r>
      <w:r>
        <w:rPr>
          <w:spacing w:val="20"/>
          <w:sz w:val="21"/>
        </w:rPr>
        <w:t> </w:t>
      </w:r>
      <w:r>
        <w:rPr>
          <w:spacing w:val="1"/>
          <w:w w:val="100"/>
          <w:sz w:val="21"/>
        </w:rPr>
        <w:t>f</w:t>
      </w:r>
      <w:r>
        <w:rPr>
          <w:spacing w:val="-1"/>
          <w:w w:val="100"/>
          <w:sz w:val="21"/>
        </w:rPr>
        <w:t>o</w:t>
      </w:r>
      <w:r>
        <w:rPr>
          <w:w w:val="100"/>
          <w:sz w:val="21"/>
        </w:rPr>
        <w:t>r</w:t>
      </w:r>
      <w:r>
        <w:rPr>
          <w:sz w:val="21"/>
        </w:rPr>
        <w:t> </w:t>
      </w:r>
      <w:r>
        <w:rPr>
          <w:spacing w:val="21"/>
          <w:sz w:val="21"/>
        </w:rPr>
        <w:t> </w:t>
      </w:r>
      <w:r>
        <w:rPr>
          <w:spacing w:val="-2"/>
          <w:w w:val="100"/>
          <w:sz w:val="21"/>
        </w:rPr>
        <w:t>t</w:t>
      </w:r>
      <w:r>
        <w:rPr>
          <w:spacing w:val="-3"/>
          <w:w w:val="100"/>
          <w:sz w:val="21"/>
        </w:rPr>
        <w:t>h</w:t>
      </w:r>
      <w:r>
        <w:rPr>
          <w:w w:val="100"/>
          <w:sz w:val="21"/>
        </w:rPr>
        <w:t>e</w:t>
      </w:r>
      <w:r>
        <w:rPr>
          <w:sz w:val="21"/>
        </w:rPr>
        <w:t> </w:t>
      </w:r>
      <w:r>
        <w:rPr>
          <w:spacing w:val="22"/>
          <w:sz w:val="21"/>
        </w:rPr>
        <w:t> </w:t>
      </w:r>
      <w:r>
        <w:rPr>
          <w:spacing w:val="-3"/>
          <w:w w:val="100"/>
          <w:sz w:val="21"/>
        </w:rPr>
        <w:t>a</w:t>
      </w:r>
      <w:r>
        <w:rPr>
          <w:spacing w:val="-1"/>
          <w:w w:val="100"/>
          <w:sz w:val="21"/>
        </w:rPr>
        <w:t>p</w:t>
      </w:r>
      <w:r>
        <w:rPr>
          <w:spacing w:val="-3"/>
          <w:w w:val="100"/>
          <w:sz w:val="21"/>
        </w:rPr>
        <w:t>p</w:t>
      </w:r>
      <w:r>
        <w:rPr>
          <w:spacing w:val="-1"/>
          <w:w w:val="100"/>
          <w:sz w:val="21"/>
        </w:rPr>
        <w:t>e</w:t>
      </w:r>
      <w:r>
        <w:rPr>
          <w:spacing w:val="1"/>
          <w:w w:val="100"/>
          <w:sz w:val="21"/>
        </w:rPr>
        <w:t>l</w:t>
      </w:r>
      <w:r>
        <w:rPr>
          <w:spacing w:val="-2"/>
          <w:w w:val="100"/>
          <w:sz w:val="21"/>
        </w:rPr>
        <w:t>l</w:t>
      </w:r>
      <w:r>
        <w:rPr>
          <w:spacing w:val="-1"/>
          <w:w w:val="100"/>
          <w:sz w:val="21"/>
        </w:rPr>
        <w:t>an</w:t>
      </w:r>
      <w:r>
        <w:rPr>
          <w:w w:val="100"/>
          <w:sz w:val="21"/>
        </w:rPr>
        <w:t>t</w:t>
      </w:r>
      <w:r>
        <w:rPr>
          <w:sz w:val="21"/>
        </w:rPr>
        <w:t> </w:t>
      </w:r>
      <w:r>
        <w:rPr>
          <w:spacing w:val="21"/>
          <w:sz w:val="21"/>
        </w:rPr>
        <w:t> </w:t>
      </w:r>
      <w:r>
        <w:rPr>
          <w:spacing w:val="-2"/>
          <w:w w:val="100"/>
          <w:sz w:val="21"/>
        </w:rPr>
        <w:t>t</w:t>
      </w:r>
      <w:r>
        <w:rPr>
          <w:spacing w:val="-1"/>
          <w:w w:val="100"/>
          <w:sz w:val="21"/>
        </w:rPr>
        <w:t>ha</w:t>
      </w:r>
      <w:r>
        <w:rPr>
          <w:w w:val="100"/>
          <w:sz w:val="21"/>
        </w:rPr>
        <w:t>t</w:t>
      </w:r>
      <w:r>
        <w:rPr>
          <w:sz w:val="21"/>
        </w:rPr>
        <w:t> </w:t>
      </w:r>
      <w:r>
        <w:rPr>
          <w:spacing w:val="19"/>
          <w:sz w:val="21"/>
        </w:rPr>
        <w:t> </w:t>
      </w:r>
      <w:r>
        <w:rPr>
          <w:spacing w:val="-2"/>
          <w:w w:val="100"/>
          <w:sz w:val="21"/>
        </w:rPr>
        <w:t>w</w:t>
      </w:r>
      <w:r>
        <w:rPr>
          <w:spacing w:val="-1"/>
          <w:w w:val="100"/>
          <w:sz w:val="21"/>
        </w:rPr>
        <w:t>ha</w:t>
      </w:r>
      <w:r>
        <w:rPr>
          <w:w w:val="100"/>
          <w:sz w:val="21"/>
        </w:rPr>
        <w:t>t</w:t>
      </w:r>
      <w:r>
        <w:rPr>
          <w:sz w:val="21"/>
        </w:rPr>
        <w:t> </w:t>
      </w:r>
      <w:r>
        <w:rPr>
          <w:spacing w:val="19"/>
          <w:sz w:val="21"/>
        </w:rPr>
        <w:t> </w:t>
      </w:r>
      <w:r>
        <w:rPr>
          <w:w w:val="100"/>
          <w:sz w:val="21"/>
        </w:rPr>
        <w:t>is</w:t>
      </w:r>
      <w:r>
        <w:rPr>
          <w:sz w:val="21"/>
        </w:rPr>
        <w:t> </w:t>
      </w:r>
      <w:r>
        <w:rPr>
          <w:spacing w:val="22"/>
          <w:sz w:val="21"/>
        </w:rPr>
        <w:t> </w:t>
      </w:r>
      <w:r>
        <w:rPr>
          <w:w w:val="100"/>
          <w:sz w:val="21"/>
        </w:rPr>
        <w:t>s</w:t>
      </w:r>
      <w:r>
        <w:rPr>
          <w:spacing w:val="-2"/>
          <w:w w:val="100"/>
          <w:sz w:val="21"/>
        </w:rPr>
        <w:t>t</w:t>
      </w:r>
      <w:r>
        <w:rPr>
          <w:spacing w:val="-1"/>
          <w:w w:val="100"/>
          <w:sz w:val="21"/>
        </w:rPr>
        <w:t>a</w:t>
      </w:r>
      <w:r>
        <w:rPr>
          <w:spacing w:val="-4"/>
          <w:w w:val="100"/>
          <w:sz w:val="21"/>
        </w:rPr>
        <w:t>t</w:t>
      </w:r>
      <w:r>
        <w:rPr>
          <w:spacing w:val="-1"/>
          <w:w w:val="100"/>
          <w:sz w:val="21"/>
        </w:rPr>
        <w:t>e</w:t>
      </w:r>
      <w:r>
        <w:rPr>
          <w:w w:val="100"/>
          <w:sz w:val="21"/>
        </w:rPr>
        <w:t>d</w:t>
      </w:r>
      <w:r>
        <w:rPr>
          <w:sz w:val="21"/>
        </w:rPr>
        <w:t> </w:t>
      </w:r>
      <w:r>
        <w:rPr>
          <w:spacing w:val="20"/>
          <w:sz w:val="21"/>
        </w:rPr>
        <w:t> </w:t>
      </w:r>
      <w:r>
        <w:rPr>
          <w:w w:val="100"/>
          <w:sz w:val="21"/>
        </w:rPr>
        <w:t>in</w:t>
      </w:r>
      <w:r>
        <w:rPr>
          <w:sz w:val="21"/>
        </w:rPr>
        <w:t> </w:t>
      </w:r>
      <w:r>
        <w:rPr>
          <w:spacing w:val="22"/>
          <w:sz w:val="21"/>
        </w:rPr>
        <w:t> </w:t>
      </w:r>
      <w:r>
        <w:rPr>
          <w:spacing w:val="-2"/>
          <w:w w:val="100"/>
          <w:sz w:val="21"/>
        </w:rPr>
        <w:t>t</w:t>
      </w:r>
      <w:r>
        <w:rPr>
          <w:spacing w:val="-3"/>
          <w:w w:val="100"/>
          <w:sz w:val="21"/>
        </w:rPr>
        <w:t>h</w:t>
      </w:r>
      <w:r>
        <w:rPr>
          <w:w w:val="100"/>
          <w:sz w:val="21"/>
        </w:rPr>
        <w:t>e </w:t>
      </w:r>
      <w:r>
        <w:rPr>
          <w:sz w:val="21"/>
        </w:rPr>
        <w:t>Gazetteer cannot be treated as evidence. These statements in the Gazetteer are not relied on as evidence of title but as providing historical material and the practice followed by the Math and its head. The Gazetteer can be consulted on matters on public</w:t>
      </w:r>
      <w:r>
        <w:rPr>
          <w:spacing w:val="-6"/>
          <w:sz w:val="21"/>
        </w:rPr>
        <w:t> </w:t>
      </w:r>
      <w:r>
        <w:rPr>
          <w:sz w:val="21"/>
        </w:rPr>
        <w:t>history.‖</w:t>
      </w:r>
    </w:p>
    <w:p>
      <w:pPr>
        <w:pStyle w:val="BodyText"/>
        <w:rPr>
          <w:sz w:val="24"/>
        </w:rPr>
      </w:pPr>
    </w:p>
    <w:p>
      <w:pPr>
        <w:pStyle w:val="BodyText"/>
        <w:spacing w:before="2"/>
        <w:rPr>
          <w:sz w:val="22"/>
        </w:rPr>
      </w:pPr>
    </w:p>
    <w:p>
      <w:pPr>
        <w:pStyle w:val="BodyText"/>
        <w:spacing w:line="480" w:lineRule="auto"/>
        <w:ind w:left="500" w:right="439"/>
        <w:jc w:val="both"/>
      </w:pPr>
      <w:r>
        <w:rPr/>
        <w:t>The above observations indicate that the statements in the gazetteer were not relied on as evidence of title but as providing a historical background including on matters relating to the practice followed by the Math. A clear distinction must be drawn between relying on a gazetteereer to source a claim of title (which is impermissible) and as reference material on a matter of public history (which the court may consult to an appropriate extent with due circumspection).</w:t>
      </w:r>
    </w:p>
    <w:p>
      <w:pPr>
        <w:pStyle w:val="BodyText"/>
        <w:spacing w:before="9"/>
        <w:rPr>
          <w:sz w:val="24"/>
        </w:rPr>
      </w:pPr>
    </w:p>
    <w:p>
      <w:pPr>
        <w:pStyle w:val="BodyText"/>
        <w:spacing w:line="480" w:lineRule="auto"/>
        <w:ind w:left="500" w:right="433"/>
        <w:jc w:val="both"/>
      </w:pPr>
      <w:r>
        <w:rPr/>
        <w:t>In </w:t>
      </w:r>
      <w:r>
        <w:rPr>
          <w:b/>
        </w:rPr>
        <w:t>Vimla Bai </w:t>
      </w:r>
      <w:r>
        <w:rPr/>
        <w:t>v </w:t>
      </w:r>
      <w:r>
        <w:rPr>
          <w:b/>
        </w:rPr>
        <w:t>Hiralal Gupta</w:t>
      </w:r>
      <w:r>
        <w:rPr>
          <w:vertAlign w:val="superscript"/>
        </w:rPr>
        <w:t>319</w:t>
      </w:r>
      <w:r>
        <w:rPr>
          <w:vertAlign w:val="baseline"/>
        </w:rPr>
        <w:t>, the issue was whether a female bandhu was entitled to succeed to the estate of the male holder through her mother‘s side within five degrees of the male holder. On the issue of the inam register, this </w:t>
      </w:r>
      <w:r>
        <w:rPr>
          <w:spacing w:val="-1"/>
          <w:w w:val="99"/>
          <w:vertAlign w:val="baseline"/>
        </w:rPr>
        <w:t>Cou</w:t>
      </w:r>
      <w:r>
        <w:rPr>
          <w:spacing w:val="1"/>
          <w:w w:val="99"/>
          <w:vertAlign w:val="baseline"/>
        </w:rPr>
        <w:t>r</w:t>
      </w:r>
      <w:r>
        <w:rPr>
          <w:w w:val="99"/>
          <w:vertAlign w:val="baseline"/>
        </w:rPr>
        <w:t>t</w:t>
      </w:r>
      <w:r>
        <w:rPr>
          <w:vertAlign w:val="baseline"/>
        </w:rPr>
        <w:t> </w:t>
      </w:r>
      <w:r>
        <w:rPr>
          <w:spacing w:val="-15"/>
          <w:vertAlign w:val="baseline"/>
        </w:rPr>
        <w:t> </w:t>
      </w:r>
      <w:r>
        <w:rPr>
          <w:spacing w:val="-1"/>
          <w:w w:val="99"/>
          <w:vertAlign w:val="baseline"/>
        </w:rPr>
        <w:t>o</w:t>
      </w:r>
      <w:r>
        <w:rPr>
          <w:w w:val="99"/>
          <w:vertAlign w:val="baseline"/>
        </w:rPr>
        <w:t>bse</w:t>
      </w:r>
      <w:r>
        <w:rPr>
          <w:spacing w:val="1"/>
          <w:w w:val="99"/>
          <w:vertAlign w:val="baseline"/>
        </w:rPr>
        <w:t>r</w:t>
      </w:r>
      <w:r>
        <w:rPr>
          <w:spacing w:val="-3"/>
          <w:w w:val="99"/>
          <w:vertAlign w:val="baseline"/>
        </w:rPr>
        <w:t>v</w:t>
      </w:r>
      <w:r>
        <w:rPr>
          <w:spacing w:val="-1"/>
          <w:w w:val="99"/>
          <w:vertAlign w:val="baseline"/>
        </w:rPr>
        <w:t>e</w:t>
      </w:r>
      <w:r>
        <w:rPr>
          <w:w w:val="99"/>
          <w:vertAlign w:val="baseline"/>
        </w:rPr>
        <w:t>d</w:t>
      </w:r>
      <w:r>
        <w:rPr>
          <w:vertAlign w:val="baseline"/>
        </w:rPr>
        <w:t> </w:t>
      </w:r>
      <w:r>
        <w:rPr>
          <w:spacing w:val="-14"/>
          <w:vertAlign w:val="baseline"/>
        </w:rPr>
        <w:t> </w:t>
      </w:r>
      <w:r>
        <w:rPr>
          <w:w w:val="99"/>
          <w:vertAlign w:val="baseline"/>
        </w:rPr>
        <w:t>that</w:t>
      </w:r>
      <w:r>
        <w:rPr>
          <w:vertAlign w:val="baseline"/>
        </w:rPr>
        <w:t> </w:t>
      </w:r>
      <w:r>
        <w:rPr>
          <w:spacing w:val="-12"/>
          <w:vertAlign w:val="baseline"/>
        </w:rPr>
        <w:t> </w:t>
      </w:r>
      <w:r>
        <w:rPr>
          <w:spacing w:val="-1"/>
          <w:w w:val="99"/>
          <w:vertAlign w:val="baseline"/>
        </w:rPr>
        <w:t>i</w:t>
      </w:r>
      <w:r>
        <w:rPr>
          <w:w w:val="99"/>
          <w:vertAlign w:val="baseline"/>
        </w:rPr>
        <w:t>t</w:t>
      </w:r>
      <w:r>
        <w:rPr>
          <w:vertAlign w:val="baseline"/>
        </w:rPr>
        <w:t> </w:t>
      </w:r>
      <w:r>
        <w:rPr>
          <w:spacing w:val="-15"/>
          <w:vertAlign w:val="baseline"/>
        </w:rPr>
        <w:t> </w:t>
      </w:r>
      <w:r>
        <w:rPr>
          <w:spacing w:val="-1"/>
          <w:w w:val="99"/>
          <w:vertAlign w:val="baseline"/>
        </w:rPr>
        <w:t>h</w:t>
      </w:r>
      <w:r>
        <w:rPr>
          <w:w w:val="99"/>
          <w:vertAlign w:val="baseline"/>
        </w:rPr>
        <w:t>ad</w:t>
      </w:r>
      <w:r>
        <w:rPr>
          <w:vertAlign w:val="baseline"/>
        </w:rPr>
        <w:t> </w:t>
      </w:r>
      <w:r>
        <w:rPr>
          <w:spacing w:val="-14"/>
          <w:vertAlign w:val="baseline"/>
        </w:rPr>
        <w:t> </w:t>
      </w:r>
      <w:r>
        <w:rPr>
          <w:w w:val="33"/>
          <w:vertAlign w:val="baseline"/>
        </w:rPr>
        <w:t>―</w:t>
      </w:r>
      <w:r>
        <w:rPr>
          <w:spacing w:val="-1"/>
          <w:w w:val="99"/>
          <w:vertAlign w:val="baseline"/>
        </w:rPr>
        <w:t>g</w:t>
      </w:r>
      <w:r>
        <w:rPr>
          <w:w w:val="99"/>
          <w:vertAlign w:val="baseline"/>
        </w:rPr>
        <w:t>r</w:t>
      </w:r>
      <w:r>
        <w:rPr>
          <w:spacing w:val="-1"/>
          <w:w w:val="99"/>
          <w:vertAlign w:val="baseline"/>
        </w:rPr>
        <w:t>e</w:t>
      </w:r>
      <w:r>
        <w:rPr>
          <w:w w:val="99"/>
          <w:vertAlign w:val="baseline"/>
        </w:rPr>
        <w:t>at</w:t>
      </w:r>
      <w:r>
        <w:rPr>
          <w:vertAlign w:val="baseline"/>
        </w:rPr>
        <w:t> </w:t>
      </w:r>
      <w:r>
        <w:rPr>
          <w:spacing w:val="-15"/>
          <w:vertAlign w:val="baseline"/>
        </w:rPr>
        <w:t> </w:t>
      </w:r>
      <w:r>
        <w:rPr>
          <w:spacing w:val="-1"/>
          <w:w w:val="99"/>
          <w:vertAlign w:val="baseline"/>
        </w:rPr>
        <w:t>e</w:t>
      </w:r>
      <w:r>
        <w:rPr>
          <w:spacing w:val="-3"/>
          <w:w w:val="99"/>
          <w:vertAlign w:val="baseline"/>
        </w:rPr>
        <w:t>v</w:t>
      </w:r>
      <w:r>
        <w:rPr>
          <w:spacing w:val="-1"/>
          <w:w w:val="99"/>
          <w:vertAlign w:val="baseline"/>
        </w:rPr>
        <w:t>ide</w:t>
      </w:r>
      <w:r>
        <w:rPr>
          <w:w w:val="99"/>
          <w:vertAlign w:val="baseline"/>
        </w:rPr>
        <w:t>nt</w:t>
      </w:r>
      <w:r>
        <w:rPr>
          <w:spacing w:val="2"/>
          <w:w w:val="99"/>
          <w:vertAlign w:val="baseline"/>
        </w:rPr>
        <w:t>i</w:t>
      </w:r>
      <w:r>
        <w:rPr>
          <w:spacing w:val="-1"/>
          <w:w w:val="99"/>
          <w:vertAlign w:val="baseline"/>
        </w:rPr>
        <w:t>a</w:t>
      </w:r>
      <w:r>
        <w:rPr>
          <w:w w:val="99"/>
          <w:vertAlign w:val="baseline"/>
        </w:rPr>
        <w:t>ry</w:t>
      </w:r>
      <w:r>
        <w:rPr>
          <w:vertAlign w:val="baseline"/>
        </w:rPr>
        <w:t> </w:t>
      </w:r>
      <w:r>
        <w:rPr>
          <w:spacing w:val="-15"/>
          <w:vertAlign w:val="baseline"/>
        </w:rPr>
        <w:t> </w:t>
      </w:r>
      <w:r>
        <w:rPr>
          <w:spacing w:val="-3"/>
          <w:w w:val="99"/>
          <w:vertAlign w:val="baseline"/>
        </w:rPr>
        <w:t>v</w:t>
      </w:r>
      <w:r>
        <w:rPr>
          <w:spacing w:val="-1"/>
          <w:w w:val="99"/>
          <w:vertAlign w:val="baseline"/>
        </w:rPr>
        <w:t>alu</w:t>
      </w:r>
      <w:r>
        <w:rPr>
          <w:w w:val="99"/>
          <w:vertAlign w:val="baseline"/>
        </w:rPr>
        <w:t>e</w:t>
      </w:r>
      <w:r>
        <w:rPr>
          <w:w w:val="80"/>
          <w:vertAlign w:val="baseline"/>
        </w:rPr>
        <w:t>‖</w:t>
      </w:r>
      <w:r>
        <w:rPr>
          <w:vertAlign w:val="baseline"/>
        </w:rPr>
        <w:t> </w:t>
      </w:r>
      <w:r>
        <w:rPr>
          <w:spacing w:val="-14"/>
          <w:vertAlign w:val="baseline"/>
        </w:rPr>
        <w:t> </w:t>
      </w:r>
      <w:r>
        <w:rPr>
          <w:spacing w:val="-1"/>
          <w:w w:val="99"/>
          <w:vertAlign w:val="baseline"/>
        </w:rPr>
        <w:t>b</w:t>
      </w:r>
      <w:r>
        <w:rPr>
          <w:w w:val="99"/>
          <w:vertAlign w:val="baseline"/>
        </w:rPr>
        <w:t>ut</w:t>
      </w:r>
      <w:r>
        <w:rPr>
          <w:vertAlign w:val="baseline"/>
        </w:rPr>
        <w:t> </w:t>
      </w:r>
      <w:r>
        <w:rPr>
          <w:spacing w:val="-15"/>
          <w:vertAlign w:val="baseline"/>
        </w:rPr>
        <w:t> </w:t>
      </w:r>
      <w:r>
        <w:rPr>
          <w:spacing w:val="-1"/>
          <w:w w:val="99"/>
          <w:vertAlign w:val="baseline"/>
        </w:rPr>
        <w:t>it</w:t>
      </w:r>
      <w:r>
        <w:rPr>
          <w:w w:val="99"/>
          <w:vertAlign w:val="baseline"/>
        </w:rPr>
        <w:t>s</w:t>
      </w:r>
      <w:r>
        <w:rPr>
          <w:vertAlign w:val="baseline"/>
        </w:rPr>
        <w:t> </w:t>
      </w:r>
      <w:r>
        <w:rPr>
          <w:spacing w:val="-13"/>
          <w:vertAlign w:val="baseline"/>
        </w:rPr>
        <w:t> </w:t>
      </w:r>
      <w:r>
        <w:rPr>
          <w:spacing w:val="-1"/>
          <w:w w:val="99"/>
          <w:vertAlign w:val="baseline"/>
        </w:rPr>
        <w:t>e</w:t>
      </w:r>
      <w:r>
        <w:rPr>
          <w:spacing w:val="2"/>
          <w:w w:val="99"/>
          <w:vertAlign w:val="baseline"/>
        </w:rPr>
        <w:t>n</w:t>
      </w:r>
      <w:r>
        <w:rPr>
          <w:w w:val="99"/>
          <w:vertAlign w:val="baseline"/>
        </w:rPr>
        <w:t>tr</w:t>
      </w:r>
      <w:r>
        <w:rPr>
          <w:spacing w:val="-1"/>
          <w:w w:val="99"/>
          <w:vertAlign w:val="baseline"/>
        </w:rPr>
        <w:t>ie</w:t>
      </w:r>
      <w:r>
        <w:rPr>
          <w:w w:val="99"/>
          <w:vertAlign w:val="baseline"/>
        </w:rPr>
        <w:t>s</w:t>
      </w:r>
      <w:r>
        <w:rPr>
          <w:vertAlign w:val="baseline"/>
        </w:rPr>
        <w:t> </w:t>
      </w:r>
      <w:r>
        <w:rPr>
          <w:spacing w:val="-15"/>
          <w:vertAlign w:val="baseline"/>
        </w:rPr>
        <w:t> </w:t>
      </w:r>
      <w:r>
        <w:rPr>
          <w:spacing w:val="-1"/>
          <w:w w:val="99"/>
          <w:vertAlign w:val="baseline"/>
        </w:rPr>
        <w:t>h</w:t>
      </w:r>
      <w:r>
        <w:rPr>
          <w:w w:val="99"/>
          <w:vertAlign w:val="baseline"/>
        </w:rPr>
        <w:t>ad</w:t>
      </w:r>
      <w:r>
        <w:rPr>
          <w:vertAlign w:val="baseline"/>
        </w:rPr>
        <w:t> </w:t>
      </w:r>
      <w:r>
        <w:rPr>
          <w:spacing w:val="-14"/>
          <w:vertAlign w:val="baseline"/>
        </w:rPr>
        <w:t> </w:t>
      </w:r>
      <w:r>
        <w:rPr>
          <w:w w:val="99"/>
          <w:vertAlign w:val="baseline"/>
        </w:rPr>
        <w:t>to</w:t>
      </w:r>
      <w:r>
        <w:rPr>
          <w:vertAlign w:val="baseline"/>
        </w:rPr>
        <w:t> </w:t>
      </w:r>
      <w:r>
        <w:rPr>
          <w:spacing w:val="-14"/>
          <w:vertAlign w:val="baseline"/>
        </w:rPr>
        <w:t> </w:t>
      </w:r>
      <w:r>
        <w:rPr>
          <w:spacing w:val="-1"/>
          <w:w w:val="99"/>
          <w:vertAlign w:val="baseline"/>
        </w:rPr>
        <w:t>be </w:t>
      </w:r>
      <w:r>
        <w:rPr>
          <w:vertAlign w:val="baseline"/>
        </w:rPr>
        <w:t>considered in the context of other evidence on the record. On the evidentiary value</w:t>
      </w:r>
      <w:r>
        <w:rPr>
          <w:spacing w:val="54"/>
          <w:vertAlign w:val="baseline"/>
        </w:rPr>
        <w:t> </w:t>
      </w:r>
      <w:r>
        <w:rPr>
          <w:vertAlign w:val="baseline"/>
        </w:rPr>
        <w:t>of</w:t>
      </w:r>
      <w:r>
        <w:rPr>
          <w:spacing w:val="54"/>
          <w:vertAlign w:val="baseline"/>
        </w:rPr>
        <w:t> </w:t>
      </w:r>
      <w:r>
        <w:rPr>
          <w:vertAlign w:val="baseline"/>
        </w:rPr>
        <w:t>an</w:t>
      </w:r>
      <w:r>
        <w:rPr>
          <w:spacing w:val="55"/>
          <w:vertAlign w:val="baseline"/>
        </w:rPr>
        <w:t> </w:t>
      </w:r>
      <w:r>
        <w:rPr>
          <w:vertAlign w:val="baseline"/>
        </w:rPr>
        <w:t>official</w:t>
      </w:r>
      <w:r>
        <w:rPr>
          <w:spacing w:val="53"/>
          <w:vertAlign w:val="baseline"/>
        </w:rPr>
        <w:t> </w:t>
      </w:r>
      <w:r>
        <w:rPr>
          <w:vertAlign w:val="baseline"/>
        </w:rPr>
        <w:t>gazette,</w:t>
      </w:r>
      <w:r>
        <w:rPr>
          <w:spacing w:val="57"/>
          <w:vertAlign w:val="baseline"/>
        </w:rPr>
        <w:t> </w:t>
      </w:r>
      <w:r>
        <w:rPr>
          <w:vertAlign w:val="baseline"/>
        </w:rPr>
        <w:t>the</w:t>
      </w:r>
      <w:r>
        <w:rPr>
          <w:spacing w:val="55"/>
          <w:vertAlign w:val="baseline"/>
        </w:rPr>
        <w:t> </w:t>
      </w:r>
      <w:r>
        <w:rPr>
          <w:vertAlign w:val="baseline"/>
        </w:rPr>
        <w:t>two</w:t>
      </w:r>
      <w:r>
        <w:rPr>
          <w:spacing w:val="54"/>
          <w:vertAlign w:val="baseline"/>
        </w:rPr>
        <w:t> </w:t>
      </w:r>
      <w:r>
        <w:rPr>
          <w:vertAlign w:val="baseline"/>
        </w:rPr>
        <w:t>judge</w:t>
      </w:r>
      <w:r>
        <w:rPr>
          <w:spacing w:val="54"/>
          <w:vertAlign w:val="baseline"/>
        </w:rPr>
        <w:t> </w:t>
      </w:r>
      <w:r>
        <w:rPr>
          <w:vertAlign w:val="baseline"/>
        </w:rPr>
        <w:t>Bench</w:t>
      </w:r>
      <w:r>
        <w:rPr>
          <w:spacing w:val="55"/>
          <w:vertAlign w:val="baseline"/>
        </w:rPr>
        <w:t> </w:t>
      </w:r>
      <w:r>
        <w:rPr>
          <w:vertAlign w:val="baseline"/>
        </w:rPr>
        <w:t>of</w:t>
      </w:r>
      <w:r>
        <w:rPr>
          <w:spacing w:val="54"/>
          <w:vertAlign w:val="baseline"/>
        </w:rPr>
        <w:t> </w:t>
      </w:r>
      <w:r>
        <w:rPr>
          <w:vertAlign w:val="baseline"/>
        </w:rPr>
        <w:t>this</w:t>
      </w:r>
      <w:r>
        <w:rPr>
          <w:spacing w:val="54"/>
          <w:vertAlign w:val="baseline"/>
        </w:rPr>
        <w:t> </w:t>
      </w:r>
      <w:r>
        <w:rPr>
          <w:vertAlign w:val="baseline"/>
        </w:rPr>
        <w:t>Court</w:t>
      </w:r>
      <w:r>
        <w:rPr>
          <w:spacing w:val="54"/>
          <w:vertAlign w:val="baseline"/>
        </w:rPr>
        <w:t> </w:t>
      </w:r>
      <w:r>
        <w:rPr>
          <w:vertAlign w:val="baseline"/>
        </w:rPr>
        <w:t>dealt</w:t>
      </w:r>
      <w:r>
        <w:rPr>
          <w:spacing w:val="54"/>
          <w:vertAlign w:val="baseline"/>
        </w:rPr>
        <w:t> </w:t>
      </w:r>
      <w:r>
        <w:rPr>
          <w:vertAlign w:val="baseline"/>
        </w:rPr>
        <w:t>with</w:t>
      </w:r>
      <w:r>
        <w:rPr>
          <w:spacing w:val="53"/>
          <w:vertAlign w:val="baseline"/>
        </w:rPr>
        <w:t> </w:t>
      </w:r>
      <w:r>
        <w:rPr>
          <w:vertAlign w:val="baseline"/>
        </w:rPr>
        <w:t>the</w:t>
      </w:r>
    </w:p>
    <w:p>
      <w:pPr>
        <w:pStyle w:val="BodyText"/>
        <w:rPr>
          <w:sz w:val="20"/>
        </w:rPr>
      </w:pPr>
    </w:p>
    <w:p>
      <w:pPr>
        <w:pStyle w:val="BodyText"/>
        <w:rPr>
          <w:sz w:val="20"/>
        </w:rPr>
      </w:pPr>
    </w:p>
    <w:p>
      <w:pPr>
        <w:pStyle w:val="BodyText"/>
        <w:spacing w:before="9"/>
        <w:rPr>
          <w:sz w:val="19"/>
        </w:rPr>
      </w:pPr>
      <w:r>
        <w:rPr/>
        <w:pict>
          <v:rect style="position:absolute;margin-left:72.024002pt;margin-top:13.346041pt;width:144.020pt;height:.599980pt;mso-position-horizontal-relative:page;mso-position-vertical-relative:paragraph;z-index:-15635968;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318</w:t>
      </w:r>
      <w:r>
        <w:rPr>
          <w:sz w:val="18"/>
          <w:vertAlign w:val="baseline"/>
        </w:rPr>
        <w:t> 1966 Supp. SCR 436</w:t>
      </w:r>
    </w:p>
    <w:p>
      <w:pPr>
        <w:spacing w:before="2"/>
        <w:ind w:left="500" w:right="0" w:firstLine="0"/>
        <w:jc w:val="left"/>
        <w:rPr>
          <w:sz w:val="18"/>
        </w:rPr>
      </w:pPr>
      <w:r>
        <w:rPr>
          <w:sz w:val="18"/>
          <w:vertAlign w:val="superscript"/>
        </w:rPr>
        <w:t>319</w:t>
      </w:r>
      <w:r>
        <w:rPr>
          <w:sz w:val="18"/>
          <w:vertAlign w:val="baseline"/>
        </w:rPr>
        <w:t> (1990) 2 SCC 22</w:t>
      </w:r>
    </w:p>
    <w:p>
      <w:pPr>
        <w:spacing w:after="0"/>
        <w:jc w:val="left"/>
        <w:rPr>
          <w:sz w:val="18"/>
        </w:rPr>
        <w:sectPr>
          <w:headerReference w:type="default" r:id="rId172"/>
          <w:footerReference w:type="default" r:id="rId173"/>
          <w:pgSz w:w="11910" w:h="16840"/>
          <w:pgMar w:header="721" w:footer="1014" w:top="1300" w:bottom="1200" w:left="940" w:right="1000"/>
          <w:pgNumType w:start="697"/>
        </w:sectPr>
      </w:pPr>
    </w:p>
    <w:p>
      <w:pPr>
        <w:pStyle w:val="BodyText"/>
        <w:spacing w:line="480" w:lineRule="auto" w:before="124"/>
        <w:ind w:left="500" w:right="446"/>
        <w:jc w:val="both"/>
      </w:pPr>
      <w:r>
        <w:rPr/>
        <w:t>provisions of Section 37 and Section 57(13) of the Evidence Act 1872 in the context of migration and observed:</w:t>
      </w:r>
    </w:p>
    <w:p>
      <w:pPr>
        <w:spacing w:before="159"/>
        <w:ind w:left="1940" w:right="0" w:firstLine="0"/>
        <w:jc w:val="both"/>
        <w:rPr>
          <w:sz w:val="21"/>
        </w:rPr>
      </w:pPr>
      <w:r>
        <w:rPr>
          <w:spacing w:val="-1"/>
          <w:w w:val="33"/>
          <w:sz w:val="21"/>
        </w:rPr>
        <w:t>―</w:t>
      </w:r>
      <w:r>
        <w:rPr>
          <w:spacing w:val="-1"/>
          <w:w w:val="100"/>
          <w:sz w:val="21"/>
        </w:rPr>
        <w:t>4.</w:t>
      </w:r>
      <w:r>
        <w:rPr>
          <w:rFonts w:ascii="Times New Roman" w:hAnsi="Times New Roman"/>
          <w:w w:val="100"/>
          <w:sz w:val="21"/>
        </w:rPr>
        <w:t> </w:t>
      </w:r>
      <w:r>
        <w:rPr>
          <w:rFonts w:ascii="Times New Roman" w:hAnsi="Times New Roman"/>
          <w:sz w:val="21"/>
        </w:rPr>
        <w:t>    </w:t>
      </w:r>
      <w:r>
        <w:rPr>
          <w:rFonts w:ascii="Times New Roman" w:hAnsi="Times New Roman"/>
          <w:spacing w:val="2"/>
          <w:sz w:val="21"/>
        </w:rPr>
        <w:t> </w:t>
      </w:r>
      <w:r>
        <w:rPr>
          <w:w w:val="100"/>
          <w:sz w:val="21"/>
        </w:rPr>
        <w:t>T</w:t>
      </w:r>
      <w:r>
        <w:rPr>
          <w:w w:val="100"/>
          <w:sz w:val="21"/>
        </w:rPr>
        <w:t>hus,</w:t>
      </w:r>
      <w:r>
        <w:rPr>
          <w:spacing w:val="12"/>
          <w:sz w:val="21"/>
        </w:rPr>
        <w:t> </w:t>
      </w:r>
      <w:r>
        <w:rPr>
          <w:w w:val="100"/>
          <w:sz w:val="21"/>
        </w:rPr>
        <w:t>i</w:t>
      </w:r>
      <w:r>
        <w:rPr>
          <w:w w:val="100"/>
          <w:sz w:val="21"/>
        </w:rPr>
        <w:t>t</w:t>
      </w:r>
      <w:r>
        <w:rPr>
          <w:spacing w:val="12"/>
          <w:sz w:val="21"/>
        </w:rPr>
        <w:t> </w:t>
      </w:r>
      <w:r>
        <w:rPr>
          <w:w w:val="100"/>
          <w:sz w:val="21"/>
        </w:rPr>
        <w:t>i</w:t>
      </w:r>
      <w:r>
        <w:rPr>
          <w:w w:val="100"/>
          <w:sz w:val="21"/>
        </w:rPr>
        <w:t>s</w:t>
      </w:r>
      <w:r>
        <w:rPr>
          <w:spacing w:val="13"/>
          <w:sz w:val="21"/>
        </w:rPr>
        <w:t> </w:t>
      </w:r>
      <w:r>
        <w:rPr>
          <w:spacing w:val="-3"/>
          <w:w w:val="100"/>
          <w:sz w:val="21"/>
        </w:rPr>
        <w:t>c</w:t>
      </w:r>
      <w:r>
        <w:rPr>
          <w:w w:val="100"/>
          <w:sz w:val="21"/>
        </w:rPr>
        <w:t>l</w:t>
      </w:r>
      <w:r>
        <w:rPr>
          <w:w w:val="100"/>
          <w:sz w:val="21"/>
        </w:rPr>
        <w:t>ear</w:t>
      </w:r>
      <w:r>
        <w:rPr>
          <w:spacing w:val="13"/>
          <w:sz w:val="21"/>
        </w:rPr>
        <w:t> </w:t>
      </w:r>
      <w:r>
        <w:rPr>
          <w:spacing w:val="-2"/>
          <w:w w:val="100"/>
          <w:sz w:val="21"/>
        </w:rPr>
        <w:t>t</w:t>
      </w:r>
      <w:r>
        <w:rPr>
          <w:w w:val="100"/>
          <w:sz w:val="21"/>
        </w:rPr>
        <w:t>hat</w:t>
      </w:r>
      <w:r>
        <w:rPr>
          <w:spacing w:val="10"/>
          <w:sz w:val="21"/>
        </w:rPr>
        <w:t> </w:t>
      </w:r>
      <w:r>
        <w:rPr>
          <w:spacing w:val="1"/>
          <w:w w:val="100"/>
          <w:sz w:val="21"/>
        </w:rPr>
        <w:t>m</w:t>
      </w:r>
      <w:r>
        <w:rPr>
          <w:spacing w:val="-2"/>
          <w:w w:val="100"/>
          <w:sz w:val="21"/>
        </w:rPr>
        <w:t>i</w:t>
      </w:r>
      <w:r>
        <w:rPr>
          <w:w w:val="100"/>
          <w:sz w:val="21"/>
        </w:rPr>
        <w:t>gra</w:t>
      </w:r>
      <w:r>
        <w:rPr>
          <w:spacing w:val="-2"/>
          <w:w w:val="100"/>
          <w:sz w:val="21"/>
        </w:rPr>
        <w:t>t</w:t>
      </w:r>
      <w:r>
        <w:rPr>
          <w:w w:val="100"/>
          <w:sz w:val="21"/>
        </w:rPr>
        <w:t>i</w:t>
      </w:r>
      <w:r>
        <w:rPr>
          <w:spacing w:val="-3"/>
          <w:w w:val="100"/>
          <w:sz w:val="21"/>
        </w:rPr>
        <w:t>o</w:t>
      </w:r>
      <w:r>
        <w:rPr>
          <w:w w:val="100"/>
          <w:sz w:val="21"/>
        </w:rPr>
        <w:t>n</w:t>
      </w:r>
      <w:r>
        <w:rPr>
          <w:spacing w:val="13"/>
          <w:sz w:val="21"/>
        </w:rPr>
        <w:t> </w:t>
      </w:r>
      <w:r>
        <w:rPr>
          <w:w w:val="100"/>
          <w:sz w:val="21"/>
        </w:rPr>
        <w:t>ca</w:t>
      </w:r>
      <w:r>
        <w:rPr>
          <w:spacing w:val="-3"/>
          <w:w w:val="100"/>
          <w:sz w:val="21"/>
        </w:rPr>
        <w:t>n</w:t>
      </w:r>
      <w:r>
        <w:rPr>
          <w:w w:val="100"/>
          <w:sz w:val="21"/>
        </w:rPr>
        <w:t>not</w:t>
      </w:r>
      <w:r>
        <w:rPr>
          <w:spacing w:val="12"/>
          <w:sz w:val="21"/>
        </w:rPr>
        <w:t> </w:t>
      </w:r>
      <w:r>
        <w:rPr>
          <w:w w:val="100"/>
          <w:sz w:val="21"/>
        </w:rPr>
        <w:t>be</w:t>
      </w:r>
      <w:r>
        <w:rPr>
          <w:spacing w:val="13"/>
          <w:sz w:val="21"/>
        </w:rPr>
        <w:t> </w:t>
      </w:r>
      <w:r>
        <w:rPr>
          <w:w w:val="100"/>
          <w:sz w:val="21"/>
        </w:rPr>
        <w:t>pr</w:t>
      </w:r>
      <w:r>
        <w:rPr>
          <w:spacing w:val="-3"/>
          <w:w w:val="100"/>
          <w:sz w:val="21"/>
        </w:rPr>
        <w:t>e</w:t>
      </w:r>
      <w:r>
        <w:rPr>
          <w:spacing w:val="-3"/>
          <w:w w:val="100"/>
          <w:sz w:val="21"/>
        </w:rPr>
        <w:t>s</w:t>
      </w:r>
      <w:r>
        <w:rPr>
          <w:w w:val="100"/>
          <w:sz w:val="21"/>
        </w:rPr>
        <w:t>umed</w:t>
      </w:r>
      <w:r>
        <w:rPr>
          <w:spacing w:val="13"/>
          <w:sz w:val="21"/>
        </w:rPr>
        <w:t> </w:t>
      </w:r>
      <w:r>
        <w:rPr>
          <w:spacing w:val="-3"/>
          <w:w w:val="100"/>
          <w:sz w:val="21"/>
        </w:rPr>
        <w:t>b</w:t>
      </w:r>
      <w:r>
        <w:rPr>
          <w:w w:val="100"/>
          <w:sz w:val="21"/>
        </w:rPr>
        <w:t>ut</w:t>
      </w:r>
    </w:p>
    <w:p>
      <w:pPr>
        <w:spacing w:line="276" w:lineRule="auto" w:before="37"/>
        <w:ind w:left="1940" w:right="2259" w:firstLine="0"/>
        <w:jc w:val="both"/>
        <w:rPr>
          <w:sz w:val="21"/>
        </w:rPr>
      </w:pPr>
      <w:r>
        <w:rPr>
          <w:sz w:val="21"/>
        </w:rPr>
        <w:t>it must be established by adduction (sic) of evidence. The question then arises is whether the recital in Indore State Gazette relied on, at the appellate stage, can form the sole base to establish that the plaintiff's family were the migrants from Mathura in U.P. Section 37 of the Evidence Act, 1872 postulates that any statement made in a government gazette of a public nature is a relevant fact. Section 57(13) declares that on all matters of public history, the court may resort for its aid to appropriate books or documents of reference, and Section 81 draws a presumption as to genuineness of gazettes coming from proper custody. Phipson on </w:t>
      </w:r>
      <w:r>
        <w:rPr>
          <w:i/>
          <w:sz w:val="21"/>
        </w:rPr>
        <w:t>Evidence</w:t>
      </w:r>
      <w:r>
        <w:rPr>
          <w:sz w:val="21"/>
        </w:rPr>
        <w:t>, the Common Law Library (Thirteenth Edition) at page 510 paragraph  25.07  stated  that  the  government  gazettes </w:t>
      </w:r>
      <w:r>
        <w:rPr>
          <w:spacing w:val="24"/>
          <w:sz w:val="21"/>
        </w:rPr>
        <w:t> </w:t>
      </w:r>
      <w:r>
        <w:rPr>
          <w:sz w:val="21"/>
        </w:rPr>
        <w:t>are</w:t>
      </w:r>
    </w:p>
    <w:p>
      <w:pPr>
        <w:spacing w:line="273" w:lineRule="auto" w:before="0"/>
        <w:ind w:left="1940" w:right="2264" w:firstLine="0"/>
        <w:jc w:val="both"/>
        <w:rPr>
          <w:sz w:val="21"/>
        </w:rPr>
      </w:pPr>
      <w:r>
        <w:rPr>
          <w:sz w:val="21"/>
        </w:rPr>
        <w:t>admissible (and sometimes conclusive) evidence of the public, but not of the private matters contained</w:t>
      </w:r>
      <w:r>
        <w:rPr>
          <w:spacing w:val="-13"/>
          <w:sz w:val="21"/>
        </w:rPr>
        <w:t> </w:t>
      </w:r>
      <w:r>
        <w:rPr>
          <w:sz w:val="21"/>
        </w:rPr>
        <w:t>therein...</w:t>
      </w:r>
    </w:p>
    <w:p>
      <w:pPr>
        <w:pStyle w:val="BodyText"/>
        <w:spacing w:before="6"/>
        <w:rPr>
          <w:sz w:val="24"/>
        </w:rPr>
      </w:pPr>
    </w:p>
    <w:p>
      <w:pPr>
        <w:spacing w:line="276" w:lineRule="auto" w:before="0"/>
        <w:ind w:left="1940" w:right="2262" w:firstLine="0"/>
        <w:jc w:val="both"/>
        <w:rPr>
          <w:sz w:val="21"/>
        </w:rPr>
      </w:pPr>
      <w:r>
        <w:rPr>
          <w:sz w:val="21"/>
        </w:rPr>
        <w:t>5. </w:t>
      </w:r>
      <w:r>
        <w:rPr>
          <w:b/>
          <w:sz w:val="21"/>
        </w:rPr>
        <w:t>The statement of fact contained in the official Gazette made in the course of the discharge of the official duties on private affairs or on historical facts in some cases is best evidence of facts stated therein and is entitled to due consideration but should not be treated as conclusive in respect of matters requiring judicial adjudication. In an appropriate case where there is some evidence on record to prove the fact in issue but it is not sufficient to record a finding thereon, the statement of facts concerning management of private temples or historical facts of status of private persons etc. found in the official Gazette may be relied upon without further proof thereof as corroborative</w:t>
      </w:r>
      <w:r>
        <w:rPr>
          <w:b/>
          <w:spacing w:val="-7"/>
          <w:sz w:val="21"/>
        </w:rPr>
        <w:t> </w:t>
      </w:r>
      <w:r>
        <w:rPr>
          <w:b/>
          <w:sz w:val="21"/>
        </w:rPr>
        <w:t>evidence</w:t>
      </w:r>
      <w:r>
        <w:rPr>
          <w:sz w:val="21"/>
        </w:rPr>
        <w:t>.‖</w:t>
      </w:r>
    </w:p>
    <w:p>
      <w:pPr>
        <w:spacing w:before="0"/>
        <w:ind w:left="5771" w:right="0" w:firstLine="0"/>
        <w:jc w:val="both"/>
        <w:rPr>
          <w:sz w:val="21"/>
        </w:rPr>
      </w:pPr>
      <w:r>
        <w:rPr>
          <w:sz w:val="21"/>
        </w:rPr>
        <w:t>(Emphasis supplied)</w:t>
      </w:r>
    </w:p>
    <w:p>
      <w:pPr>
        <w:pStyle w:val="BodyText"/>
        <w:rPr>
          <w:sz w:val="24"/>
        </w:rPr>
      </w:pPr>
    </w:p>
    <w:p>
      <w:pPr>
        <w:pStyle w:val="BodyText"/>
        <w:rPr>
          <w:sz w:val="24"/>
        </w:rPr>
      </w:pPr>
    </w:p>
    <w:p>
      <w:pPr>
        <w:pStyle w:val="BodyText"/>
        <w:rPr>
          <w:sz w:val="24"/>
        </w:rPr>
      </w:pPr>
    </w:p>
    <w:p>
      <w:pPr>
        <w:pStyle w:val="BodyText"/>
        <w:spacing w:line="480" w:lineRule="auto" w:before="176"/>
        <w:ind w:left="500" w:right="434"/>
        <w:jc w:val="both"/>
      </w:pPr>
      <w:r>
        <w:rPr/>
        <w:t>A statement of fact contained in the Official Gazette made in the course of the </w:t>
      </w:r>
      <w:r>
        <w:rPr>
          <w:w w:val="99"/>
        </w:rPr>
        <w:t>discha</w:t>
      </w:r>
      <w:r>
        <w:rPr>
          <w:w w:val="99"/>
        </w:rPr>
        <w:t>r</w:t>
      </w:r>
      <w:r>
        <w:rPr>
          <w:w w:val="99"/>
        </w:rPr>
        <w:t>ge</w:t>
      </w:r>
      <w:r>
        <w:rPr/>
        <w:t> </w:t>
      </w:r>
      <w:r>
        <w:rPr>
          <w:w w:val="99"/>
        </w:rPr>
        <w:t>of</w:t>
      </w:r>
      <w:r>
        <w:rPr/>
        <w:t> </w:t>
      </w:r>
      <w:r>
        <w:rPr>
          <w:w w:val="99"/>
        </w:rPr>
        <w:t>off</w:t>
      </w:r>
      <w:r>
        <w:rPr>
          <w:w w:val="99"/>
        </w:rPr>
        <w:t>icial</w:t>
      </w:r>
      <w:r>
        <w:rPr/>
        <w:t> </w:t>
      </w:r>
      <w:r>
        <w:rPr>
          <w:w w:val="99"/>
        </w:rPr>
        <w:t>duties</w:t>
      </w:r>
      <w:r>
        <w:rPr/>
        <w:t> </w:t>
      </w:r>
      <w:r>
        <w:rPr>
          <w:w w:val="99"/>
        </w:rPr>
        <w:t>on</w:t>
      </w:r>
      <w:r>
        <w:rPr/>
        <w:t> </w:t>
      </w:r>
      <w:r>
        <w:rPr>
          <w:w w:val="99"/>
        </w:rPr>
        <w:t>private</w:t>
      </w:r>
      <w:r>
        <w:rPr/>
        <w:t> </w:t>
      </w:r>
      <w:r>
        <w:rPr>
          <w:w w:val="99"/>
        </w:rPr>
        <w:t>affairs</w:t>
      </w:r>
      <w:r>
        <w:rPr/>
        <w:t> </w:t>
      </w:r>
      <w:r>
        <w:rPr>
          <w:w w:val="99"/>
        </w:rPr>
        <w:t>or</w:t>
      </w:r>
      <w:r>
        <w:rPr/>
        <w:t> </w:t>
      </w:r>
      <w:r>
        <w:rPr>
          <w:w w:val="99"/>
        </w:rPr>
        <w:t>on</w:t>
      </w:r>
      <w:r>
        <w:rPr/>
        <w:t> </w:t>
      </w:r>
      <w:r>
        <w:rPr>
          <w:w w:val="99"/>
        </w:rPr>
        <w:t>historical</w:t>
      </w:r>
      <w:r>
        <w:rPr/>
        <w:t> </w:t>
      </w:r>
      <w:r>
        <w:rPr>
          <w:w w:val="99"/>
        </w:rPr>
        <w:t>facts</w:t>
      </w:r>
      <w:r>
        <w:rPr/>
        <w:t> </w:t>
      </w:r>
      <w:r>
        <w:rPr>
          <w:w w:val="99"/>
        </w:rPr>
        <w:t>in</w:t>
      </w:r>
      <w:r>
        <w:rPr/>
        <w:t> </w:t>
      </w:r>
      <w:r>
        <w:rPr>
          <w:w w:val="33"/>
        </w:rPr>
        <w:t>―</w:t>
      </w:r>
      <w:r>
        <w:rPr>
          <w:b/>
          <w:w w:val="99"/>
        </w:rPr>
        <w:t>som</w:t>
      </w:r>
      <w:r>
        <w:rPr>
          <w:b/>
          <w:w w:val="99"/>
        </w:rPr>
        <w:t>e</w:t>
      </w:r>
      <w:r>
        <w:rPr>
          <w:b/>
        </w:rPr>
        <w:t> </w:t>
      </w:r>
      <w:r>
        <w:rPr>
          <w:b/>
          <w:w w:val="99"/>
        </w:rPr>
        <w:t>cases</w:t>
      </w:r>
      <w:r>
        <w:rPr>
          <w:w w:val="80"/>
        </w:rPr>
        <w:t>‖ </w:t>
      </w:r>
      <w:r>
        <w:rPr>
          <w:w w:val="99"/>
        </w:rPr>
        <w:t>is</w:t>
      </w:r>
      <w:r>
        <w:rPr/>
        <w:t> </w:t>
      </w:r>
      <w:r>
        <w:rPr>
          <w:w w:val="99"/>
        </w:rPr>
        <w:t>the</w:t>
      </w:r>
      <w:r>
        <w:rPr/>
        <w:t> </w:t>
      </w:r>
      <w:r>
        <w:rPr>
          <w:w w:val="99"/>
        </w:rPr>
        <w:t>best</w:t>
      </w:r>
      <w:r>
        <w:rPr/>
        <w:t> </w:t>
      </w:r>
      <w:r>
        <w:rPr>
          <w:w w:val="99"/>
        </w:rPr>
        <w:t>evidence</w:t>
      </w:r>
      <w:r>
        <w:rPr/>
        <w:t> </w:t>
      </w:r>
      <w:r>
        <w:rPr>
          <w:w w:val="99"/>
        </w:rPr>
        <w:t>of</w:t>
      </w:r>
      <w:r>
        <w:rPr/>
        <w:t> </w:t>
      </w:r>
      <w:r>
        <w:rPr>
          <w:w w:val="99"/>
        </w:rPr>
        <w:t>facts</w:t>
      </w:r>
      <w:r>
        <w:rPr/>
        <w:t> </w:t>
      </w:r>
      <w:r>
        <w:rPr>
          <w:w w:val="99"/>
        </w:rPr>
        <w:t>and</w:t>
      </w:r>
      <w:r>
        <w:rPr/>
        <w:t> </w:t>
      </w:r>
      <w:r>
        <w:rPr>
          <w:w w:val="99"/>
        </w:rPr>
        <w:t>is</w:t>
      </w:r>
      <w:r>
        <w:rPr/>
        <w:t> </w:t>
      </w:r>
      <w:r>
        <w:rPr>
          <w:w w:val="99"/>
        </w:rPr>
        <w:t>entitled</w:t>
      </w:r>
      <w:r>
        <w:rPr/>
        <w:t> </w:t>
      </w:r>
      <w:r>
        <w:rPr>
          <w:w w:val="99"/>
        </w:rPr>
        <w:t>to</w:t>
      </w:r>
      <w:r>
        <w:rPr/>
        <w:t> </w:t>
      </w:r>
      <w:r>
        <w:rPr>
          <w:w w:val="33"/>
        </w:rPr>
        <w:t>―</w:t>
      </w:r>
      <w:r>
        <w:rPr>
          <w:b/>
          <w:w w:val="99"/>
        </w:rPr>
        <w:t>du</w:t>
      </w:r>
      <w:r>
        <w:rPr>
          <w:b/>
          <w:w w:val="99"/>
        </w:rPr>
        <w:t>e</w:t>
      </w:r>
      <w:r>
        <w:rPr>
          <w:b/>
        </w:rPr>
        <w:t> </w:t>
      </w:r>
      <w:r>
        <w:rPr>
          <w:b/>
          <w:w w:val="99"/>
        </w:rPr>
        <w:t>c</w:t>
      </w:r>
      <w:r>
        <w:rPr>
          <w:b/>
          <w:w w:val="99"/>
        </w:rPr>
        <w:t>on</w:t>
      </w:r>
      <w:r>
        <w:rPr>
          <w:b/>
          <w:w w:val="99"/>
        </w:rPr>
        <w:t>si</w:t>
      </w:r>
      <w:r>
        <w:rPr>
          <w:b/>
          <w:w w:val="99"/>
        </w:rPr>
        <w:t>d</w:t>
      </w:r>
      <w:r>
        <w:rPr>
          <w:b/>
          <w:w w:val="99"/>
        </w:rPr>
        <w:t>erati</w:t>
      </w:r>
      <w:r>
        <w:rPr>
          <w:b/>
          <w:w w:val="99"/>
        </w:rPr>
        <w:t>on</w:t>
      </w:r>
      <w:r>
        <w:rPr>
          <w:w w:val="80"/>
        </w:rPr>
        <w:t>‖</w:t>
      </w:r>
      <w:r>
        <w:rPr>
          <w:w w:val="99"/>
        </w:rPr>
        <w:t>.</w:t>
      </w:r>
      <w:r>
        <w:rPr/>
        <w:t> </w:t>
      </w:r>
      <w:r>
        <w:rPr>
          <w:w w:val="99"/>
        </w:rPr>
        <w:t>However,</w:t>
      </w:r>
      <w:r>
        <w:rPr/>
        <w:t> </w:t>
      </w:r>
      <w:r>
        <w:rPr>
          <w:w w:val="99"/>
        </w:rPr>
        <w:t>it </w:t>
      </w:r>
      <w:r>
        <w:rPr/>
        <w:t>should not be treated as conclusive on matters requiring judicial adjudication. Questions of title raise issues for adjudication. Conflicting claims of title require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4"/>
        <w:jc w:val="both"/>
      </w:pPr>
      <w:r>
        <w:rPr/>
        <w:t>judicial adjudication. Statements contained in a text of history or in a gazetteer cannot conclude the issue of title.</w:t>
      </w:r>
    </w:p>
    <w:p>
      <w:pPr>
        <w:pStyle w:val="BodyText"/>
        <w:spacing w:before="9"/>
        <w:rPr>
          <w:sz w:val="24"/>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In </w:t>
      </w:r>
      <w:r>
        <w:rPr>
          <w:b/>
          <w:sz w:val="25"/>
        </w:rPr>
        <w:t>Bala Shankar Maha Shanker Bhattjee </w:t>
      </w:r>
      <w:r>
        <w:rPr>
          <w:sz w:val="25"/>
        </w:rPr>
        <w:t>v </w:t>
      </w:r>
      <w:r>
        <w:rPr>
          <w:b/>
          <w:sz w:val="25"/>
        </w:rPr>
        <w:t>Charity Commissioner, Gujarat State</w:t>
      </w:r>
      <w:r>
        <w:rPr>
          <w:sz w:val="25"/>
          <w:vertAlign w:val="superscript"/>
        </w:rPr>
        <w:t>320</w:t>
      </w:r>
      <w:r>
        <w:rPr>
          <w:sz w:val="25"/>
          <w:vertAlign w:val="baseline"/>
        </w:rPr>
        <w:t>, the issue was whether the temple of Kalika Shrine </w:t>
      </w:r>
      <w:r>
        <w:rPr>
          <w:spacing w:val="-6"/>
          <w:sz w:val="25"/>
          <w:vertAlign w:val="baseline"/>
        </w:rPr>
        <w:t>on  </w:t>
      </w:r>
      <w:r>
        <w:rPr>
          <w:sz w:val="25"/>
          <w:vertAlign w:val="baseline"/>
        </w:rPr>
        <w:t>Pavagadh was a public trust within the meaning of the Bombay Public Trust Act 1950. In this context, a two judge Bench of this Court</w:t>
      </w:r>
      <w:r>
        <w:rPr>
          <w:spacing w:val="-7"/>
          <w:sz w:val="25"/>
          <w:vertAlign w:val="baseline"/>
        </w:rPr>
        <w:t> </w:t>
      </w:r>
      <w:r>
        <w:rPr>
          <w:sz w:val="25"/>
          <w:vertAlign w:val="baseline"/>
        </w:rPr>
        <w:t>held:</w:t>
      </w:r>
    </w:p>
    <w:p>
      <w:pPr>
        <w:spacing w:line="276" w:lineRule="auto" w:before="162"/>
        <w:ind w:left="1940" w:right="1901" w:firstLine="0"/>
        <w:jc w:val="both"/>
        <w:rPr>
          <w:sz w:val="21"/>
        </w:rPr>
      </w:pPr>
      <w:r>
        <w:rPr>
          <w:spacing w:val="-1"/>
          <w:w w:val="33"/>
          <w:sz w:val="21"/>
        </w:rPr>
        <w:t>―</w:t>
      </w:r>
      <w:r>
        <w:rPr>
          <w:spacing w:val="-1"/>
          <w:w w:val="100"/>
          <w:sz w:val="21"/>
        </w:rPr>
        <w:t>22…I</w:t>
      </w:r>
      <w:r>
        <w:rPr>
          <w:w w:val="100"/>
          <w:sz w:val="21"/>
        </w:rPr>
        <w:t>t</w:t>
      </w:r>
      <w:r>
        <w:rPr>
          <w:spacing w:val="21"/>
          <w:sz w:val="21"/>
        </w:rPr>
        <w:t> </w:t>
      </w:r>
      <w:r>
        <w:rPr>
          <w:spacing w:val="-2"/>
          <w:w w:val="100"/>
          <w:sz w:val="21"/>
        </w:rPr>
        <w:t>i</w:t>
      </w:r>
      <w:r>
        <w:rPr>
          <w:w w:val="100"/>
          <w:sz w:val="21"/>
        </w:rPr>
        <w:t>s</w:t>
      </w:r>
      <w:r>
        <w:rPr>
          <w:spacing w:val="22"/>
          <w:sz w:val="21"/>
        </w:rPr>
        <w:t> </w:t>
      </w:r>
      <w:r>
        <w:rPr>
          <w:w w:val="100"/>
          <w:sz w:val="21"/>
        </w:rPr>
        <w:t>s</w:t>
      </w:r>
      <w:r>
        <w:rPr>
          <w:spacing w:val="-3"/>
          <w:w w:val="100"/>
          <w:sz w:val="21"/>
        </w:rPr>
        <w:t>e</w:t>
      </w:r>
      <w:r>
        <w:rPr>
          <w:spacing w:val="-1"/>
          <w:w w:val="100"/>
          <w:sz w:val="21"/>
        </w:rPr>
        <w:t>e</w:t>
      </w:r>
      <w:r>
        <w:rPr>
          <w:w w:val="100"/>
          <w:sz w:val="21"/>
        </w:rPr>
        <w:t>n</w:t>
      </w:r>
      <w:r>
        <w:rPr>
          <w:spacing w:val="23"/>
          <w:sz w:val="21"/>
        </w:rPr>
        <w:t> </w:t>
      </w:r>
      <w:r>
        <w:rPr>
          <w:spacing w:val="-2"/>
          <w:w w:val="100"/>
          <w:sz w:val="21"/>
        </w:rPr>
        <w:t>t</w:t>
      </w:r>
      <w:r>
        <w:rPr>
          <w:spacing w:val="-3"/>
          <w:w w:val="100"/>
          <w:sz w:val="21"/>
        </w:rPr>
        <w:t>h</w:t>
      </w:r>
      <w:r>
        <w:rPr>
          <w:spacing w:val="-1"/>
          <w:w w:val="100"/>
          <w:sz w:val="21"/>
        </w:rPr>
        <w:t>a</w:t>
      </w:r>
      <w:r>
        <w:rPr>
          <w:w w:val="100"/>
          <w:sz w:val="21"/>
        </w:rPr>
        <w:t>t</w:t>
      </w:r>
      <w:r>
        <w:rPr>
          <w:spacing w:val="22"/>
          <w:sz w:val="21"/>
        </w:rPr>
        <w:t> </w:t>
      </w:r>
      <w:r>
        <w:rPr>
          <w:spacing w:val="-2"/>
          <w:w w:val="100"/>
          <w:sz w:val="21"/>
        </w:rPr>
        <w:t>t</w:t>
      </w:r>
      <w:r>
        <w:rPr>
          <w:spacing w:val="-1"/>
          <w:w w:val="100"/>
          <w:sz w:val="21"/>
        </w:rPr>
        <w:t>h</w:t>
      </w:r>
      <w:r>
        <w:rPr>
          <w:w w:val="100"/>
          <w:sz w:val="21"/>
        </w:rPr>
        <w:t>e</w:t>
      </w:r>
      <w:r>
        <w:rPr>
          <w:spacing w:val="23"/>
          <w:sz w:val="21"/>
        </w:rPr>
        <w:t> </w:t>
      </w:r>
      <w:r>
        <w:rPr>
          <w:spacing w:val="-4"/>
          <w:w w:val="100"/>
          <w:sz w:val="21"/>
        </w:rPr>
        <w:t>G</w:t>
      </w:r>
      <w:r>
        <w:rPr>
          <w:spacing w:val="-1"/>
          <w:w w:val="100"/>
          <w:sz w:val="21"/>
        </w:rPr>
        <w:t>a</w:t>
      </w:r>
      <w:r>
        <w:rPr>
          <w:spacing w:val="-3"/>
          <w:w w:val="100"/>
          <w:sz w:val="21"/>
        </w:rPr>
        <w:t>z</w:t>
      </w:r>
      <w:r>
        <w:rPr>
          <w:spacing w:val="-1"/>
          <w:w w:val="100"/>
          <w:sz w:val="21"/>
        </w:rPr>
        <w:t>et</w:t>
      </w:r>
      <w:r>
        <w:rPr>
          <w:spacing w:val="-2"/>
          <w:w w:val="100"/>
          <w:sz w:val="21"/>
        </w:rPr>
        <w:t>t</w:t>
      </w:r>
      <w:r>
        <w:rPr>
          <w:w w:val="100"/>
          <w:sz w:val="21"/>
        </w:rPr>
        <w:t>e</w:t>
      </w:r>
      <w:r>
        <w:rPr>
          <w:spacing w:val="23"/>
          <w:sz w:val="21"/>
        </w:rPr>
        <w:t> </w:t>
      </w:r>
      <w:r>
        <w:rPr>
          <w:spacing w:val="-1"/>
          <w:w w:val="100"/>
          <w:sz w:val="21"/>
        </w:rPr>
        <w:t>o</w:t>
      </w:r>
      <w:r>
        <w:rPr>
          <w:w w:val="100"/>
          <w:sz w:val="21"/>
        </w:rPr>
        <w:t>f</w:t>
      </w:r>
      <w:r>
        <w:rPr>
          <w:spacing w:val="24"/>
          <w:sz w:val="21"/>
        </w:rPr>
        <w:t> </w:t>
      </w:r>
      <w:r>
        <w:rPr>
          <w:spacing w:val="-2"/>
          <w:w w:val="100"/>
          <w:sz w:val="21"/>
        </w:rPr>
        <w:t>t</w:t>
      </w:r>
      <w:r>
        <w:rPr>
          <w:spacing w:val="-3"/>
          <w:w w:val="100"/>
          <w:sz w:val="21"/>
        </w:rPr>
        <w:t>h</w:t>
      </w:r>
      <w:r>
        <w:rPr>
          <w:w w:val="100"/>
          <w:sz w:val="21"/>
        </w:rPr>
        <w:t>e</w:t>
      </w:r>
      <w:r>
        <w:rPr>
          <w:spacing w:val="20"/>
          <w:sz w:val="21"/>
        </w:rPr>
        <w:t> </w:t>
      </w:r>
      <w:r>
        <w:rPr>
          <w:w w:val="100"/>
          <w:sz w:val="21"/>
        </w:rPr>
        <w:t>B</w:t>
      </w:r>
      <w:r>
        <w:rPr>
          <w:spacing w:val="-3"/>
          <w:w w:val="100"/>
          <w:sz w:val="21"/>
        </w:rPr>
        <w:t>o</w:t>
      </w:r>
      <w:r>
        <w:rPr>
          <w:spacing w:val="1"/>
          <w:w w:val="100"/>
          <w:sz w:val="21"/>
        </w:rPr>
        <w:t>m</w:t>
      </w:r>
      <w:r>
        <w:rPr>
          <w:spacing w:val="-3"/>
          <w:w w:val="100"/>
          <w:sz w:val="21"/>
        </w:rPr>
        <w:t>b</w:t>
      </w:r>
      <w:r>
        <w:rPr>
          <w:spacing w:val="-1"/>
          <w:w w:val="100"/>
          <w:sz w:val="21"/>
        </w:rPr>
        <w:t>a</w:t>
      </w:r>
      <w:r>
        <w:rPr>
          <w:w w:val="100"/>
          <w:sz w:val="21"/>
        </w:rPr>
        <w:t>y</w:t>
      </w:r>
      <w:r>
        <w:rPr>
          <w:spacing w:val="20"/>
          <w:sz w:val="21"/>
        </w:rPr>
        <w:t> </w:t>
      </w:r>
      <w:r>
        <w:rPr>
          <w:w w:val="100"/>
          <w:sz w:val="21"/>
        </w:rPr>
        <w:t>P</w:t>
      </w:r>
      <w:r>
        <w:rPr>
          <w:spacing w:val="-4"/>
          <w:w w:val="100"/>
          <w:sz w:val="21"/>
        </w:rPr>
        <w:t>r</w:t>
      </w:r>
      <w:r>
        <w:rPr>
          <w:spacing w:val="-1"/>
          <w:w w:val="100"/>
          <w:sz w:val="21"/>
        </w:rPr>
        <w:t>es</w:t>
      </w:r>
      <w:r>
        <w:rPr>
          <w:spacing w:val="1"/>
          <w:w w:val="100"/>
          <w:sz w:val="21"/>
        </w:rPr>
        <w:t>i</w:t>
      </w:r>
      <w:r>
        <w:rPr>
          <w:spacing w:val="-3"/>
          <w:w w:val="100"/>
          <w:sz w:val="21"/>
        </w:rPr>
        <w:t>d</w:t>
      </w:r>
      <w:r>
        <w:rPr>
          <w:spacing w:val="-1"/>
          <w:w w:val="100"/>
          <w:sz w:val="21"/>
        </w:rPr>
        <w:t>enc</w:t>
      </w:r>
      <w:r>
        <w:rPr>
          <w:spacing w:val="-3"/>
          <w:w w:val="100"/>
          <w:sz w:val="21"/>
        </w:rPr>
        <w:t>y</w:t>
      </w:r>
      <w:r>
        <w:rPr>
          <w:w w:val="100"/>
          <w:sz w:val="21"/>
        </w:rPr>
        <w:t>,</w:t>
      </w:r>
      <w:r>
        <w:rPr>
          <w:spacing w:val="21"/>
          <w:sz w:val="21"/>
        </w:rPr>
        <w:t> </w:t>
      </w:r>
      <w:r>
        <w:rPr>
          <w:spacing w:val="-2"/>
          <w:w w:val="100"/>
          <w:sz w:val="21"/>
        </w:rPr>
        <w:t>V</w:t>
      </w:r>
      <w:r>
        <w:rPr>
          <w:spacing w:val="-1"/>
          <w:w w:val="100"/>
          <w:sz w:val="21"/>
        </w:rPr>
        <w:t>o</w:t>
      </w:r>
      <w:r>
        <w:rPr>
          <w:spacing w:val="1"/>
          <w:w w:val="100"/>
          <w:sz w:val="21"/>
        </w:rPr>
        <w:t>l</w:t>
      </w:r>
      <w:r>
        <w:rPr>
          <w:w w:val="100"/>
          <w:sz w:val="21"/>
        </w:rPr>
        <w:t>. </w:t>
      </w:r>
      <w:r>
        <w:rPr>
          <w:sz w:val="21"/>
        </w:rPr>
        <w:t>III published in 1879 is admissible under Section 35 read with Section 81 of the Evidence Act, 1872. The Gazette is admissible being official record evidencing public affairs and the court may presume their contents as genuine. The statement contained therein </w:t>
      </w:r>
      <w:r>
        <w:rPr>
          <w:b/>
          <w:sz w:val="21"/>
        </w:rPr>
        <w:t>can be taken into account to discover the historical material contained therein and the facts stated therein is evidence under Section 45 and the court may in conjunction with other evidence and circumstance take into consideration in adjudging the dispute in question, though may not be treated as conclusive</w:t>
      </w:r>
      <w:r>
        <w:rPr>
          <w:b/>
          <w:spacing w:val="-15"/>
          <w:sz w:val="21"/>
        </w:rPr>
        <w:t> </w:t>
      </w:r>
      <w:r>
        <w:rPr>
          <w:b/>
          <w:sz w:val="21"/>
        </w:rPr>
        <w:t>evidence</w:t>
      </w:r>
      <w:r>
        <w:rPr>
          <w:sz w:val="21"/>
        </w:rPr>
        <w:t>.‖</w:t>
      </w:r>
    </w:p>
    <w:p>
      <w:pPr>
        <w:spacing w:before="1"/>
        <w:ind w:left="5464" w:right="0" w:firstLine="0"/>
        <w:jc w:val="both"/>
        <w:rPr>
          <w:sz w:val="21"/>
        </w:rPr>
      </w:pPr>
      <w:r>
        <w:rPr>
          <w:sz w:val="21"/>
        </w:rPr>
        <w:t>(Emphasis supplied)</w:t>
      </w:r>
    </w:p>
    <w:p>
      <w:pPr>
        <w:pStyle w:val="BodyText"/>
        <w:rPr>
          <w:sz w:val="21"/>
        </w:rPr>
      </w:pPr>
    </w:p>
    <w:p>
      <w:pPr>
        <w:pStyle w:val="BodyText"/>
        <w:spacing w:line="480" w:lineRule="auto"/>
        <w:ind w:left="500" w:right="445"/>
        <w:jc w:val="both"/>
      </w:pPr>
      <w:r>
        <w:rPr/>
        <w:t>In other words, the gazette was not treated to be independent evidence of a conclusive nature in itself. The court has a caution in the above extract. The contents of the gazetteer may be read in conjunction with other evidence and circumstances. They may be taken into consideration but would not be conclusive</w:t>
      </w:r>
      <w:r>
        <w:rPr>
          <w:spacing w:val="-2"/>
        </w:rPr>
        <w:t> </w:t>
      </w:r>
      <w:r>
        <w:rPr/>
        <w:t>evidence.</w:t>
      </w:r>
    </w:p>
    <w:p>
      <w:pPr>
        <w:spacing w:line="286" w:lineRule="exact" w:before="0"/>
        <w:ind w:left="500" w:right="0" w:firstLine="0"/>
        <w:jc w:val="both"/>
        <w:rPr>
          <w:sz w:val="25"/>
        </w:rPr>
      </w:pPr>
      <w:r>
        <w:rPr>
          <w:sz w:val="25"/>
        </w:rPr>
        <w:t>[See also the decision in </w:t>
      </w:r>
      <w:r>
        <w:rPr>
          <w:b/>
          <w:sz w:val="25"/>
        </w:rPr>
        <w:t>Aliyathammuda Beethathebiyyappura Pookoya </w:t>
      </w:r>
      <w:r>
        <w:rPr>
          <w:sz w:val="25"/>
        </w:rPr>
        <w:t>v</w:t>
      </w:r>
    </w:p>
    <w:p>
      <w:pPr>
        <w:pStyle w:val="BodyText"/>
        <w:spacing w:before="10"/>
        <w:rPr>
          <w:sz w:val="24"/>
        </w:rPr>
      </w:pPr>
    </w:p>
    <w:p>
      <w:pPr>
        <w:pStyle w:val="Heading5"/>
        <w:spacing w:before="1"/>
        <w:ind w:left="500" w:firstLine="0"/>
        <w:rPr>
          <w:b w:val="0"/>
        </w:rPr>
      </w:pPr>
      <w:r>
        <w:rPr/>
        <w:t>Pattakal Cheriyakoya</w:t>
      </w:r>
      <w:r>
        <w:rPr>
          <w:b w:val="0"/>
          <w:vertAlign w:val="superscript"/>
        </w:rPr>
        <w:t>321</w:t>
      </w:r>
      <w:r>
        <w:rPr>
          <w:b w:val="0"/>
          <w:vertAlign w:val="baseline"/>
        </w:rPr>
        <w:t>].</w:t>
      </w:r>
    </w:p>
    <w:p>
      <w:pPr>
        <w:pStyle w:val="BodyText"/>
        <w:rPr>
          <w:sz w:val="32"/>
        </w:rPr>
      </w:pPr>
    </w:p>
    <w:p>
      <w:pPr>
        <w:pStyle w:val="ListParagraph"/>
        <w:numPr>
          <w:ilvl w:val="0"/>
          <w:numId w:val="166"/>
        </w:numPr>
        <w:tabs>
          <w:tab w:pos="1221" w:val="left" w:leader="none"/>
        </w:tabs>
        <w:spacing w:line="480" w:lineRule="auto" w:before="211" w:after="0"/>
        <w:ind w:left="500" w:right="445" w:firstLine="0"/>
        <w:jc w:val="both"/>
        <w:rPr>
          <w:sz w:val="25"/>
        </w:rPr>
      </w:pPr>
      <w:r>
        <w:rPr/>
        <w:pict>
          <v:rect style="position:absolute;margin-left:72.024002pt;margin-top:94.534866pt;width:144.020pt;height:.599980pt;mso-position-horizontal-relative:page;mso-position-vertical-relative:paragraph;z-index:-23831040" filled="true" fillcolor="#000000" stroked="false">
            <v:fill type="solid"/>
            <w10:wrap type="none"/>
          </v:rect>
        </w:pict>
      </w:r>
      <w:r>
        <w:rPr>
          <w:sz w:val="25"/>
        </w:rPr>
        <w:t>The historical material which has been relied upon in the course of the proceedings before the High Court must be weighed in the context of the salutary principles which emerge from the above decisions. The court may have</w:t>
      </w:r>
      <w:r>
        <w:rPr>
          <w:spacing w:val="14"/>
          <w:sz w:val="25"/>
        </w:rPr>
        <w:t> </w:t>
      </w:r>
      <w:r>
        <w:rPr>
          <w:sz w:val="25"/>
        </w:rPr>
        <w:t>due</w:t>
      </w:r>
    </w:p>
    <w:p>
      <w:pPr>
        <w:spacing w:before="74"/>
        <w:ind w:left="500" w:right="0" w:firstLine="0"/>
        <w:jc w:val="left"/>
        <w:rPr>
          <w:sz w:val="18"/>
        </w:rPr>
      </w:pPr>
      <w:r>
        <w:rPr>
          <w:sz w:val="18"/>
          <w:vertAlign w:val="superscript"/>
        </w:rPr>
        <w:t>320</w:t>
      </w:r>
      <w:r>
        <w:rPr>
          <w:sz w:val="18"/>
          <w:vertAlign w:val="baseline"/>
        </w:rPr>
        <w:t> 1995 Supp (1) SCC 485</w:t>
      </w:r>
    </w:p>
    <w:p>
      <w:pPr>
        <w:spacing w:before="1"/>
        <w:ind w:left="500" w:right="0" w:firstLine="0"/>
        <w:jc w:val="left"/>
        <w:rPr>
          <w:sz w:val="18"/>
        </w:rPr>
      </w:pPr>
      <w:r>
        <w:rPr>
          <w:sz w:val="18"/>
          <w:vertAlign w:val="superscript"/>
        </w:rPr>
        <w:t>321</w:t>
      </w:r>
      <w:r>
        <w:rPr>
          <w:sz w:val="18"/>
          <w:vertAlign w:val="baseline"/>
        </w:rPr>
        <w:t> 2019 SCCOnLine 953</w:t>
      </w:r>
    </w:p>
    <w:p>
      <w:pPr>
        <w:spacing w:after="0"/>
        <w:jc w:val="left"/>
        <w:rPr>
          <w:sz w:val="18"/>
        </w:rPr>
        <w:sectPr>
          <w:pgSz w:w="11910" w:h="16840"/>
          <w:pgMar w:header="721" w:footer="1014" w:top="1300" w:bottom="1200" w:left="940" w:right="1000"/>
        </w:sectPr>
      </w:pPr>
    </w:p>
    <w:p>
      <w:pPr>
        <w:pStyle w:val="BodyText"/>
        <w:spacing w:line="480" w:lineRule="auto" w:before="124"/>
        <w:ind w:left="500" w:right="436"/>
        <w:jc w:val="both"/>
      </w:pPr>
      <w:r>
        <w:rPr/>
        <w:t>regard to appropriate books and reference material on matters, of public history. Yet, when it does so, the court must be conscious of the fact that the statements contained in travelogues as indeed in the accounts of gazetteers reflect opinions on matters which are not amenable to be tested by cross-examination at this distant point of time. Consequently, where there is a dispute pertaining to possession and title amidst a conflict of parties, historical accounts cannot be regarded as conclusive. The court must then decide the issue in dispute on the basis of credible evidentiary material.</w:t>
      </w:r>
    </w:p>
    <w:p>
      <w:pPr>
        <w:pStyle w:val="BodyText"/>
        <w:rPr>
          <w:sz w:val="28"/>
        </w:rPr>
      </w:pPr>
    </w:p>
    <w:p>
      <w:pPr>
        <w:pStyle w:val="BodyText"/>
        <w:spacing w:before="10"/>
        <w:rPr>
          <w:sz w:val="24"/>
        </w:rPr>
      </w:pPr>
    </w:p>
    <w:p>
      <w:pPr>
        <w:pStyle w:val="ListParagraph"/>
        <w:numPr>
          <w:ilvl w:val="0"/>
          <w:numId w:val="166"/>
        </w:numPr>
        <w:tabs>
          <w:tab w:pos="1221" w:val="left" w:leader="none"/>
        </w:tabs>
        <w:spacing w:line="480" w:lineRule="auto" w:before="1" w:after="0"/>
        <w:ind w:left="500" w:right="434" w:firstLine="0"/>
        <w:jc w:val="both"/>
        <w:rPr>
          <w:sz w:val="25"/>
        </w:rPr>
      </w:pPr>
      <w:r>
        <w:rPr>
          <w:sz w:val="25"/>
        </w:rPr>
        <w:t>Interpreting history is an exercise fraught with pitfalls. There are evident gaps in the historical record, as we have seen from the Babur-Nama. Translations vary and have their limitations. The court must be circumspect in drawing negative inferences from what a historical text does not contain. </w:t>
      </w:r>
      <w:r>
        <w:rPr>
          <w:spacing w:val="4"/>
          <w:sz w:val="25"/>
        </w:rPr>
        <w:t>We </w:t>
      </w:r>
      <w:r>
        <w:rPr>
          <w:sz w:val="25"/>
        </w:rPr>
        <w:t>are not construing a statute or a pleading. We are looking into historical events knit around legends. stories, traditions and accounts written in a social and cultural context different from our own. There are dangers in interpreting history without the aid of historiography. Application of legal principles to make deductions and inferences out of historical context is a perilous exercise. One must exercise caution before embarking on the inclination of a legally trained mind to draw negative inferences from the silences of history. Silences are sometimes best left to where they belong - the universe of</w:t>
      </w:r>
      <w:r>
        <w:rPr>
          <w:spacing w:val="-4"/>
          <w:sz w:val="25"/>
        </w:rPr>
        <w:t> </w:t>
      </w:r>
      <w:r>
        <w:rPr>
          <w:sz w:val="25"/>
        </w:rPr>
        <w:t>silence.</w:t>
      </w:r>
    </w:p>
    <w:p>
      <w:pPr>
        <w:pStyle w:val="BodyText"/>
        <w:rPr>
          <w:sz w:val="28"/>
        </w:rPr>
      </w:pPr>
    </w:p>
    <w:p>
      <w:pPr>
        <w:pStyle w:val="BodyText"/>
        <w:spacing w:before="8"/>
        <w:rPr>
          <w:sz w:val="24"/>
        </w:rPr>
      </w:pPr>
    </w:p>
    <w:p>
      <w:pPr>
        <w:pStyle w:val="ListParagraph"/>
        <w:numPr>
          <w:ilvl w:val="0"/>
          <w:numId w:val="166"/>
        </w:numPr>
        <w:tabs>
          <w:tab w:pos="1221" w:val="left" w:leader="none"/>
        </w:tabs>
        <w:spacing w:line="240" w:lineRule="auto" w:before="0" w:after="0"/>
        <w:ind w:left="1220" w:right="0" w:hanging="721"/>
        <w:jc w:val="both"/>
        <w:rPr>
          <w:sz w:val="25"/>
        </w:rPr>
      </w:pPr>
      <w:r>
        <w:rPr>
          <w:sz w:val="25"/>
        </w:rPr>
        <w:t>In</w:t>
      </w:r>
      <w:r>
        <w:rPr>
          <w:spacing w:val="18"/>
          <w:sz w:val="25"/>
        </w:rPr>
        <w:t> </w:t>
      </w:r>
      <w:r>
        <w:rPr>
          <w:sz w:val="25"/>
        </w:rPr>
        <w:t>a</w:t>
      </w:r>
      <w:r>
        <w:rPr>
          <w:spacing w:val="19"/>
          <w:sz w:val="25"/>
        </w:rPr>
        <w:t> </w:t>
      </w:r>
      <w:r>
        <w:rPr>
          <w:sz w:val="25"/>
        </w:rPr>
        <w:t>contribution</w:t>
      </w:r>
      <w:r>
        <w:rPr>
          <w:spacing w:val="18"/>
          <w:sz w:val="25"/>
        </w:rPr>
        <w:t> </w:t>
      </w:r>
      <w:r>
        <w:rPr>
          <w:sz w:val="25"/>
        </w:rPr>
        <w:t>to</w:t>
      </w:r>
      <w:r>
        <w:rPr>
          <w:spacing w:val="19"/>
          <w:sz w:val="25"/>
        </w:rPr>
        <w:t> </w:t>
      </w:r>
      <w:r>
        <w:rPr>
          <w:sz w:val="25"/>
        </w:rPr>
        <w:t>the</w:t>
      </w:r>
      <w:r>
        <w:rPr>
          <w:spacing w:val="19"/>
          <w:sz w:val="25"/>
        </w:rPr>
        <w:t> </w:t>
      </w:r>
      <w:r>
        <w:rPr>
          <w:sz w:val="25"/>
        </w:rPr>
        <w:t>Times</w:t>
      </w:r>
      <w:r>
        <w:rPr>
          <w:spacing w:val="22"/>
          <w:sz w:val="25"/>
        </w:rPr>
        <w:t> </w:t>
      </w:r>
      <w:r>
        <w:rPr>
          <w:sz w:val="25"/>
        </w:rPr>
        <w:t>Literary</w:t>
      </w:r>
      <w:r>
        <w:rPr>
          <w:spacing w:val="18"/>
          <w:sz w:val="25"/>
        </w:rPr>
        <w:t> </w:t>
      </w:r>
      <w:r>
        <w:rPr>
          <w:sz w:val="25"/>
        </w:rPr>
        <w:t>Supplement</w:t>
      </w:r>
      <w:r>
        <w:rPr>
          <w:spacing w:val="18"/>
          <w:sz w:val="25"/>
        </w:rPr>
        <w:t> </w:t>
      </w:r>
      <w:r>
        <w:rPr>
          <w:sz w:val="25"/>
        </w:rPr>
        <w:t>on</w:t>
      </w:r>
      <w:r>
        <w:rPr>
          <w:spacing w:val="19"/>
          <w:sz w:val="25"/>
        </w:rPr>
        <w:t> </w:t>
      </w:r>
      <w:r>
        <w:rPr>
          <w:sz w:val="25"/>
        </w:rPr>
        <w:t>19</w:t>
      </w:r>
      <w:r>
        <w:rPr>
          <w:spacing w:val="19"/>
          <w:sz w:val="25"/>
        </w:rPr>
        <w:t> </w:t>
      </w:r>
      <w:r>
        <w:rPr>
          <w:sz w:val="25"/>
        </w:rPr>
        <w:t>June</w:t>
      </w:r>
      <w:r>
        <w:rPr>
          <w:spacing w:val="20"/>
          <w:sz w:val="25"/>
        </w:rPr>
        <w:t> </w:t>
      </w:r>
      <w:r>
        <w:rPr>
          <w:sz w:val="25"/>
        </w:rPr>
        <w:t>1953</w:t>
      </w:r>
      <w:r>
        <w:rPr>
          <w:spacing w:val="19"/>
          <w:sz w:val="25"/>
        </w:rPr>
        <w:t> </w:t>
      </w:r>
      <w:r>
        <w:rPr>
          <w:sz w:val="25"/>
        </w:rPr>
        <w:t>titled</w:t>
      </w:r>
    </w:p>
    <w:p>
      <w:pPr>
        <w:pStyle w:val="BodyText"/>
        <w:spacing w:before="10"/>
        <w:rPr>
          <w:sz w:val="24"/>
        </w:rPr>
      </w:pPr>
    </w:p>
    <w:p>
      <w:pPr>
        <w:spacing w:before="1"/>
        <w:ind w:left="500" w:right="0" w:firstLine="0"/>
        <w:jc w:val="both"/>
        <w:rPr>
          <w:sz w:val="25"/>
        </w:rPr>
      </w:pPr>
      <w:r>
        <w:rPr>
          <w:w w:val="33"/>
          <w:sz w:val="25"/>
        </w:rPr>
        <w:t>―</w:t>
      </w:r>
      <w:r>
        <w:rPr>
          <w:b/>
          <w:spacing w:val="-1"/>
          <w:w w:val="99"/>
          <w:sz w:val="25"/>
        </w:rPr>
        <w:t>V</w:t>
      </w:r>
      <w:r>
        <w:rPr>
          <w:b/>
          <w:w w:val="99"/>
          <w:sz w:val="25"/>
        </w:rPr>
        <w:t>ic</w:t>
      </w:r>
      <w:r>
        <w:rPr>
          <w:b/>
          <w:spacing w:val="1"/>
          <w:w w:val="99"/>
          <w:sz w:val="25"/>
        </w:rPr>
        <w:t>t</w:t>
      </w:r>
      <w:r>
        <w:rPr>
          <w:b/>
          <w:w w:val="99"/>
          <w:sz w:val="25"/>
        </w:rPr>
        <w:t>o</w:t>
      </w:r>
      <w:r>
        <w:rPr>
          <w:b/>
          <w:spacing w:val="-1"/>
          <w:w w:val="99"/>
          <w:sz w:val="25"/>
        </w:rPr>
        <w:t>r</w:t>
      </w:r>
      <w:r>
        <w:rPr>
          <w:b/>
          <w:w w:val="99"/>
          <w:sz w:val="25"/>
        </w:rPr>
        <w:t>ian</w:t>
      </w:r>
      <w:r>
        <w:rPr>
          <w:b/>
          <w:spacing w:val="1"/>
          <w:sz w:val="25"/>
        </w:rPr>
        <w:t> </w:t>
      </w:r>
      <w:r>
        <w:rPr>
          <w:b/>
          <w:w w:val="99"/>
          <w:sz w:val="25"/>
        </w:rPr>
        <w:t>His</w:t>
      </w:r>
      <w:r>
        <w:rPr>
          <w:b/>
          <w:spacing w:val="1"/>
          <w:w w:val="99"/>
          <w:sz w:val="25"/>
        </w:rPr>
        <w:t>t</w:t>
      </w:r>
      <w:r>
        <w:rPr>
          <w:b/>
          <w:w w:val="99"/>
          <w:sz w:val="25"/>
        </w:rPr>
        <w:t>o</w:t>
      </w:r>
      <w:r>
        <w:rPr>
          <w:b/>
          <w:spacing w:val="1"/>
          <w:w w:val="99"/>
          <w:sz w:val="25"/>
        </w:rPr>
        <w:t>r</w:t>
      </w:r>
      <w:r>
        <w:rPr>
          <w:b/>
          <w:spacing w:val="-5"/>
          <w:w w:val="99"/>
          <w:sz w:val="25"/>
        </w:rPr>
        <w:t>y</w:t>
      </w:r>
      <w:r>
        <w:rPr>
          <w:w w:val="80"/>
          <w:sz w:val="25"/>
        </w:rPr>
        <w:t>‖</w:t>
      </w:r>
      <w:r>
        <w:rPr>
          <w:w w:val="99"/>
          <w:sz w:val="25"/>
        </w:rPr>
        <w:t>,</w:t>
      </w:r>
      <w:r>
        <w:rPr>
          <w:spacing w:val="2"/>
          <w:sz w:val="25"/>
        </w:rPr>
        <w:t> </w:t>
      </w:r>
      <w:r>
        <w:rPr>
          <w:spacing w:val="-1"/>
          <w:w w:val="99"/>
          <w:sz w:val="25"/>
        </w:rPr>
        <w:t>E</w:t>
      </w:r>
      <w:r>
        <w:rPr>
          <w:w w:val="99"/>
          <w:sz w:val="25"/>
        </w:rPr>
        <w:t>.H</w:t>
      </w:r>
      <w:r>
        <w:rPr>
          <w:sz w:val="25"/>
        </w:rPr>
        <w:t> </w:t>
      </w:r>
      <w:r>
        <w:rPr>
          <w:spacing w:val="-1"/>
          <w:w w:val="99"/>
          <w:sz w:val="25"/>
        </w:rPr>
        <w:t>Ca</w:t>
      </w:r>
      <w:r>
        <w:rPr>
          <w:w w:val="99"/>
          <w:sz w:val="25"/>
        </w:rPr>
        <w:t>rr</w:t>
      </w:r>
      <w:r>
        <w:rPr>
          <w:sz w:val="25"/>
        </w:rPr>
        <w:t> </w:t>
      </w:r>
      <w:r>
        <w:rPr>
          <w:spacing w:val="-1"/>
          <w:w w:val="99"/>
          <w:sz w:val="25"/>
        </w:rPr>
        <w:t>h</w:t>
      </w:r>
      <w:r>
        <w:rPr>
          <w:w w:val="99"/>
          <w:sz w:val="25"/>
        </w:rPr>
        <w:t>ad</w:t>
      </w:r>
      <w:r>
        <w:rPr>
          <w:spacing w:val="-1"/>
          <w:sz w:val="25"/>
        </w:rPr>
        <w:t> </w:t>
      </w:r>
      <w:r>
        <w:rPr>
          <w:w w:val="99"/>
          <w:sz w:val="25"/>
        </w:rPr>
        <w:t>t</w:t>
      </w:r>
      <w:r>
        <w:rPr>
          <w:spacing w:val="-1"/>
          <w:w w:val="99"/>
          <w:sz w:val="25"/>
        </w:rPr>
        <w:t>h</w:t>
      </w:r>
      <w:r>
        <w:rPr>
          <w:w w:val="99"/>
          <w:sz w:val="25"/>
        </w:rPr>
        <w:t>e</w:t>
      </w:r>
      <w:r>
        <w:rPr>
          <w:sz w:val="25"/>
        </w:rPr>
        <w:t> </w:t>
      </w:r>
      <w:r>
        <w:rPr>
          <w:w w:val="99"/>
          <w:sz w:val="25"/>
        </w:rPr>
        <w:t>fo</w:t>
      </w:r>
      <w:r>
        <w:rPr>
          <w:spacing w:val="-1"/>
          <w:w w:val="99"/>
          <w:sz w:val="25"/>
        </w:rPr>
        <w:t>llowin</w:t>
      </w:r>
      <w:r>
        <w:rPr>
          <w:w w:val="99"/>
          <w:sz w:val="25"/>
        </w:rPr>
        <w:t>g</w:t>
      </w:r>
      <w:r>
        <w:rPr>
          <w:spacing w:val="-1"/>
          <w:sz w:val="25"/>
        </w:rPr>
        <w:t> </w:t>
      </w:r>
      <w:r>
        <w:rPr>
          <w:w w:val="99"/>
          <w:sz w:val="25"/>
        </w:rPr>
        <w:t>ca</w:t>
      </w:r>
      <w:r>
        <w:rPr>
          <w:spacing w:val="-1"/>
          <w:w w:val="99"/>
          <w:sz w:val="25"/>
        </w:rPr>
        <w:t>uti</w:t>
      </w:r>
      <w:r>
        <w:rPr>
          <w:w w:val="99"/>
          <w:sz w:val="25"/>
        </w:rPr>
        <w:t>o</w:t>
      </w:r>
      <w:r>
        <w:rPr>
          <w:spacing w:val="-1"/>
          <w:w w:val="99"/>
          <w:sz w:val="25"/>
        </w:rPr>
        <w:t>n:</w:t>
      </w:r>
    </w:p>
    <w:p>
      <w:pPr>
        <w:spacing w:after="0"/>
        <w:jc w:val="both"/>
        <w:rPr>
          <w:sz w:val="25"/>
        </w:rPr>
        <w:sectPr>
          <w:pgSz w:w="11910" w:h="16840"/>
          <w:pgMar w:header="721" w:footer="1014" w:top="1300" w:bottom="1200" w:left="940" w:right="1000"/>
        </w:sectPr>
      </w:pPr>
    </w:p>
    <w:p>
      <w:pPr>
        <w:spacing w:line="276" w:lineRule="auto" w:before="122"/>
        <w:ind w:left="1940" w:right="2258" w:firstLine="0"/>
        <w:jc w:val="both"/>
        <w:rPr>
          <w:sz w:val="21"/>
        </w:rPr>
      </w:pPr>
      <w:r>
        <w:rPr>
          <w:spacing w:val="-1"/>
          <w:w w:val="33"/>
          <w:sz w:val="21"/>
        </w:rPr>
        <w:t>―</w:t>
      </w:r>
      <w:r>
        <w:rPr>
          <w:w w:val="100"/>
          <w:sz w:val="21"/>
        </w:rPr>
        <w:t>Th</w:t>
      </w:r>
      <w:r>
        <w:rPr>
          <w:spacing w:val="-1"/>
          <w:w w:val="100"/>
          <w:sz w:val="21"/>
        </w:rPr>
        <w:t>er</w:t>
      </w:r>
      <w:r>
        <w:rPr>
          <w:w w:val="100"/>
          <w:sz w:val="21"/>
        </w:rPr>
        <w:t>e</w:t>
      </w:r>
      <w:r>
        <w:rPr>
          <w:sz w:val="21"/>
        </w:rPr>
        <w:t> </w:t>
      </w:r>
      <w:r>
        <w:rPr>
          <w:spacing w:val="-10"/>
          <w:sz w:val="21"/>
        </w:rPr>
        <w:t> </w:t>
      </w:r>
      <w:r>
        <w:rPr>
          <w:w w:val="100"/>
          <w:sz w:val="21"/>
        </w:rPr>
        <w:t>is</w:t>
      </w:r>
      <w:r>
        <w:rPr>
          <w:sz w:val="21"/>
        </w:rPr>
        <w:t> </w:t>
      </w:r>
      <w:r>
        <w:rPr>
          <w:spacing w:val="-7"/>
          <w:sz w:val="21"/>
        </w:rPr>
        <w:t> </w:t>
      </w:r>
      <w:r>
        <w:rPr>
          <w:w w:val="100"/>
          <w:sz w:val="21"/>
        </w:rPr>
        <w:t>a</w:t>
      </w:r>
      <w:r>
        <w:rPr>
          <w:sz w:val="21"/>
        </w:rPr>
        <w:t> </w:t>
      </w:r>
      <w:r>
        <w:rPr>
          <w:spacing w:val="-7"/>
          <w:sz w:val="21"/>
        </w:rPr>
        <w:t> </w:t>
      </w:r>
      <w:r>
        <w:rPr>
          <w:spacing w:val="-2"/>
          <w:w w:val="100"/>
          <w:sz w:val="21"/>
        </w:rPr>
        <w:t>tw</w:t>
      </w:r>
      <w:r>
        <w:rPr>
          <w:spacing w:val="1"/>
          <w:w w:val="100"/>
          <w:sz w:val="21"/>
        </w:rPr>
        <w:t>o</w:t>
      </w:r>
      <w:r>
        <w:rPr>
          <w:spacing w:val="-1"/>
          <w:w w:val="100"/>
          <w:sz w:val="21"/>
        </w:rPr>
        <w:t>-</w:t>
      </w:r>
      <w:r>
        <w:rPr>
          <w:spacing w:val="-2"/>
          <w:w w:val="100"/>
          <w:sz w:val="21"/>
        </w:rPr>
        <w:t>w</w:t>
      </w:r>
      <w:r>
        <w:rPr>
          <w:w w:val="100"/>
          <w:sz w:val="21"/>
        </w:rPr>
        <w:t>ay</w:t>
      </w:r>
      <w:r>
        <w:rPr>
          <w:sz w:val="21"/>
        </w:rPr>
        <w:t> </w:t>
      </w:r>
      <w:r>
        <w:rPr>
          <w:spacing w:val="-9"/>
          <w:sz w:val="21"/>
        </w:rPr>
        <w:t> </w:t>
      </w:r>
      <w:r>
        <w:rPr>
          <w:spacing w:val="-2"/>
          <w:w w:val="100"/>
          <w:sz w:val="21"/>
        </w:rPr>
        <w:t>t</w:t>
      </w:r>
      <w:r>
        <w:rPr>
          <w:spacing w:val="-1"/>
          <w:w w:val="100"/>
          <w:sz w:val="21"/>
        </w:rPr>
        <w:t>r</w:t>
      </w:r>
      <w:r>
        <w:rPr>
          <w:w w:val="100"/>
          <w:sz w:val="21"/>
        </w:rPr>
        <w:t>a</w:t>
      </w:r>
      <w:r>
        <w:rPr>
          <w:spacing w:val="1"/>
          <w:w w:val="100"/>
          <w:sz w:val="21"/>
        </w:rPr>
        <w:t>f</w:t>
      </w:r>
      <w:r>
        <w:rPr>
          <w:spacing w:val="1"/>
          <w:w w:val="100"/>
          <w:sz w:val="21"/>
        </w:rPr>
        <w:t>f</w:t>
      </w:r>
      <w:r>
        <w:rPr>
          <w:w w:val="100"/>
          <w:sz w:val="21"/>
        </w:rPr>
        <w:t>i</w:t>
      </w:r>
      <w:r>
        <w:rPr>
          <w:w w:val="100"/>
          <w:sz w:val="21"/>
        </w:rPr>
        <w:t>c</w:t>
      </w:r>
      <w:r>
        <w:rPr>
          <w:sz w:val="21"/>
        </w:rPr>
        <w:t> </w:t>
      </w:r>
      <w:r>
        <w:rPr>
          <w:spacing w:val="-9"/>
          <w:sz w:val="21"/>
        </w:rPr>
        <w:t> </w:t>
      </w:r>
      <w:r>
        <w:rPr>
          <w:w w:val="100"/>
          <w:sz w:val="21"/>
        </w:rPr>
        <w:t>be</w:t>
      </w:r>
      <w:r>
        <w:rPr>
          <w:spacing w:val="-1"/>
          <w:w w:val="100"/>
          <w:sz w:val="21"/>
        </w:rPr>
        <w:t>t</w:t>
      </w:r>
      <w:r>
        <w:rPr>
          <w:spacing w:val="-2"/>
          <w:w w:val="100"/>
          <w:sz w:val="21"/>
        </w:rPr>
        <w:t>w</w:t>
      </w:r>
      <w:r>
        <w:rPr>
          <w:w w:val="100"/>
          <w:sz w:val="21"/>
        </w:rPr>
        <w:t>een</w:t>
      </w:r>
      <w:r>
        <w:rPr>
          <w:sz w:val="21"/>
        </w:rPr>
        <w:t> </w:t>
      </w:r>
      <w:r>
        <w:rPr>
          <w:spacing w:val="-9"/>
          <w:sz w:val="21"/>
        </w:rPr>
        <w:t> </w:t>
      </w:r>
      <w:r>
        <w:rPr>
          <w:w w:val="100"/>
          <w:sz w:val="21"/>
        </w:rPr>
        <w:t>past</w:t>
      </w:r>
      <w:r>
        <w:rPr>
          <w:sz w:val="21"/>
        </w:rPr>
        <w:t> </w:t>
      </w:r>
      <w:r>
        <w:rPr>
          <w:spacing w:val="-8"/>
          <w:sz w:val="21"/>
        </w:rPr>
        <w:t> </w:t>
      </w:r>
      <w:r>
        <w:rPr>
          <w:w w:val="100"/>
          <w:sz w:val="21"/>
        </w:rPr>
        <w:t>a</w:t>
      </w:r>
      <w:r>
        <w:rPr>
          <w:spacing w:val="-3"/>
          <w:w w:val="100"/>
          <w:sz w:val="21"/>
        </w:rPr>
        <w:t>n</w:t>
      </w:r>
      <w:r>
        <w:rPr>
          <w:w w:val="100"/>
          <w:sz w:val="21"/>
        </w:rPr>
        <w:t>d</w:t>
      </w:r>
      <w:r>
        <w:rPr>
          <w:sz w:val="21"/>
        </w:rPr>
        <w:t> </w:t>
      </w:r>
      <w:r>
        <w:rPr>
          <w:spacing w:val="-7"/>
          <w:sz w:val="21"/>
        </w:rPr>
        <w:t> </w:t>
      </w:r>
      <w:r>
        <w:rPr>
          <w:w w:val="100"/>
          <w:sz w:val="21"/>
        </w:rPr>
        <w:t>p</w:t>
      </w:r>
      <w:r>
        <w:rPr>
          <w:spacing w:val="-3"/>
          <w:w w:val="100"/>
          <w:sz w:val="21"/>
        </w:rPr>
        <w:t>r</w:t>
      </w:r>
      <w:r>
        <w:rPr>
          <w:w w:val="100"/>
          <w:sz w:val="21"/>
        </w:rPr>
        <w:t>esent,</w:t>
      </w:r>
      <w:r>
        <w:rPr>
          <w:sz w:val="21"/>
        </w:rPr>
        <w:t> </w:t>
      </w:r>
      <w:r>
        <w:rPr>
          <w:spacing w:val="-9"/>
          <w:sz w:val="21"/>
        </w:rPr>
        <w:t> </w:t>
      </w:r>
      <w:r>
        <w:rPr>
          <w:spacing w:val="-2"/>
          <w:w w:val="100"/>
          <w:sz w:val="21"/>
        </w:rPr>
        <w:t>t</w:t>
      </w:r>
      <w:r>
        <w:rPr>
          <w:w w:val="100"/>
          <w:sz w:val="21"/>
        </w:rPr>
        <w:t>he </w:t>
      </w:r>
      <w:r>
        <w:rPr>
          <w:sz w:val="21"/>
        </w:rPr>
        <w:t>present being moulded out of the past, yet constantly recreating the past. If the historian makes history, it is equally true that history has made the historian … The present-day philosopher of history, balancing uneasily on the razor edge between the hazards of objective determinism and the bottomless pit of subjective relativity, conscious that thought and action are inextricably intertwined, and that the nature of causation, in history no less than in science, seems the further to elude his grasp the more firmly he tries to grapple with it, is engaged in asking questions rather than in answering</w:t>
      </w:r>
      <w:r>
        <w:rPr>
          <w:spacing w:val="-2"/>
          <w:sz w:val="21"/>
        </w:rPr>
        <w:t> </w:t>
      </w:r>
      <w:r>
        <w:rPr>
          <w:sz w:val="21"/>
        </w:rPr>
        <w:t>them.‖</w:t>
      </w:r>
      <w:r>
        <w:rPr>
          <w:sz w:val="21"/>
          <w:vertAlign w:val="superscript"/>
        </w:rPr>
        <w:t>322</w:t>
      </w:r>
    </w:p>
    <w:p>
      <w:pPr>
        <w:pStyle w:val="BodyText"/>
        <w:rPr>
          <w:sz w:val="26"/>
        </w:rPr>
      </w:pPr>
    </w:p>
    <w:p>
      <w:pPr>
        <w:pStyle w:val="BodyText"/>
        <w:spacing w:before="2"/>
        <w:rPr>
          <w:sz w:val="24"/>
        </w:rPr>
      </w:pPr>
    </w:p>
    <w:p>
      <w:pPr>
        <w:pStyle w:val="BodyText"/>
        <w:spacing w:line="480" w:lineRule="auto"/>
        <w:ind w:left="500" w:right="436"/>
        <w:jc w:val="both"/>
      </w:pPr>
      <w:r>
        <w:rPr/>
        <w:t>In a case such as the present, history presents another difficulty: in Eastern philosophy, religious tradition is transmuted through generations by modes not </w:t>
      </w:r>
      <w:r>
        <w:rPr>
          <w:w w:val="99"/>
        </w:rPr>
        <w:t>confined</w:t>
      </w:r>
      <w:r>
        <w:rPr/>
        <w:t>  </w:t>
      </w:r>
      <w:r>
        <w:rPr>
          <w:w w:val="99"/>
        </w:rPr>
        <w:t>to</w:t>
      </w:r>
      <w:r>
        <w:rPr/>
        <w:t>  </w:t>
      </w:r>
      <w:r>
        <w:rPr>
          <w:w w:val="99"/>
        </w:rPr>
        <w:t>written</w:t>
      </w:r>
      <w:r>
        <w:rPr/>
        <w:t>  </w:t>
      </w:r>
      <w:r>
        <w:rPr>
          <w:w w:val="99"/>
        </w:rPr>
        <w:t>records.</w:t>
      </w:r>
      <w:r>
        <w:rPr/>
        <w:t>  </w:t>
      </w:r>
      <w:r>
        <w:rPr>
          <w:w w:val="99"/>
        </w:rPr>
        <w:t>Marc</w:t>
      </w:r>
      <w:r>
        <w:rPr/>
        <w:t>  </w:t>
      </w:r>
      <w:r>
        <w:rPr>
          <w:w w:val="99"/>
        </w:rPr>
        <w:t>Bloch</w:t>
      </w:r>
      <w:r>
        <w:rPr/>
        <w:t>  </w:t>
      </w:r>
      <w:r>
        <w:rPr>
          <w:w w:val="99"/>
        </w:rPr>
        <w:t>in</w:t>
      </w:r>
      <w:r>
        <w:rPr/>
        <w:t>  </w:t>
      </w:r>
      <w:r>
        <w:rPr>
          <w:w w:val="99"/>
        </w:rPr>
        <w:t>his</w:t>
      </w:r>
      <w:r>
        <w:rPr/>
        <w:t>  </w:t>
      </w:r>
      <w:r>
        <w:rPr>
          <w:w w:val="99"/>
        </w:rPr>
        <w:t>work</w:t>
      </w:r>
      <w:r>
        <w:rPr/>
        <w:t>  </w:t>
      </w:r>
      <w:r>
        <w:rPr>
          <w:w w:val="99"/>
        </w:rPr>
        <w:t>titled</w:t>
      </w:r>
      <w:r>
        <w:rPr/>
        <w:t>  </w:t>
      </w:r>
      <w:r>
        <w:rPr>
          <w:w w:val="33"/>
        </w:rPr>
        <w:t>―</w:t>
      </w:r>
      <w:r>
        <w:rPr>
          <w:b/>
          <w:w w:val="99"/>
        </w:rPr>
        <w:t>The</w:t>
      </w:r>
      <w:r>
        <w:rPr>
          <w:b/>
        </w:rPr>
        <w:t>  </w:t>
      </w:r>
      <w:r>
        <w:rPr>
          <w:b/>
          <w:w w:val="99"/>
        </w:rPr>
        <w:t>Historian‘s </w:t>
      </w:r>
      <w:r>
        <w:rPr>
          <w:b/>
        </w:rPr>
        <w:t>Craft</w:t>
      </w:r>
      <w:r>
        <w:rPr/>
        <w:t>‖</w:t>
      </w:r>
      <w:r>
        <w:rPr>
          <w:vertAlign w:val="superscript"/>
        </w:rPr>
        <w:t>323</w:t>
      </w:r>
      <w:r>
        <w:rPr>
          <w:vertAlign w:val="baseline"/>
        </w:rPr>
        <w:t>, spoke of this when he said:</w:t>
      </w:r>
    </w:p>
    <w:p>
      <w:pPr>
        <w:spacing w:line="276" w:lineRule="auto" w:before="0"/>
        <w:ind w:left="1940" w:right="2263" w:firstLine="0"/>
        <w:jc w:val="both"/>
        <w:rPr>
          <w:sz w:val="21"/>
        </w:rPr>
      </w:pPr>
      <w:r>
        <w:rPr>
          <w:w w:val="33"/>
          <w:sz w:val="21"/>
        </w:rPr>
        <w:t>―</w:t>
      </w:r>
      <w:r>
        <w:rPr>
          <w:w w:val="100"/>
          <w:sz w:val="21"/>
        </w:rPr>
        <w:t>For,</w:t>
      </w:r>
      <w:r>
        <w:rPr>
          <w:sz w:val="21"/>
        </w:rPr>
        <w:t> </w:t>
      </w:r>
      <w:r>
        <w:rPr>
          <w:w w:val="100"/>
          <w:sz w:val="21"/>
        </w:rPr>
        <w:t>unlike</w:t>
      </w:r>
      <w:r>
        <w:rPr>
          <w:sz w:val="21"/>
        </w:rPr>
        <w:t> </w:t>
      </w:r>
      <w:r>
        <w:rPr>
          <w:w w:val="100"/>
          <w:sz w:val="21"/>
        </w:rPr>
        <w:t>others,</w:t>
      </w:r>
      <w:r>
        <w:rPr>
          <w:sz w:val="21"/>
        </w:rPr>
        <w:t> </w:t>
      </w:r>
      <w:r>
        <w:rPr>
          <w:w w:val="100"/>
          <w:sz w:val="21"/>
        </w:rPr>
        <w:t>our</w:t>
      </w:r>
      <w:r>
        <w:rPr>
          <w:sz w:val="21"/>
        </w:rPr>
        <w:t> </w:t>
      </w:r>
      <w:r>
        <w:rPr>
          <w:w w:val="100"/>
          <w:sz w:val="21"/>
        </w:rPr>
        <w:t>civilization</w:t>
      </w:r>
      <w:r>
        <w:rPr>
          <w:sz w:val="21"/>
        </w:rPr>
        <w:t> </w:t>
      </w:r>
      <w:r>
        <w:rPr>
          <w:w w:val="100"/>
          <w:sz w:val="21"/>
        </w:rPr>
        <w:t>has</w:t>
      </w:r>
      <w:r>
        <w:rPr>
          <w:sz w:val="21"/>
        </w:rPr>
        <w:t> </w:t>
      </w:r>
      <w:r>
        <w:rPr>
          <w:w w:val="100"/>
          <w:sz w:val="21"/>
        </w:rPr>
        <w:t>always</w:t>
      </w:r>
      <w:r>
        <w:rPr>
          <w:sz w:val="21"/>
        </w:rPr>
        <w:t> </w:t>
      </w:r>
      <w:r>
        <w:rPr>
          <w:w w:val="100"/>
          <w:sz w:val="21"/>
        </w:rPr>
        <w:t>been</w:t>
      </w:r>
      <w:r>
        <w:rPr>
          <w:sz w:val="21"/>
        </w:rPr>
        <w:t> </w:t>
      </w:r>
      <w:r>
        <w:rPr>
          <w:w w:val="100"/>
          <w:sz w:val="21"/>
        </w:rPr>
        <w:t>extremely </w:t>
      </w:r>
      <w:r>
        <w:rPr>
          <w:sz w:val="21"/>
        </w:rPr>
        <w:t>attentive to its past. Everything has inclined it in this direction</w:t>
      </w:r>
    </w:p>
    <w:p>
      <w:pPr>
        <w:spacing w:line="276" w:lineRule="auto" w:before="0"/>
        <w:ind w:left="1940" w:right="2260" w:firstLine="0"/>
        <w:jc w:val="both"/>
        <w:rPr>
          <w:sz w:val="21"/>
        </w:rPr>
      </w:pPr>
      <w:r>
        <w:rPr>
          <w:sz w:val="21"/>
        </w:rPr>
        <w:t>: both the Christian and the classical heritage. Our first masters, the Greeks and the Romans, were history-writing peoples. Christianity is a religion of historians. </w:t>
      </w:r>
      <w:r>
        <w:rPr>
          <w:b/>
          <w:sz w:val="21"/>
        </w:rPr>
        <w:t>Other religious systems have been able to found their beliefs and their rites on a mythology nearly outside human time</w:t>
      </w:r>
      <w:r>
        <w:rPr>
          <w:sz w:val="21"/>
        </w:rPr>
        <w:t>.‖ (Emphasis</w:t>
      </w:r>
      <w:r>
        <w:rPr>
          <w:spacing w:val="-7"/>
          <w:sz w:val="21"/>
        </w:rPr>
        <w:t> </w:t>
      </w:r>
      <w:r>
        <w:rPr>
          <w:sz w:val="21"/>
        </w:rPr>
        <w:t>supplied)</w:t>
      </w:r>
    </w:p>
    <w:p>
      <w:pPr>
        <w:pStyle w:val="BodyText"/>
        <w:rPr>
          <w:sz w:val="24"/>
        </w:rPr>
      </w:pPr>
    </w:p>
    <w:p>
      <w:pPr>
        <w:pStyle w:val="BodyText"/>
        <w:rPr>
          <w:sz w:val="24"/>
        </w:rPr>
      </w:pPr>
    </w:p>
    <w:p>
      <w:pPr>
        <w:pStyle w:val="BodyText"/>
        <w:spacing w:line="480" w:lineRule="auto" w:before="183"/>
        <w:ind w:left="500" w:right="435"/>
        <w:jc w:val="both"/>
      </w:pPr>
      <w:r>
        <w:rPr/>
        <w:t>While we have made a reference to the accounts of travellers and gazetteers, we read them with caution. The contents of these accounts cannot be regarded as being conclusive on the issue of title which has necessitated an adjudication in the present proceedings. While the gazetteers may provide to the court a glimpse on matters of public history, history itself is a matter of divisive  contestation. While the court is not precluded from relying on the contents as relevant material, they must be read together with the evidence on the record in order </w:t>
      </w:r>
      <w:r>
        <w:rPr>
          <w:spacing w:val="4"/>
        </w:rPr>
        <w:t>to </w:t>
      </w:r>
      <w:r>
        <w:rPr/>
        <w:t>enable</w:t>
      </w:r>
      <w:r>
        <w:rPr>
          <w:spacing w:val="37"/>
        </w:rPr>
        <w:t> </w:t>
      </w:r>
      <w:r>
        <w:rPr/>
        <w:t>the</w:t>
      </w:r>
    </w:p>
    <w:p>
      <w:pPr>
        <w:pStyle w:val="BodyText"/>
        <w:spacing w:before="6"/>
        <w:rPr>
          <w:sz w:val="17"/>
        </w:rPr>
      </w:pPr>
      <w:r>
        <w:rPr/>
        <w:pict>
          <v:rect style="position:absolute;margin-left:72.024002pt;margin-top:12.038643pt;width:144.020pt;height:.599980pt;mso-position-horizontal-relative:page;mso-position-vertical-relative:paragraph;z-index:-1563494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322</w:t>
      </w:r>
      <w:r>
        <w:rPr>
          <w:sz w:val="18"/>
          <w:vertAlign w:val="baseline"/>
        </w:rPr>
        <w:t> Introduction by Richard J Evans in E.H. Carr, What is History?, Penguin (2018 reprint) at page 12</w:t>
      </w:r>
    </w:p>
    <w:p>
      <w:pPr>
        <w:spacing w:before="2"/>
        <w:ind w:left="500" w:right="0" w:firstLine="0"/>
        <w:jc w:val="left"/>
        <w:rPr>
          <w:sz w:val="18"/>
        </w:rPr>
      </w:pPr>
      <w:r>
        <w:rPr>
          <w:sz w:val="18"/>
          <w:vertAlign w:val="superscript"/>
        </w:rPr>
        <w:t>323</w:t>
      </w:r>
      <w:r>
        <w:rPr>
          <w:sz w:val="18"/>
          <w:vertAlign w:val="baseline"/>
        </w:rPr>
        <w:t> Marc Bloch, The Historian‘s Craft, Penguin (2019 reprint), at page 4</w:t>
      </w:r>
    </w:p>
    <w:p>
      <w:pPr>
        <w:spacing w:after="0"/>
        <w:jc w:val="left"/>
        <w:rPr>
          <w:sz w:val="18"/>
        </w:rPr>
        <w:sectPr>
          <w:pgSz w:w="11910" w:h="16840"/>
          <w:pgMar w:header="721" w:footer="1014" w:top="1300" w:bottom="1200" w:left="940" w:right="1000"/>
        </w:sectPr>
      </w:pPr>
    </w:p>
    <w:p>
      <w:pPr>
        <w:pStyle w:val="BodyText"/>
        <w:spacing w:line="480" w:lineRule="auto" w:before="124"/>
        <w:ind w:left="500" w:right="436"/>
        <w:jc w:val="both"/>
      </w:pPr>
      <w:r>
        <w:rPr/>
        <w:t>court to enter its findings of fact in the course of the present adjudication. Above all, the court must sift matters which may be of a hearsay origin in its effort to deduce the kernel of truth which lies hidden in the maze of conflicting claims. Travellogues and gazetteers contain loose fragments of forgotten history. The evidentiary value to be ascribed to their contents necessarily depends upon the context and is subject to a careful evaluation of their contents. Our analysis has included in the balance, the need for circumspection, as we read in the accounts of travellers and gazetteers a colonial perspective on the contest at the disputed site.</w:t>
      </w:r>
    </w:p>
    <w:p>
      <w:pPr>
        <w:pStyle w:val="Heading3"/>
        <w:numPr>
          <w:ilvl w:val="1"/>
          <w:numId w:val="131"/>
        </w:numPr>
        <w:tabs>
          <w:tab w:pos="1221" w:val="left" w:leader="none"/>
        </w:tabs>
        <w:spacing w:line="240" w:lineRule="auto" w:before="161" w:after="0"/>
        <w:ind w:left="1220" w:right="0" w:hanging="721"/>
        <w:jc w:val="both"/>
      </w:pPr>
      <w:r>
        <w:rPr/>
        <w:t>Historian‘s</w:t>
      </w:r>
      <w:r>
        <w:rPr>
          <w:spacing w:val="-1"/>
        </w:rPr>
        <w:t> </w:t>
      </w:r>
      <w:r>
        <w:rPr/>
        <w:t>report</w:t>
      </w:r>
    </w:p>
    <w:p>
      <w:pPr>
        <w:pStyle w:val="BodyText"/>
        <w:rPr>
          <w:b/>
          <w:sz w:val="28"/>
        </w:rPr>
      </w:pPr>
    </w:p>
    <w:p>
      <w:pPr>
        <w:pStyle w:val="ListParagraph"/>
        <w:numPr>
          <w:ilvl w:val="0"/>
          <w:numId w:val="166"/>
        </w:numPr>
        <w:tabs>
          <w:tab w:pos="1221" w:val="left" w:leader="none"/>
        </w:tabs>
        <w:spacing w:line="240" w:lineRule="auto" w:before="216" w:after="0"/>
        <w:ind w:left="1220" w:right="0" w:hanging="721"/>
        <w:jc w:val="both"/>
        <w:rPr>
          <w:sz w:val="25"/>
        </w:rPr>
      </w:pPr>
      <w:r>
        <w:rPr>
          <w:sz w:val="25"/>
        </w:rPr>
        <w:t>On 13 May 1991, four historians prepared a document which is</w:t>
      </w:r>
      <w:r>
        <w:rPr>
          <w:spacing w:val="-21"/>
          <w:sz w:val="25"/>
        </w:rPr>
        <w:t> </w:t>
      </w:r>
      <w:r>
        <w:rPr>
          <w:sz w:val="25"/>
        </w:rPr>
        <w:t>titled:</w:t>
      </w:r>
    </w:p>
    <w:p>
      <w:pPr>
        <w:pStyle w:val="BodyText"/>
        <w:spacing w:before="8"/>
        <w:rPr>
          <w:sz w:val="24"/>
        </w:rPr>
      </w:pPr>
    </w:p>
    <w:p>
      <w:pPr>
        <w:pStyle w:val="BodyText"/>
        <w:spacing w:line="480" w:lineRule="auto" w:before="1"/>
        <w:ind w:left="500" w:right="441"/>
        <w:jc w:val="both"/>
      </w:pPr>
      <w:r>
        <w:rPr>
          <w:w w:val="33"/>
        </w:rPr>
        <w:t>―</w:t>
      </w:r>
      <w:r>
        <w:rPr>
          <w:b/>
          <w:w w:val="99"/>
        </w:rPr>
        <w:t>Babri</w:t>
      </w:r>
      <w:r>
        <w:rPr>
          <w:b/>
        </w:rPr>
        <w:t>  </w:t>
      </w:r>
      <w:r>
        <w:rPr>
          <w:b/>
          <w:w w:val="99"/>
        </w:rPr>
        <w:t>Mosque</w:t>
      </w:r>
      <w:r>
        <w:rPr>
          <w:b/>
        </w:rPr>
        <w:t>  </w:t>
      </w:r>
      <w:r>
        <w:rPr>
          <w:b/>
          <w:w w:val="99"/>
        </w:rPr>
        <w:t>or</w:t>
      </w:r>
      <w:r>
        <w:rPr>
          <w:b/>
        </w:rPr>
        <w:t>  </w:t>
      </w:r>
      <w:r>
        <w:rPr>
          <w:b/>
          <w:w w:val="99"/>
        </w:rPr>
        <w:t>Rama‘s</w:t>
      </w:r>
      <w:r>
        <w:rPr>
          <w:b/>
        </w:rPr>
        <w:t>  </w:t>
      </w:r>
      <w:r>
        <w:rPr>
          <w:b/>
          <w:w w:val="99"/>
        </w:rPr>
        <w:t>Birth</w:t>
      </w:r>
      <w:r>
        <w:rPr>
          <w:b/>
        </w:rPr>
        <w:t>  </w:t>
      </w:r>
      <w:r>
        <w:rPr>
          <w:b/>
          <w:w w:val="99"/>
        </w:rPr>
        <w:t>Place?</w:t>
      </w:r>
      <w:r>
        <w:rPr>
          <w:b/>
        </w:rPr>
        <w:t>  </w:t>
      </w:r>
      <w:r>
        <w:rPr>
          <w:b/>
          <w:w w:val="99"/>
        </w:rPr>
        <w:t>Historians‘</w:t>
      </w:r>
      <w:r>
        <w:rPr>
          <w:b/>
        </w:rPr>
        <w:t>  </w:t>
      </w:r>
      <w:r>
        <w:rPr>
          <w:b/>
          <w:w w:val="99"/>
        </w:rPr>
        <w:t>Report</w:t>
      </w:r>
      <w:r>
        <w:rPr>
          <w:b/>
        </w:rPr>
        <w:t>  </w:t>
      </w:r>
      <w:r>
        <w:rPr>
          <w:b/>
          <w:w w:val="99"/>
        </w:rPr>
        <w:t>to</w:t>
      </w:r>
      <w:r>
        <w:rPr>
          <w:b/>
        </w:rPr>
        <w:t>  </w:t>
      </w:r>
      <w:r>
        <w:rPr>
          <w:b/>
          <w:w w:val="99"/>
        </w:rPr>
        <w:t>the</w:t>
      </w:r>
      <w:r>
        <w:rPr>
          <w:b/>
        </w:rPr>
        <w:t>  </w:t>
      </w:r>
      <w:r>
        <w:rPr>
          <w:b/>
          <w:w w:val="99"/>
        </w:rPr>
        <w:t>Indian </w:t>
      </w:r>
      <w:r>
        <w:rPr>
          <w:b/>
        </w:rPr>
        <w:t>Nation</w:t>
      </w:r>
      <w:r>
        <w:rPr/>
        <w:t>‖. The report has been authored by (i) Professor RS Sharma, formerly a Professor at Delhi University and Chairperson of the Indian Council of Historical Research; (ii) Professor M Athar Ali, formerly a Professor of History at Aligarh Muslim University and a former President of the Indian History Congress; (iii) Professor D N Jha, Professor of History, Delhi University; and (iv) Professor Suraj Bhan, Professor of Archaeology and Dean, Faculty of Social Sciences, Kurukshetra University, Haryana. The report was submitted under a covering letter dated 13 May 1991 by Professor R S Sharma, Professor M Athar Ali, Professor D N Jha and Professor Suraj Bhan.</w:t>
      </w:r>
    </w:p>
    <w:p>
      <w:pPr>
        <w:spacing w:after="0" w:line="480" w:lineRule="auto"/>
        <w:jc w:val="both"/>
        <w:sectPr>
          <w:pgSz w:w="11910" w:h="16840"/>
          <w:pgMar w:header="721" w:footer="1014" w:top="1300" w:bottom="1200" w:left="940" w:right="1000"/>
        </w:sectPr>
      </w:pPr>
    </w:p>
    <w:p>
      <w:pPr>
        <w:pStyle w:val="BodyText"/>
        <w:spacing w:before="124"/>
        <w:ind w:left="500"/>
      </w:pPr>
      <w:r>
        <w:rPr/>
        <w:t>The significant observations in the report are:</w:t>
      </w:r>
    </w:p>
    <w:p>
      <w:pPr>
        <w:pStyle w:val="BodyText"/>
      </w:pPr>
    </w:p>
    <w:p>
      <w:pPr>
        <w:pStyle w:val="ListParagraph"/>
        <w:numPr>
          <w:ilvl w:val="0"/>
          <w:numId w:val="189"/>
        </w:numPr>
        <w:tabs>
          <w:tab w:pos="1221" w:val="left" w:leader="none"/>
        </w:tabs>
        <w:spacing w:line="480" w:lineRule="auto" w:before="1" w:after="0"/>
        <w:ind w:left="1220" w:right="446" w:hanging="720"/>
        <w:jc w:val="both"/>
        <w:rPr>
          <w:sz w:val="25"/>
        </w:rPr>
      </w:pPr>
      <w:r>
        <w:rPr>
          <w:sz w:val="25"/>
        </w:rPr>
        <w:t>There is no basis in the Skandpuran (Ayodhya Mahatmya) to indicate the site of Babri Masjid as the birth-place of Lord</w:t>
      </w:r>
      <w:r>
        <w:rPr>
          <w:spacing w:val="-4"/>
          <w:sz w:val="25"/>
        </w:rPr>
        <w:t> </w:t>
      </w:r>
      <w:r>
        <w:rPr>
          <w:sz w:val="25"/>
        </w:rPr>
        <w:t>Ram;</w:t>
      </w:r>
    </w:p>
    <w:p>
      <w:pPr>
        <w:pStyle w:val="ListParagraph"/>
        <w:numPr>
          <w:ilvl w:val="0"/>
          <w:numId w:val="189"/>
        </w:numPr>
        <w:tabs>
          <w:tab w:pos="1221" w:val="left" w:leader="none"/>
        </w:tabs>
        <w:spacing w:line="480" w:lineRule="auto" w:before="0" w:after="0"/>
        <w:ind w:left="1220" w:right="448" w:hanging="720"/>
        <w:jc w:val="both"/>
        <w:rPr>
          <w:sz w:val="25"/>
        </w:rPr>
      </w:pPr>
      <w:r>
        <w:rPr>
          <w:sz w:val="25"/>
        </w:rPr>
        <w:t>The carvings on the pillars of the mosque do not indicate a Vaishnavite association;</w:t>
      </w:r>
    </w:p>
    <w:p>
      <w:pPr>
        <w:pStyle w:val="ListParagraph"/>
        <w:numPr>
          <w:ilvl w:val="0"/>
          <w:numId w:val="189"/>
        </w:numPr>
        <w:tabs>
          <w:tab w:pos="1221" w:val="left" w:leader="none"/>
        </w:tabs>
        <w:spacing w:line="480" w:lineRule="auto" w:before="0" w:after="0"/>
        <w:ind w:left="1220" w:right="434" w:hanging="720"/>
        <w:jc w:val="both"/>
        <w:rPr>
          <w:sz w:val="25"/>
        </w:rPr>
      </w:pPr>
      <w:r>
        <w:rPr>
          <w:sz w:val="25"/>
        </w:rPr>
        <w:t>The brick bases which were found in the excavation conducted by Professor BB Lal in 1979 were mentioned by him only in 1990 though several papers had been published by</w:t>
      </w:r>
      <w:r>
        <w:rPr>
          <w:spacing w:val="-4"/>
          <w:sz w:val="25"/>
        </w:rPr>
        <w:t> </w:t>
      </w:r>
      <w:r>
        <w:rPr>
          <w:sz w:val="25"/>
        </w:rPr>
        <w:t>him;</w:t>
      </w:r>
    </w:p>
    <w:p>
      <w:pPr>
        <w:pStyle w:val="ListParagraph"/>
        <w:numPr>
          <w:ilvl w:val="0"/>
          <w:numId w:val="189"/>
        </w:numPr>
        <w:tabs>
          <w:tab w:pos="1221" w:val="left" w:leader="none"/>
        </w:tabs>
        <w:spacing w:line="480" w:lineRule="auto" w:before="0" w:after="0"/>
        <w:ind w:left="1220" w:right="444" w:hanging="720"/>
        <w:jc w:val="both"/>
        <w:rPr>
          <w:sz w:val="25"/>
        </w:rPr>
      </w:pPr>
      <w:r>
        <w:rPr>
          <w:sz w:val="25"/>
        </w:rPr>
        <w:t>Professor B B Lal did not mention the pillar bases in his report submitted to the ASI in</w:t>
      </w:r>
      <w:r>
        <w:rPr>
          <w:spacing w:val="-1"/>
          <w:sz w:val="25"/>
        </w:rPr>
        <w:t> </w:t>
      </w:r>
      <w:r>
        <w:rPr>
          <w:sz w:val="25"/>
        </w:rPr>
        <w:t>1979-80;</w:t>
      </w:r>
    </w:p>
    <w:p>
      <w:pPr>
        <w:pStyle w:val="ListParagraph"/>
        <w:numPr>
          <w:ilvl w:val="0"/>
          <w:numId w:val="189"/>
        </w:numPr>
        <w:tabs>
          <w:tab w:pos="1221" w:val="left" w:leader="none"/>
        </w:tabs>
        <w:spacing w:line="480" w:lineRule="auto" w:before="0" w:after="0"/>
        <w:ind w:left="1220" w:right="441" w:hanging="720"/>
        <w:jc w:val="both"/>
        <w:rPr>
          <w:sz w:val="25"/>
        </w:rPr>
      </w:pPr>
      <w:r>
        <w:rPr>
          <w:sz w:val="25"/>
        </w:rPr>
        <w:t>No stone pillars or architecture of roof material of a temple were found in the debris of the trenches where the pillar bases stood;</w:t>
      </w:r>
      <w:r>
        <w:rPr>
          <w:spacing w:val="-9"/>
          <w:sz w:val="25"/>
        </w:rPr>
        <w:t> </w:t>
      </w:r>
      <w:r>
        <w:rPr>
          <w:sz w:val="25"/>
        </w:rPr>
        <w:t>and</w:t>
      </w:r>
    </w:p>
    <w:p>
      <w:pPr>
        <w:pStyle w:val="ListParagraph"/>
        <w:numPr>
          <w:ilvl w:val="0"/>
          <w:numId w:val="189"/>
        </w:numPr>
        <w:tabs>
          <w:tab w:pos="1221" w:val="left" w:leader="none"/>
        </w:tabs>
        <w:spacing w:line="480" w:lineRule="auto" w:before="0" w:after="0"/>
        <w:ind w:left="1220" w:right="445" w:hanging="720"/>
        <w:jc w:val="both"/>
        <w:rPr>
          <w:sz w:val="25"/>
        </w:rPr>
      </w:pPr>
      <w:r>
        <w:rPr>
          <w:sz w:val="25"/>
        </w:rPr>
        <w:t>There is no mention of Babri Masjid in Ram Charitmanas composed in 1675-76.</w:t>
      </w:r>
    </w:p>
    <w:p>
      <w:pPr>
        <w:pStyle w:val="BodyText"/>
        <w:rPr>
          <w:sz w:val="28"/>
        </w:rPr>
      </w:pPr>
    </w:p>
    <w:p>
      <w:pPr>
        <w:pStyle w:val="BodyText"/>
        <w:spacing w:before="165"/>
        <w:ind w:left="500"/>
      </w:pPr>
      <w:r>
        <w:rPr/>
        <w:t>The conclusions in the study were:</w:t>
      </w:r>
    </w:p>
    <w:p>
      <w:pPr>
        <w:pStyle w:val="BodyText"/>
        <w:spacing w:before="1"/>
      </w:pPr>
    </w:p>
    <w:p>
      <w:pPr>
        <w:pStyle w:val="ListParagraph"/>
        <w:numPr>
          <w:ilvl w:val="0"/>
          <w:numId w:val="190"/>
        </w:numPr>
        <w:tabs>
          <w:tab w:pos="1221" w:val="left" w:leader="none"/>
        </w:tabs>
        <w:spacing w:line="480" w:lineRule="auto" w:before="0" w:after="0"/>
        <w:ind w:left="1220" w:right="445" w:hanging="720"/>
        <w:jc w:val="both"/>
        <w:rPr>
          <w:sz w:val="25"/>
        </w:rPr>
      </w:pPr>
      <w:r>
        <w:rPr>
          <w:sz w:val="25"/>
        </w:rPr>
        <w:t>No evidence exists in the texts to indicate that before the eighteenth century any veneration was attached to a spot in Ayodhya as being the birth site of Lord</w:t>
      </w:r>
      <w:r>
        <w:rPr>
          <w:spacing w:val="-4"/>
          <w:sz w:val="25"/>
        </w:rPr>
        <w:t> </w:t>
      </w:r>
      <w:r>
        <w:rPr>
          <w:sz w:val="25"/>
        </w:rPr>
        <w:t>Ram;</w:t>
      </w:r>
    </w:p>
    <w:p>
      <w:pPr>
        <w:pStyle w:val="ListParagraph"/>
        <w:numPr>
          <w:ilvl w:val="0"/>
          <w:numId w:val="190"/>
        </w:numPr>
        <w:tabs>
          <w:tab w:pos="1221" w:val="left" w:leader="none"/>
        </w:tabs>
        <w:spacing w:line="480" w:lineRule="auto" w:before="0" w:after="0"/>
        <w:ind w:left="1220" w:right="446" w:hanging="720"/>
        <w:jc w:val="both"/>
        <w:rPr>
          <w:sz w:val="25"/>
        </w:rPr>
      </w:pPr>
      <w:r>
        <w:rPr>
          <w:sz w:val="25"/>
        </w:rPr>
        <w:t>There are no grounds for supposing that a temple of Lord Ram, or any temple, existed at the site where Babri Masjid was built in</w:t>
      </w:r>
      <w:r>
        <w:rPr>
          <w:spacing w:val="-9"/>
          <w:sz w:val="25"/>
        </w:rPr>
        <w:t> </w:t>
      </w:r>
      <w:r>
        <w:rPr>
          <w:sz w:val="25"/>
        </w:rPr>
        <w:t>1528-29;</w:t>
      </w:r>
    </w:p>
    <w:p>
      <w:pPr>
        <w:pStyle w:val="ListParagraph"/>
        <w:numPr>
          <w:ilvl w:val="0"/>
          <w:numId w:val="190"/>
        </w:numPr>
        <w:tabs>
          <w:tab w:pos="1221" w:val="left" w:leader="none"/>
        </w:tabs>
        <w:spacing w:line="480" w:lineRule="auto" w:before="0" w:after="0"/>
        <w:ind w:left="1220" w:right="442" w:hanging="720"/>
        <w:jc w:val="both"/>
        <w:rPr>
          <w:sz w:val="25"/>
        </w:rPr>
      </w:pPr>
      <w:r>
        <w:rPr>
          <w:sz w:val="25"/>
        </w:rPr>
        <w:t>The legend that Babri Masjid occupied the site of Lord Ram‘s birth did not arise</w:t>
      </w:r>
      <w:r>
        <w:rPr>
          <w:spacing w:val="14"/>
          <w:sz w:val="25"/>
        </w:rPr>
        <w:t> </w:t>
      </w:r>
      <w:r>
        <w:rPr>
          <w:sz w:val="25"/>
        </w:rPr>
        <w:t>until</w:t>
      </w:r>
      <w:r>
        <w:rPr>
          <w:spacing w:val="14"/>
          <w:sz w:val="25"/>
        </w:rPr>
        <w:t> </w:t>
      </w:r>
      <w:r>
        <w:rPr>
          <w:sz w:val="25"/>
        </w:rPr>
        <w:t>the</w:t>
      </w:r>
      <w:r>
        <w:rPr>
          <w:spacing w:val="13"/>
          <w:sz w:val="25"/>
        </w:rPr>
        <w:t> </w:t>
      </w:r>
      <w:r>
        <w:rPr>
          <w:sz w:val="25"/>
        </w:rPr>
        <w:t>late</w:t>
      </w:r>
      <w:r>
        <w:rPr>
          <w:spacing w:val="15"/>
          <w:sz w:val="25"/>
        </w:rPr>
        <w:t> </w:t>
      </w:r>
      <w:r>
        <w:rPr>
          <w:sz w:val="25"/>
        </w:rPr>
        <w:t>eighteenth</w:t>
      </w:r>
      <w:r>
        <w:rPr>
          <w:spacing w:val="16"/>
          <w:sz w:val="25"/>
        </w:rPr>
        <w:t> </w:t>
      </w:r>
      <w:r>
        <w:rPr>
          <w:sz w:val="25"/>
        </w:rPr>
        <w:t>century;</w:t>
      </w:r>
      <w:r>
        <w:rPr>
          <w:spacing w:val="14"/>
          <w:sz w:val="25"/>
        </w:rPr>
        <w:t> </w:t>
      </w:r>
      <w:r>
        <w:rPr>
          <w:sz w:val="25"/>
        </w:rPr>
        <w:t>and</w:t>
      </w:r>
      <w:r>
        <w:rPr>
          <w:spacing w:val="12"/>
          <w:sz w:val="25"/>
        </w:rPr>
        <w:t> </w:t>
      </w:r>
      <w:r>
        <w:rPr>
          <w:sz w:val="25"/>
        </w:rPr>
        <w:t>that</w:t>
      </w:r>
      <w:r>
        <w:rPr>
          <w:spacing w:val="14"/>
          <w:sz w:val="25"/>
        </w:rPr>
        <w:t> </w:t>
      </w:r>
      <w:r>
        <w:rPr>
          <w:sz w:val="25"/>
        </w:rPr>
        <w:t>a</w:t>
      </w:r>
      <w:r>
        <w:rPr>
          <w:spacing w:val="16"/>
          <w:sz w:val="25"/>
        </w:rPr>
        <w:t> </w:t>
      </w:r>
      <w:r>
        <w:rPr>
          <w:sz w:val="25"/>
        </w:rPr>
        <w:t>temple</w:t>
      </w:r>
      <w:r>
        <w:rPr>
          <w:spacing w:val="15"/>
          <w:sz w:val="25"/>
        </w:rPr>
        <w:t> </w:t>
      </w:r>
      <w:r>
        <w:rPr>
          <w:sz w:val="25"/>
        </w:rPr>
        <w:t>was</w:t>
      </w:r>
      <w:r>
        <w:rPr>
          <w:spacing w:val="14"/>
          <w:sz w:val="25"/>
        </w:rPr>
        <w:t> </w:t>
      </w:r>
      <w:r>
        <w:rPr>
          <w:sz w:val="25"/>
        </w:rPr>
        <w:t>destroyed</w:t>
      </w:r>
      <w:r>
        <w:rPr>
          <w:spacing w:val="15"/>
          <w:sz w:val="25"/>
        </w:rPr>
        <w:t> </w:t>
      </w:r>
      <w:r>
        <w:rPr>
          <w:sz w:val="25"/>
        </w:rPr>
        <w:t>to</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512"/>
      </w:pPr>
      <w:r>
        <w:rPr/>
        <w:t>build a mosque was not asserted until the beginning of the nineteenth century; and</w:t>
      </w:r>
    </w:p>
    <w:p>
      <w:pPr>
        <w:pStyle w:val="ListParagraph"/>
        <w:numPr>
          <w:ilvl w:val="0"/>
          <w:numId w:val="190"/>
        </w:numPr>
        <w:tabs>
          <w:tab w:pos="1220" w:val="left" w:leader="none"/>
          <w:tab w:pos="1221" w:val="left" w:leader="none"/>
        </w:tabs>
        <w:spacing w:line="480" w:lineRule="auto" w:before="0" w:after="0"/>
        <w:ind w:left="1220" w:right="445" w:hanging="720"/>
        <w:jc w:val="left"/>
        <w:rPr>
          <w:sz w:val="25"/>
        </w:rPr>
      </w:pPr>
      <w:r>
        <w:rPr>
          <w:w w:val="99"/>
          <w:sz w:val="25"/>
        </w:rPr>
        <w:t>T</w:t>
      </w:r>
      <w:r>
        <w:rPr>
          <w:spacing w:val="-1"/>
          <w:w w:val="99"/>
          <w:sz w:val="25"/>
        </w:rPr>
        <w:t>h</w:t>
      </w:r>
      <w:r>
        <w:rPr>
          <w:w w:val="99"/>
          <w:sz w:val="25"/>
        </w:rPr>
        <w:t>e</w:t>
      </w:r>
      <w:r>
        <w:rPr>
          <w:spacing w:val="31"/>
          <w:sz w:val="25"/>
        </w:rPr>
        <w:t> </w:t>
      </w:r>
      <w:r>
        <w:rPr>
          <w:w w:val="33"/>
          <w:sz w:val="25"/>
        </w:rPr>
        <w:t>―</w:t>
      </w:r>
      <w:r>
        <w:rPr>
          <w:w w:val="99"/>
          <w:sz w:val="25"/>
        </w:rPr>
        <w:t>ful</w:t>
      </w:r>
      <w:r>
        <w:rPr>
          <w:spacing w:val="1"/>
          <w:w w:val="99"/>
          <w:sz w:val="25"/>
        </w:rPr>
        <w:t>l</w:t>
      </w:r>
      <w:r>
        <w:rPr>
          <w:w w:val="99"/>
          <w:sz w:val="25"/>
        </w:rPr>
        <w:t>-</w:t>
      </w:r>
      <w:r>
        <w:rPr>
          <w:spacing w:val="-1"/>
          <w:w w:val="99"/>
          <w:sz w:val="25"/>
        </w:rPr>
        <w:t>blow</w:t>
      </w:r>
      <w:r>
        <w:rPr>
          <w:w w:val="99"/>
          <w:sz w:val="25"/>
        </w:rPr>
        <w:t>n</w:t>
      </w:r>
      <w:r>
        <w:rPr>
          <w:spacing w:val="31"/>
          <w:sz w:val="25"/>
        </w:rPr>
        <w:t> </w:t>
      </w:r>
      <w:r>
        <w:rPr>
          <w:spacing w:val="-1"/>
          <w:w w:val="99"/>
          <w:sz w:val="25"/>
        </w:rPr>
        <w:t>leg</w:t>
      </w:r>
      <w:r>
        <w:rPr>
          <w:w w:val="99"/>
          <w:sz w:val="25"/>
        </w:rPr>
        <w:t>e</w:t>
      </w:r>
      <w:r>
        <w:rPr>
          <w:spacing w:val="-3"/>
          <w:w w:val="99"/>
          <w:sz w:val="25"/>
        </w:rPr>
        <w:t>n</w:t>
      </w:r>
      <w:r>
        <w:rPr>
          <w:spacing w:val="-1"/>
          <w:w w:val="91"/>
          <w:sz w:val="25"/>
        </w:rPr>
        <w:t>d</w:t>
      </w:r>
      <w:r>
        <w:rPr>
          <w:w w:val="91"/>
          <w:sz w:val="25"/>
        </w:rPr>
        <w:t>‖</w:t>
      </w:r>
      <w:r>
        <w:rPr>
          <w:spacing w:val="32"/>
          <w:sz w:val="25"/>
        </w:rPr>
        <w:t> </w:t>
      </w:r>
      <w:r>
        <w:rPr>
          <w:spacing w:val="-1"/>
          <w:w w:val="99"/>
          <w:sz w:val="25"/>
        </w:rPr>
        <w:t>o</w:t>
      </w:r>
      <w:r>
        <w:rPr>
          <w:w w:val="99"/>
          <w:sz w:val="25"/>
        </w:rPr>
        <w:t>f</w:t>
      </w:r>
      <w:r>
        <w:rPr>
          <w:spacing w:val="31"/>
          <w:sz w:val="25"/>
        </w:rPr>
        <w:t> </w:t>
      </w:r>
      <w:r>
        <w:rPr>
          <w:w w:val="99"/>
          <w:sz w:val="25"/>
        </w:rPr>
        <w:t>the</w:t>
      </w:r>
      <w:r>
        <w:rPr>
          <w:spacing w:val="31"/>
          <w:sz w:val="25"/>
        </w:rPr>
        <w:t> </w:t>
      </w:r>
      <w:r>
        <w:rPr>
          <w:spacing w:val="-1"/>
          <w:w w:val="99"/>
          <w:sz w:val="25"/>
        </w:rPr>
        <w:t>d</w:t>
      </w:r>
      <w:r>
        <w:rPr>
          <w:w w:val="99"/>
          <w:sz w:val="25"/>
        </w:rPr>
        <w:t>estr</w:t>
      </w:r>
      <w:r>
        <w:rPr>
          <w:spacing w:val="-1"/>
          <w:w w:val="99"/>
          <w:sz w:val="25"/>
        </w:rPr>
        <w:t>ucti</w:t>
      </w:r>
      <w:r>
        <w:rPr>
          <w:w w:val="99"/>
          <w:sz w:val="25"/>
        </w:rPr>
        <w:t>on</w:t>
      </w:r>
      <w:r>
        <w:rPr>
          <w:spacing w:val="31"/>
          <w:sz w:val="25"/>
        </w:rPr>
        <w:t> </w:t>
      </w:r>
      <w:r>
        <w:rPr>
          <w:spacing w:val="-1"/>
          <w:w w:val="99"/>
          <w:sz w:val="25"/>
        </w:rPr>
        <w:t>o</w:t>
      </w:r>
      <w:r>
        <w:rPr>
          <w:w w:val="99"/>
          <w:sz w:val="25"/>
        </w:rPr>
        <w:t>f</w:t>
      </w:r>
      <w:r>
        <w:rPr>
          <w:spacing w:val="31"/>
          <w:sz w:val="25"/>
        </w:rPr>
        <w:t> </w:t>
      </w:r>
      <w:r>
        <w:rPr>
          <w:w w:val="99"/>
          <w:sz w:val="25"/>
        </w:rPr>
        <w:t>the</w:t>
      </w:r>
      <w:r>
        <w:rPr>
          <w:spacing w:val="31"/>
          <w:sz w:val="25"/>
        </w:rPr>
        <w:t> </w:t>
      </w:r>
      <w:r>
        <w:rPr>
          <w:w w:val="99"/>
          <w:sz w:val="25"/>
        </w:rPr>
        <w:t>te</w:t>
      </w:r>
      <w:r>
        <w:rPr>
          <w:spacing w:val="1"/>
          <w:w w:val="99"/>
          <w:sz w:val="25"/>
        </w:rPr>
        <w:t>m</w:t>
      </w:r>
      <w:r>
        <w:rPr>
          <w:spacing w:val="-1"/>
          <w:w w:val="99"/>
          <w:sz w:val="25"/>
        </w:rPr>
        <w:t>pl</w:t>
      </w:r>
      <w:r>
        <w:rPr>
          <w:w w:val="99"/>
          <w:sz w:val="25"/>
        </w:rPr>
        <w:t>e</w:t>
      </w:r>
      <w:r>
        <w:rPr>
          <w:spacing w:val="31"/>
          <w:sz w:val="25"/>
        </w:rPr>
        <w:t> </w:t>
      </w:r>
      <w:r>
        <w:rPr>
          <w:spacing w:val="-1"/>
          <w:w w:val="99"/>
          <w:sz w:val="25"/>
        </w:rPr>
        <w:t>a</w:t>
      </w:r>
      <w:r>
        <w:rPr>
          <w:w w:val="99"/>
          <w:sz w:val="25"/>
        </w:rPr>
        <w:t>t</w:t>
      </w:r>
      <w:r>
        <w:rPr>
          <w:spacing w:val="31"/>
          <w:sz w:val="25"/>
        </w:rPr>
        <w:t> </w:t>
      </w:r>
      <w:r>
        <w:rPr>
          <w:w w:val="99"/>
          <w:sz w:val="25"/>
        </w:rPr>
        <w:t>the</w:t>
      </w:r>
      <w:r>
        <w:rPr>
          <w:spacing w:val="31"/>
          <w:sz w:val="25"/>
        </w:rPr>
        <w:t> </w:t>
      </w:r>
      <w:r>
        <w:rPr>
          <w:w w:val="99"/>
          <w:sz w:val="25"/>
        </w:rPr>
        <w:t>site</w:t>
      </w:r>
      <w:r>
        <w:rPr>
          <w:spacing w:val="31"/>
          <w:sz w:val="25"/>
        </w:rPr>
        <w:t> </w:t>
      </w:r>
      <w:r>
        <w:rPr>
          <w:spacing w:val="-1"/>
          <w:w w:val="99"/>
          <w:sz w:val="25"/>
        </w:rPr>
        <w:t>o</w:t>
      </w:r>
      <w:r>
        <w:rPr>
          <w:w w:val="99"/>
          <w:sz w:val="25"/>
        </w:rPr>
        <w:t>f</w:t>
      </w:r>
      <w:r>
        <w:rPr>
          <w:spacing w:val="31"/>
          <w:sz w:val="25"/>
        </w:rPr>
        <w:t> </w:t>
      </w:r>
      <w:r>
        <w:rPr>
          <w:w w:val="99"/>
          <w:sz w:val="25"/>
        </w:rPr>
        <w:t>the </w:t>
      </w:r>
      <w:r>
        <w:rPr>
          <w:sz w:val="25"/>
        </w:rPr>
        <w:t>birth of the Lord Ram and Sita Ki Rasoi dates to 1850 after which there is</w:t>
      </w:r>
      <w:r>
        <w:rPr>
          <w:spacing w:val="-19"/>
          <w:sz w:val="25"/>
        </w:rPr>
        <w:t> </w:t>
      </w:r>
      <w:r>
        <w:rPr>
          <w:sz w:val="25"/>
        </w:rPr>
        <w:t>a</w:t>
      </w:r>
    </w:p>
    <w:p>
      <w:pPr>
        <w:pStyle w:val="BodyText"/>
        <w:spacing w:line="287" w:lineRule="exact"/>
        <w:ind w:left="1220"/>
      </w:pPr>
      <w:r>
        <w:rPr>
          <w:w w:val="33"/>
        </w:rPr>
        <w:t>―</w:t>
      </w:r>
      <w:r>
        <w:rPr>
          <w:spacing w:val="-1"/>
          <w:w w:val="99"/>
        </w:rPr>
        <w:t>p</w:t>
      </w:r>
      <w:r>
        <w:rPr>
          <w:w w:val="99"/>
        </w:rPr>
        <w:t>r</w:t>
      </w:r>
      <w:r>
        <w:rPr>
          <w:spacing w:val="-1"/>
          <w:w w:val="99"/>
        </w:rPr>
        <w:t>o</w:t>
      </w:r>
      <w:r>
        <w:rPr>
          <w:w w:val="99"/>
        </w:rPr>
        <w:t>gr</w:t>
      </w:r>
      <w:r>
        <w:rPr>
          <w:spacing w:val="-1"/>
          <w:w w:val="99"/>
        </w:rPr>
        <w:t>essi</w:t>
      </w:r>
      <w:r>
        <w:rPr>
          <w:spacing w:val="-3"/>
          <w:w w:val="99"/>
        </w:rPr>
        <w:t>v</w:t>
      </w:r>
      <w:r>
        <w:rPr>
          <w:w w:val="99"/>
        </w:rPr>
        <w:t>e</w:t>
      </w:r>
      <w:r>
        <w:rPr>
          <w:spacing w:val="-1"/>
        </w:rPr>
        <w:t> </w:t>
      </w:r>
      <w:r>
        <w:rPr>
          <w:spacing w:val="1"/>
          <w:w w:val="99"/>
        </w:rPr>
        <w:t>r</w:t>
      </w:r>
      <w:r>
        <w:rPr>
          <w:spacing w:val="-1"/>
          <w:w w:val="99"/>
        </w:rPr>
        <w:t>ec</w:t>
      </w:r>
      <w:r>
        <w:rPr>
          <w:w w:val="99"/>
        </w:rPr>
        <w:t>o</w:t>
      </w:r>
      <w:r>
        <w:rPr>
          <w:spacing w:val="-1"/>
          <w:w w:val="99"/>
        </w:rPr>
        <w:t>nst</w:t>
      </w:r>
      <w:r>
        <w:rPr>
          <w:spacing w:val="-2"/>
          <w:w w:val="99"/>
        </w:rPr>
        <w:t>r</w:t>
      </w:r>
      <w:r>
        <w:rPr>
          <w:spacing w:val="-1"/>
          <w:w w:val="99"/>
        </w:rPr>
        <w:t>ucti</w:t>
      </w:r>
      <w:r>
        <w:rPr>
          <w:w w:val="99"/>
        </w:rPr>
        <w:t>on</w:t>
      </w:r>
      <w:r>
        <w:rPr>
          <w:spacing w:val="-1"/>
        </w:rPr>
        <w:t> </w:t>
      </w:r>
      <w:r>
        <w:rPr>
          <w:w w:val="99"/>
        </w:rPr>
        <w:t>of</w:t>
      </w:r>
      <w:r>
        <w:rPr/>
        <w:t> </w:t>
      </w:r>
      <w:r>
        <w:rPr>
          <w:spacing w:val="-1"/>
          <w:w w:val="99"/>
        </w:rPr>
        <w:t>i</w:t>
      </w:r>
      <w:r>
        <w:rPr>
          <w:w w:val="99"/>
        </w:rPr>
        <w:t>m</w:t>
      </w:r>
      <w:r>
        <w:rPr>
          <w:spacing w:val="-1"/>
          <w:w w:val="99"/>
        </w:rPr>
        <w:t>a</w:t>
      </w:r>
      <w:r>
        <w:rPr>
          <w:w w:val="99"/>
        </w:rPr>
        <w:t>g</w:t>
      </w:r>
      <w:r>
        <w:rPr>
          <w:spacing w:val="-1"/>
          <w:w w:val="99"/>
        </w:rPr>
        <w:t>ine</w:t>
      </w:r>
      <w:r>
        <w:rPr>
          <w:w w:val="99"/>
        </w:rPr>
        <w:t>d</w:t>
      </w:r>
      <w:r>
        <w:rPr/>
        <w:t> </w:t>
      </w:r>
      <w:r>
        <w:rPr>
          <w:spacing w:val="-1"/>
          <w:w w:val="99"/>
        </w:rPr>
        <w:t>hist</w:t>
      </w:r>
      <w:r>
        <w:rPr>
          <w:w w:val="99"/>
        </w:rPr>
        <w:t>or</w:t>
      </w:r>
      <w:r>
        <w:rPr>
          <w:spacing w:val="-3"/>
          <w:w w:val="99"/>
        </w:rPr>
        <w:t>y</w:t>
      </w:r>
      <w:r>
        <w:rPr>
          <w:w w:val="99"/>
        </w:rPr>
        <w:t>,</w:t>
      </w:r>
      <w:r>
        <w:rPr/>
        <w:t> </w:t>
      </w:r>
      <w:r>
        <w:rPr>
          <w:w w:val="99"/>
        </w:rPr>
        <w:t>b</w:t>
      </w:r>
      <w:r>
        <w:rPr>
          <w:spacing w:val="-1"/>
          <w:w w:val="99"/>
        </w:rPr>
        <w:t>as</w:t>
      </w:r>
      <w:r>
        <w:rPr>
          <w:w w:val="99"/>
        </w:rPr>
        <w:t>ed</w:t>
      </w:r>
      <w:r>
        <w:rPr>
          <w:spacing w:val="-1"/>
        </w:rPr>
        <w:t> </w:t>
      </w:r>
      <w:r>
        <w:rPr>
          <w:w w:val="99"/>
        </w:rPr>
        <w:t>on</w:t>
      </w:r>
      <w:r>
        <w:rPr>
          <w:spacing w:val="-1"/>
        </w:rPr>
        <w:t> </w:t>
      </w:r>
      <w:r>
        <w:rPr>
          <w:w w:val="99"/>
        </w:rPr>
        <w:t>f</w:t>
      </w:r>
      <w:r>
        <w:rPr>
          <w:spacing w:val="-1"/>
          <w:w w:val="99"/>
        </w:rPr>
        <w:t>ait</w:t>
      </w:r>
      <w:r>
        <w:rPr>
          <w:w w:val="99"/>
        </w:rPr>
        <w:t>h</w:t>
      </w:r>
      <w:r>
        <w:rPr>
          <w:w w:val="80"/>
        </w:rPr>
        <w:t>‖</w:t>
      </w:r>
      <w:r>
        <w:rPr>
          <w:w w:val="99"/>
        </w:rPr>
        <w:t>.</w:t>
      </w:r>
    </w:p>
    <w:p>
      <w:pPr>
        <w:pStyle w:val="BodyText"/>
        <w:rPr>
          <w:sz w:val="28"/>
        </w:rPr>
      </w:pPr>
    </w:p>
    <w:p>
      <w:pPr>
        <w:pStyle w:val="BodyText"/>
        <w:spacing w:before="1"/>
        <w:rPr>
          <w:sz w:val="22"/>
        </w:rPr>
      </w:pPr>
    </w:p>
    <w:p>
      <w:pPr>
        <w:pStyle w:val="ListParagraph"/>
        <w:numPr>
          <w:ilvl w:val="0"/>
          <w:numId w:val="166"/>
        </w:numPr>
        <w:tabs>
          <w:tab w:pos="1221" w:val="left" w:leader="none"/>
        </w:tabs>
        <w:spacing w:line="480" w:lineRule="auto" w:before="0" w:after="0"/>
        <w:ind w:left="500" w:right="441" w:firstLine="0"/>
        <w:jc w:val="both"/>
        <w:rPr>
          <w:sz w:val="25"/>
        </w:rPr>
      </w:pPr>
      <w:r>
        <w:rPr>
          <w:sz w:val="25"/>
        </w:rPr>
        <w:t>Justice Sudhir Agarwal noted that the report had not been signed by Professor D N Jha, a fact which was admitted by Professor Suraj Bhan (PW 16) who deposed in evidence. The report indicated that the material from the excavations of Professor B B Lal had not been available for inspection to the four historians.</w:t>
      </w:r>
    </w:p>
    <w:p>
      <w:pPr>
        <w:pStyle w:val="BodyText"/>
        <w:spacing w:before="10"/>
        <w:rPr>
          <w:sz w:val="38"/>
        </w:rPr>
      </w:pPr>
    </w:p>
    <w:p>
      <w:pPr>
        <w:pStyle w:val="BodyText"/>
        <w:spacing w:line="480" w:lineRule="auto"/>
        <w:ind w:left="500" w:right="444"/>
        <w:jc w:val="both"/>
      </w:pPr>
      <w:r>
        <w:rPr/>
        <w:t>Having extracted from the deposition of PW 16, Justice Agarwal rejected his expertise on the ground that he was an archaeologist and not an authority on medieval history.</w:t>
      </w:r>
    </w:p>
    <w:p>
      <w:pPr>
        <w:pStyle w:val="BodyText"/>
        <w:spacing w:before="11"/>
        <w:rPr>
          <w:sz w:val="24"/>
        </w:rPr>
      </w:pPr>
    </w:p>
    <w:p>
      <w:pPr>
        <w:pStyle w:val="ListParagraph"/>
        <w:numPr>
          <w:ilvl w:val="0"/>
          <w:numId w:val="166"/>
        </w:numPr>
        <w:tabs>
          <w:tab w:pos="1221" w:val="left" w:leader="none"/>
        </w:tabs>
        <w:spacing w:line="480" w:lineRule="auto" w:before="0" w:after="0"/>
        <w:ind w:left="500" w:right="441" w:firstLine="0"/>
        <w:jc w:val="both"/>
        <w:rPr>
          <w:sz w:val="25"/>
        </w:rPr>
      </w:pPr>
      <w:r>
        <w:rPr>
          <w:sz w:val="25"/>
        </w:rPr>
        <w:t>Justice Agarwal proceeded to analyse the evidence of Suvira Jaiswal (PW 18), formerly a Professor at Jawahar Lal Nehru University. </w:t>
      </w:r>
      <w:r>
        <w:rPr>
          <w:spacing w:val="-3"/>
          <w:sz w:val="25"/>
        </w:rPr>
        <w:t>PW </w:t>
      </w:r>
      <w:r>
        <w:rPr>
          <w:sz w:val="25"/>
        </w:rPr>
        <w:t>18 stated that her knowledge about the destroyed site was on the basis of newspapers or the work of other historians. Justice Agarwal questioned the credentials of </w:t>
      </w:r>
      <w:r>
        <w:rPr>
          <w:spacing w:val="-3"/>
          <w:sz w:val="25"/>
        </w:rPr>
        <w:t>PW </w:t>
      </w:r>
      <w:r>
        <w:rPr>
          <w:sz w:val="25"/>
        </w:rPr>
        <w:t>18, noting that she was a doctoral student under the guidance of Professor R S Sharma who was a co-author of the report. Ultimately, he concluded that the report had not been signed by all the four historians (Professor DN Jha not having signed it) and the opinion of an alleged expert (PW 18) was not based on her study and research</w:t>
      </w:r>
      <w:r>
        <w:rPr>
          <w:spacing w:val="51"/>
          <w:sz w:val="25"/>
        </w:rPr>
        <w:t> </w:t>
      </w:r>
      <w:r>
        <w:rPr>
          <w:sz w:val="25"/>
        </w:rPr>
        <w:t>but</w:t>
      </w:r>
      <w:r>
        <w:rPr>
          <w:spacing w:val="51"/>
          <w:sz w:val="25"/>
        </w:rPr>
        <w:t> </w:t>
      </w:r>
      <w:r>
        <w:rPr>
          <w:sz w:val="25"/>
        </w:rPr>
        <w:t>a</w:t>
      </w:r>
      <w:r>
        <w:rPr>
          <w:spacing w:val="52"/>
          <w:sz w:val="25"/>
        </w:rPr>
        <w:t> </w:t>
      </w:r>
      <w:r>
        <w:rPr>
          <w:sz w:val="25"/>
        </w:rPr>
        <w:t>reflection</w:t>
      </w:r>
      <w:r>
        <w:rPr>
          <w:spacing w:val="51"/>
          <w:sz w:val="25"/>
        </w:rPr>
        <w:t> </w:t>
      </w:r>
      <w:r>
        <w:rPr>
          <w:sz w:val="25"/>
        </w:rPr>
        <w:t>of</w:t>
      </w:r>
      <w:r>
        <w:rPr>
          <w:spacing w:val="52"/>
          <w:sz w:val="25"/>
        </w:rPr>
        <w:t> </w:t>
      </w:r>
      <w:r>
        <w:rPr>
          <w:sz w:val="25"/>
        </w:rPr>
        <w:t>what</w:t>
      </w:r>
      <w:r>
        <w:rPr>
          <w:spacing w:val="51"/>
          <w:sz w:val="25"/>
        </w:rPr>
        <w:t> </w:t>
      </w:r>
      <w:r>
        <w:rPr>
          <w:sz w:val="25"/>
        </w:rPr>
        <w:t>others</w:t>
      </w:r>
      <w:r>
        <w:rPr>
          <w:spacing w:val="54"/>
          <w:sz w:val="25"/>
        </w:rPr>
        <w:t> </w:t>
      </w:r>
      <w:r>
        <w:rPr>
          <w:sz w:val="25"/>
        </w:rPr>
        <w:t>had</w:t>
      </w:r>
      <w:r>
        <w:rPr>
          <w:spacing w:val="51"/>
          <w:sz w:val="25"/>
        </w:rPr>
        <w:t> </w:t>
      </w:r>
      <w:r>
        <w:rPr>
          <w:sz w:val="25"/>
        </w:rPr>
        <w:t>written.</w:t>
      </w:r>
      <w:r>
        <w:rPr>
          <w:spacing w:val="51"/>
          <w:sz w:val="25"/>
        </w:rPr>
        <w:t> </w:t>
      </w:r>
      <w:r>
        <w:rPr>
          <w:sz w:val="25"/>
        </w:rPr>
        <w:t>Accordingly,</w:t>
      </w:r>
      <w:r>
        <w:rPr>
          <w:spacing w:val="52"/>
          <w:sz w:val="25"/>
        </w:rPr>
        <w:t> </w:t>
      </w:r>
      <w:r>
        <w:rPr>
          <w:sz w:val="25"/>
        </w:rPr>
        <w:t>the</w:t>
      </w:r>
      <w:r>
        <w:rPr>
          <w:spacing w:val="54"/>
          <w:sz w:val="25"/>
        </w:rPr>
        <w:t> </w:t>
      </w:r>
      <w:r>
        <w:rPr>
          <w:sz w:val="25"/>
        </w:rPr>
        <w:t>learned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judge held that it was not credible evidence under Section 45 </w:t>
      </w:r>
      <w:r>
        <w:rPr>
          <w:spacing w:val="3"/>
        </w:rPr>
        <w:t>of </w:t>
      </w:r>
      <w:r>
        <w:rPr/>
        <w:t>the Evidence Act.</w:t>
      </w:r>
    </w:p>
    <w:p>
      <w:pPr>
        <w:pStyle w:val="BodyText"/>
        <w:spacing w:before="11"/>
        <w:rPr>
          <w:sz w:val="38"/>
        </w:rPr>
      </w:pPr>
    </w:p>
    <w:p>
      <w:pPr>
        <w:pStyle w:val="BodyText"/>
        <w:spacing w:line="480" w:lineRule="auto"/>
        <w:ind w:left="500" w:right="444"/>
        <w:jc w:val="both"/>
      </w:pPr>
      <w:r>
        <w:rPr/>
        <w:t>Dr Dhavan has submitted that on the sole basis of the report not having been signed by Professor D N Jha, Justice Sudhir Agarwal erroneously proceeded to make strictures against the four historians. He urged that while assessing the credibility of the historians, the learned Judge confounded his assessment of PW 18 with the authors of the report. These observations, it has been urged did not pertain to the historians but to PW 18.</w:t>
      </w:r>
    </w:p>
    <w:p>
      <w:pPr>
        <w:pStyle w:val="BodyText"/>
        <w:spacing w:before="9"/>
        <w:rPr>
          <w:sz w:val="38"/>
        </w:rPr>
      </w:pPr>
    </w:p>
    <w:p>
      <w:pPr>
        <w:pStyle w:val="ListParagraph"/>
        <w:numPr>
          <w:ilvl w:val="0"/>
          <w:numId w:val="166"/>
        </w:numPr>
        <w:tabs>
          <w:tab w:pos="1221" w:val="left" w:leader="none"/>
        </w:tabs>
        <w:spacing w:line="480" w:lineRule="auto" w:before="0" w:after="0"/>
        <w:ind w:left="500" w:right="437" w:firstLine="0"/>
        <w:jc w:val="both"/>
        <w:rPr>
          <w:sz w:val="25"/>
        </w:rPr>
      </w:pPr>
      <w:r>
        <w:rPr>
          <w:spacing w:val="3"/>
          <w:sz w:val="25"/>
        </w:rPr>
        <w:t>We </w:t>
      </w:r>
      <w:r>
        <w:rPr>
          <w:sz w:val="25"/>
        </w:rPr>
        <w:t>are of the view that Justice Agarwal has been unjustifiably harsh on the four historians. The learned judge seems to have confounded his criticism of </w:t>
      </w:r>
      <w:r>
        <w:rPr>
          <w:spacing w:val="-3"/>
          <w:sz w:val="25"/>
        </w:rPr>
        <w:t>PW </w:t>
      </w:r>
      <w:r>
        <w:rPr>
          <w:sz w:val="25"/>
        </w:rPr>
        <w:t>18 (who had only relied on the work of others without any independent assessment) with the report of the historians. </w:t>
      </w:r>
      <w:r>
        <w:rPr>
          <w:spacing w:val="-3"/>
          <w:sz w:val="25"/>
        </w:rPr>
        <w:t>PW </w:t>
      </w:r>
      <w:r>
        <w:rPr>
          <w:sz w:val="25"/>
        </w:rPr>
        <w:t>18 was not part of the team of historians. The fact that one of the four historians did not sign on the covering document was not reason enough to discard the work in its entirety. The weight which could be attributed to the historians‘ report is a distinct matter but, while analysing this aspect, it was not necessary for the High Court to make observations in regard to the personal standing and qualifications of the historians. It is thus necessary to clarify that those observations were unnecessary for the exercise which was being embarked upon by the High</w:t>
      </w:r>
      <w:r>
        <w:rPr>
          <w:spacing w:val="-18"/>
          <w:sz w:val="25"/>
        </w:rPr>
        <w:t> </w:t>
      </w:r>
      <w:r>
        <w:rPr>
          <w:sz w:val="25"/>
        </w:rPr>
        <w:t>Court.</w:t>
      </w:r>
    </w:p>
    <w:p>
      <w:pPr>
        <w:pStyle w:val="BodyText"/>
        <w:rPr>
          <w:sz w:val="28"/>
        </w:rPr>
      </w:pPr>
    </w:p>
    <w:p>
      <w:pPr>
        <w:pStyle w:val="BodyText"/>
        <w:spacing w:before="1"/>
      </w:pPr>
    </w:p>
    <w:p>
      <w:pPr>
        <w:pStyle w:val="BodyText"/>
        <w:spacing w:line="480" w:lineRule="auto"/>
        <w:ind w:left="500" w:right="443"/>
        <w:jc w:val="both"/>
      </w:pPr>
      <w:r>
        <w:rPr/>
        <w:t>Having said this, it is evident from the report of the four historians that they did not have the benefit of inspecting the material on the basis of which Dr B B Lal had</w:t>
      </w:r>
      <w:r>
        <w:rPr>
          <w:spacing w:val="36"/>
        </w:rPr>
        <w:t> </w:t>
      </w:r>
      <w:r>
        <w:rPr/>
        <w:t>conducted</w:t>
      </w:r>
      <w:r>
        <w:rPr>
          <w:spacing w:val="37"/>
        </w:rPr>
        <w:t> </w:t>
      </w:r>
      <w:r>
        <w:rPr/>
        <w:t>his</w:t>
      </w:r>
      <w:r>
        <w:rPr>
          <w:spacing w:val="34"/>
        </w:rPr>
        <w:t> </w:t>
      </w:r>
      <w:r>
        <w:rPr/>
        <w:t>research</w:t>
      </w:r>
      <w:r>
        <w:rPr>
          <w:spacing w:val="37"/>
        </w:rPr>
        <w:t> </w:t>
      </w:r>
      <w:r>
        <w:rPr/>
        <w:t>in</w:t>
      </w:r>
      <w:r>
        <w:rPr>
          <w:spacing w:val="37"/>
        </w:rPr>
        <w:t> </w:t>
      </w:r>
      <w:r>
        <w:rPr/>
        <w:t>1979.</w:t>
      </w:r>
      <w:r>
        <w:rPr>
          <w:spacing w:val="34"/>
        </w:rPr>
        <w:t> </w:t>
      </w:r>
      <w:r>
        <w:rPr/>
        <w:t>But</w:t>
      </w:r>
      <w:r>
        <w:rPr>
          <w:spacing w:val="37"/>
        </w:rPr>
        <w:t> </w:t>
      </w:r>
      <w:r>
        <w:rPr/>
        <w:t>that</w:t>
      </w:r>
      <w:r>
        <w:rPr>
          <w:spacing w:val="37"/>
        </w:rPr>
        <w:t> </w:t>
      </w:r>
      <w:r>
        <w:rPr/>
        <w:t>apart</w:t>
      </w:r>
      <w:r>
        <w:rPr>
          <w:spacing w:val="34"/>
        </w:rPr>
        <w:t> </w:t>
      </w:r>
      <w:r>
        <w:rPr/>
        <w:t>and</w:t>
      </w:r>
      <w:r>
        <w:rPr>
          <w:spacing w:val="37"/>
        </w:rPr>
        <w:t> </w:t>
      </w:r>
      <w:r>
        <w:rPr/>
        <w:t>more</w:t>
      </w:r>
      <w:r>
        <w:rPr>
          <w:spacing w:val="34"/>
        </w:rPr>
        <w:t> </w:t>
      </w:r>
      <w:r>
        <w:rPr/>
        <w:t>significantly,</w:t>
      </w:r>
      <w:r>
        <w:rPr>
          <w:spacing w:val="37"/>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report by the historians pre-dates the material which has emerged in the form of the ASI report which was prepared during the pendency of the suit in pursuance of the directions of the High Court. Since the four historians did not have the benefit of that material which has now been assessed by this Court in the earlier segment of this judgment, it is not necessary to carry the matter any further save and except to clarify that the historians‘ report which is prior to the report of ASI, cannot carry any significant degree of weight, since they have not had the benefit of analysing the material which has emerged from the ASI report. The inferences which have been drawn by the historians in regard to the faith and belief </w:t>
      </w:r>
      <w:r>
        <w:rPr>
          <w:spacing w:val="4"/>
        </w:rPr>
        <w:t>of </w:t>
      </w:r>
      <w:r>
        <w:rPr/>
        <w:t>the Hindus in the birth-place of Lord Ram constitute their opinion. Evidence having been led in the suits, this Court cannot rest a finding of fact on the report of the historians and must evaluate the entirety of the evidence. The issue of title, insofar as Suit 5 is concerned, has to be decided together with Suit 4 on an overall assessment of the evidence. Hence, at the present stage, the next segment of the judgment will proceed with analyzing Suit 4. The question of title will be ultimately adjudicated after marshaling the entirety of the</w:t>
      </w:r>
      <w:r>
        <w:rPr>
          <w:spacing w:val="-15"/>
        </w:rPr>
        <w:t> </w:t>
      </w:r>
      <w:r>
        <w:rPr/>
        <w:t>evidence.</w:t>
      </w:r>
    </w:p>
    <w:p>
      <w:pPr>
        <w:pStyle w:val="BodyText"/>
        <w:spacing w:before="10"/>
        <w:rPr>
          <w:sz w:val="38"/>
        </w:rPr>
      </w:pPr>
    </w:p>
    <w:p>
      <w:pPr>
        <w:pStyle w:val="Heading3"/>
        <w:numPr>
          <w:ilvl w:val="0"/>
          <w:numId w:val="191"/>
        </w:numPr>
        <w:tabs>
          <w:tab w:pos="1220" w:val="left" w:leader="none"/>
          <w:tab w:pos="1221" w:val="left" w:leader="none"/>
        </w:tabs>
        <w:spacing w:line="240" w:lineRule="auto" w:before="0" w:after="0"/>
        <w:ind w:left="1220" w:right="0" w:hanging="721"/>
        <w:jc w:val="left"/>
      </w:pPr>
      <w:r>
        <w:rPr/>
        <w:t>Suit 4: Sunni Central Waqf</w:t>
      </w:r>
      <w:r>
        <w:rPr>
          <w:spacing w:val="-1"/>
        </w:rPr>
        <w:t> </w:t>
      </w:r>
      <w:r>
        <w:rPr/>
        <w:t>Board</w:t>
      </w:r>
    </w:p>
    <w:p>
      <w:pPr>
        <w:pStyle w:val="BodyText"/>
        <w:rPr>
          <w:b/>
          <w:sz w:val="28"/>
        </w:rPr>
      </w:pPr>
    </w:p>
    <w:p>
      <w:pPr>
        <w:pStyle w:val="ListParagraph"/>
        <w:numPr>
          <w:ilvl w:val="1"/>
          <w:numId w:val="191"/>
        </w:numPr>
        <w:tabs>
          <w:tab w:pos="1220" w:val="left" w:leader="none"/>
          <w:tab w:pos="1221" w:val="left" w:leader="none"/>
        </w:tabs>
        <w:spacing w:line="240" w:lineRule="auto" w:before="220" w:after="0"/>
        <w:ind w:left="1220" w:right="0" w:hanging="721"/>
        <w:jc w:val="left"/>
        <w:rPr>
          <w:b/>
          <w:sz w:val="26"/>
        </w:rPr>
      </w:pPr>
      <w:r>
        <w:rPr>
          <w:b/>
          <w:sz w:val="26"/>
        </w:rPr>
        <w:t>Analysis of the</w:t>
      </w:r>
      <w:r>
        <w:rPr>
          <w:b/>
          <w:spacing w:val="-2"/>
          <w:sz w:val="26"/>
        </w:rPr>
        <w:t> </w:t>
      </w:r>
      <w:r>
        <w:rPr>
          <w:b/>
          <w:sz w:val="26"/>
        </w:rPr>
        <w:t>plaint</w:t>
      </w:r>
    </w:p>
    <w:p>
      <w:pPr>
        <w:pStyle w:val="BodyText"/>
        <w:rPr>
          <w:b/>
          <w:sz w:val="28"/>
        </w:rPr>
      </w:pPr>
    </w:p>
    <w:p>
      <w:pPr>
        <w:pStyle w:val="ListParagraph"/>
        <w:numPr>
          <w:ilvl w:val="0"/>
          <w:numId w:val="166"/>
        </w:numPr>
        <w:tabs>
          <w:tab w:pos="1220" w:val="left" w:leader="none"/>
          <w:tab w:pos="1221" w:val="left" w:leader="none"/>
        </w:tabs>
        <w:spacing w:line="480" w:lineRule="auto" w:before="216" w:after="0"/>
        <w:ind w:left="500" w:right="442" w:firstLine="0"/>
        <w:jc w:val="left"/>
        <w:rPr>
          <w:sz w:val="25"/>
        </w:rPr>
      </w:pPr>
      <w:r>
        <w:rPr>
          <w:sz w:val="25"/>
        </w:rPr>
        <w:t>Suit 4 was instituted on 18 December 1961 by the Sunni Central Waqf Board. As amended, the following reliefs have been sought in the</w:t>
      </w:r>
      <w:r>
        <w:rPr>
          <w:spacing w:val="-5"/>
          <w:sz w:val="25"/>
        </w:rPr>
        <w:t> </w:t>
      </w:r>
      <w:r>
        <w:rPr>
          <w:sz w:val="25"/>
        </w:rPr>
        <w:t>plaint:</w:t>
      </w:r>
    </w:p>
    <w:p>
      <w:pPr>
        <w:pStyle w:val="BodyText"/>
        <w:spacing w:before="9"/>
        <w:rPr>
          <w:sz w:val="35"/>
        </w:rPr>
      </w:pPr>
    </w:p>
    <w:p>
      <w:pPr>
        <w:spacing w:line="276" w:lineRule="auto" w:before="0"/>
        <w:ind w:left="1940" w:right="2259" w:firstLine="0"/>
        <w:jc w:val="both"/>
        <w:rPr>
          <w:sz w:val="21"/>
        </w:rPr>
      </w:pPr>
      <w:r>
        <w:rPr>
          <w:spacing w:val="-1"/>
          <w:w w:val="33"/>
          <w:sz w:val="21"/>
        </w:rPr>
        <w:t>―</w:t>
      </w:r>
      <w:r>
        <w:rPr>
          <w:spacing w:val="-1"/>
          <w:w w:val="100"/>
          <w:sz w:val="21"/>
        </w:rPr>
        <w:t>(a</w:t>
      </w:r>
      <w:r>
        <w:rPr>
          <w:w w:val="100"/>
          <w:sz w:val="21"/>
        </w:rPr>
        <w:t>)</w:t>
      </w:r>
      <w:r>
        <w:rPr>
          <w:sz w:val="21"/>
        </w:rPr>
        <w:t>      </w:t>
      </w:r>
      <w:r>
        <w:rPr>
          <w:spacing w:val="-16"/>
          <w:sz w:val="21"/>
        </w:rPr>
        <w:t> </w:t>
      </w:r>
      <w:r>
        <w:rPr>
          <w:w w:val="100"/>
          <w:sz w:val="21"/>
        </w:rPr>
        <w:t>A</w:t>
      </w:r>
      <w:r>
        <w:rPr>
          <w:spacing w:val="23"/>
          <w:sz w:val="21"/>
        </w:rPr>
        <w:t> </w:t>
      </w:r>
      <w:r>
        <w:rPr>
          <w:spacing w:val="-3"/>
          <w:w w:val="100"/>
          <w:sz w:val="21"/>
        </w:rPr>
        <w:t>d</w:t>
      </w:r>
      <w:r>
        <w:rPr>
          <w:w w:val="100"/>
          <w:sz w:val="21"/>
        </w:rPr>
        <w:t>e</w:t>
      </w:r>
      <w:r>
        <w:rPr>
          <w:spacing w:val="-3"/>
          <w:w w:val="100"/>
          <w:sz w:val="21"/>
        </w:rPr>
        <w:t>c</w:t>
      </w:r>
      <w:r>
        <w:rPr>
          <w:w w:val="100"/>
          <w:sz w:val="21"/>
        </w:rPr>
        <w:t>l</w:t>
      </w:r>
      <w:r>
        <w:rPr>
          <w:w w:val="100"/>
          <w:sz w:val="21"/>
        </w:rPr>
        <w:t>ara</w:t>
      </w:r>
      <w:r>
        <w:rPr>
          <w:spacing w:val="-2"/>
          <w:w w:val="100"/>
          <w:sz w:val="21"/>
        </w:rPr>
        <w:t>t</w:t>
      </w:r>
      <w:r>
        <w:rPr>
          <w:spacing w:val="-2"/>
          <w:w w:val="100"/>
          <w:sz w:val="21"/>
        </w:rPr>
        <w:t>i</w:t>
      </w:r>
      <w:r>
        <w:rPr>
          <w:w w:val="100"/>
          <w:sz w:val="21"/>
        </w:rPr>
        <w:t>on</w:t>
      </w:r>
      <w:r>
        <w:rPr>
          <w:spacing w:val="23"/>
          <w:sz w:val="21"/>
        </w:rPr>
        <w:t> </w:t>
      </w:r>
      <w:r>
        <w:rPr>
          <w:spacing w:val="-2"/>
          <w:w w:val="100"/>
          <w:sz w:val="21"/>
        </w:rPr>
        <w:t>t</w:t>
      </w:r>
      <w:r>
        <w:rPr>
          <w:w w:val="100"/>
          <w:sz w:val="21"/>
        </w:rPr>
        <w:t>o</w:t>
      </w:r>
      <w:r>
        <w:rPr>
          <w:spacing w:val="20"/>
          <w:sz w:val="21"/>
        </w:rPr>
        <w:t> </w:t>
      </w:r>
      <w:r>
        <w:rPr>
          <w:spacing w:val="-2"/>
          <w:w w:val="100"/>
          <w:sz w:val="21"/>
        </w:rPr>
        <w:t>t</w:t>
      </w:r>
      <w:r>
        <w:rPr>
          <w:w w:val="100"/>
          <w:sz w:val="21"/>
        </w:rPr>
        <w:t>he</w:t>
      </w:r>
      <w:r>
        <w:rPr>
          <w:spacing w:val="20"/>
          <w:sz w:val="21"/>
        </w:rPr>
        <w:t> </w:t>
      </w:r>
      <w:r>
        <w:rPr>
          <w:spacing w:val="-3"/>
          <w:w w:val="100"/>
          <w:sz w:val="21"/>
        </w:rPr>
        <w:t>e</w:t>
      </w:r>
      <w:r>
        <w:rPr>
          <w:spacing w:val="1"/>
          <w:w w:val="100"/>
          <w:sz w:val="21"/>
        </w:rPr>
        <w:t>f</w:t>
      </w:r>
      <w:r>
        <w:rPr>
          <w:spacing w:val="-2"/>
          <w:w w:val="100"/>
          <w:sz w:val="21"/>
        </w:rPr>
        <w:t>f</w:t>
      </w:r>
      <w:r>
        <w:rPr>
          <w:w w:val="100"/>
          <w:sz w:val="21"/>
        </w:rPr>
        <w:t>e</w:t>
      </w:r>
      <w:r>
        <w:rPr>
          <w:spacing w:val="-3"/>
          <w:w w:val="100"/>
          <w:sz w:val="21"/>
        </w:rPr>
        <w:t>c</w:t>
      </w:r>
      <w:r>
        <w:rPr>
          <w:w w:val="100"/>
          <w:sz w:val="21"/>
        </w:rPr>
        <w:t>t</w:t>
      </w:r>
      <w:r>
        <w:rPr>
          <w:spacing w:val="21"/>
          <w:sz w:val="21"/>
        </w:rPr>
        <w:t> </w:t>
      </w:r>
      <w:r>
        <w:rPr>
          <w:spacing w:val="-2"/>
          <w:w w:val="100"/>
          <w:sz w:val="21"/>
        </w:rPr>
        <w:t>t</w:t>
      </w:r>
      <w:r>
        <w:rPr>
          <w:w w:val="100"/>
          <w:sz w:val="21"/>
        </w:rPr>
        <w:t>hat</w:t>
      </w:r>
      <w:r>
        <w:rPr>
          <w:spacing w:val="22"/>
          <w:sz w:val="21"/>
        </w:rPr>
        <w:t> </w:t>
      </w:r>
      <w:r>
        <w:rPr>
          <w:spacing w:val="-2"/>
          <w:w w:val="100"/>
          <w:sz w:val="21"/>
        </w:rPr>
        <w:t>t</w:t>
      </w:r>
      <w:r>
        <w:rPr>
          <w:w w:val="100"/>
          <w:sz w:val="21"/>
        </w:rPr>
        <w:t>he</w:t>
      </w:r>
      <w:r>
        <w:rPr>
          <w:spacing w:val="21"/>
          <w:sz w:val="21"/>
        </w:rPr>
        <w:t> </w:t>
      </w:r>
      <w:r>
        <w:rPr>
          <w:w w:val="100"/>
          <w:sz w:val="21"/>
        </w:rPr>
        <w:t>pro</w:t>
      </w:r>
      <w:r>
        <w:rPr>
          <w:spacing w:val="-3"/>
          <w:w w:val="100"/>
          <w:sz w:val="21"/>
        </w:rPr>
        <w:t>p</w:t>
      </w:r>
      <w:r>
        <w:rPr>
          <w:w w:val="100"/>
          <w:sz w:val="21"/>
        </w:rPr>
        <w:t>er</w:t>
      </w:r>
      <w:r>
        <w:rPr>
          <w:spacing w:val="-2"/>
          <w:w w:val="100"/>
          <w:sz w:val="21"/>
        </w:rPr>
        <w:t>t</w:t>
      </w:r>
      <w:r>
        <w:rPr>
          <w:w w:val="100"/>
          <w:sz w:val="21"/>
        </w:rPr>
        <w:t>y</w:t>
      </w:r>
      <w:r>
        <w:rPr>
          <w:spacing w:val="20"/>
          <w:sz w:val="21"/>
        </w:rPr>
        <w:t> </w:t>
      </w:r>
      <w:r>
        <w:rPr>
          <w:w w:val="100"/>
          <w:sz w:val="21"/>
        </w:rPr>
        <w:t>i</w:t>
      </w:r>
      <w:r>
        <w:rPr>
          <w:w w:val="100"/>
          <w:sz w:val="21"/>
        </w:rPr>
        <w:t>n</w:t>
      </w:r>
      <w:r>
        <w:rPr>
          <w:spacing w:val="-3"/>
          <w:w w:val="100"/>
          <w:sz w:val="21"/>
        </w:rPr>
        <w:t>d</w:t>
      </w:r>
      <w:r>
        <w:rPr>
          <w:w w:val="100"/>
          <w:sz w:val="21"/>
        </w:rPr>
        <w:t>i</w:t>
      </w:r>
      <w:r>
        <w:rPr>
          <w:w w:val="100"/>
          <w:sz w:val="21"/>
        </w:rPr>
        <w:t>ca</w:t>
      </w:r>
      <w:r>
        <w:rPr>
          <w:spacing w:val="-4"/>
          <w:w w:val="100"/>
          <w:sz w:val="21"/>
        </w:rPr>
        <w:t>t</w:t>
      </w:r>
      <w:r>
        <w:rPr>
          <w:w w:val="100"/>
          <w:sz w:val="21"/>
        </w:rPr>
        <w:t>ed </w:t>
      </w:r>
      <w:r>
        <w:rPr>
          <w:sz w:val="21"/>
        </w:rPr>
        <w:t>by letters A B C D in the sketch map attached to the plaint is </w:t>
      </w:r>
      <w:r>
        <w:rPr>
          <w:spacing w:val="-1"/>
          <w:w w:val="100"/>
          <w:sz w:val="21"/>
        </w:rPr>
        <w:t>pu</w:t>
      </w:r>
      <w:r>
        <w:rPr>
          <w:spacing w:val="-2"/>
          <w:w w:val="100"/>
          <w:sz w:val="21"/>
        </w:rPr>
        <w:t>b</w:t>
      </w:r>
      <w:r>
        <w:rPr>
          <w:w w:val="100"/>
          <w:sz w:val="21"/>
        </w:rPr>
        <w:t>lic</w:t>
      </w:r>
      <w:r>
        <w:rPr>
          <w:sz w:val="21"/>
        </w:rPr>
        <w:t> </w:t>
      </w:r>
      <w:r>
        <w:rPr>
          <w:spacing w:val="-21"/>
          <w:sz w:val="21"/>
        </w:rPr>
        <w:t> </w:t>
      </w:r>
      <w:r>
        <w:rPr>
          <w:spacing w:val="1"/>
          <w:w w:val="100"/>
          <w:sz w:val="21"/>
        </w:rPr>
        <w:t>m</w:t>
      </w:r>
      <w:r>
        <w:rPr>
          <w:spacing w:val="-3"/>
          <w:w w:val="100"/>
          <w:sz w:val="21"/>
        </w:rPr>
        <w:t>o</w:t>
      </w:r>
      <w:r>
        <w:rPr>
          <w:w w:val="100"/>
          <w:sz w:val="21"/>
        </w:rPr>
        <w:t>sq</w:t>
      </w:r>
      <w:r>
        <w:rPr>
          <w:spacing w:val="-3"/>
          <w:w w:val="100"/>
          <w:sz w:val="21"/>
        </w:rPr>
        <w:t>u</w:t>
      </w:r>
      <w:r>
        <w:rPr>
          <w:w w:val="100"/>
          <w:sz w:val="21"/>
        </w:rPr>
        <w:t>e</w:t>
      </w:r>
      <w:r>
        <w:rPr>
          <w:sz w:val="21"/>
        </w:rPr>
        <w:t> </w:t>
      </w:r>
      <w:r>
        <w:rPr>
          <w:spacing w:val="-19"/>
          <w:sz w:val="21"/>
        </w:rPr>
        <w:t> </w:t>
      </w:r>
      <w:r>
        <w:rPr>
          <w:w w:val="100"/>
          <w:sz w:val="21"/>
        </w:rPr>
        <w:t>c</w:t>
      </w:r>
      <w:r>
        <w:rPr>
          <w:spacing w:val="-3"/>
          <w:w w:val="100"/>
          <w:sz w:val="21"/>
        </w:rPr>
        <w:t>o</w:t>
      </w:r>
      <w:r>
        <w:rPr>
          <w:spacing w:val="-1"/>
          <w:w w:val="100"/>
          <w:sz w:val="21"/>
        </w:rPr>
        <w:t>mmon</w:t>
      </w:r>
      <w:r>
        <w:rPr>
          <w:spacing w:val="1"/>
          <w:w w:val="100"/>
          <w:sz w:val="21"/>
        </w:rPr>
        <w:t>l</w:t>
      </w:r>
      <w:r>
        <w:rPr>
          <w:w w:val="100"/>
          <w:sz w:val="21"/>
        </w:rPr>
        <w:t>y</w:t>
      </w:r>
      <w:r>
        <w:rPr>
          <w:sz w:val="21"/>
        </w:rPr>
        <w:t> </w:t>
      </w:r>
      <w:r>
        <w:rPr>
          <w:spacing w:val="-24"/>
          <w:sz w:val="21"/>
        </w:rPr>
        <w:t> </w:t>
      </w:r>
      <w:r>
        <w:rPr>
          <w:spacing w:val="2"/>
          <w:w w:val="100"/>
          <w:sz w:val="21"/>
        </w:rPr>
        <w:t>k</w:t>
      </w:r>
      <w:r>
        <w:rPr>
          <w:spacing w:val="-3"/>
          <w:w w:val="100"/>
          <w:sz w:val="21"/>
        </w:rPr>
        <w:t>n</w:t>
      </w:r>
      <w:r>
        <w:rPr>
          <w:spacing w:val="-1"/>
          <w:w w:val="100"/>
          <w:sz w:val="21"/>
        </w:rPr>
        <w:t>o</w:t>
      </w:r>
      <w:r>
        <w:rPr>
          <w:spacing w:val="-2"/>
          <w:w w:val="100"/>
          <w:sz w:val="21"/>
        </w:rPr>
        <w:t>w</w:t>
      </w:r>
      <w:r>
        <w:rPr>
          <w:w w:val="100"/>
          <w:sz w:val="21"/>
        </w:rPr>
        <w:t>n</w:t>
      </w:r>
      <w:r>
        <w:rPr>
          <w:sz w:val="21"/>
        </w:rPr>
        <w:t> </w:t>
      </w:r>
      <w:r>
        <w:rPr>
          <w:spacing w:val="-19"/>
          <w:sz w:val="21"/>
        </w:rPr>
        <w:t> </w:t>
      </w:r>
      <w:r>
        <w:rPr>
          <w:spacing w:val="-1"/>
          <w:w w:val="100"/>
          <w:sz w:val="21"/>
        </w:rPr>
        <w:t>a</w:t>
      </w:r>
      <w:r>
        <w:rPr>
          <w:w w:val="100"/>
          <w:sz w:val="21"/>
        </w:rPr>
        <w:t>s</w:t>
      </w:r>
      <w:r>
        <w:rPr>
          <w:sz w:val="21"/>
        </w:rPr>
        <w:t> </w:t>
      </w:r>
      <w:r>
        <w:rPr>
          <w:spacing w:val="-19"/>
          <w:sz w:val="21"/>
        </w:rPr>
        <w:t> </w:t>
      </w:r>
      <w:r>
        <w:rPr>
          <w:spacing w:val="-2"/>
          <w:w w:val="40"/>
          <w:sz w:val="21"/>
        </w:rPr>
        <w:t>‗</w:t>
      </w:r>
      <w:r>
        <w:rPr>
          <w:w w:val="100"/>
          <w:sz w:val="21"/>
        </w:rPr>
        <w:t>B</w:t>
      </w:r>
      <w:r>
        <w:rPr>
          <w:spacing w:val="-1"/>
          <w:w w:val="100"/>
          <w:sz w:val="21"/>
        </w:rPr>
        <w:t>ab</w:t>
      </w:r>
      <w:r>
        <w:rPr>
          <w:spacing w:val="-3"/>
          <w:w w:val="100"/>
          <w:sz w:val="21"/>
        </w:rPr>
        <w:t>r</w:t>
      </w:r>
      <w:r>
        <w:rPr>
          <w:w w:val="100"/>
          <w:sz w:val="21"/>
        </w:rPr>
        <w:t>i</w:t>
      </w:r>
      <w:r>
        <w:rPr>
          <w:sz w:val="21"/>
        </w:rPr>
        <w:t> </w:t>
      </w:r>
      <w:r>
        <w:rPr>
          <w:spacing w:val="-18"/>
          <w:sz w:val="21"/>
        </w:rPr>
        <w:t> </w:t>
      </w:r>
      <w:r>
        <w:rPr>
          <w:spacing w:val="-1"/>
          <w:w w:val="100"/>
          <w:sz w:val="21"/>
        </w:rPr>
        <w:t>Ma</w:t>
      </w:r>
      <w:r>
        <w:rPr>
          <w:spacing w:val="-3"/>
          <w:w w:val="100"/>
          <w:sz w:val="21"/>
        </w:rPr>
        <w:t>s</w:t>
      </w:r>
      <w:r>
        <w:rPr>
          <w:w w:val="100"/>
          <w:sz w:val="21"/>
        </w:rPr>
        <w:t>j</w:t>
      </w:r>
      <w:r>
        <w:rPr>
          <w:spacing w:val="-2"/>
          <w:w w:val="100"/>
          <w:sz w:val="21"/>
        </w:rPr>
        <w:t>i</w:t>
      </w:r>
      <w:r>
        <w:rPr>
          <w:spacing w:val="-1"/>
          <w:w w:val="100"/>
          <w:sz w:val="21"/>
        </w:rPr>
        <w:t>d</w:t>
      </w:r>
      <w:r>
        <w:rPr>
          <w:w w:val="100"/>
          <w:sz w:val="21"/>
        </w:rPr>
        <w:t>‘</w:t>
      </w:r>
      <w:r>
        <w:rPr>
          <w:sz w:val="21"/>
        </w:rPr>
        <w:t> </w:t>
      </w:r>
      <w:r>
        <w:rPr>
          <w:spacing w:val="-20"/>
          <w:sz w:val="21"/>
        </w:rPr>
        <w:t> </w:t>
      </w:r>
      <w:r>
        <w:rPr>
          <w:spacing w:val="-1"/>
          <w:w w:val="100"/>
          <w:sz w:val="21"/>
        </w:rPr>
        <w:t>an</w:t>
      </w:r>
      <w:r>
        <w:rPr>
          <w:w w:val="100"/>
          <w:sz w:val="21"/>
        </w:rPr>
        <w:t>d</w:t>
      </w:r>
      <w:r>
        <w:rPr>
          <w:sz w:val="21"/>
        </w:rPr>
        <w:t> </w:t>
      </w:r>
      <w:r>
        <w:rPr>
          <w:spacing w:val="-19"/>
          <w:sz w:val="21"/>
        </w:rPr>
        <w:t> </w:t>
      </w:r>
      <w:r>
        <w:rPr>
          <w:spacing w:val="-2"/>
          <w:w w:val="100"/>
          <w:sz w:val="21"/>
        </w:rPr>
        <w:t>t</w:t>
      </w:r>
      <w:r>
        <w:rPr>
          <w:spacing w:val="-1"/>
          <w:w w:val="100"/>
          <w:sz w:val="21"/>
        </w:rPr>
        <w:t>hat</w:t>
      </w:r>
    </w:p>
    <w:p>
      <w:pPr>
        <w:spacing w:after="0" w:line="276" w:lineRule="auto"/>
        <w:jc w:val="both"/>
        <w:rPr>
          <w:sz w:val="21"/>
        </w:rPr>
        <w:sectPr>
          <w:headerReference w:type="default" r:id="rId174"/>
          <w:footerReference w:type="default" r:id="rId175"/>
          <w:pgSz w:w="11910" w:h="16840"/>
          <w:pgMar w:header="721" w:footer="1014" w:top="1300" w:bottom="1200" w:left="940" w:right="1000"/>
          <w:pgNumType w:start="706"/>
        </w:sectPr>
      </w:pPr>
    </w:p>
    <w:p>
      <w:pPr>
        <w:spacing w:line="276" w:lineRule="auto" w:before="122"/>
        <w:ind w:left="1940" w:right="2257" w:firstLine="0"/>
        <w:jc w:val="both"/>
        <w:rPr>
          <w:sz w:val="21"/>
        </w:rPr>
      </w:pPr>
      <w:r>
        <w:rPr>
          <w:sz w:val="21"/>
        </w:rPr>
        <w:t>the land adjoining the mosque shown in the sketch map by letters E F G H is a public Muslim graveyard as specified in para 2 of the plaint may be decreed.</w:t>
      </w:r>
    </w:p>
    <w:p>
      <w:pPr>
        <w:pStyle w:val="BodyText"/>
        <w:spacing w:before="3"/>
        <w:rPr>
          <w:sz w:val="24"/>
        </w:rPr>
      </w:pPr>
    </w:p>
    <w:p>
      <w:pPr>
        <w:spacing w:line="276" w:lineRule="auto" w:before="0"/>
        <w:ind w:left="1940" w:right="2253" w:firstLine="0"/>
        <w:jc w:val="both"/>
        <w:rPr>
          <w:sz w:val="21"/>
        </w:rPr>
      </w:pPr>
      <w:r>
        <w:rPr>
          <w:sz w:val="21"/>
        </w:rPr>
        <w:t>(b) That in case in the opinion of the Court delivery of possession is deemed to be the proper remedy, a decree for delivery of possession of the mosque and graveyard in suit by removal of the idols and other articles which the Hindus may have placed in the mosque as objects of their worship be passed in plaintiff‘s favour, against the defendants.</w:t>
      </w:r>
    </w:p>
    <w:p>
      <w:pPr>
        <w:pStyle w:val="BodyText"/>
        <w:spacing w:before="1"/>
        <w:rPr>
          <w:sz w:val="24"/>
        </w:rPr>
      </w:pPr>
    </w:p>
    <w:p>
      <w:pPr>
        <w:spacing w:line="276" w:lineRule="auto" w:before="1"/>
        <w:ind w:left="1940" w:right="2256" w:firstLine="0"/>
        <w:jc w:val="both"/>
        <w:rPr>
          <w:sz w:val="21"/>
        </w:rPr>
      </w:pPr>
      <w:r>
        <w:rPr>
          <w:sz w:val="21"/>
        </w:rPr>
        <w:t>(bb) That the statutory Receiver be commanded to hand over </w:t>
      </w:r>
      <w:r>
        <w:rPr>
          <w:spacing w:val="-2"/>
          <w:w w:val="100"/>
          <w:sz w:val="21"/>
        </w:rPr>
        <w:t>t</w:t>
      </w:r>
      <w:r>
        <w:rPr>
          <w:spacing w:val="-1"/>
          <w:w w:val="100"/>
          <w:sz w:val="21"/>
        </w:rPr>
        <w:t>h</w:t>
      </w:r>
      <w:r>
        <w:rPr>
          <w:w w:val="100"/>
          <w:sz w:val="21"/>
        </w:rPr>
        <w:t>e</w:t>
      </w:r>
      <w:r>
        <w:rPr>
          <w:sz w:val="21"/>
        </w:rPr>
        <w:t> </w:t>
      </w:r>
      <w:r>
        <w:rPr>
          <w:spacing w:val="-26"/>
          <w:sz w:val="21"/>
        </w:rPr>
        <w:t> </w:t>
      </w:r>
      <w:r>
        <w:rPr>
          <w:spacing w:val="-1"/>
          <w:w w:val="100"/>
          <w:sz w:val="21"/>
        </w:rPr>
        <w:t>proper</w:t>
      </w:r>
      <w:r>
        <w:rPr>
          <w:spacing w:val="-2"/>
          <w:w w:val="100"/>
          <w:sz w:val="21"/>
        </w:rPr>
        <w:t>t</w:t>
      </w:r>
      <w:r>
        <w:rPr>
          <w:w w:val="100"/>
          <w:sz w:val="21"/>
        </w:rPr>
        <w:t>y</w:t>
      </w:r>
      <w:r>
        <w:rPr>
          <w:sz w:val="21"/>
        </w:rPr>
        <w:t> </w:t>
      </w:r>
      <w:r>
        <w:rPr>
          <w:spacing w:val="-28"/>
          <w:sz w:val="21"/>
        </w:rPr>
        <w:t> </w:t>
      </w:r>
      <w:r>
        <w:rPr>
          <w:w w:val="100"/>
          <w:sz w:val="21"/>
        </w:rPr>
        <w:t>in</w:t>
      </w:r>
      <w:r>
        <w:rPr>
          <w:sz w:val="21"/>
        </w:rPr>
        <w:t> </w:t>
      </w:r>
      <w:r>
        <w:rPr>
          <w:spacing w:val="-26"/>
          <w:sz w:val="21"/>
        </w:rPr>
        <w:t> </w:t>
      </w:r>
      <w:r>
        <w:rPr>
          <w:spacing w:val="-1"/>
          <w:w w:val="100"/>
          <w:sz w:val="21"/>
        </w:rPr>
        <w:t>d</w:t>
      </w:r>
      <w:r>
        <w:rPr>
          <w:spacing w:val="1"/>
          <w:w w:val="100"/>
          <w:sz w:val="21"/>
        </w:rPr>
        <w:t>i</w:t>
      </w:r>
      <w:r>
        <w:rPr>
          <w:spacing w:val="-3"/>
          <w:w w:val="100"/>
          <w:sz w:val="21"/>
        </w:rPr>
        <w:t>s</w:t>
      </w:r>
      <w:r>
        <w:rPr>
          <w:spacing w:val="-1"/>
          <w:w w:val="100"/>
          <w:sz w:val="21"/>
        </w:rPr>
        <w:t>put</w:t>
      </w:r>
      <w:r>
        <w:rPr>
          <w:w w:val="100"/>
          <w:sz w:val="21"/>
        </w:rPr>
        <w:t>e</w:t>
      </w:r>
      <w:r>
        <w:rPr>
          <w:sz w:val="21"/>
        </w:rPr>
        <w:t> </w:t>
      </w:r>
      <w:r>
        <w:rPr>
          <w:spacing w:val="-26"/>
          <w:sz w:val="21"/>
        </w:rPr>
        <w:t> </w:t>
      </w:r>
      <w:r>
        <w:rPr>
          <w:spacing w:val="-3"/>
          <w:w w:val="100"/>
          <w:sz w:val="21"/>
        </w:rPr>
        <w:t>d</w:t>
      </w:r>
      <w:r>
        <w:rPr>
          <w:spacing w:val="-1"/>
          <w:w w:val="100"/>
          <w:sz w:val="21"/>
        </w:rPr>
        <w:t>escr</w:t>
      </w:r>
      <w:r>
        <w:rPr>
          <w:spacing w:val="-2"/>
          <w:w w:val="100"/>
          <w:sz w:val="21"/>
        </w:rPr>
        <w:t>i</w:t>
      </w:r>
      <w:r>
        <w:rPr>
          <w:spacing w:val="-1"/>
          <w:w w:val="100"/>
          <w:sz w:val="21"/>
        </w:rPr>
        <w:t>be</w:t>
      </w:r>
      <w:r>
        <w:rPr>
          <w:w w:val="100"/>
          <w:sz w:val="21"/>
        </w:rPr>
        <w:t>d</w:t>
      </w:r>
      <w:r>
        <w:rPr>
          <w:sz w:val="21"/>
        </w:rPr>
        <w:t> </w:t>
      </w:r>
      <w:r>
        <w:rPr>
          <w:spacing w:val="-26"/>
          <w:sz w:val="21"/>
        </w:rPr>
        <w:t> </w:t>
      </w:r>
      <w:r>
        <w:rPr>
          <w:spacing w:val="-2"/>
          <w:w w:val="100"/>
          <w:sz w:val="21"/>
        </w:rPr>
        <w:t>i</w:t>
      </w:r>
      <w:r>
        <w:rPr>
          <w:w w:val="100"/>
          <w:sz w:val="21"/>
        </w:rPr>
        <w:t>n</w:t>
      </w:r>
      <w:r>
        <w:rPr>
          <w:sz w:val="21"/>
        </w:rPr>
        <w:t> </w:t>
      </w:r>
      <w:r>
        <w:rPr>
          <w:spacing w:val="-26"/>
          <w:sz w:val="21"/>
        </w:rPr>
        <w:t> </w:t>
      </w:r>
      <w:r>
        <w:rPr>
          <w:spacing w:val="-2"/>
          <w:w w:val="100"/>
          <w:sz w:val="21"/>
        </w:rPr>
        <w:t>t</w:t>
      </w:r>
      <w:r>
        <w:rPr>
          <w:spacing w:val="-1"/>
          <w:w w:val="100"/>
          <w:sz w:val="21"/>
        </w:rPr>
        <w:t>h</w:t>
      </w:r>
      <w:r>
        <w:rPr>
          <w:w w:val="100"/>
          <w:sz w:val="21"/>
        </w:rPr>
        <w:t>e</w:t>
      </w:r>
      <w:r>
        <w:rPr>
          <w:sz w:val="21"/>
        </w:rPr>
        <w:t> </w:t>
      </w:r>
      <w:r>
        <w:rPr>
          <w:spacing w:val="-26"/>
          <w:sz w:val="21"/>
        </w:rPr>
        <w:t> </w:t>
      </w:r>
      <w:r>
        <w:rPr>
          <w:w w:val="100"/>
          <w:sz w:val="21"/>
        </w:rPr>
        <w:t>S</w:t>
      </w:r>
      <w:r>
        <w:rPr>
          <w:spacing w:val="-3"/>
          <w:w w:val="100"/>
          <w:sz w:val="21"/>
        </w:rPr>
        <w:t>c</w:t>
      </w:r>
      <w:r>
        <w:rPr>
          <w:spacing w:val="-1"/>
          <w:w w:val="100"/>
          <w:sz w:val="21"/>
        </w:rPr>
        <w:t>he</w:t>
      </w:r>
      <w:r>
        <w:rPr>
          <w:spacing w:val="-2"/>
          <w:w w:val="100"/>
          <w:sz w:val="21"/>
        </w:rPr>
        <w:t>d</w:t>
      </w:r>
      <w:r>
        <w:rPr>
          <w:spacing w:val="-1"/>
          <w:w w:val="100"/>
          <w:sz w:val="21"/>
        </w:rPr>
        <w:t>u</w:t>
      </w:r>
      <w:r>
        <w:rPr>
          <w:spacing w:val="1"/>
          <w:w w:val="100"/>
          <w:sz w:val="21"/>
        </w:rPr>
        <w:t>l</w:t>
      </w:r>
      <w:r>
        <w:rPr>
          <w:w w:val="100"/>
          <w:sz w:val="21"/>
        </w:rPr>
        <w:t>e</w:t>
      </w:r>
      <w:r>
        <w:rPr>
          <w:sz w:val="21"/>
        </w:rPr>
        <w:t> </w:t>
      </w:r>
      <w:r>
        <w:rPr>
          <w:spacing w:val="-29"/>
          <w:sz w:val="21"/>
        </w:rPr>
        <w:t> </w:t>
      </w:r>
      <w:r>
        <w:rPr>
          <w:w w:val="40"/>
          <w:sz w:val="21"/>
        </w:rPr>
        <w:t>‗</w:t>
      </w:r>
      <w:r>
        <w:rPr>
          <w:w w:val="100"/>
          <w:sz w:val="21"/>
        </w:rPr>
        <w:t>A‘</w:t>
      </w:r>
      <w:r>
        <w:rPr>
          <w:sz w:val="21"/>
        </w:rPr>
        <w:t> </w:t>
      </w:r>
      <w:r>
        <w:rPr>
          <w:spacing w:val="-25"/>
          <w:sz w:val="21"/>
        </w:rPr>
        <w:t> </w:t>
      </w:r>
      <w:r>
        <w:rPr>
          <w:spacing w:val="-3"/>
          <w:w w:val="100"/>
          <w:sz w:val="21"/>
        </w:rPr>
        <w:t>o</w:t>
      </w:r>
      <w:r>
        <w:rPr>
          <w:w w:val="100"/>
          <w:sz w:val="21"/>
        </w:rPr>
        <w:t>f</w:t>
      </w:r>
      <w:r>
        <w:rPr>
          <w:sz w:val="21"/>
        </w:rPr>
        <w:t> </w:t>
      </w:r>
      <w:r>
        <w:rPr>
          <w:spacing w:val="-25"/>
          <w:sz w:val="21"/>
        </w:rPr>
        <w:t> </w:t>
      </w:r>
      <w:r>
        <w:rPr>
          <w:spacing w:val="-2"/>
          <w:w w:val="100"/>
          <w:sz w:val="21"/>
        </w:rPr>
        <w:t>t</w:t>
      </w:r>
      <w:r>
        <w:rPr>
          <w:spacing w:val="-1"/>
          <w:w w:val="100"/>
          <w:sz w:val="21"/>
        </w:rPr>
        <w:t>he </w:t>
      </w:r>
      <w:r>
        <w:rPr>
          <w:sz w:val="21"/>
        </w:rPr>
        <w:t>Plaint by removing the unauthorised structures erected thereon.‖</w:t>
      </w:r>
    </w:p>
    <w:p>
      <w:pPr>
        <w:pStyle w:val="BodyText"/>
        <w:rPr>
          <w:sz w:val="24"/>
        </w:rPr>
      </w:pPr>
    </w:p>
    <w:p>
      <w:pPr>
        <w:pStyle w:val="BodyText"/>
        <w:rPr>
          <w:sz w:val="24"/>
        </w:rPr>
      </w:pPr>
    </w:p>
    <w:p>
      <w:pPr>
        <w:pStyle w:val="BodyText"/>
        <w:rPr>
          <w:sz w:val="27"/>
        </w:rPr>
      </w:pPr>
    </w:p>
    <w:p>
      <w:pPr>
        <w:pStyle w:val="BodyText"/>
        <w:spacing w:line="480" w:lineRule="auto" w:before="1"/>
        <w:ind w:left="500" w:right="437"/>
        <w:jc w:val="both"/>
      </w:pPr>
      <w:r>
        <w:rPr/>
        <w:t>[Note: Prayer (bb) was inserted by an amendment to the plaint pursuant to the order of the High Court dated 25 May 1995].</w:t>
      </w:r>
    </w:p>
    <w:p>
      <w:pPr>
        <w:pStyle w:val="BodyText"/>
      </w:pPr>
    </w:p>
    <w:p>
      <w:pPr>
        <w:pStyle w:val="BodyText"/>
        <w:spacing w:line="480" w:lineRule="auto"/>
        <w:ind w:left="500" w:right="440"/>
        <w:jc w:val="both"/>
      </w:pPr>
      <w:r>
        <w:rPr/>
        <w:t>The suit is based on the averment that in Ayodhya, there is an ancient historic mosque known commonly as Babri Masjid which was constructed by Babur more than 433 years ago following his conquest of India and the occupation of its territories. It has been averred that the mosque was built for the use of the Muslims in general as a place of worship and for the performance of religious ceremonies. The main construction of the mosque is depicted by the letters A B C D on the plan annexed to the plaint. Adjoining the land is a graveyard. According to the plaintiffs, both the mosque and the graveyard vest in the Almighty and since the construction of the mosque, it has been used by the Muslims for offering prayers while the graveyard has been used for burial. It has been averred that a cash grant was paid from the royal treasury for the upkeep and maintenance of the mosque, which was continued by the Nawab Wazir of Oudh. After the annexation of Oudh, the British Government continued the</w:t>
      </w:r>
      <w:r>
        <w:rPr>
          <w:spacing w:val="49"/>
        </w:rPr>
        <w:t> </w:t>
      </w:r>
      <w:r>
        <w:rPr/>
        <w:t>‗cash</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4"/>
        <w:jc w:val="both"/>
      </w:pPr>
      <w:r>
        <w:rPr/>
        <w:t>nankar‘ until 1864 by revenue free grants in the villages of Sholapur and Bahoranpur in the vicinity of Ayodhya.</w:t>
      </w:r>
    </w:p>
    <w:p>
      <w:pPr>
        <w:pStyle w:val="BodyText"/>
        <w:spacing w:before="11"/>
        <w:rPr>
          <w:sz w:val="38"/>
        </w:rPr>
      </w:pPr>
    </w:p>
    <w:p>
      <w:pPr>
        <w:pStyle w:val="ListParagraph"/>
        <w:numPr>
          <w:ilvl w:val="0"/>
          <w:numId w:val="166"/>
        </w:numPr>
        <w:tabs>
          <w:tab w:pos="1221" w:val="left" w:leader="none"/>
        </w:tabs>
        <w:spacing w:line="480" w:lineRule="auto" w:before="0" w:after="0"/>
        <w:ind w:left="500" w:right="440" w:firstLine="0"/>
        <w:jc w:val="both"/>
        <w:rPr>
          <w:sz w:val="25"/>
        </w:rPr>
      </w:pPr>
      <w:r>
        <w:rPr>
          <w:sz w:val="25"/>
        </w:rPr>
        <w:t>The plaint alleged that outside the main building of the mosque, Hindu worship was being conducted at a Chabutra admeasuring 17 x 21 feet on which there was a small wooden structure in the form of a tent. The plaint contains a recital of the Suit of 1885 instituted by Mahant Raghubar Das for permission to build a temple on the Chabutra together with a reference to the dismissal of the suit. According to the plaintiffs, Mahant Raghubar Das sued on behalf of himself, the Janmasthan and the whole body of persons interested in it. The Mutawalli of Babri Masjid was made a</w:t>
      </w:r>
      <w:r>
        <w:rPr>
          <w:spacing w:val="-2"/>
          <w:sz w:val="25"/>
        </w:rPr>
        <w:t> </w:t>
      </w:r>
      <w:r>
        <w:rPr>
          <w:sz w:val="25"/>
        </w:rPr>
        <w:t>defendant.</w:t>
      </w:r>
    </w:p>
    <w:p>
      <w:pPr>
        <w:pStyle w:val="BodyText"/>
        <w:rPr>
          <w:sz w:val="39"/>
        </w:rPr>
      </w:pPr>
    </w:p>
    <w:p>
      <w:pPr>
        <w:pStyle w:val="BodyText"/>
        <w:spacing w:line="480" w:lineRule="auto"/>
        <w:ind w:left="500" w:right="435"/>
        <w:jc w:val="both"/>
      </w:pPr>
      <w:r>
        <w:rPr/>
        <w:t>According to the plaintiffs, the decision in the suit operates as </w:t>
      </w:r>
      <w:r>
        <w:rPr>
          <w:i/>
        </w:rPr>
        <w:t>res judicata </w:t>
      </w:r>
      <w:r>
        <w:rPr/>
        <w:t>on the ground that the matter directly and substantially in issue was:</w:t>
      </w:r>
    </w:p>
    <w:p>
      <w:pPr>
        <w:pStyle w:val="ListParagraph"/>
        <w:numPr>
          <w:ilvl w:val="0"/>
          <w:numId w:val="192"/>
        </w:numPr>
        <w:tabs>
          <w:tab w:pos="1220" w:val="left" w:leader="none"/>
          <w:tab w:pos="1221" w:val="left" w:leader="none"/>
        </w:tabs>
        <w:spacing w:line="240" w:lineRule="auto" w:before="158" w:after="0"/>
        <w:ind w:left="1220" w:right="0" w:hanging="721"/>
        <w:jc w:val="left"/>
        <w:rPr>
          <w:sz w:val="25"/>
        </w:rPr>
      </w:pPr>
      <w:r>
        <w:rPr>
          <w:sz w:val="25"/>
        </w:rPr>
        <w:t>The existence of Babri Masjid;</w:t>
      </w:r>
      <w:r>
        <w:rPr>
          <w:spacing w:val="-1"/>
          <w:sz w:val="25"/>
        </w:rPr>
        <w:t> </w:t>
      </w:r>
      <w:r>
        <w:rPr>
          <w:sz w:val="25"/>
        </w:rPr>
        <w:t>and</w:t>
      </w:r>
    </w:p>
    <w:p>
      <w:pPr>
        <w:pStyle w:val="BodyText"/>
        <w:spacing w:before="1"/>
      </w:pPr>
    </w:p>
    <w:p>
      <w:pPr>
        <w:pStyle w:val="ListParagraph"/>
        <w:numPr>
          <w:ilvl w:val="0"/>
          <w:numId w:val="192"/>
        </w:numPr>
        <w:tabs>
          <w:tab w:pos="1220" w:val="left" w:leader="none"/>
          <w:tab w:pos="1221" w:val="left" w:leader="none"/>
        </w:tabs>
        <w:spacing w:line="240" w:lineRule="auto" w:before="0" w:after="0"/>
        <w:ind w:left="1220" w:right="0" w:hanging="721"/>
        <w:jc w:val="left"/>
        <w:rPr>
          <w:sz w:val="25"/>
        </w:rPr>
      </w:pPr>
      <w:r>
        <w:rPr>
          <w:sz w:val="25"/>
        </w:rPr>
        <w:t>The rights of Hindus to construct on the land adjoining the</w:t>
      </w:r>
      <w:r>
        <w:rPr>
          <w:spacing w:val="-10"/>
          <w:sz w:val="25"/>
        </w:rPr>
        <w:t> </w:t>
      </w:r>
      <w:r>
        <w:rPr>
          <w:sz w:val="25"/>
        </w:rPr>
        <w:t>mosque.</w:t>
      </w:r>
    </w:p>
    <w:p>
      <w:pPr>
        <w:pStyle w:val="BodyText"/>
        <w:rPr>
          <w:sz w:val="28"/>
        </w:rPr>
      </w:pPr>
    </w:p>
    <w:p>
      <w:pPr>
        <w:pStyle w:val="BodyText"/>
        <w:rPr>
          <w:sz w:val="28"/>
        </w:rPr>
      </w:pPr>
    </w:p>
    <w:p>
      <w:pPr>
        <w:pStyle w:val="BodyText"/>
        <w:spacing w:line="480" w:lineRule="auto" w:before="219"/>
        <w:ind w:left="500" w:right="440"/>
        <w:jc w:val="both"/>
      </w:pPr>
      <w:r>
        <w:rPr/>
        <w:t>The plaint contains a reference to the riots of 1934 and to the restoration of the portions of the mosque which were damaged, at the cost of the government. According to the plaintiffs, following the enactment of the UP Muslim Waqfs Act 1936, an enquiry was conducted by the Commissioner of Waqfs and the report of the Commissioner was published in the official gazette. The plaintiffs claimed that Muslims have been in peaceful possession of the mosque which was used for prayer until 23 December 1949 when a crowd of Hindus is alleged to have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9"/>
        <w:jc w:val="both"/>
      </w:pPr>
      <w:r>
        <w:rPr/>
        <w:t>entered the mosque and desecrated it by placing idols inside. According to the plaintiffs, assuming without admitting that there existed a Hindu temple as alleged by the defendants on the site of which the mosque was built 433 years ago by Emperor Babur, the Muslims by virtue of their long, exclusive and continuous possession commencing from the construction of the mosque and ensuing until its desecration, perfected their title by adverse possession. The plaint then proceeds to make a reference to the proceedings under Section 145 and to the institution of civil suits before the Civil Judge at Faizabad. As a result of the order of injunction in Suit 2 of 1950, Hindus have been permitted to perform puja of the idols placed within the mosque but Muslims have been prevented from entering. It has been averred that the suit has been instituted on behalf of the entire Muslim community together with an application under Order I Rule 8 of the</w:t>
      </w:r>
      <w:r>
        <w:rPr>
          <w:spacing w:val="-21"/>
        </w:rPr>
        <w:t> </w:t>
      </w:r>
      <w:r>
        <w:rPr/>
        <w:t>CPC.</w:t>
      </w:r>
    </w:p>
    <w:p>
      <w:pPr>
        <w:pStyle w:val="BodyText"/>
        <w:spacing w:before="1"/>
      </w:pPr>
    </w:p>
    <w:p>
      <w:pPr>
        <w:pStyle w:val="ListParagraph"/>
        <w:numPr>
          <w:ilvl w:val="0"/>
          <w:numId w:val="166"/>
        </w:numPr>
        <w:tabs>
          <w:tab w:pos="1221" w:val="left" w:leader="none"/>
        </w:tabs>
        <w:spacing w:line="480" w:lineRule="auto" w:before="1" w:after="0"/>
        <w:ind w:left="500" w:right="436" w:firstLine="0"/>
        <w:jc w:val="both"/>
        <w:rPr>
          <w:sz w:val="25"/>
        </w:rPr>
      </w:pPr>
      <w:r>
        <w:rPr>
          <w:sz w:val="25"/>
        </w:rPr>
        <w:t>It has been stated that the receiver who is in possession holds the property for the real owner and the plaintiffs would be entitled to possession if the suit succeeds. Alternatively, a plea for possession has also been made. The plaint was amended following the demolition of Babri Masjid to place subsequent facts and events on the record. According to the plaintiffs, a mosque does not require any particular structure and even after the demolition of the mosque, the land on which it stood continues to remain a mosque in which Muslims are entitled to offer  prayers.  The  plaint  adverts  to   the   acquisition   of   the   land   under  the Acquisition of Certain Areas of Ayodhya Act 1993.</w:t>
      </w:r>
    </w:p>
    <w:p>
      <w:pPr>
        <w:pStyle w:val="BodyText"/>
        <w:spacing w:before="9"/>
        <w:rPr>
          <w:sz w:val="38"/>
        </w:rPr>
      </w:pPr>
    </w:p>
    <w:p>
      <w:pPr>
        <w:pStyle w:val="BodyText"/>
        <w:spacing w:line="482" w:lineRule="auto" w:before="1"/>
        <w:ind w:left="500" w:right="443"/>
        <w:jc w:val="both"/>
      </w:pPr>
      <w:r>
        <w:rPr/>
        <w:t>According to the plaintiffs, the cause of action for the suit arose on 23 December 1949 when the Hindus are alleged to have wrongfully entered the mosque and</w:t>
      </w:r>
    </w:p>
    <w:p>
      <w:pPr>
        <w:spacing w:after="0" w:line="482" w:lineRule="auto"/>
        <w:jc w:val="both"/>
        <w:sectPr>
          <w:pgSz w:w="11910" w:h="16840"/>
          <w:pgMar w:header="721" w:footer="1014" w:top="1300" w:bottom="1200" w:left="940" w:right="1000"/>
        </w:sectPr>
      </w:pPr>
    </w:p>
    <w:p>
      <w:pPr>
        <w:pStyle w:val="BodyText"/>
        <w:spacing w:line="480" w:lineRule="auto" w:before="124"/>
        <w:ind w:left="500" w:right="439"/>
        <w:jc w:val="both"/>
      </w:pPr>
      <w:r>
        <w:rPr/>
        <w:t>desecrated it by placing idols inside the mosque. The injuries are claimed to be continuing in nature. As against the state, the cause of action is alleged to have arisen on 29 December 1949 when the property was attached by the City Magistrate who handed over possession to the receiver. The respondent assumed charge on 5 January 1950.</w:t>
      </w:r>
    </w:p>
    <w:p>
      <w:pPr>
        <w:pStyle w:val="BodyText"/>
      </w:pPr>
    </w:p>
    <w:p>
      <w:pPr>
        <w:pStyle w:val="BodyText"/>
        <w:spacing w:line="480" w:lineRule="auto" w:before="1"/>
        <w:ind w:left="500" w:right="444"/>
        <w:jc w:val="both"/>
      </w:pPr>
      <w:r>
        <w:rPr/>
        <w:t>The reliefs which have been claimed in the suit are based on the above averments. Essentially, the case of the plaintiffs proceeds on the plea that:</w:t>
      </w:r>
    </w:p>
    <w:p>
      <w:pPr>
        <w:pStyle w:val="ListParagraph"/>
        <w:numPr>
          <w:ilvl w:val="0"/>
          <w:numId w:val="193"/>
        </w:numPr>
        <w:tabs>
          <w:tab w:pos="1221" w:val="left" w:leader="none"/>
        </w:tabs>
        <w:spacing w:line="480" w:lineRule="auto" w:before="158" w:after="0"/>
        <w:ind w:left="1220" w:right="441" w:hanging="720"/>
        <w:jc w:val="both"/>
        <w:rPr>
          <w:sz w:val="25"/>
        </w:rPr>
      </w:pPr>
      <w:r>
        <w:rPr>
          <w:sz w:val="25"/>
        </w:rPr>
        <w:t>The mosque was constructed by Babur 433 years prior to the suit as a place of public worship and has been continuously used by Muslims for offering prayers;</w:t>
      </w:r>
      <w:r>
        <w:rPr>
          <w:spacing w:val="-2"/>
          <w:sz w:val="25"/>
        </w:rPr>
        <w:t> </w:t>
      </w:r>
      <w:r>
        <w:rPr>
          <w:sz w:val="25"/>
        </w:rPr>
        <w:t>and</w:t>
      </w:r>
    </w:p>
    <w:p>
      <w:pPr>
        <w:pStyle w:val="ListParagraph"/>
        <w:numPr>
          <w:ilvl w:val="0"/>
          <w:numId w:val="193"/>
        </w:numPr>
        <w:tabs>
          <w:tab w:pos="1221" w:val="left" w:leader="none"/>
        </w:tabs>
        <w:spacing w:line="480" w:lineRule="auto" w:before="1" w:after="0"/>
        <w:ind w:left="1220" w:right="444" w:hanging="720"/>
        <w:jc w:val="both"/>
        <w:rPr>
          <w:sz w:val="25"/>
        </w:rPr>
      </w:pPr>
      <w:r>
        <w:rPr>
          <w:sz w:val="25"/>
        </w:rPr>
        <w:t>Even assuming that there was an underlying temple which was demolished to give way for the construction of the mosque, the Muslims have perfected their title by adverse possession. On this foundation, the plaintiffs claim a declaration of title and, in the event that such a prayer is required, a decree for</w:t>
      </w:r>
      <w:r>
        <w:rPr>
          <w:spacing w:val="-6"/>
          <w:sz w:val="25"/>
        </w:rPr>
        <w:t> </w:t>
      </w:r>
      <w:r>
        <w:rPr>
          <w:sz w:val="25"/>
        </w:rPr>
        <w:t>possession.</w:t>
      </w:r>
    </w:p>
    <w:p>
      <w:pPr>
        <w:pStyle w:val="BodyText"/>
        <w:rPr>
          <w:sz w:val="28"/>
        </w:rPr>
      </w:pPr>
    </w:p>
    <w:p>
      <w:pPr>
        <w:pStyle w:val="BodyText"/>
        <w:rPr>
          <w:sz w:val="23"/>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Suit 4 was instituted on 18 December 1961 by the Sunni Central Waqf Board and nine Muslims resdients of Ayodhya. Defendant no 1 in Suit 4 is Gopal Singh Visharad; defendant no 2 is Ram Chander Dass Param Hans; defendant no 3 is Nirmohi Akhara; defendant no 4 is Mahant Raghunath Das; defendant no 5 is the State of U.P.; defendant no 6 is the Collector, Faizabad; defendant no 7 is the City Magistrate, Faizabad; defendant no 8 is the Superintendent of Police of</w:t>
      </w:r>
      <w:r>
        <w:rPr>
          <w:spacing w:val="12"/>
          <w:sz w:val="25"/>
        </w:rPr>
        <w:t> </w:t>
      </w:r>
      <w:r>
        <w:rPr>
          <w:sz w:val="25"/>
        </w:rPr>
        <w:t>Faizabad;</w:t>
      </w:r>
      <w:r>
        <w:rPr>
          <w:spacing w:val="13"/>
          <w:sz w:val="25"/>
        </w:rPr>
        <w:t> </w:t>
      </w:r>
      <w:r>
        <w:rPr>
          <w:sz w:val="25"/>
        </w:rPr>
        <w:t>defendant</w:t>
      </w:r>
      <w:r>
        <w:rPr>
          <w:spacing w:val="13"/>
          <w:sz w:val="25"/>
        </w:rPr>
        <w:t> </w:t>
      </w:r>
      <w:r>
        <w:rPr>
          <w:sz w:val="25"/>
        </w:rPr>
        <w:t>no</w:t>
      </w:r>
      <w:r>
        <w:rPr>
          <w:spacing w:val="13"/>
          <w:sz w:val="25"/>
        </w:rPr>
        <w:t> </w:t>
      </w:r>
      <w:r>
        <w:rPr>
          <w:sz w:val="25"/>
        </w:rPr>
        <w:t>9</w:t>
      </w:r>
      <w:r>
        <w:rPr>
          <w:spacing w:val="13"/>
          <w:sz w:val="25"/>
        </w:rPr>
        <w:t> </w:t>
      </w:r>
      <w:r>
        <w:rPr>
          <w:sz w:val="25"/>
        </w:rPr>
        <w:t>is</w:t>
      </w:r>
      <w:r>
        <w:rPr>
          <w:spacing w:val="15"/>
          <w:sz w:val="25"/>
        </w:rPr>
        <w:t> </w:t>
      </w:r>
      <w:r>
        <w:rPr>
          <w:sz w:val="25"/>
        </w:rPr>
        <w:t>Priyadutt</w:t>
      </w:r>
      <w:r>
        <w:rPr>
          <w:spacing w:val="13"/>
          <w:sz w:val="25"/>
        </w:rPr>
        <w:t> </w:t>
      </w:r>
      <w:r>
        <w:rPr>
          <w:sz w:val="25"/>
        </w:rPr>
        <w:t>Ram;</w:t>
      </w:r>
      <w:r>
        <w:rPr>
          <w:spacing w:val="13"/>
          <w:sz w:val="25"/>
        </w:rPr>
        <w:t> </w:t>
      </w:r>
      <w:r>
        <w:rPr>
          <w:sz w:val="25"/>
        </w:rPr>
        <w:t>defendant</w:t>
      </w:r>
      <w:r>
        <w:rPr>
          <w:spacing w:val="13"/>
          <w:sz w:val="25"/>
        </w:rPr>
        <w:t> </w:t>
      </w:r>
      <w:r>
        <w:rPr>
          <w:sz w:val="25"/>
        </w:rPr>
        <w:t>no</w:t>
      </w:r>
      <w:r>
        <w:rPr>
          <w:spacing w:val="13"/>
          <w:sz w:val="25"/>
        </w:rPr>
        <w:t> </w:t>
      </w:r>
      <w:r>
        <w:rPr>
          <w:sz w:val="25"/>
        </w:rPr>
        <w:t>10</w:t>
      </w:r>
      <w:r>
        <w:rPr>
          <w:spacing w:val="13"/>
          <w:sz w:val="25"/>
        </w:rPr>
        <w:t> </w:t>
      </w:r>
      <w:r>
        <w:rPr>
          <w:sz w:val="25"/>
        </w:rPr>
        <w:t>is</w:t>
      </w:r>
      <w:r>
        <w:rPr>
          <w:spacing w:val="13"/>
          <w:sz w:val="25"/>
        </w:rPr>
        <w:t> </w:t>
      </w:r>
      <w:r>
        <w:rPr>
          <w:sz w:val="25"/>
        </w:rPr>
        <w:t>the</w:t>
      </w:r>
      <w:r>
        <w:rPr>
          <w:spacing w:val="14"/>
          <w:sz w:val="25"/>
        </w:rPr>
        <w:t> </w:t>
      </w:r>
      <w:r>
        <w:rPr>
          <w:sz w:val="25"/>
        </w:rPr>
        <w:t>President,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3"/>
        <w:jc w:val="both"/>
      </w:pPr>
      <w:r>
        <w:rPr/>
        <w:t>Akhil Bharat Hindu Mahasabha; defendant </w:t>
      </w:r>
      <w:r>
        <w:rPr>
          <w:spacing w:val="3"/>
        </w:rPr>
        <w:t>no </w:t>
      </w:r>
      <w:r>
        <w:rPr/>
        <w:t>13 is Dharam Das; defendant no 17 is Ramesh Chandra Tripathi; and defendant no 20 is Madan Mohan</w:t>
      </w:r>
      <w:r>
        <w:rPr>
          <w:spacing w:val="-17"/>
        </w:rPr>
        <w:t> </w:t>
      </w:r>
      <w:r>
        <w:rPr/>
        <w:t>Gupta.</w:t>
      </w:r>
    </w:p>
    <w:p>
      <w:pPr>
        <w:pStyle w:val="BodyText"/>
        <w:rPr>
          <w:sz w:val="28"/>
        </w:rPr>
      </w:pPr>
    </w:p>
    <w:p>
      <w:pPr>
        <w:pStyle w:val="BodyText"/>
        <w:spacing w:before="8"/>
        <w:rPr>
          <w:sz w:val="24"/>
        </w:rPr>
      </w:pPr>
    </w:p>
    <w:p>
      <w:pPr>
        <w:pStyle w:val="ListParagraph"/>
        <w:numPr>
          <w:ilvl w:val="0"/>
          <w:numId w:val="166"/>
        </w:numPr>
        <w:tabs>
          <w:tab w:pos="1221" w:val="left" w:leader="none"/>
        </w:tabs>
        <w:spacing w:line="480" w:lineRule="auto" w:before="1" w:after="0"/>
        <w:ind w:left="500" w:right="432" w:firstLine="0"/>
        <w:jc w:val="both"/>
        <w:rPr>
          <w:sz w:val="25"/>
        </w:rPr>
      </w:pPr>
      <w:r>
        <w:rPr>
          <w:sz w:val="25"/>
        </w:rPr>
        <w:t>Now with these principles in mind, it is necessary to carefully scrutinise the pleadings in Suit 4 in regard to the assertion of possession. The plea in paragraph 2 of the plaint is that the mosque has since the time of its construction by Babur been used by the Muslims for offering prayers and that the Muslims have been in the peaceful possession of the mosque in which prayers were recited till 23 December 1949. The alternate plea is that assuming (without admitting) that there existed a Hindu temple as alleged by the Hindus on the site on which the mosque was built, the Muslims by virtue of their long, exclusive and continuous possession beginning from the time when the mosque was built and continuing until it was desecrated (by the placing of idols) perfected their title by </w:t>
      </w:r>
      <w:r>
        <w:rPr>
          <w:spacing w:val="-1"/>
          <w:w w:val="99"/>
          <w:sz w:val="25"/>
        </w:rPr>
        <w:t>a</w:t>
      </w:r>
      <w:r>
        <w:rPr>
          <w:w w:val="99"/>
          <w:sz w:val="25"/>
        </w:rPr>
        <w:t>d</w:t>
      </w:r>
      <w:r>
        <w:rPr>
          <w:spacing w:val="-3"/>
          <w:w w:val="99"/>
          <w:sz w:val="25"/>
        </w:rPr>
        <w:t>v</w:t>
      </w:r>
      <w:r>
        <w:rPr>
          <w:spacing w:val="-1"/>
          <w:w w:val="99"/>
          <w:sz w:val="25"/>
        </w:rPr>
        <w:t>e</w:t>
      </w:r>
      <w:r>
        <w:rPr>
          <w:w w:val="99"/>
          <w:sz w:val="25"/>
        </w:rPr>
        <w:t>rse</w:t>
      </w:r>
      <w:r>
        <w:rPr>
          <w:spacing w:val="9"/>
          <w:sz w:val="25"/>
        </w:rPr>
        <w:t> </w:t>
      </w:r>
      <w:r>
        <w:rPr>
          <w:spacing w:val="-1"/>
          <w:w w:val="99"/>
          <w:sz w:val="25"/>
        </w:rPr>
        <w:t>p</w:t>
      </w:r>
      <w:r>
        <w:rPr>
          <w:w w:val="99"/>
          <w:sz w:val="25"/>
        </w:rPr>
        <w:t>ossession</w:t>
      </w:r>
      <w:r>
        <w:rPr>
          <w:spacing w:val="10"/>
          <w:sz w:val="25"/>
        </w:rPr>
        <w:t> </w:t>
      </w:r>
      <w:r>
        <w:rPr>
          <w:spacing w:val="2"/>
          <w:w w:val="99"/>
          <w:sz w:val="25"/>
        </w:rPr>
        <w:t>a</w:t>
      </w:r>
      <w:r>
        <w:rPr>
          <w:spacing w:val="-1"/>
          <w:w w:val="99"/>
          <w:sz w:val="25"/>
        </w:rPr>
        <w:t>n</w:t>
      </w:r>
      <w:r>
        <w:rPr>
          <w:w w:val="99"/>
          <w:sz w:val="25"/>
        </w:rPr>
        <w:t>d</w:t>
      </w:r>
      <w:r>
        <w:rPr>
          <w:spacing w:val="9"/>
          <w:sz w:val="25"/>
        </w:rPr>
        <w:t> </w:t>
      </w:r>
      <w:r>
        <w:rPr>
          <w:w w:val="33"/>
          <w:sz w:val="25"/>
        </w:rPr>
        <w:t>―</w:t>
      </w:r>
      <w:r>
        <w:rPr>
          <w:w w:val="99"/>
          <w:sz w:val="25"/>
        </w:rPr>
        <w:t>the</w:t>
      </w:r>
      <w:r>
        <w:rPr>
          <w:spacing w:val="10"/>
          <w:sz w:val="25"/>
        </w:rPr>
        <w:t> </w:t>
      </w:r>
      <w:r>
        <w:rPr>
          <w:w w:val="99"/>
          <w:sz w:val="25"/>
        </w:rPr>
        <w:t>r</w:t>
      </w:r>
      <w:r>
        <w:rPr>
          <w:spacing w:val="-1"/>
          <w:w w:val="99"/>
          <w:sz w:val="25"/>
        </w:rPr>
        <w:t>igh</w:t>
      </w:r>
      <w:r>
        <w:rPr>
          <w:w w:val="99"/>
          <w:sz w:val="25"/>
        </w:rPr>
        <w:t>t,</w:t>
      </w:r>
      <w:r>
        <w:rPr>
          <w:spacing w:val="9"/>
          <w:sz w:val="25"/>
        </w:rPr>
        <w:t> </w:t>
      </w:r>
      <w:r>
        <w:rPr>
          <w:w w:val="99"/>
          <w:sz w:val="25"/>
        </w:rPr>
        <w:t>title</w:t>
      </w:r>
      <w:r>
        <w:rPr>
          <w:spacing w:val="10"/>
          <w:sz w:val="25"/>
        </w:rPr>
        <w:t> </w:t>
      </w:r>
      <w:r>
        <w:rPr>
          <w:spacing w:val="-1"/>
          <w:w w:val="99"/>
          <w:sz w:val="25"/>
        </w:rPr>
        <w:t>o</w:t>
      </w:r>
      <w:r>
        <w:rPr>
          <w:w w:val="99"/>
          <w:sz w:val="25"/>
        </w:rPr>
        <w:t>r</w:t>
      </w:r>
      <w:r>
        <w:rPr>
          <w:spacing w:val="10"/>
          <w:sz w:val="25"/>
        </w:rPr>
        <w:t> </w:t>
      </w:r>
      <w:r>
        <w:rPr>
          <w:spacing w:val="-1"/>
          <w:w w:val="99"/>
          <w:sz w:val="25"/>
        </w:rPr>
        <w:t>int</w:t>
      </w:r>
      <w:r>
        <w:rPr>
          <w:w w:val="99"/>
          <w:sz w:val="25"/>
        </w:rPr>
        <w:t>er</w:t>
      </w:r>
      <w:r>
        <w:rPr>
          <w:spacing w:val="-1"/>
          <w:w w:val="99"/>
          <w:sz w:val="25"/>
        </w:rPr>
        <w:t>es</w:t>
      </w:r>
      <w:r>
        <w:rPr>
          <w:w w:val="99"/>
          <w:sz w:val="25"/>
        </w:rPr>
        <w:t>t</w:t>
      </w:r>
      <w:r>
        <w:rPr>
          <w:spacing w:val="10"/>
          <w:sz w:val="25"/>
        </w:rPr>
        <w:t> </w:t>
      </w:r>
      <w:r>
        <w:rPr>
          <w:spacing w:val="-1"/>
          <w:w w:val="99"/>
          <w:sz w:val="25"/>
        </w:rPr>
        <w:t>o</w:t>
      </w:r>
      <w:r>
        <w:rPr>
          <w:w w:val="99"/>
          <w:sz w:val="25"/>
        </w:rPr>
        <w:t>f</w:t>
      </w:r>
      <w:r>
        <w:rPr>
          <w:spacing w:val="10"/>
          <w:sz w:val="25"/>
        </w:rPr>
        <w:t> </w:t>
      </w:r>
      <w:r>
        <w:rPr>
          <w:w w:val="99"/>
          <w:sz w:val="25"/>
        </w:rPr>
        <w:t>the</w:t>
      </w:r>
      <w:r>
        <w:rPr>
          <w:spacing w:val="10"/>
          <w:sz w:val="25"/>
        </w:rPr>
        <w:t> </w:t>
      </w:r>
      <w:r>
        <w:rPr>
          <w:w w:val="99"/>
          <w:sz w:val="25"/>
        </w:rPr>
        <w:t>te</w:t>
      </w:r>
      <w:r>
        <w:rPr>
          <w:spacing w:val="1"/>
          <w:w w:val="99"/>
          <w:sz w:val="25"/>
        </w:rPr>
        <w:t>m</w:t>
      </w:r>
      <w:r>
        <w:rPr>
          <w:spacing w:val="-1"/>
          <w:w w:val="99"/>
          <w:sz w:val="25"/>
        </w:rPr>
        <w:t>pl</w:t>
      </w:r>
      <w:r>
        <w:rPr>
          <w:w w:val="99"/>
          <w:sz w:val="25"/>
        </w:rPr>
        <w:t>e</w:t>
      </w:r>
      <w:r>
        <w:rPr>
          <w:spacing w:val="10"/>
          <w:sz w:val="25"/>
        </w:rPr>
        <w:t> </w:t>
      </w:r>
      <w:r>
        <w:rPr>
          <w:spacing w:val="-1"/>
          <w:w w:val="99"/>
          <w:sz w:val="25"/>
        </w:rPr>
        <w:t>a</w:t>
      </w:r>
      <w:r>
        <w:rPr>
          <w:w w:val="99"/>
          <w:sz w:val="25"/>
        </w:rPr>
        <w:t>nd</w:t>
      </w:r>
      <w:r>
        <w:rPr>
          <w:spacing w:val="9"/>
          <w:sz w:val="25"/>
        </w:rPr>
        <w:t> </w:t>
      </w:r>
      <w:r>
        <w:rPr>
          <w:spacing w:val="-1"/>
          <w:w w:val="99"/>
          <w:sz w:val="25"/>
        </w:rPr>
        <w:t>o</w:t>
      </w:r>
      <w:r>
        <w:rPr>
          <w:w w:val="99"/>
          <w:sz w:val="25"/>
        </w:rPr>
        <w:t>f</w:t>
      </w:r>
      <w:r>
        <w:rPr>
          <w:spacing w:val="10"/>
          <w:sz w:val="25"/>
        </w:rPr>
        <w:t> </w:t>
      </w:r>
      <w:r>
        <w:rPr>
          <w:w w:val="99"/>
          <w:sz w:val="25"/>
        </w:rPr>
        <w:t>the</w:t>
      </w:r>
      <w:r>
        <w:rPr>
          <w:spacing w:val="10"/>
          <w:sz w:val="25"/>
        </w:rPr>
        <w:t> </w:t>
      </w:r>
      <w:r>
        <w:rPr>
          <w:spacing w:val="-1"/>
          <w:w w:val="99"/>
          <w:sz w:val="25"/>
        </w:rPr>
        <w:t>Hindu </w:t>
      </w:r>
      <w:r>
        <w:rPr>
          <w:sz w:val="25"/>
        </w:rPr>
        <w:t>public if any, extinguished‖. The claim of possession is hence based on the plea that there has been a continuous use of the mosque for offering prayers since </w:t>
      </w:r>
      <w:r>
        <w:rPr>
          <w:spacing w:val="3"/>
          <w:sz w:val="25"/>
        </w:rPr>
        <w:t>its </w:t>
      </w:r>
      <w:r>
        <w:rPr>
          <w:sz w:val="25"/>
        </w:rPr>
        <w:t>inception and that this use has been long, continuous and</w:t>
      </w:r>
      <w:r>
        <w:rPr>
          <w:spacing w:val="-13"/>
          <w:sz w:val="25"/>
        </w:rPr>
        <w:t> </w:t>
      </w:r>
      <w:r>
        <w:rPr>
          <w:sz w:val="25"/>
        </w:rPr>
        <w:t>exclusive.</w:t>
      </w:r>
    </w:p>
    <w:p>
      <w:pPr>
        <w:pStyle w:val="BodyText"/>
        <w:rPr>
          <w:sz w:val="28"/>
        </w:rPr>
      </w:pPr>
    </w:p>
    <w:p>
      <w:pPr>
        <w:pStyle w:val="Heading5"/>
        <w:numPr>
          <w:ilvl w:val="1"/>
          <w:numId w:val="191"/>
        </w:numPr>
        <w:tabs>
          <w:tab w:pos="1220" w:val="left" w:leader="none"/>
          <w:tab w:pos="1221" w:val="left" w:leader="none"/>
        </w:tabs>
        <w:spacing w:line="240" w:lineRule="auto" w:before="246" w:after="0"/>
        <w:ind w:left="1220" w:right="0" w:hanging="721"/>
        <w:jc w:val="left"/>
      </w:pPr>
      <w:r>
        <w:rPr/>
        <w:t>Written statements</w:t>
      </w:r>
    </w:p>
    <w:p>
      <w:pPr>
        <w:pStyle w:val="BodyText"/>
        <w:rPr>
          <w:b/>
          <w:sz w:val="28"/>
        </w:rPr>
      </w:pPr>
    </w:p>
    <w:p>
      <w:pPr>
        <w:spacing w:before="206"/>
        <w:ind w:left="500" w:right="0" w:firstLine="0"/>
        <w:jc w:val="both"/>
        <w:rPr>
          <w:i/>
          <w:sz w:val="25"/>
        </w:rPr>
      </w:pPr>
      <w:r>
        <w:rPr>
          <w:i/>
          <w:sz w:val="25"/>
        </w:rPr>
        <w:t>Gopal Singh Visharad</w:t>
      </w:r>
    </w:p>
    <w:p>
      <w:pPr>
        <w:pStyle w:val="BodyText"/>
        <w:spacing w:before="10"/>
        <w:rPr>
          <w:i/>
          <w:sz w:val="38"/>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In the written statement filed by Gopal Singh Visharad, the first defendant (who is also the plaintiff in Suit 1), it has been stated that if the Muslims were in possession of the mosque, it ceased in 1934. The Hindus claim to be in possession</w:t>
      </w:r>
      <w:r>
        <w:rPr>
          <w:spacing w:val="15"/>
          <w:sz w:val="25"/>
        </w:rPr>
        <w:t> </w:t>
      </w:r>
      <w:r>
        <w:rPr>
          <w:sz w:val="25"/>
        </w:rPr>
        <w:t>after</w:t>
      </w:r>
      <w:r>
        <w:rPr>
          <w:spacing w:val="15"/>
          <w:sz w:val="25"/>
        </w:rPr>
        <w:t> </w:t>
      </w:r>
      <w:r>
        <w:rPr>
          <w:sz w:val="25"/>
        </w:rPr>
        <w:t>1934</w:t>
      </w:r>
      <w:r>
        <w:rPr>
          <w:spacing w:val="15"/>
          <w:sz w:val="25"/>
        </w:rPr>
        <w:t> </w:t>
      </w:r>
      <w:r>
        <w:rPr>
          <w:sz w:val="25"/>
        </w:rPr>
        <w:t>and</w:t>
      </w:r>
      <w:r>
        <w:rPr>
          <w:spacing w:val="15"/>
          <w:sz w:val="25"/>
        </w:rPr>
        <w:t> </w:t>
      </w:r>
      <w:r>
        <w:rPr>
          <w:sz w:val="25"/>
        </w:rPr>
        <w:t>their</w:t>
      </w:r>
      <w:r>
        <w:rPr>
          <w:spacing w:val="16"/>
          <w:sz w:val="25"/>
        </w:rPr>
        <w:t> </w:t>
      </w:r>
      <w:r>
        <w:rPr>
          <w:sz w:val="25"/>
        </w:rPr>
        <w:t>possession</w:t>
      </w:r>
      <w:r>
        <w:rPr>
          <w:spacing w:val="15"/>
          <w:sz w:val="25"/>
        </w:rPr>
        <w:t> </w:t>
      </w:r>
      <w:r>
        <w:rPr>
          <w:sz w:val="25"/>
        </w:rPr>
        <w:t>is</w:t>
      </w:r>
      <w:r>
        <w:rPr>
          <w:spacing w:val="14"/>
          <w:sz w:val="25"/>
        </w:rPr>
        <w:t> </w:t>
      </w:r>
      <w:r>
        <w:rPr>
          <w:sz w:val="25"/>
        </w:rPr>
        <w:t>stated</w:t>
      </w:r>
      <w:r>
        <w:rPr>
          <w:spacing w:val="15"/>
          <w:sz w:val="25"/>
        </w:rPr>
        <w:t> </w:t>
      </w:r>
      <w:r>
        <w:rPr>
          <w:sz w:val="25"/>
        </w:rPr>
        <w:t>to</w:t>
      </w:r>
      <w:r>
        <w:rPr>
          <w:spacing w:val="15"/>
          <w:sz w:val="25"/>
        </w:rPr>
        <w:t> </w:t>
      </w:r>
      <w:r>
        <w:rPr>
          <w:sz w:val="25"/>
        </w:rPr>
        <w:t>have</w:t>
      </w:r>
      <w:r>
        <w:rPr>
          <w:spacing w:val="16"/>
          <w:sz w:val="25"/>
        </w:rPr>
        <w:t> </w:t>
      </w:r>
      <w:r>
        <w:rPr>
          <w:sz w:val="25"/>
        </w:rPr>
        <w:t>ripened</w:t>
      </w:r>
      <w:r>
        <w:rPr>
          <w:spacing w:val="15"/>
          <w:sz w:val="25"/>
        </w:rPr>
        <w:t> </w:t>
      </w:r>
      <w:r>
        <w:rPr>
          <w:sz w:val="25"/>
        </w:rPr>
        <w:t>into</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adverse possession. According to the written statement, no prayers were offered in the mosque since 1934. Moreover, no individual Hindu or Mahant can be said to represent the entire Hindu community. Hindu puja is stated to be continuing inside the structure, which is described as a temple since 1934 and admittedly since January 1950, following the order of the City Magistrate. In an additional written statement, a plea has been taken that the UP Muslim Waqfs Act 1936 is ultra vires. It has been averred that </w:t>
      </w:r>
      <w:r>
        <w:rPr>
          <w:spacing w:val="2"/>
        </w:rPr>
        <w:t>any </w:t>
      </w:r>
      <w:r>
        <w:rPr/>
        <w:t>determination under the Act cannot operate to decide a question of title against non-Muslims. In a subsequent written statement, it has been stated that Hindus have worshipped the site of the Janmabhumi since time immemorial; the Muslims were never in possession of the Janmabhumi temple and, if they were in possession, it ceased in 1934. The suit is alleged to be barred by</w:t>
      </w:r>
      <w:r>
        <w:rPr>
          <w:spacing w:val="-8"/>
        </w:rPr>
        <w:t> </w:t>
      </w:r>
      <w:r>
        <w:rPr/>
        <w:t>limitation.</w:t>
      </w:r>
    </w:p>
    <w:p>
      <w:pPr>
        <w:pStyle w:val="BodyText"/>
        <w:spacing w:before="10"/>
        <w:rPr>
          <w:sz w:val="38"/>
        </w:rPr>
      </w:pPr>
    </w:p>
    <w:p>
      <w:pPr>
        <w:pStyle w:val="BodyText"/>
        <w:spacing w:line="480" w:lineRule="auto" w:before="1"/>
        <w:ind w:left="500" w:right="447"/>
        <w:jc w:val="both"/>
      </w:pPr>
      <w:r>
        <w:rPr/>
        <w:t>As regards the Suit of 1885, it has been submitted that the plaintiff was not suing in a representative capacity and was only pursuing his personal interest;</w:t>
      </w:r>
    </w:p>
    <w:p>
      <w:pPr>
        <w:pStyle w:val="BodyText"/>
        <w:rPr>
          <w:sz w:val="28"/>
        </w:rPr>
      </w:pPr>
    </w:p>
    <w:p>
      <w:pPr>
        <w:pStyle w:val="BodyText"/>
        <w:rPr>
          <w:sz w:val="22"/>
        </w:rPr>
      </w:pPr>
    </w:p>
    <w:p>
      <w:pPr>
        <w:spacing w:before="0"/>
        <w:ind w:left="500" w:right="0" w:firstLine="0"/>
        <w:jc w:val="both"/>
        <w:rPr>
          <w:i/>
          <w:sz w:val="25"/>
        </w:rPr>
      </w:pPr>
      <w:r>
        <w:rPr>
          <w:i/>
          <w:sz w:val="25"/>
        </w:rPr>
        <w:t>Nirmohi Akhara</w:t>
      </w:r>
    </w:p>
    <w:p>
      <w:pPr>
        <w:pStyle w:val="BodyText"/>
        <w:spacing w:before="11"/>
        <w:rPr>
          <w:i/>
          <w:sz w:val="38"/>
        </w:rPr>
      </w:pPr>
    </w:p>
    <w:p>
      <w:pPr>
        <w:pStyle w:val="ListParagraph"/>
        <w:numPr>
          <w:ilvl w:val="0"/>
          <w:numId w:val="166"/>
        </w:numPr>
        <w:tabs>
          <w:tab w:pos="1221" w:val="left" w:leader="none"/>
        </w:tabs>
        <w:spacing w:line="480" w:lineRule="auto" w:before="0" w:after="0"/>
        <w:ind w:left="500" w:right="435" w:firstLine="0"/>
        <w:jc w:val="both"/>
        <w:rPr>
          <w:sz w:val="25"/>
        </w:rPr>
      </w:pPr>
      <w:r>
        <w:rPr>
          <w:sz w:val="25"/>
        </w:rPr>
        <w:t>The written statement of Nirmohi Akhara denies the existence of a mosque. Nirmohi Akhara states that it was unaware of any suit filed by Mahant Raghubar Das. According to it, a mosque never existed at </w:t>
      </w:r>
      <w:r>
        <w:rPr>
          <w:spacing w:val="2"/>
          <w:sz w:val="25"/>
        </w:rPr>
        <w:t>the </w:t>
      </w:r>
      <w:r>
        <w:rPr>
          <w:sz w:val="25"/>
        </w:rPr>
        <w:t>site and hence there was no occasion for the Muslim community to offer prayers till 23  December 1949. It is urged that the property described as Babri mosque is and has always been a temple of Janmabhumi with idols of Hindu Gods installed within.</w:t>
      </w:r>
      <w:r>
        <w:rPr>
          <w:spacing w:val="10"/>
          <w:sz w:val="25"/>
        </w:rPr>
        <w:t> </w:t>
      </w:r>
      <w:r>
        <w:rPr>
          <w:sz w:val="25"/>
        </w:rPr>
        <w:t>According</w:t>
      </w:r>
      <w:r>
        <w:rPr>
          <w:spacing w:val="11"/>
          <w:sz w:val="25"/>
        </w:rPr>
        <w:t> </w:t>
      </w:r>
      <w:r>
        <w:rPr>
          <w:sz w:val="25"/>
        </w:rPr>
        <w:t>to</w:t>
      </w:r>
      <w:r>
        <w:rPr>
          <w:spacing w:val="11"/>
          <w:sz w:val="25"/>
        </w:rPr>
        <w:t> </w:t>
      </w:r>
      <w:r>
        <w:rPr>
          <w:sz w:val="25"/>
        </w:rPr>
        <w:t>the</w:t>
      </w:r>
      <w:r>
        <w:rPr>
          <w:spacing w:val="11"/>
          <w:sz w:val="25"/>
        </w:rPr>
        <w:t> </w:t>
      </w:r>
      <w:r>
        <w:rPr>
          <w:sz w:val="25"/>
        </w:rPr>
        <w:t>written</w:t>
      </w:r>
      <w:r>
        <w:rPr>
          <w:spacing w:val="11"/>
          <w:sz w:val="25"/>
        </w:rPr>
        <w:t> </w:t>
      </w:r>
      <w:r>
        <w:rPr>
          <w:sz w:val="25"/>
        </w:rPr>
        <w:t>statement,</w:t>
      </w:r>
      <w:r>
        <w:rPr>
          <w:spacing w:val="8"/>
          <w:sz w:val="25"/>
        </w:rPr>
        <w:t> </w:t>
      </w:r>
      <w:r>
        <w:rPr>
          <w:sz w:val="25"/>
        </w:rPr>
        <w:t>the</w:t>
      </w:r>
      <w:r>
        <w:rPr>
          <w:spacing w:val="11"/>
          <w:sz w:val="25"/>
        </w:rPr>
        <w:t> </w:t>
      </w:r>
      <w:r>
        <w:rPr>
          <w:sz w:val="25"/>
        </w:rPr>
        <w:t>temple</w:t>
      </w:r>
      <w:r>
        <w:rPr>
          <w:spacing w:val="11"/>
          <w:sz w:val="25"/>
        </w:rPr>
        <w:t> </w:t>
      </w:r>
      <w:r>
        <w:rPr>
          <w:sz w:val="25"/>
        </w:rPr>
        <w:t>on</w:t>
      </w:r>
      <w:r>
        <w:rPr>
          <w:spacing w:val="11"/>
          <w:sz w:val="25"/>
        </w:rPr>
        <w:t> </w:t>
      </w:r>
      <w:r>
        <w:rPr>
          <w:sz w:val="25"/>
        </w:rPr>
        <w:t>Ramchabutra</w:t>
      </w:r>
      <w:r>
        <w:rPr>
          <w:spacing w:val="11"/>
          <w:sz w:val="25"/>
        </w:rPr>
        <w:t> </w:t>
      </w:r>
      <w:r>
        <w:rPr>
          <w:sz w:val="25"/>
        </w:rPr>
        <w:t>had</w:t>
      </w:r>
      <w:r>
        <w:rPr>
          <w:spacing w:val="11"/>
          <w:sz w:val="25"/>
        </w:rPr>
        <w:t> </w:t>
      </w:r>
      <w:r>
        <w:rPr>
          <w:sz w:val="25"/>
        </w:rPr>
        <w:t>been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judicially recognised in the Suit of 1885. It was urged that the Janmabhumi temple was always in the possession of Nirmohi Akhara and none else but the Hindus were allowed to enter and offer worship. The offerings are stated to have been received by the representative of Nirmohi Akhara. After the attachment,  only the pujaris of Nirmohi Akhara are claimed to have been offering puja to the idols in the temple. The written statement contains a denial of Muslim worship in the structure at least since 1934 and it is urged that Suit 4 is barred by limitation. In the additional written statement, Nirmohi Akhara has denied that the findings in the Suit of 1885 operate as </w:t>
      </w:r>
      <w:r>
        <w:rPr>
          <w:i/>
        </w:rPr>
        <w:t>res judicata. </w:t>
      </w:r>
      <w:r>
        <w:rPr/>
        <w:t>There is a denial of the allegation that the Muslims have perfected their title by adverse</w:t>
      </w:r>
      <w:r>
        <w:rPr>
          <w:spacing w:val="-7"/>
        </w:rPr>
        <w:t> </w:t>
      </w:r>
      <w:r>
        <w:rPr/>
        <w:t>possession.</w:t>
      </w:r>
    </w:p>
    <w:p>
      <w:pPr>
        <w:pStyle w:val="BodyText"/>
        <w:rPr>
          <w:sz w:val="28"/>
        </w:rPr>
      </w:pPr>
    </w:p>
    <w:p>
      <w:pPr>
        <w:pStyle w:val="BodyText"/>
        <w:spacing w:before="10"/>
        <w:rPr>
          <w:sz w:val="24"/>
        </w:rPr>
      </w:pPr>
    </w:p>
    <w:p>
      <w:pPr>
        <w:spacing w:before="0"/>
        <w:ind w:left="500" w:right="0" w:firstLine="0"/>
        <w:jc w:val="both"/>
        <w:rPr>
          <w:i/>
          <w:sz w:val="25"/>
        </w:rPr>
      </w:pPr>
      <w:r>
        <w:rPr>
          <w:i/>
          <w:sz w:val="25"/>
        </w:rPr>
        <w:t>State of Uttar Pradesh</w:t>
      </w:r>
    </w:p>
    <w:p>
      <w:pPr>
        <w:pStyle w:val="BodyText"/>
        <w:spacing w:before="10"/>
        <w:rPr>
          <w:i/>
          <w:sz w:val="38"/>
        </w:rPr>
      </w:pPr>
    </w:p>
    <w:p>
      <w:pPr>
        <w:pStyle w:val="ListParagraph"/>
        <w:numPr>
          <w:ilvl w:val="0"/>
          <w:numId w:val="166"/>
        </w:numPr>
        <w:tabs>
          <w:tab w:pos="1221" w:val="left" w:leader="none"/>
        </w:tabs>
        <w:spacing w:line="480" w:lineRule="auto" w:before="1" w:after="0"/>
        <w:ind w:left="500" w:right="435" w:firstLine="0"/>
        <w:jc w:val="both"/>
        <w:rPr>
          <w:sz w:val="25"/>
        </w:rPr>
      </w:pPr>
      <w:r>
        <w:rPr>
          <w:sz w:val="25"/>
        </w:rPr>
        <w:t>The State of Uttar Pradesh filed its written statement to the effect that the government is not interested in the property in dispute and does </w:t>
      </w:r>
      <w:r>
        <w:rPr>
          <w:spacing w:val="3"/>
          <w:sz w:val="25"/>
        </w:rPr>
        <w:t>not </w:t>
      </w:r>
      <w:r>
        <w:rPr>
          <w:sz w:val="25"/>
        </w:rPr>
        <w:t>propose to contest the</w:t>
      </w:r>
      <w:r>
        <w:rPr>
          <w:spacing w:val="-2"/>
          <w:sz w:val="25"/>
        </w:rPr>
        <w:t> </w:t>
      </w:r>
      <w:r>
        <w:rPr>
          <w:sz w:val="25"/>
        </w:rPr>
        <w:t>suit.</w:t>
      </w:r>
    </w:p>
    <w:p>
      <w:pPr>
        <w:pStyle w:val="BodyText"/>
        <w:rPr>
          <w:sz w:val="28"/>
        </w:rPr>
      </w:pPr>
    </w:p>
    <w:p>
      <w:pPr>
        <w:pStyle w:val="BodyText"/>
        <w:spacing w:before="9"/>
        <w:rPr>
          <w:sz w:val="24"/>
        </w:rPr>
      </w:pPr>
    </w:p>
    <w:p>
      <w:pPr>
        <w:spacing w:before="1"/>
        <w:ind w:left="500" w:right="0" w:firstLine="0"/>
        <w:jc w:val="both"/>
        <w:rPr>
          <w:i/>
          <w:sz w:val="25"/>
        </w:rPr>
      </w:pPr>
      <w:r>
        <w:rPr>
          <w:i/>
          <w:sz w:val="25"/>
        </w:rPr>
        <w:t>Akhil Bhartiya Hindu Mahasabha</w:t>
      </w:r>
    </w:p>
    <w:p>
      <w:pPr>
        <w:pStyle w:val="BodyText"/>
        <w:spacing w:before="10"/>
        <w:rPr>
          <w:i/>
          <w:sz w:val="38"/>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In the written statement filed on behalf of the tenth defendant, Akhil Bhartiya Hindu Mahasabha, it has been averred that upon India regaining independence, there is a revival of the original Hindu law as a result of which the plaintiffs cannot claim any legal or constitutional right. In an additional written statement, the tenth defendant denies the incident of 22 December 1949 and claims</w:t>
      </w:r>
      <w:r>
        <w:rPr>
          <w:spacing w:val="11"/>
          <w:sz w:val="25"/>
        </w:rPr>
        <w:t> </w:t>
      </w:r>
      <w:r>
        <w:rPr>
          <w:sz w:val="25"/>
        </w:rPr>
        <w:t>that</w:t>
      </w:r>
      <w:r>
        <w:rPr>
          <w:spacing w:val="11"/>
          <w:sz w:val="25"/>
        </w:rPr>
        <w:t> </w:t>
      </w:r>
      <w:r>
        <w:rPr>
          <w:sz w:val="25"/>
        </w:rPr>
        <w:t>the</w:t>
      </w:r>
      <w:r>
        <w:rPr>
          <w:spacing w:val="12"/>
          <w:sz w:val="25"/>
        </w:rPr>
        <w:t> </w:t>
      </w:r>
      <w:r>
        <w:rPr>
          <w:sz w:val="25"/>
        </w:rPr>
        <w:t>idols</w:t>
      </w:r>
      <w:r>
        <w:rPr>
          <w:spacing w:val="13"/>
          <w:sz w:val="25"/>
        </w:rPr>
        <w:t> </w:t>
      </w:r>
      <w:r>
        <w:rPr>
          <w:sz w:val="25"/>
        </w:rPr>
        <w:t>were</w:t>
      </w:r>
      <w:r>
        <w:rPr>
          <w:spacing w:val="11"/>
          <w:sz w:val="25"/>
        </w:rPr>
        <w:t> </w:t>
      </w:r>
      <w:r>
        <w:rPr>
          <w:sz w:val="25"/>
        </w:rPr>
        <w:t>in</w:t>
      </w:r>
      <w:r>
        <w:rPr>
          <w:spacing w:val="12"/>
          <w:sz w:val="25"/>
        </w:rPr>
        <w:t> </w:t>
      </w:r>
      <w:r>
        <w:rPr>
          <w:sz w:val="25"/>
        </w:rPr>
        <w:t>existence</w:t>
      </w:r>
      <w:r>
        <w:rPr>
          <w:spacing w:val="13"/>
          <w:sz w:val="25"/>
        </w:rPr>
        <w:t> </w:t>
      </w:r>
      <w:r>
        <w:rPr>
          <w:sz w:val="25"/>
        </w:rPr>
        <w:t>at</w:t>
      </w:r>
      <w:r>
        <w:rPr>
          <w:spacing w:val="11"/>
          <w:sz w:val="25"/>
        </w:rPr>
        <w:t> </w:t>
      </w:r>
      <w:r>
        <w:rPr>
          <w:sz w:val="25"/>
        </w:rPr>
        <w:t>the</w:t>
      </w:r>
      <w:r>
        <w:rPr>
          <w:spacing w:val="12"/>
          <w:sz w:val="25"/>
        </w:rPr>
        <w:t> </w:t>
      </w:r>
      <w:r>
        <w:rPr>
          <w:sz w:val="25"/>
        </w:rPr>
        <w:t>place</w:t>
      </w:r>
      <w:r>
        <w:rPr>
          <w:spacing w:val="11"/>
          <w:sz w:val="25"/>
        </w:rPr>
        <w:t> </w:t>
      </w:r>
      <w:r>
        <w:rPr>
          <w:sz w:val="25"/>
        </w:rPr>
        <w:t>in</w:t>
      </w:r>
      <w:r>
        <w:rPr>
          <w:spacing w:val="13"/>
          <w:sz w:val="25"/>
        </w:rPr>
        <w:t> </w:t>
      </w:r>
      <w:r>
        <w:rPr>
          <w:sz w:val="25"/>
        </w:rPr>
        <w:t>question</w:t>
      </w:r>
      <w:r>
        <w:rPr>
          <w:spacing w:val="12"/>
          <w:sz w:val="25"/>
        </w:rPr>
        <w:t> </w:t>
      </w:r>
      <w:r>
        <w:rPr>
          <w:sz w:val="25"/>
        </w:rPr>
        <w:t>from</w:t>
      </w:r>
      <w:r>
        <w:rPr>
          <w:spacing w:val="12"/>
          <w:sz w:val="25"/>
        </w:rPr>
        <w:t> </w:t>
      </w:r>
      <w:r>
        <w:rPr>
          <w:sz w:val="25"/>
        </w:rPr>
        <w:t>time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5"/>
        <w:jc w:val="both"/>
      </w:pPr>
      <w:r>
        <w:rPr/>
        <w:t>immemorial. According to the written statement, the site is the birth-place of Lord Ram and no mosque could have been constructed at the birth-place.</w:t>
      </w:r>
    </w:p>
    <w:p>
      <w:pPr>
        <w:pStyle w:val="BodyText"/>
        <w:rPr>
          <w:sz w:val="28"/>
        </w:rPr>
      </w:pPr>
    </w:p>
    <w:p>
      <w:pPr>
        <w:pStyle w:val="BodyText"/>
        <w:spacing w:before="8"/>
        <w:rPr>
          <w:sz w:val="24"/>
        </w:rPr>
      </w:pPr>
    </w:p>
    <w:p>
      <w:pPr>
        <w:spacing w:before="1"/>
        <w:ind w:left="500" w:right="0" w:firstLine="0"/>
        <w:jc w:val="both"/>
        <w:rPr>
          <w:i/>
          <w:sz w:val="25"/>
        </w:rPr>
      </w:pPr>
      <w:r>
        <w:rPr>
          <w:i/>
          <w:sz w:val="25"/>
        </w:rPr>
        <w:t>Abhiram Das and Dharam Das</w:t>
      </w:r>
    </w:p>
    <w:p>
      <w:pPr>
        <w:pStyle w:val="BodyText"/>
        <w:spacing w:before="9"/>
        <w:rPr>
          <w:i/>
          <w:sz w:val="38"/>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The written statement by Abhiram Das and by Dharam Das, who claims to be his chela, questions the validity of the construction of a mosque at the site of Ram Janmabhumi. According to the written statement, the site is landlocked and surrounded by places of Hindu worship and hence such a building cannot be a valid mosque in Muslim law. The written statement contains a denial of a valid waqf on the ground that a waqf cannot be based on adverse possession. According to the written statement, at Ram Janmabhumi there was an ancient temple tracing back to the rule of Vikramaditya which was demolished by Mir Baqi. It has been averred that Ram Janmabhumi is indestructible as the deity is divine and immortal. In spite of the construction of the mosque, it has been submitted, the area has continued to be in the possession of the deities and no one could enter the three-domed structure except after passing through Hindu places of worship. The written statements filed by the other Hindu defendants broadly follow similar lines. Replications were filed to the written statements of  the Hindu</w:t>
      </w:r>
      <w:r>
        <w:rPr>
          <w:spacing w:val="-1"/>
          <w:sz w:val="25"/>
        </w:rPr>
        <w:t> </w:t>
      </w:r>
      <w:r>
        <w:rPr>
          <w:sz w:val="25"/>
        </w:rPr>
        <w:t>parties.</w:t>
      </w:r>
    </w:p>
    <w:p>
      <w:pPr>
        <w:spacing w:after="0" w:line="480" w:lineRule="auto"/>
        <w:jc w:val="both"/>
        <w:rPr>
          <w:sz w:val="25"/>
        </w:rPr>
        <w:sectPr>
          <w:pgSz w:w="11910" w:h="16840"/>
          <w:pgMar w:header="721" w:footer="1014" w:top="1300" w:bottom="1200" w:left="940" w:right="1000"/>
        </w:sectPr>
      </w:pPr>
    </w:p>
    <w:p>
      <w:pPr>
        <w:pStyle w:val="Heading3"/>
        <w:numPr>
          <w:ilvl w:val="1"/>
          <w:numId w:val="191"/>
        </w:numPr>
        <w:tabs>
          <w:tab w:pos="1220" w:val="left" w:leader="none"/>
          <w:tab w:pos="1221" w:val="left" w:leader="none"/>
        </w:tabs>
        <w:spacing w:line="240" w:lineRule="auto" w:before="124" w:after="0"/>
        <w:ind w:left="1220" w:right="0" w:hanging="721"/>
        <w:jc w:val="left"/>
      </w:pPr>
      <w:r>
        <w:rPr/>
        <w:t>Issues and findings of the High</w:t>
      </w:r>
      <w:r>
        <w:rPr>
          <w:spacing w:val="-3"/>
        </w:rPr>
        <w:t> </w:t>
      </w:r>
      <w:r>
        <w:rPr/>
        <w:t>Court</w:t>
      </w:r>
    </w:p>
    <w:p>
      <w:pPr>
        <w:pStyle w:val="BodyText"/>
        <w:rPr>
          <w:b/>
          <w:sz w:val="28"/>
        </w:rPr>
      </w:pPr>
    </w:p>
    <w:p>
      <w:pPr>
        <w:pStyle w:val="BodyText"/>
        <w:rPr>
          <w:b/>
          <w:sz w:val="28"/>
        </w:rPr>
      </w:pPr>
    </w:p>
    <w:p>
      <w:pPr>
        <w:pStyle w:val="Heading5"/>
        <w:numPr>
          <w:ilvl w:val="0"/>
          <w:numId w:val="166"/>
        </w:numPr>
        <w:tabs>
          <w:tab w:pos="1221" w:val="left" w:leader="none"/>
        </w:tabs>
        <w:spacing w:line="480" w:lineRule="auto" w:before="180" w:after="0"/>
        <w:ind w:left="500" w:right="446" w:firstLine="0"/>
        <w:jc w:val="both"/>
      </w:pPr>
      <w:r>
        <w:rPr/>
        <w:t>1 </w:t>
      </w:r>
      <w:r>
        <w:rPr>
          <w:color w:val="212121"/>
        </w:rPr>
        <w:t>Whether the building in question described as mosque in the sketch map attached to the plaint was a mosque as claimed by the plaintiffs. If the answer is in the</w:t>
      </w:r>
      <w:r>
        <w:rPr>
          <w:color w:val="212121"/>
          <w:spacing w:val="-12"/>
        </w:rPr>
        <w:t> </w:t>
      </w:r>
      <w:r>
        <w:rPr>
          <w:color w:val="212121"/>
        </w:rPr>
        <w:t>affirmative-</w:t>
      </w:r>
    </w:p>
    <w:p>
      <w:pPr>
        <w:pStyle w:val="ListParagraph"/>
        <w:numPr>
          <w:ilvl w:val="0"/>
          <w:numId w:val="194"/>
        </w:numPr>
        <w:tabs>
          <w:tab w:pos="2661" w:val="left" w:leader="none"/>
        </w:tabs>
        <w:spacing w:line="480" w:lineRule="auto" w:before="159" w:after="0"/>
        <w:ind w:left="2660" w:right="437" w:hanging="720"/>
        <w:jc w:val="both"/>
        <w:rPr>
          <w:b/>
          <w:sz w:val="25"/>
        </w:rPr>
      </w:pPr>
      <w:r>
        <w:rPr>
          <w:b/>
          <w:color w:val="212121"/>
          <w:sz w:val="25"/>
        </w:rPr>
        <w:t>When was it built and by whom whether by Babar as alleged by the plaintiffs or by Mir Baqi as alleged by defendant no</w:t>
      </w:r>
      <w:r>
        <w:rPr>
          <w:b/>
          <w:color w:val="212121"/>
          <w:spacing w:val="-3"/>
          <w:sz w:val="25"/>
        </w:rPr>
        <w:t> </w:t>
      </w:r>
      <w:r>
        <w:rPr>
          <w:b/>
          <w:color w:val="212121"/>
          <w:sz w:val="25"/>
        </w:rPr>
        <w:t>13;</w:t>
      </w:r>
    </w:p>
    <w:p>
      <w:pPr>
        <w:pStyle w:val="ListParagraph"/>
        <w:numPr>
          <w:ilvl w:val="0"/>
          <w:numId w:val="194"/>
        </w:numPr>
        <w:tabs>
          <w:tab w:pos="2661" w:val="left" w:leader="none"/>
        </w:tabs>
        <w:spacing w:line="480" w:lineRule="auto" w:before="1" w:after="0"/>
        <w:ind w:left="2660" w:right="436" w:hanging="720"/>
        <w:jc w:val="both"/>
        <w:rPr>
          <w:b/>
          <w:sz w:val="25"/>
        </w:rPr>
      </w:pPr>
      <w:r>
        <w:rPr>
          <w:b/>
          <w:color w:val="212121"/>
          <w:sz w:val="25"/>
        </w:rPr>
        <w:t>Whether the building had been constructed on the site of an alleged Hindu temple after demolishing the same as alleged by defendant no 13; If so, its</w:t>
      </w:r>
      <w:r>
        <w:rPr>
          <w:b/>
          <w:color w:val="212121"/>
          <w:spacing w:val="-10"/>
          <w:sz w:val="25"/>
        </w:rPr>
        <w:t> </w:t>
      </w:r>
      <w:r>
        <w:rPr>
          <w:b/>
          <w:color w:val="212121"/>
          <w:sz w:val="25"/>
        </w:rPr>
        <w:t>effect</w:t>
      </w:r>
    </w:p>
    <w:p>
      <w:pPr>
        <w:pStyle w:val="BodyText"/>
        <w:rPr>
          <w:b/>
          <w:sz w:val="28"/>
        </w:rPr>
      </w:pPr>
    </w:p>
    <w:p>
      <w:pPr>
        <w:pStyle w:val="ListParagraph"/>
        <w:numPr>
          <w:ilvl w:val="0"/>
          <w:numId w:val="195"/>
        </w:numPr>
        <w:tabs>
          <w:tab w:pos="2661" w:val="left" w:leader="none"/>
        </w:tabs>
        <w:spacing w:line="477" w:lineRule="auto" w:before="231" w:after="0"/>
        <w:ind w:left="2660" w:right="437" w:hanging="720"/>
        <w:jc w:val="both"/>
        <w:rPr>
          <w:sz w:val="25"/>
        </w:rPr>
      </w:pPr>
      <w:r>
        <w:rPr>
          <w:b/>
          <w:sz w:val="25"/>
        </w:rPr>
        <w:t>Justice S U Khan </w:t>
      </w:r>
      <w:r>
        <w:rPr>
          <w:sz w:val="25"/>
        </w:rPr>
        <w:t>- The construction of a mosque took place by or under the orders of </w:t>
      </w:r>
      <w:r>
        <w:rPr>
          <w:spacing w:val="-3"/>
          <w:sz w:val="25"/>
        </w:rPr>
        <w:t>Babur. </w:t>
      </w:r>
      <w:r>
        <w:rPr>
          <w:sz w:val="25"/>
        </w:rPr>
        <w:t>Whether it was actually built by Mir Baqi or someone else is not material. Muslims offered regular prayers until 1934, after which until 22 December 1949, only Friday prayers were offered. This is sufficient for continuous possession and use. No temple was demolished for the construction of the mosque. Until the mosque was constructed during the period of </w:t>
      </w:r>
      <w:r>
        <w:rPr>
          <w:spacing w:val="-3"/>
          <w:sz w:val="25"/>
        </w:rPr>
        <w:t>Babur, </w:t>
      </w:r>
      <w:r>
        <w:rPr>
          <w:sz w:val="25"/>
        </w:rPr>
        <w:t>the premises were not believed to be or treated as the birth-place of Lord</w:t>
      </w:r>
      <w:r>
        <w:rPr>
          <w:spacing w:val="-14"/>
          <w:sz w:val="25"/>
        </w:rPr>
        <w:t> </w:t>
      </w:r>
      <w:r>
        <w:rPr>
          <w:sz w:val="25"/>
        </w:rPr>
        <w:t>Ram.</w:t>
      </w:r>
    </w:p>
    <w:p>
      <w:pPr>
        <w:pStyle w:val="ListParagraph"/>
        <w:numPr>
          <w:ilvl w:val="0"/>
          <w:numId w:val="195"/>
        </w:numPr>
        <w:tabs>
          <w:tab w:pos="2661" w:val="left" w:leader="none"/>
        </w:tabs>
        <w:spacing w:line="240" w:lineRule="auto" w:before="6" w:after="0"/>
        <w:ind w:left="2660" w:right="0" w:hanging="721"/>
        <w:jc w:val="both"/>
        <w:rPr>
          <w:sz w:val="25"/>
        </w:rPr>
      </w:pPr>
      <w:r>
        <w:rPr>
          <w:b/>
          <w:sz w:val="25"/>
        </w:rPr>
        <w:t>Justice Sudhir Agarwal </w:t>
      </w:r>
      <w:r>
        <w:rPr>
          <w:sz w:val="25"/>
        </w:rPr>
        <w:t>- Answered in favour of the</w:t>
      </w:r>
      <w:r>
        <w:rPr>
          <w:spacing w:val="-44"/>
          <w:sz w:val="25"/>
        </w:rPr>
        <w:t> </w:t>
      </w:r>
      <w:r>
        <w:rPr>
          <w:sz w:val="25"/>
        </w:rPr>
        <w:t>plaintiffs.</w:t>
      </w:r>
    </w:p>
    <w:p>
      <w:pPr>
        <w:pStyle w:val="BodyText"/>
        <w:spacing w:before="8"/>
        <w:rPr>
          <w:sz w:val="24"/>
        </w:rPr>
      </w:pPr>
    </w:p>
    <w:p>
      <w:pPr>
        <w:pStyle w:val="BodyText"/>
        <w:spacing w:line="482" w:lineRule="auto"/>
        <w:ind w:left="2660" w:right="440"/>
        <w:jc w:val="both"/>
      </w:pPr>
      <w:r>
        <w:rPr>
          <w:b/>
        </w:rPr>
        <w:t>1(a)</w:t>
      </w:r>
      <w:r>
        <w:rPr/>
        <w:t>: Answered in the negative – plaintiffs have failed to prove the construction of the structure by Babur. In the absence of</w:t>
      </w:r>
    </w:p>
    <w:p>
      <w:pPr>
        <w:spacing w:after="0" w:line="482" w:lineRule="auto"/>
        <w:jc w:val="both"/>
        <w:sectPr>
          <w:pgSz w:w="11910" w:h="16840"/>
          <w:pgMar w:header="721" w:footer="1014" w:top="1300" w:bottom="1200" w:left="940" w:right="1000"/>
        </w:sectPr>
      </w:pPr>
    </w:p>
    <w:p>
      <w:pPr>
        <w:pStyle w:val="BodyText"/>
        <w:spacing w:line="480" w:lineRule="auto" w:before="124"/>
        <w:ind w:left="2660" w:right="434"/>
        <w:jc w:val="both"/>
      </w:pPr>
      <w:r>
        <w:rPr/>
        <w:t>pleadings and evidence, no certain finding can be returned on who had constructed the structure but an informed guess is that it was constructed during the regime of Aurangzeb (1659- 1707 A.D.).</w:t>
      </w:r>
    </w:p>
    <w:p>
      <w:pPr>
        <w:pStyle w:val="BodyText"/>
        <w:spacing w:line="284" w:lineRule="exact"/>
        <w:ind w:left="2660"/>
        <w:jc w:val="both"/>
      </w:pPr>
      <w:r>
        <w:rPr>
          <w:b/>
        </w:rPr>
        <w:t>1(b) </w:t>
      </w:r>
      <w:r>
        <w:rPr/>
        <w:t>– Answered in the affirmative.</w:t>
      </w:r>
    </w:p>
    <w:p>
      <w:pPr>
        <w:pStyle w:val="BodyText"/>
      </w:pPr>
    </w:p>
    <w:p>
      <w:pPr>
        <w:pStyle w:val="ListParagraph"/>
        <w:numPr>
          <w:ilvl w:val="0"/>
          <w:numId w:val="195"/>
        </w:numPr>
        <w:tabs>
          <w:tab w:pos="2661" w:val="left" w:leader="none"/>
        </w:tabs>
        <w:spacing w:line="465" w:lineRule="auto" w:before="1" w:after="0"/>
        <w:ind w:left="2660" w:right="440" w:hanging="720"/>
        <w:jc w:val="both"/>
        <w:rPr>
          <w:sz w:val="25"/>
        </w:rPr>
      </w:pPr>
      <w:r>
        <w:rPr>
          <w:b/>
          <w:sz w:val="25"/>
        </w:rPr>
        <w:t>Justice D V Sharma </w:t>
      </w:r>
      <w:r>
        <w:rPr>
          <w:sz w:val="25"/>
        </w:rPr>
        <w:t>- Issue Nos 1 and 1(a) answered against the</w:t>
      </w:r>
      <w:r>
        <w:rPr>
          <w:spacing w:val="-2"/>
          <w:sz w:val="25"/>
        </w:rPr>
        <w:t> </w:t>
      </w:r>
      <w:r>
        <w:rPr>
          <w:sz w:val="25"/>
        </w:rPr>
        <w:t>plaintiffs.</w:t>
      </w:r>
    </w:p>
    <w:p>
      <w:pPr>
        <w:pStyle w:val="BodyText"/>
        <w:spacing w:line="480" w:lineRule="auto" w:before="17"/>
        <w:ind w:left="2660" w:right="445"/>
        <w:jc w:val="both"/>
      </w:pPr>
      <w:r>
        <w:rPr/>
        <w:t>Issue 1(b) answered in favour of the defendants on the basis of the ASI Report.</w:t>
      </w:r>
    </w:p>
    <w:p>
      <w:pPr>
        <w:pStyle w:val="BodyText"/>
        <w:spacing w:before="9"/>
        <w:rPr>
          <w:sz w:val="23"/>
        </w:rPr>
      </w:pPr>
    </w:p>
    <w:p>
      <w:pPr>
        <w:pStyle w:val="Heading5"/>
        <w:spacing w:line="480" w:lineRule="auto"/>
        <w:ind w:left="1940" w:right="440" w:hanging="1440"/>
      </w:pPr>
      <w:r>
        <w:rPr>
          <w:color w:val="212121"/>
        </w:rPr>
        <w:t>1(b)(a)       Whether the building existed at Nazul plot no.583 of the Khasra of the year 1931 of Mohalla Kot Ram Chandra known as Ram Kot, City </w:t>
      </w:r>
      <w:r>
        <w:rPr>
          <w:color w:val="212121"/>
          <w:spacing w:val="-3"/>
        </w:rPr>
        <w:t>Ayodhya </w:t>
      </w:r>
      <w:r>
        <w:rPr>
          <w:color w:val="212121"/>
        </w:rPr>
        <w:t>(Nazul estate?) </w:t>
      </w:r>
      <w:r>
        <w:rPr>
          <w:color w:val="212121"/>
          <w:spacing w:val="-3"/>
        </w:rPr>
        <w:t>Ayodhya. </w:t>
      </w:r>
      <w:r>
        <w:rPr>
          <w:color w:val="212121"/>
        </w:rPr>
        <w:t>If so its effect thereon.</w:t>
      </w:r>
    </w:p>
    <w:p>
      <w:pPr>
        <w:pStyle w:val="ListParagraph"/>
        <w:numPr>
          <w:ilvl w:val="0"/>
          <w:numId w:val="195"/>
        </w:numPr>
        <w:tabs>
          <w:tab w:pos="2661" w:val="left" w:leader="none"/>
        </w:tabs>
        <w:spacing w:line="472" w:lineRule="auto" w:before="0" w:after="0"/>
        <w:ind w:left="2660" w:right="438" w:hanging="720"/>
        <w:jc w:val="both"/>
        <w:rPr>
          <w:sz w:val="25"/>
        </w:rPr>
      </w:pPr>
      <w:r>
        <w:rPr>
          <w:b/>
          <w:sz w:val="25"/>
        </w:rPr>
        <w:t>Justice S U Khan </w:t>
      </w:r>
      <w:r>
        <w:rPr>
          <w:sz w:val="25"/>
        </w:rPr>
        <w:t>- Following the demolition of the structure on 6 December 1992, it is no longer necessary to decide the question of identification of the</w:t>
      </w:r>
      <w:r>
        <w:rPr>
          <w:spacing w:val="-5"/>
          <w:sz w:val="25"/>
        </w:rPr>
        <w:t> </w:t>
      </w:r>
      <w:r>
        <w:rPr>
          <w:spacing w:val="-3"/>
          <w:sz w:val="25"/>
        </w:rPr>
        <w:t>property.</w:t>
      </w:r>
    </w:p>
    <w:p>
      <w:pPr>
        <w:pStyle w:val="ListParagraph"/>
        <w:numPr>
          <w:ilvl w:val="0"/>
          <w:numId w:val="195"/>
        </w:numPr>
        <w:tabs>
          <w:tab w:pos="2661" w:val="left" w:leader="none"/>
        </w:tabs>
        <w:spacing w:line="477" w:lineRule="auto" w:before="6" w:after="0"/>
        <w:ind w:left="2660" w:right="439" w:hanging="720"/>
        <w:jc w:val="both"/>
        <w:rPr>
          <w:sz w:val="25"/>
        </w:rPr>
      </w:pPr>
      <w:r>
        <w:rPr>
          <w:b/>
          <w:sz w:val="25"/>
        </w:rPr>
        <w:t>Justice Sudhir Agarwal </w:t>
      </w:r>
      <w:r>
        <w:rPr>
          <w:sz w:val="25"/>
        </w:rPr>
        <w:t>– Though the building is shown to be situated on Nazul plot number 583 of the Khasra of 1931 of Mohalla Kot Ram Chandra, it will not impact upon the claim of the two communities since the State of Uttar Pradesh has not staked any claim, having filed a written statement of no contest.</w:t>
      </w:r>
    </w:p>
    <w:p>
      <w:pPr>
        <w:pStyle w:val="ListParagraph"/>
        <w:numPr>
          <w:ilvl w:val="0"/>
          <w:numId w:val="195"/>
        </w:numPr>
        <w:tabs>
          <w:tab w:pos="2661" w:val="left" w:leader="none"/>
        </w:tabs>
        <w:spacing w:line="465" w:lineRule="auto" w:before="0" w:after="0"/>
        <w:ind w:left="2660" w:right="441" w:hanging="720"/>
        <w:jc w:val="both"/>
        <w:rPr>
          <w:sz w:val="25"/>
        </w:rPr>
      </w:pPr>
      <w:r>
        <w:rPr>
          <w:b/>
          <w:sz w:val="25"/>
        </w:rPr>
        <w:t>Justice D V Sharma </w:t>
      </w:r>
      <w:r>
        <w:rPr>
          <w:sz w:val="25"/>
        </w:rPr>
        <w:t>- The property existed on Nazul plot number 583 of Khasra of 1931 belonging to the</w:t>
      </w:r>
      <w:r>
        <w:rPr>
          <w:spacing w:val="-26"/>
          <w:sz w:val="25"/>
        </w:rPr>
        <w:t> </w:t>
      </w:r>
      <w:r>
        <w:rPr>
          <w:sz w:val="25"/>
        </w:rPr>
        <w:t>government.</w:t>
      </w:r>
    </w:p>
    <w:p>
      <w:pPr>
        <w:spacing w:after="0" w:line="465" w:lineRule="auto"/>
        <w:jc w:val="both"/>
        <w:rPr>
          <w:sz w:val="25"/>
        </w:rPr>
        <w:sectPr>
          <w:pgSz w:w="11910" w:h="16840"/>
          <w:pgMar w:header="721" w:footer="1014" w:top="1300" w:bottom="1200" w:left="940" w:right="1000"/>
        </w:sectPr>
      </w:pPr>
    </w:p>
    <w:p>
      <w:pPr>
        <w:pStyle w:val="Heading5"/>
        <w:tabs>
          <w:tab w:pos="2189" w:val="left" w:leader="none"/>
        </w:tabs>
        <w:spacing w:line="480" w:lineRule="auto" w:before="121"/>
        <w:ind w:left="2120" w:right="448" w:hanging="1620"/>
      </w:pPr>
      <w:r>
        <w:rPr/>
        <w:t>1-B(b)</w:t>
        <w:tab/>
        <w:tab/>
      </w:r>
      <w:r>
        <w:rPr>
          <w:color w:val="212121"/>
        </w:rPr>
        <w:t>Whether the building stood dedicated to almighty God as alleged by the</w:t>
      </w:r>
      <w:r>
        <w:rPr>
          <w:color w:val="212121"/>
          <w:spacing w:val="-8"/>
        </w:rPr>
        <w:t> </w:t>
      </w:r>
      <w:r>
        <w:rPr>
          <w:color w:val="212121"/>
        </w:rPr>
        <w:t>plaintiffs.</w:t>
      </w:r>
    </w:p>
    <w:p>
      <w:pPr>
        <w:pStyle w:val="ListParagraph"/>
        <w:numPr>
          <w:ilvl w:val="0"/>
          <w:numId w:val="195"/>
        </w:numPr>
        <w:tabs>
          <w:tab w:pos="2661" w:val="left" w:leader="none"/>
        </w:tabs>
        <w:spacing w:line="306" w:lineRule="exact" w:before="0" w:after="0"/>
        <w:ind w:left="2660" w:right="0" w:hanging="721"/>
        <w:jc w:val="both"/>
        <w:rPr>
          <w:sz w:val="25"/>
        </w:rPr>
      </w:pPr>
      <w:r>
        <w:rPr>
          <w:b/>
          <w:sz w:val="25"/>
        </w:rPr>
        <w:t>Justice S U Khan </w:t>
      </w:r>
      <w:r>
        <w:rPr>
          <w:sz w:val="25"/>
        </w:rPr>
        <w:t>- The mosque was a valid</w:t>
      </w:r>
      <w:r>
        <w:rPr>
          <w:spacing w:val="-17"/>
          <w:sz w:val="25"/>
        </w:rPr>
        <w:t> </w:t>
      </w:r>
      <w:r>
        <w:rPr>
          <w:sz w:val="25"/>
        </w:rPr>
        <w:t>mosque.</w:t>
      </w:r>
    </w:p>
    <w:p>
      <w:pPr>
        <w:pStyle w:val="BodyText"/>
        <w:spacing w:before="11"/>
        <w:rPr>
          <w:sz w:val="24"/>
        </w:rPr>
      </w:pPr>
    </w:p>
    <w:p>
      <w:pPr>
        <w:pStyle w:val="ListParagraph"/>
        <w:numPr>
          <w:ilvl w:val="0"/>
          <w:numId w:val="195"/>
        </w:numPr>
        <w:tabs>
          <w:tab w:pos="2661" w:val="left" w:leader="none"/>
        </w:tabs>
        <w:spacing w:line="240" w:lineRule="auto" w:before="0" w:after="0"/>
        <w:ind w:left="2660" w:right="0" w:hanging="721"/>
        <w:jc w:val="both"/>
        <w:rPr>
          <w:sz w:val="25"/>
        </w:rPr>
      </w:pPr>
      <w:r>
        <w:rPr>
          <w:b/>
          <w:sz w:val="25"/>
        </w:rPr>
        <w:t>Justice Sudhir Agarwal </w:t>
      </w:r>
      <w:r>
        <w:rPr>
          <w:sz w:val="25"/>
        </w:rPr>
        <w:t>- Not answered, being</w:t>
      </w:r>
      <w:r>
        <w:rPr>
          <w:spacing w:val="-18"/>
          <w:sz w:val="25"/>
        </w:rPr>
        <w:t> </w:t>
      </w:r>
      <w:r>
        <w:rPr>
          <w:sz w:val="25"/>
        </w:rPr>
        <w:t>irrelevant.</w:t>
      </w:r>
    </w:p>
    <w:p>
      <w:pPr>
        <w:pStyle w:val="BodyText"/>
        <w:spacing w:before="8"/>
        <w:rPr>
          <w:sz w:val="24"/>
        </w:rPr>
      </w:pPr>
    </w:p>
    <w:p>
      <w:pPr>
        <w:pStyle w:val="ListParagraph"/>
        <w:numPr>
          <w:ilvl w:val="0"/>
          <w:numId w:val="195"/>
        </w:numPr>
        <w:tabs>
          <w:tab w:pos="2661" w:val="left" w:leader="none"/>
        </w:tabs>
        <w:spacing w:line="240" w:lineRule="auto" w:before="0" w:after="0"/>
        <w:ind w:left="2660" w:right="0" w:hanging="721"/>
        <w:jc w:val="both"/>
        <w:rPr>
          <w:sz w:val="25"/>
        </w:rPr>
      </w:pPr>
      <w:r>
        <w:rPr>
          <w:b/>
          <w:sz w:val="25"/>
        </w:rPr>
        <w:t>Justice D V Sharma </w:t>
      </w:r>
      <w:r>
        <w:rPr>
          <w:sz w:val="25"/>
        </w:rPr>
        <w:t>- Answered against the</w:t>
      </w:r>
      <w:r>
        <w:rPr>
          <w:spacing w:val="-24"/>
          <w:sz w:val="25"/>
        </w:rPr>
        <w:t> </w:t>
      </w:r>
      <w:r>
        <w:rPr>
          <w:sz w:val="25"/>
        </w:rPr>
        <w:t>plaintiffs.</w:t>
      </w:r>
    </w:p>
    <w:p>
      <w:pPr>
        <w:pStyle w:val="BodyText"/>
        <w:rPr>
          <w:sz w:val="30"/>
        </w:rPr>
      </w:pPr>
    </w:p>
    <w:p>
      <w:pPr>
        <w:pStyle w:val="BodyText"/>
        <w:spacing w:before="11"/>
        <w:rPr>
          <w:sz w:val="42"/>
        </w:rPr>
      </w:pPr>
    </w:p>
    <w:p>
      <w:pPr>
        <w:pStyle w:val="Heading5"/>
        <w:tabs>
          <w:tab w:pos="2031" w:val="left" w:leader="none"/>
        </w:tabs>
        <w:spacing w:line="480" w:lineRule="auto"/>
        <w:ind w:left="2031" w:right="443" w:hanging="1532"/>
      </w:pPr>
      <w:r>
        <w:rPr/>
        <w:t>1-B(c)</w:t>
        <w:tab/>
      </w:r>
      <w:r>
        <w:rPr>
          <w:color w:val="212121"/>
        </w:rPr>
        <w:t>Whether the building had been used by the members of the Muslim community for offering prayers from time immemorial. If so, its</w:t>
      </w:r>
      <w:r>
        <w:rPr>
          <w:color w:val="212121"/>
          <w:spacing w:val="-3"/>
        </w:rPr>
        <w:t> </w:t>
      </w:r>
      <w:r>
        <w:rPr>
          <w:color w:val="212121"/>
        </w:rPr>
        <w:t>effect.</w:t>
      </w:r>
    </w:p>
    <w:p>
      <w:pPr>
        <w:pStyle w:val="ListParagraph"/>
        <w:numPr>
          <w:ilvl w:val="0"/>
          <w:numId w:val="195"/>
        </w:numPr>
        <w:tabs>
          <w:tab w:pos="2661" w:val="left" w:leader="none"/>
        </w:tabs>
        <w:spacing w:line="475" w:lineRule="auto" w:before="1" w:after="0"/>
        <w:ind w:left="2660" w:right="438" w:hanging="720"/>
        <w:jc w:val="both"/>
        <w:rPr>
          <w:sz w:val="25"/>
        </w:rPr>
      </w:pPr>
      <w:r>
        <w:rPr>
          <w:b/>
          <w:sz w:val="25"/>
        </w:rPr>
        <w:t>Justice S U Khan </w:t>
      </w:r>
      <w:r>
        <w:rPr>
          <w:sz w:val="25"/>
        </w:rPr>
        <w:t>- Until 1934, the mosque which was constructed by or under the orders of Babur was being used for regular prayers by Muslims. From 1934 until 22 December 1949, only Friday prayers were conducted but this is sufficient to indicate continuance of possession and</w:t>
      </w:r>
      <w:r>
        <w:rPr>
          <w:spacing w:val="-6"/>
          <w:sz w:val="25"/>
        </w:rPr>
        <w:t> </w:t>
      </w:r>
      <w:r>
        <w:rPr>
          <w:sz w:val="25"/>
        </w:rPr>
        <w:t>use.</w:t>
      </w:r>
    </w:p>
    <w:p>
      <w:pPr>
        <w:pStyle w:val="ListParagraph"/>
        <w:numPr>
          <w:ilvl w:val="0"/>
          <w:numId w:val="195"/>
        </w:numPr>
        <w:tabs>
          <w:tab w:pos="2661" w:val="left" w:leader="none"/>
        </w:tabs>
        <w:spacing w:line="477" w:lineRule="auto" w:before="7" w:after="0"/>
        <w:ind w:left="2660" w:right="435" w:hanging="720"/>
        <w:jc w:val="both"/>
        <w:rPr>
          <w:sz w:val="25"/>
        </w:rPr>
      </w:pPr>
      <w:r>
        <w:rPr>
          <w:b/>
          <w:sz w:val="25"/>
        </w:rPr>
        <w:t>Justice Sudhir Agarwal </w:t>
      </w:r>
      <w:r>
        <w:rPr>
          <w:sz w:val="25"/>
        </w:rPr>
        <w:t>- Since both the parties were using the structure in accordance with their respective forms of worship, belief and faith for 80 years prior to the institution of the first suit, the inner courtyard and the building were not restricted for use by one</w:t>
      </w:r>
      <w:r>
        <w:rPr>
          <w:spacing w:val="-5"/>
          <w:sz w:val="25"/>
        </w:rPr>
        <w:t> </w:t>
      </w:r>
      <w:r>
        <w:rPr>
          <w:spacing w:val="-3"/>
          <w:sz w:val="25"/>
        </w:rPr>
        <w:t>community.</w:t>
      </w:r>
    </w:p>
    <w:p>
      <w:pPr>
        <w:pStyle w:val="ListParagraph"/>
        <w:numPr>
          <w:ilvl w:val="0"/>
          <w:numId w:val="195"/>
        </w:numPr>
        <w:tabs>
          <w:tab w:pos="2661" w:val="left" w:leader="none"/>
        </w:tabs>
        <w:spacing w:line="301" w:lineRule="exact" w:before="0" w:after="0"/>
        <w:ind w:left="2660" w:right="0" w:hanging="721"/>
        <w:jc w:val="both"/>
        <w:rPr>
          <w:sz w:val="25"/>
        </w:rPr>
      </w:pPr>
      <w:r>
        <w:rPr>
          <w:b/>
          <w:sz w:val="25"/>
        </w:rPr>
        <w:t>Justice D V Sharma </w:t>
      </w:r>
      <w:r>
        <w:rPr>
          <w:sz w:val="25"/>
        </w:rPr>
        <w:t>– Answered against the</w:t>
      </w:r>
      <w:r>
        <w:rPr>
          <w:spacing w:val="-11"/>
          <w:sz w:val="25"/>
        </w:rPr>
        <w:t> </w:t>
      </w:r>
      <w:r>
        <w:rPr>
          <w:sz w:val="25"/>
        </w:rPr>
        <w:t>plaintiffs.</w:t>
      </w:r>
    </w:p>
    <w:p>
      <w:pPr>
        <w:pStyle w:val="BodyText"/>
        <w:rPr>
          <w:sz w:val="30"/>
        </w:rPr>
      </w:pPr>
    </w:p>
    <w:p>
      <w:pPr>
        <w:pStyle w:val="Heading5"/>
        <w:numPr>
          <w:ilvl w:val="0"/>
          <w:numId w:val="196"/>
        </w:numPr>
        <w:tabs>
          <w:tab w:pos="2031" w:val="left" w:leader="none"/>
          <w:tab w:pos="2032" w:val="left" w:leader="none"/>
        </w:tabs>
        <w:spacing w:line="480" w:lineRule="auto" w:before="229" w:after="0"/>
        <w:ind w:left="2031" w:right="445" w:hanging="1532"/>
        <w:jc w:val="both"/>
      </w:pPr>
      <w:r>
        <w:rPr>
          <w:color w:val="212121"/>
        </w:rPr>
        <w:t>Whether the plaintiffs were in possession of the property in suit upto 1949 and were dispossessed from the same in 1949 as alleged in the</w:t>
      </w:r>
      <w:r>
        <w:rPr>
          <w:color w:val="212121"/>
          <w:spacing w:val="-3"/>
        </w:rPr>
        <w:t> </w:t>
      </w:r>
      <w:r>
        <w:rPr>
          <w:color w:val="212121"/>
        </w:rPr>
        <w:t>plaint.</w:t>
      </w:r>
    </w:p>
    <w:p>
      <w:pPr>
        <w:spacing w:after="0" w:line="480" w:lineRule="auto"/>
        <w:jc w:val="both"/>
        <w:sectPr>
          <w:pgSz w:w="11910" w:h="16840"/>
          <w:pgMar w:header="721" w:footer="1014" w:top="1300" w:bottom="1200" w:left="940" w:right="1000"/>
        </w:sectPr>
      </w:pPr>
    </w:p>
    <w:p>
      <w:pPr>
        <w:pStyle w:val="ListParagraph"/>
        <w:numPr>
          <w:ilvl w:val="1"/>
          <w:numId w:val="196"/>
        </w:numPr>
        <w:tabs>
          <w:tab w:pos="2661" w:val="left" w:leader="none"/>
        </w:tabs>
        <w:spacing w:line="472" w:lineRule="auto" w:before="121" w:after="0"/>
        <w:ind w:left="2660" w:right="437" w:hanging="720"/>
        <w:jc w:val="both"/>
        <w:rPr>
          <w:sz w:val="25"/>
        </w:rPr>
      </w:pPr>
      <w:r>
        <w:rPr>
          <w:b/>
          <w:sz w:val="25"/>
        </w:rPr>
        <w:t>Justice S U Khan </w:t>
      </w:r>
      <w:r>
        <w:rPr>
          <w:sz w:val="25"/>
        </w:rPr>
        <w:t>- </w:t>
      </w:r>
      <w:r>
        <w:rPr>
          <w:spacing w:val="-3"/>
          <w:sz w:val="25"/>
        </w:rPr>
        <w:t>Title </w:t>
      </w:r>
      <w:r>
        <w:rPr>
          <w:sz w:val="25"/>
        </w:rPr>
        <w:t>follows possession. Hence, both parties held to be joint title-holders in possession of the premises in</w:t>
      </w:r>
      <w:r>
        <w:rPr>
          <w:spacing w:val="-2"/>
          <w:sz w:val="25"/>
        </w:rPr>
        <w:t> </w:t>
      </w:r>
      <w:r>
        <w:rPr>
          <w:sz w:val="25"/>
        </w:rPr>
        <w:t>dispute.</w:t>
      </w:r>
    </w:p>
    <w:p>
      <w:pPr>
        <w:pStyle w:val="ListParagraph"/>
        <w:numPr>
          <w:ilvl w:val="1"/>
          <w:numId w:val="196"/>
        </w:numPr>
        <w:tabs>
          <w:tab w:pos="2661" w:val="left" w:leader="none"/>
        </w:tabs>
        <w:spacing w:line="465" w:lineRule="auto" w:before="7" w:after="0"/>
        <w:ind w:left="2660" w:right="436" w:hanging="720"/>
        <w:jc w:val="both"/>
        <w:rPr>
          <w:sz w:val="25"/>
        </w:rPr>
      </w:pPr>
      <w:r>
        <w:rPr>
          <w:b/>
          <w:sz w:val="25"/>
        </w:rPr>
        <w:t>Justice Sudhir Agarwal </w:t>
      </w:r>
      <w:r>
        <w:rPr>
          <w:sz w:val="25"/>
        </w:rPr>
        <w:t>and </w:t>
      </w:r>
      <w:r>
        <w:rPr>
          <w:b/>
          <w:sz w:val="25"/>
        </w:rPr>
        <w:t>Justice D V Sharma </w:t>
      </w:r>
      <w:r>
        <w:rPr>
          <w:sz w:val="25"/>
        </w:rPr>
        <w:t>- Answered against the</w:t>
      </w:r>
      <w:r>
        <w:rPr>
          <w:spacing w:val="-3"/>
          <w:sz w:val="25"/>
        </w:rPr>
        <w:t> </w:t>
      </w:r>
      <w:r>
        <w:rPr>
          <w:sz w:val="25"/>
        </w:rPr>
        <w:t>plaintiffs</w:t>
      </w:r>
    </w:p>
    <w:p>
      <w:pPr>
        <w:pStyle w:val="BodyText"/>
        <w:rPr>
          <w:sz w:val="28"/>
        </w:rPr>
      </w:pPr>
    </w:p>
    <w:p>
      <w:pPr>
        <w:pStyle w:val="BodyText"/>
        <w:spacing w:before="2"/>
        <w:rPr>
          <w:sz w:val="23"/>
        </w:rPr>
      </w:pPr>
    </w:p>
    <w:p>
      <w:pPr>
        <w:pStyle w:val="Heading5"/>
        <w:numPr>
          <w:ilvl w:val="0"/>
          <w:numId w:val="196"/>
        </w:numPr>
        <w:tabs>
          <w:tab w:pos="2031" w:val="left" w:leader="none"/>
          <w:tab w:pos="2032" w:val="left" w:leader="none"/>
        </w:tabs>
        <w:spacing w:line="240" w:lineRule="auto" w:before="0" w:after="0"/>
        <w:ind w:left="2031" w:right="0" w:hanging="1532"/>
        <w:jc w:val="left"/>
      </w:pPr>
      <w:r>
        <w:rPr>
          <w:color w:val="212121"/>
        </w:rPr>
        <w:t>Is the suit within</w:t>
      </w:r>
      <w:r>
        <w:rPr>
          <w:color w:val="212121"/>
          <w:spacing w:val="-6"/>
        </w:rPr>
        <w:t> </w:t>
      </w:r>
      <w:r>
        <w:rPr>
          <w:color w:val="212121"/>
        </w:rPr>
        <w:t>time.</w:t>
      </w:r>
    </w:p>
    <w:p>
      <w:pPr>
        <w:pStyle w:val="BodyText"/>
        <w:spacing w:before="1"/>
        <w:rPr>
          <w:b/>
        </w:rPr>
      </w:pPr>
    </w:p>
    <w:p>
      <w:pPr>
        <w:pStyle w:val="ListParagraph"/>
        <w:numPr>
          <w:ilvl w:val="1"/>
          <w:numId w:val="196"/>
        </w:numPr>
        <w:tabs>
          <w:tab w:pos="2661" w:val="left" w:leader="none"/>
        </w:tabs>
        <w:spacing w:line="240" w:lineRule="auto" w:before="0" w:after="0"/>
        <w:ind w:left="2660" w:right="0" w:hanging="721"/>
        <w:jc w:val="both"/>
        <w:rPr>
          <w:sz w:val="25"/>
        </w:rPr>
      </w:pPr>
      <w:r>
        <w:rPr>
          <w:b/>
          <w:sz w:val="25"/>
        </w:rPr>
        <w:t>Justice S U Khan </w:t>
      </w:r>
      <w:r>
        <w:rPr>
          <w:sz w:val="25"/>
        </w:rPr>
        <w:t>- The suit is not barred by</w:t>
      </w:r>
      <w:r>
        <w:rPr>
          <w:spacing w:val="-20"/>
          <w:sz w:val="25"/>
        </w:rPr>
        <w:t> </w:t>
      </w:r>
      <w:r>
        <w:rPr>
          <w:sz w:val="25"/>
        </w:rPr>
        <w:t>limitation.</w:t>
      </w:r>
    </w:p>
    <w:p>
      <w:pPr>
        <w:pStyle w:val="BodyText"/>
        <w:spacing w:before="10"/>
        <w:rPr>
          <w:sz w:val="24"/>
        </w:rPr>
      </w:pPr>
    </w:p>
    <w:p>
      <w:pPr>
        <w:pStyle w:val="ListParagraph"/>
        <w:numPr>
          <w:ilvl w:val="1"/>
          <w:numId w:val="196"/>
        </w:numPr>
        <w:tabs>
          <w:tab w:pos="2661" w:val="left" w:leader="none"/>
        </w:tabs>
        <w:spacing w:line="465" w:lineRule="auto" w:before="0" w:after="0"/>
        <w:ind w:left="2660" w:right="435" w:hanging="720"/>
        <w:jc w:val="both"/>
        <w:rPr>
          <w:sz w:val="25"/>
        </w:rPr>
      </w:pPr>
      <w:r>
        <w:rPr>
          <w:b/>
          <w:sz w:val="25"/>
        </w:rPr>
        <w:t>Justice Sudhir Agarwal </w:t>
      </w:r>
      <w:r>
        <w:rPr>
          <w:sz w:val="25"/>
        </w:rPr>
        <w:t>and </w:t>
      </w:r>
      <w:r>
        <w:rPr>
          <w:b/>
          <w:sz w:val="25"/>
        </w:rPr>
        <w:t>Justice D V Dharma </w:t>
      </w:r>
      <w:r>
        <w:rPr>
          <w:sz w:val="25"/>
        </w:rPr>
        <w:t>- The suit is barred by</w:t>
      </w:r>
      <w:r>
        <w:rPr>
          <w:spacing w:val="-4"/>
          <w:sz w:val="25"/>
        </w:rPr>
        <w:t> </w:t>
      </w:r>
      <w:r>
        <w:rPr>
          <w:sz w:val="25"/>
        </w:rPr>
        <w:t>limitation.</w:t>
      </w:r>
    </w:p>
    <w:p>
      <w:pPr>
        <w:pStyle w:val="BodyText"/>
        <w:spacing w:before="3"/>
      </w:pPr>
    </w:p>
    <w:p>
      <w:pPr>
        <w:pStyle w:val="Heading5"/>
        <w:numPr>
          <w:ilvl w:val="0"/>
          <w:numId w:val="196"/>
        </w:numPr>
        <w:tabs>
          <w:tab w:pos="2031" w:val="left" w:leader="none"/>
          <w:tab w:pos="2032" w:val="left" w:leader="none"/>
        </w:tabs>
        <w:spacing w:line="480" w:lineRule="auto" w:before="0" w:after="0"/>
        <w:ind w:left="2031" w:right="441" w:hanging="1532"/>
        <w:jc w:val="both"/>
      </w:pPr>
      <w:r>
        <w:rPr>
          <w:color w:val="212121"/>
        </w:rPr>
        <w:t>Whether the Hindus in general and the devotees of 'Bhagwan Sri Ram in particular have perfected right of prayers at the site by adverse and continuous possession as of right for more than the statutory period of time by way of prescription as alleged by the</w:t>
      </w:r>
      <w:r>
        <w:rPr>
          <w:color w:val="212121"/>
          <w:spacing w:val="-8"/>
        </w:rPr>
        <w:t> </w:t>
      </w:r>
      <w:r>
        <w:rPr>
          <w:color w:val="212121"/>
        </w:rPr>
        <w:t>defendants.</w:t>
      </w:r>
    </w:p>
    <w:p>
      <w:pPr>
        <w:pStyle w:val="ListParagraph"/>
        <w:numPr>
          <w:ilvl w:val="1"/>
          <w:numId w:val="196"/>
        </w:numPr>
        <w:tabs>
          <w:tab w:pos="2661" w:val="left" w:leader="none"/>
        </w:tabs>
        <w:spacing w:line="472" w:lineRule="auto" w:before="1" w:after="0"/>
        <w:ind w:left="2660" w:right="436" w:hanging="720"/>
        <w:jc w:val="both"/>
        <w:rPr>
          <w:sz w:val="25"/>
        </w:rPr>
      </w:pPr>
      <w:r>
        <w:rPr>
          <w:b/>
          <w:sz w:val="25"/>
        </w:rPr>
        <w:t>Justice S U Khan </w:t>
      </w:r>
      <w:r>
        <w:rPr>
          <w:sz w:val="25"/>
        </w:rPr>
        <w:t>- Both parties held to be joint title-holders in possession since prior to 1885 and hence it is not necessary to decide the question of adverse</w:t>
      </w:r>
      <w:r>
        <w:rPr>
          <w:spacing w:val="-16"/>
          <w:sz w:val="25"/>
        </w:rPr>
        <w:t> </w:t>
      </w:r>
      <w:r>
        <w:rPr>
          <w:sz w:val="25"/>
        </w:rPr>
        <w:t>possession.</w:t>
      </w:r>
    </w:p>
    <w:p>
      <w:pPr>
        <w:pStyle w:val="ListParagraph"/>
        <w:numPr>
          <w:ilvl w:val="1"/>
          <w:numId w:val="196"/>
        </w:numPr>
        <w:tabs>
          <w:tab w:pos="2661" w:val="left" w:leader="none"/>
        </w:tabs>
        <w:spacing w:line="472" w:lineRule="auto" w:before="5" w:after="0"/>
        <w:ind w:left="2660" w:right="439" w:hanging="720"/>
        <w:jc w:val="both"/>
        <w:rPr>
          <w:sz w:val="25"/>
        </w:rPr>
      </w:pPr>
      <w:r>
        <w:rPr>
          <w:b/>
          <w:sz w:val="25"/>
        </w:rPr>
        <w:t>Justice Sudhir Agarwal </w:t>
      </w:r>
      <w:r>
        <w:rPr>
          <w:sz w:val="25"/>
        </w:rPr>
        <w:t>- Since 1856-57, the outer courtyard has not been used or possessed by Muslims but the inner courtyard has been used by both</w:t>
      </w:r>
      <w:r>
        <w:rPr>
          <w:spacing w:val="-8"/>
          <w:sz w:val="25"/>
        </w:rPr>
        <w:t> </w:t>
      </w:r>
      <w:r>
        <w:rPr>
          <w:sz w:val="25"/>
        </w:rPr>
        <w:t>parties.</w:t>
      </w:r>
    </w:p>
    <w:p>
      <w:pPr>
        <w:pStyle w:val="ListParagraph"/>
        <w:numPr>
          <w:ilvl w:val="1"/>
          <w:numId w:val="196"/>
        </w:numPr>
        <w:tabs>
          <w:tab w:pos="2661" w:val="left" w:leader="none"/>
        </w:tabs>
        <w:spacing w:line="240" w:lineRule="auto" w:before="6" w:after="0"/>
        <w:ind w:left="2660" w:right="0" w:hanging="721"/>
        <w:jc w:val="both"/>
        <w:rPr>
          <w:sz w:val="25"/>
        </w:rPr>
      </w:pPr>
      <w:r>
        <w:rPr>
          <w:b/>
          <w:sz w:val="25"/>
        </w:rPr>
        <w:t>Justice D V Sharma </w:t>
      </w:r>
      <w:r>
        <w:rPr>
          <w:sz w:val="25"/>
        </w:rPr>
        <w:t>- Decided against the</w:t>
      </w:r>
      <w:r>
        <w:rPr>
          <w:spacing w:val="-11"/>
          <w:sz w:val="25"/>
        </w:rPr>
        <w:t> </w:t>
      </w:r>
      <w:r>
        <w:rPr>
          <w:sz w:val="25"/>
        </w:rPr>
        <w:t>plaintiffs.</w:t>
      </w:r>
    </w:p>
    <w:p>
      <w:pPr>
        <w:spacing w:after="0" w:line="240" w:lineRule="auto"/>
        <w:jc w:val="both"/>
        <w:rPr>
          <w:sz w:val="25"/>
        </w:rPr>
        <w:sectPr>
          <w:pgSz w:w="11910" w:h="16840"/>
          <w:pgMar w:header="721" w:footer="1014" w:top="1300" w:bottom="1200" w:left="940" w:right="1000"/>
        </w:sectPr>
      </w:pPr>
    </w:p>
    <w:p>
      <w:pPr>
        <w:pStyle w:val="Heading5"/>
        <w:numPr>
          <w:ilvl w:val="0"/>
          <w:numId w:val="196"/>
        </w:numPr>
        <w:tabs>
          <w:tab w:pos="709" w:val="left" w:leader="none"/>
          <w:tab w:pos="2031" w:val="left" w:leader="none"/>
        </w:tabs>
        <w:spacing w:line="480" w:lineRule="auto" w:before="121" w:after="0"/>
        <w:ind w:left="2031" w:right="440" w:hanging="1532"/>
        <w:jc w:val="both"/>
      </w:pPr>
      <w:r>
        <w:rPr/>
        <w:t>(a)</w:t>
        <w:tab/>
      </w:r>
      <w:r>
        <w:rPr>
          <w:color w:val="212121"/>
        </w:rPr>
        <w:t>Are the defendants estopped from challenging the character of property in suit as a waqf under the administration of plaintiff No.1 in view of the provision of Section 5(3) of U.P. </w:t>
      </w:r>
      <w:r>
        <w:rPr>
          <w:color w:val="212121"/>
          <w:spacing w:val="-2"/>
        </w:rPr>
        <w:t>Act </w:t>
      </w:r>
      <w:r>
        <w:rPr>
          <w:color w:val="212121"/>
        </w:rPr>
        <w:t>13 of 1936. (This issue has already been decided in the negative vide order dated 21.4.1966 by the learned Civil</w:t>
      </w:r>
      <w:r>
        <w:rPr>
          <w:color w:val="212121"/>
          <w:spacing w:val="-13"/>
        </w:rPr>
        <w:t> </w:t>
      </w:r>
      <w:r>
        <w:rPr>
          <w:color w:val="212121"/>
        </w:rPr>
        <w:t>Judge)</w:t>
      </w:r>
    </w:p>
    <w:p>
      <w:pPr>
        <w:pStyle w:val="ListParagraph"/>
        <w:numPr>
          <w:ilvl w:val="1"/>
          <w:numId w:val="196"/>
        </w:numPr>
        <w:tabs>
          <w:tab w:pos="1941" w:val="left" w:leader="none"/>
        </w:tabs>
        <w:spacing w:line="465" w:lineRule="auto" w:before="1" w:after="0"/>
        <w:ind w:left="1940" w:right="438" w:hanging="360"/>
        <w:jc w:val="both"/>
        <w:rPr>
          <w:sz w:val="25"/>
        </w:rPr>
      </w:pPr>
      <w:r>
        <w:rPr>
          <w:b/>
          <w:sz w:val="25"/>
        </w:rPr>
        <w:t>Justice S U Khan </w:t>
      </w:r>
      <w:r>
        <w:rPr>
          <w:sz w:val="25"/>
        </w:rPr>
        <w:t>- In the absence of any specific finding, he has stated that he is in agreement with Justice Sudhir</w:t>
      </w:r>
      <w:r>
        <w:rPr>
          <w:spacing w:val="-30"/>
          <w:sz w:val="25"/>
        </w:rPr>
        <w:t> </w:t>
      </w:r>
      <w:r>
        <w:rPr>
          <w:sz w:val="25"/>
        </w:rPr>
        <w:t>Agarwal.</w:t>
      </w:r>
    </w:p>
    <w:p>
      <w:pPr>
        <w:pStyle w:val="ListParagraph"/>
        <w:numPr>
          <w:ilvl w:val="1"/>
          <w:numId w:val="196"/>
        </w:numPr>
        <w:tabs>
          <w:tab w:pos="1941" w:val="left" w:leader="none"/>
        </w:tabs>
        <w:spacing w:line="472" w:lineRule="auto" w:before="15" w:after="0"/>
        <w:ind w:left="1940" w:right="435" w:hanging="360"/>
        <w:jc w:val="both"/>
        <w:rPr>
          <w:sz w:val="25"/>
        </w:rPr>
      </w:pPr>
      <w:r>
        <w:rPr>
          <w:b/>
          <w:sz w:val="25"/>
        </w:rPr>
        <w:t>Justice Sudhir Agarwal and Justice D V Sharma </w:t>
      </w:r>
      <w:r>
        <w:rPr>
          <w:sz w:val="25"/>
        </w:rPr>
        <w:t>- The issue has been answered against the plaintiffs by the order of the Civil Judge dated 21 April</w:t>
      </w:r>
      <w:r>
        <w:rPr>
          <w:spacing w:val="-16"/>
          <w:sz w:val="25"/>
        </w:rPr>
        <w:t> </w:t>
      </w:r>
      <w:r>
        <w:rPr>
          <w:sz w:val="25"/>
        </w:rPr>
        <w:t>1966.</w:t>
      </w:r>
    </w:p>
    <w:p>
      <w:pPr>
        <w:pStyle w:val="BodyText"/>
        <w:rPr>
          <w:sz w:val="28"/>
        </w:rPr>
      </w:pPr>
    </w:p>
    <w:p>
      <w:pPr>
        <w:pStyle w:val="Heading5"/>
        <w:tabs>
          <w:tab w:pos="2031" w:val="left" w:leader="none"/>
        </w:tabs>
        <w:spacing w:line="480" w:lineRule="auto" w:before="236"/>
        <w:ind w:left="2031" w:right="445" w:hanging="1532"/>
      </w:pPr>
      <w:r>
        <w:rPr/>
        <w:t>5</w:t>
      </w:r>
      <w:r>
        <w:rPr>
          <w:spacing w:val="-1"/>
        </w:rPr>
        <w:t> </w:t>
      </w:r>
      <w:r>
        <w:rPr/>
        <w:t>(b)</w:t>
        <w:tab/>
      </w:r>
      <w:r>
        <w:rPr>
          <w:color w:val="212121"/>
        </w:rPr>
        <w:t>Has the said </w:t>
      </w:r>
      <w:r>
        <w:rPr>
          <w:color w:val="212121"/>
          <w:spacing w:val="-3"/>
        </w:rPr>
        <w:t>Act </w:t>
      </w:r>
      <w:r>
        <w:rPr>
          <w:color w:val="212121"/>
        </w:rPr>
        <w:t>no application to the right of Hindus in general and defendants in particular, to the right of their worship.</w:t>
      </w:r>
    </w:p>
    <w:p>
      <w:pPr>
        <w:pStyle w:val="ListParagraph"/>
        <w:numPr>
          <w:ilvl w:val="0"/>
          <w:numId w:val="197"/>
        </w:numPr>
        <w:tabs>
          <w:tab w:pos="1941" w:val="left" w:leader="none"/>
        </w:tabs>
        <w:spacing w:line="465" w:lineRule="auto" w:before="0" w:after="0"/>
        <w:ind w:left="1940" w:right="438"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0"/>
          <w:numId w:val="197"/>
        </w:numPr>
        <w:tabs>
          <w:tab w:pos="1941" w:val="left" w:leader="none"/>
        </w:tabs>
        <w:spacing w:line="468" w:lineRule="auto" w:before="13" w:after="0"/>
        <w:ind w:left="1940" w:right="437" w:hanging="360"/>
        <w:jc w:val="both"/>
        <w:rPr>
          <w:sz w:val="25"/>
        </w:rPr>
      </w:pPr>
      <w:r>
        <w:rPr>
          <w:b/>
          <w:sz w:val="25"/>
        </w:rPr>
        <w:t>Justice Sudhir Agarwal and Justice D V Sharma </w:t>
      </w:r>
      <w:r>
        <w:rPr>
          <w:sz w:val="25"/>
        </w:rPr>
        <w:t>- Decided in favour of the defendants and the Hindu parties, against the</w:t>
      </w:r>
      <w:r>
        <w:rPr>
          <w:spacing w:val="-42"/>
          <w:sz w:val="25"/>
        </w:rPr>
        <w:t> </w:t>
      </w:r>
      <w:r>
        <w:rPr>
          <w:sz w:val="25"/>
        </w:rPr>
        <w:t>plaintiffs.</w:t>
      </w:r>
    </w:p>
    <w:p>
      <w:pPr>
        <w:pStyle w:val="BodyText"/>
        <w:rPr>
          <w:sz w:val="28"/>
        </w:rPr>
      </w:pPr>
    </w:p>
    <w:p>
      <w:pPr>
        <w:pStyle w:val="Heading5"/>
        <w:tabs>
          <w:tab w:pos="1940" w:val="left" w:leader="none"/>
        </w:tabs>
        <w:spacing w:line="480" w:lineRule="auto" w:before="242"/>
        <w:ind w:left="1940" w:right="446" w:hanging="1440"/>
      </w:pPr>
      <w:r>
        <w:rPr/>
        <w:t>5</w:t>
      </w:r>
      <w:r>
        <w:rPr>
          <w:spacing w:val="-1"/>
        </w:rPr>
        <w:t> </w:t>
      </w:r>
      <w:r>
        <w:rPr/>
        <w:t>(c)</w:t>
        <w:tab/>
      </w:r>
      <w:r>
        <w:rPr>
          <w:color w:val="212121"/>
        </w:rPr>
        <w:t>Were the proceedings under the said </w:t>
      </w:r>
      <w:r>
        <w:rPr>
          <w:color w:val="212121"/>
          <w:spacing w:val="-3"/>
        </w:rPr>
        <w:t>Act </w:t>
      </w:r>
      <w:r>
        <w:rPr>
          <w:color w:val="212121"/>
        </w:rPr>
        <w:t>conclusive. (This issue has already been decided in the negative vide order</w:t>
      </w:r>
      <w:r>
        <w:rPr>
          <w:color w:val="212121"/>
          <w:spacing w:val="-27"/>
        </w:rPr>
        <w:t> </w:t>
      </w:r>
      <w:r>
        <w:rPr>
          <w:color w:val="212121"/>
        </w:rPr>
        <w:t>dated 21 April 1996 by the learned Civil</w:t>
      </w:r>
      <w:r>
        <w:rPr>
          <w:color w:val="212121"/>
          <w:spacing w:val="-6"/>
        </w:rPr>
        <w:t> </w:t>
      </w:r>
      <w:r>
        <w:rPr>
          <w:color w:val="212121"/>
        </w:rPr>
        <w:t>Judge).</w:t>
      </w:r>
    </w:p>
    <w:p>
      <w:pPr>
        <w:pStyle w:val="ListParagraph"/>
        <w:numPr>
          <w:ilvl w:val="0"/>
          <w:numId w:val="198"/>
        </w:numPr>
        <w:tabs>
          <w:tab w:pos="1941" w:val="left" w:leader="none"/>
        </w:tabs>
        <w:spacing w:line="465" w:lineRule="auto" w:before="0" w:after="0"/>
        <w:ind w:left="1940" w:right="438" w:hanging="360"/>
        <w:jc w:val="both"/>
        <w:rPr>
          <w:sz w:val="25"/>
        </w:rPr>
      </w:pPr>
      <w:r>
        <w:rPr>
          <w:b/>
          <w:sz w:val="25"/>
        </w:rPr>
        <w:t>Justice S U Khan </w:t>
      </w:r>
      <w:r>
        <w:rPr>
          <w:sz w:val="25"/>
        </w:rPr>
        <w:t>- In the absence of any specific finding, he has stated that he is in agreement with Justice</w:t>
      </w:r>
      <w:r>
        <w:rPr>
          <w:spacing w:val="-21"/>
          <w:sz w:val="25"/>
        </w:rPr>
        <w:t> </w:t>
      </w:r>
      <w:r>
        <w:rPr>
          <w:sz w:val="25"/>
        </w:rPr>
        <w:t>Agarwal.</w:t>
      </w:r>
    </w:p>
    <w:p>
      <w:pPr>
        <w:spacing w:after="0" w:line="465" w:lineRule="auto"/>
        <w:jc w:val="both"/>
        <w:rPr>
          <w:sz w:val="25"/>
        </w:rPr>
        <w:sectPr>
          <w:pgSz w:w="11910" w:h="16840"/>
          <w:pgMar w:header="721" w:footer="1014" w:top="1300" w:bottom="1200" w:left="940" w:right="1000"/>
        </w:sectPr>
      </w:pPr>
    </w:p>
    <w:p>
      <w:pPr>
        <w:pStyle w:val="ListParagraph"/>
        <w:numPr>
          <w:ilvl w:val="0"/>
          <w:numId w:val="198"/>
        </w:numPr>
        <w:tabs>
          <w:tab w:pos="1941" w:val="left" w:leader="none"/>
        </w:tabs>
        <w:spacing w:line="472" w:lineRule="auto" w:before="121" w:after="0"/>
        <w:ind w:left="1940" w:right="441" w:hanging="360"/>
        <w:jc w:val="both"/>
        <w:rPr>
          <w:sz w:val="25"/>
        </w:rPr>
      </w:pPr>
      <w:r>
        <w:rPr>
          <w:b/>
          <w:sz w:val="25"/>
        </w:rPr>
        <w:t>Justice Sudhir Agarwal </w:t>
      </w:r>
      <w:r>
        <w:rPr>
          <w:sz w:val="25"/>
        </w:rPr>
        <w:t>- Decided by the order of the civil judge dated 21 April 1966 that the bar of Section 5(3) under UP Act XIII of 1936 does not hit the defence of the defendants of the leading</w:t>
      </w:r>
      <w:r>
        <w:rPr>
          <w:spacing w:val="-36"/>
          <w:sz w:val="25"/>
        </w:rPr>
        <w:t> </w:t>
      </w:r>
      <w:r>
        <w:rPr>
          <w:sz w:val="25"/>
        </w:rPr>
        <w:t>case.</w:t>
      </w:r>
    </w:p>
    <w:p>
      <w:pPr>
        <w:pStyle w:val="ListParagraph"/>
        <w:numPr>
          <w:ilvl w:val="0"/>
          <w:numId w:val="198"/>
        </w:numPr>
        <w:tabs>
          <w:tab w:pos="1941" w:val="left" w:leader="none"/>
        </w:tabs>
        <w:spacing w:line="465" w:lineRule="auto" w:before="7" w:after="0"/>
        <w:ind w:left="1940" w:right="438" w:hanging="360"/>
        <w:jc w:val="both"/>
        <w:rPr>
          <w:sz w:val="25"/>
        </w:rPr>
      </w:pPr>
      <w:r>
        <w:rPr>
          <w:b/>
          <w:sz w:val="25"/>
        </w:rPr>
        <w:t>Justice D V Sharma </w:t>
      </w:r>
      <w:r>
        <w:rPr>
          <w:sz w:val="25"/>
        </w:rPr>
        <w:t>- Decided in the negative by the order dated 21 April</w:t>
      </w:r>
      <w:r>
        <w:rPr>
          <w:spacing w:val="-16"/>
          <w:sz w:val="25"/>
        </w:rPr>
        <w:t> </w:t>
      </w:r>
      <w:r>
        <w:rPr>
          <w:sz w:val="25"/>
        </w:rPr>
        <w:t>1966.</w:t>
      </w:r>
    </w:p>
    <w:p>
      <w:pPr>
        <w:pStyle w:val="BodyText"/>
        <w:spacing w:before="3"/>
        <w:rPr>
          <w:sz w:val="26"/>
        </w:rPr>
      </w:pPr>
    </w:p>
    <w:p>
      <w:pPr>
        <w:pStyle w:val="Heading5"/>
        <w:tabs>
          <w:tab w:pos="1940" w:val="left" w:leader="none"/>
        </w:tabs>
        <w:spacing w:line="480" w:lineRule="auto"/>
        <w:ind w:left="1940" w:right="438" w:hanging="1440"/>
      </w:pPr>
      <w:r>
        <w:rPr/>
        <w:t>5</w:t>
      </w:r>
      <w:r>
        <w:rPr>
          <w:spacing w:val="-1"/>
        </w:rPr>
        <w:t> </w:t>
      </w:r>
      <w:r>
        <w:rPr/>
        <w:t>(d)</w:t>
        <w:tab/>
      </w:r>
      <w:r>
        <w:rPr>
          <w:color w:val="212121"/>
        </w:rPr>
        <w:t>Are the said provisions of </w:t>
      </w:r>
      <w:r>
        <w:rPr>
          <w:color w:val="212121"/>
          <w:spacing w:val="-3"/>
        </w:rPr>
        <w:t>Act </w:t>
      </w:r>
      <w:r>
        <w:rPr>
          <w:color w:val="212121"/>
        </w:rPr>
        <w:t>XIII of 1936 ultra-vires as alleged in written statement. (This issue was not pressed by counsel for the defendants, hence not answered by the learned Civil Judge, vide his order dated 21 April</w:t>
      </w:r>
      <w:r>
        <w:rPr>
          <w:color w:val="212121"/>
          <w:spacing w:val="-4"/>
        </w:rPr>
        <w:t> </w:t>
      </w:r>
      <w:r>
        <w:rPr>
          <w:color w:val="212121"/>
        </w:rPr>
        <w:t>1966).</w:t>
      </w:r>
    </w:p>
    <w:p>
      <w:pPr>
        <w:pStyle w:val="ListParagraph"/>
        <w:numPr>
          <w:ilvl w:val="0"/>
          <w:numId w:val="199"/>
        </w:numPr>
        <w:tabs>
          <w:tab w:pos="1941" w:val="left" w:leader="none"/>
        </w:tabs>
        <w:spacing w:line="465" w:lineRule="auto" w:before="0" w:after="0"/>
        <w:ind w:left="1940" w:right="438"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0"/>
          <w:numId w:val="199"/>
        </w:numPr>
        <w:tabs>
          <w:tab w:pos="1941" w:val="left" w:leader="none"/>
        </w:tabs>
        <w:spacing w:line="465" w:lineRule="auto" w:before="15" w:after="0"/>
        <w:ind w:left="1940" w:right="438" w:hanging="360"/>
        <w:jc w:val="both"/>
        <w:rPr>
          <w:sz w:val="25"/>
        </w:rPr>
      </w:pPr>
      <w:r>
        <w:rPr>
          <w:b/>
          <w:sz w:val="25"/>
        </w:rPr>
        <w:t>Justice Sudhir Agarwal and Justice D V Sharma </w:t>
      </w:r>
      <w:r>
        <w:rPr>
          <w:sz w:val="25"/>
        </w:rPr>
        <w:t>- Issue 5(d) has not been</w:t>
      </w:r>
      <w:r>
        <w:rPr>
          <w:spacing w:val="-2"/>
          <w:sz w:val="25"/>
        </w:rPr>
        <w:t> </w:t>
      </w:r>
      <w:r>
        <w:rPr>
          <w:sz w:val="25"/>
        </w:rPr>
        <w:t>pressed.</w:t>
      </w:r>
    </w:p>
    <w:p>
      <w:pPr>
        <w:pStyle w:val="Heading5"/>
        <w:tabs>
          <w:tab w:pos="1940" w:val="left" w:leader="none"/>
        </w:tabs>
        <w:spacing w:line="480" w:lineRule="auto" w:before="15"/>
        <w:ind w:left="1940" w:right="439" w:hanging="1440"/>
      </w:pPr>
      <w:r>
        <w:rPr/>
        <w:t>5</w:t>
      </w:r>
      <w:r>
        <w:rPr>
          <w:spacing w:val="-1"/>
        </w:rPr>
        <w:t> </w:t>
      </w:r>
      <w:r>
        <w:rPr/>
        <w:t>(e)</w:t>
        <w:tab/>
      </w:r>
      <w:r>
        <w:rPr>
          <w:color w:val="212121"/>
        </w:rPr>
        <w:t>Whether in view of the findings recorded by the learned Civil Judge on 21 April 1996 on issue no.17 to the effect that, "No valid notification under section 5(1) of the Muslim Waqf Act (No. XIII of 1936) was ever made in respect of the property in dispute", the plaintiff Sunni Central Board of Waqf has no right to maintain the present</w:t>
      </w:r>
      <w:r>
        <w:rPr>
          <w:color w:val="212121"/>
          <w:spacing w:val="-4"/>
        </w:rPr>
        <w:t> </w:t>
      </w:r>
      <w:r>
        <w:rPr>
          <w:color w:val="212121"/>
        </w:rPr>
        <w:t>suit.</w:t>
      </w:r>
    </w:p>
    <w:p>
      <w:pPr>
        <w:pStyle w:val="ListParagraph"/>
        <w:numPr>
          <w:ilvl w:val="0"/>
          <w:numId w:val="200"/>
        </w:numPr>
        <w:tabs>
          <w:tab w:pos="1941" w:val="left" w:leader="none"/>
        </w:tabs>
        <w:spacing w:line="465" w:lineRule="auto" w:before="2" w:after="0"/>
        <w:ind w:left="1940" w:right="438"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0"/>
          <w:numId w:val="200"/>
        </w:numPr>
        <w:tabs>
          <w:tab w:pos="1941" w:val="left" w:leader="none"/>
        </w:tabs>
        <w:spacing w:line="472" w:lineRule="auto" w:before="14" w:after="0"/>
        <w:ind w:left="1940" w:right="440" w:hanging="360"/>
        <w:jc w:val="both"/>
        <w:rPr>
          <w:sz w:val="25"/>
        </w:rPr>
      </w:pPr>
      <w:r>
        <w:rPr>
          <w:b/>
          <w:sz w:val="25"/>
        </w:rPr>
        <w:t>Justice Sudhir Agarwal </w:t>
      </w:r>
      <w:r>
        <w:rPr>
          <w:sz w:val="25"/>
        </w:rPr>
        <w:t>- Decided in favour of the plaintiffs subject to issue 6 in Suit 3 which has also been decided in favour of the defendants.</w:t>
      </w:r>
    </w:p>
    <w:p>
      <w:pPr>
        <w:spacing w:after="0" w:line="472" w:lineRule="auto"/>
        <w:jc w:val="both"/>
        <w:rPr>
          <w:sz w:val="25"/>
        </w:rPr>
        <w:sectPr>
          <w:pgSz w:w="11910" w:h="16840"/>
          <w:pgMar w:header="721" w:footer="1014" w:top="1300" w:bottom="1200" w:left="940" w:right="1000"/>
        </w:sectPr>
      </w:pPr>
    </w:p>
    <w:p>
      <w:pPr>
        <w:pStyle w:val="ListParagraph"/>
        <w:numPr>
          <w:ilvl w:val="0"/>
          <w:numId w:val="200"/>
        </w:numPr>
        <w:tabs>
          <w:tab w:pos="1941" w:val="left" w:leader="none"/>
        </w:tabs>
        <w:spacing w:line="240" w:lineRule="auto" w:before="121"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spacing w:before="11"/>
        <w:rPr>
          <w:sz w:val="24"/>
        </w:rPr>
      </w:pPr>
    </w:p>
    <w:p>
      <w:pPr>
        <w:pStyle w:val="Heading5"/>
        <w:numPr>
          <w:ilvl w:val="0"/>
          <w:numId w:val="201"/>
        </w:numPr>
        <w:tabs>
          <w:tab w:pos="709" w:val="left" w:leader="none"/>
          <w:tab w:pos="1940" w:val="left" w:leader="none"/>
        </w:tabs>
        <w:spacing w:line="480" w:lineRule="auto" w:before="0" w:after="0"/>
        <w:ind w:left="1940" w:right="436" w:hanging="1440"/>
        <w:jc w:val="both"/>
      </w:pPr>
      <w:r>
        <w:rPr/>
        <w:t>(f)</w:t>
        <w:tab/>
      </w:r>
      <w:r>
        <w:rPr>
          <w:color w:val="212121"/>
        </w:rPr>
        <w:t>Whether in view of the aforesaid finding, the suit is barred on account of lack of jurisdiction and limitation as it </w:t>
      </w:r>
      <w:r>
        <w:rPr>
          <w:color w:val="212121"/>
          <w:spacing w:val="4"/>
        </w:rPr>
        <w:t>was </w:t>
      </w:r>
      <w:r>
        <w:rPr>
          <w:color w:val="212121"/>
        </w:rPr>
        <w:t>filed after commencement of the U P Muslim Waqf Act,</w:t>
      </w:r>
      <w:r>
        <w:rPr>
          <w:color w:val="212121"/>
          <w:spacing w:val="-6"/>
        </w:rPr>
        <w:t> </w:t>
      </w:r>
      <w:r>
        <w:rPr>
          <w:color w:val="212121"/>
        </w:rPr>
        <w:t>1960.</w:t>
      </w:r>
    </w:p>
    <w:p>
      <w:pPr>
        <w:pStyle w:val="ListParagraph"/>
        <w:numPr>
          <w:ilvl w:val="1"/>
          <w:numId w:val="201"/>
        </w:numPr>
        <w:tabs>
          <w:tab w:pos="1941" w:val="left" w:leader="none"/>
        </w:tabs>
        <w:spacing w:line="465" w:lineRule="auto" w:before="0" w:after="0"/>
        <w:ind w:left="1940" w:right="438"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1"/>
        </w:numPr>
        <w:tabs>
          <w:tab w:pos="1941" w:val="left" w:leader="none"/>
        </w:tabs>
        <w:spacing w:line="465" w:lineRule="auto" w:before="13" w:after="0"/>
        <w:ind w:left="1940" w:right="442" w:hanging="360"/>
        <w:jc w:val="both"/>
        <w:rPr>
          <w:sz w:val="25"/>
        </w:rPr>
      </w:pPr>
      <w:r>
        <w:rPr>
          <w:b/>
          <w:sz w:val="25"/>
        </w:rPr>
        <w:t>Justice Sudhir Agarwal </w:t>
      </w:r>
      <w:r>
        <w:rPr>
          <w:sz w:val="25"/>
        </w:rPr>
        <w:t>- Answered in the negative in favour of the plaintiffs and against the</w:t>
      </w:r>
      <w:r>
        <w:rPr>
          <w:spacing w:val="-3"/>
          <w:sz w:val="25"/>
        </w:rPr>
        <w:t> </w:t>
      </w:r>
      <w:r>
        <w:rPr>
          <w:sz w:val="25"/>
        </w:rPr>
        <w:t>defendants.</w:t>
      </w:r>
    </w:p>
    <w:p>
      <w:pPr>
        <w:pStyle w:val="BodyText"/>
        <w:spacing w:before="5"/>
      </w:pPr>
    </w:p>
    <w:p>
      <w:pPr>
        <w:pStyle w:val="Heading5"/>
        <w:numPr>
          <w:ilvl w:val="0"/>
          <w:numId w:val="201"/>
        </w:numPr>
        <w:tabs>
          <w:tab w:pos="1940" w:val="left" w:leader="none"/>
          <w:tab w:pos="1941" w:val="left" w:leader="none"/>
        </w:tabs>
        <w:spacing w:line="480" w:lineRule="auto" w:before="1" w:after="0"/>
        <w:ind w:left="1940" w:right="443" w:hanging="1440"/>
        <w:jc w:val="both"/>
      </w:pPr>
      <w:r>
        <w:rPr>
          <w:color w:val="212121"/>
        </w:rPr>
        <w:t>Whether the present suit is a representative suit, plaintiffs representing the interest of the Muslims and defendants representing the interest of the</w:t>
      </w:r>
      <w:r>
        <w:rPr>
          <w:color w:val="212121"/>
          <w:spacing w:val="-6"/>
        </w:rPr>
        <w:t> </w:t>
      </w:r>
      <w:r>
        <w:rPr>
          <w:color w:val="212121"/>
        </w:rPr>
        <w:t>Hindus.</w:t>
      </w:r>
    </w:p>
    <w:p>
      <w:pPr>
        <w:pStyle w:val="ListParagraph"/>
        <w:numPr>
          <w:ilvl w:val="1"/>
          <w:numId w:val="201"/>
        </w:numPr>
        <w:tabs>
          <w:tab w:pos="1941" w:val="left" w:leader="none"/>
        </w:tabs>
        <w:spacing w:line="465" w:lineRule="auto" w:before="0" w:after="0"/>
        <w:ind w:left="1940" w:right="443"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1"/>
        </w:numPr>
        <w:tabs>
          <w:tab w:pos="1941" w:val="left" w:leader="none"/>
        </w:tabs>
        <w:spacing w:line="240" w:lineRule="auto" w:before="13" w:after="0"/>
        <w:ind w:left="1940" w:right="0" w:hanging="361"/>
        <w:jc w:val="both"/>
        <w:rPr>
          <w:sz w:val="25"/>
        </w:rPr>
      </w:pPr>
      <w:r>
        <w:rPr>
          <w:b/>
          <w:sz w:val="25"/>
        </w:rPr>
        <w:t>Justice Sudhir Agarwal </w:t>
      </w:r>
      <w:r>
        <w:rPr>
          <w:sz w:val="25"/>
        </w:rPr>
        <w:t>- Answered in the</w:t>
      </w:r>
      <w:r>
        <w:rPr>
          <w:spacing w:val="-29"/>
          <w:sz w:val="25"/>
        </w:rPr>
        <w:t> </w:t>
      </w:r>
      <w:r>
        <w:rPr>
          <w:sz w:val="25"/>
        </w:rPr>
        <w:t>affirmative.</w:t>
      </w:r>
    </w:p>
    <w:p>
      <w:pPr>
        <w:pStyle w:val="BodyText"/>
        <w:spacing w:before="10"/>
        <w:rPr>
          <w:sz w:val="24"/>
        </w:rPr>
      </w:pPr>
    </w:p>
    <w:p>
      <w:pPr>
        <w:pStyle w:val="ListParagraph"/>
        <w:numPr>
          <w:ilvl w:val="1"/>
          <w:numId w:val="201"/>
        </w:numPr>
        <w:tabs>
          <w:tab w:pos="1940" w:val="left" w:leader="none"/>
          <w:tab w:pos="1941" w:val="left" w:leader="none"/>
        </w:tabs>
        <w:spacing w:line="240" w:lineRule="auto" w:before="0" w:after="0"/>
        <w:ind w:left="1940" w:right="0" w:hanging="361"/>
        <w:jc w:val="left"/>
        <w:rPr>
          <w:sz w:val="25"/>
        </w:rPr>
      </w:pPr>
      <w:r>
        <w:rPr>
          <w:b/>
          <w:sz w:val="25"/>
        </w:rPr>
        <w:t>Justice D V Sharma </w:t>
      </w:r>
      <w:r>
        <w:rPr>
          <w:sz w:val="25"/>
        </w:rPr>
        <w:t>- Decided in favour of the</w:t>
      </w:r>
      <w:r>
        <w:rPr>
          <w:spacing w:val="-10"/>
          <w:sz w:val="25"/>
        </w:rPr>
        <w:t> </w:t>
      </w:r>
      <w:r>
        <w:rPr>
          <w:sz w:val="25"/>
        </w:rPr>
        <w:t>plaintiffs.</w:t>
      </w:r>
    </w:p>
    <w:p>
      <w:pPr>
        <w:pStyle w:val="BodyText"/>
        <w:rPr>
          <w:sz w:val="30"/>
        </w:rPr>
      </w:pPr>
    </w:p>
    <w:p>
      <w:pPr>
        <w:pStyle w:val="Heading5"/>
        <w:numPr>
          <w:ilvl w:val="0"/>
          <w:numId w:val="201"/>
        </w:numPr>
        <w:tabs>
          <w:tab w:pos="709" w:val="left" w:leader="none"/>
          <w:tab w:pos="1940" w:val="left" w:leader="none"/>
        </w:tabs>
        <w:spacing w:line="480" w:lineRule="auto" w:before="218" w:after="0"/>
        <w:ind w:left="1940" w:right="440" w:hanging="1440"/>
        <w:jc w:val="both"/>
      </w:pPr>
      <w:r>
        <w:rPr/>
        <w:t>(a)</w:t>
        <w:tab/>
      </w:r>
      <w:r>
        <w:rPr>
          <w:color w:val="212121"/>
        </w:rPr>
        <w:t>Whether Mahant Reghubar Das, plaintiff of Suit No.61/280 of 1885, had sued on behalf of Janmasthan and whole body of persons interested in</w:t>
      </w:r>
      <w:r>
        <w:rPr>
          <w:color w:val="212121"/>
          <w:spacing w:val="-1"/>
        </w:rPr>
        <w:t> </w:t>
      </w:r>
      <w:r>
        <w:rPr>
          <w:color w:val="212121"/>
        </w:rPr>
        <w:t>it.</w:t>
      </w:r>
    </w:p>
    <w:p>
      <w:pPr>
        <w:pStyle w:val="ListParagraph"/>
        <w:numPr>
          <w:ilvl w:val="1"/>
          <w:numId w:val="201"/>
        </w:numPr>
        <w:tabs>
          <w:tab w:pos="1941" w:val="left" w:leader="none"/>
        </w:tabs>
        <w:spacing w:line="472" w:lineRule="auto" w:before="0" w:after="0"/>
        <w:ind w:left="1940" w:right="433" w:hanging="360"/>
        <w:jc w:val="both"/>
        <w:rPr>
          <w:sz w:val="25"/>
        </w:rPr>
      </w:pPr>
      <w:r>
        <w:rPr>
          <w:b/>
          <w:sz w:val="25"/>
        </w:rPr>
        <w:t>Justice S U Khan </w:t>
      </w:r>
      <w:r>
        <w:rPr>
          <w:sz w:val="25"/>
        </w:rPr>
        <w:t>- The decision in Suit of 1885 does not attract the principles of Section </w:t>
      </w:r>
      <w:r>
        <w:rPr>
          <w:spacing w:val="-10"/>
          <w:sz w:val="25"/>
        </w:rPr>
        <w:t>11 </w:t>
      </w:r>
      <w:r>
        <w:rPr>
          <w:sz w:val="25"/>
        </w:rPr>
        <w:t>of CPC, since virtually nothing was decided in the</w:t>
      </w:r>
      <w:r>
        <w:rPr>
          <w:spacing w:val="-3"/>
          <w:sz w:val="25"/>
        </w:rPr>
        <w:t> </w:t>
      </w:r>
      <w:r>
        <w:rPr>
          <w:sz w:val="25"/>
        </w:rPr>
        <w:t>suit.</w:t>
      </w:r>
    </w:p>
    <w:p>
      <w:pPr>
        <w:spacing w:after="0" w:line="472" w:lineRule="auto"/>
        <w:jc w:val="both"/>
        <w:rPr>
          <w:sz w:val="25"/>
        </w:rPr>
        <w:sectPr>
          <w:pgSz w:w="11910" w:h="16840"/>
          <w:pgMar w:header="721" w:footer="1014" w:top="1300" w:bottom="1200" w:left="940" w:right="1000"/>
        </w:sectPr>
      </w:pPr>
    </w:p>
    <w:p>
      <w:pPr>
        <w:pStyle w:val="ListParagraph"/>
        <w:numPr>
          <w:ilvl w:val="1"/>
          <w:numId w:val="201"/>
        </w:numPr>
        <w:tabs>
          <w:tab w:pos="1941" w:val="left" w:leader="none"/>
        </w:tabs>
        <w:spacing w:line="472" w:lineRule="auto" w:before="121" w:after="0"/>
        <w:ind w:left="1940" w:right="439" w:hanging="360"/>
        <w:jc w:val="both"/>
        <w:rPr>
          <w:sz w:val="25"/>
        </w:rPr>
      </w:pPr>
      <w:r>
        <w:rPr>
          <w:b/>
          <w:sz w:val="25"/>
        </w:rPr>
        <w:t>Justice Sudhir Agarwal </w:t>
      </w:r>
      <w:r>
        <w:rPr>
          <w:sz w:val="25"/>
        </w:rPr>
        <w:t>- Answered in the negative. The Suit of 1885 was not filed by Mahant Raghubar Das on behalf of the Janmasthan and the whole body of persons interested in</w:t>
      </w:r>
      <w:r>
        <w:rPr>
          <w:spacing w:val="-21"/>
          <w:sz w:val="25"/>
        </w:rPr>
        <w:t> </w:t>
      </w:r>
      <w:r>
        <w:rPr>
          <w:sz w:val="25"/>
        </w:rPr>
        <w:t>it.</w:t>
      </w:r>
    </w:p>
    <w:p>
      <w:pPr>
        <w:pStyle w:val="ListParagraph"/>
        <w:numPr>
          <w:ilvl w:val="1"/>
          <w:numId w:val="201"/>
        </w:numPr>
        <w:tabs>
          <w:tab w:pos="1941" w:val="left" w:leader="none"/>
        </w:tabs>
        <w:spacing w:line="240" w:lineRule="auto" w:before="7"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tabs>
          <w:tab w:pos="1940" w:val="left" w:leader="none"/>
        </w:tabs>
        <w:spacing w:line="480" w:lineRule="auto" w:before="215"/>
        <w:ind w:left="1940" w:right="445" w:hanging="1440"/>
      </w:pPr>
      <w:r>
        <w:rPr/>
        <w:t>7</w:t>
      </w:r>
      <w:r>
        <w:rPr>
          <w:spacing w:val="-1"/>
        </w:rPr>
        <w:t> </w:t>
      </w:r>
      <w:r>
        <w:rPr/>
        <w:t>(b)</w:t>
        <w:tab/>
      </w:r>
      <w:r>
        <w:rPr>
          <w:color w:val="212121"/>
        </w:rPr>
        <w:t>Whether Mohammad Asghar </w:t>
      </w:r>
      <w:r>
        <w:rPr>
          <w:color w:val="212121"/>
          <w:spacing w:val="2"/>
        </w:rPr>
        <w:t>was </w:t>
      </w:r>
      <w:r>
        <w:rPr>
          <w:color w:val="212121"/>
        </w:rPr>
        <w:t>the Mutawalli of alleged Babri Masjid and did he contest the suit for and on behalf of any such mosque.</w:t>
      </w:r>
    </w:p>
    <w:p>
      <w:pPr>
        <w:pStyle w:val="ListParagraph"/>
        <w:numPr>
          <w:ilvl w:val="0"/>
          <w:numId w:val="202"/>
        </w:numPr>
        <w:tabs>
          <w:tab w:pos="1941" w:val="left" w:leader="none"/>
        </w:tabs>
        <w:spacing w:line="240" w:lineRule="auto" w:before="1" w:after="0"/>
        <w:ind w:left="1940" w:right="0" w:hanging="361"/>
        <w:jc w:val="both"/>
        <w:rPr>
          <w:sz w:val="25"/>
        </w:rPr>
      </w:pPr>
      <w:r>
        <w:rPr>
          <w:b/>
          <w:sz w:val="25"/>
        </w:rPr>
        <w:t>Justice Sudhir Agarwal </w:t>
      </w:r>
      <w:r>
        <w:rPr>
          <w:sz w:val="25"/>
        </w:rPr>
        <w:t>- Decided in favour of the</w:t>
      </w:r>
      <w:r>
        <w:rPr>
          <w:spacing w:val="-19"/>
          <w:sz w:val="25"/>
        </w:rPr>
        <w:t> </w:t>
      </w:r>
      <w:r>
        <w:rPr>
          <w:sz w:val="25"/>
        </w:rPr>
        <w:t>plaintiffs.</w:t>
      </w:r>
    </w:p>
    <w:p>
      <w:pPr>
        <w:pStyle w:val="BodyText"/>
        <w:spacing w:before="10"/>
        <w:rPr>
          <w:sz w:val="24"/>
        </w:rPr>
      </w:pPr>
    </w:p>
    <w:p>
      <w:pPr>
        <w:pStyle w:val="ListParagraph"/>
        <w:numPr>
          <w:ilvl w:val="0"/>
          <w:numId w:val="202"/>
        </w:numPr>
        <w:tabs>
          <w:tab w:pos="1941" w:val="left" w:leader="none"/>
        </w:tabs>
        <w:spacing w:line="240" w:lineRule="auto" w:before="1"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tabs>
          <w:tab w:pos="1940" w:val="left" w:leader="none"/>
        </w:tabs>
        <w:spacing w:line="480" w:lineRule="auto" w:before="215"/>
        <w:ind w:left="1940" w:right="446" w:hanging="1440"/>
      </w:pPr>
      <w:r>
        <w:rPr/>
        <w:t>7</w:t>
      </w:r>
      <w:r>
        <w:rPr>
          <w:spacing w:val="-1"/>
        </w:rPr>
        <w:t> </w:t>
      </w:r>
      <w:r>
        <w:rPr/>
        <w:t>(c)</w:t>
        <w:tab/>
      </w:r>
      <w:r>
        <w:rPr>
          <w:color w:val="212121"/>
        </w:rPr>
        <w:t>Whether in view of the judgment in the said suit, the members of the Hindu community, including the contesting defendants, are estopped from denying the title of the Muslim community, including the plaintiffs of the present suit, to the property in dispute. If so, its</w:t>
      </w:r>
      <w:r>
        <w:rPr>
          <w:color w:val="212121"/>
          <w:spacing w:val="-3"/>
        </w:rPr>
        <w:t> </w:t>
      </w:r>
      <w:r>
        <w:rPr>
          <w:color w:val="212121"/>
        </w:rPr>
        <w:t>effect.</w:t>
      </w:r>
    </w:p>
    <w:p>
      <w:pPr>
        <w:pStyle w:val="ListParagraph"/>
        <w:numPr>
          <w:ilvl w:val="0"/>
          <w:numId w:val="203"/>
        </w:numPr>
        <w:tabs>
          <w:tab w:pos="1941" w:val="left" w:leader="none"/>
        </w:tabs>
        <w:spacing w:line="240" w:lineRule="auto" w:before="1" w:after="0"/>
        <w:ind w:left="1940" w:right="0" w:hanging="361"/>
        <w:jc w:val="both"/>
        <w:rPr>
          <w:sz w:val="25"/>
        </w:rPr>
      </w:pPr>
      <w:r>
        <w:rPr>
          <w:b/>
          <w:sz w:val="25"/>
        </w:rPr>
        <w:t>Justice Sudhir Agarwal </w:t>
      </w:r>
      <w:r>
        <w:rPr>
          <w:sz w:val="25"/>
        </w:rPr>
        <w:t>- Decided in the</w:t>
      </w:r>
      <w:r>
        <w:rPr>
          <w:spacing w:val="-13"/>
          <w:sz w:val="25"/>
        </w:rPr>
        <w:t> </w:t>
      </w:r>
      <w:r>
        <w:rPr>
          <w:sz w:val="25"/>
        </w:rPr>
        <w:t>negative.</w:t>
      </w:r>
    </w:p>
    <w:p>
      <w:pPr>
        <w:pStyle w:val="BodyText"/>
        <w:spacing w:before="10"/>
        <w:rPr>
          <w:sz w:val="24"/>
        </w:rPr>
      </w:pPr>
    </w:p>
    <w:p>
      <w:pPr>
        <w:pStyle w:val="ListParagraph"/>
        <w:numPr>
          <w:ilvl w:val="0"/>
          <w:numId w:val="203"/>
        </w:numPr>
        <w:tabs>
          <w:tab w:pos="1941" w:val="left" w:leader="none"/>
        </w:tabs>
        <w:spacing w:line="240" w:lineRule="auto" w:before="0"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numPr>
          <w:ilvl w:val="0"/>
          <w:numId w:val="204"/>
        </w:numPr>
        <w:tabs>
          <w:tab w:pos="709" w:val="left" w:leader="none"/>
          <w:tab w:pos="1940" w:val="left" w:leader="none"/>
        </w:tabs>
        <w:spacing w:line="480" w:lineRule="auto" w:before="228" w:after="0"/>
        <w:ind w:left="1940" w:right="443" w:hanging="1440"/>
        <w:jc w:val="both"/>
      </w:pPr>
      <w:r>
        <w:rPr/>
        <w:t>(d)</w:t>
        <w:tab/>
      </w:r>
      <w:r>
        <w:rPr>
          <w:color w:val="212121"/>
        </w:rPr>
        <w:t>Whether in the aforesaid suit, title of the Muslims to the property in dispute or any portion thereof was admitted by plaintiff of that suit. If so, its</w:t>
      </w:r>
      <w:r>
        <w:rPr>
          <w:color w:val="212121"/>
          <w:spacing w:val="-8"/>
        </w:rPr>
        <w:t> </w:t>
      </w:r>
      <w:r>
        <w:rPr>
          <w:color w:val="212121"/>
        </w:rPr>
        <w:t>effect.</w:t>
      </w:r>
    </w:p>
    <w:p>
      <w:pPr>
        <w:pStyle w:val="ListParagraph"/>
        <w:numPr>
          <w:ilvl w:val="1"/>
          <w:numId w:val="204"/>
        </w:numPr>
        <w:tabs>
          <w:tab w:pos="1941" w:val="left" w:leader="none"/>
        </w:tabs>
        <w:spacing w:line="472" w:lineRule="auto" w:before="1" w:after="0"/>
        <w:ind w:left="1940" w:right="440" w:hanging="269"/>
        <w:jc w:val="both"/>
        <w:rPr>
          <w:sz w:val="25"/>
        </w:rPr>
      </w:pPr>
      <w:r>
        <w:rPr>
          <w:b/>
          <w:sz w:val="25"/>
        </w:rPr>
        <w:t>Justice Sudhir Agarwal </w:t>
      </w:r>
      <w:r>
        <w:rPr>
          <w:sz w:val="25"/>
        </w:rPr>
        <w:t>- Answered in the negative. There was no admission by the plaintiff in the Suit of 1885 about the title of the Muslims to the property in</w:t>
      </w:r>
      <w:r>
        <w:rPr>
          <w:spacing w:val="-8"/>
          <w:sz w:val="25"/>
        </w:rPr>
        <w:t> </w:t>
      </w:r>
      <w:r>
        <w:rPr>
          <w:sz w:val="25"/>
        </w:rPr>
        <w:t>dispute.</w:t>
      </w:r>
    </w:p>
    <w:p>
      <w:pPr>
        <w:spacing w:after="0" w:line="472" w:lineRule="auto"/>
        <w:jc w:val="both"/>
        <w:rPr>
          <w:sz w:val="25"/>
        </w:rPr>
        <w:sectPr>
          <w:headerReference w:type="default" r:id="rId176"/>
          <w:footerReference w:type="default" r:id="rId177"/>
          <w:pgSz w:w="11910" w:h="16840"/>
          <w:pgMar w:header="721" w:footer="1597" w:top="1300" w:bottom="1780" w:left="940" w:right="1000"/>
          <w:pgNumType w:start="722"/>
        </w:sectPr>
      </w:pPr>
    </w:p>
    <w:p>
      <w:pPr>
        <w:pStyle w:val="Heading5"/>
        <w:numPr>
          <w:ilvl w:val="0"/>
          <w:numId w:val="204"/>
        </w:numPr>
        <w:tabs>
          <w:tab w:pos="1940" w:val="left" w:leader="none"/>
          <w:tab w:pos="1941" w:val="left" w:leader="none"/>
        </w:tabs>
        <w:spacing w:line="480" w:lineRule="auto" w:before="121" w:after="0"/>
        <w:ind w:left="1940" w:right="446" w:hanging="1440"/>
        <w:jc w:val="both"/>
        <w:rPr>
          <w:color w:val="212121"/>
        </w:rPr>
      </w:pPr>
      <w:r>
        <w:rPr>
          <w:color w:val="212121"/>
        </w:rPr>
        <w:t>Does the judgment in Suit No.61/280 of 1885, Mahant Raghubar Das Vs. Secretary of State and others, operate as res judicata against the defendants in</w:t>
      </w:r>
      <w:r>
        <w:rPr>
          <w:color w:val="212121"/>
          <w:spacing w:val="-6"/>
        </w:rPr>
        <w:t> </w:t>
      </w:r>
      <w:r>
        <w:rPr>
          <w:color w:val="212121"/>
        </w:rPr>
        <w:t>suit.</w:t>
      </w:r>
    </w:p>
    <w:p>
      <w:pPr>
        <w:pStyle w:val="ListParagraph"/>
        <w:numPr>
          <w:ilvl w:val="1"/>
          <w:numId w:val="204"/>
        </w:numPr>
        <w:tabs>
          <w:tab w:pos="1941" w:val="left" w:leader="none"/>
        </w:tabs>
        <w:spacing w:line="240" w:lineRule="auto" w:before="1" w:after="0"/>
        <w:ind w:left="1940" w:right="0" w:hanging="270"/>
        <w:jc w:val="both"/>
        <w:rPr>
          <w:sz w:val="25"/>
        </w:rPr>
      </w:pPr>
      <w:r>
        <w:rPr>
          <w:b/>
          <w:sz w:val="25"/>
        </w:rPr>
        <w:t>Justice Sudhir Agarwal </w:t>
      </w:r>
      <w:r>
        <w:rPr>
          <w:sz w:val="25"/>
        </w:rPr>
        <w:t>- Answered in the</w:t>
      </w:r>
      <w:r>
        <w:rPr>
          <w:spacing w:val="-27"/>
          <w:sz w:val="25"/>
        </w:rPr>
        <w:t> </w:t>
      </w:r>
      <w:r>
        <w:rPr>
          <w:sz w:val="25"/>
        </w:rPr>
        <w:t>negative.</w:t>
      </w:r>
    </w:p>
    <w:p>
      <w:pPr>
        <w:pStyle w:val="BodyText"/>
        <w:spacing w:before="8"/>
        <w:rPr>
          <w:sz w:val="24"/>
        </w:rPr>
      </w:pPr>
    </w:p>
    <w:p>
      <w:pPr>
        <w:pStyle w:val="ListParagraph"/>
        <w:numPr>
          <w:ilvl w:val="1"/>
          <w:numId w:val="204"/>
        </w:numPr>
        <w:tabs>
          <w:tab w:pos="1941" w:val="left" w:leader="none"/>
        </w:tabs>
        <w:spacing w:line="465" w:lineRule="auto" w:before="0" w:after="0"/>
        <w:ind w:left="1940" w:right="437" w:hanging="269"/>
        <w:jc w:val="both"/>
        <w:rPr>
          <w:i/>
          <w:sz w:val="25"/>
        </w:rPr>
      </w:pPr>
      <w:r>
        <w:rPr>
          <w:b/>
          <w:sz w:val="25"/>
        </w:rPr>
        <w:t>Justice D V Sharma </w:t>
      </w:r>
      <w:r>
        <w:rPr>
          <w:sz w:val="25"/>
        </w:rPr>
        <w:t>- Decided against the plaintiffs; the judgment will not operate as </w:t>
      </w:r>
      <w:r>
        <w:rPr>
          <w:i/>
          <w:sz w:val="25"/>
        </w:rPr>
        <w:t>res</w:t>
      </w:r>
      <w:r>
        <w:rPr>
          <w:i/>
          <w:spacing w:val="-4"/>
          <w:sz w:val="25"/>
        </w:rPr>
        <w:t> </w:t>
      </w:r>
      <w:r>
        <w:rPr>
          <w:i/>
          <w:sz w:val="25"/>
        </w:rPr>
        <w:t>judicata.</w:t>
      </w:r>
    </w:p>
    <w:p>
      <w:pPr>
        <w:pStyle w:val="BodyText"/>
        <w:spacing w:before="4"/>
        <w:rPr>
          <w:i/>
        </w:rPr>
      </w:pPr>
    </w:p>
    <w:p>
      <w:pPr>
        <w:pStyle w:val="Heading5"/>
        <w:numPr>
          <w:ilvl w:val="0"/>
          <w:numId w:val="205"/>
        </w:numPr>
        <w:tabs>
          <w:tab w:pos="1940" w:val="left" w:leader="none"/>
          <w:tab w:pos="1941" w:val="left" w:leader="none"/>
        </w:tabs>
        <w:spacing w:line="480" w:lineRule="auto" w:before="0" w:after="0"/>
        <w:ind w:left="1940" w:right="446" w:hanging="1440"/>
        <w:jc w:val="both"/>
      </w:pPr>
      <w:r>
        <w:rPr>
          <w:color w:val="212121"/>
        </w:rPr>
        <w:t>Whether the plaintiffs have perfected their rights by adverse possession as alleged in the</w:t>
      </w:r>
      <w:r>
        <w:rPr>
          <w:color w:val="212121"/>
          <w:spacing w:val="-3"/>
        </w:rPr>
        <w:t> </w:t>
      </w:r>
      <w:r>
        <w:rPr>
          <w:color w:val="212121"/>
        </w:rPr>
        <w:t>plaint.</w:t>
      </w:r>
    </w:p>
    <w:p>
      <w:pPr>
        <w:pStyle w:val="BodyText"/>
        <w:spacing w:before="2"/>
        <w:rPr>
          <w:b/>
          <w:sz w:val="24"/>
        </w:rPr>
      </w:pPr>
    </w:p>
    <w:p>
      <w:pPr>
        <w:pStyle w:val="ListParagraph"/>
        <w:numPr>
          <w:ilvl w:val="1"/>
          <w:numId w:val="205"/>
        </w:numPr>
        <w:tabs>
          <w:tab w:pos="1941" w:val="left" w:leader="none"/>
        </w:tabs>
        <w:spacing w:line="472" w:lineRule="auto" w:before="0" w:after="0"/>
        <w:ind w:left="1940" w:right="439" w:hanging="360"/>
        <w:jc w:val="both"/>
        <w:rPr>
          <w:sz w:val="25"/>
        </w:rPr>
      </w:pPr>
      <w:r>
        <w:rPr>
          <w:b/>
          <w:sz w:val="25"/>
        </w:rPr>
        <w:t>Justice S U Khan </w:t>
      </w:r>
      <w:r>
        <w:rPr>
          <w:sz w:val="25"/>
        </w:rPr>
        <w:t>- Both parties are in joint possession before 1885. Hence, there is no need to determine the issue of adverse possession.</w:t>
      </w:r>
    </w:p>
    <w:p>
      <w:pPr>
        <w:pStyle w:val="ListParagraph"/>
        <w:numPr>
          <w:ilvl w:val="1"/>
          <w:numId w:val="205"/>
        </w:numPr>
        <w:tabs>
          <w:tab w:pos="1941" w:val="left" w:leader="none"/>
        </w:tabs>
        <w:spacing w:line="465" w:lineRule="auto" w:before="4" w:after="0"/>
        <w:ind w:left="1940" w:right="435" w:hanging="360"/>
        <w:jc w:val="both"/>
        <w:rPr>
          <w:sz w:val="25"/>
        </w:rPr>
      </w:pPr>
      <w:r>
        <w:rPr>
          <w:b/>
          <w:sz w:val="25"/>
        </w:rPr>
        <w:t>Justice Sudhir Agarwal and Justice D V Sharma </w:t>
      </w:r>
      <w:r>
        <w:rPr>
          <w:sz w:val="25"/>
        </w:rPr>
        <w:t>- Answered against the plaintiffs and</w:t>
      </w:r>
      <w:r>
        <w:rPr>
          <w:spacing w:val="-2"/>
          <w:sz w:val="25"/>
        </w:rPr>
        <w:t> </w:t>
      </w:r>
      <w:r>
        <w:rPr>
          <w:sz w:val="25"/>
        </w:rPr>
        <w:t>Muslims.</w:t>
      </w:r>
    </w:p>
    <w:p>
      <w:pPr>
        <w:pStyle w:val="BodyText"/>
        <w:spacing w:before="3"/>
      </w:pPr>
    </w:p>
    <w:p>
      <w:pPr>
        <w:pStyle w:val="Heading5"/>
        <w:numPr>
          <w:ilvl w:val="0"/>
          <w:numId w:val="205"/>
        </w:numPr>
        <w:tabs>
          <w:tab w:pos="1940" w:val="left" w:leader="none"/>
          <w:tab w:pos="1941" w:val="left" w:leader="none"/>
        </w:tabs>
        <w:spacing w:line="480" w:lineRule="auto" w:before="0" w:after="0"/>
        <w:ind w:left="1940" w:right="447" w:hanging="1440"/>
        <w:jc w:val="both"/>
      </w:pPr>
      <w:r>
        <w:rPr>
          <w:color w:val="212121"/>
        </w:rPr>
        <w:t>Is the property in suit the site of Janam Bhumi of Sri Ram Chandraji.</w:t>
      </w:r>
    </w:p>
    <w:p>
      <w:pPr>
        <w:pStyle w:val="ListParagraph"/>
        <w:numPr>
          <w:ilvl w:val="1"/>
          <w:numId w:val="205"/>
        </w:numPr>
        <w:tabs>
          <w:tab w:pos="1941" w:val="left" w:leader="none"/>
        </w:tabs>
        <w:spacing w:line="475" w:lineRule="auto" w:before="0" w:after="0"/>
        <w:ind w:left="1940" w:right="437" w:hanging="360"/>
        <w:jc w:val="both"/>
        <w:rPr>
          <w:sz w:val="25"/>
        </w:rPr>
      </w:pPr>
      <w:r>
        <w:rPr>
          <w:b/>
          <w:sz w:val="25"/>
        </w:rPr>
        <w:t>Justice S U Khan </w:t>
      </w:r>
      <w:r>
        <w:rPr>
          <w:sz w:val="25"/>
        </w:rPr>
        <w:t>- No temple was demolished for constructing the mosque. Until the mosque was constructed during the period of </w:t>
      </w:r>
      <w:r>
        <w:rPr>
          <w:spacing w:val="-3"/>
          <w:sz w:val="25"/>
        </w:rPr>
        <w:t>Babur, </w:t>
      </w:r>
      <w:r>
        <w:rPr>
          <w:sz w:val="25"/>
        </w:rPr>
        <w:t>the premises in dispute were not treated or believed to be the birth-place of Lord</w:t>
      </w:r>
      <w:r>
        <w:rPr>
          <w:spacing w:val="-2"/>
          <w:sz w:val="25"/>
        </w:rPr>
        <w:t> </w:t>
      </w:r>
      <w:r>
        <w:rPr>
          <w:sz w:val="25"/>
        </w:rPr>
        <w:t>Ram.</w:t>
      </w:r>
    </w:p>
    <w:p>
      <w:pPr>
        <w:pStyle w:val="ListParagraph"/>
        <w:numPr>
          <w:ilvl w:val="1"/>
          <w:numId w:val="205"/>
        </w:numPr>
        <w:tabs>
          <w:tab w:pos="1941" w:val="left" w:leader="none"/>
        </w:tabs>
        <w:spacing w:line="472" w:lineRule="auto" w:before="5" w:after="0"/>
        <w:ind w:left="1940" w:right="438" w:hanging="360"/>
        <w:jc w:val="both"/>
        <w:rPr>
          <w:sz w:val="25"/>
        </w:rPr>
      </w:pPr>
      <w:r>
        <w:rPr>
          <w:b/>
          <w:sz w:val="25"/>
        </w:rPr>
        <w:t>Justice Sudhir Agarwal </w:t>
      </w:r>
      <w:r>
        <w:rPr>
          <w:sz w:val="25"/>
        </w:rPr>
        <w:t>- The place of birth believed in and worshipped by the Hindus is the area covered under the central dome of the disputed structure in the inner</w:t>
      </w:r>
      <w:r>
        <w:rPr>
          <w:spacing w:val="-14"/>
          <w:sz w:val="25"/>
        </w:rPr>
        <w:t> </w:t>
      </w:r>
      <w:r>
        <w:rPr>
          <w:sz w:val="25"/>
        </w:rPr>
        <w:t>courtyard</w:t>
      </w:r>
    </w:p>
    <w:p>
      <w:pPr>
        <w:spacing w:after="0" w:line="472" w:lineRule="auto"/>
        <w:jc w:val="both"/>
        <w:rPr>
          <w:sz w:val="25"/>
        </w:rPr>
        <w:sectPr>
          <w:pgSz w:w="11910" w:h="16840"/>
          <w:pgMar w:header="721" w:footer="1597" w:top="1300" w:bottom="1820" w:left="940" w:right="1000"/>
        </w:sectPr>
      </w:pPr>
    </w:p>
    <w:p>
      <w:pPr>
        <w:pStyle w:val="Heading5"/>
        <w:numPr>
          <w:ilvl w:val="0"/>
          <w:numId w:val="205"/>
        </w:numPr>
        <w:tabs>
          <w:tab w:pos="1940" w:val="left" w:leader="none"/>
          <w:tab w:pos="1941" w:val="left" w:leader="none"/>
        </w:tabs>
        <w:spacing w:line="480" w:lineRule="auto" w:before="121" w:after="0"/>
        <w:ind w:left="1940" w:right="446" w:hanging="1440"/>
        <w:jc w:val="both"/>
      </w:pPr>
      <w:r>
        <w:rPr>
          <w:color w:val="212121"/>
        </w:rPr>
        <w:t>Whether idols and objects of worship were placed inside the building in the night intervening 22nd and 23rd December 1949 as alleged in paragraph 11 of the plaint or they have been in existence there since before. In either case the</w:t>
      </w:r>
      <w:r>
        <w:rPr>
          <w:color w:val="212121"/>
          <w:spacing w:val="-7"/>
        </w:rPr>
        <w:t> </w:t>
      </w:r>
      <w:r>
        <w:rPr>
          <w:color w:val="212121"/>
        </w:rPr>
        <w:t>effect.</w:t>
      </w:r>
    </w:p>
    <w:p>
      <w:pPr>
        <w:pStyle w:val="ListParagraph"/>
        <w:numPr>
          <w:ilvl w:val="1"/>
          <w:numId w:val="205"/>
        </w:numPr>
        <w:tabs>
          <w:tab w:pos="1941" w:val="left" w:leader="none"/>
        </w:tabs>
        <w:spacing w:line="472" w:lineRule="auto" w:before="0" w:after="0"/>
        <w:ind w:left="1940" w:right="442" w:hanging="360"/>
        <w:jc w:val="both"/>
        <w:rPr>
          <w:sz w:val="25"/>
        </w:rPr>
      </w:pPr>
      <w:r>
        <w:rPr>
          <w:b/>
          <w:sz w:val="25"/>
        </w:rPr>
        <w:t>Justice S U Khan </w:t>
      </w:r>
      <w:r>
        <w:rPr>
          <w:sz w:val="25"/>
        </w:rPr>
        <w:t>- Idols were kept on the pulpit inside the constructed portion of the mosque for the first time during the night between 22/23 December</w:t>
      </w:r>
      <w:r>
        <w:rPr>
          <w:spacing w:val="-3"/>
          <w:sz w:val="25"/>
        </w:rPr>
        <w:t> </w:t>
      </w:r>
      <w:r>
        <w:rPr>
          <w:sz w:val="25"/>
        </w:rPr>
        <w:t>1949.</w:t>
      </w:r>
    </w:p>
    <w:p>
      <w:pPr>
        <w:pStyle w:val="ListParagraph"/>
        <w:numPr>
          <w:ilvl w:val="1"/>
          <w:numId w:val="205"/>
        </w:numPr>
        <w:tabs>
          <w:tab w:pos="1941" w:val="left" w:leader="none"/>
        </w:tabs>
        <w:spacing w:line="475" w:lineRule="auto" w:before="7" w:after="0"/>
        <w:ind w:left="1940" w:right="438" w:hanging="360"/>
        <w:jc w:val="both"/>
        <w:rPr>
          <w:sz w:val="25"/>
        </w:rPr>
      </w:pPr>
      <w:r>
        <w:rPr>
          <w:b/>
          <w:sz w:val="25"/>
        </w:rPr>
        <w:t>Justice Sudhir Agarwal </w:t>
      </w:r>
      <w:r>
        <w:rPr>
          <w:sz w:val="25"/>
        </w:rPr>
        <w:t>- The plaintiffs have failed to prove that the idols and objects were placed inside the building during the night intervening 22/23 December 1949. The idols and objects existed even prior to 22 December 1949 in the outer courtyard. The issue is answered in the</w:t>
      </w:r>
      <w:r>
        <w:rPr>
          <w:spacing w:val="-2"/>
          <w:sz w:val="25"/>
        </w:rPr>
        <w:t> </w:t>
      </w:r>
      <w:r>
        <w:rPr>
          <w:sz w:val="25"/>
        </w:rPr>
        <w:t>negative.</w:t>
      </w:r>
    </w:p>
    <w:p>
      <w:pPr>
        <w:pStyle w:val="ListParagraph"/>
        <w:numPr>
          <w:ilvl w:val="1"/>
          <w:numId w:val="205"/>
        </w:numPr>
        <w:tabs>
          <w:tab w:pos="1941" w:val="left" w:leader="none"/>
        </w:tabs>
        <w:spacing w:line="472" w:lineRule="auto" w:before="9" w:after="0"/>
        <w:ind w:left="1940" w:right="437" w:hanging="360"/>
        <w:jc w:val="both"/>
        <w:rPr>
          <w:sz w:val="25"/>
        </w:rPr>
      </w:pPr>
      <w:r>
        <w:rPr>
          <w:b/>
          <w:sz w:val="25"/>
        </w:rPr>
        <w:t>Justice D V Sharma </w:t>
      </w:r>
      <w:r>
        <w:rPr>
          <w:sz w:val="25"/>
        </w:rPr>
        <w:t>- The plaintiffs have failed to prove that the idols and objects of worship were installed in the building in the night intervening 22/23 December</w:t>
      </w:r>
      <w:r>
        <w:rPr>
          <w:spacing w:val="-2"/>
          <w:sz w:val="25"/>
        </w:rPr>
        <w:t> </w:t>
      </w:r>
      <w:r>
        <w:rPr>
          <w:sz w:val="25"/>
        </w:rPr>
        <w:t>1949.</w:t>
      </w:r>
    </w:p>
    <w:p>
      <w:pPr>
        <w:pStyle w:val="BodyText"/>
        <w:spacing w:before="4"/>
      </w:pPr>
    </w:p>
    <w:p>
      <w:pPr>
        <w:pStyle w:val="Heading5"/>
        <w:numPr>
          <w:ilvl w:val="0"/>
          <w:numId w:val="205"/>
        </w:numPr>
        <w:tabs>
          <w:tab w:pos="1940" w:val="left" w:leader="none"/>
          <w:tab w:pos="1941" w:val="left" w:leader="none"/>
        </w:tabs>
        <w:spacing w:line="480" w:lineRule="auto" w:before="0" w:after="0"/>
        <w:ind w:left="1940" w:right="445" w:hanging="1440"/>
        <w:jc w:val="both"/>
      </w:pPr>
      <w:r>
        <w:rPr>
          <w:color w:val="212121"/>
        </w:rPr>
        <w:t>Whether the Hindus in general and defendants in particular had the</w:t>
      </w:r>
      <w:r>
        <w:rPr>
          <w:color w:val="212121"/>
          <w:spacing w:val="-10"/>
        </w:rPr>
        <w:t> </w:t>
      </w:r>
      <w:r>
        <w:rPr>
          <w:color w:val="212121"/>
        </w:rPr>
        <w:t>right</w:t>
      </w:r>
      <w:r>
        <w:rPr>
          <w:color w:val="212121"/>
          <w:spacing w:val="-8"/>
        </w:rPr>
        <w:t> </w:t>
      </w:r>
      <w:r>
        <w:rPr>
          <w:color w:val="212121"/>
        </w:rPr>
        <w:t>to</w:t>
      </w:r>
      <w:r>
        <w:rPr>
          <w:color w:val="212121"/>
          <w:spacing w:val="-11"/>
        </w:rPr>
        <w:t> </w:t>
      </w:r>
      <w:r>
        <w:rPr>
          <w:color w:val="212121"/>
        </w:rPr>
        <w:t>worship</w:t>
      </w:r>
      <w:r>
        <w:rPr>
          <w:color w:val="212121"/>
          <w:spacing w:val="-10"/>
        </w:rPr>
        <w:t> </w:t>
      </w:r>
      <w:r>
        <w:rPr>
          <w:color w:val="212121"/>
        </w:rPr>
        <w:t>the</w:t>
      </w:r>
      <w:r>
        <w:rPr>
          <w:color w:val="212121"/>
          <w:spacing w:val="-9"/>
        </w:rPr>
        <w:t> </w:t>
      </w:r>
      <w:r>
        <w:rPr>
          <w:color w:val="212121"/>
        </w:rPr>
        <w:t>‗Charans‘</w:t>
      </w:r>
      <w:r>
        <w:rPr>
          <w:color w:val="212121"/>
          <w:spacing w:val="-9"/>
        </w:rPr>
        <w:t> </w:t>
      </w:r>
      <w:r>
        <w:rPr>
          <w:color w:val="212121"/>
        </w:rPr>
        <w:t>and</w:t>
      </w:r>
      <w:r>
        <w:rPr>
          <w:color w:val="212121"/>
          <w:spacing w:val="-8"/>
        </w:rPr>
        <w:t> </w:t>
      </w:r>
      <w:r>
        <w:rPr>
          <w:color w:val="212121"/>
        </w:rPr>
        <w:t>'Sita</w:t>
      </w:r>
      <w:r>
        <w:rPr>
          <w:color w:val="212121"/>
          <w:spacing w:val="-9"/>
        </w:rPr>
        <w:t> </w:t>
      </w:r>
      <w:r>
        <w:rPr>
          <w:color w:val="212121"/>
        </w:rPr>
        <w:t>Rasoi'</w:t>
      </w:r>
      <w:r>
        <w:rPr>
          <w:color w:val="212121"/>
          <w:spacing w:val="-8"/>
        </w:rPr>
        <w:t> </w:t>
      </w:r>
      <w:r>
        <w:rPr>
          <w:color w:val="212121"/>
        </w:rPr>
        <w:t>and</w:t>
      </w:r>
      <w:r>
        <w:rPr>
          <w:color w:val="212121"/>
          <w:spacing w:val="-8"/>
        </w:rPr>
        <w:t> </w:t>
      </w:r>
      <w:r>
        <w:rPr>
          <w:color w:val="212121"/>
        </w:rPr>
        <w:t>idols</w:t>
      </w:r>
      <w:r>
        <w:rPr>
          <w:color w:val="212121"/>
          <w:spacing w:val="-10"/>
        </w:rPr>
        <w:t> </w:t>
      </w:r>
      <w:r>
        <w:rPr>
          <w:color w:val="212121"/>
        </w:rPr>
        <w:t>and objects of worship, if any, existing in or upon the property in suit.</w:t>
      </w:r>
    </w:p>
    <w:p>
      <w:pPr>
        <w:pStyle w:val="ListParagraph"/>
        <w:numPr>
          <w:ilvl w:val="1"/>
          <w:numId w:val="205"/>
        </w:numPr>
        <w:tabs>
          <w:tab w:pos="1941" w:val="left" w:leader="none"/>
        </w:tabs>
        <w:spacing w:line="465" w:lineRule="auto" w:before="3" w:after="0"/>
        <w:ind w:left="1940" w:right="440" w:hanging="360"/>
        <w:jc w:val="both"/>
        <w:rPr>
          <w:sz w:val="25"/>
        </w:rPr>
      </w:pPr>
      <w:r>
        <w:rPr>
          <w:b/>
          <w:sz w:val="25"/>
        </w:rPr>
        <w:t>Justice S U Khan </w:t>
      </w:r>
      <w:r>
        <w:rPr>
          <w:sz w:val="25"/>
        </w:rPr>
        <w:t>- </w:t>
      </w:r>
      <w:r>
        <w:rPr>
          <w:spacing w:val="-3"/>
          <w:sz w:val="25"/>
        </w:rPr>
        <w:t>Title </w:t>
      </w:r>
      <w:r>
        <w:rPr>
          <w:sz w:val="25"/>
        </w:rPr>
        <w:t>follows possession and both parties were joint title-holders in possession of the premises in</w:t>
      </w:r>
      <w:r>
        <w:rPr>
          <w:spacing w:val="-14"/>
          <w:sz w:val="25"/>
        </w:rPr>
        <w:t> </w:t>
      </w:r>
      <w:r>
        <w:rPr>
          <w:sz w:val="25"/>
        </w:rPr>
        <w:t>dispute.</w:t>
      </w:r>
    </w:p>
    <w:p>
      <w:pPr>
        <w:pStyle w:val="ListParagraph"/>
        <w:numPr>
          <w:ilvl w:val="1"/>
          <w:numId w:val="205"/>
        </w:numPr>
        <w:tabs>
          <w:tab w:pos="1941" w:val="left" w:leader="none"/>
        </w:tabs>
        <w:spacing w:line="472" w:lineRule="auto" w:before="14" w:after="0"/>
        <w:ind w:left="1940" w:right="439" w:hanging="360"/>
        <w:jc w:val="both"/>
        <w:rPr>
          <w:sz w:val="25"/>
        </w:rPr>
      </w:pPr>
      <w:r>
        <w:rPr>
          <w:b/>
          <w:sz w:val="25"/>
        </w:rPr>
        <w:t>Justice Sudhir Agarwal </w:t>
      </w:r>
      <w:r>
        <w:rPr>
          <w:sz w:val="25"/>
        </w:rPr>
        <w:t>- Hindus in general had been entering the premises within the inner courtyard as a matter of right for several centuries, hence the issue is answered in the</w:t>
      </w:r>
      <w:r>
        <w:rPr>
          <w:spacing w:val="-15"/>
          <w:sz w:val="25"/>
        </w:rPr>
        <w:t> </w:t>
      </w:r>
      <w:r>
        <w:rPr>
          <w:sz w:val="25"/>
        </w:rPr>
        <w:t>affirmative.</w:t>
      </w:r>
    </w:p>
    <w:p>
      <w:pPr>
        <w:spacing w:after="0" w:line="472" w:lineRule="auto"/>
        <w:jc w:val="both"/>
        <w:rPr>
          <w:sz w:val="25"/>
        </w:rPr>
        <w:sectPr>
          <w:headerReference w:type="default" r:id="rId178"/>
          <w:footerReference w:type="default" r:id="rId179"/>
          <w:pgSz w:w="11910" w:h="16840"/>
          <w:pgMar w:header="721" w:footer="1014" w:top="1300" w:bottom="1200" w:left="940" w:right="1000"/>
          <w:pgNumType w:start="724"/>
        </w:sectPr>
      </w:pPr>
    </w:p>
    <w:p>
      <w:pPr>
        <w:pStyle w:val="ListParagraph"/>
        <w:numPr>
          <w:ilvl w:val="1"/>
          <w:numId w:val="205"/>
        </w:numPr>
        <w:tabs>
          <w:tab w:pos="1941" w:val="left" w:leader="none"/>
        </w:tabs>
        <w:spacing w:line="240" w:lineRule="auto" w:before="121" w:after="0"/>
        <w:ind w:left="1940" w:right="0" w:hanging="361"/>
        <w:jc w:val="both"/>
        <w:rPr>
          <w:sz w:val="25"/>
        </w:rPr>
      </w:pPr>
      <w:r>
        <w:rPr>
          <w:b/>
          <w:sz w:val="25"/>
        </w:rPr>
        <w:t>Justice DV Sharma </w:t>
      </w:r>
      <w:r>
        <w:rPr>
          <w:sz w:val="25"/>
        </w:rPr>
        <w:t>- Decided against the</w:t>
      </w:r>
      <w:r>
        <w:rPr>
          <w:spacing w:val="-9"/>
          <w:sz w:val="25"/>
        </w:rPr>
        <w:t> </w:t>
      </w:r>
      <w:r>
        <w:rPr>
          <w:sz w:val="25"/>
        </w:rPr>
        <w:t>plaintiffs.</w:t>
      </w:r>
    </w:p>
    <w:p>
      <w:pPr>
        <w:pStyle w:val="BodyText"/>
        <w:rPr>
          <w:sz w:val="30"/>
        </w:rPr>
      </w:pPr>
    </w:p>
    <w:p>
      <w:pPr>
        <w:pStyle w:val="Heading5"/>
        <w:numPr>
          <w:ilvl w:val="0"/>
          <w:numId w:val="205"/>
        </w:numPr>
        <w:tabs>
          <w:tab w:pos="1940" w:val="left" w:leader="none"/>
          <w:tab w:pos="1941" w:val="left" w:leader="none"/>
        </w:tabs>
        <w:spacing w:line="480" w:lineRule="auto" w:before="227" w:after="0"/>
        <w:ind w:left="1940" w:right="444" w:hanging="1440"/>
        <w:jc w:val="both"/>
      </w:pPr>
      <w:r>
        <w:rPr>
          <w:color w:val="212121"/>
        </w:rPr>
        <w:t>Have the Hindus been worshipping the place in dispute as Sri Ram Janam Bhumi or Janam Asthan and visiting it as a sacred place of pilgrimage as of right since time immemorial. If so, its effect.</w:t>
      </w:r>
    </w:p>
    <w:p>
      <w:pPr>
        <w:pStyle w:val="ListParagraph"/>
        <w:numPr>
          <w:ilvl w:val="1"/>
          <w:numId w:val="205"/>
        </w:numPr>
        <w:tabs>
          <w:tab w:pos="1941" w:val="left" w:leader="none"/>
        </w:tabs>
        <w:spacing w:line="475" w:lineRule="auto" w:before="2" w:after="0"/>
        <w:ind w:left="1940" w:right="439" w:hanging="360"/>
        <w:jc w:val="both"/>
        <w:rPr>
          <w:sz w:val="25"/>
        </w:rPr>
      </w:pPr>
      <w:r>
        <w:rPr>
          <w:b/>
          <w:sz w:val="25"/>
        </w:rPr>
        <w:t>Justice S U Khan </w:t>
      </w:r>
      <w:r>
        <w:rPr>
          <w:sz w:val="25"/>
        </w:rPr>
        <w:t>- No temple was demolished for constructing the mosque. Until the construction of the mosque during the period of </w:t>
      </w:r>
      <w:r>
        <w:rPr>
          <w:spacing w:val="-3"/>
          <w:sz w:val="25"/>
        </w:rPr>
        <w:t>Babur, </w:t>
      </w:r>
      <w:r>
        <w:rPr>
          <w:sz w:val="25"/>
        </w:rPr>
        <w:t>the premises were neither treated nor believed to be the birth-place of Lord</w:t>
      </w:r>
      <w:r>
        <w:rPr>
          <w:spacing w:val="-2"/>
          <w:sz w:val="25"/>
        </w:rPr>
        <w:t> </w:t>
      </w:r>
      <w:r>
        <w:rPr>
          <w:sz w:val="25"/>
        </w:rPr>
        <w:t>Ram.</w:t>
      </w:r>
    </w:p>
    <w:p>
      <w:pPr>
        <w:pStyle w:val="ListParagraph"/>
        <w:numPr>
          <w:ilvl w:val="1"/>
          <w:numId w:val="205"/>
        </w:numPr>
        <w:tabs>
          <w:tab w:pos="1941" w:val="left" w:leader="none"/>
        </w:tabs>
        <w:spacing w:line="240" w:lineRule="auto" w:before="3" w:after="0"/>
        <w:ind w:left="1940" w:right="0" w:hanging="361"/>
        <w:jc w:val="both"/>
        <w:rPr>
          <w:sz w:val="25"/>
        </w:rPr>
      </w:pPr>
      <w:r>
        <w:rPr>
          <w:b/>
          <w:sz w:val="25"/>
        </w:rPr>
        <w:t>Justice Sudhir Agarwal </w:t>
      </w:r>
      <w:r>
        <w:rPr>
          <w:sz w:val="25"/>
        </w:rPr>
        <w:t>- Answered in the</w:t>
      </w:r>
      <w:r>
        <w:rPr>
          <w:spacing w:val="-28"/>
          <w:sz w:val="25"/>
        </w:rPr>
        <w:t> </w:t>
      </w:r>
      <w:r>
        <w:rPr>
          <w:sz w:val="25"/>
        </w:rPr>
        <w:t>affirmative.</w:t>
      </w:r>
    </w:p>
    <w:p>
      <w:pPr>
        <w:pStyle w:val="BodyText"/>
        <w:spacing w:before="8"/>
        <w:rPr>
          <w:sz w:val="24"/>
        </w:rPr>
      </w:pPr>
    </w:p>
    <w:p>
      <w:pPr>
        <w:pStyle w:val="ListParagraph"/>
        <w:numPr>
          <w:ilvl w:val="1"/>
          <w:numId w:val="205"/>
        </w:numPr>
        <w:tabs>
          <w:tab w:pos="1941" w:val="left" w:leader="none"/>
        </w:tabs>
        <w:spacing w:line="240" w:lineRule="auto" w:before="0"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numPr>
          <w:ilvl w:val="0"/>
          <w:numId w:val="205"/>
        </w:numPr>
        <w:tabs>
          <w:tab w:pos="2009" w:val="left" w:leader="none"/>
          <w:tab w:pos="2010" w:val="left" w:leader="none"/>
        </w:tabs>
        <w:spacing w:line="480" w:lineRule="auto" w:before="230" w:after="0"/>
        <w:ind w:left="1940" w:right="445" w:hanging="1440"/>
        <w:jc w:val="both"/>
      </w:pPr>
      <w:r>
        <w:rPr>
          <w:b w:val="0"/>
        </w:rPr>
        <w:tab/>
      </w:r>
      <w:r>
        <w:rPr>
          <w:color w:val="212121"/>
        </w:rPr>
        <w:t>Whether the Muslims been in possession of the property in suit from 1528 A.D. continuously, openly and to the knowledge of the defendants and Hindus in general. If so, Its</w:t>
      </w:r>
      <w:r>
        <w:rPr>
          <w:color w:val="212121"/>
          <w:spacing w:val="-16"/>
        </w:rPr>
        <w:t> </w:t>
      </w:r>
      <w:r>
        <w:rPr>
          <w:color w:val="212121"/>
        </w:rPr>
        <w:t>effect.</w:t>
      </w:r>
    </w:p>
    <w:p>
      <w:pPr>
        <w:pStyle w:val="ListParagraph"/>
        <w:numPr>
          <w:ilvl w:val="1"/>
          <w:numId w:val="205"/>
        </w:numPr>
        <w:tabs>
          <w:tab w:pos="1941" w:val="left" w:leader="none"/>
        </w:tabs>
        <w:spacing w:line="472" w:lineRule="auto" w:before="0" w:after="0"/>
        <w:ind w:left="1940" w:right="437" w:hanging="360"/>
        <w:jc w:val="both"/>
        <w:rPr>
          <w:sz w:val="25"/>
        </w:rPr>
      </w:pPr>
      <w:r>
        <w:rPr>
          <w:b/>
          <w:sz w:val="25"/>
        </w:rPr>
        <w:t>Justice S U Khan </w:t>
      </w:r>
      <w:r>
        <w:rPr>
          <w:sz w:val="25"/>
        </w:rPr>
        <w:t>-There is no need to decide the question of adverse possession since both parties are joint title-holders in possession.</w:t>
      </w:r>
    </w:p>
    <w:p>
      <w:pPr>
        <w:pStyle w:val="ListParagraph"/>
        <w:numPr>
          <w:ilvl w:val="1"/>
          <w:numId w:val="205"/>
        </w:numPr>
        <w:tabs>
          <w:tab w:pos="1941" w:val="left" w:leader="none"/>
        </w:tabs>
        <w:spacing w:line="465" w:lineRule="auto" w:before="5" w:after="0"/>
        <w:ind w:left="1940" w:right="437" w:hanging="360"/>
        <w:jc w:val="both"/>
        <w:rPr>
          <w:sz w:val="25"/>
        </w:rPr>
      </w:pPr>
      <w:r>
        <w:rPr>
          <w:b/>
          <w:sz w:val="25"/>
        </w:rPr>
        <w:t>Justice Sudhir Agarwal and Justice DV Sharma </w:t>
      </w:r>
      <w:r>
        <w:rPr>
          <w:sz w:val="25"/>
        </w:rPr>
        <w:t>- Answered against the plaintiffs and the</w:t>
      </w:r>
      <w:r>
        <w:rPr>
          <w:spacing w:val="-5"/>
          <w:sz w:val="25"/>
        </w:rPr>
        <w:t> </w:t>
      </w:r>
      <w:r>
        <w:rPr>
          <w:sz w:val="25"/>
        </w:rPr>
        <w:t>Muslims.</w:t>
      </w:r>
    </w:p>
    <w:p>
      <w:pPr>
        <w:pStyle w:val="Heading5"/>
        <w:numPr>
          <w:ilvl w:val="0"/>
          <w:numId w:val="205"/>
        </w:numPr>
        <w:tabs>
          <w:tab w:pos="1940" w:val="left" w:leader="none"/>
          <w:tab w:pos="1941" w:val="left" w:leader="none"/>
        </w:tabs>
        <w:spacing w:line="240" w:lineRule="auto" w:before="15" w:after="0"/>
        <w:ind w:left="1940" w:right="0" w:hanging="1441"/>
        <w:jc w:val="left"/>
      </w:pPr>
      <w:r>
        <w:rPr>
          <w:color w:val="212121"/>
        </w:rPr>
        <w:t>To what relief, if any are the plaintiffs or any of them,</w:t>
      </w:r>
      <w:r>
        <w:rPr>
          <w:color w:val="212121"/>
          <w:spacing w:val="-21"/>
        </w:rPr>
        <w:t> </w:t>
      </w:r>
      <w:r>
        <w:rPr>
          <w:color w:val="212121"/>
        </w:rPr>
        <w:t>entitled.</w:t>
      </w:r>
    </w:p>
    <w:p>
      <w:pPr>
        <w:pStyle w:val="BodyText"/>
        <w:rPr>
          <w:b/>
        </w:rPr>
      </w:pPr>
    </w:p>
    <w:p>
      <w:pPr>
        <w:pStyle w:val="ListParagraph"/>
        <w:numPr>
          <w:ilvl w:val="1"/>
          <w:numId w:val="205"/>
        </w:numPr>
        <w:tabs>
          <w:tab w:pos="1941" w:val="left" w:leader="none"/>
        </w:tabs>
        <w:spacing w:line="465" w:lineRule="auto" w:before="1" w:after="0"/>
        <w:ind w:left="1940" w:right="438"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spacing w:after="0" w:line="465" w:lineRule="auto"/>
        <w:jc w:val="both"/>
        <w:rPr>
          <w:sz w:val="25"/>
        </w:rPr>
        <w:sectPr>
          <w:pgSz w:w="11910" w:h="16840"/>
          <w:pgMar w:header="721" w:footer="1014" w:top="1300" w:bottom="1200" w:left="940" w:right="1000"/>
        </w:sectPr>
      </w:pPr>
    </w:p>
    <w:p>
      <w:pPr>
        <w:pStyle w:val="ListParagraph"/>
        <w:numPr>
          <w:ilvl w:val="1"/>
          <w:numId w:val="205"/>
        </w:numPr>
        <w:tabs>
          <w:tab w:pos="1941" w:val="left" w:leader="none"/>
        </w:tabs>
        <w:spacing w:line="465" w:lineRule="auto" w:before="121" w:after="0"/>
        <w:ind w:left="1940" w:right="440" w:hanging="360"/>
        <w:jc w:val="both"/>
        <w:rPr>
          <w:sz w:val="25"/>
        </w:rPr>
      </w:pPr>
      <w:r>
        <w:rPr>
          <w:b/>
          <w:sz w:val="25"/>
        </w:rPr>
        <w:t>Justice Sudhir Agarwal </w:t>
      </w:r>
      <w:r>
        <w:rPr>
          <w:sz w:val="25"/>
        </w:rPr>
        <w:t>- The suit is liable to be dismissed as being barred by</w:t>
      </w:r>
      <w:r>
        <w:rPr>
          <w:spacing w:val="-3"/>
          <w:sz w:val="25"/>
        </w:rPr>
        <w:t> </w:t>
      </w:r>
      <w:r>
        <w:rPr>
          <w:sz w:val="25"/>
        </w:rPr>
        <w:t>limitation.</w:t>
      </w:r>
    </w:p>
    <w:p>
      <w:pPr>
        <w:pStyle w:val="ListParagraph"/>
        <w:numPr>
          <w:ilvl w:val="1"/>
          <w:numId w:val="205"/>
        </w:numPr>
        <w:tabs>
          <w:tab w:pos="1941" w:val="left" w:leader="none"/>
        </w:tabs>
        <w:spacing w:line="465" w:lineRule="auto" w:before="15" w:after="0"/>
        <w:ind w:left="1940" w:right="442" w:hanging="360"/>
        <w:jc w:val="both"/>
        <w:rPr>
          <w:sz w:val="25"/>
        </w:rPr>
      </w:pPr>
      <w:r>
        <w:rPr>
          <w:b/>
          <w:sz w:val="25"/>
        </w:rPr>
        <w:t>Justice D V Sharma </w:t>
      </w:r>
      <w:r>
        <w:rPr>
          <w:sz w:val="25"/>
        </w:rPr>
        <w:t>- The plaintiffs are not entitled to any relief and the suit is</w:t>
      </w:r>
      <w:r>
        <w:rPr>
          <w:spacing w:val="-2"/>
          <w:sz w:val="25"/>
        </w:rPr>
        <w:t> </w:t>
      </w:r>
      <w:r>
        <w:rPr>
          <w:sz w:val="25"/>
        </w:rPr>
        <w:t>dismissed.</w:t>
      </w:r>
    </w:p>
    <w:p>
      <w:pPr>
        <w:pStyle w:val="BodyText"/>
        <w:spacing w:before="3"/>
        <w:rPr>
          <w:sz w:val="26"/>
        </w:rPr>
      </w:pPr>
    </w:p>
    <w:p>
      <w:pPr>
        <w:pStyle w:val="Heading5"/>
        <w:numPr>
          <w:ilvl w:val="0"/>
          <w:numId w:val="205"/>
        </w:numPr>
        <w:tabs>
          <w:tab w:pos="1940" w:val="left" w:leader="none"/>
          <w:tab w:pos="1941" w:val="left" w:leader="none"/>
        </w:tabs>
        <w:spacing w:line="480" w:lineRule="auto" w:before="0" w:after="0"/>
        <w:ind w:left="1940" w:right="441" w:hanging="1440"/>
        <w:jc w:val="both"/>
      </w:pPr>
      <w:r>
        <w:rPr>
          <w:color w:val="212121"/>
        </w:rPr>
        <w:t>Whether a valid notification under section 5 (1) of the U.P. Muslim Waqf </w:t>
      </w:r>
      <w:r>
        <w:rPr>
          <w:color w:val="212121"/>
          <w:spacing w:val="-3"/>
        </w:rPr>
        <w:t>Act </w:t>
      </w:r>
      <w:r>
        <w:rPr>
          <w:color w:val="212121"/>
        </w:rPr>
        <w:t>No. XIII of 1936 relating to the property in suit was ever done. If so, its effect. (This issue has already been decided by the learned Civil Judge by order dated</w:t>
      </w:r>
      <w:r>
        <w:rPr>
          <w:color w:val="212121"/>
          <w:spacing w:val="-25"/>
        </w:rPr>
        <w:t> </w:t>
      </w:r>
      <w:r>
        <w:rPr>
          <w:color w:val="212121"/>
        </w:rPr>
        <w:t>21.04.1966)</w:t>
      </w:r>
    </w:p>
    <w:p>
      <w:pPr>
        <w:pStyle w:val="ListParagraph"/>
        <w:numPr>
          <w:ilvl w:val="1"/>
          <w:numId w:val="205"/>
        </w:numPr>
        <w:tabs>
          <w:tab w:pos="1941" w:val="left" w:leader="none"/>
        </w:tabs>
        <w:spacing w:line="465" w:lineRule="auto" w:before="0" w:after="0"/>
        <w:ind w:left="1940" w:right="438"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5"/>
        </w:numPr>
        <w:tabs>
          <w:tab w:pos="1941" w:val="left" w:leader="none"/>
        </w:tabs>
        <w:spacing w:line="465" w:lineRule="auto" w:before="15" w:after="0"/>
        <w:ind w:left="1940" w:right="436" w:hanging="360"/>
        <w:jc w:val="both"/>
        <w:rPr>
          <w:sz w:val="25"/>
        </w:rPr>
      </w:pPr>
      <w:r>
        <w:rPr>
          <w:b/>
          <w:sz w:val="25"/>
        </w:rPr>
        <w:t>Justice Sudhir Agarwal and Justice D V Sharma </w:t>
      </w:r>
      <w:r>
        <w:rPr>
          <w:sz w:val="25"/>
        </w:rPr>
        <w:t>- Decided by the order dated 21 April 1966 of the Civil</w:t>
      </w:r>
      <w:r>
        <w:rPr>
          <w:spacing w:val="-17"/>
          <w:sz w:val="25"/>
        </w:rPr>
        <w:t> </w:t>
      </w:r>
      <w:r>
        <w:rPr>
          <w:sz w:val="25"/>
        </w:rPr>
        <w:t>Judge.</w:t>
      </w:r>
    </w:p>
    <w:p>
      <w:pPr>
        <w:pStyle w:val="BodyText"/>
        <w:spacing w:before="4"/>
        <w:rPr>
          <w:sz w:val="26"/>
        </w:rPr>
      </w:pPr>
    </w:p>
    <w:p>
      <w:pPr>
        <w:pStyle w:val="Heading5"/>
        <w:numPr>
          <w:ilvl w:val="0"/>
          <w:numId w:val="205"/>
        </w:numPr>
        <w:tabs>
          <w:tab w:pos="1940" w:val="left" w:leader="none"/>
          <w:tab w:pos="1941" w:val="left" w:leader="none"/>
        </w:tabs>
        <w:spacing w:line="480" w:lineRule="auto" w:before="0" w:after="0"/>
        <w:ind w:left="1940" w:right="444" w:hanging="1440"/>
        <w:jc w:val="both"/>
      </w:pPr>
      <w:r>
        <w:rPr/>
        <w:t>What is the effect of the judgment of the Supreme Court in Gulam Abbas and others v State of UP and others, (A.I.R. 1981 Supreme Court 2198) on the finding of the learned Civil Judge recorded on 21st April, 1966 on issue no</w:t>
      </w:r>
      <w:r>
        <w:rPr>
          <w:spacing w:val="-2"/>
        </w:rPr>
        <w:t> </w:t>
      </w:r>
      <w:r>
        <w:rPr/>
        <w:t>17.</w:t>
      </w:r>
    </w:p>
    <w:p>
      <w:pPr>
        <w:pStyle w:val="ListParagraph"/>
        <w:numPr>
          <w:ilvl w:val="1"/>
          <w:numId w:val="205"/>
        </w:numPr>
        <w:tabs>
          <w:tab w:pos="1940" w:val="left" w:leader="none"/>
          <w:tab w:pos="1941" w:val="left" w:leader="none"/>
        </w:tabs>
        <w:spacing w:line="465" w:lineRule="auto" w:before="2" w:after="0"/>
        <w:ind w:left="1940" w:right="438" w:hanging="360"/>
        <w:jc w:val="left"/>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5"/>
        </w:numPr>
        <w:tabs>
          <w:tab w:pos="1940" w:val="left" w:leader="none"/>
          <w:tab w:pos="1941" w:val="left" w:leader="none"/>
        </w:tabs>
        <w:spacing w:line="465" w:lineRule="auto" w:before="15" w:after="0"/>
        <w:ind w:left="1940" w:right="439" w:hanging="360"/>
        <w:jc w:val="left"/>
        <w:rPr>
          <w:sz w:val="25"/>
        </w:rPr>
      </w:pPr>
      <w:r>
        <w:rPr>
          <w:b/>
          <w:sz w:val="25"/>
        </w:rPr>
        <w:t>Justice Sudhir Agarwal </w:t>
      </w:r>
      <w:r>
        <w:rPr>
          <w:sz w:val="25"/>
        </w:rPr>
        <w:t>- The decision of the Supreme Court does not affect the findings on issue</w:t>
      </w:r>
      <w:r>
        <w:rPr>
          <w:spacing w:val="-6"/>
          <w:sz w:val="25"/>
        </w:rPr>
        <w:t> </w:t>
      </w:r>
      <w:r>
        <w:rPr>
          <w:sz w:val="25"/>
        </w:rPr>
        <w:t>17.</w:t>
      </w:r>
    </w:p>
    <w:p>
      <w:pPr>
        <w:pStyle w:val="ListParagraph"/>
        <w:numPr>
          <w:ilvl w:val="1"/>
          <w:numId w:val="205"/>
        </w:numPr>
        <w:tabs>
          <w:tab w:pos="1940" w:val="left" w:leader="none"/>
          <w:tab w:pos="1941" w:val="left" w:leader="none"/>
        </w:tabs>
        <w:spacing w:line="240" w:lineRule="auto" w:before="14" w:after="0"/>
        <w:ind w:left="1940" w:right="0" w:hanging="361"/>
        <w:jc w:val="left"/>
        <w:rPr>
          <w:sz w:val="25"/>
        </w:rPr>
      </w:pPr>
      <w:r>
        <w:rPr>
          <w:b/>
          <w:sz w:val="25"/>
        </w:rPr>
        <w:t>Justice DV Sharma </w:t>
      </w:r>
      <w:r>
        <w:rPr>
          <w:sz w:val="25"/>
        </w:rPr>
        <w:t>- Decided against the</w:t>
      </w:r>
      <w:r>
        <w:rPr>
          <w:spacing w:val="-9"/>
          <w:sz w:val="25"/>
        </w:rPr>
        <w:t> </w:t>
      </w:r>
      <w:r>
        <w:rPr>
          <w:sz w:val="25"/>
        </w:rPr>
        <w:t>plaintiffs.</w:t>
      </w:r>
    </w:p>
    <w:p>
      <w:pPr>
        <w:pStyle w:val="BodyText"/>
        <w:rPr>
          <w:sz w:val="30"/>
        </w:rPr>
      </w:pPr>
    </w:p>
    <w:p>
      <w:pPr>
        <w:pStyle w:val="Heading5"/>
        <w:tabs>
          <w:tab w:pos="1940" w:val="left" w:leader="none"/>
        </w:tabs>
        <w:spacing w:line="480" w:lineRule="auto" w:before="228"/>
        <w:ind w:left="1940" w:right="445" w:hanging="1440"/>
        <w:jc w:val="left"/>
      </w:pPr>
      <w:r>
        <w:rPr/>
        <w:t>19(a)</w:t>
        <w:tab/>
        <w:t>Whether even after construction of the building in suit, deities of</w:t>
      </w:r>
      <w:r>
        <w:rPr>
          <w:spacing w:val="24"/>
        </w:rPr>
        <w:t> </w:t>
      </w:r>
      <w:r>
        <w:rPr/>
        <w:t>Bhagwan</w:t>
      </w:r>
      <w:r>
        <w:rPr>
          <w:spacing w:val="25"/>
        </w:rPr>
        <w:t> </w:t>
      </w:r>
      <w:r>
        <w:rPr/>
        <w:t>Sri</w:t>
      </w:r>
      <w:r>
        <w:rPr>
          <w:spacing w:val="24"/>
        </w:rPr>
        <w:t> </w:t>
      </w:r>
      <w:r>
        <w:rPr/>
        <w:t>Ram</w:t>
      </w:r>
      <w:r>
        <w:rPr>
          <w:spacing w:val="23"/>
        </w:rPr>
        <w:t> </w:t>
      </w:r>
      <w:r>
        <w:rPr/>
        <w:t>Virajman</w:t>
      </w:r>
      <w:r>
        <w:rPr>
          <w:spacing w:val="25"/>
        </w:rPr>
        <w:t> </w:t>
      </w:r>
      <w:r>
        <w:rPr/>
        <w:t>and</w:t>
      </w:r>
      <w:r>
        <w:rPr>
          <w:spacing w:val="24"/>
        </w:rPr>
        <w:t> </w:t>
      </w:r>
      <w:r>
        <w:rPr/>
        <w:t>the</w:t>
      </w:r>
      <w:r>
        <w:rPr>
          <w:spacing w:val="20"/>
        </w:rPr>
        <w:t> </w:t>
      </w:r>
      <w:r>
        <w:rPr/>
        <w:t>Asthan</w:t>
      </w:r>
      <w:r>
        <w:rPr>
          <w:spacing w:val="25"/>
        </w:rPr>
        <w:t> </w:t>
      </w:r>
      <w:r>
        <w:rPr/>
        <w:t>Sri</w:t>
      </w:r>
      <w:r>
        <w:rPr>
          <w:spacing w:val="26"/>
        </w:rPr>
        <w:t> </w:t>
      </w:r>
      <w:r>
        <w:rPr/>
        <w:t>Ram</w:t>
      </w:r>
      <w:r>
        <w:rPr>
          <w:spacing w:val="23"/>
        </w:rPr>
        <w:t> </w:t>
      </w:r>
      <w:r>
        <w:rPr/>
        <w:t>Janam</w:t>
      </w:r>
    </w:p>
    <w:p>
      <w:pPr>
        <w:spacing w:after="0" w:line="480" w:lineRule="auto"/>
        <w:jc w:val="left"/>
        <w:sectPr>
          <w:pgSz w:w="11910" w:h="16840"/>
          <w:pgMar w:header="721" w:footer="1014" w:top="1300" w:bottom="1200" w:left="940" w:right="1000"/>
        </w:sectPr>
      </w:pPr>
    </w:p>
    <w:p>
      <w:pPr>
        <w:spacing w:line="480" w:lineRule="auto" w:before="121"/>
        <w:ind w:left="1940" w:right="446" w:firstLine="0"/>
        <w:jc w:val="both"/>
        <w:rPr>
          <w:b/>
          <w:sz w:val="25"/>
        </w:rPr>
      </w:pPr>
      <w:r>
        <w:rPr>
          <w:b/>
          <w:sz w:val="25"/>
        </w:rPr>
        <w:t>Bhumi continued to exist on the property in suit as alleged on behalf of defendant no 13 and the said places continued to be visited by devotees for purpose of worship. If so whether the property in dispute continued to vest in the said deities.</w:t>
      </w:r>
    </w:p>
    <w:p>
      <w:pPr>
        <w:pStyle w:val="BodyText"/>
        <w:rPr>
          <w:b/>
        </w:rPr>
      </w:pPr>
    </w:p>
    <w:p>
      <w:pPr>
        <w:pStyle w:val="ListParagraph"/>
        <w:numPr>
          <w:ilvl w:val="1"/>
          <w:numId w:val="205"/>
        </w:numPr>
        <w:tabs>
          <w:tab w:pos="1941" w:val="left" w:leader="none"/>
        </w:tabs>
        <w:spacing w:line="475" w:lineRule="auto" w:before="0" w:after="0"/>
        <w:ind w:left="1940" w:right="439" w:hanging="360"/>
        <w:jc w:val="both"/>
        <w:rPr>
          <w:sz w:val="25"/>
        </w:rPr>
      </w:pPr>
      <w:r>
        <w:rPr>
          <w:b/>
          <w:sz w:val="25"/>
        </w:rPr>
        <w:t>Justice S U Khan </w:t>
      </w:r>
      <w:r>
        <w:rPr>
          <w:sz w:val="25"/>
        </w:rPr>
        <w:t>- No temple was demolished for constructing the mosque. Until the mosque was constructed during the period of </w:t>
      </w:r>
      <w:r>
        <w:rPr>
          <w:spacing w:val="-3"/>
          <w:sz w:val="25"/>
        </w:rPr>
        <w:t>Babur, </w:t>
      </w:r>
      <w:r>
        <w:rPr>
          <w:sz w:val="25"/>
        </w:rPr>
        <w:t>the premises were neither believed nor treated to be the birth-place of Lord</w:t>
      </w:r>
      <w:r>
        <w:rPr>
          <w:spacing w:val="-2"/>
          <w:sz w:val="25"/>
        </w:rPr>
        <w:t> </w:t>
      </w:r>
      <w:r>
        <w:rPr>
          <w:sz w:val="25"/>
        </w:rPr>
        <w:t>Ram.</w:t>
      </w:r>
    </w:p>
    <w:p>
      <w:pPr>
        <w:pStyle w:val="ListParagraph"/>
        <w:numPr>
          <w:ilvl w:val="1"/>
          <w:numId w:val="205"/>
        </w:numPr>
        <w:tabs>
          <w:tab w:pos="1941" w:val="left" w:leader="none"/>
        </w:tabs>
        <w:spacing w:line="475" w:lineRule="auto" w:before="3" w:after="0"/>
        <w:ind w:left="1940" w:right="437" w:hanging="360"/>
        <w:jc w:val="both"/>
        <w:rPr>
          <w:sz w:val="25"/>
        </w:rPr>
      </w:pPr>
      <w:r>
        <w:rPr>
          <w:b/>
          <w:sz w:val="25"/>
        </w:rPr>
        <w:t>Justice Sudhir Agarwal </w:t>
      </w:r>
      <w:r>
        <w:rPr>
          <w:sz w:val="25"/>
        </w:rPr>
        <w:t>- The premises which are believed to the place of birth of Lord Ram continued to vest in the </w:t>
      </w:r>
      <w:r>
        <w:rPr>
          <w:spacing w:val="-4"/>
          <w:sz w:val="25"/>
        </w:rPr>
        <w:t>deity. </w:t>
      </w:r>
      <w:r>
        <w:rPr>
          <w:sz w:val="25"/>
        </w:rPr>
        <w:t>Hindu religious structures in the outer courtyard cannot be held to be the property of the</w:t>
      </w:r>
      <w:r>
        <w:rPr>
          <w:spacing w:val="-5"/>
          <w:sz w:val="25"/>
        </w:rPr>
        <w:t> </w:t>
      </w:r>
      <w:r>
        <w:rPr>
          <w:sz w:val="25"/>
        </w:rPr>
        <w:t>plaintiffs.</w:t>
      </w:r>
    </w:p>
    <w:p>
      <w:pPr>
        <w:pStyle w:val="ListParagraph"/>
        <w:numPr>
          <w:ilvl w:val="1"/>
          <w:numId w:val="205"/>
        </w:numPr>
        <w:tabs>
          <w:tab w:pos="1941" w:val="left" w:leader="none"/>
        </w:tabs>
        <w:spacing w:line="240" w:lineRule="auto" w:before="4"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tabs>
          <w:tab w:pos="1940" w:val="left" w:leader="none"/>
        </w:tabs>
        <w:spacing w:line="480" w:lineRule="auto" w:before="228"/>
        <w:ind w:left="1940" w:right="443" w:hanging="1349"/>
      </w:pPr>
      <w:r>
        <w:rPr/>
        <w:t>19(b)</w:t>
        <w:tab/>
        <w:t>Whether the building was land-locked and cannot be reached except by passing through places of Hindu worship. If so, its effect.</w:t>
      </w:r>
    </w:p>
    <w:p>
      <w:pPr>
        <w:pStyle w:val="BodyText"/>
        <w:spacing w:before="10"/>
        <w:rPr>
          <w:b/>
          <w:sz w:val="24"/>
        </w:rPr>
      </w:pPr>
    </w:p>
    <w:p>
      <w:pPr>
        <w:pStyle w:val="ListParagraph"/>
        <w:numPr>
          <w:ilvl w:val="1"/>
          <w:numId w:val="205"/>
        </w:numPr>
        <w:tabs>
          <w:tab w:pos="1941" w:val="left" w:leader="none"/>
        </w:tabs>
        <w:spacing w:line="465" w:lineRule="auto" w:before="1" w:after="0"/>
        <w:ind w:left="1940" w:right="438"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5"/>
        </w:numPr>
        <w:tabs>
          <w:tab w:pos="1941" w:val="left" w:leader="none"/>
        </w:tabs>
        <w:spacing w:line="475" w:lineRule="auto" w:before="16" w:after="0"/>
        <w:ind w:left="1940" w:right="438" w:hanging="360"/>
        <w:jc w:val="both"/>
        <w:rPr>
          <w:sz w:val="25"/>
        </w:rPr>
      </w:pPr>
      <w:r>
        <w:rPr>
          <w:b/>
          <w:sz w:val="25"/>
        </w:rPr>
        <w:t>Justice Sudhir Agarwal </w:t>
      </w:r>
      <w:r>
        <w:rPr>
          <w:sz w:val="25"/>
        </w:rPr>
        <w:t>- Answered in the affirmative to the extent that the building was land-locked and could not be reached except by passing through places of Hindu worship. </w:t>
      </w:r>
      <w:r>
        <w:rPr>
          <w:spacing w:val="-3"/>
          <w:sz w:val="25"/>
        </w:rPr>
        <w:t>However, </w:t>
      </w:r>
      <w:r>
        <w:rPr>
          <w:sz w:val="25"/>
        </w:rPr>
        <w:t>this by itself is of no</w:t>
      </w:r>
      <w:r>
        <w:rPr>
          <w:spacing w:val="-2"/>
          <w:sz w:val="25"/>
        </w:rPr>
        <w:t> </w:t>
      </w:r>
      <w:r>
        <w:rPr>
          <w:sz w:val="25"/>
        </w:rPr>
        <w:t>consequence.</w:t>
      </w:r>
    </w:p>
    <w:p>
      <w:pPr>
        <w:pStyle w:val="ListParagraph"/>
        <w:numPr>
          <w:ilvl w:val="1"/>
          <w:numId w:val="205"/>
        </w:numPr>
        <w:tabs>
          <w:tab w:pos="1941" w:val="left" w:leader="none"/>
        </w:tabs>
        <w:spacing w:line="240" w:lineRule="auto" w:before="3"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spacing w:after="0" w:line="240" w:lineRule="auto"/>
        <w:jc w:val="both"/>
        <w:rPr>
          <w:sz w:val="25"/>
        </w:rPr>
        <w:sectPr>
          <w:pgSz w:w="11910" w:h="16840"/>
          <w:pgMar w:header="721" w:footer="1014" w:top="1300" w:bottom="1200" w:left="940" w:right="1000"/>
        </w:sectPr>
      </w:pPr>
    </w:p>
    <w:p>
      <w:pPr>
        <w:pStyle w:val="Heading5"/>
        <w:tabs>
          <w:tab w:pos="1940" w:val="left" w:leader="none"/>
        </w:tabs>
        <w:spacing w:line="480" w:lineRule="auto" w:before="121"/>
        <w:ind w:left="1940" w:right="439" w:hanging="1440"/>
      </w:pPr>
      <w:r>
        <w:rPr/>
        <w:t>19(c)</w:t>
        <w:tab/>
        <w:t>Whether any portion of the property in suit was used as a place or worship by the Hindus immediately prior to the construction of the building in question. If the finding is in the affirmative, whether no mosque could come into existence in view of the Islamic tenets at the place in</w:t>
      </w:r>
      <w:r>
        <w:rPr>
          <w:spacing w:val="-12"/>
        </w:rPr>
        <w:t> </w:t>
      </w:r>
      <w:r>
        <w:rPr/>
        <w:t>dispute.</w:t>
      </w:r>
    </w:p>
    <w:p>
      <w:pPr>
        <w:pStyle w:val="ListParagraph"/>
        <w:numPr>
          <w:ilvl w:val="1"/>
          <w:numId w:val="205"/>
        </w:numPr>
        <w:tabs>
          <w:tab w:pos="1941" w:val="left" w:leader="none"/>
        </w:tabs>
        <w:spacing w:line="475" w:lineRule="auto" w:before="1" w:after="0"/>
        <w:ind w:left="1940" w:right="437" w:hanging="360"/>
        <w:jc w:val="both"/>
        <w:rPr>
          <w:sz w:val="25"/>
        </w:rPr>
      </w:pPr>
      <w:r>
        <w:rPr>
          <w:b/>
          <w:sz w:val="25"/>
        </w:rPr>
        <w:t>Justice S U Khan </w:t>
      </w:r>
      <w:r>
        <w:rPr>
          <w:sz w:val="25"/>
        </w:rPr>
        <w:t>- No temple was demolished for constructing the mosque. Until the mosque was constructed during the period of </w:t>
      </w:r>
      <w:r>
        <w:rPr>
          <w:spacing w:val="-3"/>
          <w:sz w:val="25"/>
        </w:rPr>
        <w:t>Babur, </w:t>
      </w:r>
      <w:r>
        <w:rPr>
          <w:sz w:val="25"/>
        </w:rPr>
        <w:t>the premises were neither believed nor treated to be the birth-place of Lord</w:t>
      </w:r>
      <w:r>
        <w:rPr>
          <w:spacing w:val="-2"/>
          <w:sz w:val="25"/>
        </w:rPr>
        <w:t> </w:t>
      </w:r>
      <w:r>
        <w:rPr>
          <w:sz w:val="25"/>
        </w:rPr>
        <w:t>Ram.</w:t>
      </w:r>
    </w:p>
    <w:p>
      <w:pPr>
        <w:pStyle w:val="ListParagraph"/>
        <w:numPr>
          <w:ilvl w:val="1"/>
          <w:numId w:val="205"/>
        </w:numPr>
        <w:tabs>
          <w:tab w:pos="1941" w:val="left" w:leader="none"/>
        </w:tabs>
        <w:spacing w:line="475" w:lineRule="auto" w:before="2" w:after="0"/>
        <w:ind w:left="1940" w:right="440" w:hanging="360"/>
        <w:jc w:val="both"/>
        <w:rPr>
          <w:sz w:val="25"/>
        </w:rPr>
      </w:pPr>
      <w:r>
        <w:rPr>
          <w:b/>
          <w:sz w:val="25"/>
        </w:rPr>
        <w:t>Justice Sudhir Agarwal </w:t>
      </w:r>
      <w:r>
        <w:rPr>
          <w:sz w:val="25"/>
        </w:rPr>
        <w:t>- Hindus were worshiping at the place in dispute before the construction of the disputed structure. </w:t>
      </w:r>
      <w:r>
        <w:rPr>
          <w:spacing w:val="-3"/>
          <w:sz w:val="25"/>
        </w:rPr>
        <w:t>However, </w:t>
      </w:r>
      <w:r>
        <w:rPr>
          <w:sz w:val="25"/>
        </w:rPr>
        <w:t>insofar as the second part is concerned, it has no relevance, being hypothetical.</w:t>
      </w:r>
    </w:p>
    <w:p>
      <w:pPr>
        <w:pStyle w:val="ListParagraph"/>
        <w:numPr>
          <w:ilvl w:val="1"/>
          <w:numId w:val="205"/>
        </w:numPr>
        <w:tabs>
          <w:tab w:pos="1941" w:val="left" w:leader="none"/>
        </w:tabs>
        <w:spacing w:line="472" w:lineRule="auto" w:before="3" w:after="0"/>
        <w:ind w:left="1940" w:right="440" w:hanging="360"/>
        <w:jc w:val="both"/>
        <w:rPr>
          <w:sz w:val="25"/>
        </w:rPr>
      </w:pPr>
      <w:r>
        <w:rPr>
          <w:b/>
          <w:sz w:val="25"/>
        </w:rPr>
        <w:t>Justice D V Sharma </w:t>
      </w:r>
      <w:r>
        <w:rPr>
          <w:sz w:val="25"/>
        </w:rPr>
        <w:t>- The property in suit is the site of Janmabhumi of Lord Ram and the defendants had a right to worship. The Hindus have been doing that since time</w:t>
      </w:r>
      <w:r>
        <w:rPr>
          <w:spacing w:val="-33"/>
          <w:sz w:val="25"/>
        </w:rPr>
        <w:t> </w:t>
      </w:r>
      <w:r>
        <w:rPr>
          <w:sz w:val="25"/>
        </w:rPr>
        <w:t>immemorial.</w:t>
      </w:r>
    </w:p>
    <w:p>
      <w:pPr>
        <w:pStyle w:val="BodyText"/>
        <w:spacing w:before="6"/>
      </w:pPr>
    </w:p>
    <w:p>
      <w:pPr>
        <w:pStyle w:val="Heading5"/>
        <w:tabs>
          <w:tab w:pos="1940" w:val="left" w:leader="none"/>
        </w:tabs>
        <w:spacing w:line="480" w:lineRule="auto"/>
        <w:ind w:left="1940" w:right="445" w:hanging="1440"/>
      </w:pPr>
      <w:r>
        <w:rPr/>
        <w:t>19(d)</w:t>
        <w:tab/>
        <w:t>Whether the building in question could not be a mosque under the Islamic law in view of the admitted position that it did not have</w:t>
      </w:r>
      <w:r>
        <w:rPr>
          <w:spacing w:val="-2"/>
        </w:rPr>
        <w:t> </w:t>
      </w:r>
      <w:r>
        <w:rPr/>
        <w:t>minarets.</w:t>
      </w:r>
    </w:p>
    <w:p>
      <w:pPr>
        <w:pStyle w:val="ListParagraph"/>
        <w:numPr>
          <w:ilvl w:val="1"/>
          <w:numId w:val="205"/>
        </w:numPr>
        <w:tabs>
          <w:tab w:pos="1941" w:val="left" w:leader="none"/>
        </w:tabs>
        <w:spacing w:line="465" w:lineRule="auto" w:before="2" w:after="0"/>
        <w:ind w:left="1940" w:right="442" w:hanging="360"/>
        <w:jc w:val="both"/>
        <w:rPr>
          <w:sz w:val="25"/>
        </w:rPr>
      </w:pPr>
      <w:r>
        <w:rPr>
          <w:b/>
          <w:sz w:val="25"/>
        </w:rPr>
        <w:t>Justice S U Khan </w:t>
      </w:r>
      <w:r>
        <w:rPr>
          <w:sz w:val="25"/>
        </w:rPr>
        <w:t>- It cannot be said that the mosque was not a valid</w:t>
      </w:r>
      <w:r>
        <w:rPr>
          <w:spacing w:val="-2"/>
          <w:sz w:val="25"/>
        </w:rPr>
        <w:t> </w:t>
      </w:r>
      <w:r>
        <w:rPr>
          <w:sz w:val="25"/>
        </w:rPr>
        <w:t>mosque.</w:t>
      </w:r>
    </w:p>
    <w:p>
      <w:pPr>
        <w:pStyle w:val="ListParagraph"/>
        <w:numPr>
          <w:ilvl w:val="1"/>
          <w:numId w:val="205"/>
        </w:numPr>
        <w:tabs>
          <w:tab w:pos="1941" w:val="left" w:leader="none"/>
        </w:tabs>
        <w:spacing w:line="240" w:lineRule="auto" w:before="14" w:after="0"/>
        <w:ind w:left="1940" w:right="0" w:hanging="361"/>
        <w:jc w:val="both"/>
        <w:rPr>
          <w:sz w:val="25"/>
        </w:rPr>
      </w:pPr>
      <w:r>
        <w:rPr>
          <w:b/>
          <w:sz w:val="25"/>
        </w:rPr>
        <w:t>Justice Sudhir Agarwal </w:t>
      </w:r>
      <w:r>
        <w:rPr>
          <w:sz w:val="25"/>
        </w:rPr>
        <w:t>- Answered in favour of the</w:t>
      </w:r>
      <w:r>
        <w:rPr>
          <w:spacing w:val="-33"/>
          <w:sz w:val="25"/>
        </w:rPr>
        <w:t> </w:t>
      </w:r>
      <w:r>
        <w:rPr>
          <w:sz w:val="25"/>
        </w:rPr>
        <w:t>plaintiffs.</w:t>
      </w:r>
    </w:p>
    <w:p>
      <w:pPr>
        <w:pStyle w:val="BodyText"/>
        <w:spacing w:before="9"/>
        <w:rPr>
          <w:sz w:val="24"/>
        </w:rPr>
      </w:pPr>
    </w:p>
    <w:p>
      <w:pPr>
        <w:pStyle w:val="ListParagraph"/>
        <w:numPr>
          <w:ilvl w:val="1"/>
          <w:numId w:val="205"/>
        </w:numPr>
        <w:tabs>
          <w:tab w:pos="1941" w:val="left" w:leader="none"/>
        </w:tabs>
        <w:spacing w:line="240" w:lineRule="auto" w:before="0"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spacing w:after="0" w:line="240" w:lineRule="auto"/>
        <w:jc w:val="both"/>
        <w:rPr>
          <w:sz w:val="25"/>
        </w:rPr>
        <w:sectPr>
          <w:pgSz w:w="11910" w:h="16840"/>
          <w:pgMar w:header="721" w:footer="1014" w:top="1300" w:bottom="1200" w:left="940" w:right="1000"/>
        </w:sectPr>
      </w:pPr>
    </w:p>
    <w:p>
      <w:pPr>
        <w:pStyle w:val="Heading5"/>
        <w:tabs>
          <w:tab w:pos="1940" w:val="left" w:leader="none"/>
        </w:tabs>
        <w:spacing w:line="480" w:lineRule="auto" w:before="121"/>
        <w:ind w:left="1940" w:right="437" w:hanging="1440"/>
      </w:pPr>
      <w:r>
        <w:rPr/>
        <w:t>19(e)</w:t>
        <w:tab/>
        <w:t>Whether the building in question could not legally be a mosque as on plaintiffs own showing it was surrounded by a grave-yard on three</w:t>
      </w:r>
      <w:r>
        <w:rPr>
          <w:spacing w:val="-1"/>
        </w:rPr>
        <w:t> </w:t>
      </w:r>
      <w:r>
        <w:rPr/>
        <w:t>sides?</w:t>
      </w:r>
    </w:p>
    <w:p>
      <w:pPr>
        <w:pStyle w:val="BodyText"/>
        <w:spacing w:before="10"/>
        <w:rPr>
          <w:b/>
          <w:sz w:val="24"/>
        </w:rPr>
      </w:pPr>
    </w:p>
    <w:p>
      <w:pPr>
        <w:pStyle w:val="ListParagraph"/>
        <w:numPr>
          <w:ilvl w:val="1"/>
          <w:numId w:val="205"/>
        </w:numPr>
        <w:tabs>
          <w:tab w:pos="1941" w:val="left" w:leader="none"/>
        </w:tabs>
        <w:spacing w:line="465" w:lineRule="auto" w:before="0" w:after="0"/>
        <w:ind w:left="1940" w:right="442" w:hanging="360"/>
        <w:jc w:val="both"/>
        <w:rPr>
          <w:sz w:val="25"/>
        </w:rPr>
      </w:pPr>
      <w:r>
        <w:rPr>
          <w:b/>
          <w:sz w:val="25"/>
        </w:rPr>
        <w:t>Justice S U Khan </w:t>
      </w:r>
      <w:r>
        <w:rPr>
          <w:sz w:val="25"/>
        </w:rPr>
        <w:t>- It cannot be said that the mosque was not a valid</w:t>
      </w:r>
      <w:r>
        <w:rPr>
          <w:spacing w:val="-2"/>
          <w:sz w:val="25"/>
        </w:rPr>
        <w:t> </w:t>
      </w:r>
      <w:r>
        <w:rPr>
          <w:sz w:val="25"/>
        </w:rPr>
        <w:t>mosque.</w:t>
      </w:r>
    </w:p>
    <w:p>
      <w:pPr>
        <w:pStyle w:val="ListParagraph"/>
        <w:numPr>
          <w:ilvl w:val="1"/>
          <w:numId w:val="205"/>
        </w:numPr>
        <w:tabs>
          <w:tab w:pos="1941" w:val="left" w:leader="none"/>
        </w:tabs>
        <w:spacing w:line="240" w:lineRule="auto" w:before="17" w:after="0"/>
        <w:ind w:left="1940" w:right="0" w:hanging="361"/>
        <w:jc w:val="both"/>
        <w:rPr>
          <w:sz w:val="25"/>
        </w:rPr>
      </w:pPr>
      <w:r>
        <w:rPr>
          <w:b/>
          <w:sz w:val="25"/>
        </w:rPr>
        <w:t>Justice Sudhir Agarwal </w:t>
      </w:r>
      <w:r>
        <w:rPr>
          <w:sz w:val="25"/>
        </w:rPr>
        <w:t>- Answered in favour of the</w:t>
      </w:r>
      <w:r>
        <w:rPr>
          <w:spacing w:val="-36"/>
          <w:sz w:val="25"/>
        </w:rPr>
        <w:t> </w:t>
      </w:r>
      <w:r>
        <w:rPr>
          <w:sz w:val="25"/>
        </w:rPr>
        <w:t>plaintiffs.</w:t>
      </w:r>
    </w:p>
    <w:p>
      <w:pPr>
        <w:pStyle w:val="BodyText"/>
        <w:spacing w:before="9"/>
        <w:rPr>
          <w:sz w:val="24"/>
        </w:rPr>
      </w:pPr>
    </w:p>
    <w:p>
      <w:pPr>
        <w:pStyle w:val="ListParagraph"/>
        <w:numPr>
          <w:ilvl w:val="1"/>
          <w:numId w:val="205"/>
        </w:numPr>
        <w:tabs>
          <w:tab w:pos="1941" w:val="left" w:leader="none"/>
        </w:tabs>
        <w:spacing w:line="240" w:lineRule="auto" w:before="0"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tabs>
          <w:tab w:pos="1940" w:val="left" w:leader="none"/>
        </w:tabs>
        <w:spacing w:line="480" w:lineRule="auto" w:before="230"/>
        <w:ind w:left="1940" w:right="446" w:hanging="1440"/>
      </w:pPr>
      <w:r>
        <w:rPr/>
        <w:t>19(f)</w:t>
        <w:tab/>
        <w:t>Whether the pillars inside and outside the building in question contain images of Hindu Gods and Goddesses. If the finding is in affirmative, whether on that account the building in question cannot have the character of mosque under the tenets of</w:t>
      </w:r>
      <w:r>
        <w:rPr>
          <w:spacing w:val="-33"/>
        </w:rPr>
        <w:t> </w:t>
      </w:r>
      <w:r>
        <w:rPr/>
        <w:t>Islam.</w:t>
      </w:r>
    </w:p>
    <w:p>
      <w:pPr>
        <w:pStyle w:val="ListParagraph"/>
        <w:numPr>
          <w:ilvl w:val="1"/>
          <w:numId w:val="205"/>
        </w:numPr>
        <w:tabs>
          <w:tab w:pos="1941" w:val="left" w:leader="none"/>
        </w:tabs>
        <w:spacing w:line="472" w:lineRule="auto" w:before="0" w:after="0"/>
        <w:ind w:left="1940" w:right="439" w:hanging="360"/>
        <w:jc w:val="both"/>
        <w:rPr>
          <w:sz w:val="25"/>
        </w:rPr>
      </w:pPr>
      <w:r>
        <w:rPr>
          <w:b/>
          <w:sz w:val="25"/>
        </w:rPr>
        <w:t>Justice S U Khan </w:t>
      </w:r>
      <w:r>
        <w:rPr>
          <w:sz w:val="25"/>
        </w:rPr>
        <w:t>- No temple was demolished for constructing the mosque. Until the construction of the mosque, the premises were neither treated nor believed to be the birth-place of Lord</w:t>
      </w:r>
      <w:r>
        <w:rPr>
          <w:spacing w:val="-17"/>
          <w:sz w:val="25"/>
        </w:rPr>
        <w:t> </w:t>
      </w:r>
      <w:r>
        <w:rPr>
          <w:sz w:val="25"/>
        </w:rPr>
        <w:t>Ram.</w:t>
      </w:r>
    </w:p>
    <w:p>
      <w:pPr>
        <w:pStyle w:val="ListParagraph"/>
        <w:numPr>
          <w:ilvl w:val="1"/>
          <w:numId w:val="205"/>
        </w:numPr>
        <w:tabs>
          <w:tab w:pos="1941" w:val="left" w:leader="none"/>
        </w:tabs>
        <w:spacing w:line="472" w:lineRule="auto" w:before="6" w:after="0"/>
        <w:ind w:left="1940" w:right="438" w:hanging="360"/>
        <w:jc w:val="both"/>
        <w:rPr>
          <w:sz w:val="25"/>
        </w:rPr>
      </w:pPr>
      <w:r>
        <w:rPr>
          <w:b/>
          <w:sz w:val="25"/>
        </w:rPr>
        <w:t>Justice Sudhir Agarwal </w:t>
      </w:r>
      <w:r>
        <w:rPr>
          <w:sz w:val="25"/>
        </w:rPr>
        <w:t>- The first part is answered in the affirmative. The second part is redundant and left unanswered. In the ultimate result, the issue is answered in favour of the</w:t>
      </w:r>
      <w:r>
        <w:rPr>
          <w:spacing w:val="-39"/>
          <w:sz w:val="25"/>
        </w:rPr>
        <w:t> </w:t>
      </w:r>
      <w:r>
        <w:rPr>
          <w:sz w:val="25"/>
        </w:rPr>
        <w:t>plaintiffs.</w:t>
      </w:r>
    </w:p>
    <w:p>
      <w:pPr>
        <w:pStyle w:val="ListParagraph"/>
        <w:numPr>
          <w:ilvl w:val="1"/>
          <w:numId w:val="205"/>
        </w:numPr>
        <w:tabs>
          <w:tab w:pos="1941" w:val="left" w:leader="none"/>
        </w:tabs>
        <w:spacing w:line="240" w:lineRule="auto" w:before="4"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tabs>
          <w:tab w:pos="1940" w:val="left" w:leader="none"/>
        </w:tabs>
        <w:spacing w:line="480" w:lineRule="auto" w:before="230"/>
        <w:ind w:left="1940" w:right="438" w:hanging="1349"/>
      </w:pPr>
      <w:r>
        <w:rPr/>
        <w:t>20(a)</w:t>
        <w:tab/>
        <w:t>Whether the waqf in question cannot be a Sunni </w:t>
      </w:r>
      <w:r>
        <w:rPr>
          <w:spacing w:val="-4"/>
        </w:rPr>
        <w:t>Waqf </w:t>
      </w:r>
      <w:r>
        <w:rPr/>
        <w:t>as the building was not allegedly constructed by a Sunni Mohammedan but was allegedly constructed by Mir Baqi who was allegedly a Shia Muslim and the alleged Mutawallis were allegedly Shia Mohammedans. If so, its</w:t>
      </w:r>
      <w:r>
        <w:rPr>
          <w:spacing w:val="-12"/>
        </w:rPr>
        <w:t> </w:t>
      </w:r>
      <w:r>
        <w:rPr/>
        <w:t>effect.</w:t>
      </w:r>
    </w:p>
    <w:p>
      <w:pPr>
        <w:spacing w:after="0" w:line="480" w:lineRule="auto"/>
        <w:sectPr>
          <w:pgSz w:w="11910" w:h="16840"/>
          <w:pgMar w:header="721" w:footer="1014" w:top="1300" w:bottom="1200" w:left="940" w:right="1000"/>
        </w:sectPr>
      </w:pPr>
    </w:p>
    <w:p>
      <w:pPr>
        <w:pStyle w:val="BodyText"/>
        <w:spacing w:before="10"/>
        <w:rPr>
          <w:b/>
          <w:sz w:val="26"/>
        </w:rPr>
      </w:pPr>
    </w:p>
    <w:p>
      <w:pPr>
        <w:pStyle w:val="ListParagraph"/>
        <w:numPr>
          <w:ilvl w:val="1"/>
          <w:numId w:val="205"/>
        </w:numPr>
        <w:tabs>
          <w:tab w:pos="1941" w:val="left" w:leader="none"/>
        </w:tabs>
        <w:spacing w:line="465" w:lineRule="auto" w:before="100" w:after="0"/>
        <w:ind w:left="1940" w:right="441" w:hanging="360"/>
        <w:jc w:val="both"/>
        <w:rPr>
          <w:sz w:val="25"/>
        </w:rPr>
      </w:pPr>
      <w:r>
        <w:rPr>
          <w:b/>
          <w:sz w:val="25"/>
        </w:rPr>
        <w:t>Justice S U Khan </w:t>
      </w:r>
      <w:r>
        <w:rPr>
          <w:sz w:val="25"/>
        </w:rPr>
        <w:t>-It cannot be said that the mosque was not a valid</w:t>
      </w:r>
      <w:r>
        <w:rPr>
          <w:spacing w:val="-2"/>
          <w:sz w:val="25"/>
        </w:rPr>
        <w:t> </w:t>
      </w:r>
      <w:r>
        <w:rPr>
          <w:sz w:val="25"/>
        </w:rPr>
        <w:t>mosque.</w:t>
      </w:r>
    </w:p>
    <w:p>
      <w:pPr>
        <w:pStyle w:val="ListParagraph"/>
        <w:numPr>
          <w:ilvl w:val="1"/>
          <w:numId w:val="205"/>
        </w:numPr>
        <w:tabs>
          <w:tab w:pos="1940" w:val="left" w:leader="none"/>
          <w:tab w:pos="1941" w:val="left" w:leader="none"/>
        </w:tabs>
        <w:spacing w:line="240" w:lineRule="auto" w:before="15" w:after="0"/>
        <w:ind w:left="1940" w:right="0" w:hanging="361"/>
        <w:jc w:val="left"/>
        <w:rPr>
          <w:sz w:val="25"/>
        </w:rPr>
      </w:pPr>
      <w:r>
        <w:rPr>
          <w:b/>
          <w:sz w:val="25"/>
        </w:rPr>
        <w:t>Justice Sudhir Agarwal </w:t>
      </w:r>
      <w:r>
        <w:rPr>
          <w:sz w:val="25"/>
        </w:rPr>
        <w:t>- Irrelevant and not</w:t>
      </w:r>
      <w:r>
        <w:rPr>
          <w:spacing w:val="-12"/>
          <w:sz w:val="25"/>
        </w:rPr>
        <w:t> </w:t>
      </w:r>
      <w:r>
        <w:rPr>
          <w:sz w:val="25"/>
        </w:rPr>
        <w:t>answered.</w:t>
      </w:r>
    </w:p>
    <w:p>
      <w:pPr>
        <w:pStyle w:val="BodyText"/>
        <w:spacing w:before="10"/>
        <w:rPr>
          <w:sz w:val="24"/>
        </w:rPr>
      </w:pPr>
    </w:p>
    <w:p>
      <w:pPr>
        <w:pStyle w:val="ListParagraph"/>
        <w:numPr>
          <w:ilvl w:val="1"/>
          <w:numId w:val="205"/>
        </w:numPr>
        <w:tabs>
          <w:tab w:pos="1940" w:val="left" w:leader="none"/>
          <w:tab w:pos="1941" w:val="left" w:leader="none"/>
        </w:tabs>
        <w:spacing w:line="240" w:lineRule="auto" w:before="0" w:after="0"/>
        <w:ind w:left="1940" w:right="0" w:hanging="361"/>
        <w:jc w:val="left"/>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tabs>
          <w:tab w:pos="1940" w:val="left" w:leader="none"/>
        </w:tabs>
        <w:spacing w:line="480" w:lineRule="auto" w:before="227"/>
        <w:ind w:left="1940" w:right="448" w:hanging="1440"/>
      </w:pPr>
      <w:r>
        <w:rPr/>
        <w:t>20(b)</w:t>
        <w:tab/>
        <w:t>Whether there was a Mutawalli of the alleged </w:t>
      </w:r>
      <w:r>
        <w:rPr>
          <w:spacing w:val="-3"/>
        </w:rPr>
        <w:t>Waqf </w:t>
      </w:r>
      <w:r>
        <w:rPr/>
        <w:t>and whether the alleged Mutawalli, not having joined in the suit, the suit is not maintainable so far as it relates to relief for</w:t>
      </w:r>
      <w:r>
        <w:rPr>
          <w:spacing w:val="-23"/>
        </w:rPr>
        <w:t> </w:t>
      </w:r>
      <w:r>
        <w:rPr/>
        <w:t>possession.</w:t>
      </w:r>
    </w:p>
    <w:p>
      <w:pPr>
        <w:pStyle w:val="BodyText"/>
        <w:rPr>
          <w:b/>
        </w:rPr>
      </w:pPr>
    </w:p>
    <w:p>
      <w:pPr>
        <w:pStyle w:val="ListParagraph"/>
        <w:numPr>
          <w:ilvl w:val="1"/>
          <w:numId w:val="205"/>
        </w:numPr>
        <w:tabs>
          <w:tab w:pos="1941" w:val="left" w:leader="none"/>
        </w:tabs>
        <w:spacing w:line="465" w:lineRule="auto" w:before="0" w:after="0"/>
        <w:ind w:left="1940" w:right="441"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5"/>
        </w:numPr>
        <w:tabs>
          <w:tab w:pos="1941" w:val="left" w:leader="none"/>
        </w:tabs>
        <w:spacing w:line="475" w:lineRule="auto" w:before="14" w:after="0"/>
        <w:ind w:left="1940" w:right="438" w:hanging="360"/>
        <w:jc w:val="both"/>
        <w:rPr>
          <w:sz w:val="25"/>
        </w:rPr>
      </w:pPr>
      <w:r>
        <w:rPr>
          <w:b/>
          <w:sz w:val="25"/>
        </w:rPr>
        <w:t>Justice Sudhir Agarwal </w:t>
      </w:r>
      <w:r>
        <w:rPr>
          <w:sz w:val="25"/>
        </w:rPr>
        <w:t>- At the time of the attachment of the building, there was a mutawalli and in the absence of whom relief of possession cannot be allowed to the plaintiffs in their capacity as worshippers.</w:t>
      </w:r>
    </w:p>
    <w:p>
      <w:pPr>
        <w:pStyle w:val="ListParagraph"/>
        <w:numPr>
          <w:ilvl w:val="1"/>
          <w:numId w:val="205"/>
        </w:numPr>
        <w:tabs>
          <w:tab w:pos="1941" w:val="left" w:leader="none"/>
        </w:tabs>
        <w:spacing w:line="240" w:lineRule="auto" w:before="5" w:after="0"/>
        <w:ind w:left="1940" w:right="0" w:hanging="361"/>
        <w:jc w:val="both"/>
        <w:rPr>
          <w:sz w:val="25"/>
        </w:rPr>
      </w:pPr>
      <w:r>
        <w:rPr>
          <w:b/>
          <w:sz w:val="25"/>
        </w:rPr>
        <w:t>Justice D V Sharma </w:t>
      </w:r>
      <w:r>
        <w:rPr>
          <w:sz w:val="25"/>
        </w:rPr>
        <w:t>- The suit is held not to be</w:t>
      </w:r>
      <w:r>
        <w:rPr>
          <w:spacing w:val="-20"/>
          <w:sz w:val="25"/>
        </w:rPr>
        <w:t> </w:t>
      </w:r>
      <w:r>
        <w:rPr>
          <w:sz w:val="25"/>
        </w:rPr>
        <w:t>maintainable.</w:t>
      </w:r>
    </w:p>
    <w:p>
      <w:pPr>
        <w:pStyle w:val="BodyText"/>
        <w:rPr>
          <w:sz w:val="30"/>
        </w:rPr>
      </w:pPr>
    </w:p>
    <w:p>
      <w:pPr>
        <w:pStyle w:val="Heading5"/>
        <w:numPr>
          <w:ilvl w:val="0"/>
          <w:numId w:val="206"/>
        </w:numPr>
        <w:tabs>
          <w:tab w:pos="1940" w:val="left" w:leader="none"/>
          <w:tab w:pos="1941" w:val="left" w:leader="none"/>
        </w:tabs>
        <w:spacing w:line="240" w:lineRule="auto" w:before="227" w:after="0"/>
        <w:ind w:left="1940" w:right="0" w:hanging="1441"/>
        <w:jc w:val="left"/>
      </w:pPr>
      <w:r>
        <w:rPr/>
        <w:t>Whether the suit is bad for non-joinder of alleged</w:t>
      </w:r>
      <w:r>
        <w:rPr>
          <w:spacing w:val="-11"/>
        </w:rPr>
        <w:t> </w:t>
      </w:r>
      <w:r>
        <w:rPr/>
        <w:t>deities.</w:t>
      </w:r>
    </w:p>
    <w:p>
      <w:pPr>
        <w:pStyle w:val="BodyText"/>
        <w:spacing w:before="2"/>
        <w:rPr>
          <w:b/>
        </w:rPr>
      </w:pPr>
    </w:p>
    <w:p>
      <w:pPr>
        <w:pStyle w:val="ListParagraph"/>
        <w:numPr>
          <w:ilvl w:val="1"/>
          <w:numId w:val="206"/>
        </w:numPr>
        <w:tabs>
          <w:tab w:pos="1941" w:val="left" w:leader="none"/>
        </w:tabs>
        <w:spacing w:line="472" w:lineRule="auto" w:before="0" w:after="0"/>
        <w:ind w:left="1940" w:right="443" w:hanging="360"/>
        <w:jc w:val="both"/>
        <w:rPr>
          <w:sz w:val="25"/>
        </w:rPr>
      </w:pPr>
      <w:r>
        <w:rPr>
          <w:b/>
          <w:sz w:val="25"/>
        </w:rPr>
        <w:t>Justice S U Khan </w:t>
      </w:r>
      <w:r>
        <w:rPr>
          <w:sz w:val="25"/>
        </w:rPr>
        <w:t>- Though, the deity is not a defendant, the suit cannot be dismissed on this ground as the deity is sufficiently represented.</w:t>
      </w:r>
    </w:p>
    <w:p>
      <w:pPr>
        <w:pStyle w:val="ListParagraph"/>
        <w:numPr>
          <w:ilvl w:val="1"/>
          <w:numId w:val="206"/>
        </w:numPr>
        <w:tabs>
          <w:tab w:pos="1941" w:val="left" w:leader="none"/>
        </w:tabs>
        <w:spacing w:line="240" w:lineRule="auto" w:before="4" w:after="0"/>
        <w:ind w:left="1940" w:right="0" w:hanging="361"/>
        <w:jc w:val="both"/>
        <w:rPr>
          <w:sz w:val="25"/>
        </w:rPr>
      </w:pPr>
      <w:r>
        <w:rPr>
          <w:b/>
          <w:sz w:val="25"/>
        </w:rPr>
        <w:t>Justice Sudhir Agarwal </w:t>
      </w:r>
      <w:r>
        <w:rPr>
          <w:sz w:val="25"/>
        </w:rPr>
        <w:t>- Answered in favour of the</w:t>
      </w:r>
      <w:r>
        <w:rPr>
          <w:spacing w:val="-36"/>
          <w:sz w:val="25"/>
        </w:rPr>
        <w:t> </w:t>
      </w:r>
      <w:r>
        <w:rPr>
          <w:sz w:val="25"/>
        </w:rPr>
        <w:t>plaintiffs.</w:t>
      </w:r>
    </w:p>
    <w:p>
      <w:pPr>
        <w:pStyle w:val="BodyText"/>
        <w:spacing w:before="10"/>
        <w:rPr>
          <w:sz w:val="24"/>
        </w:rPr>
      </w:pPr>
    </w:p>
    <w:p>
      <w:pPr>
        <w:pStyle w:val="ListParagraph"/>
        <w:numPr>
          <w:ilvl w:val="1"/>
          <w:numId w:val="206"/>
        </w:numPr>
        <w:tabs>
          <w:tab w:pos="1941" w:val="left" w:leader="none"/>
        </w:tabs>
        <w:spacing w:line="240" w:lineRule="auto" w:before="0"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spacing w:after="0" w:line="240" w:lineRule="auto"/>
        <w:jc w:val="both"/>
        <w:rPr>
          <w:sz w:val="25"/>
        </w:rPr>
        <w:sectPr>
          <w:pgSz w:w="11910" w:h="16840"/>
          <w:pgMar w:header="721" w:footer="1014" w:top="1300" w:bottom="1200" w:left="940" w:right="1000"/>
        </w:sectPr>
      </w:pPr>
    </w:p>
    <w:p>
      <w:pPr>
        <w:pStyle w:val="Heading5"/>
        <w:numPr>
          <w:ilvl w:val="0"/>
          <w:numId w:val="206"/>
        </w:numPr>
        <w:tabs>
          <w:tab w:pos="1940" w:val="left" w:leader="none"/>
          <w:tab w:pos="1941" w:val="left" w:leader="none"/>
        </w:tabs>
        <w:spacing w:line="240" w:lineRule="auto" w:before="121" w:after="0"/>
        <w:ind w:left="1940" w:right="0" w:hanging="1441"/>
        <w:jc w:val="left"/>
      </w:pPr>
      <w:r>
        <w:rPr/>
        <w:t>Whether the suit is liable to be dismissed with special</w:t>
      </w:r>
      <w:r>
        <w:rPr>
          <w:spacing w:val="-17"/>
        </w:rPr>
        <w:t> </w:t>
      </w:r>
      <w:r>
        <w:rPr/>
        <w:t>costs.</w:t>
      </w:r>
    </w:p>
    <w:p>
      <w:pPr>
        <w:pStyle w:val="BodyText"/>
        <w:spacing w:before="1"/>
        <w:rPr>
          <w:b/>
        </w:rPr>
      </w:pPr>
    </w:p>
    <w:p>
      <w:pPr>
        <w:pStyle w:val="ListParagraph"/>
        <w:numPr>
          <w:ilvl w:val="1"/>
          <w:numId w:val="206"/>
        </w:numPr>
        <w:tabs>
          <w:tab w:pos="1940" w:val="left" w:leader="none"/>
          <w:tab w:pos="1941" w:val="left" w:leader="none"/>
        </w:tabs>
        <w:spacing w:line="465" w:lineRule="auto" w:before="0" w:after="0"/>
        <w:ind w:left="1940" w:right="441" w:hanging="360"/>
        <w:jc w:val="left"/>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6"/>
        </w:numPr>
        <w:tabs>
          <w:tab w:pos="1940" w:val="left" w:leader="none"/>
          <w:tab w:pos="1941" w:val="left" w:leader="none"/>
        </w:tabs>
        <w:spacing w:line="240" w:lineRule="auto" w:before="15" w:after="0"/>
        <w:ind w:left="1940" w:right="0" w:hanging="361"/>
        <w:jc w:val="left"/>
        <w:rPr>
          <w:sz w:val="25"/>
        </w:rPr>
      </w:pPr>
      <w:r>
        <w:rPr>
          <w:b/>
          <w:sz w:val="25"/>
        </w:rPr>
        <w:t>Justice Sudhir Agarwal </w:t>
      </w:r>
      <w:r>
        <w:rPr>
          <w:sz w:val="25"/>
        </w:rPr>
        <w:t>- No special costs need to be</w:t>
      </w:r>
      <w:r>
        <w:rPr>
          <w:spacing w:val="-24"/>
          <w:sz w:val="25"/>
        </w:rPr>
        <w:t> </w:t>
      </w:r>
      <w:r>
        <w:rPr>
          <w:sz w:val="25"/>
        </w:rPr>
        <w:t>awarded.</w:t>
      </w:r>
    </w:p>
    <w:p>
      <w:pPr>
        <w:pStyle w:val="BodyText"/>
        <w:spacing w:before="8"/>
        <w:rPr>
          <w:sz w:val="24"/>
        </w:rPr>
      </w:pPr>
    </w:p>
    <w:p>
      <w:pPr>
        <w:pStyle w:val="ListParagraph"/>
        <w:numPr>
          <w:ilvl w:val="1"/>
          <w:numId w:val="206"/>
        </w:numPr>
        <w:tabs>
          <w:tab w:pos="1940" w:val="left" w:leader="none"/>
          <w:tab w:pos="1941" w:val="left" w:leader="none"/>
        </w:tabs>
        <w:spacing w:line="465" w:lineRule="auto" w:before="0" w:after="0"/>
        <w:ind w:left="1940" w:right="442" w:hanging="360"/>
        <w:jc w:val="left"/>
        <w:rPr>
          <w:sz w:val="25"/>
        </w:rPr>
      </w:pPr>
      <w:r>
        <w:rPr>
          <w:b/>
          <w:sz w:val="25"/>
        </w:rPr>
        <w:t>Justice D V Sharma </w:t>
      </w:r>
      <w:r>
        <w:rPr>
          <w:sz w:val="25"/>
        </w:rPr>
        <w:t>- The plaintiffs are not entitled to any relief: the suit is dismissed with easy</w:t>
      </w:r>
      <w:r>
        <w:rPr>
          <w:spacing w:val="-6"/>
          <w:sz w:val="25"/>
        </w:rPr>
        <w:t> </w:t>
      </w:r>
      <w:r>
        <w:rPr>
          <w:sz w:val="25"/>
        </w:rPr>
        <w:t>costs.</w:t>
      </w:r>
    </w:p>
    <w:p>
      <w:pPr>
        <w:pStyle w:val="BodyText"/>
        <w:spacing w:before="4"/>
        <w:rPr>
          <w:sz w:val="26"/>
        </w:rPr>
      </w:pPr>
    </w:p>
    <w:p>
      <w:pPr>
        <w:pStyle w:val="Heading5"/>
        <w:numPr>
          <w:ilvl w:val="0"/>
          <w:numId w:val="206"/>
        </w:numPr>
        <w:tabs>
          <w:tab w:pos="1940" w:val="left" w:leader="none"/>
          <w:tab w:pos="1941" w:val="left" w:leader="none"/>
        </w:tabs>
        <w:spacing w:line="480" w:lineRule="auto" w:before="0" w:after="0"/>
        <w:ind w:left="1940" w:right="444" w:hanging="1440"/>
        <w:jc w:val="both"/>
      </w:pPr>
      <w:r>
        <w:rPr/>
        <w:t>Is the </w:t>
      </w:r>
      <w:r>
        <w:rPr>
          <w:spacing w:val="-3"/>
        </w:rPr>
        <w:t>Waqf </w:t>
      </w:r>
      <w:r>
        <w:rPr/>
        <w:t>Board an instrumentality of State. If so, whether the Board can file a suit against the State</w:t>
      </w:r>
      <w:r>
        <w:rPr>
          <w:spacing w:val="-11"/>
        </w:rPr>
        <w:t> </w:t>
      </w:r>
      <w:r>
        <w:rPr/>
        <w:t>itself.</w:t>
      </w:r>
    </w:p>
    <w:p>
      <w:pPr>
        <w:pStyle w:val="ListParagraph"/>
        <w:numPr>
          <w:ilvl w:val="1"/>
          <w:numId w:val="206"/>
        </w:numPr>
        <w:tabs>
          <w:tab w:pos="1941" w:val="left" w:leader="none"/>
        </w:tabs>
        <w:spacing w:line="465" w:lineRule="auto" w:before="0" w:after="0"/>
        <w:ind w:left="1940" w:right="436" w:hanging="360"/>
        <w:jc w:val="both"/>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6"/>
        </w:numPr>
        <w:tabs>
          <w:tab w:pos="1941" w:val="left" w:leader="none"/>
        </w:tabs>
        <w:spacing w:line="472" w:lineRule="auto" w:before="14" w:after="0"/>
        <w:ind w:left="1940" w:right="440" w:hanging="360"/>
        <w:jc w:val="both"/>
        <w:rPr>
          <w:sz w:val="25"/>
        </w:rPr>
      </w:pPr>
      <w:r>
        <w:rPr>
          <w:b/>
          <w:sz w:val="25"/>
        </w:rPr>
        <w:t>Justice Sudhir Agarwal </w:t>
      </w:r>
      <w:r>
        <w:rPr>
          <w:sz w:val="25"/>
        </w:rPr>
        <w:t>- Neither is the Waqf Board an instrumentality of the State nor is there any bar to the filing of the suit by the Waqf Board against the</w:t>
      </w:r>
      <w:r>
        <w:rPr>
          <w:spacing w:val="-14"/>
          <w:sz w:val="25"/>
        </w:rPr>
        <w:t> </w:t>
      </w:r>
      <w:r>
        <w:rPr>
          <w:sz w:val="25"/>
        </w:rPr>
        <w:t>State.</w:t>
      </w:r>
    </w:p>
    <w:p>
      <w:pPr>
        <w:pStyle w:val="ListParagraph"/>
        <w:numPr>
          <w:ilvl w:val="1"/>
          <w:numId w:val="206"/>
        </w:numPr>
        <w:tabs>
          <w:tab w:pos="1941" w:val="left" w:leader="none"/>
        </w:tabs>
        <w:spacing w:line="240" w:lineRule="auto" w:before="7" w:after="0"/>
        <w:ind w:left="1940" w:right="0" w:hanging="361"/>
        <w:jc w:val="both"/>
        <w:rPr>
          <w:sz w:val="25"/>
        </w:rPr>
      </w:pPr>
      <w:r>
        <w:rPr>
          <w:b/>
          <w:sz w:val="25"/>
        </w:rPr>
        <w:t>Justice D V Sharma </w:t>
      </w:r>
      <w:r>
        <w:rPr>
          <w:sz w:val="25"/>
        </w:rPr>
        <w:t>- The suit is not</w:t>
      </w:r>
      <w:r>
        <w:rPr>
          <w:spacing w:val="-9"/>
          <w:sz w:val="25"/>
        </w:rPr>
        <w:t> </w:t>
      </w:r>
      <w:r>
        <w:rPr>
          <w:sz w:val="25"/>
        </w:rPr>
        <w:t>maintainable.</w:t>
      </w:r>
    </w:p>
    <w:p>
      <w:pPr>
        <w:pStyle w:val="BodyText"/>
        <w:rPr>
          <w:sz w:val="30"/>
        </w:rPr>
      </w:pPr>
    </w:p>
    <w:p>
      <w:pPr>
        <w:pStyle w:val="Heading5"/>
        <w:numPr>
          <w:ilvl w:val="0"/>
          <w:numId w:val="206"/>
        </w:numPr>
        <w:tabs>
          <w:tab w:pos="1940" w:val="left" w:leader="none"/>
          <w:tab w:pos="1941" w:val="left" w:leader="none"/>
        </w:tabs>
        <w:spacing w:line="480" w:lineRule="auto" w:before="230" w:after="0"/>
        <w:ind w:left="1940" w:right="444" w:hanging="1440"/>
        <w:jc w:val="both"/>
      </w:pPr>
      <w:r>
        <w:rPr/>
        <w:t>Is</w:t>
      </w:r>
      <w:r>
        <w:rPr>
          <w:spacing w:val="-5"/>
        </w:rPr>
        <w:t> </w:t>
      </w:r>
      <w:r>
        <w:rPr/>
        <w:t>the</w:t>
      </w:r>
      <w:r>
        <w:rPr>
          <w:spacing w:val="-5"/>
        </w:rPr>
        <w:t> </w:t>
      </w:r>
      <w:r>
        <w:rPr>
          <w:spacing w:val="-4"/>
        </w:rPr>
        <w:t>Waqf</w:t>
      </w:r>
      <w:r>
        <w:rPr>
          <w:spacing w:val="-5"/>
        </w:rPr>
        <w:t> </w:t>
      </w:r>
      <w:r>
        <w:rPr/>
        <w:t>Board</w:t>
      </w:r>
      <w:r>
        <w:rPr>
          <w:spacing w:val="-5"/>
        </w:rPr>
        <w:t> </w:t>
      </w:r>
      <w:r>
        <w:rPr/>
        <w:t>‗State‘</w:t>
      </w:r>
      <w:r>
        <w:rPr>
          <w:spacing w:val="-18"/>
        </w:rPr>
        <w:t> </w:t>
      </w:r>
      <w:r>
        <w:rPr/>
        <w:t>under</w:t>
      </w:r>
      <w:r>
        <w:rPr>
          <w:spacing w:val="-10"/>
        </w:rPr>
        <w:t> </w:t>
      </w:r>
      <w:r>
        <w:rPr/>
        <w:t>Article</w:t>
      </w:r>
      <w:r>
        <w:rPr>
          <w:spacing w:val="-4"/>
        </w:rPr>
        <w:t> </w:t>
      </w:r>
      <w:r>
        <w:rPr/>
        <w:t>12</w:t>
      </w:r>
      <w:r>
        <w:rPr>
          <w:spacing w:val="-5"/>
        </w:rPr>
        <w:t> </w:t>
      </w:r>
      <w:r>
        <w:rPr/>
        <w:t>of</w:t>
      </w:r>
      <w:r>
        <w:rPr>
          <w:spacing w:val="-5"/>
        </w:rPr>
        <w:t> </w:t>
      </w:r>
      <w:r>
        <w:rPr/>
        <w:t>the</w:t>
      </w:r>
      <w:r>
        <w:rPr>
          <w:spacing w:val="-5"/>
        </w:rPr>
        <w:t> </w:t>
      </w:r>
      <w:r>
        <w:rPr/>
        <w:t>Constitution?</w:t>
      </w:r>
      <w:r>
        <w:rPr>
          <w:spacing w:val="-5"/>
        </w:rPr>
        <w:t> </w:t>
      </w:r>
      <w:r>
        <w:rPr/>
        <w:t>If so, can the said </w:t>
      </w:r>
      <w:r>
        <w:rPr>
          <w:spacing w:val="-3"/>
        </w:rPr>
        <w:t>Waqf </w:t>
      </w:r>
      <w:r>
        <w:rPr/>
        <w:t>Board being state file any suit in a representative capacity sponsoring the case of particular community and against the interest of another</w:t>
      </w:r>
      <w:r>
        <w:rPr>
          <w:spacing w:val="-17"/>
        </w:rPr>
        <w:t> </w:t>
      </w:r>
      <w:r>
        <w:rPr>
          <w:spacing w:val="-3"/>
        </w:rPr>
        <w:t>community.</w:t>
      </w:r>
    </w:p>
    <w:p>
      <w:pPr>
        <w:pStyle w:val="ListParagraph"/>
        <w:numPr>
          <w:ilvl w:val="1"/>
          <w:numId w:val="206"/>
        </w:numPr>
        <w:tabs>
          <w:tab w:pos="1941" w:val="left" w:leader="none"/>
        </w:tabs>
        <w:spacing w:line="465" w:lineRule="auto" w:before="0" w:after="0"/>
        <w:ind w:left="1940" w:right="441" w:hanging="360"/>
        <w:jc w:val="both"/>
        <w:rPr>
          <w:sz w:val="25"/>
        </w:rPr>
      </w:pPr>
      <w:r>
        <w:rPr>
          <w:b/>
          <w:sz w:val="25"/>
        </w:rPr>
        <w:t>Justice S U Khan </w:t>
      </w:r>
      <w:r>
        <w:rPr>
          <w:sz w:val="25"/>
        </w:rPr>
        <w:t>– In the absence of any specific finding, he has stated that he is in agreement with Justice Sudhir</w:t>
      </w:r>
      <w:r>
        <w:rPr>
          <w:spacing w:val="-30"/>
          <w:sz w:val="25"/>
        </w:rPr>
        <w:t> </w:t>
      </w:r>
      <w:r>
        <w:rPr>
          <w:sz w:val="25"/>
        </w:rPr>
        <w:t>Agarwal.</w:t>
      </w:r>
    </w:p>
    <w:p>
      <w:pPr>
        <w:pStyle w:val="ListParagraph"/>
        <w:numPr>
          <w:ilvl w:val="1"/>
          <w:numId w:val="206"/>
        </w:numPr>
        <w:tabs>
          <w:tab w:pos="1941" w:val="left" w:leader="none"/>
        </w:tabs>
        <w:spacing w:line="472" w:lineRule="auto" w:before="14" w:after="0"/>
        <w:ind w:left="1940" w:right="439" w:hanging="360"/>
        <w:jc w:val="both"/>
        <w:rPr>
          <w:sz w:val="25"/>
        </w:rPr>
      </w:pPr>
      <w:r>
        <w:rPr>
          <w:b/>
          <w:sz w:val="25"/>
        </w:rPr>
        <w:t>Justice Sudhir Agarwal </w:t>
      </w:r>
      <w:r>
        <w:rPr>
          <w:sz w:val="25"/>
        </w:rPr>
        <w:t>- Neither is the Sunni Central Waqf Board an instrumentality of the State nor is there any bar to the filing of a suit by the Waqf Board against the</w:t>
      </w:r>
      <w:r>
        <w:rPr>
          <w:spacing w:val="-14"/>
          <w:sz w:val="25"/>
        </w:rPr>
        <w:t> </w:t>
      </w:r>
      <w:r>
        <w:rPr>
          <w:sz w:val="25"/>
        </w:rPr>
        <w:t>State.</w:t>
      </w:r>
    </w:p>
    <w:p>
      <w:pPr>
        <w:spacing w:after="0" w:line="472" w:lineRule="auto"/>
        <w:jc w:val="both"/>
        <w:rPr>
          <w:sz w:val="25"/>
        </w:rPr>
        <w:sectPr>
          <w:pgSz w:w="11910" w:h="16840"/>
          <w:pgMar w:header="721" w:footer="1014" w:top="1300" w:bottom="1200" w:left="940" w:right="1000"/>
        </w:sectPr>
      </w:pPr>
    </w:p>
    <w:p>
      <w:pPr>
        <w:pStyle w:val="ListParagraph"/>
        <w:numPr>
          <w:ilvl w:val="1"/>
          <w:numId w:val="206"/>
        </w:numPr>
        <w:tabs>
          <w:tab w:pos="1940" w:val="left" w:leader="none"/>
          <w:tab w:pos="1941" w:val="left" w:leader="none"/>
        </w:tabs>
        <w:spacing w:line="240" w:lineRule="auto" w:before="121" w:after="0"/>
        <w:ind w:left="1940" w:right="0" w:hanging="361"/>
        <w:jc w:val="left"/>
        <w:rPr>
          <w:sz w:val="25"/>
        </w:rPr>
      </w:pPr>
      <w:r>
        <w:rPr>
          <w:b/>
          <w:sz w:val="25"/>
        </w:rPr>
        <w:t>Justice D V Sharma </w:t>
      </w:r>
      <w:r>
        <w:rPr>
          <w:sz w:val="25"/>
        </w:rPr>
        <w:t>- The suit is not</w:t>
      </w:r>
      <w:r>
        <w:rPr>
          <w:spacing w:val="-9"/>
          <w:sz w:val="25"/>
        </w:rPr>
        <w:t> </w:t>
      </w:r>
      <w:r>
        <w:rPr>
          <w:sz w:val="25"/>
        </w:rPr>
        <w:t>maintainable.</w:t>
      </w:r>
    </w:p>
    <w:p>
      <w:pPr>
        <w:pStyle w:val="BodyText"/>
        <w:rPr>
          <w:sz w:val="30"/>
        </w:rPr>
      </w:pPr>
    </w:p>
    <w:p>
      <w:pPr>
        <w:pStyle w:val="Heading5"/>
        <w:numPr>
          <w:ilvl w:val="0"/>
          <w:numId w:val="206"/>
        </w:numPr>
        <w:tabs>
          <w:tab w:pos="1940" w:val="left" w:leader="none"/>
          <w:tab w:pos="1941" w:val="left" w:leader="none"/>
        </w:tabs>
        <w:spacing w:line="480" w:lineRule="auto" w:before="227" w:after="0"/>
        <w:ind w:left="1940" w:right="435" w:hanging="1440"/>
        <w:jc w:val="both"/>
      </w:pPr>
      <w:r>
        <w:rPr/>
        <w:t>Whether on the demolition of the dispute structure as claimed by the plaintiff, it can still be called a mosque and if not whether the claim of the plaintiffs is liable to be dismissed as no longer</w:t>
      </w:r>
      <w:r>
        <w:rPr>
          <w:spacing w:val="-2"/>
        </w:rPr>
        <w:t> </w:t>
      </w:r>
      <w:r>
        <w:rPr/>
        <w:t>maintainable.</w:t>
      </w:r>
    </w:p>
    <w:p>
      <w:pPr>
        <w:pStyle w:val="ListParagraph"/>
        <w:numPr>
          <w:ilvl w:val="1"/>
          <w:numId w:val="206"/>
        </w:numPr>
        <w:tabs>
          <w:tab w:pos="1940" w:val="left" w:leader="none"/>
          <w:tab w:pos="1941" w:val="left" w:leader="none"/>
        </w:tabs>
        <w:spacing w:line="465" w:lineRule="auto" w:before="2" w:after="0"/>
        <w:ind w:left="1940" w:right="438" w:hanging="360"/>
        <w:jc w:val="left"/>
        <w:rPr>
          <w:sz w:val="25"/>
        </w:rPr>
      </w:pPr>
      <w:r>
        <w:rPr>
          <w:b/>
          <w:sz w:val="25"/>
        </w:rPr>
        <w:t>Justice S U Khan </w:t>
      </w:r>
      <w:r>
        <w:rPr>
          <w:sz w:val="25"/>
        </w:rPr>
        <w:t>- In the absence of any specific finding, he has stated that he is in agreement with Justice</w:t>
      </w:r>
      <w:r>
        <w:rPr>
          <w:spacing w:val="-22"/>
          <w:sz w:val="25"/>
        </w:rPr>
        <w:t> </w:t>
      </w:r>
      <w:r>
        <w:rPr>
          <w:sz w:val="25"/>
        </w:rPr>
        <w:t>Agarwal.</w:t>
      </w:r>
    </w:p>
    <w:p>
      <w:pPr>
        <w:pStyle w:val="ListParagraph"/>
        <w:numPr>
          <w:ilvl w:val="1"/>
          <w:numId w:val="206"/>
        </w:numPr>
        <w:tabs>
          <w:tab w:pos="1940" w:val="left" w:leader="none"/>
          <w:tab w:pos="1941" w:val="left" w:leader="none"/>
        </w:tabs>
        <w:spacing w:line="465" w:lineRule="auto" w:before="15" w:after="0"/>
        <w:ind w:left="1940" w:right="438" w:hanging="360"/>
        <w:jc w:val="left"/>
        <w:rPr>
          <w:sz w:val="25"/>
        </w:rPr>
      </w:pPr>
      <w:r>
        <w:rPr>
          <w:b/>
          <w:sz w:val="25"/>
        </w:rPr>
        <w:t>Justice Sudhir Agarwal </w:t>
      </w:r>
      <w:r>
        <w:rPr>
          <w:sz w:val="25"/>
        </w:rPr>
        <w:t>- Suit 4 cannot be held to be not maintainable as a result of the demolition of the disputed</w:t>
      </w:r>
      <w:r>
        <w:rPr>
          <w:spacing w:val="-38"/>
          <w:sz w:val="25"/>
        </w:rPr>
        <w:t> </w:t>
      </w:r>
      <w:r>
        <w:rPr>
          <w:sz w:val="25"/>
        </w:rPr>
        <w:t>structure.</w:t>
      </w:r>
    </w:p>
    <w:p>
      <w:pPr>
        <w:pStyle w:val="ListParagraph"/>
        <w:numPr>
          <w:ilvl w:val="1"/>
          <w:numId w:val="206"/>
        </w:numPr>
        <w:tabs>
          <w:tab w:pos="1940" w:val="left" w:leader="none"/>
          <w:tab w:pos="1941" w:val="left" w:leader="none"/>
        </w:tabs>
        <w:spacing w:line="240" w:lineRule="auto" w:before="15" w:after="0"/>
        <w:ind w:left="1940" w:right="0" w:hanging="361"/>
        <w:jc w:val="left"/>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numPr>
          <w:ilvl w:val="0"/>
          <w:numId w:val="206"/>
        </w:numPr>
        <w:tabs>
          <w:tab w:pos="1940" w:val="left" w:leader="none"/>
          <w:tab w:pos="1941" w:val="left" w:leader="none"/>
        </w:tabs>
        <w:spacing w:line="480" w:lineRule="auto" w:before="227" w:after="0"/>
        <w:ind w:left="1940" w:right="440" w:hanging="1440"/>
        <w:jc w:val="both"/>
      </w:pPr>
      <w:r>
        <w:rPr/>
        <w:t>Whether Muslims can use the open site as mosque to offer prayer when the structure which stood thereon has been demolished.</w:t>
      </w:r>
    </w:p>
    <w:p>
      <w:pPr>
        <w:pStyle w:val="ListParagraph"/>
        <w:numPr>
          <w:ilvl w:val="1"/>
          <w:numId w:val="206"/>
        </w:numPr>
        <w:tabs>
          <w:tab w:pos="1940" w:val="left" w:leader="none"/>
          <w:tab w:pos="1941" w:val="left" w:leader="none"/>
        </w:tabs>
        <w:spacing w:line="465" w:lineRule="auto" w:before="1" w:after="0"/>
        <w:ind w:left="1940" w:right="438" w:hanging="360"/>
        <w:jc w:val="left"/>
        <w:rPr>
          <w:sz w:val="25"/>
        </w:rPr>
      </w:pPr>
      <w:r>
        <w:rPr>
          <w:b/>
          <w:sz w:val="25"/>
        </w:rPr>
        <w:t>Justice S U Khan </w:t>
      </w:r>
      <w:r>
        <w:rPr>
          <w:sz w:val="25"/>
        </w:rPr>
        <w:t>- In the absence of any specific finding, he has stated that he is in agreement with Justice Sudhir</w:t>
      </w:r>
      <w:r>
        <w:rPr>
          <w:spacing w:val="-30"/>
          <w:sz w:val="25"/>
        </w:rPr>
        <w:t> </w:t>
      </w:r>
      <w:r>
        <w:rPr>
          <w:sz w:val="25"/>
        </w:rPr>
        <w:t>Agarwal.</w:t>
      </w:r>
    </w:p>
    <w:p>
      <w:pPr>
        <w:pStyle w:val="ListParagraph"/>
        <w:numPr>
          <w:ilvl w:val="1"/>
          <w:numId w:val="206"/>
        </w:numPr>
        <w:tabs>
          <w:tab w:pos="1940" w:val="left" w:leader="none"/>
          <w:tab w:pos="1941" w:val="left" w:leader="none"/>
        </w:tabs>
        <w:spacing w:line="468" w:lineRule="auto" w:before="15" w:after="0"/>
        <w:ind w:left="1940" w:right="438" w:hanging="360"/>
        <w:jc w:val="left"/>
        <w:rPr>
          <w:sz w:val="25"/>
        </w:rPr>
      </w:pPr>
      <w:r>
        <w:rPr>
          <w:b/>
          <w:sz w:val="25"/>
        </w:rPr>
        <w:t>Justice Sudhir Agarwal </w:t>
      </w:r>
      <w:r>
        <w:rPr>
          <w:sz w:val="25"/>
        </w:rPr>
        <w:t>- Suit 4 cannot be held not to be maintainable as a result of the demolition of the disputed</w:t>
      </w:r>
      <w:r>
        <w:rPr>
          <w:spacing w:val="-34"/>
          <w:sz w:val="25"/>
        </w:rPr>
        <w:t> </w:t>
      </w:r>
      <w:r>
        <w:rPr>
          <w:sz w:val="25"/>
        </w:rPr>
        <w:t>structure.</w:t>
      </w:r>
    </w:p>
    <w:p>
      <w:pPr>
        <w:pStyle w:val="ListParagraph"/>
        <w:numPr>
          <w:ilvl w:val="1"/>
          <w:numId w:val="206"/>
        </w:numPr>
        <w:tabs>
          <w:tab w:pos="1940" w:val="left" w:leader="none"/>
          <w:tab w:pos="1941" w:val="left" w:leader="none"/>
        </w:tabs>
        <w:spacing w:line="240" w:lineRule="auto" w:before="9" w:after="0"/>
        <w:ind w:left="1940" w:right="0" w:hanging="361"/>
        <w:jc w:val="left"/>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Heading5"/>
        <w:numPr>
          <w:ilvl w:val="0"/>
          <w:numId w:val="206"/>
        </w:numPr>
        <w:tabs>
          <w:tab w:pos="1940" w:val="left" w:leader="none"/>
          <w:tab w:pos="1941" w:val="left" w:leader="none"/>
        </w:tabs>
        <w:spacing w:line="480" w:lineRule="auto" w:before="229" w:after="0"/>
        <w:ind w:left="1940" w:right="438" w:hanging="1440"/>
        <w:jc w:val="both"/>
      </w:pPr>
      <w:r>
        <w:rPr/>
        <w:t>Whether the outer courtyard contained Ramchabutra, Bhandar and Sita Rasoi. If so whether they were also demolished on 6 December 1992 along with the main</w:t>
      </w:r>
      <w:r>
        <w:rPr>
          <w:spacing w:val="-9"/>
        </w:rPr>
        <w:t> </w:t>
      </w:r>
      <w:r>
        <w:rPr/>
        <w:t>temple.</w:t>
      </w:r>
    </w:p>
    <w:p>
      <w:pPr>
        <w:spacing w:after="0" w:line="480" w:lineRule="auto"/>
        <w:jc w:val="both"/>
        <w:sectPr>
          <w:pgSz w:w="11910" w:h="16840"/>
          <w:pgMar w:header="721" w:footer="1014" w:top="1300" w:bottom="1200" w:left="940" w:right="1000"/>
        </w:sectPr>
      </w:pPr>
    </w:p>
    <w:p>
      <w:pPr>
        <w:pStyle w:val="ListParagraph"/>
        <w:numPr>
          <w:ilvl w:val="1"/>
          <w:numId w:val="206"/>
        </w:numPr>
        <w:tabs>
          <w:tab w:pos="1941" w:val="left" w:leader="none"/>
        </w:tabs>
        <w:spacing w:line="472" w:lineRule="auto" w:before="121" w:after="0"/>
        <w:ind w:left="1940" w:right="442" w:hanging="360"/>
        <w:jc w:val="both"/>
        <w:rPr>
          <w:sz w:val="25"/>
        </w:rPr>
      </w:pPr>
      <w:r>
        <w:rPr>
          <w:b/>
          <w:sz w:val="25"/>
        </w:rPr>
        <w:t>Justice S U Khan </w:t>
      </w:r>
      <w:r>
        <w:rPr>
          <w:sz w:val="25"/>
        </w:rPr>
        <w:t>- Ramchabutra came into existence before the visit of </w:t>
      </w:r>
      <w:r>
        <w:rPr>
          <w:b/>
          <w:sz w:val="25"/>
        </w:rPr>
        <w:t>Tieffenthaler </w:t>
      </w:r>
      <w:r>
        <w:rPr>
          <w:sz w:val="25"/>
        </w:rPr>
        <w:t>(1766-1771 A.D.) but after the construction of the mosque (1528</w:t>
      </w:r>
      <w:r>
        <w:rPr>
          <w:spacing w:val="-15"/>
          <w:sz w:val="25"/>
        </w:rPr>
        <w:t> </w:t>
      </w:r>
      <w:r>
        <w:rPr>
          <w:sz w:val="25"/>
        </w:rPr>
        <w:t>A.D.).</w:t>
      </w:r>
    </w:p>
    <w:p>
      <w:pPr>
        <w:pStyle w:val="ListParagraph"/>
        <w:numPr>
          <w:ilvl w:val="1"/>
          <w:numId w:val="206"/>
        </w:numPr>
        <w:tabs>
          <w:tab w:pos="1941" w:val="left" w:leader="none"/>
        </w:tabs>
        <w:spacing w:line="472" w:lineRule="auto" w:before="7" w:after="0"/>
        <w:ind w:left="1940" w:right="439" w:hanging="360"/>
        <w:jc w:val="both"/>
        <w:rPr>
          <w:sz w:val="25"/>
        </w:rPr>
      </w:pPr>
      <w:r>
        <w:rPr>
          <w:b/>
          <w:sz w:val="25"/>
        </w:rPr>
        <w:t>Justice Sudhir Agarwal </w:t>
      </w:r>
      <w:r>
        <w:rPr>
          <w:sz w:val="25"/>
        </w:rPr>
        <w:t>- All parties admitted that the three structures were demolished on 6 December 1992 when the disputed structure was demolished. Hence, answered in the</w:t>
      </w:r>
      <w:r>
        <w:rPr>
          <w:spacing w:val="-23"/>
          <w:sz w:val="25"/>
        </w:rPr>
        <w:t> </w:t>
      </w:r>
      <w:r>
        <w:rPr>
          <w:sz w:val="25"/>
        </w:rPr>
        <w:t>affirmative.</w:t>
      </w:r>
    </w:p>
    <w:p>
      <w:pPr>
        <w:pStyle w:val="ListParagraph"/>
        <w:numPr>
          <w:ilvl w:val="1"/>
          <w:numId w:val="206"/>
        </w:numPr>
        <w:tabs>
          <w:tab w:pos="1941" w:val="left" w:leader="none"/>
        </w:tabs>
        <w:spacing w:line="240" w:lineRule="auto" w:before="4" w:after="0"/>
        <w:ind w:left="1940" w:right="0" w:hanging="361"/>
        <w:jc w:val="both"/>
        <w:rPr>
          <w:sz w:val="25"/>
        </w:rPr>
      </w:pPr>
      <w:r>
        <w:rPr>
          <w:b/>
          <w:sz w:val="25"/>
        </w:rPr>
        <w:t>Justice D V Sharma </w:t>
      </w:r>
      <w:r>
        <w:rPr>
          <w:sz w:val="25"/>
        </w:rPr>
        <w:t>- Decided in the</w:t>
      </w:r>
      <w:r>
        <w:rPr>
          <w:spacing w:val="-6"/>
          <w:sz w:val="25"/>
        </w:rPr>
        <w:t> </w:t>
      </w:r>
      <w:r>
        <w:rPr>
          <w:sz w:val="25"/>
        </w:rPr>
        <w:t>affirmative.</w:t>
      </w:r>
    </w:p>
    <w:p>
      <w:pPr>
        <w:pStyle w:val="BodyText"/>
        <w:rPr>
          <w:sz w:val="30"/>
        </w:rPr>
      </w:pPr>
    </w:p>
    <w:p>
      <w:pPr>
        <w:pStyle w:val="Heading5"/>
        <w:numPr>
          <w:ilvl w:val="0"/>
          <w:numId w:val="206"/>
        </w:numPr>
        <w:tabs>
          <w:tab w:pos="1940" w:val="left" w:leader="none"/>
          <w:tab w:pos="1941" w:val="left" w:leader="none"/>
        </w:tabs>
        <w:spacing w:line="480" w:lineRule="auto" w:before="230" w:after="0"/>
        <w:ind w:left="1940" w:right="444" w:hanging="1440"/>
        <w:jc w:val="both"/>
      </w:pPr>
      <w:r>
        <w:rPr/>
        <w:t>Whether the defendant no 3 has ever been in possession of the disputed site and the plaintiffs were never in its</w:t>
      </w:r>
      <w:r>
        <w:rPr>
          <w:spacing w:val="-19"/>
        </w:rPr>
        <w:t> </w:t>
      </w:r>
      <w:r>
        <w:rPr/>
        <w:t>possession.</w:t>
      </w:r>
    </w:p>
    <w:p>
      <w:pPr>
        <w:pStyle w:val="BodyText"/>
        <w:rPr>
          <w:b/>
        </w:rPr>
      </w:pPr>
    </w:p>
    <w:p>
      <w:pPr>
        <w:pStyle w:val="ListParagraph"/>
        <w:numPr>
          <w:ilvl w:val="1"/>
          <w:numId w:val="206"/>
        </w:numPr>
        <w:tabs>
          <w:tab w:pos="1941" w:val="left" w:leader="none"/>
        </w:tabs>
        <w:spacing w:line="465" w:lineRule="auto" w:before="0" w:after="0"/>
        <w:ind w:left="1940" w:right="438" w:hanging="360"/>
        <w:jc w:val="both"/>
        <w:rPr>
          <w:sz w:val="25"/>
        </w:rPr>
      </w:pPr>
      <w:r>
        <w:rPr>
          <w:b/>
          <w:sz w:val="25"/>
        </w:rPr>
        <w:t>Justice S U Khan </w:t>
      </w:r>
      <w:r>
        <w:rPr>
          <w:sz w:val="25"/>
        </w:rPr>
        <w:t>- Both parties are joint title-holders in possession of the premises in</w:t>
      </w:r>
      <w:r>
        <w:rPr>
          <w:spacing w:val="-2"/>
          <w:sz w:val="25"/>
        </w:rPr>
        <w:t> </w:t>
      </w:r>
      <w:r>
        <w:rPr>
          <w:sz w:val="25"/>
        </w:rPr>
        <w:t>dispute.</w:t>
      </w:r>
    </w:p>
    <w:p>
      <w:pPr>
        <w:pStyle w:val="ListParagraph"/>
        <w:numPr>
          <w:ilvl w:val="1"/>
          <w:numId w:val="206"/>
        </w:numPr>
        <w:tabs>
          <w:tab w:pos="1941" w:val="left" w:leader="none"/>
        </w:tabs>
        <w:spacing w:line="472" w:lineRule="auto" w:before="15" w:after="0"/>
        <w:ind w:left="1940" w:right="438" w:hanging="360"/>
        <w:jc w:val="both"/>
        <w:rPr>
          <w:sz w:val="25"/>
        </w:rPr>
      </w:pPr>
      <w:r>
        <w:rPr>
          <w:b/>
          <w:sz w:val="25"/>
        </w:rPr>
        <w:t>Justice Sudhir Agarwal </w:t>
      </w:r>
      <w:r>
        <w:rPr>
          <w:sz w:val="25"/>
        </w:rPr>
        <w:t>- The plaintiffs have failed to prove their possession of the outer and inner courtyards including the disputed building.</w:t>
      </w:r>
    </w:p>
    <w:p>
      <w:pPr>
        <w:pStyle w:val="ListParagraph"/>
        <w:numPr>
          <w:ilvl w:val="1"/>
          <w:numId w:val="206"/>
        </w:numPr>
        <w:tabs>
          <w:tab w:pos="1941" w:val="left" w:leader="none"/>
        </w:tabs>
        <w:spacing w:line="240" w:lineRule="auto" w:before="6" w:after="0"/>
        <w:ind w:left="1940" w:right="0" w:hanging="361"/>
        <w:jc w:val="both"/>
        <w:rPr>
          <w:sz w:val="25"/>
        </w:rPr>
      </w:pPr>
      <w:r>
        <w:rPr>
          <w:b/>
          <w:sz w:val="25"/>
        </w:rPr>
        <w:t>Justice D V Sharma </w:t>
      </w:r>
      <w:r>
        <w:rPr>
          <w:sz w:val="25"/>
        </w:rPr>
        <w:t>- Decided against the</w:t>
      </w:r>
      <w:r>
        <w:rPr>
          <w:spacing w:val="-8"/>
          <w:sz w:val="25"/>
        </w:rPr>
        <w:t> </w:t>
      </w:r>
      <w:r>
        <w:rPr>
          <w:sz w:val="25"/>
        </w:rPr>
        <w:t>plaintiffs.</w:t>
      </w:r>
    </w:p>
    <w:p>
      <w:pPr>
        <w:pStyle w:val="BodyText"/>
        <w:rPr>
          <w:sz w:val="30"/>
        </w:rPr>
      </w:pPr>
    </w:p>
    <w:p>
      <w:pPr>
        <w:pStyle w:val="BodyText"/>
        <w:rPr>
          <w:sz w:val="30"/>
        </w:rPr>
      </w:pPr>
    </w:p>
    <w:p>
      <w:pPr>
        <w:spacing w:before="176"/>
        <w:ind w:left="500" w:right="0" w:firstLine="0"/>
        <w:jc w:val="left"/>
        <w:rPr>
          <w:i/>
          <w:sz w:val="26"/>
        </w:rPr>
      </w:pPr>
      <w:r>
        <w:rPr>
          <w:i/>
          <w:sz w:val="26"/>
        </w:rPr>
        <w:t>The view of the High Court</w:t>
      </w:r>
    </w:p>
    <w:p>
      <w:pPr>
        <w:pStyle w:val="BodyText"/>
        <w:rPr>
          <w:i/>
          <w:sz w:val="28"/>
        </w:rPr>
      </w:pPr>
    </w:p>
    <w:p>
      <w:pPr>
        <w:pStyle w:val="BodyText"/>
        <w:spacing w:before="9"/>
        <w:rPr>
          <w:i/>
          <w:sz w:val="22"/>
        </w:rPr>
      </w:pPr>
    </w:p>
    <w:p>
      <w:pPr>
        <w:pStyle w:val="BodyText"/>
        <w:spacing w:line="480" w:lineRule="auto"/>
        <w:ind w:left="500"/>
      </w:pPr>
      <w:r>
        <w:rPr/>
        <w:t>Two of the three judges of the High Court (Justice SU Khan and Justice Sudhir Agarwal) directed a three-way division of the disputed premises:</w:t>
      </w:r>
    </w:p>
    <w:p>
      <w:pPr>
        <w:pStyle w:val="BodyText"/>
        <w:spacing w:before="11"/>
        <w:rPr>
          <w:sz w:val="24"/>
        </w:rPr>
      </w:pPr>
    </w:p>
    <w:p>
      <w:pPr>
        <w:spacing w:line="273" w:lineRule="auto" w:before="0"/>
        <w:ind w:left="1940" w:right="2252" w:firstLine="0"/>
        <w:jc w:val="left"/>
        <w:rPr>
          <w:sz w:val="21"/>
        </w:rPr>
      </w:pPr>
      <w:r>
        <w:rPr>
          <w:w w:val="33"/>
          <w:sz w:val="21"/>
        </w:rPr>
        <w:t>―</w:t>
      </w:r>
      <w:r>
        <w:rPr>
          <w:w w:val="100"/>
          <w:sz w:val="21"/>
        </w:rPr>
        <w:t>1/3rd</w:t>
      </w:r>
      <w:r>
        <w:rPr>
          <w:sz w:val="21"/>
        </w:rPr>
        <w:t>  </w:t>
      </w:r>
      <w:r>
        <w:rPr>
          <w:w w:val="100"/>
          <w:sz w:val="21"/>
        </w:rPr>
        <w:t>each</w:t>
      </w:r>
      <w:r>
        <w:rPr>
          <w:sz w:val="21"/>
        </w:rPr>
        <w:t>  </w:t>
      </w:r>
      <w:r>
        <w:rPr>
          <w:w w:val="100"/>
          <w:sz w:val="21"/>
        </w:rPr>
        <w:t>to</w:t>
      </w:r>
      <w:r>
        <w:rPr>
          <w:sz w:val="21"/>
        </w:rPr>
        <w:t>  </w:t>
      </w:r>
      <w:r>
        <w:rPr>
          <w:w w:val="100"/>
          <w:sz w:val="21"/>
        </w:rPr>
        <w:t>the</w:t>
      </w:r>
      <w:r>
        <w:rPr>
          <w:sz w:val="21"/>
        </w:rPr>
        <w:t>  </w:t>
      </w:r>
      <w:r>
        <w:rPr>
          <w:w w:val="100"/>
          <w:sz w:val="21"/>
        </w:rPr>
        <w:t>Muslim</w:t>
      </w:r>
      <w:r>
        <w:rPr>
          <w:sz w:val="21"/>
        </w:rPr>
        <w:t>  </w:t>
      </w:r>
      <w:r>
        <w:rPr>
          <w:w w:val="100"/>
          <w:sz w:val="21"/>
        </w:rPr>
        <w:t>parties,</w:t>
      </w:r>
      <w:r>
        <w:rPr>
          <w:sz w:val="21"/>
        </w:rPr>
        <w:t>  </w:t>
      </w:r>
      <w:r>
        <w:rPr>
          <w:w w:val="100"/>
          <w:sz w:val="21"/>
        </w:rPr>
        <w:t>plaintiffs</w:t>
      </w:r>
      <w:r>
        <w:rPr>
          <w:sz w:val="21"/>
        </w:rPr>
        <w:t>  </w:t>
      </w:r>
      <w:r>
        <w:rPr>
          <w:w w:val="100"/>
          <w:sz w:val="21"/>
        </w:rPr>
        <w:t>of</w:t>
      </w:r>
      <w:r>
        <w:rPr>
          <w:sz w:val="21"/>
        </w:rPr>
        <w:t>  </w:t>
      </w:r>
      <w:r>
        <w:rPr>
          <w:w w:val="100"/>
          <w:sz w:val="21"/>
        </w:rPr>
        <w:t>suit</w:t>
      </w:r>
      <w:r>
        <w:rPr>
          <w:sz w:val="21"/>
        </w:rPr>
        <w:t>  </w:t>
      </w:r>
      <w:r>
        <w:rPr>
          <w:w w:val="100"/>
          <w:sz w:val="21"/>
        </w:rPr>
        <w:t>5</w:t>
      </w:r>
      <w:r>
        <w:rPr>
          <w:sz w:val="21"/>
        </w:rPr>
        <w:t>  </w:t>
      </w:r>
      <w:r>
        <w:rPr>
          <w:w w:val="100"/>
          <w:sz w:val="21"/>
        </w:rPr>
        <w:t>and </w:t>
      </w:r>
      <w:r>
        <w:rPr>
          <w:sz w:val="21"/>
        </w:rPr>
        <w:t>Nirmohi Akhara.‖</w:t>
      </w:r>
    </w:p>
    <w:p>
      <w:pPr>
        <w:spacing w:after="0" w:line="273" w:lineRule="auto"/>
        <w:jc w:val="left"/>
        <w:rPr>
          <w:sz w:val="21"/>
        </w:rPr>
        <w:sectPr>
          <w:pgSz w:w="11910" w:h="16840"/>
          <w:pgMar w:header="721" w:footer="1014" w:top="1300" w:bottom="1200" w:left="940" w:right="1000"/>
        </w:sectPr>
      </w:pPr>
    </w:p>
    <w:p>
      <w:pPr>
        <w:pStyle w:val="BodyText"/>
        <w:spacing w:line="480" w:lineRule="auto" w:before="124"/>
        <w:ind w:left="500" w:right="436"/>
        <w:jc w:val="both"/>
      </w:pPr>
      <w:r>
        <w:rPr/>
        <w:t>The basis on which the High Court directed this three-fold division was its finding of joint possession. Justice D V Sharma decreed the entire property to the plaintiffs in Suit 5.</w:t>
      </w:r>
    </w:p>
    <w:p>
      <w:pPr>
        <w:pStyle w:val="BodyText"/>
        <w:spacing w:before="10"/>
        <w:rPr>
          <w:sz w:val="24"/>
        </w:rPr>
      </w:pPr>
    </w:p>
    <w:p>
      <w:pPr>
        <w:pStyle w:val="BodyText"/>
        <w:spacing w:line="480" w:lineRule="auto"/>
        <w:ind w:left="500" w:right="439"/>
        <w:jc w:val="both"/>
      </w:pPr>
      <w:r>
        <w:rPr/>
        <w:t>The common thread that runs through the judgment of Justice S U Khan is that Muslims and Hindus were in joint possession and since under Section 110 of the Evidence Act title follows possession, both were joint title-holders of the premises in dispute.</w:t>
      </w:r>
    </w:p>
    <w:p>
      <w:pPr>
        <w:pStyle w:val="BodyText"/>
        <w:rPr>
          <w:sz w:val="28"/>
        </w:rPr>
      </w:pPr>
    </w:p>
    <w:p>
      <w:pPr>
        <w:pStyle w:val="BodyText"/>
        <w:spacing w:before="1"/>
        <w:rPr>
          <w:sz w:val="22"/>
        </w:rPr>
      </w:pPr>
    </w:p>
    <w:p>
      <w:pPr>
        <w:pStyle w:val="ListParagraph"/>
        <w:numPr>
          <w:ilvl w:val="0"/>
          <w:numId w:val="166"/>
        </w:numPr>
        <w:tabs>
          <w:tab w:pos="1221" w:val="left" w:leader="none"/>
        </w:tabs>
        <w:spacing w:line="240" w:lineRule="auto" w:before="0" w:after="0"/>
        <w:ind w:left="1220" w:right="0" w:hanging="721"/>
        <w:jc w:val="both"/>
        <w:rPr>
          <w:sz w:val="25"/>
        </w:rPr>
      </w:pPr>
      <w:r>
        <w:rPr>
          <w:sz w:val="25"/>
        </w:rPr>
        <w:t>The basis of Justice Sudhir Agarwal‘s judgment can be delineated</w:t>
      </w:r>
      <w:r>
        <w:rPr>
          <w:spacing w:val="-19"/>
          <w:sz w:val="25"/>
        </w:rPr>
        <w:t> </w:t>
      </w:r>
      <w:r>
        <w:rPr>
          <w:sz w:val="25"/>
        </w:rPr>
        <w:t>thus:</w:t>
      </w:r>
    </w:p>
    <w:p>
      <w:pPr>
        <w:pStyle w:val="BodyText"/>
        <w:rPr>
          <w:sz w:val="28"/>
        </w:rPr>
      </w:pPr>
    </w:p>
    <w:p>
      <w:pPr>
        <w:pStyle w:val="BodyText"/>
        <w:spacing w:before="10"/>
        <w:rPr>
          <w:sz w:val="35"/>
        </w:rPr>
      </w:pPr>
    </w:p>
    <w:p>
      <w:pPr>
        <w:pStyle w:val="ListParagraph"/>
        <w:numPr>
          <w:ilvl w:val="0"/>
          <w:numId w:val="207"/>
        </w:numPr>
        <w:tabs>
          <w:tab w:pos="1221" w:val="left" w:leader="none"/>
        </w:tabs>
        <w:spacing w:line="480" w:lineRule="auto" w:before="0" w:after="0"/>
        <w:ind w:left="1220" w:right="436" w:hanging="720"/>
        <w:jc w:val="both"/>
        <w:rPr>
          <w:sz w:val="25"/>
        </w:rPr>
      </w:pPr>
      <w:r>
        <w:rPr>
          <w:sz w:val="25"/>
        </w:rPr>
        <w:t>Muslims did not have possession of the outer courtyard at least from 1856- 57 when the dividing railing was raised by the British. Muslims have had at best, only a right of passage through the outer</w:t>
      </w:r>
      <w:r>
        <w:rPr>
          <w:spacing w:val="-13"/>
          <w:sz w:val="25"/>
        </w:rPr>
        <w:t> </w:t>
      </w:r>
      <w:r>
        <w:rPr>
          <w:sz w:val="25"/>
        </w:rPr>
        <w:t>courtyard;</w:t>
      </w:r>
    </w:p>
    <w:p>
      <w:pPr>
        <w:pStyle w:val="ListParagraph"/>
        <w:numPr>
          <w:ilvl w:val="0"/>
          <w:numId w:val="207"/>
        </w:numPr>
        <w:tabs>
          <w:tab w:pos="1221" w:val="left" w:leader="none"/>
        </w:tabs>
        <w:spacing w:line="480" w:lineRule="auto" w:before="2" w:after="0"/>
        <w:ind w:left="1220" w:right="444" w:hanging="720"/>
        <w:jc w:val="both"/>
        <w:rPr>
          <w:sz w:val="25"/>
        </w:rPr>
      </w:pPr>
      <w:r>
        <w:rPr>
          <w:sz w:val="25"/>
        </w:rPr>
        <w:t>The possession of the Hindus over the outer courtyard was open and to the knowledge of the Muslims. This is evidenced by the documents of</w:t>
      </w:r>
      <w:r>
        <w:rPr>
          <w:spacing w:val="-46"/>
          <w:sz w:val="25"/>
        </w:rPr>
        <w:t> </w:t>
      </w:r>
      <w:r>
        <w:rPr>
          <w:sz w:val="25"/>
        </w:rPr>
        <w:t>1858 which indicate that the Mutawalli of the mosque had made several complaints, in spite of which the structures continued in the premises as did the entry and worship of the Hindus in the outer</w:t>
      </w:r>
      <w:r>
        <w:rPr>
          <w:spacing w:val="-15"/>
          <w:sz w:val="25"/>
        </w:rPr>
        <w:t> </w:t>
      </w:r>
      <w:r>
        <w:rPr>
          <w:sz w:val="25"/>
        </w:rPr>
        <w:t>courtyard;</w:t>
      </w:r>
    </w:p>
    <w:p>
      <w:pPr>
        <w:pStyle w:val="ListParagraph"/>
        <w:numPr>
          <w:ilvl w:val="0"/>
          <w:numId w:val="207"/>
        </w:numPr>
        <w:tabs>
          <w:tab w:pos="1221" w:val="left" w:leader="none"/>
        </w:tabs>
        <w:spacing w:line="480" w:lineRule="auto" w:before="1" w:after="0"/>
        <w:ind w:left="1220" w:right="435" w:hanging="720"/>
        <w:jc w:val="both"/>
        <w:rPr>
          <w:sz w:val="25"/>
        </w:rPr>
      </w:pPr>
      <w:r>
        <w:rPr>
          <w:sz w:val="25"/>
        </w:rPr>
        <w:t>There is no evidence of the Muslims being in possession of the property in dispute. While it cannot be held that the Muslims did not visit the inner courtyard at all or that no namaz was offered till 1949, that by itself will not amount to possession in </w:t>
      </w:r>
      <w:r>
        <w:rPr>
          <w:spacing w:val="-5"/>
          <w:sz w:val="25"/>
        </w:rPr>
        <w:t>law. </w:t>
      </w:r>
      <w:r>
        <w:rPr>
          <w:sz w:val="25"/>
        </w:rPr>
        <w:t>There was a beneficial enjoyment by the Muslims with the Hindus and the Muslims thus visited the inner courtyard for worshipping in their own</w:t>
      </w:r>
      <w:r>
        <w:rPr>
          <w:spacing w:val="-2"/>
          <w:sz w:val="25"/>
        </w:rPr>
        <w:t> </w:t>
      </w:r>
      <w:r>
        <w:rPr>
          <w:sz w:val="25"/>
        </w:rPr>
        <w:t>way;</w:t>
      </w:r>
    </w:p>
    <w:p>
      <w:pPr>
        <w:spacing w:after="0" w:line="480" w:lineRule="auto"/>
        <w:jc w:val="both"/>
        <w:rPr>
          <w:sz w:val="25"/>
        </w:rPr>
        <w:sectPr>
          <w:pgSz w:w="11910" w:h="16840"/>
          <w:pgMar w:header="721" w:footer="1014" w:top="1300" w:bottom="1200" w:left="940" w:right="1000"/>
        </w:sectPr>
      </w:pPr>
    </w:p>
    <w:p>
      <w:pPr>
        <w:pStyle w:val="ListParagraph"/>
        <w:numPr>
          <w:ilvl w:val="0"/>
          <w:numId w:val="207"/>
        </w:numPr>
        <w:tabs>
          <w:tab w:pos="1221" w:val="left" w:leader="none"/>
        </w:tabs>
        <w:spacing w:line="480" w:lineRule="auto" w:before="124" w:after="0"/>
        <w:ind w:left="1220" w:right="443" w:hanging="720"/>
        <w:jc w:val="both"/>
        <w:rPr>
          <w:sz w:val="25"/>
        </w:rPr>
      </w:pPr>
      <w:r>
        <w:rPr>
          <w:sz w:val="25"/>
        </w:rPr>
        <w:t>Though there is a claim of the plaintiffs that since regular namaz was offered in the inner courtyard, the receiver would have recovered requisite material relatable to its use, no such material was found, leading to the inference that none existed. This weakens the claim of the Muslims to exclusive possession in the form of continuous</w:t>
      </w:r>
      <w:r>
        <w:rPr>
          <w:spacing w:val="-7"/>
          <w:sz w:val="25"/>
        </w:rPr>
        <w:t> </w:t>
      </w:r>
      <w:r>
        <w:rPr>
          <w:sz w:val="25"/>
        </w:rPr>
        <w:t>worship;</w:t>
      </w:r>
    </w:p>
    <w:p>
      <w:pPr>
        <w:pStyle w:val="ListParagraph"/>
        <w:numPr>
          <w:ilvl w:val="0"/>
          <w:numId w:val="207"/>
        </w:numPr>
        <w:tabs>
          <w:tab w:pos="1221" w:val="left" w:leader="none"/>
        </w:tabs>
        <w:spacing w:line="480" w:lineRule="auto" w:before="0" w:after="0"/>
        <w:ind w:left="1220" w:right="436" w:hanging="720"/>
        <w:jc w:val="both"/>
        <w:rPr>
          <w:sz w:val="25"/>
        </w:rPr>
      </w:pPr>
      <w:r>
        <w:rPr>
          <w:sz w:val="25"/>
        </w:rPr>
        <w:t>The Muslims did not abandon the property in dispute. They continued to exercise a claim over it, getting it recognised by the British government in the form of a grant for upkeep and maintenance. The maintenance of the building to the extent of the disputed structure and the partition wall is evident as is the entry of Muslims into the inner courtyard for namaz. While both the Hindus and Muslims visited the disputed property as worshippers, the only distinction was that Hindus visited the entire property while Muslims were confined to the inner courtyard for the purposes of offering prayers;</w:t>
      </w:r>
    </w:p>
    <w:p>
      <w:pPr>
        <w:pStyle w:val="ListParagraph"/>
        <w:numPr>
          <w:ilvl w:val="0"/>
          <w:numId w:val="207"/>
        </w:numPr>
        <w:tabs>
          <w:tab w:pos="1221" w:val="left" w:leader="none"/>
        </w:tabs>
        <w:spacing w:line="480" w:lineRule="auto" w:before="1" w:after="0"/>
        <w:ind w:left="1220" w:right="441" w:hanging="720"/>
        <w:jc w:val="both"/>
        <w:rPr>
          <w:sz w:val="25"/>
        </w:rPr>
      </w:pPr>
      <w:r>
        <w:rPr>
          <w:sz w:val="25"/>
        </w:rPr>
        <w:t>While Muslims have failed to prove that the property in Suit 4 was in their exclusive possession up to 1949, both the communities were  in possession of the inner</w:t>
      </w:r>
      <w:r>
        <w:rPr>
          <w:spacing w:val="-2"/>
          <w:sz w:val="25"/>
        </w:rPr>
        <w:t> </w:t>
      </w:r>
      <w:r>
        <w:rPr>
          <w:sz w:val="25"/>
        </w:rPr>
        <w:t>courtyard;</w:t>
      </w:r>
    </w:p>
    <w:p>
      <w:pPr>
        <w:pStyle w:val="ListParagraph"/>
        <w:numPr>
          <w:ilvl w:val="0"/>
          <w:numId w:val="207"/>
        </w:numPr>
        <w:tabs>
          <w:tab w:pos="1221" w:val="left" w:leader="none"/>
        </w:tabs>
        <w:spacing w:line="480" w:lineRule="auto" w:before="1" w:after="0"/>
        <w:ind w:left="1220" w:right="438" w:hanging="720"/>
        <w:jc w:val="both"/>
        <w:rPr>
          <w:sz w:val="25"/>
        </w:rPr>
      </w:pPr>
      <w:r>
        <w:rPr>
          <w:sz w:val="25"/>
        </w:rPr>
        <w:t>The outer courtyard was not in the possession of the Muslims as of 1949 and even prior thereto. Insofar as the inner courtyard is concerned, the Muslims have discontinued their possession from 23 December  1949. Prior thereto, the possession of the inner courtyard was enjoyed by both Hindus and Muslims;</w:t>
      </w:r>
      <w:r>
        <w:rPr>
          <w:spacing w:val="2"/>
          <w:sz w:val="25"/>
        </w:rPr>
        <w:t> </w:t>
      </w:r>
      <w:r>
        <w:rPr>
          <w:sz w:val="25"/>
        </w:rPr>
        <w:t>and</w:t>
      </w:r>
    </w:p>
    <w:p>
      <w:pPr>
        <w:pStyle w:val="ListParagraph"/>
        <w:numPr>
          <w:ilvl w:val="0"/>
          <w:numId w:val="207"/>
        </w:numPr>
        <w:tabs>
          <w:tab w:pos="1221" w:val="left" w:leader="none"/>
        </w:tabs>
        <w:spacing w:line="482" w:lineRule="auto" w:before="0" w:after="0"/>
        <w:ind w:left="1220" w:right="444" w:hanging="720"/>
        <w:jc w:val="both"/>
        <w:rPr>
          <w:sz w:val="25"/>
        </w:rPr>
      </w:pPr>
      <w:r>
        <w:rPr>
          <w:sz w:val="25"/>
        </w:rPr>
        <w:t>Hindu religious structures existed in the outer courtyard since sometime after</w:t>
      </w:r>
      <w:r>
        <w:rPr>
          <w:spacing w:val="18"/>
          <w:sz w:val="25"/>
        </w:rPr>
        <w:t> </w:t>
      </w:r>
      <w:r>
        <w:rPr>
          <w:sz w:val="25"/>
        </w:rPr>
        <w:t>1856-7</w:t>
      </w:r>
      <w:r>
        <w:rPr>
          <w:spacing w:val="17"/>
          <w:sz w:val="25"/>
        </w:rPr>
        <w:t> </w:t>
      </w:r>
      <w:r>
        <w:rPr>
          <w:sz w:val="25"/>
        </w:rPr>
        <w:t>and</w:t>
      </w:r>
      <w:r>
        <w:rPr>
          <w:spacing w:val="18"/>
          <w:sz w:val="25"/>
        </w:rPr>
        <w:t> </w:t>
      </w:r>
      <w:r>
        <w:rPr>
          <w:sz w:val="25"/>
        </w:rPr>
        <w:t>were</w:t>
      </w:r>
      <w:r>
        <w:rPr>
          <w:spacing w:val="17"/>
          <w:sz w:val="25"/>
        </w:rPr>
        <w:t> </w:t>
      </w:r>
      <w:r>
        <w:rPr>
          <w:sz w:val="25"/>
        </w:rPr>
        <w:t>being</w:t>
      </w:r>
      <w:r>
        <w:rPr>
          <w:spacing w:val="19"/>
          <w:sz w:val="25"/>
        </w:rPr>
        <w:t> </w:t>
      </w:r>
      <w:r>
        <w:rPr>
          <w:sz w:val="25"/>
        </w:rPr>
        <w:t>managed</w:t>
      </w:r>
      <w:r>
        <w:rPr>
          <w:spacing w:val="17"/>
          <w:sz w:val="25"/>
        </w:rPr>
        <w:t> </w:t>
      </w:r>
      <w:r>
        <w:rPr>
          <w:sz w:val="25"/>
        </w:rPr>
        <w:t>and</w:t>
      </w:r>
      <w:r>
        <w:rPr>
          <w:spacing w:val="18"/>
          <w:sz w:val="25"/>
        </w:rPr>
        <w:t> </w:t>
      </w:r>
      <w:r>
        <w:rPr>
          <w:sz w:val="25"/>
        </w:rPr>
        <w:t>administered</w:t>
      </w:r>
      <w:r>
        <w:rPr>
          <w:spacing w:val="17"/>
          <w:sz w:val="25"/>
        </w:rPr>
        <w:t> </w:t>
      </w:r>
      <w:r>
        <w:rPr>
          <w:sz w:val="25"/>
        </w:rPr>
        <w:t>by</w:t>
      </w:r>
      <w:r>
        <w:rPr>
          <w:spacing w:val="16"/>
          <w:sz w:val="25"/>
        </w:rPr>
        <w:t> </w:t>
      </w:r>
      <w:r>
        <w:rPr>
          <w:sz w:val="25"/>
        </w:rPr>
        <w:t>the</w:t>
      </w:r>
      <w:r>
        <w:rPr>
          <w:spacing w:val="17"/>
          <w:sz w:val="25"/>
        </w:rPr>
        <w:t> </w:t>
      </w:r>
      <w:r>
        <w:rPr>
          <w:sz w:val="25"/>
        </w:rPr>
        <w:t>priests</w:t>
      </w:r>
      <w:r>
        <w:rPr>
          <w:spacing w:val="18"/>
          <w:sz w:val="25"/>
        </w:rPr>
        <w:t> </w:t>
      </w:r>
      <w:r>
        <w:rPr>
          <w:sz w:val="25"/>
        </w:rPr>
        <w:t>of</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1220" w:right="436"/>
        <w:jc w:val="both"/>
      </w:pPr>
      <w:r>
        <w:rPr/>
        <w:t>Nirmohi Akhara. Therefore, to the extent of the outer courtyard, the disputed site can be said to have been in possession of the Nirmohi Akhara while the Muslims ceased to have possession over it. The inner courtyard was not in the exclusive possession of either of the parties and it was visited by members of both the communities without any</w:t>
      </w:r>
      <w:r>
        <w:rPr>
          <w:spacing w:val="-33"/>
        </w:rPr>
        <w:t> </w:t>
      </w:r>
      <w:r>
        <w:rPr/>
        <w:t>obstruction.</w:t>
      </w:r>
    </w:p>
    <w:p>
      <w:pPr>
        <w:pStyle w:val="BodyText"/>
      </w:pPr>
    </w:p>
    <w:p>
      <w:pPr>
        <w:pStyle w:val="BodyText"/>
        <w:spacing w:line="480" w:lineRule="auto" w:before="1"/>
        <w:ind w:left="500" w:right="444"/>
        <w:jc w:val="both"/>
      </w:pPr>
      <w:r>
        <w:rPr/>
        <w:t>In allowing the entirety of the claim of the plaintiffs in Suit 5, Justice D V Sharma held:</w:t>
      </w:r>
    </w:p>
    <w:p>
      <w:pPr>
        <w:pStyle w:val="BodyText"/>
      </w:pPr>
    </w:p>
    <w:p>
      <w:pPr>
        <w:pStyle w:val="ListParagraph"/>
        <w:numPr>
          <w:ilvl w:val="0"/>
          <w:numId w:val="208"/>
        </w:numPr>
        <w:tabs>
          <w:tab w:pos="1221" w:val="left" w:leader="none"/>
        </w:tabs>
        <w:spacing w:line="480" w:lineRule="auto" w:before="0" w:after="0"/>
        <w:ind w:left="1220" w:right="444" w:hanging="720"/>
        <w:jc w:val="both"/>
        <w:rPr>
          <w:sz w:val="25"/>
        </w:rPr>
      </w:pPr>
      <w:r>
        <w:rPr>
          <w:sz w:val="25"/>
        </w:rPr>
        <w:t>A mosque loses its sacred character upon being adversely possessed by a non-Muslim. Muslims were not in possession over the suit property and there is no reliable evidence to indicate that prayers were offered by them from time immemorial;</w:t>
      </w:r>
      <w:r>
        <w:rPr>
          <w:spacing w:val="-2"/>
          <w:sz w:val="25"/>
        </w:rPr>
        <w:t> </w:t>
      </w:r>
      <w:r>
        <w:rPr>
          <w:sz w:val="25"/>
        </w:rPr>
        <w:t>and</w:t>
      </w:r>
    </w:p>
    <w:p>
      <w:pPr>
        <w:pStyle w:val="ListParagraph"/>
        <w:numPr>
          <w:ilvl w:val="0"/>
          <w:numId w:val="208"/>
        </w:numPr>
        <w:tabs>
          <w:tab w:pos="1221" w:val="left" w:leader="none"/>
        </w:tabs>
        <w:spacing w:line="480" w:lineRule="auto" w:before="0" w:after="0"/>
        <w:ind w:left="1220" w:right="441" w:hanging="720"/>
        <w:jc w:val="both"/>
        <w:rPr>
          <w:sz w:val="25"/>
        </w:rPr>
      </w:pPr>
      <w:r>
        <w:rPr>
          <w:sz w:val="25"/>
        </w:rPr>
        <w:t>Muslims have not established exclusive and continuous possession over the suit property from 1528 A.D. or that they offered prayers in the</w:t>
      </w:r>
      <w:r>
        <w:rPr>
          <w:spacing w:val="-48"/>
          <w:sz w:val="25"/>
        </w:rPr>
        <w:t> </w:t>
      </w:r>
      <w:r>
        <w:rPr>
          <w:sz w:val="25"/>
        </w:rPr>
        <w:t>disputed structure since time immemorial. On the other hand, the Hindus have established exclusive possession over the inner courtyard and that they were visiting it for offering</w:t>
      </w:r>
      <w:r>
        <w:rPr>
          <w:spacing w:val="-4"/>
          <w:sz w:val="25"/>
        </w:rPr>
        <w:t> </w:t>
      </w:r>
      <w:r>
        <w:rPr>
          <w:sz w:val="25"/>
        </w:rPr>
        <w:t>prayers.</w:t>
      </w:r>
    </w:p>
    <w:p>
      <w:pPr>
        <w:pStyle w:val="BodyText"/>
        <w:spacing w:before="2"/>
        <w:rPr>
          <w:sz w:val="26"/>
        </w:rPr>
      </w:pPr>
    </w:p>
    <w:p>
      <w:pPr>
        <w:pStyle w:val="Heading4"/>
        <w:rPr>
          <w:i/>
        </w:rPr>
      </w:pPr>
      <w:r>
        <w:rPr>
          <w:i/>
        </w:rPr>
        <w:t>Maintainability of Suit 4</w:t>
      </w:r>
    </w:p>
    <w:p>
      <w:pPr>
        <w:pStyle w:val="BodyText"/>
        <w:rPr>
          <w:i/>
          <w:sz w:val="28"/>
        </w:rPr>
      </w:pPr>
    </w:p>
    <w:p>
      <w:pPr>
        <w:pStyle w:val="BodyText"/>
        <w:spacing w:before="10"/>
        <w:rPr>
          <w:i/>
          <w:sz w:val="23"/>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During the course of hearing, Mr Parasaran, learned Senior Counsel objected to the maintainability of Suit 4 on the ground that the suit could have only been instituted at the behest of a Mutawalli. It was urged that the Sunni Central Waqf Board had no locus to institute the proceeding. There is no merit in the submission. Section 19(2) of the UP Muslim Waqf Act 1960</w:t>
      </w:r>
      <w:r>
        <w:rPr>
          <w:spacing w:val="60"/>
          <w:sz w:val="25"/>
        </w:rPr>
        <w:t> </w:t>
      </w:r>
      <w:r>
        <w:rPr>
          <w:sz w:val="25"/>
        </w:rPr>
        <w:t>specifically</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empowers the board to adopt measures for the recovery of property and to institute and defend suits relating to waqfs. Under Section 3(2), the Board is defined to mean the Sunni Central Waqf Board, or the Shia Central Waqf Board constituted under the Act. Clearly, therefore in terms of the statutory power, the Sunni Central Waqf Board has authority to institute legal proceedings.</w:t>
      </w:r>
    </w:p>
    <w:p>
      <w:pPr>
        <w:pStyle w:val="BodyText"/>
        <w:rPr>
          <w:sz w:val="28"/>
        </w:rPr>
      </w:pPr>
    </w:p>
    <w:p>
      <w:pPr>
        <w:pStyle w:val="Heading3"/>
        <w:numPr>
          <w:ilvl w:val="1"/>
          <w:numId w:val="191"/>
        </w:numPr>
        <w:tabs>
          <w:tab w:pos="1220" w:val="left" w:leader="none"/>
          <w:tab w:pos="1221" w:val="left" w:leader="none"/>
        </w:tabs>
        <w:spacing w:line="240" w:lineRule="auto" w:before="245" w:after="0"/>
        <w:ind w:left="1220" w:right="0" w:hanging="721"/>
        <w:jc w:val="left"/>
      </w:pPr>
      <w:r>
        <w:rPr/>
        <w:t>Limitation in Suit</w:t>
      </w:r>
      <w:r>
        <w:rPr>
          <w:spacing w:val="-4"/>
        </w:rPr>
        <w:t> </w:t>
      </w:r>
      <w:r>
        <w:rPr/>
        <w:t>4</w:t>
      </w:r>
    </w:p>
    <w:p>
      <w:pPr>
        <w:pStyle w:val="BodyText"/>
        <w:rPr>
          <w:b/>
          <w:sz w:val="28"/>
        </w:rPr>
      </w:pPr>
    </w:p>
    <w:p>
      <w:pPr>
        <w:pStyle w:val="Heading4"/>
        <w:spacing w:before="219"/>
        <w:jc w:val="left"/>
        <w:rPr>
          <w:i/>
        </w:rPr>
      </w:pPr>
      <w:r>
        <w:rPr>
          <w:i/>
        </w:rPr>
        <w:t>Pleadings</w:t>
      </w:r>
    </w:p>
    <w:p>
      <w:pPr>
        <w:pStyle w:val="BodyText"/>
        <w:rPr>
          <w:i/>
          <w:sz w:val="26"/>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In the plaint in Suit 4, the cause of action for the institution of the proceedings is founded on the events which took place on 23 December 1949, during the course of which idols were placed inside the mosque by a crowd of Hindus. The intent of doing so was to destroy, damage and defile the mosque. Moreover, according to the plaintiffs, this act of entry into </w:t>
      </w:r>
      <w:r>
        <w:rPr>
          <w:spacing w:val="2"/>
          <w:sz w:val="25"/>
        </w:rPr>
        <w:t>the </w:t>
      </w:r>
      <w:r>
        <w:rPr>
          <w:sz w:val="25"/>
        </w:rPr>
        <w:t>mosque and the placement of idols amounted to a desecration of the mosque. This clearly emerges from the averments in paragraph 11 of the</w:t>
      </w:r>
      <w:r>
        <w:rPr>
          <w:spacing w:val="-11"/>
          <w:sz w:val="25"/>
        </w:rPr>
        <w:t> </w:t>
      </w:r>
      <w:r>
        <w:rPr>
          <w:sz w:val="25"/>
        </w:rPr>
        <w:t>plaint:</w:t>
      </w:r>
    </w:p>
    <w:p>
      <w:pPr>
        <w:spacing w:line="276" w:lineRule="auto" w:before="158"/>
        <w:ind w:left="1940" w:right="2255" w:firstLine="0"/>
        <w:jc w:val="both"/>
        <w:rPr>
          <w:sz w:val="21"/>
        </w:rPr>
      </w:pPr>
      <w:r>
        <w:rPr>
          <w:spacing w:val="-1"/>
          <w:w w:val="33"/>
          <w:sz w:val="21"/>
        </w:rPr>
        <w:t>―</w:t>
      </w:r>
      <w:r>
        <w:rPr>
          <w:spacing w:val="-1"/>
          <w:w w:val="100"/>
          <w:sz w:val="21"/>
        </w:rPr>
        <w:t>11</w:t>
      </w:r>
      <w:r>
        <w:rPr>
          <w:w w:val="100"/>
          <w:sz w:val="21"/>
        </w:rPr>
        <w:t>.</w:t>
      </w:r>
      <w:r>
        <w:rPr>
          <w:sz w:val="21"/>
        </w:rPr>
        <w:t> </w:t>
      </w:r>
      <w:r>
        <w:rPr>
          <w:spacing w:val="-27"/>
          <w:sz w:val="21"/>
        </w:rPr>
        <w:t> </w:t>
      </w:r>
      <w:r>
        <w:rPr>
          <w:w w:val="100"/>
          <w:sz w:val="21"/>
        </w:rPr>
        <w:t>T</w:t>
      </w:r>
      <w:r>
        <w:rPr>
          <w:spacing w:val="-2"/>
          <w:w w:val="100"/>
          <w:sz w:val="21"/>
        </w:rPr>
        <w:t>h</w:t>
      </w:r>
      <w:r>
        <w:rPr>
          <w:spacing w:val="-1"/>
          <w:w w:val="100"/>
          <w:sz w:val="21"/>
        </w:rPr>
        <w:t>a</w:t>
      </w:r>
      <w:r>
        <w:rPr>
          <w:w w:val="100"/>
          <w:sz w:val="21"/>
        </w:rPr>
        <w:t>t</w:t>
      </w:r>
      <w:r>
        <w:rPr>
          <w:sz w:val="21"/>
        </w:rPr>
        <w:t> </w:t>
      </w:r>
      <w:r>
        <w:rPr>
          <w:spacing w:val="-27"/>
          <w:sz w:val="21"/>
        </w:rPr>
        <w:t> </w:t>
      </w:r>
      <w:r>
        <w:rPr>
          <w:spacing w:val="-2"/>
          <w:w w:val="100"/>
          <w:sz w:val="21"/>
        </w:rPr>
        <w:t>t</w:t>
      </w:r>
      <w:r>
        <w:rPr>
          <w:spacing w:val="-1"/>
          <w:w w:val="100"/>
          <w:sz w:val="21"/>
        </w:rPr>
        <w:t>h</w:t>
      </w:r>
      <w:r>
        <w:rPr>
          <w:w w:val="100"/>
          <w:sz w:val="21"/>
        </w:rPr>
        <w:t>e</w:t>
      </w:r>
      <w:r>
        <w:rPr>
          <w:sz w:val="21"/>
        </w:rPr>
        <w:t> </w:t>
      </w:r>
      <w:r>
        <w:rPr>
          <w:spacing w:val="-26"/>
          <w:sz w:val="21"/>
        </w:rPr>
        <w:t> </w:t>
      </w:r>
      <w:r>
        <w:rPr>
          <w:spacing w:val="-4"/>
          <w:w w:val="100"/>
          <w:sz w:val="21"/>
        </w:rPr>
        <w:t>M</w:t>
      </w:r>
      <w:r>
        <w:rPr>
          <w:spacing w:val="-1"/>
          <w:w w:val="100"/>
          <w:sz w:val="21"/>
        </w:rPr>
        <w:t>us</w:t>
      </w:r>
      <w:r>
        <w:rPr>
          <w:spacing w:val="-2"/>
          <w:w w:val="100"/>
          <w:sz w:val="21"/>
        </w:rPr>
        <w:t>li</w:t>
      </w:r>
      <w:r>
        <w:rPr>
          <w:spacing w:val="1"/>
          <w:w w:val="100"/>
          <w:sz w:val="21"/>
        </w:rPr>
        <w:t>m</w:t>
      </w:r>
      <w:r>
        <w:rPr>
          <w:w w:val="100"/>
          <w:sz w:val="21"/>
        </w:rPr>
        <w:t>s</w:t>
      </w:r>
      <w:r>
        <w:rPr>
          <w:sz w:val="21"/>
        </w:rPr>
        <w:t> </w:t>
      </w:r>
      <w:r>
        <w:rPr>
          <w:spacing w:val="-29"/>
          <w:sz w:val="21"/>
        </w:rPr>
        <w:t> </w:t>
      </w:r>
      <w:r>
        <w:rPr>
          <w:spacing w:val="-1"/>
          <w:w w:val="100"/>
          <w:sz w:val="21"/>
        </w:rPr>
        <w:t>h</w:t>
      </w:r>
      <w:r>
        <w:rPr>
          <w:spacing w:val="-3"/>
          <w:w w:val="100"/>
          <w:sz w:val="21"/>
        </w:rPr>
        <w:t>av</w:t>
      </w:r>
      <w:r>
        <w:rPr>
          <w:w w:val="100"/>
          <w:sz w:val="21"/>
        </w:rPr>
        <w:t>e</w:t>
      </w:r>
      <w:r>
        <w:rPr>
          <w:sz w:val="21"/>
        </w:rPr>
        <w:t> </w:t>
      </w:r>
      <w:r>
        <w:rPr>
          <w:spacing w:val="-26"/>
          <w:sz w:val="21"/>
        </w:rPr>
        <w:t> </w:t>
      </w:r>
      <w:r>
        <w:rPr>
          <w:spacing w:val="-1"/>
          <w:w w:val="100"/>
          <w:sz w:val="21"/>
        </w:rPr>
        <w:t>bee</w:t>
      </w:r>
      <w:r>
        <w:rPr>
          <w:w w:val="100"/>
          <w:sz w:val="21"/>
        </w:rPr>
        <w:t>n</w:t>
      </w:r>
      <w:r>
        <w:rPr>
          <w:sz w:val="21"/>
        </w:rPr>
        <w:t> </w:t>
      </w:r>
      <w:r>
        <w:rPr>
          <w:spacing w:val="-28"/>
          <w:sz w:val="21"/>
        </w:rPr>
        <w:t> </w:t>
      </w:r>
      <w:r>
        <w:rPr>
          <w:w w:val="100"/>
          <w:sz w:val="21"/>
        </w:rPr>
        <w:t>in</w:t>
      </w:r>
      <w:r>
        <w:rPr>
          <w:sz w:val="21"/>
        </w:rPr>
        <w:t> </w:t>
      </w:r>
      <w:r>
        <w:rPr>
          <w:spacing w:val="-29"/>
          <w:sz w:val="21"/>
        </w:rPr>
        <w:t> </w:t>
      </w:r>
      <w:r>
        <w:rPr>
          <w:spacing w:val="-1"/>
          <w:w w:val="100"/>
          <w:sz w:val="21"/>
        </w:rPr>
        <w:t>pe</w:t>
      </w:r>
      <w:r>
        <w:rPr>
          <w:spacing w:val="-2"/>
          <w:w w:val="100"/>
          <w:sz w:val="21"/>
        </w:rPr>
        <w:t>a</w:t>
      </w:r>
      <w:r>
        <w:rPr>
          <w:w w:val="100"/>
          <w:sz w:val="21"/>
        </w:rPr>
        <w:t>c</w:t>
      </w:r>
      <w:r>
        <w:rPr>
          <w:spacing w:val="-3"/>
          <w:w w:val="100"/>
          <w:sz w:val="21"/>
        </w:rPr>
        <w:t>e</w:t>
      </w:r>
      <w:r>
        <w:rPr>
          <w:spacing w:val="1"/>
          <w:w w:val="100"/>
          <w:sz w:val="21"/>
        </w:rPr>
        <w:t>f</w:t>
      </w:r>
      <w:r>
        <w:rPr>
          <w:spacing w:val="-3"/>
          <w:w w:val="100"/>
          <w:sz w:val="21"/>
        </w:rPr>
        <w:t>u</w:t>
      </w:r>
      <w:r>
        <w:rPr>
          <w:w w:val="100"/>
          <w:sz w:val="21"/>
        </w:rPr>
        <w:t>l</w:t>
      </w:r>
      <w:r>
        <w:rPr>
          <w:sz w:val="21"/>
        </w:rPr>
        <w:t> </w:t>
      </w:r>
      <w:r>
        <w:rPr>
          <w:spacing w:val="-25"/>
          <w:sz w:val="21"/>
        </w:rPr>
        <w:t> </w:t>
      </w:r>
      <w:r>
        <w:rPr>
          <w:spacing w:val="-1"/>
          <w:w w:val="100"/>
          <w:sz w:val="21"/>
        </w:rPr>
        <w:t>p</w:t>
      </w:r>
      <w:r>
        <w:rPr>
          <w:spacing w:val="-3"/>
          <w:w w:val="100"/>
          <w:sz w:val="21"/>
        </w:rPr>
        <w:t>o</w:t>
      </w:r>
      <w:r>
        <w:rPr>
          <w:w w:val="100"/>
          <w:sz w:val="21"/>
        </w:rPr>
        <w:t>s</w:t>
      </w:r>
      <w:r>
        <w:rPr>
          <w:spacing w:val="-3"/>
          <w:w w:val="100"/>
          <w:sz w:val="21"/>
        </w:rPr>
        <w:t>s</w:t>
      </w:r>
      <w:r>
        <w:rPr>
          <w:spacing w:val="-1"/>
          <w:w w:val="100"/>
          <w:sz w:val="21"/>
        </w:rPr>
        <w:t>ess</w:t>
      </w:r>
      <w:r>
        <w:rPr>
          <w:spacing w:val="-2"/>
          <w:w w:val="100"/>
          <w:sz w:val="21"/>
        </w:rPr>
        <w:t>i</w:t>
      </w:r>
      <w:r>
        <w:rPr>
          <w:spacing w:val="-1"/>
          <w:w w:val="100"/>
          <w:sz w:val="21"/>
        </w:rPr>
        <w:t>o</w:t>
      </w:r>
      <w:r>
        <w:rPr>
          <w:w w:val="100"/>
          <w:sz w:val="21"/>
        </w:rPr>
        <w:t>n</w:t>
      </w:r>
      <w:r>
        <w:rPr>
          <w:sz w:val="21"/>
        </w:rPr>
        <w:t> </w:t>
      </w:r>
      <w:r>
        <w:rPr>
          <w:spacing w:val="-28"/>
          <w:sz w:val="21"/>
        </w:rPr>
        <w:t> </w:t>
      </w:r>
      <w:r>
        <w:rPr>
          <w:spacing w:val="-1"/>
          <w:w w:val="100"/>
          <w:sz w:val="21"/>
        </w:rPr>
        <w:t>of </w:t>
      </w:r>
      <w:r>
        <w:rPr>
          <w:sz w:val="21"/>
        </w:rPr>
        <w:t>the aforesaid mosque and used to recite prayer in it, till 23.12.1949 when a large crowd of Hindus, with the mischievous intention of destroying, damaging or defiling the said mosque and thereby insulting the Muslim religion and the religious feelings of the Muslims, entered the mosque and descecrated the mosque by placing idols inside the mosque. The conduct of Hindus amounted to an offence punishable under Sections 147, 295 and 448 of the Indian Penal</w:t>
      </w:r>
      <w:r>
        <w:rPr>
          <w:spacing w:val="-39"/>
          <w:sz w:val="21"/>
        </w:rPr>
        <w:t> </w:t>
      </w:r>
      <w:r>
        <w:rPr>
          <w:sz w:val="21"/>
        </w:rPr>
        <w:t>Code.‖</w:t>
      </w:r>
    </w:p>
    <w:p>
      <w:pPr>
        <w:pStyle w:val="BodyText"/>
        <w:rPr>
          <w:sz w:val="24"/>
        </w:rPr>
      </w:pPr>
    </w:p>
    <w:p>
      <w:pPr>
        <w:pStyle w:val="BodyText"/>
        <w:spacing w:before="5"/>
        <w:rPr>
          <w:sz w:val="24"/>
        </w:rPr>
      </w:pPr>
    </w:p>
    <w:p>
      <w:pPr>
        <w:pStyle w:val="BodyText"/>
        <w:ind w:left="500"/>
      </w:pPr>
      <w:r>
        <w:rPr/>
        <w:t>Linked to the above averment is the statement in paragraph 23 which reads thus:</w:t>
      </w:r>
    </w:p>
    <w:p>
      <w:pPr>
        <w:pStyle w:val="BodyText"/>
      </w:pPr>
    </w:p>
    <w:p>
      <w:pPr>
        <w:spacing w:line="276" w:lineRule="auto" w:before="0"/>
        <w:ind w:left="1940" w:right="2257" w:firstLine="0"/>
        <w:jc w:val="both"/>
        <w:rPr>
          <w:sz w:val="21"/>
        </w:rPr>
      </w:pPr>
      <w:r>
        <w:rPr>
          <w:w w:val="33"/>
          <w:sz w:val="21"/>
        </w:rPr>
        <w:t>―</w:t>
      </w:r>
      <w:r>
        <w:rPr>
          <w:w w:val="100"/>
          <w:sz w:val="21"/>
        </w:rPr>
        <w:t>23.</w:t>
      </w:r>
      <w:r>
        <w:rPr>
          <w:sz w:val="21"/>
        </w:rPr>
        <w:t> </w:t>
      </w:r>
      <w:r>
        <w:rPr>
          <w:w w:val="100"/>
          <w:sz w:val="21"/>
        </w:rPr>
        <w:t>That</w:t>
      </w:r>
      <w:r>
        <w:rPr>
          <w:sz w:val="21"/>
        </w:rPr>
        <w:t> </w:t>
      </w:r>
      <w:r>
        <w:rPr>
          <w:w w:val="100"/>
          <w:sz w:val="21"/>
        </w:rPr>
        <w:t>cause</w:t>
      </w:r>
      <w:r>
        <w:rPr>
          <w:sz w:val="21"/>
        </w:rPr>
        <w:t> </w:t>
      </w:r>
      <w:r>
        <w:rPr>
          <w:w w:val="100"/>
          <w:sz w:val="21"/>
        </w:rPr>
        <w:t>o</w:t>
      </w:r>
      <w:r>
        <w:rPr>
          <w:w w:val="100"/>
          <w:sz w:val="21"/>
        </w:rPr>
        <w:t>f</w:t>
      </w:r>
      <w:r>
        <w:rPr>
          <w:sz w:val="21"/>
        </w:rPr>
        <w:t> </w:t>
      </w:r>
      <w:r>
        <w:rPr>
          <w:w w:val="100"/>
          <w:sz w:val="21"/>
        </w:rPr>
        <w:t>act</w:t>
      </w:r>
      <w:r>
        <w:rPr>
          <w:w w:val="100"/>
          <w:sz w:val="21"/>
        </w:rPr>
        <w:t>i</w:t>
      </w:r>
      <w:r>
        <w:rPr>
          <w:w w:val="100"/>
          <w:sz w:val="21"/>
        </w:rPr>
        <w:t>on</w:t>
      </w:r>
      <w:r>
        <w:rPr>
          <w:sz w:val="21"/>
        </w:rPr>
        <w:t> </w:t>
      </w:r>
      <w:r>
        <w:rPr>
          <w:w w:val="100"/>
          <w:sz w:val="21"/>
        </w:rPr>
        <w:t>f</w:t>
      </w:r>
      <w:r>
        <w:rPr>
          <w:w w:val="100"/>
          <w:sz w:val="21"/>
        </w:rPr>
        <w:t>or</w:t>
      </w:r>
      <w:r>
        <w:rPr>
          <w:sz w:val="21"/>
        </w:rPr>
        <w:t> </w:t>
      </w:r>
      <w:r>
        <w:rPr>
          <w:w w:val="100"/>
          <w:sz w:val="21"/>
        </w:rPr>
        <w:t>t</w:t>
      </w:r>
      <w:r>
        <w:rPr>
          <w:w w:val="100"/>
          <w:sz w:val="21"/>
        </w:rPr>
        <w:t>he</w:t>
      </w:r>
      <w:r>
        <w:rPr>
          <w:sz w:val="21"/>
        </w:rPr>
        <w:t> </w:t>
      </w:r>
      <w:r>
        <w:rPr>
          <w:w w:val="100"/>
          <w:sz w:val="21"/>
        </w:rPr>
        <w:t>su</w:t>
      </w:r>
      <w:r>
        <w:rPr>
          <w:w w:val="100"/>
          <w:sz w:val="21"/>
        </w:rPr>
        <w:t>i</w:t>
      </w:r>
      <w:r>
        <w:rPr>
          <w:w w:val="100"/>
          <w:sz w:val="21"/>
        </w:rPr>
        <w:t>t</w:t>
      </w:r>
      <w:r>
        <w:rPr>
          <w:sz w:val="21"/>
        </w:rPr>
        <w:t> </w:t>
      </w:r>
      <w:r>
        <w:rPr>
          <w:w w:val="100"/>
          <w:sz w:val="21"/>
        </w:rPr>
        <w:t>agai</w:t>
      </w:r>
      <w:r>
        <w:rPr>
          <w:w w:val="100"/>
          <w:sz w:val="21"/>
        </w:rPr>
        <w:t>nst</w:t>
      </w:r>
      <w:r>
        <w:rPr>
          <w:sz w:val="21"/>
        </w:rPr>
        <w:t> </w:t>
      </w:r>
      <w:r>
        <w:rPr>
          <w:w w:val="100"/>
          <w:sz w:val="21"/>
        </w:rPr>
        <w:t>t</w:t>
      </w:r>
      <w:r>
        <w:rPr>
          <w:w w:val="100"/>
          <w:sz w:val="21"/>
        </w:rPr>
        <w:t>he</w:t>
      </w:r>
      <w:r>
        <w:rPr>
          <w:sz w:val="21"/>
        </w:rPr>
        <w:t> </w:t>
      </w:r>
      <w:r>
        <w:rPr>
          <w:w w:val="100"/>
          <w:sz w:val="21"/>
        </w:rPr>
        <w:t>H</w:t>
      </w:r>
      <w:r>
        <w:rPr>
          <w:w w:val="100"/>
          <w:sz w:val="21"/>
        </w:rPr>
        <w:t>i</w:t>
      </w:r>
      <w:r>
        <w:rPr>
          <w:w w:val="100"/>
          <w:sz w:val="21"/>
        </w:rPr>
        <w:t>ndu</w:t>
      </w:r>
      <w:r>
        <w:rPr>
          <w:sz w:val="21"/>
        </w:rPr>
        <w:t> </w:t>
      </w:r>
      <w:r>
        <w:rPr>
          <w:w w:val="100"/>
          <w:sz w:val="21"/>
        </w:rPr>
        <w:t>pub</w:t>
      </w:r>
      <w:r>
        <w:rPr>
          <w:w w:val="100"/>
          <w:sz w:val="21"/>
        </w:rPr>
        <w:t>li</w:t>
      </w:r>
      <w:r>
        <w:rPr>
          <w:w w:val="100"/>
          <w:sz w:val="21"/>
        </w:rPr>
        <w:t>c </w:t>
      </w:r>
      <w:r>
        <w:rPr>
          <w:sz w:val="21"/>
        </w:rPr>
        <w:t>arose on 23.12.1949 at Ajodhiya District Faizabad within the jurisdiction of this Hon‘ble Court when the Hindus unlawfully and illegally entered the mosque and desecrated the mosque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4" w:firstLine="0"/>
        <w:jc w:val="both"/>
        <w:rPr>
          <w:sz w:val="21"/>
        </w:rPr>
      </w:pPr>
      <w:r>
        <w:rPr>
          <w:sz w:val="21"/>
        </w:rPr>
        <w:t>by placing idols in the mosque thus causing obstruction and interference with the rights of the Muslims in general, of saying prayers and performing other religious ceremonies in the mosque. The Hindus are also causing obstructions to the Muslims gang in the graveyard, (Ganj-Shahidan) and reciting Fatiha to the dead persons buried therein. The injuries so caused are continuing injuries are the cause of action arising therefrom is renewed de-die-indiem and as against defendants 5 to 9 the cause of action arose to the plaintiffs on 29.12.1949 the date on which the defendant No. 7 the City Magistrate Faizabad-cum-Ajodhiaya attached the mosque in suit and handed over possession of the same to Sri Priya Dutt Ram defendant no. 9 as the receiver, who assumed charge of the same on January 5,</w:t>
      </w:r>
      <w:r>
        <w:rPr>
          <w:spacing w:val="-9"/>
          <w:sz w:val="21"/>
        </w:rPr>
        <w:t> </w:t>
      </w:r>
      <w:r>
        <w:rPr>
          <w:sz w:val="21"/>
        </w:rPr>
        <w:t>1950.</w:t>
      </w:r>
    </w:p>
    <w:p>
      <w:pPr>
        <w:spacing w:line="276" w:lineRule="auto" w:before="1"/>
        <w:ind w:left="1940" w:right="2257" w:firstLine="0"/>
        <w:jc w:val="both"/>
        <w:rPr>
          <w:sz w:val="21"/>
        </w:rPr>
      </w:pPr>
      <w:r>
        <w:rPr>
          <w:sz w:val="21"/>
        </w:rPr>
        <w:t>The State government and its officials defendants 6 to 8 failed in their duty to prosecute the offenders and safeguard the interests of the Muslims.‖</w:t>
      </w:r>
    </w:p>
    <w:p>
      <w:pPr>
        <w:pStyle w:val="BodyText"/>
        <w:rPr>
          <w:sz w:val="24"/>
        </w:rPr>
      </w:pPr>
    </w:p>
    <w:p>
      <w:pPr>
        <w:pStyle w:val="BodyText"/>
        <w:spacing w:before="4"/>
      </w:pPr>
    </w:p>
    <w:p>
      <w:pPr>
        <w:pStyle w:val="BodyText"/>
        <w:spacing w:line="480" w:lineRule="auto"/>
        <w:ind w:left="500" w:right="436"/>
        <w:jc w:val="both"/>
      </w:pPr>
      <w:r>
        <w:rPr/>
        <w:t>In the suit as it was originally filed, a declaration was sought to the effect that the property identified by the letters A B C D in the map annexed to the plaint is a public mosque known as Babri Masjid and the land adjoining it depicted by letters E F G H is a public Muslim graveyard. Prayer (b) seeks a decree for the delivery of possession of the mosque and graveyard, by removing of the idols and other </w:t>
      </w:r>
      <w:r>
        <w:rPr>
          <w:spacing w:val="-1"/>
          <w:w w:val="99"/>
        </w:rPr>
        <w:t>a</w:t>
      </w:r>
      <w:r>
        <w:rPr>
          <w:w w:val="99"/>
        </w:rPr>
        <w:t>rticles</w:t>
      </w:r>
      <w:r>
        <w:rPr/>
        <w:t> </w:t>
      </w:r>
      <w:r>
        <w:rPr>
          <w:spacing w:val="-22"/>
        </w:rPr>
        <w:t> </w:t>
      </w:r>
      <w:r>
        <w:rPr>
          <w:spacing w:val="-1"/>
          <w:w w:val="99"/>
        </w:rPr>
        <w:t>o</w:t>
      </w:r>
      <w:r>
        <w:rPr>
          <w:w w:val="99"/>
        </w:rPr>
        <w:t>f</w:t>
      </w:r>
      <w:r>
        <w:rPr/>
        <w:t> </w:t>
      </w:r>
      <w:r>
        <w:rPr>
          <w:spacing w:val="-21"/>
        </w:rPr>
        <w:t> </w:t>
      </w:r>
      <w:r>
        <w:rPr>
          <w:spacing w:val="-1"/>
          <w:w w:val="99"/>
        </w:rPr>
        <w:t>wo</w:t>
      </w:r>
      <w:r>
        <w:rPr>
          <w:w w:val="99"/>
        </w:rPr>
        <w:t>rship</w:t>
      </w:r>
      <w:r>
        <w:rPr/>
        <w:t> </w:t>
      </w:r>
      <w:r>
        <w:rPr>
          <w:spacing w:val="-21"/>
        </w:rPr>
        <w:t> </w:t>
      </w:r>
      <w:r>
        <w:rPr>
          <w:spacing w:val="-1"/>
          <w:w w:val="99"/>
        </w:rPr>
        <w:t>plac</w:t>
      </w:r>
      <w:r>
        <w:rPr>
          <w:w w:val="99"/>
        </w:rPr>
        <w:t>ed</w:t>
      </w:r>
      <w:r>
        <w:rPr/>
        <w:t> </w:t>
      </w:r>
      <w:r>
        <w:rPr>
          <w:spacing w:val="-22"/>
        </w:rPr>
        <w:t> </w:t>
      </w:r>
      <w:r>
        <w:rPr>
          <w:spacing w:val="-1"/>
          <w:w w:val="99"/>
        </w:rPr>
        <w:t>b</w:t>
      </w:r>
      <w:r>
        <w:rPr>
          <w:w w:val="99"/>
        </w:rPr>
        <w:t>y</w:t>
      </w:r>
      <w:r>
        <w:rPr/>
        <w:t> </w:t>
      </w:r>
      <w:r>
        <w:rPr>
          <w:spacing w:val="-24"/>
        </w:rPr>
        <w:t> </w:t>
      </w:r>
      <w:r>
        <w:rPr>
          <w:w w:val="99"/>
        </w:rPr>
        <w:t>the</w:t>
      </w:r>
      <w:r>
        <w:rPr/>
        <w:t> </w:t>
      </w:r>
      <w:r>
        <w:rPr>
          <w:spacing w:val="-21"/>
        </w:rPr>
        <w:t> </w:t>
      </w:r>
      <w:r>
        <w:rPr>
          <w:spacing w:val="-1"/>
          <w:w w:val="99"/>
        </w:rPr>
        <w:t>Hind</w:t>
      </w:r>
      <w:r>
        <w:rPr>
          <w:w w:val="99"/>
        </w:rPr>
        <w:t>us,</w:t>
      </w:r>
      <w:r>
        <w:rPr/>
        <w:t> </w:t>
      </w:r>
      <w:r>
        <w:rPr>
          <w:spacing w:val="-20"/>
        </w:rPr>
        <w:t> </w:t>
      </w:r>
      <w:r>
        <w:rPr>
          <w:w w:val="33"/>
        </w:rPr>
        <w:t>―</w:t>
      </w:r>
      <w:r>
        <w:rPr>
          <w:spacing w:val="-1"/>
          <w:w w:val="99"/>
        </w:rPr>
        <w:t>i</w:t>
      </w:r>
      <w:r>
        <w:rPr>
          <w:w w:val="99"/>
        </w:rPr>
        <w:t>n</w:t>
      </w:r>
      <w:r>
        <w:rPr/>
        <w:t> </w:t>
      </w:r>
      <w:r>
        <w:rPr>
          <w:spacing w:val="-22"/>
        </w:rPr>
        <w:t> </w:t>
      </w:r>
      <w:r>
        <w:rPr>
          <w:w w:val="99"/>
        </w:rPr>
        <w:t>case</w:t>
      </w:r>
      <w:r>
        <w:rPr/>
        <w:t> </w:t>
      </w:r>
      <w:r>
        <w:rPr>
          <w:spacing w:val="-22"/>
        </w:rPr>
        <w:t> </w:t>
      </w:r>
      <w:r>
        <w:rPr>
          <w:spacing w:val="-1"/>
          <w:w w:val="99"/>
        </w:rPr>
        <w:t>i</w:t>
      </w:r>
      <w:r>
        <w:rPr>
          <w:w w:val="99"/>
        </w:rPr>
        <w:t>n</w:t>
      </w:r>
      <w:r>
        <w:rPr/>
        <w:t> </w:t>
      </w:r>
      <w:r>
        <w:rPr>
          <w:spacing w:val="-22"/>
        </w:rPr>
        <w:t> </w:t>
      </w:r>
      <w:r>
        <w:rPr>
          <w:w w:val="99"/>
        </w:rPr>
        <w:t>the</w:t>
      </w:r>
      <w:r>
        <w:rPr/>
        <w:t> </w:t>
      </w:r>
      <w:r>
        <w:rPr>
          <w:spacing w:val="-21"/>
        </w:rPr>
        <w:t> </w:t>
      </w:r>
      <w:r>
        <w:rPr>
          <w:spacing w:val="-1"/>
          <w:w w:val="99"/>
        </w:rPr>
        <w:t>o</w:t>
      </w:r>
      <w:r>
        <w:rPr>
          <w:w w:val="99"/>
        </w:rPr>
        <w:t>p</w:t>
      </w:r>
      <w:r>
        <w:rPr>
          <w:spacing w:val="-1"/>
          <w:w w:val="99"/>
        </w:rPr>
        <w:t>inio</w:t>
      </w:r>
      <w:r>
        <w:rPr>
          <w:w w:val="99"/>
        </w:rPr>
        <w:t>n</w:t>
      </w:r>
      <w:r>
        <w:rPr/>
        <w:t> </w:t>
      </w:r>
      <w:r>
        <w:rPr>
          <w:spacing w:val="-22"/>
        </w:rPr>
        <w:t> </w:t>
      </w:r>
      <w:r>
        <w:rPr>
          <w:spacing w:val="-1"/>
          <w:w w:val="99"/>
        </w:rPr>
        <w:t>o</w:t>
      </w:r>
      <w:r>
        <w:rPr>
          <w:w w:val="99"/>
        </w:rPr>
        <w:t>f</w:t>
      </w:r>
      <w:r>
        <w:rPr/>
        <w:t> </w:t>
      </w:r>
      <w:r>
        <w:rPr>
          <w:spacing w:val="-21"/>
        </w:rPr>
        <w:t> </w:t>
      </w:r>
      <w:r>
        <w:rPr>
          <w:w w:val="99"/>
        </w:rPr>
        <w:t>the</w:t>
      </w:r>
      <w:r>
        <w:rPr/>
        <w:t> </w:t>
      </w:r>
      <w:r>
        <w:rPr>
          <w:spacing w:val="-21"/>
        </w:rPr>
        <w:t> </w:t>
      </w:r>
      <w:r>
        <w:rPr>
          <w:spacing w:val="-1"/>
          <w:w w:val="99"/>
        </w:rPr>
        <w:t>Cou</w:t>
      </w:r>
      <w:r>
        <w:rPr>
          <w:spacing w:val="1"/>
          <w:w w:val="99"/>
        </w:rPr>
        <w:t>r</w:t>
      </w:r>
      <w:r>
        <w:rPr>
          <w:w w:val="99"/>
        </w:rPr>
        <w:t>t </w:t>
      </w:r>
      <w:r>
        <w:rPr/>
        <w:t>delivery of possession is deemed to be the proper remedy‖. Prayer (bb) is for a command to the statutory receiver to handover the property described in Schedule</w:t>
      </w:r>
      <w:r>
        <w:rPr>
          <w:spacing w:val="-8"/>
        </w:rPr>
        <w:t> </w:t>
      </w:r>
      <w:r>
        <w:rPr/>
        <w:t>‗A‘</w:t>
      </w:r>
      <w:r>
        <w:rPr>
          <w:spacing w:val="-8"/>
        </w:rPr>
        <w:t> </w:t>
      </w:r>
      <w:r>
        <w:rPr/>
        <w:t>by</w:t>
      </w:r>
      <w:r>
        <w:rPr>
          <w:spacing w:val="-11"/>
        </w:rPr>
        <w:t> </w:t>
      </w:r>
      <w:r>
        <w:rPr/>
        <w:t>removing</w:t>
      </w:r>
      <w:r>
        <w:rPr>
          <w:spacing w:val="-7"/>
        </w:rPr>
        <w:t> </w:t>
      </w:r>
      <w:r>
        <w:rPr/>
        <w:t>the</w:t>
      </w:r>
      <w:r>
        <w:rPr>
          <w:spacing w:val="-8"/>
        </w:rPr>
        <w:t> </w:t>
      </w:r>
      <w:r>
        <w:rPr/>
        <w:t>unauthorised</w:t>
      </w:r>
      <w:r>
        <w:rPr>
          <w:spacing w:val="-8"/>
        </w:rPr>
        <w:t> </w:t>
      </w:r>
      <w:r>
        <w:rPr/>
        <w:t>structures.</w:t>
      </w:r>
      <w:r>
        <w:rPr>
          <w:spacing w:val="-8"/>
        </w:rPr>
        <w:t> </w:t>
      </w:r>
      <w:r>
        <w:rPr/>
        <w:t>Prayer</w:t>
      </w:r>
      <w:r>
        <w:rPr>
          <w:spacing w:val="-7"/>
        </w:rPr>
        <w:t> </w:t>
      </w:r>
      <w:r>
        <w:rPr/>
        <w:t>(bb)</w:t>
      </w:r>
      <w:r>
        <w:rPr>
          <w:spacing w:val="-5"/>
        </w:rPr>
        <w:t> </w:t>
      </w:r>
      <w:r>
        <w:rPr/>
        <w:t>was</w:t>
      </w:r>
      <w:r>
        <w:rPr>
          <w:spacing w:val="-8"/>
        </w:rPr>
        <w:t> </w:t>
      </w:r>
      <w:r>
        <w:rPr/>
        <w:t>brought</w:t>
      </w:r>
      <w:r>
        <w:rPr>
          <w:spacing w:val="-10"/>
        </w:rPr>
        <w:t> </w:t>
      </w:r>
      <w:r>
        <w:rPr/>
        <w:t>in by way of an amendment on 25 May</w:t>
      </w:r>
      <w:r>
        <w:rPr>
          <w:spacing w:val="-13"/>
        </w:rPr>
        <w:t> </w:t>
      </w:r>
      <w:r>
        <w:rPr/>
        <w:t>1995.</w:t>
      </w:r>
    </w:p>
    <w:p>
      <w:pPr>
        <w:pStyle w:val="BodyText"/>
        <w:spacing w:before="2"/>
        <w:rPr>
          <w:sz w:val="39"/>
        </w:rPr>
      </w:pPr>
    </w:p>
    <w:p>
      <w:pPr>
        <w:pStyle w:val="Heading4"/>
        <w:rPr>
          <w:i/>
        </w:rPr>
      </w:pPr>
      <w:r>
        <w:rPr>
          <w:i/>
        </w:rPr>
        <w:t>Written statements</w:t>
      </w:r>
    </w:p>
    <w:p>
      <w:pPr>
        <w:pStyle w:val="BodyText"/>
        <w:rPr>
          <w:i/>
          <w:sz w:val="28"/>
        </w:rPr>
      </w:pPr>
    </w:p>
    <w:p>
      <w:pPr>
        <w:pStyle w:val="BodyText"/>
        <w:spacing w:before="7"/>
        <w:rPr>
          <w:i/>
          <w:sz w:val="23"/>
        </w:rPr>
      </w:pPr>
    </w:p>
    <w:p>
      <w:pPr>
        <w:pStyle w:val="ListParagraph"/>
        <w:numPr>
          <w:ilvl w:val="0"/>
          <w:numId w:val="166"/>
        </w:numPr>
        <w:tabs>
          <w:tab w:pos="1221" w:val="left" w:leader="none"/>
        </w:tabs>
        <w:spacing w:line="480" w:lineRule="auto" w:before="1" w:after="0"/>
        <w:ind w:left="500" w:right="444" w:firstLine="0"/>
        <w:jc w:val="both"/>
        <w:rPr>
          <w:sz w:val="25"/>
        </w:rPr>
      </w:pPr>
      <w:r>
        <w:rPr>
          <w:sz w:val="25"/>
        </w:rPr>
        <w:t>The plea of limitation was specifically raised in several written statements, among them in paragraphs 27 and 28 of the written statements of the first and second</w:t>
      </w:r>
      <w:r>
        <w:rPr>
          <w:spacing w:val="46"/>
          <w:sz w:val="25"/>
        </w:rPr>
        <w:t> </w:t>
      </w:r>
      <w:r>
        <w:rPr>
          <w:sz w:val="25"/>
        </w:rPr>
        <w:t>defendants</w:t>
      </w:r>
      <w:r>
        <w:rPr>
          <w:spacing w:val="47"/>
          <w:sz w:val="25"/>
        </w:rPr>
        <w:t> </w:t>
      </w:r>
      <w:r>
        <w:rPr>
          <w:sz w:val="25"/>
        </w:rPr>
        <w:t>and</w:t>
      </w:r>
      <w:r>
        <w:rPr>
          <w:spacing w:val="46"/>
          <w:sz w:val="25"/>
        </w:rPr>
        <w:t> </w:t>
      </w:r>
      <w:r>
        <w:rPr>
          <w:sz w:val="25"/>
        </w:rPr>
        <w:t>paragraph</w:t>
      </w:r>
      <w:r>
        <w:rPr>
          <w:spacing w:val="46"/>
          <w:sz w:val="25"/>
        </w:rPr>
        <w:t> </w:t>
      </w:r>
      <w:r>
        <w:rPr>
          <w:sz w:val="25"/>
        </w:rPr>
        <w:t>23</w:t>
      </w:r>
      <w:r>
        <w:rPr>
          <w:spacing w:val="47"/>
          <w:sz w:val="25"/>
        </w:rPr>
        <w:t> </w:t>
      </w:r>
      <w:r>
        <w:rPr>
          <w:sz w:val="25"/>
        </w:rPr>
        <w:t>of</w:t>
      </w:r>
      <w:r>
        <w:rPr>
          <w:spacing w:val="47"/>
          <w:sz w:val="25"/>
        </w:rPr>
        <w:t> </w:t>
      </w:r>
      <w:r>
        <w:rPr>
          <w:sz w:val="25"/>
        </w:rPr>
        <w:t>the</w:t>
      </w:r>
      <w:r>
        <w:rPr>
          <w:spacing w:val="47"/>
          <w:sz w:val="25"/>
        </w:rPr>
        <w:t> </w:t>
      </w:r>
      <w:r>
        <w:rPr>
          <w:sz w:val="25"/>
        </w:rPr>
        <w:t>additional</w:t>
      </w:r>
      <w:r>
        <w:rPr>
          <w:spacing w:val="46"/>
          <w:sz w:val="25"/>
        </w:rPr>
        <w:t> </w:t>
      </w:r>
      <w:r>
        <w:rPr>
          <w:sz w:val="25"/>
        </w:rPr>
        <w:t>written</w:t>
      </w:r>
      <w:r>
        <w:rPr>
          <w:spacing w:val="49"/>
          <w:sz w:val="25"/>
        </w:rPr>
        <w:t> </w:t>
      </w:r>
      <w:r>
        <w:rPr>
          <w:sz w:val="25"/>
        </w:rPr>
        <w:t>statement.</w:t>
      </w:r>
      <w:r>
        <w:rPr>
          <w:spacing w:val="47"/>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plea of limitation was also raised in paragraph 35 of the written statement, filed by Nirmohi Akhara and Mahant Raghunath Das, defendant nos 3 and </w:t>
      </w:r>
      <w:r>
        <w:rPr>
          <w:spacing w:val="4"/>
        </w:rPr>
        <w:t>4; </w:t>
      </w:r>
      <w:r>
        <w:rPr/>
        <w:t>in paragraph 29 of the written statement of the Akhil Bharat Hindu Mahasabha, defendant no 10; and in the written statements of several other Hindu</w:t>
      </w:r>
      <w:r>
        <w:rPr>
          <w:spacing w:val="-11"/>
        </w:rPr>
        <w:t> </w:t>
      </w:r>
      <w:r>
        <w:rPr/>
        <w:t>parties.</w:t>
      </w:r>
    </w:p>
    <w:p>
      <w:pPr>
        <w:pStyle w:val="BodyText"/>
        <w:spacing w:before="11"/>
        <w:rPr>
          <w:sz w:val="38"/>
        </w:rPr>
      </w:pPr>
    </w:p>
    <w:p>
      <w:pPr>
        <w:pStyle w:val="BodyText"/>
        <w:spacing w:line="480" w:lineRule="auto"/>
        <w:ind w:left="500" w:right="437"/>
        <w:jc w:val="both"/>
      </w:pPr>
      <w:r>
        <w:rPr/>
        <w:t>The tenth defendant filed a written statement on 15 February 1990 and denied paragraph 23 of the plaint. In the additional pleas raised in paragraphs 29 and 79, a specific plea was raised that the suit is barred by limitation. Paragraph 79 of the written statement reads thus:</w:t>
      </w:r>
    </w:p>
    <w:p>
      <w:pPr>
        <w:spacing w:line="276" w:lineRule="auto" w:before="160"/>
        <w:ind w:left="1940" w:right="2257" w:firstLine="0"/>
        <w:jc w:val="both"/>
        <w:rPr>
          <w:sz w:val="21"/>
        </w:rPr>
      </w:pPr>
      <w:r>
        <w:rPr>
          <w:spacing w:val="-1"/>
          <w:w w:val="33"/>
          <w:sz w:val="21"/>
        </w:rPr>
        <w:t>―</w:t>
      </w:r>
      <w:r>
        <w:rPr>
          <w:w w:val="100"/>
          <w:sz w:val="21"/>
        </w:rPr>
        <w:t>…79.</w:t>
      </w:r>
      <w:r>
        <w:rPr>
          <w:sz w:val="21"/>
        </w:rPr>
        <w:t> </w:t>
      </w:r>
      <w:r>
        <w:rPr>
          <w:spacing w:val="-25"/>
          <w:sz w:val="21"/>
        </w:rPr>
        <w:t> </w:t>
      </w:r>
      <w:r>
        <w:rPr>
          <w:spacing w:val="-2"/>
          <w:w w:val="100"/>
          <w:sz w:val="21"/>
        </w:rPr>
        <w:t>T</w:t>
      </w:r>
      <w:r>
        <w:rPr>
          <w:spacing w:val="-1"/>
          <w:w w:val="100"/>
          <w:sz w:val="21"/>
        </w:rPr>
        <w:t>ha</w:t>
      </w:r>
      <w:r>
        <w:rPr>
          <w:w w:val="100"/>
          <w:sz w:val="21"/>
        </w:rPr>
        <w:t>t</w:t>
      </w:r>
      <w:r>
        <w:rPr>
          <w:sz w:val="21"/>
        </w:rPr>
        <w:t> </w:t>
      </w:r>
      <w:r>
        <w:rPr>
          <w:spacing w:val="-25"/>
          <w:sz w:val="21"/>
        </w:rPr>
        <w:t> </w:t>
      </w:r>
      <w:r>
        <w:rPr>
          <w:spacing w:val="-2"/>
          <w:w w:val="100"/>
          <w:sz w:val="21"/>
        </w:rPr>
        <w:t>t</w:t>
      </w:r>
      <w:r>
        <w:rPr>
          <w:spacing w:val="-1"/>
          <w:w w:val="100"/>
          <w:sz w:val="21"/>
        </w:rPr>
        <w:t>h</w:t>
      </w:r>
      <w:r>
        <w:rPr>
          <w:w w:val="100"/>
          <w:sz w:val="21"/>
        </w:rPr>
        <w:t>e</w:t>
      </w:r>
      <w:r>
        <w:rPr>
          <w:sz w:val="21"/>
        </w:rPr>
        <w:t> </w:t>
      </w:r>
      <w:r>
        <w:rPr>
          <w:spacing w:val="-23"/>
          <w:sz w:val="21"/>
        </w:rPr>
        <w:t> </w:t>
      </w:r>
      <w:r>
        <w:rPr>
          <w:spacing w:val="-3"/>
          <w:w w:val="100"/>
          <w:sz w:val="21"/>
        </w:rPr>
        <w:t>s</w:t>
      </w:r>
      <w:r>
        <w:rPr>
          <w:spacing w:val="-1"/>
          <w:w w:val="100"/>
          <w:sz w:val="21"/>
        </w:rPr>
        <w:t>u</w:t>
      </w:r>
      <w:r>
        <w:rPr>
          <w:spacing w:val="1"/>
          <w:w w:val="100"/>
          <w:sz w:val="21"/>
        </w:rPr>
        <w:t>i</w:t>
      </w:r>
      <w:r>
        <w:rPr>
          <w:w w:val="100"/>
          <w:sz w:val="21"/>
        </w:rPr>
        <w:t>t</w:t>
      </w:r>
      <w:r>
        <w:rPr>
          <w:sz w:val="21"/>
        </w:rPr>
        <w:t> </w:t>
      </w:r>
      <w:r>
        <w:rPr>
          <w:spacing w:val="-27"/>
          <w:sz w:val="21"/>
        </w:rPr>
        <w:t> </w:t>
      </w:r>
      <w:r>
        <w:rPr>
          <w:spacing w:val="-1"/>
          <w:w w:val="100"/>
          <w:sz w:val="21"/>
        </w:rPr>
        <w:t>a</w:t>
      </w:r>
      <w:r>
        <w:rPr>
          <w:w w:val="100"/>
          <w:sz w:val="21"/>
        </w:rPr>
        <w:t>s</w:t>
      </w:r>
      <w:r>
        <w:rPr>
          <w:sz w:val="21"/>
        </w:rPr>
        <w:t> </w:t>
      </w:r>
      <w:r>
        <w:rPr>
          <w:spacing w:val="-26"/>
          <w:sz w:val="21"/>
        </w:rPr>
        <w:t> </w:t>
      </w:r>
      <w:r>
        <w:rPr>
          <w:spacing w:val="1"/>
          <w:w w:val="100"/>
          <w:sz w:val="21"/>
        </w:rPr>
        <w:t>f</w:t>
      </w:r>
      <w:r>
        <w:rPr>
          <w:spacing w:val="-1"/>
          <w:w w:val="100"/>
          <w:sz w:val="21"/>
        </w:rPr>
        <w:t>rame</w:t>
      </w:r>
      <w:r>
        <w:rPr>
          <w:w w:val="100"/>
          <w:sz w:val="21"/>
        </w:rPr>
        <w:t>d</w:t>
      </w:r>
      <w:r>
        <w:rPr>
          <w:sz w:val="21"/>
        </w:rPr>
        <w:t> </w:t>
      </w:r>
      <w:r>
        <w:rPr>
          <w:spacing w:val="-26"/>
          <w:sz w:val="21"/>
        </w:rPr>
        <w:t> </w:t>
      </w:r>
      <w:r>
        <w:rPr>
          <w:w w:val="100"/>
          <w:sz w:val="21"/>
        </w:rPr>
        <w:t>is</w:t>
      </w:r>
      <w:r>
        <w:rPr>
          <w:sz w:val="21"/>
        </w:rPr>
        <w:t> </w:t>
      </w:r>
      <w:r>
        <w:rPr>
          <w:spacing w:val="-24"/>
          <w:sz w:val="21"/>
        </w:rPr>
        <w:t> </w:t>
      </w:r>
      <w:r>
        <w:rPr>
          <w:w w:val="100"/>
          <w:sz w:val="21"/>
        </w:rPr>
        <w:t>a</w:t>
      </w:r>
      <w:r>
        <w:rPr>
          <w:sz w:val="21"/>
        </w:rPr>
        <w:t> </w:t>
      </w:r>
      <w:r>
        <w:rPr>
          <w:spacing w:val="-26"/>
          <w:sz w:val="21"/>
        </w:rPr>
        <w:t> </w:t>
      </w:r>
      <w:r>
        <w:rPr>
          <w:w w:val="100"/>
          <w:sz w:val="21"/>
        </w:rPr>
        <w:t>s</w:t>
      </w:r>
      <w:r>
        <w:rPr>
          <w:spacing w:val="-3"/>
          <w:w w:val="100"/>
          <w:sz w:val="21"/>
        </w:rPr>
        <w:t>u</w:t>
      </w:r>
      <w:r>
        <w:rPr>
          <w:w w:val="100"/>
          <w:sz w:val="21"/>
        </w:rPr>
        <w:t>it</w:t>
      </w:r>
      <w:r>
        <w:rPr>
          <w:sz w:val="21"/>
        </w:rPr>
        <w:t> </w:t>
      </w:r>
      <w:r>
        <w:rPr>
          <w:spacing w:val="-25"/>
          <w:sz w:val="21"/>
        </w:rPr>
        <w:t> </w:t>
      </w:r>
      <w:r>
        <w:rPr>
          <w:spacing w:val="1"/>
          <w:w w:val="100"/>
          <w:sz w:val="21"/>
        </w:rPr>
        <w:t>f</w:t>
      </w:r>
      <w:r>
        <w:rPr>
          <w:spacing w:val="-1"/>
          <w:w w:val="100"/>
          <w:sz w:val="21"/>
        </w:rPr>
        <w:t>o</w:t>
      </w:r>
      <w:r>
        <w:rPr>
          <w:w w:val="100"/>
          <w:sz w:val="21"/>
        </w:rPr>
        <w:t>r</w:t>
      </w:r>
      <w:r>
        <w:rPr>
          <w:sz w:val="21"/>
        </w:rPr>
        <w:t> </w:t>
      </w:r>
      <w:r>
        <w:rPr>
          <w:spacing w:val="-27"/>
          <w:sz w:val="21"/>
        </w:rPr>
        <w:t> </w:t>
      </w:r>
      <w:r>
        <w:rPr>
          <w:spacing w:val="-1"/>
          <w:w w:val="100"/>
          <w:sz w:val="21"/>
        </w:rPr>
        <w:t>de</w:t>
      </w:r>
      <w:r>
        <w:rPr>
          <w:spacing w:val="-3"/>
          <w:w w:val="100"/>
          <w:sz w:val="21"/>
        </w:rPr>
        <w:t>c</w:t>
      </w:r>
      <w:r>
        <w:rPr>
          <w:w w:val="100"/>
          <w:sz w:val="21"/>
        </w:rPr>
        <w:t>l</w:t>
      </w:r>
      <w:r>
        <w:rPr>
          <w:spacing w:val="-1"/>
          <w:w w:val="100"/>
          <w:sz w:val="21"/>
        </w:rPr>
        <w:t>a</w:t>
      </w:r>
      <w:r>
        <w:rPr>
          <w:spacing w:val="-3"/>
          <w:w w:val="100"/>
          <w:sz w:val="21"/>
        </w:rPr>
        <w:t>r</w:t>
      </w:r>
      <w:r>
        <w:rPr>
          <w:spacing w:val="-1"/>
          <w:w w:val="100"/>
          <w:sz w:val="21"/>
        </w:rPr>
        <w:t>at</w:t>
      </w:r>
      <w:r>
        <w:rPr>
          <w:w w:val="100"/>
          <w:sz w:val="21"/>
        </w:rPr>
        <w:t>i</w:t>
      </w:r>
      <w:r>
        <w:rPr>
          <w:spacing w:val="-1"/>
          <w:w w:val="100"/>
          <w:sz w:val="21"/>
        </w:rPr>
        <w:t>o</w:t>
      </w:r>
      <w:r>
        <w:rPr>
          <w:w w:val="100"/>
          <w:sz w:val="21"/>
        </w:rPr>
        <w:t>n</w:t>
      </w:r>
      <w:r>
        <w:rPr>
          <w:sz w:val="21"/>
        </w:rPr>
        <w:t> </w:t>
      </w:r>
      <w:r>
        <w:rPr>
          <w:spacing w:val="-26"/>
          <w:sz w:val="21"/>
        </w:rPr>
        <w:t> </w:t>
      </w:r>
      <w:r>
        <w:rPr>
          <w:spacing w:val="-1"/>
          <w:w w:val="100"/>
          <w:sz w:val="21"/>
        </w:rPr>
        <w:t>o</w:t>
      </w:r>
      <w:r>
        <w:rPr>
          <w:spacing w:val="-3"/>
          <w:w w:val="100"/>
          <w:sz w:val="21"/>
        </w:rPr>
        <w:t>n</w:t>
      </w:r>
      <w:r>
        <w:rPr>
          <w:w w:val="100"/>
          <w:sz w:val="21"/>
        </w:rPr>
        <w:t>ly </w:t>
      </w:r>
      <w:r>
        <w:rPr>
          <w:spacing w:val="-1"/>
          <w:w w:val="100"/>
          <w:sz w:val="21"/>
        </w:rPr>
        <w:t>an</w:t>
      </w:r>
      <w:r>
        <w:rPr>
          <w:w w:val="100"/>
          <w:sz w:val="21"/>
        </w:rPr>
        <w:t>d</w:t>
      </w:r>
      <w:r>
        <w:rPr>
          <w:spacing w:val="2"/>
          <w:sz w:val="21"/>
        </w:rPr>
        <w:t> </w:t>
      </w:r>
      <w:r>
        <w:rPr>
          <w:spacing w:val="-2"/>
          <w:w w:val="100"/>
          <w:sz w:val="21"/>
        </w:rPr>
        <w:t>t</w:t>
      </w:r>
      <w:r>
        <w:rPr>
          <w:spacing w:val="-3"/>
          <w:w w:val="100"/>
          <w:sz w:val="21"/>
        </w:rPr>
        <w:t>h</w:t>
      </w:r>
      <w:r>
        <w:rPr>
          <w:w w:val="100"/>
          <w:sz w:val="21"/>
        </w:rPr>
        <w:t>e</w:t>
      </w:r>
      <w:r>
        <w:rPr>
          <w:spacing w:val="1"/>
          <w:sz w:val="21"/>
        </w:rPr>
        <w:t> </w:t>
      </w:r>
      <w:r>
        <w:rPr>
          <w:spacing w:val="-1"/>
          <w:w w:val="100"/>
          <w:sz w:val="21"/>
        </w:rPr>
        <w:t>r</w:t>
      </w:r>
      <w:r>
        <w:rPr>
          <w:spacing w:val="-3"/>
          <w:w w:val="100"/>
          <w:sz w:val="21"/>
        </w:rPr>
        <w:t>e</w:t>
      </w:r>
      <w:r>
        <w:rPr>
          <w:w w:val="100"/>
          <w:sz w:val="21"/>
        </w:rPr>
        <w:t>l</w:t>
      </w:r>
      <w:r>
        <w:rPr>
          <w:spacing w:val="-2"/>
          <w:w w:val="100"/>
          <w:sz w:val="21"/>
        </w:rPr>
        <w:t>i</w:t>
      </w:r>
      <w:r>
        <w:rPr>
          <w:spacing w:val="-1"/>
          <w:w w:val="100"/>
          <w:sz w:val="21"/>
        </w:rPr>
        <w:t>e</w:t>
      </w:r>
      <w:r>
        <w:rPr>
          <w:w w:val="100"/>
          <w:sz w:val="21"/>
        </w:rPr>
        <w:t>f</w:t>
      </w:r>
      <w:r>
        <w:rPr>
          <w:sz w:val="21"/>
        </w:rPr>
        <w:t> </w:t>
      </w:r>
      <w:r>
        <w:rPr>
          <w:spacing w:val="-2"/>
          <w:w w:val="100"/>
          <w:sz w:val="21"/>
        </w:rPr>
        <w:t>f</w:t>
      </w:r>
      <w:r>
        <w:rPr>
          <w:spacing w:val="-1"/>
          <w:w w:val="100"/>
          <w:sz w:val="21"/>
        </w:rPr>
        <w:t>o</w:t>
      </w:r>
      <w:r>
        <w:rPr>
          <w:w w:val="100"/>
          <w:sz w:val="21"/>
        </w:rPr>
        <w:t>r</w:t>
      </w:r>
      <w:r>
        <w:rPr>
          <w:sz w:val="21"/>
        </w:rPr>
        <w:t> </w:t>
      </w:r>
      <w:r>
        <w:rPr>
          <w:spacing w:val="-1"/>
          <w:w w:val="100"/>
          <w:sz w:val="21"/>
        </w:rPr>
        <w:t>d</w:t>
      </w:r>
      <w:r>
        <w:rPr>
          <w:spacing w:val="-3"/>
          <w:w w:val="100"/>
          <w:sz w:val="21"/>
        </w:rPr>
        <w:t>e</w:t>
      </w:r>
      <w:r>
        <w:rPr>
          <w:spacing w:val="-2"/>
          <w:w w:val="100"/>
          <w:sz w:val="21"/>
        </w:rPr>
        <w:t>l</w:t>
      </w:r>
      <w:r>
        <w:rPr>
          <w:w w:val="100"/>
          <w:sz w:val="21"/>
        </w:rPr>
        <w:t>i</w:t>
      </w:r>
      <w:r>
        <w:rPr>
          <w:spacing w:val="-3"/>
          <w:w w:val="100"/>
          <w:sz w:val="21"/>
        </w:rPr>
        <w:t>v</w:t>
      </w:r>
      <w:r>
        <w:rPr>
          <w:spacing w:val="-1"/>
          <w:w w:val="100"/>
          <w:sz w:val="21"/>
        </w:rPr>
        <w:t>er</w:t>
      </w:r>
      <w:r>
        <w:rPr>
          <w:w w:val="100"/>
          <w:sz w:val="21"/>
        </w:rPr>
        <w:t>y</w:t>
      </w:r>
      <w:r>
        <w:rPr>
          <w:sz w:val="21"/>
        </w:rPr>
        <w:t> </w:t>
      </w:r>
      <w:r>
        <w:rPr>
          <w:spacing w:val="-1"/>
          <w:w w:val="100"/>
          <w:sz w:val="21"/>
        </w:rPr>
        <w:t>o</w:t>
      </w:r>
      <w:r>
        <w:rPr>
          <w:w w:val="100"/>
          <w:sz w:val="21"/>
        </w:rPr>
        <w:t>f</w:t>
      </w:r>
      <w:r>
        <w:rPr>
          <w:sz w:val="21"/>
        </w:rPr>
        <w:t> </w:t>
      </w:r>
      <w:r>
        <w:rPr>
          <w:spacing w:val="-1"/>
          <w:w w:val="100"/>
          <w:sz w:val="21"/>
        </w:rPr>
        <w:t>pos</w:t>
      </w:r>
      <w:r>
        <w:rPr>
          <w:spacing w:val="-3"/>
          <w:w w:val="100"/>
          <w:sz w:val="21"/>
        </w:rPr>
        <w:t>s</w:t>
      </w:r>
      <w:r>
        <w:rPr>
          <w:spacing w:val="-1"/>
          <w:w w:val="100"/>
          <w:sz w:val="21"/>
        </w:rPr>
        <w:t>es</w:t>
      </w:r>
      <w:r>
        <w:rPr>
          <w:spacing w:val="-3"/>
          <w:w w:val="100"/>
          <w:sz w:val="21"/>
        </w:rPr>
        <w:t>s</w:t>
      </w:r>
      <w:r>
        <w:rPr>
          <w:w w:val="100"/>
          <w:sz w:val="21"/>
        </w:rPr>
        <w:t>i</w:t>
      </w:r>
      <w:r>
        <w:rPr>
          <w:spacing w:val="-3"/>
          <w:w w:val="100"/>
          <w:sz w:val="21"/>
        </w:rPr>
        <w:t>o</w:t>
      </w:r>
      <w:r>
        <w:rPr>
          <w:w w:val="100"/>
          <w:sz w:val="21"/>
        </w:rPr>
        <w:t>n</w:t>
      </w:r>
      <w:r>
        <w:rPr>
          <w:spacing w:val="1"/>
          <w:sz w:val="21"/>
        </w:rPr>
        <w:t> </w:t>
      </w:r>
      <w:r>
        <w:rPr>
          <w:spacing w:val="-2"/>
          <w:w w:val="100"/>
          <w:sz w:val="21"/>
        </w:rPr>
        <w:t>i</w:t>
      </w:r>
      <w:r>
        <w:rPr>
          <w:w w:val="100"/>
          <w:sz w:val="21"/>
        </w:rPr>
        <w:t>s</w:t>
      </w:r>
      <w:r>
        <w:rPr>
          <w:spacing w:val="1"/>
          <w:sz w:val="21"/>
        </w:rPr>
        <w:t> </w:t>
      </w:r>
      <w:r>
        <w:rPr>
          <w:spacing w:val="-2"/>
          <w:w w:val="100"/>
          <w:sz w:val="21"/>
        </w:rPr>
        <w:t>i</w:t>
      </w:r>
      <w:r>
        <w:rPr>
          <w:w w:val="100"/>
          <w:sz w:val="21"/>
        </w:rPr>
        <w:t>n</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2"/>
          <w:w w:val="100"/>
          <w:sz w:val="21"/>
        </w:rPr>
        <w:t>w</w:t>
      </w:r>
      <w:r>
        <w:rPr>
          <w:spacing w:val="-3"/>
          <w:w w:val="100"/>
          <w:sz w:val="21"/>
        </w:rPr>
        <w:t>o</w:t>
      </w:r>
      <w:r>
        <w:rPr>
          <w:spacing w:val="-1"/>
          <w:w w:val="100"/>
          <w:sz w:val="21"/>
        </w:rPr>
        <w:t>rd</w:t>
      </w:r>
      <w:r>
        <w:rPr>
          <w:w w:val="100"/>
          <w:sz w:val="21"/>
        </w:rPr>
        <w:t>s</w:t>
      </w:r>
      <w:r>
        <w:rPr>
          <w:spacing w:val="1"/>
          <w:sz w:val="21"/>
        </w:rPr>
        <w:t> </w:t>
      </w:r>
      <w:r>
        <w:rPr>
          <w:spacing w:val="-2"/>
          <w:w w:val="100"/>
          <w:sz w:val="21"/>
        </w:rPr>
        <w:t>t</w:t>
      </w:r>
      <w:r>
        <w:rPr>
          <w:spacing w:val="-1"/>
          <w:w w:val="100"/>
          <w:sz w:val="21"/>
        </w:rPr>
        <w:t>ha</w:t>
      </w:r>
      <w:r>
        <w:rPr>
          <w:w w:val="100"/>
          <w:sz w:val="21"/>
        </w:rPr>
        <w:t>t</w:t>
      </w:r>
      <w:r>
        <w:rPr>
          <w:sz w:val="21"/>
        </w:rPr>
        <w:t> </w:t>
      </w:r>
      <w:r>
        <w:rPr>
          <w:spacing w:val="-1"/>
          <w:w w:val="33"/>
          <w:sz w:val="21"/>
        </w:rPr>
        <w:t>―</w:t>
      </w:r>
      <w:r>
        <w:rPr>
          <w:spacing w:val="-2"/>
          <w:w w:val="100"/>
          <w:sz w:val="21"/>
        </w:rPr>
        <w:t>I</w:t>
      </w:r>
      <w:r>
        <w:rPr>
          <w:w w:val="100"/>
          <w:sz w:val="21"/>
        </w:rPr>
        <w:t>n </w:t>
      </w:r>
      <w:r>
        <w:rPr>
          <w:sz w:val="21"/>
        </w:rPr>
        <w:t>case in the opinion of the court …‖ which means that the plaintiffs are not seeking relief of possession and leave it to the court to grant possession suo motu. The reason is obvious that the suit was barred by limitation and so specific prayer has not been</w:t>
      </w:r>
      <w:r>
        <w:rPr>
          <w:spacing w:val="-8"/>
          <w:sz w:val="21"/>
        </w:rPr>
        <w:t> </w:t>
      </w:r>
      <w:r>
        <w:rPr>
          <w:sz w:val="21"/>
        </w:rPr>
        <w:t>made.‖</w:t>
      </w:r>
    </w:p>
    <w:p>
      <w:pPr>
        <w:pStyle w:val="BodyText"/>
        <w:spacing w:before="11"/>
        <w:rPr>
          <w:sz w:val="24"/>
        </w:rPr>
      </w:pPr>
    </w:p>
    <w:p>
      <w:pPr>
        <w:pStyle w:val="BodyText"/>
        <w:spacing w:line="480" w:lineRule="auto"/>
        <w:ind w:left="500" w:right="435"/>
        <w:jc w:val="both"/>
      </w:pPr>
      <w:r>
        <w:rPr/>
        <w:t>Paragraph 39 of the written statement was inserted pursuant to the order of the court dated 23 November 1992. A replication was filed to the amended written statement of the tenth defendant but there was no specific traverse of paragraph 79 of the written statement.</w:t>
      </w:r>
    </w:p>
    <w:p>
      <w:pPr>
        <w:pStyle w:val="BodyText"/>
        <w:rPr>
          <w:sz w:val="28"/>
        </w:rPr>
      </w:pPr>
    </w:p>
    <w:p>
      <w:pPr>
        <w:pStyle w:val="BodyText"/>
        <w:spacing w:before="1"/>
        <w:rPr>
          <w:sz w:val="22"/>
        </w:rPr>
      </w:pPr>
    </w:p>
    <w:p>
      <w:pPr>
        <w:pStyle w:val="ListParagraph"/>
        <w:numPr>
          <w:ilvl w:val="0"/>
          <w:numId w:val="166"/>
        </w:numPr>
        <w:tabs>
          <w:tab w:pos="1221" w:val="left" w:leader="none"/>
        </w:tabs>
        <w:spacing w:line="240" w:lineRule="auto" w:before="0" w:after="0"/>
        <w:ind w:left="1220" w:right="0" w:hanging="721"/>
        <w:jc w:val="both"/>
        <w:rPr>
          <w:sz w:val="25"/>
        </w:rPr>
      </w:pPr>
      <w:r>
        <w:rPr>
          <w:sz w:val="25"/>
        </w:rPr>
        <w:t>The suit was presented and filed on 18 December</w:t>
      </w:r>
      <w:r>
        <w:rPr>
          <w:spacing w:val="-5"/>
          <w:sz w:val="25"/>
        </w:rPr>
        <w:t> </w:t>
      </w:r>
      <w:r>
        <w:rPr>
          <w:sz w:val="25"/>
        </w:rPr>
        <w:t>1961.</w:t>
      </w:r>
    </w:p>
    <w:p>
      <w:pPr>
        <w:pStyle w:val="BodyText"/>
        <w:rPr>
          <w:sz w:val="28"/>
        </w:rPr>
      </w:pPr>
    </w:p>
    <w:p>
      <w:pPr>
        <w:pStyle w:val="BodyText"/>
        <w:rPr>
          <w:sz w:val="28"/>
        </w:rPr>
      </w:pPr>
    </w:p>
    <w:p>
      <w:pPr>
        <w:pStyle w:val="ListParagraph"/>
        <w:numPr>
          <w:ilvl w:val="0"/>
          <w:numId w:val="166"/>
        </w:numPr>
        <w:tabs>
          <w:tab w:pos="1221" w:val="left" w:leader="none"/>
        </w:tabs>
        <w:spacing w:line="480" w:lineRule="auto" w:before="216" w:after="0"/>
        <w:ind w:left="500" w:right="440" w:firstLine="0"/>
        <w:jc w:val="both"/>
        <w:rPr>
          <w:sz w:val="25"/>
        </w:rPr>
      </w:pPr>
      <w:r>
        <w:rPr>
          <w:sz w:val="25"/>
        </w:rPr>
        <w:t>The first plaintiff of Suit 4 was impleaded as the ninth defendant to Suit 3 instituted by Nirmohi Akhara in pursuance of the order of the court dated 23 August 1989. A statement was made on behalf of the first plaintiff through counsel</w:t>
      </w:r>
      <w:r>
        <w:rPr>
          <w:spacing w:val="24"/>
          <w:sz w:val="25"/>
        </w:rPr>
        <w:t> </w:t>
      </w:r>
      <w:r>
        <w:rPr>
          <w:sz w:val="25"/>
        </w:rPr>
        <w:t>that</w:t>
      </w:r>
      <w:r>
        <w:rPr>
          <w:spacing w:val="25"/>
          <w:sz w:val="25"/>
        </w:rPr>
        <w:t> </w:t>
      </w:r>
      <w:r>
        <w:rPr>
          <w:sz w:val="25"/>
        </w:rPr>
        <w:t>the</w:t>
      </w:r>
      <w:r>
        <w:rPr>
          <w:spacing w:val="25"/>
          <w:sz w:val="25"/>
        </w:rPr>
        <w:t> </w:t>
      </w:r>
      <w:r>
        <w:rPr>
          <w:sz w:val="25"/>
        </w:rPr>
        <w:t>written</w:t>
      </w:r>
      <w:r>
        <w:rPr>
          <w:spacing w:val="25"/>
          <w:sz w:val="25"/>
        </w:rPr>
        <w:t> </w:t>
      </w:r>
      <w:r>
        <w:rPr>
          <w:sz w:val="25"/>
        </w:rPr>
        <w:t>statements</w:t>
      </w:r>
      <w:r>
        <w:rPr>
          <w:spacing w:val="24"/>
          <w:sz w:val="25"/>
        </w:rPr>
        <w:t> </w:t>
      </w:r>
      <w:r>
        <w:rPr>
          <w:sz w:val="25"/>
        </w:rPr>
        <w:t>which</w:t>
      </w:r>
      <w:r>
        <w:rPr>
          <w:spacing w:val="25"/>
          <w:sz w:val="25"/>
        </w:rPr>
        <w:t> </w:t>
      </w:r>
      <w:r>
        <w:rPr>
          <w:sz w:val="25"/>
        </w:rPr>
        <w:t>were</w:t>
      </w:r>
      <w:r>
        <w:rPr>
          <w:spacing w:val="25"/>
          <w:sz w:val="25"/>
        </w:rPr>
        <w:t> </w:t>
      </w:r>
      <w:r>
        <w:rPr>
          <w:sz w:val="25"/>
        </w:rPr>
        <w:t>already</w:t>
      </w:r>
      <w:r>
        <w:rPr>
          <w:spacing w:val="22"/>
          <w:sz w:val="25"/>
        </w:rPr>
        <w:t> </w:t>
      </w:r>
      <w:r>
        <w:rPr>
          <w:sz w:val="25"/>
        </w:rPr>
        <w:t>filed</w:t>
      </w:r>
      <w:r>
        <w:rPr>
          <w:spacing w:val="26"/>
          <w:sz w:val="25"/>
        </w:rPr>
        <w:t> </w:t>
      </w:r>
      <w:r>
        <w:rPr>
          <w:sz w:val="25"/>
        </w:rPr>
        <w:t>on</w:t>
      </w:r>
      <w:r>
        <w:rPr>
          <w:spacing w:val="24"/>
          <w:sz w:val="25"/>
        </w:rPr>
        <w:t> </w:t>
      </w:r>
      <w:r>
        <w:rPr>
          <w:sz w:val="25"/>
        </w:rPr>
        <w:t>behalf</w:t>
      </w:r>
      <w:r>
        <w:rPr>
          <w:spacing w:val="25"/>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defendant nos 1 to 5 in Suit 5 and defendant nos 6 to 8 in Suit 3 were being adopted. Sunni Central Waqf Board was also impleaded as defendant no 10 in Suit 1 pursuant to the order of the court dated 7 January 1987. In paragraph 22 of the written statement filed by defendant nos 1 to 5 in Suit 1, it was specifically stated that namaz had been offered until 16 December 1949. Similarly, in paragraph 26 of the written statement filed on behalf of defendant nos 6 to 8 in Suit 3 it was also stated that namaz had been continuously offered till 16 December 1949. Thus, for the purpose of the issue of limitation, it is necessary to proceed on the basis that the last namaz was offered on 16 December 1949.</w:t>
      </w:r>
    </w:p>
    <w:p>
      <w:pPr>
        <w:pStyle w:val="BodyText"/>
        <w:rPr>
          <w:sz w:val="28"/>
        </w:rPr>
      </w:pPr>
    </w:p>
    <w:p>
      <w:pPr>
        <w:pStyle w:val="BodyText"/>
        <w:spacing w:before="9"/>
        <w:rPr>
          <w:sz w:val="24"/>
        </w:rPr>
      </w:pPr>
    </w:p>
    <w:p>
      <w:pPr>
        <w:pStyle w:val="BodyText"/>
        <w:spacing w:line="480" w:lineRule="auto"/>
        <w:ind w:left="500" w:right="443"/>
        <w:jc w:val="both"/>
      </w:pPr>
      <w:r>
        <w:rPr/>
        <w:t>Before the High Court, it was urged by learned Counsel appearing on behalf of defendant no 20 that:</w:t>
      </w:r>
    </w:p>
    <w:p>
      <w:pPr>
        <w:pStyle w:val="ListParagraph"/>
        <w:numPr>
          <w:ilvl w:val="0"/>
          <w:numId w:val="209"/>
        </w:numPr>
        <w:tabs>
          <w:tab w:pos="1221" w:val="left" w:leader="none"/>
        </w:tabs>
        <w:spacing w:line="480" w:lineRule="auto" w:before="161" w:after="0"/>
        <w:ind w:left="1220" w:right="442" w:hanging="720"/>
        <w:jc w:val="both"/>
        <w:rPr>
          <w:sz w:val="25"/>
        </w:rPr>
      </w:pPr>
      <w:r>
        <w:rPr>
          <w:sz w:val="25"/>
        </w:rPr>
        <w:t>In a suit for declaration, Article 120 of the Limitation Act 1908 is applicable and even if the cause of action as set out in paragraph 23 is taken as correct, the suit which was instituted after the expiry of six years is barred by limitation;</w:t>
      </w:r>
      <w:r>
        <w:rPr>
          <w:spacing w:val="-5"/>
          <w:sz w:val="25"/>
        </w:rPr>
        <w:t> </w:t>
      </w:r>
      <w:r>
        <w:rPr>
          <w:sz w:val="25"/>
        </w:rPr>
        <w:t>and</w:t>
      </w:r>
    </w:p>
    <w:p>
      <w:pPr>
        <w:pStyle w:val="ListParagraph"/>
        <w:numPr>
          <w:ilvl w:val="0"/>
          <w:numId w:val="209"/>
        </w:numPr>
        <w:tabs>
          <w:tab w:pos="1221" w:val="left" w:leader="none"/>
        </w:tabs>
        <w:spacing w:line="480" w:lineRule="auto" w:before="0" w:after="0"/>
        <w:ind w:left="1220" w:right="438" w:hanging="720"/>
        <w:jc w:val="both"/>
        <w:rPr>
          <w:sz w:val="25"/>
        </w:rPr>
      </w:pPr>
      <w:r>
        <w:rPr>
          <w:sz w:val="25"/>
        </w:rPr>
        <w:t>Even if Article 120 is held to be inapplicable and Articles 142 and 144 are held to apply, the cause of action arose on 16 December 1949 and was  not a continuing wrong. Hence, the suit which was filed on 18 December 1961 after the expiry of twelve years is barred by limitation, albeit by 2 days.</w:t>
      </w:r>
    </w:p>
    <w:p>
      <w:pPr>
        <w:spacing w:after="0" w:line="480" w:lineRule="auto"/>
        <w:jc w:val="both"/>
        <w:rPr>
          <w:sz w:val="25"/>
        </w:rPr>
        <w:sectPr>
          <w:pgSz w:w="11910" w:h="16840"/>
          <w:pgMar w:header="721" w:footer="1014" w:top="1300" w:bottom="1200" w:left="940" w:right="1000"/>
        </w:sectPr>
      </w:pPr>
    </w:p>
    <w:p>
      <w:pPr>
        <w:spacing w:before="124"/>
        <w:ind w:left="500" w:right="0" w:firstLine="0"/>
        <w:jc w:val="both"/>
        <w:rPr>
          <w:i/>
          <w:sz w:val="25"/>
        </w:rPr>
      </w:pPr>
      <w:r>
        <w:rPr>
          <w:i/>
          <w:sz w:val="25"/>
        </w:rPr>
        <w:t>Findings of the High Court</w:t>
      </w:r>
    </w:p>
    <w:p>
      <w:pPr>
        <w:pStyle w:val="BodyText"/>
        <w:rPr>
          <w:i/>
          <w:sz w:val="28"/>
        </w:rPr>
      </w:pPr>
    </w:p>
    <w:p>
      <w:pPr>
        <w:pStyle w:val="BodyText"/>
        <w:spacing w:before="10"/>
        <w:rPr>
          <w:i/>
          <w:sz w:val="21"/>
        </w:rPr>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Dealing with the provisions of Section 145, Justice Sudhir Agarwal held that the proceeding is not of a judicial nature nor does the Magistrate deal with it as if it were a suit for immovable property. The proceedings under Section 145 would neither result in extension of limitation nor is any exclusion provided for the purpose of computing limitation. The appointment of a receiver by the magistrate merely made the property </w:t>
      </w:r>
      <w:r>
        <w:rPr>
          <w:i/>
          <w:sz w:val="25"/>
        </w:rPr>
        <w:t>custodia legis </w:t>
      </w:r>
      <w:r>
        <w:rPr>
          <w:sz w:val="25"/>
        </w:rPr>
        <w:t>and is not a dispossession within the meaning of Article 142 of the Limitation Act. The attachment of the property does not either amount to the dispossession of the owner or a discontinuance of possession. Adverting to the decision of this Court in </w:t>
      </w:r>
      <w:r>
        <w:rPr>
          <w:b/>
          <w:sz w:val="25"/>
        </w:rPr>
        <w:t>Deokuer </w:t>
      </w:r>
      <w:r>
        <w:rPr>
          <w:sz w:val="25"/>
        </w:rPr>
        <w:t>v </w:t>
      </w:r>
      <w:r>
        <w:rPr>
          <w:b/>
          <w:sz w:val="25"/>
        </w:rPr>
        <w:t>Sheoprasad Singh</w:t>
      </w:r>
      <w:r>
        <w:rPr>
          <w:sz w:val="25"/>
          <w:vertAlign w:val="superscript"/>
        </w:rPr>
        <w:t>324</w:t>
      </w:r>
      <w:r>
        <w:rPr>
          <w:sz w:val="25"/>
          <w:vertAlign w:val="baseline"/>
        </w:rPr>
        <w:t>, the High Court noted the principle that following an order of attachment under Section 145, the property is </w:t>
      </w:r>
      <w:r>
        <w:rPr>
          <w:i/>
          <w:sz w:val="25"/>
          <w:vertAlign w:val="baseline"/>
        </w:rPr>
        <w:t>custodia legis</w:t>
      </w:r>
      <w:r>
        <w:rPr>
          <w:sz w:val="25"/>
          <w:vertAlign w:val="baseline"/>
        </w:rPr>
        <w:t>; since it is not in the possession of any private individual, there is no need to seek a relief for the restoration of possession and a declaration of title would be sufficient. Relief of possession is not required because no private defendant would be in a position to deliver possession to the plaintiff and the Magistrate holds possession during the period of attachment for the party who is ultimately found entitled to it upon</w:t>
      </w:r>
      <w:r>
        <w:rPr>
          <w:spacing w:val="-22"/>
          <w:sz w:val="25"/>
          <w:vertAlign w:val="baseline"/>
        </w:rPr>
        <w:t> </w:t>
      </w:r>
      <w:r>
        <w:rPr>
          <w:sz w:val="25"/>
          <w:vertAlign w:val="baseline"/>
        </w:rPr>
        <w:t>adjudication.</w:t>
      </w:r>
    </w:p>
    <w:p>
      <w:pPr>
        <w:pStyle w:val="BodyText"/>
        <w:rPr>
          <w:sz w:val="28"/>
        </w:rPr>
      </w:pPr>
    </w:p>
    <w:p>
      <w:pPr>
        <w:pStyle w:val="BodyText"/>
        <w:spacing w:before="11"/>
        <w:rPr>
          <w:sz w:val="24"/>
        </w:rPr>
      </w:pPr>
    </w:p>
    <w:p>
      <w:pPr>
        <w:pStyle w:val="ListParagraph"/>
        <w:numPr>
          <w:ilvl w:val="0"/>
          <w:numId w:val="166"/>
        </w:numPr>
        <w:tabs>
          <w:tab w:pos="1221" w:val="left" w:leader="none"/>
        </w:tabs>
        <w:spacing w:line="480" w:lineRule="auto" w:before="0" w:after="0"/>
        <w:ind w:left="500" w:right="439" w:firstLine="0"/>
        <w:jc w:val="both"/>
        <w:rPr>
          <w:sz w:val="25"/>
        </w:rPr>
      </w:pPr>
      <w:r>
        <w:rPr/>
        <w:pict>
          <v:rect style="position:absolute;margin-left:72.024002pt;margin-top:148.304871pt;width:144.020pt;height:.599980pt;mso-position-horizontal-relative:page;mso-position-vertical-relative:paragraph;z-index:-15634432;mso-wrap-distance-left:0;mso-wrap-distance-right:0" filled="true" fillcolor="#000000" stroked="false">
            <v:fill type="solid"/>
            <w10:wrap type="topAndBottom"/>
          </v:rect>
        </w:pict>
      </w:r>
      <w:r>
        <w:rPr>
          <w:sz w:val="25"/>
        </w:rPr>
        <w:t>Having set out the position in law, Justice Sudhir Agarwal held that the plaint in Suit 4 has no averment that the plaintiffs were dispossessed of the property which they had already possessed. On the contrary, the plea was that by the placement of idols inside the mosque, there was an act of desecration which</w:t>
      </w:r>
      <w:r>
        <w:rPr>
          <w:spacing w:val="46"/>
          <w:sz w:val="25"/>
        </w:rPr>
        <w:t> </w:t>
      </w:r>
      <w:r>
        <w:rPr>
          <w:sz w:val="25"/>
        </w:rPr>
        <w:t>interfered</w:t>
      </w:r>
      <w:r>
        <w:rPr>
          <w:spacing w:val="47"/>
          <w:sz w:val="25"/>
        </w:rPr>
        <w:t> </w:t>
      </w:r>
      <w:r>
        <w:rPr>
          <w:sz w:val="25"/>
        </w:rPr>
        <w:t>with</w:t>
      </w:r>
      <w:r>
        <w:rPr>
          <w:spacing w:val="48"/>
          <w:sz w:val="25"/>
        </w:rPr>
        <w:t> </w:t>
      </w:r>
      <w:r>
        <w:rPr>
          <w:sz w:val="25"/>
        </w:rPr>
        <w:t>the</w:t>
      </w:r>
      <w:r>
        <w:rPr>
          <w:spacing w:val="48"/>
          <w:sz w:val="25"/>
        </w:rPr>
        <w:t> </w:t>
      </w:r>
      <w:r>
        <w:rPr>
          <w:sz w:val="25"/>
        </w:rPr>
        <w:t>right</w:t>
      </w:r>
      <w:r>
        <w:rPr>
          <w:spacing w:val="46"/>
          <w:sz w:val="25"/>
        </w:rPr>
        <w:t> </w:t>
      </w:r>
      <w:r>
        <w:rPr>
          <w:sz w:val="25"/>
        </w:rPr>
        <w:t>of</w:t>
      </w:r>
      <w:r>
        <w:rPr>
          <w:spacing w:val="48"/>
          <w:sz w:val="25"/>
        </w:rPr>
        <w:t> </w:t>
      </w:r>
      <w:r>
        <w:rPr>
          <w:sz w:val="25"/>
        </w:rPr>
        <w:t>the</w:t>
      </w:r>
      <w:r>
        <w:rPr>
          <w:spacing w:val="49"/>
          <w:sz w:val="25"/>
        </w:rPr>
        <w:t> </w:t>
      </w:r>
      <w:r>
        <w:rPr>
          <w:sz w:val="25"/>
        </w:rPr>
        <w:t>plaintiffs</w:t>
      </w:r>
      <w:r>
        <w:rPr>
          <w:spacing w:val="47"/>
          <w:sz w:val="25"/>
        </w:rPr>
        <w:t> </w:t>
      </w:r>
      <w:r>
        <w:rPr>
          <w:sz w:val="25"/>
        </w:rPr>
        <w:t>to</w:t>
      </w:r>
      <w:r>
        <w:rPr>
          <w:spacing w:val="47"/>
          <w:sz w:val="25"/>
        </w:rPr>
        <w:t> </w:t>
      </w:r>
      <w:r>
        <w:rPr>
          <w:sz w:val="25"/>
        </w:rPr>
        <w:t>worship.</w:t>
      </w:r>
      <w:r>
        <w:rPr>
          <w:spacing w:val="50"/>
          <w:sz w:val="25"/>
        </w:rPr>
        <w:t> </w:t>
      </w:r>
      <w:r>
        <w:rPr>
          <w:sz w:val="25"/>
        </w:rPr>
        <w:t>Moreover,</w:t>
      </w:r>
      <w:r>
        <w:rPr>
          <w:spacing w:val="46"/>
          <w:sz w:val="25"/>
        </w:rPr>
        <w:t> </w:t>
      </w:r>
      <w:r>
        <w:rPr>
          <w:sz w:val="25"/>
        </w:rPr>
        <w:t>the</w:t>
      </w:r>
      <w:r>
        <w:rPr>
          <w:spacing w:val="48"/>
          <w:sz w:val="25"/>
        </w:rPr>
        <w:t> </w:t>
      </w:r>
      <w:r>
        <w:rPr>
          <w:sz w:val="25"/>
        </w:rPr>
        <w:t>relief</w:t>
      </w:r>
    </w:p>
    <w:p>
      <w:pPr>
        <w:spacing w:before="80"/>
        <w:ind w:left="500" w:right="0" w:firstLine="0"/>
        <w:jc w:val="left"/>
        <w:rPr>
          <w:sz w:val="18"/>
        </w:rPr>
      </w:pPr>
      <w:r>
        <w:rPr>
          <w:sz w:val="18"/>
          <w:vertAlign w:val="superscript"/>
        </w:rPr>
        <w:t>324</w:t>
      </w:r>
      <w:r>
        <w:rPr>
          <w:sz w:val="18"/>
          <w:vertAlign w:val="baseline"/>
        </w:rPr>
        <w:t> AIR 1966 SC 359</w:t>
      </w:r>
    </w:p>
    <w:p>
      <w:pPr>
        <w:spacing w:after="0"/>
        <w:jc w:val="left"/>
        <w:rPr>
          <w:sz w:val="18"/>
        </w:rPr>
        <w:sectPr>
          <w:pgSz w:w="11910" w:h="16840"/>
          <w:pgMar w:header="721" w:footer="1014" w:top="1300" w:bottom="1200" w:left="940" w:right="1000"/>
        </w:sectPr>
      </w:pPr>
    </w:p>
    <w:p>
      <w:pPr>
        <w:pStyle w:val="BodyText"/>
        <w:spacing w:line="480" w:lineRule="auto" w:before="124"/>
        <w:ind w:left="500" w:right="439"/>
        <w:jc w:val="both"/>
      </w:pPr>
      <w:r>
        <w:rPr/>
        <w:t>which the plaintiffs sought was not for the continuation of the right of worship but a declaration of the status of the structure being a mosque. The learned judge held that the pleadings did not bring the case under Article 142 since the plea in paragraph 23 of the plaint was not sufficient to constitute a case of dispossession or discontinuance of the possession of the plaintiffs over the property in dispute. The placement of idols inside the mosque, it was held, did not constitute a dispossession or discontinuance of possession since these concepts  contemplate a total deprivation of the person who was earlier in possession. Obstruction or interference, it was held does not constitute dispossession or discontinuance of possession. Justice Sudhir Agarwal noted that if the plaintiffs had not set up the plea either that they were dispossessed or that their possession was discontinued in categorical and clear terms, the court could not provide the deficiency by reading something which was not present in the pleadings.</w:t>
      </w:r>
    </w:p>
    <w:p>
      <w:pPr>
        <w:pStyle w:val="BodyText"/>
        <w:spacing w:before="10"/>
        <w:rPr>
          <w:sz w:val="38"/>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Justice Sudhir Agarwal held that for the above reasons neither Article 47 nor Article 142 had any application. Dealing with the case under Article 120, the learned judge noted that the cause of action arose on 23 December 1949 and 29 December 1949. The suit was instituted beyond the period of limitation of six years. Hence, whether the last namaz was held on 16 or 23 December 1949, would be of no consequence. The date on which the last namaz was held would have been of some significance if Article 120 was not to apply. In the absence of the application of Articles 142 and 144, it was only Article 120 which would be attracted, and the suit was held to be barred by</w:t>
      </w:r>
      <w:r>
        <w:rPr>
          <w:spacing w:val="-11"/>
          <w:sz w:val="25"/>
        </w:rPr>
        <w:t> </w:t>
      </w:r>
      <w:r>
        <w:rPr>
          <w:sz w:val="25"/>
        </w:rPr>
        <w:t>limitation.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On whether there was a continuing wrong, Justice Sudhir Agarwal held that if the suit had been instituted for seeking relief against the obstruction of the right of worship it would probably have attracted the principle of continuing wrong in Section 23 of the Limitation Act 1908, particularly in view of the decision of the Privy Council in </w:t>
      </w:r>
      <w:r>
        <w:rPr>
          <w:b/>
        </w:rPr>
        <w:t>Sir Seth Hukum Chand </w:t>
      </w:r>
      <w:r>
        <w:rPr/>
        <w:t>v </w:t>
      </w:r>
      <w:r>
        <w:rPr>
          <w:b/>
        </w:rPr>
        <w:t>Maharaj Bahadur Singh</w:t>
      </w:r>
      <w:r>
        <w:rPr>
          <w:vertAlign w:val="superscript"/>
        </w:rPr>
        <w:t>325</w:t>
      </w:r>
      <w:r>
        <w:rPr>
          <w:vertAlign w:val="baseline"/>
        </w:rPr>
        <w:t>. However, the suit had not been instituted to seek an enforcement of the right of worship but for obtaining a declaration of status about the nature of the building in dispute as a mosque and for delivery of possession in the capacity of possessory title- holders. Justice Sudhir Agarwal held that a distinction has to be made between a continuing wrong and continuing effects of a wrong. The facts pleaded by the plaintiffs indicated that they were ousted from the disputed premises on 22/23 December 1949 and the wrong was complete once they had been dispossessed from the property. On this ground, the learned judge held that the principle of continuing wrong was not attracted. Justice Sudhir Agarwal held that the ouster  of the plaintiffs was complete with the desecration of the mosque on 23 December 1949 and hence the suit for the purpose of limitation was governed by Article 120. The suit was held to be barred by</w:t>
      </w:r>
      <w:r>
        <w:rPr>
          <w:spacing w:val="-9"/>
          <w:vertAlign w:val="baseline"/>
        </w:rPr>
        <w:t> </w:t>
      </w:r>
      <w:r>
        <w:rPr>
          <w:vertAlign w:val="baseline"/>
        </w:rPr>
        <w:t>limitation.</w:t>
      </w:r>
    </w:p>
    <w:p>
      <w:pPr>
        <w:pStyle w:val="BodyText"/>
        <w:rPr>
          <w:sz w:val="28"/>
        </w:rPr>
      </w:pPr>
    </w:p>
    <w:p>
      <w:pPr>
        <w:pStyle w:val="BodyText"/>
        <w:rPr>
          <w:sz w:val="36"/>
        </w:rPr>
      </w:pPr>
    </w:p>
    <w:p>
      <w:pPr>
        <w:pStyle w:val="BodyText"/>
        <w:spacing w:line="480" w:lineRule="auto" w:before="1"/>
        <w:ind w:left="500" w:right="438"/>
        <w:jc w:val="both"/>
        <w:rPr>
          <w:b/>
        </w:rPr>
      </w:pPr>
      <w:r>
        <w:rPr/>
        <w:t>Justice D V Sharma held that the suit had been instituted for seeking a declaration after the attachment by the Magistrate under Section 145. The suit seeking a declaration was not governed by the principle of a continuing wrong and in view of the decision of the Privy Council in </w:t>
      </w:r>
      <w:r>
        <w:rPr>
          <w:b/>
        </w:rPr>
        <w:t>Raja Rajgan Maharaja</w:t>
      </w:r>
      <w:r>
        <w:rPr>
          <w:b/>
          <w:spacing w:val="-9"/>
        </w:rPr>
        <w:t> </w:t>
      </w:r>
      <w:r>
        <w:rPr>
          <w:b/>
        </w:rPr>
        <w:t>Jagatjit</w:t>
      </w:r>
    </w:p>
    <w:p>
      <w:pPr>
        <w:pStyle w:val="BodyText"/>
        <w:rPr>
          <w:b/>
          <w:sz w:val="20"/>
        </w:rPr>
      </w:pPr>
    </w:p>
    <w:p>
      <w:pPr>
        <w:pStyle w:val="BodyText"/>
        <w:rPr>
          <w:b/>
          <w:sz w:val="20"/>
        </w:rPr>
      </w:pPr>
    </w:p>
    <w:p>
      <w:pPr>
        <w:pStyle w:val="BodyText"/>
        <w:spacing w:before="3"/>
        <w:rPr>
          <w:b/>
          <w:sz w:val="28"/>
        </w:rPr>
      </w:pPr>
      <w:r>
        <w:rPr/>
        <w:pict>
          <v:rect style="position:absolute;margin-left:72.024002pt;margin-top:18.234766pt;width:144.020pt;height:.599980pt;mso-position-horizontal-relative:page;mso-position-vertical-relative:paragraph;z-index:-1563392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325</w:t>
      </w:r>
      <w:r>
        <w:rPr>
          <w:sz w:val="18"/>
          <w:vertAlign w:val="baseline"/>
        </w:rPr>
        <w:t>(1933) 38 LW 306 (PC)</w:t>
      </w:r>
    </w:p>
    <w:p>
      <w:pPr>
        <w:spacing w:after="0"/>
        <w:jc w:val="left"/>
        <w:rPr>
          <w:sz w:val="18"/>
        </w:rPr>
        <w:sectPr>
          <w:pgSz w:w="11910" w:h="16840"/>
          <w:pgMar w:header="721" w:footer="1014" w:top="1300" w:bottom="1200" w:left="940" w:right="1000"/>
        </w:sectPr>
      </w:pPr>
    </w:p>
    <w:p>
      <w:pPr>
        <w:pStyle w:val="BodyText"/>
        <w:spacing w:line="480" w:lineRule="auto" w:before="121"/>
        <w:ind w:left="500" w:right="439"/>
        <w:jc w:val="both"/>
      </w:pPr>
      <w:r>
        <w:rPr>
          <w:b/>
        </w:rPr>
        <w:t>Singh </w:t>
      </w:r>
      <w:r>
        <w:rPr/>
        <w:t>v </w:t>
      </w:r>
      <w:r>
        <w:rPr>
          <w:b/>
        </w:rPr>
        <w:t>Raja Partab Bahadur Singh</w:t>
      </w:r>
      <w:r>
        <w:rPr>
          <w:b/>
          <w:vertAlign w:val="superscript"/>
        </w:rPr>
        <w:t>326</w:t>
      </w:r>
      <w:r>
        <w:rPr>
          <w:vertAlign w:val="baseline"/>
        </w:rPr>
        <w:t>, it was Article 120 that would apply. Hence, the learned judge held that neither Article 142 nor Article 144 had any application. The learned judge also held that though the suit had been instituted in 1961, it was amended after 33 years (in 1995), to seek possession and to bring it within the purview of Articles 142 and 144. On these grounds the suit was held to be barred by</w:t>
      </w:r>
      <w:r>
        <w:rPr>
          <w:spacing w:val="-3"/>
          <w:vertAlign w:val="baseline"/>
        </w:rPr>
        <w:t> </w:t>
      </w:r>
      <w:r>
        <w:rPr>
          <w:vertAlign w:val="baseline"/>
        </w:rPr>
        <w:t>limitation.</w:t>
      </w:r>
    </w:p>
    <w:p>
      <w:pPr>
        <w:pStyle w:val="BodyText"/>
        <w:spacing w:before="3"/>
      </w:pPr>
    </w:p>
    <w:p>
      <w:pPr>
        <w:pStyle w:val="BodyText"/>
        <w:spacing w:line="480" w:lineRule="auto"/>
        <w:ind w:left="500" w:right="442"/>
        <w:jc w:val="both"/>
      </w:pPr>
      <w:r>
        <w:rPr/>
        <w:t>Justice S U Khan held to the contrary and was of the view that Suit 4 was within limitation. The learned judge indicated five reasons for holding that Suits 3, 4, and 5 were not barred by limitation which have already been adverted to earlier.</w:t>
      </w:r>
    </w:p>
    <w:p>
      <w:pPr>
        <w:pStyle w:val="BodyText"/>
        <w:spacing w:before="1"/>
      </w:pPr>
    </w:p>
    <w:p>
      <w:pPr>
        <w:pStyle w:val="BodyText"/>
        <w:spacing w:line="480" w:lineRule="auto"/>
        <w:ind w:left="500" w:right="440"/>
        <w:jc w:val="both"/>
      </w:pPr>
      <w:r>
        <w:rPr/>
        <w:t>Thus, by a majority (Justice Sudhir Agarwal and Justice D V Sharma), the suit was held to be barred by limitation; Justice S U Khan holding a contrary view on this issue.</w:t>
      </w:r>
    </w:p>
    <w:p>
      <w:pPr>
        <w:pStyle w:val="BodyText"/>
        <w:spacing w:before="11"/>
        <w:rPr>
          <w:sz w:val="24"/>
        </w:rPr>
      </w:pPr>
    </w:p>
    <w:p>
      <w:pPr>
        <w:spacing w:before="0"/>
        <w:ind w:left="500" w:right="0" w:firstLine="0"/>
        <w:jc w:val="both"/>
        <w:rPr>
          <w:i/>
          <w:sz w:val="25"/>
        </w:rPr>
      </w:pPr>
      <w:r>
        <w:rPr>
          <w:i/>
          <w:sz w:val="25"/>
        </w:rPr>
        <w:t>Submissions of counsel</w:t>
      </w:r>
    </w:p>
    <w:p>
      <w:pPr>
        <w:pStyle w:val="BodyText"/>
        <w:rPr>
          <w:i/>
          <w:sz w:val="28"/>
        </w:rPr>
      </w:pPr>
    </w:p>
    <w:p>
      <w:pPr>
        <w:pStyle w:val="BodyText"/>
        <w:spacing w:before="10"/>
        <w:rPr>
          <w:i/>
          <w:sz w:val="21"/>
        </w:rPr>
      </w:pPr>
    </w:p>
    <w:p>
      <w:pPr>
        <w:pStyle w:val="ListParagraph"/>
        <w:numPr>
          <w:ilvl w:val="0"/>
          <w:numId w:val="166"/>
        </w:numPr>
        <w:tabs>
          <w:tab w:pos="1221" w:val="left" w:leader="none"/>
        </w:tabs>
        <w:spacing w:line="480" w:lineRule="auto" w:before="1" w:after="0"/>
        <w:ind w:left="500" w:right="437" w:firstLine="0"/>
        <w:jc w:val="both"/>
        <w:rPr>
          <w:sz w:val="25"/>
        </w:rPr>
      </w:pPr>
      <w:r>
        <w:rPr>
          <w:sz w:val="25"/>
        </w:rPr>
        <w:t>During the course of the arguments before this Court, Mr K Parasaran, learned Senior Counsel appearing on behalf of the plaintiffs in Suit 5, submitted that Suit 4 would be governed by Article 120 of the Limitation Act alone and that neither Articles 142 nor 144 would apply. This submission is sought to be supported on the basis of the following</w:t>
      </w:r>
      <w:r>
        <w:rPr>
          <w:spacing w:val="-5"/>
          <w:sz w:val="25"/>
        </w:rPr>
        <w:t> </w:t>
      </w:r>
      <w:r>
        <w:rPr>
          <w:sz w:val="25"/>
        </w:rPr>
        <w:t>propositions:</w:t>
      </w:r>
    </w:p>
    <w:p>
      <w:pPr>
        <w:pStyle w:val="ListParagraph"/>
        <w:numPr>
          <w:ilvl w:val="0"/>
          <w:numId w:val="210"/>
        </w:numPr>
        <w:tabs>
          <w:tab w:pos="1221" w:val="left" w:leader="none"/>
        </w:tabs>
        <w:spacing w:line="480" w:lineRule="auto" w:before="161" w:after="0"/>
        <w:ind w:left="1220" w:right="443" w:hanging="720"/>
        <w:jc w:val="both"/>
        <w:rPr>
          <w:sz w:val="25"/>
        </w:rPr>
      </w:pPr>
      <w:r>
        <w:rPr>
          <w:sz w:val="25"/>
        </w:rPr>
        <w:t>The primary relief which has been sought in Suit 4 (prayer (a)) is a declaration that the property in dispute is a public mosque and hence, the suit does not seek a declaration for the enforcement of the right of</w:t>
      </w:r>
      <w:r>
        <w:rPr>
          <w:spacing w:val="-28"/>
          <w:sz w:val="25"/>
        </w:rPr>
        <w:t> </w:t>
      </w:r>
      <w:r>
        <w:rPr>
          <w:sz w:val="25"/>
        </w:rPr>
        <w:t>worship;</w:t>
      </w:r>
    </w:p>
    <w:p>
      <w:pPr>
        <w:pStyle w:val="BodyText"/>
        <w:spacing w:before="4"/>
        <w:rPr>
          <w:sz w:val="18"/>
        </w:rPr>
      </w:pPr>
      <w:r>
        <w:rPr/>
        <w:pict>
          <v:rect style="position:absolute;margin-left:72.024002pt;margin-top:12.534473pt;width:144.020pt;height:.599980pt;mso-position-horizontal-relative:page;mso-position-vertical-relative:paragraph;z-index:-1563340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326</w:t>
      </w:r>
      <w:r>
        <w:rPr>
          <w:sz w:val="18"/>
          <w:vertAlign w:val="baseline"/>
        </w:rPr>
        <w:t> AIR 1942 PC 47</w:t>
      </w:r>
    </w:p>
    <w:p>
      <w:pPr>
        <w:spacing w:after="0"/>
        <w:jc w:val="left"/>
        <w:rPr>
          <w:sz w:val="18"/>
        </w:rPr>
        <w:sectPr>
          <w:headerReference w:type="default" r:id="rId180"/>
          <w:footerReference w:type="default" r:id="rId181"/>
          <w:pgSz w:w="11910" w:h="16840"/>
          <w:pgMar w:header="721" w:footer="1014" w:top="1300" w:bottom="1200" w:left="940" w:right="1000"/>
          <w:pgNumType w:start="744"/>
        </w:sectPr>
      </w:pPr>
    </w:p>
    <w:p>
      <w:pPr>
        <w:pStyle w:val="ListParagraph"/>
        <w:numPr>
          <w:ilvl w:val="0"/>
          <w:numId w:val="210"/>
        </w:numPr>
        <w:tabs>
          <w:tab w:pos="1221" w:val="left" w:leader="none"/>
        </w:tabs>
        <w:spacing w:line="480" w:lineRule="auto" w:before="124" w:after="0"/>
        <w:ind w:left="1220" w:right="438" w:hanging="720"/>
        <w:jc w:val="both"/>
        <w:rPr>
          <w:sz w:val="25"/>
        </w:rPr>
      </w:pPr>
      <w:r>
        <w:rPr>
          <w:sz w:val="25"/>
        </w:rPr>
        <w:t>When a suit is filed for a declaration of title to property which is attached under Section 145, it is not necessary to seek further relief for the delivery of possession since the defendant is not in possession and is not in a position to deliver possession. The property under attachment being </w:t>
      </w:r>
      <w:r>
        <w:rPr>
          <w:i/>
          <w:sz w:val="25"/>
        </w:rPr>
        <w:t>custodia legis, </w:t>
      </w:r>
      <w:r>
        <w:rPr>
          <w:sz w:val="25"/>
        </w:rPr>
        <w:t>the receiver is bound to hand over possession to whoever is held to be entitled as a result of the civil</w:t>
      </w:r>
      <w:r>
        <w:rPr>
          <w:spacing w:val="-9"/>
          <w:sz w:val="25"/>
        </w:rPr>
        <w:t> </w:t>
      </w:r>
      <w:r>
        <w:rPr>
          <w:sz w:val="25"/>
        </w:rPr>
        <w:t>adjudication;</w:t>
      </w:r>
    </w:p>
    <w:p>
      <w:pPr>
        <w:pStyle w:val="ListParagraph"/>
        <w:numPr>
          <w:ilvl w:val="0"/>
          <w:numId w:val="210"/>
        </w:numPr>
        <w:tabs>
          <w:tab w:pos="1221" w:val="left" w:leader="none"/>
        </w:tabs>
        <w:spacing w:line="480" w:lineRule="auto" w:before="0" w:after="0"/>
        <w:ind w:left="1220" w:right="446" w:hanging="720"/>
        <w:jc w:val="both"/>
        <w:rPr>
          <w:sz w:val="25"/>
        </w:rPr>
      </w:pPr>
      <w:r>
        <w:rPr>
          <w:sz w:val="25"/>
        </w:rPr>
        <w:t>A prayer seeking possession was not necessary since the property was </w:t>
      </w:r>
      <w:r>
        <w:rPr>
          <w:i/>
          <w:sz w:val="25"/>
        </w:rPr>
        <w:t>custodia legis </w:t>
      </w:r>
      <w:r>
        <w:rPr>
          <w:sz w:val="25"/>
        </w:rPr>
        <w:t>since December 1949 and the prayer was introduced only to circumvent the period of limitation of six years imposed by Article</w:t>
      </w:r>
      <w:r>
        <w:rPr>
          <w:spacing w:val="-12"/>
          <w:sz w:val="25"/>
        </w:rPr>
        <w:t> </w:t>
      </w:r>
      <w:r>
        <w:rPr>
          <w:sz w:val="25"/>
        </w:rPr>
        <w:t>120;</w:t>
      </w:r>
    </w:p>
    <w:p>
      <w:pPr>
        <w:pStyle w:val="ListParagraph"/>
        <w:numPr>
          <w:ilvl w:val="0"/>
          <w:numId w:val="210"/>
        </w:numPr>
        <w:tabs>
          <w:tab w:pos="1221" w:val="left" w:leader="none"/>
        </w:tabs>
        <w:spacing w:line="240" w:lineRule="auto" w:before="0" w:after="0"/>
        <w:ind w:left="1220" w:right="0" w:hanging="721"/>
        <w:jc w:val="both"/>
        <w:rPr>
          <w:sz w:val="25"/>
        </w:rPr>
      </w:pPr>
      <w:r>
        <w:rPr>
          <w:sz w:val="25"/>
        </w:rPr>
        <w:t>Statutes of limitation are statutes of</w:t>
      </w:r>
      <w:r>
        <w:rPr>
          <w:spacing w:val="-3"/>
          <w:sz w:val="25"/>
        </w:rPr>
        <w:t> </w:t>
      </w:r>
      <w:r>
        <w:rPr>
          <w:sz w:val="25"/>
        </w:rPr>
        <w:t>repose;</w:t>
      </w:r>
    </w:p>
    <w:p>
      <w:pPr>
        <w:pStyle w:val="BodyText"/>
        <w:spacing w:before="1"/>
      </w:pPr>
    </w:p>
    <w:p>
      <w:pPr>
        <w:pStyle w:val="ListParagraph"/>
        <w:numPr>
          <w:ilvl w:val="0"/>
          <w:numId w:val="210"/>
        </w:numPr>
        <w:tabs>
          <w:tab w:pos="1221" w:val="left" w:leader="none"/>
        </w:tabs>
        <w:spacing w:line="480" w:lineRule="auto" w:before="0" w:after="0"/>
        <w:ind w:left="1220" w:right="443" w:hanging="720"/>
        <w:jc w:val="both"/>
        <w:rPr>
          <w:sz w:val="25"/>
        </w:rPr>
      </w:pPr>
      <w:r>
        <w:rPr>
          <w:sz w:val="25"/>
        </w:rPr>
        <w:t>The period of six years under Article 120 has to be computed from the date when the right to sue accrues and there is no right to sue unless there is an accrual of the right asserted in the suit and an infringement or a clear and unequivocal intention to infringe the</w:t>
      </w:r>
      <w:r>
        <w:rPr>
          <w:spacing w:val="-5"/>
          <w:sz w:val="25"/>
        </w:rPr>
        <w:t> </w:t>
      </w:r>
      <w:r>
        <w:rPr>
          <w:sz w:val="25"/>
        </w:rPr>
        <w:t>right;</w:t>
      </w:r>
    </w:p>
    <w:p>
      <w:pPr>
        <w:pStyle w:val="ListParagraph"/>
        <w:numPr>
          <w:ilvl w:val="0"/>
          <w:numId w:val="210"/>
        </w:numPr>
        <w:tabs>
          <w:tab w:pos="1221" w:val="left" w:leader="none"/>
        </w:tabs>
        <w:spacing w:line="480" w:lineRule="auto" w:before="0" w:after="0"/>
        <w:ind w:left="1220" w:right="436" w:hanging="720"/>
        <w:jc w:val="both"/>
        <w:rPr>
          <w:sz w:val="25"/>
        </w:rPr>
      </w:pPr>
      <w:r>
        <w:rPr>
          <w:sz w:val="25"/>
        </w:rPr>
        <w:t>The cause of action as pleaded in paragraph 23 of the plaint is stated to have arisen on 23 December 1949 when the Hindus unlawfully entered the mosque and desecrated it by placing idols inside, thus causing an interference in the offering of prayers by</w:t>
      </w:r>
      <w:r>
        <w:rPr>
          <w:spacing w:val="-5"/>
          <w:sz w:val="25"/>
        </w:rPr>
        <w:t> </w:t>
      </w:r>
      <w:r>
        <w:rPr>
          <w:sz w:val="25"/>
        </w:rPr>
        <w:t>Muslims;</w:t>
      </w:r>
    </w:p>
    <w:p>
      <w:pPr>
        <w:pStyle w:val="ListParagraph"/>
        <w:numPr>
          <w:ilvl w:val="0"/>
          <w:numId w:val="210"/>
        </w:numPr>
        <w:tabs>
          <w:tab w:pos="1221" w:val="left" w:leader="none"/>
        </w:tabs>
        <w:spacing w:line="480" w:lineRule="auto" w:before="0" w:after="0"/>
        <w:ind w:left="1220" w:right="437" w:hanging="720"/>
        <w:jc w:val="both"/>
        <w:rPr>
          <w:sz w:val="25"/>
        </w:rPr>
      </w:pPr>
      <w:r>
        <w:rPr>
          <w:sz w:val="25"/>
        </w:rPr>
        <w:t>The case of the plaintiffs is that the injury which was sustained was of a continuing nature and not the wrong, which was complete on the date of the desecration. The bar of limitation is sought to be overcome by alleging that the cause of action is renewed by virtue of a continuing</w:t>
      </w:r>
      <w:r>
        <w:rPr>
          <w:spacing w:val="-13"/>
          <w:sz w:val="25"/>
        </w:rPr>
        <w:t> </w:t>
      </w:r>
      <w:r>
        <w:rPr>
          <w:sz w:val="25"/>
        </w:rPr>
        <w:t>wrong;</w:t>
      </w:r>
    </w:p>
    <w:p>
      <w:pPr>
        <w:pStyle w:val="ListParagraph"/>
        <w:numPr>
          <w:ilvl w:val="0"/>
          <w:numId w:val="210"/>
        </w:numPr>
        <w:tabs>
          <w:tab w:pos="1221" w:val="left" w:leader="none"/>
        </w:tabs>
        <w:spacing w:line="482" w:lineRule="auto" w:before="0" w:after="0"/>
        <w:ind w:left="1220" w:right="439" w:hanging="720"/>
        <w:jc w:val="both"/>
        <w:rPr>
          <w:sz w:val="25"/>
        </w:rPr>
      </w:pPr>
      <w:r>
        <w:rPr>
          <w:sz w:val="25"/>
        </w:rPr>
        <w:t>In the present case, there can be no question of a continuing wrong since the property was </w:t>
      </w:r>
      <w:r>
        <w:rPr>
          <w:i/>
          <w:sz w:val="25"/>
        </w:rPr>
        <w:t>custodia legis. </w:t>
      </w:r>
      <w:r>
        <w:rPr>
          <w:sz w:val="25"/>
        </w:rPr>
        <w:t>Hence, even assuming (without</w:t>
      </w:r>
      <w:r>
        <w:rPr>
          <w:spacing w:val="67"/>
          <w:sz w:val="25"/>
        </w:rPr>
        <w:t> </w:t>
      </w:r>
      <w:r>
        <w:rPr>
          <w:sz w:val="25"/>
        </w:rPr>
        <w:t>admitting)</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1220" w:right="446"/>
        <w:jc w:val="both"/>
      </w:pPr>
      <w:r>
        <w:rPr/>
        <w:t>that the placement of the idols under the central dome was a continuing wrong, it came to an end upon the attachment of the property; and</w:t>
      </w:r>
    </w:p>
    <w:p>
      <w:pPr>
        <w:pStyle w:val="ListParagraph"/>
        <w:numPr>
          <w:ilvl w:val="0"/>
          <w:numId w:val="210"/>
        </w:numPr>
        <w:tabs>
          <w:tab w:pos="1221" w:val="left" w:leader="none"/>
        </w:tabs>
        <w:spacing w:line="480" w:lineRule="auto" w:before="0" w:after="0"/>
        <w:ind w:left="1220" w:right="439" w:hanging="720"/>
        <w:jc w:val="both"/>
        <w:rPr>
          <w:sz w:val="25"/>
        </w:rPr>
      </w:pPr>
      <w:r>
        <w:rPr>
          <w:sz w:val="25"/>
        </w:rPr>
        <w:t>The cause of action arose when the idols were placed in the inner courtyard. This arose even before the proceedings under Section 145 and hence, the fact that the Magistrate has not passed any final order would not lead to limitation ceasing to</w:t>
      </w:r>
      <w:r>
        <w:rPr>
          <w:spacing w:val="-5"/>
          <w:sz w:val="25"/>
        </w:rPr>
        <w:t> </w:t>
      </w:r>
      <w:r>
        <w:rPr>
          <w:sz w:val="25"/>
        </w:rPr>
        <w:t>run.</w:t>
      </w:r>
    </w:p>
    <w:p>
      <w:pPr>
        <w:pStyle w:val="BodyText"/>
        <w:spacing w:before="2"/>
      </w:pPr>
    </w:p>
    <w:p>
      <w:pPr>
        <w:pStyle w:val="Heading4"/>
        <w:jc w:val="left"/>
        <w:rPr>
          <w:i/>
        </w:rPr>
      </w:pPr>
      <w:r>
        <w:rPr>
          <w:i/>
        </w:rPr>
        <w:t>Analysis</w:t>
      </w:r>
    </w:p>
    <w:p>
      <w:pPr>
        <w:pStyle w:val="BodyText"/>
        <w:rPr>
          <w:i/>
          <w:sz w:val="28"/>
        </w:rPr>
      </w:pPr>
    </w:p>
    <w:p>
      <w:pPr>
        <w:pStyle w:val="BodyText"/>
        <w:spacing w:before="10"/>
        <w:rPr>
          <w:i/>
          <w:sz w:val="23"/>
        </w:rPr>
      </w:pPr>
    </w:p>
    <w:p>
      <w:pPr>
        <w:pStyle w:val="ListParagraph"/>
        <w:numPr>
          <w:ilvl w:val="0"/>
          <w:numId w:val="166"/>
        </w:numPr>
        <w:tabs>
          <w:tab w:pos="1221" w:val="left" w:leader="none"/>
        </w:tabs>
        <w:spacing w:line="480" w:lineRule="auto" w:before="0" w:after="0"/>
        <w:ind w:left="500" w:right="442" w:firstLine="0"/>
        <w:jc w:val="both"/>
        <w:rPr>
          <w:sz w:val="25"/>
        </w:rPr>
      </w:pPr>
      <w:r>
        <w:rPr>
          <w:sz w:val="25"/>
        </w:rPr>
        <w:t>Both the Limitation Act 1908 and its successor, the Limitation Act of 1963 are statutes of repose. Extensions or exceptions to limitation are stipulated in the statute. These provisions</w:t>
      </w:r>
      <w:r>
        <w:rPr>
          <w:spacing w:val="-4"/>
          <w:sz w:val="25"/>
        </w:rPr>
        <w:t> </w:t>
      </w:r>
      <w:r>
        <w:rPr>
          <w:sz w:val="25"/>
        </w:rPr>
        <w:t>include:</w:t>
      </w:r>
    </w:p>
    <w:p>
      <w:pPr>
        <w:pStyle w:val="ListParagraph"/>
        <w:numPr>
          <w:ilvl w:val="0"/>
          <w:numId w:val="211"/>
        </w:numPr>
        <w:tabs>
          <w:tab w:pos="1221" w:val="left" w:leader="none"/>
        </w:tabs>
        <w:spacing w:line="240" w:lineRule="auto" w:before="160" w:after="0"/>
        <w:ind w:left="1220" w:right="0" w:hanging="721"/>
        <w:jc w:val="both"/>
        <w:rPr>
          <w:sz w:val="25"/>
        </w:rPr>
      </w:pPr>
      <w:r>
        <w:rPr>
          <w:sz w:val="25"/>
        </w:rPr>
        <w:t>Sections 4 – 11 (part</w:t>
      </w:r>
      <w:r>
        <w:rPr>
          <w:spacing w:val="-2"/>
          <w:sz w:val="25"/>
        </w:rPr>
        <w:t> </w:t>
      </w:r>
      <w:r>
        <w:rPr>
          <w:sz w:val="25"/>
        </w:rPr>
        <w:t>II)</w:t>
      </w:r>
    </w:p>
    <w:p>
      <w:pPr>
        <w:pStyle w:val="BodyText"/>
      </w:pPr>
    </w:p>
    <w:p>
      <w:pPr>
        <w:pStyle w:val="ListParagraph"/>
        <w:numPr>
          <w:ilvl w:val="0"/>
          <w:numId w:val="211"/>
        </w:numPr>
        <w:tabs>
          <w:tab w:pos="1221" w:val="left" w:leader="none"/>
        </w:tabs>
        <w:spacing w:line="240" w:lineRule="auto" w:before="1" w:after="0"/>
        <w:ind w:left="1220" w:right="0" w:hanging="721"/>
        <w:jc w:val="both"/>
        <w:rPr>
          <w:sz w:val="25"/>
        </w:rPr>
      </w:pPr>
      <w:r>
        <w:rPr>
          <w:sz w:val="25"/>
        </w:rPr>
        <w:t>Sections 12-25 (part III) dealing with computation of the period of</w:t>
      </w:r>
      <w:r>
        <w:rPr>
          <w:spacing w:val="-13"/>
          <w:sz w:val="25"/>
        </w:rPr>
        <w:t> </w:t>
      </w:r>
      <w:r>
        <w:rPr>
          <w:sz w:val="25"/>
        </w:rPr>
        <w:t>limitation;</w:t>
      </w:r>
    </w:p>
    <w:p>
      <w:pPr>
        <w:pStyle w:val="BodyText"/>
        <w:spacing w:before="10"/>
        <w:rPr>
          <w:sz w:val="24"/>
        </w:rPr>
      </w:pPr>
    </w:p>
    <w:p>
      <w:pPr>
        <w:pStyle w:val="ListParagraph"/>
        <w:numPr>
          <w:ilvl w:val="0"/>
          <w:numId w:val="211"/>
        </w:numPr>
        <w:tabs>
          <w:tab w:pos="1221" w:val="left" w:leader="none"/>
        </w:tabs>
        <w:spacing w:line="240" w:lineRule="auto" w:before="0" w:after="0"/>
        <w:ind w:left="1220" w:right="0" w:hanging="721"/>
        <w:jc w:val="both"/>
        <w:rPr>
          <w:sz w:val="25"/>
        </w:rPr>
      </w:pPr>
      <w:r>
        <w:rPr>
          <w:sz w:val="25"/>
        </w:rPr>
        <w:t>Section 26 (acquisition of the right of easement in 20 years);</w:t>
      </w:r>
      <w:r>
        <w:rPr>
          <w:spacing w:val="-10"/>
          <w:sz w:val="25"/>
        </w:rPr>
        <w:t> </w:t>
      </w:r>
      <w:r>
        <w:rPr>
          <w:sz w:val="25"/>
        </w:rPr>
        <w:t>and</w:t>
      </w:r>
    </w:p>
    <w:p>
      <w:pPr>
        <w:pStyle w:val="BodyText"/>
        <w:spacing w:before="1"/>
      </w:pPr>
    </w:p>
    <w:p>
      <w:pPr>
        <w:pStyle w:val="ListParagraph"/>
        <w:numPr>
          <w:ilvl w:val="0"/>
          <w:numId w:val="211"/>
        </w:numPr>
        <w:tabs>
          <w:tab w:pos="1221" w:val="left" w:leader="none"/>
        </w:tabs>
        <w:spacing w:line="480" w:lineRule="auto" w:before="0" w:after="0"/>
        <w:ind w:left="1220" w:right="445" w:hanging="720"/>
        <w:jc w:val="both"/>
        <w:rPr>
          <w:sz w:val="25"/>
        </w:rPr>
      </w:pPr>
      <w:r>
        <w:rPr>
          <w:sz w:val="25"/>
        </w:rPr>
        <w:t>Section 27 (modification of 20 years for a reversioner of servient tenement).</w:t>
      </w:r>
    </w:p>
    <w:p>
      <w:pPr>
        <w:pStyle w:val="BodyText"/>
        <w:rPr>
          <w:sz w:val="28"/>
        </w:rPr>
      </w:pPr>
    </w:p>
    <w:p>
      <w:pPr>
        <w:pStyle w:val="BodyText"/>
        <w:spacing w:before="4"/>
        <w:rPr>
          <w:sz w:val="22"/>
        </w:rPr>
      </w:pPr>
    </w:p>
    <w:p>
      <w:pPr>
        <w:pStyle w:val="Heading4"/>
        <w:jc w:val="left"/>
        <w:rPr>
          <w:i/>
        </w:rPr>
      </w:pPr>
      <w:r>
        <w:rPr>
          <w:i/>
        </w:rPr>
        <w:t>Article 47</w:t>
      </w:r>
    </w:p>
    <w:p>
      <w:pPr>
        <w:pStyle w:val="BodyText"/>
        <w:rPr>
          <w:i/>
          <w:sz w:val="28"/>
        </w:rPr>
      </w:pPr>
    </w:p>
    <w:p>
      <w:pPr>
        <w:pStyle w:val="BodyText"/>
        <w:spacing w:before="7"/>
        <w:rPr>
          <w:i/>
          <w:sz w:val="23"/>
        </w:rPr>
      </w:pPr>
    </w:p>
    <w:p>
      <w:pPr>
        <w:pStyle w:val="ListParagraph"/>
        <w:numPr>
          <w:ilvl w:val="0"/>
          <w:numId w:val="166"/>
        </w:numPr>
        <w:tabs>
          <w:tab w:pos="1221" w:val="left" w:leader="none"/>
        </w:tabs>
        <w:spacing w:line="480" w:lineRule="auto" w:before="0" w:after="0"/>
        <w:ind w:left="500" w:right="440" w:firstLine="0"/>
        <w:jc w:val="both"/>
        <w:rPr>
          <w:sz w:val="25"/>
        </w:rPr>
      </w:pPr>
      <w:r>
        <w:rPr>
          <w:sz w:val="25"/>
        </w:rPr>
        <w:t>Article 47 of the Limitation Act 1908 applies to a suit by a person bound by </w:t>
      </w:r>
      <w:r>
        <w:rPr>
          <w:spacing w:val="-1"/>
          <w:w w:val="99"/>
          <w:sz w:val="25"/>
        </w:rPr>
        <w:t>a</w:t>
      </w:r>
      <w:r>
        <w:rPr>
          <w:w w:val="99"/>
          <w:sz w:val="25"/>
        </w:rPr>
        <w:t>n</w:t>
      </w:r>
      <w:r>
        <w:rPr>
          <w:sz w:val="25"/>
        </w:rPr>
        <w:t> </w:t>
      </w:r>
      <w:r>
        <w:rPr>
          <w:spacing w:val="-24"/>
          <w:sz w:val="25"/>
        </w:rPr>
        <w:t> </w:t>
      </w:r>
      <w:r>
        <w:rPr>
          <w:spacing w:val="-1"/>
          <w:w w:val="99"/>
          <w:sz w:val="25"/>
        </w:rPr>
        <w:t>o</w:t>
      </w:r>
      <w:r>
        <w:rPr>
          <w:w w:val="99"/>
          <w:sz w:val="25"/>
        </w:rPr>
        <w:t>r</w:t>
      </w:r>
      <w:r>
        <w:rPr>
          <w:spacing w:val="-1"/>
          <w:w w:val="99"/>
          <w:sz w:val="25"/>
        </w:rPr>
        <w:t>d</w:t>
      </w:r>
      <w:r>
        <w:rPr>
          <w:w w:val="99"/>
          <w:sz w:val="25"/>
        </w:rPr>
        <w:t>er</w:t>
      </w:r>
      <w:r>
        <w:rPr>
          <w:sz w:val="25"/>
        </w:rPr>
        <w:t> </w:t>
      </w:r>
      <w:r>
        <w:rPr>
          <w:spacing w:val="-24"/>
          <w:sz w:val="25"/>
        </w:rPr>
        <w:t> </w:t>
      </w:r>
      <w:r>
        <w:rPr>
          <w:w w:val="33"/>
          <w:sz w:val="25"/>
        </w:rPr>
        <w:t>―</w:t>
      </w:r>
      <w:r>
        <w:rPr>
          <w:w w:val="99"/>
          <w:sz w:val="25"/>
        </w:rPr>
        <w:t>r</w:t>
      </w:r>
      <w:r>
        <w:rPr>
          <w:spacing w:val="-1"/>
          <w:w w:val="99"/>
          <w:sz w:val="25"/>
        </w:rPr>
        <w:t>es</w:t>
      </w:r>
      <w:r>
        <w:rPr>
          <w:w w:val="99"/>
          <w:sz w:val="25"/>
        </w:rPr>
        <w:t>p</w:t>
      </w:r>
      <w:r>
        <w:rPr>
          <w:spacing w:val="-1"/>
          <w:w w:val="99"/>
          <w:sz w:val="25"/>
        </w:rPr>
        <w:t>ecti</w:t>
      </w:r>
      <w:r>
        <w:rPr>
          <w:w w:val="99"/>
          <w:sz w:val="25"/>
        </w:rPr>
        <w:t>ng</w:t>
      </w:r>
      <w:r>
        <w:rPr>
          <w:sz w:val="25"/>
        </w:rPr>
        <w:t> </w:t>
      </w:r>
      <w:r>
        <w:rPr>
          <w:spacing w:val="-26"/>
          <w:sz w:val="25"/>
        </w:rPr>
        <w:t> </w:t>
      </w:r>
      <w:r>
        <w:rPr>
          <w:w w:val="99"/>
          <w:sz w:val="25"/>
        </w:rPr>
        <w:t>the</w:t>
      </w:r>
      <w:r>
        <w:rPr>
          <w:sz w:val="25"/>
        </w:rPr>
        <w:t> </w:t>
      </w:r>
      <w:r>
        <w:rPr>
          <w:spacing w:val="-24"/>
          <w:sz w:val="25"/>
        </w:rPr>
        <w:t> </w:t>
      </w:r>
      <w:r>
        <w:rPr>
          <w:spacing w:val="-1"/>
          <w:w w:val="99"/>
          <w:sz w:val="25"/>
        </w:rPr>
        <w:t>p</w:t>
      </w:r>
      <w:r>
        <w:rPr>
          <w:w w:val="99"/>
          <w:sz w:val="25"/>
        </w:rPr>
        <w:t>ossession</w:t>
      </w:r>
      <w:r>
        <w:rPr>
          <w:sz w:val="25"/>
        </w:rPr>
        <w:t> </w:t>
      </w:r>
      <w:r>
        <w:rPr>
          <w:spacing w:val="-24"/>
          <w:sz w:val="25"/>
        </w:rPr>
        <w:t> </w:t>
      </w:r>
      <w:r>
        <w:rPr>
          <w:spacing w:val="-1"/>
          <w:w w:val="99"/>
          <w:sz w:val="25"/>
        </w:rPr>
        <w:t>o</w:t>
      </w:r>
      <w:r>
        <w:rPr>
          <w:w w:val="99"/>
          <w:sz w:val="25"/>
        </w:rPr>
        <w:t>f</w:t>
      </w:r>
      <w:r>
        <w:rPr>
          <w:sz w:val="25"/>
        </w:rPr>
        <w:t> </w:t>
      </w:r>
      <w:r>
        <w:rPr>
          <w:spacing w:val="-24"/>
          <w:sz w:val="25"/>
        </w:rPr>
        <w:t> </w:t>
      </w:r>
      <w:r>
        <w:rPr>
          <w:spacing w:val="-1"/>
          <w:w w:val="99"/>
          <w:sz w:val="25"/>
        </w:rPr>
        <w:t>i</w:t>
      </w:r>
      <w:r>
        <w:rPr>
          <w:spacing w:val="2"/>
          <w:w w:val="99"/>
          <w:sz w:val="25"/>
        </w:rPr>
        <w:t>m</w:t>
      </w:r>
      <w:r>
        <w:rPr>
          <w:w w:val="99"/>
          <w:sz w:val="25"/>
        </w:rPr>
        <w:t>m</w:t>
      </w:r>
      <w:r>
        <w:rPr>
          <w:spacing w:val="-1"/>
          <w:w w:val="99"/>
          <w:sz w:val="25"/>
        </w:rPr>
        <w:t>o</w:t>
      </w:r>
      <w:r>
        <w:rPr>
          <w:spacing w:val="-3"/>
          <w:w w:val="99"/>
          <w:sz w:val="25"/>
        </w:rPr>
        <w:t>v</w:t>
      </w:r>
      <w:r>
        <w:rPr>
          <w:spacing w:val="-1"/>
          <w:w w:val="99"/>
          <w:sz w:val="25"/>
        </w:rPr>
        <w:t>e</w:t>
      </w:r>
      <w:r>
        <w:rPr>
          <w:w w:val="99"/>
          <w:sz w:val="25"/>
        </w:rPr>
        <w:t>a</w:t>
      </w:r>
      <w:r>
        <w:rPr>
          <w:spacing w:val="-1"/>
          <w:w w:val="99"/>
          <w:sz w:val="25"/>
        </w:rPr>
        <w:t>bl</w:t>
      </w:r>
      <w:r>
        <w:rPr>
          <w:w w:val="99"/>
          <w:sz w:val="25"/>
        </w:rPr>
        <w:t>e</w:t>
      </w:r>
      <w:r>
        <w:rPr>
          <w:sz w:val="25"/>
        </w:rPr>
        <w:t> </w:t>
      </w:r>
      <w:r>
        <w:rPr>
          <w:spacing w:val="-24"/>
          <w:sz w:val="25"/>
        </w:rPr>
        <w:t> </w:t>
      </w:r>
      <w:r>
        <w:rPr>
          <w:spacing w:val="-1"/>
          <w:w w:val="99"/>
          <w:sz w:val="25"/>
        </w:rPr>
        <w:t>p</w:t>
      </w:r>
      <w:r>
        <w:rPr>
          <w:w w:val="99"/>
          <w:sz w:val="25"/>
        </w:rPr>
        <w:t>r</w:t>
      </w:r>
      <w:r>
        <w:rPr>
          <w:spacing w:val="-1"/>
          <w:w w:val="99"/>
          <w:sz w:val="25"/>
        </w:rPr>
        <w:t>o</w:t>
      </w:r>
      <w:r>
        <w:rPr>
          <w:w w:val="99"/>
          <w:sz w:val="25"/>
        </w:rPr>
        <w:t>p</w:t>
      </w:r>
      <w:r>
        <w:rPr>
          <w:spacing w:val="-1"/>
          <w:w w:val="99"/>
          <w:sz w:val="25"/>
        </w:rPr>
        <w:t>e</w:t>
      </w:r>
      <w:r>
        <w:rPr>
          <w:w w:val="99"/>
          <w:sz w:val="25"/>
        </w:rPr>
        <w:t>rt</w:t>
      </w:r>
      <w:r>
        <w:rPr>
          <w:spacing w:val="-3"/>
          <w:w w:val="99"/>
          <w:sz w:val="25"/>
        </w:rPr>
        <w:t>y</w:t>
      </w:r>
      <w:r>
        <w:rPr>
          <w:w w:val="80"/>
          <w:sz w:val="25"/>
        </w:rPr>
        <w:t>‖</w:t>
      </w:r>
      <w:r>
        <w:rPr>
          <w:sz w:val="25"/>
        </w:rPr>
        <w:t> </w:t>
      </w:r>
      <w:r>
        <w:rPr>
          <w:spacing w:val="-21"/>
          <w:sz w:val="25"/>
        </w:rPr>
        <w:t> </w:t>
      </w:r>
      <w:r>
        <w:rPr>
          <w:w w:val="99"/>
          <w:sz w:val="25"/>
        </w:rPr>
        <w:t>m</w:t>
      </w:r>
      <w:r>
        <w:rPr>
          <w:spacing w:val="-1"/>
          <w:w w:val="99"/>
          <w:sz w:val="25"/>
        </w:rPr>
        <w:t>a</w:t>
      </w:r>
      <w:r>
        <w:rPr>
          <w:w w:val="99"/>
          <w:sz w:val="25"/>
        </w:rPr>
        <w:t>de</w:t>
      </w:r>
      <w:r>
        <w:rPr>
          <w:sz w:val="25"/>
        </w:rPr>
        <w:t> </w:t>
      </w:r>
      <w:r>
        <w:rPr>
          <w:spacing w:val="-24"/>
          <w:sz w:val="25"/>
        </w:rPr>
        <w:t> </w:t>
      </w:r>
      <w:r>
        <w:rPr>
          <w:spacing w:val="-1"/>
          <w:w w:val="99"/>
          <w:sz w:val="25"/>
        </w:rPr>
        <w:t>u</w:t>
      </w:r>
      <w:r>
        <w:rPr>
          <w:w w:val="99"/>
          <w:sz w:val="25"/>
        </w:rPr>
        <w:t>n</w:t>
      </w:r>
      <w:r>
        <w:rPr>
          <w:spacing w:val="-1"/>
          <w:w w:val="99"/>
          <w:sz w:val="25"/>
        </w:rPr>
        <w:t>d</w:t>
      </w:r>
      <w:r>
        <w:rPr>
          <w:w w:val="99"/>
          <w:sz w:val="25"/>
        </w:rPr>
        <w:t>er</w:t>
      </w:r>
      <w:r>
        <w:rPr>
          <w:sz w:val="25"/>
        </w:rPr>
        <w:t> </w:t>
      </w:r>
      <w:r>
        <w:rPr>
          <w:spacing w:val="-24"/>
          <w:sz w:val="25"/>
        </w:rPr>
        <w:t> </w:t>
      </w:r>
      <w:r>
        <w:rPr>
          <w:w w:val="99"/>
          <w:sz w:val="25"/>
        </w:rPr>
        <w:t>the </w:t>
      </w:r>
      <w:r>
        <w:rPr>
          <w:sz w:val="25"/>
        </w:rPr>
        <w:t>Code of Criminal Procedure 1898 or the Mamlatdar‘s Court Act 1906 or by anyone claiming under such person to recover the property in the order. The period</w:t>
      </w:r>
      <w:r>
        <w:rPr>
          <w:spacing w:val="6"/>
          <w:sz w:val="25"/>
        </w:rPr>
        <w:t> </w:t>
      </w:r>
      <w:r>
        <w:rPr>
          <w:sz w:val="25"/>
        </w:rPr>
        <w:t>of</w:t>
      </w:r>
      <w:r>
        <w:rPr>
          <w:spacing w:val="6"/>
          <w:sz w:val="25"/>
        </w:rPr>
        <w:t> </w:t>
      </w:r>
      <w:r>
        <w:rPr>
          <w:sz w:val="25"/>
        </w:rPr>
        <w:t>limitation</w:t>
      </w:r>
      <w:r>
        <w:rPr>
          <w:spacing w:val="6"/>
          <w:sz w:val="25"/>
        </w:rPr>
        <w:t> </w:t>
      </w:r>
      <w:r>
        <w:rPr>
          <w:sz w:val="25"/>
        </w:rPr>
        <w:t>is</w:t>
      </w:r>
      <w:r>
        <w:rPr>
          <w:spacing w:val="5"/>
          <w:sz w:val="25"/>
        </w:rPr>
        <w:t> </w:t>
      </w:r>
      <w:r>
        <w:rPr>
          <w:sz w:val="25"/>
        </w:rPr>
        <w:t>three</w:t>
      </w:r>
      <w:r>
        <w:rPr>
          <w:spacing w:val="6"/>
          <w:sz w:val="25"/>
        </w:rPr>
        <w:t> </w:t>
      </w:r>
      <w:r>
        <w:rPr>
          <w:sz w:val="25"/>
        </w:rPr>
        <w:t>years</w:t>
      </w:r>
      <w:r>
        <w:rPr>
          <w:spacing w:val="6"/>
          <w:sz w:val="25"/>
        </w:rPr>
        <w:t> </w:t>
      </w:r>
      <w:r>
        <w:rPr>
          <w:sz w:val="25"/>
        </w:rPr>
        <w:t>and</w:t>
      </w:r>
      <w:r>
        <w:rPr>
          <w:spacing w:val="6"/>
          <w:sz w:val="25"/>
        </w:rPr>
        <w:t> </w:t>
      </w:r>
      <w:r>
        <w:rPr>
          <w:sz w:val="25"/>
        </w:rPr>
        <w:t>time</w:t>
      </w:r>
      <w:r>
        <w:rPr>
          <w:spacing w:val="6"/>
          <w:sz w:val="25"/>
        </w:rPr>
        <w:t> </w:t>
      </w:r>
      <w:r>
        <w:rPr>
          <w:sz w:val="25"/>
        </w:rPr>
        <w:t>begins</w:t>
      </w:r>
      <w:r>
        <w:rPr>
          <w:spacing w:val="6"/>
          <w:sz w:val="25"/>
        </w:rPr>
        <w:t> </w:t>
      </w:r>
      <w:r>
        <w:rPr>
          <w:sz w:val="25"/>
        </w:rPr>
        <w:t>to</w:t>
      </w:r>
      <w:r>
        <w:rPr>
          <w:spacing w:val="6"/>
          <w:sz w:val="25"/>
        </w:rPr>
        <w:t> </w:t>
      </w:r>
      <w:r>
        <w:rPr>
          <w:sz w:val="25"/>
        </w:rPr>
        <w:t>run</w:t>
      </w:r>
      <w:r>
        <w:rPr>
          <w:spacing w:val="6"/>
          <w:sz w:val="25"/>
        </w:rPr>
        <w:t> </w:t>
      </w:r>
      <w:r>
        <w:rPr>
          <w:sz w:val="25"/>
        </w:rPr>
        <w:t>from</w:t>
      </w:r>
      <w:r>
        <w:rPr>
          <w:spacing w:val="7"/>
          <w:sz w:val="25"/>
        </w:rPr>
        <w:t> </w:t>
      </w:r>
      <w:r>
        <w:rPr>
          <w:sz w:val="25"/>
        </w:rPr>
        <w:t>the</w:t>
      </w:r>
      <w:r>
        <w:rPr>
          <w:spacing w:val="4"/>
          <w:sz w:val="25"/>
        </w:rPr>
        <w:t> </w:t>
      </w:r>
      <w:r>
        <w:rPr>
          <w:sz w:val="25"/>
        </w:rPr>
        <w:t>date</w:t>
      </w:r>
      <w:r>
        <w:rPr>
          <w:spacing w:val="6"/>
          <w:sz w:val="25"/>
        </w:rPr>
        <w:t> </w:t>
      </w:r>
      <w:r>
        <w:rPr>
          <w:sz w:val="25"/>
        </w:rPr>
        <w:t>of</w:t>
      </w:r>
      <w:r>
        <w:rPr>
          <w:spacing w:val="6"/>
          <w:sz w:val="25"/>
        </w:rPr>
        <w:t> </w:t>
      </w:r>
      <w:r>
        <w:rPr>
          <w:sz w:val="25"/>
        </w:rPr>
        <w:t>the</w:t>
      </w:r>
      <w:r>
        <w:rPr>
          <w:spacing w:val="6"/>
          <w:sz w:val="25"/>
        </w:rPr>
        <w:t> </w:t>
      </w:r>
      <w:r>
        <w:rPr>
          <w:sz w:val="25"/>
        </w:rPr>
        <w:t>final</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order in the case. In order for Article 47 to apply, the suit must meet the description specified in the first column. In other words, Article 47 applies only in a situation where a Magistrate has passed an order respecting the possession of immoveable property. When no order regarding possession of immovable property which is the subject matter of a proceeding under Section 145 has been passed, the suit shall not be of the description specified in the first column. It is only if the Magistrate has passed such an order that the suit would meet the description specified, and in which event Article 47 would govern. However, though Article 47 is not attracted, a person aggrieved by the order of attachment may file a suit for declaration of his right. On the determination of the right by the civil court, he would become entitled for possession and the Magistrate is duty bound to hand over possession in accordance with the order of the civil court. In the present case, absent any order respecting possession under Section 145, Article 47 on its plain terms has no</w:t>
      </w:r>
      <w:r>
        <w:rPr>
          <w:spacing w:val="-7"/>
        </w:rPr>
        <w:t> </w:t>
      </w:r>
      <w:r>
        <w:rPr/>
        <w:t>application.</w:t>
      </w:r>
    </w:p>
    <w:p>
      <w:pPr>
        <w:pStyle w:val="BodyText"/>
        <w:spacing w:before="1"/>
        <w:rPr>
          <w:sz w:val="39"/>
        </w:rPr>
      </w:pPr>
    </w:p>
    <w:p>
      <w:pPr>
        <w:pStyle w:val="Heading4"/>
        <w:rPr>
          <w:i/>
        </w:rPr>
      </w:pPr>
      <w:r>
        <w:rPr>
          <w:i/>
        </w:rPr>
        <w:t>Articles 120, 142, 144</w:t>
      </w:r>
    </w:p>
    <w:p>
      <w:pPr>
        <w:pStyle w:val="BodyText"/>
        <w:rPr>
          <w:i/>
          <w:sz w:val="28"/>
        </w:rPr>
      </w:pPr>
    </w:p>
    <w:p>
      <w:pPr>
        <w:pStyle w:val="BodyText"/>
        <w:spacing w:before="10"/>
        <w:rPr>
          <w:i/>
          <w:sz w:val="23"/>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The next limb of the submission on the basis of which the bar of limitation has been urged, is that Suit 4 is governed by Article 120. Now Article 120 deals with suits for which no period of limitation is provided elsewhere in the schedule. Article 120 is in the nature of a residuary provision. Hence, where a specific article in the schedule applies, the residuary article can possibly have no application and it is only when the suit does not fall within the description specified in any other article that the residuary provision would</w:t>
      </w:r>
      <w:r>
        <w:rPr>
          <w:spacing w:val="-12"/>
          <w:sz w:val="25"/>
        </w:rPr>
        <w:t> </w:t>
      </w:r>
      <w:r>
        <w:rPr>
          <w:sz w:val="25"/>
        </w:rPr>
        <w:t>govern.</w:t>
      </w:r>
    </w:p>
    <w:p>
      <w:pPr>
        <w:spacing w:after="0" w:line="480" w:lineRule="auto"/>
        <w:jc w:val="both"/>
        <w:rPr>
          <w:sz w:val="25"/>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36" w:firstLine="0"/>
        <w:jc w:val="both"/>
        <w:rPr>
          <w:sz w:val="25"/>
        </w:rPr>
      </w:pPr>
      <w:r>
        <w:rPr>
          <w:sz w:val="25"/>
        </w:rPr>
        <w:t>The two competing articles which have been pressed-in-aid on behalf of the plaintiffs are Article 142 and, in the alternate, Article 144. Article 142 covers a suit for possession of immoveable property when the plaintiff has either been dispossessed while in possession of the property or has discontinued the possession. Dispossession postulates an act of an involuntarily nature while discontinuance is more in the nature of a voluntary cessation of possession. In the present case, the plaintiffs in Suit 4 have sought a declaration that the property indicated by the letters A B C D is a public mosque and that the land delineated by the letters E F G H is a Muslim graveyard. Beside this, the plaintiffs seek a prayer for the delivery of possession, in case the court is of the opinion that such relief is deemed to be the proper</w:t>
      </w:r>
      <w:r>
        <w:rPr>
          <w:spacing w:val="-9"/>
          <w:sz w:val="25"/>
        </w:rPr>
        <w:t> </w:t>
      </w:r>
      <w:r>
        <w:rPr>
          <w:sz w:val="25"/>
        </w:rPr>
        <w:t>remedy.</w:t>
      </w:r>
    </w:p>
    <w:p>
      <w:pPr>
        <w:pStyle w:val="BodyText"/>
        <w:rPr>
          <w:sz w:val="39"/>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The basis on which it has been urged that Suit 4 is not a suit for possession is that this Court has held in </w:t>
      </w:r>
      <w:r>
        <w:rPr>
          <w:b/>
          <w:sz w:val="25"/>
        </w:rPr>
        <w:t>Deokuer </w:t>
      </w:r>
      <w:r>
        <w:rPr>
          <w:sz w:val="25"/>
        </w:rPr>
        <w:t>v </w:t>
      </w:r>
      <w:r>
        <w:rPr>
          <w:b/>
          <w:sz w:val="25"/>
        </w:rPr>
        <w:t>Sheoprasad Singh</w:t>
      </w:r>
      <w:r>
        <w:rPr>
          <w:sz w:val="25"/>
          <w:vertAlign w:val="superscript"/>
        </w:rPr>
        <w:t>327</w:t>
      </w:r>
      <w:r>
        <w:rPr>
          <w:sz w:val="25"/>
          <w:vertAlign w:val="baseline"/>
        </w:rPr>
        <w:t> that where property is </w:t>
      </w:r>
      <w:r>
        <w:rPr>
          <w:i/>
          <w:sz w:val="25"/>
          <w:vertAlign w:val="baseline"/>
        </w:rPr>
        <w:t>custodia legis</w:t>
      </w:r>
      <w:r>
        <w:rPr>
          <w:sz w:val="25"/>
          <w:vertAlign w:val="baseline"/>
        </w:rPr>
        <w:t>, it is not necessary to make an independent prayer for the delivery of possession. Hence it has been urged that since a specific prayer for seeking possession was not necessary, prayer (b) is otiose and the character of the suit must be adjudicated only with reference to prayer (a).</w:t>
      </w:r>
    </w:p>
    <w:p>
      <w:pPr>
        <w:pStyle w:val="BodyText"/>
        <w:spacing w:line="480" w:lineRule="auto" w:before="157"/>
        <w:ind w:left="500" w:right="438"/>
        <w:jc w:val="both"/>
      </w:pPr>
      <w:r>
        <w:rPr/>
        <w:t>The submission cannot be accepted. The decision of this Court in </w:t>
      </w:r>
      <w:r>
        <w:rPr>
          <w:b/>
        </w:rPr>
        <w:t>Deokuer </w:t>
      </w:r>
      <w:r>
        <w:rPr/>
        <w:t>lays down that where property is </w:t>
      </w:r>
      <w:r>
        <w:rPr>
          <w:i/>
        </w:rPr>
        <w:t>custodia legis</w:t>
      </w:r>
      <w:r>
        <w:rPr/>
        <w:t>, it is sufficient to seek a declaration of title. This is because the court receiver who is an officer of the court would hold the property for the party who is found, upon adjudication, to be entitled to</w:t>
      </w:r>
    </w:p>
    <w:p>
      <w:pPr>
        <w:pStyle w:val="BodyText"/>
        <w:spacing w:before="8"/>
        <w:rPr>
          <w:sz w:val="29"/>
        </w:rPr>
      </w:pPr>
      <w:r>
        <w:rPr/>
        <w:pict>
          <v:rect style="position:absolute;margin-left:72.024002pt;margin-top:19.059034pt;width:144.020pt;height:.599980pt;mso-position-horizontal-relative:page;mso-position-vertical-relative:paragraph;z-index:-1563289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327</w:t>
      </w:r>
      <w:r>
        <w:rPr>
          <w:sz w:val="18"/>
          <w:vertAlign w:val="baseline"/>
        </w:rPr>
        <w:t> AIR 1966 SC 359</w:t>
      </w:r>
    </w:p>
    <w:p>
      <w:pPr>
        <w:spacing w:after="0"/>
        <w:jc w:val="left"/>
        <w:rPr>
          <w:sz w:val="18"/>
        </w:rPr>
        <w:sectPr>
          <w:pgSz w:w="11910" w:h="16840"/>
          <w:pgMar w:header="721" w:footer="1014" w:top="1300" w:bottom="1200" w:left="940" w:right="1000"/>
        </w:sectPr>
      </w:pPr>
    </w:p>
    <w:p>
      <w:pPr>
        <w:pStyle w:val="BodyText"/>
        <w:spacing w:line="480" w:lineRule="auto" w:before="124"/>
        <w:ind w:left="500" w:right="437"/>
        <w:jc w:val="both"/>
      </w:pPr>
      <w:r>
        <w:rPr/>
        <w:t>possession. Since the receiver would be duty bound to hand over possession to whoever is held by the court to be entitled to the property, a formal prayer for seeking possession is not necessary. But what this submission misses is that a suit seeking relief of possession has not been held to lack maintainability. A declaration of title suffices because once property is </w:t>
      </w:r>
      <w:r>
        <w:rPr>
          <w:i/>
        </w:rPr>
        <w:t>custodia legis</w:t>
      </w:r>
      <w:r>
        <w:rPr/>
        <w:t>, possession would necessarily follow the grant of the declaration upon the adjudication by the court. The relief of possession is therefore implicit. To hold that a suit of this nature where the property is </w:t>
      </w:r>
      <w:r>
        <w:rPr>
          <w:i/>
        </w:rPr>
        <w:t>custodia legis </w:t>
      </w:r>
      <w:r>
        <w:rPr/>
        <w:t>cannot possibly be held to be a  suit for possession is therefore a submission which has no valid basis.</w:t>
      </w:r>
    </w:p>
    <w:p>
      <w:pPr>
        <w:pStyle w:val="BodyText"/>
        <w:rPr>
          <w:sz w:val="39"/>
        </w:rPr>
      </w:pPr>
    </w:p>
    <w:p>
      <w:pPr>
        <w:pStyle w:val="ListParagraph"/>
        <w:numPr>
          <w:ilvl w:val="0"/>
          <w:numId w:val="166"/>
        </w:numPr>
        <w:tabs>
          <w:tab w:pos="1221" w:val="left" w:leader="none"/>
        </w:tabs>
        <w:spacing w:line="480" w:lineRule="auto" w:before="0" w:after="0"/>
        <w:ind w:left="500" w:right="443" w:firstLine="0"/>
        <w:jc w:val="both"/>
        <w:rPr>
          <w:sz w:val="25"/>
        </w:rPr>
      </w:pPr>
      <w:r>
        <w:rPr>
          <w:sz w:val="25"/>
        </w:rPr>
        <w:t>The submission that Suit 4 is barred by limitation is founded on the following</w:t>
      </w:r>
      <w:r>
        <w:rPr>
          <w:spacing w:val="-1"/>
          <w:sz w:val="25"/>
        </w:rPr>
        <w:t> </w:t>
      </w:r>
      <w:r>
        <w:rPr>
          <w:sz w:val="25"/>
        </w:rPr>
        <w:t>hypotheses:</w:t>
      </w:r>
    </w:p>
    <w:p>
      <w:pPr>
        <w:pStyle w:val="ListParagraph"/>
        <w:numPr>
          <w:ilvl w:val="0"/>
          <w:numId w:val="212"/>
        </w:numPr>
        <w:tabs>
          <w:tab w:pos="1221" w:val="left" w:leader="none"/>
        </w:tabs>
        <w:spacing w:line="480" w:lineRule="auto" w:before="159" w:after="0"/>
        <w:ind w:left="1220" w:right="436" w:hanging="720"/>
        <w:jc w:val="both"/>
        <w:rPr>
          <w:sz w:val="25"/>
        </w:rPr>
      </w:pPr>
      <w:r>
        <w:rPr>
          <w:sz w:val="25"/>
        </w:rPr>
        <w:t>The entire property which is the subject matter of the suit was </w:t>
      </w:r>
      <w:r>
        <w:rPr>
          <w:i/>
          <w:sz w:val="25"/>
        </w:rPr>
        <w:t>custodia </w:t>
      </w:r>
      <w:r>
        <w:rPr>
          <w:i/>
          <w:sz w:val="25"/>
        </w:rPr>
        <w:t>legis </w:t>
      </w:r>
      <w:r>
        <w:rPr>
          <w:sz w:val="25"/>
        </w:rPr>
        <w:t>consequent upon the proceedings under Section</w:t>
      </w:r>
      <w:r>
        <w:rPr>
          <w:spacing w:val="1"/>
          <w:sz w:val="25"/>
        </w:rPr>
        <w:t> </w:t>
      </w:r>
      <w:r>
        <w:rPr>
          <w:sz w:val="25"/>
        </w:rPr>
        <w:t>145;</w:t>
      </w:r>
    </w:p>
    <w:p>
      <w:pPr>
        <w:pStyle w:val="ListParagraph"/>
        <w:numPr>
          <w:ilvl w:val="0"/>
          <w:numId w:val="212"/>
        </w:numPr>
        <w:tabs>
          <w:tab w:pos="1221" w:val="left" w:leader="none"/>
        </w:tabs>
        <w:spacing w:line="480" w:lineRule="auto" w:before="0" w:after="0"/>
        <w:ind w:left="1220" w:right="439" w:hanging="720"/>
        <w:jc w:val="both"/>
        <w:rPr>
          <w:sz w:val="25"/>
        </w:rPr>
      </w:pPr>
      <w:r>
        <w:rPr>
          <w:sz w:val="25"/>
        </w:rPr>
        <w:t>Once the property is </w:t>
      </w:r>
      <w:r>
        <w:rPr>
          <w:i/>
          <w:sz w:val="25"/>
        </w:rPr>
        <w:t>custodia legis, </w:t>
      </w:r>
      <w:r>
        <w:rPr>
          <w:sz w:val="25"/>
        </w:rPr>
        <w:t>a suit for declaration would suffice and there is no need to seek the relief of</w:t>
      </w:r>
      <w:r>
        <w:rPr>
          <w:spacing w:val="-9"/>
          <w:sz w:val="25"/>
        </w:rPr>
        <w:t> </w:t>
      </w:r>
      <w:r>
        <w:rPr>
          <w:sz w:val="25"/>
        </w:rPr>
        <w:t>possession;</w:t>
      </w:r>
    </w:p>
    <w:p>
      <w:pPr>
        <w:pStyle w:val="ListParagraph"/>
        <w:numPr>
          <w:ilvl w:val="0"/>
          <w:numId w:val="212"/>
        </w:numPr>
        <w:tabs>
          <w:tab w:pos="1221" w:val="left" w:leader="none"/>
        </w:tabs>
        <w:spacing w:line="480" w:lineRule="auto" w:before="2" w:after="0"/>
        <w:ind w:left="1220" w:right="444" w:hanging="720"/>
        <w:jc w:val="both"/>
        <w:rPr>
          <w:sz w:val="25"/>
        </w:rPr>
      </w:pPr>
      <w:r>
        <w:rPr>
          <w:spacing w:val="-1"/>
          <w:w w:val="99"/>
          <w:sz w:val="25"/>
        </w:rPr>
        <w:t>P</w:t>
      </w:r>
      <w:r>
        <w:rPr>
          <w:w w:val="99"/>
          <w:sz w:val="25"/>
        </w:rPr>
        <w:t>r</w:t>
      </w:r>
      <w:r>
        <w:rPr>
          <w:spacing w:val="-1"/>
          <w:w w:val="99"/>
          <w:sz w:val="25"/>
        </w:rPr>
        <w:t>a</w:t>
      </w:r>
      <w:r>
        <w:rPr>
          <w:spacing w:val="-3"/>
          <w:w w:val="99"/>
          <w:sz w:val="25"/>
        </w:rPr>
        <w:t>y</w:t>
      </w:r>
      <w:r>
        <w:rPr>
          <w:spacing w:val="-1"/>
          <w:w w:val="99"/>
          <w:sz w:val="25"/>
        </w:rPr>
        <w:t>e</w:t>
      </w:r>
      <w:r>
        <w:rPr>
          <w:w w:val="99"/>
          <w:sz w:val="25"/>
        </w:rPr>
        <w:t>r</w:t>
      </w:r>
      <w:r>
        <w:rPr>
          <w:sz w:val="25"/>
        </w:rPr>
        <w:t> </w:t>
      </w:r>
      <w:r>
        <w:rPr>
          <w:spacing w:val="25"/>
          <w:sz w:val="25"/>
        </w:rPr>
        <w:t> </w:t>
      </w:r>
      <w:r>
        <w:rPr>
          <w:w w:val="99"/>
          <w:sz w:val="25"/>
        </w:rPr>
        <w:t>(</w:t>
      </w:r>
      <w:r>
        <w:rPr>
          <w:spacing w:val="-1"/>
          <w:w w:val="99"/>
          <w:sz w:val="25"/>
        </w:rPr>
        <w:t>b</w:t>
      </w:r>
      <w:r>
        <w:rPr>
          <w:w w:val="99"/>
          <w:sz w:val="25"/>
        </w:rPr>
        <w:t>)</w:t>
      </w:r>
      <w:r>
        <w:rPr>
          <w:sz w:val="25"/>
        </w:rPr>
        <w:t> </w:t>
      </w:r>
      <w:r>
        <w:rPr>
          <w:spacing w:val="25"/>
          <w:sz w:val="25"/>
        </w:rPr>
        <w:t> </w:t>
      </w:r>
      <w:r>
        <w:rPr>
          <w:w w:val="99"/>
          <w:sz w:val="25"/>
        </w:rPr>
        <w:t>seeking</w:t>
      </w:r>
      <w:r>
        <w:rPr>
          <w:sz w:val="25"/>
        </w:rPr>
        <w:t> </w:t>
      </w:r>
      <w:r>
        <w:rPr>
          <w:spacing w:val="24"/>
          <w:sz w:val="25"/>
        </w:rPr>
        <w:t> </w:t>
      </w:r>
      <w:r>
        <w:rPr>
          <w:w w:val="99"/>
          <w:sz w:val="25"/>
        </w:rPr>
        <w:t>a</w:t>
      </w:r>
      <w:r>
        <w:rPr>
          <w:sz w:val="25"/>
        </w:rPr>
        <w:t> </w:t>
      </w:r>
      <w:r>
        <w:rPr>
          <w:spacing w:val="24"/>
          <w:sz w:val="25"/>
        </w:rPr>
        <w:t> </w:t>
      </w:r>
      <w:r>
        <w:rPr>
          <w:spacing w:val="-1"/>
          <w:w w:val="99"/>
          <w:sz w:val="25"/>
        </w:rPr>
        <w:t>d</w:t>
      </w:r>
      <w:r>
        <w:rPr>
          <w:w w:val="99"/>
          <w:sz w:val="25"/>
        </w:rPr>
        <w:t>ecr</w:t>
      </w:r>
      <w:r>
        <w:rPr>
          <w:spacing w:val="-1"/>
          <w:w w:val="99"/>
          <w:sz w:val="25"/>
        </w:rPr>
        <w:t>e</w:t>
      </w:r>
      <w:r>
        <w:rPr>
          <w:w w:val="99"/>
          <w:sz w:val="25"/>
        </w:rPr>
        <w:t>e</w:t>
      </w:r>
      <w:r>
        <w:rPr>
          <w:sz w:val="25"/>
        </w:rPr>
        <w:t> </w:t>
      </w:r>
      <w:r>
        <w:rPr>
          <w:spacing w:val="24"/>
          <w:sz w:val="25"/>
        </w:rPr>
        <w:t> </w:t>
      </w:r>
      <w:r>
        <w:rPr>
          <w:w w:val="99"/>
          <w:sz w:val="25"/>
        </w:rPr>
        <w:t>for</w:t>
      </w:r>
      <w:r>
        <w:rPr>
          <w:sz w:val="25"/>
        </w:rPr>
        <w:t> </w:t>
      </w:r>
      <w:r>
        <w:rPr>
          <w:spacing w:val="25"/>
          <w:sz w:val="25"/>
        </w:rPr>
        <w:t> </w:t>
      </w:r>
      <w:r>
        <w:rPr>
          <w:w w:val="99"/>
          <w:sz w:val="25"/>
        </w:rPr>
        <w:t>the</w:t>
      </w:r>
      <w:r>
        <w:rPr>
          <w:sz w:val="25"/>
        </w:rPr>
        <w:t> </w:t>
      </w:r>
      <w:r>
        <w:rPr>
          <w:spacing w:val="22"/>
          <w:sz w:val="25"/>
        </w:rPr>
        <w:t> </w:t>
      </w:r>
      <w:r>
        <w:rPr>
          <w:spacing w:val="-3"/>
          <w:w w:val="99"/>
          <w:sz w:val="25"/>
        </w:rPr>
        <w:t>d</w:t>
      </w:r>
      <w:r>
        <w:rPr>
          <w:spacing w:val="-1"/>
          <w:w w:val="99"/>
          <w:sz w:val="25"/>
        </w:rPr>
        <w:t>eli</w:t>
      </w:r>
      <w:r>
        <w:rPr>
          <w:spacing w:val="-3"/>
          <w:w w:val="99"/>
          <w:sz w:val="25"/>
        </w:rPr>
        <w:t>v</w:t>
      </w:r>
      <w:r>
        <w:rPr>
          <w:spacing w:val="-1"/>
          <w:w w:val="99"/>
          <w:sz w:val="25"/>
        </w:rPr>
        <w:t>e</w:t>
      </w:r>
      <w:r>
        <w:rPr>
          <w:spacing w:val="3"/>
          <w:w w:val="99"/>
          <w:sz w:val="25"/>
        </w:rPr>
        <w:t>r</w:t>
      </w:r>
      <w:r>
        <w:rPr>
          <w:w w:val="99"/>
          <w:sz w:val="25"/>
        </w:rPr>
        <w:t>y</w:t>
      </w:r>
      <w:r>
        <w:rPr>
          <w:sz w:val="25"/>
        </w:rPr>
        <w:t> </w:t>
      </w:r>
      <w:r>
        <w:rPr>
          <w:spacing w:val="21"/>
          <w:sz w:val="25"/>
        </w:rPr>
        <w:t> </w:t>
      </w:r>
      <w:r>
        <w:rPr>
          <w:spacing w:val="-1"/>
          <w:w w:val="99"/>
          <w:sz w:val="25"/>
        </w:rPr>
        <w:t>o</w:t>
      </w:r>
      <w:r>
        <w:rPr>
          <w:w w:val="99"/>
          <w:sz w:val="25"/>
        </w:rPr>
        <w:t>f</w:t>
      </w:r>
      <w:r>
        <w:rPr>
          <w:sz w:val="25"/>
        </w:rPr>
        <w:t> </w:t>
      </w:r>
      <w:r>
        <w:rPr>
          <w:spacing w:val="24"/>
          <w:sz w:val="25"/>
        </w:rPr>
        <w:t> </w:t>
      </w:r>
      <w:r>
        <w:rPr>
          <w:spacing w:val="-1"/>
          <w:w w:val="99"/>
          <w:sz w:val="25"/>
        </w:rPr>
        <w:t>p</w:t>
      </w:r>
      <w:r>
        <w:rPr>
          <w:w w:val="99"/>
          <w:sz w:val="25"/>
        </w:rPr>
        <w:t>ossessi</w:t>
      </w:r>
      <w:r>
        <w:rPr>
          <w:spacing w:val="2"/>
          <w:w w:val="99"/>
          <w:sz w:val="25"/>
        </w:rPr>
        <w:t>o</w:t>
      </w:r>
      <w:r>
        <w:rPr>
          <w:spacing w:val="-1"/>
          <w:w w:val="99"/>
          <w:sz w:val="25"/>
        </w:rPr>
        <w:t>n</w:t>
      </w:r>
      <w:r>
        <w:rPr>
          <w:w w:val="99"/>
          <w:sz w:val="25"/>
        </w:rPr>
        <w:t>,</w:t>
      </w:r>
      <w:r>
        <w:rPr>
          <w:sz w:val="25"/>
        </w:rPr>
        <w:t> </w:t>
      </w:r>
      <w:r>
        <w:rPr>
          <w:spacing w:val="24"/>
          <w:sz w:val="25"/>
        </w:rPr>
        <w:t> </w:t>
      </w:r>
      <w:r>
        <w:rPr>
          <w:w w:val="33"/>
          <w:sz w:val="25"/>
        </w:rPr>
        <w:t>―</w:t>
      </w:r>
      <w:r>
        <w:rPr>
          <w:spacing w:val="-1"/>
          <w:w w:val="99"/>
          <w:sz w:val="25"/>
        </w:rPr>
        <w:t>i</w:t>
      </w:r>
      <w:r>
        <w:rPr>
          <w:w w:val="99"/>
          <w:sz w:val="25"/>
        </w:rPr>
        <w:t>f</w:t>
      </w:r>
      <w:r>
        <w:rPr>
          <w:sz w:val="25"/>
        </w:rPr>
        <w:t> </w:t>
      </w:r>
      <w:r>
        <w:rPr>
          <w:spacing w:val="23"/>
          <w:sz w:val="25"/>
        </w:rPr>
        <w:t> </w:t>
      </w:r>
      <w:r>
        <w:rPr>
          <w:spacing w:val="-1"/>
          <w:w w:val="99"/>
          <w:sz w:val="25"/>
        </w:rPr>
        <w:t>i</w:t>
      </w:r>
      <w:r>
        <w:rPr>
          <w:w w:val="99"/>
          <w:sz w:val="25"/>
        </w:rPr>
        <w:t>t</w:t>
      </w:r>
      <w:r>
        <w:rPr>
          <w:sz w:val="25"/>
        </w:rPr>
        <w:t> </w:t>
      </w:r>
      <w:r>
        <w:rPr>
          <w:spacing w:val="23"/>
          <w:sz w:val="25"/>
        </w:rPr>
        <w:t> </w:t>
      </w:r>
      <w:r>
        <w:rPr>
          <w:spacing w:val="-1"/>
          <w:w w:val="99"/>
          <w:sz w:val="25"/>
        </w:rPr>
        <w:t>is </w:t>
      </w:r>
      <w:r>
        <w:rPr>
          <w:sz w:val="25"/>
        </w:rPr>
        <w:t>considered necessary‖ is redundant;</w:t>
      </w:r>
      <w:r>
        <w:rPr>
          <w:spacing w:val="-4"/>
          <w:sz w:val="25"/>
        </w:rPr>
        <w:t> </w:t>
      </w:r>
      <w:r>
        <w:rPr>
          <w:sz w:val="25"/>
        </w:rPr>
        <w:t>and</w:t>
      </w:r>
    </w:p>
    <w:p>
      <w:pPr>
        <w:pStyle w:val="ListParagraph"/>
        <w:numPr>
          <w:ilvl w:val="0"/>
          <w:numId w:val="212"/>
        </w:numPr>
        <w:tabs>
          <w:tab w:pos="1221" w:val="left" w:leader="none"/>
        </w:tabs>
        <w:spacing w:line="480" w:lineRule="auto" w:before="0" w:after="0"/>
        <w:ind w:left="1220" w:right="436" w:hanging="720"/>
        <w:jc w:val="both"/>
        <w:rPr>
          <w:sz w:val="25"/>
        </w:rPr>
      </w:pPr>
      <w:r>
        <w:rPr>
          <w:sz w:val="25"/>
        </w:rPr>
        <w:t>Consequently, in the absence of a prayer for possession, the suit is only one for declaring the character of the mosque and is hence governed by Article 120 of the Limitation Act</w:t>
      </w:r>
      <w:r>
        <w:rPr>
          <w:spacing w:val="-4"/>
          <w:sz w:val="25"/>
        </w:rPr>
        <w:t> </w:t>
      </w:r>
      <w:r>
        <w:rPr>
          <w:sz w:val="25"/>
        </w:rPr>
        <w:t>1908.</w:t>
      </w:r>
    </w:p>
    <w:p>
      <w:pPr>
        <w:pStyle w:val="BodyText"/>
        <w:spacing w:before="10"/>
        <w:rPr>
          <w:sz w:val="24"/>
        </w:rPr>
      </w:pPr>
    </w:p>
    <w:p>
      <w:pPr>
        <w:pStyle w:val="BodyText"/>
        <w:spacing w:line="480" w:lineRule="auto"/>
        <w:ind w:left="500" w:right="434"/>
        <w:jc w:val="both"/>
      </w:pPr>
      <w:r>
        <w:rPr/>
        <w:t>The basic foundation on which the above submission is based is that the entirety of the property comprised in the inner and outer courtyards was </w:t>
      </w:r>
      <w:r>
        <w:rPr>
          <w:i/>
        </w:rPr>
        <w:t>custodia legis </w:t>
      </w:r>
      <w:r>
        <w:rPr/>
        <w:t>and was under the protective attachment of the receiver. However, as a matter</w:t>
      </w:r>
      <w:r>
        <w:rPr>
          <w:spacing w:val="46"/>
        </w:rPr>
        <w:t> </w:t>
      </w:r>
      <w:r>
        <w:rPr/>
        <w:t>of</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4"/>
        <w:jc w:val="both"/>
      </w:pPr>
      <w:r>
        <w:rPr/>
        <w:t>fact on 18 December 1961 when the suit was instituted only the inner courtyard had been attached in pursuance of the orders passed under Section 145. The outer courtyard was placed under receivership only in 1982. In Suit 4, the property which was the subject matter of the dispute</w:t>
      </w:r>
      <w:r>
        <w:rPr>
          <w:spacing w:val="-9"/>
        </w:rPr>
        <w:t> </w:t>
      </w:r>
      <w:r>
        <w:rPr/>
        <w:t>was:</w:t>
      </w:r>
    </w:p>
    <w:p>
      <w:pPr>
        <w:pStyle w:val="ListParagraph"/>
        <w:numPr>
          <w:ilvl w:val="0"/>
          <w:numId w:val="213"/>
        </w:numPr>
        <w:tabs>
          <w:tab w:pos="1221" w:val="left" w:leader="none"/>
        </w:tabs>
        <w:spacing w:line="287" w:lineRule="exact" w:before="0" w:after="0"/>
        <w:ind w:left="1220" w:right="0" w:hanging="721"/>
        <w:jc w:val="both"/>
        <w:rPr>
          <w:sz w:val="25"/>
        </w:rPr>
      </w:pPr>
      <w:r>
        <w:rPr>
          <w:sz w:val="25"/>
        </w:rPr>
        <w:t>The inner courtyard which had been attached under Section</w:t>
      </w:r>
      <w:r>
        <w:rPr>
          <w:spacing w:val="-8"/>
          <w:sz w:val="25"/>
        </w:rPr>
        <w:t> </w:t>
      </w:r>
      <w:r>
        <w:rPr>
          <w:sz w:val="25"/>
        </w:rPr>
        <w:t>145;</w:t>
      </w:r>
    </w:p>
    <w:p>
      <w:pPr>
        <w:pStyle w:val="BodyText"/>
      </w:pPr>
    </w:p>
    <w:p>
      <w:pPr>
        <w:pStyle w:val="ListParagraph"/>
        <w:numPr>
          <w:ilvl w:val="0"/>
          <w:numId w:val="213"/>
        </w:numPr>
        <w:tabs>
          <w:tab w:pos="1221" w:val="left" w:leader="none"/>
        </w:tabs>
        <w:spacing w:line="240" w:lineRule="auto" w:before="1" w:after="0"/>
        <w:ind w:left="1220" w:right="0" w:hanging="721"/>
        <w:jc w:val="both"/>
        <w:rPr>
          <w:sz w:val="25"/>
        </w:rPr>
      </w:pPr>
      <w:r>
        <w:rPr>
          <w:sz w:val="25"/>
        </w:rPr>
        <w:t>The outer courtyard which had not been attached;</w:t>
      </w:r>
      <w:r>
        <w:rPr>
          <w:spacing w:val="-20"/>
          <w:sz w:val="25"/>
        </w:rPr>
        <w:t> </w:t>
      </w:r>
      <w:r>
        <w:rPr>
          <w:sz w:val="25"/>
        </w:rPr>
        <w:t>and</w:t>
      </w:r>
    </w:p>
    <w:p>
      <w:pPr>
        <w:pStyle w:val="BodyText"/>
        <w:spacing w:before="10"/>
        <w:rPr>
          <w:sz w:val="24"/>
        </w:rPr>
      </w:pPr>
    </w:p>
    <w:p>
      <w:pPr>
        <w:pStyle w:val="ListParagraph"/>
        <w:numPr>
          <w:ilvl w:val="0"/>
          <w:numId w:val="213"/>
        </w:numPr>
        <w:tabs>
          <w:tab w:pos="1221" w:val="left" w:leader="none"/>
        </w:tabs>
        <w:spacing w:line="240" w:lineRule="auto" w:before="0" w:after="0"/>
        <w:ind w:left="1220" w:right="0" w:hanging="721"/>
        <w:jc w:val="both"/>
        <w:rPr>
          <w:sz w:val="25"/>
        </w:rPr>
      </w:pPr>
      <w:r>
        <w:rPr>
          <w:sz w:val="25"/>
        </w:rPr>
        <w:t>The adjoining graveyard which had not been</w:t>
      </w:r>
      <w:r>
        <w:rPr>
          <w:spacing w:val="-16"/>
          <w:sz w:val="25"/>
        </w:rPr>
        <w:t> </w:t>
      </w:r>
      <w:r>
        <w:rPr>
          <w:sz w:val="25"/>
        </w:rPr>
        <w:t>attached.</w:t>
      </w:r>
    </w:p>
    <w:p>
      <w:pPr>
        <w:pStyle w:val="BodyText"/>
        <w:rPr>
          <w:sz w:val="28"/>
        </w:rPr>
      </w:pPr>
    </w:p>
    <w:p>
      <w:pPr>
        <w:pStyle w:val="BodyText"/>
        <w:spacing w:before="2"/>
        <w:rPr>
          <w:sz w:val="22"/>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Suit 4 related to both areas which were attached under Section 145 and areas which were clearly not the subject matter of attachment. Consequently, the declaration which was sought in the suit was not merely in respect of the land which fell within the purview of the order of attachment. Relief was sought in terms</w:t>
      </w:r>
      <w:r>
        <w:rPr>
          <w:spacing w:val="-1"/>
          <w:sz w:val="25"/>
        </w:rPr>
        <w:t> </w:t>
      </w:r>
      <w:r>
        <w:rPr>
          <w:sz w:val="25"/>
        </w:rPr>
        <w:t>of:</w:t>
      </w:r>
    </w:p>
    <w:p>
      <w:pPr>
        <w:pStyle w:val="ListParagraph"/>
        <w:numPr>
          <w:ilvl w:val="0"/>
          <w:numId w:val="214"/>
        </w:numPr>
        <w:tabs>
          <w:tab w:pos="1221" w:val="left" w:leader="none"/>
        </w:tabs>
        <w:spacing w:line="480" w:lineRule="auto" w:before="159" w:after="0"/>
        <w:ind w:left="1220" w:right="445" w:hanging="720"/>
        <w:jc w:val="both"/>
        <w:rPr>
          <w:sz w:val="25"/>
        </w:rPr>
      </w:pPr>
      <w:r>
        <w:rPr>
          <w:sz w:val="25"/>
        </w:rPr>
        <w:t>A declaration of the property described by the letter A B C D as a public mosque (covering both the inner and outer courtyards) and the graveyard marked by the letter E F G H;</w:t>
      </w:r>
      <w:r>
        <w:rPr>
          <w:spacing w:val="-7"/>
          <w:sz w:val="25"/>
        </w:rPr>
        <w:t> </w:t>
      </w:r>
      <w:r>
        <w:rPr>
          <w:sz w:val="25"/>
        </w:rPr>
        <w:t>and</w:t>
      </w:r>
    </w:p>
    <w:p>
      <w:pPr>
        <w:pStyle w:val="ListParagraph"/>
        <w:numPr>
          <w:ilvl w:val="0"/>
          <w:numId w:val="214"/>
        </w:numPr>
        <w:tabs>
          <w:tab w:pos="1221" w:val="left" w:leader="none"/>
        </w:tabs>
        <w:spacing w:line="240" w:lineRule="auto" w:before="1" w:after="0"/>
        <w:ind w:left="1220" w:right="0" w:hanging="721"/>
        <w:jc w:val="both"/>
        <w:rPr>
          <w:sz w:val="25"/>
        </w:rPr>
      </w:pPr>
      <w:r>
        <w:rPr>
          <w:sz w:val="25"/>
        </w:rPr>
        <w:t>Possession of the area of the mosque depicted as A B C</w:t>
      </w:r>
      <w:r>
        <w:rPr>
          <w:spacing w:val="-9"/>
          <w:sz w:val="25"/>
        </w:rPr>
        <w:t> </w:t>
      </w:r>
      <w:r>
        <w:rPr>
          <w:sz w:val="25"/>
        </w:rPr>
        <w:t>D.</w:t>
      </w:r>
    </w:p>
    <w:p>
      <w:pPr>
        <w:pStyle w:val="BodyText"/>
        <w:rPr>
          <w:sz w:val="28"/>
        </w:rPr>
      </w:pPr>
    </w:p>
    <w:p>
      <w:pPr>
        <w:pStyle w:val="BodyText"/>
        <w:spacing w:line="480" w:lineRule="auto" w:before="166"/>
        <w:ind w:left="500" w:right="440"/>
        <w:jc w:val="both"/>
      </w:pPr>
      <w:r>
        <w:rPr/>
        <w:t>In addition, it must be noted that prayer (bb) was brought in by way of an amendment as a consequence of the destruction of the entire mosque and the relief which was claimed was as against the statutory receiver who was appointed as a consequence of the decision in </w:t>
      </w:r>
      <w:r>
        <w:rPr>
          <w:b/>
        </w:rPr>
        <w:t>Ismail Faruqui</w:t>
      </w:r>
      <w:r>
        <w:rPr/>
        <w:t>. In view of the above position, it becomes evident that the relief of possession which was sought in terms of prayer (b) was not only in respect of the area of the property which covered</w:t>
      </w:r>
      <w:r>
        <w:rPr>
          <w:spacing w:val="6"/>
        </w:rPr>
        <w:t> </w:t>
      </w:r>
      <w:r>
        <w:rPr/>
        <w:t>what</w:t>
      </w:r>
      <w:r>
        <w:rPr>
          <w:spacing w:val="6"/>
        </w:rPr>
        <w:t> </w:t>
      </w:r>
      <w:r>
        <w:rPr/>
        <w:t>was</w:t>
      </w:r>
      <w:r>
        <w:rPr>
          <w:spacing w:val="7"/>
        </w:rPr>
        <w:t> </w:t>
      </w:r>
      <w:r>
        <w:rPr/>
        <w:t>attached,</w:t>
      </w:r>
      <w:r>
        <w:rPr>
          <w:spacing w:val="6"/>
        </w:rPr>
        <w:t> </w:t>
      </w:r>
      <w:r>
        <w:rPr/>
        <w:t>but</w:t>
      </w:r>
      <w:r>
        <w:rPr>
          <w:spacing w:val="6"/>
        </w:rPr>
        <w:t> </w:t>
      </w:r>
      <w:r>
        <w:rPr/>
        <w:t>also</w:t>
      </w:r>
      <w:r>
        <w:rPr>
          <w:spacing w:val="7"/>
        </w:rPr>
        <w:t> </w:t>
      </w:r>
      <w:r>
        <w:rPr/>
        <w:t>that</w:t>
      </w:r>
      <w:r>
        <w:rPr>
          <w:spacing w:val="6"/>
        </w:rPr>
        <w:t> </w:t>
      </w:r>
      <w:r>
        <w:rPr/>
        <w:t>which</w:t>
      </w:r>
      <w:r>
        <w:rPr>
          <w:spacing w:val="7"/>
        </w:rPr>
        <w:t> </w:t>
      </w:r>
      <w:r>
        <w:rPr/>
        <w:t>was</w:t>
      </w:r>
      <w:r>
        <w:rPr>
          <w:spacing w:val="6"/>
        </w:rPr>
        <w:t> </w:t>
      </w:r>
      <w:r>
        <w:rPr/>
        <w:t>not</w:t>
      </w:r>
      <w:r>
        <w:rPr>
          <w:spacing w:val="6"/>
        </w:rPr>
        <w:t> </w:t>
      </w:r>
      <w:r>
        <w:rPr/>
        <w:t>the</w:t>
      </w:r>
      <w:r>
        <w:rPr>
          <w:spacing w:val="7"/>
        </w:rPr>
        <w:t> </w:t>
      </w:r>
      <w:r>
        <w:rPr/>
        <w:t>subject</w:t>
      </w:r>
      <w:r>
        <w:rPr>
          <w:spacing w:val="6"/>
        </w:rPr>
        <w:t> </w:t>
      </w:r>
      <w:r>
        <w:rPr/>
        <w:t>matter</w:t>
      </w:r>
      <w:r>
        <w:rPr>
          <w:spacing w:val="8"/>
        </w:rPr>
        <w:t> </w:t>
      </w:r>
      <w:r>
        <w:rPr/>
        <w:t>of</w:t>
      </w:r>
      <w:r>
        <w:rPr>
          <w:spacing w:val="6"/>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5"/>
        <w:jc w:val="both"/>
      </w:pPr>
      <w:r>
        <w:rPr/>
        <w:t>attachment. This being the position, the entire basis of the submission invoking the bar of limitation suffers from a fallacy and cannot be accepted.</w:t>
      </w:r>
    </w:p>
    <w:p>
      <w:pPr>
        <w:pStyle w:val="BodyText"/>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Reading the plaint, the grievance of the plaintiffs was that they were in possession and had offered prayers till 23 December 1949. On 23 December 1949, it is alleged that the Hindus surreptitiously installed idols inside the mosque as a result of which the mosque was desecrated. By pleading specifically that the plaintiffs were in possession and had offered prayers until a particular date, the sequitur is that after that date, the plaintiffs ceased to be in possession. This being the position, it becomes evident that even before the property became </w:t>
      </w:r>
      <w:r>
        <w:rPr>
          <w:i/>
          <w:sz w:val="25"/>
        </w:rPr>
        <w:t>cutodia legis </w:t>
      </w:r>
      <w:r>
        <w:rPr>
          <w:sz w:val="25"/>
        </w:rPr>
        <w:t>following the attachment under Section 145, the plaintiffs had been ousted from possession. It was in this background, that in prayer (a), the plaintiffs sought a declaration in regard to the character of the mosque as a public mosque and in prayer (b) sought possession, in case it is necessary. Formulating a prayer for relief in such terms is not unknown to the law of pleadings. Such was the case for instance in </w:t>
      </w:r>
      <w:r>
        <w:rPr>
          <w:b/>
          <w:sz w:val="25"/>
        </w:rPr>
        <w:t>C Natrajan </w:t>
      </w:r>
      <w:r>
        <w:rPr>
          <w:sz w:val="25"/>
        </w:rPr>
        <w:t>v </w:t>
      </w:r>
      <w:r>
        <w:rPr>
          <w:b/>
          <w:sz w:val="25"/>
        </w:rPr>
        <w:t>Ashim Bai</w:t>
      </w:r>
      <w:r>
        <w:rPr>
          <w:sz w:val="25"/>
          <w:vertAlign w:val="superscript"/>
        </w:rPr>
        <w:t>328</w:t>
      </w:r>
      <w:r>
        <w:rPr>
          <w:sz w:val="25"/>
          <w:vertAlign w:val="baseline"/>
        </w:rPr>
        <w:t> where the reliefs were formulated in the following terms:</w:t>
      </w:r>
    </w:p>
    <w:p>
      <w:pPr>
        <w:spacing w:line="278" w:lineRule="auto" w:before="159"/>
        <w:ind w:left="1940" w:right="2255" w:firstLine="0"/>
        <w:jc w:val="both"/>
        <w:rPr>
          <w:sz w:val="21"/>
        </w:rPr>
      </w:pPr>
      <w:r>
        <w:rPr>
          <w:spacing w:val="-1"/>
          <w:w w:val="33"/>
          <w:sz w:val="21"/>
        </w:rPr>
        <w:t>―</w:t>
      </w:r>
      <w:r>
        <w:rPr>
          <w:spacing w:val="-1"/>
          <w:w w:val="100"/>
          <w:sz w:val="21"/>
        </w:rPr>
        <w:t>2</w:t>
      </w:r>
      <w:r>
        <w:rPr>
          <w:w w:val="100"/>
          <w:sz w:val="21"/>
        </w:rPr>
        <w:t>.</w:t>
      </w:r>
      <w:r>
        <w:rPr>
          <w:spacing w:val="-2"/>
          <w:sz w:val="21"/>
        </w:rPr>
        <w:t> </w:t>
      </w:r>
      <w:r>
        <w:rPr>
          <w:w w:val="100"/>
          <w:sz w:val="21"/>
        </w:rPr>
        <w:t>Th</w:t>
      </w:r>
      <w:r>
        <w:rPr>
          <w:w w:val="100"/>
          <w:sz w:val="21"/>
        </w:rPr>
        <w:t>e</w:t>
      </w:r>
      <w:r>
        <w:rPr>
          <w:sz w:val="21"/>
        </w:rPr>
        <w:t> </w:t>
      </w:r>
      <w:r>
        <w:rPr>
          <w:spacing w:val="-28"/>
          <w:sz w:val="21"/>
        </w:rPr>
        <w:t> </w:t>
      </w:r>
      <w:r>
        <w:rPr>
          <w:w w:val="100"/>
          <w:sz w:val="21"/>
        </w:rPr>
        <w:t>a</w:t>
      </w:r>
      <w:r>
        <w:rPr>
          <w:spacing w:val="-3"/>
          <w:w w:val="100"/>
          <w:sz w:val="21"/>
        </w:rPr>
        <w:t>p</w:t>
      </w:r>
      <w:r>
        <w:rPr>
          <w:w w:val="100"/>
          <w:sz w:val="21"/>
        </w:rPr>
        <w:t>p</w:t>
      </w:r>
      <w:r>
        <w:rPr>
          <w:spacing w:val="-3"/>
          <w:w w:val="100"/>
          <w:sz w:val="21"/>
        </w:rPr>
        <w:t>e</w:t>
      </w:r>
      <w:r>
        <w:rPr>
          <w:w w:val="100"/>
          <w:sz w:val="21"/>
        </w:rPr>
        <w:t>l</w:t>
      </w:r>
      <w:r>
        <w:rPr>
          <w:spacing w:val="-2"/>
          <w:w w:val="100"/>
          <w:sz w:val="21"/>
        </w:rPr>
        <w:t>l</w:t>
      </w:r>
      <w:r>
        <w:rPr>
          <w:w w:val="100"/>
          <w:sz w:val="21"/>
        </w:rPr>
        <w:t>ant</w:t>
      </w:r>
      <w:r>
        <w:rPr>
          <w:sz w:val="21"/>
        </w:rPr>
        <w:t> </w:t>
      </w:r>
      <w:r>
        <w:rPr>
          <w:spacing w:val="-30"/>
          <w:sz w:val="21"/>
        </w:rPr>
        <w:t> </w:t>
      </w:r>
      <w:r>
        <w:rPr>
          <w:w w:val="100"/>
          <w:sz w:val="21"/>
        </w:rPr>
        <w:t>her</w:t>
      </w:r>
      <w:r>
        <w:rPr>
          <w:spacing w:val="-3"/>
          <w:w w:val="100"/>
          <w:sz w:val="21"/>
        </w:rPr>
        <w:t>e</w:t>
      </w:r>
      <w:r>
        <w:rPr>
          <w:w w:val="100"/>
          <w:sz w:val="21"/>
        </w:rPr>
        <w:t>i</w:t>
      </w:r>
      <w:r>
        <w:rPr>
          <w:w w:val="100"/>
          <w:sz w:val="21"/>
        </w:rPr>
        <w:t>n</w:t>
      </w:r>
      <w:r>
        <w:rPr>
          <w:sz w:val="21"/>
        </w:rPr>
        <w:t> </w:t>
      </w:r>
      <w:r>
        <w:rPr>
          <w:spacing w:val="-28"/>
          <w:sz w:val="21"/>
        </w:rPr>
        <w:t> </w:t>
      </w:r>
      <w:r>
        <w:rPr>
          <w:spacing w:val="-2"/>
          <w:w w:val="100"/>
          <w:sz w:val="21"/>
        </w:rPr>
        <w:t>f</w:t>
      </w:r>
      <w:r>
        <w:rPr>
          <w:w w:val="100"/>
          <w:sz w:val="21"/>
        </w:rPr>
        <w:t>il</w:t>
      </w:r>
      <w:r>
        <w:rPr>
          <w:spacing w:val="-3"/>
          <w:w w:val="100"/>
          <w:sz w:val="21"/>
        </w:rPr>
        <w:t>e</w:t>
      </w:r>
      <w:r>
        <w:rPr>
          <w:w w:val="100"/>
          <w:sz w:val="21"/>
        </w:rPr>
        <w:t>d</w:t>
      </w:r>
      <w:r>
        <w:rPr>
          <w:sz w:val="21"/>
        </w:rPr>
        <w:t> </w:t>
      </w:r>
      <w:r>
        <w:rPr>
          <w:spacing w:val="-28"/>
          <w:sz w:val="21"/>
        </w:rPr>
        <w:t> </w:t>
      </w:r>
      <w:r>
        <w:rPr>
          <w:w w:val="100"/>
          <w:sz w:val="21"/>
        </w:rPr>
        <w:t>a</w:t>
      </w:r>
      <w:r>
        <w:rPr>
          <w:sz w:val="21"/>
        </w:rPr>
        <w:t> </w:t>
      </w:r>
      <w:r>
        <w:rPr>
          <w:spacing w:val="-28"/>
          <w:sz w:val="21"/>
        </w:rPr>
        <w:t> </w:t>
      </w:r>
      <w:r>
        <w:rPr>
          <w:spacing w:val="-3"/>
          <w:w w:val="100"/>
          <w:sz w:val="21"/>
        </w:rPr>
        <w:t>s</w:t>
      </w:r>
      <w:r>
        <w:rPr>
          <w:w w:val="100"/>
          <w:sz w:val="21"/>
        </w:rPr>
        <w:t>u</w:t>
      </w:r>
      <w:r>
        <w:rPr>
          <w:spacing w:val="1"/>
          <w:w w:val="100"/>
          <w:sz w:val="21"/>
        </w:rPr>
        <w:t>i</w:t>
      </w:r>
      <w:r>
        <w:rPr>
          <w:w w:val="100"/>
          <w:sz w:val="21"/>
        </w:rPr>
        <w:t>t</w:t>
      </w:r>
      <w:r>
        <w:rPr>
          <w:spacing w:val="29"/>
          <w:sz w:val="21"/>
        </w:rPr>
        <w:t> </w:t>
      </w:r>
      <w:r>
        <w:rPr>
          <w:spacing w:val="-3"/>
          <w:w w:val="100"/>
          <w:sz w:val="21"/>
        </w:rPr>
        <w:t>a</w:t>
      </w:r>
      <w:r>
        <w:rPr>
          <w:w w:val="100"/>
          <w:sz w:val="21"/>
        </w:rPr>
        <w:t>ga</w:t>
      </w:r>
      <w:r>
        <w:rPr>
          <w:spacing w:val="-1"/>
          <w:w w:val="100"/>
          <w:sz w:val="21"/>
        </w:rPr>
        <w:t>i</w:t>
      </w:r>
      <w:r>
        <w:rPr>
          <w:w w:val="100"/>
          <w:sz w:val="21"/>
        </w:rPr>
        <w:t>nst</w:t>
      </w:r>
      <w:r>
        <w:rPr>
          <w:sz w:val="21"/>
        </w:rPr>
        <w:t> </w:t>
      </w:r>
      <w:r>
        <w:rPr>
          <w:spacing w:val="-30"/>
          <w:sz w:val="21"/>
        </w:rPr>
        <w:t> </w:t>
      </w:r>
      <w:r>
        <w:rPr>
          <w:spacing w:val="-2"/>
          <w:w w:val="100"/>
          <w:sz w:val="21"/>
        </w:rPr>
        <w:t>t</w:t>
      </w:r>
      <w:r>
        <w:rPr>
          <w:w w:val="100"/>
          <w:sz w:val="21"/>
        </w:rPr>
        <w:t>he</w:t>
      </w:r>
      <w:r>
        <w:rPr>
          <w:sz w:val="21"/>
        </w:rPr>
        <w:t> </w:t>
      </w:r>
      <w:r>
        <w:rPr>
          <w:spacing w:val="-28"/>
          <w:sz w:val="21"/>
        </w:rPr>
        <w:t> </w:t>
      </w:r>
      <w:r>
        <w:rPr>
          <w:spacing w:val="-1"/>
          <w:w w:val="100"/>
          <w:sz w:val="21"/>
        </w:rPr>
        <w:t>r</w:t>
      </w:r>
      <w:r>
        <w:rPr>
          <w:spacing w:val="-3"/>
          <w:w w:val="100"/>
          <w:sz w:val="21"/>
        </w:rPr>
        <w:t>e</w:t>
      </w:r>
      <w:r>
        <w:rPr>
          <w:w w:val="100"/>
          <w:sz w:val="21"/>
        </w:rPr>
        <w:t>spo</w:t>
      </w:r>
      <w:r>
        <w:rPr>
          <w:spacing w:val="-2"/>
          <w:w w:val="100"/>
          <w:sz w:val="21"/>
        </w:rPr>
        <w:t>n</w:t>
      </w:r>
      <w:r>
        <w:rPr>
          <w:w w:val="100"/>
          <w:sz w:val="21"/>
        </w:rPr>
        <w:t>dents </w:t>
      </w:r>
      <w:r>
        <w:rPr>
          <w:sz w:val="21"/>
        </w:rPr>
        <w:t>claiming, inter alia, for the following</w:t>
      </w:r>
      <w:r>
        <w:rPr>
          <w:spacing w:val="-13"/>
          <w:sz w:val="21"/>
        </w:rPr>
        <w:t> </w:t>
      </w:r>
      <w:r>
        <w:rPr>
          <w:sz w:val="21"/>
        </w:rPr>
        <w:t>reliefs:</w:t>
      </w:r>
    </w:p>
    <w:p>
      <w:pPr>
        <w:spacing w:line="239" w:lineRule="exact" w:before="0"/>
        <w:ind w:left="1940" w:right="0" w:firstLine="0"/>
        <w:jc w:val="both"/>
        <w:rPr>
          <w:sz w:val="21"/>
        </w:rPr>
      </w:pPr>
      <w:r>
        <w:rPr>
          <w:spacing w:val="-1"/>
          <w:w w:val="33"/>
          <w:sz w:val="21"/>
        </w:rPr>
        <w:t>―</w:t>
      </w:r>
      <w:r>
        <w:rPr>
          <w:spacing w:val="-1"/>
          <w:w w:val="100"/>
          <w:sz w:val="21"/>
        </w:rPr>
        <w:t>(a</w:t>
      </w:r>
      <w:r>
        <w:rPr>
          <w:w w:val="100"/>
          <w:sz w:val="21"/>
        </w:rPr>
        <w:t>)</w:t>
      </w:r>
      <w:r>
        <w:rPr>
          <w:spacing w:val="-2"/>
          <w:sz w:val="21"/>
        </w:rPr>
        <w:t> </w:t>
      </w:r>
      <w:r>
        <w:rPr>
          <w:w w:val="100"/>
          <w:sz w:val="21"/>
        </w:rPr>
        <w:t>For</w:t>
      </w:r>
      <w:r>
        <w:rPr>
          <w:spacing w:val="-2"/>
          <w:sz w:val="21"/>
        </w:rPr>
        <w:t> </w:t>
      </w:r>
      <w:r>
        <w:rPr>
          <w:spacing w:val="-1"/>
          <w:w w:val="100"/>
          <w:sz w:val="21"/>
        </w:rPr>
        <w:t>declara</w:t>
      </w:r>
      <w:r>
        <w:rPr>
          <w:spacing w:val="-2"/>
          <w:w w:val="100"/>
          <w:sz w:val="21"/>
        </w:rPr>
        <w:t>ti</w:t>
      </w:r>
      <w:r>
        <w:rPr>
          <w:spacing w:val="-1"/>
          <w:w w:val="100"/>
          <w:sz w:val="21"/>
        </w:rPr>
        <w:t>o</w:t>
      </w:r>
      <w:r>
        <w:rPr>
          <w:w w:val="100"/>
          <w:sz w:val="21"/>
        </w:rPr>
        <w:t>n</w:t>
      </w:r>
      <w:r>
        <w:rPr>
          <w:spacing w:val="-1"/>
          <w:sz w:val="21"/>
        </w:rPr>
        <w:t> </w:t>
      </w:r>
      <w:r>
        <w:rPr>
          <w:spacing w:val="-3"/>
          <w:w w:val="100"/>
          <w:sz w:val="21"/>
        </w:rPr>
        <w:t>o</w:t>
      </w:r>
      <w:r>
        <w:rPr>
          <w:w w:val="100"/>
          <w:sz w:val="21"/>
        </w:rPr>
        <w:t>f</w:t>
      </w:r>
      <w:r>
        <w:rPr>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p</w:t>
      </w:r>
      <w:r>
        <w:rPr>
          <w:spacing w:val="1"/>
          <w:w w:val="100"/>
          <w:sz w:val="21"/>
        </w:rPr>
        <w:t>l</w:t>
      </w:r>
      <w:r>
        <w:rPr>
          <w:spacing w:val="-3"/>
          <w:w w:val="100"/>
          <w:sz w:val="21"/>
        </w:rPr>
        <w:t>a</w:t>
      </w:r>
      <w:r>
        <w:rPr>
          <w:w w:val="100"/>
          <w:sz w:val="21"/>
        </w:rPr>
        <w:t>i</w:t>
      </w:r>
      <w:r>
        <w:rPr>
          <w:spacing w:val="-1"/>
          <w:w w:val="100"/>
          <w:sz w:val="21"/>
        </w:rPr>
        <w:t>nt</w:t>
      </w:r>
      <w:r>
        <w:rPr>
          <w:spacing w:val="-2"/>
          <w:w w:val="100"/>
          <w:sz w:val="21"/>
        </w:rPr>
        <w:t>if</w:t>
      </w:r>
      <w:r>
        <w:rPr>
          <w:spacing w:val="1"/>
          <w:w w:val="100"/>
          <w:sz w:val="21"/>
        </w:rPr>
        <w:t>f</w:t>
      </w:r>
      <w:r>
        <w:rPr>
          <w:w w:val="100"/>
          <w:sz w:val="21"/>
        </w:rPr>
        <w:t>'s</w:t>
      </w:r>
      <w:r>
        <w:rPr>
          <w:spacing w:val="-1"/>
          <w:sz w:val="21"/>
        </w:rPr>
        <w:t> </w:t>
      </w:r>
      <w:r>
        <w:rPr>
          <w:spacing w:val="-2"/>
          <w:w w:val="100"/>
          <w:sz w:val="21"/>
        </w:rPr>
        <w:t>t</w:t>
      </w:r>
      <w:r>
        <w:rPr>
          <w:w w:val="100"/>
          <w:sz w:val="21"/>
        </w:rPr>
        <w:t>i</w:t>
      </w:r>
      <w:r>
        <w:rPr>
          <w:spacing w:val="-2"/>
          <w:w w:val="100"/>
          <w:sz w:val="21"/>
        </w:rPr>
        <w:t>tl</w:t>
      </w:r>
      <w:r>
        <w:rPr>
          <w:w w:val="100"/>
          <w:sz w:val="21"/>
        </w:rPr>
        <w:t>e</w:t>
      </w:r>
      <w:r>
        <w:rPr>
          <w:spacing w:val="-1"/>
          <w:sz w:val="21"/>
        </w:rPr>
        <w:t> </w:t>
      </w:r>
      <w:r>
        <w:rPr>
          <w:spacing w:val="-2"/>
          <w:w w:val="100"/>
          <w:sz w:val="21"/>
        </w:rPr>
        <w:t>t</w:t>
      </w:r>
      <w:r>
        <w:rPr>
          <w:w w:val="100"/>
          <w:sz w:val="21"/>
        </w:rPr>
        <w:t>o</w:t>
      </w:r>
      <w:r>
        <w:rPr>
          <w:spacing w:val="-1"/>
          <w:sz w:val="21"/>
        </w:rPr>
        <w:t> </w:t>
      </w:r>
      <w:r>
        <w:rPr>
          <w:spacing w:val="-2"/>
          <w:w w:val="100"/>
          <w:sz w:val="21"/>
        </w:rPr>
        <w:t>t</w:t>
      </w:r>
      <w:r>
        <w:rPr>
          <w:spacing w:val="-1"/>
          <w:w w:val="100"/>
          <w:sz w:val="21"/>
        </w:rPr>
        <w:t>h</w:t>
      </w:r>
      <w:r>
        <w:rPr>
          <w:w w:val="100"/>
          <w:sz w:val="21"/>
        </w:rPr>
        <w:t>e</w:t>
      </w:r>
      <w:r>
        <w:rPr>
          <w:spacing w:val="-1"/>
          <w:sz w:val="21"/>
        </w:rPr>
        <w:t> </w:t>
      </w:r>
      <w:r>
        <w:rPr>
          <w:w w:val="100"/>
          <w:sz w:val="21"/>
        </w:rPr>
        <w:t>su</w:t>
      </w:r>
      <w:r>
        <w:rPr>
          <w:spacing w:val="1"/>
          <w:w w:val="100"/>
          <w:sz w:val="21"/>
        </w:rPr>
        <w:t>i</w:t>
      </w:r>
      <w:r>
        <w:rPr>
          <w:w w:val="100"/>
          <w:sz w:val="21"/>
        </w:rPr>
        <w:t>t</w:t>
      </w:r>
      <w:r>
        <w:rPr>
          <w:spacing w:val="-2"/>
          <w:sz w:val="21"/>
        </w:rPr>
        <w:t> </w:t>
      </w:r>
      <w:r>
        <w:rPr>
          <w:spacing w:val="-1"/>
          <w:w w:val="100"/>
          <w:sz w:val="21"/>
        </w:rPr>
        <w:t>p</w:t>
      </w:r>
      <w:r>
        <w:rPr>
          <w:spacing w:val="-3"/>
          <w:w w:val="100"/>
          <w:sz w:val="21"/>
        </w:rPr>
        <w:t>r</w:t>
      </w:r>
      <w:r>
        <w:rPr>
          <w:spacing w:val="-1"/>
          <w:w w:val="100"/>
          <w:sz w:val="21"/>
        </w:rPr>
        <w:t>oper</w:t>
      </w:r>
      <w:r>
        <w:rPr>
          <w:spacing w:val="-2"/>
          <w:w w:val="100"/>
          <w:sz w:val="21"/>
        </w:rPr>
        <w:t>t</w:t>
      </w:r>
      <w:r>
        <w:rPr>
          <w:spacing w:val="-3"/>
          <w:w w:val="100"/>
          <w:sz w:val="21"/>
        </w:rPr>
        <w:t>y</w:t>
      </w:r>
      <w:r>
        <w:rPr>
          <w:w w:val="100"/>
          <w:sz w:val="21"/>
        </w:rPr>
        <w:t>;</w:t>
      </w:r>
    </w:p>
    <w:p>
      <w:pPr>
        <w:pStyle w:val="ListParagraph"/>
        <w:numPr>
          <w:ilvl w:val="1"/>
          <w:numId w:val="214"/>
        </w:numPr>
        <w:tabs>
          <w:tab w:pos="2294" w:val="left" w:leader="none"/>
        </w:tabs>
        <w:spacing w:line="276" w:lineRule="auto" w:before="37" w:after="0"/>
        <w:ind w:left="1940" w:right="2256" w:firstLine="0"/>
        <w:jc w:val="both"/>
        <w:rPr>
          <w:sz w:val="21"/>
        </w:rPr>
      </w:pPr>
      <w:r>
        <w:rPr>
          <w:sz w:val="21"/>
        </w:rPr>
        <w:t>For consequential injunction, restraining the defendants, their men, agents, servants, etc. from in any manner interfering with the plaintiff's peaceful possession and enjoyment of the suit</w:t>
      </w:r>
      <w:r>
        <w:rPr>
          <w:spacing w:val="-6"/>
          <w:sz w:val="21"/>
        </w:rPr>
        <w:t> </w:t>
      </w:r>
      <w:r>
        <w:rPr>
          <w:sz w:val="21"/>
        </w:rPr>
        <w:t>property.</w:t>
      </w:r>
    </w:p>
    <w:p>
      <w:pPr>
        <w:pStyle w:val="ListParagraph"/>
        <w:numPr>
          <w:ilvl w:val="1"/>
          <w:numId w:val="214"/>
        </w:numPr>
        <w:tabs>
          <w:tab w:pos="2318" w:val="left" w:leader="none"/>
        </w:tabs>
        <w:spacing w:line="276" w:lineRule="auto" w:before="0" w:after="0"/>
        <w:ind w:left="1940" w:right="2255" w:firstLine="0"/>
        <w:jc w:val="both"/>
        <w:rPr>
          <w:sz w:val="21"/>
        </w:rPr>
      </w:pPr>
      <w:r>
        <w:rPr>
          <w:sz w:val="21"/>
        </w:rPr>
        <w:t>Alternatively, if for any reason this Honourable Court comes to a conclusion that the plaintiff is out of possession, for recovery of vacant possession of the suit</w:t>
      </w:r>
      <w:r>
        <w:rPr>
          <w:spacing w:val="-12"/>
          <w:sz w:val="21"/>
        </w:rPr>
        <w:t> </w:t>
      </w:r>
      <w:r>
        <w:rPr>
          <w:sz w:val="21"/>
        </w:rPr>
        <w:t>property;</w:t>
      </w:r>
    </w:p>
    <w:p>
      <w:pPr>
        <w:pStyle w:val="ListParagraph"/>
        <w:numPr>
          <w:ilvl w:val="1"/>
          <w:numId w:val="214"/>
        </w:numPr>
        <w:tabs>
          <w:tab w:pos="2255" w:val="left" w:leader="none"/>
        </w:tabs>
        <w:spacing w:line="240" w:lineRule="auto" w:before="40" w:after="0"/>
        <w:ind w:left="2254" w:right="0" w:hanging="315"/>
        <w:jc w:val="both"/>
        <w:rPr>
          <w:sz w:val="21"/>
        </w:rPr>
      </w:pPr>
      <w:r>
        <w:rPr>
          <w:sz w:val="21"/>
        </w:rPr>
        <w:t>Directing the defendant to pay the costs of this</w:t>
      </w:r>
      <w:r>
        <w:rPr>
          <w:spacing w:val="-17"/>
          <w:sz w:val="21"/>
        </w:rPr>
        <w:t> </w:t>
      </w:r>
      <w:r>
        <w:rPr>
          <w:sz w:val="21"/>
        </w:rPr>
        <w:t>suit.‖</w:t>
      </w:r>
    </w:p>
    <w:p>
      <w:pPr>
        <w:pStyle w:val="BodyText"/>
        <w:rPr>
          <w:sz w:val="20"/>
        </w:rPr>
      </w:pPr>
    </w:p>
    <w:p>
      <w:pPr>
        <w:pStyle w:val="BodyText"/>
        <w:rPr>
          <w:sz w:val="20"/>
        </w:rPr>
      </w:pPr>
    </w:p>
    <w:p>
      <w:pPr>
        <w:pStyle w:val="BodyText"/>
        <w:rPr>
          <w:sz w:val="20"/>
        </w:rPr>
      </w:pPr>
    </w:p>
    <w:p>
      <w:pPr>
        <w:pStyle w:val="BodyText"/>
        <w:spacing w:before="4"/>
        <w:rPr>
          <w:sz w:val="17"/>
        </w:rPr>
      </w:pPr>
      <w:r>
        <w:rPr/>
        <w:pict>
          <v:rect style="position:absolute;margin-left:72.024002pt;margin-top:11.933191pt;width:144.020pt;height:.599980pt;mso-position-horizontal-relative:page;mso-position-vertical-relative:paragraph;z-index:-1563238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328</w:t>
      </w:r>
      <w:r>
        <w:rPr>
          <w:sz w:val="18"/>
          <w:vertAlign w:val="baseline"/>
        </w:rPr>
        <w:t> (2007) 14 SCC 183</w:t>
      </w:r>
    </w:p>
    <w:p>
      <w:pPr>
        <w:spacing w:after="0"/>
        <w:jc w:val="left"/>
        <w:rPr>
          <w:sz w:val="18"/>
        </w:rPr>
        <w:sectPr>
          <w:pgSz w:w="11910" w:h="16840"/>
          <w:pgMar w:header="721" w:footer="1014" w:top="1300" w:bottom="1200" w:left="940" w:right="1000"/>
        </w:sectPr>
      </w:pPr>
    </w:p>
    <w:p>
      <w:pPr>
        <w:pStyle w:val="BodyText"/>
        <w:spacing w:line="480" w:lineRule="auto" w:before="124"/>
        <w:ind w:left="500" w:right="439"/>
        <w:jc w:val="both"/>
      </w:pPr>
      <w:r>
        <w:rPr/>
        <w:t>This Court in proceedings arising out of an application for rejection of a plaint under Order VII Rule 11 of the CPC, held that a plea in such a form would not invalidate the additional relief. The Court observed:</w:t>
      </w:r>
    </w:p>
    <w:p>
      <w:pPr>
        <w:spacing w:line="276" w:lineRule="auto" w:before="0"/>
        <w:ind w:left="1940" w:right="2255" w:firstLine="0"/>
        <w:jc w:val="both"/>
        <w:rPr>
          <w:sz w:val="21"/>
        </w:rPr>
      </w:pPr>
      <w:r>
        <w:rPr>
          <w:spacing w:val="-1"/>
          <w:w w:val="33"/>
          <w:sz w:val="21"/>
        </w:rPr>
        <w:t>―</w:t>
      </w:r>
      <w:r>
        <w:rPr>
          <w:spacing w:val="-1"/>
          <w:w w:val="100"/>
          <w:sz w:val="21"/>
        </w:rPr>
        <w:t>14</w:t>
      </w:r>
      <w:r>
        <w:rPr>
          <w:w w:val="100"/>
          <w:sz w:val="21"/>
        </w:rPr>
        <w:t>.</w:t>
      </w:r>
      <w:r>
        <w:rPr>
          <w:spacing w:val="-2"/>
          <w:sz w:val="21"/>
        </w:rPr>
        <w:t> </w:t>
      </w:r>
      <w:r>
        <w:rPr>
          <w:spacing w:val="-2"/>
          <w:w w:val="100"/>
          <w:sz w:val="21"/>
        </w:rPr>
        <w:t>I</w:t>
      </w:r>
      <w:r>
        <w:rPr>
          <w:w w:val="100"/>
          <w:sz w:val="21"/>
        </w:rPr>
        <w:t>f</w:t>
      </w:r>
      <w:r>
        <w:rPr>
          <w:sz w:val="21"/>
        </w:rPr>
        <w:t> </w:t>
      </w:r>
      <w:r>
        <w:rPr>
          <w:spacing w:val="-1"/>
          <w:sz w:val="21"/>
        </w:rPr>
        <w:t> </w:t>
      </w:r>
      <w:r>
        <w:rPr>
          <w:spacing w:val="-2"/>
          <w:w w:val="100"/>
          <w:sz w:val="21"/>
        </w:rPr>
        <w:t>t</w:t>
      </w:r>
      <w:r>
        <w:rPr>
          <w:w w:val="100"/>
          <w:sz w:val="21"/>
        </w:rPr>
        <w:t>he</w:t>
      </w:r>
      <w:r>
        <w:rPr>
          <w:sz w:val="21"/>
        </w:rPr>
        <w:t> </w:t>
      </w:r>
      <w:r>
        <w:rPr>
          <w:spacing w:val="-2"/>
          <w:sz w:val="21"/>
        </w:rPr>
        <w:t> </w:t>
      </w:r>
      <w:r>
        <w:rPr>
          <w:w w:val="100"/>
          <w:sz w:val="21"/>
        </w:rPr>
        <w:t>p</w:t>
      </w:r>
      <w:r>
        <w:rPr>
          <w:spacing w:val="-2"/>
          <w:w w:val="100"/>
          <w:sz w:val="21"/>
        </w:rPr>
        <w:t>l</w:t>
      </w:r>
      <w:r>
        <w:rPr>
          <w:w w:val="100"/>
          <w:sz w:val="21"/>
        </w:rPr>
        <w:t>a</w:t>
      </w:r>
      <w:r>
        <w:rPr>
          <w:spacing w:val="1"/>
          <w:w w:val="100"/>
          <w:sz w:val="21"/>
        </w:rPr>
        <w:t>i</w:t>
      </w:r>
      <w:r>
        <w:rPr>
          <w:w w:val="100"/>
          <w:sz w:val="21"/>
        </w:rPr>
        <w:t>n</w:t>
      </w:r>
      <w:r>
        <w:rPr>
          <w:spacing w:val="-4"/>
          <w:w w:val="100"/>
          <w:sz w:val="21"/>
        </w:rPr>
        <w:t>t</w:t>
      </w:r>
      <w:r>
        <w:rPr>
          <w:w w:val="100"/>
          <w:sz w:val="21"/>
        </w:rPr>
        <w:t>i</w:t>
      </w:r>
      <w:r>
        <w:rPr>
          <w:spacing w:val="-2"/>
          <w:w w:val="100"/>
          <w:sz w:val="21"/>
        </w:rPr>
        <w:t>f</w:t>
      </w:r>
      <w:r>
        <w:rPr>
          <w:w w:val="100"/>
          <w:sz w:val="21"/>
        </w:rPr>
        <w:t>f</w:t>
      </w:r>
      <w:r>
        <w:rPr>
          <w:sz w:val="21"/>
        </w:rPr>
        <w:t> </w:t>
      </w:r>
      <w:r>
        <w:rPr>
          <w:spacing w:val="-1"/>
          <w:sz w:val="21"/>
        </w:rPr>
        <w:t> </w:t>
      </w:r>
      <w:r>
        <w:rPr>
          <w:spacing w:val="-2"/>
          <w:w w:val="100"/>
          <w:sz w:val="21"/>
        </w:rPr>
        <w:t>i</w:t>
      </w:r>
      <w:r>
        <w:rPr>
          <w:w w:val="100"/>
          <w:sz w:val="21"/>
        </w:rPr>
        <w:t>s</w:t>
      </w:r>
      <w:r>
        <w:rPr>
          <w:sz w:val="21"/>
        </w:rPr>
        <w:t> </w:t>
      </w:r>
      <w:r>
        <w:rPr>
          <w:spacing w:val="-2"/>
          <w:sz w:val="21"/>
        </w:rPr>
        <w:t> </w:t>
      </w:r>
      <w:r>
        <w:rPr>
          <w:spacing w:val="-2"/>
          <w:w w:val="100"/>
          <w:sz w:val="21"/>
        </w:rPr>
        <w:t>t</w:t>
      </w:r>
      <w:r>
        <w:rPr>
          <w:w w:val="100"/>
          <w:sz w:val="21"/>
        </w:rPr>
        <w:t>o</w:t>
      </w:r>
      <w:r>
        <w:rPr>
          <w:sz w:val="21"/>
        </w:rPr>
        <w:t> </w:t>
      </w:r>
      <w:r>
        <w:rPr>
          <w:spacing w:val="-2"/>
          <w:sz w:val="21"/>
        </w:rPr>
        <w:t> </w:t>
      </w:r>
      <w:r>
        <w:rPr>
          <w:w w:val="100"/>
          <w:sz w:val="21"/>
        </w:rPr>
        <w:t>be</w:t>
      </w:r>
      <w:r>
        <w:rPr>
          <w:sz w:val="21"/>
        </w:rPr>
        <w:t> </w:t>
      </w:r>
      <w:r>
        <w:rPr>
          <w:spacing w:val="-2"/>
          <w:sz w:val="21"/>
        </w:rPr>
        <w:t> </w:t>
      </w:r>
      <w:r>
        <w:rPr>
          <w:w w:val="100"/>
          <w:sz w:val="21"/>
        </w:rPr>
        <w:t>gran</w:t>
      </w:r>
      <w:r>
        <w:rPr>
          <w:spacing w:val="-2"/>
          <w:w w:val="100"/>
          <w:sz w:val="21"/>
        </w:rPr>
        <w:t>t</w:t>
      </w:r>
      <w:r>
        <w:rPr>
          <w:spacing w:val="-3"/>
          <w:w w:val="100"/>
          <w:sz w:val="21"/>
        </w:rPr>
        <w:t>e</w:t>
      </w:r>
      <w:r>
        <w:rPr>
          <w:w w:val="100"/>
          <w:sz w:val="21"/>
        </w:rPr>
        <w:t>d</w:t>
      </w:r>
      <w:r>
        <w:rPr>
          <w:sz w:val="21"/>
        </w:rPr>
        <w:t> </w:t>
      </w:r>
      <w:r>
        <w:rPr>
          <w:spacing w:val="-2"/>
          <w:sz w:val="21"/>
        </w:rPr>
        <w:t> </w:t>
      </w:r>
      <w:r>
        <w:rPr>
          <w:w w:val="100"/>
          <w:sz w:val="21"/>
        </w:rPr>
        <w:t>a</w:t>
      </w:r>
      <w:r>
        <w:rPr>
          <w:sz w:val="21"/>
        </w:rPr>
        <w:t> </w:t>
      </w:r>
      <w:r>
        <w:rPr>
          <w:spacing w:val="-2"/>
          <w:sz w:val="21"/>
        </w:rPr>
        <w:t> </w:t>
      </w:r>
      <w:r>
        <w:rPr>
          <w:spacing w:val="-1"/>
          <w:w w:val="100"/>
          <w:sz w:val="21"/>
        </w:rPr>
        <w:t>r</w:t>
      </w:r>
      <w:r>
        <w:rPr>
          <w:w w:val="100"/>
          <w:sz w:val="21"/>
        </w:rPr>
        <w:t>e</w:t>
      </w:r>
      <w:r>
        <w:rPr>
          <w:spacing w:val="-2"/>
          <w:w w:val="100"/>
          <w:sz w:val="21"/>
        </w:rPr>
        <w:t>l</w:t>
      </w:r>
      <w:r>
        <w:rPr>
          <w:w w:val="100"/>
          <w:sz w:val="21"/>
        </w:rPr>
        <w:t>i</w:t>
      </w:r>
      <w:r>
        <w:rPr>
          <w:spacing w:val="-3"/>
          <w:w w:val="100"/>
          <w:sz w:val="21"/>
        </w:rPr>
        <w:t>e</w:t>
      </w:r>
      <w:r>
        <w:rPr>
          <w:w w:val="100"/>
          <w:sz w:val="21"/>
        </w:rPr>
        <w:t>f</w:t>
      </w:r>
      <w:r>
        <w:rPr>
          <w:sz w:val="21"/>
        </w:rPr>
        <w:t> </w:t>
      </w:r>
      <w:r>
        <w:rPr>
          <w:spacing w:val="-1"/>
          <w:sz w:val="21"/>
        </w:rPr>
        <w:t> </w:t>
      </w:r>
      <w:r>
        <w:rPr>
          <w:spacing w:val="-3"/>
          <w:w w:val="100"/>
          <w:sz w:val="21"/>
        </w:rPr>
        <w:t>o</w:t>
      </w:r>
      <w:r>
        <w:rPr>
          <w:w w:val="100"/>
          <w:sz w:val="21"/>
        </w:rPr>
        <w:t>f</w:t>
      </w:r>
      <w:r>
        <w:rPr>
          <w:sz w:val="21"/>
        </w:rPr>
        <w:t> </w:t>
      </w:r>
      <w:r>
        <w:rPr>
          <w:spacing w:val="-1"/>
          <w:sz w:val="21"/>
        </w:rPr>
        <w:t> </w:t>
      </w:r>
      <w:r>
        <w:rPr>
          <w:spacing w:val="-4"/>
          <w:w w:val="100"/>
          <w:sz w:val="21"/>
        </w:rPr>
        <w:t>r</w:t>
      </w:r>
      <w:r>
        <w:rPr>
          <w:w w:val="100"/>
          <w:sz w:val="21"/>
        </w:rPr>
        <w:t>eco</w:t>
      </w:r>
      <w:r>
        <w:rPr>
          <w:spacing w:val="-3"/>
          <w:w w:val="100"/>
          <w:sz w:val="21"/>
        </w:rPr>
        <w:t>v</w:t>
      </w:r>
      <w:r>
        <w:rPr>
          <w:w w:val="100"/>
          <w:sz w:val="21"/>
        </w:rPr>
        <w:t>ery</w:t>
      </w:r>
      <w:r>
        <w:rPr>
          <w:sz w:val="21"/>
        </w:rPr>
        <w:t> </w:t>
      </w:r>
      <w:r>
        <w:rPr>
          <w:spacing w:val="-5"/>
          <w:sz w:val="21"/>
        </w:rPr>
        <w:t> </w:t>
      </w:r>
      <w:r>
        <w:rPr>
          <w:w w:val="100"/>
          <w:sz w:val="21"/>
        </w:rPr>
        <w:t>of </w:t>
      </w:r>
      <w:r>
        <w:rPr>
          <w:sz w:val="21"/>
        </w:rPr>
        <w:t>possession, the suit could be filed within a period of 12 years. It is one thing to say that whether such a relief can be granted or not after the evidence is led by the parties but it is another thing to say that the plaint is to be rejected on the ground that the same is barred by any law. In the suit which has been filed for possession, as a consequence of declaration of the plaintiff's title, Article 58 will have no</w:t>
      </w:r>
      <w:r>
        <w:rPr>
          <w:spacing w:val="-18"/>
          <w:sz w:val="21"/>
        </w:rPr>
        <w:t> </w:t>
      </w:r>
      <w:r>
        <w:rPr>
          <w:sz w:val="21"/>
        </w:rPr>
        <w:t>application.‖</w:t>
      </w:r>
    </w:p>
    <w:p>
      <w:pPr>
        <w:pStyle w:val="BodyText"/>
        <w:rPr>
          <w:sz w:val="24"/>
        </w:rPr>
      </w:pPr>
    </w:p>
    <w:p>
      <w:pPr>
        <w:pStyle w:val="BodyText"/>
        <w:spacing w:line="480" w:lineRule="auto" w:before="208"/>
        <w:ind w:left="500" w:right="438"/>
        <w:jc w:val="both"/>
      </w:pPr>
      <w:r>
        <w:rPr/>
        <w:t>The suit in the circumstances is a suit for possession of immoveable property falling in the description provided by the first column of Article 142. The suit has been instituted within a period of twelve years of the date of alleged dispossession on 23 December 1949 and is hence within limitation. In the view which has been taken above, the issue about whether a case of a continuing wrong has been established has no relevance. On the basis that the cause of action was completed on 23 December 1949, it is evident that the suit was instituted within a period of twelve years from the date of dispossession. Whether there was a continuing injury as opposed to a continuing wrong hence does not arise in the above view of the</w:t>
      </w:r>
      <w:r>
        <w:rPr>
          <w:spacing w:val="-4"/>
        </w:rPr>
        <w:t> </w:t>
      </w:r>
      <w:r>
        <w:rPr/>
        <w:t>matter.</w:t>
      </w:r>
    </w:p>
    <w:p>
      <w:pPr>
        <w:pStyle w:val="BodyText"/>
        <w:rPr>
          <w:sz w:val="39"/>
        </w:rPr>
      </w:pPr>
    </w:p>
    <w:p>
      <w:pPr>
        <w:pStyle w:val="ListParagraph"/>
        <w:numPr>
          <w:ilvl w:val="0"/>
          <w:numId w:val="166"/>
        </w:numPr>
        <w:tabs>
          <w:tab w:pos="1221" w:val="left" w:leader="none"/>
        </w:tabs>
        <w:spacing w:line="480" w:lineRule="auto" w:before="0" w:after="0"/>
        <w:ind w:left="500" w:right="440" w:firstLine="0"/>
        <w:jc w:val="both"/>
        <w:rPr>
          <w:sz w:val="25"/>
        </w:rPr>
      </w:pPr>
      <w:r>
        <w:rPr>
          <w:sz w:val="25"/>
        </w:rPr>
        <w:t>Mr Parasaran has submitted that the suit is for a declaration under Section 42 of the Specific Relief Act 1877 as to the character of property and not to the title to the property. Learned counsel submitted that prayer (a) as phrased is for a declaration that the property comprised within letters A B C D in the map annexed to the plaint is a public mosque. On this basis, it has been urged that prayer</w:t>
      </w:r>
      <w:r>
        <w:rPr>
          <w:spacing w:val="28"/>
          <w:sz w:val="25"/>
        </w:rPr>
        <w:t> </w:t>
      </w:r>
      <w:r>
        <w:rPr>
          <w:sz w:val="25"/>
        </w:rPr>
        <w:t>(a)</w:t>
      </w:r>
      <w:r>
        <w:rPr>
          <w:spacing w:val="28"/>
          <w:sz w:val="25"/>
        </w:rPr>
        <w:t> </w:t>
      </w:r>
      <w:r>
        <w:rPr>
          <w:sz w:val="25"/>
        </w:rPr>
        <w:t>does</w:t>
      </w:r>
      <w:r>
        <w:rPr>
          <w:spacing w:val="28"/>
          <w:sz w:val="25"/>
        </w:rPr>
        <w:t> </w:t>
      </w:r>
      <w:r>
        <w:rPr>
          <w:sz w:val="25"/>
        </w:rPr>
        <w:t>not</w:t>
      </w:r>
      <w:r>
        <w:rPr>
          <w:spacing w:val="28"/>
          <w:sz w:val="25"/>
        </w:rPr>
        <w:t> </w:t>
      </w:r>
      <w:r>
        <w:rPr>
          <w:sz w:val="25"/>
        </w:rPr>
        <w:t>seek</w:t>
      </w:r>
      <w:r>
        <w:rPr>
          <w:spacing w:val="27"/>
          <w:sz w:val="25"/>
        </w:rPr>
        <w:t> </w:t>
      </w:r>
      <w:r>
        <w:rPr>
          <w:sz w:val="25"/>
        </w:rPr>
        <w:t>a</w:t>
      </w:r>
      <w:r>
        <w:rPr>
          <w:spacing w:val="29"/>
          <w:sz w:val="25"/>
        </w:rPr>
        <w:t> </w:t>
      </w:r>
      <w:r>
        <w:rPr>
          <w:sz w:val="25"/>
        </w:rPr>
        <w:t>declaration</w:t>
      </w:r>
      <w:r>
        <w:rPr>
          <w:spacing w:val="28"/>
          <w:sz w:val="25"/>
        </w:rPr>
        <w:t> </w:t>
      </w:r>
      <w:r>
        <w:rPr>
          <w:sz w:val="25"/>
        </w:rPr>
        <w:t>of</w:t>
      </w:r>
      <w:r>
        <w:rPr>
          <w:spacing w:val="28"/>
          <w:sz w:val="25"/>
        </w:rPr>
        <w:t> </w:t>
      </w:r>
      <w:r>
        <w:rPr>
          <w:sz w:val="25"/>
        </w:rPr>
        <w:t>title.</w:t>
      </w:r>
      <w:r>
        <w:rPr>
          <w:spacing w:val="28"/>
          <w:sz w:val="25"/>
        </w:rPr>
        <w:t> </w:t>
      </w:r>
      <w:r>
        <w:rPr>
          <w:sz w:val="25"/>
        </w:rPr>
        <w:t>There</w:t>
      </w:r>
      <w:r>
        <w:rPr>
          <w:spacing w:val="28"/>
          <w:sz w:val="25"/>
        </w:rPr>
        <w:t> </w:t>
      </w:r>
      <w:r>
        <w:rPr>
          <w:sz w:val="25"/>
        </w:rPr>
        <w:t>is</w:t>
      </w:r>
      <w:r>
        <w:rPr>
          <w:spacing w:val="27"/>
          <w:sz w:val="25"/>
        </w:rPr>
        <w:t> </w:t>
      </w:r>
      <w:r>
        <w:rPr>
          <w:sz w:val="25"/>
        </w:rPr>
        <w:t>no</w:t>
      </w:r>
      <w:r>
        <w:rPr>
          <w:spacing w:val="29"/>
          <w:sz w:val="25"/>
        </w:rPr>
        <w:t> </w:t>
      </w:r>
      <w:r>
        <w:rPr>
          <w:sz w:val="25"/>
        </w:rPr>
        <w:t>merit</w:t>
      </w:r>
      <w:r>
        <w:rPr>
          <w:spacing w:val="27"/>
          <w:sz w:val="25"/>
        </w:rPr>
        <w:t> </w:t>
      </w:r>
      <w:r>
        <w:rPr>
          <w:sz w:val="25"/>
        </w:rPr>
        <w:t>in</w:t>
      </w:r>
      <w:r>
        <w:rPr>
          <w:spacing w:val="28"/>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submission. Prayer (a) seeks a declaration not only with respect to the disputed structure of the mosque but also in regard to the land which was appurtenant to  it. This is also evident from paragraph 21B of the plaint as amended which dealt with the consequence of the demolition of the mosque on 6 December 1992. Paragraph 21B of the plaint contains a plea that notwithstanding the demolition of the structure, the land continues to retain its character as a</w:t>
      </w:r>
      <w:r>
        <w:rPr>
          <w:spacing w:val="-14"/>
        </w:rPr>
        <w:t> </w:t>
      </w:r>
      <w:r>
        <w:rPr/>
        <w:t>mosque.</w:t>
      </w:r>
    </w:p>
    <w:p>
      <w:pPr>
        <w:pStyle w:val="BodyText"/>
        <w:spacing w:before="11"/>
        <w:rPr>
          <w:sz w:val="38"/>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The cause of action as set up by the plaintiffs was that the Muslims were in peaceful possession of the mosque and used to recite prayer in it till 23 December 1949 when a crowd of Hindus with an intent to destroy, damage or defile the mosque entered it and desecrated the mosque by placing idols inside. </w:t>
      </w:r>
      <w:r>
        <w:rPr>
          <w:w w:val="99"/>
          <w:sz w:val="25"/>
        </w:rPr>
        <w:t>T</w:t>
      </w:r>
      <w:r>
        <w:rPr>
          <w:spacing w:val="-1"/>
          <w:w w:val="99"/>
          <w:sz w:val="25"/>
        </w:rPr>
        <w:t>h</w:t>
      </w:r>
      <w:r>
        <w:rPr>
          <w:w w:val="99"/>
          <w:sz w:val="25"/>
        </w:rPr>
        <w:t>e</w:t>
      </w:r>
      <w:r>
        <w:rPr>
          <w:spacing w:val="5"/>
          <w:sz w:val="25"/>
        </w:rPr>
        <w:t> </w:t>
      </w:r>
      <w:r>
        <w:rPr>
          <w:spacing w:val="-1"/>
          <w:w w:val="99"/>
          <w:sz w:val="25"/>
        </w:rPr>
        <w:t>e</w:t>
      </w:r>
      <w:r>
        <w:rPr>
          <w:spacing w:val="-3"/>
          <w:w w:val="99"/>
          <w:sz w:val="25"/>
        </w:rPr>
        <w:t>x</w:t>
      </w:r>
      <w:r>
        <w:rPr>
          <w:spacing w:val="-1"/>
          <w:w w:val="99"/>
          <w:sz w:val="25"/>
        </w:rPr>
        <w:t>p</w:t>
      </w:r>
      <w:r>
        <w:rPr>
          <w:w w:val="99"/>
          <w:sz w:val="25"/>
        </w:rPr>
        <w:t>r</w:t>
      </w:r>
      <w:r>
        <w:rPr>
          <w:spacing w:val="-1"/>
          <w:w w:val="99"/>
          <w:sz w:val="25"/>
        </w:rPr>
        <w:t>essio</w:t>
      </w:r>
      <w:r>
        <w:rPr>
          <w:w w:val="99"/>
          <w:sz w:val="25"/>
        </w:rPr>
        <w:t>n</w:t>
      </w:r>
      <w:r>
        <w:rPr>
          <w:spacing w:val="5"/>
          <w:sz w:val="25"/>
        </w:rPr>
        <w:t> </w:t>
      </w:r>
      <w:r>
        <w:rPr>
          <w:w w:val="33"/>
          <w:sz w:val="25"/>
        </w:rPr>
        <w:t>―</w:t>
      </w:r>
      <w:r>
        <w:rPr>
          <w:w w:val="99"/>
          <w:sz w:val="25"/>
        </w:rPr>
        <w:t>till</w:t>
      </w:r>
      <w:r>
        <w:rPr>
          <w:spacing w:val="4"/>
          <w:sz w:val="25"/>
        </w:rPr>
        <w:t> </w:t>
      </w:r>
      <w:r>
        <w:rPr>
          <w:spacing w:val="-1"/>
          <w:w w:val="99"/>
          <w:sz w:val="25"/>
        </w:rPr>
        <w:t>2</w:t>
      </w:r>
      <w:r>
        <w:rPr>
          <w:w w:val="99"/>
          <w:sz w:val="25"/>
        </w:rPr>
        <w:t>3</w:t>
      </w:r>
      <w:r>
        <w:rPr>
          <w:spacing w:val="5"/>
          <w:sz w:val="25"/>
        </w:rPr>
        <w:t> </w:t>
      </w:r>
      <w:r>
        <w:rPr>
          <w:spacing w:val="-1"/>
          <w:w w:val="99"/>
          <w:sz w:val="25"/>
        </w:rPr>
        <w:t>Dece</w:t>
      </w:r>
      <w:r>
        <w:rPr>
          <w:spacing w:val="1"/>
          <w:w w:val="99"/>
          <w:sz w:val="25"/>
        </w:rPr>
        <w:t>m</w:t>
      </w:r>
      <w:r>
        <w:rPr>
          <w:spacing w:val="-1"/>
          <w:w w:val="99"/>
          <w:sz w:val="25"/>
        </w:rPr>
        <w:t>b</w:t>
      </w:r>
      <w:r>
        <w:rPr>
          <w:w w:val="99"/>
          <w:sz w:val="25"/>
        </w:rPr>
        <w:t>er</w:t>
      </w:r>
      <w:r>
        <w:rPr>
          <w:spacing w:val="5"/>
          <w:sz w:val="25"/>
        </w:rPr>
        <w:t> </w:t>
      </w:r>
      <w:r>
        <w:rPr>
          <w:spacing w:val="-1"/>
          <w:w w:val="99"/>
          <w:sz w:val="25"/>
        </w:rPr>
        <w:t>1</w:t>
      </w:r>
      <w:r>
        <w:rPr>
          <w:w w:val="99"/>
          <w:sz w:val="25"/>
        </w:rPr>
        <w:t>9</w:t>
      </w:r>
      <w:r>
        <w:rPr>
          <w:spacing w:val="-1"/>
          <w:w w:val="99"/>
          <w:sz w:val="25"/>
        </w:rPr>
        <w:t>4</w:t>
      </w:r>
      <w:r>
        <w:rPr>
          <w:w w:val="99"/>
          <w:sz w:val="25"/>
        </w:rPr>
        <w:t>9</w:t>
      </w:r>
      <w:r>
        <w:rPr>
          <w:w w:val="80"/>
          <w:sz w:val="25"/>
        </w:rPr>
        <w:t>‖</w:t>
      </w:r>
      <w:r>
        <w:rPr>
          <w:spacing w:val="5"/>
          <w:sz w:val="25"/>
        </w:rPr>
        <w:t> </w:t>
      </w:r>
      <w:r>
        <w:rPr>
          <w:spacing w:val="-1"/>
          <w:w w:val="99"/>
          <w:sz w:val="25"/>
        </w:rPr>
        <w:t>i</w:t>
      </w:r>
      <w:r>
        <w:rPr>
          <w:w w:val="99"/>
          <w:sz w:val="25"/>
        </w:rPr>
        <w:t>n</w:t>
      </w:r>
      <w:r>
        <w:rPr>
          <w:spacing w:val="2"/>
          <w:sz w:val="25"/>
        </w:rPr>
        <w:t> </w:t>
      </w:r>
      <w:r>
        <w:rPr>
          <w:spacing w:val="-1"/>
          <w:w w:val="99"/>
          <w:sz w:val="25"/>
        </w:rPr>
        <w:t>p</w:t>
      </w:r>
      <w:r>
        <w:rPr>
          <w:w w:val="99"/>
          <w:sz w:val="25"/>
        </w:rPr>
        <w:t>a</w:t>
      </w:r>
      <w:r>
        <w:rPr>
          <w:spacing w:val="7"/>
          <w:w w:val="99"/>
          <w:sz w:val="25"/>
        </w:rPr>
        <w:t>r</w:t>
      </w:r>
      <w:r>
        <w:rPr>
          <w:w w:val="99"/>
          <w:sz w:val="25"/>
        </w:rPr>
        <w:t>ag</w:t>
      </w:r>
      <w:r>
        <w:rPr>
          <w:w w:val="99"/>
          <w:sz w:val="25"/>
        </w:rPr>
        <w:t>r</w:t>
      </w:r>
      <w:r>
        <w:rPr>
          <w:w w:val="99"/>
          <w:sz w:val="25"/>
        </w:rPr>
        <w:t>aph</w:t>
      </w:r>
      <w:r>
        <w:rPr>
          <w:spacing w:val="5"/>
          <w:sz w:val="25"/>
        </w:rPr>
        <w:t> </w:t>
      </w:r>
      <w:r>
        <w:rPr>
          <w:w w:val="99"/>
          <w:sz w:val="25"/>
        </w:rPr>
        <w:t>11</w:t>
      </w:r>
      <w:r>
        <w:rPr>
          <w:spacing w:val="5"/>
          <w:sz w:val="25"/>
        </w:rPr>
        <w:t> </w:t>
      </w:r>
      <w:r>
        <w:rPr>
          <w:w w:val="99"/>
          <w:sz w:val="25"/>
        </w:rPr>
        <w:t>of</w:t>
      </w:r>
      <w:r>
        <w:rPr>
          <w:spacing w:val="2"/>
          <w:sz w:val="25"/>
        </w:rPr>
        <w:t> </w:t>
      </w:r>
      <w:r>
        <w:rPr>
          <w:w w:val="99"/>
          <w:sz w:val="25"/>
        </w:rPr>
        <w:t>the</w:t>
      </w:r>
      <w:r>
        <w:rPr>
          <w:spacing w:val="5"/>
          <w:sz w:val="25"/>
        </w:rPr>
        <w:t> </w:t>
      </w:r>
      <w:r>
        <w:rPr>
          <w:spacing w:val="-2"/>
          <w:w w:val="99"/>
          <w:sz w:val="25"/>
        </w:rPr>
        <w:t>p</w:t>
      </w:r>
      <w:r>
        <w:rPr>
          <w:w w:val="99"/>
          <w:sz w:val="25"/>
        </w:rPr>
        <w:t>laint</w:t>
      </w:r>
      <w:r>
        <w:rPr>
          <w:spacing w:val="5"/>
          <w:sz w:val="25"/>
        </w:rPr>
        <w:t> </w:t>
      </w:r>
      <w:r>
        <w:rPr>
          <w:w w:val="99"/>
          <w:sz w:val="25"/>
        </w:rPr>
        <w:t>qualifies</w:t>
      </w:r>
      <w:r>
        <w:rPr>
          <w:spacing w:val="5"/>
          <w:sz w:val="25"/>
        </w:rPr>
        <w:t> </w:t>
      </w:r>
      <w:r>
        <w:rPr>
          <w:w w:val="99"/>
          <w:sz w:val="25"/>
        </w:rPr>
        <w:t>no</w:t>
      </w:r>
      <w:r>
        <w:rPr>
          <w:w w:val="99"/>
          <w:sz w:val="25"/>
        </w:rPr>
        <w:t>t </w:t>
      </w:r>
      <w:r>
        <w:rPr>
          <w:sz w:val="25"/>
        </w:rPr>
        <w:t>merely the offering of prayers in the mosque but the fact of possession as well. Hence, a reading of paragraph 11 of the plaint indicates that the case of the plaintiffs was that the act of entering upon the mosque on 23 December 1949 and placing idols inside it was intended to destroy, damage and defile the character of the mosque and that by doing so the mosque stood desecrated. Moreover, it is in that context that the pleading in paragraph 23 is that the cause of action arose on 23 December 1949 when the mosque was desecrated and interference in the worship by the Muslims was caused. The evidence on the record indicates that after the idols were introduced into the mosque on 23 December 1949, worship of the idols was conducted by the priests within the precincts of the mosque. Hence, the</w:t>
      </w:r>
      <w:r>
        <w:rPr>
          <w:spacing w:val="49"/>
          <w:sz w:val="25"/>
        </w:rPr>
        <w:t> </w:t>
      </w:r>
      <w:r>
        <w:rPr>
          <w:sz w:val="25"/>
        </w:rPr>
        <w:t>plea</w:t>
      </w:r>
      <w:r>
        <w:rPr>
          <w:spacing w:val="50"/>
          <w:sz w:val="25"/>
        </w:rPr>
        <w:t> </w:t>
      </w:r>
      <w:r>
        <w:rPr>
          <w:sz w:val="25"/>
        </w:rPr>
        <w:t>in</w:t>
      </w:r>
      <w:r>
        <w:rPr>
          <w:spacing w:val="50"/>
          <w:sz w:val="25"/>
        </w:rPr>
        <w:t> </w:t>
      </w:r>
      <w:r>
        <w:rPr>
          <w:sz w:val="25"/>
        </w:rPr>
        <w:t>the</w:t>
      </w:r>
      <w:r>
        <w:rPr>
          <w:spacing w:val="49"/>
          <w:sz w:val="25"/>
        </w:rPr>
        <w:t> </w:t>
      </w:r>
      <w:r>
        <w:rPr>
          <w:sz w:val="25"/>
        </w:rPr>
        <w:t>paragraph</w:t>
      </w:r>
      <w:r>
        <w:rPr>
          <w:spacing w:val="50"/>
          <w:sz w:val="25"/>
        </w:rPr>
        <w:t> </w:t>
      </w:r>
      <w:r>
        <w:rPr>
          <w:sz w:val="25"/>
        </w:rPr>
        <w:t>11</w:t>
      </w:r>
      <w:r>
        <w:rPr>
          <w:spacing w:val="50"/>
          <w:sz w:val="25"/>
        </w:rPr>
        <w:t> </w:t>
      </w:r>
      <w:r>
        <w:rPr>
          <w:sz w:val="25"/>
        </w:rPr>
        <w:t>is</w:t>
      </w:r>
      <w:r>
        <w:rPr>
          <w:spacing w:val="48"/>
          <w:sz w:val="25"/>
        </w:rPr>
        <w:t> </w:t>
      </w:r>
      <w:r>
        <w:rPr>
          <w:sz w:val="25"/>
        </w:rPr>
        <w:t>not</w:t>
      </w:r>
      <w:r>
        <w:rPr>
          <w:spacing w:val="50"/>
          <w:sz w:val="25"/>
        </w:rPr>
        <w:t> </w:t>
      </w:r>
      <w:r>
        <w:rPr>
          <w:sz w:val="25"/>
        </w:rPr>
        <w:t>just</w:t>
      </w:r>
      <w:r>
        <w:rPr>
          <w:spacing w:val="52"/>
          <w:sz w:val="25"/>
        </w:rPr>
        <w:t> </w:t>
      </w:r>
      <w:r>
        <w:rPr>
          <w:sz w:val="25"/>
        </w:rPr>
        <w:t>one</w:t>
      </w:r>
      <w:r>
        <w:rPr>
          <w:spacing w:val="49"/>
          <w:sz w:val="25"/>
        </w:rPr>
        <w:t> </w:t>
      </w:r>
      <w:r>
        <w:rPr>
          <w:sz w:val="25"/>
        </w:rPr>
        <w:t>of</w:t>
      </w:r>
      <w:r>
        <w:rPr>
          <w:spacing w:val="50"/>
          <w:sz w:val="25"/>
        </w:rPr>
        <w:t> </w:t>
      </w:r>
      <w:r>
        <w:rPr>
          <w:sz w:val="25"/>
        </w:rPr>
        <w:t>obstruction</w:t>
      </w:r>
      <w:r>
        <w:rPr>
          <w:spacing w:val="50"/>
          <w:sz w:val="25"/>
        </w:rPr>
        <w:t> </w:t>
      </w:r>
      <w:r>
        <w:rPr>
          <w:sz w:val="25"/>
        </w:rPr>
        <w:t>of</w:t>
      </w:r>
      <w:r>
        <w:rPr>
          <w:spacing w:val="49"/>
          <w:sz w:val="25"/>
        </w:rPr>
        <w:t> </w:t>
      </w:r>
      <w:r>
        <w:rPr>
          <w:sz w:val="25"/>
        </w:rPr>
        <w:t>the</w:t>
      </w:r>
      <w:r>
        <w:rPr>
          <w:spacing w:val="52"/>
          <w:sz w:val="25"/>
        </w:rPr>
        <w:t> </w:t>
      </w:r>
      <w:r>
        <w:rPr>
          <w:sz w:val="25"/>
        </w:rPr>
        <w:t>Muslims</w:t>
      </w:r>
      <w:r>
        <w:rPr>
          <w:spacing w:val="50"/>
          <w:sz w:val="25"/>
        </w:rPr>
        <w:t> </w:t>
      </w:r>
      <w:r>
        <w:rPr>
          <w:sz w:val="25"/>
        </w:rPr>
        <w:t>in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9"/>
        <w:jc w:val="both"/>
      </w:pPr>
      <w:r>
        <w:rPr/>
        <w:t>offering namaz in the mosque after 23 December 1949, but a dispossession with effect from that date.</w:t>
      </w:r>
    </w:p>
    <w:p>
      <w:pPr>
        <w:pStyle w:val="BodyText"/>
        <w:spacing w:before="11"/>
        <w:rPr>
          <w:sz w:val="38"/>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The inner structure was attached by a preliminary order under Section 145 on 29 December 1949 and the receiver assumed charge on 5 January 1950. Reading the pleadings of the plaintiffs as a whole, it is evident that what has been asserted in paragraphs 11 and 23 is not merely an obstruction which was caused to the worship within the precincts of the mosque by the Muslims by the placement of the idols. The case of the Muslims was that the mosque was desecrated and defiled by the installation of the idols. Moreover, the very fact that worship was offered exclusively by the Hindus within the precincts of the mosque after the placement of the idols indicates a loss of possession by the</w:t>
      </w:r>
      <w:r>
        <w:rPr>
          <w:spacing w:val="-19"/>
          <w:sz w:val="25"/>
        </w:rPr>
        <w:t> </w:t>
      </w:r>
      <w:r>
        <w:rPr>
          <w:sz w:val="25"/>
        </w:rPr>
        <w:t>Muslims.</w:t>
      </w:r>
    </w:p>
    <w:p>
      <w:pPr>
        <w:pStyle w:val="BodyText"/>
        <w:spacing w:line="480" w:lineRule="auto" w:before="159"/>
        <w:ind w:left="500" w:right="437"/>
        <w:jc w:val="both"/>
      </w:pPr>
      <w:r>
        <w:rPr/>
        <w:t>An important aspect of the matter is that the events which took place on </w:t>
      </w:r>
      <w:r>
        <w:rPr>
          <w:spacing w:val="2"/>
        </w:rPr>
        <w:t>22/23 </w:t>
      </w:r>
      <w:r>
        <w:rPr/>
        <w:t>December 1949 led to the ouster of the plaintiffs from the mosque. Hence, to read the plaint as a plaint which merely spoke of the obstruction in performing worship and not as a complaint against the ouster of the Muslims would be incorrect. In fact, Justice Sudhir Agarwal has in the course of his discussion  noted that there was an ouster of the Muslims on 23 December 1949. In paragraph 2439, Justice Sudhir Agarwal observed</w:t>
      </w:r>
      <w:r>
        <w:rPr>
          <w:spacing w:val="-5"/>
        </w:rPr>
        <w:t> </w:t>
      </w:r>
      <w:r>
        <w:rPr/>
        <w:t>thus:</w:t>
      </w:r>
    </w:p>
    <w:p>
      <w:pPr>
        <w:spacing w:line="276" w:lineRule="auto" w:before="0"/>
        <w:ind w:left="1940" w:right="2256" w:firstLine="0"/>
        <w:jc w:val="both"/>
        <w:rPr>
          <w:sz w:val="21"/>
        </w:rPr>
      </w:pPr>
      <w:r>
        <w:rPr>
          <w:spacing w:val="-1"/>
          <w:w w:val="33"/>
          <w:sz w:val="21"/>
        </w:rPr>
        <w:t>―</w:t>
      </w:r>
      <w:r>
        <w:rPr>
          <w:w w:val="100"/>
          <w:sz w:val="21"/>
        </w:rPr>
        <w:t>…</w:t>
      </w:r>
      <w:r>
        <w:rPr>
          <w:spacing w:val="-2"/>
          <w:w w:val="100"/>
          <w:sz w:val="21"/>
        </w:rPr>
        <w:t>I</w:t>
      </w:r>
      <w:r>
        <w:rPr>
          <w:w w:val="100"/>
          <w:sz w:val="21"/>
        </w:rPr>
        <w:t>n</w:t>
      </w:r>
      <w:r>
        <w:rPr>
          <w:sz w:val="21"/>
        </w:rPr>
        <w:t> </w:t>
      </w:r>
      <w:r>
        <w:rPr>
          <w:spacing w:val="-4"/>
          <w:sz w:val="21"/>
        </w:rPr>
        <w:t> </w:t>
      </w:r>
      <w:r>
        <w:rPr>
          <w:spacing w:val="-2"/>
          <w:w w:val="100"/>
          <w:sz w:val="21"/>
        </w:rPr>
        <w:t>t</w:t>
      </w:r>
      <w:r>
        <w:rPr>
          <w:spacing w:val="-1"/>
          <w:w w:val="100"/>
          <w:sz w:val="21"/>
        </w:rPr>
        <w:t>h</w:t>
      </w:r>
      <w:r>
        <w:rPr>
          <w:w w:val="100"/>
          <w:sz w:val="21"/>
        </w:rPr>
        <w:t>e</w:t>
      </w:r>
      <w:r>
        <w:rPr>
          <w:sz w:val="21"/>
        </w:rPr>
        <w:t> </w:t>
      </w:r>
      <w:r>
        <w:rPr>
          <w:spacing w:val="-7"/>
          <w:sz w:val="21"/>
        </w:rPr>
        <w:t> </w:t>
      </w:r>
      <w:r>
        <w:rPr>
          <w:w w:val="100"/>
          <w:sz w:val="21"/>
        </w:rPr>
        <w:t>ca</w:t>
      </w:r>
      <w:r>
        <w:rPr>
          <w:spacing w:val="-3"/>
          <w:w w:val="100"/>
          <w:sz w:val="21"/>
        </w:rPr>
        <w:t>s</w:t>
      </w:r>
      <w:r>
        <w:rPr>
          <w:w w:val="100"/>
          <w:sz w:val="21"/>
        </w:rPr>
        <w:t>e</w:t>
      </w:r>
      <w:r>
        <w:rPr>
          <w:sz w:val="21"/>
        </w:rPr>
        <w:t> </w:t>
      </w:r>
      <w:r>
        <w:rPr>
          <w:spacing w:val="-4"/>
          <w:sz w:val="21"/>
        </w:rPr>
        <w:t> </w:t>
      </w:r>
      <w:r>
        <w:rPr>
          <w:spacing w:val="-2"/>
          <w:w w:val="100"/>
          <w:sz w:val="21"/>
        </w:rPr>
        <w:t>i</w:t>
      </w:r>
      <w:r>
        <w:rPr>
          <w:w w:val="100"/>
          <w:sz w:val="21"/>
        </w:rPr>
        <w:t>n</w:t>
      </w:r>
      <w:r>
        <w:rPr>
          <w:sz w:val="21"/>
        </w:rPr>
        <w:t> </w:t>
      </w:r>
      <w:r>
        <w:rPr>
          <w:spacing w:val="-7"/>
          <w:sz w:val="21"/>
        </w:rPr>
        <w:t> </w:t>
      </w:r>
      <w:r>
        <w:rPr>
          <w:spacing w:val="-1"/>
          <w:w w:val="100"/>
          <w:sz w:val="21"/>
        </w:rPr>
        <w:t>han</w:t>
      </w:r>
      <w:r>
        <w:rPr>
          <w:w w:val="100"/>
          <w:sz w:val="21"/>
        </w:rPr>
        <w:t>d,</w:t>
      </w:r>
      <w:r>
        <w:rPr>
          <w:sz w:val="21"/>
        </w:rPr>
        <w:t> </w:t>
      </w:r>
      <w:r>
        <w:rPr>
          <w:spacing w:val="-10"/>
          <w:sz w:val="21"/>
        </w:rPr>
        <w:t> </w:t>
      </w:r>
      <w:r>
        <w:rPr>
          <w:spacing w:val="-2"/>
          <w:w w:val="100"/>
          <w:sz w:val="21"/>
        </w:rPr>
        <w:t>t</w:t>
      </w:r>
      <w:r>
        <w:rPr>
          <w:spacing w:val="-1"/>
          <w:w w:val="100"/>
          <w:sz w:val="21"/>
        </w:rPr>
        <w:t>h</w:t>
      </w:r>
      <w:r>
        <w:rPr>
          <w:w w:val="100"/>
          <w:sz w:val="21"/>
        </w:rPr>
        <w:t>e</w:t>
      </w:r>
      <w:r>
        <w:rPr>
          <w:sz w:val="21"/>
        </w:rPr>
        <w:t> </w:t>
      </w:r>
      <w:r>
        <w:rPr>
          <w:spacing w:val="-4"/>
          <w:sz w:val="21"/>
        </w:rPr>
        <w:t> </w:t>
      </w:r>
      <w:r>
        <w:rPr>
          <w:spacing w:val="-2"/>
          <w:w w:val="100"/>
          <w:sz w:val="21"/>
        </w:rPr>
        <w:t>f</w:t>
      </w:r>
      <w:r>
        <w:rPr>
          <w:spacing w:val="-1"/>
          <w:w w:val="100"/>
          <w:sz w:val="21"/>
        </w:rPr>
        <w:t>act</w:t>
      </w:r>
      <w:r>
        <w:rPr>
          <w:w w:val="100"/>
          <w:sz w:val="21"/>
        </w:rPr>
        <w:t>s</w:t>
      </w:r>
      <w:r>
        <w:rPr>
          <w:sz w:val="21"/>
        </w:rPr>
        <w:t> </w:t>
      </w:r>
      <w:r>
        <w:rPr>
          <w:spacing w:val="-7"/>
          <w:sz w:val="21"/>
        </w:rPr>
        <w:t> </w:t>
      </w:r>
      <w:r>
        <w:rPr>
          <w:spacing w:val="-1"/>
          <w:w w:val="100"/>
          <w:sz w:val="21"/>
        </w:rPr>
        <w:t>p</w:t>
      </w:r>
      <w:r>
        <w:rPr>
          <w:spacing w:val="1"/>
          <w:w w:val="100"/>
          <w:sz w:val="21"/>
        </w:rPr>
        <w:t>l</w:t>
      </w:r>
      <w:r>
        <w:rPr>
          <w:spacing w:val="-3"/>
          <w:w w:val="100"/>
          <w:sz w:val="21"/>
        </w:rPr>
        <w:t>e</w:t>
      </w:r>
      <w:r>
        <w:rPr>
          <w:spacing w:val="-1"/>
          <w:w w:val="100"/>
          <w:sz w:val="21"/>
        </w:rPr>
        <w:t>ad</w:t>
      </w:r>
      <w:r>
        <w:rPr>
          <w:spacing w:val="-2"/>
          <w:w w:val="100"/>
          <w:sz w:val="21"/>
        </w:rPr>
        <w:t>e</w:t>
      </w:r>
      <w:r>
        <w:rPr>
          <w:w w:val="100"/>
          <w:sz w:val="21"/>
        </w:rPr>
        <w:t>d</w:t>
      </w:r>
      <w:r>
        <w:rPr>
          <w:sz w:val="21"/>
        </w:rPr>
        <w:t> </w:t>
      </w:r>
      <w:r>
        <w:rPr>
          <w:spacing w:val="-4"/>
          <w:sz w:val="21"/>
        </w:rPr>
        <w:t> </w:t>
      </w:r>
      <w:r>
        <w:rPr>
          <w:spacing w:val="-1"/>
          <w:w w:val="100"/>
          <w:sz w:val="21"/>
        </w:rPr>
        <w:t>b</w:t>
      </w:r>
      <w:r>
        <w:rPr>
          <w:w w:val="100"/>
          <w:sz w:val="21"/>
        </w:rPr>
        <w:t>y</w:t>
      </w:r>
      <w:r>
        <w:rPr>
          <w:sz w:val="21"/>
        </w:rPr>
        <w:t> </w:t>
      </w:r>
      <w:r>
        <w:rPr>
          <w:spacing w:val="-7"/>
          <w:sz w:val="21"/>
        </w:rPr>
        <w:t> </w:t>
      </w:r>
      <w:r>
        <w:rPr>
          <w:spacing w:val="-2"/>
          <w:w w:val="100"/>
          <w:sz w:val="21"/>
        </w:rPr>
        <w:t>t</w:t>
      </w:r>
      <w:r>
        <w:rPr>
          <w:spacing w:val="-1"/>
          <w:w w:val="100"/>
          <w:sz w:val="21"/>
        </w:rPr>
        <w:t>h</w:t>
      </w:r>
      <w:r>
        <w:rPr>
          <w:w w:val="100"/>
          <w:sz w:val="21"/>
        </w:rPr>
        <w:t>e</w:t>
      </w:r>
      <w:r>
        <w:rPr>
          <w:sz w:val="21"/>
        </w:rPr>
        <w:t> </w:t>
      </w:r>
      <w:r>
        <w:rPr>
          <w:spacing w:val="-7"/>
          <w:sz w:val="21"/>
        </w:rPr>
        <w:t> </w:t>
      </w:r>
      <w:r>
        <w:rPr>
          <w:spacing w:val="-1"/>
          <w:w w:val="100"/>
          <w:sz w:val="21"/>
        </w:rPr>
        <w:t>p</w:t>
      </w:r>
      <w:r>
        <w:rPr>
          <w:spacing w:val="-2"/>
          <w:w w:val="100"/>
          <w:sz w:val="21"/>
        </w:rPr>
        <w:t>l</w:t>
      </w:r>
      <w:r>
        <w:rPr>
          <w:spacing w:val="-1"/>
          <w:w w:val="100"/>
          <w:sz w:val="21"/>
        </w:rPr>
        <w:t>a</w:t>
      </w:r>
      <w:r>
        <w:rPr>
          <w:spacing w:val="1"/>
          <w:w w:val="100"/>
          <w:sz w:val="21"/>
        </w:rPr>
        <w:t>i</w:t>
      </w:r>
      <w:r>
        <w:rPr>
          <w:spacing w:val="-1"/>
          <w:w w:val="100"/>
          <w:sz w:val="21"/>
        </w:rPr>
        <w:t>n</w:t>
      </w:r>
      <w:r>
        <w:rPr>
          <w:spacing w:val="-4"/>
          <w:w w:val="100"/>
          <w:sz w:val="21"/>
        </w:rPr>
        <w:t>t</w:t>
      </w:r>
      <w:r>
        <w:rPr>
          <w:w w:val="100"/>
          <w:sz w:val="21"/>
        </w:rPr>
        <w:t>i</w:t>
      </w:r>
      <w:r>
        <w:rPr>
          <w:spacing w:val="-2"/>
          <w:w w:val="100"/>
          <w:sz w:val="21"/>
        </w:rPr>
        <w:t>f</w:t>
      </w:r>
      <w:r>
        <w:rPr>
          <w:spacing w:val="1"/>
          <w:w w:val="100"/>
          <w:sz w:val="21"/>
        </w:rPr>
        <w:t>f</w:t>
      </w:r>
      <w:r>
        <w:rPr>
          <w:w w:val="100"/>
          <w:sz w:val="21"/>
        </w:rPr>
        <w:t>s </w:t>
      </w:r>
      <w:r>
        <w:rPr>
          <w:sz w:val="21"/>
        </w:rPr>
        <w:t>show that they were ousted from the disputed premises on 22/23rd December, 1949 and the wrong is complete thereon since thereafter they are totally dispossessed from the property in dispute on the ground that they have no</w:t>
      </w:r>
      <w:r>
        <w:rPr>
          <w:spacing w:val="-35"/>
          <w:sz w:val="21"/>
        </w:rPr>
        <w:t> </w:t>
      </w:r>
      <w:r>
        <w:rPr>
          <w:sz w:val="21"/>
        </w:rPr>
        <w:t>title.‖</w:t>
      </w:r>
    </w:p>
    <w:p>
      <w:pPr>
        <w:spacing w:after="0" w:line="276" w:lineRule="auto"/>
        <w:jc w:val="both"/>
        <w:rPr>
          <w:sz w:val="21"/>
        </w:rPr>
        <w:sectPr>
          <w:pgSz w:w="11910" w:h="16840"/>
          <w:pgMar w:header="721" w:footer="1014" w:top="1300" w:bottom="1200" w:left="940" w:right="1000"/>
        </w:sectPr>
      </w:pPr>
    </w:p>
    <w:p>
      <w:pPr>
        <w:pStyle w:val="BodyText"/>
        <w:spacing w:before="124"/>
        <w:ind w:left="500"/>
        <w:jc w:val="both"/>
      </w:pPr>
      <w:r>
        <w:rPr/>
        <w:t>A similar observation is contained in paragraph 2443 where it has been noted :</w:t>
      </w:r>
    </w:p>
    <w:p>
      <w:pPr>
        <w:pStyle w:val="BodyText"/>
      </w:pPr>
    </w:p>
    <w:p>
      <w:pPr>
        <w:spacing w:line="276" w:lineRule="auto" w:before="0"/>
        <w:ind w:left="1940" w:right="2257" w:firstLine="0"/>
        <w:jc w:val="both"/>
        <w:rPr>
          <w:sz w:val="21"/>
        </w:rPr>
      </w:pPr>
      <w:r>
        <w:rPr>
          <w:spacing w:val="-1"/>
          <w:w w:val="33"/>
          <w:sz w:val="21"/>
        </w:rPr>
        <w:t>―</w:t>
      </w:r>
      <w:r>
        <w:rPr>
          <w:w w:val="100"/>
          <w:sz w:val="21"/>
        </w:rPr>
        <w:t>…D.</w:t>
      </w:r>
      <w:r>
        <w:rPr>
          <w:spacing w:val="12"/>
          <w:sz w:val="21"/>
        </w:rPr>
        <w:t> </w:t>
      </w:r>
      <w:r>
        <w:rPr>
          <w:spacing w:val="6"/>
          <w:w w:val="100"/>
          <w:sz w:val="21"/>
        </w:rPr>
        <w:t>W</w:t>
      </w:r>
      <w:r>
        <w:rPr>
          <w:spacing w:val="-3"/>
          <w:w w:val="100"/>
          <w:sz w:val="21"/>
        </w:rPr>
        <w:t>he</w:t>
      </w:r>
      <w:r>
        <w:rPr>
          <w:w w:val="100"/>
          <w:sz w:val="21"/>
        </w:rPr>
        <w:t>n</w:t>
      </w:r>
      <w:r>
        <w:rPr>
          <w:spacing w:val="20"/>
          <w:sz w:val="21"/>
        </w:rPr>
        <w:t> </w:t>
      </w:r>
      <w:r>
        <w:rPr>
          <w:spacing w:val="-2"/>
          <w:w w:val="100"/>
          <w:sz w:val="21"/>
        </w:rPr>
        <w:t>t</w:t>
      </w:r>
      <w:r>
        <w:rPr>
          <w:spacing w:val="-1"/>
          <w:w w:val="100"/>
          <w:sz w:val="21"/>
        </w:rPr>
        <w:t>h</w:t>
      </w:r>
      <w:r>
        <w:rPr>
          <w:w w:val="100"/>
          <w:sz w:val="21"/>
        </w:rPr>
        <w:t>e</w:t>
      </w:r>
      <w:r>
        <w:rPr>
          <w:spacing w:val="18"/>
          <w:sz w:val="21"/>
        </w:rPr>
        <w:t> </w:t>
      </w:r>
      <w:r>
        <w:rPr>
          <w:spacing w:val="-2"/>
          <w:w w:val="100"/>
          <w:sz w:val="21"/>
        </w:rPr>
        <w:t>i</w:t>
      </w:r>
      <w:r>
        <w:rPr>
          <w:spacing w:val="-1"/>
          <w:w w:val="100"/>
          <w:sz w:val="21"/>
        </w:rPr>
        <w:t>d</w:t>
      </w:r>
      <w:r>
        <w:rPr>
          <w:spacing w:val="-3"/>
          <w:w w:val="100"/>
          <w:sz w:val="21"/>
        </w:rPr>
        <w:t>o</w:t>
      </w:r>
      <w:r>
        <w:rPr>
          <w:w w:val="100"/>
          <w:sz w:val="21"/>
        </w:rPr>
        <w:t>ls</w:t>
      </w:r>
      <w:r>
        <w:rPr>
          <w:spacing w:val="20"/>
          <w:sz w:val="21"/>
        </w:rPr>
        <w:t> </w:t>
      </w:r>
      <w:r>
        <w:rPr>
          <w:spacing w:val="-2"/>
          <w:w w:val="100"/>
          <w:sz w:val="21"/>
        </w:rPr>
        <w:t>w</w:t>
      </w:r>
      <w:r>
        <w:rPr>
          <w:spacing w:val="-1"/>
          <w:w w:val="100"/>
          <w:sz w:val="21"/>
        </w:rPr>
        <w:t>e</w:t>
      </w:r>
      <w:r>
        <w:rPr>
          <w:spacing w:val="-3"/>
          <w:w w:val="100"/>
          <w:sz w:val="21"/>
        </w:rPr>
        <w:t>r</w:t>
      </w:r>
      <w:r>
        <w:rPr>
          <w:w w:val="100"/>
          <w:sz w:val="21"/>
        </w:rPr>
        <w:t>e</w:t>
      </w:r>
      <w:r>
        <w:rPr>
          <w:spacing w:val="20"/>
          <w:sz w:val="21"/>
        </w:rPr>
        <w:t> </w:t>
      </w:r>
      <w:r>
        <w:rPr>
          <w:spacing w:val="-3"/>
          <w:w w:val="100"/>
          <w:sz w:val="21"/>
        </w:rPr>
        <w:t>p</w:t>
      </w:r>
      <w:r>
        <w:rPr>
          <w:w w:val="100"/>
          <w:sz w:val="21"/>
        </w:rPr>
        <w:t>l</w:t>
      </w:r>
      <w:r>
        <w:rPr>
          <w:spacing w:val="-1"/>
          <w:w w:val="100"/>
          <w:sz w:val="21"/>
        </w:rPr>
        <w:t>a</w:t>
      </w:r>
      <w:r>
        <w:rPr>
          <w:spacing w:val="-3"/>
          <w:w w:val="100"/>
          <w:sz w:val="21"/>
        </w:rPr>
        <w:t>c</w:t>
      </w:r>
      <w:r>
        <w:rPr>
          <w:spacing w:val="-1"/>
          <w:w w:val="100"/>
          <w:sz w:val="21"/>
        </w:rPr>
        <w:t>e</w:t>
      </w:r>
      <w:r>
        <w:rPr>
          <w:w w:val="100"/>
          <w:sz w:val="21"/>
        </w:rPr>
        <w:t>d</w:t>
      </w:r>
      <w:r>
        <w:rPr>
          <w:spacing w:val="18"/>
          <w:sz w:val="21"/>
        </w:rPr>
        <w:t> </w:t>
      </w:r>
      <w:r>
        <w:rPr>
          <w:spacing w:val="-1"/>
          <w:w w:val="100"/>
          <w:sz w:val="21"/>
        </w:rPr>
        <w:t>un</w:t>
      </w:r>
      <w:r>
        <w:rPr>
          <w:spacing w:val="-2"/>
          <w:w w:val="100"/>
          <w:sz w:val="21"/>
        </w:rPr>
        <w:t>d</w:t>
      </w:r>
      <w:r>
        <w:rPr>
          <w:spacing w:val="-1"/>
          <w:w w:val="100"/>
          <w:sz w:val="21"/>
        </w:rPr>
        <w:t>e</w:t>
      </w:r>
      <w:r>
        <w:rPr>
          <w:w w:val="100"/>
          <w:sz w:val="21"/>
        </w:rPr>
        <w:t>r</w:t>
      </w:r>
      <w:r>
        <w:rPr>
          <w:spacing w:val="19"/>
          <w:sz w:val="21"/>
        </w:rPr>
        <w:t> </w:t>
      </w:r>
      <w:r>
        <w:rPr>
          <w:spacing w:val="-2"/>
          <w:w w:val="100"/>
          <w:sz w:val="21"/>
        </w:rPr>
        <w:t>t</w:t>
      </w:r>
      <w:r>
        <w:rPr>
          <w:spacing w:val="-1"/>
          <w:w w:val="100"/>
          <w:sz w:val="21"/>
        </w:rPr>
        <w:t>h</w:t>
      </w:r>
      <w:r>
        <w:rPr>
          <w:w w:val="100"/>
          <w:sz w:val="21"/>
        </w:rPr>
        <w:t>e</w:t>
      </w:r>
      <w:r>
        <w:rPr>
          <w:spacing w:val="18"/>
          <w:sz w:val="21"/>
        </w:rPr>
        <w:t> </w:t>
      </w:r>
      <w:r>
        <w:rPr>
          <w:w w:val="100"/>
          <w:sz w:val="21"/>
        </w:rPr>
        <w:t>c</w:t>
      </w:r>
      <w:r>
        <w:rPr>
          <w:spacing w:val="-3"/>
          <w:w w:val="100"/>
          <w:sz w:val="21"/>
        </w:rPr>
        <w:t>e</w:t>
      </w:r>
      <w:r>
        <w:rPr>
          <w:spacing w:val="-1"/>
          <w:w w:val="100"/>
          <w:sz w:val="21"/>
        </w:rPr>
        <w:t>ntra</w:t>
      </w:r>
      <w:r>
        <w:rPr>
          <w:w w:val="100"/>
          <w:sz w:val="21"/>
        </w:rPr>
        <w:t>l</w:t>
      </w:r>
      <w:r>
        <w:rPr>
          <w:spacing w:val="19"/>
          <w:sz w:val="21"/>
        </w:rPr>
        <w:t> </w:t>
      </w:r>
      <w:r>
        <w:rPr>
          <w:spacing w:val="-1"/>
          <w:w w:val="100"/>
          <w:sz w:val="21"/>
        </w:rPr>
        <w:t>d</w:t>
      </w:r>
      <w:r>
        <w:rPr>
          <w:spacing w:val="-3"/>
          <w:w w:val="100"/>
          <w:sz w:val="21"/>
        </w:rPr>
        <w:t>o</w:t>
      </w:r>
      <w:r>
        <w:rPr>
          <w:spacing w:val="1"/>
          <w:w w:val="100"/>
          <w:sz w:val="21"/>
        </w:rPr>
        <w:t>m</w:t>
      </w:r>
      <w:r>
        <w:rPr>
          <w:w w:val="100"/>
          <w:sz w:val="21"/>
        </w:rPr>
        <w:t>e</w:t>
      </w:r>
      <w:r>
        <w:rPr>
          <w:spacing w:val="18"/>
          <w:sz w:val="21"/>
        </w:rPr>
        <w:t> </w:t>
      </w:r>
      <w:r>
        <w:rPr>
          <w:spacing w:val="-2"/>
          <w:w w:val="100"/>
          <w:sz w:val="21"/>
        </w:rPr>
        <w:t>i</w:t>
      </w:r>
      <w:r>
        <w:rPr>
          <w:w w:val="100"/>
          <w:sz w:val="21"/>
        </w:rPr>
        <w:t>n </w:t>
      </w:r>
      <w:r>
        <w:rPr>
          <w:sz w:val="21"/>
        </w:rPr>
        <w:t>the night of 22nd/23rd December, 1949, and regular daily Puja commenced according to Hindu Shastric Laws ousting Muslims from entering the property in</w:t>
      </w:r>
      <w:r>
        <w:rPr>
          <w:spacing w:val="-16"/>
          <w:sz w:val="21"/>
        </w:rPr>
        <w:t> </w:t>
      </w:r>
      <w:r>
        <w:rPr>
          <w:sz w:val="21"/>
        </w:rPr>
        <w:t>dispute.‖</w:t>
      </w:r>
    </w:p>
    <w:p>
      <w:pPr>
        <w:pStyle w:val="BodyText"/>
        <w:rPr>
          <w:sz w:val="24"/>
        </w:rPr>
      </w:pPr>
    </w:p>
    <w:p>
      <w:pPr>
        <w:pStyle w:val="BodyText"/>
        <w:spacing w:before="2"/>
        <w:rPr>
          <w:sz w:val="21"/>
        </w:rPr>
      </w:pPr>
    </w:p>
    <w:p>
      <w:pPr>
        <w:pStyle w:val="BodyText"/>
        <w:spacing w:line="480" w:lineRule="auto"/>
        <w:ind w:left="500" w:right="441"/>
        <w:jc w:val="both"/>
      </w:pPr>
      <w:r>
        <w:rPr/>
        <w:t>These findings of the learned judge are inconsistent with his earlier observation that there was no ouster from possession but merely an obstruction or interference with worship. The act of placing the idols under the central dome on the night intervening 22/23 December 1949 effectively desecrated the mosque. The evidence indicates that Hindu prayers and worship commenced within the mosque following the installation of the idols. This was an ouster of possession.</w:t>
      </w:r>
    </w:p>
    <w:p>
      <w:pPr>
        <w:pStyle w:val="BodyText"/>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This being the position, the High Court was in error in applying the provisions of Article 120. The suit in essence and substance was governed by Article 142. Though, the last namaz was held on 16 December 1949, the ouster of possession did not take place on that day. The next Friday namaz would have been held on 23 December 1949 and the act of ouster took place on that date and when the mosque was desecrated. The suit which was filed on 18 December 1961 was within a period of 12 years from 23 December 1949 and hence within limitation. The view, which has been taken by the majority of the High Court holding that Suit 4 is barred by limitation, is hence incorrect. Suit 4 was filed within</w:t>
      </w:r>
      <w:r>
        <w:rPr>
          <w:spacing w:val="-2"/>
          <w:sz w:val="25"/>
        </w:rPr>
        <w:t> </w:t>
      </w:r>
      <w:r>
        <w:rPr>
          <w:sz w:val="25"/>
        </w:rPr>
        <w:t>limitation.</w:t>
      </w:r>
    </w:p>
    <w:p>
      <w:pPr>
        <w:pStyle w:val="BodyText"/>
        <w:rPr>
          <w:sz w:val="39"/>
        </w:rPr>
      </w:pPr>
    </w:p>
    <w:p>
      <w:pPr>
        <w:pStyle w:val="BodyText"/>
        <w:spacing w:line="480" w:lineRule="auto"/>
        <w:ind w:left="500" w:right="441"/>
        <w:jc w:val="both"/>
      </w:pPr>
      <w:r>
        <w:rPr/>
        <w:t>Alternatively, even if it is held that the plaintiffs were not in exclusive or settled possession of the inner courtyard, the suit would fall within the residuary Article144 in which event also, the suit would be within limitation.</w:t>
      </w:r>
    </w:p>
    <w:p>
      <w:pPr>
        <w:spacing w:after="0" w:line="480" w:lineRule="auto"/>
        <w:jc w:val="both"/>
        <w:sectPr>
          <w:pgSz w:w="11910" w:h="16840"/>
          <w:pgMar w:header="721" w:footer="1014" w:top="1300" w:bottom="1200" w:left="940" w:right="1000"/>
        </w:sectPr>
      </w:pPr>
    </w:p>
    <w:p>
      <w:pPr>
        <w:pStyle w:val="Heading3"/>
        <w:numPr>
          <w:ilvl w:val="1"/>
          <w:numId w:val="191"/>
        </w:numPr>
        <w:tabs>
          <w:tab w:pos="1220" w:val="left" w:leader="none"/>
          <w:tab w:pos="1221" w:val="left" w:leader="none"/>
        </w:tabs>
        <w:spacing w:line="240" w:lineRule="auto" w:before="124" w:after="0"/>
        <w:ind w:left="1220" w:right="0" w:hanging="721"/>
        <w:jc w:val="left"/>
      </w:pPr>
      <w:r>
        <w:rPr/>
        <w:t>Applicable legal regime and Justice, Equity and Good</w:t>
      </w:r>
      <w:r>
        <w:rPr>
          <w:spacing w:val="-13"/>
        </w:rPr>
        <w:t> </w:t>
      </w:r>
      <w:r>
        <w:rPr/>
        <w:t>Conscience</w:t>
      </w:r>
    </w:p>
    <w:p>
      <w:pPr>
        <w:pStyle w:val="BodyText"/>
        <w:rPr>
          <w:b/>
          <w:sz w:val="28"/>
        </w:rPr>
      </w:pPr>
    </w:p>
    <w:p>
      <w:pPr>
        <w:pStyle w:val="ListParagraph"/>
        <w:numPr>
          <w:ilvl w:val="0"/>
          <w:numId w:val="166"/>
        </w:numPr>
        <w:tabs>
          <w:tab w:pos="1221" w:val="left" w:leader="none"/>
        </w:tabs>
        <w:spacing w:line="480" w:lineRule="auto" w:before="216" w:after="0"/>
        <w:ind w:left="500" w:right="436" w:firstLine="0"/>
        <w:jc w:val="both"/>
        <w:rPr>
          <w:sz w:val="25"/>
        </w:rPr>
      </w:pPr>
      <w:r>
        <w:rPr>
          <w:sz w:val="25"/>
        </w:rPr>
        <w:t>The facts of the present case traverse three centuries. During the oral arguments, the attention of this Court was drawn further back in time to written accounts recording the life of Emperor Babur in the sixteenth and seventeenth century. Taking the court beyond the pages of history, archaeological evidence has been relied upon before the court. In seeking to establish their rights over the disputed land, the parties have turned back the clock of human history, to establish a point of genesis, where one party‘s claims over the disputed property were uncontested: to establish the first right and the first wrong. This court is called on to determine the legal consequences arising out of a thousand years of prayer, contest, construction and destruction at the disputed</w:t>
      </w:r>
      <w:r>
        <w:rPr>
          <w:spacing w:val="-9"/>
          <w:sz w:val="25"/>
        </w:rPr>
        <w:t> </w:t>
      </w:r>
      <w:r>
        <w:rPr>
          <w:sz w:val="25"/>
        </w:rPr>
        <w:t>site.</w:t>
      </w:r>
    </w:p>
    <w:p>
      <w:pPr>
        <w:pStyle w:val="BodyText"/>
        <w:rPr>
          <w:sz w:val="28"/>
        </w:rPr>
      </w:pPr>
    </w:p>
    <w:p>
      <w:pPr>
        <w:pStyle w:val="BodyText"/>
      </w:pPr>
    </w:p>
    <w:p>
      <w:pPr>
        <w:pStyle w:val="ListParagraph"/>
        <w:numPr>
          <w:ilvl w:val="0"/>
          <w:numId w:val="166"/>
        </w:numPr>
        <w:tabs>
          <w:tab w:pos="1221" w:val="left" w:leader="none"/>
        </w:tabs>
        <w:spacing w:line="480" w:lineRule="auto" w:before="0" w:after="0"/>
        <w:ind w:left="500" w:right="435" w:firstLine="0"/>
        <w:jc w:val="both"/>
        <w:rPr>
          <w:sz w:val="25"/>
        </w:rPr>
      </w:pPr>
      <w:r>
        <w:rPr>
          <w:sz w:val="25"/>
        </w:rPr>
        <w:t>During this period, the disputed property has fallen within the territory of various rulers and legal regimes. The question of which party, king or religion had a first claim to the disputed site is one of significant historical interest. But this court must determine what are the legal consequences arising from such an enquiry. Human history is testament to the rise and fall of rulers and regimes. The law cannot be used as a device to reach back in time and provide a legal remedy to every person who disagrees with the course which history </w:t>
      </w:r>
      <w:r>
        <w:rPr>
          <w:spacing w:val="2"/>
          <w:sz w:val="25"/>
        </w:rPr>
        <w:t>has </w:t>
      </w:r>
      <w:r>
        <w:rPr>
          <w:sz w:val="25"/>
        </w:rPr>
        <w:t>taken. The courts of today cannot take cognisance of historical rights and wrongs unless it is shown that their legal consequences are enforceable in the present. Thus, before this Court embarks on a lengthy historical enquiry, it is important to consider the extent to which acts done and rights accrued under previous legal regimes have legal consequences today under our present</w:t>
      </w:r>
      <w:r>
        <w:rPr>
          <w:spacing w:val="-7"/>
          <w:sz w:val="25"/>
        </w:rPr>
        <w:t> </w:t>
      </w:r>
      <w:r>
        <w:rPr>
          <w:sz w:val="25"/>
        </w:rPr>
        <w:t>laws.</w:t>
      </w:r>
    </w:p>
    <w:p>
      <w:pPr>
        <w:spacing w:after="0" w:line="480" w:lineRule="auto"/>
        <w:jc w:val="both"/>
        <w:rPr>
          <w:sz w:val="25"/>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42" w:firstLine="0"/>
        <w:jc w:val="both"/>
        <w:rPr>
          <w:sz w:val="25"/>
        </w:rPr>
      </w:pPr>
      <w:r>
        <w:rPr>
          <w:sz w:val="25"/>
        </w:rPr>
        <w:t>The facts pertaining to the present case fall within four distinct legal </w:t>
      </w:r>
      <w:r>
        <w:rPr>
          <w:w w:val="99"/>
          <w:sz w:val="25"/>
        </w:rPr>
        <w:t>r</w:t>
      </w:r>
      <w:r>
        <w:rPr>
          <w:w w:val="99"/>
          <w:sz w:val="25"/>
        </w:rPr>
        <w:t>egime</w:t>
      </w:r>
      <w:r>
        <w:rPr>
          <w:w w:val="99"/>
          <w:sz w:val="25"/>
        </w:rPr>
        <w:t>s:</w:t>
      </w:r>
      <w:r>
        <w:rPr>
          <w:sz w:val="25"/>
        </w:rPr>
        <w:t> </w:t>
      </w:r>
      <w:r>
        <w:rPr>
          <w:spacing w:val="-17"/>
          <w:sz w:val="25"/>
        </w:rPr>
        <w:t> </w:t>
      </w:r>
      <w:r>
        <w:rPr>
          <w:w w:val="99"/>
          <w:sz w:val="25"/>
        </w:rPr>
        <w:t>(</w:t>
      </w:r>
      <w:r>
        <w:rPr>
          <w:w w:val="99"/>
          <w:sz w:val="25"/>
        </w:rPr>
        <w:t>i)</w:t>
      </w:r>
      <w:r>
        <w:rPr>
          <w:sz w:val="25"/>
        </w:rPr>
        <w:t> </w:t>
      </w:r>
      <w:r>
        <w:rPr>
          <w:spacing w:val="-17"/>
          <w:sz w:val="25"/>
        </w:rPr>
        <w:t> </w:t>
      </w:r>
      <w:r>
        <w:rPr>
          <w:w w:val="99"/>
          <w:sz w:val="25"/>
        </w:rPr>
        <w:t>T</w:t>
      </w:r>
      <w:r>
        <w:rPr>
          <w:w w:val="99"/>
          <w:sz w:val="25"/>
        </w:rPr>
        <w:t>he</w:t>
      </w:r>
      <w:r>
        <w:rPr>
          <w:sz w:val="25"/>
        </w:rPr>
        <w:t> </w:t>
      </w:r>
      <w:r>
        <w:rPr>
          <w:spacing w:val="-17"/>
          <w:sz w:val="25"/>
        </w:rPr>
        <w:t> </w:t>
      </w:r>
      <w:r>
        <w:rPr>
          <w:w w:val="99"/>
          <w:sz w:val="25"/>
        </w:rPr>
        <w:t>kingd</w:t>
      </w:r>
      <w:r>
        <w:rPr>
          <w:w w:val="99"/>
          <w:sz w:val="25"/>
        </w:rPr>
        <w:t>o</w:t>
      </w:r>
      <w:r>
        <w:rPr>
          <w:spacing w:val="1"/>
          <w:w w:val="99"/>
          <w:sz w:val="25"/>
        </w:rPr>
        <w:t>m</w:t>
      </w:r>
      <w:r>
        <w:rPr>
          <w:w w:val="99"/>
          <w:sz w:val="25"/>
        </w:rPr>
        <w:t>s</w:t>
      </w:r>
      <w:r>
        <w:rPr>
          <w:sz w:val="25"/>
        </w:rPr>
        <w:t> </w:t>
      </w:r>
      <w:r>
        <w:rPr>
          <w:spacing w:val="-17"/>
          <w:sz w:val="25"/>
        </w:rPr>
        <w:t> </w:t>
      </w:r>
      <w:r>
        <w:rPr>
          <w:w w:val="99"/>
          <w:sz w:val="25"/>
        </w:rPr>
        <w:t>p</w:t>
      </w:r>
      <w:r>
        <w:rPr>
          <w:spacing w:val="1"/>
          <w:w w:val="99"/>
          <w:sz w:val="25"/>
        </w:rPr>
        <w:t>r</w:t>
      </w:r>
      <w:r>
        <w:rPr>
          <w:w w:val="99"/>
          <w:sz w:val="25"/>
        </w:rPr>
        <w:t>ior</w:t>
      </w:r>
      <w:r>
        <w:rPr>
          <w:sz w:val="25"/>
        </w:rPr>
        <w:t> </w:t>
      </w:r>
      <w:r>
        <w:rPr>
          <w:spacing w:val="-17"/>
          <w:sz w:val="25"/>
        </w:rPr>
        <w:t> </w:t>
      </w:r>
      <w:r>
        <w:rPr>
          <w:w w:val="99"/>
          <w:sz w:val="25"/>
        </w:rPr>
        <w:t>to</w:t>
      </w:r>
      <w:r>
        <w:rPr>
          <w:sz w:val="25"/>
        </w:rPr>
        <w:t> </w:t>
      </w:r>
      <w:r>
        <w:rPr>
          <w:spacing w:val="-17"/>
          <w:sz w:val="25"/>
        </w:rPr>
        <w:t> </w:t>
      </w:r>
      <w:r>
        <w:rPr>
          <w:w w:val="99"/>
          <w:sz w:val="25"/>
        </w:rPr>
        <w:t>1525</w:t>
      </w:r>
      <w:r>
        <w:rPr>
          <w:sz w:val="25"/>
        </w:rPr>
        <w:t> </w:t>
      </w:r>
      <w:r>
        <w:rPr>
          <w:spacing w:val="-17"/>
          <w:sz w:val="25"/>
        </w:rPr>
        <w:t> </w:t>
      </w:r>
      <w:r>
        <w:rPr>
          <w:w w:val="99"/>
          <w:sz w:val="25"/>
        </w:rPr>
        <w:t>du</w:t>
      </w:r>
      <w:r>
        <w:rPr>
          <w:w w:val="99"/>
          <w:sz w:val="25"/>
        </w:rPr>
        <w:t>r</w:t>
      </w:r>
      <w:r>
        <w:rPr>
          <w:w w:val="99"/>
          <w:sz w:val="25"/>
        </w:rPr>
        <w:t>ing</w:t>
      </w:r>
      <w:r>
        <w:rPr>
          <w:sz w:val="25"/>
        </w:rPr>
        <w:t> </w:t>
      </w:r>
      <w:r>
        <w:rPr>
          <w:spacing w:val="-9"/>
          <w:sz w:val="25"/>
        </w:rPr>
        <w:t> </w:t>
      </w:r>
      <w:r>
        <w:rPr>
          <w:spacing w:val="-1"/>
          <w:w w:val="99"/>
          <w:sz w:val="25"/>
        </w:rPr>
        <w:t>whic</w:t>
      </w:r>
      <w:r>
        <w:rPr>
          <w:w w:val="99"/>
          <w:sz w:val="25"/>
        </w:rPr>
        <w:t>h</w:t>
      </w:r>
      <w:r>
        <w:rPr>
          <w:sz w:val="25"/>
        </w:rPr>
        <w:t> </w:t>
      </w:r>
      <w:r>
        <w:rPr>
          <w:spacing w:val="-17"/>
          <w:sz w:val="25"/>
        </w:rPr>
        <w:t> </w:t>
      </w:r>
      <w:r>
        <w:rPr>
          <w:w w:val="99"/>
          <w:sz w:val="25"/>
        </w:rPr>
        <w:t>the</w:t>
      </w:r>
      <w:r>
        <w:rPr>
          <w:sz w:val="25"/>
        </w:rPr>
        <w:t> </w:t>
      </w:r>
      <w:r>
        <w:rPr>
          <w:spacing w:val="-17"/>
          <w:sz w:val="25"/>
        </w:rPr>
        <w:t> </w:t>
      </w:r>
      <w:r>
        <w:rPr>
          <w:w w:val="33"/>
          <w:sz w:val="25"/>
        </w:rPr>
        <w:t>―</w:t>
      </w:r>
      <w:r>
        <w:rPr>
          <w:spacing w:val="-1"/>
          <w:w w:val="99"/>
          <w:sz w:val="25"/>
        </w:rPr>
        <w:t>a</w:t>
      </w:r>
      <w:r>
        <w:rPr>
          <w:w w:val="99"/>
          <w:sz w:val="25"/>
        </w:rPr>
        <w:t>ncient</w:t>
      </w:r>
      <w:r>
        <w:rPr>
          <w:sz w:val="25"/>
        </w:rPr>
        <w:t> </w:t>
      </w:r>
      <w:r>
        <w:rPr>
          <w:spacing w:val="-17"/>
          <w:sz w:val="25"/>
        </w:rPr>
        <w:t> </w:t>
      </w:r>
      <w:r>
        <w:rPr>
          <w:spacing w:val="-1"/>
          <w:w w:val="99"/>
          <w:sz w:val="25"/>
        </w:rPr>
        <w:t>u</w:t>
      </w:r>
      <w:r>
        <w:rPr>
          <w:w w:val="99"/>
          <w:sz w:val="25"/>
        </w:rPr>
        <w:t>n</w:t>
      </w:r>
      <w:r>
        <w:rPr>
          <w:spacing w:val="-1"/>
          <w:w w:val="99"/>
          <w:sz w:val="25"/>
        </w:rPr>
        <w:t>d</w:t>
      </w:r>
      <w:r>
        <w:rPr>
          <w:w w:val="99"/>
          <w:sz w:val="25"/>
        </w:rPr>
        <w:t>er</w:t>
      </w:r>
      <w:r>
        <w:rPr>
          <w:spacing w:val="-1"/>
          <w:w w:val="99"/>
          <w:sz w:val="25"/>
        </w:rPr>
        <w:t>l</w:t>
      </w:r>
      <w:r>
        <w:rPr>
          <w:spacing w:val="-3"/>
          <w:w w:val="99"/>
          <w:sz w:val="25"/>
        </w:rPr>
        <w:t>y</w:t>
      </w:r>
      <w:r>
        <w:rPr>
          <w:spacing w:val="-1"/>
          <w:w w:val="99"/>
          <w:sz w:val="25"/>
        </w:rPr>
        <w:t>ing </w:t>
      </w:r>
      <w:r>
        <w:rPr>
          <w:sz w:val="25"/>
        </w:rPr>
        <w:t>structure‖</w:t>
      </w:r>
      <w:r>
        <w:rPr>
          <w:spacing w:val="20"/>
          <w:sz w:val="25"/>
        </w:rPr>
        <w:t> </w:t>
      </w:r>
      <w:r>
        <w:rPr>
          <w:sz w:val="25"/>
        </w:rPr>
        <w:t>dating</w:t>
      </w:r>
      <w:r>
        <w:rPr>
          <w:spacing w:val="20"/>
          <w:sz w:val="25"/>
        </w:rPr>
        <w:t> </w:t>
      </w:r>
      <w:r>
        <w:rPr>
          <w:sz w:val="25"/>
        </w:rPr>
        <w:t>back</w:t>
      </w:r>
      <w:r>
        <w:rPr>
          <w:spacing w:val="17"/>
          <w:sz w:val="25"/>
        </w:rPr>
        <w:t> </w:t>
      </w:r>
      <w:r>
        <w:rPr>
          <w:sz w:val="25"/>
        </w:rPr>
        <w:t>to</w:t>
      </w:r>
      <w:r>
        <w:rPr>
          <w:spacing w:val="21"/>
          <w:sz w:val="25"/>
        </w:rPr>
        <w:t> </w:t>
      </w:r>
      <w:r>
        <w:rPr>
          <w:sz w:val="25"/>
        </w:rPr>
        <w:t>the</w:t>
      </w:r>
      <w:r>
        <w:rPr>
          <w:spacing w:val="20"/>
          <w:sz w:val="25"/>
        </w:rPr>
        <w:t> </w:t>
      </w:r>
      <w:r>
        <w:rPr>
          <w:sz w:val="25"/>
        </w:rPr>
        <w:t>twelfth</w:t>
      </w:r>
      <w:r>
        <w:rPr>
          <w:spacing w:val="20"/>
          <w:sz w:val="25"/>
        </w:rPr>
        <w:t> </w:t>
      </w:r>
      <w:r>
        <w:rPr>
          <w:sz w:val="25"/>
        </w:rPr>
        <w:t>century</w:t>
      </w:r>
      <w:r>
        <w:rPr>
          <w:spacing w:val="19"/>
          <w:sz w:val="25"/>
        </w:rPr>
        <w:t> </w:t>
      </w:r>
      <w:r>
        <w:rPr>
          <w:sz w:val="25"/>
        </w:rPr>
        <w:t>is</w:t>
      </w:r>
      <w:r>
        <w:rPr>
          <w:spacing w:val="20"/>
          <w:sz w:val="25"/>
        </w:rPr>
        <w:t> </w:t>
      </w:r>
      <w:r>
        <w:rPr>
          <w:sz w:val="25"/>
        </w:rPr>
        <w:t>stated</w:t>
      </w:r>
      <w:r>
        <w:rPr>
          <w:spacing w:val="20"/>
          <w:sz w:val="25"/>
        </w:rPr>
        <w:t> </w:t>
      </w:r>
      <w:r>
        <w:rPr>
          <w:sz w:val="25"/>
        </w:rPr>
        <w:t>to</w:t>
      </w:r>
      <w:r>
        <w:rPr>
          <w:spacing w:val="20"/>
          <w:sz w:val="25"/>
        </w:rPr>
        <w:t> </w:t>
      </w:r>
      <w:r>
        <w:rPr>
          <w:sz w:val="25"/>
        </w:rPr>
        <w:t>have</w:t>
      </w:r>
      <w:r>
        <w:rPr>
          <w:spacing w:val="22"/>
          <w:sz w:val="25"/>
        </w:rPr>
        <w:t> </w:t>
      </w:r>
      <w:r>
        <w:rPr>
          <w:sz w:val="25"/>
        </w:rPr>
        <w:t>been</w:t>
      </w:r>
      <w:r>
        <w:rPr>
          <w:spacing w:val="21"/>
          <w:sz w:val="25"/>
        </w:rPr>
        <w:t> </w:t>
      </w:r>
      <w:r>
        <w:rPr>
          <w:sz w:val="25"/>
        </w:rPr>
        <w:t>constructed;</w:t>
      </w:r>
    </w:p>
    <w:p>
      <w:pPr>
        <w:pStyle w:val="BodyText"/>
        <w:spacing w:line="480" w:lineRule="auto"/>
        <w:ind w:left="500" w:right="434"/>
        <w:jc w:val="both"/>
      </w:pPr>
      <w:r>
        <w:rPr/>
        <w:t>(ii) The Mughal rule between 1525 and 1856 during which the mosque was constructed at the disputed site; (iii) The period between 1856 and 1947 during which the disputed property came under colonial rule; and (iv) The period after 1947 until the present day in independent India.</w:t>
      </w:r>
    </w:p>
    <w:p>
      <w:pPr>
        <w:pStyle w:val="BodyText"/>
        <w:rPr>
          <w:sz w:val="28"/>
        </w:rPr>
      </w:pPr>
    </w:p>
    <w:p>
      <w:pPr>
        <w:pStyle w:val="BodyText"/>
        <w:spacing w:before="9"/>
        <w:rPr>
          <w:sz w:val="24"/>
        </w:rPr>
      </w:pPr>
    </w:p>
    <w:p>
      <w:pPr>
        <w:pStyle w:val="ListParagraph"/>
        <w:numPr>
          <w:ilvl w:val="0"/>
          <w:numId w:val="166"/>
        </w:numPr>
        <w:tabs>
          <w:tab w:pos="1221" w:val="left" w:leader="none"/>
        </w:tabs>
        <w:spacing w:line="480" w:lineRule="auto" w:before="1" w:after="0"/>
        <w:ind w:left="500" w:right="433" w:firstLine="0"/>
        <w:jc w:val="both"/>
        <w:rPr>
          <w:sz w:val="25"/>
        </w:rPr>
      </w:pPr>
      <w:r>
        <w:rPr>
          <w:sz w:val="25"/>
        </w:rPr>
        <w:t>Mr Vaidyanathan, learned Senior Counsel appearing on behalf of the plaintiffs in Suit 5, placed great emphasis on the existence of an ancient Hindu structure underneath the disputed property. Counsel contended that the ruins of this structure were used in the construction of the mosque. Mr H S Jain, learned counsel appearing on behalf of the Hindu MahaSabha urged that during Babur‘s invasion of India, several temples were destroyed, including the temple constructed by Vikramaditya at Ayodhya. He contended that during the Mughal period,</w:t>
      </w:r>
      <w:r>
        <w:rPr>
          <w:spacing w:val="-9"/>
          <w:sz w:val="25"/>
        </w:rPr>
        <w:t> </w:t>
      </w:r>
      <w:r>
        <w:rPr>
          <w:sz w:val="25"/>
        </w:rPr>
        <w:t>the</w:t>
      </w:r>
      <w:r>
        <w:rPr>
          <w:spacing w:val="-8"/>
          <w:sz w:val="25"/>
        </w:rPr>
        <w:t> </w:t>
      </w:r>
      <w:r>
        <w:rPr>
          <w:sz w:val="25"/>
        </w:rPr>
        <w:t>territory</w:t>
      </w:r>
      <w:r>
        <w:rPr>
          <w:spacing w:val="-11"/>
          <w:sz w:val="25"/>
        </w:rPr>
        <w:t> </w:t>
      </w:r>
      <w:r>
        <w:rPr>
          <w:sz w:val="25"/>
        </w:rPr>
        <w:t>now</w:t>
      </w:r>
      <w:r>
        <w:rPr>
          <w:spacing w:val="-8"/>
          <w:sz w:val="25"/>
        </w:rPr>
        <w:t> </w:t>
      </w:r>
      <w:r>
        <w:rPr>
          <w:sz w:val="25"/>
        </w:rPr>
        <w:t>known</w:t>
      </w:r>
      <w:r>
        <w:rPr>
          <w:spacing w:val="-8"/>
          <w:sz w:val="25"/>
        </w:rPr>
        <w:t> </w:t>
      </w:r>
      <w:r>
        <w:rPr>
          <w:sz w:val="25"/>
        </w:rPr>
        <w:t>as</w:t>
      </w:r>
      <w:r>
        <w:rPr>
          <w:spacing w:val="-8"/>
          <w:sz w:val="25"/>
        </w:rPr>
        <w:t> </w:t>
      </w:r>
      <w:r>
        <w:rPr>
          <w:sz w:val="25"/>
        </w:rPr>
        <w:t>‗India‘</w:t>
      </w:r>
      <w:r>
        <w:rPr>
          <w:spacing w:val="-8"/>
          <w:sz w:val="25"/>
        </w:rPr>
        <w:t> </w:t>
      </w:r>
      <w:r>
        <w:rPr>
          <w:sz w:val="25"/>
        </w:rPr>
        <w:t>was</w:t>
      </w:r>
      <w:r>
        <w:rPr>
          <w:spacing w:val="-8"/>
          <w:sz w:val="25"/>
        </w:rPr>
        <w:t> </w:t>
      </w:r>
      <w:r>
        <w:rPr>
          <w:sz w:val="25"/>
        </w:rPr>
        <w:t>under</w:t>
      </w:r>
      <w:r>
        <w:rPr>
          <w:spacing w:val="-7"/>
          <w:sz w:val="25"/>
        </w:rPr>
        <w:t> </w:t>
      </w:r>
      <w:r>
        <w:rPr>
          <w:sz w:val="25"/>
        </w:rPr>
        <w:t>‗foreign‘</w:t>
      </w:r>
      <w:r>
        <w:rPr>
          <w:spacing w:val="-8"/>
          <w:sz w:val="25"/>
        </w:rPr>
        <w:t> </w:t>
      </w:r>
      <w:r>
        <w:rPr>
          <w:sz w:val="25"/>
        </w:rPr>
        <w:t>occupation -</w:t>
      </w:r>
      <w:r>
        <w:rPr>
          <w:spacing w:val="-7"/>
          <w:sz w:val="25"/>
        </w:rPr>
        <w:t> </w:t>
      </w:r>
      <w:r>
        <w:rPr>
          <w:sz w:val="25"/>
        </w:rPr>
        <w:t>Hindus were not permitted to exercise their religious rights and, upon the adoption of the Constitution of India, the wrongs of the Mughals are liable to be rectified. To appreciate these arguments, it is necessary to understand the extent to which our law recognises the legal consequences of acts done and rights accrued under previous legal</w:t>
      </w:r>
      <w:r>
        <w:rPr>
          <w:spacing w:val="-2"/>
          <w:sz w:val="25"/>
        </w:rPr>
        <w:t> </w:t>
      </w:r>
      <w:r>
        <w:rPr>
          <w:sz w:val="25"/>
        </w:rPr>
        <w:t>regimes.</w:t>
      </w:r>
    </w:p>
    <w:p>
      <w:pPr>
        <w:spacing w:after="0" w:line="480" w:lineRule="auto"/>
        <w:jc w:val="both"/>
        <w:rPr>
          <w:sz w:val="25"/>
        </w:rPr>
        <w:sectPr>
          <w:pgSz w:w="11910" w:h="16840"/>
          <w:pgMar w:header="721" w:footer="1014" w:top="1300" w:bottom="1200" w:left="940" w:right="1000"/>
        </w:sectPr>
      </w:pPr>
    </w:p>
    <w:p>
      <w:pPr>
        <w:pStyle w:val="Heading4"/>
        <w:spacing w:before="126"/>
        <w:rPr>
          <w:i/>
        </w:rPr>
      </w:pPr>
      <w:r>
        <w:rPr>
          <w:i/>
        </w:rPr>
        <w:t>Acts of State and changes in sovereignty</w:t>
      </w:r>
    </w:p>
    <w:p>
      <w:pPr>
        <w:pStyle w:val="BodyText"/>
        <w:rPr>
          <w:i/>
          <w:sz w:val="28"/>
        </w:rPr>
      </w:pPr>
    </w:p>
    <w:p>
      <w:pPr>
        <w:pStyle w:val="BodyText"/>
        <w:spacing w:before="9"/>
        <w:rPr>
          <w:i/>
          <w:sz w:val="36"/>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The principles determining the extent to which our courts can enforce the legal consequences of actions and rights from previous legal regimes has been laid down by the Privy Council and adopted by this Court after Independence. In </w:t>
      </w:r>
      <w:r>
        <w:rPr>
          <w:b/>
          <w:sz w:val="25"/>
        </w:rPr>
        <w:t>Secretary of State Council in India </w:t>
      </w:r>
      <w:r>
        <w:rPr>
          <w:sz w:val="25"/>
        </w:rPr>
        <w:t>v </w:t>
      </w:r>
      <w:r>
        <w:rPr>
          <w:b/>
          <w:sz w:val="25"/>
        </w:rPr>
        <w:t>Kamachee Boye Sahaba</w:t>
      </w:r>
      <w:r>
        <w:rPr>
          <w:sz w:val="25"/>
        </w:rPr>
        <w:t>,</w:t>
      </w:r>
      <w:r>
        <w:rPr>
          <w:sz w:val="25"/>
          <w:vertAlign w:val="superscript"/>
        </w:rPr>
        <w:t>329</w:t>
      </w:r>
      <w:r>
        <w:rPr>
          <w:sz w:val="25"/>
          <w:vertAlign w:val="baseline"/>
        </w:rPr>
        <w:t> the Rajah of Tanjore died on 29 October 1855 without a legal heir, causing the East India Company to declare that the Raj had lapsed to the colonial government. A letter was sent by the colonial government, as the ‗new sovereign of Tanjore‘, requesting a list of the private and public property held by the former ruler in  order to decide any claims made against this property. When no response was </w:t>
      </w:r>
      <w:r>
        <w:rPr>
          <w:w w:val="99"/>
          <w:sz w:val="25"/>
          <w:vertAlign w:val="baseline"/>
        </w:rPr>
        <w:t>r</w:t>
      </w:r>
      <w:r>
        <w:rPr>
          <w:spacing w:val="-1"/>
          <w:w w:val="99"/>
          <w:sz w:val="25"/>
          <w:vertAlign w:val="baseline"/>
        </w:rPr>
        <w:t>ec</w:t>
      </w:r>
      <w:r>
        <w:rPr>
          <w:w w:val="99"/>
          <w:sz w:val="25"/>
          <w:vertAlign w:val="baseline"/>
        </w:rPr>
        <w:t>e</w:t>
      </w:r>
      <w:r>
        <w:rPr>
          <w:spacing w:val="-1"/>
          <w:w w:val="99"/>
          <w:sz w:val="25"/>
          <w:vertAlign w:val="baseline"/>
        </w:rPr>
        <w:t>i</w:t>
      </w:r>
      <w:r>
        <w:rPr>
          <w:spacing w:val="-3"/>
          <w:w w:val="99"/>
          <w:sz w:val="25"/>
          <w:vertAlign w:val="baseline"/>
        </w:rPr>
        <w:t>v</w:t>
      </w:r>
      <w:r>
        <w:rPr>
          <w:spacing w:val="-1"/>
          <w:w w:val="99"/>
          <w:sz w:val="25"/>
          <w:vertAlign w:val="baseline"/>
        </w:rPr>
        <w:t>e</w:t>
      </w:r>
      <w:r>
        <w:rPr>
          <w:w w:val="99"/>
          <w:sz w:val="25"/>
          <w:vertAlign w:val="baseline"/>
        </w:rPr>
        <w:t>d,</w:t>
      </w:r>
      <w:r>
        <w:rPr>
          <w:sz w:val="25"/>
          <w:vertAlign w:val="baseline"/>
        </w:rPr>
        <w:t> </w:t>
      </w:r>
      <w:r>
        <w:rPr>
          <w:spacing w:val="-7"/>
          <w:sz w:val="25"/>
          <w:vertAlign w:val="baseline"/>
        </w:rPr>
        <w:t> </w:t>
      </w:r>
      <w:r>
        <w:rPr>
          <w:w w:val="99"/>
          <w:sz w:val="25"/>
          <w:vertAlign w:val="baseline"/>
        </w:rPr>
        <w:t>a</w:t>
      </w:r>
      <w:r>
        <w:rPr>
          <w:sz w:val="25"/>
          <w:vertAlign w:val="baseline"/>
        </w:rPr>
        <w:t> </w:t>
      </w:r>
      <w:r>
        <w:rPr>
          <w:spacing w:val="-7"/>
          <w:sz w:val="25"/>
          <w:vertAlign w:val="baseline"/>
        </w:rPr>
        <w:t> </w:t>
      </w:r>
      <w:r>
        <w:rPr>
          <w:w w:val="99"/>
          <w:sz w:val="25"/>
          <w:vertAlign w:val="baseline"/>
        </w:rPr>
        <w:t>co</w:t>
      </w:r>
      <w:r>
        <w:rPr>
          <w:spacing w:val="1"/>
          <w:w w:val="99"/>
          <w:sz w:val="25"/>
          <w:vertAlign w:val="baseline"/>
        </w:rPr>
        <w:t>m</w:t>
      </w:r>
      <w:r>
        <w:rPr>
          <w:spacing w:val="-1"/>
          <w:w w:val="99"/>
          <w:sz w:val="25"/>
          <w:vertAlign w:val="baseline"/>
        </w:rPr>
        <w:t>p</w:t>
      </w:r>
      <w:r>
        <w:rPr>
          <w:w w:val="99"/>
          <w:sz w:val="25"/>
          <w:vertAlign w:val="baseline"/>
        </w:rPr>
        <w:t>a</w:t>
      </w:r>
      <w:r>
        <w:rPr>
          <w:spacing w:val="-1"/>
          <w:w w:val="99"/>
          <w:sz w:val="25"/>
          <w:vertAlign w:val="baseline"/>
        </w:rPr>
        <w:t>n</w:t>
      </w:r>
      <w:r>
        <w:rPr>
          <w:w w:val="99"/>
          <w:sz w:val="25"/>
          <w:vertAlign w:val="baseline"/>
        </w:rPr>
        <w:t>y</w:t>
      </w:r>
      <w:r>
        <w:rPr>
          <w:sz w:val="25"/>
          <w:vertAlign w:val="baseline"/>
        </w:rPr>
        <w:t> </w:t>
      </w:r>
      <w:r>
        <w:rPr>
          <w:spacing w:val="-7"/>
          <w:sz w:val="25"/>
          <w:vertAlign w:val="baseline"/>
        </w:rPr>
        <w:t> </w:t>
      </w:r>
      <w:r>
        <w:rPr>
          <w:spacing w:val="-1"/>
          <w:w w:val="99"/>
          <w:sz w:val="25"/>
          <w:vertAlign w:val="baseline"/>
        </w:rPr>
        <w:t>of</w:t>
      </w:r>
      <w:r>
        <w:rPr>
          <w:w w:val="99"/>
          <w:sz w:val="25"/>
          <w:vertAlign w:val="baseline"/>
        </w:rPr>
        <w:t>f</w:t>
      </w:r>
      <w:r>
        <w:rPr>
          <w:spacing w:val="-1"/>
          <w:w w:val="99"/>
          <w:sz w:val="25"/>
          <w:vertAlign w:val="baseline"/>
        </w:rPr>
        <w:t>icial</w:t>
      </w:r>
      <w:r>
        <w:rPr>
          <w:w w:val="99"/>
          <w:sz w:val="25"/>
          <w:vertAlign w:val="baseline"/>
        </w:rPr>
        <w:t>,</w:t>
      </w:r>
      <w:r>
        <w:rPr>
          <w:sz w:val="25"/>
          <w:vertAlign w:val="baseline"/>
        </w:rPr>
        <w:t> </w:t>
      </w:r>
      <w:r>
        <w:rPr>
          <w:spacing w:val="-8"/>
          <w:sz w:val="25"/>
          <w:vertAlign w:val="baseline"/>
        </w:rPr>
        <w:t> </w:t>
      </w:r>
      <w:r>
        <w:rPr>
          <w:w w:val="33"/>
          <w:sz w:val="25"/>
          <w:vertAlign w:val="baseline"/>
        </w:rPr>
        <w:t>―</w:t>
      </w:r>
      <w:r>
        <w:rPr>
          <w:w w:val="99"/>
          <w:sz w:val="25"/>
          <w:vertAlign w:val="baseline"/>
        </w:rPr>
        <w:t>taking</w:t>
      </w:r>
      <w:r>
        <w:rPr>
          <w:sz w:val="25"/>
          <w:vertAlign w:val="baseline"/>
        </w:rPr>
        <w:t> </w:t>
      </w:r>
      <w:r>
        <w:rPr>
          <w:spacing w:val="-7"/>
          <w:sz w:val="25"/>
          <w:vertAlign w:val="baseline"/>
        </w:rPr>
        <w:t> </w:t>
      </w:r>
      <w:r>
        <w:rPr>
          <w:spacing w:val="-1"/>
          <w:w w:val="99"/>
          <w:sz w:val="25"/>
          <w:vertAlign w:val="baseline"/>
        </w:rPr>
        <w:t>a</w:t>
      </w:r>
      <w:r>
        <w:rPr>
          <w:w w:val="99"/>
          <w:sz w:val="25"/>
          <w:vertAlign w:val="baseline"/>
        </w:rPr>
        <w:t>dvantag</w:t>
      </w:r>
      <w:r>
        <w:rPr>
          <w:spacing w:val="-1"/>
          <w:w w:val="91"/>
          <w:sz w:val="25"/>
          <w:vertAlign w:val="baseline"/>
        </w:rPr>
        <w:t>e</w:t>
      </w:r>
      <w:r>
        <w:rPr>
          <w:w w:val="91"/>
          <w:sz w:val="25"/>
          <w:vertAlign w:val="baseline"/>
        </w:rPr>
        <w:t>‖</w:t>
      </w:r>
      <w:r>
        <w:rPr>
          <w:sz w:val="25"/>
          <w:vertAlign w:val="baseline"/>
        </w:rPr>
        <w:t> </w:t>
      </w:r>
      <w:r>
        <w:rPr>
          <w:spacing w:val="-7"/>
          <w:sz w:val="25"/>
          <w:vertAlign w:val="baseline"/>
        </w:rPr>
        <w:t> </w:t>
      </w:r>
      <w:r>
        <w:rPr>
          <w:spacing w:val="-1"/>
          <w:w w:val="99"/>
          <w:sz w:val="25"/>
          <w:vertAlign w:val="baseline"/>
        </w:rPr>
        <w:t>o</w:t>
      </w:r>
      <w:r>
        <w:rPr>
          <w:w w:val="99"/>
          <w:sz w:val="25"/>
          <w:vertAlign w:val="baseline"/>
        </w:rPr>
        <w:t>f</w:t>
      </w:r>
      <w:r>
        <w:rPr>
          <w:sz w:val="25"/>
          <w:vertAlign w:val="baseline"/>
        </w:rPr>
        <w:t> </w:t>
      </w:r>
      <w:r>
        <w:rPr>
          <w:spacing w:val="-7"/>
          <w:sz w:val="25"/>
          <w:vertAlign w:val="baseline"/>
        </w:rPr>
        <w:t> </w:t>
      </w:r>
      <w:r>
        <w:rPr>
          <w:w w:val="99"/>
          <w:sz w:val="25"/>
          <w:vertAlign w:val="baseline"/>
        </w:rPr>
        <w:t>the</w:t>
      </w:r>
      <w:r>
        <w:rPr>
          <w:sz w:val="25"/>
          <w:vertAlign w:val="baseline"/>
        </w:rPr>
        <w:t> </w:t>
      </w:r>
      <w:r>
        <w:rPr>
          <w:spacing w:val="-7"/>
          <w:sz w:val="25"/>
          <w:vertAlign w:val="baseline"/>
        </w:rPr>
        <w:t> </w:t>
      </w:r>
      <w:r>
        <w:rPr>
          <w:spacing w:val="-1"/>
          <w:w w:val="99"/>
          <w:sz w:val="25"/>
          <w:vertAlign w:val="baseline"/>
        </w:rPr>
        <w:t>p</w:t>
      </w:r>
      <w:r>
        <w:rPr>
          <w:w w:val="99"/>
          <w:sz w:val="25"/>
          <w:vertAlign w:val="baseline"/>
        </w:rPr>
        <w:t>r</w:t>
      </w:r>
      <w:r>
        <w:rPr>
          <w:spacing w:val="-1"/>
          <w:w w:val="99"/>
          <w:sz w:val="25"/>
          <w:vertAlign w:val="baseline"/>
        </w:rPr>
        <w:t>es</w:t>
      </w:r>
      <w:r>
        <w:rPr>
          <w:spacing w:val="-2"/>
          <w:w w:val="99"/>
          <w:sz w:val="25"/>
          <w:vertAlign w:val="baseline"/>
        </w:rPr>
        <w:t>e</w:t>
      </w:r>
      <w:r>
        <w:rPr>
          <w:spacing w:val="-1"/>
          <w:w w:val="99"/>
          <w:sz w:val="25"/>
          <w:vertAlign w:val="baseline"/>
        </w:rPr>
        <w:t>nc</w:t>
      </w:r>
      <w:r>
        <w:rPr>
          <w:w w:val="99"/>
          <w:sz w:val="25"/>
          <w:vertAlign w:val="baseline"/>
        </w:rPr>
        <w:t>e</w:t>
      </w:r>
      <w:r>
        <w:rPr>
          <w:sz w:val="25"/>
          <w:vertAlign w:val="baseline"/>
        </w:rPr>
        <w:t> </w:t>
      </w:r>
      <w:r>
        <w:rPr>
          <w:spacing w:val="-7"/>
          <w:sz w:val="25"/>
          <w:vertAlign w:val="baseline"/>
        </w:rPr>
        <w:t> </w:t>
      </w:r>
      <w:r>
        <w:rPr>
          <w:spacing w:val="-1"/>
          <w:w w:val="99"/>
          <w:sz w:val="25"/>
          <w:vertAlign w:val="baseline"/>
        </w:rPr>
        <w:t>o</w:t>
      </w:r>
      <w:r>
        <w:rPr>
          <w:w w:val="99"/>
          <w:sz w:val="25"/>
          <w:vertAlign w:val="baseline"/>
        </w:rPr>
        <w:t>f</w:t>
      </w:r>
      <w:r>
        <w:rPr>
          <w:sz w:val="25"/>
          <w:vertAlign w:val="baseline"/>
        </w:rPr>
        <w:t> </w:t>
      </w:r>
      <w:r>
        <w:rPr>
          <w:spacing w:val="-7"/>
          <w:sz w:val="25"/>
          <w:vertAlign w:val="baseline"/>
        </w:rPr>
        <w:t> </w:t>
      </w:r>
      <w:r>
        <w:rPr>
          <w:w w:val="99"/>
          <w:sz w:val="25"/>
          <w:vertAlign w:val="baseline"/>
        </w:rPr>
        <w:t>the</w:t>
      </w:r>
      <w:r>
        <w:rPr>
          <w:sz w:val="25"/>
          <w:vertAlign w:val="baseline"/>
        </w:rPr>
        <w:t> </w:t>
      </w:r>
      <w:r>
        <w:rPr>
          <w:spacing w:val="-7"/>
          <w:sz w:val="25"/>
          <w:vertAlign w:val="baseline"/>
        </w:rPr>
        <w:t> </w:t>
      </w:r>
      <w:r>
        <w:rPr>
          <w:spacing w:val="-1"/>
          <w:w w:val="99"/>
          <w:sz w:val="25"/>
          <w:vertAlign w:val="baseline"/>
        </w:rPr>
        <w:t>2</w:t>
      </w:r>
      <w:r>
        <w:rPr>
          <w:w w:val="99"/>
          <w:sz w:val="25"/>
          <w:vertAlign w:val="baseline"/>
        </w:rPr>
        <w:t>5th </w:t>
      </w:r>
      <w:r>
        <w:rPr>
          <w:sz w:val="25"/>
          <w:vertAlign w:val="baseline"/>
        </w:rPr>
        <w:t>Regiment of Infantry, took possession of the property of the Raja, placed it under seal and stationed sentries to guard the property. A suit was brought before the Supreme Court of Madras by the eldest widow of the erstwhile Raja with respect to the private property of the former ruler. It was contended that upon the lapse of the Raj, it was only the public property of the Raja that was acquired by the new ruler while the private property of the Raja was to be distributed in accordance with the Hindu law of succession. The respondents contended that the seizure of </w:t>
      </w:r>
      <w:r>
        <w:rPr>
          <w:w w:val="99"/>
          <w:sz w:val="25"/>
          <w:vertAlign w:val="baseline"/>
        </w:rPr>
        <w:t>the</w:t>
      </w:r>
      <w:r>
        <w:rPr>
          <w:spacing w:val="10"/>
          <w:sz w:val="25"/>
          <w:vertAlign w:val="baseline"/>
        </w:rPr>
        <w:t> </w:t>
      </w:r>
      <w:r>
        <w:rPr>
          <w:spacing w:val="-1"/>
          <w:w w:val="99"/>
          <w:sz w:val="25"/>
          <w:vertAlign w:val="baseline"/>
        </w:rPr>
        <w:t>Raja‘</w:t>
      </w:r>
      <w:r>
        <w:rPr>
          <w:w w:val="99"/>
          <w:sz w:val="25"/>
          <w:vertAlign w:val="baseline"/>
        </w:rPr>
        <w:t>s</w:t>
      </w:r>
      <w:r>
        <w:rPr>
          <w:spacing w:val="9"/>
          <w:sz w:val="25"/>
          <w:vertAlign w:val="baseline"/>
        </w:rPr>
        <w:t> </w:t>
      </w:r>
      <w:r>
        <w:rPr>
          <w:spacing w:val="-1"/>
          <w:w w:val="99"/>
          <w:sz w:val="25"/>
          <w:vertAlign w:val="baseline"/>
        </w:rPr>
        <w:t>p</w:t>
      </w:r>
      <w:r>
        <w:rPr>
          <w:w w:val="99"/>
          <w:sz w:val="25"/>
          <w:vertAlign w:val="baseline"/>
        </w:rPr>
        <w:t>r</w:t>
      </w:r>
      <w:r>
        <w:rPr>
          <w:spacing w:val="-1"/>
          <w:w w:val="99"/>
          <w:sz w:val="25"/>
          <w:vertAlign w:val="baseline"/>
        </w:rPr>
        <w:t>o</w:t>
      </w:r>
      <w:r>
        <w:rPr>
          <w:w w:val="99"/>
          <w:sz w:val="25"/>
          <w:vertAlign w:val="baseline"/>
        </w:rPr>
        <w:t>p</w:t>
      </w:r>
      <w:r>
        <w:rPr>
          <w:spacing w:val="-1"/>
          <w:w w:val="99"/>
          <w:sz w:val="25"/>
          <w:vertAlign w:val="baseline"/>
        </w:rPr>
        <w:t>e</w:t>
      </w:r>
      <w:r>
        <w:rPr>
          <w:w w:val="99"/>
          <w:sz w:val="25"/>
          <w:vertAlign w:val="baseline"/>
        </w:rPr>
        <w:t>rty</w:t>
      </w:r>
      <w:r>
        <w:rPr>
          <w:spacing w:val="7"/>
          <w:sz w:val="25"/>
          <w:vertAlign w:val="baseline"/>
        </w:rPr>
        <w:t> </w:t>
      </w:r>
      <w:r>
        <w:rPr>
          <w:spacing w:val="-1"/>
          <w:w w:val="99"/>
          <w:sz w:val="25"/>
          <w:vertAlign w:val="baseline"/>
        </w:rPr>
        <w:t>wa</w:t>
      </w:r>
      <w:r>
        <w:rPr>
          <w:w w:val="99"/>
          <w:sz w:val="25"/>
          <w:vertAlign w:val="baseline"/>
        </w:rPr>
        <w:t>s</w:t>
      </w:r>
      <w:r>
        <w:rPr>
          <w:spacing w:val="9"/>
          <w:sz w:val="25"/>
          <w:vertAlign w:val="baseline"/>
        </w:rPr>
        <w:t> </w:t>
      </w:r>
      <w:r>
        <w:rPr>
          <w:spacing w:val="-1"/>
          <w:w w:val="99"/>
          <w:sz w:val="25"/>
          <w:vertAlign w:val="baseline"/>
        </w:rPr>
        <w:t>a</w:t>
      </w:r>
      <w:r>
        <w:rPr>
          <w:w w:val="99"/>
          <w:sz w:val="25"/>
          <w:vertAlign w:val="baseline"/>
        </w:rPr>
        <w:t>n</w:t>
      </w:r>
      <w:r>
        <w:rPr>
          <w:spacing w:val="9"/>
          <w:sz w:val="25"/>
          <w:vertAlign w:val="baseline"/>
        </w:rPr>
        <w:t> </w:t>
      </w:r>
      <w:r>
        <w:rPr>
          <w:w w:val="33"/>
          <w:sz w:val="25"/>
          <w:vertAlign w:val="baseline"/>
        </w:rPr>
        <w:t>―</w:t>
      </w:r>
      <w:r>
        <w:rPr>
          <w:spacing w:val="-1"/>
          <w:w w:val="99"/>
          <w:sz w:val="25"/>
          <w:vertAlign w:val="baseline"/>
        </w:rPr>
        <w:t>ac</w:t>
      </w:r>
      <w:r>
        <w:rPr>
          <w:w w:val="99"/>
          <w:sz w:val="25"/>
          <w:vertAlign w:val="baseline"/>
        </w:rPr>
        <w:t>t</w:t>
      </w:r>
      <w:r>
        <w:rPr>
          <w:spacing w:val="10"/>
          <w:sz w:val="25"/>
          <w:vertAlign w:val="baseline"/>
        </w:rPr>
        <w:t> </w:t>
      </w:r>
      <w:r>
        <w:rPr>
          <w:spacing w:val="-1"/>
          <w:w w:val="99"/>
          <w:sz w:val="25"/>
          <w:vertAlign w:val="baseline"/>
        </w:rPr>
        <w:t>o</w:t>
      </w:r>
      <w:r>
        <w:rPr>
          <w:w w:val="99"/>
          <w:sz w:val="25"/>
          <w:vertAlign w:val="baseline"/>
        </w:rPr>
        <w:t>f</w:t>
      </w:r>
      <w:r>
        <w:rPr>
          <w:spacing w:val="10"/>
          <w:sz w:val="25"/>
          <w:vertAlign w:val="baseline"/>
        </w:rPr>
        <w:t> </w:t>
      </w:r>
      <w:r>
        <w:rPr>
          <w:spacing w:val="-1"/>
          <w:w w:val="99"/>
          <w:sz w:val="25"/>
          <w:vertAlign w:val="baseline"/>
        </w:rPr>
        <w:t>S</w:t>
      </w:r>
      <w:r>
        <w:rPr>
          <w:w w:val="99"/>
          <w:sz w:val="25"/>
          <w:vertAlign w:val="baseline"/>
        </w:rPr>
        <w:t>tat</w:t>
      </w:r>
      <w:r>
        <w:rPr>
          <w:spacing w:val="-1"/>
          <w:w w:val="91"/>
          <w:sz w:val="25"/>
          <w:vertAlign w:val="baseline"/>
        </w:rPr>
        <w:t>e</w:t>
      </w:r>
      <w:r>
        <w:rPr>
          <w:w w:val="91"/>
          <w:sz w:val="25"/>
          <w:vertAlign w:val="baseline"/>
        </w:rPr>
        <w:t>‖</w:t>
      </w:r>
      <w:r>
        <w:rPr>
          <w:spacing w:val="10"/>
          <w:sz w:val="25"/>
          <w:vertAlign w:val="baseline"/>
        </w:rPr>
        <w:t> </w:t>
      </w:r>
      <w:r>
        <w:rPr>
          <w:spacing w:val="-3"/>
          <w:w w:val="99"/>
          <w:sz w:val="25"/>
          <w:vertAlign w:val="baseline"/>
        </w:rPr>
        <w:t>o</w:t>
      </w:r>
      <w:r>
        <w:rPr>
          <w:w w:val="99"/>
          <w:sz w:val="25"/>
          <w:vertAlign w:val="baseline"/>
        </w:rPr>
        <w:t>n</w:t>
      </w:r>
      <w:r>
        <w:rPr>
          <w:spacing w:val="9"/>
          <w:sz w:val="25"/>
          <w:vertAlign w:val="baseline"/>
        </w:rPr>
        <w:t> </w:t>
      </w:r>
      <w:r>
        <w:rPr>
          <w:spacing w:val="-1"/>
          <w:w w:val="99"/>
          <w:sz w:val="25"/>
          <w:vertAlign w:val="baseline"/>
        </w:rPr>
        <w:t>b</w:t>
      </w:r>
      <w:r>
        <w:rPr>
          <w:w w:val="99"/>
          <w:sz w:val="25"/>
          <w:vertAlign w:val="baseline"/>
        </w:rPr>
        <w:t>e</w:t>
      </w:r>
      <w:r>
        <w:rPr>
          <w:spacing w:val="-1"/>
          <w:w w:val="99"/>
          <w:sz w:val="25"/>
          <w:vertAlign w:val="baseline"/>
        </w:rPr>
        <w:t>h</w:t>
      </w:r>
      <w:r>
        <w:rPr>
          <w:w w:val="99"/>
          <w:sz w:val="25"/>
          <w:vertAlign w:val="baseline"/>
        </w:rPr>
        <w:t>a</w:t>
      </w:r>
      <w:r>
        <w:rPr>
          <w:spacing w:val="-1"/>
          <w:w w:val="99"/>
          <w:sz w:val="25"/>
          <w:vertAlign w:val="baseline"/>
        </w:rPr>
        <w:t>l</w:t>
      </w:r>
      <w:r>
        <w:rPr>
          <w:w w:val="99"/>
          <w:sz w:val="25"/>
          <w:vertAlign w:val="baseline"/>
        </w:rPr>
        <w:t>f</w:t>
      </w:r>
      <w:r>
        <w:rPr>
          <w:spacing w:val="9"/>
          <w:sz w:val="25"/>
          <w:vertAlign w:val="baseline"/>
        </w:rPr>
        <w:t> </w:t>
      </w:r>
      <w:r>
        <w:rPr>
          <w:spacing w:val="-1"/>
          <w:w w:val="99"/>
          <w:sz w:val="25"/>
          <w:vertAlign w:val="baseline"/>
        </w:rPr>
        <w:t>o</w:t>
      </w:r>
      <w:r>
        <w:rPr>
          <w:w w:val="99"/>
          <w:sz w:val="25"/>
          <w:vertAlign w:val="baseline"/>
        </w:rPr>
        <w:t>f</w:t>
      </w:r>
      <w:r>
        <w:rPr>
          <w:spacing w:val="10"/>
          <w:sz w:val="25"/>
          <w:vertAlign w:val="baseline"/>
        </w:rPr>
        <w:t> </w:t>
      </w:r>
      <w:r>
        <w:rPr>
          <w:w w:val="99"/>
          <w:sz w:val="25"/>
          <w:vertAlign w:val="baseline"/>
        </w:rPr>
        <w:t>the</w:t>
      </w:r>
      <w:r>
        <w:rPr>
          <w:spacing w:val="10"/>
          <w:sz w:val="25"/>
          <w:vertAlign w:val="baseline"/>
        </w:rPr>
        <w:t> </w:t>
      </w:r>
      <w:r>
        <w:rPr>
          <w:w w:val="99"/>
          <w:sz w:val="25"/>
          <w:vertAlign w:val="baseline"/>
        </w:rPr>
        <w:t>colon</w:t>
      </w:r>
      <w:r>
        <w:rPr>
          <w:spacing w:val="-3"/>
          <w:w w:val="99"/>
          <w:sz w:val="25"/>
          <w:vertAlign w:val="baseline"/>
        </w:rPr>
        <w:t>i</w:t>
      </w:r>
      <w:r>
        <w:rPr>
          <w:spacing w:val="-1"/>
          <w:w w:val="99"/>
          <w:sz w:val="25"/>
          <w:vertAlign w:val="baseline"/>
        </w:rPr>
        <w:t>a</w:t>
      </w:r>
      <w:r>
        <w:rPr>
          <w:w w:val="99"/>
          <w:sz w:val="25"/>
          <w:vertAlign w:val="baseline"/>
        </w:rPr>
        <w:t>l</w:t>
      </w:r>
      <w:r>
        <w:rPr>
          <w:spacing w:val="9"/>
          <w:sz w:val="25"/>
          <w:vertAlign w:val="baseline"/>
        </w:rPr>
        <w:t> </w:t>
      </w:r>
      <w:r>
        <w:rPr>
          <w:spacing w:val="-1"/>
          <w:w w:val="99"/>
          <w:sz w:val="25"/>
          <w:vertAlign w:val="baseline"/>
        </w:rPr>
        <w:t>g</w:t>
      </w:r>
      <w:r>
        <w:rPr>
          <w:w w:val="99"/>
          <w:sz w:val="25"/>
          <w:vertAlign w:val="baseline"/>
        </w:rPr>
        <w:t>o</w:t>
      </w:r>
      <w:r>
        <w:rPr>
          <w:spacing w:val="-3"/>
          <w:w w:val="99"/>
          <w:sz w:val="25"/>
          <w:vertAlign w:val="baseline"/>
        </w:rPr>
        <w:t>v</w:t>
      </w:r>
      <w:r>
        <w:rPr>
          <w:spacing w:val="-1"/>
          <w:w w:val="99"/>
          <w:sz w:val="25"/>
          <w:vertAlign w:val="baseline"/>
        </w:rPr>
        <w:t>e</w:t>
      </w:r>
      <w:r>
        <w:rPr>
          <w:w w:val="99"/>
          <w:sz w:val="25"/>
          <w:vertAlign w:val="baseline"/>
        </w:rPr>
        <w:t>r</w:t>
      </w:r>
      <w:r>
        <w:rPr>
          <w:spacing w:val="-1"/>
          <w:w w:val="99"/>
          <w:sz w:val="25"/>
          <w:vertAlign w:val="baseline"/>
        </w:rPr>
        <w:t>n</w:t>
      </w:r>
      <w:r>
        <w:rPr>
          <w:w w:val="99"/>
          <w:sz w:val="25"/>
          <w:vertAlign w:val="baseline"/>
        </w:rPr>
        <w:t>m</w:t>
      </w:r>
      <w:r>
        <w:rPr>
          <w:spacing w:val="-1"/>
          <w:w w:val="99"/>
          <w:sz w:val="25"/>
          <w:vertAlign w:val="baseline"/>
        </w:rPr>
        <w:t>e</w:t>
      </w:r>
      <w:r>
        <w:rPr>
          <w:w w:val="99"/>
          <w:sz w:val="25"/>
          <w:vertAlign w:val="baseline"/>
        </w:rPr>
        <w:t>nt</w:t>
      </w:r>
      <w:r>
        <w:rPr>
          <w:spacing w:val="9"/>
          <w:sz w:val="25"/>
          <w:vertAlign w:val="baseline"/>
        </w:rPr>
        <w:t> </w:t>
      </w:r>
      <w:r>
        <w:rPr>
          <w:spacing w:val="-1"/>
          <w:w w:val="99"/>
          <w:sz w:val="25"/>
          <w:vertAlign w:val="baseline"/>
        </w:rPr>
        <w:t>as </w:t>
      </w:r>
      <w:r>
        <w:rPr>
          <w:sz w:val="25"/>
          <w:vertAlign w:val="baseline"/>
        </w:rPr>
        <w:t>the new sovereign. The lapse of the Raj and the subsequent seizure involved only</w:t>
      </w:r>
      <w:r>
        <w:rPr>
          <w:spacing w:val="31"/>
          <w:sz w:val="25"/>
          <w:vertAlign w:val="baseline"/>
        </w:rPr>
        <w:t> </w:t>
      </w:r>
      <w:r>
        <w:rPr>
          <w:sz w:val="25"/>
          <w:vertAlign w:val="baseline"/>
        </w:rPr>
        <w:t>the</w:t>
      </w:r>
      <w:r>
        <w:rPr>
          <w:spacing w:val="35"/>
          <w:sz w:val="25"/>
          <w:vertAlign w:val="baseline"/>
        </w:rPr>
        <w:t> </w:t>
      </w:r>
      <w:r>
        <w:rPr>
          <w:sz w:val="25"/>
          <w:vertAlign w:val="baseline"/>
        </w:rPr>
        <w:t>Raja</w:t>
      </w:r>
      <w:r>
        <w:rPr>
          <w:spacing w:val="35"/>
          <w:sz w:val="25"/>
          <w:vertAlign w:val="baseline"/>
        </w:rPr>
        <w:t> </w:t>
      </w:r>
      <w:r>
        <w:rPr>
          <w:sz w:val="25"/>
          <w:vertAlign w:val="baseline"/>
        </w:rPr>
        <w:t>and</w:t>
      </w:r>
      <w:r>
        <w:rPr>
          <w:spacing w:val="38"/>
          <w:sz w:val="25"/>
          <w:vertAlign w:val="baseline"/>
        </w:rPr>
        <w:t> </w:t>
      </w:r>
      <w:r>
        <w:rPr>
          <w:sz w:val="25"/>
          <w:vertAlign w:val="baseline"/>
        </w:rPr>
        <w:t>the</w:t>
      </w:r>
      <w:r>
        <w:rPr>
          <w:spacing w:val="35"/>
          <w:sz w:val="25"/>
          <w:vertAlign w:val="baseline"/>
        </w:rPr>
        <w:t> </w:t>
      </w:r>
      <w:r>
        <w:rPr>
          <w:sz w:val="25"/>
          <w:vertAlign w:val="baseline"/>
        </w:rPr>
        <w:t>colonial</w:t>
      </w:r>
      <w:r>
        <w:rPr>
          <w:spacing w:val="34"/>
          <w:sz w:val="25"/>
          <w:vertAlign w:val="baseline"/>
        </w:rPr>
        <w:t> </w:t>
      </w:r>
      <w:r>
        <w:rPr>
          <w:sz w:val="25"/>
          <w:vertAlign w:val="baseline"/>
        </w:rPr>
        <w:t>government</w:t>
      </w:r>
      <w:r>
        <w:rPr>
          <w:spacing w:val="40"/>
          <w:sz w:val="25"/>
          <w:vertAlign w:val="baseline"/>
        </w:rPr>
        <w:t> </w:t>
      </w:r>
      <w:r>
        <w:rPr>
          <w:sz w:val="25"/>
          <w:vertAlign w:val="baseline"/>
        </w:rPr>
        <w:t>-</w:t>
      </w:r>
      <w:r>
        <w:rPr>
          <w:spacing w:val="35"/>
          <w:sz w:val="25"/>
          <w:vertAlign w:val="baseline"/>
        </w:rPr>
        <w:t> </w:t>
      </w:r>
      <w:r>
        <w:rPr>
          <w:sz w:val="25"/>
          <w:vertAlign w:val="baseline"/>
        </w:rPr>
        <w:t>two</w:t>
      </w:r>
      <w:r>
        <w:rPr>
          <w:spacing w:val="35"/>
          <w:sz w:val="25"/>
          <w:vertAlign w:val="baseline"/>
        </w:rPr>
        <w:t> </w:t>
      </w:r>
      <w:r>
        <w:rPr>
          <w:sz w:val="25"/>
          <w:vertAlign w:val="baseline"/>
        </w:rPr>
        <w:t>sovereign</w:t>
      </w:r>
      <w:r>
        <w:rPr>
          <w:spacing w:val="35"/>
          <w:sz w:val="25"/>
          <w:vertAlign w:val="baseline"/>
        </w:rPr>
        <w:t> </w:t>
      </w:r>
      <w:r>
        <w:rPr>
          <w:sz w:val="25"/>
          <w:vertAlign w:val="baseline"/>
        </w:rPr>
        <w:t>powers,</w:t>
      </w:r>
      <w:r>
        <w:rPr>
          <w:spacing w:val="34"/>
          <w:sz w:val="25"/>
          <w:vertAlign w:val="baseline"/>
        </w:rPr>
        <w:t> </w:t>
      </w:r>
      <w:r>
        <w:rPr>
          <w:sz w:val="25"/>
          <w:vertAlign w:val="baseline"/>
        </w:rPr>
        <w:t>and</w:t>
      </w:r>
    </w:p>
    <w:p>
      <w:pPr>
        <w:pStyle w:val="BodyText"/>
        <w:rPr>
          <w:sz w:val="20"/>
        </w:rPr>
      </w:pPr>
    </w:p>
    <w:p>
      <w:pPr>
        <w:pStyle w:val="BodyText"/>
        <w:rPr>
          <w:sz w:val="20"/>
        </w:rPr>
      </w:pPr>
    </w:p>
    <w:p>
      <w:pPr>
        <w:pStyle w:val="BodyText"/>
        <w:rPr>
          <w:sz w:val="20"/>
        </w:rPr>
      </w:pPr>
    </w:p>
    <w:p>
      <w:pPr>
        <w:pStyle w:val="BodyText"/>
        <w:spacing w:before="5"/>
        <w:rPr>
          <w:sz w:val="13"/>
        </w:rPr>
      </w:pPr>
      <w:r>
        <w:rPr/>
        <w:pict>
          <v:rect style="position:absolute;margin-left:72.024002pt;margin-top:9.714571pt;width:144.020pt;height:.599980pt;mso-position-horizontal-relative:page;mso-position-vertical-relative:paragraph;z-index:-1563187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329</w:t>
      </w:r>
      <w:r>
        <w:rPr>
          <w:sz w:val="18"/>
          <w:vertAlign w:val="baseline"/>
        </w:rPr>
        <w:t> (1857-60) 7 Moo IA (476)</w:t>
      </w:r>
    </w:p>
    <w:p>
      <w:pPr>
        <w:spacing w:after="0"/>
        <w:jc w:val="left"/>
        <w:rPr>
          <w:sz w:val="18"/>
        </w:rPr>
        <w:sectPr>
          <w:pgSz w:w="11910" w:h="16840"/>
          <w:pgMar w:header="721" w:footer="1014" w:top="1300" w:bottom="1200" w:left="940" w:right="1000"/>
        </w:sectPr>
      </w:pPr>
    </w:p>
    <w:p>
      <w:pPr>
        <w:pStyle w:val="BodyText"/>
        <w:spacing w:line="480" w:lineRule="auto" w:before="124"/>
        <w:ind w:left="500"/>
      </w:pPr>
      <w:r>
        <w:rPr/>
        <w:t>consequently, the court had no jurisdiction to entertain the matter. Accepting this contention, Lord Kingsdown, speaking for the Privy Council held:</w:t>
      </w:r>
    </w:p>
    <w:p>
      <w:pPr>
        <w:spacing w:line="276" w:lineRule="auto" w:before="159"/>
        <w:ind w:left="1918" w:right="2260" w:firstLine="0"/>
        <w:jc w:val="both"/>
        <w:rPr>
          <w:b/>
          <w:sz w:val="21"/>
        </w:rPr>
      </w:pPr>
      <w:r>
        <w:rPr>
          <w:spacing w:val="-1"/>
          <w:w w:val="33"/>
          <w:sz w:val="21"/>
        </w:rPr>
        <w:t>―</w:t>
      </w:r>
      <w:r>
        <w:rPr>
          <w:w w:val="100"/>
          <w:sz w:val="21"/>
        </w:rPr>
        <w:t>B</w:t>
      </w:r>
      <w:r>
        <w:rPr>
          <w:spacing w:val="-1"/>
          <w:w w:val="100"/>
          <w:sz w:val="21"/>
        </w:rPr>
        <w:t>ut</w:t>
      </w:r>
      <w:r>
        <w:rPr>
          <w:w w:val="100"/>
          <w:sz w:val="21"/>
        </w:rPr>
        <w:t>,</w:t>
      </w:r>
      <w:r>
        <w:rPr>
          <w:sz w:val="21"/>
        </w:rPr>
        <w:t> </w:t>
      </w:r>
      <w:r>
        <w:rPr>
          <w:spacing w:val="-22"/>
          <w:sz w:val="21"/>
        </w:rPr>
        <w:t> </w:t>
      </w:r>
      <w:r>
        <w:rPr>
          <w:spacing w:val="-2"/>
          <w:w w:val="100"/>
          <w:sz w:val="21"/>
        </w:rPr>
        <w:t>w</w:t>
      </w:r>
      <w:r>
        <w:rPr>
          <w:spacing w:val="-1"/>
          <w:w w:val="100"/>
          <w:sz w:val="21"/>
        </w:rPr>
        <w:t>hate</w:t>
      </w:r>
      <w:r>
        <w:rPr>
          <w:spacing w:val="-3"/>
          <w:w w:val="100"/>
          <w:sz w:val="21"/>
        </w:rPr>
        <w:t>v</w:t>
      </w:r>
      <w:r>
        <w:rPr>
          <w:spacing w:val="-1"/>
          <w:w w:val="100"/>
          <w:sz w:val="21"/>
        </w:rPr>
        <w:t>e</w:t>
      </w:r>
      <w:r>
        <w:rPr>
          <w:w w:val="100"/>
          <w:sz w:val="21"/>
        </w:rPr>
        <w:t>r</w:t>
      </w:r>
      <w:r>
        <w:rPr>
          <w:sz w:val="21"/>
        </w:rPr>
        <w:t> </w:t>
      </w:r>
      <w:r>
        <w:rPr>
          <w:spacing w:val="-22"/>
          <w:sz w:val="21"/>
        </w:rPr>
        <w:t> </w:t>
      </w:r>
      <w:r>
        <w:rPr>
          <w:spacing w:val="1"/>
          <w:w w:val="100"/>
          <w:sz w:val="21"/>
        </w:rPr>
        <w:t>m</w:t>
      </w:r>
      <w:r>
        <w:rPr>
          <w:spacing w:val="-1"/>
          <w:w w:val="100"/>
          <w:sz w:val="21"/>
        </w:rPr>
        <w:t>a</w:t>
      </w:r>
      <w:r>
        <w:rPr>
          <w:w w:val="100"/>
          <w:sz w:val="21"/>
        </w:rPr>
        <w:t>y</w:t>
      </w:r>
      <w:r>
        <w:rPr>
          <w:sz w:val="21"/>
        </w:rPr>
        <w:t> </w:t>
      </w:r>
      <w:r>
        <w:rPr>
          <w:spacing w:val="-24"/>
          <w:sz w:val="21"/>
        </w:rPr>
        <w:t> </w:t>
      </w:r>
      <w:r>
        <w:rPr>
          <w:spacing w:val="-1"/>
          <w:w w:val="100"/>
          <w:sz w:val="21"/>
        </w:rPr>
        <w:t>b</w:t>
      </w:r>
      <w:r>
        <w:rPr>
          <w:w w:val="100"/>
          <w:sz w:val="21"/>
        </w:rPr>
        <w:t>e</w:t>
      </w:r>
      <w:r>
        <w:rPr>
          <w:sz w:val="21"/>
        </w:rPr>
        <w:t> </w:t>
      </w:r>
      <w:r>
        <w:rPr>
          <w:spacing w:val="-21"/>
          <w:sz w:val="21"/>
        </w:rPr>
        <w:t> </w:t>
      </w:r>
      <w:r>
        <w:rPr>
          <w:spacing w:val="-2"/>
          <w:w w:val="100"/>
          <w:sz w:val="21"/>
        </w:rPr>
        <w:t>t</w:t>
      </w:r>
      <w:r>
        <w:rPr>
          <w:spacing w:val="-1"/>
          <w:w w:val="100"/>
          <w:sz w:val="21"/>
        </w:rPr>
        <w:t>h</w:t>
      </w:r>
      <w:r>
        <w:rPr>
          <w:w w:val="100"/>
          <w:sz w:val="21"/>
        </w:rPr>
        <w:t>e</w:t>
      </w:r>
      <w:r>
        <w:rPr>
          <w:sz w:val="21"/>
        </w:rPr>
        <w:t> </w:t>
      </w:r>
      <w:r>
        <w:rPr>
          <w:spacing w:val="-23"/>
          <w:sz w:val="21"/>
        </w:rPr>
        <w:t> </w:t>
      </w:r>
      <w:r>
        <w:rPr>
          <w:spacing w:val="1"/>
          <w:w w:val="100"/>
          <w:sz w:val="21"/>
        </w:rPr>
        <w:t>m</w:t>
      </w:r>
      <w:r>
        <w:rPr>
          <w:spacing w:val="-1"/>
          <w:w w:val="100"/>
          <w:sz w:val="21"/>
        </w:rPr>
        <w:t>e</w:t>
      </w:r>
      <w:r>
        <w:rPr>
          <w:spacing w:val="-3"/>
          <w:w w:val="100"/>
          <w:sz w:val="21"/>
        </w:rPr>
        <w:t>a</w:t>
      </w:r>
      <w:r>
        <w:rPr>
          <w:spacing w:val="-1"/>
          <w:w w:val="100"/>
          <w:sz w:val="21"/>
        </w:rPr>
        <w:t>n</w:t>
      </w:r>
      <w:r>
        <w:rPr>
          <w:spacing w:val="1"/>
          <w:w w:val="100"/>
          <w:sz w:val="21"/>
        </w:rPr>
        <w:t>i</w:t>
      </w:r>
      <w:r>
        <w:rPr>
          <w:spacing w:val="-3"/>
          <w:w w:val="100"/>
          <w:sz w:val="21"/>
        </w:rPr>
        <w:t>n</w:t>
      </w:r>
      <w:r>
        <w:rPr>
          <w:w w:val="100"/>
          <w:sz w:val="21"/>
        </w:rPr>
        <w:t>g</w:t>
      </w:r>
      <w:r>
        <w:rPr>
          <w:sz w:val="21"/>
        </w:rPr>
        <w:t> </w:t>
      </w:r>
      <w:r>
        <w:rPr>
          <w:spacing w:val="-21"/>
          <w:sz w:val="21"/>
        </w:rPr>
        <w:t> </w:t>
      </w:r>
      <w:r>
        <w:rPr>
          <w:spacing w:val="-3"/>
          <w:w w:val="100"/>
          <w:sz w:val="21"/>
        </w:rPr>
        <w:t>o</w:t>
      </w:r>
      <w:r>
        <w:rPr>
          <w:w w:val="100"/>
          <w:sz w:val="21"/>
        </w:rPr>
        <w:t>f</w:t>
      </w:r>
      <w:r>
        <w:rPr>
          <w:sz w:val="21"/>
        </w:rPr>
        <w:t> </w:t>
      </w:r>
      <w:r>
        <w:rPr>
          <w:spacing w:val="-20"/>
          <w:sz w:val="21"/>
        </w:rPr>
        <w:t> </w:t>
      </w:r>
      <w:r>
        <w:rPr>
          <w:spacing w:val="-2"/>
          <w:w w:val="100"/>
          <w:sz w:val="21"/>
        </w:rPr>
        <w:t>t</w:t>
      </w:r>
      <w:r>
        <w:rPr>
          <w:spacing w:val="-1"/>
          <w:w w:val="100"/>
          <w:sz w:val="21"/>
        </w:rPr>
        <w:t>h</w:t>
      </w:r>
      <w:r>
        <w:rPr>
          <w:spacing w:val="1"/>
          <w:w w:val="100"/>
          <w:sz w:val="21"/>
        </w:rPr>
        <w:t>i</w:t>
      </w:r>
      <w:r>
        <w:rPr>
          <w:w w:val="100"/>
          <w:sz w:val="21"/>
        </w:rPr>
        <w:t>s</w:t>
      </w:r>
      <w:r>
        <w:rPr>
          <w:sz w:val="21"/>
        </w:rPr>
        <w:t> </w:t>
      </w:r>
      <w:r>
        <w:rPr>
          <w:spacing w:val="-24"/>
          <w:sz w:val="21"/>
        </w:rPr>
        <w:t> </w:t>
      </w:r>
      <w:r>
        <w:rPr>
          <w:w w:val="100"/>
          <w:sz w:val="21"/>
        </w:rPr>
        <w:t>l</w:t>
      </w:r>
      <w:r>
        <w:rPr>
          <w:spacing w:val="-1"/>
          <w:w w:val="100"/>
          <w:sz w:val="21"/>
        </w:rPr>
        <w:t>et</w:t>
      </w:r>
      <w:r>
        <w:rPr>
          <w:spacing w:val="-2"/>
          <w:w w:val="100"/>
          <w:sz w:val="21"/>
        </w:rPr>
        <w:t>t</w:t>
      </w:r>
      <w:r>
        <w:rPr>
          <w:spacing w:val="-1"/>
          <w:w w:val="100"/>
          <w:sz w:val="21"/>
        </w:rPr>
        <w:t>e</w:t>
      </w:r>
      <w:r>
        <w:rPr>
          <w:spacing w:val="-3"/>
          <w:w w:val="100"/>
          <w:sz w:val="21"/>
        </w:rPr>
        <w:t>r</w:t>
      </w:r>
      <w:r>
        <w:rPr>
          <w:w w:val="100"/>
          <w:sz w:val="21"/>
        </w:rPr>
        <w:t>…</w:t>
      </w:r>
      <w:r>
        <w:rPr>
          <w:spacing w:val="-2"/>
          <w:w w:val="100"/>
          <w:sz w:val="21"/>
        </w:rPr>
        <w:t>I</w:t>
      </w:r>
      <w:r>
        <w:rPr>
          <w:w w:val="100"/>
          <w:sz w:val="21"/>
        </w:rPr>
        <w:t>t</w:t>
      </w:r>
      <w:r>
        <w:rPr>
          <w:sz w:val="21"/>
        </w:rPr>
        <w:t> </w:t>
      </w:r>
      <w:r>
        <w:rPr>
          <w:spacing w:val="-22"/>
          <w:sz w:val="21"/>
        </w:rPr>
        <w:t> </w:t>
      </w:r>
      <w:r>
        <w:rPr>
          <w:w w:val="100"/>
          <w:sz w:val="21"/>
        </w:rPr>
        <w:t>sho</w:t>
      </w:r>
      <w:r>
        <w:rPr>
          <w:spacing w:val="-1"/>
          <w:w w:val="100"/>
          <w:sz w:val="21"/>
        </w:rPr>
        <w:t>w</w:t>
      </w:r>
      <w:r>
        <w:rPr>
          <w:w w:val="100"/>
          <w:sz w:val="21"/>
        </w:rPr>
        <w:t>s </w:t>
      </w:r>
      <w:r>
        <w:rPr>
          <w:sz w:val="21"/>
        </w:rPr>
        <w:t>that the [colonial] Government intended to seize all the property which actually was seized, </w:t>
      </w:r>
      <w:r>
        <w:rPr>
          <w:b/>
          <w:sz w:val="21"/>
        </w:rPr>
        <w:t>whether public or private</w:t>
      </w:r>
      <w:r>
        <w:rPr>
          <w:sz w:val="21"/>
        </w:rPr>
        <w:t>, subject to an assurance that all which, upon investigation, should be found to have been improperly seized, would be restored. </w:t>
      </w:r>
      <w:r>
        <w:rPr>
          <w:b/>
          <w:sz w:val="21"/>
        </w:rPr>
        <w:t>But, even with respect to property not belonging to the </w:t>
      </w:r>
      <w:r>
        <w:rPr>
          <w:b/>
          <w:i/>
          <w:sz w:val="21"/>
        </w:rPr>
        <w:t>Rajah</w:t>
      </w:r>
      <w:r>
        <w:rPr>
          <w:b/>
          <w:sz w:val="21"/>
        </w:rPr>
        <w:t>, it is difficult to suppose that the Government intended to give a legal right of redress to those who might think themselves wronged, and to submit the conduct of their officers, in the execution of a political measure, to the judgement of a legal</w:t>
      </w:r>
      <w:r>
        <w:rPr>
          <w:b/>
          <w:spacing w:val="-3"/>
          <w:sz w:val="21"/>
        </w:rPr>
        <w:t> </w:t>
      </w:r>
      <w:r>
        <w:rPr>
          <w:b/>
          <w:sz w:val="21"/>
        </w:rPr>
        <w:t>tribunal.</w:t>
      </w:r>
    </w:p>
    <w:p>
      <w:pPr>
        <w:spacing w:line="241" w:lineRule="exact" w:before="0"/>
        <w:ind w:left="1918" w:right="0" w:firstLine="0"/>
        <w:jc w:val="left"/>
        <w:rPr>
          <w:sz w:val="21"/>
        </w:rPr>
      </w:pPr>
      <w:r>
        <w:rPr>
          <w:w w:val="100"/>
          <w:sz w:val="21"/>
        </w:rPr>
        <w:t>…</w:t>
      </w:r>
    </w:p>
    <w:p>
      <w:pPr>
        <w:spacing w:line="276" w:lineRule="auto" w:before="37"/>
        <w:ind w:left="1918" w:right="2260" w:firstLine="0"/>
        <w:jc w:val="both"/>
        <w:rPr>
          <w:sz w:val="21"/>
        </w:rPr>
      </w:pPr>
      <w:r>
        <w:rPr>
          <w:sz w:val="21"/>
        </w:rPr>
        <w:t>The result, in their Lordships‘ opinion, is, that the property  now claimed by the respondent [eldest widow] has been seized by the British Government, acting as a Sovereign power, through its delegate the East India Company; and </w:t>
      </w:r>
      <w:r>
        <w:rPr>
          <w:b/>
          <w:sz w:val="21"/>
        </w:rPr>
        <w:t>that the act so done, with its consequences, is an act of State over which the Supreme Court of </w:t>
      </w:r>
      <w:r>
        <w:rPr>
          <w:b/>
          <w:i/>
          <w:sz w:val="21"/>
        </w:rPr>
        <w:t>Madras </w:t>
      </w:r>
      <w:r>
        <w:rPr>
          <w:b/>
          <w:sz w:val="21"/>
        </w:rPr>
        <w:t>has no jurisdiction</w:t>
      </w:r>
      <w:r>
        <w:rPr>
          <w:sz w:val="21"/>
        </w:rPr>
        <w:t>.</w:t>
      </w:r>
    </w:p>
    <w:p>
      <w:pPr>
        <w:spacing w:line="276" w:lineRule="auto" w:before="1"/>
        <w:ind w:left="1918" w:right="2260" w:firstLine="0"/>
        <w:jc w:val="both"/>
        <w:rPr>
          <w:sz w:val="21"/>
        </w:rPr>
      </w:pPr>
      <w:r>
        <w:rPr>
          <w:sz w:val="21"/>
        </w:rPr>
        <w:t>Of the propriety or justice of that act, neither the Court below nor the Judicial Committee have the means of forming, or the right of expressing, if they had formed any opinion. </w:t>
      </w:r>
      <w:r>
        <w:rPr>
          <w:b/>
          <w:sz w:val="21"/>
        </w:rPr>
        <w:t>It may have been just or unjust, politic or impolitic, beneficial or injurious, taken as a whole, to those whose interests are affected. They are considerations into which their Lordships cannot enter. It is sufficient to say that, even if a wrong has been done, it is a wrong which no Municipal Court of justice can afford a remedy</w:t>
      </w:r>
      <w:r>
        <w:rPr>
          <w:sz w:val="21"/>
        </w:rPr>
        <w:t>.‖</w:t>
      </w:r>
    </w:p>
    <w:p>
      <w:pPr>
        <w:spacing w:line="240" w:lineRule="exact" w:before="0"/>
        <w:ind w:left="5798" w:right="0" w:firstLine="0"/>
        <w:jc w:val="left"/>
        <w:rPr>
          <w:sz w:val="21"/>
        </w:rPr>
      </w:pPr>
      <w:r>
        <w:rPr>
          <w:sz w:val="21"/>
        </w:rPr>
        <w:t>(Emphasis supplied)</w:t>
      </w:r>
    </w:p>
    <w:p>
      <w:pPr>
        <w:pStyle w:val="BodyText"/>
        <w:rPr>
          <w:sz w:val="24"/>
        </w:rPr>
      </w:pPr>
    </w:p>
    <w:p>
      <w:pPr>
        <w:pStyle w:val="BodyText"/>
        <w:spacing w:before="3"/>
        <w:rPr>
          <w:sz w:val="21"/>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The action of the colonial government in seizing the Raja‘s property was  an action between two sovereign actors - the colonial government and the State of Tanjore embodied by the Raja. The suit was instituted before the Supreme Court of Madras, a court of the colonial government drawing on the colonial government‘s sovereignty. The Privy Council held that the actions of the colonial government vis-à-vis another sovereign entity (the Raja of Tanjore) were acts of State and the municipal courts could not entertain matters questioning the</w:t>
      </w:r>
      <w:r>
        <w:rPr>
          <w:spacing w:val="-4"/>
          <w:sz w:val="25"/>
        </w:rPr>
        <w:t> </w:t>
      </w:r>
      <w:r>
        <w:rPr>
          <w:sz w:val="25"/>
        </w:rPr>
        <w:t>legality</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of those acts unless the colonial government itself recognised that the matter was justiciable. The Privy Council held that there was no evidence to support the claim that the colonial government recognised that legal redress was to be given to claimants of the Raja‘s property. Absent a recognition by the colonial government that the consequences of the act of State were legally enforceable in municipal law, municipal courts could not entertain suits with respect to the act of State.</w:t>
      </w:r>
    </w:p>
    <w:p>
      <w:pPr>
        <w:pStyle w:val="BodyText"/>
        <w:rPr>
          <w:sz w:val="28"/>
        </w:rPr>
      </w:pPr>
    </w:p>
    <w:p>
      <w:pPr>
        <w:pStyle w:val="BodyText"/>
        <w:spacing w:before="9"/>
        <w:rPr>
          <w:sz w:val="24"/>
        </w:rPr>
      </w:pPr>
    </w:p>
    <w:p>
      <w:pPr>
        <w:pStyle w:val="ListParagraph"/>
        <w:numPr>
          <w:ilvl w:val="0"/>
          <w:numId w:val="166"/>
        </w:numPr>
        <w:tabs>
          <w:tab w:pos="1221" w:val="left" w:leader="none"/>
        </w:tabs>
        <w:spacing w:line="480" w:lineRule="auto" w:before="1" w:after="0"/>
        <w:ind w:left="500" w:right="437" w:firstLine="0"/>
        <w:jc w:val="both"/>
        <w:rPr>
          <w:sz w:val="25"/>
        </w:rPr>
      </w:pPr>
      <w:r>
        <w:rPr>
          <w:sz w:val="25"/>
        </w:rPr>
        <w:t>In 1899, this principle was followed by the Privy Council in its decision in </w:t>
      </w:r>
      <w:r>
        <w:rPr>
          <w:b/>
          <w:sz w:val="25"/>
        </w:rPr>
        <w:t>Thomas and James Cook </w:t>
      </w:r>
      <w:r>
        <w:rPr>
          <w:sz w:val="25"/>
        </w:rPr>
        <w:t>v </w:t>
      </w:r>
      <w:r>
        <w:rPr>
          <w:b/>
          <w:sz w:val="25"/>
        </w:rPr>
        <w:t>Sir James Sprigg</w:t>
      </w:r>
      <w:r>
        <w:rPr>
          <w:sz w:val="25"/>
        </w:rPr>
        <w:t>.</w:t>
      </w:r>
      <w:r>
        <w:rPr>
          <w:sz w:val="25"/>
          <w:vertAlign w:val="superscript"/>
        </w:rPr>
        <w:t>330</w:t>
      </w:r>
      <w:r>
        <w:rPr>
          <w:sz w:val="25"/>
          <w:vertAlign w:val="baseline"/>
        </w:rPr>
        <w:t> The respondents in appeal had challenged certain agreements made by a Native Chief of Pondoland granting concessionary rights over lands and forests to the appellants, as delegates of the British Sovereign. The respondents contended that the agreements were contrary to the laws of Pondoland at the time. The Privy Council held the grant of lands and rights to the British Sovereign to be an act of </w:t>
      </w:r>
      <w:r>
        <w:rPr>
          <w:spacing w:val="-1"/>
          <w:w w:val="99"/>
          <w:sz w:val="25"/>
          <w:vertAlign w:val="baseline"/>
        </w:rPr>
        <w:t>S</w:t>
      </w:r>
      <w:r>
        <w:rPr>
          <w:w w:val="99"/>
          <w:sz w:val="25"/>
          <w:vertAlign w:val="baseline"/>
        </w:rPr>
        <w:t>tate</w:t>
      </w:r>
      <w:r>
        <w:rPr>
          <w:sz w:val="25"/>
          <w:vertAlign w:val="baseline"/>
        </w:rPr>
        <w:t> </w:t>
      </w:r>
      <w:r>
        <w:rPr>
          <w:spacing w:val="-31"/>
          <w:sz w:val="25"/>
          <w:vertAlign w:val="baseline"/>
        </w:rPr>
        <w:t> </w:t>
      </w:r>
      <w:r>
        <w:rPr>
          <w:spacing w:val="-1"/>
          <w:w w:val="99"/>
          <w:sz w:val="25"/>
          <w:vertAlign w:val="baseline"/>
        </w:rPr>
        <w:t>b</w:t>
      </w:r>
      <w:r>
        <w:rPr>
          <w:w w:val="99"/>
          <w:sz w:val="25"/>
          <w:vertAlign w:val="baseline"/>
        </w:rPr>
        <w:t>etween</w:t>
      </w:r>
      <w:r>
        <w:rPr>
          <w:sz w:val="25"/>
          <w:vertAlign w:val="baseline"/>
        </w:rPr>
        <w:t> </w:t>
      </w:r>
      <w:r>
        <w:rPr>
          <w:spacing w:val="-31"/>
          <w:sz w:val="25"/>
          <w:vertAlign w:val="baseline"/>
        </w:rPr>
        <w:t> </w:t>
      </w:r>
      <w:r>
        <w:rPr>
          <w:w w:val="99"/>
          <w:sz w:val="25"/>
          <w:vertAlign w:val="baseline"/>
        </w:rPr>
        <w:t>the</w:t>
      </w:r>
      <w:r>
        <w:rPr>
          <w:sz w:val="25"/>
          <w:vertAlign w:val="baseline"/>
        </w:rPr>
        <w:t> </w:t>
      </w:r>
      <w:r>
        <w:rPr>
          <w:spacing w:val="-31"/>
          <w:sz w:val="25"/>
          <w:vertAlign w:val="baseline"/>
        </w:rPr>
        <w:t> </w:t>
      </w:r>
      <w:r>
        <w:rPr>
          <w:w w:val="33"/>
          <w:sz w:val="25"/>
          <w:vertAlign w:val="baseline"/>
        </w:rPr>
        <w:t>―</w:t>
      </w:r>
      <w:r>
        <w:rPr>
          <w:spacing w:val="-1"/>
          <w:w w:val="99"/>
          <w:sz w:val="25"/>
          <w:vertAlign w:val="baseline"/>
        </w:rPr>
        <w:t>Pa</w:t>
      </w:r>
      <w:r>
        <w:rPr>
          <w:w w:val="99"/>
          <w:sz w:val="25"/>
          <w:vertAlign w:val="baseline"/>
        </w:rPr>
        <w:t>r</w:t>
      </w:r>
      <w:r>
        <w:rPr>
          <w:spacing w:val="-1"/>
          <w:w w:val="99"/>
          <w:sz w:val="25"/>
          <w:vertAlign w:val="baseline"/>
        </w:rPr>
        <w:t>a</w:t>
      </w:r>
      <w:r>
        <w:rPr>
          <w:w w:val="99"/>
          <w:sz w:val="25"/>
          <w:vertAlign w:val="baseline"/>
        </w:rPr>
        <w:t>m</w:t>
      </w:r>
      <w:r>
        <w:rPr>
          <w:spacing w:val="-1"/>
          <w:w w:val="99"/>
          <w:sz w:val="25"/>
          <w:vertAlign w:val="baseline"/>
        </w:rPr>
        <w:t>o</w:t>
      </w:r>
      <w:r>
        <w:rPr>
          <w:w w:val="99"/>
          <w:sz w:val="25"/>
          <w:vertAlign w:val="baseline"/>
        </w:rPr>
        <w:t>u</w:t>
      </w:r>
      <w:r>
        <w:rPr>
          <w:spacing w:val="-1"/>
          <w:w w:val="99"/>
          <w:sz w:val="25"/>
          <w:vertAlign w:val="baseline"/>
        </w:rPr>
        <w:t>n</w:t>
      </w:r>
      <w:r>
        <w:rPr>
          <w:w w:val="99"/>
          <w:sz w:val="25"/>
          <w:vertAlign w:val="baseline"/>
        </w:rPr>
        <w:t>t</w:t>
      </w:r>
      <w:r>
        <w:rPr>
          <w:sz w:val="25"/>
          <w:vertAlign w:val="baseline"/>
        </w:rPr>
        <w:t> </w:t>
      </w:r>
      <w:r>
        <w:rPr>
          <w:spacing w:val="-31"/>
          <w:sz w:val="25"/>
          <w:vertAlign w:val="baseline"/>
        </w:rPr>
        <w:t> </w:t>
      </w:r>
      <w:r>
        <w:rPr>
          <w:spacing w:val="-1"/>
          <w:w w:val="99"/>
          <w:sz w:val="25"/>
          <w:vertAlign w:val="baseline"/>
        </w:rPr>
        <w:t>Chie</w:t>
      </w:r>
      <w:r>
        <w:rPr>
          <w:w w:val="99"/>
          <w:sz w:val="25"/>
          <w:vertAlign w:val="baseline"/>
        </w:rPr>
        <w:t>f</w:t>
      </w:r>
      <w:r>
        <w:rPr>
          <w:sz w:val="25"/>
          <w:vertAlign w:val="baseline"/>
        </w:rPr>
        <w:t> </w:t>
      </w:r>
      <w:r>
        <w:rPr>
          <w:spacing w:val="-31"/>
          <w:sz w:val="25"/>
          <w:vertAlign w:val="baseline"/>
        </w:rPr>
        <w:t> </w:t>
      </w:r>
      <w:r>
        <w:rPr>
          <w:spacing w:val="-1"/>
          <w:w w:val="99"/>
          <w:sz w:val="25"/>
          <w:vertAlign w:val="baseline"/>
        </w:rPr>
        <w:t>o</w:t>
      </w:r>
      <w:r>
        <w:rPr>
          <w:w w:val="99"/>
          <w:sz w:val="25"/>
          <w:vertAlign w:val="baseline"/>
        </w:rPr>
        <w:t>f</w:t>
      </w:r>
      <w:r>
        <w:rPr>
          <w:sz w:val="25"/>
          <w:vertAlign w:val="baseline"/>
        </w:rPr>
        <w:t> </w:t>
      </w:r>
      <w:r>
        <w:rPr>
          <w:spacing w:val="-31"/>
          <w:sz w:val="25"/>
          <w:vertAlign w:val="baseline"/>
        </w:rPr>
        <w:t> </w:t>
      </w:r>
      <w:r>
        <w:rPr>
          <w:w w:val="99"/>
          <w:sz w:val="25"/>
          <w:vertAlign w:val="baseline"/>
        </w:rPr>
        <w:t>t</w:t>
      </w:r>
      <w:r>
        <w:rPr>
          <w:spacing w:val="-2"/>
          <w:w w:val="99"/>
          <w:sz w:val="25"/>
          <w:vertAlign w:val="baseline"/>
        </w:rPr>
        <w:t>h</w:t>
      </w:r>
      <w:r>
        <w:rPr>
          <w:w w:val="99"/>
          <w:sz w:val="25"/>
          <w:vertAlign w:val="baseline"/>
        </w:rPr>
        <w:t>e</w:t>
      </w:r>
      <w:r>
        <w:rPr>
          <w:sz w:val="25"/>
          <w:vertAlign w:val="baseline"/>
        </w:rPr>
        <w:t> </w:t>
      </w:r>
      <w:r>
        <w:rPr>
          <w:spacing w:val="-31"/>
          <w:sz w:val="25"/>
          <w:vertAlign w:val="baseline"/>
        </w:rPr>
        <w:t> </w:t>
      </w:r>
      <w:r>
        <w:rPr>
          <w:spacing w:val="-1"/>
          <w:w w:val="99"/>
          <w:sz w:val="25"/>
          <w:vertAlign w:val="baseline"/>
        </w:rPr>
        <w:t>Po</w:t>
      </w:r>
      <w:r>
        <w:rPr>
          <w:w w:val="99"/>
          <w:sz w:val="25"/>
          <w:vertAlign w:val="baseline"/>
        </w:rPr>
        <w:t>n</w:t>
      </w:r>
      <w:r>
        <w:rPr>
          <w:spacing w:val="-1"/>
          <w:w w:val="99"/>
          <w:sz w:val="25"/>
          <w:vertAlign w:val="baseline"/>
        </w:rPr>
        <w:t>d</w:t>
      </w:r>
      <w:r>
        <w:rPr>
          <w:w w:val="99"/>
          <w:sz w:val="25"/>
          <w:vertAlign w:val="baseline"/>
        </w:rPr>
        <w:t>o</w:t>
      </w:r>
      <w:r>
        <w:rPr>
          <w:w w:val="91"/>
          <w:sz w:val="25"/>
          <w:vertAlign w:val="baseline"/>
        </w:rPr>
        <w:t>s‖</w:t>
      </w:r>
      <w:r>
        <w:rPr>
          <w:sz w:val="25"/>
          <w:vertAlign w:val="baseline"/>
        </w:rPr>
        <w:t> </w:t>
      </w:r>
      <w:r>
        <w:rPr>
          <w:spacing w:val="-31"/>
          <w:sz w:val="25"/>
          <w:vertAlign w:val="baseline"/>
        </w:rPr>
        <w:t> </w:t>
      </w:r>
      <w:r>
        <w:rPr>
          <w:spacing w:val="-1"/>
          <w:w w:val="99"/>
          <w:sz w:val="25"/>
          <w:vertAlign w:val="baseline"/>
        </w:rPr>
        <w:t>a</w:t>
      </w:r>
      <w:r>
        <w:rPr>
          <w:w w:val="99"/>
          <w:sz w:val="25"/>
          <w:vertAlign w:val="baseline"/>
        </w:rPr>
        <w:t>nd</w:t>
      </w:r>
      <w:r>
        <w:rPr>
          <w:sz w:val="25"/>
          <w:vertAlign w:val="baseline"/>
        </w:rPr>
        <w:t> </w:t>
      </w:r>
      <w:r>
        <w:rPr>
          <w:spacing w:val="-31"/>
          <w:sz w:val="25"/>
          <w:vertAlign w:val="baseline"/>
        </w:rPr>
        <w:t> </w:t>
      </w:r>
      <w:r>
        <w:rPr>
          <w:w w:val="99"/>
          <w:sz w:val="25"/>
          <w:vertAlign w:val="baseline"/>
        </w:rPr>
        <w:t>the</w:t>
      </w:r>
      <w:r>
        <w:rPr>
          <w:sz w:val="25"/>
          <w:vertAlign w:val="baseline"/>
        </w:rPr>
        <w:t> </w:t>
      </w:r>
      <w:r>
        <w:rPr>
          <w:spacing w:val="-31"/>
          <w:sz w:val="25"/>
          <w:vertAlign w:val="baseline"/>
        </w:rPr>
        <w:t> </w:t>
      </w:r>
      <w:r>
        <w:rPr>
          <w:spacing w:val="-1"/>
          <w:w w:val="99"/>
          <w:sz w:val="25"/>
          <w:vertAlign w:val="baseline"/>
        </w:rPr>
        <w:t>B</w:t>
      </w:r>
      <w:r>
        <w:rPr>
          <w:w w:val="99"/>
          <w:sz w:val="25"/>
          <w:vertAlign w:val="baseline"/>
        </w:rPr>
        <w:t>r</w:t>
      </w:r>
      <w:r>
        <w:rPr>
          <w:spacing w:val="-1"/>
          <w:w w:val="99"/>
          <w:sz w:val="25"/>
          <w:vertAlign w:val="baseline"/>
        </w:rPr>
        <w:t>itis</w:t>
      </w:r>
      <w:r>
        <w:rPr>
          <w:w w:val="99"/>
          <w:sz w:val="25"/>
          <w:vertAlign w:val="baseline"/>
        </w:rPr>
        <w:t>h</w:t>
      </w:r>
      <w:r>
        <w:rPr>
          <w:sz w:val="25"/>
          <w:vertAlign w:val="baseline"/>
        </w:rPr>
        <w:t> </w:t>
      </w:r>
      <w:r>
        <w:rPr>
          <w:spacing w:val="-31"/>
          <w:sz w:val="25"/>
          <w:vertAlign w:val="baseline"/>
        </w:rPr>
        <w:t> </w:t>
      </w:r>
      <w:r>
        <w:rPr>
          <w:spacing w:val="-1"/>
          <w:w w:val="99"/>
          <w:sz w:val="25"/>
          <w:vertAlign w:val="baseline"/>
        </w:rPr>
        <w:t>So</w:t>
      </w:r>
      <w:r>
        <w:rPr>
          <w:spacing w:val="-3"/>
          <w:w w:val="99"/>
          <w:sz w:val="25"/>
          <w:vertAlign w:val="baseline"/>
        </w:rPr>
        <w:t>v</w:t>
      </w:r>
      <w:r>
        <w:rPr>
          <w:spacing w:val="-1"/>
          <w:w w:val="99"/>
          <w:sz w:val="25"/>
          <w:vertAlign w:val="baseline"/>
        </w:rPr>
        <w:t>e</w:t>
      </w:r>
      <w:r>
        <w:rPr>
          <w:w w:val="99"/>
          <w:sz w:val="25"/>
          <w:vertAlign w:val="baseline"/>
        </w:rPr>
        <w:t>r</w:t>
      </w:r>
      <w:r>
        <w:rPr>
          <w:spacing w:val="-1"/>
          <w:w w:val="99"/>
          <w:sz w:val="25"/>
          <w:vertAlign w:val="baseline"/>
        </w:rPr>
        <w:t>eign </w:t>
      </w:r>
      <w:r>
        <w:rPr>
          <w:sz w:val="25"/>
          <w:vertAlign w:val="baseline"/>
        </w:rPr>
        <w:t>and could not be challenged before a municipal court on the grounds of violating Pondo law. Lord Halsbury, speaking for the Privy Council,</w:t>
      </w:r>
      <w:r>
        <w:rPr>
          <w:spacing w:val="-8"/>
          <w:sz w:val="25"/>
          <w:vertAlign w:val="baseline"/>
        </w:rPr>
        <w:t> </w:t>
      </w:r>
      <w:r>
        <w:rPr>
          <w:sz w:val="25"/>
          <w:vertAlign w:val="baseline"/>
        </w:rPr>
        <w:t>held:</w:t>
      </w:r>
    </w:p>
    <w:p>
      <w:pPr>
        <w:spacing w:line="276" w:lineRule="auto" w:before="159"/>
        <w:ind w:left="1918" w:right="2259" w:firstLine="0"/>
        <w:jc w:val="both"/>
        <w:rPr>
          <w:b/>
          <w:sz w:val="21"/>
        </w:rPr>
      </w:pPr>
      <w:r>
        <w:rPr>
          <w:spacing w:val="-1"/>
          <w:w w:val="33"/>
          <w:sz w:val="21"/>
        </w:rPr>
        <w:t>―</w:t>
      </w:r>
      <w:r>
        <w:rPr>
          <w:w w:val="100"/>
          <w:sz w:val="21"/>
        </w:rPr>
        <w:t>The</w:t>
      </w:r>
      <w:r>
        <w:rPr>
          <w:spacing w:val="6"/>
          <w:sz w:val="21"/>
        </w:rPr>
        <w:t> </w:t>
      </w:r>
      <w:r>
        <w:rPr>
          <w:spacing w:val="-2"/>
          <w:w w:val="100"/>
          <w:sz w:val="21"/>
        </w:rPr>
        <w:t>t</w:t>
      </w:r>
      <w:r>
        <w:rPr>
          <w:spacing w:val="-3"/>
          <w:w w:val="100"/>
          <w:sz w:val="21"/>
        </w:rPr>
        <w:t>a</w:t>
      </w:r>
      <w:r>
        <w:rPr>
          <w:w w:val="100"/>
          <w:sz w:val="21"/>
        </w:rPr>
        <w:t>ki</w:t>
      </w:r>
      <w:r>
        <w:rPr>
          <w:spacing w:val="-1"/>
          <w:w w:val="100"/>
          <w:sz w:val="21"/>
        </w:rPr>
        <w:t>n</w:t>
      </w:r>
      <w:r>
        <w:rPr>
          <w:w w:val="100"/>
          <w:sz w:val="21"/>
        </w:rPr>
        <w:t>g</w:t>
      </w:r>
      <w:r>
        <w:rPr>
          <w:spacing w:val="6"/>
          <w:sz w:val="21"/>
        </w:rPr>
        <w:t> </w:t>
      </w:r>
      <w:r>
        <w:rPr>
          <w:spacing w:val="-3"/>
          <w:w w:val="100"/>
          <w:sz w:val="21"/>
        </w:rPr>
        <w:t>p</w:t>
      </w:r>
      <w:r>
        <w:rPr>
          <w:spacing w:val="-1"/>
          <w:w w:val="100"/>
          <w:sz w:val="21"/>
        </w:rPr>
        <w:t>os</w:t>
      </w:r>
      <w:r>
        <w:rPr>
          <w:spacing w:val="-3"/>
          <w:w w:val="100"/>
          <w:sz w:val="21"/>
        </w:rPr>
        <w:t>s</w:t>
      </w:r>
      <w:r>
        <w:rPr>
          <w:spacing w:val="-1"/>
          <w:w w:val="100"/>
          <w:sz w:val="21"/>
        </w:rPr>
        <w:t>es</w:t>
      </w:r>
      <w:r>
        <w:rPr>
          <w:spacing w:val="-3"/>
          <w:w w:val="100"/>
          <w:sz w:val="21"/>
        </w:rPr>
        <w:t>s</w:t>
      </w:r>
      <w:r>
        <w:rPr>
          <w:w w:val="100"/>
          <w:sz w:val="21"/>
        </w:rPr>
        <w:t>i</w:t>
      </w:r>
      <w:r>
        <w:rPr>
          <w:spacing w:val="-1"/>
          <w:w w:val="100"/>
          <w:sz w:val="21"/>
        </w:rPr>
        <w:t>o</w:t>
      </w:r>
      <w:r>
        <w:rPr>
          <w:w w:val="100"/>
          <w:sz w:val="21"/>
        </w:rPr>
        <w:t>n</w:t>
      </w:r>
      <w:r>
        <w:rPr>
          <w:spacing w:val="6"/>
          <w:sz w:val="21"/>
        </w:rPr>
        <w:t> </w:t>
      </w:r>
      <w:r>
        <w:rPr>
          <w:spacing w:val="-3"/>
          <w:w w:val="100"/>
          <w:sz w:val="21"/>
        </w:rPr>
        <w:t>b</w:t>
      </w:r>
      <w:r>
        <w:rPr>
          <w:w w:val="100"/>
          <w:sz w:val="21"/>
        </w:rPr>
        <w:t>y</w:t>
      </w:r>
      <w:r>
        <w:rPr>
          <w:spacing w:val="3"/>
          <w:sz w:val="21"/>
        </w:rPr>
        <w:t> </w:t>
      </w:r>
      <w:r>
        <w:rPr>
          <w:w w:val="100"/>
          <w:sz w:val="21"/>
        </w:rPr>
        <w:t>H</w:t>
      </w:r>
      <w:r>
        <w:rPr>
          <w:spacing w:val="-1"/>
          <w:w w:val="100"/>
          <w:sz w:val="21"/>
        </w:rPr>
        <w:t>e</w:t>
      </w:r>
      <w:r>
        <w:rPr>
          <w:w w:val="100"/>
          <w:sz w:val="21"/>
        </w:rPr>
        <w:t>r</w:t>
      </w:r>
      <w:r>
        <w:rPr>
          <w:spacing w:val="5"/>
          <w:sz w:val="21"/>
        </w:rPr>
        <w:t> </w:t>
      </w:r>
      <w:r>
        <w:rPr>
          <w:spacing w:val="-1"/>
          <w:w w:val="100"/>
          <w:sz w:val="21"/>
        </w:rPr>
        <w:t>Ma</w:t>
      </w:r>
      <w:r>
        <w:rPr>
          <w:spacing w:val="1"/>
          <w:w w:val="100"/>
          <w:sz w:val="21"/>
        </w:rPr>
        <w:t>j</w:t>
      </w:r>
      <w:r>
        <w:rPr>
          <w:spacing w:val="-1"/>
          <w:w w:val="100"/>
          <w:sz w:val="21"/>
        </w:rPr>
        <w:t>est</w:t>
      </w:r>
      <w:r>
        <w:rPr>
          <w:w w:val="100"/>
          <w:sz w:val="21"/>
        </w:rPr>
        <w:t>y</w:t>
      </w:r>
      <w:r>
        <w:rPr>
          <w:spacing w:val="3"/>
          <w:sz w:val="21"/>
        </w:rPr>
        <w:t> </w:t>
      </w:r>
      <w:r>
        <w:rPr>
          <w:spacing w:val="-2"/>
          <w:w w:val="100"/>
          <w:sz w:val="21"/>
        </w:rPr>
        <w:t>w</w:t>
      </w:r>
      <w:r>
        <w:rPr>
          <w:spacing w:val="-1"/>
          <w:w w:val="100"/>
          <w:sz w:val="21"/>
        </w:rPr>
        <w:t>hethe</w:t>
      </w:r>
      <w:r>
        <w:rPr>
          <w:w w:val="100"/>
          <w:sz w:val="21"/>
        </w:rPr>
        <w:t>r</w:t>
      </w:r>
      <w:r>
        <w:rPr>
          <w:spacing w:val="5"/>
          <w:sz w:val="21"/>
        </w:rPr>
        <w:t> </w:t>
      </w:r>
      <w:r>
        <w:rPr>
          <w:spacing w:val="-1"/>
          <w:w w:val="100"/>
          <w:sz w:val="21"/>
        </w:rPr>
        <w:t>b</w:t>
      </w:r>
      <w:r>
        <w:rPr>
          <w:w w:val="100"/>
          <w:sz w:val="21"/>
        </w:rPr>
        <w:t>y</w:t>
      </w:r>
      <w:r>
        <w:rPr>
          <w:spacing w:val="3"/>
          <w:sz w:val="21"/>
        </w:rPr>
        <w:t> </w:t>
      </w:r>
      <w:r>
        <w:rPr>
          <w:w w:val="100"/>
          <w:sz w:val="21"/>
        </w:rPr>
        <w:t>cess</w:t>
      </w:r>
      <w:r>
        <w:rPr>
          <w:spacing w:val="-2"/>
          <w:w w:val="100"/>
          <w:sz w:val="21"/>
        </w:rPr>
        <w:t>i</w:t>
      </w:r>
      <w:r>
        <w:rPr>
          <w:spacing w:val="-1"/>
          <w:w w:val="100"/>
          <w:sz w:val="21"/>
        </w:rPr>
        <w:t>o</w:t>
      </w:r>
      <w:r>
        <w:rPr>
          <w:w w:val="100"/>
          <w:sz w:val="21"/>
        </w:rPr>
        <w:t>n</w:t>
      </w:r>
      <w:r>
        <w:rPr>
          <w:spacing w:val="6"/>
          <w:sz w:val="21"/>
        </w:rPr>
        <w:t> </w:t>
      </w:r>
      <w:r>
        <w:rPr>
          <w:spacing w:val="-3"/>
          <w:w w:val="100"/>
          <w:sz w:val="21"/>
        </w:rPr>
        <w:t>o</w:t>
      </w:r>
      <w:r>
        <w:rPr>
          <w:w w:val="100"/>
          <w:sz w:val="21"/>
        </w:rPr>
        <w:t>r </w:t>
      </w:r>
      <w:r>
        <w:rPr>
          <w:sz w:val="21"/>
        </w:rPr>
        <w:t>by any other means by which sovereignty can be acquired was an act of State and treating Sigcau [the Pondo Chief] as an independent Sovereign – which the Appellants are compelled to do in deriving title from him – </w:t>
      </w:r>
      <w:r>
        <w:rPr>
          <w:b/>
          <w:sz w:val="21"/>
        </w:rPr>
        <w:t>it is a well- established principle of law that the transactions of independent States between each other are governed by other laws than those which municipal courts administer</w:t>
      </w:r>
      <w:r>
        <w:rPr>
          <w:sz w:val="21"/>
        </w:rPr>
        <w:t>. </w:t>
      </w:r>
      <w:r>
        <w:rPr>
          <w:b/>
          <w:sz w:val="21"/>
        </w:rPr>
        <w:t>It is no answer to say that by the ordinary principles of International Law private property is respected by</w:t>
      </w:r>
      <w:r>
        <w:rPr>
          <w:b/>
          <w:spacing w:val="13"/>
          <w:sz w:val="21"/>
        </w:rPr>
        <w:t> </w:t>
      </w:r>
      <w:r>
        <w:rPr>
          <w:b/>
          <w:sz w:val="21"/>
        </w:rPr>
        <w:t>the</w:t>
      </w:r>
    </w:p>
    <w:p>
      <w:pPr>
        <w:pStyle w:val="BodyText"/>
        <w:spacing w:before="2"/>
        <w:rPr>
          <w:b/>
          <w:sz w:val="24"/>
        </w:rPr>
      </w:pPr>
      <w:r>
        <w:rPr/>
        <w:pict>
          <v:rect style="position:absolute;margin-left:72.024002pt;margin-top:15.871754pt;width:144.020pt;height:.599980pt;mso-position-horizontal-relative:page;mso-position-vertical-relative:paragraph;z-index:-1563136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330</w:t>
      </w:r>
      <w:r>
        <w:rPr>
          <w:sz w:val="18"/>
          <w:vertAlign w:val="baseline"/>
        </w:rPr>
        <w:t> (1899) AC 572</w:t>
      </w:r>
    </w:p>
    <w:p>
      <w:pPr>
        <w:spacing w:after="0"/>
        <w:jc w:val="left"/>
        <w:rPr>
          <w:sz w:val="18"/>
        </w:rPr>
        <w:sectPr>
          <w:pgSz w:w="11910" w:h="16840"/>
          <w:pgMar w:header="721" w:footer="1014" w:top="1300" w:bottom="1200" w:left="940" w:right="1000"/>
        </w:sectPr>
      </w:pPr>
    </w:p>
    <w:p>
      <w:pPr>
        <w:spacing w:line="276" w:lineRule="auto" w:before="122"/>
        <w:ind w:left="1918" w:right="2261" w:firstLine="0"/>
        <w:jc w:val="both"/>
        <w:rPr>
          <w:sz w:val="21"/>
        </w:rPr>
      </w:pPr>
      <w:r>
        <w:rPr>
          <w:b/>
          <w:sz w:val="21"/>
        </w:rPr>
        <w:t>Sovereign which accepts the cession and assumes the duties and legal obligations of the former Sovereign with respect to such private property within the ceded territory</w:t>
      </w:r>
      <w:r>
        <w:rPr>
          <w:sz w:val="21"/>
        </w:rPr>
        <w:t>…if there is either an express or well-understood bargain between the ceding Potentate and the Government to which the cession is made that private property shall be respected </w:t>
      </w:r>
      <w:r>
        <w:rPr>
          <w:b/>
          <w:sz w:val="21"/>
        </w:rPr>
        <w:t>that is only a bargain which can be enforced by Sovereign against Sovereign in the ordinary course of diplomatic pressure</w:t>
      </w:r>
      <w:r>
        <w:rPr>
          <w:sz w:val="21"/>
        </w:rPr>
        <w:t>.‖</w:t>
      </w:r>
    </w:p>
    <w:p>
      <w:pPr>
        <w:spacing w:before="0"/>
        <w:ind w:left="5798" w:right="0" w:firstLine="0"/>
        <w:jc w:val="left"/>
        <w:rPr>
          <w:sz w:val="21"/>
        </w:rPr>
      </w:pPr>
      <w:r>
        <w:rPr>
          <w:sz w:val="21"/>
        </w:rPr>
        <w:t>(Emphasis supplied)</w:t>
      </w:r>
    </w:p>
    <w:p>
      <w:pPr>
        <w:pStyle w:val="BodyText"/>
        <w:rPr>
          <w:sz w:val="24"/>
        </w:rPr>
      </w:pPr>
    </w:p>
    <w:p>
      <w:pPr>
        <w:pStyle w:val="BodyText"/>
        <w:spacing w:before="5"/>
        <w:rPr>
          <w:sz w:val="29"/>
        </w:rPr>
      </w:pPr>
    </w:p>
    <w:p>
      <w:pPr>
        <w:pStyle w:val="ListParagraph"/>
        <w:numPr>
          <w:ilvl w:val="0"/>
          <w:numId w:val="166"/>
        </w:numPr>
        <w:tabs>
          <w:tab w:pos="1221" w:val="left" w:leader="none"/>
        </w:tabs>
        <w:spacing w:line="480" w:lineRule="auto" w:before="0" w:after="0"/>
        <w:ind w:left="500" w:right="433" w:firstLine="0"/>
        <w:jc w:val="both"/>
        <w:rPr>
          <w:sz w:val="25"/>
        </w:rPr>
      </w:pPr>
      <w:r>
        <w:rPr>
          <w:sz w:val="25"/>
        </w:rPr>
        <w:t>The common law principle which the Privy Council adopted was that municipal courts cannot enforce the law applicable between two sovereign states. The Privy Council clarified that irrespective of what international law had to say on whether the new sovereign was subrogated into the shoes of the old sovereign with respect to the legal obligations of the latter, a municipal court cannot enforce such legal obligations in the absence of express recognition of the legal obligations by the new sovereign. Where there is a change of sovereignty from a former sovereign to a new sovereign, the municipal courts of the new sovereign will not enforce the legal rights of parties existing under the former sovereign absent an express recognition by the new sovereign of such legal rights.</w:t>
      </w:r>
    </w:p>
    <w:p>
      <w:pPr>
        <w:pStyle w:val="BodyText"/>
        <w:rPr>
          <w:sz w:val="28"/>
        </w:rPr>
      </w:pPr>
    </w:p>
    <w:p>
      <w:pPr>
        <w:pStyle w:val="BodyText"/>
        <w:spacing w:before="9"/>
        <w:rPr>
          <w:sz w:val="24"/>
        </w:rPr>
      </w:pPr>
    </w:p>
    <w:p>
      <w:pPr>
        <w:pStyle w:val="ListParagraph"/>
        <w:numPr>
          <w:ilvl w:val="0"/>
          <w:numId w:val="166"/>
        </w:numPr>
        <w:tabs>
          <w:tab w:pos="1221" w:val="left" w:leader="none"/>
        </w:tabs>
        <w:spacing w:line="480" w:lineRule="auto" w:before="1" w:after="0"/>
        <w:ind w:left="500" w:right="437" w:firstLine="0"/>
        <w:jc w:val="both"/>
        <w:rPr>
          <w:sz w:val="25"/>
        </w:rPr>
      </w:pPr>
      <w:r>
        <w:rPr/>
        <w:pict>
          <v:rect style="position:absolute;margin-left:72.024002pt;margin-top:167.554886pt;width:144.020pt;height:.599980pt;mso-position-horizontal-relative:page;mso-position-vertical-relative:paragraph;z-index:-23826432" filled="true" fillcolor="#000000" stroked="false">
            <v:fill type="solid"/>
            <w10:wrap type="none"/>
          </v:rect>
        </w:pict>
      </w:r>
      <w:r>
        <w:rPr>
          <w:sz w:val="25"/>
        </w:rPr>
        <w:t>The applicability of the above principles to the question of proprietary rights existing under a former regime was discussed in a 1915 decision of the Privy Council in </w:t>
      </w:r>
      <w:r>
        <w:rPr>
          <w:b/>
          <w:sz w:val="25"/>
        </w:rPr>
        <w:t>Secretary of State of India in Council </w:t>
      </w:r>
      <w:r>
        <w:rPr>
          <w:sz w:val="25"/>
        </w:rPr>
        <w:t>v </w:t>
      </w:r>
      <w:r>
        <w:rPr>
          <w:b/>
          <w:sz w:val="25"/>
        </w:rPr>
        <w:t>Bai Rajbai</w:t>
      </w:r>
      <w:r>
        <w:rPr>
          <w:sz w:val="25"/>
          <w:vertAlign w:val="superscript"/>
        </w:rPr>
        <w:t>331</w:t>
      </w:r>
      <w:r>
        <w:rPr>
          <w:sz w:val="25"/>
          <w:vertAlign w:val="baseline"/>
        </w:rPr>
        <w:t>. The respondent in appeal, being part of a group called Kasbatis, had been given a grant to collect rent from certain villages by the Gaekwar rulers of Ahmedabad. In 1817, the district of Ahmedabad was ceded by the Gaekwars to the</w:t>
      </w:r>
      <w:r>
        <w:rPr>
          <w:spacing w:val="44"/>
          <w:sz w:val="25"/>
          <w:vertAlign w:val="baseline"/>
        </w:rPr>
        <w:t> </w:t>
      </w:r>
      <w:r>
        <w:rPr>
          <w:sz w:val="25"/>
          <w:vertAlign w:val="baseline"/>
        </w:rPr>
        <w:t>British</w:t>
      </w:r>
    </w:p>
    <w:p>
      <w:pPr>
        <w:spacing w:before="21"/>
        <w:ind w:left="500" w:right="0" w:firstLine="0"/>
        <w:jc w:val="left"/>
        <w:rPr>
          <w:sz w:val="18"/>
        </w:rPr>
      </w:pPr>
      <w:r>
        <w:rPr>
          <w:sz w:val="18"/>
          <w:vertAlign w:val="superscript"/>
        </w:rPr>
        <w:t>331</w:t>
      </w:r>
      <w:r>
        <w:rPr>
          <w:sz w:val="18"/>
          <w:vertAlign w:val="baseline"/>
        </w:rPr>
        <w:t> ILR (1915) 39 Bom 625</w:t>
      </w:r>
    </w:p>
    <w:p>
      <w:pPr>
        <w:spacing w:after="0"/>
        <w:jc w:val="left"/>
        <w:rPr>
          <w:sz w:val="18"/>
        </w:rPr>
        <w:sectPr>
          <w:headerReference w:type="default" r:id="rId182"/>
          <w:footerReference w:type="default" r:id="rId183"/>
          <w:pgSz w:w="11910" w:h="16840"/>
          <w:pgMar w:header="721" w:footer="1014" w:top="1300" w:bottom="1200" w:left="940" w:right="1000"/>
          <w:pgNumType w:start="761"/>
        </w:sectPr>
      </w:pPr>
    </w:p>
    <w:p>
      <w:pPr>
        <w:pStyle w:val="BodyText"/>
        <w:spacing w:line="480" w:lineRule="auto" w:before="124"/>
        <w:ind w:left="500" w:right="436"/>
        <w:jc w:val="both"/>
      </w:pPr>
      <w:r>
        <w:rPr/>
        <w:t>Government. However, the settlement of the territories ceded was not practically implemented until 1822-23. When the territory was ceded, the respondents were in possession of seventeen villages, but refused to pay the requisite tax to the colonial Bombay government on the ground of their grant by the former ruler. A settlement proposed by a Mr Williamson was also rejected by the respondent and the Bombay government eventually executed a series of leases granting the </w:t>
      </w:r>
      <w:r>
        <w:rPr>
          <w:w w:val="99"/>
        </w:rPr>
        <w:t>Kasbatis</w:t>
      </w:r>
      <w:r>
        <w:rPr/>
        <w:t> </w:t>
      </w:r>
      <w:r>
        <w:rPr>
          <w:w w:val="99"/>
        </w:rPr>
        <w:t>the</w:t>
      </w:r>
      <w:r>
        <w:rPr/>
        <w:t> </w:t>
      </w:r>
      <w:r>
        <w:rPr>
          <w:w w:val="99"/>
        </w:rPr>
        <w:t>villages</w:t>
      </w:r>
      <w:r>
        <w:rPr/>
        <w:t> </w:t>
      </w:r>
      <w:r>
        <w:rPr>
          <w:w w:val="33"/>
        </w:rPr>
        <w:t>―</w:t>
      </w:r>
      <w:r>
        <w:rPr>
          <w:w w:val="99"/>
        </w:rPr>
        <w:t>at</w:t>
      </w:r>
      <w:r>
        <w:rPr/>
        <w:t> </w:t>
      </w:r>
      <w:r>
        <w:rPr>
          <w:w w:val="99"/>
        </w:rPr>
        <w:t>the</w:t>
      </w:r>
      <w:r>
        <w:rPr/>
        <w:t> </w:t>
      </w:r>
      <w:r>
        <w:rPr>
          <w:w w:val="99"/>
        </w:rPr>
        <w:t>pleasure</w:t>
      </w:r>
      <w:r>
        <w:rPr/>
        <w:t> </w:t>
      </w:r>
      <w:r>
        <w:rPr>
          <w:w w:val="99"/>
        </w:rPr>
        <w:t>of</w:t>
      </w:r>
      <w:r>
        <w:rPr/>
        <w:t> </w:t>
      </w:r>
      <w:r>
        <w:rPr>
          <w:w w:val="99"/>
        </w:rPr>
        <w:t>the</w:t>
      </w:r>
      <w:r>
        <w:rPr/>
        <w:t> </w:t>
      </w:r>
      <w:r>
        <w:rPr>
          <w:w w:val="99"/>
        </w:rPr>
        <w:t>governmen</w:t>
      </w:r>
      <w:r>
        <w:rPr>
          <w:w w:val="88"/>
        </w:rPr>
        <w:t>t‖</w:t>
      </w:r>
      <w:r>
        <w:rPr>
          <w:w w:val="99"/>
        </w:rPr>
        <w:t>.</w:t>
      </w:r>
      <w:r>
        <w:rPr/>
        <w:t> </w:t>
      </w:r>
      <w:r>
        <w:rPr>
          <w:w w:val="99"/>
        </w:rPr>
        <w:t>The</w:t>
      </w:r>
      <w:r>
        <w:rPr/>
        <w:t> </w:t>
      </w:r>
      <w:r>
        <w:rPr>
          <w:w w:val="99"/>
        </w:rPr>
        <w:t>respondent</w:t>
      </w:r>
      <w:r>
        <w:rPr/>
        <w:t> </w:t>
      </w:r>
      <w:r>
        <w:rPr>
          <w:w w:val="99"/>
        </w:rPr>
        <w:t>filed</w:t>
      </w:r>
      <w:r>
        <w:rPr/>
        <w:t> </w:t>
      </w:r>
      <w:r>
        <w:rPr>
          <w:w w:val="99"/>
        </w:rPr>
        <w:t>a </w:t>
      </w:r>
      <w:r>
        <w:rPr/>
        <w:t>suit claiming that upon the expiry of the leases, she was legally entitled to be granted a new lease. Lord Atkinson, speaking for the Privy Council, observed:</w:t>
      </w:r>
    </w:p>
    <w:p>
      <w:pPr>
        <w:spacing w:line="276" w:lineRule="auto" w:before="160"/>
        <w:ind w:left="1918" w:right="2260" w:firstLine="0"/>
        <w:jc w:val="both"/>
        <w:rPr>
          <w:sz w:val="21"/>
        </w:rPr>
      </w:pPr>
      <w:r>
        <w:rPr>
          <w:spacing w:val="-1"/>
          <w:w w:val="33"/>
          <w:sz w:val="21"/>
        </w:rPr>
        <w:t>―</w:t>
      </w:r>
      <w:r>
        <w:rPr>
          <w:w w:val="100"/>
          <w:sz w:val="21"/>
        </w:rPr>
        <w:t>B</w:t>
      </w:r>
      <w:r>
        <w:rPr>
          <w:spacing w:val="-3"/>
          <w:w w:val="100"/>
          <w:sz w:val="21"/>
        </w:rPr>
        <w:t>e</w:t>
      </w:r>
      <w:r>
        <w:rPr>
          <w:spacing w:val="1"/>
          <w:w w:val="100"/>
          <w:sz w:val="21"/>
        </w:rPr>
        <w:t>f</w:t>
      </w:r>
      <w:r>
        <w:rPr>
          <w:spacing w:val="-1"/>
          <w:w w:val="100"/>
          <w:sz w:val="21"/>
        </w:rPr>
        <w:t>or</w:t>
      </w:r>
      <w:r>
        <w:rPr>
          <w:w w:val="100"/>
          <w:sz w:val="21"/>
        </w:rPr>
        <w:t>e</w:t>
      </w:r>
      <w:r>
        <w:rPr>
          <w:sz w:val="21"/>
        </w:rPr>
        <w:t> </w:t>
      </w:r>
      <w:r>
        <w:rPr>
          <w:spacing w:val="-24"/>
          <w:sz w:val="21"/>
        </w:rPr>
        <w:t> </w:t>
      </w:r>
      <w:r>
        <w:rPr>
          <w:spacing w:val="-1"/>
          <w:w w:val="100"/>
          <w:sz w:val="21"/>
        </w:rPr>
        <w:t>de</w:t>
      </w:r>
      <w:r>
        <w:rPr>
          <w:spacing w:val="-2"/>
          <w:w w:val="100"/>
          <w:sz w:val="21"/>
        </w:rPr>
        <w:t>al</w:t>
      </w:r>
      <w:r>
        <w:rPr>
          <w:w w:val="100"/>
          <w:sz w:val="21"/>
        </w:rPr>
        <w:t>i</w:t>
      </w:r>
      <w:r>
        <w:rPr>
          <w:spacing w:val="-1"/>
          <w:w w:val="100"/>
          <w:sz w:val="21"/>
        </w:rPr>
        <w:t>n</w:t>
      </w:r>
      <w:r>
        <w:rPr>
          <w:w w:val="100"/>
          <w:sz w:val="21"/>
        </w:rPr>
        <w:t>g</w:t>
      </w:r>
      <w:r>
        <w:rPr>
          <w:sz w:val="21"/>
        </w:rPr>
        <w:t> </w:t>
      </w:r>
      <w:r>
        <w:rPr>
          <w:spacing w:val="-23"/>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21"/>
          <w:sz w:val="21"/>
        </w:rPr>
        <w:t> </w:t>
      </w:r>
      <w:r>
        <w:rPr>
          <w:spacing w:val="-2"/>
          <w:w w:val="100"/>
          <w:sz w:val="21"/>
        </w:rPr>
        <w:t>t</w:t>
      </w:r>
      <w:r>
        <w:rPr>
          <w:spacing w:val="-3"/>
          <w:w w:val="100"/>
          <w:sz w:val="21"/>
        </w:rPr>
        <w:t>h</w:t>
      </w:r>
      <w:r>
        <w:rPr>
          <w:w w:val="100"/>
          <w:sz w:val="21"/>
        </w:rPr>
        <w:t>e</w:t>
      </w:r>
      <w:r>
        <w:rPr>
          <w:sz w:val="21"/>
        </w:rPr>
        <w:t> </w:t>
      </w:r>
      <w:r>
        <w:rPr>
          <w:spacing w:val="-24"/>
          <w:sz w:val="21"/>
        </w:rPr>
        <w:t> </w:t>
      </w:r>
      <w:r>
        <w:rPr>
          <w:spacing w:val="-1"/>
          <w:w w:val="100"/>
          <w:sz w:val="21"/>
        </w:rPr>
        <w:t>act</w:t>
      </w:r>
      <w:r>
        <w:rPr>
          <w:w w:val="100"/>
          <w:sz w:val="21"/>
        </w:rPr>
        <w:t>i</w:t>
      </w:r>
      <w:r>
        <w:rPr>
          <w:spacing w:val="-1"/>
          <w:w w:val="100"/>
          <w:sz w:val="21"/>
        </w:rPr>
        <w:t>o</w:t>
      </w:r>
      <w:r>
        <w:rPr>
          <w:w w:val="100"/>
          <w:sz w:val="21"/>
        </w:rPr>
        <w:t>n</w:t>
      </w:r>
      <w:r>
        <w:rPr>
          <w:sz w:val="21"/>
        </w:rPr>
        <w:t> </w:t>
      </w:r>
      <w:r>
        <w:rPr>
          <w:spacing w:val="-23"/>
          <w:sz w:val="21"/>
        </w:rPr>
        <w:t> </w:t>
      </w:r>
      <w:r>
        <w:rPr>
          <w:spacing w:val="-3"/>
          <w:w w:val="100"/>
          <w:sz w:val="21"/>
        </w:rPr>
        <w:t>o</w:t>
      </w:r>
      <w:r>
        <w:rPr>
          <w:w w:val="100"/>
          <w:sz w:val="21"/>
        </w:rPr>
        <w:t>f</w:t>
      </w:r>
      <w:r>
        <w:rPr>
          <w:sz w:val="21"/>
        </w:rPr>
        <w:t> </w:t>
      </w:r>
      <w:r>
        <w:rPr>
          <w:spacing w:val="-20"/>
          <w:sz w:val="21"/>
        </w:rPr>
        <w:t> </w:t>
      </w:r>
      <w:r>
        <w:rPr>
          <w:spacing w:val="-2"/>
          <w:w w:val="100"/>
          <w:sz w:val="21"/>
        </w:rPr>
        <w:t>w</w:t>
      </w:r>
      <w:r>
        <w:rPr>
          <w:spacing w:val="-3"/>
          <w:w w:val="100"/>
          <w:sz w:val="21"/>
        </w:rPr>
        <w:t>h</w:t>
      </w:r>
      <w:r>
        <w:rPr>
          <w:w w:val="100"/>
          <w:sz w:val="21"/>
        </w:rPr>
        <w:t>i</w:t>
      </w:r>
      <w:r>
        <w:rPr>
          <w:spacing w:val="-3"/>
          <w:w w:val="100"/>
          <w:sz w:val="21"/>
        </w:rPr>
        <w:t>c</w:t>
      </w:r>
      <w:r>
        <w:rPr>
          <w:w w:val="100"/>
          <w:sz w:val="21"/>
        </w:rPr>
        <w:t>h</w:t>
      </w:r>
      <w:r>
        <w:rPr>
          <w:sz w:val="21"/>
        </w:rPr>
        <w:t> </w:t>
      </w:r>
      <w:r>
        <w:rPr>
          <w:spacing w:val="-21"/>
          <w:sz w:val="21"/>
        </w:rPr>
        <w:t> </w:t>
      </w:r>
      <w:r>
        <w:rPr>
          <w:spacing w:val="-2"/>
          <w:w w:val="100"/>
          <w:sz w:val="21"/>
        </w:rPr>
        <w:t>t</w:t>
      </w:r>
      <w:r>
        <w:rPr>
          <w:spacing w:val="-1"/>
          <w:w w:val="100"/>
          <w:sz w:val="21"/>
        </w:rPr>
        <w:t>h</w:t>
      </w:r>
      <w:r>
        <w:rPr>
          <w:w w:val="100"/>
          <w:sz w:val="21"/>
        </w:rPr>
        <w:t>e</w:t>
      </w:r>
      <w:r>
        <w:rPr>
          <w:sz w:val="21"/>
        </w:rPr>
        <w:t> </w:t>
      </w:r>
      <w:r>
        <w:rPr>
          <w:spacing w:val="-23"/>
          <w:sz w:val="21"/>
        </w:rPr>
        <w:t> </w:t>
      </w:r>
      <w:r>
        <w:rPr>
          <w:spacing w:val="-2"/>
          <w:w w:val="100"/>
          <w:sz w:val="21"/>
        </w:rPr>
        <w:t>G</w:t>
      </w:r>
      <w:r>
        <w:rPr>
          <w:spacing w:val="-1"/>
          <w:w w:val="100"/>
          <w:sz w:val="21"/>
        </w:rPr>
        <w:t>o</w:t>
      </w:r>
      <w:r>
        <w:rPr>
          <w:spacing w:val="-3"/>
          <w:w w:val="100"/>
          <w:sz w:val="21"/>
        </w:rPr>
        <w:t>ve</w:t>
      </w:r>
      <w:r>
        <w:rPr>
          <w:spacing w:val="-1"/>
          <w:w w:val="100"/>
          <w:sz w:val="21"/>
        </w:rPr>
        <w:t>rnmen</w:t>
      </w:r>
      <w:r>
        <w:rPr>
          <w:w w:val="100"/>
          <w:sz w:val="21"/>
        </w:rPr>
        <w:t>t</w:t>
      </w:r>
      <w:r>
        <w:rPr>
          <w:sz w:val="21"/>
        </w:rPr>
        <w:t> </w:t>
      </w:r>
      <w:r>
        <w:rPr>
          <w:spacing w:val="-23"/>
          <w:sz w:val="21"/>
        </w:rPr>
        <w:t> </w:t>
      </w:r>
      <w:r>
        <w:rPr>
          <w:spacing w:val="-3"/>
          <w:w w:val="100"/>
          <w:sz w:val="21"/>
        </w:rPr>
        <w:t>o</w:t>
      </w:r>
      <w:r>
        <w:rPr>
          <w:w w:val="100"/>
          <w:sz w:val="21"/>
        </w:rPr>
        <w:t>f </w:t>
      </w:r>
      <w:r>
        <w:rPr>
          <w:sz w:val="21"/>
        </w:rPr>
        <w:t>Bombay took in reference to this village of Charodi on receipt of these reports, it is essential to consider what was the precise relation in which the Kasbatis stood to the Bombay Government the moment the cession of their territory took effect, and what were the legal rights enforceable in the tribunals of their new Sovereign, of which they were thereafter possessed. The relation in which they stood to their native Sovereigns before this cession, and the legal rights they enjoyed under them, are, save in one respect, entirely irrelevant matters. </w:t>
      </w:r>
      <w:r>
        <w:rPr>
          <w:b/>
          <w:sz w:val="21"/>
        </w:rPr>
        <w:t>They could not carry in under the new regime the legal rights, if any, which they might have enjoyed under the old. The only legally enforceable rights they could have as against their new Sovereign were those, and only those, which that new Sovereign, by agreement expressed or implied or by legislation, chose to confer upon them. Of course, this implied agreement might be proved by circumstantial evidence, such as the mode of dealing with them which the new Sovereign adopted, his recognition of their old rights, and express or implied election to respect them and be bound by them</w:t>
      </w:r>
      <w:r>
        <w:rPr>
          <w:sz w:val="21"/>
        </w:rPr>
        <w:t>, and it is only for the purpose of determining whether and to what extend the new Sovereign has recognised these ante-cession rights of the Kasbatis, and has elected or agreed to be bound by them, that the consideration of the existence, nature, and extent of these rights become relevant subjects for inquiry in this case. This principle is well</w:t>
      </w:r>
      <w:r>
        <w:rPr>
          <w:spacing w:val="-36"/>
          <w:sz w:val="21"/>
        </w:rPr>
        <w:t> </w:t>
      </w:r>
      <w:r>
        <w:rPr>
          <w:sz w:val="21"/>
        </w:rPr>
        <w:t>established…‖</w:t>
      </w:r>
    </w:p>
    <w:p>
      <w:pPr>
        <w:spacing w:before="1"/>
        <w:ind w:left="1918" w:right="0" w:firstLine="0"/>
        <w:jc w:val="left"/>
        <w:rPr>
          <w:sz w:val="21"/>
        </w:rPr>
      </w:pPr>
      <w:r>
        <w:rPr>
          <w:w w:val="100"/>
          <w:sz w:val="21"/>
        </w:rPr>
        <w:t>…</w:t>
      </w:r>
    </w:p>
    <w:p>
      <w:pPr>
        <w:spacing w:line="276" w:lineRule="auto" w:before="37"/>
        <w:ind w:left="1918" w:right="2260" w:firstLine="0"/>
        <w:jc w:val="both"/>
        <w:rPr>
          <w:b/>
          <w:sz w:val="21"/>
        </w:rPr>
      </w:pPr>
      <w:r>
        <w:rPr>
          <w:sz w:val="21"/>
        </w:rPr>
        <w:t>In their Lordships‘ view, putting aside legislation for the moment, </w:t>
      </w:r>
      <w:r>
        <w:rPr>
          <w:b/>
          <w:sz w:val="21"/>
        </w:rPr>
        <w:t>the burden of proving that the Bombay Government did so consent to any, and if so, to what</w:t>
      </w:r>
    </w:p>
    <w:p>
      <w:pPr>
        <w:spacing w:after="0" w:line="276" w:lineRule="auto"/>
        <w:jc w:val="both"/>
        <w:rPr>
          <w:sz w:val="21"/>
        </w:rPr>
        <w:sectPr>
          <w:pgSz w:w="11910" w:h="16840"/>
          <w:pgMar w:header="721" w:footer="1014" w:top="1300" w:bottom="1200" w:left="940" w:right="1000"/>
        </w:sectPr>
      </w:pPr>
    </w:p>
    <w:p>
      <w:pPr>
        <w:spacing w:line="276" w:lineRule="auto" w:before="122"/>
        <w:ind w:left="1918" w:right="2260" w:firstLine="0"/>
        <w:jc w:val="both"/>
        <w:rPr>
          <w:sz w:val="21"/>
        </w:rPr>
      </w:pPr>
      <w:r>
        <w:rPr>
          <w:b/>
          <w:sz w:val="21"/>
        </w:rPr>
        <w:t>extent, rests, in this case upon the responden</w:t>
      </w:r>
      <w:r>
        <w:rPr>
          <w:sz w:val="21"/>
        </w:rPr>
        <w:t>t. The Kasbatis were not in a position in 1822 to reject Mr. Williamson‘s proposal, however they might have disliked it, or to stand upon </w:t>
      </w:r>
      <w:r>
        <w:rPr>
          <w:b/>
          <w:sz w:val="21"/>
        </w:rPr>
        <w:t>their ancient rights. Those rights had for all purposes of litigation ceased to exist, </w:t>
      </w:r>
      <w:r>
        <w:rPr>
          <w:sz w:val="21"/>
        </w:rPr>
        <w:t>and the only choice, in point of law, left to them was to accept his terms or to be dispossessed.‖</w:t>
      </w:r>
    </w:p>
    <w:p>
      <w:pPr>
        <w:spacing w:before="1"/>
        <w:ind w:left="5795" w:right="0" w:firstLine="0"/>
        <w:jc w:val="left"/>
        <w:rPr>
          <w:sz w:val="21"/>
        </w:rPr>
      </w:pPr>
      <w:r>
        <w:rPr>
          <w:sz w:val="21"/>
        </w:rPr>
        <w:t>(Emphasis supplied)</w:t>
      </w:r>
    </w:p>
    <w:p>
      <w:pPr>
        <w:pStyle w:val="BodyText"/>
        <w:rPr>
          <w:sz w:val="24"/>
        </w:rPr>
      </w:pPr>
    </w:p>
    <w:p>
      <w:pPr>
        <w:pStyle w:val="BodyText"/>
        <w:spacing w:before="2"/>
        <w:rPr>
          <w:sz w:val="21"/>
        </w:rPr>
      </w:pPr>
    </w:p>
    <w:p>
      <w:pPr>
        <w:pStyle w:val="ListParagraph"/>
        <w:numPr>
          <w:ilvl w:val="0"/>
          <w:numId w:val="166"/>
        </w:numPr>
        <w:tabs>
          <w:tab w:pos="1221" w:val="left" w:leader="none"/>
        </w:tabs>
        <w:spacing w:line="480" w:lineRule="auto" w:before="1" w:after="0"/>
        <w:ind w:left="500" w:right="437" w:firstLine="0"/>
        <w:jc w:val="both"/>
        <w:rPr>
          <w:sz w:val="25"/>
        </w:rPr>
      </w:pPr>
      <w:r>
        <w:rPr>
          <w:sz w:val="25"/>
        </w:rPr>
        <w:t>The cession of the territory of Ahmedabad by the Gaekwars to the colonial government was an act of State between two sovereigns. Upon the cession of  the territory, the rights of the citizens within the territory of their new sovereign, and consequently in the municipal courts of the new sovereign, were only those expressly recognised by the new sovereign. Unless the new sovereign recognised the rights of the citizens which existed in the old regime, the municipal courts of the new sovereign could not enforce those ancient rights. This includes the right to property of the citizens within the territory. Whether or not the new sovereign </w:t>
      </w:r>
      <w:r>
        <w:rPr>
          <w:i/>
          <w:sz w:val="25"/>
        </w:rPr>
        <w:t>should </w:t>
      </w:r>
      <w:r>
        <w:rPr>
          <w:sz w:val="25"/>
        </w:rPr>
        <w:t>recognise the property rights of citizens is a contention to be urged between the two sovereigns at a supra-national plane and a municipal court would not entertain such contentions. The recognition of property rights previously recognised in the old regime by the new sovereign need not be explicit and may be implied through the conduct of the new sovereign and established through circumstantial evidence. However, the burden of proving the existence of the right in the previous regime and the recognition of the right by the new sovereign rested on the party claiming such a</w:t>
      </w:r>
      <w:r>
        <w:rPr>
          <w:spacing w:val="-8"/>
          <w:sz w:val="25"/>
        </w:rPr>
        <w:t> </w:t>
      </w:r>
      <w:r>
        <w:rPr>
          <w:sz w:val="25"/>
        </w:rPr>
        <w:t>right.</w:t>
      </w:r>
    </w:p>
    <w:p>
      <w:pPr>
        <w:pStyle w:val="BodyText"/>
        <w:rPr>
          <w:sz w:val="28"/>
        </w:rPr>
      </w:pPr>
    </w:p>
    <w:p>
      <w:pPr>
        <w:pStyle w:val="BodyText"/>
        <w:spacing w:before="10"/>
        <w:rPr>
          <w:sz w:val="24"/>
        </w:rPr>
      </w:pPr>
    </w:p>
    <w:p>
      <w:pPr>
        <w:pStyle w:val="ListParagraph"/>
        <w:numPr>
          <w:ilvl w:val="0"/>
          <w:numId w:val="166"/>
        </w:numPr>
        <w:tabs>
          <w:tab w:pos="1221" w:val="left" w:leader="none"/>
        </w:tabs>
        <w:spacing w:line="480" w:lineRule="auto" w:before="0" w:after="0"/>
        <w:ind w:left="500" w:right="443" w:firstLine="0"/>
        <w:jc w:val="both"/>
        <w:rPr>
          <w:sz w:val="25"/>
        </w:rPr>
      </w:pPr>
      <w:r>
        <w:rPr>
          <w:sz w:val="25"/>
        </w:rPr>
        <w:t>The principles enunciated by Lord Atkinson have been adopted by this Court after Independence. A significant number of disputes arose out of the rights granted to individuals by former princely rulers prior to the cession of</w:t>
      </w:r>
      <w:r>
        <w:rPr>
          <w:spacing w:val="45"/>
          <w:sz w:val="25"/>
        </w:rPr>
        <w:t> </w:t>
      </w:r>
      <w:r>
        <w:rPr>
          <w:sz w:val="25"/>
        </w:rPr>
        <w:t>their</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territories to the Republic of India. This Court was called upon to determine whether such rights were enforceable after the change of sovereignty from the princely rulers to the Republic of India.</w:t>
      </w:r>
    </w:p>
    <w:p>
      <w:pPr>
        <w:pStyle w:val="BodyText"/>
        <w:rPr>
          <w:sz w:val="28"/>
        </w:rPr>
      </w:pPr>
    </w:p>
    <w:p>
      <w:pPr>
        <w:pStyle w:val="BodyText"/>
        <w:spacing w:before="7"/>
        <w:rPr>
          <w:sz w:val="24"/>
        </w:rPr>
      </w:pPr>
    </w:p>
    <w:p>
      <w:pPr>
        <w:pStyle w:val="ListParagraph"/>
        <w:numPr>
          <w:ilvl w:val="0"/>
          <w:numId w:val="166"/>
        </w:numPr>
        <w:tabs>
          <w:tab w:pos="1221" w:val="left" w:leader="none"/>
        </w:tabs>
        <w:spacing w:line="480" w:lineRule="auto" w:before="0" w:after="0"/>
        <w:ind w:left="500" w:right="440" w:firstLine="0"/>
        <w:jc w:val="both"/>
        <w:rPr>
          <w:sz w:val="25"/>
        </w:rPr>
      </w:pPr>
      <w:r>
        <w:rPr>
          <w:sz w:val="25"/>
        </w:rPr>
        <w:t>In </w:t>
      </w:r>
      <w:r>
        <w:rPr>
          <w:b/>
          <w:sz w:val="25"/>
        </w:rPr>
        <w:t>Promod Chandra Deb </w:t>
      </w:r>
      <w:r>
        <w:rPr>
          <w:sz w:val="25"/>
        </w:rPr>
        <w:t>v </w:t>
      </w:r>
      <w:r>
        <w:rPr>
          <w:b/>
          <w:sz w:val="25"/>
        </w:rPr>
        <w:t>State of Orissa</w:t>
      </w:r>
      <w:r>
        <w:rPr>
          <w:sz w:val="25"/>
          <w:vertAlign w:val="superscript"/>
        </w:rPr>
        <w:t>332</w:t>
      </w:r>
      <w:r>
        <w:rPr>
          <w:sz w:val="25"/>
          <w:vertAlign w:val="baseline"/>
        </w:rPr>
        <w:t> a batch of writ petitions were heard by a Constitution Bench of this Court. The facts of the petitions were largely analogous to each other: the petitioners had received certain cash grants, or </w:t>
      </w:r>
      <w:r>
        <w:rPr>
          <w:i/>
          <w:sz w:val="25"/>
          <w:vertAlign w:val="baseline"/>
        </w:rPr>
        <w:t>Khor Posh </w:t>
      </w:r>
      <w:r>
        <w:rPr>
          <w:sz w:val="25"/>
          <w:vertAlign w:val="baseline"/>
        </w:rPr>
        <w:t>grants, from princely rulers prior to these rulers ceding their territories to the Republic of India (then the Dominion of India). A question arose as to whether the State of Orissa, as a delegate of the Central Government, was required to enforce the old laws of the princely states including the providing of the </w:t>
      </w:r>
      <w:r>
        <w:rPr>
          <w:i/>
          <w:sz w:val="25"/>
          <w:vertAlign w:val="baseline"/>
        </w:rPr>
        <w:t>Khor Posh </w:t>
      </w:r>
      <w:r>
        <w:rPr>
          <w:sz w:val="25"/>
          <w:vertAlign w:val="baseline"/>
        </w:rPr>
        <w:t>grants. Referring to the Privy Council decisions discussed above, Chief Justice B P Sinha speaking for the Constitution Bench laid down certain principles applicable when the municipal courts of a new sovereign must enforce rights accruing to parties from the legal regime of a previous</w:t>
      </w:r>
      <w:r>
        <w:rPr>
          <w:spacing w:val="-8"/>
          <w:sz w:val="25"/>
          <w:vertAlign w:val="baseline"/>
        </w:rPr>
        <w:t> </w:t>
      </w:r>
      <w:r>
        <w:rPr>
          <w:sz w:val="25"/>
          <w:vertAlign w:val="baseline"/>
        </w:rPr>
        <w:t>sovereign:</w:t>
      </w:r>
    </w:p>
    <w:p>
      <w:pPr>
        <w:spacing w:line="276" w:lineRule="auto" w:before="163"/>
        <w:ind w:left="1918" w:right="2261" w:firstLine="0"/>
        <w:jc w:val="both"/>
        <w:rPr>
          <w:sz w:val="21"/>
        </w:rPr>
      </w:pPr>
      <w:r>
        <w:rPr>
          <w:spacing w:val="-1"/>
          <w:w w:val="33"/>
          <w:sz w:val="21"/>
        </w:rPr>
        <w:t>―</w:t>
      </w:r>
      <w:r>
        <w:rPr>
          <w:spacing w:val="-1"/>
          <w:w w:val="100"/>
          <w:sz w:val="21"/>
        </w:rPr>
        <w:t>17</w:t>
      </w:r>
      <w:r>
        <w:rPr>
          <w:w w:val="100"/>
          <w:sz w:val="21"/>
        </w:rPr>
        <w:t>.</w:t>
      </w:r>
      <w:r>
        <w:rPr>
          <w:sz w:val="21"/>
        </w:rPr>
        <w:t>  </w:t>
      </w:r>
      <w:r>
        <w:rPr>
          <w:spacing w:val="-25"/>
          <w:sz w:val="21"/>
        </w:rPr>
        <w:t> </w:t>
      </w:r>
      <w:r>
        <w:rPr>
          <w:spacing w:val="-2"/>
          <w:w w:val="100"/>
          <w:sz w:val="21"/>
        </w:rPr>
        <w:t>O</w:t>
      </w:r>
      <w:r>
        <w:rPr>
          <w:w w:val="100"/>
          <w:sz w:val="21"/>
        </w:rPr>
        <w:t>n</w:t>
      </w:r>
      <w:r>
        <w:rPr>
          <w:sz w:val="21"/>
        </w:rPr>
        <w:t>  </w:t>
      </w:r>
      <w:r>
        <w:rPr>
          <w:spacing w:val="-24"/>
          <w:sz w:val="21"/>
        </w:rPr>
        <w:t> </w:t>
      </w:r>
      <w:r>
        <w:rPr>
          <w:spacing w:val="-1"/>
          <w:w w:val="100"/>
          <w:sz w:val="21"/>
        </w:rPr>
        <w:t>a</w:t>
      </w:r>
      <w:r>
        <w:rPr>
          <w:w w:val="100"/>
          <w:sz w:val="21"/>
        </w:rPr>
        <w:t>n</w:t>
      </w:r>
      <w:r>
        <w:rPr>
          <w:sz w:val="21"/>
        </w:rPr>
        <w:t>  </w:t>
      </w:r>
      <w:r>
        <w:rPr>
          <w:spacing w:val="-24"/>
          <w:sz w:val="21"/>
        </w:rPr>
        <w:t> </w:t>
      </w:r>
      <w:r>
        <w:rPr>
          <w:spacing w:val="-1"/>
          <w:w w:val="100"/>
          <w:sz w:val="21"/>
        </w:rPr>
        <w:t>ex</w:t>
      </w:r>
      <w:r>
        <w:rPr>
          <w:spacing w:val="-3"/>
          <w:w w:val="100"/>
          <w:sz w:val="21"/>
        </w:rPr>
        <w:t>a</w:t>
      </w:r>
      <w:r>
        <w:rPr>
          <w:spacing w:val="1"/>
          <w:w w:val="100"/>
          <w:sz w:val="21"/>
        </w:rPr>
        <w:t>m</w:t>
      </w:r>
      <w:r>
        <w:rPr>
          <w:spacing w:val="-2"/>
          <w:w w:val="100"/>
          <w:sz w:val="21"/>
        </w:rPr>
        <w:t>i</w:t>
      </w:r>
      <w:r>
        <w:rPr>
          <w:spacing w:val="-1"/>
          <w:w w:val="100"/>
          <w:sz w:val="21"/>
        </w:rPr>
        <w:t>nat</w:t>
      </w:r>
      <w:r>
        <w:rPr>
          <w:spacing w:val="-2"/>
          <w:w w:val="100"/>
          <w:sz w:val="21"/>
        </w:rPr>
        <w:t>i</w:t>
      </w:r>
      <w:r>
        <w:rPr>
          <w:spacing w:val="-3"/>
          <w:w w:val="100"/>
          <w:sz w:val="21"/>
        </w:rPr>
        <w:t>o</w:t>
      </w:r>
      <w:r>
        <w:rPr>
          <w:w w:val="100"/>
          <w:sz w:val="21"/>
        </w:rPr>
        <w:t>n</w:t>
      </w:r>
      <w:r>
        <w:rPr>
          <w:sz w:val="21"/>
        </w:rPr>
        <w:t>  </w:t>
      </w:r>
      <w:r>
        <w:rPr>
          <w:spacing w:val="-24"/>
          <w:sz w:val="21"/>
        </w:rPr>
        <w:t> </w:t>
      </w:r>
      <w:r>
        <w:rPr>
          <w:spacing w:val="-1"/>
          <w:w w:val="100"/>
          <w:sz w:val="21"/>
        </w:rPr>
        <w:t>o</w:t>
      </w:r>
      <w:r>
        <w:rPr>
          <w:w w:val="100"/>
          <w:sz w:val="21"/>
        </w:rPr>
        <w:t>f</w:t>
      </w:r>
      <w:r>
        <w:rPr>
          <w:sz w:val="21"/>
        </w:rPr>
        <w:t>  </w:t>
      </w:r>
      <w:r>
        <w:rPr>
          <w:spacing w:val="-23"/>
          <w:sz w:val="21"/>
        </w:rPr>
        <w:t> </w:t>
      </w:r>
      <w:r>
        <w:rPr>
          <w:spacing w:val="-2"/>
          <w:w w:val="100"/>
          <w:sz w:val="21"/>
        </w:rPr>
        <w:t>t</w:t>
      </w:r>
      <w:r>
        <w:rPr>
          <w:spacing w:val="-1"/>
          <w:w w:val="100"/>
          <w:sz w:val="21"/>
        </w:rPr>
        <w:t>h</w:t>
      </w:r>
      <w:r>
        <w:rPr>
          <w:w w:val="100"/>
          <w:sz w:val="21"/>
        </w:rPr>
        <w:t>e</w:t>
      </w:r>
      <w:r>
        <w:rPr>
          <w:sz w:val="21"/>
        </w:rPr>
        <w:t>  </w:t>
      </w:r>
      <w:r>
        <w:rPr>
          <w:spacing w:val="-24"/>
          <w:sz w:val="21"/>
        </w:rPr>
        <w:t> </w:t>
      </w:r>
      <w:r>
        <w:rPr>
          <w:spacing w:val="-1"/>
          <w:w w:val="100"/>
          <w:sz w:val="21"/>
        </w:rPr>
        <w:t>autho</w:t>
      </w:r>
      <w:r>
        <w:rPr>
          <w:spacing w:val="-3"/>
          <w:w w:val="100"/>
          <w:sz w:val="21"/>
        </w:rPr>
        <w:t>r</w:t>
      </w:r>
      <w:r>
        <w:rPr>
          <w:w w:val="100"/>
          <w:sz w:val="21"/>
        </w:rPr>
        <w:t>i</w:t>
      </w:r>
      <w:r>
        <w:rPr>
          <w:spacing w:val="-2"/>
          <w:w w:val="100"/>
          <w:sz w:val="21"/>
        </w:rPr>
        <w:t>t</w:t>
      </w:r>
      <w:r>
        <w:rPr>
          <w:w w:val="100"/>
          <w:sz w:val="21"/>
        </w:rPr>
        <w:t>i</w:t>
      </w:r>
      <w:r>
        <w:rPr>
          <w:spacing w:val="-3"/>
          <w:w w:val="100"/>
          <w:sz w:val="21"/>
        </w:rPr>
        <w:t>e</w:t>
      </w:r>
      <w:r>
        <w:rPr>
          <w:w w:val="100"/>
          <w:sz w:val="21"/>
        </w:rPr>
        <w:t>s</w:t>
      </w:r>
      <w:r>
        <w:rPr>
          <w:sz w:val="21"/>
        </w:rPr>
        <w:t>  </w:t>
      </w:r>
      <w:r>
        <w:rPr>
          <w:spacing w:val="-25"/>
          <w:sz w:val="21"/>
        </w:rPr>
        <w:t> </w:t>
      </w:r>
      <w:r>
        <w:rPr>
          <w:spacing w:val="-1"/>
          <w:w w:val="100"/>
          <w:sz w:val="21"/>
        </w:rPr>
        <w:t>d</w:t>
      </w:r>
      <w:r>
        <w:rPr>
          <w:spacing w:val="1"/>
          <w:w w:val="100"/>
          <w:sz w:val="21"/>
        </w:rPr>
        <w:t>i</w:t>
      </w:r>
      <w:r>
        <w:rPr>
          <w:spacing w:val="-3"/>
          <w:w w:val="100"/>
          <w:sz w:val="21"/>
        </w:rPr>
        <w:t>s</w:t>
      </w:r>
      <w:r>
        <w:rPr>
          <w:w w:val="100"/>
          <w:sz w:val="21"/>
        </w:rPr>
        <w:t>cuss</w:t>
      </w:r>
      <w:r>
        <w:rPr>
          <w:spacing w:val="-3"/>
          <w:w w:val="100"/>
          <w:sz w:val="21"/>
        </w:rPr>
        <w:t>e</w:t>
      </w:r>
      <w:r>
        <w:rPr>
          <w:w w:val="100"/>
          <w:sz w:val="21"/>
        </w:rPr>
        <w:t>d</w:t>
      </w:r>
      <w:r>
        <w:rPr>
          <w:sz w:val="21"/>
        </w:rPr>
        <w:t>  </w:t>
      </w:r>
      <w:r>
        <w:rPr>
          <w:spacing w:val="-24"/>
          <w:sz w:val="21"/>
        </w:rPr>
        <w:t> </w:t>
      </w:r>
      <w:r>
        <w:rPr>
          <w:spacing w:val="-1"/>
          <w:w w:val="100"/>
          <w:sz w:val="21"/>
        </w:rPr>
        <w:t>or re</w:t>
      </w:r>
      <w:r>
        <w:rPr>
          <w:spacing w:val="1"/>
          <w:w w:val="100"/>
          <w:sz w:val="21"/>
        </w:rPr>
        <w:t>f</w:t>
      </w:r>
      <w:r>
        <w:rPr>
          <w:spacing w:val="-1"/>
          <w:w w:val="100"/>
          <w:sz w:val="21"/>
        </w:rPr>
        <w:t>er</w:t>
      </w:r>
      <w:r>
        <w:rPr>
          <w:spacing w:val="-2"/>
          <w:w w:val="100"/>
          <w:sz w:val="21"/>
        </w:rPr>
        <w:t>r</w:t>
      </w:r>
      <w:r>
        <w:rPr>
          <w:spacing w:val="-3"/>
          <w:w w:val="100"/>
          <w:sz w:val="21"/>
        </w:rPr>
        <w:t>e</w:t>
      </w:r>
      <w:r>
        <w:rPr>
          <w:w w:val="100"/>
          <w:sz w:val="21"/>
        </w:rPr>
        <w:t>d</w:t>
      </w:r>
      <w:r>
        <w:rPr>
          <w:spacing w:val="15"/>
          <w:sz w:val="21"/>
        </w:rPr>
        <w:t> </w:t>
      </w:r>
      <w:r>
        <w:rPr>
          <w:spacing w:val="-2"/>
          <w:w w:val="100"/>
          <w:sz w:val="21"/>
        </w:rPr>
        <w:t>t</w:t>
      </w:r>
      <w:r>
        <w:rPr>
          <w:w w:val="100"/>
          <w:sz w:val="21"/>
        </w:rPr>
        <w:t>o</w:t>
      </w:r>
      <w:r>
        <w:rPr>
          <w:spacing w:val="15"/>
          <w:sz w:val="21"/>
        </w:rPr>
        <w:t> </w:t>
      </w:r>
      <w:r>
        <w:rPr>
          <w:spacing w:val="-1"/>
          <w:w w:val="100"/>
          <w:sz w:val="21"/>
        </w:rPr>
        <w:t>abo</w:t>
      </w:r>
      <w:r>
        <w:rPr>
          <w:spacing w:val="-2"/>
          <w:w w:val="100"/>
          <w:sz w:val="21"/>
        </w:rPr>
        <w:t>v</w:t>
      </w:r>
      <w:r>
        <w:rPr>
          <w:spacing w:val="-1"/>
          <w:w w:val="100"/>
          <w:sz w:val="21"/>
        </w:rPr>
        <w:t>e</w:t>
      </w:r>
      <w:r>
        <w:rPr>
          <w:w w:val="100"/>
          <w:sz w:val="21"/>
        </w:rPr>
        <w:t>,</w:t>
      </w:r>
      <w:r>
        <w:rPr>
          <w:spacing w:val="14"/>
          <w:sz w:val="21"/>
        </w:rPr>
        <w:t> </w:t>
      </w:r>
      <w:r>
        <w:rPr>
          <w:spacing w:val="-2"/>
          <w:w w:val="100"/>
          <w:sz w:val="21"/>
        </w:rPr>
        <w:t>t</w:t>
      </w:r>
      <w:r>
        <w:rPr>
          <w:spacing w:val="-1"/>
          <w:w w:val="100"/>
          <w:sz w:val="21"/>
        </w:rPr>
        <w:t>h</w:t>
      </w:r>
      <w:r>
        <w:rPr>
          <w:w w:val="100"/>
          <w:sz w:val="21"/>
        </w:rPr>
        <w:t>e</w:t>
      </w:r>
      <w:r>
        <w:rPr>
          <w:spacing w:val="16"/>
          <w:sz w:val="21"/>
        </w:rPr>
        <w:t> </w:t>
      </w:r>
      <w:r>
        <w:rPr>
          <w:spacing w:val="1"/>
          <w:w w:val="100"/>
          <w:sz w:val="21"/>
        </w:rPr>
        <w:t>f</w:t>
      </w:r>
      <w:r>
        <w:rPr>
          <w:spacing w:val="-3"/>
          <w:w w:val="100"/>
          <w:sz w:val="21"/>
        </w:rPr>
        <w:t>o</w:t>
      </w:r>
      <w:r>
        <w:rPr>
          <w:spacing w:val="-2"/>
          <w:w w:val="100"/>
          <w:sz w:val="21"/>
        </w:rPr>
        <w:t>ll</w:t>
      </w:r>
      <w:r>
        <w:rPr>
          <w:spacing w:val="-1"/>
          <w:w w:val="100"/>
          <w:sz w:val="21"/>
        </w:rPr>
        <w:t>o</w:t>
      </w:r>
      <w:r>
        <w:rPr>
          <w:spacing w:val="-2"/>
          <w:w w:val="100"/>
          <w:sz w:val="21"/>
        </w:rPr>
        <w:t>w</w:t>
      </w:r>
      <w:r>
        <w:rPr>
          <w:w w:val="100"/>
          <w:sz w:val="21"/>
        </w:rPr>
        <w:t>i</w:t>
      </w:r>
      <w:r>
        <w:rPr>
          <w:spacing w:val="-1"/>
          <w:w w:val="100"/>
          <w:sz w:val="21"/>
        </w:rPr>
        <w:t>n</w:t>
      </w:r>
      <w:r>
        <w:rPr>
          <w:w w:val="100"/>
          <w:sz w:val="21"/>
        </w:rPr>
        <w:t>g</w:t>
      </w:r>
      <w:r>
        <w:rPr>
          <w:spacing w:val="16"/>
          <w:sz w:val="21"/>
        </w:rPr>
        <w:t> </w:t>
      </w:r>
      <w:r>
        <w:rPr>
          <w:spacing w:val="-1"/>
          <w:w w:val="100"/>
          <w:sz w:val="21"/>
        </w:rPr>
        <w:t>p</w:t>
      </w:r>
      <w:r>
        <w:rPr>
          <w:spacing w:val="-3"/>
          <w:w w:val="100"/>
          <w:sz w:val="21"/>
        </w:rPr>
        <w:t>r</w:t>
      </w:r>
      <w:r>
        <w:rPr>
          <w:spacing w:val="-1"/>
          <w:w w:val="100"/>
          <w:sz w:val="21"/>
        </w:rPr>
        <w:t>op</w:t>
      </w:r>
      <w:r>
        <w:rPr>
          <w:spacing w:val="-2"/>
          <w:w w:val="100"/>
          <w:sz w:val="21"/>
        </w:rPr>
        <w:t>o</w:t>
      </w:r>
      <w:r>
        <w:rPr>
          <w:w w:val="100"/>
          <w:sz w:val="21"/>
        </w:rPr>
        <w:t>si</w:t>
      </w:r>
      <w:r>
        <w:rPr>
          <w:spacing w:val="-2"/>
          <w:w w:val="100"/>
          <w:sz w:val="21"/>
        </w:rPr>
        <w:t>ti</w:t>
      </w:r>
      <w:r>
        <w:rPr>
          <w:spacing w:val="-1"/>
          <w:w w:val="100"/>
          <w:sz w:val="21"/>
        </w:rPr>
        <w:t>on</w:t>
      </w:r>
      <w:r>
        <w:rPr>
          <w:w w:val="100"/>
          <w:sz w:val="21"/>
        </w:rPr>
        <w:t>s</w:t>
      </w:r>
      <w:r>
        <w:rPr>
          <w:spacing w:val="16"/>
          <w:sz w:val="21"/>
        </w:rPr>
        <w:t> </w:t>
      </w:r>
      <w:r>
        <w:rPr>
          <w:spacing w:val="-3"/>
          <w:w w:val="100"/>
          <w:sz w:val="21"/>
        </w:rPr>
        <w:t>e</w:t>
      </w:r>
      <w:r>
        <w:rPr>
          <w:spacing w:val="-1"/>
          <w:w w:val="100"/>
          <w:sz w:val="21"/>
        </w:rPr>
        <w:t>mer</w:t>
      </w:r>
      <w:r>
        <w:rPr>
          <w:spacing w:val="-3"/>
          <w:w w:val="100"/>
          <w:sz w:val="21"/>
        </w:rPr>
        <w:t>g</w:t>
      </w:r>
      <w:r>
        <w:rPr>
          <w:spacing w:val="-1"/>
          <w:w w:val="100"/>
          <w:sz w:val="21"/>
        </w:rPr>
        <w:t>e</w:t>
      </w:r>
      <w:r>
        <w:rPr>
          <w:w w:val="100"/>
          <w:sz w:val="21"/>
        </w:rPr>
        <w:t>.</w:t>
      </w:r>
      <w:r>
        <w:rPr>
          <w:spacing w:val="14"/>
          <w:sz w:val="21"/>
        </w:rPr>
        <w:t> </w:t>
      </w:r>
      <w:r>
        <w:rPr>
          <w:spacing w:val="-1"/>
          <w:w w:val="100"/>
          <w:sz w:val="21"/>
        </w:rPr>
        <w:t>(1</w:t>
      </w:r>
      <w:r>
        <w:rPr>
          <w:w w:val="100"/>
          <w:sz w:val="21"/>
        </w:rPr>
        <w:t>)</w:t>
      </w:r>
      <w:r>
        <w:rPr>
          <w:spacing w:val="15"/>
          <w:sz w:val="21"/>
        </w:rPr>
        <w:t> </w:t>
      </w:r>
      <w:r>
        <w:rPr>
          <w:spacing w:val="-1"/>
          <w:w w:val="33"/>
          <w:sz w:val="21"/>
        </w:rPr>
        <w:t>―</w:t>
      </w:r>
      <w:r>
        <w:rPr>
          <w:w w:val="100"/>
          <w:sz w:val="21"/>
        </w:rPr>
        <w:t>Act </w:t>
      </w:r>
      <w:r>
        <w:rPr>
          <w:sz w:val="21"/>
        </w:rPr>
        <w:t>of State‖ is the taking over of sovereign powers by a State in respect of territory which was not till then a part of its territory, either by conquest, treaty or cession, or otherwise, and may be said to have taken place on a particular date, if there is a proclamation</w:t>
      </w:r>
      <w:r>
        <w:rPr>
          <w:spacing w:val="26"/>
          <w:sz w:val="21"/>
        </w:rPr>
        <w:t> </w:t>
      </w:r>
      <w:r>
        <w:rPr>
          <w:sz w:val="21"/>
        </w:rPr>
        <w:t>or</w:t>
      </w:r>
      <w:r>
        <w:rPr>
          <w:spacing w:val="26"/>
          <w:sz w:val="21"/>
        </w:rPr>
        <w:t> </w:t>
      </w:r>
      <w:r>
        <w:rPr>
          <w:sz w:val="21"/>
        </w:rPr>
        <w:t>other</w:t>
      </w:r>
      <w:r>
        <w:rPr>
          <w:spacing w:val="26"/>
          <w:sz w:val="21"/>
        </w:rPr>
        <w:t> </w:t>
      </w:r>
      <w:r>
        <w:rPr>
          <w:sz w:val="21"/>
        </w:rPr>
        <w:t>public</w:t>
      </w:r>
      <w:r>
        <w:rPr>
          <w:spacing w:val="26"/>
          <w:sz w:val="21"/>
        </w:rPr>
        <w:t> </w:t>
      </w:r>
      <w:r>
        <w:rPr>
          <w:sz w:val="21"/>
        </w:rPr>
        <w:t>declaration</w:t>
      </w:r>
      <w:r>
        <w:rPr>
          <w:spacing w:val="27"/>
          <w:sz w:val="21"/>
        </w:rPr>
        <w:t> </w:t>
      </w:r>
      <w:r>
        <w:rPr>
          <w:sz w:val="21"/>
        </w:rPr>
        <w:t>of</w:t>
      </w:r>
      <w:r>
        <w:rPr>
          <w:spacing w:val="25"/>
          <w:sz w:val="21"/>
        </w:rPr>
        <w:t> </w:t>
      </w:r>
      <w:r>
        <w:rPr>
          <w:sz w:val="21"/>
        </w:rPr>
        <w:t>such</w:t>
      </w:r>
      <w:r>
        <w:rPr>
          <w:spacing w:val="27"/>
          <w:sz w:val="21"/>
        </w:rPr>
        <w:t> </w:t>
      </w:r>
      <w:r>
        <w:rPr>
          <w:sz w:val="21"/>
        </w:rPr>
        <w:t>taking</w:t>
      </w:r>
      <w:r>
        <w:rPr>
          <w:spacing w:val="27"/>
          <w:sz w:val="21"/>
        </w:rPr>
        <w:t> </w:t>
      </w:r>
      <w:r>
        <w:rPr>
          <w:sz w:val="21"/>
        </w:rPr>
        <w:t>over.</w:t>
      </w:r>
    </w:p>
    <w:p>
      <w:pPr>
        <w:spacing w:line="273" w:lineRule="auto" w:before="1"/>
        <w:ind w:left="1918" w:right="2261" w:firstLine="0"/>
        <w:jc w:val="both"/>
        <w:rPr>
          <w:sz w:val="21"/>
        </w:rPr>
      </w:pPr>
      <w:r>
        <w:rPr>
          <w:sz w:val="21"/>
        </w:rPr>
        <w:t>(2) But the taking over of full sovereign powers may be spread over a number of years, as a result of a historical process</w:t>
      </w:r>
    </w:p>
    <w:p>
      <w:pPr>
        <w:spacing w:before="4"/>
        <w:ind w:left="1918" w:right="0" w:firstLine="0"/>
        <w:jc w:val="left"/>
        <w:rPr>
          <w:sz w:val="21"/>
        </w:rPr>
      </w:pPr>
      <w:r>
        <w:rPr>
          <w:w w:val="100"/>
          <w:sz w:val="21"/>
        </w:rPr>
        <w:t>…</w:t>
      </w:r>
    </w:p>
    <w:p>
      <w:pPr>
        <w:spacing w:line="276" w:lineRule="auto" w:before="36"/>
        <w:ind w:left="1918" w:right="2263" w:firstLine="0"/>
        <w:jc w:val="both"/>
        <w:rPr>
          <w:b/>
          <w:sz w:val="21"/>
        </w:rPr>
      </w:pPr>
      <w:r>
        <w:rPr>
          <w:sz w:val="21"/>
        </w:rPr>
        <w:t>(5) As an act of State derives its authority not from municipal law but from ultra-legal or supra-legal means, Municipal Courts have no power to examine the propriety or legality of </w:t>
      </w:r>
      <w:r>
        <w:rPr>
          <w:spacing w:val="-1"/>
          <w:w w:val="100"/>
          <w:sz w:val="21"/>
        </w:rPr>
        <w:t>a</w:t>
      </w:r>
      <w:r>
        <w:rPr>
          <w:w w:val="100"/>
          <w:sz w:val="21"/>
        </w:rPr>
        <w:t>n</w:t>
      </w:r>
      <w:r>
        <w:rPr>
          <w:sz w:val="21"/>
        </w:rPr>
        <w:t> </w:t>
      </w:r>
      <w:r>
        <w:rPr>
          <w:spacing w:val="-9"/>
          <w:sz w:val="21"/>
        </w:rPr>
        <w:t> </w:t>
      </w:r>
      <w:r>
        <w:rPr>
          <w:spacing w:val="-1"/>
          <w:w w:val="100"/>
          <w:sz w:val="21"/>
        </w:rPr>
        <w:t>ac</w:t>
      </w:r>
      <w:r>
        <w:rPr>
          <w:w w:val="100"/>
          <w:sz w:val="21"/>
        </w:rPr>
        <w:t>t</w:t>
      </w:r>
      <w:r>
        <w:rPr>
          <w:sz w:val="21"/>
        </w:rPr>
        <w:t> </w:t>
      </w:r>
      <w:r>
        <w:rPr>
          <w:spacing w:val="-10"/>
          <w:sz w:val="21"/>
        </w:rPr>
        <w:t> </w:t>
      </w:r>
      <w:r>
        <w:rPr>
          <w:spacing w:val="-2"/>
          <w:w w:val="100"/>
          <w:sz w:val="21"/>
        </w:rPr>
        <w:t>w</w:t>
      </w:r>
      <w:r>
        <w:rPr>
          <w:spacing w:val="-1"/>
          <w:w w:val="100"/>
          <w:sz w:val="21"/>
        </w:rPr>
        <w:t>h</w:t>
      </w:r>
      <w:r>
        <w:rPr>
          <w:spacing w:val="1"/>
          <w:w w:val="100"/>
          <w:sz w:val="21"/>
        </w:rPr>
        <w:t>i</w:t>
      </w:r>
      <w:r>
        <w:rPr>
          <w:spacing w:val="-3"/>
          <w:w w:val="100"/>
          <w:sz w:val="21"/>
        </w:rPr>
        <w:t>c</w:t>
      </w:r>
      <w:r>
        <w:rPr>
          <w:w w:val="100"/>
          <w:sz w:val="21"/>
        </w:rPr>
        <w:t>h</w:t>
      </w:r>
      <w:r>
        <w:rPr>
          <w:sz w:val="21"/>
        </w:rPr>
        <w:t> </w:t>
      </w:r>
      <w:r>
        <w:rPr>
          <w:spacing w:val="-9"/>
          <w:sz w:val="21"/>
        </w:rPr>
        <w:t> </w:t>
      </w:r>
      <w:r>
        <w:rPr>
          <w:w w:val="100"/>
          <w:sz w:val="21"/>
        </w:rPr>
        <w:t>c</w:t>
      </w:r>
      <w:r>
        <w:rPr>
          <w:spacing w:val="-3"/>
          <w:w w:val="100"/>
          <w:sz w:val="21"/>
        </w:rPr>
        <w:t>o</w:t>
      </w:r>
      <w:r>
        <w:rPr>
          <w:spacing w:val="1"/>
          <w:w w:val="100"/>
          <w:sz w:val="21"/>
        </w:rPr>
        <w:t>m</w:t>
      </w:r>
      <w:r>
        <w:rPr>
          <w:spacing w:val="-3"/>
          <w:w w:val="100"/>
          <w:sz w:val="21"/>
        </w:rPr>
        <w:t>e</w:t>
      </w:r>
      <w:r>
        <w:rPr>
          <w:w w:val="100"/>
          <w:sz w:val="21"/>
        </w:rPr>
        <w:t>s</w:t>
      </w:r>
      <w:r>
        <w:rPr>
          <w:sz w:val="21"/>
        </w:rPr>
        <w:t> </w:t>
      </w:r>
      <w:r>
        <w:rPr>
          <w:spacing w:val="-9"/>
          <w:sz w:val="21"/>
        </w:rPr>
        <w:t> </w:t>
      </w:r>
      <w:r>
        <w:rPr>
          <w:spacing w:val="-2"/>
          <w:w w:val="100"/>
          <w:sz w:val="21"/>
        </w:rPr>
        <w:t>w</w:t>
      </w:r>
      <w:r>
        <w:rPr>
          <w:w w:val="100"/>
          <w:sz w:val="21"/>
        </w:rPr>
        <w:t>i</w:t>
      </w:r>
      <w:r>
        <w:rPr>
          <w:spacing w:val="-2"/>
          <w:w w:val="100"/>
          <w:sz w:val="21"/>
        </w:rPr>
        <w:t>t</w:t>
      </w:r>
      <w:r>
        <w:rPr>
          <w:spacing w:val="-1"/>
          <w:w w:val="100"/>
          <w:sz w:val="21"/>
        </w:rPr>
        <w:t>h</w:t>
      </w:r>
      <w:r>
        <w:rPr>
          <w:spacing w:val="1"/>
          <w:w w:val="100"/>
          <w:sz w:val="21"/>
        </w:rPr>
        <w:t>i</w:t>
      </w:r>
      <w:r>
        <w:rPr>
          <w:w w:val="100"/>
          <w:sz w:val="21"/>
        </w:rPr>
        <w:t>n</w:t>
      </w:r>
      <w:r>
        <w:rPr>
          <w:sz w:val="21"/>
        </w:rPr>
        <w:t> </w:t>
      </w:r>
      <w:r>
        <w:rPr>
          <w:spacing w:val="-9"/>
          <w:sz w:val="21"/>
        </w:rPr>
        <w:t> </w:t>
      </w:r>
      <w:r>
        <w:rPr>
          <w:spacing w:val="-2"/>
          <w:w w:val="100"/>
          <w:sz w:val="21"/>
        </w:rPr>
        <w:t>t</w:t>
      </w:r>
      <w:r>
        <w:rPr>
          <w:spacing w:val="-1"/>
          <w:w w:val="100"/>
          <w:sz w:val="21"/>
        </w:rPr>
        <w:t>h</w:t>
      </w:r>
      <w:r>
        <w:rPr>
          <w:w w:val="100"/>
          <w:sz w:val="21"/>
        </w:rPr>
        <w:t>e</w:t>
      </w:r>
      <w:r>
        <w:rPr>
          <w:sz w:val="21"/>
        </w:rPr>
        <w:t> </w:t>
      </w:r>
      <w:r>
        <w:rPr>
          <w:spacing w:val="-9"/>
          <w:sz w:val="21"/>
        </w:rPr>
        <w:t> </w:t>
      </w:r>
      <w:r>
        <w:rPr>
          <w:spacing w:val="-3"/>
          <w:w w:val="100"/>
          <w:sz w:val="21"/>
        </w:rPr>
        <w:t>a</w:t>
      </w:r>
      <w:r>
        <w:rPr>
          <w:spacing w:val="-1"/>
          <w:w w:val="100"/>
          <w:sz w:val="21"/>
        </w:rPr>
        <w:t>mb</w:t>
      </w:r>
      <w:r>
        <w:rPr>
          <w:spacing w:val="1"/>
          <w:w w:val="100"/>
          <w:sz w:val="21"/>
        </w:rPr>
        <w:t>i</w:t>
      </w:r>
      <w:r>
        <w:rPr>
          <w:w w:val="100"/>
          <w:sz w:val="21"/>
        </w:rPr>
        <w:t>t</w:t>
      </w:r>
      <w:r>
        <w:rPr>
          <w:sz w:val="21"/>
        </w:rPr>
        <w:t> </w:t>
      </w:r>
      <w:r>
        <w:rPr>
          <w:spacing w:val="-10"/>
          <w:sz w:val="21"/>
        </w:rPr>
        <w:t> </w:t>
      </w:r>
      <w:r>
        <w:rPr>
          <w:spacing w:val="-3"/>
          <w:w w:val="100"/>
          <w:sz w:val="21"/>
        </w:rPr>
        <w:t>o</w:t>
      </w:r>
      <w:r>
        <w:rPr>
          <w:w w:val="100"/>
          <w:sz w:val="21"/>
        </w:rPr>
        <w:t>f</w:t>
      </w:r>
      <w:r>
        <w:rPr>
          <w:sz w:val="21"/>
        </w:rPr>
        <w:t> </w:t>
      </w:r>
      <w:r>
        <w:rPr>
          <w:spacing w:val="-8"/>
          <w:sz w:val="21"/>
        </w:rPr>
        <w:t> </w:t>
      </w:r>
      <w:r>
        <w:rPr>
          <w:spacing w:val="-1"/>
          <w:w w:val="33"/>
          <w:sz w:val="21"/>
        </w:rPr>
        <w:t>―</w:t>
      </w:r>
      <w:r>
        <w:rPr>
          <w:spacing w:val="-1"/>
          <w:w w:val="100"/>
          <w:sz w:val="21"/>
        </w:rPr>
        <w:t>ac</w:t>
      </w:r>
      <w:r>
        <w:rPr>
          <w:w w:val="100"/>
          <w:sz w:val="21"/>
        </w:rPr>
        <w:t>t</w:t>
      </w:r>
      <w:r>
        <w:rPr>
          <w:sz w:val="21"/>
        </w:rPr>
        <w:t> </w:t>
      </w:r>
      <w:r>
        <w:rPr>
          <w:spacing w:val="-10"/>
          <w:sz w:val="21"/>
        </w:rPr>
        <w:t> </w:t>
      </w:r>
      <w:r>
        <w:rPr>
          <w:spacing w:val="-1"/>
          <w:w w:val="100"/>
          <w:sz w:val="21"/>
        </w:rPr>
        <w:t>o</w:t>
      </w:r>
      <w:r>
        <w:rPr>
          <w:w w:val="100"/>
          <w:sz w:val="21"/>
        </w:rPr>
        <w:t>f</w:t>
      </w:r>
      <w:r>
        <w:rPr>
          <w:sz w:val="21"/>
        </w:rPr>
        <w:t> </w:t>
      </w:r>
      <w:r>
        <w:rPr>
          <w:spacing w:val="-11"/>
          <w:sz w:val="21"/>
        </w:rPr>
        <w:t> </w:t>
      </w:r>
      <w:r>
        <w:rPr>
          <w:w w:val="100"/>
          <w:sz w:val="21"/>
        </w:rPr>
        <w:t>S</w:t>
      </w:r>
      <w:r>
        <w:rPr>
          <w:spacing w:val="-2"/>
          <w:w w:val="100"/>
          <w:sz w:val="21"/>
        </w:rPr>
        <w:t>t</w:t>
      </w:r>
      <w:r>
        <w:rPr>
          <w:spacing w:val="-1"/>
          <w:w w:val="100"/>
          <w:sz w:val="21"/>
        </w:rPr>
        <w:t>at</w:t>
      </w:r>
      <w:r>
        <w:rPr>
          <w:spacing w:val="-1"/>
          <w:w w:val="94"/>
          <w:sz w:val="21"/>
        </w:rPr>
        <w:t>e‖</w:t>
      </w:r>
      <w:r>
        <w:rPr>
          <w:w w:val="94"/>
          <w:sz w:val="21"/>
        </w:rPr>
        <w:t>.</w:t>
      </w:r>
      <w:r>
        <w:rPr>
          <w:sz w:val="21"/>
        </w:rPr>
        <w:t> </w:t>
      </w:r>
      <w:r>
        <w:rPr>
          <w:spacing w:val="-11"/>
          <w:sz w:val="21"/>
        </w:rPr>
        <w:t> </w:t>
      </w:r>
      <w:r>
        <w:rPr>
          <w:spacing w:val="-1"/>
          <w:w w:val="100"/>
          <w:sz w:val="21"/>
        </w:rPr>
        <w:t>(6) </w:t>
      </w:r>
      <w:r>
        <w:rPr>
          <w:b/>
          <w:sz w:val="21"/>
        </w:rPr>
        <w:t>Whether the act of State has reference to public or private rights,</w:t>
      </w:r>
      <w:r>
        <w:rPr>
          <w:b/>
          <w:spacing w:val="35"/>
          <w:sz w:val="21"/>
        </w:rPr>
        <w:t> </w:t>
      </w:r>
      <w:r>
        <w:rPr>
          <w:b/>
          <w:sz w:val="21"/>
        </w:rPr>
        <w:t>the</w:t>
      </w:r>
      <w:r>
        <w:rPr>
          <w:b/>
          <w:spacing w:val="36"/>
          <w:sz w:val="21"/>
        </w:rPr>
        <w:t> </w:t>
      </w:r>
      <w:r>
        <w:rPr>
          <w:b/>
          <w:sz w:val="21"/>
        </w:rPr>
        <w:t>result</w:t>
      </w:r>
      <w:r>
        <w:rPr>
          <w:b/>
          <w:spacing w:val="35"/>
          <w:sz w:val="21"/>
        </w:rPr>
        <w:t> </w:t>
      </w:r>
      <w:r>
        <w:rPr>
          <w:b/>
          <w:sz w:val="21"/>
        </w:rPr>
        <w:t>is</w:t>
      </w:r>
      <w:r>
        <w:rPr>
          <w:b/>
          <w:spacing w:val="34"/>
          <w:sz w:val="21"/>
        </w:rPr>
        <w:t> </w:t>
      </w:r>
      <w:r>
        <w:rPr>
          <w:b/>
          <w:sz w:val="21"/>
        </w:rPr>
        <w:t>the</w:t>
      </w:r>
      <w:r>
        <w:rPr>
          <w:b/>
          <w:spacing w:val="34"/>
          <w:sz w:val="21"/>
        </w:rPr>
        <w:t> </w:t>
      </w:r>
      <w:r>
        <w:rPr>
          <w:b/>
          <w:sz w:val="21"/>
        </w:rPr>
        <w:t>same,</w:t>
      </w:r>
      <w:r>
        <w:rPr>
          <w:b/>
          <w:spacing w:val="35"/>
          <w:sz w:val="21"/>
        </w:rPr>
        <w:t> </w:t>
      </w:r>
      <w:r>
        <w:rPr>
          <w:b/>
          <w:sz w:val="21"/>
        </w:rPr>
        <w:t>namely,</w:t>
      </w:r>
      <w:r>
        <w:rPr>
          <w:b/>
          <w:spacing w:val="35"/>
          <w:sz w:val="21"/>
        </w:rPr>
        <w:t> </w:t>
      </w:r>
      <w:r>
        <w:rPr>
          <w:b/>
          <w:sz w:val="21"/>
        </w:rPr>
        <w:t>that</w:t>
      </w:r>
      <w:r>
        <w:rPr>
          <w:b/>
          <w:spacing w:val="36"/>
          <w:sz w:val="21"/>
        </w:rPr>
        <w:t> </w:t>
      </w:r>
      <w:r>
        <w:rPr>
          <w:b/>
          <w:sz w:val="21"/>
        </w:rPr>
        <w:t>it</w:t>
      </w:r>
      <w:r>
        <w:rPr>
          <w:b/>
          <w:spacing w:val="35"/>
          <w:sz w:val="21"/>
        </w:rPr>
        <w:t> </w:t>
      </w:r>
      <w:r>
        <w:rPr>
          <w:b/>
          <w:sz w:val="21"/>
        </w:rPr>
        <w:t>is</w:t>
      </w:r>
      <w:r>
        <w:rPr>
          <w:b/>
          <w:spacing w:val="36"/>
          <w:sz w:val="21"/>
        </w:rPr>
        <w:t> </w:t>
      </w:r>
      <w:r>
        <w:rPr>
          <w:b/>
          <w:sz w:val="21"/>
        </w:rPr>
        <w:t>beyond</w:t>
      </w:r>
    </w:p>
    <w:p>
      <w:pPr>
        <w:pStyle w:val="BodyText"/>
        <w:spacing w:before="2"/>
        <w:rPr>
          <w:b/>
          <w:sz w:val="29"/>
        </w:rPr>
      </w:pPr>
      <w:r>
        <w:rPr/>
        <w:pict>
          <v:rect style="position:absolute;margin-left:72.024002pt;margin-top:18.75658pt;width:144.020pt;height:.599980pt;mso-position-horizontal-relative:page;mso-position-vertical-relative:paragraph;z-index:-1563033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332</w:t>
      </w:r>
      <w:r>
        <w:rPr>
          <w:sz w:val="18"/>
          <w:vertAlign w:val="baseline"/>
        </w:rPr>
        <w:t> 1962 Supp (1) SCR 405</w:t>
      </w:r>
    </w:p>
    <w:p>
      <w:pPr>
        <w:spacing w:after="0"/>
        <w:jc w:val="left"/>
        <w:rPr>
          <w:sz w:val="18"/>
        </w:rPr>
        <w:sectPr>
          <w:pgSz w:w="11910" w:h="16840"/>
          <w:pgMar w:header="721" w:footer="1014" w:top="1300" w:bottom="1200" w:left="940" w:right="1000"/>
        </w:sectPr>
      </w:pPr>
    </w:p>
    <w:p>
      <w:pPr>
        <w:spacing w:line="276" w:lineRule="auto" w:before="122"/>
        <w:ind w:left="1918" w:right="2261" w:firstLine="0"/>
        <w:jc w:val="both"/>
        <w:rPr>
          <w:sz w:val="21"/>
        </w:rPr>
      </w:pPr>
      <w:r>
        <w:rPr>
          <w:b/>
          <w:sz w:val="21"/>
        </w:rPr>
        <w:t>the jurisdiction of Municipal Courts to investigate the rights and wrongs of the transaction and to pronounce upon them and, that, therefore, such a Court cannot enforce its decisions, if any</w:t>
      </w:r>
      <w:r>
        <w:rPr>
          <w:sz w:val="21"/>
        </w:rPr>
        <w:t>. It may be that the presumption is that the pre-existing laws of the newly acquired territory continue, and that according to ordinarily principles of International Law private property of the citizens is respected by the new sovereign, but Municipal Courts have no jurisdiction to enforce such international obligations.</w:t>
      </w:r>
    </w:p>
    <w:p>
      <w:pPr>
        <w:spacing w:line="241" w:lineRule="exact" w:before="0"/>
        <w:ind w:left="1918" w:right="0" w:firstLine="0"/>
        <w:jc w:val="left"/>
        <w:rPr>
          <w:sz w:val="21"/>
        </w:rPr>
      </w:pPr>
      <w:r>
        <w:rPr>
          <w:w w:val="100"/>
          <w:sz w:val="21"/>
        </w:rPr>
        <w:t>…</w:t>
      </w:r>
    </w:p>
    <w:p>
      <w:pPr>
        <w:spacing w:line="276" w:lineRule="auto" w:before="37"/>
        <w:ind w:left="1918" w:right="2259" w:firstLine="0"/>
        <w:jc w:val="both"/>
        <w:rPr>
          <w:sz w:val="21"/>
        </w:rPr>
      </w:pPr>
      <w:r>
        <w:rPr>
          <w:sz w:val="21"/>
        </w:rPr>
        <w:t>(8) </w:t>
      </w:r>
      <w:r>
        <w:rPr>
          <w:b/>
          <w:sz w:val="21"/>
        </w:rPr>
        <w:t>The Municipal Courts recognised by the new sovereign have the power and jurisdiction to investigate and ascertain only such rights as the new sovereign has chosen to recognise or acknowledge by legislation, agreement or otherwise. (9) Such an agreement or recognition may be either express or may be implied from circumstances and evidence appearing from the mode of dealing with those rights by the new sovereign. Hence, the Municipal Courts have the jurisdiction to find out whether the new sovereign has or has not recognised or acknowledged the rights in question</w:t>
      </w:r>
      <w:r>
        <w:rPr>
          <w:sz w:val="21"/>
        </w:rPr>
        <w:t>, either expressly or by implication, as aforesaid. (1) In any controversy as to the existence of the rights claimed against the new sovereign, </w:t>
      </w:r>
      <w:r>
        <w:rPr>
          <w:b/>
          <w:sz w:val="21"/>
        </w:rPr>
        <w:t>the burden of proof lies on the claimant to establish the new sovereign has recognised or acknowledged the right in question</w:t>
      </w:r>
      <w:r>
        <w:rPr>
          <w:sz w:val="21"/>
        </w:rPr>
        <w:t>.‖</w:t>
      </w:r>
    </w:p>
    <w:p>
      <w:pPr>
        <w:spacing w:before="0"/>
        <w:ind w:left="6535" w:right="0" w:firstLine="0"/>
        <w:jc w:val="left"/>
        <w:rPr>
          <w:sz w:val="21"/>
        </w:rPr>
      </w:pPr>
      <w:r>
        <w:rPr>
          <w:sz w:val="21"/>
        </w:rPr>
        <w:t>(Emphasis supplied)</w:t>
      </w:r>
    </w:p>
    <w:p>
      <w:pPr>
        <w:pStyle w:val="BodyText"/>
        <w:rPr>
          <w:sz w:val="24"/>
        </w:rPr>
      </w:pPr>
    </w:p>
    <w:p>
      <w:pPr>
        <w:pStyle w:val="BodyText"/>
        <w:spacing w:before="3"/>
        <w:rPr>
          <w:sz w:val="21"/>
        </w:rPr>
      </w:pPr>
    </w:p>
    <w:p>
      <w:pPr>
        <w:pStyle w:val="ListParagraph"/>
        <w:numPr>
          <w:ilvl w:val="0"/>
          <w:numId w:val="166"/>
        </w:numPr>
        <w:tabs>
          <w:tab w:pos="1221" w:val="left" w:leader="none"/>
        </w:tabs>
        <w:spacing w:line="480" w:lineRule="auto" w:before="0" w:after="0"/>
        <w:ind w:left="500" w:right="436" w:firstLine="0"/>
        <w:jc w:val="both"/>
        <w:rPr>
          <w:sz w:val="25"/>
        </w:rPr>
      </w:pPr>
      <w:r>
        <w:rPr>
          <w:sz w:val="25"/>
        </w:rPr>
        <w:t>The Constitution Bench accepted the legal principles laid down by the Privy Council in determining the method in which the legal consequences of acts of a previous legal regime are recognised. Crucially, it does not matter that the acts pertain to public or private rights. Municipal courts will only recognise those rights and liabilities which have been recognised by the new sovereign either expressly or impliedly through conduct established by evidence. The municipal courts of the new sovereign can embark upon an inquiry as to whether the new sovereign has expressly or impliedly recognised the rights and liabilities existing under a former regime. However, the burden to establish the existence and recognition of such rights and liabilities remains on the party claiming</w:t>
      </w:r>
      <w:r>
        <w:rPr>
          <w:spacing w:val="-13"/>
          <w:sz w:val="25"/>
        </w:rPr>
        <w:t> </w:t>
      </w:r>
      <w:r>
        <w:rPr>
          <w:sz w:val="25"/>
        </w:rPr>
        <w:t>them.</w:t>
      </w:r>
    </w:p>
    <w:p>
      <w:pPr>
        <w:spacing w:after="0" w:line="480" w:lineRule="auto"/>
        <w:jc w:val="both"/>
        <w:rPr>
          <w:sz w:val="25"/>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1" w:after="0"/>
        <w:ind w:left="500" w:right="436" w:firstLine="0"/>
        <w:jc w:val="both"/>
        <w:rPr>
          <w:sz w:val="25"/>
        </w:rPr>
      </w:pPr>
      <w:r>
        <w:rPr>
          <w:sz w:val="25"/>
        </w:rPr>
        <w:t>The principles laid down in </w:t>
      </w:r>
      <w:r>
        <w:rPr>
          <w:b/>
          <w:sz w:val="25"/>
        </w:rPr>
        <w:t>Promod Chandra Deb </w:t>
      </w:r>
      <w:r>
        <w:rPr>
          <w:sz w:val="25"/>
        </w:rPr>
        <w:t>were affirmed by a seven-judge Bench of this Court in </w:t>
      </w:r>
      <w:r>
        <w:rPr>
          <w:b/>
          <w:sz w:val="25"/>
        </w:rPr>
        <w:t>State of Gujarat </w:t>
      </w:r>
      <w:r>
        <w:rPr>
          <w:sz w:val="25"/>
        </w:rPr>
        <w:t>v </w:t>
      </w:r>
      <w:r>
        <w:rPr>
          <w:b/>
          <w:sz w:val="25"/>
        </w:rPr>
        <w:t>Vora Fiddali Badruddin Mithibarwala </w:t>
      </w:r>
      <w:r>
        <w:rPr>
          <w:sz w:val="25"/>
        </w:rPr>
        <w:t>.</w:t>
      </w:r>
      <w:r>
        <w:rPr>
          <w:sz w:val="25"/>
          <w:vertAlign w:val="superscript"/>
        </w:rPr>
        <w:t>333</w:t>
      </w:r>
      <w:r>
        <w:rPr>
          <w:sz w:val="25"/>
          <w:vertAlign w:val="baseline"/>
        </w:rPr>
        <w:t> The seven-judge Bench also expressly rejected the contention that grants given by a former sovereign are merely voidable until expressly revoked by the new sovereign. The court held that such grants are not enforceable by the municipal court of the new sovereign unless expressly or impliedly recognised by the new sovereign. These principles have also been affirmed by subsequent benches of this Court in </w:t>
      </w:r>
      <w:r>
        <w:rPr>
          <w:b/>
          <w:sz w:val="25"/>
          <w:vertAlign w:val="baseline"/>
        </w:rPr>
        <w:t>Pema Chibar </w:t>
      </w:r>
      <w:r>
        <w:rPr>
          <w:sz w:val="25"/>
          <w:vertAlign w:val="baseline"/>
        </w:rPr>
        <w:t>v </w:t>
      </w:r>
      <w:r>
        <w:rPr>
          <w:b/>
          <w:sz w:val="25"/>
          <w:vertAlign w:val="baseline"/>
        </w:rPr>
        <w:t>Union of India</w:t>
      </w:r>
      <w:r>
        <w:rPr>
          <w:sz w:val="25"/>
          <w:vertAlign w:val="superscript"/>
        </w:rPr>
        <w:t>334</w:t>
      </w:r>
      <w:r>
        <w:rPr>
          <w:sz w:val="25"/>
          <w:vertAlign w:val="baseline"/>
        </w:rPr>
        <w:t> </w:t>
      </w:r>
      <w:r>
        <w:rPr>
          <w:b/>
          <w:sz w:val="25"/>
          <w:vertAlign w:val="baseline"/>
        </w:rPr>
        <w:t>Union of India </w:t>
      </w:r>
      <w:r>
        <w:rPr>
          <w:sz w:val="25"/>
          <w:vertAlign w:val="baseline"/>
        </w:rPr>
        <w:t>v </w:t>
      </w:r>
      <w:r>
        <w:rPr>
          <w:b/>
          <w:sz w:val="25"/>
          <w:vertAlign w:val="baseline"/>
        </w:rPr>
        <w:t>Sudhansu</w:t>
      </w:r>
      <w:r>
        <w:rPr>
          <w:b/>
          <w:spacing w:val="-4"/>
          <w:sz w:val="25"/>
          <w:vertAlign w:val="baseline"/>
        </w:rPr>
        <w:t> </w:t>
      </w:r>
      <w:r>
        <w:rPr>
          <w:b/>
          <w:sz w:val="25"/>
          <w:vertAlign w:val="baseline"/>
        </w:rPr>
        <w:t>Mazumdar</w:t>
      </w:r>
      <w:r>
        <w:rPr>
          <w:sz w:val="25"/>
          <w:vertAlign w:val="superscript"/>
        </w:rPr>
        <w:t>335</w:t>
      </w:r>
      <w:r>
        <w:rPr>
          <w:sz w:val="25"/>
          <w:vertAlign w:val="baseline"/>
        </w:rPr>
        <w:t>.</w:t>
      </w:r>
    </w:p>
    <w:p>
      <w:pPr>
        <w:pStyle w:val="BodyText"/>
        <w:rPr>
          <w:sz w:val="32"/>
        </w:rPr>
      </w:pPr>
    </w:p>
    <w:p>
      <w:pPr>
        <w:pStyle w:val="ListParagraph"/>
        <w:numPr>
          <w:ilvl w:val="0"/>
          <w:numId w:val="166"/>
        </w:numPr>
        <w:tabs>
          <w:tab w:pos="1290" w:val="left" w:leader="none"/>
        </w:tabs>
        <w:spacing w:line="480" w:lineRule="auto" w:before="242" w:after="0"/>
        <w:ind w:left="500" w:right="439" w:firstLine="0"/>
        <w:jc w:val="both"/>
        <w:rPr>
          <w:sz w:val="25"/>
        </w:rPr>
      </w:pPr>
      <w:r>
        <w:rPr>
          <w:sz w:val="25"/>
        </w:rPr>
        <w:t>The evidence and arguments submitted before this Court have canvassed four distinct legal regimes. The legal consequences of actions taken, proprietary rights perfected, or injuries suffered in previous legal regimes can only be enforced by this Court if they received implied or express recognition by subsequent sovereigns. Absent such recognition, the change of sovereignty is an act of State and this Court cannot compel a subsequent sovereign to recognise and remedy historical</w:t>
      </w:r>
      <w:r>
        <w:rPr>
          <w:spacing w:val="-6"/>
          <w:sz w:val="25"/>
        </w:rPr>
        <w:t> </w:t>
      </w:r>
      <w:r>
        <w:rPr>
          <w:sz w:val="25"/>
        </w:rPr>
        <w:t>wrongs.</w:t>
      </w:r>
    </w:p>
    <w:p>
      <w:pPr>
        <w:pStyle w:val="Heading4"/>
        <w:spacing w:before="165"/>
        <w:rPr>
          <w:i/>
        </w:rPr>
      </w:pPr>
      <w:r>
        <w:rPr>
          <w:i/>
        </w:rPr>
        <w:t>Ancient rights claimed by the parties</w:t>
      </w:r>
    </w:p>
    <w:p>
      <w:pPr>
        <w:pStyle w:val="BodyText"/>
        <w:rPr>
          <w:i/>
          <w:sz w:val="28"/>
        </w:rPr>
      </w:pPr>
    </w:p>
    <w:p>
      <w:pPr>
        <w:pStyle w:val="BodyText"/>
        <w:spacing w:before="9"/>
        <w:rPr>
          <w:i/>
          <w:sz w:val="23"/>
        </w:rPr>
      </w:pPr>
    </w:p>
    <w:p>
      <w:pPr>
        <w:pStyle w:val="ListParagraph"/>
        <w:numPr>
          <w:ilvl w:val="0"/>
          <w:numId w:val="166"/>
        </w:numPr>
        <w:tabs>
          <w:tab w:pos="1221" w:val="left" w:leader="none"/>
        </w:tabs>
        <w:spacing w:line="480" w:lineRule="auto" w:before="0" w:after="0"/>
        <w:ind w:left="500" w:right="443" w:firstLine="0"/>
        <w:jc w:val="both"/>
        <w:rPr>
          <w:sz w:val="25"/>
        </w:rPr>
      </w:pPr>
      <w:r>
        <w:rPr/>
        <w:pict>
          <v:rect style="position:absolute;margin-left:72.024002pt;margin-top:117.684814pt;width:144.020pt;height:.60004pt;mso-position-horizontal-relative:page;mso-position-vertical-relative:paragraph;z-index:-15629824;mso-wrap-distance-left:0;mso-wrap-distance-right:0" filled="true" fillcolor="#000000" stroked="false">
            <v:fill type="solid"/>
            <w10:wrap type="topAndBottom"/>
          </v:rect>
        </w:pict>
      </w:r>
      <w:r>
        <w:rPr>
          <w:sz w:val="25"/>
        </w:rPr>
        <w:t>The nature of the ancient underlying structure beneath the disputed property dating back to the twelfth century has been the subject matter of great controversy in the present proceedings. Mr Vaidyanathan contended that the structure represented a Hindu temple. It was urged that the existence of</w:t>
      </w:r>
      <w:r>
        <w:rPr>
          <w:spacing w:val="30"/>
          <w:sz w:val="25"/>
        </w:rPr>
        <w:t> </w:t>
      </w:r>
      <w:r>
        <w:rPr>
          <w:sz w:val="25"/>
        </w:rPr>
        <w:t>an</w:t>
      </w:r>
    </w:p>
    <w:p>
      <w:pPr>
        <w:spacing w:line="207" w:lineRule="exact" w:before="81"/>
        <w:ind w:left="500" w:right="0" w:firstLine="0"/>
        <w:jc w:val="left"/>
        <w:rPr>
          <w:sz w:val="18"/>
        </w:rPr>
      </w:pPr>
      <w:r>
        <w:rPr>
          <w:sz w:val="18"/>
          <w:vertAlign w:val="superscript"/>
        </w:rPr>
        <w:t>333</w:t>
      </w:r>
      <w:r>
        <w:rPr>
          <w:sz w:val="18"/>
          <w:vertAlign w:val="baseline"/>
        </w:rPr>
        <w:t> (1964) 6 SCR</w:t>
      </w:r>
      <w:r>
        <w:rPr>
          <w:spacing w:val="-11"/>
          <w:sz w:val="18"/>
          <w:vertAlign w:val="baseline"/>
        </w:rPr>
        <w:t> </w:t>
      </w:r>
      <w:r>
        <w:rPr>
          <w:sz w:val="18"/>
          <w:vertAlign w:val="baseline"/>
        </w:rPr>
        <w:t>461</w:t>
      </w:r>
    </w:p>
    <w:p>
      <w:pPr>
        <w:spacing w:line="207" w:lineRule="exact" w:before="0"/>
        <w:ind w:left="500" w:right="0" w:firstLine="0"/>
        <w:jc w:val="left"/>
        <w:rPr>
          <w:sz w:val="18"/>
        </w:rPr>
      </w:pPr>
      <w:r>
        <w:rPr>
          <w:sz w:val="18"/>
          <w:vertAlign w:val="superscript"/>
        </w:rPr>
        <w:t>334</w:t>
      </w:r>
      <w:r>
        <w:rPr>
          <w:sz w:val="18"/>
          <w:vertAlign w:val="baseline"/>
        </w:rPr>
        <w:t> (1966) 1 SCR</w:t>
      </w:r>
      <w:r>
        <w:rPr>
          <w:spacing w:val="-11"/>
          <w:sz w:val="18"/>
          <w:vertAlign w:val="baseline"/>
        </w:rPr>
        <w:t> </w:t>
      </w:r>
      <w:r>
        <w:rPr>
          <w:sz w:val="18"/>
          <w:vertAlign w:val="baseline"/>
        </w:rPr>
        <w:t>357</w:t>
      </w:r>
    </w:p>
    <w:p>
      <w:pPr>
        <w:spacing w:before="1"/>
        <w:ind w:left="500" w:right="0" w:firstLine="0"/>
        <w:jc w:val="left"/>
        <w:rPr>
          <w:sz w:val="18"/>
        </w:rPr>
      </w:pPr>
      <w:r>
        <w:rPr>
          <w:sz w:val="18"/>
          <w:vertAlign w:val="superscript"/>
        </w:rPr>
        <w:t>335</w:t>
      </w:r>
      <w:r>
        <w:rPr>
          <w:sz w:val="18"/>
          <w:vertAlign w:val="baseline"/>
        </w:rPr>
        <w:t> (1971) 3 SCC</w:t>
      </w:r>
      <w:r>
        <w:rPr>
          <w:spacing w:val="-11"/>
          <w:sz w:val="18"/>
          <w:vertAlign w:val="baseline"/>
        </w:rPr>
        <w:t> </w:t>
      </w:r>
      <w:r>
        <w:rPr>
          <w:sz w:val="18"/>
          <w:vertAlign w:val="baseline"/>
        </w:rPr>
        <w:t>265</w:t>
      </w:r>
    </w:p>
    <w:p>
      <w:pPr>
        <w:spacing w:after="0"/>
        <w:jc w:val="left"/>
        <w:rPr>
          <w:sz w:val="18"/>
        </w:rPr>
        <w:sectPr>
          <w:pgSz w:w="11910" w:h="16840"/>
          <w:pgMar w:header="721" w:footer="1014" w:top="1300" w:bottom="1200" w:left="940" w:right="1000"/>
        </w:sectPr>
      </w:pPr>
    </w:p>
    <w:p>
      <w:pPr>
        <w:pStyle w:val="BodyText"/>
        <w:spacing w:line="480" w:lineRule="auto" w:before="124"/>
        <w:ind w:left="500" w:right="438"/>
        <w:jc w:val="both"/>
      </w:pPr>
      <w:r>
        <w:rPr/>
        <w:t>ancient Hindu temple below the disputed property was evidence that title to the disputed land vested in the plaintiff deities in Suit 5. It was further urged that as the land of a deity is inalienable, the title of the plaintiff deities from the twelfth century continues to be legally enforceable today. For this submission to be accepted, it would need to be demonstrated that every subsequent sovereign to the territory within which the disputed land falls either expressly or impliedly recognised the title of the plaintiff deities in Suit 5. The burden to establish this would rest firmly on the plaintiffs in Suit 5.</w:t>
      </w:r>
    </w:p>
    <w:p>
      <w:pPr>
        <w:pStyle w:val="BodyText"/>
        <w:rPr>
          <w:sz w:val="28"/>
        </w:rPr>
      </w:pPr>
    </w:p>
    <w:p>
      <w:pPr>
        <w:pStyle w:val="BodyText"/>
        <w:spacing w:before="10"/>
        <w:rPr>
          <w:sz w:val="24"/>
        </w:rPr>
      </w:pPr>
    </w:p>
    <w:p>
      <w:pPr>
        <w:pStyle w:val="ListParagraph"/>
        <w:numPr>
          <w:ilvl w:val="0"/>
          <w:numId w:val="166"/>
        </w:numPr>
        <w:tabs>
          <w:tab w:pos="1221" w:val="left" w:leader="none"/>
        </w:tabs>
        <w:spacing w:line="480" w:lineRule="auto" w:before="1" w:after="0"/>
        <w:ind w:left="500" w:right="436" w:firstLine="0"/>
        <w:jc w:val="both"/>
        <w:rPr>
          <w:sz w:val="25"/>
        </w:rPr>
      </w:pPr>
      <w:r>
        <w:rPr>
          <w:sz w:val="25"/>
        </w:rPr>
        <w:t>No argument other than a bare reliance on the ASI report was put forth. No evidence was led by the plaintiffs in Suit 5 to support the contention that even if the underlying structure was believed to be a temple, the rights that flow from it were recognised by subsequent sovereigns. The mere existence of a structure underneath the disputed property cannot lead to a legally enforceable claim to title today. Subsequent to the construction of the ancient structure in the twelfth century, there exists an intervening period of four hundred years prior to the construction of the mosque. No evidence has been led with respect to the continued existence of the legal regime or any change in legal regime. It is admitted by all parties that at some point during the reign of the Mughal empire, a mosque was constructed at the disputed site. Even if this Court was to assume that the underlying structure was in fact a Hindu temple which vested title to the disputed site in the plaintiff deities, no evidence has been led by the plaintiffs in Suit 5 to establish that upon the change in legal regime to the Mughal sovereign, such rights were</w:t>
      </w:r>
      <w:r>
        <w:rPr>
          <w:spacing w:val="-3"/>
          <w:sz w:val="25"/>
        </w:rPr>
        <w:t> </w:t>
      </w:r>
      <w:r>
        <w:rPr>
          <w:sz w:val="25"/>
        </w:rPr>
        <w:t>recognised.</w:t>
      </w:r>
    </w:p>
    <w:p>
      <w:pPr>
        <w:spacing w:after="0" w:line="480" w:lineRule="auto"/>
        <w:jc w:val="both"/>
        <w:rPr>
          <w:sz w:val="25"/>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36" w:firstLine="0"/>
        <w:jc w:val="both"/>
        <w:rPr>
          <w:sz w:val="25"/>
        </w:rPr>
      </w:pPr>
      <w:r>
        <w:rPr>
          <w:sz w:val="25"/>
        </w:rPr>
        <w:t>The Mughal conquest of the territories was a supra-national act between two sovereigns subsequent to which, absent the recognition by the new sovereign of pre-existing rights, any claim to the disputed property could not have been enforced by virtue of the change in sovereignty. This Court cannot entertain or enforce rights to the disputed property based </w:t>
      </w:r>
      <w:r>
        <w:rPr>
          <w:b/>
          <w:sz w:val="25"/>
        </w:rPr>
        <w:t>solely </w:t>
      </w:r>
      <w:r>
        <w:rPr>
          <w:sz w:val="25"/>
        </w:rPr>
        <w:t>on the existence of an underlying temple dating to the twelfth</w:t>
      </w:r>
      <w:r>
        <w:rPr>
          <w:spacing w:val="-3"/>
          <w:sz w:val="25"/>
        </w:rPr>
        <w:t> </w:t>
      </w:r>
      <w:r>
        <w:rPr>
          <w:sz w:val="25"/>
        </w:rPr>
        <w:t>century.</w:t>
      </w:r>
    </w:p>
    <w:p>
      <w:pPr>
        <w:pStyle w:val="BodyText"/>
        <w:rPr>
          <w:sz w:val="28"/>
        </w:rPr>
      </w:pPr>
    </w:p>
    <w:p>
      <w:pPr>
        <w:pStyle w:val="BodyText"/>
        <w:spacing w:before="8"/>
        <w:rPr>
          <w:sz w:val="24"/>
        </w:rPr>
      </w:pPr>
    </w:p>
    <w:p>
      <w:pPr>
        <w:pStyle w:val="ListParagraph"/>
        <w:numPr>
          <w:ilvl w:val="0"/>
          <w:numId w:val="166"/>
        </w:numPr>
        <w:tabs>
          <w:tab w:pos="1221" w:val="left" w:leader="none"/>
        </w:tabs>
        <w:spacing w:line="480" w:lineRule="auto" w:before="1" w:after="0"/>
        <w:ind w:left="500" w:right="435" w:firstLine="0"/>
        <w:jc w:val="both"/>
        <w:rPr>
          <w:sz w:val="25"/>
        </w:rPr>
      </w:pPr>
      <w:r>
        <w:rPr>
          <w:sz w:val="25"/>
        </w:rPr>
        <w:t>The next change in legal regime occurred on 13 February 1856 with the annexation of Oudh by the East India Company, which later became the colonial government of the British Sovereign. The events which took place between 1856 and Indian Independence and beyond will be considered in great detail at various parts of this judgement and we need not advert to it at this juncture. However, certain factual aspects with respect to recognition of rights by the British sovereign may be noted. Upon the annexation of Oudh by the British sovereign, no actions were taken by the sovereign to exclude either the Hindu devotees of Lord Ram from worship nor the resident Muslims offering namaz at the disputed property. On 15 March 1858, by the proclamation of Lord Canning, all property, excluding a select few estates, were confiscated by the British sovereign and the disputed property was designated as Nazul land (i.e. land confiscated and  vesting in the government). However, the conduct of the British government was to respect the practices and prayer of both religious communities at the disputed site. The construction of the railing in 1858 to separate and maintain law and order between the two communities is premised on the worship of both religious communities</w:t>
      </w:r>
      <w:r>
        <w:rPr>
          <w:spacing w:val="11"/>
          <w:sz w:val="25"/>
        </w:rPr>
        <w:t> </w:t>
      </w:r>
      <w:r>
        <w:rPr>
          <w:sz w:val="25"/>
        </w:rPr>
        <w:t>at</w:t>
      </w:r>
      <w:r>
        <w:rPr>
          <w:spacing w:val="12"/>
          <w:sz w:val="25"/>
        </w:rPr>
        <w:t> </w:t>
      </w:r>
      <w:r>
        <w:rPr>
          <w:sz w:val="25"/>
        </w:rPr>
        <w:t>the</w:t>
      </w:r>
      <w:r>
        <w:rPr>
          <w:spacing w:val="12"/>
          <w:sz w:val="25"/>
        </w:rPr>
        <w:t> </w:t>
      </w:r>
      <w:r>
        <w:rPr>
          <w:sz w:val="25"/>
        </w:rPr>
        <w:t>disputed</w:t>
      </w:r>
      <w:r>
        <w:rPr>
          <w:spacing w:val="12"/>
          <w:sz w:val="25"/>
        </w:rPr>
        <w:t> </w:t>
      </w:r>
      <w:r>
        <w:rPr>
          <w:sz w:val="25"/>
        </w:rPr>
        <w:t>property.</w:t>
      </w:r>
      <w:r>
        <w:rPr>
          <w:spacing w:val="11"/>
          <w:sz w:val="25"/>
        </w:rPr>
        <w:t> </w:t>
      </w:r>
      <w:r>
        <w:rPr>
          <w:sz w:val="25"/>
        </w:rPr>
        <w:t>If</w:t>
      </w:r>
      <w:r>
        <w:rPr>
          <w:spacing w:val="12"/>
          <w:sz w:val="25"/>
        </w:rPr>
        <w:t> </w:t>
      </w:r>
      <w:r>
        <w:rPr>
          <w:sz w:val="25"/>
        </w:rPr>
        <w:t>either</w:t>
      </w:r>
      <w:r>
        <w:rPr>
          <w:spacing w:val="12"/>
          <w:sz w:val="25"/>
        </w:rPr>
        <w:t> </w:t>
      </w:r>
      <w:r>
        <w:rPr>
          <w:sz w:val="25"/>
        </w:rPr>
        <w:t>community</w:t>
      </w:r>
      <w:r>
        <w:rPr>
          <w:spacing w:val="9"/>
          <w:sz w:val="25"/>
        </w:rPr>
        <w:t> </w:t>
      </w:r>
      <w:r>
        <w:rPr>
          <w:sz w:val="25"/>
        </w:rPr>
        <w:t>was</w:t>
      </w:r>
      <w:r>
        <w:rPr>
          <w:spacing w:val="11"/>
          <w:sz w:val="25"/>
        </w:rPr>
        <w:t> </w:t>
      </w:r>
      <w:r>
        <w:rPr>
          <w:sz w:val="25"/>
        </w:rPr>
        <w:t>not</w:t>
      </w:r>
      <w:r>
        <w:rPr>
          <w:spacing w:val="12"/>
          <w:sz w:val="25"/>
        </w:rPr>
        <w:t> </w:t>
      </w:r>
      <w:r>
        <w:rPr>
          <w:sz w:val="25"/>
        </w:rPr>
        <w:t>present</w:t>
      </w:r>
      <w:r>
        <w:rPr>
          <w:spacing w:val="12"/>
          <w:sz w:val="25"/>
        </w:rPr>
        <w:t> </w:t>
      </w:r>
      <w:r>
        <w:rPr>
          <w:sz w:val="25"/>
        </w:rPr>
        <w:t>at</w:t>
      </w:r>
      <w:r>
        <w:rPr>
          <w:spacing w:val="12"/>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disputed site, no question of needing to separate the two communities could have ever arisen. The Hindus however maintained immediate and continued contest over their exclusion from the inner courtyard. </w:t>
      </w:r>
      <w:r>
        <w:rPr>
          <w:color w:val="000009"/>
        </w:rPr>
        <w:t>In 1877, another door was opened on the northern side of the outer courtyard by the British Government, which was given to the Hindus to control and manage.</w:t>
      </w:r>
    </w:p>
    <w:p>
      <w:pPr>
        <w:pStyle w:val="BodyText"/>
        <w:rPr>
          <w:sz w:val="28"/>
        </w:rPr>
      </w:pPr>
    </w:p>
    <w:p>
      <w:pPr>
        <w:pStyle w:val="BodyText"/>
        <w:spacing w:before="10"/>
        <w:rPr>
          <w:sz w:val="24"/>
        </w:rPr>
      </w:pPr>
    </w:p>
    <w:p>
      <w:pPr>
        <w:pStyle w:val="ListParagraph"/>
        <w:numPr>
          <w:ilvl w:val="0"/>
          <w:numId w:val="166"/>
        </w:numPr>
        <w:tabs>
          <w:tab w:pos="1221" w:val="left" w:leader="none"/>
        </w:tabs>
        <w:spacing w:line="480" w:lineRule="auto" w:before="0" w:after="0"/>
        <w:ind w:left="500" w:right="440" w:firstLine="0"/>
        <w:jc w:val="both"/>
        <w:rPr>
          <w:sz w:val="25"/>
        </w:rPr>
      </w:pPr>
      <w:r>
        <w:rPr>
          <w:sz w:val="25"/>
        </w:rPr>
        <w:t>With respect to the change of legal regime between the British sovereign and the Republic of India, there exists a line of continuity. Article 372 of the Constitution embodies the legal continuity between the British sovereign and independent India. Article 372(1)</w:t>
      </w:r>
      <w:r>
        <w:rPr>
          <w:spacing w:val="-3"/>
          <w:sz w:val="25"/>
        </w:rPr>
        <w:t> </w:t>
      </w:r>
      <w:r>
        <w:rPr>
          <w:sz w:val="25"/>
        </w:rPr>
        <w:t>states:</w:t>
      </w:r>
    </w:p>
    <w:p>
      <w:pPr>
        <w:spacing w:line="276" w:lineRule="auto" w:before="159"/>
        <w:ind w:left="1918" w:right="2261" w:firstLine="0"/>
        <w:jc w:val="both"/>
        <w:rPr>
          <w:sz w:val="21"/>
        </w:rPr>
      </w:pPr>
      <w:r>
        <w:rPr>
          <w:w w:val="33"/>
          <w:sz w:val="21"/>
        </w:rPr>
        <w:t>―</w:t>
      </w:r>
      <w:r>
        <w:rPr>
          <w:w w:val="100"/>
          <w:sz w:val="21"/>
        </w:rPr>
        <w:t>(1)</w:t>
      </w:r>
      <w:r>
        <w:rPr>
          <w:sz w:val="21"/>
        </w:rPr>
        <w:t>  </w:t>
      </w:r>
      <w:r>
        <w:rPr>
          <w:w w:val="100"/>
          <w:sz w:val="21"/>
        </w:rPr>
        <w:t>Notwithstanding</w:t>
      </w:r>
      <w:r>
        <w:rPr>
          <w:sz w:val="21"/>
        </w:rPr>
        <w:t>  </w:t>
      </w:r>
      <w:r>
        <w:rPr>
          <w:w w:val="100"/>
          <w:sz w:val="21"/>
        </w:rPr>
        <w:t>the</w:t>
      </w:r>
      <w:r>
        <w:rPr>
          <w:sz w:val="21"/>
        </w:rPr>
        <w:t>  </w:t>
      </w:r>
      <w:r>
        <w:rPr>
          <w:w w:val="100"/>
          <w:sz w:val="21"/>
        </w:rPr>
        <w:t>repeal</w:t>
      </w:r>
      <w:r>
        <w:rPr>
          <w:sz w:val="21"/>
        </w:rPr>
        <w:t>  </w:t>
      </w:r>
      <w:r>
        <w:rPr>
          <w:w w:val="100"/>
          <w:sz w:val="21"/>
        </w:rPr>
        <w:t>by</w:t>
      </w:r>
      <w:r>
        <w:rPr>
          <w:sz w:val="21"/>
        </w:rPr>
        <w:t>  </w:t>
      </w:r>
      <w:r>
        <w:rPr>
          <w:w w:val="100"/>
          <w:sz w:val="21"/>
        </w:rPr>
        <w:t>this</w:t>
      </w:r>
      <w:r>
        <w:rPr>
          <w:sz w:val="21"/>
        </w:rPr>
        <w:t>  </w:t>
      </w:r>
      <w:r>
        <w:rPr>
          <w:w w:val="100"/>
          <w:sz w:val="21"/>
        </w:rPr>
        <w:t>Constitution</w:t>
      </w:r>
      <w:r>
        <w:rPr>
          <w:sz w:val="21"/>
        </w:rPr>
        <w:t>  </w:t>
      </w:r>
      <w:r>
        <w:rPr>
          <w:w w:val="100"/>
          <w:sz w:val="21"/>
        </w:rPr>
        <w:t>of</w:t>
      </w:r>
      <w:r>
        <w:rPr>
          <w:sz w:val="21"/>
        </w:rPr>
        <w:t>  </w:t>
      </w:r>
      <w:r>
        <w:rPr>
          <w:w w:val="100"/>
          <w:sz w:val="21"/>
        </w:rPr>
        <w:t>the </w:t>
      </w:r>
      <w:r>
        <w:rPr>
          <w:sz w:val="21"/>
        </w:rPr>
        <w:t>enactments referred to in article 395 but subject to the other provisions of this Constitution, </w:t>
      </w:r>
      <w:r>
        <w:rPr>
          <w:b/>
          <w:sz w:val="21"/>
        </w:rPr>
        <w:t>all the law in force in the territory of India immediately before the commencement of this Constitution shall continue in force therein until altered or repealed or amended </w:t>
      </w:r>
      <w:r>
        <w:rPr>
          <w:sz w:val="21"/>
        </w:rPr>
        <w:t>by a competent Legislature or other competent authority.‖</w:t>
      </w:r>
    </w:p>
    <w:p>
      <w:pPr>
        <w:spacing w:before="1"/>
        <w:ind w:left="5798" w:right="0" w:firstLine="0"/>
        <w:jc w:val="left"/>
        <w:rPr>
          <w:sz w:val="21"/>
        </w:rPr>
      </w:pPr>
      <w:r>
        <w:rPr>
          <w:sz w:val="21"/>
        </w:rPr>
        <w:t>(Emphasis supplied)</w:t>
      </w:r>
    </w:p>
    <w:p>
      <w:pPr>
        <w:pStyle w:val="BodyText"/>
        <w:spacing w:before="1"/>
        <w:rPr>
          <w:sz w:val="20"/>
        </w:rPr>
      </w:pPr>
    </w:p>
    <w:p>
      <w:pPr>
        <w:pStyle w:val="BodyText"/>
        <w:spacing w:before="92"/>
        <w:ind w:left="500"/>
        <w:jc w:val="both"/>
      </w:pPr>
      <w:r>
        <w:rPr/>
        <w:t>Article 296 of the Constitution states:</w:t>
      </w:r>
    </w:p>
    <w:p>
      <w:pPr>
        <w:pStyle w:val="BodyText"/>
      </w:pPr>
    </w:p>
    <w:p>
      <w:pPr>
        <w:spacing w:line="276" w:lineRule="auto" w:before="0"/>
        <w:ind w:left="1918" w:right="2260" w:firstLine="0"/>
        <w:jc w:val="both"/>
        <w:rPr>
          <w:sz w:val="21"/>
        </w:rPr>
      </w:pPr>
      <w:r>
        <w:rPr>
          <w:w w:val="33"/>
          <w:sz w:val="21"/>
        </w:rPr>
        <w:t>―</w:t>
      </w:r>
      <w:r>
        <w:rPr>
          <w:w w:val="100"/>
          <w:sz w:val="21"/>
        </w:rPr>
        <w:t>Subject</w:t>
      </w:r>
      <w:r>
        <w:rPr>
          <w:sz w:val="21"/>
        </w:rPr>
        <w:t> </w:t>
      </w:r>
      <w:r>
        <w:rPr>
          <w:w w:val="100"/>
          <w:sz w:val="21"/>
        </w:rPr>
        <w:t>as</w:t>
      </w:r>
      <w:r>
        <w:rPr>
          <w:sz w:val="21"/>
        </w:rPr>
        <w:t> </w:t>
      </w:r>
      <w:r>
        <w:rPr>
          <w:w w:val="100"/>
          <w:sz w:val="21"/>
        </w:rPr>
        <w:t>hereinafter</w:t>
      </w:r>
      <w:r>
        <w:rPr>
          <w:sz w:val="21"/>
        </w:rPr>
        <w:t> </w:t>
      </w:r>
      <w:r>
        <w:rPr>
          <w:w w:val="100"/>
          <w:sz w:val="21"/>
        </w:rPr>
        <w:t>provided,</w:t>
      </w:r>
      <w:r>
        <w:rPr>
          <w:sz w:val="21"/>
        </w:rPr>
        <w:t> </w:t>
      </w:r>
      <w:r>
        <w:rPr>
          <w:w w:val="100"/>
          <w:sz w:val="21"/>
        </w:rPr>
        <w:t>any</w:t>
      </w:r>
      <w:r>
        <w:rPr>
          <w:sz w:val="21"/>
        </w:rPr>
        <w:t> </w:t>
      </w:r>
      <w:r>
        <w:rPr>
          <w:w w:val="100"/>
          <w:sz w:val="21"/>
        </w:rPr>
        <w:t>property</w:t>
      </w:r>
      <w:r>
        <w:rPr>
          <w:sz w:val="21"/>
        </w:rPr>
        <w:t> </w:t>
      </w:r>
      <w:r>
        <w:rPr>
          <w:w w:val="100"/>
          <w:sz w:val="21"/>
        </w:rPr>
        <w:t>in</w:t>
      </w:r>
      <w:r>
        <w:rPr>
          <w:sz w:val="21"/>
        </w:rPr>
        <w:t> </w:t>
      </w:r>
      <w:r>
        <w:rPr>
          <w:w w:val="100"/>
          <w:sz w:val="21"/>
        </w:rPr>
        <w:t>the</w:t>
      </w:r>
      <w:r>
        <w:rPr>
          <w:sz w:val="21"/>
        </w:rPr>
        <w:t> </w:t>
      </w:r>
      <w:r>
        <w:rPr>
          <w:w w:val="100"/>
          <w:sz w:val="21"/>
        </w:rPr>
        <w:t>territory </w:t>
      </w:r>
      <w:r>
        <w:rPr>
          <w:sz w:val="21"/>
        </w:rPr>
        <w:t>of India which, if this Constitution had not come into operation, would have accrued to His Majesty or, as the case may be, to the Ruler of an Indian State by escheat or lapse, or as </w:t>
      </w:r>
      <w:r>
        <w:rPr>
          <w:i/>
          <w:sz w:val="21"/>
        </w:rPr>
        <w:t>bona </w:t>
      </w:r>
      <w:r>
        <w:rPr>
          <w:i/>
          <w:sz w:val="21"/>
        </w:rPr>
        <w:t>vacantia </w:t>
      </w:r>
      <w:r>
        <w:rPr>
          <w:sz w:val="21"/>
        </w:rPr>
        <w:t>for want of a rightful owner, shall, if it is property situate in a State, vest in such State, and shall, in any other case, vest in the Union‖</w:t>
      </w:r>
    </w:p>
    <w:p>
      <w:pPr>
        <w:pStyle w:val="BodyText"/>
        <w:rPr>
          <w:sz w:val="24"/>
        </w:rPr>
      </w:pPr>
    </w:p>
    <w:p>
      <w:pPr>
        <w:pStyle w:val="BodyText"/>
        <w:rPr>
          <w:sz w:val="24"/>
        </w:rPr>
      </w:pPr>
    </w:p>
    <w:p>
      <w:pPr>
        <w:pStyle w:val="BodyText"/>
        <w:spacing w:line="480" w:lineRule="auto" w:before="167"/>
        <w:ind w:left="500" w:right="442"/>
        <w:jc w:val="both"/>
      </w:pPr>
      <w:r>
        <w:rPr/>
        <w:t>These articles in the Constitution evidence a legal continuity between the British sovereign and the Republic of India. Moreover, the conduct of the Republic of India subsequent to attaining Independence was to uphold private property claims</w:t>
      </w:r>
      <w:r>
        <w:rPr>
          <w:spacing w:val="14"/>
        </w:rPr>
        <w:t> </w:t>
      </w:r>
      <w:r>
        <w:rPr/>
        <w:t>that</w:t>
      </w:r>
      <w:r>
        <w:rPr>
          <w:spacing w:val="15"/>
        </w:rPr>
        <w:t> </w:t>
      </w:r>
      <w:r>
        <w:rPr/>
        <w:t>existed</w:t>
      </w:r>
      <w:r>
        <w:rPr>
          <w:spacing w:val="15"/>
        </w:rPr>
        <w:t> </w:t>
      </w:r>
      <w:r>
        <w:rPr/>
        <w:t>during</w:t>
      </w:r>
      <w:r>
        <w:rPr>
          <w:spacing w:val="16"/>
        </w:rPr>
        <w:t> </w:t>
      </w:r>
      <w:r>
        <w:rPr/>
        <w:t>the</w:t>
      </w:r>
      <w:r>
        <w:rPr>
          <w:spacing w:val="16"/>
        </w:rPr>
        <w:t> </w:t>
      </w:r>
      <w:r>
        <w:rPr/>
        <w:t>rule</w:t>
      </w:r>
      <w:r>
        <w:rPr>
          <w:spacing w:val="12"/>
        </w:rPr>
        <w:t> </w:t>
      </w:r>
      <w:r>
        <w:rPr/>
        <w:t>of</w:t>
      </w:r>
      <w:r>
        <w:rPr>
          <w:spacing w:val="16"/>
        </w:rPr>
        <w:t> </w:t>
      </w:r>
      <w:r>
        <w:rPr/>
        <w:t>the</w:t>
      </w:r>
      <w:r>
        <w:rPr>
          <w:spacing w:val="16"/>
        </w:rPr>
        <w:t> </w:t>
      </w:r>
      <w:r>
        <w:rPr/>
        <w:t>British</w:t>
      </w:r>
      <w:r>
        <w:rPr>
          <w:spacing w:val="14"/>
        </w:rPr>
        <w:t> </w:t>
      </w:r>
      <w:r>
        <w:rPr/>
        <w:t>sovereign.</w:t>
      </w:r>
      <w:r>
        <w:rPr>
          <w:spacing w:val="15"/>
        </w:rPr>
        <w:t> </w:t>
      </w:r>
      <w:r>
        <w:rPr/>
        <w:t>It</w:t>
      </w:r>
      <w:r>
        <w:rPr>
          <w:spacing w:val="15"/>
        </w:rPr>
        <w:t> </w:t>
      </w:r>
      <w:r>
        <w:rPr/>
        <w:t>cannot</w:t>
      </w:r>
      <w:r>
        <w:rPr>
          <w:spacing w:val="15"/>
        </w:rPr>
        <w:t> </w:t>
      </w:r>
      <w:r>
        <w:rPr/>
        <w:t>be</w:t>
      </w:r>
      <w:r>
        <w:rPr>
          <w:spacing w:val="16"/>
        </w:rPr>
        <w:t> </w:t>
      </w:r>
      <w:r>
        <w:rPr/>
        <w:t>said</w:t>
      </w:r>
      <w:r>
        <w:rPr>
          <w:spacing w:val="15"/>
        </w:rPr>
        <w:t> </w:t>
      </w:r>
      <w:r>
        <w:rPr/>
        <w:t>that</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upon independence, all pre-existing private claims between citizens </w:t>
      </w:r>
      <w:r>
        <w:rPr>
          <w:i/>
        </w:rPr>
        <w:t>inter se </w:t>
      </w:r>
      <w:r>
        <w:rPr/>
        <w:t>were extinguished. They were recognised unless modified or revoked by the express acts of the Indian government. For the present purposes therefore, there is both express and implied recognition that the independent Indian sovereign recognised the private claims over property as they existed under the British sovereign unless expressly evidenced otherwise. Therefore, the rights of the parties to the present dispute which occurred during the colonial regime can be enforced by this Court</w:t>
      </w:r>
      <w:r>
        <w:rPr>
          <w:spacing w:val="-5"/>
        </w:rPr>
        <w:t> </w:t>
      </w:r>
      <w:r>
        <w:rPr/>
        <w:t>today.</w:t>
      </w:r>
    </w:p>
    <w:p>
      <w:pPr>
        <w:pStyle w:val="BodyText"/>
        <w:spacing w:before="10"/>
        <w:rPr>
          <w:sz w:val="41"/>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This Court cannot entertain claims that stem from the actions of the Mughal rulers against Hindu places of worship in a court of law today. For any person who seeks solace or recourse against the actions of any number of ancient rulers, the law is not the answer. Our history is replete with actions that have been judged to be morally incorrect and even today are liable to trigger vociferous ideological debate. However, the adoption of the Constitution marks a watershed moment where we, the people of India, departed from the determination of rights and liabilities on the basis of our ideology, our religion, the colour of our skin, or the century when our ancestors arrived at these lands, and submitted to the rule of law. Under our rule of law, this court can adjudicate upon private property claims that were expressly or impliedly recognised by the British sovereign and subsequently not interfered with upon Indian independence. With respect to the disputed property, it is evident that the British Sovereign recognised and permitted the existence of both Hindu and Muslim communities at the disputed property upon the annexation of Oudh in 1856. This culminated</w:t>
      </w:r>
      <w:r>
        <w:rPr>
          <w:spacing w:val="66"/>
          <w:sz w:val="25"/>
        </w:rPr>
        <w:t> </w:t>
      </w:r>
      <w:r>
        <w:rPr>
          <w:sz w:val="25"/>
        </w:rPr>
        <w:t>with</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the construction of the railing in order to maintain law and order between the two communities. The acts of the parties </w:t>
      </w:r>
      <w:r>
        <w:rPr>
          <w:b/>
        </w:rPr>
        <w:t>subsequent </w:t>
      </w:r>
      <w:r>
        <w:rPr/>
        <w:t>to the annexation of Oudh in 1856 form the continued basis of the legal rights of the parties in the present suits and it is these acts that this Court must evaluate to decide the present dispute.</w:t>
      </w:r>
    </w:p>
    <w:p>
      <w:pPr>
        <w:pStyle w:val="BodyText"/>
        <w:rPr>
          <w:sz w:val="28"/>
        </w:rPr>
      </w:pPr>
    </w:p>
    <w:p>
      <w:pPr>
        <w:pStyle w:val="BodyText"/>
        <w:spacing w:before="11"/>
        <w:rPr>
          <w:sz w:val="24"/>
        </w:rPr>
      </w:pPr>
    </w:p>
    <w:p>
      <w:pPr>
        <w:pStyle w:val="Heading4"/>
        <w:ind w:left="567"/>
        <w:rPr>
          <w:i/>
        </w:rPr>
      </w:pPr>
      <w:r>
        <w:rPr>
          <w:i/>
        </w:rPr>
        <w:t>Justice, Equity and Good Conscience</w:t>
      </w:r>
    </w:p>
    <w:p>
      <w:pPr>
        <w:pStyle w:val="BodyText"/>
        <w:spacing w:before="10"/>
        <w:rPr>
          <w:i/>
          <w:sz w:val="38"/>
        </w:rPr>
      </w:pPr>
    </w:p>
    <w:p>
      <w:pPr>
        <w:pStyle w:val="ListParagraph"/>
        <w:numPr>
          <w:ilvl w:val="0"/>
          <w:numId w:val="166"/>
        </w:numPr>
        <w:tabs>
          <w:tab w:pos="1221" w:val="left" w:leader="none"/>
        </w:tabs>
        <w:spacing w:line="480" w:lineRule="auto" w:before="1" w:after="0"/>
        <w:ind w:left="500" w:right="437" w:firstLine="0"/>
        <w:jc w:val="both"/>
        <w:rPr>
          <w:sz w:val="25"/>
        </w:rPr>
      </w:pPr>
      <w:r>
        <w:rPr>
          <w:sz w:val="25"/>
        </w:rPr>
        <w:t>Dr Rajeev Dhavan, learned Senior Counsel appearing on behalf of the plaintiffs in Suit 4 contended that the substantive content of the law applicable to the present case is ‗justice, equity and good conscience‘. Dr Dhavan contended that while certain facets of the present dispute fall within a statutory framework, there are significant gaps in the positive law which must be filled in by applying the principles of justice, equity and good</w:t>
      </w:r>
      <w:r>
        <w:rPr>
          <w:spacing w:val="-7"/>
          <w:sz w:val="25"/>
        </w:rPr>
        <w:t> </w:t>
      </w:r>
      <w:r>
        <w:rPr>
          <w:sz w:val="25"/>
        </w:rPr>
        <w:t>conscience.</w:t>
      </w:r>
    </w:p>
    <w:p>
      <w:pPr>
        <w:pStyle w:val="BodyText"/>
        <w:rPr>
          <w:sz w:val="28"/>
        </w:rPr>
      </w:pPr>
    </w:p>
    <w:p>
      <w:pPr>
        <w:pStyle w:val="BodyText"/>
        <w:spacing w:before="8"/>
        <w:rPr>
          <w:sz w:val="24"/>
        </w:rPr>
      </w:pPr>
    </w:p>
    <w:p>
      <w:pPr>
        <w:pStyle w:val="ListParagraph"/>
        <w:numPr>
          <w:ilvl w:val="0"/>
          <w:numId w:val="166"/>
        </w:numPr>
        <w:tabs>
          <w:tab w:pos="1221" w:val="left" w:leader="none"/>
        </w:tabs>
        <w:spacing w:line="480" w:lineRule="auto" w:before="0" w:after="0"/>
        <w:ind w:left="500" w:right="437" w:firstLine="0"/>
        <w:jc w:val="both"/>
        <w:rPr>
          <w:sz w:val="25"/>
        </w:rPr>
      </w:pPr>
      <w:r>
        <w:rPr>
          <w:sz w:val="25"/>
        </w:rPr>
        <w:t>The import of this contention is that the Court must be mindful of the genesis of the present dispute that spans over four distinct legal regimes – that of Vikramaditya, the Mughals, the British and now, Independent India. In assessing the submissions of the parties and arriving at the eventual conclusion, the needs of justice require specific attention to the peculiarities of the case. The case canvasses the rule of law, religion and law and conquest, besides a myriad of conflicting interests. These cannot always be comprehended within the available statutory framework applicable to the present facts. This makes the role of the court even more sensitive as it must craft a relief that accords with justice, equity and good</w:t>
      </w:r>
      <w:r>
        <w:rPr>
          <w:spacing w:val="-3"/>
          <w:sz w:val="25"/>
        </w:rPr>
        <w:t> </w:t>
      </w:r>
      <w:r>
        <w:rPr>
          <w:sz w:val="25"/>
        </w:rPr>
        <w:t>conscience.</w:t>
      </w:r>
    </w:p>
    <w:p>
      <w:pPr>
        <w:spacing w:after="0" w:line="480" w:lineRule="auto"/>
        <w:jc w:val="both"/>
        <w:rPr>
          <w:sz w:val="25"/>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37" w:firstLine="0"/>
        <w:jc w:val="both"/>
        <w:rPr>
          <w:sz w:val="25"/>
        </w:rPr>
      </w:pPr>
      <w:r>
        <w:rPr>
          <w:sz w:val="25"/>
        </w:rPr>
        <w:t>Any discussion on the concept of ‗justice, equity and good conscience‘ begs a few preliminary questions: (i) How did the concept originate?; (ii) What does it entail?; and (iii) What was the Indian experience with the concept? In an </w:t>
      </w:r>
      <w:r>
        <w:rPr>
          <w:spacing w:val="-1"/>
          <w:w w:val="99"/>
          <w:sz w:val="25"/>
        </w:rPr>
        <w:t>ess</w:t>
      </w:r>
      <w:r>
        <w:rPr>
          <w:w w:val="99"/>
          <w:sz w:val="25"/>
        </w:rPr>
        <w:t>ay</w:t>
      </w:r>
      <w:r>
        <w:rPr>
          <w:spacing w:val="11"/>
          <w:sz w:val="25"/>
        </w:rPr>
        <w:t> </w:t>
      </w:r>
      <w:r>
        <w:rPr>
          <w:w w:val="99"/>
          <w:sz w:val="25"/>
        </w:rPr>
        <w:t>titled</w:t>
      </w:r>
      <w:r>
        <w:rPr>
          <w:spacing w:val="14"/>
          <w:sz w:val="25"/>
        </w:rPr>
        <w:t> </w:t>
      </w:r>
      <w:r>
        <w:rPr>
          <w:spacing w:val="1"/>
          <w:w w:val="33"/>
          <w:sz w:val="25"/>
        </w:rPr>
        <w:t>―</w:t>
      </w:r>
      <w:r>
        <w:rPr>
          <w:b/>
          <w:w w:val="99"/>
          <w:sz w:val="25"/>
        </w:rPr>
        <w:t>J</w:t>
      </w:r>
      <w:r>
        <w:rPr>
          <w:b/>
          <w:spacing w:val="1"/>
          <w:w w:val="99"/>
          <w:sz w:val="25"/>
        </w:rPr>
        <w:t>u</w:t>
      </w:r>
      <w:r>
        <w:rPr>
          <w:b/>
          <w:w w:val="99"/>
          <w:sz w:val="25"/>
        </w:rPr>
        <w:t>s</w:t>
      </w:r>
      <w:r>
        <w:rPr>
          <w:b/>
          <w:spacing w:val="1"/>
          <w:w w:val="99"/>
          <w:sz w:val="25"/>
        </w:rPr>
        <w:t>t</w:t>
      </w:r>
      <w:r>
        <w:rPr>
          <w:b/>
          <w:w w:val="99"/>
          <w:sz w:val="25"/>
        </w:rPr>
        <w:t>ice</w:t>
      </w:r>
      <w:r>
        <w:rPr>
          <w:b/>
          <w:w w:val="99"/>
          <w:sz w:val="25"/>
        </w:rPr>
        <w:t>,</w:t>
      </w:r>
      <w:r>
        <w:rPr>
          <w:b/>
          <w:spacing w:val="9"/>
          <w:sz w:val="25"/>
        </w:rPr>
        <w:t> </w:t>
      </w:r>
      <w:r>
        <w:rPr>
          <w:b/>
          <w:spacing w:val="-1"/>
          <w:w w:val="99"/>
          <w:sz w:val="25"/>
        </w:rPr>
        <w:t>E</w:t>
      </w:r>
      <w:r>
        <w:rPr>
          <w:b/>
          <w:w w:val="99"/>
          <w:sz w:val="25"/>
        </w:rPr>
        <w:t>qui</w:t>
      </w:r>
      <w:r>
        <w:rPr>
          <w:b/>
          <w:spacing w:val="3"/>
          <w:w w:val="99"/>
          <w:sz w:val="25"/>
        </w:rPr>
        <w:t>t</w:t>
      </w:r>
      <w:r>
        <w:rPr>
          <w:b/>
          <w:w w:val="99"/>
          <w:sz w:val="25"/>
        </w:rPr>
        <w:t>y</w:t>
      </w:r>
      <w:r>
        <w:rPr>
          <w:b/>
          <w:spacing w:val="7"/>
          <w:sz w:val="25"/>
        </w:rPr>
        <w:t> </w:t>
      </w:r>
      <w:r>
        <w:rPr>
          <w:b/>
          <w:w w:val="99"/>
          <w:sz w:val="25"/>
        </w:rPr>
        <w:t>a</w:t>
      </w:r>
      <w:r>
        <w:rPr>
          <w:b/>
          <w:spacing w:val="1"/>
          <w:w w:val="99"/>
          <w:sz w:val="25"/>
        </w:rPr>
        <w:t>n</w:t>
      </w:r>
      <w:r>
        <w:rPr>
          <w:b/>
          <w:w w:val="99"/>
          <w:sz w:val="25"/>
        </w:rPr>
        <w:t>d</w:t>
      </w:r>
      <w:r>
        <w:rPr>
          <w:b/>
          <w:spacing w:val="15"/>
          <w:sz w:val="25"/>
        </w:rPr>
        <w:t> </w:t>
      </w:r>
      <w:r>
        <w:rPr>
          <w:b/>
          <w:w w:val="99"/>
          <w:sz w:val="25"/>
        </w:rPr>
        <w:t>G</w:t>
      </w:r>
      <w:r>
        <w:rPr>
          <w:b/>
          <w:spacing w:val="1"/>
          <w:w w:val="99"/>
          <w:sz w:val="25"/>
        </w:rPr>
        <w:t>o</w:t>
      </w:r>
      <w:r>
        <w:rPr>
          <w:b/>
          <w:w w:val="99"/>
          <w:sz w:val="25"/>
        </w:rPr>
        <w:t>od</w:t>
      </w:r>
      <w:r>
        <w:rPr>
          <w:b/>
          <w:spacing w:val="13"/>
          <w:sz w:val="25"/>
        </w:rPr>
        <w:t> </w:t>
      </w:r>
      <w:r>
        <w:rPr>
          <w:b/>
          <w:w w:val="99"/>
          <w:sz w:val="25"/>
        </w:rPr>
        <w:t>C</w:t>
      </w:r>
      <w:r>
        <w:rPr>
          <w:b/>
          <w:spacing w:val="-2"/>
          <w:w w:val="99"/>
          <w:sz w:val="25"/>
        </w:rPr>
        <w:t>o</w:t>
      </w:r>
      <w:r>
        <w:rPr>
          <w:b/>
          <w:w w:val="99"/>
          <w:sz w:val="25"/>
        </w:rPr>
        <w:t>n</w:t>
      </w:r>
      <w:r>
        <w:rPr>
          <w:b/>
          <w:w w:val="99"/>
          <w:sz w:val="25"/>
        </w:rPr>
        <w:t>sci</w:t>
      </w:r>
      <w:r>
        <w:rPr>
          <w:b/>
          <w:spacing w:val="6"/>
          <w:w w:val="99"/>
          <w:sz w:val="25"/>
        </w:rPr>
        <w:t>e</w:t>
      </w:r>
      <w:r>
        <w:rPr>
          <w:b/>
          <w:w w:val="99"/>
          <w:sz w:val="25"/>
        </w:rPr>
        <w:t>n</w:t>
      </w:r>
      <w:r>
        <w:rPr>
          <w:b/>
          <w:w w:val="99"/>
          <w:sz w:val="25"/>
        </w:rPr>
        <w:t>c</w:t>
      </w:r>
      <w:r>
        <w:rPr>
          <w:b/>
          <w:spacing w:val="1"/>
          <w:w w:val="99"/>
          <w:sz w:val="25"/>
        </w:rPr>
        <w:t>e</w:t>
      </w:r>
      <w:r>
        <w:rPr>
          <w:w w:val="80"/>
          <w:sz w:val="25"/>
        </w:rPr>
        <w:t>‖</w:t>
      </w:r>
      <w:r>
        <w:rPr>
          <w:w w:val="99"/>
          <w:sz w:val="25"/>
        </w:rPr>
        <w:t>,</w:t>
      </w:r>
      <w:r>
        <w:rPr>
          <w:spacing w:val="12"/>
          <w:sz w:val="25"/>
        </w:rPr>
        <w:t> </w:t>
      </w:r>
      <w:r>
        <w:rPr>
          <w:spacing w:val="-1"/>
          <w:w w:val="99"/>
          <w:sz w:val="25"/>
        </w:rPr>
        <w:t>Dunc</w:t>
      </w:r>
      <w:r>
        <w:rPr>
          <w:w w:val="99"/>
          <w:sz w:val="25"/>
        </w:rPr>
        <w:t>an</w:t>
      </w:r>
      <w:r>
        <w:rPr>
          <w:spacing w:val="14"/>
          <w:sz w:val="25"/>
        </w:rPr>
        <w:t> </w:t>
      </w:r>
      <w:r>
        <w:rPr>
          <w:spacing w:val="-3"/>
          <w:w w:val="99"/>
          <w:sz w:val="25"/>
        </w:rPr>
        <w:t>D</w:t>
      </w:r>
      <w:r>
        <w:rPr>
          <w:spacing w:val="-1"/>
          <w:w w:val="99"/>
          <w:sz w:val="25"/>
        </w:rPr>
        <w:t>e</w:t>
      </w:r>
      <w:r>
        <w:rPr>
          <w:w w:val="99"/>
          <w:sz w:val="25"/>
        </w:rPr>
        <w:t>rr</w:t>
      </w:r>
      <w:r>
        <w:rPr>
          <w:spacing w:val="-1"/>
          <w:w w:val="99"/>
          <w:sz w:val="25"/>
        </w:rPr>
        <w:t>et</w:t>
      </w:r>
      <w:r>
        <w:rPr>
          <w:w w:val="99"/>
          <w:sz w:val="25"/>
        </w:rPr>
        <w:t>t</w:t>
      </w:r>
      <w:r>
        <w:rPr>
          <w:spacing w:val="14"/>
          <w:sz w:val="25"/>
        </w:rPr>
        <w:t> </w:t>
      </w:r>
      <w:r>
        <w:rPr>
          <w:spacing w:val="-1"/>
          <w:w w:val="99"/>
          <w:sz w:val="25"/>
        </w:rPr>
        <w:t>n</w:t>
      </w:r>
      <w:r>
        <w:rPr>
          <w:spacing w:val="-2"/>
          <w:w w:val="99"/>
          <w:sz w:val="25"/>
        </w:rPr>
        <w:t>o</w:t>
      </w:r>
      <w:r>
        <w:rPr>
          <w:w w:val="99"/>
          <w:sz w:val="25"/>
        </w:rPr>
        <w:t>tes</w:t>
      </w:r>
      <w:r>
        <w:rPr>
          <w:spacing w:val="15"/>
          <w:sz w:val="25"/>
        </w:rPr>
        <w:t> </w:t>
      </w:r>
      <w:r>
        <w:rPr>
          <w:w w:val="99"/>
          <w:sz w:val="25"/>
        </w:rPr>
        <w:t>the </w:t>
      </w:r>
      <w:r>
        <w:rPr>
          <w:sz w:val="25"/>
        </w:rPr>
        <w:t>difficulties that plague a discussion of a concept whose contours are</w:t>
      </w:r>
      <w:r>
        <w:rPr>
          <w:spacing w:val="-16"/>
          <w:sz w:val="25"/>
        </w:rPr>
        <w:t> </w:t>
      </w:r>
      <w:r>
        <w:rPr>
          <w:sz w:val="25"/>
        </w:rPr>
        <w:t>vague:</w:t>
      </w:r>
    </w:p>
    <w:p>
      <w:pPr>
        <w:spacing w:line="276" w:lineRule="auto" w:before="158"/>
        <w:ind w:left="1918" w:right="2260" w:firstLine="0"/>
        <w:jc w:val="both"/>
        <w:rPr>
          <w:sz w:val="21"/>
        </w:rPr>
      </w:pPr>
      <w:r>
        <w:rPr>
          <w:spacing w:val="-1"/>
          <w:w w:val="33"/>
          <w:sz w:val="21"/>
        </w:rPr>
        <w:t>―</w:t>
      </w:r>
      <w:r>
        <w:rPr>
          <w:spacing w:val="-2"/>
          <w:w w:val="100"/>
          <w:sz w:val="21"/>
        </w:rPr>
        <w:t>I</w:t>
      </w:r>
      <w:r>
        <w:rPr>
          <w:w w:val="100"/>
          <w:sz w:val="21"/>
        </w:rPr>
        <w:t>t</w:t>
      </w:r>
      <w:r>
        <w:rPr>
          <w:spacing w:val="17"/>
          <w:sz w:val="21"/>
        </w:rPr>
        <w:t> </w:t>
      </w:r>
      <w:r>
        <w:rPr>
          <w:spacing w:val="1"/>
          <w:w w:val="100"/>
          <w:sz w:val="21"/>
        </w:rPr>
        <w:t>m</w:t>
      </w:r>
      <w:r>
        <w:rPr>
          <w:spacing w:val="-1"/>
          <w:w w:val="100"/>
          <w:sz w:val="21"/>
        </w:rPr>
        <w:t>a</w:t>
      </w:r>
      <w:r>
        <w:rPr>
          <w:w w:val="100"/>
          <w:sz w:val="21"/>
        </w:rPr>
        <w:t>y</w:t>
      </w:r>
      <w:r>
        <w:rPr>
          <w:spacing w:val="15"/>
          <w:sz w:val="21"/>
        </w:rPr>
        <w:t> </w:t>
      </w:r>
      <w:r>
        <w:rPr>
          <w:spacing w:val="-1"/>
          <w:w w:val="100"/>
          <w:sz w:val="21"/>
        </w:rPr>
        <w:t>b</w:t>
      </w:r>
      <w:r>
        <w:rPr>
          <w:w w:val="100"/>
          <w:sz w:val="21"/>
        </w:rPr>
        <w:t>e</w:t>
      </w:r>
      <w:r>
        <w:rPr>
          <w:spacing w:val="18"/>
          <w:sz w:val="21"/>
        </w:rPr>
        <w:t> </w:t>
      </w:r>
      <w:r>
        <w:rPr>
          <w:spacing w:val="-1"/>
          <w:w w:val="100"/>
          <w:sz w:val="21"/>
        </w:rPr>
        <w:t>ar</w:t>
      </w:r>
      <w:r>
        <w:rPr>
          <w:spacing w:val="-3"/>
          <w:w w:val="100"/>
          <w:sz w:val="21"/>
        </w:rPr>
        <w:t>g</w:t>
      </w:r>
      <w:r>
        <w:rPr>
          <w:spacing w:val="-1"/>
          <w:w w:val="100"/>
          <w:sz w:val="21"/>
        </w:rPr>
        <w:t>ue</w:t>
      </w:r>
      <w:r>
        <w:rPr>
          <w:w w:val="100"/>
          <w:sz w:val="21"/>
        </w:rPr>
        <w:t>d</w:t>
      </w:r>
      <w:r>
        <w:rPr>
          <w:spacing w:val="16"/>
          <w:sz w:val="21"/>
        </w:rPr>
        <w:t> </w:t>
      </w:r>
      <w:r>
        <w:rPr>
          <w:spacing w:val="-1"/>
          <w:w w:val="100"/>
          <w:sz w:val="21"/>
        </w:rPr>
        <w:t>a</w:t>
      </w:r>
      <w:r>
        <w:rPr>
          <w:w w:val="100"/>
          <w:sz w:val="21"/>
        </w:rPr>
        <w:t>t</w:t>
      </w:r>
      <w:r>
        <w:rPr>
          <w:spacing w:val="17"/>
          <w:sz w:val="21"/>
        </w:rPr>
        <w:t> </w:t>
      </w:r>
      <w:r>
        <w:rPr>
          <w:spacing w:val="-2"/>
          <w:w w:val="100"/>
          <w:sz w:val="21"/>
        </w:rPr>
        <w:t>t</w:t>
      </w:r>
      <w:r>
        <w:rPr>
          <w:spacing w:val="-1"/>
          <w:w w:val="100"/>
          <w:sz w:val="21"/>
        </w:rPr>
        <w:t>h</w:t>
      </w:r>
      <w:r>
        <w:rPr>
          <w:w w:val="100"/>
          <w:sz w:val="21"/>
        </w:rPr>
        <w:t>e</w:t>
      </w:r>
      <w:r>
        <w:rPr>
          <w:spacing w:val="16"/>
          <w:sz w:val="21"/>
        </w:rPr>
        <w:t> </w:t>
      </w:r>
      <w:r>
        <w:rPr>
          <w:spacing w:val="-1"/>
          <w:w w:val="100"/>
          <w:sz w:val="21"/>
        </w:rPr>
        <w:t>out</w:t>
      </w:r>
      <w:r>
        <w:rPr>
          <w:w w:val="100"/>
          <w:sz w:val="21"/>
        </w:rPr>
        <w:t>set</w:t>
      </w:r>
      <w:r>
        <w:rPr>
          <w:spacing w:val="17"/>
          <w:sz w:val="21"/>
        </w:rPr>
        <w:t> </w:t>
      </w:r>
      <w:r>
        <w:rPr>
          <w:spacing w:val="-2"/>
          <w:w w:val="100"/>
          <w:sz w:val="21"/>
        </w:rPr>
        <w:t>t</w:t>
      </w:r>
      <w:r>
        <w:rPr>
          <w:spacing w:val="-1"/>
          <w:w w:val="100"/>
          <w:sz w:val="21"/>
        </w:rPr>
        <w:t>ha</w:t>
      </w:r>
      <w:r>
        <w:rPr>
          <w:w w:val="100"/>
          <w:sz w:val="21"/>
        </w:rPr>
        <w:t>t</w:t>
      </w:r>
      <w:r>
        <w:rPr>
          <w:spacing w:val="17"/>
          <w:sz w:val="21"/>
        </w:rPr>
        <w:t> </w:t>
      </w:r>
      <w:r>
        <w:rPr>
          <w:spacing w:val="-2"/>
          <w:w w:val="40"/>
          <w:sz w:val="21"/>
        </w:rPr>
        <w:t>‗</w:t>
      </w:r>
      <w:r>
        <w:rPr>
          <w:w w:val="100"/>
          <w:sz w:val="21"/>
        </w:rPr>
        <w:t>j</w:t>
      </w:r>
      <w:r>
        <w:rPr>
          <w:spacing w:val="-1"/>
          <w:w w:val="100"/>
          <w:sz w:val="21"/>
        </w:rPr>
        <w:t>us</w:t>
      </w:r>
      <w:r>
        <w:rPr>
          <w:spacing w:val="-4"/>
          <w:w w:val="100"/>
          <w:sz w:val="21"/>
        </w:rPr>
        <w:t>t</w:t>
      </w:r>
      <w:r>
        <w:rPr>
          <w:w w:val="100"/>
          <w:sz w:val="21"/>
        </w:rPr>
        <w:t>ice,</w:t>
      </w:r>
      <w:r>
        <w:rPr>
          <w:spacing w:val="17"/>
          <w:sz w:val="21"/>
        </w:rPr>
        <w:t> </w:t>
      </w:r>
      <w:r>
        <w:rPr>
          <w:spacing w:val="-3"/>
          <w:w w:val="100"/>
          <w:sz w:val="21"/>
        </w:rPr>
        <w:t>e</w:t>
      </w:r>
      <w:r>
        <w:rPr>
          <w:spacing w:val="-1"/>
          <w:w w:val="100"/>
          <w:sz w:val="21"/>
        </w:rPr>
        <w:t>q</w:t>
      </w:r>
      <w:r>
        <w:rPr>
          <w:spacing w:val="-3"/>
          <w:w w:val="100"/>
          <w:sz w:val="21"/>
        </w:rPr>
        <w:t>u</w:t>
      </w:r>
      <w:r>
        <w:rPr>
          <w:w w:val="100"/>
          <w:sz w:val="21"/>
        </w:rPr>
        <w:t>i</w:t>
      </w:r>
      <w:r>
        <w:rPr>
          <w:spacing w:val="-2"/>
          <w:w w:val="100"/>
          <w:sz w:val="21"/>
        </w:rPr>
        <w:t>t</w:t>
      </w:r>
      <w:r>
        <w:rPr>
          <w:w w:val="100"/>
          <w:sz w:val="21"/>
        </w:rPr>
        <w:t>y</w:t>
      </w:r>
      <w:r>
        <w:rPr>
          <w:spacing w:val="18"/>
          <w:sz w:val="21"/>
        </w:rPr>
        <w:t> </w:t>
      </w:r>
      <w:r>
        <w:rPr>
          <w:spacing w:val="-1"/>
          <w:w w:val="100"/>
          <w:sz w:val="21"/>
        </w:rPr>
        <w:t>an</w:t>
      </w:r>
      <w:r>
        <w:rPr>
          <w:w w:val="100"/>
          <w:sz w:val="21"/>
        </w:rPr>
        <w:t>d</w:t>
      </w:r>
      <w:r>
        <w:rPr>
          <w:spacing w:val="18"/>
          <w:sz w:val="21"/>
        </w:rPr>
        <w:t> </w:t>
      </w:r>
      <w:r>
        <w:rPr>
          <w:spacing w:val="-3"/>
          <w:w w:val="100"/>
          <w:sz w:val="21"/>
        </w:rPr>
        <w:t>g</w:t>
      </w:r>
      <w:r>
        <w:rPr>
          <w:spacing w:val="-1"/>
          <w:w w:val="100"/>
          <w:sz w:val="21"/>
        </w:rPr>
        <w:t>o</w:t>
      </w:r>
      <w:r>
        <w:rPr>
          <w:spacing w:val="-3"/>
          <w:w w:val="100"/>
          <w:sz w:val="21"/>
        </w:rPr>
        <w:t>o</w:t>
      </w:r>
      <w:r>
        <w:rPr>
          <w:w w:val="100"/>
          <w:sz w:val="21"/>
        </w:rPr>
        <w:t>d </w:t>
      </w:r>
      <w:r>
        <w:rPr>
          <w:sz w:val="21"/>
        </w:rPr>
        <w:t>conscience‘ is a nice, comfortable formula meaning as much or as little as the judges for the time being care to make it mean. One might confine one‘s activity to considering how judges have in fact construed the direction to consult it. The results would not be of permanent value, since just as the concept of public policy varies with the years and the venue, so precedents may be of little help where this phrase is called into play. Let us agree at once that stuff of the judicial </w:t>
      </w:r>
      <w:r>
        <w:rPr>
          <w:spacing w:val="-1"/>
          <w:w w:val="100"/>
          <w:sz w:val="21"/>
        </w:rPr>
        <w:t>ap</w:t>
      </w:r>
      <w:r>
        <w:rPr>
          <w:spacing w:val="-2"/>
          <w:w w:val="100"/>
          <w:sz w:val="21"/>
        </w:rPr>
        <w:t>p</w:t>
      </w:r>
      <w:r>
        <w:rPr>
          <w:w w:val="100"/>
          <w:sz w:val="21"/>
        </w:rPr>
        <w:t>li</w:t>
      </w:r>
      <w:r>
        <w:rPr>
          <w:spacing w:val="-3"/>
          <w:w w:val="100"/>
          <w:sz w:val="21"/>
        </w:rPr>
        <w:t>c</w:t>
      </w:r>
      <w:r>
        <w:rPr>
          <w:spacing w:val="-1"/>
          <w:w w:val="100"/>
          <w:sz w:val="21"/>
        </w:rPr>
        <w:t>at</w:t>
      </w:r>
      <w:r>
        <w:rPr>
          <w:w w:val="100"/>
          <w:sz w:val="21"/>
        </w:rPr>
        <w:t>i</w:t>
      </w:r>
      <w:r>
        <w:rPr>
          <w:spacing w:val="-3"/>
          <w:w w:val="100"/>
          <w:sz w:val="21"/>
        </w:rPr>
        <w:t>o</w:t>
      </w:r>
      <w:r>
        <w:rPr>
          <w:spacing w:val="-1"/>
          <w:w w:val="100"/>
          <w:sz w:val="21"/>
        </w:rPr>
        <w:t>n</w:t>
      </w:r>
      <w:r>
        <w:rPr>
          <w:w w:val="100"/>
          <w:sz w:val="21"/>
        </w:rPr>
        <w:t>s</w:t>
      </w:r>
      <w:r>
        <w:rPr>
          <w:sz w:val="21"/>
        </w:rPr>
        <w:t> </w:t>
      </w:r>
      <w:r>
        <w:rPr>
          <w:spacing w:val="-21"/>
          <w:sz w:val="21"/>
        </w:rPr>
        <w:t> </w:t>
      </w:r>
      <w:r>
        <w:rPr>
          <w:spacing w:val="-3"/>
          <w:w w:val="100"/>
          <w:sz w:val="21"/>
        </w:rPr>
        <w:t>o</w:t>
      </w:r>
      <w:r>
        <w:rPr>
          <w:w w:val="100"/>
          <w:sz w:val="21"/>
        </w:rPr>
        <w:t>f</w:t>
      </w:r>
      <w:r>
        <w:rPr>
          <w:sz w:val="21"/>
        </w:rPr>
        <w:t> </w:t>
      </w:r>
      <w:r>
        <w:rPr>
          <w:spacing w:val="-20"/>
          <w:sz w:val="21"/>
        </w:rPr>
        <w:t> </w:t>
      </w:r>
      <w:r>
        <w:rPr>
          <w:spacing w:val="-2"/>
          <w:w w:val="100"/>
          <w:sz w:val="21"/>
        </w:rPr>
        <w:t>t</w:t>
      </w:r>
      <w:r>
        <w:rPr>
          <w:spacing w:val="-3"/>
          <w:w w:val="100"/>
          <w:sz w:val="21"/>
        </w:rPr>
        <w:t>h</w:t>
      </w:r>
      <w:r>
        <w:rPr>
          <w:w w:val="100"/>
          <w:sz w:val="21"/>
        </w:rPr>
        <w:t>e</w:t>
      </w:r>
      <w:r>
        <w:rPr>
          <w:sz w:val="21"/>
        </w:rPr>
        <w:t> </w:t>
      </w:r>
      <w:r>
        <w:rPr>
          <w:spacing w:val="-21"/>
          <w:sz w:val="21"/>
        </w:rPr>
        <w:t> </w:t>
      </w:r>
      <w:r>
        <w:rPr>
          <w:w w:val="40"/>
          <w:sz w:val="21"/>
        </w:rPr>
        <w:t>‗</w:t>
      </w:r>
      <w:r>
        <w:rPr>
          <w:spacing w:val="-4"/>
          <w:w w:val="100"/>
          <w:sz w:val="21"/>
        </w:rPr>
        <w:t>r</w:t>
      </w:r>
      <w:r>
        <w:rPr>
          <w:spacing w:val="-1"/>
          <w:w w:val="100"/>
          <w:sz w:val="21"/>
        </w:rPr>
        <w:t>es</w:t>
      </w:r>
      <w:r>
        <w:rPr>
          <w:spacing w:val="-2"/>
          <w:w w:val="100"/>
          <w:sz w:val="21"/>
        </w:rPr>
        <w:t>i</w:t>
      </w:r>
      <w:r>
        <w:rPr>
          <w:spacing w:val="-3"/>
          <w:w w:val="100"/>
          <w:sz w:val="21"/>
        </w:rPr>
        <w:t>d</w:t>
      </w:r>
      <w:r>
        <w:rPr>
          <w:spacing w:val="-1"/>
          <w:w w:val="100"/>
          <w:sz w:val="21"/>
        </w:rPr>
        <w:t>ual</w:t>
      </w:r>
      <w:r>
        <w:rPr>
          <w:w w:val="100"/>
          <w:sz w:val="21"/>
        </w:rPr>
        <w:t>‘</w:t>
      </w:r>
      <w:r>
        <w:rPr>
          <w:sz w:val="21"/>
        </w:rPr>
        <w:t> </w:t>
      </w:r>
      <w:r>
        <w:rPr>
          <w:spacing w:val="-20"/>
          <w:sz w:val="21"/>
        </w:rPr>
        <w:t> </w:t>
      </w:r>
      <w:r>
        <w:rPr>
          <w:spacing w:val="-1"/>
          <w:w w:val="100"/>
          <w:sz w:val="21"/>
        </w:rPr>
        <w:t>o</w:t>
      </w:r>
      <w:r>
        <w:rPr>
          <w:w w:val="100"/>
          <w:sz w:val="21"/>
        </w:rPr>
        <w:t>r</w:t>
      </w:r>
      <w:r>
        <w:rPr>
          <w:sz w:val="21"/>
        </w:rPr>
        <w:t> </w:t>
      </w:r>
      <w:r>
        <w:rPr>
          <w:spacing w:val="-24"/>
          <w:sz w:val="21"/>
        </w:rPr>
        <w:t> </w:t>
      </w:r>
      <w:r>
        <w:rPr>
          <w:w w:val="40"/>
          <w:sz w:val="21"/>
        </w:rPr>
        <w:t>‗</w:t>
      </w:r>
      <w:r>
        <w:rPr>
          <w:spacing w:val="-1"/>
          <w:w w:val="100"/>
          <w:sz w:val="21"/>
        </w:rPr>
        <w:t>re</w:t>
      </w:r>
      <w:r>
        <w:rPr>
          <w:spacing w:val="-3"/>
          <w:w w:val="100"/>
          <w:sz w:val="21"/>
        </w:rPr>
        <w:t>p</w:t>
      </w:r>
      <w:r>
        <w:rPr>
          <w:spacing w:val="-1"/>
          <w:w w:val="100"/>
          <w:sz w:val="21"/>
        </w:rPr>
        <w:t>ug</w:t>
      </w:r>
      <w:r>
        <w:rPr>
          <w:spacing w:val="-2"/>
          <w:w w:val="100"/>
          <w:sz w:val="21"/>
        </w:rPr>
        <w:t>n</w:t>
      </w:r>
      <w:r>
        <w:rPr>
          <w:spacing w:val="-1"/>
          <w:w w:val="100"/>
          <w:sz w:val="21"/>
        </w:rPr>
        <w:t>anc</w:t>
      </w:r>
      <w:r>
        <w:rPr>
          <w:spacing w:val="-3"/>
          <w:w w:val="100"/>
          <w:sz w:val="21"/>
        </w:rPr>
        <w:t>y</w:t>
      </w:r>
      <w:r>
        <w:rPr>
          <w:w w:val="100"/>
          <w:sz w:val="21"/>
        </w:rPr>
        <w:t>‘</w:t>
      </w:r>
      <w:r>
        <w:rPr>
          <w:sz w:val="21"/>
        </w:rPr>
        <w:t> </w:t>
      </w:r>
      <w:r>
        <w:rPr>
          <w:spacing w:val="-20"/>
          <w:sz w:val="21"/>
        </w:rPr>
        <w:t> </w:t>
      </w:r>
      <w:r>
        <w:rPr>
          <w:spacing w:val="-4"/>
          <w:w w:val="100"/>
          <w:sz w:val="21"/>
        </w:rPr>
        <w:t>r</w:t>
      </w:r>
      <w:r>
        <w:rPr>
          <w:spacing w:val="-1"/>
          <w:w w:val="100"/>
          <w:sz w:val="21"/>
        </w:rPr>
        <w:t>eference</w:t>
      </w:r>
      <w:r>
        <w:rPr>
          <w:w w:val="100"/>
          <w:sz w:val="21"/>
        </w:rPr>
        <w:t>s</w:t>
      </w:r>
      <w:r>
        <w:rPr>
          <w:sz w:val="21"/>
        </w:rPr>
        <w:t> </w:t>
      </w:r>
      <w:r>
        <w:rPr>
          <w:spacing w:val="-24"/>
          <w:sz w:val="21"/>
        </w:rPr>
        <w:t> </w:t>
      </w:r>
      <w:r>
        <w:rPr>
          <w:spacing w:val="-1"/>
          <w:w w:val="100"/>
          <w:sz w:val="21"/>
        </w:rPr>
        <w:t>h</w:t>
      </w:r>
      <w:r>
        <w:rPr>
          <w:spacing w:val="-3"/>
          <w:w w:val="100"/>
          <w:sz w:val="21"/>
        </w:rPr>
        <w:t>a</w:t>
      </w:r>
      <w:r>
        <w:rPr>
          <w:w w:val="100"/>
          <w:sz w:val="21"/>
        </w:rPr>
        <w:t>s </w:t>
      </w:r>
      <w:r>
        <w:rPr>
          <w:sz w:val="21"/>
        </w:rPr>
        <w:t>limitation. Very few cases show a real curiosity as to what the phrase means, many expressions fall </w:t>
      </w:r>
      <w:r>
        <w:rPr>
          <w:i/>
          <w:sz w:val="21"/>
        </w:rPr>
        <w:t>per incuriam</w:t>
      </w:r>
      <w:r>
        <w:rPr>
          <w:sz w:val="21"/>
        </w:rPr>
        <w:t>, and consequently are of no authority. But a survey of some representative application of the formula, and a review of its extraordinary history, may help to place the matter in perspective, showing that it still has a lively part to play in the development</w:t>
      </w:r>
      <w:r>
        <w:rPr>
          <w:spacing w:val="-8"/>
          <w:sz w:val="21"/>
        </w:rPr>
        <w:t> </w:t>
      </w:r>
      <w:r>
        <w:rPr>
          <w:sz w:val="21"/>
        </w:rPr>
        <w:t>of</w:t>
      </w:r>
      <w:r>
        <w:rPr>
          <w:spacing w:val="-6"/>
          <w:sz w:val="21"/>
        </w:rPr>
        <w:t> </w:t>
      </w:r>
      <w:r>
        <w:rPr>
          <w:sz w:val="21"/>
        </w:rPr>
        <w:t>the</w:t>
      </w:r>
      <w:r>
        <w:rPr>
          <w:spacing w:val="-7"/>
          <w:sz w:val="21"/>
        </w:rPr>
        <w:t> </w:t>
      </w:r>
      <w:r>
        <w:rPr>
          <w:sz w:val="21"/>
        </w:rPr>
        <w:t>legal</w:t>
      </w:r>
      <w:r>
        <w:rPr>
          <w:spacing w:val="-6"/>
          <w:sz w:val="21"/>
        </w:rPr>
        <w:t> </w:t>
      </w:r>
      <w:r>
        <w:rPr>
          <w:sz w:val="21"/>
        </w:rPr>
        <w:t>systems</w:t>
      </w:r>
      <w:r>
        <w:rPr>
          <w:spacing w:val="-6"/>
          <w:sz w:val="21"/>
        </w:rPr>
        <w:t> </w:t>
      </w:r>
      <w:r>
        <w:rPr>
          <w:sz w:val="21"/>
        </w:rPr>
        <w:t>of</w:t>
      </w:r>
      <w:r>
        <w:rPr>
          <w:spacing w:val="-6"/>
          <w:sz w:val="21"/>
        </w:rPr>
        <w:t> </w:t>
      </w:r>
      <w:r>
        <w:rPr>
          <w:sz w:val="21"/>
        </w:rPr>
        <w:t>developing</w:t>
      </w:r>
      <w:r>
        <w:rPr>
          <w:spacing w:val="-7"/>
          <w:sz w:val="21"/>
        </w:rPr>
        <w:t> </w:t>
      </w:r>
      <w:r>
        <w:rPr>
          <w:sz w:val="21"/>
        </w:rPr>
        <w:t>countries.‖</w:t>
      </w:r>
      <w:r>
        <w:rPr>
          <w:sz w:val="21"/>
          <w:vertAlign w:val="superscript"/>
        </w:rPr>
        <w:t>336</w:t>
      </w:r>
    </w:p>
    <w:p>
      <w:pPr>
        <w:pStyle w:val="BodyText"/>
        <w:rPr>
          <w:sz w:val="26"/>
        </w:rPr>
      </w:pPr>
    </w:p>
    <w:p>
      <w:pPr>
        <w:pStyle w:val="BodyText"/>
        <w:spacing w:before="1"/>
        <w:rPr>
          <w:sz w:val="27"/>
        </w:rPr>
      </w:pPr>
    </w:p>
    <w:p>
      <w:pPr>
        <w:spacing w:before="0"/>
        <w:ind w:left="567" w:right="0" w:firstLine="0"/>
        <w:jc w:val="both"/>
        <w:rPr>
          <w:i/>
          <w:sz w:val="25"/>
        </w:rPr>
      </w:pPr>
      <w:r>
        <w:rPr>
          <w:i/>
          <w:sz w:val="25"/>
        </w:rPr>
        <w:t>Equity and Romano-canonical origins</w:t>
      </w:r>
    </w:p>
    <w:p>
      <w:pPr>
        <w:pStyle w:val="BodyText"/>
        <w:spacing w:before="5"/>
        <w:rPr>
          <w:i/>
          <w:sz w:val="37"/>
        </w:rPr>
      </w:pPr>
    </w:p>
    <w:p>
      <w:pPr>
        <w:pStyle w:val="ListParagraph"/>
        <w:numPr>
          <w:ilvl w:val="0"/>
          <w:numId w:val="166"/>
        </w:numPr>
        <w:tabs>
          <w:tab w:pos="1221" w:val="left" w:leader="none"/>
        </w:tabs>
        <w:spacing w:line="480" w:lineRule="auto" w:before="0" w:after="0"/>
        <w:ind w:left="500" w:right="442" w:firstLine="0"/>
        <w:jc w:val="both"/>
        <w:rPr>
          <w:sz w:val="25"/>
        </w:rPr>
      </w:pPr>
      <w:r>
        <w:rPr>
          <w:sz w:val="25"/>
        </w:rPr>
        <w:t>It is a common misconception that the term ‗justice, equity and good conscience‘ has its origins in English law. Sir George Rankin succinctly stated that the origins of ‗justice, equity and good conscience‘ did not point to English law.</w:t>
      </w:r>
      <w:r>
        <w:rPr>
          <w:sz w:val="25"/>
          <w:vertAlign w:val="superscript"/>
        </w:rPr>
        <w:t>337</w:t>
      </w:r>
      <w:r>
        <w:rPr>
          <w:sz w:val="25"/>
          <w:vertAlign w:val="baseline"/>
        </w:rPr>
        <w:t> Instead, Romano-canonical learning, which was common to the European continent</w:t>
      </w:r>
      <w:r>
        <w:rPr>
          <w:spacing w:val="8"/>
          <w:sz w:val="25"/>
          <w:vertAlign w:val="baseline"/>
        </w:rPr>
        <w:t> </w:t>
      </w:r>
      <w:r>
        <w:rPr>
          <w:sz w:val="25"/>
          <w:vertAlign w:val="baseline"/>
        </w:rPr>
        <w:t>and</w:t>
      </w:r>
      <w:r>
        <w:rPr>
          <w:spacing w:val="8"/>
          <w:sz w:val="25"/>
          <w:vertAlign w:val="baseline"/>
        </w:rPr>
        <w:t> </w:t>
      </w:r>
      <w:r>
        <w:rPr>
          <w:sz w:val="25"/>
          <w:vertAlign w:val="baseline"/>
        </w:rPr>
        <w:t>appeared</w:t>
      </w:r>
      <w:r>
        <w:rPr>
          <w:spacing w:val="7"/>
          <w:sz w:val="25"/>
          <w:vertAlign w:val="baseline"/>
        </w:rPr>
        <w:t> </w:t>
      </w:r>
      <w:r>
        <w:rPr>
          <w:sz w:val="25"/>
          <w:vertAlign w:val="baseline"/>
        </w:rPr>
        <w:t>later</w:t>
      </w:r>
      <w:r>
        <w:rPr>
          <w:spacing w:val="9"/>
          <w:sz w:val="25"/>
          <w:vertAlign w:val="baseline"/>
        </w:rPr>
        <w:t> </w:t>
      </w:r>
      <w:r>
        <w:rPr>
          <w:sz w:val="25"/>
          <w:vertAlign w:val="baseline"/>
        </w:rPr>
        <w:t>in</w:t>
      </w:r>
      <w:r>
        <w:rPr>
          <w:spacing w:val="7"/>
          <w:sz w:val="25"/>
          <w:vertAlign w:val="baseline"/>
        </w:rPr>
        <w:t> </w:t>
      </w:r>
      <w:r>
        <w:rPr>
          <w:sz w:val="25"/>
          <w:vertAlign w:val="baseline"/>
        </w:rPr>
        <w:t>English</w:t>
      </w:r>
      <w:r>
        <w:rPr>
          <w:spacing w:val="8"/>
          <w:sz w:val="25"/>
          <w:vertAlign w:val="baseline"/>
        </w:rPr>
        <w:t> </w:t>
      </w:r>
      <w:r>
        <w:rPr>
          <w:sz w:val="25"/>
          <w:vertAlign w:val="baseline"/>
        </w:rPr>
        <w:t>minds</w:t>
      </w:r>
      <w:r>
        <w:rPr>
          <w:spacing w:val="8"/>
          <w:sz w:val="25"/>
          <w:vertAlign w:val="baseline"/>
        </w:rPr>
        <w:t> </w:t>
      </w:r>
      <w:r>
        <w:rPr>
          <w:sz w:val="25"/>
          <w:vertAlign w:val="baseline"/>
        </w:rPr>
        <w:t>of</w:t>
      </w:r>
      <w:r>
        <w:rPr>
          <w:spacing w:val="15"/>
          <w:sz w:val="25"/>
          <w:vertAlign w:val="baseline"/>
        </w:rPr>
        <w:t> </w:t>
      </w:r>
      <w:r>
        <w:rPr>
          <w:sz w:val="25"/>
          <w:vertAlign w:val="baseline"/>
        </w:rPr>
        <w:t>the</w:t>
      </w:r>
      <w:r>
        <w:rPr>
          <w:spacing w:val="8"/>
          <w:sz w:val="25"/>
          <w:vertAlign w:val="baseline"/>
        </w:rPr>
        <w:t> </w:t>
      </w:r>
      <w:r>
        <w:rPr>
          <w:sz w:val="25"/>
          <w:vertAlign w:val="baseline"/>
        </w:rPr>
        <w:t>sixteenth</w:t>
      </w:r>
      <w:r>
        <w:rPr>
          <w:spacing w:val="9"/>
          <w:sz w:val="25"/>
          <w:vertAlign w:val="baseline"/>
        </w:rPr>
        <w:t> </w:t>
      </w:r>
      <w:r>
        <w:rPr>
          <w:sz w:val="25"/>
          <w:vertAlign w:val="baseline"/>
        </w:rPr>
        <w:t>century,</w:t>
      </w:r>
      <w:r>
        <w:rPr>
          <w:spacing w:val="7"/>
          <w:sz w:val="25"/>
          <w:vertAlign w:val="baseline"/>
        </w:rPr>
        <w:t> </w:t>
      </w:r>
      <w:r>
        <w:rPr>
          <w:sz w:val="25"/>
          <w:vertAlign w:val="baseline"/>
        </w:rPr>
        <w:t>forms</w:t>
      </w:r>
      <w:r>
        <w:rPr>
          <w:spacing w:val="8"/>
          <w:sz w:val="25"/>
          <w:vertAlign w:val="baseline"/>
        </w:rPr>
        <w:t> </w:t>
      </w:r>
      <w:r>
        <w:rPr>
          <w:sz w:val="25"/>
          <w:vertAlign w:val="baseline"/>
        </w:rPr>
        <w:t>the</w:t>
      </w:r>
    </w:p>
    <w:p>
      <w:pPr>
        <w:pStyle w:val="BodyText"/>
        <w:rPr>
          <w:sz w:val="20"/>
        </w:rPr>
      </w:pPr>
    </w:p>
    <w:p>
      <w:pPr>
        <w:pStyle w:val="BodyText"/>
        <w:rPr>
          <w:sz w:val="20"/>
        </w:rPr>
      </w:pPr>
    </w:p>
    <w:p>
      <w:pPr>
        <w:pStyle w:val="BodyText"/>
        <w:rPr>
          <w:sz w:val="20"/>
        </w:rPr>
      </w:pPr>
    </w:p>
    <w:p>
      <w:pPr>
        <w:pStyle w:val="BodyText"/>
        <w:spacing w:before="6"/>
        <w:rPr>
          <w:sz w:val="10"/>
        </w:rPr>
      </w:pPr>
      <w:r>
        <w:rPr/>
        <w:pict>
          <v:rect style="position:absolute;margin-left:72.024002pt;margin-top:8.020174pt;width:144.020pt;height:.599980pt;mso-position-horizontal-relative:page;mso-position-vertical-relative:paragraph;z-index:-15629312;mso-wrap-distance-left:0;mso-wrap-distance-right:0" filled="true" fillcolor="#000000" stroked="false">
            <v:fill type="solid"/>
            <w10:wrap type="topAndBottom"/>
          </v:rect>
        </w:pict>
      </w:r>
    </w:p>
    <w:p>
      <w:pPr>
        <w:spacing w:before="80"/>
        <w:ind w:left="500" w:right="550" w:firstLine="0"/>
        <w:jc w:val="left"/>
        <w:rPr>
          <w:sz w:val="18"/>
        </w:rPr>
      </w:pPr>
      <w:r>
        <w:rPr>
          <w:sz w:val="18"/>
          <w:vertAlign w:val="superscript"/>
        </w:rPr>
        <w:t>336</w:t>
      </w:r>
      <w:r>
        <w:rPr>
          <w:sz w:val="18"/>
          <w:vertAlign w:val="baseline"/>
        </w:rPr>
        <w:t> Dr J Duncan M Derrett, Justice Equity and Good Conscience in Changing Law in Developing Countries (JND Anderson ed.) at page 120</w:t>
      </w:r>
    </w:p>
    <w:p>
      <w:pPr>
        <w:pStyle w:val="BodyText"/>
        <w:spacing w:before="10"/>
        <w:rPr>
          <w:sz w:val="17"/>
        </w:rPr>
      </w:pPr>
    </w:p>
    <w:p>
      <w:pPr>
        <w:spacing w:before="0"/>
        <w:ind w:left="500" w:right="460" w:firstLine="0"/>
        <w:jc w:val="left"/>
        <w:rPr>
          <w:sz w:val="18"/>
        </w:rPr>
      </w:pPr>
      <w:r>
        <w:rPr>
          <w:sz w:val="18"/>
          <w:vertAlign w:val="superscript"/>
        </w:rPr>
        <w:t>337</w:t>
      </w:r>
      <w:r>
        <w:rPr>
          <w:sz w:val="18"/>
          <w:vertAlign w:val="baseline"/>
        </w:rPr>
        <w:t> Sir George Rankin, The Personal Law in British India, Sir George Birdwood Memorial Lecture on 21 February, 1941.</w:t>
      </w:r>
    </w:p>
    <w:p>
      <w:pPr>
        <w:spacing w:after="0"/>
        <w:jc w:val="left"/>
        <w:rPr>
          <w:sz w:val="18"/>
        </w:rPr>
        <w:sectPr>
          <w:pgSz w:w="11910" w:h="16840"/>
          <w:pgMar w:header="721" w:footer="1014" w:top="1300" w:bottom="1200" w:left="940" w:right="1000"/>
        </w:sectPr>
      </w:pPr>
    </w:p>
    <w:p>
      <w:pPr>
        <w:pStyle w:val="BodyText"/>
        <w:spacing w:line="480" w:lineRule="auto" w:before="121"/>
        <w:ind w:left="500" w:right="433"/>
        <w:jc w:val="both"/>
      </w:pPr>
      <w:r>
        <w:rPr>
          <w:spacing w:val="-1"/>
          <w:w w:val="99"/>
        </w:rPr>
        <w:t>g</w:t>
      </w:r>
      <w:r>
        <w:rPr>
          <w:w w:val="99"/>
        </w:rPr>
        <w:t>e</w:t>
      </w:r>
      <w:r>
        <w:rPr>
          <w:spacing w:val="-1"/>
          <w:w w:val="99"/>
        </w:rPr>
        <w:t>n</w:t>
      </w:r>
      <w:r>
        <w:rPr>
          <w:w w:val="99"/>
        </w:rPr>
        <w:t>esis</w:t>
      </w:r>
      <w:r>
        <w:rPr/>
        <w:t> </w:t>
      </w:r>
      <w:r>
        <w:rPr>
          <w:spacing w:val="-34"/>
        </w:rPr>
        <w:t> </w:t>
      </w:r>
      <w:r>
        <w:rPr>
          <w:spacing w:val="-1"/>
          <w:w w:val="99"/>
        </w:rPr>
        <w:t>o</w:t>
      </w:r>
      <w:r>
        <w:rPr>
          <w:w w:val="99"/>
        </w:rPr>
        <w:t>f</w:t>
      </w:r>
      <w:r>
        <w:rPr/>
        <w:t> </w:t>
      </w:r>
      <w:r>
        <w:rPr>
          <w:spacing w:val="-33"/>
        </w:rPr>
        <w:t> </w:t>
      </w:r>
      <w:r>
        <w:rPr>
          <w:w w:val="99"/>
        </w:rPr>
        <w:t>the</w:t>
      </w:r>
      <w:r>
        <w:rPr/>
        <w:t> </w:t>
      </w:r>
      <w:r>
        <w:rPr>
          <w:spacing w:val="-33"/>
        </w:rPr>
        <w:t> </w:t>
      </w:r>
      <w:r>
        <w:rPr>
          <w:w w:val="99"/>
        </w:rPr>
        <w:t>conc</w:t>
      </w:r>
      <w:r>
        <w:rPr>
          <w:spacing w:val="2"/>
          <w:w w:val="99"/>
        </w:rPr>
        <w:t>e</w:t>
      </w:r>
      <w:r>
        <w:rPr>
          <w:spacing w:val="-1"/>
          <w:w w:val="99"/>
        </w:rPr>
        <w:t>pt</w:t>
      </w:r>
      <w:r>
        <w:rPr>
          <w:w w:val="99"/>
        </w:rPr>
        <w:t>.</w:t>
      </w:r>
      <w:r>
        <w:rPr/>
        <w:t> </w:t>
      </w:r>
      <w:r>
        <w:rPr>
          <w:spacing w:val="-34"/>
        </w:rPr>
        <w:t> </w:t>
      </w:r>
      <w:r>
        <w:rPr>
          <w:w w:val="99"/>
        </w:rPr>
        <w:t>In</w:t>
      </w:r>
      <w:r>
        <w:rPr/>
        <w:t> </w:t>
      </w:r>
      <w:r>
        <w:rPr>
          <w:spacing w:val="-33"/>
        </w:rPr>
        <w:t> </w:t>
      </w:r>
      <w:r>
        <w:rPr>
          <w:spacing w:val="-1"/>
          <w:w w:val="99"/>
        </w:rPr>
        <w:t>hi</w:t>
      </w:r>
      <w:r>
        <w:rPr>
          <w:w w:val="99"/>
        </w:rPr>
        <w:t>s</w:t>
      </w:r>
      <w:r>
        <w:rPr/>
        <w:t> </w:t>
      </w:r>
      <w:r>
        <w:rPr>
          <w:spacing w:val="-34"/>
        </w:rPr>
        <w:t> </w:t>
      </w:r>
      <w:r>
        <w:rPr>
          <w:w w:val="99"/>
        </w:rPr>
        <w:t>se</w:t>
      </w:r>
      <w:r>
        <w:rPr>
          <w:spacing w:val="1"/>
          <w:w w:val="99"/>
        </w:rPr>
        <w:t>m</w:t>
      </w:r>
      <w:r>
        <w:rPr>
          <w:spacing w:val="-1"/>
          <w:w w:val="99"/>
        </w:rPr>
        <w:t>ina</w:t>
      </w:r>
      <w:r>
        <w:rPr>
          <w:w w:val="99"/>
        </w:rPr>
        <w:t>l</w:t>
      </w:r>
      <w:r>
        <w:rPr/>
        <w:t> </w:t>
      </w:r>
      <w:r>
        <w:rPr>
          <w:spacing w:val="-31"/>
        </w:rPr>
        <w:t> </w:t>
      </w:r>
      <w:r>
        <w:rPr>
          <w:spacing w:val="-1"/>
          <w:w w:val="99"/>
        </w:rPr>
        <w:t>w</w:t>
      </w:r>
      <w:r>
        <w:rPr>
          <w:spacing w:val="2"/>
          <w:w w:val="99"/>
        </w:rPr>
        <w:t>o</w:t>
      </w:r>
      <w:r>
        <w:rPr>
          <w:w w:val="99"/>
        </w:rPr>
        <w:t>rk</w:t>
      </w:r>
      <w:r>
        <w:rPr/>
        <w:t> </w:t>
      </w:r>
      <w:r>
        <w:rPr>
          <w:spacing w:val="-34"/>
        </w:rPr>
        <w:t> </w:t>
      </w:r>
      <w:r>
        <w:rPr>
          <w:spacing w:val="6"/>
          <w:w w:val="33"/>
        </w:rPr>
        <w:t>―</w:t>
      </w:r>
      <w:r>
        <w:rPr>
          <w:b/>
          <w:spacing w:val="-1"/>
          <w:w w:val="99"/>
        </w:rPr>
        <w:t>E</w:t>
      </w:r>
      <w:r>
        <w:rPr>
          <w:b/>
          <w:w w:val="99"/>
        </w:rPr>
        <w:t>th</w:t>
      </w:r>
      <w:r>
        <w:rPr>
          <w:b/>
          <w:w w:val="99"/>
        </w:rPr>
        <w:t>ic</w:t>
      </w:r>
      <w:r>
        <w:rPr>
          <w:b/>
          <w:spacing w:val="1"/>
          <w:w w:val="99"/>
        </w:rPr>
        <w:t>s</w:t>
      </w:r>
      <w:r>
        <w:rPr>
          <w:spacing w:val="-2"/>
          <w:w w:val="80"/>
        </w:rPr>
        <w:t>‖</w:t>
      </w:r>
      <w:r>
        <w:rPr>
          <w:spacing w:val="-1"/>
          <w:w w:val="101"/>
          <w:vertAlign w:val="superscript"/>
        </w:rPr>
        <w:t>338</w:t>
      </w:r>
      <w:r>
        <w:rPr>
          <w:w w:val="99"/>
          <w:vertAlign w:val="baseline"/>
        </w:rPr>
        <w:t>,</w:t>
      </w:r>
      <w:r>
        <w:rPr>
          <w:vertAlign w:val="baseline"/>
        </w:rPr>
        <w:t> </w:t>
      </w:r>
      <w:r>
        <w:rPr>
          <w:spacing w:val="-34"/>
          <w:vertAlign w:val="baseline"/>
        </w:rPr>
        <w:t> </w:t>
      </w:r>
      <w:r>
        <w:rPr>
          <w:spacing w:val="-1"/>
          <w:w w:val="99"/>
          <w:vertAlign w:val="baseline"/>
        </w:rPr>
        <w:t>A</w:t>
      </w:r>
      <w:r>
        <w:rPr>
          <w:w w:val="99"/>
          <w:vertAlign w:val="baseline"/>
        </w:rPr>
        <w:t>r</w:t>
      </w:r>
      <w:r>
        <w:rPr>
          <w:w w:val="99"/>
          <w:vertAlign w:val="baseline"/>
        </w:rPr>
        <w:t>istotle</w:t>
      </w:r>
      <w:r>
        <w:rPr>
          <w:vertAlign w:val="baseline"/>
        </w:rPr>
        <w:t> </w:t>
      </w:r>
      <w:r>
        <w:rPr>
          <w:spacing w:val="-31"/>
          <w:vertAlign w:val="baseline"/>
        </w:rPr>
        <w:t> </w:t>
      </w:r>
      <w:r>
        <w:rPr>
          <w:w w:val="99"/>
          <w:vertAlign w:val="baseline"/>
        </w:rPr>
        <w:t>conside</w:t>
      </w:r>
      <w:r>
        <w:rPr>
          <w:spacing w:val="1"/>
          <w:w w:val="99"/>
          <w:vertAlign w:val="baseline"/>
        </w:rPr>
        <w:t>r</w:t>
      </w:r>
      <w:r>
        <w:rPr>
          <w:w w:val="99"/>
          <w:vertAlign w:val="baseline"/>
        </w:rPr>
        <w:t>s</w:t>
      </w:r>
      <w:r>
        <w:rPr>
          <w:vertAlign w:val="baseline"/>
        </w:rPr>
        <w:t> </w:t>
      </w:r>
      <w:r>
        <w:rPr>
          <w:spacing w:val="-34"/>
          <w:vertAlign w:val="baseline"/>
        </w:rPr>
        <w:t> </w:t>
      </w:r>
      <w:r>
        <w:rPr>
          <w:w w:val="99"/>
          <w:vertAlign w:val="baseline"/>
        </w:rPr>
        <w:t>the </w:t>
      </w:r>
      <w:r>
        <w:rPr>
          <w:vertAlign w:val="baseline"/>
        </w:rPr>
        <w:t>relations between equity and justice. Although equity is not identical to strict justice, it is nevertheless a </w:t>
      </w:r>
      <w:r>
        <w:rPr>
          <w:i/>
          <w:vertAlign w:val="baseline"/>
        </w:rPr>
        <w:t>kind </w:t>
      </w:r>
      <w:r>
        <w:rPr>
          <w:vertAlign w:val="baseline"/>
        </w:rPr>
        <w:t>of justice. To him, where the written statute is unequipped to address the particular circumstances of the case and point to a truly just outcome, </w:t>
      </w:r>
      <w:r>
        <w:rPr>
          <w:i/>
          <w:vertAlign w:val="baseline"/>
        </w:rPr>
        <w:t>aequitas </w:t>
      </w:r>
      <w:r>
        <w:rPr>
          <w:vertAlign w:val="baseline"/>
        </w:rPr>
        <w:t>(i.e. equity or fairness) steps in. Adherence to the written law may lead to an unjust outcome. In this view, where certain factors place the facts of a case on a different pedestal, such as public policy, it would be unjust to impose the strict legal outcome of generally expressed laws. Consequently, a departure from the written law is (according to Artistotle) permissible. This departure served the specific purpose of elevating certain considerations that inform a factual matrix in order to arrive at a just and  equitable conclusion. This notion was an inspiration for and foundation of the Western legal tradition of</w:t>
      </w:r>
      <w:r>
        <w:rPr>
          <w:spacing w:val="-3"/>
          <w:vertAlign w:val="baseline"/>
        </w:rPr>
        <w:t> </w:t>
      </w:r>
      <w:r>
        <w:rPr>
          <w:vertAlign w:val="baseline"/>
        </w:rPr>
        <w:t>equity.</w:t>
      </w:r>
      <w:r>
        <w:rPr>
          <w:vertAlign w:val="superscript"/>
        </w:rPr>
        <w:t>339</w:t>
      </w:r>
    </w:p>
    <w:p>
      <w:pPr>
        <w:pStyle w:val="BodyText"/>
        <w:rPr>
          <w:sz w:val="32"/>
        </w:rPr>
      </w:pPr>
    </w:p>
    <w:p>
      <w:pPr>
        <w:pStyle w:val="ListParagraph"/>
        <w:numPr>
          <w:ilvl w:val="0"/>
          <w:numId w:val="166"/>
        </w:numPr>
        <w:tabs>
          <w:tab w:pos="1221" w:val="left" w:leader="none"/>
        </w:tabs>
        <w:spacing w:line="480" w:lineRule="auto" w:before="242" w:after="0"/>
        <w:ind w:left="500" w:right="440" w:firstLine="0"/>
        <w:jc w:val="both"/>
        <w:rPr>
          <w:sz w:val="25"/>
        </w:rPr>
      </w:pPr>
      <w:r>
        <w:rPr>
          <w:sz w:val="25"/>
        </w:rPr>
        <w:t>Derrett documents that the above notion influenced Romanic propositions in two ways: (i) </w:t>
      </w:r>
      <w:r>
        <w:rPr>
          <w:i/>
          <w:sz w:val="25"/>
        </w:rPr>
        <w:t>aequitas </w:t>
      </w:r>
      <w:r>
        <w:rPr>
          <w:sz w:val="25"/>
        </w:rPr>
        <w:t>served as an ally in the interpretation of statute law to correct, modify and if necessary, amend it; and (ii) to make good the deficiencies of the written or otherwise ascertainable law. To this end, the role of equity was formulated as</w:t>
      </w:r>
      <w:r>
        <w:rPr>
          <w:spacing w:val="-1"/>
          <w:sz w:val="25"/>
        </w:rPr>
        <w:t> </w:t>
      </w:r>
      <w:r>
        <w:rPr>
          <w:sz w:val="25"/>
        </w:rPr>
        <w:t>follows:</w:t>
      </w:r>
    </w:p>
    <w:p>
      <w:pPr>
        <w:spacing w:line="276" w:lineRule="auto" w:before="161"/>
        <w:ind w:left="1918" w:right="2263" w:firstLine="0"/>
        <w:jc w:val="both"/>
        <w:rPr>
          <w:sz w:val="21"/>
        </w:rPr>
      </w:pPr>
      <w:r>
        <w:rPr>
          <w:w w:val="33"/>
          <w:sz w:val="21"/>
        </w:rPr>
        <w:t>―</w:t>
      </w:r>
      <w:r>
        <w:rPr>
          <w:w w:val="100"/>
          <w:sz w:val="21"/>
        </w:rPr>
        <w:t>If</w:t>
      </w:r>
      <w:r>
        <w:rPr>
          <w:sz w:val="21"/>
        </w:rPr>
        <w:t> </w:t>
      </w:r>
      <w:r>
        <w:rPr>
          <w:w w:val="100"/>
          <w:sz w:val="21"/>
        </w:rPr>
        <w:t>we</w:t>
      </w:r>
      <w:r>
        <w:rPr>
          <w:sz w:val="21"/>
        </w:rPr>
        <w:t> </w:t>
      </w:r>
      <w:r>
        <w:rPr>
          <w:w w:val="100"/>
          <w:sz w:val="21"/>
        </w:rPr>
        <w:t>see</w:t>
      </w:r>
      <w:r>
        <w:rPr>
          <w:sz w:val="21"/>
        </w:rPr>
        <w:t> </w:t>
      </w:r>
      <w:r>
        <w:rPr>
          <w:w w:val="100"/>
          <w:sz w:val="21"/>
        </w:rPr>
        <w:t>iustitia</w:t>
      </w:r>
      <w:r>
        <w:rPr>
          <w:sz w:val="21"/>
        </w:rPr>
        <w:t> </w:t>
      </w:r>
      <w:r>
        <w:rPr>
          <w:w w:val="100"/>
          <w:sz w:val="21"/>
        </w:rPr>
        <w:t>[justice]</w:t>
      </w:r>
      <w:r>
        <w:rPr>
          <w:sz w:val="21"/>
        </w:rPr>
        <w:t> </w:t>
      </w:r>
      <w:r>
        <w:rPr>
          <w:w w:val="100"/>
          <w:sz w:val="21"/>
        </w:rPr>
        <w:t>as</w:t>
      </w:r>
      <w:r>
        <w:rPr>
          <w:sz w:val="21"/>
        </w:rPr>
        <w:t> </w:t>
      </w:r>
      <w:r>
        <w:rPr>
          <w:w w:val="100"/>
          <w:sz w:val="21"/>
        </w:rPr>
        <w:t>the</w:t>
      </w:r>
      <w:r>
        <w:rPr>
          <w:sz w:val="21"/>
        </w:rPr>
        <w:t> </w:t>
      </w:r>
      <w:r>
        <w:rPr>
          <w:w w:val="100"/>
          <w:sz w:val="21"/>
        </w:rPr>
        <w:t>correlative</w:t>
      </w:r>
      <w:r>
        <w:rPr>
          <w:sz w:val="21"/>
        </w:rPr>
        <w:t> </w:t>
      </w:r>
      <w:r>
        <w:rPr>
          <w:w w:val="100"/>
          <w:sz w:val="21"/>
        </w:rPr>
        <w:t>of</w:t>
      </w:r>
      <w:r>
        <w:rPr>
          <w:sz w:val="21"/>
        </w:rPr>
        <w:t> </w:t>
      </w:r>
      <w:r>
        <w:rPr>
          <w:w w:val="100"/>
          <w:sz w:val="21"/>
        </w:rPr>
        <w:t>aequitas,</w:t>
      </w:r>
      <w:r>
        <w:rPr>
          <w:sz w:val="21"/>
        </w:rPr>
        <w:t> </w:t>
      </w:r>
      <w:r>
        <w:rPr>
          <w:w w:val="100"/>
          <w:sz w:val="21"/>
        </w:rPr>
        <w:t>then </w:t>
      </w:r>
      <w:r>
        <w:rPr>
          <w:sz w:val="21"/>
        </w:rPr>
        <w:t>iustitia consists of positive law, made up of written and unwritten sources, statutes and customs, the applicability of these being determined either by positive law itself, or by the natural equity, that is to say, the natural reason of the case. But in another sense aequitas comes into the picture of</w:t>
      </w:r>
    </w:p>
    <w:p>
      <w:pPr>
        <w:pStyle w:val="BodyText"/>
        <w:rPr>
          <w:sz w:val="20"/>
        </w:rPr>
      </w:pPr>
    </w:p>
    <w:p>
      <w:pPr>
        <w:pStyle w:val="BodyText"/>
        <w:spacing w:before="10"/>
        <w:rPr>
          <w:sz w:val="11"/>
        </w:rPr>
      </w:pPr>
      <w:r>
        <w:rPr/>
        <w:pict>
          <v:rect style="position:absolute;margin-left:72.024002pt;margin-top:8.774418pt;width:144.020pt;height:.60004pt;mso-position-horizontal-relative:page;mso-position-vertical-relative:paragraph;z-index:-15628800;mso-wrap-distance-left:0;mso-wrap-distance-right:0" filled="true" fillcolor="#000000" stroked="false">
            <v:fill type="solid"/>
            <w10:wrap type="topAndBottom"/>
          </v:rect>
        </w:pict>
      </w:r>
    </w:p>
    <w:p>
      <w:pPr>
        <w:spacing w:before="193"/>
        <w:ind w:left="500" w:right="0" w:firstLine="0"/>
        <w:jc w:val="left"/>
        <w:rPr>
          <w:sz w:val="18"/>
        </w:rPr>
      </w:pPr>
      <w:r>
        <w:rPr>
          <w:b/>
          <w:sz w:val="18"/>
          <w:vertAlign w:val="superscript"/>
        </w:rPr>
        <w:t>338</w:t>
      </w:r>
      <w:r>
        <w:rPr>
          <w:b/>
          <w:sz w:val="18"/>
          <w:vertAlign w:val="baseline"/>
        </w:rPr>
        <w:t> </w:t>
      </w:r>
      <w:r>
        <w:rPr>
          <w:sz w:val="18"/>
          <w:vertAlign w:val="baseline"/>
        </w:rPr>
        <w:t>Aristotle</w:t>
      </w:r>
      <w:r>
        <w:rPr>
          <w:color w:val="535353"/>
          <w:sz w:val="18"/>
          <w:vertAlign w:val="baseline"/>
        </w:rPr>
        <w:t>, </w:t>
      </w:r>
      <w:r>
        <w:rPr>
          <w:sz w:val="18"/>
          <w:vertAlign w:val="baseline"/>
        </w:rPr>
        <w:t>Ethics</w:t>
      </w:r>
      <w:r>
        <w:rPr>
          <w:color w:val="535353"/>
          <w:sz w:val="18"/>
          <w:vertAlign w:val="baseline"/>
        </w:rPr>
        <w:t>, </w:t>
      </w:r>
      <w:r>
        <w:rPr>
          <w:sz w:val="18"/>
          <w:vertAlign w:val="baseline"/>
        </w:rPr>
        <w:t>JAK Thomson </w:t>
      </w:r>
      <w:r>
        <w:rPr>
          <w:color w:val="535353"/>
          <w:sz w:val="18"/>
          <w:vertAlign w:val="baseline"/>
        </w:rPr>
        <w:t>(</w:t>
      </w:r>
      <w:r>
        <w:rPr>
          <w:sz w:val="18"/>
          <w:vertAlign w:val="baseline"/>
        </w:rPr>
        <w:t>trans</w:t>
      </w:r>
      <w:r>
        <w:rPr>
          <w:color w:val="535353"/>
          <w:sz w:val="18"/>
          <w:vertAlign w:val="baseline"/>
        </w:rPr>
        <w:t>) (London, Penguin, </w:t>
      </w:r>
      <w:r>
        <w:rPr>
          <w:sz w:val="18"/>
          <w:vertAlign w:val="baseline"/>
        </w:rPr>
        <w:t>1976</w:t>
      </w:r>
      <w:r>
        <w:rPr>
          <w:color w:val="535353"/>
          <w:sz w:val="18"/>
          <w:vertAlign w:val="baseline"/>
        </w:rPr>
        <w:t>) at pages </w:t>
      </w:r>
      <w:r>
        <w:rPr>
          <w:sz w:val="18"/>
          <w:vertAlign w:val="baseline"/>
        </w:rPr>
        <w:t>198–200.</w:t>
      </w:r>
    </w:p>
    <w:p>
      <w:pPr>
        <w:spacing w:before="127"/>
        <w:ind w:left="500" w:right="0" w:firstLine="0"/>
        <w:jc w:val="left"/>
        <w:rPr>
          <w:sz w:val="18"/>
        </w:rPr>
      </w:pPr>
      <w:r>
        <w:rPr>
          <w:sz w:val="18"/>
          <w:vertAlign w:val="superscript"/>
        </w:rPr>
        <w:t>339</w:t>
      </w:r>
      <w:r>
        <w:rPr>
          <w:sz w:val="18"/>
          <w:vertAlign w:val="baseline"/>
        </w:rPr>
        <w:t> Max Hamburger, Morals and Law: The Growth of Aristotle‘s Legal Theory (1965).</w:t>
      </w:r>
    </w:p>
    <w:p>
      <w:pPr>
        <w:spacing w:after="0"/>
        <w:jc w:val="left"/>
        <w:rPr>
          <w:sz w:val="18"/>
        </w:rPr>
        <w:sectPr>
          <w:pgSz w:w="11910" w:h="16840"/>
          <w:pgMar w:header="721" w:footer="1014" w:top="1300" w:bottom="1200" w:left="940" w:right="1000"/>
        </w:sectPr>
      </w:pPr>
    </w:p>
    <w:p>
      <w:pPr>
        <w:spacing w:line="276" w:lineRule="auto" w:before="122"/>
        <w:ind w:left="1918" w:right="2263" w:firstLine="0"/>
        <w:jc w:val="both"/>
        <w:rPr>
          <w:sz w:val="21"/>
        </w:rPr>
      </w:pPr>
      <w:r>
        <w:rPr>
          <w:sz w:val="21"/>
        </w:rPr>
        <w:t>iustitia. There can be no ius in practice without its twin, the aequitas in sense (i) which modifies or amends it to suit </w:t>
      </w:r>
      <w:r>
        <w:rPr>
          <w:w w:val="100"/>
          <w:sz w:val="21"/>
        </w:rPr>
        <w:t>circumstances.</w:t>
      </w:r>
      <w:r>
        <w:rPr>
          <w:sz w:val="21"/>
        </w:rPr>
        <w:t> </w:t>
      </w:r>
      <w:r>
        <w:rPr>
          <w:w w:val="100"/>
          <w:sz w:val="21"/>
        </w:rPr>
        <w:t>Ius</w:t>
      </w:r>
      <w:r>
        <w:rPr>
          <w:sz w:val="21"/>
        </w:rPr>
        <w:t> </w:t>
      </w:r>
      <w:r>
        <w:rPr>
          <w:w w:val="100"/>
          <w:sz w:val="21"/>
        </w:rPr>
        <w:t>strictum,</w:t>
      </w:r>
      <w:r>
        <w:rPr>
          <w:sz w:val="21"/>
        </w:rPr>
        <w:t> </w:t>
      </w:r>
      <w:r>
        <w:rPr>
          <w:w w:val="100"/>
          <w:sz w:val="21"/>
        </w:rPr>
        <w:t>or</w:t>
      </w:r>
      <w:r>
        <w:rPr>
          <w:sz w:val="21"/>
        </w:rPr>
        <w:t> </w:t>
      </w:r>
      <w:r>
        <w:rPr>
          <w:w w:val="100"/>
          <w:sz w:val="21"/>
        </w:rPr>
        <w:t>summum</w:t>
      </w:r>
      <w:r>
        <w:rPr>
          <w:sz w:val="21"/>
        </w:rPr>
        <w:t> </w:t>
      </w:r>
      <w:r>
        <w:rPr>
          <w:w w:val="100"/>
          <w:sz w:val="21"/>
        </w:rPr>
        <w:t>ius,</w:t>
      </w:r>
      <w:r>
        <w:rPr>
          <w:sz w:val="21"/>
        </w:rPr>
        <w:t> </w:t>
      </w:r>
      <w:r>
        <w:rPr>
          <w:w w:val="100"/>
          <w:sz w:val="21"/>
        </w:rPr>
        <w:t>the</w:t>
      </w:r>
      <w:r>
        <w:rPr>
          <w:sz w:val="21"/>
        </w:rPr>
        <w:t> </w:t>
      </w:r>
      <w:r>
        <w:rPr>
          <w:w w:val="40"/>
          <w:sz w:val="21"/>
        </w:rPr>
        <w:t>‗</w:t>
      </w:r>
      <w:r>
        <w:rPr>
          <w:w w:val="100"/>
          <w:sz w:val="21"/>
        </w:rPr>
        <w:t>letter</w:t>
      </w:r>
      <w:r>
        <w:rPr>
          <w:sz w:val="21"/>
        </w:rPr>
        <w:t> </w:t>
      </w:r>
      <w:r>
        <w:rPr>
          <w:w w:val="100"/>
          <w:sz w:val="21"/>
        </w:rPr>
        <w:t>of</w:t>
      </w:r>
      <w:r>
        <w:rPr>
          <w:sz w:val="21"/>
        </w:rPr>
        <w:t> </w:t>
      </w:r>
      <w:r>
        <w:rPr>
          <w:w w:val="100"/>
          <w:sz w:val="21"/>
        </w:rPr>
        <w:t>the </w:t>
      </w:r>
      <w:r>
        <w:rPr>
          <w:sz w:val="21"/>
        </w:rPr>
        <w:t>law‘, can very seldom, if ever, move without the aid of </w:t>
      </w:r>
      <w:r>
        <w:rPr>
          <w:w w:val="100"/>
          <w:sz w:val="21"/>
        </w:rPr>
        <w:t>aequitas,</w:t>
      </w:r>
      <w:r>
        <w:rPr>
          <w:sz w:val="21"/>
        </w:rPr>
        <w:t> </w:t>
      </w:r>
      <w:r>
        <w:rPr>
          <w:w w:val="40"/>
          <w:sz w:val="21"/>
        </w:rPr>
        <w:t>‗</w:t>
      </w:r>
      <w:r>
        <w:rPr>
          <w:w w:val="100"/>
          <w:sz w:val="21"/>
        </w:rPr>
        <w:t>equity‘.</w:t>
      </w:r>
      <w:r>
        <w:rPr>
          <w:sz w:val="21"/>
        </w:rPr>
        <w:t> </w:t>
      </w:r>
      <w:r>
        <w:rPr>
          <w:w w:val="100"/>
          <w:sz w:val="21"/>
        </w:rPr>
        <w:t>Thus,</w:t>
      </w:r>
      <w:r>
        <w:rPr>
          <w:sz w:val="21"/>
        </w:rPr>
        <w:t> </w:t>
      </w:r>
      <w:r>
        <w:rPr>
          <w:w w:val="100"/>
          <w:sz w:val="21"/>
        </w:rPr>
        <w:t>in</w:t>
      </w:r>
      <w:r>
        <w:rPr>
          <w:sz w:val="21"/>
        </w:rPr>
        <w:t> </w:t>
      </w:r>
      <w:r>
        <w:rPr>
          <w:w w:val="100"/>
          <w:sz w:val="21"/>
        </w:rPr>
        <w:t>sense</w:t>
      </w:r>
      <w:r>
        <w:rPr>
          <w:sz w:val="21"/>
        </w:rPr>
        <w:t> </w:t>
      </w:r>
      <w:r>
        <w:rPr>
          <w:w w:val="100"/>
          <w:sz w:val="21"/>
        </w:rPr>
        <w:t>(i)</w:t>
      </w:r>
      <w:r>
        <w:rPr>
          <w:sz w:val="21"/>
        </w:rPr>
        <w:t> </w:t>
      </w:r>
      <w:r>
        <w:rPr>
          <w:w w:val="100"/>
          <w:sz w:val="21"/>
        </w:rPr>
        <w:t>aequitas</w:t>
      </w:r>
      <w:r>
        <w:rPr>
          <w:sz w:val="21"/>
        </w:rPr>
        <w:t> </w:t>
      </w:r>
      <w:r>
        <w:rPr>
          <w:w w:val="100"/>
          <w:sz w:val="21"/>
        </w:rPr>
        <w:t>is</w:t>
      </w:r>
      <w:r>
        <w:rPr>
          <w:sz w:val="21"/>
        </w:rPr>
        <w:t> </w:t>
      </w:r>
      <w:r>
        <w:rPr>
          <w:w w:val="100"/>
          <w:sz w:val="21"/>
        </w:rPr>
        <w:t>bound</w:t>
      </w:r>
      <w:r>
        <w:rPr>
          <w:sz w:val="21"/>
        </w:rPr>
        <w:t> </w:t>
      </w:r>
      <w:r>
        <w:rPr>
          <w:w w:val="100"/>
          <w:sz w:val="21"/>
        </w:rPr>
        <w:t>up</w:t>
      </w:r>
      <w:r>
        <w:rPr>
          <w:sz w:val="21"/>
        </w:rPr>
        <w:t> </w:t>
      </w:r>
      <w:r>
        <w:rPr>
          <w:w w:val="100"/>
          <w:sz w:val="21"/>
        </w:rPr>
        <w:t>with </w:t>
      </w:r>
      <w:r>
        <w:rPr>
          <w:sz w:val="21"/>
        </w:rPr>
        <w:t>Justitia, and yet seems to be by definition an addition to it ab extra. In the second sense of the term, aequitas fills the gaps left by the positive law. It supplements the ius scriptum sive non scriptum for cases not covered by statute, for example, or contemplated by custom is so many words. In sense (ii) aequitas is the most important source of law, particularly for developing countries. Aequitas in this sense is both scripta and non scripta.‖</w:t>
      </w:r>
      <w:r>
        <w:rPr>
          <w:sz w:val="21"/>
          <w:vertAlign w:val="superscript"/>
        </w:rPr>
        <w:t>340</w:t>
      </w:r>
    </w:p>
    <w:p>
      <w:pPr>
        <w:pStyle w:val="BodyText"/>
        <w:spacing w:before="2"/>
      </w:pPr>
    </w:p>
    <w:p>
      <w:pPr>
        <w:pStyle w:val="ListParagraph"/>
        <w:numPr>
          <w:ilvl w:val="0"/>
          <w:numId w:val="166"/>
        </w:numPr>
        <w:tabs>
          <w:tab w:pos="1290" w:val="left" w:leader="none"/>
        </w:tabs>
        <w:spacing w:line="480" w:lineRule="auto" w:before="0" w:after="0"/>
        <w:ind w:left="500" w:right="436" w:firstLine="0"/>
        <w:jc w:val="both"/>
        <w:rPr>
          <w:sz w:val="25"/>
        </w:rPr>
      </w:pPr>
      <w:r>
        <w:rPr>
          <w:sz w:val="25"/>
        </w:rPr>
        <w:t>The correlation between law and justice was the defining factor– in one sense, equity modifies the applicable law or ensures its suitability to address the particular circumstances before a court to produce justice. The modification of general rules to the circumstances of the case is guided by equity, not in derogation or negation of positive law, but in addition to it. It supplements positive law but does not supplant it. In a second sense however, where positive law is silent as to the applicable legal principles, equity assumes a primary role as the source of law itself. Equity steps in to fill the gaps that exist in positive law. Thus, where no positive law is discernible, courts turn to equity as a source of the applicable law. In addition to these, Derrett notes that there is a third sense in which equity or </w:t>
      </w:r>
      <w:r>
        <w:rPr>
          <w:i/>
          <w:sz w:val="25"/>
        </w:rPr>
        <w:t>aequitas </w:t>
      </w:r>
      <w:r>
        <w:rPr>
          <w:sz w:val="25"/>
        </w:rPr>
        <w:t>assumed importance – where established political authority is taken away or is in doubt and the formal sources of law are in doubt, the nature of judicial office requires a decision in accordance with </w:t>
      </w:r>
      <w:r>
        <w:rPr>
          <w:i/>
          <w:sz w:val="25"/>
        </w:rPr>
        <w:t>ex bono et </w:t>
      </w:r>
      <w:r>
        <w:rPr>
          <w:i/>
          <w:sz w:val="25"/>
        </w:rPr>
        <w:t>aequo</w:t>
      </w:r>
      <w:r>
        <w:rPr>
          <w:sz w:val="25"/>
        </w:rPr>
        <w:t>. This was evidenced in decisions concerning widows and orphans and in the realm of mercantile</w:t>
      </w:r>
      <w:r>
        <w:rPr>
          <w:spacing w:val="-2"/>
          <w:sz w:val="25"/>
        </w:rPr>
        <w:t> </w:t>
      </w:r>
      <w:r>
        <w:rPr>
          <w:sz w:val="25"/>
        </w:rPr>
        <w:t>law.</w:t>
      </w:r>
    </w:p>
    <w:p>
      <w:pPr>
        <w:pStyle w:val="BodyText"/>
        <w:rPr>
          <w:sz w:val="20"/>
        </w:rPr>
      </w:pPr>
    </w:p>
    <w:p>
      <w:pPr>
        <w:pStyle w:val="BodyText"/>
        <w:rPr>
          <w:sz w:val="20"/>
        </w:rPr>
      </w:pPr>
    </w:p>
    <w:p>
      <w:pPr>
        <w:pStyle w:val="BodyText"/>
        <w:rPr>
          <w:sz w:val="20"/>
        </w:rPr>
      </w:pPr>
    </w:p>
    <w:p>
      <w:pPr>
        <w:pStyle w:val="BodyText"/>
        <w:spacing w:before="5"/>
        <w:rPr>
          <w:sz w:val="15"/>
        </w:rPr>
      </w:pPr>
      <w:r>
        <w:rPr/>
        <w:pict>
          <v:rect style="position:absolute;margin-left:72.024002pt;margin-top:10.86827pt;width:144.020pt;height:.599980pt;mso-position-horizontal-relative:page;mso-position-vertical-relative:paragraph;z-index:-15628288;mso-wrap-distance-left:0;mso-wrap-distance-right:0" filled="true" fillcolor="#000000" stroked="false">
            <v:fill type="solid"/>
            <w10:wrap type="topAndBottom"/>
          </v:rect>
        </w:pict>
      </w:r>
    </w:p>
    <w:p>
      <w:pPr>
        <w:spacing w:line="244" w:lineRule="auto" w:before="75"/>
        <w:ind w:left="500" w:right="0" w:firstLine="0"/>
        <w:jc w:val="left"/>
        <w:rPr>
          <w:sz w:val="18"/>
        </w:rPr>
      </w:pPr>
      <w:r>
        <w:rPr>
          <w:sz w:val="18"/>
          <w:vertAlign w:val="superscript"/>
        </w:rPr>
        <w:t>340</w:t>
      </w:r>
      <w:r>
        <w:rPr>
          <w:sz w:val="18"/>
          <w:vertAlign w:val="baseline"/>
        </w:rPr>
        <w:t> Dr J Duncan M Derrett, Justice Equity and Good Conscience </w:t>
      </w:r>
      <w:r>
        <w:rPr>
          <w:i/>
          <w:sz w:val="18"/>
          <w:vertAlign w:val="baseline"/>
        </w:rPr>
        <w:t>in </w:t>
      </w:r>
      <w:r>
        <w:rPr>
          <w:sz w:val="18"/>
          <w:vertAlign w:val="baseline"/>
        </w:rPr>
        <w:t>Changing Law in Developing Countries (JND Anderson ed.) at page 120</w:t>
      </w:r>
    </w:p>
    <w:p>
      <w:pPr>
        <w:spacing w:after="0" w:line="244" w:lineRule="auto"/>
        <w:jc w:val="left"/>
        <w:rPr>
          <w:sz w:val="18"/>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42" w:firstLine="0"/>
        <w:jc w:val="both"/>
        <w:rPr>
          <w:sz w:val="25"/>
        </w:rPr>
      </w:pPr>
      <w:r>
        <w:rPr>
          <w:sz w:val="25"/>
        </w:rPr>
        <w:t>In all three senses noted above, equity offered judges the discretion to marry general principles of law and the particular circumstances before them to arrive at a just decision. However, this discretion was not unbridled. Derrett rightly notes:</w:t>
      </w:r>
    </w:p>
    <w:p>
      <w:pPr>
        <w:spacing w:line="276" w:lineRule="auto" w:before="159"/>
        <w:ind w:left="1918" w:right="2262" w:firstLine="0"/>
        <w:jc w:val="both"/>
        <w:rPr>
          <w:sz w:val="21"/>
        </w:rPr>
      </w:pPr>
      <w:r>
        <w:rPr>
          <w:spacing w:val="-6"/>
          <w:w w:val="33"/>
          <w:sz w:val="21"/>
        </w:rPr>
        <w:t>―</w:t>
      </w:r>
      <w:r>
        <w:rPr>
          <w:spacing w:val="6"/>
          <w:w w:val="100"/>
          <w:sz w:val="21"/>
        </w:rPr>
        <w:t>W</w:t>
      </w:r>
      <w:r>
        <w:rPr>
          <w:spacing w:val="-3"/>
          <w:w w:val="100"/>
          <w:sz w:val="21"/>
        </w:rPr>
        <w:t>h</w:t>
      </w:r>
      <w:r>
        <w:rPr>
          <w:spacing w:val="-1"/>
          <w:w w:val="100"/>
          <w:sz w:val="21"/>
        </w:rPr>
        <w:t>a</w:t>
      </w:r>
      <w:r>
        <w:rPr>
          <w:w w:val="100"/>
          <w:sz w:val="21"/>
        </w:rPr>
        <w:t>t</w:t>
      </w:r>
      <w:r>
        <w:rPr>
          <w:sz w:val="21"/>
        </w:rPr>
        <w:t> </w:t>
      </w:r>
      <w:r>
        <w:rPr>
          <w:spacing w:val="-15"/>
          <w:sz w:val="21"/>
        </w:rPr>
        <w:t> </w:t>
      </w:r>
      <w:r>
        <w:rPr>
          <w:spacing w:val="-1"/>
          <w:w w:val="100"/>
          <w:sz w:val="21"/>
        </w:rPr>
        <w:t>d</w:t>
      </w:r>
      <w:r>
        <w:rPr>
          <w:spacing w:val="1"/>
          <w:w w:val="100"/>
          <w:sz w:val="21"/>
        </w:rPr>
        <w:t>i</w:t>
      </w:r>
      <w:r>
        <w:rPr>
          <w:w w:val="100"/>
          <w:sz w:val="21"/>
        </w:rPr>
        <w:t>d</w:t>
      </w:r>
      <w:r>
        <w:rPr>
          <w:sz w:val="21"/>
        </w:rPr>
        <w:t> </w:t>
      </w:r>
      <w:r>
        <w:rPr>
          <w:spacing w:val="-13"/>
          <w:sz w:val="21"/>
        </w:rPr>
        <w:t> </w:t>
      </w:r>
      <w:r>
        <w:rPr>
          <w:spacing w:val="-2"/>
          <w:w w:val="100"/>
          <w:sz w:val="21"/>
        </w:rPr>
        <w:t>t</w:t>
      </w:r>
      <w:r>
        <w:rPr>
          <w:spacing w:val="-3"/>
          <w:w w:val="100"/>
          <w:sz w:val="21"/>
        </w:rPr>
        <w:t>h</w:t>
      </w:r>
      <w:r>
        <w:rPr>
          <w:w w:val="100"/>
          <w:sz w:val="21"/>
        </w:rPr>
        <w:t>i</w:t>
      </w:r>
      <w:r>
        <w:rPr>
          <w:w w:val="100"/>
          <w:sz w:val="21"/>
        </w:rPr>
        <w:t>s</w:t>
      </w:r>
      <w:r>
        <w:rPr>
          <w:sz w:val="21"/>
        </w:rPr>
        <w:t> </w:t>
      </w:r>
      <w:r>
        <w:rPr>
          <w:spacing w:val="-14"/>
          <w:sz w:val="21"/>
        </w:rPr>
        <w:t> </w:t>
      </w:r>
      <w:r>
        <w:rPr>
          <w:w w:val="100"/>
          <w:sz w:val="21"/>
        </w:rPr>
        <w:t>j</w:t>
      </w:r>
      <w:r>
        <w:rPr>
          <w:w w:val="100"/>
          <w:sz w:val="21"/>
        </w:rPr>
        <w:t>u</w:t>
      </w:r>
      <w:r>
        <w:rPr>
          <w:spacing w:val="-3"/>
          <w:w w:val="100"/>
          <w:sz w:val="21"/>
        </w:rPr>
        <w:t>r</w:t>
      </w:r>
      <w:r>
        <w:rPr>
          <w:w w:val="100"/>
          <w:sz w:val="21"/>
        </w:rPr>
        <w:t>i</w:t>
      </w:r>
      <w:r>
        <w:rPr>
          <w:w w:val="100"/>
          <w:sz w:val="21"/>
        </w:rPr>
        <w:t>s</w:t>
      </w:r>
      <w:r>
        <w:rPr>
          <w:spacing w:val="-3"/>
          <w:w w:val="100"/>
          <w:sz w:val="21"/>
        </w:rPr>
        <w:t>d</w:t>
      </w:r>
      <w:r>
        <w:rPr>
          <w:w w:val="100"/>
          <w:sz w:val="21"/>
        </w:rPr>
        <w:t>i</w:t>
      </w:r>
      <w:r>
        <w:rPr>
          <w:w w:val="100"/>
          <w:sz w:val="21"/>
        </w:rPr>
        <w:t>c</w:t>
      </w:r>
      <w:r>
        <w:rPr>
          <w:spacing w:val="-2"/>
          <w:w w:val="100"/>
          <w:sz w:val="21"/>
        </w:rPr>
        <w:t>t</w:t>
      </w:r>
      <w:r>
        <w:rPr>
          <w:spacing w:val="-2"/>
          <w:w w:val="100"/>
          <w:sz w:val="21"/>
        </w:rPr>
        <w:t>i</w:t>
      </w:r>
      <w:r>
        <w:rPr>
          <w:spacing w:val="-3"/>
          <w:w w:val="100"/>
          <w:sz w:val="21"/>
        </w:rPr>
        <w:t>o</w:t>
      </w:r>
      <w:r>
        <w:rPr>
          <w:w w:val="100"/>
          <w:sz w:val="21"/>
        </w:rPr>
        <w:t>n</w:t>
      </w:r>
      <w:r>
        <w:rPr>
          <w:sz w:val="21"/>
        </w:rPr>
        <w:t> </w:t>
      </w:r>
      <w:r>
        <w:rPr>
          <w:spacing w:val="-14"/>
          <w:sz w:val="21"/>
        </w:rPr>
        <w:t> </w:t>
      </w:r>
      <w:r>
        <w:rPr>
          <w:w w:val="100"/>
          <w:sz w:val="21"/>
        </w:rPr>
        <w:t>amount</w:t>
      </w:r>
      <w:r>
        <w:rPr>
          <w:sz w:val="21"/>
        </w:rPr>
        <w:t> </w:t>
      </w:r>
      <w:r>
        <w:rPr>
          <w:spacing w:val="-15"/>
          <w:sz w:val="21"/>
        </w:rPr>
        <w:t> </w:t>
      </w:r>
      <w:r>
        <w:rPr>
          <w:spacing w:val="-2"/>
          <w:w w:val="100"/>
          <w:sz w:val="21"/>
        </w:rPr>
        <w:t>t</w:t>
      </w:r>
      <w:r>
        <w:rPr>
          <w:w w:val="100"/>
          <w:sz w:val="21"/>
        </w:rPr>
        <w:t>o?</w:t>
      </w:r>
      <w:r>
        <w:rPr>
          <w:sz w:val="21"/>
        </w:rPr>
        <w:t> </w:t>
      </w:r>
      <w:r>
        <w:rPr>
          <w:spacing w:val="-14"/>
          <w:sz w:val="21"/>
        </w:rPr>
        <w:t> </w:t>
      </w:r>
      <w:r>
        <w:rPr>
          <w:spacing w:val="-2"/>
          <w:w w:val="100"/>
          <w:sz w:val="21"/>
        </w:rPr>
        <w:t>D</w:t>
      </w:r>
      <w:r>
        <w:rPr>
          <w:w w:val="100"/>
          <w:sz w:val="21"/>
        </w:rPr>
        <w:t>i</w:t>
      </w:r>
      <w:r>
        <w:rPr>
          <w:w w:val="100"/>
          <w:sz w:val="21"/>
        </w:rPr>
        <w:t>d</w:t>
      </w:r>
      <w:r>
        <w:rPr>
          <w:sz w:val="21"/>
        </w:rPr>
        <w:t> </w:t>
      </w:r>
      <w:r>
        <w:rPr>
          <w:spacing w:val="-14"/>
          <w:sz w:val="21"/>
        </w:rPr>
        <w:t> </w:t>
      </w:r>
      <w:r>
        <w:rPr>
          <w:w w:val="100"/>
          <w:sz w:val="21"/>
        </w:rPr>
        <w:t>i</w:t>
      </w:r>
      <w:r>
        <w:rPr>
          <w:w w:val="100"/>
          <w:sz w:val="21"/>
        </w:rPr>
        <w:t>t</w:t>
      </w:r>
      <w:r>
        <w:rPr>
          <w:sz w:val="21"/>
        </w:rPr>
        <w:t> </w:t>
      </w:r>
      <w:r>
        <w:rPr>
          <w:spacing w:val="-18"/>
          <w:sz w:val="21"/>
        </w:rPr>
        <w:t> </w:t>
      </w:r>
      <w:r>
        <w:rPr>
          <w:spacing w:val="1"/>
          <w:w w:val="100"/>
          <w:sz w:val="21"/>
        </w:rPr>
        <w:t>m</w:t>
      </w:r>
      <w:r>
        <w:rPr>
          <w:spacing w:val="-3"/>
          <w:w w:val="100"/>
          <w:sz w:val="21"/>
        </w:rPr>
        <w:t>e</w:t>
      </w:r>
      <w:r>
        <w:rPr>
          <w:w w:val="100"/>
          <w:sz w:val="21"/>
        </w:rPr>
        <w:t>an</w:t>
      </w:r>
      <w:r>
        <w:rPr>
          <w:sz w:val="21"/>
        </w:rPr>
        <w:t> </w:t>
      </w:r>
      <w:r>
        <w:rPr>
          <w:spacing w:val="-14"/>
          <w:sz w:val="21"/>
        </w:rPr>
        <w:t> </w:t>
      </w:r>
      <w:r>
        <w:rPr>
          <w:spacing w:val="-2"/>
          <w:w w:val="100"/>
          <w:sz w:val="21"/>
        </w:rPr>
        <w:t>t</w:t>
      </w:r>
      <w:r>
        <w:rPr>
          <w:w w:val="100"/>
          <w:sz w:val="21"/>
        </w:rPr>
        <w:t>hat</w:t>
      </w:r>
      <w:r>
        <w:rPr>
          <w:sz w:val="21"/>
        </w:rPr>
        <w:t> </w:t>
      </w:r>
      <w:r>
        <w:rPr>
          <w:spacing w:val="-15"/>
          <w:sz w:val="21"/>
        </w:rPr>
        <w:t> </w:t>
      </w:r>
      <w:r>
        <w:rPr>
          <w:spacing w:val="-2"/>
          <w:w w:val="100"/>
          <w:sz w:val="21"/>
        </w:rPr>
        <w:t>t</w:t>
      </w:r>
      <w:r>
        <w:rPr>
          <w:w w:val="100"/>
          <w:sz w:val="21"/>
        </w:rPr>
        <w:t>he </w:t>
      </w:r>
      <w:r>
        <w:rPr>
          <w:sz w:val="21"/>
        </w:rPr>
        <w:t>judge followed his nose, and gave judgment according to his fancy? No…it is emphasized again and again that the judge consults analogous provisions of law; juridical maxims, in particular those contained in the Corpus juris, even though they have not in fact been applied to such a case in the written sources of law or equity; and the writings of jurists steeped in legal</w:t>
      </w:r>
      <w:r>
        <w:rPr>
          <w:spacing w:val="-3"/>
          <w:sz w:val="21"/>
        </w:rPr>
        <w:t> </w:t>
      </w:r>
      <w:r>
        <w:rPr>
          <w:sz w:val="21"/>
        </w:rPr>
        <w:t>thinking.</w:t>
      </w:r>
    </w:p>
    <w:p>
      <w:pPr>
        <w:spacing w:before="1"/>
        <w:ind w:left="1918" w:right="0" w:firstLine="0"/>
        <w:jc w:val="left"/>
        <w:rPr>
          <w:sz w:val="21"/>
        </w:rPr>
      </w:pPr>
      <w:r>
        <w:rPr>
          <w:w w:val="100"/>
          <w:sz w:val="21"/>
        </w:rPr>
        <w:t>…</w:t>
      </w:r>
    </w:p>
    <w:p>
      <w:pPr>
        <w:spacing w:line="276" w:lineRule="auto" w:before="35"/>
        <w:ind w:left="1918" w:right="2262" w:firstLine="0"/>
        <w:jc w:val="both"/>
        <w:rPr>
          <w:sz w:val="21"/>
        </w:rPr>
      </w:pPr>
      <w:r>
        <w:rPr>
          <w:sz w:val="21"/>
        </w:rPr>
        <w:t>…The first step will be to see whether the other provisions of the code throw any general light on the problem. This implies an interpretation of </w:t>
      </w:r>
      <w:r>
        <w:rPr>
          <w:i/>
          <w:sz w:val="21"/>
        </w:rPr>
        <w:t>ius scriptum</w:t>
      </w:r>
      <w:r>
        <w:rPr>
          <w:sz w:val="21"/>
        </w:rPr>
        <w:t>…Thus equity in very many cases involves consultation of law…‖</w:t>
      </w:r>
      <w:r>
        <w:rPr>
          <w:sz w:val="21"/>
          <w:vertAlign w:val="superscript"/>
        </w:rPr>
        <w:t>341</w:t>
      </w:r>
    </w:p>
    <w:p>
      <w:pPr>
        <w:pStyle w:val="BodyText"/>
        <w:rPr>
          <w:sz w:val="26"/>
        </w:rPr>
      </w:pPr>
    </w:p>
    <w:p>
      <w:pPr>
        <w:pStyle w:val="BodyText"/>
        <w:spacing w:before="2"/>
        <w:rPr>
          <w:sz w:val="24"/>
        </w:rPr>
      </w:pPr>
    </w:p>
    <w:p>
      <w:pPr>
        <w:pStyle w:val="BodyText"/>
        <w:spacing w:line="480" w:lineRule="auto" w:before="1"/>
        <w:ind w:left="500" w:right="440"/>
        <w:jc w:val="both"/>
      </w:pPr>
      <w:r>
        <w:rPr/>
        <w:t>In this sense, positive law and the general principles furnished by positive law serve as a useful guide in ensuring that equity is not a method of giving effect merely to the individual worldview of judges. Where positive law is silent and equity steps in to furnish a source of law, its content is informed by analogous provisions of the law that furnish a useful guide. This ensures that equity operates within a larger legal framework informed by the values which underline the legitimacy of the legal system as a</w:t>
      </w:r>
      <w:r>
        <w:rPr>
          <w:spacing w:val="-6"/>
        </w:rPr>
        <w:t> </w:t>
      </w:r>
      <w:r>
        <w:rPr/>
        <w:t>whole.</w:t>
      </w:r>
    </w:p>
    <w:p>
      <w:pPr>
        <w:pStyle w:val="BodyText"/>
        <w:spacing w:before="9"/>
        <w:rPr>
          <w:sz w:val="41"/>
        </w:rPr>
      </w:pPr>
    </w:p>
    <w:p>
      <w:pPr>
        <w:spacing w:before="0"/>
        <w:ind w:left="500" w:right="0" w:firstLine="0"/>
        <w:jc w:val="both"/>
        <w:rPr>
          <w:i/>
          <w:sz w:val="25"/>
        </w:rPr>
      </w:pPr>
      <w:r>
        <w:rPr>
          <w:i/>
          <w:sz w:val="25"/>
        </w:rPr>
        <w:t>Inroads into India</w:t>
      </w:r>
    </w:p>
    <w:p>
      <w:pPr>
        <w:pStyle w:val="BodyText"/>
        <w:spacing w:before="4"/>
        <w:rPr>
          <w:i/>
          <w:sz w:val="37"/>
        </w:rPr>
      </w:pPr>
    </w:p>
    <w:p>
      <w:pPr>
        <w:pStyle w:val="ListParagraph"/>
        <w:numPr>
          <w:ilvl w:val="0"/>
          <w:numId w:val="166"/>
        </w:numPr>
        <w:tabs>
          <w:tab w:pos="1221" w:val="left" w:leader="none"/>
        </w:tabs>
        <w:spacing w:line="480" w:lineRule="auto" w:before="0" w:after="0"/>
        <w:ind w:left="500" w:right="441" w:firstLine="0"/>
        <w:jc w:val="both"/>
        <w:rPr>
          <w:sz w:val="25"/>
        </w:rPr>
      </w:pPr>
      <w:r>
        <w:rPr>
          <w:sz w:val="25"/>
        </w:rPr>
        <w:t>The application of ‗justice, equity and good conscience‘ to India commenced with colonial rule in Bombay. As Bombay assumed prominence as</w:t>
      </w:r>
      <w:r>
        <w:rPr>
          <w:spacing w:val="62"/>
          <w:sz w:val="25"/>
        </w:rPr>
        <w:t> </w:t>
      </w:r>
      <w:r>
        <w:rPr>
          <w:sz w:val="25"/>
        </w:rPr>
        <w:t>a</w:t>
      </w:r>
    </w:p>
    <w:p>
      <w:pPr>
        <w:pStyle w:val="BodyText"/>
        <w:rPr>
          <w:sz w:val="20"/>
        </w:rPr>
      </w:pPr>
    </w:p>
    <w:p>
      <w:pPr>
        <w:pStyle w:val="BodyText"/>
        <w:spacing w:before="3"/>
        <w:rPr>
          <w:sz w:val="12"/>
        </w:rPr>
      </w:pPr>
      <w:r>
        <w:rPr/>
        <w:pict>
          <v:rect style="position:absolute;margin-left:72.024002pt;margin-top:9.028780pt;width:144.020pt;height:.599980pt;mso-position-horizontal-relative:page;mso-position-vertical-relative:paragraph;z-index:-15627776;mso-wrap-distance-left:0;mso-wrap-distance-right:0" filled="true" fillcolor="#000000" stroked="false">
            <v:fill type="solid"/>
            <w10:wrap type="topAndBottom"/>
          </v:rect>
        </w:pict>
      </w:r>
    </w:p>
    <w:p>
      <w:pPr>
        <w:spacing w:line="244" w:lineRule="auto" w:before="75"/>
        <w:ind w:left="500" w:right="0" w:firstLine="0"/>
        <w:jc w:val="left"/>
        <w:rPr>
          <w:sz w:val="18"/>
        </w:rPr>
      </w:pPr>
      <w:r>
        <w:rPr>
          <w:sz w:val="18"/>
          <w:vertAlign w:val="superscript"/>
        </w:rPr>
        <w:t>341</w:t>
      </w:r>
      <w:r>
        <w:rPr>
          <w:sz w:val="18"/>
          <w:vertAlign w:val="baseline"/>
        </w:rPr>
        <w:t> Dr J Duncan M Derrett, Justice Equity and Good Conscience </w:t>
      </w:r>
      <w:r>
        <w:rPr>
          <w:i/>
          <w:sz w:val="18"/>
          <w:vertAlign w:val="baseline"/>
        </w:rPr>
        <w:t>in </w:t>
      </w:r>
      <w:r>
        <w:rPr>
          <w:sz w:val="18"/>
          <w:vertAlign w:val="baseline"/>
        </w:rPr>
        <w:t>Changing Law in Developing Countries (JND Anderson ed.) at page 123</w:t>
      </w:r>
    </w:p>
    <w:p>
      <w:pPr>
        <w:spacing w:after="0" w:line="244" w:lineRule="auto"/>
        <w:jc w:val="left"/>
        <w:rPr>
          <w:sz w:val="18"/>
        </w:rPr>
        <w:sectPr>
          <w:headerReference w:type="default" r:id="rId184"/>
          <w:footerReference w:type="default" r:id="rId185"/>
          <w:pgSz w:w="11910" w:h="16840"/>
          <w:pgMar w:header="721" w:footer="1014" w:top="1300" w:bottom="1200" w:left="940" w:right="1000"/>
        </w:sectPr>
      </w:pPr>
    </w:p>
    <w:p>
      <w:pPr>
        <w:pStyle w:val="BodyText"/>
        <w:spacing w:line="480" w:lineRule="auto" w:before="124"/>
        <w:ind w:left="500" w:right="439"/>
        <w:jc w:val="both"/>
      </w:pPr>
      <w:r>
        <w:rPr/>
        <w:t>commercial centre, there arose a need for a system of mercantile law to avoid the inadequacies of the common law in its application in India as well as in the English Admiralty courts. Company judges appointed in 1669 were hence required to adjudicate in accordance to good conscience.</w:t>
      </w:r>
      <w:r>
        <w:rPr>
          <w:vertAlign w:val="superscript"/>
        </w:rPr>
        <w:t>342</w:t>
      </w:r>
      <w:r>
        <w:rPr>
          <w:vertAlign w:val="baseline"/>
        </w:rPr>
        <w:t> Eventually, the Royal Charters of (i) 9 August, 1683 set up the mercantile and admiralty courts at Bombay; and (ii) 30 December, 1687 set up the Municipality and Mayor‘s Court at Madras. The Court of Judicature at Bombay was required to adjudicate</w:t>
      </w:r>
    </w:p>
    <w:p>
      <w:pPr>
        <w:pStyle w:val="BodyText"/>
        <w:spacing w:line="480" w:lineRule="auto"/>
        <w:ind w:left="500" w:right="444"/>
        <w:jc w:val="both"/>
      </w:pPr>
      <w:r>
        <w:rPr/>
        <w:t>‗according to the rules of equity and good conscience, and according to the laws and customs of merchants.‘ The Mayor‘s Court at Madras was to be guided according to equity and good conscience.</w:t>
      </w:r>
    </w:p>
    <w:p>
      <w:pPr>
        <w:pStyle w:val="BodyText"/>
        <w:rPr>
          <w:sz w:val="28"/>
        </w:rPr>
      </w:pPr>
    </w:p>
    <w:p>
      <w:pPr>
        <w:pStyle w:val="BodyText"/>
        <w:spacing w:before="10"/>
        <w:rPr>
          <w:sz w:val="24"/>
        </w:rPr>
      </w:pPr>
    </w:p>
    <w:p>
      <w:pPr>
        <w:pStyle w:val="ListParagraph"/>
        <w:numPr>
          <w:ilvl w:val="0"/>
          <w:numId w:val="166"/>
        </w:numPr>
        <w:tabs>
          <w:tab w:pos="1221" w:val="left" w:leader="none"/>
        </w:tabs>
        <w:spacing w:line="480" w:lineRule="auto" w:before="0" w:after="0"/>
        <w:ind w:left="500" w:right="439" w:firstLine="0"/>
        <w:jc w:val="both"/>
        <w:rPr>
          <w:sz w:val="25"/>
        </w:rPr>
      </w:pPr>
      <w:r>
        <w:rPr>
          <w:sz w:val="25"/>
        </w:rPr>
        <w:t>On 5 July, 1781 Governor General Warren Hastings passed the Regulations for the Administration of Justice in the Court of </w:t>
      </w:r>
      <w:r>
        <w:rPr>
          <w:i/>
          <w:sz w:val="25"/>
        </w:rPr>
        <w:t>Dewanee Adaulat </w:t>
      </w:r>
      <w:r>
        <w:rPr>
          <w:sz w:val="25"/>
        </w:rPr>
        <w:t>of the provinces of Bengal, Bihar and Orissa. Regulation 60 of the said regulations stated:</w:t>
      </w:r>
    </w:p>
    <w:p>
      <w:pPr>
        <w:spacing w:line="276" w:lineRule="auto" w:before="160"/>
        <w:ind w:left="1918" w:right="2262" w:firstLine="0"/>
        <w:jc w:val="both"/>
        <w:rPr>
          <w:sz w:val="21"/>
        </w:rPr>
      </w:pPr>
      <w:r>
        <w:rPr>
          <w:w w:val="33"/>
          <w:sz w:val="21"/>
        </w:rPr>
        <w:t>―</w:t>
      </w:r>
      <w:r>
        <w:rPr>
          <w:w w:val="100"/>
          <w:sz w:val="21"/>
        </w:rPr>
        <w:t>That</w:t>
      </w:r>
      <w:r>
        <w:rPr>
          <w:sz w:val="21"/>
        </w:rPr>
        <w:t>  </w:t>
      </w:r>
      <w:r>
        <w:rPr>
          <w:w w:val="100"/>
          <w:sz w:val="21"/>
        </w:rPr>
        <w:t>in</w:t>
      </w:r>
      <w:r>
        <w:rPr>
          <w:sz w:val="21"/>
        </w:rPr>
        <w:t>  </w:t>
      </w:r>
      <w:r>
        <w:rPr>
          <w:w w:val="100"/>
          <w:sz w:val="21"/>
        </w:rPr>
        <w:t>all</w:t>
      </w:r>
      <w:r>
        <w:rPr>
          <w:sz w:val="21"/>
        </w:rPr>
        <w:t>  </w:t>
      </w:r>
      <w:r>
        <w:rPr>
          <w:w w:val="100"/>
          <w:sz w:val="21"/>
        </w:rPr>
        <w:t>cases,</w:t>
      </w:r>
      <w:r>
        <w:rPr>
          <w:sz w:val="21"/>
        </w:rPr>
        <w:t>  </w:t>
      </w:r>
      <w:r>
        <w:rPr>
          <w:w w:val="100"/>
          <w:sz w:val="21"/>
        </w:rPr>
        <w:t>within</w:t>
      </w:r>
      <w:r>
        <w:rPr>
          <w:sz w:val="21"/>
        </w:rPr>
        <w:t>  </w:t>
      </w:r>
      <w:r>
        <w:rPr>
          <w:w w:val="100"/>
          <w:sz w:val="21"/>
        </w:rPr>
        <w:t>the</w:t>
      </w:r>
      <w:r>
        <w:rPr>
          <w:sz w:val="21"/>
        </w:rPr>
        <w:t>  </w:t>
      </w:r>
      <w:r>
        <w:rPr>
          <w:w w:val="100"/>
          <w:sz w:val="21"/>
        </w:rPr>
        <w:t>jurisdiction</w:t>
      </w:r>
      <w:r>
        <w:rPr>
          <w:sz w:val="21"/>
        </w:rPr>
        <w:t>  </w:t>
      </w:r>
      <w:r>
        <w:rPr>
          <w:w w:val="100"/>
          <w:sz w:val="21"/>
        </w:rPr>
        <w:t>of</w:t>
      </w:r>
      <w:r>
        <w:rPr>
          <w:sz w:val="21"/>
        </w:rPr>
        <w:t>  </w:t>
      </w:r>
      <w:r>
        <w:rPr>
          <w:w w:val="100"/>
          <w:sz w:val="21"/>
        </w:rPr>
        <w:t>the</w:t>
      </w:r>
      <w:r>
        <w:rPr>
          <w:sz w:val="21"/>
        </w:rPr>
        <w:t>  </w:t>
      </w:r>
      <w:r>
        <w:rPr>
          <w:w w:val="100"/>
          <w:sz w:val="21"/>
        </w:rPr>
        <w:t>Mofussil </w:t>
      </w:r>
      <w:r>
        <w:rPr>
          <w:sz w:val="21"/>
        </w:rPr>
        <w:t>Dewannee Adalat, for which no specific Directions are hereby given, and respective Judges thereof do act according to Justice, Equity and Good Conscience.‖</w:t>
      </w:r>
    </w:p>
    <w:p>
      <w:pPr>
        <w:pStyle w:val="BodyText"/>
        <w:rPr>
          <w:sz w:val="24"/>
        </w:rPr>
      </w:pPr>
    </w:p>
    <w:p>
      <w:pPr>
        <w:pStyle w:val="BodyText"/>
        <w:spacing w:line="480" w:lineRule="auto" w:before="208"/>
        <w:ind w:left="500" w:right="441"/>
        <w:jc w:val="both"/>
      </w:pPr>
      <w:r>
        <w:rPr/>
        <w:t>A similar provision for Judges of the Sadr court was made in Regulation 93. Though these provisions were procedural in nature, they marked further inroads of the concept into the Indian administrative and legal framework. Regulation 9 of Regulation VII of 1832 reads:</w:t>
      </w:r>
    </w:p>
    <w:p>
      <w:pPr>
        <w:pStyle w:val="BodyText"/>
        <w:rPr>
          <w:sz w:val="20"/>
        </w:rPr>
      </w:pPr>
    </w:p>
    <w:p>
      <w:pPr>
        <w:pStyle w:val="BodyText"/>
        <w:rPr>
          <w:sz w:val="20"/>
        </w:rPr>
      </w:pPr>
    </w:p>
    <w:p>
      <w:pPr>
        <w:pStyle w:val="BodyText"/>
        <w:spacing w:before="11"/>
        <w:rPr>
          <w:sz w:val="18"/>
        </w:rPr>
      </w:pPr>
      <w:r>
        <w:rPr/>
        <w:pict>
          <v:rect style="position:absolute;margin-left:72.024002pt;margin-top:12.867744pt;width:144.020pt;height:.599980pt;mso-position-horizontal-relative:page;mso-position-vertical-relative:paragraph;z-index:-1562726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342</w:t>
      </w:r>
      <w:r>
        <w:rPr>
          <w:sz w:val="18"/>
          <w:vertAlign w:val="baseline"/>
        </w:rPr>
        <w:t> B Lindsay, British Justice in India, the University of Toronto Law Journal, Vol. 1, No. 2 (1936), at page 344</w:t>
      </w:r>
    </w:p>
    <w:p>
      <w:pPr>
        <w:spacing w:after="0"/>
        <w:jc w:val="left"/>
        <w:rPr>
          <w:sz w:val="18"/>
        </w:rPr>
        <w:sectPr>
          <w:headerReference w:type="default" r:id="rId186"/>
          <w:footerReference w:type="default" r:id="rId187"/>
          <w:pgSz w:w="11910" w:h="16840"/>
          <w:pgMar w:header="721" w:footer="1014" w:top="1300" w:bottom="1200" w:left="940" w:right="1000"/>
          <w:pgNumType w:start="776"/>
        </w:sectPr>
      </w:pPr>
    </w:p>
    <w:p>
      <w:pPr>
        <w:spacing w:line="276" w:lineRule="auto" w:before="122"/>
        <w:ind w:left="1918" w:right="2262"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er</w:t>
      </w:r>
      <w:r>
        <w:rPr>
          <w:w w:val="100"/>
          <w:sz w:val="21"/>
        </w:rPr>
        <w:t>e</w:t>
      </w:r>
      <w:r>
        <w:rPr>
          <w:sz w:val="21"/>
        </w:rPr>
        <w:t> </w:t>
      </w:r>
      <w:r>
        <w:rPr>
          <w:spacing w:val="-24"/>
          <w:sz w:val="21"/>
        </w:rPr>
        <w:t> </w:t>
      </w:r>
      <w:r>
        <w:rPr>
          <w:spacing w:val="-1"/>
          <w:w w:val="100"/>
          <w:sz w:val="21"/>
        </w:rPr>
        <w:t>par</w:t>
      </w:r>
      <w:r>
        <w:rPr>
          <w:spacing w:val="-2"/>
          <w:w w:val="100"/>
          <w:sz w:val="21"/>
        </w:rPr>
        <w:t>ti</w:t>
      </w:r>
      <w:r>
        <w:rPr>
          <w:spacing w:val="-1"/>
          <w:w w:val="100"/>
          <w:sz w:val="21"/>
        </w:rPr>
        <w:t>e</w:t>
      </w:r>
      <w:r>
        <w:rPr>
          <w:w w:val="100"/>
          <w:sz w:val="21"/>
        </w:rPr>
        <w:t>s</w:t>
      </w:r>
      <w:r>
        <w:rPr>
          <w:sz w:val="21"/>
        </w:rPr>
        <w:t> </w:t>
      </w:r>
      <w:r>
        <w:rPr>
          <w:spacing w:val="-24"/>
          <w:sz w:val="21"/>
        </w:rPr>
        <w:t> </w:t>
      </w:r>
      <w:r>
        <w:rPr>
          <w:spacing w:val="-1"/>
          <w:w w:val="100"/>
          <w:sz w:val="21"/>
        </w:rPr>
        <w:t>ar</w:t>
      </w:r>
      <w:r>
        <w:rPr>
          <w:w w:val="100"/>
          <w:sz w:val="21"/>
        </w:rPr>
        <w:t>e</w:t>
      </w:r>
      <w:r>
        <w:rPr>
          <w:sz w:val="21"/>
        </w:rPr>
        <w:t> </w:t>
      </w:r>
      <w:r>
        <w:rPr>
          <w:spacing w:val="-22"/>
          <w:sz w:val="21"/>
        </w:rPr>
        <w:t> </w:t>
      </w:r>
      <w:r>
        <w:rPr>
          <w:spacing w:val="-3"/>
          <w:w w:val="100"/>
          <w:sz w:val="21"/>
        </w:rPr>
        <w:t>o</w:t>
      </w:r>
      <w:r>
        <w:rPr>
          <w:w w:val="100"/>
          <w:sz w:val="21"/>
        </w:rPr>
        <w:t>f</w:t>
      </w:r>
      <w:r>
        <w:rPr>
          <w:sz w:val="21"/>
        </w:rPr>
        <w:t> </w:t>
      </w:r>
      <w:r>
        <w:rPr>
          <w:spacing w:val="-23"/>
          <w:sz w:val="21"/>
        </w:rPr>
        <w:t> </w:t>
      </w:r>
      <w:r>
        <w:rPr>
          <w:spacing w:val="-1"/>
          <w:w w:val="100"/>
          <w:sz w:val="21"/>
        </w:rPr>
        <w:t>d</w:t>
      </w:r>
      <w:r>
        <w:rPr>
          <w:spacing w:val="-2"/>
          <w:w w:val="100"/>
          <w:sz w:val="21"/>
        </w:rPr>
        <w:t>if</w:t>
      </w:r>
      <w:r>
        <w:rPr>
          <w:spacing w:val="3"/>
          <w:w w:val="100"/>
          <w:sz w:val="21"/>
        </w:rPr>
        <w:t>f</w:t>
      </w:r>
      <w:r>
        <w:rPr>
          <w:w w:val="100"/>
          <w:sz w:val="21"/>
        </w:rPr>
        <w:t>er</w:t>
      </w:r>
      <w:r>
        <w:rPr>
          <w:spacing w:val="-3"/>
          <w:w w:val="100"/>
          <w:sz w:val="21"/>
        </w:rPr>
        <w:t>e</w:t>
      </w:r>
      <w:r>
        <w:rPr>
          <w:w w:val="100"/>
          <w:sz w:val="21"/>
        </w:rPr>
        <w:t>nt</w:t>
      </w:r>
      <w:r>
        <w:rPr>
          <w:sz w:val="21"/>
        </w:rPr>
        <w:t> </w:t>
      </w:r>
      <w:r>
        <w:rPr>
          <w:spacing w:val="-22"/>
          <w:sz w:val="21"/>
        </w:rPr>
        <w:t> </w:t>
      </w:r>
      <w:r>
        <w:rPr>
          <w:w w:val="100"/>
          <w:sz w:val="21"/>
        </w:rPr>
        <w:t>per</w:t>
      </w:r>
      <w:r>
        <w:rPr>
          <w:spacing w:val="-3"/>
          <w:w w:val="100"/>
          <w:sz w:val="21"/>
        </w:rPr>
        <w:t>s</w:t>
      </w:r>
      <w:r>
        <w:rPr>
          <w:w w:val="100"/>
          <w:sz w:val="21"/>
        </w:rPr>
        <w:t>ua</w:t>
      </w:r>
      <w:r>
        <w:rPr>
          <w:spacing w:val="-3"/>
          <w:w w:val="100"/>
          <w:sz w:val="21"/>
        </w:rPr>
        <w:t>s</w:t>
      </w:r>
      <w:r>
        <w:rPr>
          <w:w w:val="100"/>
          <w:sz w:val="21"/>
        </w:rPr>
        <w:t>i</w:t>
      </w:r>
      <w:r>
        <w:rPr>
          <w:spacing w:val="-3"/>
          <w:w w:val="100"/>
          <w:sz w:val="21"/>
        </w:rPr>
        <w:t>o</w:t>
      </w:r>
      <w:r>
        <w:rPr>
          <w:w w:val="100"/>
          <w:sz w:val="21"/>
        </w:rPr>
        <w:t>ns,</w:t>
      </w:r>
      <w:r>
        <w:rPr>
          <w:sz w:val="21"/>
        </w:rPr>
        <w:t> </w:t>
      </w:r>
      <w:r>
        <w:rPr>
          <w:spacing w:val="-22"/>
          <w:sz w:val="21"/>
        </w:rPr>
        <w:t> </w:t>
      </w:r>
      <w:r>
        <w:rPr>
          <w:spacing w:val="-2"/>
          <w:w w:val="100"/>
          <w:sz w:val="21"/>
        </w:rPr>
        <w:t>t</w:t>
      </w:r>
      <w:r>
        <w:rPr>
          <w:w w:val="100"/>
          <w:sz w:val="21"/>
        </w:rPr>
        <w:t>he</w:t>
      </w:r>
      <w:r>
        <w:rPr>
          <w:sz w:val="21"/>
        </w:rPr>
        <w:t> </w:t>
      </w:r>
      <w:r>
        <w:rPr>
          <w:spacing w:val="-23"/>
          <w:sz w:val="21"/>
        </w:rPr>
        <w:t> </w:t>
      </w:r>
      <w:r>
        <w:rPr>
          <w:spacing w:val="-2"/>
          <w:w w:val="100"/>
          <w:sz w:val="21"/>
        </w:rPr>
        <w:t>l</w:t>
      </w:r>
      <w:r>
        <w:rPr>
          <w:w w:val="100"/>
          <w:sz w:val="21"/>
        </w:rPr>
        <w:t>a</w:t>
      </w:r>
      <w:r>
        <w:rPr>
          <w:spacing w:val="-2"/>
          <w:w w:val="100"/>
          <w:sz w:val="21"/>
        </w:rPr>
        <w:t>w</w:t>
      </w:r>
      <w:r>
        <w:rPr>
          <w:w w:val="100"/>
          <w:sz w:val="21"/>
        </w:rPr>
        <w:t>s</w:t>
      </w:r>
      <w:r>
        <w:rPr>
          <w:sz w:val="21"/>
        </w:rPr>
        <w:t> </w:t>
      </w:r>
      <w:r>
        <w:rPr>
          <w:spacing w:val="-21"/>
          <w:sz w:val="21"/>
        </w:rPr>
        <w:t> </w:t>
      </w:r>
      <w:r>
        <w:rPr>
          <w:spacing w:val="-3"/>
          <w:w w:val="100"/>
          <w:sz w:val="21"/>
        </w:rPr>
        <w:t>o</w:t>
      </w:r>
      <w:r>
        <w:rPr>
          <w:w w:val="100"/>
          <w:sz w:val="21"/>
        </w:rPr>
        <w:t>f</w:t>
      </w:r>
      <w:r>
        <w:rPr>
          <w:sz w:val="21"/>
        </w:rPr>
        <w:t> </w:t>
      </w:r>
      <w:r>
        <w:rPr>
          <w:spacing w:val="-20"/>
          <w:sz w:val="21"/>
        </w:rPr>
        <w:t> </w:t>
      </w:r>
      <w:r>
        <w:rPr>
          <w:spacing w:val="-2"/>
          <w:w w:val="100"/>
          <w:sz w:val="21"/>
        </w:rPr>
        <w:t>t</w:t>
      </w:r>
      <w:r>
        <w:rPr>
          <w:spacing w:val="-3"/>
          <w:w w:val="100"/>
          <w:sz w:val="21"/>
        </w:rPr>
        <w:t>h</w:t>
      </w:r>
      <w:r>
        <w:rPr>
          <w:w w:val="100"/>
          <w:sz w:val="21"/>
        </w:rPr>
        <w:t>e </w:t>
      </w:r>
      <w:r>
        <w:rPr>
          <w:sz w:val="21"/>
        </w:rPr>
        <w:t>religions shall not deprive a party of property to which, but for the operation of such laws, he would have been entitled. In all such cases, the decisions shall be governed by the principles of justice, equity and good conscience, it being clearly understood, however, that this provisions shall not be considered as justifying the introduction of the English or any foreign law, or the application to such cases of any rules not sanctioned by these</w:t>
      </w:r>
      <w:r>
        <w:rPr>
          <w:spacing w:val="-7"/>
          <w:sz w:val="21"/>
        </w:rPr>
        <w:t> </w:t>
      </w:r>
      <w:r>
        <w:rPr>
          <w:sz w:val="21"/>
        </w:rPr>
        <w:t>principles.‖</w:t>
      </w:r>
    </w:p>
    <w:p>
      <w:pPr>
        <w:pStyle w:val="BodyText"/>
        <w:rPr>
          <w:sz w:val="24"/>
        </w:rPr>
      </w:pPr>
    </w:p>
    <w:p>
      <w:pPr>
        <w:pStyle w:val="BodyText"/>
        <w:spacing w:line="480" w:lineRule="auto" w:before="209"/>
        <w:ind w:left="500" w:right="443"/>
        <w:jc w:val="both"/>
      </w:pPr>
      <w:r>
        <w:rPr/>
        <w:t>Accompanying this was the space carved out for the application of the personal law of the parties. For example, in 1781 itself, the Parliament passed the Act of 1781, Section 17 of which stipulated that the Supreme Court should have the power to entertain all suits against the inhabitants of Calcutta:</w:t>
      </w:r>
    </w:p>
    <w:p>
      <w:pPr>
        <w:spacing w:line="276" w:lineRule="auto" w:before="120"/>
        <w:ind w:left="1918" w:right="2262" w:firstLine="0"/>
        <w:jc w:val="both"/>
        <w:rPr>
          <w:sz w:val="21"/>
        </w:rPr>
      </w:pPr>
      <w:r>
        <w:rPr>
          <w:spacing w:val="-1"/>
          <w:w w:val="33"/>
          <w:sz w:val="21"/>
        </w:rPr>
        <w:t>―</w:t>
      </w:r>
      <w:r>
        <w:rPr>
          <w:w w:val="100"/>
          <w:sz w:val="21"/>
        </w:rPr>
        <w:t>P</w:t>
      </w:r>
      <w:r>
        <w:rPr>
          <w:spacing w:val="-1"/>
          <w:w w:val="100"/>
          <w:sz w:val="21"/>
        </w:rPr>
        <w:t>ro</w:t>
      </w:r>
      <w:r>
        <w:rPr>
          <w:spacing w:val="-3"/>
          <w:w w:val="100"/>
          <w:sz w:val="21"/>
        </w:rPr>
        <w:t>v</w:t>
      </w:r>
      <w:r>
        <w:rPr>
          <w:w w:val="100"/>
          <w:sz w:val="21"/>
        </w:rPr>
        <w:t>i</w:t>
      </w:r>
      <w:r>
        <w:rPr>
          <w:spacing w:val="-1"/>
          <w:w w:val="100"/>
          <w:sz w:val="21"/>
        </w:rPr>
        <w:t>de</w:t>
      </w:r>
      <w:r>
        <w:rPr>
          <w:w w:val="100"/>
          <w:sz w:val="21"/>
        </w:rPr>
        <w:t>d</w:t>
      </w:r>
      <w:r>
        <w:rPr>
          <w:spacing w:val="11"/>
          <w:sz w:val="21"/>
        </w:rPr>
        <w:t> </w:t>
      </w:r>
      <w:r>
        <w:rPr>
          <w:spacing w:val="-2"/>
          <w:w w:val="100"/>
          <w:sz w:val="21"/>
        </w:rPr>
        <w:t>t</w:t>
      </w:r>
      <w:r>
        <w:rPr>
          <w:spacing w:val="-1"/>
          <w:w w:val="100"/>
          <w:sz w:val="21"/>
        </w:rPr>
        <w:t>ha</w:t>
      </w:r>
      <w:r>
        <w:rPr>
          <w:w w:val="100"/>
          <w:sz w:val="21"/>
        </w:rPr>
        <w:t>t</w:t>
      </w:r>
      <w:r>
        <w:rPr>
          <w:spacing w:val="10"/>
          <w:sz w:val="21"/>
        </w:rPr>
        <w:t> </w:t>
      </w:r>
      <w:r>
        <w:rPr>
          <w:spacing w:val="-2"/>
          <w:w w:val="100"/>
          <w:sz w:val="21"/>
        </w:rPr>
        <w:t>i</w:t>
      </w:r>
      <w:r>
        <w:rPr>
          <w:spacing w:val="-1"/>
          <w:w w:val="100"/>
          <w:sz w:val="21"/>
        </w:rPr>
        <w:t>nhe</w:t>
      </w:r>
      <w:r>
        <w:rPr>
          <w:spacing w:val="-3"/>
          <w:w w:val="100"/>
          <w:sz w:val="21"/>
        </w:rPr>
        <w:t>r</w:t>
      </w:r>
      <w:r>
        <w:rPr>
          <w:w w:val="100"/>
          <w:sz w:val="21"/>
        </w:rPr>
        <w:t>i</w:t>
      </w:r>
      <w:r>
        <w:rPr>
          <w:spacing w:val="-2"/>
          <w:w w:val="100"/>
          <w:sz w:val="21"/>
        </w:rPr>
        <w:t>t</w:t>
      </w:r>
      <w:r>
        <w:rPr>
          <w:spacing w:val="-1"/>
          <w:w w:val="100"/>
          <w:sz w:val="21"/>
        </w:rPr>
        <w:t>an</w:t>
      </w:r>
      <w:r>
        <w:rPr>
          <w:spacing w:val="-3"/>
          <w:w w:val="100"/>
          <w:sz w:val="21"/>
        </w:rPr>
        <w:t>c</w:t>
      </w:r>
      <w:r>
        <w:rPr>
          <w:w w:val="100"/>
          <w:sz w:val="21"/>
        </w:rPr>
        <w:t>e</w:t>
      </w:r>
      <w:r>
        <w:rPr>
          <w:spacing w:val="8"/>
          <w:sz w:val="21"/>
        </w:rPr>
        <w:t> </w:t>
      </w:r>
      <w:r>
        <w:rPr>
          <w:spacing w:val="-1"/>
          <w:w w:val="100"/>
          <w:sz w:val="21"/>
        </w:rPr>
        <w:t>an</w:t>
      </w:r>
      <w:r>
        <w:rPr>
          <w:w w:val="100"/>
          <w:sz w:val="21"/>
        </w:rPr>
        <w:t>d</w:t>
      </w:r>
      <w:r>
        <w:rPr>
          <w:spacing w:val="11"/>
          <w:sz w:val="21"/>
        </w:rPr>
        <w:t> </w:t>
      </w:r>
      <w:r>
        <w:rPr>
          <w:w w:val="100"/>
          <w:sz w:val="21"/>
        </w:rPr>
        <w:t>suc</w:t>
      </w:r>
      <w:r>
        <w:rPr>
          <w:spacing w:val="-3"/>
          <w:w w:val="100"/>
          <w:sz w:val="21"/>
        </w:rPr>
        <w:t>c</w:t>
      </w:r>
      <w:r>
        <w:rPr>
          <w:spacing w:val="-1"/>
          <w:w w:val="100"/>
          <w:sz w:val="21"/>
        </w:rPr>
        <w:t>es</w:t>
      </w:r>
      <w:r>
        <w:rPr>
          <w:spacing w:val="-3"/>
          <w:w w:val="100"/>
          <w:sz w:val="21"/>
        </w:rPr>
        <w:t>s</w:t>
      </w:r>
      <w:r>
        <w:rPr>
          <w:w w:val="100"/>
          <w:sz w:val="21"/>
        </w:rPr>
        <w:t>i</w:t>
      </w:r>
      <w:r>
        <w:rPr>
          <w:spacing w:val="-1"/>
          <w:w w:val="100"/>
          <w:sz w:val="21"/>
        </w:rPr>
        <w:t>o</w:t>
      </w:r>
      <w:r>
        <w:rPr>
          <w:w w:val="100"/>
          <w:sz w:val="21"/>
        </w:rPr>
        <w:t>n</w:t>
      </w:r>
      <w:r>
        <w:rPr>
          <w:spacing w:val="11"/>
          <w:sz w:val="21"/>
        </w:rPr>
        <w:t> </w:t>
      </w:r>
      <w:r>
        <w:rPr>
          <w:spacing w:val="-2"/>
          <w:w w:val="100"/>
          <w:sz w:val="21"/>
        </w:rPr>
        <w:t>t</w:t>
      </w:r>
      <w:r>
        <w:rPr>
          <w:w w:val="100"/>
          <w:sz w:val="21"/>
        </w:rPr>
        <w:t>o</w:t>
      </w:r>
      <w:r>
        <w:rPr>
          <w:spacing w:val="11"/>
          <w:sz w:val="21"/>
        </w:rPr>
        <w:t> </w:t>
      </w:r>
      <w:r>
        <w:rPr>
          <w:spacing w:val="-2"/>
          <w:w w:val="100"/>
          <w:sz w:val="21"/>
        </w:rPr>
        <w:t>l</w:t>
      </w:r>
      <w:r>
        <w:rPr>
          <w:spacing w:val="-1"/>
          <w:w w:val="100"/>
          <w:sz w:val="21"/>
        </w:rPr>
        <w:t>an</w:t>
      </w:r>
      <w:r>
        <w:rPr>
          <w:spacing w:val="-2"/>
          <w:w w:val="100"/>
          <w:sz w:val="21"/>
        </w:rPr>
        <w:t>d</w:t>
      </w:r>
      <w:r>
        <w:rPr>
          <w:w w:val="100"/>
          <w:sz w:val="21"/>
        </w:rPr>
        <w:t>s,</w:t>
      </w:r>
      <w:r>
        <w:rPr>
          <w:spacing w:val="10"/>
          <w:sz w:val="21"/>
        </w:rPr>
        <w:t> </w:t>
      </w:r>
      <w:r>
        <w:rPr>
          <w:spacing w:val="-1"/>
          <w:w w:val="100"/>
          <w:sz w:val="21"/>
        </w:rPr>
        <w:t>rent</w:t>
      </w:r>
      <w:r>
        <w:rPr>
          <w:w w:val="100"/>
          <w:sz w:val="21"/>
        </w:rPr>
        <w:t>s</w:t>
      </w:r>
      <w:r>
        <w:rPr>
          <w:spacing w:val="11"/>
          <w:sz w:val="21"/>
        </w:rPr>
        <w:t> </w:t>
      </w:r>
      <w:r>
        <w:rPr>
          <w:spacing w:val="-1"/>
          <w:w w:val="100"/>
          <w:sz w:val="21"/>
        </w:rPr>
        <w:t>and </w:t>
      </w:r>
      <w:r>
        <w:rPr>
          <w:sz w:val="21"/>
        </w:rPr>
        <w:t>goods, and all matters of contract and dealing between party and party, shall be determined in the case of Mahomedans by the laws and usages of Mahomedans, and in the case of Gentoos, by the laws and usages of Gentoos; and where only one of the parties shall be a Mahomedan or Gentoo by the law and usages of the</w:t>
      </w:r>
      <w:r>
        <w:rPr>
          <w:spacing w:val="-9"/>
          <w:sz w:val="21"/>
        </w:rPr>
        <w:t> </w:t>
      </w:r>
      <w:r>
        <w:rPr>
          <w:sz w:val="21"/>
        </w:rPr>
        <w:t>defendant.‖</w:t>
      </w:r>
      <w:r>
        <w:rPr>
          <w:sz w:val="21"/>
          <w:vertAlign w:val="superscript"/>
        </w:rPr>
        <w:t>343</w:t>
      </w:r>
    </w:p>
    <w:p>
      <w:pPr>
        <w:pStyle w:val="BodyText"/>
        <w:rPr>
          <w:sz w:val="26"/>
        </w:rPr>
      </w:pPr>
    </w:p>
    <w:p>
      <w:pPr>
        <w:pStyle w:val="BodyText"/>
        <w:spacing w:before="1"/>
        <w:rPr>
          <w:sz w:val="23"/>
        </w:rPr>
      </w:pPr>
    </w:p>
    <w:p>
      <w:pPr>
        <w:pStyle w:val="BodyText"/>
        <w:spacing w:line="480" w:lineRule="auto" w:before="1"/>
        <w:ind w:left="500" w:right="441"/>
        <w:jc w:val="both"/>
      </w:pPr>
      <w:r>
        <w:rPr/>
        <w:t>The scheme for administration of justice drawn up by Warren Hastings was characterized by two main features: one was that of decentralisation by the introduction of subordinate courts, both civil and criminal. The other was the reservation to both Hindus and Mohammedans of their own personal laws and usages in the domain of their domestic relations.</w:t>
      </w:r>
    </w:p>
    <w:p>
      <w:pPr>
        <w:pStyle w:val="BodyText"/>
        <w:spacing w:before="9"/>
        <w:rPr>
          <w:sz w:val="41"/>
        </w:rPr>
      </w:pPr>
    </w:p>
    <w:p>
      <w:pPr>
        <w:pStyle w:val="ListParagraph"/>
        <w:numPr>
          <w:ilvl w:val="0"/>
          <w:numId w:val="166"/>
        </w:numPr>
        <w:tabs>
          <w:tab w:pos="1221" w:val="left" w:leader="none"/>
        </w:tabs>
        <w:spacing w:line="480" w:lineRule="auto" w:before="0" w:after="0"/>
        <w:ind w:left="500" w:right="443" w:firstLine="0"/>
        <w:jc w:val="both"/>
        <w:rPr>
          <w:sz w:val="25"/>
        </w:rPr>
      </w:pPr>
      <w:r>
        <w:rPr>
          <w:sz w:val="25"/>
        </w:rPr>
        <w:t>Until the 1850s, judges turned to Hindu personal law and Muslim personal law</w:t>
      </w:r>
      <w:r>
        <w:rPr>
          <w:spacing w:val="10"/>
          <w:sz w:val="25"/>
        </w:rPr>
        <w:t> </w:t>
      </w:r>
      <w:r>
        <w:rPr>
          <w:sz w:val="25"/>
        </w:rPr>
        <w:t>to</w:t>
      </w:r>
      <w:r>
        <w:rPr>
          <w:spacing w:val="11"/>
          <w:sz w:val="25"/>
        </w:rPr>
        <w:t> </w:t>
      </w:r>
      <w:r>
        <w:rPr>
          <w:sz w:val="25"/>
        </w:rPr>
        <w:t>decided</w:t>
      </w:r>
      <w:r>
        <w:rPr>
          <w:spacing w:val="11"/>
          <w:sz w:val="25"/>
        </w:rPr>
        <w:t> </w:t>
      </w:r>
      <w:r>
        <w:rPr>
          <w:sz w:val="25"/>
        </w:rPr>
        <w:t>matters</w:t>
      </w:r>
      <w:r>
        <w:rPr>
          <w:spacing w:val="11"/>
          <w:sz w:val="25"/>
        </w:rPr>
        <w:t> </w:t>
      </w:r>
      <w:r>
        <w:rPr>
          <w:sz w:val="25"/>
        </w:rPr>
        <w:t>of</w:t>
      </w:r>
      <w:r>
        <w:rPr>
          <w:spacing w:val="11"/>
          <w:sz w:val="25"/>
        </w:rPr>
        <w:t> </w:t>
      </w:r>
      <w:r>
        <w:rPr>
          <w:sz w:val="25"/>
        </w:rPr>
        <w:t>faith</w:t>
      </w:r>
      <w:r>
        <w:rPr>
          <w:spacing w:val="11"/>
          <w:sz w:val="25"/>
        </w:rPr>
        <w:t> </w:t>
      </w:r>
      <w:r>
        <w:rPr>
          <w:sz w:val="25"/>
        </w:rPr>
        <w:t>and</w:t>
      </w:r>
      <w:r>
        <w:rPr>
          <w:spacing w:val="12"/>
          <w:sz w:val="25"/>
        </w:rPr>
        <w:t> </w:t>
      </w:r>
      <w:r>
        <w:rPr>
          <w:sz w:val="25"/>
        </w:rPr>
        <w:t>religion.</w:t>
      </w:r>
      <w:r>
        <w:rPr>
          <w:spacing w:val="6"/>
          <w:sz w:val="25"/>
        </w:rPr>
        <w:t> </w:t>
      </w:r>
      <w:r>
        <w:rPr>
          <w:sz w:val="25"/>
        </w:rPr>
        <w:t>Where</w:t>
      </w:r>
      <w:r>
        <w:rPr>
          <w:spacing w:val="11"/>
          <w:sz w:val="25"/>
        </w:rPr>
        <w:t> </w:t>
      </w:r>
      <w:r>
        <w:rPr>
          <w:sz w:val="25"/>
        </w:rPr>
        <w:t>the</w:t>
      </w:r>
      <w:r>
        <w:rPr>
          <w:spacing w:val="12"/>
          <w:sz w:val="25"/>
        </w:rPr>
        <w:t> </w:t>
      </w:r>
      <w:r>
        <w:rPr>
          <w:sz w:val="25"/>
        </w:rPr>
        <w:t>exact</w:t>
      </w:r>
      <w:r>
        <w:rPr>
          <w:spacing w:val="11"/>
          <w:sz w:val="25"/>
        </w:rPr>
        <w:t> </w:t>
      </w:r>
      <w:r>
        <w:rPr>
          <w:sz w:val="25"/>
        </w:rPr>
        <w:t>provisions</w:t>
      </w:r>
      <w:r>
        <w:rPr>
          <w:spacing w:val="13"/>
          <w:sz w:val="25"/>
        </w:rPr>
        <w:t> </w:t>
      </w:r>
      <w:r>
        <w:rPr>
          <w:sz w:val="25"/>
        </w:rPr>
        <w:t>were</w:t>
      </w:r>
      <w:r>
        <w:rPr>
          <w:spacing w:val="12"/>
          <w:sz w:val="25"/>
        </w:rPr>
        <w:t> </w:t>
      </w:r>
      <w:r>
        <w:rPr>
          <w:sz w:val="25"/>
        </w:rPr>
        <w:t>not</w:t>
      </w:r>
    </w:p>
    <w:p>
      <w:pPr>
        <w:pStyle w:val="BodyText"/>
        <w:rPr>
          <w:sz w:val="20"/>
        </w:rPr>
      </w:pPr>
    </w:p>
    <w:p>
      <w:pPr>
        <w:pStyle w:val="BodyText"/>
        <w:spacing w:before="6"/>
        <w:rPr>
          <w:sz w:val="10"/>
        </w:rPr>
      </w:pPr>
      <w:r>
        <w:rPr/>
        <w:pict>
          <v:rect style="position:absolute;margin-left:72.024002pt;margin-top:8.030684pt;width:144.020pt;height:.599980pt;mso-position-horizontal-relative:page;mso-position-vertical-relative:paragraph;z-index:-15626752;mso-wrap-distance-left:0;mso-wrap-distance-right:0" filled="true" fillcolor="#000000" stroked="false">
            <v:fill type="solid"/>
            <w10:wrap type="topAndBottom"/>
          </v:rect>
        </w:pict>
      </w:r>
    </w:p>
    <w:p>
      <w:pPr>
        <w:spacing w:line="240" w:lineRule="auto" w:before="78"/>
        <w:ind w:left="500" w:right="435" w:firstLine="0"/>
        <w:jc w:val="both"/>
        <w:rPr>
          <w:sz w:val="18"/>
        </w:rPr>
      </w:pPr>
      <w:r>
        <w:rPr>
          <w:sz w:val="18"/>
          <w:vertAlign w:val="superscript"/>
        </w:rPr>
        <w:t>343</w:t>
      </w:r>
      <w:r>
        <w:rPr>
          <w:sz w:val="18"/>
          <w:vertAlign w:val="baseline"/>
        </w:rPr>
        <w:t> </w:t>
      </w:r>
      <w:r>
        <w:rPr>
          <w:i/>
          <w:sz w:val="18"/>
          <w:vertAlign w:val="baseline"/>
        </w:rPr>
        <w:t>See also </w:t>
      </w:r>
      <w:r>
        <w:rPr>
          <w:sz w:val="18"/>
          <w:vertAlign w:val="baseline"/>
        </w:rPr>
        <w:t>Article 27 of the Plan of 1772 which reads: ―That in all suits regarding inheritance, marriage and caste and other religious usages and institutions, the laws of the Koran with respect to Mahomedans and those of the Shaster with respect to Gentoos shall be invariably adhered to. On all such occasions the Molavies shall respectively attend to expound the law and they shall sign the report and assist in passing the decree.‖ </w:t>
      </w:r>
      <w:r>
        <w:rPr>
          <w:i/>
          <w:sz w:val="18"/>
          <w:vertAlign w:val="baseline"/>
        </w:rPr>
        <w:t>See also </w:t>
      </w:r>
      <w:r>
        <w:rPr>
          <w:sz w:val="18"/>
          <w:vertAlign w:val="baseline"/>
        </w:rPr>
        <w:t>Section 15 of Regulation IV of the Cornwalliis Code of 1793.</w:t>
      </w:r>
    </w:p>
    <w:p>
      <w:pPr>
        <w:spacing w:after="0" w:line="240" w:lineRule="auto"/>
        <w:jc w:val="both"/>
        <w:rPr>
          <w:sz w:val="18"/>
        </w:rPr>
        <w:sectPr>
          <w:pgSz w:w="11910" w:h="16840"/>
          <w:pgMar w:header="721" w:footer="1014" w:top="1300" w:bottom="1200" w:left="940" w:right="1000"/>
        </w:sectPr>
      </w:pPr>
    </w:p>
    <w:p>
      <w:pPr>
        <w:pStyle w:val="BodyText"/>
        <w:spacing w:line="480" w:lineRule="auto" w:before="124"/>
        <w:ind w:left="500" w:right="444"/>
        <w:jc w:val="both"/>
      </w:pPr>
      <w:r>
        <w:rPr/>
        <w:t>certain, judges required the reassurance that their decisions were in consonance with</w:t>
      </w:r>
      <w:r>
        <w:rPr>
          <w:spacing w:val="-5"/>
        </w:rPr>
        <w:t> </w:t>
      </w:r>
      <w:r>
        <w:rPr/>
        <w:t>the</w:t>
      </w:r>
      <w:r>
        <w:rPr>
          <w:spacing w:val="-5"/>
        </w:rPr>
        <w:t> </w:t>
      </w:r>
      <w:r>
        <w:rPr/>
        <w:t>needs</w:t>
      </w:r>
      <w:r>
        <w:rPr>
          <w:spacing w:val="-5"/>
        </w:rPr>
        <w:t> </w:t>
      </w:r>
      <w:r>
        <w:rPr/>
        <w:t>of</w:t>
      </w:r>
      <w:r>
        <w:rPr>
          <w:spacing w:val="-5"/>
        </w:rPr>
        <w:t> </w:t>
      </w:r>
      <w:r>
        <w:rPr/>
        <w:t>justice</w:t>
      </w:r>
      <w:r>
        <w:rPr>
          <w:spacing w:val="-5"/>
        </w:rPr>
        <w:t> </w:t>
      </w:r>
      <w:r>
        <w:rPr/>
        <w:t>in</w:t>
      </w:r>
      <w:r>
        <w:rPr>
          <w:spacing w:val="-5"/>
        </w:rPr>
        <w:t> </w:t>
      </w:r>
      <w:r>
        <w:rPr/>
        <w:t>every</w:t>
      </w:r>
      <w:r>
        <w:rPr>
          <w:spacing w:val="-5"/>
        </w:rPr>
        <w:t> </w:t>
      </w:r>
      <w:r>
        <w:rPr/>
        <w:t>case.</w:t>
      </w:r>
      <w:r>
        <w:rPr>
          <w:spacing w:val="-5"/>
        </w:rPr>
        <w:t> </w:t>
      </w:r>
      <w:r>
        <w:rPr/>
        <w:t>For</w:t>
      </w:r>
      <w:r>
        <w:rPr>
          <w:spacing w:val="-2"/>
        </w:rPr>
        <w:t> </w:t>
      </w:r>
      <w:r>
        <w:rPr/>
        <w:t>this,</w:t>
      </w:r>
      <w:r>
        <w:rPr>
          <w:spacing w:val="-4"/>
        </w:rPr>
        <w:t> </w:t>
      </w:r>
      <w:r>
        <w:rPr/>
        <w:t>they</w:t>
      </w:r>
      <w:r>
        <w:rPr>
          <w:spacing w:val="-5"/>
        </w:rPr>
        <w:t> </w:t>
      </w:r>
      <w:r>
        <w:rPr/>
        <w:t>turned</w:t>
      </w:r>
      <w:r>
        <w:rPr>
          <w:spacing w:val="-4"/>
        </w:rPr>
        <w:t> </w:t>
      </w:r>
      <w:r>
        <w:rPr/>
        <w:t>to</w:t>
      </w:r>
      <w:r>
        <w:rPr>
          <w:spacing w:val="-4"/>
        </w:rPr>
        <w:t> </w:t>
      </w:r>
      <w:r>
        <w:rPr/>
        <w:t>‗justice,</w:t>
      </w:r>
      <w:r>
        <w:rPr>
          <w:spacing w:val="-5"/>
        </w:rPr>
        <w:t> </w:t>
      </w:r>
      <w:r>
        <w:rPr/>
        <w:t>equity</w:t>
      </w:r>
      <w:r>
        <w:rPr>
          <w:spacing w:val="-5"/>
        </w:rPr>
        <w:t> </w:t>
      </w:r>
      <w:r>
        <w:rPr/>
        <w:t>and good</w:t>
      </w:r>
      <w:r>
        <w:rPr>
          <w:spacing w:val="-1"/>
        </w:rPr>
        <w:t> </w:t>
      </w:r>
      <w:r>
        <w:rPr/>
        <w:t>conscience‘.</w:t>
      </w:r>
    </w:p>
    <w:p>
      <w:pPr>
        <w:pStyle w:val="BodyText"/>
        <w:rPr>
          <w:sz w:val="28"/>
        </w:rPr>
      </w:pPr>
    </w:p>
    <w:p>
      <w:pPr>
        <w:pStyle w:val="Heading4"/>
        <w:spacing w:before="202"/>
        <w:rPr>
          <w:i/>
        </w:rPr>
      </w:pPr>
      <w:r>
        <w:rPr>
          <w:i/>
        </w:rPr>
        <w:t>The conflation between the concept and English law</w:t>
      </w:r>
    </w:p>
    <w:p>
      <w:pPr>
        <w:pStyle w:val="BodyText"/>
        <w:spacing w:before="7"/>
        <w:rPr>
          <w:i/>
          <w:sz w:val="38"/>
        </w:rPr>
      </w:pPr>
    </w:p>
    <w:p>
      <w:pPr>
        <w:pStyle w:val="ListParagraph"/>
        <w:numPr>
          <w:ilvl w:val="0"/>
          <w:numId w:val="166"/>
        </w:numPr>
        <w:tabs>
          <w:tab w:pos="1221" w:val="left" w:leader="none"/>
        </w:tabs>
        <w:spacing w:line="480" w:lineRule="auto" w:before="1" w:after="0"/>
        <w:ind w:left="500" w:right="437" w:firstLine="0"/>
        <w:jc w:val="both"/>
        <w:rPr>
          <w:sz w:val="25"/>
        </w:rPr>
      </w:pPr>
      <w:r>
        <w:rPr>
          <w:sz w:val="25"/>
        </w:rPr>
        <w:t>Alongside the introduction of ‗justice, equity and good conscience‘ in the Indian legal system, another parallel development gradually took place - despite the broad underpinnings of the term which allowed reference by analogy to varied systems</w:t>
      </w:r>
      <w:r>
        <w:rPr>
          <w:spacing w:val="-6"/>
          <w:sz w:val="25"/>
        </w:rPr>
        <w:t> </w:t>
      </w:r>
      <w:r>
        <w:rPr>
          <w:sz w:val="25"/>
        </w:rPr>
        <w:t>of</w:t>
      </w:r>
      <w:r>
        <w:rPr>
          <w:spacing w:val="-5"/>
          <w:sz w:val="25"/>
        </w:rPr>
        <w:t> </w:t>
      </w:r>
      <w:r>
        <w:rPr>
          <w:sz w:val="25"/>
        </w:rPr>
        <w:t>law,</w:t>
      </w:r>
      <w:r>
        <w:rPr>
          <w:spacing w:val="-6"/>
          <w:sz w:val="25"/>
        </w:rPr>
        <w:t> </w:t>
      </w:r>
      <w:r>
        <w:rPr>
          <w:sz w:val="25"/>
        </w:rPr>
        <w:t>over</w:t>
      </w:r>
      <w:r>
        <w:rPr>
          <w:spacing w:val="-5"/>
          <w:sz w:val="25"/>
        </w:rPr>
        <w:t> </w:t>
      </w:r>
      <w:r>
        <w:rPr>
          <w:sz w:val="25"/>
        </w:rPr>
        <w:t>time,</w:t>
      </w:r>
      <w:r>
        <w:rPr>
          <w:spacing w:val="-5"/>
          <w:sz w:val="25"/>
        </w:rPr>
        <w:t> </w:t>
      </w:r>
      <w:r>
        <w:rPr>
          <w:sz w:val="25"/>
        </w:rPr>
        <w:t>there</w:t>
      </w:r>
      <w:r>
        <w:rPr>
          <w:spacing w:val="-8"/>
          <w:sz w:val="25"/>
        </w:rPr>
        <w:t> </w:t>
      </w:r>
      <w:r>
        <w:rPr>
          <w:sz w:val="25"/>
        </w:rPr>
        <w:t>arose</w:t>
      </w:r>
      <w:r>
        <w:rPr>
          <w:spacing w:val="-6"/>
          <w:sz w:val="25"/>
        </w:rPr>
        <w:t> </w:t>
      </w:r>
      <w:r>
        <w:rPr>
          <w:sz w:val="25"/>
        </w:rPr>
        <w:t>a</w:t>
      </w:r>
      <w:r>
        <w:rPr>
          <w:spacing w:val="-5"/>
          <w:sz w:val="25"/>
        </w:rPr>
        <w:t> </w:t>
      </w:r>
      <w:r>
        <w:rPr>
          <w:sz w:val="25"/>
        </w:rPr>
        <w:t>presumption</w:t>
      </w:r>
      <w:r>
        <w:rPr>
          <w:spacing w:val="-5"/>
          <w:sz w:val="25"/>
        </w:rPr>
        <w:t> </w:t>
      </w:r>
      <w:r>
        <w:rPr>
          <w:sz w:val="25"/>
        </w:rPr>
        <w:t>that</w:t>
      </w:r>
      <w:r>
        <w:rPr>
          <w:spacing w:val="-8"/>
          <w:sz w:val="25"/>
        </w:rPr>
        <w:t> </w:t>
      </w:r>
      <w:r>
        <w:rPr>
          <w:sz w:val="25"/>
        </w:rPr>
        <w:t>the</w:t>
      </w:r>
      <w:r>
        <w:rPr>
          <w:spacing w:val="-5"/>
          <w:sz w:val="25"/>
        </w:rPr>
        <w:t> </w:t>
      </w:r>
      <w:r>
        <w:rPr>
          <w:sz w:val="25"/>
        </w:rPr>
        <w:t>term</w:t>
      </w:r>
      <w:r>
        <w:rPr>
          <w:spacing w:val="-5"/>
          <w:sz w:val="25"/>
        </w:rPr>
        <w:t> </w:t>
      </w:r>
      <w:r>
        <w:rPr>
          <w:sz w:val="25"/>
        </w:rPr>
        <w:t>‗justice,</w:t>
      </w:r>
      <w:r>
        <w:rPr>
          <w:spacing w:val="-5"/>
          <w:sz w:val="25"/>
        </w:rPr>
        <w:t> </w:t>
      </w:r>
      <w:r>
        <w:rPr>
          <w:sz w:val="25"/>
        </w:rPr>
        <w:t>equity and good conscience‘ was synonymous with English law. The expansion in the powers of the East India Company was accompanied with a vesting in the Company of the power of administration of justice. MC Setalvad</w:t>
      </w:r>
      <w:r>
        <w:rPr>
          <w:spacing w:val="-10"/>
          <w:sz w:val="25"/>
        </w:rPr>
        <w:t> </w:t>
      </w:r>
      <w:r>
        <w:rPr>
          <w:sz w:val="25"/>
        </w:rPr>
        <w:t>writes:</w:t>
      </w:r>
    </w:p>
    <w:p>
      <w:pPr>
        <w:spacing w:line="276" w:lineRule="auto" w:before="161"/>
        <w:ind w:left="1918" w:right="2262" w:firstLine="0"/>
        <w:jc w:val="both"/>
        <w:rPr>
          <w:sz w:val="21"/>
        </w:rPr>
      </w:pPr>
      <w:r>
        <w:rPr>
          <w:spacing w:val="-1"/>
          <w:w w:val="33"/>
          <w:sz w:val="21"/>
        </w:rPr>
        <w:t>―</w:t>
      </w:r>
      <w:r>
        <w:rPr>
          <w:w w:val="100"/>
          <w:sz w:val="21"/>
        </w:rPr>
        <w:t>As</w:t>
      </w:r>
      <w:r>
        <w:rPr>
          <w:spacing w:val="27"/>
          <w:sz w:val="21"/>
        </w:rPr>
        <w:t> </w:t>
      </w:r>
      <w:r>
        <w:rPr>
          <w:spacing w:val="-2"/>
          <w:w w:val="100"/>
          <w:sz w:val="21"/>
        </w:rPr>
        <w:t>t</w:t>
      </w:r>
      <w:r>
        <w:rPr>
          <w:spacing w:val="-1"/>
          <w:w w:val="100"/>
          <w:sz w:val="21"/>
        </w:rPr>
        <w:t>h</w:t>
      </w:r>
      <w:r>
        <w:rPr>
          <w:w w:val="100"/>
          <w:sz w:val="21"/>
        </w:rPr>
        <w:t>e</w:t>
      </w:r>
      <w:r>
        <w:rPr>
          <w:spacing w:val="28"/>
          <w:sz w:val="21"/>
        </w:rPr>
        <w:t> </w:t>
      </w:r>
      <w:r>
        <w:rPr>
          <w:w w:val="100"/>
          <w:sz w:val="21"/>
        </w:rPr>
        <w:t>C</w:t>
      </w:r>
      <w:r>
        <w:rPr>
          <w:spacing w:val="-3"/>
          <w:w w:val="100"/>
          <w:sz w:val="21"/>
        </w:rPr>
        <w:t>o</w:t>
      </w:r>
      <w:r>
        <w:rPr>
          <w:spacing w:val="-1"/>
          <w:w w:val="100"/>
          <w:sz w:val="21"/>
        </w:rPr>
        <w:t>mp</w:t>
      </w:r>
      <w:r>
        <w:rPr>
          <w:spacing w:val="-3"/>
          <w:w w:val="100"/>
          <w:sz w:val="21"/>
        </w:rPr>
        <w:t>a</w:t>
      </w:r>
      <w:r>
        <w:rPr>
          <w:spacing w:val="-1"/>
          <w:w w:val="100"/>
          <w:sz w:val="21"/>
        </w:rPr>
        <w:t>n</w:t>
      </w:r>
      <w:r>
        <w:rPr>
          <w:spacing w:val="-3"/>
          <w:w w:val="100"/>
          <w:sz w:val="21"/>
        </w:rPr>
        <w:t>y</w:t>
      </w:r>
      <w:r>
        <w:rPr>
          <w:w w:val="100"/>
          <w:sz w:val="21"/>
        </w:rPr>
        <w:t>‘s</w:t>
      </w:r>
      <w:r>
        <w:rPr>
          <w:spacing w:val="27"/>
          <w:sz w:val="21"/>
        </w:rPr>
        <w:t> </w:t>
      </w:r>
      <w:r>
        <w:rPr>
          <w:spacing w:val="-2"/>
          <w:w w:val="100"/>
          <w:sz w:val="21"/>
        </w:rPr>
        <w:t>t</w:t>
      </w:r>
      <w:r>
        <w:rPr>
          <w:spacing w:val="-1"/>
          <w:w w:val="100"/>
          <w:sz w:val="21"/>
        </w:rPr>
        <w:t>er</w:t>
      </w:r>
      <w:r>
        <w:rPr>
          <w:spacing w:val="-2"/>
          <w:w w:val="100"/>
          <w:sz w:val="21"/>
        </w:rPr>
        <w:t>r</w:t>
      </w:r>
      <w:r>
        <w:rPr>
          <w:w w:val="100"/>
          <w:sz w:val="21"/>
        </w:rPr>
        <w:t>i</w:t>
      </w:r>
      <w:r>
        <w:rPr>
          <w:spacing w:val="-2"/>
          <w:w w:val="100"/>
          <w:sz w:val="21"/>
        </w:rPr>
        <w:t>t</w:t>
      </w:r>
      <w:r>
        <w:rPr>
          <w:spacing w:val="-3"/>
          <w:w w:val="100"/>
          <w:sz w:val="21"/>
        </w:rPr>
        <w:t>o</w:t>
      </w:r>
      <w:r>
        <w:rPr>
          <w:spacing w:val="-1"/>
          <w:w w:val="100"/>
          <w:sz w:val="21"/>
        </w:rPr>
        <w:t>r</w:t>
      </w:r>
      <w:r>
        <w:rPr>
          <w:w w:val="100"/>
          <w:sz w:val="21"/>
        </w:rPr>
        <w:t>i</w:t>
      </w:r>
      <w:r>
        <w:rPr>
          <w:spacing w:val="-1"/>
          <w:w w:val="100"/>
          <w:sz w:val="21"/>
        </w:rPr>
        <w:t>e</w:t>
      </w:r>
      <w:r>
        <w:rPr>
          <w:w w:val="100"/>
          <w:sz w:val="21"/>
        </w:rPr>
        <w:t>s</w:t>
      </w:r>
      <w:r>
        <w:rPr>
          <w:spacing w:val="27"/>
          <w:sz w:val="21"/>
        </w:rPr>
        <w:t> </w:t>
      </w:r>
      <w:r>
        <w:rPr>
          <w:spacing w:val="-1"/>
          <w:w w:val="100"/>
          <w:sz w:val="21"/>
        </w:rPr>
        <w:t>b</w:t>
      </w:r>
      <w:r>
        <w:rPr>
          <w:spacing w:val="-3"/>
          <w:w w:val="100"/>
          <w:sz w:val="21"/>
        </w:rPr>
        <w:t>e</w:t>
      </w:r>
      <w:r>
        <w:rPr>
          <w:w w:val="100"/>
          <w:sz w:val="21"/>
        </w:rPr>
        <w:t>c</w:t>
      </w:r>
      <w:r>
        <w:rPr>
          <w:spacing w:val="-3"/>
          <w:w w:val="100"/>
          <w:sz w:val="21"/>
        </w:rPr>
        <w:t>a</w:t>
      </w:r>
      <w:r>
        <w:rPr>
          <w:spacing w:val="1"/>
          <w:w w:val="100"/>
          <w:sz w:val="21"/>
        </w:rPr>
        <w:t>m</w:t>
      </w:r>
      <w:r>
        <w:rPr>
          <w:w w:val="100"/>
          <w:sz w:val="21"/>
        </w:rPr>
        <w:t>e</w:t>
      </w:r>
      <w:r>
        <w:rPr>
          <w:spacing w:val="27"/>
          <w:sz w:val="21"/>
        </w:rPr>
        <w:t> </w:t>
      </w:r>
      <w:r>
        <w:rPr>
          <w:spacing w:val="-1"/>
          <w:w w:val="100"/>
          <w:sz w:val="21"/>
        </w:rPr>
        <w:t>gr</w:t>
      </w:r>
      <w:r>
        <w:rPr>
          <w:spacing w:val="-3"/>
          <w:w w:val="100"/>
          <w:sz w:val="21"/>
        </w:rPr>
        <w:t>a</w:t>
      </w:r>
      <w:r>
        <w:rPr>
          <w:spacing w:val="-1"/>
          <w:w w:val="100"/>
          <w:sz w:val="21"/>
        </w:rPr>
        <w:t>du</w:t>
      </w:r>
      <w:r>
        <w:rPr>
          <w:spacing w:val="-2"/>
          <w:w w:val="100"/>
          <w:sz w:val="21"/>
        </w:rPr>
        <w:t>al</w:t>
      </w:r>
      <w:r>
        <w:rPr>
          <w:w w:val="100"/>
          <w:sz w:val="21"/>
        </w:rPr>
        <w:t>ly</w:t>
      </w:r>
      <w:r>
        <w:rPr>
          <w:spacing w:val="25"/>
          <w:sz w:val="21"/>
        </w:rPr>
        <w:t> </w:t>
      </w:r>
      <w:r>
        <w:rPr>
          <w:spacing w:val="-1"/>
          <w:w w:val="100"/>
          <w:sz w:val="21"/>
        </w:rPr>
        <w:t>en</w:t>
      </w:r>
      <w:r>
        <w:rPr>
          <w:spacing w:val="1"/>
          <w:w w:val="100"/>
          <w:sz w:val="21"/>
        </w:rPr>
        <w:t>l</w:t>
      </w:r>
      <w:r>
        <w:rPr>
          <w:spacing w:val="-1"/>
          <w:w w:val="100"/>
          <w:sz w:val="21"/>
        </w:rPr>
        <w:t>arg</w:t>
      </w:r>
      <w:r>
        <w:rPr>
          <w:spacing w:val="-3"/>
          <w:w w:val="100"/>
          <w:sz w:val="21"/>
        </w:rPr>
        <w:t>e</w:t>
      </w:r>
      <w:r>
        <w:rPr>
          <w:w w:val="100"/>
          <w:sz w:val="21"/>
        </w:rPr>
        <w:t>d</w:t>
      </w:r>
      <w:r>
        <w:rPr>
          <w:spacing w:val="27"/>
          <w:sz w:val="21"/>
        </w:rPr>
        <w:t> </w:t>
      </w:r>
      <w:r>
        <w:rPr>
          <w:spacing w:val="-1"/>
          <w:w w:val="100"/>
          <w:sz w:val="21"/>
        </w:rPr>
        <w:t>by </w:t>
      </w:r>
      <w:r>
        <w:rPr>
          <w:sz w:val="21"/>
        </w:rPr>
        <w:t>settlement and conquest the Privy Council, as the highest court of appeal from the decisions of the Indian courts, became a growing influence in the application of the basic principles of English jurisprudence as the rules of decision all over the country. It was natural, perhaps inevitable, that the eminent English judges, who presided over this tribunal should attempt to solve the problems that came before them wherever Indian regulations or statutes contained no provisions applicable to them by drawing upon the learning on which they had been brought up and the rules and maxims to which they had been accustomed for a lifetime. This explains why from the earliest times the decisions of this tribunal in appeals from India have resulted in a steady and continuous granting of the principles of common law and equity into the body of Indian</w:t>
      </w:r>
      <w:r>
        <w:rPr>
          <w:spacing w:val="-7"/>
          <w:sz w:val="21"/>
        </w:rPr>
        <w:t> </w:t>
      </w:r>
      <w:r>
        <w:rPr>
          <w:sz w:val="21"/>
        </w:rPr>
        <w:t>jurisprudence.‖</w:t>
      </w:r>
      <w:r>
        <w:rPr>
          <w:sz w:val="21"/>
          <w:vertAlign w:val="superscript"/>
        </w:rPr>
        <w:t>344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rect style="position:absolute;margin-left:72.024002pt;margin-top:8.704004pt;width:144.020pt;height:.599980pt;mso-position-horizontal-relative:page;mso-position-vertical-relative:paragraph;z-index:-1562624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344</w:t>
      </w:r>
      <w:r>
        <w:rPr>
          <w:sz w:val="18"/>
          <w:vertAlign w:val="baseline"/>
        </w:rPr>
        <w:t> MC Setalvad, The Common Law in India (1960) at pages 31-32.</w:t>
      </w:r>
    </w:p>
    <w:p>
      <w:pPr>
        <w:spacing w:after="0"/>
        <w:jc w:val="left"/>
        <w:rPr>
          <w:sz w:val="18"/>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44" w:firstLine="0"/>
        <w:jc w:val="both"/>
        <w:rPr>
          <w:sz w:val="25"/>
        </w:rPr>
      </w:pPr>
      <w:r>
        <w:rPr>
          <w:sz w:val="25"/>
        </w:rPr>
        <w:t>With an increase in the activities of the East India Company, judges and barristers trained in English law moulded the Indian judicial system. This led to, an increased reference to English law both in arguments before courts as well as in the judgments of the Courts in British India. The distinguished American scholar Marc Galanter has documented the conflation of the term with English law:</w:t>
      </w:r>
    </w:p>
    <w:p>
      <w:pPr>
        <w:spacing w:line="276" w:lineRule="auto" w:before="159"/>
        <w:ind w:left="1918" w:right="2258" w:firstLine="0"/>
        <w:jc w:val="both"/>
        <w:rPr>
          <w:b/>
          <w:sz w:val="21"/>
        </w:rPr>
      </w:pPr>
      <w:r>
        <w:rPr>
          <w:spacing w:val="-1"/>
          <w:w w:val="33"/>
          <w:sz w:val="21"/>
        </w:rPr>
        <w:t>―</w:t>
      </w:r>
      <w:r>
        <w:rPr>
          <w:spacing w:val="-2"/>
          <w:w w:val="100"/>
          <w:sz w:val="21"/>
        </w:rPr>
        <w:t>I</w:t>
      </w:r>
      <w:r>
        <w:rPr>
          <w:w w:val="100"/>
          <w:sz w:val="21"/>
        </w:rPr>
        <w:t>n</w:t>
      </w:r>
      <w:r>
        <w:rPr>
          <w:sz w:val="21"/>
        </w:rPr>
        <w:t>  </w:t>
      </w:r>
      <w:r>
        <w:rPr>
          <w:spacing w:val="-2"/>
          <w:w w:val="100"/>
          <w:sz w:val="21"/>
        </w:rPr>
        <w:t>t</w:t>
      </w:r>
      <w:r>
        <w:rPr>
          <w:spacing w:val="-1"/>
          <w:w w:val="100"/>
          <w:sz w:val="21"/>
        </w:rPr>
        <w:t>he</w:t>
      </w:r>
      <w:r>
        <w:rPr>
          <w:spacing w:val="1"/>
          <w:w w:val="100"/>
          <w:sz w:val="21"/>
        </w:rPr>
        <w:t>i</w:t>
      </w:r>
      <w:r>
        <w:rPr>
          <w:w w:val="100"/>
          <w:sz w:val="21"/>
        </w:rPr>
        <w:t>r</w:t>
      </w:r>
      <w:r>
        <w:rPr>
          <w:sz w:val="21"/>
        </w:rPr>
        <w:t>  </w:t>
      </w:r>
      <w:r>
        <w:rPr>
          <w:w w:val="100"/>
          <w:sz w:val="21"/>
        </w:rPr>
        <w:t>search</w:t>
      </w:r>
      <w:r>
        <w:rPr>
          <w:sz w:val="21"/>
        </w:rPr>
        <w:t> </w:t>
      </w:r>
      <w:r>
        <w:rPr>
          <w:spacing w:val="-2"/>
          <w:sz w:val="21"/>
        </w:rPr>
        <w:t> </w:t>
      </w:r>
      <w:r>
        <w:rPr>
          <w:spacing w:val="1"/>
          <w:w w:val="100"/>
          <w:sz w:val="21"/>
        </w:rPr>
        <w:t>f</w:t>
      </w:r>
      <w:r>
        <w:rPr>
          <w:spacing w:val="-1"/>
          <w:w w:val="100"/>
          <w:sz w:val="21"/>
        </w:rPr>
        <w:t>o</w:t>
      </w:r>
      <w:r>
        <w:rPr>
          <w:w w:val="100"/>
          <w:sz w:val="21"/>
        </w:rPr>
        <w:t>r</w:t>
      </w:r>
      <w:r>
        <w:rPr>
          <w:sz w:val="21"/>
        </w:rPr>
        <w:t>  </w:t>
      </w:r>
      <w:r>
        <w:rPr>
          <w:spacing w:val="-1"/>
          <w:w w:val="100"/>
          <w:sz w:val="21"/>
        </w:rPr>
        <w:t>aut</w:t>
      </w:r>
      <w:r>
        <w:rPr>
          <w:spacing w:val="-3"/>
          <w:w w:val="100"/>
          <w:sz w:val="21"/>
        </w:rPr>
        <w:t>h</w:t>
      </w:r>
      <w:r>
        <w:rPr>
          <w:spacing w:val="-1"/>
          <w:w w:val="100"/>
          <w:sz w:val="21"/>
        </w:rPr>
        <w:t>orita</w:t>
      </w:r>
      <w:r>
        <w:rPr>
          <w:spacing w:val="-2"/>
          <w:w w:val="100"/>
          <w:sz w:val="21"/>
        </w:rPr>
        <w:t>t</w:t>
      </w:r>
      <w:r>
        <w:rPr>
          <w:w w:val="100"/>
          <w:sz w:val="21"/>
        </w:rPr>
        <w:t>i</w:t>
      </w:r>
      <w:r>
        <w:rPr>
          <w:spacing w:val="-1"/>
          <w:w w:val="100"/>
          <w:sz w:val="21"/>
        </w:rPr>
        <w:t>v</w:t>
      </w:r>
      <w:r>
        <w:rPr>
          <w:w w:val="100"/>
          <w:sz w:val="21"/>
        </w:rPr>
        <w:t>e</w:t>
      </w:r>
      <w:r>
        <w:rPr>
          <w:sz w:val="21"/>
        </w:rPr>
        <w:t>  </w:t>
      </w:r>
      <w:r>
        <w:rPr>
          <w:w w:val="100"/>
          <w:sz w:val="21"/>
        </w:rPr>
        <w:t>bo</w:t>
      </w:r>
      <w:r>
        <w:rPr>
          <w:spacing w:val="-2"/>
          <w:w w:val="100"/>
          <w:sz w:val="21"/>
        </w:rPr>
        <w:t>d</w:t>
      </w:r>
      <w:r>
        <w:rPr>
          <w:w w:val="100"/>
          <w:sz w:val="21"/>
        </w:rPr>
        <w:t>i</w:t>
      </w:r>
      <w:r>
        <w:rPr>
          <w:w w:val="100"/>
          <w:sz w:val="21"/>
        </w:rPr>
        <w:t>es</w:t>
      </w:r>
      <w:r>
        <w:rPr>
          <w:sz w:val="21"/>
        </w:rPr>
        <w:t>  </w:t>
      </w:r>
      <w:r>
        <w:rPr>
          <w:spacing w:val="-3"/>
          <w:w w:val="100"/>
          <w:sz w:val="21"/>
        </w:rPr>
        <w:t>o</w:t>
      </w:r>
      <w:r>
        <w:rPr>
          <w:w w:val="100"/>
          <w:sz w:val="21"/>
        </w:rPr>
        <w:t>f</w:t>
      </w:r>
      <w:r>
        <w:rPr>
          <w:sz w:val="21"/>
        </w:rPr>
        <w:t> </w:t>
      </w:r>
      <w:r>
        <w:rPr>
          <w:spacing w:val="1"/>
          <w:sz w:val="21"/>
        </w:rPr>
        <w:t> </w:t>
      </w:r>
      <w:r>
        <w:rPr>
          <w:spacing w:val="-2"/>
          <w:w w:val="100"/>
          <w:sz w:val="21"/>
        </w:rPr>
        <w:t>l</w:t>
      </w:r>
      <w:r>
        <w:rPr>
          <w:w w:val="100"/>
          <w:sz w:val="21"/>
        </w:rPr>
        <w:t>a</w:t>
      </w:r>
      <w:r>
        <w:rPr>
          <w:spacing w:val="-2"/>
          <w:w w:val="100"/>
          <w:sz w:val="21"/>
        </w:rPr>
        <w:t>w</w:t>
      </w:r>
      <w:r>
        <w:rPr>
          <w:w w:val="100"/>
          <w:sz w:val="21"/>
        </w:rPr>
        <w:t>,</w:t>
      </w:r>
      <w:r>
        <w:rPr>
          <w:sz w:val="21"/>
        </w:rPr>
        <w:t> </w:t>
      </w:r>
      <w:r>
        <w:rPr>
          <w:spacing w:val="-1"/>
          <w:sz w:val="21"/>
        </w:rPr>
        <w:t> </w:t>
      </w:r>
      <w:r>
        <w:rPr>
          <w:spacing w:val="1"/>
          <w:w w:val="100"/>
          <w:sz w:val="21"/>
        </w:rPr>
        <w:t>t</w:t>
      </w:r>
      <w:r>
        <w:rPr>
          <w:w w:val="100"/>
          <w:sz w:val="21"/>
        </w:rPr>
        <w:t>he</w:t>
      </w:r>
      <w:r>
        <w:rPr>
          <w:sz w:val="21"/>
        </w:rPr>
        <w:t>  </w:t>
      </w:r>
      <w:r>
        <w:rPr>
          <w:w w:val="100"/>
          <w:sz w:val="21"/>
        </w:rPr>
        <w:t>B</w:t>
      </w:r>
      <w:r>
        <w:rPr>
          <w:spacing w:val="-1"/>
          <w:w w:val="100"/>
          <w:sz w:val="21"/>
        </w:rPr>
        <w:t>r</w:t>
      </w:r>
      <w:r>
        <w:rPr>
          <w:w w:val="100"/>
          <w:sz w:val="21"/>
        </w:rPr>
        <w:t>i</w:t>
      </w:r>
      <w:r>
        <w:rPr>
          <w:spacing w:val="-4"/>
          <w:w w:val="100"/>
          <w:sz w:val="21"/>
        </w:rPr>
        <w:t>t</w:t>
      </w:r>
      <w:r>
        <w:rPr>
          <w:w w:val="100"/>
          <w:sz w:val="21"/>
        </w:rPr>
        <w:t>i</w:t>
      </w:r>
      <w:r>
        <w:rPr>
          <w:spacing w:val="-3"/>
          <w:w w:val="100"/>
          <w:sz w:val="21"/>
        </w:rPr>
        <w:t>s</w:t>
      </w:r>
      <w:r>
        <w:rPr>
          <w:w w:val="100"/>
          <w:sz w:val="21"/>
        </w:rPr>
        <w:t>h </w:t>
      </w:r>
      <w:r>
        <w:rPr>
          <w:sz w:val="21"/>
        </w:rPr>
        <w:t>made collections and translations of ancient texts and recent commentaries. However, Indian law proved strangely elusive…It was soon recognized that </w:t>
      </w:r>
      <w:r>
        <w:rPr>
          <w:i/>
          <w:sz w:val="21"/>
        </w:rPr>
        <w:t>sastra </w:t>
      </w:r>
      <w:r>
        <w:rPr>
          <w:sz w:val="21"/>
        </w:rPr>
        <w:t>was only a part of the law and that in many matters Indians were regulated by less formal bodies of customary law. But even customary law was not sufficient…The need to fill the felt gaps was ultimately to lead to statutory codification on the basis of English law. </w:t>
      </w:r>
      <w:r>
        <w:rPr>
          <w:b/>
          <w:sz w:val="21"/>
        </w:rPr>
        <w:t>But in the meantime, courts, empowered to decide cases in accordance with ‗justice, equity and good conscience‘, filled the interstices of </w:t>
      </w:r>
      <w:r>
        <w:rPr>
          <w:b/>
          <w:i/>
          <w:sz w:val="21"/>
        </w:rPr>
        <w:t>sastra </w:t>
      </w:r>
      <w:r>
        <w:rPr>
          <w:b/>
          <w:sz w:val="21"/>
        </w:rPr>
        <w:t>and custom</w:t>
      </w:r>
      <w:r>
        <w:rPr>
          <w:b/>
          <w:spacing w:val="40"/>
          <w:sz w:val="21"/>
        </w:rPr>
        <w:t> </w:t>
      </w:r>
      <w:r>
        <w:rPr>
          <w:b/>
          <w:sz w:val="21"/>
        </w:rPr>
        <w:t>with</w:t>
      </w:r>
    </w:p>
    <w:p>
      <w:pPr>
        <w:spacing w:line="276" w:lineRule="auto" w:before="1"/>
        <w:ind w:left="1918" w:right="2261" w:firstLine="0"/>
        <w:jc w:val="both"/>
        <w:rPr>
          <w:sz w:val="21"/>
        </w:rPr>
      </w:pPr>
      <w:r>
        <w:rPr>
          <w:b/>
          <w:sz w:val="21"/>
        </w:rPr>
        <w:t>‗unamalgamated masses of foreign law‘. </w:t>
      </w:r>
      <w:r>
        <w:rPr>
          <w:sz w:val="21"/>
        </w:rPr>
        <w:t>Although there was some attempt to draw the most suitable rule from other sources, </w:t>
      </w:r>
      <w:r>
        <w:rPr>
          <w:b/>
          <w:sz w:val="21"/>
        </w:rPr>
        <w:t>in most cases the [English] judges were inclined to assume that English law was most suitable</w:t>
      </w:r>
      <w:r>
        <w:rPr>
          <w:sz w:val="21"/>
        </w:rPr>
        <w:t>.‖</w:t>
      </w:r>
      <w:r>
        <w:rPr>
          <w:sz w:val="21"/>
          <w:vertAlign w:val="superscript"/>
        </w:rPr>
        <w:t>345</w:t>
      </w:r>
    </w:p>
    <w:p>
      <w:pPr>
        <w:spacing w:before="0"/>
        <w:ind w:left="5599" w:right="0" w:firstLine="0"/>
        <w:jc w:val="both"/>
        <w:rPr>
          <w:sz w:val="21"/>
        </w:rPr>
      </w:pPr>
      <w:r>
        <w:rPr>
          <w:sz w:val="21"/>
        </w:rPr>
        <w:t>(Emphasis Suuplied])</w:t>
      </w:r>
    </w:p>
    <w:p>
      <w:pPr>
        <w:pStyle w:val="BodyText"/>
        <w:spacing w:before="10"/>
        <w:rPr>
          <w:sz w:val="31"/>
        </w:rPr>
      </w:pPr>
    </w:p>
    <w:p>
      <w:pPr>
        <w:pStyle w:val="ListParagraph"/>
        <w:numPr>
          <w:ilvl w:val="0"/>
          <w:numId w:val="166"/>
        </w:numPr>
        <w:tabs>
          <w:tab w:pos="1221" w:val="left" w:leader="none"/>
        </w:tabs>
        <w:spacing w:line="480" w:lineRule="auto" w:before="1" w:after="0"/>
        <w:ind w:left="500" w:right="439" w:firstLine="0"/>
        <w:jc w:val="both"/>
        <w:rPr>
          <w:sz w:val="25"/>
        </w:rPr>
      </w:pPr>
      <w:r>
        <w:rPr>
          <w:sz w:val="25"/>
        </w:rPr>
        <w:t>The applicable law was stated to be the parties‘ personal law and the colonial government initially relied on the testimonies of </w:t>
      </w:r>
      <w:r>
        <w:rPr>
          <w:i/>
          <w:sz w:val="25"/>
        </w:rPr>
        <w:t>pandits </w:t>
      </w:r>
      <w:r>
        <w:rPr>
          <w:sz w:val="25"/>
        </w:rPr>
        <w:t>and </w:t>
      </w:r>
      <w:r>
        <w:rPr>
          <w:i/>
          <w:sz w:val="25"/>
        </w:rPr>
        <w:t>maulvis </w:t>
      </w:r>
      <w:r>
        <w:rPr>
          <w:sz w:val="25"/>
        </w:rPr>
        <w:t>to translate religious texts which would be used to adjudicate. Eventually, this system was abolished and increased reliance was placed on English translations of the relevant religious texts. Ultimately, the colonial government sought to fill any remaining lacunae with English law.</w:t>
      </w:r>
      <w:r>
        <w:rPr>
          <w:sz w:val="25"/>
          <w:vertAlign w:val="superscript"/>
        </w:rPr>
        <w:t>346</w:t>
      </w:r>
      <w:r>
        <w:rPr>
          <w:sz w:val="25"/>
          <w:vertAlign w:val="baseline"/>
        </w:rPr>
        <w:t> Another impetus was the setting up</w:t>
      </w:r>
      <w:r>
        <w:rPr>
          <w:spacing w:val="56"/>
          <w:sz w:val="25"/>
          <w:vertAlign w:val="baseline"/>
        </w:rPr>
        <w:t> </w:t>
      </w:r>
      <w:r>
        <w:rPr>
          <w:sz w:val="25"/>
          <w:vertAlign w:val="baseline"/>
        </w:rPr>
        <w:t>of</w:t>
      </w:r>
    </w:p>
    <w:p>
      <w:pPr>
        <w:pStyle w:val="BodyText"/>
        <w:rPr>
          <w:sz w:val="20"/>
        </w:rPr>
      </w:pPr>
    </w:p>
    <w:p>
      <w:pPr>
        <w:pStyle w:val="BodyText"/>
        <w:spacing w:before="1"/>
      </w:pPr>
      <w:r>
        <w:rPr/>
        <w:pict>
          <v:rect style="position:absolute;margin-left:72.024002pt;margin-top:16.405169pt;width:144.020pt;height:.599980pt;mso-position-horizontal-relative:page;mso-position-vertical-relative:paragraph;z-index:-15625728;mso-wrap-distance-left:0;mso-wrap-distance-right:0" filled="true" fillcolor="#000000" stroked="false">
            <v:fill type="solid"/>
            <w10:wrap type="topAndBottom"/>
          </v:rect>
        </w:pict>
      </w:r>
    </w:p>
    <w:p>
      <w:pPr>
        <w:spacing w:line="205" w:lineRule="exact" w:before="80"/>
        <w:ind w:left="500" w:right="0" w:firstLine="0"/>
        <w:jc w:val="both"/>
        <w:rPr>
          <w:sz w:val="18"/>
        </w:rPr>
      </w:pPr>
      <w:r>
        <w:rPr>
          <w:sz w:val="18"/>
          <w:vertAlign w:val="superscript"/>
        </w:rPr>
        <w:t>345</w:t>
      </w:r>
      <w:r>
        <w:rPr>
          <w:sz w:val="18"/>
          <w:vertAlign w:val="baseline"/>
        </w:rPr>
        <w:t> Marc Galanter, Law and Society in Modern India (1997), at pages 221,222.</w:t>
      </w:r>
    </w:p>
    <w:p>
      <w:pPr>
        <w:spacing w:before="0"/>
        <w:ind w:left="500" w:right="434" w:firstLine="0"/>
        <w:jc w:val="both"/>
        <w:rPr>
          <w:sz w:val="18"/>
        </w:rPr>
      </w:pPr>
      <w:r>
        <w:rPr>
          <w:sz w:val="18"/>
          <w:vertAlign w:val="superscript"/>
        </w:rPr>
        <w:t>346</w:t>
      </w:r>
      <w:r>
        <w:rPr>
          <w:sz w:val="18"/>
          <w:vertAlign w:val="baseline"/>
        </w:rPr>
        <w:t> Sir George Rankin, </w:t>
      </w:r>
      <w:r>
        <w:rPr>
          <w:i/>
          <w:sz w:val="18"/>
          <w:vertAlign w:val="baseline"/>
        </w:rPr>
        <w:t>the Personal Law in British India</w:t>
      </w:r>
      <w:r>
        <w:rPr>
          <w:sz w:val="18"/>
          <w:vertAlign w:val="baseline"/>
        </w:rPr>
        <w:t>, Sir George Birdwood Memorial Lecture on 21 February, 1941–</w:t>
      </w:r>
      <w:r>
        <w:rPr>
          <w:spacing w:val="-7"/>
          <w:sz w:val="18"/>
          <w:vertAlign w:val="baseline"/>
        </w:rPr>
        <w:t> </w:t>
      </w:r>
      <w:r>
        <w:rPr>
          <w:sz w:val="18"/>
          <w:vertAlign w:val="baseline"/>
        </w:rPr>
        <w:t>―Under</w:t>
      </w:r>
      <w:r>
        <w:rPr>
          <w:spacing w:val="-5"/>
          <w:sz w:val="18"/>
          <w:vertAlign w:val="baseline"/>
        </w:rPr>
        <w:t> </w:t>
      </w:r>
      <w:r>
        <w:rPr>
          <w:sz w:val="18"/>
          <w:vertAlign w:val="baseline"/>
        </w:rPr>
        <w:t>the</w:t>
      </w:r>
      <w:r>
        <w:rPr>
          <w:spacing w:val="-5"/>
          <w:sz w:val="18"/>
          <w:vertAlign w:val="baseline"/>
        </w:rPr>
        <w:t> </w:t>
      </w:r>
      <w:r>
        <w:rPr>
          <w:sz w:val="18"/>
          <w:vertAlign w:val="baseline"/>
        </w:rPr>
        <w:t>scheme</w:t>
      </w:r>
      <w:r>
        <w:rPr>
          <w:spacing w:val="-5"/>
          <w:sz w:val="18"/>
          <w:vertAlign w:val="baseline"/>
        </w:rPr>
        <w:t> </w:t>
      </w:r>
      <w:r>
        <w:rPr>
          <w:sz w:val="18"/>
          <w:vertAlign w:val="baseline"/>
        </w:rPr>
        <w:t>of</w:t>
      </w:r>
      <w:r>
        <w:rPr>
          <w:spacing w:val="-7"/>
          <w:sz w:val="18"/>
          <w:vertAlign w:val="baseline"/>
        </w:rPr>
        <w:t> </w:t>
      </w:r>
      <w:r>
        <w:rPr>
          <w:sz w:val="18"/>
          <w:vertAlign w:val="baseline"/>
        </w:rPr>
        <w:t>1772</w:t>
      </w:r>
      <w:r>
        <w:rPr>
          <w:spacing w:val="-5"/>
          <w:sz w:val="18"/>
          <w:vertAlign w:val="baseline"/>
        </w:rPr>
        <w:t> </w:t>
      </w:r>
      <w:r>
        <w:rPr>
          <w:sz w:val="18"/>
          <w:vertAlign w:val="baseline"/>
        </w:rPr>
        <w:t>the</w:t>
      </w:r>
      <w:r>
        <w:rPr>
          <w:spacing w:val="-4"/>
          <w:sz w:val="18"/>
          <w:vertAlign w:val="baseline"/>
        </w:rPr>
        <w:t> </w:t>
      </w:r>
      <w:r>
        <w:rPr>
          <w:sz w:val="18"/>
          <w:vertAlign w:val="baseline"/>
        </w:rPr>
        <w:t>English</w:t>
      </w:r>
      <w:r>
        <w:rPr>
          <w:spacing w:val="-8"/>
          <w:sz w:val="18"/>
          <w:vertAlign w:val="baseline"/>
        </w:rPr>
        <w:t> </w:t>
      </w:r>
      <w:r>
        <w:rPr>
          <w:sz w:val="18"/>
          <w:vertAlign w:val="baseline"/>
        </w:rPr>
        <w:t>judges</w:t>
      </w:r>
      <w:r>
        <w:rPr>
          <w:spacing w:val="-4"/>
          <w:sz w:val="18"/>
          <w:vertAlign w:val="baseline"/>
        </w:rPr>
        <w:t> </w:t>
      </w:r>
      <w:r>
        <w:rPr>
          <w:sz w:val="18"/>
          <w:vertAlign w:val="baseline"/>
        </w:rPr>
        <w:t>in</w:t>
      </w:r>
      <w:r>
        <w:rPr>
          <w:spacing w:val="-5"/>
          <w:sz w:val="18"/>
          <w:vertAlign w:val="baseline"/>
        </w:rPr>
        <w:t> </w:t>
      </w:r>
      <w:r>
        <w:rPr>
          <w:sz w:val="18"/>
          <w:vertAlign w:val="baseline"/>
        </w:rPr>
        <w:t>the</w:t>
      </w:r>
      <w:r>
        <w:rPr>
          <w:spacing w:val="-7"/>
          <w:sz w:val="18"/>
          <w:vertAlign w:val="baseline"/>
        </w:rPr>
        <w:t> </w:t>
      </w:r>
      <w:r>
        <w:rPr>
          <w:sz w:val="18"/>
          <w:vertAlign w:val="baseline"/>
        </w:rPr>
        <w:t>civil</w:t>
      </w:r>
      <w:r>
        <w:rPr>
          <w:spacing w:val="-7"/>
          <w:sz w:val="18"/>
          <w:vertAlign w:val="baseline"/>
        </w:rPr>
        <w:t> </w:t>
      </w:r>
      <w:r>
        <w:rPr>
          <w:sz w:val="18"/>
          <w:vertAlign w:val="baseline"/>
        </w:rPr>
        <w:t>courts</w:t>
      </w:r>
      <w:r>
        <w:rPr>
          <w:spacing w:val="-4"/>
          <w:sz w:val="18"/>
          <w:vertAlign w:val="baseline"/>
        </w:rPr>
        <w:t> </w:t>
      </w:r>
      <w:r>
        <w:rPr>
          <w:sz w:val="18"/>
          <w:vertAlign w:val="baseline"/>
        </w:rPr>
        <w:t>were</w:t>
      </w:r>
      <w:r>
        <w:rPr>
          <w:spacing w:val="-4"/>
          <w:sz w:val="18"/>
          <w:vertAlign w:val="baseline"/>
        </w:rPr>
        <w:t> </w:t>
      </w:r>
      <w:r>
        <w:rPr>
          <w:sz w:val="18"/>
          <w:vertAlign w:val="baseline"/>
        </w:rPr>
        <w:t>to</w:t>
      </w:r>
      <w:r>
        <w:rPr>
          <w:spacing w:val="-5"/>
          <w:sz w:val="18"/>
          <w:vertAlign w:val="baseline"/>
        </w:rPr>
        <w:t> </w:t>
      </w:r>
      <w:r>
        <w:rPr>
          <w:sz w:val="18"/>
          <w:vertAlign w:val="baseline"/>
        </w:rPr>
        <w:t>get</w:t>
      </w:r>
      <w:r>
        <w:rPr>
          <w:spacing w:val="-5"/>
          <w:sz w:val="18"/>
          <w:vertAlign w:val="baseline"/>
        </w:rPr>
        <w:t> </w:t>
      </w:r>
      <w:r>
        <w:rPr>
          <w:sz w:val="18"/>
          <w:vertAlign w:val="baseline"/>
        </w:rPr>
        <w:t>their</w:t>
      </w:r>
      <w:r>
        <w:rPr>
          <w:spacing w:val="-7"/>
          <w:sz w:val="18"/>
          <w:vertAlign w:val="baseline"/>
        </w:rPr>
        <w:t> </w:t>
      </w:r>
      <w:r>
        <w:rPr>
          <w:sz w:val="18"/>
          <w:vertAlign w:val="baseline"/>
        </w:rPr>
        <w:t>law</w:t>
      </w:r>
      <w:r>
        <w:rPr>
          <w:spacing w:val="-8"/>
          <w:sz w:val="18"/>
          <w:vertAlign w:val="baseline"/>
        </w:rPr>
        <w:t> </w:t>
      </w:r>
      <w:r>
        <w:rPr>
          <w:sz w:val="18"/>
          <w:vertAlign w:val="baseline"/>
        </w:rPr>
        <w:t>form</w:t>
      </w:r>
      <w:r>
        <w:rPr>
          <w:spacing w:val="-5"/>
          <w:sz w:val="18"/>
          <w:vertAlign w:val="baseline"/>
        </w:rPr>
        <w:t> </w:t>
      </w:r>
      <w:r>
        <w:rPr>
          <w:sz w:val="18"/>
          <w:vertAlign w:val="baseline"/>
        </w:rPr>
        <w:t>the</w:t>
      </w:r>
      <w:r>
        <w:rPr>
          <w:spacing w:val="2"/>
          <w:sz w:val="18"/>
          <w:vertAlign w:val="baseline"/>
        </w:rPr>
        <w:t> </w:t>
      </w:r>
      <w:r>
        <w:rPr>
          <w:i/>
          <w:sz w:val="18"/>
          <w:vertAlign w:val="baseline"/>
        </w:rPr>
        <w:t>pandits</w:t>
      </w:r>
      <w:r>
        <w:rPr>
          <w:i/>
          <w:spacing w:val="-4"/>
          <w:sz w:val="18"/>
          <w:vertAlign w:val="baseline"/>
        </w:rPr>
        <w:t> </w:t>
      </w:r>
      <w:r>
        <w:rPr>
          <w:sz w:val="18"/>
          <w:vertAlign w:val="baseline"/>
        </w:rPr>
        <w:t>and </w:t>
      </w:r>
      <w:r>
        <w:rPr>
          <w:i/>
          <w:spacing w:val="-2"/>
          <w:w w:val="99"/>
          <w:sz w:val="18"/>
          <w:vertAlign w:val="baseline"/>
        </w:rPr>
        <w:t>m</w:t>
      </w:r>
      <w:r>
        <w:rPr>
          <w:i/>
          <w:w w:val="99"/>
          <w:sz w:val="18"/>
          <w:vertAlign w:val="baseline"/>
        </w:rPr>
        <w:t>ou</w:t>
      </w:r>
      <w:r>
        <w:rPr>
          <w:i/>
          <w:w w:val="99"/>
          <w:sz w:val="18"/>
          <w:vertAlign w:val="baseline"/>
        </w:rPr>
        <w:t>l</w:t>
      </w:r>
      <w:r>
        <w:rPr>
          <w:i/>
          <w:w w:val="99"/>
          <w:sz w:val="18"/>
          <w:vertAlign w:val="baseline"/>
        </w:rPr>
        <w:t>a</w:t>
      </w:r>
      <w:r>
        <w:rPr>
          <w:i/>
          <w:spacing w:val="-2"/>
          <w:sz w:val="18"/>
          <w:vertAlign w:val="baseline"/>
        </w:rPr>
        <w:t>v</w:t>
      </w:r>
      <w:r>
        <w:rPr>
          <w:i/>
          <w:w w:val="99"/>
          <w:sz w:val="18"/>
          <w:vertAlign w:val="baseline"/>
        </w:rPr>
        <w:t>i</w:t>
      </w:r>
      <w:r>
        <w:rPr>
          <w:i/>
          <w:w w:val="99"/>
          <w:sz w:val="18"/>
          <w:vertAlign w:val="baseline"/>
        </w:rPr>
        <w:t>e</w:t>
      </w:r>
      <w:r>
        <w:rPr>
          <w:i/>
          <w:spacing w:val="1"/>
          <w:sz w:val="18"/>
          <w:vertAlign w:val="baseline"/>
        </w:rPr>
        <w:t>s</w:t>
      </w:r>
      <w:r>
        <w:rPr>
          <w:i/>
          <w:sz w:val="18"/>
          <w:vertAlign w:val="baseline"/>
        </w:rPr>
        <w:t>.</w:t>
      </w:r>
      <w:r>
        <w:rPr>
          <w:i/>
          <w:spacing w:val="11"/>
          <w:sz w:val="18"/>
          <w:vertAlign w:val="baseline"/>
        </w:rPr>
        <w:t> </w:t>
      </w:r>
      <w:r>
        <w:rPr>
          <w:spacing w:val="-2"/>
          <w:sz w:val="18"/>
          <w:vertAlign w:val="baseline"/>
        </w:rPr>
        <w:t>T</w:t>
      </w:r>
      <w:r>
        <w:rPr>
          <w:sz w:val="18"/>
          <w:vertAlign w:val="baseline"/>
        </w:rPr>
        <w:t>h</w:t>
      </w:r>
      <w:r>
        <w:rPr>
          <w:spacing w:val="-2"/>
          <w:sz w:val="18"/>
          <w:vertAlign w:val="baseline"/>
        </w:rPr>
        <w:t>e</w:t>
      </w:r>
      <w:r>
        <w:rPr>
          <w:spacing w:val="1"/>
          <w:sz w:val="18"/>
          <w:vertAlign w:val="baseline"/>
        </w:rPr>
        <w:t>s</w:t>
      </w:r>
      <w:r>
        <w:rPr>
          <w:sz w:val="18"/>
          <w:vertAlign w:val="baseline"/>
        </w:rPr>
        <w:t>e</w:t>
      </w:r>
      <w:r>
        <w:rPr>
          <w:spacing w:val="10"/>
          <w:sz w:val="18"/>
          <w:vertAlign w:val="baseline"/>
        </w:rPr>
        <w:t> </w:t>
      </w:r>
      <w:r>
        <w:rPr>
          <w:w w:val="45"/>
          <w:sz w:val="18"/>
          <w:vertAlign w:val="baseline"/>
        </w:rPr>
        <w:t>―</w:t>
      </w:r>
      <w:r>
        <w:rPr>
          <w:spacing w:val="-2"/>
          <w:w w:val="45"/>
          <w:sz w:val="18"/>
          <w:vertAlign w:val="baseline"/>
        </w:rPr>
        <w:t>l</w:t>
      </w:r>
      <w:r>
        <w:rPr>
          <w:sz w:val="18"/>
          <w:vertAlign w:val="baseline"/>
        </w:rPr>
        <w:t>aw</w:t>
      </w:r>
      <w:r>
        <w:rPr>
          <w:spacing w:val="7"/>
          <w:sz w:val="18"/>
          <w:vertAlign w:val="baseline"/>
        </w:rPr>
        <w:t> </w:t>
      </w:r>
      <w:r>
        <w:rPr>
          <w:sz w:val="18"/>
          <w:vertAlign w:val="baseline"/>
        </w:rPr>
        <w:t>offi</w:t>
      </w:r>
      <w:r>
        <w:rPr>
          <w:spacing w:val="1"/>
          <w:sz w:val="18"/>
          <w:vertAlign w:val="baseline"/>
        </w:rPr>
        <w:t>c</w:t>
      </w:r>
      <w:r>
        <w:rPr>
          <w:sz w:val="18"/>
          <w:vertAlign w:val="baseline"/>
        </w:rPr>
        <w:t>e</w:t>
      </w:r>
      <w:r>
        <w:rPr>
          <w:spacing w:val="-3"/>
          <w:sz w:val="18"/>
          <w:vertAlign w:val="baseline"/>
        </w:rPr>
        <w:t>r</w:t>
      </w:r>
      <w:r>
        <w:rPr>
          <w:spacing w:val="-2"/>
          <w:sz w:val="18"/>
          <w:vertAlign w:val="baseline"/>
        </w:rPr>
        <w:t>s</w:t>
      </w:r>
      <w:r>
        <w:rPr>
          <w:w w:val="80"/>
          <w:sz w:val="18"/>
          <w:vertAlign w:val="baseline"/>
        </w:rPr>
        <w:t>‖</w:t>
      </w:r>
      <w:r>
        <w:rPr>
          <w:spacing w:val="9"/>
          <w:sz w:val="18"/>
          <w:vertAlign w:val="baseline"/>
        </w:rPr>
        <w:t> </w:t>
      </w:r>
      <w:r>
        <w:rPr>
          <w:sz w:val="18"/>
          <w:vertAlign w:val="baseline"/>
        </w:rPr>
        <w:t>la</w:t>
      </w:r>
      <w:r>
        <w:rPr>
          <w:spacing w:val="1"/>
          <w:sz w:val="18"/>
          <w:vertAlign w:val="baseline"/>
        </w:rPr>
        <w:t>s</w:t>
      </w:r>
      <w:r>
        <w:rPr>
          <w:spacing w:val="-2"/>
          <w:sz w:val="18"/>
          <w:vertAlign w:val="baseline"/>
        </w:rPr>
        <w:t>t</w:t>
      </w:r>
      <w:r>
        <w:rPr>
          <w:sz w:val="18"/>
          <w:vertAlign w:val="baseline"/>
        </w:rPr>
        <w:t>ed</w:t>
      </w:r>
      <w:r>
        <w:rPr>
          <w:spacing w:val="10"/>
          <w:sz w:val="18"/>
          <w:vertAlign w:val="baseline"/>
        </w:rPr>
        <w:t> </w:t>
      </w:r>
      <w:r>
        <w:rPr>
          <w:spacing w:val="-2"/>
          <w:sz w:val="18"/>
          <w:vertAlign w:val="baseline"/>
        </w:rPr>
        <w:t>a</w:t>
      </w:r>
      <w:r>
        <w:rPr>
          <w:sz w:val="18"/>
          <w:vertAlign w:val="baseline"/>
        </w:rPr>
        <w:t>s</w:t>
      </w:r>
      <w:r>
        <w:rPr>
          <w:spacing w:val="10"/>
          <w:sz w:val="18"/>
          <w:vertAlign w:val="baseline"/>
        </w:rPr>
        <w:t> </w:t>
      </w:r>
      <w:r>
        <w:rPr>
          <w:sz w:val="18"/>
          <w:vertAlign w:val="baseline"/>
        </w:rPr>
        <w:t>an</w:t>
      </w:r>
      <w:r>
        <w:rPr>
          <w:spacing w:val="10"/>
          <w:sz w:val="18"/>
          <w:vertAlign w:val="baseline"/>
        </w:rPr>
        <w:t> </w:t>
      </w:r>
      <w:r>
        <w:rPr>
          <w:spacing w:val="-2"/>
          <w:sz w:val="18"/>
          <w:vertAlign w:val="baseline"/>
        </w:rPr>
        <w:t>i</w:t>
      </w:r>
      <w:r>
        <w:rPr>
          <w:sz w:val="18"/>
          <w:vertAlign w:val="baseline"/>
        </w:rPr>
        <w:t>n</w:t>
      </w:r>
      <w:r>
        <w:rPr>
          <w:spacing w:val="1"/>
          <w:sz w:val="18"/>
          <w:vertAlign w:val="baseline"/>
        </w:rPr>
        <w:t>s</w:t>
      </w:r>
      <w:r>
        <w:rPr>
          <w:spacing w:val="-2"/>
          <w:sz w:val="18"/>
          <w:vertAlign w:val="baseline"/>
        </w:rPr>
        <w:t>t</w:t>
      </w:r>
      <w:r>
        <w:rPr>
          <w:sz w:val="18"/>
          <w:vertAlign w:val="baseline"/>
        </w:rPr>
        <w:t>itu</w:t>
      </w:r>
      <w:r>
        <w:rPr>
          <w:spacing w:val="-2"/>
          <w:sz w:val="18"/>
          <w:vertAlign w:val="baseline"/>
        </w:rPr>
        <w:t>t</w:t>
      </w:r>
      <w:r>
        <w:rPr>
          <w:sz w:val="18"/>
          <w:vertAlign w:val="baseline"/>
        </w:rPr>
        <w:t>ion</w:t>
      </w:r>
      <w:r>
        <w:rPr>
          <w:spacing w:val="10"/>
          <w:sz w:val="18"/>
          <w:vertAlign w:val="baseline"/>
        </w:rPr>
        <w:t> </w:t>
      </w:r>
      <w:r>
        <w:rPr>
          <w:sz w:val="18"/>
          <w:vertAlign w:val="baseline"/>
        </w:rPr>
        <w:t>f</w:t>
      </w:r>
      <w:r>
        <w:rPr>
          <w:spacing w:val="-2"/>
          <w:sz w:val="18"/>
          <w:vertAlign w:val="baseline"/>
        </w:rPr>
        <w:t>r</w:t>
      </w:r>
      <w:r>
        <w:rPr>
          <w:sz w:val="18"/>
          <w:vertAlign w:val="baseline"/>
        </w:rPr>
        <w:t>om</w:t>
      </w:r>
      <w:r>
        <w:rPr>
          <w:spacing w:val="8"/>
          <w:sz w:val="18"/>
          <w:vertAlign w:val="baseline"/>
        </w:rPr>
        <w:t> </w:t>
      </w:r>
      <w:r>
        <w:rPr>
          <w:sz w:val="18"/>
          <w:vertAlign w:val="baseline"/>
        </w:rPr>
        <w:t>1772</w:t>
      </w:r>
      <w:r>
        <w:rPr>
          <w:spacing w:val="10"/>
          <w:sz w:val="18"/>
          <w:vertAlign w:val="baseline"/>
        </w:rPr>
        <w:t> </w:t>
      </w:r>
      <w:r>
        <w:rPr>
          <w:spacing w:val="-2"/>
          <w:sz w:val="18"/>
          <w:vertAlign w:val="baseline"/>
        </w:rPr>
        <w:t>t</w:t>
      </w:r>
      <w:r>
        <w:rPr>
          <w:sz w:val="18"/>
          <w:vertAlign w:val="baseline"/>
        </w:rPr>
        <w:t>ill</w:t>
      </w:r>
      <w:r>
        <w:rPr>
          <w:spacing w:val="8"/>
          <w:sz w:val="18"/>
          <w:vertAlign w:val="baseline"/>
        </w:rPr>
        <w:t> </w:t>
      </w:r>
      <w:r>
        <w:rPr>
          <w:sz w:val="18"/>
          <w:vertAlign w:val="baseline"/>
        </w:rPr>
        <w:t>186</w:t>
      </w:r>
      <w:r>
        <w:rPr>
          <w:spacing w:val="-2"/>
          <w:sz w:val="18"/>
          <w:vertAlign w:val="baseline"/>
        </w:rPr>
        <w:t>4</w:t>
      </w:r>
      <w:r>
        <w:rPr>
          <w:sz w:val="18"/>
          <w:vertAlign w:val="baseline"/>
        </w:rPr>
        <w:t>,</w:t>
      </w:r>
      <w:r>
        <w:rPr>
          <w:spacing w:val="10"/>
          <w:sz w:val="18"/>
          <w:vertAlign w:val="baseline"/>
        </w:rPr>
        <w:t> </w:t>
      </w:r>
      <w:r>
        <w:rPr>
          <w:sz w:val="18"/>
          <w:vertAlign w:val="baseline"/>
        </w:rPr>
        <w:t>th</w:t>
      </w:r>
      <w:r>
        <w:rPr>
          <w:spacing w:val="-2"/>
          <w:sz w:val="18"/>
          <w:vertAlign w:val="baseline"/>
        </w:rPr>
        <w:t>e</w:t>
      </w:r>
      <w:r>
        <w:rPr>
          <w:sz w:val="18"/>
          <w:vertAlign w:val="baseline"/>
        </w:rPr>
        <w:t>n</w:t>
      </w:r>
      <w:r>
        <w:rPr>
          <w:spacing w:val="10"/>
          <w:sz w:val="18"/>
          <w:vertAlign w:val="baseline"/>
        </w:rPr>
        <w:t> </w:t>
      </w:r>
      <w:r>
        <w:rPr>
          <w:sz w:val="18"/>
          <w:vertAlign w:val="baseline"/>
        </w:rPr>
        <w:t>they</w:t>
      </w:r>
      <w:r>
        <w:rPr>
          <w:spacing w:val="8"/>
          <w:sz w:val="18"/>
          <w:vertAlign w:val="baseline"/>
        </w:rPr>
        <w:t> </w:t>
      </w:r>
      <w:r>
        <w:rPr>
          <w:spacing w:val="-3"/>
          <w:sz w:val="18"/>
          <w:vertAlign w:val="baseline"/>
        </w:rPr>
        <w:t>w</w:t>
      </w:r>
      <w:r>
        <w:rPr>
          <w:sz w:val="18"/>
          <w:vertAlign w:val="baseline"/>
        </w:rPr>
        <w:t>ere</w:t>
      </w:r>
      <w:r>
        <w:rPr>
          <w:spacing w:val="10"/>
          <w:sz w:val="18"/>
          <w:vertAlign w:val="baseline"/>
        </w:rPr>
        <w:t> </w:t>
      </w:r>
      <w:r>
        <w:rPr>
          <w:sz w:val="18"/>
          <w:vertAlign w:val="baseline"/>
        </w:rPr>
        <w:t>abol</w:t>
      </w:r>
      <w:r>
        <w:rPr>
          <w:spacing w:val="-2"/>
          <w:sz w:val="18"/>
          <w:vertAlign w:val="baseline"/>
        </w:rPr>
        <w:t>i</w:t>
      </w:r>
      <w:r>
        <w:rPr>
          <w:spacing w:val="1"/>
          <w:sz w:val="18"/>
          <w:vertAlign w:val="baseline"/>
        </w:rPr>
        <w:t>s</w:t>
      </w:r>
      <w:r>
        <w:rPr>
          <w:spacing w:val="-2"/>
          <w:sz w:val="18"/>
          <w:vertAlign w:val="baseline"/>
        </w:rPr>
        <w:t>h</w:t>
      </w:r>
      <w:r>
        <w:rPr>
          <w:sz w:val="18"/>
          <w:vertAlign w:val="baseline"/>
        </w:rPr>
        <w:t>ed,</w:t>
      </w:r>
      <w:r>
        <w:rPr>
          <w:spacing w:val="10"/>
          <w:sz w:val="18"/>
          <w:vertAlign w:val="baseline"/>
        </w:rPr>
        <w:t> </w:t>
      </w:r>
      <w:r>
        <w:rPr>
          <w:spacing w:val="-2"/>
          <w:sz w:val="18"/>
          <w:vertAlign w:val="baseline"/>
        </w:rPr>
        <w:t>n</w:t>
      </w:r>
      <w:r>
        <w:rPr>
          <w:sz w:val="18"/>
          <w:vertAlign w:val="baseline"/>
        </w:rPr>
        <w:t>ot</w:t>
      </w:r>
      <w:r>
        <w:rPr>
          <w:spacing w:val="10"/>
          <w:sz w:val="18"/>
          <w:vertAlign w:val="baseline"/>
        </w:rPr>
        <w:t> </w:t>
      </w:r>
      <w:r>
        <w:rPr>
          <w:sz w:val="18"/>
          <w:vertAlign w:val="baseline"/>
        </w:rPr>
        <w:t>be</w:t>
      </w:r>
      <w:r>
        <w:rPr>
          <w:spacing w:val="-2"/>
          <w:sz w:val="18"/>
          <w:vertAlign w:val="baseline"/>
        </w:rPr>
        <w:t>f</w:t>
      </w:r>
      <w:r>
        <w:rPr>
          <w:sz w:val="18"/>
          <w:vertAlign w:val="baseline"/>
        </w:rPr>
        <w:t>ore their usefulness had come to an end. There was no system of training them, as Sir Thomas Strange was to point out (1825); their qualifications were not always great, nor temptation always absent. It was imperative that the texts should be made available to the judges themselves, and the labours of Jones, Henry Colebrooke,</w:t>
      </w:r>
      <w:r>
        <w:rPr>
          <w:spacing w:val="4"/>
          <w:sz w:val="18"/>
          <w:vertAlign w:val="baseline"/>
        </w:rPr>
        <w:t> </w:t>
      </w:r>
      <w:r>
        <w:rPr>
          <w:sz w:val="18"/>
          <w:vertAlign w:val="baseline"/>
        </w:rPr>
        <w:t>the</w:t>
      </w:r>
    </w:p>
    <w:p>
      <w:pPr>
        <w:spacing w:after="0"/>
        <w:jc w:val="both"/>
        <w:rPr>
          <w:sz w:val="18"/>
        </w:rPr>
        <w:sectPr>
          <w:pgSz w:w="11910" w:h="16840"/>
          <w:pgMar w:header="721" w:footer="1014" w:top="1300" w:bottom="1200" w:left="940" w:right="1000"/>
        </w:sectPr>
      </w:pPr>
    </w:p>
    <w:p>
      <w:pPr>
        <w:pStyle w:val="BodyText"/>
        <w:spacing w:line="480" w:lineRule="auto" w:before="124"/>
        <w:ind w:left="500" w:right="440"/>
        <w:jc w:val="both"/>
      </w:pPr>
      <w:r>
        <w:rPr/>
        <w:t>the Privy Council in 1833 as the final court of appeal from India. These together resulted in the conflation between ‗justice, equity and good conscience‘ and </w:t>
      </w:r>
      <w:r>
        <w:rPr>
          <w:spacing w:val="-1"/>
          <w:w w:val="99"/>
        </w:rPr>
        <w:t>E</w:t>
      </w:r>
      <w:r>
        <w:rPr>
          <w:w w:val="99"/>
        </w:rPr>
        <w:t>nglish</w:t>
      </w:r>
      <w:r>
        <w:rPr/>
        <w:t> </w:t>
      </w:r>
      <w:r>
        <w:rPr>
          <w:spacing w:val="-20"/>
        </w:rPr>
        <w:t> </w:t>
      </w:r>
      <w:r>
        <w:rPr>
          <w:w w:val="99"/>
        </w:rPr>
        <w:t>law.</w:t>
      </w:r>
      <w:r>
        <w:rPr/>
        <w:t> </w:t>
      </w:r>
      <w:r>
        <w:rPr>
          <w:spacing w:val="-19"/>
        </w:rPr>
        <w:t> </w:t>
      </w:r>
      <w:r>
        <w:rPr>
          <w:w w:val="99"/>
        </w:rPr>
        <w:t>How</w:t>
      </w:r>
      <w:r>
        <w:rPr>
          <w:spacing w:val="2"/>
          <w:w w:val="99"/>
        </w:rPr>
        <w:t>e</w:t>
      </w:r>
      <w:r>
        <w:rPr>
          <w:spacing w:val="-3"/>
          <w:w w:val="99"/>
        </w:rPr>
        <w:t>v</w:t>
      </w:r>
      <w:r>
        <w:rPr>
          <w:spacing w:val="2"/>
          <w:w w:val="99"/>
        </w:rPr>
        <w:t>e</w:t>
      </w:r>
      <w:r>
        <w:rPr>
          <w:w w:val="99"/>
        </w:rPr>
        <w:t>r</w:t>
      </w:r>
      <w:r>
        <w:rPr>
          <w:w w:val="99"/>
        </w:rPr>
        <w:t>,</w:t>
      </w:r>
      <w:r>
        <w:rPr/>
        <w:t> </w:t>
      </w:r>
      <w:r>
        <w:rPr>
          <w:spacing w:val="-19"/>
        </w:rPr>
        <w:t> </w:t>
      </w:r>
      <w:r>
        <w:rPr>
          <w:w w:val="99"/>
        </w:rPr>
        <w:t>in</w:t>
      </w:r>
      <w:r>
        <w:rPr/>
        <w:t> </w:t>
      </w:r>
      <w:r>
        <w:rPr>
          <w:spacing w:val="-19"/>
        </w:rPr>
        <w:t> </w:t>
      </w:r>
      <w:r>
        <w:rPr>
          <w:w w:val="99"/>
        </w:rPr>
        <w:t>tr</w:t>
      </w:r>
      <w:r>
        <w:rPr>
          <w:w w:val="99"/>
        </w:rPr>
        <w:t>uth</w:t>
      </w:r>
      <w:r>
        <w:rPr>
          <w:w w:val="99"/>
        </w:rPr>
        <w:t>,</w:t>
      </w:r>
      <w:r>
        <w:rPr/>
        <w:t> </w:t>
      </w:r>
      <w:r>
        <w:rPr>
          <w:spacing w:val="-22"/>
        </w:rPr>
        <w:t> </w:t>
      </w:r>
      <w:r>
        <w:rPr>
          <w:w w:val="99"/>
        </w:rPr>
        <w:t>the</w:t>
      </w:r>
      <w:r>
        <w:rPr/>
        <w:t> </w:t>
      </w:r>
      <w:r>
        <w:rPr>
          <w:spacing w:val="-19"/>
        </w:rPr>
        <w:t> </w:t>
      </w:r>
      <w:r>
        <w:rPr>
          <w:w w:val="99"/>
        </w:rPr>
        <w:t>te</w:t>
      </w:r>
      <w:r>
        <w:rPr>
          <w:spacing w:val="3"/>
          <w:w w:val="99"/>
        </w:rPr>
        <w:t>r</w:t>
      </w:r>
      <w:r>
        <w:rPr>
          <w:w w:val="99"/>
        </w:rPr>
        <w:t>m</w:t>
      </w:r>
      <w:r>
        <w:rPr/>
        <w:t> </w:t>
      </w:r>
      <w:r>
        <w:rPr>
          <w:spacing w:val="-19"/>
        </w:rPr>
        <w:t> </w:t>
      </w:r>
      <w:r>
        <w:rPr>
          <w:spacing w:val="-3"/>
          <w:w w:val="40"/>
        </w:rPr>
        <w:t>‗</w:t>
      </w:r>
      <w:r>
        <w:rPr>
          <w:spacing w:val="-1"/>
          <w:w w:val="99"/>
        </w:rPr>
        <w:t>justice</w:t>
      </w:r>
      <w:r>
        <w:rPr>
          <w:w w:val="99"/>
        </w:rPr>
        <w:t>,</w:t>
      </w:r>
      <w:r>
        <w:rPr/>
        <w:t> </w:t>
      </w:r>
      <w:r>
        <w:rPr>
          <w:spacing w:val="-19"/>
        </w:rPr>
        <w:t> </w:t>
      </w:r>
      <w:r>
        <w:rPr>
          <w:spacing w:val="-1"/>
          <w:w w:val="99"/>
        </w:rPr>
        <w:t>e</w:t>
      </w:r>
      <w:r>
        <w:rPr>
          <w:w w:val="99"/>
        </w:rPr>
        <w:t>q</w:t>
      </w:r>
      <w:r>
        <w:rPr>
          <w:spacing w:val="-1"/>
          <w:w w:val="99"/>
        </w:rPr>
        <w:t>uit</w:t>
      </w:r>
      <w:r>
        <w:rPr>
          <w:w w:val="99"/>
        </w:rPr>
        <w:t>y</w:t>
      </w:r>
      <w:r>
        <w:rPr/>
        <w:t> </w:t>
      </w:r>
      <w:r>
        <w:rPr>
          <w:spacing w:val="-22"/>
        </w:rPr>
        <w:t> </w:t>
      </w:r>
      <w:r>
        <w:rPr>
          <w:spacing w:val="-1"/>
          <w:w w:val="99"/>
        </w:rPr>
        <w:t>a</w:t>
      </w:r>
      <w:r>
        <w:rPr>
          <w:w w:val="99"/>
        </w:rPr>
        <w:t>nd</w:t>
      </w:r>
      <w:r>
        <w:rPr/>
        <w:t> </w:t>
      </w:r>
      <w:r>
        <w:rPr>
          <w:spacing w:val="-19"/>
        </w:rPr>
        <w:t> </w:t>
      </w:r>
      <w:r>
        <w:rPr>
          <w:spacing w:val="-1"/>
          <w:w w:val="99"/>
        </w:rPr>
        <w:t>g</w:t>
      </w:r>
      <w:r>
        <w:rPr>
          <w:w w:val="99"/>
        </w:rPr>
        <w:t>o</w:t>
      </w:r>
      <w:r>
        <w:rPr>
          <w:spacing w:val="-1"/>
          <w:w w:val="99"/>
        </w:rPr>
        <w:t>o</w:t>
      </w:r>
      <w:r>
        <w:rPr>
          <w:w w:val="99"/>
        </w:rPr>
        <w:t>d</w:t>
      </w:r>
      <w:r>
        <w:rPr/>
        <w:t> </w:t>
      </w:r>
      <w:r>
        <w:rPr>
          <w:spacing w:val="-19"/>
        </w:rPr>
        <w:t> </w:t>
      </w:r>
      <w:r>
        <w:rPr>
          <w:w w:val="99"/>
        </w:rPr>
        <w:t>conscience‘ </w:t>
      </w:r>
      <w:r>
        <w:rPr/>
        <w:t>authorises a broad-ranging reference to analogous systems of law to source legal principles that can be applied to the specific case before the court and ensure a just</w:t>
      </w:r>
      <w:r>
        <w:rPr>
          <w:spacing w:val="-2"/>
        </w:rPr>
        <w:t> </w:t>
      </w:r>
      <w:r>
        <w:rPr/>
        <w:t>outcome.</w:t>
      </w:r>
    </w:p>
    <w:p>
      <w:pPr>
        <w:pStyle w:val="BodyText"/>
        <w:rPr>
          <w:sz w:val="28"/>
        </w:rPr>
      </w:pPr>
    </w:p>
    <w:p>
      <w:pPr>
        <w:pStyle w:val="BodyText"/>
        <w:spacing w:before="8"/>
        <w:rPr>
          <w:sz w:val="24"/>
        </w:rPr>
      </w:pPr>
    </w:p>
    <w:p>
      <w:pPr>
        <w:pStyle w:val="ListParagraph"/>
        <w:numPr>
          <w:ilvl w:val="0"/>
          <w:numId w:val="166"/>
        </w:numPr>
        <w:tabs>
          <w:tab w:pos="1221" w:val="left" w:leader="none"/>
        </w:tabs>
        <w:spacing w:line="240" w:lineRule="auto" w:before="1" w:after="0"/>
        <w:ind w:left="1220" w:right="0" w:hanging="721"/>
        <w:jc w:val="both"/>
        <w:rPr>
          <w:sz w:val="25"/>
        </w:rPr>
      </w:pPr>
      <w:r>
        <w:rPr>
          <w:sz w:val="25"/>
        </w:rPr>
        <w:t>The</w:t>
      </w:r>
      <w:r>
        <w:rPr>
          <w:spacing w:val="28"/>
          <w:sz w:val="25"/>
        </w:rPr>
        <w:t> </w:t>
      </w:r>
      <w:r>
        <w:rPr>
          <w:sz w:val="25"/>
        </w:rPr>
        <w:t>correct</w:t>
      </w:r>
      <w:r>
        <w:rPr>
          <w:spacing w:val="28"/>
          <w:sz w:val="25"/>
        </w:rPr>
        <w:t> </w:t>
      </w:r>
      <w:r>
        <w:rPr>
          <w:sz w:val="25"/>
        </w:rPr>
        <w:t>legal</w:t>
      </w:r>
      <w:r>
        <w:rPr>
          <w:spacing w:val="27"/>
          <w:sz w:val="25"/>
        </w:rPr>
        <w:t> </w:t>
      </w:r>
      <w:r>
        <w:rPr>
          <w:sz w:val="25"/>
        </w:rPr>
        <w:t>position</w:t>
      </w:r>
      <w:r>
        <w:rPr>
          <w:spacing w:val="28"/>
          <w:sz w:val="25"/>
        </w:rPr>
        <w:t> </w:t>
      </w:r>
      <w:r>
        <w:rPr>
          <w:sz w:val="25"/>
        </w:rPr>
        <w:t>was</w:t>
      </w:r>
      <w:r>
        <w:rPr>
          <w:spacing w:val="27"/>
          <w:sz w:val="25"/>
        </w:rPr>
        <w:t> </w:t>
      </w:r>
      <w:r>
        <w:rPr>
          <w:sz w:val="25"/>
        </w:rPr>
        <w:t>noted</w:t>
      </w:r>
      <w:r>
        <w:rPr>
          <w:spacing w:val="33"/>
          <w:sz w:val="25"/>
        </w:rPr>
        <w:t> </w:t>
      </w:r>
      <w:r>
        <w:rPr>
          <w:sz w:val="25"/>
        </w:rPr>
        <w:t>by</w:t>
      </w:r>
      <w:r>
        <w:rPr>
          <w:spacing w:val="25"/>
          <w:sz w:val="25"/>
        </w:rPr>
        <w:t> </w:t>
      </w:r>
      <w:r>
        <w:rPr>
          <w:sz w:val="25"/>
        </w:rPr>
        <w:t>Chief</w:t>
      </w:r>
      <w:r>
        <w:rPr>
          <w:spacing w:val="28"/>
          <w:sz w:val="25"/>
        </w:rPr>
        <w:t> </w:t>
      </w:r>
      <w:r>
        <w:rPr>
          <w:sz w:val="25"/>
        </w:rPr>
        <w:t>Justice</w:t>
      </w:r>
      <w:r>
        <w:rPr>
          <w:spacing w:val="29"/>
          <w:sz w:val="25"/>
        </w:rPr>
        <w:t> </w:t>
      </w:r>
      <w:r>
        <w:rPr>
          <w:sz w:val="25"/>
        </w:rPr>
        <w:t>Barnes</w:t>
      </w:r>
      <w:r>
        <w:rPr>
          <w:spacing w:val="27"/>
          <w:sz w:val="25"/>
        </w:rPr>
        <w:t> </w:t>
      </w:r>
      <w:r>
        <w:rPr>
          <w:sz w:val="25"/>
        </w:rPr>
        <w:t>Peacock</w:t>
      </w:r>
      <w:r>
        <w:rPr>
          <w:spacing w:val="28"/>
          <w:sz w:val="25"/>
        </w:rPr>
        <w:t> </w:t>
      </w:r>
      <w:r>
        <w:rPr>
          <w:sz w:val="25"/>
        </w:rPr>
        <w:t>in</w:t>
      </w:r>
    </w:p>
    <w:p>
      <w:pPr>
        <w:pStyle w:val="BodyText"/>
        <w:spacing w:before="9"/>
        <w:rPr>
          <w:sz w:val="24"/>
        </w:rPr>
      </w:pPr>
    </w:p>
    <w:p>
      <w:pPr>
        <w:spacing w:before="1"/>
        <w:ind w:left="500" w:right="0" w:firstLine="0"/>
        <w:jc w:val="both"/>
        <w:rPr>
          <w:sz w:val="25"/>
        </w:rPr>
      </w:pPr>
      <w:r>
        <w:rPr>
          <w:b/>
          <w:sz w:val="25"/>
        </w:rPr>
        <w:t>Degunbaree Dabee </w:t>
      </w:r>
      <w:r>
        <w:rPr>
          <w:sz w:val="25"/>
        </w:rPr>
        <w:t>v </w:t>
      </w:r>
      <w:r>
        <w:rPr>
          <w:b/>
          <w:sz w:val="25"/>
        </w:rPr>
        <w:t>Eshan Chunder Sein</w:t>
      </w:r>
      <w:r>
        <w:rPr>
          <w:sz w:val="25"/>
          <w:vertAlign w:val="superscript"/>
        </w:rPr>
        <w:t>347</w:t>
      </w:r>
      <w:r>
        <w:rPr>
          <w:sz w:val="25"/>
          <w:vertAlign w:val="baseline"/>
        </w:rPr>
        <w:t> where it was held:</w:t>
      </w:r>
    </w:p>
    <w:p>
      <w:pPr>
        <w:pStyle w:val="BodyText"/>
        <w:spacing w:before="11"/>
        <w:rPr>
          <w:sz w:val="38"/>
        </w:rPr>
      </w:pPr>
    </w:p>
    <w:p>
      <w:pPr>
        <w:spacing w:line="276" w:lineRule="auto" w:before="0"/>
        <w:ind w:left="1918" w:right="2261" w:firstLine="0"/>
        <w:jc w:val="both"/>
        <w:rPr>
          <w:sz w:val="21"/>
        </w:rPr>
      </w:pPr>
      <w:r>
        <w:rPr>
          <w:w w:val="33"/>
          <w:sz w:val="21"/>
        </w:rPr>
        <w:t>―</w:t>
      </w:r>
      <w:r>
        <w:rPr>
          <w:w w:val="100"/>
          <w:sz w:val="21"/>
        </w:rPr>
        <w:t>Now,</w:t>
      </w:r>
      <w:r>
        <w:rPr>
          <w:sz w:val="21"/>
        </w:rPr>
        <w:t>    </w:t>
      </w:r>
      <w:r>
        <w:rPr>
          <w:w w:val="100"/>
          <w:sz w:val="21"/>
        </w:rPr>
        <w:t>having</w:t>
      </w:r>
      <w:r>
        <w:rPr>
          <w:sz w:val="21"/>
        </w:rPr>
        <w:t>    </w:t>
      </w:r>
      <w:r>
        <w:rPr>
          <w:w w:val="100"/>
          <w:sz w:val="21"/>
        </w:rPr>
        <w:t>to</w:t>
      </w:r>
      <w:r>
        <w:rPr>
          <w:sz w:val="21"/>
        </w:rPr>
        <w:t>   </w:t>
      </w:r>
      <w:r>
        <w:rPr>
          <w:w w:val="100"/>
          <w:sz w:val="21"/>
        </w:rPr>
        <w:t>administer</w:t>
      </w:r>
      <w:r>
        <w:rPr>
          <w:sz w:val="21"/>
        </w:rPr>
        <w:t>   </w:t>
      </w:r>
      <w:r>
        <w:rPr>
          <w:w w:val="100"/>
          <w:sz w:val="21"/>
        </w:rPr>
        <w:t>equity,</w:t>
      </w:r>
      <w:r>
        <w:rPr>
          <w:sz w:val="21"/>
        </w:rPr>
        <w:t>    </w:t>
      </w:r>
      <w:r>
        <w:rPr>
          <w:w w:val="100"/>
          <w:sz w:val="21"/>
        </w:rPr>
        <w:t>justice</w:t>
      </w:r>
      <w:r>
        <w:rPr>
          <w:sz w:val="21"/>
        </w:rPr>
        <w:t>   </w:t>
      </w:r>
      <w:r>
        <w:rPr>
          <w:w w:val="100"/>
          <w:sz w:val="21"/>
        </w:rPr>
        <w:t>and</w:t>
      </w:r>
      <w:r>
        <w:rPr>
          <w:sz w:val="21"/>
        </w:rPr>
        <w:t>   </w:t>
      </w:r>
      <w:r>
        <w:rPr>
          <w:w w:val="100"/>
          <w:sz w:val="21"/>
        </w:rPr>
        <w:t>good </w:t>
      </w:r>
      <w:r>
        <w:rPr>
          <w:sz w:val="21"/>
        </w:rPr>
        <w:t>conscience, where are we to look for the principles which are to guide us? We must go to other countries where equity and justice are administered upon principles which have been the growth of ages, and see how the courts act under similar circumstances; and if we find that the rules which they have laid down are in accordance with the true principles of equity, we cannot do wrong in following them.‖</w:t>
      </w:r>
    </w:p>
    <w:p>
      <w:pPr>
        <w:pStyle w:val="BodyText"/>
        <w:rPr>
          <w:sz w:val="24"/>
        </w:rPr>
      </w:pPr>
    </w:p>
    <w:p>
      <w:pPr>
        <w:pStyle w:val="BodyText"/>
        <w:spacing w:line="480" w:lineRule="auto" w:before="209"/>
        <w:ind w:left="500" w:right="441"/>
        <w:jc w:val="both"/>
      </w:pPr>
      <w:r>
        <w:rPr/>
        <w:t>A true understanding of the evolution of the concept found expression in judicial decisions in India. In </w:t>
      </w:r>
      <w:r>
        <w:rPr>
          <w:b/>
        </w:rPr>
        <w:t>Gatha Ram Mistree </w:t>
      </w:r>
      <w:r>
        <w:rPr/>
        <w:t>v </w:t>
      </w:r>
      <w:r>
        <w:rPr>
          <w:b/>
        </w:rPr>
        <w:t>Moohita Kochin Atteah Domoonee</w:t>
      </w:r>
      <w:r>
        <w:rPr/>
        <w:t>,</w:t>
      </w:r>
      <w:r>
        <w:rPr>
          <w:vertAlign w:val="superscript"/>
        </w:rPr>
        <w:t>348</w:t>
      </w:r>
      <w:r>
        <w:rPr>
          <w:vertAlign w:val="baseline"/>
        </w:rPr>
        <w:t> the plaintiff filed a suit for the restitution of conjugal rights. The Deputy Commissioner held that though a ceremony took place, it did not constitute a formal marriage. No reasons were given and hence, the matter was remanded. In addition to this direction, Justice W Markby made an additional observation with respect to the enforceability of a decree of restitution of conjugal relations:</w:t>
      </w:r>
    </w:p>
    <w:p>
      <w:pPr>
        <w:pStyle w:val="BodyText"/>
        <w:spacing w:before="3"/>
        <w:rPr>
          <w:sz w:val="26"/>
        </w:rPr>
      </w:pPr>
      <w:r>
        <w:rPr/>
        <w:pict>
          <v:rect style="position:absolute;margin-left:72.024002pt;margin-top:17.091211pt;width:451.39pt;height:.599980pt;mso-position-horizontal-relative:page;mso-position-vertical-relative:paragraph;z-index:-15625216;mso-wrap-distance-left:0;mso-wrap-distance-right:0" filled="true" fillcolor="#000000" stroked="false">
            <v:fill type="solid"/>
            <w10:wrap type="topAndBottom"/>
          </v:rect>
        </w:pict>
      </w:r>
    </w:p>
    <w:p>
      <w:pPr>
        <w:spacing w:before="81"/>
        <w:ind w:left="500" w:right="0" w:firstLine="0"/>
        <w:jc w:val="left"/>
        <w:rPr>
          <w:sz w:val="18"/>
        </w:rPr>
      </w:pPr>
      <w:r>
        <w:rPr>
          <w:sz w:val="18"/>
        </w:rPr>
        <w:t>Macnaghtens, and Strange were directed to the translation of the original authorities and the exposition of their contents.‖</w:t>
      </w:r>
    </w:p>
    <w:p>
      <w:pPr>
        <w:spacing w:line="206" w:lineRule="exact" w:before="0"/>
        <w:ind w:left="500" w:right="0" w:firstLine="0"/>
        <w:jc w:val="left"/>
        <w:rPr>
          <w:sz w:val="18"/>
        </w:rPr>
      </w:pPr>
      <w:r>
        <w:rPr>
          <w:sz w:val="18"/>
          <w:vertAlign w:val="superscript"/>
        </w:rPr>
        <w:t>347</w:t>
      </w:r>
      <w:r>
        <w:rPr>
          <w:sz w:val="18"/>
          <w:vertAlign w:val="baseline"/>
        </w:rPr>
        <w:t> (1868) 9 W.R. 230, 232.</w:t>
      </w:r>
    </w:p>
    <w:p>
      <w:pPr>
        <w:spacing w:before="1"/>
        <w:ind w:left="500" w:right="0" w:firstLine="0"/>
        <w:jc w:val="left"/>
        <w:rPr>
          <w:sz w:val="18"/>
        </w:rPr>
      </w:pPr>
      <w:r>
        <w:rPr>
          <w:sz w:val="18"/>
          <w:vertAlign w:val="superscript"/>
        </w:rPr>
        <w:t>348</w:t>
      </w:r>
      <w:r>
        <w:rPr>
          <w:sz w:val="18"/>
          <w:vertAlign w:val="baseline"/>
        </w:rPr>
        <w:t> (1875) 23 W.R. 179</w:t>
      </w:r>
    </w:p>
    <w:p>
      <w:pPr>
        <w:spacing w:after="0"/>
        <w:jc w:val="left"/>
        <w:rPr>
          <w:sz w:val="18"/>
        </w:rPr>
        <w:sectPr>
          <w:pgSz w:w="11910" w:h="16840"/>
          <w:pgMar w:header="721" w:footer="1014" w:top="1300" w:bottom="1200" w:left="940" w:right="1000"/>
        </w:sectPr>
      </w:pPr>
    </w:p>
    <w:p>
      <w:pPr>
        <w:spacing w:line="276" w:lineRule="auto" w:before="122"/>
        <w:ind w:left="1918" w:right="2259" w:firstLine="0"/>
        <w:jc w:val="both"/>
        <w:rPr>
          <w:sz w:val="21"/>
        </w:rPr>
      </w:pPr>
      <w:r>
        <w:rPr>
          <w:spacing w:val="-1"/>
          <w:w w:val="33"/>
          <w:sz w:val="21"/>
        </w:rPr>
        <w:t>―</w:t>
      </w:r>
      <w:r>
        <w:rPr>
          <w:w w:val="100"/>
          <w:sz w:val="21"/>
        </w:rPr>
        <w:t>B</w:t>
      </w:r>
      <w:r>
        <w:rPr>
          <w:spacing w:val="-1"/>
          <w:w w:val="100"/>
          <w:sz w:val="21"/>
        </w:rPr>
        <w:t>u</w:t>
      </w:r>
      <w:r>
        <w:rPr>
          <w:w w:val="100"/>
          <w:sz w:val="21"/>
        </w:rPr>
        <w:t>t</w:t>
      </w:r>
      <w:r>
        <w:rPr>
          <w:spacing w:val="5"/>
          <w:sz w:val="21"/>
        </w:rPr>
        <w:t> </w:t>
      </w:r>
      <w:r>
        <w:rPr>
          <w:w w:val="100"/>
          <w:sz w:val="21"/>
        </w:rPr>
        <w:t>su</w:t>
      </w:r>
      <w:r>
        <w:rPr>
          <w:spacing w:val="-3"/>
          <w:w w:val="100"/>
          <w:sz w:val="21"/>
        </w:rPr>
        <w:t>r</w:t>
      </w:r>
      <w:r>
        <w:rPr>
          <w:spacing w:val="-1"/>
          <w:w w:val="100"/>
          <w:sz w:val="21"/>
        </w:rPr>
        <w:t>e</w:t>
      </w:r>
      <w:r>
        <w:rPr>
          <w:spacing w:val="1"/>
          <w:w w:val="100"/>
          <w:sz w:val="21"/>
        </w:rPr>
        <w:t>l</w:t>
      </w:r>
      <w:r>
        <w:rPr>
          <w:spacing w:val="-3"/>
          <w:w w:val="100"/>
          <w:sz w:val="21"/>
        </w:rPr>
        <w:t>y</w:t>
      </w:r>
      <w:r>
        <w:rPr>
          <w:w w:val="100"/>
          <w:sz w:val="21"/>
        </w:rPr>
        <w:t>,</w:t>
      </w:r>
      <w:r>
        <w:rPr>
          <w:spacing w:val="5"/>
          <w:sz w:val="21"/>
        </w:rPr>
        <w:t> </w:t>
      </w:r>
      <w:r>
        <w:rPr>
          <w:spacing w:val="-2"/>
          <w:w w:val="100"/>
          <w:sz w:val="21"/>
        </w:rPr>
        <w:t>w</w:t>
      </w:r>
      <w:r>
        <w:rPr>
          <w:spacing w:val="-1"/>
          <w:w w:val="100"/>
          <w:sz w:val="21"/>
        </w:rPr>
        <w:t>he</w:t>
      </w:r>
      <w:r>
        <w:rPr>
          <w:w w:val="100"/>
          <w:sz w:val="21"/>
        </w:rPr>
        <w:t>n</w:t>
      </w:r>
      <w:r>
        <w:rPr>
          <w:spacing w:val="4"/>
          <w:sz w:val="21"/>
        </w:rPr>
        <w:t> </w:t>
      </w:r>
      <w:r>
        <w:rPr>
          <w:spacing w:val="-2"/>
          <w:w w:val="100"/>
          <w:sz w:val="21"/>
        </w:rPr>
        <w:t>w</w:t>
      </w:r>
      <w:r>
        <w:rPr>
          <w:w w:val="100"/>
          <w:sz w:val="21"/>
        </w:rPr>
        <w:t>e</w:t>
      </w:r>
      <w:r>
        <w:rPr>
          <w:spacing w:val="3"/>
          <w:sz w:val="21"/>
        </w:rPr>
        <w:t> </w:t>
      </w:r>
      <w:r>
        <w:rPr>
          <w:w w:val="100"/>
          <w:sz w:val="21"/>
        </w:rPr>
        <w:t>l</w:t>
      </w:r>
      <w:r>
        <w:rPr>
          <w:spacing w:val="-1"/>
          <w:w w:val="100"/>
          <w:sz w:val="21"/>
        </w:rPr>
        <w:t>o</w:t>
      </w:r>
      <w:r>
        <w:rPr>
          <w:spacing w:val="-3"/>
          <w:w w:val="100"/>
          <w:sz w:val="21"/>
        </w:rPr>
        <w:t>o</w:t>
      </w:r>
      <w:r>
        <w:rPr>
          <w:w w:val="100"/>
          <w:sz w:val="21"/>
        </w:rPr>
        <w:t>k</w:t>
      </w:r>
      <w:r>
        <w:rPr>
          <w:spacing w:val="6"/>
          <w:sz w:val="21"/>
        </w:rPr>
        <w:t> </w:t>
      </w:r>
      <w:r>
        <w:rPr>
          <w:spacing w:val="-2"/>
          <w:w w:val="100"/>
          <w:sz w:val="21"/>
        </w:rPr>
        <w:t>t</w:t>
      </w:r>
      <w:r>
        <w:rPr>
          <w:w w:val="100"/>
          <w:sz w:val="21"/>
        </w:rPr>
        <w:t>o</w:t>
      </w:r>
      <w:r>
        <w:rPr>
          <w:spacing w:val="6"/>
          <w:sz w:val="21"/>
        </w:rPr>
        <w:t> </w:t>
      </w:r>
      <w:r>
        <w:rPr>
          <w:spacing w:val="-2"/>
          <w:w w:val="100"/>
          <w:sz w:val="21"/>
        </w:rPr>
        <w:t>t</w:t>
      </w:r>
      <w:r>
        <w:rPr>
          <w:spacing w:val="-1"/>
          <w:w w:val="100"/>
          <w:sz w:val="21"/>
        </w:rPr>
        <w:t>h</w:t>
      </w:r>
      <w:r>
        <w:rPr>
          <w:w w:val="100"/>
          <w:sz w:val="21"/>
        </w:rPr>
        <w:t>e</w:t>
      </w:r>
      <w:r>
        <w:rPr>
          <w:spacing w:val="4"/>
          <w:sz w:val="21"/>
        </w:rPr>
        <w:t> </w:t>
      </w:r>
      <w:r>
        <w:rPr>
          <w:w w:val="100"/>
          <w:sz w:val="21"/>
        </w:rPr>
        <w:t>l</w:t>
      </w:r>
      <w:r>
        <w:rPr>
          <w:spacing w:val="-1"/>
          <w:w w:val="100"/>
          <w:sz w:val="21"/>
        </w:rPr>
        <w:t>a</w:t>
      </w:r>
      <w:r>
        <w:rPr>
          <w:w w:val="100"/>
          <w:sz w:val="21"/>
        </w:rPr>
        <w:t>w</w:t>
      </w:r>
      <w:r>
        <w:rPr>
          <w:spacing w:val="2"/>
          <w:sz w:val="21"/>
        </w:rPr>
        <w:t> </w:t>
      </w:r>
      <w:r>
        <w:rPr>
          <w:spacing w:val="-1"/>
          <w:w w:val="100"/>
          <w:sz w:val="21"/>
        </w:rPr>
        <w:t>o</w:t>
      </w:r>
      <w:r>
        <w:rPr>
          <w:w w:val="100"/>
          <w:sz w:val="21"/>
        </w:rPr>
        <w:t>f</w:t>
      </w:r>
      <w:r>
        <w:rPr>
          <w:spacing w:val="5"/>
          <w:sz w:val="21"/>
        </w:rPr>
        <w:t> </w:t>
      </w:r>
      <w:r>
        <w:rPr>
          <w:spacing w:val="-2"/>
          <w:w w:val="100"/>
          <w:sz w:val="21"/>
        </w:rPr>
        <w:t>E</w:t>
      </w:r>
      <w:r>
        <w:rPr>
          <w:spacing w:val="-1"/>
          <w:w w:val="100"/>
          <w:sz w:val="21"/>
        </w:rPr>
        <w:t>n</w:t>
      </w:r>
      <w:r>
        <w:rPr>
          <w:spacing w:val="-3"/>
          <w:w w:val="100"/>
          <w:sz w:val="21"/>
        </w:rPr>
        <w:t>g</w:t>
      </w:r>
      <w:r>
        <w:rPr>
          <w:w w:val="100"/>
          <w:sz w:val="21"/>
        </w:rPr>
        <w:t>l</w:t>
      </w:r>
      <w:r>
        <w:rPr>
          <w:spacing w:val="-1"/>
          <w:w w:val="100"/>
          <w:sz w:val="21"/>
        </w:rPr>
        <w:t>a</w:t>
      </w:r>
      <w:r>
        <w:rPr>
          <w:spacing w:val="-3"/>
          <w:w w:val="100"/>
          <w:sz w:val="21"/>
        </w:rPr>
        <w:t>n</w:t>
      </w:r>
      <w:r>
        <w:rPr>
          <w:w w:val="100"/>
          <w:sz w:val="21"/>
        </w:rPr>
        <w:t>d</w:t>
      </w:r>
      <w:r>
        <w:rPr>
          <w:spacing w:val="3"/>
          <w:sz w:val="21"/>
        </w:rPr>
        <w:t> </w:t>
      </w:r>
      <w:r>
        <w:rPr>
          <w:spacing w:val="1"/>
          <w:w w:val="100"/>
          <w:sz w:val="21"/>
        </w:rPr>
        <w:t>f</w:t>
      </w:r>
      <w:r>
        <w:rPr>
          <w:spacing w:val="-1"/>
          <w:w w:val="100"/>
          <w:sz w:val="21"/>
        </w:rPr>
        <w:t>o</w:t>
      </w:r>
      <w:r>
        <w:rPr>
          <w:w w:val="100"/>
          <w:sz w:val="21"/>
        </w:rPr>
        <w:t>r</w:t>
      </w:r>
      <w:r>
        <w:rPr>
          <w:spacing w:val="3"/>
          <w:sz w:val="21"/>
        </w:rPr>
        <w:t> </w:t>
      </w:r>
      <w:r>
        <w:rPr>
          <w:w w:val="100"/>
          <w:sz w:val="21"/>
        </w:rPr>
        <w:t>a</w:t>
      </w:r>
      <w:r>
        <w:rPr>
          <w:spacing w:val="6"/>
          <w:sz w:val="21"/>
        </w:rPr>
        <w:t> </w:t>
      </w:r>
      <w:r>
        <w:rPr>
          <w:spacing w:val="-1"/>
          <w:w w:val="100"/>
          <w:sz w:val="21"/>
        </w:rPr>
        <w:t>g</w:t>
      </w:r>
      <w:r>
        <w:rPr>
          <w:spacing w:val="-3"/>
          <w:w w:val="100"/>
          <w:sz w:val="21"/>
        </w:rPr>
        <w:t>u</w:t>
      </w:r>
      <w:r>
        <w:rPr>
          <w:w w:val="100"/>
          <w:sz w:val="21"/>
        </w:rPr>
        <w:t>i</w:t>
      </w:r>
      <w:r>
        <w:rPr>
          <w:spacing w:val="-3"/>
          <w:w w:val="100"/>
          <w:sz w:val="21"/>
        </w:rPr>
        <w:t>d</w:t>
      </w:r>
      <w:r>
        <w:rPr>
          <w:spacing w:val="-1"/>
          <w:w w:val="100"/>
          <w:sz w:val="21"/>
        </w:rPr>
        <w:t>e</w:t>
      </w:r>
      <w:r>
        <w:rPr>
          <w:w w:val="100"/>
          <w:sz w:val="21"/>
        </w:rPr>
        <w:t>,</w:t>
      </w:r>
      <w:r>
        <w:rPr>
          <w:spacing w:val="10"/>
          <w:sz w:val="21"/>
        </w:rPr>
        <w:t> </w:t>
      </w:r>
      <w:r>
        <w:rPr>
          <w:b/>
          <w:spacing w:val="-2"/>
          <w:w w:val="100"/>
          <w:sz w:val="21"/>
        </w:rPr>
        <w:t>i</w:t>
      </w:r>
      <w:r>
        <w:rPr>
          <w:b/>
          <w:w w:val="100"/>
          <w:sz w:val="21"/>
        </w:rPr>
        <w:t>t </w:t>
      </w:r>
      <w:r>
        <w:rPr>
          <w:b/>
          <w:sz w:val="21"/>
        </w:rPr>
        <w:t>is where that law is in harmony with </w:t>
      </w:r>
      <w:r>
        <w:rPr>
          <w:b/>
          <w:spacing w:val="-2"/>
          <w:sz w:val="21"/>
        </w:rPr>
        <w:t>the </w:t>
      </w:r>
      <w:r>
        <w:rPr>
          <w:b/>
          <w:sz w:val="21"/>
        </w:rPr>
        <w:t>general principles of equity and jurisprudence that we should adopt it, not where it is exceptional</w:t>
      </w:r>
      <w:r>
        <w:rPr>
          <w:sz w:val="21"/>
        </w:rPr>
        <w:t>. That the English law, on the subject of enforcing conjugal rights, is exception, I  have no manner of doubt…It appears to me, therefore, that if we were to hold that a court could enforce continuous performance of conjugal duties by unlimited fine and imprisonment, </w:t>
      </w:r>
      <w:r>
        <w:rPr>
          <w:b/>
          <w:sz w:val="21"/>
        </w:rPr>
        <w:t>we should place the law of this country in opposition to the law of the whole civilized world, except the ecclesiastic law of</w:t>
      </w:r>
      <w:r>
        <w:rPr>
          <w:b/>
          <w:spacing w:val="-5"/>
          <w:sz w:val="21"/>
        </w:rPr>
        <w:t> </w:t>
      </w:r>
      <w:r>
        <w:rPr>
          <w:b/>
          <w:sz w:val="21"/>
        </w:rPr>
        <w:t>England.</w:t>
      </w:r>
      <w:r>
        <w:rPr>
          <w:sz w:val="21"/>
        </w:rPr>
        <w:t>‖</w:t>
      </w:r>
    </w:p>
    <w:p>
      <w:pPr>
        <w:spacing w:before="1"/>
        <w:ind w:left="5798" w:right="0" w:firstLine="0"/>
        <w:jc w:val="left"/>
        <w:rPr>
          <w:sz w:val="21"/>
        </w:rPr>
      </w:pPr>
      <w:r>
        <w:rPr>
          <w:sz w:val="21"/>
        </w:rPr>
        <w:t>(Emphasis supplied)</w:t>
      </w:r>
    </w:p>
    <w:p>
      <w:pPr>
        <w:pStyle w:val="BodyText"/>
        <w:rPr>
          <w:sz w:val="24"/>
        </w:rPr>
      </w:pPr>
    </w:p>
    <w:p>
      <w:pPr>
        <w:pStyle w:val="BodyText"/>
        <w:spacing w:line="480" w:lineRule="auto" w:before="209"/>
        <w:ind w:left="500" w:right="442"/>
        <w:jc w:val="both"/>
      </w:pPr>
      <w:r>
        <w:rPr/>
        <w:t>The court clarified that even where courts look to English law to furnish a guide, the first step was to check whether it conformed to the principles of general equity and justice. The court recognised that while the exaction of conjugal duties or pain of unlimited fines and imprisonment might conform to the position in England, the court was not bound to adopt it where the governing principles of the civilised legal regimes indicated that it was against justice, equity and good conscience to do</w:t>
      </w:r>
      <w:r>
        <w:rPr>
          <w:spacing w:val="-1"/>
        </w:rPr>
        <w:t> </w:t>
      </w:r>
      <w:r>
        <w:rPr/>
        <w:t>so.</w:t>
      </w:r>
    </w:p>
    <w:p>
      <w:pPr>
        <w:pStyle w:val="BodyText"/>
        <w:rPr>
          <w:sz w:val="28"/>
        </w:rPr>
      </w:pPr>
    </w:p>
    <w:p>
      <w:pPr>
        <w:pStyle w:val="ListParagraph"/>
        <w:numPr>
          <w:ilvl w:val="0"/>
          <w:numId w:val="166"/>
        </w:numPr>
        <w:tabs>
          <w:tab w:pos="1221" w:val="left" w:leader="none"/>
        </w:tabs>
        <w:spacing w:line="480" w:lineRule="auto" w:before="204" w:after="0"/>
        <w:ind w:left="500" w:right="439" w:firstLine="0"/>
        <w:jc w:val="both"/>
        <w:rPr>
          <w:sz w:val="25"/>
        </w:rPr>
      </w:pPr>
      <w:r>
        <w:rPr/>
        <w:pict>
          <v:rect style="position:absolute;margin-left:72.024002pt;margin-top:275.414856pt;width:144.020pt;height:.599980pt;mso-position-horizontal-relative:page;mso-position-vertical-relative:paragraph;z-index:-15624704;mso-wrap-distance-left:0;mso-wrap-distance-right:0" filled="true" fillcolor="#000000" stroked="false">
            <v:fill type="solid"/>
            <w10:wrap type="topAndBottom"/>
          </v:rect>
        </w:pict>
      </w:r>
      <w:r>
        <w:rPr>
          <w:sz w:val="25"/>
        </w:rPr>
        <w:t>In </w:t>
      </w:r>
      <w:r>
        <w:rPr>
          <w:b/>
          <w:sz w:val="25"/>
        </w:rPr>
        <w:t>Radha Kishen </w:t>
      </w:r>
      <w:r>
        <w:rPr>
          <w:sz w:val="25"/>
        </w:rPr>
        <w:t>v </w:t>
      </w:r>
      <w:r>
        <w:rPr>
          <w:b/>
          <w:sz w:val="25"/>
        </w:rPr>
        <w:t>Raj Kaur</w:t>
      </w:r>
      <w:r>
        <w:rPr>
          <w:sz w:val="25"/>
          <w:vertAlign w:val="superscript"/>
        </w:rPr>
        <w:t>349</w:t>
      </w:r>
      <w:r>
        <w:rPr>
          <w:sz w:val="25"/>
          <w:vertAlign w:val="baseline"/>
        </w:rPr>
        <w:t>, a man who bore children from a woman outside his caste was treated to be an outcaste. Upon his death, the woman held his property, the possession of which she handed to their children upon her death. The brothers of the man sued for the recovery of his property contending that the woman and their illegitimate children had no right to the property. The court, without any reference to English law, held that the property was self- acquired and that justice, equity and good conscience required that the suit be dismissed. Chief Justice Edgar and Justice Knox writing together for the Allahabad High Court</w:t>
      </w:r>
      <w:r>
        <w:rPr>
          <w:spacing w:val="-3"/>
          <w:sz w:val="25"/>
          <w:vertAlign w:val="baseline"/>
        </w:rPr>
        <w:t> </w:t>
      </w:r>
      <w:r>
        <w:rPr>
          <w:sz w:val="25"/>
          <w:vertAlign w:val="baseline"/>
        </w:rPr>
        <w:t>held:</w:t>
      </w:r>
    </w:p>
    <w:p>
      <w:pPr>
        <w:spacing w:before="80"/>
        <w:ind w:left="500" w:right="0" w:firstLine="0"/>
        <w:jc w:val="left"/>
        <w:rPr>
          <w:sz w:val="18"/>
        </w:rPr>
      </w:pPr>
      <w:r>
        <w:rPr>
          <w:sz w:val="18"/>
          <w:vertAlign w:val="superscript"/>
        </w:rPr>
        <w:t>349</w:t>
      </w:r>
      <w:r>
        <w:rPr>
          <w:sz w:val="18"/>
          <w:vertAlign w:val="baseline"/>
        </w:rPr>
        <w:t> (1891) 13 All 573</w:t>
      </w:r>
    </w:p>
    <w:p>
      <w:pPr>
        <w:spacing w:after="0"/>
        <w:jc w:val="left"/>
        <w:rPr>
          <w:sz w:val="18"/>
        </w:rPr>
        <w:sectPr>
          <w:pgSz w:w="11910" w:h="16840"/>
          <w:pgMar w:header="721" w:footer="1014" w:top="1300" w:bottom="1200" w:left="940" w:right="1000"/>
        </w:sectPr>
      </w:pPr>
    </w:p>
    <w:p>
      <w:pPr>
        <w:spacing w:line="276" w:lineRule="auto" w:before="122"/>
        <w:ind w:left="1918" w:right="2263" w:firstLine="0"/>
        <w:jc w:val="both"/>
        <w:rPr>
          <w:sz w:val="21"/>
        </w:rPr>
      </w:pPr>
      <w:r>
        <w:rPr>
          <w:w w:val="33"/>
          <w:sz w:val="21"/>
        </w:rPr>
        <w:t>―</w:t>
      </w:r>
      <w:r>
        <w:rPr>
          <w:w w:val="100"/>
          <w:sz w:val="21"/>
        </w:rPr>
        <w:t>We</w:t>
      </w:r>
      <w:r>
        <w:rPr>
          <w:sz w:val="21"/>
        </w:rPr>
        <w:t> </w:t>
      </w:r>
      <w:r>
        <w:rPr>
          <w:w w:val="100"/>
          <w:sz w:val="21"/>
        </w:rPr>
        <w:t>cannot</w:t>
      </w:r>
      <w:r>
        <w:rPr>
          <w:sz w:val="21"/>
        </w:rPr>
        <w:t> </w:t>
      </w:r>
      <w:r>
        <w:rPr>
          <w:w w:val="100"/>
          <w:sz w:val="21"/>
        </w:rPr>
        <w:t>find</w:t>
      </w:r>
      <w:r>
        <w:rPr>
          <w:sz w:val="21"/>
        </w:rPr>
        <w:t> </w:t>
      </w:r>
      <w:r>
        <w:rPr>
          <w:w w:val="100"/>
          <w:sz w:val="21"/>
        </w:rPr>
        <w:t>amongst</w:t>
      </w:r>
      <w:r>
        <w:rPr>
          <w:sz w:val="21"/>
        </w:rPr>
        <w:t> </w:t>
      </w:r>
      <w:r>
        <w:rPr>
          <w:w w:val="100"/>
          <w:sz w:val="21"/>
        </w:rPr>
        <w:t>the</w:t>
      </w:r>
      <w:r>
        <w:rPr>
          <w:sz w:val="21"/>
        </w:rPr>
        <w:t> </w:t>
      </w:r>
      <w:r>
        <w:rPr>
          <w:w w:val="100"/>
          <w:sz w:val="21"/>
        </w:rPr>
        <w:t>authorities</w:t>
      </w:r>
      <w:r>
        <w:rPr>
          <w:sz w:val="21"/>
        </w:rPr>
        <w:t> </w:t>
      </w:r>
      <w:r>
        <w:rPr>
          <w:w w:val="100"/>
          <w:sz w:val="21"/>
        </w:rPr>
        <w:t>and</w:t>
      </w:r>
      <w:r>
        <w:rPr>
          <w:sz w:val="21"/>
        </w:rPr>
        <w:t> </w:t>
      </w:r>
      <w:r>
        <w:rPr>
          <w:w w:val="100"/>
          <w:sz w:val="21"/>
        </w:rPr>
        <w:t>texts</w:t>
      </w:r>
      <w:r>
        <w:rPr>
          <w:sz w:val="21"/>
        </w:rPr>
        <w:t> </w:t>
      </w:r>
      <w:r>
        <w:rPr>
          <w:w w:val="100"/>
          <w:sz w:val="21"/>
        </w:rPr>
        <w:t>cited</w:t>
      </w:r>
      <w:r>
        <w:rPr>
          <w:sz w:val="21"/>
        </w:rPr>
        <w:t> </w:t>
      </w:r>
      <w:r>
        <w:rPr>
          <w:w w:val="100"/>
          <w:sz w:val="21"/>
        </w:rPr>
        <w:t>to</w:t>
      </w:r>
      <w:r>
        <w:rPr>
          <w:sz w:val="21"/>
        </w:rPr>
        <w:t> </w:t>
      </w:r>
      <w:r>
        <w:rPr>
          <w:w w:val="100"/>
          <w:sz w:val="21"/>
        </w:rPr>
        <w:t>us </w:t>
      </w:r>
      <w:r>
        <w:rPr>
          <w:sz w:val="21"/>
        </w:rPr>
        <w:t>any sure principle to guide us in this case. Under these circumstances we must act on the principles of equity and good conscience, and decline to oust from the possession of the property acquired by Khuman his sons and their mother and the widow of the deceased son for the benefit of the vendee of brothers …‖</w:t>
      </w:r>
    </w:p>
    <w:p>
      <w:pPr>
        <w:pStyle w:val="BodyText"/>
        <w:rPr>
          <w:sz w:val="24"/>
        </w:rPr>
      </w:pPr>
    </w:p>
    <w:p>
      <w:pPr>
        <w:pStyle w:val="BodyText"/>
        <w:spacing w:before="3"/>
        <w:rPr>
          <w:sz w:val="26"/>
        </w:rPr>
      </w:pPr>
    </w:p>
    <w:p>
      <w:pPr>
        <w:pStyle w:val="BodyText"/>
        <w:spacing w:line="480" w:lineRule="auto"/>
        <w:ind w:left="500" w:right="446"/>
        <w:jc w:val="both"/>
      </w:pPr>
      <w:r>
        <w:rPr/>
        <w:t>No explicit reference was made to English law, but to general principles that would provide content to the concept of ‗justice, equity and good conscience.‘</w:t>
      </w:r>
    </w:p>
    <w:p>
      <w:pPr>
        <w:pStyle w:val="BodyText"/>
        <w:rPr>
          <w:sz w:val="28"/>
        </w:rPr>
      </w:pPr>
    </w:p>
    <w:p>
      <w:pPr>
        <w:pStyle w:val="ListParagraph"/>
        <w:numPr>
          <w:ilvl w:val="0"/>
          <w:numId w:val="166"/>
        </w:numPr>
        <w:tabs>
          <w:tab w:pos="1221" w:val="left" w:leader="none"/>
        </w:tabs>
        <w:spacing w:line="480" w:lineRule="auto" w:before="201" w:after="0"/>
        <w:ind w:left="500" w:right="440" w:firstLine="0"/>
        <w:jc w:val="both"/>
        <w:rPr>
          <w:sz w:val="25"/>
        </w:rPr>
      </w:pPr>
      <w:r>
        <w:rPr>
          <w:sz w:val="25"/>
        </w:rPr>
        <w:t>In </w:t>
      </w:r>
      <w:r>
        <w:rPr>
          <w:b/>
          <w:sz w:val="25"/>
        </w:rPr>
        <w:t>Rajah Kishendatt Ram </w:t>
      </w:r>
      <w:r>
        <w:rPr>
          <w:sz w:val="25"/>
        </w:rPr>
        <w:t>v </w:t>
      </w:r>
      <w:r>
        <w:rPr>
          <w:b/>
          <w:sz w:val="25"/>
        </w:rPr>
        <w:t>Rajah Mumtaz </w:t>
      </w:r>
      <w:r>
        <w:rPr>
          <w:b/>
          <w:spacing w:val="-2"/>
          <w:sz w:val="25"/>
        </w:rPr>
        <w:t>Ali </w:t>
      </w:r>
      <w:r>
        <w:rPr>
          <w:b/>
          <w:sz w:val="25"/>
        </w:rPr>
        <w:t>Khan</w:t>
      </w:r>
      <w:r>
        <w:rPr>
          <w:sz w:val="25"/>
          <w:vertAlign w:val="superscript"/>
        </w:rPr>
        <w:t>350</w:t>
      </w:r>
      <w:r>
        <w:rPr>
          <w:sz w:val="25"/>
          <w:vertAlign w:val="baseline"/>
        </w:rPr>
        <w:t>, the Privy Council dealt with the rights of redemption of a mortgagor whose property had received accretions through certain mergers by the mortgagee in possession. Justice </w:t>
      </w:r>
      <w:r>
        <w:rPr>
          <w:spacing w:val="-3"/>
          <w:sz w:val="25"/>
          <w:vertAlign w:val="baseline"/>
        </w:rPr>
        <w:t>JW </w:t>
      </w:r>
      <w:r>
        <w:rPr>
          <w:sz w:val="25"/>
          <w:vertAlign w:val="baseline"/>
        </w:rPr>
        <w:t>Colville spoke</w:t>
      </w:r>
      <w:r>
        <w:rPr>
          <w:spacing w:val="-3"/>
          <w:sz w:val="25"/>
          <w:vertAlign w:val="baseline"/>
        </w:rPr>
        <w:t> </w:t>
      </w:r>
      <w:r>
        <w:rPr>
          <w:sz w:val="25"/>
          <w:vertAlign w:val="baseline"/>
        </w:rPr>
        <w:t>thus:</w:t>
      </w:r>
    </w:p>
    <w:p>
      <w:pPr>
        <w:spacing w:line="276" w:lineRule="auto" w:before="162"/>
        <w:ind w:left="1918" w:right="2262" w:firstLine="0"/>
        <w:jc w:val="both"/>
        <w:rPr>
          <w:sz w:val="21"/>
        </w:rPr>
      </w:pPr>
      <w:r>
        <w:rPr>
          <w:spacing w:val="-1"/>
          <w:w w:val="33"/>
          <w:sz w:val="21"/>
        </w:rPr>
        <w:t>―</w:t>
      </w:r>
      <w:r>
        <w:rPr>
          <w:spacing w:val="-1"/>
          <w:w w:val="100"/>
          <w:sz w:val="21"/>
        </w:rPr>
        <w:t>27…I</w:t>
      </w:r>
      <w:r>
        <w:rPr>
          <w:w w:val="100"/>
          <w:sz w:val="21"/>
        </w:rPr>
        <w:t>f</w:t>
      </w:r>
      <w:r>
        <w:rPr>
          <w:sz w:val="21"/>
        </w:rPr>
        <w:t> </w:t>
      </w:r>
      <w:r>
        <w:rPr>
          <w:spacing w:val="-6"/>
          <w:sz w:val="21"/>
        </w:rPr>
        <w:t> </w:t>
      </w:r>
      <w:r>
        <w:rPr>
          <w:spacing w:val="-2"/>
          <w:w w:val="100"/>
          <w:sz w:val="21"/>
        </w:rPr>
        <w:t>t</w:t>
      </w:r>
      <w:r>
        <w:rPr>
          <w:spacing w:val="-1"/>
          <w:w w:val="100"/>
          <w:sz w:val="21"/>
        </w:rPr>
        <w:t>h</w:t>
      </w:r>
      <w:r>
        <w:rPr>
          <w:w w:val="100"/>
          <w:sz w:val="21"/>
        </w:rPr>
        <w:t>e</w:t>
      </w:r>
      <w:r>
        <w:rPr>
          <w:sz w:val="21"/>
        </w:rPr>
        <w:t> </w:t>
      </w:r>
      <w:r>
        <w:rPr>
          <w:spacing w:val="-7"/>
          <w:sz w:val="21"/>
        </w:rPr>
        <w:t> </w:t>
      </w:r>
      <w:r>
        <w:rPr>
          <w:spacing w:val="-1"/>
          <w:w w:val="100"/>
          <w:sz w:val="21"/>
        </w:rPr>
        <w:t>pri</w:t>
      </w:r>
      <w:r>
        <w:rPr>
          <w:spacing w:val="-2"/>
          <w:w w:val="100"/>
          <w:sz w:val="21"/>
        </w:rPr>
        <w:t>n</w:t>
      </w:r>
      <w:r>
        <w:rPr>
          <w:w w:val="100"/>
          <w:sz w:val="21"/>
        </w:rPr>
        <w:t>c</w:t>
      </w:r>
      <w:r>
        <w:rPr>
          <w:spacing w:val="-2"/>
          <w:w w:val="100"/>
          <w:sz w:val="21"/>
        </w:rPr>
        <w:t>i</w:t>
      </w:r>
      <w:r>
        <w:rPr>
          <w:spacing w:val="-1"/>
          <w:w w:val="100"/>
          <w:sz w:val="21"/>
        </w:rPr>
        <w:t>p</w:t>
      </w:r>
      <w:r>
        <w:rPr>
          <w:spacing w:val="1"/>
          <w:w w:val="100"/>
          <w:sz w:val="21"/>
        </w:rPr>
        <w:t>l</w:t>
      </w:r>
      <w:r>
        <w:rPr>
          <w:w w:val="100"/>
          <w:sz w:val="21"/>
        </w:rPr>
        <w:t>e</w:t>
      </w:r>
      <w:r>
        <w:rPr>
          <w:sz w:val="21"/>
        </w:rPr>
        <w:t> </w:t>
      </w:r>
      <w:r>
        <w:rPr>
          <w:spacing w:val="-7"/>
          <w:sz w:val="21"/>
        </w:rPr>
        <w:t> </w:t>
      </w:r>
      <w:r>
        <w:rPr>
          <w:spacing w:val="-2"/>
          <w:w w:val="100"/>
          <w:sz w:val="21"/>
        </w:rPr>
        <w:t>i</w:t>
      </w:r>
      <w:r>
        <w:rPr>
          <w:spacing w:val="-1"/>
          <w:w w:val="100"/>
          <w:sz w:val="21"/>
        </w:rPr>
        <w:t>n</w:t>
      </w:r>
      <w:r>
        <w:rPr>
          <w:spacing w:val="-3"/>
          <w:w w:val="100"/>
          <w:sz w:val="21"/>
        </w:rPr>
        <w:t>v</w:t>
      </w:r>
      <w:r>
        <w:rPr>
          <w:spacing w:val="-1"/>
          <w:w w:val="100"/>
          <w:sz w:val="21"/>
        </w:rPr>
        <w:t>oke</w:t>
      </w:r>
      <w:r>
        <w:rPr>
          <w:w w:val="100"/>
          <w:sz w:val="21"/>
        </w:rPr>
        <w:t>d</w:t>
      </w:r>
      <w:r>
        <w:rPr>
          <w:sz w:val="21"/>
        </w:rPr>
        <w:t> </w:t>
      </w:r>
      <w:r>
        <w:rPr>
          <w:spacing w:val="-7"/>
          <w:sz w:val="21"/>
        </w:rPr>
        <w:t> </w:t>
      </w:r>
      <w:r>
        <w:rPr>
          <w:spacing w:val="-1"/>
          <w:w w:val="100"/>
          <w:sz w:val="21"/>
        </w:rPr>
        <w:t>de</w:t>
      </w:r>
      <w:r>
        <w:rPr>
          <w:spacing w:val="-2"/>
          <w:w w:val="100"/>
          <w:sz w:val="21"/>
        </w:rPr>
        <w:t>p</w:t>
      </w:r>
      <w:r>
        <w:rPr>
          <w:spacing w:val="-1"/>
          <w:w w:val="100"/>
          <w:sz w:val="21"/>
        </w:rPr>
        <w:t>en</w:t>
      </w:r>
      <w:r>
        <w:rPr>
          <w:spacing w:val="-2"/>
          <w:w w:val="100"/>
          <w:sz w:val="21"/>
        </w:rPr>
        <w:t>d</w:t>
      </w:r>
      <w:r>
        <w:rPr>
          <w:spacing w:val="-1"/>
          <w:w w:val="100"/>
          <w:sz w:val="21"/>
        </w:rPr>
        <w:t>e</w:t>
      </w:r>
      <w:r>
        <w:rPr>
          <w:w w:val="100"/>
          <w:sz w:val="21"/>
        </w:rPr>
        <w:t>d</w:t>
      </w:r>
      <w:r>
        <w:rPr>
          <w:sz w:val="21"/>
        </w:rPr>
        <w:t> </w:t>
      </w:r>
      <w:r>
        <w:rPr>
          <w:spacing w:val="-4"/>
          <w:sz w:val="21"/>
        </w:rPr>
        <w:t> </w:t>
      </w:r>
      <w:r>
        <w:rPr>
          <w:spacing w:val="-3"/>
          <w:w w:val="100"/>
          <w:sz w:val="21"/>
        </w:rPr>
        <w:t>u</w:t>
      </w:r>
      <w:r>
        <w:rPr>
          <w:spacing w:val="-1"/>
          <w:w w:val="100"/>
          <w:sz w:val="21"/>
        </w:rPr>
        <w:t>po</w:t>
      </w:r>
      <w:r>
        <w:rPr>
          <w:w w:val="100"/>
          <w:sz w:val="21"/>
        </w:rPr>
        <w:t>n</w:t>
      </w:r>
      <w:r>
        <w:rPr>
          <w:sz w:val="21"/>
        </w:rPr>
        <w:t> </w:t>
      </w:r>
      <w:r>
        <w:rPr>
          <w:spacing w:val="-7"/>
          <w:sz w:val="21"/>
        </w:rPr>
        <w:t> </w:t>
      </w:r>
      <w:r>
        <w:rPr>
          <w:spacing w:val="-1"/>
          <w:w w:val="100"/>
          <w:sz w:val="21"/>
        </w:rPr>
        <w:t>an</w:t>
      </w:r>
      <w:r>
        <w:rPr>
          <w:w w:val="100"/>
          <w:sz w:val="21"/>
        </w:rPr>
        <w:t>y</w:t>
      </w:r>
      <w:r>
        <w:rPr>
          <w:sz w:val="21"/>
        </w:rPr>
        <w:t> </w:t>
      </w:r>
      <w:r>
        <w:rPr>
          <w:spacing w:val="-9"/>
          <w:sz w:val="21"/>
        </w:rPr>
        <w:t> </w:t>
      </w:r>
      <w:r>
        <w:rPr>
          <w:spacing w:val="-2"/>
          <w:w w:val="100"/>
          <w:sz w:val="21"/>
        </w:rPr>
        <w:t>t</w:t>
      </w:r>
      <w:r>
        <w:rPr>
          <w:spacing w:val="-1"/>
          <w:w w:val="100"/>
          <w:sz w:val="21"/>
        </w:rPr>
        <w:t>ech</w:t>
      </w:r>
      <w:r>
        <w:rPr>
          <w:spacing w:val="-2"/>
          <w:w w:val="100"/>
          <w:sz w:val="21"/>
        </w:rPr>
        <w:t>n</w:t>
      </w:r>
      <w:r>
        <w:rPr>
          <w:w w:val="100"/>
          <w:sz w:val="21"/>
        </w:rPr>
        <w:t>ic</w:t>
      </w:r>
      <w:r>
        <w:rPr>
          <w:spacing w:val="-3"/>
          <w:w w:val="100"/>
          <w:sz w:val="21"/>
        </w:rPr>
        <w:t>a</w:t>
      </w:r>
      <w:r>
        <w:rPr>
          <w:w w:val="100"/>
          <w:sz w:val="21"/>
        </w:rPr>
        <w:t>l </w:t>
      </w:r>
      <w:r>
        <w:rPr>
          <w:sz w:val="21"/>
        </w:rPr>
        <w:t>rule of English law, it would of course be inapplicable to a case determinable, like this, on the broad principles of equity and good conscience. It is only applicable because it is agreeable to general equity and good conscience. And, again, if it possesses that character, the limits of its applicability are not to be taken as rigidly defined by the course of English decisions, although those decisions are undoubtedly valuable, in so far as they recognize the general equity of the principle, and show how it has been applied by the Courts of this country.‖</w:t>
      </w:r>
    </w:p>
    <w:p>
      <w:pPr>
        <w:pStyle w:val="BodyText"/>
        <w:rPr>
          <w:sz w:val="24"/>
        </w:rPr>
      </w:pPr>
    </w:p>
    <w:p>
      <w:pPr>
        <w:pStyle w:val="BodyText"/>
        <w:spacing w:before="3"/>
        <w:rPr>
          <w:sz w:val="26"/>
        </w:rPr>
      </w:pPr>
    </w:p>
    <w:p>
      <w:pPr>
        <w:pStyle w:val="ListParagraph"/>
        <w:numPr>
          <w:ilvl w:val="0"/>
          <w:numId w:val="166"/>
        </w:numPr>
        <w:tabs>
          <w:tab w:pos="1221" w:val="left" w:leader="none"/>
        </w:tabs>
        <w:spacing w:line="480" w:lineRule="auto" w:before="0" w:after="0"/>
        <w:ind w:left="500" w:right="440" w:firstLine="0"/>
        <w:jc w:val="both"/>
        <w:rPr>
          <w:sz w:val="25"/>
        </w:rPr>
      </w:pPr>
      <w:r>
        <w:rPr/>
        <w:pict>
          <v:rect style="position:absolute;margin-left:72.024002pt;margin-top:146.604813pt;width:144.020pt;height:.60004pt;mso-position-horizontal-relative:page;mso-position-vertical-relative:paragraph;z-index:-15624192;mso-wrap-distance-left:0;mso-wrap-distance-right:0" filled="true" fillcolor="#000000" stroked="false">
            <v:fill type="solid"/>
            <w10:wrap type="topAndBottom"/>
          </v:rect>
        </w:pict>
      </w:r>
      <w:r>
        <w:rPr>
          <w:sz w:val="25"/>
        </w:rPr>
        <w:t>The position that the term ‗justice, equity and good conscience‘ indicates </w:t>
      </w:r>
      <w:r>
        <w:rPr>
          <w:spacing w:val="-1"/>
          <w:w w:val="99"/>
          <w:sz w:val="25"/>
        </w:rPr>
        <w:t>En</w:t>
      </w:r>
      <w:r>
        <w:rPr>
          <w:w w:val="99"/>
          <w:sz w:val="25"/>
        </w:rPr>
        <w:t>g</w:t>
      </w:r>
      <w:r>
        <w:rPr>
          <w:spacing w:val="-1"/>
          <w:w w:val="99"/>
          <w:sz w:val="25"/>
        </w:rPr>
        <w:t>lis</w:t>
      </w:r>
      <w:r>
        <w:rPr>
          <w:w w:val="99"/>
          <w:sz w:val="25"/>
        </w:rPr>
        <w:t>h</w:t>
      </w:r>
      <w:r>
        <w:rPr>
          <w:sz w:val="25"/>
        </w:rPr>
        <w:t> </w:t>
      </w:r>
      <w:r>
        <w:rPr>
          <w:spacing w:val="-10"/>
          <w:sz w:val="25"/>
        </w:rPr>
        <w:t> </w:t>
      </w:r>
      <w:r>
        <w:rPr>
          <w:spacing w:val="-1"/>
          <w:w w:val="99"/>
          <w:sz w:val="25"/>
        </w:rPr>
        <w:t>la</w:t>
      </w:r>
      <w:r>
        <w:rPr>
          <w:w w:val="99"/>
          <w:sz w:val="25"/>
        </w:rPr>
        <w:t>w</w:t>
      </w:r>
      <w:r>
        <w:rPr>
          <w:sz w:val="25"/>
        </w:rPr>
        <w:t> </w:t>
      </w:r>
      <w:r>
        <w:rPr>
          <w:spacing w:val="-10"/>
          <w:sz w:val="25"/>
        </w:rPr>
        <w:t> </w:t>
      </w:r>
      <w:r>
        <w:rPr>
          <w:spacing w:val="-1"/>
          <w:w w:val="99"/>
          <w:sz w:val="25"/>
        </w:rPr>
        <w:t>i</w:t>
      </w:r>
      <w:r>
        <w:rPr>
          <w:w w:val="99"/>
          <w:sz w:val="25"/>
        </w:rPr>
        <w:t>s</w:t>
      </w:r>
      <w:r>
        <w:rPr>
          <w:sz w:val="25"/>
        </w:rPr>
        <w:t> </w:t>
      </w:r>
      <w:r>
        <w:rPr>
          <w:spacing w:val="-10"/>
          <w:sz w:val="25"/>
        </w:rPr>
        <w:t> </w:t>
      </w:r>
      <w:r>
        <w:rPr>
          <w:w w:val="99"/>
          <w:sz w:val="25"/>
        </w:rPr>
        <w:t>thus</w:t>
      </w:r>
      <w:r>
        <w:rPr>
          <w:sz w:val="25"/>
        </w:rPr>
        <w:t> </w:t>
      </w:r>
      <w:r>
        <w:rPr>
          <w:spacing w:val="-10"/>
          <w:sz w:val="25"/>
        </w:rPr>
        <w:t> </w:t>
      </w:r>
      <w:r>
        <w:rPr>
          <w:spacing w:val="-1"/>
          <w:w w:val="99"/>
          <w:sz w:val="25"/>
        </w:rPr>
        <w:t>u</w:t>
      </w:r>
      <w:r>
        <w:rPr>
          <w:w w:val="99"/>
          <w:sz w:val="25"/>
        </w:rPr>
        <w:t>nsup</w:t>
      </w:r>
      <w:r>
        <w:rPr>
          <w:spacing w:val="-1"/>
          <w:w w:val="99"/>
          <w:sz w:val="25"/>
        </w:rPr>
        <w:t>p</w:t>
      </w:r>
      <w:r>
        <w:rPr>
          <w:w w:val="99"/>
          <w:sz w:val="25"/>
        </w:rPr>
        <w:t>orted.</w:t>
      </w:r>
      <w:r>
        <w:rPr>
          <w:sz w:val="25"/>
        </w:rPr>
        <w:t> </w:t>
      </w:r>
      <w:r>
        <w:rPr>
          <w:spacing w:val="-10"/>
          <w:sz w:val="25"/>
        </w:rPr>
        <w:t> </w:t>
      </w:r>
      <w:r>
        <w:rPr>
          <w:w w:val="99"/>
          <w:sz w:val="25"/>
        </w:rPr>
        <w:t>T</w:t>
      </w:r>
      <w:r>
        <w:rPr>
          <w:spacing w:val="-3"/>
          <w:w w:val="99"/>
          <w:sz w:val="25"/>
        </w:rPr>
        <w:t>h</w:t>
      </w:r>
      <w:r>
        <w:rPr>
          <w:w w:val="99"/>
          <w:sz w:val="25"/>
        </w:rPr>
        <w:t>e</w:t>
      </w:r>
      <w:r>
        <w:rPr>
          <w:sz w:val="25"/>
        </w:rPr>
        <w:t> </w:t>
      </w:r>
      <w:r>
        <w:rPr>
          <w:spacing w:val="-10"/>
          <w:sz w:val="25"/>
        </w:rPr>
        <w:t> </w:t>
      </w:r>
      <w:r>
        <w:rPr>
          <w:w w:val="99"/>
          <w:sz w:val="25"/>
        </w:rPr>
        <w:t>fo</w:t>
      </w:r>
      <w:r>
        <w:rPr>
          <w:spacing w:val="-1"/>
          <w:w w:val="99"/>
          <w:sz w:val="25"/>
        </w:rPr>
        <w:t>r</w:t>
      </w:r>
      <w:r>
        <w:rPr>
          <w:w w:val="99"/>
          <w:sz w:val="25"/>
        </w:rPr>
        <w:t>m</w:t>
      </w:r>
      <w:r>
        <w:rPr>
          <w:spacing w:val="-1"/>
          <w:w w:val="99"/>
          <w:sz w:val="25"/>
        </w:rPr>
        <w:t>ul</w:t>
      </w:r>
      <w:r>
        <w:rPr>
          <w:w w:val="99"/>
          <w:sz w:val="25"/>
        </w:rPr>
        <w:t>a</w:t>
      </w:r>
      <w:r>
        <w:rPr>
          <w:sz w:val="25"/>
        </w:rPr>
        <w:t> </w:t>
      </w:r>
      <w:r>
        <w:rPr>
          <w:spacing w:val="-9"/>
          <w:sz w:val="25"/>
        </w:rPr>
        <w:t> </w:t>
      </w:r>
      <w:r>
        <w:rPr>
          <w:w w:val="33"/>
          <w:sz w:val="25"/>
        </w:rPr>
        <w:t>―</w:t>
      </w:r>
      <w:r>
        <w:rPr>
          <w:spacing w:val="-1"/>
          <w:w w:val="99"/>
          <w:sz w:val="25"/>
        </w:rPr>
        <w:t>wa</w:t>
      </w:r>
      <w:r>
        <w:rPr>
          <w:w w:val="99"/>
          <w:sz w:val="25"/>
        </w:rPr>
        <w:t>s</w:t>
      </w:r>
      <w:r>
        <w:rPr>
          <w:sz w:val="25"/>
        </w:rPr>
        <w:t> </w:t>
      </w:r>
      <w:r>
        <w:rPr>
          <w:spacing w:val="-10"/>
          <w:sz w:val="25"/>
        </w:rPr>
        <w:t> </w:t>
      </w:r>
      <w:r>
        <w:rPr>
          <w:w w:val="99"/>
          <w:sz w:val="25"/>
        </w:rPr>
        <w:t>a</w:t>
      </w:r>
      <w:r>
        <w:rPr>
          <w:sz w:val="25"/>
        </w:rPr>
        <w:t> </w:t>
      </w:r>
      <w:r>
        <w:rPr>
          <w:spacing w:val="-10"/>
          <w:sz w:val="25"/>
        </w:rPr>
        <w:t> </w:t>
      </w:r>
      <w:r>
        <w:rPr>
          <w:spacing w:val="-1"/>
          <w:w w:val="99"/>
          <w:sz w:val="25"/>
        </w:rPr>
        <w:t>d</w:t>
      </w:r>
      <w:r>
        <w:rPr>
          <w:w w:val="99"/>
          <w:sz w:val="25"/>
        </w:rPr>
        <w:t>e</w:t>
      </w:r>
      <w:r>
        <w:rPr>
          <w:spacing w:val="-3"/>
          <w:w w:val="99"/>
          <w:sz w:val="25"/>
        </w:rPr>
        <w:t>v</w:t>
      </w:r>
      <w:r>
        <w:rPr>
          <w:spacing w:val="-1"/>
          <w:w w:val="99"/>
          <w:sz w:val="25"/>
        </w:rPr>
        <w:t>ic</w:t>
      </w:r>
      <w:r>
        <w:rPr>
          <w:w w:val="99"/>
          <w:sz w:val="25"/>
        </w:rPr>
        <w:t>e</w:t>
      </w:r>
      <w:r>
        <w:rPr>
          <w:sz w:val="25"/>
        </w:rPr>
        <w:t> </w:t>
      </w:r>
      <w:r>
        <w:rPr>
          <w:spacing w:val="-10"/>
          <w:sz w:val="25"/>
        </w:rPr>
        <w:t> </w:t>
      </w:r>
      <w:r>
        <w:rPr>
          <w:w w:val="99"/>
          <w:sz w:val="25"/>
        </w:rPr>
        <w:t>to</w:t>
      </w:r>
      <w:r>
        <w:rPr>
          <w:sz w:val="25"/>
        </w:rPr>
        <w:t> </w:t>
      </w:r>
      <w:r>
        <w:rPr>
          <w:spacing w:val="-9"/>
          <w:sz w:val="25"/>
        </w:rPr>
        <w:t> </w:t>
      </w:r>
      <w:r>
        <w:rPr>
          <w:spacing w:val="-1"/>
          <w:w w:val="99"/>
          <w:sz w:val="25"/>
        </w:rPr>
        <w:t>esc</w:t>
      </w:r>
      <w:r>
        <w:rPr>
          <w:w w:val="99"/>
          <w:sz w:val="25"/>
        </w:rPr>
        <w:t>a</w:t>
      </w:r>
      <w:r>
        <w:rPr>
          <w:spacing w:val="-1"/>
          <w:w w:val="99"/>
          <w:sz w:val="25"/>
        </w:rPr>
        <w:t>p</w:t>
      </w:r>
      <w:r>
        <w:rPr>
          <w:w w:val="99"/>
          <w:sz w:val="25"/>
        </w:rPr>
        <w:t>e</w:t>
      </w:r>
      <w:r>
        <w:rPr>
          <w:sz w:val="25"/>
        </w:rPr>
        <w:t> </w:t>
      </w:r>
      <w:r>
        <w:rPr>
          <w:spacing w:val="-10"/>
          <w:sz w:val="25"/>
        </w:rPr>
        <w:t> </w:t>
      </w:r>
      <w:r>
        <w:rPr>
          <w:w w:val="99"/>
          <w:sz w:val="25"/>
        </w:rPr>
        <w:t>fr</w:t>
      </w:r>
      <w:r>
        <w:rPr>
          <w:spacing w:val="-1"/>
          <w:w w:val="99"/>
          <w:sz w:val="25"/>
        </w:rPr>
        <w:t>om </w:t>
      </w:r>
      <w:r>
        <w:rPr>
          <w:sz w:val="25"/>
        </w:rPr>
        <w:t>English law, not to call it in‖.</w:t>
      </w:r>
      <w:r>
        <w:rPr>
          <w:sz w:val="25"/>
          <w:vertAlign w:val="superscript"/>
        </w:rPr>
        <w:t>351</w:t>
      </w:r>
      <w:r>
        <w:rPr>
          <w:sz w:val="25"/>
          <w:vertAlign w:val="baseline"/>
        </w:rPr>
        <w:t> It is true that its application in India heralded the diffusion of English Law into the Indian legal system by virtue of globalisation, acculturation and common epistemic communities. The formula</w:t>
      </w:r>
      <w:r>
        <w:rPr>
          <w:spacing w:val="6"/>
          <w:sz w:val="25"/>
          <w:vertAlign w:val="baseline"/>
        </w:rPr>
        <w:t> </w:t>
      </w:r>
      <w:r>
        <w:rPr>
          <w:sz w:val="25"/>
          <w:vertAlign w:val="baseline"/>
        </w:rPr>
        <w:t>authorised</w:t>
      </w:r>
    </w:p>
    <w:p>
      <w:pPr>
        <w:spacing w:line="207" w:lineRule="exact" w:before="81"/>
        <w:ind w:left="500" w:right="0" w:firstLine="0"/>
        <w:jc w:val="left"/>
        <w:rPr>
          <w:sz w:val="18"/>
        </w:rPr>
      </w:pPr>
      <w:r>
        <w:rPr>
          <w:sz w:val="18"/>
          <w:vertAlign w:val="superscript"/>
        </w:rPr>
        <w:t>350</w:t>
      </w:r>
      <w:r>
        <w:rPr>
          <w:sz w:val="18"/>
          <w:vertAlign w:val="baseline"/>
        </w:rPr>
        <w:t>(1878-79) 6 IA 145</w:t>
      </w:r>
    </w:p>
    <w:p>
      <w:pPr>
        <w:spacing w:before="0"/>
        <w:ind w:left="500" w:right="0" w:firstLine="0"/>
        <w:jc w:val="left"/>
        <w:rPr>
          <w:sz w:val="18"/>
        </w:rPr>
      </w:pPr>
      <w:r>
        <w:rPr>
          <w:sz w:val="18"/>
          <w:vertAlign w:val="superscript"/>
        </w:rPr>
        <w:t>351</w:t>
      </w:r>
      <w:r>
        <w:rPr>
          <w:sz w:val="18"/>
          <w:vertAlign w:val="baseline"/>
        </w:rPr>
        <w:t> Dr J Duncan M Derrett, Justice Equity and Good Conscience In Changing Law in Developing Countries (JND Anderson ed.)</w:t>
      </w:r>
    </w:p>
    <w:p>
      <w:pPr>
        <w:spacing w:after="0"/>
        <w:jc w:val="left"/>
        <w:rPr>
          <w:sz w:val="18"/>
        </w:rPr>
        <w:sectPr>
          <w:pgSz w:w="11910" w:h="16840"/>
          <w:pgMar w:header="721" w:footer="1014" w:top="1300" w:bottom="1200" w:left="940" w:right="1000"/>
        </w:sectPr>
      </w:pPr>
    </w:p>
    <w:p>
      <w:pPr>
        <w:pStyle w:val="BodyText"/>
        <w:spacing w:line="480" w:lineRule="auto" w:before="124"/>
        <w:ind w:left="500" w:right="435"/>
        <w:jc w:val="both"/>
      </w:pPr>
      <w:r>
        <w:rPr/>
        <w:t>reference by analogy to systems of law across national frontiers. Though the Roman origins of the term stand for a broader application of the term even where there is an express provision that governs the case, the development of the term as it evolved in India indicates that it is only where the positive law and customary law was silent or led to perverse or absurd outcomes, that </w:t>
      </w:r>
      <w:r>
        <w:rPr>
          <w:spacing w:val="2"/>
        </w:rPr>
        <w:t>the </w:t>
      </w:r>
      <w:r>
        <w:rPr/>
        <w:t>principles of justice, equity and good conscience were</w:t>
      </w:r>
      <w:r>
        <w:rPr>
          <w:spacing w:val="-6"/>
        </w:rPr>
        <w:t> </w:t>
      </w:r>
      <w:r>
        <w:rPr/>
        <w:t>applied.</w:t>
      </w:r>
    </w:p>
    <w:p>
      <w:pPr>
        <w:pStyle w:val="BodyText"/>
        <w:rPr>
          <w:sz w:val="28"/>
        </w:rPr>
      </w:pPr>
    </w:p>
    <w:p>
      <w:pPr>
        <w:pStyle w:val="BodyText"/>
        <w:spacing w:before="8"/>
        <w:rPr>
          <w:sz w:val="24"/>
        </w:rPr>
      </w:pPr>
    </w:p>
    <w:p>
      <w:pPr>
        <w:spacing w:before="1"/>
        <w:ind w:left="567" w:right="0" w:firstLine="0"/>
        <w:jc w:val="both"/>
        <w:rPr>
          <w:i/>
          <w:sz w:val="25"/>
        </w:rPr>
      </w:pPr>
      <w:r>
        <w:rPr>
          <w:i/>
          <w:sz w:val="25"/>
        </w:rPr>
        <w:t>Justice, Equity and Good Conscience today</w:t>
      </w:r>
    </w:p>
    <w:p>
      <w:pPr>
        <w:pStyle w:val="BodyText"/>
        <w:spacing w:before="6"/>
        <w:rPr>
          <w:i/>
          <w:sz w:val="37"/>
        </w:rPr>
      </w:pPr>
    </w:p>
    <w:p>
      <w:pPr>
        <w:pStyle w:val="ListParagraph"/>
        <w:numPr>
          <w:ilvl w:val="0"/>
          <w:numId w:val="166"/>
        </w:numPr>
        <w:tabs>
          <w:tab w:pos="1221" w:val="left" w:leader="none"/>
        </w:tabs>
        <w:spacing w:line="480" w:lineRule="auto" w:before="1" w:after="0"/>
        <w:ind w:left="500" w:right="436" w:firstLine="0"/>
        <w:jc w:val="both"/>
        <w:rPr>
          <w:sz w:val="25"/>
        </w:rPr>
      </w:pPr>
      <w:r>
        <w:rPr>
          <w:sz w:val="25"/>
        </w:rPr>
        <w:t>With the development of statutory law and judicial precedent, including the progressive codification of customs in the Hindu Code and in the Shariat Act 1937, the need to place reliance on justice, equity and good conscience gradually reduced. There is (at least in theory) a reduced scope for the application of justice, equity and good conscience when doctrinal positions established under a statute cover factual situations or where the principles underlying the system of personal law in question can be definitively ascertained. But even then, it would do disservice to judicial craft to adopt a theory which excludes the application of justice, equity and good conscience to areas of law governed by statute. For the law develops interstitially, as judges work themselves in tandem with statute law to arrive at just outcomes. Where the rights of the parties are not governed by a particular personal law, or where the personal law is silent or incapable of being ascertained by a court, where a code has a lacuna, or where the source of law fails or requires to be supplemented, justice, equity and good conscience may properly be referred</w:t>
      </w:r>
      <w:r>
        <w:rPr>
          <w:spacing w:val="-4"/>
          <w:sz w:val="25"/>
        </w:rPr>
        <w:t> </w:t>
      </w:r>
      <w:r>
        <w:rPr>
          <w:sz w:val="25"/>
        </w:rPr>
        <w:t>to.</w:t>
      </w:r>
    </w:p>
    <w:p>
      <w:pPr>
        <w:spacing w:after="0" w:line="480" w:lineRule="auto"/>
        <w:jc w:val="both"/>
        <w:rPr>
          <w:sz w:val="25"/>
        </w:rPr>
        <w:sectPr>
          <w:pgSz w:w="11910" w:h="16840"/>
          <w:pgMar w:header="721" w:footer="1014" w:top="1300" w:bottom="1200" w:left="940" w:right="1000"/>
        </w:sectPr>
      </w:pPr>
    </w:p>
    <w:p>
      <w:pPr>
        <w:pStyle w:val="ListParagraph"/>
        <w:numPr>
          <w:ilvl w:val="0"/>
          <w:numId w:val="166"/>
        </w:numPr>
        <w:tabs>
          <w:tab w:pos="1221" w:val="left" w:leader="none"/>
        </w:tabs>
        <w:spacing w:line="480" w:lineRule="auto" w:before="124" w:after="0"/>
        <w:ind w:left="500" w:right="433" w:firstLine="0"/>
        <w:jc w:val="both"/>
        <w:rPr>
          <w:sz w:val="25"/>
        </w:rPr>
      </w:pPr>
      <w:r>
        <w:rPr>
          <w:sz w:val="25"/>
        </w:rPr>
        <w:t>Post-independence, Indian Courts have utilised the concept less frequently </w:t>
      </w:r>
      <w:r>
        <w:rPr>
          <w:spacing w:val="-1"/>
          <w:w w:val="99"/>
          <w:sz w:val="25"/>
        </w:rPr>
        <w:t>b</w:t>
      </w:r>
      <w:r>
        <w:rPr>
          <w:w w:val="99"/>
          <w:sz w:val="25"/>
        </w:rPr>
        <w:t>ut</w:t>
      </w:r>
      <w:r>
        <w:rPr>
          <w:sz w:val="25"/>
        </w:rPr>
        <w:t> </w:t>
      </w:r>
      <w:r>
        <w:rPr>
          <w:spacing w:val="-24"/>
          <w:sz w:val="25"/>
        </w:rPr>
        <w:t> </w:t>
      </w:r>
      <w:r>
        <w:rPr>
          <w:spacing w:val="-1"/>
          <w:w w:val="99"/>
          <w:sz w:val="25"/>
        </w:rPr>
        <w:t>a</w:t>
      </w:r>
      <w:r>
        <w:rPr>
          <w:w w:val="99"/>
          <w:sz w:val="25"/>
        </w:rPr>
        <w:t>d</w:t>
      </w:r>
      <w:r>
        <w:rPr>
          <w:spacing w:val="-1"/>
          <w:w w:val="99"/>
          <w:sz w:val="25"/>
        </w:rPr>
        <w:t>o</w:t>
      </w:r>
      <w:r>
        <w:rPr>
          <w:w w:val="99"/>
          <w:sz w:val="25"/>
        </w:rPr>
        <w:t>pted</w:t>
      </w:r>
      <w:r>
        <w:rPr>
          <w:sz w:val="25"/>
        </w:rPr>
        <w:t> </w:t>
      </w:r>
      <w:r>
        <w:rPr>
          <w:spacing w:val="-26"/>
          <w:sz w:val="25"/>
        </w:rPr>
        <w:t> </w:t>
      </w:r>
      <w:r>
        <w:rPr>
          <w:w w:val="99"/>
          <w:sz w:val="25"/>
        </w:rPr>
        <w:t>a</w:t>
      </w:r>
      <w:r>
        <w:rPr>
          <w:sz w:val="25"/>
        </w:rPr>
        <w:t> </w:t>
      </w:r>
      <w:r>
        <w:rPr>
          <w:spacing w:val="-24"/>
          <w:sz w:val="25"/>
        </w:rPr>
        <w:t> </w:t>
      </w:r>
      <w:r>
        <w:rPr>
          <w:spacing w:val="-3"/>
          <w:w w:val="99"/>
          <w:sz w:val="25"/>
        </w:rPr>
        <w:t>b</w:t>
      </w:r>
      <w:r>
        <w:rPr>
          <w:w w:val="99"/>
          <w:sz w:val="25"/>
        </w:rPr>
        <w:t>r</w:t>
      </w:r>
      <w:r>
        <w:rPr>
          <w:spacing w:val="-1"/>
          <w:w w:val="99"/>
          <w:sz w:val="25"/>
        </w:rPr>
        <w:t>o</w:t>
      </w:r>
      <w:r>
        <w:rPr>
          <w:w w:val="99"/>
          <w:sz w:val="25"/>
        </w:rPr>
        <w:t>a</w:t>
      </w:r>
      <w:r>
        <w:rPr>
          <w:spacing w:val="-3"/>
          <w:w w:val="99"/>
          <w:sz w:val="25"/>
        </w:rPr>
        <w:t>d</w:t>
      </w:r>
      <w:r>
        <w:rPr>
          <w:spacing w:val="-1"/>
          <w:w w:val="99"/>
          <w:sz w:val="25"/>
        </w:rPr>
        <w:t>e</w:t>
      </w:r>
      <w:r>
        <w:rPr>
          <w:w w:val="99"/>
          <w:sz w:val="25"/>
        </w:rPr>
        <w:t>r</w:t>
      </w:r>
      <w:r>
        <w:rPr>
          <w:sz w:val="25"/>
        </w:rPr>
        <w:t> </w:t>
      </w:r>
      <w:r>
        <w:rPr>
          <w:spacing w:val="-23"/>
          <w:sz w:val="25"/>
        </w:rPr>
        <w:t> </w:t>
      </w:r>
      <w:r>
        <w:rPr>
          <w:spacing w:val="-3"/>
          <w:w w:val="99"/>
          <w:sz w:val="25"/>
        </w:rPr>
        <w:t>v</w:t>
      </w:r>
      <w:r>
        <w:rPr>
          <w:spacing w:val="-1"/>
          <w:w w:val="99"/>
          <w:sz w:val="25"/>
        </w:rPr>
        <w:t>ie</w:t>
      </w:r>
      <w:r>
        <w:rPr>
          <w:w w:val="99"/>
          <w:sz w:val="25"/>
        </w:rPr>
        <w:t>w</w:t>
      </w:r>
      <w:r>
        <w:rPr>
          <w:sz w:val="25"/>
        </w:rPr>
        <w:t> </w:t>
      </w:r>
      <w:r>
        <w:rPr>
          <w:spacing w:val="-24"/>
          <w:sz w:val="25"/>
        </w:rPr>
        <w:t> </w:t>
      </w:r>
      <w:r>
        <w:rPr>
          <w:spacing w:val="-1"/>
          <w:w w:val="99"/>
          <w:sz w:val="25"/>
        </w:rPr>
        <w:t>o</w:t>
      </w:r>
      <w:r>
        <w:rPr>
          <w:w w:val="99"/>
          <w:sz w:val="25"/>
        </w:rPr>
        <w:t>f</w:t>
      </w:r>
      <w:r>
        <w:rPr>
          <w:sz w:val="25"/>
        </w:rPr>
        <w:t> </w:t>
      </w:r>
      <w:r>
        <w:rPr>
          <w:spacing w:val="-24"/>
          <w:sz w:val="25"/>
        </w:rPr>
        <w:t> </w:t>
      </w:r>
      <w:r>
        <w:rPr>
          <w:w w:val="99"/>
          <w:sz w:val="25"/>
        </w:rPr>
        <w:t>the</w:t>
      </w:r>
      <w:r>
        <w:rPr>
          <w:sz w:val="25"/>
        </w:rPr>
        <w:t> </w:t>
      </w:r>
      <w:r>
        <w:rPr>
          <w:spacing w:val="-24"/>
          <w:sz w:val="25"/>
        </w:rPr>
        <w:t> </w:t>
      </w:r>
      <w:r>
        <w:rPr>
          <w:w w:val="99"/>
          <w:sz w:val="25"/>
        </w:rPr>
        <w:t>t</w:t>
      </w:r>
      <w:r>
        <w:rPr>
          <w:spacing w:val="-2"/>
          <w:w w:val="99"/>
          <w:sz w:val="25"/>
        </w:rPr>
        <w:t>e</w:t>
      </w:r>
      <w:r>
        <w:rPr>
          <w:w w:val="99"/>
          <w:sz w:val="25"/>
        </w:rPr>
        <w:t>rm</w:t>
      </w:r>
      <w:r>
        <w:rPr>
          <w:sz w:val="25"/>
        </w:rPr>
        <w:t> </w:t>
      </w:r>
      <w:r>
        <w:rPr>
          <w:spacing w:val="-24"/>
          <w:sz w:val="25"/>
        </w:rPr>
        <w:t> </w:t>
      </w:r>
      <w:r>
        <w:rPr>
          <w:spacing w:val="-3"/>
          <w:w w:val="40"/>
          <w:sz w:val="25"/>
        </w:rPr>
        <w:t>‗</w:t>
      </w:r>
      <w:r>
        <w:rPr>
          <w:spacing w:val="-1"/>
          <w:w w:val="99"/>
          <w:sz w:val="25"/>
        </w:rPr>
        <w:t>justice</w:t>
      </w:r>
      <w:r>
        <w:rPr>
          <w:w w:val="99"/>
          <w:sz w:val="25"/>
        </w:rPr>
        <w:t>,</w:t>
      </w:r>
      <w:r>
        <w:rPr>
          <w:sz w:val="25"/>
        </w:rPr>
        <w:t> </w:t>
      </w:r>
      <w:r>
        <w:rPr>
          <w:spacing w:val="-24"/>
          <w:sz w:val="25"/>
        </w:rPr>
        <w:t> </w:t>
      </w:r>
      <w:r>
        <w:rPr>
          <w:spacing w:val="-1"/>
          <w:w w:val="99"/>
          <w:sz w:val="25"/>
        </w:rPr>
        <w:t>e</w:t>
      </w:r>
      <w:r>
        <w:rPr>
          <w:w w:val="99"/>
          <w:sz w:val="25"/>
        </w:rPr>
        <w:t>q</w:t>
      </w:r>
      <w:r>
        <w:rPr>
          <w:spacing w:val="-1"/>
          <w:w w:val="99"/>
          <w:sz w:val="25"/>
        </w:rPr>
        <w:t>uit</w:t>
      </w:r>
      <w:r>
        <w:rPr>
          <w:w w:val="99"/>
          <w:sz w:val="25"/>
        </w:rPr>
        <w:t>y</w:t>
      </w:r>
      <w:r>
        <w:rPr>
          <w:sz w:val="25"/>
        </w:rPr>
        <w:t> </w:t>
      </w:r>
      <w:r>
        <w:rPr>
          <w:spacing w:val="-26"/>
          <w:sz w:val="25"/>
        </w:rPr>
        <w:t> </w:t>
      </w:r>
      <w:r>
        <w:rPr>
          <w:spacing w:val="-1"/>
          <w:w w:val="99"/>
          <w:sz w:val="25"/>
        </w:rPr>
        <w:t>a</w:t>
      </w:r>
      <w:r>
        <w:rPr>
          <w:w w:val="99"/>
          <w:sz w:val="25"/>
        </w:rPr>
        <w:t>nd</w:t>
      </w:r>
      <w:r>
        <w:rPr>
          <w:sz w:val="25"/>
        </w:rPr>
        <w:t> </w:t>
      </w:r>
      <w:r>
        <w:rPr>
          <w:spacing w:val="-24"/>
          <w:sz w:val="25"/>
        </w:rPr>
        <w:t> </w:t>
      </w:r>
      <w:r>
        <w:rPr>
          <w:spacing w:val="-3"/>
          <w:w w:val="99"/>
          <w:sz w:val="25"/>
        </w:rPr>
        <w:t>g</w:t>
      </w:r>
      <w:r>
        <w:rPr>
          <w:spacing w:val="-1"/>
          <w:w w:val="99"/>
          <w:sz w:val="25"/>
        </w:rPr>
        <w:t>o</w:t>
      </w:r>
      <w:r>
        <w:rPr>
          <w:w w:val="99"/>
          <w:sz w:val="25"/>
        </w:rPr>
        <w:t>od</w:t>
      </w:r>
      <w:r>
        <w:rPr>
          <w:sz w:val="25"/>
        </w:rPr>
        <w:t> </w:t>
      </w:r>
      <w:r>
        <w:rPr>
          <w:spacing w:val="-24"/>
          <w:sz w:val="25"/>
        </w:rPr>
        <w:t> </w:t>
      </w:r>
      <w:r>
        <w:rPr>
          <w:w w:val="99"/>
          <w:sz w:val="25"/>
        </w:rPr>
        <w:t>conscience</w:t>
      </w:r>
      <w:r>
        <w:rPr>
          <w:spacing w:val="-1"/>
          <w:w w:val="99"/>
          <w:sz w:val="25"/>
        </w:rPr>
        <w:t>‘. </w:t>
      </w:r>
      <w:r>
        <w:rPr>
          <w:sz w:val="25"/>
        </w:rPr>
        <w:t>Two cases of this Court are instructive. In </w:t>
      </w:r>
      <w:r>
        <w:rPr>
          <w:b/>
          <w:sz w:val="25"/>
        </w:rPr>
        <w:t>Namdeo Lokman Lodhi </w:t>
      </w:r>
      <w:r>
        <w:rPr>
          <w:sz w:val="25"/>
        </w:rPr>
        <w:t>v </w:t>
      </w:r>
      <w:r>
        <w:rPr>
          <w:b/>
          <w:sz w:val="25"/>
        </w:rPr>
        <w:t>Narmadabai</w:t>
      </w:r>
      <w:r>
        <w:rPr>
          <w:sz w:val="25"/>
          <w:vertAlign w:val="superscript"/>
        </w:rPr>
        <w:t>352</w:t>
      </w:r>
      <w:r>
        <w:rPr>
          <w:sz w:val="25"/>
          <w:vertAlign w:val="baseline"/>
        </w:rPr>
        <w:t>, it was argued that the amendment made in 1929 to Section 111(g) of the Transfer of Property Act requiring a written notice by the lessor for the determination of a lease embodies a principle of justice, equity and good conscience. Justice Mehr Chand Mahajan (as he then was), writing for a two judge Bench of this Court</w:t>
      </w:r>
      <w:r>
        <w:rPr>
          <w:spacing w:val="-4"/>
          <w:sz w:val="25"/>
          <w:vertAlign w:val="baseline"/>
        </w:rPr>
        <w:t> </w:t>
      </w:r>
      <w:r>
        <w:rPr>
          <w:sz w:val="25"/>
          <w:vertAlign w:val="baseline"/>
        </w:rPr>
        <w:t>held:</w:t>
      </w:r>
    </w:p>
    <w:p>
      <w:pPr>
        <w:spacing w:line="276" w:lineRule="auto" w:before="159"/>
        <w:ind w:left="1918" w:right="2259" w:firstLine="0"/>
        <w:jc w:val="both"/>
        <w:rPr>
          <w:sz w:val="21"/>
        </w:rPr>
      </w:pPr>
      <w:r>
        <w:rPr>
          <w:w w:val="33"/>
          <w:sz w:val="21"/>
        </w:rPr>
        <w:t>―</w:t>
      </w:r>
      <w:r>
        <w:rPr>
          <w:w w:val="100"/>
          <w:sz w:val="21"/>
        </w:rPr>
        <w:t>7.</w:t>
      </w:r>
      <w:r>
        <w:rPr>
          <w:sz w:val="21"/>
        </w:rPr>
        <w:t>  </w:t>
      </w:r>
      <w:r>
        <w:rPr>
          <w:w w:val="100"/>
          <w:sz w:val="21"/>
        </w:rPr>
        <w:t>The</w:t>
      </w:r>
      <w:r>
        <w:rPr>
          <w:sz w:val="21"/>
        </w:rPr>
        <w:t>  </w:t>
      </w:r>
      <w:r>
        <w:rPr>
          <w:w w:val="100"/>
          <w:sz w:val="21"/>
        </w:rPr>
        <w:t>main</w:t>
      </w:r>
      <w:r>
        <w:rPr>
          <w:sz w:val="21"/>
        </w:rPr>
        <w:t>  </w:t>
      </w:r>
      <w:r>
        <w:rPr>
          <w:w w:val="100"/>
          <w:sz w:val="21"/>
        </w:rPr>
        <w:t>point</w:t>
      </w:r>
      <w:r>
        <w:rPr>
          <w:sz w:val="21"/>
        </w:rPr>
        <w:t>  </w:t>
      </w:r>
      <w:r>
        <w:rPr>
          <w:w w:val="100"/>
          <w:sz w:val="21"/>
        </w:rPr>
        <w:t>for</w:t>
      </w:r>
      <w:r>
        <w:rPr>
          <w:sz w:val="21"/>
        </w:rPr>
        <w:t>  </w:t>
      </w:r>
      <w:r>
        <w:rPr>
          <w:w w:val="100"/>
          <w:sz w:val="21"/>
        </w:rPr>
        <w:t>consideration</w:t>
      </w:r>
      <w:r>
        <w:rPr>
          <w:sz w:val="21"/>
        </w:rPr>
        <w:t>  </w:t>
      </w:r>
      <w:r>
        <w:rPr>
          <w:w w:val="100"/>
          <w:sz w:val="21"/>
        </w:rPr>
        <w:t>thus</w:t>
      </w:r>
      <w:r>
        <w:rPr>
          <w:sz w:val="21"/>
        </w:rPr>
        <w:t>  </w:t>
      </w:r>
      <w:r>
        <w:rPr>
          <w:w w:val="100"/>
          <w:sz w:val="21"/>
        </w:rPr>
        <w:t>is</w:t>
      </w:r>
      <w:r>
        <w:rPr>
          <w:sz w:val="21"/>
        </w:rPr>
        <w:t>  </w:t>
      </w:r>
      <w:r>
        <w:rPr>
          <w:w w:val="100"/>
          <w:sz w:val="21"/>
        </w:rPr>
        <w:t>whether</w:t>
      </w:r>
      <w:r>
        <w:rPr>
          <w:sz w:val="21"/>
        </w:rPr>
        <w:t>  </w:t>
      </w:r>
      <w:r>
        <w:rPr>
          <w:w w:val="100"/>
          <w:sz w:val="21"/>
        </w:rPr>
        <w:t>the </w:t>
      </w:r>
      <w:r>
        <w:rPr>
          <w:sz w:val="21"/>
        </w:rPr>
        <w:t>particular provision introduced in sub-section (g) of Section 111 of the Transfer of Property Act in 1929 is but a statutory recognition of a principle of justice, equity and good conscience, or whether it is merely a procedural and technical rule introduced in the section by the legislature and is not based on any well established principles of equity. The High Court held, and we think rightly, that this provision in sub- section (g) of Section 111 in regard to notice was not based upon any principle of justice, equity and good conscience.</w:t>
      </w:r>
    </w:p>
    <w:p>
      <w:pPr>
        <w:pStyle w:val="BodyText"/>
        <w:spacing w:before="2"/>
        <w:rPr>
          <w:sz w:val="24"/>
        </w:rPr>
      </w:pPr>
    </w:p>
    <w:p>
      <w:pPr>
        <w:spacing w:line="276" w:lineRule="auto" w:before="0"/>
        <w:ind w:left="1918" w:right="2259" w:firstLine="0"/>
        <w:jc w:val="both"/>
        <w:rPr>
          <w:sz w:val="21"/>
        </w:rPr>
      </w:pPr>
      <w:r>
        <w:rPr>
          <w:sz w:val="21"/>
        </w:rPr>
        <w:t>18. …In England it is not necessary in case of non-payment of rent for a landlord to give notice before a forfeiture results. It cannot, therefore, be said that what has been enacted in sub- section (g) of Section 111 is a matter which even today in English law is considered as a matter of justice, equity and good conscience.‖</w:t>
      </w:r>
    </w:p>
    <w:p>
      <w:pPr>
        <w:pStyle w:val="BodyText"/>
        <w:rPr>
          <w:sz w:val="24"/>
        </w:rPr>
      </w:pPr>
    </w:p>
    <w:p>
      <w:pPr>
        <w:pStyle w:val="BodyText"/>
        <w:spacing w:before="4"/>
      </w:pPr>
    </w:p>
    <w:p>
      <w:pPr>
        <w:pStyle w:val="BodyText"/>
        <w:spacing w:line="480" w:lineRule="auto"/>
        <w:ind w:left="500" w:right="436"/>
        <w:jc w:val="both"/>
      </w:pPr>
      <w:r>
        <w:rPr/>
        <w:pict>
          <v:rect style="position:absolute;margin-left:72.024002pt;margin-top:179.384872pt;width:144.020pt;height:.599980pt;mso-position-horizontal-relative:page;mso-position-vertical-relative:paragraph;z-index:-15623680;mso-wrap-distance-left:0;mso-wrap-distance-right:0" filled="true" fillcolor="#000000" stroked="false">
            <v:fill type="solid"/>
            <w10:wrap type="topAndBottom"/>
          </v:rect>
        </w:pict>
      </w:r>
      <w:r>
        <w:rPr/>
        <w:t>This Court held that the requirement of a notice being issued by the lessor upon the non-payment of dues was one of procedure, and absent a statutory mandate, the same could not be introduced under the guise of ‗justice, equity and good conscience.‘ It appeared at a first glance that the Bench conflated justice, equity and good conscience with the position in English law. This is not the correct position.</w:t>
      </w:r>
      <w:r>
        <w:rPr>
          <w:spacing w:val="61"/>
        </w:rPr>
        <w:t> </w:t>
      </w:r>
      <w:r>
        <w:rPr/>
        <w:t>The</w:t>
      </w:r>
      <w:r>
        <w:rPr>
          <w:spacing w:val="61"/>
        </w:rPr>
        <w:t> </w:t>
      </w:r>
      <w:r>
        <w:rPr/>
        <w:t>view</w:t>
      </w:r>
      <w:r>
        <w:rPr>
          <w:spacing w:val="60"/>
        </w:rPr>
        <w:t> </w:t>
      </w:r>
      <w:r>
        <w:rPr/>
        <w:t>expressed</w:t>
      </w:r>
      <w:r>
        <w:rPr>
          <w:spacing w:val="61"/>
        </w:rPr>
        <w:t> </w:t>
      </w:r>
      <w:r>
        <w:rPr/>
        <w:t>in</w:t>
      </w:r>
      <w:r>
        <w:rPr>
          <w:spacing w:val="61"/>
        </w:rPr>
        <w:t> </w:t>
      </w:r>
      <w:r>
        <w:rPr/>
        <w:t>this</w:t>
      </w:r>
      <w:r>
        <w:rPr>
          <w:spacing w:val="61"/>
        </w:rPr>
        <w:t> </w:t>
      </w:r>
      <w:r>
        <w:rPr/>
        <w:t>case</w:t>
      </w:r>
      <w:r>
        <w:rPr>
          <w:spacing w:val="61"/>
        </w:rPr>
        <w:t> </w:t>
      </w:r>
      <w:r>
        <w:rPr/>
        <w:t>was</w:t>
      </w:r>
      <w:r>
        <w:rPr>
          <w:spacing w:val="62"/>
        </w:rPr>
        <w:t> </w:t>
      </w:r>
      <w:r>
        <w:rPr/>
        <w:t>reinterpreted</w:t>
      </w:r>
      <w:r>
        <w:rPr>
          <w:spacing w:val="58"/>
        </w:rPr>
        <w:t> </w:t>
      </w:r>
      <w:r>
        <w:rPr/>
        <w:t>by</w:t>
      </w:r>
      <w:r>
        <w:rPr>
          <w:spacing w:val="58"/>
        </w:rPr>
        <w:t> </w:t>
      </w:r>
      <w:r>
        <w:rPr/>
        <w:t>this</w:t>
      </w:r>
      <w:r>
        <w:rPr>
          <w:spacing w:val="61"/>
        </w:rPr>
        <w:t> </w:t>
      </w:r>
      <w:r>
        <w:rPr/>
        <w:t>Court</w:t>
      </w:r>
      <w:r>
        <w:rPr>
          <w:spacing w:val="61"/>
        </w:rPr>
        <w:t> </w:t>
      </w:r>
      <w:r>
        <w:rPr/>
        <w:t>in</w:t>
      </w:r>
    </w:p>
    <w:p>
      <w:pPr>
        <w:spacing w:before="80"/>
        <w:ind w:left="500" w:right="0" w:firstLine="0"/>
        <w:jc w:val="left"/>
        <w:rPr>
          <w:sz w:val="18"/>
        </w:rPr>
      </w:pPr>
      <w:r>
        <w:rPr>
          <w:sz w:val="18"/>
          <w:vertAlign w:val="superscript"/>
        </w:rPr>
        <w:t>352</w:t>
      </w:r>
      <w:r>
        <w:rPr>
          <w:sz w:val="18"/>
          <w:vertAlign w:val="baseline"/>
        </w:rPr>
        <w:t> 1953 SCR 1009</w:t>
      </w:r>
    </w:p>
    <w:p>
      <w:pPr>
        <w:spacing w:after="0"/>
        <w:jc w:val="left"/>
        <w:rPr>
          <w:sz w:val="18"/>
        </w:rPr>
        <w:sectPr>
          <w:pgSz w:w="11910" w:h="16840"/>
          <w:pgMar w:header="721" w:footer="1014" w:top="1300" w:bottom="1200" w:left="940" w:right="1000"/>
        </w:sectPr>
      </w:pPr>
    </w:p>
    <w:p>
      <w:pPr>
        <w:pStyle w:val="BodyText"/>
        <w:spacing w:line="480" w:lineRule="auto" w:before="121"/>
        <w:ind w:left="500" w:right="440"/>
        <w:jc w:val="both"/>
      </w:pPr>
      <w:r>
        <w:rPr>
          <w:b/>
        </w:rPr>
        <w:t>Murarilal </w:t>
      </w:r>
      <w:r>
        <w:rPr/>
        <w:t>v </w:t>
      </w:r>
      <w:r>
        <w:rPr>
          <w:b/>
        </w:rPr>
        <w:t>Dev Karan</w:t>
      </w:r>
      <w:r>
        <w:rPr>
          <w:vertAlign w:val="superscript"/>
        </w:rPr>
        <w:t>353</w:t>
      </w:r>
      <w:r>
        <w:rPr>
          <w:vertAlign w:val="baseline"/>
        </w:rPr>
        <w:t> which arose out of a redemption suit filed by the respondent against the appellant. The respondent had contended that though the period to repay the loan taken by him against a mortgage of certain properties had elapsed, the right to redeem continued to vest in him. This was resisted by the appellant who contended that upon the expiry of the repayment period stipulated, the appellant became the absolute owner of the mortgaged property. Though Section 60 of the Transfer of Property Act embodied the equity principle of redemption, it was not applicable in Alwar where the dispute arose. A Constitution Bench of this Court held that the mortgage deed contained a provision which amounted to a clog on the equity of redemption. Chief Justice PB Gajendragadkar, speaking for the Bench</w:t>
      </w:r>
      <w:r>
        <w:rPr>
          <w:spacing w:val="-3"/>
          <w:vertAlign w:val="baseline"/>
        </w:rPr>
        <w:t> </w:t>
      </w:r>
      <w:r>
        <w:rPr>
          <w:vertAlign w:val="baseline"/>
        </w:rPr>
        <w:t>held:</w:t>
      </w:r>
    </w:p>
    <w:p>
      <w:pPr>
        <w:spacing w:line="276" w:lineRule="auto" w:before="122"/>
        <w:ind w:left="1918" w:right="2260" w:firstLine="0"/>
        <w:jc w:val="both"/>
        <w:rPr>
          <w:sz w:val="21"/>
        </w:rPr>
      </w:pPr>
      <w:r>
        <w:rPr>
          <w:spacing w:val="-1"/>
          <w:w w:val="33"/>
          <w:sz w:val="21"/>
        </w:rPr>
        <w:t>―</w:t>
      </w:r>
      <w:r>
        <w:rPr>
          <w:spacing w:val="-1"/>
          <w:w w:val="100"/>
          <w:sz w:val="21"/>
        </w:rPr>
        <w:t>5</w:t>
      </w:r>
      <w:r>
        <w:rPr>
          <w:w w:val="100"/>
          <w:sz w:val="21"/>
        </w:rPr>
        <w:t>.</w:t>
      </w:r>
      <w:r>
        <w:rPr>
          <w:spacing w:val="26"/>
          <w:sz w:val="21"/>
        </w:rPr>
        <w:t> </w:t>
      </w:r>
      <w:r>
        <w:rPr>
          <w:w w:val="100"/>
          <w:sz w:val="21"/>
        </w:rPr>
        <w:t>Th</w:t>
      </w:r>
      <w:r>
        <w:rPr>
          <w:spacing w:val="-1"/>
          <w:w w:val="100"/>
          <w:sz w:val="21"/>
        </w:rPr>
        <w:t>er</w:t>
      </w:r>
      <w:r>
        <w:rPr>
          <w:spacing w:val="-3"/>
          <w:w w:val="100"/>
          <w:sz w:val="21"/>
        </w:rPr>
        <w:t>e</w:t>
      </w:r>
      <w:r>
        <w:rPr>
          <w:spacing w:val="1"/>
          <w:w w:val="100"/>
          <w:sz w:val="21"/>
        </w:rPr>
        <w:t>f</w:t>
      </w:r>
      <w:r>
        <w:rPr>
          <w:spacing w:val="-1"/>
          <w:w w:val="100"/>
          <w:sz w:val="21"/>
        </w:rPr>
        <w:t>o</w:t>
      </w:r>
      <w:r>
        <w:rPr>
          <w:spacing w:val="-3"/>
          <w:w w:val="100"/>
          <w:sz w:val="21"/>
        </w:rPr>
        <w:t>r</w:t>
      </w:r>
      <w:r>
        <w:rPr>
          <w:spacing w:val="-1"/>
          <w:w w:val="100"/>
          <w:sz w:val="21"/>
        </w:rPr>
        <w:t>e</w:t>
      </w:r>
      <w:r>
        <w:rPr>
          <w:w w:val="100"/>
          <w:sz w:val="21"/>
        </w:rPr>
        <w:t>,</w:t>
      </w:r>
      <w:r>
        <w:rPr>
          <w:spacing w:val="26"/>
          <w:sz w:val="21"/>
        </w:rPr>
        <w:t> </w:t>
      </w:r>
      <w:r>
        <w:rPr>
          <w:spacing w:val="-2"/>
          <w:w w:val="100"/>
          <w:sz w:val="21"/>
        </w:rPr>
        <w:t>t</w:t>
      </w:r>
      <w:r>
        <w:rPr>
          <w:spacing w:val="-1"/>
          <w:w w:val="100"/>
          <w:sz w:val="21"/>
        </w:rPr>
        <w:t>h</w:t>
      </w:r>
      <w:r>
        <w:rPr>
          <w:w w:val="100"/>
          <w:sz w:val="21"/>
        </w:rPr>
        <w:t>e</w:t>
      </w:r>
      <w:r>
        <w:rPr>
          <w:spacing w:val="25"/>
          <w:sz w:val="21"/>
        </w:rPr>
        <w:t> </w:t>
      </w:r>
      <w:r>
        <w:rPr>
          <w:spacing w:val="1"/>
          <w:w w:val="100"/>
          <w:sz w:val="21"/>
        </w:rPr>
        <w:t>m</w:t>
      </w:r>
      <w:r>
        <w:rPr>
          <w:spacing w:val="-3"/>
          <w:w w:val="100"/>
          <w:sz w:val="21"/>
        </w:rPr>
        <w:t>a</w:t>
      </w:r>
      <w:r>
        <w:rPr>
          <w:w w:val="100"/>
          <w:sz w:val="21"/>
        </w:rPr>
        <w:t>in</w:t>
      </w:r>
      <w:r>
        <w:rPr>
          <w:spacing w:val="25"/>
          <w:sz w:val="21"/>
        </w:rPr>
        <w:t> </w:t>
      </w:r>
      <w:r>
        <w:rPr>
          <w:spacing w:val="-3"/>
          <w:w w:val="100"/>
          <w:sz w:val="21"/>
        </w:rPr>
        <w:t>q</w:t>
      </w:r>
      <w:r>
        <w:rPr>
          <w:spacing w:val="-1"/>
          <w:w w:val="100"/>
          <w:sz w:val="21"/>
        </w:rPr>
        <w:t>uest</w:t>
      </w:r>
      <w:r>
        <w:rPr>
          <w:w w:val="100"/>
          <w:sz w:val="21"/>
        </w:rPr>
        <w:t>i</w:t>
      </w:r>
      <w:r>
        <w:rPr>
          <w:spacing w:val="-3"/>
          <w:w w:val="100"/>
          <w:sz w:val="21"/>
        </w:rPr>
        <w:t>o</w:t>
      </w:r>
      <w:r>
        <w:rPr>
          <w:w w:val="100"/>
          <w:sz w:val="21"/>
        </w:rPr>
        <w:t>n</w:t>
      </w:r>
      <w:r>
        <w:rPr>
          <w:sz w:val="21"/>
        </w:rPr>
        <w:t> </w:t>
      </w:r>
      <w:r>
        <w:rPr>
          <w:spacing w:val="-28"/>
          <w:sz w:val="21"/>
        </w:rPr>
        <w:t> </w:t>
      </w:r>
      <w:r>
        <w:rPr>
          <w:spacing w:val="-2"/>
          <w:w w:val="100"/>
          <w:sz w:val="21"/>
        </w:rPr>
        <w:t>w</w:t>
      </w:r>
      <w:r>
        <w:rPr>
          <w:spacing w:val="-3"/>
          <w:w w:val="100"/>
          <w:sz w:val="21"/>
        </w:rPr>
        <w:t>h</w:t>
      </w:r>
      <w:r>
        <w:rPr>
          <w:w w:val="100"/>
          <w:sz w:val="21"/>
        </w:rPr>
        <w:t>i</w:t>
      </w:r>
      <w:r>
        <w:rPr>
          <w:w w:val="100"/>
          <w:sz w:val="21"/>
        </w:rPr>
        <w:t>ch</w:t>
      </w:r>
      <w:r>
        <w:rPr>
          <w:spacing w:val="25"/>
          <w:sz w:val="21"/>
        </w:rPr>
        <w:t> </w:t>
      </w:r>
      <w:r>
        <w:rPr>
          <w:w w:val="100"/>
          <w:sz w:val="21"/>
        </w:rPr>
        <w:t>ari</w:t>
      </w:r>
      <w:r>
        <w:rPr>
          <w:spacing w:val="-2"/>
          <w:w w:val="100"/>
          <w:sz w:val="21"/>
        </w:rPr>
        <w:t>s</w:t>
      </w:r>
      <w:r>
        <w:rPr>
          <w:w w:val="100"/>
          <w:sz w:val="21"/>
        </w:rPr>
        <w:t>es</w:t>
      </w:r>
      <w:r>
        <w:rPr>
          <w:spacing w:val="25"/>
          <w:sz w:val="21"/>
        </w:rPr>
        <w:t> </w:t>
      </w:r>
      <w:r>
        <w:rPr>
          <w:w w:val="100"/>
          <w:sz w:val="21"/>
        </w:rPr>
        <w:t>i</w:t>
      </w:r>
      <w:r>
        <w:rPr>
          <w:w w:val="100"/>
          <w:sz w:val="21"/>
        </w:rPr>
        <w:t>n</w:t>
      </w:r>
      <w:r>
        <w:rPr>
          <w:spacing w:val="28"/>
          <w:sz w:val="21"/>
        </w:rPr>
        <w:t> </w:t>
      </w:r>
      <w:r>
        <w:rPr>
          <w:spacing w:val="-4"/>
          <w:w w:val="100"/>
          <w:sz w:val="21"/>
        </w:rPr>
        <w:t>t</w:t>
      </w:r>
      <w:r>
        <w:rPr>
          <w:w w:val="100"/>
          <w:sz w:val="21"/>
        </w:rPr>
        <w:t>he</w:t>
      </w:r>
      <w:r>
        <w:rPr>
          <w:spacing w:val="28"/>
          <w:sz w:val="21"/>
        </w:rPr>
        <w:t> </w:t>
      </w:r>
      <w:r>
        <w:rPr>
          <w:w w:val="100"/>
          <w:sz w:val="21"/>
        </w:rPr>
        <w:t>pr</w:t>
      </w:r>
      <w:r>
        <w:rPr>
          <w:spacing w:val="-3"/>
          <w:w w:val="100"/>
          <w:sz w:val="21"/>
        </w:rPr>
        <w:t>e</w:t>
      </w:r>
      <w:r>
        <w:rPr>
          <w:w w:val="100"/>
          <w:sz w:val="21"/>
        </w:rPr>
        <w:t>sent </w:t>
      </w:r>
      <w:r>
        <w:rPr>
          <w:sz w:val="21"/>
        </w:rPr>
        <w:t>appeal is: Does the equitable doctrine ensuing the mortgagors equity of redemption in spite of a clog created on such equity by stipulation in the mortgage deed apply to the present  case? This question arises in this form, because the Transfer of Property Act did not apply to Alwar at the time when the mortgage was executed nor at the time when the 15 years' stipulated period</w:t>
      </w:r>
      <w:r>
        <w:rPr>
          <w:spacing w:val="-3"/>
          <w:sz w:val="21"/>
        </w:rPr>
        <w:t> </w:t>
      </w:r>
      <w:r>
        <w:rPr>
          <w:sz w:val="21"/>
        </w:rPr>
        <w:t>expired.</w:t>
      </w:r>
    </w:p>
    <w:p>
      <w:pPr>
        <w:pStyle w:val="BodyText"/>
        <w:spacing w:before="3"/>
        <w:rPr>
          <w:sz w:val="24"/>
        </w:rPr>
      </w:pPr>
    </w:p>
    <w:p>
      <w:pPr>
        <w:spacing w:before="0"/>
        <w:ind w:left="1918" w:right="0" w:firstLine="0"/>
        <w:jc w:val="left"/>
        <w:rPr>
          <w:sz w:val="21"/>
        </w:rPr>
      </w:pPr>
      <w:r>
        <w:rPr>
          <w:w w:val="100"/>
          <w:sz w:val="21"/>
        </w:rPr>
        <w:t>…</w:t>
      </w:r>
    </w:p>
    <w:p>
      <w:pPr>
        <w:pStyle w:val="BodyText"/>
        <w:spacing w:before="3"/>
        <w:rPr>
          <w:sz w:val="27"/>
        </w:rPr>
      </w:pPr>
    </w:p>
    <w:p>
      <w:pPr>
        <w:pStyle w:val="ListParagraph"/>
        <w:numPr>
          <w:ilvl w:val="0"/>
          <w:numId w:val="215"/>
        </w:numPr>
        <w:tabs>
          <w:tab w:pos="2329" w:val="left" w:leader="none"/>
        </w:tabs>
        <w:spacing w:line="276" w:lineRule="auto" w:before="0" w:after="0"/>
        <w:ind w:left="1918" w:right="2260" w:firstLine="0"/>
        <w:jc w:val="both"/>
        <w:rPr>
          <w:b/>
          <w:sz w:val="21"/>
        </w:rPr>
      </w:pPr>
      <w:r>
        <w:rPr>
          <w:sz w:val="21"/>
        </w:rPr>
        <w:t>In dealing with this argument, it would be relevant to observe that traditionally, courts in India have been consistently enforcing the principles of equity which prevent the enforcement of stipulations in mortgage deeds which unreasonably restrain or restrict the mortgagor's right to redeem</w:t>
      </w:r>
      <w:r>
        <w:rPr>
          <w:b/>
          <w:sz w:val="21"/>
        </w:rPr>
        <w:t>… In fact, in Namdeo Lokman Lodhi v. Narmadabai [(1953) SCR 1009] this Court has emphatically observed that it is axiomatic that the courts must apply the principles of justice, equity and good conscience to transactions which come before them for determination even though the statutory provisions of the Transfer of Property Act are not made applicable to these transactions. These observations, in substance, represent the same traditional judicial approach</w:t>
      </w:r>
      <w:r>
        <w:rPr>
          <w:b/>
          <w:spacing w:val="39"/>
          <w:sz w:val="21"/>
        </w:rPr>
        <w:t> </w:t>
      </w:r>
      <w:r>
        <w:rPr>
          <w:b/>
          <w:sz w:val="21"/>
        </w:rPr>
        <w:t>in</w:t>
      </w:r>
    </w:p>
    <w:p>
      <w:pPr>
        <w:pStyle w:val="BodyText"/>
        <w:spacing w:before="2"/>
        <w:rPr>
          <w:b/>
          <w:sz w:val="18"/>
        </w:rPr>
      </w:pPr>
      <w:r>
        <w:rPr/>
        <w:pict>
          <v:rect style="position:absolute;margin-left:72.024002pt;margin-top:12.437232pt;width:144.020pt;height:.599980pt;mso-position-horizontal-relative:page;mso-position-vertical-relative:paragraph;z-index:-1562316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353</w:t>
      </w:r>
      <w:r>
        <w:rPr>
          <w:sz w:val="18"/>
          <w:vertAlign w:val="baseline"/>
        </w:rPr>
        <w:t> (1964) 8 SCR 239</w:t>
      </w:r>
    </w:p>
    <w:p>
      <w:pPr>
        <w:spacing w:after="0"/>
        <w:jc w:val="left"/>
        <w:rPr>
          <w:sz w:val="18"/>
        </w:rPr>
        <w:sectPr>
          <w:headerReference w:type="default" r:id="rId188"/>
          <w:footerReference w:type="default" r:id="rId189"/>
          <w:pgSz w:w="11910" w:h="16840"/>
          <w:pgMar w:header="721" w:footer="1014" w:top="1300" w:bottom="1200" w:left="940" w:right="1000"/>
          <w:pgNumType w:start="785"/>
        </w:sectPr>
      </w:pPr>
    </w:p>
    <w:p>
      <w:pPr>
        <w:spacing w:line="276" w:lineRule="auto" w:before="122"/>
        <w:ind w:left="1918" w:right="2262" w:firstLine="0"/>
        <w:jc w:val="both"/>
        <w:rPr>
          <w:sz w:val="21"/>
        </w:rPr>
      </w:pPr>
      <w:r>
        <w:rPr>
          <w:b/>
          <w:sz w:val="21"/>
        </w:rPr>
        <w:t>dealing with oppressive unjust and unreasonable restrictions imposed by the mortgagees on needy mortgagors when mortgage documents are executed</w:t>
      </w:r>
      <w:r>
        <w:rPr>
          <w:sz w:val="21"/>
        </w:rPr>
        <w:t>.</w:t>
      </w:r>
    </w:p>
    <w:p>
      <w:pPr>
        <w:pStyle w:val="BodyText"/>
        <w:spacing w:before="3"/>
        <w:rPr>
          <w:sz w:val="24"/>
        </w:rPr>
      </w:pPr>
    </w:p>
    <w:p>
      <w:pPr>
        <w:spacing w:before="0"/>
        <w:ind w:left="1918" w:right="0" w:firstLine="0"/>
        <w:jc w:val="left"/>
        <w:rPr>
          <w:sz w:val="21"/>
        </w:rPr>
      </w:pPr>
      <w:r>
        <w:rPr>
          <w:w w:val="100"/>
          <w:sz w:val="21"/>
        </w:rPr>
        <w:t>…</w:t>
      </w:r>
    </w:p>
    <w:p>
      <w:pPr>
        <w:pStyle w:val="BodyText"/>
        <w:spacing w:before="2"/>
        <w:rPr>
          <w:sz w:val="27"/>
        </w:rPr>
      </w:pPr>
    </w:p>
    <w:p>
      <w:pPr>
        <w:pStyle w:val="ListParagraph"/>
        <w:numPr>
          <w:ilvl w:val="0"/>
          <w:numId w:val="215"/>
        </w:numPr>
        <w:tabs>
          <w:tab w:pos="2300" w:val="left" w:leader="none"/>
        </w:tabs>
        <w:spacing w:line="276" w:lineRule="auto" w:before="0" w:after="0"/>
        <w:ind w:left="1918" w:right="2257" w:firstLine="0"/>
        <w:jc w:val="both"/>
        <w:rPr>
          <w:sz w:val="21"/>
        </w:rPr>
      </w:pPr>
      <w:r>
        <w:rPr>
          <w:sz w:val="21"/>
        </w:rPr>
        <w:t>… Even so, we think it would be reasonable to assume that </w:t>
      </w:r>
      <w:r>
        <w:rPr>
          <w:b/>
          <w:sz w:val="21"/>
        </w:rPr>
        <w:t>civil courts established in the State of Alwar were like civil courts all over the country, required to administer justice and equity where there was no specific statutory provision</w:t>
      </w:r>
      <w:r>
        <w:rPr>
          <w:b/>
          <w:spacing w:val="40"/>
          <w:sz w:val="21"/>
        </w:rPr>
        <w:t> </w:t>
      </w:r>
      <w:r>
        <w:rPr>
          <w:b/>
          <w:sz w:val="21"/>
        </w:rPr>
        <w:t>to</w:t>
      </w:r>
      <w:r>
        <w:rPr>
          <w:b/>
          <w:spacing w:val="40"/>
          <w:sz w:val="21"/>
        </w:rPr>
        <w:t> </w:t>
      </w:r>
      <w:r>
        <w:rPr>
          <w:b/>
          <w:sz w:val="21"/>
        </w:rPr>
        <w:t>deal</w:t>
      </w:r>
      <w:r>
        <w:rPr>
          <w:b/>
          <w:spacing w:val="36"/>
          <w:sz w:val="21"/>
        </w:rPr>
        <w:t> </w:t>
      </w:r>
      <w:r>
        <w:rPr>
          <w:b/>
          <w:sz w:val="21"/>
        </w:rPr>
        <w:t>with</w:t>
      </w:r>
      <w:r>
        <w:rPr>
          <w:b/>
          <w:spacing w:val="40"/>
          <w:sz w:val="21"/>
        </w:rPr>
        <w:t> </w:t>
      </w:r>
      <w:r>
        <w:rPr>
          <w:b/>
          <w:sz w:val="21"/>
        </w:rPr>
        <w:t>the</w:t>
      </w:r>
      <w:r>
        <w:rPr>
          <w:b/>
          <w:spacing w:val="39"/>
          <w:sz w:val="21"/>
        </w:rPr>
        <w:t> </w:t>
      </w:r>
      <w:r>
        <w:rPr>
          <w:b/>
          <w:sz w:val="21"/>
        </w:rPr>
        <w:t>question</w:t>
      </w:r>
      <w:r>
        <w:rPr>
          <w:b/>
          <w:spacing w:val="40"/>
          <w:sz w:val="21"/>
        </w:rPr>
        <w:t> </w:t>
      </w:r>
      <w:r>
        <w:rPr>
          <w:b/>
          <w:sz w:val="21"/>
        </w:rPr>
        <w:t>raised</w:t>
      </w:r>
      <w:r>
        <w:rPr>
          <w:b/>
          <w:spacing w:val="37"/>
          <w:sz w:val="21"/>
        </w:rPr>
        <w:t> </w:t>
      </w:r>
      <w:r>
        <w:rPr>
          <w:b/>
          <w:sz w:val="21"/>
        </w:rPr>
        <w:t>before</w:t>
      </w:r>
      <w:r>
        <w:rPr>
          <w:b/>
          <w:spacing w:val="39"/>
          <w:sz w:val="21"/>
        </w:rPr>
        <w:t> </w:t>
      </w:r>
      <w:r>
        <w:rPr>
          <w:b/>
          <w:sz w:val="21"/>
        </w:rPr>
        <w:t>them</w:t>
      </w:r>
      <w:r>
        <w:rPr>
          <w:sz w:val="21"/>
        </w:rPr>
        <w:t>.</w:t>
      </w:r>
    </w:p>
    <w:p>
      <w:pPr>
        <w:spacing w:line="276" w:lineRule="auto" w:before="1"/>
        <w:ind w:left="1918" w:right="2260" w:firstLine="0"/>
        <w:jc w:val="both"/>
        <w:rPr>
          <w:sz w:val="21"/>
        </w:rPr>
      </w:pPr>
      <w:r>
        <w:rPr>
          <w:sz w:val="21"/>
        </w:rPr>
        <w:t>…. In the absence of any material on the record on the point, we are reluctant to accept Mr Sarjoo Prasad's argument that the doctrine of equity and justice should be treated as irrelevant in dealing with the present dispute.</w:t>
      </w:r>
    </w:p>
    <w:p>
      <w:pPr>
        <w:pStyle w:val="BodyText"/>
        <w:spacing w:before="1"/>
        <w:rPr>
          <w:sz w:val="24"/>
        </w:rPr>
      </w:pPr>
    </w:p>
    <w:p>
      <w:pPr>
        <w:spacing w:before="0"/>
        <w:ind w:left="1918" w:right="0" w:firstLine="0"/>
        <w:jc w:val="left"/>
        <w:rPr>
          <w:sz w:val="21"/>
        </w:rPr>
      </w:pPr>
      <w:r>
        <w:rPr>
          <w:w w:val="100"/>
          <w:sz w:val="21"/>
        </w:rPr>
        <w:t>…</w:t>
      </w:r>
    </w:p>
    <w:p>
      <w:pPr>
        <w:pStyle w:val="BodyText"/>
        <w:spacing w:before="5"/>
        <w:rPr>
          <w:sz w:val="27"/>
        </w:rPr>
      </w:pPr>
    </w:p>
    <w:p>
      <w:pPr>
        <w:spacing w:line="276" w:lineRule="auto" w:before="0"/>
        <w:ind w:left="1918" w:right="2262" w:firstLine="0"/>
        <w:jc w:val="both"/>
        <w:rPr>
          <w:sz w:val="21"/>
        </w:rPr>
      </w:pPr>
      <w:r>
        <w:rPr>
          <w:sz w:val="21"/>
        </w:rPr>
        <w:t>20. Thus it is clear that the equitable principle of justice, equity and good conscience has been consistently applied by civil courts in dealing with mortgages in a substantial part of Rajasthan and that lends support to the contention of the respondent that it was recognised even in Alwar that if a mortgage deed contains a stipulation which unreasonably restrains or restricts the mortgagor‘s equity of redemption courts were empowered to ignore that stipulation and enforce the mortgagor's right to redeem, subject, of course, to the general law of limitation prescribed in that behalf. </w:t>
      </w:r>
      <w:r>
        <w:rPr>
          <w:spacing w:val="3"/>
          <w:sz w:val="21"/>
        </w:rPr>
        <w:t>We </w:t>
      </w:r>
      <w:r>
        <w:rPr>
          <w:sz w:val="21"/>
        </w:rPr>
        <w:t>are, therefore, satisfied that no case has been made out by the appellant to justify our interference with the conclusion of the Rajasthan High Court that the relevant stipulation on which the appellant relies ought to be enforced even though it creates a clog on the equity of</w:t>
      </w:r>
      <w:r>
        <w:rPr>
          <w:spacing w:val="-16"/>
          <w:sz w:val="21"/>
        </w:rPr>
        <w:t> </w:t>
      </w:r>
      <w:r>
        <w:rPr>
          <w:sz w:val="21"/>
        </w:rPr>
        <w:t>redemption.‖</w:t>
      </w:r>
    </w:p>
    <w:p>
      <w:pPr>
        <w:pStyle w:val="BodyText"/>
        <w:spacing w:before="9"/>
        <w:rPr>
          <w:sz w:val="28"/>
        </w:rPr>
      </w:pPr>
    </w:p>
    <w:p>
      <w:pPr>
        <w:pStyle w:val="ListParagraph"/>
        <w:numPr>
          <w:ilvl w:val="0"/>
          <w:numId w:val="166"/>
        </w:numPr>
        <w:tabs>
          <w:tab w:pos="1221" w:val="left" w:leader="none"/>
        </w:tabs>
        <w:spacing w:line="480" w:lineRule="auto" w:before="0" w:after="0"/>
        <w:ind w:left="500" w:right="440" w:firstLine="0"/>
        <w:jc w:val="both"/>
        <w:rPr>
          <w:sz w:val="25"/>
        </w:rPr>
      </w:pPr>
      <w:r>
        <w:rPr>
          <w:sz w:val="25"/>
        </w:rPr>
        <w:t>The Court also cited instances of decisions of the High Courts which had held that Section 60 of the Transfer of Property Act embodied the just and equitable principle. In this view, the Bench took a broader view of the principles embodied by justice, equity and good conscience. The Court held that the view of this Court in </w:t>
      </w:r>
      <w:r>
        <w:rPr>
          <w:b/>
          <w:sz w:val="25"/>
        </w:rPr>
        <w:t>Namdeo </w:t>
      </w:r>
      <w:r>
        <w:rPr>
          <w:sz w:val="25"/>
        </w:rPr>
        <w:t>is consistent with and similar to the analogous situation of unreasonable and oppressive contractual terms and in that sense, justice, equity and</w:t>
      </w:r>
      <w:r>
        <w:rPr>
          <w:spacing w:val="8"/>
          <w:sz w:val="25"/>
        </w:rPr>
        <w:t> </w:t>
      </w:r>
      <w:r>
        <w:rPr>
          <w:sz w:val="25"/>
        </w:rPr>
        <w:t>good</w:t>
      </w:r>
      <w:r>
        <w:rPr>
          <w:spacing w:val="8"/>
          <w:sz w:val="25"/>
        </w:rPr>
        <w:t> </w:t>
      </w:r>
      <w:r>
        <w:rPr>
          <w:sz w:val="25"/>
        </w:rPr>
        <w:t>conscience</w:t>
      </w:r>
      <w:r>
        <w:rPr>
          <w:spacing w:val="9"/>
          <w:sz w:val="25"/>
        </w:rPr>
        <w:t> </w:t>
      </w:r>
      <w:r>
        <w:rPr>
          <w:sz w:val="25"/>
        </w:rPr>
        <w:t>was</w:t>
      </w:r>
      <w:r>
        <w:rPr>
          <w:spacing w:val="8"/>
          <w:sz w:val="25"/>
        </w:rPr>
        <w:t> </w:t>
      </w:r>
      <w:r>
        <w:rPr>
          <w:sz w:val="25"/>
        </w:rPr>
        <w:t>analogous</w:t>
      </w:r>
      <w:r>
        <w:rPr>
          <w:spacing w:val="8"/>
          <w:sz w:val="25"/>
        </w:rPr>
        <w:t> </w:t>
      </w:r>
      <w:r>
        <w:rPr>
          <w:sz w:val="25"/>
        </w:rPr>
        <w:t>to</w:t>
      </w:r>
      <w:r>
        <w:rPr>
          <w:spacing w:val="14"/>
          <w:sz w:val="25"/>
        </w:rPr>
        <w:t> </w:t>
      </w:r>
      <w:r>
        <w:rPr>
          <w:sz w:val="25"/>
        </w:rPr>
        <w:t>English</w:t>
      </w:r>
      <w:r>
        <w:rPr>
          <w:spacing w:val="8"/>
          <w:sz w:val="25"/>
        </w:rPr>
        <w:t> </w:t>
      </w:r>
      <w:r>
        <w:rPr>
          <w:sz w:val="25"/>
        </w:rPr>
        <w:t>law</w:t>
      </w:r>
      <w:r>
        <w:rPr>
          <w:spacing w:val="8"/>
          <w:sz w:val="25"/>
        </w:rPr>
        <w:t> </w:t>
      </w:r>
      <w:r>
        <w:rPr>
          <w:sz w:val="25"/>
        </w:rPr>
        <w:t>only</w:t>
      </w:r>
      <w:r>
        <w:rPr>
          <w:spacing w:val="5"/>
          <w:sz w:val="25"/>
        </w:rPr>
        <w:t> </w:t>
      </w:r>
      <w:r>
        <w:rPr>
          <w:sz w:val="25"/>
        </w:rPr>
        <w:t>where</w:t>
      </w:r>
      <w:r>
        <w:rPr>
          <w:spacing w:val="11"/>
          <w:sz w:val="25"/>
        </w:rPr>
        <w:t> </w:t>
      </w:r>
      <w:r>
        <w:rPr>
          <w:sz w:val="25"/>
        </w:rPr>
        <w:t>English</w:t>
      </w:r>
      <w:r>
        <w:rPr>
          <w:spacing w:val="8"/>
          <w:sz w:val="25"/>
        </w:rPr>
        <w:t> </w:t>
      </w:r>
      <w:r>
        <w:rPr>
          <w:sz w:val="25"/>
        </w:rPr>
        <w:t>law</w:t>
      </w:r>
      <w:r>
        <w:rPr>
          <w:spacing w:val="8"/>
          <w:sz w:val="25"/>
        </w:rPr>
        <w:t> </w:t>
      </w:r>
      <w:r>
        <w:rPr>
          <w:sz w:val="25"/>
        </w:rPr>
        <w:t>itself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7"/>
        <w:jc w:val="both"/>
      </w:pPr>
      <w:r>
        <w:rPr/>
        <w:t>was in conformity with the principles supported by justice, equity and good conscience.</w:t>
      </w:r>
    </w:p>
    <w:p>
      <w:pPr>
        <w:pStyle w:val="BodyText"/>
        <w:rPr>
          <w:sz w:val="28"/>
        </w:rPr>
      </w:pPr>
    </w:p>
    <w:p>
      <w:pPr>
        <w:pStyle w:val="BodyText"/>
        <w:spacing w:before="8"/>
        <w:rPr>
          <w:sz w:val="24"/>
        </w:rPr>
      </w:pPr>
    </w:p>
    <w:p>
      <w:pPr>
        <w:pStyle w:val="ListParagraph"/>
        <w:numPr>
          <w:ilvl w:val="0"/>
          <w:numId w:val="166"/>
        </w:numPr>
        <w:tabs>
          <w:tab w:pos="1221" w:val="left" w:leader="none"/>
        </w:tabs>
        <w:spacing w:line="480" w:lineRule="auto" w:before="1" w:after="0"/>
        <w:ind w:left="500" w:right="435" w:firstLine="0"/>
        <w:jc w:val="both"/>
        <w:rPr>
          <w:sz w:val="25"/>
        </w:rPr>
      </w:pPr>
      <w:r>
        <w:rPr>
          <w:sz w:val="25"/>
        </w:rPr>
        <w:t>The common underlying thread is that justice, good conscience and equity plays a supplementary role in enabling courts to mould the relief to suit the circumstances that present themselves before courts with the principle purpose  of ensuring a just outcome. Where the existing statutory framework is inadequate for courts to adjudicate upon the dispute before them, or no settled judicial doctrine or custom can be availed of, courts may legitimately take recourse to the principles of justice, equity and good conscience to effectively and fairly dispose of the case. A court cannot abdicate its responsibility to decide a dispute over legal rights merely because the facts of a case do not readily submit themselves to the application of the letter of the existing law. Courts in India have long  availed of the principles of justice, good conscience and equity to supplement the incompleteness or inapplicability of the letter of the law with the ground realities  of legal disputes to do justice between the parties. Equity, as an essential component of justice, formed the final step in the just adjudication of disputes. After taking recourse to legal principles from varied legal systems, scholarly written work on the subject, and the experience of the Bar and Bench, if no decisive or just outcome could be reached, a judge may apply the principles of equity between the parties to ensure that justice is done. This has often found form in the power of the court to craft reliefs that are both legally sustainable and just.</w:t>
      </w:r>
    </w:p>
    <w:p>
      <w:pPr>
        <w:spacing w:after="0" w:line="480" w:lineRule="auto"/>
        <w:jc w:val="both"/>
        <w:rPr>
          <w:sz w:val="25"/>
        </w:rPr>
        <w:sectPr>
          <w:pgSz w:w="11910" w:h="16840"/>
          <w:pgMar w:header="721" w:footer="1014" w:top="1300" w:bottom="1200" w:left="940" w:right="1000"/>
        </w:sectPr>
      </w:pPr>
    </w:p>
    <w:p>
      <w:pPr>
        <w:spacing w:before="124"/>
        <w:ind w:left="567" w:right="0" w:firstLine="0"/>
        <w:jc w:val="both"/>
        <w:rPr>
          <w:i/>
          <w:sz w:val="25"/>
        </w:rPr>
      </w:pPr>
      <w:r>
        <w:rPr>
          <w:i/>
          <w:sz w:val="25"/>
        </w:rPr>
        <w:t>Equity and Article 142</w:t>
      </w:r>
    </w:p>
    <w:p>
      <w:pPr>
        <w:pStyle w:val="BodyText"/>
        <w:spacing w:before="4"/>
        <w:rPr>
          <w:i/>
          <w:sz w:val="37"/>
        </w:rPr>
      </w:pPr>
    </w:p>
    <w:p>
      <w:pPr>
        <w:pStyle w:val="ListParagraph"/>
        <w:numPr>
          <w:ilvl w:val="0"/>
          <w:numId w:val="166"/>
        </w:numPr>
        <w:tabs>
          <w:tab w:pos="1221" w:val="left" w:leader="none"/>
        </w:tabs>
        <w:spacing w:line="480" w:lineRule="auto" w:before="0" w:after="0"/>
        <w:ind w:left="500" w:right="443" w:firstLine="0"/>
        <w:jc w:val="both"/>
        <w:rPr>
          <w:sz w:val="25"/>
        </w:rPr>
      </w:pPr>
      <w:r>
        <w:rPr>
          <w:sz w:val="25"/>
        </w:rPr>
        <w:t>The concept of ‗justice, equity and good conscience‘ as a tool to ensure a just outcome also finds expression in Article 142 of the Constitution which</w:t>
      </w:r>
      <w:r>
        <w:rPr>
          <w:spacing w:val="-21"/>
          <w:sz w:val="25"/>
        </w:rPr>
        <w:t> </w:t>
      </w:r>
      <w:r>
        <w:rPr>
          <w:sz w:val="25"/>
        </w:rPr>
        <w:t>reads:</w:t>
      </w:r>
    </w:p>
    <w:p>
      <w:pPr>
        <w:spacing w:line="276" w:lineRule="auto" w:before="160"/>
        <w:ind w:left="1918" w:right="2260" w:firstLine="0"/>
        <w:jc w:val="both"/>
        <w:rPr>
          <w:sz w:val="21"/>
        </w:rPr>
      </w:pPr>
      <w:r>
        <w:rPr>
          <w:spacing w:val="-1"/>
          <w:w w:val="33"/>
          <w:sz w:val="21"/>
        </w:rPr>
        <w:t>―</w:t>
      </w:r>
      <w:r>
        <w:rPr>
          <w:spacing w:val="-1"/>
          <w:w w:val="100"/>
          <w:sz w:val="21"/>
        </w:rPr>
        <w:t>142</w:t>
      </w:r>
      <w:r>
        <w:rPr>
          <w:w w:val="100"/>
          <w:sz w:val="21"/>
        </w:rPr>
        <w:t>.</w:t>
      </w:r>
      <w:r>
        <w:rPr>
          <w:spacing w:val="10"/>
          <w:sz w:val="21"/>
        </w:rPr>
        <w:t> </w:t>
      </w:r>
      <w:r>
        <w:rPr>
          <w:spacing w:val="-1"/>
          <w:w w:val="100"/>
          <w:sz w:val="21"/>
        </w:rPr>
        <w:t>(1</w:t>
      </w:r>
      <w:r>
        <w:rPr>
          <w:w w:val="100"/>
          <w:sz w:val="21"/>
        </w:rPr>
        <w:t>)</w:t>
      </w:r>
      <w:r>
        <w:rPr>
          <w:spacing w:val="10"/>
          <w:sz w:val="21"/>
        </w:rPr>
        <w:t> </w:t>
      </w:r>
      <w:r>
        <w:rPr>
          <w:w w:val="100"/>
          <w:sz w:val="21"/>
        </w:rPr>
        <w:t>The</w:t>
      </w:r>
      <w:r>
        <w:rPr>
          <w:spacing w:val="11"/>
          <w:sz w:val="21"/>
        </w:rPr>
        <w:t> </w:t>
      </w:r>
      <w:r>
        <w:rPr>
          <w:spacing w:val="-2"/>
          <w:w w:val="100"/>
          <w:sz w:val="21"/>
        </w:rPr>
        <w:t>S</w:t>
      </w:r>
      <w:r>
        <w:rPr>
          <w:spacing w:val="-1"/>
          <w:w w:val="100"/>
          <w:sz w:val="21"/>
        </w:rPr>
        <w:t>upr</w:t>
      </w:r>
      <w:r>
        <w:rPr>
          <w:spacing w:val="-3"/>
          <w:w w:val="100"/>
          <w:sz w:val="21"/>
        </w:rPr>
        <w:t>e</w:t>
      </w:r>
      <w:r>
        <w:rPr>
          <w:spacing w:val="-1"/>
          <w:w w:val="100"/>
          <w:sz w:val="21"/>
        </w:rPr>
        <w:t>m</w:t>
      </w:r>
      <w:r>
        <w:rPr>
          <w:w w:val="100"/>
          <w:sz w:val="21"/>
        </w:rPr>
        <w:t>e</w:t>
      </w:r>
      <w:r>
        <w:rPr>
          <w:spacing w:val="11"/>
          <w:sz w:val="21"/>
        </w:rPr>
        <w:t> </w:t>
      </w:r>
      <w:r>
        <w:rPr>
          <w:spacing w:val="-2"/>
          <w:w w:val="100"/>
          <w:sz w:val="21"/>
        </w:rPr>
        <w:t>C</w:t>
      </w:r>
      <w:r>
        <w:rPr>
          <w:spacing w:val="-1"/>
          <w:w w:val="100"/>
          <w:sz w:val="21"/>
        </w:rPr>
        <w:t>our</w:t>
      </w:r>
      <w:r>
        <w:rPr>
          <w:w w:val="100"/>
          <w:sz w:val="21"/>
        </w:rPr>
        <w:t>t</w:t>
      </w:r>
      <w:r>
        <w:rPr>
          <w:spacing w:val="9"/>
          <w:sz w:val="21"/>
        </w:rPr>
        <w:t> </w:t>
      </w:r>
      <w:r>
        <w:rPr>
          <w:w w:val="100"/>
          <w:sz w:val="21"/>
        </w:rPr>
        <w:t>in</w:t>
      </w:r>
      <w:r>
        <w:rPr>
          <w:spacing w:val="11"/>
          <w:sz w:val="21"/>
        </w:rPr>
        <w:t> </w:t>
      </w:r>
      <w:r>
        <w:rPr>
          <w:spacing w:val="-2"/>
          <w:w w:val="100"/>
          <w:sz w:val="21"/>
        </w:rPr>
        <w:t>t</w:t>
      </w:r>
      <w:r>
        <w:rPr>
          <w:spacing w:val="-1"/>
          <w:w w:val="100"/>
          <w:sz w:val="21"/>
        </w:rPr>
        <w:t>h</w:t>
      </w:r>
      <w:r>
        <w:rPr>
          <w:w w:val="100"/>
          <w:sz w:val="21"/>
        </w:rPr>
        <w:t>e</w:t>
      </w:r>
      <w:r>
        <w:rPr>
          <w:spacing w:val="11"/>
          <w:sz w:val="21"/>
        </w:rPr>
        <w:t> </w:t>
      </w:r>
      <w:r>
        <w:rPr>
          <w:spacing w:val="-1"/>
          <w:w w:val="100"/>
          <w:sz w:val="21"/>
        </w:rPr>
        <w:t>exer</w:t>
      </w:r>
      <w:r>
        <w:rPr>
          <w:spacing w:val="-3"/>
          <w:w w:val="100"/>
          <w:sz w:val="21"/>
        </w:rPr>
        <w:t>c</w:t>
      </w:r>
      <w:r>
        <w:rPr>
          <w:w w:val="100"/>
          <w:sz w:val="21"/>
        </w:rPr>
        <w:t>i</w:t>
      </w:r>
      <w:r>
        <w:rPr>
          <w:spacing w:val="-3"/>
          <w:w w:val="100"/>
          <w:sz w:val="21"/>
        </w:rPr>
        <w:t>s</w:t>
      </w:r>
      <w:r>
        <w:rPr>
          <w:w w:val="100"/>
          <w:sz w:val="21"/>
        </w:rPr>
        <w:t>e</w:t>
      </w:r>
      <w:r>
        <w:rPr>
          <w:spacing w:val="11"/>
          <w:sz w:val="21"/>
        </w:rPr>
        <w:t> </w:t>
      </w:r>
      <w:r>
        <w:rPr>
          <w:spacing w:val="-1"/>
          <w:w w:val="100"/>
          <w:sz w:val="21"/>
        </w:rPr>
        <w:t>o</w:t>
      </w:r>
      <w:r>
        <w:rPr>
          <w:w w:val="100"/>
          <w:sz w:val="21"/>
        </w:rPr>
        <w:t>f</w:t>
      </w:r>
      <w:r>
        <w:rPr>
          <w:spacing w:val="12"/>
          <w:sz w:val="21"/>
        </w:rPr>
        <w:t> </w:t>
      </w:r>
      <w:r>
        <w:rPr>
          <w:w w:val="100"/>
          <w:sz w:val="21"/>
        </w:rPr>
        <w:t>i</w:t>
      </w:r>
      <w:r>
        <w:rPr>
          <w:spacing w:val="-2"/>
          <w:w w:val="100"/>
          <w:sz w:val="21"/>
        </w:rPr>
        <w:t>t</w:t>
      </w:r>
      <w:r>
        <w:rPr>
          <w:w w:val="100"/>
          <w:sz w:val="21"/>
        </w:rPr>
        <w:t>s</w:t>
      </w:r>
      <w:r>
        <w:rPr>
          <w:spacing w:val="8"/>
          <w:sz w:val="21"/>
        </w:rPr>
        <w:t> </w:t>
      </w:r>
      <w:r>
        <w:rPr>
          <w:spacing w:val="-2"/>
          <w:w w:val="100"/>
          <w:sz w:val="21"/>
        </w:rPr>
        <w:t>j</w:t>
      </w:r>
      <w:r>
        <w:rPr>
          <w:spacing w:val="-1"/>
          <w:w w:val="100"/>
          <w:sz w:val="21"/>
        </w:rPr>
        <w:t>uris</w:t>
      </w:r>
      <w:r>
        <w:rPr>
          <w:spacing w:val="-2"/>
          <w:w w:val="100"/>
          <w:sz w:val="21"/>
        </w:rPr>
        <w:t>d</w:t>
      </w:r>
      <w:r>
        <w:rPr>
          <w:w w:val="100"/>
          <w:sz w:val="21"/>
        </w:rPr>
        <w:t>ic</w:t>
      </w:r>
      <w:r>
        <w:rPr>
          <w:spacing w:val="-2"/>
          <w:w w:val="100"/>
          <w:sz w:val="21"/>
        </w:rPr>
        <w:t>ti</w:t>
      </w:r>
      <w:r>
        <w:rPr>
          <w:spacing w:val="-1"/>
          <w:w w:val="100"/>
          <w:sz w:val="21"/>
        </w:rPr>
        <w:t>on </w:t>
      </w:r>
      <w:r>
        <w:rPr>
          <w:sz w:val="21"/>
        </w:rPr>
        <w:t>may pass such decree or make such order as </w:t>
      </w:r>
      <w:r>
        <w:rPr>
          <w:b/>
          <w:sz w:val="21"/>
        </w:rPr>
        <w:t>is necessary for doing complete justice </w:t>
      </w:r>
      <w:r>
        <w:rPr>
          <w:sz w:val="21"/>
        </w:rPr>
        <w:t>in any cause or matter pending before it, and any decree so passed or order so made shall be enforceable throughout the territory of India in such manner as may be prescribed by or under any law made by Parliament and, until provision in that behalf is so made, in such manner as the President may by order</w:t>
      </w:r>
      <w:r>
        <w:rPr>
          <w:spacing w:val="-24"/>
          <w:sz w:val="21"/>
        </w:rPr>
        <w:t> </w:t>
      </w:r>
      <w:r>
        <w:rPr>
          <w:sz w:val="21"/>
        </w:rPr>
        <w:t>prescribe.‖</w:t>
      </w:r>
    </w:p>
    <w:p>
      <w:pPr>
        <w:spacing w:before="1"/>
        <w:ind w:left="5798" w:right="0" w:firstLine="0"/>
        <w:jc w:val="both"/>
        <w:rPr>
          <w:sz w:val="21"/>
        </w:rPr>
      </w:pPr>
      <w:r>
        <w:rPr>
          <w:sz w:val="21"/>
        </w:rPr>
        <w:t>(Emphasis supplied)</w:t>
      </w:r>
    </w:p>
    <w:p>
      <w:pPr>
        <w:pStyle w:val="BodyText"/>
        <w:rPr>
          <w:sz w:val="24"/>
        </w:rPr>
      </w:pPr>
    </w:p>
    <w:p>
      <w:pPr>
        <w:pStyle w:val="BodyText"/>
        <w:rPr>
          <w:sz w:val="24"/>
        </w:rPr>
      </w:pPr>
    </w:p>
    <w:p>
      <w:pPr>
        <w:pStyle w:val="BodyText"/>
        <w:spacing w:before="10"/>
        <w:rPr>
          <w:sz w:val="21"/>
        </w:rPr>
      </w:pPr>
    </w:p>
    <w:p>
      <w:pPr>
        <w:pStyle w:val="BodyText"/>
        <w:spacing w:line="480" w:lineRule="auto"/>
        <w:ind w:left="500" w:right="437"/>
        <w:jc w:val="both"/>
      </w:pPr>
      <w:r>
        <w:rPr/>
        <w:t>The phrase ‗is necessary for doing complete justice‘ is of a wide amplitude and encompasses a power of equity which is employed when the strict application of the law is inadequate to produce a just outcome. The demands of justice require a close attention not just to positive law but also to the silences of positive law to find within its interstices, a solution that is equitable and just. The legal enterprise is premised on the application of generally worded laws to the specifics of a case before courts. The complexities of human history and activity inevitably lead to unique contests – such as in this case, involving religion, history and the law - which the law, by its general nature, is inadequate to deal with. Even where positive law is clear, the deliberately wide amplitude of the power under Article 142 empowers a court to pass an order which accords with justice. For justice is the foundation which brings home the purpose of any legal enterprise and on which the legitimacy of the rule of law rests. The equitable power under Article 142 of the Constitution brings to fore the intersection between the general and specific.</w:t>
      </w:r>
      <w:r>
        <w:rPr>
          <w:spacing w:val="22"/>
        </w:rPr>
        <w:t> </w:t>
      </w:r>
      <w:r>
        <w:rPr/>
        <w:t>Courts</w:t>
      </w:r>
      <w:r>
        <w:rPr>
          <w:spacing w:val="23"/>
        </w:rPr>
        <w:t> </w:t>
      </w:r>
      <w:r>
        <w:rPr/>
        <w:t>may</w:t>
      </w:r>
      <w:r>
        <w:rPr>
          <w:spacing w:val="22"/>
        </w:rPr>
        <w:t> </w:t>
      </w:r>
      <w:r>
        <w:rPr/>
        <w:t>find</w:t>
      </w:r>
      <w:r>
        <w:rPr>
          <w:spacing w:val="23"/>
        </w:rPr>
        <w:t> </w:t>
      </w:r>
      <w:r>
        <w:rPr/>
        <w:t>themselves</w:t>
      </w:r>
      <w:r>
        <w:rPr>
          <w:spacing w:val="25"/>
        </w:rPr>
        <w:t> </w:t>
      </w:r>
      <w:r>
        <w:rPr/>
        <w:t>in</w:t>
      </w:r>
      <w:r>
        <w:rPr>
          <w:spacing w:val="24"/>
        </w:rPr>
        <w:t> </w:t>
      </w:r>
      <w:r>
        <w:rPr/>
        <w:t>situations</w:t>
      </w:r>
      <w:r>
        <w:rPr>
          <w:spacing w:val="22"/>
        </w:rPr>
        <w:t> </w:t>
      </w:r>
      <w:r>
        <w:rPr/>
        <w:t>where</w:t>
      </w:r>
      <w:r>
        <w:rPr>
          <w:spacing w:val="23"/>
        </w:rPr>
        <w:t> </w:t>
      </w:r>
      <w:r>
        <w:rPr/>
        <w:t>the</w:t>
      </w:r>
      <w:r>
        <w:rPr>
          <w:spacing w:val="23"/>
        </w:rPr>
        <w:t> </w:t>
      </w:r>
      <w:r>
        <w:rPr/>
        <w:t>silences</w:t>
      </w:r>
      <w:r>
        <w:rPr>
          <w:spacing w:val="23"/>
        </w:rPr>
        <w:t> </w:t>
      </w:r>
      <w:r>
        <w:rPr/>
        <w:t>of</w:t>
      </w:r>
      <w:r>
        <w:rPr>
          <w:spacing w:val="24"/>
        </w:rPr>
        <w:t> </w:t>
      </w:r>
      <w:r>
        <w:rPr/>
        <w:t>the</w:t>
      </w:r>
      <w:r>
        <w:rPr>
          <w:spacing w:val="23"/>
        </w:rPr>
        <w:t> </w:t>
      </w:r>
      <w:r>
        <w:rPr/>
        <w:t>law</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need to be infused with meaning or the rigours of its rough edges need to be softened for law to retain its humane and compassionate face. Above all, the law needs to be determined, interpreted and applied in this case to ensure that India retains its character as a home and refuge for many religions and plural values. It is in the cacophony of its multi-lingual and multi-cultural voices, based on a medley or regions and religions, that the Indian citizen as a person and India as a nation must realise the sense of peace within. It is in seeking this ultimate balance for a just society that we must apply justice, equity and good conscience. It is in these situations, that courts are empowered to ensure a just outcome by passing an order necessary to ensure complete justice between the</w:t>
      </w:r>
      <w:r>
        <w:rPr>
          <w:spacing w:val="-14"/>
        </w:rPr>
        <w:t> </w:t>
      </w:r>
      <w:r>
        <w:rPr/>
        <w:t>parties.</w:t>
      </w:r>
    </w:p>
    <w:p>
      <w:pPr>
        <w:pStyle w:val="BodyText"/>
        <w:spacing w:before="7"/>
        <w:rPr>
          <w:sz w:val="41"/>
        </w:rPr>
      </w:pPr>
    </w:p>
    <w:p>
      <w:pPr>
        <w:pStyle w:val="ListParagraph"/>
        <w:numPr>
          <w:ilvl w:val="0"/>
          <w:numId w:val="166"/>
        </w:numPr>
        <w:tabs>
          <w:tab w:pos="1221" w:val="left" w:leader="none"/>
        </w:tabs>
        <w:spacing w:line="480" w:lineRule="auto" w:before="0" w:after="0"/>
        <w:ind w:left="500" w:right="438" w:firstLine="0"/>
        <w:jc w:val="both"/>
        <w:rPr>
          <w:sz w:val="25"/>
        </w:rPr>
      </w:pPr>
      <w:r>
        <w:rPr>
          <w:sz w:val="25"/>
        </w:rPr>
        <w:t>In </w:t>
      </w:r>
      <w:r>
        <w:rPr>
          <w:b/>
          <w:sz w:val="25"/>
        </w:rPr>
        <w:t>Union Carbide Corporation </w:t>
      </w:r>
      <w:r>
        <w:rPr>
          <w:sz w:val="25"/>
        </w:rPr>
        <w:t>v </w:t>
      </w:r>
      <w:r>
        <w:rPr>
          <w:b/>
          <w:sz w:val="25"/>
        </w:rPr>
        <w:t>Union of India</w:t>
      </w:r>
      <w:r>
        <w:rPr>
          <w:sz w:val="25"/>
        </w:rPr>
        <w:t>,</w:t>
      </w:r>
      <w:r>
        <w:rPr>
          <w:sz w:val="25"/>
          <w:vertAlign w:val="superscript"/>
        </w:rPr>
        <w:t>354</w:t>
      </w:r>
      <w:r>
        <w:rPr>
          <w:sz w:val="25"/>
          <w:vertAlign w:val="baseline"/>
        </w:rPr>
        <w:t> this Court speaking through Chief Justice Ranganath Misra circumscribed the power under Article 142 in the following</w:t>
      </w:r>
      <w:r>
        <w:rPr>
          <w:spacing w:val="-3"/>
          <w:sz w:val="25"/>
          <w:vertAlign w:val="baseline"/>
        </w:rPr>
        <w:t> </w:t>
      </w:r>
      <w:r>
        <w:rPr>
          <w:sz w:val="25"/>
          <w:vertAlign w:val="baseline"/>
        </w:rPr>
        <w:t>manner:</w:t>
      </w:r>
    </w:p>
    <w:p>
      <w:pPr>
        <w:spacing w:line="276" w:lineRule="auto" w:before="161"/>
        <w:ind w:left="1918" w:right="2260" w:firstLine="0"/>
        <w:jc w:val="both"/>
        <w:rPr>
          <w:sz w:val="21"/>
        </w:rPr>
      </w:pPr>
      <w:r>
        <w:rPr>
          <w:spacing w:val="-1"/>
          <w:w w:val="33"/>
          <w:sz w:val="21"/>
        </w:rPr>
        <w:t>―</w:t>
      </w:r>
      <w:r>
        <w:rPr>
          <w:spacing w:val="-1"/>
          <w:w w:val="100"/>
          <w:sz w:val="21"/>
        </w:rPr>
        <w:t>83</w:t>
      </w:r>
      <w:r>
        <w:rPr>
          <w:spacing w:val="-3"/>
          <w:w w:val="100"/>
          <w:sz w:val="21"/>
        </w:rPr>
        <w:t>…</w:t>
      </w:r>
      <w:r>
        <w:rPr>
          <w:w w:val="100"/>
          <w:sz w:val="21"/>
        </w:rPr>
        <w:t>P</w:t>
      </w:r>
      <w:r>
        <w:rPr>
          <w:spacing w:val="-1"/>
          <w:w w:val="100"/>
          <w:sz w:val="21"/>
        </w:rPr>
        <w:t>ro</w:t>
      </w:r>
      <w:r>
        <w:rPr>
          <w:spacing w:val="-3"/>
          <w:w w:val="100"/>
          <w:sz w:val="21"/>
        </w:rPr>
        <w:t>h</w:t>
      </w:r>
      <w:r>
        <w:rPr>
          <w:w w:val="100"/>
          <w:sz w:val="21"/>
        </w:rPr>
        <w:t>i</w:t>
      </w:r>
      <w:r>
        <w:rPr>
          <w:spacing w:val="-3"/>
          <w:w w:val="100"/>
          <w:sz w:val="21"/>
        </w:rPr>
        <w:t>b</w:t>
      </w:r>
      <w:r>
        <w:rPr>
          <w:w w:val="100"/>
          <w:sz w:val="21"/>
        </w:rPr>
        <w:t>i</w:t>
      </w:r>
      <w:r>
        <w:rPr>
          <w:spacing w:val="-2"/>
          <w:w w:val="100"/>
          <w:sz w:val="21"/>
        </w:rPr>
        <w:t>t</w:t>
      </w:r>
      <w:r>
        <w:rPr>
          <w:w w:val="100"/>
          <w:sz w:val="21"/>
        </w:rPr>
        <w:t>i</w:t>
      </w:r>
      <w:r>
        <w:rPr>
          <w:spacing w:val="-3"/>
          <w:w w:val="100"/>
          <w:sz w:val="21"/>
        </w:rPr>
        <w:t>o</w:t>
      </w:r>
      <w:r>
        <w:rPr>
          <w:spacing w:val="-1"/>
          <w:w w:val="100"/>
          <w:sz w:val="21"/>
        </w:rPr>
        <w:t>n</w:t>
      </w:r>
      <w:r>
        <w:rPr>
          <w:w w:val="100"/>
          <w:sz w:val="21"/>
        </w:rPr>
        <w:t>s</w:t>
      </w:r>
      <w:r>
        <w:rPr>
          <w:sz w:val="21"/>
        </w:rPr>
        <w:t> </w:t>
      </w:r>
      <w:r>
        <w:rPr>
          <w:spacing w:val="24"/>
          <w:sz w:val="21"/>
        </w:rPr>
        <w:t> </w:t>
      </w:r>
      <w:r>
        <w:rPr>
          <w:spacing w:val="-1"/>
          <w:w w:val="100"/>
          <w:sz w:val="21"/>
        </w:rPr>
        <w:t>o</w:t>
      </w:r>
      <w:r>
        <w:rPr>
          <w:w w:val="100"/>
          <w:sz w:val="21"/>
        </w:rPr>
        <w:t>r</w:t>
      </w:r>
      <w:r>
        <w:rPr>
          <w:sz w:val="21"/>
        </w:rPr>
        <w:t> </w:t>
      </w:r>
      <w:r>
        <w:rPr>
          <w:spacing w:val="21"/>
          <w:sz w:val="21"/>
        </w:rPr>
        <w:t> </w:t>
      </w:r>
      <w:r>
        <w:rPr>
          <w:spacing w:val="-2"/>
          <w:w w:val="100"/>
          <w:sz w:val="21"/>
        </w:rPr>
        <w:t>li</w:t>
      </w:r>
      <w:r>
        <w:rPr>
          <w:spacing w:val="1"/>
          <w:w w:val="100"/>
          <w:sz w:val="21"/>
        </w:rPr>
        <w:t>m</w:t>
      </w:r>
      <w:r>
        <w:rPr>
          <w:w w:val="100"/>
          <w:sz w:val="21"/>
        </w:rPr>
        <w:t>i</w:t>
      </w:r>
      <w:r>
        <w:rPr>
          <w:spacing w:val="-4"/>
          <w:w w:val="100"/>
          <w:sz w:val="21"/>
        </w:rPr>
        <w:t>t</w:t>
      </w:r>
      <w:r>
        <w:rPr>
          <w:spacing w:val="-1"/>
          <w:w w:val="100"/>
          <w:sz w:val="21"/>
        </w:rPr>
        <w:t>at</w:t>
      </w:r>
      <w:r>
        <w:rPr>
          <w:w w:val="100"/>
          <w:sz w:val="21"/>
        </w:rPr>
        <w:t>i</w:t>
      </w:r>
      <w:r>
        <w:rPr>
          <w:spacing w:val="-1"/>
          <w:w w:val="100"/>
          <w:sz w:val="21"/>
        </w:rPr>
        <w:t>on</w:t>
      </w:r>
      <w:r>
        <w:rPr>
          <w:w w:val="100"/>
          <w:sz w:val="21"/>
        </w:rPr>
        <w:t>s</w:t>
      </w:r>
      <w:r>
        <w:rPr>
          <w:sz w:val="21"/>
        </w:rPr>
        <w:t> </w:t>
      </w:r>
      <w:r>
        <w:rPr>
          <w:spacing w:val="22"/>
          <w:sz w:val="21"/>
        </w:rPr>
        <w:t> </w:t>
      </w:r>
      <w:r>
        <w:rPr>
          <w:spacing w:val="-1"/>
          <w:w w:val="100"/>
          <w:sz w:val="21"/>
        </w:rPr>
        <w:t>o</w:t>
      </w:r>
      <w:r>
        <w:rPr>
          <w:w w:val="100"/>
          <w:sz w:val="21"/>
        </w:rPr>
        <w:t>r</w:t>
      </w:r>
      <w:r>
        <w:rPr>
          <w:sz w:val="21"/>
        </w:rPr>
        <w:t> </w:t>
      </w:r>
      <w:r>
        <w:rPr>
          <w:spacing w:val="21"/>
          <w:sz w:val="21"/>
        </w:rPr>
        <w:t> </w:t>
      </w:r>
      <w:r>
        <w:rPr>
          <w:spacing w:val="-1"/>
          <w:w w:val="100"/>
          <w:sz w:val="21"/>
        </w:rPr>
        <w:t>pro</w:t>
      </w:r>
      <w:r>
        <w:rPr>
          <w:spacing w:val="-3"/>
          <w:w w:val="100"/>
          <w:sz w:val="21"/>
        </w:rPr>
        <w:t>v</w:t>
      </w:r>
      <w:r>
        <w:rPr>
          <w:w w:val="100"/>
          <w:sz w:val="21"/>
        </w:rPr>
        <w:t>i</w:t>
      </w:r>
      <w:r>
        <w:rPr>
          <w:spacing w:val="-3"/>
          <w:w w:val="100"/>
          <w:sz w:val="21"/>
        </w:rPr>
        <w:t>s</w:t>
      </w:r>
      <w:r>
        <w:rPr>
          <w:w w:val="100"/>
          <w:sz w:val="21"/>
        </w:rPr>
        <w:t>i</w:t>
      </w:r>
      <w:r>
        <w:rPr>
          <w:spacing w:val="-1"/>
          <w:w w:val="100"/>
          <w:sz w:val="21"/>
        </w:rPr>
        <w:t>on</w:t>
      </w:r>
      <w:r>
        <w:rPr>
          <w:w w:val="100"/>
          <w:sz w:val="21"/>
        </w:rPr>
        <w:t>s</w:t>
      </w:r>
      <w:r>
        <w:rPr>
          <w:sz w:val="21"/>
        </w:rPr>
        <w:t> </w:t>
      </w:r>
      <w:r>
        <w:rPr>
          <w:spacing w:val="22"/>
          <w:sz w:val="21"/>
        </w:rPr>
        <w:t> </w:t>
      </w:r>
      <w:r>
        <w:rPr>
          <w:w w:val="100"/>
          <w:sz w:val="21"/>
        </w:rPr>
        <w:t>c</w:t>
      </w:r>
      <w:r>
        <w:rPr>
          <w:spacing w:val="-3"/>
          <w:w w:val="100"/>
          <w:sz w:val="21"/>
        </w:rPr>
        <w:t>on</w:t>
      </w:r>
      <w:r>
        <w:rPr>
          <w:spacing w:val="-2"/>
          <w:w w:val="100"/>
          <w:sz w:val="21"/>
        </w:rPr>
        <w:t>t</w:t>
      </w:r>
      <w:r>
        <w:rPr>
          <w:spacing w:val="-1"/>
          <w:w w:val="100"/>
          <w:sz w:val="21"/>
        </w:rPr>
        <w:t>a</w:t>
      </w:r>
      <w:r>
        <w:rPr>
          <w:spacing w:val="1"/>
          <w:w w:val="100"/>
          <w:sz w:val="21"/>
        </w:rPr>
        <w:t>i</w:t>
      </w:r>
      <w:r>
        <w:rPr>
          <w:spacing w:val="-1"/>
          <w:w w:val="100"/>
          <w:sz w:val="21"/>
        </w:rPr>
        <w:t>n</w:t>
      </w:r>
      <w:r>
        <w:rPr>
          <w:spacing w:val="-3"/>
          <w:w w:val="100"/>
          <w:sz w:val="21"/>
        </w:rPr>
        <w:t>e</w:t>
      </w:r>
      <w:r>
        <w:rPr>
          <w:w w:val="100"/>
          <w:sz w:val="21"/>
        </w:rPr>
        <w:t>d</w:t>
      </w:r>
      <w:r>
        <w:rPr>
          <w:sz w:val="21"/>
        </w:rPr>
        <w:t> </w:t>
      </w:r>
      <w:r>
        <w:rPr>
          <w:spacing w:val="24"/>
          <w:sz w:val="21"/>
        </w:rPr>
        <w:t> </w:t>
      </w:r>
      <w:r>
        <w:rPr>
          <w:spacing w:val="-2"/>
          <w:w w:val="100"/>
          <w:sz w:val="21"/>
        </w:rPr>
        <w:t>i</w:t>
      </w:r>
      <w:r>
        <w:rPr>
          <w:w w:val="100"/>
          <w:sz w:val="21"/>
        </w:rPr>
        <w:t>n </w:t>
      </w:r>
      <w:r>
        <w:rPr>
          <w:sz w:val="21"/>
        </w:rPr>
        <w:t>ordinary laws cannot, ipso facto, act as prohibitions or limitations on the constitutional powers under Article 142…But we think that such prohibition should also be shown to be based on some underlying fundamental and general issues of public policy and not merely incidental to a particular statutory scheme or pattern. It will again be wholly incorrect to say that powers under Article 142 are subject to such express statutory prohibitions. That would convey the idea that statutory provisions override a constitutional provision. Perhaps, the proper way of expressing the idea is that in exercising powers under Article 142 and in assessing the </w:t>
      </w:r>
      <w:r>
        <w:rPr>
          <w:spacing w:val="-1"/>
          <w:w w:val="100"/>
          <w:sz w:val="21"/>
        </w:rPr>
        <w:t>nee</w:t>
      </w:r>
      <w:r>
        <w:rPr>
          <w:spacing w:val="-2"/>
          <w:w w:val="100"/>
          <w:sz w:val="21"/>
        </w:rPr>
        <w:t>d</w:t>
      </w:r>
      <w:r>
        <w:rPr>
          <w:w w:val="100"/>
          <w:sz w:val="21"/>
        </w:rPr>
        <w:t>s</w:t>
      </w:r>
      <w:r>
        <w:rPr>
          <w:sz w:val="21"/>
        </w:rPr>
        <w:t> </w:t>
      </w:r>
      <w:r>
        <w:rPr>
          <w:spacing w:val="-17"/>
          <w:sz w:val="21"/>
        </w:rPr>
        <w:t> </w:t>
      </w:r>
      <w:r>
        <w:rPr>
          <w:spacing w:val="-3"/>
          <w:w w:val="100"/>
          <w:sz w:val="21"/>
        </w:rPr>
        <w:t>o</w:t>
      </w:r>
      <w:r>
        <w:rPr>
          <w:w w:val="100"/>
          <w:sz w:val="21"/>
        </w:rPr>
        <w:t>f</w:t>
      </w:r>
      <w:r>
        <w:rPr>
          <w:sz w:val="21"/>
        </w:rPr>
        <w:t> </w:t>
      </w:r>
      <w:r>
        <w:rPr>
          <w:spacing w:val="-16"/>
          <w:sz w:val="21"/>
        </w:rPr>
        <w:t> </w:t>
      </w:r>
      <w:r>
        <w:rPr>
          <w:spacing w:val="-1"/>
          <w:w w:val="33"/>
          <w:sz w:val="21"/>
        </w:rPr>
        <w:t>―</w:t>
      </w:r>
      <w:r>
        <w:rPr>
          <w:w w:val="100"/>
          <w:sz w:val="21"/>
        </w:rPr>
        <w:t>c</w:t>
      </w:r>
      <w:r>
        <w:rPr>
          <w:spacing w:val="-3"/>
          <w:w w:val="100"/>
          <w:sz w:val="21"/>
        </w:rPr>
        <w:t>o</w:t>
      </w:r>
      <w:r>
        <w:rPr>
          <w:spacing w:val="1"/>
          <w:w w:val="100"/>
          <w:sz w:val="21"/>
        </w:rPr>
        <w:t>m</w:t>
      </w:r>
      <w:r>
        <w:rPr>
          <w:spacing w:val="-3"/>
          <w:w w:val="100"/>
          <w:sz w:val="21"/>
        </w:rPr>
        <w:t>p</w:t>
      </w:r>
      <w:r>
        <w:rPr>
          <w:w w:val="100"/>
          <w:sz w:val="21"/>
        </w:rPr>
        <w:t>l</w:t>
      </w:r>
      <w:r>
        <w:rPr>
          <w:spacing w:val="-1"/>
          <w:w w:val="100"/>
          <w:sz w:val="21"/>
        </w:rPr>
        <w:t>et</w:t>
      </w:r>
      <w:r>
        <w:rPr>
          <w:w w:val="100"/>
          <w:sz w:val="21"/>
        </w:rPr>
        <w:t>e</w:t>
      </w:r>
      <w:r>
        <w:rPr>
          <w:sz w:val="21"/>
        </w:rPr>
        <w:t> </w:t>
      </w:r>
      <w:r>
        <w:rPr>
          <w:spacing w:val="-19"/>
          <w:sz w:val="21"/>
        </w:rPr>
        <w:t> </w:t>
      </w:r>
      <w:r>
        <w:rPr>
          <w:w w:val="100"/>
          <w:sz w:val="21"/>
        </w:rPr>
        <w:t>j</w:t>
      </w:r>
      <w:r>
        <w:rPr>
          <w:spacing w:val="-3"/>
          <w:w w:val="100"/>
          <w:sz w:val="21"/>
        </w:rPr>
        <w:t>u</w:t>
      </w:r>
      <w:r>
        <w:rPr>
          <w:w w:val="100"/>
          <w:sz w:val="21"/>
        </w:rPr>
        <w:t>s</w:t>
      </w:r>
      <w:r>
        <w:rPr>
          <w:spacing w:val="-2"/>
          <w:w w:val="100"/>
          <w:sz w:val="21"/>
        </w:rPr>
        <w:t>t</w:t>
      </w:r>
      <w:r>
        <w:rPr>
          <w:w w:val="100"/>
          <w:sz w:val="21"/>
        </w:rPr>
        <w:t>i</w:t>
      </w:r>
      <w:r>
        <w:rPr>
          <w:spacing w:val="-3"/>
          <w:w w:val="100"/>
          <w:sz w:val="21"/>
        </w:rPr>
        <w:t>c</w:t>
      </w:r>
      <w:r>
        <w:rPr>
          <w:spacing w:val="-1"/>
          <w:w w:val="92"/>
          <w:sz w:val="21"/>
        </w:rPr>
        <w:t>e</w:t>
      </w:r>
      <w:r>
        <w:rPr>
          <w:w w:val="92"/>
          <w:sz w:val="21"/>
        </w:rPr>
        <w:t>‖</w:t>
      </w:r>
      <w:r>
        <w:rPr>
          <w:sz w:val="21"/>
        </w:rPr>
        <w:t> </w:t>
      </w:r>
      <w:r>
        <w:rPr>
          <w:spacing w:val="-17"/>
          <w:sz w:val="21"/>
        </w:rPr>
        <w:t> </w:t>
      </w:r>
      <w:r>
        <w:rPr>
          <w:spacing w:val="-1"/>
          <w:w w:val="100"/>
          <w:sz w:val="21"/>
        </w:rPr>
        <w:t>o</w:t>
      </w:r>
      <w:r>
        <w:rPr>
          <w:w w:val="100"/>
          <w:sz w:val="21"/>
        </w:rPr>
        <w:t>f</w:t>
      </w:r>
      <w:r>
        <w:rPr>
          <w:sz w:val="21"/>
        </w:rPr>
        <w:t> </w:t>
      </w:r>
      <w:r>
        <w:rPr>
          <w:spacing w:val="-18"/>
          <w:sz w:val="21"/>
        </w:rPr>
        <w:t> </w:t>
      </w:r>
      <w:r>
        <w:rPr>
          <w:w w:val="100"/>
          <w:sz w:val="21"/>
        </w:rPr>
        <w:t>a</w:t>
      </w:r>
      <w:r>
        <w:rPr>
          <w:sz w:val="21"/>
        </w:rPr>
        <w:t> </w:t>
      </w:r>
      <w:r>
        <w:rPr>
          <w:spacing w:val="-17"/>
          <w:sz w:val="21"/>
        </w:rPr>
        <w:t> </w:t>
      </w:r>
      <w:r>
        <w:rPr>
          <w:w w:val="100"/>
          <w:sz w:val="21"/>
        </w:rPr>
        <w:t>ca</w:t>
      </w:r>
      <w:r>
        <w:rPr>
          <w:spacing w:val="-3"/>
          <w:w w:val="100"/>
          <w:sz w:val="21"/>
        </w:rPr>
        <w:t>u</w:t>
      </w:r>
      <w:r>
        <w:rPr>
          <w:w w:val="100"/>
          <w:sz w:val="21"/>
        </w:rPr>
        <w:t>se</w:t>
      </w:r>
      <w:r>
        <w:rPr>
          <w:sz w:val="21"/>
        </w:rPr>
        <w:t> </w:t>
      </w:r>
      <w:r>
        <w:rPr>
          <w:spacing w:val="-16"/>
          <w:sz w:val="21"/>
        </w:rPr>
        <w:t> </w:t>
      </w:r>
      <w:r>
        <w:rPr>
          <w:spacing w:val="-1"/>
          <w:w w:val="100"/>
          <w:sz w:val="21"/>
        </w:rPr>
        <w:t>o</w:t>
      </w:r>
      <w:r>
        <w:rPr>
          <w:w w:val="100"/>
          <w:sz w:val="21"/>
        </w:rPr>
        <w:t>r</w:t>
      </w:r>
      <w:r>
        <w:rPr>
          <w:sz w:val="21"/>
        </w:rPr>
        <w:t> </w:t>
      </w:r>
      <w:r>
        <w:rPr>
          <w:spacing w:val="-20"/>
          <w:sz w:val="21"/>
        </w:rPr>
        <w:t> </w:t>
      </w:r>
      <w:r>
        <w:rPr>
          <w:spacing w:val="-1"/>
          <w:w w:val="100"/>
          <w:sz w:val="21"/>
        </w:rPr>
        <w:t>mat</w:t>
      </w:r>
      <w:r>
        <w:rPr>
          <w:spacing w:val="-2"/>
          <w:w w:val="100"/>
          <w:sz w:val="21"/>
        </w:rPr>
        <w:t>t</w:t>
      </w:r>
      <w:r>
        <w:rPr>
          <w:spacing w:val="-1"/>
          <w:w w:val="100"/>
          <w:sz w:val="21"/>
        </w:rPr>
        <w:t>er</w:t>
      </w:r>
      <w:r>
        <w:rPr>
          <w:w w:val="100"/>
          <w:sz w:val="21"/>
        </w:rPr>
        <w:t>,</w:t>
      </w:r>
      <w:r>
        <w:rPr>
          <w:sz w:val="21"/>
        </w:rPr>
        <w:t> </w:t>
      </w:r>
      <w:r>
        <w:rPr>
          <w:spacing w:val="-18"/>
          <w:sz w:val="21"/>
        </w:rPr>
        <w:t> </w:t>
      </w:r>
      <w:r>
        <w:rPr>
          <w:spacing w:val="-2"/>
          <w:w w:val="100"/>
          <w:sz w:val="21"/>
        </w:rPr>
        <w:t>t</w:t>
      </w:r>
      <w:r>
        <w:rPr>
          <w:spacing w:val="-1"/>
          <w:w w:val="100"/>
          <w:sz w:val="21"/>
        </w:rPr>
        <w:t>h</w:t>
      </w:r>
      <w:r>
        <w:rPr>
          <w:w w:val="100"/>
          <w:sz w:val="21"/>
        </w:rPr>
        <w:t>e</w:t>
      </w:r>
      <w:r>
        <w:rPr>
          <w:sz w:val="21"/>
        </w:rPr>
        <w:t> </w:t>
      </w:r>
      <w:r>
        <w:rPr>
          <w:spacing w:val="-16"/>
          <w:sz w:val="21"/>
        </w:rPr>
        <w:t> </w:t>
      </w:r>
      <w:r>
        <w:rPr>
          <w:spacing w:val="-1"/>
          <w:w w:val="100"/>
          <w:sz w:val="21"/>
        </w:rPr>
        <w:t>ap</w:t>
      </w:r>
      <w:r>
        <w:rPr>
          <w:spacing w:val="-2"/>
          <w:w w:val="100"/>
          <w:sz w:val="21"/>
        </w:rPr>
        <w:t>e</w:t>
      </w:r>
      <w:r>
        <w:rPr>
          <w:w w:val="100"/>
          <w:sz w:val="21"/>
        </w:rPr>
        <w:t>x </w:t>
      </w:r>
      <w:r>
        <w:rPr>
          <w:sz w:val="21"/>
        </w:rPr>
        <w:t>Court will take note of the express prohibitions in any substantive statutory provision based on some fundamental principles of public policy and regulate the exercise of its power and discretion accordingly. The proposition does not relate to the powers of the Court under Article 142, but only to </w:t>
      </w:r>
      <w:r>
        <w:rPr>
          <w:spacing w:val="-2"/>
          <w:w w:val="100"/>
          <w:sz w:val="21"/>
        </w:rPr>
        <w:t>w</w:t>
      </w:r>
      <w:r>
        <w:rPr>
          <w:spacing w:val="-1"/>
          <w:w w:val="100"/>
          <w:sz w:val="21"/>
        </w:rPr>
        <w:t>ha</w:t>
      </w:r>
      <w:r>
        <w:rPr>
          <w:w w:val="100"/>
          <w:sz w:val="21"/>
        </w:rPr>
        <w:t>t</w:t>
      </w:r>
      <w:r>
        <w:rPr>
          <w:spacing w:val="7"/>
          <w:sz w:val="21"/>
        </w:rPr>
        <w:t> </w:t>
      </w:r>
      <w:r>
        <w:rPr>
          <w:w w:val="100"/>
          <w:sz w:val="21"/>
        </w:rPr>
        <w:t>is</w:t>
      </w:r>
      <w:r>
        <w:rPr>
          <w:spacing w:val="6"/>
          <w:sz w:val="21"/>
        </w:rPr>
        <w:t> </w:t>
      </w:r>
      <w:r>
        <w:rPr>
          <w:spacing w:val="-1"/>
          <w:w w:val="100"/>
          <w:sz w:val="21"/>
        </w:rPr>
        <w:t>o</w:t>
      </w:r>
      <w:r>
        <w:rPr>
          <w:w w:val="100"/>
          <w:sz w:val="21"/>
        </w:rPr>
        <w:t>r</w:t>
      </w:r>
      <w:r>
        <w:rPr>
          <w:spacing w:val="8"/>
          <w:sz w:val="21"/>
        </w:rPr>
        <w:t> </w:t>
      </w:r>
      <w:r>
        <w:rPr>
          <w:spacing w:val="-2"/>
          <w:w w:val="100"/>
          <w:sz w:val="21"/>
        </w:rPr>
        <w:t>i</w:t>
      </w:r>
      <w:r>
        <w:rPr>
          <w:w w:val="100"/>
          <w:sz w:val="21"/>
        </w:rPr>
        <w:t>s</w:t>
      </w:r>
      <w:r>
        <w:rPr>
          <w:spacing w:val="8"/>
          <w:sz w:val="21"/>
        </w:rPr>
        <w:t> </w:t>
      </w:r>
      <w:r>
        <w:rPr>
          <w:spacing w:val="-1"/>
          <w:w w:val="100"/>
          <w:sz w:val="21"/>
        </w:rPr>
        <w:t>no</w:t>
      </w:r>
      <w:r>
        <w:rPr>
          <w:w w:val="100"/>
          <w:sz w:val="21"/>
        </w:rPr>
        <w:t>t</w:t>
      </w:r>
      <w:r>
        <w:rPr>
          <w:spacing w:val="5"/>
          <w:sz w:val="21"/>
        </w:rPr>
        <w:t> </w:t>
      </w:r>
      <w:r>
        <w:rPr>
          <w:w w:val="40"/>
          <w:sz w:val="21"/>
        </w:rPr>
        <w:t>‗</w:t>
      </w:r>
      <w:r>
        <w:rPr>
          <w:w w:val="100"/>
          <w:sz w:val="21"/>
        </w:rPr>
        <w:t>c</w:t>
      </w:r>
      <w:r>
        <w:rPr>
          <w:spacing w:val="-3"/>
          <w:w w:val="100"/>
          <w:sz w:val="21"/>
        </w:rPr>
        <w:t>o</w:t>
      </w:r>
      <w:r>
        <w:rPr>
          <w:spacing w:val="-1"/>
          <w:w w:val="100"/>
          <w:sz w:val="21"/>
        </w:rPr>
        <w:t>mp</w:t>
      </w:r>
      <w:r>
        <w:rPr>
          <w:spacing w:val="-2"/>
          <w:w w:val="100"/>
          <w:sz w:val="21"/>
        </w:rPr>
        <w:t>l</w:t>
      </w:r>
      <w:r>
        <w:rPr>
          <w:spacing w:val="-1"/>
          <w:w w:val="100"/>
          <w:sz w:val="21"/>
        </w:rPr>
        <w:t>et</w:t>
      </w:r>
      <w:r>
        <w:rPr>
          <w:w w:val="100"/>
          <w:sz w:val="21"/>
        </w:rPr>
        <w:t>e</w:t>
      </w:r>
      <w:r>
        <w:rPr>
          <w:spacing w:val="8"/>
          <w:sz w:val="21"/>
        </w:rPr>
        <w:t> </w:t>
      </w:r>
      <w:r>
        <w:rPr>
          <w:w w:val="100"/>
          <w:sz w:val="21"/>
        </w:rPr>
        <w:t>j</w:t>
      </w:r>
      <w:r>
        <w:rPr>
          <w:spacing w:val="-3"/>
          <w:w w:val="100"/>
          <w:sz w:val="21"/>
        </w:rPr>
        <w:t>u</w:t>
      </w:r>
      <w:r>
        <w:rPr>
          <w:w w:val="100"/>
          <w:sz w:val="21"/>
        </w:rPr>
        <w:t>s</w:t>
      </w:r>
      <w:r>
        <w:rPr>
          <w:spacing w:val="-2"/>
          <w:w w:val="100"/>
          <w:sz w:val="21"/>
        </w:rPr>
        <w:t>t</w:t>
      </w:r>
      <w:r>
        <w:rPr>
          <w:w w:val="100"/>
          <w:sz w:val="21"/>
        </w:rPr>
        <w:t>ic</w:t>
      </w:r>
      <w:r>
        <w:rPr>
          <w:spacing w:val="-3"/>
          <w:w w:val="100"/>
          <w:sz w:val="21"/>
        </w:rPr>
        <w:t>e</w:t>
      </w:r>
      <w:r>
        <w:rPr>
          <w:w w:val="100"/>
          <w:sz w:val="21"/>
        </w:rPr>
        <w:t>‘</w:t>
      </w:r>
      <w:r>
        <w:rPr>
          <w:spacing w:val="7"/>
          <w:sz w:val="21"/>
        </w:rPr>
        <w:t> </w:t>
      </w:r>
      <w:r>
        <w:rPr>
          <w:spacing w:val="-1"/>
          <w:w w:val="100"/>
          <w:sz w:val="21"/>
        </w:rPr>
        <w:t>o</w:t>
      </w:r>
      <w:r>
        <w:rPr>
          <w:w w:val="100"/>
          <w:sz w:val="21"/>
        </w:rPr>
        <w:t>f</w:t>
      </w:r>
      <w:r>
        <w:rPr>
          <w:spacing w:val="7"/>
          <w:sz w:val="21"/>
        </w:rPr>
        <w:t> </w:t>
      </w:r>
      <w:r>
        <w:rPr>
          <w:w w:val="100"/>
          <w:sz w:val="21"/>
        </w:rPr>
        <w:t>a</w:t>
      </w:r>
      <w:r>
        <w:rPr>
          <w:spacing w:val="8"/>
          <w:sz w:val="21"/>
        </w:rPr>
        <w:t> </w:t>
      </w:r>
      <w:r>
        <w:rPr>
          <w:spacing w:val="-3"/>
          <w:w w:val="100"/>
          <w:sz w:val="21"/>
        </w:rPr>
        <w:t>c</w:t>
      </w:r>
      <w:r>
        <w:rPr>
          <w:spacing w:val="-1"/>
          <w:w w:val="100"/>
          <w:sz w:val="21"/>
        </w:rPr>
        <w:t>aus</w:t>
      </w:r>
      <w:r>
        <w:rPr>
          <w:w w:val="100"/>
          <w:sz w:val="21"/>
        </w:rPr>
        <w:t>e</w:t>
      </w:r>
      <w:r>
        <w:rPr>
          <w:spacing w:val="6"/>
          <w:sz w:val="21"/>
        </w:rPr>
        <w:t> </w:t>
      </w:r>
      <w:r>
        <w:rPr>
          <w:spacing w:val="-1"/>
          <w:w w:val="100"/>
          <w:sz w:val="21"/>
        </w:rPr>
        <w:t>o</w:t>
      </w:r>
      <w:r>
        <w:rPr>
          <w:w w:val="100"/>
          <w:sz w:val="21"/>
        </w:rPr>
        <w:t>r</w:t>
      </w:r>
      <w:r>
        <w:rPr>
          <w:spacing w:val="5"/>
          <w:sz w:val="21"/>
        </w:rPr>
        <w:t> </w:t>
      </w:r>
      <w:r>
        <w:rPr>
          <w:spacing w:val="-1"/>
          <w:w w:val="100"/>
          <w:sz w:val="21"/>
        </w:rPr>
        <w:t>mat</w:t>
      </w:r>
      <w:r>
        <w:rPr>
          <w:spacing w:val="-2"/>
          <w:w w:val="100"/>
          <w:sz w:val="21"/>
        </w:rPr>
        <w:t>t</w:t>
      </w:r>
      <w:r>
        <w:rPr>
          <w:spacing w:val="-1"/>
          <w:w w:val="100"/>
          <w:sz w:val="21"/>
        </w:rPr>
        <w:t>e</w:t>
      </w:r>
      <w:r>
        <w:rPr>
          <w:w w:val="100"/>
          <w:sz w:val="21"/>
        </w:rPr>
        <w:t>r</w:t>
      </w:r>
      <w:r>
        <w:rPr>
          <w:spacing w:val="8"/>
          <w:sz w:val="21"/>
        </w:rPr>
        <w:t> </w:t>
      </w:r>
      <w:r>
        <w:rPr>
          <w:spacing w:val="-1"/>
          <w:w w:val="100"/>
          <w:sz w:val="21"/>
        </w:rPr>
        <w:t>an</w:t>
      </w:r>
      <w:r>
        <w:rPr>
          <w:w w:val="100"/>
          <w:sz w:val="21"/>
        </w:rPr>
        <w:t>d</w:t>
      </w:r>
      <w:r>
        <w:rPr>
          <w:spacing w:val="12"/>
          <w:sz w:val="21"/>
        </w:rPr>
        <w:t> </w:t>
      </w:r>
      <w:r>
        <w:rPr>
          <w:spacing w:val="-2"/>
          <w:w w:val="100"/>
          <w:sz w:val="21"/>
        </w:rPr>
        <w:t>i</w:t>
      </w:r>
      <w:r>
        <w:rPr>
          <w:w w:val="100"/>
          <w:sz w:val="21"/>
        </w:rPr>
        <w:t>n</w:t>
      </w:r>
    </w:p>
    <w:p>
      <w:pPr>
        <w:pStyle w:val="BodyText"/>
        <w:spacing w:before="10"/>
        <w:rPr>
          <w:sz w:val="17"/>
        </w:rPr>
      </w:pPr>
      <w:r>
        <w:rPr/>
        <w:pict>
          <v:rect style="position:absolute;margin-left:72.024002pt;margin-top:12.270813pt;width:144.020pt;height:.599980pt;mso-position-horizontal-relative:page;mso-position-vertical-relative:paragraph;z-index:-1562265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354</w:t>
      </w:r>
      <w:r>
        <w:rPr>
          <w:sz w:val="18"/>
          <w:vertAlign w:val="baseline"/>
        </w:rPr>
        <w:t> (1991) 4 SCC 584</w:t>
      </w:r>
    </w:p>
    <w:p>
      <w:pPr>
        <w:spacing w:after="0"/>
        <w:jc w:val="left"/>
        <w:rPr>
          <w:sz w:val="18"/>
        </w:rPr>
        <w:sectPr>
          <w:pgSz w:w="11910" w:h="16840"/>
          <w:pgMar w:header="721" w:footer="1014" w:top="1300" w:bottom="1200" w:left="940" w:right="1000"/>
        </w:sectPr>
      </w:pPr>
    </w:p>
    <w:p>
      <w:pPr>
        <w:spacing w:line="276" w:lineRule="auto" w:before="122"/>
        <w:ind w:left="1918" w:right="2266" w:firstLine="0"/>
        <w:jc w:val="both"/>
        <w:rPr>
          <w:sz w:val="21"/>
        </w:rPr>
      </w:pPr>
      <w:r>
        <w:rPr>
          <w:sz w:val="21"/>
        </w:rPr>
        <w:t>the ultimate analysis of the propriety of the exercise of the power. No question of lack of jurisdiction or of nullity can arise.‖</w:t>
      </w:r>
    </w:p>
    <w:p>
      <w:pPr>
        <w:pStyle w:val="BodyText"/>
        <w:rPr>
          <w:sz w:val="24"/>
        </w:rPr>
      </w:pPr>
    </w:p>
    <w:p>
      <w:pPr>
        <w:pStyle w:val="BodyText"/>
        <w:spacing w:before="4"/>
      </w:pPr>
    </w:p>
    <w:p>
      <w:pPr>
        <w:pStyle w:val="BodyText"/>
        <w:spacing w:line="480" w:lineRule="auto"/>
        <w:ind w:left="500" w:right="438"/>
        <w:jc w:val="both"/>
      </w:pPr>
      <w:r>
        <w:rPr/>
        <w:t>Where rigidity is considered inadequate to address a situation, the plenary power of this Court for doing complete justice is an appeal of last resort to the inherent quality of equity that the law is designed to protect, to ensure that the Court is empowered to craft a relief that comports with both reason and justice. Similarly, in </w:t>
      </w:r>
      <w:r>
        <w:rPr>
          <w:b/>
        </w:rPr>
        <w:t>Supreme Court Bar Association </w:t>
      </w:r>
      <w:r>
        <w:rPr/>
        <w:t>v </w:t>
      </w:r>
      <w:r>
        <w:rPr>
          <w:b/>
        </w:rPr>
        <w:t>Union of India</w:t>
      </w:r>
      <w:r>
        <w:rPr>
          <w:vertAlign w:val="superscript"/>
        </w:rPr>
        <w:t>355</w:t>
      </w:r>
      <w:r>
        <w:rPr>
          <w:vertAlign w:val="baseline"/>
        </w:rPr>
        <w:t>, Justice A S Anand, speaking for the Court held:</w:t>
      </w:r>
    </w:p>
    <w:p>
      <w:pPr>
        <w:spacing w:line="276" w:lineRule="auto" w:before="119"/>
        <w:ind w:left="1918" w:right="2263" w:firstLine="0"/>
        <w:jc w:val="both"/>
        <w:rPr>
          <w:sz w:val="21"/>
        </w:rPr>
      </w:pPr>
      <w:r>
        <w:rPr>
          <w:spacing w:val="-1"/>
          <w:w w:val="33"/>
          <w:sz w:val="21"/>
        </w:rPr>
        <w:t>―</w:t>
      </w:r>
      <w:r>
        <w:rPr>
          <w:spacing w:val="-1"/>
          <w:w w:val="100"/>
          <w:sz w:val="21"/>
        </w:rPr>
        <w:t>47…I</w:t>
      </w:r>
      <w:r>
        <w:rPr>
          <w:spacing w:val="-2"/>
          <w:w w:val="100"/>
          <w:sz w:val="21"/>
        </w:rPr>
        <w:t>t</w:t>
      </w:r>
      <w:r>
        <w:rPr>
          <w:w w:val="100"/>
          <w:sz w:val="21"/>
        </w:rPr>
        <w:t>,</w:t>
      </w:r>
      <w:r>
        <w:rPr>
          <w:sz w:val="21"/>
        </w:rPr>
        <w:t> </w:t>
      </w:r>
      <w:r>
        <w:rPr>
          <w:spacing w:val="-25"/>
          <w:sz w:val="21"/>
        </w:rPr>
        <w:t> </w:t>
      </w:r>
      <w:r>
        <w:rPr>
          <w:spacing w:val="-1"/>
          <w:w w:val="100"/>
          <w:sz w:val="21"/>
        </w:rPr>
        <w:t>howe</w:t>
      </w:r>
      <w:r>
        <w:rPr>
          <w:spacing w:val="-3"/>
          <w:w w:val="100"/>
          <w:sz w:val="21"/>
        </w:rPr>
        <w:t>v</w:t>
      </w:r>
      <w:r>
        <w:rPr>
          <w:spacing w:val="-1"/>
          <w:w w:val="100"/>
          <w:sz w:val="21"/>
        </w:rPr>
        <w:t>er</w:t>
      </w:r>
      <w:r>
        <w:rPr>
          <w:w w:val="100"/>
          <w:sz w:val="21"/>
        </w:rPr>
        <w:t>,</w:t>
      </w:r>
      <w:r>
        <w:rPr>
          <w:sz w:val="21"/>
        </w:rPr>
        <w:t> </w:t>
      </w:r>
      <w:r>
        <w:rPr>
          <w:spacing w:val="-26"/>
          <w:sz w:val="21"/>
        </w:rPr>
        <w:t> </w:t>
      </w:r>
      <w:r>
        <w:rPr>
          <w:spacing w:val="-1"/>
          <w:w w:val="100"/>
          <w:sz w:val="21"/>
        </w:rPr>
        <w:t>nee</w:t>
      </w:r>
      <w:r>
        <w:rPr>
          <w:w w:val="100"/>
          <w:sz w:val="21"/>
        </w:rPr>
        <w:t>ds</w:t>
      </w:r>
      <w:r>
        <w:rPr>
          <w:sz w:val="21"/>
        </w:rPr>
        <w:t> </w:t>
      </w:r>
      <w:r>
        <w:rPr>
          <w:spacing w:val="-24"/>
          <w:sz w:val="21"/>
        </w:rPr>
        <w:t> </w:t>
      </w:r>
      <w:r>
        <w:rPr>
          <w:spacing w:val="-4"/>
          <w:w w:val="100"/>
          <w:sz w:val="21"/>
        </w:rPr>
        <w:t>t</w:t>
      </w:r>
      <w:r>
        <w:rPr>
          <w:w w:val="100"/>
          <w:sz w:val="21"/>
        </w:rPr>
        <w:t>o</w:t>
      </w:r>
      <w:r>
        <w:rPr>
          <w:sz w:val="21"/>
        </w:rPr>
        <w:t> </w:t>
      </w:r>
      <w:r>
        <w:rPr>
          <w:spacing w:val="-24"/>
          <w:sz w:val="21"/>
        </w:rPr>
        <w:t> </w:t>
      </w:r>
      <w:r>
        <w:rPr>
          <w:spacing w:val="-1"/>
          <w:w w:val="100"/>
          <w:sz w:val="21"/>
        </w:rPr>
        <w:t>b</w:t>
      </w:r>
      <w:r>
        <w:rPr>
          <w:w w:val="100"/>
          <w:sz w:val="21"/>
        </w:rPr>
        <w:t>e</w:t>
      </w:r>
      <w:r>
        <w:rPr>
          <w:sz w:val="21"/>
        </w:rPr>
        <w:t> </w:t>
      </w:r>
      <w:r>
        <w:rPr>
          <w:spacing w:val="-23"/>
          <w:sz w:val="21"/>
        </w:rPr>
        <w:t> </w:t>
      </w:r>
      <w:r>
        <w:rPr>
          <w:spacing w:val="-1"/>
          <w:w w:val="100"/>
          <w:sz w:val="21"/>
        </w:rPr>
        <w:t>r</w:t>
      </w:r>
      <w:r>
        <w:rPr>
          <w:spacing w:val="-3"/>
          <w:w w:val="100"/>
          <w:sz w:val="21"/>
        </w:rPr>
        <w:t>e</w:t>
      </w:r>
      <w:r>
        <w:rPr>
          <w:spacing w:val="1"/>
          <w:w w:val="100"/>
          <w:sz w:val="21"/>
        </w:rPr>
        <w:t>m</w:t>
      </w:r>
      <w:r>
        <w:rPr>
          <w:spacing w:val="-3"/>
          <w:w w:val="100"/>
          <w:sz w:val="21"/>
        </w:rPr>
        <w:t>e</w:t>
      </w:r>
      <w:r>
        <w:rPr>
          <w:spacing w:val="-1"/>
          <w:w w:val="100"/>
          <w:sz w:val="21"/>
        </w:rPr>
        <w:t>mber</w:t>
      </w:r>
      <w:r>
        <w:rPr>
          <w:spacing w:val="-3"/>
          <w:w w:val="100"/>
          <w:sz w:val="21"/>
        </w:rPr>
        <w:t>e</w:t>
      </w:r>
      <w:r>
        <w:rPr>
          <w:w w:val="100"/>
          <w:sz w:val="21"/>
        </w:rPr>
        <w:t>d</w:t>
      </w:r>
      <w:r>
        <w:rPr>
          <w:sz w:val="21"/>
        </w:rPr>
        <w:t> </w:t>
      </w:r>
      <w:r>
        <w:rPr>
          <w:spacing w:val="-24"/>
          <w:sz w:val="21"/>
        </w:rPr>
        <w:t> </w:t>
      </w:r>
      <w:r>
        <w:rPr>
          <w:spacing w:val="-2"/>
          <w:w w:val="100"/>
          <w:sz w:val="21"/>
        </w:rPr>
        <w:t>t</w:t>
      </w:r>
      <w:r>
        <w:rPr>
          <w:spacing w:val="-1"/>
          <w:w w:val="100"/>
          <w:sz w:val="21"/>
        </w:rPr>
        <w:t>ha</w:t>
      </w:r>
      <w:r>
        <w:rPr>
          <w:w w:val="100"/>
          <w:sz w:val="21"/>
        </w:rPr>
        <w:t>t</w:t>
      </w:r>
      <w:r>
        <w:rPr>
          <w:sz w:val="21"/>
        </w:rPr>
        <w:t> </w:t>
      </w:r>
      <w:r>
        <w:rPr>
          <w:spacing w:val="-25"/>
          <w:sz w:val="21"/>
        </w:rPr>
        <w:t> </w:t>
      </w:r>
      <w:r>
        <w:rPr>
          <w:spacing w:val="-2"/>
          <w:w w:val="100"/>
          <w:sz w:val="21"/>
        </w:rPr>
        <w:t>t</w:t>
      </w:r>
      <w:r>
        <w:rPr>
          <w:spacing w:val="-3"/>
          <w:w w:val="100"/>
          <w:sz w:val="21"/>
        </w:rPr>
        <w:t>h</w:t>
      </w:r>
      <w:r>
        <w:rPr>
          <w:w w:val="100"/>
          <w:sz w:val="21"/>
        </w:rPr>
        <w:t>e</w:t>
      </w:r>
      <w:r>
        <w:rPr>
          <w:sz w:val="21"/>
        </w:rPr>
        <w:t> </w:t>
      </w:r>
      <w:r>
        <w:rPr>
          <w:spacing w:val="-24"/>
          <w:sz w:val="21"/>
        </w:rPr>
        <w:t> </w:t>
      </w:r>
      <w:r>
        <w:rPr>
          <w:spacing w:val="-1"/>
          <w:w w:val="100"/>
          <w:sz w:val="21"/>
        </w:rPr>
        <w:t>powers </w:t>
      </w:r>
      <w:r>
        <w:rPr>
          <w:sz w:val="21"/>
        </w:rPr>
        <w:t>conferred to the court by Article 142 being curative in nature cannot be construed as powers which authorise the court to ignore the substantive rights of a litigant while dealing with a case pending before it ... Article 142, even with the width of its amplitude, cannot be used to build a new edifice where none existed earlier, by ignoring express statutory provisions dealing with a subject and thereby to achieve something indirectly which cannot be achieved</w:t>
      </w:r>
      <w:r>
        <w:rPr>
          <w:spacing w:val="-17"/>
          <w:sz w:val="21"/>
        </w:rPr>
        <w:t> </w:t>
      </w:r>
      <w:r>
        <w:rPr>
          <w:sz w:val="21"/>
        </w:rPr>
        <w:t>directly.‖</w:t>
      </w:r>
    </w:p>
    <w:p>
      <w:pPr>
        <w:pStyle w:val="BodyText"/>
        <w:rPr>
          <w:sz w:val="24"/>
        </w:rPr>
      </w:pPr>
    </w:p>
    <w:p>
      <w:pPr>
        <w:pStyle w:val="BodyText"/>
        <w:spacing w:before="3"/>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The extraordinary constitutional power to pass any decree or an order which, in the opinion of this Court is necessary for doing complete justice embodies the idea that a court must, by necessity, be empowered to craft outcomes that ensure a just outcome. When a court is presented before it with </w:t>
      </w:r>
      <w:r>
        <w:rPr>
          <w:i/>
          <w:sz w:val="25"/>
        </w:rPr>
        <w:t>hard cases</w:t>
      </w:r>
      <w:r>
        <w:rPr>
          <w:sz w:val="25"/>
          <w:vertAlign w:val="superscript"/>
        </w:rPr>
        <w:t>356</w:t>
      </w:r>
      <w:r>
        <w:rPr>
          <w:sz w:val="25"/>
          <w:vertAlign w:val="baseline"/>
        </w:rPr>
        <w:t>, they follow an interpretation of the law that best </w:t>
      </w:r>
      <w:r>
        <w:rPr>
          <w:i/>
          <w:sz w:val="25"/>
          <w:vertAlign w:val="baseline"/>
        </w:rPr>
        <w:t>fits </w:t>
      </w:r>
      <w:r>
        <w:rPr>
          <w:sz w:val="25"/>
          <w:vertAlign w:val="baseline"/>
        </w:rPr>
        <w:t>and </w:t>
      </w:r>
      <w:r>
        <w:rPr>
          <w:i/>
          <w:sz w:val="25"/>
          <w:vertAlign w:val="baseline"/>
        </w:rPr>
        <w:t>justifies </w:t>
      </w:r>
      <w:r>
        <w:rPr>
          <w:sz w:val="25"/>
          <w:vertAlign w:val="baseline"/>
        </w:rPr>
        <w:t>the existing legal landscape - the constitution, statutes, rules, regulations, customs and common law. Where exclusive rule-based theories of law and adjudication are inadequate to explain either the functioning of the system or create a relief that ensures </w:t>
      </w:r>
      <w:r>
        <w:rPr>
          <w:i/>
          <w:sz w:val="25"/>
          <w:vertAlign w:val="baseline"/>
        </w:rPr>
        <w:t>complete </w:t>
      </w:r>
      <w:r>
        <w:rPr>
          <w:sz w:val="25"/>
          <w:vertAlign w:val="baseline"/>
        </w:rPr>
        <w:t>justice, it is necessary to supplement such</w:t>
      </w:r>
      <w:r>
        <w:rPr>
          <w:spacing w:val="19"/>
          <w:sz w:val="25"/>
          <w:vertAlign w:val="baseline"/>
        </w:rPr>
        <w:t> </w:t>
      </w:r>
      <w:r>
        <w:rPr>
          <w:sz w:val="25"/>
          <w:vertAlign w:val="baseline"/>
        </w:rPr>
        <w:t>a</w:t>
      </w:r>
    </w:p>
    <w:p>
      <w:pPr>
        <w:pStyle w:val="BodyText"/>
        <w:spacing w:before="10"/>
        <w:rPr>
          <w:sz w:val="15"/>
        </w:rPr>
      </w:pPr>
      <w:r>
        <w:rPr/>
        <w:pict>
          <v:rect style="position:absolute;margin-left:72.024002pt;margin-top:11.078975pt;width:144.020pt;height:.599980pt;mso-position-horizontal-relative:page;mso-position-vertical-relative:paragraph;z-index:-1562214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355</w:t>
      </w:r>
      <w:r>
        <w:rPr>
          <w:sz w:val="18"/>
          <w:vertAlign w:val="baseline"/>
        </w:rPr>
        <w:t> (1998) 4 SCC 409</w:t>
      </w:r>
    </w:p>
    <w:p>
      <w:pPr>
        <w:spacing w:before="2"/>
        <w:ind w:left="500" w:right="0" w:firstLine="0"/>
        <w:jc w:val="left"/>
        <w:rPr>
          <w:sz w:val="18"/>
        </w:rPr>
      </w:pPr>
      <w:r>
        <w:rPr>
          <w:sz w:val="18"/>
          <w:vertAlign w:val="superscript"/>
        </w:rPr>
        <w:t>356</w:t>
      </w:r>
      <w:r>
        <w:rPr>
          <w:sz w:val="18"/>
          <w:vertAlign w:val="baseline"/>
        </w:rPr>
        <w:t> Ronald Dworkin, Hard Cases, Harvard Law Review, Vol. 88., No. 6 (Apr. 1975), pp. 1057-1109.</w:t>
      </w:r>
    </w:p>
    <w:p>
      <w:pPr>
        <w:spacing w:after="0"/>
        <w:jc w:val="left"/>
        <w:rPr>
          <w:sz w:val="18"/>
        </w:rPr>
        <w:sectPr>
          <w:pgSz w:w="11910" w:h="16840"/>
          <w:pgMar w:header="721" w:footer="1014" w:top="1300" w:bottom="1200" w:left="940" w:right="1000"/>
        </w:sectPr>
      </w:pPr>
    </w:p>
    <w:p>
      <w:pPr>
        <w:pStyle w:val="BodyText"/>
        <w:spacing w:line="480" w:lineRule="auto" w:before="124"/>
        <w:ind w:left="500" w:right="443"/>
        <w:jc w:val="both"/>
      </w:pPr>
      <w:r>
        <w:rPr/>
        <w:t>model with principles grounded in equitable standards. The power under Article 142 however is not limitless. It authorises the court to pass orders to secure complete justice in the case before it. Article 142 embodies both the notion of justice, equity and good conscience as well as a supplementary power to the court to effect complete justice.</w:t>
      </w:r>
    </w:p>
    <w:p>
      <w:pPr>
        <w:pStyle w:val="BodyText"/>
        <w:rPr>
          <w:sz w:val="28"/>
        </w:rPr>
      </w:pPr>
    </w:p>
    <w:p>
      <w:pPr>
        <w:pStyle w:val="Heading3"/>
        <w:numPr>
          <w:ilvl w:val="1"/>
          <w:numId w:val="191"/>
        </w:numPr>
        <w:tabs>
          <w:tab w:pos="1220" w:val="left" w:leader="none"/>
          <w:tab w:pos="1221" w:val="left" w:leader="none"/>
        </w:tabs>
        <w:spacing w:line="240" w:lineRule="auto" w:before="245" w:after="0"/>
        <w:ind w:left="1220" w:right="0" w:hanging="721"/>
        <w:jc w:val="left"/>
      </w:pPr>
      <w:r>
        <w:rPr/>
        <w:t>Grants and</w:t>
      </w:r>
      <w:r>
        <w:rPr>
          <w:spacing w:val="-1"/>
        </w:rPr>
        <w:t> </w:t>
      </w:r>
      <w:r>
        <w:rPr/>
        <w:t>recognition</w:t>
      </w:r>
    </w:p>
    <w:p>
      <w:pPr>
        <w:pStyle w:val="BodyText"/>
        <w:rPr>
          <w:b/>
          <w:sz w:val="28"/>
        </w:rPr>
      </w:pPr>
    </w:p>
    <w:p>
      <w:pPr>
        <w:pStyle w:val="ListParagraph"/>
        <w:numPr>
          <w:ilvl w:val="0"/>
          <w:numId w:val="166"/>
        </w:numPr>
        <w:tabs>
          <w:tab w:pos="1221" w:val="left" w:leader="none"/>
        </w:tabs>
        <w:spacing w:line="480" w:lineRule="auto" w:before="217" w:after="0"/>
        <w:ind w:left="500" w:right="437" w:firstLine="0"/>
        <w:jc w:val="both"/>
        <w:rPr>
          <w:sz w:val="25"/>
        </w:rPr>
      </w:pPr>
      <w:r>
        <w:rPr>
          <w:sz w:val="25"/>
        </w:rPr>
        <w:t>The Sunni Central Waqf Board has set up the case that Babri Masjid was built by or at the behest of Babur in 1528 and was dedicated as a place for Muslims to offer prayer. The claim is that since the date of its construction until the mosque was attached in December 1949, Muslims offered prayers continuously in the mosque. Expenses for the upkeep and maintenance of the mosque were stated to have been realised in the form of a cash grant which was paid by the royal treasury during the rule of Babur which was continued under colonial rule by the</w:t>
      </w:r>
      <w:r>
        <w:rPr>
          <w:spacing w:val="-6"/>
          <w:sz w:val="25"/>
        </w:rPr>
        <w:t> </w:t>
      </w:r>
      <w:r>
        <w:rPr>
          <w:sz w:val="25"/>
        </w:rPr>
        <w:t>British.</w:t>
      </w:r>
    </w:p>
    <w:p>
      <w:pPr>
        <w:pStyle w:val="BodyText"/>
        <w:spacing w:before="11"/>
        <w:rPr>
          <w:sz w:val="38"/>
        </w:rPr>
      </w:pPr>
    </w:p>
    <w:p>
      <w:pPr>
        <w:pStyle w:val="ListParagraph"/>
        <w:numPr>
          <w:ilvl w:val="0"/>
          <w:numId w:val="166"/>
        </w:numPr>
        <w:tabs>
          <w:tab w:pos="1221" w:val="left" w:leader="none"/>
        </w:tabs>
        <w:spacing w:line="480" w:lineRule="auto" w:before="0" w:after="0"/>
        <w:ind w:left="500" w:right="434" w:firstLine="0"/>
        <w:jc w:val="both"/>
        <w:rPr>
          <w:sz w:val="25"/>
        </w:rPr>
      </w:pPr>
      <w:r>
        <w:rPr>
          <w:sz w:val="25"/>
        </w:rPr>
        <w:t>The significant aspect of the case which has been pleaded in Suit 4 is </w:t>
      </w:r>
      <w:r>
        <w:rPr>
          <w:spacing w:val="2"/>
          <w:sz w:val="25"/>
        </w:rPr>
        <w:t>the </w:t>
      </w:r>
      <w:r>
        <w:rPr>
          <w:sz w:val="25"/>
        </w:rPr>
        <w:t>construction of the mosque in 1528 A.D. and its use by Muslims for the purpose of offering prayer thereafter. But, a crucial aspect of the evidentiary record is the absence of any evidence to indicate that the mosque was, after its construction, used for offering namaz until 1856-7. Justice Sudhir Agarwal noticed this feature of the case bearing on the lack of evidence of the use of the mosque for the purpose of worship until the riots of 1856-7. The learned Judge also noted the submission of Mr Jilani for the Sunni Central Waqf Board in the following</w:t>
      </w:r>
      <w:r>
        <w:rPr>
          <w:spacing w:val="-23"/>
          <w:sz w:val="25"/>
        </w:rPr>
        <w:t> </w:t>
      </w:r>
      <w:r>
        <w:rPr>
          <w:sz w:val="25"/>
        </w:rPr>
        <w:t>extracts:</w:t>
      </w:r>
    </w:p>
    <w:p>
      <w:pPr>
        <w:spacing w:after="0" w:line="480" w:lineRule="auto"/>
        <w:jc w:val="both"/>
        <w:rPr>
          <w:sz w:val="25"/>
        </w:rPr>
        <w:sectPr>
          <w:pgSz w:w="11910" w:h="16840"/>
          <w:pgMar w:header="721" w:footer="1014" w:top="1300" w:bottom="1200" w:left="940" w:right="1000"/>
        </w:sectPr>
      </w:pPr>
    </w:p>
    <w:p>
      <w:pPr>
        <w:pStyle w:val="BodyText"/>
        <w:spacing w:before="6"/>
        <w:rPr>
          <w:sz w:val="27"/>
        </w:rPr>
      </w:pPr>
    </w:p>
    <w:p>
      <w:pPr>
        <w:spacing w:line="276" w:lineRule="auto" w:before="94"/>
        <w:ind w:left="1940" w:right="2264" w:firstLine="0"/>
        <w:jc w:val="both"/>
        <w:rPr>
          <w:sz w:val="21"/>
        </w:rPr>
      </w:pPr>
      <w:r>
        <w:rPr>
          <w:w w:val="33"/>
          <w:sz w:val="21"/>
        </w:rPr>
        <w:t>―</w:t>
      </w:r>
      <w:r>
        <w:rPr>
          <w:w w:val="100"/>
          <w:sz w:val="21"/>
        </w:rPr>
        <w:t>2314…even</w:t>
      </w:r>
      <w:r>
        <w:rPr>
          <w:sz w:val="21"/>
        </w:rPr>
        <w:t> </w:t>
      </w:r>
      <w:r>
        <w:rPr>
          <w:w w:val="100"/>
          <w:sz w:val="21"/>
        </w:rPr>
        <w:t>if</w:t>
      </w:r>
      <w:r>
        <w:rPr>
          <w:sz w:val="21"/>
        </w:rPr>
        <w:t> </w:t>
      </w:r>
      <w:r>
        <w:rPr>
          <w:w w:val="100"/>
          <w:sz w:val="21"/>
        </w:rPr>
        <w:t>for</w:t>
      </w:r>
      <w:r>
        <w:rPr>
          <w:sz w:val="21"/>
        </w:rPr>
        <w:t> </w:t>
      </w:r>
      <w:r>
        <w:rPr>
          <w:w w:val="100"/>
          <w:sz w:val="21"/>
        </w:rPr>
        <w:t>the</w:t>
      </w:r>
      <w:r>
        <w:rPr>
          <w:sz w:val="21"/>
        </w:rPr>
        <w:t> </w:t>
      </w:r>
      <w:r>
        <w:rPr>
          <w:w w:val="100"/>
          <w:sz w:val="21"/>
        </w:rPr>
        <w:t>purpose</w:t>
      </w:r>
      <w:r>
        <w:rPr>
          <w:sz w:val="21"/>
        </w:rPr>
        <w:t> </w:t>
      </w:r>
      <w:r>
        <w:rPr>
          <w:w w:val="100"/>
          <w:sz w:val="21"/>
        </w:rPr>
        <w:t>of</w:t>
      </w:r>
      <w:r>
        <w:rPr>
          <w:sz w:val="21"/>
        </w:rPr>
        <w:t> </w:t>
      </w:r>
      <w:r>
        <w:rPr>
          <w:w w:val="100"/>
          <w:sz w:val="21"/>
        </w:rPr>
        <w:t>the</w:t>
      </w:r>
      <w:r>
        <w:rPr>
          <w:sz w:val="21"/>
        </w:rPr>
        <w:t> </w:t>
      </w:r>
      <w:r>
        <w:rPr>
          <w:w w:val="100"/>
          <w:sz w:val="21"/>
        </w:rPr>
        <w:t>issues</w:t>
      </w:r>
      <w:r>
        <w:rPr>
          <w:sz w:val="21"/>
        </w:rPr>
        <w:t> </w:t>
      </w:r>
      <w:r>
        <w:rPr>
          <w:w w:val="100"/>
          <w:sz w:val="21"/>
        </w:rPr>
        <w:t>in</w:t>
      </w:r>
      <w:r>
        <w:rPr>
          <w:sz w:val="21"/>
        </w:rPr>
        <w:t> </w:t>
      </w:r>
      <w:r>
        <w:rPr>
          <w:w w:val="100"/>
          <w:sz w:val="21"/>
        </w:rPr>
        <w:t>question</w:t>
      </w:r>
      <w:r>
        <w:rPr>
          <w:sz w:val="21"/>
        </w:rPr>
        <w:t> </w:t>
      </w:r>
      <w:r>
        <w:rPr>
          <w:w w:val="100"/>
          <w:sz w:val="21"/>
        </w:rPr>
        <w:t>we </w:t>
      </w:r>
      <w:r>
        <w:rPr>
          <w:sz w:val="21"/>
        </w:rPr>
        <w:t>assume that the building in dispute was so constructed in 1528 A.D., there is no evidence whatsoever that after its construction, it was ever used as a mosque by Muslims at least till 1856-57. Sri Jilani fairly admitted during the course of arguments that historical or other evidence is not available to show the position of possession or offering of Namaz in the disputed building at least till 1855…‖</w:t>
      </w:r>
    </w:p>
    <w:p>
      <w:pPr>
        <w:pStyle w:val="BodyText"/>
        <w:rPr>
          <w:sz w:val="24"/>
        </w:rPr>
      </w:pPr>
    </w:p>
    <w:p>
      <w:pPr>
        <w:pStyle w:val="BodyText"/>
        <w:spacing w:before="4"/>
        <w:rPr>
          <w:sz w:val="24"/>
        </w:rPr>
      </w:pPr>
    </w:p>
    <w:p>
      <w:pPr>
        <w:pStyle w:val="BodyText"/>
        <w:spacing w:line="480" w:lineRule="auto"/>
        <w:ind w:left="500" w:right="436"/>
        <w:jc w:val="both"/>
      </w:pPr>
      <w:r>
        <w:rPr/>
        <w:t>During the course of the hearing before this Court, this observation on the absence of any evidence indicating worship by Muslims prior to 1856-7 was specifically put to Dr Rajeev Dhavan </w:t>
      </w:r>
      <w:r>
        <w:rPr>
          <w:sz w:val="24"/>
        </w:rPr>
        <w:t>learned Senior Counsel appearing on behalf of the Sunni Central </w:t>
      </w:r>
      <w:r>
        <w:rPr>
          <w:spacing w:val="-3"/>
          <w:sz w:val="24"/>
        </w:rPr>
        <w:t>Waqf </w:t>
      </w:r>
      <w:r>
        <w:rPr>
          <w:sz w:val="24"/>
        </w:rPr>
        <w:t>Board</w:t>
      </w:r>
      <w:r>
        <w:rPr/>
        <w:t>. Learned Senior Counsel did not deny that the evidentiary record which is relied upon by the Sunni Central Waqf Board essentially commences with the grants which were stated to have been continued by the British Government for the upkeep of the mosque. Bearing this in mind, it is necessary now to scrutinise the</w:t>
      </w:r>
      <w:r>
        <w:rPr>
          <w:spacing w:val="-8"/>
        </w:rPr>
        <w:t> </w:t>
      </w:r>
      <w:r>
        <w:rPr/>
        <w:t>evidence.</w:t>
      </w:r>
    </w:p>
    <w:p>
      <w:pPr>
        <w:pStyle w:val="BodyText"/>
        <w:rPr>
          <w:sz w:val="24"/>
        </w:rPr>
      </w:pPr>
    </w:p>
    <w:p>
      <w:pPr>
        <w:pStyle w:val="Heading3"/>
        <w:numPr>
          <w:ilvl w:val="0"/>
          <w:numId w:val="216"/>
        </w:numPr>
        <w:tabs>
          <w:tab w:pos="1221" w:val="left" w:leader="none"/>
        </w:tabs>
        <w:spacing w:line="240" w:lineRule="auto" w:before="0" w:after="0"/>
        <w:ind w:left="1220" w:right="0" w:hanging="721"/>
        <w:jc w:val="both"/>
      </w:pPr>
      <w:r>
        <w:rPr/>
        <w:t>Grants by the British Government for upkeep of</w:t>
      </w:r>
      <w:r>
        <w:rPr>
          <w:spacing w:val="-9"/>
        </w:rPr>
        <w:t> </w:t>
      </w:r>
      <w:r>
        <w:rPr/>
        <w:t>mosque</w:t>
      </w:r>
    </w:p>
    <w:p>
      <w:pPr>
        <w:pStyle w:val="BodyText"/>
        <w:rPr>
          <w:b/>
          <w:sz w:val="28"/>
        </w:rPr>
      </w:pPr>
    </w:p>
    <w:p>
      <w:pPr>
        <w:pStyle w:val="BodyText"/>
        <w:rPr>
          <w:b/>
          <w:sz w:val="23"/>
        </w:rPr>
      </w:pPr>
    </w:p>
    <w:p>
      <w:pPr>
        <w:pStyle w:val="ListParagraph"/>
        <w:numPr>
          <w:ilvl w:val="0"/>
          <w:numId w:val="166"/>
        </w:numPr>
        <w:tabs>
          <w:tab w:pos="1221" w:val="left" w:leader="none"/>
        </w:tabs>
        <w:spacing w:line="480" w:lineRule="auto" w:before="0" w:after="0"/>
        <w:ind w:left="500" w:right="437" w:firstLine="0"/>
        <w:jc w:val="both"/>
        <w:rPr>
          <w:sz w:val="25"/>
        </w:rPr>
      </w:pPr>
      <w:r>
        <w:rPr>
          <w:sz w:val="25"/>
        </w:rPr>
        <w:t>According to the Sunni Central Waqf Board, the colonial government continued grants for the upkeep and maintenance of the mosque originally given during the time of Babur. In this regard, the Sunni Central Waqf Board has in the course of its written submissions formulated its reliance on the documentary record</w:t>
      </w:r>
      <w:r>
        <w:rPr>
          <w:spacing w:val="-2"/>
          <w:sz w:val="25"/>
        </w:rPr>
        <w:t> </w:t>
      </w:r>
      <w:r>
        <w:rPr>
          <w:sz w:val="25"/>
        </w:rPr>
        <w:t>thus:</w:t>
      </w:r>
    </w:p>
    <w:p>
      <w:pPr>
        <w:pStyle w:val="BodyText"/>
        <w:spacing w:before="1"/>
        <w:rPr>
          <w:sz w:val="39"/>
        </w:rPr>
      </w:pPr>
    </w:p>
    <w:p>
      <w:pPr>
        <w:spacing w:line="276" w:lineRule="auto" w:before="0"/>
        <w:ind w:left="1940" w:right="2173" w:hanging="720"/>
        <w:jc w:val="both"/>
        <w:rPr>
          <w:sz w:val="21"/>
        </w:rPr>
      </w:pPr>
      <w:r>
        <w:rPr>
          <w:spacing w:val="-1"/>
          <w:w w:val="33"/>
          <w:sz w:val="21"/>
        </w:rPr>
        <w:t>―</w:t>
      </w:r>
      <w:r>
        <w:rPr>
          <w:spacing w:val="-1"/>
          <w:w w:val="100"/>
          <w:sz w:val="21"/>
        </w:rPr>
        <w:t>(a</w:t>
      </w:r>
      <w:r>
        <w:rPr>
          <w:w w:val="100"/>
          <w:sz w:val="21"/>
        </w:rPr>
        <w:t>)</w:t>
      </w:r>
      <w:r>
        <w:rPr>
          <w:sz w:val="21"/>
        </w:rPr>
        <w:t>       </w:t>
      </w:r>
      <w:r>
        <w:rPr>
          <w:w w:val="100"/>
          <w:sz w:val="21"/>
        </w:rPr>
        <w:t>Th</w:t>
      </w:r>
      <w:r>
        <w:rPr>
          <w:w w:val="100"/>
          <w:sz w:val="21"/>
        </w:rPr>
        <w:t>e</w:t>
      </w:r>
      <w:r>
        <w:rPr>
          <w:sz w:val="21"/>
        </w:rPr>
        <w:t>  </w:t>
      </w:r>
      <w:r>
        <w:rPr>
          <w:w w:val="100"/>
          <w:sz w:val="21"/>
        </w:rPr>
        <w:t>ex</w:t>
      </w:r>
      <w:r>
        <w:rPr>
          <w:spacing w:val="-1"/>
          <w:w w:val="100"/>
          <w:sz w:val="21"/>
        </w:rPr>
        <w:t>tr</w:t>
      </w:r>
      <w:r>
        <w:rPr>
          <w:w w:val="100"/>
          <w:sz w:val="21"/>
        </w:rPr>
        <w:t>act</w:t>
      </w:r>
      <w:r>
        <w:rPr>
          <w:sz w:val="21"/>
        </w:rPr>
        <w:t>  </w:t>
      </w:r>
      <w:r>
        <w:rPr>
          <w:spacing w:val="-3"/>
          <w:w w:val="100"/>
          <w:sz w:val="21"/>
        </w:rPr>
        <w:t>o</w:t>
      </w:r>
      <w:r>
        <w:rPr>
          <w:w w:val="100"/>
          <w:sz w:val="21"/>
        </w:rPr>
        <w:t>f</w:t>
      </w:r>
      <w:r>
        <w:rPr>
          <w:sz w:val="21"/>
        </w:rPr>
        <w:t>  </w:t>
      </w:r>
      <w:r>
        <w:rPr>
          <w:w w:val="100"/>
          <w:sz w:val="21"/>
        </w:rPr>
        <w:t>R</w:t>
      </w:r>
      <w:r>
        <w:rPr>
          <w:spacing w:val="-3"/>
          <w:w w:val="100"/>
          <w:sz w:val="21"/>
        </w:rPr>
        <w:t>e</w:t>
      </w:r>
      <w:r>
        <w:rPr>
          <w:w w:val="100"/>
          <w:sz w:val="21"/>
        </w:rPr>
        <w:t>g</w:t>
      </w:r>
      <w:r>
        <w:rPr>
          <w:spacing w:val="1"/>
          <w:w w:val="100"/>
          <w:sz w:val="21"/>
        </w:rPr>
        <w:t>i</w:t>
      </w:r>
      <w:r>
        <w:rPr>
          <w:w w:val="100"/>
          <w:sz w:val="21"/>
        </w:rPr>
        <w:t>s</w:t>
      </w:r>
      <w:r>
        <w:rPr>
          <w:spacing w:val="-2"/>
          <w:w w:val="100"/>
          <w:sz w:val="21"/>
        </w:rPr>
        <w:t>t</w:t>
      </w:r>
      <w:r>
        <w:rPr>
          <w:w w:val="100"/>
          <w:sz w:val="21"/>
        </w:rPr>
        <w:t>er</w:t>
      </w:r>
      <w:r>
        <w:rPr>
          <w:sz w:val="21"/>
        </w:rPr>
        <w:t>  </w:t>
      </w:r>
      <w:r>
        <w:rPr>
          <w:spacing w:val="-1"/>
          <w:w w:val="100"/>
          <w:sz w:val="21"/>
        </w:rPr>
        <w:t>M</w:t>
      </w:r>
      <w:r>
        <w:rPr>
          <w:w w:val="100"/>
          <w:sz w:val="21"/>
        </w:rPr>
        <w:t>a</w:t>
      </w:r>
      <w:r>
        <w:rPr>
          <w:spacing w:val="-1"/>
          <w:w w:val="100"/>
          <w:sz w:val="21"/>
        </w:rPr>
        <w:t>f</w:t>
      </w:r>
      <w:r>
        <w:rPr>
          <w:w w:val="100"/>
          <w:sz w:val="21"/>
        </w:rPr>
        <w:t>i</w:t>
      </w:r>
      <w:r>
        <w:rPr>
          <w:w w:val="100"/>
          <w:sz w:val="21"/>
        </w:rPr>
        <w:t>at</w:t>
      </w:r>
      <w:r>
        <w:rPr>
          <w:sz w:val="21"/>
        </w:rPr>
        <w:t>  </w:t>
      </w:r>
      <w:r>
        <w:rPr>
          <w:w w:val="100"/>
          <w:sz w:val="21"/>
        </w:rPr>
        <w:t>bea</w:t>
      </w:r>
      <w:r>
        <w:rPr>
          <w:spacing w:val="-3"/>
          <w:w w:val="100"/>
          <w:sz w:val="21"/>
        </w:rPr>
        <w:t>r</w:t>
      </w:r>
      <w:r>
        <w:rPr>
          <w:w w:val="100"/>
          <w:sz w:val="21"/>
        </w:rPr>
        <w:t>i</w:t>
      </w:r>
      <w:r>
        <w:rPr>
          <w:w w:val="100"/>
          <w:sz w:val="21"/>
        </w:rPr>
        <w:t>ng</w:t>
      </w:r>
      <w:r>
        <w:rPr>
          <w:sz w:val="21"/>
        </w:rPr>
        <w:t>  </w:t>
      </w:r>
      <w:r>
        <w:rPr>
          <w:spacing w:val="-2"/>
          <w:w w:val="100"/>
          <w:sz w:val="21"/>
        </w:rPr>
        <w:t>G</w:t>
      </w:r>
      <w:r>
        <w:rPr>
          <w:w w:val="100"/>
          <w:sz w:val="21"/>
        </w:rPr>
        <w:t>o</w:t>
      </w:r>
      <w:r>
        <w:rPr>
          <w:spacing w:val="-3"/>
          <w:w w:val="100"/>
          <w:sz w:val="21"/>
        </w:rPr>
        <w:t>v</w:t>
      </w:r>
      <w:r>
        <w:rPr>
          <w:w w:val="100"/>
          <w:sz w:val="21"/>
        </w:rPr>
        <w:t>er</w:t>
      </w:r>
      <w:r>
        <w:rPr>
          <w:spacing w:val="-3"/>
          <w:w w:val="100"/>
          <w:sz w:val="21"/>
        </w:rPr>
        <w:t>n</w:t>
      </w:r>
      <w:r>
        <w:rPr>
          <w:spacing w:val="-1"/>
          <w:w w:val="100"/>
          <w:sz w:val="21"/>
        </w:rPr>
        <w:t>m</w:t>
      </w:r>
      <w:r>
        <w:rPr>
          <w:w w:val="100"/>
          <w:sz w:val="21"/>
        </w:rPr>
        <w:t>ent</w:t>
      </w:r>
      <w:r>
        <w:rPr>
          <w:sz w:val="21"/>
        </w:rPr>
        <w:t>  </w:t>
      </w:r>
      <w:r>
        <w:rPr>
          <w:spacing w:val="-2"/>
          <w:w w:val="100"/>
          <w:sz w:val="21"/>
        </w:rPr>
        <w:t>O</w:t>
      </w:r>
      <w:r>
        <w:rPr>
          <w:spacing w:val="-1"/>
          <w:w w:val="100"/>
          <w:sz w:val="21"/>
        </w:rPr>
        <w:t>r</w:t>
      </w:r>
      <w:r>
        <w:rPr>
          <w:w w:val="100"/>
          <w:sz w:val="21"/>
        </w:rPr>
        <w:t>ders </w:t>
      </w:r>
      <w:r>
        <w:rPr>
          <w:sz w:val="21"/>
        </w:rPr>
        <w:t>dated March 13, 1860 and June 29, 1860 show the name of Babur as the donor/grantee.</w:t>
      </w:r>
    </w:p>
    <w:p>
      <w:pPr>
        <w:pStyle w:val="ListParagraph"/>
        <w:numPr>
          <w:ilvl w:val="0"/>
          <w:numId w:val="217"/>
        </w:numPr>
        <w:tabs>
          <w:tab w:pos="1940" w:val="left" w:leader="none"/>
          <w:tab w:pos="1941" w:val="left" w:leader="none"/>
        </w:tabs>
        <w:spacing w:line="271" w:lineRule="auto" w:before="0" w:after="0"/>
        <w:ind w:left="1940" w:right="2174" w:hanging="720"/>
        <w:jc w:val="both"/>
        <w:rPr>
          <w:sz w:val="21"/>
        </w:rPr>
      </w:pPr>
      <w:r>
        <w:rPr>
          <w:sz w:val="21"/>
        </w:rPr>
        <w:t>Further Column 13, which refers to the order of the Chief </w:t>
      </w:r>
      <w:r>
        <w:rPr>
          <w:w w:val="100"/>
          <w:sz w:val="21"/>
        </w:rPr>
        <w:t>C</w:t>
      </w:r>
      <w:r>
        <w:rPr>
          <w:spacing w:val="-3"/>
          <w:w w:val="100"/>
          <w:sz w:val="21"/>
        </w:rPr>
        <w:t>o</w:t>
      </w:r>
      <w:r>
        <w:rPr>
          <w:spacing w:val="-1"/>
          <w:w w:val="100"/>
          <w:sz w:val="21"/>
        </w:rPr>
        <w:t>mm</w:t>
      </w:r>
      <w:r>
        <w:rPr>
          <w:w w:val="100"/>
          <w:sz w:val="21"/>
        </w:rPr>
        <w:t>i</w:t>
      </w:r>
      <w:r>
        <w:rPr>
          <w:w w:val="100"/>
          <w:sz w:val="21"/>
        </w:rPr>
        <w:t>s</w:t>
      </w:r>
      <w:r>
        <w:rPr>
          <w:spacing w:val="-3"/>
          <w:w w:val="100"/>
          <w:sz w:val="21"/>
        </w:rPr>
        <w:t>s</w:t>
      </w:r>
      <w:r>
        <w:rPr>
          <w:w w:val="100"/>
          <w:sz w:val="21"/>
        </w:rPr>
        <w:t>i</w:t>
      </w:r>
      <w:r>
        <w:rPr>
          <w:spacing w:val="-3"/>
          <w:w w:val="100"/>
          <w:sz w:val="21"/>
        </w:rPr>
        <w:t>o</w:t>
      </w:r>
      <w:r>
        <w:rPr>
          <w:w w:val="100"/>
          <w:sz w:val="21"/>
        </w:rPr>
        <w:t>ner,</w:t>
      </w:r>
      <w:r>
        <w:rPr>
          <w:spacing w:val="11"/>
          <w:sz w:val="21"/>
        </w:rPr>
        <w:t> </w:t>
      </w:r>
      <w:r>
        <w:rPr>
          <w:w w:val="100"/>
          <w:sz w:val="21"/>
        </w:rPr>
        <w:t>s</w:t>
      </w:r>
      <w:r>
        <w:rPr>
          <w:spacing w:val="-2"/>
          <w:w w:val="100"/>
          <w:sz w:val="21"/>
        </w:rPr>
        <w:t>t</w:t>
      </w:r>
      <w:r>
        <w:rPr>
          <w:w w:val="100"/>
          <w:sz w:val="21"/>
        </w:rPr>
        <w:t>a</w:t>
      </w:r>
      <w:r>
        <w:rPr>
          <w:spacing w:val="-1"/>
          <w:w w:val="100"/>
          <w:sz w:val="21"/>
        </w:rPr>
        <w:t>t</w:t>
      </w:r>
      <w:r>
        <w:rPr>
          <w:w w:val="100"/>
          <w:sz w:val="21"/>
        </w:rPr>
        <w:t>es</w:t>
      </w:r>
      <w:r>
        <w:rPr>
          <w:spacing w:val="11"/>
          <w:sz w:val="21"/>
        </w:rPr>
        <w:t> </w:t>
      </w:r>
      <w:r>
        <w:rPr>
          <w:spacing w:val="-2"/>
          <w:w w:val="100"/>
          <w:sz w:val="21"/>
        </w:rPr>
        <w:t>t</w:t>
      </w:r>
      <w:r>
        <w:rPr>
          <w:w w:val="100"/>
          <w:sz w:val="21"/>
        </w:rPr>
        <w:t>ha</w:t>
      </w:r>
      <w:r>
        <w:rPr>
          <w:spacing w:val="-2"/>
          <w:w w:val="100"/>
          <w:sz w:val="21"/>
        </w:rPr>
        <w:t>t</w:t>
      </w:r>
      <w:r>
        <w:rPr>
          <w:w w:val="100"/>
          <w:sz w:val="21"/>
        </w:rPr>
        <w:t>-</w:t>
      </w:r>
      <w:r>
        <w:rPr>
          <w:spacing w:val="12"/>
          <w:sz w:val="21"/>
        </w:rPr>
        <w:t> </w:t>
      </w:r>
      <w:r>
        <w:rPr>
          <w:spacing w:val="-1"/>
          <w:w w:val="33"/>
          <w:sz w:val="21"/>
        </w:rPr>
        <w:t>―</w:t>
      </w:r>
      <w:r>
        <w:rPr>
          <w:w w:val="100"/>
          <w:sz w:val="21"/>
        </w:rPr>
        <w:t>So</w:t>
      </w:r>
      <w:r>
        <w:rPr>
          <w:spacing w:val="11"/>
          <w:sz w:val="21"/>
        </w:rPr>
        <w:t> </w:t>
      </w:r>
      <w:r>
        <w:rPr>
          <w:w w:val="100"/>
          <w:sz w:val="21"/>
        </w:rPr>
        <w:t>l</w:t>
      </w:r>
      <w:r>
        <w:rPr>
          <w:spacing w:val="-1"/>
          <w:w w:val="100"/>
          <w:sz w:val="21"/>
        </w:rPr>
        <w:t>o</w:t>
      </w:r>
      <w:r>
        <w:rPr>
          <w:spacing w:val="-3"/>
          <w:w w:val="100"/>
          <w:sz w:val="21"/>
        </w:rPr>
        <w:t>n</w:t>
      </w:r>
      <w:r>
        <w:rPr>
          <w:w w:val="100"/>
          <w:sz w:val="21"/>
        </w:rPr>
        <w:t>g</w:t>
      </w:r>
      <w:r>
        <w:rPr>
          <w:spacing w:val="13"/>
          <w:sz w:val="21"/>
        </w:rPr>
        <w:t> </w:t>
      </w:r>
      <w:r>
        <w:rPr>
          <w:spacing w:val="-2"/>
          <w:w w:val="100"/>
          <w:sz w:val="21"/>
        </w:rPr>
        <w:t>t</w:t>
      </w:r>
      <w:r>
        <w:rPr>
          <w:spacing w:val="-1"/>
          <w:w w:val="100"/>
          <w:sz w:val="21"/>
        </w:rPr>
        <w:t>h</w:t>
      </w:r>
      <w:r>
        <w:rPr>
          <w:w w:val="100"/>
          <w:sz w:val="21"/>
        </w:rPr>
        <w:t>e</w:t>
      </w:r>
      <w:r>
        <w:rPr>
          <w:spacing w:val="11"/>
          <w:sz w:val="21"/>
        </w:rPr>
        <w:t> </w:t>
      </w:r>
      <w:r>
        <w:rPr>
          <w:spacing w:val="-1"/>
          <w:w w:val="100"/>
          <w:sz w:val="21"/>
        </w:rPr>
        <w:t>Ma</w:t>
      </w:r>
      <w:r>
        <w:rPr>
          <w:spacing w:val="-3"/>
          <w:w w:val="100"/>
          <w:sz w:val="21"/>
        </w:rPr>
        <w:t>s</w:t>
      </w:r>
      <w:r>
        <w:rPr>
          <w:w w:val="100"/>
          <w:sz w:val="21"/>
        </w:rPr>
        <w:t>j</w:t>
      </w:r>
      <w:r>
        <w:rPr>
          <w:spacing w:val="-2"/>
          <w:w w:val="100"/>
          <w:sz w:val="21"/>
        </w:rPr>
        <w:t>i</w:t>
      </w:r>
      <w:r>
        <w:rPr>
          <w:w w:val="100"/>
          <w:sz w:val="21"/>
        </w:rPr>
        <w:t>d</w:t>
      </w:r>
      <w:r>
        <w:rPr>
          <w:spacing w:val="11"/>
          <w:sz w:val="21"/>
        </w:rPr>
        <w:t> </w:t>
      </w:r>
      <w:r>
        <w:rPr>
          <w:w w:val="100"/>
          <w:sz w:val="21"/>
        </w:rPr>
        <w:t>is</w:t>
      </w:r>
      <w:r>
        <w:rPr>
          <w:spacing w:val="11"/>
          <w:sz w:val="21"/>
        </w:rPr>
        <w:t> </w:t>
      </w:r>
      <w:r>
        <w:rPr>
          <w:w w:val="100"/>
          <w:sz w:val="21"/>
        </w:rPr>
        <w:t>kept</w:t>
      </w:r>
      <w:r>
        <w:rPr>
          <w:spacing w:val="12"/>
          <w:sz w:val="21"/>
        </w:rPr>
        <w:t> </w:t>
      </w:r>
      <w:r>
        <w:rPr>
          <w:spacing w:val="-1"/>
          <w:w w:val="100"/>
          <w:sz w:val="21"/>
        </w:rPr>
        <w:t>u</w:t>
      </w:r>
      <w:r>
        <w:rPr>
          <w:w w:val="100"/>
          <w:sz w:val="21"/>
        </w:rPr>
        <w:t>p</w:t>
      </w:r>
      <w:r>
        <w:rPr>
          <w:spacing w:val="11"/>
          <w:sz w:val="21"/>
        </w:rPr>
        <w:t> </w:t>
      </w:r>
      <w:r>
        <w:rPr>
          <w:spacing w:val="-1"/>
          <w:w w:val="100"/>
          <w:sz w:val="21"/>
        </w:rPr>
        <w:t>a</w:t>
      </w:r>
      <w:r>
        <w:rPr>
          <w:spacing w:val="-3"/>
          <w:w w:val="100"/>
          <w:sz w:val="21"/>
        </w:rPr>
        <w:t>n</w:t>
      </w:r>
      <w:r>
        <w:rPr>
          <w:w w:val="100"/>
          <w:sz w:val="21"/>
        </w:rPr>
        <w:t>d</w:t>
      </w:r>
    </w:p>
    <w:p>
      <w:pPr>
        <w:spacing w:after="0" w:line="271" w:lineRule="auto"/>
        <w:jc w:val="both"/>
        <w:rPr>
          <w:sz w:val="21"/>
        </w:rPr>
        <w:sectPr>
          <w:pgSz w:w="11910" w:h="16840"/>
          <w:pgMar w:header="721" w:footer="1014" w:top="1300" w:bottom="1200" w:left="940" w:right="1000"/>
        </w:sectPr>
      </w:pPr>
    </w:p>
    <w:p>
      <w:pPr>
        <w:tabs>
          <w:tab w:pos="2520" w:val="left" w:leader="none"/>
          <w:tab w:pos="4255" w:val="left" w:leader="none"/>
          <w:tab w:pos="5278" w:val="left" w:leader="none"/>
          <w:tab w:pos="6628" w:val="left" w:leader="none"/>
          <w:tab w:pos="7732" w:val="left" w:leader="none"/>
        </w:tabs>
        <w:spacing w:line="276" w:lineRule="auto" w:before="122"/>
        <w:ind w:left="1940" w:right="2173" w:firstLine="0"/>
        <w:jc w:val="left"/>
        <w:rPr>
          <w:sz w:val="21"/>
        </w:rPr>
      </w:pPr>
      <w:r>
        <w:rPr>
          <w:sz w:val="21"/>
        </w:rPr>
        <w:t>the</w:t>
        <w:tab/>
        <w:t>Mohammadans</w:t>
        <w:tab/>
        <w:t>conduct</w:t>
        <w:tab/>
        <w:t>themselves</w:t>
        <w:tab/>
        <w:t>properly,</w:t>
        <w:tab/>
      </w:r>
      <w:r>
        <w:rPr>
          <w:spacing w:val="-18"/>
          <w:sz w:val="21"/>
        </w:rPr>
        <w:t>I </w:t>
      </w:r>
      <w:r>
        <w:rPr>
          <w:sz w:val="21"/>
        </w:rPr>
        <w:t>recommend the continuance of the</w:t>
      </w:r>
      <w:r>
        <w:rPr>
          <w:spacing w:val="-9"/>
          <w:sz w:val="21"/>
        </w:rPr>
        <w:t> </w:t>
      </w:r>
      <w:r>
        <w:rPr>
          <w:sz w:val="21"/>
        </w:rPr>
        <w:t>grant.‖</w:t>
      </w:r>
    </w:p>
    <w:p>
      <w:pPr>
        <w:pStyle w:val="BodyText"/>
        <w:spacing w:before="2"/>
        <w:rPr>
          <w:sz w:val="24"/>
        </w:rPr>
      </w:pPr>
    </w:p>
    <w:p>
      <w:pPr>
        <w:pStyle w:val="ListParagraph"/>
        <w:numPr>
          <w:ilvl w:val="0"/>
          <w:numId w:val="217"/>
        </w:numPr>
        <w:tabs>
          <w:tab w:pos="1940" w:val="left" w:leader="none"/>
          <w:tab w:pos="1941" w:val="left" w:leader="none"/>
        </w:tabs>
        <w:spacing w:line="276" w:lineRule="auto" w:before="0" w:after="0"/>
        <w:ind w:left="1940" w:right="2171" w:hanging="720"/>
        <w:jc w:val="both"/>
        <w:rPr>
          <w:sz w:val="21"/>
        </w:rPr>
      </w:pPr>
      <w:r>
        <w:rPr>
          <w:spacing w:val="-1"/>
          <w:w w:val="100"/>
          <w:sz w:val="21"/>
        </w:rPr>
        <w:t>Moreo</w:t>
      </w:r>
      <w:r>
        <w:rPr>
          <w:spacing w:val="-3"/>
          <w:w w:val="100"/>
          <w:sz w:val="21"/>
        </w:rPr>
        <w:t>v</w:t>
      </w:r>
      <w:r>
        <w:rPr>
          <w:spacing w:val="-1"/>
          <w:w w:val="100"/>
          <w:sz w:val="21"/>
        </w:rPr>
        <w:t>er</w:t>
      </w:r>
      <w:r>
        <w:rPr>
          <w:w w:val="100"/>
          <w:sz w:val="21"/>
        </w:rPr>
        <w:t>,</w:t>
      </w:r>
      <w:r>
        <w:rPr>
          <w:spacing w:val="6"/>
          <w:sz w:val="21"/>
        </w:rPr>
        <w:t> </w:t>
      </w:r>
      <w:r>
        <w:rPr>
          <w:w w:val="100"/>
          <w:sz w:val="21"/>
        </w:rPr>
        <w:t>in</w:t>
      </w:r>
      <w:r>
        <w:rPr>
          <w:spacing w:val="6"/>
          <w:sz w:val="21"/>
        </w:rPr>
        <w:t> </w:t>
      </w:r>
      <w:r>
        <w:rPr>
          <w:w w:val="100"/>
          <w:sz w:val="21"/>
        </w:rPr>
        <w:t>c</w:t>
      </w:r>
      <w:r>
        <w:rPr>
          <w:spacing w:val="-3"/>
          <w:w w:val="100"/>
          <w:sz w:val="21"/>
        </w:rPr>
        <w:t>o</w:t>
      </w:r>
      <w:r>
        <w:rPr>
          <w:w w:val="100"/>
          <w:sz w:val="21"/>
        </w:rPr>
        <w:t>l</w:t>
      </w:r>
      <w:r>
        <w:rPr>
          <w:spacing w:val="-3"/>
          <w:w w:val="100"/>
          <w:sz w:val="21"/>
        </w:rPr>
        <w:t>u</w:t>
      </w:r>
      <w:r>
        <w:rPr>
          <w:spacing w:val="-1"/>
          <w:w w:val="100"/>
          <w:sz w:val="21"/>
        </w:rPr>
        <w:t>m</w:t>
      </w:r>
      <w:r>
        <w:rPr>
          <w:w w:val="100"/>
          <w:sz w:val="21"/>
        </w:rPr>
        <w:t>n</w:t>
      </w:r>
      <w:r>
        <w:rPr>
          <w:spacing w:val="8"/>
          <w:sz w:val="21"/>
        </w:rPr>
        <w:t> </w:t>
      </w:r>
      <w:r>
        <w:rPr>
          <w:spacing w:val="-3"/>
          <w:w w:val="100"/>
          <w:sz w:val="21"/>
        </w:rPr>
        <w:t>1</w:t>
      </w:r>
      <w:r>
        <w:rPr>
          <w:spacing w:val="-1"/>
          <w:w w:val="100"/>
          <w:sz w:val="21"/>
        </w:rPr>
        <w:t>4</w:t>
      </w:r>
      <w:r>
        <w:rPr>
          <w:w w:val="100"/>
          <w:sz w:val="21"/>
        </w:rPr>
        <w:t>,</w:t>
      </w:r>
      <w:r>
        <w:rPr>
          <w:spacing w:val="5"/>
          <w:sz w:val="21"/>
        </w:rPr>
        <w:t> </w:t>
      </w:r>
      <w:r>
        <w:rPr>
          <w:spacing w:val="-1"/>
          <w:w w:val="100"/>
          <w:sz w:val="21"/>
        </w:rPr>
        <w:t>hea</w:t>
      </w:r>
      <w:r>
        <w:rPr>
          <w:spacing w:val="-2"/>
          <w:w w:val="100"/>
          <w:sz w:val="21"/>
        </w:rPr>
        <w:t>d</w:t>
      </w:r>
      <w:r>
        <w:rPr>
          <w:spacing w:val="-1"/>
          <w:w w:val="100"/>
          <w:sz w:val="21"/>
        </w:rPr>
        <w:t>e</w:t>
      </w:r>
      <w:r>
        <w:rPr>
          <w:w w:val="100"/>
          <w:sz w:val="21"/>
        </w:rPr>
        <w:t>d</w:t>
      </w:r>
      <w:r>
        <w:rPr>
          <w:spacing w:val="6"/>
          <w:sz w:val="21"/>
        </w:rPr>
        <w:t> </w:t>
      </w:r>
      <w:r>
        <w:rPr>
          <w:w w:val="40"/>
          <w:sz w:val="21"/>
        </w:rPr>
        <w:t>‗</w:t>
      </w:r>
      <w:r>
        <w:rPr>
          <w:spacing w:val="-2"/>
          <w:w w:val="100"/>
          <w:sz w:val="21"/>
        </w:rPr>
        <w:t>F</w:t>
      </w:r>
      <w:r>
        <w:rPr>
          <w:w w:val="100"/>
          <w:sz w:val="21"/>
        </w:rPr>
        <w:t>i</w:t>
      </w:r>
      <w:r>
        <w:rPr>
          <w:spacing w:val="-3"/>
          <w:w w:val="100"/>
          <w:sz w:val="21"/>
        </w:rPr>
        <w:t>n</w:t>
      </w:r>
      <w:r>
        <w:rPr>
          <w:spacing w:val="-1"/>
          <w:w w:val="100"/>
          <w:sz w:val="21"/>
        </w:rPr>
        <w:t>a</w:t>
      </w:r>
      <w:r>
        <w:rPr>
          <w:w w:val="100"/>
          <w:sz w:val="21"/>
        </w:rPr>
        <w:t>l</w:t>
      </w:r>
      <w:r>
        <w:rPr>
          <w:spacing w:val="7"/>
          <w:sz w:val="21"/>
        </w:rPr>
        <w:t> </w:t>
      </w:r>
      <w:r>
        <w:rPr>
          <w:spacing w:val="-1"/>
          <w:w w:val="100"/>
          <w:sz w:val="21"/>
        </w:rPr>
        <w:t>orde</w:t>
      </w:r>
      <w:r>
        <w:rPr>
          <w:w w:val="100"/>
          <w:sz w:val="21"/>
        </w:rPr>
        <w:t>r</w:t>
      </w:r>
      <w:r>
        <w:rPr>
          <w:spacing w:val="5"/>
          <w:sz w:val="21"/>
        </w:rPr>
        <w:t> </w:t>
      </w:r>
      <w:r>
        <w:rPr>
          <w:spacing w:val="-3"/>
          <w:w w:val="100"/>
          <w:sz w:val="21"/>
        </w:rPr>
        <w:t>o</w:t>
      </w:r>
      <w:r>
        <w:rPr>
          <w:w w:val="100"/>
          <w:sz w:val="21"/>
        </w:rPr>
        <w:t>f</w:t>
      </w:r>
      <w:r>
        <w:rPr>
          <w:spacing w:val="9"/>
          <w:sz w:val="21"/>
        </w:rPr>
        <w:t> </w:t>
      </w:r>
      <w:r>
        <w:rPr>
          <w:spacing w:val="-2"/>
          <w:w w:val="100"/>
          <w:sz w:val="21"/>
        </w:rPr>
        <w:t>G</w:t>
      </w:r>
      <w:r>
        <w:rPr>
          <w:spacing w:val="-3"/>
          <w:w w:val="100"/>
          <w:sz w:val="21"/>
        </w:rPr>
        <w:t>ov</w:t>
      </w:r>
      <w:r>
        <w:rPr>
          <w:spacing w:val="-1"/>
          <w:w w:val="100"/>
          <w:sz w:val="21"/>
        </w:rPr>
        <w:t>ern</w:t>
      </w:r>
      <w:r>
        <w:rPr>
          <w:spacing w:val="1"/>
          <w:w w:val="100"/>
          <w:sz w:val="21"/>
        </w:rPr>
        <w:t>m</w:t>
      </w:r>
      <w:r>
        <w:rPr>
          <w:spacing w:val="-3"/>
          <w:w w:val="100"/>
          <w:sz w:val="21"/>
        </w:rPr>
        <w:t>e</w:t>
      </w:r>
      <w:r>
        <w:rPr>
          <w:spacing w:val="-1"/>
          <w:w w:val="100"/>
          <w:sz w:val="21"/>
        </w:rPr>
        <w:t>nt</w:t>
      </w:r>
      <w:r>
        <w:rPr>
          <w:w w:val="100"/>
          <w:sz w:val="21"/>
        </w:rPr>
        <w:t>‘</w:t>
      </w:r>
      <w:r>
        <w:rPr>
          <w:spacing w:val="7"/>
          <w:sz w:val="21"/>
        </w:rPr>
        <w:t> </w:t>
      </w:r>
      <w:r>
        <w:rPr>
          <w:w w:val="100"/>
          <w:sz w:val="21"/>
        </w:rPr>
        <w:t>it </w:t>
      </w:r>
      <w:r>
        <w:rPr>
          <w:w w:val="100"/>
          <w:sz w:val="21"/>
        </w:rPr>
        <w:t>has</w:t>
      </w:r>
      <w:r>
        <w:rPr>
          <w:spacing w:val="16"/>
          <w:sz w:val="21"/>
        </w:rPr>
        <w:t> </w:t>
      </w:r>
      <w:r>
        <w:rPr>
          <w:w w:val="100"/>
          <w:sz w:val="21"/>
        </w:rPr>
        <w:t>b</w:t>
      </w:r>
      <w:r>
        <w:rPr>
          <w:spacing w:val="-3"/>
          <w:w w:val="100"/>
          <w:sz w:val="21"/>
        </w:rPr>
        <w:t>e</w:t>
      </w:r>
      <w:r>
        <w:rPr>
          <w:w w:val="100"/>
          <w:sz w:val="21"/>
        </w:rPr>
        <w:t>en</w:t>
      </w:r>
      <w:r>
        <w:rPr>
          <w:spacing w:val="13"/>
          <w:sz w:val="21"/>
        </w:rPr>
        <w:t> </w:t>
      </w:r>
      <w:r>
        <w:rPr>
          <w:spacing w:val="1"/>
          <w:w w:val="100"/>
          <w:sz w:val="21"/>
        </w:rPr>
        <w:t>m</w:t>
      </w:r>
      <w:r>
        <w:rPr>
          <w:spacing w:val="-3"/>
          <w:w w:val="100"/>
          <w:sz w:val="21"/>
        </w:rPr>
        <w:t>e</w:t>
      </w:r>
      <w:r>
        <w:rPr>
          <w:w w:val="100"/>
          <w:sz w:val="21"/>
        </w:rPr>
        <w:t>n</w:t>
      </w:r>
      <w:r>
        <w:rPr>
          <w:spacing w:val="-1"/>
          <w:w w:val="100"/>
          <w:sz w:val="21"/>
        </w:rPr>
        <w:t>t</w:t>
      </w:r>
      <w:r>
        <w:rPr>
          <w:w w:val="100"/>
          <w:sz w:val="21"/>
        </w:rPr>
        <w:t>i</w:t>
      </w:r>
      <w:r>
        <w:rPr>
          <w:spacing w:val="-3"/>
          <w:w w:val="100"/>
          <w:sz w:val="21"/>
        </w:rPr>
        <w:t>o</w:t>
      </w:r>
      <w:r>
        <w:rPr>
          <w:w w:val="100"/>
          <w:sz w:val="21"/>
        </w:rPr>
        <w:t>ned</w:t>
      </w:r>
      <w:r>
        <w:rPr>
          <w:spacing w:val="16"/>
          <w:sz w:val="21"/>
        </w:rPr>
        <w:t> </w:t>
      </w:r>
      <w:r>
        <w:rPr>
          <w:spacing w:val="-2"/>
          <w:w w:val="100"/>
          <w:sz w:val="21"/>
        </w:rPr>
        <w:t>t</w:t>
      </w:r>
      <w:r>
        <w:rPr>
          <w:w w:val="100"/>
          <w:sz w:val="21"/>
        </w:rPr>
        <w:t>hat-</w:t>
      </w:r>
      <w:r>
        <w:rPr>
          <w:spacing w:val="12"/>
          <w:sz w:val="21"/>
        </w:rPr>
        <w:t> </w:t>
      </w:r>
      <w:r>
        <w:rPr>
          <w:spacing w:val="-1"/>
          <w:w w:val="33"/>
          <w:sz w:val="21"/>
        </w:rPr>
        <w:t>―</w:t>
      </w:r>
      <w:r>
        <w:rPr>
          <w:w w:val="100"/>
          <w:sz w:val="21"/>
        </w:rPr>
        <w:t>R</w:t>
      </w:r>
      <w:r>
        <w:rPr>
          <w:spacing w:val="-1"/>
          <w:w w:val="100"/>
          <w:sz w:val="21"/>
        </w:rPr>
        <w:t>e</w:t>
      </w:r>
      <w:r>
        <w:rPr>
          <w:spacing w:val="-2"/>
          <w:w w:val="100"/>
          <w:sz w:val="21"/>
        </w:rPr>
        <w:t>l</w:t>
      </w:r>
      <w:r>
        <w:rPr>
          <w:spacing w:val="-1"/>
          <w:w w:val="100"/>
          <w:sz w:val="21"/>
        </w:rPr>
        <w:t>ea</w:t>
      </w:r>
      <w:r>
        <w:rPr>
          <w:spacing w:val="-3"/>
          <w:w w:val="100"/>
          <w:sz w:val="21"/>
        </w:rPr>
        <w:t>s</w:t>
      </w:r>
      <w:r>
        <w:rPr>
          <w:spacing w:val="-1"/>
          <w:w w:val="100"/>
          <w:sz w:val="21"/>
        </w:rPr>
        <w:t>e</w:t>
      </w:r>
      <w:r>
        <w:rPr>
          <w:w w:val="100"/>
          <w:sz w:val="21"/>
        </w:rPr>
        <w:t>d</w:t>
      </w:r>
      <w:r>
        <w:rPr>
          <w:spacing w:val="16"/>
          <w:sz w:val="21"/>
        </w:rPr>
        <w:t> </w:t>
      </w:r>
      <w:r>
        <w:rPr>
          <w:w w:val="100"/>
          <w:sz w:val="21"/>
        </w:rPr>
        <w:t>so</w:t>
      </w:r>
      <w:r>
        <w:rPr>
          <w:spacing w:val="13"/>
          <w:sz w:val="21"/>
        </w:rPr>
        <w:t> </w:t>
      </w:r>
      <w:r>
        <w:rPr>
          <w:w w:val="100"/>
          <w:sz w:val="21"/>
        </w:rPr>
        <w:t>l</w:t>
      </w:r>
      <w:r>
        <w:rPr>
          <w:spacing w:val="-1"/>
          <w:w w:val="100"/>
          <w:sz w:val="21"/>
        </w:rPr>
        <w:t>o</w:t>
      </w:r>
      <w:r>
        <w:rPr>
          <w:spacing w:val="-3"/>
          <w:w w:val="100"/>
          <w:sz w:val="21"/>
        </w:rPr>
        <w:t>n</w:t>
      </w:r>
      <w:r>
        <w:rPr>
          <w:w w:val="100"/>
          <w:sz w:val="21"/>
        </w:rPr>
        <w:t>g</w:t>
      </w:r>
      <w:r>
        <w:rPr>
          <w:spacing w:val="15"/>
          <w:sz w:val="21"/>
        </w:rPr>
        <w:t> </w:t>
      </w:r>
      <w:r>
        <w:rPr>
          <w:spacing w:val="-1"/>
          <w:w w:val="100"/>
          <w:sz w:val="21"/>
        </w:rPr>
        <w:t>a</w:t>
      </w:r>
      <w:r>
        <w:rPr>
          <w:w w:val="100"/>
          <w:sz w:val="21"/>
        </w:rPr>
        <w:t>s</w:t>
      </w:r>
      <w:r>
        <w:rPr>
          <w:spacing w:val="15"/>
          <w:sz w:val="21"/>
        </w:rPr>
        <w:t> </w:t>
      </w:r>
      <w:r>
        <w:rPr>
          <w:spacing w:val="-2"/>
          <w:w w:val="100"/>
          <w:sz w:val="21"/>
        </w:rPr>
        <w:t>t</w:t>
      </w:r>
      <w:r>
        <w:rPr>
          <w:spacing w:val="-3"/>
          <w:w w:val="100"/>
          <w:sz w:val="21"/>
        </w:rPr>
        <w:t>h</w:t>
      </w:r>
      <w:r>
        <w:rPr>
          <w:w w:val="100"/>
          <w:sz w:val="21"/>
        </w:rPr>
        <w:t>e</w:t>
      </w:r>
      <w:r>
        <w:rPr>
          <w:spacing w:val="15"/>
          <w:sz w:val="21"/>
        </w:rPr>
        <w:t> </w:t>
      </w:r>
      <w:r>
        <w:rPr>
          <w:spacing w:val="-1"/>
          <w:w w:val="100"/>
          <w:sz w:val="21"/>
        </w:rPr>
        <w:t>objec</w:t>
      </w:r>
      <w:r>
        <w:rPr>
          <w:w w:val="100"/>
          <w:sz w:val="21"/>
        </w:rPr>
        <w:t>t</w:t>
      </w:r>
      <w:r>
        <w:rPr>
          <w:spacing w:val="14"/>
          <w:sz w:val="21"/>
        </w:rPr>
        <w:t> </w:t>
      </w:r>
      <w:r>
        <w:rPr>
          <w:spacing w:val="1"/>
          <w:w w:val="100"/>
          <w:sz w:val="21"/>
        </w:rPr>
        <w:t>f</w:t>
      </w:r>
      <w:r>
        <w:rPr>
          <w:spacing w:val="-1"/>
          <w:w w:val="100"/>
          <w:sz w:val="21"/>
        </w:rPr>
        <w:t>or </w:t>
      </w:r>
      <w:r>
        <w:rPr>
          <w:sz w:val="21"/>
        </w:rPr>
        <w:t>which the grant has been made is kept up vide Government Order No.2321 dated January 29,</w:t>
      </w:r>
      <w:r>
        <w:rPr>
          <w:spacing w:val="-14"/>
          <w:sz w:val="21"/>
        </w:rPr>
        <w:t> </w:t>
      </w:r>
      <w:r>
        <w:rPr>
          <w:sz w:val="21"/>
        </w:rPr>
        <w:t>1860.‖</w:t>
      </w:r>
    </w:p>
    <w:p>
      <w:pPr>
        <w:pStyle w:val="BodyText"/>
        <w:rPr>
          <w:sz w:val="24"/>
        </w:rPr>
      </w:pPr>
    </w:p>
    <w:p>
      <w:pPr>
        <w:pStyle w:val="BodyText"/>
        <w:spacing w:before="10"/>
        <w:rPr>
          <w:sz w:val="21"/>
        </w:rPr>
      </w:pPr>
    </w:p>
    <w:p>
      <w:pPr>
        <w:spacing w:line="480" w:lineRule="auto" w:before="1"/>
        <w:ind w:left="500" w:right="833" w:firstLine="0"/>
        <w:jc w:val="left"/>
        <w:rPr>
          <w:sz w:val="25"/>
        </w:rPr>
      </w:pPr>
      <w:r>
        <w:rPr>
          <w:sz w:val="25"/>
        </w:rPr>
        <w:t>Justice Sudhir Agarwal noted in his judgment that this appears to be a copy of </w:t>
      </w:r>
      <w:r>
        <w:rPr>
          <w:w w:val="99"/>
          <w:sz w:val="25"/>
        </w:rPr>
        <w:t>some</w:t>
      </w:r>
      <w:r>
        <w:rPr>
          <w:sz w:val="25"/>
        </w:rPr>
        <w:t> </w:t>
      </w:r>
      <w:r>
        <w:rPr>
          <w:w w:val="99"/>
          <w:sz w:val="25"/>
        </w:rPr>
        <w:t>register</w:t>
      </w:r>
      <w:r>
        <w:rPr>
          <w:sz w:val="25"/>
        </w:rPr>
        <w:t> </w:t>
      </w:r>
      <w:r>
        <w:rPr>
          <w:w w:val="33"/>
          <w:sz w:val="25"/>
        </w:rPr>
        <w:t>―</w:t>
      </w:r>
      <w:r>
        <w:rPr>
          <w:b/>
          <w:w w:val="99"/>
          <w:sz w:val="25"/>
        </w:rPr>
        <w:t>but</w:t>
      </w:r>
      <w:r>
        <w:rPr>
          <w:b/>
          <w:sz w:val="25"/>
        </w:rPr>
        <w:t> </w:t>
      </w:r>
      <w:r>
        <w:rPr>
          <w:b/>
          <w:w w:val="99"/>
          <w:sz w:val="25"/>
        </w:rPr>
        <w:t>it</w:t>
      </w:r>
      <w:r>
        <w:rPr>
          <w:b/>
          <w:sz w:val="25"/>
        </w:rPr>
        <w:t> </w:t>
      </w:r>
      <w:r>
        <w:rPr>
          <w:b/>
          <w:w w:val="99"/>
          <w:sz w:val="25"/>
        </w:rPr>
        <w:t>i</w:t>
      </w:r>
      <w:r>
        <w:rPr>
          <w:b/>
          <w:w w:val="99"/>
          <w:sz w:val="25"/>
        </w:rPr>
        <w:t>s</w:t>
      </w:r>
      <w:r>
        <w:rPr>
          <w:b/>
          <w:sz w:val="25"/>
        </w:rPr>
        <w:t> </w:t>
      </w:r>
      <w:r>
        <w:rPr>
          <w:b/>
          <w:w w:val="99"/>
          <w:sz w:val="25"/>
        </w:rPr>
        <w:t>a</w:t>
      </w:r>
      <w:r>
        <w:rPr>
          <w:b/>
          <w:w w:val="99"/>
          <w:sz w:val="25"/>
        </w:rPr>
        <w:t>n</w:t>
      </w:r>
      <w:r>
        <w:rPr>
          <w:b/>
          <w:sz w:val="25"/>
        </w:rPr>
        <w:t> </w:t>
      </w:r>
      <w:r>
        <w:rPr>
          <w:b/>
          <w:w w:val="99"/>
          <w:sz w:val="25"/>
        </w:rPr>
        <w:t>ex</w:t>
      </w:r>
      <w:r>
        <w:rPr>
          <w:b/>
          <w:w w:val="99"/>
          <w:sz w:val="25"/>
        </w:rPr>
        <w:t>t</w:t>
      </w:r>
      <w:r>
        <w:rPr>
          <w:b/>
          <w:w w:val="99"/>
          <w:sz w:val="25"/>
        </w:rPr>
        <w:t>r</w:t>
      </w:r>
      <w:r>
        <w:rPr>
          <w:b/>
          <w:w w:val="99"/>
          <w:sz w:val="25"/>
        </w:rPr>
        <w:t>emely</w:t>
      </w:r>
      <w:r>
        <w:rPr>
          <w:b/>
          <w:sz w:val="25"/>
        </w:rPr>
        <w:t> </w:t>
      </w:r>
      <w:r>
        <w:rPr>
          <w:b/>
          <w:w w:val="99"/>
          <w:sz w:val="25"/>
        </w:rPr>
        <w:t>to</w:t>
      </w:r>
      <w:r>
        <w:rPr>
          <w:b/>
          <w:w w:val="99"/>
          <w:sz w:val="25"/>
        </w:rPr>
        <w:t>r</w:t>
      </w:r>
      <w:r>
        <w:rPr>
          <w:b/>
          <w:w w:val="99"/>
          <w:sz w:val="25"/>
        </w:rPr>
        <w:t>n</w:t>
      </w:r>
      <w:r>
        <w:rPr>
          <w:b/>
          <w:sz w:val="25"/>
        </w:rPr>
        <w:t> </w:t>
      </w:r>
      <w:r>
        <w:rPr>
          <w:b/>
          <w:w w:val="99"/>
          <w:sz w:val="25"/>
        </w:rPr>
        <w:t>do</w:t>
      </w:r>
      <w:r>
        <w:rPr>
          <w:b/>
          <w:w w:val="99"/>
          <w:sz w:val="25"/>
        </w:rPr>
        <w:t>cumen</w:t>
      </w:r>
      <w:r>
        <w:rPr>
          <w:b/>
          <w:w w:val="99"/>
          <w:sz w:val="25"/>
        </w:rPr>
        <w:t>t</w:t>
      </w:r>
      <w:r>
        <w:rPr>
          <w:b/>
          <w:sz w:val="25"/>
        </w:rPr>
        <w:t> </w:t>
      </w:r>
      <w:r>
        <w:rPr>
          <w:b/>
          <w:w w:val="99"/>
          <w:sz w:val="25"/>
        </w:rPr>
        <w:t>a</w:t>
      </w:r>
      <w:r>
        <w:rPr>
          <w:b/>
          <w:w w:val="99"/>
          <w:sz w:val="25"/>
        </w:rPr>
        <w:t>nd</w:t>
      </w:r>
      <w:r>
        <w:rPr>
          <w:b/>
          <w:sz w:val="25"/>
        </w:rPr>
        <w:t> </w:t>
      </w:r>
      <w:r>
        <w:rPr>
          <w:b/>
          <w:w w:val="99"/>
          <w:sz w:val="25"/>
        </w:rPr>
        <w:t>th</w:t>
      </w:r>
      <w:r>
        <w:rPr>
          <w:b/>
          <w:w w:val="99"/>
          <w:sz w:val="25"/>
        </w:rPr>
        <w:t>e</w:t>
      </w:r>
      <w:r>
        <w:rPr>
          <w:b/>
          <w:sz w:val="25"/>
        </w:rPr>
        <w:t> </w:t>
      </w:r>
      <w:r>
        <w:rPr>
          <w:b/>
          <w:w w:val="99"/>
          <w:sz w:val="25"/>
        </w:rPr>
        <w:t>c</w:t>
      </w:r>
      <w:r>
        <w:rPr>
          <w:b/>
          <w:w w:val="99"/>
          <w:sz w:val="25"/>
        </w:rPr>
        <w:t>ont</w:t>
      </w:r>
      <w:r>
        <w:rPr>
          <w:b/>
          <w:w w:val="99"/>
          <w:sz w:val="25"/>
        </w:rPr>
        <w:t>en</w:t>
      </w:r>
      <w:r>
        <w:rPr>
          <w:b/>
          <w:w w:val="99"/>
          <w:sz w:val="25"/>
        </w:rPr>
        <w:t>t</w:t>
      </w:r>
      <w:r>
        <w:rPr>
          <w:b/>
          <w:w w:val="99"/>
          <w:sz w:val="25"/>
        </w:rPr>
        <w:t>s</w:t>
      </w:r>
      <w:r>
        <w:rPr>
          <w:b/>
          <w:sz w:val="25"/>
        </w:rPr>
        <w:t> </w:t>
      </w:r>
      <w:r>
        <w:rPr>
          <w:b/>
          <w:w w:val="99"/>
          <w:sz w:val="25"/>
        </w:rPr>
        <w:t>on </w:t>
      </w:r>
      <w:r>
        <w:rPr>
          <w:b/>
          <w:sz w:val="25"/>
        </w:rPr>
        <w:t>page 163 are almost illegible</w:t>
      </w:r>
      <w:r>
        <w:rPr>
          <w:sz w:val="25"/>
        </w:rPr>
        <w:t>‖. He observed the following:</w:t>
      </w:r>
    </w:p>
    <w:p>
      <w:pPr>
        <w:pStyle w:val="BodyText"/>
        <w:rPr>
          <w:sz w:val="28"/>
        </w:rPr>
      </w:pPr>
    </w:p>
    <w:p>
      <w:pPr>
        <w:pStyle w:val="BodyText"/>
        <w:spacing w:before="4"/>
        <w:rPr>
          <w:sz w:val="29"/>
        </w:rPr>
      </w:pPr>
    </w:p>
    <w:p>
      <w:pPr>
        <w:spacing w:line="276" w:lineRule="auto" w:before="1"/>
        <w:ind w:left="1940" w:right="2264" w:hanging="360"/>
        <w:jc w:val="both"/>
        <w:rPr>
          <w:sz w:val="21"/>
        </w:rPr>
      </w:pPr>
      <w:r>
        <w:rPr>
          <w:w w:val="33"/>
          <w:sz w:val="21"/>
        </w:rPr>
        <w:t>―</w:t>
      </w:r>
      <w:r>
        <w:rPr>
          <w:w w:val="100"/>
          <w:sz w:val="21"/>
        </w:rPr>
        <w:t>(b)</w:t>
      </w:r>
      <w:r>
        <w:rPr>
          <w:sz w:val="21"/>
        </w:rPr>
        <w:t> </w:t>
      </w:r>
      <w:r>
        <w:rPr>
          <w:w w:val="100"/>
          <w:sz w:val="21"/>
        </w:rPr>
        <w:t>The</w:t>
      </w:r>
      <w:r>
        <w:rPr>
          <w:sz w:val="21"/>
        </w:rPr>
        <w:t> </w:t>
      </w:r>
      <w:r>
        <w:rPr>
          <w:w w:val="100"/>
          <w:sz w:val="21"/>
        </w:rPr>
        <w:t>Register</w:t>
      </w:r>
      <w:r>
        <w:rPr>
          <w:sz w:val="21"/>
        </w:rPr>
        <w:t> </w:t>
      </w:r>
      <w:r>
        <w:rPr>
          <w:w w:val="100"/>
          <w:sz w:val="21"/>
        </w:rPr>
        <w:t>of</w:t>
      </w:r>
      <w:r>
        <w:rPr>
          <w:sz w:val="21"/>
        </w:rPr>
        <w:t> </w:t>
      </w:r>
      <w:r>
        <w:rPr>
          <w:w w:val="100"/>
          <w:sz w:val="21"/>
        </w:rPr>
        <w:t>Inquiry</w:t>
      </w:r>
      <w:r>
        <w:rPr>
          <w:sz w:val="21"/>
        </w:rPr>
        <w:t> </w:t>
      </w:r>
      <w:r>
        <w:rPr>
          <w:w w:val="100"/>
          <w:sz w:val="21"/>
        </w:rPr>
        <w:t>(14.3.1860)</w:t>
      </w:r>
      <w:r>
        <w:rPr>
          <w:sz w:val="21"/>
        </w:rPr>
        <w:t> </w:t>
      </w:r>
      <w:r>
        <w:rPr>
          <w:w w:val="100"/>
          <w:sz w:val="21"/>
        </w:rPr>
        <w:t>of</w:t>
      </w:r>
      <w:r>
        <w:rPr>
          <w:sz w:val="21"/>
        </w:rPr>
        <w:t> </w:t>
      </w:r>
      <w:r>
        <w:rPr>
          <w:w w:val="100"/>
          <w:sz w:val="21"/>
        </w:rPr>
        <w:t>rent</w:t>
      </w:r>
      <w:r>
        <w:rPr>
          <w:sz w:val="21"/>
        </w:rPr>
        <w:t> </w:t>
      </w:r>
      <w:r>
        <w:rPr>
          <w:w w:val="100"/>
          <w:sz w:val="21"/>
        </w:rPr>
        <w:t>free</w:t>
      </w:r>
      <w:r>
        <w:rPr>
          <w:sz w:val="21"/>
        </w:rPr>
        <w:t> </w:t>
      </w:r>
      <w:r>
        <w:rPr>
          <w:w w:val="100"/>
          <w:sz w:val="21"/>
        </w:rPr>
        <w:t>land</w:t>
      </w:r>
      <w:r>
        <w:rPr>
          <w:sz w:val="21"/>
        </w:rPr>
        <w:t> </w:t>
      </w:r>
      <w:r>
        <w:rPr>
          <w:w w:val="100"/>
          <w:sz w:val="21"/>
        </w:rPr>
        <w:t>records </w:t>
      </w:r>
      <w:r>
        <w:rPr>
          <w:sz w:val="21"/>
        </w:rPr>
        <w:t>that Emperor granted revenue grant of Rs.302/3/6 to Mir Baqi for the purposes of construction and maintenance of Mosque namely Babri Mosque at village Shahnawa. The following points were recorded in the register:</w:t>
      </w:r>
    </w:p>
    <w:p>
      <w:pPr>
        <w:pStyle w:val="ListParagraph"/>
        <w:numPr>
          <w:ilvl w:val="1"/>
          <w:numId w:val="217"/>
        </w:numPr>
        <w:tabs>
          <w:tab w:pos="1941" w:val="left" w:leader="none"/>
        </w:tabs>
        <w:spacing w:line="240" w:lineRule="auto" w:before="1" w:after="0"/>
        <w:ind w:left="1940" w:right="0" w:hanging="361"/>
        <w:jc w:val="both"/>
        <w:rPr>
          <w:sz w:val="21"/>
        </w:rPr>
      </w:pPr>
      <w:r>
        <w:rPr>
          <w:w w:val="100"/>
          <w:sz w:val="21"/>
        </w:rPr>
        <w:t>The</w:t>
      </w:r>
      <w:r>
        <w:rPr>
          <w:spacing w:val="-1"/>
          <w:sz w:val="21"/>
        </w:rPr>
        <w:t> </w:t>
      </w:r>
      <w:r>
        <w:rPr>
          <w:spacing w:val="-3"/>
          <w:w w:val="100"/>
          <w:sz w:val="21"/>
        </w:rPr>
        <w:t>na</w:t>
      </w:r>
      <w:r>
        <w:rPr>
          <w:spacing w:val="1"/>
          <w:w w:val="100"/>
          <w:sz w:val="21"/>
        </w:rPr>
        <w:t>m</w:t>
      </w:r>
      <w:r>
        <w:rPr>
          <w:w w:val="100"/>
          <w:sz w:val="21"/>
        </w:rPr>
        <w:t>e</w:t>
      </w:r>
      <w:r>
        <w:rPr>
          <w:spacing w:val="-1"/>
          <w:sz w:val="21"/>
        </w:rPr>
        <w:t> </w:t>
      </w:r>
      <w:r>
        <w:rPr>
          <w:spacing w:val="-3"/>
          <w:w w:val="100"/>
          <w:sz w:val="21"/>
        </w:rPr>
        <w:t>o</w:t>
      </w:r>
      <w:r>
        <w:rPr>
          <w:w w:val="100"/>
          <w:sz w:val="21"/>
        </w:rPr>
        <w:t>f</w:t>
      </w:r>
      <w:r>
        <w:rPr>
          <w:sz w:val="21"/>
        </w:rPr>
        <w:t> </w:t>
      </w:r>
      <w:r>
        <w:rPr>
          <w:spacing w:val="-2"/>
          <w:w w:val="100"/>
          <w:sz w:val="21"/>
        </w:rPr>
        <w:t>E</w:t>
      </w:r>
      <w:r>
        <w:rPr>
          <w:spacing w:val="1"/>
          <w:w w:val="100"/>
          <w:sz w:val="21"/>
        </w:rPr>
        <w:t>m</w:t>
      </w:r>
      <w:r>
        <w:rPr>
          <w:spacing w:val="-3"/>
          <w:w w:val="100"/>
          <w:sz w:val="21"/>
        </w:rPr>
        <w:t>p</w:t>
      </w:r>
      <w:r>
        <w:rPr>
          <w:spacing w:val="-1"/>
          <w:w w:val="100"/>
          <w:sz w:val="21"/>
        </w:rPr>
        <w:t>ero</w:t>
      </w:r>
      <w:r>
        <w:rPr>
          <w:w w:val="100"/>
          <w:sz w:val="21"/>
        </w:rPr>
        <w:t>r</w:t>
      </w:r>
      <w:r>
        <w:rPr>
          <w:spacing w:val="-2"/>
          <w:sz w:val="21"/>
        </w:rPr>
        <w:t> </w:t>
      </w:r>
      <w:r>
        <w:rPr>
          <w:spacing w:val="-2"/>
          <w:w w:val="100"/>
          <w:sz w:val="21"/>
        </w:rPr>
        <w:t>B</w:t>
      </w:r>
      <w:r>
        <w:rPr>
          <w:spacing w:val="-3"/>
          <w:w w:val="100"/>
          <w:sz w:val="21"/>
        </w:rPr>
        <w:t>a</w:t>
      </w:r>
      <w:r>
        <w:rPr>
          <w:spacing w:val="-1"/>
          <w:w w:val="100"/>
          <w:sz w:val="21"/>
        </w:rPr>
        <w:t>bu</w:t>
      </w:r>
      <w:r>
        <w:rPr>
          <w:w w:val="100"/>
          <w:sz w:val="21"/>
        </w:rPr>
        <w:t>r</w:t>
      </w:r>
      <w:r>
        <w:rPr>
          <w:spacing w:val="-2"/>
          <w:sz w:val="21"/>
        </w:rPr>
        <w:t> </w:t>
      </w:r>
      <w:r>
        <w:rPr>
          <w:spacing w:val="-2"/>
          <w:w w:val="100"/>
          <w:sz w:val="21"/>
        </w:rPr>
        <w:t>w</w:t>
      </w:r>
      <w:r>
        <w:rPr>
          <w:spacing w:val="-1"/>
          <w:w w:val="100"/>
          <w:sz w:val="21"/>
        </w:rPr>
        <w:t>a</w:t>
      </w:r>
      <w:r>
        <w:rPr>
          <w:w w:val="100"/>
          <w:sz w:val="21"/>
        </w:rPr>
        <w:t>s</w:t>
      </w:r>
      <w:r>
        <w:rPr>
          <w:spacing w:val="-1"/>
          <w:sz w:val="21"/>
        </w:rPr>
        <w:t> </w:t>
      </w:r>
      <w:r>
        <w:rPr>
          <w:spacing w:val="-1"/>
          <w:w w:val="100"/>
          <w:sz w:val="21"/>
        </w:rPr>
        <w:t>note</w:t>
      </w:r>
      <w:r>
        <w:rPr>
          <w:w w:val="100"/>
          <w:sz w:val="21"/>
        </w:rPr>
        <w:t>d</w:t>
      </w:r>
      <w:r>
        <w:rPr>
          <w:spacing w:val="-1"/>
          <w:sz w:val="21"/>
        </w:rPr>
        <w:t> </w:t>
      </w:r>
      <w:r>
        <w:rPr>
          <w:spacing w:val="-3"/>
          <w:w w:val="100"/>
          <w:sz w:val="21"/>
        </w:rPr>
        <w:t>a</w:t>
      </w:r>
      <w:r>
        <w:rPr>
          <w:w w:val="100"/>
          <w:sz w:val="21"/>
        </w:rPr>
        <w:t>s</w:t>
      </w:r>
      <w:r>
        <w:rPr>
          <w:spacing w:val="-1"/>
          <w:sz w:val="21"/>
        </w:rPr>
        <w:t> </w:t>
      </w:r>
      <w:r>
        <w:rPr>
          <w:spacing w:val="-2"/>
          <w:w w:val="100"/>
          <w:sz w:val="21"/>
        </w:rPr>
        <w:t>t</w:t>
      </w:r>
      <w:r>
        <w:rPr>
          <w:spacing w:val="-1"/>
          <w:w w:val="100"/>
          <w:sz w:val="21"/>
        </w:rPr>
        <w:t>h</w:t>
      </w:r>
      <w:r>
        <w:rPr>
          <w:w w:val="100"/>
          <w:sz w:val="21"/>
        </w:rPr>
        <w:t>e</w:t>
      </w:r>
      <w:r>
        <w:rPr>
          <w:spacing w:val="-1"/>
          <w:sz w:val="21"/>
        </w:rPr>
        <w:t> </w:t>
      </w:r>
      <w:r>
        <w:rPr>
          <w:w w:val="40"/>
          <w:sz w:val="21"/>
        </w:rPr>
        <w:t>‗</w:t>
      </w:r>
      <w:r>
        <w:rPr>
          <w:spacing w:val="-1"/>
          <w:w w:val="100"/>
          <w:sz w:val="21"/>
        </w:rPr>
        <w:t>gr</w:t>
      </w:r>
      <w:r>
        <w:rPr>
          <w:spacing w:val="-3"/>
          <w:w w:val="100"/>
          <w:sz w:val="21"/>
        </w:rPr>
        <w:t>a</w:t>
      </w:r>
      <w:r>
        <w:rPr>
          <w:spacing w:val="-1"/>
          <w:w w:val="100"/>
          <w:sz w:val="21"/>
        </w:rPr>
        <w:t>ntee</w:t>
      </w:r>
      <w:r>
        <w:rPr>
          <w:spacing w:val="1"/>
          <w:w w:val="100"/>
          <w:sz w:val="21"/>
        </w:rPr>
        <w:t>‘</w:t>
      </w:r>
      <w:r>
        <w:rPr>
          <w:w w:val="100"/>
          <w:sz w:val="21"/>
        </w:rPr>
        <w:t>.</w:t>
      </w:r>
    </w:p>
    <w:p>
      <w:pPr>
        <w:pStyle w:val="ListParagraph"/>
        <w:numPr>
          <w:ilvl w:val="1"/>
          <w:numId w:val="217"/>
        </w:numPr>
        <w:tabs>
          <w:tab w:pos="1941" w:val="left" w:leader="none"/>
        </w:tabs>
        <w:spacing w:line="273" w:lineRule="auto" w:before="33" w:after="0"/>
        <w:ind w:left="1940" w:right="2264" w:hanging="360"/>
        <w:jc w:val="both"/>
        <w:rPr>
          <w:sz w:val="21"/>
        </w:rPr>
      </w:pPr>
      <w:r>
        <w:rPr>
          <w:sz w:val="21"/>
        </w:rPr>
        <w:t>The rent-free land is situated at village Shahnawa and that it generates an annual revenue of Rs.302, 3 ana and 6</w:t>
      </w:r>
      <w:r>
        <w:rPr>
          <w:spacing w:val="-11"/>
          <w:sz w:val="21"/>
        </w:rPr>
        <w:t> </w:t>
      </w:r>
      <w:r>
        <w:rPr>
          <w:sz w:val="21"/>
        </w:rPr>
        <w:t>pai.</w:t>
      </w:r>
    </w:p>
    <w:p>
      <w:pPr>
        <w:pStyle w:val="ListParagraph"/>
        <w:numPr>
          <w:ilvl w:val="1"/>
          <w:numId w:val="217"/>
        </w:numPr>
        <w:tabs>
          <w:tab w:pos="1941" w:val="left" w:leader="none"/>
        </w:tabs>
        <w:spacing w:line="273" w:lineRule="auto" w:before="3" w:after="0"/>
        <w:ind w:left="1940" w:right="2265" w:hanging="360"/>
        <w:jc w:val="both"/>
        <w:rPr>
          <w:sz w:val="21"/>
        </w:rPr>
      </w:pPr>
      <w:r>
        <w:rPr>
          <w:sz w:val="21"/>
        </w:rPr>
        <w:t>This rent-free land grant was given as a Waqf at the time of construction of Babri Masjid by Babar for meeting the expenses of the salary of Muezzin and</w:t>
      </w:r>
      <w:r>
        <w:rPr>
          <w:spacing w:val="-8"/>
          <w:sz w:val="21"/>
        </w:rPr>
        <w:t> </w:t>
      </w:r>
      <w:r>
        <w:rPr>
          <w:sz w:val="21"/>
        </w:rPr>
        <w:t>Khatib.</w:t>
      </w:r>
    </w:p>
    <w:p>
      <w:pPr>
        <w:pStyle w:val="ListParagraph"/>
        <w:numPr>
          <w:ilvl w:val="1"/>
          <w:numId w:val="217"/>
        </w:numPr>
        <w:tabs>
          <w:tab w:pos="1941" w:val="left" w:leader="none"/>
        </w:tabs>
        <w:spacing w:line="273" w:lineRule="auto" w:before="3" w:after="0"/>
        <w:ind w:left="1940" w:right="2264" w:hanging="360"/>
        <w:jc w:val="both"/>
        <w:rPr>
          <w:sz w:val="21"/>
        </w:rPr>
      </w:pPr>
      <w:r>
        <w:rPr>
          <w:sz w:val="21"/>
        </w:rPr>
        <w:t>This rent free grant was given to Saiyed Baqi for his lifetime and thereafter to his son for lifetime and thereafter to Saiyed Hussain</w:t>
      </w:r>
      <w:r>
        <w:rPr>
          <w:spacing w:val="-2"/>
          <w:sz w:val="21"/>
        </w:rPr>
        <w:t> </w:t>
      </w:r>
      <w:r>
        <w:rPr>
          <w:sz w:val="21"/>
        </w:rPr>
        <w:t>Ali.</w:t>
      </w:r>
    </w:p>
    <w:p>
      <w:pPr>
        <w:pStyle w:val="ListParagraph"/>
        <w:numPr>
          <w:ilvl w:val="1"/>
          <w:numId w:val="217"/>
        </w:numPr>
        <w:tabs>
          <w:tab w:pos="1941" w:val="left" w:leader="none"/>
        </w:tabs>
        <w:spacing w:line="273" w:lineRule="auto" w:before="4" w:after="0"/>
        <w:ind w:left="1940" w:right="2263" w:hanging="360"/>
        <w:jc w:val="both"/>
        <w:rPr>
          <w:sz w:val="21"/>
        </w:rPr>
      </w:pPr>
      <w:r>
        <w:rPr>
          <w:sz w:val="21"/>
        </w:rPr>
        <w:t>Decision of the Board (dated June 29, 1880) was that the grant will survive till the continuation of the purpose for which it was given exemption from land</w:t>
      </w:r>
      <w:r>
        <w:rPr>
          <w:spacing w:val="-11"/>
          <w:sz w:val="21"/>
        </w:rPr>
        <w:t> </w:t>
      </w:r>
      <w:r>
        <w:rPr>
          <w:sz w:val="21"/>
        </w:rPr>
        <w:t>revenue.‖</w:t>
      </w:r>
    </w:p>
    <w:p>
      <w:pPr>
        <w:pStyle w:val="BodyText"/>
        <w:rPr>
          <w:sz w:val="24"/>
        </w:rPr>
      </w:pPr>
    </w:p>
    <w:p>
      <w:pPr>
        <w:pStyle w:val="BodyText"/>
        <w:spacing w:before="9"/>
        <w:rPr>
          <w:sz w:val="33"/>
        </w:rPr>
      </w:pPr>
    </w:p>
    <w:p>
      <w:pPr>
        <w:pStyle w:val="BodyText"/>
        <w:ind w:left="500"/>
      </w:pPr>
      <w:r>
        <w:rPr>
          <w:w w:val="99"/>
        </w:rPr>
        <w:t>T</w:t>
      </w:r>
      <w:r>
        <w:rPr>
          <w:spacing w:val="-1"/>
          <w:w w:val="99"/>
        </w:rPr>
        <w:t>h</w:t>
      </w:r>
      <w:r>
        <w:rPr>
          <w:w w:val="99"/>
        </w:rPr>
        <w:t>e</w:t>
      </w:r>
      <w:r>
        <w:rPr>
          <w:spacing w:val="33"/>
        </w:rPr>
        <w:t> </w:t>
      </w:r>
      <w:r>
        <w:rPr>
          <w:spacing w:val="-1"/>
          <w:w w:val="99"/>
        </w:rPr>
        <w:t>d</w:t>
      </w:r>
      <w:r>
        <w:rPr>
          <w:w w:val="99"/>
        </w:rPr>
        <w:t>ocu</w:t>
      </w:r>
      <w:r>
        <w:rPr>
          <w:spacing w:val="1"/>
          <w:w w:val="99"/>
        </w:rPr>
        <w:t>m</w:t>
      </w:r>
      <w:r>
        <w:rPr>
          <w:spacing w:val="-1"/>
          <w:w w:val="99"/>
        </w:rPr>
        <w:t>e</w:t>
      </w:r>
      <w:r>
        <w:rPr>
          <w:w w:val="99"/>
        </w:rPr>
        <w:t>nt</w:t>
      </w:r>
      <w:r>
        <w:rPr>
          <w:spacing w:val="33"/>
        </w:rPr>
        <w:t> </w:t>
      </w:r>
      <w:r>
        <w:rPr>
          <w:w w:val="99"/>
        </w:rPr>
        <w:t>st</w:t>
      </w:r>
      <w:r>
        <w:rPr>
          <w:spacing w:val="-2"/>
          <w:w w:val="99"/>
        </w:rPr>
        <w:t>a</w:t>
      </w:r>
      <w:r>
        <w:rPr>
          <w:w w:val="99"/>
        </w:rPr>
        <w:t>tes</w:t>
      </w:r>
      <w:r>
        <w:rPr>
          <w:spacing w:val="34"/>
        </w:rPr>
        <w:t> </w:t>
      </w:r>
      <w:r>
        <w:rPr>
          <w:w w:val="99"/>
        </w:rPr>
        <w:t>that</w:t>
      </w:r>
      <w:r>
        <w:rPr>
          <w:spacing w:val="33"/>
        </w:rPr>
        <w:t> </w:t>
      </w:r>
      <w:r>
        <w:rPr>
          <w:w w:val="99"/>
        </w:rPr>
        <w:t>there</w:t>
      </w:r>
      <w:r>
        <w:rPr>
          <w:spacing w:val="33"/>
        </w:rPr>
        <w:t> </w:t>
      </w:r>
      <w:r>
        <w:rPr>
          <w:spacing w:val="-1"/>
          <w:w w:val="99"/>
        </w:rPr>
        <w:t>i</w:t>
      </w:r>
      <w:r>
        <w:rPr>
          <w:w w:val="99"/>
        </w:rPr>
        <w:t>s</w:t>
      </w:r>
      <w:r>
        <w:rPr>
          <w:spacing w:val="30"/>
        </w:rPr>
        <w:t> </w:t>
      </w:r>
      <w:r>
        <w:rPr>
          <w:spacing w:val="5"/>
          <w:w w:val="33"/>
        </w:rPr>
        <w:t>―</w:t>
      </w:r>
      <w:r>
        <w:rPr>
          <w:spacing w:val="-1"/>
          <w:w w:val="99"/>
          <w:u w:val="single"/>
        </w:rPr>
        <w:t>n</w:t>
      </w:r>
      <w:r>
        <w:rPr>
          <w:w w:val="99"/>
          <w:u w:val="single"/>
        </w:rPr>
        <w:t>o</w:t>
      </w:r>
      <w:r>
        <w:rPr>
          <w:spacing w:val="33"/>
          <w:u w:val="single"/>
        </w:rPr>
        <w:t> </w:t>
      </w:r>
      <w:r>
        <w:rPr>
          <w:w w:val="99"/>
          <w:u w:val="single"/>
        </w:rPr>
        <w:t>kn</w:t>
      </w:r>
      <w:r>
        <w:rPr>
          <w:spacing w:val="-2"/>
          <w:w w:val="99"/>
          <w:u w:val="single"/>
        </w:rPr>
        <w:t>o</w:t>
      </w:r>
      <w:r>
        <w:rPr>
          <w:spacing w:val="-1"/>
          <w:w w:val="99"/>
          <w:u w:val="single"/>
        </w:rPr>
        <w:t>wled</w:t>
      </w:r>
      <w:r>
        <w:rPr>
          <w:w w:val="99"/>
          <w:u w:val="single"/>
        </w:rPr>
        <w:t>ge</w:t>
      </w:r>
      <w:r>
        <w:rPr>
          <w:spacing w:val="33"/>
          <w:u w:val="single"/>
        </w:rPr>
        <w:t> </w:t>
      </w:r>
      <w:r>
        <w:rPr>
          <w:spacing w:val="-1"/>
          <w:w w:val="99"/>
          <w:u w:val="single"/>
        </w:rPr>
        <w:t>o</w:t>
      </w:r>
      <w:r>
        <w:rPr>
          <w:w w:val="99"/>
          <w:u w:val="single"/>
        </w:rPr>
        <w:t>f</w:t>
      </w:r>
      <w:r>
        <w:rPr>
          <w:spacing w:val="34"/>
          <w:u w:val="single"/>
        </w:rPr>
        <w:t> </w:t>
      </w:r>
      <w:r>
        <w:rPr>
          <w:w w:val="99"/>
          <w:u w:val="single"/>
        </w:rPr>
        <w:t>the</w:t>
      </w:r>
      <w:r>
        <w:rPr>
          <w:spacing w:val="34"/>
          <w:u w:val="single"/>
        </w:rPr>
        <w:t> </w:t>
      </w:r>
      <w:r>
        <w:rPr>
          <w:spacing w:val="-1"/>
          <w:w w:val="99"/>
          <w:u w:val="single"/>
        </w:rPr>
        <w:t>d</w:t>
      </w:r>
      <w:r>
        <w:rPr>
          <w:w w:val="99"/>
          <w:u w:val="single"/>
        </w:rPr>
        <w:t>ate</w:t>
      </w:r>
      <w:r>
        <w:rPr>
          <w:spacing w:val="34"/>
          <w:u w:val="single"/>
        </w:rPr>
        <w:t> </w:t>
      </w:r>
      <w:r>
        <w:rPr>
          <w:spacing w:val="-1"/>
          <w:w w:val="99"/>
          <w:u w:val="single"/>
        </w:rPr>
        <w:t>o</w:t>
      </w:r>
      <w:r>
        <w:rPr>
          <w:w w:val="99"/>
          <w:u w:val="single"/>
        </w:rPr>
        <w:t>f</w:t>
      </w:r>
      <w:r>
        <w:rPr>
          <w:spacing w:val="31"/>
          <w:u w:val="single"/>
        </w:rPr>
        <w:t> </w:t>
      </w:r>
      <w:r>
        <w:rPr>
          <w:spacing w:val="-1"/>
          <w:w w:val="99"/>
          <w:u w:val="single"/>
        </w:rPr>
        <w:t>g</w:t>
      </w:r>
      <w:r>
        <w:rPr>
          <w:w w:val="99"/>
          <w:u w:val="single"/>
        </w:rPr>
        <w:t>r</w:t>
      </w:r>
      <w:r>
        <w:rPr>
          <w:spacing w:val="-1"/>
          <w:w w:val="99"/>
          <w:u w:val="single"/>
        </w:rPr>
        <w:t>a</w:t>
      </w:r>
      <w:r>
        <w:rPr>
          <w:w w:val="99"/>
          <w:u w:val="single"/>
        </w:rPr>
        <w:t>n</w:t>
      </w:r>
      <w:r>
        <w:rPr>
          <w:spacing w:val="4"/>
          <w:w w:val="99"/>
          <w:u w:val="single"/>
        </w:rPr>
        <w:t>t</w:t>
      </w:r>
      <w:r>
        <w:rPr>
          <w:w w:val="80"/>
        </w:rPr>
        <w:t>‖</w:t>
      </w:r>
      <w:r>
        <w:rPr>
          <w:spacing w:val="34"/>
        </w:rPr>
        <w:t> </w:t>
      </w:r>
      <w:r>
        <w:rPr>
          <w:spacing w:val="-1"/>
          <w:w w:val="99"/>
        </w:rPr>
        <w:t>a</w:t>
      </w:r>
      <w:r>
        <w:rPr>
          <w:w w:val="99"/>
        </w:rPr>
        <w:t>nd</w:t>
      </w:r>
      <w:r>
        <w:rPr>
          <w:spacing w:val="31"/>
        </w:rPr>
        <w:t> </w:t>
      </w:r>
      <w:r>
        <w:rPr>
          <w:w w:val="99"/>
        </w:rPr>
        <w:t>t</w:t>
      </w:r>
      <w:r>
        <w:rPr>
          <w:spacing w:val="-2"/>
          <w:w w:val="99"/>
        </w:rPr>
        <w:t>h</w:t>
      </w:r>
      <w:r>
        <w:rPr>
          <w:w w:val="99"/>
        </w:rPr>
        <w:t>e</w:t>
      </w:r>
    </w:p>
    <w:p>
      <w:pPr>
        <w:pStyle w:val="BodyText"/>
        <w:spacing w:before="1"/>
        <w:rPr>
          <w:sz w:val="17"/>
        </w:rPr>
      </w:pPr>
    </w:p>
    <w:p>
      <w:pPr>
        <w:pStyle w:val="BodyText"/>
        <w:spacing w:line="480" w:lineRule="auto" w:before="92"/>
        <w:ind w:left="500" w:right="443"/>
        <w:jc w:val="both"/>
      </w:pPr>
      <w:r>
        <w:rPr>
          <w:spacing w:val="-1"/>
          <w:w w:val="99"/>
        </w:rPr>
        <w:t>n</w:t>
      </w:r>
      <w:r>
        <w:rPr>
          <w:w w:val="99"/>
        </w:rPr>
        <w:t>ame</w:t>
      </w:r>
      <w:r>
        <w:rPr/>
        <w:t> </w:t>
      </w:r>
      <w:r>
        <w:rPr>
          <w:spacing w:val="-34"/>
        </w:rPr>
        <w:t> </w:t>
      </w:r>
      <w:r>
        <w:rPr>
          <w:spacing w:val="-1"/>
          <w:w w:val="99"/>
        </w:rPr>
        <w:t>o</w:t>
      </w:r>
      <w:r>
        <w:rPr>
          <w:w w:val="99"/>
        </w:rPr>
        <w:t>f</w:t>
      </w:r>
      <w:r>
        <w:rPr/>
        <w:t> </w:t>
      </w:r>
      <w:r>
        <w:rPr>
          <w:spacing w:val="-33"/>
        </w:rPr>
        <w:t> </w:t>
      </w:r>
      <w:r>
        <w:rPr>
          <w:w w:val="99"/>
        </w:rPr>
        <w:t>t</w:t>
      </w:r>
      <w:r>
        <w:rPr>
          <w:spacing w:val="-2"/>
          <w:w w:val="99"/>
        </w:rPr>
        <w:t>h</w:t>
      </w:r>
      <w:r>
        <w:rPr>
          <w:w w:val="99"/>
        </w:rPr>
        <w:t>e</w:t>
      </w:r>
      <w:r>
        <w:rPr/>
        <w:t> </w:t>
      </w:r>
      <w:r>
        <w:rPr>
          <w:spacing w:val="-34"/>
        </w:rPr>
        <w:t> </w:t>
      </w:r>
      <w:r>
        <w:rPr>
          <w:spacing w:val="-1"/>
          <w:w w:val="99"/>
        </w:rPr>
        <w:t>d</w:t>
      </w:r>
      <w:r>
        <w:rPr>
          <w:w w:val="99"/>
        </w:rPr>
        <w:t>o</w:t>
      </w:r>
      <w:r>
        <w:rPr>
          <w:spacing w:val="-1"/>
          <w:w w:val="99"/>
        </w:rPr>
        <w:t>n</w:t>
      </w:r>
      <w:r>
        <w:rPr>
          <w:w w:val="99"/>
        </w:rPr>
        <w:t>o</w:t>
      </w:r>
      <w:r>
        <w:rPr>
          <w:spacing w:val="-2"/>
          <w:w w:val="99"/>
        </w:rPr>
        <w:t>r</w:t>
      </w:r>
      <w:r>
        <w:rPr>
          <w:w w:val="99"/>
        </w:rPr>
        <w:t>/g</w:t>
      </w:r>
      <w:r>
        <w:rPr>
          <w:spacing w:val="-1"/>
          <w:w w:val="99"/>
        </w:rPr>
        <w:t>ra</w:t>
      </w:r>
      <w:r>
        <w:rPr>
          <w:w w:val="99"/>
        </w:rPr>
        <w:t>ntor</w:t>
      </w:r>
      <w:r>
        <w:rPr/>
        <w:t> </w:t>
      </w:r>
      <w:r>
        <w:rPr>
          <w:spacing w:val="-33"/>
        </w:rPr>
        <w:t> </w:t>
      </w:r>
      <w:r>
        <w:rPr>
          <w:spacing w:val="-1"/>
          <w:w w:val="99"/>
        </w:rPr>
        <w:t>i</w:t>
      </w:r>
      <w:r>
        <w:rPr>
          <w:w w:val="99"/>
        </w:rPr>
        <w:t>s</w:t>
      </w:r>
      <w:r>
        <w:rPr/>
        <w:t> </w:t>
      </w:r>
      <w:r>
        <w:rPr>
          <w:spacing w:val="-34"/>
        </w:rPr>
        <w:t> </w:t>
      </w:r>
      <w:r>
        <w:rPr>
          <w:spacing w:val="-2"/>
          <w:w w:val="33"/>
        </w:rPr>
        <w:t>―</w:t>
      </w:r>
      <w:r>
        <w:rPr>
          <w:spacing w:val="-1"/>
          <w:w w:val="99"/>
        </w:rPr>
        <w:t>o</w:t>
      </w:r>
      <w:r>
        <w:rPr>
          <w:w w:val="99"/>
        </w:rPr>
        <w:t>n</w:t>
      </w:r>
      <w:r>
        <w:rPr/>
        <w:t> </w:t>
      </w:r>
      <w:r>
        <w:rPr>
          <w:spacing w:val="-34"/>
        </w:rPr>
        <w:t> </w:t>
      </w:r>
      <w:r>
        <w:rPr>
          <w:w w:val="99"/>
        </w:rPr>
        <w:t>the</w:t>
      </w:r>
      <w:r>
        <w:rPr>
          <w:spacing w:val="34"/>
        </w:rPr>
        <w:t> </w:t>
      </w:r>
      <w:r>
        <w:rPr>
          <w:spacing w:val="-1"/>
          <w:w w:val="99"/>
        </w:rPr>
        <w:t>b</w:t>
      </w:r>
      <w:r>
        <w:rPr>
          <w:w w:val="99"/>
        </w:rPr>
        <w:t>asis</w:t>
      </w:r>
      <w:r>
        <w:rPr/>
        <w:t> </w:t>
      </w:r>
      <w:r>
        <w:rPr>
          <w:spacing w:val="-34"/>
        </w:rPr>
        <w:t> </w:t>
      </w:r>
      <w:r>
        <w:rPr>
          <w:spacing w:val="-1"/>
          <w:w w:val="99"/>
        </w:rPr>
        <w:t>o</w:t>
      </w:r>
      <w:r>
        <w:rPr>
          <w:w w:val="99"/>
        </w:rPr>
        <w:t>f</w:t>
      </w:r>
      <w:r>
        <w:rPr/>
        <w:t> </w:t>
      </w:r>
      <w:r>
        <w:rPr>
          <w:spacing w:val="-33"/>
        </w:rPr>
        <w:t> </w:t>
      </w:r>
      <w:r>
        <w:rPr>
          <w:w w:val="99"/>
        </w:rPr>
        <w:t>test</w:t>
      </w:r>
      <w:r>
        <w:rPr>
          <w:spacing w:val="-1"/>
          <w:w w:val="99"/>
        </w:rPr>
        <w:t>im</w:t>
      </w:r>
      <w:r>
        <w:rPr>
          <w:w w:val="99"/>
        </w:rPr>
        <w:t>o</w:t>
      </w:r>
      <w:r>
        <w:rPr>
          <w:spacing w:val="-1"/>
          <w:w w:val="99"/>
        </w:rPr>
        <w:t>n</w:t>
      </w:r>
      <w:r>
        <w:rPr>
          <w:spacing w:val="-3"/>
          <w:w w:val="99"/>
        </w:rPr>
        <w:t>y</w:t>
      </w:r>
      <w:r>
        <w:rPr>
          <w:w w:val="80"/>
        </w:rPr>
        <w:t>‖</w:t>
      </w:r>
      <w:r>
        <w:rPr>
          <w:w w:val="99"/>
        </w:rPr>
        <w:t>.</w:t>
      </w:r>
      <w:r>
        <w:rPr/>
        <w:t> </w:t>
      </w:r>
      <w:r>
        <w:rPr>
          <w:spacing w:val="-34"/>
        </w:rPr>
        <w:t> </w:t>
      </w:r>
      <w:r>
        <w:rPr>
          <w:spacing w:val="-1"/>
          <w:w w:val="99"/>
        </w:rPr>
        <w:t>Simila</w:t>
      </w:r>
      <w:r>
        <w:rPr>
          <w:spacing w:val="1"/>
          <w:w w:val="99"/>
        </w:rPr>
        <w:t>r</w:t>
      </w:r>
      <w:r>
        <w:rPr>
          <w:spacing w:val="-1"/>
          <w:w w:val="99"/>
        </w:rPr>
        <w:t>l</w:t>
      </w:r>
      <w:r>
        <w:rPr>
          <w:spacing w:val="-22"/>
          <w:w w:val="99"/>
        </w:rPr>
        <w:t>y</w:t>
      </w:r>
      <w:r>
        <w:rPr>
          <w:w w:val="99"/>
        </w:rPr>
        <w:t>,</w:t>
      </w:r>
      <w:r>
        <w:rPr/>
        <w:t> </w:t>
      </w:r>
      <w:r>
        <w:rPr>
          <w:spacing w:val="-34"/>
        </w:rPr>
        <w:t> </w:t>
      </w:r>
      <w:r>
        <w:rPr>
          <w:spacing w:val="-1"/>
          <w:w w:val="99"/>
        </w:rPr>
        <w:t>i</w:t>
      </w:r>
      <w:r>
        <w:rPr>
          <w:w w:val="99"/>
        </w:rPr>
        <w:t>t</w:t>
      </w:r>
      <w:r>
        <w:rPr/>
        <w:t> </w:t>
      </w:r>
      <w:r>
        <w:rPr>
          <w:spacing w:val="-34"/>
        </w:rPr>
        <w:t> </w:t>
      </w:r>
      <w:r>
        <w:rPr>
          <w:spacing w:val="-1"/>
          <w:w w:val="99"/>
        </w:rPr>
        <w:t>h</w:t>
      </w:r>
      <w:r>
        <w:rPr>
          <w:w w:val="99"/>
        </w:rPr>
        <w:t>as</w:t>
      </w:r>
      <w:r>
        <w:rPr/>
        <w:t> </w:t>
      </w:r>
      <w:r>
        <w:rPr>
          <w:spacing w:val="-34"/>
        </w:rPr>
        <w:t> </w:t>
      </w:r>
      <w:r>
        <w:rPr>
          <w:spacing w:val="-1"/>
          <w:w w:val="99"/>
        </w:rPr>
        <w:t>b</w:t>
      </w:r>
      <w:r>
        <w:rPr>
          <w:w w:val="99"/>
        </w:rPr>
        <w:t>e</w:t>
      </w:r>
      <w:r>
        <w:rPr>
          <w:spacing w:val="-1"/>
          <w:w w:val="99"/>
        </w:rPr>
        <w:t>en </w:t>
      </w:r>
      <w:r>
        <w:rPr>
          <w:w w:val="99"/>
        </w:rPr>
        <w:t>stat</w:t>
      </w:r>
      <w:r>
        <w:rPr>
          <w:spacing w:val="-1"/>
          <w:w w:val="99"/>
        </w:rPr>
        <w:t>e</w:t>
      </w:r>
      <w:r>
        <w:rPr>
          <w:w w:val="99"/>
        </w:rPr>
        <w:t>d</w:t>
      </w:r>
      <w:r>
        <w:rPr>
          <w:spacing w:val="24"/>
        </w:rPr>
        <w:t> </w:t>
      </w:r>
      <w:r>
        <w:rPr>
          <w:w w:val="99"/>
        </w:rPr>
        <w:t>that</w:t>
      </w:r>
      <w:r>
        <w:rPr>
          <w:spacing w:val="24"/>
        </w:rPr>
        <w:t> </w:t>
      </w:r>
      <w:r>
        <w:rPr>
          <w:spacing w:val="-2"/>
          <w:w w:val="33"/>
        </w:rPr>
        <w:t>―</w:t>
      </w:r>
      <w:r>
        <w:rPr>
          <w:spacing w:val="-1"/>
          <w:w w:val="99"/>
        </w:rPr>
        <w:t>b</w:t>
      </w:r>
      <w:r>
        <w:rPr>
          <w:w w:val="99"/>
        </w:rPr>
        <w:t>ased</w:t>
      </w:r>
      <w:r>
        <w:rPr>
          <w:spacing w:val="24"/>
        </w:rPr>
        <w:t> </w:t>
      </w:r>
      <w:r>
        <w:rPr>
          <w:spacing w:val="-1"/>
          <w:w w:val="99"/>
        </w:rPr>
        <w:t>o</w:t>
      </w:r>
      <w:r>
        <w:rPr>
          <w:w w:val="99"/>
        </w:rPr>
        <w:t>n</w:t>
      </w:r>
      <w:r>
        <w:rPr>
          <w:spacing w:val="22"/>
        </w:rPr>
        <w:t> </w:t>
      </w:r>
      <w:r>
        <w:rPr>
          <w:w w:val="99"/>
        </w:rPr>
        <w:t>the</w:t>
      </w:r>
      <w:r>
        <w:rPr>
          <w:spacing w:val="24"/>
        </w:rPr>
        <w:t> </w:t>
      </w:r>
      <w:r>
        <w:rPr>
          <w:w w:val="99"/>
        </w:rPr>
        <w:t>test</w:t>
      </w:r>
      <w:r>
        <w:rPr>
          <w:spacing w:val="-1"/>
          <w:w w:val="99"/>
        </w:rPr>
        <w:t>im</w:t>
      </w:r>
      <w:r>
        <w:rPr>
          <w:w w:val="99"/>
        </w:rPr>
        <w:t>o</w:t>
      </w:r>
      <w:r>
        <w:rPr>
          <w:spacing w:val="-1"/>
          <w:w w:val="99"/>
        </w:rPr>
        <w:t>nies</w:t>
      </w:r>
      <w:r>
        <w:rPr>
          <w:w w:val="99"/>
        </w:rPr>
        <w:t>,</w:t>
      </w:r>
      <w:r>
        <w:rPr>
          <w:spacing w:val="24"/>
        </w:rPr>
        <w:t> </w:t>
      </w:r>
      <w:r>
        <w:rPr>
          <w:w w:val="99"/>
        </w:rPr>
        <w:t>this</w:t>
      </w:r>
      <w:r>
        <w:rPr>
          <w:spacing w:val="19"/>
        </w:rPr>
        <w:t> </w:t>
      </w:r>
      <w:r>
        <w:rPr>
          <w:spacing w:val="-1"/>
          <w:w w:val="99"/>
        </w:rPr>
        <w:t>lan</w:t>
      </w:r>
      <w:r>
        <w:rPr>
          <w:w w:val="99"/>
        </w:rPr>
        <w:t>d</w:t>
      </w:r>
      <w:r>
        <w:rPr>
          <w:spacing w:val="24"/>
        </w:rPr>
        <w:t> </w:t>
      </w:r>
      <w:r>
        <w:rPr>
          <w:w w:val="99"/>
        </w:rPr>
        <w:t>fr</w:t>
      </w:r>
      <w:r>
        <w:rPr>
          <w:spacing w:val="-1"/>
          <w:w w:val="99"/>
        </w:rPr>
        <w:t>e</w:t>
      </w:r>
      <w:r>
        <w:rPr>
          <w:w w:val="99"/>
        </w:rPr>
        <w:t>e</w:t>
      </w:r>
      <w:r>
        <w:rPr>
          <w:spacing w:val="24"/>
        </w:rPr>
        <w:t> </w:t>
      </w:r>
      <w:r>
        <w:rPr>
          <w:spacing w:val="-3"/>
          <w:w w:val="99"/>
        </w:rPr>
        <w:t>g</w:t>
      </w:r>
      <w:r>
        <w:rPr>
          <w:w w:val="99"/>
        </w:rPr>
        <w:t>r</w:t>
      </w:r>
      <w:r>
        <w:rPr>
          <w:spacing w:val="-1"/>
          <w:w w:val="99"/>
        </w:rPr>
        <w:t>a</w:t>
      </w:r>
      <w:r>
        <w:rPr>
          <w:w w:val="99"/>
        </w:rPr>
        <w:t>nt</w:t>
      </w:r>
      <w:r>
        <w:rPr>
          <w:spacing w:val="24"/>
        </w:rPr>
        <w:t> </w:t>
      </w:r>
      <w:r>
        <w:rPr>
          <w:spacing w:val="-1"/>
          <w:w w:val="99"/>
        </w:rPr>
        <w:t>wa</w:t>
      </w:r>
      <w:r>
        <w:rPr>
          <w:w w:val="99"/>
        </w:rPr>
        <w:t>s</w:t>
      </w:r>
      <w:r>
        <w:rPr>
          <w:spacing w:val="24"/>
        </w:rPr>
        <w:t> </w:t>
      </w:r>
      <w:r>
        <w:rPr>
          <w:spacing w:val="-3"/>
          <w:w w:val="99"/>
        </w:rPr>
        <w:t>g</w:t>
      </w:r>
      <w:r>
        <w:rPr>
          <w:spacing w:val="-1"/>
          <w:w w:val="99"/>
        </w:rPr>
        <w:t>i</w:t>
      </w:r>
      <w:r>
        <w:rPr>
          <w:spacing w:val="-3"/>
          <w:w w:val="99"/>
        </w:rPr>
        <w:t>v</w:t>
      </w:r>
      <w:r>
        <w:rPr>
          <w:spacing w:val="-1"/>
          <w:w w:val="99"/>
        </w:rPr>
        <w:t>e</w:t>
      </w:r>
      <w:r>
        <w:rPr>
          <w:w w:val="99"/>
        </w:rPr>
        <w:t>n</w:t>
      </w:r>
      <w:r>
        <w:rPr>
          <w:spacing w:val="24"/>
        </w:rPr>
        <w:t> </w:t>
      </w:r>
      <w:r>
        <w:rPr>
          <w:spacing w:val="-1"/>
          <w:w w:val="99"/>
        </w:rPr>
        <w:t>a</w:t>
      </w:r>
      <w:r>
        <w:rPr>
          <w:w w:val="99"/>
        </w:rPr>
        <w:t>s</w:t>
      </w:r>
      <w:r>
        <w:rPr>
          <w:spacing w:val="24"/>
        </w:rPr>
        <w:t> </w:t>
      </w:r>
      <w:r>
        <w:rPr>
          <w:spacing w:val="-1"/>
          <w:w w:val="99"/>
        </w:rPr>
        <w:t>waq</w:t>
      </w:r>
      <w:r>
        <w:rPr>
          <w:w w:val="99"/>
        </w:rPr>
        <w:t>f</w:t>
      </w:r>
      <w:r>
        <w:rPr>
          <w:spacing w:val="24"/>
        </w:rPr>
        <w:t> </w:t>
      </w:r>
      <w:r>
        <w:rPr>
          <w:spacing w:val="-1"/>
          <w:w w:val="99"/>
        </w:rPr>
        <w:t>at </w:t>
      </w:r>
      <w:r>
        <w:rPr/>
        <w:t>the time of the preparation for construction of Babri Masjid at Ayodhya by </w:t>
      </w:r>
      <w:r>
        <w:rPr>
          <w:spacing w:val="-1"/>
          <w:w w:val="99"/>
        </w:rPr>
        <w:t>E</w:t>
      </w:r>
      <w:r>
        <w:rPr>
          <w:w w:val="99"/>
        </w:rPr>
        <w:t>m</w:t>
      </w:r>
      <w:r>
        <w:rPr>
          <w:spacing w:val="-1"/>
          <w:w w:val="99"/>
        </w:rPr>
        <w:t>p</w:t>
      </w:r>
      <w:r>
        <w:rPr>
          <w:w w:val="99"/>
        </w:rPr>
        <w:t>er</w:t>
      </w:r>
      <w:r>
        <w:rPr>
          <w:spacing w:val="-1"/>
          <w:w w:val="99"/>
        </w:rPr>
        <w:t>o</w:t>
      </w:r>
      <w:r>
        <w:rPr>
          <w:w w:val="99"/>
        </w:rPr>
        <w:t>r</w:t>
      </w:r>
      <w:r>
        <w:rPr/>
        <w:t> </w:t>
      </w:r>
      <w:r>
        <w:rPr>
          <w:spacing w:val="20"/>
        </w:rPr>
        <w:t> </w:t>
      </w:r>
      <w:r>
        <w:rPr>
          <w:w w:val="99"/>
        </w:rPr>
        <w:t>B</w:t>
      </w:r>
      <w:r>
        <w:rPr>
          <w:spacing w:val="-1"/>
          <w:w w:val="99"/>
        </w:rPr>
        <w:t>a</w:t>
      </w:r>
      <w:r>
        <w:rPr>
          <w:w w:val="99"/>
        </w:rPr>
        <w:t>b</w:t>
      </w:r>
      <w:r>
        <w:rPr>
          <w:spacing w:val="-1"/>
          <w:w w:val="99"/>
        </w:rPr>
        <w:t>u</w:t>
      </w:r>
      <w:r>
        <w:rPr>
          <w:w w:val="99"/>
        </w:rPr>
        <w:t>r</w:t>
      </w:r>
      <w:r>
        <w:rPr/>
        <w:t> </w:t>
      </w:r>
      <w:r>
        <w:rPr>
          <w:spacing w:val="17"/>
        </w:rPr>
        <w:t> </w:t>
      </w:r>
      <w:r>
        <w:rPr>
          <w:w w:val="99"/>
        </w:rPr>
        <w:t>for</w:t>
      </w:r>
      <w:r>
        <w:rPr/>
        <w:t> </w:t>
      </w:r>
      <w:r>
        <w:rPr>
          <w:spacing w:val="18"/>
        </w:rPr>
        <w:t> </w:t>
      </w:r>
      <w:r>
        <w:rPr>
          <w:w w:val="99"/>
        </w:rPr>
        <w:t>m</w:t>
      </w:r>
      <w:r>
        <w:rPr>
          <w:spacing w:val="-1"/>
          <w:w w:val="99"/>
        </w:rPr>
        <w:t>e</w:t>
      </w:r>
      <w:r>
        <w:rPr>
          <w:w w:val="99"/>
        </w:rPr>
        <w:t>eting</w:t>
      </w:r>
      <w:r>
        <w:rPr/>
        <w:t> </w:t>
      </w:r>
      <w:r>
        <w:rPr>
          <w:spacing w:val="19"/>
        </w:rPr>
        <w:t> </w:t>
      </w:r>
      <w:r>
        <w:rPr>
          <w:w w:val="99"/>
        </w:rPr>
        <w:t>the</w:t>
      </w:r>
      <w:r>
        <w:rPr/>
        <w:t> </w:t>
      </w:r>
      <w:r>
        <w:rPr>
          <w:spacing w:val="17"/>
        </w:rPr>
        <w:t> </w:t>
      </w:r>
      <w:r>
        <w:rPr>
          <w:spacing w:val="-1"/>
          <w:w w:val="99"/>
        </w:rPr>
        <w:t>e</w:t>
      </w:r>
      <w:r>
        <w:rPr>
          <w:spacing w:val="-3"/>
          <w:w w:val="99"/>
        </w:rPr>
        <w:t>x</w:t>
      </w:r>
      <w:r>
        <w:rPr>
          <w:spacing w:val="-1"/>
          <w:w w:val="99"/>
        </w:rPr>
        <w:t>p</w:t>
      </w:r>
      <w:r>
        <w:rPr>
          <w:w w:val="99"/>
        </w:rPr>
        <w:t>e</w:t>
      </w:r>
      <w:r>
        <w:rPr>
          <w:spacing w:val="-1"/>
          <w:w w:val="99"/>
        </w:rPr>
        <w:t>ns</w:t>
      </w:r>
      <w:r>
        <w:rPr>
          <w:w w:val="99"/>
        </w:rPr>
        <w:t>es</w:t>
      </w:r>
      <w:r>
        <w:rPr/>
        <w:t> </w:t>
      </w:r>
      <w:r>
        <w:rPr>
          <w:spacing w:val="19"/>
        </w:rPr>
        <w:t> </w:t>
      </w:r>
      <w:r>
        <w:rPr>
          <w:spacing w:val="-1"/>
          <w:w w:val="99"/>
        </w:rPr>
        <w:t>a</w:t>
      </w:r>
      <w:r>
        <w:rPr>
          <w:w w:val="99"/>
        </w:rPr>
        <w:t>nd</w:t>
      </w:r>
      <w:r>
        <w:rPr/>
        <w:t> </w:t>
      </w:r>
      <w:r>
        <w:rPr>
          <w:spacing w:val="19"/>
        </w:rPr>
        <w:t> </w:t>
      </w:r>
      <w:r>
        <w:rPr>
          <w:w w:val="99"/>
        </w:rPr>
        <w:t>the</w:t>
      </w:r>
      <w:r>
        <w:rPr/>
        <w:t> </w:t>
      </w:r>
      <w:r>
        <w:rPr>
          <w:spacing w:val="18"/>
        </w:rPr>
        <w:t> </w:t>
      </w:r>
      <w:r>
        <w:rPr>
          <w:w w:val="99"/>
        </w:rPr>
        <w:t>sala</w:t>
      </w:r>
      <w:r>
        <w:rPr>
          <w:spacing w:val="1"/>
          <w:w w:val="99"/>
        </w:rPr>
        <w:t>r</w:t>
      </w:r>
      <w:r>
        <w:rPr>
          <w:w w:val="99"/>
        </w:rPr>
        <w:t>y</w:t>
      </w:r>
      <w:r>
        <w:rPr/>
        <w:t> </w:t>
      </w:r>
      <w:r>
        <w:rPr>
          <w:spacing w:val="16"/>
        </w:rPr>
        <w:t> </w:t>
      </w:r>
      <w:r>
        <w:rPr>
          <w:spacing w:val="-1"/>
          <w:w w:val="99"/>
        </w:rPr>
        <w:t>o</w:t>
      </w:r>
      <w:r>
        <w:rPr>
          <w:w w:val="99"/>
        </w:rPr>
        <w:t>f</w:t>
      </w:r>
      <w:r>
        <w:rPr/>
        <w:t> </w:t>
      </w:r>
      <w:r>
        <w:rPr>
          <w:spacing w:val="19"/>
        </w:rPr>
        <w:t> </w:t>
      </w:r>
      <w:r>
        <w:rPr>
          <w:w w:val="33"/>
        </w:rPr>
        <w:t>―</w:t>
      </w:r>
      <w:r>
        <w:rPr>
          <w:spacing w:val="-4"/>
          <w:w w:val="99"/>
        </w:rPr>
        <w:t>M</w:t>
      </w:r>
      <w:r>
        <w:rPr>
          <w:spacing w:val="-1"/>
          <w:w w:val="99"/>
        </w:rPr>
        <w:t>u</w:t>
      </w:r>
      <w:r>
        <w:rPr>
          <w:w w:val="99"/>
        </w:rPr>
        <w:t>ezzin</w:t>
      </w:r>
      <w:r>
        <w:rPr/>
        <w:t> </w:t>
      </w:r>
      <w:r>
        <w:rPr>
          <w:spacing w:val="19"/>
        </w:rPr>
        <w:t> </w:t>
      </w:r>
      <w:r>
        <w:rPr>
          <w:spacing w:val="-1"/>
          <w:w w:val="99"/>
        </w:rPr>
        <w:t>a</w:t>
      </w:r>
      <w:r>
        <w:rPr>
          <w:w w:val="99"/>
        </w:rPr>
        <w:t>nd </w:t>
      </w:r>
      <w:r>
        <w:rPr/>
        <w:t>Khateeb‖. The order and date are not</w:t>
      </w:r>
      <w:r>
        <w:rPr>
          <w:spacing w:val="-11"/>
        </w:rPr>
        <w:t> </w:t>
      </w:r>
      <w:r>
        <w:rPr/>
        <w:t>known:</w:t>
      </w:r>
    </w:p>
    <w:p>
      <w:pPr>
        <w:spacing w:after="0" w:line="480" w:lineRule="auto"/>
        <w:jc w:val="both"/>
        <w:sectPr>
          <w:pgSz w:w="11910" w:h="16840"/>
          <w:pgMar w:header="721" w:footer="1014" w:top="1300" w:bottom="1200" w:left="940" w:right="1000"/>
        </w:sectPr>
      </w:pPr>
    </w:p>
    <w:p>
      <w:pPr>
        <w:spacing w:line="276" w:lineRule="auto" w:before="122"/>
        <w:ind w:left="1940" w:right="2262" w:firstLine="0"/>
        <w:jc w:val="both"/>
        <w:rPr>
          <w:sz w:val="21"/>
        </w:rPr>
      </w:pPr>
      <w:r>
        <w:rPr>
          <w:w w:val="33"/>
          <w:sz w:val="21"/>
        </w:rPr>
        <w:t>―</w:t>
      </w:r>
      <w:r>
        <w:rPr>
          <w:w w:val="100"/>
          <w:sz w:val="21"/>
        </w:rPr>
        <w:t>(c)</w:t>
      </w:r>
      <w:r>
        <w:rPr>
          <w:sz w:val="21"/>
        </w:rPr>
        <w:t> </w:t>
      </w:r>
      <w:r>
        <w:rPr>
          <w:w w:val="100"/>
          <w:sz w:val="21"/>
        </w:rPr>
        <w:t>Copy</w:t>
      </w:r>
      <w:r>
        <w:rPr>
          <w:sz w:val="21"/>
        </w:rPr>
        <w:t> </w:t>
      </w:r>
      <w:r>
        <w:rPr>
          <w:w w:val="100"/>
          <w:sz w:val="21"/>
        </w:rPr>
        <w:t>of</w:t>
      </w:r>
      <w:r>
        <w:rPr>
          <w:sz w:val="21"/>
        </w:rPr>
        <w:t> </w:t>
      </w:r>
      <w:r>
        <w:rPr>
          <w:w w:val="100"/>
          <w:sz w:val="21"/>
        </w:rPr>
        <w:t>the</w:t>
      </w:r>
      <w:r>
        <w:rPr>
          <w:sz w:val="21"/>
        </w:rPr>
        <w:t> </w:t>
      </w:r>
      <w:r>
        <w:rPr>
          <w:w w:val="100"/>
          <w:sz w:val="21"/>
        </w:rPr>
        <w:t>excerpts</w:t>
      </w:r>
      <w:r>
        <w:rPr>
          <w:sz w:val="21"/>
        </w:rPr>
        <w:t> </w:t>
      </w:r>
      <w:r>
        <w:rPr>
          <w:w w:val="100"/>
          <w:sz w:val="21"/>
        </w:rPr>
        <w:t>of</w:t>
      </w:r>
      <w:r>
        <w:rPr>
          <w:sz w:val="21"/>
        </w:rPr>
        <w:t> </w:t>
      </w:r>
      <w:r>
        <w:rPr>
          <w:w w:val="100"/>
          <w:sz w:val="21"/>
        </w:rPr>
        <w:t>the</w:t>
      </w:r>
      <w:r>
        <w:rPr>
          <w:sz w:val="21"/>
        </w:rPr>
        <w:t> </w:t>
      </w:r>
      <w:r>
        <w:rPr>
          <w:w w:val="100"/>
          <w:sz w:val="21"/>
        </w:rPr>
        <w:t>Register</w:t>
      </w:r>
      <w:r>
        <w:rPr>
          <w:sz w:val="21"/>
        </w:rPr>
        <w:t> </w:t>
      </w:r>
      <w:r>
        <w:rPr>
          <w:w w:val="100"/>
          <w:sz w:val="21"/>
        </w:rPr>
        <w:t>No.</w:t>
      </w:r>
      <w:r>
        <w:rPr>
          <w:sz w:val="21"/>
        </w:rPr>
        <w:t> </w:t>
      </w:r>
      <w:r>
        <w:rPr>
          <w:w w:val="100"/>
          <w:sz w:val="21"/>
        </w:rPr>
        <w:t>6</w:t>
      </w:r>
      <w:r>
        <w:rPr>
          <w:sz w:val="21"/>
        </w:rPr>
        <w:t> </w:t>
      </w:r>
      <w:r>
        <w:rPr>
          <w:w w:val="100"/>
          <w:sz w:val="21"/>
        </w:rPr>
        <w:t>(e),</w:t>
      </w:r>
      <w:r>
        <w:rPr>
          <w:sz w:val="21"/>
        </w:rPr>
        <w:t> </w:t>
      </w:r>
      <w:r>
        <w:rPr>
          <w:w w:val="100"/>
          <w:sz w:val="21"/>
        </w:rPr>
        <w:t>conditional </w:t>
      </w:r>
      <w:r>
        <w:rPr>
          <w:sz w:val="21"/>
        </w:rPr>
        <w:t>land revenue exemption of Tehsil Faizabad dated 29 June </w:t>
      </w:r>
      <w:r>
        <w:rPr>
          <w:w w:val="100"/>
          <w:sz w:val="21"/>
        </w:rPr>
        <w:t>1860</w:t>
      </w:r>
      <w:r>
        <w:rPr>
          <w:w w:val="100"/>
          <w:sz w:val="21"/>
        </w:rPr>
        <w:t>.</w:t>
      </w:r>
      <w:r>
        <w:rPr>
          <w:sz w:val="21"/>
        </w:rPr>
        <w:t> </w:t>
      </w:r>
      <w:r>
        <w:rPr>
          <w:w w:val="100"/>
          <w:sz w:val="21"/>
        </w:rPr>
        <w:t>I</w:t>
      </w:r>
      <w:r>
        <w:rPr>
          <w:w w:val="100"/>
          <w:sz w:val="21"/>
        </w:rPr>
        <w:t>n</w:t>
      </w:r>
      <w:r>
        <w:rPr>
          <w:sz w:val="21"/>
        </w:rPr>
        <w:t> </w:t>
      </w:r>
      <w:r>
        <w:rPr>
          <w:w w:val="100"/>
          <w:sz w:val="21"/>
        </w:rPr>
        <w:t>t</w:t>
      </w:r>
      <w:r>
        <w:rPr>
          <w:w w:val="100"/>
          <w:sz w:val="21"/>
        </w:rPr>
        <w:t>h</w:t>
      </w:r>
      <w:r>
        <w:rPr>
          <w:w w:val="100"/>
          <w:sz w:val="21"/>
        </w:rPr>
        <w:t>i</w:t>
      </w:r>
      <w:r>
        <w:rPr>
          <w:w w:val="100"/>
          <w:sz w:val="21"/>
        </w:rPr>
        <w:t>s</w:t>
      </w:r>
      <w:r>
        <w:rPr>
          <w:sz w:val="21"/>
        </w:rPr>
        <w:t> </w:t>
      </w:r>
      <w:r>
        <w:rPr>
          <w:w w:val="100"/>
          <w:sz w:val="21"/>
        </w:rPr>
        <w:t>Re</w:t>
      </w:r>
      <w:r>
        <w:rPr>
          <w:w w:val="100"/>
          <w:sz w:val="21"/>
        </w:rPr>
        <w:t>gi</w:t>
      </w:r>
      <w:r>
        <w:rPr>
          <w:w w:val="100"/>
          <w:sz w:val="21"/>
        </w:rPr>
        <w:t>st</w:t>
      </w:r>
      <w:r>
        <w:rPr>
          <w:w w:val="100"/>
          <w:sz w:val="21"/>
        </w:rPr>
        <w:t>er,</w:t>
      </w:r>
      <w:r>
        <w:rPr>
          <w:sz w:val="21"/>
        </w:rPr>
        <w:t> </w:t>
      </w:r>
      <w:r>
        <w:rPr>
          <w:w w:val="100"/>
          <w:sz w:val="21"/>
        </w:rPr>
        <w:t>t</w:t>
      </w:r>
      <w:r>
        <w:rPr>
          <w:w w:val="100"/>
          <w:sz w:val="21"/>
        </w:rPr>
        <w:t>he</w:t>
      </w:r>
      <w:r>
        <w:rPr>
          <w:sz w:val="21"/>
        </w:rPr>
        <w:t> </w:t>
      </w:r>
      <w:r>
        <w:rPr>
          <w:w w:val="100"/>
          <w:sz w:val="21"/>
        </w:rPr>
        <w:t>na</w:t>
      </w:r>
      <w:r>
        <w:rPr>
          <w:w w:val="100"/>
          <w:sz w:val="21"/>
        </w:rPr>
        <w:t>me</w:t>
      </w:r>
      <w:r>
        <w:rPr>
          <w:sz w:val="21"/>
        </w:rPr>
        <w:t> </w:t>
      </w:r>
      <w:r>
        <w:rPr>
          <w:w w:val="100"/>
          <w:sz w:val="21"/>
        </w:rPr>
        <w:t>of</w:t>
      </w:r>
      <w:r>
        <w:rPr>
          <w:sz w:val="21"/>
        </w:rPr>
        <w:t> </w:t>
      </w:r>
      <w:r>
        <w:rPr>
          <w:w w:val="40"/>
          <w:sz w:val="21"/>
        </w:rPr>
        <w:t>‗</w:t>
      </w:r>
      <w:r>
        <w:rPr>
          <w:w w:val="100"/>
          <w:sz w:val="21"/>
        </w:rPr>
        <w:t>Mohd.</w:t>
      </w:r>
      <w:r>
        <w:rPr>
          <w:sz w:val="21"/>
        </w:rPr>
        <w:t> </w:t>
      </w:r>
      <w:r>
        <w:rPr>
          <w:w w:val="100"/>
          <w:sz w:val="21"/>
        </w:rPr>
        <w:t>Asghar</w:t>
      </w:r>
      <w:r>
        <w:rPr>
          <w:sz w:val="21"/>
        </w:rPr>
        <w:t> </w:t>
      </w:r>
      <w:r>
        <w:rPr>
          <w:w w:val="100"/>
          <w:sz w:val="21"/>
        </w:rPr>
        <w:t>and</w:t>
      </w:r>
      <w:r>
        <w:rPr>
          <w:sz w:val="21"/>
        </w:rPr>
        <w:t> </w:t>
      </w:r>
      <w:r>
        <w:rPr>
          <w:w w:val="100"/>
          <w:sz w:val="21"/>
        </w:rPr>
        <w:t>Mohd. </w:t>
      </w:r>
      <w:r>
        <w:rPr>
          <w:sz w:val="21"/>
        </w:rPr>
        <w:t>Rajjab Ali‘ is recorded as the name of the person who is holding the rent-free land (reflected in Column. 6 &amp; 7).‖</w:t>
      </w:r>
    </w:p>
    <w:p>
      <w:pPr>
        <w:pStyle w:val="BodyText"/>
        <w:rPr>
          <w:sz w:val="24"/>
        </w:rPr>
      </w:pPr>
    </w:p>
    <w:p>
      <w:pPr>
        <w:pStyle w:val="BodyText"/>
        <w:rPr>
          <w:sz w:val="24"/>
        </w:rPr>
      </w:pPr>
    </w:p>
    <w:p>
      <w:pPr>
        <w:pStyle w:val="BodyText"/>
        <w:rPr>
          <w:sz w:val="24"/>
        </w:rPr>
      </w:pPr>
    </w:p>
    <w:p>
      <w:pPr>
        <w:pStyle w:val="BodyText"/>
        <w:spacing w:before="8"/>
        <w:rPr>
          <w:sz w:val="24"/>
        </w:rPr>
      </w:pPr>
    </w:p>
    <w:p>
      <w:pPr>
        <w:pStyle w:val="ListParagraph"/>
        <w:numPr>
          <w:ilvl w:val="0"/>
          <w:numId w:val="216"/>
        </w:numPr>
        <w:tabs>
          <w:tab w:pos="1220" w:val="left" w:leader="none"/>
          <w:tab w:pos="1221" w:val="left" w:leader="none"/>
        </w:tabs>
        <w:spacing w:line="480" w:lineRule="auto" w:before="0" w:after="0"/>
        <w:ind w:left="500" w:right="438" w:firstLine="0"/>
        <w:jc w:val="left"/>
        <w:rPr>
          <w:sz w:val="25"/>
        </w:rPr>
      </w:pPr>
      <w:r>
        <w:rPr>
          <w:b/>
          <w:sz w:val="26"/>
        </w:rPr>
        <w:t>Conversion of cash nankar grant into grant of revenue free land </w:t>
      </w:r>
      <w:r>
        <w:rPr>
          <w:sz w:val="25"/>
        </w:rPr>
        <w:t>680.</w:t>
        <w:tab/>
        <w:t>In 1864, the British Government converted the cash nankar into a grant of revenue-free land situated in the Villages of Sholapur and Bahoranpur in the vicinity of Ayodhya. A certificate of grant was executed in favour of Rajjab Ali and Mohd Asghar, bearing the seal of the Chief Commissioner. It</w:t>
      </w:r>
      <w:r>
        <w:rPr>
          <w:spacing w:val="-6"/>
          <w:sz w:val="25"/>
        </w:rPr>
        <w:t> </w:t>
      </w:r>
      <w:r>
        <w:rPr>
          <w:sz w:val="25"/>
        </w:rPr>
        <w:t>reads:</w:t>
      </w:r>
    </w:p>
    <w:p>
      <w:pPr>
        <w:pStyle w:val="BodyText"/>
        <w:spacing w:before="10"/>
        <w:rPr>
          <w:sz w:val="38"/>
        </w:rPr>
      </w:pPr>
    </w:p>
    <w:p>
      <w:pPr>
        <w:spacing w:line="276" w:lineRule="auto" w:before="0"/>
        <w:ind w:left="1940" w:right="2260" w:firstLine="0"/>
        <w:jc w:val="both"/>
        <w:rPr>
          <w:sz w:val="21"/>
        </w:rPr>
      </w:pPr>
      <w:r>
        <w:rPr>
          <w:spacing w:val="-1"/>
          <w:w w:val="33"/>
          <w:sz w:val="21"/>
        </w:rPr>
        <w:t>―</w:t>
      </w:r>
      <w:r>
        <w:rPr>
          <w:spacing w:val="-2"/>
          <w:w w:val="100"/>
          <w:sz w:val="21"/>
        </w:rPr>
        <w:t>I</w:t>
      </w:r>
      <w:r>
        <w:rPr>
          <w:w w:val="100"/>
          <w:sz w:val="21"/>
        </w:rPr>
        <w:t>t</w:t>
      </w:r>
      <w:r>
        <w:rPr>
          <w:sz w:val="21"/>
        </w:rPr>
        <w:t> </w:t>
      </w:r>
      <w:r>
        <w:rPr>
          <w:spacing w:val="-22"/>
          <w:sz w:val="21"/>
        </w:rPr>
        <w:t> </w:t>
      </w:r>
      <w:r>
        <w:rPr>
          <w:spacing w:val="-1"/>
          <w:w w:val="100"/>
          <w:sz w:val="21"/>
        </w:rPr>
        <w:t>ha</w:t>
      </w:r>
      <w:r>
        <w:rPr>
          <w:spacing w:val="-3"/>
          <w:w w:val="100"/>
          <w:sz w:val="21"/>
        </w:rPr>
        <w:t>v</w:t>
      </w:r>
      <w:r>
        <w:rPr>
          <w:w w:val="100"/>
          <w:sz w:val="21"/>
        </w:rPr>
        <w:t>i</w:t>
      </w:r>
      <w:r>
        <w:rPr>
          <w:spacing w:val="-1"/>
          <w:w w:val="100"/>
          <w:sz w:val="21"/>
        </w:rPr>
        <w:t>n</w:t>
      </w:r>
      <w:r>
        <w:rPr>
          <w:w w:val="100"/>
          <w:sz w:val="21"/>
        </w:rPr>
        <w:t>g</w:t>
      </w:r>
      <w:r>
        <w:rPr>
          <w:sz w:val="21"/>
        </w:rPr>
        <w:t> </w:t>
      </w:r>
      <w:r>
        <w:rPr>
          <w:spacing w:val="-21"/>
          <w:sz w:val="21"/>
        </w:rPr>
        <w:t> </w:t>
      </w:r>
      <w:r>
        <w:rPr>
          <w:spacing w:val="-1"/>
          <w:w w:val="100"/>
          <w:sz w:val="21"/>
        </w:rPr>
        <w:t>bee</w:t>
      </w:r>
      <w:r>
        <w:rPr>
          <w:w w:val="100"/>
          <w:sz w:val="21"/>
        </w:rPr>
        <w:t>n</w:t>
      </w:r>
      <w:r>
        <w:rPr>
          <w:sz w:val="21"/>
        </w:rPr>
        <w:t> </w:t>
      </w:r>
      <w:r>
        <w:rPr>
          <w:spacing w:val="-21"/>
          <w:sz w:val="21"/>
        </w:rPr>
        <w:t> </w:t>
      </w:r>
      <w:r>
        <w:rPr>
          <w:spacing w:val="-3"/>
          <w:w w:val="100"/>
          <w:sz w:val="21"/>
        </w:rPr>
        <w:t>e</w:t>
      </w:r>
      <w:r>
        <w:rPr>
          <w:w w:val="100"/>
          <w:sz w:val="21"/>
        </w:rPr>
        <w:t>s</w:t>
      </w:r>
      <w:r>
        <w:rPr>
          <w:spacing w:val="-2"/>
          <w:w w:val="100"/>
          <w:sz w:val="21"/>
        </w:rPr>
        <w:t>t</w:t>
      </w:r>
      <w:r>
        <w:rPr>
          <w:spacing w:val="-1"/>
          <w:w w:val="100"/>
          <w:sz w:val="21"/>
        </w:rPr>
        <w:t>a</w:t>
      </w:r>
      <w:r>
        <w:rPr>
          <w:spacing w:val="-3"/>
          <w:w w:val="100"/>
          <w:sz w:val="21"/>
        </w:rPr>
        <w:t>b</w:t>
      </w:r>
      <w:r>
        <w:rPr>
          <w:w w:val="100"/>
          <w:sz w:val="21"/>
        </w:rPr>
        <w:t>li</w:t>
      </w:r>
      <w:r>
        <w:rPr>
          <w:spacing w:val="-3"/>
          <w:w w:val="100"/>
          <w:sz w:val="21"/>
        </w:rPr>
        <w:t>sh</w:t>
      </w:r>
      <w:r>
        <w:rPr>
          <w:spacing w:val="-1"/>
          <w:w w:val="100"/>
          <w:sz w:val="21"/>
        </w:rPr>
        <w:t>e</w:t>
      </w:r>
      <w:r>
        <w:rPr>
          <w:w w:val="100"/>
          <w:sz w:val="21"/>
        </w:rPr>
        <w:t>d</w:t>
      </w:r>
      <w:r>
        <w:rPr>
          <w:sz w:val="21"/>
        </w:rPr>
        <w:t> </w:t>
      </w:r>
      <w:r>
        <w:rPr>
          <w:spacing w:val="-21"/>
          <w:sz w:val="21"/>
        </w:rPr>
        <w:t> </w:t>
      </w:r>
      <w:r>
        <w:rPr>
          <w:spacing w:val="-1"/>
          <w:w w:val="100"/>
          <w:sz w:val="21"/>
        </w:rPr>
        <w:t>a</w:t>
      </w:r>
      <w:r>
        <w:rPr>
          <w:spacing w:val="1"/>
          <w:w w:val="100"/>
          <w:sz w:val="21"/>
        </w:rPr>
        <w:t>f</w:t>
      </w:r>
      <w:r>
        <w:rPr>
          <w:spacing w:val="-4"/>
          <w:w w:val="100"/>
          <w:sz w:val="21"/>
        </w:rPr>
        <w:t>t</w:t>
      </w:r>
      <w:r>
        <w:rPr>
          <w:spacing w:val="-1"/>
          <w:w w:val="100"/>
          <w:sz w:val="21"/>
        </w:rPr>
        <w:t>e</w:t>
      </w:r>
      <w:r>
        <w:rPr>
          <w:w w:val="100"/>
          <w:sz w:val="21"/>
        </w:rPr>
        <w:t>r</w:t>
      </w:r>
      <w:r>
        <w:rPr>
          <w:sz w:val="21"/>
        </w:rPr>
        <w:t> </w:t>
      </w:r>
      <w:r>
        <w:rPr>
          <w:spacing w:val="-22"/>
          <w:sz w:val="21"/>
        </w:rPr>
        <w:t> </w:t>
      </w:r>
      <w:r>
        <w:rPr>
          <w:spacing w:val="-1"/>
          <w:w w:val="100"/>
          <w:sz w:val="21"/>
        </w:rPr>
        <w:t>du</w:t>
      </w:r>
      <w:r>
        <w:rPr>
          <w:w w:val="100"/>
          <w:sz w:val="21"/>
        </w:rPr>
        <w:t>e</w:t>
      </w:r>
      <w:r>
        <w:rPr>
          <w:sz w:val="21"/>
        </w:rPr>
        <w:t> </w:t>
      </w:r>
      <w:r>
        <w:rPr>
          <w:spacing w:val="-23"/>
          <w:sz w:val="21"/>
        </w:rPr>
        <w:t> </w:t>
      </w:r>
      <w:r>
        <w:rPr>
          <w:w w:val="100"/>
          <w:sz w:val="21"/>
        </w:rPr>
        <w:t>i</w:t>
      </w:r>
      <w:r>
        <w:rPr>
          <w:spacing w:val="-1"/>
          <w:w w:val="100"/>
          <w:sz w:val="21"/>
        </w:rPr>
        <w:t>n</w:t>
      </w:r>
      <w:r>
        <w:rPr>
          <w:spacing w:val="-3"/>
          <w:w w:val="100"/>
          <w:sz w:val="21"/>
        </w:rPr>
        <w:t>q</w:t>
      </w:r>
      <w:r>
        <w:rPr>
          <w:spacing w:val="-1"/>
          <w:w w:val="100"/>
          <w:sz w:val="21"/>
        </w:rPr>
        <w:t>u</w:t>
      </w:r>
      <w:r>
        <w:rPr>
          <w:spacing w:val="1"/>
          <w:w w:val="100"/>
          <w:sz w:val="21"/>
        </w:rPr>
        <w:t>i</w:t>
      </w:r>
      <w:r>
        <w:rPr>
          <w:spacing w:val="-1"/>
          <w:w w:val="100"/>
          <w:sz w:val="21"/>
        </w:rPr>
        <w:t>r</w:t>
      </w:r>
      <w:r>
        <w:rPr>
          <w:w w:val="100"/>
          <w:sz w:val="21"/>
        </w:rPr>
        <w:t>y</w:t>
      </w:r>
      <w:r>
        <w:rPr>
          <w:sz w:val="21"/>
        </w:rPr>
        <w:t> </w:t>
      </w:r>
      <w:r>
        <w:rPr>
          <w:spacing w:val="-24"/>
          <w:sz w:val="21"/>
        </w:rPr>
        <w:t> </w:t>
      </w:r>
      <w:r>
        <w:rPr>
          <w:spacing w:val="-2"/>
          <w:w w:val="100"/>
          <w:sz w:val="21"/>
        </w:rPr>
        <w:t>t</w:t>
      </w:r>
      <w:r>
        <w:rPr>
          <w:spacing w:val="-1"/>
          <w:w w:val="100"/>
          <w:sz w:val="21"/>
        </w:rPr>
        <w:t>ha</w:t>
      </w:r>
      <w:r>
        <w:rPr>
          <w:w w:val="100"/>
          <w:sz w:val="21"/>
        </w:rPr>
        <w:t>t</w:t>
      </w:r>
      <w:r>
        <w:rPr>
          <w:sz w:val="21"/>
        </w:rPr>
        <w:t> </w:t>
      </w:r>
      <w:r>
        <w:rPr>
          <w:spacing w:val="-22"/>
          <w:sz w:val="21"/>
        </w:rPr>
        <w:t> </w:t>
      </w:r>
      <w:r>
        <w:rPr>
          <w:w w:val="100"/>
          <w:sz w:val="21"/>
        </w:rPr>
        <w:t>R</w:t>
      </w:r>
      <w:r>
        <w:rPr>
          <w:spacing w:val="-3"/>
          <w:w w:val="100"/>
          <w:sz w:val="21"/>
        </w:rPr>
        <w:t>a</w:t>
      </w:r>
      <w:r>
        <w:rPr>
          <w:w w:val="100"/>
          <w:sz w:val="21"/>
        </w:rPr>
        <w:t>j</w:t>
      </w:r>
      <w:r>
        <w:rPr>
          <w:spacing w:val="-2"/>
          <w:w w:val="100"/>
          <w:sz w:val="21"/>
        </w:rPr>
        <w:t>j</w:t>
      </w:r>
      <w:r>
        <w:rPr>
          <w:spacing w:val="-1"/>
          <w:w w:val="100"/>
          <w:sz w:val="21"/>
        </w:rPr>
        <w:t>a</w:t>
      </w:r>
      <w:r>
        <w:rPr>
          <w:w w:val="100"/>
          <w:sz w:val="21"/>
        </w:rPr>
        <w:t>b</w:t>
      </w:r>
      <w:r>
        <w:rPr>
          <w:spacing w:val="25"/>
          <w:sz w:val="21"/>
        </w:rPr>
        <w:t> </w:t>
      </w:r>
      <w:r>
        <w:rPr>
          <w:spacing w:val="-2"/>
          <w:w w:val="100"/>
          <w:sz w:val="21"/>
        </w:rPr>
        <w:t>A</w:t>
      </w:r>
      <w:r>
        <w:rPr>
          <w:w w:val="100"/>
          <w:sz w:val="21"/>
        </w:rPr>
        <w:t>li </w:t>
      </w:r>
      <w:r>
        <w:rPr>
          <w:sz w:val="21"/>
        </w:rPr>
        <w:t>and Mohd. Asghar received a Cash Nankar of (Rs. 302-3-6) Rupee Three Hundred and two three annas six pie from Mauza Shahanwa District Fyzabad, in rent free tenure under the former Government. The Chief Commissioner, under the authority of the Governor General in Council is pleased to maintain the grant for so long as the object for which the grant has been made is kept up on the following conditions. That they shall have surrendered all sunnds title deeds and other documents relating to the grant in question. That they and their successors shall strictly perform all the duties of land holders in matters of Police, and any Military or Political service that may be required of them by the Authorities and that they shall never fall under the just suspicion of favouring in any way the designs of enemies of the British Government. If any one of these conditions is broken by Rajjab Ali and Mohammad Asghar or their successor the grant will be immediately</w:t>
      </w:r>
      <w:r>
        <w:rPr>
          <w:spacing w:val="-5"/>
          <w:sz w:val="21"/>
        </w:rPr>
        <w:t> </w:t>
      </w:r>
      <w:r>
        <w:rPr>
          <w:sz w:val="21"/>
        </w:rPr>
        <w:t>resumed.‖</w:t>
      </w:r>
    </w:p>
    <w:p>
      <w:pPr>
        <w:pStyle w:val="BodyText"/>
        <w:rPr>
          <w:sz w:val="24"/>
        </w:rPr>
      </w:pPr>
    </w:p>
    <w:p>
      <w:pPr>
        <w:pStyle w:val="BodyText"/>
        <w:spacing w:before="3"/>
        <w:rPr>
          <w:sz w:val="26"/>
        </w:rPr>
      </w:pPr>
    </w:p>
    <w:p>
      <w:pPr>
        <w:pStyle w:val="BodyText"/>
        <w:spacing w:before="1"/>
        <w:ind w:left="500"/>
      </w:pPr>
      <w:r>
        <w:rPr/>
        <w:t>Dealing with the above documents, Justice Agarwal has observed:</w:t>
      </w:r>
    </w:p>
    <w:p>
      <w:pPr>
        <w:pStyle w:val="BodyText"/>
        <w:rPr>
          <w:sz w:val="28"/>
        </w:rPr>
      </w:pPr>
    </w:p>
    <w:p>
      <w:pPr>
        <w:spacing w:line="276" w:lineRule="auto" w:before="251"/>
        <w:ind w:left="1940" w:right="2259" w:firstLine="0"/>
        <w:jc w:val="both"/>
        <w:rPr>
          <w:sz w:val="21"/>
        </w:rPr>
      </w:pPr>
      <w:r>
        <w:rPr>
          <w:spacing w:val="-1"/>
          <w:w w:val="33"/>
          <w:sz w:val="21"/>
        </w:rPr>
        <w:t>―</w:t>
      </w:r>
      <w:r>
        <w:rPr>
          <w:spacing w:val="-1"/>
          <w:w w:val="100"/>
          <w:sz w:val="21"/>
        </w:rPr>
        <w:t>233</w:t>
      </w:r>
      <w:r>
        <w:rPr>
          <w:w w:val="100"/>
          <w:sz w:val="21"/>
        </w:rPr>
        <w:t>6.</w:t>
      </w:r>
      <w:r>
        <w:rPr>
          <w:spacing w:val="26"/>
          <w:sz w:val="21"/>
        </w:rPr>
        <w:t> </w:t>
      </w:r>
      <w:r>
        <w:rPr>
          <w:w w:val="100"/>
          <w:sz w:val="21"/>
        </w:rPr>
        <w:t>T</w:t>
      </w:r>
      <w:r>
        <w:rPr>
          <w:spacing w:val="-2"/>
          <w:w w:val="100"/>
          <w:sz w:val="21"/>
        </w:rPr>
        <w:t>h</w:t>
      </w:r>
      <w:r>
        <w:rPr>
          <w:w w:val="100"/>
          <w:sz w:val="21"/>
        </w:rPr>
        <w:t>e</w:t>
      </w:r>
      <w:r>
        <w:rPr>
          <w:sz w:val="21"/>
        </w:rPr>
        <w:t> </w:t>
      </w:r>
      <w:r>
        <w:rPr>
          <w:spacing w:val="-26"/>
          <w:sz w:val="21"/>
        </w:rPr>
        <w:t> </w:t>
      </w:r>
      <w:r>
        <w:rPr>
          <w:spacing w:val="-1"/>
          <w:w w:val="100"/>
          <w:sz w:val="21"/>
        </w:rPr>
        <w:t>abo</w:t>
      </w:r>
      <w:r>
        <w:rPr>
          <w:spacing w:val="-2"/>
          <w:w w:val="100"/>
          <w:sz w:val="21"/>
        </w:rPr>
        <w:t>v</w:t>
      </w:r>
      <w:r>
        <w:rPr>
          <w:w w:val="100"/>
          <w:sz w:val="21"/>
        </w:rPr>
        <w:t>e</w:t>
      </w:r>
      <w:r>
        <w:rPr>
          <w:sz w:val="21"/>
        </w:rPr>
        <w:t> </w:t>
      </w:r>
      <w:r>
        <w:rPr>
          <w:spacing w:val="-26"/>
          <w:sz w:val="21"/>
        </w:rPr>
        <w:t> </w:t>
      </w:r>
      <w:r>
        <w:rPr>
          <w:spacing w:val="-3"/>
          <w:w w:val="100"/>
          <w:sz w:val="21"/>
        </w:rPr>
        <w:t>d</w:t>
      </w:r>
      <w:r>
        <w:rPr>
          <w:spacing w:val="-1"/>
          <w:w w:val="100"/>
          <w:sz w:val="21"/>
        </w:rPr>
        <w:t>oc</w:t>
      </w:r>
      <w:r>
        <w:rPr>
          <w:spacing w:val="-3"/>
          <w:w w:val="100"/>
          <w:sz w:val="21"/>
        </w:rPr>
        <w:t>u</w:t>
      </w:r>
      <w:r>
        <w:rPr>
          <w:spacing w:val="-1"/>
          <w:w w:val="100"/>
          <w:sz w:val="21"/>
        </w:rPr>
        <w:t>ment</w:t>
      </w:r>
      <w:r>
        <w:rPr>
          <w:w w:val="100"/>
          <w:sz w:val="21"/>
        </w:rPr>
        <w:t>s</w:t>
      </w:r>
      <w:r>
        <w:rPr>
          <w:sz w:val="21"/>
        </w:rPr>
        <w:t> </w:t>
      </w:r>
      <w:r>
        <w:rPr>
          <w:spacing w:val="-26"/>
          <w:sz w:val="21"/>
        </w:rPr>
        <w:t> </w:t>
      </w:r>
      <w:r>
        <w:rPr>
          <w:spacing w:val="-2"/>
          <w:w w:val="100"/>
          <w:sz w:val="21"/>
        </w:rPr>
        <w:t>t</w:t>
      </w:r>
      <w:r>
        <w:rPr>
          <w:spacing w:val="-1"/>
          <w:w w:val="100"/>
          <w:sz w:val="21"/>
        </w:rPr>
        <w:t>hou</w:t>
      </w:r>
      <w:r>
        <w:rPr>
          <w:spacing w:val="-2"/>
          <w:w w:val="100"/>
          <w:sz w:val="21"/>
        </w:rPr>
        <w:t>g</w:t>
      </w:r>
      <w:r>
        <w:rPr>
          <w:w w:val="100"/>
          <w:sz w:val="21"/>
        </w:rPr>
        <w:t>h</w:t>
      </w:r>
      <w:r>
        <w:rPr>
          <w:sz w:val="21"/>
        </w:rPr>
        <w:t> </w:t>
      </w:r>
      <w:r>
        <w:rPr>
          <w:spacing w:val="-26"/>
          <w:sz w:val="21"/>
        </w:rPr>
        <w:t> </w:t>
      </w:r>
      <w:r>
        <w:rPr>
          <w:w w:val="100"/>
          <w:sz w:val="21"/>
        </w:rPr>
        <w:t>s</w:t>
      </w:r>
      <w:r>
        <w:rPr>
          <w:spacing w:val="-3"/>
          <w:w w:val="100"/>
          <w:sz w:val="21"/>
        </w:rPr>
        <w:t>h</w:t>
      </w:r>
      <w:r>
        <w:rPr>
          <w:spacing w:val="-1"/>
          <w:w w:val="100"/>
          <w:sz w:val="21"/>
        </w:rPr>
        <w:t>o</w:t>
      </w:r>
      <w:r>
        <w:rPr>
          <w:w w:val="100"/>
          <w:sz w:val="21"/>
        </w:rPr>
        <w:t>w</w:t>
      </w:r>
      <w:r>
        <w:rPr>
          <w:sz w:val="21"/>
        </w:rPr>
        <w:t> </w:t>
      </w:r>
      <w:r>
        <w:rPr>
          <w:spacing w:val="-27"/>
          <w:sz w:val="21"/>
        </w:rPr>
        <w:t> </w:t>
      </w:r>
      <w:r>
        <w:rPr>
          <w:spacing w:val="-2"/>
          <w:w w:val="100"/>
          <w:sz w:val="21"/>
        </w:rPr>
        <w:t>t</w:t>
      </w:r>
      <w:r>
        <w:rPr>
          <w:spacing w:val="-1"/>
          <w:w w:val="100"/>
          <w:sz w:val="21"/>
        </w:rPr>
        <w:t>ha</w:t>
      </w:r>
      <w:r>
        <w:rPr>
          <w:w w:val="100"/>
          <w:sz w:val="21"/>
        </w:rPr>
        <w:t>t</w:t>
      </w:r>
      <w:r>
        <w:rPr>
          <w:sz w:val="21"/>
        </w:rPr>
        <w:t> </w:t>
      </w:r>
      <w:r>
        <w:rPr>
          <w:spacing w:val="-27"/>
          <w:sz w:val="21"/>
        </w:rPr>
        <w:t> </w:t>
      </w:r>
      <w:r>
        <w:rPr>
          <w:w w:val="100"/>
          <w:sz w:val="21"/>
        </w:rPr>
        <w:t>some</w:t>
      </w:r>
      <w:r>
        <w:rPr>
          <w:sz w:val="21"/>
        </w:rPr>
        <w:t> </w:t>
      </w:r>
      <w:r>
        <w:rPr>
          <w:spacing w:val="-27"/>
          <w:sz w:val="21"/>
        </w:rPr>
        <w:t> </w:t>
      </w:r>
      <w:r>
        <w:rPr>
          <w:spacing w:val="-1"/>
          <w:w w:val="100"/>
          <w:sz w:val="21"/>
        </w:rPr>
        <w:t>gra</w:t>
      </w:r>
      <w:r>
        <w:rPr>
          <w:spacing w:val="-3"/>
          <w:w w:val="100"/>
          <w:sz w:val="21"/>
        </w:rPr>
        <w:t>n</w:t>
      </w:r>
      <w:r>
        <w:rPr>
          <w:w w:val="100"/>
          <w:sz w:val="21"/>
        </w:rPr>
        <w:t>t </w:t>
      </w:r>
      <w:r>
        <w:rPr>
          <w:sz w:val="21"/>
        </w:rPr>
        <w:t>was allowed to Mir Rajjab Ali and Mohd. Asgar but it does not appear that any kind of inquiry was made by the authorities concerned and if so, what was  the basis </w:t>
      </w:r>
      <w:r>
        <w:rPr>
          <w:spacing w:val="-3"/>
          <w:sz w:val="21"/>
        </w:rPr>
        <w:t>therefor. </w:t>
      </w:r>
      <w:r>
        <w:rPr>
          <w:sz w:val="21"/>
        </w:rPr>
        <w:t>According to the claim of Muslims, the Commander of </w:t>
      </w:r>
      <w:r>
        <w:rPr>
          <w:spacing w:val="-3"/>
          <w:sz w:val="21"/>
        </w:rPr>
        <w:t>Babar, </w:t>
      </w:r>
      <w:r>
        <w:rPr>
          <w:sz w:val="21"/>
        </w:rPr>
        <w:t>who was responsible for construction of the building in dispute was</w:t>
      </w:r>
      <w:r>
        <w:rPr>
          <w:spacing w:val="56"/>
          <w:sz w:val="21"/>
        </w:rPr>
        <w:t> </w:t>
      </w:r>
      <w:r>
        <w:rPr>
          <w:sz w:val="21"/>
        </w:rPr>
        <w:t>Mir</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9" w:firstLine="0"/>
        <w:jc w:val="both"/>
        <w:rPr>
          <w:sz w:val="21"/>
        </w:rPr>
      </w:pPr>
      <w:r>
        <w:rPr>
          <w:sz w:val="21"/>
        </w:rPr>
        <w:t>Baqi while </w:t>
      </w:r>
      <w:r>
        <w:rPr>
          <w:b/>
          <w:sz w:val="21"/>
        </w:rPr>
        <w:t>Mir Rajjab </w:t>
      </w:r>
      <w:r>
        <w:rPr>
          <w:b/>
          <w:spacing w:val="-3"/>
          <w:sz w:val="21"/>
        </w:rPr>
        <w:t>Ali </w:t>
      </w:r>
      <w:r>
        <w:rPr>
          <w:b/>
          <w:sz w:val="21"/>
        </w:rPr>
        <w:t>claimed himself to be the son-in- law of the daughter of grand son of Syed Baqi. Mohd. Asgar was son of Mir Rajjab Ali, therefore, the son and father claimed relation with the 4th generation of the alleged original Mutwalli and staked their claim for grant</w:t>
      </w:r>
      <w:r>
        <w:rPr>
          <w:sz w:val="21"/>
        </w:rPr>
        <w:t>. No material existed to show that earlier such grant was awarded by any one though stated by the aforesaid two persons. </w:t>
      </w:r>
      <w:r>
        <w:rPr>
          <w:b/>
          <w:sz w:val="21"/>
        </w:rPr>
        <w:t>If we go by the averments of the plaint that the alleged waqf was created in 1528, it is wholly untrustworthy to find out that in the last more than 325 years, it could only be the fourth generation and its relatives are at the best 5th generation</w:t>
      </w:r>
      <w:r>
        <w:rPr>
          <w:sz w:val="21"/>
        </w:rPr>
        <w:t>. The authorities in 1860-61 were not under a duty to act judicially in this matter and therefore, might not have given any details of their enquiry as to on what basis the alleged enquiry was conducted. </w:t>
      </w:r>
      <w:r>
        <w:rPr>
          <w:b/>
          <w:sz w:val="21"/>
        </w:rPr>
        <w:t>Ex facie, to us, the genealogy of Mir Rajjab </w:t>
      </w:r>
      <w:r>
        <w:rPr>
          <w:b/>
          <w:spacing w:val="-3"/>
          <w:sz w:val="21"/>
        </w:rPr>
        <w:t>Ali </w:t>
      </w:r>
      <w:r>
        <w:rPr>
          <w:b/>
          <w:sz w:val="21"/>
        </w:rPr>
        <w:t>commencing from Syed Baki who must have existed in 1528 is unbelievable</w:t>
      </w:r>
      <w:r>
        <w:rPr>
          <w:sz w:val="21"/>
        </w:rPr>
        <w:t>. It is not out of context that the story of grant might have been set up by the two persons i.e. father and son for the purpose of obtaining valuable grant from Britishers in their </w:t>
      </w:r>
      <w:r>
        <w:rPr>
          <w:spacing w:val="-3"/>
          <w:sz w:val="21"/>
        </w:rPr>
        <w:t>favour. </w:t>
      </w:r>
      <w:r>
        <w:rPr>
          <w:b/>
          <w:sz w:val="21"/>
        </w:rPr>
        <w:t>In any case, these  documents only show that a financial assistance was provided by  the British Government for the purpose of the mosque in question but this by itself may not be a proof that the building in dispute was used by Muslims </w:t>
      </w:r>
      <w:r>
        <w:rPr>
          <w:b/>
          <w:spacing w:val="-2"/>
          <w:sz w:val="21"/>
        </w:rPr>
        <w:t>for </w:t>
      </w:r>
      <w:r>
        <w:rPr>
          <w:b/>
          <w:sz w:val="21"/>
        </w:rPr>
        <w:t>offering Namaz or for Islamic religious purposes to the extent of ouster of Hindu people </w:t>
      </w:r>
      <w:r>
        <w:rPr>
          <w:sz w:val="21"/>
        </w:rPr>
        <w:t>or</w:t>
      </w:r>
      <w:r>
        <w:rPr>
          <w:spacing w:val="-13"/>
          <w:sz w:val="21"/>
        </w:rPr>
        <w:t> </w:t>
      </w:r>
      <w:r>
        <w:rPr>
          <w:sz w:val="21"/>
        </w:rPr>
        <w:t>otherwise.‖</w:t>
      </w:r>
    </w:p>
    <w:p>
      <w:pPr>
        <w:spacing w:before="1"/>
        <w:ind w:left="1940" w:right="0" w:firstLine="0"/>
        <w:jc w:val="both"/>
        <w:rPr>
          <w:sz w:val="21"/>
        </w:rPr>
      </w:pPr>
      <w:r>
        <w:rPr>
          <w:sz w:val="21"/>
        </w:rPr>
        <w:t>(Emphasis supplied)</w:t>
      </w:r>
    </w:p>
    <w:p>
      <w:pPr>
        <w:pStyle w:val="BodyText"/>
        <w:rPr>
          <w:sz w:val="24"/>
        </w:rPr>
      </w:pPr>
    </w:p>
    <w:p>
      <w:pPr>
        <w:pStyle w:val="BodyText"/>
        <w:rPr>
          <w:sz w:val="24"/>
        </w:rPr>
      </w:pPr>
    </w:p>
    <w:p>
      <w:pPr>
        <w:pStyle w:val="BodyText"/>
        <w:spacing w:before="3"/>
        <w:rPr>
          <w:sz w:val="30"/>
        </w:rPr>
      </w:pPr>
    </w:p>
    <w:p>
      <w:pPr>
        <w:pStyle w:val="BodyText"/>
        <w:spacing w:line="480" w:lineRule="auto"/>
        <w:ind w:left="500" w:right="512"/>
      </w:pPr>
      <w:r>
        <w:rPr/>
        <w:t>From the above extract, it appears that a grant was provided to Rajjab Ali and Mohd Asghar. However, certain significant facets emerge from the record:</w:t>
      </w:r>
    </w:p>
    <w:p>
      <w:pPr>
        <w:pStyle w:val="ListParagraph"/>
        <w:numPr>
          <w:ilvl w:val="0"/>
          <w:numId w:val="218"/>
        </w:numPr>
        <w:tabs>
          <w:tab w:pos="1220" w:val="left" w:leader="none"/>
          <w:tab w:pos="1221" w:val="left" w:leader="none"/>
        </w:tabs>
        <w:spacing w:line="240" w:lineRule="auto" w:before="0" w:after="0"/>
        <w:ind w:left="1220" w:right="0" w:hanging="721"/>
        <w:jc w:val="left"/>
        <w:rPr>
          <w:sz w:val="25"/>
        </w:rPr>
      </w:pPr>
      <w:r>
        <w:rPr>
          <w:sz w:val="25"/>
        </w:rPr>
        <w:t>The absence of a due enquiry indicating the basis of the</w:t>
      </w:r>
      <w:r>
        <w:rPr>
          <w:spacing w:val="-18"/>
          <w:sz w:val="25"/>
        </w:rPr>
        <w:t> </w:t>
      </w:r>
      <w:r>
        <w:rPr>
          <w:sz w:val="25"/>
        </w:rPr>
        <w:t>grant;</w:t>
      </w:r>
    </w:p>
    <w:p>
      <w:pPr>
        <w:pStyle w:val="BodyText"/>
        <w:spacing w:before="1"/>
      </w:pPr>
    </w:p>
    <w:p>
      <w:pPr>
        <w:pStyle w:val="ListParagraph"/>
        <w:numPr>
          <w:ilvl w:val="0"/>
          <w:numId w:val="218"/>
        </w:numPr>
        <w:tabs>
          <w:tab w:pos="1221" w:val="left" w:leader="none"/>
        </w:tabs>
        <w:spacing w:line="480" w:lineRule="auto" w:before="0" w:after="0"/>
        <w:ind w:left="1220" w:right="440" w:hanging="720"/>
        <w:jc w:val="both"/>
        <w:rPr>
          <w:sz w:val="25"/>
        </w:rPr>
      </w:pPr>
      <w:r>
        <w:rPr>
          <w:sz w:val="25"/>
        </w:rPr>
        <w:t>A claim set up by Mir Rajjab Ali stating that he was the son-in-law of the daughter of the grandson of Mir Baqi while Mohd Asghar was the son of Mir Rajjab Ali;</w:t>
      </w:r>
      <w:r>
        <w:rPr>
          <w:spacing w:val="-14"/>
          <w:sz w:val="25"/>
        </w:rPr>
        <w:t> </w:t>
      </w:r>
      <w:r>
        <w:rPr>
          <w:sz w:val="25"/>
        </w:rPr>
        <w:t>and</w:t>
      </w:r>
    </w:p>
    <w:p>
      <w:pPr>
        <w:pStyle w:val="ListParagraph"/>
        <w:numPr>
          <w:ilvl w:val="0"/>
          <w:numId w:val="218"/>
        </w:numPr>
        <w:tabs>
          <w:tab w:pos="1221" w:val="left" w:leader="none"/>
        </w:tabs>
        <w:spacing w:line="480" w:lineRule="auto" w:before="1" w:after="0"/>
        <w:ind w:left="1220" w:right="446" w:hanging="720"/>
        <w:jc w:val="both"/>
        <w:rPr>
          <w:sz w:val="25"/>
        </w:rPr>
      </w:pPr>
      <w:r>
        <w:rPr>
          <w:sz w:val="25"/>
        </w:rPr>
        <w:t>The absence of any material to indicate the basis for such a grant being granted in the previous history of 325 years;</w:t>
      </w:r>
      <w:r>
        <w:rPr>
          <w:spacing w:val="-8"/>
          <w:sz w:val="25"/>
        </w:rPr>
        <w:t> </w:t>
      </w:r>
      <w:r>
        <w:rPr>
          <w:sz w:val="25"/>
        </w:rPr>
        <w:t>and</w:t>
      </w:r>
    </w:p>
    <w:p>
      <w:pPr>
        <w:spacing w:after="0" w:line="480" w:lineRule="auto"/>
        <w:jc w:val="both"/>
        <w:rPr>
          <w:sz w:val="25"/>
        </w:rPr>
        <w:sectPr>
          <w:pgSz w:w="11910" w:h="16840"/>
          <w:pgMar w:header="721" w:footer="1014" w:top="1300" w:bottom="1200" w:left="940" w:right="1000"/>
        </w:sectPr>
      </w:pPr>
    </w:p>
    <w:p>
      <w:pPr>
        <w:pStyle w:val="ListParagraph"/>
        <w:numPr>
          <w:ilvl w:val="0"/>
          <w:numId w:val="218"/>
        </w:numPr>
        <w:tabs>
          <w:tab w:pos="1221" w:val="left" w:leader="none"/>
        </w:tabs>
        <w:spacing w:line="480" w:lineRule="auto" w:before="124" w:after="0"/>
        <w:ind w:left="1220" w:right="443" w:hanging="720"/>
        <w:jc w:val="both"/>
        <w:rPr>
          <w:sz w:val="25"/>
        </w:rPr>
      </w:pPr>
      <w:r>
        <w:rPr>
          <w:sz w:val="25"/>
        </w:rPr>
        <w:t>The setting up of a claim by a person belonging to the fourth generation from Mir Baqi with no evidence on the record of the intervening period of over three</w:t>
      </w:r>
      <w:r>
        <w:rPr>
          <w:spacing w:val="-1"/>
          <w:sz w:val="25"/>
        </w:rPr>
        <w:t> </w:t>
      </w:r>
      <w:r>
        <w:rPr>
          <w:sz w:val="25"/>
        </w:rPr>
        <w:t>centuries.</w:t>
      </w:r>
    </w:p>
    <w:p>
      <w:pPr>
        <w:pStyle w:val="BodyText"/>
        <w:spacing w:before="10"/>
        <w:rPr>
          <w:sz w:val="24"/>
        </w:rPr>
      </w:pPr>
    </w:p>
    <w:p>
      <w:pPr>
        <w:pStyle w:val="BodyText"/>
        <w:spacing w:line="480" w:lineRule="auto"/>
        <w:ind w:left="500" w:right="440"/>
        <w:jc w:val="both"/>
      </w:pPr>
      <w:r>
        <w:rPr/>
        <w:t>Be that as it may, the High Court has noted that the documents would show that financial assistance was provided by the British for the purposes of the maintenance of the mosque, but this would not amount to proving that the structure was used for the purpose of offering namaz. In connection with the above grant of revenue free land, the following documents have been relied upon:</w:t>
      </w:r>
    </w:p>
    <w:p>
      <w:pPr>
        <w:spacing w:line="276" w:lineRule="auto" w:before="162"/>
        <w:ind w:left="1940" w:right="2260" w:firstLine="0"/>
        <w:jc w:val="both"/>
        <w:rPr>
          <w:sz w:val="21"/>
        </w:rPr>
      </w:pPr>
      <w:r>
        <w:rPr>
          <w:spacing w:val="-1"/>
          <w:w w:val="33"/>
          <w:sz w:val="21"/>
        </w:rPr>
        <w:t>―</w:t>
      </w:r>
      <w:r>
        <w:rPr>
          <w:spacing w:val="-1"/>
          <w:w w:val="100"/>
          <w:sz w:val="21"/>
        </w:rPr>
        <w:t>(</w:t>
      </w:r>
      <w:r>
        <w:rPr>
          <w:w w:val="100"/>
          <w:sz w:val="21"/>
        </w:rPr>
        <w:t>i)</w:t>
      </w:r>
      <w:r>
        <w:rPr>
          <w:sz w:val="21"/>
        </w:rPr>
        <w:t>       </w:t>
      </w:r>
      <w:r>
        <w:rPr>
          <w:spacing w:val="-5"/>
          <w:sz w:val="21"/>
        </w:rPr>
        <w:t> </w:t>
      </w:r>
      <w:r>
        <w:rPr>
          <w:spacing w:val="-2"/>
          <w:w w:val="100"/>
          <w:sz w:val="21"/>
        </w:rPr>
        <w:t>O</w:t>
      </w:r>
      <w:r>
        <w:rPr>
          <w:w w:val="100"/>
          <w:sz w:val="21"/>
        </w:rPr>
        <w:t>n</w:t>
      </w:r>
      <w:r>
        <w:rPr>
          <w:sz w:val="21"/>
        </w:rPr>
        <w:t> </w:t>
      </w:r>
      <w:r>
        <w:rPr>
          <w:spacing w:val="-24"/>
          <w:sz w:val="21"/>
        </w:rPr>
        <w:t> </w:t>
      </w:r>
      <w:r>
        <w:rPr>
          <w:w w:val="100"/>
          <w:sz w:val="21"/>
        </w:rPr>
        <w:t>A</w:t>
      </w:r>
      <w:r>
        <w:rPr>
          <w:spacing w:val="-3"/>
          <w:w w:val="100"/>
          <w:sz w:val="21"/>
        </w:rPr>
        <w:t>u</w:t>
      </w:r>
      <w:r>
        <w:rPr>
          <w:w w:val="100"/>
          <w:sz w:val="21"/>
        </w:rPr>
        <w:t>gust</w:t>
      </w:r>
      <w:r>
        <w:rPr>
          <w:sz w:val="21"/>
        </w:rPr>
        <w:t> </w:t>
      </w:r>
      <w:r>
        <w:rPr>
          <w:spacing w:val="-27"/>
          <w:sz w:val="21"/>
        </w:rPr>
        <w:t> </w:t>
      </w:r>
      <w:r>
        <w:rPr>
          <w:w w:val="100"/>
          <w:sz w:val="21"/>
        </w:rPr>
        <w:t>25,</w:t>
      </w:r>
      <w:r>
        <w:rPr>
          <w:sz w:val="21"/>
        </w:rPr>
        <w:t> </w:t>
      </w:r>
      <w:r>
        <w:rPr>
          <w:spacing w:val="-25"/>
          <w:sz w:val="21"/>
        </w:rPr>
        <w:t> </w:t>
      </w:r>
      <w:r>
        <w:rPr>
          <w:spacing w:val="-3"/>
          <w:w w:val="100"/>
          <w:sz w:val="21"/>
        </w:rPr>
        <w:t>1</w:t>
      </w:r>
      <w:r>
        <w:rPr>
          <w:w w:val="100"/>
          <w:sz w:val="21"/>
        </w:rPr>
        <w:t>863,</w:t>
      </w:r>
      <w:r>
        <w:rPr>
          <w:sz w:val="21"/>
        </w:rPr>
        <w:t> </w:t>
      </w:r>
      <w:r>
        <w:rPr>
          <w:spacing w:val="-27"/>
          <w:sz w:val="21"/>
        </w:rPr>
        <w:t> </w:t>
      </w:r>
      <w:r>
        <w:rPr>
          <w:w w:val="100"/>
          <w:sz w:val="21"/>
        </w:rPr>
        <w:t>S</w:t>
      </w:r>
      <w:r>
        <w:rPr>
          <w:spacing w:val="-3"/>
          <w:w w:val="100"/>
          <w:sz w:val="21"/>
        </w:rPr>
        <w:t>e</w:t>
      </w:r>
      <w:r>
        <w:rPr>
          <w:w w:val="100"/>
          <w:sz w:val="21"/>
        </w:rPr>
        <w:t>c</w:t>
      </w:r>
      <w:r>
        <w:rPr>
          <w:spacing w:val="-1"/>
          <w:w w:val="100"/>
          <w:sz w:val="21"/>
        </w:rPr>
        <w:t>r</w:t>
      </w:r>
      <w:r>
        <w:rPr>
          <w:w w:val="100"/>
          <w:sz w:val="21"/>
        </w:rPr>
        <w:t>e</w:t>
      </w:r>
      <w:r>
        <w:rPr>
          <w:spacing w:val="-1"/>
          <w:w w:val="100"/>
          <w:sz w:val="21"/>
        </w:rPr>
        <w:t>t</w:t>
      </w:r>
      <w:r>
        <w:rPr>
          <w:w w:val="100"/>
          <w:sz w:val="21"/>
        </w:rPr>
        <w:t>ary</w:t>
      </w:r>
      <w:r>
        <w:rPr>
          <w:sz w:val="21"/>
        </w:rPr>
        <w:t> </w:t>
      </w:r>
      <w:r>
        <w:rPr>
          <w:spacing w:val="-27"/>
          <w:sz w:val="21"/>
        </w:rPr>
        <w:t> </w:t>
      </w:r>
      <w:r>
        <w:rPr>
          <w:w w:val="100"/>
          <w:sz w:val="21"/>
        </w:rPr>
        <w:t>C</w:t>
      </w:r>
      <w:r>
        <w:rPr>
          <w:spacing w:val="-3"/>
          <w:w w:val="100"/>
          <w:sz w:val="21"/>
        </w:rPr>
        <w:t>h</w:t>
      </w:r>
      <w:r>
        <w:rPr>
          <w:w w:val="100"/>
          <w:sz w:val="21"/>
        </w:rPr>
        <w:t>i</w:t>
      </w:r>
      <w:r>
        <w:rPr>
          <w:spacing w:val="-3"/>
          <w:w w:val="100"/>
          <w:sz w:val="21"/>
        </w:rPr>
        <w:t>e</w:t>
      </w:r>
      <w:r>
        <w:rPr>
          <w:w w:val="100"/>
          <w:sz w:val="21"/>
        </w:rPr>
        <w:t>f</w:t>
      </w:r>
      <w:r>
        <w:rPr>
          <w:sz w:val="21"/>
        </w:rPr>
        <w:t> </w:t>
      </w:r>
      <w:r>
        <w:rPr>
          <w:spacing w:val="-25"/>
          <w:sz w:val="21"/>
        </w:rPr>
        <w:t> </w:t>
      </w:r>
      <w:r>
        <w:rPr>
          <w:w w:val="100"/>
          <w:sz w:val="21"/>
        </w:rPr>
        <w:t>C</w:t>
      </w:r>
      <w:r>
        <w:rPr>
          <w:spacing w:val="-3"/>
          <w:w w:val="100"/>
          <w:sz w:val="21"/>
        </w:rPr>
        <w:t>o</w:t>
      </w:r>
      <w:r>
        <w:rPr>
          <w:spacing w:val="-1"/>
          <w:w w:val="100"/>
          <w:sz w:val="21"/>
        </w:rPr>
        <w:t>mm</w:t>
      </w:r>
      <w:r>
        <w:rPr>
          <w:w w:val="100"/>
          <w:sz w:val="21"/>
        </w:rPr>
        <w:t>i</w:t>
      </w:r>
      <w:r>
        <w:rPr>
          <w:w w:val="100"/>
          <w:sz w:val="21"/>
        </w:rPr>
        <w:t>s</w:t>
      </w:r>
      <w:r>
        <w:rPr>
          <w:spacing w:val="-3"/>
          <w:w w:val="100"/>
          <w:sz w:val="21"/>
        </w:rPr>
        <w:t>s</w:t>
      </w:r>
      <w:r>
        <w:rPr>
          <w:w w:val="100"/>
          <w:sz w:val="21"/>
        </w:rPr>
        <w:t>i</w:t>
      </w:r>
      <w:r>
        <w:rPr>
          <w:spacing w:val="-3"/>
          <w:w w:val="100"/>
          <w:sz w:val="21"/>
        </w:rPr>
        <w:t>o</w:t>
      </w:r>
      <w:r>
        <w:rPr>
          <w:w w:val="100"/>
          <w:sz w:val="21"/>
        </w:rPr>
        <w:t>ner </w:t>
      </w:r>
      <w:r>
        <w:rPr>
          <w:sz w:val="21"/>
        </w:rPr>
        <w:t>of Awadh wrote to the Commissioner Faizabad Division mentioning that the Governor General has sanctioned Chief Commissioner‘s proposal for the commutation of the cash payment of Rs.302-3-6 granted in perpetuity for the support of the Janamasthan Mosque to the grant of rent-free land near Ayodhya. It was further requested that a provision for the change be made by grant of some Nazul Land near Ayodhya.‖ (Exhibit A 14 Suit</w:t>
      </w:r>
      <w:r>
        <w:rPr>
          <w:spacing w:val="-10"/>
          <w:sz w:val="21"/>
        </w:rPr>
        <w:t> </w:t>
      </w:r>
      <w:r>
        <w:rPr>
          <w:sz w:val="21"/>
        </w:rPr>
        <w:t>1)</w:t>
      </w:r>
    </w:p>
    <w:p>
      <w:pPr>
        <w:pStyle w:val="ListParagraph"/>
        <w:numPr>
          <w:ilvl w:val="1"/>
          <w:numId w:val="218"/>
        </w:numPr>
        <w:tabs>
          <w:tab w:pos="2286" w:val="left" w:leader="none"/>
        </w:tabs>
        <w:spacing w:line="276" w:lineRule="auto" w:before="0" w:after="0"/>
        <w:ind w:left="1940" w:right="2259" w:firstLine="0"/>
        <w:jc w:val="both"/>
        <w:rPr>
          <w:sz w:val="21"/>
        </w:rPr>
      </w:pPr>
      <w:r>
        <w:rPr>
          <w:sz w:val="21"/>
        </w:rPr>
        <w:t>On August 31, 1863, an order was passed by Deputy Commissioner regarding the rent-free land (fetching an annual rent of Rs. 302/3/6) which was sanctioned by the Government to the Masjid Janamsthan. It was ordered that the map of the proposed land marked for the purpose should clearly indicate boundaries and be sent by the Deputy Commissioner to the</w:t>
      </w:r>
      <w:r>
        <w:rPr>
          <w:spacing w:val="-5"/>
          <w:sz w:val="21"/>
        </w:rPr>
        <w:t> </w:t>
      </w:r>
      <w:r>
        <w:rPr>
          <w:sz w:val="21"/>
        </w:rPr>
        <w:t>Commissioner.</w:t>
      </w:r>
    </w:p>
    <w:p>
      <w:pPr>
        <w:pStyle w:val="ListParagraph"/>
        <w:numPr>
          <w:ilvl w:val="1"/>
          <w:numId w:val="218"/>
        </w:numPr>
        <w:tabs>
          <w:tab w:pos="2283" w:val="left" w:leader="none"/>
        </w:tabs>
        <w:spacing w:line="276" w:lineRule="auto" w:before="0" w:after="0"/>
        <w:ind w:left="1940" w:right="2261" w:firstLine="0"/>
        <w:jc w:val="both"/>
        <w:rPr>
          <w:sz w:val="21"/>
        </w:rPr>
      </w:pPr>
      <w:r>
        <w:rPr>
          <w:sz w:val="21"/>
        </w:rPr>
        <w:t>On September 13, 1860, order was passed by the Deputy Commissioner, Faizabad, wherein it was stated that the map of the lands which had been selected for approval for giving in lieu of the lands of the Masjid had been sent. It was therefore ordered that the proceedings be presented before the Additional Assistant Commissioner for immediate</w:t>
      </w:r>
      <w:r>
        <w:rPr>
          <w:spacing w:val="-11"/>
          <w:sz w:val="21"/>
        </w:rPr>
        <w:t> </w:t>
      </w:r>
      <w:r>
        <w:rPr>
          <w:sz w:val="21"/>
        </w:rPr>
        <w:t>action.</w:t>
      </w:r>
    </w:p>
    <w:p>
      <w:pPr>
        <w:pStyle w:val="ListParagraph"/>
        <w:numPr>
          <w:ilvl w:val="1"/>
          <w:numId w:val="218"/>
        </w:numPr>
        <w:tabs>
          <w:tab w:pos="2313" w:val="left" w:leader="none"/>
        </w:tabs>
        <w:spacing w:line="276" w:lineRule="auto" w:before="0" w:after="0"/>
        <w:ind w:left="1940" w:right="2265" w:firstLine="0"/>
        <w:jc w:val="both"/>
        <w:rPr>
          <w:sz w:val="21"/>
        </w:rPr>
      </w:pPr>
      <w:r>
        <w:rPr>
          <w:sz w:val="21"/>
        </w:rPr>
        <w:t>Thereafter several orders were passed to consider as to which lands were to be allotted for the purpose of the</w:t>
      </w:r>
      <w:r>
        <w:rPr>
          <w:spacing w:val="-16"/>
          <w:sz w:val="21"/>
        </w:rPr>
        <w:t> </w:t>
      </w:r>
      <w:r>
        <w:rPr>
          <w:sz w:val="21"/>
        </w:rPr>
        <w:t>Masjid.</w:t>
      </w:r>
    </w:p>
    <w:p>
      <w:pPr>
        <w:pStyle w:val="ListParagraph"/>
        <w:numPr>
          <w:ilvl w:val="1"/>
          <w:numId w:val="218"/>
        </w:numPr>
        <w:tabs>
          <w:tab w:pos="2243" w:val="left" w:leader="none"/>
        </w:tabs>
        <w:spacing w:line="276" w:lineRule="auto" w:before="1" w:after="0"/>
        <w:ind w:left="1940" w:right="2264" w:firstLine="0"/>
        <w:jc w:val="both"/>
        <w:rPr>
          <w:sz w:val="21"/>
        </w:rPr>
      </w:pPr>
      <w:r>
        <w:rPr>
          <w:sz w:val="21"/>
        </w:rPr>
        <w:t>On October 10, 1865 it was ordered that possession of the lands should be immediately given and acknowledgment should be</w:t>
      </w:r>
      <w:r>
        <w:rPr>
          <w:spacing w:val="-1"/>
          <w:sz w:val="21"/>
        </w:rPr>
        <w:t> </w:t>
      </w:r>
      <w:r>
        <w:rPr>
          <w:sz w:val="21"/>
        </w:rPr>
        <w:t>taken.</w:t>
      </w:r>
    </w:p>
    <w:p>
      <w:pPr>
        <w:pStyle w:val="ListParagraph"/>
        <w:numPr>
          <w:ilvl w:val="1"/>
          <w:numId w:val="218"/>
        </w:numPr>
        <w:tabs>
          <w:tab w:pos="2423" w:val="left" w:leader="none"/>
        </w:tabs>
        <w:spacing w:line="276" w:lineRule="auto" w:before="0" w:after="0"/>
        <w:ind w:left="1940" w:right="2264" w:firstLine="0"/>
        <w:jc w:val="both"/>
        <w:rPr>
          <w:sz w:val="21"/>
        </w:rPr>
      </w:pPr>
      <w:r>
        <w:rPr>
          <w:sz w:val="21"/>
        </w:rPr>
        <w:t>On October 19, 1865, it was reported that the proceedings regarding the handing over the land have been completed and the acknowledgement was also</w:t>
      </w:r>
      <w:r>
        <w:rPr>
          <w:spacing w:val="-12"/>
          <w:sz w:val="21"/>
        </w:rPr>
        <w:t> </w:t>
      </w:r>
      <w:r>
        <w:rPr>
          <w:sz w:val="21"/>
        </w:rPr>
        <w:t>confirmed.</w:t>
      </w:r>
    </w:p>
    <w:p>
      <w:pPr>
        <w:spacing w:after="0" w:line="276" w:lineRule="auto"/>
        <w:jc w:val="both"/>
        <w:rPr>
          <w:sz w:val="21"/>
        </w:rPr>
        <w:sectPr>
          <w:pgSz w:w="11910" w:h="16840"/>
          <w:pgMar w:header="721" w:footer="1014" w:top="1300" w:bottom="1200" w:left="940" w:right="1000"/>
        </w:sectPr>
      </w:pPr>
    </w:p>
    <w:p>
      <w:pPr>
        <w:pStyle w:val="ListParagraph"/>
        <w:numPr>
          <w:ilvl w:val="1"/>
          <w:numId w:val="218"/>
        </w:numPr>
        <w:tabs>
          <w:tab w:pos="2449" w:val="left" w:leader="none"/>
        </w:tabs>
        <w:spacing w:line="276" w:lineRule="auto" w:before="122" w:after="0"/>
        <w:ind w:left="1940" w:right="2264" w:firstLine="0"/>
        <w:jc w:val="left"/>
        <w:rPr>
          <w:sz w:val="21"/>
        </w:rPr>
      </w:pPr>
      <w:r>
        <w:rPr>
          <w:sz w:val="21"/>
        </w:rPr>
        <w:t>Subsequently, on October 30, 1865, the file was consigned to the</w:t>
      </w:r>
      <w:r>
        <w:rPr>
          <w:spacing w:val="-5"/>
          <w:sz w:val="21"/>
        </w:rPr>
        <w:t> </w:t>
      </w:r>
      <w:r>
        <w:rPr>
          <w:sz w:val="21"/>
        </w:rPr>
        <w:t>record.‖</w:t>
      </w:r>
    </w:p>
    <w:p>
      <w:pPr>
        <w:pStyle w:val="BodyText"/>
        <w:rPr>
          <w:sz w:val="24"/>
        </w:rPr>
      </w:pPr>
    </w:p>
    <w:p>
      <w:pPr>
        <w:pStyle w:val="BodyText"/>
        <w:rPr>
          <w:sz w:val="24"/>
        </w:rPr>
      </w:pPr>
    </w:p>
    <w:p>
      <w:pPr>
        <w:pStyle w:val="BodyText"/>
        <w:spacing w:before="2"/>
        <w:rPr>
          <w:sz w:val="27"/>
        </w:rPr>
      </w:pPr>
    </w:p>
    <w:p>
      <w:pPr>
        <w:pStyle w:val="Heading3"/>
        <w:numPr>
          <w:ilvl w:val="0"/>
          <w:numId w:val="216"/>
        </w:numPr>
        <w:tabs>
          <w:tab w:pos="1221" w:val="left" w:leader="none"/>
        </w:tabs>
        <w:spacing w:line="240" w:lineRule="auto" w:before="0" w:after="0"/>
        <w:ind w:left="1220" w:right="0" w:hanging="721"/>
        <w:jc w:val="both"/>
      </w:pPr>
      <w:r>
        <w:rPr/>
        <w:t>Grants of</w:t>
      </w:r>
      <w:r>
        <w:rPr>
          <w:spacing w:val="-3"/>
        </w:rPr>
        <w:t> </w:t>
      </w:r>
      <w:r>
        <w:rPr/>
        <w:t>1870</w:t>
      </w:r>
    </w:p>
    <w:p>
      <w:pPr>
        <w:pStyle w:val="BodyText"/>
        <w:rPr>
          <w:b/>
          <w:sz w:val="28"/>
        </w:rPr>
      </w:pPr>
    </w:p>
    <w:p>
      <w:pPr>
        <w:pStyle w:val="BodyText"/>
        <w:spacing w:before="10"/>
        <w:rPr>
          <w:b/>
          <w:sz w:val="23"/>
        </w:rPr>
      </w:pPr>
    </w:p>
    <w:p>
      <w:pPr>
        <w:pStyle w:val="ListParagraph"/>
        <w:numPr>
          <w:ilvl w:val="0"/>
          <w:numId w:val="219"/>
        </w:numPr>
        <w:tabs>
          <w:tab w:pos="1221" w:val="left" w:leader="none"/>
        </w:tabs>
        <w:spacing w:line="480" w:lineRule="auto" w:before="0" w:after="0"/>
        <w:ind w:left="500" w:right="434" w:firstLine="0"/>
        <w:jc w:val="both"/>
        <w:rPr>
          <w:sz w:val="25"/>
        </w:rPr>
      </w:pPr>
      <w:r>
        <w:rPr>
          <w:sz w:val="25"/>
        </w:rPr>
        <w:t>The British Government having discontinued the annual cash grant, on repeated representations of Mohd Asghar and Rajjab Ali, granted fresh land in Muafi in the villages of Bhuraipur and Sholapur in 1870. Later on, a sanad was issued by the Chief Commissioner that the cash nankar of Rs 302/3annas/6pies received by Rajjab Ali and Mohd Asghar as rent-free tenure in village Shahanwa under the former Government (Rule of Nawab) was being maintained (as Muafi and in the villages of Bhuraipur and Sholapur) under the authority of the  Governor General in Council so long as the object for which the grant had been made was kept</w:t>
      </w:r>
      <w:r>
        <w:rPr>
          <w:spacing w:val="-4"/>
          <w:sz w:val="25"/>
        </w:rPr>
        <w:t> </w:t>
      </w:r>
      <w:r>
        <w:rPr>
          <w:sz w:val="25"/>
        </w:rPr>
        <w:t>up.</w:t>
      </w:r>
    </w:p>
    <w:p>
      <w:pPr>
        <w:pStyle w:val="BodyText"/>
        <w:spacing w:before="1"/>
        <w:rPr>
          <w:sz w:val="39"/>
        </w:rPr>
      </w:pPr>
    </w:p>
    <w:p>
      <w:pPr>
        <w:spacing w:line="480" w:lineRule="auto" w:before="0"/>
        <w:ind w:left="500" w:right="439" w:firstLine="0"/>
        <w:jc w:val="both"/>
        <w:rPr>
          <w:sz w:val="25"/>
        </w:rPr>
      </w:pPr>
      <w:r>
        <w:rPr>
          <w:sz w:val="25"/>
        </w:rPr>
        <w:t>On 3 January/February 1870, an order was passed by the Settlement Officer in </w:t>
      </w:r>
      <w:r>
        <w:rPr>
          <w:b/>
          <w:sz w:val="25"/>
        </w:rPr>
        <w:t>Mohd Afzal Ali and Mohd Asghar </w:t>
      </w:r>
      <w:r>
        <w:rPr>
          <w:sz w:val="25"/>
        </w:rPr>
        <w:t>v </w:t>
      </w:r>
      <w:r>
        <w:rPr>
          <w:b/>
          <w:sz w:val="25"/>
        </w:rPr>
        <w:t>Government</w:t>
      </w:r>
      <w:r>
        <w:rPr>
          <w:sz w:val="25"/>
          <w:vertAlign w:val="superscript"/>
        </w:rPr>
        <w:t>357</w:t>
      </w:r>
      <w:r>
        <w:rPr>
          <w:sz w:val="25"/>
          <w:vertAlign w:val="baseline"/>
        </w:rPr>
        <w:t>, wherein it was decreed as follows:</w:t>
      </w:r>
    </w:p>
    <w:p>
      <w:pPr>
        <w:spacing w:line="276" w:lineRule="auto" w:before="0"/>
        <w:ind w:left="1940" w:right="2258" w:firstLine="0"/>
        <w:jc w:val="both"/>
        <w:rPr>
          <w:sz w:val="21"/>
        </w:rPr>
      </w:pPr>
      <w:r>
        <w:rPr>
          <w:spacing w:val="-1"/>
          <w:w w:val="33"/>
          <w:sz w:val="21"/>
        </w:rPr>
        <w:t>―</w:t>
      </w:r>
      <w:r>
        <w:rPr>
          <w:w w:val="100"/>
          <w:sz w:val="21"/>
        </w:rPr>
        <w:t>The</w:t>
      </w:r>
      <w:r>
        <w:rPr>
          <w:sz w:val="21"/>
        </w:rPr>
        <w:t> </w:t>
      </w:r>
      <w:r>
        <w:rPr>
          <w:spacing w:val="-3"/>
          <w:w w:val="100"/>
          <w:sz w:val="21"/>
        </w:rPr>
        <w:t>s</w:t>
      </w:r>
      <w:r>
        <w:rPr>
          <w:spacing w:val="-1"/>
          <w:w w:val="100"/>
          <w:sz w:val="21"/>
        </w:rPr>
        <w:t>upe</w:t>
      </w:r>
      <w:r>
        <w:rPr>
          <w:spacing w:val="-3"/>
          <w:w w:val="100"/>
          <w:sz w:val="21"/>
        </w:rPr>
        <w:t>r</w:t>
      </w:r>
      <w:r>
        <w:rPr>
          <w:w w:val="100"/>
          <w:sz w:val="21"/>
        </w:rPr>
        <w:t>i</w:t>
      </w:r>
      <w:r>
        <w:rPr>
          <w:spacing w:val="-1"/>
          <w:w w:val="100"/>
          <w:sz w:val="21"/>
        </w:rPr>
        <w:t>o</w:t>
      </w:r>
      <w:r>
        <w:rPr>
          <w:w w:val="100"/>
          <w:sz w:val="21"/>
        </w:rPr>
        <w:t>r</w:t>
      </w:r>
      <w:r>
        <w:rPr>
          <w:sz w:val="21"/>
        </w:rPr>
        <w:t> </w:t>
      </w:r>
      <w:r>
        <w:rPr>
          <w:spacing w:val="-1"/>
          <w:w w:val="100"/>
          <w:sz w:val="21"/>
        </w:rPr>
        <w:t>p</w:t>
      </w:r>
      <w:r>
        <w:rPr>
          <w:spacing w:val="-3"/>
          <w:w w:val="100"/>
          <w:sz w:val="21"/>
        </w:rPr>
        <w:t>r</w:t>
      </w:r>
      <w:r>
        <w:rPr>
          <w:spacing w:val="-1"/>
          <w:w w:val="100"/>
          <w:sz w:val="21"/>
        </w:rPr>
        <w:t>opr</w:t>
      </w:r>
      <w:r>
        <w:rPr>
          <w:spacing w:val="-2"/>
          <w:w w:val="100"/>
          <w:sz w:val="21"/>
        </w:rPr>
        <w:t>i</w:t>
      </w:r>
      <w:r>
        <w:rPr>
          <w:spacing w:val="-1"/>
          <w:w w:val="100"/>
          <w:sz w:val="21"/>
        </w:rPr>
        <w:t>etar</w:t>
      </w:r>
      <w:r>
        <w:rPr>
          <w:w w:val="100"/>
          <w:sz w:val="21"/>
        </w:rPr>
        <w:t>y</w:t>
      </w:r>
      <w:r>
        <w:rPr>
          <w:sz w:val="21"/>
        </w:rPr>
        <w:t> </w:t>
      </w:r>
      <w:r>
        <w:rPr>
          <w:spacing w:val="-1"/>
          <w:w w:val="100"/>
          <w:sz w:val="21"/>
        </w:rPr>
        <w:t>r</w:t>
      </w:r>
      <w:r>
        <w:rPr>
          <w:w w:val="100"/>
          <w:sz w:val="21"/>
        </w:rPr>
        <w:t>i</w:t>
      </w:r>
      <w:r>
        <w:rPr>
          <w:spacing w:val="-1"/>
          <w:w w:val="100"/>
          <w:sz w:val="21"/>
        </w:rPr>
        <w:t>gh</w:t>
      </w:r>
      <w:r>
        <w:rPr>
          <w:w w:val="100"/>
          <w:sz w:val="21"/>
        </w:rPr>
        <w:t>t</w:t>
      </w:r>
      <w:r>
        <w:rPr>
          <w:sz w:val="21"/>
        </w:rPr>
        <w:t> </w:t>
      </w:r>
      <w:r>
        <w:rPr>
          <w:w w:val="100"/>
          <w:sz w:val="21"/>
        </w:rPr>
        <w:t>in</w:t>
      </w:r>
      <w:r>
        <w:rPr>
          <w:sz w:val="21"/>
        </w:rPr>
        <w:t> </w:t>
      </w:r>
      <w:r>
        <w:rPr>
          <w:spacing w:val="-1"/>
          <w:w w:val="100"/>
          <w:sz w:val="21"/>
        </w:rPr>
        <w:t>M</w:t>
      </w:r>
      <w:r>
        <w:rPr>
          <w:spacing w:val="-3"/>
          <w:w w:val="100"/>
          <w:sz w:val="21"/>
        </w:rPr>
        <w:t>a</w:t>
      </w:r>
      <w:r>
        <w:rPr>
          <w:spacing w:val="-1"/>
          <w:w w:val="100"/>
          <w:sz w:val="21"/>
        </w:rPr>
        <w:t>u</w:t>
      </w:r>
      <w:r>
        <w:rPr>
          <w:spacing w:val="-3"/>
          <w:w w:val="100"/>
          <w:sz w:val="21"/>
        </w:rPr>
        <w:t>z</w:t>
      </w:r>
      <w:r>
        <w:rPr>
          <w:w w:val="100"/>
          <w:sz w:val="21"/>
        </w:rPr>
        <w:t>a</w:t>
      </w:r>
      <w:r>
        <w:rPr>
          <w:sz w:val="21"/>
        </w:rPr>
        <w:t> </w:t>
      </w:r>
      <w:r>
        <w:rPr>
          <w:w w:val="100"/>
          <w:sz w:val="21"/>
        </w:rPr>
        <w:t>B</w:t>
      </w:r>
      <w:r>
        <w:rPr>
          <w:spacing w:val="-3"/>
          <w:w w:val="100"/>
          <w:sz w:val="21"/>
        </w:rPr>
        <w:t>a</w:t>
      </w:r>
      <w:r>
        <w:rPr>
          <w:spacing w:val="-1"/>
          <w:w w:val="100"/>
          <w:sz w:val="21"/>
        </w:rPr>
        <w:t>hro</w:t>
      </w:r>
      <w:r>
        <w:rPr>
          <w:spacing w:val="-3"/>
          <w:w w:val="100"/>
          <w:sz w:val="21"/>
        </w:rPr>
        <w:t>n</w:t>
      </w:r>
      <w:r>
        <w:rPr>
          <w:spacing w:val="-1"/>
          <w:w w:val="100"/>
          <w:sz w:val="21"/>
        </w:rPr>
        <w:t>pu</w:t>
      </w:r>
      <w:r>
        <w:rPr>
          <w:w w:val="100"/>
          <w:sz w:val="21"/>
        </w:rPr>
        <w:t>r</w:t>
      </w:r>
      <w:r>
        <w:rPr>
          <w:sz w:val="21"/>
        </w:rPr>
        <w:t> </w:t>
      </w:r>
      <w:r>
        <w:rPr>
          <w:spacing w:val="-2"/>
          <w:w w:val="100"/>
          <w:sz w:val="21"/>
        </w:rPr>
        <w:t>i</w:t>
      </w:r>
      <w:r>
        <w:rPr>
          <w:w w:val="100"/>
          <w:sz w:val="21"/>
        </w:rPr>
        <w:t>s</w:t>
      </w:r>
      <w:r>
        <w:rPr>
          <w:sz w:val="21"/>
        </w:rPr>
        <w:t> </w:t>
      </w:r>
      <w:r>
        <w:rPr>
          <w:spacing w:val="-1"/>
          <w:w w:val="100"/>
          <w:sz w:val="21"/>
        </w:rPr>
        <w:t>decr</w:t>
      </w:r>
      <w:r>
        <w:rPr>
          <w:spacing w:val="-3"/>
          <w:w w:val="100"/>
          <w:sz w:val="21"/>
        </w:rPr>
        <w:t>e</w:t>
      </w:r>
      <w:r>
        <w:rPr>
          <w:spacing w:val="-1"/>
          <w:w w:val="100"/>
          <w:sz w:val="21"/>
        </w:rPr>
        <w:t>ed </w:t>
      </w:r>
      <w:r>
        <w:rPr>
          <w:sz w:val="21"/>
        </w:rPr>
        <w:t>revenue free to Mohammad Asghar and Mohammad Afzal Ali.‖</w:t>
      </w:r>
    </w:p>
    <w:p>
      <w:pPr>
        <w:pStyle w:val="BodyText"/>
        <w:rPr>
          <w:sz w:val="24"/>
        </w:rPr>
      </w:pPr>
    </w:p>
    <w:p>
      <w:pPr>
        <w:pStyle w:val="BodyText"/>
        <w:rPr>
          <w:sz w:val="24"/>
        </w:rPr>
      </w:pPr>
    </w:p>
    <w:p>
      <w:pPr>
        <w:pStyle w:val="BodyText"/>
        <w:rPr>
          <w:sz w:val="27"/>
        </w:rPr>
      </w:pPr>
    </w:p>
    <w:p>
      <w:pPr>
        <w:pStyle w:val="Heading3"/>
        <w:numPr>
          <w:ilvl w:val="0"/>
          <w:numId w:val="216"/>
        </w:numPr>
        <w:tabs>
          <w:tab w:pos="1221" w:val="left" w:leader="none"/>
        </w:tabs>
        <w:spacing w:line="240" w:lineRule="auto" w:before="1" w:after="0"/>
        <w:ind w:left="1220" w:right="0" w:hanging="721"/>
        <w:jc w:val="both"/>
      </w:pPr>
      <w:r>
        <w:rPr/>
        <w:t>Nakal Khasra</w:t>
      </w:r>
      <w:r>
        <w:rPr>
          <w:spacing w:val="-8"/>
        </w:rPr>
        <w:t> </w:t>
      </w:r>
      <w:r>
        <w:rPr/>
        <w:t>Abadi</w:t>
      </w:r>
    </w:p>
    <w:p>
      <w:pPr>
        <w:pStyle w:val="BodyText"/>
        <w:rPr>
          <w:b/>
          <w:sz w:val="28"/>
        </w:rPr>
      </w:pPr>
    </w:p>
    <w:p>
      <w:pPr>
        <w:pStyle w:val="BodyText"/>
        <w:rPr>
          <w:b/>
          <w:sz w:val="24"/>
        </w:rPr>
      </w:pPr>
    </w:p>
    <w:p>
      <w:pPr>
        <w:pStyle w:val="ListParagraph"/>
        <w:numPr>
          <w:ilvl w:val="0"/>
          <w:numId w:val="219"/>
        </w:numPr>
        <w:tabs>
          <w:tab w:pos="1221" w:val="left" w:leader="none"/>
        </w:tabs>
        <w:spacing w:line="480" w:lineRule="auto" w:before="0" w:after="0"/>
        <w:ind w:left="500" w:right="445" w:firstLine="0"/>
        <w:jc w:val="both"/>
        <w:rPr>
          <w:sz w:val="25"/>
        </w:rPr>
      </w:pPr>
      <w:r>
        <w:rPr>
          <w:sz w:val="25"/>
        </w:rPr>
        <w:t>In 1931, the entry in the Nakal Khasra Abadi mentioned in the Nazul register</w:t>
      </w:r>
      <w:r>
        <w:rPr>
          <w:spacing w:val="18"/>
          <w:sz w:val="25"/>
        </w:rPr>
        <w:t> </w:t>
      </w:r>
      <w:r>
        <w:rPr>
          <w:sz w:val="25"/>
        </w:rPr>
        <w:t>records</w:t>
      </w:r>
      <w:r>
        <w:rPr>
          <w:spacing w:val="17"/>
          <w:sz w:val="25"/>
        </w:rPr>
        <w:t> </w:t>
      </w:r>
      <w:r>
        <w:rPr>
          <w:sz w:val="25"/>
        </w:rPr>
        <w:t>the</w:t>
      </w:r>
      <w:r>
        <w:rPr>
          <w:spacing w:val="16"/>
          <w:sz w:val="25"/>
        </w:rPr>
        <w:t> </w:t>
      </w:r>
      <w:r>
        <w:rPr>
          <w:sz w:val="25"/>
        </w:rPr>
        <w:t>presence</w:t>
      </w:r>
      <w:r>
        <w:rPr>
          <w:spacing w:val="17"/>
          <w:sz w:val="25"/>
        </w:rPr>
        <w:t> </w:t>
      </w:r>
      <w:r>
        <w:rPr>
          <w:sz w:val="25"/>
        </w:rPr>
        <w:t>of</w:t>
      </w:r>
      <w:r>
        <w:rPr>
          <w:spacing w:val="18"/>
          <w:sz w:val="25"/>
        </w:rPr>
        <w:t> </w:t>
      </w:r>
      <w:r>
        <w:rPr>
          <w:sz w:val="25"/>
        </w:rPr>
        <w:t>Babri</w:t>
      </w:r>
      <w:r>
        <w:rPr>
          <w:spacing w:val="14"/>
          <w:sz w:val="25"/>
        </w:rPr>
        <w:t> </w:t>
      </w:r>
      <w:r>
        <w:rPr>
          <w:sz w:val="25"/>
        </w:rPr>
        <w:t>Masjid</w:t>
      </w:r>
      <w:r>
        <w:rPr>
          <w:spacing w:val="17"/>
          <w:sz w:val="25"/>
        </w:rPr>
        <w:t> </w:t>
      </w:r>
      <w:r>
        <w:rPr>
          <w:sz w:val="25"/>
        </w:rPr>
        <w:t>at</w:t>
      </w:r>
      <w:r>
        <w:rPr>
          <w:spacing w:val="18"/>
          <w:sz w:val="25"/>
        </w:rPr>
        <w:t> </w:t>
      </w:r>
      <w:r>
        <w:rPr>
          <w:sz w:val="25"/>
        </w:rPr>
        <w:t>Plot</w:t>
      </w:r>
      <w:r>
        <w:rPr>
          <w:spacing w:val="17"/>
          <w:sz w:val="25"/>
        </w:rPr>
        <w:t> </w:t>
      </w:r>
      <w:r>
        <w:rPr>
          <w:sz w:val="25"/>
        </w:rPr>
        <w:t>No.</w:t>
      </w:r>
      <w:r>
        <w:rPr>
          <w:spacing w:val="18"/>
          <w:sz w:val="25"/>
        </w:rPr>
        <w:t> </w:t>
      </w:r>
      <w:r>
        <w:rPr>
          <w:sz w:val="25"/>
        </w:rPr>
        <w:t>583</w:t>
      </w:r>
      <w:r>
        <w:rPr>
          <w:spacing w:val="15"/>
          <w:sz w:val="25"/>
        </w:rPr>
        <w:t> </w:t>
      </w:r>
      <w:r>
        <w:rPr>
          <w:sz w:val="25"/>
        </w:rPr>
        <w:t>and</w:t>
      </w:r>
      <w:r>
        <w:rPr>
          <w:spacing w:val="17"/>
          <w:sz w:val="25"/>
        </w:rPr>
        <w:t> </w:t>
      </w:r>
      <w:r>
        <w:rPr>
          <w:sz w:val="25"/>
        </w:rPr>
        <w:t>notes</w:t>
      </w:r>
      <w:r>
        <w:rPr>
          <w:spacing w:val="18"/>
          <w:sz w:val="25"/>
        </w:rPr>
        <w:t> </w:t>
      </w:r>
      <w:r>
        <w:rPr>
          <w:sz w:val="25"/>
        </w:rPr>
        <w:t>that</w:t>
      </w:r>
      <w:r>
        <w:rPr>
          <w:spacing w:val="14"/>
          <w:sz w:val="25"/>
        </w:rPr>
        <w:t> </w:t>
      </w:r>
      <w:r>
        <w:rPr>
          <w:sz w:val="25"/>
        </w:rPr>
        <w:t>the</w:t>
      </w:r>
    </w:p>
    <w:p>
      <w:pPr>
        <w:pStyle w:val="BodyText"/>
        <w:spacing w:before="7"/>
        <w:rPr>
          <w:sz w:val="16"/>
        </w:rPr>
      </w:pPr>
      <w:r>
        <w:rPr/>
        <w:pict>
          <v:rect style="position:absolute;margin-left:72.024002pt;margin-top:11.504041pt;width:144.020pt;height:.599980pt;mso-position-horizontal-relative:page;mso-position-vertical-relative:paragraph;z-index:-1562163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357</w:t>
      </w:r>
      <w:r>
        <w:rPr>
          <w:sz w:val="18"/>
          <w:vertAlign w:val="baseline"/>
        </w:rPr>
        <w:t> Case No.5</w:t>
      </w:r>
    </w:p>
    <w:p>
      <w:pPr>
        <w:spacing w:after="0"/>
        <w:jc w:val="left"/>
        <w:rPr>
          <w:sz w:val="18"/>
        </w:rPr>
        <w:sectPr>
          <w:pgSz w:w="11910" w:h="16840"/>
          <w:pgMar w:header="721" w:footer="1014" w:top="1300" w:bottom="1200" w:left="940" w:right="1000"/>
        </w:sectPr>
      </w:pPr>
    </w:p>
    <w:p>
      <w:pPr>
        <w:pStyle w:val="BodyText"/>
        <w:spacing w:line="480" w:lineRule="auto" w:before="124"/>
        <w:ind w:left="500" w:right="442"/>
        <w:jc w:val="both"/>
      </w:pPr>
      <w:r>
        <w:rPr>
          <w:w w:val="99"/>
        </w:rPr>
        <w:t>same</w:t>
      </w:r>
      <w:r>
        <w:rPr/>
        <w:t>  </w:t>
      </w:r>
      <w:r>
        <w:rPr>
          <w:w w:val="99"/>
        </w:rPr>
        <w:t>was</w:t>
      </w:r>
      <w:r>
        <w:rPr/>
        <w:t>  </w:t>
      </w:r>
      <w:r>
        <w:rPr>
          <w:w w:val="99"/>
        </w:rPr>
        <w:t>a</w:t>
      </w:r>
      <w:r>
        <w:rPr/>
        <w:t>  </w:t>
      </w:r>
      <w:r>
        <w:rPr>
          <w:w w:val="33"/>
        </w:rPr>
        <w:t>―</w:t>
      </w:r>
      <w:r>
        <w:rPr>
          <w:w w:val="99"/>
        </w:rPr>
        <w:t>Masjid</w:t>
      </w:r>
      <w:r>
        <w:rPr/>
        <w:t>  </w:t>
      </w:r>
      <w:r>
        <w:rPr>
          <w:w w:val="99"/>
        </w:rPr>
        <w:t>Waqf</w:t>
      </w:r>
      <w:r>
        <w:rPr/>
        <w:t>  </w:t>
      </w:r>
      <w:r>
        <w:rPr>
          <w:w w:val="99"/>
        </w:rPr>
        <w:t>Ahde</w:t>
      </w:r>
      <w:r>
        <w:rPr/>
        <w:t>  </w:t>
      </w:r>
      <w:r>
        <w:rPr>
          <w:w w:val="99"/>
        </w:rPr>
        <w:t>Sha</w:t>
      </w:r>
      <w:r>
        <w:rPr>
          <w:w w:val="93"/>
        </w:rPr>
        <w:t>hi‖</w:t>
      </w:r>
      <w:r>
        <w:rPr>
          <w:w w:val="99"/>
        </w:rPr>
        <w:t>.</w:t>
      </w:r>
      <w:r>
        <w:rPr/>
        <w:t>  </w:t>
      </w:r>
      <w:r>
        <w:rPr>
          <w:w w:val="99"/>
        </w:rPr>
        <w:t>This</w:t>
      </w:r>
      <w:r>
        <w:rPr/>
        <w:t>  </w:t>
      </w:r>
      <w:r>
        <w:rPr>
          <w:w w:val="99"/>
        </w:rPr>
        <w:t>document</w:t>
      </w:r>
      <w:r>
        <w:rPr/>
        <w:t>  </w:t>
      </w:r>
      <w:r>
        <w:rPr>
          <w:w w:val="99"/>
        </w:rPr>
        <w:t>also</w:t>
      </w:r>
      <w:r>
        <w:rPr/>
        <w:t>  </w:t>
      </w:r>
      <w:r>
        <w:rPr>
          <w:w w:val="99"/>
        </w:rPr>
        <w:t>notes</w:t>
      </w:r>
      <w:r>
        <w:rPr/>
        <w:t>  </w:t>
      </w:r>
      <w:r>
        <w:rPr>
          <w:w w:val="99"/>
        </w:rPr>
        <w:t>that</w:t>
      </w:r>
      <w:r>
        <w:rPr/>
        <w:t>  </w:t>
      </w:r>
      <w:r>
        <w:rPr>
          <w:w w:val="99"/>
        </w:rPr>
        <w:t>the </w:t>
      </w:r>
      <w:r>
        <w:rPr/>
        <w:t>Ramchabutra was famous as the birth-place.</w:t>
      </w:r>
    </w:p>
    <w:p>
      <w:pPr>
        <w:pStyle w:val="BodyText"/>
        <w:spacing w:before="160"/>
        <w:ind w:left="500"/>
        <w:jc w:val="both"/>
      </w:pPr>
      <w:r>
        <w:rPr/>
        <w:t>The document </w:t>
      </w:r>
      <w:r>
        <w:rPr>
          <w:i/>
        </w:rPr>
        <w:t>inter alia </w:t>
      </w:r>
      <w:r>
        <w:rPr/>
        <w:t>contains the following entries:</w:t>
      </w:r>
    </w:p>
    <w:p>
      <w:pPr>
        <w:pStyle w:val="BodyText"/>
        <w:rPr>
          <w:sz w:val="28"/>
        </w:rPr>
      </w:pPr>
    </w:p>
    <w:p>
      <w:pPr>
        <w:spacing w:before="251"/>
        <w:ind w:left="1940" w:right="0" w:firstLine="0"/>
        <w:jc w:val="both"/>
        <w:rPr>
          <w:sz w:val="21"/>
        </w:rPr>
      </w:pPr>
      <w:r>
        <w:rPr>
          <w:spacing w:val="-1"/>
          <w:w w:val="33"/>
          <w:sz w:val="21"/>
        </w:rPr>
        <w:t>―</w:t>
      </w:r>
      <w:r>
        <w:rPr>
          <w:w w:val="100"/>
          <w:sz w:val="21"/>
        </w:rPr>
        <w:t>D</w:t>
      </w:r>
      <w:r>
        <w:rPr>
          <w:spacing w:val="-1"/>
          <w:w w:val="100"/>
          <w:sz w:val="21"/>
        </w:rPr>
        <w:t>ast</w:t>
      </w:r>
      <w:r>
        <w:rPr>
          <w:spacing w:val="-3"/>
          <w:w w:val="100"/>
          <w:sz w:val="21"/>
        </w:rPr>
        <w:t>a</w:t>
      </w:r>
      <w:r>
        <w:rPr>
          <w:spacing w:val="-1"/>
          <w:w w:val="100"/>
          <w:sz w:val="21"/>
        </w:rPr>
        <w:t>nda</w:t>
      </w:r>
      <w:r>
        <w:rPr>
          <w:spacing w:val="-2"/>
          <w:w w:val="100"/>
          <w:sz w:val="21"/>
        </w:rPr>
        <w:t>z</w:t>
      </w:r>
      <w:r>
        <w:rPr>
          <w:w w:val="100"/>
          <w:sz w:val="21"/>
        </w:rPr>
        <w:t>i</w:t>
      </w:r>
      <w:r>
        <w:rPr>
          <w:spacing w:val="1"/>
          <w:sz w:val="21"/>
        </w:rPr>
        <w:t> </w:t>
      </w:r>
      <w:r>
        <w:rPr>
          <w:spacing w:val="-1"/>
          <w:w w:val="100"/>
          <w:sz w:val="21"/>
        </w:rPr>
        <w:t>(</w:t>
      </w:r>
      <w:r>
        <w:rPr>
          <w:w w:val="100"/>
          <w:sz w:val="21"/>
        </w:rPr>
        <w:t>11)</w:t>
      </w:r>
      <w:r>
        <w:rPr>
          <w:sz w:val="21"/>
        </w:rPr>
        <w:t>         </w:t>
      </w:r>
      <w:r>
        <w:rPr>
          <w:spacing w:val="20"/>
          <w:sz w:val="21"/>
        </w:rPr>
        <w:t> </w:t>
      </w:r>
      <w:r>
        <w:rPr>
          <w:spacing w:val="-2"/>
          <w:w w:val="100"/>
          <w:sz w:val="21"/>
        </w:rPr>
        <w:t>I</w:t>
      </w:r>
      <w:r>
        <w:rPr>
          <w:w w:val="100"/>
          <w:sz w:val="21"/>
        </w:rPr>
        <w:t>ndraz</w:t>
      </w:r>
      <w:r>
        <w:rPr>
          <w:sz w:val="21"/>
        </w:rPr>
        <w:t> </w:t>
      </w:r>
      <w:r>
        <w:rPr>
          <w:spacing w:val="19"/>
          <w:sz w:val="21"/>
        </w:rPr>
        <w:t> </w:t>
      </w:r>
      <w:r>
        <w:rPr>
          <w:w w:val="100"/>
          <w:sz w:val="21"/>
        </w:rPr>
        <w:t>Rag</w:t>
      </w:r>
      <w:r>
        <w:rPr>
          <w:spacing w:val="-2"/>
          <w:w w:val="100"/>
          <w:sz w:val="21"/>
        </w:rPr>
        <w:t>h</w:t>
      </w:r>
      <w:r>
        <w:rPr>
          <w:w w:val="100"/>
          <w:sz w:val="21"/>
        </w:rPr>
        <w:t>unath</w:t>
      </w:r>
      <w:r>
        <w:rPr>
          <w:sz w:val="21"/>
        </w:rPr>
        <w:t> </w:t>
      </w:r>
      <w:r>
        <w:rPr>
          <w:spacing w:val="19"/>
          <w:sz w:val="21"/>
        </w:rPr>
        <w:t> </w:t>
      </w:r>
      <w:r>
        <w:rPr>
          <w:w w:val="100"/>
          <w:sz w:val="21"/>
        </w:rPr>
        <w:t>D</w:t>
      </w:r>
      <w:r>
        <w:rPr>
          <w:spacing w:val="-3"/>
          <w:w w:val="100"/>
          <w:sz w:val="21"/>
        </w:rPr>
        <w:t>a</w:t>
      </w:r>
      <w:r>
        <w:rPr>
          <w:w w:val="100"/>
          <w:sz w:val="21"/>
        </w:rPr>
        <w:t>s</w:t>
      </w:r>
      <w:r>
        <w:rPr>
          <w:sz w:val="21"/>
        </w:rPr>
        <w:t> </w:t>
      </w:r>
      <w:r>
        <w:rPr>
          <w:spacing w:val="22"/>
          <w:sz w:val="21"/>
        </w:rPr>
        <w:t> </w:t>
      </w:r>
      <w:r>
        <w:rPr>
          <w:w w:val="100"/>
          <w:sz w:val="21"/>
        </w:rPr>
        <w:t>Jan</w:t>
      </w:r>
      <w:r>
        <w:rPr>
          <w:spacing w:val="-2"/>
          <w:w w:val="100"/>
          <w:sz w:val="21"/>
        </w:rPr>
        <w:t>a</w:t>
      </w:r>
      <w:r>
        <w:rPr>
          <w:spacing w:val="-1"/>
          <w:w w:val="100"/>
          <w:sz w:val="21"/>
        </w:rPr>
        <w:t>m</w:t>
      </w:r>
      <w:r>
        <w:rPr>
          <w:w w:val="100"/>
          <w:sz w:val="21"/>
        </w:rPr>
        <w:t>bh</w:t>
      </w:r>
      <w:r>
        <w:rPr>
          <w:spacing w:val="-2"/>
          <w:w w:val="100"/>
          <w:sz w:val="21"/>
        </w:rPr>
        <w:t>u</w:t>
      </w:r>
      <w:r>
        <w:rPr>
          <w:spacing w:val="-1"/>
          <w:w w:val="100"/>
          <w:sz w:val="21"/>
        </w:rPr>
        <w:t>m</w:t>
      </w:r>
      <w:r>
        <w:rPr>
          <w:w w:val="100"/>
          <w:sz w:val="21"/>
        </w:rPr>
        <w:t>i</w:t>
      </w:r>
    </w:p>
    <w:p>
      <w:pPr>
        <w:spacing w:line="276" w:lineRule="auto" w:before="37"/>
        <w:ind w:left="4101" w:right="2258" w:firstLine="0"/>
        <w:jc w:val="both"/>
        <w:rPr>
          <w:sz w:val="21"/>
        </w:rPr>
      </w:pPr>
      <w:r>
        <w:rPr>
          <w:sz w:val="21"/>
        </w:rPr>
        <w:t>Ke Mahant Mukarrar Kiye Gaye, Ke Bajaye Mahant Ram Sharan Das.</w:t>
      </w:r>
    </w:p>
    <w:p>
      <w:pPr>
        <w:pStyle w:val="BodyText"/>
        <w:spacing w:before="2"/>
        <w:rPr>
          <w:sz w:val="24"/>
        </w:rPr>
      </w:pPr>
    </w:p>
    <w:p>
      <w:pPr>
        <w:spacing w:before="0"/>
        <w:ind w:left="1940" w:right="0" w:firstLine="0"/>
        <w:jc w:val="both"/>
        <w:rPr>
          <w:sz w:val="21"/>
        </w:rPr>
      </w:pPr>
      <w:r>
        <w:rPr>
          <w:sz w:val="21"/>
        </w:rPr>
        <w:t>Kaifiyat (Details) (16) Masjid Pokhta Waqf Ahde Shahi</w:t>
      </w:r>
    </w:p>
    <w:p>
      <w:pPr>
        <w:spacing w:line="276" w:lineRule="auto" w:before="37"/>
        <w:ind w:left="4101" w:right="2255" w:firstLine="0"/>
        <w:jc w:val="both"/>
        <w:rPr>
          <w:sz w:val="21"/>
        </w:rPr>
      </w:pPr>
      <w:r>
        <w:rPr>
          <w:sz w:val="21"/>
        </w:rPr>
        <w:t>andar Sahan Masjid Ek Chabutara Jo Janambhumi Ke naam Se Mashhoor Hai, Darakhtan Goolar Ek Imli Ek Mulsiri Ek, Pipal Ek, Bel Ek..Masjid Mausma Shah Babur Shar Marhoom.‖</w:t>
      </w:r>
    </w:p>
    <w:p>
      <w:pPr>
        <w:pStyle w:val="BodyText"/>
        <w:rPr>
          <w:sz w:val="24"/>
        </w:rPr>
      </w:pPr>
    </w:p>
    <w:p>
      <w:pPr>
        <w:pStyle w:val="BodyText"/>
        <w:spacing w:before="2"/>
        <w:rPr>
          <w:sz w:val="28"/>
        </w:rPr>
      </w:pPr>
    </w:p>
    <w:p>
      <w:pPr>
        <w:pStyle w:val="Heading5"/>
        <w:numPr>
          <w:ilvl w:val="1"/>
          <w:numId w:val="191"/>
        </w:numPr>
        <w:tabs>
          <w:tab w:pos="1220" w:val="left" w:leader="none"/>
          <w:tab w:pos="1221" w:val="left" w:leader="none"/>
        </w:tabs>
        <w:spacing w:line="240" w:lineRule="auto" w:before="0" w:after="0"/>
        <w:ind w:left="1220" w:right="0" w:hanging="721"/>
        <w:jc w:val="left"/>
      </w:pPr>
      <w:r>
        <w:rPr/>
        <w:t>Disputes and cases affirming</w:t>
      </w:r>
      <w:r>
        <w:rPr>
          <w:spacing w:val="-3"/>
        </w:rPr>
        <w:t> </w:t>
      </w:r>
      <w:r>
        <w:rPr/>
        <w:t>possession</w:t>
      </w:r>
    </w:p>
    <w:p>
      <w:pPr>
        <w:pStyle w:val="BodyText"/>
        <w:rPr>
          <w:b/>
          <w:sz w:val="28"/>
        </w:rPr>
      </w:pPr>
    </w:p>
    <w:p>
      <w:pPr>
        <w:pStyle w:val="ListParagraph"/>
        <w:numPr>
          <w:ilvl w:val="0"/>
          <w:numId w:val="219"/>
        </w:numPr>
        <w:tabs>
          <w:tab w:pos="1221" w:val="left" w:leader="none"/>
        </w:tabs>
        <w:spacing w:line="480" w:lineRule="auto" w:before="209" w:after="0"/>
        <w:ind w:left="500" w:right="436" w:firstLine="0"/>
        <w:jc w:val="both"/>
        <w:rPr>
          <w:sz w:val="25"/>
        </w:rPr>
      </w:pPr>
      <w:r>
        <w:rPr>
          <w:sz w:val="25"/>
        </w:rPr>
        <w:t>After the riots of 1856-7, the British set up a railing outside the three- domed structure. This evidently appears to have been done to maintain peace and order. Muslims would worship inside the railing while the Hindus would worship outside. The platform which has been described as Ramchabutra was constructed by the Hindus in close proximity to and outside the railing. The construction of the Ramhabutra was adverted to in the written statement of Mohd Asghar in the Suit of 1885. Though, according to the Muslims, on an application by them, an order was passed for digging out the Ramchabutra, no order has been placed on record. Following the incident of 1856-7, several cases were instituted. These include the</w:t>
      </w:r>
      <w:r>
        <w:rPr>
          <w:spacing w:val="-4"/>
          <w:sz w:val="25"/>
        </w:rPr>
        <w:t> </w:t>
      </w:r>
      <w:r>
        <w:rPr>
          <w:sz w:val="25"/>
        </w:rPr>
        <w:t>following:</w:t>
      </w:r>
    </w:p>
    <w:p>
      <w:pPr>
        <w:spacing w:after="0" w:line="480" w:lineRule="auto"/>
        <w:jc w:val="both"/>
        <w:rPr>
          <w:sz w:val="25"/>
        </w:rPr>
        <w:sectPr>
          <w:pgSz w:w="11910" w:h="16840"/>
          <w:pgMar w:header="721" w:footer="1014" w:top="1300" w:bottom="1200" w:left="940" w:right="1000"/>
        </w:sectPr>
      </w:pPr>
    </w:p>
    <w:p>
      <w:pPr>
        <w:pStyle w:val="BodyText"/>
        <w:spacing w:before="7"/>
        <w:rPr>
          <w:sz w:val="27"/>
        </w:rPr>
      </w:pPr>
    </w:p>
    <w:p>
      <w:pPr>
        <w:pStyle w:val="Heading5"/>
        <w:spacing w:before="92"/>
        <w:ind w:left="500" w:firstLine="0"/>
        <w:jc w:val="left"/>
        <w:rPr>
          <w:b w:val="0"/>
        </w:rPr>
      </w:pPr>
      <w:r>
        <w:rPr/>
        <w:t>Case No 884 – Eviction of Nihang Singh Faqir from Masjid premises</w:t>
      </w:r>
      <w:r>
        <w:rPr>
          <w:b w:val="0"/>
        </w:rPr>
        <w:t>:</w:t>
      </w:r>
    </w:p>
    <w:p>
      <w:pPr>
        <w:pStyle w:val="BodyText"/>
        <w:rPr>
          <w:sz w:val="39"/>
        </w:rPr>
      </w:pPr>
    </w:p>
    <w:p>
      <w:pPr>
        <w:pStyle w:val="ListParagraph"/>
        <w:numPr>
          <w:ilvl w:val="0"/>
          <w:numId w:val="220"/>
        </w:numPr>
        <w:tabs>
          <w:tab w:pos="1221" w:val="left" w:leader="none"/>
        </w:tabs>
        <w:spacing w:line="480" w:lineRule="auto" w:before="1" w:after="0"/>
        <w:ind w:left="1220" w:right="441" w:hanging="720"/>
        <w:jc w:val="both"/>
        <w:rPr>
          <w:sz w:val="25"/>
        </w:rPr>
      </w:pPr>
      <w:r>
        <w:rPr>
          <w:sz w:val="25"/>
        </w:rPr>
        <w:t>On 28 November 1858, Thanedar Sheetal Dubey filed an application stating that one Nihang Singh Faqir Khalsa resident of Punjab, organised hawan and puja of Guru Gobind Singh and erected a symbol of ‗Sri Bhagwan‘ within the premises of the Masjid. The Thanedar requested that action, as deemed necessary, may be</w:t>
      </w:r>
      <w:r>
        <w:rPr>
          <w:spacing w:val="-7"/>
          <w:sz w:val="25"/>
        </w:rPr>
        <w:t> </w:t>
      </w:r>
      <w:r>
        <w:rPr>
          <w:sz w:val="25"/>
        </w:rPr>
        <w:t>taken;</w:t>
      </w:r>
    </w:p>
    <w:p>
      <w:pPr>
        <w:pStyle w:val="ListParagraph"/>
        <w:numPr>
          <w:ilvl w:val="0"/>
          <w:numId w:val="220"/>
        </w:numPr>
        <w:tabs>
          <w:tab w:pos="1221" w:val="left" w:leader="none"/>
        </w:tabs>
        <w:spacing w:line="480" w:lineRule="auto" w:before="1" w:after="0"/>
        <w:ind w:left="1220" w:right="442" w:hanging="720"/>
        <w:jc w:val="both"/>
        <w:rPr>
          <w:sz w:val="25"/>
        </w:rPr>
      </w:pPr>
      <w:r>
        <w:rPr>
          <w:sz w:val="25"/>
        </w:rPr>
        <w:t>On 30 November 1858, Syed Mohammad Khatib (Moazzin of the Babri Masjid) lodged a complaint, being case number 884, before the Station House Officer about the installation of a Nishan by Nihang Singh and requested its removal. In the application, he stated</w:t>
      </w:r>
      <w:r>
        <w:rPr>
          <w:spacing w:val="-7"/>
          <w:sz w:val="25"/>
        </w:rPr>
        <w:t> </w:t>
      </w:r>
      <w:r>
        <w:rPr>
          <w:sz w:val="25"/>
        </w:rPr>
        <w:t>that:</w:t>
      </w:r>
    </w:p>
    <w:p>
      <w:pPr>
        <w:pStyle w:val="ListParagraph"/>
        <w:numPr>
          <w:ilvl w:val="1"/>
          <w:numId w:val="220"/>
        </w:numPr>
        <w:tabs>
          <w:tab w:pos="1581" w:val="left" w:leader="none"/>
        </w:tabs>
        <w:spacing w:line="287" w:lineRule="exact" w:before="0" w:after="0"/>
        <w:ind w:left="1580" w:right="0" w:hanging="361"/>
        <w:jc w:val="both"/>
        <w:rPr>
          <w:sz w:val="25"/>
        </w:rPr>
      </w:pPr>
      <w:r>
        <w:rPr>
          <w:sz w:val="25"/>
        </w:rPr>
        <w:t>Nihang Singh is creating a riot in the</w:t>
      </w:r>
      <w:r>
        <w:rPr>
          <w:spacing w:val="-2"/>
          <w:sz w:val="25"/>
        </w:rPr>
        <w:t> </w:t>
      </w:r>
      <w:r>
        <w:rPr>
          <w:sz w:val="25"/>
        </w:rPr>
        <w:t>masjid;</w:t>
      </w:r>
    </w:p>
    <w:p>
      <w:pPr>
        <w:pStyle w:val="BodyText"/>
        <w:spacing w:before="1"/>
      </w:pPr>
    </w:p>
    <w:p>
      <w:pPr>
        <w:pStyle w:val="ListParagraph"/>
        <w:numPr>
          <w:ilvl w:val="1"/>
          <w:numId w:val="220"/>
        </w:numPr>
        <w:tabs>
          <w:tab w:pos="1581" w:val="left" w:leader="none"/>
        </w:tabs>
        <w:spacing w:line="480" w:lineRule="auto" w:before="0" w:after="0"/>
        <w:ind w:left="1580" w:right="443" w:hanging="360"/>
        <w:jc w:val="both"/>
        <w:rPr>
          <w:sz w:val="25"/>
        </w:rPr>
      </w:pPr>
      <w:r>
        <w:rPr>
          <w:sz w:val="25"/>
        </w:rPr>
        <w:t>He had forcibly made a Chabutra inside the masjid, placed a picture of the idol inside the masjid, lit a fire and was conducting puja. He had </w:t>
      </w:r>
      <w:r>
        <w:rPr>
          <w:spacing w:val="-1"/>
          <w:w w:val="99"/>
          <w:sz w:val="25"/>
        </w:rPr>
        <w:t>writ</w:t>
      </w:r>
      <w:r>
        <w:rPr>
          <w:w w:val="99"/>
          <w:sz w:val="25"/>
        </w:rPr>
        <w:t>t</w:t>
      </w:r>
      <w:r>
        <w:rPr>
          <w:spacing w:val="-1"/>
          <w:w w:val="99"/>
          <w:sz w:val="25"/>
        </w:rPr>
        <w:t>e</w:t>
      </w:r>
      <w:r>
        <w:rPr>
          <w:w w:val="99"/>
          <w:sz w:val="25"/>
        </w:rPr>
        <w:t>n</w:t>
      </w:r>
      <w:r>
        <w:rPr>
          <w:sz w:val="25"/>
        </w:rPr>
        <w:t> </w:t>
      </w:r>
      <w:r>
        <w:rPr>
          <w:w w:val="99"/>
          <w:sz w:val="25"/>
        </w:rPr>
        <w:t>the</w:t>
      </w:r>
      <w:r>
        <w:rPr>
          <w:spacing w:val="-1"/>
          <w:sz w:val="25"/>
        </w:rPr>
        <w:t> </w:t>
      </w:r>
      <w:r>
        <w:rPr>
          <w:spacing w:val="-1"/>
          <w:w w:val="99"/>
          <w:sz w:val="25"/>
        </w:rPr>
        <w:t>w</w:t>
      </w:r>
      <w:r>
        <w:rPr>
          <w:w w:val="99"/>
          <w:sz w:val="25"/>
        </w:rPr>
        <w:t>or</w:t>
      </w:r>
      <w:r>
        <w:rPr>
          <w:spacing w:val="-1"/>
          <w:w w:val="99"/>
          <w:sz w:val="25"/>
        </w:rPr>
        <w:t>d</w:t>
      </w:r>
      <w:r>
        <w:rPr>
          <w:w w:val="99"/>
          <w:sz w:val="25"/>
        </w:rPr>
        <w:t>s</w:t>
      </w:r>
      <w:r>
        <w:rPr>
          <w:spacing w:val="-1"/>
          <w:sz w:val="25"/>
        </w:rPr>
        <w:t> </w:t>
      </w:r>
      <w:r>
        <w:rPr>
          <w:spacing w:val="1"/>
          <w:w w:val="33"/>
          <w:sz w:val="25"/>
        </w:rPr>
        <w:t>―</w:t>
      </w:r>
      <w:r>
        <w:rPr>
          <w:spacing w:val="-1"/>
          <w:w w:val="99"/>
          <w:sz w:val="25"/>
        </w:rPr>
        <w:t>R</w:t>
      </w:r>
      <w:r>
        <w:rPr>
          <w:spacing w:val="-3"/>
          <w:w w:val="99"/>
          <w:sz w:val="25"/>
        </w:rPr>
        <w:t>a</w:t>
      </w:r>
      <w:r>
        <w:rPr>
          <w:w w:val="99"/>
          <w:sz w:val="25"/>
        </w:rPr>
        <w:t>m</w:t>
      </w:r>
      <w:r>
        <w:rPr>
          <w:sz w:val="25"/>
        </w:rPr>
        <w:t> </w:t>
      </w:r>
      <w:r>
        <w:rPr>
          <w:spacing w:val="-1"/>
          <w:w w:val="99"/>
          <w:sz w:val="25"/>
        </w:rPr>
        <w:t>Ra</w:t>
      </w:r>
      <w:r>
        <w:rPr>
          <w:w w:val="99"/>
          <w:sz w:val="25"/>
        </w:rPr>
        <w:t>m</w:t>
      </w:r>
      <w:r>
        <w:rPr>
          <w:w w:val="80"/>
          <w:sz w:val="25"/>
        </w:rPr>
        <w:t>‖</w:t>
      </w:r>
      <w:r>
        <w:rPr>
          <w:sz w:val="25"/>
        </w:rPr>
        <w:t> </w:t>
      </w:r>
      <w:r>
        <w:rPr>
          <w:spacing w:val="-1"/>
          <w:w w:val="99"/>
          <w:sz w:val="25"/>
        </w:rPr>
        <w:t>wit</w:t>
      </w:r>
      <w:r>
        <w:rPr>
          <w:w w:val="99"/>
          <w:sz w:val="25"/>
        </w:rPr>
        <w:t>h</w:t>
      </w:r>
      <w:r>
        <w:rPr>
          <w:spacing w:val="-1"/>
          <w:sz w:val="25"/>
        </w:rPr>
        <w:t> </w:t>
      </w:r>
      <w:r>
        <w:rPr>
          <w:w w:val="99"/>
          <w:sz w:val="25"/>
        </w:rPr>
        <w:t>co</w:t>
      </w:r>
      <w:r>
        <w:rPr>
          <w:spacing w:val="-1"/>
          <w:w w:val="99"/>
          <w:sz w:val="25"/>
        </w:rPr>
        <w:t>a</w:t>
      </w:r>
      <w:r>
        <w:rPr>
          <w:w w:val="99"/>
          <w:sz w:val="25"/>
        </w:rPr>
        <w:t>l</w:t>
      </w:r>
      <w:r>
        <w:rPr>
          <w:spacing w:val="-1"/>
          <w:sz w:val="25"/>
        </w:rPr>
        <w:t> </w:t>
      </w:r>
      <w:r>
        <w:rPr>
          <w:w w:val="99"/>
          <w:sz w:val="25"/>
        </w:rPr>
        <w:t>on</w:t>
      </w:r>
      <w:r>
        <w:rPr>
          <w:spacing w:val="-1"/>
          <w:sz w:val="25"/>
        </w:rPr>
        <w:t> </w:t>
      </w:r>
      <w:r>
        <w:rPr>
          <w:spacing w:val="-2"/>
          <w:w w:val="99"/>
          <w:sz w:val="25"/>
        </w:rPr>
        <w:t>t</w:t>
      </w:r>
      <w:r>
        <w:rPr>
          <w:spacing w:val="-1"/>
          <w:w w:val="99"/>
          <w:sz w:val="25"/>
        </w:rPr>
        <w:t>h</w:t>
      </w:r>
      <w:r>
        <w:rPr>
          <w:w w:val="99"/>
          <w:sz w:val="25"/>
        </w:rPr>
        <w:t>e</w:t>
      </w:r>
      <w:r>
        <w:rPr>
          <w:sz w:val="25"/>
        </w:rPr>
        <w:t> </w:t>
      </w:r>
      <w:r>
        <w:rPr>
          <w:spacing w:val="-1"/>
          <w:w w:val="99"/>
          <w:sz w:val="25"/>
        </w:rPr>
        <w:t>wall</w:t>
      </w:r>
      <w:r>
        <w:rPr>
          <w:w w:val="99"/>
          <w:sz w:val="25"/>
        </w:rPr>
        <w:t>s</w:t>
      </w:r>
      <w:r>
        <w:rPr>
          <w:spacing w:val="-1"/>
          <w:sz w:val="25"/>
        </w:rPr>
        <w:t> </w:t>
      </w:r>
      <w:r>
        <w:rPr>
          <w:spacing w:val="-1"/>
          <w:w w:val="99"/>
          <w:sz w:val="25"/>
        </w:rPr>
        <w:t>o</w:t>
      </w:r>
      <w:r>
        <w:rPr>
          <w:w w:val="99"/>
          <w:sz w:val="25"/>
        </w:rPr>
        <w:t>f</w:t>
      </w:r>
      <w:r>
        <w:rPr>
          <w:sz w:val="25"/>
        </w:rPr>
        <w:t> </w:t>
      </w:r>
      <w:r>
        <w:rPr>
          <w:w w:val="99"/>
          <w:sz w:val="25"/>
        </w:rPr>
        <w:t>the</w:t>
      </w:r>
      <w:r>
        <w:rPr>
          <w:spacing w:val="-1"/>
          <w:sz w:val="25"/>
        </w:rPr>
        <w:t> </w:t>
      </w:r>
      <w:r>
        <w:rPr>
          <w:spacing w:val="1"/>
          <w:w w:val="99"/>
          <w:sz w:val="25"/>
        </w:rPr>
        <w:t>m</w:t>
      </w:r>
      <w:r>
        <w:rPr>
          <w:spacing w:val="-1"/>
          <w:w w:val="99"/>
          <w:sz w:val="25"/>
        </w:rPr>
        <w:t>asjid;</w:t>
      </w:r>
    </w:p>
    <w:p>
      <w:pPr>
        <w:pStyle w:val="ListParagraph"/>
        <w:numPr>
          <w:ilvl w:val="1"/>
          <w:numId w:val="220"/>
        </w:numPr>
        <w:tabs>
          <w:tab w:pos="1581" w:val="left" w:leader="none"/>
        </w:tabs>
        <w:spacing w:line="480" w:lineRule="auto" w:before="0" w:after="0"/>
        <w:ind w:left="1580" w:right="440" w:hanging="360"/>
        <w:jc w:val="both"/>
        <w:rPr>
          <w:sz w:val="25"/>
        </w:rPr>
      </w:pPr>
      <w:r>
        <w:rPr>
          <w:sz w:val="25"/>
        </w:rPr>
        <w:t>The masjid is a place of worship of Muslims and not Hindus, and if someone constructs anything forcibly inside it, he should be</w:t>
      </w:r>
      <w:r>
        <w:rPr>
          <w:spacing w:val="-15"/>
          <w:sz w:val="25"/>
        </w:rPr>
        <w:t> </w:t>
      </w:r>
      <w:r>
        <w:rPr>
          <w:sz w:val="25"/>
        </w:rPr>
        <w:t>punished;</w:t>
      </w:r>
    </w:p>
    <w:p>
      <w:pPr>
        <w:pStyle w:val="ListParagraph"/>
        <w:numPr>
          <w:ilvl w:val="1"/>
          <w:numId w:val="220"/>
        </w:numPr>
        <w:tabs>
          <w:tab w:pos="1581" w:val="left" w:leader="none"/>
        </w:tabs>
        <w:spacing w:line="480" w:lineRule="auto" w:before="0" w:after="0"/>
        <w:ind w:left="1580" w:right="441" w:hanging="360"/>
        <w:jc w:val="both"/>
        <w:rPr>
          <w:sz w:val="25"/>
        </w:rPr>
      </w:pPr>
      <w:r>
        <w:rPr>
          <w:sz w:val="25"/>
        </w:rPr>
        <w:t>Previously also the Bairagis had constructed a Ramchabutra overnight of about 1 ballisht height (about 22.83 cms), until injunction orders were issued;</w:t>
      </w:r>
    </w:p>
    <w:p>
      <w:pPr>
        <w:pStyle w:val="ListParagraph"/>
        <w:numPr>
          <w:ilvl w:val="1"/>
          <w:numId w:val="220"/>
        </w:numPr>
        <w:tabs>
          <w:tab w:pos="1581" w:val="left" w:leader="none"/>
        </w:tabs>
        <w:spacing w:line="240" w:lineRule="auto" w:before="0" w:after="0"/>
        <w:ind w:left="1580" w:right="0" w:hanging="361"/>
        <w:jc w:val="both"/>
        <w:rPr>
          <w:sz w:val="25"/>
        </w:rPr>
      </w:pPr>
      <w:r>
        <w:rPr>
          <w:sz w:val="25"/>
        </w:rPr>
        <w:t>The application</w:t>
      </w:r>
      <w:r>
        <w:rPr>
          <w:spacing w:val="-2"/>
          <w:sz w:val="25"/>
        </w:rPr>
        <w:t> </w:t>
      </w:r>
      <w:r>
        <w:rPr>
          <w:sz w:val="25"/>
        </w:rPr>
        <w:t>stated:</w:t>
      </w:r>
    </w:p>
    <w:p>
      <w:pPr>
        <w:pStyle w:val="BodyText"/>
        <w:spacing w:before="11"/>
        <w:rPr>
          <w:sz w:val="24"/>
        </w:rPr>
      </w:pPr>
    </w:p>
    <w:p>
      <w:pPr>
        <w:spacing w:line="273" w:lineRule="auto" w:before="0"/>
        <w:ind w:left="1940" w:right="2346" w:firstLine="0"/>
        <w:jc w:val="left"/>
        <w:rPr>
          <w:sz w:val="21"/>
        </w:rPr>
      </w:pPr>
      <w:r>
        <w:rPr>
          <w:w w:val="33"/>
          <w:sz w:val="21"/>
        </w:rPr>
        <w:t>―</w:t>
      </w:r>
      <w:r>
        <w:rPr>
          <w:w w:val="100"/>
          <w:sz w:val="21"/>
        </w:rPr>
        <w:t>Previously</w:t>
      </w:r>
      <w:r>
        <w:rPr>
          <w:sz w:val="21"/>
        </w:rPr>
        <w:t> </w:t>
      </w:r>
      <w:r>
        <w:rPr>
          <w:w w:val="100"/>
          <w:sz w:val="21"/>
        </w:rPr>
        <w:t>the</w:t>
      </w:r>
      <w:r>
        <w:rPr>
          <w:sz w:val="21"/>
        </w:rPr>
        <w:t> </w:t>
      </w:r>
      <w:r>
        <w:rPr>
          <w:w w:val="100"/>
          <w:sz w:val="21"/>
        </w:rPr>
        <w:t>symbol</w:t>
      </w:r>
      <w:r>
        <w:rPr>
          <w:sz w:val="21"/>
        </w:rPr>
        <w:t> </w:t>
      </w:r>
      <w:r>
        <w:rPr>
          <w:w w:val="100"/>
          <w:sz w:val="21"/>
        </w:rPr>
        <w:t>of</w:t>
      </w:r>
      <w:r>
        <w:rPr>
          <w:sz w:val="21"/>
        </w:rPr>
        <w:t> </w:t>
      </w:r>
      <w:r>
        <w:rPr>
          <w:w w:val="100"/>
          <w:sz w:val="21"/>
        </w:rPr>
        <w:t>janam</w:t>
      </w:r>
      <w:r>
        <w:rPr>
          <w:sz w:val="21"/>
        </w:rPr>
        <w:t> </w:t>
      </w:r>
      <w:r>
        <w:rPr>
          <w:w w:val="100"/>
          <w:sz w:val="21"/>
        </w:rPr>
        <w:t>sthan</w:t>
      </w:r>
      <w:r>
        <w:rPr>
          <w:sz w:val="21"/>
        </w:rPr>
        <w:t> </w:t>
      </w:r>
      <w:r>
        <w:rPr>
          <w:w w:val="100"/>
          <w:sz w:val="21"/>
        </w:rPr>
        <w:t>had</w:t>
      </w:r>
      <w:r>
        <w:rPr>
          <w:sz w:val="21"/>
        </w:rPr>
        <w:t> </w:t>
      </w:r>
      <w:r>
        <w:rPr>
          <w:w w:val="100"/>
          <w:sz w:val="21"/>
        </w:rPr>
        <w:t>been</w:t>
      </w:r>
      <w:r>
        <w:rPr>
          <w:sz w:val="21"/>
        </w:rPr>
        <w:t> </w:t>
      </w:r>
      <w:r>
        <w:rPr>
          <w:w w:val="100"/>
          <w:sz w:val="21"/>
        </w:rPr>
        <w:t>there</w:t>
      </w:r>
      <w:r>
        <w:rPr>
          <w:sz w:val="21"/>
        </w:rPr>
        <w:t> </w:t>
      </w:r>
      <w:r>
        <w:rPr>
          <w:w w:val="100"/>
          <w:sz w:val="21"/>
        </w:rPr>
        <w:t>and </w:t>
      </w:r>
      <w:r>
        <w:rPr>
          <w:sz w:val="21"/>
        </w:rPr>
        <w:t>Hindus did puja‖</w:t>
      </w:r>
    </w:p>
    <w:p>
      <w:pPr>
        <w:pStyle w:val="BodyText"/>
        <w:spacing w:before="7"/>
        <w:rPr>
          <w:sz w:val="24"/>
        </w:rPr>
      </w:pPr>
    </w:p>
    <w:p>
      <w:pPr>
        <w:pStyle w:val="ListParagraph"/>
        <w:numPr>
          <w:ilvl w:val="1"/>
          <w:numId w:val="220"/>
        </w:numPr>
        <w:tabs>
          <w:tab w:pos="1581" w:val="left" w:leader="none"/>
        </w:tabs>
        <w:spacing w:line="240" w:lineRule="auto" w:before="0" w:after="0"/>
        <w:ind w:left="1580" w:right="0" w:hanging="361"/>
        <w:jc w:val="both"/>
        <w:rPr>
          <w:sz w:val="25"/>
        </w:rPr>
      </w:pPr>
      <w:r>
        <w:rPr>
          <w:sz w:val="25"/>
        </w:rPr>
        <w:t>It was therefore prayed</w:t>
      </w:r>
      <w:r>
        <w:rPr>
          <w:spacing w:val="-5"/>
          <w:sz w:val="25"/>
        </w:rPr>
        <w:t> </w:t>
      </w:r>
      <w:r>
        <w:rPr>
          <w:sz w:val="25"/>
        </w:rPr>
        <w:t>that:</w:t>
      </w:r>
    </w:p>
    <w:p>
      <w:pPr>
        <w:spacing w:after="0" w:line="240" w:lineRule="auto"/>
        <w:jc w:val="both"/>
        <w:rPr>
          <w:sz w:val="25"/>
        </w:rPr>
        <w:sectPr>
          <w:pgSz w:w="11910" w:h="16840"/>
          <w:pgMar w:header="721" w:footer="1014" w:top="1300" w:bottom="1200" w:left="940" w:right="1000"/>
        </w:sectPr>
      </w:pPr>
    </w:p>
    <w:p>
      <w:pPr>
        <w:pStyle w:val="ListParagraph"/>
        <w:numPr>
          <w:ilvl w:val="2"/>
          <w:numId w:val="220"/>
        </w:numPr>
        <w:tabs>
          <w:tab w:pos="2300" w:val="left" w:leader="none"/>
          <w:tab w:pos="2301" w:val="left" w:leader="none"/>
        </w:tabs>
        <w:spacing w:line="480" w:lineRule="auto" w:before="124" w:after="0"/>
        <w:ind w:left="2300" w:right="447" w:hanging="485"/>
        <w:jc w:val="left"/>
        <w:rPr>
          <w:sz w:val="25"/>
        </w:rPr>
      </w:pPr>
      <w:r>
        <w:rPr>
          <w:sz w:val="25"/>
        </w:rPr>
        <w:t>The spot may be inspected, and the new construction be demolished;</w:t>
      </w:r>
      <w:r>
        <w:rPr>
          <w:spacing w:val="-1"/>
          <w:sz w:val="25"/>
        </w:rPr>
        <w:t> </w:t>
      </w:r>
      <w:r>
        <w:rPr>
          <w:sz w:val="25"/>
        </w:rPr>
        <w:t>and</w:t>
      </w:r>
    </w:p>
    <w:p>
      <w:pPr>
        <w:pStyle w:val="ListParagraph"/>
        <w:numPr>
          <w:ilvl w:val="2"/>
          <w:numId w:val="220"/>
        </w:numPr>
        <w:tabs>
          <w:tab w:pos="2300" w:val="left" w:leader="none"/>
          <w:tab w:pos="2301" w:val="left" w:leader="none"/>
        </w:tabs>
        <w:spacing w:line="480" w:lineRule="auto" w:before="0" w:after="0"/>
        <w:ind w:left="2300" w:right="437" w:hanging="540"/>
        <w:jc w:val="left"/>
        <w:rPr>
          <w:sz w:val="25"/>
        </w:rPr>
      </w:pPr>
      <w:r>
        <w:rPr>
          <w:sz w:val="25"/>
        </w:rPr>
        <w:t>Hindus be ousted from the masjid and the symbol </w:t>
      </w:r>
      <w:r>
        <w:rPr>
          <w:spacing w:val="3"/>
          <w:sz w:val="25"/>
        </w:rPr>
        <w:t>and </w:t>
      </w:r>
      <w:r>
        <w:rPr>
          <w:sz w:val="25"/>
        </w:rPr>
        <w:t>the idol may be removed and the writing on the walls be</w:t>
      </w:r>
      <w:r>
        <w:rPr>
          <w:spacing w:val="-8"/>
          <w:sz w:val="25"/>
        </w:rPr>
        <w:t> </w:t>
      </w:r>
      <w:r>
        <w:rPr>
          <w:sz w:val="25"/>
        </w:rPr>
        <w:t>washed.</w:t>
      </w:r>
    </w:p>
    <w:p>
      <w:pPr>
        <w:pStyle w:val="BodyText"/>
        <w:spacing w:before="11"/>
        <w:rPr>
          <w:sz w:val="24"/>
        </w:rPr>
      </w:pPr>
    </w:p>
    <w:p>
      <w:pPr>
        <w:pStyle w:val="ListParagraph"/>
        <w:numPr>
          <w:ilvl w:val="0"/>
          <w:numId w:val="220"/>
        </w:numPr>
        <w:tabs>
          <w:tab w:pos="1221" w:val="left" w:leader="none"/>
        </w:tabs>
        <w:spacing w:line="480" w:lineRule="auto" w:before="0" w:after="0"/>
        <w:ind w:left="1220" w:right="433" w:hanging="720"/>
        <w:jc w:val="both"/>
        <w:rPr>
          <w:sz w:val="25"/>
        </w:rPr>
      </w:pPr>
      <w:r>
        <w:rPr>
          <w:sz w:val="25"/>
        </w:rPr>
        <w:t>A dispute has been raised about the translation of the above document by Mr Pasha, learned Counsel appearing on behalf of the plaintiffs in Suit </w:t>
      </w:r>
      <w:r>
        <w:rPr>
          <w:spacing w:val="2"/>
          <w:sz w:val="25"/>
        </w:rPr>
        <w:t>4. </w:t>
      </w:r>
      <w:r>
        <w:rPr>
          <w:sz w:val="25"/>
        </w:rPr>
        <w:t>The document was translated</w:t>
      </w:r>
      <w:r>
        <w:rPr>
          <w:spacing w:val="-2"/>
          <w:sz w:val="25"/>
        </w:rPr>
        <w:t> </w:t>
      </w:r>
      <w:r>
        <w:rPr>
          <w:sz w:val="25"/>
        </w:rPr>
        <w:t>thus:</w:t>
      </w:r>
    </w:p>
    <w:p>
      <w:pPr>
        <w:spacing w:line="276" w:lineRule="auto" w:before="0"/>
        <w:ind w:left="1940" w:right="2263" w:firstLine="57"/>
        <w:jc w:val="both"/>
        <w:rPr>
          <w:sz w:val="21"/>
        </w:rPr>
      </w:pPr>
      <w:r>
        <w:rPr>
          <w:spacing w:val="-1"/>
          <w:w w:val="33"/>
          <w:sz w:val="21"/>
        </w:rPr>
        <w:t>―</w:t>
      </w:r>
      <w:r>
        <w:rPr>
          <w:spacing w:val="-2"/>
          <w:w w:val="100"/>
          <w:sz w:val="21"/>
        </w:rPr>
        <w:t>Y</w:t>
      </w:r>
      <w:r>
        <w:rPr>
          <w:spacing w:val="-1"/>
          <w:w w:val="100"/>
          <w:sz w:val="21"/>
        </w:rPr>
        <w:t>o</w:t>
      </w:r>
      <w:r>
        <w:rPr>
          <w:w w:val="100"/>
          <w:sz w:val="21"/>
        </w:rPr>
        <w:t>u</w:t>
      </w:r>
      <w:r>
        <w:rPr>
          <w:spacing w:val="23"/>
          <w:sz w:val="21"/>
        </w:rPr>
        <w:t> </w:t>
      </w:r>
      <w:r>
        <w:rPr>
          <w:spacing w:val="-1"/>
          <w:w w:val="100"/>
          <w:sz w:val="21"/>
        </w:rPr>
        <w:t>ar</w:t>
      </w:r>
      <w:r>
        <w:rPr>
          <w:w w:val="100"/>
          <w:sz w:val="21"/>
        </w:rPr>
        <w:t>e</w:t>
      </w:r>
      <w:r>
        <w:rPr>
          <w:spacing w:val="22"/>
          <w:sz w:val="21"/>
        </w:rPr>
        <w:t> </w:t>
      </w:r>
      <w:r>
        <w:rPr>
          <w:spacing w:val="-2"/>
          <w:w w:val="100"/>
          <w:sz w:val="21"/>
        </w:rPr>
        <w:t>t</w:t>
      </w:r>
      <w:r>
        <w:rPr>
          <w:spacing w:val="-1"/>
          <w:w w:val="100"/>
          <w:sz w:val="21"/>
        </w:rPr>
        <w:t>h</w:t>
      </w:r>
      <w:r>
        <w:rPr>
          <w:w w:val="100"/>
          <w:sz w:val="21"/>
        </w:rPr>
        <w:t>e</w:t>
      </w:r>
      <w:r>
        <w:rPr>
          <w:spacing w:val="21"/>
          <w:sz w:val="21"/>
        </w:rPr>
        <w:t> </w:t>
      </w:r>
      <w:r>
        <w:rPr>
          <w:spacing w:val="-1"/>
          <w:w w:val="100"/>
          <w:sz w:val="21"/>
        </w:rPr>
        <w:t>maste</w:t>
      </w:r>
      <w:r>
        <w:rPr>
          <w:w w:val="100"/>
          <w:sz w:val="21"/>
        </w:rPr>
        <w:t>r</w:t>
      </w:r>
      <w:r>
        <w:rPr>
          <w:spacing w:val="22"/>
          <w:sz w:val="21"/>
        </w:rPr>
        <w:t> </w:t>
      </w:r>
      <w:r>
        <w:rPr>
          <w:spacing w:val="-3"/>
          <w:w w:val="100"/>
          <w:sz w:val="21"/>
        </w:rPr>
        <w:t>o</w:t>
      </w:r>
      <w:r>
        <w:rPr>
          <w:w w:val="100"/>
          <w:sz w:val="21"/>
        </w:rPr>
        <w:t>f</w:t>
      </w:r>
      <w:r>
        <w:rPr>
          <w:spacing w:val="21"/>
          <w:sz w:val="21"/>
        </w:rPr>
        <w:t> </w:t>
      </w:r>
      <w:r>
        <w:rPr>
          <w:spacing w:val="-3"/>
          <w:w w:val="100"/>
          <w:sz w:val="21"/>
        </w:rPr>
        <w:t>b</w:t>
      </w:r>
      <w:r>
        <w:rPr>
          <w:spacing w:val="-1"/>
          <w:w w:val="100"/>
          <w:sz w:val="21"/>
        </w:rPr>
        <w:t>ot</w:t>
      </w:r>
      <w:r>
        <w:rPr>
          <w:w w:val="100"/>
          <w:sz w:val="21"/>
        </w:rPr>
        <w:t>h</w:t>
      </w:r>
      <w:r>
        <w:rPr>
          <w:spacing w:val="23"/>
          <w:sz w:val="21"/>
        </w:rPr>
        <w:t> </w:t>
      </w:r>
      <w:r>
        <w:rPr>
          <w:spacing w:val="-2"/>
          <w:w w:val="100"/>
          <w:sz w:val="21"/>
        </w:rPr>
        <w:t>t</w:t>
      </w:r>
      <w:r>
        <w:rPr>
          <w:spacing w:val="-1"/>
          <w:w w:val="100"/>
          <w:sz w:val="21"/>
        </w:rPr>
        <w:t>h</w:t>
      </w:r>
      <w:r>
        <w:rPr>
          <w:w w:val="100"/>
          <w:sz w:val="21"/>
        </w:rPr>
        <w:t>e</w:t>
      </w:r>
      <w:r>
        <w:rPr>
          <w:spacing w:val="23"/>
          <w:sz w:val="21"/>
        </w:rPr>
        <w:t> </w:t>
      </w:r>
      <w:r>
        <w:rPr>
          <w:spacing w:val="-3"/>
          <w:w w:val="100"/>
          <w:sz w:val="21"/>
        </w:rPr>
        <w:t>p</w:t>
      </w:r>
      <w:r>
        <w:rPr>
          <w:spacing w:val="-1"/>
          <w:w w:val="100"/>
          <w:sz w:val="21"/>
        </w:rPr>
        <w:t>ar</w:t>
      </w:r>
      <w:r>
        <w:rPr>
          <w:spacing w:val="-2"/>
          <w:w w:val="100"/>
          <w:sz w:val="21"/>
        </w:rPr>
        <w:t>t</w:t>
      </w:r>
      <w:r>
        <w:rPr>
          <w:w w:val="100"/>
          <w:sz w:val="21"/>
        </w:rPr>
        <w:t>i</w:t>
      </w:r>
      <w:r>
        <w:rPr>
          <w:spacing w:val="-1"/>
          <w:w w:val="100"/>
          <w:sz w:val="21"/>
        </w:rPr>
        <w:t>e</w:t>
      </w:r>
      <w:r>
        <w:rPr>
          <w:w w:val="100"/>
          <w:sz w:val="21"/>
        </w:rPr>
        <w:t>s</w:t>
      </w:r>
      <w:r>
        <w:rPr>
          <w:spacing w:val="20"/>
          <w:sz w:val="21"/>
        </w:rPr>
        <w:t> </w:t>
      </w:r>
      <w:r>
        <w:rPr>
          <w:w w:val="100"/>
          <w:sz w:val="21"/>
        </w:rPr>
        <w:t>s</w:t>
      </w:r>
      <w:r>
        <w:rPr>
          <w:spacing w:val="-2"/>
          <w:w w:val="100"/>
          <w:sz w:val="21"/>
        </w:rPr>
        <w:t>i</w:t>
      </w:r>
      <w:r>
        <w:rPr>
          <w:spacing w:val="-1"/>
          <w:w w:val="100"/>
          <w:sz w:val="21"/>
        </w:rPr>
        <w:t>nc</w:t>
      </w:r>
      <w:r>
        <w:rPr>
          <w:w w:val="100"/>
          <w:sz w:val="21"/>
        </w:rPr>
        <w:t>e</w:t>
      </w:r>
      <w:r>
        <w:rPr>
          <w:spacing w:val="20"/>
          <w:sz w:val="21"/>
        </w:rPr>
        <w:t> </w:t>
      </w:r>
      <w:r>
        <w:rPr>
          <w:spacing w:val="-2"/>
          <w:w w:val="100"/>
          <w:sz w:val="21"/>
        </w:rPr>
        <w:t>t</w:t>
      </w:r>
      <w:r>
        <w:rPr>
          <w:spacing w:val="-1"/>
          <w:w w:val="100"/>
          <w:sz w:val="21"/>
        </w:rPr>
        <w:t>h</w:t>
      </w:r>
      <w:r>
        <w:rPr>
          <w:w w:val="100"/>
          <w:sz w:val="21"/>
        </w:rPr>
        <w:t>e</w:t>
      </w:r>
      <w:r>
        <w:rPr>
          <w:spacing w:val="21"/>
          <w:sz w:val="21"/>
        </w:rPr>
        <w:t> </w:t>
      </w:r>
      <w:r>
        <w:rPr>
          <w:w w:val="100"/>
          <w:sz w:val="21"/>
        </w:rPr>
        <w:t>S</w:t>
      </w:r>
      <w:r>
        <w:rPr>
          <w:spacing w:val="-1"/>
          <w:w w:val="100"/>
          <w:sz w:val="21"/>
        </w:rPr>
        <w:t>h</w:t>
      </w:r>
      <w:r>
        <w:rPr>
          <w:spacing w:val="-3"/>
          <w:w w:val="100"/>
          <w:sz w:val="21"/>
        </w:rPr>
        <w:t>a</w:t>
      </w:r>
      <w:r>
        <w:rPr>
          <w:spacing w:val="-1"/>
          <w:w w:val="100"/>
          <w:sz w:val="21"/>
        </w:rPr>
        <w:t>h</w:t>
      </w:r>
      <w:r>
        <w:rPr>
          <w:w w:val="100"/>
          <w:sz w:val="21"/>
        </w:rPr>
        <w:t>i</w:t>
      </w:r>
      <w:r>
        <w:rPr>
          <w:spacing w:val="21"/>
          <w:sz w:val="21"/>
        </w:rPr>
        <w:t> </w:t>
      </w:r>
      <w:r>
        <w:rPr>
          <w:spacing w:val="-1"/>
          <w:w w:val="100"/>
          <w:sz w:val="21"/>
        </w:rPr>
        <w:t>ear </w:t>
      </w:r>
      <w:r>
        <w:rPr>
          <w:sz w:val="21"/>
        </w:rPr>
        <w:t>(sic) if any person constructs forcibly he would be punished by your honour. Kindly consider the fact that Masjid is a place of worship of Muslims and not that of Hindus. </w:t>
      </w:r>
      <w:r>
        <w:rPr>
          <w:b/>
          <w:sz w:val="21"/>
        </w:rPr>
        <w:t>Previously the symbol of Janamsthan had been there for hundreds of years and Hindus did</w:t>
      </w:r>
      <w:r>
        <w:rPr>
          <w:b/>
          <w:spacing w:val="-5"/>
          <w:sz w:val="21"/>
        </w:rPr>
        <w:t> </w:t>
      </w:r>
      <w:r>
        <w:rPr>
          <w:b/>
          <w:sz w:val="21"/>
        </w:rPr>
        <w:t>puja</w:t>
      </w:r>
      <w:r>
        <w:rPr>
          <w:sz w:val="21"/>
        </w:rPr>
        <w:t>.‖</w:t>
      </w:r>
    </w:p>
    <w:p>
      <w:pPr>
        <w:spacing w:before="0"/>
        <w:ind w:left="5464" w:right="0" w:firstLine="0"/>
        <w:jc w:val="left"/>
        <w:rPr>
          <w:sz w:val="21"/>
        </w:rPr>
      </w:pPr>
      <w:r>
        <w:rPr>
          <w:sz w:val="21"/>
        </w:rPr>
        <w:t>(Emphasis supplied)</w:t>
      </w:r>
    </w:p>
    <w:p>
      <w:pPr>
        <w:pStyle w:val="BodyText"/>
        <w:rPr>
          <w:sz w:val="21"/>
        </w:rPr>
      </w:pPr>
    </w:p>
    <w:p>
      <w:pPr>
        <w:pStyle w:val="BodyText"/>
        <w:ind w:left="500"/>
      </w:pPr>
      <w:r>
        <w:rPr/>
        <w:t>The correct translation, according to Mr Pasha, should read thus:</w:t>
      </w:r>
    </w:p>
    <w:p>
      <w:pPr>
        <w:pStyle w:val="BodyText"/>
        <w:rPr>
          <w:sz w:val="28"/>
        </w:rPr>
      </w:pPr>
    </w:p>
    <w:p>
      <w:pPr>
        <w:pStyle w:val="BodyText"/>
        <w:spacing w:before="1"/>
        <w:rPr>
          <w:sz w:val="22"/>
        </w:rPr>
      </w:pPr>
    </w:p>
    <w:p>
      <w:pPr>
        <w:spacing w:line="276" w:lineRule="auto" w:before="0"/>
        <w:ind w:left="1940" w:right="2262" w:firstLine="0"/>
        <w:jc w:val="both"/>
        <w:rPr>
          <w:sz w:val="21"/>
        </w:rPr>
      </w:pPr>
      <w:r>
        <w:rPr>
          <w:spacing w:val="-1"/>
          <w:w w:val="33"/>
          <w:sz w:val="21"/>
        </w:rPr>
        <w:t>―</w:t>
      </w:r>
      <w:r>
        <w:rPr>
          <w:spacing w:val="-2"/>
          <w:w w:val="100"/>
          <w:sz w:val="21"/>
        </w:rPr>
        <w:t>I</w:t>
      </w:r>
      <w:r>
        <w:rPr>
          <w:w w:val="100"/>
          <w:sz w:val="21"/>
        </w:rPr>
        <w:t>t</w:t>
      </w:r>
      <w:r>
        <w:rPr>
          <w:sz w:val="21"/>
        </w:rPr>
        <w:t> </w:t>
      </w:r>
      <w:r>
        <w:rPr>
          <w:spacing w:val="-13"/>
          <w:sz w:val="21"/>
        </w:rPr>
        <w:t> </w:t>
      </w:r>
      <w:r>
        <w:rPr>
          <w:w w:val="100"/>
          <w:sz w:val="21"/>
        </w:rPr>
        <w:t>is</w:t>
      </w:r>
      <w:r>
        <w:rPr>
          <w:sz w:val="21"/>
        </w:rPr>
        <w:t> </w:t>
      </w:r>
      <w:r>
        <w:rPr>
          <w:spacing w:val="-12"/>
          <w:sz w:val="21"/>
        </w:rPr>
        <w:t> </w:t>
      </w:r>
      <w:r>
        <w:rPr>
          <w:spacing w:val="-1"/>
          <w:w w:val="100"/>
          <w:sz w:val="21"/>
        </w:rPr>
        <w:t>e</w:t>
      </w:r>
      <w:r>
        <w:rPr>
          <w:spacing w:val="-3"/>
          <w:w w:val="100"/>
          <w:sz w:val="21"/>
        </w:rPr>
        <w:t>v</w:t>
      </w:r>
      <w:r>
        <w:rPr>
          <w:w w:val="100"/>
          <w:sz w:val="21"/>
        </w:rPr>
        <w:t>i</w:t>
      </w:r>
      <w:r>
        <w:rPr>
          <w:spacing w:val="-1"/>
          <w:w w:val="100"/>
          <w:sz w:val="21"/>
        </w:rPr>
        <w:t>den</w:t>
      </w:r>
      <w:r>
        <w:rPr>
          <w:w w:val="100"/>
          <w:sz w:val="21"/>
        </w:rPr>
        <w:t>t</w:t>
      </w:r>
      <w:r>
        <w:rPr>
          <w:sz w:val="21"/>
        </w:rPr>
        <w:t> </w:t>
      </w:r>
      <w:r>
        <w:rPr>
          <w:spacing w:val="-15"/>
          <w:sz w:val="21"/>
        </w:rPr>
        <w:t> </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10"/>
          <w:sz w:val="21"/>
        </w:rPr>
        <w:t> </w:t>
      </w:r>
      <w:r>
        <w:rPr>
          <w:spacing w:val="-2"/>
          <w:w w:val="100"/>
          <w:sz w:val="21"/>
        </w:rPr>
        <w:t>t</w:t>
      </w:r>
      <w:r>
        <w:rPr>
          <w:spacing w:val="-1"/>
          <w:w w:val="100"/>
          <w:sz w:val="21"/>
        </w:rPr>
        <w:t>h</w:t>
      </w:r>
      <w:r>
        <w:rPr>
          <w:w w:val="100"/>
          <w:sz w:val="21"/>
        </w:rPr>
        <w:t>e</w:t>
      </w:r>
      <w:r>
        <w:rPr>
          <w:sz w:val="21"/>
        </w:rPr>
        <w:t> </w:t>
      </w:r>
      <w:r>
        <w:rPr>
          <w:spacing w:val="-14"/>
          <w:sz w:val="21"/>
        </w:rPr>
        <w:t> </w:t>
      </w:r>
      <w:r>
        <w:rPr>
          <w:w w:val="100"/>
          <w:sz w:val="21"/>
        </w:rPr>
        <w:t>c</w:t>
      </w:r>
      <w:r>
        <w:rPr>
          <w:spacing w:val="-2"/>
          <w:w w:val="100"/>
          <w:sz w:val="21"/>
        </w:rPr>
        <w:t>l</w:t>
      </w:r>
      <w:r>
        <w:rPr>
          <w:spacing w:val="-1"/>
          <w:w w:val="100"/>
          <w:sz w:val="21"/>
        </w:rPr>
        <w:t>ea</w:t>
      </w:r>
      <w:r>
        <w:rPr>
          <w:w w:val="100"/>
          <w:sz w:val="21"/>
        </w:rPr>
        <w:t>r</w:t>
      </w:r>
      <w:r>
        <w:rPr>
          <w:sz w:val="21"/>
        </w:rPr>
        <w:t> </w:t>
      </w:r>
      <w:r>
        <w:rPr>
          <w:spacing w:val="-12"/>
          <w:sz w:val="21"/>
        </w:rPr>
        <w:t> </w:t>
      </w:r>
      <w:r>
        <w:rPr>
          <w:spacing w:val="-2"/>
          <w:w w:val="100"/>
          <w:sz w:val="21"/>
        </w:rPr>
        <w:t>w</w:t>
      </w:r>
      <w:r>
        <w:rPr>
          <w:spacing w:val="-1"/>
          <w:w w:val="100"/>
          <w:sz w:val="21"/>
        </w:rPr>
        <w:t>ord</w:t>
      </w:r>
      <w:r>
        <w:rPr>
          <w:w w:val="100"/>
          <w:sz w:val="21"/>
        </w:rPr>
        <w:t>s</w:t>
      </w:r>
      <w:r>
        <w:rPr>
          <w:sz w:val="21"/>
        </w:rPr>
        <w:t> </w:t>
      </w:r>
      <w:r>
        <w:rPr>
          <w:spacing w:val="-15"/>
          <w:sz w:val="21"/>
        </w:rPr>
        <w:t> </w:t>
      </w:r>
      <w:r>
        <w:rPr>
          <w:spacing w:val="-1"/>
          <w:w w:val="100"/>
          <w:sz w:val="21"/>
        </w:rPr>
        <w:t>o</w:t>
      </w:r>
      <w:r>
        <w:rPr>
          <w:w w:val="100"/>
          <w:sz w:val="21"/>
        </w:rPr>
        <w:t>f</w:t>
      </w:r>
      <w:r>
        <w:rPr>
          <w:sz w:val="21"/>
        </w:rPr>
        <w:t> </w:t>
      </w:r>
      <w:r>
        <w:rPr>
          <w:spacing w:val="-11"/>
          <w:sz w:val="21"/>
        </w:rPr>
        <w:t> </w:t>
      </w:r>
      <w:r>
        <w:rPr>
          <w:spacing w:val="-2"/>
          <w:w w:val="100"/>
          <w:sz w:val="21"/>
        </w:rPr>
        <w:t>t</w:t>
      </w:r>
      <w:r>
        <w:rPr>
          <w:spacing w:val="-3"/>
          <w:w w:val="100"/>
          <w:sz w:val="21"/>
        </w:rPr>
        <w:t>h</w:t>
      </w:r>
      <w:r>
        <w:rPr>
          <w:w w:val="100"/>
          <w:sz w:val="21"/>
        </w:rPr>
        <w:t>e</w:t>
      </w:r>
      <w:r>
        <w:rPr>
          <w:sz w:val="21"/>
        </w:rPr>
        <w:t> </w:t>
      </w:r>
      <w:r>
        <w:rPr>
          <w:spacing w:val="-12"/>
          <w:sz w:val="21"/>
        </w:rPr>
        <w:t> </w:t>
      </w:r>
      <w:r>
        <w:rPr>
          <w:spacing w:val="-2"/>
          <w:w w:val="100"/>
          <w:sz w:val="21"/>
        </w:rPr>
        <w:t>S</w:t>
      </w:r>
      <w:r>
        <w:rPr>
          <w:spacing w:val="-1"/>
          <w:w w:val="100"/>
          <w:sz w:val="21"/>
        </w:rPr>
        <w:t>ha</w:t>
      </w:r>
      <w:r>
        <w:rPr>
          <w:w w:val="100"/>
          <w:sz w:val="21"/>
        </w:rPr>
        <w:t>h</w:t>
      </w:r>
      <w:r>
        <w:rPr>
          <w:sz w:val="21"/>
        </w:rPr>
        <w:t> </w:t>
      </w:r>
      <w:r>
        <w:rPr>
          <w:spacing w:val="-11"/>
          <w:sz w:val="21"/>
        </w:rPr>
        <w:t> </w:t>
      </w:r>
      <w:r>
        <w:rPr>
          <w:spacing w:val="-4"/>
          <w:w w:val="100"/>
          <w:sz w:val="21"/>
        </w:rPr>
        <w:t>t</w:t>
      </w:r>
      <w:r>
        <w:rPr>
          <w:spacing w:val="-1"/>
          <w:w w:val="100"/>
          <w:sz w:val="21"/>
        </w:rPr>
        <w:t>ha</w:t>
      </w:r>
      <w:r>
        <w:rPr>
          <w:w w:val="100"/>
          <w:sz w:val="21"/>
        </w:rPr>
        <w:t>t</w:t>
      </w:r>
      <w:r>
        <w:rPr>
          <w:sz w:val="21"/>
        </w:rPr>
        <w:t> </w:t>
      </w:r>
      <w:r>
        <w:rPr>
          <w:spacing w:val="-13"/>
          <w:sz w:val="21"/>
        </w:rPr>
        <w:t> </w:t>
      </w:r>
      <w:r>
        <w:rPr>
          <w:spacing w:val="-2"/>
          <w:w w:val="100"/>
          <w:sz w:val="21"/>
        </w:rPr>
        <w:t>i</w:t>
      </w:r>
      <w:r>
        <w:rPr>
          <w:w w:val="100"/>
          <w:sz w:val="21"/>
        </w:rPr>
        <w:t>f</w:t>
      </w:r>
      <w:r>
        <w:rPr>
          <w:sz w:val="21"/>
        </w:rPr>
        <w:t> </w:t>
      </w:r>
      <w:r>
        <w:rPr>
          <w:spacing w:val="-11"/>
          <w:sz w:val="21"/>
        </w:rPr>
        <w:t> </w:t>
      </w:r>
      <w:r>
        <w:rPr>
          <w:spacing w:val="-1"/>
          <w:w w:val="100"/>
          <w:sz w:val="21"/>
        </w:rPr>
        <w:t>any </w:t>
      </w:r>
      <w:r>
        <w:rPr>
          <w:sz w:val="21"/>
        </w:rPr>
        <w:t>person constructs forcibly he would be punished by the government and your honour may consider the fact that Masjid is a place of worship of the Muslims </w:t>
      </w:r>
      <w:r>
        <w:rPr>
          <w:b/>
          <w:sz w:val="21"/>
        </w:rPr>
        <w:t>and not the contrary position t</w:t>
      </w:r>
      <w:r>
        <w:rPr>
          <w:sz w:val="21"/>
        </w:rPr>
        <w:t>hat previously the symbol of Janamsthan had been there for hundreds of years and Hindus used to perform</w:t>
      </w:r>
      <w:r>
        <w:rPr>
          <w:spacing w:val="-1"/>
          <w:sz w:val="21"/>
        </w:rPr>
        <w:t> </w:t>
      </w:r>
      <w:r>
        <w:rPr>
          <w:sz w:val="21"/>
        </w:rPr>
        <w:t>puja.‖</w:t>
      </w:r>
    </w:p>
    <w:p>
      <w:pPr>
        <w:spacing w:before="0"/>
        <w:ind w:left="5795" w:right="0" w:firstLine="0"/>
        <w:jc w:val="left"/>
        <w:rPr>
          <w:sz w:val="21"/>
        </w:rPr>
      </w:pPr>
      <w:r>
        <w:rPr>
          <w:sz w:val="21"/>
        </w:rPr>
        <w:t>(Emphasis supplied)</w:t>
      </w:r>
    </w:p>
    <w:p>
      <w:pPr>
        <w:pStyle w:val="BodyText"/>
        <w:spacing w:before="3"/>
        <w:rPr>
          <w:sz w:val="24"/>
        </w:rPr>
      </w:pPr>
    </w:p>
    <w:p>
      <w:pPr>
        <w:pStyle w:val="BodyText"/>
        <w:spacing w:line="480" w:lineRule="auto"/>
        <w:ind w:left="500" w:right="440"/>
        <w:jc w:val="both"/>
      </w:pPr>
      <w:r>
        <w:rPr>
          <w:w w:val="99"/>
        </w:rPr>
        <w:t>T</w:t>
      </w:r>
      <w:r>
        <w:rPr>
          <w:spacing w:val="-1"/>
          <w:w w:val="99"/>
        </w:rPr>
        <w:t>h</w:t>
      </w:r>
      <w:r>
        <w:rPr>
          <w:w w:val="99"/>
        </w:rPr>
        <w:t>e</w:t>
      </w:r>
      <w:r>
        <w:rPr/>
        <w:t> </w:t>
      </w:r>
      <w:r>
        <w:rPr>
          <w:spacing w:val="-31"/>
        </w:rPr>
        <w:t> </w:t>
      </w:r>
      <w:r>
        <w:rPr>
          <w:spacing w:val="-1"/>
          <w:w w:val="99"/>
        </w:rPr>
        <w:t>wo</w:t>
      </w:r>
      <w:r>
        <w:rPr>
          <w:w w:val="99"/>
        </w:rPr>
        <w:t>r</w:t>
      </w:r>
      <w:r>
        <w:rPr>
          <w:spacing w:val="-1"/>
          <w:w w:val="99"/>
        </w:rPr>
        <w:t>d</w:t>
      </w:r>
      <w:r>
        <w:rPr>
          <w:w w:val="99"/>
        </w:rPr>
        <w:t>s</w:t>
      </w:r>
      <w:r>
        <w:rPr/>
        <w:t> </w:t>
      </w:r>
      <w:r>
        <w:rPr>
          <w:spacing w:val="-31"/>
        </w:rPr>
        <w:t> </w:t>
      </w:r>
      <w:r>
        <w:rPr>
          <w:w w:val="33"/>
        </w:rPr>
        <w:t>―</w:t>
      </w:r>
      <w:r>
        <w:rPr>
          <w:spacing w:val="-1"/>
          <w:w w:val="99"/>
        </w:rPr>
        <w:t>a</w:t>
      </w:r>
      <w:r>
        <w:rPr>
          <w:spacing w:val="-2"/>
          <w:w w:val="99"/>
        </w:rPr>
        <w:t>n</w:t>
      </w:r>
      <w:r>
        <w:rPr>
          <w:w w:val="99"/>
        </w:rPr>
        <w:t>d</w:t>
      </w:r>
      <w:r>
        <w:rPr/>
        <w:t> </w:t>
      </w:r>
      <w:r>
        <w:rPr>
          <w:spacing w:val="-31"/>
        </w:rPr>
        <w:t> </w:t>
      </w:r>
      <w:r>
        <w:rPr>
          <w:spacing w:val="-1"/>
          <w:w w:val="99"/>
        </w:rPr>
        <w:t>n</w:t>
      </w:r>
      <w:r>
        <w:rPr>
          <w:w w:val="99"/>
        </w:rPr>
        <w:t>ot</w:t>
      </w:r>
      <w:r>
        <w:rPr/>
        <w:t> </w:t>
      </w:r>
      <w:r>
        <w:rPr>
          <w:spacing w:val="-31"/>
        </w:rPr>
        <w:t> </w:t>
      </w:r>
      <w:r>
        <w:rPr>
          <w:spacing w:val="-3"/>
          <w:w w:val="99"/>
        </w:rPr>
        <w:t>t</w:t>
      </w:r>
      <w:r>
        <w:rPr>
          <w:spacing w:val="-1"/>
          <w:w w:val="99"/>
        </w:rPr>
        <w:t>h</w:t>
      </w:r>
      <w:r>
        <w:rPr>
          <w:w w:val="99"/>
        </w:rPr>
        <w:t>e</w:t>
      </w:r>
      <w:r>
        <w:rPr/>
        <w:t> </w:t>
      </w:r>
      <w:r>
        <w:rPr>
          <w:spacing w:val="-31"/>
        </w:rPr>
        <w:t> </w:t>
      </w:r>
      <w:r>
        <w:rPr>
          <w:w w:val="99"/>
        </w:rPr>
        <w:t>contr</w:t>
      </w:r>
      <w:r>
        <w:rPr>
          <w:spacing w:val="-1"/>
          <w:w w:val="99"/>
        </w:rPr>
        <w:t>a</w:t>
      </w:r>
      <w:r>
        <w:rPr>
          <w:w w:val="99"/>
        </w:rPr>
        <w:t>ry</w:t>
      </w:r>
      <w:r>
        <w:rPr/>
        <w:t> </w:t>
      </w:r>
      <w:r>
        <w:rPr>
          <w:spacing w:val="-34"/>
        </w:rPr>
        <w:t> </w:t>
      </w:r>
      <w:r>
        <w:rPr>
          <w:spacing w:val="-1"/>
          <w:w w:val="99"/>
        </w:rPr>
        <w:t>p</w:t>
      </w:r>
      <w:r>
        <w:rPr>
          <w:w w:val="99"/>
        </w:rPr>
        <w:t>o</w:t>
      </w:r>
      <w:r>
        <w:rPr>
          <w:w w:val="96"/>
        </w:rPr>
        <w:t>sition‖</w:t>
      </w:r>
      <w:r>
        <w:rPr/>
        <w:t> </w:t>
      </w:r>
      <w:r>
        <w:rPr>
          <w:spacing w:val="-33"/>
        </w:rPr>
        <w:t> </w:t>
      </w:r>
      <w:r>
        <w:rPr>
          <w:spacing w:val="-1"/>
          <w:w w:val="99"/>
        </w:rPr>
        <w:t>i</w:t>
      </w:r>
      <w:r>
        <w:rPr>
          <w:w w:val="99"/>
        </w:rPr>
        <w:t>n</w:t>
      </w:r>
      <w:r>
        <w:rPr/>
        <w:t> </w:t>
      </w:r>
      <w:r>
        <w:rPr>
          <w:spacing w:val="-31"/>
        </w:rPr>
        <w:t> </w:t>
      </w:r>
      <w:r>
        <w:rPr>
          <w:w w:val="99"/>
        </w:rPr>
        <w:t>the</w:t>
      </w:r>
      <w:r>
        <w:rPr/>
        <w:t> </w:t>
      </w:r>
      <w:r>
        <w:rPr>
          <w:spacing w:val="-31"/>
        </w:rPr>
        <w:t> </w:t>
      </w:r>
      <w:r>
        <w:rPr>
          <w:w w:val="99"/>
        </w:rPr>
        <w:t>subm</w:t>
      </w:r>
      <w:r>
        <w:rPr>
          <w:spacing w:val="-1"/>
          <w:w w:val="99"/>
        </w:rPr>
        <w:t>ission</w:t>
      </w:r>
      <w:r>
        <w:rPr>
          <w:w w:val="99"/>
        </w:rPr>
        <w:t>s</w:t>
      </w:r>
      <w:r>
        <w:rPr/>
        <w:t> </w:t>
      </w:r>
      <w:r>
        <w:rPr>
          <w:spacing w:val="-31"/>
        </w:rPr>
        <w:t> </w:t>
      </w:r>
      <w:r>
        <w:rPr>
          <w:spacing w:val="-1"/>
          <w:w w:val="99"/>
        </w:rPr>
        <w:t>o</w:t>
      </w:r>
      <w:r>
        <w:rPr>
          <w:w w:val="99"/>
        </w:rPr>
        <w:t>f</w:t>
      </w:r>
      <w:r>
        <w:rPr/>
        <w:t> </w:t>
      </w:r>
      <w:r>
        <w:rPr>
          <w:spacing w:val="-31"/>
        </w:rPr>
        <w:t> </w:t>
      </w:r>
      <w:r>
        <w:rPr>
          <w:spacing w:val="-4"/>
          <w:w w:val="99"/>
        </w:rPr>
        <w:t>M</w:t>
      </w:r>
      <w:r>
        <w:rPr>
          <w:w w:val="99"/>
        </w:rPr>
        <w:t>r</w:t>
      </w:r>
      <w:r>
        <w:rPr/>
        <w:t> </w:t>
      </w:r>
      <w:r>
        <w:rPr>
          <w:spacing w:val="-31"/>
        </w:rPr>
        <w:t> </w:t>
      </w:r>
      <w:r>
        <w:rPr>
          <w:spacing w:val="-1"/>
          <w:w w:val="99"/>
        </w:rPr>
        <w:t>Pas</w:t>
      </w:r>
      <w:r>
        <w:rPr>
          <w:w w:val="99"/>
        </w:rPr>
        <w:t>ha</w:t>
      </w:r>
      <w:r>
        <w:rPr/>
        <w:t> </w:t>
      </w:r>
      <w:r>
        <w:rPr>
          <w:spacing w:val="-31"/>
        </w:rPr>
        <w:t> </w:t>
      </w:r>
      <w:r>
        <w:rPr>
          <w:spacing w:val="-1"/>
          <w:w w:val="99"/>
        </w:rPr>
        <w:t>a</w:t>
      </w:r>
      <w:r>
        <w:rPr>
          <w:w w:val="99"/>
        </w:rPr>
        <w:t>re </w:t>
      </w:r>
      <w:r>
        <w:rPr/>
        <w:t>contrived. They militate against the tenor of the letter of the Moazzin. The complaint was against the erection of a Ramchabutra inside the Masjid and in that context it was stated that though previously the symbol of the Janmasthan has been there for hundreds of years and Hindus conducted puja, a construction had been made inside the Masjid for the first</w:t>
      </w:r>
      <w:r>
        <w:rPr>
          <w:spacing w:val="-10"/>
        </w:rPr>
        <w:t> </w:t>
      </w:r>
      <w:r>
        <w:rPr/>
        <w:t>time.</w:t>
      </w:r>
    </w:p>
    <w:p>
      <w:pPr>
        <w:spacing w:after="0" w:line="480" w:lineRule="auto"/>
        <w:jc w:val="both"/>
        <w:sectPr>
          <w:pgSz w:w="11910" w:h="16840"/>
          <w:pgMar w:header="721" w:footer="1014" w:top="1300" w:bottom="1200" w:left="940" w:right="1000"/>
        </w:sectPr>
      </w:pPr>
    </w:p>
    <w:p>
      <w:pPr>
        <w:pStyle w:val="ListParagraph"/>
        <w:numPr>
          <w:ilvl w:val="0"/>
          <w:numId w:val="220"/>
        </w:numPr>
        <w:tabs>
          <w:tab w:pos="1221" w:val="left" w:leader="none"/>
        </w:tabs>
        <w:spacing w:line="480" w:lineRule="auto" w:before="124" w:after="0"/>
        <w:ind w:left="1220" w:right="444" w:hanging="720"/>
        <w:jc w:val="both"/>
        <w:rPr>
          <w:sz w:val="25"/>
        </w:rPr>
      </w:pPr>
      <w:r>
        <w:rPr>
          <w:sz w:val="25"/>
        </w:rPr>
        <w:t>An order was passed on 30 November 1858, pursuant to which Sheetal Dubey, Thanedar visited the disputed premises and informed Nihang Singh about the order but he replied that the entire place is of Nirankar and the government of the country should impart</w:t>
      </w:r>
      <w:r>
        <w:rPr>
          <w:spacing w:val="-11"/>
          <w:sz w:val="25"/>
        </w:rPr>
        <w:t> </w:t>
      </w:r>
      <w:r>
        <w:rPr>
          <w:sz w:val="25"/>
        </w:rPr>
        <w:t>justice;</w:t>
      </w:r>
    </w:p>
    <w:p>
      <w:pPr>
        <w:pStyle w:val="ListParagraph"/>
        <w:numPr>
          <w:ilvl w:val="0"/>
          <w:numId w:val="220"/>
        </w:numPr>
        <w:tabs>
          <w:tab w:pos="1221" w:val="left" w:leader="none"/>
        </w:tabs>
        <w:spacing w:line="480" w:lineRule="auto" w:before="0" w:after="0"/>
        <w:ind w:left="1220" w:right="435" w:hanging="720"/>
        <w:jc w:val="both"/>
        <w:rPr>
          <w:sz w:val="25"/>
        </w:rPr>
      </w:pPr>
      <w:r>
        <w:rPr>
          <w:sz w:val="25"/>
        </w:rPr>
        <w:t>On 1 December 1958, Sheetal Dubey, Thanedar submitted a report in case number 884, describing that when he took the summons order dated 30 November 1858 addressed to Nihang Singh Faqir for leaving the place, he received no reply. He reported what had actually transpired and sought instructions from the higher</w:t>
      </w:r>
      <w:r>
        <w:rPr>
          <w:spacing w:val="-4"/>
          <w:sz w:val="25"/>
        </w:rPr>
        <w:t> </w:t>
      </w:r>
      <w:r>
        <w:rPr>
          <w:sz w:val="25"/>
        </w:rPr>
        <w:t>authorities;</w:t>
      </w:r>
    </w:p>
    <w:p>
      <w:pPr>
        <w:pStyle w:val="ListParagraph"/>
        <w:numPr>
          <w:ilvl w:val="0"/>
          <w:numId w:val="220"/>
        </w:numPr>
        <w:tabs>
          <w:tab w:pos="1221" w:val="left" w:leader="none"/>
        </w:tabs>
        <w:spacing w:line="480" w:lineRule="auto" w:before="0" w:after="0"/>
        <w:ind w:left="1220" w:right="435" w:hanging="720"/>
        <w:jc w:val="both"/>
        <w:rPr>
          <w:sz w:val="25"/>
        </w:rPr>
      </w:pPr>
      <w:r>
        <w:rPr>
          <w:sz w:val="25"/>
        </w:rPr>
        <w:t>An order dated 5 December 1858 was issued in case number 884 wherein a direction was issued by the court in furtherance of the order dated November 30, 1858 (wherein it was directed that the Faqir sitting in Babri Masjid should be ousted) directing the Police Sub-Inspector Avadh that in case the Faqir is not removed from the spot, he must be arrested and presented in</w:t>
      </w:r>
      <w:r>
        <w:rPr>
          <w:spacing w:val="-2"/>
          <w:sz w:val="25"/>
        </w:rPr>
        <w:t> </w:t>
      </w:r>
      <w:r>
        <w:rPr>
          <w:sz w:val="25"/>
        </w:rPr>
        <w:t>court;</w:t>
      </w:r>
    </w:p>
    <w:p>
      <w:pPr>
        <w:pStyle w:val="ListParagraph"/>
        <w:numPr>
          <w:ilvl w:val="0"/>
          <w:numId w:val="220"/>
        </w:numPr>
        <w:tabs>
          <w:tab w:pos="1220" w:val="left" w:leader="none"/>
          <w:tab w:pos="1221" w:val="left" w:leader="none"/>
        </w:tabs>
        <w:spacing w:line="287" w:lineRule="exact" w:before="0" w:after="0"/>
        <w:ind w:left="1220" w:right="0" w:hanging="721"/>
        <w:jc w:val="left"/>
        <w:rPr>
          <w:sz w:val="25"/>
        </w:rPr>
      </w:pPr>
      <w:r>
        <w:rPr>
          <w:sz w:val="25"/>
        </w:rPr>
        <w:t>On</w:t>
      </w:r>
      <w:r>
        <w:rPr>
          <w:spacing w:val="42"/>
          <w:sz w:val="25"/>
        </w:rPr>
        <w:t> </w:t>
      </w:r>
      <w:r>
        <w:rPr>
          <w:sz w:val="25"/>
        </w:rPr>
        <w:t>6</w:t>
      </w:r>
      <w:r>
        <w:rPr>
          <w:spacing w:val="43"/>
          <w:sz w:val="25"/>
        </w:rPr>
        <w:t> </w:t>
      </w:r>
      <w:r>
        <w:rPr>
          <w:sz w:val="25"/>
        </w:rPr>
        <w:t>December</w:t>
      </w:r>
      <w:r>
        <w:rPr>
          <w:spacing w:val="42"/>
          <w:sz w:val="25"/>
        </w:rPr>
        <w:t> </w:t>
      </w:r>
      <w:r>
        <w:rPr>
          <w:sz w:val="25"/>
        </w:rPr>
        <w:t>1858,</w:t>
      </w:r>
      <w:r>
        <w:rPr>
          <w:spacing w:val="43"/>
          <w:sz w:val="25"/>
        </w:rPr>
        <w:t> </w:t>
      </w:r>
      <w:r>
        <w:rPr>
          <w:sz w:val="25"/>
        </w:rPr>
        <w:t>a</w:t>
      </w:r>
      <w:r>
        <w:rPr>
          <w:spacing w:val="43"/>
          <w:sz w:val="25"/>
        </w:rPr>
        <w:t> </w:t>
      </w:r>
      <w:r>
        <w:rPr>
          <w:sz w:val="25"/>
        </w:rPr>
        <w:t>report</w:t>
      </w:r>
      <w:r>
        <w:rPr>
          <w:spacing w:val="42"/>
          <w:sz w:val="25"/>
        </w:rPr>
        <w:t> </w:t>
      </w:r>
      <w:r>
        <w:rPr>
          <w:sz w:val="25"/>
        </w:rPr>
        <w:t>was</w:t>
      </w:r>
      <w:r>
        <w:rPr>
          <w:spacing w:val="43"/>
          <w:sz w:val="25"/>
        </w:rPr>
        <w:t> </w:t>
      </w:r>
      <w:r>
        <w:rPr>
          <w:sz w:val="25"/>
        </w:rPr>
        <w:t>submitted</w:t>
      </w:r>
      <w:r>
        <w:rPr>
          <w:spacing w:val="43"/>
          <w:sz w:val="25"/>
        </w:rPr>
        <w:t> </w:t>
      </w:r>
      <w:r>
        <w:rPr>
          <w:sz w:val="25"/>
        </w:rPr>
        <w:t>by</w:t>
      </w:r>
      <w:r>
        <w:rPr>
          <w:spacing w:val="42"/>
          <w:sz w:val="25"/>
        </w:rPr>
        <w:t> </w:t>
      </w:r>
      <w:r>
        <w:rPr>
          <w:sz w:val="25"/>
        </w:rPr>
        <w:t>Sheetal</w:t>
      </w:r>
      <w:r>
        <w:rPr>
          <w:spacing w:val="42"/>
          <w:sz w:val="25"/>
        </w:rPr>
        <w:t> </w:t>
      </w:r>
      <w:r>
        <w:rPr>
          <w:sz w:val="25"/>
        </w:rPr>
        <w:t>Dubey,</w:t>
      </w:r>
    </w:p>
    <w:p>
      <w:pPr>
        <w:pStyle w:val="BodyText"/>
        <w:spacing w:before="1"/>
      </w:pPr>
    </w:p>
    <w:p>
      <w:pPr>
        <w:pStyle w:val="BodyText"/>
        <w:ind w:right="75"/>
        <w:jc w:val="center"/>
      </w:pPr>
      <w:r>
        <w:rPr/>
        <w:t>Thanedar Oudh recording the appearance of the Faqir in court; and</w:t>
      </w:r>
    </w:p>
    <w:p>
      <w:pPr>
        <w:pStyle w:val="BodyText"/>
        <w:spacing w:before="2"/>
      </w:pPr>
    </w:p>
    <w:p>
      <w:pPr>
        <w:pStyle w:val="ListParagraph"/>
        <w:numPr>
          <w:ilvl w:val="0"/>
          <w:numId w:val="220"/>
        </w:numPr>
        <w:tabs>
          <w:tab w:pos="1221" w:val="left" w:leader="none"/>
        </w:tabs>
        <w:spacing w:line="480" w:lineRule="auto" w:before="0" w:after="0"/>
        <w:ind w:left="1220" w:right="436" w:hanging="720"/>
        <w:jc w:val="both"/>
        <w:rPr>
          <w:sz w:val="25"/>
        </w:rPr>
      </w:pPr>
      <w:r>
        <w:rPr>
          <w:sz w:val="25"/>
        </w:rPr>
        <w:t>On 10 December 1858, an order was passed recording that the Jhanda (flag) was uprooted from the masjid and the Faqir residing therein was ousted.</w:t>
      </w:r>
    </w:p>
    <w:p>
      <w:pPr>
        <w:pStyle w:val="BodyText"/>
        <w:spacing w:before="7"/>
        <w:rPr>
          <w:sz w:val="24"/>
        </w:rPr>
      </w:pPr>
    </w:p>
    <w:p>
      <w:pPr>
        <w:pStyle w:val="ListParagraph"/>
        <w:numPr>
          <w:ilvl w:val="0"/>
          <w:numId w:val="219"/>
        </w:numPr>
        <w:tabs>
          <w:tab w:pos="1221" w:val="left" w:leader="none"/>
        </w:tabs>
        <w:spacing w:line="480" w:lineRule="auto" w:before="1" w:after="0"/>
        <w:ind w:left="500" w:right="434" w:firstLine="0"/>
        <w:jc w:val="both"/>
        <w:rPr>
          <w:sz w:val="25"/>
        </w:rPr>
      </w:pPr>
      <w:r>
        <w:rPr>
          <w:b/>
          <w:sz w:val="25"/>
        </w:rPr>
        <w:t>Case no 223 filed on 5 November 1860 by Mir Rajjab Ali</w:t>
      </w:r>
      <w:r>
        <w:rPr>
          <w:sz w:val="25"/>
        </w:rPr>
        <w:t>: On 5 November 1860, an application was filed by Mir Rajjab Ali against Askali Singh in </w:t>
      </w:r>
      <w:r>
        <w:rPr>
          <w:spacing w:val="-1"/>
          <w:w w:val="99"/>
          <w:sz w:val="25"/>
        </w:rPr>
        <w:t>Cas</w:t>
      </w:r>
      <w:r>
        <w:rPr>
          <w:w w:val="99"/>
          <w:sz w:val="25"/>
        </w:rPr>
        <w:t>e</w:t>
      </w:r>
      <w:r>
        <w:rPr>
          <w:spacing w:val="7"/>
          <w:sz w:val="25"/>
        </w:rPr>
        <w:t> </w:t>
      </w:r>
      <w:r>
        <w:rPr>
          <w:spacing w:val="-1"/>
          <w:w w:val="99"/>
          <w:sz w:val="25"/>
        </w:rPr>
        <w:t>n</w:t>
      </w:r>
      <w:r>
        <w:rPr>
          <w:w w:val="99"/>
          <w:sz w:val="25"/>
        </w:rPr>
        <w:t>um</w:t>
      </w:r>
      <w:r>
        <w:rPr>
          <w:spacing w:val="-1"/>
          <w:w w:val="99"/>
          <w:sz w:val="25"/>
        </w:rPr>
        <w:t>b</w:t>
      </w:r>
      <w:r>
        <w:rPr>
          <w:w w:val="99"/>
          <w:sz w:val="25"/>
        </w:rPr>
        <w:t>er</w:t>
      </w:r>
      <w:r>
        <w:rPr>
          <w:spacing w:val="7"/>
          <w:sz w:val="25"/>
        </w:rPr>
        <w:t> </w:t>
      </w:r>
      <w:r>
        <w:rPr>
          <w:spacing w:val="-1"/>
          <w:w w:val="99"/>
          <w:sz w:val="25"/>
        </w:rPr>
        <w:t>2</w:t>
      </w:r>
      <w:r>
        <w:rPr>
          <w:w w:val="99"/>
          <w:sz w:val="25"/>
        </w:rPr>
        <w:t>23</w:t>
      </w:r>
      <w:r>
        <w:rPr>
          <w:spacing w:val="7"/>
          <w:sz w:val="25"/>
        </w:rPr>
        <w:t> </w:t>
      </w:r>
      <w:r>
        <w:rPr>
          <w:w w:val="99"/>
          <w:sz w:val="25"/>
        </w:rPr>
        <w:t>c</w:t>
      </w:r>
      <w:r>
        <w:rPr>
          <w:spacing w:val="-2"/>
          <w:w w:val="99"/>
          <w:sz w:val="25"/>
        </w:rPr>
        <w:t>o</w:t>
      </w:r>
      <w:r>
        <w:rPr>
          <w:w w:val="99"/>
          <w:sz w:val="25"/>
        </w:rPr>
        <w:t>m</w:t>
      </w:r>
      <w:r>
        <w:rPr>
          <w:spacing w:val="-1"/>
          <w:w w:val="99"/>
          <w:sz w:val="25"/>
        </w:rPr>
        <w:t>plai</w:t>
      </w:r>
      <w:r>
        <w:rPr>
          <w:w w:val="99"/>
          <w:sz w:val="25"/>
        </w:rPr>
        <w:t>n</w:t>
      </w:r>
      <w:r>
        <w:rPr>
          <w:spacing w:val="-1"/>
          <w:w w:val="99"/>
          <w:sz w:val="25"/>
        </w:rPr>
        <w:t>in</w:t>
      </w:r>
      <w:r>
        <w:rPr>
          <w:w w:val="99"/>
          <w:sz w:val="25"/>
        </w:rPr>
        <w:t>g</w:t>
      </w:r>
      <w:r>
        <w:rPr>
          <w:spacing w:val="7"/>
          <w:sz w:val="25"/>
        </w:rPr>
        <w:t> </w:t>
      </w:r>
      <w:r>
        <w:rPr>
          <w:spacing w:val="-1"/>
          <w:w w:val="99"/>
          <w:sz w:val="25"/>
        </w:rPr>
        <w:t>a</w:t>
      </w:r>
      <w:r>
        <w:rPr>
          <w:w w:val="99"/>
          <w:sz w:val="25"/>
        </w:rPr>
        <w:t>b</w:t>
      </w:r>
      <w:r>
        <w:rPr>
          <w:spacing w:val="-1"/>
          <w:w w:val="99"/>
          <w:sz w:val="25"/>
        </w:rPr>
        <w:t>o</w:t>
      </w:r>
      <w:r>
        <w:rPr>
          <w:w w:val="99"/>
          <w:sz w:val="25"/>
        </w:rPr>
        <w:t>ut</w:t>
      </w:r>
      <w:r>
        <w:rPr>
          <w:spacing w:val="7"/>
          <w:sz w:val="25"/>
        </w:rPr>
        <w:t> </w:t>
      </w:r>
      <w:r>
        <w:rPr>
          <w:w w:val="99"/>
          <w:sz w:val="25"/>
        </w:rPr>
        <w:t>a</w:t>
      </w:r>
      <w:r>
        <w:rPr>
          <w:spacing w:val="7"/>
          <w:sz w:val="25"/>
        </w:rPr>
        <w:t> </w:t>
      </w:r>
      <w:r>
        <w:rPr>
          <w:spacing w:val="-1"/>
          <w:w w:val="99"/>
          <w:sz w:val="25"/>
        </w:rPr>
        <w:t>n</w:t>
      </w:r>
      <w:r>
        <w:rPr>
          <w:spacing w:val="-2"/>
          <w:w w:val="99"/>
          <w:sz w:val="25"/>
        </w:rPr>
        <w:t>e</w:t>
      </w:r>
      <w:r>
        <w:rPr>
          <w:w w:val="99"/>
          <w:sz w:val="25"/>
        </w:rPr>
        <w:t>w</w:t>
      </w:r>
      <w:r>
        <w:rPr>
          <w:spacing w:val="6"/>
          <w:sz w:val="25"/>
        </w:rPr>
        <w:t> </w:t>
      </w:r>
      <w:r>
        <w:rPr>
          <w:spacing w:val="6"/>
          <w:w w:val="33"/>
          <w:sz w:val="25"/>
        </w:rPr>
        <w:t>―</w:t>
      </w:r>
      <w:r>
        <w:rPr>
          <w:i/>
          <w:w w:val="99"/>
          <w:sz w:val="25"/>
        </w:rPr>
        <w:t>Chaboo</w:t>
      </w:r>
      <w:r>
        <w:rPr>
          <w:i/>
          <w:w w:val="99"/>
          <w:sz w:val="25"/>
        </w:rPr>
        <w:t>tr</w:t>
      </w:r>
      <w:r>
        <w:rPr>
          <w:i/>
          <w:spacing w:val="1"/>
          <w:w w:val="99"/>
          <w:sz w:val="25"/>
        </w:rPr>
        <w:t>a</w:t>
      </w:r>
      <w:r>
        <w:rPr>
          <w:w w:val="80"/>
          <w:sz w:val="25"/>
        </w:rPr>
        <w:t>‖</w:t>
      </w:r>
      <w:r>
        <w:rPr>
          <w:spacing w:val="8"/>
          <w:sz w:val="25"/>
        </w:rPr>
        <w:t> </w:t>
      </w:r>
      <w:r>
        <w:rPr>
          <w:w w:val="99"/>
          <w:sz w:val="25"/>
        </w:rPr>
        <w:t>being</w:t>
      </w:r>
      <w:r>
        <w:rPr>
          <w:spacing w:val="3"/>
          <w:sz w:val="25"/>
        </w:rPr>
        <w:t> </w:t>
      </w:r>
      <w:r>
        <w:rPr>
          <w:w w:val="99"/>
          <w:sz w:val="25"/>
        </w:rPr>
        <w:t>con</w:t>
      </w:r>
      <w:r>
        <w:rPr>
          <w:w w:val="99"/>
          <w:sz w:val="25"/>
        </w:rPr>
        <w:t>str</w:t>
      </w:r>
      <w:r>
        <w:rPr>
          <w:w w:val="99"/>
          <w:sz w:val="25"/>
        </w:rPr>
        <w:t>ucte</w:t>
      </w:r>
      <w:r>
        <w:rPr>
          <w:w w:val="99"/>
          <w:sz w:val="25"/>
        </w:rPr>
        <w:t>d</w:t>
      </w:r>
      <w:r>
        <w:rPr>
          <w:spacing w:val="9"/>
          <w:sz w:val="25"/>
        </w:rPr>
        <w:t> </w:t>
      </w:r>
      <w:r>
        <w:rPr>
          <w:w w:val="99"/>
          <w:sz w:val="25"/>
        </w:rPr>
        <w:t>in</w:t>
      </w:r>
      <w:r>
        <w:rPr>
          <w:spacing w:val="7"/>
          <w:sz w:val="25"/>
        </w:rPr>
        <w:t> </w:t>
      </w:r>
      <w:r>
        <w:rPr>
          <w:w w:val="99"/>
          <w:sz w:val="25"/>
        </w:rPr>
        <w:t>the </w:t>
      </w:r>
      <w:r>
        <w:rPr>
          <w:sz w:val="25"/>
        </w:rPr>
        <w:t>graveyard. In this application it was stated</w:t>
      </w:r>
      <w:r>
        <w:rPr>
          <w:spacing w:val="-4"/>
          <w:sz w:val="25"/>
        </w:rPr>
        <w:t> </w:t>
      </w:r>
      <w:r>
        <w:rPr>
          <w:sz w:val="25"/>
        </w:rPr>
        <w:t>that:</w:t>
      </w:r>
    </w:p>
    <w:p>
      <w:pPr>
        <w:spacing w:after="0" w:line="480" w:lineRule="auto"/>
        <w:jc w:val="both"/>
        <w:rPr>
          <w:sz w:val="25"/>
        </w:rPr>
        <w:sectPr>
          <w:pgSz w:w="11910" w:h="16840"/>
          <w:pgMar w:header="721" w:footer="1014" w:top="1300" w:bottom="1200" w:left="940" w:right="1000"/>
        </w:sectPr>
      </w:pPr>
    </w:p>
    <w:p>
      <w:pPr>
        <w:pStyle w:val="ListParagraph"/>
        <w:numPr>
          <w:ilvl w:val="0"/>
          <w:numId w:val="221"/>
        </w:numPr>
        <w:tabs>
          <w:tab w:pos="1221" w:val="left" w:leader="none"/>
        </w:tabs>
        <w:spacing w:line="480" w:lineRule="auto" w:before="124" w:after="0"/>
        <w:ind w:left="1220" w:right="437" w:hanging="720"/>
        <w:jc w:val="both"/>
        <w:rPr>
          <w:sz w:val="25"/>
        </w:rPr>
      </w:pPr>
      <w:r>
        <w:rPr>
          <w:w w:val="99"/>
          <w:sz w:val="25"/>
        </w:rPr>
        <w:t>A</w:t>
      </w:r>
      <w:r>
        <w:rPr>
          <w:sz w:val="25"/>
        </w:rPr>
        <w:t> </w:t>
      </w:r>
      <w:r>
        <w:rPr>
          <w:spacing w:val="-25"/>
          <w:sz w:val="25"/>
        </w:rPr>
        <w:t> </w:t>
      </w:r>
      <w:r>
        <w:rPr>
          <w:w w:val="99"/>
          <w:sz w:val="25"/>
        </w:rPr>
        <w:t>sm</w:t>
      </w:r>
      <w:r>
        <w:rPr>
          <w:spacing w:val="-1"/>
          <w:w w:val="99"/>
          <w:sz w:val="25"/>
        </w:rPr>
        <w:t>al</w:t>
      </w:r>
      <w:r>
        <w:rPr>
          <w:w w:val="99"/>
          <w:sz w:val="25"/>
        </w:rPr>
        <w:t>l</w:t>
      </w:r>
      <w:r>
        <w:rPr>
          <w:sz w:val="25"/>
        </w:rPr>
        <w:t> </w:t>
      </w:r>
      <w:r>
        <w:rPr>
          <w:spacing w:val="-24"/>
          <w:sz w:val="25"/>
        </w:rPr>
        <w:t> </w:t>
      </w:r>
      <w:r>
        <w:rPr>
          <w:w w:val="33"/>
          <w:sz w:val="25"/>
        </w:rPr>
        <w:t>―</w:t>
      </w:r>
      <w:r>
        <w:rPr>
          <w:spacing w:val="-1"/>
          <w:w w:val="99"/>
          <w:sz w:val="25"/>
        </w:rPr>
        <w:t>Cha</w:t>
      </w:r>
      <w:r>
        <w:rPr>
          <w:w w:val="99"/>
          <w:sz w:val="25"/>
        </w:rPr>
        <w:t>b</w:t>
      </w:r>
      <w:r>
        <w:rPr>
          <w:spacing w:val="-1"/>
          <w:w w:val="99"/>
          <w:sz w:val="25"/>
        </w:rPr>
        <w:t>o</w:t>
      </w:r>
      <w:r>
        <w:rPr>
          <w:w w:val="99"/>
          <w:sz w:val="25"/>
        </w:rPr>
        <w:t>otr</w:t>
      </w:r>
      <w:r>
        <w:rPr>
          <w:spacing w:val="-1"/>
          <w:w w:val="91"/>
          <w:sz w:val="25"/>
        </w:rPr>
        <w:t>a</w:t>
      </w:r>
      <w:r>
        <w:rPr>
          <w:w w:val="91"/>
          <w:sz w:val="25"/>
        </w:rPr>
        <w:t>‖</w:t>
      </w:r>
      <w:r>
        <w:rPr>
          <w:sz w:val="25"/>
        </w:rPr>
        <w:t> </w:t>
      </w:r>
      <w:r>
        <w:rPr>
          <w:spacing w:val="-26"/>
          <w:sz w:val="25"/>
        </w:rPr>
        <w:t> </w:t>
      </w:r>
      <w:r>
        <w:rPr>
          <w:spacing w:val="-1"/>
          <w:w w:val="99"/>
          <w:sz w:val="25"/>
        </w:rPr>
        <w:t>h</w:t>
      </w:r>
      <w:r>
        <w:rPr>
          <w:w w:val="99"/>
          <w:sz w:val="25"/>
        </w:rPr>
        <w:t>ad</w:t>
      </w:r>
      <w:r>
        <w:rPr>
          <w:sz w:val="25"/>
        </w:rPr>
        <w:t> </w:t>
      </w:r>
      <w:r>
        <w:rPr>
          <w:spacing w:val="-24"/>
          <w:sz w:val="25"/>
        </w:rPr>
        <w:t> </w:t>
      </w:r>
      <w:r>
        <w:rPr>
          <w:spacing w:val="-1"/>
          <w:w w:val="99"/>
          <w:sz w:val="25"/>
        </w:rPr>
        <w:t>b</w:t>
      </w:r>
      <w:r>
        <w:rPr>
          <w:w w:val="99"/>
          <w:sz w:val="25"/>
        </w:rPr>
        <w:t>e</w:t>
      </w:r>
      <w:r>
        <w:rPr>
          <w:spacing w:val="-1"/>
          <w:w w:val="99"/>
          <w:sz w:val="25"/>
        </w:rPr>
        <w:t>e</w:t>
      </w:r>
      <w:r>
        <w:rPr>
          <w:w w:val="99"/>
          <w:sz w:val="25"/>
        </w:rPr>
        <w:t>n</w:t>
      </w:r>
      <w:r>
        <w:rPr>
          <w:sz w:val="25"/>
        </w:rPr>
        <w:t> </w:t>
      </w:r>
      <w:r>
        <w:rPr>
          <w:spacing w:val="-24"/>
          <w:sz w:val="25"/>
        </w:rPr>
        <w:t> </w:t>
      </w:r>
      <w:r>
        <w:rPr>
          <w:w w:val="99"/>
          <w:sz w:val="25"/>
        </w:rPr>
        <w:t>constr</w:t>
      </w:r>
      <w:r>
        <w:rPr>
          <w:spacing w:val="-1"/>
          <w:w w:val="99"/>
          <w:sz w:val="25"/>
        </w:rPr>
        <w:t>uct</w:t>
      </w:r>
      <w:r>
        <w:rPr>
          <w:spacing w:val="-2"/>
          <w:w w:val="99"/>
          <w:sz w:val="25"/>
        </w:rPr>
        <w:t>e</w:t>
      </w:r>
      <w:r>
        <w:rPr>
          <w:w w:val="99"/>
          <w:sz w:val="25"/>
        </w:rPr>
        <w:t>d</w:t>
      </w:r>
      <w:r>
        <w:rPr>
          <w:sz w:val="25"/>
        </w:rPr>
        <w:t> </w:t>
      </w:r>
      <w:r>
        <w:rPr>
          <w:spacing w:val="-24"/>
          <w:sz w:val="25"/>
        </w:rPr>
        <w:t> </w:t>
      </w:r>
      <w:r>
        <w:rPr>
          <w:spacing w:val="-1"/>
          <w:w w:val="99"/>
          <w:sz w:val="25"/>
        </w:rPr>
        <w:t>i</w:t>
      </w:r>
      <w:r>
        <w:rPr>
          <w:w w:val="99"/>
          <w:sz w:val="25"/>
        </w:rPr>
        <w:t>n</w:t>
      </w:r>
      <w:r>
        <w:rPr>
          <w:sz w:val="25"/>
        </w:rPr>
        <w:t> </w:t>
      </w:r>
      <w:r>
        <w:rPr>
          <w:spacing w:val="-24"/>
          <w:sz w:val="25"/>
        </w:rPr>
        <w:t> </w:t>
      </w:r>
      <w:r>
        <w:rPr>
          <w:w w:val="99"/>
          <w:sz w:val="25"/>
        </w:rPr>
        <w:t>the</w:t>
      </w:r>
      <w:r>
        <w:rPr>
          <w:sz w:val="25"/>
        </w:rPr>
        <w:t> </w:t>
      </w:r>
      <w:r>
        <w:rPr>
          <w:spacing w:val="-24"/>
          <w:sz w:val="25"/>
        </w:rPr>
        <w:t> </w:t>
      </w:r>
      <w:r>
        <w:rPr>
          <w:spacing w:val="-1"/>
          <w:w w:val="99"/>
          <w:sz w:val="25"/>
        </w:rPr>
        <w:t>g</w:t>
      </w:r>
      <w:r>
        <w:rPr>
          <w:w w:val="99"/>
          <w:sz w:val="25"/>
        </w:rPr>
        <w:t>r</w:t>
      </w:r>
      <w:r>
        <w:rPr>
          <w:spacing w:val="-1"/>
          <w:w w:val="99"/>
          <w:sz w:val="25"/>
        </w:rPr>
        <w:t>a</w:t>
      </w:r>
      <w:r>
        <w:rPr>
          <w:spacing w:val="-3"/>
          <w:w w:val="99"/>
          <w:sz w:val="25"/>
        </w:rPr>
        <w:t>v</w:t>
      </w:r>
      <w:r>
        <w:rPr>
          <w:spacing w:val="-1"/>
          <w:w w:val="99"/>
          <w:sz w:val="25"/>
        </w:rPr>
        <w:t>e</w:t>
      </w:r>
      <w:r>
        <w:rPr>
          <w:spacing w:val="-3"/>
          <w:w w:val="99"/>
          <w:sz w:val="25"/>
        </w:rPr>
        <w:t>y</w:t>
      </w:r>
      <w:r>
        <w:rPr>
          <w:spacing w:val="-1"/>
          <w:w w:val="99"/>
          <w:sz w:val="25"/>
        </w:rPr>
        <w:t>a</w:t>
      </w:r>
      <w:r>
        <w:rPr>
          <w:w w:val="99"/>
          <w:sz w:val="25"/>
        </w:rPr>
        <w:t>rd</w:t>
      </w:r>
      <w:r>
        <w:rPr>
          <w:sz w:val="25"/>
        </w:rPr>
        <w:t> </w:t>
      </w:r>
      <w:r>
        <w:rPr>
          <w:spacing w:val="-24"/>
          <w:sz w:val="25"/>
        </w:rPr>
        <w:t> </w:t>
      </w:r>
      <w:r>
        <w:rPr>
          <w:spacing w:val="-1"/>
          <w:w w:val="99"/>
          <w:sz w:val="25"/>
        </w:rPr>
        <w:t>a</w:t>
      </w:r>
      <w:r>
        <w:rPr>
          <w:w w:val="99"/>
          <w:sz w:val="25"/>
        </w:rPr>
        <w:t>d</w:t>
      </w:r>
      <w:r>
        <w:rPr>
          <w:spacing w:val="-1"/>
          <w:w w:val="99"/>
          <w:sz w:val="25"/>
        </w:rPr>
        <w:t>jace</w:t>
      </w:r>
      <w:r>
        <w:rPr>
          <w:w w:val="99"/>
          <w:sz w:val="25"/>
        </w:rPr>
        <w:t>nt</w:t>
      </w:r>
      <w:r>
        <w:rPr>
          <w:sz w:val="25"/>
        </w:rPr>
        <w:t> </w:t>
      </w:r>
      <w:r>
        <w:rPr>
          <w:spacing w:val="-24"/>
          <w:sz w:val="25"/>
        </w:rPr>
        <w:t> </w:t>
      </w:r>
      <w:r>
        <w:rPr>
          <w:w w:val="99"/>
          <w:sz w:val="25"/>
        </w:rPr>
        <w:t>to </w:t>
      </w:r>
      <w:r>
        <w:rPr>
          <w:sz w:val="25"/>
        </w:rPr>
        <w:t>Babri Masjid by one Nihang. He was told not to </w:t>
      </w:r>
      <w:r>
        <w:rPr>
          <w:spacing w:val="3"/>
          <w:sz w:val="25"/>
        </w:rPr>
        <w:t>do </w:t>
      </w:r>
      <w:r>
        <w:rPr>
          <w:sz w:val="25"/>
        </w:rPr>
        <w:t>so but he did not refrain and became</w:t>
      </w:r>
      <w:r>
        <w:rPr>
          <w:spacing w:val="-3"/>
          <w:sz w:val="25"/>
        </w:rPr>
        <w:t> </w:t>
      </w:r>
      <w:r>
        <w:rPr>
          <w:sz w:val="25"/>
        </w:rPr>
        <w:t>violent;</w:t>
      </w:r>
    </w:p>
    <w:p>
      <w:pPr>
        <w:pStyle w:val="ListParagraph"/>
        <w:numPr>
          <w:ilvl w:val="0"/>
          <w:numId w:val="221"/>
        </w:numPr>
        <w:tabs>
          <w:tab w:pos="1221" w:val="left" w:leader="none"/>
        </w:tabs>
        <w:spacing w:line="480" w:lineRule="auto" w:before="0" w:after="0"/>
        <w:ind w:left="1220" w:right="440" w:hanging="720"/>
        <w:jc w:val="both"/>
        <w:rPr>
          <w:sz w:val="25"/>
        </w:rPr>
      </w:pPr>
      <w:r>
        <w:rPr>
          <w:sz w:val="25"/>
        </w:rPr>
        <w:t>Previously, about a year and a half earlier, Hari Das (Mahant of Hanuman Garhi) tried to build a house forcibly and was made to execute a bond/undertaking for non-interference. The said undertaking is still available in the</w:t>
      </w:r>
      <w:r>
        <w:rPr>
          <w:spacing w:val="-2"/>
          <w:sz w:val="25"/>
        </w:rPr>
        <w:t> </w:t>
      </w:r>
      <w:r>
        <w:rPr>
          <w:sz w:val="25"/>
        </w:rPr>
        <w:t>files;</w:t>
      </w:r>
    </w:p>
    <w:p>
      <w:pPr>
        <w:pStyle w:val="ListParagraph"/>
        <w:numPr>
          <w:ilvl w:val="0"/>
          <w:numId w:val="221"/>
        </w:numPr>
        <w:tabs>
          <w:tab w:pos="1221" w:val="left" w:leader="none"/>
        </w:tabs>
        <w:spacing w:line="480" w:lineRule="auto" w:before="0" w:after="0"/>
        <w:ind w:left="1220" w:right="445" w:hanging="720"/>
        <w:jc w:val="both"/>
        <w:rPr>
          <w:sz w:val="25"/>
        </w:rPr>
      </w:pPr>
      <w:r>
        <w:rPr>
          <w:sz w:val="25"/>
        </w:rPr>
        <w:t>The Commissioner also found a flag which had been pitched within the grounds of Babri Masjid and upon seeing it, got the flag</w:t>
      </w:r>
      <w:r>
        <w:rPr>
          <w:spacing w:val="-14"/>
          <w:sz w:val="25"/>
        </w:rPr>
        <w:t> </w:t>
      </w:r>
      <w:r>
        <w:rPr>
          <w:sz w:val="25"/>
        </w:rPr>
        <w:t>removed;</w:t>
      </w:r>
    </w:p>
    <w:p>
      <w:pPr>
        <w:pStyle w:val="ListParagraph"/>
        <w:numPr>
          <w:ilvl w:val="0"/>
          <w:numId w:val="221"/>
        </w:numPr>
        <w:tabs>
          <w:tab w:pos="1221" w:val="left" w:leader="none"/>
        </w:tabs>
        <w:spacing w:line="480" w:lineRule="auto" w:before="0" w:after="0"/>
        <w:ind w:left="1220" w:right="442" w:hanging="720"/>
        <w:jc w:val="both"/>
        <w:rPr>
          <w:sz w:val="25"/>
        </w:rPr>
      </w:pPr>
      <w:r>
        <w:rPr>
          <w:sz w:val="25"/>
        </w:rPr>
        <w:t>Nowadays, when the Moazzin recites Azan, the opposite parties begin to blow conch shells;</w:t>
      </w:r>
      <w:r>
        <w:rPr>
          <w:spacing w:val="-3"/>
          <w:sz w:val="25"/>
        </w:rPr>
        <w:t> </w:t>
      </w:r>
      <w:r>
        <w:rPr>
          <w:sz w:val="25"/>
        </w:rPr>
        <w:t>and</w:t>
      </w:r>
    </w:p>
    <w:p>
      <w:pPr>
        <w:pStyle w:val="ListParagraph"/>
        <w:numPr>
          <w:ilvl w:val="0"/>
          <w:numId w:val="221"/>
        </w:numPr>
        <w:tabs>
          <w:tab w:pos="1221" w:val="left" w:leader="none"/>
        </w:tabs>
        <w:spacing w:line="480" w:lineRule="auto" w:before="0" w:after="0"/>
        <w:ind w:left="1220" w:right="445" w:hanging="720"/>
        <w:jc w:val="both"/>
        <w:rPr>
          <w:sz w:val="25"/>
        </w:rPr>
      </w:pPr>
      <w:r>
        <w:rPr>
          <w:w w:val="99"/>
          <w:sz w:val="25"/>
        </w:rPr>
        <w:t>T</w:t>
      </w:r>
      <w:r>
        <w:rPr>
          <w:w w:val="99"/>
          <w:sz w:val="25"/>
        </w:rPr>
        <w:t>he</w:t>
      </w:r>
      <w:r>
        <w:rPr>
          <w:spacing w:val="30"/>
          <w:sz w:val="25"/>
        </w:rPr>
        <w:t> </w:t>
      </w:r>
      <w:r>
        <w:rPr>
          <w:spacing w:val="-1"/>
          <w:w w:val="99"/>
          <w:sz w:val="25"/>
        </w:rPr>
        <w:t>n</w:t>
      </w:r>
      <w:r>
        <w:rPr>
          <w:w w:val="99"/>
          <w:sz w:val="25"/>
        </w:rPr>
        <w:t>e</w:t>
      </w:r>
      <w:r>
        <w:rPr>
          <w:spacing w:val="-1"/>
          <w:w w:val="99"/>
          <w:sz w:val="25"/>
        </w:rPr>
        <w:t>wl</w:t>
      </w:r>
      <w:r>
        <w:rPr>
          <w:w w:val="99"/>
          <w:sz w:val="25"/>
        </w:rPr>
        <w:t>y</w:t>
      </w:r>
      <w:r>
        <w:rPr>
          <w:spacing w:val="25"/>
          <w:sz w:val="25"/>
        </w:rPr>
        <w:t> </w:t>
      </w:r>
      <w:r>
        <w:rPr>
          <w:spacing w:val="-1"/>
          <w:w w:val="99"/>
          <w:sz w:val="25"/>
        </w:rPr>
        <w:t>b</w:t>
      </w:r>
      <w:r>
        <w:rPr>
          <w:w w:val="99"/>
          <w:sz w:val="25"/>
        </w:rPr>
        <w:t>u</w:t>
      </w:r>
      <w:r>
        <w:rPr>
          <w:spacing w:val="-1"/>
          <w:w w:val="99"/>
          <w:sz w:val="25"/>
        </w:rPr>
        <w:t>il</w:t>
      </w:r>
      <w:r>
        <w:rPr>
          <w:w w:val="99"/>
          <w:sz w:val="25"/>
        </w:rPr>
        <w:t>t</w:t>
      </w:r>
      <w:r>
        <w:rPr>
          <w:spacing w:val="28"/>
          <w:sz w:val="25"/>
        </w:rPr>
        <w:t> </w:t>
      </w:r>
      <w:r>
        <w:rPr>
          <w:w w:val="33"/>
          <w:sz w:val="25"/>
        </w:rPr>
        <w:t>―</w:t>
      </w:r>
      <w:r>
        <w:rPr>
          <w:spacing w:val="-1"/>
          <w:w w:val="99"/>
          <w:sz w:val="25"/>
        </w:rPr>
        <w:t>Cha</w:t>
      </w:r>
      <w:r>
        <w:rPr>
          <w:w w:val="99"/>
          <w:sz w:val="25"/>
        </w:rPr>
        <w:t>b</w:t>
      </w:r>
      <w:r>
        <w:rPr>
          <w:spacing w:val="-1"/>
          <w:w w:val="99"/>
          <w:sz w:val="25"/>
        </w:rPr>
        <w:t>o</w:t>
      </w:r>
      <w:r>
        <w:rPr>
          <w:w w:val="99"/>
          <w:sz w:val="25"/>
        </w:rPr>
        <w:t>otr</w:t>
      </w:r>
      <w:r>
        <w:rPr>
          <w:spacing w:val="-1"/>
          <w:w w:val="91"/>
          <w:sz w:val="25"/>
        </w:rPr>
        <w:t>a</w:t>
      </w:r>
      <w:r>
        <w:rPr>
          <w:w w:val="91"/>
          <w:sz w:val="25"/>
        </w:rPr>
        <w:t>‖</w:t>
      </w:r>
      <w:r>
        <w:rPr>
          <w:spacing w:val="29"/>
          <w:sz w:val="25"/>
        </w:rPr>
        <w:t> </w:t>
      </w:r>
      <w:r>
        <w:rPr>
          <w:w w:val="99"/>
          <w:sz w:val="25"/>
        </w:rPr>
        <w:t>sho</w:t>
      </w:r>
      <w:r>
        <w:rPr>
          <w:spacing w:val="-1"/>
          <w:w w:val="99"/>
          <w:sz w:val="25"/>
        </w:rPr>
        <w:t>ul</w:t>
      </w:r>
      <w:r>
        <w:rPr>
          <w:w w:val="99"/>
          <w:sz w:val="25"/>
        </w:rPr>
        <w:t>d</w:t>
      </w:r>
      <w:r>
        <w:rPr>
          <w:spacing w:val="29"/>
          <w:sz w:val="25"/>
        </w:rPr>
        <w:t> </w:t>
      </w:r>
      <w:r>
        <w:rPr>
          <w:spacing w:val="-1"/>
          <w:w w:val="99"/>
          <w:sz w:val="25"/>
        </w:rPr>
        <w:t>b</w:t>
      </w:r>
      <w:r>
        <w:rPr>
          <w:w w:val="99"/>
          <w:sz w:val="25"/>
        </w:rPr>
        <w:t>e</w:t>
      </w:r>
      <w:r>
        <w:rPr>
          <w:spacing w:val="26"/>
          <w:sz w:val="25"/>
        </w:rPr>
        <w:t> </w:t>
      </w:r>
      <w:r>
        <w:rPr>
          <w:spacing w:val="-1"/>
          <w:w w:val="99"/>
          <w:sz w:val="25"/>
        </w:rPr>
        <w:t>di</w:t>
      </w:r>
      <w:r>
        <w:rPr>
          <w:spacing w:val="-2"/>
          <w:w w:val="99"/>
          <w:sz w:val="25"/>
        </w:rPr>
        <w:t>r</w:t>
      </w:r>
      <w:r>
        <w:rPr>
          <w:spacing w:val="-1"/>
          <w:w w:val="99"/>
          <w:sz w:val="25"/>
        </w:rPr>
        <w:t>ect</w:t>
      </w:r>
      <w:r>
        <w:rPr>
          <w:w w:val="99"/>
          <w:sz w:val="25"/>
        </w:rPr>
        <w:t>ed</w:t>
      </w:r>
      <w:r>
        <w:rPr>
          <w:spacing w:val="29"/>
          <w:sz w:val="25"/>
        </w:rPr>
        <w:t> </w:t>
      </w:r>
      <w:r>
        <w:rPr>
          <w:w w:val="99"/>
          <w:sz w:val="25"/>
        </w:rPr>
        <w:t>to</w:t>
      </w:r>
      <w:r>
        <w:rPr>
          <w:spacing w:val="29"/>
          <w:sz w:val="25"/>
        </w:rPr>
        <w:t> </w:t>
      </w:r>
      <w:r>
        <w:rPr>
          <w:spacing w:val="-1"/>
          <w:w w:val="99"/>
          <w:sz w:val="25"/>
        </w:rPr>
        <w:t>b</w:t>
      </w:r>
      <w:r>
        <w:rPr>
          <w:w w:val="99"/>
          <w:sz w:val="25"/>
        </w:rPr>
        <w:t>e</w:t>
      </w:r>
      <w:r>
        <w:rPr>
          <w:spacing w:val="29"/>
          <w:sz w:val="25"/>
        </w:rPr>
        <w:t> </w:t>
      </w:r>
      <w:r>
        <w:rPr>
          <w:spacing w:val="-1"/>
          <w:w w:val="99"/>
          <w:sz w:val="25"/>
        </w:rPr>
        <w:t>d</w:t>
      </w:r>
      <w:r>
        <w:rPr>
          <w:w w:val="99"/>
          <w:sz w:val="25"/>
        </w:rPr>
        <w:t>em</w:t>
      </w:r>
      <w:r>
        <w:rPr>
          <w:spacing w:val="-1"/>
          <w:w w:val="99"/>
          <w:sz w:val="25"/>
        </w:rPr>
        <w:t>olis</w:t>
      </w:r>
      <w:r>
        <w:rPr>
          <w:spacing w:val="-3"/>
          <w:w w:val="99"/>
          <w:sz w:val="25"/>
        </w:rPr>
        <w:t>h</w:t>
      </w:r>
      <w:r>
        <w:rPr>
          <w:spacing w:val="-1"/>
          <w:w w:val="99"/>
          <w:sz w:val="25"/>
        </w:rPr>
        <w:t>e</w:t>
      </w:r>
      <w:r>
        <w:rPr>
          <w:w w:val="99"/>
          <w:sz w:val="25"/>
        </w:rPr>
        <w:t>d</w:t>
      </w:r>
      <w:r>
        <w:rPr>
          <w:spacing w:val="29"/>
          <w:sz w:val="25"/>
        </w:rPr>
        <w:t> </w:t>
      </w:r>
      <w:r>
        <w:rPr>
          <w:spacing w:val="-1"/>
          <w:w w:val="99"/>
          <w:sz w:val="25"/>
        </w:rPr>
        <w:t>a</w:t>
      </w:r>
      <w:r>
        <w:rPr>
          <w:w w:val="99"/>
          <w:sz w:val="25"/>
        </w:rPr>
        <w:t>nd</w:t>
      </w:r>
      <w:r>
        <w:rPr>
          <w:spacing w:val="29"/>
          <w:sz w:val="25"/>
        </w:rPr>
        <w:t> </w:t>
      </w:r>
      <w:r>
        <w:rPr>
          <w:spacing w:val="-1"/>
          <w:w w:val="99"/>
          <w:sz w:val="25"/>
        </w:rPr>
        <w:t>an </w:t>
      </w:r>
      <w:r>
        <w:rPr>
          <w:sz w:val="25"/>
        </w:rPr>
        <w:t>undertaking/ bond should be taken from the opposite party that they will not unlawfully and illegally interfere in the masjid property and will not blow conch shells at the time of</w:t>
      </w:r>
      <w:r>
        <w:rPr>
          <w:spacing w:val="-4"/>
          <w:sz w:val="25"/>
        </w:rPr>
        <w:t> </w:t>
      </w:r>
      <w:r>
        <w:rPr>
          <w:sz w:val="25"/>
        </w:rPr>
        <w:t>Azaan;</w:t>
      </w:r>
    </w:p>
    <w:p>
      <w:pPr>
        <w:pStyle w:val="BodyText"/>
      </w:pPr>
    </w:p>
    <w:p>
      <w:pPr>
        <w:pStyle w:val="ListParagraph"/>
        <w:numPr>
          <w:ilvl w:val="0"/>
          <w:numId w:val="219"/>
        </w:numPr>
        <w:tabs>
          <w:tab w:pos="1221" w:val="left" w:leader="none"/>
        </w:tabs>
        <w:spacing w:line="480" w:lineRule="auto" w:before="0" w:after="0"/>
        <w:ind w:left="500" w:right="443" w:firstLine="0"/>
        <w:jc w:val="both"/>
        <w:rPr>
          <w:sz w:val="25"/>
        </w:rPr>
      </w:pPr>
      <w:r>
        <w:rPr>
          <w:sz w:val="25"/>
        </w:rPr>
        <w:t>On 12 March 1861, an application was filed by Mohd Asghar, Rajjab Ali and Mohd Afzal, in furtherance of the previous application, stating that Imkani Sikh </w:t>
      </w:r>
      <w:r>
        <w:rPr>
          <w:spacing w:val="32"/>
          <w:sz w:val="25"/>
        </w:rPr>
        <w:t> </w:t>
      </w:r>
      <w:r>
        <w:rPr>
          <w:sz w:val="25"/>
        </w:rPr>
        <w:t>had </w:t>
      </w:r>
      <w:r>
        <w:rPr>
          <w:spacing w:val="33"/>
          <w:sz w:val="25"/>
        </w:rPr>
        <w:t> </w:t>
      </w:r>
      <w:r>
        <w:rPr>
          <w:sz w:val="25"/>
        </w:rPr>
        <w:t>illegally </w:t>
      </w:r>
      <w:r>
        <w:rPr>
          <w:spacing w:val="30"/>
          <w:sz w:val="25"/>
        </w:rPr>
        <w:t> </w:t>
      </w:r>
      <w:r>
        <w:rPr>
          <w:sz w:val="25"/>
        </w:rPr>
        <w:t>occupied </w:t>
      </w:r>
      <w:r>
        <w:rPr>
          <w:spacing w:val="34"/>
          <w:sz w:val="25"/>
        </w:rPr>
        <w:t> </w:t>
      </w:r>
      <w:r>
        <w:rPr>
          <w:sz w:val="25"/>
        </w:rPr>
        <w:t>the </w:t>
      </w:r>
      <w:r>
        <w:rPr>
          <w:spacing w:val="33"/>
          <w:sz w:val="25"/>
        </w:rPr>
        <w:t> </w:t>
      </w:r>
      <w:r>
        <w:rPr>
          <w:sz w:val="25"/>
        </w:rPr>
        <w:t>lands </w:t>
      </w:r>
      <w:r>
        <w:rPr>
          <w:spacing w:val="32"/>
          <w:sz w:val="25"/>
        </w:rPr>
        <w:t> </w:t>
      </w:r>
      <w:r>
        <w:rPr>
          <w:sz w:val="25"/>
        </w:rPr>
        <w:t>of </w:t>
      </w:r>
      <w:r>
        <w:rPr>
          <w:spacing w:val="34"/>
          <w:sz w:val="25"/>
        </w:rPr>
        <w:t> </w:t>
      </w:r>
      <w:r>
        <w:rPr>
          <w:sz w:val="25"/>
        </w:rPr>
        <w:t>the </w:t>
      </w:r>
      <w:r>
        <w:rPr>
          <w:spacing w:val="33"/>
          <w:sz w:val="25"/>
        </w:rPr>
        <w:t> </w:t>
      </w:r>
      <w:r>
        <w:rPr>
          <w:sz w:val="25"/>
        </w:rPr>
        <w:t>plaintiffs </w:t>
      </w:r>
      <w:r>
        <w:rPr>
          <w:spacing w:val="33"/>
          <w:sz w:val="25"/>
        </w:rPr>
        <w:t> </w:t>
      </w:r>
      <w:r>
        <w:rPr>
          <w:sz w:val="25"/>
        </w:rPr>
        <w:t>and </w:t>
      </w:r>
      <w:r>
        <w:rPr>
          <w:spacing w:val="33"/>
          <w:sz w:val="25"/>
        </w:rPr>
        <w:t> </w:t>
      </w:r>
      <w:r>
        <w:rPr>
          <w:sz w:val="25"/>
        </w:rPr>
        <w:t>had </w:t>
      </w:r>
      <w:r>
        <w:rPr>
          <w:spacing w:val="34"/>
          <w:sz w:val="25"/>
        </w:rPr>
        <w:t> </w:t>
      </w:r>
      <w:r>
        <w:rPr>
          <w:sz w:val="25"/>
        </w:rPr>
        <w:t>erected </w:t>
      </w:r>
      <w:r>
        <w:rPr>
          <w:spacing w:val="33"/>
          <w:sz w:val="25"/>
        </w:rPr>
        <w:t> </w:t>
      </w:r>
      <w:r>
        <w:rPr>
          <w:sz w:val="25"/>
        </w:rPr>
        <w:t>a</w:t>
      </w:r>
    </w:p>
    <w:p>
      <w:pPr>
        <w:pStyle w:val="BodyText"/>
        <w:spacing w:line="480" w:lineRule="auto" w:before="1"/>
        <w:ind w:left="500" w:right="436"/>
        <w:jc w:val="both"/>
      </w:pPr>
      <w:r>
        <w:rPr>
          <w:w w:val="33"/>
        </w:rPr>
        <w:t>―</w:t>
      </w:r>
      <w:r>
        <w:rPr>
          <w:spacing w:val="-1"/>
          <w:w w:val="99"/>
        </w:rPr>
        <w:t>Cha</w:t>
      </w:r>
      <w:r>
        <w:rPr>
          <w:w w:val="99"/>
        </w:rPr>
        <w:t>b</w:t>
      </w:r>
      <w:r>
        <w:rPr>
          <w:spacing w:val="-1"/>
          <w:w w:val="99"/>
        </w:rPr>
        <w:t>o</w:t>
      </w:r>
      <w:r>
        <w:rPr>
          <w:w w:val="99"/>
        </w:rPr>
        <w:t>otr</w:t>
      </w:r>
      <w:r>
        <w:rPr>
          <w:spacing w:val="-1"/>
          <w:w w:val="91"/>
        </w:rPr>
        <w:t>a</w:t>
      </w:r>
      <w:r>
        <w:rPr>
          <w:w w:val="91"/>
        </w:rPr>
        <w:t>‖</w:t>
      </w:r>
      <w:r>
        <w:rPr>
          <w:spacing w:val="22"/>
        </w:rPr>
        <w:t> </w:t>
      </w:r>
      <w:r>
        <w:rPr>
          <w:spacing w:val="-1"/>
          <w:w w:val="99"/>
        </w:rPr>
        <w:t>witho</w:t>
      </w:r>
      <w:r>
        <w:rPr>
          <w:w w:val="99"/>
        </w:rPr>
        <w:t>ut</w:t>
      </w:r>
      <w:r>
        <w:rPr>
          <w:spacing w:val="21"/>
        </w:rPr>
        <w:t> </w:t>
      </w:r>
      <w:r>
        <w:rPr>
          <w:spacing w:val="-3"/>
          <w:w w:val="99"/>
        </w:rPr>
        <w:t>p</w:t>
      </w:r>
      <w:r>
        <w:rPr>
          <w:spacing w:val="-1"/>
          <w:w w:val="99"/>
        </w:rPr>
        <w:t>e</w:t>
      </w:r>
      <w:r>
        <w:rPr>
          <w:w w:val="99"/>
        </w:rPr>
        <w:t>rm</w:t>
      </w:r>
      <w:r>
        <w:rPr>
          <w:spacing w:val="-1"/>
          <w:w w:val="99"/>
        </w:rPr>
        <w:t>issio</w:t>
      </w:r>
      <w:r>
        <w:rPr>
          <w:w w:val="99"/>
        </w:rPr>
        <w:t>n</w:t>
      </w:r>
      <w:r>
        <w:rPr>
          <w:spacing w:val="25"/>
        </w:rPr>
        <w:t> </w:t>
      </w:r>
      <w:r>
        <w:rPr>
          <w:w w:val="99"/>
        </w:rPr>
        <w:t>near</w:t>
      </w:r>
      <w:r>
        <w:rPr>
          <w:spacing w:val="22"/>
        </w:rPr>
        <w:t> </w:t>
      </w:r>
      <w:r>
        <w:rPr>
          <w:spacing w:val="-1"/>
          <w:w w:val="99"/>
        </w:rPr>
        <w:t>B</w:t>
      </w:r>
      <w:r>
        <w:rPr>
          <w:w w:val="99"/>
        </w:rPr>
        <w:t>ab</w:t>
      </w:r>
      <w:r>
        <w:rPr>
          <w:w w:val="99"/>
        </w:rPr>
        <w:t>r</w:t>
      </w:r>
      <w:r>
        <w:rPr>
          <w:w w:val="99"/>
        </w:rPr>
        <w:t>i</w:t>
      </w:r>
      <w:r>
        <w:rPr>
          <w:spacing w:val="18"/>
        </w:rPr>
        <w:t> </w:t>
      </w:r>
      <w:r>
        <w:rPr>
          <w:spacing w:val="-2"/>
          <w:w w:val="99"/>
        </w:rPr>
        <w:t>M</w:t>
      </w:r>
      <w:r>
        <w:rPr>
          <w:w w:val="99"/>
        </w:rPr>
        <w:t>asjid.</w:t>
      </w:r>
      <w:r>
        <w:rPr>
          <w:spacing w:val="22"/>
        </w:rPr>
        <w:t> </w:t>
      </w:r>
      <w:r>
        <w:rPr>
          <w:spacing w:val="1"/>
          <w:w w:val="99"/>
        </w:rPr>
        <w:t>E</w:t>
      </w:r>
      <w:r>
        <w:rPr>
          <w:spacing w:val="-3"/>
          <w:w w:val="99"/>
        </w:rPr>
        <w:t>v</w:t>
      </w:r>
      <w:r>
        <w:rPr>
          <w:w w:val="99"/>
        </w:rPr>
        <w:t>en</w:t>
      </w:r>
      <w:r>
        <w:rPr>
          <w:spacing w:val="21"/>
        </w:rPr>
        <w:t> </w:t>
      </w:r>
      <w:r>
        <w:rPr>
          <w:w w:val="99"/>
        </w:rPr>
        <w:t>tho</w:t>
      </w:r>
      <w:r>
        <w:rPr>
          <w:w w:val="99"/>
        </w:rPr>
        <w:t>ugh</w:t>
      </w:r>
      <w:r>
        <w:rPr>
          <w:spacing w:val="24"/>
        </w:rPr>
        <w:t> </w:t>
      </w:r>
      <w:r>
        <w:rPr>
          <w:w w:val="99"/>
        </w:rPr>
        <w:t>on</w:t>
      </w:r>
      <w:r>
        <w:rPr>
          <w:spacing w:val="21"/>
        </w:rPr>
        <w:t> </w:t>
      </w:r>
      <w:r>
        <w:rPr>
          <w:w w:val="99"/>
        </w:rPr>
        <w:t>the</w:t>
      </w:r>
      <w:r>
        <w:rPr>
          <w:spacing w:val="22"/>
        </w:rPr>
        <w:t> </w:t>
      </w:r>
      <w:r>
        <w:rPr>
          <w:w w:val="99"/>
        </w:rPr>
        <w:t>p</w:t>
      </w:r>
      <w:r>
        <w:rPr>
          <w:spacing w:val="1"/>
          <w:w w:val="99"/>
        </w:rPr>
        <w:t>r</w:t>
      </w:r>
      <w:r>
        <w:rPr>
          <w:w w:val="99"/>
        </w:rPr>
        <w:t>e</w:t>
      </w:r>
      <w:r>
        <w:rPr>
          <w:spacing w:val="-2"/>
          <w:w w:val="99"/>
        </w:rPr>
        <w:t>v</w:t>
      </w:r>
      <w:r>
        <w:rPr>
          <w:w w:val="99"/>
        </w:rPr>
        <w:t>ious </w:t>
      </w:r>
      <w:r>
        <w:rPr>
          <w:spacing w:val="-1"/>
          <w:w w:val="99"/>
        </w:rPr>
        <w:t>a</w:t>
      </w:r>
      <w:r>
        <w:rPr>
          <w:w w:val="99"/>
        </w:rPr>
        <w:t>p</w:t>
      </w:r>
      <w:r>
        <w:rPr>
          <w:spacing w:val="-1"/>
          <w:w w:val="99"/>
        </w:rPr>
        <w:t>plicati</w:t>
      </w:r>
      <w:r>
        <w:rPr>
          <w:w w:val="99"/>
        </w:rPr>
        <w:t>o</w:t>
      </w:r>
      <w:r>
        <w:rPr>
          <w:spacing w:val="-1"/>
          <w:w w:val="99"/>
        </w:rPr>
        <w:t>n</w:t>
      </w:r>
      <w:r>
        <w:rPr>
          <w:w w:val="99"/>
        </w:rPr>
        <w:t>,</w:t>
      </w:r>
      <w:r>
        <w:rPr>
          <w:spacing w:val="5"/>
        </w:rPr>
        <w:t> </w:t>
      </w:r>
      <w:r>
        <w:rPr>
          <w:spacing w:val="-1"/>
          <w:w w:val="99"/>
        </w:rPr>
        <w:t>o</w:t>
      </w:r>
      <w:r>
        <w:rPr>
          <w:w w:val="99"/>
        </w:rPr>
        <w:t>r</w:t>
      </w:r>
      <w:r>
        <w:rPr>
          <w:spacing w:val="-1"/>
          <w:w w:val="99"/>
        </w:rPr>
        <w:t>d</w:t>
      </w:r>
      <w:r>
        <w:rPr>
          <w:w w:val="99"/>
        </w:rPr>
        <w:t>ers</w:t>
      </w:r>
      <w:r>
        <w:rPr>
          <w:spacing w:val="4"/>
        </w:rPr>
        <w:t> </w:t>
      </w:r>
      <w:r>
        <w:rPr>
          <w:spacing w:val="-1"/>
          <w:w w:val="99"/>
        </w:rPr>
        <w:t>we</w:t>
      </w:r>
      <w:r>
        <w:rPr>
          <w:w w:val="99"/>
        </w:rPr>
        <w:t>re</w:t>
      </w:r>
      <w:r>
        <w:rPr>
          <w:spacing w:val="5"/>
        </w:rPr>
        <w:t> </w:t>
      </w:r>
      <w:r>
        <w:rPr>
          <w:spacing w:val="-1"/>
          <w:w w:val="99"/>
        </w:rPr>
        <w:t>issue</w:t>
      </w:r>
      <w:r>
        <w:rPr>
          <w:w w:val="99"/>
        </w:rPr>
        <w:t>d</w:t>
      </w:r>
      <w:r>
        <w:rPr>
          <w:spacing w:val="5"/>
        </w:rPr>
        <w:t> </w:t>
      </w:r>
      <w:r>
        <w:rPr>
          <w:w w:val="99"/>
        </w:rPr>
        <w:t>to</w:t>
      </w:r>
      <w:r>
        <w:rPr>
          <w:spacing w:val="5"/>
        </w:rPr>
        <w:t> </w:t>
      </w:r>
      <w:r>
        <w:rPr>
          <w:spacing w:val="-1"/>
          <w:w w:val="99"/>
        </w:rPr>
        <w:t>e</w:t>
      </w:r>
      <w:r>
        <w:rPr>
          <w:spacing w:val="-3"/>
          <w:w w:val="99"/>
        </w:rPr>
        <w:t>v</w:t>
      </w:r>
      <w:r>
        <w:rPr>
          <w:spacing w:val="-1"/>
          <w:w w:val="99"/>
        </w:rPr>
        <w:t>ic</w:t>
      </w:r>
      <w:r>
        <w:rPr>
          <w:w w:val="99"/>
        </w:rPr>
        <w:t>t</w:t>
      </w:r>
      <w:r>
        <w:rPr>
          <w:spacing w:val="4"/>
        </w:rPr>
        <w:t> </w:t>
      </w:r>
      <w:r>
        <w:rPr>
          <w:w w:val="99"/>
        </w:rPr>
        <w:t>Im</w:t>
      </w:r>
      <w:r>
        <w:rPr>
          <w:spacing w:val="2"/>
          <w:w w:val="99"/>
        </w:rPr>
        <w:t>k</w:t>
      </w:r>
      <w:r>
        <w:rPr>
          <w:spacing w:val="-1"/>
          <w:w w:val="99"/>
        </w:rPr>
        <w:t>a</w:t>
      </w:r>
      <w:r>
        <w:rPr>
          <w:w w:val="99"/>
        </w:rPr>
        <w:t>ni</w:t>
      </w:r>
      <w:r>
        <w:rPr>
          <w:spacing w:val="4"/>
        </w:rPr>
        <w:t> </w:t>
      </w:r>
      <w:r>
        <w:rPr>
          <w:spacing w:val="-1"/>
          <w:w w:val="99"/>
        </w:rPr>
        <w:t>Sik</w:t>
      </w:r>
      <w:r>
        <w:rPr>
          <w:w w:val="99"/>
        </w:rPr>
        <w:t>h</w:t>
      </w:r>
      <w:r>
        <w:rPr>
          <w:spacing w:val="4"/>
        </w:rPr>
        <w:t> </w:t>
      </w:r>
      <w:r>
        <w:rPr>
          <w:w w:val="99"/>
        </w:rPr>
        <w:t>fr</w:t>
      </w:r>
      <w:r>
        <w:rPr>
          <w:spacing w:val="-1"/>
          <w:w w:val="99"/>
        </w:rPr>
        <w:t>o</w:t>
      </w:r>
      <w:r>
        <w:rPr>
          <w:w w:val="99"/>
        </w:rPr>
        <w:t>m</w:t>
      </w:r>
      <w:r>
        <w:rPr>
          <w:spacing w:val="5"/>
        </w:rPr>
        <w:t> </w:t>
      </w:r>
      <w:r>
        <w:rPr>
          <w:w w:val="99"/>
        </w:rPr>
        <w:t>the</w:t>
      </w:r>
      <w:r>
        <w:rPr>
          <w:spacing w:val="5"/>
        </w:rPr>
        <w:t> </w:t>
      </w:r>
      <w:r>
        <w:rPr>
          <w:w w:val="33"/>
        </w:rPr>
        <w:t>―</w:t>
      </w:r>
      <w:r>
        <w:rPr>
          <w:spacing w:val="-1"/>
          <w:w w:val="99"/>
        </w:rPr>
        <w:t>Cha</w:t>
      </w:r>
      <w:r>
        <w:rPr>
          <w:w w:val="99"/>
        </w:rPr>
        <w:t>b</w:t>
      </w:r>
      <w:r>
        <w:rPr>
          <w:spacing w:val="-1"/>
          <w:w w:val="99"/>
        </w:rPr>
        <w:t>o</w:t>
      </w:r>
      <w:r>
        <w:rPr>
          <w:w w:val="99"/>
        </w:rPr>
        <w:t>otr</w:t>
      </w:r>
      <w:r>
        <w:rPr>
          <w:spacing w:val="-1"/>
          <w:w w:val="91"/>
        </w:rPr>
        <w:t>a</w:t>
      </w:r>
      <w:r>
        <w:rPr>
          <w:w w:val="91"/>
        </w:rPr>
        <w:t>‖</w:t>
      </w:r>
      <w:r>
        <w:rPr>
          <w:w w:val="99"/>
        </w:rPr>
        <w:t>,</w:t>
      </w:r>
      <w:r>
        <w:rPr>
          <w:spacing w:val="5"/>
        </w:rPr>
        <w:t> </w:t>
      </w:r>
      <w:r>
        <w:rPr>
          <w:spacing w:val="-1"/>
          <w:w w:val="99"/>
        </w:rPr>
        <w:t>b</w:t>
      </w:r>
      <w:r>
        <w:rPr>
          <w:w w:val="99"/>
        </w:rPr>
        <w:t>ut</w:t>
      </w:r>
      <w:r>
        <w:rPr>
          <w:spacing w:val="5"/>
        </w:rPr>
        <w:t> </w:t>
      </w:r>
      <w:r>
        <w:rPr>
          <w:w w:val="99"/>
        </w:rPr>
        <w:t>the </w:t>
      </w:r>
      <w:r>
        <w:rPr/>
        <w:t>hut where he was staying still remained. It was submitted that whenever a Mahant will go there or stay in the hut, a cause for dispute will arise. It was therefore  prayed  that  an  order  be  issued  to  the  Sub-Inspector  that  after</w:t>
      </w:r>
      <w:r>
        <w:rPr>
          <w:spacing w:val="-11"/>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3"/>
        <w:jc w:val="both"/>
      </w:pPr>
      <w:r>
        <w:rPr/>
        <w:t>eviction of Imkani Sikh, the hut/kutir should also be demolished and precaution should be taken so that a foundation of a new house is not allowed to be laid;</w:t>
      </w:r>
    </w:p>
    <w:p>
      <w:pPr>
        <w:pStyle w:val="ListParagraph"/>
        <w:numPr>
          <w:ilvl w:val="1"/>
          <w:numId w:val="219"/>
        </w:numPr>
        <w:tabs>
          <w:tab w:pos="1221" w:val="left" w:leader="none"/>
        </w:tabs>
        <w:spacing w:line="480" w:lineRule="auto" w:before="160" w:after="0"/>
        <w:ind w:left="1220" w:right="446" w:hanging="629"/>
        <w:jc w:val="both"/>
        <w:rPr>
          <w:sz w:val="25"/>
        </w:rPr>
      </w:pPr>
      <w:r>
        <w:rPr>
          <w:sz w:val="25"/>
        </w:rPr>
        <w:t>On 18 March 1861, the Subedar tendered a report regarding the execution of an order dated 16 March 1861. It was stated that not only has Imkani Sikh been evicted from the Kutir (hut) but the hut has also been demolished;</w:t>
      </w:r>
      <w:r>
        <w:rPr>
          <w:spacing w:val="-1"/>
          <w:sz w:val="25"/>
        </w:rPr>
        <w:t> </w:t>
      </w:r>
      <w:r>
        <w:rPr>
          <w:sz w:val="25"/>
        </w:rPr>
        <w:t>and</w:t>
      </w:r>
    </w:p>
    <w:p>
      <w:pPr>
        <w:pStyle w:val="ListParagraph"/>
        <w:numPr>
          <w:ilvl w:val="1"/>
          <w:numId w:val="219"/>
        </w:numPr>
        <w:tabs>
          <w:tab w:pos="1221" w:val="left" w:leader="none"/>
        </w:tabs>
        <w:spacing w:line="480" w:lineRule="auto" w:before="0" w:after="0"/>
        <w:ind w:left="1220" w:right="440" w:hanging="629"/>
        <w:jc w:val="both"/>
        <w:rPr>
          <w:sz w:val="25"/>
        </w:rPr>
      </w:pPr>
      <w:r>
        <w:rPr>
          <w:sz w:val="25"/>
        </w:rPr>
        <w:t>Thereafter on 18 March 1862, the application dated 12 March 1861 preferred by Mohd Asghar, Mir Rajjab Ali and Mohd Afzal was directed to be consigned to the</w:t>
      </w:r>
      <w:r>
        <w:rPr>
          <w:spacing w:val="-3"/>
          <w:sz w:val="25"/>
        </w:rPr>
        <w:t> </w:t>
      </w:r>
      <w:r>
        <w:rPr>
          <w:sz w:val="25"/>
        </w:rPr>
        <w:t>records.</w:t>
      </w:r>
    </w:p>
    <w:p>
      <w:pPr>
        <w:pStyle w:val="BodyText"/>
        <w:rPr>
          <w:sz w:val="28"/>
        </w:rPr>
      </w:pPr>
    </w:p>
    <w:p>
      <w:pPr>
        <w:pStyle w:val="ListParagraph"/>
        <w:numPr>
          <w:ilvl w:val="0"/>
          <w:numId w:val="219"/>
        </w:numPr>
        <w:tabs>
          <w:tab w:pos="1221" w:val="left" w:leader="none"/>
        </w:tabs>
        <w:spacing w:line="480" w:lineRule="auto" w:before="164" w:after="0"/>
        <w:ind w:left="500" w:right="438" w:firstLine="0"/>
        <w:jc w:val="both"/>
        <w:rPr>
          <w:sz w:val="25"/>
        </w:rPr>
      </w:pPr>
      <w:r>
        <w:rPr>
          <w:b/>
          <w:sz w:val="25"/>
        </w:rPr>
        <w:t>Application against Tulsidas and other Bairagis (Included in case number 223 already decided on 18 April 1861): </w:t>
      </w:r>
      <w:r>
        <w:rPr>
          <w:sz w:val="25"/>
        </w:rPr>
        <w:t>On 25 September 1866, an application was filed by Mohd Afzal (mutawalli Masjid Babri) against Tulsidas and other Bairagis, praying for demolishing a Kothri which had been newly </w:t>
      </w:r>
      <w:r>
        <w:rPr>
          <w:w w:val="99"/>
          <w:sz w:val="25"/>
        </w:rPr>
        <w:t>constr</w:t>
      </w:r>
      <w:r>
        <w:rPr>
          <w:spacing w:val="-1"/>
          <w:w w:val="99"/>
          <w:sz w:val="25"/>
        </w:rPr>
        <w:t>uct</w:t>
      </w:r>
      <w:r>
        <w:rPr>
          <w:w w:val="99"/>
          <w:sz w:val="25"/>
        </w:rPr>
        <w:t>ed</w:t>
      </w:r>
      <w:r>
        <w:rPr>
          <w:sz w:val="25"/>
        </w:rPr>
        <w:t> </w:t>
      </w:r>
      <w:r>
        <w:rPr>
          <w:spacing w:val="7"/>
          <w:sz w:val="25"/>
        </w:rPr>
        <w:t> </w:t>
      </w:r>
      <w:r>
        <w:rPr>
          <w:w w:val="33"/>
          <w:sz w:val="25"/>
        </w:rPr>
        <w:t>―</w:t>
      </w:r>
      <w:r>
        <w:rPr>
          <w:w w:val="99"/>
          <w:sz w:val="25"/>
        </w:rPr>
        <w:t>for</w:t>
      </w:r>
      <w:r>
        <w:rPr>
          <w:sz w:val="25"/>
        </w:rPr>
        <w:t> </w:t>
      </w:r>
      <w:r>
        <w:rPr>
          <w:spacing w:val="8"/>
          <w:sz w:val="25"/>
        </w:rPr>
        <w:t> </w:t>
      </w:r>
      <w:r>
        <w:rPr>
          <w:spacing w:val="-1"/>
          <w:w w:val="99"/>
          <w:sz w:val="25"/>
        </w:rPr>
        <w:t>pla</w:t>
      </w:r>
      <w:r>
        <w:rPr>
          <w:spacing w:val="-2"/>
          <w:w w:val="99"/>
          <w:sz w:val="25"/>
        </w:rPr>
        <w:t>c</w:t>
      </w:r>
      <w:r>
        <w:rPr>
          <w:spacing w:val="-1"/>
          <w:w w:val="99"/>
          <w:sz w:val="25"/>
        </w:rPr>
        <w:t>in</w:t>
      </w:r>
      <w:r>
        <w:rPr>
          <w:w w:val="99"/>
          <w:sz w:val="25"/>
        </w:rPr>
        <w:t>g</w:t>
      </w:r>
      <w:r>
        <w:rPr>
          <w:sz w:val="25"/>
        </w:rPr>
        <w:t> </w:t>
      </w:r>
      <w:r>
        <w:rPr>
          <w:spacing w:val="7"/>
          <w:sz w:val="25"/>
        </w:rPr>
        <w:t> </w:t>
      </w:r>
      <w:r>
        <w:rPr>
          <w:spacing w:val="-1"/>
          <w:w w:val="99"/>
          <w:sz w:val="25"/>
        </w:rPr>
        <w:t>idol</w:t>
      </w:r>
      <w:r>
        <w:rPr>
          <w:w w:val="99"/>
          <w:sz w:val="25"/>
        </w:rPr>
        <w:t>s</w:t>
      </w:r>
      <w:r>
        <w:rPr>
          <w:sz w:val="25"/>
        </w:rPr>
        <w:t> </w:t>
      </w:r>
      <w:r>
        <w:rPr>
          <w:spacing w:val="7"/>
          <w:sz w:val="25"/>
        </w:rPr>
        <w:t> </w:t>
      </w:r>
      <w:r>
        <w:rPr>
          <w:spacing w:val="-1"/>
          <w:w w:val="99"/>
          <w:sz w:val="25"/>
        </w:rPr>
        <w:t>etc</w:t>
      </w:r>
      <w:r>
        <w:rPr>
          <w:w w:val="99"/>
          <w:sz w:val="25"/>
        </w:rPr>
        <w:t>.</w:t>
      </w:r>
      <w:r>
        <w:rPr>
          <w:w w:val="80"/>
          <w:sz w:val="25"/>
        </w:rPr>
        <w:t>‖</w:t>
      </w:r>
      <w:r>
        <w:rPr>
          <w:sz w:val="25"/>
        </w:rPr>
        <w:t> </w:t>
      </w:r>
      <w:r>
        <w:rPr>
          <w:spacing w:val="8"/>
          <w:sz w:val="25"/>
        </w:rPr>
        <w:t> </w:t>
      </w:r>
      <w:r>
        <w:rPr>
          <w:spacing w:val="-1"/>
          <w:w w:val="99"/>
          <w:sz w:val="25"/>
        </w:rPr>
        <w:t>insid</w:t>
      </w:r>
      <w:r>
        <w:rPr>
          <w:w w:val="99"/>
          <w:sz w:val="25"/>
        </w:rPr>
        <w:t>e</w:t>
      </w:r>
      <w:r>
        <w:rPr>
          <w:sz w:val="25"/>
        </w:rPr>
        <w:t> </w:t>
      </w:r>
      <w:r>
        <w:rPr>
          <w:spacing w:val="7"/>
          <w:sz w:val="25"/>
        </w:rPr>
        <w:t> </w:t>
      </w:r>
      <w:r>
        <w:rPr>
          <w:w w:val="99"/>
          <w:sz w:val="25"/>
        </w:rPr>
        <w:t>the</w:t>
      </w:r>
      <w:r>
        <w:rPr>
          <w:sz w:val="25"/>
        </w:rPr>
        <w:t> </w:t>
      </w:r>
      <w:r>
        <w:rPr>
          <w:spacing w:val="8"/>
          <w:sz w:val="25"/>
        </w:rPr>
        <w:t> </w:t>
      </w:r>
      <w:r>
        <w:rPr>
          <w:spacing w:val="-1"/>
          <w:w w:val="99"/>
          <w:sz w:val="25"/>
        </w:rPr>
        <w:t>d</w:t>
      </w:r>
      <w:r>
        <w:rPr>
          <w:w w:val="99"/>
          <w:sz w:val="25"/>
        </w:rPr>
        <w:t>o</w:t>
      </w:r>
      <w:r>
        <w:rPr>
          <w:spacing w:val="-1"/>
          <w:w w:val="99"/>
          <w:sz w:val="25"/>
        </w:rPr>
        <w:t>o</w:t>
      </w:r>
      <w:r>
        <w:rPr>
          <w:w w:val="99"/>
          <w:sz w:val="25"/>
        </w:rPr>
        <w:t>r</w:t>
      </w:r>
      <w:r>
        <w:rPr>
          <w:sz w:val="25"/>
        </w:rPr>
        <w:t> </w:t>
      </w:r>
      <w:r>
        <w:rPr>
          <w:spacing w:val="8"/>
          <w:sz w:val="25"/>
        </w:rPr>
        <w:t> </w:t>
      </w:r>
      <w:r>
        <w:rPr>
          <w:spacing w:val="-1"/>
          <w:w w:val="99"/>
          <w:sz w:val="25"/>
        </w:rPr>
        <w:t>o</w:t>
      </w:r>
      <w:r>
        <w:rPr>
          <w:w w:val="99"/>
          <w:sz w:val="25"/>
        </w:rPr>
        <w:t>f</w:t>
      </w:r>
      <w:r>
        <w:rPr>
          <w:sz w:val="25"/>
        </w:rPr>
        <w:t> </w:t>
      </w:r>
      <w:r>
        <w:rPr>
          <w:spacing w:val="7"/>
          <w:sz w:val="25"/>
        </w:rPr>
        <w:t> </w:t>
      </w:r>
      <w:r>
        <w:rPr>
          <w:w w:val="99"/>
          <w:sz w:val="25"/>
        </w:rPr>
        <w:t>the</w:t>
      </w:r>
      <w:r>
        <w:rPr>
          <w:sz w:val="25"/>
        </w:rPr>
        <w:t> </w:t>
      </w:r>
      <w:r>
        <w:rPr>
          <w:spacing w:val="8"/>
          <w:sz w:val="25"/>
        </w:rPr>
        <w:t> </w:t>
      </w:r>
      <w:r>
        <w:rPr>
          <w:spacing w:val="-2"/>
          <w:w w:val="99"/>
          <w:sz w:val="25"/>
        </w:rPr>
        <w:t>M</w:t>
      </w:r>
      <w:r>
        <w:rPr>
          <w:spacing w:val="-1"/>
          <w:w w:val="99"/>
          <w:sz w:val="25"/>
        </w:rPr>
        <w:t>asji</w:t>
      </w:r>
      <w:r>
        <w:rPr>
          <w:w w:val="99"/>
          <w:sz w:val="25"/>
        </w:rPr>
        <w:t>d</w:t>
      </w:r>
      <w:r>
        <w:rPr>
          <w:sz w:val="25"/>
        </w:rPr>
        <w:t> </w:t>
      </w:r>
      <w:r>
        <w:rPr>
          <w:spacing w:val="7"/>
          <w:sz w:val="25"/>
        </w:rPr>
        <w:t> </w:t>
      </w:r>
      <w:r>
        <w:rPr>
          <w:spacing w:val="-1"/>
          <w:w w:val="99"/>
          <w:sz w:val="25"/>
        </w:rPr>
        <w:t>whe</w:t>
      </w:r>
      <w:r>
        <w:rPr>
          <w:spacing w:val="1"/>
          <w:w w:val="99"/>
          <w:sz w:val="25"/>
        </w:rPr>
        <w:t>r</w:t>
      </w:r>
      <w:r>
        <w:rPr>
          <w:w w:val="99"/>
          <w:sz w:val="25"/>
        </w:rPr>
        <w:t>e</w:t>
      </w:r>
      <w:r>
        <w:rPr>
          <w:sz w:val="25"/>
        </w:rPr>
        <w:t> </w:t>
      </w:r>
      <w:r>
        <w:rPr>
          <w:spacing w:val="7"/>
          <w:sz w:val="25"/>
        </w:rPr>
        <w:t> </w:t>
      </w:r>
      <w:r>
        <w:rPr>
          <w:w w:val="99"/>
          <w:sz w:val="25"/>
        </w:rPr>
        <w:t>the </w:t>
      </w:r>
      <w:r>
        <w:rPr>
          <w:spacing w:val="-1"/>
          <w:w w:val="99"/>
          <w:sz w:val="25"/>
        </w:rPr>
        <w:t>B</w:t>
      </w:r>
      <w:r>
        <w:rPr>
          <w:w w:val="99"/>
          <w:sz w:val="25"/>
        </w:rPr>
        <w:t>a</w:t>
      </w:r>
      <w:r>
        <w:rPr>
          <w:spacing w:val="-1"/>
          <w:w w:val="99"/>
          <w:sz w:val="25"/>
        </w:rPr>
        <w:t>ir</w:t>
      </w:r>
      <w:r>
        <w:rPr>
          <w:w w:val="99"/>
          <w:sz w:val="25"/>
        </w:rPr>
        <w:t>a</w:t>
      </w:r>
      <w:r>
        <w:rPr>
          <w:spacing w:val="-1"/>
          <w:w w:val="99"/>
          <w:sz w:val="25"/>
        </w:rPr>
        <w:t>gi</w:t>
      </w:r>
      <w:r>
        <w:rPr>
          <w:w w:val="99"/>
          <w:sz w:val="25"/>
        </w:rPr>
        <w:t>s</w:t>
      </w:r>
      <w:r>
        <w:rPr>
          <w:spacing w:val="-1"/>
          <w:sz w:val="25"/>
        </w:rPr>
        <w:t> </w:t>
      </w:r>
      <w:r>
        <w:rPr>
          <w:w w:val="99"/>
          <w:sz w:val="25"/>
        </w:rPr>
        <w:t>h</w:t>
      </w:r>
      <w:r>
        <w:rPr>
          <w:spacing w:val="-1"/>
          <w:w w:val="99"/>
          <w:sz w:val="25"/>
        </w:rPr>
        <w:t>a</w:t>
      </w:r>
      <w:r>
        <w:rPr>
          <w:w w:val="99"/>
          <w:sz w:val="25"/>
        </w:rPr>
        <w:t>d</w:t>
      </w:r>
      <w:r>
        <w:rPr>
          <w:sz w:val="25"/>
        </w:rPr>
        <w:t> </w:t>
      </w:r>
      <w:r>
        <w:rPr>
          <w:w w:val="99"/>
          <w:sz w:val="25"/>
        </w:rPr>
        <w:t>constr</w:t>
      </w:r>
      <w:r>
        <w:rPr>
          <w:spacing w:val="-1"/>
          <w:w w:val="99"/>
          <w:sz w:val="25"/>
        </w:rPr>
        <w:t>uct</w:t>
      </w:r>
      <w:r>
        <w:rPr>
          <w:w w:val="99"/>
          <w:sz w:val="25"/>
        </w:rPr>
        <w:t>ed</w:t>
      </w:r>
      <w:r>
        <w:rPr>
          <w:spacing w:val="-1"/>
          <w:sz w:val="25"/>
        </w:rPr>
        <w:t> </w:t>
      </w:r>
      <w:r>
        <w:rPr>
          <w:w w:val="99"/>
          <w:sz w:val="25"/>
        </w:rPr>
        <w:t>a</w:t>
      </w:r>
      <w:r>
        <w:rPr>
          <w:sz w:val="25"/>
        </w:rPr>
        <w:t> </w:t>
      </w:r>
      <w:r>
        <w:rPr>
          <w:w w:val="33"/>
          <w:sz w:val="25"/>
        </w:rPr>
        <w:t>―</w:t>
      </w:r>
      <w:r>
        <w:rPr>
          <w:spacing w:val="-1"/>
          <w:w w:val="99"/>
          <w:sz w:val="25"/>
        </w:rPr>
        <w:t>Cha</w:t>
      </w:r>
      <w:r>
        <w:rPr>
          <w:w w:val="99"/>
          <w:sz w:val="25"/>
        </w:rPr>
        <w:t>b</w:t>
      </w:r>
      <w:r>
        <w:rPr>
          <w:spacing w:val="-1"/>
          <w:w w:val="99"/>
          <w:sz w:val="25"/>
        </w:rPr>
        <w:t>o</w:t>
      </w:r>
      <w:r>
        <w:rPr>
          <w:w w:val="99"/>
          <w:sz w:val="25"/>
        </w:rPr>
        <w:t>otr</w:t>
      </w:r>
      <w:r>
        <w:rPr>
          <w:spacing w:val="-1"/>
          <w:w w:val="91"/>
          <w:sz w:val="25"/>
        </w:rPr>
        <w:t>a</w:t>
      </w:r>
      <w:r>
        <w:rPr>
          <w:spacing w:val="-2"/>
          <w:w w:val="91"/>
          <w:sz w:val="25"/>
        </w:rPr>
        <w:t>‖</w:t>
      </w:r>
      <w:r>
        <w:rPr>
          <w:w w:val="99"/>
          <w:sz w:val="25"/>
        </w:rPr>
        <w:t>.</w:t>
      </w:r>
      <w:r>
        <w:rPr>
          <w:sz w:val="25"/>
        </w:rPr>
        <w:t> </w:t>
      </w:r>
      <w:r>
        <w:rPr>
          <w:w w:val="99"/>
          <w:sz w:val="25"/>
        </w:rPr>
        <w:t>In</w:t>
      </w:r>
      <w:r>
        <w:rPr>
          <w:sz w:val="25"/>
        </w:rPr>
        <w:t> </w:t>
      </w:r>
      <w:r>
        <w:rPr>
          <w:spacing w:val="-2"/>
          <w:w w:val="99"/>
          <w:sz w:val="25"/>
        </w:rPr>
        <w:t>t</w:t>
      </w:r>
      <w:r>
        <w:rPr>
          <w:spacing w:val="-1"/>
          <w:w w:val="99"/>
          <w:sz w:val="25"/>
        </w:rPr>
        <w:t>hi</w:t>
      </w:r>
      <w:r>
        <w:rPr>
          <w:w w:val="99"/>
          <w:sz w:val="25"/>
        </w:rPr>
        <w:t>s</w:t>
      </w:r>
      <w:r>
        <w:rPr>
          <w:spacing w:val="-1"/>
          <w:sz w:val="25"/>
        </w:rPr>
        <w:t> </w:t>
      </w:r>
      <w:r>
        <w:rPr>
          <w:w w:val="99"/>
          <w:sz w:val="25"/>
        </w:rPr>
        <w:t>a</w:t>
      </w:r>
      <w:r>
        <w:rPr>
          <w:spacing w:val="-1"/>
          <w:w w:val="99"/>
          <w:sz w:val="25"/>
        </w:rPr>
        <w:t>p</w:t>
      </w:r>
      <w:r>
        <w:rPr>
          <w:w w:val="99"/>
          <w:sz w:val="25"/>
        </w:rPr>
        <w:t>p</w:t>
      </w:r>
      <w:r>
        <w:rPr>
          <w:spacing w:val="-1"/>
          <w:w w:val="99"/>
          <w:sz w:val="25"/>
        </w:rPr>
        <w:t>licatio</w:t>
      </w:r>
      <w:r>
        <w:rPr>
          <w:w w:val="99"/>
          <w:sz w:val="25"/>
        </w:rPr>
        <w:t>n</w:t>
      </w:r>
      <w:r>
        <w:rPr>
          <w:sz w:val="25"/>
        </w:rPr>
        <w:t> </w:t>
      </w:r>
      <w:r>
        <w:rPr>
          <w:spacing w:val="-1"/>
          <w:w w:val="99"/>
          <w:sz w:val="25"/>
        </w:rPr>
        <w:t>i</w:t>
      </w:r>
      <w:r>
        <w:rPr>
          <w:w w:val="99"/>
          <w:sz w:val="25"/>
        </w:rPr>
        <w:t>t</w:t>
      </w:r>
      <w:r>
        <w:rPr>
          <w:spacing w:val="-1"/>
          <w:sz w:val="25"/>
        </w:rPr>
        <w:t> </w:t>
      </w:r>
      <w:r>
        <w:rPr>
          <w:spacing w:val="-1"/>
          <w:w w:val="99"/>
          <w:sz w:val="25"/>
        </w:rPr>
        <w:t>wa</w:t>
      </w:r>
      <w:r>
        <w:rPr>
          <w:w w:val="99"/>
          <w:sz w:val="25"/>
        </w:rPr>
        <w:t>s</w:t>
      </w:r>
      <w:r>
        <w:rPr>
          <w:sz w:val="25"/>
        </w:rPr>
        <w:t> </w:t>
      </w:r>
      <w:r>
        <w:rPr>
          <w:w w:val="99"/>
          <w:sz w:val="25"/>
        </w:rPr>
        <w:t>stat</w:t>
      </w:r>
      <w:r>
        <w:rPr>
          <w:spacing w:val="-1"/>
          <w:w w:val="99"/>
          <w:sz w:val="25"/>
        </w:rPr>
        <w:t>e</w:t>
      </w:r>
      <w:r>
        <w:rPr>
          <w:w w:val="99"/>
          <w:sz w:val="25"/>
        </w:rPr>
        <w:t>d</w:t>
      </w:r>
      <w:r>
        <w:rPr>
          <w:sz w:val="25"/>
        </w:rPr>
        <w:t> </w:t>
      </w:r>
      <w:r>
        <w:rPr>
          <w:w w:val="99"/>
          <w:sz w:val="25"/>
        </w:rPr>
        <w:t>th</w:t>
      </w:r>
      <w:r>
        <w:rPr>
          <w:spacing w:val="-1"/>
          <w:w w:val="99"/>
          <w:sz w:val="25"/>
        </w:rPr>
        <w:t>at:</w:t>
      </w:r>
    </w:p>
    <w:p>
      <w:pPr>
        <w:pStyle w:val="ListParagraph"/>
        <w:numPr>
          <w:ilvl w:val="0"/>
          <w:numId w:val="222"/>
        </w:numPr>
        <w:tabs>
          <w:tab w:pos="1221" w:val="left" w:leader="none"/>
        </w:tabs>
        <w:spacing w:line="480" w:lineRule="auto" w:before="162" w:after="0"/>
        <w:ind w:left="1220" w:right="443" w:hanging="720"/>
        <w:jc w:val="both"/>
        <w:rPr>
          <w:sz w:val="25"/>
        </w:rPr>
      </w:pPr>
      <w:r>
        <w:rPr>
          <w:sz w:val="25"/>
        </w:rPr>
        <w:t>Babri Masjid situated near Janmasthan in Oudh Khas was constructed by Shah</w:t>
      </w:r>
      <w:r>
        <w:rPr>
          <w:spacing w:val="-2"/>
          <w:sz w:val="25"/>
        </w:rPr>
        <w:t> </w:t>
      </w:r>
      <w:r>
        <w:rPr>
          <w:sz w:val="25"/>
        </w:rPr>
        <w:t>Babur;</w:t>
      </w:r>
    </w:p>
    <w:p>
      <w:pPr>
        <w:pStyle w:val="ListParagraph"/>
        <w:numPr>
          <w:ilvl w:val="0"/>
          <w:numId w:val="222"/>
        </w:numPr>
        <w:tabs>
          <w:tab w:pos="1221" w:val="left" w:leader="none"/>
        </w:tabs>
        <w:spacing w:line="480" w:lineRule="auto" w:before="1" w:after="0"/>
        <w:ind w:left="1220" w:right="443" w:hanging="720"/>
        <w:jc w:val="both"/>
        <w:rPr>
          <w:sz w:val="25"/>
        </w:rPr>
      </w:pPr>
      <w:r>
        <w:rPr>
          <w:sz w:val="25"/>
        </w:rPr>
        <w:t>For the last few days, Bairagis were attempting to build Shivalaya near the masjid, but due to the vigilance of the Muslims and timely reporting of the matter, the authorities imposed restrictions and prevented a</w:t>
      </w:r>
      <w:r>
        <w:rPr>
          <w:spacing w:val="-12"/>
          <w:sz w:val="25"/>
        </w:rPr>
        <w:t> </w:t>
      </w:r>
      <w:r>
        <w:rPr>
          <w:sz w:val="25"/>
        </w:rPr>
        <w:t>dispute;</w:t>
      </w:r>
    </w:p>
    <w:p>
      <w:pPr>
        <w:pStyle w:val="ListParagraph"/>
        <w:numPr>
          <w:ilvl w:val="0"/>
          <w:numId w:val="222"/>
        </w:numPr>
        <w:tabs>
          <w:tab w:pos="1221" w:val="left" w:leader="none"/>
        </w:tabs>
        <w:spacing w:line="480" w:lineRule="auto" w:before="0" w:after="0"/>
        <w:ind w:left="1220" w:right="435" w:hanging="720"/>
        <w:jc w:val="both"/>
        <w:rPr>
          <w:sz w:val="25"/>
        </w:rPr>
      </w:pPr>
      <w:r>
        <w:rPr>
          <w:sz w:val="25"/>
        </w:rPr>
        <w:t>Now about a month ago, the defendants, Tulsidas/Bairagis with the intention of placing idols, had constructed a Kothri in the compound of the mosque. The construction was done illegally within a few</w:t>
      </w:r>
      <w:r>
        <w:rPr>
          <w:spacing w:val="-13"/>
          <w:sz w:val="25"/>
        </w:rPr>
        <w:t> </w:t>
      </w:r>
      <w:r>
        <w:rPr>
          <w:sz w:val="25"/>
        </w:rPr>
        <w:t>hours;</w:t>
      </w:r>
    </w:p>
    <w:p>
      <w:pPr>
        <w:spacing w:after="0" w:line="480" w:lineRule="auto"/>
        <w:jc w:val="both"/>
        <w:rPr>
          <w:sz w:val="25"/>
        </w:rPr>
        <w:sectPr>
          <w:pgSz w:w="11910" w:h="16840"/>
          <w:pgMar w:header="721" w:footer="1014" w:top="1300" w:bottom="1200" w:left="940" w:right="1000"/>
        </w:sectPr>
      </w:pPr>
    </w:p>
    <w:p>
      <w:pPr>
        <w:pStyle w:val="ListParagraph"/>
        <w:numPr>
          <w:ilvl w:val="0"/>
          <w:numId w:val="222"/>
        </w:numPr>
        <w:tabs>
          <w:tab w:pos="1221" w:val="left" w:leader="none"/>
        </w:tabs>
        <w:spacing w:line="480" w:lineRule="auto" w:before="124" w:after="0"/>
        <w:ind w:left="1220" w:right="444" w:hanging="720"/>
        <w:jc w:val="both"/>
        <w:rPr>
          <w:sz w:val="25"/>
        </w:rPr>
      </w:pPr>
      <w:r>
        <w:rPr>
          <w:sz w:val="25"/>
        </w:rPr>
        <w:t>The police had already been informed but no orders regarding the demolition of the Kothri have been issued by the government. Owing to this Kothri, there is an apprehension of a daily</w:t>
      </w:r>
      <w:r>
        <w:rPr>
          <w:spacing w:val="-10"/>
          <w:sz w:val="25"/>
        </w:rPr>
        <w:t> </w:t>
      </w:r>
      <w:r>
        <w:rPr>
          <w:sz w:val="25"/>
        </w:rPr>
        <w:t>clash;</w:t>
      </w:r>
    </w:p>
    <w:p>
      <w:pPr>
        <w:pStyle w:val="ListParagraph"/>
        <w:numPr>
          <w:ilvl w:val="0"/>
          <w:numId w:val="222"/>
        </w:numPr>
        <w:tabs>
          <w:tab w:pos="1221" w:val="left" w:leader="none"/>
        </w:tabs>
        <w:spacing w:line="480" w:lineRule="auto" w:before="0" w:after="0"/>
        <w:ind w:left="1220" w:right="438" w:hanging="720"/>
        <w:jc w:val="both"/>
        <w:rPr>
          <w:sz w:val="25"/>
        </w:rPr>
      </w:pPr>
      <w:r>
        <w:rPr>
          <w:sz w:val="25"/>
        </w:rPr>
        <w:t>Previously they had constructed a Ramchabutra overnight and because of this construction, riots happened. Now a small Kothri had been constructed within a short span of time. There was a possibility that they could increase such constructions gradually;</w:t>
      </w:r>
      <w:r>
        <w:rPr>
          <w:spacing w:val="-3"/>
          <w:sz w:val="25"/>
        </w:rPr>
        <w:t> </w:t>
      </w:r>
      <w:r>
        <w:rPr>
          <w:sz w:val="25"/>
        </w:rPr>
        <w:t>and</w:t>
      </w:r>
    </w:p>
    <w:p>
      <w:pPr>
        <w:pStyle w:val="ListParagraph"/>
        <w:numPr>
          <w:ilvl w:val="0"/>
          <w:numId w:val="222"/>
        </w:numPr>
        <w:tabs>
          <w:tab w:pos="1221" w:val="left" w:leader="none"/>
        </w:tabs>
        <w:spacing w:line="480" w:lineRule="auto" w:before="0" w:after="0"/>
        <w:ind w:left="1220" w:right="444" w:hanging="720"/>
        <w:jc w:val="both"/>
        <w:rPr>
          <w:sz w:val="25"/>
        </w:rPr>
      </w:pPr>
      <w:r>
        <w:rPr>
          <w:sz w:val="25"/>
        </w:rPr>
        <w:t>Accordingly, it was prayed that the mosque may be protected from the Bairagis and orders for dismantling the Kothri may be</w:t>
      </w:r>
      <w:r>
        <w:rPr>
          <w:spacing w:val="-5"/>
          <w:sz w:val="25"/>
        </w:rPr>
        <w:t> </w:t>
      </w:r>
      <w:r>
        <w:rPr>
          <w:sz w:val="25"/>
        </w:rPr>
        <w:t>passed.</w:t>
      </w:r>
    </w:p>
    <w:p>
      <w:pPr>
        <w:pStyle w:val="BodyText"/>
      </w:pPr>
    </w:p>
    <w:p>
      <w:pPr>
        <w:pStyle w:val="ListParagraph"/>
        <w:numPr>
          <w:ilvl w:val="0"/>
          <w:numId w:val="222"/>
        </w:numPr>
        <w:tabs>
          <w:tab w:pos="1221" w:val="left" w:leader="none"/>
        </w:tabs>
        <w:spacing w:line="480" w:lineRule="auto" w:before="1" w:after="0"/>
        <w:ind w:left="1220" w:right="443" w:hanging="720"/>
        <w:jc w:val="both"/>
        <w:rPr>
          <w:sz w:val="25"/>
        </w:rPr>
      </w:pPr>
      <w:r>
        <w:rPr>
          <w:sz w:val="25"/>
        </w:rPr>
        <w:t>On 12 October 1866 the Deputy Commissioner, Faizabad passed an order on the application of Mohd Afzal (included in case number 223) against Tulsidas, directing its consignment to</w:t>
      </w:r>
      <w:r>
        <w:rPr>
          <w:spacing w:val="-4"/>
          <w:sz w:val="25"/>
        </w:rPr>
        <w:t> </w:t>
      </w:r>
      <w:r>
        <w:rPr>
          <w:sz w:val="25"/>
        </w:rPr>
        <w:t>records.</w:t>
      </w:r>
    </w:p>
    <w:p>
      <w:pPr>
        <w:pStyle w:val="BodyText"/>
        <w:spacing w:before="8"/>
        <w:rPr>
          <w:sz w:val="24"/>
        </w:rPr>
      </w:pPr>
    </w:p>
    <w:p>
      <w:pPr>
        <w:pStyle w:val="ListParagraph"/>
        <w:numPr>
          <w:ilvl w:val="0"/>
          <w:numId w:val="219"/>
        </w:numPr>
        <w:tabs>
          <w:tab w:pos="1221" w:val="left" w:leader="none"/>
        </w:tabs>
        <w:spacing w:line="480" w:lineRule="auto" w:before="0" w:after="0"/>
        <w:ind w:left="500" w:right="435" w:firstLine="0"/>
        <w:jc w:val="both"/>
        <w:rPr>
          <w:sz w:val="25"/>
        </w:rPr>
      </w:pPr>
      <w:r>
        <w:rPr>
          <w:b/>
          <w:sz w:val="25"/>
        </w:rPr>
        <w:t>Niyamat </w:t>
      </w:r>
      <w:r>
        <w:rPr>
          <w:b/>
          <w:spacing w:val="-2"/>
          <w:sz w:val="25"/>
        </w:rPr>
        <w:t>Ali </w:t>
      </w:r>
      <w:r>
        <w:rPr>
          <w:b/>
          <w:sz w:val="25"/>
        </w:rPr>
        <w:t>and Mohd Shah </w:t>
      </w:r>
      <w:r>
        <w:rPr>
          <w:sz w:val="25"/>
        </w:rPr>
        <w:t>v </w:t>
      </w:r>
      <w:r>
        <w:rPr>
          <w:b/>
          <w:sz w:val="25"/>
        </w:rPr>
        <w:t>Gangadhar Shastri: </w:t>
      </w:r>
      <w:r>
        <w:rPr>
          <w:sz w:val="25"/>
        </w:rPr>
        <w:t>On 26 August 1868, an order was passed by Major J Reed, Commissioner, Faizabad in an appeal against the order dated 25 June 1868 passed by the Officiating Deputy Commissioner, Faizabad in the case of </w:t>
      </w:r>
      <w:r>
        <w:rPr>
          <w:b/>
          <w:sz w:val="25"/>
        </w:rPr>
        <w:t>Niyamat </w:t>
      </w:r>
      <w:r>
        <w:rPr>
          <w:b/>
          <w:spacing w:val="-2"/>
          <w:sz w:val="25"/>
        </w:rPr>
        <w:t>Ali </w:t>
      </w:r>
      <w:r>
        <w:rPr>
          <w:b/>
          <w:sz w:val="25"/>
        </w:rPr>
        <w:t>and Mohd Shah </w:t>
      </w:r>
      <w:r>
        <w:rPr>
          <w:sz w:val="25"/>
        </w:rPr>
        <w:t>v </w:t>
      </w:r>
      <w:r>
        <w:rPr>
          <w:b/>
          <w:sz w:val="25"/>
        </w:rPr>
        <w:t>Gangadhar Shastri</w:t>
      </w:r>
      <w:r>
        <w:rPr>
          <w:sz w:val="25"/>
        </w:rPr>
        <w:t>. This case was filed by the Muslims against one Ganga Dhar alleging that he was encroaching on the north-western corner of the masjid. The order dismissed the appeal as no encroachment was proved. However, the following observations were</w:t>
      </w:r>
      <w:r>
        <w:rPr>
          <w:spacing w:val="-3"/>
          <w:sz w:val="25"/>
        </w:rPr>
        <w:t> </w:t>
      </w:r>
      <w:r>
        <w:rPr>
          <w:sz w:val="25"/>
        </w:rPr>
        <w:t>made:</w:t>
      </w:r>
    </w:p>
    <w:p>
      <w:pPr>
        <w:pStyle w:val="ListParagraph"/>
        <w:numPr>
          <w:ilvl w:val="0"/>
          <w:numId w:val="223"/>
        </w:numPr>
        <w:tabs>
          <w:tab w:pos="1221" w:val="left" w:leader="none"/>
        </w:tabs>
        <w:spacing w:line="480" w:lineRule="auto" w:before="162" w:after="0"/>
        <w:ind w:left="1220" w:right="443" w:hanging="720"/>
        <w:jc w:val="both"/>
        <w:rPr>
          <w:sz w:val="25"/>
        </w:rPr>
      </w:pPr>
      <w:r>
        <w:rPr>
          <w:sz w:val="25"/>
        </w:rPr>
        <w:t>The maps show that the house of Ganga Dhar touched the wall of the masjid, and there was no</w:t>
      </w:r>
      <w:r>
        <w:rPr>
          <w:spacing w:val="-3"/>
          <w:sz w:val="25"/>
        </w:rPr>
        <w:t> </w:t>
      </w:r>
      <w:r>
        <w:rPr>
          <w:sz w:val="25"/>
        </w:rPr>
        <w:t>encroachment;</w:t>
      </w:r>
    </w:p>
    <w:p>
      <w:pPr>
        <w:spacing w:after="0" w:line="480" w:lineRule="auto"/>
        <w:jc w:val="both"/>
        <w:rPr>
          <w:sz w:val="25"/>
        </w:rPr>
        <w:sectPr>
          <w:pgSz w:w="11910" w:h="16840"/>
          <w:pgMar w:header="721" w:footer="1014" w:top="1300" w:bottom="1200" w:left="940" w:right="1000"/>
        </w:sectPr>
      </w:pPr>
    </w:p>
    <w:p>
      <w:pPr>
        <w:pStyle w:val="ListParagraph"/>
        <w:numPr>
          <w:ilvl w:val="0"/>
          <w:numId w:val="223"/>
        </w:numPr>
        <w:tabs>
          <w:tab w:pos="1221" w:val="left" w:leader="none"/>
        </w:tabs>
        <w:spacing w:line="480" w:lineRule="auto" w:before="124" w:after="0"/>
        <w:ind w:left="1220" w:right="445" w:hanging="720"/>
        <w:jc w:val="both"/>
        <w:rPr>
          <w:sz w:val="25"/>
        </w:rPr>
      </w:pPr>
      <w:r>
        <w:rPr>
          <w:sz w:val="25"/>
        </w:rPr>
        <w:t>There could be no encroachment until the wall of the Masjid itself had been dug into, however it had not been so alleged;</w:t>
      </w:r>
      <w:r>
        <w:rPr>
          <w:spacing w:val="-7"/>
          <w:sz w:val="25"/>
        </w:rPr>
        <w:t> </w:t>
      </w:r>
      <w:r>
        <w:rPr>
          <w:sz w:val="25"/>
        </w:rPr>
        <w:t>and</w:t>
      </w:r>
    </w:p>
    <w:p>
      <w:pPr>
        <w:pStyle w:val="ListParagraph"/>
        <w:numPr>
          <w:ilvl w:val="0"/>
          <w:numId w:val="223"/>
        </w:numPr>
        <w:tabs>
          <w:tab w:pos="1221" w:val="left" w:leader="none"/>
        </w:tabs>
        <w:spacing w:line="480" w:lineRule="auto" w:before="0" w:after="0"/>
        <w:ind w:left="1220" w:right="436" w:hanging="720"/>
        <w:jc w:val="both"/>
        <w:rPr>
          <w:sz w:val="25"/>
        </w:rPr>
      </w:pPr>
      <w:r>
        <w:rPr>
          <w:sz w:val="25"/>
        </w:rPr>
        <w:t>The previous order of the Commissioner dated 27 February 1864 directed that Hindus should not encroach on the boundaries of the mosque and Ramchabutra. However, since so encroachment was proved, there was no reason to</w:t>
      </w:r>
      <w:r>
        <w:rPr>
          <w:spacing w:val="-1"/>
          <w:sz w:val="25"/>
        </w:rPr>
        <w:t> </w:t>
      </w:r>
      <w:r>
        <w:rPr>
          <w:sz w:val="25"/>
        </w:rPr>
        <w:t>interfere.</w:t>
      </w:r>
    </w:p>
    <w:p>
      <w:pPr>
        <w:pStyle w:val="BodyText"/>
        <w:spacing w:before="9"/>
        <w:rPr>
          <w:sz w:val="24"/>
        </w:rPr>
      </w:pPr>
    </w:p>
    <w:p>
      <w:pPr>
        <w:pStyle w:val="ListParagraph"/>
        <w:numPr>
          <w:ilvl w:val="0"/>
          <w:numId w:val="219"/>
        </w:numPr>
        <w:tabs>
          <w:tab w:pos="1221" w:val="left" w:leader="none"/>
        </w:tabs>
        <w:spacing w:line="480" w:lineRule="auto" w:before="0" w:after="0"/>
        <w:ind w:left="500" w:right="441" w:firstLine="0"/>
        <w:jc w:val="both"/>
        <w:rPr>
          <w:sz w:val="25"/>
        </w:rPr>
      </w:pPr>
      <w:r>
        <w:rPr>
          <w:b/>
          <w:sz w:val="25"/>
        </w:rPr>
        <w:t>Mohd Asghar </w:t>
      </w:r>
      <w:r>
        <w:rPr>
          <w:sz w:val="25"/>
        </w:rPr>
        <w:t>v </w:t>
      </w:r>
      <w:r>
        <w:rPr>
          <w:b/>
          <w:sz w:val="25"/>
        </w:rPr>
        <w:t>Government: </w:t>
      </w:r>
      <w:r>
        <w:rPr>
          <w:sz w:val="25"/>
        </w:rPr>
        <w:t>On 22 February 1870, a suit was filed by Mohd Asghar (Mutawalli of Babri Masjid) seeking to evict the defendant who was a Faqir from occupation of the trees of Imli (Bagh Imli), Khandhal and graveyard. It was stated</w:t>
      </w:r>
      <w:r>
        <w:rPr>
          <w:spacing w:val="-3"/>
          <w:sz w:val="25"/>
        </w:rPr>
        <w:t> </w:t>
      </w:r>
      <w:r>
        <w:rPr>
          <w:sz w:val="25"/>
        </w:rPr>
        <w:t>that:</w:t>
      </w:r>
    </w:p>
    <w:p>
      <w:pPr>
        <w:pStyle w:val="ListParagraph"/>
        <w:numPr>
          <w:ilvl w:val="0"/>
          <w:numId w:val="224"/>
        </w:numPr>
        <w:tabs>
          <w:tab w:pos="1221" w:val="left" w:leader="none"/>
        </w:tabs>
        <w:spacing w:line="482" w:lineRule="auto" w:before="162" w:after="0"/>
        <w:ind w:left="1220" w:right="446" w:hanging="720"/>
        <w:jc w:val="both"/>
        <w:rPr>
          <w:sz w:val="25"/>
        </w:rPr>
      </w:pPr>
      <w:r>
        <w:rPr>
          <w:sz w:val="25"/>
        </w:rPr>
        <w:t>21 Imli trees had always been in possession of the applicants and their ancestors since ancient</w:t>
      </w:r>
      <w:r>
        <w:rPr>
          <w:spacing w:val="-4"/>
          <w:sz w:val="25"/>
        </w:rPr>
        <w:t> </w:t>
      </w:r>
      <w:r>
        <w:rPr>
          <w:sz w:val="25"/>
        </w:rPr>
        <w:t>times;</w:t>
      </w:r>
    </w:p>
    <w:p>
      <w:pPr>
        <w:pStyle w:val="ListParagraph"/>
        <w:numPr>
          <w:ilvl w:val="0"/>
          <w:numId w:val="224"/>
        </w:numPr>
        <w:tabs>
          <w:tab w:pos="1221" w:val="left" w:leader="none"/>
        </w:tabs>
        <w:spacing w:line="480" w:lineRule="auto" w:before="0" w:after="0"/>
        <w:ind w:left="1220" w:right="445" w:hanging="720"/>
        <w:jc w:val="both"/>
        <w:rPr>
          <w:sz w:val="25"/>
        </w:rPr>
      </w:pPr>
      <w:r>
        <w:rPr>
          <w:sz w:val="25"/>
        </w:rPr>
        <w:t>The Faqir who was their servant was earlier residing there with the permission of the ancestors of the</w:t>
      </w:r>
      <w:r>
        <w:rPr>
          <w:spacing w:val="-6"/>
          <w:sz w:val="25"/>
        </w:rPr>
        <w:t> </w:t>
      </w:r>
      <w:r>
        <w:rPr>
          <w:sz w:val="25"/>
        </w:rPr>
        <w:t>plaintiffs;</w:t>
      </w:r>
    </w:p>
    <w:p>
      <w:pPr>
        <w:pStyle w:val="ListParagraph"/>
        <w:numPr>
          <w:ilvl w:val="0"/>
          <w:numId w:val="224"/>
        </w:numPr>
        <w:tabs>
          <w:tab w:pos="1221" w:val="left" w:leader="none"/>
        </w:tabs>
        <w:spacing w:line="480" w:lineRule="auto" w:before="0" w:after="0"/>
        <w:ind w:left="1220" w:right="445" w:hanging="720"/>
        <w:jc w:val="both"/>
        <w:rPr>
          <w:sz w:val="25"/>
        </w:rPr>
      </w:pPr>
      <w:r>
        <w:rPr>
          <w:sz w:val="25"/>
        </w:rPr>
        <w:t>During the ‗Shahi‘ period, the Faqir turned against the plaintiffs‘ ancestors and was therefore ousted from the premises;</w:t>
      </w:r>
      <w:r>
        <w:rPr>
          <w:spacing w:val="-1"/>
          <w:sz w:val="25"/>
        </w:rPr>
        <w:t> </w:t>
      </w:r>
      <w:r>
        <w:rPr>
          <w:sz w:val="25"/>
        </w:rPr>
        <w:t>and</w:t>
      </w:r>
    </w:p>
    <w:p>
      <w:pPr>
        <w:pStyle w:val="ListParagraph"/>
        <w:numPr>
          <w:ilvl w:val="0"/>
          <w:numId w:val="224"/>
        </w:numPr>
        <w:tabs>
          <w:tab w:pos="1221" w:val="left" w:leader="none"/>
        </w:tabs>
        <w:spacing w:line="482" w:lineRule="auto" w:before="0" w:after="0"/>
        <w:ind w:left="1220" w:right="443" w:hanging="720"/>
        <w:jc w:val="both"/>
        <w:rPr>
          <w:sz w:val="25"/>
        </w:rPr>
      </w:pPr>
      <w:r>
        <w:rPr>
          <w:sz w:val="25"/>
        </w:rPr>
        <w:t>Hence, a decree for eviction be passed against the Faqir from the trees and the</w:t>
      </w:r>
      <w:r>
        <w:rPr>
          <w:spacing w:val="-2"/>
          <w:sz w:val="25"/>
        </w:rPr>
        <w:t> </w:t>
      </w:r>
      <w:r>
        <w:rPr>
          <w:sz w:val="25"/>
        </w:rPr>
        <w:t>graveyard.</w:t>
      </w:r>
    </w:p>
    <w:p>
      <w:pPr>
        <w:pStyle w:val="ListParagraph"/>
        <w:numPr>
          <w:ilvl w:val="0"/>
          <w:numId w:val="224"/>
        </w:numPr>
        <w:tabs>
          <w:tab w:pos="1221" w:val="left" w:leader="none"/>
        </w:tabs>
        <w:spacing w:line="480" w:lineRule="auto" w:before="0" w:after="0"/>
        <w:ind w:left="1220" w:right="442" w:hanging="720"/>
        <w:jc w:val="both"/>
        <w:rPr>
          <w:sz w:val="25"/>
        </w:rPr>
      </w:pPr>
      <w:r>
        <w:rPr>
          <w:sz w:val="25"/>
        </w:rPr>
        <w:t>On 22 August 1871, an order was passed, dismissing the claim of Mohd Asghar regarding ownership of the Qabaristan in the vicinity of ‗Masjid Babar Shah Mauja Kot Ram Chandar‘ while decreeing the claim over the trees. The order contained the following</w:t>
      </w:r>
      <w:r>
        <w:rPr>
          <w:spacing w:val="-6"/>
          <w:sz w:val="25"/>
        </w:rPr>
        <w:t> </w:t>
      </w:r>
      <w:r>
        <w:rPr>
          <w:sz w:val="25"/>
        </w:rPr>
        <w:t>observations:</w:t>
      </w:r>
    </w:p>
    <w:p>
      <w:pPr>
        <w:spacing w:line="276" w:lineRule="auto" w:before="0"/>
        <w:ind w:left="2660" w:right="2254" w:firstLine="0"/>
        <w:jc w:val="both"/>
        <w:rPr>
          <w:sz w:val="21"/>
        </w:rPr>
      </w:pPr>
      <w:r>
        <w:rPr>
          <w:spacing w:val="-1"/>
          <w:w w:val="33"/>
          <w:sz w:val="21"/>
        </w:rPr>
        <w:t>―</w:t>
      </w:r>
      <w:r>
        <w:rPr>
          <w:w w:val="100"/>
          <w:sz w:val="21"/>
        </w:rPr>
        <w:t>P</w:t>
      </w:r>
      <w:r>
        <w:rPr>
          <w:spacing w:val="-1"/>
          <w:w w:val="100"/>
          <w:sz w:val="21"/>
        </w:rPr>
        <w:t>os</w:t>
      </w:r>
      <w:r>
        <w:rPr>
          <w:spacing w:val="-3"/>
          <w:w w:val="100"/>
          <w:sz w:val="21"/>
        </w:rPr>
        <w:t>s</w:t>
      </w:r>
      <w:r>
        <w:rPr>
          <w:spacing w:val="-1"/>
          <w:w w:val="100"/>
          <w:sz w:val="21"/>
        </w:rPr>
        <w:t>es</w:t>
      </w:r>
      <w:r>
        <w:rPr>
          <w:spacing w:val="-3"/>
          <w:w w:val="100"/>
          <w:sz w:val="21"/>
        </w:rPr>
        <w:t>s</w:t>
      </w:r>
      <w:r>
        <w:rPr>
          <w:w w:val="100"/>
          <w:sz w:val="21"/>
        </w:rPr>
        <w:t>i</w:t>
      </w:r>
      <w:r>
        <w:rPr>
          <w:spacing w:val="-1"/>
          <w:w w:val="100"/>
          <w:sz w:val="21"/>
        </w:rPr>
        <w:t>o</w:t>
      </w:r>
      <w:r>
        <w:rPr>
          <w:w w:val="100"/>
          <w:sz w:val="21"/>
        </w:rPr>
        <w:t>n</w:t>
      </w:r>
      <w:r>
        <w:rPr>
          <w:sz w:val="21"/>
        </w:rPr>
        <w:t> </w:t>
      </w:r>
      <w:r>
        <w:rPr>
          <w:spacing w:val="-3"/>
          <w:w w:val="100"/>
          <w:sz w:val="21"/>
        </w:rPr>
        <w:t>o</w:t>
      </w:r>
      <w:r>
        <w:rPr>
          <w:w w:val="100"/>
          <w:sz w:val="21"/>
        </w:rPr>
        <w:t>f</w:t>
      </w:r>
      <w:r>
        <w:rPr>
          <w:sz w:val="21"/>
        </w:rPr>
        <w:t> </w:t>
      </w:r>
      <w:r>
        <w:rPr>
          <w:spacing w:val="-2"/>
          <w:w w:val="100"/>
          <w:sz w:val="21"/>
        </w:rPr>
        <w:t>P</w:t>
      </w:r>
      <w:r>
        <w:rPr>
          <w:w w:val="100"/>
          <w:sz w:val="21"/>
        </w:rPr>
        <w:t>l</w:t>
      </w:r>
      <w:r>
        <w:rPr>
          <w:spacing w:val="-3"/>
          <w:w w:val="100"/>
          <w:sz w:val="21"/>
        </w:rPr>
        <w:t>a</w:t>
      </w:r>
      <w:r>
        <w:rPr>
          <w:w w:val="100"/>
          <w:sz w:val="21"/>
        </w:rPr>
        <w:t>i</w:t>
      </w:r>
      <w:r>
        <w:rPr>
          <w:spacing w:val="-1"/>
          <w:w w:val="100"/>
          <w:sz w:val="21"/>
        </w:rPr>
        <w:t>n</w:t>
      </w:r>
      <w:r>
        <w:rPr>
          <w:spacing w:val="-4"/>
          <w:w w:val="100"/>
          <w:sz w:val="21"/>
        </w:rPr>
        <w:t>t</w:t>
      </w:r>
      <w:r>
        <w:rPr>
          <w:w w:val="100"/>
          <w:sz w:val="21"/>
        </w:rPr>
        <w:t>i</w:t>
      </w:r>
      <w:r>
        <w:rPr>
          <w:spacing w:val="-2"/>
          <w:w w:val="100"/>
          <w:sz w:val="21"/>
        </w:rPr>
        <w:t>f</w:t>
      </w:r>
      <w:r>
        <w:rPr>
          <w:spacing w:val="1"/>
          <w:w w:val="100"/>
          <w:sz w:val="21"/>
        </w:rPr>
        <w:t>f</w:t>
      </w:r>
      <w:r>
        <w:rPr>
          <w:w w:val="100"/>
          <w:sz w:val="21"/>
        </w:rPr>
        <w:t>s</w:t>
      </w:r>
      <w:r>
        <w:rPr>
          <w:sz w:val="21"/>
        </w:rPr>
        <w:t> </w:t>
      </w:r>
      <w:r>
        <w:rPr>
          <w:spacing w:val="-1"/>
          <w:w w:val="100"/>
          <w:sz w:val="21"/>
        </w:rPr>
        <w:t>o</w:t>
      </w:r>
      <w:r>
        <w:rPr>
          <w:spacing w:val="-3"/>
          <w:w w:val="100"/>
          <w:sz w:val="21"/>
        </w:rPr>
        <w:t>v</w:t>
      </w:r>
      <w:r>
        <w:rPr>
          <w:spacing w:val="-1"/>
          <w:w w:val="100"/>
          <w:sz w:val="21"/>
        </w:rPr>
        <w:t>e</w:t>
      </w:r>
      <w:r>
        <w:rPr>
          <w:w w:val="100"/>
          <w:sz w:val="21"/>
        </w:rPr>
        <w:t>r</w:t>
      </w:r>
      <w:r>
        <w:rPr>
          <w:sz w:val="21"/>
        </w:rPr>
        <w:t> </w:t>
      </w:r>
      <w:r>
        <w:rPr>
          <w:spacing w:val="-2"/>
          <w:w w:val="100"/>
          <w:sz w:val="21"/>
        </w:rPr>
        <w:t>t</w:t>
      </w:r>
      <w:r>
        <w:rPr>
          <w:spacing w:val="-1"/>
          <w:w w:val="100"/>
          <w:sz w:val="21"/>
        </w:rPr>
        <w:t>h</w:t>
      </w:r>
      <w:r>
        <w:rPr>
          <w:w w:val="100"/>
          <w:sz w:val="21"/>
        </w:rPr>
        <w:t>e</w:t>
      </w:r>
      <w:r>
        <w:rPr>
          <w:sz w:val="21"/>
        </w:rPr>
        <w:t> </w:t>
      </w:r>
      <w:r>
        <w:rPr>
          <w:spacing w:val="-2"/>
          <w:w w:val="100"/>
          <w:sz w:val="21"/>
        </w:rPr>
        <w:t>t</w:t>
      </w:r>
      <w:r>
        <w:rPr>
          <w:spacing w:val="-1"/>
          <w:w w:val="100"/>
          <w:sz w:val="21"/>
        </w:rPr>
        <w:t>a</w:t>
      </w:r>
      <w:r>
        <w:rPr>
          <w:spacing w:val="1"/>
          <w:w w:val="100"/>
          <w:sz w:val="21"/>
        </w:rPr>
        <w:t>m</w:t>
      </w:r>
      <w:r>
        <w:rPr>
          <w:spacing w:val="-1"/>
          <w:w w:val="100"/>
          <w:sz w:val="21"/>
        </w:rPr>
        <w:t>ar</w:t>
      </w:r>
      <w:r>
        <w:rPr>
          <w:spacing w:val="-2"/>
          <w:w w:val="100"/>
          <w:sz w:val="21"/>
        </w:rPr>
        <w:t>i</w:t>
      </w:r>
      <w:r>
        <w:rPr>
          <w:spacing w:val="-1"/>
          <w:w w:val="100"/>
          <w:sz w:val="21"/>
        </w:rPr>
        <w:t>n</w:t>
      </w:r>
      <w:r>
        <w:rPr>
          <w:w w:val="100"/>
          <w:sz w:val="21"/>
        </w:rPr>
        <w:t>d</w:t>
      </w:r>
      <w:r>
        <w:rPr>
          <w:sz w:val="21"/>
        </w:rPr>
        <w:t> </w:t>
      </w:r>
      <w:r>
        <w:rPr>
          <w:spacing w:val="-2"/>
          <w:w w:val="100"/>
          <w:sz w:val="21"/>
        </w:rPr>
        <w:t>t</w:t>
      </w:r>
      <w:r>
        <w:rPr>
          <w:spacing w:val="-1"/>
          <w:w w:val="100"/>
          <w:sz w:val="21"/>
        </w:rPr>
        <w:t>ree</w:t>
      </w:r>
      <w:r>
        <w:rPr>
          <w:w w:val="100"/>
          <w:sz w:val="21"/>
        </w:rPr>
        <w:t>s</w:t>
      </w:r>
      <w:r>
        <w:rPr>
          <w:sz w:val="21"/>
        </w:rPr>
        <w:t> </w:t>
      </w:r>
      <w:r>
        <w:rPr>
          <w:spacing w:val="-2"/>
          <w:w w:val="100"/>
          <w:sz w:val="21"/>
        </w:rPr>
        <w:t>w</w:t>
      </w:r>
      <w:r>
        <w:rPr>
          <w:spacing w:val="-1"/>
          <w:w w:val="100"/>
          <w:sz w:val="21"/>
        </w:rPr>
        <w:t>as </w:t>
      </w:r>
      <w:r>
        <w:rPr>
          <w:sz w:val="21"/>
        </w:rPr>
        <w:t>established, but right of ownership cannot be of the Plaintiffs as this is general graveyard and courtyard</w:t>
      </w:r>
      <w:r>
        <w:rPr>
          <w:spacing w:val="52"/>
          <w:sz w:val="21"/>
        </w:rPr>
        <w:t> </w:t>
      </w:r>
      <w:r>
        <w:rPr>
          <w:sz w:val="21"/>
        </w:rPr>
        <w:t>in</w:t>
      </w:r>
    </w:p>
    <w:p>
      <w:pPr>
        <w:spacing w:after="0" w:line="276" w:lineRule="auto"/>
        <w:jc w:val="both"/>
        <w:rPr>
          <w:sz w:val="21"/>
        </w:rPr>
        <w:sectPr>
          <w:pgSz w:w="11910" w:h="16840"/>
          <w:pgMar w:header="721" w:footer="1014" w:top="1300" w:bottom="1200" w:left="940" w:right="1000"/>
        </w:sectPr>
      </w:pPr>
    </w:p>
    <w:p>
      <w:pPr>
        <w:spacing w:line="276" w:lineRule="auto" w:before="122"/>
        <w:ind w:left="2660" w:right="2259" w:firstLine="0"/>
        <w:jc w:val="both"/>
        <w:rPr>
          <w:sz w:val="21"/>
        </w:rPr>
      </w:pPr>
      <w:r>
        <w:rPr>
          <w:sz w:val="21"/>
        </w:rPr>
        <w:t>front of the door of the Masjid Janamsthan. Therefore, such an Arazi (piece of land) cannot be private property.‖</w:t>
      </w:r>
    </w:p>
    <w:p>
      <w:pPr>
        <w:pStyle w:val="BodyText"/>
        <w:rPr>
          <w:sz w:val="24"/>
        </w:rPr>
      </w:pPr>
    </w:p>
    <w:p>
      <w:pPr>
        <w:pStyle w:val="BodyText"/>
        <w:spacing w:before="3"/>
        <w:rPr>
          <w:sz w:val="22"/>
        </w:rPr>
      </w:pPr>
    </w:p>
    <w:p>
      <w:pPr>
        <w:pStyle w:val="ListParagraph"/>
        <w:numPr>
          <w:ilvl w:val="0"/>
          <w:numId w:val="219"/>
        </w:numPr>
        <w:tabs>
          <w:tab w:pos="719" w:val="left" w:leader="none"/>
          <w:tab w:pos="720" w:val="left" w:leader="none"/>
        </w:tabs>
        <w:spacing w:line="240" w:lineRule="auto" w:before="0" w:after="0"/>
        <w:ind w:left="1220" w:right="439" w:hanging="1221"/>
        <w:jc w:val="right"/>
        <w:rPr>
          <w:sz w:val="25"/>
        </w:rPr>
      </w:pPr>
      <w:r>
        <w:rPr>
          <w:b/>
          <w:sz w:val="26"/>
        </w:rPr>
        <w:t>Placing</w:t>
      </w:r>
      <w:r>
        <w:rPr>
          <w:b/>
          <w:spacing w:val="27"/>
          <w:sz w:val="26"/>
        </w:rPr>
        <w:t> </w:t>
      </w:r>
      <w:r>
        <w:rPr>
          <w:b/>
          <w:sz w:val="26"/>
        </w:rPr>
        <w:t>of</w:t>
      </w:r>
      <w:r>
        <w:rPr>
          <w:b/>
          <w:spacing w:val="30"/>
          <w:sz w:val="26"/>
        </w:rPr>
        <w:t> </w:t>
      </w:r>
      <w:r>
        <w:rPr>
          <w:b/>
          <w:sz w:val="26"/>
        </w:rPr>
        <w:t>Idol</w:t>
      </w:r>
      <w:r>
        <w:rPr>
          <w:b/>
          <w:spacing w:val="29"/>
          <w:sz w:val="26"/>
        </w:rPr>
        <w:t> </w:t>
      </w:r>
      <w:r>
        <w:rPr>
          <w:b/>
          <w:sz w:val="26"/>
        </w:rPr>
        <w:t>in</w:t>
      </w:r>
      <w:r>
        <w:rPr>
          <w:b/>
          <w:spacing w:val="27"/>
          <w:sz w:val="26"/>
        </w:rPr>
        <w:t> </w:t>
      </w:r>
      <w:r>
        <w:rPr>
          <w:b/>
          <w:sz w:val="26"/>
        </w:rPr>
        <w:t>1873:</w:t>
      </w:r>
      <w:r>
        <w:rPr>
          <w:b/>
          <w:spacing w:val="33"/>
          <w:sz w:val="26"/>
        </w:rPr>
        <w:t> </w:t>
      </w:r>
      <w:r>
        <w:rPr>
          <w:sz w:val="25"/>
        </w:rPr>
        <w:t>In</w:t>
      </w:r>
      <w:r>
        <w:rPr>
          <w:spacing w:val="28"/>
          <w:sz w:val="25"/>
        </w:rPr>
        <w:t> </w:t>
      </w:r>
      <w:r>
        <w:rPr>
          <w:sz w:val="25"/>
        </w:rPr>
        <w:t>November</w:t>
      </w:r>
      <w:r>
        <w:rPr>
          <w:spacing w:val="28"/>
          <w:sz w:val="25"/>
        </w:rPr>
        <w:t> </w:t>
      </w:r>
      <w:r>
        <w:rPr>
          <w:sz w:val="25"/>
        </w:rPr>
        <w:t>1873,</w:t>
      </w:r>
      <w:r>
        <w:rPr>
          <w:spacing w:val="29"/>
          <w:sz w:val="25"/>
        </w:rPr>
        <w:t> </w:t>
      </w:r>
      <w:r>
        <w:rPr>
          <w:sz w:val="25"/>
        </w:rPr>
        <w:t>an</w:t>
      </w:r>
      <w:r>
        <w:rPr>
          <w:spacing w:val="28"/>
          <w:sz w:val="25"/>
        </w:rPr>
        <w:t> </w:t>
      </w:r>
      <w:r>
        <w:rPr>
          <w:sz w:val="25"/>
        </w:rPr>
        <w:t>idol</w:t>
      </w:r>
      <w:r>
        <w:rPr>
          <w:spacing w:val="29"/>
          <w:sz w:val="25"/>
        </w:rPr>
        <w:t> </w:t>
      </w:r>
      <w:r>
        <w:rPr>
          <w:sz w:val="25"/>
        </w:rPr>
        <w:t>was</w:t>
      </w:r>
      <w:r>
        <w:rPr>
          <w:spacing w:val="28"/>
          <w:sz w:val="25"/>
        </w:rPr>
        <w:t> </w:t>
      </w:r>
      <w:r>
        <w:rPr>
          <w:sz w:val="25"/>
        </w:rPr>
        <w:t>placed</w:t>
      </w:r>
      <w:r>
        <w:rPr>
          <w:spacing w:val="29"/>
          <w:sz w:val="25"/>
        </w:rPr>
        <w:t> </w:t>
      </w:r>
      <w:r>
        <w:rPr>
          <w:sz w:val="25"/>
        </w:rPr>
        <w:t>on</w:t>
      </w:r>
      <w:r>
        <w:rPr>
          <w:spacing w:val="28"/>
          <w:sz w:val="25"/>
        </w:rPr>
        <w:t> </w:t>
      </w:r>
      <w:r>
        <w:rPr>
          <w:sz w:val="25"/>
        </w:rPr>
        <w:t>the</w:t>
      </w:r>
    </w:p>
    <w:p>
      <w:pPr>
        <w:pStyle w:val="BodyText"/>
        <w:spacing w:before="11"/>
      </w:pPr>
    </w:p>
    <w:p>
      <w:pPr>
        <w:pStyle w:val="BodyText"/>
        <w:spacing w:line="480" w:lineRule="auto"/>
        <w:ind w:left="500" w:right="436"/>
        <w:jc w:val="both"/>
      </w:pPr>
      <w:r>
        <w:rPr/>
        <w:t>‗platform of Janmasthan‘ (referred to in the Deputy Commissioner‘s report dated 14 August 1877 and Commissioner‘s order dated 18 December 1877);</w:t>
      </w:r>
    </w:p>
    <w:p>
      <w:pPr>
        <w:pStyle w:val="ListParagraph"/>
        <w:numPr>
          <w:ilvl w:val="0"/>
          <w:numId w:val="225"/>
        </w:numPr>
        <w:tabs>
          <w:tab w:pos="1221" w:val="left" w:leader="none"/>
        </w:tabs>
        <w:spacing w:line="482" w:lineRule="auto" w:before="156" w:after="0"/>
        <w:ind w:left="1220" w:right="436" w:hanging="720"/>
        <w:jc w:val="both"/>
        <w:rPr>
          <w:sz w:val="25"/>
        </w:rPr>
      </w:pPr>
      <w:r>
        <w:rPr>
          <w:sz w:val="25"/>
        </w:rPr>
        <w:t>On 7 November 1873, an order was passed in the case of </w:t>
      </w:r>
      <w:r>
        <w:rPr>
          <w:b/>
          <w:sz w:val="25"/>
        </w:rPr>
        <w:t>Mohd Asghar </w:t>
      </w:r>
      <w:r>
        <w:rPr>
          <w:sz w:val="25"/>
        </w:rPr>
        <w:t>v </w:t>
      </w:r>
      <w:r>
        <w:rPr>
          <w:b/>
          <w:sz w:val="25"/>
        </w:rPr>
        <w:t>Mahant Baldeo Das </w:t>
      </w:r>
      <w:r>
        <w:rPr>
          <w:sz w:val="25"/>
        </w:rPr>
        <w:t>directing the removal of the </w:t>
      </w:r>
      <w:r>
        <w:rPr>
          <w:i/>
          <w:sz w:val="25"/>
        </w:rPr>
        <w:t>Charan Paduka </w:t>
      </w:r>
      <w:r>
        <w:rPr>
          <w:sz w:val="25"/>
        </w:rPr>
        <w:t>which was not complied with;</w:t>
      </w:r>
      <w:r>
        <w:rPr>
          <w:spacing w:val="-2"/>
          <w:sz w:val="25"/>
        </w:rPr>
        <w:t> </w:t>
      </w:r>
      <w:r>
        <w:rPr>
          <w:sz w:val="25"/>
        </w:rPr>
        <w:t>and</w:t>
      </w:r>
    </w:p>
    <w:p>
      <w:pPr>
        <w:pStyle w:val="ListParagraph"/>
        <w:numPr>
          <w:ilvl w:val="0"/>
          <w:numId w:val="225"/>
        </w:numPr>
        <w:tabs>
          <w:tab w:pos="1221" w:val="left" w:leader="none"/>
        </w:tabs>
        <w:spacing w:line="480" w:lineRule="auto" w:before="0" w:after="0"/>
        <w:ind w:left="1220" w:right="430" w:hanging="720"/>
        <w:jc w:val="both"/>
        <w:rPr>
          <w:sz w:val="25"/>
        </w:rPr>
      </w:pPr>
      <w:r>
        <w:rPr>
          <w:sz w:val="25"/>
        </w:rPr>
        <w:t>On 10 November 1873, Baldeo Das was directed by the Deputy Commissioner to remove an image placed on the Janmasthan platform. A report was submitted stating that an officer had gone to the house of Baldeo Das who was not found. The order was explained to other priests who said they could not carry out the </w:t>
      </w:r>
      <w:r>
        <w:rPr>
          <w:spacing w:val="-3"/>
          <w:sz w:val="25"/>
        </w:rPr>
        <w:t>order. </w:t>
      </w:r>
      <w:r>
        <w:rPr>
          <w:b/>
          <w:sz w:val="25"/>
        </w:rPr>
        <w:t>These orders were not complied with and the image was not</w:t>
      </w:r>
      <w:r>
        <w:rPr>
          <w:b/>
          <w:spacing w:val="-14"/>
          <w:sz w:val="25"/>
        </w:rPr>
        <w:t> </w:t>
      </w:r>
      <w:r>
        <w:rPr>
          <w:b/>
          <w:sz w:val="25"/>
        </w:rPr>
        <w:t>removed</w:t>
      </w:r>
      <w:r>
        <w:rPr>
          <w:sz w:val="25"/>
        </w:rPr>
        <w:t>.</w:t>
      </w:r>
    </w:p>
    <w:p>
      <w:pPr>
        <w:pStyle w:val="BodyText"/>
        <w:spacing w:before="6"/>
        <w:rPr>
          <w:sz w:val="24"/>
        </w:rPr>
      </w:pPr>
    </w:p>
    <w:p>
      <w:pPr>
        <w:pStyle w:val="ListParagraph"/>
        <w:numPr>
          <w:ilvl w:val="0"/>
          <w:numId w:val="219"/>
        </w:numPr>
        <w:tabs>
          <w:tab w:pos="1221" w:val="left" w:leader="none"/>
        </w:tabs>
        <w:spacing w:line="480" w:lineRule="auto" w:before="0" w:after="0"/>
        <w:ind w:left="500" w:right="434" w:firstLine="0"/>
        <w:jc w:val="both"/>
        <w:rPr>
          <w:sz w:val="25"/>
        </w:rPr>
      </w:pPr>
      <w:r>
        <w:rPr>
          <w:b/>
          <w:sz w:val="26"/>
        </w:rPr>
        <w:t>Opening up of the northern gate (Singh Dwar in 1877) - </w:t>
      </w:r>
      <w:r>
        <w:rPr>
          <w:b/>
          <w:sz w:val="25"/>
        </w:rPr>
        <w:t>Mohd Asghar v Khem Dass</w:t>
      </w:r>
      <w:r>
        <w:rPr>
          <w:sz w:val="25"/>
        </w:rPr>
        <w:t>: On 3 April 1877, the Deputy Commissioner, Faizabad granted permission to the Hindus to open a new door (Singh Dwar) in the northern outer wall of the disputed building. This permission was challenged by Mohd Asghar by filing an appeal</w:t>
      </w:r>
      <w:r>
        <w:rPr>
          <w:sz w:val="25"/>
          <w:vertAlign w:val="superscript"/>
        </w:rPr>
        <w:t>358</w:t>
      </w:r>
      <w:r>
        <w:rPr>
          <w:sz w:val="25"/>
          <w:vertAlign w:val="baseline"/>
        </w:rPr>
        <w:t>, where he claimed</w:t>
      </w:r>
      <w:r>
        <w:rPr>
          <w:spacing w:val="-8"/>
          <w:sz w:val="25"/>
          <w:vertAlign w:val="baseline"/>
        </w:rPr>
        <w:t> </w:t>
      </w:r>
      <w:r>
        <w:rPr>
          <w:sz w:val="25"/>
          <w:vertAlign w:val="baseline"/>
        </w:rPr>
        <w:t>that:</w:t>
      </w:r>
    </w:p>
    <w:p>
      <w:pPr>
        <w:pStyle w:val="ListParagraph"/>
        <w:numPr>
          <w:ilvl w:val="0"/>
          <w:numId w:val="226"/>
        </w:numPr>
        <w:tabs>
          <w:tab w:pos="1220" w:val="left" w:leader="none"/>
          <w:tab w:pos="1221" w:val="left" w:leader="none"/>
        </w:tabs>
        <w:spacing w:line="240" w:lineRule="auto" w:before="161" w:after="0"/>
        <w:ind w:left="1220" w:right="0" w:hanging="721"/>
        <w:jc w:val="left"/>
        <w:rPr>
          <w:sz w:val="25"/>
        </w:rPr>
      </w:pPr>
      <w:r>
        <w:rPr>
          <w:sz w:val="25"/>
        </w:rPr>
        <w:t>Each place within the boundary wall of the mosque is the</w:t>
      </w:r>
      <w:r>
        <w:rPr>
          <w:spacing w:val="-10"/>
          <w:sz w:val="25"/>
        </w:rPr>
        <w:t> </w:t>
      </w:r>
      <w:r>
        <w:rPr>
          <w:sz w:val="25"/>
        </w:rPr>
        <w:t>mosque;</w:t>
      </w:r>
    </w:p>
    <w:p>
      <w:pPr>
        <w:pStyle w:val="BodyText"/>
        <w:spacing w:before="1"/>
      </w:pPr>
    </w:p>
    <w:p>
      <w:pPr>
        <w:pStyle w:val="ListParagraph"/>
        <w:numPr>
          <w:ilvl w:val="0"/>
          <w:numId w:val="226"/>
        </w:numPr>
        <w:tabs>
          <w:tab w:pos="1220" w:val="left" w:leader="none"/>
          <w:tab w:pos="1221" w:val="left" w:leader="none"/>
        </w:tabs>
        <w:spacing w:line="240" w:lineRule="auto" w:before="0" w:after="0"/>
        <w:ind w:left="1220" w:right="0" w:hanging="721"/>
        <w:jc w:val="left"/>
        <w:rPr>
          <w:sz w:val="25"/>
        </w:rPr>
      </w:pPr>
      <w:r>
        <w:rPr>
          <w:sz w:val="25"/>
        </w:rPr>
        <w:t>The general principle is that the matters relating to a masjid should</w:t>
      </w:r>
      <w:r>
        <w:rPr>
          <w:spacing w:val="24"/>
          <w:sz w:val="25"/>
        </w:rPr>
        <w:t> </w:t>
      </w:r>
      <w:r>
        <w:rPr>
          <w:sz w:val="25"/>
        </w:rPr>
        <w:t>be</w:t>
      </w:r>
    </w:p>
    <w:p>
      <w:pPr>
        <w:pStyle w:val="BodyText"/>
        <w:spacing w:before="10"/>
        <w:rPr>
          <w:sz w:val="24"/>
        </w:rPr>
      </w:pPr>
    </w:p>
    <w:p>
      <w:pPr>
        <w:pStyle w:val="BodyText"/>
        <w:ind w:right="442"/>
        <w:jc w:val="right"/>
      </w:pPr>
      <w:r>
        <w:rPr/>
        <w:t>‗handed over‘ to Muslims while matters relating to the temple should be</w:t>
      </w:r>
    </w:p>
    <w:p>
      <w:pPr>
        <w:pStyle w:val="BodyText"/>
        <w:rPr>
          <w:sz w:val="20"/>
        </w:rPr>
      </w:pPr>
    </w:p>
    <w:p>
      <w:pPr>
        <w:pStyle w:val="BodyText"/>
        <w:spacing w:before="1"/>
        <w:rPr>
          <w:sz w:val="12"/>
        </w:rPr>
      </w:pPr>
      <w:r>
        <w:rPr/>
        <w:pict>
          <v:rect style="position:absolute;margin-left:72.024002pt;margin-top:8.919092pt;width:144.020pt;height:.599980pt;mso-position-horizontal-relative:page;mso-position-vertical-relative:paragraph;z-index:-1562112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358</w:t>
      </w:r>
      <w:r>
        <w:rPr>
          <w:sz w:val="18"/>
          <w:vertAlign w:val="baseline"/>
        </w:rPr>
        <w:t> Misc Appeal No.56</w:t>
      </w:r>
    </w:p>
    <w:p>
      <w:pPr>
        <w:spacing w:after="0"/>
        <w:jc w:val="left"/>
        <w:rPr>
          <w:sz w:val="18"/>
        </w:rPr>
        <w:sectPr>
          <w:pgSz w:w="11910" w:h="16840"/>
          <w:pgMar w:header="721" w:footer="1014" w:top="1300" w:bottom="1200" w:left="940" w:right="1000"/>
        </w:sectPr>
      </w:pPr>
    </w:p>
    <w:p>
      <w:pPr>
        <w:pStyle w:val="BodyText"/>
        <w:spacing w:line="480" w:lineRule="auto" w:before="124"/>
        <w:ind w:left="1220" w:right="441"/>
        <w:jc w:val="both"/>
      </w:pPr>
      <w:r>
        <w:rPr/>
        <w:t>handed over to the Hindus. Thus, the permission accorded to the defendants for opening the gate was in contravention of this basic principle;</w:t>
      </w:r>
    </w:p>
    <w:p>
      <w:pPr>
        <w:pStyle w:val="ListParagraph"/>
        <w:numPr>
          <w:ilvl w:val="0"/>
          <w:numId w:val="226"/>
        </w:numPr>
        <w:tabs>
          <w:tab w:pos="1221" w:val="left" w:leader="none"/>
        </w:tabs>
        <w:spacing w:line="480" w:lineRule="auto" w:before="0" w:after="0"/>
        <w:ind w:left="1220" w:right="439" w:hanging="720"/>
        <w:jc w:val="both"/>
        <w:rPr>
          <w:sz w:val="25"/>
        </w:rPr>
      </w:pPr>
      <w:r>
        <w:rPr>
          <w:sz w:val="25"/>
        </w:rPr>
        <w:t>Previously, on 7 November 1873, an order was passed directing the Hindus to remove the idols. Therefore, when there is no permission to install idols, a right over the wall of the masjid could not </w:t>
      </w:r>
      <w:r>
        <w:rPr>
          <w:spacing w:val="3"/>
          <w:sz w:val="25"/>
        </w:rPr>
        <w:t>be </w:t>
      </w:r>
      <w:r>
        <w:rPr>
          <w:sz w:val="25"/>
        </w:rPr>
        <w:t>given to the defendants;</w:t>
      </w:r>
    </w:p>
    <w:p>
      <w:pPr>
        <w:pStyle w:val="ListParagraph"/>
        <w:numPr>
          <w:ilvl w:val="0"/>
          <w:numId w:val="226"/>
        </w:numPr>
        <w:tabs>
          <w:tab w:pos="1221" w:val="left" w:leader="none"/>
        </w:tabs>
        <w:spacing w:line="240" w:lineRule="auto" w:before="0" w:after="0"/>
        <w:ind w:left="1220" w:right="0" w:hanging="721"/>
        <w:jc w:val="both"/>
        <w:rPr>
          <w:sz w:val="25"/>
        </w:rPr>
      </w:pPr>
      <w:r>
        <w:rPr>
          <w:sz w:val="25"/>
        </w:rPr>
        <w:t>On the door of the outer wall of the masjid, the word Allah is</w:t>
      </w:r>
      <w:r>
        <w:rPr>
          <w:spacing w:val="-15"/>
          <w:sz w:val="25"/>
        </w:rPr>
        <w:t> </w:t>
      </w:r>
      <w:r>
        <w:rPr>
          <w:sz w:val="25"/>
        </w:rPr>
        <w:t>engraved;</w:t>
      </w:r>
    </w:p>
    <w:p>
      <w:pPr>
        <w:pStyle w:val="BodyText"/>
        <w:spacing w:before="1"/>
      </w:pPr>
    </w:p>
    <w:p>
      <w:pPr>
        <w:pStyle w:val="ListParagraph"/>
        <w:numPr>
          <w:ilvl w:val="0"/>
          <w:numId w:val="226"/>
        </w:numPr>
        <w:tabs>
          <w:tab w:pos="1221" w:val="left" w:leader="none"/>
        </w:tabs>
        <w:spacing w:line="480" w:lineRule="auto" w:before="0" w:after="0"/>
        <w:ind w:left="1220" w:right="443" w:hanging="720"/>
        <w:jc w:val="both"/>
        <w:rPr>
          <w:sz w:val="25"/>
        </w:rPr>
      </w:pPr>
      <w:r>
        <w:rPr>
          <w:sz w:val="25"/>
        </w:rPr>
        <w:t>When the appellant himself had requested that he be permitted to open the said door at his own expense and he was ready and willing to open it, the defendants who belonged to another religion could not have been accorded permission to open the additional door;</w:t>
      </w:r>
      <w:r>
        <w:rPr>
          <w:spacing w:val="-10"/>
          <w:sz w:val="25"/>
        </w:rPr>
        <w:t> </w:t>
      </w:r>
      <w:r>
        <w:rPr>
          <w:sz w:val="25"/>
        </w:rPr>
        <w:t>and</w:t>
      </w:r>
    </w:p>
    <w:p>
      <w:pPr>
        <w:pStyle w:val="ListParagraph"/>
        <w:numPr>
          <w:ilvl w:val="0"/>
          <w:numId w:val="226"/>
        </w:numPr>
        <w:tabs>
          <w:tab w:pos="1221" w:val="left" w:leader="none"/>
        </w:tabs>
        <w:spacing w:line="480" w:lineRule="auto" w:before="0" w:after="0"/>
        <w:ind w:left="1220" w:right="433" w:hanging="720"/>
        <w:jc w:val="both"/>
        <w:rPr>
          <w:sz w:val="25"/>
        </w:rPr>
      </w:pPr>
      <w:r>
        <w:rPr>
          <w:sz w:val="25"/>
        </w:rPr>
        <w:t>The defendant with the intention of occupying the area continued to indulge in several activities and on being restrained by anyone, becomes aggressive and was bent to fight with</w:t>
      </w:r>
      <w:r>
        <w:rPr>
          <w:spacing w:val="-5"/>
          <w:sz w:val="25"/>
        </w:rPr>
        <w:t> </w:t>
      </w:r>
      <w:r>
        <w:rPr>
          <w:sz w:val="25"/>
        </w:rPr>
        <w:t>him.</w:t>
      </w:r>
    </w:p>
    <w:p>
      <w:pPr>
        <w:pStyle w:val="BodyText"/>
        <w:spacing w:line="480" w:lineRule="auto" w:before="200"/>
        <w:ind w:left="500" w:right="435"/>
        <w:jc w:val="both"/>
      </w:pPr>
      <w:r>
        <w:rPr/>
        <w:t>On 14 May 1877, a report was submitted by the Deputy Commissioner, stating that if the other door was not opened, human life would be endangered as there was a great rush. Ultimately, on 13 December 1877, the appeal was dismissed on the ground that the outer door was in the interests of public safety. The order states that the petition was merely an attempt to annoy the Hindus by making </w:t>
      </w:r>
      <w:r>
        <w:rPr>
          <w:w w:val="99"/>
        </w:rPr>
        <w:t>them</w:t>
      </w:r>
      <w:r>
        <w:rPr/>
        <w:t> </w:t>
      </w:r>
      <w:r>
        <w:rPr>
          <w:spacing w:val="-26"/>
        </w:rPr>
        <w:t> </w:t>
      </w:r>
      <w:r>
        <w:rPr>
          <w:spacing w:val="-1"/>
          <w:w w:val="99"/>
        </w:rPr>
        <w:t>d</w:t>
      </w:r>
      <w:r>
        <w:rPr>
          <w:w w:val="99"/>
        </w:rPr>
        <w:t>e</w:t>
      </w:r>
      <w:r>
        <w:rPr>
          <w:spacing w:val="-1"/>
          <w:w w:val="99"/>
        </w:rPr>
        <w:t>p</w:t>
      </w:r>
      <w:r>
        <w:rPr>
          <w:w w:val="99"/>
        </w:rPr>
        <w:t>e</w:t>
      </w:r>
      <w:r>
        <w:rPr>
          <w:spacing w:val="-1"/>
          <w:w w:val="99"/>
        </w:rPr>
        <w:t>n</w:t>
      </w:r>
      <w:r>
        <w:rPr>
          <w:w w:val="99"/>
        </w:rPr>
        <w:t>d</w:t>
      </w:r>
      <w:r>
        <w:rPr>
          <w:spacing w:val="-1"/>
          <w:w w:val="99"/>
        </w:rPr>
        <w:t>e</w:t>
      </w:r>
      <w:r>
        <w:rPr>
          <w:w w:val="99"/>
        </w:rPr>
        <w:t>nt</w:t>
      </w:r>
      <w:r>
        <w:rPr/>
        <w:t> </w:t>
      </w:r>
      <w:r>
        <w:rPr>
          <w:spacing w:val="-27"/>
        </w:rPr>
        <w:t> </w:t>
      </w:r>
      <w:r>
        <w:rPr>
          <w:spacing w:val="-1"/>
          <w:w w:val="99"/>
        </w:rPr>
        <w:t>o</w:t>
      </w:r>
      <w:r>
        <w:rPr>
          <w:w w:val="99"/>
        </w:rPr>
        <w:t>n</w:t>
      </w:r>
      <w:r>
        <w:rPr/>
        <w:t> </w:t>
      </w:r>
      <w:r>
        <w:rPr>
          <w:spacing w:val="-26"/>
        </w:rPr>
        <w:t> </w:t>
      </w:r>
      <w:r>
        <w:rPr>
          <w:w w:val="99"/>
        </w:rPr>
        <w:t>the</w:t>
      </w:r>
      <w:r>
        <w:rPr/>
        <w:t> </w:t>
      </w:r>
      <w:r>
        <w:rPr>
          <w:spacing w:val="-26"/>
        </w:rPr>
        <w:t> </w:t>
      </w:r>
      <w:r>
        <w:rPr>
          <w:spacing w:val="-1"/>
          <w:w w:val="99"/>
        </w:rPr>
        <w:t>ple</w:t>
      </w:r>
      <w:r>
        <w:rPr>
          <w:w w:val="99"/>
        </w:rPr>
        <w:t>asu</w:t>
      </w:r>
      <w:r>
        <w:rPr>
          <w:spacing w:val="1"/>
          <w:w w:val="99"/>
        </w:rPr>
        <w:t>r</w:t>
      </w:r>
      <w:r>
        <w:rPr>
          <w:w w:val="99"/>
        </w:rPr>
        <w:t>e</w:t>
      </w:r>
      <w:r>
        <w:rPr/>
        <w:t> </w:t>
      </w:r>
      <w:r>
        <w:rPr>
          <w:spacing w:val="-26"/>
        </w:rPr>
        <w:t> </w:t>
      </w:r>
      <w:r>
        <w:rPr>
          <w:spacing w:val="-1"/>
          <w:w w:val="99"/>
        </w:rPr>
        <w:t>o</w:t>
      </w:r>
      <w:r>
        <w:rPr>
          <w:w w:val="99"/>
        </w:rPr>
        <w:t>f</w:t>
      </w:r>
      <w:r>
        <w:rPr/>
        <w:t> </w:t>
      </w:r>
      <w:r>
        <w:rPr>
          <w:spacing w:val="-26"/>
        </w:rPr>
        <w:t> </w:t>
      </w:r>
      <w:r>
        <w:rPr>
          <w:w w:val="99"/>
        </w:rPr>
        <w:t>the</w:t>
      </w:r>
      <w:r>
        <w:rPr/>
        <w:t> </w:t>
      </w:r>
      <w:r>
        <w:rPr>
          <w:spacing w:val="-26"/>
        </w:rPr>
        <w:t> </w:t>
      </w:r>
      <w:r>
        <w:rPr>
          <w:spacing w:val="1"/>
          <w:w w:val="40"/>
        </w:rPr>
        <w:t>‗</w:t>
      </w:r>
      <w:r>
        <w:rPr>
          <w:w w:val="99"/>
        </w:rPr>
        <w:t>m</w:t>
      </w:r>
      <w:r>
        <w:rPr>
          <w:spacing w:val="-1"/>
          <w:w w:val="99"/>
        </w:rPr>
        <w:t>os</w:t>
      </w:r>
      <w:r>
        <w:rPr>
          <w:w w:val="99"/>
        </w:rPr>
        <w:t>q</w:t>
      </w:r>
      <w:r>
        <w:rPr>
          <w:spacing w:val="-1"/>
          <w:w w:val="99"/>
        </w:rPr>
        <w:t>u</w:t>
      </w:r>
      <w:r>
        <w:rPr>
          <w:w w:val="99"/>
        </w:rPr>
        <w:t>e</w:t>
      </w:r>
      <w:r>
        <w:rPr/>
        <w:t> </w:t>
      </w:r>
      <w:r>
        <w:rPr>
          <w:spacing w:val="-26"/>
        </w:rPr>
        <w:t> </w:t>
      </w:r>
      <w:r>
        <w:rPr>
          <w:spacing w:val="-1"/>
          <w:w w:val="99"/>
        </w:rPr>
        <w:t>p</w:t>
      </w:r>
      <w:r>
        <w:rPr>
          <w:w w:val="99"/>
        </w:rPr>
        <w:t>e</w:t>
      </w:r>
      <w:r>
        <w:rPr>
          <w:spacing w:val="-1"/>
          <w:w w:val="99"/>
        </w:rPr>
        <w:t>o</w:t>
      </w:r>
      <w:r>
        <w:rPr>
          <w:w w:val="99"/>
        </w:rPr>
        <w:t>p</w:t>
      </w:r>
      <w:r>
        <w:rPr>
          <w:spacing w:val="-1"/>
          <w:w w:val="99"/>
        </w:rPr>
        <w:t>le</w:t>
      </w:r>
      <w:r>
        <w:rPr>
          <w:w w:val="99"/>
        </w:rPr>
        <w:t>‘</w:t>
      </w:r>
      <w:r>
        <w:rPr/>
        <w:t> </w:t>
      </w:r>
      <w:r>
        <w:rPr>
          <w:spacing w:val="-27"/>
        </w:rPr>
        <w:t> </w:t>
      </w:r>
      <w:r>
        <w:rPr>
          <w:w w:val="99"/>
        </w:rPr>
        <w:t>to</w:t>
      </w:r>
      <w:r>
        <w:rPr/>
        <w:t> </w:t>
      </w:r>
      <w:r>
        <w:rPr>
          <w:spacing w:val="-26"/>
        </w:rPr>
        <w:t> </w:t>
      </w:r>
      <w:r>
        <w:rPr>
          <w:spacing w:val="2"/>
          <w:w w:val="99"/>
        </w:rPr>
        <w:t>o</w:t>
      </w:r>
      <w:r>
        <w:rPr>
          <w:spacing w:val="-1"/>
          <w:w w:val="99"/>
        </w:rPr>
        <w:t>p</w:t>
      </w:r>
      <w:r>
        <w:rPr>
          <w:w w:val="99"/>
        </w:rPr>
        <w:t>en</w:t>
      </w:r>
      <w:r>
        <w:rPr/>
        <w:t> </w:t>
      </w:r>
      <w:r>
        <w:rPr>
          <w:spacing w:val="-26"/>
        </w:rPr>
        <w:t> </w:t>
      </w:r>
      <w:r>
        <w:rPr>
          <w:spacing w:val="-1"/>
          <w:w w:val="99"/>
        </w:rPr>
        <w:t>o</w:t>
      </w:r>
      <w:r>
        <w:rPr>
          <w:w w:val="99"/>
        </w:rPr>
        <w:t>r</w:t>
      </w:r>
      <w:r>
        <w:rPr/>
        <w:t> </w:t>
      </w:r>
      <w:r>
        <w:rPr>
          <w:spacing w:val="-26"/>
        </w:rPr>
        <w:t> </w:t>
      </w:r>
      <w:r>
        <w:rPr>
          <w:w w:val="99"/>
        </w:rPr>
        <w:t>close</w:t>
      </w:r>
      <w:r>
        <w:rPr/>
        <w:t> </w:t>
      </w:r>
      <w:r>
        <w:rPr>
          <w:spacing w:val="-26"/>
        </w:rPr>
        <w:t> </w:t>
      </w:r>
      <w:r>
        <w:rPr>
          <w:w w:val="99"/>
        </w:rPr>
        <w:t>the </w:t>
      </w:r>
      <w:r>
        <w:rPr/>
        <w:t>second</w:t>
      </w:r>
      <w:r>
        <w:rPr>
          <w:spacing w:val="-1"/>
        </w:rPr>
        <w:t> </w:t>
      </w:r>
      <w:r>
        <w:rPr/>
        <w:t>door.</w:t>
      </w:r>
    </w:p>
    <w:p>
      <w:pPr>
        <w:spacing w:after="0" w:line="480" w:lineRule="auto"/>
        <w:jc w:val="both"/>
        <w:sectPr>
          <w:pgSz w:w="11910" w:h="16840"/>
          <w:pgMar w:header="721" w:footer="1014" w:top="1300" w:bottom="1200" w:left="940" w:right="1000"/>
        </w:sectPr>
      </w:pPr>
    </w:p>
    <w:p>
      <w:pPr>
        <w:pStyle w:val="ListParagraph"/>
        <w:numPr>
          <w:ilvl w:val="0"/>
          <w:numId w:val="219"/>
        </w:numPr>
        <w:tabs>
          <w:tab w:pos="1221" w:val="left" w:leader="none"/>
        </w:tabs>
        <w:spacing w:line="480" w:lineRule="auto" w:before="124" w:after="0"/>
        <w:ind w:left="500" w:right="436" w:firstLine="0"/>
        <w:jc w:val="both"/>
        <w:rPr>
          <w:sz w:val="25"/>
        </w:rPr>
      </w:pPr>
      <w:r>
        <w:rPr>
          <w:sz w:val="25"/>
        </w:rPr>
        <w:t>The sequence of events emanating from the installation of an idol in 1873, the specific permission to the Hindus to open an additional access on the northern side and the observations in the appeal that the objections to the opening were baseless are significant. The presence and worship of the Hindus at the site was recognised and the appellate order rejected the attempt to cede control over the entry door to the Muslims as this would make the Hindu community dependent on them. The administration in other words recognised and accepted the independent right of the Hindu worshippers over the area as a part of their worship of the</w:t>
      </w:r>
      <w:r>
        <w:rPr>
          <w:spacing w:val="-5"/>
          <w:sz w:val="25"/>
        </w:rPr>
        <w:t> </w:t>
      </w:r>
      <w:r>
        <w:rPr>
          <w:sz w:val="25"/>
        </w:rPr>
        <w:t>idols.</w:t>
      </w:r>
    </w:p>
    <w:p>
      <w:pPr>
        <w:pStyle w:val="BodyText"/>
        <w:rPr>
          <w:sz w:val="28"/>
        </w:rPr>
      </w:pPr>
    </w:p>
    <w:p>
      <w:pPr>
        <w:pStyle w:val="BodyText"/>
        <w:spacing w:before="7"/>
        <w:rPr>
          <w:sz w:val="24"/>
        </w:rPr>
      </w:pPr>
    </w:p>
    <w:p>
      <w:pPr>
        <w:pStyle w:val="ListParagraph"/>
        <w:numPr>
          <w:ilvl w:val="0"/>
          <w:numId w:val="219"/>
        </w:numPr>
        <w:tabs>
          <w:tab w:pos="1221" w:val="left" w:leader="none"/>
        </w:tabs>
        <w:spacing w:line="480" w:lineRule="auto" w:before="0" w:after="0"/>
        <w:ind w:left="500" w:right="434" w:firstLine="0"/>
        <w:jc w:val="both"/>
        <w:rPr>
          <w:sz w:val="25"/>
        </w:rPr>
      </w:pPr>
      <w:r>
        <w:rPr>
          <w:b/>
          <w:sz w:val="25"/>
        </w:rPr>
        <w:t>Mohd Asgha</w:t>
      </w:r>
      <w:r>
        <w:rPr>
          <w:sz w:val="25"/>
        </w:rPr>
        <w:t>r v </w:t>
      </w:r>
      <w:r>
        <w:rPr>
          <w:b/>
          <w:sz w:val="25"/>
        </w:rPr>
        <w:t>Musammat Humaira Bibi and Sunder Tiwari </w:t>
      </w:r>
      <w:r>
        <w:rPr>
          <w:sz w:val="25"/>
        </w:rPr>
        <w:t>(1878): On 3 June 1878, a decree was passed in favour of Mohammed Asghar in claim petition no 2775 of 1877 in the matter of </w:t>
      </w:r>
      <w:r>
        <w:rPr>
          <w:b/>
          <w:sz w:val="25"/>
        </w:rPr>
        <w:t>Mohd Asghar </w:t>
      </w:r>
      <w:r>
        <w:rPr>
          <w:sz w:val="25"/>
        </w:rPr>
        <w:t>v </w:t>
      </w:r>
      <w:r>
        <w:rPr>
          <w:b/>
          <w:sz w:val="25"/>
        </w:rPr>
        <w:t>Musammat Humaira Bibi </w:t>
      </w:r>
      <w:r>
        <w:rPr>
          <w:sz w:val="25"/>
        </w:rPr>
        <w:t>and Sunder Tiwari and Bhola Tiwari and Kanshi Ram, claiming 3/8</w:t>
      </w:r>
      <w:r>
        <w:rPr>
          <w:sz w:val="25"/>
          <w:vertAlign w:val="superscript"/>
        </w:rPr>
        <w:t>th</w:t>
      </w:r>
      <w:r>
        <w:rPr>
          <w:sz w:val="25"/>
          <w:vertAlign w:val="baseline"/>
        </w:rPr>
        <w:t> part of Zamindari rights of Mauza Bahoranpur Pargana Haveli Oudh. The petition was allowed in favour of Mohammad Asghar, the plaintiff who had prayed for evacuation and cancellation of a sale deed dated 10 August 1876 for part of Mauza Zamindari</w:t>
      </w:r>
      <w:r>
        <w:rPr>
          <w:spacing w:val="-3"/>
          <w:sz w:val="25"/>
          <w:vertAlign w:val="baseline"/>
        </w:rPr>
        <w:t> </w:t>
      </w:r>
      <w:r>
        <w:rPr>
          <w:sz w:val="25"/>
          <w:vertAlign w:val="baseline"/>
        </w:rPr>
        <w:t>Bahoranpur.</w:t>
      </w:r>
    </w:p>
    <w:p>
      <w:pPr>
        <w:pStyle w:val="BodyText"/>
        <w:rPr>
          <w:sz w:val="39"/>
        </w:rPr>
      </w:pPr>
    </w:p>
    <w:p>
      <w:pPr>
        <w:pStyle w:val="ListParagraph"/>
        <w:numPr>
          <w:ilvl w:val="0"/>
          <w:numId w:val="219"/>
        </w:numPr>
        <w:tabs>
          <w:tab w:pos="1221" w:val="left" w:leader="none"/>
        </w:tabs>
        <w:spacing w:line="480" w:lineRule="auto" w:before="0" w:after="0"/>
        <w:ind w:left="500" w:right="436" w:firstLine="0"/>
        <w:jc w:val="both"/>
        <w:rPr>
          <w:sz w:val="25"/>
        </w:rPr>
      </w:pPr>
      <w:r>
        <w:rPr>
          <w:b/>
          <w:sz w:val="25"/>
        </w:rPr>
        <w:t>Mohd Asghar </w:t>
      </w:r>
      <w:r>
        <w:rPr>
          <w:sz w:val="25"/>
        </w:rPr>
        <w:t>v </w:t>
      </w:r>
      <w:r>
        <w:rPr>
          <w:b/>
          <w:sz w:val="25"/>
        </w:rPr>
        <w:t>Raghubir Das Mahant and Nirmohi Akhara: </w:t>
      </w:r>
      <w:r>
        <w:rPr>
          <w:sz w:val="25"/>
        </w:rPr>
        <w:t>On 8 November 1882, Suit no 374/943 of 1882 was filed by Mohd Asghar (who was the Mutawalli of Babri Masjid) against Raghubar Das claiming rent for the use of the Chabutra and Takhat situated near the door of Babri Masjid. In this plaint the Chabutra has been described to have been situated near the door of Babri</w:t>
      </w:r>
      <w:r>
        <w:rPr>
          <w:spacing w:val="-21"/>
          <w:sz w:val="25"/>
        </w:rPr>
        <w:t> </w:t>
      </w:r>
      <w:r>
        <w:rPr>
          <w:sz w:val="25"/>
        </w:rPr>
        <w:t>Masjid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5"/>
        <w:jc w:val="both"/>
      </w:pPr>
      <w:r>
        <w:rPr/>
        <w:t>or before the masjid. By an order dated 18 June 1883, the Sub-Judge Faizabad dismissed this suit. The necessary consequence was that Raghubar Das was not required to pay compensation to the Mutawalli for occupation.</w:t>
      </w:r>
    </w:p>
    <w:p>
      <w:pPr>
        <w:pStyle w:val="BodyText"/>
        <w:spacing w:before="7"/>
        <w:rPr>
          <w:sz w:val="38"/>
        </w:rPr>
      </w:pPr>
    </w:p>
    <w:p>
      <w:pPr>
        <w:pStyle w:val="ListParagraph"/>
        <w:numPr>
          <w:ilvl w:val="0"/>
          <w:numId w:val="219"/>
        </w:numPr>
        <w:tabs>
          <w:tab w:pos="1221" w:val="left" w:leader="none"/>
        </w:tabs>
        <w:spacing w:line="480" w:lineRule="auto" w:before="0" w:after="0"/>
        <w:ind w:left="500" w:right="438" w:firstLine="0"/>
        <w:jc w:val="both"/>
        <w:rPr>
          <w:sz w:val="25"/>
        </w:rPr>
      </w:pPr>
      <w:r>
        <w:rPr>
          <w:b/>
          <w:sz w:val="25"/>
        </w:rPr>
        <w:t>Mohd Asghar </w:t>
      </w:r>
      <w:r>
        <w:rPr>
          <w:sz w:val="25"/>
        </w:rPr>
        <w:t>v </w:t>
      </w:r>
      <w:r>
        <w:rPr>
          <w:b/>
          <w:sz w:val="25"/>
        </w:rPr>
        <w:t>Mahant Raghubar Das</w:t>
      </w:r>
      <w:r>
        <w:rPr>
          <w:sz w:val="25"/>
          <w:vertAlign w:val="superscript"/>
        </w:rPr>
        <w:t>359</w:t>
      </w:r>
      <w:r>
        <w:rPr>
          <w:sz w:val="25"/>
          <w:vertAlign w:val="baseline"/>
        </w:rPr>
        <w:t>: On 2 November 1883, Sayyed Mohd Asghar filed case number 19435 before the Assistant Commissioner, stating that he is entitled to get the wall of the mosque white-washed but is being obstructed by Raghubar Das. The following points in the application are important:</w:t>
      </w:r>
    </w:p>
    <w:p>
      <w:pPr>
        <w:pStyle w:val="ListParagraph"/>
        <w:numPr>
          <w:ilvl w:val="0"/>
          <w:numId w:val="227"/>
        </w:numPr>
        <w:tabs>
          <w:tab w:pos="1221" w:val="left" w:leader="none"/>
        </w:tabs>
        <w:spacing w:line="480" w:lineRule="auto" w:before="165" w:after="0"/>
        <w:ind w:left="1220" w:right="434" w:hanging="720"/>
        <w:jc w:val="both"/>
        <w:rPr>
          <w:sz w:val="25"/>
        </w:rPr>
      </w:pPr>
      <w:r>
        <w:rPr>
          <w:sz w:val="25"/>
        </w:rPr>
        <w:t>Plaintiff is unable to explain the complaints of defendant that the birth- place Chabutara within the Ahata of the Masjid belongs to the defendant. Thus the defendant has no relation with the outer wall of Ahata, kathera and Phatak and all these relate to the</w:t>
      </w:r>
      <w:r>
        <w:rPr>
          <w:spacing w:val="-7"/>
          <w:sz w:val="25"/>
        </w:rPr>
        <w:t> </w:t>
      </w:r>
      <w:r>
        <w:rPr>
          <w:sz w:val="25"/>
        </w:rPr>
        <w:t>Masjid;</w:t>
      </w:r>
    </w:p>
    <w:p>
      <w:pPr>
        <w:pStyle w:val="ListParagraph"/>
        <w:numPr>
          <w:ilvl w:val="0"/>
          <w:numId w:val="227"/>
        </w:numPr>
        <w:tabs>
          <w:tab w:pos="1220" w:val="left" w:leader="none"/>
          <w:tab w:pos="1221" w:val="left" w:leader="none"/>
        </w:tabs>
        <w:spacing w:line="287" w:lineRule="exact" w:before="0" w:after="0"/>
        <w:ind w:left="1220" w:right="0" w:hanging="721"/>
        <w:jc w:val="left"/>
        <w:rPr>
          <w:sz w:val="25"/>
        </w:rPr>
      </w:pPr>
      <w:r>
        <w:rPr>
          <w:sz w:val="25"/>
        </w:rPr>
        <w:t>Allah is written on the outer</w:t>
      </w:r>
      <w:r>
        <w:rPr>
          <w:spacing w:val="-4"/>
          <w:sz w:val="25"/>
        </w:rPr>
        <w:t> </w:t>
      </w:r>
      <w:r>
        <w:rPr>
          <w:sz w:val="25"/>
        </w:rPr>
        <w:t>wall;</w:t>
      </w:r>
    </w:p>
    <w:p>
      <w:pPr>
        <w:pStyle w:val="BodyText"/>
        <w:spacing w:before="10"/>
        <w:rPr>
          <w:sz w:val="24"/>
        </w:rPr>
      </w:pPr>
    </w:p>
    <w:p>
      <w:pPr>
        <w:pStyle w:val="ListParagraph"/>
        <w:numPr>
          <w:ilvl w:val="0"/>
          <w:numId w:val="227"/>
        </w:numPr>
        <w:tabs>
          <w:tab w:pos="1220" w:val="left" w:leader="none"/>
          <w:tab w:pos="1221" w:val="left" w:leader="none"/>
        </w:tabs>
        <w:spacing w:line="480" w:lineRule="auto" w:before="0" w:after="0"/>
        <w:ind w:left="1220" w:right="446" w:hanging="720"/>
        <w:jc w:val="left"/>
        <w:rPr>
          <w:sz w:val="25"/>
        </w:rPr>
      </w:pPr>
      <w:r>
        <w:rPr>
          <w:sz w:val="25"/>
        </w:rPr>
        <w:t>Whenever any need for repairing/renovation/white washing of the mosque has arisen, only the applicant has got it</w:t>
      </w:r>
      <w:r>
        <w:rPr>
          <w:spacing w:val="-9"/>
          <w:sz w:val="25"/>
        </w:rPr>
        <w:t> </w:t>
      </w:r>
      <w:r>
        <w:rPr>
          <w:sz w:val="25"/>
        </w:rPr>
        <w:t>done;</w:t>
      </w:r>
    </w:p>
    <w:p>
      <w:pPr>
        <w:pStyle w:val="ListParagraph"/>
        <w:numPr>
          <w:ilvl w:val="0"/>
          <w:numId w:val="227"/>
        </w:numPr>
        <w:tabs>
          <w:tab w:pos="1220" w:val="left" w:leader="none"/>
          <w:tab w:pos="1221" w:val="left" w:leader="none"/>
        </w:tabs>
        <w:spacing w:line="480" w:lineRule="auto" w:before="2" w:after="0"/>
        <w:ind w:left="1220" w:right="444" w:hanging="720"/>
        <w:jc w:val="left"/>
        <w:rPr>
          <w:sz w:val="25"/>
        </w:rPr>
      </w:pPr>
      <w:r>
        <w:rPr>
          <w:sz w:val="25"/>
        </w:rPr>
        <w:t>The applicant/plaintiff has purchased the material, but the defendant came there for doing the work and therefore a dispute has arisen;</w:t>
      </w:r>
      <w:r>
        <w:rPr>
          <w:spacing w:val="-11"/>
          <w:sz w:val="25"/>
        </w:rPr>
        <w:t> </w:t>
      </w:r>
      <w:r>
        <w:rPr>
          <w:sz w:val="25"/>
        </w:rPr>
        <w:t>and</w:t>
      </w:r>
    </w:p>
    <w:p>
      <w:pPr>
        <w:pStyle w:val="ListParagraph"/>
        <w:numPr>
          <w:ilvl w:val="0"/>
          <w:numId w:val="227"/>
        </w:numPr>
        <w:tabs>
          <w:tab w:pos="1220" w:val="left" w:leader="none"/>
          <w:tab w:pos="1221" w:val="left" w:leader="none"/>
        </w:tabs>
        <w:spacing w:line="480" w:lineRule="auto" w:before="0" w:after="0"/>
        <w:ind w:left="1220" w:right="450" w:hanging="720"/>
        <w:jc w:val="left"/>
        <w:rPr>
          <w:sz w:val="25"/>
        </w:rPr>
      </w:pPr>
      <w:r>
        <w:rPr>
          <w:sz w:val="25"/>
        </w:rPr>
        <w:t>The defendant has no right whatsoever, except over the Chabutra and Sita Rasoi.</w:t>
      </w:r>
    </w:p>
    <w:p>
      <w:pPr>
        <w:pStyle w:val="ListParagraph"/>
        <w:numPr>
          <w:ilvl w:val="0"/>
          <w:numId w:val="227"/>
        </w:numPr>
        <w:tabs>
          <w:tab w:pos="1220" w:val="left" w:leader="none"/>
          <w:tab w:pos="1221" w:val="left" w:leader="none"/>
        </w:tabs>
        <w:spacing w:line="480" w:lineRule="auto" w:before="0" w:after="0"/>
        <w:ind w:left="1220" w:right="443" w:hanging="720"/>
        <w:jc w:val="left"/>
        <w:rPr>
          <w:sz w:val="25"/>
        </w:rPr>
      </w:pPr>
      <w:r>
        <w:rPr>
          <w:sz w:val="25"/>
        </w:rPr>
        <w:t>On 12 January 1884, an order was passed to maintain status quo and to leave the outer door</w:t>
      </w:r>
      <w:r>
        <w:rPr>
          <w:spacing w:val="-1"/>
          <w:sz w:val="25"/>
        </w:rPr>
        <w:t> </w:t>
      </w:r>
      <w:r>
        <w:rPr>
          <w:sz w:val="25"/>
        </w:rPr>
        <w:t>open;</w:t>
      </w:r>
    </w:p>
    <w:p>
      <w:pPr>
        <w:pStyle w:val="BodyText"/>
        <w:rPr>
          <w:sz w:val="20"/>
        </w:rPr>
      </w:pPr>
    </w:p>
    <w:p>
      <w:pPr>
        <w:pStyle w:val="BodyText"/>
        <w:rPr>
          <w:sz w:val="20"/>
        </w:rPr>
      </w:pPr>
    </w:p>
    <w:p>
      <w:pPr>
        <w:pStyle w:val="BodyText"/>
        <w:rPr>
          <w:sz w:val="20"/>
        </w:rPr>
      </w:pPr>
    </w:p>
    <w:p>
      <w:pPr>
        <w:pStyle w:val="BodyText"/>
        <w:spacing w:before="4"/>
        <w:rPr>
          <w:sz w:val="19"/>
        </w:rPr>
      </w:pPr>
      <w:r>
        <w:rPr/>
        <w:pict>
          <v:rect style="position:absolute;margin-left:72.024002pt;margin-top:13.119648pt;width:144.020pt;height:.599980pt;mso-position-horizontal-relative:page;mso-position-vertical-relative:paragraph;z-index:-1562060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359</w:t>
      </w:r>
      <w:r>
        <w:rPr>
          <w:sz w:val="18"/>
          <w:vertAlign w:val="baseline"/>
        </w:rPr>
        <w:t> Case No. 19435</w:t>
      </w:r>
    </w:p>
    <w:p>
      <w:pPr>
        <w:spacing w:after="0"/>
        <w:jc w:val="left"/>
        <w:rPr>
          <w:sz w:val="18"/>
        </w:rPr>
        <w:sectPr>
          <w:pgSz w:w="11910" w:h="16840"/>
          <w:pgMar w:header="721" w:footer="1014" w:top="1300" w:bottom="1200" w:left="940" w:right="1000"/>
        </w:sectPr>
      </w:pPr>
    </w:p>
    <w:p>
      <w:pPr>
        <w:pStyle w:val="ListParagraph"/>
        <w:numPr>
          <w:ilvl w:val="0"/>
          <w:numId w:val="227"/>
        </w:numPr>
        <w:tabs>
          <w:tab w:pos="1221" w:val="left" w:leader="none"/>
        </w:tabs>
        <w:spacing w:line="480" w:lineRule="auto" w:before="124" w:after="0"/>
        <w:ind w:left="1220" w:right="445" w:hanging="720"/>
        <w:jc w:val="both"/>
        <w:rPr>
          <w:sz w:val="25"/>
        </w:rPr>
      </w:pPr>
      <w:r>
        <w:rPr>
          <w:sz w:val="25"/>
        </w:rPr>
        <w:t>On 22 January 1884, the Assistant Commissioner, Faizabad passed an order.</w:t>
      </w:r>
    </w:p>
    <w:p>
      <w:pPr>
        <w:pStyle w:val="ListParagraph"/>
        <w:numPr>
          <w:ilvl w:val="1"/>
          <w:numId w:val="227"/>
        </w:numPr>
        <w:tabs>
          <w:tab w:pos="1941" w:val="left" w:leader="none"/>
        </w:tabs>
        <w:spacing w:line="480" w:lineRule="auto" w:before="0" w:after="0"/>
        <w:ind w:left="1940" w:right="441" w:hanging="720"/>
        <w:jc w:val="both"/>
        <w:rPr>
          <w:sz w:val="25"/>
        </w:rPr>
      </w:pPr>
      <w:r>
        <w:rPr>
          <w:sz w:val="25"/>
        </w:rPr>
        <w:t>Restricting Raghubar Das from carrying out repairs in the inner as well as the outer part of the compound;</w:t>
      </w:r>
      <w:r>
        <w:rPr>
          <w:spacing w:val="-6"/>
          <w:sz w:val="25"/>
        </w:rPr>
        <w:t> </w:t>
      </w:r>
      <w:r>
        <w:rPr>
          <w:sz w:val="25"/>
        </w:rPr>
        <w:t>and</w:t>
      </w:r>
    </w:p>
    <w:p>
      <w:pPr>
        <w:pStyle w:val="ListParagraph"/>
        <w:numPr>
          <w:ilvl w:val="1"/>
          <w:numId w:val="227"/>
        </w:numPr>
        <w:tabs>
          <w:tab w:pos="1941" w:val="left" w:leader="none"/>
        </w:tabs>
        <w:spacing w:line="480" w:lineRule="auto" w:before="0" w:after="0"/>
        <w:ind w:left="1940" w:right="444" w:hanging="720"/>
        <w:jc w:val="both"/>
        <w:rPr>
          <w:sz w:val="25"/>
        </w:rPr>
      </w:pPr>
      <w:r>
        <w:rPr>
          <w:sz w:val="25"/>
        </w:rPr>
        <w:t>Mohd Asghar was advised not to lock the outer door of the mosque as it was necessary that old existing orders be observed and complied with and there should be no interference in</w:t>
      </w:r>
      <w:r>
        <w:rPr>
          <w:spacing w:val="-9"/>
          <w:sz w:val="25"/>
        </w:rPr>
        <w:t> </w:t>
      </w:r>
      <w:r>
        <w:rPr>
          <w:sz w:val="25"/>
        </w:rPr>
        <w:t>it.</w:t>
      </w:r>
    </w:p>
    <w:p>
      <w:pPr>
        <w:pStyle w:val="ListParagraph"/>
        <w:numPr>
          <w:ilvl w:val="0"/>
          <w:numId w:val="227"/>
        </w:numPr>
        <w:tabs>
          <w:tab w:pos="1221" w:val="left" w:leader="none"/>
        </w:tabs>
        <w:spacing w:line="480" w:lineRule="auto" w:before="0" w:after="0"/>
        <w:ind w:left="1220" w:right="442" w:hanging="720"/>
        <w:jc w:val="both"/>
        <w:rPr>
          <w:sz w:val="25"/>
        </w:rPr>
      </w:pPr>
      <w:r>
        <w:rPr>
          <w:sz w:val="25"/>
        </w:rPr>
        <w:t>Subsequently on 27 June 1884, Raghubar Das, filed an application in requesting the Assistant Commissioner, Faizabad to make a spot inspection of the premises complaining that Muslims were violating the order of restraint.</w:t>
      </w:r>
    </w:p>
    <w:p>
      <w:pPr>
        <w:pStyle w:val="BodyText"/>
        <w:rPr>
          <w:sz w:val="28"/>
        </w:rPr>
      </w:pPr>
    </w:p>
    <w:p>
      <w:pPr>
        <w:pStyle w:val="Heading5"/>
        <w:spacing w:before="163"/>
        <w:ind w:left="500" w:firstLine="0"/>
      </w:pPr>
      <w:r>
        <w:rPr/>
        <w:t>Impact of Suit of 1885</w:t>
      </w:r>
    </w:p>
    <w:p>
      <w:pPr>
        <w:pStyle w:val="BodyText"/>
        <w:rPr>
          <w:b/>
          <w:sz w:val="28"/>
        </w:rPr>
      </w:pPr>
    </w:p>
    <w:p>
      <w:pPr>
        <w:pStyle w:val="BodyText"/>
        <w:spacing w:before="4"/>
        <w:rPr>
          <w:b/>
          <w:sz w:val="22"/>
        </w:rPr>
      </w:pPr>
    </w:p>
    <w:p>
      <w:pPr>
        <w:pStyle w:val="ListParagraph"/>
        <w:numPr>
          <w:ilvl w:val="0"/>
          <w:numId w:val="219"/>
        </w:numPr>
        <w:tabs>
          <w:tab w:pos="1221" w:val="left" w:leader="none"/>
        </w:tabs>
        <w:spacing w:line="480" w:lineRule="auto" w:before="0" w:after="0"/>
        <w:ind w:left="500" w:right="438" w:firstLine="0"/>
        <w:jc w:val="both"/>
        <w:rPr>
          <w:sz w:val="25"/>
        </w:rPr>
      </w:pPr>
      <w:r>
        <w:rPr>
          <w:sz w:val="25"/>
        </w:rPr>
        <w:t>Mahant Raghubar Das instituted the Suit of 1885 against the Secretary of State for India seeking permission to construct a temple at the Chabutra admeasuring 17 x 21 feet where the </w:t>
      </w:r>
      <w:r>
        <w:rPr>
          <w:i/>
          <w:sz w:val="25"/>
        </w:rPr>
        <w:t>Charan Paduka </w:t>
      </w:r>
      <w:r>
        <w:rPr>
          <w:sz w:val="25"/>
        </w:rPr>
        <w:t>were affixed and worshipped. In the section on </w:t>
      </w:r>
      <w:r>
        <w:rPr>
          <w:i/>
          <w:sz w:val="25"/>
        </w:rPr>
        <w:t>res judicata</w:t>
      </w:r>
      <w:r>
        <w:rPr>
          <w:sz w:val="25"/>
        </w:rPr>
        <w:t>, the nature of the suit has been analysed and a finding has been arrived at that the decision does not attract the provisions of Section 11 of the CPC</w:t>
      </w:r>
      <w:r>
        <w:rPr>
          <w:spacing w:val="-3"/>
          <w:sz w:val="25"/>
        </w:rPr>
        <w:t> </w:t>
      </w:r>
      <w:r>
        <w:rPr>
          <w:sz w:val="25"/>
        </w:rPr>
        <w:t>1908.</w:t>
      </w:r>
    </w:p>
    <w:p>
      <w:pPr>
        <w:pStyle w:val="BodyText"/>
        <w:spacing w:before="9"/>
        <w:rPr>
          <w:sz w:val="38"/>
        </w:rPr>
      </w:pPr>
    </w:p>
    <w:p>
      <w:pPr>
        <w:pStyle w:val="ListParagraph"/>
        <w:numPr>
          <w:ilvl w:val="0"/>
          <w:numId w:val="219"/>
        </w:numPr>
        <w:tabs>
          <w:tab w:pos="1221" w:val="left" w:leader="none"/>
        </w:tabs>
        <w:spacing w:line="240" w:lineRule="auto" w:before="0" w:after="0"/>
        <w:ind w:left="1220" w:right="0" w:hanging="721"/>
        <w:jc w:val="both"/>
        <w:rPr>
          <w:sz w:val="25"/>
        </w:rPr>
      </w:pPr>
      <w:r>
        <w:rPr>
          <w:sz w:val="25"/>
        </w:rPr>
        <w:t>However, certain salient aspects of the proceedings may be</w:t>
      </w:r>
      <w:r>
        <w:rPr>
          <w:spacing w:val="-8"/>
          <w:sz w:val="25"/>
        </w:rPr>
        <w:t> </w:t>
      </w:r>
      <w:r>
        <w:rPr>
          <w:sz w:val="25"/>
        </w:rPr>
        <w:t>noted:</w:t>
      </w:r>
    </w:p>
    <w:p>
      <w:pPr>
        <w:pStyle w:val="BodyText"/>
        <w:spacing w:before="1"/>
        <w:rPr>
          <w:sz w:val="39"/>
        </w:rPr>
      </w:pPr>
    </w:p>
    <w:p>
      <w:pPr>
        <w:pStyle w:val="ListParagraph"/>
        <w:numPr>
          <w:ilvl w:val="0"/>
          <w:numId w:val="228"/>
        </w:numPr>
        <w:tabs>
          <w:tab w:pos="1221" w:val="left" w:leader="none"/>
        </w:tabs>
        <w:spacing w:line="480" w:lineRule="auto" w:before="0" w:after="0"/>
        <w:ind w:left="1220" w:right="445" w:hanging="720"/>
        <w:jc w:val="both"/>
        <w:rPr>
          <w:sz w:val="25"/>
        </w:rPr>
      </w:pPr>
      <w:r>
        <w:rPr>
          <w:w w:val="99"/>
          <w:sz w:val="25"/>
        </w:rPr>
        <w:t>T</w:t>
      </w:r>
      <w:r>
        <w:rPr>
          <w:spacing w:val="-1"/>
          <w:w w:val="99"/>
          <w:sz w:val="25"/>
        </w:rPr>
        <w:t>h</w:t>
      </w:r>
      <w:r>
        <w:rPr>
          <w:w w:val="99"/>
          <w:sz w:val="25"/>
        </w:rPr>
        <w:t>e</w:t>
      </w:r>
      <w:r>
        <w:rPr>
          <w:spacing w:val="14"/>
          <w:sz w:val="25"/>
        </w:rPr>
        <w:t> </w:t>
      </w:r>
      <w:r>
        <w:rPr>
          <w:w w:val="99"/>
          <w:sz w:val="25"/>
        </w:rPr>
        <w:t>cause</w:t>
      </w:r>
      <w:r>
        <w:rPr>
          <w:spacing w:val="14"/>
          <w:sz w:val="25"/>
        </w:rPr>
        <w:t> </w:t>
      </w:r>
      <w:r>
        <w:rPr>
          <w:w w:val="99"/>
          <w:sz w:val="25"/>
        </w:rPr>
        <w:t>title</w:t>
      </w:r>
      <w:r>
        <w:rPr>
          <w:spacing w:val="12"/>
          <w:sz w:val="25"/>
        </w:rPr>
        <w:t> </w:t>
      </w:r>
      <w:r>
        <w:rPr>
          <w:w w:val="99"/>
          <w:sz w:val="25"/>
        </w:rPr>
        <w:t>m</w:t>
      </w:r>
      <w:r>
        <w:rPr>
          <w:spacing w:val="-1"/>
          <w:w w:val="99"/>
          <w:sz w:val="25"/>
        </w:rPr>
        <w:t>e</w:t>
      </w:r>
      <w:r>
        <w:rPr>
          <w:w w:val="99"/>
          <w:sz w:val="25"/>
        </w:rPr>
        <w:t>nt</w:t>
      </w:r>
      <w:r>
        <w:rPr>
          <w:spacing w:val="-3"/>
          <w:w w:val="99"/>
          <w:sz w:val="25"/>
        </w:rPr>
        <w:t>i</w:t>
      </w:r>
      <w:r>
        <w:rPr>
          <w:spacing w:val="-1"/>
          <w:w w:val="99"/>
          <w:sz w:val="25"/>
        </w:rPr>
        <w:t>o</w:t>
      </w:r>
      <w:r>
        <w:rPr>
          <w:w w:val="99"/>
          <w:sz w:val="25"/>
        </w:rPr>
        <w:t>n</w:t>
      </w:r>
      <w:r>
        <w:rPr>
          <w:spacing w:val="-1"/>
          <w:w w:val="99"/>
          <w:sz w:val="25"/>
        </w:rPr>
        <w:t>e</w:t>
      </w:r>
      <w:r>
        <w:rPr>
          <w:w w:val="99"/>
          <w:sz w:val="25"/>
        </w:rPr>
        <w:t>d</w:t>
      </w:r>
      <w:r>
        <w:rPr>
          <w:spacing w:val="14"/>
          <w:sz w:val="25"/>
        </w:rPr>
        <w:t> </w:t>
      </w:r>
      <w:r>
        <w:rPr>
          <w:w w:val="99"/>
          <w:sz w:val="25"/>
        </w:rPr>
        <w:t>the</w:t>
      </w:r>
      <w:r>
        <w:rPr>
          <w:spacing w:val="15"/>
          <w:sz w:val="25"/>
        </w:rPr>
        <w:t> </w:t>
      </w:r>
      <w:r>
        <w:rPr>
          <w:spacing w:val="-1"/>
          <w:w w:val="99"/>
          <w:sz w:val="25"/>
        </w:rPr>
        <w:t>n</w:t>
      </w:r>
      <w:r>
        <w:rPr>
          <w:spacing w:val="-2"/>
          <w:w w:val="99"/>
          <w:sz w:val="25"/>
        </w:rPr>
        <w:t>a</w:t>
      </w:r>
      <w:r>
        <w:rPr>
          <w:w w:val="99"/>
          <w:sz w:val="25"/>
        </w:rPr>
        <w:t>me</w:t>
      </w:r>
      <w:r>
        <w:rPr>
          <w:spacing w:val="14"/>
          <w:sz w:val="25"/>
        </w:rPr>
        <w:t> </w:t>
      </w:r>
      <w:r>
        <w:rPr>
          <w:spacing w:val="-1"/>
          <w:w w:val="99"/>
          <w:sz w:val="25"/>
        </w:rPr>
        <w:t>o</w:t>
      </w:r>
      <w:r>
        <w:rPr>
          <w:w w:val="99"/>
          <w:sz w:val="25"/>
        </w:rPr>
        <w:t>f</w:t>
      </w:r>
      <w:r>
        <w:rPr>
          <w:spacing w:val="12"/>
          <w:sz w:val="25"/>
        </w:rPr>
        <w:t> </w:t>
      </w:r>
      <w:r>
        <w:rPr>
          <w:spacing w:val="-4"/>
          <w:w w:val="99"/>
          <w:sz w:val="25"/>
        </w:rPr>
        <w:t>M</w:t>
      </w:r>
      <w:r>
        <w:rPr>
          <w:spacing w:val="2"/>
          <w:w w:val="99"/>
          <w:sz w:val="25"/>
        </w:rPr>
        <w:t>a</w:t>
      </w:r>
      <w:r>
        <w:rPr>
          <w:spacing w:val="-1"/>
          <w:w w:val="99"/>
          <w:sz w:val="25"/>
        </w:rPr>
        <w:t>h</w:t>
      </w:r>
      <w:r>
        <w:rPr>
          <w:w w:val="99"/>
          <w:sz w:val="25"/>
        </w:rPr>
        <w:t>a</w:t>
      </w:r>
      <w:r>
        <w:rPr>
          <w:spacing w:val="-1"/>
          <w:w w:val="99"/>
          <w:sz w:val="25"/>
        </w:rPr>
        <w:t>n</w:t>
      </w:r>
      <w:r>
        <w:rPr>
          <w:w w:val="99"/>
          <w:sz w:val="25"/>
        </w:rPr>
        <w:t>t</w:t>
      </w:r>
      <w:r>
        <w:rPr>
          <w:spacing w:val="14"/>
          <w:sz w:val="25"/>
        </w:rPr>
        <w:t> </w:t>
      </w:r>
      <w:r>
        <w:rPr>
          <w:spacing w:val="-1"/>
          <w:w w:val="99"/>
          <w:sz w:val="25"/>
        </w:rPr>
        <w:t>Rag</w:t>
      </w:r>
      <w:r>
        <w:rPr>
          <w:w w:val="99"/>
          <w:sz w:val="25"/>
        </w:rPr>
        <w:t>h</w:t>
      </w:r>
      <w:r>
        <w:rPr>
          <w:spacing w:val="-1"/>
          <w:w w:val="99"/>
          <w:sz w:val="25"/>
        </w:rPr>
        <w:t>u</w:t>
      </w:r>
      <w:r>
        <w:rPr>
          <w:w w:val="99"/>
          <w:sz w:val="25"/>
        </w:rPr>
        <w:t>b</w:t>
      </w:r>
      <w:r>
        <w:rPr>
          <w:spacing w:val="-1"/>
          <w:w w:val="99"/>
          <w:sz w:val="25"/>
        </w:rPr>
        <w:t>a</w:t>
      </w:r>
      <w:r>
        <w:rPr>
          <w:w w:val="99"/>
          <w:sz w:val="25"/>
        </w:rPr>
        <w:t>r</w:t>
      </w:r>
      <w:r>
        <w:rPr>
          <w:spacing w:val="13"/>
          <w:sz w:val="25"/>
        </w:rPr>
        <w:t> </w:t>
      </w:r>
      <w:r>
        <w:rPr>
          <w:spacing w:val="-1"/>
          <w:w w:val="99"/>
          <w:sz w:val="25"/>
        </w:rPr>
        <w:t>Da</w:t>
      </w:r>
      <w:r>
        <w:rPr>
          <w:w w:val="99"/>
          <w:sz w:val="25"/>
        </w:rPr>
        <w:t>s</w:t>
      </w:r>
      <w:r>
        <w:rPr>
          <w:spacing w:val="14"/>
          <w:sz w:val="25"/>
        </w:rPr>
        <w:t> </w:t>
      </w:r>
      <w:r>
        <w:rPr>
          <w:spacing w:val="-3"/>
          <w:w w:val="99"/>
          <w:sz w:val="25"/>
        </w:rPr>
        <w:t>a</w:t>
      </w:r>
      <w:r>
        <w:rPr>
          <w:w w:val="99"/>
          <w:sz w:val="25"/>
        </w:rPr>
        <w:t>s</w:t>
      </w:r>
      <w:r>
        <w:rPr>
          <w:spacing w:val="14"/>
          <w:sz w:val="25"/>
        </w:rPr>
        <w:t> </w:t>
      </w:r>
      <w:r>
        <w:rPr>
          <w:w w:val="33"/>
          <w:sz w:val="25"/>
        </w:rPr>
        <w:t>―</w:t>
      </w:r>
      <w:r>
        <w:rPr>
          <w:spacing w:val="-4"/>
          <w:w w:val="99"/>
          <w:sz w:val="25"/>
        </w:rPr>
        <w:t>M</w:t>
      </w:r>
      <w:r>
        <w:rPr>
          <w:spacing w:val="-1"/>
          <w:w w:val="99"/>
          <w:sz w:val="25"/>
        </w:rPr>
        <w:t>a</w:t>
      </w:r>
      <w:r>
        <w:rPr>
          <w:w w:val="99"/>
          <w:sz w:val="25"/>
        </w:rPr>
        <w:t>h</w:t>
      </w:r>
      <w:r>
        <w:rPr>
          <w:spacing w:val="-1"/>
          <w:w w:val="99"/>
          <w:sz w:val="25"/>
        </w:rPr>
        <w:t>a</w:t>
      </w:r>
      <w:r>
        <w:rPr>
          <w:w w:val="99"/>
          <w:sz w:val="25"/>
        </w:rPr>
        <w:t>nt </w:t>
      </w:r>
      <w:r>
        <w:rPr>
          <w:sz w:val="25"/>
        </w:rPr>
        <w:t>Janmasthan Ayodhya‖. Conspicuous by its absence was any reference to Nirmohi Akhara in the</w:t>
      </w:r>
      <w:r>
        <w:rPr>
          <w:spacing w:val="-4"/>
          <w:sz w:val="25"/>
        </w:rPr>
        <w:t> </w:t>
      </w:r>
      <w:r>
        <w:rPr>
          <w:sz w:val="25"/>
        </w:rPr>
        <w:t>plaint;</w:t>
      </w:r>
    </w:p>
    <w:p>
      <w:pPr>
        <w:spacing w:after="0" w:line="480" w:lineRule="auto"/>
        <w:jc w:val="both"/>
        <w:rPr>
          <w:sz w:val="25"/>
        </w:rPr>
        <w:sectPr>
          <w:pgSz w:w="11910" w:h="16840"/>
          <w:pgMar w:header="721" w:footer="1014" w:top="1300" w:bottom="1200" w:left="940" w:right="1000"/>
        </w:sectPr>
      </w:pPr>
    </w:p>
    <w:p>
      <w:pPr>
        <w:pStyle w:val="ListParagraph"/>
        <w:numPr>
          <w:ilvl w:val="0"/>
          <w:numId w:val="228"/>
        </w:numPr>
        <w:tabs>
          <w:tab w:pos="1220" w:val="left" w:leader="none"/>
          <w:tab w:pos="1221" w:val="left" w:leader="none"/>
        </w:tabs>
        <w:spacing w:line="240" w:lineRule="auto" w:before="124" w:after="0"/>
        <w:ind w:left="1220" w:right="0" w:hanging="721"/>
        <w:jc w:val="left"/>
        <w:rPr>
          <w:sz w:val="25"/>
        </w:rPr>
      </w:pPr>
      <w:r>
        <w:rPr>
          <w:sz w:val="25"/>
        </w:rPr>
        <w:t>The suit was not based on a claim of</w:t>
      </w:r>
      <w:r>
        <w:rPr>
          <w:spacing w:val="-5"/>
          <w:sz w:val="25"/>
        </w:rPr>
        <w:t> </w:t>
      </w:r>
      <w:r>
        <w:rPr>
          <w:sz w:val="25"/>
        </w:rPr>
        <w:t>title;</w:t>
      </w:r>
    </w:p>
    <w:p>
      <w:pPr>
        <w:pStyle w:val="BodyText"/>
      </w:pPr>
    </w:p>
    <w:p>
      <w:pPr>
        <w:pStyle w:val="ListParagraph"/>
        <w:numPr>
          <w:ilvl w:val="0"/>
          <w:numId w:val="228"/>
        </w:numPr>
        <w:tabs>
          <w:tab w:pos="1221" w:val="left" w:leader="none"/>
        </w:tabs>
        <w:spacing w:line="480" w:lineRule="auto" w:before="1" w:after="0"/>
        <w:ind w:left="1220" w:right="446" w:hanging="720"/>
        <w:jc w:val="both"/>
        <w:rPr>
          <w:sz w:val="25"/>
        </w:rPr>
      </w:pPr>
      <w:r>
        <w:rPr>
          <w:sz w:val="25"/>
        </w:rPr>
        <w:t>The only relief that was sought was the grant of permission simpliciter to construct the temple on the</w:t>
      </w:r>
      <w:r>
        <w:rPr>
          <w:spacing w:val="-4"/>
          <w:sz w:val="25"/>
        </w:rPr>
        <w:t> </w:t>
      </w:r>
      <w:r>
        <w:rPr>
          <w:sz w:val="25"/>
        </w:rPr>
        <w:t>Chabutra;</w:t>
      </w:r>
    </w:p>
    <w:p>
      <w:pPr>
        <w:pStyle w:val="ListParagraph"/>
        <w:numPr>
          <w:ilvl w:val="0"/>
          <w:numId w:val="228"/>
        </w:numPr>
        <w:tabs>
          <w:tab w:pos="1221" w:val="left" w:leader="none"/>
        </w:tabs>
        <w:spacing w:line="480" w:lineRule="auto" w:before="0" w:after="0"/>
        <w:ind w:left="1220" w:right="441" w:hanging="720"/>
        <w:jc w:val="both"/>
        <w:rPr>
          <w:sz w:val="25"/>
        </w:rPr>
      </w:pPr>
      <w:r>
        <w:rPr>
          <w:sz w:val="25"/>
        </w:rPr>
        <w:t>In the absence of any plea of title, the adjudication in the suit must necessary be construed as being confined to what was prayed namely permission to construct a temple on the</w:t>
      </w:r>
      <w:r>
        <w:rPr>
          <w:spacing w:val="-6"/>
          <w:sz w:val="25"/>
        </w:rPr>
        <w:t> </w:t>
      </w:r>
      <w:r>
        <w:rPr>
          <w:sz w:val="25"/>
        </w:rPr>
        <w:t>Chabutra;</w:t>
      </w:r>
    </w:p>
    <w:p>
      <w:pPr>
        <w:pStyle w:val="ListParagraph"/>
        <w:numPr>
          <w:ilvl w:val="0"/>
          <w:numId w:val="228"/>
        </w:numPr>
        <w:tabs>
          <w:tab w:pos="1221" w:val="left" w:leader="none"/>
        </w:tabs>
        <w:spacing w:line="480" w:lineRule="auto" w:before="0" w:after="0"/>
        <w:ind w:left="1220" w:right="438" w:hanging="720"/>
        <w:jc w:val="both"/>
        <w:rPr>
          <w:sz w:val="25"/>
        </w:rPr>
      </w:pPr>
      <w:r>
        <w:rPr>
          <w:sz w:val="25"/>
        </w:rPr>
        <w:t>The map that was annexed to the suit does indicate the existence of the Masjid. But it equally indicates of worship by Hindus in the outer courtyard. The map submitted by Gopal Sahai, as a Court Commissioner appointed  in the suit, together with his report dated 6 December 1885 shows the existence of the Masjid on the western side of the</w:t>
      </w:r>
      <w:r>
        <w:rPr>
          <w:spacing w:val="-9"/>
          <w:sz w:val="25"/>
        </w:rPr>
        <w:t> </w:t>
      </w:r>
      <w:r>
        <w:rPr>
          <w:sz w:val="25"/>
        </w:rPr>
        <w:t>Chabutra;</w:t>
      </w:r>
    </w:p>
    <w:p>
      <w:pPr>
        <w:pStyle w:val="ListParagraph"/>
        <w:numPr>
          <w:ilvl w:val="0"/>
          <w:numId w:val="228"/>
        </w:numPr>
        <w:tabs>
          <w:tab w:pos="1221" w:val="left" w:leader="none"/>
        </w:tabs>
        <w:spacing w:line="482" w:lineRule="auto" w:before="0" w:after="0"/>
        <w:ind w:left="1220" w:right="444" w:hanging="720"/>
        <w:jc w:val="both"/>
        <w:rPr>
          <w:sz w:val="25"/>
        </w:rPr>
      </w:pPr>
      <w:r>
        <w:rPr>
          <w:sz w:val="25"/>
        </w:rPr>
        <w:t>The suit was contested by Mohd Asghar as Mutawalli of Babri Masjid who claimed inter alia</w:t>
      </w:r>
      <w:r>
        <w:rPr>
          <w:spacing w:val="-1"/>
          <w:sz w:val="25"/>
        </w:rPr>
        <w:t> </w:t>
      </w:r>
      <w:r>
        <w:rPr>
          <w:sz w:val="25"/>
        </w:rPr>
        <w:t>that:</w:t>
      </w:r>
    </w:p>
    <w:p>
      <w:pPr>
        <w:pStyle w:val="ListParagraph"/>
        <w:numPr>
          <w:ilvl w:val="1"/>
          <w:numId w:val="228"/>
        </w:numPr>
        <w:tabs>
          <w:tab w:pos="1941" w:val="left" w:leader="none"/>
        </w:tabs>
        <w:spacing w:line="480" w:lineRule="auto" w:before="0" w:after="0"/>
        <w:ind w:left="1940" w:right="443" w:hanging="720"/>
        <w:jc w:val="both"/>
        <w:rPr>
          <w:sz w:val="25"/>
        </w:rPr>
      </w:pPr>
      <w:r>
        <w:rPr>
          <w:sz w:val="25"/>
        </w:rPr>
        <w:t>Babur had got the mosque constructed on which the word ‗Allah‘ was</w:t>
      </w:r>
      <w:r>
        <w:rPr>
          <w:spacing w:val="-2"/>
          <w:sz w:val="25"/>
        </w:rPr>
        <w:t> </w:t>
      </w:r>
      <w:r>
        <w:rPr>
          <w:sz w:val="25"/>
        </w:rPr>
        <w:t>inscribed;</w:t>
      </w:r>
    </w:p>
    <w:p>
      <w:pPr>
        <w:pStyle w:val="ListParagraph"/>
        <w:numPr>
          <w:ilvl w:val="1"/>
          <w:numId w:val="228"/>
        </w:numPr>
        <w:tabs>
          <w:tab w:pos="1940" w:val="left" w:leader="none"/>
          <w:tab w:pos="1941" w:val="left" w:leader="none"/>
        </w:tabs>
        <w:spacing w:line="287" w:lineRule="exact" w:before="0" w:after="0"/>
        <w:ind w:left="1940" w:right="0" w:hanging="721"/>
        <w:jc w:val="left"/>
        <w:rPr>
          <w:sz w:val="25"/>
        </w:rPr>
      </w:pPr>
      <w:r>
        <w:rPr>
          <w:sz w:val="25"/>
        </w:rPr>
        <w:t>The Chabutra was built in 1857 and was opposed by Muslims;</w:t>
      </w:r>
      <w:r>
        <w:rPr>
          <w:spacing w:val="-17"/>
          <w:sz w:val="25"/>
        </w:rPr>
        <w:t> </w:t>
      </w:r>
      <w:r>
        <w:rPr>
          <w:sz w:val="25"/>
        </w:rPr>
        <w:t>and</w:t>
      </w:r>
    </w:p>
    <w:p>
      <w:pPr>
        <w:pStyle w:val="BodyText"/>
        <w:spacing w:before="5"/>
        <w:rPr>
          <w:sz w:val="24"/>
        </w:rPr>
      </w:pPr>
    </w:p>
    <w:p>
      <w:pPr>
        <w:pStyle w:val="ListParagraph"/>
        <w:numPr>
          <w:ilvl w:val="1"/>
          <w:numId w:val="228"/>
        </w:numPr>
        <w:tabs>
          <w:tab w:pos="1940" w:val="left" w:leader="none"/>
          <w:tab w:pos="1941" w:val="left" w:leader="none"/>
        </w:tabs>
        <w:spacing w:line="240" w:lineRule="auto" w:before="1" w:after="0"/>
        <w:ind w:left="1940" w:right="0" w:hanging="721"/>
        <w:jc w:val="left"/>
        <w:rPr>
          <w:sz w:val="25"/>
        </w:rPr>
      </w:pPr>
      <w:r>
        <w:rPr>
          <w:sz w:val="25"/>
        </w:rPr>
        <w:t>Previously, a restraint was imposed on construction</w:t>
      </w:r>
      <w:r>
        <w:rPr>
          <w:spacing w:val="-6"/>
          <w:sz w:val="25"/>
        </w:rPr>
        <w:t> </w:t>
      </w:r>
      <w:r>
        <w:rPr>
          <w:sz w:val="25"/>
        </w:rPr>
        <w:t>activities.</w:t>
      </w:r>
    </w:p>
    <w:p>
      <w:pPr>
        <w:pStyle w:val="BodyText"/>
        <w:rPr>
          <w:sz w:val="28"/>
        </w:rPr>
      </w:pPr>
    </w:p>
    <w:p>
      <w:pPr>
        <w:pStyle w:val="ListParagraph"/>
        <w:numPr>
          <w:ilvl w:val="0"/>
          <w:numId w:val="228"/>
        </w:numPr>
        <w:tabs>
          <w:tab w:pos="1220" w:val="left" w:leader="none"/>
          <w:tab w:pos="1221" w:val="left" w:leader="none"/>
        </w:tabs>
        <w:spacing w:line="240" w:lineRule="auto" w:before="166" w:after="0"/>
        <w:ind w:left="1220" w:right="0" w:hanging="721"/>
        <w:jc w:val="left"/>
        <w:rPr>
          <w:sz w:val="25"/>
        </w:rPr>
      </w:pPr>
      <w:r>
        <w:rPr>
          <w:sz w:val="25"/>
        </w:rPr>
        <w:t>The Sub-Judge while dismissing the suit noted</w:t>
      </w:r>
      <w:r>
        <w:rPr>
          <w:spacing w:val="-5"/>
          <w:sz w:val="25"/>
        </w:rPr>
        <w:t> </w:t>
      </w:r>
      <w:r>
        <w:rPr>
          <w:sz w:val="25"/>
        </w:rPr>
        <w:t>that:</w:t>
      </w:r>
    </w:p>
    <w:p>
      <w:pPr>
        <w:pStyle w:val="BodyText"/>
        <w:spacing w:before="10"/>
        <w:rPr>
          <w:sz w:val="24"/>
        </w:rPr>
      </w:pPr>
    </w:p>
    <w:p>
      <w:pPr>
        <w:pStyle w:val="ListParagraph"/>
        <w:numPr>
          <w:ilvl w:val="1"/>
          <w:numId w:val="228"/>
        </w:numPr>
        <w:tabs>
          <w:tab w:pos="2120" w:val="left" w:leader="none"/>
          <w:tab w:pos="2121" w:val="left" w:leader="none"/>
        </w:tabs>
        <w:spacing w:line="480" w:lineRule="auto" w:before="0" w:after="0"/>
        <w:ind w:left="2120" w:right="443" w:hanging="809"/>
        <w:jc w:val="left"/>
        <w:rPr>
          <w:sz w:val="25"/>
        </w:rPr>
      </w:pPr>
      <w:r>
        <w:rPr>
          <w:sz w:val="25"/>
        </w:rPr>
        <w:t>After the construction of a wall with a railing, Muslims were praying inside the Masjid and the Hindus, outside at the</w:t>
      </w:r>
      <w:r>
        <w:rPr>
          <w:spacing w:val="-7"/>
          <w:sz w:val="25"/>
        </w:rPr>
        <w:t> </w:t>
      </w:r>
      <w:r>
        <w:rPr>
          <w:sz w:val="25"/>
        </w:rPr>
        <w:t>Chabutra;</w:t>
      </w:r>
    </w:p>
    <w:p>
      <w:pPr>
        <w:pStyle w:val="ListParagraph"/>
        <w:numPr>
          <w:ilvl w:val="1"/>
          <w:numId w:val="228"/>
        </w:numPr>
        <w:tabs>
          <w:tab w:pos="2120" w:val="left" w:leader="none"/>
          <w:tab w:pos="2121" w:val="left" w:leader="none"/>
        </w:tabs>
        <w:spacing w:line="480" w:lineRule="auto" w:before="2" w:after="0"/>
        <w:ind w:left="2120" w:right="444" w:hanging="809"/>
        <w:jc w:val="left"/>
        <w:rPr>
          <w:sz w:val="25"/>
        </w:rPr>
      </w:pPr>
      <w:r>
        <w:rPr>
          <w:sz w:val="25"/>
        </w:rPr>
        <w:t>Before this, both Hindus and Muslims were worshipping in the place but to avoid any controversy, the wall had been erected;</w:t>
      </w:r>
      <w:r>
        <w:rPr>
          <w:spacing w:val="-14"/>
          <w:sz w:val="25"/>
        </w:rPr>
        <w:t> </w:t>
      </w:r>
      <w:r>
        <w:rPr>
          <w:sz w:val="25"/>
        </w:rPr>
        <w:t>and</w:t>
      </w:r>
    </w:p>
    <w:p>
      <w:pPr>
        <w:pStyle w:val="ListParagraph"/>
        <w:numPr>
          <w:ilvl w:val="1"/>
          <w:numId w:val="228"/>
        </w:numPr>
        <w:tabs>
          <w:tab w:pos="2120" w:val="left" w:leader="none"/>
          <w:tab w:pos="2121" w:val="left" w:leader="none"/>
        </w:tabs>
        <w:spacing w:line="480" w:lineRule="auto" w:before="0" w:after="0"/>
        <w:ind w:left="2120" w:right="445" w:hanging="809"/>
        <w:jc w:val="left"/>
        <w:rPr>
          <w:sz w:val="25"/>
        </w:rPr>
      </w:pPr>
      <w:r>
        <w:rPr>
          <w:sz w:val="25"/>
        </w:rPr>
        <w:t>The Chabutra was in the possession of and belonged to </w:t>
      </w:r>
      <w:r>
        <w:rPr>
          <w:spacing w:val="-4"/>
          <w:sz w:val="25"/>
        </w:rPr>
        <w:t>the </w:t>
      </w:r>
      <w:r>
        <w:rPr>
          <w:sz w:val="25"/>
        </w:rPr>
        <w:t>Hindus.</w:t>
      </w:r>
    </w:p>
    <w:p>
      <w:pPr>
        <w:spacing w:after="0" w:line="480" w:lineRule="auto"/>
        <w:jc w:val="left"/>
        <w:rPr>
          <w:sz w:val="25"/>
        </w:rPr>
        <w:sectPr>
          <w:pgSz w:w="11910" w:h="16840"/>
          <w:pgMar w:header="721" w:footer="1014" w:top="1300" w:bottom="1200" w:left="940" w:right="1000"/>
        </w:sectPr>
      </w:pPr>
    </w:p>
    <w:p>
      <w:pPr>
        <w:pStyle w:val="ListParagraph"/>
        <w:numPr>
          <w:ilvl w:val="0"/>
          <w:numId w:val="219"/>
        </w:numPr>
        <w:tabs>
          <w:tab w:pos="1221" w:val="left" w:leader="none"/>
        </w:tabs>
        <w:spacing w:line="480" w:lineRule="auto" w:before="124" w:after="0"/>
        <w:ind w:left="500" w:right="434" w:firstLine="0"/>
        <w:jc w:val="both"/>
        <w:rPr>
          <w:sz w:val="25"/>
        </w:rPr>
      </w:pPr>
      <w:r>
        <w:rPr>
          <w:sz w:val="25"/>
        </w:rPr>
        <w:t>The Sub-Judge in declining permission indicated that to permit the construction of the temple would essentially alter the </w:t>
      </w:r>
      <w:r>
        <w:rPr>
          <w:i/>
          <w:sz w:val="25"/>
        </w:rPr>
        <w:t>status quo </w:t>
      </w:r>
      <w:r>
        <w:rPr>
          <w:sz w:val="25"/>
        </w:rPr>
        <w:t>resulting in a breach of peace. The order of the Sub-Judge dismissing the suit was affirmed in first appeal primarily on the ground that any breach of the </w:t>
      </w:r>
      <w:r>
        <w:rPr>
          <w:i/>
          <w:sz w:val="25"/>
        </w:rPr>
        <w:t>status quo </w:t>
      </w:r>
      <w:r>
        <w:rPr>
          <w:sz w:val="25"/>
        </w:rPr>
        <w:t>would seriously impinge upon the maintenance of peace. Hence, the findings in regard to the possession and ownership of the Chabutra were redundant and were deleted. In a second appeal, the order of the First Appellate Court was affirmed. While the Judicial Commissioner considered it unfortunate that a mosque had been constructed on a site which the Hindus attributed as the birth-place of Lord Ram, he was of the view that a breach of the </w:t>
      </w:r>
      <w:r>
        <w:rPr>
          <w:i/>
          <w:sz w:val="25"/>
        </w:rPr>
        <w:t>status quo </w:t>
      </w:r>
      <w:r>
        <w:rPr>
          <w:sz w:val="25"/>
        </w:rPr>
        <w:t>at that stage was undesirable.</w:t>
      </w:r>
    </w:p>
    <w:p>
      <w:pPr>
        <w:pStyle w:val="BodyText"/>
        <w:rPr>
          <w:sz w:val="39"/>
        </w:rPr>
      </w:pPr>
    </w:p>
    <w:p>
      <w:pPr>
        <w:pStyle w:val="ListParagraph"/>
        <w:numPr>
          <w:ilvl w:val="0"/>
          <w:numId w:val="219"/>
        </w:numPr>
        <w:tabs>
          <w:tab w:pos="1221" w:val="left" w:leader="none"/>
        </w:tabs>
        <w:spacing w:line="480" w:lineRule="auto" w:before="0" w:after="0"/>
        <w:ind w:left="500" w:right="439" w:firstLine="0"/>
        <w:jc w:val="both"/>
        <w:rPr>
          <w:sz w:val="25"/>
        </w:rPr>
      </w:pPr>
      <w:r>
        <w:rPr>
          <w:sz w:val="25"/>
        </w:rPr>
        <w:t>All the findings in the Suit of 1885 must be read in the context of the nature of the proceedings, the party who had moved the court for relief and its outcome. The suit was not of a representative nature. No permission to sue in a representative capacity was sought or obtained. The Mahant of the Janmasthan claimed relief personal to him. Neither was a declaration of title sought nor was the objective of the suit anything beyond seeking permission to construct a temple on the Chabutra in order to obviate inconvenience to faqirs and worshippers. Hence, the outcome of the suit would have no impact or bearing on the parties to the present proceedings or on the issue of</w:t>
      </w:r>
      <w:r>
        <w:rPr>
          <w:spacing w:val="-11"/>
          <w:sz w:val="25"/>
        </w:rPr>
        <w:t> </w:t>
      </w:r>
      <w:r>
        <w:rPr>
          <w:sz w:val="25"/>
        </w:rPr>
        <w:t>title.</w:t>
      </w:r>
    </w:p>
    <w:p>
      <w:pPr>
        <w:spacing w:after="0" w:line="480" w:lineRule="auto"/>
        <w:jc w:val="both"/>
        <w:rPr>
          <w:sz w:val="25"/>
        </w:rPr>
        <w:sectPr>
          <w:pgSz w:w="11910" w:h="16840"/>
          <w:pgMar w:header="721" w:footer="1014" w:top="1300" w:bottom="1200" w:left="940" w:right="1000"/>
        </w:sectPr>
      </w:pPr>
    </w:p>
    <w:p>
      <w:pPr>
        <w:pStyle w:val="Heading3"/>
        <w:spacing w:before="124"/>
        <w:ind w:left="500" w:firstLine="0"/>
        <w:jc w:val="left"/>
      </w:pPr>
      <w:r>
        <w:rPr/>
        <w:t>Incidents between 1934 and 1950</w:t>
      </w:r>
    </w:p>
    <w:p>
      <w:pPr>
        <w:pStyle w:val="BodyText"/>
        <w:spacing w:before="2"/>
        <w:rPr>
          <w:b/>
          <w:sz w:val="26"/>
        </w:rPr>
      </w:pPr>
    </w:p>
    <w:p>
      <w:pPr>
        <w:pStyle w:val="Heading4"/>
        <w:jc w:val="left"/>
        <w:rPr>
          <w:i/>
        </w:rPr>
      </w:pPr>
      <w:r>
        <w:rPr>
          <w:i/>
        </w:rPr>
        <w:t>Communal riots of 1934</w:t>
      </w:r>
    </w:p>
    <w:p>
      <w:pPr>
        <w:pStyle w:val="BodyText"/>
        <w:rPr>
          <w:i/>
          <w:sz w:val="28"/>
        </w:rPr>
      </w:pPr>
    </w:p>
    <w:p>
      <w:pPr>
        <w:pStyle w:val="BodyText"/>
        <w:spacing w:before="9"/>
        <w:rPr>
          <w:i/>
          <w:sz w:val="23"/>
        </w:rPr>
      </w:pPr>
    </w:p>
    <w:p>
      <w:pPr>
        <w:pStyle w:val="ListParagraph"/>
        <w:numPr>
          <w:ilvl w:val="0"/>
          <w:numId w:val="219"/>
        </w:numPr>
        <w:tabs>
          <w:tab w:pos="1221" w:val="left" w:leader="none"/>
        </w:tabs>
        <w:spacing w:line="480" w:lineRule="auto" w:before="0" w:after="0"/>
        <w:ind w:left="500" w:right="442" w:firstLine="0"/>
        <w:jc w:val="both"/>
        <w:rPr>
          <w:sz w:val="25"/>
        </w:rPr>
      </w:pPr>
      <w:r>
        <w:rPr>
          <w:sz w:val="25"/>
        </w:rPr>
        <w:t>In 1934, as a result of the communal riots, substantial damage was sustained to the domes of the disputed structure. The structure was renovated at the cost of the British through a Muslim contractor. In this context, the following documents have been relied</w:t>
      </w:r>
      <w:r>
        <w:rPr>
          <w:spacing w:val="-4"/>
          <w:sz w:val="25"/>
        </w:rPr>
        <w:t> </w:t>
      </w:r>
      <w:r>
        <w:rPr>
          <w:sz w:val="25"/>
        </w:rPr>
        <w:t>upon:</w:t>
      </w:r>
    </w:p>
    <w:p>
      <w:pPr>
        <w:pStyle w:val="ListParagraph"/>
        <w:numPr>
          <w:ilvl w:val="0"/>
          <w:numId w:val="229"/>
        </w:numPr>
        <w:tabs>
          <w:tab w:pos="2661" w:val="left" w:leader="none"/>
        </w:tabs>
        <w:spacing w:line="276" w:lineRule="auto" w:before="160" w:after="0"/>
        <w:ind w:left="2660" w:right="2257" w:hanging="720"/>
        <w:jc w:val="both"/>
        <w:rPr>
          <w:sz w:val="21"/>
        </w:rPr>
      </w:pPr>
      <w:r>
        <w:rPr>
          <w:sz w:val="21"/>
        </w:rPr>
        <w:t>An application was moved by Mohd. Zaki and others for compensation of the losses caused in the riots on 27 March 1934. In this application it was mentioned that:-</w:t>
      </w:r>
    </w:p>
    <w:p>
      <w:pPr>
        <w:pStyle w:val="BodyText"/>
        <w:spacing w:before="1"/>
        <w:rPr>
          <w:sz w:val="24"/>
        </w:rPr>
      </w:pPr>
    </w:p>
    <w:p>
      <w:pPr>
        <w:pStyle w:val="ListParagraph"/>
        <w:numPr>
          <w:ilvl w:val="1"/>
          <w:numId w:val="229"/>
        </w:numPr>
        <w:tabs>
          <w:tab w:pos="2661" w:val="left" w:leader="none"/>
        </w:tabs>
        <w:spacing w:line="273" w:lineRule="auto" w:before="0" w:after="0"/>
        <w:ind w:left="2660" w:right="2258" w:hanging="360"/>
        <w:jc w:val="both"/>
        <w:rPr>
          <w:sz w:val="21"/>
        </w:rPr>
      </w:pPr>
      <w:r>
        <w:rPr>
          <w:sz w:val="21"/>
        </w:rPr>
        <w:t>The Bairagis of Ayodhya and Hindus attacked the Babri Masjid intentionally and caused great</w:t>
      </w:r>
      <w:r>
        <w:rPr>
          <w:spacing w:val="-12"/>
          <w:sz w:val="21"/>
        </w:rPr>
        <w:t> </w:t>
      </w:r>
      <w:r>
        <w:rPr>
          <w:sz w:val="21"/>
        </w:rPr>
        <w:t>damage.</w:t>
      </w:r>
    </w:p>
    <w:p>
      <w:pPr>
        <w:pStyle w:val="ListParagraph"/>
        <w:numPr>
          <w:ilvl w:val="1"/>
          <w:numId w:val="229"/>
        </w:numPr>
        <w:tabs>
          <w:tab w:pos="2661" w:val="left" w:leader="none"/>
        </w:tabs>
        <w:spacing w:line="271" w:lineRule="auto" w:before="3" w:after="0"/>
        <w:ind w:left="2660" w:right="2261" w:hanging="360"/>
        <w:jc w:val="both"/>
        <w:rPr>
          <w:sz w:val="21"/>
        </w:rPr>
      </w:pPr>
      <w:r>
        <w:rPr>
          <w:sz w:val="21"/>
        </w:rPr>
        <w:t>The repair of the masjid will require a huge sum of money.</w:t>
      </w:r>
    </w:p>
    <w:p>
      <w:pPr>
        <w:pStyle w:val="ListParagraph"/>
        <w:numPr>
          <w:ilvl w:val="1"/>
          <w:numId w:val="229"/>
        </w:numPr>
        <w:tabs>
          <w:tab w:pos="2661" w:val="left" w:leader="none"/>
        </w:tabs>
        <w:spacing w:line="273" w:lineRule="auto" w:before="5" w:after="0"/>
        <w:ind w:left="2660" w:right="2257" w:hanging="360"/>
        <w:jc w:val="both"/>
        <w:rPr>
          <w:sz w:val="21"/>
        </w:rPr>
      </w:pPr>
      <w:r>
        <w:rPr>
          <w:sz w:val="21"/>
        </w:rPr>
        <w:t>It was therefore prayed that the estimated cost of repairs, i.e. Rs.15000 be recovered from the Bairagis and other Hindus of Ayodhya as per Section 15 of the Police Act</w:t>
      </w:r>
      <w:r>
        <w:rPr>
          <w:spacing w:val="-4"/>
          <w:sz w:val="21"/>
        </w:rPr>
        <w:t> </w:t>
      </w:r>
      <w:r>
        <w:rPr>
          <w:sz w:val="21"/>
        </w:rPr>
        <w:t>1861.</w:t>
      </w:r>
    </w:p>
    <w:p>
      <w:pPr>
        <w:pStyle w:val="ListParagraph"/>
        <w:numPr>
          <w:ilvl w:val="0"/>
          <w:numId w:val="229"/>
        </w:numPr>
        <w:tabs>
          <w:tab w:pos="2661" w:val="left" w:leader="none"/>
        </w:tabs>
        <w:spacing w:line="276" w:lineRule="auto" w:before="6" w:after="0"/>
        <w:ind w:left="2660" w:right="2256" w:hanging="720"/>
        <w:jc w:val="both"/>
        <w:rPr>
          <w:sz w:val="21"/>
        </w:rPr>
      </w:pPr>
      <w:r>
        <w:rPr>
          <w:sz w:val="21"/>
        </w:rPr>
        <w:t>The Dy. Commissioner Faizabad on 6.10.1934 allowed the aforesaid amount of compensation to be paid for damages to the Babri Mosque subject to any other</w:t>
      </w:r>
      <w:r>
        <w:rPr>
          <w:spacing w:val="-2"/>
          <w:sz w:val="21"/>
        </w:rPr>
        <w:t> </w:t>
      </w:r>
      <w:r>
        <w:rPr>
          <w:sz w:val="21"/>
        </w:rPr>
        <w:t>objections.</w:t>
      </w:r>
    </w:p>
    <w:p>
      <w:pPr>
        <w:pStyle w:val="ListParagraph"/>
        <w:numPr>
          <w:ilvl w:val="0"/>
          <w:numId w:val="229"/>
        </w:numPr>
        <w:tabs>
          <w:tab w:pos="2661" w:val="left" w:leader="none"/>
        </w:tabs>
        <w:spacing w:line="276" w:lineRule="auto" w:before="1" w:after="0"/>
        <w:ind w:left="2660" w:right="2255" w:hanging="720"/>
        <w:jc w:val="both"/>
        <w:rPr>
          <w:sz w:val="21"/>
        </w:rPr>
      </w:pPr>
      <w:r>
        <w:rPr>
          <w:sz w:val="21"/>
        </w:rPr>
        <w:t>Thereafter on 22.12.1934, Notice was published by District Magistrate, Faizabad with respect to fine imposed under section 15A(2) of the Police Act and for its realization from the Hindu residents of</w:t>
      </w:r>
      <w:r>
        <w:rPr>
          <w:spacing w:val="-21"/>
          <w:sz w:val="21"/>
        </w:rPr>
        <w:t> </w:t>
      </w:r>
      <w:r>
        <w:rPr>
          <w:sz w:val="21"/>
        </w:rPr>
        <w:t>Ayodhya.</w:t>
      </w:r>
    </w:p>
    <w:p>
      <w:pPr>
        <w:pStyle w:val="ListParagraph"/>
        <w:numPr>
          <w:ilvl w:val="0"/>
          <w:numId w:val="229"/>
        </w:numPr>
        <w:tabs>
          <w:tab w:pos="2661" w:val="left" w:leader="none"/>
        </w:tabs>
        <w:spacing w:line="276" w:lineRule="auto" w:before="0" w:after="0"/>
        <w:ind w:left="2660" w:right="2257" w:hanging="720"/>
        <w:jc w:val="both"/>
        <w:rPr>
          <w:sz w:val="21"/>
        </w:rPr>
      </w:pPr>
      <w:r>
        <w:rPr>
          <w:sz w:val="21"/>
        </w:rPr>
        <w:t>Meanwhile by an Order dated May 12, 1934 the Muslims were permitted to start the work of cleaning of Babri Mosque from May 14, 1934, so that it could be used for religious</w:t>
      </w:r>
      <w:r>
        <w:rPr>
          <w:spacing w:val="-9"/>
          <w:sz w:val="21"/>
        </w:rPr>
        <w:t> </w:t>
      </w:r>
      <w:r>
        <w:rPr>
          <w:sz w:val="21"/>
        </w:rPr>
        <w:t>purposes.‖</w:t>
      </w:r>
    </w:p>
    <w:p>
      <w:pPr>
        <w:pStyle w:val="BodyText"/>
        <w:rPr>
          <w:sz w:val="24"/>
        </w:rPr>
      </w:pPr>
    </w:p>
    <w:p>
      <w:pPr>
        <w:pStyle w:val="BodyText"/>
        <w:rPr>
          <w:sz w:val="24"/>
        </w:rPr>
      </w:pPr>
    </w:p>
    <w:p>
      <w:pPr>
        <w:pStyle w:val="BodyText"/>
        <w:spacing w:before="4"/>
        <w:rPr>
          <w:sz w:val="19"/>
        </w:rPr>
      </w:pPr>
    </w:p>
    <w:p>
      <w:pPr>
        <w:pStyle w:val="ListParagraph"/>
        <w:numPr>
          <w:ilvl w:val="0"/>
          <w:numId w:val="219"/>
        </w:numPr>
        <w:tabs>
          <w:tab w:pos="1221" w:val="left" w:leader="none"/>
        </w:tabs>
        <w:spacing w:line="480" w:lineRule="auto" w:before="0" w:after="0"/>
        <w:ind w:left="500" w:right="440" w:firstLine="0"/>
        <w:jc w:val="both"/>
        <w:rPr>
          <w:sz w:val="25"/>
        </w:rPr>
      </w:pPr>
      <w:r>
        <w:rPr>
          <w:sz w:val="25"/>
        </w:rPr>
        <w:t>During the course of the communal riots which took place in 1934, the domes of the disputed structure were damaged. Renovation was carried out at the cost of the British Government through a Muslim contractor and a fine was imposed</w:t>
      </w:r>
      <w:r>
        <w:rPr>
          <w:spacing w:val="6"/>
          <w:sz w:val="25"/>
        </w:rPr>
        <w:t> </w:t>
      </w:r>
      <w:r>
        <w:rPr>
          <w:sz w:val="25"/>
        </w:rPr>
        <w:t>on</w:t>
      </w:r>
      <w:r>
        <w:rPr>
          <w:spacing w:val="6"/>
          <w:sz w:val="25"/>
        </w:rPr>
        <w:t> </w:t>
      </w:r>
      <w:r>
        <w:rPr>
          <w:sz w:val="25"/>
        </w:rPr>
        <w:t>the</w:t>
      </w:r>
      <w:r>
        <w:rPr>
          <w:spacing w:val="6"/>
          <w:sz w:val="25"/>
        </w:rPr>
        <w:t> </w:t>
      </w:r>
      <w:r>
        <w:rPr>
          <w:sz w:val="25"/>
        </w:rPr>
        <w:t>Bairagis</w:t>
      </w:r>
      <w:r>
        <w:rPr>
          <w:spacing w:val="5"/>
          <w:sz w:val="25"/>
        </w:rPr>
        <w:t> </w:t>
      </w:r>
      <w:r>
        <w:rPr>
          <w:sz w:val="25"/>
        </w:rPr>
        <w:t>and</w:t>
      </w:r>
      <w:r>
        <w:rPr>
          <w:spacing w:val="6"/>
          <w:sz w:val="25"/>
        </w:rPr>
        <w:t> </w:t>
      </w:r>
      <w:r>
        <w:rPr>
          <w:sz w:val="25"/>
        </w:rPr>
        <w:t>Hindus</w:t>
      </w:r>
      <w:r>
        <w:rPr>
          <w:spacing w:val="7"/>
          <w:sz w:val="25"/>
        </w:rPr>
        <w:t> </w:t>
      </w:r>
      <w:r>
        <w:rPr>
          <w:sz w:val="25"/>
        </w:rPr>
        <w:t>of</w:t>
      </w:r>
      <w:r>
        <w:rPr>
          <w:spacing w:val="6"/>
          <w:sz w:val="25"/>
        </w:rPr>
        <w:t> </w:t>
      </w:r>
      <w:r>
        <w:rPr>
          <w:sz w:val="25"/>
        </w:rPr>
        <w:t>Ayodhya</w:t>
      </w:r>
      <w:r>
        <w:rPr>
          <w:spacing w:val="6"/>
          <w:sz w:val="25"/>
        </w:rPr>
        <w:t> </w:t>
      </w:r>
      <w:r>
        <w:rPr>
          <w:sz w:val="25"/>
        </w:rPr>
        <w:t>to</w:t>
      </w:r>
      <w:r>
        <w:rPr>
          <w:spacing w:val="6"/>
          <w:sz w:val="25"/>
        </w:rPr>
        <w:t> </w:t>
      </w:r>
      <w:r>
        <w:rPr>
          <w:sz w:val="25"/>
        </w:rPr>
        <w:t>recover</w:t>
      </w:r>
      <w:r>
        <w:rPr>
          <w:spacing w:val="7"/>
          <w:sz w:val="25"/>
        </w:rPr>
        <w:t> </w:t>
      </w:r>
      <w:r>
        <w:rPr>
          <w:sz w:val="25"/>
        </w:rPr>
        <w:t>the</w:t>
      </w:r>
      <w:r>
        <w:rPr>
          <w:spacing w:val="6"/>
          <w:sz w:val="25"/>
        </w:rPr>
        <w:t> </w:t>
      </w:r>
      <w:r>
        <w:rPr>
          <w:sz w:val="25"/>
        </w:rPr>
        <w:t>cost</w:t>
      </w:r>
      <w:r>
        <w:rPr>
          <w:spacing w:val="7"/>
          <w:sz w:val="25"/>
        </w:rPr>
        <w:t> </w:t>
      </w:r>
      <w:r>
        <w:rPr>
          <w:sz w:val="25"/>
        </w:rPr>
        <w:t>of</w:t>
      </w:r>
      <w:r>
        <w:rPr>
          <w:spacing w:val="6"/>
          <w:sz w:val="25"/>
        </w:rPr>
        <w:t> </w:t>
      </w:r>
      <w:r>
        <w:rPr>
          <w:sz w:val="25"/>
        </w:rPr>
        <w:t>repair.</w:t>
      </w:r>
      <w:r>
        <w:rPr>
          <w:spacing w:val="6"/>
          <w:sz w:val="25"/>
        </w:rPr>
        <w:t> </w:t>
      </w:r>
      <w:r>
        <w:rPr>
          <w:sz w:val="25"/>
        </w:rPr>
        <w:t>On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512"/>
      </w:pPr>
      <w:r>
        <w:rPr/>
        <w:t>12 May 1934, the Muslims were permitted to commence the cleaning of the mosque in order for it to be used for religious purposes.</w:t>
      </w:r>
    </w:p>
    <w:p>
      <w:pPr>
        <w:pStyle w:val="BodyText"/>
        <w:spacing w:before="2"/>
        <w:rPr>
          <w:sz w:val="39"/>
        </w:rPr>
      </w:pPr>
    </w:p>
    <w:p>
      <w:pPr>
        <w:pStyle w:val="Heading4"/>
        <w:rPr>
          <w:i/>
        </w:rPr>
      </w:pPr>
      <w:r>
        <w:rPr>
          <w:i/>
        </w:rPr>
        <w:t>Repairs to the mosque</w:t>
      </w:r>
    </w:p>
    <w:p>
      <w:pPr>
        <w:pStyle w:val="BodyText"/>
        <w:rPr>
          <w:i/>
          <w:sz w:val="28"/>
        </w:rPr>
      </w:pPr>
    </w:p>
    <w:p>
      <w:pPr>
        <w:pStyle w:val="BodyText"/>
        <w:spacing w:before="7"/>
        <w:rPr>
          <w:i/>
          <w:sz w:val="23"/>
        </w:rPr>
      </w:pPr>
    </w:p>
    <w:p>
      <w:pPr>
        <w:pStyle w:val="ListParagraph"/>
        <w:numPr>
          <w:ilvl w:val="0"/>
          <w:numId w:val="219"/>
        </w:numPr>
        <w:tabs>
          <w:tab w:pos="1221" w:val="left" w:leader="none"/>
        </w:tabs>
        <w:spacing w:line="480" w:lineRule="auto" w:before="0" w:after="0"/>
        <w:ind w:left="500" w:right="436" w:firstLine="0"/>
        <w:jc w:val="both"/>
        <w:rPr>
          <w:sz w:val="25"/>
        </w:rPr>
      </w:pPr>
      <w:r>
        <w:rPr>
          <w:sz w:val="25"/>
        </w:rPr>
        <w:t>Following the decision to allow repairs to be conducted, the documentary evidence produced by the Sunni Central Waqf Board</w:t>
      </w:r>
      <w:r>
        <w:rPr>
          <w:spacing w:val="-6"/>
          <w:sz w:val="25"/>
        </w:rPr>
        <w:t> </w:t>
      </w:r>
      <w:r>
        <w:rPr>
          <w:sz w:val="25"/>
        </w:rPr>
        <w:t>includes:</w:t>
      </w:r>
    </w:p>
    <w:p>
      <w:pPr>
        <w:pStyle w:val="ListParagraph"/>
        <w:numPr>
          <w:ilvl w:val="0"/>
          <w:numId w:val="230"/>
        </w:numPr>
        <w:tabs>
          <w:tab w:pos="1221" w:val="left" w:leader="none"/>
        </w:tabs>
        <w:spacing w:line="480" w:lineRule="auto" w:before="161" w:after="0"/>
        <w:ind w:left="1220" w:right="443" w:hanging="720"/>
        <w:jc w:val="both"/>
        <w:rPr>
          <w:sz w:val="25"/>
        </w:rPr>
      </w:pPr>
      <w:r>
        <w:rPr>
          <w:sz w:val="25"/>
        </w:rPr>
        <w:t>Claims by the contractor who repaired Babri Masjid for the payment of his outstanding bills and orders for verifying the work which was done towards effecting payment between 1935 and April 1936;</w:t>
      </w:r>
      <w:r>
        <w:rPr>
          <w:spacing w:val="-6"/>
          <w:sz w:val="25"/>
        </w:rPr>
        <w:t> </w:t>
      </w:r>
      <w:r>
        <w:rPr>
          <w:sz w:val="25"/>
        </w:rPr>
        <w:t>and</w:t>
      </w:r>
    </w:p>
    <w:p>
      <w:pPr>
        <w:pStyle w:val="ListParagraph"/>
        <w:numPr>
          <w:ilvl w:val="0"/>
          <w:numId w:val="230"/>
        </w:numPr>
        <w:tabs>
          <w:tab w:pos="1221" w:val="left" w:leader="none"/>
        </w:tabs>
        <w:spacing w:line="480" w:lineRule="auto" w:before="1" w:after="0"/>
        <w:ind w:left="1220" w:right="443" w:hanging="720"/>
        <w:jc w:val="both"/>
        <w:rPr>
          <w:sz w:val="25"/>
        </w:rPr>
      </w:pPr>
      <w:r>
        <w:rPr>
          <w:sz w:val="25"/>
        </w:rPr>
        <w:t>Resolution of the claim for the arrears of salary of the Pesh Imam of Babri Masjid between July 1936 and August</w:t>
      </w:r>
      <w:r>
        <w:rPr>
          <w:spacing w:val="-5"/>
          <w:sz w:val="25"/>
        </w:rPr>
        <w:t> </w:t>
      </w:r>
      <w:r>
        <w:rPr>
          <w:sz w:val="25"/>
        </w:rPr>
        <w:t>1938.</w:t>
      </w:r>
    </w:p>
    <w:p>
      <w:pPr>
        <w:pStyle w:val="BodyText"/>
        <w:rPr>
          <w:sz w:val="28"/>
        </w:rPr>
      </w:pPr>
    </w:p>
    <w:p>
      <w:pPr>
        <w:pStyle w:val="BodyText"/>
        <w:spacing w:before="1"/>
        <w:rPr>
          <w:sz w:val="22"/>
        </w:rPr>
      </w:pPr>
    </w:p>
    <w:p>
      <w:pPr>
        <w:pStyle w:val="Heading4"/>
        <w:spacing w:before="1"/>
        <w:rPr>
          <w:i/>
        </w:rPr>
      </w:pPr>
      <w:r>
        <w:rPr>
          <w:i/>
        </w:rPr>
        <w:t>The suit between Nirmohis</w:t>
      </w:r>
    </w:p>
    <w:p>
      <w:pPr>
        <w:pStyle w:val="BodyText"/>
        <w:rPr>
          <w:i/>
          <w:sz w:val="28"/>
        </w:rPr>
      </w:pPr>
    </w:p>
    <w:p>
      <w:pPr>
        <w:pStyle w:val="BodyText"/>
        <w:spacing w:before="9"/>
        <w:rPr>
          <w:i/>
          <w:sz w:val="23"/>
        </w:rPr>
      </w:pPr>
    </w:p>
    <w:p>
      <w:pPr>
        <w:pStyle w:val="ListParagraph"/>
        <w:numPr>
          <w:ilvl w:val="0"/>
          <w:numId w:val="219"/>
        </w:numPr>
        <w:tabs>
          <w:tab w:pos="1221" w:val="left" w:leader="none"/>
        </w:tabs>
        <w:spacing w:line="480" w:lineRule="auto" w:before="0" w:after="0"/>
        <w:ind w:left="500" w:right="436" w:firstLine="0"/>
        <w:jc w:val="both"/>
        <w:rPr>
          <w:sz w:val="25"/>
        </w:rPr>
      </w:pPr>
      <w:r>
        <w:rPr>
          <w:sz w:val="25"/>
        </w:rPr>
        <w:t>The next stage in the developments which took place post the riots of 1934 consists of Suit 95/1941, instituted by Mahant Ramcharan Das against Raghunath Das and others. This suit pertained to properties claimed by Nirmohi </w:t>
      </w:r>
      <w:r>
        <w:rPr>
          <w:spacing w:val="-1"/>
          <w:w w:val="99"/>
          <w:sz w:val="25"/>
        </w:rPr>
        <w:t>A</w:t>
      </w:r>
      <w:r>
        <w:rPr>
          <w:w w:val="99"/>
          <w:sz w:val="25"/>
        </w:rPr>
        <w:t>khara</w:t>
      </w:r>
      <w:r>
        <w:rPr>
          <w:sz w:val="25"/>
        </w:rPr>
        <w:t> </w:t>
      </w:r>
      <w:r>
        <w:rPr>
          <w:spacing w:val="-10"/>
          <w:sz w:val="25"/>
        </w:rPr>
        <w:t> </w:t>
      </w:r>
      <w:r>
        <w:rPr>
          <w:spacing w:val="-1"/>
          <w:w w:val="99"/>
          <w:sz w:val="25"/>
        </w:rPr>
        <w:t>inclu</w:t>
      </w:r>
      <w:r>
        <w:rPr>
          <w:w w:val="99"/>
          <w:sz w:val="25"/>
        </w:rPr>
        <w:t>d</w:t>
      </w:r>
      <w:r>
        <w:rPr>
          <w:spacing w:val="-1"/>
          <w:w w:val="99"/>
          <w:sz w:val="25"/>
        </w:rPr>
        <w:t>in</w:t>
      </w:r>
      <w:r>
        <w:rPr>
          <w:w w:val="99"/>
          <w:sz w:val="25"/>
        </w:rPr>
        <w:t>g</w:t>
      </w:r>
      <w:r>
        <w:rPr>
          <w:sz w:val="25"/>
        </w:rPr>
        <w:t> </w:t>
      </w:r>
      <w:r>
        <w:rPr>
          <w:spacing w:val="-9"/>
          <w:sz w:val="25"/>
        </w:rPr>
        <w:t> </w:t>
      </w:r>
      <w:r>
        <w:rPr>
          <w:w w:val="99"/>
          <w:sz w:val="25"/>
        </w:rPr>
        <w:t>the</w:t>
      </w:r>
      <w:r>
        <w:rPr>
          <w:sz w:val="25"/>
        </w:rPr>
        <w:t> </w:t>
      </w:r>
      <w:r>
        <w:rPr>
          <w:spacing w:val="-9"/>
          <w:sz w:val="25"/>
        </w:rPr>
        <w:t> </w:t>
      </w:r>
      <w:r>
        <w:rPr>
          <w:spacing w:val="-1"/>
          <w:w w:val="99"/>
          <w:sz w:val="25"/>
        </w:rPr>
        <w:t>Ra</w:t>
      </w:r>
      <w:r>
        <w:rPr>
          <w:w w:val="99"/>
          <w:sz w:val="25"/>
        </w:rPr>
        <w:t>mcha</w:t>
      </w:r>
      <w:r>
        <w:rPr>
          <w:spacing w:val="-1"/>
          <w:w w:val="99"/>
          <w:sz w:val="25"/>
        </w:rPr>
        <w:t>b</w:t>
      </w:r>
      <w:r>
        <w:rPr>
          <w:w w:val="99"/>
          <w:sz w:val="25"/>
        </w:rPr>
        <w:t>utra</w:t>
      </w:r>
      <w:r>
        <w:rPr>
          <w:sz w:val="25"/>
        </w:rPr>
        <w:t> </w:t>
      </w:r>
      <w:r>
        <w:rPr>
          <w:spacing w:val="-10"/>
          <w:sz w:val="25"/>
        </w:rPr>
        <w:t> </w:t>
      </w:r>
      <w:r>
        <w:rPr>
          <w:spacing w:val="-1"/>
          <w:w w:val="99"/>
          <w:sz w:val="25"/>
        </w:rPr>
        <w:t>d</w:t>
      </w:r>
      <w:r>
        <w:rPr>
          <w:w w:val="99"/>
          <w:sz w:val="25"/>
        </w:rPr>
        <w:t>escr</w:t>
      </w:r>
      <w:r>
        <w:rPr>
          <w:spacing w:val="-3"/>
          <w:w w:val="99"/>
          <w:sz w:val="25"/>
        </w:rPr>
        <w:t>i</w:t>
      </w:r>
      <w:r>
        <w:rPr>
          <w:spacing w:val="-1"/>
          <w:w w:val="99"/>
          <w:sz w:val="25"/>
        </w:rPr>
        <w:t>b</w:t>
      </w:r>
      <w:r>
        <w:rPr>
          <w:w w:val="99"/>
          <w:sz w:val="25"/>
        </w:rPr>
        <w:t>ed</w:t>
      </w:r>
      <w:r>
        <w:rPr>
          <w:sz w:val="25"/>
        </w:rPr>
        <w:t> </w:t>
      </w:r>
      <w:r>
        <w:rPr>
          <w:spacing w:val="-10"/>
          <w:sz w:val="25"/>
        </w:rPr>
        <w:t> </w:t>
      </w:r>
      <w:r>
        <w:rPr>
          <w:spacing w:val="-1"/>
          <w:w w:val="99"/>
          <w:sz w:val="25"/>
        </w:rPr>
        <w:t>a</w:t>
      </w:r>
      <w:r>
        <w:rPr>
          <w:w w:val="99"/>
          <w:sz w:val="25"/>
        </w:rPr>
        <w:t>s</w:t>
      </w:r>
      <w:r>
        <w:rPr>
          <w:sz w:val="25"/>
        </w:rPr>
        <w:t> </w:t>
      </w:r>
      <w:r>
        <w:rPr>
          <w:spacing w:val="-10"/>
          <w:sz w:val="25"/>
        </w:rPr>
        <w:t> </w:t>
      </w:r>
      <w:r>
        <w:rPr>
          <w:w w:val="33"/>
          <w:sz w:val="25"/>
        </w:rPr>
        <w:t>―</w:t>
      </w:r>
      <w:r>
        <w:rPr>
          <w:w w:val="99"/>
          <w:sz w:val="25"/>
        </w:rPr>
        <w:t>Janm</w:t>
      </w:r>
      <w:r>
        <w:rPr>
          <w:spacing w:val="-1"/>
          <w:w w:val="99"/>
          <w:sz w:val="25"/>
        </w:rPr>
        <w:t>a</w:t>
      </w:r>
      <w:r>
        <w:rPr>
          <w:w w:val="99"/>
          <w:sz w:val="25"/>
        </w:rPr>
        <w:t>b</w:t>
      </w:r>
      <w:r>
        <w:rPr>
          <w:spacing w:val="-1"/>
          <w:w w:val="99"/>
          <w:sz w:val="25"/>
        </w:rPr>
        <w:t>h</w:t>
      </w:r>
      <w:r>
        <w:rPr>
          <w:w w:val="99"/>
          <w:sz w:val="25"/>
        </w:rPr>
        <w:t>umi</w:t>
      </w:r>
      <w:r>
        <w:rPr>
          <w:sz w:val="25"/>
        </w:rPr>
        <w:t> </w:t>
      </w:r>
      <w:r>
        <w:rPr>
          <w:spacing w:val="-10"/>
          <w:sz w:val="25"/>
        </w:rPr>
        <w:t> </w:t>
      </w:r>
      <w:r>
        <w:rPr>
          <w:spacing w:val="-4"/>
          <w:w w:val="99"/>
          <w:sz w:val="25"/>
        </w:rPr>
        <w:t>M</w:t>
      </w:r>
      <w:r>
        <w:rPr>
          <w:spacing w:val="-1"/>
          <w:w w:val="99"/>
          <w:sz w:val="25"/>
        </w:rPr>
        <w:t>a</w:t>
      </w:r>
      <w:r>
        <w:rPr>
          <w:w w:val="99"/>
          <w:sz w:val="25"/>
        </w:rPr>
        <w:t>n</w:t>
      </w:r>
      <w:r>
        <w:rPr>
          <w:spacing w:val="-1"/>
          <w:w w:val="99"/>
          <w:sz w:val="25"/>
        </w:rPr>
        <w:t>di</w:t>
      </w:r>
      <w:r>
        <w:rPr>
          <w:w w:val="99"/>
          <w:sz w:val="25"/>
        </w:rPr>
        <w:t>r</w:t>
      </w:r>
      <w:r>
        <w:rPr>
          <w:w w:val="80"/>
          <w:sz w:val="25"/>
        </w:rPr>
        <w:t>‖</w:t>
      </w:r>
      <w:r>
        <w:rPr>
          <w:w w:val="99"/>
          <w:sz w:val="25"/>
        </w:rPr>
        <w:t>.</w:t>
      </w:r>
      <w:r>
        <w:rPr>
          <w:sz w:val="25"/>
        </w:rPr>
        <w:t> </w:t>
      </w:r>
      <w:r>
        <w:rPr>
          <w:spacing w:val="-10"/>
          <w:sz w:val="25"/>
        </w:rPr>
        <w:t> </w:t>
      </w:r>
      <w:r>
        <w:rPr>
          <w:spacing w:val="-1"/>
          <w:w w:val="99"/>
          <w:sz w:val="25"/>
        </w:rPr>
        <w:t>Ba</w:t>
      </w:r>
      <w:r>
        <w:rPr>
          <w:w w:val="99"/>
          <w:sz w:val="25"/>
        </w:rPr>
        <w:t>bri </w:t>
      </w:r>
      <w:r>
        <w:rPr>
          <w:sz w:val="25"/>
        </w:rPr>
        <w:t>Masjid is adverted to in the list of properties provided in the suit. A report was submitted by the Commissioner on 18 April 1942. The suit was disposed of by a compromise dated 4 June 1942 in terms of which a decree was drawn up. The suit pertained to a dispute </w:t>
      </w:r>
      <w:r>
        <w:rPr>
          <w:i/>
          <w:sz w:val="25"/>
        </w:rPr>
        <w:t>inter se </w:t>
      </w:r>
      <w:r>
        <w:rPr>
          <w:sz w:val="25"/>
        </w:rPr>
        <w:t>between the Nirmohis. The Muslim parties have relied on the compromise as indicating the existence of Babri Masjid and the</w:t>
      </w:r>
      <w:r>
        <w:rPr>
          <w:spacing w:val="-1"/>
          <w:sz w:val="25"/>
        </w:rPr>
        <w:t> </w:t>
      </w:r>
      <w:r>
        <w:rPr>
          <w:sz w:val="25"/>
        </w:rPr>
        <w:t>graveyard.</w:t>
      </w:r>
    </w:p>
    <w:p>
      <w:pPr>
        <w:spacing w:after="0" w:line="480" w:lineRule="auto"/>
        <w:jc w:val="both"/>
        <w:rPr>
          <w:sz w:val="25"/>
        </w:rPr>
        <w:sectPr>
          <w:pgSz w:w="11910" w:h="16840"/>
          <w:pgMar w:header="721" w:footer="1014" w:top="1300" w:bottom="1200" w:left="940" w:right="1000"/>
        </w:sectPr>
      </w:pPr>
    </w:p>
    <w:p>
      <w:pPr>
        <w:pStyle w:val="Heading4"/>
        <w:spacing w:before="126"/>
        <w:rPr>
          <w:i/>
        </w:rPr>
      </w:pPr>
      <w:r>
        <w:rPr>
          <w:i/>
        </w:rPr>
        <w:t>The suit between Shias and Sunnis</w:t>
      </w:r>
    </w:p>
    <w:p>
      <w:pPr>
        <w:pStyle w:val="BodyText"/>
        <w:rPr>
          <w:i/>
          <w:sz w:val="28"/>
        </w:rPr>
      </w:pPr>
    </w:p>
    <w:p>
      <w:pPr>
        <w:pStyle w:val="BodyText"/>
        <w:spacing w:before="10"/>
        <w:rPr>
          <w:i/>
          <w:sz w:val="23"/>
        </w:rPr>
      </w:pPr>
    </w:p>
    <w:p>
      <w:pPr>
        <w:pStyle w:val="ListParagraph"/>
        <w:numPr>
          <w:ilvl w:val="0"/>
          <w:numId w:val="219"/>
        </w:numPr>
        <w:tabs>
          <w:tab w:pos="1221" w:val="left" w:leader="none"/>
        </w:tabs>
        <w:spacing w:line="480" w:lineRule="auto" w:before="0" w:after="0"/>
        <w:ind w:left="500" w:right="436" w:firstLine="0"/>
        <w:jc w:val="both"/>
        <w:rPr>
          <w:sz w:val="25"/>
        </w:rPr>
      </w:pPr>
      <w:r>
        <w:rPr>
          <w:sz w:val="25"/>
        </w:rPr>
        <w:t>In 1945, there was a litigation between the Shias and Sunnis in Suit 29/1945 which was decided on 30 March 1946. The grievance of the Shias, as stated in their notice dated 11 April 1945 that the Commissioner of Waqfs included Babri Masjid in the list of Sunni mosques. The plaint notes that the Masjid was located at Janmasthan Ayodhya. The suit was dismissed by holding that the mosque was a Sunni mosque. The Sunni Central Waqf Board, by a letter dated 25 November 1948 sought an explanation as to how, upon the death of the previous Mutawalli another individual was working in the</w:t>
      </w:r>
      <w:r>
        <w:rPr>
          <w:spacing w:val="-6"/>
          <w:sz w:val="25"/>
        </w:rPr>
        <w:t> </w:t>
      </w:r>
      <w:r>
        <w:rPr>
          <w:sz w:val="25"/>
        </w:rPr>
        <w:t>mosque.</w:t>
      </w:r>
    </w:p>
    <w:p>
      <w:pPr>
        <w:pStyle w:val="BodyText"/>
        <w:rPr>
          <w:sz w:val="28"/>
        </w:rPr>
      </w:pPr>
    </w:p>
    <w:p>
      <w:pPr>
        <w:pStyle w:val="Heading3"/>
        <w:numPr>
          <w:ilvl w:val="1"/>
          <w:numId w:val="191"/>
        </w:numPr>
        <w:tabs>
          <w:tab w:pos="1220" w:val="left" w:leader="none"/>
          <w:tab w:pos="1221" w:val="left" w:leader="none"/>
        </w:tabs>
        <w:spacing w:line="240" w:lineRule="auto" w:before="246" w:after="0"/>
        <w:ind w:left="1220" w:right="0" w:hanging="721"/>
        <w:jc w:val="left"/>
      </w:pPr>
      <w:r>
        <w:rPr/>
        <w:t>Proof of namaz</w:t>
      </w:r>
    </w:p>
    <w:p>
      <w:pPr>
        <w:pStyle w:val="BodyText"/>
        <w:rPr>
          <w:b/>
          <w:sz w:val="28"/>
        </w:rPr>
      </w:pPr>
    </w:p>
    <w:p>
      <w:pPr>
        <w:pStyle w:val="ListParagraph"/>
        <w:numPr>
          <w:ilvl w:val="0"/>
          <w:numId w:val="219"/>
        </w:numPr>
        <w:tabs>
          <w:tab w:pos="1221" w:val="left" w:leader="none"/>
        </w:tabs>
        <w:spacing w:line="480" w:lineRule="auto" w:before="217" w:after="0"/>
        <w:ind w:left="500" w:right="442" w:firstLine="0"/>
        <w:jc w:val="both"/>
        <w:rPr>
          <w:sz w:val="25"/>
        </w:rPr>
      </w:pPr>
      <w:r>
        <w:rPr>
          <w:sz w:val="25"/>
        </w:rPr>
        <w:t>Several witnesses who deposed on behalf of the plaintiffs in Suit 4 stated that they had visited the Babri Masjid to offer namaz. Their evidence is of relevance to determine whether namaz was being offered at the disputed property as well as the frequency of the</w:t>
      </w:r>
      <w:r>
        <w:rPr>
          <w:spacing w:val="-5"/>
          <w:sz w:val="25"/>
        </w:rPr>
        <w:t> </w:t>
      </w:r>
      <w:r>
        <w:rPr>
          <w:sz w:val="25"/>
        </w:rPr>
        <w:t>namaz.</w:t>
      </w:r>
    </w:p>
    <w:p>
      <w:pPr>
        <w:pStyle w:val="BodyText"/>
        <w:spacing w:before="9"/>
        <w:rPr>
          <w:sz w:val="38"/>
        </w:rPr>
      </w:pPr>
    </w:p>
    <w:p>
      <w:pPr>
        <w:pStyle w:val="ListParagraph"/>
        <w:numPr>
          <w:ilvl w:val="0"/>
          <w:numId w:val="219"/>
        </w:numPr>
        <w:tabs>
          <w:tab w:pos="1221" w:val="left" w:leader="none"/>
        </w:tabs>
        <w:spacing w:line="480" w:lineRule="auto" w:before="0" w:after="0"/>
        <w:ind w:left="500" w:right="434" w:firstLine="0"/>
        <w:jc w:val="both"/>
        <w:rPr>
          <w:sz w:val="25"/>
        </w:rPr>
      </w:pPr>
      <w:r>
        <w:rPr>
          <w:b/>
          <w:sz w:val="25"/>
        </w:rPr>
        <w:t>Mohammad Hashim (PW-1): </w:t>
      </w:r>
      <w:r>
        <w:rPr>
          <w:sz w:val="25"/>
        </w:rPr>
        <w:t>The age of the witness was stated to be about 75 years. In the affidavit filed in lieu of the Examination-in-Chief, the witness stated that Tabari was read only in Babri Masjid. He had sometimes read five times namaz and the namaz of Jumme and Tabari. He claims to have read the last namaz on 22 December 1949. In his cross-examination the witness stated that it was in 1938 that he first went to read namaz. He further stated in his cross-examination that namaz was offered five times daily at the disputed</w:t>
      </w:r>
      <w:r>
        <w:rPr>
          <w:spacing w:val="-17"/>
          <w:sz w:val="25"/>
        </w:rPr>
        <w:t> </w:t>
      </w:r>
      <w:r>
        <w:rPr>
          <w:sz w:val="25"/>
        </w:rPr>
        <w:t>site.</w:t>
      </w:r>
    </w:p>
    <w:p>
      <w:pPr>
        <w:spacing w:after="0" w:line="480" w:lineRule="auto"/>
        <w:jc w:val="both"/>
        <w:rPr>
          <w:sz w:val="25"/>
        </w:rPr>
        <w:sectPr>
          <w:pgSz w:w="11910" w:h="16840"/>
          <w:pgMar w:header="721" w:footer="1014" w:top="1300" w:bottom="1200" w:left="940" w:right="1000"/>
        </w:sectPr>
      </w:pPr>
    </w:p>
    <w:p>
      <w:pPr>
        <w:pStyle w:val="BodyText"/>
        <w:spacing w:before="9"/>
        <w:rPr>
          <w:sz w:val="27"/>
        </w:rPr>
      </w:pPr>
    </w:p>
    <w:p>
      <w:pPr>
        <w:pStyle w:val="BodyText"/>
        <w:spacing w:line="480" w:lineRule="auto" w:before="92"/>
        <w:ind w:left="500" w:right="434"/>
        <w:jc w:val="both"/>
      </w:pPr>
      <w:r>
        <w:rPr/>
        <w:t>During the course of his cross-examination, the witness gave a description of the structure of the mosque. The witness states that there was no door in the east, but he later stated that the door at the east was three feet higher than him. In his cross-examination, the witness stated that he had read the Namaz Isha at 8 pm on 22 December 1949 in Babri Masjid. He stated that he remembered that the eastern gate was locked when Gopal Singh Visharad filed the suit on </w:t>
      </w:r>
      <w:r>
        <w:rPr>
          <w:spacing w:val="4"/>
        </w:rPr>
        <w:t>15 </w:t>
      </w:r>
      <w:r>
        <w:rPr/>
        <w:t>January 1950 but did not know about the other gate. In his cross-examination PW-1  stated that the disputed building was unlocked on 2 February 1986 and a Writ Petition was instituted pursuant to the opening of locks in February</w:t>
      </w:r>
      <w:r>
        <w:rPr>
          <w:spacing w:val="-11"/>
        </w:rPr>
        <w:t> </w:t>
      </w:r>
      <w:r>
        <w:rPr/>
        <w:t>1986.</w:t>
      </w:r>
    </w:p>
    <w:p>
      <w:pPr>
        <w:pStyle w:val="BodyText"/>
        <w:spacing w:before="1"/>
      </w:pPr>
    </w:p>
    <w:p>
      <w:pPr>
        <w:pStyle w:val="BodyText"/>
        <w:spacing w:line="480" w:lineRule="auto"/>
        <w:ind w:left="500" w:right="438"/>
        <w:jc w:val="both"/>
      </w:pPr>
      <w:r>
        <w:rPr/>
        <w:t>PW-1 was unable to recollect information accurately. In his cross-examination, he stated:</w:t>
      </w:r>
    </w:p>
    <w:p>
      <w:pPr>
        <w:spacing w:line="276" w:lineRule="auto" w:before="0"/>
        <w:ind w:left="1940" w:right="2260" w:firstLine="0"/>
        <w:jc w:val="both"/>
        <w:rPr>
          <w:sz w:val="21"/>
        </w:rPr>
      </w:pPr>
      <w:r>
        <w:rPr>
          <w:w w:val="33"/>
          <w:sz w:val="21"/>
        </w:rPr>
        <w:t>―</w:t>
      </w:r>
      <w:r>
        <w:rPr>
          <w:w w:val="100"/>
          <w:sz w:val="21"/>
        </w:rPr>
        <w:t>I</w:t>
      </w:r>
      <w:r>
        <w:rPr>
          <w:sz w:val="21"/>
        </w:rPr>
        <w:t> </w:t>
      </w:r>
      <w:r>
        <w:rPr>
          <w:w w:val="100"/>
          <w:sz w:val="21"/>
        </w:rPr>
        <w:t>do</w:t>
      </w:r>
      <w:r>
        <w:rPr>
          <w:sz w:val="21"/>
        </w:rPr>
        <w:t> </w:t>
      </w:r>
      <w:r>
        <w:rPr>
          <w:w w:val="100"/>
          <w:sz w:val="21"/>
        </w:rPr>
        <w:t>not</w:t>
      </w:r>
      <w:r>
        <w:rPr>
          <w:sz w:val="21"/>
        </w:rPr>
        <w:t> </w:t>
      </w:r>
      <w:r>
        <w:rPr>
          <w:w w:val="100"/>
          <w:sz w:val="21"/>
        </w:rPr>
        <w:t>remember</w:t>
      </w:r>
      <w:r>
        <w:rPr>
          <w:sz w:val="21"/>
        </w:rPr>
        <w:t> </w:t>
      </w:r>
      <w:r>
        <w:rPr>
          <w:w w:val="100"/>
          <w:sz w:val="21"/>
        </w:rPr>
        <w:t>that</w:t>
      </w:r>
      <w:r>
        <w:rPr>
          <w:sz w:val="21"/>
        </w:rPr>
        <w:t> </w:t>
      </w:r>
      <w:r>
        <w:rPr>
          <w:w w:val="100"/>
          <w:sz w:val="21"/>
        </w:rPr>
        <w:t>I</w:t>
      </w:r>
      <w:r>
        <w:rPr>
          <w:sz w:val="21"/>
        </w:rPr>
        <w:t> </w:t>
      </w:r>
      <w:r>
        <w:rPr>
          <w:w w:val="100"/>
          <w:sz w:val="21"/>
        </w:rPr>
        <w:t>mentioned</w:t>
      </w:r>
      <w:r>
        <w:rPr>
          <w:sz w:val="21"/>
        </w:rPr>
        <w:t> </w:t>
      </w:r>
      <w:r>
        <w:rPr>
          <w:w w:val="100"/>
          <w:sz w:val="21"/>
        </w:rPr>
        <w:t>my</w:t>
      </w:r>
      <w:r>
        <w:rPr>
          <w:sz w:val="21"/>
        </w:rPr>
        <w:t> </w:t>
      </w:r>
      <w:r>
        <w:rPr>
          <w:w w:val="100"/>
          <w:sz w:val="21"/>
        </w:rPr>
        <w:t>age</w:t>
      </w:r>
      <w:r>
        <w:rPr>
          <w:sz w:val="21"/>
        </w:rPr>
        <w:t> </w:t>
      </w:r>
      <w:r>
        <w:rPr>
          <w:w w:val="100"/>
          <w:sz w:val="21"/>
        </w:rPr>
        <w:t>55</w:t>
      </w:r>
      <w:r>
        <w:rPr>
          <w:sz w:val="21"/>
        </w:rPr>
        <w:t> </w:t>
      </w:r>
      <w:r>
        <w:rPr>
          <w:w w:val="100"/>
          <w:sz w:val="21"/>
        </w:rPr>
        <w:t>years</w:t>
      </w:r>
      <w:r>
        <w:rPr>
          <w:sz w:val="21"/>
        </w:rPr>
        <w:t> </w:t>
      </w:r>
      <w:r>
        <w:rPr>
          <w:w w:val="100"/>
          <w:sz w:val="21"/>
        </w:rPr>
        <w:t>in</w:t>
      </w:r>
      <w:r>
        <w:rPr>
          <w:sz w:val="21"/>
        </w:rPr>
        <w:t> </w:t>
      </w:r>
      <w:r>
        <w:rPr>
          <w:w w:val="100"/>
          <w:sz w:val="21"/>
        </w:rPr>
        <w:t>the </w:t>
      </w:r>
      <w:r>
        <w:rPr>
          <w:sz w:val="21"/>
        </w:rPr>
        <w:t>affidavit submitted in 1986 with Writ Petition‖ (the Affidavit of the Writ Petition was shown to the witness).‖</w:t>
      </w:r>
    </w:p>
    <w:p>
      <w:pPr>
        <w:pStyle w:val="BodyText"/>
        <w:rPr>
          <w:sz w:val="24"/>
        </w:rPr>
      </w:pPr>
    </w:p>
    <w:p>
      <w:pPr>
        <w:pStyle w:val="BodyText"/>
        <w:spacing w:line="480" w:lineRule="auto" w:before="206"/>
        <w:ind w:left="500" w:right="465"/>
        <w:jc w:val="both"/>
      </w:pPr>
      <w:r>
        <w:rPr/>
        <w:t>When asked about the Writ Petition filed pursuant to the opening of the lock, the witness stated the following in the cross-examination:</w:t>
      </w:r>
    </w:p>
    <w:p>
      <w:pPr>
        <w:spacing w:line="276" w:lineRule="auto" w:before="0"/>
        <w:ind w:left="1940" w:right="2260" w:firstLine="0"/>
        <w:jc w:val="both"/>
        <w:rPr>
          <w:sz w:val="21"/>
        </w:rPr>
      </w:pPr>
      <w:r>
        <w:rPr>
          <w:w w:val="33"/>
          <w:sz w:val="21"/>
        </w:rPr>
        <w:t>―</w:t>
      </w:r>
      <w:r>
        <w:rPr>
          <w:w w:val="100"/>
          <w:sz w:val="21"/>
        </w:rPr>
        <w:t>It</w:t>
      </w:r>
      <w:r>
        <w:rPr>
          <w:sz w:val="21"/>
        </w:rPr>
        <w:t> </w:t>
      </w:r>
      <w:r>
        <w:rPr>
          <w:w w:val="100"/>
          <w:sz w:val="21"/>
        </w:rPr>
        <w:t>is</w:t>
      </w:r>
      <w:r>
        <w:rPr>
          <w:sz w:val="21"/>
        </w:rPr>
        <w:t> </w:t>
      </w:r>
      <w:r>
        <w:rPr>
          <w:w w:val="100"/>
          <w:sz w:val="21"/>
        </w:rPr>
        <w:t>correct</w:t>
      </w:r>
      <w:r>
        <w:rPr>
          <w:sz w:val="21"/>
        </w:rPr>
        <w:t> </w:t>
      </w:r>
      <w:r>
        <w:rPr>
          <w:w w:val="100"/>
          <w:sz w:val="21"/>
        </w:rPr>
        <w:t>that</w:t>
      </w:r>
      <w:r>
        <w:rPr>
          <w:sz w:val="21"/>
        </w:rPr>
        <w:t> </w:t>
      </w:r>
      <w:r>
        <w:rPr>
          <w:w w:val="100"/>
          <w:sz w:val="21"/>
        </w:rPr>
        <w:t>my</w:t>
      </w:r>
      <w:r>
        <w:rPr>
          <w:sz w:val="21"/>
        </w:rPr>
        <w:t> </w:t>
      </w:r>
      <w:r>
        <w:rPr>
          <w:w w:val="100"/>
          <w:sz w:val="21"/>
        </w:rPr>
        <w:t>memory</w:t>
      </w:r>
      <w:r>
        <w:rPr>
          <w:sz w:val="21"/>
        </w:rPr>
        <w:t> </w:t>
      </w:r>
      <w:r>
        <w:rPr>
          <w:w w:val="100"/>
          <w:sz w:val="21"/>
        </w:rPr>
        <w:t>is</w:t>
      </w:r>
      <w:r>
        <w:rPr>
          <w:sz w:val="21"/>
        </w:rPr>
        <w:t> </w:t>
      </w:r>
      <w:r>
        <w:rPr>
          <w:w w:val="100"/>
          <w:sz w:val="21"/>
        </w:rPr>
        <w:t>weak</w:t>
      </w:r>
      <w:r>
        <w:rPr>
          <w:sz w:val="21"/>
        </w:rPr>
        <w:t> </w:t>
      </w:r>
      <w:r>
        <w:rPr>
          <w:w w:val="100"/>
          <w:sz w:val="21"/>
        </w:rPr>
        <w:t>due</w:t>
      </w:r>
      <w:r>
        <w:rPr>
          <w:sz w:val="21"/>
        </w:rPr>
        <w:t> </w:t>
      </w:r>
      <w:r>
        <w:rPr>
          <w:w w:val="100"/>
          <w:sz w:val="21"/>
        </w:rPr>
        <w:t>to</w:t>
      </w:r>
      <w:r>
        <w:rPr>
          <w:sz w:val="21"/>
        </w:rPr>
        <w:t> </w:t>
      </w:r>
      <w:r>
        <w:rPr>
          <w:w w:val="100"/>
          <w:sz w:val="21"/>
        </w:rPr>
        <w:t>the</w:t>
      </w:r>
      <w:r>
        <w:rPr>
          <w:sz w:val="21"/>
        </w:rPr>
        <w:t> </w:t>
      </w:r>
      <w:r>
        <w:rPr>
          <w:w w:val="100"/>
          <w:sz w:val="21"/>
        </w:rPr>
        <w:t>old</w:t>
      </w:r>
      <w:r>
        <w:rPr>
          <w:sz w:val="21"/>
        </w:rPr>
        <w:t> </w:t>
      </w:r>
      <w:r>
        <w:rPr>
          <w:w w:val="100"/>
          <w:sz w:val="21"/>
        </w:rPr>
        <w:t>age</w:t>
      </w:r>
      <w:r>
        <w:rPr>
          <w:sz w:val="21"/>
        </w:rPr>
        <w:t> </w:t>
      </w:r>
      <w:r>
        <w:rPr>
          <w:w w:val="100"/>
          <w:sz w:val="21"/>
        </w:rPr>
        <w:t>but </w:t>
      </w:r>
      <w:r>
        <w:rPr>
          <w:sz w:val="21"/>
        </w:rPr>
        <w:t>our Advocate may be knowing about it.‖</w:t>
      </w:r>
    </w:p>
    <w:p>
      <w:pPr>
        <w:pStyle w:val="BodyText"/>
        <w:rPr>
          <w:sz w:val="24"/>
        </w:rPr>
      </w:pPr>
    </w:p>
    <w:p>
      <w:pPr>
        <w:pStyle w:val="BodyText"/>
        <w:spacing w:line="480" w:lineRule="auto" w:before="208"/>
        <w:ind w:left="500" w:right="444"/>
        <w:jc w:val="both"/>
      </w:pPr>
      <w:r>
        <w:rPr/>
        <w:t>The witness was unable to recall when his two marriages took place. He was not able to recall the age of his daughter. The lapses in the memory of the witness under cross-examination cast doubt on the statements contained in the affidavit in lieu of the</w:t>
      </w:r>
      <w:r>
        <w:rPr>
          <w:spacing w:val="-3"/>
        </w:rPr>
        <w:t> </w:t>
      </w:r>
      <w:r>
        <w:rPr/>
        <w:t>Examination-in-Chief.</w:t>
      </w:r>
    </w:p>
    <w:p>
      <w:pPr>
        <w:spacing w:after="0" w:line="480" w:lineRule="auto"/>
        <w:jc w:val="both"/>
        <w:sectPr>
          <w:pgSz w:w="11910" w:h="16840"/>
          <w:pgMar w:header="721" w:footer="1014" w:top="1300" w:bottom="1200" w:left="940" w:right="1000"/>
        </w:sectPr>
      </w:pPr>
    </w:p>
    <w:p>
      <w:pPr>
        <w:pStyle w:val="ListParagraph"/>
        <w:numPr>
          <w:ilvl w:val="0"/>
          <w:numId w:val="219"/>
        </w:numPr>
        <w:tabs>
          <w:tab w:pos="1221" w:val="left" w:leader="none"/>
        </w:tabs>
        <w:spacing w:line="480" w:lineRule="auto" w:before="121" w:after="0"/>
        <w:ind w:left="500" w:right="436" w:firstLine="0"/>
        <w:jc w:val="both"/>
        <w:rPr>
          <w:sz w:val="25"/>
        </w:rPr>
      </w:pPr>
      <w:r>
        <w:rPr>
          <w:b/>
          <w:sz w:val="25"/>
        </w:rPr>
        <w:t>Haji Mehmood Ahmed (PW-2): </w:t>
      </w:r>
      <w:r>
        <w:rPr>
          <w:sz w:val="25"/>
        </w:rPr>
        <w:t>The date of the Examination-in-Chief of the witness is 17 September 1976. The witness was about 58 years old. The witness stated that he had offered namaz more than a hundred times at the disputed property. The witness stated that he had been offering five times namaz, except Friday namaz at Babri Masjid. Namaz was last offered by him on 22nd December, 1949. According to his account, there was no restriction on namaz till he was offering it; he had never seen a puja performed inside the</w:t>
      </w:r>
      <w:r>
        <w:rPr>
          <w:spacing w:val="-14"/>
          <w:sz w:val="25"/>
        </w:rPr>
        <w:t> </w:t>
      </w:r>
      <w:r>
        <w:rPr>
          <w:sz w:val="25"/>
        </w:rPr>
        <w:t>mosque.</w:t>
      </w:r>
    </w:p>
    <w:p>
      <w:pPr>
        <w:pStyle w:val="BodyText"/>
        <w:spacing w:before="1"/>
        <w:rPr>
          <w:sz w:val="39"/>
        </w:rPr>
      </w:pPr>
    </w:p>
    <w:p>
      <w:pPr>
        <w:pStyle w:val="BodyText"/>
        <w:spacing w:line="480" w:lineRule="auto"/>
        <w:ind w:left="500" w:right="451"/>
        <w:jc w:val="both"/>
      </w:pPr>
      <w:r>
        <w:rPr>
          <w:w w:val="99"/>
        </w:rPr>
        <w:t>In</w:t>
      </w:r>
      <w:r>
        <w:rPr/>
        <w:t> </w:t>
      </w:r>
      <w:r>
        <w:rPr>
          <w:w w:val="99"/>
        </w:rPr>
        <w:t>his</w:t>
      </w:r>
      <w:r>
        <w:rPr/>
        <w:t> </w:t>
      </w:r>
      <w:r>
        <w:rPr>
          <w:w w:val="99"/>
        </w:rPr>
        <w:t>cross-examination,</w:t>
      </w:r>
      <w:r>
        <w:rPr/>
        <w:t> </w:t>
      </w:r>
      <w:r>
        <w:rPr>
          <w:w w:val="99"/>
        </w:rPr>
        <w:t>the</w:t>
      </w:r>
      <w:r>
        <w:rPr/>
        <w:t> </w:t>
      </w:r>
      <w:r>
        <w:rPr>
          <w:w w:val="99"/>
        </w:rPr>
        <w:t>witness</w:t>
      </w:r>
      <w:r>
        <w:rPr/>
        <w:t> </w:t>
      </w:r>
      <w:r>
        <w:rPr>
          <w:w w:val="99"/>
        </w:rPr>
        <w:t>stated</w:t>
      </w:r>
      <w:r>
        <w:rPr/>
        <w:t> </w:t>
      </w:r>
      <w:r>
        <w:rPr>
          <w:w w:val="99"/>
        </w:rPr>
        <w:t>that</w:t>
      </w:r>
      <w:r>
        <w:rPr/>
        <w:t> </w:t>
      </w:r>
      <w:r>
        <w:rPr>
          <w:w w:val="99"/>
        </w:rPr>
        <w:t>when</w:t>
      </w:r>
      <w:r>
        <w:rPr/>
        <w:t> </w:t>
      </w:r>
      <w:r>
        <w:rPr>
          <w:w w:val="99"/>
        </w:rPr>
        <w:t>he</w:t>
      </w:r>
      <w:r>
        <w:rPr/>
        <w:t> </w:t>
      </w:r>
      <w:r>
        <w:rPr>
          <w:w w:val="33"/>
        </w:rPr>
        <w:t>―</w:t>
      </w:r>
      <w:r>
        <w:rPr>
          <w:w w:val="99"/>
        </w:rPr>
        <w:t>came</w:t>
      </w:r>
      <w:r>
        <w:rPr/>
        <w:t> </w:t>
      </w:r>
      <w:r>
        <w:rPr>
          <w:w w:val="99"/>
        </w:rPr>
        <w:t>to</w:t>
      </w:r>
      <w:r>
        <w:rPr/>
        <w:t> </w:t>
      </w:r>
      <w:r>
        <w:rPr>
          <w:w w:val="99"/>
        </w:rPr>
        <w:t>his</w:t>
      </w:r>
      <w:r>
        <w:rPr/>
        <w:t> </w:t>
      </w:r>
      <w:r>
        <w:rPr>
          <w:w w:val="99"/>
        </w:rPr>
        <w:t>sen</w:t>
      </w:r>
      <w:r>
        <w:rPr>
          <w:w w:val="95"/>
        </w:rPr>
        <w:t>ses‖ </w:t>
      </w:r>
      <w:r>
        <w:rPr/>
        <w:t>(at the age of 10-11 years) he noticed that people frequently visited the disputed property. He stated however that he did not use that way, so he could not say whether there were any restrictions on people‘s movements. In his cross- examination, the witness stated that he passed the High School examination in 1961 when he was 21 years old, and the certificate shows his date of birth as 1944. In his cross-examination, he admitted that his statement of age as 21 years when he finished High School was due to some misunderstanding.</w:t>
      </w:r>
    </w:p>
    <w:p>
      <w:pPr>
        <w:pStyle w:val="BodyText"/>
        <w:spacing w:line="480" w:lineRule="auto" w:before="244"/>
        <w:ind w:left="500" w:right="437"/>
        <w:jc w:val="both"/>
      </w:pPr>
      <w:r>
        <w:rPr/>
        <w:t>There is an evident discrepancy in the statement of PW-2 in relation to his age, which casts a cloud of doubt on his testimony. If the year of his birth is 1944 as stated in his High School certificate, it is difficult to believe that in 1949 when the mosque was attached, a person who visited the mosque as a five-year old child would have accurate recollections of a mosque he visited 47 years ago.</w:t>
      </w:r>
    </w:p>
    <w:p>
      <w:pPr>
        <w:pStyle w:val="BodyText"/>
        <w:spacing w:before="10"/>
        <w:rPr>
          <w:sz w:val="41"/>
        </w:rPr>
      </w:pPr>
    </w:p>
    <w:p>
      <w:pPr>
        <w:pStyle w:val="ListParagraph"/>
        <w:numPr>
          <w:ilvl w:val="0"/>
          <w:numId w:val="219"/>
        </w:numPr>
        <w:tabs>
          <w:tab w:pos="1221" w:val="left" w:leader="none"/>
        </w:tabs>
        <w:spacing w:line="482" w:lineRule="auto" w:before="0" w:after="0"/>
        <w:ind w:left="500" w:right="440" w:firstLine="0"/>
        <w:jc w:val="both"/>
        <w:rPr>
          <w:sz w:val="25"/>
        </w:rPr>
      </w:pPr>
      <w:r>
        <w:rPr>
          <w:b/>
          <w:sz w:val="25"/>
        </w:rPr>
        <w:t>Farooq Ahmed (PW-3): </w:t>
      </w:r>
      <w:r>
        <w:rPr>
          <w:sz w:val="25"/>
        </w:rPr>
        <w:t>The age of the witness was stated to be about ninety years. The witness stated that he used to offer namaz at Babri Masjid.</w:t>
      </w:r>
      <w:r>
        <w:rPr>
          <w:spacing w:val="21"/>
          <w:sz w:val="25"/>
        </w:rPr>
        <w:t> </w:t>
      </w:r>
      <w:r>
        <w:rPr>
          <w:sz w:val="25"/>
        </w:rPr>
        <w:t>The</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witness stated that whenever he heard the Azaan, while going to Faizabad or coming back, he went for namaz, whatever be the time. He had last offered namaz in December 1949. After being informed that there may be some trouble, was asked to lock the door. He locked the door and kept the keys with him.</w:t>
      </w:r>
    </w:p>
    <w:p>
      <w:pPr>
        <w:pStyle w:val="BodyText"/>
        <w:spacing w:before="11"/>
        <w:rPr>
          <w:sz w:val="38"/>
        </w:rPr>
      </w:pPr>
    </w:p>
    <w:p>
      <w:pPr>
        <w:pStyle w:val="BodyText"/>
        <w:spacing w:line="480" w:lineRule="auto"/>
        <w:ind w:left="500" w:right="437"/>
        <w:jc w:val="both"/>
      </w:pPr>
      <w:r>
        <w:rPr/>
        <w:t>The witness stated in his cross-examination that he started offering namaz at the age of 28 along with his father. The witness further stated that he has been seeing people coming to offer namaz at the disputed property 10 years prior to the incident of 22 December 1949. The witness stated in his cross-examination that his father used to manage the</w:t>
      </w:r>
      <w:r>
        <w:rPr>
          <w:spacing w:val="-8"/>
        </w:rPr>
        <w:t> </w:t>
      </w:r>
      <w:r>
        <w:rPr/>
        <w:t>mosque.</w:t>
      </w:r>
    </w:p>
    <w:p>
      <w:pPr>
        <w:pStyle w:val="BodyText"/>
        <w:rPr>
          <w:sz w:val="27"/>
        </w:rPr>
      </w:pPr>
    </w:p>
    <w:p>
      <w:pPr>
        <w:pStyle w:val="BodyText"/>
        <w:spacing w:line="480" w:lineRule="auto"/>
        <w:ind w:left="500" w:right="435"/>
        <w:jc w:val="both"/>
      </w:pPr>
      <w:r>
        <w:rPr/>
        <w:t>In his cross-examination, the witness stated that it was Jumme-raat on 22 </w:t>
      </w:r>
      <w:r>
        <w:rPr>
          <w:spacing w:val="-1"/>
          <w:w w:val="99"/>
        </w:rPr>
        <w:t>Dece</w:t>
      </w:r>
      <w:r>
        <w:rPr>
          <w:spacing w:val="1"/>
          <w:w w:val="99"/>
        </w:rPr>
        <w:t>m</w:t>
      </w:r>
      <w:r>
        <w:rPr>
          <w:spacing w:val="-1"/>
          <w:w w:val="99"/>
        </w:rPr>
        <w:t>b</w:t>
      </w:r>
      <w:r>
        <w:rPr>
          <w:w w:val="99"/>
        </w:rPr>
        <w:t>er</w:t>
      </w:r>
      <w:r>
        <w:rPr>
          <w:spacing w:val="12"/>
        </w:rPr>
        <w:t> </w:t>
      </w:r>
      <w:r>
        <w:rPr>
          <w:spacing w:val="-1"/>
          <w:w w:val="99"/>
        </w:rPr>
        <w:t>1</w:t>
      </w:r>
      <w:r>
        <w:rPr>
          <w:w w:val="99"/>
        </w:rPr>
        <w:t>9</w:t>
      </w:r>
      <w:r>
        <w:rPr>
          <w:spacing w:val="-1"/>
          <w:w w:val="99"/>
        </w:rPr>
        <w:t>4</w:t>
      </w:r>
      <w:r>
        <w:rPr>
          <w:w w:val="99"/>
        </w:rPr>
        <w:t>9,</w:t>
      </w:r>
      <w:r>
        <w:rPr>
          <w:spacing w:val="12"/>
        </w:rPr>
        <w:t> </w:t>
      </w:r>
      <w:r>
        <w:rPr>
          <w:spacing w:val="-1"/>
          <w:w w:val="99"/>
        </w:rPr>
        <w:t>whe</w:t>
      </w:r>
      <w:r>
        <w:rPr>
          <w:w w:val="99"/>
        </w:rPr>
        <w:t>n</w:t>
      </w:r>
      <w:r>
        <w:rPr>
          <w:spacing w:val="12"/>
        </w:rPr>
        <w:t> </w:t>
      </w:r>
      <w:r>
        <w:rPr>
          <w:spacing w:val="-1"/>
          <w:w w:val="99"/>
        </w:rPr>
        <w:t>h</w:t>
      </w:r>
      <w:r>
        <w:rPr>
          <w:w w:val="99"/>
        </w:rPr>
        <w:t>e</w:t>
      </w:r>
      <w:r>
        <w:rPr>
          <w:spacing w:val="12"/>
        </w:rPr>
        <w:t> </w:t>
      </w:r>
      <w:r>
        <w:rPr>
          <w:spacing w:val="-1"/>
          <w:w w:val="99"/>
        </w:rPr>
        <w:t>wen</w:t>
      </w:r>
      <w:r>
        <w:rPr>
          <w:w w:val="99"/>
        </w:rPr>
        <w:t>t</w:t>
      </w:r>
      <w:r>
        <w:rPr>
          <w:spacing w:val="12"/>
        </w:rPr>
        <w:t> </w:t>
      </w:r>
      <w:r>
        <w:rPr>
          <w:w w:val="99"/>
        </w:rPr>
        <w:t>to</w:t>
      </w:r>
      <w:r>
        <w:rPr>
          <w:spacing w:val="12"/>
        </w:rPr>
        <w:t> </w:t>
      </w:r>
      <w:r>
        <w:rPr>
          <w:spacing w:val="-1"/>
          <w:w w:val="99"/>
        </w:rPr>
        <w:t>of</w:t>
      </w:r>
      <w:r>
        <w:rPr>
          <w:w w:val="99"/>
        </w:rPr>
        <w:t>f</w:t>
      </w:r>
      <w:r>
        <w:rPr>
          <w:spacing w:val="-1"/>
          <w:w w:val="99"/>
        </w:rPr>
        <w:t>e</w:t>
      </w:r>
      <w:r>
        <w:rPr>
          <w:w w:val="99"/>
        </w:rPr>
        <w:t>r</w:t>
      </w:r>
      <w:r>
        <w:rPr>
          <w:spacing w:val="12"/>
        </w:rPr>
        <w:t> </w:t>
      </w:r>
      <w:r>
        <w:rPr>
          <w:spacing w:val="-1"/>
          <w:w w:val="99"/>
        </w:rPr>
        <w:t>p</w:t>
      </w:r>
      <w:r>
        <w:rPr>
          <w:w w:val="99"/>
        </w:rPr>
        <w:t>r</w:t>
      </w:r>
      <w:r>
        <w:rPr>
          <w:spacing w:val="-3"/>
          <w:w w:val="99"/>
        </w:rPr>
        <w:t>ay</w:t>
      </w:r>
      <w:r>
        <w:rPr>
          <w:spacing w:val="-1"/>
          <w:w w:val="99"/>
        </w:rPr>
        <w:t>e</w:t>
      </w:r>
      <w:r>
        <w:rPr>
          <w:w w:val="99"/>
        </w:rPr>
        <w:t>r</w:t>
      </w:r>
      <w:r>
        <w:rPr>
          <w:spacing w:val="12"/>
        </w:rPr>
        <w:t> </w:t>
      </w:r>
      <w:r>
        <w:rPr>
          <w:spacing w:val="-1"/>
          <w:w w:val="99"/>
        </w:rPr>
        <w:t>a</w:t>
      </w:r>
      <w:r>
        <w:rPr>
          <w:w w:val="99"/>
        </w:rPr>
        <w:t>s</w:t>
      </w:r>
      <w:r>
        <w:rPr>
          <w:spacing w:val="12"/>
        </w:rPr>
        <w:t> </w:t>
      </w:r>
      <w:r>
        <w:rPr>
          <w:spacing w:val="-1"/>
          <w:w w:val="99"/>
        </w:rPr>
        <w:t>i</w:t>
      </w:r>
      <w:r>
        <w:rPr>
          <w:w w:val="99"/>
        </w:rPr>
        <w:t>t</w:t>
      </w:r>
      <w:r>
        <w:rPr>
          <w:spacing w:val="11"/>
        </w:rPr>
        <w:t> </w:t>
      </w:r>
      <w:r>
        <w:rPr>
          <w:spacing w:val="-1"/>
          <w:w w:val="99"/>
        </w:rPr>
        <w:t>w</w:t>
      </w:r>
      <w:r>
        <w:rPr>
          <w:spacing w:val="2"/>
          <w:w w:val="99"/>
        </w:rPr>
        <w:t>a</w:t>
      </w:r>
      <w:r>
        <w:rPr>
          <w:w w:val="99"/>
        </w:rPr>
        <w:t>s</w:t>
      </w:r>
      <w:r>
        <w:rPr>
          <w:spacing w:val="11"/>
        </w:rPr>
        <w:t> </w:t>
      </w:r>
      <w:r>
        <w:rPr>
          <w:w w:val="99"/>
        </w:rPr>
        <w:t>a</w:t>
      </w:r>
      <w:r>
        <w:rPr>
          <w:spacing w:val="12"/>
        </w:rPr>
        <w:t> </w:t>
      </w:r>
      <w:r>
        <w:rPr>
          <w:spacing w:val="1"/>
          <w:w w:val="40"/>
        </w:rPr>
        <w:t>‗</w:t>
      </w:r>
      <w:r>
        <w:rPr>
          <w:spacing w:val="-2"/>
          <w:w w:val="99"/>
        </w:rPr>
        <w:t>M</w:t>
      </w:r>
      <w:r>
        <w:rPr>
          <w:spacing w:val="-1"/>
          <w:w w:val="99"/>
        </w:rPr>
        <w:t>a</w:t>
      </w:r>
      <w:r>
        <w:rPr>
          <w:w w:val="99"/>
        </w:rPr>
        <w:t>gr</w:t>
      </w:r>
      <w:r>
        <w:rPr>
          <w:spacing w:val="-1"/>
          <w:w w:val="99"/>
        </w:rPr>
        <w:t>i</w:t>
      </w:r>
      <w:r>
        <w:rPr>
          <w:w w:val="99"/>
        </w:rPr>
        <w:t>b</w:t>
      </w:r>
      <w:r>
        <w:rPr>
          <w:spacing w:val="12"/>
        </w:rPr>
        <w:t> </w:t>
      </w:r>
      <w:r>
        <w:rPr>
          <w:spacing w:val="-1"/>
          <w:w w:val="99"/>
        </w:rPr>
        <w:t>Na</w:t>
      </w:r>
      <w:r>
        <w:rPr>
          <w:w w:val="99"/>
        </w:rPr>
        <w:t>m</w:t>
      </w:r>
      <w:r>
        <w:rPr>
          <w:spacing w:val="-1"/>
          <w:w w:val="99"/>
        </w:rPr>
        <w:t>a</w:t>
      </w:r>
      <w:r>
        <w:rPr>
          <w:spacing w:val="10"/>
          <w:w w:val="99"/>
        </w:rPr>
        <w:t>z</w:t>
      </w:r>
      <w:r>
        <w:rPr>
          <w:w w:val="99"/>
        </w:rPr>
        <w:t>‘</w:t>
      </w:r>
      <w:r>
        <w:rPr>
          <w:spacing w:val="11"/>
        </w:rPr>
        <w:t> </w:t>
      </w:r>
      <w:r>
        <w:rPr>
          <w:spacing w:val="-1"/>
          <w:w w:val="99"/>
        </w:rPr>
        <w:t>which </w:t>
      </w:r>
      <w:r>
        <w:rPr/>
        <w:t>gives 27-fold blessings on reciting it. The witness stated that he also went to offer namaz in a group, early morning. He participated in daily Magrib and Isha namaz. He used to go to offer group namaz early morning at Babri Masjid. In cross- examination, he stated that the last namaz called was Isha namaz, which took place on around 20/22 December,1949. He further stated that the Moazzin was sleeping on the floor when he went to lock the door. The witness clarified that in his earlier statement, he had stated by mistake that he locked the middle door. He stated that he had put separate locks on both the</w:t>
      </w:r>
      <w:r>
        <w:rPr>
          <w:spacing w:val="-12"/>
        </w:rPr>
        <w:t> </w:t>
      </w:r>
      <w:r>
        <w:rPr/>
        <w:t>doors.</w:t>
      </w:r>
    </w:p>
    <w:p>
      <w:pPr>
        <w:pStyle w:val="BodyText"/>
      </w:pPr>
    </w:p>
    <w:p>
      <w:pPr>
        <w:pStyle w:val="BodyText"/>
        <w:spacing w:line="480" w:lineRule="auto"/>
        <w:ind w:left="500" w:right="438"/>
        <w:jc w:val="both"/>
      </w:pPr>
      <w:r>
        <w:rPr/>
        <w:t>The witness stated in his cross-examination that he had filed a petition to be a party in the case in 1990. He further stated that he had seen the affidavit which bears his thumb impression, but the signature does not belong to him.</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4"/>
        <w:jc w:val="both"/>
      </w:pPr>
      <w:r>
        <w:rPr/>
        <w:t>Significantly, the witness stated that the age was written as 65, but he had mentioned an approximate age.</w:t>
      </w:r>
    </w:p>
    <w:p>
      <w:pPr>
        <w:pStyle w:val="BodyText"/>
        <w:spacing w:line="480" w:lineRule="auto"/>
        <w:ind w:left="500" w:right="439"/>
        <w:jc w:val="both"/>
      </w:pPr>
      <w:r>
        <w:rPr/>
        <w:t>In cross-examination, the witness admitted that in an application dated 18 March 1986, his age may have been recorded in the affidavit as 60 years:</w:t>
      </w:r>
    </w:p>
    <w:p>
      <w:pPr>
        <w:spacing w:line="276" w:lineRule="auto" w:before="0"/>
        <w:ind w:left="1940" w:right="2259" w:firstLine="0"/>
        <w:jc w:val="both"/>
        <w:rPr>
          <w:sz w:val="21"/>
        </w:rPr>
      </w:pPr>
      <w:r>
        <w:rPr>
          <w:spacing w:val="-1"/>
          <w:w w:val="33"/>
          <w:sz w:val="21"/>
        </w:rPr>
        <w:t>―</w:t>
      </w:r>
      <w:r>
        <w:rPr>
          <w:spacing w:val="-2"/>
          <w:w w:val="100"/>
          <w:sz w:val="21"/>
        </w:rPr>
        <w:t>I</w:t>
      </w:r>
      <w:r>
        <w:rPr>
          <w:w w:val="100"/>
          <w:sz w:val="21"/>
        </w:rPr>
        <w:t>n</w:t>
      </w:r>
      <w:r>
        <w:rPr>
          <w:sz w:val="21"/>
        </w:rPr>
        <w:t>   </w:t>
      </w:r>
      <w:r>
        <w:rPr>
          <w:spacing w:val="1"/>
          <w:w w:val="100"/>
          <w:sz w:val="21"/>
        </w:rPr>
        <w:t>m</w:t>
      </w:r>
      <w:r>
        <w:rPr>
          <w:w w:val="100"/>
          <w:sz w:val="21"/>
        </w:rPr>
        <w:t>y</w:t>
      </w:r>
      <w:r>
        <w:rPr>
          <w:sz w:val="21"/>
        </w:rPr>
        <w:t>   </w:t>
      </w:r>
      <w:r>
        <w:rPr>
          <w:spacing w:val="-1"/>
          <w:w w:val="100"/>
          <w:sz w:val="21"/>
        </w:rPr>
        <w:t>a</w:t>
      </w:r>
      <w:r>
        <w:rPr>
          <w:spacing w:val="1"/>
          <w:w w:val="100"/>
          <w:sz w:val="21"/>
        </w:rPr>
        <w:t>f</w:t>
      </w:r>
      <w:r>
        <w:rPr>
          <w:spacing w:val="-2"/>
          <w:w w:val="100"/>
          <w:sz w:val="21"/>
        </w:rPr>
        <w:t>f</w:t>
      </w:r>
      <w:r>
        <w:rPr>
          <w:w w:val="100"/>
          <w:sz w:val="21"/>
        </w:rPr>
        <w:t>i</w:t>
      </w:r>
      <w:r>
        <w:rPr>
          <w:spacing w:val="-1"/>
          <w:w w:val="100"/>
          <w:sz w:val="21"/>
        </w:rPr>
        <w:t>da</w:t>
      </w:r>
      <w:r>
        <w:rPr>
          <w:spacing w:val="-3"/>
          <w:w w:val="100"/>
          <w:sz w:val="21"/>
        </w:rPr>
        <w:t>v</w:t>
      </w:r>
      <w:r>
        <w:rPr>
          <w:w w:val="100"/>
          <w:sz w:val="21"/>
        </w:rPr>
        <w:t>it</w:t>
      </w:r>
      <w:r>
        <w:rPr>
          <w:sz w:val="21"/>
        </w:rPr>
        <w:t>   </w:t>
      </w:r>
      <w:r>
        <w:rPr>
          <w:w w:val="100"/>
          <w:sz w:val="21"/>
        </w:rPr>
        <w:t>I</w:t>
      </w:r>
      <w:r>
        <w:rPr>
          <w:sz w:val="21"/>
        </w:rPr>
        <w:t>   </w:t>
      </w:r>
      <w:r>
        <w:rPr>
          <w:spacing w:val="-1"/>
          <w:w w:val="100"/>
          <w:sz w:val="21"/>
        </w:rPr>
        <w:t>go</w:t>
      </w:r>
      <w:r>
        <w:rPr>
          <w:w w:val="100"/>
          <w:sz w:val="21"/>
        </w:rPr>
        <w:t>t</w:t>
      </w:r>
      <w:r>
        <w:rPr>
          <w:sz w:val="21"/>
        </w:rPr>
        <w:t>   </w:t>
      </w:r>
      <w:r>
        <w:rPr>
          <w:spacing w:val="1"/>
          <w:w w:val="100"/>
          <w:sz w:val="21"/>
        </w:rPr>
        <w:t>m</w:t>
      </w:r>
      <w:r>
        <w:rPr>
          <w:w w:val="100"/>
          <w:sz w:val="21"/>
        </w:rPr>
        <w:t>y</w:t>
      </w:r>
      <w:r>
        <w:rPr>
          <w:sz w:val="21"/>
        </w:rPr>
        <w:t>   </w:t>
      </w:r>
      <w:r>
        <w:rPr>
          <w:spacing w:val="-1"/>
          <w:w w:val="100"/>
          <w:sz w:val="21"/>
        </w:rPr>
        <w:t>ag</w:t>
      </w:r>
      <w:r>
        <w:rPr>
          <w:w w:val="100"/>
          <w:sz w:val="21"/>
        </w:rPr>
        <w:t>e</w:t>
      </w:r>
      <w:r>
        <w:rPr>
          <w:sz w:val="21"/>
        </w:rPr>
        <w:t>   </w:t>
      </w:r>
      <w:r>
        <w:rPr>
          <w:spacing w:val="-1"/>
          <w:w w:val="100"/>
          <w:sz w:val="21"/>
        </w:rPr>
        <w:t>record</w:t>
      </w:r>
      <w:r>
        <w:rPr>
          <w:spacing w:val="-3"/>
          <w:w w:val="100"/>
          <w:sz w:val="21"/>
        </w:rPr>
        <w:t>e</w:t>
      </w:r>
      <w:r>
        <w:rPr>
          <w:w w:val="100"/>
          <w:sz w:val="21"/>
        </w:rPr>
        <w:t>d</w:t>
      </w:r>
      <w:r>
        <w:rPr>
          <w:sz w:val="21"/>
        </w:rPr>
        <w:t>   </w:t>
      </w:r>
      <w:r>
        <w:rPr>
          <w:spacing w:val="-1"/>
          <w:w w:val="100"/>
          <w:sz w:val="21"/>
        </w:rPr>
        <w:t>a</w:t>
      </w:r>
      <w:r>
        <w:rPr>
          <w:w w:val="100"/>
          <w:sz w:val="21"/>
        </w:rPr>
        <w:t>s</w:t>
      </w:r>
      <w:r>
        <w:rPr>
          <w:sz w:val="21"/>
        </w:rPr>
        <w:t>   </w:t>
      </w:r>
      <w:r>
        <w:rPr>
          <w:spacing w:val="-1"/>
          <w:w w:val="100"/>
          <w:sz w:val="21"/>
        </w:rPr>
        <w:t>6</w:t>
      </w:r>
      <w:r>
        <w:rPr>
          <w:w w:val="100"/>
          <w:sz w:val="21"/>
        </w:rPr>
        <w:t>0</w:t>
      </w:r>
      <w:r>
        <w:rPr>
          <w:sz w:val="21"/>
        </w:rPr>
        <w:t>   </w:t>
      </w:r>
      <w:r>
        <w:rPr>
          <w:spacing w:val="-3"/>
          <w:w w:val="100"/>
          <w:sz w:val="21"/>
        </w:rPr>
        <w:t>y</w:t>
      </w:r>
      <w:r>
        <w:rPr>
          <w:spacing w:val="-1"/>
          <w:w w:val="100"/>
          <w:sz w:val="21"/>
        </w:rPr>
        <w:t>ears </w:t>
      </w:r>
      <w:r>
        <w:rPr>
          <w:sz w:val="21"/>
        </w:rPr>
        <w:t>approximately. At present my age is about 90 years. The statement about my age is correct. The advocate may have recorded my age in the affidavit approximately. My applications, submitted in 1896 were rejected there only.‖</w:t>
      </w:r>
    </w:p>
    <w:p>
      <w:pPr>
        <w:pStyle w:val="BodyText"/>
        <w:rPr>
          <w:sz w:val="24"/>
        </w:rPr>
      </w:pPr>
    </w:p>
    <w:p>
      <w:pPr>
        <w:pStyle w:val="BodyText"/>
        <w:spacing w:line="480" w:lineRule="auto" w:before="207"/>
        <w:ind w:left="500" w:right="437"/>
        <w:jc w:val="both"/>
      </w:pPr>
      <w:r>
        <w:rPr/>
        <w:t>The statement of the witness was that he had started going to the mosque at the age of twenty eight. If the approximate age of the witness as stated in the second affidavit (i.e. sixty years in 1986) is accepted, the witness would have been 28 years old in 1954. He categorically stated that he had commenced going to the mosque for offering namaz at the age of twenty-eight. In that case, the witness would have been unable to offer namaz at the mosque in 1954, when  the mosque was admittedly attached in 1949.</w:t>
      </w:r>
    </w:p>
    <w:p>
      <w:pPr>
        <w:pStyle w:val="BodyText"/>
        <w:spacing w:before="10"/>
        <w:rPr>
          <w:sz w:val="24"/>
        </w:rPr>
      </w:pPr>
    </w:p>
    <w:p>
      <w:pPr>
        <w:pStyle w:val="ListParagraph"/>
        <w:numPr>
          <w:ilvl w:val="0"/>
          <w:numId w:val="219"/>
        </w:numPr>
        <w:tabs>
          <w:tab w:pos="1221" w:val="left" w:leader="none"/>
        </w:tabs>
        <w:spacing w:line="480" w:lineRule="auto" w:before="0" w:after="0"/>
        <w:ind w:left="500" w:right="437" w:firstLine="0"/>
        <w:jc w:val="both"/>
        <w:rPr>
          <w:sz w:val="25"/>
        </w:rPr>
      </w:pPr>
      <w:r>
        <w:rPr>
          <w:b/>
          <w:sz w:val="25"/>
        </w:rPr>
        <w:t>Mohd Yaseen (PW-4): </w:t>
      </w:r>
      <w:r>
        <w:rPr>
          <w:sz w:val="25"/>
        </w:rPr>
        <w:t>The date of Examination-in-Chief of the witness was 17 October 1996. The age of the witness was stated </w:t>
      </w:r>
      <w:r>
        <w:rPr>
          <w:spacing w:val="4"/>
          <w:sz w:val="25"/>
        </w:rPr>
        <w:t>to </w:t>
      </w:r>
      <w:r>
        <w:rPr>
          <w:sz w:val="25"/>
        </w:rPr>
        <w:t>be 66 years. The witness states that he read Jumme Ki Namaz in Babri Masjid. Significantly, the witness states that he has been reading the Friday prayers at the spot continuously and has not read any other namaz except Jumma Namaz at the disputed property. In his cross-examination, the witness stated that he had started going to the mosque five years before Independence. According to the witness‘s testimony, his father used to go to Babri Masjid to offer Friday namaz. According to the witness, Friday namaz is offered at big mosques in the city. Before</w:t>
      </w:r>
      <w:r>
        <w:rPr>
          <w:spacing w:val="17"/>
          <w:sz w:val="25"/>
        </w:rPr>
        <w:t> </w:t>
      </w:r>
      <w:r>
        <w:rPr>
          <w:sz w:val="25"/>
        </w:rPr>
        <w:t>1949,</w:t>
      </w:r>
      <w:r>
        <w:rPr>
          <w:spacing w:val="17"/>
          <w:sz w:val="25"/>
        </w:rPr>
        <w:t> </w:t>
      </w:r>
      <w:r>
        <w:rPr>
          <w:sz w:val="25"/>
        </w:rPr>
        <w:t>Friday</w:t>
      </w:r>
      <w:r>
        <w:rPr>
          <w:spacing w:val="15"/>
          <w:sz w:val="25"/>
        </w:rPr>
        <w:t> </w:t>
      </w:r>
      <w:r>
        <w:rPr>
          <w:sz w:val="25"/>
        </w:rPr>
        <w:t>namaz</w:t>
      </w:r>
      <w:r>
        <w:rPr>
          <w:spacing w:val="18"/>
          <w:sz w:val="25"/>
        </w:rPr>
        <w:t> </w:t>
      </w:r>
      <w:r>
        <w:rPr>
          <w:sz w:val="25"/>
        </w:rPr>
        <w:t>was</w:t>
      </w:r>
      <w:r>
        <w:rPr>
          <w:spacing w:val="17"/>
          <w:sz w:val="25"/>
        </w:rPr>
        <w:t> </w:t>
      </w:r>
      <w:r>
        <w:rPr>
          <w:sz w:val="25"/>
        </w:rPr>
        <w:t>either</w:t>
      </w:r>
      <w:r>
        <w:rPr>
          <w:spacing w:val="18"/>
          <w:sz w:val="25"/>
        </w:rPr>
        <w:t> </w:t>
      </w:r>
      <w:r>
        <w:rPr>
          <w:sz w:val="25"/>
        </w:rPr>
        <w:t>offered</w:t>
      </w:r>
      <w:r>
        <w:rPr>
          <w:spacing w:val="18"/>
          <w:sz w:val="25"/>
        </w:rPr>
        <w:t> </w:t>
      </w:r>
      <w:r>
        <w:rPr>
          <w:sz w:val="25"/>
        </w:rPr>
        <w:t>at</w:t>
      </w:r>
      <w:r>
        <w:rPr>
          <w:spacing w:val="17"/>
          <w:sz w:val="25"/>
        </w:rPr>
        <w:t> </w:t>
      </w:r>
      <w:r>
        <w:rPr>
          <w:sz w:val="25"/>
        </w:rPr>
        <w:t>Babri</w:t>
      </w:r>
      <w:r>
        <w:rPr>
          <w:spacing w:val="16"/>
          <w:sz w:val="25"/>
        </w:rPr>
        <w:t> </w:t>
      </w:r>
      <w:r>
        <w:rPr>
          <w:sz w:val="25"/>
        </w:rPr>
        <w:t>Masjid</w:t>
      </w:r>
      <w:r>
        <w:rPr>
          <w:spacing w:val="19"/>
          <w:sz w:val="25"/>
        </w:rPr>
        <w:t> </w:t>
      </w:r>
      <w:r>
        <w:rPr>
          <w:sz w:val="25"/>
        </w:rPr>
        <w:t>or</w:t>
      </w:r>
      <w:r>
        <w:rPr>
          <w:spacing w:val="19"/>
          <w:sz w:val="25"/>
        </w:rPr>
        <w:t> </w:t>
      </w:r>
      <w:r>
        <w:rPr>
          <w:sz w:val="25"/>
        </w:rPr>
        <w:t>at</w:t>
      </w:r>
      <w:r>
        <w:rPr>
          <w:spacing w:val="17"/>
          <w:sz w:val="25"/>
        </w:rPr>
        <w:t> </w:t>
      </w:r>
      <w:r>
        <w:rPr>
          <w:sz w:val="25"/>
        </w:rPr>
        <w:t>Keware</w:t>
      </w:r>
      <w:r>
        <w:rPr>
          <w:spacing w:val="17"/>
          <w:sz w:val="25"/>
        </w:rPr>
        <w:t> </w:t>
      </w:r>
      <w:r>
        <w:rPr>
          <w:sz w:val="25"/>
        </w:rPr>
        <w:t>wali</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mosque. He states that 400-500 people used to offer Jumme ki Namaz at Babri Masjid. If the number exceeded, then about 1000 people could offer namaz together.</w:t>
      </w:r>
    </w:p>
    <w:p>
      <w:pPr>
        <w:pStyle w:val="BodyText"/>
        <w:spacing w:before="10"/>
        <w:rPr>
          <w:sz w:val="38"/>
        </w:rPr>
      </w:pPr>
    </w:p>
    <w:p>
      <w:pPr>
        <w:pStyle w:val="BodyText"/>
        <w:spacing w:line="480" w:lineRule="auto"/>
        <w:ind w:left="500" w:right="437"/>
        <w:jc w:val="both"/>
      </w:pPr>
      <w:r>
        <w:rPr/>
        <w:t>The witness has given descriptions of the disputed property as well as the rituals performed there. During cross-examination, when the attention of the witness was drawn towards the map in the suit of 1989, he stated that he had seen the map, but did not know anything about the map and could not say anything about it. The witness states that when India got Independence, he was 11-12 years old (then said that he was 17 years at that time). He stated that though his memory has weakened, it does not mean that he is unable to remember old</w:t>
      </w:r>
      <w:r>
        <w:rPr>
          <w:spacing w:val="-21"/>
        </w:rPr>
        <w:t> </w:t>
      </w:r>
      <w:r>
        <w:rPr/>
        <w:t>incidents.</w:t>
      </w:r>
    </w:p>
    <w:p>
      <w:pPr>
        <w:pStyle w:val="BodyText"/>
        <w:spacing w:before="1"/>
      </w:pPr>
    </w:p>
    <w:p>
      <w:pPr>
        <w:pStyle w:val="ListParagraph"/>
        <w:numPr>
          <w:ilvl w:val="0"/>
          <w:numId w:val="219"/>
        </w:numPr>
        <w:tabs>
          <w:tab w:pos="1221" w:val="left" w:leader="none"/>
        </w:tabs>
        <w:spacing w:line="480" w:lineRule="auto" w:before="0" w:after="0"/>
        <w:ind w:left="500" w:right="442" w:firstLine="0"/>
        <w:jc w:val="both"/>
        <w:rPr>
          <w:sz w:val="25"/>
        </w:rPr>
      </w:pPr>
      <w:r>
        <w:rPr>
          <w:sz w:val="25"/>
        </w:rPr>
        <w:t>Justice Agarwal has pointed out several contradictions in the statements of PW-4 and the statements of other</w:t>
      </w:r>
      <w:r>
        <w:rPr>
          <w:spacing w:val="-5"/>
          <w:sz w:val="25"/>
        </w:rPr>
        <w:t> </w:t>
      </w:r>
      <w:r>
        <w:rPr>
          <w:sz w:val="25"/>
        </w:rPr>
        <w:t>witnesses:</w:t>
      </w:r>
    </w:p>
    <w:p>
      <w:pPr>
        <w:spacing w:line="276" w:lineRule="auto" w:before="160"/>
        <w:ind w:left="1940" w:right="2254" w:firstLine="0"/>
        <w:jc w:val="both"/>
        <w:rPr>
          <w:sz w:val="21"/>
        </w:rPr>
      </w:pPr>
      <w:r>
        <w:rPr>
          <w:spacing w:val="-1"/>
          <w:w w:val="33"/>
          <w:sz w:val="21"/>
        </w:rPr>
        <w:t>―</w:t>
      </w:r>
      <w:r>
        <w:rPr>
          <w:spacing w:val="-1"/>
          <w:w w:val="100"/>
          <w:sz w:val="21"/>
        </w:rPr>
        <w:t>248</w:t>
      </w:r>
      <w:r>
        <w:rPr>
          <w:w w:val="100"/>
          <w:sz w:val="21"/>
        </w:rPr>
        <w:t>4.</w:t>
      </w:r>
      <w:r>
        <w:rPr>
          <w:sz w:val="21"/>
        </w:rPr>
        <w:t> </w:t>
      </w:r>
      <w:r>
        <w:rPr>
          <w:spacing w:val="-15"/>
          <w:sz w:val="21"/>
        </w:rPr>
        <w:t> </w:t>
      </w:r>
      <w:r>
        <w:rPr>
          <w:spacing w:val="4"/>
          <w:w w:val="100"/>
          <w:sz w:val="21"/>
        </w:rPr>
        <w:t>W</w:t>
      </w:r>
      <w:r>
        <w:rPr>
          <w:spacing w:val="-3"/>
          <w:w w:val="100"/>
          <w:sz w:val="21"/>
        </w:rPr>
        <w:t>h</w:t>
      </w:r>
      <w:r>
        <w:rPr>
          <w:spacing w:val="-1"/>
          <w:w w:val="100"/>
          <w:sz w:val="21"/>
        </w:rPr>
        <w:t>e</w:t>
      </w:r>
      <w:r>
        <w:rPr>
          <w:w w:val="100"/>
          <w:sz w:val="21"/>
        </w:rPr>
        <w:t>n</w:t>
      </w:r>
      <w:r>
        <w:rPr>
          <w:sz w:val="21"/>
        </w:rPr>
        <w:t> </w:t>
      </w:r>
      <w:r>
        <w:rPr>
          <w:spacing w:val="-11"/>
          <w:sz w:val="21"/>
        </w:rPr>
        <w:t> </w:t>
      </w:r>
      <w:r>
        <w:rPr>
          <w:spacing w:val="-1"/>
          <w:w w:val="100"/>
          <w:sz w:val="21"/>
        </w:rPr>
        <w:t>h</w:t>
      </w:r>
      <w:r>
        <w:rPr>
          <w:spacing w:val="1"/>
          <w:w w:val="100"/>
          <w:sz w:val="21"/>
        </w:rPr>
        <w:t>i</w:t>
      </w:r>
      <w:r>
        <w:rPr>
          <w:w w:val="100"/>
          <w:sz w:val="21"/>
        </w:rPr>
        <w:t>s</w:t>
      </w:r>
      <w:r>
        <w:rPr>
          <w:sz w:val="21"/>
        </w:rPr>
        <w:t> </w:t>
      </w:r>
      <w:r>
        <w:rPr>
          <w:spacing w:val="-12"/>
          <w:sz w:val="21"/>
        </w:rPr>
        <w:t> </w:t>
      </w:r>
      <w:r>
        <w:rPr>
          <w:w w:val="100"/>
          <w:sz w:val="21"/>
        </w:rPr>
        <w:t>s</w:t>
      </w:r>
      <w:r>
        <w:rPr>
          <w:spacing w:val="-2"/>
          <w:w w:val="100"/>
          <w:sz w:val="21"/>
        </w:rPr>
        <w:t>t</w:t>
      </w:r>
      <w:r>
        <w:rPr>
          <w:spacing w:val="-1"/>
          <w:w w:val="100"/>
          <w:sz w:val="21"/>
        </w:rPr>
        <w:t>at</w:t>
      </w:r>
      <w:r>
        <w:rPr>
          <w:spacing w:val="-3"/>
          <w:w w:val="100"/>
          <w:sz w:val="21"/>
        </w:rPr>
        <w:t>e</w:t>
      </w:r>
      <w:r>
        <w:rPr>
          <w:spacing w:val="-1"/>
          <w:w w:val="100"/>
          <w:sz w:val="21"/>
        </w:rPr>
        <w:t>men</w:t>
      </w:r>
      <w:r>
        <w:rPr>
          <w:w w:val="100"/>
          <w:sz w:val="21"/>
        </w:rPr>
        <w:t>t</w:t>
      </w:r>
      <w:r>
        <w:rPr>
          <w:sz w:val="21"/>
        </w:rPr>
        <w:t> </w:t>
      </w:r>
      <w:r>
        <w:rPr>
          <w:spacing w:val="-10"/>
          <w:sz w:val="21"/>
        </w:rPr>
        <w:t> </w:t>
      </w:r>
      <w:r>
        <w:rPr>
          <w:spacing w:val="-2"/>
          <w:w w:val="100"/>
          <w:sz w:val="21"/>
        </w:rPr>
        <w:t>w</w:t>
      </w:r>
      <w:r>
        <w:rPr>
          <w:spacing w:val="-1"/>
          <w:w w:val="100"/>
          <w:sz w:val="21"/>
        </w:rPr>
        <w:t>a</w:t>
      </w:r>
      <w:r>
        <w:rPr>
          <w:w w:val="100"/>
          <w:sz w:val="21"/>
        </w:rPr>
        <w:t>s</w:t>
      </w:r>
      <w:r>
        <w:rPr>
          <w:sz w:val="21"/>
        </w:rPr>
        <w:t> </w:t>
      </w:r>
      <w:r>
        <w:rPr>
          <w:spacing w:val="-12"/>
          <w:sz w:val="21"/>
        </w:rPr>
        <w:t> </w:t>
      </w:r>
      <w:r>
        <w:rPr>
          <w:spacing w:val="1"/>
          <w:w w:val="100"/>
          <w:sz w:val="21"/>
        </w:rPr>
        <w:t>f</w:t>
      </w:r>
      <w:r>
        <w:rPr>
          <w:spacing w:val="-1"/>
          <w:w w:val="100"/>
          <w:sz w:val="21"/>
        </w:rPr>
        <w:t>o</w:t>
      </w:r>
      <w:r>
        <w:rPr>
          <w:spacing w:val="-3"/>
          <w:w w:val="100"/>
          <w:sz w:val="21"/>
        </w:rPr>
        <w:t>u</w:t>
      </w:r>
      <w:r>
        <w:rPr>
          <w:spacing w:val="-1"/>
          <w:w w:val="100"/>
          <w:sz w:val="21"/>
        </w:rPr>
        <w:t>n</w:t>
      </w:r>
      <w:r>
        <w:rPr>
          <w:w w:val="100"/>
          <w:sz w:val="21"/>
        </w:rPr>
        <w:t>d</w:t>
      </w:r>
      <w:r>
        <w:rPr>
          <w:sz w:val="21"/>
        </w:rPr>
        <w:t> </w:t>
      </w:r>
      <w:r>
        <w:rPr>
          <w:spacing w:val="-9"/>
          <w:sz w:val="21"/>
        </w:rPr>
        <w:t> </w:t>
      </w:r>
      <w:r>
        <w:rPr>
          <w:w w:val="100"/>
          <w:sz w:val="21"/>
        </w:rPr>
        <w:t>c</w:t>
      </w:r>
      <w:r>
        <w:rPr>
          <w:spacing w:val="-3"/>
          <w:w w:val="100"/>
          <w:sz w:val="21"/>
        </w:rPr>
        <w:t>o</w:t>
      </w:r>
      <w:r>
        <w:rPr>
          <w:spacing w:val="-1"/>
          <w:w w:val="100"/>
          <w:sz w:val="21"/>
        </w:rPr>
        <w:t>ntra</w:t>
      </w:r>
      <w:r>
        <w:rPr>
          <w:spacing w:val="-3"/>
          <w:w w:val="100"/>
          <w:sz w:val="21"/>
        </w:rPr>
        <w:t>d</w:t>
      </w:r>
      <w:r>
        <w:rPr>
          <w:w w:val="100"/>
          <w:sz w:val="21"/>
        </w:rPr>
        <w:t>ic</w:t>
      </w:r>
      <w:r>
        <w:rPr>
          <w:spacing w:val="-2"/>
          <w:w w:val="100"/>
          <w:sz w:val="21"/>
        </w:rPr>
        <w:t>t</w:t>
      </w:r>
      <w:r>
        <w:rPr>
          <w:spacing w:val="-1"/>
          <w:w w:val="100"/>
          <w:sz w:val="21"/>
        </w:rPr>
        <w:t>or</w:t>
      </w:r>
      <w:r>
        <w:rPr>
          <w:w w:val="100"/>
          <w:sz w:val="21"/>
        </w:rPr>
        <w:t>y</w:t>
      </w:r>
      <w:r>
        <w:rPr>
          <w:sz w:val="21"/>
        </w:rPr>
        <w:t> </w:t>
      </w:r>
      <w:r>
        <w:rPr>
          <w:spacing w:val="-12"/>
          <w:sz w:val="21"/>
        </w:rPr>
        <w:t> </w:t>
      </w:r>
      <w:r>
        <w:rPr>
          <w:spacing w:val="-2"/>
          <w:w w:val="100"/>
          <w:sz w:val="21"/>
        </w:rPr>
        <w:t>t</w:t>
      </w:r>
      <w:r>
        <w:rPr>
          <w:w w:val="100"/>
          <w:sz w:val="21"/>
        </w:rPr>
        <w:t>o</w:t>
      </w:r>
      <w:r>
        <w:rPr>
          <w:sz w:val="21"/>
        </w:rPr>
        <w:t> </w:t>
      </w:r>
      <w:r>
        <w:rPr>
          <w:spacing w:val="-9"/>
          <w:sz w:val="21"/>
        </w:rPr>
        <w:t> </w:t>
      </w:r>
      <w:r>
        <w:rPr>
          <w:spacing w:val="-2"/>
          <w:w w:val="100"/>
          <w:sz w:val="21"/>
        </w:rPr>
        <w:t>t</w:t>
      </w:r>
      <w:r>
        <w:rPr>
          <w:spacing w:val="-1"/>
          <w:w w:val="100"/>
          <w:sz w:val="21"/>
        </w:rPr>
        <w:t>he </w:t>
      </w:r>
      <w:r>
        <w:rPr>
          <w:sz w:val="21"/>
        </w:rPr>
        <w:t>statement of </w:t>
      </w:r>
      <w:r>
        <w:rPr>
          <w:spacing w:val="-3"/>
          <w:sz w:val="21"/>
        </w:rPr>
        <w:t>PW </w:t>
      </w:r>
      <w:r>
        <w:rPr>
          <w:sz w:val="21"/>
        </w:rPr>
        <w:t>1 who is plaintiff no. 7 in Suit-4 he justified himself by stating that </w:t>
      </w:r>
      <w:r>
        <w:rPr>
          <w:spacing w:val="-3"/>
          <w:sz w:val="21"/>
        </w:rPr>
        <w:t>PW </w:t>
      </w:r>
      <w:r>
        <w:rPr>
          <w:sz w:val="21"/>
        </w:rPr>
        <w:t>1 must have given wrong statement as is evident from the</w:t>
      </w:r>
      <w:r>
        <w:rPr>
          <w:spacing w:val="-10"/>
          <w:sz w:val="21"/>
        </w:rPr>
        <w:t> </w:t>
      </w:r>
      <w:r>
        <w:rPr>
          <w:sz w:val="21"/>
        </w:rPr>
        <w:t>following:</w:t>
      </w:r>
    </w:p>
    <w:p>
      <w:pPr>
        <w:spacing w:line="276" w:lineRule="auto" w:before="0"/>
        <w:ind w:left="1940" w:right="2254" w:firstLine="57"/>
        <w:jc w:val="both"/>
        <w:rPr>
          <w:sz w:val="21"/>
        </w:rPr>
      </w:pPr>
      <w:r>
        <w:rPr>
          <w:spacing w:val="-1"/>
          <w:w w:val="33"/>
          <w:sz w:val="21"/>
        </w:rPr>
        <w:t>―</w:t>
      </w:r>
      <w:r>
        <w:rPr>
          <w:spacing w:val="-2"/>
          <w:w w:val="100"/>
          <w:sz w:val="21"/>
        </w:rPr>
        <w:t>I</w:t>
      </w:r>
      <w:r>
        <w:rPr>
          <w:w w:val="100"/>
          <w:sz w:val="21"/>
        </w:rPr>
        <w:t>f</w:t>
      </w:r>
      <w:r>
        <w:rPr>
          <w:sz w:val="21"/>
        </w:rPr>
        <w:t> </w:t>
      </w:r>
      <w:r>
        <w:rPr>
          <w:spacing w:val="-6"/>
          <w:sz w:val="21"/>
        </w:rPr>
        <w:t> </w:t>
      </w:r>
      <w:r>
        <w:rPr>
          <w:spacing w:val="-1"/>
          <w:w w:val="100"/>
          <w:sz w:val="21"/>
        </w:rPr>
        <w:t>Mr</w:t>
      </w:r>
      <w:r>
        <w:rPr>
          <w:w w:val="100"/>
          <w:sz w:val="21"/>
        </w:rPr>
        <w:t>.</w:t>
      </w:r>
      <w:r>
        <w:rPr>
          <w:sz w:val="21"/>
        </w:rPr>
        <w:t> </w:t>
      </w:r>
      <w:r>
        <w:rPr>
          <w:spacing w:val="-8"/>
          <w:sz w:val="21"/>
        </w:rPr>
        <w:t> </w:t>
      </w:r>
      <w:r>
        <w:rPr>
          <w:w w:val="100"/>
          <w:sz w:val="21"/>
        </w:rPr>
        <w:t>H</w:t>
      </w:r>
      <w:r>
        <w:rPr>
          <w:spacing w:val="-1"/>
          <w:w w:val="100"/>
          <w:sz w:val="21"/>
        </w:rPr>
        <w:t>as</w:t>
      </w:r>
      <w:r>
        <w:rPr>
          <w:spacing w:val="-3"/>
          <w:w w:val="100"/>
          <w:sz w:val="21"/>
        </w:rPr>
        <w:t>h</w:t>
      </w:r>
      <w:r>
        <w:rPr>
          <w:spacing w:val="-2"/>
          <w:w w:val="100"/>
          <w:sz w:val="21"/>
        </w:rPr>
        <w:t>i</w:t>
      </w:r>
      <w:r>
        <w:rPr>
          <w:w w:val="100"/>
          <w:sz w:val="21"/>
        </w:rPr>
        <w:t>m</w:t>
      </w:r>
      <w:r>
        <w:rPr>
          <w:sz w:val="21"/>
        </w:rPr>
        <w:t> </w:t>
      </w:r>
      <w:r>
        <w:rPr>
          <w:spacing w:val="-5"/>
          <w:sz w:val="21"/>
        </w:rPr>
        <w:t> </w:t>
      </w:r>
      <w:r>
        <w:rPr>
          <w:spacing w:val="-3"/>
          <w:w w:val="100"/>
          <w:sz w:val="21"/>
        </w:rPr>
        <w:t>h</w:t>
      </w:r>
      <w:r>
        <w:rPr>
          <w:spacing w:val="-1"/>
          <w:w w:val="100"/>
          <w:sz w:val="21"/>
        </w:rPr>
        <w:t>a</w:t>
      </w:r>
      <w:r>
        <w:rPr>
          <w:w w:val="100"/>
          <w:sz w:val="21"/>
        </w:rPr>
        <w:t>s</w:t>
      </w:r>
      <w:r>
        <w:rPr>
          <w:sz w:val="21"/>
        </w:rPr>
        <w:t> </w:t>
      </w:r>
      <w:r>
        <w:rPr>
          <w:spacing w:val="-7"/>
          <w:sz w:val="21"/>
        </w:rPr>
        <w:t> </w:t>
      </w:r>
      <w:r>
        <w:rPr>
          <w:spacing w:val="-3"/>
          <w:w w:val="100"/>
          <w:sz w:val="21"/>
        </w:rPr>
        <w:t>g</w:t>
      </w:r>
      <w:r>
        <w:rPr>
          <w:w w:val="100"/>
          <w:sz w:val="21"/>
        </w:rPr>
        <w:t>i</w:t>
      </w:r>
      <w:r>
        <w:rPr>
          <w:spacing w:val="-3"/>
          <w:w w:val="100"/>
          <w:sz w:val="21"/>
        </w:rPr>
        <w:t>ve</w:t>
      </w:r>
      <w:r>
        <w:rPr>
          <w:w w:val="100"/>
          <w:sz w:val="21"/>
        </w:rPr>
        <w:t>n</w:t>
      </w:r>
      <w:r>
        <w:rPr>
          <w:sz w:val="21"/>
        </w:rPr>
        <w:t> </w:t>
      </w:r>
      <w:r>
        <w:rPr>
          <w:spacing w:val="-7"/>
          <w:sz w:val="21"/>
        </w:rPr>
        <w:t> </w:t>
      </w:r>
      <w:r>
        <w:rPr>
          <w:spacing w:val="-1"/>
          <w:w w:val="100"/>
          <w:sz w:val="21"/>
        </w:rPr>
        <w:t>an</w:t>
      </w:r>
      <w:r>
        <w:rPr>
          <w:w w:val="100"/>
          <w:sz w:val="21"/>
        </w:rPr>
        <w:t>y</w:t>
      </w:r>
      <w:r>
        <w:rPr>
          <w:sz w:val="21"/>
        </w:rPr>
        <w:t> </w:t>
      </w:r>
      <w:r>
        <w:rPr>
          <w:spacing w:val="-9"/>
          <w:sz w:val="21"/>
        </w:rPr>
        <w:t> </w:t>
      </w:r>
      <w:r>
        <w:rPr>
          <w:w w:val="100"/>
          <w:sz w:val="21"/>
        </w:rPr>
        <w:t>su</w:t>
      </w:r>
      <w:r>
        <w:rPr>
          <w:spacing w:val="-3"/>
          <w:w w:val="100"/>
          <w:sz w:val="21"/>
        </w:rPr>
        <w:t>c</w:t>
      </w:r>
      <w:r>
        <w:rPr>
          <w:w w:val="100"/>
          <w:sz w:val="21"/>
        </w:rPr>
        <w:t>h</w:t>
      </w:r>
      <w:r>
        <w:rPr>
          <w:sz w:val="21"/>
        </w:rPr>
        <w:t> </w:t>
      </w:r>
      <w:r>
        <w:rPr>
          <w:spacing w:val="-7"/>
          <w:sz w:val="21"/>
        </w:rPr>
        <w:t> </w:t>
      </w:r>
      <w:r>
        <w:rPr>
          <w:w w:val="100"/>
          <w:sz w:val="21"/>
        </w:rPr>
        <w:t>s</w:t>
      </w:r>
      <w:r>
        <w:rPr>
          <w:spacing w:val="-2"/>
          <w:w w:val="100"/>
          <w:sz w:val="21"/>
        </w:rPr>
        <w:t>t</w:t>
      </w:r>
      <w:r>
        <w:rPr>
          <w:spacing w:val="-1"/>
          <w:w w:val="100"/>
          <w:sz w:val="21"/>
        </w:rPr>
        <w:t>at</w:t>
      </w:r>
      <w:r>
        <w:rPr>
          <w:w w:val="100"/>
          <w:sz w:val="21"/>
        </w:rPr>
        <w:t>e</w:t>
      </w:r>
      <w:r>
        <w:rPr>
          <w:spacing w:val="1"/>
          <w:w w:val="100"/>
          <w:sz w:val="21"/>
        </w:rPr>
        <w:t>m</w:t>
      </w:r>
      <w:r>
        <w:rPr>
          <w:spacing w:val="-3"/>
          <w:w w:val="100"/>
          <w:sz w:val="21"/>
        </w:rPr>
        <w:t>e</w:t>
      </w:r>
      <w:r>
        <w:rPr>
          <w:w w:val="100"/>
          <w:sz w:val="21"/>
        </w:rPr>
        <w:t>nt</w:t>
      </w:r>
      <w:r>
        <w:rPr>
          <w:sz w:val="21"/>
        </w:rPr>
        <w:t> </w:t>
      </w:r>
      <w:r>
        <w:rPr>
          <w:spacing w:val="-8"/>
          <w:sz w:val="21"/>
        </w:rPr>
        <w:t> </w:t>
      </w:r>
      <w:r>
        <w:rPr>
          <w:spacing w:val="-2"/>
          <w:w w:val="100"/>
          <w:sz w:val="21"/>
        </w:rPr>
        <w:t>t</w:t>
      </w:r>
      <w:r>
        <w:rPr>
          <w:w w:val="100"/>
          <w:sz w:val="21"/>
        </w:rPr>
        <w:t>hat</w:t>
      </w:r>
      <w:r>
        <w:rPr>
          <w:sz w:val="21"/>
        </w:rPr>
        <w:t> </w:t>
      </w:r>
      <w:r>
        <w:rPr>
          <w:spacing w:val="-8"/>
          <w:sz w:val="21"/>
        </w:rPr>
        <w:t> </w:t>
      </w:r>
      <w:r>
        <w:rPr>
          <w:w w:val="100"/>
          <w:sz w:val="21"/>
        </w:rPr>
        <w:t>prie</w:t>
      </w:r>
      <w:r>
        <w:rPr>
          <w:w w:val="100"/>
          <w:sz w:val="21"/>
        </w:rPr>
        <w:t>s</w:t>
      </w:r>
      <w:r>
        <w:rPr>
          <w:spacing w:val="-2"/>
          <w:w w:val="100"/>
          <w:sz w:val="21"/>
        </w:rPr>
        <w:t>t</w:t>
      </w:r>
      <w:r>
        <w:rPr>
          <w:w w:val="100"/>
          <w:sz w:val="21"/>
        </w:rPr>
        <w:t>s </w:t>
      </w:r>
      <w:r>
        <w:rPr>
          <w:sz w:val="21"/>
        </w:rPr>
        <w:t>used  to  sit  under  said  thatched  roof,   then   his   statement is</w:t>
      </w:r>
      <w:r>
        <w:rPr>
          <w:spacing w:val="-4"/>
          <w:sz w:val="21"/>
        </w:rPr>
        <w:t> </w:t>
      </w:r>
      <w:r>
        <w:rPr>
          <w:sz w:val="21"/>
        </w:rPr>
        <w:t>wrong.‖</w:t>
      </w:r>
    </w:p>
    <w:p>
      <w:pPr>
        <w:spacing w:line="276" w:lineRule="auto" w:before="0"/>
        <w:ind w:left="1940" w:right="2253" w:firstLine="0"/>
        <w:jc w:val="both"/>
        <w:rPr>
          <w:sz w:val="21"/>
        </w:rPr>
      </w:pPr>
      <w:r>
        <w:rPr>
          <w:sz w:val="21"/>
        </w:rPr>
        <w:t>If Hazi Mahboob has stated that the recluses had surrounded this place from one side for last 15-20 days, then his statement is</w:t>
      </w:r>
      <w:r>
        <w:rPr>
          <w:spacing w:val="-4"/>
          <w:sz w:val="21"/>
        </w:rPr>
        <w:t> </w:t>
      </w:r>
      <w:r>
        <w:rPr>
          <w:sz w:val="21"/>
        </w:rPr>
        <w:t>wrong.‖</w:t>
      </w:r>
    </w:p>
    <w:p>
      <w:pPr>
        <w:spacing w:line="276" w:lineRule="auto" w:before="0"/>
        <w:ind w:left="1940" w:right="2257" w:firstLine="57"/>
        <w:jc w:val="both"/>
        <w:rPr>
          <w:sz w:val="21"/>
        </w:rPr>
      </w:pPr>
      <w:r>
        <w:rPr>
          <w:spacing w:val="-1"/>
          <w:w w:val="33"/>
          <w:sz w:val="21"/>
        </w:rPr>
        <w:t>―</w:t>
      </w:r>
      <w:r>
        <w:rPr>
          <w:spacing w:val="-1"/>
          <w:w w:val="100"/>
          <w:sz w:val="21"/>
        </w:rPr>
        <w:t>Mr</w:t>
      </w:r>
      <w:r>
        <w:rPr>
          <w:w w:val="100"/>
          <w:sz w:val="21"/>
        </w:rPr>
        <w:t>.</w:t>
      </w:r>
      <w:r>
        <w:rPr>
          <w:sz w:val="21"/>
        </w:rPr>
        <w:t> </w:t>
      </w:r>
      <w:r>
        <w:rPr>
          <w:spacing w:val="11"/>
          <w:sz w:val="21"/>
        </w:rPr>
        <w:t> </w:t>
      </w:r>
      <w:r>
        <w:rPr>
          <w:w w:val="100"/>
          <w:sz w:val="21"/>
        </w:rPr>
        <w:t>Zaki</w:t>
      </w:r>
      <w:r>
        <w:rPr>
          <w:sz w:val="21"/>
        </w:rPr>
        <w:t> </w:t>
      </w:r>
      <w:r>
        <w:rPr>
          <w:spacing w:val="13"/>
          <w:sz w:val="21"/>
        </w:rPr>
        <w:t> </w:t>
      </w:r>
      <w:r>
        <w:rPr>
          <w:spacing w:val="-2"/>
          <w:w w:val="100"/>
          <w:sz w:val="21"/>
        </w:rPr>
        <w:t>w</w:t>
      </w:r>
      <w:r>
        <w:rPr>
          <w:spacing w:val="-1"/>
          <w:w w:val="100"/>
          <w:sz w:val="21"/>
        </w:rPr>
        <w:t>a</w:t>
      </w:r>
      <w:r>
        <w:rPr>
          <w:w w:val="100"/>
          <w:sz w:val="21"/>
        </w:rPr>
        <w:t>s</w:t>
      </w:r>
      <w:r>
        <w:rPr>
          <w:sz w:val="21"/>
        </w:rPr>
        <w:t> </w:t>
      </w:r>
      <w:r>
        <w:rPr>
          <w:spacing w:val="12"/>
          <w:sz w:val="21"/>
        </w:rPr>
        <w:t> </w:t>
      </w:r>
      <w:r>
        <w:rPr>
          <w:w w:val="100"/>
          <w:sz w:val="21"/>
        </w:rPr>
        <w:t>t</w:t>
      </w:r>
      <w:r>
        <w:rPr>
          <w:spacing w:val="-3"/>
          <w:w w:val="100"/>
          <w:sz w:val="21"/>
        </w:rPr>
        <w:t>h</w:t>
      </w:r>
      <w:r>
        <w:rPr>
          <w:w w:val="100"/>
          <w:sz w:val="21"/>
        </w:rPr>
        <w:t>e</w:t>
      </w:r>
      <w:r>
        <w:rPr>
          <w:sz w:val="21"/>
        </w:rPr>
        <w:t> </w:t>
      </w:r>
      <w:r>
        <w:rPr>
          <w:spacing w:val="12"/>
          <w:sz w:val="21"/>
        </w:rPr>
        <w:t> </w:t>
      </w:r>
      <w:r>
        <w:rPr>
          <w:spacing w:val="-1"/>
          <w:w w:val="100"/>
          <w:sz w:val="21"/>
        </w:rPr>
        <w:t>M</w:t>
      </w:r>
      <w:r>
        <w:rPr>
          <w:w w:val="100"/>
          <w:sz w:val="21"/>
        </w:rPr>
        <w:t>u</w:t>
      </w:r>
      <w:r>
        <w:rPr>
          <w:spacing w:val="-4"/>
          <w:w w:val="100"/>
          <w:sz w:val="21"/>
        </w:rPr>
        <w:t>t</w:t>
      </w:r>
      <w:r>
        <w:rPr>
          <w:spacing w:val="-2"/>
          <w:w w:val="100"/>
          <w:sz w:val="21"/>
        </w:rPr>
        <w:t>w</w:t>
      </w:r>
      <w:r>
        <w:rPr>
          <w:w w:val="100"/>
          <w:sz w:val="21"/>
        </w:rPr>
        <w:t>a</w:t>
      </w:r>
      <w:r>
        <w:rPr>
          <w:spacing w:val="1"/>
          <w:w w:val="100"/>
          <w:sz w:val="21"/>
        </w:rPr>
        <w:t>l</w:t>
      </w:r>
      <w:r>
        <w:rPr>
          <w:spacing w:val="-2"/>
          <w:w w:val="100"/>
          <w:sz w:val="21"/>
        </w:rPr>
        <w:t>l</w:t>
      </w:r>
      <w:r>
        <w:rPr>
          <w:w w:val="100"/>
          <w:sz w:val="21"/>
        </w:rPr>
        <w:t>i</w:t>
      </w:r>
      <w:r>
        <w:rPr>
          <w:sz w:val="21"/>
        </w:rPr>
        <w:t> </w:t>
      </w:r>
      <w:r>
        <w:rPr>
          <w:spacing w:val="13"/>
          <w:sz w:val="21"/>
        </w:rPr>
        <w:t> </w:t>
      </w:r>
      <w:r>
        <w:rPr>
          <w:spacing w:val="-2"/>
          <w:w w:val="100"/>
          <w:sz w:val="21"/>
        </w:rPr>
        <w:t>t</w:t>
      </w:r>
      <w:r>
        <w:rPr>
          <w:spacing w:val="-2"/>
          <w:w w:val="100"/>
          <w:sz w:val="21"/>
        </w:rPr>
        <w:t>i</w:t>
      </w:r>
      <w:r>
        <w:rPr>
          <w:w w:val="100"/>
          <w:sz w:val="21"/>
        </w:rPr>
        <w:t>ll</w:t>
      </w:r>
      <w:r>
        <w:rPr>
          <w:sz w:val="21"/>
        </w:rPr>
        <w:t> </w:t>
      </w:r>
      <w:r>
        <w:rPr>
          <w:spacing w:val="13"/>
          <w:sz w:val="21"/>
        </w:rPr>
        <w:t> </w:t>
      </w:r>
      <w:r>
        <w:rPr>
          <w:spacing w:val="-2"/>
          <w:w w:val="100"/>
          <w:sz w:val="21"/>
        </w:rPr>
        <w:t>t</w:t>
      </w:r>
      <w:r>
        <w:rPr>
          <w:spacing w:val="-3"/>
          <w:w w:val="100"/>
          <w:sz w:val="21"/>
        </w:rPr>
        <w:t>h</w:t>
      </w:r>
      <w:r>
        <w:rPr>
          <w:w w:val="100"/>
          <w:sz w:val="21"/>
        </w:rPr>
        <w:t>e</w:t>
      </w:r>
      <w:r>
        <w:rPr>
          <w:sz w:val="21"/>
        </w:rPr>
        <w:t> </w:t>
      </w:r>
      <w:r>
        <w:rPr>
          <w:spacing w:val="12"/>
          <w:sz w:val="21"/>
        </w:rPr>
        <w:t> </w:t>
      </w:r>
      <w:r>
        <w:rPr>
          <w:w w:val="100"/>
          <w:sz w:val="21"/>
        </w:rPr>
        <w:t>i</w:t>
      </w:r>
      <w:r>
        <w:rPr>
          <w:spacing w:val="-3"/>
          <w:w w:val="100"/>
          <w:sz w:val="21"/>
        </w:rPr>
        <w:t>n</w:t>
      </w:r>
      <w:r>
        <w:rPr>
          <w:w w:val="100"/>
          <w:sz w:val="21"/>
        </w:rPr>
        <w:t>c</w:t>
      </w:r>
      <w:r>
        <w:rPr>
          <w:spacing w:val="-2"/>
          <w:w w:val="100"/>
          <w:sz w:val="21"/>
        </w:rPr>
        <w:t>i</w:t>
      </w:r>
      <w:r>
        <w:rPr>
          <w:w w:val="100"/>
          <w:sz w:val="21"/>
        </w:rPr>
        <w:t>dent</w:t>
      </w:r>
      <w:r>
        <w:rPr>
          <w:sz w:val="21"/>
        </w:rPr>
        <w:t> </w:t>
      </w:r>
      <w:r>
        <w:rPr>
          <w:spacing w:val="12"/>
          <w:sz w:val="21"/>
        </w:rPr>
        <w:t> </w:t>
      </w:r>
      <w:r>
        <w:rPr>
          <w:spacing w:val="-3"/>
          <w:w w:val="100"/>
          <w:sz w:val="21"/>
        </w:rPr>
        <w:t>o</w:t>
      </w:r>
      <w:r>
        <w:rPr>
          <w:w w:val="100"/>
          <w:sz w:val="21"/>
        </w:rPr>
        <w:t>f</w:t>
      </w:r>
      <w:r>
        <w:rPr>
          <w:sz w:val="21"/>
        </w:rPr>
        <w:t> </w:t>
      </w:r>
      <w:r>
        <w:rPr>
          <w:spacing w:val="11"/>
          <w:sz w:val="21"/>
        </w:rPr>
        <w:t> </w:t>
      </w:r>
      <w:r>
        <w:rPr>
          <w:w w:val="100"/>
          <w:sz w:val="21"/>
        </w:rPr>
        <w:t>1949</w:t>
      </w:r>
      <w:r>
        <w:rPr>
          <w:w w:val="100"/>
          <w:sz w:val="21"/>
        </w:rPr>
        <w:t>.</w:t>
      </w:r>
      <w:r>
        <w:rPr>
          <w:sz w:val="21"/>
        </w:rPr>
        <w:t> </w:t>
      </w:r>
      <w:r>
        <w:rPr>
          <w:spacing w:val="11"/>
          <w:sz w:val="21"/>
        </w:rPr>
        <w:t> </w:t>
      </w:r>
      <w:r>
        <w:rPr>
          <w:spacing w:val="-1"/>
          <w:w w:val="100"/>
          <w:sz w:val="21"/>
        </w:rPr>
        <w:t>Mr</w:t>
      </w:r>
      <w:r>
        <w:rPr>
          <w:w w:val="100"/>
          <w:sz w:val="21"/>
        </w:rPr>
        <w:t>. </w:t>
      </w:r>
      <w:r>
        <w:rPr>
          <w:sz w:val="21"/>
        </w:rPr>
        <w:t>Javvad became  Mutwalli  after  him…If  Mr. Farooq has made any such statement that Mr. Zahoor used to manage the mosque at time of the incident, then the responsibility for its correctness or incorrectness lies with him. I know only this much that the mosque was managed by Mr.</w:t>
      </w:r>
      <w:r>
        <w:rPr>
          <w:spacing w:val="-22"/>
          <w:sz w:val="21"/>
        </w:rPr>
        <w:t> </w:t>
      </w:r>
      <w:r>
        <w:rPr>
          <w:sz w:val="21"/>
        </w:rPr>
        <w:t>Zaki.‖</w:t>
      </w:r>
    </w:p>
    <w:p>
      <w:pPr>
        <w:spacing w:line="276" w:lineRule="auto" w:before="0"/>
        <w:ind w:left="1940" w:right="2256" w:firstLine="57"/>
        <w:jc w:val="both"/>
        <w:rPr>
          <w:sz w:val="21"/>
        </w:rPr>
      </w:pPr>
      <w:r>
        <w:rPr>
          <w:w w:val="33"/>
          <w:sz w:val="21"/>
        </w:rPr>
        <w:t>―</w:t>
      </w:r>
      <w:r>
        <w:rPr>
          <w:w w:val="100"/>
          <w:sz w:val="21"/>
        </w:rPr>
        <w:t>If</w:t>
      </w:r>
      <w:r>
        <w:rPr>
          <w:sz w:val="21"/>
        </w:rPr>
        <w:t> </w:t>
      </w:r>
      <w:r>
        <w:rPr>
          <w:w w:val="100"/>
          <w:sz w:val="21"/>
        </w:rPr>
        <w:t>Mr.</w:t>
      </w:r>
      <w:r>
        <w:rPr>
          <w:sz w:val="21"/>
        </w:rPr>
        <w:t> </w:t>
      </w:r>
      <w:r>
        <w:rPr>
          <w:w w:val="100"/>
          <w:sz w:val="21"/>
        </w:rPr>
        <w:t>Hashim</w:t>
      </w:r>
      <w:r>
        <w:rPr>
          <w:sz w:val="21"/>
        </w:rPr>
        <w:t> </w:t>
      </w:r>
      <w:r>
        <w:rPr>
          <w:w w:val="100"/>
          <w:sz w:val="21"/>
        </w:rPr>
        <w:t>has</w:t>
      </w:r>
      <w:r>
        <w:rPr>
          <w:sz w:val="21"/>
        </w:rPr>
        <w:t> </w:t>
      </w:r>
      <w:r>
        <w:rPr>
          <w:w w:val="100"/>
          <w:sz w:val="21"/>
        </w:rPr>
        <w:t>given</w:t>
      </w:r>
      <w:r>
        <w:rPr>
          <w:sz w:val="21"/>
        </w:rPr>
        <w:t> </w:t>
      </w:r>
      <w:r>
        <w:rPr>
          <w:w w:val="100"/>
          <w:sz w:val="21"/>
        </w:rPr>
        <w:t>a</w:t>
      </w:r>
      <w:r>
        <w:rPr>
          <w:sz w:val="21"/>
        </w:rPr>
        <w:t> </w:t>
      </w:r>
      <w:r>
        <w:rPr>
          <w:w w:val="100"/>
          <w:sz w:val="21"/>
        </w:rPr>
        <w:t>statement</w:t>
      </w:r>
      <w:r>
        <w:rPr>
          <w:sz w:val="21"/>
        </w:rPr>
        <w:t> </w:t>
      </w:r>
      <w:r>
        <w:rPr>
          <w:w w:val="100"/>
          <w:sz w:val="21"/>
        </w:rPr>
        <w:t>that</w:t>
      </w:r>
      <w:r>
        <w:rPr>
          <w:sz w:val="21"/>
        </w:rPr>
        <w:t> </w:t>
      </w:r>
      <w:r>
        <w:rPr>
          <w:w w:val="100"/>
          <w:sz w:val="21"/>
        </w:rPr>
        <w:t>he</w:t>
      </w:r>
      <w:r>
        <w:rPr>
          <w:sz w:val="21"/>
        </w:rPr>
        <w:t> </w:t>
      </w:r>
      <w:r>
        <w:rPr>
          <w:w w:val="100"/>
          <w:sz w:val="21"/>
        </w:rPr>
        <w:t>had</w:t>
      </w:r>
      <w:r>
        <w:rPr>
          <w:sz w:val="21"/>
        </w:rPr>
        <w:t> </w:t>
      </w:r>
      <w:r>
        <w:rPr>
          <w:w w:val="100"/>
          <w:sz w:val="21"/>
        </w:rPr>
        <w:t>carried</w:t>
      </w:r>
      <w:r>
        <w:rPr>
          <w:sz w:val="21"/>
        </w:rPr>
        <w:t> </w:t>
      </w:r>
      <w:r>
        <w:rPr>
          <w:w w:val="100"/>
          <w:sz w:val="21"/>
        </w:rPr>
        <w:t>out </w:t>
      </w:r>
      <w:r>
        <w:rPr>
          <w:sz w:val="21"/>
        </w:rPr>
        <w:t>tailoring work only between 1966 to 1976, then it is his wrong statement.‖</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4"/>
        <w:jc w:val="both"/>
      </w:pPr>
      <w:r>
        <w:rPr/>
        <w:t>In the light of his own admissions about his weak memory as well as other contradictions, the contents of the affidavit filed by way of Examination-in-Chief must be read with circumspection.</w:t>
      </w:r>
    </w:p>
    <w:p>
      <w:pPr>
        <w:pStyle w:val="BodyText"/>
        <w:spacing w:before="7"/>
        <w:rPr>
          <w:sz w:val="24"/>
        </w:rPr>
      </w:pPr>
    </w:p>
    <w:p>
      <w:pPr>
        <w:pStyle w:val="ListParagraph"/>
        <w:numPr>
          <w:ilvl w:val="0"/>
          <w:numId w:val="219"/>
        </w:numPr>
        <w:tabs>
          <w:tab w:pos="1221" w:val="left" w:leader="none"/>
        </w:tabs>
        <w:spacing w:line="480" w:lineRule="auto" w:before="1" w:after="0"/>
        <w:ind w:left="500" w:right="434" w:firstLine="0"/>
        <w:jc w:val="both"/>
        <w:rPr>
          <w:sz w:val="25"/>
        </w:rPr>
      </w:pPr>
      <w:r>
        <w:rPr>
          <w:b/>
          <w:sz w:val="25"/>
        </w:rPr>
        <w:t>Abdul Rehman (PW 5): </w:t>
      </w:r>
      <w:r>
        <w:rPr>
          <w:sz w:val="25"/>
        </w:rPr>
        <w:t>The age of the witness was stated to be 71 years. The witness stated that he had recited the Holy Quran in Babri Masjid in 1945 and 1946. PW-5 is not a resident of Ayodhya and his village is 18-19 kilometers away. The witness stated that he recited the Holy Quran in Ayodhya over two continuous years. When he visited to recite the Holy Quran, he used to read Friday namaz in Babri Masjid. In his cross-examination, the witness first stated that he does not recollect when he went to Ayodhya for the first time. Later, during the course of cross-examination, the witness</w:t>
      </w:r>
      <w:r>
        <w:rPr>
          <w:spacing w:val="-6"/>
          <w:sz w:val="25"/>
        </w:rPr>
        <w:t> </w:t>
      </w:r>
      <w:r>
        <w:rPr>
          <w:sz w:val="25"/>
        </w:rPr>
        <w:t>stated:</w:t>
      </w:r>
    </w:p>
    <w:p>
      <w:pPr>
        <w:spacing w:line="276" w:lineRule="auto" w:before="164"/>
        <w:ind w:left="1940" w:right="2254" w:firstLine="0"/>
        <w:jc w:val="both"/>
        <w:rPr>
          <w:sz w:val="21"/>
        </w:rPr>
      </w:pPr>
      <w:r>
        <w:rPr>
          <w:w w:val="33"/>
          <w:sz w:val="21"/>
        </w:rPr>
        <w:t>―</w:t>
      </w:r>
      <w:r>
        <w:rPr>
          <w:w w:val="100"/>
          <w:sz w:val="21"/>
        </w:rPr>
        <w:t>When</w:t>
      </w:r>
      <w:r>
        <w:rPr>
          <w:sz w:val="21"/>
        </w:rPr>
        <w:t> </w:t>
      </w:r>
      <w:r>
        <w:rPr>
          <w:w w:val="100"/>
          <w:sz w:val="21"/>
        </w:rPr>
        <w:t>I</w:t>
      </w:r>
      <w:r>
        <w:rPr>
          <w:sz w:val="21"/>
        </w:rPr>
        <w:t> </w:t>
      </w:r>
      <w:r>
        <w:rPr>
          <w:w w:val="100"/>
          <w:sz w:val="21"/>
        </w:rPr>
        <w:t>went</w:t>
      </w:r>
      <w:r>
        <w:rPr>
          <w:sz w:val="21"/>
        </w:rPr>
        <w:t> </w:t>
      </w:r>
      <w:r>
        <w:rPr>
          <w:w w:val="100"/>
          <w:sz w:val="21"/>
        </w:rPr>
        <w:t>t</w:t>
      </w:r>
      <w:r>
        <w:rPr>
          <w:w w:val="100"/>
          <w:sz w:val="21"/>
        </w:rPr>
        <w:t>o</w:t>
      </w:r>
      <w:r>
        <w:rPr>
          <w:sz w:val="21"/>
        </w:rPr>
        <w:t> </w:t>
      </w:r>
      <w:r>
        <w:rPr>
          <w:w w:val="100"/>
          <w:sz w:val="21"/>
        </w:rPr>
        <w:t>r</w:t>
      </w:r>
      <w:r>
        <w:rPr>
          <w:w w:val="100"/>
          <w:sz w:val="21"/>
        </w:rPr>
        <w:t>eci</w:t>
      </w:r>
      <w:r>
        <w:rPr>
          <w:w w:val="100"/>
          <w:sz w:val="21"/>
        </w:rPr>
        <w:t>t</w:t>
      </w:r>
      <w:r>
        <w:rPr>
          <w:w w:val="100"/>
          <w:sz w:val="21"/>
        </w:rPr>
        <w:t>e</w:t>
      </w:r>
      <w:r>
        <w:rPr>
          <w:sz w:val="21"/>
        </w:rPr>
        <w:t> </w:t>
      </w:r>
      <w:r>
        <w:rPr>
          <w:w w:val="100"/>
          <w:sz w:val="21"/>
        </w:rPr>
        <w:t>Q</w:t>
      </w:r>
      <w:r>
        <w:rPr>
          <w:w w:val="100"/>
          <w:sz w:val="21"/>
        </w:rPr>
        <w:t>uran</w:t>
      </w:r>
      <w:r>
        <w:rPr>
          <w:sz w:val="21"/>
        </w:rPr>
        <w:t> </w:t>
      </w:r>
      <w:r>
        <w:rPr>
          <w:w w:val="100"/>
          <w:sz w:val="21"/>
        </w:rPr>
        <w:t>S</w:t>
      </w:r>
      <w:r>
        <w:rPr>
          <w:w w:val="100"/>
          <w:sz w:val="21"/>
        </w:rPr>
        <w:t>hari</w:t>
      </w:r>
      <w:r>
        <w:rPr>
          <w:w w:val="100"/>
          <w:sz w:val="21"/>
        </w:rPr>
        <w:t>f</w:t>
      </w:r>
      <w:r>
        <w:rPr>
          <w:sz w:val="21"/>
        </w:rPr>
        <w:t> </w:t>
      </w:r>
      <w:r>
        <w:rPr>
          <w:w w:val="100"/>
          <w:sz w:val="21"/>
        </w:rPr>
        <w:t>f</w:t>
      </w:r>
      <w:r>
        <w:rPr>
          <w:w w:val="100"/>
          <w:sz w:val="21"/>
        </w:rPr>
        <w:t>or</w:t>
      </w:r>
      <w:r>
        <w:rPr>
          <w:sz w:val="21"/>
        </w:rPr>
        <w:t> </w:t>
      </w:r>
      <w:r>
        <w:rPr>
          <w:w w:val="100"/>
          <w:sz w:val="21"/>
        </w:rPr>
        <w:t>t</w:t>
      </w:r>
      <w:r>
        <w:rPr>
          <w:w w:val="100"/>
          <w:sz w:val="21"/>
        </w:rPr>
        <w:t>he</w:t>
      </w:r>
      <w:r>
        <w:rPr>
          <w:sz w:val="21"/>
        </w:rPr>
        <w:t> </w:t>
      </w:r>
      <w:r>
        <w:rPr>
          <w:w w:val="100"/>
          <w:sz w:val="21"/>
        </w:rPr>
        <w:t>f</w:t>
      </w:r>
      <w:r>
        <w:rPr>
          <w:w w:val="100"/>
          <w:sz w:val="21"/>
        </w:rPr>
        <w:t>i</w:t>
      </w:r>
      <w:r>
        <w:rPr>
          <w:w w:val="100"/>
          <w:sz w:val="21"/>
        </w:rPr>
        <w:t>r</w:t>
      </w:r>
      <w:r>
        <w:rPr>
          <w:w w:val="100"/>
          <w:sz w:val="21"/>
        </w:rPr>
        <w:t>st</w:t>
      </w:r>
      <w:r>
        <w:rPr>
          <w:sz w:val="21"/>
        </w:rPr>
        <w:t> </w:t>
      </w:r>
      <w:r>
        <w:rPr>
          <w:w w:val="100"/>
          <w:sz w:val="21"/>
        </w:rPr>
        <w:t>t</w:t>
      </w:r>
      <w:r>
        <w:rPr>
          <w:w w:val="100"/>
          <w:sz w:val="21"/>
        </w:rPr>
        <w:t>i</w:t>
      </w:r>
      <w:r>
        <w:rPr>
          <w:w w:val="100"/>
          <w:sz w:val="21"/>
        </w:rPr>
        <w:t>me,</w:t>
      </w:r>
      <w:r>
        <w:rPr>
          <w:sz w:val="21"/>
        </w:rPr>
        <w:t> </w:t>
      </w:r>
      <w:r>
        <w:rPr>
          <w:w w:val="100"/>
          <w:sz w:val="21"/>
        </w:rPr>
        <w:t>i</w:t>
      </w:r>
      <w:r>
        <w:rPr>
          <w:w w:val="100"/>
          <w:sz w:val="21"/>
        </w:rPr>
        <w:t>t</w:t>
      </w:r>
      <w:r>
        <w:rPr>
          <w:sz w:val="21"/>
        </w:rPr>
        <w:t> </w:t>
      </w:r>
      <w:r>
        <w:rPr>
          <w:w w:val="100"/>
          <w:sz w:val="21"/>
        </w:rPr>
        <w:t>was </w:t>
      </w:r>
      <w:r>
        <w:rPr>
          <w:sz w:val="21"/>
        </w:rPr>
        <w:t>the 1</w:t>
      </w:r>
      <w:r>
        <w:rPr>
          <w:sz w:val="21"/>
          <w:vertAlign w:val="superscript"/>
        </w:rPr>
        <w:t>st</w:t>
      </w:r>
      <w:r>
        <w:rPr>
          <w:sz w:val="21"/>
          <w:vertAlign w:val="baseline"/>
        </w:rPr>
        <w:t> day of the month of Ramzan (then said he used to reach there on 29</w:t>
      </w:r>
      <w:r>
        <w:rPr>
          <w:sz w:val="21"/>
          <w:vertAlign w:val="superscript"/>
        </w:rPr>
        <w:t>th</w:t>
      </w:r>
      <w:r>
        <w:rPr>
          <w:sz w:val="21"/>
          <w:vertAlign w:val="baseline"/>
        </w:rPr>
        <w:t> Shahban if the moon appeared and I recited Quran Sharif on the same night.) I do not exactly recollect which particular day (then said he reached Ayodhya on 29</w:t>
      </w:r>
      <w:r>
        <w:rPr>
          <w:sz w:val="21"/>
          <w:vertAlign w:val="superscript"/>
        </w:rPr>
        <w:t>th</w:t>
      </w:r>
      <w:r>
        <w:rPr>
          <w:sz w:val="21"/>
          <w:vertAlign w:val="baseline"/>
        </w:rPr>
        <w:t> of Shahban).‖</w:t>
      </w:r>
    </w:p>
    <w:p>
      <w:pPr>
        <w:pStyle w:val="BodyText"/>
        <w:rPr>
          <w:sz w:val="26"/>
        </w:rPr>
      </w:pPr>
    </w:p>
    <w:p>
      <w:pPr>
        <w:pStyle w:val="BodyText"/>
        <w:spacing w:before="3"/>
        <w:rPr>
          <w:sz w:val="22"/>
        </w:rPr>
      </w:pPr>
    </w:p>
    <w:p>
      <w:pPr>
        <w:pStyle w:val="BodyText"/>
        <w:spacing w:line="480" w:lineRule="auto"/>
        <w:ind w:left="500" w:right="434"/>
        <w:jc w:val="both"/>
      </w:pPr>
      <w:r>
        <w:rPr/>
        <w:t>The witness stated in his cross-examination that when he visited Ayodhya to recite Quran Sharif, he stayed with his relative Hazi Pheku (father of PW-2) for twelve days. The witness stated that on both the occasions when he visited Ayodhya, it was summer and he could not enter the building to recite the Holy Quran due to the intense heat. The outer courtyard was used to recite the Holy Quran. The witness also stated that inside the Masjid, he recited Quran Sharif in the second inner courtyard. The witness stated that he had offered namaz in Babri Masjid once a day.</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6"/>
        <w:jc w:val="both"/>
      </w:pPr>
      <w:r>
        <w:rPr/>
        <w:t>The witness stated in his cross-examination that he went to Ayodhya to recite the Holy Quran for the first time during British rule. He further stated in his cross- examination that besides these two occasions when he recited the Holy Quran  for twelve days, he has never visited Babri Masjid. In 1946, when he went to recite Quran Sharif, he started at 9 pm and about 80-100 people used to come to listen.</w:t>
      </w:r>
    </w:p>
    <w:p>
      <w:pPr>
        <w:pStyle w:val="BodyText"/>
        <w:rPr>
          <w:sz w:val="28"/>
        </w:rPr>
      </w:pPr>
    </w:p>
    <w:p>
      <w:pPr>
        <w:pStyle w:val="BodyText"/>
        <w:rPr>
          <w:sz w:val="22"/>
        </w:rPr>
      </w:pPr>
    </w:p>
    <w:p>
      <w:pPr>
        <w:pStyle w:val="BodyText"/>
        <w:spacing w:line="480" w:lineRule="auto"/>
        <w:ind w:left="500" w:right="443"/>
        <w:jc w:val="both"/>
      </w:pPr>
      <w:r>
        <w:rPr/>
        <w:t>The witness stated in his cross-examination that he cannot tell the year of his visit to the masjids where he has read the Holy Quran and it will be guesswork. The testimony of the witness on the offer of namaz does not throw light on when in point of time namaz was being offered. In the absence of an approximate reference to the year or years when he prayed at the mosque, the evidence has to be read with this</w:t>
      </w:r>
      <w:r>
        <w:rPr>
          <w:spacing w:val="-3"/>
        </w:rPr>
        <w:t> </w:t>
      </w:r>
      <w:r>
        <w:rPr/>
        <w:t>caveat.</w:t>
      </w:r>
    </w:p>
    <w:p>
      <w:pPr>
        <w:pStyle w:val="BodyText"/>
        <w:spacing w:before="9"/>
        <w:rPr>
          <w:sz w:val="24"/>
        </w:rPr>
      </w:pPr>
    </w:p>
    <w:p>
      <w:pPr>
        <w:pStyle w:val="ListParagraph"/>
        <w:numPr>
          <w:ilvl w:val="0"/>
          <w:numId w:val="219"/>
        </w:numPr>
        <w:tabs>
          <w:tab w:pos="1221" w:val="left" w:leader="none"/>
        </w:tabs>
        <w:spacing w:line="480" w:lineRule="auto" w:before="0" w:after="0"/>
        <w:ind w:left="500" w:right="440" w:firstLine="0"/>
        <w:jc w:val="both"/>
        <w:rPr>
          <w:sz w:val="25"/>
        </w:rPr>
      </w:pPr>
      <w:r>
        <w:rPr>
          <w:b/>
          <w:sz w:val="25"/>
        </w:rPr>
        <w:t>Mohd. Unis Siddiqi (PW-6): </w:t>
      </w:r>
      <w:r>
        <w:rPr>
          <w:sz w:val="25"/>
        </w:rPr>
        <w:t>The date of the Examination-in-Chief of the witness is 28 November 1996. The age of the witness was stated to be 63 years. The witness was enrolled as an advocate on 9 July 1955 in Lucknow. The witness states that he went inside Babri Masjid for the first time with his elder brother, when he was 12-13 years old in the night of Shabe-raat. He</w:t>
      </w:r>
      <w:r>
        <w:rPr>
          <w:spacing w:val="-17"/>
          <w:sz w:val="25"/>
        </w:rPr>
        <w:t> </w:t>
      </w:r>
      <w:r>
        <w:rPr>
          <w:sz w:val="25"/>
        </w:rPr>
        <w:t>states:</w:t>
      </w:r>
    </w:p>
    <w:p>
      <w:pPr>
        <w:spacing w:line="276" w:lineRule="auto" w:before="164"/>
        <w:ind w:left="1940" w:right="2253" w:firstLine="0"/>
        <w:jc w:val="both"/>
        <w:rPr>
          <w:sz w:val="21"/>
        </w:rPr>
      </w:pPr>
      <w:r>
        <w:rPr>
          <w:spacing w:val="-1"/>
          <w:w w:val="33"/>
          <w:sz w:val="21"/>
        </w:rPr>
        <w:t>―</w:t>
      </w:r>
      <w:r>
        <w:rPr>
          <w:w w:val="100"/>
          <w:sz w:val="21"/>
        </w:rPr>
        <w:t>A</w:t>
      </w:r>
      <w:r>
        <w:rPr>
          <w:spacing w:val="1"/>
          <w:w w:val="100"/>
          <w:sz w:val="21"/>
        </w:rPr>
        <w:t>f</w:t>
      </w:r>
      <w:r>
        <w:rPr>
          <w:spacing w:val="-2"/>
          <w:w w:val="100"/>
          <w:sz w:val="21"/>
        </w:rPr>
        <w:t>t</w:t>
      </w:r>
      <w:r>
        <w:rPr>
          <w:spacing w:val="-1"/>
          <w:w w:val="100"/>
          <w:sz w:val="21"/>
        </w:rPr>
        <w:t>e</w:t>
      </w:r>
      <w:r>
        <w:rPr>
          <w:w w:val="100"/>
          <w:sz w:val="21"/>
        </w:rPr>
        <w:t>r</w:t>
      </w:r>
      <w:r>
        <w:rPr>
          <w:sz w:val="21"/>
        </w:rPr>
        <w:t> </w:t>
      </w:r>
      <w:r>
        <w:rPr>
          <w:spacing w:val="-17"/>
          <w:sz w:val="21"/>
        </w:rPr>
        <w:t> </w:t>
      </w:r>
      <w:r>
        <w:rPr>
          <w:spacing w:val="-2"/>
          <w:w w:val="100"/>
          <w:sz w:val="21"/>
        </w:rPr>
        <w:t>t</w:t>
      </w:r>
      <w:r>
        <w:rPr>
          <w:spacing w:val="-3"/>
          <w:w w:val="100"/>
          <w:sz w:val="21"/>
        </w:rPr>
        <w:t>h</w:t>
      </w:r>
      <w:r>
        <w:rPr>
          <w:spacing w:val="-1"/>
          <w:w w:val="100"/>
          <w:sz w:val="21"/>
        </w:rPr>
        <w:t>a</w:t>
      </w:r>
      <w:r>
        <w:rPr>
          <w:w w:val="100"/>
          <w:sz w:val="21"/>
        </w:rPr>
        <w:t>t</w:t>
      </w:r>
      <w:r>
        <w:rPr>
          <w:sz w:val="21"/>
        </w:rPr>
        <w:t> </w:t>
      </w:r>
      <w:r>
        <w:rPr>
          <w:spacing w:val="-18"/>
          <w:sz w:val="21"/>
        </w:rPr>
        <w:t> </w:t>
      </w:r>
      <w:r>
        <w:rPr>
          <w:w w:val="100"/>
          <w:sz w:val="21"/>
        </w:rPr>
        <w:t>I</w:t>
      </w:r>
      <w:r>
        <w:rPr>
          <w:sz w:val="21"/>
        </w:rPr>
        <w:t> </w:t>
      </w:r>
      <w:r>
        <w:rPr>
          <w:spacing w:val="-18"/>
          <w:sz w:val="21"/>
        </w:rPr>
        <w:t> </w:t>
      </w:r>
      <w:r>
        <w:rPr>
          <w:spacing w:val="-1"/>
          <w:w w:val="100"/>
          <w:sz w:val="21"/>
        </w:rPr>
        <w:t>use</w:t>
      </w:r>
      <w:r>
        <w:rPr>
          <w:w w:val="100"/>
          <w:sz w:val="21"/>
        </w:rPr>
        <w:t>d</w:t>
      </w:r>
      <w:r>
        <w:rPr>
          <w:sz w:val="21"/>
        </w:rPr>
        <w:t> </w:t>
      </w:r>
      <w:r>
        <w:rPr>
          <w:spacing w:val="-19"/>
          <w:sz w:val="21"/>
        </w:rPr>
        <w:t> </w:t>
      </w:r>
      <w:r>
        <w:rPr>
          <w:spacing w:val="-2"/>
          <w:w w:val="100"/>
          <w:sz w:val="21"/>
        </w:rPr>
        <w:t>t</w:t>
      </w:r>
      <w:r>
        <w:rPr>
          <w:w w:val="100"/>
          <w:sz w:val="21"/>
        </w:rPr>
        <w:t>o</w:t>
      </w:r>
      <w:r>
        <w:rPr>
          <w:sz w:val="21"/>
        </w:rPr>
        <w:t> </w:t>
      </w:r>
      <w:r>
        <w:rPr>
          <w:spacing w:val="-17"/>
          <w:sz w:val="21"/>
        </w:rPr>
        <w:t> </w:t>
      </w:r>
      <w:r>
        <w:rPr>
          <w:spacing w:val="-1"/>
          <w:w w:val="100"/>
          <w:sz w:val="21"/>
        </w:rPr>
        <w:t>g</w:t>
      </w:r>
      <w:r>
        <w:rPr>
          <w:w w:val="100"/>
          <w:sz w:val="21"/>
        </w:rPr>
        <w:t>o</w:t>
      </w:r>
      <w:r>
        <w:rPr>
          <w:sz w:val="21"/>
        </w:rPr>
        <w:t> </w:t>
      </w:r>
      <w:r>
        <w:rPr>
          <w:spacing w:val="-16"/>
          <w:sz w:val="21"/>
        </w:rPr>
        <w:t> </w:t>
      </w:r>
      <w:r>
        <w:rPr>
          <w:spacing w:val="-4"/>
          <w:w w:val="100"/>
          <w:sz w:val="21"/>
        </w:rPr>
        <w:t>t</w:t>
      </w:r>
      <w:r>
        <w:rPr>
          <w:w w:val="100"/>
          <w:sz w:val="21"/>
        </w:rPr>
        <w:t>o</w:t>
      </w:r>
      <w:r>
        <w:rPr>
          <w:sz w:val="21"/>
        </w:rPr>
        <w:t> </w:t>
      </w:r>
      <w:r>
        <w:rPr>
          <w:spacing w:val="-17"/>
          <w:sz w:val="21"/>
        </w:rPr>
        <w:t> </w:t>
      </w:r>
      <w:r>
        <w:rPr>
          <w:spacing w:val="-2"/>
          <w:w w:val="100"/>
          <w:sz w:val="21"/>
        </w:rPr>
        <w:t>t</w:t>
      </w:r>
      <w:r>
        <w:rPr>
          <w:spacing w:val="-1"/>
          <w:w w:val="100"/>
          <w:sz w:val="21"/>
        </w:rPr>
        <w:t>h</w:t>
      </w:r>
      <w:r>
        <w:rPr>
          <w:w w:val="100"/>
          <w:sz w:val="21"/>
        </w:rPr>
        <w:t>e</w:t>
      </w:r>
      <w:r>
        <w:rPr>
          <w:sz w:val="21"/>
        </w:rPr>
        <w:t> </w:t>
      </w:r>
      <w:r>
        <w:rPr>
          <w:spacing w:val="-16"/>
          <w:sz w:val="21"/>
        </w:rPr>
        <w:t> </w:t>
      </w:r>
      <w:r>
        <w:rPr>
          <w:spacing w:val="-1"/>
          <w:w w:val="100"/>
          <w:sz w:val="21"/>
        </w:rPr>
        <w:t>M</w:t>
      </w:r>
      <w:r>
        <w:rPr>
          <w:spacing w:val="-3"/>
          <w:w w:val="100"/>
          <w:sz w:val="21"/>
        </w:rPr>
        <w:t>a</w:t>
      </w:r>
      <w:r>
        <w:rPr>
          <w:w w:val="100"/>
          <w:sz w:val="21"/>
        </w:rPr>
        <w:t>s</w:t>
      </w:r>
      <w:r>
        <w:rPr>
          <w:spacing w:val="-2"/>
          <w:w w:val="100"/>
          <w:sz w:val="21"/>
        </w:rPr>
        <w:t>j</w:t>
      </w:r>
      <w:r>
        <w:rPr>
          <w:w w:val="100"/>
          <w:sz w:val="21"/>
        </w:rPr>
        <w:t>id</w:t>
      </w:r>
      <w:r>
        <w:rPr>
          <w:sz w:val="21"/>
        </w:rPr>
        <w:t> </w:t>
      </w:r>
      <w:r>
        <w:rPr>
          <w:spacing w:val="-19"/>
          <w:sz w:val="21"/>
        </w:rPr>
        <w:t> </w:t>
      </w:r>
      <w:r>
        <w:rPr>
          <w:w w:val="100"/>
          <w:sz w:val="21"/>
        </w:rPr>
        <w:t>in</w:t>
      </w:r>
      <w:r>
        <w:rPr>
          <w:sz w:val="21"/>
        </w:rPr>
        <w:t> </w:t>
      </w:r>
      <w:r>
        <w:rPr>
          <w:spacing w:val="-17"/>
          <w:sz w:val="21"/>
        </w:rPr>
        <w:t> </w:t>
      </w:r>
      <w:r>
        <w:rPr>
          <w:spacing w:val="-2"/>
          <w:w w:val="100"/>
          <w:sz w:val="21"/>
        </w:rPr>
        <w:t>t</w:t>
      </w:r>
      <w:r>
        <w:rPr>
          <w:spacing w:val="-3"/>
          <w:w w:val="100"/>
          <w:sz w:val="21"/>
        </w:rPr>
        <w:t>h</w:t>
      </w:r>
      <w:r>
        <w:rPr>
          <w:w w:val="100"/>
          <w:sz w:val="21"/>
        </w:rPr>
        <w:t>e</w:t>
      </w:r>
      <w:r>
        <w:rPr>
          <w:sz w:val="21"/>
        </w:rPr>
        <w:t> </w:t>
      </w:r>
      <w:r>
        <w:rPr>
          <w:spacing w:val="-17"/>
          <w:sz w:val="21"/>
        </w:rPr>
        <w:t> </w:t>
      </w:r>
      <w:r>
        <w:rPr>
          <w:spacing w:val="-3"/>
          <w:w w:val="100"/>
          <w:sz w:val="21"/>
        </w:rPr>
        <w:t>n</w:t>
      </w:r>
      <w:r>
        <w:rPr>
          <w:w w:val="100"/>
          <w:sz w:val="21"/>
        </w:rPr>
        <w:t>i</w:t>
      </w:r>
      <w:r>
        <w:rPr>
          <w:spacing w:val="-1"/>
          <w:w w:val="100"/>
          <w:sz w:val="21"/>
        </w:rPr>
        <w:t>gh</w:t>
      </w:r>
      <w:r>
        <w:rPr>
          <w:w w:val="100"/>
          <w:sz w:val="21"/>
        </w:rPr>
        <w:t>t</w:t>
      </w:r>
      <w:r>
        <w:rPr>
          <w:sz w:val="21"/>
        </w:rPr>
        <w:t> </w:t>
      </w:r>
      <w:r>
        <w:rPr>
          <w:spacing w:val="-20"/>
          <w:sz w:val="21"/>
        </w:rPr>
        <w:t> </w:t>
      </w:r>
      <w:r>
        <w:rPr>
          <w:spacing w:val="-1"/>
          <w:w w:val="100"/>
          <w:sz w:val="21"/>
        </w:rPr>
        <w:t>o</w:t>
      </w:r>
      <w:r>
        <w:rPr>
          <w:w w:val="100"/>
          <w:sz w:val="21"/>
        </w:rPr>
        <w:t>f</w:t>
      </w:r>
      <w:r>
        <w:rPr>
          <w:sz w:val="21"/>
        </w:rPr>
        <w:t> </w:t>
      </w:r>
      <w:r>
        <w:rPr>
          <w:spacing w:val="-18"/>
          <w:sz w:val="21"/>
        </w:rPr>
        <w:t> </w:t>
      </w:r>
      <w:r>
        <w:rPr>
          <w:spacing w:val="-1"/>
          <w:w w:val="100"/>
          <w:sz w:val="21"/>
        </w:rPr>
        <w:t>e</w:t>
      </w:r>
      <w:r>
        <w:rPr>
          <w:spacing w:val="-3"/>
          <w:w w:val="100"/>
          <w:sz w:val="21"/>
        </w:rPr>
        <w:t>v</w:t>
      </w:r>
      <w:r>
        <w:rPr>
          <w:spacing w:val="-1"/>
          <w:w w:val="100"/>
          <w:sz w:val="21"/>
        </w:rPr>
        <w:t>ery </w:t>
      </w:r>
      <w:r>
        <w:rPr>
          <w:sz w:val="21"/>
        </w:rPr>
        <w:t>Shab-e-raat. I have been to the mosque during day time also. I have offered Namaz only once during day time but have offered Nafle on the occasion of Shabe-raat. I had offered Namaz during the day time on the same day, when statues were placed there. Before that Namaz was offered in group on Jumma</w:t>
      </w:r>
      <w:r>
        <w:rPr>
          <w:spacing w:val="-3"/>
          <w:sz w:val="21"/>
        </w:rPr>
        <w:t> </w:t>
      </w:r>
      <w:r>
        <w:rPr>
          <w:sz w:val="21"/>
        </w:rPr>
        <w:t>(Friday)‖</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6"/>
        <w:jc w:val="both"/>
      </w:pPr>
      <w:r>
        <w:rPr/>
        <w:t>In cross-examination, he admitted that he had been involved in the present suit but stated that he was only engaged as a stand-by by the plaintiffs in the suit. He did not get an opportunity to see the papers related to the case before 1961. The witness stated that he has never seen Hindu worship there before 1949.</w:t>
      </w:r>
    </w:p>
    <w:p>
      <w:pPr>
        <w:pStyle w:val="BodyText"/>
        <w:spacing w:line="480" w:lineRule="auto"/>
        <w:ind w:left="500" w:right="434"/>
        <w:jc w:val="both"/>
      </w:pPr>
      <w:r>
        <w:rPr/>
        <w:t>With regard to his memory, the witness made the following admission in cross- examination:</w:t>
      </w:r>
    </w:p>
    <w:p>
      <w:pPr>
        <w:spacing w:line="276" w:lineRule="auto" w:before="0"/>
        <w:ind w:left="1940" w:right="2257" w:firstLine="0"/>
        <w:jc w:val="both"/>
        <w:rPr>
          <w:sz w:val="21"/>
        </w:rPr>
      </w:pPr>
      <w:r>
        <w:rPr>
          <w:spacing w:val="-1"/>
          <w:w w:val="33"/>
          <w:sz w:val="21"/>
        </w:rPr>
        <w:t>―</w:t>
      </w:r>
      <w:r>
        <w:rPr>
          <w:w w:val="100"/>
          <w:sz w:val="21"/>
        </w:rPr>
        <w:t>…</w:t>
      </w:r>
      <w:r>
        <w:rPr>
          <w:spacing w:val="1"/>
          <w:w w:val="100"/>
          <w:sz w:val="21"/>
        </w:rPr>
        <w:t>m</w:t>
      </w:r>
      <w:r>
        <w:rPr>
          <w:w w:val="100"/>
          <w:sz w:val="21"/>
        </w:rPr>
        <w:t>y</w:t>
      </w:r>
      <w:r>
        <w:rPr>
          <w:sz w:val="21"/>
        </w:rPr>
        <w:t> </w:t>
      </w:r>
      <w:r>
        <w:rPr>
          <w:spacing w:val="-5"/>
          <w:sz w:val="21"/>
        </w:rPr>
        <w:t> </w:t>
      </w:r>
      <w:r>
        <w:rPr>
          <w:spacing w:val="1"/>
          <w:w w:val="100"/>
          <w:sz w:val="21"/>
        </w:rPr>
        <w:t>m</w:t>
      </w:r>
      <w:r>
        <w:rPr>
          <w:spacing w:val="-3"/>
          <w:w w:val="100"/>
          <w:sz w:val="21"/>
        </w:rPr>
        <w:t>e</w:t>
      </w:r>
      <w:r>
        <w:rPr>
          <w:spacing w:val="1"/>
          <w:w w:val="100"/>
          <w:sz w:val="21"/>
        </w:rPr>
        <w:t>m</w:t>
      </w:r>
      <w:r>
        <w:rPr>
          <w:spacing w:val="-1"/>
          <w:w w:val="100"/>
          <w:sz w:val="21"/>
        </w:rPr>
        <w:t>or</w:t>
      </w:r>
      <w:r>
        <w:rPr>
          <w:w w:val="100"/>
          <w:sz w:val="21"/>
        </w:rPr>
        <w:t>y</w:t>
      </w:r>
      <w:r>
        <w:rPr>
          <w:sz w:val="21"/>
        </w:rPr>
        <w:t> </w:t>
      </w:r>
      <w:r>
        <w:rPr>
          <w:spacing w:val="-3"/>
          <w:sz w:val="21"/>
        </w:rPr>
        <w:t> </w:t>
      </w:r>
      <w:r>
        <w:rPr>
          <w:w w:val="100"/>
          <w:sz w:val="21"/>
        </w:rPr>
        <w:t>is</w:t>
      </w:r>
      <w:r>
        <w:rPr>
          <w:sz w:val="21"/>
        </w:rPr>
        <w:t> </w:t>
      </w:r>
      <w:r>
        <w:rPr>
          <w:spacing w:val="2"/>
          <w:sz w:val="21"/>
        </w:rPr>
        <w:t> </w:t>
      </w:r>
      <w:r>
        <w:rPr>
          <w:spacing w:val="-2"/>
          <w:w w:val="100"/>
          <w:sz w:val="21"/>
        </w:rPr>
        <w:t>w</w:t>
      </w:r>
      <w:r>
        <w:rPr>
          <w:w w:val="100"/>
          <w:sz w:val="21"/>
        </w:rPr>
        <w:t>e</w:t>
      </w:r>
      <w:r>
        <w:rPr>
          <w:spacing w:val="-3"/>
          <w:w w:val="100"/>
          <w:sz w:val="21"/>
        </w:rPr>
        <w:t>a</w:t>
      </w:r>
      <w:r>
        <w:rPr>
          <w:spacing w:val="2"/>
          <w:w w:val="100"/>
          <w:sz w:val="21"/>
        </w:rPr>
        <w:t>k</w:t>
      </w:r>
      <w:r>
        <w:rPr>
          <w:w w:val="100"/>
          <w:sz w:val="21"/>
        </w:rPr>
        <w:t>.</w:t>
      </w:r>
      <w:r>
        <w:rPr>
          <w:sz w:val="21"/>
        </w:rPr>
        <w:t> </w:t>
      </w:r>
      <w:r>
        <w:rPr>
          <w:spacing w:val="-3"/>
          <w:sz w:val="21"/>
        </w:rPr>
        <w:t> </w:t>
      </w:r>
      <w:r>
        <w:rPr>
          <w:w w:val="100"/>
          <w:sz w:val="21"/>
        </w:rPr>
        <w:t>Th</w:t>
      </w:r>
      <w:r>
        <w:rPr>
          <w:w w:val="100"/>
          <w:sz w:val="21"/>
        </w:rPr>
        <w:t>i</w:t>
      </w:r>
      <w:r>
        <w:rPr>
          <w:w w:val="100"/>
          <w:sz w:val="21"/>
        </w:rPr>
        <w:t>s</w:t>
      </w:r>
      <w:r>
        <w:rPr>
          <w:sz w:val="21"/>
        </w:rPr>
        <w:t>  </w:t>
      </w:r>
      <w:r>
        <w:rPr>
          <w:spacing w:val="-2"/>
          <w:w w:val="100"/>
          <w:sz w:val="21"/>
        </w:rPr>
        <w:t>w</w:t>
      </w:r>
      <w:r>
        <w:rPr>
          <w:spacing w:val="-3"/>
          <w:w w:val="100"/>
          <w:sz w:val="21"/>
        </w:rPr>
        <w:t>ea</w:t>
      </w:r>
      <w:r>
        <w:rPr>
          <w:spacing w:val="2"/>
          <w:w w:val="100"/>
          <w:sz w:val="21"/>
        </w:rPr>
        <w:t>k</w:t>
      </w:r>
      <w:r>
        <w:rPr>
          <w:spacing w:val="-3"/>
          <w:w w:val="100"/>
          <w:sz w:val="21"/>
        </w:rPr>
        <w:t>n</w:t>
      </w:r>
      <w:r>
        <w:rPr>
          <w:w w:val="100"/>
          <w:sz w:val="21"/>
        </w:rPr>
        <w:t>ess</w:t>
      </w:r>
      <w:r>
        <w:rPr>
          <w:sz w:val="21"/>
        </w:rPr>
        <w:t>  </w:t>
      </w:r>
      <w:r>
        <w:rPr>
          <w:w w:val="100"/>
          <w:sz w:val="21"/>
        </w:rPr>
        <w:t>h</w:t>
      </w:r>
      <w:r>
        <w:rPr>
          <w:spacing w:val="-3"/>
          <w:w w:val="100"/>
          <w:sz w:val="21"/>
        </w:rPr>
        <w:t>a</w:t>
      </w:r>
      <w:r>
        <w:rPr>
          <w:w w:val="100"/>
          <w:sz w:val="21"/>
        </w:rPr>
        <w:t>s</w:t>
      </w:r>
      <w:r>
        <w:rPr>
          <w:sz w:val="21"/>
        </w:rPr>
        <w:t>  </w:t>
      </w:r>
      <w:r>
        <w:rPr>
          <w:w w:val="100"/>
          <w:sz w:val="21"/>
        </w:rPr>
        <w:t>s</w:t>
      </w:r>
      <w:r>
        <w:rPr>
          <w:spacing w:val="-2"/>
          <w:w w:val="100"/>
          <w:sz w:val="21"/>
        </w:rPr>
        <w:t>t</w:t>
      </w:r>
      <w:r>
        <w:rPr>
          <w:spacing w:val="-3"/>
          <w:w w:val="100"/>
          <w:sz w:val="21"/>
        </w:rPr>
        <w:t>a</w:t>
      </w:r>
      <w:r>
        <w:rPr>
          <w:spacing w:val="-1"/>
          <w:w w:val="100"/>
          <w:sz w:val="21"/>
        </w:rPr>
        <w:t>r</w:t>
      </w:r>
      <w:r>
        <w:rPr>
          <w:spacing w:val="-2"/>
          <w:w w:val="100"/>
          <w:sz w:val="21"/>
        </w:rPr>
        <w:t>t</w:t>
      </w:r>
      <w:r>
        <w:rPr>
          <w:w w:val="100"/>
          <w:sz w:val="21"/>
        </w:rPr>
        <w:t>ed</w:t>
      </w:r>
      <w:r>
        <w:rPr>
          <w:sz w:val="21"/>
        </w:rPr>
        <w:t>  </w:t>
      </w:r>
      <w:r>
        <w:rPr>
          <w:w w:val="100"/>
          <w:sz w:val="21"/>
        </w:rPr>
        <w:t>sin</w:t>
      </w:r>
      <w:r>
        <w:rPr>
          <w:spacing w:val="-3"/>
          <w:w w:val="100"/>
          <w:sz w:val="21"/>
        </w:rPr>
        <w:t>c</w:t>
      </w:r>
      <w:r>
        <w:rPr>
          <w:w w:val="100"/>
          <w:sz w:val="21"/>
        </w:rPr>
        <w:t>e </w:t>
      </w:r>
      <w:r>
        <w:rPr>
          <w:sz w:val="21"/>
        </w:rPr>
        <w:t>1986. </w:t>
      </w:r>
      <w:r>
        <w:rPr>
          <w:b/>
          <w:sz w:val="21"/>
        </w:rPr>
        <w:t>It is correct that now I sometimes forget the names of my sons also</w:t>
      </w:r>
      <w:r>
        <w:rPr>
          <w:sz w:val="21"/>
        </w:rPr>
        <w:t>. I have 5 sons, I recognize them. From that very time i.e. from 1987 my vision has weakened. I was hurt in my head at that</w:t>
      </w:r>
      <w:r>
        <w:rPr>
          <w:spacing w:val="-15"/>
          <w:sz w:val="21"/>
        </w:rPr>
        <w:t> </w:t>
      </w:r>
      <w:r>
        <w:rPr>
          <w:sz w:val="21"/>
        </w:rPr>
        <w:t>time.‖</w:t>
      </w:r>
    </w:p>
    <w:p>
      <w:pPr>
        <w:spacing w:line="241" w:lineRule="exact" w:before="0"/>
        <w:ind w:left="5731" w:right="0" w:firstLine="0"/>
        <w:jc w:val="left"/>
        <w:rPr>
          <w:sz w:val="21"/>
        </w:rPr>
      </w:pPr>
      <w:r>
        <w:rPr>
          <w:sz w:val="21"/>
        </w:rPr>
        <w:t>(Emphasis supplied)</w:t>
      </w:r>
    </w:p>
    <w:p>
      <w:pPr>
        <w:pStyle w:val="BodyText"/>
        <w:rPr>
          <w:sz w:val="24"/>
        </w:rPr>
      </w:pPr>
    </w:p>
    <w:p>
      <w:pPr>
        <w:pStyle w:val="ListParagraph"/>
        <w:numPr>
          <w:ilvl w:val="0"/>
          <w:numId w:val="219"/>
        </w:numPr>
        <w:tabs>
          <w:tab w:pos="1221" w:val="left" w:leader="none"/>
        </w:tabs>
        <w:spacing w:line="480" w:lineRule="auto" w:before="206" w:after="0"/>
        <w:ind w:left="500" w:right="434" w:firstLine="0"/>
        <w:jc w:val="both"/>
        <w:rPr>
          <w:sz w:val="25"/>
        </w:rPr>
      </w:pPr>
      <w:r>
        <w:rPr>
          <w:b/>
          <w:sz w:val="25"/>
        </w:rPr>
        <w:t>Hasmat Ullah Ansari (PW-7): </w:t>
      </w:r>
      <w:r>
        <w:rPr>
          <w:sz w:val="25"/>
        </w:rPr>
        <w:t>The date of the Examination-in-Chief of the witness was 5 December 1996. The age of the witness was stated to be about 65 years. The witness stated that he was born at Ayodhya in 1932. He stated that his date of birth is mentioned as 8 January 1934, but it is wrong. With respect to his date of birth, the witness made the following statement in his cross- examination:</w:t>
      </w:r>
    </w:p>
    <w:p>
      <w:pPr>
        <w:spacing w:line="276" w:lineRule="auto" w:before="161"/>
        <w:ind w:left="1940" w:right="2258" w:firstLine="0"/>
        <w:jc w:val="both"/>
        <w:rPr>
          <w:sz w:val="21"/>
        </w:rPr>
      </w:pPr>
      <w:r>
        <w:rPr>
          <w:spacing w:val="-6"/>
          <w:w w:val="33"/>
          <w:sz w:val="21"/>
        </w:rPr>
        <w:t>―</w:t>
      </w:r>
      <w:r>
        <w:rPr>
          <w:spacing w:val="6"/>
          <w:w w:val="100"/>
          <w:sz w:val="21"/>
        </w:rPr>
        <w:t>W</w:t>
      </w:r>
      <w:r>
        <w:rPr>
          <w:spacing w:val="-3"/>
          <w:w w:val="100"/>
          <w:sz w:val="21"/>
        </w:rPr>
        <w:t>h</w:t>
      </w:r>
      <w:r>
        <w:rPr>
          <w:w w:val="100"/>
          <w:sz w:val="21"/>
        </w:rPr>
        <w:t>en</w:t>
      </w:r>
      <w:r>
        <w:rPr>
          <w:sz w:val="21"/>
        </w:rPr>
        <w:t>  </w:t>
      </w:r>
      <w:r>
        <w:rPr>
          <w:spacing w:val="-12"/>
          <w:sz w:val="21"/>
        </w:rPr>
        <w:t> </w:t>
      </w:r>
      <w:r>
        <w:rPr>
          <w:w w:val="100"/>
          <w:sz w:val="21"/>
        </w:rPr>
        <w:t>I</w:t>
      </w:r>
      <w:r>
        <w:rPr>
          <w:sz w:val="21"/>
        </w:rPr>
        <w:t>  </w:t>
      </w:r>
      <w:r>
        <w:rPr>
          <w:spacing w:val="-14"/>
          <w:sz w:val="21"/>
        </w:rPr>
        <w:t> </w:t>
      </w:r>
      <w:r>
        <w:rPr>
          <w:w w:val="100"/>
          <w:sz w:val="21"/>
        </w:rPr>
        <w:t>got</w:t>
      </w:r>
      <w:r>
        <w:rPr>
          <w:sz w:val="21"/>
        </w:rPr>
        <w:t>  </w:t>
      </w:r>
      <w:r>
        <w:rPr>
          <w:spacing w:val="-13"/>
          <w:sz w:val="21"/>
        </w:rPr>
        <w:t> </w:t>
      </w:r>
      <w:r>
        <w:rPr>
          <w:w w:val="100"/>
          <w:sz w:val="21"/>
        </w:rPr>
        <w:t>a</w:t>
      </w:r>
      <w:r>
        <w:rPr>
          <w:sz w:val="21"/>
        </w:rPr>
        <w:t>  </w:t>
      </w:r>
      <w:r>
        <w:rPr>
          <w:spacing w:val="-13"/>
          <w:sz w:val="21"/>
        </w:rPr>
        <w:t> </w:t>
      </w:r>
      <w:r>
        <w:rPr>
          <w:w w:val="100"/>
          <w:sz w:val="21"/>
        </w:rPr>
        <w:t>cer</w:t>
      </w:r>
      <w:r>
        <w:rPr>
          <w:spacing w:val="-2"/>
          <w:w w:val="100"/>
          <w:sz w:val="21"/>
        </w:rPr>
        <w:t>t</w:t>
      </w:r>
      <w:r>
        <w:rPr>
          <w:spacing w:val="-2"/>
          <w:w w:val="100"/>
          <w:sz w:val="21"/>
        </w:rPr>
        <w:t>i</w:t>
      </w:r>
      <w:r>
        <w:rPr>
          <w:spacing w:val="1"/>
          <w:w w:val="100"/>
          <w:sz w:val="21"/>
        </w:rPr>
        <w:t>f</w:t>
      </w:r>
      <w:r>
        <w:rPr>
          <w:spacing w:val="-2"/>
          <w:w w:val="100"/>
          <w:sz w:val="21"/>
        </w:rPr>
        <w:t>i</w:t>
      </w:r>
      <w:r>
        <w:rPr>
          <w:spacing w:val="-3"/>
          <w:w w:val="100"/>
          <w:sz w:val="21"/>
        </w:rPr>
        <w:t>c</w:t>
      </w:r>
      <w:r>
        <w:rPr>
          <w:w w:val="100"/>
          <w:sz w:val="21"/>
        </w:rPr>
        <w:t>a</w:t>
      </w:r>
      <w:r>
        <w:rPr>
          <w:spacing w:val="-1"/>
          <w:w w:val="100"/>
          <w:sz w:val="21"/>
        </w:rPr>
        <w:t>t</w:t>
      </w:r>
      <w:r>
        <w:rPr>
          <w:w w:val="100"/>
          <w:sz w:val="21"/>
        </w:rPr>
        <w:t>e</w:t>
      </w:r>
      <w:r>
        <w:rPr>
          <w:sz w:val="21"/>
        </w:rPr>
        <w:t>  </w:t>
      </w:r>
      <w:r>
        <w:rPr>
          <w:spacing w:val="-12"/>
          <w:sz w:val="21"/>
        </w:rPr>
        <w:t> </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11"/>
          <w:sz w:val="21"/>
        </w:rPr>
        <w:t> </w:t>
      </w:r>
      <w:r>
        <w:rPr>
          <w:spacing w:val="-2"/>
          <w:w w:val="100"/>
          <w:sz w:val="21"/>
        </w:rPr>
        <w:t>t</w:t>
      </w:r>
      <w:r>
        <w:rPr>
          <w:spacing w:val="-3"/>
          <w:w w:val="100"/>
          <w:sz w:val="21"/>
        </w:rPr>
        <w:t>h</w:t>
      </w:r>
      <w:r>
        <w:rPr>
          <w:w w:val="100"/>
          <w:sz w:val="21"/>
        </w:rPr>
        <w:t>e</w:t>
      </w:r>
      <w:r>
        <w:rPr>
          <w:sz w:val="21"/>
        </w:rPr>
        <w:t>  </w:t>
      </w:r>
      <w:r>
        <w:rPr>
          <w:spacing w:val="-12"/>
          <w:sz w:val="21"/>
        </w:rPr>
        <w:t> </w:t>
      </w:r>
      <w:r>
        <w:rPr>
          <w:w w:val="100"/>
          <w:sz w:val="21"/>
        </w:rPr>
        <w:t>P</w:t>
      </w:r>
      <w:r>
        <w:rPr>
          <w:spacing w:val="-3"/>
          <w:w w:val="100"/>
          <w:sz w:val="21"/>
        </w:rPr>
        <w:t>h</w:t>
      </w:r>
      <w:r>
        <w:rPr>
          <w:w w:val="100"/>
          <w:sz w:val="21"/>
        </w:rPr>
        <w:t>o</w:t>
      </w:r>
      <w:r>
        <w:rPr>
          <w:spacing w:val="-1"/>
          <w:w w:val="100"/>
          <w:sz w:val="21"/>
        </w:rPr>
        <w:t>f</w:t>
      </w:r>
      <w:r>
        <w:rPr>
          <w:w w:val="100"/>
          <w:sz w:val="21"/>
        </w:rPr>
        <w:t>as</w:t>
      </w:r>
      <w:r>
        <w:rPr>
          <w:sz w:val="21"/>
        </w:rPr>
        <w:t>  </w:t>
      </w:r>
      <w:r>
        <w:rPr>
          <w:spacing w:val="-15"/>
          <w:sz w:val="21"/>
        </w:rPr>
        <w:t> </w:t>
      </w:r>
      <w:r>
        <w:rPr>
          <w:w w:val="100"/>
          <w:sz w:val="21"/>
        </w:rPr>
        <w:t>C</w:t>
      </w:r>
      <w:r>
        <w:rPr>
          <w:spacing w:val="-3"/>
          <w:w w:val="100"/>
          <w:sz w:val="21"/>
        </w:rPr>
        <w:t>o</w:t>
      </w:r>
      <w:r>
        <w:rPr>
          <w:w w:val="100"/>
          <w:sz w:val="21"/>
        </w:rPr>
        <w:t>l</w:t>
      </w:r>
      <w:r>
        <w:rPr>
          <w:spacing w:val="-2"/>
          <w:w w:val="100"/>
          <w:sz w:val="21"/>
        </w:rPr>
        <w:t>l</w:t>
      </w:r>
      <w:r>
        <w:rPr>
          <w:w w:val="100"/>
          <w:sz w:val="21"/>
        </w:rPr>
        <w:t>ege</w:t>
      </w:r>
      <w:r>
        <w:rPr>
          <w:sz w:val="21"/>
        </w:rPr>
        <w:t>  </w:t>
      </w:r>
      <w:r>
        <w:rPr>
          <w:spacing w:val="-14"/>
          <w:sz w:val="21"/>
        </w:rPr>
        <w:t> </w:t>
      </w:r>
      <w:r>
        <w:rPr>
          <w:w w:val="100"/>
          <w:sz w:val="21"/>
        </w:rPr>
        <w:t>on </w:t>
      </w:r>
      <w:r>
        <w:rPr>
          <w:sz w:val="21"/>
        </w:rPr>
        <w:t>completion of my education, I came to know that my date of birth was wrongly mentioned. I have not taken any steps to rectify the</w:t>
      </w:r>
      <w:r>
        <w:rPr>
          <w:spacing w:val="-6"/>
          <w:sz w:val="21"/>
        </w:rPr>
        <w:t> </w:t>
      </w:r>
      <w:r>
        <w:rPr>
          <w:sz w:val="21"/>
        </w:rPr>
        <w:t>mistake.‖</w:t>
      </w:r>
    </w:p>
    <w:p>
      <w:pPr>
        <w:pStyle w:val="BodyText"/>
        <w:rPr>
          <w:sz w:val="24"/>
        </w:rPr>
      </w:pPr>
    </w:p>
    <w:p>
      <w:pPr>
        <w:pStyle w:val="BodyText"/>
        <w:spacing w:line="480" w:lineRule="auto" w:before="209"/>
        <w:ind w:left="500" w:right="442"/>
        <w:jc w:val="both"/>
      </w:pPr>
      <w:r>
        <w:rPr/>
        <w:t>The witness has stated his age as 65 in 1996 and in accordance with that, his year of birth would be 1931. He stated that he has offered namaz at Babri Masjid hundreds of times and he had first offered namaz in 1943. The witness stated that a week before the placement of idols, he had been regularly offering namaz there. He stated in his</w:t>
      </w:r>
      <w:r>
        <w:rPr>
          <w:spacing w:val="-6"/>
        </w:rPr>
        <w:t> </w:t>
      </w:r>
      <w:r>
        <w:rPr/>
        <w:t>cross-examination:</w:t>
      </w:r>
    </w:p>
    <w:p>
      <w:pPr>
        <w:spacing w:after="0" w:line="480" w:lineRule="auto"/>
        <w:jc w:val="both"/>
        <w:sectPr>
          <w:pgSz w:w="11910" w:h="16840"/>
          <w:pgMar w:header="721" w:footer="1014" w:top="1300" w:bottom="1200" w:left="940" w:right="1000"/>
        </w:sectPr>
      </w:pPr>
    </w:p>
    <w:p>
      <w:pPr>
        <w:spacing w:line="276" w:lineRule="auto" w:before="122"/>
        <w:ind w:left="1940" w:right="2255" w:firstLine="0"/>
        <w:jc w:val="both"/>
        <w:rPr>
          <w:sz w:val="21"/>
        </w:rPr>
      </w:pPr>
      <w:r>
        <w:rPr>
          <w:spacing w:val="-1"/>
          <w:w w:val="33"/>
          <w:sz w:val="21"/>
        </w:rPr>
        <w:t>―</w:t>
      </w:r>
      <w:r>
        <w:rPr>
          <w:w w:val="100"/>
          <w:sz w:val="21"/>
        </w:rPr>
        <w:t>I</w:t>
      </w:r>
      <w:r>
        <w:rPr>
          <w:sz w:val="21"/>
        </w:rPr>
        <w:t>   </w:t>
      </w:r>
      <w:r>
        <w:rPr>
          <w:spacing w:val="-5"/>
          <w:sz w:val="21"/>
        </w:rPr>
        <w:t> </w:t>
      </w:r>
      <w:r>
        <w:rPr>
          <w:w w:val="100"/>
          <w:sz w:val="21"/>
        </w:rPr>
        <w:t>d</w:t>
      </w:r>
      <w:r>
        <w:rPr>
          <w:spacing w:val="1"/>
          <w:w w:val="100"/>
          <w:sz w:val="21"/>
        </w:rPr>
        <w:t>i</w:t>
      </w:r>
      <w:r>
        <w:rPr>
          <w:w w:val="100"/>
          <w:sz w:val="21"/>
        </w:rPr>
        <w:t>d</w:t>
      </w:r>
      <w:r>
        <w:rPr>
          <w:sz w:val="21"/>
        </w:rPr>
        <w:t>   </w:t>
      </w:r>
      <w:r>
        <w:rPr>
          <w:spacing w:val="-6"/>
          <w:sz w:val="21"/>
        </w:rPr>
        <w:t> </w:t>
      </w:r>
      <w:r>
        <w:rPr>
          <w:w w:val="100"/>
          <w:sz w:val="21"/>
        </w:rPr>
        <w:t>not</w:t>
      </w:r>
      <w:r>
        <w:rPr>
          <w:sz w:val="21"/>
        </w:rPr>
        <w:t>   </w:t>
      </w:r>
      <w:r>
        <w:rPr>
          <w:spacing w:val="-7"/>
          <w:sz w:val="21"/>
        </w:rPr>
        <w:t> </w:t>
      </w:r>
      <w:r>
        <w:rPr>
          <w:w w:val="100"/>
          <w:sz w:val="21"/>
        </w:rPr>
        <w:t>o</w:t>
      </w:r>
      <w:r>
        <w:rPr>
          <w:spacing w:val="-1"/>
          <w:w w:val="100"/>
          <w:sz w:val="21"/>
        </w:rPr>
        <w:t>f</w:t>
      </w:r>
      <w:r>
        <w:rPr>
          <w:spacing w:val="1"/>
          <w:w w:val="100"/>
          <w:sz w:val="21"/>
        </w:rPr>
        <w:t>f</w:t>
      </w:r>
      <w:r>
        <w:rPr>
          <w:w w:val="100"/>
          <w:sz w:val="21"/>
        </w:rPr>
        <w:t>er</w:t>
      </w:r>
      <w:r>
        <w:rPr>
          <w:sz w:val="21"/>
        </w:rPr>
        <w:t>   </w:t>
      </w:r>
      <w:r>
        <w:rPr>
          <w:spacing w:val="-7"/>
          <w:sz w:val="21"/>
        </w:rPr>
        <w:t> </w:t>
      </w:r>
      <w:r>
        <w:rPr>
          <w:w w:val="100"/>
          <w:sz w:val="21"/>
        </w:rPr>
        <w:t>n</w:t>
      </w:r>
      <w:r>
        <w:rPr>
          <w:spacing w:val="-3"/>
          <w:w w:val="100"/>
          <w:sz w:val="21"/>
        </w:rPr>
        <w:t>a</w:t>
      </w:r>
      <w:r>
        <w:rPr>
          <w:spacing w:val="-1"/>
          <w:w w:val="100"/>
          <w:sz w:val="21"/>
        </w:rPr>
        <w:t>m</w:t>
      </w:r>
      <w:r>
        <w:rPr>
          <w:w w:val="100"/>
          <w:sz w:val="21"/>
        </w:rPr>
        <w:t>az</w:t>
      </w:r>
      <w:r>
        <w:rPr>
          <w:sz w:val="21"/>
        </w:rPr>
        <w:t>   </w:t>
      </w:r>
      <w:r>
        <w:rPr>
          <w:spacing w:val="-6"/>
          <w:sz w:val="21"/>
        </w:rPr>
        <w:t> </w:t>
      </w:r>
      <w:r>
        <w:rPr>
          <w:w w:val="100"/>
          <w:sz w:val="21"/>
        </w:rPr>
        <w:t>at</w:t>
      </w:r>
      <w:r>
        <w:rPr>
          <w:sz w:val="21"/>
        </w:rPr>
        <w:t>   </w:t>
      </w:r>
      <w:r>
        <w:rPr>
          <w:spacing w:val="-5"/>
          <w:sz w:val="21"/>
        </w:rPr>
        <w:t> </w:t>
      </w:r>
      <w:r>
        <w:rPr>
          <w:spacing w:val="-2"/>
          <w:w w:val="100"/>
          <w:sz w:val="21"/>
        </w:rPr>
        <w:t>t</w:t>
      </w:r>
      <w:r>
        <w:rPr>
          <w:w w:val="100"/>
          <w:sz w:val="21"/>
        </w:rPr>
        <w:t>h</w:t>
      </w:r>
      <w:r>
        <w:rPr>
          <w:spacing w:val="1"/>
          <w:w w:val="100"/>
          <w:sz w:val="21"/>
        </w:rPr>
        <w:t>i</w:t>
      </w:r>
      <w:r>
        <w:rPr>
          <w:w w:val="100"/>
          <w:sz w:val="21"/>
        </w:rPr>
        <w:t>s</w:t>
      </w:r>
      <w:r>
        <w:rPr>
          <w:sz w:val="21"/>
        </w:rPr>
        <w:t>   </w:t>
      </w:r>
      <w:r>
        <w:rPr>
          <w:spacing w:val="-8"/>
          <w:sz w:val="21"/>
        </w:rPr>
        <w:t> </w:t>
      </w:r>
      <w:r>
        <w:rPr>
          <w:spacing w:val="1"/>
          <w:w w:val="100"/>
          <w:sz w:val="21"/>
        </w:rPr>
        <w:t>m</w:t>
      </w:r>
      <w:r>
        <w:rPr>
          <w:w w:val="100"/>
          <w:sz w:val="21"/>
        </w:rPr>
        <w:t>o</w:t>
      </w:r>
      <w:r>
        <w:rPr>
          <w:spacing w:val="-3"/>
          <w:w w:val="100"/>
          <w:sz w:val="21"/>
        </w:rPr>
        <w:t>s</w:t>
      </w:r>
      <w:r>
        <w:rPr>
          <w:w w:val="100"/>
          <w:sz w:val="21"/>
        </w:rPr>
        <w:t>que</w:t>
      </w:r>
      <w:r>
        <w:rPr>
          <w:sz w:val="21"/>
        </w:rPr>
        <w:t>   </w:t>
      </w:r>
      <w:r>
        <w:rPr>
          <w:spacing w:val="-8"/>
          <w:sz w:val="21"/>
        </w:rPr>
        <w:t> </w:t>
      </w:r>
      <w:r>
        <w:rPr>
          <w:w w:val="100"/>
          <w:sz w:val="21"/>
        </w:rPr>
        <w:t>on</w:t>
      </w:r>
      <w:r>
        <w:rPr>
          <w:sz w:val="21"/>
        </w:rPr>
        <w:t>   </w:t>
      </w:r>
      <w:r>
        <w:rPr>
          <w:spacing w:val="-3"/>
          <w:sz w:val="21"/>
        </w:rPr>
        <w:t> </w:t>
      </w:r>
      <w:r>
        <w:rPr>
          <w:spacing w:val="-3"/>
          <w:w w:val="100"/>
          <w:sz w:val="21"/>
        </w:rPr>
        <w:t>2</w:t>
      </w:r>
      <w:r>
        <w:rPr>
          <w:w w:val="100"/>
          <w:sz w:val="21"/>
        </w:rPr>
        <w:t>2nd </w:t>
      </w:r>
      <w:r>
        <w:rPr>
          <w:sz w:val="21"/>
        </w:rPr>
        <w:t>December,1949. I had not offered namaz there even on 21st December, 1949 too. I have corrected my statement that I had been rarely offering namaz there up to a week before the placing of the idol there. I did not offer all the five Namazes there but certainly offered Namaz of</w:t>
      </w:r>
      <w:r>
        <w:rPr>
          <w:spacing w:val="-16"/>
          <w:sz w:val="21"/>
        </w:rPr>
        <w:t> </w:t>
      </w:r>
      <w:r>
        <w:rPr>
          <w:sz w:val="21"/>
        </w:rPr>
        <w:t>Asar.‖</w:t>
      </w:r>
    </w:p>
    <w:p>
      <w:pPr>
        <w:pStyle w:val="BodyText"/>
        <w:rPr>
          <w:sz w:val="24"/>
        </w:rPr>
      </w:pPr>
    </w:p>
    <w:p>
      <w:pPr>
        <w:pStyle w:val="BodyText"/>
        <w:spacing w:line="480" w:lineRule="auto" w:before="207"/>
        <w:ind w:left="500" w:right="434"/>
        <w:jc w:val="both"/>
      </w:pPr>
      <w:r>
        <w:rPr/>
        <w:t>The witness stated that namaz was offered at the disputed property prior to 22 December 1949. The witness stated that Jumma Namaz as well as namaz of all five times was also offered at this mosque. During Ramzan, Tarabi Namaz was offered at Babri Masjid. Until 22 December, the witness states that he had not seen any idol in the Masjid nor did he see anyone worshipping there. He stated that he did not see any Hindus going there for worship. In his cross-examination, the witness stated that he had been offering namaz regularly at the masjid. When he offered namaz for the first time in 1943, he was 11-12 years old.</w:t>
      </w:r>
    </w:p>
    <w:p>
      <w:pPr>
        <w:pStyle w:val="BodyText"/>
        <w:spacing w:before="3"/>
      </w:pPr>
    </w:p>
    <w:p>
      <w:pPr>
        <w:pStyle w:val="BodyText"/>
        <w:spacing w:line="480" w:lineRule="auto"/>
        <w:ind w:left="500" w:right="435"/>
        <w:jc w:val="both"/>
      </w:pPr>
      <w:r>
        <w:rPr/>
        <w:t>The witness stated in his cross-examination that two days before the placement of idols, he had performed namaz of Asar and 8-10 people were present. Before offering the namaz of Asar, had offered Jumma Namaz wherein 400-500 people were present. The witness gave a detailed description of the disputed property in his</w:t>
      </w:r>
      <w:r>
        <w:rPr>
          <w:spacing w:val="-2"/>
        </w:rPr>
        <w:t> </w:t>
      </w:r>
      <w:r>
        <w:rPr/>
        <w:t>cross-examination.</w:t>
      </w:r>
    </w:p>
    <w:p>
      <w:pPr>
        <w:pStyle w:val="BodyText"/>
        <w:spacing w:before="8"/>
        <w:rPr>
          <w:sz w:val="24"/>
        </w:rPr>
      </w:pPr>
    </w:p>
    <w:p>
      <w:pPr>
        <w:pStyle w:val="ListParagraph"/>
        <w:numPr>
          <w:ilvl w:val="0"/>
          <w:numId w:val="219"/>
        </w:numPr>
        <w:tabs>
          <w:tab w:pos="1221" w:val="left" w:leader="none"/>
        </w:tabs>
        <w:spacing w:line="480" w:lineRule="auto" w:before="0" w:after="0"/>
        <w:ind w:left="500" w:right="435" w:firstLine="0"/>
        <w:jc w:val="both"/>
        <w:rPr>
          <w:sz w:val="25"/>
        </w:rPr>
      </w:pPr>
      <w:r>
        <w:rPr>
          <w:b/>
          <w:sz w:val="25"/>
        </w:rPr>
        <w:t>Shri Abdul Aziz (PW-8): </w:t>
      </w:r>
      <w:r>
        <w:rPr>
          <w:sz w:val="25"/>
        </w:rPr>
        <w:t>The date of the Examination-in-Chief was 20 January 1997. The age of the witness was stated to be 70 years. The witness states that he was born in 1926 and must have been about 10 years old when first offered namaz at the mosque. He states that he has offered namaz hundreds </w:t>
      </w:r>
      <w:r>
        <w:rPr>
          <w:spacing w:val="-1"/>
          <w:w w:val="99"/>
          <w:sz w:val="25"/>
        </w:rPr>
        <w:t>o</w:t>
      </w:r>
      <w:r>
        <w:rPr>
          <w:w w:val="99"/>
          <w:sz w:val="25"/>
        </w:rPr>
        <w:t>f</w:t>
      </w:r>
      <w:r>
        <w:rPr>
          <w:spacing w:val="12"/>
          <w:sz w:val="25"/>
        </w:rPr>
        <w:t> </w:t>
      </w:r>
      <w:r>
        <w:rPr>
          <w:w w:val="99"/>
          <w:sz w:val="25"/>
        </w:rPr>
        <w:t>tim</w:t>
      </w:r>
      <w:r>
        <w:rPr>
          <w:spacing w:val="-1"/>
          <w:w w:val="99"/>
          <w:sz w:val="25"/>
        </w:rPr>
        <w:t>es</w:t>
      </w:r>
      <w:r>
        <w:rPr>
          <w:w w:val="99"/>
          <w:sz w:val="25"/>
        </w:rPr>
        <w:t>.</w:t>
      </w:r>
      <w:r>
        <w:rPr>
          <w:spacing w:val="12"/>
          <w:sz w:val="25"/>
        </w:rPr>
        <w:t> </w:t>
      </w:r>
      <w:r>
        <w:rPr>
          <w:spacing w:val="-2"/>
          <w:w w:val="99"/>
          <w:sz w:val="25"/>
        </w:rPr>
        <w:t>T</w:t>
      </w:r>
      <w:r>
        <w:rPr>
          <w:spacing w:val="-1"/>
          <w:w w:val="99"/>
          <w:sz w:val="25"/>
        </w:rPr>
        <w:t>h</w:t>
      </w:r>
      <w:r>
        <w:rPr>
          <w:w w:val="99"/>
          <w:sz w:val="25"/>
        </w:rPr>
        <w:t>e</w:t>
      </w:r>
      <w:r>
        <w:rPr>
          <w:spacing w:val="12"/>
          <w:sz w:val="25"/>
        </w:rPr>
        <w:t> </w:t>
      </w:r>
      <w:r>
        <w:rPr>
          <w:spacing w:val="-1"/>
          <w:w w:val="99"/>
          <w:sz w:val="25"/>
        </w:rPr>
        <w:t>witnes</w:t>
      </w:r>
      <w:r>
        <w:rPr>
          <w:w w:val="99"/>
          <w:sz w:val="25"/>
        </w:rPr>
        <w:t>s</w:t>
      </w:r>
      <w:r>
        <w:rPr>
          <w:spacing w:val="10"/>
          <w:sz w:val="25"/>
        </w:rPr>
        <w:t> </w:t>
      </w:r>
      <w:r>
        <w:rPr>
          <w:w w:val="99"/>
          <w:sz w:val="25"/>
        </w:rPr>
        <w:t>stat</w:t>
      </w:r>
      <w:r>
        <w:rPr>
          <w:spacing w:val="-1"/>
          <w:w w:val="99"/>
          <w:sz w:val="25"/>
        </w:rPr>
        <w:t>e</w:t>
      </w:r>
      <w:r>
        <w:rPr>
          <w:w w:val="99"/>
          <w:sz w:val="25"/>
        </w:rPr>
        <w:t>s</w:t>
      </w:r>
      <w:r>
        <w:rPr>
          <w:spacing w:val="12"/>
          <w:sz w:val="25"/>
        </w:rPr>
        <w:t> </w:t>
      </w:r>
      <w:r>
        <w:rPr>
          <w:w w:val="99"/>
          <w:sz w:val="25"/>
        </w:rPr>
        <w:t>that</w:t>
      </w:r>
      <w:r>
        <w:rPr>
          <w:spacing w:val="9"/>
          <w:sz w:val="25"/>
        </w:rPr>
        <w:t> </w:t>
      </w:r>
      <w:r>
        <w:rPr>
          <w:spacing w:val="-1"/>
          <w:w w:val="99"/>
          <w:sz w:val="25"/>
        </w:rPr>
        <w:t>h</w:t>
      </w:r>
      <w:r>
        <w:rPr>
          <w:w w:val="99"/>
          <w:sz w:val="25"/>
        </w:rPr>
        <w:t>e</w:t>
      </w:r>
      <w:r>
        <w:rPr>
          <w:spacing w:val="12"/>
          <w:sz w:val="25"/>
        </w:rPr>
        <w:t> </w:t>
      </w:r>
      <w:r>
        <w:rPr>
          <w:spacing w:val="-1"/>
          <w:w w:val="99"/>
          <w:sz w:val="25"/>
        </w:rPr>
        <w:t>h</w:t>
      </w:r>
      <w:r>
        <w:rPr>
          <w:w w:val="99"/>
          <w:sz w:val="25"/>
        </w:rPr>
        <w:t>as</w:t>
      </w:r>
      <w:r>
        <w:rPr>
          <w:spacing w:val="9"/>
          <w:sz w:val="25"/>
        </w:rPr>
        <w:t> </w:t>
      </w:r>
      <w:r>
        <w:rPr>
          <w:spacing w:val="-1"/>
          <w:w w:val="99"/>
          <w:sz w:val="25"/>
        </w:rPr>
        <w:t>of</w:t>
      </w:r>
      <w:r>
        <w:rPr>
          <w:spacing w:val="-2"/>
          <w:w w:val="99"/>
          <w:sz w:val="25"/>
        </w:rPr>
        <w:t>f</w:t>
      </w:r>
      <w:r>
        <w:rPr>
          <w:spacing w:val="-1"/>
          <w:w w:val="99"/>
          <w:sz w:val="25"/>
        </w:rPr>
        <w:t>e</w:t>
      </w:r>
      <w:r>
        <w:rPr>
          <w:w w:val="99"/>
          <w:sz w:val="25"/>
        </w:rPr>
        <w:t>r</w:t>
      </w:r>
      <w:r>
        <w:rPr>
          <w:spacing w:val="-1"/>
          <w:w w:val="99"/>
          <w:sz w:val="25"/>
        </w:rPr>
        <w:t>e</w:t>
      </w:r>
      <w:r>
        <w:rPr>
          <w:w w:val="99"/>
          <w:sz w:val="25"/>
        </w:rPr>
        <w:t>d</w:t>
      </w:r>
      <w:r>
        <w:rPr>
          <w:spacing w:val="12"/>
          <w:sz w:val="25"/>
        </w:rPr>
        <w:t> </w:t>
      </w:r>
      <w:r>
        <w:rPr>
          <w:spacing w:val="4"/>
          <w:w w:val="33"/>
          <w:sz w:val="25"/>
        </w:rPr>
        <w:t>―</w:t>
      </w:r>
      <w:r>
        <w:rPr>
          <w:w w:val="99"/>
          <w:sz w:val="25"/>
        </w:rPr>
        <w:t>Fr</w:t>
      </w:r>
      <w:r>
        <w:rPr>
          <w:spacing w:val="-1"/>
          <w:w w:val="99"/>
          <w:sz w:val="25"/>
        </w:rPr>
        <w:t>ida</w:t>
      </w:r>
      <w:r>
        <w:rPr>
          <w:w w:val="99"/>
          <w:sz w:val="25"/>
        </w:rPr>
        <w:t>y</w:t>
      </w:r>
      <w:r>
        <w:rPr>
          <w:spacing w:val="10"/>
          <w:sz w:val="25"/>
        </w:rPr>
        <w:t> </w:t>
      </w:r>
      <w:r>
        <w:rPr>
          <w:spacing w:val="-1"/>
          <w:w w:val="99"/>
          <w:sz w:val="25"/>
        </w:rPr>
        <w:t>Na</w:t>
      </w:r>
      <w:r>
        <w:rPr>
          <w:w w:val="99"/>
          <w:sz w:val="25"/>
        </w:rPr>
        <w:t>m</w:t>
      </w:r>
      <w:r>
        <w:rPr>
          <w:spacing w:val="-1"/>
          <w:w w:val="94"/>
          <w:sz w:val="25"/>
        </w:rPr>
        <w:t>az</w:t>
      </w:r>
      <w:r>
        <w:rPr>
          <w:w w:val="94"/>
          <w:sz w:val="25"/>
        </w:rPr>
        <w:t>‖</w:t>
      </w:r>
      <w:r>
        <w:rPr>
          <w:w w:val="99"/>
          <w:sz w:val="25"/>
        </w:rPr>
        <w:t>,</w:t>
      </w:r>
      <w:r>
        <w:rPr>
          <w:spacing w:val="9"/>
          <w:sz w:val="25"/>
        </w:rPr>
        <w:t> </w:t>
      </w:r>
      <w:r>
        <w:rPr>
          <w:w w:val="33"/>
          <w:sz w:val="25"/>
        </w:rPr>
        <w:t>―</w:t>
      </w:r>
      <w:r>
        <w:rPr>
          <w:w w:val="99"/>
          <w:sz w:val="25"/>
        </w:rPr>
        <w:t>Joh</w:t>
      </w:r>
      <w:r>
        <w:rPr>
          <w:spacing w:val="-1"/>
          <w:w w:val="99"/>
          <w:sz w:val="25"/>
        </w:rPr>
        <w:t>a</w:t>
      </w:r>
      <w:r>
        <w:rPr>
          <w:w w:val="99"/>
          <w:sz w:val="25"/>
        </w:rPr>
        <w:t>r</w:t>
      </w:r>
      <w:r>
        <w:rPr>
          <w:spacing w:val="10"/>
          <w:sz w:val="25"/>
        </w:rPr>
        <w:t> </w:t>
      </w:r>
      <w:r>
        <w:rPr>
          <w:spacing w:val="-1"/>
          <w:w w:val="99"/>
          <w:sz w:val="25"/>
        </w:rPr>
        <w:t>Na</w:t>
      </w:r>
      <w:r>
        <w:rPr>
          <w:w w:val="99"/>
          <w:sz w:val="25"/>
        </w:rPr>
        <w:t>m</w:t>
      </w:r>
      <w:r>
        <w:rPr>
          <w:spacing w:val="-1"/>
          <w:w w:val="94"/>
          <w:sz w:val="25"/>
        </w:rPr>
        <w:t>az</w:t>
      </w:r>
      <w:r>
        <w:rPr>
          <w:w w:val="94"/>
          <w:sz w:val="25"/>
        </w:rPr>
        <w:t>‖</w:t>
      </w:r>
      <w:r>
        <w:rPr>
          <w:w w:val="99"/>
          <w:sz w:val="25"/>
        </w:rPr>
        <w:t>,</w:t>
      </w:r>
    </w:p>
    <w:p>
      <w:pPr>
        <w:pStyle w:val="BodyText"/>
        <w:spacing w:line="480" w:lineRule="auto" w:before="4"/>
        <w:ind w:left="500" w:right="443"/>
        <w:jc w:val="both"/>
      </w:pPr>
      <w:r>
        <w:rPr>
          <w:w w:val="33"/>
        </w:rPr>
        <w:t>―</w:t>
      </w:r>
      <w:r>
        <w:rPr>
          <w:w w:val="99"/>
        </w:rPr>
        <w:t>Asar</w:t>
      </w:r>
      <w:r>
        <w:rPr/>
        <w:t> </w:t>
      </w:r>
      <w:r>
        <w:rPr>
          <w:w w:val="99"/>
        </w:rPr>
        <w:t>Nam</w:t>
      </w:r>
      <w:r>
        <w:rPr>
          <w:w w:val="94"/>
        </w:rPr>
        <w:t>az‖</w:t>
      </w:r>
      <w:r>
        <w:rPr/>
        <w:t> </w:t>
      </w:r>
      <w:r>
        <w:rPr>
          <w:w w:val="99"/>
        </w:rPr>
        <w:t>and</w:t>
      </w:r>
      <w:r>
        <w:rPr/>
        <w:t> </w:t>
      </w:r>
      <w:r>
        <w:rPr>
          <w:w w:val="33"/>
        </w:rPr>
        <w:t>―</w:t>
      </w:r>
      <w:r>
        <w:rPr>
          <w:w w:val="99"/>
        </w:rPr>
        <w:t>Namaz</w:t>
      </w:r>
      <w:r>
        <w:rPr/>
        <w:t> </w:t>
      </w:r>
      <w:r>
        <w:rPr>
          <w:w w:val="99"/>
        </w:rPr>
        <w:t>of</w:t>
      </w:r>
      <w:r>
        <w:rPr/>
        <w:t> </w:t>
      </w:r>
      <w:r>
        <w:rPr>
          <w:w w:val="99"/>
        </w:rPr>
        <w:t>Shabe-raa</w:t>
      </w:r>
      <w:r>
        <w:rPr>
          <w:w w:val="88"/>
        </w:rPr>
        <w:t>t‖</w:t>
      </w:r>
      <w:r>
        <w:rPr/>
        <w:t> </w:t>
      </w:r>
      <w:r>
        <w:rPr>
          <w:w w:val="99"/>
        </w:rPr>
        <w:t>at</w:t>
      </w:r>
      <w:r>
        <w:rPr/>
        <w:t> </w:t>
      </w:r>
      <w:r>
        <w:rPr>
          <w:w w:val="99"/>
        </w:rPr>
        <w:t>the</w:t>
      </w:r>
      <w:r>
        <w:rPr/>
        <w:t> </w:t>
      </w:r>
      <w:r>
        <w:rPr>
          <w:w w:val="99"/>
        </w:rPr>
        <w:t>mosque.</w:t>
      </w:r>
      <w:r>
        <w:rPr/>
        <w:t> </w:t>
      </w:r>
      <w:r>
        <w:rPr>
          <w:w w:val="99"/>
        </w:rPr>
        <w:t>The</w:t>
      </w:r>
      <w:r>
        <w:rPr/>
        <w:t> </w:t>
      </w:r>
      <w:r>
        <w:rPr>
          <w:w w:val="99"/>
        </w:rPr>
        <w:t>witness</w:t>
      </w:r>
      <w:r>
        <w:rPr/>
        <w:t> </w:t>
      </w:r>
      <w:r>
        <w:rPr>
          <w:w w:val="99"/>
        </w:rPr>
        <w:t>states</w:t>
      </w:r>
      <w:r>
        <w:rPr/>
        <w:t> </w:t>
      </w:r>
      <w:r>
        <w:rPr>
          <w:w w:val="99"/>
        </w:rPr>
        <w:t>that </w:t>
      </w:r>
      <w:r>
        <w:rPr/>
        <w:t>the offering of namaz was discontinued after an idol was placed there in 1949.</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7"/>
        <w:jc w:val="both"/>
      </w:pPr>
      <w:r>
        <w:rPr/>
        <w:t>In his cross-examination, the witness stated that he had offered the last namaz on the Friday immediately before 22 December. Had also offered the namaz of Shabe-raat in this mosque after two-three years of offering the first namaz in the mosque. According to the witness, until Independence, he had been offering namaz for the previous 13-14</w:t>
      </w:r>
      <w:r>
        <w:rPr>
          <w:spacing w:val="-1"/>
        </w:rPr>
        <w:t> </w:t>
      </w:r>
      <w:r>
        <w:rPr/>
        <w:t>years.</w:t>
      </w:r>
    </w:p>
    <w:p>
      <w:pPr>
        <w:pStyle w:val="BodyText"/>
        <w:rPr>
          <w:sz w:val="28"/>
        </w:rPr>
      </w:pPr>
    </w:p>
    <w:p>
      <w:pPr>
        <w:pStyle w:val="ListParagraph"/>
        <w:numPr>
          <w:ilvl w:val="0"/>
          <w:numId w:val="219"/>
        </w:numPr>
        <w:tabs>
          <w:tab w:pos="1221" w:val="left" w:leader="none"/>
        </w:tabs>
        <w:spacing w:line="480" w:lineRule="auto" w:before="204" w:after="0"/>
        <w:ind w:left="500" w:right="435" w:firstLine="0"/>
        <w:jc w:val="both"/>
        <w:rPr>
          <w:sz w:val="25"/>
        </w:rPr>
      </w:pPr>
      <w:r>
        <w:rPr>
          <w:b/>
          <w:sz w:val="25"/>
        </w:rPr>
        <w:t>Shri Saiyad Akhlak Ahmed (PW-9): </w:t>
      </w:r>
      <w:r>
        <w:rPr>
          <w:sz w:val="25"/>
        </w:rPr>
        <w:t>The age of the witness was stated to be about 60 years. The witness stated that he offered Jumma namaz and the Panchwakti namaz at the mosque. Maulana Abdul Ghaffar was the Imam of Babri Masjid and Mian Ismail was the Moazzin. He stated in his cross-examination that as far as he remembers, the first namaz he offered at the mosque was after Independence and it was Namaz-e-magrib. He stated in his cross-examination that he had gone to offer namaz at the mosque five or six days before 22-23 December,</w:t>
      </w:r>
      <w:r>
        <w:rPr>
          <w:spacing w:val="22"/>
          <w:sz w:val="25"/>
        </w:rPr>
        <w:t> </w:t>
      </w:r>
      <w:r>
        <w:rPr>
          <w:sz w:val="25"/>
        </w:rPr>
        <w:t>1949.</w:t>
      </w:r>
      <w:r>
        <w:rPr>
          <w:spacing w:val="23"/>
          <w:sz w:val="25"/>
        </w:rPr>
        <w:t> </w:t>
      </w:r>
      <w:r>
        <w:rPr>
          <w:sz w:val="25"/>
        </w:rPr>
        <w:t>The</w:t>
      </w:r>
      <w:r>
        <w:rPr>
          <w:spacing w:val="22"/>
          <w:sz w:val="25"/>
        </w:rPr>
        <w:t> </w:t>
      </w:r>
      <w:r>
        <w:rPr>
          <w:sz w:val="25"/>
        </w:rPr>
        <w:t>number</w:t>
      </w:r>
      <w:r>
        <w:rPr>
          <w:spacing w:val="23"/>
          <w:sz w:val="25"/>
        </w:rPr>
        <w:t> </w:t>
      </w:r>
      <w:r>
        <w:rPr>
          <w:sz w:val="25"/>
        </w:rPr>
        <w:t>of</w:t>
      </w:r>
      <w:r>
        <w:rPr>
          <w:spacing w:val="22"/>
          <w:sz w:val="25"/>
        </w:rPr>
        <w:t> </w:t>
      </w:r>
      <w:r>
        <w:rPr>
          <w:sz w:val="25"/>
        </w:rPr>
        <w:t>persons</w:t>
      </w:r>
      <w:r>
        <w:rPr>
          <w:spacing w:val="22"/>
          <w:sz w:val="25"/>
        </w:rPr>
        <w:t> </w:t>
      </w:r>
      <w:r>
        <w:rPr>
          <w:sz w:val="25"/>
        </w:rPr>
        <w:t>present</w:t>
      </w:r>
      <w:r>
        <w:rPr>
          <w:spacing w:val="22"/>
          <w:sz w:val="25"/>
        </w:rPr>
        <w:t> </w:t>
      </w:r>
      <w:r>
        <w:rPr>
          <w:sz w:val="25"/>
        </w:rPr>
        <w:t>could</w:t>
      </w:r>
      <w:r>
        <w:rPr>
          <w:spacing w:val="23"/>
          <w:sz w:val="25"/>
        </w:rPr>
        <w:t> </w:t>
      </w:r>
      <w:r>
        <w:rPr>
          <w:sz w:val="25"/>
        </w:rPr>
        <w:t>be</w:t>
      </w:r>
      <w:r>
        <w:rPr>
          <w:spacing w:val="22"/>
          <w:sz w:val="25"/>
        </w:rPr>
        <w:t> </w:t>
      </w:r>
      <w:r>
        <w:rPr>
          <w:sz w:val="25"/>
        </w:rPr>
        <w:t>200</w:t>
      </w:r>
      <w:r>
        <w:rPr>
          <w:spacing w:val="23"/>
          <w:sz w:val="25"/>
        </w:rPr>
        <w:t> </w:t>
      </w:r>
      <w:r>
        <w:rPr>
          <w:sz w:val="25"/>
        </w:rPr>
        <w:t>to</w:t>
      </w:r>
      <w:r>
        <w:rPr>
          <w:spacing w:val="22"/>
          <w:sz w:val="25"/>
        </w:rPr>
        <w:t> </w:t>
      </w:r>
      <w:r>
        <w:rPr>
          <w:sz w:val="25"/>
        </w:rPr>
        <w:t>400,</w:t>
      </w:r>
      <w:r>
        <w:rPr>
          <w:spacing w:val="23"/>
          <w:sz w:val="25"/>
        </w:rPr>
        <w:t> </w:t>
      </w:r>
      <w:r>
        <w:rPr>
          <w:sz w:val="25"/>
        </w:rPr>
        <w:t>or</w:t>
      </w:r>
      <w:r>
        <w:rPr>
          <w:spacing w:val="22"/>
          <w:sz w:val="25"/>
        </w:rPr>
        <w:t> </w:t>
      </w:r>
      <w:r>
        <w:rPr>
          <w:sz w:val="25"/>
        </w:rPr>
        <w:t>even</w:t>
      </w:r>
    </w:p>
    <w:p>
      <w:pPr>
        <w:pStyle w:val="BodyText"/>
        <w:spacing w:line="480" w:lineRule="auto" w:before="4"/>
        <w:ind w:left="500" w:right="435"/>
        <w:jc w:val="both"/>
      </w:pPr>
      <w:r>
        <w:rPr/>
        <w:t>500. According to the witness‘s statement in his cross-examination, he would have been 13-14 years old when he had gone to offer Namaz-e-magrib for the first time. He further stated that when he offered his last Namaz-e-jumma in the mosque, he was 14 years old. Though the witness stated that he had offered namaz after 1947, he could not state even the approximate period during which namaz was offered. Justice Agarwal noted that the witness was unable to recollect events from memory.</w:t>
      </w:r>
    </w:p>
    <w:p>
      <w:pPr>
        <w:pStyle w:val="BodyText"/>
        <w:spacing w:before="9"/>
        <w:rPr>
          <w:sz w:val="40"/>
        </w:rPr>
      </w:pPr>
    </w:p>
    <w:p>
      <w:pPr>
        <w:pStyle w:val="ListParagraph"/>
        <w:numPr>
          <w:ilvl w:val="0"/>
          <w:numId w:val="231"/>
        </w:numPr>
        <w:tabs>
          <w:tab w:pos="1221" w:val="left" w:leader="none"/>
        </w:tabs>
        <w:spacing w:line="480" w:lineRule="auto" w:before="0" w:after="0"/>
        <w:ind w:left="500" w:right="439" w:firstLine="0"/>
        <w:jc w:val="both"/>
        <w:rPr>
          <w:sz w:val="25"/>
        </w:rPr>
      </w:pPr>
      <w:r>
        <w:rPr>
          <w:b/>
          <w:sz w:val="25"/>
        </w:rPr>
        <w:t>Jaleel Ahmed (PW-14): </w:t>
      </w:r>
      <w:r>
        <w:rPr>
          <w:sz w:val="25"/>
        </w:rPr>
        <w:t>The date of Examination-in-Chief of the witness was 16 February 1999. The age of the witness was stated to be 78 years old. The</w:t>
      </w:r>
      <w:r>
        <w:rPr>
          <w:spacing w:val="57"/>
          <w:sz w:val="25"/>
        </w:rPr>
        <w:t> </w:t>
      </w:r>
      <w:r>
        <w:rPr>
          <w:sz w:val="25"/>
        </w:rPr>
        <w:t>witness</w:t>
      </w:r>
      <w:r>
        <w:rPr>
          <w:spacing w:val="57"/>
          <w:sz w:val="25"/>
        </w:rPr>
        <w:t> </w:t>
      </w:r>
      <w:r>
        <w:rPr>
          <w:sz w:val="25"/>
        </w:rPr>
        <w:t>stated</w:t>
      </w:r>
      <w:r>
        <w:rPr>
          <w:spacing w:val="57"/>
          <w:sz w:val="25"/>
        </w:rPr>
        <w:t> </w:t>
      </w:r>
      <w:r>
        <w:rPr>
          <w:sz w:val="25"/>
        </w:rPr>
        <w:t>that</w:t>
      </w:r>
      <w:r>
        <w:rPr>
          <w:spacing w:val="57"/>
          <w:sz w:val="25"/>
        </w:rPr>
        <w:t> </w:t>
      </w:r>
      <w:r>
        <w:rPr>
          <w:sz w:val="25"/>
        </w:rPr>
        <w:t>he</w:t>
      </w:r>
      <w:r>
        <w:rPr>
          <w:spacing w:val="57"/>
          <w:sz w:val="25"/>
        </w:rPr>
        <w:t> </w:t>
      </w:r>
      <w:r>
        <w:rPr>
          <w:sz w:val="25"/>
        </w:rPr>
        <w:t>has</w:t>
      </w:r>
      <w:r>
        <w:rPr>
          <w:spacing w:val="57"/>
          <w:sz w:val="25"/>
        </w:rPr>
        <w:t> </w:t>
      </w:r>
      <w:r>
        <w:rPr>
          <w:sz w:val="25"/>
        </w:rPr>
        <w:t>offered</w:t>
      </w:r>
      <w:r>
        <w:rPr>
          <w:spacing w:val="57"/>
          <w:sz w:val="25"/>
        </w:rPr>
        <w:t> </w:t>
      </w:r>
      <w:r>
        <w:rPr>
          <w:sz w:val="25"/>
        </w:rPr>
        <w:t>namaz</w:t>
      </w:r>
      <w:r>
        <w:rPr>
          <w:spacing w:val="57"/>
          <w:sz w:val="25"/>
        </w:rPr>
        <w:t> </w:t>
      </w:r>
      <w:r>
        <w:rPr>
          <w:sz w:val="25"/>
        </w:rPr>
        <w:t>at</w:t>
      </w:r>
      <w:r>
        <w:rPr>
          <w:spacing w:val="57"/>
          <w:sz w:val="25"/>
        </w:rPr>
        <w:t> </w:t>
      </w:r>
      <w:r>
        <w:rPr>
          <w:sz w:val="25"/>
        </w:rPr>
        <w:t>Babri</w:t>
      </w:r>
      <w:r>
        <w:rPr>
          <w:spacing w:val="60"/>
          <w:sz w:val="25"/>
        </w:rPr>
        <w:t> </w:t>
      </w:r>
      <w:r>
        <w:rPr>
          <w:sz w:val="25"/>
        </w:rPr>
        <w:t>Masjid.</w:t>
      </w:r>
      <w:r>
        <w:rPr>
          <w:spacing w:val="57"/>
          <w:sz w:val="25"/>
        </w:rPr>
        <w:t> </w:t>
      </w:r>
      <w:r>
        <w:rPr>
          <w:sz w:val="25"/>
        </w:rPr>
        <w:t>In</w:t>
      </w:r>
      <w:r>
        <w:rPr>
          <w:spacing w:val="57"/>
          <w:sz w:val="25"/>
        </w:rPr>
        <w:t> </w:t>
      </w:r>
      <w:r>
        <w:rPr>
          <w:sz w:val="25"/>
        </w:rPr>
        <w:t>his</w:t>
      </w:r>
      <w:r>
        <w:rPr>
          <w:spacing w:val="57"/>
          <w:sz w:val="25"/>
        </w:rPr>
        <w:t> </w:t>
      </w:r>
      <w:r>
        <w:rPr>
          <w:sz w:val="25"/>
        </w:rPr>
        <w:t>cross-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examination, it emerged that Ayodhya is at a distance of 2 kms from his house. The witness stated that he has offered both Isha and Jumma Namaz at the Masjid. According to his statement, the witness looks after the Jinnati Masjid located at Mohalla Nivava at Faizabad. The witness stated in his cross- examination that he last offered namaz at Babri Masjid at the age of 24-25. He stated that he had offered Juma Namaz at the disputed site on several  occasions. He stated that he did not offer Tarabi Namaz at the disputed site. In his cross-examination, the witness gave a description of the disputed</w:t>
      </w:r>
      <w:r>
        <w:rPr>
          <w:spacing w:val="-13"/>
        </w:rPr>
        <w:t> </w:t>
      </w:r>
      <w:r>
        <w:rPr/>
        <w:t>property.</w:t>
      </w:r>
    </w:p>
    <w:p>
      <w:pPr>
        <w:pStyle w:val="BodyText"/>
        <w:spacing w:before="11"/>
        <w:rPr>
          <w:sz w:val="38"/>
        </w:rPr>
      </w:pPr>
    </w:p>
    <w:p>
      <w:pPr>
        <w:pStyle w:val="BodyText"/>
        <w:spacing w:line="480" w:lineRule="auto"/>
        <w:ind w:left="500" w:right="440"/>
        <w:jc w:val="both"/>
      </w:pPr>
      <w:r>
        <w:rPr/>
        <w:t>In his cross-examination, the witness stated that he is about 78 years old and cannot tell how long he has been offering namaz before the placing of the idol and offering of Juma Namaz. He stated that he cannot tell if it was two months or the last five to six years since he was offering namaz at the disputed property. He further stated that he had offered Isha Namaz at the disputed site</w:t>
      </w:r>
      <w:r>
        <w:rPr>
          <w:spacing w:val="-17"/>
        </w:rPr>
        <w:t> </w:t>
      </w:r>
      <w:r>
        <w:rPr/>
        <w:t>once.</w:t>
      </w:r>
    </w:p>
    <w:p>
      <w:pPr>
        <w:pStyle w:val="BodyText"/>
        <w:spacing w:before="10"/>
        <w:rPr>
          <w:sz w:val="24"/>
        </w:rPr>
      </w:pPr>
    </w:p>
    <w:p>
      <w:pPr>
        <w:pStyle w:val="ListParagraph"/>
        <w:numPr>
          <w:ilvl w:val="0"/>
          <w:numId w:val="231"/>
        </w:numPr>
        <w:tabs>
          <w:tab w:pos="1221" w:val="left" w:leader="none"/>
        </w:tabs>
        <w:spacing w:line="480" w:lineRule="auto" w:before="0" w:after="0"/>
        <w:ind w:left="500" w:right="435" w:firstLine="0"/>
        <w:jc w:val="both"/>
        <w:rPr>
          <w:sz w:val="25"/>
        </w:rPr>
      </w:pPr>
      <w:r>
        <w:rPr>
          <w:b/>
          <w:sz w:val="25"/>
        </w:rPr>
        <w:t>Dr Hashim Qidwai (PW-21): </w:t>
      </w:r>
      <w:r>
        <w:rPr>
          <w:sz w:val="25"/>
        </w:rPr>
        <w:t>The date of Examination-in-Chief of the witness was stated to be 22.11.01. The age of the witness was stated to be about</w:t>
      </w:r>
    </w:p>
    <w:p>
      <w:pPr>
        <w:pStyle w:val="BodyText"/>
        <w:spacing w:line="480" w:lineRule="auto" w:before="2"/>
        <w:ind w:left="500" w:right="434"/>
        <w:jc w:val="both"/>
      </w:pPr>
      <w:r>
        <w:rPr/>
        <w:t>80 years. The witness stated that he visited Faizabad for the first time in December 1939, when his father was posted at Faizabad. That month, he went to see the Babri Masjid with members of his family and performed Magrib Namaz at the site. The witness stated that upto 1941, he used to go to Faizabad every vacation. In October 1941, the father of the witness was transferred to Lucknow as Additional City Magistrate. The witness stated that during the period, he offered Magrib-ki- Namaz 15-20 times, Aasir Namaz 4 to 5 times and Friday Namaz</w:t>
      </w:r>
      <w:r>
        <w:rPr>
          <w:spacing w:val="54"/>
        </w:rPr>
        <w:t> </w:t>
      </w:r>
      <w:r>
        <w:rPr/>
        <w:t>2-3</w:t>
      </w:r>
      <w:r>
        <w:rPr>
          <w:spacing w:val="54"/>
        </w:rPr>
        <w:t> </w:t>
      </w:r>
      <w:r>
        <w:rPr/>
        <w:t>times</w:t>
      </w:r>
      <w:r>
        <w:rPr>
          <w:spacing w:val="55"/>
        </w:rPr>
        <w:t> </w:t>
      </w:r>
      <w:r>
        <w:rPr/>
        <w:t>in</w:t>
      </w:r>
      <w:r>
        <w:rPr>
          <w:spacing w:val="56"/>
        </w:rPr>
        <w:t> </w:t>
      </w:r>
      <w:r>
        <w:rPr/>
        <w:t>the</w:t>
      </w:r>
      <w:r>
        <w:rPr>
          <w:spacing w:val="55"/>
        </w:rPr>
        <w:t> </w:t>
      </w:r>
      <w:r>
        <w:rPr/>
        <w:t>mosque.</w:t>
      </w:r>
      <w:r>
        <w:rPr>
          <w:spacing w:val="53"/>
        </w:rPr>
        <w:t> </w:t>
      </w:r>
      <w:r>
        <w:rPr/>
        <w:t>About</w:t>
      </w:r>
      <w:r>
        <w:rPr>
          <w:spacing w:val="57"/>
        </w:rPr>
        <w:t> </w:t>
      </w:r>
      <w:r>
        <w:rPr/>
        <w:t>100</w:t>
      </w:r>
      <w:r>
        <w:rPr>
          <w:spacing w:val="54"/>
        </w:rPr>
        <w:t> </w:t>
      </w:r>
      <w:r>
        <w:rPr/>
        <w:t>persons</w:t>
      </w:r>
      <w:r>
        <w:rPr>
          <w:spacing w:val="53"/>
        </w:rPr>
        <w:t> </w:t>
      </w:r>
      <w:r>
        <w:rPr/>
        <w:t>attended</w:t>
      </w:r>
      <w:r>
        <w:rPr>
          <w:spacing w:val="55"/>
        </w:rPr>
        <w:t> </w:t>
      </w:r>
      <w:r>
        <w:rPr/>
        <w:t>the</w:t>
      </w:r>
      <w:r>
        <w:rPr>
          <w:spacing w:val="56"/>
        </w:rPr>
        <w:t> </w:t>
      </w:r>
      <w:r>
        <w:rPr/>
        <w:t>Magrib-ki-</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5"/>
        <w:jc w:val="both"/>
      </w:pPr>
      <w:r>
        <w:rPr/>
        <w:t>Namaz, 40-50 persons attended the Aasir Namaz and about 250-300 persons performed Jumma Namaz. The witness stated that In 1984, he was elected as a member of the Rajya Sabha and remained a Member of Parliament for six years.</w:t>
      </w:r>
    </w:p>
    <w:p>
      <w:pPr>
        <w:pStyle w:val="BodyText"/>
        <w:spacing w:line="480" w:lineRule="auto" w:before="159"/>
        <w:ind w:left="500" w:right="437"/>
        <w:jc w:val="both"/>
      </w:pPr>
      <w:r>
        <w:rPr/>
        <w:t>He stated in his cross-examination that when he went to offer namaz for the first time in 1939, he did not make any specific enquiry with regard to the damaged portions of the mosque. He stated that it was 27 December, 1939 when he had first gone to the disputed structure. The witness later stated that when he went to the disputed property for the first and second time, he saw every part of the building, inside and outside. He gave a detailed description of the domes and pillars present. He stated that namazis were present in the domed structure as well as courtyard.</w:t>
      </w:r>
    </w:p>
    <w:p>
      <w:pPr>
        <w:pStyle w:val="BodyText"/>
        <w:spacing w:before="2"/>
      </w:pPr>
    </w:p>
    <w:p>
      <w:pPr>
        <w:pStyle w:val="BodyText"/>
        <w:spacing w:line="480" w:lineRule="auto"/>
        <w:ind w:left="500" w:right="443"/>
        <w:jc w:val="both"/>
      </w:pPr>
      <w:r>
        <w:rPr/>
        <w:t>In his cross-examination, the witness stated that he could not go to Faizabad or Ayodhya since May 1941. Between December 1939 and May 1941, he was not permanently living at Faizabad and used to go there intermittently during vacations. In cross-examination, the witness stated that he has seen the disputed property from outside and inside, but cannot tell about the boundary in detail, since a long period of 60-62 years had elapsed.</w:t>
      </w:r>
    </w:p>
    <w:p>
      <w:pPr>
        <w:pStyle w:val="BodyText"/>
        <w:rPr>
          <w:sz w:val="28"/>
        </w:rPr>
      </w:pPr>
    </w:p>
    <w:p>
      <w:pPr>
        <w:pStyle w:val="BodyText"/>
        <w:spacing w:before="10"/>
        <w:rPr>
          <w:sz w:val="21"/>
        </w:rPr>
      </w:pPr>
    </w:p>
    <w:p>
      <w:pPr>
        <w:pStyle w:val="ListParagraph"/>
        <w:numPr>
          <w:ilvl w:val="0"/>
          <w:numId w:val="231"/>
        </w:numPr>
        <w:tabs>
          <w:tab w:pos="1221" w:val="left" w:leader="none"/>
        </w:tabs>
        <w:spacing w:line="480" w:lineRule="auto" w:before="0" w:after="0"/>
        <w:ind w:left="500" w:right="439" w:firstLine="0"/>
        <w:jc w:val="both"/>
        <w:rPr>
          <w:sz w:val="25"/>
        </w:rPr>
      </w:pPr>
      <w:r>
        <w:rPr>
          <w:b/>
          <w:sz w:val="25"/>
        </w:rPr>
        <w:t>Mohd. Qasim Ansari (PW-23) (Brother of PW-1): </w:t>
      </w:r>
      <w:r>
        <w:rPr>
          <w:sz w:val="25"/>
        </w:rPr>
        <w:t>The date of the Examination-in-Chief was 16 January 2002. The age of the witness was stated to be 74 years. The witness stated that he had knowledge of the disputed property, which was located at a distance of 3 furlongs from his house. The witness stated that</w:t>
      </w:r>
      <w:r>
        <w:rPr>
          <w:spacing w:val="7"/>
          <w:sz w:val="25"/>
        </w:rPr>
        <w:t> </w:t>
      </w:r>
      <w:r>
        <w:rPr>
          <w:sz w:val="25"/>
        </w:rPr>
        <w:t>he</w:t>
      </w:r>
      <w:r>
        <w:rPr>
          <w:spacing w:val="8"/>
          <w:sz w:val="25"/>
        </w:rPr>
        <w:t> </w:t>
      </w:r>
      <w:r>
        <w:rPr>
          <w:sz w:val="25"/>
        </w:rPr>
        <w:t>had</w:t>
      </w:r>
      <w:r>
        <w:rPr>
          <w:spacing w:val="6"/>
          <w:sz w:val="25"/>
        </w:rPr>
        <w:t> </w:t>
      </w:r>
      <w:r>
        <w:rPr>
          <w:sz w:val="25"/>
        </w:rPr>
        <w:t>recited</w:t>
      </w:r>
      <w:r>
        <w:rPr>
          <w:spacing w:val="5"/>
          <w:sz w:val="25"/>
        </w:rPr>
        <w:t> </w:t>
      </w:r>
      <w:r>
        <w:rPr>
          <w:sz w:val="25"/>
        </w:rPr>
        <w:t>namaz</w:t>
      </w:r>
      <w:r>
        <w:rPr>
          <w:spacing w:val="8"/>
          <w:sz w:val="25"/>
        </w:rPr>
        <w:t> </w:t>
      </w:r>
      <w:r>
        <w:rPr>
          <w:sz w:val="25"/>
        </w:rPr>
        <w:t>at</w:t>
      </w:r>
      <w:r>
        <w:rPr>
          <w:spacing w:val="13"/>
          <w:sz w:val="25"/>
        </w:rPr>
        <w:t> </w:t>
      </w:r>
      <w:r>
        <w:rPr>
          <w:sz w:val="25"/>
        </w:rPr>
        <w:t>the</w:t>
      </w:r>
      <w:r>
        <w:rPr>
          <w:spacing w:val="6"/>
          <w:sz w:val="25"/>
        </w:rPr>
        <w:t> </w:t>
      </w:r>
      <w:r>
        <w:rPr>
          <w:sz w:val="25"/>
        </w:rPr>
        <w:t>mosque</w:t>
      </w:r>
      <w:r>
        <w:rPr>
          <w:spacing w:val="6"/>
          <w:sz w:val="25"/>
        </w:rPr>
        <w:t> </w:t>
      </w:r>
      <w:r>
        <w:rPr>
          <w:sz w:val="25"/>
        </w:rPr>
        <w:t>for</w:t>
      </w:r>
      <w:r>
        <w:rPr>
          <w:spacing w:val="9"/>
          <w:sz w:val="25"/>
        </w:rPr>
        <w:t> </w:t>
      </w:r>
      <w:r>
        <w:rPr>
          <w:sz w:val="25"/>
        </w:rPr>
        <w:t>about</w:t>
      </w:r>
      <w:r>
        <w:rPr>
          <w:spacing w:val="8"/>
          <w:sz w:val="25"/>
        </w:rPr>
        <w:t> </w:t>
      </w:r>
      <w:r>
        <w:rPr>
          <w:sz w:val="25"/>
        </w:rPr>
        <w:t>8-9</w:t>
      </w:r>
      <w:r>
        <w:rPr>
          <w:spacing w:val="7"/>
          <w:sz w:val="25"/>
        </w:rPr>
        <w:t> </w:t>
      </w:r>
      <w:r>
        <w:rPr>
          <w:sz w:val="25"/>
        </w:rPr>
        <w:t>years.</w:t>
      </w:r>
      <w:r>
        <w:rPr>
          <w:spacing w:val="8"/>
          <w:sz w:val="25"/>
        </w:rPr>
        <w:t> </w:t>
      </w:r>
      <w:r>
        <w:rPr>
          <w:sz w:val="25"/>
        </w:rPr>
        <w:t>He</w:t>
      </w:r>
      <w:r>
        <w:rPr>
          <w:spacing w:val="6"/>
          <w:sz w:val="25"/>
        </w:rPr>
        <w:t> </w:t>
      </w:r>
      <w:r>
        <w:rPr>
          <w:sz w:val="25"/>
        </w:rPr>
        <w:t>had</w:t>
      </w:r>
      <w:r>
        <w:rPr>
          <w:spacing w:val="8"/>
          <w:sz w:val="25"/>
        </w:rPr>
        <w:t> </w:t>
      </w:r>
      <w:r>
        <w:rPr>
          <w:sz w:val="25"/>
        </w:rPr>
        <w:t>recited</w:t>
      </w:r>
      <w:r>
        <w:rPr>
          <w:spacing w:val="5"/>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namaz of Fazir Zohar, Asir, Magrib, Isha and Tavri. He stated that he had recited namaz for the last time on 22 December, 1949 when he recited the Isha Namaz. He stated that four years after the placing of idols, the Muslims gave a notice to the government that they would perform a farewell namaz there. When they went to perform the farewell namaz, the police stopped and arrested them. Stated in the cross</w:t>
      </w:r>
      <w:r>
        <w:rPr>
          <w:b/>
        </w:rPr>
        <w:t>-</w:t>
      </w:r>
      <w:r>
        <w:rPr/>
        <w:t>examination, when he went to recite namaz for the first time, he was in the first grade.</w:t>
      </w:r>
    </w:p>
    <w:p>
      <w:pPr>
        <w:pStyle w:val="BodyText"/>
        <w:spacing w:before="10"/>
        <w:rPr>
          <w:sz w:val="38"/>
        </w:rPr>
      </w:pPr>
    </w:p>
    <w:p>
      <w:pPr>
        <w:pStyle w:val="BodyText"/>
        <w:spacing w:line="480" w:lineRule="auto"/>
        <w:ind w:left="500" w:right="436"/>
        <w:jc w:val="both"/>
      </w:pPr>
      <w:r>
        <w:rPr/>
        <w:t>In his cross-examination the witness stated that the disputed site is a waqf, but  he has no knowledge about who the waqif of the mosque is. In his cross- examination, the witness stated that he had performed Isha Namaz at the disputed mosque on 22 December, 1949 at about 7:30 pm. Later he stated that he could not tell when he recited namaz for the last time at the disputed</w:t>
      </w:r>
      <w:r>
        <w:rPr>
          <w:spacing w:val="-25"/>
        </w:rPr>
        <w:t> </w:t>
      </w:r>
      <w:r>
        <w:rPr/>
        <w:t>structure.</w:t>
      </w:r>
    </w:p>
    <w:p>
      <w:pPr>
        <w:pStyle w:val="BodyText"/>
        <w:spacing w:before="1"/>
      </w:pPr>
    </w:p>
    <w:p>
      <w:pPr>
        <w:pStyle w:val="BodyText"/>
        <w:spacing w:line="480" w:lineRule="auto"/>
        <w:ind w:left="500" w:right="446"/>
        <w:jc w:val="both"/>
      </w:pPr>
      <w:r>
        <w:rPr/>
        <w:t>It is of relevance to refer to the observations of Justice Agarwal with respect to the statements of PW-23. He noted the following statement made by</w:t>
      </w:r>
      <w:r>
        <w:rPr>
          <w:spacing w:val="-14"/>
        </w:rPr>
        <w:t> </w:t>
      </w:r>
      <w:r>
        <w:rPr/>
        <w:t>PW-23:</w:t>
      </w:r>
    </w:p>
    <w:p>
      <w:pPr>
        <w:spacing w:line="276" w:lineRule="auto" w:before="0"/>
        <w:ind w:left="1940" w:right="2260" w:firstLine="0"/>
        <w:jc w:val="both"/>
        <w:rPr>
          <w:sz w:val="21"/>
        </w:rPr>
      </w:pPr>
      <w:r>
        <w:rPr>
          <w:spacing w:val="-1"/>
          <w:w w:val="33"/>
          <w:sz w:val="21"/>
        </w:rPr>
        <w:t>―</w:t>
      </w:r>
      <w:r>
        <w:rPr>
          <w:w w:val="100"/>
          <w:sz w:val="21"/>
        </w:rPr>
        <w:t>Fa</w:t>
      </w:r>
      <w:r>
        <w:rPr>
          <w:spacing w:val="-1"/>
          <w:w w:val="100"/>
          <w:sz w:val="21"/>
        </w:rPr>
        <w:t>r</w:t>
      </w:r>
      <w:r>
        <w:rPr>
          <w:w w:val="100"/>
          <w:sz w:val="21"/>
        </w:rPr>
        <w:t>o</w:t>
      </w:r>
      <w:r>
        <w:rPr>
          <w:spacing w:val="-3"/>
          <w:w w:val="100"/>
          <w:sz w:val="21"/>
        </w:rPr>
        <w:t>o</w:t>
      </w:r>
      <w:r>
        <w:rPr>
          <w:w w:val="100"/>
          <w:sz w:val="21"/>
        </w:rPr>
        <w:t>q</w:t>
      </w:r>
      <w:r>
        <w:rPr>
          <w:spacing w:val="8"/>
          <w:sz w:val="21"/>
        </w:rPr>
        <w:t> </w:t>
      </w:r>
      <w:r>
        <w:rPr>
          <w:spacing w:val="-2"/>
          <w:w w:val="100"/>
          <w:sz w:val="21"/>
        </w:rPr>
        <w:t>w</w:t>
      </w:r>
      <w:r>
        <w:rPr>
          <w:w w:val="100"/>
          <w:sz w:val="21"/>
        </w:rPr>
        <w:t>as</w:t>
      </w:r>
      <w:r>
        <w:rPr>
          <w:spacing w:val="8"/>
          <w:sz w:val="21"/>
        </w:rPr>
        <w:t> </w:t>
      </w:r>
      <w:r>
        <w:rPr>
          <w:spacing w:val="-2"/>
          <w:w w:val="100"/>
          <w:sz w:val="21"/>
        </w:rPr>
        <w:t>w</w:t>
      </w:r>
      <w:r>
        <w:rPr>
          <w:w w:val="100"/>
          <w:sz w:val="21"/>
        </w:rPr>
        <w:t>i</w:t>
      </w:r>
      <w:r>
        <w:rPr>
          <w:spacing w:val="-2"/>
          <w:w w:val="100"/>
          <w:sz w:val="21"/>
        </w:rPr>
        <w:t>t</w:t>
      </w:r>
      <w:r>
        <w:rPr>
          <w:w w:val="100"/>
          <w:sz w:val="21"/>
        </w:rPr>
        <w:t>h</w:t>
      </w:r>
      <w:r>
        <w:rPr>
          <w:spacing w:val="8"/>
          <w:sz w:val="21"/>
        </w:rPr>
        <w:t> </w:t>
      </w:r>
      <w:r>
        <w:rPr>
          <w:spacing w:val="-1"/>
          <w:w w:val="100"/>
          <w:sz w:val="21"/>
        </w:rPr>
        <w:t>m</w:t>
      </w:r>
      <w:r>
        <w:rPr>
          <w:w w:val="100"/>
          <w:sz w:val="21"/>
        </w:rPr>
        <w:t>e</w:t>
      </w:r>
      <w:r>
        <w:rPr>
          <w:spacing w:val="8"/>
          <w:sz w:val="21"/>
        </w:rPr>
        <w:t> </w:t>
      </w:r>
      <w:r>
        <w:rPr>
          <w:spacing w:val="-2"/>
          <w:w w:val="100"/>
          <w:sz w:val="21"/>
        </w:rPr>
        <w:t>w</w:t>
      </w:r>
      <w:r>
        <w:rPr>
          <w:w w:val="100"/>
          <w:sz w:val="21"/>
        </w:rPr>
        <w:t>h</w:t>
      </w:r>
      <w:r>
        <w:rPr>
          <w:spacing w:val="-3"/>
          <w:w w:val="100"/>
          <w:sz w:val="21"/>
        </w:rPr>
        <w:t>e</w:t>
      </w:r>
      <w:r>
        <w:rPr>
          <w:w w:val="100"/>
          <w:sz w:val="21"/>
        </w:rPr>
        <w:t>n</w:t>
      </w:r>
      <w:r>
        <w:rPr>
          <w:spacing w:val="8"/>
          <w:sz w:val="21"/>
        </w:rPr>
        <w:t> </w:t>
      </w:r>
      <w:r>
        <w:rPr>
          <w:w w:val="100"/>
          <w:sz w:val="21"/>
        </w:rPr>
        <w:t>I</w:t>
      </w:r>
      <w:r>
        <w:rPr>
          <w:spacing w:val="7"/>
          <w:sz w:val="21"/>
        </w:rPr>
        <w:t> </w:t>
      </w:r>
      <w:r>
        <w:rPr>
          <w:w w:val="100"/>
          <w:sz w:val="21"/>
        </w:rPr>
        <w:t>had</w:t>
      </w:r>
      <w:r>
        <w:rPr>
          <w:spacing w:val="9"/>
          <w:sz w:val="21"/>
        </w:rPr>
        <w:t> </w:t>
      </w:r>
      <w:r>
        <w:rPr>
          <w:w w:val="100"/>
          <w:sz w:val="21"/>
        </w:rPr>
        <w:t>gone</w:t>
      </w:r>
      <w:r>
        <w:rPr>
          <w:spacing w:val="9"/>
          <w:sz w:val="21"/>
        </w:rPr>
        <w:t> </w:t>
      </w:r>
      <w:r>
        <w:rPr>
          <w:spacing w:val="-2"/>
          <w:w w:val="100"/>
          <w:sz w:val="21"/>
        </w:rPr>
        <w:t>t</w:t>
      </w:r>
      <w:r>
        <w:rPr>
          <w:w w:val="100"/>
          <w:sz w:val="21"/>
        </w:rPr>
        <w:t>o</w:t>
      </w:r>
      <w:r>
        <w:rPr>
          <w:spacing w:val="8"/>
          <w:sz w:val="21"/>
        </w:rPr>
        <w:t> </w:t>
      </w:r>
      <w:r>
        <w:rPr>
          <w:spacing w:val="-3"/>
          <w:w w:val="100"/>
          <w:sz w:val="21"/>
        </w:rPr>
        <w:t>o</w:t>
      </w:r>
      <w:r>
        <w:rPr>
          <w:spacing w:val="1"/>
          <w:w w:val="100"/>
          <w:sz w:val="21"/>
        </w:rPr>
        <w:t>f</w:t>
      </w:r>
      <w:r>
        <w:rPr>
          <w:spacing w:val="-2"/>
          <w:w w:val="100"/>
          <w:sz w:val="21"/>
        </w:rPr>
        <w:t>f</w:t>
      </w:r>
      <w:r>
        <w:rPr>
          <w:w w:val="100"/>
          <w:sz w:val="21"/>
        </w:rPr>
        <w:t>er</w:t>
      </w:r>
      <w:r>
        <w:rPr>
          <w:spacing w:val="8"/>
          <w:sz w:val="21"/>
        </w:rPr>
        <w:t> </w:t>
      </w:r>
      <w:r>
        <w:rPr>
          <w:spacing w:val="-2"/>
          <w:w w:val="100"/>
          <w:sz w:val="21"/>
        </w:rPr>
        <w:t>I</w:t>
      </w:r>
      <w:r>
        <w:rPr>
          <w:w w:val="100"/>
          <w:sz w:val="21"/>
        </w:rPr>
        <w:t>sha</w:t>
      </w:r>
      <w:r>
        <w:rPr>
          <w:spacing w:val="6"/>
          <w:sz w:val="21"/>
        </w:rPr>
        <w:t> </w:t>
      </w:r>
      <w:r>
        <w:rPr>
          <w:w w:val="100"/>
          <w:sz w:val="21"/>
        </w:rPr>
        <w:t>namaz</w:t>
      </w:r>
      <w:r>
        <w:rPr>
          <w:spacing w:val="6"/>
          <w:sz w:val="21"/>
        </w:rPr>
        <w:t> </w:t>
      </w:r>
      <w:r>
        <w:rPr>
          <w:w w:val="100"/>
          <w:sz w:val="21"/>
        </w:rPr>
        <w:t>at </w:t>
      </w:r>
      <w:r>
        <w:rPr>
          <w:sz w:val="21"/>
        </w:rPr>
        <w:t>the disputed structure for the last time…I was also </w:t>
      </w:r>
      <w:r>
        <w:rPr>
          <w:spacing w:val="-1"/>
          <w:w w:val="100"/>
          <w:sz w:val="21"/>
        </w:rPr>
        <w:t>acc</w:t>
      </w:r>
      <w:r>
        <w:rPr>
          <w:spacing w:val="-3"/>
          <w:w w:val="100"/>
          <w:sz w:val="21"/>
        </w:rPr>
        <w:t>o</w:t>
      </w:r>
      <w:r>
        <w:rPr>
          <w:spacing w:val="-1"/>
          <w:w w:val="100"/>
          <w:sz w:val="21"/>
        </w:rPr>
        <w:t>mpa</w:t>
      </w:r>
      <w:r>
        <w:rPr>
          <w:spacing w:val="-2"/>
          <w:w w:val="100"/>
          <w:sz w:val="21"/>
        </w:rPr>
        <w:t>n</w:t>
      </w:r>
      <w:r>
        <w:rPr>
          <w:w w:val="100"/>
          <w:sz w:val="21"/>
        </w:rPr>
        <w:t>i</w:t>
      </w:r>
      <w:r>
        <w:rPr>
          <w:spacing w:val="-1"/>
          <w:w w:val="100"/>
          <w:sz w:val="21"/>
        </w:rPr>
        <w:t>e</w:t>
      </w:r>
      <w:r>
        <w:rPr>
          <w:w w:val="100"/>
          <w:sz w:val="21"/>
        </w:rPr>
        <w:t>d</w:t>
      </w:r>
      <w:r>
        <w:rPr>
          <w:sz w:val="21"/>
        </w:rPr>
        <w:t> </w:t>
      </w:r>
      <w:r>
        <w:rPr>
          <w:spacing w:val="-28"/>
          <w:sz w:val="21"/>
        </w:rPr>
        <w:t> </w:t>
      </w:r>
      <w:r>
        <w:rPr>
          <w:spacing w:val="-1"/>
          <w:w w:val="100"/>
          <w:sz w:val="21"/>
        </w:rPr>
        <w:t>b</w:t>
      </w:r>
      <w:r>
        <w:rPr>
          <w:w w:val="100"/>
          <w:sz w:val="21"/>
        </w:rPr>
        <w:t>y</w:t>
      </w:r>
      <w:r>
        <w:rPr>
          <w:sz w:val="21"/>
        </w:rPr>
        <w:t> </w:t>
      </w:r>
      <w:r>
        <w:rPr>
          <w:spacing w:val="-29"/>
          <w:sz w:val="21"/>
        </w:rPr>
        <w:t> </w:t>
      </w:r>
      <w:r>
        <w:rPr>
          <w:w w:val="100"/>
          <w:sz w:val="21"/>
        </w:rPr>
        <w:t>H</w:t>
      </w:r>
      <w:r>
        <w:rPr>
          <w:spacing w:val="-1"/>
          <w:w w:val="100"/>
          <w:sz w:val="21"/>
        </w:rPr>
        <w:t>as</w:t>
      </w:r>
      <w:r>
        <w:rPr>
          <w:spacing w:val="-3"/>
          <w:w w:val="100"/>
          <w:sz w:val="21"/>
        </w:rPr>
        <w:t>h</w:t>
      </w:r>
      <w:r>
        <w:rPr>
          <w:spacing w:val="-1"/>
          <w:w w:val="100"/>
          <w:sz w:val="21"/>
        </w:rPr>
        <w:t>m</w:t>
      </w:r>
      <w:r>
        <w:rPr>
          <w:spacing w:val="-3"/>
          <w:w w:val="100"/>
          <w:sz w:val="21"/>
        </w:rPr>
        <w:t>a</w:t>
      </w:r>
      <w:r>
        <w:rPr>
          <w:w w:val="100"/>
          <w:sz w:val="21"/>
        </w:rPr>
        <w:t>t</w:t>
      </w:r>
      <w:r>
        <w:rPr>
          <w:sz w:val="21"/>
        </w:rPr>
        <w:t> </w:t>
      </w:r>
      <w:r>
        <w:rPr>
          <w:spacing w:val="-27"/>
          <w:sz w:val="21"/>
        </w:rPr>
        <w:t> </w:t>
      </w:r>
      <w:r>
        <w:rPr>
          <w:w w:val="100"/>
          <w:sz w:val="21"/>
        </w:rPr>
        <w:t>Ul</w:t>
      </w:r>
      <w:r>
        <w:rPr>
          <w:spacing w:val="-2"/>
          <w:w w:val="100"/>
          <w:sz w:val="21"/>
        </w:rPr>
        <w:t>l</w:t>
      </w:r>
      <w:r>
        <w:rPr>
          <w:spacing w:val="-1"/>
          <w:w w:val="100"/>
          <w:sz w:val="21"/>
        </w:rPr>
        <w:t>a</w:t>
      </w:r>
      <w:r>
        <w:rPr>
          <w:w w:val="100"/>
          <w:sz w:val="21"/>
        </w:rPr>
        <w:t>h</w:t>
      </w:r>
      <w:r>
        <w:rPr>
          <w:sz w:val="21"/>
        </w:rPr>
        <w:t> </w:t>
      </w:r>
      <w:r>
        <w:rPr>
          <w:spacing w:val="-26"/>
          <w:sz w:val="21"/>
        </w:rPr>
        <w:t> </w:t>
      </w:r>
      <w:r>
        <w:rPr>
          <w:spacing w:val="-1"/>
          <w:w w:val="100"/>
          <w:sz w:val="21"/>
        </w:rPr>
        <w:t>a</w:t>
      </w:r>
      <w:r>
        <w:rPr>
          <w:w w:val="100"/>
          <w:sz w:val="21"/>
        </w:rPr>
        <w:t>t</w:t>
      </w:r>
      <w:r>
        <w:rPr>
          <w:sz w:val="21"/>
        </w:rPr>
        <w:t> </w:t>
      </w:r>
      <w:r>
        <w:rPr>
          <w:spacing w:val="-27"/>
          <w:sz w:val="21"/>
        </w:rPr>
        <w:t> </w:t>
      </w:r>
      <w:r>
        <w:rPr>
          <w:spacing w:val="-2"/>
          <w:w w:val="100"/>
          <w:sz w:val="21"/>
        </w:rPr>
        <w:t>t</w:t>
      </w:r>
      <w:r>
        <w:rPr>
          <w:spacing w:val="-1"/>
          <w:w w:val="100"/>
          <w:sz w:val="21"/>
        </w:rPr>
        <w:t>h</w:t>
      </w:r>
      <w:r>
        <w:rPr>
          <w:w w:val="100"/>
          <w:sz w:val="21"/>
        </w:rPr>
        <w:t>e</w:t>
      </w:r>
      <w:r>
        <w:rPr>
          <w:sz w:val="21"/>
        </w:rPr>
        <w:t> </w:t>
      </w:r>
      <w:r>
        <w:rPr>
          <w:spacing w:val="-26"/>
          <w:sz w:val="21"/>
        </w:rPr>
        <w:t> </w:t>
      </w:r>
      <w:r>
        <w:rPr>
          <w:w w:val="40"/>
          <w:sz w:val="21"/>
        </w:rPr>
        <w:t>‗</w:t>
      </w:r>
      <w:r>
        <w:rPr>
          <w:spacing w:val="-2"/>
          <w:w w:val="100"/>
          <w:sz w:val="21"/>
        </w:rPr>
        <w:t>I</w:t>
      </w:r>
      <w:r>
        <w:rPr>
          <w:w w:val="100"/>
          <w:sz w:val="21"/>
        </w:rPr>
        <w:t>s</w:t>
      </w:r>
      <w:r>
        <w:rPr>
          <w:spacing w:val="-3"/>
          <w:w w:val="100"/>
          <w:sz w:val="21"/>
        </w:rPr>
        <w:t>h</w:t>
      </w:r>
      <w:r>
        <w:rPr>
          <w:spacing w:val="-1"/>
          <w:w w:val="100"/>
          <w:sz w:val="21"/>
        </w:rPr>
        <w:t>a</w:t>
      </w:r>
      <w:r>
        <w:rPr>
          <w:w w:val="100"/>
          <w:sz w:val="21"/>
        </w:rPr>
        <w:t>‘</w:t>
      </w:r>
      <w:r>
        <w:rPr>
          <w:sz w:val="21"/>
        </w:rPr>
        <w:t> </w:t>
      </w:r>
      <w:r>
        <w:rPr>
          <w:spacing w:val="-25"/>
          <w:sz w:val="21"/>
        </w:rPr>
        <w:t> </w:t>
      </w:r>
      <w:r>
        <w:rPr>
          <w:spacing w:val="-3"/>
          <w:w w:val="100"/>
          <w:sz w:val="21"/>
        </w:rPr>
        <w:t>na</w:t>
      </w:r>
      <w:r>
        <w:rPr>
          <w:spacing w:val="-1"/>
          <w:w w:val="100"/>
          <w:sz w:val="21"/>
        </w:rPr>
        <w:t>ma</w:t>
      </w:r>
      <w:r>
        <w:rPr>
          <w:w w:val="100"/>
          <w:sz w:val="21"/>
        </w:rPr>
        <w:t>z</w:t>
      </w:r>
      <w:r>
        <w:rPr>
          <w:sz w:val="21"/>
        </w:rPr>
        <w:t> </w:t>
      </w:r>
      <w:r>
        <w:rPr>
          <w:spacing w:val="-29"/>
          <w:sz w:val="21"/>
        </w:rPr>
        <w:t> </w:t>
      </w:r>
      <w:r>
        <w:rPr>
          <w:spacing w:val="-1"/>
          <w:w w:val="100"/>
          <w:sz w:val="21"/>
        </w:rPr>
        <w:t>o</w:t>
      </w:r>
      <w:r>
        <w:rPr>
          <w:spacing w:val="1"/>
          <w:w w:val="100"/>
          <w:sz w:val="21"/>
        </w:rPr>
        <w:t>ff</w:t>
      </w:r>
      <w:r>
        <w:rPr>
          <w:spacing w:val="-1"/>
          <w:w w:val="100"/>
          <w:sz w:val="21"/>
        </w:rPr>
        <w:t>e</w:t>
      </w:r>
      <w:r>
        <w:rPr>
          <w:spacing w:val="-3"/>
          <w:w w:val="100"/>
          <w:sz w:val="21"/>
        </w:rPr>
        <w:t>r</w:t>
      </w:r>
      <w:r>
        <w:rPr>
          <w:spacing w:val="-1"/>
          <w:w w:val="100"/>
          <w:sz w:val="21"/>
        </w:rPr>
        <w:t>ed </w:t>
      </w:r>
      <w:r>
        <w:rPr>
          <w:sz w:val="21"/>
        </w:rPr>
        <w:t>on 22nd December,</w:t>
      </w:r>
      <w:r>
        <w:rPr>
          <w:spacing w:val="-5"/>
          <w:sz w:val="21"/>
        </w:rPr>
        <w:t> </w:t>
      </w:r>
      <w:r>
        <w:rPr>
          <w:sz w:val="21"/>
        </w:rPr>
        <w:t>1949.‖</w:t>
      </w:r>
    </w:p>
    <w:p>
      <w:pPr>
        <w:pStyle w:val="BodyText"/>
        <w:rPr>
          <w:sz w:val="24"/>
        </w:rPr>
      </w:pPr>
    </w:p>
    <w:p>
      <w:pPr>
        <w:pStyle w:val="BodyText"/>
        <w:spacing w:before="2"/>
        <w:rPr>
          <w:sz w:val="21"/>
        </w:rPr>
      </w:pPr>
    </w:p>
    <w:p>
      <w:pPr>
        <w:pStyle w:val="BodyText"/>
        <w:spacing w:line="480" w:lineRule="auto"/>
        <w:ind w:left="500" w:right="434"/>
        <w:jc w:val="both"/>
      </w:pPr>
      <w:r>
        <w:rPr/>
        <w:t>Justice Agarwal noted that the statement was not corroborated by Farooq (PW-3) and Hashmat Ullah (PW-7).</w:t>
      </w:r>
    </w:p>
    <w:p>
      <w:pPr>
        <w:pStyle w:val="BodyText"/>
        <w:spacing w:line="287" w:lineRule="exact"/>
        <w:ind w:left="500"/>
        <w:jc w:val="both"/>
      </w:pPr>
      <w:r>
        <w:rPr/>
        <w:t>PW-3 had stated:</w:t>
      </w:r>
    </w:p>
    <w:p>
      <w:pPr>
        <w:pStyle w:val="BodyText"/>
      </w:pPr>
    </w:p>
    <w:p>
      <w:pPr>
        <w:spacing w:line="276" w:lineRule="auto" w:before="0"/>
        <w:ind w:left="1940" w:right="2257" w:firstLine="0"/>
        <w:jc w:val="both"/>
        <w:rPr>
          <w:sz w:val="21"/>
        </w:rPr>
      </w:pPr>
      <w:r>
        <w:rPr>
          <w:w w:val="33"/>
          <w:sz w:val="21"/>
        </w:rPr>
        <w:t>―</w:t>
      </w:r>
      <w:r>
        <w:rPr>
          <w:w w:val="100"/>
          <w:sz w:val="21"/>
        </w:rPr>
        <w:t>Rah</w:t>
      </w:r>
      <w:r>
        <w:rPr>
          <w:w w:val="100"/>
          <w:sz w:val="21"/>
        </w:rPr>
        <w:t>m</w:t>
      </w:r>
      <w:r>
        <w:rPr>
          <w:w w:val="100"/>
          <w:sz w:val="21"/>
        </w:rPr>
        <w:t>an</w:t>
      </w:r>
      <w:r>
        <w:rPr>
          <w:sz w:val="21"/>
        </w:rPr>
        <w:t> </w:t>
      </w:r>
      <w:r>
        <w:rPr>
          <w:w w:val="100"/>
          <w:sz w:val="21"/>
        </w:rPr>
        <w:t>S</w:t>
      </w:r>
      <w:r>
        <w:rPr>
          <w:w w:val="100"/>
          <w:sz w:val="21"/>
        </w:rPr>
        <w:t>aheb</w:t>
      </w:r>
      <w:r>
        <w:rPr>
          <w:sz w:val="21"/>
        </w:rPr>
        <w:t> </w:t>
      </w:r>
      <w:r>
        <w:rPr>
          <w:w w:val="100"/>
          <w:sz w:val="21"/>
        </w:rPr>
        <w:t>and</w:t>
      </w:r>
      <w:r>
        <w:rPr>
          <w:sz w:val="21"/>
        </w:rPr>
        <w:t> </w:t>
      </w:r>
      <w:r>
        <w:rPr>
          <w:w w:val="100"/>
          <w:sz w:val="21"/>
        </w:rPr>
        <w:t>Unus</w:t>
      </w:r>
      <w:r>
        <w:rPr>
          <w:sz w:val="21"/>
        </w:rPr>
        <w:t> </w:t>
      </w:r>
      <w:r>
        <w:rPr>
          <w:w w:val="100"/>
          <w:sz w:val="21"/>
        </w:rPr>
        <w:t>S</w:t>
      </w:r>
      <w:r>
        <w:rPr>
          <w:w w:val="100"/>
          <w:sz w:val="21"/>
        </w:rPr>
        <w:t>aheb</w:t>
      </w:r>
      <w:r>
        <w:rPr>
          <w:sz w:val="21"/>
        </w:rPr>
        <w:t> </w:t>
      </w:r>
      <w:r>
        <w:rPr>
          <w:w w:val="100"/>
          <w:sz w:val="21"/>
        </w:rPr>
        <w:t>were</w:t>
      </w:r>
      <w:r>
        <w:rPr>
          <w:sz w:val="21"/>
        </w:rPr>
        <w:t> </w:t>
      </w:r>
      <w:r>
        <w:rPr>
          <w:w w:val="100"/>
          <w:sz w:val="21"/>
        </w:rPr>
        <w:t>w</w:t>
      </w:r>
      <w:r>
        <w:rPr>
          <w:w w:val="100"/>
          <w:sz w:val="21"/>
        </w:rPr>
        <w:t>i</w:t>
      </w:r>
      <w:r>
        <w:rPr>
          <w:w w:val="100"/>
          <w:sz w:val="21"/>
        </w:rPr>
        <w:t>t</w:t>
      </w:r>
      <w:r>
        <w:rPr>
          <w:w w:val="100"/>
          <w:sz w:val="21"/>
        </w:rPr>
        <w:t>h</w:t>
      </w:r>
      <w:r>
        <w:rPr>
          <w:sz w:val="21"/>
        </w:rPr>
        <w:t> </w:t>
      </w:r>
      <w:r>
        <w:rPr>
          <w:w w:val="100"/>
          <w:sz w:val="21"/>
        </w:rPr>
        <w:t>m</w:t>
      </w:r>
      <w:r>
        <w:rPr>
          <w:w w:val="100"/>
          <w:sz w:val="21"/>
        </w:rPr>
        <w:t>e</w:t>
      </w:r>
      <w:r>
        <w:rPr>
          <w:sz w:val="21"/>
        </w:rPr>
        <w:t> </w:t>
      </w:r>
      <w:r>
        <w:rPr>
          <w:w w:val="100"/>
          <w:sz w:val="21"/>
        </w:rPr>
        <w:t>at</w:t>
      </w:r>
      <w:r>
        <w:rPr>
          <w:sz w:val="21"/>
        </w:rPr>
        <w:t> </w:t>
      </w:r>
      <w:r>
        <w:rPr>
          <w:w w:val="100"/>
          <w:sz w:val="21"/>
        </w:rPr>
        <w:t>t</w:t>
      </w:r>
      <w:r>
        <w:rPr>
          <w:w w:val="100"/>
          <w:sz w:val="21"/>
        </w:rPr>
        <w:t>he</w:t>
      </w:r>
      <w:r>
        <w:rPr>
          <w:sz w:val="21"/>
        </w:rPr>
        <w:t> </w:t>
      </w:r>
      <w:r>
        <w:rPr>
          <w:w w:val="100"/>
          <w:sz w:val="21"/>
        </w:rPr>
        <w:t>I</w:t>
      </w:r>
      <w:r>
        <w:rPr>
          <w:w w:val="100"/>
          <w:sz w:val="21"/>
        </w:rPr>
        <w:t>sha </w:t>
      </w:r>
      <w:r>
        <w:rPr>
          <w:sz w:val="21"/>
        </w:rPr>
        <w:t>namaz on 22nd December, 1949.‖</w:t>
      </w:r>
    </w:p>
    <w:p>
      <w:pPr>
        <w:pStyle w:val="BodyText"/>
        <w:spacing w:before="1"/>
        <w:rPr>
          <w:sz w:val="24"/>
        </w:rPr>
      </w:pPr>
    </w:p>
    <w:p>
      <w:pPr>
        <w:spacing w:line="276" w:lineRule="auto" w:before="0"/>
        <w:ind w:left="1940" w:right="2393" w:firstLine="0"/>
        <w:jc w:val="left"/>
        <w:rPr>
          <w:sz w:val="21"/>
        </w:rPr>
      </w:pPr>
      <w:r>
        <w:rPr>
          <w:sz w:val="21"/>
        </w:rPr>
        <w:t>PW-3 therefore, did not corroborate the statement of PW-23. PW-7 had stated thus:</w:t>
      </w:r>
    </w:p>
    <w:p>
      <w:pPr>
        <w:spacing w:after="0" w:line="276" w:lineRule="auto"/>
        <w:jc w:val="left"/>
        <w:rPr>
          <w:sz w:val="21"/>
        </w:rPr>
        <w:sectPr>
          <w:pgSz w:w="11910" w:h="16840"/>
          <w:pgMar w:header="721" w:footer="1014" w:top="1300" w:bottom="1200" w:left="940" w:right="1000"/>
        </w:sectPr>
      </w:pPr>
    </w:p>
    <w:p>
      <w:pPr>
        <w:spacing w:line="276" w:lineRule="auto" w:before="122"/>
        <w:ind w:left="1940" w:right="2263" w:firstLine="0"/>
        <w:jc w:val="both"/>
        <w:rPr>
          <w:sz w:val="21"/>
        </w:rPr>
      </w:pPr>
      <w:r>
        <w:rPr>
          <w:w w:val="33"/>
          <w:sz w:val="21"/>
        </w:rPr>
        <w:t>―</w:t>
      </w:r>
      <w:r>
        <w:rPr>
          <w:w w:val="100"/>
          <w:sz w:val="21"/>
        </w:rPr>
        <w:t>I</w:t>
      </w:r>
      <w:r>
        <w:rPr>
          <w:sz w:val="21"/>
        </w:rPr>
        <w:t> </w:t>
      </w:r>
      <w:r>
        <w:rPr>
          <w:w w:val="100"/>
          <w:sz w:val="21"/>
        </w:rPr>
        <w:t>had</w:t>
      </w:r>
      <w:r>
        <w:rPr>
          <w:sz w:val="21"/>
        </w:rPr>
        <w:t> </w:t>
      </w:r>
      <w:r>
        <w:rPr>
          <w:w w:val="100"/>
          <w:sz w:val="21"/>
        </w:rPr>
        <w:t>for</w:t>
      </w:r>
      <w:r>
        <w:rPr>
          <w:sz w:val="21"/>
        </w:rPr>
        <w:t> </w:t>
      </w:r>
      <w:r>
        <w:rPr>
          <w:w w:val="100"/>
          <w:sz w:val="21"/>
        </w:rPr>
        <w:t>the</w:t>
      </w:r>
      <w:r>
        <w:rPr>
          <w:sz w:val="21"/>
        </w:rPr>
        <w:t> </w:t>
      </w:r>
      <w:r>
        <w:rPr>
          <w:w w:val="100"/>
          <w:sz w:val="21"/>
        </w:rPr>
        <w:t>last</w:t>
      </w:r>
      <w:r>
        <w:rPr>
          <w:sz w:val="21"/>
        </w:rPr>
        <w:t> </w:t>
      </w:r>
      <w:r>
        <w:rPr>
          <w:w w:val="100"/>
          <w:sz w:val="21"/>
        </w:rPr>
        <w:t>time</w:t>
      </w:r>
      <w:r>
        <w:rPr>
          <w:sz w:val="21"/>
        </w:rPr>
        <w:t> </w:t>
      </w:r>
      <w:r>
        <w:rPr>
          <w:w w:val="100"/>
          <w:sz w:val="21"/>
        </w:rPr>
        <w:t>offered</w:t>
      </w:r>
      <w:r>
        <w:rPr>
          <w:sz w:val="21"/>
        </w:rPr>
        <w:t> </w:t>
      </w:r>
      <w:r>
        <w:rPr>
          <w:w w:val="100"/>
          <w:sz w:val="21"/>
        </w:rPr>
        <w:t>namaz</w:t>
      </w:r>
      <w:r>
        <w:rPr>
          <w:sz w:val="21"/>
        </w:rPr>
        <w:t> </w:t>
      </w:r>
      <w:r>
        <w:rPr>
          <w:w w:val="100"/>
          <w:sz w:val="21"/>
        </w:rPr>
        <w:t>at</w:t>
      </w:r>
      <w:r>
        <w:rPr>
          <w:sz w:val="21"/>
        </w:rPr>
        <w:t> </w:t>
      </w:r>
      <w:r>
        <w:rPr>
          <w:w w:val="100"/>
          <w:sz w:val="21"/>
        </w:rPr>
        <w:t>the</w:t>
      </w:r>
      <w:r>
        <w:rPr>
          <w:sz w:val="21"/>
        </w:rPr>
        <w:t> </w:t>
      </w:r>
      <w:r>
        <w:rPr>
          <w:w w:val="100"/>
          <w:sz w:val="21"/>
        </w:rPr>
        <w:t>mosque</w:t>
      </w:r>
      <w:r>
        <w:rPr>
          <w:sz w:val="21"/>
        </w:rPr>
        <w:t> </w:t>
      </w:r>
      <w:r>
        <w:rPr>
          <w:w w:val="100"/>
          <w:sz w:val="21"/>
        </w:rPr>
        <w:t>two</w:t>
      </w:r>
      <w:r>
        <w:rPr>
          <w:sz w:val="21"/>
        </w:rPr>
        <w:t> </w:t>
      </w:r>
      <w:r>
        <w:rPr>
          <w:w w:val="100"/>
          <w:sz w:val="21"/>
        </w:rPr>
        <w:t>days </w:t>
      </w:r>
      <w:r>
        <w:rPr>
          <w:sz w:val="21"/>
        </w:rPr>
        <w:t>before the incident in which the idol was placed there.‖</w:t>
      </w:r>
    </w:p>
    <w:p>
      <w:pPr>
        <w:pStyle w:val="BodyText"/>
        <w:spacing w:before="2"/>
        <w:rPr>
          <w:sz w:val="24"/>
        </w:rPr>
      </w:pPr>
    </w:p>
    <w:p>
      <w:pPr>
        <w:spacing w:line="276" w:lineRule="auto" w:before="0"/>
        <w:ind w:left="1940" w:right="2259" w:firstLine="0"/>
        <w:jc w:val="both"/>
        <w:rPr>
          <w:sz w:val="21"/>
        </w:rPr>
      </w:pPr>
      <w:r>
        <w:rPr>
          <w:w w:val="33"/>
          <w:sz w:val="21"/>
        </w:rPr>
        <w:t>―</w:t>
      </w:r>
      <w:r>
        <w:rPr>
          <w:w w:val="100"/>
          <w:sz w:val="21"/>
        </w:rPr>
        <w:t>I</w:t>
      </w:r>
      <w:r>
        <w:rPr>
          <w:sz w:val="21"/>
        </w:rPr>
        <w:t> </w:t>
      </w:r>
      <w:r>
        <w:rPr>
          <w:w w:val="100"/>
          <w:sz w:val="21"/>
        </w:rPr>
        <w:t>did</w:t>
      </w:r>
      <w:r>
        <w:rPr>
          <w:sz w:val="21"/>
        </w:rPr>
        <w:t> </w:t>
      </w:r>
      <w:r>
        <w:rPr>
          <w:w w:val="100"/>
          <w:sz w:val="21"/>
        </w:rPr>
        <w:t>not</w:t>
      </w:r>
      <w:r>
        <w:rPr>
          <w:sz w:val="21"/>
        </w:rPr>
        <w:t> </w:t>
      </w:r>
      <w:r>
        <w:rPr>
          <w:w w:val="100"/>
          <w:sz w:val="21"/>
        </w:rPr>
        <w:t>offer</w:t>
      </w:r>
      <w:r>
        <w:rPr>
          <w:sz w:val="21"/>
        </w:rPr>
        <w:t> </w:t>
      </w:r>
      <w:r>
        <w:rPr>
          <w:w w:val="100"/>
          <w:sz w:val="21"/>
        </w:rPr>
        <w:t>namaz</w:t>
      </w:r>
      <w:r>
        <w:rPr>
          <w:sz w:val="21"/>
        </w:rPr>
        <w:t> </w:t>
      </w:r>
      <w:r>
        <w:rPr>
          <w:w w:val="100"/>
          <w:sz w:val="21"/>
        </w:rPr>
        <w:t>at</w:t>
      </w:r>
      <w:r>
        <w:rPr>
          <w:sz w:val="21"/>
        </w:rPr>
        <w:t> </w:t>
      </w:r>
      <w:r>
        <w:rPr>
          <w:w w:val="100"/>
          <w:sz w:val="21"/>
        </w:rPr>
        <w:t>this</w:t>
      </w:r>
      <w:r>
        <w:rPr>
          <w:sz w:val="21"/>
        </w:rPr>
        <w:t> </w:t>
      </w:r>
      <w:r>
        <w:rPr>
          <w:w w:val="100"/>
          <w:sz w:val="21"/>
        </w:rPr>
        <w:t>mosque</w:t>
      </w:r>
      <w:r>
        <w:rPr>
          <w:sz w:val="21"/>
        </w:rPr>
        <w:t> </w:t>
      </w:r>
      <w:r>
        <w:rPr>
          <w:w w:val="100"/>
          <w:sz w:val="21"/>
        </w:rPr>
        <w:t>on</w:t>
      </w:r>
      <w:r>
        <w:rPr>
          <w:sz w:val="21"/>
        </w:rPr>
        <w:t> </w:t>
      </w:r>
      <w:r>
        <w:rPr>
          <w:w w:val="100"/>
          <w:sz w:val="21"/>
        </w:rPr>
        <w:t>22nd</w:t>
      </w:r>
      <w:r>
        <w:rPr>
          <w:sz w:val="21"/>
        </w:rPr>
        <w:t>    </w:t>
      </w:r>
      <w:r>
        <w:rPr>
          <w:w w:val="100"/>
          <w:sz w:val="21"/>
        </w:rPr>
        <w:t>December, </w:t>
      </w:r>
      <w:r>
        <w:rPr>
          <w:sz w:val="21"/>
        </w:rPr>
        <w:t>1949.‖</w:t>
      </w:r>
    </w:p>
    <w:p>
      <w:pPr>
        <w:pStyle w:val="BodyText"/>
        <w:spacing w:before="1"/>
        <w:rPr>
          <w:sz w:val="24"/>
        </w:rPr>
      </w:pPr>
    </w:p>
    <w:p>
      <w:pPr>
        <w:spacing w:line="276" w:lineRule="auto" w:before="1"/>
        <w:ind w:left="1940" w:right="2255" w:firstLine="0"/>
        <w:jc w:val="both"/>
        <w:rPr>
          <w:sz w:val="21"/>
        </w:rPr>
      </w:pPr>
      <w:r>
        <w:rPr>
          <w:spacing w:val="-1"/>
          <w:w w:val="33"/>
          <w:sz w:val="21"/>
        </w:rPr>
        <w:t>―</w:t>
      </w:r>
      <w:r>
        <w:rPr>
          <w:w w:val="100"/>
          <w:sz w:val="21"/>
        </w:rPr>
        <w:t>I</w:t>
      </w:r>
      <w:r>
        <w:rPr>
          <w:sz w:val="21"/>
        </w:rPr>
        <w:t> </w:t>
      </w:r>
      <w:r>
        <w:rPr>
          <w:spacing w:val="-6"/>
          <w:sz w:val="21"/>
        </w:rPr>
        <w:t> </w:t>
      </w:r>
      <w:r>
        <w:rPr>
          <w:spacing w:val="-1"/>
          <w:w w:val="100"/>
          <w:sz w:val="21"/>
        </w:rPr>
        <w:t>d</w:t>
      </w:r>
      <w:r>
        <w:rPr>
          <w:spacing w:val="1"/>
          <w:w w:val="100"/>
          <w:sz w:val="21"/>
        </w:rPr>
        <w:t>i</w:t>
      </w:r>
      <w:r>
        <w:rPr>
          <w:w w:val="100"/>
          <w:sz w:val="21"/>
        </w:rPr>
        <w:t>d</w:t>
      </w:r>
      <w:r>
        <w:rPr>
          <w:sz w:val="21"/>
        </w:rPr>
        <w:t> </w:t>
      </w:r>
      <w:r>
        <w:rPr>
          <w:spacing w:val="-7"/>
          <w:sz w:val="21"/>
        </w:rPr>
        <w:t> </w:t>
      </w:r>
      <w:r>
        <w:rPr>
          <w:spacing w:val="-1"/>
          <w:w w:val="100"/>
          <w:sz w:val="21"/>
        </w:rPr>
        <w:t>no</w:t>
      </w:r>
      <w:r>
        <w:rPr>
          <w:w w:val="100"/>
          <w:sz w:val="21"/>
        </w:rPr>
        <w:t>t</w:t>
      </w:r>
      <w:r>
        <w:rPr>
          <w:sz w:val="21"/>
        </w:rPr>
        <w:t> </w:t>
      </w:r>
      <w:r>
        <w:rPr>
          <w:spacing w:val="-5"/>
          <w:sz w:val="21"/>
        </w:rPr>
        <w:t> </w:t>
      </w:r>
      <w:r>
        <w:rPr>
          <w:spacing w:val="-3"/>
          <w:w w:val="100"/>
          <w:sz w:val="21"/>
        </w:rPr>
        <w:t>o</w:t>
      </w:r>
      <w:r>
        <w:rPr>
          <w:spacing w:val="-2"/>
          <w:w w:val="100"/>
          <w:sz w:val="21"/>
        </w:rPr>
        <w:t>f</w:t>
      </w:r>
      <w:r>
        <w:rPr>
          <w:spacing w:val="1"/>
          <w:w w:val="100"/>
          <w:sz w:val="21"/>
        </w:rPr>
        <w:t>f</w:t>
      </w:r>
      <w:r>
        <w:rPr>
          <w:spacing w:val="-1"/>
          <w:w w:val="100"/>
          <w:sz w:val="21"/>
        </w:rPr>
        <w:t>e</w:t>
      </w:r>
      <w:r>
        <w:rPr>
          <w:w w:val="100"/>
          <w:sz w:val="21"/>
        </w:rPr>
        <w:t>r</w:t>
      </w:r>
      <w:r>
        <w:rPr>
          <w:sz w:val="21"/>
        </w:rPr>
        <w:t> </w:t>
      </w:r>
      <w:r>
        <w:rPr>
          <w:spacing w:val="-8"/>
          <w:sz w:val="21"/>
        </w:rPr>
        <w:t> </w:t>
      </w:r>
      <w:r>
        <w:rPr>
          <w:spacing w:val="-1"/>
          <w:w w:val="100"/>
          <w:sz w:val="21"/>
        </w:rPr>
        <w:t>n</w:t>
      </w:r>
      <w:r>
        <w:rPr>
          <w:spacing w:val="-3"/>
          <w:w w:val="100"/>
          <w:sz w:val="21"/>
        </w:rPr>
        <w:t>a</w:t>
      </w:r>
      <w:r>
        <w:rPr>
          <w:spacing w:val="-1"/>
          <w:w w:val="100"/>
          <w:sz w:val="21"/>
        </w:rPr>
        <w:t>ma</w:t>
      </w:r>
      <w:r>
        <w:rPr>
          <w:w w:val="100"/>
          <w:sz w:val="21"/>
        </w:rPr>
        <w:t>z</w:t>
      </w:r>
      <w:r>
        <w:rPr>
          <w:sz w:val="21"/>
        </w:rPr>
        <w:t> </w:t>
      </w:r>
      <w:r>
        <w:rPr>
          <w:spacing w:val="-5"/>
          <w:sz w:val="21"/>
        </w:rPr>
        <w:t> </w:t>
      </w:r>
      <w:r>
        <w:rPr>
          <w:spacing w:val="-2"/>
          <w:w w:val="100"/>
          <w:sz w:val="21"/>
        </w:rPr>
        <w:t>t</w:t>
      </w:r>
      <w:r>
        <w:rPr>
          <w:w w:val="100"/>
          <w:sz w:val="21"/>
        </w:rPr>
        <w:t>here</w:t>
      </w:r>
      <w:r>
        <w:rPr>
          <w:sz w:val="21"/>
        </w:rPr>
        <w:t> </w:t>
      </w:r>
      <w:r>
        <w:rPr>
          <w:spacing w:val="-7"/>
          <w:sz w:val="21"/>
        </w:rPr>
        <w:t> </w:t>
      </w:r>
      <w:r>
        <w:rPr>
          <w:w w:val="100"/>
          <w:sz w:val="21"/>
        </w:rPr>
        <w:t>on</w:t>
      </w:r>
      <w:r>
        <w:rPr>
          <w:sz w:val="21"/>
        </w:rPr>
        <w:t> </w:t>
      </w:r>
      <w:r>
        <w:rPr>
          <w:spacing w:val="-7"/>
          <w:sz w:val="21"/>
        </w:rPr>
        <w:t> </w:t>
      </w:r>
      <w:r>
        <w:rPr>
          <w:w w:val="100"/>
          <w:sz w:val="21"/>
        </w:rPr>
        <w:t>22</w:t>
      </w:r>
      <w:r>
        <w:rPr>
          <w:spacing w:val="-2"/>
          <w:w w:val="100"/>
          <w:sz w:val="21"/>
        </w:rPr>
        <w:t>n</w:t>
      </w:r>
      <w:r>
        <w:rPr>
          <w:w w:val="100"/>
          <w:sz w:val="21"/>
        </w:rPr>
        <w:t>d</w:t>
      </w:r>
      <w:r>
        <w:rPr>
          <w:sz w:val="21"/>
        </w:rPr>
        <w:t> </w:t>
      </w:r>
      <w:r>
        <w:rPr>
          <w:spacing w:val="-7"/>
          <w:sz w:val="21"/>
        </w:rPr>
        <w:t> </w:t>
      </w:r>
      <w:r>
        <w:rPr>
          <w:w w:val="100"/>
          <w:sz w:val="21"/>
        </w:rPr>
        <w:t>De</w:t>
      </w:r>
      <w:r>
        <w:rPr>
          <w:spacing w:val="-3"/>
          <w:w w:val="100"/>
          <w:sz w:val="21"/>
        </w:rPr>
        <w:t>ce</w:t>
      </w:r>
      <w:r>
        <w:rPr>
          <w:spacing w:val="1"/>
          <w:w w:val="100"/>
          <w:sz w:val="21"/>
        </w:rPr>
        <w:t>m</w:t>
      </w:r>
      <w:r>
        <w:rPr>
          <w:w w:val="100"/>
          <w:sz w:val="21"/>
        </w:rPr>
        <w:t>be</w:t>
      </w:r>
      <w:r>
        <w:rPr>
          <w:spacing w:val="-3"/>
          <w:w w:val="100"/>
          <w:sz w:val="21"/>
        </w:rPr>
        <w:t>r</w:t>
      </w:r>
      <w:r>
        <w:rPr>
          <w:w w:val="100"/>
          <w:sz w:val="21"/>
        </w:rPr>
        <w:t>,</w:t>
      </w:r>
      <w:r>
        <w:rPr>
          <w:sz w:val="21"/>
        </w:rPr>
        <w:t> </w:t>
      </w:r>
      <w:r>
        <w:rPr>
          <w:spacing w:val="-6"/>
          <w:sz w:val="21"/>
        </w:rPr>
        <w:t> </w:t>
      </w:r>
      <w:r>
        <w:rPr>
          <w:w w:val="100"/>
          <w:sz w:val="21"/>
        </w:rPr>
        <w:t>1949</w:t>
      </w:r>
      <w:r>
        <w:rPr>
          <w:sz w:val="21"/>
        </w:rPr>
        <w:t> </w:t>
      </w:r>
      <w:r>
        <w:rPr>
          <w:spacing w:val="-6"/>
          <w:sz w:val="21"/>
        </w:rPr>
        <w:t> </w:t>
      </w:r>
      <w:r>
        <w:rPr>
          <w:w w:val="100"/>
          <w:sz w:val="21"/>
        </w:rPr>
        <w:t>as </w:t>
      </w:r>
      <w:r>
        <w:rPr>
          <w:sz w:val="21"/>
        </w:rPr>
        <w:t>well.‖</w:t>
      </w:r>
    </w:p>
    <w:p>
      <w:pPr>
        <w:pStyle w:val="BodyText"/>
        <w:rPr>
          <w:sz w:val="24"/>
        </w:rPr>
      </w:pPr>
    </w:p>
    <w:p>
      <w:pPr>
        <w:pStyle w:val="ListParagraph"/>
        <w:numPr>
          <w:ilvl w:val="0"/>
          <w:numId w:val="231"/>
        </w:numPr>
        <w:tabs>
          <w:tab w:pos="1221" w:val="left" w:leader="none"/>
        </w:tabs>
        <w:spacing w:line="480" w:lineRule="auto" w:before="206" w:after="0"/>
        <w:ind w:left="500" w:right="434" w:firstLine="0"/>
        <w:jc w:val="both"/>
        <w:rPr>
          <w:sz w:val="25"/>
        </w:rPr>
      </w:pPr>
      <w:r>
        <w:rPr>
          <w:b/>
          <w:sz w:val="25"/>
        </w:rPr>
        <w:t>Sibte Mohd Naqvi (PW-25): </w:t>
      </w:r>
      <w:r>
        <w:rPr>
          <w:sz w:val="25"/>
        </w:rPr>
        <w:t>The date of Examination-in-Chief of the witness was 5 March 2002. The age of the witness was stated to be 76 years. The witness had seen the structure from afar. He stated that he had been visiting Ayodhya since 1948 and had seen namazis going to Babri Masjid. The witness stated that he had not seen anyone performing namaz at the disputed property. Since the witness has not himself visited the disputed property or actually seen anyone perform namaz at the site, the evidence tendered by PW-25 is</w:t>
      </w:r>
      <w:r>
        <w:rPr>
          <w:spacing w:val="-21"/>
          <w:sz w:val="25"/>
        </w:rPr>
        <w:t> </w:t>
      </w:r>
      <w:r>
        <w:rPr>
          <w:sz w:val="25"/>
        </w:rPr>
        <w:t>hearsay.</w:t>
      </w:r>
    </w:p>
    <w:p>
      <w:pPr>
        <w:pStyle w:val="BodyText"/>
        <w:spacing w:before="2"/>
        <w:rPr>
          <w:sz w:val="35"/>
        </w:rPr>
      </w:pPr>
    </w:p>
    <w:p>
      <w:pPr>
        <w:pStyle w:val="BodyText"/>
        <w:spacing w:line="480" w:lineRule="auto"/>
        <w:ind w:left="500" w:right="436"/>
        <w:jc w:val="both"/>
      </w:pPr>
      <w:r>
        <w:rPr/>
        <w:t>The evidence of some of the witnesses deposing for the plaintiff in Suit 4 have contradictions and inconsistencies as noted earlier. The court must however assess the staements in a robust manner, making due allowance for the normal failings of memory. Many of the statements in the affidavits filed by the witnesses in their Examination-in-Chief have sweeping claims and generalisations which  are not validated during the course of cross-examination. Assessing the statements it cannot be concluded that namaz was not being offered at all at the disputed property. The oral statements in evidence have to be evaluated with the documentary evidence. The report dated 10 December 1949 of Muhammad Ibrahim, Waqf Inspector</w:t>
      </w:r>
      <w:r>
        <w:rPr>
          <w:spacing w:val="-6"/>
        </w:rPr>
        <w:t> </w:t>
      </w:r>
      <w:r>
        <w:rPr/>
        <w:t>notes:</w:t>
      </w:r>
    </w:p>
    <w:p>
      <w:pPr>
        <w:spacing w:line="276" w:lineRule="auto" w:before="0"/>
        <w:ind w:left="1940" w:right="2251" w:firstLine="0"/>
        <w:jc w:val="both"/>
        <w:rPr>
          <w:sz w:val="21"/>
        </w:rPr>
      </w:pPr>
      <w:r>
        <w:rPr>
          <w:spacing w:val="-1"/>
          <w:w w:val="33"/>
          <w:sz w:val="21"/>
        </w:rPr>
        <w:t>―</w:t>
      </w:r>
      <w:r>
        <w:rPr>
          <w:b/>
          <w:spacing w:val="-2"/>
          <w:w w:val="100"/>
          <w:sz w:val="21"/>
        </w:rPr>
        <w:t>I</w:t>
      </w:r>
      <w:r>
        <w:rPr>
          <w:b/>
          <w:w w:val="100"/>
          <w:sz w:val="21"/>
        </w:rPr>
        <w:t>t</w:t>
      </w:r>
      <w:r>
        <w:rPr>
          <w:b/>
          <w:sz w:val="21"/>
        </w:rPr>
        <w:t> </w:t>
      </w:r>
      <w:r>
        <w:rPr>
          <w:b/>
          <w:spacing w:val="-10"/>
          <w:sz w:val="21"/>
        </w:rPr>
        <w:t> </w:t>
      </w:r>
      <w:r>
        <w:rPr>
          <w:b/>
          <w:w w:val="100"/>
          <w:sz w:val="21"/>
        </w:rPr>
        <w:t>came</w:t>
      </w:r>
      <w:r>
        <w:rPr>
          <w:b/>
          <w:sz w:val="21"/>
        </w:rPr>
        <w:t> </w:t>
      </w:r>
      <w:r>
        <w:rPr>
          <w:b/>
          <w:spacing w:val="-9"/>
          <w:sz w:val="21"/>
        </w:rPr>
        <w:t> </w:t>
      </w:r>
      <w:r>
        <w:rPr>
          <w:b/>
          <w:spacing w:val="-1"/>
          <w:w w:val="100"/>
          <w:sz w:val="21"/>
        </w:rPr>
        <w:t>t</w:t>
      </w:r>
      <w:r>
        <w:rPr>
          <w:b/>
          <w:w w:val="100"/>
          <w:sz w:val="21"/>
        </w:rPr>
        <w:t>o</w:t>
      </w:r>
      <w:r>
        <w:rPr>
          <w:b/>
          <w:sz w:val="21"/>
        </w:rPr>
        <w:t> </w:t>
      </w:r>
      <w:r>
        <w:rPr>
          <w:b/>
          <w:spacing w:val="-11"/>
          <w:sz w:val="21"/>
        </w:rPr>
        <w:t> </w:t>
      </w:r>
      <w:r>
        <w:rPr>
          <w:b/>
          <w:w w:val="100"/>
          <w:sz w:val="21"/>
        </w:rPr>
        <w:t>my</w:t>
      </w:r>
      <w:r>
        <w:rPr>
          <w:b/>
          <w:sz w:val="21"/>
        </w:rPr>
        <w:t> </w:t>
      </w:r>
      <w:r>
        <w:rPr>
          <w:b/>
          <w:spacing w:val="-15"/>
          <w:sz w:val="21"/>
        </w:rPr>
        <w:t> </w:t>
      </w:r>
      <w:r>
        <w:rPr>
          <w:b/>
          <w:w w:val="100"/>
          <w:sz w:val="21"/>
        </w:rPr>
        <w:t>kn</w:t>
      </w:r>
      <w:r>
        <w:rPr>
          <w:b/>
          <w:spacing w:val="-2"/>
          <w:w w:val="100"/>
          <w:sz w:val="21"/>
        </w:rPr>
        <w:t>o</w:t>
      </w:r>
      <w:r>
        <w:rPr>
          <w:b/>
          <w:spacing w:val="3"/>
          <w:w w:val="100"/>
          <w:sz w:val="21"/>
        </w:rPr>
        <w:t>w</w:t>
      </w:r>
      <w:r>
        <w:rPr>
          <w:b/>
          <w:spacing w:val="-4"/>
          <w:w w:val="100"/>
          <w:sz w:val="21"/>
        </w:rPr>
        <w:t>l</w:t>
      </w:r>
      <w:r>
        <w:rPr>
          <w:b/>
          <w:spacing w:val="-3"/>
          <w:w w:val="100"/>
          <w:sz w:val="21"/>
        </w:rPr>
        <w:t>e</w:t>
      </w:r>
      <w:r>
        <w:rPr>
          <w:b/>
          <w:w w:val="100"/>
          <w:sz w:val="21"/>
        </w:rPr>
        <w:t>dg</w:t>
      </w:r>
      <w:r>
        <w:rPr>
          <w:b/>
          <w:w w:val="100"/>
          <w:sz w:val="21"/>
        </w:rPr>
        <w:t>e</w:t>
      </w:r>
      <w:r>
        <w:rPr>
          <w:b/>
          <w:sz w:val="21"/>
        </w:rPr>
        <w:t> </w:t>
      </w:r>
      <w:r>
        <w:rPr>
          <w:b/>
          <w:spacing w:val="-12"/>
          <w:sz w:val="21"/>
        </w:rPr>
        <w:t> </w:t>
      </w:r>
      <w:r>
        <w:rPr>
          <w:b/>
          <w:spacing w:val="-1"/>
          <w:w w:val="100"/>
          <w:sz w:val="21"/>
        </w:rPr>
        <w:t>t</w:t>
      </w:r>
      <w:r>
        <w:rPr>
          <w:b/>
          <w:w w:val="100"/>
          <w:sz w:val="21"/>
        </w:rPr>
        <w:t>ha</w:t>
      </w:r>
      <w:r>
        <w:rPr>
          <w:b/>
          <w:w w:val="100"/>
          <w:sz w:val="21"/>
        </w:rPr>
        <w:t>t</w:t>
      </w:r>
      <w:r>
        <w:rPr>
          <w:b/>
          <w:sz w:val="21"/>
        </w:rPr>
        <w:t> </w:t>
      </w:r>
      <w:r>
        <w:rPr>
          <w:b/>
          <w:spacing w:val="-10"/>
          <w:sz w:val="21"/>
        </w:rPr>
        <w:t> </w:t>
      </w:r>
      <w:r>
        <w:rPr>
          <w:b/>
          <w:spacing w:val="-4"/>
          <w:w w:val="100"/>
          <w:sz w:val="21"/>
        </w:rPr>
        <w:t>t</w:t>
      </w:r>
      <w:r>
        <w:rPr>
          <w:b/>
          <w:w w:val="100"/>
          <w:sz w:val="21"/>
        </w:rPr>
        <w:t>he</w:t>
      </w:r>
      <w:r>
        <w:rPr>
          <w:b/>
          <w:sz w:val="21"/>
        </w:rPr>
        <w:t> </w:t>
      </w:r>
      <w:r>
        <w:rPr>
          <w:b/>
          <w:spacing w:val="-9"/>
          <w:sz w:val="21"/>
        </w:rPr>
        <w:t> </w:t>
      </w:r>
      <w:r>
        <w:rPr>
          <w:b/>
          <w:spacing w:val="-4"/>
          <w:w w:val="100"/>
          <w:sz w:val="21"/>
        </w:rPr>
        <w:t>f</w:t>
      </w:r>
      <w:r>
        <w:rPr>
          <w:b/>
          <w:w w:val="100"/>
          <w:sz w:val="21"/>
        </w:rPr>
        <w:t>ear</w:t>
      </w:r>
      <w:r>
        <w:rPr>
          <w:b/>
          <w:sz w:val="21"/>
        </w:rPr>
        <w:t> </w:t>
      </w:r>
      <w:r>
        <w:rPr>
          <w:b/>
          <w:spacing w:val="-12"/>
          <w:sz w:val="21"/>
        </w:rPr>
        <w:t> </w:t>
      </w:r>
      <w:r>
        <w:rPr>
          <w:b/>
          <w:w w:val="100"/>
          <w:sz w:val="21"/>
        </w:rPr>
        <w:t>of</w:t>
      </w:r>
      <w:r>
        <w:rPr>
          <w:b/>
          <w:sz w:val="21"/>
        </w:rPr>
        <w:t> </w:t>
      </w:r>
      <w:r>
        <w:rPr>
          <w:b/>
          <w:spacing w:val="-9"/>
          <w:sz w:val="21"/>
        </w:rPr>
        <w:t> </w:t>
      </w:r>
      <w:r>
        <w:rPr>
          <w:b/>
          <w:w w:val="100"/>
          <w:sz w:val="21"/>
        </w:rPr>
        <w:t>H</w:t>
      </w:r>
      <w:r>
        <w:rPr>
          <w:b/>
          <w:spacing w:val="-4"/>
          <w:w w:val="100"/>
          <w:sz w:val="21"/>
        </w:rPr>
        <w:t>i</w:t>
      </w:r>
      <w:r>
        <w:rPr>
          <w:b/>
          <w:w w:val="100"/>
          <w:sz w:val="21"/>
        </w:rPr>
        <w:t>n</w:t>
      </w:r>
      <w:r>
        <w:rPr>
          <w:b/>
          <w:spacing w:val="-2"/>
          <w:w w:val="100"/>
          <w:sz w:val="21"/>
        </w:rPr>
        <w:t>d</w:t>
      </w:r>
      <w:r>
        <w:rPr>
          <w:b/>
          <w:w w:val="100"/>
          <w:sz w:val="21"/>
        </w:rPr>
        <w:t>us</w:t>
      </w:r>
      <w:r>
        <w:rPr>
          <w:b/>
          <w:sz w:val="21"/>
        </w:rPr>
        <w:t> </w:t>
      </w:r>
      <w:r>
        <w:rPr>
          <w:b/>
          <w:spacing w:val="-9"/>
          <w:sz w:val="21"/>
        </w:rPr>
        <w:t> </w:t>
      </w:r>
      <w:r>
        <w:rPr>
          <w:b/>
          <w:spacing w:val="-3"/>
          <w:w w:val="100"/>
          <w:sz w:val="21"/>
        </w:rPr>
        <w:t>a</w:t>
      </w:r>
      <w:r>
        <w:rPr>
          <w:b/>
          <w:spacing w:val="-2"/>
          <w:w w:val="100"/>
          <w:sz w:val="21"/>
        </w:rPr>
        <w:t>n</w:t>
      </w:r>
      <w:r>
        <w:rPr>
          <w:b/>
          <w:w w:val="100"/>
          <w:sz w:val="21"/>
        </w:rPr>
        <w:t>d </w:t>
      </w:r>
      <w:r>
        <w:rPr>
          <w:b/>
          <w:sz w:val="21"/>
        </w:rPr>
        <w:t>Sikhs, no person offers prayers in the mosque. </w:t>
      </w:r>
      <w:r>
        <w:rPr>
          <w:sz w:val="21"/>
        </w:rPr>
        <w:t>If any person stays back in the mosque during night he is very much harassed</w:t>
      </w:r>
      <w:r>
        <w:rPr>
          <w:spacing w:val="13"/>
          <w:sz w:val="21"/>
        </w:rPr>
        <w:t> </w:t>
      </w:r>
      <w:r>
        <w:rPr>
          <w:sz w:val="21"/>
        </w:rPr>
        <w:t>by</w:t>
      </w:r>
      <w:r>
        <w:rPr>
          <w:spacing w:val="11"/>
          <w:sz w:val="21"/>
        </w:rPr>
        <w:t> </w:t>
      </w:r>
      <w:r>
        <w:rPr>
          <w:sz w:val="21"/>
        </w:rPr>
        <w:t>Hindus.</w:t>
      </w:r>
      <w:r>
        <w:rPr>
          <w:spacing w:val="12"/>
          <w:sz w:val="21"/>
        </w:rPr>
        <w:t> </w:t>
      </w:r>
      <w:r>
        <w:rPr>
          <w:sz w:val="21"/>
        </w:rPr>
        <w:t>There</w:t>
      </w:r>
      <w:r>
        <w:rPr>
          <w:spacing w:val="13"/>
          <w:sz w:val="21"/>
        </w:rPr>
        <w:t> </w:t>
      </w:r>
      <w:r>
        <w:rPr>
          <w:sz w:val="21"/>
        </w:rPr>
        <w:t>is</w:t>
      </w:r>
      <w:r>
        <w:rPr>
          <w:spacing w:val="13"/>
          <w:sz w:val="21"/>
        </w:rPr>
        <w:t> </w:t>
      </w:r>
      <w:r>
        <w:rPr>
          <w:sz w:val="21"/>
        </w:rPr>
        <w:t>a</w:t>
      </w:r>
      <w:r>
        <w:rPr>
          <w:spacing w:val="13"/>
          <w:sz w:val="21"/>
        </w:rPr>
        <w:t> </w:t>
      </w:r>
      <w:r>
        <w:rPr>
          <w:sz w:val="21"/>
        </w:rPr>
        <w:t>temple</w:t>
      </w:r>
      <w:r>
        <w:rPr>
          <w:spacing w:val="11"/>
          <w:sz w:val="21"/>
        </w:rPr>
        <w:t> </w:t>
      </w:r>
      <w:r>
        <w:rPr>
          <w:sz w:val="21"/>
        </w:rPr>
        <w:t>of</w:t>
      </w:r>
      <w:r>
        <w:rPr>
          <w:spacing w:val="14"/>
          <w:sz w:val="21"/>
        </w:rPr>
        <w:t> </w:t>
      </w:r>
      <w:r>
        <w:rPr>
          <w:sz w:val="21"/>
        </w:rPr>
        <w:t>the</w:t>
      </w:r>
      <w:r>
        <w:rPr>
          <w:spacing w:val="13"/>
          <w:sz w:val="21"/>
        </w:rPr>
        <w:t> </w:t>
      </w:r>
      <w:r>
        <w:rPr>
          <w:sz w:val="21"/>
        </w:rPr>
        <w:t>Hindus</w:t>
      </w:r>
      <w:r>
        <w:rPr>
          <w:spacing w:val="13"/>
          <w:sz w:val="21"/>
        </w:rPr>
        <w:t> </w:t>
      </w:r>
      <w:r>
        <w:rPr>
          <w:sz w:val="21"/>
        </w:rPr>
        <w:t>outside</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3" w:firstLine="0"/>
        <w:jc w:val="both"/>
        <w:rPr>
          <w:sz w:val="21"/>
        </w:rPr>
      </w:pPr>
      <w:r>
        <w:rPr>
          <w:sz w:val="21"/>
        </w:rPr>
        <w:t>the courtyard where many Hindus live. They abuse any Muslim who goes to the Masjid. I visited the site and on enquiry found that whatever is stated above is correct. People also said that there is danger to the mosque from Hindus in the form of weakening its walls. It appears proper to submit in writing to the Deputy Commissioner, Faizabad </w:t>
      </w:r>
      <w:r>
        <w:rPr>
          <w:b/>
          <w:sz w:val="21"/>
        </w:rPr>
        <w:t>that Muslims offering prayers in the mosque should not be harassed</w:t>
      </w:r>
      <w:r>
        <w:rPr>
          <w:sz w:val="21"/>
        </w:rPr>
        <w:t>…‖</w:t>
      </w:r>
    </w:p>
    <w:p>
      <w:pPr>
        <w:spacing w:before="1"/>
        <w:ind w:left="5805" w:right="0" w:firstLine="0"/>
        <w:jc w:val="left"/>
        <w:rPr>
          <w:sz w:val="21"/>
        </w:rPr>
      </w:pPr>
      <w:r>
        <w:rPr>
          <w:sz w:val="21"/>
        </w:rPr>
        <w:t>(Emphasis supplied)</w:t>
      </w:r>
    </w:p>
    <w:p>
      <w:pPr>
        <w:pStyle w:val="BodyText"/>
        <w:rPr>
          <w:sz w:val="24"/>
        </w:rPr>
      </w:pPr>
    </w:p>
    <w:p>
      <w:pPr>
        <w:pStyle w:val="BodyText"/>
        <w:spacing w:before="3"/>
        <w:rPr>
          <w:sz w:val="21"/>
        </w:rPr>
      </w:pPr>
    </w:p>
    <w:p>
      <w:pPr>
        <w:pStyle w:val="BodyText"/>
        <w:spacing w:line="480" w:lineRule="auto"/>
        <w:ind w:left="500" w:right="441"/>
        <w:jc w:val="both"/>
      </w:pPr>
      <w:r>
        <w:rPr/>
        <w:t>The report indicates that the offering of prayers by the Muslims at the mosque was being obstructed by the Hindus and Sikhs and no namaz was being offered. There is another report dated 23 December 1949 of the Waqf Inspector, who stated that he had gone to inquire into the condition of the Babri Masjid and Qabrastan on 22 December 1949. He noted that it had been three months since Baba Raghunath‘s visit to the Janmasthan; a month after his departure, thousands of Hindus, pujaris and pandits gathered there </w:t>
      </w:r>
      <w:r>
        <w:rPr>
          <w:spacing w:val="2"/>
        </w:rPr>
        <w:t>for </w:t>
      </w:r>
      <w:r>
        <w:rPr/>
        <w:t>Ramayan Path. It was stated in the</w:t>
      </w:r>
      <w:r>
        <w:rPr>
          <w:spacing w:val="-3"/>
        </w:rPr>
        <w:t> </w:t>
      </w:r>
      <w:r>
        <w:rPr/>
        <w:t>report:</w:t>
      </w:r>
    </w:p>
    <w:p>
      <w:pPr>
        <w:spacing w:line="276" w:lineRule="auto" w:before="0"/>
        <w:ind w:left="1940" w:right="2255" w:firstLine="0"/>
        <w:jc w:val="both"/>
        <w:rPr>
          <w:sz w:val="21"/>
        </w:rPr>
      </w:pPr>
      <w:r>
        <w:rPr>
          <w:spacing w:val="-1"/>
          <w:w w:val="33"/>
          <w:sz w:val="21"/>
        </w:rPr>
        <w:t>―</w:t>
      </w:r>
      <w:r>
        <w:rPr>
          <w:w w:val="100"/>
          <w:sz w:val="21"/>
        </w:rPr>
        <w:t>…N</w:t>
      </w:r>
      <w:r>
        <w:rPr>
          <w:spacing w:val="-1"/>
          <w:w w:val="100"/>
          <w:sz w:val="21"/>
        </w:rPr>
        <w:t>o</w:t>
      </w:r>
      <w:r>
        <w:rPr>
          <w:w w:val="100"/>
          <w:sz w:val="21"/>
        </w:rPr>
        <w:t>w</w:t>
      </w:r>
      <w:r>
        <w:rPr>
          <w:spacing w:val="7"/>
          <w:sz w:val="21"/>
        </w:rPr>
        <w:t> </w:t>
      </w:r>
      <w:r>
        <w:rPr>
          <w:spacing w:val="-2"/>
          <w:w w:val="100"/>
          <w:sz w:val="21"/>
        </w:rPr>
        <w:t>t</w:t>
      </w:r>
      <w:r>
        <w:rPr>
          <w:spacing w:val="-3"/>
          <w:w w:val="100"/>
          <w:sz w:val="21"/>
        </w:rPr>
        <w:t>h</w:t>
      </w:r>
      <w:r>
        <w:rPr>
          <w:w w:val="100"/>
          <w:sz w:val="21"/>
        </w:rPr>
        <w:t>e</w:t>
      </w:r>
      <w:r>
        <w:rPr>
          <w:spacing w:val="8"/>
          <w:sz w:val="21"/>
        </w:rPr>
        <w:t> </w:t>
      </w:r>
      <w:r>
        <w:rPr>
          <w:spacing w:val="-1"/>
          <w:w w:val="100"/>
          <w:sz w:val="21"/>
        </w:rPr>
        <w:t>Ma</w:t>
      </w:r>
      <w:r>
        <w:rPr>
          <w:spacing w:val="-3"/>
          <w:w w:val="100"/>
          <w:sz w:val="21"/>
        </w:rPr>
        <w:t>s</w:t>
      </w:r>
      <w:r>
        <w:rPr>
          <w:w w:val="100"/>
          <w:sz w:val="21"/>
        </w:rPr>
        <w:t>j</w:t>
      </w:r>
      <w:r>
        <w:rPr>
          <w:spacing w:val="-2"/>
          <w:w w:val="100"/>
          <w:sz w:val="21"/>
        </w:rPr>
        <w:t>i</w:t>
      </w:r>
      <w:r>
        <w:rPr>
          <w:w w:val="100"/>
          <w:sz w:val="21"/>
        </w:rPr>
        <w:t>d</w:t>
      </w:r>
      <w:r>
        <w:rPr>
          <w:spacing w:val="8"/>
          <w:sz w:val="21"/>
        </w:rPr>
        <w:t> </w:t>
      </w:r>
      <w:r>
        <w:rPr>
          <w:spacing w:val="-1"/>
          <w:w w:val="100"/>
          <w:sz w:val="21"/>
        </w:rPr>
        <w:t>r</w:t>
      </w:r>
      <w:r>
        <w:rPr>
          <w:spacing w:val="-3"/>
          <w:w w:val="100"/>
          <w:sz w:val="21"/>
        </w:rPr>
        <w:t>e</w:t>
      </w:r>
      <w:r>
        <w:rPr>
          <w:spacing w:val="1"/>
          <w:w w:val="100"/>
          <w:sz w:val="21"/>
        </w:rPr>
        <w:t>m</w:t>
      </w:r>
      <w:r>
        <w:rPr>
          <w:spacing w:val="-3"/>
          <w:w w:val="100"/>
          <w:sz w:val="21"/>
        </w:rPr>
        <w:t>a</w:t>
      </w:r>
      <w:r>
        <w:rPr>
          <w:w w:val="100"/>
          <w:sz w:val="21"/>
        </w:rPr>
        <w:t>i</w:t>
      </w:r>
      <w:r>
        <w:rPr>
          <w:spacing w:val="-3"/>
          <w:w w:val="100"/>
          <w:sz w:val="21"/>
        </w:rPr>
        <w:t>n</w:t>
      </w:r>
      <w:r>
        <w:rPr>
          <w:w w:val="100"/>
          <w:sz w:val="21"/>
        </w:rPr>
        <w:t>s</w:t>
      </w:r>
      <w:r>
        <w:rPr>
          <w:spacing w:val="8"/>
          <w:sz w:val="21"/>
        </w:rPr>
        <w:t> </w:t>
      </w:r>
      <w:r>
        <w:rPr>
          <w:w w:val="100"/>
          <w:sz w:val="21"/>
        </w:rPr>
        <w:t>l</w:t>
      </w:r>
      <w:r>
        <w:rPr>
          <w:spacing w:val="-1"/>
          <w:w w:val="100"/>
          <w:sz w:val="21"/>
        </w:rPr>
        <w:t>o</w:t>
      </w:r>
      <w:r>
        <w:rPr>
          <w:spacing w:val="-3"/>
          <w:w w:val="100"/>
          <w:sz w:val="21"/>
        </w:rPr>
        <w:t>c</w:t>
      </w:r>
      <w:r>
        <w:rPr>
          <w:w w:val="100"/>
          <w:sz w:val="21"/>
        </w:rPr>
        <w:t>ked.</w:t>
      </w:r>
      <w:r>
        <w:rPr>
          <w:spacing w:val="8"/>
          <w:sz w:val="21"/>
        </w:rPr>
        <w:t> </w:t>
      </w:r>
      <w:r>
        <w:rPr>
          <w:b/>
          <w:w w:val="100"/>
          <w:sz w:val="21"/>
        </w:rPr>
        <w:t>N</w:t>
      </w:r>
      <w:r>
        <w:rPr>
          <w:b/>
          <w:w w:val="100"/>
          <w:sz w:val="21"/>
        </w:rPr>
        <w:t>o</w:t>
      </w:r>
      <w:r>
        <w:rPr>
          <w:b/>
          <w:spacing w:val="9"/>
          <w:sz w:val="21"/>
        </w:rPr>
        <w:t> </w:t>
      </w:r>
      <w:r>
        <w:rPr>
          <w:b/>
          <w:w w:val="100"/>
          <w:sz w:val="21"/>
        </w:rPr>
        <w:t>a</w:t>
      </w:r>
      <w:r>
        <w:rPr>
          <w:b/>
          <w:spacing w:val="-3"/>
          <w:w w:val="100"/>
          <w:sz w:val="21"/>
        </w:rPr>
        <w:t>z</w:t>
      </w:r>
      <w:r>
        <w:rPr>
          <w:b/>
          <w:w w:val="100"/>
          <w:sz w:val="21"/>
        </w:rPr>
        <w:t>a</w:t>
      </w:r>
      <w:r>
        <w:rPr>
          <w:b/>
          <w:spacing w:val="-3"/>
          <w:w w:val="100"/>
          <w:sz w:val="21"/>
        </w:rPr>
        <w:t>a</w:t>
      </w:r>
      <w:r>
        <w:rPr>
          <w:b/>
          <w:w w:val="100"/>
          <w:sz w:val="21"/>
        </w:rPr>
        <w:t>n</w:t>
      </w:r>
      <w:r>
        <w:rPr>
          <w:b/>
          <w:spacing w:val="9"/>
          <w:sz w:val="21"/>
        </w:rPr>
        <w:t> </w:t>
      </w:r>
      <w:r>
        <w:rPr>
          <w:b/>
          <w:spacing w:val="-2"/>
          <w:w w:val="100"/>
          <w:sz w:val="21"/>
        </w:rPr>
        <w:t>i</w:t>
      </w:r>
      <w:r>
        <w:rPr>
          <w:b/>
          <w:w w:val="100"/>
          <w:sz w:val="21"/>
        </w:rPr>
        <w:t>s</w:t>
      </w:r>
      <w:r>
        <w:rPr>
          <w:b/>
          <w:spacing w:val="8"/>
          <w:sz w:val="21"/>
        </w:rPr>
        <w:t> </w:t>
      </w:r>
      <w:r>
        <w:rPr>
          <w:b/>
          <w:w w:val="100"/>
          <w:sz w:val="21"/>
        </w:rPr>
        <w:t>a</w:t>
      </w:r>
      <w:r>
        <w:rPr>
          <w:b/>
          <w:spacing w:val="-1"/>
          <w:w w:val="100"/>
          <w:sz w:val="21"/>
        </w:rPr>
        <w:t>l</w:t>
      </w:r>
      <w:r>
        <w:rPr>
          <w:b/>
          <w:spacing w:val="-2"/>
          <w:w w:val="100"/>
          <w:sz w:val="21"/>
        </w:rPr>
        <w:t>lo</w:t>
      </w:r>
      <w:r>
        <w:rPr>
          <w:b/>
          <w:spacing w:val="1"/>
          <w:w w:val="100"/>
          <w:sz w:val="21"/>
        </w:rPr>
        <w:t>w</w:t>
      </w:r>
      <w:r>
        <w:rPr>
          <w:b/>
          <w:w w:val="100"/>
          <w:sz w:val="21"/>
        </w:rPr>
        <w:t>ed</w:t>
      </w:r>
      <w:r>
        <w:rPr>
          <w:b/>
          <w:spacing w:val="6"/>
          <w:sz w:val="21"/>
        </w:rPr>
        <w:t> </w:t>
      </w:r>
      <w:r>
        <w:rPr>
          <w:b/>
          <w:w w:val="100"/>
          <w:sz w:val="21"/>
        </w:rPr>
        <w:t>no</w:t>
      </w:r>
      <w:r>
        <w:rPr>
          <w:b/>
          <w:w w:val="100"/>
          <w:sz w:val="21"/>
        </w:rPr>
        <w:t>r </w:t>
      </w:r>
      <w:r>
        <w:rPr>
          <w:b/>
          <w:sz w:val="21"/>
        </w:rPr>
        <w:t>Namaaz performed except on the day and time of Jumaah. The lock and the keys remain with Muslims. </w:t>
      </w:r>
      <w:r>
        <w:rPr>
          <w:sz w:val="21"/>
        </w:rPr>
        <w:t>But the police does not allow them to open the lock. The lock is opened on the day of Jumaah, i.e. Friday for two or three hours. During this period, the Masjid is cleaned and Jumaah prayers are offered. Thereafter it is locked as usual…It is Jumaah-Friday-today…‖</w:t>
      </w:r>
    </w:p>
    <w:p>
      <w:pPr>
        <w:spacing w:before="1"/>
        <w:ind w:left="5805" w:right="0" w:firstLine="0"/>
        <w:jc w:val="left"/>
        <w:rPr>
          <w:sz w:val="21"/>
        </w:rPr>
      </w:pPr>
      <w:r>
        <w:rPr>
          <w:sz w:val="21"/>
        </w:rPr>
        <w:t>(Emphasis supplied)</w:t>
      </w:r>
    </w:p>
    <w:p>
      <w:pPr>
        <w:pStyle w:val="BodyText"/>
        <w:rPr>
          <w:sz w:val="24"/>
        </w:rPr>
      </w:pPr>
    </w:p>
    <w:p>
      <w:pPr>
        <w:pStyle w:val="BodyText"/>
        <w:rPr>
          <w:sz w:val="24"/>
        </w:rPr>
      </w:pPr>
    </w:p>
    <w:p>
      <w:pPr>
        <w:pStyle w:val="BodyText"/>
        <w:spacing w:line="480" w:lineRule="auto" w:before="172"/>
        <w:ind w:left="500" w:right="434"/>
        <w:jc w:val="both"/>
      </w:pPr>
      <w:r>
        <w:rPr/>
        <w:t>The report of the Waqf Inspector belies the claim of several witnesses that they had offered namaz on 22 December 1949. It is stated in the above report that 23 December 1949 was the day of Jumma. It can be reasonably concluded that the last Jumma namaz must have been held on Friday, 16 December 1949. There is evidence on record to hold that Muslims offered Friday namaz at the mosque and had not completely lost access to or abandoned the disputed property.</w:t>
      </w:r>
    </w:p>
    <w:p>
      <w:pPr>
        <w:spacing w:after="0" w:line="480" w:lineRule="auto"/>
        <w:jc w:val="both"/>
        <w:sectPr>
          <w:pgSz w:w="11910" w:h="16840"/>
          <w:pgMar w:header="721" w:footer="1014" w:top="1300" w:bottom="1200" w:left="940" w:right="1000"/>
        </w:sectPr>
      </w:pPr>
    </w:p>
    <w:p>
      <w:pPr>
        <w:pStyle w:val="Heading3"/>
        <w:numPr>
          <w:ilvl w:val="1"/>
          <w:numId w:val="191"/>
        </w:numPr>
        <w:tabs>
          <w:tab w:pos="1221" w:val="left" w:leader="none"/>
        </w:tabs>
        <w:spacing w:line="240" w:lineRule="auto" w:before="124" w:after="0"/>
        <w:ind w:left="1220" w:right="0" w:hanging="721"/>
        <w:jc w:val="both"/>
      </w:pPr>
      <w:r>
        <w:rPr/>
        <w:t>Placing of idols in</w:t>
      </w:r>
      <w:r>
        <w:rPr>
          <w:spacing w:val="-3"/>
        </w:rPr>
        <w:t> </w:t>
      </w:r>
      <w:r>
        <w:rPr/>
        <w:t>1949</w:t>
      </w:r>
    </w:p>
    <w:p>
      <w:pPr>
        <w:pStyle w:val="BodyText"/>
        <w:rPr>
          <w:b/>
          <w:sz w:val="28"/>
        </w:rPr>
      </w:pPr>
    </w:p>
    <w:p>
      <w:pPr>
        <w:pStyle w:val="ListParagraph"/>
        <w:numPr>
          <w:ilvl w:val="0"/>
          <w:numId w:val="231"/>
        </w:numPr>
        <w:tabs>
          <w:tab w:pos="1221" w:val="left" w:leader="none"/>
        </w:tabs>
        <w:spacing w:line="480" w:lineRule="auto" w:before="216" w:after="0"/>
        <w:ind w:left="500" w:right="441" w:firstLine="0"/>
        <w:jc w:val="both"/>
        <w:rPr>
          <w:sz w:val="25"/>
        </w:rPr>
      </w:pPr>
      <w:r>
        <w:rPr>
          <w:sz w:val="25"/>
        </w:rPr>
        <w:t>On the night intervening 22/23 December 1949, about fifty to sixty persons belonging to the Hindu community placed idols below the central dome of Babri Masjid. The events preceding and following upon this incident are set out</w:t>
      </w:r>
      <w:r>
        <w:rPr>
          <w:spacing w:val="-19"/>
          <w:sz w:val="25"/>
        </w:rPr>
        <w:t> </w:t>
      </w:r>
      <w:r>
        <w:rPr>
          <w:sz w:val="25"/>
        </w:rPr>
        <w:t>below:</w:t>
      </w:r>
    </w:p>
    <w:p>
      <w:pPr>
        <w:pStyle w:val="ListParagraph"/>
        <w:numPr>
          <w:ilvl w:val="0"/>
          <w:numId w:val="232"/>
        </w:numPr>
        <w:tabs>
          <w:tab w:pos="1221" w:val="left" w:leader="none"/>
        </w:tabs>
        <w:spacing w:line="240" w:lineRule="auto" w:before="162" w:after="0"/>
        <w:ind w:left="1220" w:right="0" w:hanging="721"/>
        <w:jc w:val="both"/>
        <w:rPr>
          <w:sz w:val="25"/>
        </w:rPr>
      </w:pPr>
      <w:r>
        <w:rPr>
          <w:sz w:val="25"/>
        </w:rPr>
        <w:t>The posting of a police picket on 12 November</w:t>
      </w:r>
      <w:r>
        <w:rPr>
          <w:spacing w:val="-7"/>
          <w:sz w:val="25"/>
        </w:rPr>
        <w:t> </w:t>
      </w:r>
      <w:r>
        <w:rPr>
          <w:sz w:val="25"/>
        </w:rPr>
        <w:t>1949;</w:t>
      </w:r>
    </w:p>
    <w:p>
      <w:pPr>
        <w:pStyle w:val="BodyText"/>
        <w:spacing w:before="10"/>
        <w:rPr>
          <w:sz w:val="24"/>
        </w:rPr>
      </w:pPr>
    </w:p>
    <w:p>
      <w:pPr>
        <w:pStyle w:val="ListParagraph"/>
        <w:numPr>
          <w:ilvl w:val="0"/>
          <w:numId w:val="232"/>
        </w:numPr>
        <w:tabs>
          <w:tab w:pos="1221" w:val="left" w:leader="none"/>
        </w:tabs>
        <w:spacing w:line="480" w:lineRule="auto" w:before="1" w:after="0"/>
        <w:ind w:left="1220" w:right="445" w:hanging="720"/>
        <w:jc w:val="both"/>
        <w:rPr>
          <w:sz w:val="25"/>
        </w:rPr>
      </w:pPr>
      <w:r>
        <w:rPr>
          <w:sz w:val="25"/>
        </w:rPr>
        <w:t>A letter dated 29 November 1949 of the Superintendent of Police, Faizabad to K K Nayar, Deputy Commissioner and District Magistrate apprehending that Hindus were likely to force an entry into the mosque with the object of installing the idols of the</w:t>
      </w:r>
      <w:r>
        <w:rPr>
          <w:spacing w:val="-9"/>
          <w:sz w:val="25"/>
        </w:rPr>
        <w:t> </w:t>
      </w:r>
      <w:r>
        <w:rPr>
          <w:sz w:val="25"/>
        </w:rPr>
        <w:t>deity;</w:t>
      </w:r>
    </w:p>
    <w:p>
      <w:pPr>
        <w:pStyle w:val="ListParagraph"/>
        <w:numPr>
          <w:ilvl w:val="0"/>
          <w:numId w:val="232"/>
        </w:numPr>
        <w:tabs>
          <w:tab w:pos="1221" w:val="left" w:leader="none"/>
        </w:tabs>
        <w:spacing w:line="480" w:lineRule="auto" w:before="0" w:after="0"/>
        <w:ind w:left="1220" w:right="444" w:hanging="720"/>
        <w:jc w:val="both"/>
        <w:rPr>
          <w:sz w:val="25"/>
        </w:rPr>
      </w:pPr>
      <w:r>
        <w:rPr>
          <w:sz w:val="25"/>
        </w:rPr>
        <w:t>A report dated 12 December 1949 of the Waqf Inspector that Muslims were being harassed by Hindus when they sought to pray in the</w:t>
      </w:r>
      <w:r>
        <w:rPr>
          <w:spacing w:val="-21"/>
          <w:sz w:val="25"/>
        </w:rPr>
        <w:t> </w:t>
      </w:r>
      <w:r>
        <w:rPr>
          <w:sz w:val="25"/>
        </w:rPr>
        <w:t>mosque;</w:t>
      </w:r>
    </w:p>
    <w:p>
      <w:pPr>
        <w:pStyle w:val="ListParagraph"/>
        <w:numPr>
          <w:ilvl w:val="0"/>
          <w:numId w:val="232"/>
        </w:numPr>
        <w:tabs>
          <w:tab w:pos="1221" w:val="left" w:leader="none"/>
        </w:tabs>
        <w:spacing w:line="480" w:lineRule="auto" w:before="0" w:after="0"/>
        <w:ind w:left="1220" w:right="442" w:hanging="720"/>
        <w:jc w:val="both"/>
        <w:rPr>
          <w:sz w:val="25"/>
        </w:rPr>
      </w:pPr>
      <w:r>
        <w:rPr>
          <w:sz w:val="25"/>
        </w:rPr>
        <w:t>A communication dated 6 December 1949 of the Deputy Commissioner and District Magistrate to the Home Secretary, Government of Uttar Pradesh requesting the State Government not to give credence to the apprehensions of the Muslims regarding the safety of the</w:t>
      </w:r>
      <w:r>
        <w:rPr>
          <w:spacing w:val="-13"/>
          <w:sz w:val="25"/>
        </w:rPr>
        <w:t> </w:t>
      </w:r>
      <w:r>
        <w:rPr>
          <w:sz w:val="25"/>
        </w:rPr>
        <w:t>mosque;</w:t>
      </w:r>
    </w:p>
    <w:p>
      <w:pPr>
        <w:pStyle w:val="ListParagraph"/>
        <w:numPr>
          <w:ilvl w:val="0"/>
          <w:numId w:val="232"/>
        </w:numPr>
        <w:tabs>
          <w:tab w:pos="1221" w:val="left" w:leader="none"/>
        </w:tabs>
        <w:spacing w:line="240" w:lineRule="auto" w:before="1" w:after="0"/>
        <w:ind w:left="1220" w:right="0" w:hanging="721"/>
        <w:jc w:val="both"/>
        <w:rPr>
          <w:sz w:val="25"/>
        </w:rPr>
      </w:pPr>
      <w:r>
        <w:rPr>
          <w:sz w:val="25"/>
        </w:rPr>
        <w:t>The lodgment of an FIR after the incident of 22/23 December</w:t>
      </w:r>
      <w:r>
        <w:rPr>
          <w:spacing w:val="-16"/>
          <w:sz w:val="25"/>
        </w:rPr>
        <w:t> </w:t>
      </w:r>
      <w:r>
        <w:rPr>
          <w:sz w:val="25"/>
        </w:rPr>
        <w:t>1949;</w:t>
      </w:r>
    </w:p>
    <w:p>
      <w:pPr>
        <w:pStyle w:val="BodyText"/>
        <w:spacing w:before="10"/>
        <w:rPr>
          <w:sz w:val="24"/>
        </w:rPr>
      </w:pPr>
    </w:p>
    <w:p>
      <w:pPr>
        <w:pStyle w:val="ListParagraph"/>
        <w:numPr>
          <w:ilvl w:val="0"/>
          <w:numId w:val="232"/>
        </w:numPr>
        <w:tabs>
          <w:tab w:pos="1221" w:val="left" w:leader="none"/>
        </w:tabs>
        <w:spacing w:line="480" w:lineRule="auto" w:before="0" w:after="0"/>
        <w:ind w:left="1220" w:right="435" w:hanging="720"/>
        <w:jc w:val="both"/>
        <w:rPr>
          <w:sz w:val="25"/>
        </w:rPr>
      </w:pPr>
      <w:r>
        <w:rPr>
          <w:sz w:val="25"/>
        </w:rPr>
        <w:t>A letter dated 26 December 1949 of K K Nayar to the Chief Secretary expressing surprise over the incident which had taken place. The District Magistrate declined to carry out the orders of the State Government to have the idols removed from the</w:t>
      </w:r>
      <w:r>
        <w:rPr>
          <w:spacing w:val="-6"/>
          <w:sz w:val="25"/>
        </w:rPr>
        <w:t> </w:t>
      </w:r>
      <w:r>
        <w:rPr>
          <w:sz w:val="25"/>
        </w:rPr>
        <w:t>mosque;</w:t>
      </w:r>
    </w:p>
    <w:p>
      <w:pPr>
        <w:pStyle w:val="ListParagraph"/>
        <w:numPr>
          <w:ilvl w:val="0"/>
          <w:numId w:val="232"/>
        </w:numPr>
        <w:tabs>
          <w:tab w:pos="1221" w:val="left" w:leader="none"/>
        </w:tabs>
        <w:spacing w:line="480" w:lineRule="auto" w:before="2" w:after="0"/>
        <w:ind w:left="1220" w:right="440" w:hanging="720"/>
        <w:jc w:val="both"/>
        <w:rPr>
          <w:sz w:val="25"/>
        </w:rPr>
      </w:pPr>
      <w:r>
        <w:rPr>
          <w:sz w:val="25"/>
        </w:rPr>
        <w:t>A letter dated 27 December 1949 of K K Nayar stating that he would not be able to find any Hindu who would undertake the removal of the idols and proposing that the mosque should be attached by excluding both the Hindus</w:t>
      </w:r>
      <w:r>
        <w:rPr>
          <w:spacing w:val="35"/>
          <w:sz w:val="25"/>
        </w:rPr>
        <w:t> </w:t>
      </w:r>
      <w:r>
        <w:rPr>
          <w:sz w:val="25"/>
        </w:rPr>
        <w:t>and</w:t>
      </w:r>
      <w:r>
        <w:rPr>
          <w:spacing w:val="37"/>
          <w:sz w:val="25"/>
        </w:rPr>
        <w:t> </w:t>
      </w:r>
      <w:r>
        <w:rPr>
          <w:sz w:val="25"/>
        </w:rPr>
        <w:t>Muslims</w:t>
      </w:r>
      <w:r>
        <w:rPr>
          <w:spacing w:val="38"/>
          <w:sz w:val="25"/>
        </w:rPr>
        <w:t> </w:t>
      </w:r>
      <w:r>
        <w:rPr>
          <w:sz w:val="25"/>
        </w:rPr>
        <w:t>with</w:t>
      </w:r>
      <w:r>
        <w:rPr>
          <w:spacing w:val="37"/>
          <w:sz w:val="25"/>
        </w:rPr>
        <w:t> </w:t>
      </w:r>
      <w:r>
        <w:rPr>
          <w:sz w:val="25"/>
        </w:rPr>
        <w:t>the</w:t>
      </w:r>
      <w:r>
        <w:rPr>
          <w:spacing w:val="37"/>
          <w:sz w:val="25"/>
        </w:rPr>
        <w:t> </w:t>
      </w:r>
      <w:r>
        <w:rPr>
          <w:sz w:val="25"/>
        </w:rPr>
        <w:t>exception</w:t>
      </w:r>
      <w:r>
        <w:rPr>
          <w:spacing w:val="36"/>
          <w:sz w:val="25"/>
        </w:rPr>
        <w:t> </w:t>
      </w:r>
      <w:r>
        <w:rPr>
          <w:sz w:val="25"/>
        </w:rPr>
        <w:t>of</w:t>
      </w:r>
      <w:r>
        <w:rPr>
          <w:spacing w:val="37"/>
          <w:sz w:val="25"/>
        </w:rPr>
        <w:t> </w:t>
      </w:r>
      <w:r>
        <w:rPr>
          <w:sz w:val="25"/>
        </w:rPr>
        <w:t>a</w:t>
      </w:r>
      <w:r>
        <w:rPr>
          <w:spacing w:val="36"/>
          <w:sz w:val="25"/>
        </w:rPr>
        <w:t> </w:t>
      </w:r>
      <w:r>
        <w:rPr>
          <w:sz w:val="25"/>
        </w:rPr>
        <w:t>minimum</w:t>
      </w:r>
      <w:r>
        <w:rPr>
          <w:spacing w:val="35"/>
          <w:sz w:val="25"/>
        </w:rPr>
        <w:t> </w:t>
      </w:r>
      <w:r>
        <w:rPr>
          <w:sz w:val="25"/>
        </w:rPr>
        <w:t>number</w:t>
      </w:r>
      <w:r>
        <w:rPr>
          <w:spacing w:val="35"/>
          <w:sz w:val="25"/>
        </w:rPr>
        <w:t> </w:t>
      </w:r>
      <w:r>
        <w:rPr>
          <w:sz w:val="25"/>
        </w:rPr>
        <w:t>of</w:t>
      </w:r>
      <w:r>
        <w:rPr>
          <w:spacing w:val="36"/>
          <w:sz w:val="25"/>
        </w:rPr>
        <w:t> </w:t>
      </w:r>
      <w:r>
        <w:rPr>
          <w:sz w:val="25"/>
        </w:rPr>
        <w:t>pujaris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0"/>
        <w:jc w:val="both"/>
      </w:pPr>
      <w:r>
        <w:rPr/>
        <w:t>and parties should be referred to the civil judge for adjudicating of rights; and</w:t>
      </w:r>
    </w:p>
    <w:p>
      <w:pPr>
        <w:pStyle w:val="ListParagraph"/>
        <w:numPr>
          <w:ilvl w:val="0"/>
          <w:numId w:val="232"/>
        </w:numPr>
        <w:tabs>
          <w:tab w:pos="1221" w:val="left" w:leader="none"/>
        </w:tabs>
        <w:spacing w:line="480" w:lineRule="auto" w:before="0" w:after="0"/>
        <w:ind w:left="1220" w:right="443" w:hanging="720"/>
        <w:jc w:val="both"/>
        <w:rPr>
          <w:sz w:val="25"/>
        </w:rPr>
      </w:pPr>
      <w:r>
        <w:rPr>
          <w:sz w:val="25"/>
        </w:rPr>
        <w:t>The passing of a preliminary order under Section 145 on 29 December 1949 in pursuance of which the receiver took charge on 5 January 1950 and made an inventory of the attached</w:t>
      </w:r>
      <w:r>
        <w:rPr>
          <w:spacing w:val="-9"/>
          <w:sz w:val="25"/>
        </w:rPr>
        <w:t> </w:t>
      </w:r>
      <w:r>
        <w:rPr>
          <w:sz w:val="25"/>
        </w:rPr>
        <w:t>property.</w:t>
      </w:r>
    </w:p>
    <w:p>
      <w:pPr>
        <w:pStyle w:val="BodyText"/>
        <w:rPr>
          <w:sz w:val="28"/>
        </w:rPr>
      </w:pPr>
    </w:p>
    <w:p>
      <w:pPr>
        <w:pStyle w:val="BodyText"/>
        <w:spacing w:before="11"/>
        <w:rPr>
          <w:sz w:val="21"/>
        </w:rPr>
      </w:pPr>
    </w:p>
    <w:p>
      <w:pPr>
        <w:pStyle w:val="BodyText"/>
        <w:spacing w:line="480" w:lineRule="auto"/>
        <w:ind w:left="500" w:right="443"/>
        <w:jc w:val="both"/>
      </w:pPr>
      <w:r>
        <w:rPr/>
        <w:t>The Sunni Central Waqf Board contended in para 11 of their plaint in Suit 4 that on 23 December, 1949, the mosque was desecrated by the installation of idols of Lord Ram under the central dome of the mosque. The plaintiffs in Suit 4 and 5 did not dispute that the idols of the deity were placed within the central dome during the intervening night of 22/23 December, 1949. Nirmohi Akhara however, denied the occurrence of the event to suggest that the idols were always present below the central dome of the mosque.</w:t>
      </w:r>
    </w:p>
    <w:p>
      <w:pPr>
        <w:pStyle w:val="BodyText"/>
        <w:spacing w:line="480" w:lineRule="auto"/>
        <w:ind w:left="500" w:right="1602"/>
        <w:jc w:val="both"/>
      </w:pPr>
      <w:r>
        <w:rPr/>
        <w:t>The following issues were framed by the High Court in Suits 1, 4 and 5: In Suit 1, Issue 2 reads:</w:t>
      </w:r>
    </w:p>
    <w:p>
      <w:pPr>
        <w:spacing w:line="276" w:lineRule="auto" w:before="0"/>
        <w:ind w:left="1940" w:right="2266" w:firstLine="0"/>
        <w:jc w:val="both"/>
        <w:rPr>
          <w:sz w:val="21"/>
        </w:rPr>
      </w:pPr>
      <w:r>
        <w:rPr>
          <w:spacing w:val="-1"/>
          <w:w w:val="33"/>
          <w:sz w:val="21"/>
        </w:rPr>
        <w:t>―</w:t>
      </w:r>
      <w:r>
        <w:rPr>
          <w:w w:val="100"/>
          <w:sz w:val="21"/>
        </w:rPr>
        <w:t>A</w:t>
      </w:r>
      <w:r>
        <w:rPr>
          <w:spacing w:val="-1"/>
          <w:w w:val="100"/>
          <w:sz w:val="21"/>
        </w:rPr>
        <w:t>r</w:t>
      </w:r>
      <w:r>
        <w:rPr>
          <w:w w:val="100"/>
          <w:sz w:val="21"/>
        </w:rPr>
        <w:t>e</w:t>
      </w:r>
      <w:r>
        <w:rPr>
          <w:sz w:val="21"/>
        </w:rPr>
        <w:t> </w:t>
      </w:r>
      <w:r>
        <w:rPr>
          <w:spacing w:val="-9"/>
          <w:sz w:val="21"/>
        </w:rPr>
        <w:t> </w:t>
      </w:r>
      <w:r>
        <w:rPr>
          <w:spacing w:val="-2"/>
          <w:w w:val="100"/>
          <w:sz w:val="21"/>
        </w:rPr>
        <w:t>t</w:t>
      </w:r>
      <w:r>
        <w:rPr>
          <w:spacing w:val="-1"/>
          <w:w w:val="100"/>
          <w:sz w:val="21"/>
        </w:rPr>
        <w:t>her</w:t>
      </w:r>
      <w:r>
        <w:rPr>
          <w:w w:val="100"/>
          <w:sz w:val="21"/>
        </w:rPr>
        <w:t>e</w:t>
      </w:r>
      <w:r>
        <w:rPr>
          <w:sz w:val="21"/>
        </w:rPr>
        <w:t> </w:t>
      </w:r>
      <w:r>
        <w:rPr>
          <w:spacing w:val="-10"/>
          <w:sz w:val="21"/>
        </w:rPr>
        <w:t> </w:t>
      </w:r>
      <w:r>
        <w:rPr>
          <w:spacing w:val="-1"/>
          <w:w w:val="100"/>
          <w:sz w:val="21"/>
        </w:rPr>
        <w:t>an</w:t>
      </w:r>
      <w:r>
        <w:rPr>
          <w:w w:val="100"/>
          <w:sz w:val="21"/>
        </w:rPr>
        <w:t>y</w:t>
      </w:r>
      <w:r>
        <w:rPr>
          <w:sz w:val="21"/>
        </w:rPr>
        <w:t> </w:t>
      </w:r>
      <w:r>
        <w:rPr>
          <w:spacing w:val="-12"/>
          <w:sz w:val="21"/>
        </w:rPr>
        <w:t> </w:t>
      </w:r>
      <w:r>
        <w:rPr>
          <w:w w:val="100"/>
          <w:sz w:val="21"/>
        </w:rPr>
        <w:t>i</w:t>
      </w:r>
      <w:r>
        <w:rPr>
          <w:spacing w:val="-1"/>
          <w:w w:val="100"/>
          <w:sz w:val="21"/>
        </w:rPr>
        <w:t>d</w:t>
      </w:r>
      <w:r>
        <w:rPr>
          <w:spacing w:val="-3"/>
          <w:w w:val="100"/>
          <w:sz w:val="21"/>
        </w:rPr>
        <w:t>o</w:t>
      </w:r>
      <w:r>
        <w:rPr>
          <w:w w:val="100"/>
          <w:sz w:val="21"/>
        </w:rPr>
        <w:t>ls</w:t>
      </w:r>
      <w:r>
        <w:rPr>
          <w:sz w:val="21"/>
        </w:rPr>
        <w:t> </w:t>
      </w:r>
      <w:r>
        <w:rPr>
          <w:spacing w:val="-9"/>
          <w:sz w:val="21"/>
        </w:rPr>
        <w:t> </w:t>
      </w:r>
      <w:r>
        <w:rPr>
          <w:spacing w:val="-1"/>
          <w:w w:val="100"/>
          <w:sz w:val="21"/>
        </w:rPr>
        <w:t>o</w:t>
      </w:r>
      <w:r>
        <w:rPr>
          <w:w w:val="100"/>
          <w:sz w:val="21"/>
        </w:rPr>
        <w:t>f</w:t>
      </w:r>
      <w:r>
        <w:rPr>
          <w:sz w:val="21"/>
        </w:rPr>
        <w:t> </w:t>
      </w:r>
      <w:r>
        <w:rPr>
          <w:spacing w:val="-11"/>
          <w:sz w:val="21"/>
        </w:rPr>
        <w:t> </w:t>
      </w:r>
      <w:r>
        <w:rPr>
          <w:w w:val="100"/>
          <w:sz w:val="21"/>
        </w:rPr>
        <w:t>B</w:t>
      </w:r>
      <w:r>
        <w:rPr>
          <w:spacing w:val="-1"/>
          <w:w w:val="100"/>
          <w:sz w:val="21"/>
        </w:rPr>
        <w:t>h</w:t>
      </w:r>
      <w:r>
        <w:rPr>
          <w:spacing w:val="-3"/>
          <w:w w:val="100"/>
          <w:sz w:val="21"/>
        </w:rPr>
        <w:t>a</w:t>
      </w:r>
      <w:r>
        <w:rPr>
          <w:spacing w:val="-1"/>
          <w:w w:val="100"/>
          <w:sz w:val="21"/>
        </w:rPr>
        <w:t>g</w:t>
      </w:r>
      <w:r>
        <w:rPr>
          <w:spacing w:val="-2"/>
          <w:w w:val="100"/>
          <w:sz w:val="21"/>
        </w:rPr>
        <w:t>w</w:t>
      </w:r>
      <w:r>
        <w:rPr>
          <w:spacing w:val="-1"/>
          <w:w w:val="100"/>
          <w:sz w:val="21"/>
        </w:rPr>
        <w:t>a</w:t>
      </w:r>
      <w:r>
        <w:rPr>
          <w:w w:val="100"/>
          <w:sz w:val="21"/>
        </w:rPr>
        <w:t>n</w:t>
      </w:r>
      <w:r>
        <w:rPr>
          <w:sz w:val="21"/>
        </w:rPr>
        <w:t> </w:t>
      </w:r>
      <w:r>
        <w:rPr>
          <w:spacing w:val="-9"/>
          <w:sz w:val="21"/>
        </w:rPr>
        <w:t> </w:t>
      </w:r>
      <w:r>
        <w:rPr>
          <w:spacing w:val="-2"/>
          <w:w w:val="100"/>
          <w:sz w:val="21"/>
        </w:rPr>
        <w:t>R</w:t>
      </w:r>
      <w:r>
        <w:rPr>
          <w:spacing w:val="-3"/>
          <w:w w:val="100"/>
          <w:sz w:val="21"/>
        </w:rPr>
        <w:t>a</w:t>
      </w:r>
      <w:r>
        <w:rPr>
          <w:w w:val="100"/>
          <w:sz w:val="21"/>
        </w:rPr>
        <w:t>m</w:t>
      </w:r>
      <w:r>
        <w:rPr>
          <w:sz w:val="21"/>
        </w:rPr>
        <w:t> </w:t>
      </w:r>
      <w:r>
        <w:rPr>
          <w:spacing w:val="-8"/>
          <w:sz w:val="21"/>
        </w:rPr>
        <w:t> </w:t>
      </w:r>
      <w:r>
        <w:rPr>
          <w:spacing w:val="-2"/>
          <w:w w:val="100"/>
          <w:sz w:val="21"/>
        </w:rPr>
        <w:t>C</w:t>
      </w:r>
      <w:r>
        <w:rPr>
          <w:spacing w:val="-1"/>
          <w:w w:val="100"/>
          <w:sz w:val="21"/>
        </w:rPr>
        <w:t>ha</w:t>
      </w:r>
      <w:r>
        <w:rPr>
          <w:spacing w:val="-2"/>
          <w:w w:val="100"/>
          <w:sz w:val="21"/>
        </w:rPr>
        <w:t>n</w:t>
      </w:r>
      <w:r>
        <w:rPr>
          <w:spacing w:val="-1"/>
          <w:w w:val="100"/>
          <w:sz w:val="21"/>
        </w:rPr>
        <w:t>dr</w:t>
      </w:r>
      <w:r>
        <w:rPr>
          <w:w w:val="100"/>
          <w:sz w:val="21"/>
        </w:rPr>
        <w:t>a</w:t>
      </w:r>
      <w:r>
        <w:rPr>
          <w:sz w:val="21"/>
        </w:rPr>
        <w:t> </w:t>
      </w:r>
      <w:r>
        <w:rPr>
          <w:spacing w:val="-10"/>
          <w:sz w:val="21"/>
        </w:rPr>
        <w:t> </w:t>
      </w:r>
      <w:r>
        <w:rPr>
          <w:w w:val="100"/>
          <w:sz w:val="21"/>
        </w:rPr>
        <w:t>Ji</w:t>
      </w:r>
      <w:r>
        <w:rPr>
          <w:sz w:val="21"/>
        </w:rPr>
        <w:t> </w:t>
      </w:r>
      <w:r>
        <w:rPr>
          <w:spacing w:val="-9"/>
          <w:sz w:val="21"/>
        </w:rPr>
        <w:t> </w:t>
      </w:r>
      <w:r>
        <w:rPr>
          <w:spacing w:val="-1"/>
          <w:w w:val="100"/>
          <w:sz w:val="21"/>
        </w:rPr>
        <w:t>ar</w:t>
      </w:r>
      <w:r>
        <w:rPr>
          <w:w w:val="100"/>
          <w:sz w:val="21"/>
        </w:rPr>
        <w:t>e</w:t>
      </w:r>
      <w:r>
        <w:rPr>
          <w:sz w:val="21"/>
        </w:rPr>
        <w:t> </w:t>
      </w:r>
      <w:r>
        <w:rPr>
          <w:spacing w:val="-10"/>
          <w:sz w:val="21"/>
        </w:rPr>
        <w:t> </w:t>
      </w:r>
      <w:r>
        <w:rPr>
          <w:spacing w:val="-1"/>
          <w:w w:val="100"/>
          <w:sz w:val="21"/>
        </w:rPr>
        <w:t>h</w:t>
      </w:r>
      <w:r>
        <w:rPr>
          <w:spacing w:val="-2"/>
          <w:w w:val="100"/>
          <w:sz w:val="21"/>
        </w:rPr>
        <w:t>i</w:t>
      </w:r>
      <w:r>
        <w:rPr>
          <w:w w:val="100"/>
          <w:sz w:val="21"/>
        </w:rPr>
        <w:t>s </w:t>
      </w:r>
      <w:r>
        <w:rPr>
          <w:sz w:val="21"/>
        </w:rPr>
        <w:t>Charan Paduka situated in the place of</w:t>
      </w:r>
      <w:r>
        <w:rPr>
          <w:spacing w:val="-12"/>
          <w:sz w:val="21"/>
        </w:rPr>
        <w:t> </w:t>
      </w:r>
      <w:r>
        <w:rPr>
          <w:sz w:val="21"/>
        </w:rPr>
        <w:t>suit?‖</w:t>
      </w:r>
    </w:p>
    <w:p>
      <w:pPr>
        <w:pStyle w:val="BodyText"/>
        <w:rPr>
          <w:sz w:val="21"/>
        </w:rPr>
      </w:pPr>
    </w:p>
    <w:p>
      <w:pPr>
        <w:pStyle w:val="BodyText"/>
        <w:ind w:left="500"/>
        <w:jc w:val="both"/>
      </w:pPr>
      <w:r>
        <w:rPr/>
        <w:t>In Suit 4, Issue 12 reads:</w:t>
      </w:r>
    </w:p>
    <w:p>
      <w:pPr>
        <w:pStyle w:val="BodyText"/>
      </w:pPr>
    </w:p>
    <w:p>
      <w:pPr>
        <w:spacing w:line="276" w:lineRule="auto" w:before="1"/>
        <w:ind w:left="1940" w:right="2259" w:firstLine="0"/>
        <w:jc w:val="both"/>
        <w:rPr>
          <w:sz w:val="21"/>
        </w:rPr>
      </w:pPr>
      <w:r>
        <w:rPr>
          <w:spacing w:val="-6"/>
          <w:w w:val="33"/>
          <w:sz w:val="21"/>
        </w:rPr>
        <w:t>―</w:t>
      </w:r>
      <w:r>
        <w:rPr>
          <w:spacing w:val="6"/>
          <w:w w:val="100"/>
          <w:sz w:val="21"/>
        </w:rPr>
        <w:t>W</w:t>
      </w:r>
      <w:r>
        <w:rPr>
          <w:spacing w:val="-3"/>
          <w:w w:val="100"/>
          <w:sz w:val="21"/>
        </w:rPr>
        <w:t>h</w:t>
      </w:r>
      <w:r>
        <w:rPr>
          <w:spacing w:val="-1"/>
          <w:w w:val="100"/>
          <w:sz w:val="21"/>
        </w:rPr>
        <w:t>ethe</w:t>
      </w:r>
      <w:r>
        <w:rPr>
          <w:w w:val="100"/>
          <w:sz w:val="21"/>
        </w:rPr>
        <w:t>r</w:t>
      </w:r>
      <w:r>
        <w:rPr>
          <w:spacing w:val="10"/>
          <w:sz w:val="21"/>
        </w:rPr>
        <w:t> </w:t>
      </w:r>
      <w:r>
        <w:rPr>
          <w:w w:val="100"/>
          <w:sz w:val="21"/>
        </w:rPr>
        <w:t>i</w:t>
      </w:r>
      <w:r>
        <w:rPr>
          <w:spacing w:val="-1"/>
          <w:w w:val="100"/>
          <w:sz w:val="21"/>
        </w:rPr>
        <w:t>d</w:t>
      </w:r>
      <w:r>
        <w:rPr>
          <w:spacing w:val="-3"/>
          <w:w w:val="100"/>
          <w:sz w:val="21"/>
        </w:rPr>
        <w:t>o</w:t>
      </w:r>
      <w:r>
        <w:rPr>
          <w:w w:val="100"/>
          <w:sz w:val="21"/>
        </w:rPr>
        <w:t>ls</w:t>
      </w:r>
      <w:r>
        <w:rPr>
          <w:spacing w:val="11"/>
          <w:sz w:val="21"/>
        </w:rPr>
        <w:t> </w:t>
      </w:r>
      <w:r>
        <w:rPr>
          <w:spacing w:val="-1"/>
          <w:w w:val="100"/>
          <w:sz w:val="21"/>
        </w:rPr>
        <w:t>an</w:t>
      </w:r>
      <w:r>
        <w:rPr>
          <w:w w:val="100"/>
          <w:sz w:val="21"/>
        </w:rPr>
        <w:t>d</w:t>
      </w:r>
      <w:r>
        <w:rPr>
          <w:spacing w:val="13"/>
          <w:sz w:val="21"/>
        </w:rPr>
        <w:t> </w:t>
      </w:r>
      <w:r>
        <w:rPr>
          <w:w w:val="100"/>
          <w:sz w:val="21"/>
        </w:rPr>
        <w:t>ob</w:t>
      </w:r>
      <w:r>
        <w:rPr>
          <w:spacing w:val="-1"/>
          <w:w w:val="100"/>
          <w:sz w:val="21"/>
        </w:rPr>
        <w:t>j</w:t>
      </w:r>
      <w:r>
        <w:rPr>
          <w:w w:val="100"/>
          <w:sz w:val="21"/>
        </w:rPr>
        <w:t>ec</w:t>
      </w:r>
      <w:r>
        <w:rPr>
          <w:spacing w:val="-4"/>
          <w:w w:val="100"/>
          <w:sz w:val="21"/>
        </w:rPr>
        <w:t>t</w:t>
      </w:r>
      <w:r>
        <w:rPr>
          <w:w w:val="100"/>
          <w:sz w:val="21"/>
        </w:rPr>
        <w:t>s</w:t>
      </w:r>
      <w:r>
        <w:rPr>
          <w:spacing w:val="13"/>
          <w:sz w:val="21"/>
        </w:rPr>
        <w:t> </w:t>
      </w:r>
      <w:r>
        <w:rPr>
          <w:w w:val="100"/>
          <w:sz w:val="21"/>
        </w:rPr>
        <w:t>of</w:t>
      </w:r>
      <w:r>
        <w:rPr>
          <w:spacing w:val="14"/>
          <w:sz w:val="21"/>
        </w:rPr>
        <w:t> </w:t>
      </w:r>
      <w:r>
        <w:rPr>
          <w:spacing w:val="-2"/>
          <w:w w:val="100"/>
          <w:sz w:val="21"/>
        </w:rPr>
        <w:t>w</w:t>
      </w:r>
      <w:r>
        <w:rPr>
          <w:w w:val="100"/>
          <w:sz w:val="21"/>
        </w:rPr>
        <w:t>o</w:t>
      </w:r>
      <w:r>
        <w:rPr>
          <w:spacing w:val="-3"/>
          <w:w w:val="100"/>
          <w:sz w:val="21"/>
        </w:rPr>
        <w:t>r</w:t>
      </w:r>
      <w:r>
        <w:rPr>
          <w:w w:val="100"/>
          <w:sz w:val="21"/>
        </w:rPr>
        <w:t>sh</w:t>
      </w:r>
      <w:r>
        <w:rPr>
          <w:spacing w:val="-2"/>
          <w:w w:val="100"/>
          <w:sz w:val="21"/>
        </w:rPr>
        <w:t>i</w:t>
      </w:r>
      <w:r>
        <w:rPr>
          <w:w w:val="100"/>
          <w:sz w:val="21"/>
        </w:rPr>
        <w:t>p</w:t>
      </w:r>
      <w:r>
        <w:rPr>
          <w:spacing w:val="13"/>
          <w:sz w:val="21"/>
        </w:rPr>
        <w:t> </w:t>
      </w:r>
      <w:r>
        <w:rPr>
          <w:spacing w:val="-2"/>
          <w:w w:val="100"/>
          <w:sz w:val="21"/>
        </w:rPr>
        <w:t>w</w:t>
      </w:r>
      <w:r>
        <w:rPr>
          <w:w w:val="100"/>
          <w:sz w:val="21"/>
        </w:rPr>
        <w:t>ere</w:t>
      </w:r>
      <w:r>
        <w:rPr>
          <w:spacing w:val="10"/>
          <w:sz w:val="21"/>
        </w:rPr>
        <w:t> </w:t>
      </w:r>
      <w:r>
        <w:rPr>
          <w:w w:val="100"/>
          <w:sz w:val="21"/>
        </w:rPr>
        <w:t>p</w:t>
      </w:r>
      <w:r>
        <w:rPr>
          <w:spacing w:val="1"/>
          <w:w w:val="100"/>
          <w:sz w:val="21"/>
        </w:rPr>
        <w:t>l</w:t>
      </w:r>
      <w:r>
        <w:rPr>
          <w:spacing w:val="-3"/>
          <w:w w:val="100"/>
          <w:sz w:val="21"/>
        </w:rPr>
        <w:t>a</w:t>
      </w:r>
      <w:r>
        <w:rPr>
          <w:w w:val="100"/>
          <w:sz w:val="21"/>
        </w:rPr>
        <w:t>ces</w:t>
      </w:r>
      <w:r>
        <w:rPr>
          <w:spacing w:val="11"/>
          <w:sz w:val="21"/>
        </w:rPr>
        <w:t> </w:t>
      </w:r>
      <w:r>
        <w:rPr>
          <w:w w:val="100"/>
          <w:sz w:val="21"/>
        </w:rPr>
        <w:t>i</w:t>
      </w:r>
      <w:r>
        <w:rPr>
          <w:w w:val="100"/>
          <w:sz w:val="21"/>
        </w:rPr>
        <w:t>n</w:t>
      </w:r>
      <w:r>
        <w:rPr>
          <w:spacing w:val="-3"/>
          <w:w w:val="100"/>
          <w:sz w:val="21"/>
        </w:rPr>
        <w:t>s</w:t>
      </w:r>
      <w:r>
        <w:rPr>
          <w:w w:val="100"/>
          <w:sz w:val="21"/>
        </w:rPr>
        <w:t>i</w:t>
      </w:r>
      <w:r>
        <w:rPr>
          <w:w w:val="100"/>
          <w:sz w:val="21"/>
        </w:rPr>
        <w:t>de</w:t>
      </w:r>
      <w:r>
        <w:rPr>
          <w:spacing w:val="13"/>
          <w:sz w:val="21"/>
        </w:rPr>
        <w:t> </w:t>
      </w:r>
      <w:r>
        <w:rPr>
          <w:spacing w:val="-2"/>
          <w:w w:val="100"/>
          <w:sz w:val="21"/>
        </w:rPr>
        <w:t>t</w:t>
      </w:r>
      <w:r>
        <w:rPr>
          <w:spacing w:val="-3"/>
          <w:w w:val="100"/>
          <w:sz w:val="21"/>
        </w:rPr>
        <w:t>h</w:t>
      </w:r>
      <w:r>
        <w:rPr>
          <w:w w:val="100"/>
          <w:sz w:val="21"/>
        </w:rPr>
        <w:t>e </w:t>
      </w:r>
      <w:r>
        <w:rPr>
          <w:sz w:val="21"/>
        </w:rPr>
        <w:t>building in the night intervening 22</w:t>
      </w:r>
      <w:r>
        <w:rPr>
          <w:sz w:val="21"/>
          <w:vertAlign w:val="superscript"/>
        </w:rPr>
        <w:t>nd</w:t>
      </w:r>
      <w:r>
        <w:rPr>
          <w:sz w:val="21"/>
          <w:vertAlign w:val="baseline"/>
        </w:rPr>
        <w:t> and 23</w:t>
      </w:r>
      <w:r>
        <w:rPr>
          <w:sz w:val="21"/>
          <w:vertAlign w:val="superscript"/>
        </w:rPr>
        <w:t>rd</w:t>
      </w:r>
      <w:r>
        <w:rPr>
          <w:sz w:val="21"/>
          <w:vertAlign w:val="baseline"/>
        </w:rPr>
        <w:t> December, 1949 as alleged in paragraph 11 of the plaint or they have been in existence there since before? In either case,</w:t>
      </w:r>
      <w:r>
        <w:rPr>
          <w:spacing w:val="-16"/>
          <w:sz w:val="21"/>
          <w:vertAlign w:val="baseline"/>
        </w:rPr>
        <w:t> </w:t>
      </w:r>
      <w:r>
        <w:rPr>
          <w:sz w:val="21"/>
          <w:vertAlign w:val="baseline"/>
        </w:rPr>
        <w:t>effect?</w:t>
      </w:r>
    </w:p>
    <w:p>
      <w:pPr>
        <w:pStyle w:val="BodyText"/>
        <w:spacing w:before="11"/>
        <w:rPr>
          <w:sz w:val="20"/>
        </w:rPr>
      </w:pPr>
    </w:p>
    <w:p>
      <w:pPr>
        <w:pStyle w:val="BodyText"/>
        <w:ind w:left="500"/>
        <w:jc w:val="both"/>
      </w:pPr>
      <w:r>
        <w:rPr/>
        <w:t>In Suit 5, Issue 3A reads:</w:t>
      </w:r>
    </w:p>
    <w:p>
      <w:pPr>
        <w:pStyle w:val="BodyText"/>
      </w:pPr>
    </w:p>
    <w:p>
      <w:pPr>
        <w:spacing w:line="276" w:lineRule="auto" w:before="0"/>
        <w:ind w:left="1940" w:right="2266" w:firstLine="0"/>
        <w:jc w:val="both"/>
        <w:rPr>
          <w:sz w:val="21"/>
        </w:rPr>
      </w:pPr>
      <w:r>
        <w:rPr>
          <w:spacing w:val="-1"/>
          <w:w w:val="33"/>
          <w:sz w:val="21"/>
        </w:rPr>
        <w:t>―</w:t>
      </w:r>
      <w:r>
        <w:rPr>
          <w:spacing w:val="-1"/>
          <w:w w:val="100"/>
          <w:sz w:val="21"/>
        </w:rPr>
        <w:t>3(a</w:t>
      </w:r>
      <w:r>
        <w:rPr>
          <w:w w:val="100"/>
          <w:sz w:val="21"/>
        </w:rPr>
        <w:t>)</w:t>
      </w:r>
      <w:r>
        <w:rPr>
          <w:sz w:val="21"/>
        </w:rPr>
        <w:t> </w:t>
      </w:r>
      <w:r>
        <w:rPr>
          <w:spacing w:val="-15"/>
          <w:sz w:val="21"/>
        </w:rPr>
        <w:t> </w:t>
      </w:r>
      <w:r>
        <w:rPr>
          <w:spacing w:val="6"/>
          <w:w w:val="100"/>
          <w:sz w:val="21"/>
        </w:rPr>
        <w:t>W</w:t>
      </w:r>
      <w:r>
        <w:rPr>
          <w:spacing w:val="-3"/>
          <w:w w:val="100"/>
          <w:sz w:val="21"/>
        </w:rPr>
        <w:t>h</w:t>
      </w:r>
      <w:r>
        <w:rPr>
          <w:w w:val="100"/>
          <w:sz w:val="21"/>
        </w:rPr>
        <w:t>e</w:t>
      </w:r>
      <w:r>
        <w:rPr>
          <w:spacing w:val="-1"/>
          <w:w w:val="100"/>
          <w:sz w:val="21"/>
        </w:rPr>
        <w:t>t</w:t>
      </w:r>
      <w:r>
        <w:rPr>
          <w:spacing w:val="-3"/>
          <w:w w:val="100"/>
          <w:sz w:val="21"/>
        </w:rPr>
        <w:t>h</w:t>
      </w:r>
      <w:r>
        <w:rPr>
          <w:w w:val="100"/>
          <w:sz w:val="21"/>
        </w:rPr>
        <w:t>er</w:t>
      </w:r>
      <w:r>
        <w:rPr>
          <w:sz w:val="21"/>
        </w:rPr>
        <w:t> </w:t>
      </w:r>
      <w:r>
        <w:rPr>
          <w:spacing w:val="-10"/>
          <w:sz w:val="21"/>
        </w:rPr>
        <w:t> </w:t>
      </w:r>
      <w:r>
        <w:rPr>
          <w:spacing w:val="-2"/>
          <w:w w:val="100"/>
          <w:sz w:val="21"/>
        </w:rPr>
        <w:t>t</w:t>
      </w:r>
      <w:r>
        <w:rPr>
          <w:w w:val="100"/>
          <w:sz w:val="21"/>
        </w:rPr>
        <w:t>he</w:t>
      </w:r>
      <w:r>
        <w:rPr>
          <w:sz w:val="21"/>
        </w:rPr>
        <w:t> </w:t>
      </w:r>
      <w:r>
        <w:rPr>
          <w:spacing w:val="-9"/>
          <w:sz w:val="21"/>
        </w:rPr>
        <w:t> </w:t>
      </w:r>
      <w:r>
        <w:rPr>
          <w:spacing w:val="-2"/>
          <w:w w:val="100"/>
          <w:sz w:val="21"/>
        </w:rPr>
        <w:t>i</w:t>
      </w:r>
      <w:r>
        <w:rPr>
          <w:w w:val="100"/>
          <w:sz w:val="21"/>
        </w:rPr>
        <w:t>dol</w:t>
      </w:r>
      <w:r>
        <w:rPr>
          <w:sz w:val="21"/>
        </w:rPr>
        <w:t> </w:t>
      </w:r>
      <w:r>
        <w:rPr>
          <w:spacing w:val="-11"/>
          <w:sz w:val="21"/>
        </w:rPr>
        <w:t> </w:t>
      </w:r>
      <w:r>
        <w:rPr>
          <w:w w:val="100"/>
          <w:sz w:val="21"/>
        </w:rPr>
        <w:t>i</w:t>
      </w:r>
      <w:r>
        <w:rPr>
          <w:w w:val="100"/>
          <w:sz w:val="21"/>
        </w:rPr>
        <w:t>n</w:t>
      </w:r>
      <w:r>
        <w:rPr>
          <w:sz w:val="21"/>
        </w:rPr>
        <w:t> </w:t>
      </w:r>
      <w:r>
        <w:rPr>
          <w:spacing w:val="-12"/>
          <w:sz w:val="21"/>
        </w:rPr>
        <w:t> </w:t>
      </w:r>
      <w:r>
        <w:rPr>
          <w:w w:val="100"/>
          <w:sz w:val="21"/>
        </w:rPr>
        <w:t>quest</w:t>
      </w:r>
      <w:r>
        <w:rPr>
          <w:spacing w:val="-2"/>
          <w:w w:val="100"/>
          <w:sz w:val="21"/>
        </w:rPr>
        <w:t>i</w:t>
      </w:r>
      <w:r>
        <w:rPr>
          <w:w w:val="100"/>
          <w:sz w:val="21"/>
        </w:rPr>
        <w:t>on</w:t>
      </w:r>
      <w:r>
        <w:rPr>
          <w:sz w:val="21"/>
        </w:rPr>
        <w:t> </w:t>
      </w:r>
      <w:r>
        <w:rPr>
          <w:spacing w:val="-9"/>
          <w:sz w:val="21"/>
        </w:rPr>
        <w:t> </w:t>
      </w:r>
      <w:r>
        <w:rPr>
          <w:spacing w:val="-2"/>
          <w:w w:val="100"/>
          <w:sz w:val="21"/>
        </w:rPr>
        <w:t>w</w:t>
      </w:r>
      <w:r>
        <w:rPr>
          <w:w w:val="100"/>
          <w:sz w:val="21"/>
        </w:rPr>
        <w:t>as</w:t>
      </w:r>
      <w:r>
        <w:rPr>
          <w:sz w:val="21"/>
        </w:rPr>
        <w:t> </w:t>
      </w:r>
      <w:r>
        <w:rPr>
          <w:spacing w:val="-12"/>
          <w:sz w:val="21"/>
        </w:rPr>
        <w:t> </w:t>
      </w:r>
      <w:r>
        <w:rPr>
          <w:w w:val="100"/>
          <w:sz w:val="21"/>
        </w:rPr>
        <w:t>i</w:t>
      </w:r>
      <w:r>
        <w:rPr>
          <w:w w:val="100"/>
          <w:sz w:val="21"/>
        </w:rPr>
        <w:t>ns</w:t>
      </w:r>
      <w:r>
        <w:rPr>
          <w:spacing w:val="-1"/>
          <w:w w:val="100"/>
          <w:sz w:val="21"/>
        </w:rPr>
        <w:t>t</w:t>
      </w:r>
      <w:r>
        <w:rPr>
          <w:spacing w:val="-3"/>
          <w:w w:val="100"/>
          <w:sz w:val="21"/>
        </w:rPr>
        <w:t>a</w:t>
      </w:r>
      <w:r>
        <w:rPr>
          <w:spacing w:val="-2"/>
          <w:w w:val="100"/>
          <w:sz w:val="21"/>
        </w:rPr>
        <w:t>l</w:t>
      </w:r>
      <w:r>
        <w:rPr>
          <w:w w:val="100"/>
          <w:sz w:val="21"/>
        </w:rPr>
        <w:t>l</w:t>
      </w:r>
      <w:r>
        <w:rPr>
          <w:w w:val="100"/>
          <w:sz w:val="21"/>
        </w:rPr>
        <w:t>ed</w:t>
      </w:r>
      <w:r>
        <w:rPr>
          <w:sz w:val="21"/>
        </w:rPr>
        <w:t> </w:t>
      </w:r>
      <w:r>
        <w:rPr>
          <w:spacing w:val="-11"/>
          <w:sz w:val="21"/>
        </w:rPr>
        <w:t> </w:t>
      </w:r>
      <w:r>
        <w:rPr>
          <w:w w:val="100"/>
          <w:sz w:val="21"/>
        </w:rPr>
        <w:t>unde</w:t>
      </w:r>
      <w:r>
        <w:rPr>
          <w:w w:val="100"/>
          <w:sz w:val="21"/>
        </w:rPr>
        <w:t>r</w:t>
      </w:r>
      <w:r>
        <w:rPr>
          <w:sz w:val="21"/>
        </w:rPr>
        <w:t> </w:t>
      </w:r>
      <w:r>
        <w:rPr>
          <w:spacing w:val="-10"/>
          <w:sz w:val="21"/>
        </w:rPr>
        <w:t> </w:t>
      </w:r>
      <w:r>
        <w:rPr>
          <w:spacing w:val="-2"/>
          <w:w w:val="100"/>
          <w:sz w:val="21"/>
        </w:rPr>
        <w:t>t</w:t>
      </w:r>
      <w:r>
        <w:rPr>
          <w:spacing w:val="-3"/>
          <w:w w:val="100"/>
          <w:sz w:val="21"/>
        </w:rPr>
        <w:t>h</w:t>
      </w:r>
      <w:r>
        <w:rPr>
          <w:w w:val="100"/>
          <w:sz w:val="21"/>
        </w:rPr>
        <w:t>e </w:t>
      </w:r>
      <w:r>
        <w:rPr>
          <w:sz w:val="21"/>
        </w:rPr>
        <w:t>central dome of the disputed building (since demolished) in the early hours of December 23, 1949 as alleged by the plaintiff in paragraph 27 of the plaint as clarified in their statement under Order 10 Rule 2</w:t>
      </w:r>
      <w:r>
        <w:rPr>
          <w:spacing w:val="-13"/>
          <w:sz w:val="21"/>
        </w:rPr>
        <w:t> </w:t>
      </w:r>
      <w:r>
        <w:rPr>
          <w:sz w:val="21"/>
        </w:rPr>
        <w:t>CPC.‖</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42"/>
        <w:jc w:val="both"/>
      </w:pPr>
      <w:r>
        <w:rPr/>
        <w:t>Justice S U Khan and Justice Sudhir Agarwal held that the idols were placed under the central dome of the disputed structure within the inner courtyard during the intervening night of 22/23 December, 1949. Justice DV Sharma also held that Nirmohi Akhara had failed to establish that the idols had been in existence under the central dome prior to the intervening night of 22/23 December 1949.</w:t>
      </w:r>
    </w:p>
    <w:p>
      <w:pPr>
        <w:pStyle w:val="BodyText"/>
      </w:pPr>
    </w:p>
    <w:p>
      <w:pPr>
        <w:pStyle w:val="BodyText"/>
        <w:spacing w:line="480" w:lineRule="auto" w:before="1"/>
        <w:ind w:left="500" w:right="442"/>
        <w:jc w:val="both"/>
      </w:pPr>
      <w:r>
        <w:rPr/>
        <w:t>In Suit 1, a written statement was filed by defendant nos 1 to 5, where it was pleaded in paragraph 22 that untill 16 December, 1949 when namaz was offered, no idol existed under the central dome. In the written statement filed by defendant No 6, it was stated that the idols of Lord Ram were surreptitiously and wrongly installed in the mosque on the night of 22 December 1949.</w:t>
      </w:r>
    </w:p>
    <w:p>
      <w:pPr>
        <w:pStyle w:val="BodyText"/>
        <w:spacing w:line="480" w:lineRule="auto" w:before="241"/>
        <w:ind w:left="500" w:right="434"/>
        <w:jc w:val="both"/>
      </w:pPr>
      <w:r>
        <w:rPr/>
        <w:t>In Suit 4, defendant nos 1 and 2 filed their written statements denying that the plaintiffs in Suit 4 were in possession of the disputed site. It was stated that assuming the plaintiffs had possession, this ceased in 1934, after which </w:t>
      </w:r>
      <w:r>
        <w:rPr>
          <w:spacing w:val="2"/>
        </w:rPr>
        <w:t>the </w:t>
      </w:r>
      <w:r>
        <w:rPr/>
        <w:t>defendants have been in settled possession. In the written statement filed by defendant nos 3 and 4 (Nirmohi Akhara and Mahant Raghunath Das respectively), the averment in paragraph 11 of the plaint in Suit 4 was denied. It was contended that the plaintiffs in Suit 4 have wrongly referred the building as Babri mosque whereas it has always been the temple of Janmabhumi where  idols of Hindu Gods were installed. The relevant extract</w:t>
      </w:r>
      <w:r>
        <w:rPr>
          <w:spacing w:val="-11"/>
        </w:rPr>
        <w:t> </w:t>
      </w:r>
      <w:r>
        <w:rPr/>
        <w:t>reads:</w:t>
      </w:r>
    </w:p>
    <w:p>
      <w:pPr>
        <w:spacing w:line="276" w:lineRule="auto" w:before="0"/>
        <w:ind w:left="1940" w:right="2263" w:firstLine="0"/>
        <w:jc w:val="both"/>
        <w:rPr>
          <w:sz w:val="21"/>
        </w:rPr>
      </w:pPr>
      <w:r>
        <w:rPr>
          <w:w w:val="33"/>
          <w:sz w:val="21"/>
        </w:rPr>
        <w:t>―</w:t>
      </w:r>
      <w:r>
        <w:rPr>
          <w:w w:val="100"/>
          <w:sz w:val="21"/>
        </w:rPr>
        <w:t>11.</w:t>
      </w:r>
      <w:r>
        <w:rPr>
          <w:sz w:val="21"/>
        </w:rPr>
        <w:t> </w:t>
      </w:r>
      <w:r>
        <w:rPr>
          <w:w w:val="100"/>
          <w:sz w:val="21"/>
        </w:rPr>
        <w:t>That</w:t>
      </w:r>
      <w:r>
        <w:rPr>
          <w:sz w:val="21"/>
        </w:rPr>
        <w:t> </w:t>
      </w:r>
      <w:r>
        <w:rPr>
          <w:w w:val="100"/>
          <w:sz w:val="21"/>
        </w:rPr>
        <w:t>the</w:t>
      </w:r>
      <w:r>
        <w:rPr>
          <w:sz w:val="21"/>
        </w:rPr>
        <w:t> </w:t>
      </w:r>
      <w:r>
        <w:rPr>
          <w:w w:val="100"/>
          <w:sz w:val="21"/>
        </w:rPr>
        <w:t>contents</w:t>
      </w:r>
      <w:r>
        <w:rPr>
          <w:sz w:val="21"/>
        </w:rPr>
        <w:t> </w:t>
      </w:r>
      <w:r>
        <w:rPr>
          <w:w w:val="100"/>
          <w:sz w:val="21"/>
        </w:rPr>
        <w:t>of</w:t>
      </w:r>
      <w:r>
        <w:rPr>
          <w:sz w:val="21"/>
        </w:rPr>
        <w:t> </w:t>
      </w:r>
      <w:r>
        <w:rPr>
          <w:w w:val="100"/>
          <w:sz w:val="21"/>
        </w:rPr>
        <w:t>para</w:t>
      </w:r>
      <w:r>
        <w:rPr>
          <w:sz w:val="21"/>
        </w:rPr>
        <w:t> </w:t>
      </w:r>
      <w:r>
        <w:rPr>
          <w:w w:val="100"/>
          <w:sz w:val="21"/>
        </w:rPr>
        <w:t>11</w:t>
      </w:r>
      <w:r>
        <w:rPr>
          <w:sz w:val="21"/>
        </w:rPr>
        <w:t> </w:t>
      </w:r>
      <w:r>
        <w:rPr>
          <w:w w:val="100"/>
          <w:sz w:val="21"/>
        </w:rPr>
        <w:t>of</w:t>
      </w:r>
      <w:r>
        <w:rPr>
          <w:sz w:val="21"/>
        </w:rPr>
        <w:t> </w:t>
      </w:r>
      <w:r>
        <w:rPr>
          <w:w w:val="100"/>
          <w:sz w:val="21"/>
        </w:rPr>
        <w:t>the</w:t>
      </w:r>
      <w:r>
        <w:rPr>
          <w:sz w:val="21"/>
        </w:rPr>
        <w:t> </w:t>
      </w:r>
      <w:r>
        <w:rPr>
          <w:w w:val="100"/>
          <w:sz w:val="21"/>
        </w:rPr>
        <w:t>plaint</w:t>
      </w:r>
      <w:r>
        <w:rPr>
          <w:sz w:val="21"/>
        </w:rPr>
        <w:t> </w:t>
      </w:r>
      <w:r>
        <w:rPr>
          <w:w w:val="100"/>
          <w:sz w:val="21"/>
        </w:rPr>
        <w:t>are</w:t>
      </w:r>
      <w:r>
        <w:rPr>
          <w:sz w:val="21"/>
        </w:rPr>
        <w:t> </w:t>
      </w:r>
      <w:r>
        <w:rPr>
          <w:w w:val="100"/>
          <w:sz w:val="21"/>
        </w:rPr>
        <w:t>totally</w:t>
      </w:r>
      <w:r>
        <w:rPr>
          <w:sz w:val="21"/>
        </w:rPr>
        <w:t> </w:t>
      </w:r>
      <w:r>
        <w:rPr>
          <w:w w:val="100"/>
          <w:sz w:val="21"/>
        </w:rPr>
        <w:t>false </w:t>
      </w:r>
      <w:r>
        <w:rPr>
          <w:sz w:val="21"/>
        </w:rPr>
        <w:t>and concocted. The alleged mosque never existed nor does it exist even now and the question of any Muslim or the Muslim community having been in peaceful possession of the same and having recited prayers till 23.12.1949 does not arise. The building which the plaintiffs have been wrongly referring as Babari Mosque is and has always been the Temple of Janam Bhumi with idols of Hindu Gods installed therein. The plaint</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6" w:firstLine="0"/>
        <w:jc w:val="both"/>
        <w:rPr>
          <w:sz w:val="21"/>
        </w:rPr>
      </w:pPr>
      <w:r>
        <w:rPr>
          <w:sz w:val="21"/>
        </w:rPr>
        <w:t>allegation regarding placing of idols inside any mosque is a pure falsehood.‖</w:t>
      </w:r>
    </w:p>
    <w:p>
      <w:pPr>
        <w:pStyle w:val="BodyText"/>
        <w:spacing w:before="1"/>
      </w:pPr>
    </w:p>
    <w:p>
      <w:pPr>
        <w:pStyle w:val="BodyText"/>
        <w:ind w:left="500"/>
        <w:jc w:val="both"/>
      </w:pPr>
      <w:r>
        <w:rPr/>
        <w:t>In Suit 5, para 27 of the plaint states:</w:t>
      </w:r>
    </w:p>
    <w:p>
      <w:pPr>
        <w:pStyle w:val="BodyText"/>
      </w:pPr>
    </w:p>
    <w:p>
      <w:pPr>
        <w:spacing w:line="276" w:lineRule="auto" w:before="0"/>
        <w:ind w:left="1940" w:right="2261" w:firstLine="0"/>
        <w:jc w:val="both"/>
        <w:rPr>
          <w:sz w:val="21"/>
        </w:rPr>
      </w:pPr>
      <w:r>
        <w:rPr>
          <w:w w:val="33"/>
          <w:sz w:val="21"/>
        </w:rPr>
        <w:t>―</w:t>
      </w:r>
      <w:r>
        <w:rPr>
          <w:w w:val="100"/>
          <w:sz w:val="21"/>
        </w:rPr>
        <w:t>…Ultimately,</w:t>
      </w:r>
      <w:r>
        <w:rPr>
          <w:sz w:val="21"/>
        </w:rPr>
        <w:t> </w:t>
      </w:r>
      <w:r>
        <w:rPr>
          <w:w w:val="100"/>
          <w:sz w:val="21"/>
        </w:rPr>
        <w:t>on</w:t>
      </w:r>
      <w:r>
        <w:rPr>
          <w:sz w:val="21"/>
        </w:rPr>
        <w:t> </w:t>
      </w:r>
      <w:r>
        <w:rPr>
          <w:w w:val="100"/>
          <w:sz w:val="21"/>
        </w:rPr>
        <w:t>the</w:t>
      </w:r>
      <w:r>
        <w:rPr>
          <w:sz w:val="21"/>
        </w:rPr>
        <w:t> </w:t>
      </w:r>
      <w:r>
        <w:rPr>
          <w:w w:val="100"/>
          <w:sz w:val="21"/>
        </w:rPr>
        <w:t>night</w:t>
      </w:r>
      <w:r>
        <w:rPr>
          <w:sz w:val="21"/>
        </w:rPr>
        <w:t> </w:t>
      </w:r>
      <w:r>
        <w:rPr>
          <w:w w:val="100"/>
          <w:sz w:val="21"/>
        </w:rPr>
        <w:t>between</w:t>
      </w:r>
      <w:r>
        <w:rPr>
          <w:sz w:val="21"/>
        </w:rPr>
        <w:t> </w:t>
      </w:r>
      <w:r>
        <w:rPr>
          <w:w w:val="100"/>
          <w:sz w:val="21"/>
        </w:rPr>
        <w:t>the</w:t>
      </w:r>
      <w:r>
        <w:rPr>
          <w:sz w:val="21"/>
        </w:rPr>
        <w:t> </w:t>
      </w:r>
      <w:r>
        <w:rPr>
          <w:w w:val="100"/>
          <w:sz w:val="21"/>
        </w:rPr>
        <w:t>22</w:t>
      </w:r>
      <w:r>
        <w:rPr>
          <w:w w:val="97"/>
          <w:sz w:val="21"/>
          <w:vertAlign w:val="superscript"/>
        </w:rPr>
        <w:t>nd</w:t>
      </w:r>
      <w:r>
        <w:rPr>
          <w:sz w:val="21"/>
          <w:vertAlign w:val="baseline"/>
        </w:rPr>
        <w:t> </w:t>
      </w:r>
      <w:r>
        <w:rPr>
          <w:w w:val="100"/>
          <w:sz w:val="21"/>
          <w:vertAlign w:val="baseline"/>
        </w:rPr>
        <w:t>23</w:t>
      </w:r>
      <w:r>
        <w:rPr>
          <w:w w:val="97"/>
          <w:sz w:val="21"/>
          <w:vertAlign w:val="superscript"/>
        </w:rPr>
        <w:t>rd</w:t>
      </w:r>
      <w:r>
        <w:rPr>
          <w:sz w:val="21"/>
          <w:vertAlign w:val="baseline"/>
        </w:rPr>
        <w:t> </w:t>
      </w:r>
      <w:r>
        <w:rPr>
          <w:w w:val="100"/>
          <w:sz w:val="21"/>
          <w:vertAlign w:val="baseline"/>
        </w:rPr>
        <w:t>Dece</w:t>
      </w:r>
      <w:r>
        <w:rPr>
          <w:w w:val="100"/>
          <w:sz w:val="21"/>
          <w:vertAlign w:val="baseline"/>
        </w:rPr>
        <w:t>m</w:t>
      </w:r>
      <w:r>
        <w:rPr>
          <w:w w:val="100"/>
          <w:sz w:val="21"/>
          <w:vertAlign w:val="baseline"/>
        </w:rPr>
        <w:t>b</w:t>
      </w:r>
      <w:r>
        <w:rPr>
          <w:w w:val="100"/>
          <w:sz w:val="21"/>
          <w:vertAlign w:val="baseline"/>
        </w:rPr>
        <w:t>er, </w:t>
      </w:r>
      <w:r>
        <w:rPr>
          <w:sz w:val="21"/>
          <w:vertAlign w:val="baseline"/>
        </w:rPr>
        <w:t>1949 the idol of Bhagwan Sri Rama was installed with due ceremony under the central done of building also.‖</w:t>
      </w:r>
    </w:p>
    <w:p>
      <w:pPr>
        <w:pStyle w:val="BodyText"/>
        <w:rPr>
          <w:sz w:val="24"/>
        </w:rPr>
      </w:pPr>
    </w:p>
    <w:p>
      <w:pPr>
        <w:pStyle w:val="BodyText"/>
        <w:spacing w:line="482" w:lineRule="auto" w:before="207"/>
        <w:ind w:left="500" w:right="437"/>
        <w:jc w:val="both"/>
      </w:pPr>
      <w:r>
        <w:rPr/>
        <w:t>In his statement under Order 10 Rule 2 of the CPC recorded on 30 April, 1992, plaintiff No 3 in Suit 5 stated:</w:t>
      </w:r>
    </w:p>
    <w:p>
      <w:pPr>
        <w:spacing w:line="276" w:lineRule="auto" w:before="0"/>
        <w:ind w:left="1940" w:right="2261" w:firstLine="0"/>
        <w:jc w:val="both"/>
        <w:rPr>
          <w:sz w:val="21"/>
        </w:rPr>
      </w:pPr>
      <w:r>
        <w:rPr>
          <w:spacing w:val="-1"/>
          <w:w w:val="33"/>
          <w:sz w:val="21"/>
        </w:rPr>
        <w:t>―</w:t>
      </w:r>
      <w:r>
        <w:rPr>
          <w:spacing w:val="-2"/>
          <w:w w:val="100"/>
          <w:sz w:val="21"/>
        </w:rPr>
        <w:t>I</w:t>
      </w:r>
      <w:r>
        <w:rPr>
          <w:w w:val="100"/>
          <w:sz w:val="21"/>
        </w:rPr>
        <w:t>n</w:t>
      </w:r>
      <w:r>
        <w:rPr>
          <w:sz w:val="21"/>
        </w:rPr>
        <w:t>  </w:t>
      </w:r>
      <w:r>
        <w:rPr>
          <w:spacing w:val="-27"/>
          <w:sz w:val="21"/>
        </w:rPr>
        <w:t> </w:t>
      </w:r>
      <w:r>
        <w:rPr>
          <w:spacing w:val="-2"/>
          <w:w w:val="100"/>
          <w:sz w:val="21"/>
        </w:rPr>
        <w:t>t</w:t>
      </w:r>
      <w:r>
        <w:rPr>
          <w:spacing w:val="-1"/>
          <w:w w:val="100"/>
          <w:sz w:val="21"/>
        </w:rPr>
        <w:t>h</w:t>
      </w:r>
      <w:r>
        <w:rPr>
          <w:w w:val="100"/>
          <w:sz w:val="21"/>
        </w:rPr>
        <w:t>e</w:t>
      </w:r>
      <w:r>
        <w:rPr>
          <w:sz w:val="21"/>
        </w:rPr>
        <w:t>  </w:t>
      </w:r>
      <w:r>
        <w:rPr>
          <w:spacing w:val="-27"/>
          <w:sz w:val="21"/>
        </w:rPr>
        <w:t> </w:t>
      </w:r>
      <w:r>
        <w:rPr>
          <w:spacing w:val="-1"/>
          <w:w w:val="100"/>
          <w:sz w:val="21"/>
        </w:rPr>
        <w:t>ear</w:t>
      </w:r>
      <w:r>
        <w:rPr>
          <w:w w:val="100"/>
          <w:sz w:val="21"/>
        </w:rPr>
        <w:t>ly</w:t>
      </w:r>
      <w:r>
        <w:rPr>
          <w:sz w:val="21"/>
        </w:rPr>
        <w:t>  </w:t>
      </w:r>
      <w:r>
        <w:rPr>
          <w:spacing w:val="-29"/>
          <w:sz w:val="21"/>
        </w:rPr>
        <w:t> </w:t>
      </w:r>
      <w:r>
        <w:rPr>
          <w:spacing w:val="-1"/>
          <w:w w:val="100"/>
          <w:sz w:val="21"/>
        </w:rPr>
        <w:t>h</w:t>
      </w:r>
      <w:r>
        <w:rPr>
          <w:spacing w:val="-3"/>
          <w:w w:val="100"/>
          <w:sz w:val="21"/>
        </w:rPr>
        <w:t>o</w:t>
      </w:r>
      <w:r>
        <w:rPr>
          <w:spacing w:val="-1"/>
          <w:w w:val="100"/>
          <w:sz w:val="21"/>
        </w:rPr>
        <w:t>ur</w:t>
      </w:r>
      <w:r>
        <w:rPr>
          <w:w w:val="100"/>
          <w:sz w:val="21"/>
        </w:rPr>
        <w:t>s</w:t>
      </w:r>
      <w:r>
        <w:rPr>
          <w:sz w:val="21"/>
        </w:rPr>
        <w:t>  </w:t>
      </w:r>
      <w:r>
        <w:rPr>
          <w:spacing w:val="-28"/>
          <w:sz w:val="21"/>
        </w:rPr>
        <w:t> </w:t>
      </w:r>
      <w:r>
        <w:rPr>
          <w:spacing w:val="-3"/>
          <w:w w:val="100"/>
          <w:sz w:val="21"/>
        </w:rPr>
        <w:t>o</w:t>
      </w:r>
      <w:r>
        <w:rPr>
          <w:w w:val="100"/>
          <w:sz w:val="21"/>
        </w:rPr>
        <w:t>f</w:t>
      </w:r>
      <w:r>
        <w:rPr>
          <w:sz w:val="21"/>
        </w:rPr>
        <w:t>  </w:t>
      </w:r>
      <w:r>
        <w:rPr>
          <w:spacing w:val="-28"/>
          <w:sz w:val="21"/>
        </w:rPr>
        <w:t> </w:t>
      </w:r>
      <w:r>
        <w:rPr>
          <w:w w:val="100"/>
          <w:sz w:val="21"/>
        </w:rPr>
        <w:t>D</w:t>
      </w:r>
      <w:r>
        <w:rPr>
          <w:spacing w:val="-1"/>
          <w:w w:val="100"/>
          <w:sz w:val="21"/>
        </w:rPr>
        <w:t>e</w:t>
      </w:r>
      <w:r>
        <w:rPr>
          <w:spacing w:val="-3"/>
          <w:w w:val="100"/>
          <w:sz w:val="21"/>
        </w:rPr>
        <w:t>ce</w:t>
      </w:r>
      <w:r>
        <w:rPr>
          <w:spacing w:val="1"/>
          <w:w w:val="100"/>
          <w:sz w:val="21"/>
        </w:rPr>
        <w:t>m</w:t>
      </w:r>
      <w:r>
        <w:rPr>
          <w:spacing w:val="-1"/>
          <w:w w:val="100"/>
          <w:sz w:val="21"/>
        </w:rPr>
        <w:t>be</w:t>
      </w:r>
      <w:r>
        <w:rPr>
          <w:w w:val="100"/>
          <w:sz w:val="21"/>
        </w:rPr>
        <w:t>r</w:t>
      </w:r>
      <w:r>
        <w:rPr>
          <w:sz w:val="21"/>
        </w:rPr>
        <w:t> </w:t>
      </w:r>
      <w:r>
        <w:rPr>
          <w:spacing w:val="28"/>
          <w:sz w:val="21"/>
        </w:rPr>
        <w:t> </w:t>
      </w:r>
      <w:r>
        <w:rPr>
          <w:spacing w:val="-1"/>
          <w:w w:val="100"/>
          <w:sz w:val="21"/>
        </w:rPr>
        <w:t>23</w:t>
      </w:r>
      <w:r>
        <w:rPr>
          <w:w w:val="100"/>
          <w:sz w:val="21"/>
        </w:rPr>
        <w:t>,</w:t>
      </w:r>
      <w:r>
        <w:rPr>
          <w:sz w:val="21"/>
        </w:rPr>
        <w:t>  </w:t>
      </w:r>
      <w:r>
        <w:rPr>
          <w:spacing w:val="-28"/>
          <w:sz w:val="21"/>
        </w:rPr>
        <w:t> </w:t>
      </w:r>
      <w:r>
        <w:rPr>
          <w:spacing w:val="-1"/>
          <w:w w:val="100"/>
          <w:sz w:val="21"/>
        </w:rPr>
        <w:t>1</w:t>
      </w:r>
      <w:r>
        <w:rPr>
          <w:spacing w:val="-3"/>
          <w:w w:val="100"/>
          <w:sz w:val="21"/>
        </w:rPr>
        <w:t>9</w:t>
      </w:r>
      <w:r>
        <w:rPr>
          <w:spacing w:val="-1"/>
          <w:w w:val="100"/>
          <w:sz w:val="21"/>
        </w:rPr>
        <w:t>49</w:t>
      </w:r>
      <w:r>
        <w:rPr>
          <w:w w:val="100"/>
          <w:sz w:val="21"/>
        </w:rPr>
        <w:t>,</w:t>
      </w:r>
      <w:r>
        <w:rPr>
          <w:sz w:val="21"/>
        </w:rPr>
        <w:t>  </w:t>
      </w:r>
      <w:r>
        <w:rPr>
          <w:spacing w:val="-28"/>
          <w:sz w:val="21"/>
        </w:rPr>
        <w:t> </w:t>
      </w:r>
      <w:r>
        <w:rPr>
          <w:spacing w:val="-2"/>
          <w:w w:val="100"/>
          <w:sz w:val="21"/>
        </w:rPr>
        <w:t>t</w:t>
      </w:r>
      <w:r>
        <w:rPr>
          <w:spacing w:val="-3"/>
          <w:w w:val="100"/>
          <w:sz w:val="21"/>
        </w:rPr>
        <w:t>h</w:t>
      </w:r>
      <w:r>
        <w:rPr>
          <w:w w:val="100"/>
          <w:sz w:val="21"/>
        </w:rPr>
        <w:t>e</w:t>
      </w:r>
      <w:r>
        <w:rPr>
          <w:sz w:val="21"/>
        </w:rPr>
        <w:t>  </w:t>
      </w:r>
      <w:r>
        <w:rPr>
          <w:spacing w:val="-27"/>
          <w:sz w:val="21"/>
        </w:rPr>
        <w:t> </w:t>
      </w:r>
      <w:r>
        <w:rPr>
          <w:w w:val="100"/>
          <w:sz w:val="21"/>
        </w:rPr>
        <w:t>i</w:t>
      </w:r>
      <w:r>
        <w:rPr>
          <w:spacing w:val="-3"/>
          <w:w w:val="100"/>
          <w:sz w:val="21"/>
        </w:rPr>
        <w:t>d</w:t>
      </w:r>
      <w:r>
        <w:rPr>
          <w:spacing w:val="-1"/>
          <w:w w:val="100"/>
          <w:sz w:val="21"/>
        </w:rPr>
        <w:t>o</w:t>
      </w:r>
      <w:r>
        <w:rPr>
          <w:w w:val="100"/>
          <w:sz w:val="21"/>
        </w:rPr>
        <w:t>l</w:t>
      </w:r>
      <w:r>
        <w:rPr>
          <w:sz w:val="21"/>
        </w:rPr>
        <w:t>  </w:t>
      </w:r>
      <w:r>
        <w:rPr>
          <w:spacing w:val="-26"/>
          <w:sz w:val="21"/>
        </w:rPr>
        <w:t> </w:t>
      </w:r>
      <w:r>
        <w:rPr>
          <w:spacing w:val="-3"/>
          <w:w w:val="100"/>
          <w:sz w:val="21"/>
        </w:rPr>
        <w:t>o</w:t>
      </w:r>
      <w:r>
        <w:rPr>
          <w:w w:val="100"/>
          <w:sz w:val="21"/>
        </w:rPr>
        <w:t>f </w:t>
      </w:r>
      <w:r>
        <w:rPr>
          <w:sz w:val="21"/>
        </w:rPr>
        <w:t>Bhagwan Sri Ram Lal, which was already on Ram Chabutra was transferred to the place where he presently sits, that is, under the central dome of the disputed building. I was not personally present at that time at the place. This information was conveyed to me by the Paramhans Ram Chandra Das of Digamber Akhara. This transfer of the idol was done by Paramhans Chandra Das and Baba Abhi Ram Das and certain other persons whose names I do not remember the moment…‖</w:t>
      </w:r>
    </w:p>
    <w:p>
      <w:pPr>
        <w:pStyle w:val="BodyText"/>
        <w:spacing w:before="7"/>
        <w:rPr>
          <w:sz w:val="24"/>
        </w:rPr>
      </w:pPr>
    </w:p>
    <w:p>
      <w:pPr>
        <w:pStyle w:val="BodyText"/>
        <w:spacing w:line="480" w:lineRule="auto"/>
        <w:ind w:left="500" w:right="436"/>
        <w:jc w:val="both"/>
      </w:pPr>
      <w:r>
        <w:rPr/>
        <w:t>With regard to the witnesses who were examined on behalf of the plaintiffs of Suit 4, the High Court recorded that none of the witnesses were present on the spot at the relevant time. Hence, their statements would not be relied upon for a determination on this issue. OPW-1 and OPW-2 who appeared on behalf of the plaintiffs in Suit 5 had, in their statement, stated that the idols were shifted from the Ramchabutra on 22/23 December 1949. OPW-1 (Mahant Paramhans Ramchandra Das) in his statement stated that the idols were placed on 23 December 1949 after being removed from the platform:</w:t>
      </w:r>
    </w:p>
    <w:p>
      <w:pPr>
        <w:spacing w:line="276" w:lineRule="auto" w:before="1"/>
        <w:ind w:left="1940" w:right="2261" w:firstLine="0"/>
        <w:jc w:val="both"/>
        <w:rPr>
          <w:sz w:val="21"/>
        </w:rPr>
      </w:pPr>
      <w:r>
        <w:rPr>
          <w:spacing w:val="-1"/>
          <w:w w:val="33"/>
          <w:sz w:val="21"/>
        </w:rPr>
        <w:t>―</w:t>
      </w:r>
      <w:r>
        <w:rPr>
          <w:w w:val="100"/>
          <w:sz w:val="21"/>
        </w:rPr>
        <w:t>The</w:t>
      </w:r>
      <w:r>
        <w:rPr>
          <w:sz w:val="21"/>
        </w:rPr>
        <w:t> </w:t>
      </w:r>
      <w:r>
        <w:rPr>
          <w:spacing w:val="-9"/>
          <w:sz w:val="21"/>
        </w:rPr>
        <w:t> </w:t>
      </w:r>
      <w:r>
        <w:rPr>
          <w:spacing w:val="-1"/>
          <w:w w:val="100"/>
          <w:sz w:val="21"/>
        </w:rPr>
        <w:t>p</w:t>
      </w:r>
      <w:r>
        <w:rPr>
          <w:spacing w:val="-2"/>
          <w:w w:val="100"/>
          <w:sz w:val="21"/>
        </w:rPr>
        <w:t>l</w:t>
      </w:r>
      <w:r>
        <w:rPr>
          <w:spacing w:val="-1"/>
          <w:w w:val="100"/>
          <w:sz w:val="21"/>
        </w:rPr>
        <w:t>ac</w:t>
      </w:r>
      <w:r>
        <w:rPr>
          <w:w w:val="100"/>
          <w:sz w:val="21"/>
        </w:rPr>
        <w:t>e</w:t>
      </w:r>
      <w:r>
        <w:rPr>
          <w:sz w:val="21"/>
        </w:rPr>
        <w:t> </w:t>
      </w:r>
      <w:r>
        <w:rPr>
          <w:spacing w:val="-9"/>
          <w:sz w:val="21"/>
        </w:rPr>
        <w:t> </w:t>
      </w:r>
      <w:r>
        <w:rPr>
          <w:spacing w:val="-2"/>
          <w:w w:val="100"/>
          <w:sz w:val="21"/>
        </w:rPr>
        <w:t>t</w:t>
      </w:r>
      <w:r>
        <w:rPr>
          <w:spacing w:val="-1"/>
          <w:w w:val="100"/>
          <w:sz w:val="21"/>
        </w:rPr>
        <w:t>e</w:t>
      </w:r>
      <w:r>
        <w:rPr>
          <w:spacing w:val="-3"/>
          <w:w w:val="100"/>
          <w:sz w:val="21"/>
        </w:rPr>
        <w:t>r</w:t>
      </w:r>
      <w:r>
        <w:rPr>
          <w:spacing w:val="1"/>
          <w:w w:val="100"/>
          <w:sz w:val="21"/>
        </w:rPr>
        <w:t>m</w:t>
      </w:r>
      <w:r>
        <w:rPr>
          <w:spacing w:val="-1"/>
          <w:w w:val="100"/>
          <w:sz w:val="21"/>
        </w:rPr>
        <w:t>e</w:t>
      </w:r>
      <w:r>
        <w:rPr>
          <w:w w:val="100"/>
          <w:sz w:val="21"/>
        </w:rPr>
        <w:t>d</w:t>
      </w:r>
      <w:r>
        <w:rPr>
          <w:sz w:val="21"/>
        </w:rPr>
        <w:t> </w:t>
      </w:r>
      <w:r>
        <w:rPr>
          <w:spacing w:val="-9"/>
          <w:sz w:val="21"/>
        </w:rPr>
        <w:t> </w:t>
      </w:r>
      <w:r>
        <w:rPr>
          <w:spacing w:val="-3"/>
          <w:w w:val="100"/>
          <w:sz w:val="21"/>
        </w:rPr>
        <w:t>a</w:t>
      </w:r>
      <w:r>
        <w:rPr>
          <w:w w:val="100"/>
          <w:sz w:val="21"/>
        </w:rPr>
        <w:t>s</w:t>
      </w:r>
      <w:r>
        <w:rPr>
          <w:sz w:val="21"/>
        </w:rPr>
        <w:t> </w:t>
      </w:r>
      <w:r>
        <w:rPr>
          <w:spacing w:val="-9"/>
          <w:sz w:val="21"/>
        </w:rPr>
        <w:t> </w:t>
      </w:r>
      <w:r>
        <w:rPr>
          <w:w w:val="40"/>
          <w:sz w:val="21"/>
        </w:rPr>
        <w:t>‗</w:t>
      </w:r>
      <w:r>
        <w:rPr>
          <w:spacing w:val="-4"/>
          <w:w w:val="100"/>
          <w:sz w:val="21"/>
        </w:rPr>
        <w:t>G</w:t>
      </w:r>
      <w:r>
        <w:rPr>
          <w:spacing w:val="-1"/>
          <w:w w:val="100"/>
          <w:sz w:val="21"/>
        </w:rPr>
        <w:t>arb</w:t>
      </w:r>
      <w:r>
        <w:rPr>
          <w:spacing w:val="2"/>
          <w:w w:val="100"/>
          <w:sz w:val="21"/>
        </w:rPr>
        <w:t>h</w:t>
      </w:r>
      <w:r>
        <w:rPr>
          <w:spacing w:val="-1"/>
          <w:w w:val="100"/>
          <w:sz w:val="21"/>
        </w:rPr>
        <w:t>-</w:t>
      </w:r>
      <w:r>
        <w:rPr>
          <w:w w:val="100"/>
          <w:sz w:val="21"/>
        </w:rPr>
        <w:t>gr</w:t>
      </w:r>
      <w:r>
        <w:rPr>
          <w:spacing w:val="-2"/>
          <w:w w:val="100"/>
          <w:sz w:val="21"/>
        </w:rPr>
        <w:t>i</w:t>
      </w:r>
      <w:r>
        <w:rPr>
          <w:w w:val="100"/>
          <w:sz w:val="21"/>
        </w:rPr>
        <w:t>h</w:t>
      </w:r>
      <w:r>
        <w:rPr>
          <w:sz w:val="21"/>
        </w:rPr>
        <w:t> </w:t>
      </w:r>
      <w:r>
        <w:rPr>
          <w:spacing w:val="-7"/>
          <w:sz w:val="21"/>
        </w:rPr>
        <w:t> </w:t>
      </w:r>
      <w:r>
        <w:rPr>
          <w:spacing w:val="-1"/>
          <w:w w:val="100"/>
          <w:sz w:val="21"/>
        </w:rPr>
        <w:t>(</w:t>
      </w:r>
      <w:r>
        <w:rPr>
          <w:spacing w:val="-3"/>
          <w:w w:val="100"/>
          <w:sz w:val="21"/>
        </w:rPr>
        <w:t>s</w:t>
      </w:r>
      <w:r>
        <w:rPr>
          <w:w w:val="100"/>
          <w:sz w:val="21"/>
        </w:rPr>
        <w:t>anc</w:t>
      </w:r>
      <w:r>
        <w:rPr>
          <w:spacing w:val="-1"/>
          <w:w w:val="100"/>
          <w:sz w:val="21"/>
        </w:rPr>
        <w:t>t</w:t>
      </w:r>
      <w:r>
        <w:rPr>
          <w:spacing w:val="-3"/>
          <w:w w:val="100"/>
          <w:sz w:val="21"/>
        </w:rPr>
        <w:t>u</w:t>
      </w:r>
      <w:r>
        <w:rPr>
          <w:w w:val="100"/>
          <w:sz w:val="21"/>
        </w:rPr>
        <w:t>m</w:t>
      </w:r>
      <w:r>
        <w:rPr>
          <w:sz w:val="21"/>
        </w:rPr>
        <w:t> </w:t>
      </w:r>
      <w:r>
        <w:rPr>
          <w:spacing w:val="-8"/>
          <w:sz w:val="21"/>
        </w:rPr>
        <w:t> </w:t>
      </w:r>
      <w:r>
        <w:rPr>
          <w:w w:val="100"/>
          <w:sz w:val="21"/>
        </w:rPr>
        <w:t>s</w:t>
      </w:r>
      <w:r>
        <w:rPr>
          <w:spacing w:val="-3"/>
          <w:w w:val="100"/>
          <w:sz w:val="21"/>
        </w:rPr>
        <w:t>a</w:t>
      </w:r>
      <w:r>
        <w:rPr>
          <w:w w:val="100"/>
          <w:sz w:val="21"/>
        </w:rPr>
        <w:t>nc</w:t>
      </w:r>
      <w:r>
        <w:rPr>
          <w:spacing w:val="-4"/>
          <w:w w:val="100"/>
          <w:sz w:val="21"/>
        </w:rPr>
        <w:t>t</w:t>
      </w:r>
      <w:r>
        <w:rPr>
          <w:w w:val="100"/>
          <w:sz w:val="21"/>
        </w:rPr>
        <w:t>or</w:t>
      </w:r>
      <w:r>
        <w:rPr>
          <w:spacing w:val="-3"/>
          <w:w w:val="100"/>
          <w:sz w:val="21"/>
        </w:rPr>
        <w:t>u</w:t>
      </w:r>
      <w:r>
        <w:rPr>
          <w:spacing w:val="1"/>
          <w:w w:val="100"/>
          <w:sz w:val="21"/>
        </w:rPr>
        <w:t>m</w:t>
      </w:r>
      <w:r>
        <w:rPr>
          <w:w w:val="100"/>
          <w:sz w:val="21"/>
        </w:rPr>
        <w:t>)</w:t>
      </w:r>
      <w:r>
        <w:rPr>
          <w:sz w:val="21"/>
        </w:rPr>
        <w:t> </w:t>
      </w:r>
      <w:r>
        <w:rPr>
          <w:spacing w:val="-8"/>
          <w:sz w:val="21"/>
        </w:rPr>
        <w:t> </w:t>
      </w:r>
      <w:r>
        <w:rPr>
          <w:w w:val="100"/>
          <w:sz w:val="21"/>
        </w:rPr>
        <w:t>by </w:t>
      </w:r>
      <w:r>
        <w:rPr>
          <w:sz w:val="21"/>
        </w:rPr>
        <w:t>me, is the birthplace of Ramchandra according to my belief and all the Hindus. The very place where the idols were placed on 23 December 1949, after being removed from the platform, is considered as Janmsthan by me and even before installation of the idols, that place was considered Janmbhumi by</w:t>
      </w:r>
      <w:r>
        <w:rPr>
          <w:spacing w:val="-5"/>
          <w:sz w:val="21"/>
        </w:rPr>
        <w:t> </w:t>
      </w:r>
      <w:r>
        <w:rPr>
          <w:sz w:val="21"/>
        </w:rPr>
        <w:t>me.‖</w:t>
      </w:r>
    </w:p>
    <w:p>
      <w:pPr>
        <w:spacing w:after="0" w:line="276" w:lineRule="auto"/>
        <w:jc w:val="both"/>
        <w:rPr>
          <w:sz w:val="21"/>
        </w:rPr>
        <w:sectPr>
          <w:pgSz w:w="11910" w:h="16840"/>
          <w:pgMar w:header="721" w:footer="1014" w:top="1300" w:bottom="1200" w:left="940" w:right="1000"/>
        </w:sectPr>
      </w:pPr>
    </w:p>
    <w:p>
      <w:pPr>
        <w:pStyle w:val="BodyText"/>
        <w:spacing w:before="124"/>
        <w:ind w:left="500"/>
        <w:jc w:val="both"/>
      </w:pPr>
      <w:r>
        <w:rPr/>
        <w:t>The statement of OPW-2 was to a similar effect.</w:t>
      </w:r>
    </w:p>
    <w:p>
      <w:pPr>
        <w:pStyle w:val="BodyText"/>
        <w:rPr>
          <w:sz w:val="28"/>
        </w:rPr>
      </w:pPr>
    </w:p>
    <w:p>
      <w:pPr>
        <w:pStyle w:val="BodyText"/>
        <w:spacing w:before="10"/>
        <w:rPr>
          <w:sz w:val="21"/>
        </w:rPr>
      </w:pPr>
    </w:p>
    <w:p>
      <w:pPr>
        <w:pStyle w:val="BodyText"/>
        <w:spacing w:line="480" w:lineRule="auto"/>
        <w:ind w:left="500" w:right="435"/>
        <w:jc w:val="both"/>
      </w:pPr>
      <w:r>
        <w:rPr/>
        <w:t>The witnesses who have been examined on behalf of Nirmohi Akahra supported the case that the idols were present under the central dome prior to the intervening night of 22/23 December, 1949. The plaintiffs in Suit 3 examined 20 witnesses (DW - 3/1 - DW. 3/20). DW-3/1 (Mahant Bhaskar Das) stated that no incident occurred in the intervening night of 22/23 December 1949. He further stated that he was sleeping in the premises on that date.</w:t>
      </w:r>
    </w:p>
    <w:p>
      <w:pPr>
        <w:pStyle w:val="BodyText"/>
        <w:spacing w:before="2"/>
        <w:rPr>
          <w:sz w:val="24"/>
        </w:rPr>
      </w:pPr>
    </w:p>
    <w:p>
      <w:pPr>
        <w:pStyle w:val="BodyText"/>
        <w:spacing w:line="480" w:lineRule="auto"/>
        <w:ind w:left="500" w:right="438"/>
        <w:jc w:val="both"/>
      </w:pPr>
      <w:r>
        <w:rPr/>
        <w:t>The statements made by DW 3/1 have been examined and rejected in another part of this judgment. The explanation of the witness that he was asleep in the disputed premises on 22/23 December 1949 and that no incident had taken place is a figment of his imagination.</w:t>
      </w:r>
    </w:p>
    <w:p>
      <w:pPr>
        <w:pStyle w:val="BodyText"/>
      </w:pPr>
    </w:p>
    <w:p>
      <w:pPr>
        <w:pStyle w:val="BodyText"/>
        <w:spacing w:line="480" w:lineRule="auto" w:before="1"/>
        <w:ind w:left="500" w:right="432"/>
        <w:jc w:val="both"/>
      </w:pPr>
      <w:r>
        <w:rPr/>
        <w:t>On the night of 22 December 1949, the idols of Lord Ram were placed inside the mosque imperilling. Acting on an FIR, the Additional City Magistrate, Faizabad- cum-Ayodhya issued a preliminary order under Section 145 on 29 December 1949, treating the situation to be of an emergent nature. Simultaneously, an attachment order was issued and Priya Datt Ram, the Chairman of the Municipal Board of Faizabad was appointed as the receiver of the inner courtyard. On 5 January 1950, the receiver took charge of the inner courtyard and prepared an inventory of the attached properties.</w:t>
      </w:r>
    </w:p>
    <w:p>
      <w:pPr>
        <w:pStyle w:val="BodyText"/>
        <w:spacing w:before="11"/>
        <w:rPr>
          <w:sz w:val="24"/>
        </w:rPr>
      </w:pPr>
    </w:p>
    <w:p>
      <w:pPr>
        <w:pStyle w:val="BodyText"/>
        <w:spacing w:line="480" w:lineRule="auto"/>
        <w:ind w:left="500" w:right="440"/>
        <w:jc w:val="both"/>
      </w:pPr>
      <w:r>
        <w:rPr/>
        <w:t>The stance of the plaintiffs in Suit 4 and 5 and the statements of the witnesses on record belie the claim of the Nirmohi Akhara that the idols existed under the central dome prior to the incident of 22/23 December 1949. It was following this</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3"/>
        <w:jc w:val="both"/>
      </w:pPr>
      <w:r>
        <w:rPr/>
        <w:t>incident, that the property was attached. On a preponderance of probabilities which govern civil trials, the finding of the High Court that the idols of the deity were installed in the intervening night of 22/23 December 1949 commends itself for our acceptance.</w:t>
      </w:r>
    </w:p>
    <w:p>
      <w:pPr>
        <w:pStyle w:val="BodyText"/>
        <w:spacing w:before="10"/>
        <w:rPr>
          <w:sz w:val="23"/>
        </w:rPr>
      </w:pPr>
    </w:p>
    <w:p>
      <w:pPr>
        <w:pStyle w:val="ListParagraph"/>
        <w:numPr>
          <w:ilvl w:val="0"/>
          <w:numId w:val="231"/>
        </w:numPr>
        <w:tabs>
          <w:tab w:pos="1221" w:val="left" w:leader="none"/>
        </w:tabs>
        <w:spacing w:line="480" w:lineRule="auto" w:before="0" w:after="0"/>
        <w:ind w:left="500" w:right="435" w:firstLine="0"/>
        <w:jc w:val="both"/>
        <w:rPr>
          <w:sz w:val="25"/>
        </w:rPr>
      </w:pPr>
      <w:r>
        <w:rPr>
          <w:sz w:val="25"/>
        </w:rPr>
        <w:t>Dr Dhavan‘s assertion of the claim of the Sunni Central Waqf Board to the disputed site is based on the Janmasthan temple of the Hindus being outside the courtyard and the offering of namaz by the Muslim in the mosque. The </w:t>
      </w:r>
      <w:r>
        <w:rPr>
          <w:w w:val="99"/>
          <w:sz w:val="25"/>
        </w:rPr>
        <w:t>subm</w:t>
      </w:r>
      <w:r>
        <w:rPr>
          <w:spacing w:val="-1"/>
          <w:w w:val="99"/>
          <w:sz w:val="25"/>
        </w:rPr>
        <w:t>issio</w:t>
      </w:r>
      <w:r>
        <w:rPr>
          <w:w w:val="99"/>
          <w:sz w:val="25"/>
        </w:rPr>
        <w:t>n</w:t>
      </w:r>
      <w:r>
        <w:rPr>
          <w:sz w:val="25"/>
        </w:rPr>
        <w:t>  </w:t>
      </w:r>
      <w:r>
        <w:rPr>
          <w:spacing w:val="-33"/>
          <w:sz w:val="25"/>
        </w:rPr>
        <w:t> </w:t>
      </w:r>
      <w:r>
        <w:rPr>
          <w:w w:val="99"/>
          <w:sz w:val="25"/>
        </w:rPr>
        <w:t>that</w:t>
      </w:r>
      <w:r>
        <w:rPr>
          <w:sz w:val="25"/>
        </w:rPr>
        <w:t>  </w:t>
      </w:r>
      <w:r>
        <w:rPr>
          <w:spacing w:val="-34"/>
          <w:sz w:val="25"/>
        </w:rPr>
        <w:t> </w:t>
      </w:r>
      <w:r>
        <w:rPr>
          <w:w w:val="99"/>
          <w:sz w:val="25"/>
        </w:rPr>
        <w:t>the</w:t>
      </w:r>
      <w:r>
        <w:rPr>
          <w:sz w:val="25"/>
        </w:rPr>
        <w:t>  </w:t>
      </w:r>
      <w:r>
        <w:rPr>
          <w:spacing w:val="-31"/>
          <w:sz w:val="25"/>
        </w:rPr>
        <w:t> </w:t>
      </w:r>
      <w:r>
        <w:rPr>
          <w:w w:val="99"/>
          <w:sz w:val="25"/>
        </w:rPr>
        <w:t>te</w:t>
      </w:r>
      <w:r>
        <w:rPr>
          <w:spacing w:val="1"/>
          <w:w w:val="99"/>
          <w:sz w:val="25"/>
        </w:rPr>
        <w:t>m</w:t>
      </w:r>
      <w:r>
        <w:rPr>
          <w:spacing w:val="-1"/>
          <w:w w:val="99"/>
          <w:sz w:val="25"/>
        </w:rPr>
        <w:t>pl</w:t>
      </w:r>
      <w:r>
        <w:rPr>
          <w:w w:val="99"/>
          <w:sz w:val="25"/>
        </w:rPr>
        <w:t>e</w:t>
      </w:r>
      <w:r>
        <w:rPr>
          <w:sz w:val="25"/>
        </w:rPr>
        <w:t>  </w:t>
      </w:r>
      <w:r>
        <w:rPr>
          <w:spacing w:val="-33"/>
          <w:sz w:val="25"/>
        </w:rPr>
        <w:t> </w:t>
      </w:r>
      <w:r>
        <w:rPr>
          <w:spacing w:val="-1"/>
          <w:w w:val="99"/>
          <w:sz w:val="25"/>
        </w:rPr>
        <w:t>o</w:t>
      </w:r>
      <w:r>
        <w:rPr>
          <w:w w:val="99"/>
          <w:sz w:val="25"/>
        </w:rPr>
        <w:t>f</w:t>
      </w:r>
      <w:r>
        <w:rPr>
          <w:sz w:val="25"/>
        </w:rPr>
        <w:t>  </w:t>
      </w:r>
      <w:r>
        <w:rPr>
          <w:spacing w:val="-33"/>
          <w:sz w:val="25"/>
        </w:rPr>
        <w:t> </w:t>
      </w:r>
      <w:r>
        <w:rPr>
          <w:w w:val="99"/>
          <w:sz w:val="25"/>
        </w:rPr>
        <w:t>the</w:t>
      </w:r>
      <w:r>
        <w:rPr>
          <w:sz w:val="25"/>
        </w:rPr>
        <w:t>  </w:t>
      </w:r>
      <w:r>
        <w:rPr>
          <w:spacing w:val="-33"/>
          <w:sz w:val="25"/>
        </w:rPr>
        <w:t> </w:t>
      </w:r>
      <w:r>
        <w:rPr>
          <w:spacing w:val="1"/>
          <w:w w:val="99"/>
          <w:sz w:val="25"/>
        </w:rPr>
        <w:t>H</w:t>
      </w:r>
      <w:r>
        <w:rPr>
          <w:spacing w:val="-1"/>
          <w:w w:val="99"/>
          <w:sz w:val="25"/>
        </w:rPr>
        <w:t>ind</w:t>
      </w:r>
      <w:r>
        <w:rPr>
          <w:w w:val="99"/>
          <w:sz w:val="25"/>
        </w:rPr>
        <w:t>us</w:t>
      </w:r>
      <w:r>
        <w:rPr>
          <w:sz w:val="25"/>
        </w:rPr>
        <w:t>  </w:t>
      </w:r>
      <w:r>
        <w:rPr>
          <w:spacing w:val="-34"/>
          <w:sz w:val="25"/>
        </w:rPr>
        <w:t> </w:t>
      </w:r>
      <w:r>
        <w:rPr>
          <w:w w:val="33"/>
          <w:sz w:val="25"/>
        </w:rPr>
        <w:t>―</w:t>
      </w:r>
      <w:r>
        <w:rPr>
          <w:spacing w:val="-1"/>
          <w:w w:val="99"/>
          <w:sz w:val="25"/>
        </w:rPr>
        <w:t>wa</w:t>
      </w:r>
      <w:r>
        <w:rPr>
          <w:w w:val="99"/>
          <w:sz w:val="25"/>
        </w:rPr>
        <w:t>s</w:t>
      </w:r>
      <w:r>
        <w:rPr>
          <w:sz w:val="25"/>
        </w:rPr>
        <w:t>  </w:t>
      </w:r>
      <w:r>
        <w:rPr>
          <w:spacing w:val="-34"/>
          <w:sz w:val="25"/>
        </w:rPr>
        <w:t> </w:t>
      </w:r>
      <w:r>
        <w:rPr>
          <w:spacing w:val="-1"/>
          <w:w w:val="99"/>
          <w:sz w:val="25"/>
        </w:rPr>
        <w:t>o</w:t>
      </w:r>
      <w:r>
        <w:rPr>
          <w:w w:val="99"/>
          <w:sz w:val="25"/>
        </w:rPr>
        <w:t>utside</w:t>
      </w:r>
      <w:r>
        <w:rPr>
          <w:sz w:val="25"/>
        </w:rPr>
        <w:t>  </w:t>
      </w:r>
      <w:r>
        <w:rPr>
          <w:spacing w:val="-33"/>
          <w:sz w:val="25"/>
        </w:rPr>
        <w:t> </w:t>
      </w:r>
      <w:r>
        <w:rPr>
          <w:spacing w:val="2"/>
          <w:w w:val="99"/>
          <w:sz w:val="25"/>
        </w:rPr>
        <w:t>t</w:t>
      </w:r>
      <w:r>
        <w:rPr>
          <w:spacing w:val="-1"/>
          <w:w w:val="99"/>
          <w:sz w:val="25"/>
        </w:rPr>
        <w:t>h</w:t>
      </w:r>
      <w:r>
        <w:rPr>
          <w:w w:val="99"/>
          <w:sz w:val="25"/>
        </w:rPr>
        <w:t>e</w:t>
      </w:r>
      <w:r>
        <w:rPr>
          <w:sz w:val="25"/>
        </w:rPr>
        <w:t>  </w:t>
      </w:r>
      <w:r>
        <w:rPr>
          <w:spacing w:val="-33"/>
          <w:sz w:val="25"/>
        </w:rPr>
        <w:t> </w:t>
      </w:r>
      <w:r>
        <w:rPr>
          <w:w w:val="99"/>
          <w:sz w:val="25"/>
        </w:rPr>
        <w:t>court</w:t>
      </w:r>
      <w:r>
        <w:rPr>
          <w:spacing w:val="-3"/>
          <w:w w:val="99"/>
          <w:sz w:val="25"/>
        </w:rPr>
        <w:t>y</w:t>
      </w:r>
      <w:r>
        <w:rPr>
          <w:spacing w:val="-1"/>
          <w:w w:val="99"/>
          <w:sz w:val="25"/>
        </w:rPr>
        <w:t>a</w:t>
      </w:r>
      <w:r>
        <w:rPr>
          <w:w w:val="99"/>
          <w:sz w:val="25"/>
        </w:rPr>
        <w:t>r</w:t>
      </w:r>
      <w:r>
        <w:rPr>
          <w:spacing w:val="-1"/>
          <w:w w:val="91"/>
          <w:sz w:val="25"/>
        </w:rPr>
        <w:t>d</w:t>
      </w:r>
      <w:r>
        <w:rPr>
          <w:w w:val="91"/>
          <w:sz w:val="25"/>
        </w:rPr>
        <w:t>‖</w:t>
      </w:r>
      <w:r>
        <w:rPr>
          <w:sz w:val="25"/>
        </w:rPr>
        <w:t>  </w:t>
      </w:r>
      <w:r>
        <w:rPr>
          <w:spacing w:val="-33"/>
          <w:sz w:val="25"/>
        </w:rPr>
        <w:t> </w:t>
      </w:r>
      <w:r>
        <w:rPr>
          <w:spacing w:val="-1"/>
          <w:w w:val="99"/>
          <w:sz w:val="25"/>
        </w:rPr>
        <w:t>is </w:t>
      </w:r>
      <w:r>
        <w:rPr>
          <w:w w:val="99"/>
          <w:sz w:val="25"/>
        </w:rPr>
        <w:t>a</w:t>
      </w:r>
      <w:r>
        <w:rPr>
          <w:spacing w:val="1"/>
          <w:w w:val="99"/>
          <w:sz w:val="25"/>
        </w:rPr>
        <w:t>m</w:t>
      </w:r>
      <w:r>
        <w:rPr>
          <w:w w:val="99"/>
          <w:sz w:val="25"/>
        </w:rPr>
        <w:t>biguou</w:t>
      </w:r>
      <w:r>
        <w:rPr>
          <w:w w:val="99"/>
          <w:sz w:val="25"/>
        </w:rPr>
        <w:t>s</w:t>
      </w:r>
      <w:r>
        <w:rPr>
          <w:spacing w:val="15"/>
          <w:sz w:val="25"/>
        </w:rPr>
        <w:t> </w:t>
      </w:r>
      <w:r>
        <w:rPr>
          <w:w w:val="99"/>
          <w:sz w:val="25"/>
        </w:rPr>
        <w:t>and</w:t>
      </w:r>
      <w:r>
        <w:rPr>
          <w:spacing w:val="14"/>
          <w:sz w:val="25"/>
        </w:rPr>
        <w:t> </w:t>
      </w:r>
      <w:r>
        <w:rPr>
          <w:w w:val="99"/>
          <w:sz w:val="25"/>
        </w:rPr>
        <w:t>con</w:t>
      </w:r>
      <w:r>
        <w:rPr>
          <w:w w:val="99"/>
          <w:sz w:val="25"/>
        </w:rPr>
        <w:t>tr</w:t>
      </w:r>
      <w:r>
        <w:rPr>
          <w:w w:val="99"/>
          <w:sz w:val="25"/>
        </w:rPr>
        <w:t>a</w:t>
      </w:r>
      <w:r>
        <w:rPr>
          <w:spacing w:val="1"/>
          <w:w w:val="99"/>
          <w:sz w:val="25"/>
        </w:rPr>
        <w:t>r</w:t>
      </w:r>
      <w:r>
        <w:rPr>
          <w:w w:val="99"/>
          <w:sz w:val="25"/>
        </w:rPr>
        <w:t>y</w:t>
      </w:r>
      <w:r>
        <w:rPr>
          <w:spacing w:val="14"/>
          <w:sz w:val="25"/>
        </w:rPr>
        <w:t> </w:t>
      </w:r>
      <w:r>
        <w:rPr>
          <w:w w:val="99"/>
          <w:sz w:val="25"/>
        </w:rPr>
        <w:t>to</w:t>
      </w:r>
      <w:r>
        <w:rPr>
          <w:spacing w:val="17"/>
          <w:sz w:val="25"/>
        </w:rPr>
        <w:t> </w:t>
      </w:r>
      <w:r>
        <w:rPr>
          <w:w w:val="99"/>
          <w:sz w:val="25"/>
        </w:rPr>
        <w:t>the</w:t>
      </w:r>
      <w:r>
        <w:rPr>
          <w:spacing w:val="15"/>
          <w:sz w:val="25"/>
        </w:rPr>
        <w:t> </w:t>
      </w:r>
      <w:r>
        <w:rPr>
          <w:spacing w:val="2"/>
          <w:w w:val="99"/>
          <w:sz w:val="25"/>
        </w:rPr>
        <w:t>e</w:t>
      </w:r>
      <w:r>
        <w:rPr>
          <w:spacing w:val="-3"/>
          <w:w w:val="99"/>
          <w:sz w:val="25"/>
        </w:rPr>
        <w:t>v</w:t>
      </w:r>
      <w:r>
        <w:rPr>
          <w:w w:val="99"/>
          <w:sz w:val="25"/>
        </w:rPr>
        <w:t>iden</w:t>
      </w:r>
      <w:r>
        <w:rPr>
          <w:w w:val="99"/>
          <w:sz w:val="25"/>
        </w:rPr>
        <w:t>c</w:t>
      </w:r>
      <w:r>
        <w:rPr>
          <w:spacing w:val="2"/>
          <w:w w:val="99"/>
          <w:sz w:val="25"/>
        </w:rPr>
        <w:t>e</w:t>
      </w:r>
      <w:r>
        <w:rPr>
          <w:w w:val="99"/>
          <w:sz w:val="25"/>
        </w:rPr>
        <w:t>.</w:t>
      </w:r>
      <w:r>
        <w:rPr>
          <w:spacing w:val="14"/>
          <w:sz w:val="25"/>
        </w:rPr>
        <w:t> </w:t>
      </w:r>
      <w:r>
        <w:rPr>
          <w:w w:val="99"/>
          <w:sz w:val="25"/>
        </w:rPr>
        <w:t>If</w:t>
      </w:r>
      <w:r>
        <w:rPr>
          <w:spacing w:val="16"/>
          <w:sz w:val="25"/>
        </w:rPr>
        <w:t> </w:t>
      </w:r>
      <w:r>
        <w:rPr>
          <w:w w:val="99"/>
          <w:sz w:val="25"/>
        </w:rPr>
        <w:t>the</w:t>
      </w:r>
      <w:r>
        <w:rPr>
          <w:spacing w:val="15"/>
          <w:sz w:val="25"/>
        </w:rPr>
        <w:t> </w:t>
      </w:r>
      <w:r>
        <w:rPr>
          <w:spacing w:val="2"/>
          <w:w w:val="99"/>
          <w:sz w:val="25"/>
        </w:rPr>
        <w:t>e</w:t>
      </w:r>
      <w:r>
        <w:rPr>
          <w:spacing w:val="-3"/>
          <w:w w:val="99"/>
          <w:sz w:val="25"/>
        </w:rPr>
        <w:t>x</w:t>
      </w:r>
      <w:r>
        <w:rPr>
          <w:spacing w:val="-1"/>
          <w:w w:val="99"/>
          <w:sz w:val="25"/>
        </w:rPr>
        <w:t>p</w:t>
      </w:r>
      <w:r>
        <w:rPr>
          <w:w w:val="99"/>
          <w:sz w:val="25"/>
        </w:rPr>
        <w:t>r</w:t>
      </w:r>
      <w:r>
        <w:rPr>
          <w:spacing w:val="-1"/>
          <w:w w:val="99"/>
          <w:sz w:val="25"/>
        </w:rPr>
        <w:t>essio</w:t>
      </w:r>
      <w:r>
        <w:rPr>
          <w:w w:val="99"/>
          <w:sz w:val="25"/>
        </w:rPr>
        <w:t>n</w:t>
      </w:r>
      <w:r>
        <w:rPr>
          <w:spacing w:val="15"/>
          <w:sz w:val="25"/>
        </w:rPr>
        <w:t> </w:t>
      </w:r>
      <w:r>
        <w:rPr>
          <w:w w:val="33"/>
          <w:sz w:val="25"/>
        </w:rPr>
        <w:t>―</w:t>
      </w:r>
      <w:r>
        <w:rPr>
          <w:w w:val="99"/>
          <w:sz w:val="25"/>
        </w:rPr>
        <w:t>court</w:t>
      </w:r>
      <w:r>
        <w:rPr>
          <w:spacing w:val="-3"/>
          <w:w w:val="99"/>
          <w:sz w:val="25"/>
        </w:rPr>
        <w:t>y</w:t>
      </w:r>
      <w:r>
        <w:rPr>
          <w:spacing w:val="-1"/>
          <w:w w:val="99"/>
          <w:sz w:val="25"/>
        </w:rPr>
        <w:t>a</w:t>
      </w:r>
      <w:r>
        <w:rPr>
          <w:w w:val="99"/>
          <w:sz w:val="25"/>
        </w:rPr>
        <w:t>r</w:t>
      </w:r>
      <w:r>
        <w:rPr>
          <w:spacing w:val="-1"/>
          <w:w w:val="91"/>
          <w:sz w:val="25"/>
        </w:rPr>
        <w:t>d</w:t>
      </w:r>
      <w:r>
        <w:rPr>
          <w:w w:val="91"/>
          <w:sz w:val="25"/>
        </w:rPr>
        <w:t>‖</w:t>
      </w:r>
      <w:r>
        <w:rPr>
          <w:spacing w:val="15"/>
          <w:sz w:val="25"/>
        </w:rPr>
        <w:t> </w:t>
      </w:r>
      <w:r>
        <w:rPr>
          <w:spacing w:val="-1"/>
          <w:w w:val="99"/>
          <w:sz w:val="25"/>
        </w:rPr>
        <w:t>i</w:t>
      </w:r>
      <w:r>
        <w:rPr>
          <w:w w:val="99"/>
          <w:sz w:val="25"/>
        </w:rPr>
        <w:t>s</w:t>
      </w:r>
      <w:r>
        <w:rPr>
          <w:spacing w:val="16"/>
          <w:sz w:val="25"/>
        </w:rPr>
        <w:t> </w:t>
      </w:r>
      <w:r>
        <w:rPr>
          <w:spacing w:val="-1"/>
          <w:w w:val="99"/>
          <w:sz w:val="25"/>
        </w:rPr>
        <w:t>us</w:t>
      </w:r>
      <w:r>
        <w:rPr>
          <w:w w:val="99"/>
          <w:sz w:val="25"/>
        </w:rPr>
        <w:t>ed</w:t>
      </w:r>
      <w:r>
        <w:rPr>
          <w:spacing w:val="14"/>
          <w:sz w:val="25"/>
        </w:rPr>
        <w:t> </w:t>
      </w:r>
      <w:r>
        <w:rPr>
          <w:w w:val="99"/>
          <w:sz w:val="25"/>
        </w:rPr>
        <w:t>to </w:t>
      </w:r>
      <w:r>
        <w:rPr>
          <w:sz w:val="25"/>
        </w:rPr>
        <w:t>denote both the inner and outer courtyards, the submission is belied by the fact that there was a consistent pattern indicating possession and worship by the Hindus at the outer courtyard after the setting up of the railing in 1856-7. The offering of worship at Ramchabutra which was situated in close proximity to the railing coincided with the attempt by the colonial administration, post the communal incident of 1856-7, to conceive of the railing as a measure to maintain peace and order. The extensive nature of worship by the Hindus is indicated by the existence of specific places of worship and the permission by the administration for the opening of an additional point of entry in 1877 due to a large rush of devotees. In the face of a consistent pattern of worship by the Hindus in the outer courtyard after 1856-7, the documentary material does not indicate either settled possession or use of the outer courtyard by the Muslims (except for the purpose of gaining access to the mosque). The presence of the Hindus in the outer courtyard and their occupation was not merely in the nature of a</w:t>
      </w:r>
      <w:r>
        <w:rPr>
          <w:spacing w:val="56"/>
          <w:sz w:val="25"/>
        </w:rPr>
        <w:t> </w:t>
      </w:r>
      <w:r>
        <w:rPr>
          <w:sz w:val="25"/>
        </w:rPr>
        <w:t>prescriptive</w:t>
      </w:r>
      <w:r>
        <w:rPr>
          <w:spacing w:val="56"/>
          <w:sz w:val="25"/>
        </w:rPr>
        <w:t> </w:t>
      </w:r>
      <w:r>
        <w:rPr>
          <w:sz w:val="25"/>
        </w:rPr>
        <w:t>right</w:t>
      </w:r>
      <w:r>
        <w:rPr>
          <w:spacing w:val="56"/>
          <w:sz w:val="25"/>
        </w:rPr>
        <w:t> </w:t>
      </w:r>
      <w:r>
        <w:rPr>
          <w:sz w:val="25"/>
        </w:rPr>
        <w:t>to</w:t>
      </w:r>
      <w:r>
        <w:rPr>
          <w:spacing w:val="57"/>
          <w:sz w:val="25"/>
        </w:rPr>
        <w:t> </w:t>
      </w:r>
      <w:r>
        <w:rPr>
          <w:sz w:val="25"/>
        </w:rPr>
        <w:t>enter</w:t>
      </w:r>
      <w:r>
        <w:rPr>
          <w:spacing w:val="57"/>
          <w:sz w:val="25"/>
        </w:rPr>
        <w:t> </w:t>
      </w:r>
      <w:r>
        <w:rPr>
          <w:sz w:val="25"/>
        </w:rPr>
        <w:t>for</w:t>
      </w:r>
      <w:r>
        <w:rPr>
          <w:spacing w:val="57"/>
          <w:sz w:val="25"/>
        </w:rPr>
        <w:t> </w:t>
      </w:r>
      <w:r>
        <w:rPr>
          <w:sz w:val="25"/>
        </w:rPr>
        <w:t>the</w:t>
      </w:r>
      <w:r>
        <w:rPr>
          <w:spacing w:val="56"/>
          <w:sz w:val="25"/>
        </w:rPr>
        <w:t> </w:t>
      </w:r>
      <w:r>
        <w:rPr>
          <w:sz w:val="25"/>
        </w:rPr>
        <w:t>purpose</w:t>
      </w:r>
      <w:r>
        <w:rPr>
          <w:spacing w:val="57"/>
          <w:sz w:val="25"/>
        </w:rPr>
        <w:t> </w:t>
      </w:r>
      <w:r>
        <w:rPr>
          <w:sz w:val="25"/>
        </w:rPr>
        <w:t>of</w:t>
      </w:r>
      <w:r>
        <w:rPr>
          <w:spacing w:val="56"/>
          <w:sz w:val="25"/>
        </w:rPr>
        <w:t> </w:t>
      </w:r>
      <w:r>
        <w:rPr>
          <w:sz w:val="25"/>
        </w:rPr>
        <w:t>worship.</w:t>
      </w:r>
      <w:r>
        <w:rPr>
          <w:spacing w:val="56"/>
          <w:sz w:val="25"/>
        </w:rPr>
        <w:t> </w:t>
      </w:r>
      <w:r>
        <w:rPr>
          <w:sz w:val="25"/>
        </w:rPr>
        <w:t>On</w:t>
      </w:r>
      <w:r>
        <w:rPr>
          <w:spacing w:val="59"/>
          <w:sz w:val="25"/>
        </w:rPr>
        <w:t> </w:t>
      </w:r>
      <w:r>
        <w:rPr>
          <w:sz w:val="25"/>
        </w:rPr>
        <w:t>the</w:t>
      </w:r>
      <w:r>
        <w:rPr>
          <w:spacing w:val="57"/>
          <w:sz w:val="25"/>
        </w:rPr>
        <w:t> </w:t>
      </w:r>
      <w:r>
        <w:rPr>
          <w:sz w:val="25"/>
        </w:rPr>
        <w:t>contrary,</w:t>
      </w:r>
      <w:r>
        <w:rPr>
          <w:spacing w:val="56"/>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occupation and possession of the Hindus is evident from: (i) the exclusive presence of Hindu places of worship in the disputed property which lay beyond the railing; (ii) evidence of worship by the Hindus at these places of worship; (iii) recognition by the administration of the need to open an additional entry gate on the northern side occasioned by the large presence of devotees; (iv) absence of any evidence to indicate that the Muslims had asserted any right of possession or occupation over the area of the disputed property beyond the railing; (v) occurrence of incidents during which the use of the mosque inside the railing became contentious; (vi) report of the Waqf Inspector complaining of Muslims being obstructed in proceeding to the mosque for namaz; (vii) access to the outer area of the disputed property beyond the railing being exclusively with the Hindus; and (viii) the landlocked nature of the area inside the</w:t>
      </w:r>
      <w:r>
        <w:rPr>
          <w:spacing w:val="-9"/>
        </w:rPr>
        <w:t> </w:t>
      </w:r>
      <w:r>
        <w:rPr/>
        <w:t>railing.</w:t>
      </w:r>
    </w:p>
    <w:p>
      <w:pPr>
        <w:pStyle w:val="BodyText"/>
        <w:spacing w:before="10"/>
        <w:rPr>
          <w:sz w:val="38"/>
        </w:rPr>
      </w:pPr>
    </w:p>
    <w:p>
      <w:pPr>
        <w:pStyle w:val="ListParagraph"/>
        <w:numPr>
          <w:ilvl w:val="0"/>
          <w:numId w:val="231"/>
        </w:numPr>
        <w:tabs>
          <w:tab w:pos="1221" w:val="left" w:leader="none"/>
        </w:tabs>
        <w:spacing w:line="480" w:lineRule="auto" w:before="1" w:after="0"/>
        <w:ind w:left="500" w:right="439" w:firstLine="0"/>
        <w:jc w:val="both"/>
        <w:rPr>
          <w:sz w:val="25"/>
        </w:rPr>
      </w:pPr>
      <w:r>
        <w:rPr>
          <w:sz w:val="25"/>
        </w:rPr>
        <w:t>In so far as the inner courtyard is concerned, it appears that the setting up of the railing was a measure to ensure that peace prevailed by allowing the worship of the Muslims in the mosque and the continuation of Hindu worship outside the railing. In so far as the worship by the Muslims in the inner courtyard is concerned, the documentary material would indicate that though obstructions were caused from time to time, there was no abandonment of the structure of the mosque or cessation of namaz</w:t>
      </w:r>
      <w:r>
        <w:rPr>
          <w:spacing w:val="-3"/>
          <w:sz w:val="25"/>
        </w:rPr>
        <w:t> </w:t>
      </w:r>
      <w:r>
        <w:rPr>
          <w:sz w:val="25"/>
        </w:rPr>
        <w:t>within.</w:t>
      </w:r>
    </w:p>
    <w:p>
      <w:pPr>
        <w:pStyle w:val="BodyText"/>
        <w:rPr>
          <w:sz w:val="39"/>
        </w:rPr>
      </w:pPr>
    </w:p>
    <w:p>
      <w:pPr>
        <w:pStyle w:val="ListParagraph"/>
        <w:numPr>
          <w:ilvl w:val="0"/>
          <w:numId w:val="231"/>
        </w:numPr>
        <w:tabs>
          <w:tab w:pos="1221" w:val="left" w:leader="none"/>
        </w:tabs>
        <w:spacing w:line="480" w:lineRule="auto" w:before="1" w:after="0"/>
        <w:ind w:left="500" w:right="442" w:firstLine="0"/>
        <w:jc w:val="both"/>
        <w:rPr>
          <w:sz w:val="25"/>
        </w:rPr>
      </w:pPr>
      <w:r>
        <w:rPr>
          <w:sz w:val="25"/>
        </w:rPr>
        <w:t>In order to determine the question of title one needs to analyse the nature of the use of the disputed premises by both Muslims and</w:t>
      </w:r>
      <w:r>
        <w:rPr>
          <w:spacing w:val="-11"/>
          <w:sz w:val="25"/>
        </w:rPr>
        <w:t> </w:t>
      </w:r>
      <w:r>
        <w:rPr>
          <w:sz w:val="25"/>
        </w:rPr>
        <w:t>Hindus.</w:t>
      </w:r>
    </w:p>
    <w:p>
      <w:pPr>
        <w:spacing w:after="0" w:line="480" w:lineRule="auto"/>
        <w:jc w:val="both"/>
        <w:rPr>
          <w:sz w:val="25"/>
        </w:rPr>
        <w:sectPr>
          <w:pgSz w:w="11910" w:h="16840"/>
          <w:pgMar w:header="721" w:footer="1014" w:top="1300" w:bottom="1200" w:left="940" w:right="1000"/>
        </w:sectPr>
      </w:pPr>
    </w:p>
    <w:p>
      <w:pPr>
        <w:pStyle w:val="Heading3"/>
        <w:numPr>
          <w:ilvl w:val="1"/>
          <w:numId w:val="191"/>
        </w:numPr>
        <w:tabs>
          <w:tab w:pos="1221" w:val="left" w:leader="none"/>
        </w:tabs>
        <w:spacing w:line="240" w:lineRule="auto" w:before="124" w:after="0"/>
        <w:ind w:left="1220" w:right="0" w:hanging="721"/>
        <w:jc w:val="left"/>
      </w:pPr>
      <w:r>
        <w:rPr/>
        <w:t>Nazul</w:t>
      </w:r>
      <w:r>
        <w:rPr>
          <w:spacing w:val="-2"/>
        </w:rPr>
        <w:t> </w:t>
      </w:r>
      <w:r>
        <w:rPr/>
        <w:t>land</w:t>
      </w:r>
    </w:p>
    <w:p>
      <w:pPr>
        <w:pStyle w:val="BodyText"/>
        <w:rPr>
          <w:b/>
          <w:sz w:val="28"/>
        </w:rPr>
      </w:pPr>
    </w:p>
    <w:p>
      <w:pPr>
        <w:pStyle w:val="ListParagraph"/>
        <w:numPr>
          <w:ilvl w:val="0"/>
          <w:numId w:val="231"/>
        </w:numPr>
        <w:tabs>
          <w:tab w:pos="1221" w:val="left" w:leader="none"/>
        </w:tabs>
        <w:spacing w:line="480" w:lineRule="auto" w:before="216" w:after="0"/>
        <w:ind w:left="500" w:right="437" w:firstLine="0"/>
        <w:jc w:val="both"/>
        <w:rPr>
          <w:sz w:val="25"/>
        </w:rPr>
      </w:pPr>
      <w:r>
        <w:rPr>
          <w:sz w:val="25"/>
        </w:rPr>
        <w:t>Before the High Court, it was not disputed by the litigating parties that the plot of land in which the disputed structure existed was recorded as Nazul land (i.e. land which is owned by the government), bearing plot No. 583, Khasra of 1931 of Mohalla Kot Ram Chandra known as Ram Kot, City Ayodhya, Nazul Estate Ayodhya. The number of the plot in which the disputed structure was situated was not disputed and it was admitted that the plot was recorded as  Nazul land in the first settlement of 1861 and continued as such on the date of the institution of the</w:t>
      </w:r>
      <w:r>
        <w:rPr>
          <w:spacing w:val="-2"/>
          <w:sz w:val="25"/>
        </w:rPr>
        <w:t> </w:t>
      </w:r>
      <w:r>
        <w:rPr>
          <w:sz w:val="25"/>
        </w:rPr>
        <w:t>suit.</w:t>
      </w:r>
    </w:p>
    <w:p>
      <w:pPr>
        <w:pStyle w:val="BodyText"/>
        <w:rPr>
          <w:sz w:val="39"/>
        </w:rPr>
      </w:pPr>
    </w:p>
    <w:p>
      <w:pPr>
        <w:pStyle w:val="ListParagraph"/>
        <w:numPr>
          <w:ilvl w:val="0"/>
          <w:numId w:val="231"/>
        </w:numPr>
        <w:tabs>
          <w:tab w:pos="1221" w:val="left" w:leader="none"/>
        </w:tabs>
        <w:spacing w:line="480" w:lineRule="auto" w:before="0" w:after="0"/>
        <w:ind w:left="500" w:right="446" w:firstLine="0"/>
        <w:jc w:val="both"/>
        <w:rPr>
          <w:sz w:val="25"/>
        </w:rPr>
      </w:pPr>
      <w:r>
        <w:rPr>
          <w:sz w:val="25"/>
        </w:rPr>
        <w:t>In fact, in paragraph 24(B) of the written statement of the UP Sunni Central Board of Waqf in Suit 5, it has been</w:t>
      </w:r>
      <w:r>
        <w:rPr>
          <w:spacing w:val="-13"/>
          <w:sz w:val="25"/>
        </w:rPr>
        <w:t> </w:t>
      </w:r>
      <w:r>
        <w:rPr>
          <w:sz w:val="25"/>
        </w:rPr>
        <w:t>stated:</w:t>
      </w:r>
    </w:p>
    <w:p>
      <w:pPr>
        <w:spacing w:line="276" w:lineRule="auto" w:before="160"/>
        <w:ind w:left="1940" w:right="2256" w:firstLine="0"/>
        <w:jc w:val="both"/>
        <w:rPr>
          <w:sz w:val="21"/>
        </w:rPr>
      </w:pPr>
      <w:r>
        <w:rPr>
          <w:spacing w:val="-1"/>
          <w:w w:val="33"/>
          <w:sz w:val="21"/>
        </w:rPr>
        <w:t>―</w:t>
      </w:r>
      <w:r>
        <w:rPr>
          <w:w w:val="100"/>
          <w:sz w:val="21"/>
        </w:rPr>
        <w:t>The</w:t>
      </w:r>
      <w:r>
        <w:rPr>
          <w:sz w:val="21"/>
        </w:rPr>
        <w:t> </w:t>
      </w:r>
      <w:r>
        <w:rPr>
          <w:spacing w:val="8"/>
          <w:sz w:val="21"/>
        </w:rPr>
        <w:t> </w:t>
      </w:r>
      <w:r>
        <w:rPr>
          <w:w w:val="100"/>
          <w:sz w:val="21"/>
        </w:rPr>
        <w:t>l</w:t>
      </w:r>
      <w:r>
        <w:rPr>
          <w:spacing w:val="-1"/>
          <w:w w:val="100"/>
          <w:sz w:val="21"/>
        </w:rPr>
        <w:t>a</w:t>
      </w:r>
      <w:r>
        <w:rPr>
          <w:spacing w:val="-3"/>
          <w:w w:val="100"/>
          <w:sz w:val="21"/>
        </w:rPr>
        <w:t>n</w:t>
      </w:r>
      <w:r>
        <w:rPr>
          <w:w w:val="100"/>
          <w:sz w:val="21"/>
        </w:rPr>
        <w:t>d</w:t>
      </w:r>
      <w:r>
        <w:rPr>
          <w:sz w:val="21"/>
        </w:rPr>
        <w:t> </w:t>
      </w:r>
      <w:r>
        <w:rPr>
          <w:spacing w:val="8"/>
          <w:sz w:val="21"/>
        </w:rPr>
        <w:t> </w:t>
      </w:r>
      <w:r>
        <w:rPr>
          <w:w w:val="100"/>
          <w:sz w:val="21"/>
        </w:rPr>
        <w:t>in</w:t>
      </w:r>
      <w:r>
        <w:rPr>
          <w:sz w:val="21"/>
        </w:rPr>
        <w:t> </w:t>
      </w:r>
      <w:r>
        <w:rPr>
          <w:spacing w:val="10"/>
          <w:sz w:val="21"/>
        </w:rPr>
        <w:t> </w:t>
      </w:r>
      <w:r>
        <w:rPr>
          <w:spacing w:val="-3"/>
          <w:w w:val="100"/>
          <w:sz w:val="21"/>
        </w:rPr>
        <w:t>q</w:t>
      </w:r>
      <w:r>
        <w:rPr>
          <w:spacing w:val="-1"/>
          <w:w w:val="100"/>
          <w:sz w:val="21"/>
        </w:rPr>
        <w:t>ues</w:t>
      </w:r>
      <w:r>
        <w:rPr>
          <w:spacing w:val="-4"/>
          <w:w w:val="100"/>
          <w:sz w:val="21"/>
        </w:rPr>
        <w:t>t</w:t>
      </w:r>
      <w:r>
        <w:rPr>
          <w:w w:val="100"/>
          <w:sz w:val="21"/>
        </w:rPr>
        <w:t>i</w:t>
      </w:r>
      <w:r>
        <w:rPr>
          <w:spacing w:val="-1"/>
          <w:w w:val="100"/>
          <w:sz w:val="21"/>
        </w:rPr>
        <w:t>o</w:t>
      </w:r>
      <w:r>
        <w:rPr>
          <w:w w:val="100"/>
          <w:sz w:val="21"/>
        </w:rPr>
        <w:t>n</w:t>
      </w:r>
      <w:r>
        <w:rPr>
          <w:sz w:val="21"/>
        </w:rPr>
        <w:t> </w:t>
      </w:r>
      <w:r>
        <w:rPr>
          <w:spacing w:val="8"/>
          <w:sz w:val="21"/>
        </w:rPr>
        <w:t> </w:t>
      </w:r>
      <w:r>
        <w:rPr>
          <w:spacing w:val="-3"/>
          <w:w w:val="100"/>
          <w:sz w:val="21"/>
        </w:rPr>
        <w:t>u</w:t>
      </w:r>
      <w:r>
        <w:rPr>
          <w:spacing w:val="-1"/>
          <w:w w:val="100"/>
          <w:sz w:val="21"/>
        </w:rPr>
        <w:t>ndo</w:t>
      </w:r>
      <w:r>
        <w:rPr>
          <w:spacing w:val="-2"/>
          <w:w w:val="100"/>
          <w:sz w:val="21"/>
        </w:rPr>
        <w:t>u</w:t>
      </w:r>
      <w:r>
        <w:rPr>
          <w:spacing w:val="-1"/>
          <w:w w:val="100"/>
          <w:sz w:val="21"/>
        </w:rPr>
        <w:t>bte</w:t>
      </w:r>
      <w:r>
        <w:rPr>
          <w:spacing w:val="-3"/>
          <w:w w:val="100"/>
          <w:sz w:val="21"/>
        </w:rPr>
        <w:t>d</w:t>
      </w:r>
      <w:r>
        <w:rPr>
          <w:w w:val="100"/>
          <w:sz w:val="21"/>
        </w:rPr>
        <w:t>ly</w:t>
      </w:r>
      <w:r>
        <w:rPr>
          <w:sz w:val="21"/>
        </w:rPr>
        <w:t> </w:t>
      </w:r>
      <w:r>
        <w:rPr>
          <w:spacing w:val="7"/>
          <w:sz w:val="21"/>
        </w:rPr>
        <w:t> </w:t>
      </w:r>
      <w:r>
        <w:rPr>
          <w:spacing w:val="-1"/>
          <w:w w:val="100"/>
          <w:sz w:val="21"/>
        </w:rPr>
        <w:t>belon</w:t>
      </w:r>
      <w:r>
        <w:rPr>
          <w:spacing w:val="-2"/>
          <w:w w:val="100"/>
          <w:sz w:val="21"/>
        </w:rPr>
        <w:t>g</w:t>
      </w:r>
      <w:r>
        <w:rPr>
          <w:spacing w:val="-1"/>
          <w:w w:val="100"/>
          <w:sz w:val="21"/>
        </w:rPr>
        <w:t>e</w:t>
      </w:r>
      <w:r>
        <w:rPr>
          <w:w w:val="100"/>
          <w:sz w:val="21"/>
        </w:rPr>
        <w:t>d</w:t>
      </w:r>
      <w:r>
        <w:rPr>
          <w:sz w:val="21"/>
        </w:rPr>
        <w:t> </w:t>
      </w:r>
      <w:r>
        <w:rPr>
          <w:spacing w:val="10"/>
          <w:sz w:val="21"/>
        </w:rPr>
        <w:t> </w:t>
      </w:r>
      <w:r>
        <w:rPr>
          <w:spacing w:val="-2"/>
          <w:w w:val="100"/>
          <w:sz w:val="21"/>
        </w:rPr>
        <w:t>t</w:t>
      </w:r>
      <w:r>
        <w:rPr>
          <w:w w:val="100"/>
          <w:sz w:val="21"/>
        </w:rPr>
        <w:t>o</w:t>
      </w:r>
      <w:r>
        <w:rPr>
          <w:sz w:val="21"/>
        </w:rPr>
        <w:t> </w:t>
      </w:r>
      <w:r>
        <w:rPr>
          <w:spacing w:val="8"/>
          <w:sz w:val="21"/>
        </w:rPr>
        <w:t> </w:t>
      </w:r>
      <w:r>
        <w:rPr>
          <w:spacing w:val="-2"/>
          <w:w w:val="100"/>
          <w:sz w:val="21"/>
        </w:rPr>
        <w:t>t</w:t>
      </w:r>
      <w:r>
        <w:rPr>
          <w:spacing w:val="-1"/>
          <w:w w:val="100"/>
          <w:sz w:val="21"/>
        </w:rPr>
        <w:t>h</w:t>
      </w:r>
      <w:r>
        <w:rPr>
          <w:w w:val="100"/>
          <w:sz w:val="21"/>
        </w:rPr>
        <w:t>e</w:t>
      </w:r>
      <w:r>
        <w:rPr>
          <w:sz w:val="21"/>
        </w:rPr>
        <w:t> </w:t>
      </w:r>
      <w:r>
        <w:rPr>
          <w:spacing w:val="10"/>
          <w:sz w:val="21"/>
        </w:rPr>
        <w:t> </w:t>
      </w:r>
      <w:r>
        <w:rPr>
          <w:w w:val="100"/>
          <w:sz w:val="21"/>
        </w:rPr>
        <w:t>S</w:t>
      </w:r>
      <w:r>
        <w:rPr>
          <w:spacing w:val="-2"/>
          <w:w w:val="100"/>
          <w:sz w:val="21"/>
        </w:rPr>
        <w:t>t</w:t>
      </w:r>
      <w:r>
        <w:rPr>
          <w:spacing w:val="-1"/>
          <w:w w:val="100"/>
          <w:sz w:val="21"/>
        </w:rPr>
        <w:t>at</w:t>
      </w:r>
      <w:r>
        <w:rPr>
          <w:w w:val="100"/>
          <w:sz w:val="21"/>
        </w:rPr>
        <w:t>e </w:t>
      </w:r>
      <w:r>
        <w:rPr>
          <w:sz w:val="21"/>
        </w:rPr>
        <w:t>when the mosque in question was constructed on behalf of the State and as such it cannot be said that it could not be dedicated for the purposes of the</w:t>
      </w:r>
      <w:r>
        <w:rPr>
          <w:spacing w:val="-15"/>
          <w:sz w:val="21"/>
        </w:rPr>
        <w:t> </w:t>
      </w:r>
      <w:r>
        <w:rPr>
          <w:sz w:val="21"/>
        </w:rPr>
        <w:t>mosque.‖</w:t>
      </w:r>
    </w:p>
    <w:p>
      <w:pPr>
        <w:pStyle w:val="BodyText"/>
        <w:rPr>
          <w:sz w:val="24"/>
        </w:rPr>
      </w:pPr>
    </w:p>
    <w:p>
      <w:pPr>
        <w:pStyle w:val="BodyText"/>
        <w:rPr>
          <w:sz w:val="26"/>
        </w:rPr>
      </w:pPr>
    </w:p>
    <w:p>
      <w:pPr>
        <w:pStyle w:val="BodyText"/>
        <w:spacing w:line="480" w:lineRule="auto"/>
        <w:ind w:left="500" w:right="438"/>
        <w:jc w:val="both"/>
      </w:pPr>
      <w:r>
        <w:rPr/>
        <w:t>Justice Sudhir Agarwal has traced the historical context by referring to two orders issued under the authority of the Lt. Governor of the North-Western provinces in October 1846 and October 1848 wherein, after the words of ‗Nazul property‘ its </w:t>
      </w:r>
      <w:r>
        <w:rPr>
          <w:spacing w:val="-1"/>
          <w:w w:val="99"/>
        </w:rPr>
        <w:t>En</w:t>
      </w:r>
      <w:r>
        <w:rPr>
          <w:w w:val="99"/>
        </w:rPr>
        <w:t>g</w:t>
      </w:r>
      <w:r>
        <w:rPr>
          <w:spacing w:val="-1"/>
          <w:w w:val="99"/>
        </w:rPr>
        <w:t>lis</w:t>
      </w:r>
      <w:r>
        <w:rPr>
          <w:w w:val="99"/>
        </w:rPr>
        <w:t>h</w:t>
      </w:r>
      <w:r>
        <w:rPr/>
        <w:t> </w:t>
      </w:r>
      <w:r>
        <w:rPr>
          <w:spacing w:val="-17"/>
        </w:rPr>
        <w:t> </w:t>
      </w:r>
      <w:r>
        <w:rPr>
          <w:w w:val="99"/>
        </w:rPr>
        <w:t>m</w:t>
      </w:r>
      <w:r>
        <w:rPr>
          <w:spacing w:val="-1"/>
          <w:w w:val="99"/>
        </w:rPr>
        <w:t>e</w:t>
      </w:r>
      <w:r>
        <w:rPr>
          <w:w w:val="99"/>
        </w:rPr>
        <w:t>a</w:t>
      </w:r>
      <w:r>
        <w:rPr>
          <w:spacing w:val="-1"/>
          <w:w w:val="99"/>
        </w:rPr>
        <w:t>nin</w:t>
      </w:r>
      <w:r>
        <w:rPr>
          <w:w w:val="99"/>
        </w:rPr>
        <w:t>g</w:t>
      </w:r>
      <w:r>
        <w:rPr/>
        <w:t> </w:t>
      </w:r>
      <w:r>
        <w:rPr>
          <w:spacing w:val="-17"/>
        </w:rPr>
        <w:t> </w:t>
      </w:r>
      <w:r>
        <w:rPr>
          <w:spacing w:val="-1"/>
          <w:w w:val="99"/>
        </w:rPr>
        <w:t>wa</w:t>
      </w:r>
      <w:r>
        <w:rPr>
          <w:w w:val="99"/>
        </w:rPr>
        <w:t>s</w:t>
      </w:r>
      <w:r>
        <w:rPr/>
        <w:t> </w:t>
      </w:r>
      <w:r>
        <w:rPr>
          <w:spacing w:val="-17"/>
        </w:rPr>
        <w:t> </w:t>
      </w:r>
      <w:r>
        <w:rPr>
          <w:spacing w:val="-1"/>
          <w:w w:val="99"/>
        </w:rPr>
        <w:t>indic</w:t>
      </w:r>
      <w:r>
        <w:rPr>
          <w:w w:val="99"/>
        </w:rPr>
        <w:t>ated</w:t>
      </w:r>
      <w:r>
        <w:rPr/>
        <w:t> </w:t>
      </w:r>
      <w:r>
        <w:rPr>
          <w:spacing w:val="-17"/>
        </w:rPr>
        <w:t> </w:t>
      </w:r>
      <w:r>
        <w:rPr>
          <w:spacing w:val="-1"/>
          <w:w w:val="99"/>
        </w:rPr>
        <w:t>a</w:t>
      </w:r>
      <w:r>
        <w:rPr>
          <w:w w:val="99"/>
        </w:rPr>
        <w:t>s</w:t>
      </w:r>
      <w:r>
        <w:rPr/>
        <w:t> </w:t>
      </w:r>
      <w:r>
        <w:rPr>
          <w:spacing w:val="-17"/>
        </w:rPr>
        <w:t> </w:t>
      </w:r>
      <w:r>
        <w:rPr>
          <w:w w:val="33"/>
        </w:rPr>
        <w:t>―</w:t>
      </w:r>
      <w:r>
        <w:rPr>
          <w:spacing w:val="-1"/>
          <w:w w:val="99"/>
        </w:rPr>
        <w:t>esc</w:t>
      </w:r>
      <w:r>
        <w:rPr>
          <w:spacing w:val="-2"/>
          <w:w w:val="99"/>
        </w:rPr>
        <w:t>h</w:t>
      </w:r>
      <w:r>
        <w:rPr>
          <w:spacing w:val="-1"/>
          <w:w w:val="99"/>
        </w:rPr>
        <w:t>e</w:t>
      </w:r>
      <w:r>
        <w:rPr>
          <w:w w:val="99"/>
        </w:rPr>
        <w:t>ats</w:t>
      </w:r>
      <w:r>
        <w:rPr/>
        <w:t> </w:t>
      </w:r>
      <w:r>
        <w:rPr>
          <w:spacing w:val="-17"/>
        </w:rPr>
        <w:t> </w:t>
      </w:r>
      <w:r>
        <w:rPr>
          <w:w w:val="99"/>
        </w:rPr>
        <w:t>to</w:t>
      </w:r>
      <w:r>
        <w:rPr/>
        <w:t> </w:t>
      </w:r>
      <w:r>
        <w:rPr>
          <w:spacing w:val="-17"/>
        </w:rPr>
        <w:t> </w:t>
      </w:r>
      <w:r>
        <w:rPr>
          <w:w w:val="99"/>
        </w:rPr>
        <w:t>the</w:t>
      </w:r>
      <w:r>
        <w:rPr/>
        <w:t> </w:t>
      </w:r>
      <w:r>
        <w:rPr>
          <w:spacing w:val="-17"/>
        </w:rPr>
        <w:t> </w:t>
      </w:r>
      <w:r>
        <w:rPr>
          <w:spacing w:val="-1"/>
          <w:w w:val="99"/>
        </w:rPr>
        <w:t>g</w:t>
      </w:r>
      <w:r>
        <w:rPr>
          <w:w w:val="99"/>
        </w:rPr>
        <w:t>o</w:t>
      </w:r>
      <w:r>
        <w:rPr>
          <w:spacing w:val="-3"/>
          <w:w w:val="99"/>
        </w:rPr>
        <w:t>v</w:t>
      </w:r>
      <w:r>
        <w:rPr>
          <w:spacing w:val="-1"/>
          <w:w w:val="99"/>
        </w:rPr>
        <w:t>e</w:t>
      </w:r>
      <w:r>
        <w:rPr>
          <w:w w:val="99"/>
        </w:rPr>
        <w:t>r</w:t>
      </w:r>
      <w:r>
        <w:rPr>
          <w:spacing w:val="-1"/>
          <w:w w:val="99"/>
        </w:rPr>
        <w:t>n</w:t>
      </w:r>
      <w:r>
        <w:rPr>
          <w:spacing w:val="-2"/>
          <w:w w:val="99"/>
        </w:rPr>
        <w:t>m</w:t>
      </w:r>
      <w:r>
        <w:rPr>
          <w:spacing w:val="-1"/>
          <w:w w:val="99"/>
        </w:rPr>
        <w:t>e</w:t>
      </w:r>
      <w:r>
        <w:rPr>
          <w:w w:val="99"/>
        </w:rPr>
        <w:t>n</w:t>
      </w:r>
      <w:r>
        <w:rPr>
          <w:w w:val="88"/>
        </w:rPr>
        <w:t>t‖</w:t>
      </w:r>
      <w:r>
        <w:rPr>
          <w:w w:val="99"/>
        </w:rPr>
        <w:t>.</w:t>
      </w:r>
      <w:r>
        <w:rPr/>
        <w:t> </w:t>
      </w:r>
      <w:r>
        <w:rPr>
          <w:spacing w:val="-17"/>
        </w:rPr>
        <w:t> </w:t>
      </w:r>
      <w:r>
        <w:rPr>
          <w:w w:val="99"/>
        </w:rPr>
        <w:t>On</w:t>
      </w:r>
      <w:r>
        <w:rPr/>
        <w:t> </w:t>
      </w:r>
      <w:r>
        <w:rPr>
          <w:spacing w:val="-17"/>
        </w:rPr>
        <w:t> </w:t>
      </w:r>
      <w:r>
        <w:rPr>
          <w:spacing w:val="-1"/>
          <w:w w:val="99"/>
        </w:rPr>
        <w:t>2</w:t>
      </w:r>
      <w:r>
        <w:rPr>
          <w:w w:val="99"/>
        </w:rPr>
        <w:t>0</w:t>
      </w:r>
      <w:r>
        <w:rPr/>
        <w:t> </w:t>
      </w:r>
      <w:r>
        <w:rPr>
          <w:spacing w:val="-17"/>
        </w:rPr>
        <w:t> </w:t>
      </w:r>
      <w:r>
        <w:rPr>
          <w:spacing w:val="-4"/>
          <w:w w:val="99"/>
        </w:rPr>
        <w:t>M</w:t>
      </w:r>
      <w:r>
        <w:rPr>
          <w:spacing w:val="2"/>
          <w:w w:val="99"/>
        </w:rPr>
        <w:t>a</w:t>
      </w:r>
      <w:r>
        <w:rPr>
          <w:w w:val="99"/>
        </w:rPr>
        <w:t>y </w:t>
      </w:r>
      <w:r>
        <w:rPr/>
        <w:t>1845, the Sadar Board of Revenue issued a circular order in reference to Nazul land</w:t>
      </w:r>
      <w:r>
        <w:rPr>
          <w:spacing w:val="-1"/>
        </w:rPr>
        <w:t> </w:t>
      </w:r>
      <w:r>
        <w:rPr/>
        <w:t>stating:</w:t>
      </w:r>
    </w:p>
    <w:p>
      <w:pPr>
        <w:spacing w:line="273" w:lineRule="auto" w:before="1"/>
        <w:ind w:left="1940" w:right="2261" w:firstLine="0"/>
        <w:jc w:val="both"/>
        <w:rPr>
          <w:sz w:val="21"/>
        </w:rPr>
      </w:pPr>
      <w:r>
        <w:rPr>
          <w:w w:val="33"/>
          <w:sz w:val="21"/>
        </w:rPr>
        <w:t>―</w:t>
      </w:r>
      <w:r>
        <w:rPr>
          <w:w w:val="100"/>
          <w:sz w:val="21"/>
        </w:rPr>
        <w:t>The</w:t>
      </w:r>
      <w:r>
        <w:rPr>
          <w:sz w:val="21"/>
        </w:rPr>
        <w:t> </w:t>
      </w:r>
      <w:r>
        <w:rPr>
          <w:w w:val="100"/>
          <w:sz w:val="21"/>
        </w:rPr>
        <w:t>Government</w:t>
      </w:r>
      <w:r>
        <w:rPr>
          <w:sz w:val="21"/>
        </w:rPr>
        <w:t> </w:t>
      </w:r>
      <w:r>
        <w:rPr>
          <w:w w:val="100"/>
          <w:sz w:val="21"/>
        </w:rPr>
        <w:t>is</w:t>
      </w:r>
      <w:r>
        <w:rPr>
          <w:sz w:val="21"/>
        </w:rPr>
        <w:t> </w:t>
      </w:r>
      <w:r>
        <w:rPr>
          <w:w w:val="100"/>
          <w:sz w:val="21"/>
        </w:rPr>
        <w:t>the</w:t>
      </w:r>
      <w:r>
        <w:rPr>
          <w:sz w:val="21"/>
        </w:rPr>
        <w:t> </w:t>
      </w:r>
      <w:r>
        <w:rPr>
          <w:w w:val="100"/>
          <w:sz w:val="21"/>
        </w:rPr>
        <w:t>proprietor</w:t>
      </w:r>
      <w:r>
        <w:rPr>
          <w:sz w:val="21"/>
        </w:rPr>
        <w:t> </w:t>
      </w:r>
      <w:r>
        <w:rPr>
          <w:w w:val="100"/>
          <w:sz w:val="21"/>
        </w:rPr>
        <w:t>of</w:t>
      </w:r>
      <w:r>
        <w:rPr>
          <w:sz w:val="21"/>
        </w:rPr>
        <w:t> </w:t>
      </w:r>
      <w:r>
        <w:rPr>
          <w:w w:val="100"/>
          <w:sz w:val="21"/>
        </w:rPr>
        <w:t>those</w:t>
      </w:r>
      <w:r>
        <w:rPr>
          <w:sz w:val="21"/>
        </w:rPr>
        <w:t> </w:t>
      </w:r>
      <w:r>
        <w:rPr>
          <w:w w:val="100"/>
          <w:sz w:val="21"/>
        </w:rPr>
        <w:t>land</w:t>
      </w:r>
      <w:r>
        <w:rPr>
          <w:sz w:val="21"/>
        </w:rPr>
        <w:t> </w:t>
      </w:r>
      <w:r>
        <w:rPr>
          <w:w w:val="100"/>
          <w:sz w:val="21"/>
        </w:rPr>
        <w:t>and</w:t>
      </w:r>
      <w:r>
        <w:rPr>
          <w:sz w:val="21"/>
        </w:rPr>
        <w:t> </w:t>
      </w:r>
      <w:r>
        <w:rPr>
          <w:w w:val="100"/>
          <w:sz w:val="21"/>
        </w:rPr>
        <w:t>no</w:t>
      </w:r>
      <w:r>
        <w:rPr>
          <w:sz w:val="21"/>
        </w:rPr>
        <w:t> </w:t>
      </w:r>
      <w:r>
        <w:rPr>
          <w:w w:val="100"/>
          <w:sz w:val="21"/>
        </w:rPr>
        <w:t>valid </w:t>
      </w:r>
      <w:r>
        <w:rPr>
          <w:sz w:val="21"/>
        </w:rPr>
        <w:t>title to them can be derived but from the Government.‖</w:t>
      </w:r>
    </w:p>
    <w:p>
      <w:pPr>
        <w:spacing w:after="0" w:line="273" w:lineRule="auto"/>
        <w:jc w:val="both"/>
        <w:rPr>
          <w:sz w:val="21"/>
        </w:rPr>
        <w:sectPr>
          <w:pgSz w:w="11910" w:h="16840"/>
          <w:pgMar w:header="721" w:footer="1014" w:top="1300" w:bottom="1200" w:left="940" w:right="1000"/>
        </w:sectPr>
      </w:pPr>
    </w:p>
    <w:p>
      <w:pPr>
        <w:pStyle w:val="ListParagraph"/>
        <w:numPr>
          <w:ilvl w:val="0"/>
          <w:numId w:val="231"/>
        </w:numPr>
        <w:tabs>
          <w:tab w:pos="1221" w:val="left" w:leader="none"/>
        </w:tabs>
        <w:spacing w:line="480" w:lineRule="auto" w:before="124" w:after="0"/>
        <w:ind w:left="500" w:right="434" w:firstLine="0"/>
        <w:jc w:val="both"/>
        <w:rPr>
          <w:sz w:val="25"/>
        </w:rPr>
      </w:pPr>
      <w:r>
        <w:rPr>
          <w:sz w:val="25"/>
        </w:rPr>
        <w:t>Under the circular dated 13 July 1859 issued by the Government of North- Western Provinces, every Commissioner was required to maintain a final confiscation statement of each district and to present it before the government for orders. The Kingdom of Oudh was annexed by the East India Company in 1856. After the revolt broke out in May 1857, a substantial area of the North Western Provinces vested in the Government. As a consequence of the failure of the revolt, Lord Canning as the Governor General issued a proclamation on 15 May 1858 confiscating proprietary rights in the soil with the exception of 5 or  6 persons who had supported the colonial government. This land was initially resettled for three years and then permanent proprietary rights were given to talukdars and zamindars by the grant by sanad under the Crown Grants Act. With effect from 1 November 1858, the entire territory under the control of the East India Company was placed under the British Crown. In the first settlement of 1861, the land in dispute was shown as Nazul, a status which was continuously maintained.</w:t>
      </w:r>
    </w:p>
    <w:p>
      <w:pPr>
        <w:pStyle w:val="BodyText"/>
        <w:rPr>
          <w:sz w:val="39"/>
        </w:rPr>
      </w:pPr>
    </w:p>
    <w:p>
      <w:pPr>
        <w:pStyle w:val="ListParagraph"/>
        <w:numPr>
          <w:ilvl w:val="0"/>
          <w:numId w:val="231"/>
        </w:numPr>
        <w:tabs>
          <w:tab w:pos="1221" w:val="left" w:leader="none"/>
        </w:tabs>
        <w:spacing w:line="480" w:lineRule="auto" w:before="0" w:after="0"/>
        <w:ind w:left="500" w:right="437" w:firstLine="0"/>
        <w:jc w:val="both"/>
        <w:rPr>
          <w:sz w:val="25"/>
        </w:rPr>
      </w:pPr>
      <w:r>
        <w:rPr>
          <w:sz w:val="25"/>
        </w:rPr>
        <w:t>Sri Ram Sharan Srivastava (DW 2 /1-2), who was the Collector at Faizabad between July 1987 and 1990 has deposed in the following</w:t>
      </w:r>
      <w:r>
        <w:rPr>
          <w:spacing w:val="-18"/>
          <w:sz w:val="25"/>
        </w:rPr>
        <w:t> </w:t>
      </w:r>
      <w:r>
        <w:rPr>
          <w:sz w:val="25"/>
        </w:rPr>
        <w:t>terms:</w:t>
      </w:r>
    </w:p>
    <w:p>
      <w:pPr>
        <w:spacing w:before="160"/>
        <w:ind w:left="1940" w:right="0" w:firstLine="0"/>
        <w:jc w:val="both"/>
        <w:rPr>
          <w:sz w:val="21"/>
        </w:rPr>
      </w:pPr>
      <w:r>
        <w:rPr>
          <w:spacing w:val="-1"/>
          <w:w w:val="33"/>
          <w:sz w:val="21"/>
        </w:rPr>
        <w:t>―</w:t>
      </w:r>
      <w:r>
        <w:rPr>
          <w:w w:val="100"/>
          <w:sz w:val="21"/>
        </w:rPr>
        <w:t>The</w:t>
      </w:r>
      <w:r>
        <w:rPr>
          <w:spacing w:val="3"/>
          <w:sz w:val="21"/>
        </w:rPr>
        <w:t> </w:t>
      </w:r>
      <w:r>
        <w:rPr>
          <w:spacing w:val="-1"/>
          <w:w w:val="100"/>
          <w:sz w:val="21"/>
        </w:rPr>
        <w:t>re</w:t>
      </w:r>
      <w:r>
        <w:rPr>
          <w:spacing w:val="-3"/>
          <w:w w:val="100"/>
          <w:sz w:val="21"/>
        </w:rPr>
        <w:t>c</w:t>
      </w:r>
      <w:r>
        <w:rPr>
          <w:spacing w:val="-1"/>
          <w:w w:val="100"/>
          <w:sz w:val="21"/>
        </w:rPr>
        <w:t>ord</w:t>
      </w:r>
      <w:r>
        <w:rPr>
          <w:w w:val="100"/>
          <w:sz w:val="21"/>
        </w:rPr>
        <w:t>s</w:t>
      </w:r>
      <w:r>
        <w:rPr>
          <w:spacing w:val="3"/>
          <w:sz w:val="21"/>
        </w:rPr>
        <w:t> </w:t>
      </w:r>
      <w:r>
        <w:rPr>
          <w:spacing w:val="-3"/>
          <w:w w:val="100"/>
          <w:sz w:val="21"/>
        </w:rPr>
        <w:t>o</w:t>
      </w:r>
      <w:r>
        <w:rPr>
          <w:w w:val="100"/>
          <w:sz w:val="21"/>
        </w:rPr>
        <w:t>f</w:t>
      </w:r>
      <w:r>
        <w:rPr>
          <w:spacing w:val="4"/>
          <w:sz w:val="21"/>
        </w:rPr>
        <w:t> </w:t>
      </w:r>
      <w:r>
        <w:rPr>
          <w:spacing w:val="-2"/>
          <w:w w:val="100"/>
          <w:sz w:val="21"/>
        </w:rPr>
        <w:t>t</w:t>
      </w:r>
      <w:r>
        <w:rPr>
          <w:spacing w:val="-1"/>
          <w:w w:val="100"/>
          <w:sz w:val="21"/>
        </w:rPr>
        <w:t>hr</w:t>
      </w:r>
      <w:r>
        <w:rPr>
          <w:spacing w:val="-3"/>
          <w:w w:val="100"/>
          <w:sz w:val="21"/>
        </w:rPr>
        <w:t>e</w:t>
      </w:r>
      <w:r>
        <w:rPr>
          <w:w w:val="100"/>
          <w:sz w:val="21"/>
        </w:rPr>
        <w:t>e</w:t>
      </w:r>
      <w:r>
        <w:rPr>
          <w:spacing w:val="3"/>
          <w:sz w:val="21"/>
        </w:rPr>
        <w:t> </w:t>
      </w:r>
      <w:r>
        <w:rPr>
          <w:spacing w:val="-1"/>
          <w:w w:val="100"/>
          <w:sz w:val="21"/>
        </w:rPr>
        <w:t>re</w:t>
      </w:r>
      <w:r>
        <w:rPr>
          <w:spacing w:val="-3"/>
          <w:w w:val="100"/>
          <w:sz w:val="21"/>
        </w:rPr>
        <w:t>v</w:t>
      </w:r>
      <w:r>
        <w:rPr>
          <w:spacing w:val="-1"/>
          <w:w w:val="100"/>
          <w:sz w:val="21"/>
        </w:rPr>
        <w:t>enu</w:t>
      </w:r>
      <w:r>
        <w:rPr>
          <w:w w:val="100"/>
          <w:sz w:val="21"/>
        </w:rPr>
        <w:t>e</w:t>
      </w:r>
      <w:r>
        <w:rPr>
          <w:spacing w:val="4"/>
          <w:sz w:val="21"/>
        </w:rPr>
        <w:t> </w:t>
      </w:r>
      <w:r>
        <w:rPr>
          <w:w w:val="100"/>
          <w:sz w:val="21"/>
        </w:rPr>
        <w:t>se</w:t>
      </w:r>
      <w:r>
        <w:rPr>
          <w:spacing w:val="-1"/>
          <w:w w:val="100"/>
          <w:sz w:val="21"/>
        </w:rPr>
        <w:t>t</w:t>
      </w:r>
      <w:r>
        <w:rPr>
          <w:spacing w:val="-2"/>
          <w:w w:val="100"/>
          <w:sz w:val="21"/>
        </w:rPr>
        <w:t>tl</w:t>
      </w:r>
      <w:r>
        <w:rPr>
          <w:spacing w:val="-3"/>
          <w:w w:val="100"/>
          <w:sz w:val="21"/>
        </w:rPr>
        <w:t>e</w:t>
      </w:r>
      <w:r>
        <w:rPr>
          <w:spacing w:val="1"/>
          <w:w w:val="100"/>
          <w:sz w:val="21"/>
        </w:rPr>
        <w:t>m</w:t>
      </w:r>
      <w:r>
        <w:rPr>
          <w:spacing w:val="-3"/>
          <w:w w:val="100"/>
          <w:sz w:val="21"/>
        </w:rPr>
        <w:t>e</w:t>
      </w:r>
      <w:r>
        <w:rPr>
          <w:spacing w:val="-1"/>
          <w:w w:val="100"/>
          <w:sz w:val="21"/>
        </w:rPr>
        <w:t>nt</w:t>
      </w:r>
      <w:r>
        <w:rPr>
          <w:w w:val="100"/>
          <w:sz w:val="21"/>
        </w:rPr>
        <w:t>s</w:t>
      </w:r>
      <w:r>
        <w:rPr>
          <w:spacing w:val="3"/>
          <w:sz w:val="21"/>
        </w:rPr>
        <w:t> </w:t>
      </w:r>
      <w:r>
        <w:rPr>
          <w:spacing w:val="-1"/>
          <w:w w:val="100"/>
          <w:sz w:val="21"/>
        </w:rPr>
        <w:t>o</w:t>
      </w:r>
      <w:r>
        <w:rPr>
          <w:w w:val="100"/>
          <w:sz w:val="21"/>
        </w:rPr>
        <w:t>f</w:t>
      </w:r>
      <w:r>
        <w:rPr>
          <w:spacing w:val="4"/>
          <w:sz w:val="21"/>
        </w:rPr>
        <w:t> </w:t>
      </w:r>
      <w:r>
        <w:rPr>
          <w:spacing w:val="-3"/>
          <w:w w:val="100"/>
          <w:sz w:val="21"/>
        </w:rPr>
        <w:t>y</w:t>
      </w:r>
      <w:r>
        <w:rPr>
          <w:spacing w:val="-1"/>
          <w:w w:val="100"/>
          <w:sz w:val="21"/>
        </w:rPr>
        <w:t>ea</w:t>
      </w:r>
      <w:r>
        <w:rPr>
          <w:w w:val="100"/>
          <w:sz w:val="21"/>
        </w:rPr>
        <w:t>r</w:t>
      </w:r>
      <w:r>
        <w:rPr>
          <w:spacing w:val="3"/>
          <w:sz w:val="21"/>
        </w:rPr>
        <w:t> </w:t>
      </w:r>
      <w:r>
        <w:rPr>
          <w:spacing w:val="-3"/>
          <w:w w:val="100"/>
          <w:sz w:val="21"/>
        </w:rPr>
        <w:t>1</w:t>
      </w:r>
      <w:r>
        <w:rPr>
          <w:spacing w:val="-1"/>
          <w:w w:val="100"/>
          <w:sz w:val="21"/>
        </w:rPr>
        <w:t>861,1</w:t>
      </w:r>
      <w:r>
        <w:rPr>
          <w:spacing w:val="-3"/>
          <w:w w:val="100"/>
          <w:sz w:val="21"/>
        </w:rPr>
        <w:t>8</w:t>
      </w:r>
      <w:r>
        <w:rPr>
          <w:spacing w:val="-1"/>
          <w:w w:val="100"/>
          <w:sz w:val="21"/>
        </w:rPr>
        <w:t>9</w:t>
      </w:r>
      <w:r>
        <w:rPr>
          <w:spacing w:val="5"/>
          <w:w w:val="100"/>
          <w:sz w:val="21"/>
        </w:rPr>
        <w:t>3</w:t>
      </w:r>
      <w:r>
        <w:rPr>
          <w:w w:val="100"/>
          <w:sz w:val="21"/>
        </w:rPr>
        <w:t>-</w:t>
      </w:r>
    </w:p>
    <w:p>
      <w:pPr>
        <w:spacing w:line="276" w:lineRule="auto" w:before="35"/>
        <w:ind w:left="1940" w:right="2255" w:firstLine="0"/>
        <w:jc w:val="both"/>
        <w:rPr>
          <w:sz w:val="21"/>
        </w:rPr>
      </w:pPr>
      <w:r>
        <w:rPr>
          <w:sz w:val="21"/>
        </w:rPr>
        <w:t>94 &amp;1936-37 were available in the revenue record room under me. These records included khasra, khatauni, khewat and the reports of the three settlements were available separately besides them. The survey report of 1931 in  respect of nazul land, was also included besides the three settlements and reports. The khasra, khatauni &amp; khewat prepared on basis of survey of 1931, were also available. In the records of all the three settlements and the nazul survey, the disputed site has been mentioned as Janmsthan and at places Ramjanmbhumi has also been</w:t>
      </w:r>
      <w:r>
        <w:rPr>
          <w:spacing w:val="-16"/>
          <w:sz w:val="21"/>
        </w:rPr>
        <w:t> </w:t>
      </w:r>
      <w:r>
        <w:rPr>
          <w:sz w:val="21"/>
        </w:rPr>
        <w:t>mentioned.‖</w:t>
      </w:r>
    </w:p>
    <w:p>
      <w:pPr>
        <w:spacing w:after="0" w:line="276" w:lineRule="auto"/>
        <w:jc w:val="both"/>
        <w:rPr>
          <w:sz w:val="21"/>
        </w:rPr>
        <w:sectPr>
          <w:pgSz w:w="11910" w:h="16840"/>
          <w:pgMar w:header="721" w:footer="1014" w:top="1300" w:bottom="1200" w:left="940" w:right="1000"/>
        </w:sectPr>
      </w:pPr>
    </w:p>
    <w:p>
      <w:pPr>
        <w:pStyle w:val="BodyText"/>
        <w:spacing w:before="124"/>
        <w:ind w:left="500"/>
      </w:pPr>
      <w:r>
        <w:rPr/>
        <w:t>The witness further stated:</w:t>
      </w:r>
    </w:p>
    <w:p>
      <w:pPr>
        <w:pStyle w:val="BodyText"/>
      </w:pPr>
    </w:p>
    <w:p>
      <w:pPr>
        <w:spacing w:line="276" w:lineRule="auto" w:before="0"/>
        <w:ind w:left="1940" w:right="2253" w:firstLine="0"/>
        <w:jc w:val="both"/>
        <w:rPr>
          <w:sz w:val="21"/>
        </w:rPr>
      </w:pPr>
      <w:r>
        <w:rPr>
          <w:spacing w:val="-1"/>
          <w:w w:val="33"/>
          <w:sz w:val="21"/>
        </w:rPr>
        <w:t>―</w:t>
      </w:r>
      <w:r>
        <w:rPr>
          <w:w w:val="100"/>
          <w:sz w:val="21"/>
        </w:rPr>
        <w:t>The</w:t>
      </w:r>
      <w:r>
        <w:rPr>
          <w:spacing w:val="3"/>
          <w:sz w:val="21"/>
        </w:rPr>
        <w:t> </w:t>
      </w:r>
      <w:r>
        <w:rPr>
          <w:spacing w:val="-1"/>
          <w:w w:val="100"/>
          <w:sz w:val="21"/>
        </w:rPr>
        <w:t>n</w:t>
      </w:r>
      <w:r>
        <w:rPr>
          <w:spacing w:val="-3"/>
          <w:w w:val="100"/>
          <w:sz w:val="21"/>
        </w:rPr>
        <w:t>u</w:t>
      </w:r>
      <w:r>
        <w:rPr>
          <w:spacing w:val="1"/>
          <w:w w:val="100"/>
          <w:sz w:val="21"/>
        </w:rPr>
        <w:t>m</w:t>
      </w:r>
      <w:r>
        <w:rPr>
          <w:spacing w:val="-3"/>
          <w:w w:val="100"/>
          <w:sz w:val="21"/>
        </w:rPr>
        <w:t>b</w:t>
      </w:r>
      <w:r>
        <w:rPr>
          <w:spacing w:val="1"/>
          <w:w w:val="100"/>
          <w:sz w:val="21"/>
        </w:rPr>
        <w:t>e</w:t>
      </w:r>
      <w:r>
        <w:rPr>
          <w:spacing w:val="-1"/>
          <w:w w:val="100"/>
          <w:sz w:val="21"/>
        </w:rPr>
        <w:t>r</w:t>
      </w:r>
      <w:r>
        <w:rPr>
          <w:w w:val="100"/>
          <w:sz w:val="21"/>
        </w:rPr>
        <w:t>s</w:t>
      </w:r>
      <w:r>
        <w:rPr>
          <w:spacing w:val="3"/>
          <w:sz w:val="21"/>
        </w:rPr>
        <w:t> </w:t>
      </w:r>
      <w:r>
        <w:rPr>
          <w:w w:val="100"/>
          <w:sz w:val="21"/>
        </w:rPr>
        <w:t>of</w:t>
      </w:r>
      <w:r>
        <w:rPr>
          <w:spacing w:val="7"/>
          <w:sz w:val="21"/>
        </w:rPr>
        <w:t> </w:t>
      </w:r>
      <w:r>
        <w:rPr>
          <w:spacing w:val="-4"/>
          <w:w w:val="100"/>
          <w:sz w:val="21"/>
        </w:rPr>
        <w:t>t</w:t>
      </w:r>
      <w:r>
        <w:rPr>
          <w:w w:val="100"/>
          <w:sz w:val="21"/>
        </w:rPr>
        <w:t>he</w:t>
      </w:r>
      <w:r>
        <w:rPr>
          <w:spacing w:val="4"/>
          <w:sz w:val="21"/>
        </w:rPr>
        <w:t> </w:t>
      </w:r>
      <w:r>
        <w:rPr>
          <w:w w:val="100"/>
          <w:sz w:val="21"/>
        </w:rPr>
        <w:t>l</w:t>
      </w:r>
      <w:r>
        <w:rPr>
          <w:w w:val="100"/>
          <w:sz w:val="21"/>
        </w:rPr>
        <w:t>ast</w:t>
      </w:r>
      <w:r>
        <w:rPr>
          <w:spacing w:val="2"/>
          <w:sz w:val="21"/>
        </w:rPr>
        <w:t> </w:t>
      </w:r>
      <w:r>
        <w:rPr>
          <w:w w:val="100"/>
          <w:sz w:val="21"/>
        </w:rPr>
        <w:t>se</w:t>
      </w:r>
      <w:r>
        <w:rPr>
          <w:spacing w:val="-1"/>
          <w:w w:val="100"/>
          <w:sz w:val="21"/>
        </w:rPr>
        <w:t>t</w:t>
      </w:r>
      <w:r>
        <w:rPr>
          <w:spacing w:val="-2"/>
          <w:w w:val="100"/>
          <w:sz w:val="21"/>
        </w:rPr>
        <w:t>t</w:t>
      </w:r>
      <w:r>
        <w:rPr>
          <w:w w:val="100"/>
          <w:sz w:val="21"/>
        </w:rPr>
        <w:t>l</w:t>
      </w:r>
      <w:r>
        <w:rPr>
          <w:spacing w:val="-3"/>
          <w:w w:val="100"/>
          <w:sz w:val="21"/>
        </w:rPr>
        <w:t>e</w:t>
      </w:r>
      <w:r>
        <w:rPr>
          <w:spacing w:val="1"/>
          <w:w w:val="100"/>
          <w:sz w:val="21"/>
        </w:rPr>
        <w:t>m</w:t>
      </w:r>
      <w:r>
        <w:rPr>
          <w:spacing w:val="-3"/>
          <w:w w:val="100"/>
          <w:sz w:val="21"/>
        </w:rPr>
        <w:t>e</w:t>
      </w:r>
      <w:r>
        <w:rPr>
          <w:w w:val="100"/>
          <w:sz w:val="21"/>
        </w:rPr>
        <w:t>nt</w:t>
      </w:r>
      <w:r>
        <w:rPr>
          <w:spacing w:val="5"/>
          <w:sz w:val="21"/>
        </w:rPr>
        <w:t> </w:t>
      </w:r>
      <w:r>
        <w:rPr>
          <w:spacing w:val="-2"/>
          <w:w w:val="100"/>
          <w:sz w:val="21"/>
        </w:rPr>
        <w:t>w</w:t>
      </w:r>
      <w:r>
        <w:rPr>
          <w:w w:val="100"/>
          <w:sz w:val="21"/>
        </w:rPr>
        <w:t>ere</w:t>
      </w:r>
      <w:r>
        <w:rPr>
          <w:spacing w:val="3"/>
          <w:sz w:val="21"/>
        </w:rPr>
        <w:t> </w:t>
      </w:r>
      <w:r>
        <w:rPr>
          <w:w w:val="100"/>
          <w:sz w:val="21"/>
        </w:rPr>
        <w:t>159,</w:t>
      </w:r>
      <w:r>
        <w:rPr>
          <w:spacing w:val="3"/>
          <w:sz w:val="21"/>
        </w:rPr>
        <w:t> </w:t>
      </w:r>
      <w:r>
        <w:rPr>
          <w:w w:val="100"/>
          <w:sz w:val="21"/>
        </w:rPr>
        <w:t>160</w:t>
      </w:r>
      <w:r>
        <w:rPr>
          <w:spacing w:val="4"/>
          <w:sz w:val="21"/>
        </w:rPr>
        <w:t> </w:t>
      </w:r>
      <w:r>
        <w:rPr>
          <w:w w:val="100"/>
          <w:sz w:val="21"/>
        </w:rPr>
        <w:t>and</w:t>
      </w:r>
      <w:r>
        <w:rPr>
          <w:spacing w:val="4"/>
          <w:sz w:val="21"/>
        </w:rPr>
        <w:t> </w:t>
      </w:r>
      <w:r>
        <w:rPr>
          <w:w w:val="100"/>
          <w:sz w:val="21"/>
        </w:rPr>
        <w:t>16</w:t>
      </w:r>
      <w:r>
        <w:rPr>
          <w:spacing w:val="-2"/>
          <w:w w:val="100"/>
          <w:sz w:val="21"/>
        </w:rPr>
        <w:t>0</w:t>
      </w:r>
      <w:r>
        <w:rPr>
          <w:w w:val="100"/>
          <w:sz w:val="21"/>
        </w:rPr>
        <w:t>A</w:t>
      </w:r>
      <w:r>
        <w:rPr>
          <w:w w:val="100"/>
          <w:sz w:val="21"/>
        </w:rPr>
        <w:t>, </w:t>
      </w:r>
      <w:r>
        <w:rPr>
          <w:sz w:val="21"/>
        </w:rPr>
        <w:t>which I do not remember. Janamsthan was written against all these numbers. The plot number changes in every  settlement. The plot numbers 159 and 160 given by me, were the numbers of the last settlement. The numbers concerned to it in the Nazul survey were 583, 586, which are within my memory.‖</w:t>
      </w:r>
    </w:p>
    <w:p>
      <w:pPr>
        <w:pStyle w:val="BodyText"/>
        <w:spacing w:before="11"/>
        <w:rPr>
          <w:sz w:val="20"/>
        </w:rPr>
      </w:pPr>
    </w:p>
    <w:p>
      <w:pPr>
        <w:pStyle w:val="BodyText"/>
        <w:ind w:left="500"/>
      </w:pPr>
      <w:r>
        <w:rPr/>
        <w:t>He then made a reference to certain interpolations in the record as follows:</w:t>
      </w:r>
    </w:p>
    <w:p>
      <w:pPr>
        <w:pStyle w:val="BodyText"/>
      </w:pPr>
    </w:p>
    <w:p>
      <w:pPr>
        <w:spacing w:line="276" w:lineRule="auto" w:before="0"/>
        <w:ind w:left="1940" w:right="2253" w:firstLine="0"/>
        <w:jc w:val="both"/>
        <w:rPr>
          <w:sz w:val="21"/>
        </w:rPr>
      </w:pPr>
      <w:r>
        <w:rPr>
          <w:spacing w:val="-1"/>
          <w:w w:val="33"/>
          <w:sz w:val="21"/>
        </w:rPr>
        <w:t>―</w:t>
      </w:r>
      <w:r>
        <w:rPr>
          <w:spacing w:val="-2"/>
          <w:w w:val="100"/>
          <w:sz w:val="21"/>
        </w:rPr>
        <w:t>I</w:t>
      </w:r>
      <w:r>
        <w:rPr>
          <w:w w:val="100"/>
          <w:sz w:val="21"/>
        </w:rPr>
        <w:t>n</w:t>
      </w:r>
      <w:r>
        <w:rPr>
          <w:spacing w:val="25"/>
          <w:sz w:val="21"/>
        </w:rPr>
        <w:t> </w:t>
      </w:r>
      <w:r>
        <w:rPr>
          <w:spacing w:val="-1"/>
          <w:w w:val="100"/>
          <w:sz w:val="21"/>
        </w:rPr>
        <w:t>n</w:t>
      </w:r>
      <w:r>
        <w:rPr>
          <w:w w:val="100"/>
          <w:sz w:val="21"/>
        </w:rPr>
        <w:t>o</w:t>
      </w:r>
      <w:r>
        <w:rPr>
          <w:spacing w:val="25"/>
          <w:sz w:val="21"/>
        </w:rPr>
        <w:t> </w:t>
      </w:r>
      <w:r>
        <w:rPr>
          <w:spacing w:val="-1"/>
          <w:w w:val="100"/>
          <w:sz w:val="21"/>
        </w:rPr>
        <w:t>n</w:t>
      </w:r>
      <w:r>
        <w:rPr>
          <w:spacing w:val="-3"/>
          <w:w w:val="100"/>
          <w:sz w:val="21"/>
        </w:rPr>
        <w:t>u</w:t>
      </w:r>
      <w:r>
        <w:rPr>
          <w:spacing w:val="-1"/>
          <w:w w:val="100"/>
          <w:sz w:val="21"/>
        </w:rPr>
        <w:t>mbe</w:t>
      </w:r>
      <w:r>
        <w:rPr>
          <w:w w:val="100"/>
          <w:sz w:val="21"/>
        </w:rPr>
        <w:t>r</w:t>
      </w:r>
      <w:r>
        <w:rPr>
          <w:spacing w:val="25"/>
          <w:sz w:val="21"/>
        </w:rPr>
        <w:t> </w:t>
      </w:r>
      <w:r>
        <w:rPr>
          <w:spacing w:val="-3"/>
          <w:w w:val="100"/>
          <w:sz w:val="21"/>
        </w:rPr>
        <w:t>o</w:t>
      </w:r>
      <w:r>
        <w:rPr>
          <w:w w:val="100"/>
          <w:sz w:val="21"/>
        </w:rPr>
        <w:t>f</w:t>
      </w:r>
      <w:r>
        <w:rPr>
          <w:spacing w:val="26"/>
          <w:sz w:val="21"/>
        </w:rPr>
        <w:t> </w:t>
      </w:r>
      <w:r>
        <w:rPr>
          <w:spacing w:val="-2"/>
          <w:w w:val="100"/>
          <w:sz w:val="21"/>
        </w:rPr>
        <w:t>t</w:t>
      </w:r>
      <w:r>
        <w:rPr>
          <w:spacing w:val="-1"/>
          <w:w w:val="100"/>
          <w:sz w:val="21"/>
        </w:rPr>
        <w:t>h</w:t>
      </w:r>
      <w:r>
        <w:rPr>
          <w:w w:val="100"/>
          <w:sz w:val="21"/>
        </w:rPr>
        <w:t>e</w:t>
      </w:r>
      <w:r>
        <w:rPr>
          <w:spacing w:val="25"/>
          <w:sz w:val="21"/>
        </w:rPr>
        <w:t> </w:t>
      </w:r>
      <w:r>
        <w:rPr>
          <w:spacing w:val="-1"/>
          <w:w w:val="100"/>
          <w:sz w:val="21"/>
        </w:rPr>
        <w:t>r</w:t>
      </w:r>
      <w:r>
        <w:rPr>
          <w:spacing w:val="-3"/>
          <w:w w:val="100"/>
          <w:sz w:val="21"/>
        </w:rPr>
        <w:t>ec</w:t>
      </w:r>
      <w:r>
        <w:rPr>
          <w:spacing w:val="-1"/>
          <w:w w:val="100"/>
          <w:sz w:val="21"/>
        </w:rPr>
        <w:t>ord</w:t>
      </w:r>
      <w:r>
        <w:rPr>
          <w:w w:val="100"/>
          <w:sz w:val="21"/>
        </w:rPr>
        <w:t>s</w:t>
      </w:r>
      <w:r>
        <w:rPr>
          <w:spacing w:val="25"/>
          <w:sz w:val="21"/>
        </w:rPr>
        <w:t> </w:t>
      </w:r>
      <w:r>
        <w:rPr>
          <w:spacing w:val="-3"/>
          <w:w w:val="100"/>
          <w:sz w:val="21"/>
        </w:rPr>
        <w:t>o</w:t>
      </w:r>
      <w:r>
        <w:rPr>
          <w:w w:val="100"/>
          <w:sz w:val="21"/>
        </w:rPr>
        <w:t>f</w:t>
      </w:r>
      <w:r>
        <w:rPr>
          <w:spacing w:val="26"/>
          <w:sz w:val="21"/>
        </w:rPr>
        <w:t> </w:t>
      </w:r>
      <w:r>
        <w:rPr>
          <w:spacing w:val="-2"/>
          <w:w w:val="100"/>
          <w:sz w:val="21"/>
        </w:rPr>
        <w:t>f</w:t>
      </w:r>
      <w:r>
        <w:rPr>
          <w:w w:val="100"/>
          <w:sz w:val="21"/>
        </w:rPr>
        <w:t>i</w:t>
      </w:r>
      <w:r>
        <w:rPr>
          <w:spacing w:val="-1"/>
          <w:w w:val="100"/>
          <w:sz w:val="21"/>
        </w:rPr>
        <w:t>r</w:t>
      </w:r>
      <w:r>
        <w:rPr>
          <w:w w:val="100"/>
          <w:sz w:val="21"/>
        </w:rPr>
        <w:t>st</w:t>
      </w:r>
      <w:r>
        <w:rPr>
          <w:spacing w:val="24"/>
          <w:sz w:val="21"/>
        </w:rPr>
        <w:t> </w:t>
      </w:r>
      <w:r>
        <w:rPr>
          <w:spacing w:val="-3"/>
          <w:w w:val="100"/>
          <w:sz w:val="21"/>
        </w:rPr>
        <w:t>a</w:t>
      </w:r>
      <w:r>
        <w:rPr>
          <w:spacing w:val="-1"/>
          <w:w w:val="100"/>
          <w:sz w:val="21"/>
        </w:rPr>
        <w:t>n</w:t>
      </w:r>
      <w:r>
        <w:rPr>
          <w:w w:val="100"/>
          <w:sz w:val="21"/>
        </w:rPr>
        <w:t>d</w:t>
      </w:r>
      <w:r>
        <w:rPr>
          <w:spacing w:val="25"/>
          <w:sz w:val="21"/>
        </w:rPr>
        <w:t> </w:t>
      </w:r>
      <w:r>
        <w:rPr>
          <w:w w:val="100"/>
          <w:sz w:val="21"/>
        </w:rPr>
        <w:t>s</w:t>
      </w:r>
      <w:r>
        <w:rPr>
          <w:spacing w:val="-3"/>
          <w:w w:val="100"/>
          <w:sz w:val="21"/>
        </w:rPr>
        <w:t>e</w:t>
      </w:r>
      <w:r>
        <w:rPr>
          <w:w w:val="100"/>
          <w:sz w:val="21"/>
        </w:rPr>
        <w:t>co</w:t>
      </w:r>
      <w:r>
        <w:rPr>
          <w:spacing w:val="-3"/>
          <w:w w:val="100"/>
          <w:sz w:val="21"/>
        </w:rPr>
        <w:t>n</w:t>
      </w:r>
      <w:r>
        <w:rPr>
          <w:w w:val="100"/>
          <w:sz w:val="21"/>
        </w:rPr>
        <w:t>d</w:t>
      </w:r>
      <w:r>
        <w:rPr>
          <w:spacing w:val="23"/>
          <w:sz w:val="21"/>
        </w:rPr>
        <w:t> </w:t>
      </w:r>
      <w:r>
        <w:rPr>
          <w:w w:val="100"/>
          <w:sz w:val="21"/>
        </w:rPr>
        <w:t>se</w:t>
      </w:r>
      <w:r>
        <w:rPr>
          <w:spacing w:val="-1"/>
          <w:w w:val="100"/>
          <w:sz w:val="21"/>
        </w:rPr>
        <w:t>t</w:t>
      </w:r>
      <w:r>
        <w:rPr>
          <w:spacing w:val="-2"/>
          <w:w w:val="100"/>
          <w:sz w:val="21"/>
        </w:rPr>
        <w:t>t</w:t>
      </w:r>
      <w:r>
        <w:rPr>
          <w:w w:val="100"/>
          <w:sz w:val="21"/>
        </w:rPr>
        <w:t>l</w:t>
      </w:r>
      <w:r>
        <w:rPr>
          <w:spacing w:val="-3"/>
          <w:w w:val="100"/>
          <w:sz w:val="21"/>
        </w:rPr>
        <w:t>e</w:t>
      </w:r>
      <w:r>
        <w:rPr>
          <w:spacing w:val="1"/>
          <w:w w:val="100"/>
          <w:sz w:val="21"/>
        </w:rPr>
        <w:t>m</w:t>
      </w:r>
      <w:r>
        <w:rPr>
          <w:spacing w:val="-3"/>
          <w:w w:val="100"/>
          <w:sz w:val="21"/>
        </w:rPr>
        <w:t>e</w:t>
      </w:r>
      <w:r>
        <w:rPr>
          <w:spacing w:val="-1"/>
          <w:w w:val="100"/>
          <w:sz w:val="21"/>
        </w:rPr>
        <w:t>nt</w:t>
      </w:r>
      <w:r>
        <w:rPr>
          <w:w w:val="100"/>
          <w:sz w:val="21"/>
        </w:rPr>
        <w:t>, </w:t>
      </w:r>
      <w:r>
        <w:rPr>
          <w:sz w:val="21"/>
        </w:rPr>
        <w:t>there was any mention of mosque, royal mosque or Janmsthan mosque. In certain records of khasra, khatauni &amp; khewat of the third settlement, there were interpolations and Janmsthan Masjid or Jama Masjid were interpolated in certain numbers of the disputed site. I had sent its report. I had sent this report in the behalf to the Board of Revenue in 1989. An enquiry was held on my report. Some officer of Board of Revenue had come. The investigator was an officer subordinate to the Secretary, Board of Revenue and was not a member. The records in which interpolation had been made and whose report I had submitted, were never corrected because the matter was pending in</w:t>
      </w:r>
      <w:r>
        <w:rPr>
          <w:spacing w:val="-15"/>
          <w:sz w:val="21"/>
        </w:rPr>
        <w:t> </w:t>
      </w:r>
      <w:r>
        <w:rPr>
          <w:sz w:val="21"/>
        </w:rPr>
        <w:t>Court.‖</w:t>
      </w:r>
    </w:p>
    <w:p>
      <w:pPr>
        <w:pStyle w:val="BodyText"/>
        <w:rPr>
          <w:sz w:val="24"/>
        </w:rPr>
      </w:pPr>
    </w:p>
    <w:p>
      <w:pPr>
        <w:pStyle w:val="BodyText"/>
        <w:rPr>
          <w:sz w:val="24"/>
        </w:rPr>
      </w:pPr>
    </w:p>
    <w:p>
      <w:pPr>
        <w:pStyle w:val="BodyText"/>
        <w:rPr>
          <w:sz w:val="24"/>
        </w:rPr>
      </w:pPr>
    </w:p>
    <w:p>
      <w:pPr>
        <w:pStyle w:val="BodyText"/>
        <w:spacing w:before="7"/>
        <w:rPr>
          <w:sz w:val="21"/>
        </w:rPr>
      </w:pPr>
    </w:p>
    <w:p>
      <w:pPr>
        <w:pStyle w:val="ListParagraph"/>
        <w:numPr>
          <w:ilvl w:val="0"/>
          <w:numId w:val="231"/>
        </w:numPr>
        <w:tabs>
          <w:tab w:pos="1221" w:val="left" w:leader="none"/>
        </w:tabs>
        <w:spacing w:line="480" w:lineRule="auto" w:before="0" w:after="0"/>
        <w:ind w:left="500" w:right="435" w:firstLine="0"/>
        <w:jc w:val="both"/>
        <w:rPr>
          <w:sz w:val="25"/>
        </w:rPr>
      </w:pPr>
      <w:r>
        <w:rPr>
          <w:sz w:val="25"/>
        </w:rPr>
        <w:t>There can be no dispute about the status of the land as Nazul land. However, while recording this, it is necessary to bear in mind that the state government indicated during the course of the trial before the High Court that it was not asserting any interest in the subject matter of the dispute and was not contesting the suit. It was in these circumstances that the High Court held that though the land is shown to be continued as Nazul plot No. 583 of the Khasra of the year 1931 of Mohalla Kot Ramchandra, it would effectively not impact upon the claims of the two communities each of whom has asserted title to the</w:t>
      </w:r>
      <w:r>
        <w:rPr>
          <w:spacing w:val="-19"/>
          <w:sz w:val="25"/>
        </w:rPr>
        <w:t> </w:t>
      </w:r>
      <w:r>
        <w:rPr>
          <w:sz w:val="25"/>
        </w:rPr>
        <w:t>land.</w:t>
      </w:r>
    </w:p>
    <w:p>
      <w:pPr>
        <w:spacing w:after="0" w:line="480" w:lineRule="auto"/>
        <w:jc w:val="both"/>
        <w:rPr>
          <w:sz w:val="25"/>
        </w:rPr>
        <w:sectPr>
          <w:pgSz w:w="11910" w:h="16840"/>
          <w:pgMar w:header="721" w:footer="1014" w:top="1300" w:bottom="1200" w:left="940" w:right="1000"/>
        </w:sectPr>
      </w:pPr>
    </w:p>
    <w:p>
      <w:pPr>
        <w:pStyle w:val="Heading3"/>
        <w:numPr>
          <w:ilvl w:val="1"/>
          <w:numId w:val="191"/>
        </w:numPr>
        <w:tabs>
          <w:tab w:pos="1134" w:val="left" w:leader="none"/>
        </w:tabs>
        <w:spacing w:line="240" w:lineRule="auto" w:before="124" w:after="0"/>
        <w:ind w:left="1134" w:right="0" w:hanging="634"/>
        <w:jc w:val="left"/>
      </w:pPr>
      <w:r>
        <w:rPr/>
        <w:t>Waqf by</w:t>
      </w:r>
      <w:r>
        <w:rPr>
          <w:spacing w:val="-5"/>
        </w:rPr>
        <w:t> </w:t>
      </w:r>
      <w:r>
        <w:rPr/>
        <w:t>user</w:t>
      </w:r>
    </w:p>
    <w:p>
      <w:pPr>
        <w:pStyle w:val="BodyText"/>
        <w:rPr>
          <w:b/>
          <w:sz w:val="28"/>
        </w:rPr>
      </w:pPr>
    </w:p>
    <w:p>
      <w:pPr>
        <w:pStyle w:val="BodyText"/>
        <w:rPr>
          <w:b/>
          <w:sz w:val="28"/>
        </w:rPr>
      </w:pPr>
    </w:p>
    <w:p>
      <w:pPr>
        <w:pStyle w:val="ListParagraph"/>
        <w:numPr>
          <w:ilvl w:val="0"/>
          <w:numId w:val="231"/>
        </w:numPr>
        <w:tabs>
          <w:tab w:pos="1221" w:val="left" w:leader="none"/>
        </w:tabs>
        <w:spacing w:line="480" w:lineRule="auto" w:before="204" w:after="0"/>
        <w:ind w:left="500" w:right="434" w:firstLine="0"/>
        <w:jc w:val="both"/>
        <w:rPr>
          <w:sz w:val="25"/>
        </w:rPr>
      </w:pPr>
      <w:r>
        <w:rPr>
          <w:sz w:val="25"/>
        </w:rPr>
        <w:t>The documentary evidence relied upon by the plaintiffs in Suit 4 to demonstrate that the mosque stood on dedicated land originates after the  colonial annexation of Oudh and after the year 1856. This was fairly admitted by Dr Dhavan, learned Senior Counsel appearing in behalf of the plaintiffs in Suit 4. The plaintiffs in Suit 4 were unable to establish a specific grant of the land as a foundation of legal title prior to the annexation of Oudh or upon the transfer of power to the colonial administration after</w:t>
      </w:r>
      <w:r>
        <w:rPr>
          <w:spacing w:val="-6"/>
          <w:sz w:val="25"/>
        </w:rPr>
        <w:t> </w:t>
      </w:r>
      <w:r>
        <w:rPr>
          <w:sz w:val="25"/>
        </w:rPr>
        <w:t>1857.</w:t>
      </w:r>
    </w:p>
    <w:p>
      <w:pPr>
        <w:pStyle w:val="BodyText"/>
        <w:spacing w:before="1"/>
        <w:rPr>
          <w:sz w:val="39"/>
        </w:rPr>
      </w:pPr>
    </w:p>
    <w:p>
      <w:pPr>
        <w:pStyle w:val="ListParagraph"/>
        <w:numPr>
          <w:ilvl w:val="0"/>
          <w:numId w:val="231"/>
        </w:numPr>
        <w:tabs>
          <w:tab w:pos="1221" w:val="left" w:leader="none"/>
        </w:tabs>
        <w:spacing w:line="480" w:lineRule="auto" w:before="0" w:after="0"/>
        <w:ind w:left="500" w:right="440" w:firstLine="0"/>
        <w:jc w:val="both"/>
        <w:rPr>
          <w:sz w:val="25"/>
        </w:rPr>
      </w:pPr>
      <w:r>
        <w:rPr>
          <w:sz w:val="25"/>
        </w:rPr>
        <w:t>An attempt was made at an advanced stage of the hearing to contend that the disputed site marked out by the letters A B C D is waqf property, not by virtue of a specific dedication, but because of the long usage of the property as a site of religious worship by the Muslim community. Dr Dhavan, learned senior counsel appearing on behalf of the plaintiffs in Suit 4 contended that the concept of a waqf has a broad connotation in Islamic Law. Hence, it was urged that even in the absence of an express dedication, the long use of the disputed site for public worship</w:t>
      </w:r>
      <w:r>
        <w:rPr>
          <w:spacing w:val="-5"/>
          <w:sz w:val="25"/>
        </w:rPr>
        <w:t> </w:t>
      </w:r>
      <w:r>
        <w:rPr>
          <w:sz w:val="25"/>
        </w:rPr>
        <w:t>as</w:t>
      </w:r>
      <w:r>
        <w:rPr>
          <w:spacing w:val="-6"/>
          <w:sz w:val="25"/>
        </w:rPr>
        <w:t> </w:t>
      </w:r>
      <w:r>
        <w:rPr>
          <w:sz w:val="25"/>
        </w:rPr>
        <w:t>a</w:t>
      </w:r>
      <w:r>
        <w:rPr>
          <w:spacing w:val="-5"/>
          <w:sz w:val="25"/>
        </w:rPr>
        <w:t> </w:t>
      </w:r>
      <w:r>
        <w:rPr>
          <w:sz w:val="25"/>
        </w:rPr>
        <w:t>mosque</w:t>
      </w:r>
      <w:r>
        <w:rPr>
          <w:spacing w:val="-6"/>
          <w:sz w:val="25"/>
        </w:rPr>
        <w:t> </w:t>
      </w:r>
      <w:r>
        <w:rPr>
          <w:sz w:val="25"/>
        </w:rPr>
        <w:t>elevates</w:t>
      </w:r>
      <w:r>
        <w:rPr>
          <w:spacing w:val="-6"/>
          <w:sz w:val="25"/>
        </w:rPr>
        <w:t> </w:t>
      </w:r>
      <w:r>
        <w:rPr>
          <w:sz w:val="25"/>
        </w:rPr>
        <w:t>the</w:t>
      </w:r>
      <w:r>
        <w:rPr>
          <w:spacing w:val="-5"/>
          <w:sz w:val="25"/>
        </w:rPr>
        <w:t> </w:t>
      </w:r>
      <w:r>
        <w:rPr>
          <w:sz w:val="25"/>
        </w:rPr>
        <w:t>property</w:t>
      </w:r>
      <w:r>
        <w:rPr>
          <w:spacing w:val="-6"/>
          <w:sz w:val="25"/>
        </w:rPr>
        <w:t> </w:t>
      </w:r>
      <w:r>
        <w:rPr>
          <w:sz w:val="25"/>
        </w:rPr>
        <w:t>in</w:t>
      </w:r>
      <w:r>
        <w:rPr>
          <w:spacing w:val="-6"/>
          <w:sz w:val="25"/>
        </w:rPr>
        <w:t> </w:t>
      </w:r>
      <w:r>
        <w:rPr>
          <w:sz w:val="25"/>
        </w:rPr>
        <w:t>question</w:t>
      </w:r>
      <w:r>
        <w:rPr>
          <w:spacing w:val="-4"/>
          <w:sz w:val="25"/>
        </w:rPr>
        <w:t> </w:t>
      </w:r>
      <w:r>
        <w:rPr>
          <w:sz w:val="25"/>
        </w:rPr>
        <w:t>to</w:t>
      </w:r>
      <w:r>
        <w:rPr>
          <w:spacing w:val="-5"/>
          <w:sz w:val="25"/>
        </w:rPr>
        <w:t> </w:t>
      </w:r>
      <w:r>
        <w:rPr>
          <w:sz w:val="25"/>
        </w:rPr>
        <w:t>a</w:t>
      </w:r>
      <w:r>
        <w:rPr>
          <w:spacing w:val="-5"/>
          <w:sz w:val="25"/>
        </w:rPr>
        <w:t> </w:t>
      </w:r>
      <w:r>
        <w:rPr>
          <w:sz w:val="25"/>
        </w:rPr>
        <w:t>‗waqf</w:t>
      </w:r>
      <w:r>
        <w:rPr>
          <w:spacing w:val="-5"/>
          <w:sz w:val="25"/>
        </w:rPr>
        <w:t> </w:t>
      </w:r>
      <w:r>
        <w:rPr>
          <w:sz w:val="25"/>
        </w:rPr>
        <w:t>by</w:t>
      </w:r>
      <w:r>
        <w:rPr>
          <w:spacing w:val="-7"/>
          <w:sz w:val="25"/>
        </w:rPr>
        <w:t> </w:t>
      </w:r>
      <w:r>
        <w:rPr>
          <w:sz w:val="25"/>
        </w:rPr>
        <w:t>user‘.</w:t>
      </w:r>
    </w:p>
    <w:p>
      <w:pPr>
        <w:pStyle w:val="BodyText"/>
        <w:rPr>
          <w:sz w:val="28"/>
        </w:rPr>
      </w:pPr>
    </w:p>
    <w:p>
      <w:pPr>
        <w:pStyle w:val="BodyText"/>
        <w:spacing w:before="9"/>
        <w:rPr>
          <w:sz w:val="24"/>
        </w:rPr>
      </w:pPr>
    </w:p>
    <w:p>
      <w:pPr>
        <w:pStyle w:val="BodyText"/>
        <w:spacing w:line="480" w:lineRule="auto"/>
        <w:ind w:left="500" w:right="438"/>
        <w:jc w:val="both"/>
      </w:pPr>
      <w:r>
        <w:rPr/>
        <w:t>To support this proposition, Dr Dhavan contended that since the construction of the mosque by Emperor Babur in 1528 till its desecration on 22/23 December 1949, namaz has been offered in the mosque. Hence, the disputed property has been the site of religious worship. Further, he urges that the Muslims have been in</w:t>
      </w:r>
      <w:r>
        <w:rPr>
          <w:spacing w:val="19"/>
        </w:rPr>
        <w:t> </w:t>
      </w:r>
      <w:r>
        <w:rPr/>
        <w:t>settled</w:t>
      </w:r>
      <w:r>
        <w:rPr>
          <w:spacing w:val="21"/>
        </w:rPr>
        <w:t> </w:t>
      </w:r>
      <w:r>
        <w:rPr/>
        <w:t>possession</w:t>
      </w:r>
      <w:r>
        <w:rPr>
          <w:spacing w:val="18"/>
        </w:rPr>
        <w:t> </w:t>
      </w:r>
      <w:r>
        <w:rPr/>
        <w:t>of</w:t>
      </w:r>
      <w:r>
        <w:rPr>
          <w:spacing w:val="20"/>
        </w:rPr>
        <w:t> </w:t>
      </w:r>
      <w:r>
        <w:rPr/>
        <w:t>the</w:t>
      </w:r>
      <w:r>
        <w:rPr>
          <w:spacing w:val="21"/>
        </w:rPr>
        <w:t> </w:t>
      </w:r>
      <w:r>
        <w:rPr/>
        <w:t>disputed</w:t>
      </w:r>
      <w:r>
        <w:rPr>
          <w:spacing w:val="19"/>
        </w:rPr>
        <w:t> </w:t>
      </w:r>
      <w:r>
        <w:rPr/>
        <w:t>property</w:t>
      </w:r>
      <w:r>
        <w:rPr>
          <w:spacing w:val="18"/>
        </w:rPr>
        <w:t> </w:t>
      </w:r>
      <w:r>
        <w:rPr/>
        <w:t>and</w:t>
      </w:r>
      <w:r>
        <w:rPr>
          <w:spacing w:val="19"/>
        </w:rPr>
        <w:t> </w:t>
      </w:r>
      <w:r>
        <w:rPr/>
        <w:t>had</w:t>
      </w:r>
      <w:r>
        <w:rPr>
          <w:spacing w:val="20"/>
        </w:rPr>
        <w:t> </w:t>
      </w:r>
      <w:r>
        <w:rPr/>
        <w:t>used</w:t>
      </w:r>
      <w:r>
        <w:rPr>
          <w:spacing w:val="20"/>
        </w:rPr>
        <w:t> </w:t>
      </w:r>
      <w:r>
        <w:rPr/>
        <w:t>the</w:t>
      </w:r>
      <w:r>
        <w:rPr>
          <w:spacing w:val="18"/>
        </w:rPr>
        <w:t> </w:t>
      </w:r>
      <w:r>
        <w:rPr/>
        <w:t>mosque</w:t>
      </w:r>
      <w:r>
        <w:rPr>
          <w:spacing w:val="19"/>
        </w:rPr>
        <w:t> </w:t>
      </w:r>
      <w:r>
        <w:rPr/>
        <w:t>for</w:t>
      </w:r>
      <w:r>
        <w:rPr>
          <w:spacing w:val="19"/>
        </w:rPr>
        <w:t> </w:t>
      </w:r>
      <w:r>
        <w:rPr/>
        <w:t>the</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7"/>
        <w:jc w:val="both"/>
      </w:pPr>
      <w:r>
        <w:rPr/>
        <w:t>performance of public religious worship. Thus, despite the absence of a deed of dedication, the disputed site has been used for public religious worship for over four centuries, resultingly constituting its character as waqf property by long use.</w:t>
      </w:r>
    </w:p>
    <w:p>
      <w:pPr>
        <w:pStyle w:val="BodyText"/>
        <w:rPr>
          <w:sz w:val="28"/>
        </w:rPr>
      </w:pPr>
    </w:p>
    <w:p>
      <w:pPr>
        <w:pStyle w:val="BodyText"/>
        <w:spacing w:before="8"/>
        <w:rPr>
          <w:sz w:val="26"/>
        </w:rPr>
      </w:pPr>
    </w:p>
    <w:p>
      <w:pPr>
        <w:pStyle w:val="ListParagraph"/>
        <w:numPr>
          <w:ilvl w:val="0"/>
          <w:numId w:val="231"/>
        </w:numPr>
        <w:tabs>
          <w:tab w:pos="1221" w:val="left" w:leader="none"/>
        </w:tabs>
        <w:spacing w:line="480" w:lineRule="auto" w:before="0" w:after="0"/>
        <w:ind w:left="500" w:right="441" w:firstLine="0"/>
        <w:jc w:val="both"/>
        <w:rPr>
          <w:sz w:val="25"/>
        </w:rPr>
      </w:pPr>
      <w:r>
        <w:rPr>
          <w:sz w:val="25"/>
        </w:rPr>
        <w:t>This contention raises two points for determination: First, whether the notion of a waqf by user is accepted as a principle of law by our courts; and second, as a matter of fact, whether its application is attracted in the present case.</w:t>
      </w:r>
    </w:p>
    <w:p>
      <w:pPr>
        <w:pStyle w:val="BodyText"/>
        <w:rPr>
          <w:sz w:val="28"/>
        </w:rPr>
      </w:pPr>
    </w:p>
    <w:p>
      <w:pPr>
        <w:pStyle w:val="BodyText"/>
        <w:spacing w:before="1"/>
        <w:rPr>
          <w:sz w:val="27"/>
        </w:rPr>
      </w:pPr>
    </w:p>
    <w:p>
      <w:pPr>
        <w:pStyle w:val="Heading4"/>
        <w:spacing w:before="1"/>
        <w:rPr>
          <w:i/>
        </w:rPr>
      </w:pPr>
      <w:r>
        <w:rPr>
          <w:i/>
        </w:rPr>
        <w:t>Pleadings in Suit 4</w:t>
      </w:r>
    </w:p>
    <w:p>
      <w:pPr>
        <w:pStyle w:val="BodyText"/>
        <w:spacing w:before="10"/>
        <w:rPr>
          <w:i/>
          <w:sz w:val="38"/>
        </w:rPr>
      </w:pPr>
    </w:p>
    <w:p>
      <w:pPr>
        <w:pStyle w:val="ListParagraph"/>
        <w:numPr>
          <w:ilvl w:val="0"/>
          <w:numId w:val="231"/>
        </w:numPr>
        <w:tabs>
          <w:tab w:pos="1221" w:val="left" w:leader="none"/>
        </w:tabs>
        <w:spacing w:line="480" w:lineRule="auto" w:before="0" w:after="0"/>
        <w:ind w:left="500" w:right="439" w:firstLine="0"/>
        <w:jc w:val="both"/>
        <w:rPr>
          <w:sz w:val="25"/>
        </w:rPr>
      </w:pPr>
      <w:r>
        <w:rPr>
          <w:sz w:val="25"/>
        </w:rPr>
        <w:t>In the first paragraph of the plaint, the plaintiffs set up the case that on its construction in 1528 AD by or at the behest of Babur, the mosque was dedicated as a site of religious worship for the Muslims to offer namaz:</w:t>
      </w:r>
    </w:p>
    <w:p>
      <w:pPr>
        <w:spacing w:line="276" w:lineRule="auto" w:before="158"/>
        <w:ind w:left="1633" w:right="2260" w:firstLine="57"/>
        <w:jc w:val="both"/>
        <w:rPr>
          <w:sz w:val="21"/>
        </w:rPr>
      </w:pPr>
      <w:r>
        <w:rPr>
          <w:spacing w:val="-1"/>
          <w:w w:val="33"/>
          <w:sz w:val="21"/>
        </w:rPr>
        <w:t>―</w:t>
      </w:r>
      <w:r>
        <w:rPr>
          <w:spacing w:val="-1"/>
          <w:w w:val="100"/>
          <w:sz w:val="21"/>
        </w:rPr>
        <w:t>1</w:t>
      </w:r>
      <w:r>
        <w:rPr>
          <w:w w:val="100"/>
          <w:sz w:val="21"/>
        </w:rPr>
        <w:t>.</w:t>
      </w:r>
      <w:r>
        <w:rPr>
          <w:sz w:val="21"/>
        </w:rPr>
        <w:t> </w:t>
      </w:r>
      <w:r>
        <w:rPr>
          <w:spacing w:val="-13"/>
          <w:sz w:val="21"/>
        </w:rPr>
        <w:t> </w:t>
      </w:r>
      <w:r>
        <w:rPr>
          <w:w w:val="100"/>
          <w:sz w:val="21"/>
        </w:rPr>
        <w:t>Th</w:t>
      </w:r>
      <w:r>
        <w:rPr>
          <w:spacing w:val="-1"/>
          <w:w w:val="100"/>
          <w:sz w:val="21"/>
        </w:rPr>
        <w:t>a</w:t>
      </w:r>
      <w:r>
        <w:rPr>
          <w:w w:val="100"/>
          <w:sz w:val="21"/>
        </w:rPr>
        <w:t>t</w:t>
      </w:r>
      <w:r>
        <w:rPr>
          <w:sz w:val="21"/>
        </w:rPr>
        <w:t> </w:t>
      </w:r>
      <w:r>
        <w:rPr>
          <w:spacing w:val="-13"/>
          <w:sz w:val="21"/>
        </w:rPr>
        <w:t> </w:t>
      </w:r>
      <w:r>
        <w:rPr>
          <w:w w:val="100"/>
          <w:sz w:val="21"/>
        </w:rPr>
        <w:t>in</w:t>
      </w:r>
      <w:r>
        <w:rPr>
          <w:sz w:val="21"/>
        </w:rPr>
        <w:t> </w:t>
      </w:r>
      <w:r>
        <w:rPr>
          <w:spacing w:val="-12"/>
          <w:sz w:val="21"/>
        </w:rPr>
        <w:t> </w:t>
      </w:r>
      <w:r>
        <w:rPr>
          <w:spacing w:val="-2"/>
          <w:w w:val="100"/>
          <w:sz w:val="21"/>
        </w:rPr>
        <w:t>t</w:t>
      </w:r>
      <w:r>
        <w:rPr>
          <w:spacing w:val="-1"/>
          <w:w w:val="100"/>
          <w:sz w:val="21"/>
        </w:rPr>
        <w:t>h</w:t>
      </w:r>
      <w:r>
        <w:rPr>
          <w:w w:val="100"/>
          <w:sz w:val="21"/>
        </w:rPr>
        <w:t>e</w:t>
      </w:r>
      <w:r>
        <w:rPr>
          <w:sz w:val="21"/>
        </w:rPr>
        <w:t> </w:t>
      </w:r>
      <w:r>
        <w:rPr>
          <w:spacing w:val="-11"/>
          <w:sz w:val="21"/>
        </w:rPr>
        <w:t> </w:t>
      </w:r>
      <w:r>
        <w:rPr>
          <w:spacing w:val="-2"/>
          <w:w w:val="100"/>
          <w:sz w:val="21"/>
        </w:rPr>
        <w:t>t</w:t>
      </w:r>
      <w:r>
        <w:rPr>
          <w:spacing w:val="-1"/>
          <w:w w:val="100"/>
          <w:sz w:val="21"/>
        </w:rPr>
        <w:t>o</w:t>
      </w:r>
      <w:r>
        <w:rPr>
          <w:spacing w:val="-4"/>
          <w:w w:val="100"/>
          <w:sz w:val="21"/>
        </w:rPr>
        <w:t>w</w:t>
      </w:r>
      <w:r>
        <w:rPr>
          <w:w w:val="100"/>
          <w:sz w:val="21"/>
        </w:rPr>
        <w:t>n</w:t>
      </w:r>
      <w:r>
        <w:rPr>
          <w:sz w:val="21"/>
        </w:rPr>
        <w:t> </w:t>
      </w:r>
      <w:r>
        <w:rPr>
          <w:spacing w:val="-12"/>
          <w:sz w:val="21"/>
        </w:rPr>
        <w:t> </w:t>
      </w:r>
      <w:r>
        <w:rPr>
          <w:spacing w:val="-1"/>
          <w:w w:val="100"/>
          <w:sz w:val="21"/>
        </w:rPr>
        <w:t>o</w:t>
      </w:r>
      <w:r>
        <w:rPr>
          <w:w w:val="100"/>
          <w:sz w:val="21"/>
        </w:rPr>
        <w:t>f</w:t>
      </w:r>
      <w:r>
        <w:rPr>
          <w:sz w:val="21"/>
        </w:rPr>
        <w:t> </w:t>
      </w:r>
      <w:r>
        <w:rPr>
          <w:spacing w:val="-13"/>
          <w:sz w:val="21"/>
        </w:rPr>
        <w:t> </w:t>
      </w:r>
      <w:r>
        <w:rPr>
          <w:w w:val="100"/>
          <w:sz w:val="21"/>
        </w:rPr>
        <w:t>A</w:t>
      </w:r>
      <w:r>
        <w:rPr>
          <w:spacing w:val="-2"/>
          <w:w w:val="100"/>
          <w:sz w:val="21"/>
        </w:rPr>
        <w:t>j</w:t>
      </w:r>
      <w:r>
        <w:rPr>
          <w:spacing w:val="-1"/>
          <w:w w:val="100"/>
          <w:sz w:val="21"/>
        </w:rPr>
        <w:t>od</w:t>
      </w:r>
      <w:r>
        <w:rPr>
          <w:spacing w:val="-2"/>
          <w:w w:val="100"/>
          <w:sz w:val="21"/>
        </w:rPr>
        <w:t>h</w:t>
      </w:r>
      <w:r>
        <w:rPr>
          <w:w w:val="100"/>
          <w:sz w:val="21"/>
        </w:rPr>
        <w:t>i</w:t>
      </w:r>
      <w:r>
        <w:rPr>
          <w:spacing w:val="-3"/>
          <w:w w:val="100"/>
          <w:sz w:val="21"/>
        </w:rPr>
        <w:t>y</w:t>
      </w:r>
      <w:r>
        <w:rPr>
          <w:spacing w:val="-1"/>
          <w:w w:val="100"/>
          <w:sz w:val="21"/>
        </w:rPr>
        <w:t>a</w:t>
      </w:r>
      <w:r>
        <w:rPr>
          <w:w w:val="100"/>
          <w:sz w:val="21"/>
        </w:rPr>
        <w:t>,</w:t>
      </w:r>
      <w:r>
        <w:rPr>
          <w:sz w:val="21"/>
        </w:rPr>
        <w:t> </w:t>
      </w:r>
      <w:r>
        <w:rPr>
          <w:spacing w:val="-13"/>
          <w:sz w:val="21"/>
        </w:rPr>
        <w:t> </w:t>
      </w:r>
      <w:r>
        <w:rPr>
          <w:spacing w:val="-1"/>
          <w:w w:val="100"/>
          <w:sz w:val="21"/>
        </w:rPr>
        <w:t>parga</w:t>
      </w:r>
      <w:r>
        <w:rPr>
          <w:spacing w:val="-3"/>
          <w:w w:val="100"/>
          <w:sz w:val="21"/>
        </w:rPr>
        <w:t>n</w:t>
      </w:r>
      <w:r>
        <w:rPr>
          <w:w w:val="100"/>
          <w:sz w:val="21"/>
        </w:rPr>
        <w:t>a</w:t>
      </w:r>
      <w:r>
        <w:rPr>
          <w:sz w:val="21"/>
        </w:rPr>
        <w:t> </w:t>
      </w:r>
      <w:r>
        <w:rPr>
          <w:spacing w:val="-14"/>
          <w:sz w:val="21"/>
        </w:rPr>
        <w:t> </w:t>
      </w:r>
      <w:r>
        <w:rPr>
          <w:w w:val="100"/>
          <w:sz w:val="21"/>
        </w:rPr>
        <w:t>H</w:t>
      </w:r>
      <w:r>
        <w:rPr>
          <w:spacing w:val="-1"/>
          <w:w w:val="100"/>
          <w:sz w:val="21"/>
        </w:rPr>
        <w:t>a</w:t>
      </w:r>
      <w:r>
        <w:rPr>
          <w:spacing w:val="-3"/>
          <w:w w:val="100"/>
          <w:sz w:val="21"/>
        </w:rPr>
        <w:t>v</w:t>
      </w:r>
      <w:r>
        <w:rPr>
          <w:spacing w:val="-1"/>
          <w:w w:val="100"/>
          <w:sz w:val="21"/>
        </w:rPr>
        <w:t>e</w:t>
      </w:r>
      <w:r>
        <w:rPr>
          <w:spacing w:val="-2"/>
          <w:w w:val="100"/>
          <w:sz w:val="21"/>
        </w:rPr>
        <w:t>l</w:t>
      </w:r>
      <w:r>
        <w:rPr>
          <w:w w:val="100"/>
          <w:sz w:val="21"/>
        </w:rPr>
        <w:t>i</w:t>
      </w:r>
      <w:r>
        <w:rPr>
          <w:sz w:val="21"/>
        </w:rPr>
        <w:t> </w:t>
      </w:r>
      <w:r>
        <w:rPr>
          <w:spacing w:val="-13"/>
          <w:sz w:val="21"/>
        </w:rPr>
        <w:t> </w:t>
      </w:r>
      <w:r>
        <w:rPr>
          <w:spacing w:val="-2"/>
          <w:w w:val="100"/>
          <w:sz w:val="21"/>
        </w:rPr>
        <w:t>O</w:t>
      </w:r>
      <w:r>
        <w:rPr>
          <w:spacing w:val="-1"/>
          <w:w w:val="100"/>
          <w:sz w:val="21"/>
        </w:rPr>
        <w:t>ud</w:t>
      </w:r>
      <w:r>
        <w:rPr>
          <w:w w:val="100"/>
          <w:sz w:val="21"/>
        </w:rPr>
        <w:t>h</w:t>
      </w:r>
      <w:r>
        <w:rPr>
          <w:sz w:val="21"/>
        </w:rPr>
        <w:t> </w:t>
      </w:r>
      <w:r>
        <w:rPr>
          <w:spacing w:val="-11"/>
          <w:sz w:val="21"/>
        </w:rPr>
        <w:t> </w:t>
      </w:r>
      <w:r>
        <w:rPr>
          <w:spacing w:val="-2"/>
          <w:w w:val="100"/>
          <w:sz w:val="21"/>
        </w:rPr>
        <w:t>t</w:t>
      </w:r>
      <w:r>
        <w:rPr>
          <w:spacing w:val="-1"/>
          <w:w w:val="100"/>
          <w:sz w:val="21"/>
        </w:rPr>
        <w:t>here </w:t>
      </w:r>
      <w:r>
        <w:rPr>
          <w:sz w:val="21"/>
        </w:rPr>
        <w:t>exists an ancient historic mosque, commonly known as Babri Masjid, built by Emperor Babar more than 443 years ago, after his conquest of India and his occupation of the territories including the town of Ajodhiya, for the use of the Muslims in general, as a place of worship and performance of religious ceremonies.‖</w:t>
      </w:r>
    </w:p>
    <w:p>
      <w:pPr>
        <w:pStyle w:val="BodyText"/>
        <w:rPr>
          <w:sz w:val="24"/>
        </w:rPr>
      </w:pPr>
    </w:p>
    <w:p>
      <w:pPr>
        <w:pStyle w:val="BodyText"/>
        <w:rPr>
          <w:sz w:val="24"/>
        </w:rPr>
      </w:pPr>
    </w:p>
    <w:p>
      <w:pPr>
        <w:pStyle w:val="BodyText"/>
        <w:rPr>
          <w:sz w:val="30"/>
        </w:rPr>
      </w:pPr>
    </w:p>
    <w:p>
      <w:pPr>
        <w:pStyle w:val="BodyText"/>
        <w:spacing w:line="480" w:lineRule="auto"/>
        <w:ind w:left="500" w:right="441"/>
        <w:jc w:val="both"/>
      </w:pPr>
      <w:r>
        <w:rPr/>
        <w:t>There being no specific document to establish a dedication, the plaintiffs, during the course of submissions, fall back upon the pleading in regard to long use of the mosque as a site for religious worship. In paragraph 2 of the plaint, the pleading is as</w:t>
      </w:r>
      <w:r>
        <w:rPr>
          <w:spacing w:val="-2"/>
        </w:rPr>
        <w:t> </w:t>
      </w:r>
      <w:r>
        <w:rPr/>
        <w:t>follows:</w:t>
      </w:r>
    </w:p>
    <w:p>
      <w:pPr>
        <w:spacing w:line="273" w:lineRule="auto" w:before="160"/>
        <w:ind w:left="1633" w:right="2262" w:firstLine="0"/>
        <w:jc w:val="both"/>
        <w:rPr>
          <w:sz w:val="21"/>
        </w:rPr>
      </w:pPr>
      <w:r>
        <w:rPr>
          <w:spacing w:val="-1"/>
          <w:w w:val="33"/>
          <w:sz w:val="21"/>
        </w:rPr>
        <w:t>―</w:t>
      </w:r>
      <w:r>
        <w:rPr>
          <w:spacing w:val="-1"/>
          <w:w w:val="100"/>
          <w:sz w:val="21"/>
        </w:rPr>
        <w:t>2</w:t>
      </w:r>
      <w:r>
        <w:rPr>
          <w:w w:val="100"/>
          <w:sz w:val="21"/>
        </w:rPr>
        <w:t>.</w:t>
      </w:r>
      <w:r>
        <w:rPr>
          <w:sz w:val="21"/>
        </w:rPr>
        <w:t>  </w:t>
      </w:r>
      <w:r>
        <w:rPr>
          <w:spacing w:val="-6"/>
          <w:sz w:val="21"/>
        </w:rPr>
        <w:t> </w:t>
      </w:r>
      <w:r>
        <w:rPr>
          <w:w w:val="100"/>
          <w:sz w:val="21"/>
        </w:rPr>
        <w:t>Th</w:t>
      </w:r>
      <w:r>
        <w:rPr>
          <w:spacing w:val="-1"/>
          <w:w w:val="100"/>
          <w:sz w:val="21"/>
        </w:rPr>
        <w:t>a</w:t>
      </w:r>
      <w:r>
        <w:rPr>
          <w:w w:val="100"/>
          <w:sz w:val="21"/>
        </w:rPr>
        <w:t>t</w:t>
      </w:r>
      <w:r>
        <w:rPr>
          <w:sz w:val="21"/>
        </w:rPr>
        <w:t>  </w:t>
      </w:r>
      <w:r>
        <w:rPr>
          <w:spacing w:val="-9"/>
          <w:sz w:val="21"/>
        </w:rPr>
        <w:t> </w:t>
      </w:r>
      <w:r>
        <w:rPr>
          <w:w w:val="100"/>
          <w:sz w:val="21"/>
        </w:rPr>
        <w:t>in</w:t>
      </w:r>
      <w:r>
        <w:rPr>
          <w:sz w:val="21"/>
        </w:rPr>
        <w:t>  </w:t>
      </w:r>
      <w:r>
        <w:rPr>
          <w:spacing w:val="-8"/>
          <w:sz w:val="21"/>
        </w:rPr>
        <w:t> </w:t>
      </w:r>
      <w:r>
        <w:rPr>
          <w:spacing w:val="-2"/>
          <w:w w:val="100"/>
          <w:sz w:val="21"/>
        </w:rPr>
        <w:t>t</w:t>
      </w:r>
      <w:r>
        <w:rPr>
          <w:spacing w:val="-1"/>
          <w:w w:val="100"/>
          <w:sz w:val="21"/>
        </w:rPr>
        <w:t>h</w:t>
      </w:r>
      <w:r>
        <w:rPr>
          <w:w w:val="100"/>
          <w:sz w:val="21"/>
        </w:rPr>
        <w:t>e</w:t>
      </w:r>
      <w:r>
        <w:rPr>
          <w:sz w:val="21"/>
        </w:rPr>
        <w:t>  </w:t>
      </w:r>
      <w:r>
        <w:rPr>
          <w:spacing w:val="-7"/>
          <w:sz w:val="21"/>
        </w:rPr>
        <w:t> </w:t>
      </w:r>
      <w:r>
        <w:rPr>
          <w:spacing w:val="-3"/>
          <w:w w:val="100"/>
          <w:sz w:val="21"/>
        </w:rPr>
        <w:t>s</w:t>
      </w:r>
      <w:r>
        <w:rPr>
          <w:spacing w:val="2"/>
          <w:w w:val="100"/>
          <w:sz w:val="21"/>
        </w:rPr>
        <w:t>k</w:t>
      </w:r>
      <w:r>
        <w:rPr>
          <w:spacing w:val="-1"/>
          <w:w w:val="100"/>
          <w:sz w:val="21"/>
        </w:rPr>
        <w:t>et</w:t>
      </w:r>
      <w:r>
        <w:rPr>
          <w:spacing w:val="-3"/>
          <w:w w:val="100"/>
          <w:sz w:val="21"/>
        </w:rPr>
        <w:t>c</w:t>
      </w:r>
      <w:r>
        <w:rPr>
          <w:w w:val="100"/>
          <w:sz w:val="21"/>
        </w:rPr>
        <w:t>h</w:t>
      </w:r>
      <w:r>
        <w:rPr>
          <w:sz w:val="21"/>
        </w:rPr>
        <w:t>  </w:t>
      </w:r>
      <w:r>
        <w:rPr>
          <w:spacing w:val="-8"/>
          <w:sz w:val="21"/>
        </w:rPr>
        <w:t> </w:t>
      </w:r>
      <w:r>
        <w:rPr>
          <w:spacing w:val="-1"/>
          <w:w w:val="100"/>
          <w:sz w:val="21"/>
        </w:rPr>
        <w:t>ma</w:t>
      </w:r>
      <w:r>
        <w:rPr>
          <w:w w:val="100"/>
          <w:sz w:val="21"/>
        </w:rPr>
        <w:t>p</w:t>
      </w:r>
      <w:r>
        <w:rPr>
          <w:sz w:val="21"/>
        </w:rPr>
        <w:t>  </w:t>
      </w:r>
      <w:r>
        <w:rPr>
          <w:spacing w:val="-7"/>
          <w:sz w:val="21"/>
        </w:rPr>
        <w:t> </w:t>
      </w:r>
      <w:r>
        <w:rPr>
          <w:spacing w:val="-1"/>
          <w:w w:val="100"/>
          <w:sz w:val="21"/>
        </w:rPr>
        <w:t>at</w:t>
      </w:r>
      <w:r>
        <w:rPr>
          <w:spacing w:val="-2"/>
          <w:w w:val="100"/>
          <w:sz w:val="21"/>
        </w:rPr>
        <w:t>t</w:t>
      </w:r>
      <w:r>
        <w:rPr>
          <w:spacing w:val="2"/>
          <w:w w:val="100"/>
          <w:sz w:val="21"/>
        </w:rPr>
        <w:t>a</w:t>
      </w:r>
      <w:r>
        <w:rPr>
          <w:w w:val="100"/>
          <w:sz w:val="21"/>
        </w:rPr>
        <w:t>c</w:t>
      </w:r>
      <w:r>
        <w:rPr>
          <w:spacing w:val="-3"/>
          <w:w w:val="100"/>
          <w:sz w:val="21"/>
        </w:rPr>
        <w:t>h</w:t>
      </w:r>
      <w:r>
        <w:rPr>
          <w:w w:val="100"/>
          <w:sz w:val="21"/>
        </w:rPr>
        <w:t>ed</w:t>
      </w:r>
      <w:r>
        <w:rPr>
          <w:sz w:val="21"/>
        </w:rPr>
        <w:t>  </w:t>
      </w:r>
      <w:r>
        <w:rPr>
          <w:spacing w:val="-7"/>
          <w:sz w:val="21"/>
        </w:rPr>
        <w:t> </w:t>
      </w:r>
      <w:r>
        <w:rPr>
          <w:w w:val="100"/>
          <w:sz w:val="21"/>
        </w:rPr>
        <w:t>here</w:t>
      </w:r>
      <w:r>
        <w:rPr>
          <w:spacing w:val="-2"/>
          <w:w w:val="100"/>
          <w:sz w:val="21"/>
        </w:rPr>
        <w:t>w</w:t>
      </w:r>
      <w:r>
        <w:rPr>
          <w:w w:val="100"/>
          <w:sz w:val="21"/>
        </w:rPr>
        <w:t>i</w:t>
      </w:r>
      <w:r>
        <w:rPr>
          <w:spacing w:val="-4"/>
          <w:w w:val="100"/>
          <w:sz w:val="21"/>
        </w:rPr>
        <w:t>t</w:t>
      </w:r>
      <w:r>
        <w:rPr>
          <w:w w:val="100"/>
          <w:sz w:val="21"/>
        </w:rPr>
        <w:t>h,</w:t>
      </w:r>
      <w:r>
        <w:rPr>
          <w:sz w:val="21"/>
        </w:rPr>
        <w:t>  </w:t>
      </w:r>
      <w:r>
        <w:rPr>
          <w:spacing w:val="-6"/>
          <w:sz w:val="21"/>
        </w:rPr>
        <w:t> </w:t>
      </w:r>
      <w:r>
        <w:rPr>
          <w:spacing w:val="-2"/>
          <w:w w:val="100"/>
          <w:sz w:val="21"/>
        </w:rPr>
        <w:t>t</w:t>
      </w:r>
      <w:r>
        <w:rPr>
          <w:w w:val="100"/>
          <w:sz w:val="21"/>
        </w:rPr>
        <w:t>he</w:t>
      </w:r>
      <w:r>
        <w:rPr>
          <w:sz w:val="21"/>
        </w:rPr>
        <w:t>  </w:t>
      </w:r>
      <w:r>
        <w:rPr>
          <w:spacing w:val="-7"/>
          <w:sz w:val="21"/>
        </w:rPr>
        <w:t> </w:t>
      </w:r>
      <w:r>
        <w:rPr>
          <w:spacing w:val="-1"/>
          <w:w w:val="100"/>
          <w:sz w:val="21"/>
        </w:rPr>
        <w:t>m</w:t>
      </w:r>
      <w:r>
        <w:rPr>
          <w:w w:val="100"/>
          <w:sz w:val="21"/>
        </w:rPr>
        <w:t>a</w:t>
      </w:r>
      <w:r>
        <w:rPr>
          <w:spacing w:val="1"/>
          <w:w w:val="100"/>
          <w:sz w:val="21"/>
        </w:rPr>
        <w:t>i</w:t>
      </w:r>
      <w:r>
        <w:rPr>
          <w:w w:val="100"/>
          <w:sz w:val="21"/>
        </w:rPr>
        <w:t>n </w:t>
      </w:r>
      <w:r>
        <w:rPr>
          <w:sz w:val="21"/>
        </w:rPr>
        <w:t>construction</w:t>
      </w:r>
      <w:r>
        <w:rPr>
          <w:spacing w:val="6"/>
          <w:sz w:val="21"/>
        </w:rPr>
        <w:t> </w:t>
      </w:r>
      <w:r>
        <w:rPr>
          <w:sz w:val="21"/>
        </w:rPr>
        <w:t>of</w:t>
      </w:r>
      <w:r>
        <w:rPr>
          <w:spacing w:val="7"/>
          <w:sz w:val="21"/>
        </w:rPr>
        <w:t> </w:t>
      </w:r>
      <w:r>
        <w:rPr>
          <w:sz w:val="21"/>
        </w:rPr>
        <w:t>the</w:t>
      </w:r>
      <w:r>
        <w:rPr>
          <w:spacing w:val="6"/>
          <w:sz w:val="21"/>
        </w:rPr>
        <w:t> </w:t>
      </w:r>
      <w:r>
        <w:rPr>
          <w:sz w:val="21"/>
        </w:rPr>
        <w:t>said</w:t>
      </w:r>
      <w:r>
        <w:rPr>
          <w:spacing w:val="3"/>
          <w:sz w:val="21"/>
        </w:rPr>
        <w:t> </w:t>
      </w:r>
      <w:r>
        <w:rPr>
          <w:sz w:val="21"/>
        </w:rPr>
        <w:t>mosque</w:t>
      </w:r>
      <w:r>
        <w:rPr>
          <w:spacing w:val="7"/>
          <w:sz w:val="21"/>
        </w:rPr>
        <w:t> </w:t>
      </w:r>
      <w:r>
        <w:rPr>
          <w:sz w:val="21"/>
        </w:rPr>
        <w:t>is</w:t>
      </w:r>
      <w:r>
        <w:rPr>
          <w:spacing w:val="6"/>
          <w:sz w:val="21"/>
        </w:rPr>
        <w:t> </w:t>
      </w:r>
      <w:r>
        <w:rPr>
          <w:sz w:val="21"/>
        </w:rPr>
        <w:t>shown</w:t>
      </w:r>
      <w:r>
        <w:rPr>
          <w:spacing w:val="6"/>
          <w:sz w:val="21"/>
        </w:rPr>
        <w:t> </w:t>
      </w:r>
      <w:r>
        <w:rPr>
          <w:sz w:val="21"/>
        </w:rPr>
        <w:t>by</w:t>
      </w:r>
      <w:r>
        <w:rPr>
          <w:spacing w:val="3"/>
          <w:sz w:val="21"/>
        </w:rPr>
        <w:t> </w:t>
      </w:r>
      <w:r>
        <w:rPr>
          <w:sz w:val="21"/>
        </w:rPr>
        <w:t>letters</w:t>
      </w:r>
      <w:r>
        <w:rPr>
          <w:spacing w:val="4"/>
          <w:sz w:val="21"/>
        </w:rPr>
        <w:t> </w:t>
      </w:r>
      <w:r>
        <w:rPr>
          <w:sz w:val="21"/>
        </w:rPr>
        <w:t>A</w:t>
      </w:r>
      <w:r>
        <w:rPr>
          <w:spacing w:val="6"/>
          <w:sz w:val="21"/>
        </w:rPr>
        <w:t> </w:t>
      </w:r>
      <w:r>
        <w:rPr>
          <w:sz w:val="21"/>
        </w:rPr>
        <w:t>B</w:t>
      </w:r>
      <w:r>
        <w:rPr>
          <w:spacing w:val="4"/>
          <w:sz w:val="21"/>
        </w:rPr>
        <w:t> </w:t>
      </w:r>
      <w:r>
        <w:rPr>
          <w:sz w:val="21"/>
        </w:rPr>
        <w:t>C</w:t>
      </w:r>
      <w:r>
        <w:rPr>
          <w:spacing w:val="7"/>
          <w:sz w:val="21"/>
        </w:rPr>
        <w:t> </w:t>
      </w:r>
      <w:r>
        <w:rPr>
          <w:sz w:val="21"/>
        </w:rPr>
        <w:t>D</w:t>
      </w:r>
      <w:r>
        <w:rPr>
          <w:spacing w:val="7"/>
          <w:sz w:val="21"/>
        </w:rPr>
        <w:t> </w:t>
      </w:r>
      <w:r>
        <w:rPr>
          <w:sz w:val="21"/>
        </w:rPr>
        <w:t>and</w:t>
      </w:r>
    </w:p>
    <w:p>
      <w:pPr>
        <w:spacing w:after="0" w:line="273" w:lineRule="auto"/>
        <w:jc w:val="both"/>
        <w:rPr>
          <w:sz w:val="21"/>
        </w:rPr>
        <w:sectPr>
          <w:pgSz w:w="11910" w:h="16840"/>
          <w:pgMar w:header="721" w:footer="1014" w:top="1300" w:bottom="1200" w:left="940" w:right="1000"/>
        </w:sectPr>
      </w:pPr>
    </w:p>
    <w:p>
      <w:pPr>
        <w:spacing w:line="276" w:lineRule="auto" w:before="122"/>
        <w:ind w:left="1633" w:right="2262" w:firstLine="0"/>
        <w:jc w:val="both"/>
        <w:rPr>
          <w:sz w:val="21"/>
        </w:rPr>
      </w:pPr>
      <w:r>
        <w:rPr>
          <w:sz w:val="21"/>
        </w:rPr>
        <w:t>the land adjoining the mosque on the east, west, north and south, shown in the sketch map attached herewith, in the ancient graveyard of the Muslims, covered by the graves of the Muslims, who lost the lives in the battle between emperor Babr and the previous ruler of Ajodhiya, which are ahown in the sketch map attached herewith. The mosque and the graveyard is vested in the Almighty. </w:t>
      </w:r>
      <w:r>
        <w:rPr>
          <w:b/>
          <w:sz w:val="21"/>
        </w:rPr>
        <w:t>The said mosque has since the time of its construction been used by the Muslims for offering prayers </w:t>
      </w:r>
      <w:r>
        <w:rPr>
          <w:sz w:val="21"/>
        </w:rPr>
        <w:t>and the graveyard are in Mohalla Kot Rama Chander also known as Rama Kot Town, Ayodhya. The Khasra number of the mosque and the graveyard in suit are shown in the schedule attached which is part of the</w:t>
      </w:r>
      <w:r>
        <w:rPr>
          <w:spacing w:val="-9"/>
          <w:sz w:val="21"/>
        </w:rPr>
        <w:t> </w:t>
      </w:r>
      <w:r>
        <w:rPr>
          <w:sz w:val="21"/>
        </w:rPr>
        <w:t>plaint.‖</w:t>
      </w:r>
    </w:p>
    <w:p>
      <w:pPr>
        <w:spacing w:before="161"/>
        <w:ind w:left="5798" w:right="0" w:firstLine="0"/>
        <w:jc w:val="left"/>
        <w:rPr>
          <w:sz w:val="21"/>
        </w:rPr>
      </w:pPr>
      <w:r>
        <w:rPr>
          <w:sz w:val="21"/>
        </w:rPr>
        <w:t>(Emphasis supplied)</w:t>
      </w:r>
    </w:p>
    <w:p>
      <w:pPr>
        <w:pStyle w:val="BodyText"/>
        <w:rPr>
          <w:sz w:val="24"/>
        </w:rPr>
      </w:pPr>
    </w:p>
    <w:p>
      <w:pPr>
        <w:pStyle w:val="BodyText"/>
        <w:spacing w:before="11"/>
        <w:rPr>
          <w:sz w:val="33"/>
        </w:rPr>
      </w:pPr>
    </w:p>
    <w:p>
      <w:pPr>
        <w:pStyle w:val="ListParagraph"/>
        <w:numPr>
          <w:ilvl w:val="0"/>
          <w:numId w:val="231"/>
        </w:numPr>
        <w:tabs>
          <w:tab w:pos="1221" w:val="left" w:leader="none"/>
        </w:tabs>
        <w:spacing w:line="480" w:lineRule="auto" w:before="0" w:after="0"/>
        <w:ind w:left="500" w:right="442" w:firstLine="0"/>
        <w:jc w:val="both"/>
        <w:rPr>
          <w:sz w:val="25"/>
        </w:rPr>
      </w:pPr>
      <w:r>
        <w:rPr>
          <w:sz w:val="25"/>
        </w:rPr>
        <w:t>A waqf is a dedication of movable or immovable property for a religious or charitable purpose recognised by Muslim law. Ordinarily, a waqf is brought into existence by an express act of dedication in the form of a declaration. Upon pronouncing the declaration, the property sought to be dedicated is divested from the wakif as the person making the dedication and vests in the Almighty, Allah. A waqf is a permanent and irrevocable dedication of property and once the waqf is created, the dedication cannot be rescinded at a later date. The property of a validly created waqf is inalienable and cannot be sold or leased for private</w:t>
      </w:r>
      <w:r>
        <w:rPr>
          <w:spacing w:val="-18"/>
          <w:sz w:val="25"/>
        </w:rPr>
        <w:t> </w:t>
      </w:r>
      <w:r>
        <w:rPr>
          <w:sz w:val="25"/>
        </w:rPr>
        <w:t>gain.</w:t>
      </w:r>
    </w:p>
    <w:p>
      <w:pPr>
        <w:pStyle w:val="BodyText"/>
        <w:rPr>
          <w:sz w:val="28"/>
        </w:rPr>
      </w:pPr>
    </w:p>
    <w:p>
      <w:pPr>
        <w:pStyle w:val="BodyText"/>
        <w:spacing w:before="11"/>
        <w:rPr>
          <w:sz w:val="24"/>
        </w:rPr>
      </w:pPr>
    </w:p>
    <w:p>
      <w:pPr>
        <w:pStyle w:val="ListParagraph"/>
        <w:numPr>
          <w:ilvl w:val="0"/>
          <w:numId w:val="231"/>
        </w:numPr>
        <w:tabs>
          <w:tab w:pos="1221" w:val="left" w:leader="none"/>
        </w:tabs>
        <w:spacing w:line="480" w:lineRule="auto" w:before="0" w:after="0"/>
        <w:ind w:left="500" w:right="439" w:firstLine="0"/>
        <w:jc w:val="both"/>
        <w:rPr>
          <w:sz w:val="25"/>
        </w:rPr>
      </w:pPr>
      <w:r>
        <w:rPr>
          <w:sz w:val="25"/>
        </w:rPr>
        <w:t>Muslim law does not require an express declaration of a Waqf in every case. The dedication resulting in a waqf may also be reasonably inferred from the facts and circumstances of a case or from the conduct of the wakif. In the absence of an express dedication, the existence of a waqf can be legally recognised in situations where property has been the subject of public religious use since time immemorial. This concept of a waqf by user has also</w:t>
      </w:r>
      <w:r>
        <w:rPr>
          <w:spacing w:val="-11"/>
          <w:sz w:val="25"/>
        </w:rPr>
        <w:t> </w:t>
      </w:r>
      <w:r>
        <w:rPr>
          <w:sz w:val="25"/>
        </w:rPr>
        <w:t>found</w:t>
      </w:r>
    </w:p>
    <w:p>
      <w:pPr>
        <w:spacing w:after="0" w:line="480" w:lineRule="auto"/>
        <w:jc w:val="both"/>
        <w:rPr>
          <w:sz w:val="25"/>
        </w:rPr>
        <w:sectPr>
          <w:pgSz w:w="11910" w:h="16840"/>
          <w:pgMar w:header="721" w:footer="1014" w:top="1300" w:bottom="1200" w:left="940" w:right="1000"/>
        </w:sectPr>
      </w:pPr>
    </w:p>
    <w:p>
      <w:pPr>
        <w:pStyle w:val="BodyText"/>
        <w:spacing w:before="124"/>
        <w:ind w:left="500"/>
      </w:pPr>
      <w:r>
        <w:rPr/>
        <w:t>statutory recognition in Section 3(r) of the Waqf Act,</w:t>
      </w:r>
      <w:r>
        <w:rPr>
          <w:vertAlign w:val="superscript"/>
        </w:rPr>
        <w:t>360</w:t>
      </w:r>
      <w:r>
        <w:rPr>
          <w:vertAlign w:val="baseline"/>
        </w:rPr>
        <w:t> 1995 which defines a</w:t>
      </w:r>
    </w:p>
    <w:p>
      <w:pPr>
        <w:pStyle w:val="BodyText"/>
      </w:pPr>
    </w:p>
    <w:p>
      <w:pPr>
        <w:pStyle w:val="BodyText"/>
        <w:spacing w:before="1"/>
        <w:ind w:left="500"/>
      </w:pPr>
      <w:r>
        <w:rPr>
          <w:w w:val="33"/>
        </w:rPr>
        <w:t>―</w:t>
      </w:r>
      <w:r>
        <w:rPr>
          <w:spacing w:val="-1"/>
          <w:w w:val="99"/>
        </w:rPr>
        <w:t>waq</w:t>
      </w:r>
      <w:r>
        <w:rPr>
          <w:w w:val="99"/>
        </w:rPr>
        <w:t>f</w:t>
      </w:r>
      <w:r>
        <w:rPr>
          <w:w w:val="80"/>
        </w:rPr>
        <w:t>‖</w:t>
      </w:r>
      <w:r>
        <w:rPr/>
        <w:t> </w:t>
      </w:r>
      <w:r>
        <w:rPr>
          <w:spacing w:val="-1"/>
          <w:w w:val="99"/>
        </w:rPr>
        <w:t>as:</w:t>
      </w:r>
    </w:p>
    <w:p>
      <w:pPr>
        <w:pStyle w:val="BodyText"/>
        <w:spacing w:before="9"/>
        <w:rPr>
          <w:sz w:val="38"/>
        </w:rPr>
      </w:pPr>
    </w:p>
    <w:p>
      <w:pPr>
        <w:spacing w:line="276" w:lineRule="auto" w:before="0"/>
        <w:ind w:left="1633" w:right="2262" w:firstLine="0"/>
        <w:jc w:val="both"/>
        <w:rPr>
          <w:sz w:val="21"/>
        </w:rPr>
      </w:pPr>
      <w:r>
        <w:rPr>
          <w:spacing w:val="-1"/>
          <w:w w:val="33"/>
          <w:sz w:val="21"/>
        </w:rPr>
        <w:t>―</w:t>
      </w:r>
      <w:r>
        <w:rPr>
          <w:spacing w:val="-1"/>
          <w:w w:val="100"/>
          <w:sz w:val="21"/>
        </w:rPr>
        <w:t>(r</w:t>
      </w:r>
      <w:r>
        <w:rPr>
          <w:w w:val="100"/>
          <w:sz w:val="21"/>
        </w:rPr>
        <w:t>)</w:t>
      </w:r>
      <w:r>
        <w:rPr>
          <w:sz w:val="21"/>
        </w:rPr>
        <w:t> </w:t>
      </w:r>
      <w:r>
        <w:rPr>
          <w:spacing w:val="-20"/>
          <w:sz w:val="21"/>
        </w:rPr>
        <w:t> </w:t>
      </w:r>
      <w:r>
        <w:rPr>
          <w:spacing w:val="-1"/>
          <w:w w:val="33"/>
          <w:sz w:val="21"/>
        </w:rPr>
        <w:t>―</w:t>
      </w:r>
      <w:r>
        <w:rPr>
          <w:spacing w:val="-2"/>
          <w:w w:val="100"/>
          <w:sz w:val="21"/>
        </w:rPr>
        <w:t>w</w:t>
      </w:r>
      <w:r>
        <w:rPr>
          <w:spacing w:val="-1"/>
          <w:w w:val="100"/>
          <w:sz w:val="21"/>
        </w:rPr>
        <w:t>aq</w:t>
      </w:r>
      <w:r>
        <w:rPr>
          <w:spacing w:val="1"/>
          <w:w w:val="100"/>
          <w:sz w:val="21"/>
        </w:rPr>
        <w:t>f</w:t>
      </w:r>
      <w:r>
        <w:rPr>
          <w:w w:val="81"/>
          <w:sz w:val="21"/>
        </w:rPr>
        <w:t>‖</w:t>
      </w:r>
      <w:r>
        <w:rPr>
          <w:sz w:val="21"/>
        </w:rPr>
        <w:t> </w:t>
      </w:r>
      <w:r>
        <w:rPr>
          <w:spacing w:val="-22"/>
          <w:sz w:val="21"/>
        </w:rPr>
        <w:t> </w:t>
      </w:r>
      <w:r>
        <w:rPr>
          <w:spacing w:val="1"/>
          <w:w w:val="100"/>
          <w:sz w:val="21"/>
        </w:rPr>
        <w:t>m</w:t>
      </w:r>
      <w:r>
        <w:rPr>
          <w:spacing w:val="-1"/>
          <w:w w:val="100"/>
          <w:sz w:val="21"/>
        </w:rPr>
        <w:t>e</w:t>
      </w:r>
      <w:r>
        <w:rPr>
          <w:spacing w:val="-3"/>
          <w:w w:val="100"/>
          <w:sz w:val="21"/>
        </w:rPr>
        <w:t>a</w:t>
      </w:r>
      <w:r>
        <w:rPr>
          <w:spacing w:val="-1"/>
          <w:w w:val="100"/>
          <w:sz w:val="21"/>
        </w:rPr>
        <w:t>n</w:t>
      </w:r>
      <w:r>
        <w:rPr>
          <w:w w:val="100"/>
          <w:sz w:val="21"/>
        </w:rPr>
        <w:t>s</w:t>
      </w:r>
      <w:r>
        <w:rPr>
          <w:sz w:val="21"/>
        </w:rPr>
        <w:t> </w:t>
      </w:r>
      <w:r>
        <w:rPr>
          <w:spacing w:val="-19"/>
          <w:sz w:val="21"/>
        </w:rPr>
        <w:t> </w:t>
      </w:r>
      <w:r>
        <w:rPr>
          <w:spacing w:val="-2"/>
          <w:w w:val="100"/>
          <w:sz w:val="21"/>
        </w:rPr>
        <w:t>t</w:t>
      </w:r>
      <w:r>
        <w:rPr>
          <w:spacing w:val="-1"/>
          <w:w w:val="100"/>
          <w:sz w:val="21"/>
        </w:rPr>
        <w:t>h</w:t>
      </w:r>
      <w:r>
        <w:rPr>
          <w:w w:val="100"/>
          <w:sz w:val="21"/>
        </w:rPr>
        <w:t>e</w:t>
      </w:r>
      <w:r>
        <w:rPr>
          <w:sz w:val="21"/>
        </w:rPr>
        <w:t> </w:t>
      </w:r>
      <w:r>
        <w:rPr>
          <w:spacing w:val="-21"/>
          <w:sz w:val="21"/>
        </w:rPr>
        <w:t> </w:t>
      </w:r>
      <w:r>
        <w:rPr>
          <w:spacing w:val="-1"/>
          <w:w w:val="100"/>
          <w:sz w:val="21"/>
        </w:rPr>
        <w:t>p</w:t>
      </w:r>
      <w:r>
        <w:rPr>
          <w:spacing w:val="-3"/>
          <w:w w:val="100"/>
          <w:sz w:val="21"/>
        </w:rPr>
        <w:t>e</w:t>
      </w:r>
      <w:r>
        <w:rPr>
          <w:spacing w:val="-1"/>
          <w:w w:val="100"/>
          <w:sz w:val="21"/>
        </w:rPr>
        <w:t>r</w:t>
      </w:r>
      <w:r>
        <w:rPr>
          <w:spacing w:val="1"/>
          <w:w w:val="100"/>
          <w:sz w:val="21"/>
        </w:rPr>
        <w:t>m</w:t>
      </w:r>
      <w:r>
        <w:rPr>
          <w:spacing w:val="-3"/>
          <w:w w:val="100"/>
          <w:sz w:val="21"/>
        </w:rPr>
        <w:t>a</w:t>
      </w:r>
      <w:r>
        <w:rPr>
          <w:spacing w:val="-1"/>
          <w:w w:val="100"/>
          <w:sz w:val="21"/>
        </w:rPr>
        <w:t>nen</w:t>
      </w:r>
      <w:r>
        <w:rPr>
          <w:w w:val="100"/>
          <w:sz w:val="21"/>
        </w:rPr>
        <w:t>t</w:t>
      </w:r>
      <w:r>
        <w:rPr>
          <w:sz w:val="21"/>
        </w:rPr>
        <w:t> </w:t>
      </w:r>
      <w:r>
        <w:rPr>
          <w:spacing w:val="-20"/>
          <w:sz w:val="21"/>
        </w:rPr>
        <w:t> </w:t>
      </w:r>
      <w:r>
        <w:rPr>
          <w:spacing w:val="-3"/>
          <w:w w:val="100"/>
          <w:sz w:val="21"/>
        </w:rPr>
        <w:t>d</w:t>
      </w:r>
      <w:r>
        <w:rPr>
          <w:spacing w:val="-1"/>
          <w:w w:val="100"/>
          <w:sz w:val="21"/>
        </w:rPr>
        <w:t>e</w:t>
      </w:r>
      <w:r>
        <w:rPr>
          <w:spacing w:val="-3"/>
          <w:w w:val="100"/>
          <w:sz w:val="21"/>
        </w:rPr>
        <w:t>d</w:t>
      </w:r>
      <w:r>
        <w:rPr>
          <w:w w:val="100"/>
          <w:sz w:val="21"/>
        </w:rPr>
        <w:t>ica</w:t>
      </w:r>
      <w:r>
        <w:rPr>
          <w:spacing w:val="-1"/>
          <w:w w:val="100"/>
          <w:sz w:val="21"/>
        </w:rPr>
        <w:t>t</w:t>
      </w:r>
      <w:r>
        <w:rPr>
          <w:spacing w:val="-2"/>
          <w:w w:val="100"/>
          <w:sz w:val="21"/>
        </w:rPr>
        <w:t>i</w:t>
      </w:r>
      <w:r>
        <w:rPr>
          <w:spacing w:val="-1"/>
          <w:w w:val="100"/>
          <w:sz w:val="21"/>
        </w:rPr>
        <w:t>o</w:t>
      </w:r>
      <w:r>
        <w:rPr>
          <w:w w:val="100"/>
          <w:sz w:val="21"/>
        </w:rPr>
        <w:t>n</w:t>
      </w:r>
      <w:r>
        <w:rPr>
          <w:sz w:val="21"/>
        </w:rPr>
        <w:t> </w:t>
      </w:r>
      <w:r>
        <w:rPr>
          <w:spacing w:val="-21"/>
          <w:sz w:val="21"/>
        </w:rPr>
        <w:t> </w:t>
      </w:r>
      <w:r>
        <w:rPr>
          <w:spacing w:val="-1"/>
          <w:w w:val="100"/>
          <w:sz w:val="21"/>
        </w:rPr>
        <w:t>b</w:t>
      </w:r>
      <w:r>
        <w:rPr>
          <w:w w:val="100"/>
          <w:sz w:val="21"/>
        </w:rPr>
        <w:t>y</w:t>
      </w:r>
      <w:r>
        <w:rPr>
          <w:sz w:val="21"/>
        </w:rPr>
        <w:t> </w:t>
      </w:r>
      <w:r>
        <w:rPr>
          <w:spacing w:val="-21"/>
          <w:sz w:val="21"/>
        </w:rPr>
        <w:t> </w:t>
      </w:r>
      <w:r>
        <w:rPr>
          <w:spacing w:val="-1"/>
          <w:w w:val="100"/>
          <w:sz w:val="21"/>
        </w:rPr>
        <w:t>an</w:t>
      </w:r>
      <w:r>
        <w:rPr>
          <w:w w:val="100"/>
          <w:sz w:val="21"/>
        </w:rPr>
        <w:t>y</w:t>
      </w:r>
      <w:r>
        <w:rPr>
          <w:sz w:val="21"/>
        </w:rPr>
        <w:t> </w:t>
      </w:r>
      <w:r>
        <w:rPr>
          <w:spacing w:val="-21"/>
          <w:sz w:val="21"/>
        </w:rPr>
        <w:t> </w:t>
      </w:r>
      <w:r>
        <w:rPr>
          <w:spacing w:val="-1"/>
          <w:w w:val="100"/>
          <w:sz w:val="21"/>
        </w:rPr>
        <w:t>person</w:t>
      </w:r>
      <w:r>
        <w:rPr>
          <w:w w:val="100"/>
          <w:sz w:val="21"/>
        </w:rPr>
        <w:t>,</w:t>
      </w:r>
      <w:r>
        <w:rPr>
          <w:sz w:val="21"/>
        </w:rPr>
        <w:t> </w:t>
      </w:r>
      <w:r>
        <w:rPr>
          <w:spacing w:val="-20"/>
          <w:sz w:val="21"/>
        </w:rPr>
        <w:t> </w:t>
      </w:r>
      <w:r>
        <w:rPr>
          <w:spacing w:val="-3"/>
          <w:w w:val="100"/>
          <w:sz w:val="21"/>
        </w:rPr>
        <w:t>o</w:t>
      </w:r>
      <w:r>
        <w:rPr>
          <w:w w:val="100"/>
          <w:sz w:val="21"/>
        </w:rPr>
        <w:t>f </w:t>
      </w:r>
      <w:r>
        <w:rPr>
          <w:sz w:val="21"/>
        </w:rPr>
        <w:t>any movable or immovable property for any purpose recognised by the Muslim law as pious, religious or charitable and includes</w:t>
      </w:r>
      <w:r>
        <w:rPr>
          <w:spacing w:val="-18"/>
          <w:sz w:val="21"/>
        </w:rPr>
        <w:t> </w:t>
      </w:r>
      <w:r>
        <w:rPr>
          <w:sz w:val="21"/>
        </w:rPr>
        <w:t>–</w:t>
      </w:r>
    </w:p>
    <w:p>
      <w:pPr>
        <w:pStyle w:val="ListParagraph"/>
        <w:numPr>
          <w:ilvl w:val="1"/>
          <w:numId w:val="231"/>
        </w:numPr>
        <w:tabs>
          <w:tab w:pos="2627" w:val="left" w:leader="none"/>
        </w:tabs>
        <w:spacing w:line="276" w:lineRule="auto" w:before="160" w:after="0"/>
        <w:ind w:left="2626" w:right="2266" w:hanging="720"/>
        <w:jc w:val="both"/>
        <w:rPr>
          <w:sz w:val="21"/>
        </w:rPr>
      </w:pPr>
      <w:r>
        <w:rPr>
          <w:b/>
          <w:sz w:val="21"/>
        </w:rPr>
        <w:t>a waqf by user but such waqf shall not cease to be a waqf by reason only of the user having ceased </w:t>
      </w:r>
      <w:r>
        <w:rPr>
          <w:sz w:val="21"/>
        </w:rPr>
        <w:t>irrespective of the period of such</w:t>
      </w:r>
      <w:r>
        <w:rPr>
          <w:spacing w:val="-5"/>
          <w:sz w:val="21"/>
        </w:rPr>
        <w:t> </w:t>
      </w:r>
      <w:r>
        <w:rPr>
          <w:sz w:val="21"/>
        </w:rPr>
        <w:t>cesser;</w:t>
      </w:r>
    </w:p>
    <w:p>
      <w:pPr>
        <w:pStyle w:val="ListParagraph"/>
        <w:numPr>
          <w:ilvl w:val="1"/>
          <w:numId w:val="231"/>
        </w:numPr>
        <w:tabs>
          <w:tab w:pos="2627" w:val="left" w:leader="none"/>
        </w:tabs>
        <w:spacing w:line="276" w:lineRule="auto" w:before="159" w:after="0"/>
        <w:ind w:left="2626" w:right="2265" w:hanging="720"/>
        <w:jc w:val="both"/>
        <w:rPr>
          <w:sz w:val="21"/>
        </w:rPr>
      </w:pPr>
      <w:r>
        <w:rPr>
          <w:sz w:val="21"/>
        </w:rPr>
        <w:t>a Shamlat Patti, Shamlat Deh, Jumla Malkkan or by any other name entered into a revenue</w:t>
      </w:r>
      <w:r>
        <w:rPr>
          <w:spacing w:val="-9"/>
          <w:sz w:val="21"/>
        </w:rPr>
        <w:t> </w:t>
      </w:r>
      <w:r>
        <w:rPr>
          <w:sz w:val="21"/>
        </w:rPr>
        <w:t>record;</w:t>
      </w:r>
    </w:p>
    <w:p>
      <w:pPr>
        <w:pStyle w:val="ListParagraph"/>
        <w:numPr>
          <w:ilvl w:val="1"/>
          <w:numId w:val="231"/>
        </w:numPr>
        <w:tabs>
          <w:tab w:pos="2627" w:val="left" w:leader="none"/>
        </w:tabs>
        <w:spacing w:line="276" w:lineRule="auto" w:before="160" w:after="0"/>
        <w:ind w:left="2626" w:right="2262" w:hanging="720"/>
        <w:jc w:val="both"/>
        <w:rPr>
          <w:sz w:val="21"/>
        </w:rPr>
      </w:pPr>
      <w:r>
        <w:rPr>
          <w:spacing w:val="-1"/>
          <w:w w:val="33"/>
          <w:sz w:val="21"/>
        </w:rPr>
        <w:t>―</w:t>
      </w:r>
      <w:r>
        <w:rPr>
          <w:spacing w:val="-1"/>
          <w:w w:val="100"/>
          <w:sz w:val="21"/>
        </w:rPr>
        <w:t>gran</w:t>
      </w:r>
      <w:r>
        <w:rPr>
          <w:spacing w:val="-2"/>
          <w:w w:val="100"/>
          <w:sz w:val="21"/>
        </w:rPr>
        <w:t>t</w:t>
      </w:r>
      <w:r>
        <w:rPr>
          <w:w w:val="91"/>
          <w:sz w:val="21"/>
        </w:rPr>
        <w:t>s</w:t>
      </w:r>
      <w:r>
        <w:rPr>
          <w:spacing w:val="-1"/>
          <w:w w:val="91"/>
          <w:sz w:val="21"/>
        </w:rPr>
        <w:t>‖</w:t>
      </w:r>
      <w:r>
        <w:rPr>
          <w:w w:val="100"/>
          <w:sz w:val="21"/>
        </w:rPr>
        <w:t>,</w:t>
      </w:r>
      <w:r>
        <w:rPr>
          <w:spacing w:val="5"/>
          <w:sz w:val="21"/>
        </w:rPr>
        <w:t> </w:t>
      </w:r>
      <w:r>
        <w:rPr>
          <w:w w:val="100"/>
          <w:sz w:val="21"/>
        </w:rPr>
        <w:t>i</w:t>
      </w:r>
      <w:r>
        <w:rPr>
          <w:spacing w:val="-1"/>
          <w:w w:val="100"/>
          <w:sz w:val="21"/>
        </w:rPr>
        <w:t>n</w:t>
      </w:r>
      <w:r>
        <w:rPr>
          <w:spacing w:val="-3"/>
          <w:w w:val="100"/>
          <w:sz w:val="21"/>
        </w:rPr>
        <w:t>c</w:t>
      </w:r>
      <w:r>
        <w:rPr>
          <w:w w:val="100"/>
          <w:sz w:val="21"/>
        </w:rPr>
        <w:t>l</w:t>
      </w:r>
      <w:r>
        <w:rPr>
          <w:spacing w:val="-3"/>
          <w:w w:val="100"/>
          <w:sz w:val="21"/>
        </w:rPr>
        <w:t>u</w:t>
      </w:r>
      <w:r>
        <w:rPr>
          <w:spacing w:val="-1"/>
          <w:w w:val="100"/>
          <w:sz w:val="21"/>
        </w:rPr>
        <w:t>d</w:t>
      </w:r>
      <w:r>
        <w:rPr>
          <w:spacing w:val="-2"/>
          <w:w w:val="100"/>
          <w:sz w:val="21"/>
        </w:rPr>
        <w:t>i</w:t>
      </w:r>
      <w:r>
        <w:rPr>
          <w:spacing w:val="-1"/>
          <w:w w:val="100"/>
          <w:sz w:val="21"/>
        </w:rPr>
        <w:t>n</w:t>
      </w:r>
      <w:r>
        <w:rPr>
          <w:w w:val="100"/>
          <w:sz w:val="21"/>
        </w:rPr>
        <w:t>g</w:t>
      </w:r>
      <w:r>
        <w:rPr>
          <w:spacing w:val="4"/>
          <w:sz w:val="21"/>
        </w:rPr>
        <w:t> </w:t>
      </w:r>
      <w:r>
        <w:rPr>
          <w:spacing w:val="1"/>
          <w:w w:val="100"/>
          <w:sz w:val="21"/>
        </w:rPr>
        <w:t>m</w:t>
      </w:r>
      <w:r>
        <w:rPr>
          <w:spacing w:val="-3"/>
          <w:w w:val="100"/>
          <w:sz w:val="21"/>
        </w:rPr>
        <w:t>a</w:t>
      </w:r>
      <w:r>
        <w:rPr>
          <w:w w:val="100"/>
          <w:sz w:val="21"/>
        </w:rPr>
        <w:t>shr</w:t>
      </w:r>
      <w:r>
        <w:rPr>
          <w:spacing w:val="-3"/>
          <w:w w:val="100"/>
          <w:sz w:val="21"/>
        </w:rPr>
        <w:t>a</w:t>
      </w:r>
      <w:r>
        <w:rPr>
          <w:w w:val="100"/>
          <w:sz w:val="21"/>
        </w:rPr>
        <w:t>t</w:t>
      </w:r>
      <w:r>
        <w:rPr>
          <w:spacing w:val="-1"/>
          <w:w w:val="100"/>
          <w:sz w:val="21"/>
        </w:rPr>
        <w:t>-</w:t>
      </w:r>
      <w:r>
        <w:rPr>
          <w:w w:val="100"/>
          <w:sz w:val="21"/>
        </w:rPr>
        <w:t>u</w:t>
      </w:r>
      <w:r>
        <w:rPr>
          <w:spacing w:val="1"/>
          <w:w w:val="100"/>
          <w:sz w:val="21"/>
        </w:rPr>
        <w:t>l</w:t>
      </w:r>
      <w:r>
        <w:rPr>
          <w:spacing w:val="-3"/>
          <w:w w:val="100"/>
          <w:sz w:val="21"/>
        </w:rPr>
        <w:t>-</w:t>
      </w:r>
      <w:r>
        <w:rPr>
          <w:spacing w:val="2"/>
          <w:w w:val="100"/>
          <w:sz w:val="21"/>
        </w:rPr>
        <w:t>k</w:t>
      </w:r>
      <w:r>
        <w:rPr>
          <w:w w:val="100"/>
          <w:sz w:val="21"/>
        </w:rPr>
        <w:t>h</w:t>
      </w:r>
      <w:r>
        <w:rPr>
          <w:spacing w:val="-2"/>
          <w:w w:val="100"/>
          <w:sz w:val="21"/>
        </w:rPr>
        <w:t>i</w:t>
      </w:r>
      <w:r>
        <w:rPr>
          <w:spacing w:val="-1"/>
          <w:w w:val="100"/>
          <w:sz w:val="21"/>
        </w:rPr>
        <w:t>m</w:t>
      </w:r>
      <w:r>
        <w:rPr>
          <w:w w:val="100"/>
          <w:sz w:val="21"/>
        </w:rPr>
        <w:t>dat</w:t>
      </w:r>
      <w:r>
        <w:rPr>
          <w:spacing w:val="2"/>
          <w:sz w:val="21"/>
        </w:rPr>
        <w:t> </w:t>
      </w:r>
      <w:r>
        <w:rPr>
          <w:spacing w:val="1"/>
          <w:w w:val="100"/>
          <w:sz w:val="21"/>
        </w:rPr>
        <w:t>f</w:t>
      </w:r>
      <w:r>
        <w:rPr>
          <w:w w:val="100"/>
          <w:sz w:val="21"/>
        </w:rPr>
        <w:t>or</w:t>
      </w:r>
      <w:r>
        <w:rPr>
          <w:spacing w:val="5"/>
          <w:sz w:val="21"/>
        </w:rPr>
        <w:t> </w:t>
      </w:r>
      <w:r>
        <w:rPr>
          <w:spacing w:val="-3"/>
          <w:w w:val="100"/>
          <w:sz w:val="21"/>
        </w:rPr>
        <w:t>a</w:t>
      </w:r>
      <w:r>
        <w:rPr>
          <w:w w:val="100"/>
          <w:sz w:val="21"/>
        </w:rPr>
        <w:t>ny</w:t>
      </w:r>
      <w:r>
        <w:rPr>
          <w:spacing w:val="3"/>
          <w:sz w:val="21"/>
        </w:rPr>
        <w:t> </w:t>
      </w:r>
      <w:r>
        <w:rPr>
          <w:w w:val="100"/>
          <w:sz w:val="21"/>
        </w:rPr>
        <w:t>purp</w:t>
      </w:r>
      <w:r>
        <w:rPr>
          <w:spacing w:val="-3"/>
          <w:w w:val="100"/>
          <w:sz w:val="21"/>
        </w:rPr>
        <w:t>o</w:t>
      </w:r>
      <w:r>
        <w:rPr>
          <w:w w:val="100"/>
          <w:sz w:val="21"/>
        </w:rPr>
        <w:t>se </w:t>
      </w:r>
      <w:r>
        <w:rPr>
          <w:sz w:val="21"/>
        </w:rPr>
        <w:t>recognised by the Muslim law as pious, religious or charitable;</w:t>
      </w:r>
      <w:r>
        <w:rPr>
          <w:spacing w:val="-2"/>
          <w:sz w:val="21"/>
        </w:rPr>
        <w:t> </w:t>
      </w:r>
      <w:r>
        <w:rPr>
          <w:sz w:val="21"/>
        </w:rPr>
        <w:t>and</w:t>
      </w:r>
    </w:p>
    <w:p>
      <w:pPr>
        <w:pStyle w:val="ListParagraph"/>
        <w:numPr>
          <w:ilvl w:val="1"/>
          <w:numId w:val="231"/>
        </w:numPr>
        <w:tabs>
          <w:tab w:pos="2627" w:val="left" w:leader="none"/>
        </w:tabs>
        <w:spacing w:line="276" w:lineRule="auto" w:before="160" w:after="0"/>
        <w:ind w:left="2626" w:right="2264" w:hanging="720"/>
        <w:jc w:val="both"/>
        <w:rPr>
          <w:sz w:val="21"/>
        </w:rPr>
      </w:pPr>
      <w:r>
        <w:rPr>
          <w:sz w:val="21"/>
        </w:rPr>
        <w:t>a waqf-alal-aulad to the extent to which the property is dedicated for any purpose recognised by Muslim law as pious, religious or charitable, provided the then the line of succession fails, the income of the waqf shall be spent for education, development, welfare and such other purposes as recognised by Muslim</w:t>
      </w:r>
      <w:r>
        <w:rPr>
          <w:spacing w:val="-10"/>
          <w:sz w:val="21"/>
        </w:rPr>
        <w:t> </w:t>
      </w:r>
      <w:r>
        <w:rPr>
          <w:sz w:val="21"/>
        </w:rPr>
        <w:t>law,</w:t>
      </w:r>
    </w:p>
    <w:p>
      <w:pPr>
        <w:tabs>
          <w:tab w:pos="3207" w:val="left" w:leader="none"/>
          <w:tab w:pos="4061" w:val="left" w:leader="none"/>
          <w:tab w:pos="4917" w:val="left" w:leader="none"/>
          <w:tab w:pos="5481" w:val="left" w:leader="none"/>
          <w:tab w:pos="6349" w:val="left" w:leader="none"/>
          <w:tab w:pos="7254" w:val="left" w:leader="none"/>
        </w:tabs>
        <w:spacing w:line="276" w:lineRule="auto" w:before="161"/>
        <w:ind w:left="2626" w:right="2266" w:firstLine="0"/>
        <w:jc w:val="left"/>
        <w:rPr>
          <w:sz w:val="21"/>
        </w:rPr>
      </w:pPr>
      <w:r>
        <w:rPr>
          <w:spacing w:val="-1"/>
          <w:w w:val="100"/>
          <w:sz w:val="21"/>
        </w:rPr>
        <w:t>an</w:t>
      </w:r>
      <w:r>
        <w:rPr>
          <w:w w:val="100"/>
          <w:sz w:val="21"/>
        </w:rPr>
        <w:t>d</w:t>
      </w:r>
      <w:r>
        <w:rPr>
          <w:sz w:val="21"/>
        </w:rPr>
        <w:tab/>
      </w:r>
      <w:r>
        <w:rPr>
          <w:spacing w:val="-1"/>
          <w:w w:val="33"/>
          <w:sz w:val="21"/>
        </w:rPr>
        <w:t>―</w:t>
      </w:r>
      <w:r>
        <w:rPr>
          <w:spacing w:val="-2"/>
          <w:w w:val="100"/>
          <w:sz w:val="21"/>
        </w:rPr>
        <w:t>w</w:t>
      </w:r>
      <w:r>
        <w:rPr>
          <w:spacing w:val="-3"/>
          <w:w w:val="100"/>
          <w:sz w:val="21"/>
        </w:rPr>
        <w:t>a</w:t>
      </w:r>
      <w:r>
        <w:rPr>
          <w:spacing w:val="-1"/>
          <w:w w:val="100"/>
          <w:sz w:val="21"/>
        </w:rPr>
        <w:t>q</w:t>
      </w:r>
      <w:r>
        <w:rPr>
          <w:spacing w:val="-2"/>
          <w:w w:val="100"/>
          <w:sz w:val="21"/>
        </w:rPr>
        <w:t>i</w:t>
      </w:r>
      <w:r>
        <w:rPr>
          <w:spacing w:val="1"/>
          <w:w w:val="100"/>
          <w:sz w:val="21"/>
        </w:rPr>
        <w:t>f</w:t>
      </w:r>
      <w:r>
        <w:rPr>
          <w:w w:val="81"/>
          <w:sz w:val="21"/>
        </w:rPr>
        <w:t>‖</w:t>
      </w:r>
      <w:r>
        <w:rPr>
          <w:sz w:val="21"/>
        </w:rPr>
        <w:tab/>
      </w:r>
      <w:r>
        <w:rPr>
          <w:spacing w:val="-1"/>
          <w:w w:val="100"/>
          <w:sz w:val="21"/>
        </w:rPr>
        <w:t>mea</w:t>
      </w:r>
      <w:r>
        <w:rPr>
          <w:spacing w:val="-2"/>
          <w:w w:val="100"/>
          <w:sz w:val="21"/>
        </w:rPr>
        <w:t>n</w:t>
      </w:r>
      <w:r>
        <w:rPr>
          <w:w w:val="100"/>
          <w:sz w:val="21"/>
        </w:rPr>
        <w:t>s</w:t>
      </w:r>
      <w:r>
        <w:rPr>
          <w:sz w:val="21"/>
        </w:rPr>
        <w:tab/>
      </w:r>
      <w:r>
        <w:rPr>
          <w:spacing w:val="-3"/>
          <w:w w:val="100"/>
          <w:sz w:val="21"/>
        </w:rPr>
        <w:t>a</w:t>
      </w:r>
      <w:r>
        <w:rPr>
          <w:spacing w:val="-1"/>
          <w:w w:val="100"/>
          <w:sz w:val="21"/>
        </w:rPr>
        <w:t>n</w:t>
      </w:r>
      <w:r>
        <w:rPr>
          <w:w w:val="100"/>
          <w:sz w:val="21"/>
        </w:rPr>
        <w:t>y</w:t>
      </w:r>
      <w:r>
        <w:rPr>
          <w:sz w:val="21"/>
        </w:rPr>
        <w:tab/>
      </w:r>
      <w:r>
        <w:rPr>
          <w:spacing w:val="-1"/>
          <w:w w:val="100"/>
          <w:sz w:val="21"/>
        </w:rPr>
        <w:t>perso</w:t>
      </w:r>
      <w:r>
        <w:rPr>
          <w:w w:val="100"/>
          <w:sz w:val="21"/>
        </w:rPr>
        <w:t>n</w:t>
      </w:r>
      <w:r>
        <w:rPr>
          <w:sz w:val="21"/>
        </w:rPr>
        <w:tab/>
      </w:r>
      <w:r>
        <w:rPr>
          <w:spacing w:val="1"/>
          <w:w w:val="100"/>
          <w:sz w:val="21"/>
        </w:rPr>
        <w:t>m</w:t>
      </w:r>
      <w:r>
        <w:rPr>
          <w:spacing w:val="-3"/>
          <w:w w:val="100"/>
          <w:sz w:val="21"/>
        </w:rPr>
        <w:t>a</w:t>
      </w:r>
      <w:r>
        <w:rPr>
          <w:w w:val="100"/>
          <w:sz w:val="21"/>
        </w:rPr>
        <w:t>k</w:t>
      </w:r>
      <w:r>
        <w:rPr>
          <w:spacing w:val="-2"/>
          <w:w w:val="100"/>
          <w:sz w:val="21"/>
        </w:rPr>
        <w:t>i</w:t>
      </w:r>
      <w:r>
        <w:rPr>
          <w:spacing w:val="-1"/>
          <w:w w:val="100"/>
          <w:sz w:val="21"/>
        </w:rPr>
        <w:t>n</w:t>
      </w:r>
      <w:r>
        <w:rPr>
          <w:w w:val="100"/>
          <w:sz w:val="21"/>
        </w:rPr>
        <w:t>g</w:t>
      </w:r>
      <w:r>
        <w:rPr>
          <w:sz w:val="21"/>
        </w:rPr>
        <w:tab/>
      </w:r>
      <w:r>
        <w:rPr>
          <w:spacing w:val="-5"/>
          <w:w w:val="100"/>
          <w:sz w:val="21"/>
        </w:rPr>
        <w:t>s</w:t>
      </w:r>
      <w:r>
        <w:rPr>
          <w:spacing w:val="-8"/>
          <w:w w:val="100"/>
          <w:sz w:val="21"/>
        </w:rPr>
        <w:t>u</w:t>
      </w:r>
      <w:r>
        <w:rPr>
          <w:spacing w:val="-5"/>
          <w:w w:val="100"/>
          <w:sz w:val="21"/>
        </w:rPr>
        <w:t>ch</w:t>
      </w:r>
      <w:r>
        <w:rPr>
          <w:w w:val="100"/>
          <w:sz w:val="21"/>
        </w:rPr>
        <w:t> </w:t>
      </w:r>
      <w:r>
        <w:rPr>
          <w:sz w:val="21"/>
        </w:rPr>
        <w:t>dedication‖</w:t>
      </w:r>
    </w:p>
    <w:p>
      <w:pPr>
        <w:spacing w:before="160"/>
        <w:ind w:left="5798" w:right="0" w:firstLine="0"/>
        <w:jc w:val="left"/>
        <w:rPr>
          <w:sz w:val="21"/>
        </w:rPr>
      </w:pPr>
      <w:r>
        <w:rPr>
          <w:sz w:val="21"/>
        </w:rPr>
        <w:t>(Emphasis supplied)</w:t>
      </w:r>
    </w:p>
    <w:p>
      <w:pPr>
        <w:pStyle w:val="BodyText"/>
        <w:spacing w:line="480" w:lineRule="auto" w:before="198"/>
        <w:ind w:left="500" w:right="434"/>
        <w:jc w:val="both"/>
      </w:pPr>
      <w:r>
        <w:rPr/>
        <w:t>The statutory definition of a waqf recognises the validity of a waqf established by </w:t>
      </w:r>
      <w:r>
        <w:rPr>
          <w:spacing w:val="-1"/>
          <w:w w:val="99"/>
        </w:rPr>
        <w:t>us</w:t>
      </w:r>
      <w:r>
        <w:rPr>
          <w:w w:val="99"/>
        </w:rPr>
        <w:t>e</w:t>
      </w:r>
      <w:r>
        <w:rPr/>
        <w:t> </w:t>
      </w:r>
      <w:r>
        <w:rPr>
          <w:spacing w:val="-29"/>
        </w:rPr>
        <w:t> </w:t>
      </w:r>
      <w:r>
        <w:rPr>
          <w:spacing w:val="-1"/>
          <w:w w:val="99"/>
        </w:rPr>
        <w:t>a</w:t>
      </w:r>
      <w:r>
        <w:rPr>
          <w:w w:val="99"/>
        </w:rPr>
        <w:t>nd</w:t>
      </w:r>
      <w:r>
        <w:rPr/>
        <w:t> </w:t>
      </w:r>
      <w:r>
        <w:rPr>
          <w:spacing w:val="-29"/>
        </w:rPr>
        <w:t> </w:t>
      </w:r>
      <w:r>
        <w:rPr>
          <w:spacing w:val="-1"/>
          <w:w w:val="99"/>
        </w:rPr>
        <w:t>n</w:t>
      </w:r>
      <w:r>
        <w:rPr>
          <w:w w:val="99"/>
        </w:rPr>
        <w:t>ot</w:t>
      </w:r>
      <w:r>
        <w:rPr/>
        <w:t> </w:t>
      </w:r>
      <w:r>
        <w:rPr>
          <w:spacing w:val="-29"/>
        </w:rPr>
        <w:t> </w:t>
      </w:r>
      <w:r>
        <w:rPr>
          <w:spacing w:val="-1"/>
          <w:w w:val="99"/>
        </w:rPr>
        <w:t>b</w:t>
      </w:r>
      <w:r>
        <w:rPr>
          <w:w w:val="99"/>
        </w:rPr>
        <w:t>y</w:t>
      </w:r>
      <w:r>
        <w:rPr/>
        <w:t> </w:t>
      </w:r>
      <w:r>
        <w:rPr>
          <w:spacing w:val="-31"/>
        </w:rPr>
        <w:t> </w:t>
      </w:r>
      <w:r>
        <w:rPr>
          <w:spacing w:val="-1"/>
          <w:w w:val="99"/>
        </w:rPr>
        <w:t>d</w:t>
      </w:r>
      <w:r>
        <w:rPr>
          <w:w w:val="99"/>
        </w:rPr>
        <w:t>e</w:t>
      </w:r>
      <w:r>
        <w:rPr>
          <w:spacing w:val="-1"/>
          <w:w w:val="99"/>
        </w:rPr>
        <w:t>d</w:t>
      </w:r>
      <w:r>
        <w:rPr>
          <w:spacing w:val="2"/>
          <w:w w:val="99"/>
        </w:rPr>
        <w:t>i</w:t>
      </w:r>
      <w:r>
        <w:rPr>
          <w:w w:val="99"/>
        </w:rPr>
        <w:t>catio</w:t>
      </w:r>
      <w:r>
        <w:rPr>
          <w:spacing w:val="-1"/>
          <w:w w:val="99"/>
        </w:rPr>
        <w:t>n</w:t>
      </w:r>
      <w:r>
        <w:rPr>
          <w:w w:val="99"/>
        </w:rPr>
        <w:t>.</w:t>
      </w:r>
      <w:r>
        <w:rPr/>
        <w:t> </w:t>
      </w:r>
      <w:r>
        <w:rPr>
          <w:spacing w:val="-29"/>
        </w:rPr>
        <w:t> </w:t>
      </w:r>
      <w:r>
        <w:rPr>
          <w:spacing w:val="-1"/>
          <w:w w:val="99"/>
        </w:rPr>
        <w:t>Simila</w:t>
      </w:r>
      <w:r>
        <w:rPr>
          <w:spacing w:val="1"/>
          <w:w w:val="99"/>
        </w:rPr>
        <w:t>rl</w:t>
      </w:r>
      <w:r>
        <w:rPr>
          <w:spacing w:val="-3"/>
          <w:w w:val="99"/>
        </w:rPr>
        <w:t>y</w:t>
      </w:r>
      <w:r>
        <w:rPr>
          <w:w w:val="99"/>
        </w:rPr>
        <w:t>,</w:t>
      </w:r>
      <w:r>
        <w:rPr/>
        <w:t> </w:t>
      </w:r>
      <w:r>
        <w:rPr>
          <w:spacing w:val="-27"/>
        </w:rPr>
        <w:t> </w:t>
      </w:r>
      <w:r>
        <w:rPr>
          <w:spacing w:val="-4"/>
          <w:w w:val="99"/>
        </w:rPr>
        <w:t>M</w:t>
      </w:r>
      <w:r>
        <w:rPr>
          <w:spacing w:val="2"/>
          <w:w w:val="99"/>
        </w:rPr>
        <w:t>u</w:t>
      </w:r>
      <w:r>
        <w:rPr>
          <w:spacing w:val="-1"/>
          <w:w w:val="99"/>
        </w:rPr>
        <w:t>l</w:t>
      </w:r>
      <w:r>
        <w:rPr>
          <w:spacing w:val="1"/>
          <w:w w:val="99"/>
        </w:rPr>
        <w:t>l</w:t>
      </w:r>
      <w:r>
        <w:rPr>
          <w:w w:val="99"/>
        </w:rPr>
        <w:t>a</w:t>
      </w:r>
      <w:r>
        <w:rPr/>
        <w:t> </w:t>
      </w:r>
      <w:r>
        <w:rPr>
          <w:spacing w:val="-29"/>
        </w:rPr>
        <w:t> </w:t>
      </w:r>
      <w:r>
        <w:rPr>
          <w:spacing w:val="-1"/>
          <w:w w:val="99"/>
        </w:rPr>
        <w:t>i</w:t>
      </w:r>
      <w:r>
        <w:rPr>
          <w:w w:val="99"/>
        </w:rPr>
        <w:t>n</w:t>
      </w:r>
      <w:r>
        <w:rPr/>
        <w:t> </w:t>
      </w:r>
      <w:r>
        <w:rPr>
          <w:spacing w:val="-29"/>
        </w:rPr>
        <w:t> </w:t>
      </w:r>
      <w:r>
        <w:rPr>
          <w:spacing w:val="-1"/>
          <w:w w:val="99"/>
        </w:rPr>
        <w:t>hi</w:t>
      </w:r>
      <w:r>
        <w:rPr>
          <w:w w:val="99"/>
        </w:rPr>
        <w:t>s</w:t>
      </w:r>
      <w:r>
        <w:rPr/>
        <w:t> </w:t>
      </w:r>
      <w:r>
        <w:rPr>
          <w:spacing w:val="-29"/>
        </w:rPr>
        <w:t> </w:t>
      </w:r>
      <w:r>
        <w:rPr>
          <w:spacing w:val="-1"/>
          <w:w w:val="99"/>
        </w:rPr>
        <w:t>b</w:t>
      </w:r>
      <w:r>
        <w:rPr>
          <w:w w:val="99"/>
        </w:rPr>
        <w:t>o</w:t>
      </w:r>
      <w:r>
        <w:rPr>
          <w:spacing w:val="-1"/>
          <w:w w:val="99"/>
        </w:rPr>
        <w:t>o</w:t>
      </w:r>
      <w:r>
        <w:rPr>
          <w:w w:val="99"/>
        </w:rPr>
        <w:t>k</w:t>
      </w:r>
      <w:r>
        <w:rPr/>
        <w:t> </w:t>
      </w:r>
      <w:r>
        <w:rPr>
          <w:spacing w:val="-29"/>
        </w:rPr>
        <w:t> </w:t>
      </w:r>
      <w:r>
        <w:rPr>
          <w:spacing w:val="-1"/>
          <w:w w:val="99"/>
        </w:rPr>
        <w:t>o</w:t>
      </w:r>
      <w:r>
        <w:rPr>
          <w:w w:val="99"/>
        </w:rPr>
        <w:t>n</w:t>
      </w:r>
      <w:r>
        <w:rPr/>
        <w:t> </w:t>
      </w:r>
      <w:r>
        <w:rPr>
          <w:spacing w:val="-29"/>
        </w:rPr>
        <w:t> </w:t>
      </w:r>
      <w:r>
        <w:rPr>
          <w:spacing w:val="9"/>
          <w:w w:val="33"/>
        </w:rPr>
        <w:t>―</w:t>
      </w:r>
      <w:r>
        <w:rPr>
          <w:b/>
          <w:w w:val="99"/>
        </w:rPr>
        <w:t>M</w:t>
      </w:r>
      <w:r>
        <w:rPr>
          <w:b/>
          <w:w w:val="99"/>
        </w:rPr>
        <w:t>a</w:t>
      </w:r>
      <w:r>
        <w:rPr>
          <w:b/>
          <w:spacing w:val="1"/>
          <w:w w:val="99"/>
        </w:rPr>
        <w:t>h</w:t>
      </w:r>
      <w:r>
        <w:rPr>
          <w:b/>
          <w:w w:val="99"/>
        </w:rPr>
        <w:t>o</w:t>
      </w:r>
      <w:r>
        <w:rPr>
          <w:b/>
          <w:spacing w:val="-1"/>
          <w:w w:val="99"/>
        </w:rPr>
        <w:t>m</w:t>
      </w:r>
      <w:r>
        <w:rPr>
          <w:b/>
          <w:w w:val="99"/>
        </w:rPr>
        <w:t>e</w:t>
      </w:r>
      <w:r>
        <w:rPr>
          <w:b/>
          <w:spacing w:val="1"/>
          <w:w w:val="99"/>
        </w:rPr>
        <w:t>d</w:t>
      </w:r>
      <w:r>
        <w:rPr>
          <w:b/>
          <w:w w:val="99"/>
        </w:rPr>
        <w:t>an</w:t>
      </w:r>
      <w:r>
        <w:rPr>
          <w:b/>
        </w:rPr>
        <w:t> </w:t>
      </w:r>
      <w:r>
        <w:rPr>
          <w:b/>
          <w:spacing w:val="-28"/>
        </w:rPr>
        <w:t> </w:t>
      </w:r>
      <w:r>
        <w:rPr>
          <w:b/>
          <w:spacing w:val="-2"/>
          <w:w w:val="99"/>
        </w:rPr>
        <w:t>L</w:t>
      </w:r>
      <w:r>
        <w:rPr>
          <w:b/>
          <w:spacing w:val="-5"/>
          <w:w w:val="99"/>
        </w:rPr>
        <w:t>a</w:t>
      </w:r>
      <w:r>
        <w:rPr>
          <w:b/>
          <w:spacing w:val="7"/>
          <w:w w:val="99"/>
        </w:rPr>
        <w:t>w</w:t>
      </w:r>
      <w:r>
        <w:rPr>
          <w:w w:val="80"/>
        </w:rPr>
        <w:t>‖ </w:t>
      </w:r>
      <w:r>
        <w:rPr/>
        <w:t>states:</w:t>
      </w:r>
    </w:p>
    <w:p>
      <w:pPr>
        <w:spacing w:line="276" w:lineRule="auto" w:before="159"/>
        <w:ind w:left="1940" w:right="2265" w:firstLine="0"/>
        <w:jc w:val="both"/>
        <w:rPr>
          <w:sz w:val="21"/>
        </w:rPr>
      </w:pPr>
      <w:r>
        <w:rPr>
          <w:w w:val="33"/>
          <w:sz w:val="21"/>
        </w:rPr>
        <w:t>―</w:t>
      </w:r>
      <w:r>
        <w:rPr>
          <w:w w:val="100"/>
          <w:sz w:val="21"/>
        </w:rPr>
        <w:t>…if</w:t>
      </w:r>
      <w:r>
        <w:rPr>
          <w:sz w:val="21"/>
        </w:rPr>
        <w:t> </w:t>
      </w:r>
      <w:r>
        <w:rPr>
          <w:w w:val="100"/>
          <w:sz w:val="21"/>
        </w:rPr>
        <w:t>land</w:t>
      </w:r>
      <w:r>
        <w:rPr>
          <w:sz w:val="21"/>
        </w:rPr>
        <w:t> </w:t>
      </w:r>
      <w:r>
        <w:rPr>
          <w:w w:val="100"/>
          <w:sz w:val="21"/>
        </w:rPr>
        <w:t>has</w:t>
      </w:r>
      <w:r>
        <w:rPr>
          <w:sz w:val="21"/>
        </w:rPr>
        <w:t> </w:t>
      </w:r>
      <w:r>
        <w:rPr>
          <w:w w:val="100"/>
          <w:sz w:val="21"/>
        </w:rPr>
        <w:t>been</w:t>
      </w:r>
      <w:r>
        <w:rPr>
          <w:sz w:val="21"/>
        </w:rPr>
        <w:t> </w:t>
      </w:r>
      <w:r>
        <w:rPr>
          <w:w w:val="100"/>
          <w:sz w:val="21"/>
        </w:rPr>
        <w:t>used</w:t>
      </w:r>
      <w:r>
        <w:rPr>
          <w:sz w:val="21"/>
        </w:rPr>
        <w:t> </w:t>
      </w:r>
      <w:r>
        <w:rPr>
          <w:w w:val="100"/>
          <w:sz w:val="21"/>
        </w:rPr>
        <w:t>from</w:t>
      </w:r>
      <w:r>
        <w:rPr>
          <w:sz w:val="21"/>
        </w:rPr>
        <w:t> </w:t>
      </w:r>
      <w:r>
        <w:rPr>
          <w:w w:val="100"/>
          <w:sz w:val="21"/>
        </w:rPr>
        <w:t>time</w:t>
      </w:r>
      <w:r>
        <w:rPr>
          <w:sz w:val="21"/>
        </w:rPr>
        <w:t> </w:t>
      </w:r>
      <w:r>
        <w:rPr>
          <w:w w:val="100"/>
          <w:sz w:val="21"/>
        </w:rPr>
        <w:t>immemorial</w:t>
      </w:r>
      <w:r>
        <w:rPr>
          <w:sz w:val="21"/>
        </w:rPr>
        <w:t> </w:t>
      </w:r>
      <w:r>
        <w:rPr>
          <w:w w:val="100"/>
          <w:sz w:val="21"/>
        </w:rPr>
        <w:t>for</w:t>
      </w:r>
      <w:r>
        <w:rPr>
          <w:sz w:val="21"/>
        </w:rPr>
        <w:t> </w:t>
      </w:r>
      <w:r>
        <w:rPr>
          <w:w w:val="100"/>
          <w:sz w:val="21"/>
        </w:rPr>
        <w:t>a</w:t>
      </w:r>
      <w:r>
        <w:rPr>
          <w:sz w:val="21"/>
        </w:rPr>
        <w:t> </w:t>
      </w:r>
      <w:r>
        <w:rPr>
          <w:w w:val="100"/>
          <w:sz w:val="21"/>
        </w:rPr>
        <w:t>religious </w:t>
      </w:r>
      <w:r>
        <w:rPr>
          <w:sz w:val="21"/>
        </w:rPr>
        <w:t>purpose, e.g., for a mosque, or a burial ground or for the maintenance as a mosque, then the land is by user wakf although there is no evidence of an express dedication‖.</w:t>
      </w:r>
      <w:r>
        <w:rPr>
          <w:sz w:val="21"/>
          <w:vertAlign w:val="superscript"/>
        </w:rPr>
        <w:t>361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rect style="position:absolute;margin-left:72.024002pt;margin-top:8.514386pt;width:144.020pt;height:.60004pt;mso-position-horizontal-relative:page;mso-position-vertical-relative:paragraph;z-index:-15620096;mso-wrap-distance-left:0;mso-wrap-distance-right:0" filled="true" fillcolor="#000000" stroked="false">
            <v:fill type="solid"/>
            <w10:wrap type="topAndBottom"/>
          </v:rect>
        </w:pict>
      </w:r>
    </w:p>
    <w:p>
      <w:pPr>
        <w:spacing w:line="207" w:lineRule="exact" w:before="81"/>
        <w:ind w:left="500" w:right="0" w:firstLine="0"/>
        <w:jc w:val="left"/>
        <w:rPr>
          <w:sz w:val="18"/>
        </w:rPr>
      </w:pPr>
      <w:r>
        <w:rPr>
          <w:w w:val="97"/>
          <w:sz w:val="18"/>
          <w:vertAlign w:val="superscript"/>
        </w:rPr>
        <w:t>360</w:t>
      </w:r>
      <w:r>
        <w:rPr>
          <w:sz w:val="18"/>
          <w:vertAlign w:val="baseline"/>
        </w:rPr>
        <w:t> </w:t>
      </w:r>
      <w:r>
        <w:rPr>
          <w:spacing w:val="-2"/>
          <w:sz w:val="18"/>
          <w:vertAlign w:val="baseline"/>
        </w:rPr>
        <w:t>T</w:t>
      </w:r>
      <w:r>
        <w:rPr>
          <w:sz w:val="18"/>
          <w:vertAlign w:val="baseline"/>
        </w:rPr>
        <w:t>it</w:t>
      </w:r>
      <w:r>
        <w:rPr>
          <w:spacing w:val="1"/>
          <w:sz w:val="18"/>
          <w:vertAlign w:val="baseline"/>
        </w:rPr>
        <w:t>l</w:t>
      </w:r>
      <w:r>
        <w:rPr>
          <w:sz w:val="18"/>
          <w:vertAlign w:val="baseline"/>
        </w:rPr>
        <w:t>e </w:t>
      </w:r>
      <w:r>
        <w:rPr>
          <w:spacing w:val="1"/>
          <w:sz w:val="18"/>
          <w:vertAlign w:val="baseline"/>
        </w:rPr>
        <w:t>c</w:t>
      </w:r>
      <w:r>
        <w:rPr>
          <w:spacing w:val="-2"/>
          <w:sz w:val="18"/>
          <w:vertAlign w:val="baseline"/>
        </w:rPr>
        <w:t>h</w:t>
      </w:r>
      <w:r>
        <w:rPr>
          <w:sz w:val="18"/>
          <w:vertAlign w:val="baseline"/>
        </w:rPr>
        <w:t>an</w:t>
      </w:r>
      <w:r>
        <w:rPr>
          <w:spacing w:val="-2"/>
          <w:sz w:val="18"/>
          <w:vertAlign w:val="baseline"/>
        </w:rPr>
        <w:t>g</w:t>
      </w:r>
      <w:r>
        <w:rPr>
          <w:sz w:val="18"/>
          <w:vertAlign w:val="baseline"/>
        </w:rPr>
        <w:t>ed fr</w:t>
      </w:r>
      <w:r>
        <w:rPr>
          <w:spacing w:val="-2"/>
          <w:sz w:val="18"/>
          <w:vertAlign w:val="baseline"/>
        </w:rPr>
        <w:t>o</w:t>
      </w:r>
      <w:r>
        <w:rPr>
          <w:sz w:val="18"/>
          <w:vertAlign w:val="baseline"/>
        </w:rPr>
        <w:t>m</w:t>
      </w:r>
      <w:r>
        <w:rPr>
          <w:spacing w:val="1"/>
          <w:sz w:val="18"/>
          <w:vertAlign w:val="baseline"/>
        </w:rPr>
        <w:t> </w:t>
      </w:r>
      <w:r>
        <w:rPr>
          <w:spacing w:val="-6"/>
          <w:w w:val="40"/>
          <w:sz w:val="18"/>
          <w:vertAlign w:val="baseline"/>
        </w:rPr>
        <w:t>‗</w:t>
      </w:r>
      <w:r>
        <w:rPr>
          <w:spacing w:val="7"/>
          <w:sz w:val="18"/>
          <w:vertAlign w:val="baseline"/>
        </w:rPr>
        <w:t>W</w:t>
      </w:r>
      <w:r>
        <w:rPr>
          <w:spacing w:val="-2"/>
          <w:sz w:val="18"/>
          <w:vertAlign w:val="baseline"/>
        </w:rPr>
        <w:t>a</w:t>
      </w:r>
      <w:r>
        <w:rPr>
          <w:sz w:val="18"/>
          <w:vertAlign w:val="baseline"/>
        </w:rPr>
        <w:t>qf</w:t>
      </w:r>
      <w:r>
        <w:rPr>
          <w:spacing w:val="-2"/>
          <w:sz w:val="18"/>
          <w:vertAlign w:val="baseline"/>
        </w:rPr>
        <w:t> </w:t>
      </w:r>
      <w:r>
        <w:rPr>
          <w:sz w:val="18"/>
          <w:vertAlign w:val="baseline"/>
        </w:rPr>
        <w:t>A</w:t>
      </w:r>
      <w:r>
        <w:rPr>
          <w:spacing w:val="1"/>
          <w:sz w:val="18"/>
          <w:vertAlign w:val="baseline"/>
        </w:rPr>
        <w:t>c</w:t>
      </w:r>
      <w:r>
        <w:rPr>
          <w:spacing w:val="-2"/>
          <w:sz w:val="18"/>
          <w:vertAlign w:val="baseline"/>
        </w:rPr>
        <w:t>t</w:t>
      </w:r>
      <w:r>
        <w:rPr>
          <w:sz w:val="18"/>
          <w:vertAlign w:val="baseline"/>
        </w:rPr>
        <w:t>‘</w:t>
      </w:r>
      <w:r>
        <w:rPr>
          <w:spacing w:val="-2"/>
          <w:sz w:val="18"/>
          <w:vertAlign w:val="baseline"/>
        </w:rPr>
        <w:t> </w:t>
      </w:r>
      <w:r>
        <w:rPr>
          <w:sz w:val="18"/>
          <w:vertAlign w:val="baseline"/>
        </w:rPr>
        <w:t>to the</w:t>
      </w:r>
      <w:r>
        <w:rPr>
          <w:spacing w:val="-2"/>
          <w:sz w:val="18"/>
          <w:vertAlign w:val="baseline"/>
        </w:rPr>
        <w:t> </w:t>
      </w:r>
      <w:r>
        <w:rPr>
          <w:w w:val="40"/>
          <w:sz w:val="18"/>
          <w:vertAlign w:val="baseline"/>
        </w:rPr>
        <w:t>‗</w:t>
      </w:r>
      <w:r>
        <w:rPr>
          <w:sz w:val="18"/>
          <w:vertAlign w:val="baseline"/>
        </w:rPr>
        <w:t>Au</w:t>
      </w:r>
      <w:r>
        <w:rPr>
          <w:spacing w:val="-2"/>
          <w:sz w:val="18"/>
          <w:vertAlign w:val="baseline"/>
        </w:rPr>
        <w:t>q</w:t>
      </w:r>
      <w:r>
        <w:rPr>
          <w:sz w:val="18"/>
          <w:vertAlign w:val="baseline"/>
        </w:rPr>
        <w:t>af A</w:t>
      </w:r>
      <w:r>
        <w:rPr>
          <w:spacing w:val="-2"/>
          <w:sz w:val="18"/>
          <w:vertAlign w:val="baseline"/>
        </w:rPr>
        <w:t>c</w:t>
      </w:r>
      <w:r>
        <w:rPr>
          <w:sz w:val="18"/>
          <w:vertAlign w:val="baseline"/>
        </w:rPr>
        <w:t>t‘</w:t>
      </w:r>
      <w:r>
        <w:rPr>
          <w:spacing w:val="1"/>
          <w:sz w:val="18"/>
          <w:vertAlign w:val="baseline"/>
        </w:rPr>
        <w:t> </w:t>
      </w:r>
      <w:r>
        <w:rPr>
          <w:sz w:val="18"/>
          <w:vertAlign w:val="baseline"/>
        </w:rPr>
        <w:t>by</w:t>
      </w:r>
      <w:r>
        <w:rPr>
          <w:spacing w:val="-2"/>
          <w:sz w:val="18"/>
          <w:vertAlign w:val="baseline"/>
        </w:rPr>
        <w:t> </w:t>
      </w:r>
      <w:r>
        <w:rPr>
          <w:spacing w:val="-1"/>
          <w:sz w:val="18"/>
          <w:vertAlign w:val="baseline"/>
        </w:rPr>
        <w:t>v</w:t>
      </w:r>
      <w:r>
        <w:rPr>
          <w:sz w:val="18"/>
          <w:vertAlign w:val="baseline"/>
        </w:rPr>
        <w:t>irt</w:t>
      </w:r>
      <w:r>
        <w:rPr>
          <w:spacing w:val="-2"/>
          <w:sz w:val="18"/>
          <w:vertAlign w:val="baseline"/>
        </w:rPr>
        <w:t>u</w:t>
      </w:r>
      <w:r>
        <w:rPr>
          <w:sz w:val="18"/>
          <w:vertAlign w:val="baseline"/>
        </w:rPr>
        <w:t>e of</w:t>
      </w:r>
      <w:r>
        <w:rPr>
          <w:spacing w:val="-2"/>
          <w:sz w:val="18"/>
          <w:vertAlign w:val="baseline"/>
        </w:rPr>
        <w:t> t</w:t>
      </w:r>
      <w:r>
        <w:rPr>
          <w:sz w:val="18"/>
          <w:vertAlign w:val="baseline"/>
        </w:rPr>
        <w:t>he</w:t>
      </w:r>
      <w:r>
        <w:rPr>
          <w:spacing w:val="-4"/>
          <w:sz w:val="18"/>
          <w:vertAlign w:val="baseline"/>
        </w:rPr>
        <w:t> </w:t>
      </w:r>
      <w:r>
        <w:rPr>
          <w:spacing w:val="7"/>
          <w:sz w:val="18"/>
          <w:vertAlign w:val="baseline"/>
        </w:rPr>
        <w:t>W</w:t>
      </w:r>
      <w:r>
        <w:rPr>
          <w:spacing w:val="-2"/>
          <w:sz w:val="18"/>
          <w:vertAlign w:val="baseline"/>
        </w:rPr>
        <w:t>aq</w:t>
      </w:r>
      <w:r>
        <w:rPr>
          <w:sz w:val="18"/>
          <w:vertAlign w:val="baseline"/>
        </w:rPr>
        <w:t>f (A</w:t>
      </w:r>
      <w:r>
        <w:rPr>
          <w:spacing w:val="-2"/>
          <w:sz w:val="18"/>
          <w:vertAlign w:val="baseline"/>
        </w:rPr>
        <w:t>m</w:t>
      </w:r>
      <w:r>
        <w:rPr>
          <w:sz w:val="18"/>
          <w:vertAlign w:val="baseline"/>
        </w:rPr>
        <w:t>en</w:t>
      </w:r>
      <w:r>
        <w:rPr>
          <w:spacing w:val="-2"/>
          <w:sz w:val="18"/>
          <w:vertAlign w:val="baseline"/>
        </w:rPr>
        <w:t>d</w:t>
      </w:r>
      <w:r>
        <w:rPr>
          <w:spacing w:val="1"/>
          <w:sz w:val="18"/>
          <w:vertAlign w:val="baseline"/>
        </w:rPr>
        <w:t>m</w:t>
      </w:r>
      <w:r>
        <w:rPr>
          <w:sz w:val="18"/>
          <w:vertAlign w:val="baseline"/>
        </w:rPr>
        <w:t>ent)</w:t>
      </w:r>
      <w:r>
        <w:rPr>
          <w:spacing w:val="-2"/>
          <w:sz w:val="18"/>
          <w:vertAlign w:val="baseline"/>
        </w:rPr>
        <w:t> </w:t>
      </w:r>
      <w:r>
        <w:rPr>
          <w:sz w:val="18"/>
          <w:vertAlign w:val="baseline"/>
        </w:rPr>
        <w:t>A</w:t>
      </w:r>
      <w:r>
        <w:rPr>
          <w:spacing w:val="1"/>
          <w:sz w:val="18"/>
          <w:vertAlign w:val="baseline"/>
        </w:rPr>
        <w:t>c</w:t>
      </w:r>
      <w:r>
        <w:rPr>
          <w:sz w:val="18"/>
          <w:vertAlign w:val="baseline"/>
        </w:rPr>
        <w:t>t</w:t>
      </w:r>
      <w:r>
        <w:rPr>
          <w:spacing w:val="-2"/>
          <w:sz w:val="18"/>
          <w:vertAlign w:val="baseline"/>
        </w:rPr>
        <w:t> </w:t>
      </w:r>
      <w:r>
        <w:rPr>
          <w:sz w:val="18"/>
          <w:vertAlign w:val="baseline"/>
        </w:rPr>
        <w:t>2</w:t>
      </w:r>
      <w:r>
        <w:rPr>
          <w:spacing w:val="-2"/>
          <w:sz w:val="18"/>
          <w:vertAlign w:val="baseline"/>
        </w:rPr>
        <w:t>0</w:t>
      </w:r>
      <w:r>
        <w:rPr>
          <w:sz w:val="18"/>
          <w:vertAlign w:val="baseline"/>
        </w:rPr>
        <w:t>13</w:t>
      </w:r>
    </w:p>
    <w:p>
      <w:pPr>
        <w:spacing w:line="207" w:lineRule="exact" w:before="0"/>
        <w:ind w:left="500" w:right="0" w:firstLine="0"/>
        <w:jc w:val="left"/>
        <w:rPr>
          <w:sz w:val="18"/>
        </w:rPr>
      </w:pPr>
      <w:r>
        <w:rPr>
          <w:sz w:val="18"/>
          <w:vertAlign w:val="superscript"/>
        </w:rPr>
        <w:t>361</w:t>
      </w:r>
      <w:r>
        <w:rPr>
          <w:sz w:val="18"/>
          <w:vertAlign w:val="baseline"/>
        </w:rPr>
        <w:t> Mulla‘s Mahomedan Law, 14th Edition at page 173</w:t>
      </w:r>
    </w:p>
    <w:p>
      <w:pPr>
        <w:spacing w:after="0" w:line="207" w:lineRule="exact"/>
        <w:jc w:val="left"/>
        <w:rPr>
          <w:sz w:val="18"/>
        </w:rPr>
        <w:sectPr>
          <w:pgSz w:w="11910" w:h="16840"/>
          <w:pgMar w:header="721" w:footer="1014" w:top="1300" w:bottom="1200" w:left="940" w:right="1000"/>
        </w:sectPr>
      </w:pPr>
    </w:p>
    <w:p>
      <w:pPr>
        <w:pStyle w:val="BodyText"/>
        <w:spacing w:line="480" w:lineRule="auto" w:before="124"/>
        <w:ind w:left="500" w:right="440"/>
        <w:jc w:val="both"/>
      </w:pPr>
      <w:r>
        <w:rPr/>
        <w:t>In his submissions on waqf by user, Dr Dhavan has adverted to several authorities that establish the contours of the doctrine of waqf by user.</w:t>
      </w:r>
    </w:p>
    <w:p>
      <w:pPr>
        <w:pStyle w:val="BodyText"/>
        <w:rPr>
          <w:sz w:val="28"/>
        </w:rPr>
      </w:pPr>
    </w:p>
    <w:p>
      <w:pPr>
        <w:pStyle w:val="BodyText"/>
        <w:spacing w:before="9"/>
        <w:rPr>
          <w:sz w:val="26"/>
        </w:rPr>
      </w:pPr>
    </w:p>
    <w:p>
      <w:pPr>
        <w:pStyle w:val="ListParagraph"/>
        <w:numPr>
          <w:ilvl w:val="0"/>
          <w:numId w:val="231"/>
        </w:numPr>
        <w:tabs>
          <w:tab w:pos="1290" w:val="left" w:leader="none"/>
        </w:tabs>
        <w:spacing w:line="480" w:lineRule="auto" w:before="1" w:after="0"/>
        <w:ind w:left="500" w:right="437" w:firstLine="0"/>
        <w:jc w:val="both"/>
        <w:rPr>
          <w:sz w:val="25"/>
        </w:rPr>
      </w:pPr>
      <w:r>
        <w:rPr>
          <w:sz w:val="25"/>
        </w:rPr>
        <w:t>The doctrine of waqf by user received judicial recognition in the decision  of the Privy Council in </w:t>
      </w:r>
      <w:r>
        <w:rPr>
          <w:b/>
          <w:sz w:val="25"/>
        </w:rPr>
        <w:t>The Court of Wards for the property of Makhdum Hassan Bakhsh </w:t>
      </w:r>
      <w:r>
        <w:rPr>
          <w:sz w:val="25"/>
        </w:rPr>
        <w:t>v </w:t>
      </w:r>
      <w:r>
        <w:rPr>
          <w:b/>
          <w:sz w:val="25"/>
        </w:rPr>
        <w:t>Ilahi Bakhsh</w:t>
      </w:r>
      <w:r>
        <w:rPr>
          <w:sz w:val="25"/>
        </w:rPr>
        <w:t>.</w:t>
      </w:r>
      <w:r>
        <w:rPr>
          <w:sz w:val="25"/>
          <w:vertAlign w:val="superscript"/>
        </w:rPr>
        <w:t>362</w:t>
      </w:r>
      <w:r>
        <w:rPr>
          <w:sz w:val="25"/>
          <w:vertAlign w:val="baseline"/>
        </w:rPr>
        <w:t> The case concerned a public graveyard in Multan where a prominent Muslim saint was buried. The Court of Wards, acting for the property of Makhdum Bakhsh, proposed to sell certain property within the area of the graveyard on which no graves existed. The Muslim residents of Multan sought an injunction restraining the proposed sale on the ground that the entire graveyard was inalienable waqf property due to its long use as a public graveyard of the Muslim community. Lord Macnaghten</w:t>
      </w:r>
      <w:r>
        <w:rPr>
          <w:spacing w:val="-6"/>
          <w:sz w:val="25"/>
          <w:vertAlign w:val="baseline"/>
        </w:rPr>
        <w:t> </w:t>
      </w:r>
      <w:r>
        <w:rPr>
          <w:sz w:val="25"/>
          <w:vertAlign w:val="baseline"/>
        </w:rPr>
        <w:t>held:</w:t>
      </w:r>
    </w:p>
    <w:p>
      <w:pPr>
        <w:spacing w:line="276" w:lineRule="auto" w:before="158"/>
        <w:ind w:left="1633" w:right="2261" w:firstLine="0"/>
        <w:jc w:val="both"/>
        <w:rPr>
          <w:sz w:val="21"/>
        </w:rPr>
      </w:pPr>
      <w:r>
        <w:rPr>
          <w:spacing w:val="-1"/>
          <w:w w:val="33"/>
          <w:sz w:val="21"/>
        </w:rPr>
        <w:t>―</w:t>
      </w:r>
      <w:r>
        <w:rPr>
          <w:w w:val="100"/>
          <w:sz w:val="21"/>
        </w:rPr>
        <w:t>Th</w:t>
      </w:r>
      <w:r>
        <w:rPr>
          <w:spacing w:val="-3"/>
          <w:w w:val="100"/>
          <w:sz w:val="21"/>
        </w:rPr>
        <w:t>e</w:t>
      </w:r>
      <w:r>
        <w:rPr>
          <w:w w:val="100"/>
          <w:sz w:val="21"/>
        </w:rPr>
        <w:t>ir</w:t>
      </w:r>
      <w:r>
        <w:rPr>
          <w:spacing w:val="27"/>
          <w:sz w:val="21"/>
        </w:rPr>
        <w:t> </w:t>
      </w:r>
      <w:r>
        <w:rPr>
          <w:spacing w:val="-1"/>
          <w:w w:val="100"/>
          <w:sz w:val="21"/>
        </w:rPr>
        <w:t>Lord</w:t>
      </w:r>
      <w:r>
        <w:rPr>
          <w:spacing w:val="-3"/>
          <w:w w:val="100"/>
          <w:sz w:val="21"/>
        </w:rPr>
        <w:t>s</w:t>
      </w:r>
      <w:r>
        <w:rPr>
          <w:spacing w:val="-1"/>
          <w:w w:val="100"/>
          <w:sz w:val="21"/>
        </w:rPr>
        <w:t>h</w:t>
      </w:r>
      <w:r>
        <w:rPr>
          <w:spacing w:val="-2"/>
          <w:w w:val="100"/>
          <w:sz w:val="21"/>
        </w:rPr>
        <w:t>i</w:t>
      </w:r>
      <w:r>
        <w:rPr>
          <w:spacing w:val="-1"/>
          <w:w w:val="100"/>
          <w:sz w:val="21"/>
        </w:rPr>
        <w:t>p</w:t>
      </w:r>
      <w:r>
        <w:rPr>
          <w:w w:val="100"/>
          <w:sz w:val="21"/>
        </w:rPr>
        <w:t>s</w:t>
      </w:r>
      <w:r>
        <w:rPr>
          <w:spacing w:val="27"/>
          <w:sz w:val="21"/>
        </w:rPr>
        <w:t> </w:t>
      </w:r>
      <w:r>
        <w:rPr>
          <w:spacing w:val="-1"/>
          <w:w w:val="100"/>
          <w:sz w:val="21"/>
        </w:rPr>
        <w:t>agr</w:t>
      </w:r>
      <w:r>
        <w:rPr>
          <w:spacing w:val="-3"/>
          <w:w w:val="100"/>
          <w:sz w:val="21"/>
        </w:rPr>
        <w:t>e</w:t>
      </w:r>
      <w:r>
        <w:rPr>
          <w:w w:val="100"/>
          <w:sz w:val="21"/>
        </w:rPr>
        <w:t>e</w:t>
      </w:r>
      <w:r>
        <w:rPr>
          <w:spacing w:val="27"/>
          <w:sz w:val="21"/>
        </w:rPr>
        <w:t> </w:t>
      </w:r>
      <w:r>
        <w:rPr>
          <w:spacing w:val="-2"/>
          <w:w w:val="100"/>
          <w:sz w:val="21"/>
        </w:rPr>
        <w:t>wit</w:t>
      </w:r>
      <w:r>
        <w:rPr>
          <w:w w:val="100"/>
          <w:sz w:val="21"/>
        </w:rPr>
        <w:t>h</w:t>
      </w:r>
      <w:r>
        <w:rPr>
          <w:spacing w:val="27"/>
          <w:sz w:val="21"/>
        </w:rPr>
        <w:t> </w:t>
      </w:r>
      <w:r>
        <w:rPr>
          <w:spacing w:val="-2"/>
          <w:w w:val="100"/>
          <w:sz w:val="21"/>
        </w:rPr>
        <w:t>t</w:t>
      </w:r>
      <w:r>
        <w:rPr>
          <w:spacing w:val="-1"/>
          <w:w w:val="100"/>
          <w:sz w:val="21"/>
        </w:rPr>
        <w:t>h</w:t>
      </w:r>
      <w:r>
        <w:rPr>
          <w:w w:val="100"/>
          <w:sz w:val="21"/>
        </w:rPr>
        <w:t>e</w:t>
      </w:r>
      <w:r>
        <w:rPr>
          <w:spacing w:val="28"/>
          <w:sz w:val="21"/>
        </w:rPr>
        <w:t> </w:t>
      </w:r>
      <w:r>
        <w:rPr>
          <w:w w:val="100"/>
          <w:sz w:val="21"/>
        </w:rPr>
        <w:t>C</w:t>
      </w:r>
      <w:r>
        <w:rPr>
          <w:spacing w:val="-1"/>
          <w:w w:val="100"/>
          <w:sz w:val="21"/>
        </w:rPr>
        <w:t>h</w:t>
      </w:r>
      <w:r>
        <w:rPr>
          <w:spacing w:val="-2"/>
          <w:w w:val="100"/>
          <w:sz w:val="21"/>
        </w:rPr>
        <w:t>i</w:t>
      </w:r>
      <w:r>
        <w:rPr>
          <w:spacing w:val="-1"/>
          <w:w w:val="100"/>
          <w:sz w:val="21"/>
        </w:rPr>
        <w:t>e</w:t>
      </w:r>
      <w:r>
        <w:rPr>
          <w:w w:val="100"/>
          <w:sz w:val="21"/>
        </w:rPr>
        <w:t>f</w:t>
      </w:r>
      <w:r>
        <w:rPr>
          <w:spacing w:val="26"/>
          <w:sz w:val="21"/>
        </w:rPr>
        <w:t> </w:t>
      </w:r>
      <w:r>
        <w:rPr>
          <w:w w:val="100"/>
          <w:sz w:val="21"/>
        </w:rPr>
        <w:t>C</w:t>
      </w:r>
      <w:r>
        <w:rPr>
          <w:spacing w:val="-3"/>
          <w:w w:val="100"/>
          <w:sz w:val="21"/>
        </w:rPr>
        <w:t>o</w:t>
      </w:r>
      <w:r>
        <w:rPr>
          <w:spacing w:val="-1"/>
          <w:w w:val="100"/>
          <w:sz w:val="21"/>
        </w:rPr>
        <w:t>ur</w:t>
      </w:r>
      <w:r>
        <w:rPr>
          <w:w w:val="100"/>
          <w:sz w:val="21"/>
        </w:rPr>
        <w:t>t</w:t>
      </w:r>
      <w:r>
        <w:rPr>
          <w:spacing w:val="26"/>
          <w:sz w:val="21"/>
        </w:rPr>
        <w:t> </w:t>
      </w:r>
      <w:r>
        <w:rPr>
          <w:w w:val="100"/>
          <w:sz w:val="21"/>
        </w:rPr>
        <w:t>in</w:t>
      </w:r>
      <w:r>
        <w:rPr>
          <w:spacing w:val="27"/>
          <w:sz w:val="21"/>
        </w:rPr>
        <w:t> </w:t>
      </w:r>
      <w:r>
        <w:rPr>
          <w:spacing w:val="-2"/>
          <w:w w:val="100"/>
          <w:sz w:val="21"/>
        </w:rPr>
        <w:t>t</w:t>
      </w:r>
      <w:r>
        <w:rPr>
          <w:spacing w:val="-1"/>
          <w:w w:val="100"/>
          <w:sz w:val="21"/>
        </w:rPr>
        <w:t>h</w:t>
      </w:r>
      <w:r>
        <w:rPr>
          <w:spacing w:val="1"/>
          <w:w w:val="100"/>
          <w:sz w:val="21"/>
        </w:rPr>
        <w:t>i</w:t>
      </w:r>
      <w:r>
        <w:rPr>
          <w:spacing w:val="-3"/>
          <w:w w:val="100"/>
          <w:sz w:val="21"/>
        </w:rPr>
        <w:t>n</w:t>
      </w:r>
      <w:r>
        <w:rPr>
          <w:w w:val="100"/>
          <w:sz w:val="21"/>
        </w:rPr>
        <w:t>ki</w:t>
      </w:r>
      <w:r>
        <w:rPr>
          <w:spacing w:val="-1"/>
          <w:w w:val="100"/>
          <w:sz w:val="21"/>
        </w:rPr>
        <w:t>n</w:t>
      </w:r>
      <w:r>
        <w:rPr>
          <w:w w:val="100"/>
          <w:sz w:val="21"/>
        </w:rPr>
        <w:t>g</w:t>
      </w:r>
      <w:r>
        <w:rPr>
          <w:spacing w:val="28"/>
          <w:sz w:val="21"/>
        </w:rPr>
        <w:t> </w:t>
      </w:r>
      <w:r>
        <w:rPr>
          <w:spacing w:val="-2"/>
          <w:w w:val="100"/>
          <w:sz w:val="21"/>
        </w:rPr>
        <w:t>t</w:t>
      </w:r>
      <w:r>
        <w:rPr>
          <w:spacing w:val="-3"/>
          <w:w w:val="100"/>
          <w:sz w:val="21"/>
        </w:rPr>
        <w:t>h</w:t>
      </w:r>
      <w:r>
        <w:rPr>
          <w:spacing w:val="-1"/>
          <w:w w:val="100"/>
          <w:sz w:val="21"/>
        </w:rPr>
        <w:t>a</w:t>
      </w:r>
      <w:r>
        <w:rPr>
          <w:w w:val="100"/>
          <w:sz w:val="21"/>
        </w:rPr>
        <w:t>t</w:t>
      </w:r>
      <w:r>
        <w:rPr>
          <w:spacing w:val="26"/>
          <w:sz w:val="21"/>
        </w:rPr>
        <w:t> </w:t>
      </w:r>
      <w:r>
        <w:rPr>
          <w:spacing w:val="-2"/>
          <w:w w:val="100"/>
          <w:sz w:val="21"/>
        </w:rPr>
        <w:t>t</w:t>
      </w:r>
      <w:r>
        <w:rPr>
          <w:spacing w:val="-1"/>
          <w:w w:val="100"/>
          <w:sz w:val="21"/>
        </w:rPr>
        <w:t>he </w:t>
      </w:r>
      <w:r>
        <w:rPr>
          <w:sz w:val="21"/>
        </w:rPr>
        <w:t>land in suit forms part of a graveyard set apart for the  Mussulman community, and that by user, if not by dedication, the land is</w:t>
      </w:r>
      <w:r>
        <w:rPr>
          <w:spacing w:val="-8"/>
          <w:sz w:val="21"/>
        </w:rPr>
        <w:t> </w:t>
      </w:r>
      <w:r>
        <w:rPr>
          <w:sz w:val="21"/>
        </w:rPr>
        <w:t>Waqf.‖</w:t>
      </w:r>
    </w:p>
    <w:p>
      <w:pPr>
        <w:pStyle w:val="BodyText"/>
        <w:rPr>
          <w:sz w:val="24"/>
        </w:rPr>
      </w:pPr>
    </w:p>
    <w:p>
      <w:pPr>
        <w:pStyle w:val="BodyText"/>
        <w:rPr>
          <w:sz w:val="31"/>
        </w:rPr>
      </w:pPr>
    </w:p>
    <w:p>
      <w:pPr>
        <w:pStyle w:val="BodyText"/>
        <w:spacing w:line="480" w:lineRule="auto"/>
        <w:ind w:left="500" w:right="443"/>
        <w:jc w:val="both"/>
      </w:pPr>
      <w:r>
        <w:rPr/>
        <w:t>The Privy Council recognised that absent an express deed or act of dedication, a waqf can be recognised by long use.</w:t>
      </w:r>
    </w:p>
    <w:p>
      <w:pPr>
        <w:pStyle w:val="BodyText"/>
        <w:rPr>
          <w:sz w:val="28"/>
        </w:rPr>
      </w:pPr>
    </w:p>
    <w:p>
      <w:pPr>
        <w:pStyle w:val="BodyText"/>
        <w:spacing w:before="8"/>
        <w:rPr>
          <w:sz w:val="26"/>
        </w:rPr>
      </w:pPr>
    </w:p>
    <w:p>
      <w:pPr>
        <w:pStyle w:val="ListParagraph"/>
        <w:numPr>
          <w:ilvl w:val="0"/>
          <w:numId w:val="231"/>
        </w:numPr>
        <w:tabs>
          <w:tab w:pos="1221" w:val="left" w:leader="none"/>
        </w:tabs>
        <w:spacing w:line="480" w:lineRule="auto" w:before="0" w:after="0"/>
        <w:ind w:left="500" w:right="439" w:firstLine="0"/>
        <w:jc w:val="both"/>
        <w:rPr>
          <w:sz w:val="25"/>
        </w:rPr>
      </w:pPr>
      <w:r>
        <w:rPr/>
        <w:pict>
          <v:rect style="position:absolute;margin-left:72.024002pt;margin-top:139.664871pt;width:144.020pt;height:.599980pt;mso-position-horizontal-relative:page;mso-position-vertical-relative:paragraph;z-index:-23815168" filled="true" fillcolor="#000000" stroked="false">
            <v:fill type="solid"/>
            <w10:wrap type="none"/>
          </v:rect>
        </w:pict>
      </w:r>
      <w:r>
        <w:rPr>
          <w:sz w:val="25"/>
        </w:rPr>
        <w:t>The above decision was followed by the Oudh Chief Court in </w:t>
      </w:r>
      <w:r>
        <w:rPr>
          <w:b/>
          <w:sz w:val="25"/>
        </w:rPr>
        <w:t>Abdul Ghafoor </w:t>
      </w:r>
      <w:r>
        <w:rPr>
          <w:sz w:val="25"/>
        </w:rPr>
        <w:t>v </w:t>
      </w:r>
      <w:r>
        <w:rPr>
          <w:b/>
          <w:sz w:val="25"/>
        </w:rPr>
        <w:t>Rahmat Ali</w:t>
      </w:r>
      <w:r>
        <w:rPr>
          <w:sz w:val="25"/>
        </w:rPr>
        <w:t>.</w:t>
      </w:r>
      <w:r>
        <w:rPr>
          <w:sz w:val="25"/>
          <w:vertAlign w:val="superscript"/>
        </w:rPr>
        <w:t>363</w:t>
      </w:r>
      <w:r>
        <w:rPr>
          <w:sz w:val="25"/>
          <w:vertAlign w:val="baseline"/>
        </w:rPr>
        <w:t> The plaintiffs sought a declaration that the suit property was a public graveyard and the defendant was not entitled to construct any structure on it. The graveyard in question had been closed to the public by the</w:t>
      </w:r>
      <w:r>
        <w:rPr>
          <w:spacing w:val="20"/>
          <w:sz w:val="25"/>
          <w:vertAlign w:val="baseline"/>
        </w:rPr>
        <w:t> </w:t>
      </w:r>
      <w:r>
        <w:rPr>
          <w:sz w:val="25"/>
          <w:vertAlign w:val="baseline"/>
        </w:rPr>
        <w:t>Municipal</w:t>
      </w:r>
      <w:r>
        <w:rPr>
          <w:spacing w:val="20"/>
          <w:sz w:val="25"/>
          <w:vertAlign w:val="baseline"/>
        </w:rPr>
        <w:t> </w:t>
      </w:r>
      <w:r>
        <w:rPr>
          <w:sz w:val="25"/>
          <w:vertAlign w:val="baseline"/>
        </w:rPr>
        <w:t>Board</w:t>
      </w:r>
      <w:r>
        <w:rPr>
          <w:spacing w:val="18"/>
          <w:sz w:val="25"/>
          <w:vertAlign w:val="baseline"/>
        </w:rPr>
        <w:t> </w:t>
      </w:r>
      <w:r>
        <w:rPr>
          <w:sz w:val="25"/>
          <w:vertAlign w:val="baseline"/>
        </w:rPr>
        <w:t>for</w:t>
      </w:r>
      <w:r>
        <w:rPr>
          <w:spacing w:val="18"/>
          <w:sz w:val="25"/>
          <w:vertAlign w:val="baseline"/>
        </w:rPr>
        <w:t> </w:t>
      </w:r>
      <w:r>
        <w:rPr>
          <w:sz w:val="25"/>
          <w:vertAlign w:val="baseline"/>
        </w:rPr>
        <w:t>forty</w:t>
      </w:r>
      <w:r>
        <w:rPr>
          <w:spacing w:val="18"/>
          <w:sz w:val="25"/>
          <w:vertAlign w:val="baseline"/>
        </w:rPr>
        <w:t> </w:t>
      </w:r>
      <w:r>
        <w:rPr>
          <w:sz w:val="25"/>
          <w:vertAlign w:val="baseline"/>
        </w:rPr>
        <w:t>years.</w:t>
      </w:r>
      <w:r>
        <w:rPr>
          <w:spacing w:val="18"/>
          <w:sz w:val="25"/>
          <w:vertAlign w:val="baseline"/>
        </w:rPr>
        <w:t> </w:t>
      </w:r>
      <w:r>
        <w:rPr>
          <w:sz w:val="25"/>
          <w:vertAlign w:val="baseline"/>
        </w:rPr>
        <w:t>The</w:t>
      </w:r>
      <w:r>
        <w:rPr>
          <w:spacing w:val="18"/>
          <w:sz w:val="25"/>
          <w:vertAlign w:val="baseline"/>
        </w:rPr>
        <w:t> </w:t>
      </w:r>
      <w:r>
        <w:rPr>
          <w:sz w:val="25"/>
          <w:vertAlign w:val="baseline"/>
        </w:rPr>
        <w:t>defendant</w:t>
      </w:r>
      <w:r>
        <w:rPr>
          <w:spacing w:val="17"/>
          <w:sz w:val="25"/>
          <w:vertAlign w:val="baseline"/>
        </w:rPr>
        <w:t> </w:t>
      </w:r>
      <w:r>
        <w:rPr>
          <w:sz w:val="25"/>
          <w:vertAlign w:val="baseline"/>
        </w:rPr>
        <w:t>argued</w:t>
      </w:r>
      <w:r>
        <w:rPr>
          <w:spacing w:val="27"/>
          <w:sz w:val="25"/>
          <w:vertAlign w:val="baseline"/>
        </w:rPr>
        <w:t> </w:t>
      </w:r>
      <w:r>
        <w:rPr>
          <w:sz w:val="25"/>
          <w:vertAlign w:val="baseline"/>
        </w:rPr>
        <w:t>that</w:t>
      </w:r>
      <w:r>
        <w:rPr>
          <w:spacing w:val="18"/>
          <w:sz w:val="25"/>
          <w:vertAlign w:val="baseline"/>
        </w:rPr>
        <w:t> </w:t>
      </w:r>
      <w:r>
        <w:rPr>
          <w:sz w:val="25"/>
          <w:vertAlign w:val="baseline"/>
        </w:rPr>
        <w:t>the</w:t>
      </w:r>
      <w:r>
        <w:rPr>
          <w:spacing w:val="17"/>
          <w:sz w:val="25"/>
          <w:vertAlign w:val="baseline"/>
        </w:rPr>
        <w:t> </w:t>
      </w:r>
      <w:r>
        <w:rPr>
          <w:sz w:val="25"/>
          <w:vertAlign w:val="baseline"/>
        </w:rPr>
        <w:t>plaintiffs</w:t>
      </w:r>
      <w:r>
        <w:rPr>
          <w:spacing w:val="18"/>
          <w:sz w:val="25"/>
          <w:vertAlign w:val="baseline"/>
        </w:rPr>
        <w:t> </w:t>
      </w:r>
      <w:r>
        <w:rPr>
          <w:sz w:val="25"/>
          <w:vertAlign w:val="baseline"/>
        </w:rPr>
        <w:t>had</w:t>
      </w:r>
    </w:p>
    <w:p>
      <w:pPr>
        <w:spacing w:before="38"/>
        <w:ind w:left="500" w:right="0" w:firstLine="0"/>
        <w:jc w:val="left"/>
        <w:rPr>
          <w:sz w:val="18"/>
        </w:rPr>
      </w:pPr>
      <w:r>
        <w:rPr>
          <w:sz w:val="18"/>
          <w:vertAlign w:val="superscript"/>
        </w:rPr>
        <w:t>362</w:t>
      </w:r>
      <w:r>
        <w:rPr>
          <w:sz w:val="18"/>
          <w:vertAlign w:val="baseline"/>
        </w:rPr>
        <w:t> ILR (1913) 40 Cal 297</w:t>
      </w:r>
    </w:p>
    <w:p>
      <w:pPr>
        <w:spacing w:before="2"/>
        <w:ind w:left="500" w:right="0" w:firstLine="0"/>
        <w:jc w:val="left"/>
        <w:rPr>
          <w:sz w:val="18"/>
        </w:rPr>
      </w:pPr>
      <w:r>
        <w:rPr>
          <w:sz w:val="18"/>
          <w:vertAlign w:val="superscript"/>
        </w:rPr>
        <w:t>363</w:t>
      </w:r>
      <w:r>
        <w:rPr>
          <w:sz w:val="18"/>
          <w:vertAlign w:val="baseline"/>
        </w:rPr>
        <w:t> AIR 1930 Oudh 245</w:t>
      </w:r>
    </w:p>
    <w:p>
      <w:pPr>
        <w:spacing w:after="0"/>
        <w:jc w:val="left"/>
        <w:rPr>
          <w:sz w:val="18"/>
        </w:rPr>
        <w:sectPr>
          <w:pgSz w:w="11910" w:h="16840"/>
          <w:pgMar w:header="721" w:footer="1014" w:top="1300" w:bottom="1200" w:left="940" w:right="1000"/>
        </w:sectPr>
      </w:pPr>
    </w:p>
    <w:p>
      <w:pPr>
        <w:pStyle w:val="BodyText"/>
        <w:spacing w:line="480" w:lineRule="auto" w:before="124"/>
        <w:ind w:left="500" w:right="434"/>
        <w:jc w:val="both"/>
      </w:pPr>
      <w:r>
        <w:rPr/>
        <w:t>not established the use of the graveyard till the suit in question, and that by non- use for forty years, it had lost its characteristic as a waqf. In holding that the graveyard continued to be a public waqf, Justice Srivastava, speaking for the Oudh Chief Court held:</w:t>
      </w:r>
    </w:p>
    <w:p>
      <w:pPr>
        <w:pStyle w:val="BodyText"/>
        <w:spacing w:before="8"/>
        <w:rPr>
          <w:sz w:val="40"/>
        </w:rPr>
      </w:pPr>
    </w:p>
    <w:p>
      <w:pPr>
        <w:spacing w:line="259" w:lineRule="auto" w:before="1"/>
        <w:ind w:left="1633" w:right="2261" w:firstLine="57"/>
        <w:jc w:val="both"/>
        <w:rPr>
          <w:sz w:val="21"/>
        </w:rPr>
      </w:pPr>
      <w:r>
        <w:rPr>
          <w:spacing w:val="-1"/>
          <w:w w:val="33"/>
          <w:sz w:val="21"/>
        </w:rPr>
        <w:t>―</w:t>
      </w:r>
      <w:r>
        <w:rPr>
          <w:spacing w:val="-1"/>
          <w:w w:val="100"/>
          <w:sz w:val="21"/>
        </w:rPr>
        <w:t>4</w:t>
      </w:r>
      <w:r>
        <w:rPr>
          <w:w w:val="100"/>
          <w:sz w:val="21"/>
        </w:rPr>
        <w:t>.</w:t>
      </w:r>
      <w:r>
        <w:rPr>
          <w:sz w:val="21"/>
        </w:rPr>
        <w:t> </w:t>
      </w:r>
      <w:r>
        <w:rPr>
          <w:spacing w:val="-27"/>
          <w:sz w:val="21"/>
        </w:rPr>
        <w:t> </w:t>
      </w:r>
      <w:r>
        <w:rPr>
          <w:w w:val="100"/>
          <w:sz w:val="21"/>
        </w:rPr>
        <w:t>…</w:t>
      </w:r>
      <w:r>
        <w:rPr>
          <w:sz w:val="21"/>
        </w:rPr>
        <w:t> </w:t>
      </w:r>
      <w:r>
        <w:rPr>
          <w:spacing w:val="-26"/>
          <w:sz w:val="21"/>
        </w:rPr>
        <w:t> </w:t>
      </w:r>
      <w:r>
        <w:rPr>
          <w:b/>
          <w:spacing w:val="-2"/>
          <w:w w:val="100"/>
          <w:sz w:val="21"/>
        </w:rPr>
        <w:t>I</w:t>
      </w:r>
      <w:r>
        <w:rPr>
          <w:b/>
          <w:w w:val="100"/>
          <w:sz w:val="21"/>
        </w:rPr>
        <w:t>t</w:t>
      </w:r>
      <w:r>
        <w:rPr>
          <w:b/>
          <w:sz w:val="21"/>
        </w:rPr>
        <w:t> </w:t>
      </w:r>
      <w:r>
        <w:rPr>
          <w:b/>
          <w:spacing w:val="-27"/>
          <w:sz w:val="21"/>
        </w:rPr>
        <w:t> </w:t>
      </w:r>
      <w:r>
        <w:rPr>
          <w:b/>
          <w:spacing w:val="-2"/>
          <w:w w:val="100"/>
          <w:sz w:val="21"/>
        </w:rPr>
        <w:t>i</w:t>
      </w:r>
      <w:r>
        <w:rPr>
          <w:b/>
          <w:w w:val="100"/>
          <w:sz w:val="21"/>
        </w:rPr>
        <w:t>s</w:t>
      </w:r>
      <w:r>
        <w:rPr>
          <w:b/>
          <w:sz w:val="21"/>
        </w:rPr>
        <w:t> </w:t>
      </w:r>
      <w:r>
        <w:rPr>
          <w:b/>
          <w:spacing w:val="-26"/>
          <w:sz w:val="21"/>
        </w:rPr>
        <w:t> </w:t>
      </w:r>
      <w:r>
        <w:rPr>
          <w:b/>
          <w:spacing w:val="1"/>
          <w:w w:val="100"/>
          <w:sz w:val="21"/>
        </w:rPr>
        <w:t>w</w:t>
      </w:r>
      <w:r>
        <w:rPr>
          <w:b/>
          <w:w w:val="100"/>
          <w:sz w:val="21"/>
        </w:rPr>
        <w:t>e</w:t>
      </w:r>
      <w:r>
        <w:rPr>
          <w:b/>
          <w:spacing w:val="-1"/>
          <w:w w:val="100"/>
          <w:sz w:val="21"/>
        </w:rPr>
        <w:t>l</w:t>
      </w:r>
      <w:r>
        <w:rPr>
          <w:b/>
          <w:w w:val="100"/>
          <w:sz w:val="21"/>
        </w:rPr>
        <w:t>l</w:t>
      </w:r>
      <w:r>
        <w:rPr>
          <w:b/>
          <w:sz w:val="21"/>
        </w:rPr>
        <w:t> </w:t>
      </w:r>
      <w:r>
        <w:rPr>
          <w:b/>
          <w:spacing w:val="-27"/>
          <w:sz w:val="21"/>
        </w:rPr>
        <w:t> </w:t>
      </w:r>
      <w:r>
        <w:rPr>
          <w:b/>
          <w:w w:val="100"/>
          <w:sz w:val="21"/>
        </w:rPr>
        <w:t>set</w:t>
      </w:r>
      <w:r>
        <w:rPr>
          <w:b/>
          <w:spacing w:val="-2"/>
          <w:w w:val="100"/>
          <w:sz w:val="21"/>
        </w:rPr>
        <w:t>t</w:t>
      </w:r>
      <w:r>
        <w:rPr>
          <w:b/>
          <w:spacing w:val="-2"/>
          <w:w w:val="100"/>
          <w:sz w:val="21"/>
        </w:rPr>
        <w:t>l</w:t>
      </w:r>
      <w:r>
        <w:rPr>
          <w:b/>
          <w:w w:val="100"/>
          <w:sz w:val="21"/>
        </w:rPr>
        <w:t>ed</w:t>
      </w:r>
      <w:r>
        <w:rPr>
          <w:b/>
          <w:sz w:val="21"/>
        </w:rPr>
        <w:t> </w:t>
      </w:r>
      <w:r>
        <w:rPr>
          <w:b/>
          <w:spacing w:val="-28"/>
          <w:sz w:val="21"/>
        </w:rPr>
        <w:t> </w:t>
      </w:r>
      <w:r>
        <w:rPr>
          <w:b/>
          <w:spacing w:val="-1"/>
          <w:w w:val="100"/>
          <w:sz w:val="21"/>
        </w:rPr>
        <w:t>t</w:t>
      </w:r>
      <w:r>
        <w:rPr>
          <w:b/>
          <w:w w:val="100"/>
          <w:sz w:val="21"/>
        </w:rPr>
        <w:t>ha</w:t>
      </w:r>
      <w:r>
        <w:rPr>
          <w:b/>
          <w:w w:val="100"/>
          <w:sz w:val="21"/>
        </w:rPr>
        <w:t>t</w:t>
      </w:r>
      <w:r>
        <w:rPr>
          <w:b/>
          <w:sz w:val="21"/>
        </w:rPr>
        <w:t> </w:t>
      </w:r>
      <w:r>
        <w:rPr>
          <w:b/>
          <w:spacing w:val="-27"/>
          <w:sz w:val="21"/>
        </w:rPr>
        <w:t> </w:t>
      </w:r>
      <w:r>
        <w:rPr>
          <w:b/>
          <w:w w:val="100"/>
          <w:sz w:val="21"/>
        </w:rPr>
        <w:t>a</w:t>
      </w:r>
      <w:r>
        <w:rPr>
          <w:b/>
          <w:sz w:val="21"/>
        </w:rPr>
        <w:t> </w:t>
      </w:r>
      <w:r>
        <w:rPr>
          <w:b/>
          <w:spacing w:val="-28"/>
          <w:sz w:val="21"/>
        </w:rPr>
        <w:t> </w:t>
      </w:r>
      <w:r>
        <w:rPr>
          <w:b/>
          <w:spacing w:val="1"/>
          <w:w w:val="100"/>
          <w:sz w:val="21"/>
        </w:rPr>
        <w:t>w</w:t>
      </w:r>
      <w:r>
        <w:rPr>
          <w:b/>
          <w:w w:val="100"/>
          <w:sz w:val="21"/>
        </w:rPr>
        <w:t>akf</w:t>
      </w:r>
      <w:r>
        <w:rPr>
          <w:b/>
          <w:sz w:val="21"/>
        </w:rPr>
        <w:t> </w:t>
      </w:r>
      <w:r>
        <w:rPr>
          <w:b/>
          <w:spacing w:val="-27"/>
          <w:sz w:val="21"/>
        </w:rPr>
        <w:t> </w:t>
      </w:r>
      <w:r>
        <w:rPr>
          <w:b/>
          <w:spacing w:val="-3"/>
          <w:w w:val="100"/>
          <w:sz w:val="21"/>
        </w:rPr>
        <w:t>m</w:t>
      </w:r>
      <w:r>
        <w:rPr>
          <w:b/>
          <w:w w:val="100"/>
          <w:sz w:val="21"/>
        </w:rPr>
        <w:t>a</w:t>
      </w:r>
      <w:r>
        <w:rPr>
          <w:b/>
          <w:spacing w:val="-5"/>
          <w:w w:val="100"/>
          <w:sz w:val="21"/>
        </w:rPr>
        <w:t>y</w:t>
      </w:r>
      <w:r>
        <w:rPr>
          <w:b/>
          <w:w w:val="100"/>
          <w:sz w:val="21"/>
        </w:rPr>
        <w:t>,</w:t>
      </w:r>
      <w:r>
        <w:rPr>
          <w:b/>
          <w:sz w:val="21"/>
        </w:rPr>
        <w:t> </w:t>
      </w:r>
      <w:r>
        <w:rPr>
          <w:b/>
          <w:spacing w:val="-25"/>
          <w:sz w:val="21"/>
        </w:rPr>
        <w:t> </w:t>
      </w:r>
      <w:r>
        <w:rPr>
          <w:b/>
          <w:spacing w:val="-2"/>
          <w:w w:val="100"/>
          <w:sz w:val="21"/>
        </w:rPr>
        <w:t>i</w:t>
      </w:r>
      <w:r>
        <w:rPr>
          <w:b/>
          <w:w w:val="100"/>
          <w:sz w:val="21"/>
        </w:rPr>
        <w:t>n</w:t>
      </w:r>
      <w:r>
        <w:rPr>
          <w:b/>
          <w:sz w:val="21"/>
        </w:rPr>
        <w:t> </w:t>
      </w:r>
      <w:r>
        <w:rPr>
          <w:b/>
          <w:spacing w:val="-26"/>
          <w:sz w:val="21"/>
        </w:rPr>
        <w:t> </w:t>
      </w:r>
      <w:r>
        <w:rPr>
          <w:b/>
          <w:spacing w:val="-1"/>
          <w:w w:val="100"/>
          <w:sz w:val="21"/>
        </w:rPr>
        <w:t>t</w:t>
      </w:r>
      <w:r>
        <w:rPr>
          <w:b/>
          <w:w w:val="100"/>
          <w:sz w:val="21"/>
        </w:rPr>
        <w:t>he</w:t>
      </w:r>
      <w:r>
        <w:rPr>
          <w:b/>
          <w:sz w:val="21"/>
        </w:rPr>
        <w:t> </w:t>
      </w:r>
      <w:r>
        <w:rPr>
          <w:b/>
          <w:spacing w:val="-28"/>
          <w:sz w:val="21"/>
        </w:rPr>
        <w:t> </w:t>
      </w:r>
      <w:r>
        <w:rPr>
          <w:b/>
          <w:w w:val="100"/>
          <w:sz w:val="21"/>
        </w:rPr>
        <w:t>ab</w:t>
      </w:r>
      <w:r>
        <w:rPr>
          <w:b/>
          <w:w w:val="100"/>
          <w:sz w:val="21"/>
        </w:rPr>
        <w:t>s</w:t>
      </w:r>
      <w:r>
        <w:rPr>
          <w:b/>
          <w:spacing w:val="-3"/>
          <w:w w:val="100"/>
          <w:sz w:val="21"/>
        </w:rPr>
        <w:t>e</w:t>
      </w:r>
      <w:r>
        <w:rPr>
          <w:b/>
          <w:w w:val="100"/>
          <w:sz w:val="21"/>
        </w:rPr>
        <w:t>n</w:t>
      </w:r>
      <w:r>
        <w:rPr>
          <w:b/>
          <w:spacing w:val="-2"/>
          <w:w w:val="100"/>
          <w:sz w:val="21"/>
        </w:rPr>
        <w:t>c</w:t>
      </w:r>
      <w:r>
        <w:rPr>
          <w:b/>
          <w:w w:val="100"/>
          <w:sz w:val="21"/>
        </w:rPr>
        <w:t>e</w:t>
      </w:r>
      <w:r>
        <w:rPr>
          <w:b/>
          <w:sz w:val="21"/>
        </w:rPr>
        <w:t> </w:t>
      </w:r>
      <w:r>
        <w:rPr>
          <w:b/>
          <w:spacing w:val="-26"/>
          <w:sz w:val="21"/>
        </w:rPr>
        <w:t> </w:t>
      </w:r>
      <w:r>
        <w:rPr>
          <w:b/>
          <w:w w:val="100"/>
          <w:sz w:val="21"/>
        </w:rPr>
        <w:t>of </w:t>
      </w:r>
      <w:r>
        <w:rPr>
          <w:b/>
          <w:sz w:val="21"/>
        </w:rPr>
        <w:t>direct evidence of dedication, be established by evidence of user</w:t>
      </w:r>
      <w:r>
        <w:rPr>
          <w:sz w:val="21"/>
        </w:rPr>
        <w:t>. The land in suit was recorded at the time of the first regular settlement as a qaburistan but there is no direct evidence to establish the dedication. … in light of the evidence of a number of witnesses examined on behalf of the plaintiffs, whose evidence he [the Subordinate Judge] has believed has come to the conclusion that the Mohamedan public used the land as their burial ground until the Municipal Board prohibited further interments in that land about 40 years ago. </w:t>
      </w:r>
      <w:r>
        <w:rPr>
          <w:b/>
          <w:sz w:val="21"/>
        </w:rPr>
        <w:t>Thus, in the present case, the finding about the land in suit being a public graveyard is based upon the evidence of long user</w:t>
      </w:r>
      <w:r>
        <w:rPr>
          <w:sz w:val="21"/>
        </w:rPr>
        <w:t>… </w:t>
      </w:r>
      <w:r>
        <w:rPr>
          <w:b/>
          <w:sz w:val="21"/>
        </w:rPr>
        <w:t>The rule which allows evidence of user to take the place of dedication is a rule of necessity. In the case of old wakf it is not possible to secure direct evidence of dedication and also it has been ruled that even in the absence of such direct evidence, a Court can hold a wakf to be established on evidence of long</w:t>
      </w:r>
      <w:r>
        <w:rPr>
          <w:b/>
          <w:spacing w:val="-6"/>
          <w:sz w:val="21"/>
        </w:rPr>
        <w:t> </w:t>
      </w:r>
      <w:r>
        <w:rPr>
          <w:b/>
          <w:sz w:val="21"/>
        </w:rPr>
        <w:t>user</w:t>
      </w:r>
      <w:r>
        <w:rPr>
          <w:sz w:val="21"/>
        </w:rPr>
        <w:t>…‖</w:t>
      </w:r>
    </w:p>
    <w:p>
      <w:pPr>
        <w:spacing w:before="157"/>
        <w:ind w:left="5795" w:right="0" w:firstLine="0"/>
        <w:jc w:val="left"/>
        <w:rPr>
          <w:sz w:val="21"/>
        </w:rPr>
      </w:pPr>
      <w:r>
        <w:rPr>
          <w:sz w:val="21"/>
        </w:rPr>
        <w:t>(Emphasis supplied)</w:t>
      </w:r>
    </w:p>
    <w:p>
      <w:pPr>
        <w:pStyle w:val="BodyText"/>
        <w:rPr>
          <w:sz w:val="24"/>
        </w:rPr>
      </w:pPr>
    </w:p>
    <w:p>
      <w:pPr>
        <w:pStyle w:val="ListParagraph"/>
        <w:numPr>
          <w:ilvl w:val="0"/>
          <w:numId w:val="231"/>
        </w:numPr>
        <w:tabs>
          <w:tab w:pos="1221" w:val="left" w:leader="none"/>
        </w:tabs>
        <w:spacing w:line="480" w:lineRule="auto" w:before="191" w:after="0"/>
        <w:ind w:left="500" w:right="438" w:firstLine="0"/>
        <w:jc w:val="both"/>
        <w:rPr>
          <w:sz w:val="25"/>
        </w:rPr>
      </w:pPr>
      <w:r>
        <w:rPr>
          <w:sz w:val="25"/>
        </w:rPr>
        <w:t>In some cases, courts were faced with a situation where property was  used as waqf property since time immemorial and it was not practical to seek formal proof in the form of a deed of declaration. A specific document of dedication may be unavailable after a long lapse of time but the use of the property for public religious or charitable purpose may have continued since time immemorial. Hence, despite the absence of an express deed of  dedication, where the long use of the property as a site for public religious purpose is established by oral or documentary evidence, a court can recognise the  existence of a waqf by user. The evidence of long use is treated as sufficient though there is no evidence of an express deed of</w:t>
      </w:r>
      <w:r>
        <w:rPr>
          <w:spacing w:val="-14"/>
          <w:sz w:val="25"/>
        </w:rPr>
        <w:t> </w:t>
      </w:r>
      <w:r>
        <w:rPr>
          <w:sz w:val="25"/>
        </w:rPr>
        <w:t>dedication.</w:t>
      </w:r>
    </w:p>
    <w:p>
      <w:pPr>
        <w:spacing w:after="0" w:line="480" w:lineRule="auto"/>
        <w:jc w:val="both"/>
        <w:rPr>
          <w:sz w:val="25"/>
        </w:rPr>
        <w:sectPr>
          <w:pgSz w:w="11910" w:h="16840"/>
          <w:pgMar w:header="721" w:footer="1014" w:top="1300" w:bottom="1200" w:left="940" w:right="1000"/>
        </w:sectPr>
      </w:pPr>
    </w:p>
    <w:p>
      <w:pPr>
        <w:pStyle w:val="ListParagraph"/>
        <w:numPr>
          <w:ilvl w:val="0"/>
          <w:numId w:val="231"/>
        </w:numPr>
        <w:tabs>
          <w:tab w:pos="1221" w:val="left" w:leader="none"/>
        </w:tabs>
        <w:spacing w:line="480" w:lineRule="auto" w:before="121" w:after="0"/>
        <w:ind w:left="500" w:right="437" w:firstLine="0"/>
        <w:jc w:val="both"/>
        <w:rPr>
          <w:sz w:val="25"/>
        </w:rPr>
      </w:pPr>
      <w:r>
        <w:rPr>
          <w:sz w:val="25"/>
        </w:rPr>
        <w:t>In </w:t>
      </w:r>
      <w:r>
        <w:rPr>
          <w:b/>
          <w:sz w:val="25"/>
        </w:rPr>
        <w:t>Miru </w:t>
      </w:r>
      <w:r>
        <w:rPr>
          <w:sz w:val="25"/>
        </w:rPr>
        <w:t>v </w:t>
      </w:r>
      <w:r>
        <w:rPr>
          <w:b/>
          <w:sz w:val="25"/>
        </w:rPr>
        <w:t>Ram Gopal</w:t>
      </w:r>
      <w:r>
        <w:rPr>
          <w:sz w:val="25"/>
          <w:vertAlign w:val="superscript"/>
        </w:rPr>
        <w:t>364</w:t>
      </w:r>
      <w:r>
        <w:rPr>
          <w:sz w:val="25"/>
          <w:vertAlign w:val="baseline"/>
        </w:rPr>
        <w:t> the plaintiff was a zamindar of the property. One </w:t>
      </w:r>
      <w:r>
        <w:rPr>
          <w:spacing w:val="-1"/>
          <w:w w:val="99"/>
          <w:sz w:val="25"/>
          <w:vertAlign w:val="baseline"/>
        </w:rPr>
        <w:t>Rahi</w:t>
      </w:r>
      <w:r>
        <w:rPr>
          <w:w w:val="99"/>
          <w:sz w:val="25"/>
          <w:vertAlign w:val="baseline"/>
        </w:rPr>
        <w:t>m</w:t>
      </w:r>
      <w:r>
        <w:rPr>
          <w:spacing w:val="3"/>
          <w:sz w:val="25"/>
          <w:vertAlign w:val="baseline"/>
        </w:rPr>
        <w:t> </w:t>
      </w:r>
      <w:r>
        <w:rPr>
          <w:spacing w:val="-1"/>
          <w:w w:val="99"/>
          <w:sz w:val="25"/>
          <w:vertAlign w:val="baseline"/>
        </w:rPr>
        <w:t>Baks</w:t>
      </w:r>
      <w:r>
        <w:rPr>
          <w:w w:val="99"/>
          <w:sz w:val="25"/>
          <w:vertAlign w:val="baseline"/>
        </w:rPr>
        <w:t>h</w:t>
      </w:r>
      <w:r>
        <w:rPr>
          <w:spacing w:val="2"/>
          <w:sz w:val="25"/>
          <w:vertAlign w:val="baseline"/>
        </w:rPr>
        <w:t> </w:t>
      </w:r>
      <w:r>
        <w:rPr>
          <w:spacing w:val="-1"/>
          <w:w w:val="99"/>
          <w:sz w:val="25"/>
          <w:vertAlign w:val="baseline"/>
        </w:rPr>
        <w:t>h</w:t>
      </w:r>
      <w:r>
        <w:rPr>
          <w:w w:val="99"/>
          <w:sz w:val="25"/>
          <w:vertAlign w:val="baseline"/>
        </w:rPr>
        <w:t>ad</w:t>
      </w:r>
      <w:r>
        <w:rPr>
          <w:spacing w:val="2"/>
          <w:sz w:val="25"/>
          <w:vertAlign w:val="baseline"/>
        </w:rPr>
        <w:t> </w:t>
      </w:r>
      <w:r>
        <w:rPr>
          <w:spacing w:val="-1"/>
          <w:w w:val="99"/>
          <w:sz w:val="25"/>
          <w:vertAlign w:val="baseline"/>
        </w:rPr>
        <w:t>oc</w:t>
      </w:r>
      <w:r>
        <w:rPr>
          <w:spacing w:val="2"/>
          <w:w w:val="99"/>
          <w:sz w:val="25"/>
          <w:vertAlign w:val="baseline"/>
        </w:rPr>
        <w:t>c</w:t>
      </w:r>
      <w:r>
        <w:rPr>
          <w:spacing w:val="-1"/>
          <w:w w:val="99"/>
          <w:sz w:val="25"/>
          <w:vertAlign w:val="baseline"/>
        </w:rPr>
        <w:t>u</w:t>
      </w:r>
      <w:r>
        <w:rPr>
          <w:w w:val="99"/>
          <w:sz w:val="25"/>
          <w:vertAlign w:val="baseline"/>
        </w:rPr>
        <w:t>p</w:t>
      </w:r>
      <w:r>
        <w:rPr>
          <w:spacing w:val="-1"/>
          <w:w w:val="99"/>
          <w:sz w:val="25"/>
          <w:vertAlign w:val="baseline"/>
        </w:rPr>
        <w:t>ie</w:t>
      </w:r>
      <w:r>
        <w:rPr>
          <w:w w:val="99"/>
          <w:sz w:val="25"/>
          <w:vertAlign w:val="baseline"/>
        </w:rPr>
        <w:t>d</w:t>
      </w:r>
      <w:r>
        <w:rPr>
          <w:spacing w:val="2"/>
          <w:sz w:val="25"/>
          <w:vertAlign w:val="baseline"/>
        </w:rPr>
        <w:t> </w:t>
      </w:r>
      <w:r>
        <w:rPr>
          <w:w w:val="99"/>
          <w:sz w:val="25"/>
          <w:vertAlign w:val="baseline"/>
        </w:rPr>
        <w:t>the</w:t>
      </w:r>
      <w:r>
        <w:rPr>
          <w:spacing w:val="2"/>
          <w:sz w:val="25"/>
          <w:vertAlign w:val="baseline"/>
        </w:rPr>
        <w:t> </w:t>
      </w:r>
      <w:r>
        <w:rPr>
          <w:spacing w:val="-1"/>
          <w:w w:val="99"/>
          <w:sz w:val="25"/>
          <w:vertAlign w:val="baseline"/>
        </w:rPr>
        <w:t>p</w:t>
      </w:r>
      <w:r>
        <w:rPr>
          <w:w w:val="99"/>
          <w:sz w:val="25"/>
          <w:vertAlign w:val="baseline"/>
        </w:rPr>
        <w:t>r</w:t>
      </w:r>
      <w:r>
        <w:rPr>
          <w:spacing w:val="-1"/>
          <w:w w:val="99"/>
          <w:sz w:val="25"/>
          <w:vertAlign w:val="baseline"/>
        </w:rPr>
        <w:t>o</w:t>
      </w:r>
      <w:r>
        <w:rPr>
          <w:w w:val="99"/>
          <w:sz w:val="25"/>
          <w:vertAlign w:val="baseline"/>
        </w:rPr>
        <w:t>p</w:t>
      </w:r>
      <w:r>
        <w:rPr>
          <w:spacing w:val="-1"/>
          <w:w w:val="99"/>
          <w:sz w:val="25"/>
          <w:vertAlign w:val="baseline"/>
        </w:rPr>
        <w:t>e</w:t>
      </w:r>
      <w:r>
        <w:rPr>
          <w:w w:val="99"/>
          <w:sz w:val="25"/>
          <w:vertAlign w:val="baseline"/>
        </w:rPr>
        <w:t>rty</w:t>
      </w:r>
      <w:r>
        <w:rPr>
          <w:spacing w:val="-1"/>
          <w:sz w:val="25"/>
          <w:vertAlign w:val="baseline"/>
        </w:rPr>
        <w:t> </w:t>
      </w:r>
      <w:r>
        <w:rPr>
          <w:spacing w:val="-1"/>
          <w:w w:val="99"/>
          <w:sz w:val="25"/>
          <w:vertAlign w:val="baseline"/>
        </w:rPr>
        <w:t>a</w:t>
      </w:r>
      <w:r>
        <w:rPr>
          <w:w w:val="99"/>
          <w:sz w:val="25"/>
          <w:vertAlign w:val="baseline"/>
        </w:rPr>
        <w:t>nd</w:t>
      </w:r>
      <w:r>
        <w:rPr>
          <w:spacing w:val="2"/>
          <w:sz w:val="25"/>
          <w:vertAlign w:val="baseline"/>
        </w:rPr>
        <w:t> </w:t>
      </w:r>
      <w:r>
        <w:rPr>
          <w:spacing w:val="-1"/>
          <w:w w:val="99"/>
          <w:sz w:val="25"/>
          <w:vertAlign w:val="baseline"/>
        </w:rPr>
        <w:t>b</w:t>
      </w:r>
      <w:r>
        <w:rPr>
          <w:w w:val="99"/>
          <w:sz w:val="25"/>
          <w:vertAlign w:val="baseline"/>
        </w:rPr>
        <w:t>u</w:t>
      </w:r>
      <w:r>
        <w:rPr>
          <w:spacing w:val="-1"/>
          <w:w w:val="99"/>
          <w:sz w:val="25"/>
          <w:vertAlign w:val="baseline"/>
        </w:rPr>
        <w:t>il</w:t>
      </w:r>
      <w:r>
        <w:rPr>
          <w:w w:val="99"/>
          <w:sz w:val="25"/>
          <w:vertAlign w:val="baseline"/>
        </w:rPr>
        <w:t>t</w:t>
      </w:r>
      <w:r>
        <w:rPr>
          <w:spacing w:val="2"/>
          <w:sz w:val="25"/>
          <w:vertAlign w:val="baseline"/>
        </w:rPr>
        <w:t> </w:t>
      </w:r>
      <w:r>
        <w:rPr>
          <w:w w:val="99"/>
          <w:sz w:val="25"/>
          <w:vertAlign w:val="baseline"/>
        </w:rPr>
        <w:t>a</w:t>
      </w:r>
      <w:r>
        <w:rPr>
          <w:spacing w:val="2"/>
          <w:sz w:val="25"/>
          <w:vertAlign w:val="baseline"/>
        </w:rPr>
        <w:t> </w:t>
      </w:r>
      <w:r>
        <w:rPr>
          <w:w w:val="99"/>
          <w:sz w:val="25"/>
          <w:vertAlign w:val="baseline"/>
        </w:rPr>
        <w:t>m</w:t>
      </w:r>
      <w:r>
        <w:rPr>
          <w:spacing w:val="-1"/>
          <w:w w:val="99"/>
          <w:sz w:val="25"/>
          <w:vertAlign w:val="baseline"/>
        </w:rPr>
        <w:t>ak</w:t>
      </w:r>
      <w:r>
        <w:rPr>
          <w:w w:val="99"/>
          <w:sz w:val="25"/>
          <w:vertAlign w:val="baseline"/>
        </w:rPr>
        <w:t>eshift</w:t>
      </w:r>
      <w:r>
        <w:rPr>
          <w:spacing w:val="2"/>
          <w:sz w:val="25"/>
          <w:vertAlign w:val="baseline"/>
        </w:rPr>
        <w:t> </w:t>
      </w:r>
      <w:r>
        <w:rPr>
          <w:spacing w:val="-1"/>
          <w:w w:val="99"/>
          <w:sz w:val="25"/>
          <w:vertAlign w:val="baseline"/>
        </w:rPr>
        <w:t>o</w:t>
      </w:r>
      <w:r>
        <w:rPr>
          <w:w w:val="99"/>
          <w:sz w:val="25"/>
          <w:vertAlign w:val="baseline"/>
        </w:rPr>
        <w:t>r</w:t>
      </w:r>
      <w:r>
        <w:rPr>
          <w:spacing w:val="3"/>
          <w:sz w:val="25"/>
          <w:vertAlign w:val="baseline"/>
        </w:rPr>
        <w:t> </w:t>
      </w:r>
      <w:r>
        <w:rPr>
          <w:spacing w:val="9"/>
          <w:w w:val="40"/>
          <w:sz w:val="25"/>
          <w:vertAlign w:val="baseline"/>
        </w:rPr>
        <w:t>‗</w:t>
      </w:r>
      <w:r>
        <w:rPr>
          <w:i/>
          <w:w w:val="99"/>
          <w:sz w:val="25"/>
          <w:vertAlign w:val="baseline"/>
        </w:rPr>
        <w:t>katch</w:t>
      </w:r>
      <w:r>
        <w:rPr>
          <w:i/>
          <w:spacing w:val="1"/>
          <w:w w:val="99"/>
          <w:sz w:val="25"/>
          <w:vertAlign w:val="baseline"/>
        </w:rPr>
        <w:t>a</w:t>
      </w:r>
      <w:r>
        <w:rPr>
          <w:w w:val="99"/>
          <w:sz w:val="25"/>
          <w:vertAlign w:val="baseline"/>
        </w:rPr>
        <w:t>‘</w:t>
      </w:r>
      <w:r>
        <w:rPr>
          <w:spacing w:val="2"/>
          <w:sz w:val="25"/>
          <w:vertAlign w:val="baseline"/>
        </w:rPr>
        <w:t> </w:t>
      </w:r>
      <w:r>
        <w:rPr>
          <w:spacing w:val="-1"/>
          <w:w w:val="99"/>
          <w:sz w:val="25"/>
          <w:vertAlign w:val="baseline"/>
        </w:rPr>
        <w:t>pla</w:t>
      </w:r>
      <w:r>
        <w:rPr>
          <w:w w:val="99"/>
          <w:sz w:val="25"/>
          <w:vertAlign w:val="baseline"/>
        </w:rPr>
        <w:t>tfo</w:t>
      </w:r>
      <w:r>
        <w:rPr>
          <w:spacing w:val="1"/>
          <w:w w:val="99"/>
          <w:sz w:val="25"/>
          <w:vertAlign w:val="baseline"/>
        </w:rPr>
        <w:t>r</w:t>
      </w:r>
      <w:r>
        <w:rPr>
          <w:w w:val="99"/>
          <w:sz w:val="25"/>
          <w:vertAlign w:val="baseline"/>
        </w:rPr>
        <w:t>m </w:t>
      </w:r>
      <w:r>
        <w:rPr>
          <w:sz w:val="25"/>
          <w:vertAlign w:val="baseline"/>
        </w:rPr>
        <w:t>for offering prayers. As of 1904, prayers were being offered by local Muslim </w:t>
      </w:r>
      <w:r>
        <w:rPr>
          <w:w w:val="99"/>
          <w:sz w:val="25"/>
          <w:vertAlign w:val="baseline"/>
        </w:rPr>
        <w:t>r</w:t>
      </w:r>
      <w:r>
        <w:rPr>
          <w:spacing w:val="-1"/>
          <w:w w:val="99"/>
          <w:sz w:val="25"/>
          <w:vertAlign w:val="baseline"/>
        </w:rPr>
        <w:t>esid</w:t>
      </w:r>
      <w:r>
        <w:rPr>
          <w:w w:val="99"/>
          <w:sz w:val="25"/>
          <w:vertAlign w:val="baseline"/>
        </w:rPr>
        <w:t>e</w:t>
      </w:r>
      <w:r>
        <w:rPr>
          <w:spacing w:val="-1"/>
          <w:w w:val="99"/>
          <w:sz w:val="25"/>
          <w:vertAlign w:val="baseline"/>
        </w:rPr>
        <w:t>nt</w:t>
      </w:r>
      <w:r>
        <w:rPr>
          <w:w w:val="99"/>
          <w:sz w:val="25"/>
          <w:vertAlign w:val="baseline"/>
        </w:rPr>
        <w:t>s</w:t>
      </w:r>
      <w:r>
        <w:rPr>
          <w:sz w:val="25"/>
          <w:vertAlign w:val="baseline"/>
        </w:rPr>
        <w:t>  </w:t>
      </w:r>
      <w:r>
        <w:rPr>
          <w:spacing w:val="-14"/>
          <w:sz w:val="25"/>
          <w:vertAlign w:val="baseline"/>
        </w:rPr>
        <w:t> </w:t>
      </w:r>
      <w:r>
        <w:rPr>
          <w:spacing w:val="-1"/>
          <w:w w:val="99"/>
          <w:sz w:val="25"/>
          <w:vertAlign w:val="baseline"/>
        </w:rPr>
        <w:t>a</w:t>
      </w:r>
      <w:r>
        <w:rPr>
          <w:w w:val="99"/>
          <w:sz w:val="25"/>
          <w:vertAlign w:val="baseline"/>
        </w:rPr>
        <w:t>t</w:t>
      </w:r>
      <w:r>
        <w:rPr>
          <w:sz w:val="25"/>
          <w:vertAlign w:val="baseline"/>
        </w:rPr>
        <w:t>  </w:t>
      </w:r>
      <w:r>
        <w:rPr>
          <w:spacing w:val="-14"/>
          <w:sz w:val="25"/>
          <w:vertAlign w:val="baseline"/>
        </w:rPr>
        <w:t> </w:t>
      </w:r>
      <w:r>
        <w:rPr>
          <w:w w:val="99"/>
          <w:sz w:val="25"/>
          <w:vertAlign w:val="baseline"/>
        </w:rPr>
        <w:t>this</w:t>
      </w:r>
      <w:r>
        <w:rPr>
          <w:sz w:val="25"/>
          <w:vertAlign w:val="baseline"/>
        </w:rPr>
        <w:t>  </w:t>
      </w:r>
      <w:r>
        <w:rPr>
          <w:spacing w:val="-14"/>
          <w:sz w:val="25"/>
          <w:vertAlign w:val="baseline"/>
        </w:rPr>
        <w:t> </w:t>
      </w:r>
      <w:r>
        <w:rPr>
          <w:w w:val="40"/>
          <w:sz w:val="25"/>
          <w:vertAlign w:val="baseline"/>
        </w:rPr>
        <w:t>‗</w:t>
      </w:r>
      <w:r>
        <w:rPr>
          <w:i/>
          <w:spacing w:val="2"/>
          <w:w w:val="99"/>
          <w:sz w:val="25"/>
          <w:vertAlign w:val="baseline"/>
        </w:rPr>
        <w:t>k</w:t>
      </w:r>
      <w:r>
        <w:rPr>
          <w:i/>
          <w:w w:val="99"/>
          <w:sz w:val="25"/>
          <w:vertAlign w:val="baseline"/>
        </w:rPr>
        <w:t>atch</w:t>
      </w:r>
      <w:r>
        <w:rPr>
          <w:i/>
          <w:spacing w:val="1"/>
          <w:w w:val="99"/>
          <w:sz w:val="25"/>
          <w:vertAlign w:val="baseline"/>
        </w:rPr>
        <w:t>a</w:t>
      </w:r>
      <w:r>
        <w:rPr>
          <w:w w:val="99"/>
          <w:sz w:val="25"/>
          <w:vertAlign w:val="baseline"/>
        </w:rPr>
        <w:t>‘</w:t>
      </w:r>
      <w:r>
        <w:rPr>
          <w:sz w:val="25"/>
          <w:vertAlign w:val="baseline"/>
        </w:rPr>
        <w:t>  </w:t>
      </w:r>
      <w:r>
        <w:rPr>
          <w:spacing w:val="-15"/>
          <w:sz w:val="25"/>
          <w:vertAlign w:val="baseline"/>
        </w:rPr>
        <w:t> </w:t>
      </w:r>
      <w:r>
        <w:rPr>
          <w:w w:val="99"/>
          <w:sz w:val="25"/>
          <w:vertAlign w:val="baseline"/>
        </w:rPr>
        <w:t>m</w:t>
      </w:r>
      <w:r>
        <w:rPr>
          <w:spacing w:val="-1"/>
          <w:w w:val="99"/>
          <w:sz w:val="25"/>
          <w:vertAlign w:val="baseline"/>
        </w:rPr>
        <w:t>os</w:t>
      </w:r>
      <w:r>
        <w:rPr>
          <w:w w:val="99"/>
          <w:sz w:val="25"/>
          <w:vertAlign w:val="baseline"/>
        </w:rPr>
        <w:t>q</w:t>
      </w:r>
      <w:r>
        <w:rPr>
          <w:spacing w:val="-1"/>
          <w:w w:val="99"/>
          <w:sz w:val="25"/>
          <w:vertAlign w:val="baseline"/>
        </w:rPr>
        <w:t>u</w:t>
      </w:r>
      <w:r>
        <w:rPr>
          <w:w w:val="99"/>
          <w:sz w:val="25"/>
          <w:vertAlign w:val="baseline"/>
        </w:rPr>
        <w:t>e.</w:t>
      </w:r>
      <w:r>
        <w:rPr>
          <w:sz w:val="25"/>
          <w:vertAlign w:val="baseline"/>
        </w:rPr>
        <w:t>  </w:t>
      </w:r>
      <w:r>
        <w:rPr>
          <w:spacing w:val="-14"/>
          <w:sz w:val="25"/>
          <w:vertAlign w:val="baseline"/>
        </w:rPr>
        <w:t> </w:t>
      </w:r>
      <w:r>
        <w:rPr>
          <w:w w:val="99"/>
          <w:sz w:val="25"/>
          <w:vertAlign w:val="baseline"/>
        </w:rPr>
        <w:t>T</w:t>
      </w:r>
      <w:r>
        <w:rPr>
          <w:spacing w:val="-1"/>
          <w:w w:val="99"/>
          <w:sz w:val="25"/>
          <w:vertAlign w:val="baseline"/>
        </w:rPr>
        <w:t>h</w:t>
      </w:r>
      <w:r>
        <w:rPr>
          <w:w w:val="99"/>
          <w:sz w:val="25"/>
          <w:vertAlign w:val="baseline"/>
        </w:rPr>
        <w:t>e</w:t>
      </w:r>
      <w:r>
        <w:rPr>
          <w:sz w:val="25"/>
          <w:vertAlign w:val="baseline"/>
        </w:rPr>
        <w:t>  </w:t>
      </w:r>
      <w:r>
        <w:rPr>
          <w:spacing w:val="-12"/>
          <w:sz w:val="25"/>
          <w:vertAlign w:val="baseline"/>
        </w:rPr>
        <w:t> </w:t>
      </w:r>
      <w:r>
        <w:rPr>
          <w:spacing w:val="-4"/>
          <w:w w:val="99"/>
          <w:sz w:val="25"/>
          <w:vertAlign w:val="baseline"/>
        </w:rPr>
        <w:t>M</w:t>
      </w:r>
      <w:r>
        <w:rPr>
          <w:spacing w:val="-1"/>
          <w:w w:val="99"/>
          <w:sz w:val="25"/>
          <w:vertAlign w:val="baseline"/>
        </w:rPr>
        <w:t>usli</w:t>
      </w:r>
      <w:r>
        <w:rPr>
          <w:w w:val="99"/>
          <w:sz w:val="25"/>
          <w:vertAlign w:val="baseline"/>
        </w:rPr>
        <w:t>m</w:t>
      </w:r>
      <w:r>
        <w:rPr>
          <w:sz w:val="25"/>
          <w:vertAlign w:val="baseline"/>
        </w:rPr>
        <w:t>  </w:t>
      </w:r>
      <w:r>
        <w:rPr>
          <w:spacing w:val="-12"/>
          <w:sz w:val="25"/>
          <w:vertAlign w:val="baseline"/>
        </w:rPr>
        <w:t> </w:t>
      </w:r>
      <w:r>
        <w:rPr>
          <w:w w:val="99"/>
          <w:sz w:val="25"/>
          <w:vertAlign w:val="baseline"/>
        </w:rPr>
        <w:t>r</w:t>
      </w:r>
      <w:r>
        <w:rPr>
          <w:spacing w:val="-1"/>
          <w:w w:val="99"/>
          <w:sz w:val="25"/>
          <w:vertAlign w:val="baseline"/>
        </w:rPr>
        <w:t>esid</w:t>
      </w:r>
      <w:r>
        <w:rPr>
          <w:w w:val="99"/>
          <w:sz w:val="25"/>
          <w:vertAlign w:val="baseline"/>
        </w:rPr>
        <w:t>e</w:t>
      </w:r>
      <w:r>
        <w:rPr>
          <w:spacing w:val="-1"/>
          <w:w w:val="99"/>
          <w:sz w:val="25"/>
          <w:vertAlign w:val="baseline"/>
        </w:rPr>
        <w:t>n</w:t>
      </w:r>
      <w:r>
        <w:rPr>
          <w:spacing w:val="4"/>
          <w:w w:val="99"/>
          <w:sz w:val="25"/>
          <w:vertAlign w:val="baseline"/>
        </w:rPr>
        <w:t>t</w:t>
      </w:r>
      <w:r>
        <w:rPr>
          <w:w w:val="99"/>
          <w:sz w:val="25"/>
          <w:vertAlign w:val="baseline"/>
        </w:rPr>
        <w:t>s,</w:t>
      </w:r>
      <w:r>
        <w:rPr>
          <w:sz w:val="25"/>
          <w:vertAlign w:val="baseline"/>
        </w:rPr>
        <w:t>  </w:t>
      </w:r>
      <w:r>
        <w:rPr>
          <w:spacing w:val="-14"/>
          <w:sz w:val="25"/>
          <w:vertAlign w:val="baseline"/>
        </w:rPr>
        <w:t> </w:t>
      </w:r>
      <w:r>
        <w:rPr>
          <w:w w:val="99"/>
          <w:sz w:val="25"/>
          <w:vertAlign w:val="baseline"/>
        </w:rPr>
        <w:t>who</w:t>
      </w:r>
      <w:r>
        <w:rPr>
          <w:sz w:val="25"/>
          <w:vertAlign w:val="baseline"/>
        </w:rPr>
        <w:t>  </w:t>
      </w:r>
      <w:r>
        <w:rPr>
          <w:spacing w:val="-14"/>
          <w:sz w:val="25"/>
          <w:vertAlign w:val="baseline"/>
        </w:rPr>
        <w:t> </w:t>
      </w:r>
      <w:r>
        <w:rPr>
          <w:w w:val="99"/>
          <w:sz w:val="25"/>
          <w:vertAlign w:val="baseline"/>
        </w:rPr>
        <w:t>were</w:t>
      </w:r>
      <w:r>
        <w:rPr>
          <w:sz w:val="25"/>
          <w:vertAlign w:val="baseline"/>
        </w:rPr>
        <w:t>  </w:t>
      </w:r>
      <w:r>
        <w:rPr>
          <w:spacing w:val="-14"/>
          <w:sz w:val="25"/>
          <w:vertAlign w:val="baseline"/>
        </w:rPr>
        <w:t> </w:t>
      </w:r>
      <w:r>
        <w:rPr>
          <w:w w:val="99"/>
          <w:sz w:val="25"/>
          <w:vertAlign w:val="baseline"/>
        </w:rPr>
        <w:t>the </w:t>
      </w:r>
      <w:r>
        <w:rPr>
          <w:sz w:val="25"/>
          <w:vertAlign w:val="baseline"/>
        </w:rPr>
        <w:t>defendants sought to build a permanent structure of a mosque at the site. This was resisted by the plaintiff, who sought an injunction for restraining construction of the new mosque. The court observed that the khasra for the plot</w:t>
      </w:r>
      <w:r>
        <w:rPr>
          <w:spacing w:val="-30"/>
          <w:sz w:val="25"/>
          <w:vertAlign w:val="baseline"/>
        </w:rPr>
        <w:t> </w:t>
      </w:r>
      <w:r>
        <w:rPr>
          <w:sz w:val="25"/>
          <w:vertAlign w:val="baseline"/>
        </w:rPr>
        <w:t>stated,</w:t>
      </w:r>
    </w:p>
    <w:p>
      <w:pPr>
        <w:pStyle w:val="BodyText"/>
        <w:spacing w:line="480" w:lineRule="auto" w:before="3"/>
        <w:ind w:left="500" w:right="447"/>
        <w:jc w:val="both"/>
      </w:pPr>
      <w:r>
        <w:rPr>
          <w:w w:val="33"/>
        </w:rPr>
        <w:t>―</w:t>
      </w:r>
      <w:r>
        <w:rPr>
          <w:w w:val="99"/>
        </w:rPr>
        <w:t>m</w:t>
      </w:r>
      <w:r>
        <w:rPr>
          <w:spacing w:val="-1"/>
          <w:w w:val="96"/>
        </w:rPr>
        <w:t>asjid</w:t>
      </w:r>
      <w:r>
        <w:rPr>
          <w:w w:val="96"/>
        </w:rPr>
        <w:t>‖</w:t>
      </w:r>
      <w:r>
        <w:rPr>
          <w:w w:val="99"/>
        </w:rPr>
        <w:t>.</w:t>
      </w:r>
      <w:r>
        <w:rPr/>
        <w:t> </w:t>
      </w:r>
      <w:r>
        <w:rPr>
          <w:spacing w:val="-10"/>
        </w:rPr>
        <w:t> </w:t>
      </w:r>
      <w:r>
        <w:rPr>
          <w:w w:val="99"/>
        </w:rPr>
        <w:t>Justice</w:t>
      </w:r>
      <w:r>
        <w:rPr/>
        <w:t> </w:t>
      </w:r>
      <w:r>
        <w:rPr>
          <w:spacing w:val="-10"/>
        </w:rPr>
        <w:t> </w:t>
      </w:r>
      <w:r>
        <w:rPr>
          <w:spacing w:val="-1"/>
          <w:w w:val="99"/>
        </w:rPr>
        <w:t>Be</w:t>
      </w:r>
      <w:r>
        <w:rPr>
          <w:spacing w:val="2"/>
          <w:w w:val="99"/>
        </w:rPr>
        <w:t>n</w:t>
      </w:r>
      <w:r>
        <w:rPr>
          <w:spacing w:val="-1"/>
          <w:w w:val="99"/>
        </w:rPr>
        <w:t>n</w:t>
      </w:r>
      <w:r>
        <w:rPr>
          <w:w w:val="99"/>
        </w:rPr>
        <w:t>et,</w:t>
      </w:r>
      <w:r>
        <w:rPr/>
        <w:t> </w:t>
      </w:r>
      <w:r>
        <w:rPr>
          <w:spacing w:val="-10"/>
        </w:rPr>
        <w:t> </w:t>
      </w:r>
      <w:r>
        <w:rPr>
          <w:w w:val="99"/>
        </w:rPr>
        <w:t>spe</w:t>
      </w:r>
      <w:r>
        <w:rPr>
          <w:spacing w:val="-1"/>
          <w:w w:val="99"/>
        </w:rPr>
        <w:t>akin</w:t>
      </w:r>
      <w:r>
        <w:rPr>
          <w:w w:val="99"/>
        </w:rPr>
        <w:t>g</w:t>
      </w:r>
      <w:r>
        <w:rPr/>
        <w:t> </w:t>
      </w:r>
      <w:r>
        <w:rPr>
          <w:spacing w:val="-9"/>
        </w:rPr>
        <w:t> </w:t>
      </w:r>
      <w:r>
        <w:rPr>
          <w:spacing w:val="-1"/>
          <w:w w:val="99"/>
        </w:rPr>
        <w:t>o</w:t>
      </w:r>
      <w:r>
        <w:rPr>
          <w:w w:val="99"/>
        </w:rPr>
        <w:t>n</w:t>
      </w:r>
      <w:r>
        <w:rPr/>
        <w:t> </w:t>
      </w:r>
      <w:r>
        <w:rPr>
          <w:spacing w:val="-10"/>
        </w:rPr>
        <w:t> </w:t>
      </w:r>
      <w:r>
        <w:rPr>
          <w:w w:val="99"/>
        </w:rPr>
        <w:t>a</w:t>
      </w:r>
      <w:r>
        <w:rPr/>
        <w:t> </w:t>
      </w:r>
      <w:r>
        <w:rPr>
          <w:spacing w:val="-5"/>
        </w:rPr>
        <w:t> </w:t>
      </w:r>
      <w:r>
        <w:rPr>
          <w:spacing w:val="-1"/>
          <w:w w:val="99"/>
        </w:rPr>
        <w:t>Divisio</w:t>
      </w:r>
      <w:r>
        <w:rPr>
          <w:w w:val="99"/>
        </w:rPr>
        <w:t>n</w:t>
      </w:r>
      <w:r>
        <w:rPr/>
        <w:t> </w:t>
      </w:r>
      <w:r>
        <w:rPr>
          <w:spacing w:val="-7"/>
        </w:rPr>
        <w:t> </w:t>
      </w:r>
      <w:r>
        <w:rPr>
          <w:spacing w:val="-1"/>
          <w:w w:val="99"/>
        </w:rPr>
        <w:t>Be</w:t>
      </w:r>
      <w:r>
        <w:rPr>
          <w:w w:val="99"/>
        </w:rPr>
        <w:t>nch</w:t>
      </w:r>
      <w:r>
        <w:rPr/>
        <w:t> </w:t>
      </w:r>
      <w:r>
        <w:rPr>
          <w:spacing w:val="-10"/>
        </w:rPr>
        <w:t> </w:t>
      </w:r>
      <w:r>
        <w:rPr>
          <w:spacing w:val="-1"/>
          <w:w w:val="99"/>
        </w:rPr>
        <w:t>o</w:t>
      </w:r>
      <w:r>
        <w:rPr>
          <w:w w:val="99"/>
        </w:rPr>
        <w:t>f</w:t>
      </w:r>
      <w:r>
        <w:rPr/>
        <w:t> </w:t>
      </w:r>
      <w:r>
        <w:rPr>
          <w:spacing w:val="-9"/>
        </w:rPr>
        <w:t> </w:t>
      </w:r>
      <w:r>
        <w:rPr>
          <w:w w:val="99"/>
        </w:rPr>
        <w:t>t</w:t>
      </w:r>
      <w:r>
        <w:rPr>
          <w:spacing w:val="2"/>
          <w:w w:val="99"/>
        </w:rPr>
        <w:t>h</w:t>
      </w:r>
      <w:r>
        <w:rPr>
          <w:w w:val="99"/>
        </w:rPr>
        <w:t>e</w:t>
      </w:r>
      <w:r>
        <w:rPr/>
        <w:t> </w:t>
      </w:r>
      <w:r>
        <w:rPr>
          <w:spacing w:val="-10"/>
        </w:rPr>
        <w:t> </w:t>
      </w:r>
      <w:r>
        <w:rPr>
          <w:spacing w:val="-1"/>
          <w:w w:val="99"/>
        </w:rPr>
        <w:t>Calcut</w:t>
      </w:r>
      <w:r>
        <w:rPr>
          <w:w w:val="99"/>
        </w:rPr>
        <w:t>ta</w:t>
      </w:r>
      <w:r>
        <w:rPr/>
        <w:t> </w:t>
      </w:r>
      <w:r>
        <w:rPr>
          <w:spacing w:val="-10"/>
        </w:rPr>
        <w:t> </w:t>
      </w:r>
      <w:r>
        <w:rPr>
          <w:spacing w:val="-1"/>
          <w:w w:val="99"/>
        </w:rPr>
        <w:t>High </w:t>
      </w:r>
      <w:r>
        <w:rPr/>
        <w:t>Court,</w:t>
      </w:r>
      <w:r>
        <w:rPr>
          <w:spacing w:val="-2"/>
        </w:rPr>
        <w:t> </w:t>
      </w:r>
      <w:r>
        <w:rPr/>
        <w:t>stated:</w:t>
      </w:r>
    </w:p>
    <w:p>
      <w:pPr>
        <w:spacing w:line="276" w:lineRule="auto" w:before="160"/>
        <w:ind w:left="1633" w:right="2261" w:firstLine="0"/>
        <w:jc w:val="both"/>
        <w:rPr>
          <w:sz w:val="21"/>
        </w:rPr>
      </w:pPr>
      <w:r>
        <w:rPr>
          <w:w w:val="33"/>
          <w:sz w:val="21"/>
        </w:rPr>
        <w:t>―</w:t>
      </w:r>
      <w:r>
        <w:rPr>
          <w:w w:val="100"/>
          <w:sz w:val="21"/>
        </w:rPr>
        <w:t>…[In]</w:t>
      </w:r>
      <w:r>
        <w:rPr>
          <w:sz w:val="21"/>
        </w:rPr>
        <w:t> </w:t>
      </w:r>
      <w:r>
        <w:rPr>
          <w:w w:val="100"/>
          <w:sz w:val="21"/>
        </w:rPr>
        <w:t>The</w:t>
      </w:r>
      <w:r>
        <w:rPr>
          <w:sz w:val="21"/>
        </w:rPr>
        <w:t> </w:t>
      </w:r>
      <w:r>
        <w:rPr>
          <w:w w:val="100"/>
          <w:sz w:val="21"/>
        </w:rPr>
        <w:t>present</w:t>
      </w:r>
      <w:r>
        <w:rPr>
          <w:sz w:val="21"/>
        </w:rPr>
        <w:t> </w:t>
      </w:r>
      <w:r>
        <w:rPr>
          <w:w w:val="100"/>
          <w:sz w:val="21"/>
        </w:rPr>
        <w:t>case</w:t>
      </w:r>
      <w:r>
        <w:rPr>
          <w:sz w:val="21"/>
        </w:rPr>
        <w:t> </w:t>
      </w:r>
      <w:r>
        <w:rPr>
          <w:w w:val="100"/>
          <w:sz w:val="21"/>
        </w:rPr>
        <w:t>there</w:t>
      </w:r>
      <w:r>
        <w:rPr>
          <w:sz w:val="21"/>
        </w:rPr>
        <w:t> </w:t>
      </w:r>
      <w:r>
        <w:rPr>
          <w:w w:val="100"/>
          <w:sz w:val="21"/>
        </w:rPr>
        <w:t>is</w:t>
      </w:r>
      <w:r>
        <w:rPr>
          <w:sz w:val="21"/>
        </w:rPr>
        <w:t> </w:t>
      </w:r>
      <w:r>
        <w:rPr>
          <w:w w:val="100"/>
          <w:sz w:val="21"/>
        </w:rPr>
        <w:t>a</w:t>
      </w:r>
      <w:r>
        <w:rPr>
          <w:sz w:val="21"/>
        </w:rPr>
        <w:t> </w:t>
      </w:r>
      <w:r>
        <w:rPr>
          <w:w w:val="100"/>
          <w:sz w:val="21"/>
        </w:rPr>
        <w:t>finding</w:t>
      </w:r>
      <w:r>
        <w:rPr>
          <w:sz w:val="21"/>
        </w:rPr>
        <w:t> </w:t>
      </w:r>
      <w:r>
        <w:rPr>
          <w:w w:val="100"/>
          <w:sz w:val="21"/>
        </w:rPr>
        <w:t>that</w:t>
      </w:r>
      <w:r>
        <w:rPr>
          <w:sz w:val="21"/>
        </w:rPr>
        <w:t> </w:t>
      </w:r>
      <w:r>
        <w:rPr>
          <w:b/>
          <w:w w:val="100"/>
          <w:sz w:val="21"/>
        </w:rPr>
        <w:t>th</w:t>
      </w:r>
      <w:r>
        <w:rPr>
          <w:b/>
          <w:w w:val="100"/>
          <w:sz w:val="21"/>
        </w:rPr>
        <w:t>e</w:t>
      </w:r>
      <w:r>
        <w:rPr>
          <w:b/>
          <w:sz w:val="21"/>
        </w:rPr>
        <w:t> </w:t>
      </w:r>
      <w:r>
        <w:rPr>
          <w:b/>
          <w:w w:val="100"/>
          <w:sz w:val="21"/>
        </w:rPr>
        <w:t>plot</w:t>
      </w:r>
      <w:r>
        <w:rPr>
          <w:b/>
          <w:sz w:val="21"/>
        </w:rPr>
        <w:t> </w:t>
      </w:r>
      <w:r>
        <w:rPr>
          <w:b/>
          <w:w w:val="100"/>
          <w:sz w:val="21"/>
        </w:rPr>
        <w:t>ha</w:t>
      </w:r>
      <w:r>
        <w:rPr>
          <w:b/>
          <w:w w:val="100"/>
          <w:sz w:val="21"/>
        </w:rPr>
        <w:t>s</w:t>
      </w:r>
      <w:r>
        <w:rPr>
          <w:b/>
          <w:sz w:val="21"/>
        </w:rPr>
        <w:t> </w:t>
      </w:r>
      <w:r>
        <w:rPr>
          <w:b/>
          <w:w w:val="100"/>
          <w:sz w:val="21"/>
        </w:rPr>
        <w:t>long </w:t>
      </w:r>
      <w:r>
        <w:rPr>
          <w:b/>
          <w:sz w:val="21"/>
        </w:rPr>
        <w:t>been used for a mosque and that the use has been by the Muhammadan inhabitants of the locality </w:t>
      </w:r>
      <w:r>
        <w:rPr>
          <w:sz w:val="21"/>
        </w:rPr>
        <w:t>and not merely by a particular tenant who allowed other people to come there for the purpose of prayer…</w:t>
      </w:r>
    </w:p>
    <w:p>
      <w:pPr>
        <w:spacing w:line="276" w:lineRule="auto" w:before="160"/>
        <w:ind w:left="1633" w:right="2262" w:firstLine="0"/>
        <w:jc w:val="both"/>
        <w:rPr>
          <w:sz w:val="21"/>
        </w:rPr>
      </w:pPr>
      <w:r>
        <w:rPr>
          <w:sz w:val="21"/>
        </w:rPr>
        <w:t>It has also been held by their Lordships of the Privy Council in the case of the </w:t>
      </w:r>
      <w:r>
        <w:rPr>
          <w:i/>
          <w:sz w:val="21"/>
        </w:rPr>
        <w:t>Court of Wards </w:t>
      </w:r>
      <w:r>
        <w:rPr>
          <w:sz w:val="21"/>
        </w:rPr>
        <w:t>v. </w:t>
      </w:r>
      <w:r>
        <w:rPr>
          <w:i/>
          <w:sz w:val="21"/>
        </w:rPr>
        <w:t>Ilai Bakhsh </w:t>
      </w:r>
      <w:r>
        <w:rPr>
          <w:sz w:val="21"/>
        </w:rPr>
        <w:t>(2) that a graveyard by user became wakf. We do not think that the provisions of the Easement Act or of any part of chapter IV in regard to license apply where a zamindar allows the Muhammadan population to use a building as a mosque. … </w:t>
      </w:r>
      <w:r>
        <w:rPr>
          <w:b/>
          <w:sz w:val="21"/>
        </w:rPr>
        <w:t>In such a case we consider that where there is a finding that a mosque exists, this necessarily implies that there is no longer any question of easement or use of license. Under Muhammadan law, the mosque is the property of God and not the property of the zamindar. </w:t>
      </w:r>
      <w:r>
        <w:rPr>
          <w:sz w:val="21"/>
        </w:rPr>
        <w:t>Learned counsel for the plaintiff objected that there was no case of a transfer as is necessary for transfer of property, but we consider that consent of the zamindar to use of a building as a mosque is</w:t>
      </w:r>
      <w:r>
        <w:rPr>
          <w:spacing w:val="-6"/>
          <w:sz w:val="21"/>
        </w:rPr>
        <w:t> </w:t>
      </w:r>
      <w:r>
        <w:rPr>
          <w:sz w:val="21"/>
        </w:rPr>
        <w:t>sufficient.‖</w:t>
      </w:r>
    </w:p>
    <w:p>
      <w:pPr>
        <w:spacing w:before="161"/>
        <w:ind w:left="5798" w:right="0" w:firstLine="0"/>
        <w:jc w:val="left"/>
        <w:rPr>
          <w:sz w:val="21"/>
        </w:rPr>
      </w:pPr>
      <w:r>
        <w:rPr>
          <w:sz w:val="21"/>
        </w:rPr>
        <w:t>(Emphasis supplied)</w:t>
      </w:r>
    </w:p>
    <w:p>
      <w:pPr>
        <w:pStyle w:val="BodyText"/>
        <w:rPr>
          <w:sz w:val="24"/>
        </w:rPr>
      </w:pPr>
    </w:p>
    <w:p>
      <w:pPr>
        <w:pStyle w:val="BodyText"/>
        <w:spacing w:line="480" w:lineRule="auto" w:before="209"/>
        <w:ind w:left="500" w:right="437"/>
        <w:jc w:val="both"/>
      </w:pPr>
      <w:r>
        <w:rPr>
          <w:w w:val="99"/>
        </w:rPr>
        <w:t>T</w:t>
      </w:r>
      <w:r>
        <w:rPr>
          <w:spacing w:val="-1"/>
          <w:w w:val="99"/>
        </w:rPr>
        <w:t>h</w:t>
      </w:r>
      <w:r>
        <w:rPr>
          <w:w w:val="99"/>
        </w:rPr>
        <w:t>e</w:t>
      </w:r>
      <w:r>
        <w:rPr>
          <w:spacing w:val="7"/>
        </w:rPr>
        <w:t> </w:t>
      </w:r>
      <w:r>
        <w:rPr>
          <w:spacing w:val="-1"/>
          <w:w w:val="99"/>
        </w:rPr>
        <w:t>lon</w:t>
      </w:r>
      <w:r>
        <w:rPr>
          <w:w w:val="99"/>
        </w:rPr>
        <w:t>g</w:t>
      </w:r>
      <w:r>
        <w:rPr>
          <w:spacing w:val="7"/>
        </w:rPr>
        <w:t> </w:t>
      </w:r>
      <w:r>
        <w:rPr>
          <w:spacing w:val="-1"/>
          <w:w w:val="99"/>
        </w:rPr>
        <w:t>us</w:t>
      </w:r>
      <w:r>
        <w:rPr>
          <w:w w:val="99"/>
        </w:rPr>
        <w:t>e</w:t>
      </w:r>
      <w:r>
        <w:rPr>
          <w:spacing w:val="7"/>
        </w:rPr>
        <w:t> </w:t>
      </w:r>
      <w:r>
        <w:rPr>
          <w:spacing w:val="-1"/>
          <w:w w:val="99"/>
        </w:rPr>
        <w:t>o</w:t>
      </w:r>
      <w:r>
        <w:rPr>
          <w:w w:val="99"/>
        </w:rPr>
        <w:t>f</w:t>
      </w:r>
      <w:r>
        <w:rPr>
          <w:spacing w:val="7"/>
        </w:rPr>
        <w:t> </w:t>
      </w:r>
      <w:r>
        <w:rPr>
          <w:w w:val="99"/>
        </w:rPr>
        <w:t>t</w:t>
      </w:r>
      <w:r>
        <w:rPr>
          <w:spacing w:val="-2"/>
          <w:w w:val="99"/>
        </w:rPr>
        <w:t>h</w:t>
      </w:r>
      <w:r>
        <w:rPr>
          <w:w w:val="99"/>
        </w:rPr>
        <w:t>e</w:t>
      </w:r>
      <w:r>
        <w:rPr>
          <w:spacing w:val="7"/>
        </w:rPr>
        <w:t> </w:t>
      </w:r>
      <w:r>
        <w:rPr>
          <w:spacing w:val="2"/>
          <w:w w:val="40"/>
        </w:rPr>
        <w:t>‗</w:t>
      </w:r>
      <w:r>
        <w:rPr>
          <w:i/>
          <w:w w:val="99"/>
        </w:rPr>
        <w:t>katch</w:t>
      </w:r>
      <w:r>
        <w:rPr>
          <w:i/>
          <w:spacing w:val="1"/>
          <w:w w:val="99"/>
        </w:rPr>
        <w:t>a</w:t>
      </w:r>
      <w:r>
        <w:rPr>
          <w:w w:val="99"/>
        </w:rPr>
        <w:t>‘</w:t>
      </w:r>
      <w:r>
        <w:rPr>
          <w:spacing w:val="6"/>
        </w:rPr>
        <w:t> </w:t>
      </w:r>
      <w:r>
        <w:rPr>
          <w:w w:val="99"/>
        </w:rPr>
        <w:t>m</w:t>
      </w:r>
      <w:r>
        <w:rPr>
          <w:spacing w:val="-1"/>
          <w:w w:val="99"/>
        </w:rPr>
        <w:t>os</w:t>
      </w:r>
      <w:r>
        <w:rPr>
          <w:w w:val="99"/>
        </w:rPr>
        <w:t>q</w:t>
      </w:r>
      <w:r>
        <w:rPr>
          <w:spacing w:val="-1"/>
          <w:w w:val="99"/>
        </w:rPr>
        <w:t>u</w:t>
      </w:r>
      <w:r>
        <w:rPr>
          <w:w w:val="99"/>
        </w:rPr>
        <w:t>e</w:t>
      </w:r>
      <w:r>
        <w:rPr>
          <w:spacing w:val="7"/>
        </w:rPr>
        <w:t> </w:t>
      </w:r>
      <w:r>
        <w:rPr>
          <w:spacing w:val="-1"/>
          <w:w w:val="99"/>
        </w:rPr>
        <w:t>le</w:t>
      </w:r>
      <w:r>
        <w:rPr>
          <w:w w:val="99"/>
        </w:rPr>
        <w:t>d</w:t>
      </w:r>
      <w:r>
        <w:rPr>
          <w:spacing w:val="7"/>
        </w:rPr>
        <w:t> </w:t>
      </w:r>
      <w:r>
        <w:rPr>
          <w:w w:val="99"/>
        </w:rPr>
        <w:t>t</w:t>
      </w:r>
      <w:r>
        <w:rPr>
          <w:spacing w:val="-2"/>
          <w:w w:val="99"/>
        </w:rPr>
        <w:t>h</w:t>
      </w:r>
      <w:r>
        <w:rPr>
          <w:w w:val="99"/>
        </w:rPr>
        <w:t>e</w:t>
      </w:r>
      <w:r>
        <w:rPr>
          <w:spacing w:val="7"/>
        </w:rPr>
        <w:t> </w:t>
      </w:r>
      <w:r>
        <w:rPr>
          <w:w w:val="99"/>
        </w:rPr>
        <w:t>court</w:t>
      </w:r>
      <w:r>
        <w:rPr>
          <w:spacing w:val="7"/>
        </w:rPr>
        <w:t> </w:t>
      </w:r>
      <w:r>
        <w:rPr>
          <w:w w:val="99"/>
        </w:rPr>
        <w:t>to</w:t>
      </w:r>
      <w:r>
        <w:rPr>
          <w:spacing w:val="7"/>
        </w:rPr>
        <w:t> </w:t>
      </w:r>
      <w:r>
        <w:rPr>
          <w:w w:val="99"/>
        </w:rPr>
        <w:t>r</w:t>
      </w:r>
      <w:r>
        <w:rPr>
          <w:spacing w:val="-1"/>
          <w:w w:val="99"/>
        </w:rPr>
        <w:t>ec</w:t>
      </w:r>
      <w:r>
        <w:rPr>
          <w:spacing w:val="-2"/>
          <w:w w:val="99"/>
        </w:rPr>
        <w:t>o</w:t>
      </w:r>
      <w:r>
        <w:rPr>
          <w:spacing w:val="-1"/>
          <w:w w:val="99"/>
        </w:rPr>
        <w:t>g</w:t>
      </w:r>
      <w:r>
        <w:rPr>
          <w:w w:val="99"/>
        </w:rPr>
        <w:t>n</w:t>
      </w:r>
      <w:r>
        <w:rPr>
          <w:spacing w:val="-1"/>
          <w:w w:val="99"/>
        </w:rPr>
        <w:t>is</w:t>
      </w:r>
      <w:r>
        <w:rPr>
          <w:w w:val="99"/>
        </w:rPr>
        <w:t>e</w:t>
      </w:r>
      <w:r>
        <w:rPr>
          <w:spacing w:val="7"/>
        </w:rPr>
        <w:t> </w:t>
      </w:r>
      <w:r>
        <w:rPr>
          <w:spacing w:val="-3"/>
          <w:w w:val="99"/>
        </w:rPr>
        <w:t>t</w:t>
      </w:r>
      <w:r>
        <w:rPr>
          <w:spacing w:val="-1"/>
          <w:w w:val="99"/>
        </w:rPr>
        <w:t>h</w:t>
      </w:r>
      <w:r>
        <w:rPr>
          <w:w w:val="99"/>
        </w:rPr>
        <w:t>e</w:t>
      </w:r>
      <w:r>
        <w:rPr>
          <w:spacing w:val="7"/>
        </w:rPr>
        <w:t> </w:t>
      </w:r>
      <w:r>
        <w:rPr>
          <w:spacing w:val="-1"/>
          <w:w w:val="99"/>
        </w:rPr>
        <w:t>e</w:t>
      </w:r>
      <w:r>
        <w:rPr>
          <w:spacing w:val="-3"/>
          <w:w w:val="99"/>
        </w:rPr>
        <w:t>x</w:t>
      </w:r>
      <w:r>
        <w:rPr>
          <w:spacing w:val="-1"/>
          <w:w w:val="99"/>
        </w:rPr>
        <w:t>i</w:t>
      </w:r>
      <w:r>
        <w:rPr>
          <w:spacing w:val="4"/>
          <w:w w:val="99"/>
        </w:rPr>
        <w:t>s</w:t>
      </w:r>
      <w:r>
        <w:rPr>
          <w:w w:val="99"/>
        </w:rPr>
        <w:t>ten</w:t>
      </w:r>
      <w:r>
        <w:rPr>
          <w:w w:val="99"/>
        </w:rPr>
        <w:t>ce</w:t>
      </w:r>
      <w:r>
        <w:rPr>
          <w:spacing w:val="7"/>
        </w:rPr>
        <w:t> </w:t>
      </w:r>
      <w:r>
        <w:rPr>
          <w:w w:val="99"/>
        </w:rPr>
        <w:t>of</w:t>
      </w:r>
      <w:r>
        <w:rPr>
          <w:spacing w:val="7"/>
        </w:rPr>
        <w:t> </w:t>
      </w:r>
      <w:r>
        <w:rPr>
          <w:w w:val="99"/>
        </w:rPr>
        <w:t>a </w:t>
      </w:r>
      <w:r>
        <w:rPr/>
        <w:t>public waqf. This was not a case involving a few isolated instances of worship, but</w:t>
      </w:r>
      <w:r>
        <w:rPr>
          <w:spacing w:val="20"/>
        </w:rPr>
        <w:t> </w:t>
      </w:r>
      <w:r>
        <w:rPr/>
        <w:t>the</w:t>
      </w:r>
      <w:r>
        <w:rPr>
          <w:spacing w:val="21"/>
        </w:rPr>
        <w:t> </w:t>
      </w:r>
      <w:r>
        <w:rPr/>
        <w:t>persistent</w:t>
      </w:r>
      <w:r>
        <w:rPr>
          <w:spacing w:val="20"/>
        </w:rPr>
        <w:t> </w:t>
      </w:r>
      <w:r>
        <w:rPr/>
        <w:t>use</w:t>
      </w:r>
      <w:r>
        <w:rPr>
          <w:spacing w:val="21"/>
        </w:rPr>
        <w:t> </w:t>
      </w:r>
      <w:r>
        <w:rPr/>
        <w:t>of</w:t>
      </w:r>
      <w:r>
        <w:rPr>
          <w:spacing w:val="21"/>
        </w:rPr>
        <w:t> </w:t>
      </w:r>
      <w:r>
        <w:rPr/>
        <w:t>the</w:t>
      </w:r>
      <w:r>
        <w:rPr>
          <w:spacing w:val="21"/>
        </w:rPr>
        <w:t> </w:t>
      </w:r>
      <w:r>
        <w:rPr/>
        <w:t>mosque</w:t>
      </w:r>
      <w:r>
        <w:rPr>
          <w:spacing w:val="21"/>
        </w:rPr>
        <w:t> </w:t>
      </w:r>
      <w:r>
        <w:rPr/>
        <w:t>by</w:t>
      </w:r>
      <w:r>
        <w:rPr>
          <w:spacing w:val="18"/>
        </w:rPr>
        <w:t> </w:t>
      </w:r>
      <w:r>
        <w:rPr/>
        <w:t>the</w:t>
      </w:r>
      <w:r>
        <w:rPr>
          <w:spacing w:val="20"/>
        </w:rPr>
        <w:t> </w:t>
      </w:r>
      <w:r>
        <w:rPr/>
        <w:t>resident</w:t>
      </w:r>
      <w:r>
        <w:rPr>
          <w:spacing w:val="21"/>
        </w:rPr>
        <w:t> </w:t>
      </w:r>
      <w:r>
        <w:rPr/>
        <w:t>Muslim</w:t>
      </w:r>
      <w:r>
        <w:rPr>
          <w:spacing w:val="21"/>
        </w:rPr>
        <w:t> </w:t>
      </w:r>
      <w:r>
        <w:rPr/>
        <w:t>community</w:t>
      </w:r>
      <w:r>
        <w:rPr>
          <w:spacing w:val="17"/>
        </w:rPr>
        <w:t> </w:t>
      </w:r>
      <w:r>
        <w:rPr/>
        <w:t>prior</w:t>
      </w:r>
      <w:r>
        <w:rPr>
          <w:spacing w:val="21"/>
        </w:rPr>
        <w:t> </w:t>
      </w:r>
      <w:r>
        <w:rPr/>
        <w:t>to</w:t>
      </w:r>
    </w:p>
    <w:p>
      <w:pPr>
        <w:pStyle w:val="BodyText"/>
        <w:spacing w:before="6"/>
        <w:rPr>
          <w:sz w:val="18"/>
        </w:rPr>
      </w:pPr>
      <w:r>
        <w:rPr/>
        <w:pict>
          <v:rect style="position:absolute;margin-left:72.024002pt;margin-top:12.618567pt;width:144.020pt;height:.599980pt;mso-position-horizontal-relative:page;mso-position-vertical-relative:paragraph;z-index:-15619072;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364</w:t>
      </w:r>
      <w:r>
        <w:rPr>
          <w:sz w:val="18"/>
          <w:vertAlign w:val="baseline"/>
        </w:rPr>
        <w:t> AIR 1935 All 891</w:t>
      </w:r>
    </w:p>
    <w:p>
      <w:pPr>
        <w:spacing w:after="0"/>
        <w:jc w:val="left"/>
        <w:rPr>
          <w:sz w:val="18"/>
        </w:rPr>
        <w:sectPr>
          <w:pgSz w:w="11910" w:h="16840"/>
          <w:pgMar w:header="721" w:footer="1014" w:top="1300" w:bottom="1200" w:left="940" w:right="1000"/>
        </w:sectPr>
      </w:pPr>
    </w:p>
    <w:p>
      <w:pPr>
        <w:pStyle w:val="BodyText"/>
        <w:spacing w:line="480" w:lineRule="auto" w:before="124"/>
        <w:ind w:left="500" w:right="441"/>
        <w:jc w:val="both"/>
      </w:pPr>
      <w:r>
        <w:rPr/>
        <w:t>1904. This was demonstrated by documentary evidence showing the existence of a mosque at the plot. Significantly, public worship at the mosque was permitted by the zamindar himself. In these circumstances, the Allahabad High Court held that the land was not the private property of the zamindar, but a public waqf by user. There are prescient words in the concurring opinion of Chief Justice Sulaiman in the</w:t>
      </w:r>
      <w:r>
        <w:rPr>
          <w:spacing w:val="-2"/>
        </w:rPr>
        <w:t> </w:t>
      </w:r>
      <w:r>
        <w:rPr/>
        <w:t>case:</w:t>
      </w:r>
    </w:p>
    <w:p>
      <w:pPr>
        <w:pStyle w:val="BodyText"/>
        <w:rPr>
          <w:sz w:val="27"/>
        </w:rPr>
      </w:pPr>
    </w:p>
    <w:p>
      <w:pPr>
        <w:spacing w:line="276" w:lineRule="auto" w:before="0"/>
        <w:ind w:left="1633" w:right="2263" w:firstLine="0"/>
        <w:jc w:val="both"/>
        <w:rPr>
          <w:sz w:val="21"/>
        </w:rPr>
      </w:pPr>
      <w:r>
        <w:rPr>
          <w:spacing w:val="-1"/>
          <w:w w:val="33"/>
          <w:sz w:val="21"/>
        </w:rPr>
        <w:t>―</w:t>
      </w:r>
      <w:r>
        <w:rPr>
          <w:w w:val="100"/>
          <w:sz w:val="21"/>
        </w:rPr>
        <w:t>B</w:t>
      </w:r>
      <w:r>
        <w:rPr>
          <w:spacing w:val="-1"/>
          <w:w w:val="100"/>
          <w:sz w:val="21"/>
        </w:rPr>
        <w:t>u</w:t>
      </w:r>
      <w:r>
        <w:rPr>
          <w:w w:val="100"/>
          <w:sz w:val="21"/>
        </w:rPr>
        <w:t>t</w:t>
      </w:r>
      <w:r>
        <w:rPr>
          <w:sz w:val="21"/>
        </w:rPr>
        <w:t> </w:t>
      </w:r>
      <w:r>
        <w:rPr>
          <w:spacing w:val="-2"/>
          <w:w w:val="100"/>
          <w:sz w:val="21"/>
        </w:rPr>
        <w:t>w</w:t>
      </w:r>
      <w:r>
        <w:rPr>
          <w:spacing w:val="-1"/>
          <w:w w:val="100"/>
          <w:sz w:val="21"/>
        </w:rPr>
        <w:t>her</w:t>
      </w:r>
      <w:r>
        <w:rPr>
          <w:w w:val="100"/>
          <w:sz w:val="21"/>
        </w:rPr>
        <w:t>e</w:t>
      </w:r>
      <w:r>
        <w:rPr>
          <w:spacing w:val="-1"/>
          <w:sz w:val="21"/>
        </w:rPr>
        <w:t> </w:t>
      </w:r>
      <w:r>
        <w:rPr>
          <w:w w:val="100"/>
          <w:sz w:val="21"/>
        </w:rPr>
        <w:t>a</w:t>
      </w:r>
      <w:r>
        <w:rPr>
          <w:spacing w:val="1"/>
          <w:sz w:val="21"/>
        </w:rPr>
        <w:t> </w:t>
      </w:r>
      <w:r>
        <w:rPr>
          <w:spacing w:val="-3"/>
          <w:w w:val="100"/>
          <w:sz w:val="21"/>
        </w:rPr>
        <w:t>b</w:t>
      </w:r>
      <w:r>
        <w:rPr>
          <w:spacing w:val="-1"/>
          <w:w w:val="100"/>
          <w:sz w:val="21"/>
        </w:rPr>
        <w:t>u</w:t>
      </w:r>
      <w:r>
        <w:rPr>
          <w:spacing w:val="-2"/>
          <w:w w:val="100"/>
          <w:sz w:val="21"/>
        </w:rPr>
        <w:t>i</w:t>
      </w:r>
      <w:r>
        <w:rPr>
          <w:w w:val="100"/>
          <w:sz w:val="21"/>
        </w:rPr>
        <w:t>l</w:t>
      </w:r>
      <w:r>
        <w:rPr>
          <w:spacing w:val="-3"/>
          <w:w w:val="100"/>
          <w:sz w:val="21"/>
        </w:rPr>
        <w:t>d</w:t>
      </w:r>
      <w:r>
        <w:rPr>
          <w:w w:val="100"/>
          <w:sz w:val="21"/>
        </w:rPr>
        <w:t>i</w:t>
      </w:r>
      <w:r>
        <w:rPr>
          <w:spacing w:val="-1"/>
          <w:w w:val="100"/>
          <w:sz w:val="21"/>
        </w:rPr>
        <w:t>n</w:t>
      </w:r>
      <w:r>
        <w:rPr>
          <w:w w:val="100"/>
          <w:sz w:val="21"/>
        </w:rPr>
        <w:t>g</w:t>
      </w:r>
      <w:r>
        <w:rPr>
          <w:spacing w:val="-1"/>
          <w:sz w:val="21"/>
        </w:rPr>
        <w:t> </w:t>
      </w:r>
      <w:r>
        <w:rPr>
          <w:spacing w:val="-1"/>
          <w:w w:val="100"/>
          <w:sz w:val="21"/>
        </w:rPr>
        <w:t>ha</w:t>
      </w:r>
      <w:r>
        <w:rPr>
          <w:w w:val="100"/>
          <w:sz w:val="21"/>
        </w:rPr>
        <w:t>s</w:t>
      </w:r>
      <w:r>
        <w:rPr>
          <w:spacing w:val="-1"/>
          <w:sz w:val="21"/>
        </w:rPr>
        <w:t> </w:t>
      </w:r>
      <w:r>
        <w:rPr>
          <w:w w:val="100"/>
          <w:sz w:val="21"/>
        </w:rPr>
        <w:t>s</w:t>
      </w:r>
      <w:r>
        <w:rPr>
          <w:spacing w:val="-2"/>
          <w:w w:val="100"/>
          <w:sz w:val="21"/>
        </w:rPr>
        <w:t>t</w:t>
      </w:r>
      <w:r>
        <w:rPr>
          <w:spacing w:val="-1"/>
          <w:w w:val="100"/>
          <w:sz w:val="21"/>
        </w:rPr>
        <w:t>oo</w:t>
      </w:r>
      <w:r>
        <w:rPr>
          <w:w w:val="100"/>
          <w:sz w:val="21"/>
        </w:rPr>
        <w:t>d</w:t>
      </w:r>
      <w:r>
        <w:rPr>
          <w:spacing w:val="2"/>
          <w:sz w:val="21"/>
        </w:rPr>
        <w:t> </w:t>
      </w:r>
      <w:r>
        <w:rPr>
          <w:spacing w:val="-3"/>
          <w:w w:val="100"/>
          <w:sz w:val="21"/>
        </w:rPr>
        <w:t>o</w:t>
      </w:r>
      <w:r>
        <w:rPr>
          <w:w w:val="100"/>
          <w:sz w:val="21"/>
        </w:rPr>
        <w:t>n</w:t>
      </w:r>
      <w:r>
        <w:rPr>
          <w:spacing w:val="1"/>
          <w:sz w:val="21"/>
        </w:rPr>
        <w:t> </w:t>
      </w:r>
      <w:r>
        <w:rPr>
          <w:w w:val="100"/>
          <w:sz w:val="21"/>
        </w:rPr>
        <w:t>a</w:t>
      </w:r>
      <w:r>
        <w:rPr>
          <w:spacing w:val="-1"/>
          <w:sz w:val="21"/>
        </w:rPr>
        <w:t> </w:t>
      </w:r>
      <w:r>
        <w:rPr>
          <w:spacing w:val="-1"/>
          <w:w w:val="100"/>
          <w:sz w:val="21"/>
        </w:rPr>
        <w:t>p</w:t>
      </w:r>
      <w:r>
        <w:rPr>
          <w:spacing w:val="-2"/>
          <w:w w:val="100"/>
          <w:sz w:val="21"/>
        </w:rPr>
        <w:t>i</w:t>
      </w:r>
      <w:r>
        <w:rPr>
          <w:spacing w:val="-1"/>
          <w:w w:val="100"/>
          <w:sz w:val="21"/>
        </w:rPr>
        <w:t>ec</w:t>
      </w:r>
      <w:r>
        <w:rPr>
          <w:w w:val="100"/>
          <w:sz w:val="21"/>
        </w:rPr>
        <w:t>e</w:t>
      </w:r>
      <w:r>
        <w:rPr>
          <w:spacing w:val="-1"/>
          <w:sz w:val="21"/>
        </w:rPr>
        <w:t> </w:t>
      </w:r>
      <w:r>
        <w:rPr>
          <w:spacing w:val="-1"/>
          <w:w w:val="100"/>
          <w:sz w:val="21"/>
        </w:rPr>
        <w:t>o</w:t>
      </w:r>
      <w:r>
        <w:rPr>
          <w:w w:val="100"/>
          <w:sz w:val="21"/>
        </w:rPr>
        <w:t>f</w:t>
      </w:r>
      <w:r>
        <w:rPr>
          <w:sz w:val="21"/>
        </w:rPr>
        <w:t> </w:t>
      </w:r>
      <w:r>
        <w:rPr>
          <w:w w:val="100"/>
          <w:sz w:val="21"/>
        </w:rPr>
        <w:t>l</w:t>
      </w:r>
      <w:r>
        <w:rPr>
          <w:spacing w:val="-3"/>
          <w:w w:val="100"/>
          <w:sz w:val="21"/>
        </w:rPr>
        <w:t>a</w:t>
      </w:r>
      <w:r>
        <w:rPr>
          <w:spacing w:val="-1"/>
          <w:w w:val="100"/>
          <w:sz w:val="21"/>
        </w:rPr>
        <w:t>n</w:t>
      </w:r>
      <w:r>
        <w:rPr>
          <w:w w:val="100"/>
          <w:sz w:val="21"/>
        </w:rPr>
        <w:t>d</w:t>
      </w:r>
      <w:r>
        <w:rPr>
          <w:spacing w:val="-1"/>
          <w:sz w:val="21"/>
        </w:rPr>
        <w:t> </w:t>
      </w:r>
      <w:r>
        <w:rPr>
          <w:spacing w:val="-2"/>
          <w:w w:val="100"/>
          <w:sz w:val="21"/>
        </w:rPr>
        <w:t>f</w:t>
      </w:r>
      <w:r>
        <w:rPr>
          <w:spacing w:val="-1"/>
          <w:w w:val="100"/>
          <w:sz w:val="21"/>
        </w:rPr>
        <w:t>o</w:t>
      </w:r>
      <w:r>
        <w:rPr>
          <w:w w:val="100"/>
          <w:sz w:val="21"/>
        </w:rPr>
        <w:t>r</w:t>
      </w:r>
      <w:r>
        <w:rPr>
          <w:sz w:val="21"/>
        </w:rPr>
        <w:t> </w:t>
      </w:r>
      <w:r>
        <w:rPr>
          <w:w w:val="100"/>
          <w:sz w:val="21"/>
        </w:rPr>
        <w:t>a</w:t>
      </w:r>
      <w:r>
        <w:rPr>
          <w:spacing w:val="1"/>
          <w:sz w:val="21"/>
        </w:rPr>
        <w:t> </w:t>
      </w:r>
      <w:r>
        <w:rPr>
          <w:spacing w:val="-2"/>
          <w:w w:val="100"/>
          <w:sz w:val="21"/>
        </w:rPr>
        <w:t>l</w:t>
      </w:r>
      <w:r>
        <w:rPr>
          <w:spacing w:val="-1"/>
          <w:w w:val="100"/>
          <w:sz w:val="21"/>
        </w:rPr>
        <w:t>on</w:t>
      </w:r>
      <w:r>
        <w:rPr>
          <w:w w:val="100"/>
          <w:sz w:val="21"/>
        </w:rPr>
        <w:t>g</w:t>
      </w:r>
      <w:r>
        <w:rPr>
          <w:spacing w:val="2"/>
          <w:sz w:val="21"/>
        </w:rPr>
        <w:t> </w:t>
      </w:r>
      <w:r>
        <w:rPr>
          <w:spacing w:val="-4"/>
          <w:w w:val="100"/>
          <w:sz w:val="21"/>
        </w:rPr>
        <w:t>t</w:t>
      </w:r>
      <w:r>
        <w:rPr>
          <w:spacing w:val="-2"/>
          <w:w w:val="100"/>
          <w:sz w:val="21"/>
        </w:rPr>
        <w:t>i</w:t>
      </w:r>
      <w:r>
        <w:rPr>
          <w:spacing w:val="1"/>
          <w:w w:val="100"/>
          <w:sz w:val="21"/>
        </w:rPr>
        <w:t>m</w:t>
      </w:r>
      <w:r>
        <w:rPr>
          <w:w w:val="100"/>
          <w:sz w:val="21"/>
        </w:rPr>
        <w:t>e </w:t>
      </w:r>
      <w:r>
        <w:rPr>
          <w:sz w:val="21"/>
        </w:rPr>
        <w:t>and the worship has been performed in that building, then it would be a matter of inference for the court which is the Judge of facts, as to whether the right has been exercised in that building for such a sufficiently long time as to justify the presumption that the building itself has been allowed to be consecrated for the purpose of such rights being</w:t>
      </w:r>
      <w:r>
        <w:rPr>
          <w:spacing w:val="-9"/>
          <w:sz w:val="21"/>
        </w:rPr>
        <w:t> </w:t>
      </w:r>
      <w:r>
        <w:rPr>
          <w:sz w:val="21"/>
        </w:rPr>
        <w:t>performed…‖</w:t>
      </w:r>
    </w:p>
    <w:p>
      <w:pPr>
        <w:pStyle w:val="BodyText"/>
        <w:rPr>
          <w:sz w:val="24"/>
        </w:rPr>
      </w:pPr>
    </w:p>
    <w:p>
      <w:pPr>
        <w:pStyle w:val="BodyText"/>
        <w:rPr>
          <w:sz w:val="24"/>
        </w:rPr>
      </w:pPr>
    </w:p>
    <w:p>
      <w:pPr>
        <w:pStyle w:val="BodyText"/>
        <w:spacing w:before="9"/>
      </w:pPr>
    </w:p>
    <w:p>
      <w:pPr>
        <w:pStyle w:val="BodyText"/>
        <w:spacing w:line="480" w:lineRule="auto"/>
        <w:ind w:left="500" w:right="441"/>
        <w:jc w:val="both"/>
      </w:pPr>
      <w:r>
        <w:rPr/>
        <w:t>The question whether the use of a building or property for public religious worship has satisfied the legal requirements to be recognised as a public waqf is a matter </w:t>
      </w:r>
      <w:r>
        <w:rPr>
          <w:spacing w:val="-1"/>
          <w:w w:val="99"/>
        </w:rPr>
        <w:t>o</w:t>
      </w:r>
      <w:r>
        <w:rPr>
          <w:w w:val="99"/>
        </w:rPr>
        <w:t>f</w:t>
      </w:r>
      <w:r>
        <w:rPr/>
        <w:t> </w:t>
      </w:r>
      <w:r>
        <w:rPr>
          <w:spacing w:val="-5"/>
        </w:rPr>
        <w:t> </w:t>
      </w:r>
      <w:r>
        <w:rPr>
          <w:spacing w:val="-1"/>
          <w:w w:val="99"/>
        </w:rPr>
        <w:t>e</w:t>
      </w:r>
      <w:r>
        <w:rPr>
          <w:spacing w:val="-3"/>
          <w:w w:val="99"/>
        </w:rPr>
        <w:t>v</w:t>
      </w:r>
      <w:r>
        <w:rPr>
          <w:spacing w:val="-1"/>
          <w:w w:val="99"/>
        </w:rPr>
        <w:t>ide</w:t>
      </w:r>
      <w:r>
        <w:rPr>
          <w:w w:val="99"/>
        </w:rPr>
        <w:t>nce.</w:t>
      </w:r>
      <w:r>
        <w:rPr/>
        <w:t> </w:t>
      </w:r>
      <w:r>
        <w:rPr>
          <w:spacing w:val="-5"/>
        </w:rPr>
        <w:t> </w:t>
      </w:r>
      <w:r>
        <w:rPr>
          <w:w w:val="99"/>
        </w:rPr>
        <w:t>It</w:t>
      </w:r>
      <w:r>
        <w:rPr/>
        <w:t> </w:t>
      </w:r>
      <w:r>
        <w:rPr>
          <w:spacing w:val="-5"/>
        </w:rPr>
        <w:t> </w:t>
      </w:r>
      <w:r>
        <w:rPr>
          <w:spacing w:val="-1"/>
          <w:w w:val="99"/>
        </w:rPr>
        <w:t>i</w:t>
      </w:r>
      <w:r>
        <w:rPr>
          <w:w w:val="99"/>
        </w:rPr>
        <w:t>s</w:t>
      </w:r>
      <w:r>
        <w:rPr/>
        <w:t> </w:t>
      </w:r>
      <w:r>
        <w:rPr>
          <w:spacing w:val="-5"/>
        </w:rPr>
        <w:t> </w:t>
      </w:r>
      <w:r>
        <w:rPr>
          <w:w w:val="99"/>
        </w:rPr>
        <w:t>a</w:t>
      </w:r>
      <w:r>
        <w:rPr/>
        <w:t> </w:t>
      </w:r>
      <w:r>
        <w:rPr>
          <w:spacing w:val="-5"/>
        </w:rPr>
        <w:t> </w:t>
      </w:r>
      <w:r>
        <w:rPr>
          <w:w w:val="33"/>
        </w:rPr>
        <w:t>―</w:t>
      </w:r>
      <w:r>
        <w:rPr>
          <w:w w:val="99"/>
        </w:rPr>
        <w:t>m</w:t>
      </w:r>
      <w:r>
        <w:rPr>
          <w:spacing w:val="-1"/>
          <w:w w:val="99"/>
        </w:rPr>
        <w:t>at</w:t>
      </w:r>
      <w:r>
        <w:rPr>
          <w:w w:val="99"/>
        </w:rPr>
        <w:t>t</w:t>
      </w:r>
      <w:r>
        <w:rPr>
          <w:spacing w:val="-1"/>
          <w:w w:val="99"/>
        </w:rPr>
        <w:t>e</w:t>
      </w:r>
      <w:r>
        <w:rPr>
          <w:w w:val="99"/>
        </w:rPr>
        <w:t>r</w:t>
      </w:r>
      <w:r>
        <w:rPr/>
        <w:t> </w:t>
      </w:r>
      <w:r>
        <w:rPr>
          <w:spacing w:val="-4"/>
        </w:rPr>
        <w:t> </w:t>
      </w:r>
      <w:r>
        <w:rPr>
          <w:spacing w:val="-1"/>
          <w:w w:val="99"/>
        </w:rPr>
        <w:t>o</w:t>
      </w:r>
      <w:r>
        <w:rPr>
          <w:w w:val="99"/>
        </w:rPr>
        <w:t>f</w:t>
      </w:r>
      <w:r>
        <w:rPr/>
        <w:t> </w:t>
      </w:r>
      <w:r>
        <w:rPr>
          <w:spacing w:val="-5"/>
        </w:rPr>
        <w:t> </w:t>
      </w:r>
      <w:r>
        <w:rPr>
          <w:spacing w:val="-1"/>
          <w:w w:val="99"/>
        </w:rPr>
        <w:t>inf</w:t>
      </w:r>
      <w:r>
        <w:rPr>
          <w:spacing w:val="-2"/>
          <w:w w:val="99"/>
        </w:rPr>
        <w:t>e</w:t>
      </w:r>
      <w:r>
        <w:rPr>
          <w:w w:val="99"/>
        </w:rPr>
        <w:t>r</w:t>
      </w:r>
      <w:r>
        <w:rPr>
          <w:spacing w:val="-1"/>
          <w:w w:val="99"/>
        </w:rPr>
        <w:t>e</w:t>
      </w:r>
      <w:r>
        <w:rPr>
          <w:w w:val="99"/>
        </w:rPr>
        <w:t>n</w:t>
      </w:r>
      <w:r>
        <w:rPr>
          <w:w w:val="94"/>
        </w:rPr>
        <w:t>ce‖</w:t>
      </w:r>
      <w:r>
        <w:rPr/>
        <w:t> </w:t>
      </w:r>
      <w:r>
        <w:rPr>
          <w:spacing w:val="-6"/>
        </w:rPr>
        <w:t> </w:t>
      </w:r>
      <w:r>
        <w:rPr>
          <w:w w:val="99"/>
        </w:rPr>
        <w:t>for</w:t>
      </w:r>
      <w:r>
        <w:rPr/>
        <w:t> </w:t>
      </w:r>
      <w:r>
        <w:rPr>
          <w:spacing w:val="-4"/>
        </w:rPr>
        <w:t> </w:t>
      </w:r>
      <w:r>
        <w:rPr>
          <w:w w:val="99"/>
        </w:rPr>
        <w:t>the</w:t>
      </w:r>
      <w:r>
        <w:rPr/>
        <w:t> </w:t>
      </w:r>
      <w:r>
        <w:rPr>
          <w:spacing w:val="-5"/>
        </w:rPr>
        <w:t> </w:t>
      </w:r>
      <w:r>
        <w:rPr>
          <w:w w:val="99"/>
        </w:rPr>
        <w:t>court,</w:t>
      </w:r>
      <w:r>
        <w:rPr/>
        <w:t> </w:t>
      </w:r>
      <w:r>
        <w:rPr>
          <w:spacing w:val="-7"/>
        </w:rPr>
        <w:t> </w:t>
      </w:r>
      <w:r>
        <w:rPr>
          <w:spacing w:val="-1"/>
          <w:w w:val="99"/>
        </w:rPr>
        <w:t>h</w:t>
      </w:r>
      <w:r>
        <w:rPr>
          <w:w w:val="99"/>
        </w:rPr>
        <w:t>a</w:t>
      </w:r>
      <w:r>
        <w:rPr>
          <w:spacing w:val="-3"/>
          <w:w w:val="99"/>
        </w:rPr>
        <w:t>v</w:t>
      </w:r>
      <w:r>
        <w:rPr>
          <w:spacing w:val="-1"/>
          <w:w w:val="99"/>
        </w:rPr>
        <w:t>i</w:t>
      </w:r>
      <w:r>
        <w:rPr>
          <w:spacing w:val="2"/>
          <w:w w:val="99"/>
        </w:rPr>
        <w:t>n</w:t>
      </w:r>
      <w:r>
        <w:rPr>
          <w:w w:val="99"/>
        </w:rPr>
        <w:t>g</w:t>
      </w:r>
      <w:r>
        <w:rPr/>
        <w:t> </w:t>
      </w:r>
      <w:r>
        <w:rPr>
          <w:spacing w:val="-5"/>
        </w:rPr>
        <w:t> </w:t>
      </w:r>
      <w:r>
        <w:rPr>
          <w:spacing w:val="-1"/>
          <w:w w:val="99"/>
        </w:rPr>
        <w:t>e</w:t>
      </w:r>
      <w:r>
        <w:rPr>
          <w:spacing w:val="-3"/>
          <w:w w:val="99"/>
        </w:rPr>
        <w:t>x</w:t>
      </w:r>
      <w:r>
        <w:rPr>
          <w:spacing w:val="-1"/>
          <w:w w:val="99"/>
        </w:rPr>
        <w:t>a</w:t>
      </w:r>
      <w:r>
        <w:rPr>
          <w:w w:val="99"/>
        </w:rPr>
        <w:t>m</w:t>
      </w:r>
      <w:r>
        <w:rPr>
          <w:spacing w:val="-1"/>
          <w:w w:val="99"/>
        </w:rPr>
        <w:t>ine</w:t>
      </w:r>
      <w:r>
        <w:rPr>
          <w:w w:val="99"/>
        </w:rPr>
        <w:t>d</w:t>
      </w:r>
      <w:r>
        <w:rPr/>
        <w:t> </w:t>
      </w:r>
      <w:r>
        <w:rPr>
          <w:spacing w:val="-5"/>
        </w:rPr>
        <w:t> </w:t>
      </w:r>
      <w:r>
        <w:rPr>
          <w:w w:val="99"/>
        </w:rPr>
        <w:t>the </w:t>
      </w:r>
      <w:r>
        <w:rPr/>
        <w:t>evidence on record, to determine whether the use of the property has been for sufficiently long and consistent with the purported use to justify the recognition of a public waqf absent an express dedication. Given the irrevocable, permanent and inalienable nature of a waqf, the evidentiary threshold for establishing a waqf by user is high, as it results in a radical change in the characteristics of ownership over the</w:t>
      </w:r>
      <w:r>
        <w:rPr>
          <w:spacing w:val="-2"/>
        </w:rPr>
        <w:t> </w:t>
      </w:r>
      <w:r>
        <w:rPr/>
        <w:t>property.</w:t>
      </w:r>
    </w:p>
    <w:p>
      <w:pPr>
        <w:pStyle w:val="BodyText"/>
        <w:rPr>
          <w:sz w:val="28"/>
        </w:rPr>
      </w:pPr>
    </w:p>
    <w:p>
      <w:pPr>
        <w:pStyle w:val="BodyText"/>
        <w:spacing w:before="1"/>
        <w:rPr>
          <w:sz w:val="22"/>
        </w:rPr>
      </w:pPr>
    </w:p>
    <w:p>
      <w:pPr>
        <w:pStyle w:val="ListParagraph"/>
        <w:numPr>
          <w:ilvl w:val="0"/>
          <w:numId w:val="231"/>
        </w:numPr>
        <w:tabs>
          <w:tab w:pos="1221" w:val="left" w:leader="none"/>
        </w:tabs>
        <w:spacing w:line="480" w:lineRule="auto" w:before="1" w:after="0"/>
        <w:ind w:left="500" w:right="433" w:firstLine="0"/>
        <w:jc w:val="both"/>
        <w:rPr>
          <w:sz w:val="25"/>
        </w:rPr>
      </w:pPr>
      <w:r>
        <w:rPr>
          <w:sz w:val="25"/>
        </w:rPr>
        <w:t>The principle of a waqf by user has also found recognition in the jurisprudence</w:t>
      </w:r>
      <w:r>
        <w:rPr>
          <w:spacing w:val="13"/>
          <w:sz w:val="25"/>
        </w:rPr>
        <w:t> </w:t>
      </w:r>
      <w:r>
        <w:rPr>
          <w:sz w:val="25"/>
        </w:rPr>
        <w:t>of</w:t>
      </w:r>
      <w:r>
        <w:rPr>
          <w:spacing w:val="13"/>
          <w:sz w:val="25"/>
        </w:rPr>
        <w:t> </w:t>
      </w:r>
      <w:r>
        <w:rPr>
          <w:sz w:val="25"/>
        </w:rPr>
        <w:t>this</w:t>
      </w:r>
      <w:r>
        <w:rPr>
          <w:spacing w:val="16"/>
          <w:sz w:val="25"/>
        </w:rPr>
        <w:t> </w:t>
      </w:r>
      <w:r>
        <w:rPr>
          <w:sz w:val="25"/>
        </w:rPr>
        <w:t>Court.</w:t>
      </w:r>
      <w:r>
        <w:rPr>
          <w:spacing w:val="13"/>
          <w:sz w:val="25"/>
        </w:rPr>
        <w:t> </w:t>
      </w:r>
      <w:r>
        <w:rPr>
          <w:sz w:val="25"/>
        </w:rPr>
        <w:t>The</w:t>
      </w:r>
      <w:r>
        <w:rPr>
          <w:spacing w:val="13"/>
          <w:sz w:val="25"/>
        </w:rPr>
        <w:t> </w:t>
      </w:r>
      <w:r>
        <w:rPr>
          <w:sz w:val="25"/>
        </w:rPr>
        <w:t>decision</w:t>
      </w:r>
      <w:r>
        <w:rPr>
          <w:spacing w:val="14"/>
          <w:sz w:val="25"/>
        </w:rPr>
        <w:t> </w:t>
      </w:r>
      <w:r>
        <w:rPr>
          <w:sz w:val="25"/>
        </w:rPr>
        <w:t>in</w:t>
      </w:r>
      <w:r>
        <w:rPr>
          <w:spacing w:val="13"/>
          <w:sz w:val="25"/>
        </w:rPr>
        <w:t> </w:t>
      </w:r>
      <w:r>
        <w:rPr>
          <w:sz w:val="25"/>
        </w:rPr>
        <w:t>the</w:t>
      </w:r>
      <w:r>
        <w:rPr>
          <w:spacing w:val="14"/>
          <w:sz w:val="25"/>
        </w:rPr>
        <w:t> </w:t>
      </w:r>
      <w:r>
        <w:rPr>
          <w:sz w:val="25"/>
        </w:rPr>
        <w:t>case</w:t>
      </w:r>
      <w:r>
        <w:rPr>
          <w:spacing w:val="13"/>
          <w:sz w:val="25"/>
        </w:rPr>
        <w:t> </w:t>
      </w:r>
      <w:r>
        <w:rPr>
          <w:sz w:val="25"/>
        </w:rPr>
        <w:t>of</w:t>
      </w:r>
      <w:r>
        <w:rPr>
          <w:spacing w:val="20"/>
          <w:sz w:val="25"/>
        </w:rPr>
        <w:t> </w:t>
      </w:r>
      <w:r>
        <w:rPr>
          <w:b/>
          <w:sz w:val="25"/>
        </w:rPr>
        <w:t>Faqir</w:t>
      </w:r>
      <w:r>
        <w:rPr>
          <w:b/>
          <w:spacing w:val="17"/>
          <w:sz w:val="25"/>
        </w:rPr>
        <w:t> </w:t>
      </w:r>
      <w:r>
        <w:rPr>
          <w:b/>
          <w:sz w:val="25"/>
        </w:rPr>
        <w:t>Mohamad</w:t>
      </w:r>
      <w:r>
        <w:rPr>
          <w:b/>
          <w:spacing w:val="13"/>
          <w:sz w:val="25"/>
        </w:rPr>
        <w:t> </w:t>
      </w:r>
      <w:r>
        <w:rPr>
          <w:b/>
          <w:sz w:val="25"/>
        </w:rPr>
        <w:t>Shah</w:t>
      </w:r>
      <w:r>
        <w:rPr>
          <w:b/>
          <w:spacing w:val="18"/>
          <w:sz w:val="25"/>
        </w:rPr>
        <w:t> </w:t>
      </w:r>
      <w:r>
        <w:rPr>
          <w:sz w:val="25"/>
        </w:rPr>
        <w:t>v</w:t>
      </w:r>
    </w:p>
    <w:p>
      <w:pPr>
        <w:spacing w:after="0" w:line="480" w:lineRule="auto"/>
        <w:jc w:val="both"/>
        <w:rPr>
          <w:sz w:val="25"/>
        </w:rPr>
        <w:sectPr>
          <w:pgSz w:w="11910" w:h="16840"/>
          <w:pgMar w:header="721" w:footer="1014" w:top="1300" w:bottom="1200" w:left="940" w:right="1000"/>
        </w:sectPr>
      </w:pPr>
    </w:p>
    <w:p>
      <w:pPr>
        <w:pStyle w:val="BodyText"/>
        <w:spacing w:line="480" w:lineRule="auto" w:before="121"/>
        <w:ind w:left="500" w:right="436"/>
        <w:jc w:val="both"/>
      </w:pPr>
      <w:r>
        <w:rPr>
          <w:b/>
        </w:rPr>
        <w:t>Qazi Fasihuddin Ansari</w:t>
      </w:r>
      <w:r>
        <w:rPr>
          <w:vertAlign w:val="superscript"/>
        </w:rPr>
        <w:t>365</w:t>
      </w:r>
      <w:r>
        <w:rPr>
          <w:vertAlign w:val="baseline"/>
        </w:rPr>
        <w:t> concerned two distinct time periods: the period from </w:t>
      </w:r>
      <w:r>
        <w:rPr>
          <w:i/>
          <w:vertAlign w:val="baseline"/>
        </w:rPr>
        <w:t>circa </w:t>
      </w:r>
      <w:r>
        <w:rPr>
          <w:vertAlign w:val="baseline"/>
        </w:rPr>
        <w:t>1681 to 1880 and the period from 1880 to 1956. As of 1880, there existed an ‗old mosque‘ which the contesting parties admitted was waqf property. Subsequent to 1880, the defendant, being the mutawalli of the ‗old mosque‘, increased its size and built various structures on adjacent properties. Some were used by him in his personal capacity and some of these structures were used by the public for worship. Cumulatively, these structures constituted the ‗new mosque‘. The resident Sunni community, as plaintiffs, sought a declaration that both</w:t>
      </w:r>
      <w:r>
        <w:rPr>
          <w:spacing w:val="-16"/>
          <w:vertAlign w:val="baseline"/>
        </w:rPr>
        <w:t> </w:t>
      </w:r>
      <w:r>
        <w:rPr>
          <w:vertAlign w:val="baseline"/>
        </w:rPr>
        <w:t>the</w:t>
      </w:r>
      <w:r>
        <w:rPr>
          <w:spacing w:val="-16"/>
          <w:vertAlign w:val="baseline"/>
        </w:rPr>
        <w:t> </w:t>
      </w:r>
      <w:r>
        <w:rPr>
          <w:vertAlign w:val="baseline"/>
        </w:rPr>
        <w:t>‗old</w:t>
      </w:r>
      <w:r>
        <w:rPr>
          <w:spacing w:val="-16"/>
          <w:vertAlign w:val="baseline"/>
        </w:rPr>
        <w:t> </w:t>
      </w:r>
      <w:r>
        <w:rPr>
          <w:vertAlign w:val="baseline"/>
        </w:rPr>
        <w:t>mosque‘</w:t>
      </w:r>
      <w:r>
        <w:rPr>
          <w:spacing w:val="-17"/>
          <w:vertAlign w:val="baseline"/>
        </w:rPr>
        <w:t> </w:t>
      </w:r>
      <w:r>
        <w:rPr>
          <w:vertAlign w:val="baseline"/>
        </w:rPr>
        <w:t>and</w:t>
      </w:r>
      <w:r>
        <w:rPr>
          <w:spacing w:val="-17"/>
          <w:vertAlign w:val="baseline"/>
        </w:rPr>
        <w:t> </w:t>
      </w:r>
      <w:r>
        <w:rPr>
          <w:vertAlign w:val="baseline"/>
        </w:rPr>
        <w:t>the</w:t>
      </w:r>
      <w:r>
        <w:rPr>
          <w:spacing w:val="-16"/>
          <w:vertAlign w:val="baseline"/>
        </w:rPr>
        <w:t> </w:t>
      </w:r>
      <w:r>
        <w:rPr>
          <w:vertAlign w:val="baseline"/>
        </w:rPr>
        <w:t>‗new</w:t>
      </w:r>
      <w:r>
        <w:rPr>
          <w:spacing w:val="-16"/>
          <w:vertAlign w:val="baseline"/>
        </w:rPr>
        <w:t> </w:t>
      </w:r>
      <w:r>
        <w:rPr>
          <w:vertAlign w:val="baseline"/>
        </w:rPr>
        <w:t>mosque‘</w:t>
      </w:r>
      <w:r>
        <w:rPr>
          <w:spacing w:val="-17"/>
          <w:vertAlign w:val="baseline"/>
        </w:rPr>
        <w:t> </w:t>
      </w:r>
      <w:r>
        <w:rPr>
          <w:vertAlign w:val="baseline"/>
        </w:rPr>
        <w:t>were</w:t>
      </w:r>
      <w:r>
        <w:rPr>
          <w:spacing w:val="-17"/>
          <w:vertAlign w:val="baseline"/>
        </w:rPr>
        <w:t> </w:t>
      </w:r>
      <w:r>
        <w:rPr>
          <w:vertAlign w:val="baseline"/>
        </w:rPr>
        <w:t>waqf</w:t>
      </w:r>
      <w:r>
        <w:rPr>
          <w:spacing w:val="-16"/>
          <w:vertAlign w:val="baseline"/>
        </w:rPr>
        <w:t> </w:t>
      </w:r>
      <w:r>
        <w:rPr>
          <w:vertAlign w:val="baseline"/>
        </w:rPr>
        <w:t>properties.</w:t>
      </w:r>
      <w:r>
        <w:rPr>
          <w:spacing w:val="-16"/>
          <w:vertAlign w:val="baseline"/>
        </w:rPr>
        <w:t> </w:t>
      </w:r>
      <w:r>
        <w:rPr>
          <w:vertAlign w:val="baseline"/>
        </w:rPr>
        <w:t>The</w:t>
      </w:r>
      <w:r>
        <w:rPr>
          <w:spacing w:val="-15"/>
          <w:vertAlign w:val="baseline"/>
        </w:rPr>
        <w:t> </w:t>
      </w:r>
      <w:r>
        <w:rPr>
          <w:vertAlign w:val="baseline"/>
        </w:rPr>
        <w:t>defendant resisted these claims and argued that the ‗new mosque‘ was his own personal property. Justice Vivian Bose, speaking for a three judge Bench of this Court, held:</w:t>
      </w:r>
    </w:p>
    <w:p>
      <w:pPr>
        <w:spacing w:line="259" w:lineRule="auto" w:before="162"/>
        <w:ind w:left="1633" w:right="2265" w:firstLine="57"/>
        <w:jc w:val="both"/>
        <w:rPr>
          <w:sz w:val="21"/>
        </w:rPr>
      </w:pPr>
      <w:r>
        <w:rPr>
          <w:w w:val="33"/>
          <w:sz w:val="21"/>
        </w:rPr>
        <w:t>―</w:t>
      </w:r>
      <w:r>
        <w:rPr>
          <w:w w:val="100"/>
          <w:sz w:val="21"/>
        </w:rPr>
        <w:t>20.</w:t>
      </w:r>
      <w:r>
        <w:rPr>
          <w:sz w:val="21"/>
        </w:rPr>
        <w:t>  </w:t>
      </w:r>
      <w:r>
        <w:rPr>
          <w:w w:val="100"/>
          <w:sz w:val="21"/>
        </w:rPr>
        <w:t>…</w:t>
      </w:r>
      <w:r>
        <w:rPr>
          <w:sz w:val="21"/>
        </w:rPr>
        <w:t>  </w:t>
      </w:r>
      <w:r>
        <w:rPr>
          <w:b/>
          <w:w w:val="100"/>
          <w:sz w:val="21"/>
        </w:rPr>
        <w:t>It</w:t>
      </w:r>
      <w:r>
        <w:rPr>
          <w:b/>
          <w:sz w:val="21"/>
        </w:rPr>
        <w:t>  </w:t>
      </w:r>
      <w:r>
        <w:rPr>
          <w:b/>
          <w:w w:val="100"/>
          <w:sz w:val="21"/>
        </w:rPr>
        <w:t>i</w:t>
      </w:r>
      <w:r>
        <w:rPr>
          <w:b/>
          <w:w w:val="100"/>
          <w:sz w:val="21"/>
        </w:rPr>
        <w:t>s</w:t>
      </w:r>
      <w:r>
        <w:rPr>
          <w:b/>
          <w:sz w:val="21"/>
        </w:rPr>
        <w:t>  </w:t>
      </w:r>
      <w:r>
        <w:rPr>
          <w:b/>
          <w:w w:val="100"/>
          <w:sz w:val="21"/>
        </w:rPr>
        <w:t>ev</w:t>
      </w:r>
      <w:r>
        <w:rPr>
          <w:b/>
          <w:w w:val="100"/>
          <w:sz w:val="21"/>
        </w:rPr>
        <w:t>i</w:t>
      </w:r>
      <w:r>
        <w:rPr>
          <w:b/>
          <w:w w:val="100"/>
          <w:sz w:val="21"/>
        </w:rPr>
        <w:t>de</w:t>
      </w:r>
      <w:r>
        <w:rPr>
          <w:b/>
          <w:w w:val="100"/>
          <w:sz w:val="21"/>
        </w:rPr>
        <w:t>nt</w:t>
      </w:r>
      <w:r>
        <w:rPr>
          <w:b/>
          <w:sz w:val="21"/>
        </w:rPr>
        <w:t>  </w:t>
      </w:r>
      <w:r>
        <w:rPr>
          <w:b/>
          <w:w w:val="100"/>
          <w:sz w:val="21"/>
        </w:rPr>
        <w:t>t</w:t>
      </w:r>
      <w:r>
        <w:rPr>
          <w:b/>
          <w:w w:val="100"/>
          <w:sz w:val="21"/>
        </w:rPr>
        <w:t>ha</w:t>
      </w:r>
      <w:r>
        <w:rPr>
          <w:b/>
          <w:w w:val="100"/>
          <w:sz w:val="21"/>
        </w:rPr>
        <w:t>t</w:t>
      </w:r>
      <w:r>
        <w:rPr>
          <w:b/>
          <w:sz w:val="21"/>
        </w:rPr>
        <w:t>  </w:t>
      </w:r>
      <w:r>
        <w:rPr>
          <w:b/>
          <w:w w:val="100"/>
          <w:sz w:val="21"/>
        </w:rPr>
        <w:t>th</w:t>
      </w:r>
      <w:r>
        <w:rPr>
          <w:b/>
          <w:w w:val="100"/>
          <w:sz w:val="21"/>
        </w:rPr>
        <w:t>ere</w:t>
      </w:r>
      <w:r>
        <w:rPr>
          <w:b/>
          <w:sz w:val="21"/>
        </w:rPr>
        <w:t>  </w:t>
      </w:r>
      <w:r>
        <w:rPr>
          <w:b/>
          <w:w w:val="100"/>
          <w:sz w:val="21"/>
        </w:rPr>
        <w:t>w</w:t>
      </w:r>
      <w:r>
        <w:rPr>
          <w:b/>
          <w:w w:val="100"/>
          <w:sz w:val="21"/>
        </w:rPr>
        <w:t>as</w:t>
      </w:r>
      <w:r>
        <w:rPr>
          <w:b/>
          <w:sz w:val="21"/>
        </w:rPr>
        <w:t>  </w:t>
      </w:r>
      <w:r>
        <w:rPr>
          <w:b/>
          <w:w w:val="100"/>
          <w:sz w:val="21"/>
        </w:rPr>
        <w:t>no</w:t>
      </w:r>
      <w:r>
        <w:rPr>
          <w:b/>
          <w:sz w:val="21"/>
        </w:rPr>
        <w:t>  </w:t>
      </w:r>
      <w:r>
        <w:rPr>
          <w:b/>
          <w:w w:val="100"/>
          <w:sz w:val="21"/>
        </w:rPr>
        <w:t>pro</w:t>
      </w:r>
      <w:r>
        <w:rPr>
          <w:b/>
          <w:w w:val="100"/>
          <w:sz w:val="21"/>
        </w:rPr>
        <w:t>of</w:t>
      </w:r>
      <w:r>
        <w:rPr>
          <w:b/>
          <w:sz w:val="21"/>
        </w:rPr>
        <w:t>  </w:t>
      </w:r>
      <w:r>
        <w:rPr>
          <w:b/>
          <w:w w:val="100"/>
          <w:sz w:val="21"/>
        </w:rPr>
        <w:t>of</w:t>
      </w:r>
      <w:r>
        <w:rPr>
          <w:b/>
          <w:sz w:val="21"/>
        </w:rPr>
        <w:t>  </w:t>
      </w:r>
      <w:r>
        <w:rPr>
          <w:b/>
          <w:w w:val="100"/>
          <w:sz w:val="21"/>
        </w:rPr>
        <w:t>express </w:t>
      </w:r>
      <w:r>
        <w:rPr>
          <w:b/>
          <w:sz w:val="21"/>
        </w:rPr>
        <w:t>dedication up to the year 1880 nor has any been produced since, therefore the only question is whether there is evidence of user and if so, user of what</w:t>
      </w:r>
      <w:r>
        <w:rPr>
          <w:sz w:val="21"/>
        </w:rPr>
        <w:t>.</w:t>
      </w:r>
    </w:p>
    <w:p>
      <w:pPr>
        <w:spacing w:before="159"/>
        <w:ind w:left="1633" w:right="0" w:firstLine="0"/>
        <w:jc w:val="left"/>
        <w:rPr>
          <w:sz w:val="21"/>
        </w:rPr>
      </w:pPr>
      <w:r>
        <w:rPr>
          <w:w w:val="100"/>
          <w:sz w:val="21"/>
        </w:rPr>
        <w:t>…</w:t>
      </w:r>
    </w:p>
    <w:p>
      <w:pPr>
        <w:pStyle w:val="ListParagraph"/>
        <w:numPr>
          <w:ilvl w:val="0"/>
          <w:numId w:val="233"/>
        </w:numPr>
        <w:tabs>
          <w:tab w:pos="2001" w:val="left" w:leader="none"/>
        </w:tabs>
        <w:spacing w:line="256" w:lineRule="auto" w:before="181" w:after="0"/>
        <w:ind w:left="1633" w:right="2263" w:firstLine="0"/>
        <w:jc w:val="left"/>
        <w:rPr>
          <w:sz w:val="21"/>
        </w:rPr>
      </w:pPr>
      <w:r>
        <w:rPr>
          <w:sz w:val="21"/>
        </w:rPr>
        <w:t>After a careful survey of the evidence, we have reached the following</w:t>
      </w:r>
      <w:r>
        <w:rPr>
          <w:spacing w:val="-2"/>
          <w:sz w:val="21"/>
        </w:rPr>
        <w:t> </w:t>
      </w:r>
      <w:r>
        <w:rPr>
          <w:sz w:val="21"/>
        </w:rPr>
        <w:t>conclusions:</w:t>
      </w:r>
    </w:p>
    <w:p>
      <w:pPr>
        <w:pStyle w:val="ListParagraph"/>
        <w:numPr>
          <w:ilvl w:val="1"/>
          <w:numId w:val="233"/>
        </w:numPr>
        <w:tabs>
          <w:tab w:pos="2241" w:val="left" w:leader="none"/>
        </w:tabs>
        <w:spacing w:line="259" w:lineRule="auto" w:before="162" w:after="0"/>
        <w:ind w:left="1918" w:right="2263" w:firstLine="0"/>
        <w:jc w:val="both"/>
        <w:rPr>
          <w:sz w:val="21"/>
        </w:rPr>
      </w:pPr>
      <w:r>
        <w:rPr>
          <w:sz w:val="21"/>
        </w:rPr>
        <w:t>that </w:t>
      </w:r>
      <w:r>
        <w:rPr>
          <w:b/>
          <w:sz w:val="21"/>
        </w:rPr>
        <w:t>the old mosque as it stood in 1880 is proved to be wakf property </w:t>
      </w:r>
      <w:r>
        <w:rPr>
          <w:sz w:val="21"/>
        </w:rPr>
        <w:t>but that nothing beyond the building and the site on which it stood is shown to have been wakf at that</w:t>
      </w:r>
      <w:r>
        <w:rPr>
          <w:spacing w:val="-18"/>
          <w:sz w:val="21"/>
        </w:rPr>
        <w:t> </w:t>
      </w:r>
      <w:r>
        <w:rPr>
          <w:sz w:val="21"/>
        </w:rPr>
        <w:t>date;</w:t>
      </w:r>
    </w:p>
    <w:p>
      <w:pPr>
        <w:pStyle w:val="ListParagraph"/>
        <w:numPr>
          <w:ilvl w:val="1"/>
          <w:numId w:val="233"/>
        </w:numPr>
        <w:tabs>
          <w:tab w:pos="2241" w:val="left" w:leader="none"/>
        </w:tabs>
        <w:spacing w:line="259" w:lineRule="auto" w:before="162" w:after="0"/>
        <w:ind w:left="1918" w:right="2262" w:firstLine="0"/>
        <w:jc w:val="both"/>
        <w:rPr>
          <w:sz w:val="21"/>
        </w:rPr>
      </w:pPr>
      <w:r>
        <w:rPr>
          <w:sz w:val="21"/>
        </w:rPr>
        <w:t>that this property has been added to from time to time and the whole is now separately demarcated and that the additions and accretions form a composite and separate entity as shown in the plaintiffs‘ map. This is the area marked ABCD in that</w:t>
      </w:r>
      <w:r>
        <w:rPr>
          <w:spacing w:val="-3"/>
          <w:sz w:val="21"/>
        </w:rPr>
        <w:t> </w:t>
      </w:r>
      <w:r>
        <w:rPr>
          <w:sz w:val="21"/>
        </w:rPr>
        <w:t>map;</w:t>
      </w:r>
    </w:p>
    <w:p>
      <w:pPr>
        <w:pStyle w:val="ListParagraph"/>
        <w:numPr>
          <w:ilvl w:val="1"/>
          <w:numId w:val="233"/>
        </w:numPr>
        <w:tabs>
          <w:tab w:pos="2313" w:val="left" w:leader="none"/>
        </w:tabs>
        <w:spacing w:line="259" w:lineRule="auto" w:before="157" w:after="0"/>
        <w:ind w:left="1918" w:right="2260" w:firstLine="0"/>
        <w:jc w:val="both"/>
        <w:rPr>
          <w:b/>
          <w:sz w:val="21"/>
        </w:rPr>
      </w:pPr>
      <w:r>
        <w:rPr>
          <w:sz w:val="21"/>
        </w:rPr>
        <w:t>that </w:t>
      </w:r>
      <w:r>
        <w:rPr>
          <w:b/>
          <w:sz w:val="21"/>
        </w:rPr>
        <w:t>this area is used by the public for religious purposes along with the old mosque and as the area has been made into a separately demarcated compact unit for a single purpose, namely collective and individual worship</w:t>
      </w:r>
      <w:r>
        <w:rPr>
          <w:b/>
          <w:spacing w:val="25"/>
          <w:sz w:val="21"/>
        </w:rPr>
        <w:t> </w:t>
      </w:r>
      <w:r>
        <w:rPr>
          <w:b/>
          <w:sz w:val="21"/>
        </w:rPr>
        <w:t>in</w:t>
      </w:r>
      <w:r>
        <w:rPr>
          <w:b/>
          <w:spacing w:val="25"/>
          <w:sz w:val="21"/>
        </w:rPr>
        <w:t> </w:t>
      </w:r>
      <w:r>
        <w:rPr>
          <w:b/>
          <w:sz w:val="21"/>
        </w:rPr>
        <w:t>the</w:t>
      </w:r>
      <w:r>
        <w:rPr>
          <w:b/>
          <w:spacing w:val="26"/>
          <w:sz w:val="21"/>
        </w:rPr>
        <w:t> </w:t>
      </w:r>
      <w:r>
        <w:rPr>
          <w:b/>
          <w:sz w:val="21"/>
        </w:rPr>
        <w:t>mosque,</w:t>
      </w:r>
      <w:r>
        <w:rPr>
          <w:b/>
          <w:spacing w:val="21"/>
          <w:sz w:val="21"/>
        </w:rPr>
        <w:t> </w:t>
      </w:r>
      <w:r>
        <w:rPr>
          <w:b/>
          <w:sz w:val="21"/>
        </w:rPr>
        <w:t>it</w:t>
      </w:r>
      <w:r>
        <w:rPr>
          <w:b/>
          <w:spacing w:val="25"/>
          <w:sz w:val="21"/>
        </w:rPr>
        <w:t> </w:t>
      </w:r>
      <w:r>
        <w:rPr>
          <w:b/>
          <w:sz w:val="21"/>
        </w:rPr>
        <w:t>must</w:t>
      </w:r>
      <w:r>
        <w:rPr>
          <w:b/>
          <w:spacing w:val="24"/>
          <w:sz w:val="21"/>
        </w:rPr>
        <w:t> </w:t>
      </w:r>
      <w:r>
        <w:rPr>
          <w:b/>
          <w:sz w:val="21"/>
        </w:rPr>
        <w:t>be</w:t>
      </w:r>
      <w:r>
        <w:rPr>
          <w:b/>
          <w:spacing w:val="26"/>
          <w:sz w:val="21"/>
        </w:rPr>
        <w:t> </w:t>
      </w:r>
      <w:r>
        <w:rPr>
          <w:b/>
          <w:sz w:val="21"/>
        </w:rPr>
        <w:t>regarded</w:t>
      </w:r>
      <w:r>
        <w:rPr>
          <w:b/>
          <w:spacing w:val="25"/>
          <w:sz w:val="21"/>
        </w:rPr>
        <w:t> </w:t>
      </w:r>
      <w:r>
        <w:rPr>
          <w:b/>
          <w:sz w:val="21"/>
        </w:rPr>
        <w:t>as</w:t>
      </w:r>
      <w:r>
        <w:rPr>
          <w:b/>
          <w:spacing w:val="24"/>
          <w:sz w:val="21"/>
        </w:rPr>
        <w:t> </w:t>
      </w:r>
      <w:r>
        <w:rPr>
          <w:b/>
          <w:sz w:val="21"/>
        </w:rPr>
        <w:t>one</w:t>
      </w:r>
      <w:r>
        <w:rPr>
          <w:b/>
          <w:spacing w:val="25"/>
          <w:sz w:val="21"/>
        </w:rPr>
        <w:t> </w:t>
      </w:r>
      <w:r>
        <w:rPr>
          <w:b/>
          <w:sz w:val="21"/>
        </w:rPr>
        <w:t>unit</w:t>
      </w:r>
    </w:p>
    <w:p>
      <w:pPr>
        <w:pStyle w:val="BodyText"/>
        <w:rPr>
          <w:b/>
          <w:sz w:val="20"/>
        </w:rPr>
      </w:pPr>
    </w:p>
    <w:p>
      <w:pPr>
        <w:pStyle w:val="BodyText"/>
        <w:spacing w:before="7"/>
        <w:rPr>
          <w:b/>
        </w:rPr>
      </w:pPr>
      <w:r>
        <w:rPr/>
        <w:pict>
          <v:rect style="position:absolute;margin-left:72.024002pt;margin-top:16.718237pt;width:144.020pt;height:.599980pt;mso-position-horizontal-relative:page;mso-position-vertical-relative:paragraph;z-index:-1561856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365</w:t>
      </w:r>
      <w:r>
        <w:rPr>
          <w:sz w:val="18"/>
          <w:vertAlign w:val="baseline"/>
        </w:rPr>
        <w:t> AIR 1956 SC 713</w:t>
      </w:r>
    </w:p>
    <w:p>
      <w:pPr>
        <w:spacing w:after="0"/>
        <w:jc w:val="left"/>
        <w:rPr>
          <w:sz w:val="18"/>
        </w:rPr>
        <w:sectPr>
          <w:pgSz w:w="11910" w:h="16840"/>
          <w:pgMar w:header="721" w:footer="1014" w:top="1300" w:bottom="1200" w:left="940" w:right="1000"/>
        </w:sectPr>
      </w:pPr>
    </w:p>
    <w:p>
      <w:pPr>
        <w:spacing w:line="259" w:lineRule="auto" w:before="122"/>
        <w:ind w:left="1918" w:right="2346" w:firstLine="0"/>
        <w:jc w:val="left"/>
        <w:rPr>
          <w:sz w:val="21"/>
        </w:rPr>
      </w:pPr>
      <w:r>
        <w:rPr>
          <w:b/>
          <w:sz w:val="21"/>
        </w:rPr>
        <w:t>and be treated as such. The whole is accordingly now wakf</w:t>
      </w:r>
      <w:r>
        <w:rPr>
          <w:sz w:val="21"/>
        </w:rPr>
        <w:t>;</w:t>
      </w:r>
    </w:p>
    <w:p>
      <w:pPr>
        <w:spacing w:before="161"/>
        <w:ind w:left="1918" w:right="0" w:firstLine="0"/>
        <w:jc w:val="left"/>
        <w:rPr>
          <w:sz w:val="21"/>
        </w:rPr>
      </w:pPr>
      <w:r>
        <w:rPr>
          <w:w w:val="100"/>
          <w:sz w:val="21"/>
        </w:rPr>
        <w:t>…</w:t>
      </w:r>
    </w:p>
    <w:p>
      <w:pPr>
        <w:spacing w:line="259" w:lineRule="auto" w:before="178"/>
        <w:ind w:left="1918" w:right="2265" w:firstLine="57"/>
        <w:jc w:val="both"/>
        <w:rPr>
          <w:sz w:val="21"/>
        </w:rPr>
      </w:pPr>
      <w:r>
        <w:rPr>
          <w:sz w:val="21"/>
        </w:rPr>
        <w:t>(7) </w:t>
      </w:r>
      <w:r>
        <w:rPr>
          <w:b/>
          <w:sz w:val="21"/>
        </w:rPr>
        <w:t>that the rest of the property in suit is not shown to be wakf or accretions to the wakf estate. It is separately demarcated and severable from the wakf </w:t>
      </w:r>
      <w:r>
        <w:rPr>
          <w:sz w:val="21"/>
        </w:rPr>
        <w:t>portion ABGD and the shops to the west of the</w:t>
      </w:r>
      <w:r>
        <w:rPr>
          <w:spacing w:val="-9"/>
          <w:sz w:val="21"/>
        </w:rPr>
        <w:t> </w:t>
      </w:r>
      <w:r>
        <w:rPr>
          <w:sz w:val="21"/>
        </w:rPr>
        <w:t>mosque;</w:t>
      </w:r>
    </w:p>
    <w:p>
      <w:pPr>
        <w:spacing w:before="159"/>
        <w:ind w:left="1918" w:right="0" w:firstLine="0"/>
        <w:jc w:val="left"/>
        <w:rPr>
          <w:sz w:val="21"/>
        </w:rPr>
      </w:pPr>
      <w:r>
        <w:rPr>
          <w:w w:val="100"/>
          <w:sz w:val="21"/>
        </w:rPr>
        <w:t>…</w:t>
      </w:r>
    </w:p>
    <w:p>
      <w:pPr>
        <w:spacing w:line="259" w:lineRule="auto" w:before="179"/>
        <w:ind w:left="1633" w:right="2261" w:firstLine="0"/>
        <w:jc w:val="both"/>
        <w:rPr>
          <w:sz w:val="21"/>
        </w:rPr>
      </w:pPr>
      <w:r>
        <w:rPr>
          <w:sz w:val="21"/>
        </w:rPr>
        <w:t>73. … It is now admitted, and was so found in the 1880 litigation, that the old mosque was wakf property. It can be assumed that the rest was not wakf at that date and indeed that is also our conclusion on a review of the evidence. </w:t>
      </w:r>
      <w:r>
        <w:rPr>
          <w:b/>
          <w:sz w:val="21"/>
        </w:rPr>
        <w:t>But much has happened since the 1880 litigation and there have been subsequent additions and accretions to the original estate so that now the whole of those additions and accretions form part and parcel of the original</w:t>
      </w:r>
      <w:r>
        <w:rPr>
          <w:b/>
          <w:spacing w:val="-13"/>
          <w:sz w:val="21"/>
        </w:rPr>
        <w:t> </w:t>
      </w:r>
      <w:r>
        <w:rPr>
          <w:b/>
          <w:sz w:val="21"/>
        </w:rPr>
        <w:t>Waqf</w:t>
      </w:r>
      <w:r>
        <w:rPr>
          <w:sz w:val="21"/>
        </w:rPr>
        <w:t>.‖</w:t>
      </w:r>
    </w:p>
    <w:p>
      <w:pPr>
        <w:spacing w:before="161"/>
        <w:ind w:left="5798" w:right="0" w:firstLine="0"/>
        <w:jc w:val="left"/>
        <w:rPr>
          <w:sz w:val="21"/>
        </w:rPr>
      </w:pPr>
      <w:r>
        <w:rPr>
          <w:sz w:val="21"/>
        </w:rPr>
        <w:t>(Emphasis supplied)</w:t>
      </w:r>
    </w:p>
    <w:p>
      <w:pPr>
        <w:pStyle w:val="BodyText"/>
        <w:rPr>
          <w:sz w:val="24"/>
        </w:rPr>
      </w:pPr>
    </w:p>
    <w:p>
      <w:pPr>
        <w:pStyle w:val="ListParagraph"/>
        <w:numPr>
          <w:ilvl w:val="0"/>
          <w:numId w:val="231"/>
        </w:numPr>
        <w:tabs>
          <w:tab w:pos="1221" w:val="left" w:leader="none"/>
        </w:tabs>
        <w:spacing w:line="480" w:lineRule="auto" w:before="213" w:after="0"/>
        <w:ind w:left="500" w:right="433" w:firstLine="0"/>
        <w:jc w:val="both"/>
        <w:rPr>
          <w:sz w:val="25"/>
        </w:rPr>
      </w:pPr>
      <w:r>
        <w:rPr>
          <w:sz w:val="25"/>
        </w:rPr>
        <w:t>Our jurisprudence recognises the principle of waqf by user even absent an express deed of dedication or declaration. Whether or not properties are waqf property by long use is a matter of evidence. The test is whether the property has been used for public religious worship by those professing the Islamic faith. The evidentiary threshold is high, in most cases requiring evidence of public worship at the property in question since time immemorial. In </w:t>
      </w:r>
      <w:r>
        <w:rPr>
          <w:b/>
          <w:sz w:val="25"/>
        </w:rPr>
        <w:t>Faqir Mohamad Shah</w:t>
      </w:r>
      <w:r>
        <w:rPr>
          <w:sz w:val="25"/>
        </w:rPr>
        <w:t>, it was admitted that the old mosque was waqf property. The court subsequently examined the evidence on record to determine whether the structures forming</w:t>
      </w:r>
      <w:r>
        <w:rPr>
          <w:spacing w:val="-21"/>
          <w:sz w:val="25"/>
        </w:rPr>
        <w:t> </w:t>
      </w:r>
      <w:r>
        <w:rPr>
          <w:sz w:val="25"/>
        </w:rPr>
        <w:t>the</w:t>
      </w:r>
    </w:p>
    <w:p>
      <w:pPr>
        <w:pStyle w:val="BodyText"/>
        <w:spacing w:line="480" w:lineRule="auto" w:before="2"/>
        <w:ind w:left="500" w:right="442"/>
        <w:jc w:val="both"/>
      </w:pPr>
      <w:r>
        <w:rPr/>
        <w:t>‗new</w:t>
      </w:r>
      <w:r>
        <w:rPr>
          <w:spacing w:val="-11"/>
        </w:rPr>
        <w:t> </w:t>
      </w:r>
      <w:r>
        <w:rPr/>
        <w:t>mosque‘</w:t>
      </w:r>
      <w:r>
        <w:rPr>
          <w:spacing w:val="-12"/>
        </w:rPr>
        <w:t> </w:t>
      </w:r>
      <w:r>
        <w:rPr/>
        <w:t>built</w:t>
      </w:r>
      <w:r>
        <w:rPr>
          <w:spacing w:val="-11"/>
        </w:rPr>
        <w:t> </w:t>
      </w:r>
      <w:r>
        <w:rPr/>
        <w:t>on</w:t>
      </w:r>
      <w:r>
        <w:rPr>
          <w:spacing w:val="-11"/>
        </w:rPr>
        <w:t> </w:t>
      </w:r>
      <w:r>
        <w:rPr/>
        <w:t>property</w:t>
      </w:r>
      <w:r>
        <w:rPr>
          <w:spacing w:val="-13"/>
        </w:rPr>
        <w:t> </w:t>
      </w:r>
      <w:r>
        <w:rPr/>
        <w:t>adjoining</w:t>
      </w:r>
      <w:r>
        <w:rPr>
          <w:spacing w:val="-10"/>
        </w:rPr>
        <w:t> </w:t>
      </w:r>
      <w:r>
        <w:rPr/>
        <w:t>the</w:t>
      </w:r>
      <w:r>
        <w:rPr>
          <w:spacing w:val="-11"/>
        </w:rPr>
        <w:t> </w:t>
      </w:r>
      <w:r>
        <w:rPr/>
        <w:t>‗old</w:t>
      </w:r>
      <w:r>
        <w:rPr>
          <w:spacing w:val="-10"/>
        </w:rPr>
        <w:t> </w:t>
      </w:r>
      <w:r>
        <w:rPr/>
        <w:t>mosque‘</w:t>
      </w:r>
      <w:r>
        <w:rPr>
          <w:spacing w:val="-12"/>
        </w:rPr>
        <w:t> </w:t>
      </w:r>
      <w:r>
        <w:rPr/>
        <w:t>had</w:t>
      </w:r>
      <w:r>
        <w:rPr>
          <w:spacing w:val="-10"/>
        </w:rPr>
        <w:t> </w:t>
      </w:r>
      <w:r>
        <w:rPr/>
        <w:t>also</w:t>
      </w:r>
      <w:r>
        <w:rPr>
          <w:spacing w:val="-11"/>
        </w:rPr>
        <w:t> </w:t>
      </w:r>
      <w:r>
        <w:rPr/>
        <w:t>been</w:t>
      </w:r>
      <w:r>
        <w:rPr>
          <w:spacing w:val="-11"/>
        </w:rPr>
        <w:t> </w:t>
      </w:r>
      <w:r>
        <w:rPr/>
        <w:t>used</w:t>
      </w:r>
      <w:r>
        <w:rPr>
          <w:spacing w:val="-10"/>
        </w:rPr>
        <w:t> </w:t>
      </w:r>
      <w:r>
        <w:rPr/>
        <w:t>for public</w:t>
      </w:r>
      <w:r>
        <w:rPr>
          <w:spacing w:val="-5"/>
        </w:rPr>
        <w:t> </w:t>
      </w:r>
      <w:r>
        <w:rPr/>
        <w:t>religious</w:t>
      </w:r>
      <w:r>
        <w:rPr>
          <w:spacing w:val="-5"/>
        </w:rPr>
        <w:t> </w:t>
      </w:r>
      <w:r>
        <w:rPr/>
        <w:t>worship.</w:t>
      </w:r>
      <w:r>
        <w:rPr>
          <w:spacing w:val="-4"/>
        </w:rPr>
        <w:t> </w:t>
      </w:r>
      <w:r>
        <w:rPr/>
        <w:t>It</w:t>
      </w:r>
      <w:r>
        <w:rPr>
          <w:spacing w:val="-5"/>
        </w:rPr>
        <w:t> </w:t>
      </w:r>
      <w:r>
        <w:rPr/>
        <w:t>is</w:t>
      </w:r>
      <w:r>
        <w:rPr>
          <w:spacing w:val="-4"/>
        </w:rPr>
        <w:t> </w:t>
      </w:r>
      <w:r>
        <w:rPr/>
        <w:t>on</w:t>
      </w:r>
      <w:r>
        <w:rPr>
          <w:spacing w:val="-5"/>
        </w:rPr>
        <w:t> </w:t>
      </w:r>
      <w:r>
        <w:rPr/>
        <w:t>this</w:t>
      </w:r>
      <w:r>
        <w:rPr>
          <w:spacing w:val="-3"/>
        </w:rPr>
        <w:t> </w:t>
      </w:r>
      <w:r>
        <w:rPr/>
        <w:t>basis</w:t>
      </w:r>
      <w:r>
        <w:rPr>
          <w:spacing w:val="-4"/>
        </w:rPr>
        <w:t> </w:t>
      </w:r>
      <w:r>
        <w:rPr/>
        <w:t>that</w:t>
      </w:r>
      <w:r>
        <w:rPr>
          <w:spacing w:val="-5"/>
        </w:rPr>
        <w:t> </w:t>
      </w:r>
      <w:r>
        <w:rPr/>
        <w:t>this</w:t>
      </w:r>
      <w:r>
        <w:rPr>
          <w:spacing w:val="2"/>
        </w:rPr>
        <w:t> </w:t>
      </w:r>
      <w:r>
        <w:rPr/>
        <w:t>Court</w:t>
      </w:r>
      <w:r>
        <w:rPr>
          <w:spacing w:val="-4"/>
        </w:rPr>
        <w:t> </w:t>
      </w:r>
      <w:r>
        <w:rPr/>
        <w:t>held</w:t>
      </w:r>
      <w:r>
        <w:rPr>
          <w:spacing w:val="-5"/>
        </w:rPr>
        <w:t> </w:t>
      </w:r>
      <w:r>
        <w:rPr/>
        <w:t>portions</w:t>
      </w:r>
      <w:r>
        <w:rPr>
          <w:spacing w:val="-5"/>
        </w:rPr>
        <w:t> </w:t>
      </w:r>
      <w:r>
        <w:rPr/>
        <w:t>of</w:t>
      </w:r>
      <w:r>
        <w:rPr>
          <w:spacing w:val="-4"/>
        </w:rPr>
        <w:t> </w:t>
      </w:r>
      <w:r>
        <w:rPr/>
        <w:t>the</w:t>
      </w:r>
      <w:r>
        <w:rPr>
          <w:spacing w:val="-5"/>
        </w:rPr>
        <w:t> </w:t>
      </w:r>
      <w:r>
        <w:rPr/>
        <w:t>‗new mosque‘,</w:t>
      </w:r>
      <w:r>
        <w:rPr>
          <w:spacing w:val="-9"/>
        </w:rPr>
        <w:t> </w:t>
      </w:r>
      <w:r>
        <w:rPr/>
        <w:t>in</w:t>
      </w:r>
      <w:r>
        <w:rPr>
          <w:spacing w:val="-8"/>
        </w:rPr>
        <w:t> </w:t>
      </w:r>
      <w:r>
        <w:rPr/>
        <w:t>conjunction</w:t>
      </w:r>
      <w:r>
        <w:rPr>
          <w:spacing w:val="-8"/>
        </w:rPr>
        <w:t> </w:t>
      </w:r>
      <w:r>
        <w:rPr/>
        <w:t>with</w:t>
      </w:r>
      <w:r>
        <w:rPr>
          <w:spacing w:val="-9"/>
        </w:rPr>
        <w:t> </w:t>
      </w:r>
      <w:r>
        <w:rPr/>
        <w:t>the</w:t>
      </w:r>
      <w:r>
        <w:rPr>
          <w:spacing w:val="-7"/>
        </w:rPr>
        <w:t> </w:t>
      </w:r>
      <w:r>
        <w:rPr/>
        <w:t>‗old</w:t>
      </w:r>
      <w:r>
        <w:rPr>
          <w:spacing w:val="-8"/>
        </w:rPr>
        <w:t> </w:t>
      </w:r>
      <w:r>
        <w:rPr/>
        <w:t>mosque‘,</w:t>
      </w:r>
      <w:r>
        <w:rPr>
          <w:spacing w:val="-8"/>
        </w:rPr>
        <w:t> </w:t>
      </w:r>
      <w:r>
        <w:rPr/>
        <w:t>to</w:t>
      </w:r>
      <w:r>
        <w:rPr>
          <w:spacing w:val="-8"/>
        </w:rPr>
        <w:t> </w:t>
      </w:r>
      <w:r>
        <w:rPr/>
        <w:t>be</w:t>
      </w:r>
      <w:r>
        <w:rPr>
          <w:spacing w:val="-7"/>
        </w:rPr>
        <w:t> </w:t>
      </w:r>
      <w:r>
        <w:rPr/>
        <w:t>a</w:t>
      </w:r>
      <w:r>
        <w:rPr>
          <w:spacing w:val="-8"/>
        </w:rPr>
        <w:t> </w:t>
      </w:r>
      <w:r>
        <w:rPr/>
        <w:t>composite</w:t>
      </w:r>
      <w:r>
        <w:rPr>
          <w:spacing w:val="-10"/>
        </w:rPr>
        <w:t> </w:t>
      </w:r>
      <w:r>
        <w:rPr/>
        <w:t>waqf</w:t>
      </w:r>
      <w:r>
        <w:rPr>
          <w:spacing w:val="-8"/>
        </w:rPr>
        <w:t> </w:t>
      </w:r>
      <w:r>
        <w:rPr/>
        <w:t>property.</w:t>
      </w:r>
    </w:p>
    <w:p>
      <w:pPr>
        <w:spacing w:after="0" w:line="480" w:lineRule="auto"/>
        <w:jc w:val="both"/>
        <w:sectPr>
          <w:pgSz w:w="11910" w:h="16840"/>
          <w:pgMar w:header="721" w:footer="1014" w:top="1300" w:bottom="1200" w:left="940" w:right="1000"/>
        </w:sectPr>
      </w:pPr>
    </w:p>
    <w:p>
      <w:pPr>
        <w:pStyle w:val="Heading4"/>
        <w:spacing w:before="126"/>
        <w:rPr>
          <w:i/>
        </w:rPr>
      </w:pPr>
      <w:r>
        <w:rPr>
          <w:i/>
        </w:rPr>
        <w:t>Application to the present case</w:t>
      </w:r>
    </w:p>
    <w:p>
      <w:pPr>
        <w:pStyle w:val="BodyText"/>
        <w:rPr>
          <w:i/>
          <w:sz w:val="28"/>
        </w:rPr>
      </w:pPr>
    </w:p>
    <w:p>
      <w:pPr>
        <w:pStyle w:val="ListParagraph"/>
        <w:numPr>
          <w:ilvl w:val="0"/>
          <w:numId w:val="231"/>
        </w:numPr>
        <w:tabs>
          <w:tab w:pos="1221" w:val="left" w:leader="none"/>
        </w:tabs>
        <w:spacing w:line="480" w:lineRule="auto" w:before="250" w:after="0"/>
        <w:ind w:left="500" w:right="441" w:firstLine="0"/>
        <w:jc w:val="both"/>
        <w:rPr>
          <w:sz w:val="25"/>
        </w:rPr>
      </w:pPr>
      <w:r>
        <w:rPr>
          <w:sz w:val="25"/>
        </w:rPr>
        <w:t>Having set out the legal principles on waqf by user as recognised by our courts, the next question is whether the principle is attracted in the present case. The contention urged on behalf of the plaintiffs in Suit 4 must be read in conjunction with the relief prayed for in Suit 4. The relief sought</w:t>
      </w:r>
      <w:r>
        <w:rPr>
          <w:spacing w:val="-7"/>
          <w:sz w:val="25"/>
        </w:rPr>
        <w:t> </w:t>
      </w:r>
      <w:r>
        <w:rPr>
          <w:sz w:val="25"/>
        </w:rPr>
        <w:t>is:</w:t>
      </w:r>
    </w:p>
    <w:p>
      <w:pPr>
        <w:pStyle w:val="BodyText"/>
        <w:spacing w:before="10"/>
        <w:rPr>
          <w:sz w:val="40"/>
        </w:rPr>
      </w:pPr>
    </w:p>
    <w:p>
      <w:pPr>
        <w:spacing w:line="259" w:lineRule="auto" w:before="0"/>
        <w:ind w:left="1633" w:right="2260" w:firstLine="0"/>
        <w:jc w:val="both"/>
        <w:rPr>
          <w:sz w:val="21"/>
        </w:rPr>
      </w:pPr>
      <w:r>
        <w:rPr>
          <w:spacing w:val="-1"/>
          <w:w w:val="33"/>
          <w:sz w:val="21"/>
        </w:rPr>
        <w:t>―</w:t>
      </w:r>
      <w:r>
        <w:rPr>
          <w:spacing w:val="-1"/>
          <w:w w:val="100"/>
          <w:sz w:val="21"/>
        </w:rPr>
        <w:t>(a</w:t>
      </w:r>
      <w:r>
        <w:rPr>
          <w:w w:val="100"/>
          <w:sz w:val="21"/>
        </w:rPr>
        <w:t>)</w:t>
      </w:r>
      <w:r>
        <w:rPr>
          <w:sz w:val="21"/>
        </w:rPr>
        <w:t> </w:t>
      </w:r>
      <w:r>
        <w:rPr>
          <w:spacing w:val="-5"/>
          <w:sz w:val="21"/>
        </w:rPr>
        <w:t> </w:t>
      </w:r>
      <w:r>
        <w:rPr>
          <w:w w:val="100"/>
          <w:sz w:val="21"/>
        </w:rPr>
        <w:t>A</w:t>
      </w:r>
      <w:r>
        <w:rPr>
          <w:sz w:val="21"/>
        </w:rPr>
        <w:t> </w:t>
      </w:r>
      <w:r>
        <w:rPr>
          <w:spacing w:val="-6"/>
          <w:sz w:val="21"/>
        </w:rPr>
        <w:t> </w:t>
      </w:r>
      <w:r>
        <w:rPr>
          <w:spacing w:val="-1"/>
          <w:w w:val="100"/>
          <w:sz w:val="21"/>
        </w:rPr>
        <w:t>de</w:t>
      </w:r>
      <w:r>
        <w:rPr>
          <w:spacing w:val="-3"/>
          <w:w w:val="100"/>
          <w:sz w:val="21"/>
        </w:rPr>
        <w:t>c</w:t>
      </w:r>
      <w:r>
        <w:rPr>
          <w:w w:val="100"/>
          <w:sz w:val="21"/>
        </w:rPr>
        <w:t>l</w:t>
      </w:r>
      <w:r>
        <w:rPr>
          <w:spacing w:val="-1"/>
          <w:w w:val="100"/>
          <w:sz w:val="21"/>
        </w:rPr>
        <w:t>a</w:t>
      </w:r>
      <w:r>
        <w:rPr>
          <w:spacing w:val="-3"/>
          <w:w w:val="100"/>
          <w:sz w:val="21"/>
        </w:rPr>
        <w:t>r</w:t>
      </w:r>
      <w:r>
        <w:rPr>
          <w:spacing w:val="-1"/>
          <w:w w:val="100"/>
          <w:sz w:val="21"/>
        </w:rPr>
        <w:t>at</w:t>
      </w:r>
      <w:r>
        <w:rPr>
          <w:w w:val="100"/>
          <w:sz w:val="21"/>
        </w:rPr>
        <w:t>i</w:t>
      </w:r>
      <w:r>
        <w:rPr>
          <w:spacing w:val="-1"/>
          <w:w w:val="100"/>
          <w:sz w:val="21"/>
        </w:rPr>
        <w:t>o</w:t>
      </w:r>
      <w:r>
        <w:rPr>
          <w:w w:val="100"/>
          <w:sz w:val="21"/>
        </w:rPr>
        <w:t>n</w:t>
      </w:r>
      <w:r>
        <w:rPr>
          <w:sz w:val="21"/>
        </w:rPr>
        <w:t> </w:t>
      </w:r>
      <w:r>
        <w:rPr>
          <w:spacing w:val="-7"/>
          <w:sz w:val="21"/>
        </w:rPr>
        <w:t> </w:t>
      </w:r>
      <w:r>
        <w:rPr>
          <w:spacing w:val="-2"/>
          <w:w w:val="100"/>
          <w:sz w:val="21"/>
        </w:rPr>
        <w:t>t</w:t>
      </w:r>
      <w:r>
        <w:rPr>
          <w:w w:val="100"/>
          <w:sz w:val="21"/>
        </w:rPr>
        <w:t>o</w:t>
      </w:r>
      <w:r>
        <w:rPr>
          <w:sz w:val="21"/>
        </w:rPr>
        <w:t> </w:t>
      </w:r>
      <w:r>
        <w:rPr>
          <w:spacing w:val="-4"/>
          <w:sz w:val="21"/>
        </w:rPr>
        <w:t> </w:t>
      </w:r>
      <w:r>
        <w:rPr>
          <w:spacing w:val="-2"/>
          <w:w w:val="100"/>
          <w:sz w:val="21"/>
        </w:rPr>
        <w:t>t</w:t>
      </w:r>
      <w:r>
        <w:rPr>
          <w:spacing w:val="-3"/>
          <w:w w:val="100"/>
          <w:sz w:val="21"/>
        </w:rPr>
        <w:t>h</w:t>
      </w:r>
      <w:r>
        <w:rPr>
          <w:w w:val="100"/>
          <w:sz w:val="21"/>
        </w:rPr>
        <w:t>e</w:t>
      </w:r>
      <w:r>
        <w:rPr>
          <w:sz w:val="21"/>
        </w:rPr>
        <w:t> </w:t>
      </w:r>
      <w:r>
        <w:rPr>
          <w:spacing w:val="-7"/>
          <w:sz w:val="21"/>
        </w:rPr>
        <w:t> </w:t>
      </w:r>
      <w:r>
        <w:rPr>
          <w:spacing w:val="-3"/>
          <w:w w:val="100"/>
          <w:sz w:val="21"/>
        </w:rPr>
        <w:t>e</w:t>
      </w:r>
      <w:r>
        <w:rPr>
          <w:spacing w:val="1"/>
          <w:w w:val="100"/>
          <w:sz w:val="21"/>
        </w:rPr>
        <w:t>f</w:t>
      </w:r>
      <w:r>
        <w:rPr>
          <w:spacing w:val="-2"/>
          <w:w w:val="100"/>
          <w:sz w:val="21"/>
        </w:rPr>
        <w:t>f</w:t>
      </w:r>
      <w:r>
        <w:rPr>
          <w:spacing w:val="-1"/>
          <w:w w:val="100"/>
          <w:sz w:val="21"/>
        </w:rPr>
        <w:t>ec</w:t>
      </w:r>
      <w:r>
        <w:rPr>
          <w:w w:val="100"/>
          <w:sz w:val="21"/>
        </w:rPr>
        <w:t>t</w:t>
      </w:r>
      <w:r>
        <w:rPr>
          <w:sz w:val="21"/>
        </w:rPr>
        <w:t> </w:t>
      </w:r>
      <w:r>
        <w:rPr>
          <w:spacing w:val="-5"/>
          <w:sz w:val="21"/>
        </w:rPr>
        <w:t> </w:t>
      </w:r>
      <w:r>
        <w:rPr>
          <w:spacing w:val="-2"/>
          <w:w w:val="100"/>
          <w:sz w:val="21"/>
        </w:rPr>
        <w:t>t</w:t>
      </w:r>
      <w:r>
        <w:rPr>
          <w:spacing w:val="-1"/>
          <w:w w:val="100"/>
          <w:sz w:val="21"/>
        </w:rPr>
        <w:t>ha</w:t>
      </w:r>
      <w:r>
        <w:rPr>
          <w:w w:val="100"/>
          <w:sz w:val="21"/>
        </w:rPr>
        <w:t>t</w:t>
      </w:r>
      <w:r>
        <w:rPr>
          <w:sz w:val="21"/>
        </w:rPr>
        <w:t> </w:t>
      </w:r>
      <w:r>
        <w:rPr>
          <w:spacing w:val="-5"/>
          <w:sz w:val="21"/>
        </w:rPr>
        <w:t> </w:t>
      </w:r>
      <w:r>
        <w:rPr>
          <w:spacing w:val="-2"/>
          <w:w w:val="100"/>
          <w:sz w:val="21"/>
        </w:rPr>
        <w:t>t</w:t>
      </w:r>
      <w:r>
        <w:rPr>
          <w:spacing w:val="-3"/>
          <w:w w:val="100"/>
          <w:sz w:val="21"/>
        </w:rPr>
        <w:t>h</w:t>
      </w:r>
      <w:r>
        <w:rPr>
          <w:w w:val="100"/>
          <w:sz w:val="21"/>
        </w:rPr>
        <w:t>e</w:t>
      </w:r>
      <w:r>
        <w:rPr>
          <w:sz w:val="21"/>
        </w:rPr>
        <w:t> </w:t>
      </w:r>
      <w:r>
        <w:rPr>
          <w:spacing w:val="-7"/>
          <w:sz w:val="21"/>
        </w:rPr>
        <w:t> </w:t>
      </w:r>
      <w:r>
        <w:rPr>
          <w:spacing w:val="-1"/>
          <w:w w:val="100"/>
          <w:sz w:val="21"/>
        </w:rPr>
        <w:t>proper</w:t>
      </w:r>
      <w:r>
        <w:rPr>
          <w:spacing w:val="-2"/>
          <w:w w:val="100"/>
          <w:sz w:val="21"/>
        </w:rPr>
        <w:t>t</w:t>
      </w:r>
      <w:r>
        <w:rPr>
          <w:w w:val="100"/>
          <w:sz w:val="21"/>
        </w:rPr>
        <w:t>y</w:t>
      </w:r>
      <w:r>
        <w:rPr>
          <w:sz w:val="21"/>
        </w:rPr>
        <w:t> </w:t>
      </w:r>
      <w:r>
        <w:rPr>
          <w:spacing w:val="-7"/>
          <w:sz w:val="21"/>
        </w:rPr>
        <w:t> </w:t>
      </w:r>
      <w:r>
        <w:rPr>
          <w:spacing w:val="5"/>
          <w:w w:val="100"/>
          <w:sz w:val="21"/>
        </w:rPr>
        <w:t>i</w:t>
      </w:r>
      <w:r>
        <w:rPr>
          <w:spacing w:val="-3"/>
          <w:w w:val="100"/>
          <w:sz w:val="21"/>
        </w:rPr>
        <w:t>n</w:t>
      </w:r>
      <w:r>
        <w:rPr>
          <w:w w:val="100"/>
          <w:sz w:val="21"/>
        </w:rPr>
        <w:t>d</w:t>
      </w:r>
      <w:r>
        <w:rPr>
          <w:spacing w:val="-2"/>
          <w:w w:val="100"/>
          <w:sz w:val="21"/>
        </w:rPr>
        <w:t>i</w:t>
      </w:r>
      <w:r>
        <w:rPr>
          <w:w w:val="100"/>
          <w:sz w:val="21"/>
        </w:rPr>
        <w:t>ca</w:t>
      </w:r>
      <w:r>
        <w:rPr>
          <w:spacing w:val="-1"/>
          <w:w w:val="100"/>
          <w:sz w:val="21"/>
        </w:rPr>
        <w:t>t</w:t>
      </w:r>
      <w:r>
        <w:rPr>
          <w:w w:val="100"/>
          <w:sz w:val="21"/>
        </w:rPr>
        <w:t>ed</w:t>
      </w:r>
      <w:r>
        <w:rPr>
          <w:sz w:val="21"/>
        </w:rPr>
        <w:t> </w:t>
      </w:r>
      <w:r>
        <w:rPr>
          <w:spacing w:val="-7"/>
          <w:sz w:val="21"/>
        </w:rPr>
        <w:t> </w:t>
      </w:r>
      <w:r>
        <w:rPr>
          <w:w w:val="100"/>
          <w:sz w:val="21"/>
        </w:rPr>
        <w:t>by </w:t>
      </w:r>
      <w:r>
        <w:rPr>
          <w:sz w:val="21"/>
        </w:rPr>
        <w:t>letters A B C D in the sketch map attached to the plaint is public </w:t>
      </w:r>
      <w:r>
        <w:rPr>
          <w:spacing w:val="1"/>
          <w:w w:val="100"/>
          <w:sz w:val="21"/>
        </w:rPr>
        <w:t>m</w:t>
      </w:r>
      <w:r>
        <w:rPr>
          <w:spacing w:val="-3"/>
          <w:w w:val="100"/>
          <w:sz w:val="21"/>
        </w:rPr>
        <w:t>o</w:t>
      </w:r>
      <w:r>
        <w:rPr>
          <w:w w:val="100"/>
          <w:sz w:val="21"/>
        </w:rPr>
        <w:t>sq</w:t>
      </w:r>
      <w:r>
        <w:rPr>
          <w:spacing w:val="-3"/>
          <w:w w:val="100"/>
          <w:sz w:val="21"/>
        </w:rPr>
        <w:t>u</w:t>
      </w:r>
      <w:r>
        <w:rPr>
          <w:w w:val="100"/>
          <w:sz w:val="21"/>
        </w:rPr>
        <w:t>e</w:t>
      </w:r>
      <w:r>
        <w:rPr>
          <w:sz w:val="21"/>
        </w:rPr>
        <w:t> </w:t>
      </w:r>
      <w:r>
        <w:rPr>
          <w:spacing w:val="-24"/>
          <w:sz w:val="21"/>
        </w:rPr>
        <w:t> </w:t>
      </w:r>
      <w:r>
        <w:rPr>
          <w:spacing w:val="-3"/>
          <w:w w:val="100"/>
          <w:sz w:val="21"/>
        </w:rPr>
        <w:t>co</w:t>
      </w:r>
      <w:r>
        <w:rPr>
          <w:spacing w:val="-1"/>
          <w:w w:val="100"/>
          <w:sz w:val="21"/>
        </w:rPr>
        <w:t>m</w:t>
      </w:r>
      <w:r>
        <w:rPr>
          <w:spacing w:val="1"/>
          <w:w w:val="100"/>
          <w:sz w:val="21"/>
        </w:rPr>
        <w:t>m</w:t>
      </w:r>
      <w:r>
        <w:rPr>
          <w:spacing w:val="-1"/>
          <w:w w:val="100"/>
          <w:sz w:val="21"/>
        </w:rPr>
        <w:t>o</w:t>
      </w:r>
      <w:r>
        <w:rPr>
          <w:spacing w:val="-3"/>
          <w:w w:val="100"/>
          <w:sz w:val="21"/>
        </w:rPr>
        <w:t>n</w:t>
      </w:r>
      <w:r>
        <w:rPr>
          <w:w w:val="100"/>
          <w:sz w:val="21"/>
        </w:rPr>
        <w:t>ly</w:t>
      </w:r>
      <w:r>
        <w:rPr>
          <w:sz w:val="21"/>
        </w:rPr>
        <w:t> </w:t>
      </w:r>
      <w:r>
        <w:rPr>
          <w:spacing w:val="-28"/>
          <w:sz w:val="21"/>
        </w:rPr>
        <w:t> </w:t>
      </w:r>
      <w:r>
        <w:rPr>
          <w:spacing w:val="2"/>
          <w:w w:val="100"/>
          <w:sz w:val="21"/>
        </w:rPr>
        <w:t>k</w:t>
      </w:r>
      <w:r>
        <w:rPr>
          <w:spacing w:val="-1"/>
          <w:w w:val="100"/>
          <w:sz w:val="21"/>
        </w:rPr>
        <w:t>no</w:t>
      </w:r>
      <w:r>
        <w:rPr>
          <w:spacing w:val="-4"/>
          <w:w w:val="100"/>
          <w:sz w:val="21"/>
        </w:rPr>
        <w:t>w</w:t>
      </w:r>
      <w:r>
        <w:rPr>
          <w:w w:val="100"/>
          <w:sz w:val="21"/>
        </w:rPr>
        <w:t>n</w:t>
      </w:r>
      <w:r>
        <w:rPr>
          <w:sz w:val="21"/>
        </w:rPr>
        <w:t> </w:t>
      </w:r>
      <w:r>
        <w:rPr>
          <w:spacing w:val="-24"/>
          <w:sz w:val="21"/>
        </w:rPr>
        <w:t> </w:t>
      </w:r>
      <w:r>
        <w:rPr>
          <w:spacing w:val="-1"/>
          <w:w w:val="100"/>
          <w:sz w:val="21"/>
        </w:rPr>
        <w:t>a</w:t>
      </w:r>
      <w:r>
        <w:rPr>
          <w:w w:val="100"/>
          <w:sz w:val="21"/>
        </w:rPr>
        <w:t>s</w:t>
      </w:r>
      <w:r>
        <w:rPr>
          <w:sz w:val="21"/>
        </w:rPr>
        <w:t> </w:t>
      </w:r>
      <w:r>
        <w:rPr>
          <w:spacing w:val="-26"/>
          <w:sz w:val="21"/>
        </w:rPr>
        <w:t> </w:t>
      </w:r>
      <w:r>
        <w:rPr>
          <w:spacing w:val="-2"/>
          <w:w w:val="40"/>
          <w:sz w:val="21"/>
        </w:rPr>
        <w:t>‗</w:t>
      </w:r>
      <w:r>
        <w:rPr>
          <w:w w:val="100"/>
          <w:sz w:val="21"/>
        </w:rPr>
        <w:t>B</w:t>
      </w:r>
      <w:r>
        <w:rPr>
          <w:spacing w:val="-1"/>
          <w:w w:val="100"/>
          <w:sz w:val="21"/>
        </w:rPr>
        <w:t>a</w:t>
      </w:r>
      <w:r>
        <w:rPr>
          <w:spacing w:val="-3"/>
          <w:w w:val="100"/>
          <w:sz w:val="21"/>
        </w:rPr>
        <w:t>b</w:t>
      </w:r>
      <w:r>
        <w:rPr>
          <w:spacing w:val="-1"/>
          <w:w w:val="100"/>
          <w:sz w:val="21"/>
        </w:rPr>
        <w:t>ar</w:t>
      </w:r>
      <w:r>
        <w:rPr>
          <w:w w:val="100"/>
          <w:sz w:val="21"/>
        </w:rPr>
        <w:t>i</w:t>
      </w:r>
      <w:r>
        <w:rPr>
          <w:sz w:val="21"/>
        </w:rPr>
        <w:t> </w:t>
      </w:r>
      <w:r>
        <w:rPr>
          <w:spacing w:val="-23"/>
          <w:sz w:val="21"/>
        </w:rPr>
        <w:t> </w:t>
      </w:r>
      <w:r>
        <w:rPr>
          <w:spacing w:val="-4"/>
          <w:w w:val="100"/>
          <w:sz w:val="21"/>
        </w:rPr>
        <w:t>M</w:t>
      </w:r>
      <w:r>
        <w:rPr>
          <w:spacing w:val="-1"/>
          <w:w w:val="100"/>
          <w:sz w:val="21"/>
        </w:rPr>
        <w:t>a</w:t>
      </w:r>
      <w:r>
        <w:rPr>
          <w:spacing w:val="-3"/>
          <w:w w:val="100"/>
          <w:sz w:val="21"/>
        </w:rPr>
        <w:t>s</w:t>
      </w:r>
      <w:r>
        <w:rPr>
          <w:w w:val="100"/>
          <w:sz w:val="21"/>
        </w:rPr>
        <w:t>ji</w:t>
      </w:r>
      <w:r>
        <w:rPr>
          <w:spacing w:val="-3"/>
          <w:w w:val="100"/>
          <w:sz w:val="21"/>
        </w:rPr>
        <w:t>d</w:t>
      </w:r>
      <w:r>
        <w:rPr>
          <w:w w:val="100"/>
          <w:sz w:val="21"/>
        </w:rPr>
        <w:t>‘</w:t>
      </w:r>
      <w:r>
        <w:rPr>
          <w:sz w:val="21"/>
        </w:rPr>
        <w:t> </w:t>
      </w:r>
      <w:r>
        <w:rPr>
          <w:spacing w:val="-25"/>
          <w:sz w:val="21"/>
        </w:rPr>
        <w:t> </w:t>
      </w:r>
      <w:r>
        <w:rPr>
          <w:spacing w:val="-1"/>
          <w:w w:val="100"/>
          <w:sz w:val="21"/>
        </w:rPr>
        <w:t>an</w:t>
      </w:r>
      <w:r>
        <w:rPr>
          <w:w w:val="100"/>
          <w:sz w:val="21"/>
        </w:rPr>
        <w:t>d</w:t>
      </w:r>
      <w:r>
        <w:rPr>
          <w:sz w:val="21"/>
        </w:rPr>
        <w:t> </w:t>
      </w:r>
      <w:r>
        <w:rPr>
          <w:spacing w:val="-26"/>
          <w:sz w:val="21"/>
        </w:rPr>
        <w:t> </w:t>
      </w:r>
      <w:r>
        <w:rPr>
          <w:spacing w:val="-2"/>
          <w:w w:val="100"/>
          <w:sz w:val="21"/>
        </w:rPr>
        <w:t>t</w:t>
      </w:r>
      <w:r>
        <w:rPr>
          <w:spacing w:val="-1"/>
          <w:w w:val="100"/>
          <w:sz w:val="21"/>
        </w:rPr>
        <w:t>ha</w:t>
      </w:r>
      <w:r>
        <w:rPr>
          <w:w w:val="100"/>
          <w:sz w:val="21"/>
        </w:rPr>
        <w:t>t</w:t>
      </w:r>
      <w:r>
        <w:rPr>
          <w:sz w:val="21"/>
        </w:rPr>
        <w:t> </w:t>
      </w:r>
      <w:r>
        <w:rPr>
          <w:spacing w:val="-25"/>
          <w:sz w:val="21"/>
        </w:rPr>
        <w:t> </w:t>
      </w:r>
      <w:r>
        <w:rPr>
          <w:spacing w:val="-2"/>
          <w:w w:val="100"/>
          <w:sz w:val="21"/>
        </w:rPr>
        <w:t>t</w:t>
      </w:r>
      <w:r>
        <w:rPr>
          <w:spacing w:val="-1"/>
          <w:w w:val="100"/>
          <w:sz w:val="21"/>
        </w:rPr>
        <w:t>h</w:t>
      </w:r>
      <w:r>
        <w:rPr>
          <w:w w:val="100"/>
          <w:sz w:val="21"/>
        </w:rPr>
        <w:t>e</w:t>
      </w:r>
      <w:r>
        <w:rPr>
          <w:sz w:val="21"/>
        </w:rPr>
        <w:t> </w:t>
      </w:r>
      <w:r>
        <w:rPr>
          <w:spacing w:val="-26"/>
          <w:sz w:val="21"/>
        </w:rPr>
        <w:t> </w:t>
      </w:r>
      <w:r>
        <w:rPr>
          <w:w w:val="100"/>
          <w:sz w:val="21"/>
        </w:rPr>
        <w:t>l</w:t>
      </w:r>
      <w:r>
        <w:rPr>
          <w:spacing w:val="-1"/>
          <w:w w:val="100"/>
          <w:sz w:val="21"/>
        </w:rPr>
        <w:t>a</w:t>
      </w:r>
      <w:r>
        <w:rPr>
          <w:spacing w:val="-3"/>
          <w:w w:val="100"/>
          <w:sz w:val="21"/>
        </w:rPr>
        <w:t>n</w:t>
      </w:r>
      <w:r>
        <w:rPr>
          <w:w w:val="100"/>
          <w:sz w:val="21"/>
        </w:rPr>
        <w:t>d </w:t>
      </w:r>
      <w:r>
        <w:rPr>
          <w:sz w:val="21"/>
        </w:rPr>
        <w:t>adjoining the mosque shown in the sketch map by letters E F G H is a public Muslim graveyard as specified in para 2 of the plaint may be</w:t>
      </w:r>
      <w:r>
        <w:rPr>
          <w:spacing w:val="-5"/>
          <w:sz w:val="21"/>
        </w:rPr>
        <w:t> </w:t>
      </w:r>
      <w:r>
        <w:rPr>
          <w:sz w:val="21"/>
        </w:rPr>
        <w:t>decreed.</w:t>
      </w:r>
    </w:p>
    <w:p>
      <w:pPr>
        <w:pStyle w:val="ListParagraph"/>
        <w:numPr>
          <w:ilvl w:val="0"/>
          <w:numId w:val="234"/>
        </w:numPr>
        <w:tabs>
          <w:tab w:pos="1941" w:val="left" w:leader="none"/>
        </w:tabs>
        <w:spacing w:line="259" w:lineRule="auto" w:before="158" w:after="0"/>
        <w:ind w:left="1633" w:right="2266" w:firstLine="0"/>
        <w:jc w:val="both"/>
        <w:rPr>
          <w:sz w:val="21"/>
        </w:rPr>
      </w:pPr>
      <w:r>
        <w:rPr>
          <w:sz w:val="21"/>
        </w:rPr>
        <w:t>That in case in the opinion of the Court delivery of possession is deemed to be the proper remedy, a decree for delivery of possession of the mosque and graveyard in suit by removal of the idols and other articles which the Hindus may have placed in the mosque as objects of their worship be passed in plaintiff‘s favour, against the</w:t>
      </w:r>
      <w:r>
        <w:rPr>
          <w:spacing w:val="-6"/>
          <w:sz w:val="21"/>
        </w:rPr>
        <w:t> </w:t>
      </w:r>
      <w:r>
        <w:rPr>
          <w:sz w:val="21"/>
        </w:rPr>
        <w:t>defendants.</w:t>
      </w:r>
    </w:p>
    <w:p>
      <w:pPr>
        <w:pStyle w:val="BodyText"/>
        <w:spacing w:before="9"/>
        <w:rPr>
          <w:sz w:val="22"/>
        </w:rPr>
      </w:pPr>
    </w:p>
    <w:p>
      <w:pPr>
        <w:spacing w:before="0"/>
        <w:ind w:left="6508" w:right="0" w:firstLine="0"/>
        <w:jc w:val="left"/>
        <w:rPr>
          <w:sz w:val="21"/>
        </w:rPr>
      </w:pPr>
      <w:r>
        <w:rPr>
          <w:sz w:val="21"/>
        </w:rPr>
        <w:t>Amendment/</w:t>
      </w:r>
    </w:p>
    <w:p>
      <w:pPr>
        <w:pStyle w:val="BodyText"/>
        <w:spacing w:before="7"/>
        <w:rPr>
          <w:sz w:val="22"/>
        </w:rPr>
      </w:pPr>
    </w:p>
    <w:p>
      <w:pPr>
        <w:spacing w:before="0"/>
        <w:ind w:left="1633" w:right="0" w:firstLine="0"/>
        <w:jc w:val="both"/>
        <w:rPr>
          <w:sz w:val="21"/>
        </w:rPr>
      </w:pPr>
      <w:r>
        <w:rPr>
          <w:sz w:val="21"/>
        </w:rPr>
        <w:t>Addition made as per Court‘s order dt. 25.5.95 Sd./-</w:t>
      </w:r>
    </w:p>
    <w:p>
      <w:pPr>
        <w:pStyle w:val="BodyText"/>
        <w:rPr>
          <w:sz w:val="24"/>
        </w:rPr>
      </w:pPr>
    </w:p>
    <w:p>
      <w:pPr>
        <w:spacing w:line="259" w:lineRule="auto" w:before="145"/>
        <w:ind w:left="1633" w:right="2264" w:firstLine="0"/>
        <w:jc w:val="both"/>
        <w:rPr>
          <w:sz w:val="21"/>
        </w:rPr>
      </w:pPr>
      <w:r>
        <w:rPr>
          <w:sz w:val="21"/>
        </w:rPr>
        <w:t>(bb) That the statutory Receiver be commanded to hand over the </w:t>
      </w:r>
      <w:r>
        <w:rPr>
          <w:spacing w:val="-1"/>
          <w:w w:val="100"/>
          <w:sz w:val="21"/>
        </w:rPr>
        <w:t>proper</w:t>
      </w:r>
      <w:r>
        <w:rPr>
          <w:spacing w:val="-2"/>
          <w:w w:val="100"/>
          <w:sz w:val="21"/>
        </w:rPr>
        <w:t>t</w:t>
      </w:r>
      <w:r>
        <w:rPr>
          <w:w w:val="100"/>
          <w:sz w:val="21"/>
        </w:rPr>
        <w:t>y</w:t>
      </w:r>
      <w:r>
        <w:rPr>
          <w:sz w:val="21"/>
        </w:rPr>
        <w:t> </w:t>
      </w:r>
      <w:r>
        <w:rPr>
          <w:spacing w:val="-14"/>
          <w:sz w:val="21"/>
        </w:rPr>
        <w:t> </w:t>
      </w:r>
      <w:r>
        <w:rPr>
          <w:w w:val="100"/>
          <w:sz w:val="21"/>
        </w:rPr>
        <w:t>in</w:t>
      </w:r>
      <w:r>
        <w:rPr>
          <w:sz w:val="21"/>
        </w:rPr>
        <w:t> </w:t>
      </w:r>
      <w:r>
        <w:rPr>
          <w:spacing w:val="-12"/>
          <w:sz w:val="21"/>
        </w:rPr>
        <w:t> </w:t>
      </w:r>
      <w:r>
        <w:rPr>
          <w:spacing w:val="-3"/>
          <w:w w:val="100"/>
          <w:sz w:val="21"/>
        </w:rPr>
        <w:t>d</w:t>
      </w:r>
      <w:r>
        <w:rPr>
          <w:w w:val="100"/>
          <w:sz w:val="21"/>
        </w:rPr>
        <w:t>is</w:t>
      </w:r>
      <w:r>
        <w:rPr>
          <w:spacing w:val="-3"/>
          <w:w w:val="100"/>
          <w:sz w:val="21"/>
        </w:rPr>
        <w:t>p</w:t>
      </w:r>
      <w:r>
        <w:rPr>
          <w:spacing w:val="-1"/>
          <w:w w:val="100"/>
          <w:sz w:val="21"/>
        </w:rPr>
        <w:t>ut</w:t>
      </w:r>
      <w:r>
        <w:rPr>
          <w:w w:val="100"/>
          <w:sz w:val="21"/>
        </w:rPr>
        <w:t>e</w:t>
      </w:r>
      <w:r>
        <w:rPr>
          <w:sz w:val="21"/>
        </w:rPr>
        <w:t> </w:t>
      </w:r>
      <w:r>
        <w:rPr>
          <w:spacing w:val="-12"/>
          <w:sz w:val="21"/>
        </w:rPr>
        <w:t> </w:t>
      </w:r>
      <w:r>
        <w:rPr>
          <w:spacing w:val="-1"/>
          <w:w w:val="100"/>
          <w:sz w:val="21"/>
        </w:rPr>
        <w:t>de</w:t>
      </w:r>
      <w:r>
        <w:rPr>
          <w:spacing w:val="-3"/>
          <w:w w:val="100"/>
          <w:sz w:val="21"/>
        </w:rPr>
        <w:t>s</w:t>
      </w:r>
      <w:r>
        <w:rPr>
          <w:w w:val="100"/>
          <w:sz w:val="21"/>
        </w:rPr>
        <w:t>c</w:t>
      </w:r>
      <w:r>
        <w:rPr>
          <w:spacing w:val="-1"/>
          <w:w w:val="100"/>
          <w:sz w:val="21"/>
        </w:rPr>
        <w:t>r</w:t>
      </w:r>
      <w:r>
        <w:rPr>
          <w:w w:val="100"/>
          <w:sz w:val="21"/>
        </w:rPr>
        <w:t>i</w:t>
      </w:r>
      <w:r>
        <w:rPr>
          <w:spacing w:val="-1"/>
          <w:w w:val="100"/>
          <w:sz w:val="21"/>
        </w:rPr>
        <w:t>b</w:t>
      </w:r>
      <w:r>
        <w:rPr>
          <w:spacing w:val="-3"/>
          <w:w w:val="100"/>
          <w:sz w:val="21"/>
        </w:rPr>
        <w:t>e</w:t>
      </w:r>
      <w:r>
        <w:rPr>
          <w:w w:val="100"/>
          <w:sz w:val="21"/>
        </w:rPr>
        <w:t>d</w:t>
      </w:r>
      <w:r>
        <w:rPr>
          <w:sz w:val="21"/>
        </w:rPr>
        <w:t> </w:t>
      </w:r>
      <w:r>
        <w:rPr>
          <w:spacing w:val="-12"/>
          <w:sz w:val="21"/>
        </w:rPr>
        <w:t> </w:t>
      </w:r>
      <w:r>
        <w:rPr>
          <w:w w:val="100"/>
          <w:sz w:val="21"/>
        </w:rPr>
        <w:t>in</w:t>
      </w:r>
      <w:r>
        <w:rPr>
          <w:sz w:val="21"/>
        </w:rPr>
        <w:t> </w:t>
      </w:r>
      <w:r>
        <w:rPr>
          <w:spacing w:val="-14"/>
          <w:sz w:val="21"/>
        </w:rPr>
        <w:t> </w:t>
      </w:r>
      <w:r>
        <w:rPr>
          <w:w w:val="100"/>
          <w:sz w:val="21"/>
        </w:rPr>
        <w:t>S</w:t>
      </w:r>
      <w:r>
        <w:rPr>
          <w:spacing w:val="-3"/>
          <w:w w:val="100"/>
          <w:sz w:val="21"/>
        </w:rPr>
        <w:t>c</w:t>
      </w:r>
      <w:r>
        <w:rPr>
          <w:spacing w:val="-1"/>
          <w:w w:val="100"/>
          <w:sz w:val="21"/>
        </w:rPr>
        <w:t>he</w:t>
      </w:r>
      <w:r>
        <w:rPr>
          <w:spacing w:val="-2"/>
          <w:w w:val="100"/>
          <w:sz w:val="21"/>
        </w:rPr>
        <w:t>d</w:t>
      </w:r>
      <w:r>
        <w:rPr>
          <w:spacing w:val="-1"/>
          <w:w w:val="100"/>
          <w:sz w:val="21"/>
        </w:rPr>
        <w:t>u</w:t>
      </w:r>
      <w:r>
        <w:rPr>
          <w:spacing w:val="1"/>
          <w:w w:val="100"/>
          <w:sz w:val="21"/>
        </w:rPr>
        <w:t>l</w:t>
      </w:r>
      <w:r>
        <w:rPr>
          <w:w w:val="100"/>
          <w:sz w:val="21"/>
        </w:rPr>
        <w:t>e</w:t>
      </w:r>
      <w:r>
        <w:rPr>
          <w:sz w:val="21"/>
        </w:rPr>
        <w:t> </w:t>
      </w:r>
      <w:r>
        <w:rPr>
          <w:spacing w:val="-14"/>
          <w:sz w:val="21"/>
        </w:rPr>
        <w:t> </w:t>
      </w:r>
      <w:r>
        <w:rPr>
          <w:spacing w:val="-2"/>
          <w:w w:val="40"/>
          <w:sz w:val="21"/>
        </w:rPr>
        <w:t>‗</w:t>
      </w:r>
      <w:r>
        <w:rPr>
          <w:w w:val="100"/>
          <w:sz w:val="21"/>
        </w:rPr>
        <w:t>A‘</w:t>
      </w:r>
      <w:r>
        <w:rPr>
          <w:sz w:val="21"/>
        </w:rPr>
        <w:t> </w:t>
      </w:r>
      <w:r>
        <w:rPr>
          <w:spacing w:val="-11"/>
          <w:sz w:val="21"/>
        </w:rPr>
        <w:t> </w:t>
      </w:r>
      <w:r>
        <w:rPr>
          <w:spacing w:val="-3"/>
          <w:w w:val="100"/>
          <w:sz w:val="21"/>
        </w:rPr>
        <w:t>o</w:t>
      </w:r>
      <w:r>
        <w:rPr>
          <w:w w:val="100"/>
          <w:sz w:val="21"/>
        </w:rPr>
        <w:t>f</w:t>
      </w:r>
      <w:r>
        <w:rPr>
          <w:sz w:val="21"/>
        </w:rPr>
        <w:t> </w:t>
      </w:r>
      <w:r>
        <w:rPr>
          <w:spacing w:val="-11"/>
          <w:sz w:val="21"/>
        </w:rPr>
        <w:t> </w:t>
      </w:r>
      <w:r>
        <w:rPr>
          <w:spacing w:val="-4"/>
          <w:w w:val="100"/>
          <w:sz w:val="21"/>
        </w:rPr>
        <w:t>t</w:t>
      </w:r>
      <w:r>
        <w:rPr>
          <w:spacing w:val="-1"/>
          <w:w w:val="100"/>
          <w:sz w:val="21"/>
        </w:rPr>
        <w:t>h</w:t>
      </w:r>
      <w:r>
        <w:rPr>
          <w:w w:val="100"/>
          <w:sz w:val="21"/>
        </w:rPr>
        <w:t>e</w:t>
      </w:r>
      <w:r>
        <w:rPr>
          <w:sz w:val="21"/>
        </w:rPr>
        <w:t> </w:t>
      </w:r>
      <w:r>
        <w:rPr>
          <w:spacing w:val="-11"/>
          <w:sz w:val="21"/>
        </w:rPr>
        <w:t> </w:t>
      </w:r>
      <w:r>
        <w:rPr>
          <w:spacing w:val="-2"/>
          <w:w w:val="100"/>
          <w:sz w:val="21"/>
        </w:rPr>
        <w:t>P</w:t>
      </w:r>
      <w:r>
        <w:rPr>
          <w:w w:val="100"/>
          <w:sz w:val="21"/>
        </w:rPr>
        <w:t>l</w:t>
      </w:r>
      <w:r>
        <w:rPr>
          <w:spacing w:val="-3"/>
          <w:w w:val="100"/>
          <w:sz w:val="21"/>
        </w:rPr>
        <w:t>a</w:t>
      </w:r>
      <w:r>
        <w:rPr>
          <w:w w:val="100"/>
          <w:sz w:val="21"/>
        </w:rPr>
        <w:t>i</w:t>
      </w:r>
      <w:r>
        <w:rPr>
          <w:spacing w:val="-1"/>
          <w:w w:val="100"/>
          <w:sz w:val="21"/>
        </w:rPr>
        <w:t>n</w:t>
      </w:r>
      <w:r>
        <w:rPr>
          <w:w w:val="100"/>
          <w:sz w:val="21"/>
        </w:rPr>
        <w:t>t</w:t>
      </w:r>
      <w:r>
        <w:rPr>
          <w:sz w:val="21"/>
        </w:rPr>
        <w:t> </w:t>
      </w:r>
      <w:r>
        <w:rPr>
          <w:spacing w:val="-13"/>
          <w:sz w:val="21"/>
        </w:rPr>
        <w:t> </w:t>
      </w:r>
      <w:r>
        <w:rPr>
          <w:spacing w:val="-1"/>
          <w:w w:val="100"/>
          <w:sz w:val="21"/>
        </w:rPr>
        <w:t>by </w:t>
      </w:r>
      <w:r>
        <w:rPr>
          <w:sz w:val="21"/>
        </w:rPr>
        <w:t>removing the unauthorized structures erected</w:t>
      </w:r>
      <w:r>
        <w:rPr>
          <w:spacing w:val="-17"/>
          <w:sz w:val="21"/>
        </w:rPr>
        <w:t> </w:t>
      </w:r>
      <w:r>
        <w:rPr>
          <w:sz w:val="21"/>
        </w:rPr>
        <w:t>thereon.‖</w:t>
      </w:r>
    </w:p>
    <w:p>
      <w:pPr>
        <w:pStyle w:val="BodyText"/>
        <w:rPr>
          <w:sz w:val="24"/>
        </w:rPr>
      </w:pPr>
    </w:p>
    <w:p>
      <w:pPr>
        <w:pStyle w:val="BodyText"/>
        <w:spacing w:before="8"/>
        <w:rPr>
          <w:sz w:val="28"/>
        </w:rPr>
      </w:pPr>
    </w:p>
    <w:p>
      <w:pPr>
        <w:pStyle w:val="BodyText"/>
        <w:spacing w:line="480" w:lineRule="auto"/>
        <w:ind w:left="500" w:right="436"/>
        <w:jc w:val="both"/>
      </w:pPr>
      <w:r>
        <w:rPr/>
        <w:t>The claim of waqf by user raised in Suit 4 relates to both the inner and the outer courtyard. According to the plaintiffs the mosque vests in the Almighty, Allah. It has been contended that by virtue of the long and continuous use by the resident Muslim community of the disputed site marked by the letters A B C D, the disputed site must be recognised as a waqf by user.</w:t>
      </w:r>
    </w:p>
    <w:p>
      <w:pPr>
        <w:spacing w:after="0" w:line="480" w:lineRule="auto"/>
        <w:jc w:val="both"/>
        <w:sectPr>
          <w:pgSz w:w="11910" w:h="16840"/>
          <w:pgMar w:header="721" w:footer="1014" w:top="1300" w:bottom="1200" w:left="940" w:right="1000"/>
        </w:sectPr>
      </w:pPr>
    </w:p>
    <w:p>
      <w:pPr>
        <w:pStyle w:val="ListParagraph"/>
        <w:numPr>
          <w:ilvl w:val="0"/>
          <w:numId w:val="231"/>
        </w:numPr>
        <w:tabs>
          <w:tab w:pos="1221" w:val="left" w:leader="none"/>
        </w:tabs>
        <w:spacing w:line="480" w:lineRule="auto" w:before="124" w:after="0"/>
        <w:ind w:left="500" w:right="432" w:firstLine="0"/>
        <w:jc w:val="both"/>
        <w:rPr>
          <w:sz w:val="25"/>
        </w:rPr>
      </w:pPr>
      <w:r>
        <w:rPr>
          <w:sz w:val="25"/>
        </w:rPr>
        <w:t>Dr Dhavan, learned Senior Counsel appearing on behalf of the plaintiffs in Suit 4, admitted that there is no evidence of possession, use or offering of worship in the mosque prior to 1856-7. No evidence has been produced to establish worship at the mosque or possessory control over the disputed property marked by the letters A B C D over the period of 325 years between the alleged date of construction in 1528 until the erection of railing by the colonial government in 1857. Hence in the absence of evidence on record, no conclusion can be drawn that prior to 1857, the disputed site was used for worship by the resident Muslim community. Following the events in 1856-57, the colonial government erected the railing to bifurcate the areas of worship into the inner courtyard and the outer courtyard. Shortly thereafter, the Ramchabutra was constructed in the outer courtyard. Worship at the Ramchabutra and at the pre- existing Sita Rasoi led to the worship of the Hindus being institutionalised within the property marked by the letters A B C</w:t>
      </w:r>
      <w:r>
        <w:rPr>
          <w:spacing w:val="-11"/>
          <w:sz w:val="25"/>
        </w:rPr>
        <w:t> </w:t>
      </w:r>
      <w:r>
        <w:rPr>
          <w:sz w:val="25"/>
        </w:rPr>
        <w:t>D.</w:t>
      </w:r>
    </w:p>
    <w:p>
      <w:pPr>
        <w:pStyle w:val="BodyText"/>
        <w:rPr>
          <w:sz w:val="28"/>
        </w:rPr>
      </w:pPr>
    </w:p>
    <w:p>
      <w:pPr>
        <w:pStyle w:val="BodyText"/>
        <w:spacing w:before="11"/>
        <w:rPr>
          <w:sz w:val="35"/>
        </w:rPr>
      </w:pPr>
    </w:p>
    <w:p>
      <w:pPr>
        <w:pStyle w:val="ListParagraph"/>
        <w:numPr>
          <w:ilvl w:val="0"/>
          <w:numId w:val="231"/>
        </w:numPr>
        <w:tabs>
          <w:tab w:pos="1221" w:val="left" w:leader="none"/>
        </w:tabs>
        <w:spacing w:line="480" w:lineRule="auto" w:before="0" w:after="0"/>
        <w:ind w:left="500" w:right="437" w:firstLine="0"/>
        <w:jc w:val="both"/>
        <w:rPr>
          <w:sz w:val="25"/>
        </w:rPr>
      </w:pPr>
      <w:r>
        <w:rPr>
          <w:sz w:val="25"/>
        </w:rPr>
        <w:t>The construction of the railing was not an attempt to settle proprietary rights. It was an expedient measure to ensure law and order. Disputes between 1858 and 1883 indicated that the attempt to exclude the Hindus from the inner courtyard by raising a railing was a matter of continuing dispute. Significantly, the activities of the Hindu devotees in the outer courtyard continued. An important indicator in this regard was the decision of the colonial administration to allow the opening of an additional door to the outer courtyard in 1877 to facilitate the entry of Hindu devotees against which objections were raised and rejected. The need for</w:t>
      </w:r>
      <w:r>
        <w:rPr>
          <w:spacing w:val="8"/>
          <w:sz w:val="25"/>
        </w:rPr>
        <w:t> </w:t>
      </w:r>
      <w:r>
        <w:rPr>
          <w:sz w:val="25"/>
        </w:rPr>
        <w:t>an</w:t>
      </w:r>
      <w:r>
        <w:rPr>
          <w:spacing w:val="7"/>
          <w:sz w:val="25"/>
        </w:rPr>
        <w:t> </w:t>
      </w:r>
      <w:r>
        <w:rPr>
          <w:sz w:val="25"/>
        </w:rPr>
        <w:t>additional</w:t>
      </w:r>
      <w:r>
        <w:rPr>
          <w:spacing w:val="8"/>
          <w:sz w:val="25"/>
        </w:rPr>
        <w:t> </w:t>
      </w:r>
      <w:r>
        <w:rPr>
          <w:sz w:val="25"/>
        </w:rPr>
        <w:t>point</w:t>
      </w:r>
      <w:r>
        <w:rPr>
          <w:spacing w:val="5"/>
          <w:sz w:val="25"/>
        </w:rPr>
        <w:t> </w:t>
      </w:r>
      <w:r>
        <w:rPr>
          <w:sz w:val="25"/>
        </w:rPr>
        <w:t>of</w:t>
      </w:r>
      <w:r>
        <w:rPr>
          <w:spacing w:val="9"/>
          <w:sz w:val="25"/>
        </w:rPr>
        <w:t> </w:t>
      </w:r>
      <w:r>
        <w:rPr>
          <w:sz w:val="25"/>
        </w:rPr>
        <w:t>entry</w:t>
      </w:r>
      <w:r>
        <w:rPr>
          <w:spacing w:val="4"/>
          <w:sz w:val="25"/>
        </w:rPr>
        <w:t> </w:t>
      </w:r>
      <w:r>
        <w:rPr>
          <w:sz w:val="25"/>
        </w:rPr>
        <w:t>for</w:t>
      </w:r>
      <w:r>
        <w:rPr>
          <w:spacing w:val="9"/>
          <w:sz w:val="25"/>
        </w:rPr>
        <w:t> </w:t>
      </w:r>
      <w:r>
        <w:rPr>
          <w:sz w:val="25"/>
        </w:rPr>
        <w:t>Hindu</w:t>
      </w:r>
      <w:r>
        <w:rPr>
          <w:spacing w:val="7"/>
          <w:sz w:val="25"/>
        </w:rPr>
        <w:t> </w:t>
      </w:r>
      <w:r>
        <w:rPr>
          <w:sz w:val="25"/>
        </w:rPr>
        <w:t>devotees</w:t>
      </w:r>
      <w:r>
        <w:rPr>
          <w:spacing w:val="8"/>
          <w:sz w:val="25"/>
        </w:rPr>
        <w:t> </w:t>
      </w:r>
      <w:r>
        <w:rPr>
          <w:sz w:val="25"/>
        </w:rPr>
        <w:t>is</w:t>
      </w:r>
      <w:r>
        <w:rPr>
          <w:spacing w:val="7"/>
          <w:sz w:val="25"/>
        </w:rPr>
        <w:t> </w:t>
      </w:r>
      <w:r>
        <w:rPr>
          <w:sz w:val="25"/>
        </w:rPr>
        <w:t>an</w:t>
      </w:r>
      <w:r>
        <w:rPr>
          <w:spacing w:val="8"/>
          <w:sz w:val="25"/>
        </w:rPr>
        <w:t> </w:t>
      </w:r>
      <w:r>
        <w:rPr>
          <w:sz w:val="25"/>
        </w:rPr>
        <w:t>indicator</w:t>
      </w:r>
      <w:r>
        <w:rPr>
          <w:spacing w:val="8"/>
          <w:sz w:val="25"/>
        </w:rPr>
        <w:t> </w:t>
      </w:r>
      <w:r>
        <w:rPr>
          <w:sz w:val="25"/>
        </w:rPr>
        <w:t>of</w:t>
      </w:r>
      <w:r>
        <w:rPr>
          <w:spacing w:val="9"/>
          <w:sz w:val="25"/>
        </w:rPr>
        <w:t> </w:t>
      </w:r>
      <w:r>
        <w:rPr>
          <w:sz w:val="25"/>
        </w:rPr>
        <w:t>the</w:t>
      </w:r>
      <w:r>
        <w:rPr>
          <w:spacing w:val="8"/>
          <w:sz w:val="25"/>
        </w:rPr>
        <w:t> </w:t>
      </w:r>
      <w:r>
        <w:rPr>
          <w:sz w:val="25"/>
        </w:rPr>
        <w:t>extensive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8"/>
        <w:jc w:val="both"/>
      </w:pPr>
      <w:r>
        <w:rPr/>
        <w:t>nature of their use to offer worship. On gaining entry, the Hindu devotees offered worship at several structures such as the Ramchabutra and Sita Rasoi. The Bhandar was also under their control in the outer courtyard. This indicated that insofar as the outer courtyard was concerned, the Hindu devotees were in settled possession and actively practicing their faith. This possession of the Hindu devotees over the outer courtyard was open and to the knowledge of the Muslims. Several incidents between 1857 and 1949 have been adverted to in another part of the judgment which indicate that the possession of the inner courtyard was a matter of serious contest. The Muslims did not have possession over the outer courtyard. There is a lack of adequate evidence to establish that there was exclusive or unimpeded use of the inner courtyard after</w:t>
      </w:r>
      <w:r>
        <w:rPr>
          <w:spacing w:val="-11"/>
        </w:rPr>
        <w:t> </w:t>
      </w:r>
      <w:r>
        <w:rPr/>
        <w:t>1858.</w:t>
      </w:r>
    </w:p>
    <w:p>
      <w:pPr>
        <w:pStyle w:val="BodyText"/>
        <w:rPr>
          <w:sz w:val="28"/>
        </w:rPr>
      </w:pPr>
    </w:p>
    <w:p>
      <w:pPr>
        <w:pStyle w:val="BodyText"/>
        <w:spacing w:before="9"/>
        <w:rPr>
          <w:sz w:val="24"/>
        </w:rPr>
      </w:pPr>
    </w:p>
    <w:p>
      <w:pPr>
        <w:pStyle w:val="ListParagraph"/>
        <w:numPr>
          <w:ilvl w:val="0"/>
          <w:numId w:val="231"/>
        </w:numPr>
        <w:tabs>
          <w:tab w:pos="1221" w:val="left" w:leader="none"/>
        </w:tabs>
        <w:spacing w:line="480" w:lineRule="auto" w:before="0" w:after="0"/>
        <w:ind w:left="500" w:right="436" w:firstLine="0"/>
        <w:jc w:val="both"/>
        <w:rPr>
          <w:sz w:val="25"/>
        </w:rPr>
      </w:pPr>
      <w:r>
        <w:rPr>
          <w:sz w:val="25"/>
        </w:rPr>
        <w:t>The contention of the plaintiffs in Suit 4 is that the entire property of the mosque, including both the inner and outer courtyards is waqf property. Once a property is recognised as waqf, the property is permanently and irrevocably vested in the Almighty, Allah from the date the waqf is deemed to be in existence. The land is rendered inalienable and falls within the regulatory framework of waqf legislation and Islamic law.  The doctrine of waqf by user is well established in  our law. However, as noted by the precedents detailed above, it is a doctrine of necessity to deal with cases where a property has been the site of long and consistent religious use by members of the Islamic faith but the original dedication is lost to the sands of time. Given the radical alterations to the characteristics of ownership of the property consequent upon a recognition of a waqf by user, the evidentiary burden to prove a waqf by user is high.</w:t>
      </w:r>
      <w:r>
        <w:rPr>
          <w:spacing w:val="42"/>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pleadings in the plaint in Suit 4 are deficient. No particulars of the extent or nature of the use have been set out. A stray sentence in paragraph 2 of the plaint cannot sustain a case of waqf by user. Moreover, the contention that the entire property was a single composite waqf cannot be assessed in a vacuum. The Court cannot ignore the evidence of established religious worship by Hindu devotees within the premises of the disputed site. If the contention urged by the plaintiffs in Suit 4 that the entire disputed property is a waqf by user is accepted, it would amount to extinguishing all rights claimed by the Hindus in the disputed property as a site of religious worship.</w:t>
      </w:r>
    </w:p>
    <w:p>
      <w:pPr>
        <w:pStyle w:val="BodyText"/>
        <w:rPr>
          <w:sz w:val="28"/>
        </w:rPr>
      </w:pPr>
    </w:p>
    <w:p>
      <w:pPr>
        <w:pStyle w:val="BodyText"/>
        <w:spacing w:before="10"/>
        <w:rPr>
          <w:sz w:val="35"/>
        </w:rPr>
      </w:pPr>
    </w:p>
    <w:p>
      <w:pPr>
        <w:pStyle w:val="ListParagraph"/>
        <w:numPr>
          <w:ilvl w:val="0"/>
          <w:numId w:val="231"/>
        </w:numPr>
        <w:tabs>
          <w:tab w:pos="1221" w:val="left" w:leader="none"/>
        </w:tabs>
        <w:spacing w:line="480" w:lineRule="auto" w:before="0" w:after="0"/>
        <w:ind w:left="500" w:right="438" w:firstLine="0"/>
        <w:jc w:val="both"/>
        <w:rPr>
          <w:sz w:val="25"/>
        </w:rPr>
      </w:pPr>
      <w:r>
        <w:rPr>
          <w:sz w:val="25"/>
        </w:rPr>
        <w:t>In the decisions adverted to above in which claims of a waqf by user have been recognised, the claims were not made in the context of another religious community also utilising the property for the conduct of religious worship. It flows that the consequence of recognition of a waqf by user in the facts of these cases did not lead to the extinguishing of competing and legally tenable rights of another religious community. In </w:t>
      </w:r>
      <w:r>
        <w:rPr>
          <w:b/>
          <w:sz w:val="25"/>
        </w:rPr>
        <w:t>Miru </w:t>
      </w:r>
      <w:r>
        <w:rPr>
          <w:sz w:val="25"/>
        </w:rPr>
        <w:t>v </w:t>
      </w:r>
      <w:r>
        <w:rPr>
          <w:b/>
          <w:sz w:val="25"/>
        </w:rPr>
        <w:t>Ram Gopal</w:t>
      </w:r>
      <w:r>
        <w:rPr>
          <w:sz w:val="25"/>
        </w:rPr>
        <w:t>,</w:t>
      </w:r>
      <w:r>
        <w:rPr>
          <w:sz w:val="25"/>
          <w:vertAlign w:val="superscript"/>
        </w:rPr>
        <w:t>366</w:t>
      </w:r>
      <w:r>
        <w:rPr>
          <w:sz w:val="25"/>
          <w:vertAlign w:val="baseline"/>
        </w:rPr>
        <w:t> the Allahabad High Court held that the public religious use of the zamindar‘s property extinguished the zamindar‘s secular title to the property. However, this decision was in the context where there existed a </w:t>
      </w:r>
      <w:r>
        <w:rPr>
          <w:i/>
          <w:sz w:val="25"/>
          <w:vertAlign w:val="baseline"/>
        </w:rPr>
        <w:t>katcha </w:t>
      </w:r>
      <w:r>
        <w:rPr>
          <w:sz w:val="25"/>
          <w:vertAlign w:val="baseline"/>
        </w:rPr>
        <w:t>mosque on the land and the zamindar consented to the continued use of his land for Muslim prayers. The High Court</w:t>
      </w:r>
      <w:r>
        <w:rPr>
          <w:spacing w:val="-16"/>
          <w:sz w:val="25"/>
          <w:vertAlign w:val="baseline"/>
        </w:rPr>
        <w:t> </w:t>
      </w:r>
      <w:r>
        <w:rPr>
          <w:sz w:val="25"/>
          <w:vertAlign w:val="baseline"/>
        </w:rPr>
        <w:t>observed:</w:t>
      </w:r>
    </w:p>
    <w:p>
      <w:pPr>
        <w:pStyle w:val="BodyText"/>
        <w:rPr>
          <w:sz w:val="41"/>
        </w:rPr>
      </w:pPr>
    </w:p>
    <w:p>
      <w:pPr>
        <w:spacing w:line="276" w:lineRule="auto" w:before="0"/>
        <w:ind w:left="1633" w:right="2261" w:firstLine="0"/>
        <w:jc w:val="both"/>
        <w:rPr>
          <w:sz w:val="21"/>
        </w:rPr>
      </w:pPr>
      <w:r>
        <w:rPr>
          <w:spacing w:val="-1"/>
          <w:w w:val="33"/>
          <w:sz w:val="21"/>
        </w:rPr>
        <w:t>―</w:t>
      </w:r>
      <w:r>
        <w:rPr>
          <w:w w:val="100"/>
          <w:sz w:val="21"/>
        </w:rPr>
        <w:t>The</w:t>
      </w:r>
      <w:r>
        <w:rPr>
          <w:sz w:val="21"/>
        </w:rPr>
        <w:t>  </w:t>
      </w:r>
      <w:r>
        <w:rPr>
          <w:spacing w:val="-17"/>
          <w:sz w:val="21"/>
        </w:rPr>
        <w:t> </w:t>
      </w:r>
      <w:r>
        <w:rPr>
          <w:spacing w:val="-3"/>
          <w:w w:val="100"/>
          <w:sz w:val="21"/>
        </w:rPr>
        <w:t>d</w:t>
      </w:r>
      <w:r>
        <w:rPr>
          <w:spacing w:val="-1"/>
          <w:w w:val="100"/>
          <w:sz w:val="21"/>
        </w:rPr>
        <w:t>oc</w:t>
      </w:r>
      <w:r>
        <w:rPr>
          <w:spacing w:val="-3"/>
          <w:w w:val="100"/>
          <w:sz w:val="21"/>
        </w:rPr>
        <w:t>u</w:t>
      </w:r>
      <w:r>
        <w:rPr>
          <w:spacing w:val="-1"/>
          <w:w w:val="100"/>
          <w:sz w:val="21"/>
        </w:rPr>
        <w:t>mentar</w:t>
      </w:r>
      <w:r>
        <w:rPr>
          <w:w w:val="100"/>
          <w:sz w:val="21"/>
        </w:rPr>
        <w:t>y</w:t>
      </w:r>
      <w:r>
        <w:rPr>
          <w:sz w:val="21"/>
        </w:rPr>
        <w:t>  </w:t>
      </w:r>
      <w:r>
        <w:rPr>
          <w:spacing w:val="-20"/>
          <w:sz w:val="21"/>
        </w:rPr>
        <w:t> </w:t>
      </w:r>
      <w:r>
        <w:rPr>
          <w:spacing w:val="-1"/>
          <w:w w:val="100"/>
          <w:sz w:val="21"/>
        </w:rPr>
        <w:t>e</w:t>
      </w:r>
      <w:r>
        <w:rPr>
          <w:spacing w:val="-3"/>
          <w:w w:val="100"/>
          <w:sz w:val="21"/>
        </w:rPr>
        <w:t>v</w:t>
      </w:r>
      <w:r>
        <w:rPr>
          <w:w w:val="100"/>
          <w:sz w:val="21"/>
        </w:rPr>
        <w:t>i</w:t>
      </w:r>
      <w:r>
        <w:rPr>
          <w:spacing w:val="-1"/>
          <w:w w:val="100"/>
          <w:sz w:val="21"/>
        </w:rPr>
        <w:t>denc</w:t>
      </w:r>
      <w:r>
        <w:rPr>
          <w:w w:val="100"/>
          <w:sz w:val="21"/>
        </w:rPr>
        <w:t>e</w:t>
      </w:r>
      <w:r>
        <w:rPr>
          <w:sz w:val="21"/>
        </w:rPr>
        <w:t>  </w:t>
      </w:r>
      <w:r>
        <w:rPr>
          <w:spacing w:val="-17"/>
          <w:sz w:val="21"/>
        </w:rPr>
        <w:t> </w:t>
      </w:r>
      <w:r>
        <w:rPr>
          <w:spacing w:val="-3"/>
          <w:w w:val="100"/>
          <w:sz w:val="21"/>
        </w:rPr>
        <w:t>c</w:t>
      </w:r>
      <w:r>
        <w:rPr>
          <w:spacing w:val="-1"/>
          <w:w w:val="100"/>
          <w:sz w:val="21"/>
        </w:rPr>
        <w:t>on</w:t>
      </w:r>
      <w:r>
        <w:rPr>
          <w:spacing w:val="-3"/>
          <w:w w:val="100"/>
          <w:sz w:val="21"/>
        </w:rPr>
        <w:t>s</w:t>
      </w:r>
      <w:r>
        <w:rPr>
          <w:w w:val="100"/>
          <w:sz w:val="21"/>
        </w:rPr>
        <w:t>is</w:t>
      </w:r>
      <w:r>
        <w:rPr>
          <w:spacing w:val="-2"/>
          <w:w w:val="100"/>
          <w:sz w:val="21"/>
        </w:rPr>
        <w:t>t</w:t>
      </w:r>
      <w:r>
        <w:rPr>
          <w:spacing w:val="-1"/>
          <w:w w:val="100"/>
          <w:sz w:val="21"/>
        </w:rPr>
        <w:t>e</w:t>
      </w:r>
      <w:r>
        <w:rPr>
          <w:w w:val="100"/>
          <w:sz w:val="21"/>
        </w:rPr>
        <w:t>d</w:t>
      </w:r>
      <w:r>
        <w:rPr>
          <w:sz w:val="21"/>
        </w:rPr>
        <w:t>  </w:t>
      </w:r>
      <w:r>
        <w:rPr>
          <w:spacing w:val="-20"/>
          <w:sz w:val="21"/>
        </w:rPr>
        <w:t> </w:t>
      </w:r>
      <w:r>
        <w:rPr>
          <w:spacing w:val="-1"/>
          <w:w w:val="100"/>
          <w:sz w:val="21"/>
        </w:rPr>
        <w:t>o</w:t>
      </w:r>
      <w:r>
        <w:rPr>
          <w:w w:val="100"/>
          <w:sz w:val="21"/>
        </w:rPr>
        <w:t>f</w:t>
      </w:r>
      <w:r>
        <w:rPr>
          <w:sz w:val="21"/>
        </w:rPr>
        <w:t>  </w:t>
      </w:r>
      <w:r>
        <w:rPr>
          <w:spacing w:val="-16"/>
          <w:sz w:val="21"/>
        </w:rPr>
        <w:t> </w:t>
      </w:r>
      <w:r>
        <w:rPr>
          <w:spacing w:val="-2"/>
          <w:w w:val="100"/>
          <w:sz w:val="21"/>
        </w:rPr>
        <w:t>t</w:t>
      </w:r>
      <w:r>
        <w:rPr>
          <w:spacing w:val="-1"/>
          <w:w w:val="100"/>
          <w:sz w:val="21"/>
        </w:rPr>
        <w:t>hr</w:t>
      </w:r>
      <w:r>
        <w:rPr>
          <w:spacing w:val="-3"/>
          <w:w w:val="100"/>
          <w:sz w:val="21"/>
        </w:rPr>
        <w:t>e</w:t>
      </w:r>
      <w:r>
        <w:rPr>
          <w:w w:val="100"/>
          <w:sz w:val="21"/>
        </w:rPr>
        <w:t>e</w:t>
      </w:r>
      <w:r>
        <w:rPr>
          <w:sz w:val="21"/>
        </w:rPr>
        <w:t>  </w:t>
      </w:r>
      <w:r>
        <w:rPr>
          <w:spacing w:val="-17"/>
          <w:sz w:val="21"/>
        </w:rPr>
        <w:t> </w:t>
      </w:r>
      <w:r>
        <w:rPr>
          <w:spacing w:val="-1"/>
          <w:w w:val="100"/>
          <w:sz w:val="21"/>
        </w:rPr>
        <w:t>doc</w:t>
      </w:r>
      <w:r>
        <w:rPr>
          <w:spacing w:val="-2"/>
          <w:w w:val="100"/>
          <w:sz w:val="21"/>
        </w:rPr>
        <w:t>u</w:t>
      </w:r>
      <w:r>
        <w:rPr>
          <w:spacing w:val="-1"/>
          <w:w w:val="100"/>
          <w:sz w:val="21"/>
        </w:rPr>
        <w:t>ment</w:t>
      </w:r>
      <w:r>
        <w:rPr>
          <w:w w:val="100"/>
          <w:sz w:val="21"/>
        </w:rPr>
        <w:t>s, </w:t>
      </w:r>
      <w:r>
        <w:rPr>
          <w:sz w:val="21"/>
        </w:rPr>
        <w:t>firstly, there was a khasra Ex. A of the year 1311 Fasli (1903-04). </w:t>
      </w:r>
      <w:r>
        <w:rPr>
          <w:w w:val="100"/>
          <w:sz w:val="21"/>
        </w:rPr>
        <w:t>Th</w:t>
      </w:r>
      <w:r>
        <w:rPr>
          <w:spacing w:val="-2"/>
          <w:w w:val="100"/>
          <w:sz w:val="21"/>
        </w:rPr>
        <w:t>i</w:t>
      </w:r>
      <w:r>
        <w:rPr>
          <w:w w:val="100"/>
          <w:sz w:val="21"/>
        </w:rPr>
        <w:t>s</w:t>
      </w:r>
      <w:r>
        <w:rPr>
          <w:spacing w:val="6"/>
          <w:sz w:val="21"/>
        </w:rPr>
        <w:t> </w:t>
      </w:r>
      <w:r>
        <w:rPr>
          <w:w w:val="100"/>
          <w:sz w:val="21"/>
        </w:rPr>
        <w:t>khasra</w:t>
      </w:r>
      <w:r>
        <w:rPr>
          <w:spacing w:val="6"/>
          <w:sz w:val="21"/>
        </w:rPr>
        <w:t> </w:t>
      </w:r>
      <w:r>
        <w:rPr>
          <w:w w:val="100"/>
          <w:sz w:val="21"/>
        </w:rPr>
        <w:t>s</w:t>
      </w:r>
      <w:r>
        <w:rPr>
          <w:spacing w:val="-2"/>
          <w:w w:val="100"/>
          <w:sz w:val="21"/>
        </w:rPr>
        <w:t>t</w:t>
      </w:r>
      <w:r>
        <w:rPr>
          <w:spacing w:val="-1"/>
          <w:w w:val="100"/>
          <w:sz w:val="21"/>
        </w:rPr>
        <w:t>ate</w:t>
      </w:r>
      <w:r>
        <w:rPr>
          <w:w w:val="100"/>
          <w:sz w:val="21"/>
        </w:rPr>
        <w:t>s</w:t>
      </w:r>
      <w:r>
        <w:rPr>
          <w:spacing w:val="8"/>
          <w:sz w:val="21"/>
        </w:rPr>
        <w:t> </w:t>
      </w:r>
      <w:r>
        <w:rPr>
          <w:spacing w:val="-2"/>
          <w:w w:val="100"/>
          <w:sz w:val="21"/>
        </w:rPr>
        <w:t>t</w:t>
      </w:r>
      <w:r>
        <w:rPr>
          <w:spacing w:val="-3"/>
          <w:w w:val="100"/>
          <w:sz w:val="21"/>
        </w:rPr>
        <w:t>h</w:t>
      </w:r>
      <w:r>
        <w:rPr>
          <w:spacing w:val="-1"/>
          <w:w w:val="100"/>
          <w:sz w:val="21"/>
        </w:rPr>
        <w:t>a</w:t>
      </w:r>
      <w:r>
        <w:rPr>
          <w:w w:val="100"/>
          <w:sz w:val="21"/>
        </w:rPr>
        <w:t>t</w:t>
      </w:r>
      <w:r>
        <w:rPr>
          <w:spacing w:val="7"/>
          <w:sz w:val="21"/>
        </w:rPr>
        <w:t> </w:t>
      </w:r>
      <w:r>
        <w:rPr>
          <w:spacing w:val="-3"/>
          <w:w w:val="100"/>
          <w:sz w:val="21"/>
        </w:rPr>
        <w:t>p</w:t>
      </w:r>
      <w:r>
        <w:rPr>
          <w:spacing w:val="-2"/>
          <w:w w:val="100"/>
          <w:sz w:val="21"/>
        </w:rPr>
        <w:t>l</w:t>
      </w:r>
      <w:r>
        <w:rPr>
          <w:spacing w:val="-1"/>
          <w:w w:val="100"/>
          <w:sz w:val="21"/>
        </w:rPr>
        <w:t>o</w:t>
      </w:r>
      <w:r>
        <w:rPr>
          <w:w w:val="100"/>
          <w:sz w:val="21"/>
        </w:rPr>
        <w:t>t</w:t>
      </w:r>
      <w:r>
        <w:rPr>
          <w:spacing w:val="7"/>
          <w:sz w:val="21"/>
        </w:rPr>
        <w:t> </w:t>
      </w:r>
      <w:r>
        <w:rPr>
          <w:w w:val="100"/>
          <w:sz w:val="21"/>
        </w:rPr>
        <w:t>N</w:t>
      </w:r>
      <w:r>
        <w:rPr>
          <w:spacing w:val="-1"/>
          <w:w w:val="100"/>
          <w:sz w:val="21"/>
        </w:rPr>
        <w:t>o</w:t>
      </w:r>
      <w:r>
        <w:rPr>
          <w:w w:val="100"/>
          <w:sz w:val="21"/>
        </w:rPr>
        <w:t>.</w:t>
      </w:r>
      <w:r>
        <w:rPr>
          <w:spacing w:val="5"/>
          <w:sz w:val="21"/>
        </w:rPr>
        <w:t> </w:t>
      </w:r>
      <w:r>
        <w:rPr>
          <w:spacing w:val="-1"/>
          <w:w w:val="100"/>
          <w:sz w:val="21"/>
        </w:rPr>
        <w:t>11</w:t>
      </w:r>
      <w:r>
        <w:rPr>
          <w:w w:val="100"/>
          <w:sz w:val="21"/>
        </w:rPr>
        <w:t>9</w:t>
      </w:r>
      <w:r>
        <w:rPr>
          <w:spacing w:val="6"/>
          <w:sz w:val="21"/>
        </w:rPr>
        <w:t> </w:t>
      </w:r>
      <w:r>
        <w:rPr>
          <w:spacing w:val="-2"/>
          <w:w w:val="100"/>
          <w:sz w:val="21"/>
        </w:rPr>
        <w:t>w</w:t>
      </w:r>
      <w:r>
        <w:rPr>
          <w:spacing w:val="-1"/>
          <w:w w:val="100"/>
          <w:sz w:val="21"/>
        </w:rPr>
        <w:t>a</w:t>
      </w:r>
      <w:r>
        <w:rPr>
          <w:w w:val="100"/>
          <w:sz w:val="21"/>
        </w:rPr>
        <w:t>s</w:t>
      </w:r>
      <w:r>
        <w:rPr>
          <w:spacing w:val="6"/>
          <w:sz w:val="21"/>
        </w:rPr>
        <w:t> </w:t>
      </w:r>
      <w:r>
        <w:rPr>
          <w:spacing w:val="-1"/>
          <w:w w:val="100"/>
          <w:sz w:val="21"/>
        </w:rPr>
        <w:t>enter</w:t>
      </w:r>
      <w:r>
        <w:rPr>
          <w:spacing w:val="-3"/>
          <w:w w:val="100"/>
          <w:sz w:val="21"/>
        </w:rPr>
        <w:t>e</w:t>
      </w:r>
      <w:r>
        <w:rPr>
          <w:w w:val="100"/>
          <w:sz w:val="21"/>
        </w:rPr>
        <w:t>d</w:t>
      </w:r>
      <w:r>
        <w:rPr>
          <w:spacing w:val="8"/>
          <w:sz w:val="21"/>
        </w:rPr>
        <w:t> </w:t>
      </w:r>
      <w:r>
        <w:rPr>
          <w:spacing w:val="-3"/>
          <w:w w:val="100"/>
          <w:sz w:val="21"/>
        </w:rPr>
        <w:t>a</w:t>
      </w:r>
      <w:r>
        <w:rPr>
          <w:w w:val="100"/>
          <w:sz w:val="21"/>
        </w:rPr>
        <w:t>s</w:t>
      </w:r>
      <w:r>
        <w:rPr>
          <w:spacing w:val="8"/>
          <w:sz w:val="21"/>
        </w:rPr>
        <w:t> </w:t>
      </w:r>
      <w:r>
        <w:rPr>
          <w:spacing w:val="-1"/>
          <w:w w:val="33"/>
          <w:sz w:val="21"/>
        </w:rPr>
        <w:t>―</w:t>
      </w:r>
      <w:r>
        <w:rPr>
          <w:spacing w:val="-1"/>
          <w:w w:val="100"/>
          <w:sz w:val="21"/>
        </w:rPr>
        <w:t>ma</w:t>
      </w:r>
      <w:r>
        <w:rPr>
          <w:spacing w:val="-3"/>
          <w:w w:val="100"/>
          <w:sz w:val="21"/>
        </w:rPr>
        <w:t>s</w:t>
      </w:r>
      <w:r>
        <w:rPr>
          <w:w w:val="100"/>
          <w:sz w:val="21"/>
        </w:rPr>
        <w:t>j</w:t>
      </w:r>
      <w:r>
        <w:rPr>
          <w:spacing w:val="-2"/>
          <w:w w:val="100"/>
          <w:sz w:val="21"/>
        </w:rPr>
        <w:t>i</w:t>
      </w:r>
      <w:r>
        <w:rPr>
          <w:spacing w:val="-1"/>
          <w:w w:val="96"/>
          <w:sz w:val="21"/>
        </w:rPr>
        <w:t>d‖</w:t>
      </w:r>
      <w:r>
        <w:rPr>
          <w:w w:val="96"/>
          <w:sz w:val="21"/>
        </w:rPr>
        <w:t>…</w:t>
      </w:r>
      <w:r>
        <w:rPr>
          <w:spacing w:val="8"/>
          <w:sz w:val="21"/>
        </w:rPr>
        <w:t> </w:t>
      </w:r>
      <w:r>
        <w:rPr>
          <w:spacing w:val="-4"/>
          <w:w w:val="100"/>
          <w:sz w:val="21"/>
        </w:rPr>
        <w:t>I</w:t>
      </w:r>
      <w:r>
        <w:rPr>
          <w:w w:val="100"/>
          <w:sz w:val="21"/>
        </w:rPr>
        <w:t>f </w:t>
      </w:r>
      <w:r>
        <w:rPr>
          <w:sz w:val="21"/>
        </w:rPr>
        <w:t>the</w:t>
      </w:r>
      <w:r>
        <w:rPr>
          <w:spacing w:val="10"/>
          <w:sz w:val="21"/>
        </w:rPr>
        <w:t> </w:t>
      </w:r>
      <w:r>
        <w:rPr>
          <w:sz w:val="21"/>
        </w:rPr>
        <w:t>zamindar</w:t>
      </w:r>
      <w:r>
        <w:rPr>
          <w:spacing w:val="10"/>
          <w:sz w:val="21"/>
        </w:rPr>
        <w:t> </w:t>
      </w:r>
      <w:r>
        <w:rPr>
          <w:sz w:val="21"/>
        </w:rPr>
        <w:t>had</w:t>
      </w:r>
      <w:r>
        <w:rPr>
          <w:spacing w:val="11"/>
          <w:sz w:val="21"/>
        </w:rPr>
        <w:t> </w:t>
      </w:r>
      <w:r>
        <w:rPr>
          <w:sz w:val="21"/>
        </w:rPr>
        <w:t>an</w:t>
      </w:r>
      <w:r>
        <w:rPr>
          <w:spacing w:val="11"/>
          <w:sz w:val="21"/>
        </w:rPr>
        <w:t> </w:t>
      </w:r>
      <w:r>
        <w:rPr>
          <w:sz w:val="21"/>
        </w:rPr>
        <w:t>objection</w:t>
      </w:r>
      <w:r>
        <w:rPr>
          <w:spacing w:val="11"/>
          <w:sz w:val="21"/>
        </w:rPr>
        <w:t> </w:t>
      </w:r>
      <w:r>
        <w:rPr>
          <w:sz w:val="21"/>
        </w:rPr>
        <w:t>to</w:t>
      </w:r>
      <w:r>
        <w:rPr>
          <w:spacing w:val="11"/>
          <w:sz w:val="21"/>
        </w:rPr>
        <w:t> </w:t>
      </w:r>
      <w:r>
        <w:rPr>
          <w:sz w:val="21"/>
        </w:rPr>
        <w:t>that</w:t>
      </w:r>
      <w:r>
        <w:rPr>
          <w:spacing w:val="10"/>
          <w:sz w:val="21"/>
        </w:rPr>
        <w:t> </w:t>
      </w:r>
      <w:r>
        <w:rPr>
          <w:sz w:val="21"/>
        </w:rPr>
        <w:t>entry</w:t>
      </w:r>
      <w:r>
        <w:rPr>
          <w:spacing w:val="8"/>
          <w:sz w:val="21"/>
        </w:rPr>
        <w:t> </w:t>
      </w:r>
      <w:r>
        <w:rPr>
          <w:sz w:val="21"/>
        </w:rPr>
        <w:t>he</w:t>
      </w:r>
      <w:r>
        <w:rPr>
          <w:spacing w:val="11"/>
          <w:sz w:val="21"/>
        </w:rPr>
        <w:t> </w:t>
      </w:r>
      <w:r>
        <w:rPr>
          <w:sz w:val="21"/>
        </w:rPr>
        <w:t>could</w:t>
      </w:r>
      <w:r>
        <w:rPr>
          <w:spacing w:val="11"/>
          <w:sz w:val="21"/>
        </w:rPr>
        <w:t> </w:t>
      </w:r>
      <w:r>
        <w:rPr>
          <w:sz w:val="21"/>
        </w:rPr>
        <w:t>have</w:t>
      </w:r>
      <w:r>
        <w:rPr>
          <w:spacing w:val="11"/>
          <w:sz w:val="21"/>
        </w:rPr>
        <w:t> </w:t>
      </w:r>
      <w:r>
        <w:rPr>
          <w:sz w:val="21"/>
        </w:rPr>
        <w:t>made</w:t>
      </w:r>
    </w:p>
    <w:p>
      <w:pPr>
        <w:pStyle w:val="BodyText"/>
        <w:rPr>
          <w:sz w:val="20"/>
        </w:rPr>
      </w:pPr>
    </w:p>
    <w:p>
      <w:pPr>
        <w:pStyle w:val="BodyText"/>
        <w:spacing w:before="10"/>
        <w:rPr>
          <w:sz w:val="10"/>
        </w:rPr>
      </w:pPr>
      <w:r>
        <w:rPr/>
        <w:pict>
          <v:rect style="position:absolute;margin-left:72.024002pt;margin-top:8.240577pt;width:144.020pt;height:.599980pt;mso-position-horizontal-relative:page;mso-position-vertical-relative:paragraph;z-index:-15618048;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366</w:t>
      </w:r>
      <w:r>
        <w:rPr>
          <w:sz w:val="18"/>
          <w:vertAlign w:val="baseline"/>
        </w:rPr>
        <w:t> 1935 AIR All 891</w:t>
      </w:r>
    </w:p>
    <w:p>
      <w:pPr>
        <w:spacing w:after="0"/>
        <w:jc w:val="left"/>
        <w:rPr>
          <w:sz w:val="18"/>
        </w:rPr>
        <w:sectPr>
          <w:pgSz w:w="11910" w:h="16840"/>
          <w:pgMar w:header="721" w:footer="1014" w:top="1300" w:bottom="1200" w:left="940" w:right="1000"/>
        </w:sectPr>
      </w:pPr>
    </w:p>
    <w:p>
      <w:pPr>
        <w:spacing w:line="276" w:lineRule="auto" w:before="122"/>
        <w:ind w:left="1633" w:right="2264" w:firstLine="0"/>
        <w:jc w:val="both"/>
        <w:rPr>
          <w:sz w:val="21"/>
        </w:rPr>
      </w:pPr>
      <w:r>
        <w:rPr>
          <w:sz w:val="21"/>
        </w:rPr>
        <w:t>an application to the court under section 111 of the Land Revenue Act. The fact that he did not make any objection to the entry shows that he acquiesced in the entry.</w:t>
      </w:r>
    </w:p>
    <w:p>
      <w:pPr>
        <w:spacing w:before="161"/>
        <w:ind w:left="1633" w:right="0" w:firstLine="0"/>
        <w:jc w:val="left"/>
        <w:rPr>
          <w:sz w:val="21"/>
        </w:rPr>
      </w:pPr>
      <w:r>
        <w:rPr>
          <w:w w:val="100"/>
          <w:sz w:val="21"/>
        </w:rPr>
        <w:t>…</w:t>
      </w:r>
    </w:p>
    <w:p>
      <w:pPr>
        <w:spacing w:line="276" w:lineRule="auto" w:before="196"/>
        <w:ind w:left="1633" w:right="2262" w:firstLine="0"/>
        <w:jc w:val="both"/>
        <w:rPr>
          <w:sz w:val="21"/>
        </w:rPr>
      </w:pPr>
      <w:r>
        <w:rPr>
          <w:sz w:val="21"/>
        </w:rPr>
        <w:t>It is not stated that the zamindar dedicated the property for the mosque. It is stated that </w:t>
      </w:r>
      <w:r>
        <w:rPr>
          <w:b/>
          <w:sz w:val="21"/>
        </w:rPr>
        <w:t>the zamindar allowed the defendants to dedicate the building as a mosque by their user of the building for the purpose of a mosque with the consent, express or implied, of the zamindar</w:t>
      </w:r>
      <w:r>
        <w:rPr>
          <w:sz w:val="21"/>
        </w:rPr>
        <w:t>.‖</w:t>
      </w:r>
    </w:p>
    <w:p>
      <w:pPr>
        <w:spacing w:before="159"/>
        <w:ind w:left="5798" w:right="0" w:firstLine="0"/>
        <w:jc w:val="left"/>
        <w:rPr>
          <w:sz w:val="21"/>
        </w:rPr>
      </w:pPr>
      <w:r>
        <w:rPr>
          <w:sz w:val="21"/>
        </w:rPr>
        <w:t>(Emphasis supplied)</w:t>
      </w:r>
    </w:p>
    <w:p>
      <w:pPr>
        <w:pStyle w:val="BodyText"/>
        <w:rPr>
          <w:sz w:val="24"/>
        </w:rPr>
      </w:pPr>
    </w:p>
    <w:p>
      <w:pPr>
        <w:pStyle w:val="BodyText"/>
        <w:spacing w:line="480" w:lineRule="auto" w:before="211"/>
        <w:ind w:left="500" w:right="442"/>
        <w:jc w:val="both"/>
      </w:pPr>
      <w:r>
        <w:rPr/>
        <w:t>In that case, the zamindar had acquiesced to the continued prayers by the Muslims at this property and the high evidentiary threshold of continuous and longstanding religious worship was satisfied. The consent of the zamindar, express or implied was a distinguishing factor. The present case is materially different. There is no acquiescence by any of the parties concerned. To the contrary, the Hindu devotees of Lord Ram have consistently asserted their rights to the disputed property.</w:t>
      </w:r>
    </w:p>
    <w:p>
      <w:pPr>
        <w:pStyle w:val="BodyText"/>
        <w:rPr>
          <w:sz w:val="28"/>
        </w:rPr>
      </w:pPr>
    </w:p>
    <w:p>
      <w:pPr>
        <w:pStyle w:val="BodyText"/>
        <w:spacing w:before="11"/>
        <w:rPr>
          <w:sz w:val="21"/>
        </w:rPr>
      </w:pPr>
    </w:p>
    <w:p>
      <w:pPr>
        <w:pStyle w:val="ListParagraph"/>
        <w:numPr>
          <w:ilvl w:val="0"/>
          <w:numId w:val="231"/>
        </w:numPr>
        <w:tabs>
          <w:tab w:pos="1221" w:val="left" w:leader="none"/>
        </w:tabs>
        <w:spacing w:line="480" w:lineRule="auto" w:before="0" w:after="0"/>
        <w:ind w:left="500" w:right="438" w:firstLine="0"/>
        <w:jc w:val="both"/>
        <w:rPr>
          <w:sz w:val="25"/>
        </w:rPr>
      </w:pPr>
      <w:r>
        <w:rPr>
          <w:sz w:val="25"/>
        </w:rPr>
        <w:t>The evidence adduced does not demonstrate that the entire disputed property was utilised by the resident Muslim community for public religious worship. It is evident that the outer courtyard was in fact used by and was in the possession of the devotees of Lord Ram. These portions of the property were admittedly not used for religious purposes by the members of the resident Muslim community and cannot be waqf property by long use. Further, the consequences that stem from recognising the entire disputed property marked by the letters A B C D in the present case as waqf by user is a mirror image to the claim of the plaintiffs in Suit 5 of recognising the land itself as a juristic person. The consequence would be the destruction of the rights of another community to</w:t>
      </w:r>
      <w:r>
        <w:rPr>
          <w:spacing w:val="48"/>
          <w:sz w:val="25"/>
        </w:rPr>
        <w:t> </w:t>
      </w:r>
      <w:r>
        <w:rPr>
          <w:sz w:val="25"/>
        </w:rPr>
        <w:t>offer</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1"/>
        <w:jc w:val="both"/>
      </w:pPr>
      <w:r>
        <w:rPr/>
        <w:t>worship by virtue of the internal tenets of a specific religion which have been recognised for a specific purpose. The law recognises that where, since time immemorial, worship has been offered at a land with a mosque, the land is presumed to have been dedicated for a religious purpose and even absent a dedication, is waqf by user. However, this may not be extended to the extinguishment of competing and established religious rights of another community in the same property particular in the face of the evidence noted above. Accepting the contention urged on behalf of the plaintiffs in Suit 4 would have this effect and cannot be countenanced by law.</w:t>
      </w:r>
    </w:p>
    <w:p>
      <w:pPr>
        <w:pStyle w:val="BodyText"/>
        <w:rPr>
          <w:sz w:val="28"/>
        </w:rPr>
      </w:pPr>
    </w:p>
    <w:p>
      <w:pPr>
        <w:pStyle w:val="BodyText"/>
        <w:rPr>
          <w:sz w:val="28"/>
        </w:rPr>
      </w:pPr>
    </w:p>
    <w:p>
      <w:pPr>
        <w:pStyle w:val="Heading3"/>
        <w:numPr>
          <w:ilvl w:val="1"/>
          <w:numId w:val="191"/>
        </w:numPr>
        <w:tabs>
          <w:tab w:pos="1221" w:val="left" w:leader="none"/>
        </w:tabs>
        <w:spacing w:line="240" w:lineRule="auto" w:before="211" w:after="0"/>
        <w:ind w:left="1220" w:right="0" w:hanging="721"/>
        <w:jc w:val="left"/>
      </w:pPr>
      <w:r>
        <w:rPr/>
        <w:t>Possession and adverse</w:t>
      </w:r>
      <w:r>
        <w:rPr>
          <w:spacing w:val="-2"/>
        </w:rPr>
        <w:t> </w:t>
      </w:r>
      <w:r>
        <w:rPr/>
        <w:t>possession</w:t>
      </w:r>
    </w:p>
    <w:p>
      <w:pPr>
        <w:pStyle w:val="BodyText"/>
        <w:rPr>
          <w:b/>
          <w:sz w:val="28"/>
        </w:rPr>
      </w:pPr>
    </w:p>
    <w:p>
      <w:pPr>
        <w:pStyle w:val="ListParagraph"/>
        <w:numPr>
          <w:ilvl w:val="0"/>
          <w:numId w:val="231"/>
        </w:numPr>
        <w:tabs>
          <w:tab w:pos="1221" w:val="left" w:leader="none"/>
        </w:tabs>
        <w:spacing w:line="480" w:lineRule="auto" w:before="217" w:after="0"/>
        <w:ind w:left="500" w:right="440" w:firstLine="0"/>
        <w:jc w:val="both"/>
        <w:rPr>
          <w:sz w:val="25"/>
        </w:rPr>
      </w:pPr>
      <w:r>
        <w:rPr>
          <w:sz w:val="25"/>
        </w:rPr>
        <w:t>The plaintiffs in Suit 4 plead adverse possession in the alternative. The basis for claiming adverse possession has been set up in paragraph 11(a) of the plaint (as amended) which reads as</w:t>
      </w:r>
      <w:r>
        <w:rPr>
          <w:spacing w:val="-8"/>
          <w:sz w:val="25"/>
        </w:rPr>
        <w:t> </w:t>
      </w:r>
      <w:r>
        <w:rPr>
          <w:sz w:val="25"/>
        </w:rPr>
        <w:t>follows:</w:t>
      </w:r>
    </w:p>
    <w:p>
      <w:pPr>
        <w:spacing w:line="276" w:lineRule="auto" w:before="160"/>
        <w:ind w:left="1940" w:right="2253" w:firstLine="0"/>
        <w:jc w:val="both"/>
        <w:rPr>
          <w:sz w:val="21"/>
        </w:rPr>
      </w:pPr>
      <w:r>
        <w:rPr>
          <w:spacing w:val="-1"/>
          <w:w w:val="33"/>
          <w:sz w:val="21"/>
        </w:rPr>
        <w:t>―</w:t>
      </w:r>
      <w:r>
        <w:rPr>
          <w:spacing w:val="-1"/>
          <w:w w:val="100"/>
          <w:sz w:val="21"/>
        </w:rPr>
        <w:t>11(a)</w:t>
      </w:r>
      <w:r>
        <w:rPr>
          <w:w w:val="100"/>
          <w:sz w:val="21"/>
        </w:rPr>
        <w:t>.</w:t>
      </w:r>
      <w:r>
        <w:rPr>
          <w:spacing w:val="12"/>
          <w:sz w:val="21"/>
        </w:rPr>
        <w:t> </w:t>
      </w:r>
      <w:r>
        <w:rPr>
          <w:w w:val="100"/>
          <w:sz w:val="21"/>
        </w:rPr>
        <w:t>Th</w:t>
      </w:r>
      <w:r>
        <w:rPr>
          <w:spacing w:val="-1"/>
          <w:w w:val="100"/>
          <w:sz w:val="21"/>
        </w:rPr>
        <w:t>a</w:t>
      </w:r>
      <w:r>
        <w:rPr>
          <w:w w:val="100"/>
          <w:sz w:val="21"/>
        </w:rPr>
        <w:t>t</w:t>
      </w:r>
      <w:r>
        <w:rPr>
          <w:spacing w:val="12"/>
          <w:sz w:val="21"/>
        </w:rPr>
        <w:t> </w:t>
      </w:r>
      <w:r>
        <w:rPr>
          <w:spacing w:val="-1"/>
          <w:w w:val="100"/>
          <w:sz w:val="21"/>
        </w:rPr>
        <w:t>a</w:t>
      </w:r>
      <w:r>
        <w:rPr>
          <w:spacing w:val="-3"/>
          <w:w w:val="100"/>
          <w:sz w:val="21"/>
        </w:rPr>
        <w:t>s</w:t>
      </w:r>
      <w:r>
        <w:rPr>
          <w:w w:val="100"/>
          <w:sz w:val="21"/>
        </w:rPr>
        <w:t>s</w:t>
      </w:r>
      <w:r>
        <w:rPr>
          <w:spacing w:val="-3"/>
          <w:w w:val="100"/>
          <w:sz w:val="21"/>
        </w:rPr>
        <w:t>u</w:t>
      </w:r>
      <w:r>
        <w:rPr>
          <w:spacing w:val="-1"/>
          <w:w w:val="100"/>
          <w:sz w:val="21"/>
        </w:rPr>
        <w:t>m</w:t>
      </w:r>
      <w:r>
        <w:rPr>
          <w:w w:val="100"/>
          <w:sz w:val="21"/>
        </w:rPr>
        <w:t>i</w:t>
      </w:r>
      <w:r>
        <w:rPr>
          <w:spacing w:val="-1"/>
          <w:w w:val="100"/>
          <w:sz w:val="21"/>
        </w:rPr>
        <w:t>ng</w:t>
      </w:r>
      <w:r>
        <w:rPr>
          <w:w w:val="100"/>
          <w:sz w:val="21"/>
        </w:rPr>
        <w:t>,</w:t>
      </w:r>
      <w:r>
        <w:rPr>
          <w:spacing w:val="12"/>
          <w:sz w:val="21"/>
        </w:rPr>
        <w:t> </w:t>
      </w:r>
      <w:r>
        <w:rPr>
          <w:spacing w:val="-2"/>
          <w:w w:val="100"/>
          <w:sz w:val="21"/>
        </w:rPr>
        <w:t>t</w:t>
      </w:r>
      <w:r>
        <w:rPr>
          <w:spacing w:val="-3"/>
          <w:w w:val="100"/>
          <w:sz w:val="21"/>
        </w:rPr>
        <w:t>h</w:t>
      </w:r>
      <w:r>
        <w:rPr>
          <w:spacing w:val="-1"/>
          <w:w w:val="100"/>
          <w:sz w:val="21"/>
        </w:rPr>
        <w:t>oug</w:t>
      </w:r>
      <w:r>
        <w:rPr>
          <w:w w:val="100"/>
          <w:sz w:val="21"/>
        </w:rPr>
        <w:t>h</w:t>
      </w:r>
      <w:r>
        <w:rPr>
          <w:spacing w:val="13"/>
          <w:sz w:val="21"/>
        </w:rPr>
        <w:t> </w:t>
      </w:r>
      <w:r>
        <w:rPr>
          <w:spacing w:val="-3"/>
          <w:w w:val="100"/>
          <w:sz w:val="21"/>
        </w:rPr>
        <w:t>n</w:t>
      </w:r>
      <w:r>
        <w:rPr>
          <w:spacing w:val="-1"/>
          <w:w w:val="100"/>
          <w:sz w:val="21"/>
        </w:rPr>
        <w:t>o</w:t>
      </w:r>
      <w:r>
        <w:rPr>
          <w:w w:val="100"/>
          <w:sz w:val="21"/>
        </w:rPr>
        <w:t>t</w:t>
      </w:r>
      <w:r>
        <w:rPr>
          <w:spacing w:val="12"/>
          <w:sz w:val="21"/>
        </w:rPr>
        <w:t> </w:t>
      </w:r>
      <w:r>
        <w:rPr>
          <w:spacing w:val="-1"/>
          <w:w w:val="100"/>
          <w:sz w:val="21"/>
        </w:rPr>
        <w:t>a</w:t>
      </w:r>
      <w:r>
        <w:rPr>
          <w:spacing w:val="-3"/>
          <w:w w:val="100"/>
          <w:sz w:val="21"/>
        </w:rPr>
        <w:t>d</w:t>
      </w:r>
      <w:r>
        <w:rPr>
          <w:spacing w:val="-1"/>
          <w:w w:val="100"/>
          <w:sz w:val="21"/>
        </w:rPr>
        <w:t>m</w:t>
      </w:r>
      <w:r>
        <w:rPr>
          <w:w w:val="100"/>
          <w:sz w:val="21"/>
        </w:rPr>
        <w:t>i</w:t>
      </w:r>
      <w:r>
        <w:rPr>
          <w:spacing w:val="-2"/>
          <w:w w:val="100"/>
          <w:sz w:val="21"/>
        </w:rPr>
        <w:t>tt</w:t>
      </w:r>
      <w:r>
        <w:rPr>
          <w:w w:val="100"/>
          <w:sz w:val="21"/>
        </w:rPr>
        <w:t>i</w:t>
      </w:r>
      <w:r>
        <w:rPr>
          <w:spacing w:val="-1"/>
          <w:w w:val="100"/>
          <w:sz w:val="21"/>
        </w:rPr>
        <w:t>ng</w:t>
      </w:r>
      <w:r>
        <w:rPr>
          <w:w w:val="100"/>
          <w:sz w:val="21"/>
        </w:rPr>
        <w:t>,</w:t>
      </w:r>
      <w:r>
        <w:rPr>
          <w:spacing w:val="12"/>
          <w:sz w:val="21"/>
        </w:rPr>
        <w:t> </w:t>
      </w:r>
      <w:r>
        <w:rPr>
          <w:spacing w:val="-2"/>
          <w:w w:val="100"/>
          <w:sz w:val="21"/>
        </w:rPr>
        <w:t>t</w:t>
      </w:r>
      <w:r>
        <w:rPr>
          <w:spacing w:val="-1"/>
          <w:w w:val="100"/>
          <w:sz w:val="21"/>
        </w:rPr>
        <w:t>ha</w:t>
      </w:r>
      <w:r>
        <w:rPr>
          <w:w w:val="100"/>
          <w:sz w:val="21"/>
        </w:rPr>
        <w:t>t</w:t>
      </w:r>
      <w:r>
        <w:rPr>
          <w:spacing w:val="12"/>
          <w:sz w:val="21"/>
        </w:rPr>
        <w:t> </w:t>
      </w:r>
      <w:r>
        <w:rPr>
          <w:spacing w:val="-3"/>
          <w:w w:val="100"/>
          <w:sz w:val="21"/>
        </w:rPr>
        <w:t>a</w:t>
      </w:r>
      <w:r>
        <w:rPr>
          <w:w w:val="100"/>
          <w:sz w:val="21"/>
        </w:rPr>
        <w:t>t</w:t>
      </w:r>
      <w:r>
        <w:rPr>
          <w:spacing w:val="12"/>
          <w:sz w:val="21"/>
        </w:rPr>
        <w:t> </w:t>
      </w:r>
      <w:r>
        <w:rPr>
          <w:spacing w:val="-1"/>
          <w:w w:val="100"/>
          <w:sz w:val="21"/>
        </w:rPr>
        <w:t>on</w:t>
      </w:r>
      <w:r>
        <w:rPr>
          <w:w w:val="100"/>
          <w:sz w:val="21"/>
        </w:rPr>
        <w:t>e</w:t>
      </w:r>
      <w:r>
        <w:rPr>
          <w:spacing w:val="13"/>
          <w:sz w:val="21"/>
        </w:rPr>
        <w:t> </w:t>
      </w:r>
      <w:r>
        <w:rPr>
          <w:spacing w:val="-2"/>
          <w:w w:val="100"/>
          <w:sz w:val="21"/>
        </w:rPr>
        <w:t>ti</w:t>
      </w:r>
      <w:r>
        <w:rPr>
          <w:spacing w:val="1"/>
          <w:w w:val="100"/>
          <w:sz w:val="21"/>
        </w:rPr>
        <w:t>m</w:t>
      </w:r>
      <w:r>
        <w:rPr>
          <w:w w:val="100"/>
          <w:sz w:val="21"/>
        </w:rPr>
        <w:t>e </w:t>
      </w:r>
      <w:r>
        <w:rPr>
          <w:sz w:val="21"/>
        </w:rPr>
        <w:t>there existed a Hindu temple as alleged by the defendants representatives of the Hindus on the site of which emperor Babar built the mosque, some 433 years ago, the Muslims, by virtue of their long exclusive and continuous possession beginning from the time the mosque was built and continuing right upto the time some mosque, some mischievous persons entered the mosque and desecrated the mosque as alleged  in the preceding paragraphs of the plaint, the Muslims perfected their title by adverse possessions and the right, title or interest of the temple and of the Hindu public if any extinguished.‖</w:t>
      </w:r>
    </w:p>
    <w:p>
      <w:pPr>
        <w:spacing w:after="0" w:line="276" w:lineRule="auto"/>
        <w:jc w:val="both"/>
        <w:rPr>
          <w:sz w:val="21"/>
        </w:rPr>
        <w:sectPr>
          <w:pgSz w:w="11910" w:h="16840"/>
          <w:pgMar w:header="721" w:footer="1014" w:top="1300" w:bottom="1200" w:left="940" w:right="1000"/>
        </w:sectPr>
      </w:pPr>
    </w:p>
    <w:p>
      <w:pPr>
        <w:pStyle w:val="BodyText"/>
        <w:spacing w:line="480" w:lineRule="auto" w:before="124"/>
        <w:ind w:left="500" w:right="435"/>
        <w:jc w:val="both"/>
      </w:pPr>
      <w:r>
        <w:rPr/>
        <w:t>The pleadings in paragraph 11(a) are based on assumption: that in the event that there existed a Hindu temple, as alleged by the defendants on the site of which the mosque was constructed; the Muslims claim to have perfected their title by adverse possession by long, exclusive and continuous possession and that the right, title and interest of the temple and of the Hindu public, if any, stands extinguished. The plea of adverse possession is subsidiary to the main plea </w:t>
      </w:r>
      <w:r>
        <w:rPr>
          <w:spacing w:val="4"/>
        </w:rPr>
        <w:t>of </w:t>
      </w:r>
      <w:r>
        <w:rPr/>
        <w:t>the mosque being dedicated upon its construction by Babur for public worship by Muslims.</w:t>
      </w:r>
    </w:p>
    <w:p>
      <w:pPr>
        <w:pStyle w:val="BodyText"/>
        <w:rPr>
          <w:sz w:val="28"/>
        </w:rPr>
      </w:pPr>
    </w:p>
    <w:p>
      <w:pPr>
        <w:pStyle w:val="BodyText"/>
        <w:rPr>
          <w:sz w:val="22"/>
        </w:rPr>
      </w:pPr>
    </w:p>
    <w:p>
      <w:pPr>
        <w:pStyle w:val="ListParagraph"/>
        <w:numPr>
          <w:ilvl w:val="0"/>
          <w:numId w:val="231"/>
        </w:numPr>
        <w:tabs>
          <w:tab w:pos="1221" w:val="left" w:leader="none"/>
        </w:tabs>
        <w:spacing w:line="480" w:lineRule="auto" w:before="0" w:after="0"/>
        <w:ind w:left="500" w:right="437" w:firstLine="0"/>
        <w:jc w:val="both"/>
        <w:rPr>
          <w:sz w:val="25"/>
        </w:rPr>
      </w:pPr>
      <w:r>
        <w:rPr>
          <w:sz w:val="25"/>
        </w:rPr>
        <w:t>A plea of adverse possession is founded on the acceptance that ownership of the property vests in another against whom the claimant asserts a possession adverse to the title of the other. Possession is adverse in the sense that it is contrary to the acknowledged title in the other person against whom it is claimed. Evidently, therefore, the plaintiffs in Suit 4 ought to be cognisant of the fact that any claim of adverse possession against the Hindus or the temple would amount to an acceptance of a title in the latter. Dr Dhavan has submitted that this plea is a subsidiary or alternate plea upon which it is not necessary for the plaintiffs to stand in the event that their main plea on title is held to be established on evidence. It becomes then necessary to assess as to whether the claim of adverse possession has been</w:t>
      </w:r>
      <w:r>
        <w:rPr>
          <w:spacing w:val="-4"/>
          <w:sz w:val="25"/>
        </w:rPr>
        <w:t> </w:t>
      </w:r>
      <w:r>
        <w:rPr>
          <w:sz w:val="25"/>
        </w:rPr>
        <w:t>established.</w:t>
      </w:r>
    </w:p>
    <w:p>
      <w:pPr>
        <w:pStyle w:val="BodyText"/>
        <w:rPr>
          <w:sz w:val="28"/>
        </w:rPr>
      </w:pPr>
    </w:p>
    <w:p>
      <w:pPr>
        <w:pStyle w:val="BodyText"/>
        <w:spacing w:before="10"/>
        <w:rPr>
          <w:sz w:val="35"/>
        </w:rPr>
      </w:pPr>
    </w:p>
    <w:p>
      <w:pPr>
        <w:pStyle w:val="ListParagraph"/>
        <w:numPr>
          <w:ilvl w:val="0"/>
          <w:numId w:val="231"/>
        </w:numPr>
        <w:tabs>
          <w:tab w:pos="1221" w:val="left" w:leader="none"/>
        </w:tabs>
        <w:spacing w:line="480" w:lineRule="auto" w:before="1" w:after="0"/>
        <w:ind w:left="500" w:right="436" w:firstLine="0"/>
        <w:jc w:val="both"/>
        <w:rPr>
          <w:sz w:val="25"/>
        </w:rPr>
      </w:pPr>
      <w:r>
        <w:rPr>
          <w:sz w:val="25"/>
        </w:rPr>
        <w:t>A person who sets up a plea of adverse possession must establish both possession which is peaceful, open and continuous - possession which meets </w:t>
      </w:r>
      <w:r>
        <w:rPr>
          <w:w w:val="99"/>
          <w:sz w:val="25"/>
        </w:rPr>
        <w:t>the</w:t>
      </w:r>
      <w:r>
        <w:rPr>
          <w:spacing w:val="29"/>
          <w:sz w:val="25"/>
        </w:rPr>
        <w:t> </w:t>
      </w:r>
      <w:r>
        <w:rPr>
          <w:w w:val="99"/>
          <w:sz w:val="25"/>
        </w:rPr>
        <w:t>r</w:t>
      </w:r>
      <w:r>
        <w:rPr>
          <w:spacing w:val="-1"/>
          <w:w w:val="99"/>
          <w:sz w:val="25"/>
        </w:rPr>
        <w:t>e</w:t>
      </w:r>
      <w:r>
        <w:rPr>
          <w:w w:val="99"/>
          <w:sz w:val="25"/>
        </w:rPr>
        <w:t>q</w:t>
      </w:r>
      <w:r>
        <w:rPr>
          <w:spacing w:val="-1"/>
          <w:w w:val="99"/>
          <w:sz w:val="25"/>
        </w:rPr>
        <w:t>ui</w:t>
      </w:r>
      <w:r>
        <w:rPr>
          <w:w w:val="99"/>
          <w:sz w:val="25"/>
        </w:rPr>
        <w:t>r</w:t>
      </w:r>
      <w:r>
        <w:rPr>
          <w:spacing w:val="-1"/>
          <w:w w:val="99"/>
          <w:sz w:val="25"/>
        </w:rPr>
        <w:t>e</w:t>
      </w:r>
      <w:r>
        <w:rPr>
          <w:w w:val="99"/>
          <w:sz w:val="25"/>
        </w:rPr>
        <w:t>m</w:t>
      </w:r>
      <w:r>
        <w:rPr>
          <w:spacing w:val="-3"/>
          <w:w w:val="99"/>
          <w:sz w:val="25"/>
        </w:rPr>
        <w:t>e</w:t>
      </w:r>
      <w:r>
        <w:rPr>
          <w:spacing w:val="-1"/>
          <w:w w:val="99"/>
          <w:sz w:val="25"/>
        </w:rPr>
        <w:t>n</w:t>
      </w:r>
      <w:r>
        <w:rPr>
          <w:w w:val="99"/>
          <w:sz w:val="25"/>
        </w:rPr>
        <w:t>t</w:t>
      </w:r>
      <w:r>
        <w:rPr>
          <w:spacing w:val="29"/>
          <w:sz w:val="25"/>
        </w:rPr>
        <w:t> </w:t>
      </w:r>
      <w:r>
        <w:rPr>
          <w:spacing w:val="-1"/>
          <w:w w:val="99"/>
          <w:sz w:val="25"/>
        </w:rPr>
        <w:t>o</w:t>
      </w:r>
      <w:r>
        <w:rPr>
          <w:w w:val="99"/>
          <w:sz w:val="25"/>
        </w:rPr>
        <w:t>f</w:t>
      </w:r>
      <w:r>
        <w:rPr>
          <w:spacing w:val="29"/>
          <w:sz w:val="25"/>
        </w:rPr>
        <w:t> </w:t>
      </w:r>
      <w:r>
        <w:rPr>
          <w:spacing w:val="-3"/>
          <w:w w:val="99"/>
          <w:sz w:val="25"/>
        </w:rPr>
        <w:t>b</w:t>
      </w:r>
      <w:r>
        <w:rPr>
          <w:spacing w:val="-1"/>
          <w:w w:val="99"/>
          <w:sz w:val="25"/>
        </w:rPr>
        <w:t>ein</w:t>
      </w:r>
      <w:r>
        <w:rPr>
          <w:w w:val="99"/>
          <w:sz w:val="25"/>
        </w:rPr>
        <w:t>g</w:t>
      </w:r>
      <w:r>
        <w:rPr>
          <w:spacing w:val="29"/>
          <w:sz w:val="25"/>
        </w:rPr>
        <w:t> </w:t>
      </w:r>
      <w:r>
        <w:rPr>
          <w:spacing w:val="3"/>
          <w:w w:val="40"/>
          <w:sz w:val="25"/>
        </w:rPr>
        <w:t>‗</w:t>
      </w:r>
      <w:r>
        <w:rPr>
          <w:i/>
          <w:w w:val="99"/>
          <w:sz w:val="25"/>
        </w:rPr>
        <w:t>nec</w:t>
      </w:r>
      <w:r>
        <w:rPr>
          <w:i/>
          <w:spacing w:val="28"/>
          <w:sz w:val="25"/>
        </w:rPr>
        <w:t> </w:t>
      </w:r>
      <w:r>
        <w:rPr>
          <w:i/>
          <w:w w:val="99"/>
          <w:sz w:val="25"/>
        </w:rPr>
        <w:t>vi</w:t>
      </w:r>
      <w:r>
        <w:rPr>
          <w:i/>
          <w:spacing w:val="28"/>
          <w:sz w:val="25"/>
        </w:rPr>
        <w:t> </w:t>
      </w:r>
      <w:r>
        <w:rPr>
          <w:i/>
          <w:w w:val="99"/>
          <w:sz w:val="25"/>
        </w:rPr>
        <w:t>nec</w:t>
      </w:r>
      <w:r>
        <w:rPr>
          <w:i/>
          <w:spacing w:val="28"/>
          <w:sz w:val="25"/>
        </w:rPr>
        <w:t> </w:t>
      </w:r>
      <w:r>
        <w:rPr>
          <w:i/>
          <w:w w:val="99"/>
          <w:sz w:val="25"/>
        </w:rPr>
        <w:t>claim</w:t>
      </w:r>
      <w:r>
        <w:rPr>
          <w:i/>
          <w:spacing w:val="27"/>
          <w:sz w:val="25"/>
        </w:rPr>
        <w:t> </w:t>
      </w:r>
      <w:r>
        <w:rPr>
          <w:w w:val="99"/>
          <w:sz w:val="25"/>
        </w:rPr>
        <w:t>and</w:t>
      </w:r>
      <w:r>
        <w:rPr>
          <w:spacing w:val="29"/>
          <w:sz w:val="25"/>
        </w:rPr>
        <w:t> </w:t>
      </w:r>
      <w:r>
        <w:rPr>
          <w:i/>
          <w:w w:val="99"/>
          <w:sz w:val="25"/>
        </w:rPr>
        <w:t>nec</w:t>
      </w:r>
      <w:r>
        <w:rPr>
          <w:i/>
          <w:spacing w:val="28"/>
          <w:sz w:val="25"/>
        </w:rPr>
        <w:t> </w:t>
      </w:r>
      <w:r>
        <w:rPr>
          <w:i/>
          <w:w w:val="99"/>
          <w:sz w:val="25"/>
        </w:rPr>
        <w:t>p</w:t>
      </w:r>
      <w:r>
        <w:rPr>
          <w:i/>
          <w:spacing w:val="1"/>
          <w:w w:val="99"/>
          <w:sz w:val="25"/>
        </w:rPr>
        <w:t>r</w:t>
      </w:r>
      <w:r>
        <w:rPr>
          <w:i/>
          <w:w w:val="99"/>
          <w:sz w:val="25"/>
        </w:rPr>
        <w:t>eca</w:t>
      </w:r>
      <w:r>
        <w:rPr>
          <w:i/>
          <w:w w:val="99"/>
          <w:sz w:val="25"/>
        </w:rPr>
        <w:t>r</w:t>
      </w:r>
      <w:r>
        <w:rPr>
          <w:i/>
          <w:w w:val="99"/>
          <w:sz w:val="25"/>
        </w:rPr>
        <w:t>i</w:t>
      </w:r>
      <w:r>
        <w:rPr>
          <w:i/>
          <w:spacing w:val="1"/>
          <w:w w:val="99"/>
          <w:sz w:val="25"/>
        </w:rPr>
        <w:t>o</w:t>
      </w:r>
      <w:r>
        <w:rPr>
          <w:spacing w:val="-1"/>
          <w:w w:val="99"/>
          <w:sz w:val="25"/>
        </w:rPr>
        <w:t>‘</w:t>
      </w:r>
      <w:r>
        <w:rPr>
          <w:w w:val="99"/>
          <w:sz w:val="25"/>
        </w:rPr>
        <w:t>.</w:t>
      </w:r>
      <w:r>
        <w:rPr>
          <w:spacing w:val="26"/>
          <w:sz w:val="25"/>
        </w:rPr>
        <w:t> </w:t>
      </w:r>
      <w:r>
        <w:rPr>
          <w:w w:val="99"/>
          <w:sz w:val="25"/>
        </w:rPr>
        <w:t>To</w:t>
      </w:r>
      <w:r>
        <w:rPr>
          <w:spacing w:val="29"/>
          <w:sz w:val="25"/>
        </w:rPr>
        <w:t> </w:t>
      </w:r>
      <w:r>
        <w:rPr>
          <w:w w:val="99"/>
          <w:sz w:val="25"/>
        </w:rPr>
        <w:t>substantiate</w:t>
      </w:r>
      <w:r>
        <w:rPr>
          <w:spacing w:val="27"/>
          <w:sz w:val="25"/>
        </w:rPr>
        <w:t> </w:t>
      </w:r>
      <w:r>
        <w:rPr>
          <w:w w:val="99"/>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plea of adverse possession, the character of the possession must be adequate in continuity and in the public because the possession has to be to the knowledge  of the true owner in order for it to be adverse. These requirements have to be duly established first by adequate pleadings and second by leading sufficient evidence. Evidence, it is well settled, can only be adduced with reference to matters which are pleaded in a civil suit and in the absence of an adequate pleading, evidence by itself cannot supply the deficiency of a pleaded case. Reading paragraph 11(a), it becomes evident that beyond stating that the Muslims have been in long exclusive and continuous possession beginning from the time when the Mosque was built and until it was desecrated, no factual basis has been furnished. This is not merely a matter of details or evidence. A plea of adverse possession seeks to defeat the rights of the true owner and the law is  not readily accepting of such a case unless a clear and cogent basis has been made out in the pleadings and established in the</w:t>
      </w:r>
      <w:r>
        <w:rPr>
          <w:spacing w:val="-8"/>
        </w:rPr>
        <w:t> </w:t>
      </w:r>
      <w:r>
        <w:rPr/>
        <w:t>evidence.</w:t>
      </w:r>
    </w:p>
    <w:p>
      <w:pPr>
        <w:pStyle w:val="BodyText"/>
        <w:spacing w:before="10"/>
        <w:rPr>
          <w:sz w:val="38"/>
        </w:rPr>
      </w:pPr>
    </w:p>
    <w:p>
      <w:pPr>
        <w:pStyle w:val="ListParagraph"/>
        <w:numPr>
          <w:ilvl w:val="0"/>
          <w:numId w:val="231"/>
        </w:numPr>
        <w:tabs>
          <w:tab w:pos="1221" w:val="left" w:leader="none"/>
        </w:tabs>
        <w:spacing w:line="480" w:lineRule="auto" w:before="0" w:after="0"/>
        <w:ind w:left="500" w:right="443" w:firstLine="0"/>
        <w:jc w:val="both"/>
        <w:rPr>
          <w:sz w:val="25"/>
        </w:rPr>
      </w:pPr>
      <w:r>
        <w:rPr>
          <w:sz w:val="25"/>
        </w:rPr>
        <w:t>Though, paragraph 11(a) dates the commencement of the possession of the Muslims from the date of the construction of the mosque, it has emerged that no records are available with respect to possession for the period between 1528 and 1860. Moreover, setting up the plea of adverse possession in the alternative or as a subsidiary plea seems to be a distinct improvement in the manner in which the presentation of the plea has evolved. In Suit 2 (which was withdrawn subsequently), a written statement was filed by the first defendant who is also plaintiff no 10 in Suit 4. In the course of the written statement, the first defendant asserted that if at any time any plaintiffs to the suit or any other Hindus prove</w:t>
      </w:r>
      <w:r>
        <w:rPr>
          <w:spacing w:val="23"/>
          <w:sz w:val="25"/>
        </w:rPr>
        <w:t> </w:t>
      </w:r>
      <w:r>
        <w:rPr>
          <w:sz w:val="25"/>
        </w:rPr>
        <w:t>that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prior to the construction of the Masjid there existed any temple on the spot, even in that case the Muslims were in possession for over 400 years, and their possession was in the knowledge of the Hindus. Consequently, there is no title in the Hindus.</w:t>
      </w:r>
    </w:p>
    <w:p>
      <w:pPr>
        <w:pStyle w:val="BodyText"/>
        <w:spacing w:before="11"/>
        <w:rPr>
          <w:sz w:val="38"/>
        </w:rPr>
      </w:pPr>
    </w:p>
    <w:p>
      <w:pPr>
        <w:pStyle w:val="ListParagraph"/>
        <w:numPr>
          <w:ilvl w:val="0"/>
          <w:numId w:val="231"/>
        </w:numPr>
        <w:tabs>
          <w:tab w:pos="1221" w:val="left" w:leader="none"/>
        </w:tabs>
        <w:spacing w:line="480" w:lineRule="auto" w:before="0" w:after="0"/>
        <w:ind w:left="500" w:right="438" w:firstLine="0"/>
        <w:jc w:val="both"/>
        <w:rPr>
          <w:sz w:val="25"/>
        </w:rPr>
      </w:pPr>
      <w:r>
        <w:rPr>
          <w:sz w:val="25"/>
        </w:rPr>
        <w:t>Subsequently, by the time that Suit 4 was instituted, the plea of adverse possession was relegated to a subsidiary contention, the main contention being that there was a dedication to public worship upon the construction of the  mosque by Babur. In fact, even during the course of these proceedings, there has been a certain amount of ambivalence about the manner in which the plea of adverse possession has been addressed in the course of the proceedings. Dr Rajeev Dhavan in the course of his written arguments on adverse possession  has adduced the following</w:t>
      </w:r>
      <w:r>
        <w:rPr>
          <w:spacing w:val="-4"/>
          <w:sz w:val="25"/>
        </w:rPr>
        <w:t> </w:t>
      </w:r>
      <w:r>
        <w:rPr>
          <w:sz w:val="25"/>
        </w:rPr>
        <w:t>submissions:</w:t>
      </w:r>
    </w:p>
    <w:p>
      <w:pPr>
        <w:spacing w:line="276" w:lineRule="auto" w:before="160"/>
        <w:ind w:left="1940" w:right="2256" w:firstLine="0"/>
        <w:jc w:val="both"/>
        <w:rPr>
          <w:sz w:val="21"/>
        </w:rPr>
      </w:pPr>
      <w:r>
        <w:rPr>
          <w:spacing w:val="-1"/>
          <w:w w:val="33"/>
          <w:sz w:val="21"/>
        </w:rPr>
        <w:t>―</w:t>
      </w:r>
      <w:r>
        <w:rPr>
          <w:spacing w:val="-1"/>
          <w:w w:val="100"/>
          <w:sz w:val="21"/>
        </w:rPr>
        <w:t>7.</w:t>
      </w:r>
      <w:r>
        <w:rPr>
          <w:w w:val="100"/>
          <w:sz w:val="21"/>
        </w:rPr>
        <w:t>1</w:t>
      </w:r>
      <w:r>
        <w:rPr>
          <w:sz w:val="21"/>
        </w:rPr>
        <w:t>     </w:t>
      </w:r>
      <w:r>
        <w:rPr>
          <w:spacing w:val="7"/>
          <w:sz w:val="21"/>
        </w:rPr>
        <w:t> </w:t>
      </w:r>
      <w:r>
        <w:rPr>
          <w:spacing w:val="-2"/>
          <w:w w:val="100"/>
          <w:sz w:val="21"/>
        </w:rPr>
        <w:t>I</w:t>
      </w:r>
      <w:r>
        <w:rPr>
          <w:w w:val="100"/>
          <w:sz w:val="21"/>
        </w:rPr>
        <w:t>n</w:t>
      </w:r>
      <w:r>
        <w:rPr>
          <w:spacing w:val="3"/>
          <w:sz w:val="21"/>
        </w:rPr>
        <w:t> </w:t>
      </w:r>
      <w:r>
        <w:rPr>
          <w:w w:val="100"/>
          <w:sz w:val="21"/>
        </w:rPr>
        <w:t>s</w:t>
      </w:r>
      <w:r>
        <w:rPr>
          <w:spacing w:val="-3"/>
          <w:w w:val="100"/>
          <w:sz w:val="21"/>
        </w:rPr>
        <w:t>u</w:t>
      </w:r>
      <w:r>
        <w:rPr>
          <w:w w:val="100"/>
          <w:sz w:val="21"/>
        </w:rPr>
        <w:t>i</w:t>
      </w:r>
      <w:r>
        <w:rPr>
          <w:w w:val="100"/>
          <w:sz w:val="21"/>
        </w:rPr>
        <w:t>t</w:t>
      </w:r>
      <w:r>
        <w:rPr>
          <w:spacing w:val="2"/>
          <w:sz w:val="21"/>
        </w:rPr>
        <w:t> </w:t>
      </w:r>
      <w:r>
        <w:rPr>
          <w:w w:val="100"/>
          <w:sz w:val="21"/>
        </w:rPr>
        <w:t>4</w:t>
      </w:r>
      <w:r>
        <w:rPr>
          <w:spacing w:val="1"/>
          <w:sz w:val="21"/>
        </w:rPr>
        <w:t> </w:t>
      </w:r>
      <w:r>
        <w:rPr>
          <w:spacing w:val="-2"/>
          <w:w w:val="100"/>
          <w:sz w:val="21"/>
        </w:rPr>
        <w:t>t</w:t>
      </w:r>
      <w:r>
        <w:rPr>
          <w:w w:val="100"/>
          <w:sz w:val="21"/>
        </w:rPr>
        <w:t>he</w:t>
      </w:r>
      <w:r>
        <w:rPr>
          <w:spacing w:val="1"/>
          <w:sz w:val="21"/>
        </w:rPr>
        <w:t> </w:t>
      </w:r>
      <w:r>
        <w:rPr>
          <w:w w:val="100"/>
          <w:sz w:val="21"/>
        </w:rPr>
        <w:t>pri</w:t>
      </w:r>
      <w:r>
        <w:rPr>
          <w:spacing w:val="-2"/>
          <w:w w:val="100"/>
          <w:sz w:val="21"/>
        </w:rPr>
        <w:t>n</w:t>
      </w:r>
      <w:r>
        <w:rPr>
          <w:w w:val="100"/>
          <w:sz w:val="21"/>
        </w:rPr>
        <w:t>c</w:t>
      </w:r>
      <w:r>
        <w:rPr>
          <w:spacing w:val="-2"/>
          <w:w w:val="100"/>
          <w:sz w:val="21"/>
        </w:rPr>
        <w:t>i</w:t>
      </w:r>
      <w:r>
        <w:rPr>
          <w:w w:val="100"/>
          <w:sz w:val="21"/>
        </w:rPr>
        <w:t>pal</w:t>
      </w:r>
      <w:r>
        <w:rPr>
          <w:spacing w:val="2"/>
          <w:sz w:val="21"/>
        </w:rPr>
        <w:t> </w:t>
      </w:r>
      <w:r>
        <w:rPr>
          <w:spacing w:val="-3"/>
          <w:w w:val="100"/>
          <w:sz w:val="21"/>
        </w:rPr>
        <w:t>c</w:t>
      </w:r>
      <w:r>
        <w:rPr>
          <w:w w:val="100"/>
          <w:sz w:val="21"/>
        </w:rPr>
        <w:t>l</w:t>
      </w:r>
      <w:r>
        <w:rPr>
          <w:spacing w:val="-3"/>
          <w:w w:val="100"/>
          <w:sz w:val="21"/>
        </w:rPr>
        <w:t>a</w:t>
      </w:r>
      <w:r>
        <w:rPr>
          <w:spacing w:val="-2"/>
          <w:w w:val="100"/>
          <w:sz w:val="21"/>
        </w:rPr>
        <w:t>i</w:t>
      </w:r>
      <w:r>
        <w:rPr>
          <w:w w:val="100"/>
          <w:sz w:val="21"/>
        </w:rPr>
        <w:t>m</w:t>
      </w:r>
      <w:r>
        <w:rPr>
          <w:spacing w:val="3"/>
          <w:sz w:val="21"/>
        </w:rPr>
        <w:t> </w:t>
      </w:r>
      <w:r>
        <w:rPr>
          <w:spacing w:val="-3"/>
          <w:w w:val="100"/>
          <w:sz w:val="21"/>
        </w:rPr>
        <w:t>o</w:t>
      </w:r>
      <w:r>
        <w:rPr>
          <w:w w:val="100"/>
          <w:sz w:val="21"/>
        </w:rPr>
        <w:t>f</w:t>
      </w:r>
      <w:r>
        <w:rPr>
          <w:spacing w:val="4"/>
          <w:sz w:val="21"/>
        </w:rPr>
        <w:t> </w:t>
      </w:r>
      <w:r>
        <w:rPr>
          <w:spacing w:val="-3"/>
          <w:w w:val="100"/>
          <w:sz w:val="21"/>
        </w:rPr>
        <w:t>a</w:t>
      </w:r>
      <w:r>
        <w:rPr>
          <w:w w:val="100"/>
          <w:sz w:val="21"/>
        </w:rPr>
        <w:t>d</w:t>
      </w:r>
      <w:r>
        <w:rPr>
          <w:spacing w:val="-3"/>
          <w:w w:val="100"/>
          <w:sz w:val="21"/>
        </w:rPr>
        <w:t>v</w:t>
      </w:r>
      <w:r>
        <w:rPr>
          <w:w w:val="100"/>
          <w:sz w:val="21"/>
        </w:rPr>
        <w:t>erse</w:t>
      </w:r>
      <w:r>
        <w:rPr>
          <w:spacing w:val="3"/>
          <w:sz w:val="21"/>
        </w:rPr>
        <w:t> </w:t>
      </w:r>
      <w:r>
        <w:rPr>
          <w:spacing w:val="-3"/>
          <w:w w:val="100"/>
          <w:sz w:val="21"/>
        </w:rPr>
        <w:t>p</w:t>
      </w:r>
      <w:r>
        <w:rPr>
          <w:w w:val="100"/>
          <w:sz w:val="21"/>
        </w:rPr>
        <w:t>os</w:t>
      </w:r>
      <w:r>
        <w:rPr>
          <w:spacing w:val="-3"/>
          <w:w w:val="100"/>
          <w:sz w:val="21"/>
        </w:rPr>
        <w:t>s</w:t>
      </w:r>
      <w:r>
        <w:rPr>
          <w:w w:val="100"/>
          <w:sz w:val="21"/>
        </w:rPr>
        <w:t>es</w:t>
      </w:r>
      <w:r>
        <w:rPr>
          <w:spacing w:val="-3"/>
          <w:w w:val="100"/>
          <w:sz w:val="21"/>
        </w:rPr>
        <w:t>s</w:t>
      </w:r>
      <w:r>
        <w:rPr>
          <w:w w:val="100"/>
          <w:sz w:val="21"/>
        </w:rPr>
        <w:t>i</w:t>
      </w:r>
      <w:r>
        <w:rPr>
          <w:w w:val="100"/>
          <w:sz w:val="21"/>
        </w:rPr>
        <w:t>on</w:t>
      </w:r>
      <w:r>
        <w:rPr>
          <w:spacing w:val="-1"/>
          <w:sz w:val="21"/>
        </w:rPr>
        <w:t> </w:t>
      </w:r>
      <w:r>
        <w:rPr>
          <w:w w:val="100"/>
          <w:sz w:val="21"/>
        </w:rPr>
        <w:t>has </w:t>
      </w:r>
      <w:r>
        <w:rPr>
          <w:sz w:val="21"/>
        </w:rPr>
        <w:t>been made by the Hindu parties with special emphasis by the Nirmohi Akhara (Plaintiff in Suit 3 and defendants in Suits 4 and 5) and by the Plaintiffs in suit 5 to assert that no adverse possession can be claimed against the Janma  Bhumi (Plaintiff No.</w:t>
      </w:r>
      <w:r>
        <w:rPr>
          <w:spacing w:val="-3"/>
          <w:sz w:val="21"/>
        </w:rPr>
        <w:t> </w:t>
      </w:r>
      <w:r>
        <w:rPr>
          <w:sz w:val="21"/>
        </w:rPr>
        <w:t>2).</w:t>
      </w:r>
    </w:p>
    <w:p>
      <w:pPr>
        <w:spacing w:line="276" w:lineRule="auto" w:before="0"/>
        <w:ind w:left="1940" w:right="2255" w:firstLine="0"/>
        <w:jc w:val="both"/>
        <w:rPr>
          <w:sz w:val="21"/>
        </w:rPr>
      </w:pPr>
      <w:r>
        <w:rPr>
          <w:sz w:val="21"/>
        </w:rPr>
        <w:t>7.2 As mentioned above, Mr Jilani Senior Advocate has already shown with reference to documents even without the support of witness statements to establish that the claim of adverse possession from 1939-49 is unfounded.‖</w:t>
      </w:r>
    </w:p>
    <w:p>
      <w:pPr>
        <w:pStyle w:val="BodyText"/>
        <w:rPr>
          <w:sz w:val="24"/>
        </w:rPr>
      </w:pPr>
    </w:p>
    <w:p>
      <w:pPr>
        <w:pStyle w:val="BodyText"/>
        <w:spacing w:before="2"/>
        <w:rPr>
          <w:sz w:val="26"/>
        </w:rPr>
      </w:pPr>
    </w:p>
    <w:p>
      <w:pPr>
        <w:pStyle w:val="BodyText"/>
        <w:spacing w:line="480" w:lineRule="auto"/>
        <w:ind w:left="500" w:right="436"/>
        <w:jc w:val="both"/>
      </w:pPr>
      <w:r>
        <w:rPr/>
        <w:t>The above extract from the submissions in fact seeks to emphasize that the principal claim of adverse possession in Suit 4 has been made by the Hindu parties with special emphasis by the Nirmohi Akhara and deities in Suit 5. What the above submission misses is that the case of adverse possession in Suit 4 has been set up by the plaintiffs themselves, led by the Sunni Central Waqf Board.</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9"/>
        <w:jc w:val="both"/>
      </w:pPr>
      <w:r>
        <w:rPr/>
        <w:t>Instead, the submission while addressing arguments in Suit 4 has been inverted to appear as though it is a submission which is being asserted only by Nirmohi Akhara and the deities. Paragraph 11(a) which has been extracted above is the pleading of the Sunni Central Waqf Board and the other supporting plaintiffs which specifically seeks to set up a plea of adverse</w:t>
      </w:r>
      <w:r>
        <w:rPr>
          <w:spacing w:val="-11"/>
        </w:rPr>
        <w:t> </w:t>
      </w:r>
      <w:r>
        <w:rPr/>
        <w:t>possession.</w:t>
      </w:r>
    </w:p>
    <w:p>
      <w:pPr>
        <w:pStyle w:val="BodyText"/>
      </w:pPr>
    </w:p>
    <w:p>
      <w:pPr>
        <w:pStyle w:val="ListParagraph"/>
        <w:numPr>
          <w:ilvl w:val="0"/>
          <w:numId w:val="231"/>
        </w:numPr>
        <w:tabs>
          <w:tab w:pos="1221" w:val="left" w:leader="none"/>
        </w:tabs>
        <w:spacing w:line="480" w:lineRule="auto" w:before="1" w:after="0"/>
        <w:ind w:left="500" w:right="435" w:firstLine="0"/>
        <w:jc w:val="both"/>
        <w:rPr>
          <w:sz w:val="25"/>
        </w:rPr>
      </w:pPr>
      <w:r>
        <w:rPr>
          <w:sz w:val="25"/>
        </w:rPr>
        <w:t>Any attempt to define possession must be context specific. A uniform formulation of principle of universal application is elusive to the grasp. The difficulty lies in converting myriad factual situations, replete with their complexities, into a legal paradigm. The doctrine coalesces a fact – that of being in possession – and an intent, the animus of being in</w:t>
      </w:r>
      <w:r>
        <w:rPr>
          <w:spacing w:val="-10"/>
          <w:sz w:val="25"/>
        </w:rPr>
        <w:t> </w:t>
      </w:r>
      <w:r>
        <w:rPr>
          <w:sz w:val="25"/>
        </w:rPr>
        <w:t>possession.</w:t>
      </w:r>
    </w:p>
    <w:p>
      <w:pPr>
        <w:pStyle w:val="BodyText"/>
        <w:spacing w:before="7"/>
        <w:rPr>
          <w:sz w:val="38"/>
        </w:rPr>
      </w:pPr>
    </w:p>
    <w:p>
      <w:pPr>
        <w:pStyle w:val="ListParagraph"/>
        <w:numPr>
          <w:ilvl w:val="0"/>
          <w:numId w:val="231"/>
        </w:numPr>
        <w:tabs>
          <w:tab w:pos="1221" w:val="left" w:leader="none"/>
        </w:tabs>
        <w:spacing w:line="480" w:lineRule="auto" w:before="1" w:after="0"/>
        <w:ind w:left="500" w:right="439" w:firstLine="0"/>
        <w:jc w:val="both"/>
        <w:rPr>
          <w:sz w:val="25"/>
        </w:rPr>
      </w:pPr>
      <w:r>
        <w:rPr>
          <w:sz w:val="25"/>
        </w:rPr>
        <w:t>In </w:t>
      </w:r>
      <w:r>
        <w:rPr>
          <w:b/>
          <w:sz w:val="25"/>
        </w:rPr>
        <w:t>Supdt. and Remembrance of Legal Affairs, West Bengal </w:t>
      </w:r>
      <w:r>
        <w:rPr>
          <w:sz w:val="25"/>
        </w:rPr>
        <w:t>v </w:t>
      </w:r>
      <w:r>
        <w:rPr>
          <w:b/>
          <w:sz w:val="25"/>
        </w:rPr>
        <w:t>Anil Kumar Bhunja</w:t>
      </w:r>
      <w:r>
        <w:rPr>
          <w:sz w:val="25"/>
          <w:vertAlign w:val="superscript"/>
        </w:rPr>
        <w:t>367</w:t>
      </w:r>
      <w:r>
        <w:rPr>
          <w:sz w:val="25"/>
          <w:vertAlign w:val="baseline"/>
        </w:rPr>
        <w:t>, Justice R S Sarkaria, speaking for a three judge Bench of this </w:t>
      </w:r>
      <w:r>
        <w:rPr>
          <w:spacing w:val="-1"/>
          <w:w w:val="99"/>
          <w:sz w:val="25"/>
          <w:vertAlign w:val="baseline"/>
        </w:rPr>
        <w:t>Cou</w:t>
      </w:r>
      <w:r>
        <w:rPr>
          <w:spacing w:val="1"/>
          <w:w w:val="99"/>
          <w:sz w:val="25"/>
          <w:vertAlign w:val="baseline"/>
        </w:rPr>
        <w:t>r</w:t>
      </w:r>
      <w:r>
        <w:rPr>
          <w:w w:val="99"/>
          <w:sz w:val="25"/>
          <w:vertAlign w:val="baseline"/>
        </w:rPr>
        <w:t>t</w:t>
      </w:r>
      <w:r>
        <w:rPr>
          <w:spacing w:val="14"/>
          <w:sz w:val="25"/>
          <w:vertAlign w:val="baseline"/>
        </w:rPr>
        <w:t> </w:t>
      </w:r>
      <w:r>
        <w:rPr>
          <w:spacing w:val="-1"/>
          <w:w w:val="99"/>
          <w:sz w:val="25"/>
          <w:vertAlign w:val="baseline"/>
        </w:rPr>
        <w:t>n</w:t>
      </w:r>
      <w:r>
        <w:rPr>
          <w:w w:val="99"/>
          <w:sz w:val="25"/>
          <w:vertAlign w:val="baseline"/>
        </w:rPr>
        <w:t>oted</w:t>
      </w:r>
      <w:r>
        <w:rPr>
          <w:spacing w:val="15"/>
          <w:sz w:val="25"/>
          <w:vertAlign w:val="baseline"/>
        </w:rPr>
        <w:t> </w:t>
      </w:r>
      <w:r>
        <w:rPr>
          <w:w w:val="99"/>
          <w:sz w:val="25"/>
          <w:vertAlign w:val="baseline"/>
        </w:rPr>
        <w:t>that</w:t>
      </w:r>
      <w:r>
        <w:rPr>
          <w:spacing w:val="14"/>
          <w:sz w:val="25"/>
          <w:vertAlign w:val="baseline"/>
        </w:rPr>
        <w:t> </w:t>
      </w:r>
      <w:r>
        <w:rPr>
          <w:w w:val="99"/>
          <w:sz w:val="25"/>
          <w:vertAlign w:val="baseline"/>
        </w:rPr>
        <w:t>the</w:t>
      </w:r>
      <w:r>
        <w:rPr>
          <w:spacing w:val="12"/>
          <w:sz w:val="25"/>
          <w:vertAlign w:val="baseline"/>
        </w:rPr>
        <w:t> </w:t>
      </w:r>
      <w:r>
        <w:rPr>
          <w:w w:val="99"/>
          <w:sz w:val="25"/>
          <w:vertAlign w:val="baseline"/>
        </w:rPr>
        <w:t>concept</w:t>
      </w:r>
      <w:r>
        <w:rPr>
          <w:spacing w:val="14"/>
          <w:sz w:val="25"/>
          <w:vertAlign w:val="baseline"/>
        </w:rPr>
        <w:t> </w:t>
      </w:r>
      <w:r>
        <w:rPr>
          <w:spacing w:val="-1"/>
          <w:w w:val="99"/>
          <w:sz w:val="25"/>
          <w:vertAlign w:val="baseline"/>
        </w:rPr>
        <w:t>o</w:t>
      </w:r>
      <w:r>
        <w:rPr>
          <w:w w:val="99"/>
          <w:sz w:val="25"/>
          <w:vertAlign w:val="baseline"/>
        </w:rPr>
        <w:t>f</w:t>
      </w:r>
      <w:r>
        <w:rPr>
          <w:spacing w:val="14"/>
          <w:sz w:val="25"/>
          <w:vertAlign w:val="baseline"/>
        </w:rPr>
        <w:t> </w:t>
      </w:r>
      <w:r>
        <w:rPr>
          <w:spacing w:val="-1"/>
          <w:w w:val="99"/>
          <w:sz w:val="25"/>
          <w:vertAlign w:val="baseline"/>
        </w:rPr>
        <w:t>p</w:t>
      </w:r>
      <w:r>
        <w:rPr>
          <w:w w:val="99"/>
          <w:sz w:val="25"/>
          <w:vertAlign w:val="baseline"/>
        </w:rPr>
        <w:t>ossession</w:t>
      </w:r>
      <w:r>
        <w:rPr>
          <w:spacing w:val="15"/>
          <w:sz w:val="25"/>
          <w:vertAlign w:val="baseline"/>
        </w:rPr>
        <w:t> </w:t>
      </w:r>
      <w:r>
        <w:rPr>
          <w:spacing w:val="-1"/>
          <w:w w:val="99"/>
          <w:sz w:val="25"/>
          <w:vertAlign w:val="baseline"/>
        </w:rPr>
        <w:t>i</w:t>
      </w:r>
      <w:r>
        <w:rPr>
          <w:w w:val="99"/>
          <w:sz w:val="25"/>
          <w:vertAlign w:val="baseline"/>
        </w:rPr>
        <w:t>s</w:t>
      </w:r>
      <w:r>
        <w:rPr>
          <w:spacing w:val="14"/>
          <w:sz w:val="25"/>
          <w:vertAlign w:val="baseline"/>
        </w:rPr>
        <w:t> </w:t>
      </w:r>
      <w:r>
        <w:rPr>
          <w:w w:val="33"/>
          <w:sz w:val="25"/>
          <w:vertAlign w:val="baseline"/>
        </w:rPr>
        <w:t>―</w:t>
      </w:r>
      <w:r>
        <w:rPr>
          <w:spacing w:val="-1"/>
          <w:w w:val="99"/>
          <w:sz w:val="25"/>
          <w:vertAlign w:val="baseline"/>
        </w:rPr>
        <w:t>p</w:t>
      </w:r>
      <w:r>
        <w:rPr>
          <w:w w:val="99"/>
          <w:sz w:val="25"/>
          <w:vertAlign w:val="baseline"/>
        </w:rPr>
        <w:t>o</w:t>
      </w:r>
      <w:r>
        <w:rPr>
          <w:spacing w:val="-1"/>
          <w:w w:val="99"/>
          <w:sz w:val="25"/>
          <w:vertAlign w:val="baseline"/>
        </w:rPr>
        <w:t>l</w:t>
      </w:r>
      <w:r>
        <w:rPr>
          <w:spacing w:val="-3"/>
          <w:w w:val="99"/>
          <w:sz w:val="25"/>
          <w:vertAlign w:val="baseline"/>
        </w:rPr>
        <w:t>y</w:t>
      </w:r>
      <w:r>
        <w:rPr>
          <w:w w:val="99"/>
          <w:sz w:val="25"/>
          <w:vertAlign w:val="baseline"/>
        </w:rPr>
        <w:t>m</w:t>
      </w:r>
      <w:r>
        <w:rPr>
          <w:spacing w:val="-1"/>
          <w:w w:val="99"/>
          <w:sz w:val="25"/>
          <w:vertAlign w:val="baseline"/>
        </w:rPr>
        <w:t>o</w:t>
      </w:r>
      <w:r>
        <w:rPr>
          <w:w w:val="99"/>
          <w:sz w:val="25"/>
          <w:vertAlign w:val="baseline"/>
        </w:rPr>
        <w:t>r</w:t>
      </w:r>
      <w:r>
        <w:rPr>
          <w:spacing w:val="-1"/>
          <w:w w:val="99"/>
          <w:sz w:val="25"/>
          <w:vertAlign w:val="baseline"/>
        </w:rPr>
        <w:t>p</w:t>
      </w:r>
      <w:r>
        <w:rPr>
          <w:w w:val="99"/>
          <w:sz w:val="25"/>
          <w:vertAlign w:val="baseline"/>
        </w:rPr>
        <w:t>h</w:t>
      </w:r>
      <w:r>
        <w:rPr>
          <w:spacing w:val="-1"/>
          <w:w w:val="99"/>
          <w:sz w:val="25"/>
          <w:vertAlign w:val="baseline"/>
        </w:rPr>
        <w:t>o</w:t>
      </w:r>
      <w:r>
        <w:rPr>
          <w:w w:val="99"/>
          <w:sz w:val="25"/>
          <w:vertAlign w:val="baseline"/>
        </w:rPr>
        <w:t>u</w:t>
      </w:r>
      <w:r>
        <w:rPr>
          <w:w w:val="91"/>
          <w:sz w:val="25"/>
          <w:vertAlign w:val="baseline"/>
        </w:rPr>
        <w:t>s‖</w:t>
      </w:r>
      <w:r>
        <w:rPr>
          <w:spacing w:val="15"/>
          <w:sz w:val="25"/>
          <w:vertAlign w:val="baseline"/>
        </w:rPr>
        <w:t> </w:t>
      </w:r>
      <w:r>
        <w:rPr>
          <w:spacing w:val="-1"/>
          <w:w w:val="99"/>
          <w:sz w:val="25"/>
          <w:vertAlign w:val="baseline"/>
        </w:rPr>
        <w:t>e</w:t>
      </w:r>
      <w:r>
        <w:rPr>
          <w:w w:val="99"/>
          <w:sz w:val="25"/>
          <w:vertAlign w:val="baseline"/>
        </w:rPr>
        <w:t>m</w:t>
      </w:r>
      <w:r>
        <w:rPr>
          <w:spacing w:val="-1"/>
          <w:w w:val="99"/>
          <w:sz w:val="25"/>
          <w:vertAlign w:val="baseline"/>
        </w:rPr>
        <w:t>b</w:t>
      </w:r>
      <w:r>
        <w:rPr>
          <w:w w:val="99"/>
          <w:sz w:val="25"/>
          <w:vertAlign w:val="baseline"/>
        </w:rPr>
        <w:t>o</w:t>
      </w:r>
      <w:r>
        <w:rPr>
          <w:spacing w:val="-1"/>
          <w:w w:val="99"/>
          <w:sz w:val="25"/>
          <w:vertAlign w:val="baseline"/>
        </w:rPr>
        <w:t>d</w:t>
      </w:r>
      <w:r>
        <w:rPr>
          <w:spacing w:val="-3"/>
          <w:w w:val="99"/>
          <w:sz w:val="25"/>
          <w:vertAlign w:val="baseline"/>
        </w:rPr>
        <w:t>y</w:t>
      </w:r>
      <w:r>
        <w:rPr>
          <w:spacing w:val="-1"/>
          <w:w w:val="99"/>
          <w:sz w:val="25"/>
          <w:vertAlign w:val="baseline"/>
        </w:rPr>
        <w:t>in</w:t>
      </w:r>
      <w:r>
        <w:rPr>
          <w:w w:val="99"/>
          <w:sz w:val="25"/>
          <w:vertAlign w:val="baseline"/>
        </w:rPr>
        <w:t>g</w:t>
      </w:r>
      <w:r>
        <w:rPr>
          <w:spacing w:val="14"/>
          <w:sz w:val="25"/>
          <w:vertAlign w:val="baseline"/>
        </w:rPr>
        <w:t> </w:t>
      </w:r>
      <w:r>
        <w:rPr>
          <w:spacing w:val="-1"/>
          <w:w w:val="99"/>
          <w:sz w:val="25"/>
          <w:vertAlign w:val="baseline"/>
        </w:rPr>
        <w:t>b</w:t>
      </w:r>
      <w:r>
        <w:rPr>
          <w:w w:val="99"/>
          <w:sz w:val="25"/>
          <w:vertAlign w:val="baseline"/>
        </w:rPr>
        <w:t>oth</w:t>
      </w:r>
      <w:r>
        <w:rPr>
          <w:spacing w:val="15"/>
          <w:sz w:val="25"/>
          <w:vertAlign w:val="baseline"/>
        </w:rPr>
        <w:t> </w:t>
      </w:r>
      <w:r>
        <w:rPr>
          <w:w w:val="99"/>
          <w:sz w:val="25"/>
          <w:vertAlign w:val="baseline"/>
        </w:rPr>
        <w:t>a </w:t>
      </w:r>
      <w:r>
        <w:rPr>
          <w:sz w:val="25"/>
          <w:vertAlign w:val="baseline"/>
        </w:rPr>
        <w:t>right (the right to enjoy) and a fact (the real intention). The learned judge</w:t>
      </w:r>
      <w:r>
        <w:rPr>
          <w:spacing w:val="-20"/>
          <w:sz w:val="25"/>
          <w:vertAlign w:val="baseline"/>
        </w:rPr>
        <w:t> </w:t>
      </w:r>
      <w:r>
        <w:rPr>
          <w:sz w:val="25"/>
          <w:vertAlign w:val="baseline"/>
        </w:rPr>
        <w:t>held:</w:t>
      </w:r>
    </w:p>
    <w:p>
      <w:pPr>
        <w:spacing w:line="276" w:lineRule="auto" w:before="162"/>
        <w:ind w:left="1940" w:right="2256" w:firstLine="0"/>
        <w:jc w:val="both"/>
        <w:rPr>
          <w:sz w:val="21"/>
        </w:rPr>
      </w:pPr>
      <w:r>
        <w:rPr>
          <w:spacing w:val="-1"/>
          <w:w w:val="33"/>
          <w:sz w:val="21"/>
        </w:rPr>
        <w:t>―</w:t>
      </w:r>
      <w:r>
        <w:rPr>
          <w:spacing w:val="-1"/>
          <w:w w:val="100"/>
          <w:sz w:val="21"/>
        </w:rPr>
        <w:t>13</w:t>
      </w:r>
      <w:r>
        <w:rPr>
          <w:w w:val="100"/>
          <w:sz w:val="21"/>
        </w:rPr>
        <w:t>.</w:t>
      </w:r>
      <w:r>
        <w:rPr>
          <w:spacing w:val="-2"/>
          <w:sz w:val="21"/>
        </w:rPr>
        <w:t> </w:t>
      </w:r>
      <w:r>
        <w:rPr>
          <w:spacing w:val="-1"/>
          <w:w w:val="33"/>
          <w:sz w:val="21"/>
        </w:rPr>
        <w:t>―</w:t>
      </w:r>
      <w:r>
        <w:rPr>
          <w:spacing w:val="-2"/>
          <w:w w:val="100"/>
          <w:sz w:val="21"/>
        </w:rPr>
        <w:t>I</w:t>
      </w:r>
      <w:r>
        <w:rPr>
          <w:w w:val="100"/>
          <w:sz w:val="21"/>
        </w:rPr>
        <w:t>t</w:t>
      </w:r>
      <w:r>
        <w:rPr>
          <w:sz w:val="21"/>
        </w:rPr>
        <w:t> </w:t>
      </w:r>
      <w:r>
        <w:rPr>
          <w:spacing w:val="-3"/>
          <w:sz w:val="21"/>
        </w:rPr>
        <w:t> </w:t>
      </w:r>
      <w:r>
        <w:rPr>
          <w:w w:val="100"/>
          <w:sz w:val="21"/>
        </w:rPr>
        <w:t>is</w:t>
      </w:r>
      <w:r>
        <w:rPr>
          <w:sz w:val="21"/>
        </w:rPr>
        <w:t> </w:t>
      </w:r>
      <w:r>
        <w:rPr>
          <w:spacing w:val="-2"/>
          <w:sz w:val="21"/>
        </w:rPr>
        <w:t> </w:t>
      </w:r>
      <w:r>
        <w:rPr>
          <w:w w:val="100"/>
          <w:sz w:val="21"/>
        </w:rPr>
        <w:t>i</w:t>
      </w:r>
      <w:r>
        <w:rPr>
          <w:spacing w:val="-1"/>
          <w:w w:val="100"/>
          <w:sz w:val="21"/>
        </w:rPr>
        <w:t>mpo</w:t>
      </w:r>
      <w:r>
        <w:rPr>
          <w:spacing w:val="-3"/>
          <w:w w:val="100"/>
          <w:sz w:val="21"/>
        </w:rPr>
        <w:t>s</w:t>
      </w:r>
      <w:r>
        <w:rPr>
          <w:w w:val="100"/>
          <w:sz w:val="21"/>
        </w:rPr>
        <w:t>si</w:t>
      </w:r>
      <w:r>
        <w:rPr>
          <w:spacing w:val="-3"/>
          <w:w w:val="100"/>
          <w:sz w:val="21"/>
        </w:rPr>
        <w:t>b</w:t>
      </w:r>
      <w:r>
        <w:rPr>
          <w:w w:val="100"/>
          <w:sz w:val="21"/>
        </w:rPr>
        <w:t>le</w:t>
      </w:r>
      <w:r>
        <w:rPr>
          <w:sz w:val="21"/>
        </w:rPr>
        <w:t> </w:t>
      </w:r>
      <w:r>
        <w:rPr>
          <w:spacing w:val="-2"/>
          <w:sz w:val="21"/>
        </w:rPr>
        <w:t> </w:t>
      </w:r>
      <w:r>
        <w:rPr>
          <w:spacing w:val="-2"/>
          <w:w w:val="100"/>
          <w:sz w:val="21"/>
        </w:rPr>
        <w:t>t</w:t>
      </w:r>
      <w:r>
        <w:rPr>
          <w:w w:val="100"/>
          <w:sz w:val="21"/>
        </w:rPr>
        <w:t>o</w:t>
      </w:r>
      <w:r>
        <w:rPr>
          <w:sz w:val="21"/>
        </w:rPr>
        <w:t> </w:t>
      </w:r>
      <w:r>
        <w:rPr>
          <w:spacing w:val="-4"/>
          <w:sz w:val="21"/>
        </w:rPr>
        <w:t> </w:t>
      </w:r>
      <w:r>
        <w:rPr>
          <w:spacing w:val="-2"/>
          <w:w w:val="100"/>
          <w:sz w:val="21"/>
        </w:rPr>
        <w:t>w</w:t>
      </w:r>
      <w:r>
        <w:rPr>
          <w:spacing w:val="-1"/>
          <w:w w:val="100"/>
          <w:sz w:val="21"/>
        </w:rPr>
        <w:t>or</w:t>
      </w:r>
      <w:r>
        <w:rPr>
          <w:w w:val="100"/>
          <w:sz w:val="21"/>
        </w:rPr>
        <w:t>k</w:t>
      </w:r>
      <w:r>
        <w:rPr>
          <w:sz w:val="21"/>
        </w:rPr>
        <w:t> </w:t>
      </w:r>
      <w:r>
        <w:rPr>
          <w:spacing w:val="-1"/>
          <w:sz w:val="21"/>
        </w:rPr>
        <w:t> </w:t>
      </w:r>
      <w:r>
        <w:rPr>
          <w:spacing w:val="-3"/>
          <w:w w:val="100"/>
          <w:sz w:val="21"/>
        </w:rPr>
        <w:t>o</w:t>
      </w:r>
      <w:r>
        <w:rPr>
          <w:spacing w:val="-1"/>
          <w:w w:val="100"/>
          <w:sz w:val="21"/>
        </w:rPr>
        <w:t>u</w:t>
      </w:r>
      <w:r>
        <w:rPr>
          <w:w w:val="100"/>
          <w:sz w:val="21"/>
        </w:rPr>
        <w:t>t</w:t>
      </w:r>
      <w:r>
        <w:rPr>
          <w:sz w:val="21"/>
        </w:rPr>
        <w:t> </w:t>
      </w:r>
      <w:r>
        <w:rPr>
          <w:spacing w:val="-3"/>
          <w:sz w:val="21"/>
        </w:rPr>
        <w:t> </w:t>
      </w:r>
      <w:r>
        <w:rPr>
          <w:w w:val="100"/>
          <w:sz w:val="21"/>
        </w:rPr>
        <w:t>a</w:t>
      </w:r>
      <w:r>
        <w:rPr>
          <w:sz w:val="21"/>
        </w:rPr>
        <w:t> </w:t>
      </w:r>
      <w:r>
        <w:rPr>
          <w:spacing w:val="-2"/>
          <w:sz w:val="21"/>
        </w:rPr>
        <w:t> </w:t>
      </w:r>
      <w:r>
        <w:rPr>
          <w:w w:val="100"/>
          <w:sz w:val="21"/>
        </w:rPr>
        <w:t>c</w:t>
      </w:r>
      <w:r>
        <w:rPr>
          <w:spacing w:val="-3"/>
          <w:w w:val="100"/>
          <w:sz w:val="21"/>
        </w:rPr>
        <w:t>o</w:t>
      </w:r>
      <w:r>
        <w:rPr>
          <w:spacing w:val="-1"/>
          <w:w w:val="100"/>
          <w:sz w:val="21"/>
        </w:rPr>
        <w:t>mp</w:t>
      </w:r>
      <w:r>
        <w:rPr>
          <w:spacing w:val="-2"/>
          <w:w w:val="100"/>
          <w:sz w:val="21"/>
        </w:rPr>
        <w:t>l</w:t>
      </w:r>
      <w:r>
        <w:rPr>
          <w:spacing w:val="-1"/>
          <w:w w:val="100"/>
          <w:sz w:val="21"/>
        </w:rPr>
        <w:t>ete</w:t>
      </w:r>
      <w:r>
        <w:rPr>
          <w:spacing w:val="1"/>
          <w:w w:val="100"/>
          <w:sz w:val="21"/>
        </w:rPr>
        <w:t>l</w:t>
      </w:r>
      <w:r>
        <w:rPr>
          <w:w w:val="100"/>
          <w:sz w:val="21"/>
        </w:rPr>
        <w:t>y</w:t>
      </w:r>
      <w:r>
        <w:rPr>
          <w:sz w:val="21"/>
        </w:rPr>
        <w:t> </w:t>
      </w:r>
      <w:r>
        <w:rPr>
          <w:spacing w:val="-5"/>
          <w:sz w:val="21"/>
        </w:rPr>
        <w:t> </w:t>
      </w:r>
      <w:r>
        <w:rPr>
          <w:spacing w:val="-2"/>
          <w:w w:val="100"/>
          <w:sz w:val="21"/>
        </w:rPr>
        <w:t>l</w:t>
      </w:r>
      <w:r>
        <w:rPr>
          <w:spacing w:val="-1"/>
          <w:w w:val="100"/>
          <w:sz w:val="21"/>
        </w:rPr>
        <w:t>og</w:t>
      </w:r>
      <w:r>
        <w:rPr>
          <w:spacing w:val="1"/>
          <w:w w:val="100"/>
          <w:sz w:val="21"/>
        </w:rPr>
        <w:t>i</w:t>
      </w:r>
      <w:r>
        <w:rPr>
          <w:spacing w:val="-3"/>
          <w:w w:val="100"/>
          <w:sz w:val="21"/>
        </w:rPr>
        <w:t>c</w:t>
      </w:r>
      <w:r>
        <w:rPr>
          <w:spacing w:val="-1"/>
          <w:w w:val="100"/>
          <w:sz w:val="21"/>
        </w:rPr>
        <w:t>a</w:t>
      </w:r>
      <w:r>
        <w:rPr>
          <w:w w:val="100"/>
          <w:sz w:val="21"/>
        </w:rPr>
        <w:t>l</w:t>
      </w:r>
      <w:r>
        <w:rPr>
          <w:sz w:val="21"/>
        </w:rPr>
        <w:t> </w:t>
      </w:r>
      <w:r>
        <w:rPr>
          <w:spacing w:val="-4"/>
          <w:sz w:val="21"/>
        </w:rPr>
        <w:t> </w:t>
      </w:r>
      <w:r>
        <w:rPr>
          <w:spacing w:val="-1"/>
          <w:w w:val="100"/>
          <w:sz w:val="21"/>
        </w:rPr>
        <w:t>and prec</w:t>
      </w:r>
      <w:r>
        <w:rPr>
          <w:spacing w:val="-2"/>
          <w:w w:val="100"/>
          <w:sz w:val="21"/>
        </w:rPr>
        <w:t>i</w:t>
      </w:r>
      <w:r>
        <w:rPr>
          <w:w w:val="100"/>
          <w:sz w:val="21"/>
        </w:rPr>
        <w:t>se</w:t>
      </w:r>
      <w:r>
        <w:rPr>
          <w:sz w:val="21"/>
        </w:rPr>
        <w:t> </w:t>
      </w:r>
      <w:r>
        <w:rPr>
          <w:spacing w:val="-19"/>
          <w:sz w:val="21"/>
        </w:rPr>
        <w:t> </w:t>
      </w:r>
      <w:r>
        <w:rPr>
          <w:spacing w:val="-1"/>
          <w:w w:val="100"/>
          <w:sz w:val="21"/>
        </w:rPr>
        <w:t>d</w:t>
      </w:r>
      <w:r>
        <w:rPr>
          <w:spacing w:val="-3"/>
          <w:w w:val="100"/>
          <w:sz w:val="21"/>
        </w:rPr>
        <w:t>e</w:t>
      </w:r>
      <w:r>
        <w:rPr>
          <w:spacing w:val="1"/>
          <w:w w:val="100"/>
          <w:sz w:val="21"/>
        </w:rPr>
        <w:t>f</w:t>
      </w:r>
      <w:r>
        <w:rPr>
          <w:w w:val="100"/>
          <w:sz w:val="21"/>
        </w:rPr>
        <w:t>i</w:t>
      </w:r>
      <w:r>
        <w:rPr>
          <w:spacing w:val="-3"/>
          <w:w w:val="100"/>
          <w:sz w:val="21"/>
        </w:rPr>
        <w:t>n</w:t>
      </w:r>
      <w:r>
        <w:rPr>
          <w:w w:val="100"/>
          <w:sz w:val="21"/>
        </w:rPr>
        <w:t>i</w:t>
      </w:r>
      <w:r>
        <w:rPr>
          <w:spacing w:val="-2"/>
          <w:w w:val="100"/>
          <w:sz w:val="21"/>
        </w:rPr>
        <w:t>ti</w:t>
      </w:r>
      <w:r>
        <w:rPr>
          <w:spacing w:val="-1"/>
          <w:w w:val="100"/>
          <w:sz w:val="21"/>
        </w:rPr>
        <w:t>o</w:t>
      </w:r>
      <w:r>
        <w:rPr>
          <w:w w:val="100"/>
          <w:sz w:val="21"/>
        </w:rPr>
        <w:t>n</w:t>
      </w:r>
      <w:r>
        <w:rPr>
          <w:sz w:val="21"/>
        </w:rPr>
        <w:t> </w:t>
      </w:r>
      <w:r>
        <w:rPr>
          <w:spacing w:val="-19"/>
          <w:sz w:val="21"/>
        </w:rPr>
        <w:t> </w:t>
      </w:r>
      <w:r>
        <w:rPr>
          <w:spacing w:val="-1"/>
          <w:w w:val="100"/>
          <w:sz w:val="21"/>
        </w:rPr>
        <w:t>o</w:t>
      </w:r>
      <w:r>
        <w:rPr>
          <w:w w:val="100"/>
          <w:sz w:val="21"/>
        </w:rPr>
        <w:t>f</w:t>
      </w:r>
      <w:r>
        <w:rPr>
          <w:sz w:val="21"/>
        </w:rPr>
        <w:t> </w:t>
      </w:r>
      <w:r>
        <w:rPr>
          <w:spacing w:val="-18"/>
          <w:sz w:val="21"/>
        </w:rPr>
        <w:t> </w:t>
      </w:r>
      <w:r>
        <w:rPr>
          <w:spacing w:val="-1"/>
          <w:w w:val="33"/>
          <w:sz w:val="21"/>
        </w:rPr>
        <w:t>―</w:t>
      </w:r>
      <w:r>
        <w:rPr>
          <w:spacing w:val="-1"/>
          <w:w w:val="100"/>
          <w:sz w:val="21"/>
        </w:rPr>
        <w:t>po</w:t>
      </w:r>
      <w:r>
        <w:rPr>
          <w:spacing w:val="-3"/>
          <w:w w:val="100"/>
          <w:sz w:val="21"/>
        </w:rPr>
        <w:t>s</w:t>
      </w:r>
      <w:r>
        <w:rPr>
          <w:w w:val="100"/>
          <w:sz w:val="21"/>
        </w:rPr>
        <w:t>ses</w:t>
      </w:r>
      <w:r>
        <w:rPr>
          <w:spacing w:val="-3"/>
          <w:w w:val="100"/>
          <w:sz w:val="21"/>
        </w:rPr>
        <w:t>s</w:t>
      </w:r>
      <w:r>
        <w:rPr>
          <w:w w:val="100"/>
          <w:sz w:val="21"/>
        </w:rPr>
        <w:t>i</w:t>
      </w:r>
      <w:r>
        <w:rPr>
          <w:spacing w:val="-1"/>
          <w:w w:val="95"/>
          <w:sz w:val="21"/>
        </w:rPr>
        <w:t>on</w:t>
      </w:r>
      <w:r>
        <w:rPr>
          <w:w w:val="95"/>
          <w:sz w:val="21"/>
        </w:rPr>
        <w:t>‖</w:t>
      </w:r>
      <w:r>
        <w:rPr>
          <w:sz w:val="21"/>
        </w:rPr>
        <w:t> </w:t>
      </w:r>
      <w:r>
        <w:rPr>
          <w:spacing w:val="-19"/>
          <w:sz w:val="21"/>
        </w:rPr>
        <w:t> </w:t>
      </w:r>
      <w:r>
        <w:rPr>
          <w:spacing w:val="-1"/>
          <w:w w:val="100"/>
          <w:sz w:val="21"/>
        </w:rPr>
        <w:t>u</w:t>
      </w:r>
      <w:r>
        <w:rPr>
          <w:spacing w:val="-3"/>
          <w:w w:val="100"/>
          <w:sz w:val="21"/>
        </w:rPr>
        <w:t>n</w:t>
      </w:r>
      <w:r>
        <w:rPr>
          <w:w w:val="100"/>
          <w:sz w:val="21"/>
        </w:rPr>
        <w:t>i</w:t>
      </w:r>
      <w:r>
        <w:rPr>
          <w:spacing w:val="-2"/>
          <w:w w:val="100"/>
          <w:sz w:val="21"/>
        </w:rPr>
        <w:t>f</w:t>
      </w:r>
      <w:r>
        <w:rPr>
          <w:spacing w:val="-1"/>
          <w:w w:val="100"/>
          <w:sz w:val="21"/>
        </w:rPr>
        <w:t>o</w:t>
      </w:r>
      <w:r>
        <w:rPr>
          <w:spacing w:val="-3"/>
          <w:w w:val="100"/>
          <w:sz w:val="21"/>
        </w:rPr>
        <w:t>r</w:t>
      </w:r>
      <w:r>
        <w:rPr>
          <w:spacing w:val="1"/>
          <w:w w:val="100"/>
          <w:sz w:val="21"/>
        </w:rPr>
        <w:t>m</w:t>
      </w:r>
      <w:r>
        <w:rPr>
          <w:w w:val="100"/>
          <w:sz w:val="21"/>
        </w:rPr>
        <w:t>ly</w:t>
      </w:r>
      <w:r>
        <w:rPr>
          <w:sz w:val="21"/>
        </w:rPr>
        <w:t> </w:t>
      </w:r>
      <w:r>
        <w:rPr>
          <w:spacing w:val="-19"/>
          <w:sz w:val="21"/>
        </w:rPr>
        <w:t> </w:t>
      </w:r>
      <w:r>
        <w:rPr>
          <w:spacing w:val="-3"/>
          <w:w w:val="100"/>
          <w:sz w:val="21"/>
        </w:rPr>
        <w:t>a</w:t>
      </w:r>
      <w:r>
        <w:rPr>
          <w:spacing w:val="-1"/>
          <w:w w:val="100"/>
          <w:sz w:val="21"/>
        </w:rPr>
        <w:t>ppl</w:t>
      </w:r>
      <w:r>
        <w:rPr>
          <w:w w:val="100"/>
          <w:sz w:val="21"/>
        </w:rPr>
        <w:t>i</w:t>
      </w:r>
      <w:r>
        <w:rPr>
          <w:spacing w:val="-3"/>
          <w:w w:val="100"/>
          <w:sz w:val="21"/>
        </w:rPr>
        <w:t>c</w:t>
      </w:r>
      <w:r>
        <w:rPr>
          <w:spacing w:val="-1"/>
          <w:w w:val="100"/>
          <w:sz w:val="21"/>
        </w:rPr>
        <w:t>abl</w:t>
      </w:r>
      <w:r>
        <w:rPr>
          <w:w w:val="100"/>
          <w:sz w:val="21"/>
        </w:rPr>
        <w:t>e</w:t>
      </w:r>
      <w:r>
        <w:rPr>
          <w:sz w:val="21"/>
        </w:rPr>
        <w:t> </w:t>
      </w:r>
      <w:r>
        <w:rPr>
          <w:spacing w:val="-17"/>
          <w:sz w:val="21"/>
        </w:rPr>
        <w:t> </w:t>
      </w:r>
      <w:r>
        <w:rPr>
          <w:spacing w:val="-2"/>
          <w:w w:val="100"/>
          <w:sz w:val="21"/>
        </w:rPr>
        <w:t>t</w:t>
      </w:r>
      <w:r>
        <w:rPr>
          <w:w w:val="100"/>
          <w:sz w:val="21"/>
        </w:rPr>
        <w:t>o</w:t>
      </w:r>
      <w:r>
        <w:rPr>
          <w:sz w:val="21"/>
        </w:rPr>
        <w:t> </w:t>
      </w:r>
      <w:r>
        <w:rPr>
          <w:spacing w:val="-19"/>
          <w:sz w:val="21"/>
        </w:rPr>
        <w:t> </w:t>
      </w:r>
      <w:r>
        <w:rPr>
          <w:spacing w:val="-1"/>
          <w:w w:val="100"/>
          <w:sz w:val="21"/>
        </w:rPr>
        <w:t>a</w:t>
      </w:r>
      <w:r>
        <w:rPr>
          <w:spacing w:val="-2"/>
          <w:w w:val="100"/>
          <w:sz w:val="21"/>
        </w:rPr>
        <w:t>l</w:t>
      </w:r>
      <w:r>
        <w:rPr>
          <w:w w:val="100"/>
          <w:sz w:val="21"/>
        </w:rPr>
        <w:t>l </w:t>
      </w:r>
      <w:r>
        <w:rPr>
          <w:sz w:val="21"/>
        </w:rPr>
        <w:t>situations in the contexts of all statutes. Dias and Hughes in their book on </w:t>
      </w:r>
      <w:r>
        <w:rPr>
          <w:i/>
          <w:sz w:val="21"/>
        </w:rPr>
        <w:t>Jurisprudence </w:t>
      </w:r>
      <w:r>
        <w:rPr>
          <w:sz w:val="21"/>
        </w:rPr>
        <w:t>say that if a topic ever suffered </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25"/>
          <w:sz w:val="21"/>
        </w:rPr>
        <w:t> </w:t>
      </w:r>
      <w:r>
        <w:rPr>
          <w:spacing w:val="-2"/>
          <w:w w:val="100"/>
          <w:sz w:val="21"/>
        </w:rPr>
        <w:t>t</w:t>
      </w:r>
      <w:r>
        <w:rPr>
          <w:spacing w:val="-1"/>
          <w:w w:val="100"/>
          <w:sz w:val="21"/>
        </w:rPr>
        <w:t>o</w:t>
      </w:r>
      <w:r>
        <w:rPr>
          <w:w w:val="100"/>
          <w:sz w:val="21"/>
        </w:rPr>
        <w:t>o</w:t>
      </w:r>
      <w:r>
        <w:rPr>
          <w:sz w:val="21"/>
        </w:rPr>
        <w:t> </w:t>
      </w:r>
      <w:r>
        <w:rPr>
          <w:spacing w:val="-28"/>
          <w:sz w:val="21"/>
        </w:rPr>
        <w:t> </w:t>
      </w:r>
      <w:r>
        <w:rPr>
          <w:spacing w:val="-1"/>
          <w:w w:val="100"/>
          <w:sz w:val="21"/>
        </w:rPr>
        <w:t>muc</w:t>
      </w:r>
      <w:r>
        <w:rPr>
          <w:w w:val="100"/>
          <w:sz w:val="21"/>
        </w:rPr>
        <w:t>h</w:t>
      </w:r>
      <w:r>
        <w:rPr>
          <w:sz w:val="21"/>
        </w:rPr>
        <w:t> </w:t>
      </w:r>
      <w:r>
        <w:rPr>
          <w:spacing w:val="-28"/>
          <w:sz w:val="21"/>
        </w:rPr>
        <w:t> </w:t>
      </w:r>
      <w:r>
        <w:rPr>
          <w:spacing w:val="-2"/>
          <w:w w:val="100"/>
          <w:sz w:val="21"/>
        </w:rPr>
        <w:t>t</w:t>
      </w:r>
      <w:r>
        <w:rPr>
          <w:spacing w:val="-1"/>
          <w:w w:val="100"/>
          <w:sz w:val="21"/>
        </w:rPr>
        <w:t>heo</w:t>
      </w:r>
      <w:r>
        <w:rPr>
          <w:spacing w:val="-3"/>
          <w:w w:val="100"/>
          <w:sz w:val="21"/>
        </w:rPr>
        <w:t>r</w:t>
      </w:r>
      <w:r>
        <w:rPr>
          <w:w w:val="100"/>
          <w:sz w:val="21"/>
        </w:rPr>
        <w:t>is</w:t>
      </w:r>
      <w:r>
        <w:rPr>
          <w:spacing w:val="-2"/>
          <w:w w:val="100"/>
          <w:sz w:val="21"/>
        </w:rPr>
        <w:t>i</w:t>
      </w:r>
      <w:r>
        <w:rPr>
          <w:spacing w:val="-1"/>
          <w:w w:val="100"/>
          <w:sz w:val="21"/>
        </w:rPr>
        <w:t>n</w:t>
      </w:r>
      <w:r>
        <w:rPr>
          <w:w w:val="100"/>
          <w:sz w:val="21"/>
        </w:rPr>
        <w:t>g</w:t>
      </w:r>
      <w:r>
        <w:rPr>
          <w:sz w:val="21"/>
        </w:rPr>
        <w:t> </w:t>
      </w:r>
      <w:r>
        <w:rPr>
          <w:spacing w:val="-28"/>
          <w:sz w:val="21"/>
        </w:rPr>
        <w:t> </w:t>
      </w:r>
      <w:r>
        <w:rPr>
          <w:w w:val="100"/>
          <w:sz w:val="21"/>
        </w:rPr>
        <w:t>it</w:t>
      </w:r>
      <w:r>
        <w:rPr>
          <w:sz w:val="21"/>
        </w:rPr>
        <w:t> </w:t>
      </w:r>
      <w:r>
        <w:rPr>
          <w:spacing w:val="-27"/>
          <w:sz w:val="21"/>
        </w:rPr>
        <w:t> </w:t>
      </w:r>
      <w:r>
        <w:rPr>
          <w:w w:val="100"/>
          <w:sz w:val="21"/>
        </w:rPr>
        <w:t>is</w:t>
      </w:r>
      <w:r>
        <w:rPr>
          <w:sz w:val="21"/>
        </w:rPr>
        <w:t> </w:t>
      </w:r>
      <w:r>
        <w:rPr>
          <w:spacing w:val="-26"/>
          <w:sz w:val="21"/>
        </w:rPr>
        <w:t> </w:t>
      </w:r>
      <w:r>
        <w:rPr>
          <w:spacing w:val="-2"/>
          <w:w w:val="100"/>
          <w:sz w:val="21"/>
        </w:rPr>
        <w:t>t</w:t>
      </w:r>
      <w:r>
        <w:rPr>
          <w:spacing w:val="-3"/>
          <w:w w:val="100"/>
          <w:sz w:val="21"/>
        </w:rPr>
        <w:t>h</w:t>
      </w:r>
      <w:r>
        <w:rPr>
          <w:spacing w:val="-1"/>
          <w:w w:val="100"/>
          <w:sz w:val="21"/>
        </w:rPr>
        <w:t>a</w:t>
      </w:r>
      <w:r>
        <w:rPr>
          <w:w w:val="100"/>
          <w:sz w:val="21"/>
        </w:rPr>
        <w:t>t</w:t>
      </w:r>
      <w:r>
        <w:rPr>
          <w:sz w:val="21"/>
        </w:rPr>
        <w:t> </w:t>
      </w:r>
      <w:r>
        <w:rPr>
          <w:spacing w:val="-27"/>
          <w:sz w:val="21"/>
        </w:rPr>
        <w:t> </w:t>
      </w:r>
      <w:r>
        <w:rPr>
          <w:spacing w:val="-1"/>
          <w:w w:val="100"/>
          <w:sz w:val="21"/>
        </w:rPr>
        <w:t>o</w:t>
      </w:r>
      <w:r>
        <w:rPr>
          <w:w w:val="100"/>
          <w:sz w:val="21"/>
        </w:rPr>
        <w:t>f</w:t>
      </w:r>
      <w:r>
        <w:rPr>
          <w:sz w:val="21"/>
        </w:rPr>
        <w:t> </w:t>
      </w:r>
      <w:r>
        <w:rPr>
          <w:spacing w:val="-25"/>
          <w:sz w:val="21"/>
        </w:rPr>
        <w:t> </w:t>
      </w:r>
      <w:r>
        <w:rPr>
          <w:spacing w:val="-4"/>
          <w:w w:val="33"/>
          <w:sz w:val="21"/>
        </w:rPr>
        <w:t>―</w:t>
      </w:r>
      <w:r>
        <w:rPr>
          <w:spacing w:val="-1"/>
          <w:w w:val="100"/>
          <w:sz w:val="21"/>
        </w:rPr>
        <w:t>pos</w:t>
      </w:r>
      <w:r>
        <w:rPr>
          <w:spacing w:val="-3"/>
          <w:w w:val="100"/>
          <w:sz w:val="21"/>
        </w:rPr>
        <w:t>s</w:t>
      </w:r>
      <w:r>
        <w:rPr>
          <w:spacing w:val="-1"/>
          <w:w w:val="100"/>
          <w:sz w:val="21"/>
        </w:rPr>
        <w:t>es</w:t>
      </w:r>
      <w:r>
        <w:rPr>
          <w:spacing w:val="-3"/>
          <w:w w:val="100"/>
          <w:sz w:val="21"/>
        </w:rPr>
        <w:t>s</w:t>
      </w:r>
      <w:r>
        <w:rPr>
          <w:w w:val="100"/>
          <w:sz w:val="21"/>
        </w:rPr>
        <w:t>i</w:t>
      </w:r>
      <w:r>
        <w:rPr>
          <w:spacing w:val="-1"/>
          <w:w w:val="95"/>
          <w:sz w:val="21"/>
        </w:rPr>
        <w:t>on</w:t>
      </w:r>
      <w:r>
        <w:rPr>
          <w:spacing w:val="-3"/>
          <w:w w:val="95"/>
          <w:sz w:val="21"/>
        </w:rPr>
        <w:t>‖</w:t>
      </w:r>
      <w:r>
        <w:rPr>
          <w:w w:val="100"/>
          <w:sz w:val="21"/>
        </w:rPr>
        <w:t>.</w:t>
      </w:r>
      <w:r>
        <w:rPr>
          <w:sz w:val="21"/>
        </w:rPr>
        <w:t> </w:t>
      </w:r>
      <w:r>
        <w:rPr>
          <w:spacing w:val="-27"/>
          <w:sz w:val="21"/>
        </w:rPr>
        <w:t> </w:t>
      </w:r>
      <w:r>
        <w:rPr>
          <w:spacing w:val="-1"/>
          <w:w w:val="100"/>
          <w:sz w:val="21"/>
        </w:rPr>
        <w:t>Muc</w:t>
      </w:r>
      <w:r>
        <w:rPr>
          <w:w w:val="100"/>
          <w:sz w:val="21"/>
        </w:rPr>
        <w:t>h</w:t>
      </w:r>
      <w:r>
        <w:rPr>
          <w:sz w:val="21"/>
        </w:rPr>
        <w:t> </w:t>
      </w:r>
      <w:r>
        <w:rPr>
          <w:spacing w:val="-26"/>
          <w:sz w:val="21"/>
        </w:rPr>
        <w:t> </w:t>
      </w:r>
      <w:r>
        <w:rPr>
          <w:spacing w:val="-3"/>
          <w:w w:val="100"/>
          <w:sz w:val="21"/>
        </w:rPr>
        <w:t>o</w:t>
      </w:r>
      <w:r>
        <w:rPr>
          <w:w w:val="100"/>
          <w:sz w:val="21"/>
        </w:rPr>
        <w:t>f </w:t>
      </w:r>
      <w:r>
        <w:rPr>
          <w:sz w:val="21"/>
        </w:rPr>
        <w:t>this difficulty and confusion is (as pointed out in </w:t>
      </w:r>
      <w:r>
        <w:rPr>
          <w:i/>
          <w:sz w:val="21"/>
        </w:rPr>
        <w:t>Salmond's </w:t>
      </w:r>
      <w:r>
        <w:rPr>
          <w:i/>
          <w:sz w:val="21"/>
        </w:rPr>
        <w:t>Jurisprudence</w:t>
      </w:r>
      <w:r>
        <w:rPr>
          <w:sz w:val="21"/>
        </w:rPr>
        <w:t>, 12th Edn., 1966) caused by the fact that </w:t>
      </w:r>
      <w:r>
        <w:rPr>
          <w:w w:val="100"/>
          <w:sz w:val="21"/>
        </w:rPr>
        <w:t>poss</w:t>
      </w:r>
      <w:r>
        <w:rPr>
          <w:spacing w:val="-2"/>
          <w:w w:val="100"/>
          <w:sz w:val="21"/>
        </w:rPr>
        <w:t>e</w:t>
      </w:r>
      <w:r>
        <w:rPr>
          <w:w w:val="100"/>
          <w:sz w:val="21"/>
        </w:rPr>
        <w:t>s</w:t>
      </w:r>
      <w:r>
        <w:rPr>
          <w:spacing w:val="-3"/>
          <w:w w:val="100"/>
          <w:sz w:val="21"/>
        </w:rPr>
        <w:t>s</w:t>
      </w:r>
      <w:r>
        <w:rPr>
          <w:w w:val="100"/>
          <w:sz w:val="21"/>
        </w:rPr>
        <w:t>i</w:t>
      </w:r>
      <w:r>
        <w:rPr>
          <w:w w:val="100"/>
          <w:sz w:val="21"/>
        </w:rPr>
        <w:t>on</w:t>
      </w:r>
      <w:r>
        <w:rPr>
          <w:sz w:val="21"/>
        </w:rPr>
        <w:t>  </w:t>
      </w:r>
      <w:r>
        <w:rPr>
          <w:spacing w:val="-24"/>
          <w:sz w:val="21"/>
        </w:rPr>
        <w:t> </w:t>
      </w:r>
      <w:r>
        <w:rPr>
          <w:w w:val="100"/>
          <w:sz w:val="21"/>
        </w:rPr>
        <w:t>i</w:t>
      </w:r>
      <w:r>
        <w:rPr>
          <w:w w:val="100"/>
          <w:sz w:val="21"/>
        </w:rPr>
        <w:t>s</w:t>
      </w:r>
      <w:r>
        <w:rPr>
          <w:sz w:val="21"/>
        </w:rPr>
        <w:t>  </w:t>
      </w:r>
      <w:r>
        <w:rPr>
          <w:spacing w:val="-25"/>
          <w:sz w:val="21"/>
        </w:rPr>
        <w:t> </w:t>
      </w:r>
      <w:r>
        <w:rPr>
          <w:w w:val="100"/>
          <w:sz w:val="21"/>
        </w:rPr>
        <w:t>not</w:t>
      </w:r>
      <w:r>
        <w:rPr>
          <w:sz w:val="21"/>
        </w:rPr>
        <w:t>  </w:t>
      </w:r>
      <w:r>
        <w:rPr>
          <w:spacing w:val="-23"/>
          <w:sz w:val="21"/>
        </w:rPr>
        <w:t> </w:t>
      </w:r>
      <w:r>
        <w:rPr>
          <w:w w:val="100"/>
          <w:sz w:val="21"/>
        </w:rPr>
        <w:t>pu</w:t>
      </w:r>
      <w:r>
        <w:rPr>
          <w:spacing w:val="-3"/>
          <w:w w:val="100"/>
          <w:sz w:val="21"/>
        </w:rPr>
        <w:t>r</w:t>
      </w:r>
      <w:r>
        <w:rPr>
          <w:w w:val="100"/>
          <w:sz w:val="21"/>
        </w:rPr>
        <w:t>e</w:t>
      </w:r>
      <w:r>
        <w:rPr>
          <w:spacing w:val="-2"/>
          <w:w w:val="100"/>
          <w:sz w:val="21"/>
        </w:rPr>
        <w:t>l</w:t>
      </w:r>
      <w:r>
        <w:rPr>
          <w:w w:val="100"/>
          <w:sz w:val="21"/>
        </w:rPr>
        <w:t>y</w:t>
      </w:r>
      <w:r>
        <w:rPr>
          <w:sz w:val="21"/>
        </w:rPr>
        <w:t>  </w:t>
      </w:r>
      <w:r>
        <w:rPr>
          <w:spacing w:val="-25"/>
          <w:sz w:val="21"/>
        </w:rPr>
        <w:t> </w:t>
      </w:r>
      <w:r>
        <w:rPr>
          <w:w w:val="100"/>
          <w:sz w:val="21"/>
        </w:rPr>
        <w:t>a</w:t>
      </w:r>
      <w:r>
        <w:rPr>
          <w:sz w:val="21"/>
        </w:rPr>
        <w:t>  </w:t>
      </w:r>
      <w:r>
        <w:rPr>
          <w:spacing w:val="-20"/>
          <w:sz w:val="21"/>
        </w:rPr>
        <w:t> </w:t>
      </w:r>
      <w:r>
        <w:rPr>
          <w:w w:val="100"/>
          <w:sz w:val="21"/>
        </w:rPr>
        <w:t>l</w:t>
      </w:r>
      <w:r>
        <w:rPr>
          <w:spacing w:val="-1"/>
          <w:w w:val="100"/>
          <w:sz w:val="21"/>
        </w:rPr>
        <w:t>eg</w:t>
      </w:r>
      <w:r>
        <w:rPr>
          <w:spacing w:val="-2"/>
          <w:w w:val="100"/>
          <w:sz w:val="21"/>
        </w:rPr>
        <w:t>a</w:t>
      </w:r>
      <w:r>
        <w:rPr>
          <w:w w:val="100"/>
          <w:sz w:val="21"/>
        </w:rPr>
        <w:t>l</w:t>
      </w:r>
      <w:r>
        <w:rPr>
          <w:sz w:val="21"/>
        </w:rPr>
        <w:t>  </w:t>
      </w:r>
      <w:r>
        <w:rPr>
          <w:spacing w:val="-21"/>
          <w:sz w:val="21"/>
        </w:rPr>
        <w:t> </w:t>
      </w:r>
      <w:r>
        <w:rPr>
          <w:spacing w:val="-3"/>
          <w:w w:val="100"/>
          <w:sz w:val="21"/>
        </w:rPr>
        <w:t>c</w:t>
      </w:r>
      <w:r>
        <w:rPr>
          <w:spacing w:val="-1"/>
          <w:w w:val="100"/>
          <w:sz w:val="21"/>
        </w:rPr>
        <w:t>onc</w:t>
      </w:r>
      <w:r>
        <w:rPr>
          <w:spacing w:val="-2"/>
          <w:w w:val="100"/>
          <w:sz w:val="21"/>
        </w:rPr>
        <w:t>e</w:t>
      </w:r>
      <w:r>
        <w:rPr>
          <w:spacing w:val="-1"/>
          <w:w w:val="100"/>
          <w:sz w:val="21"/>
        </w:rPr>
        <w:t>pt</w:t>
      </w:r>
      <w:r>
        <w:rPr>
          <w:w w:val="100"/>
          <w:sz w:val="21"/>
        </w:rPr>
        <w:t>.</w:t>
      </w:r>
      <w:r>
        <w:rPr>
          <w:sz w:val="21"/>
        </w:rPr>
        <w:t>  </w:t>
      </w:r>
      <w:r>
        <w:rPr>
          <w:spacing w:val="-23"/>
          <w:sz w:val="21"/>
        </w:rPr>
        <w:t> </w:t>
      </w:r>
      <w:r>
        <w:rPr>
          <w:spacing w:val="-1"/>
          <w:w w:val="33"/>
          <w:sz w:val="21"/>
        </w:rPr>
        <w:t>―</w:t>
      </w:r>
      <w:r>
        <w:rPr>
          <w:w w:val="100"/>
          <w:sz w:val="21"/>
        </w:rPr>
        <w:t>P</w:t>
      </w:r>
      <w:r>
        <w:rPr>
          <w:spacing w:val="-3"/>
          <w:w w:val="100"/>
          <w:sz w:val="21"/>
        </w:rPr>
        <w:t>o</w:t>
      </w:r>
      <w:r>
        <w:rPr>
          <w:w w:val="100"/>
          <w:sz w:val="21"/>
        </w:rPr>
        <w:t>sses</w:t>
      </w:r>
      <w:r>
        <w:rPr>
          <w:spacing w:val="-3"/>
          <w:w w:val="100"/>
          <w:sz w:val="21"/>
        </w:rPr>
        <w:t>s</w:t>
      </w:r>
      <w:r>
        <w:rPr>
          <w:w w:val="100"/>
          <w:sz w:val="21"/>
        </w:rPr>
        <w:t>i</w:t>
      </w:r>
      <w:r>
        <w:rPr>
          <w:spacing w:val="-3"/>
          <w:w w:val="100"/>
          <w:sz w:val="21"/>
        </w:rPr>
        <w:t>o</w:t>
      </w:r>
      <w:r>
        <w:rPr>
          <w:spacing w:val="-1"/>
          <w:w w:val="94"/>
          <w:sz w:val="21"/>
        </w:rPr>
        <w:t>n‖, </w:t>
      </w:r>
      <w:r>
        <w:rPr>
          <w:sz w:val="21"/>
        </w:rPr>
        <w:t>implies a right and a fact; the right to enjoy annexed to the right of property and the fact of the real intention. </w:t>
      </w:r>
      <w:r>
        <w:rPr>
          <w:i/>
          <w:sz w:val="21"/>
        </w:rPr>
        <w:t>It involves </w:t>
      </w:r>
      <w:r>
        <w:rPr>
          <w:i/>
          <w:sz w:val="21"/>
        </w:rPr>
        <w:t>power of control and intent to control</w:t>
      </w:r>
      <w:r>
        <w:rPr>
          <w:sz w:val="21"/>
        </w:rPr>
        <w:t>. (See Dias and Hughes, ibid.)‖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r>
        <w:rPr/>
        <w:pict>
          <v:rect style="position:absolute;margin-left:72.024002pt;margin-top:10.424707pt;width:144.020pt;height:.599980pt;mso-position-horizontal-relative:page;mso-position-vertical-relative:paragraph;z-index:-15617536;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367</w:t>
      </w:r>
      <w:r>
        <w:rPr>
          <w:sz w:val="18"/>
          <w:vertAlign w:val="baseline"/>
        </w:rPr>
        <w:t> (1979) 4 SCC 274</w:t>
      </w:r>
    </w:p>
    <w:p>
      <w:pPr>
        <w:spacing w:after="0"/>
        <w:jc w:val="left"/>
        <w:rPr>
          <w:sz w:val="18"/>
        </w:rPr>
        <w:sectPr>
          <w:pgSz w:w="11910" w:h="16840"/>
          <w:pgMar w:header="721" w:footer="1014" w:top="1300" w:bottom="1200" w:left="940" w:right="1000"/>
        </w:sectPr>
      </w:pPr>
    </w:p>
    <w:p>
      <w:pPr>
        <w:pStyle w:val="BodyText"/>
        <w:spacing w:line="480" w:lineRule="auto" w:before="124"/>
        <w:ind w:left="500" w:right="443"/>
        <w:jc w:val="both"/>
      </w:pPr>
      <w:r>
        <w:rPr/>
        <w:t>These observations were made in the context of possession in Section 29(b) of the Arms Act 1959.</w:t>
      </w:r>
    </w:p>
    <w:p>
      <w:pPr>
        <w:pStyle w:val="BodyText"/>
        <w:spacing w:before="9"/>
        <w:rPr>
          <w:sz w:val="24"/>
        </w:rPr>
      </w:pPr>
    </w:p>
    <w:p>
      <w:pPr>
        <w:pStyle w:val="BodyText"/>
        <w:spacing w:line="480" w:lineRule="auto"/>
        <w:ind w:left="500" w:right="438"/>
        <w:jc w:val="both"/>
      </w:pPr>
      <w:r>
        <w:rPr/>
        <w:t>In </w:t>
      </w:r>
      <w:r>
        <w:rPr>
          <w:b/>
        </w:rPr>
        <w:t>P Lakshmi Reddy </w:t>
      </w:r>
      <w:r>
        <w:rPr/>
        <w:t>v </w:t>
      </w:r>
      <w:r>
        <w:rPr>
          <w:b/>
        </w:rPr>
        <w:t>L Lakshmi Reddy</w:t>
      </w:r>
      <w:r>
        <w:rPr>
          <w:vertAlign w:val="superscript"/>
        </w:rPr>
        <w:t>368</w:t>
      </w:r>
      <w:r>
        <w:rPr>
          <w:vertAlign w:val="baseline"/>
        </w:rPr>
        <w:t>, Justice Jagannadhadas, speaking </w:t>
      </w:r>
      <w:r>
        <w:rPr>
          <w:w w:val="99"/>
          <w:vertAlign w:val="baseline"/>
        </w:rPr>
        <w:t>for</w:t>
      </w:r>
      <w:r>
        <w:rPr>
          <w:vertAlign w:val="baseline"/>
        </w:rPr>
        <w:t> </w:t>
      </w:r>
      <w:r>
        <w:rPr>
          <w:spacing w:val="-14"/>
          <w:vertAlign w:val="baseline"/>
        </w:rPr>
        <w:t> </w:t>
      </w:r>
      <w:r>
        <w:rPr>
          <w:w w:val="99"/>
          <w:vertAlign w:val="baseline"/>
        </w:rPr>
        <w:t>a</w:t>
      </w:r>
      <w:r>
        <w:rPr>
          <w:vertAlign w:val="baseline"/>
        </w:rPr>
        <w:t> </w:t>
      </w:r>
      <w:r>
        <w:rPr>
          <w:spacing w:val="-14"/>
          <w:vertAlign w:val="baseline"/>
        </w:rPr>
        <w:t> </w:t>
      </w:r>
      <w:r>
        <w:rPr>
          <w:w w:val="99"/>
          <w:vertAlign w:val="baseline"/>
        </w:rPr>
        <w:t>th</w:t>
      </w:r>
      <w:r>
        <w:rPr>
          <w:spacing w:val="1"/>
          <w:w w:val="99"/>
          <w:vertAlign w:val="baseline"/>
        </w:rPr>
        <w:t>r</w:t>
      </w:r>
      <w:r>
        <w:rPr>
          <w:spacing w:val="-1"/>
          <w:w w:val="99"/>
          <w:vertAlign w:val="baseline"/>
        </w:rPr>
        <w:t>e</w:t>
      </w:r>
      <w:r>
        <w:rPr>
          <w:w w:val="99"/>
          <w:vertAlign w:val="baseline"/>
        </w:rPr>
        <w:t>e</w:t>
      </w:r>
      <w:r>
        <w:rPr>
          <w:vertAlign w:val="baseline"/>
        </w:rPr>
        <w:t> </w:t>
      </w:r>
      <w:r>
        <w:rPr>
          <w:spacing w:val="-14"/>
          <w:vertAlign w:val="baseline"/>
        </w:rPr>
        <w:t> </w:t>
      </w:r>
      <w:r>
        <w:rPr>
          <w:spacing w:val="-1"/>
          <w:w w:val="99"/>
          <w:vertAlign w:val="baseline"/>
        </w:rPr>
        <w:t>jud</w:t>
      </w:r>
      <w:r>
        <w:rPr>
          <w:w w:val="99"/>
          <w:vertAlign w:val="baseline"/>
        </w:rPr>
        <w:t>ge</w:t>
      </w:r>
      <w:r>
        <w:rPr>
          <w:vertAlign w:val="baseline"/>
        </w:rPr>
        <w:t> </w:t>
      </w:r>
      <w:r>
        <w:rPr>
          <w:spacing w:val="-14"/>
          <w:vertAlign w:val="baseline"/>
        </w:rPr>
        <w:t> </w:t>
      </w:r>
      <w:r>
        <w:rPr>
          <w:spacing w:val="-1"/>
          <w:w w:val="99"/>
          <w:vertAlign w:val="baseline"/>
        </w:rPr>
        <w:t>B</w:t>
      </w:r>
      <w:r>
        <w:rPr>
          <w:spacing w:val="2"/>
          <w:w w:val="99"/>
          <w:vertAlign w:val="baseline"/>
        </w:rPr>
        <w:t>e</w:t>
      </w:r>
      <w:r>
        <w:rPr>
          <w:spacing w:val="-1"/>
          <w:w w:val="99"/>
          <w:vertAlign w:val="baseline"/>
        </w:rPr>
        <w:t>nc</w:t>
      </w:r>
      <w:r>
        <w:rPr>
          <w:w w:val="99"/>
          <w:vertAlign w:val="baseline"/>
        </w:rPr>
        <w:t>h</w:t>
      </w:r>
      <w:r>
        <w:rPr>
          <w:vertAlign w:val="baseline"/>
        </w:rPr>
        <w:t> </w:t>
      </w:r>
      <w:r>
        <w:rPr>
          <w:spacing w:val="-14"/>
          <w:vertAlign w:val="baseline"/>
        </w:rPr>
        <w:t> </w:t>
      </w:r>
      <w:r>
        <w:rPr>
          <w:spacing w:val="-1"/>
          <w:w w:val="99"/>
          <w:vertAlign w:val="baseline"/>
        </w:rPr>
        <w:t>o</w:t>
      </w:r>
      <w:r>
        <w:rPr>
          <w:w w:val="99"/>
          <w:vertAlign w:val="baseline"/>
        </w:rPr>
        <w:t>f</w:t>
      </w:r>
      <w:r>
        <w:rPr>
          <w:vertAlign w:val="baseline"/>
        </w:rPr>
        <w:t> </w:t>
      </w:r>
      <w:r>
        <w:rPr>
          <w:spacing w:val="-14"/>
          <w:vertAlign w:val="baseline"/>
        </w:rPr>
        <w:t> </w:t>
      </w:r>
      <w:r>
        <w:rPr>
          <w:w w:val="99"/>
          <w:vertAlign w:val="baseline"/>
        </w:rPr>
        <w:t>this</w:t>
      </w:r>
      <w:r>
        <w:rPr>
          <w:vertAlign w:val="baseline"/>
        </w:rPr>
        <w:t> </w:t>
      </w:r>
      <w:r>
        <w:rPr>
          <w:spacing w:val="-14"/>
          <w:vertAlign w:val="baseline"/>
        </w:rPr>
        <w:t> </w:t>
      </w:r>
      <w:r>
        <w:rPr>
          <w:spacing w:val="-1"/>
          <w:w w:val="99"/>
          <w:vertAlign w:val="baseline"/>
        </w:rPr>
        <w:t>Cou</w:t>
      </w:r>
      <w:r>
        <w:rPr>
          <w:spacing w:val="1"/>
          <w:w w:val="99"/>
          <w:vertAlign w:val="baseline"/>
        </w:rPr>
        <w:t>r</w:t>
      </w:r>
      <w:r>
        <w:rPr>
          <w:w w:val="99"/>
          <w:vertAlign w:val="baseline"/>
        </w:rPr>
        <w:t>t</w:t>
      </w:r>
      <w:r>
        <w:rPr>
          <w:vertAlign w:val="baseline"/>
        </w:rPr>
        <w:t> </w:t>
      </w:r>
      <w:r>
        <w:rPr>
          <w:spacing w:val="-15"/>
          <w:vertAlign w:val="baseline"/>
        </w:rPr>
        <w:t> </w:t>
      </w:r>
      <w:r>
        <w:rPr>
          <w:spacing w:val="-1"/>
          <w:w w:val="99"/>
          <w:vertAlign w:val="baseline"/>
        </w:rPr>
        <w:t>d</w:t>
      </w:r>
      <w:r>
        <w:rPr>
          <w:spacing w:val="2"/>
          <w:w w:val="99"/>
          <w:vertAlign w:val="baseline"/>
        </w:rPr>
        <w:t>w</w:t>
      </w:r>
      <w:r>
        <w:rPr>
          <w:spacing w:val="-1"/>
          <w:w w:val="99"/>
          <w:vertAlign w:val="baseline"/>
        </w:rPr>
        <w:t>el</w:t>
      </w:r>
      <w:r>
        <w:rPr>
          <w:w w:val="99"/>
          <w:vertAlign w:val="baseline"/>
        </w:rPr>
        <w:t>t</w:t>
      </w:r>
      <w:r>
        <w:rPr>
          <w:vertAlign w:val="baseline"/>
        </w:rPr>
        <w:t> </w:t>
      </w:r>
      <w:r>
        <w:rPr>
          <w:spacing w:val="-14"/>
          <w:vertAlign w:val="baseline"/>
        </w:rPr>
        <w:t> </w:t>
      </w:r>
      <w:r>
        <w:rPr>
          <w:spacing w:val="-1"/>
          <w:w w:val="99"/>
          <w:vertAlign w:val="baseline"/>
        </w:rPr>
        <w:t>o</w:t>
      </w:r>
      <w:r>
        <w:rPr>
          <w:w w:val="99"/>
          <w:vertAlign w:val="baseline"/>
        </w:rPr>
        <w:t>n</w:t>
      </w:r>
      <w:r>
        <w:rPr>
          <w:vertAlign w:val="baseline"/>
        </w:rPr>
        <w:t> </w:t>
      </w:r>
      <w:r>
        <w:rPr>
          <w:spacing w:val="-14"/>
          <w:vertAlign w:val="baseline"/>
        </w:rPr>
        <w:t> </w:t>
      </w:r>
      <w:r>
        <w:rPr>
          <w:w w:val="99"/>
          <w:vertAlign w:val="baseline"/>
        </w:rPr>
        <w:t>the</w:t>
      </w:r>
      <w:r>
        <w:rPr>
          <w:vertAlign w:val="baseline"/>
        </w:rPr>
        <w:t> </w:t>
      </w:r>
      <w:r>
        <w:rPr>
          <w:spacing w:val="-14"/>
          <w:vertAlign w:val="baseline"/>
        </w:rPr>
        <w:t> </w:t>
      </w:r>
      <w:r>
        <w:rPr>
          <w:w w:val="33"/>
          <w:vertAlign w:val="baseline"/>
        </w:rPr>
        <w:t>―</w:t>
      </w:r>
      <w:r>
        <w:rPr>
          <w:w w:val="99"/>
          <w:vertAlign w:val="baseline"/>
        </w:rPr>
        <w:t>classical</w:t>
      </w:r>
      <w:r>
        <w:rPr>
          <w:vertAlign w:val="baseline"/>
        </w:rPr>
        <w:t> </w:t>
      </w:r>
      <w:r>
        <w:rPr>
          <w:spacing w:val="-12"/>
          <w:vertAlign w:val="baseline"/>
        </w:rPr>
        <w:t> </w:t>
      </w:r>
      <w:r>
        <w:rPr>
          <w:w w:val="99"/>
          <w:vertAlign w:val="baseline"/>
        </w:rPr>
        <w:t>r</w:t>
      </w:r>
      <w:r>
        <w:rPr>
          <w:spacing w:val="-1"/>
          <w:w w:val="99"/>
          <w:vertAlign w:val="baseline"/>
        </w:rPr>
        <w:t>e</w:t>
      </w:r>
      <w:r>
        <w:rPr>
          <w:w w:val="99"/>
          <w:vertAlign w:val="baseline"/>
        </w:rPr>
        <w:t>q</w:t>
      </w:r>
      <w:r>
        <w:rPr>
          <w:spacing w:val="-1"/>
          <w:w w:val="99"/>
          <w:vertAlign w:val="baseline"/>
        </w:rPr>
        <w:t>ui</w:t>
      </w:r>
      <w:r>
        <w:rPr>
          <w:w w:val="99"/>
          <w:vertAlign w:val="baseline"/>
        </w:rPr>
        <w:t>r</w:t>
      </w:r>
      <w:r>
        <w:rPr>
          <w:spacing w:val="-1"/>
          <w:w w:val="99"/>
          <w:vertAlign w:val="baseline"/>
        </w:rPr>
        <w:t>e</w:t>
      </w:r>
      <w:r>
        <w:rPr>
          <w:w w:val="99"/>
          <w:vertAlign w:val="baseline"/>
        </w:rPr>
        <w:t>m</w:t>
      </w:r>
      <w:r>
        <w:rPr>
          <w:spacing w:val="-1"/>
          <w:w w:val="99"/>
          <w:vertAlign w:val="baseline"/>
        </w:rPr>
        <w:t>e</w:t>
      </w:r>
      <w:r>
        <w:rPr>
          <w:w w:val="99"/>
          <w:vertAlign w:val="baseline"/>
        </w:rPr>
        <w:t>n</w:t>
      </w:r>
      <w:r>
        <w:rPr>
          <w:w w:val="88"/>
          <w:vertAlign w:val="baseline"/>
        </w:rPr>
        <w:t>t‖</w:t>
      </w:r>
      <w:r>
        <w:rPr>
          <w:vertAlign w:val="baseline"/>
        </w:rPr>
        <w:t> </w:t>
      </w:r>
      <w:r>
        <w:rPr>
          <w:spacing w:val="-14"/>
          <w:vertAlign w:val="baseline"/>
        </w:rPr>
        <w:t> </w:t>
      </w:r>
      <w:r>
        <w:rPr>
          <w:spacing w:val="-1"/>
          <w:w w:val="99"/>
          <w:vertAlign w:val="baseline"/>
        </w:rPr>
        <w:t>of </w:t>
      </w:r>
      <w:r>
        <w:rPr>
          <w:vertAlign w:val="baseline"/>
        </w:rPr>
        <w:t>adverse possession:</w:t>
      </w:r>
    </w:p>
    <w:p>
      <w:pPr>
        <w:spacing w:line="276" w:lineRule="auto" w:before="161"/>
        <w:ind w:left="1940" w:right="2253" w:firstLine="0"/>
        <w:jc w:val="both"/>
        <w:rPr>
          <w:sz w:val="21"/>
        </w:rPr>
      </w:pPr>
      <w:r>
        <w:rPr>
          <w:spacing w:val="-1"/>
          <w:w w:val="33"/>
          <w:sz w:val="21"/>
        </w:rPr>
        <w:t>―</w:t>
      </w:r>
      <w:r>
        <w:rPr>
          <w:spacing w:val="-1"/>
          <w:w w:val="100"/>
          <w:sz w:val="21"/>
        </w:rPr>
        <w:t>4</w:t>
      </w:r>
      <w:r>
        <w:rPr>
          <w:w w:val="100"/>
          <w:sz w:val="21"/>
        </w:rPr>
        <w:t>.</w:t>
      </w:r>
      <w:r>
        <w:rPr>
          <w:spacing w:val="-2"/>
          <w:sz w:val="21"/>
        </w:rPr>
        <w:t> </w:t>
      </w:r>
      <w:r>
        <w:rPr>
          <w:w w:val="100"/>
          <w:sz w:val="21"/>
        </w:rPr>
        <w:t>No</w:t>
      </w:r>
      <w:r>
        <w:rPr>
          <w:spacing w:val="-2"/>
          <w:w w:val="100"/>
          <w:sz w:val="21"/>
        </w:rPr>
        <w:t>w</w:t>
      </w:r>
      <w:r>
        <w:rPr>
          <w:w w:val="100"/>
          <w:sz w:val="21"/>
        </w:rPr>
        <w:t>,</w:t>
      </w:r>
      <w:r>
        <w:rPr>
          <w:sz w:val="21"/>
        </w:rPr>
        <w:t>  </w:t>
      </w:r>
      <w:r>
        <w:rPr>
          <w:spacing w:val="6"/>
          <w:sz w:val="21"/>
        </w:rPr>
        <w:t> </w:t>
      </w:r>
      <w:r>
        <w:rPr>
          <w:spacing w:val="-2"/>
          <w:w w:val="100"/>
          <w:sz w:val="21"/>
        </w:rPr>
        <w:t>t</w:t>
      </w:r>
      <w:r>
        <w:rPr>
          <w:w w:val="100"/>
          <w:sz w:val="21"/>
        </w:rPr>
        <w:t>he</w:t>
      </w:r>
      <w:r>
        <w:rPr>
          <w:sz w:val="21"/>
        </w:rPr>
        <w:t>  </w:t>
      </w:r>
      <w:r>
        <w:rPr>
          <w:spacing w:val="7"/>
          <w:sz w:val="21"/>
        </w:rPr>
        <w:t> </w:t>
      </w:r>
      <w:r>
        <w:rPr>
          <w:w w:val="100"/>
          <w:sz w:val="21"/>
        </w:rPr>
        <w:t>ord</w:t>
      </w:r>
      <w:r>
        <w:rPr>
          <w:spacing w:val="-2"/>
          <w:w w:val="100"/>
          <w:sz w:val="21"/>
        </w:rPr>
        <w:t>i</w:t>
      </w:r>
      <w:r>
        <w:rPr>
          <w:w w:val="100"/>
          <w:sz w:val="21"/>
        </w:rPr>
        <w:t>nary</w:t>
      </w:r>
      <w:r>
        <w:rPr>
          <w:sz w:val="21"/>
        </w:rPr>
        <w:t>  </w:t>
      </w:r>
      <w:r>
        <w:rPr>
          <w:spacing w:val="4"/>
          <w:sz w:val="21"/>
        </w:rPr>
        <w:t> </w:t>
      </w:r>
      <w:r>
        <w:rPr>
          <w:w w:val="100"/>
          <w:sz w:val="21"/>
        </w:rPr>
        <w:t>cla</w:t>
      </w:r>
      <w:r>
        <w:rPr>
          <w:spacing w:val="-3"/>
          <w:w w:val="100"/>
          <w:sz w:val="21"/>
        </w:rPr>
        <w:t>s</w:t>
      </w:r>
      <w:r>
        <w:rPr>
          <w:w w:val="100"/>
          <w:sz w:val="21"/>
        </w:rPr>
        <w:t>si</w:t>
      </w:r>
      <w:r>
        <w:rPr>
          <w:spacing w:val="-3"/>
          <w:w w:val="100"/>
          <w:sz w:val="21"/>
        </w:rPr>
        <w:t>c</w:t>
      </w:r>
      <w:r>
        <w:rPr>
          <w:w w:val="100"/>
          <w:sz w:val="21"/>
        </w:rPr>
        <w:t>al</w:t>
      </w:r>
      <w:r>
        <w:rPr>
          <w:sz w:val="21"/>
        </w:rPr>
        <w:t>  </w:t>
      </w:r>
      <w:r>
        <w:rPr>
          <w:spacing w:val="8"/>
          <w:sz w:val="21"/>
        </w:rPr>
        <w:t> </w:t>
      </w:r>
      <w:r>
        <w:rPr>
          <w:spacing w:val="-1"/>
          <w:w w:val="100"/>
          <w:sz w:val="21"/>
        </w:rPr>
        <w:t>r</w:t>
      </w:r>
      <w:r>
        <w:rPr>
          <w:spacing w:val="-3"/>
          <w:w w:val="100"/>
          <w:sz w:val="21"/>
        </w:rPr>
        <w:t>e</w:t>
      </w:r>
      <w:r>
        <w:rPr>
          <w:w w:val="100"/>
          <w:sz w:val="21"/>
        </w:rPr>
        <w:t>q</w:t>
      </w:r>
      <w:r>
        <w:rPr>
          <w:spacing w:val="-3"/>
          <w:w w:val="100"/>
          <w:sz w:val="21"/>
        </w:rPr>
        <w:t>u</w:t>
      </w:r>
      <w:r>
        <w:rPr>
          <w:w w:val="100"/>
          <w:sz w:val="21"/>
        </w:rPr>
        <w:t>i</w:t>
      </w:r>
      <w:r>
        <w:rPr>
          <w:spacing w:val="-1"/>
          <w:w w:val="100"/>
          <w:sz w:val="21"/>
        </w:rPr>
        <w:t>r</w:t>
      </w:r>
      <w:r>
        <w:rPr>
          <w:spacing w:val="-3"/>
          <w:w w:val="100"/>
          <w:sz w:val="21"/>
        </w:rPr>
        <w:t>e</w:t>
      </w:r>
      <w:r>
        <w:rPr>
          <w:spacing w:val="1"/>
          <w:w w:val="100"/>
          <w:sz w:val="21"/>
        </w:rPr>
        <w:t>m</w:t>
      </w:r>
      <w:r>
        <w:rPr>
          <w:spacing w:val="-3"/>
          <w:w w:val="100"/>
          <w:sz w:val="21"/>
        </w:rPr>
        <w:t>e</w:t>
      </w:r>
      <w:r>
        <w:rPr>
          <w:w w:val="100"/>
          <w:sz w:val="21"/>
        </w:rPr>
        <w:t>nt</w:t>
      </w:r>
      <w:r>
        <w:rPr>
          <w:sz w:val="21"/>
        </w:rPr>
        <w:t>  </w:t>
      </w:r>
      <w:r>
        <w:rPr>
          <w:spacing w:val="6"/>
          <w:sz w:val="21"/>
        </w:rPr>
        <w:t> </w:t>
      </w:r>
      <w:r>
        <w:rPr>
          <w:w w:val="100"/>
          <w:sz w:val="21"/>
        </w:rPr>
        <w:t>of</w:t>
      </w:r>
      <w:r>
        <w:rPr>
          <w:sz w:val="21"/>
        </w:rPr>
        <w:t>  </w:t>
      </w:r>
      <w:r>
        <w:rPr>
          <w:spacing w:val="6"/>
          <w:sz w:val="21"/>
        </w:rPr>
        <w:t> </w:t>
      </w:r>
      <w:r>
        <w:rPr>
          <w:w w:val="100"/>
          <w:sz w:val="21"/>
        </w:rPr>
        <w:t>ad</w:t>
      </w:r>
      <w:r>
        <w:rPr>
          <w:spacing w:val="-3"/>
          <w:w w:val="100"/>
          <w:sz w:val="21"/>
        </w:rPr>
        <w:t>v</w:t>
      </w:r>
      <w:r>
        <w:rPr>
          <w:w w:val="100"/>
          <w:sz w:val="21"/>
        </w:rPr>
        <w:t>erse </w:t>
      </w:r>
      <w:r>
        <w:rPr>
          <w:sz w:val="21"/>
        </w:rPr>
        <w:t>possession is that it should be nec vi nec clam nec precario. (See Secretary   of   State   for    India v. Debendra    Lal Khan [(1933) LR 61 IA 78, 82] ). The possession required must be adequate in continuity, in publicity and in extent to show that it is possession adverse to the</w:t>
      </w:r>
      <w:r>
        <w:rPr>
          <w:spacing w:val="-24"/>
          <w:sz w:val="21"/>
        </w:rPr>
        <w:t> </w:t>
      </w:r>
      <w:r>
        <w:rPr>
          <w:sz w:val="21"/>
        </w:rPr>
        <w:t>competitor.‖</w:t>
      </w:r>
    </w:p>
    <w:p>
      <w:pPr>
        <w:pStyle w:val="BodyText"/>
        <w:rPr>
          <w:sz w:val="24"/>
        </w:rPr>
      </w:pPr>
    </w:p>
    <w:p>
      <w:pPr>
        <w:pStyle w:val="BodyText"/>
        <w:rPr>
          <w:sz w:val="24"/>
        </w:rPr>
      </w:pPr>
    </w:p>
    <w:p>
      <w:pPr>
        <w:pStyle w:val="BodyText"/>
        <w:spacing w:before="11"/>
        <w:rPr>
          <w:sz w:val="26"/>
        </w:rPr>
      </w:pPr>
    </w:p>
    <w:p>
      <w:pPr>
        <w:spacing w:line="480" w:lineRule="auto" w:before="0"/>
        <w:ind w:left="500" w:right="438" w:firstLine="0"/>
        <w:jc w:val="both"/>
        <w:rPr>
          <w:sz w:val="25"/>
        </w:rPr>
      </w:pPr>
      <w:r>
        <w:rPr>
          <w:w w:val="99"/>
          <w:sz w:val="25"/>
        </w:rPr>
        <w:t>The</w:t>
      </w:r>
      <w:r>
        <w:rPr>
          <w:sz w:val="25"/>
        </w:rPr>
        <w:t> </w:t>
      </w:r>
      <w:r>
        <w:rPr>
          <w:w w:val="99"/>
          <w:sz w:val="25"/>
        </w:rPr>
        <w:t>court</w:t>
      </w:r>
      <w:r>
        <w:rPr>
          <w:sz w:val="25"/>
        </w:rPr>
        <w:t> </w:t>
      </w:r>
      <w:r>
        <w:rPr>
          <w:w w:val="99"/>
          <w:sz w:val="25"/>
        </w:rPr>
        <w:t>cited</w:t>
      </w:r>
      <w:r>
        <w:rPr>
          <w:sz w:val="25"/>
        </w:rPr>
        <w:t> </w:t>
      </w:r>
      <w:r>
        <w:rPr>
          <w:w w:val="99"/>
          <w:sz w:val="25"/>
        </w:rPr>
        <w:t>the</w:t>
      </w:r>
      <w:r>
        <w:rPr>
          <w:sz w:val="25"/>
        </w:rPr>
        <w:t> </w:t>
      </w:r>
      <w:r>
        <w:rPr>
          <w:w w:val="99"/>
          <w:sz w:val="25"/>
        </w:rPr>
        <w:t>following</w:t>
      </w:r>
      <w:r>
        <w:rPr>
          <w:sz w:val="25"/>
        </w:rPr>
        <w:t> </w:t>
      </w:r>
      <w:r>
        <w:rPr>
          <w:w w:val="99"/>
          <w:sz w:val="25"/>
        </w:rPr>
        <w:t>extract</w:t>
      </w:r>
      <w:r>
        <w:rPr>
          <w:sz w:val="25"/>
        </w:rPr>
        <w:t> </w:t>
      </w:r>
      <w:r>
        <w:rPr>
          <w:w w:val="99"/>
          <w:sz w:val="25"/>
        </w:rPr>
        <w:t>from</w:t>
      </w:r>
      <w:r>
        <w:rPr>
          <w:sz w:val="25"/>
        </w:rPr>
        <w:t> </w:t>
      </w:r>
      <w:r>
        <w:rPr>
          <w:w w:val="99"/>
          <w:sz w:val="25"/>
        </w:rPr>
        <w:t>U</w:t>
      </w:r>
      <w:r>
        <w:rPr>
          <w:sz w:val="25"/>
        </w:rPr>
        <w:t> </w:t>
      </w:r>
      <w:r>
        <w:rPr>
          <w:w w:val="99"/>
          <w:sz w:val="25"/>
        </w:rPr>
        <w:t>N</w:t>
      </w:r>
      <w:r>
        <w:rPr>
          <w:sz w:val="25"/>
        </w:rPr>
        <w:t> </w:t>
      </w:r>
      <w:r>
        <w:rPr>
          <w:w w:val="99"/>
          <w:sz w:val="25"/>
        </w:rPr>
        <w:t>Mitra‘s</w:t>
      </w:r>
      <w:r>
        <w:rPr>
          <w:sz w:val="25"/>
        </w:rPr>
        <w:t> </w:t>
      </w:r>
      <w:r>
        <w:rPr>
          <w:w w:val="33"/>
          <w:sz w:val="25"/>
        </w:rPr>
        <w:t>―</w:t>
      </w:r>
      <w:r>
        <w:rPr>
          <w:b/>
          <w:w w:val="99"/>
          <w:sz w:val="25"/>
        </w:rPr>
        <w:t>T</w:t>
      </w:r>
      <w:r>
        <w:rPr>
          <w:b/>
          <w:w w:val="99"/>
          <w:sz w:val="25"/>
        </w:rPr>
        <w:t>ag</w:t>
      </w:r>
      <w:r>
        <w:rPr>
          <w:b/>
          <w:w w:val="99"/>
          <w:sz w:val="25"/>
        </w:rPr>
        <w:t>o</w:t>
      </w:r>
      <w:r>
        <w:rPr>
          <w:b/>
          <w:w w:val="99"/>
          <w:sz w:val="25"/>
        </w:rPr>
        <w:t>r</w:t>
      </w:r>
      <w:r>
        <w:rPr>
          <w:b/>
          <w:w w:val="99"/>
          <w:sz w:val="25"/>
        </w:rPr>
        <w:t>e</w:t>
      </w:r>
      <w:r>
        <w:rPr>
          <w:b/>
          <w:sz w:val="25"/>
        </w:rPr>
        <w:t> </w:t>
      </w:r>
      <w:r>
        <w:rPr>
          <w:b/>
          <w:w w:val="99"/>
          <w:sz w:val="25"/>
        </w:rPr>
        <w:t>L</w:t>
      </w:r>
      <w:r>
        <w:rPr>
          <w:b/>
          <w:w w:val="99"/>
          <w:sz w:val="25"/>
        </w:rPr>
        <w:t>a</w:t>
      </w:r>
      <w:r>
        <w:rPr>
          <w:b/>
          <w:w w:val="99"/>
          <w:sz w:val="25"/>
        </w:rPr>
        <w:t>w</w:t>
      </w:r>
      <w:r>
        <w:rPr>
          <w:b/>
          <w:sz w:val="25"/>
        </w:rPr>
        <w:t> </w:t>
      </w:r>
      <w:r>
        <w:rPr>
          <w:b/>
          <w:w w:val="99"/>
          <w:sz w:val="25"/>
        </w:rPr>
        <w:t>L</w:t>
      </w:r>
      <w:r>
        <w:rPr>
          <w:b/>
          <w:w w:val="99"/>
          <w:sz w:val="25"/>
        </w:rPr>
        <w:t>ec</w:t>
      </w:r>
      <w:r>
        <w:rPr>
          <w:b/>
          <w:w w:val="99"/>
          <w:sz w:val="25"/>
        </w:rPr>
        <w:t>tu</w:t>
      </w:r>
      <w:r>
        <w:rPr>
          <w:b/>
          <w:w w:val="99"/>
          <w:sz w:val="25"/>
        </w:rPr>
        <w:t>r</w:t>
      </w:r>
      <w:r>
        <w:rPr>
          <w:b/>
          <w:w w:val="99"/>
          <w:sz w:val="25"/>
        </w:rPr>
        <w:t>es</w:t>
      </w:r>
      <w:r>
        <w:rPr>
          <w:b/>
          <w:sz w:val="25"/>
        </w:rPr>
        <w:t> </w:t>
      </w:r>
      <w:r>
        <w:rPr>
          <w:b/>
          <w:w w:val="99"/>
          <w:sz w:val="25"/>
        </w:rPr>
        <w:t>on </w:t>
      </w:r>
      <w:r>
        <w:rPr>
          <w:b/>
          <w:sz w:val="25"/>
        </w:rPr>
        <w:t>the Law of Limitation and Prescription</w:t>
      </w:r>
      <w:r>
        <w:rPr>
          <w:sz w:val="25"/>
        </w:rPr>
        <w:t>‖:</w:t>
      </w:r>
    </w:p>
    <w:p>
      <w:pPr>
        <w:spacing w:line="276" w:lineRule="auto" w:before="2"/>
        <w:ind w:left="1940" w:right="2254" w:firstLine="0"/>
        <w:jc w:val="both"/>
        <w:rPr>
          <w:sz w:val="21"/>
        </w:rPr>
      </w:pPr>
      <w:r>
        <w:rPr>
          <w:spacing w:val="-1"/>
          <w:w w:val="33"/>
          <w:sz w:val="21"/>
        </w:rPr>
        <w:t>―</w:t>
      </w:r>
      <w:r>
        <w:rPr>
          <w:spacing w:val="-1"/>
          <w:w w:val="100"/>
          <w:sz w:val="21"/>
        </w:rPr>
        <w:t>7…</w:t>
      </w:r>
      <w:r>
        <w:rPr>
          <w:spacing w:val="-2"/>
          <w:w w:val="100"/>
          <w:sz w:val="21"/>
        </w:rPr>
        <w:t>A</w:t>
      </w:r>
      <w:r>
        <w:rPr>
          <w:w w:val="100"/>
          <w:sz w:val="21"/>
        </w:rPr>
        <w:t>n</w:t>
      </w:r>
      <w:r>
        <w:rPr>
          <w:spacing w:val="-1"/>
          <w:sz w:val="21"/>
        </w:rPr>
        <w:t> </w:t>
      </w:r>
      <w:r>
        <w:rPr>
          <w:w w:val="100"/>
          <w:sz w:val="21"/>
        </w:rPr>
        <w:t>ad</w:t>
      </w:r>
      <w:r>
        <w:rPr>
          <w:spacing w:val="-3"/>
          <w:w w:val="100"/>
          <w:sz w:val="21"/>
        </w:rPr>
        <w:t>v</w:t>
      </w:r>
      <w:r>
        <w:rPr>
          <w:w w:val="100"/>
          <w:sz w:val="21"/>
        </w:rPr>
        <w:t>erse</w:t>
      </w:r>
      <w:r>
        <w:rPr>
          <w:spacing w:val="-1"/>
          <w:sz w:val="21"/>
        </w:rPr>
        <w:t> </w:t>
      </w:r>
      <w:r>
        <w:rPr>
          <w:w w:val="100"/>
          <w:sz w:val="21"/>
        </w:rPr>
        <w:t>h</w:t>
      </w:r>
      <w:r>
        <w:rPr>
          <w:spacing w:val="-3"/>
          <w:w w:val="100"/>
          <w:sz w:val="21"/>
        </w:rPr>
        <w:t>o</w:t>
      </w:r>
      <w:r>
        <w:rPr>
          <w:w w:val="100"/>
          <w:sz w:val="21"/>
        </w:rPr>
        <w:t>l</w:t>
      </w:r>
      <w:r>
        <w:rPr>
          <w:spacing w:val="-3"/>
          <w:w w:val="100"/>
          <w:sz w:val="21"/>
        </w:rPr>
        <w:t>d</w:t>
      </w:r>
      <w:r>
        <w:rPr>
          <w:w w:val="100"/>
          <w:sz w:val="21"/>
        </w:rPr>
        <w:t>i</w:t>
      </w:r>
      <w:r>
        <w:rPr>
          <w:w w:val="100"/>
          <w:sz w:val="21"/>
        </w:rPr>
        <w:t>ng</w:t>
      </w:r>
      <w:r>
        <w:rPr>
          <w:sz w:val="21"/>
        </w:rPr>
        <w:t>    </w:t>
      </w:r>
      <w:r>
        <w:rPr>
          <w:spacing w:val="-11"/>
          <w:sz w:val="21"/>
        </w:rPr>
        <w:t> </w:t>
      </w:r>
      <w:r>
        <w:rPr>
          <w:w w:val="100"/>
          <w:sz w:val="21"/>
        </w:rPr>
        <w:t>i</w:t>
      </w:r>
      <w:r>
        <w:rPr>
          <w:w w:val="100"/>
          <w:sz w:val="21"/>
        </w:rPr>
        <w:t>s</w:t>
      </w:r>
      <w:r>
        <w:rPr>
          <w:sz w:val="21"/>
        </w:rPr>
        <w:t>    </w:t>
      </w:r>
      <w:r>
        <w:rPr>
          <w:spacing w:val="-12"/>
          <w:sz w:val="21"/>
        </w:rPr>
        <w:t> </w:t>
      </w:r>
      <w:r>
        <w:rPr>
          <w:w w:val="100"/>
          <w:sz w:val="21"/>
        </w:rPr>
        <w:t>an</w:t>
      </w:r>
      <w:r>
        <w:rPr>
          <w:sz w:val="21"/>
        </w:rPr>
        <w:t>    </w:t>
      </w:r>
      <w:r>
        <w:rPr>
          <w:spacing w:val="-11"/>
          <w:sz w:val="21"/>
        </w:rPr>
        <w:t> </w:t>
      </w:r>
      <w:r>
        <w:rPr>
          <w:w w:val="100"/>
          <w:sz w:val="21"/>
        </w:rPr>
        <w:t>ac</w:t>
      </w:r>
      <w:r>
        <w:rPr>
          <w:spacing w:val="-1"/>
          <w:w w:val="100"/>
          <w:sz w:val="21"/>
        </w:rPr>
        <w:t>t</w:t>
      </w:r>
      <w:r>
        <w:rPr>
          <w:w w:val="100"/>
          <w:sz w:val="21"/>
        </w:rPr>
        <w:t>u</w:t>
      </w:r>
      <w:r>
        <w:rPr>
          <w:spacing w:val="-3"/>
          <w:w w:val="100"/>
          <w:sz w:val="21"/>
        </w:rPr>
        <w:t>a</w:t>
      </w:r>
      <w:r>
        <w:rPr>
          <w:w w:val="100"/>
          <w:sz w:val="21"/>
        </w:rPr>
        <w:t>l</w:t>
      </w:r>
      <w:r>
        <w:rPr>
          <w:sz w:val="21"/>
        </w:rPr>
        <w:t>    </w:t>
      </w:r>
      <w:r>
        <w:rPr>
          <w:spacing w:val="-11"/>
          <w:sz w:val="21"/>
        </w:rPr>
        <w:t> </w:t>
      </w:r>
      <w:r>
        <w:rPr>
          <w:w w:val="100"/>
          <w:sz w:val="21"/>
        </w:rPr>
        <w:t>and</w:t>
      </w:r>
      <w:r>
        <w:rPr>
          <w:sz w:val="21"/>
        </w:rPr>
        <w:t>    </w:t>
      </w:r>
      <w:r>
        <w:rPr>
          <w:spacing w:val="-11"/>
          <w:sz w:val="21"/>
        </w:rPr>
        <w:t> </w:t>
      </w:r>
      <w:r>
        <w:rPr>
          <w:w w:val="100"/>
          <w:sz w:val="21"/>
        </w:rPr>
        <w:t>ex</w:t>
      </w:r>
      <w:r>
        <w:rPr>
          <w:spacing w:val="-3"/>
          <w:w w:val="100"/>
          <w:sz w:val="21"/>
        </w:rPr>
        <w:t>c</w:t>
      </w:r>
      <w:r>
        <w:rPr>
          <w:w w:val="100"/>
          <w:sz w:val="21"/>
        </w:rPr>
        <w:t>l</w:t>
      </w:r>
      <w:r>
        <w:rPr>
          <w:w w:val="100"/>
          <w:sz w:val="21"/>
        </w:rPr>
        <w:t>u</w:t>
      </w:r>
      <w:r>
        <w:rPr>
          <w:spacing w:val="-3"/>
          <w:w w:val="100"/>
          <w:sz w:val="21"/>
        </w:rPr>
        <w:t>s</w:t>
      </w:r>
      <w:r>
        <w:rPr>
          <w:w w:val="100"/>
          <w:sz w:val="21"/>
        </w:rPr>
        <w:t>i</w:t>
      </w:r>
      <w:r>
        <w:rPr>
          <w:spacing w:val="-3"/>
          <w:w w:val="100"/>
          <w:sz w:val="21"/>
        </w:rPr>
        <w:t>v</w:t>
      </w:r>
      <w:r>
        <w:rPr>
          <w:w w:val="100"/>
          <w:sz w:val="21"/>
        </w:rPr>
        <w:t>e </w:t>
      </w:r>
      <w:r>
        <w:rPr>
          <w:sz w:val="21"/>
        </w:rPr>
        <w:t>appropriation of land commenced and continued under a claim of right, either under an openly avowed claim, or under a constructive claim (arising from the acts and circumstances attending the appropriation), to hold the land against him (sic) who was in possession. (Angell, Sections 390 and 398). It is the intention to claim adversely accompanied by such an invasion of  the  rights  of  the  opposite  party  as  gives  him a cause of action which constitutes adverse</w:t>
      </w:r>
      <w:r>
        <w:rPr>
          <w:spacing w:val="-32"/>
          <w:sz w:val="21"/>
        </w:rPr>
        <w:t> </w:t>
      </w:r>
      <w:r>
        <w:rPr>
          <w:sz w:val="21"/>
        </w:rPr>
        <w:t>possession.‖</w:t>
      </w:r>
      <w:r>
        <w:rPr>
          <w:sz w:val="21"/>
          <w:vertAlign w:val="superscript"/>
        </w:rPr>
        <w:t>369</w:t>
      </w:r>
    </w:p>
    <w:p>
      <w:pPr>
        <w:pStyle w:val="BodyText"/>
        <w:rPr>
          <w:sz w:val="21"/>
        </w:rPr>
      </w:pPr>
    </w:p>
    <w:p>
      <w:pPr>
        <w:pStyle w:val="BodyText"/>
        <w:spacing w:before="1"/>
        <w:ind w:left="500"/>
        <w:jc w:val="both"/>
      </w:pPr>
      <w:r>
        <w:rPr/>
        <w:t>This Court held:</w:t>
      </w:r>
    </w:p>
    <w:p>
      <w:pPr>
        <w:pStyle w:val="BodyText"/>
      </w:pPr>
    </w:p>
    <w:p>
      <w:pPr>
        <w:spacing w:line="276" w:lineRule="auto" w:before="0"/>
        <w:ind w:left="1940" w:right="2254" w:firstLine="0"/>
        <w:jc w:val="both"/>
        <w:rPr>
          <w:sz w:val="21"/>
        </w:rPr>
      </w:pPr>
      <w:r>
        <w:rPr>
          <w:spacing w:val="-1"/>
          <w:w w:val="33"/>
          <w:sz w:val="21"/>
        </w:rPr>
        <w:t>―</w:t>
      </w:r>
      <w:r>
        <w:rPr>
          <w:spacing w:val="-1"/>
          <w:w w:val="100"/>
          <w:sz w:val="21"/>
        </w:rPr>
        <w:t>7…</w:t>
      </w:r>
      <w:r>
        <w:rPr>
          <w:spacing w:val="-2"/>
          <w:w w:val="100"/>
          <w:sz w:val="21"/>
        </w:rPr>
        <w:t>C</w:t>
      </w:r>
      <w:r>
        <w:rPr>
          <w:spacing w:val="-1"/>
          <w:w w:val="100"/>
          <w:sz w:val="21"/>
        </w:rPr>
        <w:t>on</w:t>
      </w:r>
      <w:r>
        <w:rPr>
          <w:spacing w:val="-3"/>
          <w:w w:val="100"/>
          <w:sz w:val="21"/>
        </w:rPr>
        <w:t>s</w:t>
      </w:r>
      <w:r>
        <w:rPr>
          <w:spacing w:val="-1"/>
          <w:w w:val="100"/>
          <w:sz w:val="21"/>
        </w:rPr>
        <w:t>on</w:t>
      </w:r>
      <w:r>
        <w:rPr>
          <w:spacing w:val="-2"/>
          <w:w w:val="100"/>
          <w:sz w:val="21"/>
        </w:rPr>
        <w:t>a</w:t>
      </w:r>
      <w:r>
        <w:rPr>
          <w:spacing w:val="-1"/>
          <w:w w:val="100"/>
          <w:sz w:val="21"/>
        </w:rPr>
        <w:t>n</w:t>
      </w:r>
      <w:r>
        <w:rPr>
          <w:w w:val="100"/>
          <w:sz w:val="21"/>
        </w:rPr>
        <w:t>t</w:t>
      </w:r>
      <w:r>
        <w:rPr>
          <w:sz w:val="21"/>
        </w:rPr>
        <w:t>  </w:t>
      </w:r>
      <w:r>
        <w:rPr>
          <w:spacing w:val="-25"/>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24"/>
          <w:sz w:val="21"/>
        </w:rPr>
        <w:t> </w:t>
      </w:r>
      <w:r>
        <w:rPr>
          <w:spacing w:val="-2"/>
          <w:w w:val="100"/>
          <w:sz w:val="21"/>
        </w:rPr>
        <w:t>t</w:t>
      </w:r>
      <w:r>
        <w:rPr>
          <w:spacing w:val="-1"/>
          <w:w w:val="100"/>
          <w:sz w:val="21"/>
        </w:rPr>
        <w:t>h</w:t>
      </w:r>
      <w:r>
        <w:rPr>
          <w:spacing w:val="1"/>
          <w:w w:val="100"/>
          <w:sz w:val="21"/>
        </w:rPr>
        <w:t>i</w:t>
      </w:r>
      <w:r>
        <w:rPr>
          <w:w w:val="100"/>
          <w:sz w:val="21"/>
        </w:rPr>
        <w:t>s</w:t>
      </w:r>
      <w:r>
        <w:rPr>
          <w:sz w:val="21"/>
        </w:rPr>
        <w:t>  </w:t>
      </w:r>
      <w:r>
        <w:rPr>
          <w:spacing w:val="-27"/>
          <w:sz w:val="21"/>
        </w:rPr>
        <w:t> </w:t>
      </w:r>
      <w:r>
        <w:rPr>
          <w:spacing w:val="-1"/>
          <w:w w:val="100"/>
          <w:sz w:val="21"/>
        </w:rPr>
        <w:t>pri</w:t>
      </w:r>
      <w:r>
        <w:rPr>
          <w:w w:val="100"/>
          <w:sz w:val="21"/>
        </w:rPr>
        <w:t>n</w:t>
      </w:r>
      <w:r>
        <w:rPr>
          <w:spacing w:val="-3"/>
          <w:w w:val="100"/>
          <w:sz w:val="21"/>
        </w:rPr>
        <w:t>c</w:t>
      </w:r>
      <w:r>
        <w:rPr>
          <w:w w:val="100"/>
          <w:sz w:val="21"/>
        </w:rPr>
        <w:t>i</w:t>
      </w:r>
      <w:r>
        <w:rPr>
          <w:spacing w:val="-3"/>
          <w:w w:val="100"/>
          <w:sz w:val="21"/>
        </w:rPr>
        <w:t>p</w:t>
      </w:r>
      <w:r>
        <w:rPr>
          <w:w w:val="100"/>
          <w:sz w:val="21"/>
        </w:rPr>
        <w:t>le</w:t>
      </w:r>
      <w:r>
        <w:rPr>
          <w:sz w:val="21"/>
        </w:rPr>
        <w:t>  </w:t>
      </w:r>
      <w:r>
        <w:rPr>
          <w:spacing w:val="-24"/>
          <w:sz w:val="21"/>
        </w:rPr>
        <w:t> </w:t>
      </w:r>
      <w:r>
        <w:rPr>
          <w:spacing w:val="-2"/>
          <w:w w:val="100"/>
          <w:sz w:val="21"/>
        </w:rPr>
        <w:t>t</w:t>
      </w:r>
      <w:r>
        <w:rPr>
          <w:spacing w:val="-1"/>
          <w:w w:val="100"/>
          <w:sz w:val="21"/>
        </w:rPr>
        <w:t>h</w:t>
      </w:r>
      <w:r>
        <w:rPr>
          <w:w w:val="100"/>
          <w:sz w:val="21"/>
        </w:rPr>
        <w:t>e</w:t>
      </w:r>
      <w:r>
        <w:rPr>
          <w:sz w:val="21"/>
        </w:rPr>
        <w:t>  </w:t>
      </w:r>
      <w:r>
        <w:rPr>
          <w:spacing w:val="-24"/>
          <w:sz w:val="21"/>
        </w:rPr>
        <w:t> </w:t>
      </w:r>
      <w:r>
        <w:rPr>
          <w:w w:val="100"/>
          <w:sz w:val="21"/>
        </w:rPr>
        <w:t>c</w:t>
      </w:r>
      <w:r>
        <w:rPr>
          <w:spacing w:val="-3"/>
          <w:w w:val="100"/>
          <w:sz w:val="21"/>
        </w:rPr>
        <w:t>o</w:t>
      </w:r>
      <w:r>
        <w:rPr>
          <w:spacing w:val="-1"/>
          <w:w w:val="100"/>
          <w:sz w:val="21"/>
        </w:rPr>
        <w:t>mme</w:t>
      </w:r>
      <w:r>
        <w:rPr>
          <w:spacing w:val="-3"/>
          <w:w w:val="100"/>
          <w:sz w:val="21"/>
        </w:rPr>
        <w:t>nc</w:t>
      </w:r>
      <w:r>
        <w:rPr>
          <w:spacing w:val="-1"/>
          <w:w w:val="100"/>
          <w:sz w:val="21"/>
        </w:rPr>
        <w:t>emen</w:t>
      </w:r>
      <w:r>
        <w:rPr>
          <w:w w:val="100"/>
          <w:sz w:val="21"/>
        </w:rPr>
        <w:t>t</w:t>
      </w:r>
      <w:r>
        <w:rPr>
          <w:sz w:val="21"/>
        </w:rPr>
        <w:t>  </w:t>
      </w:r>
      <w:r>
        <w:rPr>
          <w:spacing w:val="-26"/>
          <w:sz w:val="21"/>
        </w:rPr>
        <w:t> </w:t>
      </w:r>
      <w:r>
        <w:rPr>
          <w:spacing w:val="-3"/>
          <w:w w:val="100"/>
          <w:sz w:val="21"/>
        </w:rPr>
        <w:t>o</w:t>
      </w:r>
      <w:r>
        <w:rPr>
          <w:w w:val="100"/>
          <w:sz w:val="21"/>
        </w:rPr>
        <w:t>f </w:t>
      </w:r>
      <w:r>
        <w:rPr>
          <w:sz w:val="21"/>
        </w:rPr>
        <w:t>adverse possession, in favour of a person implies that the person is in actual possession, at the time, with a notorious hostile claim of exclusive title, to repel which, the true owner would then be in a position to maintain an action. It would follow that whatever may be the animus or intention of a person wanting to acquire title by adverse possession his adverse possession cannot commence until he obtains actual possession with the requisite</w:t>
      </w:r>
      <w:r>
        <w:rPr>
          <w:spacing w:val="-7"/>
          <w:sz w:val="21"/>
        </w:rPr>
        <w:t> </w:t>
      </w:r>
      <w:r>
        <w:rPr>
          <w:sz w:val="21"/>
        </w:rPr>
        <w:t>animus.‖</w:t>
      </w:r>
    </w:p>
    <w:p>
      <w:pPr>
        <w:pStyle w:val="BodyText"/>
        <w:rPr>
          <w:sz w:val="20"/>
        </w:rPr>
      </w:pPr>
    </w:p>
    <w:p>
      <w:pPr>
        <w:pStyle w:val="BodyText"/>
        <w:spacing w:before="9"/>
        <w:rPr>
          <w:sz w:val="29"/>
        </w:rPr>
      </w:pPr>
      <w:r>
        <w:rPr/>
        <w:pict>
          <v:rect style="position:absolute;margin-left:72.024002pt;margin-top:19.118038pt;width:144.020pt;height:.599980pt;mso-position-horizontal-relative:page;mso-position-vertical-relative:paragraph;z-index:-15617024;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368</w:t>
      </w:r>
      <w:r>
        <w:rPr>
          <w:sz w:val="18"/>
          <w:vertAlign w:val="baseline"/>
        </w:rPr>
        <w:t> 1957 SCR 195</w:t>
      </w:r>
    </w:p>
    <w:p>
      <w:pPr>
        <w:spacing w:before="2"/>
        <w:ind w:left="500" w:right="0" w:firstLine="0"/>
        <w:jc w:val="left"/>
        <w:rPr>
          <w:sz w:val="18"/>
        </w:rPr>
      </w:pPr>
      <w:r>
        <w:rPr>
          <w:sz w:val="18"/>
          <w:vertAlign w:val="superscript"/>
        </w:rPr>
        <w:t>369</w:t>
      </w:r>
      <w:r>
        <w:rPr>
          <w:sz w:val="18"/>
          <w:vertAlign w:val="baseline"/>
        </w:rPr>
        <w:t> 6</w:t>
      </w:r>
      <w:r>
        <w:rPr>
          <w:sz w:val="18"/>
          <w:vertAlign w:val="superscript"/>
        </w:rPr>
        <w:t>th</w:t>
      </w:r>
      <w:r>
        <w:rPr>
          <w:sz w:val="18"/>
          <w:vertAlign w:val="baseline"/>
        </w:rPr>
        <w:t> Edition, Vol. I, Lecture VI, at page 159</w:t>
      </w:r>
    </w:p>
    <w:p>
      <w:pPr>
        <w:spacing w:after="0"/>
        <w:jc w:val="left"/>
        <w:rPr>
          <w:sz w:val="18"/>
        </w:rPr>
        <w:sectPr>
          <w:pgSz w:w="11910" w:h="16840"/>
          <w:pgMar w:header="721" w:footer="1014" w:top="1300" w:bottom="1200" w:left="940" w:right="1000"/>
        </w:sectPr>
      </w:pPr>
    </w:p>
    <w:p>
      <w:pPr>
        <w:spacing w:line="482" w:lineRule="auto" w:before="121"/>
        <w:ind w:left="500" w:right="438" w:firstLine="0"/>
        <w:jc w:val="both"/>
        <w:rPr>
          <w:sz w:val="25"/>
        </w:rPr>
      </w:pPr>
      <w:r>
        <w:rPr>
          <w:sz w:val="25"/>
        </w:rPr>
        <w:t>In </w:t>
      </w:r>
      <w:r>
        <w:rPr>
          <w:b/>
          <w:sz w:val="25"/>
        </w:rPr>
        <w:t>Karnataka Board of Wakf </w:t>
      </w:r>
      <w:r>
        <w:rPr>
          <w:sz w:val="25"/>
        </w:rPr>
        <w:t>v </w:t>
      </w:r>
      <w:r>
        <w:rPr>
          <w:b/>
          <w:sz w:val="25"/>
        </w:rPr>
        <w:t>Government of India</w:t>
      </w:r>
      <w:r>
        <w:rPr>
          <w:sz w:val="25"/>
          <w:vertAlign w:val="superscript"/>
        </w:rPr>
        <w:t>370</w:t>
      </w:r>
      <w:r>
        <w:rPr>
          <w:sz w:val="25"/>
          <w:vertAlign w:val="baseline"/>
        </w:rPr>
        <w:t>, Justice S Rajendra Babu, speaking for a two judge Bench held that:</w:t>
      </w:r>
    </w:p>
    <w:p>
      <w:pPr>
        <w:spacing w:line="276" w:lineRule="auto" w:before="156"/>
        <w:ind w:left="1940" w:right="2254" w:firstLine="0"/>
        <w:jc w:val="both"/>
        <w:rPr>
          <w:b/>
          <w:sz w:val="21"/>
        </w:rPr>
      </w:pPr>
      <w:r>
        <w:rPr>
          <w:spacing w:val="-1"/>
          <w:w w:val="33"/>
          <w:sz w:val="21"/>
        </w:rPr>
        <w:t>―</w:t>
      </w:r>
      <w:r>
        <w:rPr>
          <w:spacing w:val="-1"/>
          <w:w w:val="100"/>
          <w:sz w:val="21"/>
        </w:rPr>
        <w:t>11</w:t>
      </w:r>
      <w:r>
        <w:rPr>
          <w:spacing w:val="-3"/>
          <w:w w:val="100"/>
          <w:sz w:val="21"/>
        </w:rPr>
        <w:t>…</w:t>
      </w:r>
      <w:r>
        <w:rPr>
          <w:b/>
          <w:w w:val="100"/>
          <w:sz w:val="21"/>
        </w:rPr>
        <w:t>P</w:t>
      </w:r>
      <w:r>
        <w:rPr>
          <w:b/>
          <w:w w:val="100"/>
          <w:sz w:val="21"/>
        </w:rPr>
        <w:t>h</w:t>
      </w:r>
      <w:r>
        <w:rPr>
          <w:b/>
          <w:spacing w:val="-4"/>
          <w:w w:val="100"/>
          <w:sz w:val="21"/>
        </w:rPr>
        <w:t>y</w:t>
      </w:r>
      <w:r>
        <w:rPr>
          <w:b/>
          <w:w w:val="100"/>
          <w:sz w:val="21"/>
        </w:rPr>
        <w:t>s</w:t>
      </w:r>
      <w:r>
        <w:rPr>
          <w:b/>
          <w:spacing w:val="-1"/>
          <w:w w:val="100"/>
          <w:sz w:val="21"/>
        </w:rPr>
        <w:t>i</w:t>
      </w:r>
      <w:r>
        <w:rPr>
          <w:b/>
          <w:w w:val="100"/>
          <w:sz w:val="21"/>
        </w:rPr>
        <w:t>cal</w:t>
      </w:r>
      <w:r>
        <w:rPr>
          <w:b/>
          <w:sz w:val="21"/>
        </w:rPr>
        <w:t>    </w:t>
      </w:r>
      <w:r>
        <w:rPr>
          <w:b/>
          <w:spacing w:val="-22"/>
          <w:sz w:val="21"/>
        </w:rPr>
        <w:t> </w:t>
      </w:r>
      <w:r>
        <w:rPr>
          <w:b/>
          <w:spacing w:val="-1"/>
          <w:w w:val="100"/>
          <w:sz w:val="21"/>
        </w:rPr>
        <w:t>f</w:t>
      </w:r>
      <w:r>
        <w:rPr>
          <w:b/>
          <w:w w:val="100"/>
          <w:sz w:val="21"/>
        </w:rPr>
        <w:t>act</w:t>
      </w:r>
      <w:r>
        <w:rPr>
          <w:b/>
          <w:sz w:val="21"/>
        </w:rPr>
        <w:t>    </w:t>
      </w:r>
      <w:r>
        <w:rPr>
          <w:b/>
          <w:spacing w:val="-22"/>
          <w:sz w:val="21"/>
        </w:rPr>
        <w:t> </w:t>
      </w:r>
      <w:r>
        <w:rPr>
          <w:b/>
          <w:spacing w:val="-2"/>
          <w:w w:val="100"/>
          <w:sz w:val="21"/>
        </w:rPr>
        <w:t>o</w:t>
      </w:r>
      <w:r>
        <w:rPr>
          <w:b/>
          <w:w w:val="100"/>
          <w:sz w:val="21"/>
        </w:rPr>
        <w:t>f</w:t>
      </w:r>
      <w:r>
        <w:rPr>
          <w:b/>
          <w:sz w:val="21"/>
        </w:rPr>
        <w:t>    </w:t>
      </w:r>
      <w:r>
        <w:rPr>
          <w:b/>
          <w:spacing w:val="-22"/>
          <w:sz w:val="21"/>
        </w:rPr>
        <w:t> </w:t>
      </w:r>
      <w:r>
        <w:rPr>
          <w:b/>
          <w:w w:val="100"/>
          <w:sz w:val="21"/>
        </w:rPr>
        <w:t>excl</w:t>
      </w:r>
      <w:r>
        <w:rPr>
          <w:b/>
          <w:spacing w:val="-3"/>
          <w:w w:val="100"/>
          <w:sz w:val="21"/>
        </w:rPr>
        <w:t>u</w:t>
      </w:r>
      <w:r>
        <w:rPr>
          <w:b/>
          <w:w w:val="100"/>
          <w:sz w:val="21"/>
        </w:rPr>
        <w:t>s</w:t>
      </w:r>
      <w:r>
        <w:rPr>
          <w:b/>
          <w:spacing w:val="-1"/>
          <w:w w:val="100"/>
          <w:sz w:val="21"/>
        </w:rPr>
        <w:t>i</w:t>
      </w:r>
      <w:r>
        <w:rPr>
          <w:b/>
          <w:spacing w:val="-3"/>
          <w:w w:val="100"/>
          <w:sz w:val="21"/>
        </w:rPr>
        <w:t>v</w:t>
      </w:r>
      <w:r>
        <w:rPr>
          <w:b/>
          <w:w w:val="100"/>
          <w:sz w:val="21"/>
        </w:rPr>
        <w:t>e</w:t>
      </w:r>
      <w:r>
        <w:rPr>
          <w:b/>
          <w:sz w:val="21"/>
        </w:rPr>
        <w:t>    </w:t>
      </w:r>
      <w:r>
        <w:rPr>
          <w:b/>
          <w:spacing w:val="-21"/>
          <w:sz w:val="21"/>
        </w:rPr>
        <w:t> </w:t>
      </w:r>
      <w:r>
        <w:rPr>
          <w:b/>
          <w:w w:val="100"/>
          <w:sz w:val="21"/>
        </w:rPr>
        <w:t>po</w:t>
      </w:r>
      <w:r>
        <w:rPr>
          <w:b/>
          <w:spacing w:val="-3"/>
          <w:w w:val="100"/>
          <w:sz w:val="21"/>
        </w:rPr>
        <w:t>s</w:t>
      </w:r>
      <w:r>
        <w:rPr>
          <w:b/>
          <w:w w:val="100"/>
          <w:sz w:val="21"/>
        </w:rPr>
        <w:t>se</w:t>
      </w:r>
      <w:r>
        <w:rPr>
          <w:b/>
          <w:spacing w:val="-2"/>
          <w:w w:val="100"/>
          <w:sz w:val="21"/>
        </w:rPr>
        <w:t>s</w:t>
      </w:r>
      <w:r>
        <w:rPr>
          <w:b/>
          <w:w w:val="100"/>
          <w:sz w:val="21"/>
        </w:rPr>
        <w:t>s</w:t>
      </w:r>
      <w:r>
        <w:rPr>
          <w:b/>
          <w:spacing w:val="-4"/>
          <w:w w:val="100"/>
          <w:sz w:val="21"/>
        </w:rPr>
        <w:t>i</w:t>
      </w:r>
      <w:r>
        <w:rPr>
          <w:b/>
          <w:w w:val="100"/>
          <w:sz w:val="21"/>
        </w:rPr>
        <w:t>on</w:t>
      </w:r>
      <w:r>
        <w:rPr>
          <w:b/>
          <w:sz w:val="21"/>
        </w:rPr>
        <w:t>    </w:t>
      </w:r>
      <w:r>
        <w:rPr>
          <w:b/>
          <w:spacing w:val="-23"/>
          <w:sz w:val="21"/>
        </w:rPr>
        <w:t> </w:t>
      </w:r>
      <w:r>
        <w:rPr>
          <w:b/>
          <w:w w:val="100"/>
          <w:sz w:val="21"/>
        </w:rPr>
        <w:t>a</w:t>
      </w:r>
      <w:r>
        <w:rPr>
          <w:b/>
          <w:spacing w:val="-2"/>
          <w:w w:val="100"/>
          <w:sz w:val="21"/>
        </w:rPr>
        <w:t>n</w:t>
      </w:r>
      <w:r>
        <w:rPr>
          <w:b/>
          <w:w w:val="100"/>
          <w:sz w:val="21"/>
        </w:rPr>
        <w:t>d </w:t>
      </w:r>
      <w:r>
        <w:rPr>
          <w:b/>
          <w:sz w:val="21"/>
        </w:rPr>
        <w:t>the </w:t>
      </w:r>
      <w:r>
        <w:rPr>
          <w:b/>
          <w:i/>
          <w:sz w:val="21"/>
        </w:rPr>
        <w:t>animus possidendi </w:t>
      </w:r>
      <w:r>
        <w:rPr>
          <w:b/>
          <w:sz w:val="21"/>
        </w:rPr>
        <w:t>to hold as owner in exclusion to the actual owner are the most important factors that are to be accounted in cases of this nature</w:t>
      </w:r>
      <w:r>
        <w:rPr>
          <w:sz w:val="21"/>
        </w:rPr>
        <w:t>. Plea of adverse possession is not a pure question of law but a blended one of fact and law. Therefore, </w:t>
      </w:r>
      <w:r>
        <w:rPr>
          <w:b/>
          <w:sz w:val="21"/>
        </w:rPr>
        <w:t>a person who claims adverse possession should show: (</w:t>
      </w:r>
      <w:r>
        <w:rPr>
          <w:b/>
          <w:i/>
          <w:sz w:val="21"/>
        </w:rPr>
        <w:t>a</w:t>
      </w:r>
      <w:r>
        <w:rPr>
          <w:b/>
          <w:sz w:val="21"/>
        </w:rPr>
        <w:t>) on what date he came into possession, (</w:t>
      </w:r>
      <w:r>
        <w:rPr>
          <w:b/>
          <w:i/>
          <w:sz w:val="21"/>
        </w:rPr>
        <w:t>b</w:t>
      </w:r>
      <w:r>
        <w:rPr>
          <w:b/>
          <w:sz w:val="21"/>
        </w:rPr>
        <w:t>) what was the nature of his</w:t>
      </w:r>
      <w:r>
        <w:rPr>
          <w:b/>
          <w:spacing w:val="-31"/>
          <w:sz w:val="21"/>
        </w:rPr>
        <w:t> </w:t>
      </w:r>
      <w:r>
        <w:rPr>
          <w:b/>
          <w:sz w:val="21"/>
        </w:rPr>
        <w:t>possession,</w:t>
      </w:r>
    </w:p>
    <w:p>
      <w:pPr>
        <w:pStyle w:val="ListParagraph"/>
        <w:numPr>
          <w:ilvl w:val="0"/>
          <w:numId w:val="234"/>
        </w:numPr>
        <w:tabs>
          <w:tab w:pos="2282" w:val="left" w:leader="none"/>
        </w:tabs>
        <w:spacing w:line="276" w:lineRule="auto" w:before="0" w:after="0"/>
        <w:ind w:left="1940" w:right="2256" w:firstLine="0"/>
        <w:jc w:val="both"/>
        <w:rPr>
          <w:sz w:val="21"/>
        </w:rPr>
      </w:pPr>
      <w:r>
        <w:rPr>
          <w:b/>
          <w:sz w:val="21"/>
        </w:rPr>
        <w:t>whether the factum of possession was known to the other party, (</w:t>
      </w:r>
      <w:r>
        <w:rPr>
          <w:b/>
          <w:i/>
          <w:sz w:val="21"/>
        </w:rPr>
        <w:t>d</w:t>
      </w:r>
      <w:r>
        <w:rPr>
          <w:b/>
          <w:sz w:val="21"/>
        </w:rPr>
        <w:t>) how </w:t>
      </w:r>
      <w:r>
        <w:rPr>
          <w:sz w:val="21"/>
        </w:rPr>
        <w:t>long </w:t>
      </w:r>
      <w:r>
        <w:rPr>
          <w:b/>
          <w:sz w:val="21"/>
        </w:rPr>
        <w:t>his possession has continued, and (</w:t>
      </w:r>
      <w:r>
        <w:rPr>
          <w:b/>
          <w:i/>
          <w:sz w:val="21"/>
        </w:rPr>
        <w:t>e</w:t>
      </w:r>
      <w:r>
        <w:rPr>
          <w:b/>
          <w:sz w:val="21"/>
        </w:rPr>
        <w:t>) his possession was open and</w:t>
      </w:r>
      <w:r>
        <w:rPr>
          <w:b/>
          <w:spacing w:val="-17"/>
          <w:sz w:val="21"/>
        </w:rPr>
        <w:t> </w:t>
      </w:r>
      <w:r>
        <w:rPr>
          <w:b/>
          <w:sz w:val="21"/>
        </w:rPr>
        <w:t>undisturbed</w:t>
      </w:r>
      <w:r>
        <w:rPr>
          <w:sz w:val="21"/>
        </w:rPr>
        <w:t>.‖</w:t>
      </w:r>
    </w:p>
    <w:p>
      <w:pPr>
        <w:spacing w:before="2"/>
        <w:ind w:left="5402" w:right="0" w:firstLine="0"/>
        <w:jc w:val="both"/>
        <w:rPr>
          <w:sz w:val="21"/>
        </w:rPr>
      </w:pPr>
      <w:r>
        <w:rPr>
          <w:sz w:val="21"/>
        </w:rPr>
        <w:t>(Emphasis supplied)</w:t>
      </w:r>
    </w:p>
    <w:p>
      <w:pPr>
        <w:pStyle w:val="BodyText"/>
        <w:rPr>
          <w:sz w:val="24"/>
        </w:rPr>
      </w:pPr>
    </w:p>
    <w:p>
      <w:pPr>
        <w:pStyle w:val="BodyText"/>
        <w:rPr>
          <w:sz w:val="24"/>
        </w:rPr>
      </w:pPr>
    </w:p>
    <w:p>
      <w:pPr>
        <w:pStyle w:val="BodyText"/>
        <w:spacing w:before="10"/>
        <w:rPr>
          <w:sz w:val="22"/>
        </w:rPr>
      </w:pPr>
    </w:p>
    <w:p>
      <w:pPr>
        <w:pStyle w:val="BodyText"/>
        <w:spacing w:line="480" w:lineRule="auto"/>
        <w:ind w:left="500" w:right="443"/>
        <w:jc w:val="both"/>
      </w:pPr>
      <w:r>
        <w:rPr/>
        <w:t>The ingredients must be set up in the pleadings and proved in evidence. There can be no proof sans pleadings and pleadings without evidence will not establish a case in law.</w:t>
      </w:r>
    </w:p>
    <w:p>
      <w:pPr>
        <w:pStyle w:val="BodyText"/>
        <w:spacing w:before="11"/>
        <w:rPr>
          <w:sz w:val="24"/>
        </w:rPr>
      </w:pPr>
    </w:p>
    <w:p>
      <w:pPr>
        <w:pStyle w:val="BodyText"/>
        <w:spacing w:line="480" w:lineRule="auto"/>
        <w:ind w:left="500" w:right="439"/>
        <w:jc w:val="both"/>
      </w:pPr>
      <w:r>
        <w:rPr/>
        <w:t>In </w:t>
      </w:r>
      <w:r>
        <w:rPr>
          <w:b/>
        </w:rPr>
        <w:t>Annakili </w:t>
      </w:r>
      <w:r>
        <w:rPr/>
        <w:t>v </w:t>
      </w:r>
      <w:r>
        <w:rPr>
          <w:b/>
        </w:rPr>
        <w:t>A Vedanayagam</w:t>
      </w:r>
      <w:r>
        <w:rPr>
          <w:b/>
          <w:vertAlign w:val="superscript"/>
        </w:rPr>
        <w:t>371</w:t>
      </w:r>
      <w:r>
        <w:rPr>
          <w:vertAlign w:val="baseline"/>
        </w:rPr>
        <w:t>, this Court emphasized that mere possession of land would not ripen into a possessory title. The possessor must have </w:t>
      </w:r>
      <w:r>
        <w:rPr>
          <w:i/>
          <w:vertAlign w:val="baseline"/>
        </w:rPr>
        <w:t>animus </w:t>
      </w:r>
      <w:r>
        <w:rPr>
          <w:i/>
          <w:vertAlign w:val="baseline"/>
        </w:rPr>
        <w:t>possidendi </w:t>
      </w:r>
      <w:r>
        <w:rPr>
          <w:vertAlign w:val="baseline"/>
        </w:rPr>
        <w:t>and hold the land adverse to the title of the true owner. Moreover, he must continue in that capacity for the period prescribed under the Limitation</w:t>
      </w:r>
      <w:r>
        <w:rPr>
          <w:spacing w:val="-20"/>
          <w:vertAlign w:val="baseline"/>
        </w:rPr>
        <w:t> </w:t>
      </w:r>
      <w:r>
        <w:rPr>
          <w:vertAlign w:val="baseline"/>
        </w:rPr>
        <w:t>Act.</w:t>
      </w:r>
    </w:p>
    <w:p>
      <w:pPr>
        <w:pStyle w:val="BodyText"/>
        <w:rPr>
          <w:sz w:val="39"/>
        </w:rPr>
      </w:pPr>
    </w:p>
    <w:p>
      <w:pPr>
        <w:pStyle w:val="ListParagraph"/>
        <w:numPr>
          <w:ilvl w:val="0"/>
          <w:numId w:val="231"/>
        </w:numPr>
        <w:tabs>
          <w:tab w:pos="1221" w:val="left" w:leader="none"/>
        </w:tabs>
        <w:spacing w:line="480" w:lineRule="auto" w:before="0" w:after="0"/>
        <w:ind w:left="500" w:right="434" w:firstLine="0"/>
        <w:jc w:val="both"/>
        <w:rPr>
          <w:sz w:val="25"/>
        </w:rPr>
      </w:pPr>
      <w:r>
        <w:rPr>
          <w:sz w:val="25"/>
        </w:rPr>
        <w:t>In the decision of the Privy Council in </w:t>
      </w:r>
      <w:r>
        <w:rPr>
          <w:b/>
          <w:sz w:val="25"/>
        </w:rPr>
        <w:t>Masjid Shahidganj </w:t>
      </w:r>
      <w:r>
        <w:rPr>
          <w:sz w:val="25"/>
        </w:rPr>
        <w:t>v. </w:t>
      </w:r>
      <w:r>
        <w:rPr>
          <w:b/>
          <w:sz w:val="25"/>
        </w:rPr>
        <w:t>Shiromani Gurdwara Prabandhak Committee, Amritsar</w:t>
      </w:r>
      <w:r>
        <w:rPr>
          <w:sz w:val="25"/>
          <w:vertAlign w:val="superscript"/>
        </w:rPr>
        <w:t>372</w:t>
      </w:r>
      <w:r>
        <w:rPr>
          <w:sz w:val="25"/>
          <w:vertAlign w:val="baseline"/>
        </w:rPr>
        <w:t>, there was a structure of a mosque in Lahore which had been built in 1722. From 1762 or thereabouts the building and adjacent land had been in the occupation and possession of Sikhs. At</w:t>
      </w:r>
      <w:r>
        <w:rPr>
          <w:spacing w:val="35"/>
          <w:sz w:val="25"/>
          <w:vertAlign w:val="baseline"/>
        </w:rPr>
        <w:t> </w:t>
      </w:r>
      <w:r>
        <w:rPr>
          <w:sz w:val="25"/>
          <w:vertAlign w:val="baseline"/>
        </w:rPr>
        <w:t>the</w:t>
      </w:r>
      <w:r>
        <w:rPr>
          <w:spacing w:val="37"/>
          <w:sz w:val="25"/>
          <w:vertAlign w:val="baseline"/>
        </w:rPr>
        <w:t> </w:t>
      </w:r>
      <w:r>
        <w:rPr>
          <w:sz w:val="25"/>
          <w:vertAlign w:val="baseline"/>
        </w:rPr>
        <w:t>time</w:t>
      </w:r>
      <w:r>
        <w:rPr>
          <w:spacing w:val="35"/>
          <w:sz w:val="25"/>
          <w:vertAlign w:val="baseline"/>
        </w:rPr>
        <w:t> </w:t>
      </w:r>
      <w:r>
        <w:rPr>
          <w:sz w:val="25"/>
          <w:vertAlign w:val="baseline"/>
        </w:rPr>
        <w:t>of</w:t>
      </w:r>
      <w:r>
        <w:rPr>
          <w:spacing w:val="39"/>
          <w:sz w:val="25"/>
          <w:vertAlign w:val="baseline"/>
        </w:rPr>
        <w:t> </w:t>
      </w:r>
      <w:r>
        <w:rPr>
          <w:sz w:val="25"/>
          <w:vertAlign w:val="baseline"/>
        </w:rPr>
        <w:t>annexation</w:t>
      </w:r>
      <w:r>
        <w:rPr>
          <w:spacing w:val="35"/>
          <w:sz w:val="25"/>
          <w:vertAlign w:val="baseline"/>
        </w:rPr>
        <w:t> </w:t>
      </w:r>
      <w:r>
        <w:rPr>
          <w:sz w:val="25"/>
          <w:vertAlign w:val="baseline"/>
        </w:rPr>
        <w:t>by</w:t>
      </w:r>
      <w:r>
        <w:rPr>
          <w:spacing w:val="36"/>
          <w:sz w:val="25"/>
          <w:vertAlign w:val="baseline"/>
        </w:rPr>
        <w:t> </w:t>
      </w:r>
      <w:r>
        <w:rPr>
          <w:sz w:val="25"/>
          <w:vertAlign w:val="baseline"/>
        </w:rPr>
        <w:t>the</w:t>
      </w:r>
      <w:r>
        <w:rPr>
          <w:spacing w:val="38"/>
          <w:sz w:val="25"/>
          <w:vertAlign w:val="baseline"/>
        </w:rPr>
        <w:t> </w:t>
      </w:r>
      <w:r>
        <w:rPr>
          <w:sz w:val="25"/>
          <w:vertAlign w:val="baseline"/>
        </w:rPr>
        <w:t>British</w:t>
      </w:r>
      <w:r>
        <w:rPr>
          <w:spacing w:val="36"/>
          <w:sz w:val="25"/>
          <w:vertAlign w:val="baseline"/>
        </w:rPr>
        <w:t> </w:t>
      </w:r>
      <w:r>
        <w:rPr>
          <w:sz w:val="25"/>
          <w:vertAlign w:val="baseline"/>
        </w:rPr>
        <w:t>in</w:t>
      </w:r>
      <w:r>
        <w:rPr>
          <w:spacing w:val="35"/>
          <w:sz w:val="25"/>
          <w:vertAlign w:val="baseline"/>
        </w:rPr>
        <w:t> </w:t>
      </w:r>
      <w:r>
        <w:rPr>
          <w:sz w:val="25"/>
          <w:vertAlign w:val="baseline"/>
        </w:rPr>
        <w:t>1849,</w:t>
      </w:r>
      <w:r>
        <w:rPr>
          <w:spacing w:val="36"/>
          <w:sz w:val="25"/>
          <w:vertAlign w:val="baseline"/>
        </w:rPr>
        <w:t> </w:t>
      </w:r>
      <w:r>
        <w:rPr>
          <w:sz w:val="25"/>
          <w:vertAlign w:val="baseline"/>
        </w:rPr>
        <w:t>the</w:t>
      </w:r>
      <w:r>
        <w:rPr>
          <w:spacing w:val="36"/>
          <w:sz w:val="25"/>
          <w:vertAlign w:val="baseline"/>
        </w:rPr>
        <w:t> </w:t>
      </w:r>
      <w:r>
        <w:rPr>
          <w:sz w:val="25"/>
          <w:vertAlign w:val="baseline"/>
        </w:rPr>
        <w:t>mosque</w:t>
      </w:r>
      <w:r>
        <w:rPr>
          <w:spacing w:val="39"/>
          <w:sz w:val="25"/>
          <w:vertAlign w:val="baseline"/>
        </w:rPr>
        <w:t> </w:t>
      </w:r>
      <w:r>
        <w:rPr>
          <w:sz w:val="25"/>
          <w:vertAlign w:val="baseline"/>
        </w:rPr>
        <w:t>and</w:t>
      </w:r>
      <w:r>
        <w:rPr>
          <w:spacing w:val="35"/>
          <w:sz w:val="25"/>
          <w:vertAlign w:val="baseline"/>
        </w:rPr>
        <w:t> </w:t>
      </w:r>
      <w:r>
        <w:rPr>
          <w:sz w:val="25"/>
          <w:vertAlign w:val="baseline"/>
        </w:rPr>
        <w:t>the</w:t>
      </w:r>
      <w:r>
        <w:rPr>
          <w:spacing w:val="37"/>
          <w:sz w:val="25"/>
          <w:vertAlign w:val="baseline"/>
        </w:rPr>
        <w:t> </w:t>
      </w:r>
      <w:r>
        <w:rPr>
          <w:sz w:val="25"/>
          <w:vertAlign w:val="baseline"/>
        </w:rPr>
        <w:t>property</w:t>
      </w:r>
    </w:p>
    <w:p>
      <w:pPr>
        <w:pStyle w:val="BodyText"/>
        <w:spacing w:before="9"/>
        <w:rPr>
          <w:sz w:val="10"/>
        </w:rPr>
      </w:pPr>
      <w:r>
        <w:rPr/>
        <w:pict>
          <v:rect style="position:absolute;margin-left:72.024002pt;margin-top:8.166803pt;width:144.020pt;height:.60004pt;mso-position-horizontal-relative:page;mso-position-vertical-relative:paragraph;z-index:-15616512;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370</w:t>
      </w:r>
      <w:r>
        <w:rPr>
          <w:sz w:val="18"/>
          <w:vertAlign w:val="baseline"/>
        </w:rPr>
        <w:t> (2004) 10 SCC</w:t>
      </w:r>
      <w:r>
        <w:rPr>
          <w:spacing w:val="-11"/>
          <w:sz w:val="18"/>
          <w:vertAlign w:val="baseline"/>
        </w:rPr>
        <w:t> </w:t>
      </w:r>
      <w:r>
        <w:rPr>
          <w:sz w:val="18"/>
          <w:vertAlign w:val="baseline"/>
        </w:rPr>
        <w:t>779</w:t>
      </w:r>
    </w:p>
    <w:p>
      <w:pPr>
        <w:spacing w:line="207" w:lineRule="exact" w:before="0"/>
        <w:ind w:left="500" w:right="0" w:firstLine="0"/>
        <w:jc w:val="left"/>
        <w:rPr>
          <w:sz w:val="18"/>
        </w:rPr>
      </w:pPr>
      <w:r>
        <w:rPr>
          <w:sz w:val="18"/>
          <w:vertAlign w:val="superscript"/>
        </w:rPr>
        <w:t>371</w:t>
      </w:r>
      <w:r>
        <w:rPr>
          <w:sz w:val="18"/>
          <w:vertAlign w:val="baseline"/>
        </w:rPr>
        <w:t> (2007) 14 SCC</w:t>
      </w:r>
      <w:r>
        <w:rPr>
          <w:spacing w:val="-11"/>
          <w:sz w:val="18"/>
          <w:vertAlign w:val="baseline"/>
        </w:rPr>
        <w:t> </w:t>
      </w:r>
      <w:r>
        <w:rPr>
          <w:sz w:val="18"/>
          <w:vertAlign w:val="baseline"/>
        </w:rPr>
        <w:t>308</w:t>
      </w:r>
    </w:p>
    <w:p>
      <w:pPr>
        <w:spacing w:before="1"/>
        <w:ind w:left="500" w:right="0" w:firstLine="0"/>
        <w:jc w:val="left"/>
        <w:rPr>
          <w:sz w:val="18"/>
        </w:rPr>
      </w:pPr>
      <w:r>
        <w:rPr>
          <w:sz w:val="18"/>
          <w:vertAlign w:val="superscript"/>
        </w:rPr>
        <w:t>372</w:t>
      </w:r>
      <w:r>
        <w:rPr>
          <w:sz w:val="18"/>
          <w:vertAlign w:val="baseline"/>
        </w:rPr>
        <w:t> AIR 1940 PC 116</w:t>
      </w:r>
    </w:p>
    <w:p>
      <w:pPr>
        <w:spacing w:after="0"/>
        <w:jc w:val="left"/>
        <w:rPr>
          <w:sz w:val="18"/>
        </w:rPr>
        <w:sectPr>
          <w:pgSz w:w="11910" w:h="16840"/>
          <w:pgMar w:header="721" w:footer="1014" w:top="1300" w:bottom="1200" w:left="940" w:right="1000"/>
        </w:sectPr>
      </w:pPr>
    </w:p>
    <w:p>
      <w:pPr>
        <w:pStyle w:val="BodyText"/>
        <w:spacing w:line="480" w:lineRule="auto" w:before="124"/>
        <w:ind w:left="500" w:right="441"/>
        <w:jc w:val="both"/>
      </w:pPr>
      <w:r>
        <w:rPr/>
        <w:t>dedicated to it were in the possession of the Mahant of the Sikh Gurudwara and the building of the mosque had been used by the custodians of the Sikh institution. Under the Sikh Gurdwaras Act 1925, the old mosque building and appurtenant adjacent land were included as belonging to the Gurudwara. The Muslims initiated litigation before the Sikhs Gurudwaras Tribunal in 1928 which resulted in a finding that their claim was defeated by reason of adverse possession.</w:t>
      </w:r>
    </w:p>
    <w:p>
      <w:pPr>
        <w:pStyle w:val="BodyText"/>
        <w:spacing w:before="10"/>
        <w:rPr>
          <w:sz w:val="38"/>
        </w:rPr>
      </w:pPr>
    </w:p>
    <w:p>
      <w:pPr>
        <w:pStyle w:val="BodyText"/>
        <w:spacing w:line="480" w:lineRule="auto"/>
        <w:ind w:left="500" w:right="438"/>
        <w:jc w:val="both"/>
      </w:pPr>
      <w:r>
        <w:rPr/>
        <w:t>A suit was instituted by 18 plaintiffs including by the mosque itself suing through a next friend while the others claimed a right of worship. The suit was for a declaration against the Shiromani Gurdwara Prabandhak Committee that the building was a mosque in which the followers of Islam had a right to worship. The suit was dismissed by the District Judge and his decision was affirmed in a split verdict by a Full Bench of the High Court. Sir George Rankin speaking for the Privy Council held:</w:t>
      </w:r>
    </w:p>
    <w:p>
      <w:pPr>
        <w:spacing w:line="276" w:lineRule="auto" w:before="160"/>
        <w:ind w:left="1940" w:right="2254" w:firstLine="0"/>
        <w:jc w:val="both"/>
        <w:rPr>
          <w:sz w:val="21"/>
        </w:rPr>
      </w:pPr>
      <w:r>
        <w:rPr>
          <w:spacing w:val="-1"/>
          <w:w w:val="33"/>
          <w:sz w:val="21"/>
        </w:rPr>
        <w:t>―</w:t>
      </w:r>
      <w:r>
        <w:rPr>
          <w:spacing w:val="-2"/>
          <w:w w:val="100"/>
          <w:sz w:val="21"/>
        </w:rPr>
        <w:t>I</w:t>
      </w:r>
      <w:r>
        <w:rPr>
          <w:w w:val="100"/>
          <w:sz w:val="21"/>
        </w:rPr>
        <w:t>t</w:t>
      </w:r>
      <w:r>
        <w:rPr>
          <w:sz w:val="21"/>
        </w:rPr>
        <w:t> </w:t>
      </w:r>
      <w:r>
        <w:rPr>
          <w:spacing w:val="-25"/>
          <w:sz w:val="21"/>
        </w:rPr>
        <w:t> </w:t>
      </w:r>
      <w:r>
        <w:rPr>
          <w:spacing w:val="-2"/>
          <w:w w:val="100"/>
          <w:sz w:val="21"/>
        </w:rPr>
        <w:t>w</w:t>
      </w:r>
      <w:r>
        <w:rPr>
          <w:spacing w:val="-1"/>
          <w:w w:val="100"/>
          <w:sz w:val="21"/>
        </w:rPr>
        <w:t>a</w:t>
      </w:r>
      <w:r>
        <w:rPr>
          <w:w w:val="100"/>
          <w:sz w:val="21"/>
        </w:rPr>
        <w:t>s</w:t>
      </w:r>
      <w:r>
        <w:rPr>
          <w:sz w:val="21"/>
        </w:rPr>
        <w:t> </w:t>
      </w:r>
      <w:r>
        <w:rPr>
          <w:spacing w:val="-24"/>
          <w:sz w:val="21"/>
        </w:rPr>
        <w:t> </w:t>
      </w:r>
      <w:r>
        <w:rPr>
          <w:spacing w:val="1"/>
          <w:w w:val="100"/>
          <w:sz w:val="21"/>
        </w:rPr>
        <w:t>f</w:t>
      </w:r>
      <w:r>
        <w:rPr>
          <w:spacing w:val="-1"/>
          <w:w w:val="100"/>
          <w:sz w:val="21"/>
        </w:rPr>
        <w:t>o</w:t>
      </w:r>
      <w:r>
        <w:rPr>
          <w:w w:val="100"/>
          <w:sz w:val="21"/>
        </w:rPr>
        <w:t>r</w:t>
      </w:r>
      <w:r>
        <w:rPr>
          <w:sz w:val="21"/>
        </w:rPr>
        <w:t> </w:t>
      </w:r>
      <w:r>
        <w:rPr>
          <w:spacing w:val="-24"/>
          <w:sz w:val="21"/>
        </w:rPr>
        <w:t> </w:t>
      </w:r>
      <w:r>
        <w:rPr>
          <w:spacing w:val="-2"/>
          <w:w w:val="100"/>
          <w:sz w:val="21"/>
        </w:rPr>
        <w:t>t</w:t>
      </w:r>
      <w:r>
        <w:rPr>
          <w:spacing w:val="-1"/>
          <w:w w:val="100"/>
          <w:sz w:val="21"/>
        </w:rPr>
        <w:t>h</w:t>
      </w:r>
      <w:r>
        <w:rPr>
          <w:w w:val="100"/>
          <w:sz w:val="21"/>
        </w:rPr>
        <w:t>e</w:t>
      </w:r>
      <w:r>
        <w:rPr>
          <w:sz w:val="21"/>
        </w:rPr>
        <w:t> </w:t>
      </w:r>
      <w:r>
        <w:rPr>
          <w:spacing w:val="-26"/>
          <w:sz w:val="21"/>
        </w:rPr>
        <w:t> </w:t>
      </w:r>
      <w:r>
        <w:rPr>
          <w:w w:val="100"/>
          <w:sz w:val="21"/>
        </w:rPr>
        <w:t>P</w:t>
      </w:r>
      <w:r>
        <w:rPr>
          <w:spacing w:val="-2"/>
          <w:w w:val="100"/>
          <w:sz w:val="21"/>
        </w:rPr>
        <w:t>l</w:t>
      </w:r>
      <w:r>
        <w:rPr>
          <w:spacing w:val="-1"/>
          <w:w w:val="100"/>
          <w:sz w:val="21"/>
        </w:rPr>
        <w:t>a</w:t>
      </w:r>
      <w:r>
        <w:rPr>
          <w:spacing w:val="-2"/>
          <w:w w:val="100"/>
          <w:sz w:val="21"/>
        </w:rPr>
        <w:t>i</w:t>
      </w:r>
      <w:r>
        <w:rPr>
          <w:spacing w:val="-1"/>
          <w:w w:val="100"/>
          <w:sz w:val="21"/>
        </w:rPr>
        <w:t>nt</w:t>
      </w:r>
      <w:r>
        <w:rPr>
          <w:spacing w:val="-2"/>
          <w:w w:val="100"/>
          <w:sz w:val="21"/>
        </w:rPr>
        <w:t>i</w:t>
      </w:r>
      <w:r>
        <w:rPr>
          <w:spacing w:val="1"/>
          <w:w w:val="100"/>
          <w:sz w:val="21"/>
        </w:rPr>
        <w:t>f</w:t>
      </w:r>
      <w:r>
        <w:rPr>
          <w:spacing w:val="-2"/>
          <w:w w:val="100"/>
          <w:sz w:val="21"/>
        </w:rPr>
        <w:t>f</w:t>
      </w:r>
      <w:r>
        <w:rPr>
          <w:w w:val="100"/>
          <w:sz w:val="21"/>
        </w:rPr>
        <w:t>s</w:t>
      </w:r>
      <w:r>
        <w:rPr>
          <w:sz w:val="21"/>
        </w:rPr>
        <w:t> </w:t>
      </w:r>
      <w:r>
        <w:rPr>
          <w:spacing w:val="-24"/>
          <w:sz w:val="21"/>
        </w:rPr>
        <w:t> </w:t>
      </w:r>
      <w:r>
        <w:rPr>
          <w:spacing w:val="-2"/>
          <w:w w:val="100"/>
          <w:sz w:val="21"/>
        </w:rPr>
        <w:t>t</w:t>
      </w:r>
      <w:r>
        <w:rPr>
          <w:w w:val="100"/>
          <w:sz w:val="21"/>
        </w:rPr>
        <w:t>o</w:t>
      </w:r>
      <w:r>
        <w:rPr>
          <w:sz w:val="21"/>
        </w:rPr>
        <w:t> </w:t>
      </w:r>
      <w:r>
        <w:rPr>
          <w:spacing w:val="-24"/>
          <w:sz w:val="21"/>
        </w:rPr>
        <w:t> </w:t>
      </w:r>
      <w:r>
        <w:rPr>
          <w:spacing w:val="-1"/>
          <w:w w:val="100"/>
          <w:sz w:val="21"/>
        </w:rPr>
        <w:t>esta</w:t>
      </w:r>
      <w:r>
        <w:rPr>
          <w:spacing w:val="-3"/>
          <w:w w:val="100"/>
          <w:sz w:val="21"/>
        </w:rPr>
        <w:t>b</w:t>
      </w:r>
      <w:r>
        <w:rPr>
          <w:w w:val="100"/>
          <w:sz w:val="21"/>
        </w:rPr>
        <w:t>l</w:t>
      </w:r>
      <w:r>
        <w:rPr>
          <w:spacing w:val="-2"/>
          <w:w w:val="100"/>
          <w:sz w:val="21"/>
        </w:rPr>
        <w:t>i</w:t>
      </w:r>
      <w:r>
        <w:rPr>
          <w:w w:val="100"/>
          <w:sz w:val="21"/>
        </w:rPr>
        <w:t>sh</w:t>
      </w:r>
      <w:r>
        <w:rPr>
          <w:sz w:val="21"/>
        </w:rPr>
        <w:t> </w:t>
      </w:r>
      <w:r>
        <w:rPr>
          <w:spacing w:val="-24"/>
          <w:sz w:val="21"/>
        </w:rPr>
        <w:t> </w:t>
      </w:r>
      <w:r>
        <w:rPr>
          <w:spacing w:val="-2"/>
          <w:w w:val="100"/>
          <w:sz w:val="21"/>
        </w:rPr>
        <w:t>t</w:t>
      </w:r>
      <w:r>
        <w:rPr>
          <w:spacing w:val="-3"/>
          <w:w w:val="100"/>
          <w:sz w:val="21"/>
        </w:rPr>
        <w:t>h</w:t>
      </w:r>
      <w:r>
        <w:rPr>
          <w:w w:val="100"/>
          <w:sz w:val="21"/>
        </w:rPr>
        <w:t>e</w:t>
      </w:r>
      <w:r>
        <w:rPr>
          <w:sz w:val="21"/>
        </w:rPr>
        <w:t> </w:t>
      </w:r>
      <w:r>
        <w:rPr>
          <w:spacing w:val="-24"/>
          <w:sz w:val="21"/>
        </w:rPr>
        <w:t> </w:t>
      </w:r>
      <w:r>
        <w:rPr>
          <w:spacing w:val="-2"/>
          <w:w w:val="100"/>
          <w:sz w:val="21"/>
        </w:rPr>
        <w:t>t</w:t>
      </w:r>
      <w:r>
        <w:rPr>
          <w:spacing w:val="-1"/>
          <w:w w:val="100"/>
          <w:sz w:val="21"/>
        </w:rPr>
        <w:t>ru</w:t>
      </w:r>
      <w:r>
        <w:rPr>
          <w:w w:val="100"/>
          <w:sz w:val="21"/>
        </w:rPr>
        <w:t>e</w:t>
      </w:r>
      <w:r>
        <w:rPr>
          <w:sz w:val="21"/>
        </w:rPr>
        <w:t> </w:t>
      </w:r>
      <w:r>
        <w:rPr>
          <w:spacing w:val="-23"/>
          <w:sz w:val="21"/>
        </w:rPr>
        <w:t> </w:t>
      </w:r>
      <w:r>
        <w:rPr>
          <w:spacing w:val="-3"/>
          <w:w w:val="100"/>
          <w:sz w:val="21"/>
        </w:rPr>
        <w:t>p</w:t>
      </w:r>
      <w:r>
        <w:rPr>
          <w:spacing w:val="-1"/>
          <w:w w:val="100"/>
          <w:sz w:val="21"/>
        </w:rPr>
        <w:t>os</w:t>
      </w:r>
      <w:r>
        <w:rPr>
          <w:spacing w:val="5"/>
          <w:w w:val="100"/>
          <w:sz w:val="21"/>
        </w:rPr>
        <w:t>i</w:t>
      </w:r>
      <w:r>
        <w:rPr>
          <w:spacing w:val="-4"/>
          <w:w w:val="100"/>
          <w:sz w:val="21"/>
        </w:rPr>
        <w:t>t</w:t>
      </w:r>
      <w:r>
        <w:rPr>
          <w:w w:val="100"/>
          <w:sz w:val="21"/>
        </w:rPr>
        <w:t>i</w:t>
      </w:r>
      <w:r>
        <w:rPr>
          <w:w w:val="100"/>
          <w:sz w:val="21"/>
        </w:rPr>
        <w:t>on</w:t>
      </w:r>
      <w:r>
        <w:rPr>
          <w:sz w:val="21"/>
        </w:rPr>
        <w:t> </w:t>
      </w:r>
      <w:r>
        <w:rPr>
          <w:spacing w:val="-26"/>
          <w:sz w:val="21"/>
        </w:rPr>
        <w:t> </w:t>
      </w:r>
      <w:r>
        <w:rPr>
          <w:w w:val="100"/>
          <w:sz w:val="21"/>
        </w:rPr>
        <w:t>at</w:t>
      </w:r>
      <w:r>
        <w:rPr>
          <w:sz w:val="21"/>
        </w:rPr>
        <w:t> </w:t>
      </w:r>
      <w:r>
        <w:rPr>
          <w:spacing w:val="-25"/>
          <w:sz w:val="21"/>
        </w:rPr>
        <w:t> </w:t>
      </w:r>
      <w:r>
        <w:rPr>
          <w:spacing w:val="-2"/>
          <w:w w:val="100"/>
          <w:sz w:val="21"/>
        </w:rPr>
        <w:t>t</w:t>
      </w:r>
      <w:r>
        <w:rPr>
          <w:w w:val="100"/>
          <w:sz w:val="21"/>
        </w:rPr>
        <w:t>he </w:t>
      </w:r>
      <w:r>
        <w:rPr>
          <w:sz w:val="21"/>
        </w:rPr>
        <w:t>date of annexation. Since the Sikh mahants had held possession for a very long time under the Sikh state there is a heavy burden on the Plaintiffs to displace the presumption that the mahants' possession was in accordance with the law of the time and</w:t>
      </w:r>
      <w:r>
        <w:rPr>
          <w:spacing w:val="-5"/>
          <w:sz w:val="21"/>
        </w:rPr>
        <w:t> </w:t>
      </w:r>
      <w:r>
        <w:rPr>
          <w:sz w:val="21"/>
        </w:rPr>
        <w:t>place.‖</w:t>
      </w:r>
    </w:p>
    <w:p>
      <w:pPr>
        <w:pStyle w:val="BodyText"/>
        <w:rPr>
          <w:sz w:val="24"/>
        </w:rPr>
      </w:pPr>
    </w:p>
    <w:p>
      <w:pPr>
        <w:pStyle w:val="BodyText"/>
        <w:spacing w:before="2"/>
        <w:rPr>
          <w:sz w:val="26"/>
        </w:rPr>
      </w:pPr>
    </w:p>
    <w:p>
      <w:pPr>
        <w:pStyle w:val="BodyText"/>
        <w:spacing w:line="480" w:lineRule="auto"/>
        <w:ind w:left="500" w:right="449"/>
        <w:jc w:val="both"/>
      </w:pPr>
      <w:r>
        <w:rPr/>
        <w:t>Dealing with the argument that in the case of a mosque, like a graveyard, the waqf property is intended to be used in specie and not to be let or cultivated, the Privy Council held:</w:t>
      </w:r>
    </w:p>
    <w:p>
      <w:pPr>
        <w:spacing w:line="276" w:lineRule="auto" w:before="0"/>
        <w:ind w:left="1940" w:right="2257" w:firstLine="0"/>
        <w:jc w:val="both"/>
        <w:rPr>
          <w:sz w:val="21"/>
        </w:rPr>
      </w:pPr>
      <w:r>
        <w:rPr>
          <w:w w:val="33"/>
          <w:sz w:val="21"/>
        </w:rPr>
        <w:t>―</w:t>
      </w:r>
      <w:r>
        <w:rPr>
          <w:w w:val="100"/>
          <w:sz w:val="21"/>
        </w:rPr>
        <w:t>…But</w:t>
      </w:r>
      <w:r>
        <w:rPr>
          <w:sz w:val="21"/>
        </w:rPr>
        <w:t> </w:t>
      </w:r>
      <w:r>
        <w:rPr>
          <w:w w:val="100"/>
          <w:sz w:val="21"/>
        </w:rPr>
        <w:t>the</w:t>
      </w:r>
      <w:r>
        <w:rPr>
          <w:sz w:val="21"/>
        </w:rPr>
        <w:t> </w:t>
      </w:r>
      <w:r>
        <w:rPr>
          <w:w w:val="100"/>
          <w:sz w:val="21"/>
        </w:rPr>
        <w:t>Limitation</w:t>
      </w:r>
      <w:r>
        <w:rPr>
          <w:sz w:val="21"/>
        </w:rPr>
        <w:t> </w:t>
      </w:r>
      <w:r>
        <w:rPr>
          <w:w w:val="100"/>
          <w:sz w:val="21"/>
        </w:rPr>
        <w:t>Act</w:t>
      </w:r>
      <w:r>
        <w:rPr>
          <w:sz w:val="21"/>
        </w:rPr>
        <w:t> </w:t>
      </w:r>
      <w:r>
        <w:rPr>
          <w:w w:val="100"/>
          <w:sz w:val="21"/>
        </w:rPr>
        <w:t>is</w:t>
      </w:r>
      <w:r>
        <w:rPr>
          <w:sz w:val="21"/>
        </w:rPr>
        <w:t> </w:t>
      </w:r>
      <w:r>
        <w:rPr>
          <w:w w:val="100"/>
          <w:sz w:val="21"/>
        </w:rPr>
        <w:t>not</w:t>
      </w:r>
      <w:r>
        <w:rPr>
          <w:sz w:val="21"/>
        </w:rPr>
        <w:t> </w:t>
      </w:r>
      <w:r>
        <w:rPr>
          <w:w w:val="100"/>
          <w:sz w:val="21"/>
        </w:rPr>
        <w:t>dealing</w:t>
      </w:r>
      <w:r>
        <w:rPr>
          <w:sz w:val="21"/>
        </w:rPr>
        <w:t> </w:t>
      </w:r>
      <w:r>
        <w:rPr>
          <w:w w:val="100"/>
          <w:sz w:val="21"/>
        </w:rPr>
        <w:t>with</w:t>
      </w:r>
      <w:r>
        <w:rPr>
          <w:sz w:val="21"/>
        </w:rPr>
        <w:t> </w:t>
      </w:r>
      <w:r>
        <w:rPr>
          <w:w w:val="100"/>
          <w:sz w:val="21"/>
        </w:rPr>
        <w:t>the</w:t>
      </w:r>
      <w:r>
        <w:rPr>
          <w:sz w:val="21"/>
        </w:rPr>
        <w:t> </w:t>
      </w:r>
      <w:r>
        <w:rPr>
          <w:w w:val="100"/>
          <w:sz w:val="21"/>
        </w:rPr>
        <w:t>competence </w:t>
      </w:r>
      <w:r>
        <w:rPr>
          <w:sz w:val="21"/>
        </w:rPr>
        <w:t>of alienations at Mahomedan law. It provides a rule of procedure whereby British Indian Courts do not enforce rights after a certain time, with the result that certain rights come to</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56" w:firstLine="0"/>
        <w:jc w:val="both"/>
        <w:rPr>
          <w:sz w:val="21"/>
        </w:rPr>
      </w:pPr>
      <w:r>
        <w:rPr>
          <w:sz w:val="21"/>
        </w:rPr>
        <w:t>an end. </w:t>
      </w:r>
      <w:r>
        <w:rPr>
          <w:b/>
          <w:sz w:val="21"/>
        </w:rPr>
        <w:t>It is impossible to read into the modern Limitation Acts any exception for property made </w:t>
      </w:r>
      <w:r>
        <w:rPr>
          <w:b/>
          <w:i/>
          <w:sz w:val="21"/>
        </w:rPr>
        <w:t>waqf </w:t>
      </w:r>
      <w:r>
        <w:rPr>
          <w:b/>
          <w:sz w:val="21"/>
        </w:rPr>
        <w:t>for the purposes of a mosque whether the purpose be merely to provide money for the upkeep and conduct of a mosque or to provide a site and building for the purpose</w:t>
      </w:r>
      <w:r>
        <w:rPr>
          <w:sz w:val="21"/>
        </w:rPr>
        <w:t>. While their Lordships have every sympathy with a religious sentiment which would ascribe sanctity and inviolability to a place of worship, they cannot under the Limitation Act accept the contentions that such a building cannot be possessed adversely to the </w:t>
      </w:r>
      <w:r>
        <w:rPr>
          <w:i/>
          <w:sz w:val="21"/>
        </w:rPr>
        <w:t>waqf</w:t>
      </w:r>
      <w:r>
        <w:rPr>
          <w:sz w:val="21"/>
        </w:rPr>
        <w:t>, or that it is not so possessed so long </w:t>
      </w:r>
      <w:r>
        <w:rPr>
          <w:spacing w:val="-1"/>
          <w:w w:val="100"/>
          <w:sz w:val="21"/>
        </w:rPr>
        <w:t>a</w:t>
      </w:r>
      <w:r>
        <w:rPr>
          <w:w w:val="100"/>
          <w:sz w:val="21"/>
        </w:rPr>
        <w:t>s</w:t>
      </w:r>
      <w:r>
        <w:rPr>
          <w:spacing w:val="1"/>
          <w:sz w:val="21"/>
        </w:rPr>
        <w:t> </w:t>
      </w:r>
      <w:r>
        <w:rPr>
          <w:w w:val="100"/>
          <w:sz w:val="21"/>
        </w:rPr>
        <w:t>it</w:t>
      </w:r>
      <w:r>
        <w:rPr>
          <w:sz w:val="21"/>
        </w:rPr>
        <w:t> </w:t>
      </w:r>
      <w:r>
        <w:rPr>
          <w:w w:val="100"/>
          <w:sz w:val="21"/>
        </w:rPr>
        <w:t>is</w:t>
      </w:r>
      <w:r>
        <w:rPr>
          <w:spacing w:val="1"/>
          <w:sz w:val="21"/>
        </w:rPr>
        <w:t> </w:t>
      </w:r>
      <w:r>
        <w:rPr>
          <w:spacing w:val="-1"/>
          <w:w w:val="100"/>
          <w:sz w:val="21"/>
        </w:rPr>
        <w:t>r</w:t>
      </w:r>
      <w:r>
        <w:rPr>
          <w:spacing w:val="-3"/>
          <w:w w:val="100"/>
          <w:sz w:val="21"/>
        </w:rPr>
        <w:t>e</w:t>
      </w:r>
      <w:r>
        <w:rPr>
          <w:spacing w:val="1"/>
          <w:w w:val="100"/>
          <w:sz w:val="21"/>
        </w:rPr>
        <w:t>f</w:t>
      </w:r>
      <w:r>
        <w:rPr>
          <w:spacing w:val="-1"/>
          <w:w w:val="100"/>
          <w:sz w:val="21"/>
        </w:rPr>
        <w:t>er</w:t>
      </w:r>
      <w:r>
        <w:rPr>
          <w:spacing w:val="-4"/>
          <w:w w:val="100"/>
          <w:sz w:val="21"/>
        </w:rPr>
        <w:t>r</w:t>
      </w:r>
      <w:r>
        <w:rPr>
          <w:spacing w:val="-1"/>
          <w:w w:val="100"/>
          <w:sz w:val="21"/>
        </w:rPr>
        <w:t>e</w:t>
      </w:r>
      <w:r>
        <w:rPr>
          <w:w w:val="100"/>
          <w:sz w:val="21"/>
        </w:rPr>
        <w:t>d</w:t>
      </w:r>
      <w:r>
        <w:rPr>
          <w:spacing w:val="1"/>
          <w:sz w:val="21"/>
        </w:rPr>
        <w:t> </w:t>
      </w:r>
      <w:r>
        <w:rPr>
          <w:spacing w:val="-2"/>
          <w:w w:val="100"/>
          <w:sz w:val="21"/>
        </w:rPr>
        <w:t>t</w:t>
      </w:r>
      <w:r>
        <w:rPr>
          <w:w w:val="100"/>
          <w:sz w:val="21"/>
        </w:rPr>
        <w:t>o</w:t>
      </w:r>
      <w:r>
        <w:rPr>
          <w:spacing w:val="1"/>
          <w:sz w:val="21"/>
        </w:rPr>
        <w:t> </w:t>
      </w:r>
      <w:r>
        <w:rPr>
          <w:spacing w:val="-1"/>
          <w:w w:val="100"/>
          <w:sz w:val="21"/>
        </w:rPr>
        <w:t>a</w:t>
      </w:r>
      <w:r>
        <w:rPr>
          <w:w w:val="100"/>
          <w:sz w:val="21"/>
        </w:rPr>
        <w:t>s</w:t>
      </w:r>
      <w:r>
        <w:rPr>
          <w:spacing w:val="1"/>
          <w:sz w:val="21"/>
        </w:rPr>
        <w:t> </w:t>
      </w:r>
      <w:r>
        <w:rPr>
          <w:spacing w:val="-4"/>
          <w:w w:val="33"/>
          <w:sz w:val="21"/>
        </w:rPr>
        <w:t>―</w:t>
      </w:r>
      <w:r>
        <w:rPr>
          <w:spacing w:val="1"/>
          <w:w w:val="100"/>
          <w:sz w:val="21"/>
        </w:rPr>
        <w:t>m</w:t>
      </w:r>
      <w:r>
        <w:rPr>
          <w:spacing w:val="-3"/>
          <w:w w:val="100"/>
          <w:sz w:val="21"/>
        </w:rPr>
        <w:t>os</w:t>
      </w:r>
      <w:r>
        <w:rPr>
          <w:spacing w:val="-1"/>
          <w:w w:val="97"/>
          <w:sz w:val="21"/>
        </w:rPr>
        <w:t>que,</w:t>
      </w:r>
      <w:r>
        <w:rPr>
          <w:w w:val="97"/>
          <w:sz w:val="21"/>
        </w:rPr>
        <w:t>‖</w:t>
      </w:r>
      <w:r>
        <w:rPr>
          <w:sz w:val="21"/>
        </w:rPr>
        <w:t> </w:t>
      </w:r>
      <w:r>
        <w:rPr>
          <w:spacing w:val="-1"/>
          <w:w w:val="100"/>
          <w:sz w:val="21"/>
        </w:rPr>
        <w:t>o</w:t>
      </w:r>
      <w:r>
        <w:rPr>
          <w:w w:val="100"/>
          <w:sz w:val="21"/>
        </w:rPr>
        <w:t>r</w:t>
      </w:r>
      <w:r>
        <w:rPr>
          <w:sz w:val="21"/>
        </w:rPr>
        <w:t> </w:t>
      </w:r>
      <w:r>
        <w:rPr>
          <w:spacing w:val="-1"/>
          <w:w w:val="100"/>
          <w:sz w:val="21"/>
        </w:rPr>
        <w:t>u</w:t>
      </w:r>
      <w:r>
        <w:rPr>
          <w:spacing w:val="-3"/>
          <w:w w:val="100"/>
          <w:sz w:val="21"/>
        </w:rPr>
        <w:t>n</w:t>
      </w:r>
      <w:r>
        <w:rPr>
          <w:w w:val="100"/>
          <w:sz w:val="21"/>
        </w:rPr>
        <w:t>l</w:t>
      </w:r>
      <w:r>
        <w:rPr>
          <w:spacing w:val="-1"/>
          <w:w w:val="100"/>
          <w:sz w:val="21"/>
        </w:rPr>
        <w:t>e</w:t>
      </w:r>
      <w:r>
        <w:rPr>
          <w:spacing w:val="-3"/>
          <w:w w:val="100"/>
          <w:sz w:val="21"/>
        </w:rPr>
        <w:t>s</w:t>
      </w:r>
      <w:r>
        <w:rPr>
          <w:w w:val="100"/>
          <w:sz w:val="21"/>
        </w:rPr>
        <w:t>s</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b</w:t>
      </w:r>
      <w:r>
        <w:rPr>
          <w:spacing w:val="-3"/>
          <w:w w:val="100"/>
          <w:sz w:val="21"/>
        </w:rPr>
        <w:t>u</w:t>
      </w:r>
      <w:r>
        <w:rPr>
          <w:w w:val="100"/>
          <w:sz w:val="21"/>
        </w:rPr>
        <w:t>i</w:t>
      </w:r>
      <w:r>
        <w:rPr>
          <w:spacing w:val="-2"/>
          <w:w w:val="100"/>
          <w:sz w:val="21"/>
        </w:rPr>
        <w:t>l</w:t>
      </w:r>
      <w:r>
        <w:rPr>
          <w:spacing w:val="-1"/>
          <w:w w:val="100"/>
          <w:sz w:val="21"/>
        </w:rPr>
        <w:t>d</w:t>
      </w:r>
      <w:r>
        <w:rPr>
          <w:spacing w:val="-2"/>
          <w:w w:val="100"/>
          <w:sz w:val="21"/>
        </w:rPr>
        <w:t>i</w:t>
      </w:r>
      <w:r>
        <w:rPr>
          <w:spacing w:val="-3"/>
          <w:w w:val="100"/>
          <w:sz w:val="21"/>
        </w:rPr>
        <w:t>n</w:t>
      </w:r>
      <w:r>
        <w:rPr>
          <w:w w:val="100"/>
          <w:sz w:val="21"/>
        </w:rPr>
        <w:t>g</w:t>
      </w:r>
      <w:r>
        <w:rPr>
          <w:spacing w:val="1"/>
          <w:sz w:val="21"/>
        </w:rPr>
        <w:t> </w:t>
      </w:r>
      <w:r>
        <w:rPr>
          <w:w w:val="100"/>
          <w:sz w:val="21"/>
        </w:rPr>
        <w:t>is</w:t>
      </w:r>
      <w:r>
        <w:rPr>
          <w:spacing w:val="1"/>
          <w:sz w:val="21"/>
        </w:rPr>
        <w:t> </w:t>
      </w:r>
      <w:r>
        <w:rPr>
          <w:spacing w:val="-1"/>
          <w:w w:val="100"/>
          <w:sz w:val="21"/>
        </w:rPr>
        <w:t>ra</w:t>
      </w:r>
      <w:r>
        <w:rPr>
          <w:spacing w:val="-3"/>
          <w:w w:val="100"/>
          <w:sz w:val="21"/>
        </w:rPr>
        <w:t>z</w:t>
      </w:r>
      <w:r>
        <w:rPr>
          <w:spacing w:val="-1"/>
          <w:w w:val="100"/>
          <w:sz w:val="21"/>
        </w:rPr>
        <w:t>ed </w:t>
      </w:r>
      <w:r>
        <w:rPr>
          <w:sz w:val="21"/>
        </w:rPr>
        <w:t>to the ground or loses the appearance which reveals its original</w:t>
      </w:r>
      <w:r>
        <w:rPr>
          <w:spacing w:val="-1"/>
          <w:sz w:val="21"/>
        </w:rPr>
        <w:t> </w:t>
      </w:r>
      <w:r>
        <w:rPr>
          <w:sz w:val="21"/>
        </w:rPr>
        <w:t>purpose.‖</w:t>
      </w:r>
    </w:p>
    <w:p>
      <w:pPr>
        <w:spacing w:before="1"/>
        <w:ind w:left="5464" w:right="0" w:firstLine="0"/>
        <w:jc w:val="left"/>
        <w:rPr>
          <w:sz w:val="21"/>
        </w:rPr>
      </w:pPr>
      <w:r>
        <w:rPr>
          <w:sz w:val="21"/>
        </w:rPr>
        <w:t>(Emphasis supplied)</w:t>
      </w:r>
    </w:p>
    <w:p>
      <w:pPr>
        <w:pStyle w:val="BodyText"/>
        <w:rPr>
          <w:sz w:val="24"/>
        </w:rPr>
      </w:pPr>
    </w:p>
    <w:p>
      <w:pPr>
        <w:pStyle w:val="ListParagraph"/>
        <w:numPr>
          <w:ilvl w:val="0"/>
          <w:numId w:val="231"/>
        </w:numPr>
        <w:tabs>
          <w:tab w:pos="1221" w:val="left" w:leader="none"/>
        </w:tabs>
        <w:spacing w:line="480" w:lineRule="auto" w:before="208" w:after="0"/>
        <w:ind w:left="500" w:right="437" w:firstLine="0"/>
        <w:jc w:val="both"/>
        <w:rPr>
          <w:sz w:val="25"/>
        </w:rPr>
      </w:pPr>
      <w:r>
        <w:rPr>
          <w:sz w:val="25"/>
        </w:rPr>
        <w:t>In a judgment rendered in 2015, one of us (Justice Abdul Nazeer) as a Single Judge of the Karnataka High Court succinctly identified and laid </w:t>
      </w:r>
      <w:r>
        <w:rPr>
          <w:spacing w:val="-3"/>
          <w:sz w:val="25"/>
        </w:rPr>
        <w:t>down</w:t>
      </w:r>
      <w:r>
        <w:rPr>
          <w:spacing w:val="-3"/>
          <w:sz w:val="25"/>
          <w:vertAlign w:val="superscript"/>
        </w:rPr>
        <w:t>373</w:t>
      </w:r>
      <w:r>
        <w:rPr>
          <w:spacing w:val="-3"/>
          <w:sz w:val="25"/>
          <w:vertAlign w:val="baseline"/>
        </w:rPr>
        <w:t> </w:t>
      </w:r>
      <w:r>
        <w:rPr>
          <w:sz w:val="25"/>
          <w:vertAlign w:val="baseline"/>
        </w:rPr>
        <w:t>the pre-requisites of a claim to adverse possession in the following</w:t>
      </w:r>
      <w:r>
        <w:rPr>
          <w:spacing w:val="-13"/>
          <w:sz w:val="25"/>
          <w:vertAlign w:val="baseline"/>
        </w:rPr>
        <w:t> </w:t>
      </w:r>
      <w:r>
        <w:rPr>
          <w:sz w:val="25"/>
          <w:vertAlign w:val="baseline"/>
        </w:rPr>
        <w:t>terms:</w:t>
      </w:r>
    </w:p>
    <w:p>
      <w:pPr>
        <w:spacing w:line="276" w:lineRule="auto" w:before="158"/>
        <w:ind w:left="1940" w:right="2253" w:firstLine="0"/>
        <w:jc w:val="both"/>
        <w:rPr>
          <w:sz w:val="21"/>
        </w:rPr>
      </w:pPr>
      <w:r>
        <w:rPr>
          <w:spacing w:val="-1"/>
          <w:w w:val="33"/>
          <w:sz w:val="21"/>
        </w:rPr>
        <w:t>―</w:t>
      </w:r>
      <w:r>
        <w:rPr>
          <w:spacing w:val="-1"/>
          <w:w w:val="100"/>
          <w:sz w:val="21"/>
        </w:rPr>
        <w:t>27</w:t>
      </w:r>
      <w:r>
        <w:rPr>
          <w:w w:val="100"/>
          <w:sz w:val="21"/>
        </w:rPr>
        <w:t>.</w:t>
      </w:r>
      <w:r>
        <w:rPr>
          <w:spacing w:val="27"/>
          <w:sz w:val="21"/>
        </w:rPr>
        <w:t> </w:t>
      </w:r>
      <w:r>
        <w:rPr>
          <w:b/>
          <w:w w:val="100"/>
          <w:sz w:val="21"/>
        </w:rPr>
        <w:t>Th</w:t>
      </w:r>
      <w:r>
        <w:rPr>
          <w:b/>
          <w:w w:val="100"/>
          <w:sz w:val="21"/>
        </w:rPr>
        <w:t>e</w:t>
      </w:r>
      <w:r>
        <w:rPr>
          <w:b/>
          <w:spacing w:val="25"/>
          <w:sz w:val="21"/>
        </w:rPr>
        <w:t> </w:t>
      </w:r>
      <w:r>
        <w:rPr>
          <w:b/>
          <w:w w:val="100"/>
          <w:sz w:val="21"/>
        </w:rPr>
        <w:t>c</w:t>
      </w:r>
      <w:r>
        <w:rPr>
          <w:b/>
          <w:spacing w:val="-2"/>
          <w:w w:val="100"/>
          <w:sz w:val="21"/>
        </w:rPr>
        <w:t>o</w:t>
      </w:r>
      <w:r>
        <w:rPr>
          <w:b/>
          <w:w w:val="100"/>
          <w:sz w:val="21"/>
        </w:rPr>
        <w:t>nc</w:t>
      </w:r>
      <w:r>
        <w:rPr>
          <w:b/>
          <w:spacing w:val="-3"/>
          <w:w w:val="100"/>
          <w:sz w:val="21"/>
        </w:rPr>
        <w:t>e</w:t>
      </w:r>
      <w:r>
        <w:rPr>
          <w:b/>
          <w:w w:val="100"/>
          <w:sz w:val="21"/>
        </w:rPr>
        <w:t>pt</w:t>
      </w:r>
      <w:r>
        <w:rPr>
          <w:b/>
          <w:spacing w:val="27"/>
          <w:sz w:val="21"/>
        </w:rPr>
        <w:t> </w:t>
      </w:r>
      <w:r>
        <w:rPr>
          <w:b/>
          <w:w w:val="100"/>
          <w:sz w:val="21"/>
        </w:rPr>
        <w:t>of</w:t>
      </w:r>
      <w:r>
        <w:rPr>
          <w:b/>
          <w:spacing w:val="27"/>
          <w:sz w:val="21"/>
        </w:rPr>
        <w:t> </w:t>
      </w:r>
      <w:r>
        <w:rPr>
          <w:b/>
          <w:spacing w:val="-3"/>
          <w:w w:val="100"/>
          <w:sz w:val="21"/>
        </w:rPr>
        <w:t>a</w:t>
      </w:r>
      <w:r>
        <w:rPr>
          <w:b/>
          <w:w w:val="100"/>
          <w:sz w:val="21"/>
        </w:rPr>
        <w:t>d</w:t>
      </w:r>
      <w:r>
        <w:rPr>
          <w:b/>
          <w:spacing w:val="-2"/>
          <w:w w:val="100"/>
          <w:sz w:val="21"/>
        </w:rPr>
        <w:t>v</w:t>
      </w:r>
      <w:r>
        <w:rPr>
          <w:b/>
          <w:w w:val="100"/>
          <w:sz w:val="21"/>
        </w:rPr>
        <w:t>erse</w:t>
      </w:r>
      <w:r>
        <w:rPr>
          <w:b/>
          <w:spacing w:val="27"/>
          <w:sz w:val="21"/>
        </w:rPr>
        <w:t> </w:t>
      </w:r>
      <w:r>
        <w:rPr>
          <w:b/>
          <w:spacing w:val="-2"/>
          <w:w w:val="100"/>
          <w:sz w:val="21"/>
        </w:rPr>
        <w:t>p</w:t>
      </w:r>
      <w:r>
        <w:rPr>
          <w:b/>
          <w:w w:val="100"/>
          <w:sz w:val="21"/>
        </w:rPr>
        <w:t>o</w:t>
      </w:r>
      <w:r>
        <w:rPr>
          <w:b/>
          <w:spacing w:val="-2"/>
          <w:w w:val="100"/>
          <w:sz w:val="21"/>
        </w:rPr>
        <w:t>s</w:t>
      </w:r>
      <w:r>
        <w:rPr>
          <w:b/>
          <w:w w:val="100"/>
          <w:sz w:val="21"/>
        </w:rPr>
        <w:t>se</w:t>
      </w:r>
      <w:r>
        <w:rPr>
          <w:b/>
          <w:spacing w:val="-2"/>
          <w:w w:val="100"/>
          <w:sz w:val="21"/>
        </w:rPr>
        <w:t>s</w:t>
      </w:r>
      <w:r>
        <w:rPr>
          <w:b/>
          <w:w w:val="100"/>
          <w:sz w:val="21"/>
        </w:rPr>
        <w:t>s</w:t>
      </w:r>
      <w:r>
        <w:rPr>
          <w:b/>
          <w:spacing w:val="-1"/>
          <w:w w:val="100"/>
          <w:sz w:val="21"/>
        </w:rPr>
        <w:t>i</w:t>
      </w:r>
      <w:r>
        <w:rPr>
          <w:b/>
          <w:w w:val="100"/>
          <w:sz w:val="21"/>
        </w:rPr>
        <w:t>on</w:t>
      </w:r>
      <w:r>
        <w:rPr>
          <w:b/>
          <w:spacing w:val="28"/>
          <w:sz w:val="21"/>
        </w:rPr>
        <w:t> </w:t>
      </w:r>
      <w:r>
        <w:rPr>
          <w:b/>
          <w:spacing w:val="-3"/>
          <w:w w:val="100"/>
          <w:sz w:val="21"/>
        </w:rPr>
        <w:t>c</w:t>
      </w:r>
      <w:r>
        <w:rPr>
          <w:b/>
          <w:spacing w:val="-2"/>
          <w:w w:val="100"/>
          <w:sz w:val="21"/>
        </w:rPr>
        <w:t>o</w:t>
      </w:r>
      <w:r>
        <w:rPr>
          <w:b/>
          <w:w w:val="100"/>
          <w:sz w:val="21"/>
        </w:rPr>
        <w:t>nt</w:t>
      </w:r>
      <w:r>
        <w:rPr>
          <w:b/>
          <w:spacing w:val="-3"/>
          <w:w w:val="100"/>
          <w:sz w:val="21"/>
        </w:rPr>
        <w:t>e</w:t>
      </w:r>
      <w:r>
        <w:rPr>
          <w:b/>
          <w:w w:val="100"/>
          <w:sz w:val="21"/>
        </w:rPr>
        <w:t>mp</w:t>
      </w:r>
      <w:r>
        <w:rPr>
          <w:b/>
          <w:spacing w:val="-2"/>
          <w:w w:val="100"/>
          <w:sz w:val="21"/>
        </w:rPr>
        <w:t>l</w:t>
      </w:r>
      <w:r>
        <w:rPr>
          <w:b/>
          <w:w w:val="100"/>
          <w:sz w:val="21"/>
        </w:rPr>
        <w:t>ates</w:t>
      </w:r>
      <w:r>
        <w:rPr>
          <w:b/>
          <w:spacing w:val="27"/>
          <w:sz w:val="21"/>
        </w:rPr>
        <w:t> </w:t>
      </w:r>
      <w:r>
        <w:rPr>
          <w:b/>
          <w:w w:val="100"/>
          <w:sz w:val="21"/>
        </w:rPr>
        <w:t>a </w:t>
      </w:r>
      <w:r>
        <w:rPr>
          <w:b/>
          <w:sz w:val="21"/>
        </w:rPr>
        <w:t>hostile possession i.e., a possession which is expressly or impliedly in denial of the title of the true owner. Possession to be adverse must be possession by a person, who does not </w:t>
      </w:r>
      <w:r>
        <w:rPr>
          <w:sz w:val="21"/>
        </w:rPr>
        <w:t>acknowledge </w:t>
      </w:r>
      <w:r>
        <w:rPr>
          <w:b/>
          <w:sz w:val="21"/>
        </w:rPr>
        <w:t>others‘ rights but denies them. Possession implies dominion and control and the consciousness in the mind of the person having dominion over an object that he has it and can exercise  it. </w:t>
      </w:r>
      <w:r>
        <w:rPr>
          <w:sz w:val="21"/>
        </w:rPr>
        <w:t>Mere possession of the land would not ripen into possessory title. Possessor must have animus possidendi and hold the land adverse to the title of the true owner. Occupation only implies bare use of the land without any right to retain it. In order to constitute adverse possession, there must be actual possession of a person claiming as of right by himself or by persons deriving title from him. </w:t>
      </w:r>
      <w:r>
        <w:rPr>
          <w:b/>
          <w:sz w:val="21"/>
        </w:rPr>
        <w:t>To prove title to the land by adverse possession, it is not sufficient to show that some acts of possession have been done. The possession required must be adequate in continuity, in publicity and in extent to show that it is adverse to the owner. In other words, the possession must be actual, visible, exclusive, hostile and continued during the time necessary to create a bar under the statute of</w:t>
      </w:r>
      <w:r>
        <w:rPr>
          <w:b/>
          <w:spacing w:val="-10"/>
          <w:sz w:val="21"/>
        </w:rPr>
        <w:t> </w:t>
      </w:r>
      <w:r>
        <w:rPr>
          <w:b/>
          <w:sz w:val="21"/>
        </w:rPr>
        <w:t>limitation</w:t>
      </w:r>
      <w:r>
        <w:rPr>
          <w:sz w:val="21"/>
        </w:rPr>
        <w:t>.</w:t>
      </w:r>
    </w:p>
    <w:p>
      <w:pPr>
        <w:spacing w:line="276" w:lineRule="auto" w:before="2"/>
        <w:ind w:left="1940" w:right="2253" w:firstLine="0"/>
        <w:jc w:val="both"/>
        <w:rPr>
          <w:sz w:val="21"/>
        </w:rPr>
      </w:pPr>
      <w:r>
        <w:rPr>
          <w:sz w:val="21"/>
        </w:rPr>
        <w:t>30. In a suit falling under Article 65 of the Limitation Act, plaintiff must establish his title to the property. He need not prove that he was in possession within 12 years. If he fails to prove his title, the suits fails, and the question of adverse</w:t>
      </w:r>
    </w:p>
    <w:p>
      <w:pPr>
        <w:pStyle w:val="BodyText"/>
        <w:spacing w:before="7"/>
        <w:rPr>
          <w:sz w:val="13"/>
        </w:rPr>
      </w:pPr>
      <w:r>
        <w:rPr/>
        <w:pict>
          <v:rect style="position:absolute;margin-left:72.024002pt;margin-top:9.795178pt;width:144.020pt;height:.599980pt;mso-position-horizontal-relative:page;mso-position-vertical-relative:paragraph;z-index:-1561600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373</w:t>
      </w:r>
      <w:r>
        <w:rPr>
          <w:sz w:val="18"/>
          <w:vertAlign w:val="baseline"/>
        </w:rPr>
        <w:t> Smt. Pilla Akkayyamma v Channappa ILR 2015 Kar 3841</w:t>
      </w:r>
    </w:p>
    <w:p>
      <w:pPr>
        <w:spacing w:after="0"/>
        <w:jc w:val="left"/>
        <w:rPr>
          <w:sz w:val="18"/>
        </w:rPr>
        <w:sectPr>
          <w:pgSz w:w="11910" w:h="16840"/>
          <w:pgMar w:header="721" w:footer="1014" w:top="1300" w:bottom="1200" w:left="940" w:right="1000"/>
        </w:sectPr>
      </w:pPr>
    </w:p>
    <w:p>
      <w:pPr>
        <w:spacing w:line="276" w:lineRule="auto" w:before="122"/>
        <w:ind w:left="1940" w:right="2253" w:firstLine="0"/>
        <w:jc w:val="both"/>
        <w:rPr>
          <w:sz w:val="21"/>
        </w:rPr>
      </w:pPr>
      <w:r>
        <w:rPr>
          <w:sz w:val="21"/>
        </w:rPr>
        <w:t>possession does not arise in such a case. When the plaintiff has established his title to a land, the burden of proving that he has lost that title by reason of the adverse possession of the defendant lies upon the defendant. If the defendant fails  to prove that he has been in adverse possession for more than 12 years, the plaintiff is entitled to succeed simply </w:t>
      </w:r>
      <w:r>
        <w:rPr>
          <w:spacing w:val="2"/>
          <w:sz w:val="21"/>
        </w:rPr>
        <w:t>on </w:t>
      </w:r>
      <w:r>
        <w:rPr>
          <w:sz w:val="21"/>
        </w:rPr>
        <w:t>the strength of his title. A person alleging that he has become owner of immovable property by adverse possession must establish that he was in possession of the property peaceably, openly and in assertion of a title hostile to the real owner. Stricter proof is required to establish acquisition of title by adverse possession for the statutory</w:t>
      </w:r>
      <w:r>
        <w:rPr>
          <w:spacing w:val="-21"/>
          <w:sz w:val="21"/>
        </w:rPr>
        <w:t> </w:t>
      </w:r>
      <w:r>
        <w:rPr>
          <w:sz w:val="21"/>
        </w:rPr>
        <w:t>period‖</w:t>
      </w:r>
    </w:p>
    <w:p>
      <w:pPr>
        <w:spacing w:before="2"/>
        <w:ind w:left="5805" w:right="0" w:firstLine="0"/>
        <w:jc w:val="both"/>
        <w:rPr>
          <w:sz w:val="21"/>
        </w:rPr>
      </w:pPr>
      <w:r>
        <w:rPr>
          <w:sz w:val="21"/>
        </w:rPr>
        <w:t>(Emphasis supplied)</w:t>
      </w:r>
    </w:p>
    <w:p>
      <w:pPr>
        <w:pStyle w:val="BodyText"/>
        <w:rPr>
          <w:sz w:val="24"/>
        </w:rPr>
      </w:pPr>
    </w:p>
    <w:p>
      <w:pPr>
        <w:pStyle w:val="BodyText"/>
        <w:rPr>
          <w:sz w:val="24"/>
        </w:rPr>
      </w:pPr>
    </w:p>
    <w:p>
      <w:pPr>
        <w:pStyle w:val="BodyText"/>
        <w:spacing w:line="480" w:lineRule="auto" w:before="170"/>
        <w:ind w:left="500" w:right="436"/>
        <w:jc w:val="both"/>
      </w:pPr>
      <w:r>
        <w:rPr/>
        <w:t>In </w:t>
      </w:r>
      <w:r>
        <w:rPr>
          <w:b/>
        </w:rPr>
        <w:t>Ravinder Kaur Grewal </w:t>
      </w:r>
      <w:r>
        <w:rPr/>
        <w:t>v </w:t>
      </w:r>
      <w:r>
        <w:rPr>
          <w:b/>
        </w:rPr>
        <w:t>Manjit Kaur</w:t>
      </w:r>
      <w:r>
        <w:rPr>
          <w:vertAlign w:val="superscript"/>
        </w:rPr>
        <w:t>374</w:t>
      </w:r>
      <w:r>
        <w:rPr>
          <w:vertAlign w:val="baseline"/>
        </w:rPr>
        <w:t>, a three judge Bench of this Court of which one of us, Justice Abdul Nazeer, was a part, further developed the law on adverse possession to hold that any person who has perfected their title by way of adverse possession, can file a suit for restoration of possession in case of dispossession. In this view, adverse possession is both a sword and a</w:t>
      </w:r>
      <w:r>
        <w:rPr>
          <w:spacing w:val="-17"/>
          <w:vertAlign w:val="baseline"/>
        </w:rPr>
        <w:t> </w:t>
      </w:r>
      <w:r>
        <w:rPr>
          <w:vertAlign w:val="baseline"/>
        </w:rPr>
        <w:t>shield.</w:t>
      </w:r>
    </w:p>
    <w:p>
      <w:pPr>
        <w:pStyle w:val="BodyText"/>
        <w:rPr>
          <w:sz w:val="28"/>
        </w:rPr>
      </w:pPr>
    </w:p>
    <w:p>
      <w:pPr>
        <w:pStyle w:val="BodyText"/>
        <w:spacing w:before="1"/>
      </w:pPr>
    </w:p>
    <w:p>
      <w:pPr>
        <w:pStyle w:val="ListParagraph"/>
        <w:numPr>
          <w:ilvl w:val="0"/>
          <w:numId w:val="231"/>
        </w:numPr>
        <w:tabs>
          <w:tab w:pos="1221" w:val="left" w:leader="none"/>
        </w:tabs>
        <w:spacing w:line="480" w:lineRule="auto" w:before="0" w:after="0"/>
        <w:ind w:left="500" w:right="435" w:firstLine="0"/>
        <w:jc w:val="both"/>
        <w:rPr>
          <w:sz w:val="25"/>
        </w:rPr>
      </w:pPr>
      <w:r>
        <w:rPr/>
        <w:pict>
          <v:rect style="position:absolute;margin-left:72.024002pt;margin-top:292.694885pt;width:144.020pt;height:.599980pt;mso-position-horizontal-relative:page;mso-position-vertical-relative:paragraph;z-index:-15615488;mso-wrap-distance-left:0;mso-wrap-distance-right:0" filled="true" fillcolor="#000000" stroked="false">
            <v:fill type="solid"/>
            <w10:wrap type="topAndBottom"/>
          </v:rect>
        </w:pict>
      </w:r>
      <w:r>
        <w:rPr>
          <w:sz w:val="25"/>
        </w:rPr>
        <w:t>The plaintiffs have failed to adopt a clear stand evidently because they are conscious of the fact that in pleading adverse possession, they must necessarily carry the burden of acknowledging the title of the person or the entity against whom the plea of adverse possession has not been adequately set up in the pleadings and as noted above, has not been put-forth with any certitude in the course of the submissions. Above all, it is impossible for the plaintiffs to set up a case of being in peaceful, open and continuous possession of the entire property. Dr Dhavan repeatedly asserted that the Muslims were obstructed in their offering worship at the mosque as a result of the illegalities of the Hindus. For this purposes,</w:t>
      </w:r>
      <w:r>
        <w:rPr>
          <w:spacing w:val="39"/>
          <w:sz w:val="25"/>
        </w:rPr>
        <w:t> </w:t>
      </w:r>
      <w:r>
        <w:rPr>
          <w:sz w:val="25"/>
        </w:rPr>
        <w:t>Dr</w:t>
      </w:r>
      <w:r>
        <w:rPr>
          <w:spacing w:val="39"/>
          <w:sz w:val="25"/>
        </w:rPr>
        <w:t> </w:t>
      </w:r>
      <w:r>
        <w:rPr>
          <w:sz w:val="25"/>
        </w:rPr>
        <w:t>Dhavan</w:t>
      </w:r>
      <w:r>
        <w:rPr>
          <w:spacing w:val="40"/>
          <w:sz w:val="25"/>
        </w:rPr>
        <w:t> </w:t>
      </w:r>
      <w:r>
        <w:rPr>
          <w:sz w:val="25"/>
        </w:rPr>
        <w:t>refers</w:t>
      </w:r>
      <w:r>
        <w:rPr>
          <w:spacing w:val="36"/>
          <w:sz w:val="25"/>
        </w:rPr>
        <w:t> </w:t>
      </w:r>
      <w:r>
        <w:rPr>
          <w:sz w:val="25"/>
        </w:rPr>
        <w:t>to</w:t>
      </w:r>
      <w:r>
        <w:rPr>
          <w:spacing w:val="40"/>
          <w:sz w:val="25"/>
        </w:rPr>
        <w:t> </w:t>
      </w:r>
      <w:r>
        <w:rPr>
          <w:sz w:val="25"/>
        </w:rPr>
        <w:t>the</w:t>
      </w:r>
      <w:r>
        <w:rPr>
          <w:spacing w:val="37"/>
          <w:sz w:val="25"/>
        </w:rPr>
        <w:t> </w:t>
      </w:r>
      <w:r>
        <w:rPr>
          <w:sz w:val="25"/>
        </w:rPr>
        <w:t>incidents</w:t>
      </w:r>
      <w:r>
        <w:rPr>
          <w:spacing w:val="39"/>
          <w:sz w:val="25"/>
        </w:rPr>
        <w:t> </w:t>
      </w:r>
      <w:r>
        <w:rPr>
          <w:sz w:val="25"/>
        </w:rPr>
        <w:t>which</w:t>
      </w:r>
      <w:r>
        <w:rPr>
          <w:spacing w:val="40"/>
          <w:sz w:val="25"/>
        </w:rPr>
        <w:t> </w:t>
      </w:r>
      <w:r>
        <w:rPr>
          <w:sz w:val="25"/>
        </w:rPr>
        <w:t>took</w:t>
      </w:r>
      <w:r>
        <w:rPr>
          <w:spacing w:val="39"/>
          <w:sz w:val="25"/>
        </w:rPr>
        <w:t> </w:t>
      </w:r>
      <w:r>
        <w:rPr>
          <w:sz w:val="25"/>
        </w:rPr>
        <w:t>place</w:t>
      </w:r>
      <w:r>
        <w:rPr>
          <w:spacing w:val="40"/>
          <w:sz w:val="25"/>
        </w:rPr>
        <w:t> </w:t>
      </w:r>
      <w:r>
        <w:rPr>
          <w:sz w:val="25"/>
        </w:rPr>
        <w:t>in</w:t>
      </w:r>
      <w:r>
        <w:rPr>
          <w:spacing w:val="39"/>
          <w:sz w:val="25"/>
        </w:rPr>
        <w:t> </w:t>
      </w:r>
      <w:r>
        <w:rPr>
          <w:sz w:val="25"/>
        </w:rPr>
        <w:t>1856-7,</w:t>
      </w:r>
      <w:r>
        <w:rPr>
          <w:spacing w:val="38"/>
          <w:sz w:val="25"/>
        </w:rPr>
        <w:t> </w:t>
      </w:r>
      <w:r>
        <w:rPr>
          <w:sz w:val="25"/>
        </w:rPr>
        <w:t>1934</w:t>
      </w:r>
    </w:p>
    <w:p>
      <w:pPr>
        <w:spacing w:before="80"/>
        <w:ind w:left="500" w:right="0" w:firstLine="0"/>
        <w:jc w:val="left"/>
        <w:rPr>
          <w:sz w:val="18"/>
        </w:rPr>
      </w:pPr>
      <w:r>
        <w:rPr>
          <w:sz w:val="18"/>
          <w:vertAlign w:val="superscript"/>
        </w:rPr>
        <w:t>374</w:t>
      </w:r>
      <w:r>
        <w:rPr>
          <w:sz w:val="18"/>
          <w:vertAlign w:val="baseline"/>
        </w:rPr>
        <w:t> (2019) 8 SCC 729</w:t>
      </w:r>
    </w:p>
    <w:p>
      <w:pPr>
        <w:spacing w:after="0"/>
        <w:jc w:val="left"/>
        <w:rPr>
          <w:sz w:val="18"/>
        </w:rPr>
        <w:sectPr>
          <w:headerReference w:type="default" r:id="rId190"/>
          <w:footerReference w:type="default" r:id="rId191"/>
          <w:pgSz w:w="11910" w:h="16840"/>
          <w:pgMar w:header="721" w:footer="1014" w:top="1300" w:bottom="1200" w:left="940" w:right="1000"/>
          <w:pgNumType w:start="865"/>
        </w:sectPr>
      </w:pPr>
    </w:p>
    <w:p>
      <w:pPr>
        <w:pStyle w:val="BodyText"/>
        <w:spacing w:before="124"/>
        <w:ind w:left="500"/>
        <w:jc w:val="both"/>
      </w:pPr>
      <w:r>
        <w:rPr/>
        <w:t>and 1949 – the last of them leading up to the preliminary order under Section</w:t>
      </w:r>
    </w:p>
    <w:p>
      <w:pPr>
        <w:pStyle w:val="BodyText"/>
      </w:pPr>
    </w:p>
    <w:p>
      <w:pPr>
        <w:pStyle w:val="BodyText"/>
        <w:spacing w:line="480" w:lineRule="auto" w:before="1"/>
        <w:ind w:left="500" w:right="435"/>
        <w:jc w:val="both"/>
      </w:pPr>
      <w:r>
        <w:rPr/>
        <w:t>145. The events which are associated with each of the above incidents constitute indicators in the ultimate finding that in spite of the existence of the structure of the mosque, possession as asserted by the Muslims cannot be regarded as meeting the threshold required for discharging the burden of a </w:t>
      </w:r>
      <w:r>
        <w:rPr>
          <w:spacing w:val="2"/>
        </w:rPr>
        <w:t>case </w:t>
      </w:r>
      <w:r>
        <w:rPr/>
        <w:t>of adverse possession. The evidence in the records indicate that Hindus, post the setting up of the railing have, in any event, been in possession of the outer courtyard. On this basis alone, the plea of adverse possession set up by the plaintiffs in respect of the entirety of the area represented by the letters A B C D must</w:t>
      </w:r>
      <w:r>
        <w:rPr>
          <w:spacing w:val="-20"/>
        </w:rPr>
        <w:t> </w:t>
      </w:r>
      <w:r>
        <w:rPr/>
        <w:t>fail.</w:t>
      </w:r>
    </w:p>
    <w:p>
      <w:pPr>
        <w:pStyle w:val="BodyText"/>
        <w:rPr>
          <w:sz w:val="28"/>
        </w:rPr>
      </w:pPr>
    </w:p>
    <w:p>
      <w:pPr>
        <w:pStyle w:val="BodyText"/>
        <w:spacing w:before="9"/>
        <w:rPr>
          <w:sz w:val="35"/>
        </w:rPr>
      </w:pPr>
    </w:p>
    <w:p>
      <w:pPr>
        <w:pStyle w:val="BodyText"/>
        <w:spacing w:line="480" w:lineRule="auto"/>
        <w:ind w:left="500" w:right="473"/>
        <w:jc w:val="both"/>
      </w:pPr>
      <w:r>
        <w:rPr/>
        <w:t>For the reasons indicated above, the plaintiffs in Suit 4 have failed to meet the requirements of adverse possession.</w:t>
      </w:r>
    </w:p>
    <w:p>
      <w:pPr>
        <w:pStyle w:val="BodyText"/>
        <w:spacing w:before="6"/>
        <w:rPr>
          <w:sz w:val="35"/>
        </w:rPr>
      </w:pPr>
    </w:p>
    <w:p>
      <w:pPr>
        <w:pStyle w:val="Heading3"/>
        <w:numPr>
          <w:ilvl w:val="1"/>
          <w:numId w:val="191"/>
        </w:numPr>
        <w:tabs>
          <w:tab w:pos="1221" w:val="left" w:leader="none"/>
        </w:tabs>
        <w:spacing w:line="240" w:lineRule="auto" w:before="0" w:after="0"/>
        <w:ind w:left="1220" w:right="0" w:hanging="721"/>
        <w:jc w:val="both"/>
      </w:pPr>
      <w:r>
        <w:rPr/>
        <w:t>Doctrine of the lost</w:t>
      </w:r>
      <w:r>
        <w:rPr>
          <w:spacing w:val="3"/>
        </w:rPr>
        <w:t> </w:t>
      </w:r>
      <w:r>
        <w:rPr/>
        <w:t>grant</w:t>
      </w:r>
    </w:p>
    <w:p>
      <w:pPr>
        <w:pStyle w:val="BodyText"/>
        <w:rPr>
          <w:b/>
          <w:sz w:val="28"/>
        </w:rPr>
      </w:pPr>
    </w:p>
    <w:p>
      <w:pPr>
        <w:pStyle w:val="ListParagraph"/>
        <w:numPr>
          <w:ilvl w:val="0"/>
          <w:numId w:val="235"/>
        </w:numPr>
        <w:tabs>
          <w:tab w:pos="1221" w:val="left" w:leader="none"/>
        </w:tabs>
        <w:spacing w:line="480" w:lineRule="auto" w:before="216" w:after="0"/>
        <w:ind w:left="500" w:right="438" w:firstLine="0"/>
        <w:jc w:val="both"/>
        <w:rPr>
          <w:sz w:val="25"/>
        </w:rPr>
      </w:pPr>
      <w:r>
        <w:rPr>
          <w:sz w:val="25"/>
        </w:rPr>
        <w:t>During the course of arguments, Dr Rajeev Dhavan, learned Senior Counsel appearing on behalf of the Sunni Central Waqf Board, urged that by virtue of the doctrine of lost grant, the plaintiffs in Suit 4 sought a declaration on the basis of a dedication of the mosque, upon its construction by Babur in 1528 for the worship of the Muslim</w:t>
      </w:r>
      <w:r>
        <w:rPr>
          <w:spacing w:val="-3"/>
          <w:sz w:val="25"/>
        </w:rPr>
        <w:t> </w:t>
      </w:r>
      <w:r>
        <w:rPr>
          <w:sz w:val="25"/>
        </w:rPr>
        <w:t>community.</w:t>
      </w:r>
    </w:p>
    <w:p>
      <w:pPr>
        <w:spacing w:before="162"/>
        <w:ind w:left="500" w:right="0" w:firstLine="0"/>
        <w:jc w:val="both"/>
        <w:rPr>
          <w:i/>
          <w:sz w:val="25"/>
        </w:rPr>
      </w:pPr>
      <w:r>
        <w:rPr>
          <w:i/>
          <w:sz w:val="25"/>
        </w:rPr>
        <w:t>Decisions on the doctrine</w:t>
      </w:r>
    </w:p>
    <w:p>
      <w:pPr>
        <w:pStyle w:val="BodyText"/>
        <w:spacing w:before="10"/>
        <w:rPr>
          <w:i/>
          <w:sz w:val="38"/>
        </w:rPr>
      </w:pPr>
    </w:p>
    <w:p>
      <w:pPr>
        <w:pStyle w:val="ListParagraph"/>
        <w:numPr>
          <w:ilvl w:val="0"/>
          <w:numId w:val="235"/>
        </w:numPr>
        <w:tabs>
          <w:tab w:pos="1221" w:val="left" w:leader="none"/>
        </w:tabs>
        <w:spacing w:line="480" w:lineRule="auto" w:before="0" w:after="0"/>
        <w:ind w:left="500" w:right="440" w:firstLine="0"/>
        <w:jc w:val="both"/>
        <w:rPr>
          <w:sz w:val="25"/>
        </w:rPr>
      </w:pPr>
      <w:r>
        <w:rPr>
          <w:sz w:val="25"/>
        </w:rPr>
        <w:t>Under the doctrine of lost grant, a long-continued use or possession can raise a legal presumption that the right exercised was previously conveyed to</w:t>
      </w:r>
      <w:r>
        <w:rPr>
          <w:spacing w:val="65"/>
          <w:sz w:val="25"/>
        </w:rPr>
        <w:t> </w:t>
      </w:r>
      <w:r>
        <w:rPr>
          <w:sz w:val="25"/>
        </w:rPr>
        <w:t>the</w:t>
      </w:r>
    </w:p>
    <w:p>
      <w:pPr>
        <w:spacing w:after="0" w:line="480" w:lineRule="auto"/>
        <w:jc w:val="both"/>
        <w:rPr>
          <w:sz w:val="25"/>
        </w:rPr>
        <w:sectPr>
          <w:pgSz w:w="11910" w:h="16840"/>
          <w:pgMar w:header="721" w:footer="1014" w:top="1300" w:bottom="1200" w:left="940" w:right="1000"/>
        </w:sectPr>
      </w:pPr>
    </w:p>
    <w:p>
      <w:pPr>
        <w:spacing w:line="480" w:lineRule="auto" w:before="124"/>
        <w:ind w:left="500" w:right="437" w:firstLine="0"/>
        <w:jc w:val="both"/>
        <w:rPr>
          <w:sz w:val="25"/>
        </w:rPr>
      </w:pPr>
      <w:r>
        <w:rPr>
          <w:sz w:val="25"/>
        </w:rPr>
        <w:t>user or possessor and that the instrument of conveyance has been lost.</w:t>
      </w:r>
      <w:r>
        <w:rPr>
          <w:sz w:val="25"/>
          <w:vertAlign w:val="superscript"/>
        </w:rPr>
        <w:t>375</w:t>
      </w:r>
      <w:r>
        <w:rPr>
          <w:sz w:val="25"/>
          <w:vertAlign w:val="baseline"/>
        </w:rPr>
        <w:t> According to </w:t>
      </w:r>
      <w:r>
        <w:rPr>
          <w:b/>
          <w:sz w:val="25"/>
          <w:vertAlign w:val="baseline"/>
        </w:rPr>
        <w:t>Halsbury Laws of England </w:t>
      </w:r>
      <w:r>
        <w:rPr>
          <w:sz w:val="25"/>
          <w:vertAlign w:val="baseline"/>
        </w:rPr>
        <w:t>–</w:t>
      </w:r>
    </w:p>
    <w:p>
      <w:pPr>
        <w:spacing w:line="276" w:lineRule="auto" w:before="159"/>
        <w:ind w:left="1940" w:right="2256" w:firstLine="0"/>
        <w:jc w:val="both"/>
        <w:rPr>
          <w:sz w:val="21"/>
        </w:rPr>
      </w:pPr>
      <w:r>
        <w:rPr>
          <w:spacing w:val="-1"/>
          <w:w w:val="33"/>
          <w:sz w:val="21"/>
        </w:rPr>
        <w:t>―</w:t>
      </w:r>
      <w:r>
        <w:rPr>
          <w:w w:val="100"/>
          <w:sz w:val="21"/>
        </w:rPr>
        <w:t>The</w:t>
      </w:r>
      <w:r>
        <w:rPr>
          <w:sz w:val="21"/>
        </w:rPr>
        <w:t> </w:t>
      </w:r>
      <w:r>
        <w:rPr>
          <w:spacing w:val="-19"/>
          <w:sz w:val="21"/>
        </w:rPr>
        <w:t> </w:t>
      </w:r>
      <w:r>
        <w:rPr>
          <w:w w:val="100"/>
          <w:sz w:val="21"/>
        </w:rPr>
        <w:t>c</w:t>
      </w:r>
      <w:r>
        <w:rPr>
          <w:spacing w:val="-3"/>
          <w:w w:val="100"/>
          <w:sz w:val="21"/>
        </w:rPr>
        <w:t>o</w:t>
      </w:r>
      <w:r>
        <w:rPr>
          <w:spacing w:val="-1"/>
          <w:w w:val="100"/>
          <w:sz w:val="21"/>
        </w:rPr>
        <w:t>ur</w:t>
      </w:r>
      <w:r>
        <w:rPr>
          <w:spacing w:val="-2"/>
          <w:w w:val="100"/>
          <w:sz w:val="21"/>
        </w:rPr>
        <w:t>t</w:t>
      </w:r>
      <w:r>
        <w:rPr>
          <w:w w:val="100"/>
          <w:sz w:val="21"/>
        </w:rPr>
        <w:t>s</w:t>
      </w:r>
      <w:r>
        <w:rPr>
          <w:sz w:val="21"/>
        </w:rPr>
        <w:t> </w:t>
      </w:r>
      <w:r>
        <w:rPr>
          <w:spacing w:val="-19"/>
          <w:sz w:val="21"/>
        </w:rPr>
        <w:t> </w:t>
      </w:r>
      <w:r>
        <w:rPr>
          <w:spacing w:val="1"/>
          <w:w w:val="100"/>
          <w:sz w:val="21"/>
        </w:rPr>
        <w:t>f</w:t>
      </w:r>
      <w:r>
        <w:rPr>
          <w:spacing w:val="2"/>
          <w:w w:val="100"/>
          <w:sz w:val="21"/>
        </w:rPr>
        <w:t>i</w:t>
      </w:r>
      <w:r>
        <w:rPr>
          <w:spacing w:val="-1"/>
          <w:w w:val="100"/>
          <w:sz w:val="21"/>
        </w:rPr>
        <w:t>r</w:t>
      </w:r>
      <w:r>
        <w:rPr>
          <w:w w:val="100"/>
          <w:sz w:val="21"/>
        </w:rPr>
        <w:t>st</w:t>
      </w:r>
      <w:r>
        <w:rPr>
          <w:sz w:val="21"/>
        </w:rPr>
        <w:t> </w:t>
      </w:r>
      <w:r>
        <w:rPr>
          <w:spacing w:val="-20"/>
          <w:sz w:val="21"/>
        </w:rPr>
        <w:t> </w:t>
      </w:r>
      <w:r>
        <w:rPr>
          <w:spacing w:val="-2"/>
          <w:w w:val="100"/>
          <w:sz w:val="21"/>
        </w:rPr>
        <w:t>l</w:t>
      </w:r>
      <w:r>
        <w:rPr>
          <w:w w:val="100"/>
          <w:sz w:val="21"/>
        </w:rPr>
        <w:t>a</w:t>
      </w:r>
      <w:r>
        <w:rPr>
          <w:spacing w:val="-2"/>
          <w:w w:val="100"/>
          <w:sz w:val="21"/>
        </w:rPr>
        <w:t>i</w:t>
      </w:r>
      <w:r>
        <w:rPr>
          <w:w w:val="100"/>
          <w:sz w:val="21"/>
        </w:rPr>
        <w:t>d</w:t>
      </w:r>
      <w:r>
        <w:rPr>
          <w:sz w:val="21"/>
        </w:rPr>
        <w:t> </w:t>
      </w:r>
      <w:r>
        <w:rPr>
          <w:spacing w:val="-19"/>
          <w:sz w:val="21"/>
        </w:rPr>
        <w:t> </w:t>
      </w:r>
      <w:r>
        <w:rPr>
          <w:w w:val="100"/>
          <w:sz w:val="21"/>
        </w:rPr>
        <w:t>do</w:t>
      </w:r>
      <w:r>
        <w:rPr>
          <w:spacing w:val="-4"/>
          <w:w w:val="100"/>
          <w:sz w:val="21"/>
        </w:rPr>
        <w:t>w</w:t>
      </w:r>
      <w:r>
        <w:rPr>
          <w:w w:val="100"/>
          <w:sz w:val="21"/>
        </w:rPr>
        <w:t>n</w:t>
      </w:r>
      <w:r>
        <w:rPr>
          <w:sz w:val="21"/>
        </w:rPr>
        <w:t> </w:t>
      </w:r>
      <w:r>
        <w:rPr>
          <w:spacing w:val="-19"/>
          <w:sz w:val="21"/>
        </w:rPr>
        <w:t> </w:t>
      </w:r>
      <w:r>
        <w:rPr>
          <w:spacing w:val="-2"/>
          <w:w w:val="100"/>
          <w:sz w:val="21"/>
        </w:rPr>
        <w:t>t</w:t>
      </w:r>
      <w:r>
        <w:rPr>
          <w:w w:val="100"/>
          <w:sz w:val="21"/>
        </w:rPr>
        <w:t>he</w:t>
      </w:r>
      <w:r>
        <w:rPr>
          <w:sz w:val="21"/>
        </w:rPr>
        <w:t> </w:t>
      </w:r>
      <w:r>
        <w:rPr>
          <w:spacing w:val="-19"/>
          <w:sz w:val="21"/>
        </w:rPr>
        <w:t> </w:t>
      </w:r>
      <w:r>
        <w:rPr>
          <w:spacing w:val="-1"/>
          <w:w w:val="100"/>
          <w:sz w:val="21"/>
        </w:rPr>
        <w:t>r</w:t>
      </w:r>
      <w:r>
        <w:rPr>
          <w:w w:val="100"/>
          <w:sz w:val="21"/>
        </w:rPr>
        <w:t>u</w:t>
      </w:r>
      <w:r>
        <w:rPr>
          <w:spacing w:val="1"/>
          <w:w w:val="100"/>
          <w:sz w:val="21"/>
        </w:rPr>
        <w:t>l</w:t>
      </w:r>
      <w:r>
        <w:rPr>
          <w:w w:val="100"/>
          <w:sz w:val="21"/>
        </w:rPr>
        <w:t>e</w:t>
      </w:r>
      <w:r>
        <w:rPr>
          <w:sz w:val="21"/>
        </w:rPr>
        <w:t> </w:t>
      </w:r>
      <w:r>
        <w:rPr>
          <w:spacing w:val="-19"/>
          <w:sz w:val="21"/>
        </w:rPr>
        <w:t> </w:t>
      </w:r>
      <w:r>
        <w:rPr>
          <w:spacing w:val="-2"/>
          <w:w w:val="100"/>
          <w:sz w:val="21"/>
        </w:rPr>
        <w:t>t</w:t>
      </w:r>
      <w:r>
        <w:rPr>
          <w:w w:val="100"/>
          <w:sz w:val="21"/>
        </w:rPr>
        <w:t>hat</w:t>
      </w:r>
      <w:r>
        <w:rPr>
          <w:sz w:val="21"/>
        </w:rPr>
        <w:t> </w:t>
      </w:r>
      <w:r>
        <w:rPr>
          <w:spacing w:val="-20"/>
          <w:sz w:val="21"/>
        </w:rPr>
        <w:t> </w:t>
      </w:r>
      <w:r>
        <w:rPr>
          <w:spacing w:val="1"/>
          <w:w w:val="100"/>
          <w:sz w:val="21"/>
        </w:rPr>
        <w:t>f</w:t>
      </w:r>
      <w:r>
        <w:rPr>
          <w:spacing w:val="-1"/>
          <w:w w:val="100"/>
          <w:sz w:val="21"/>
        </w:rPr>
        <w:t>r</w:t>
      </w:r>
      <w:r>
        <w:rPr>
          <w:spacing w:val="-3"/>
          <w:w w:val="100"/>
          <w:sz w:val="21"/>
        </w:rPr>
        <w:t>o</w:t>
      </w:r>
      <w:r>
        <w:rPr>
          <w:w w:val="100"/>
          <w:sz w:val="21"/>
        </w:rPr>
        <w:t>m</w:t>
      </w:r>
      <w:r>
        <w:rPr>
          <w:sz w:val="21"/>
        </w:rPr>
        <w:t> </w:t>
      </w:r>
      <w:r>
        <w:rPr>
          <w:spacing w:val="-17"/>
          <w:sz w:val="21"/>
        </w:rPr>
        <w:t> </w:t>
      </w:r>
      <w:r>
        <w:rPr>
          <w:spacing w:val="-2"/>
          <w:w w:val="100"/>
          <w:sz w:val="21"/>
        </w:rPr>
        <w:t>t</w:t>
      </w:r>
      <w:r>
        <w:rPr>
          <w:w w:val="100"/>
          <w:sz w:val="21"/>
        </w:rPr>
        <w:t>he</w:t>
      </w:r>
      <w:r>
        <w:rPr>
          <w:sz w:val="21"/>
        </w:rPr>
        <w:t> </w:t>
      </w:r>
      <w:r>
        <w:rPr>
          <w:spacing w:val="-21"/>
          <w:sz w:val="21"/>
        </w:rPr>
        <w:t> </w:t>
      </w:r>
      <w:r>
        <w:rPr>
          <w:w w:val="100"/>
          <w:sz w:val="21"/>
        </w:rPr>
        <w:t>user</w:t>
      </w:r>
      <w:r>
        <w:rPr>
          <w:sz w:val="21"/>
        </w:rPr>
        <w:t> </w:t>
      </w:r>
      <w:r>
        <w:rPr>
          <w:spacing w:val="-19"/>
          <w:sz w:val="21"/>
        </w:rPr>
        <w:t> </w:t>
      </w:r>
      <w:r>
        <w:rPr>
          <w:w w:val="100"/>
          <w:sz w:val="21"/>
        </w:rPr>
        <w:t>of</w:t>
      </w:r>
      <w:r>
        <w:rPr>
          <w:sz w:val="21"/>
        </w:rPr>
        <w:t> </w:t>
      </w:r>
      <w:r>
        <w:rPr>
          <w:spacing w:val="-18"/>
          <w:sz w:val="21"/>
        </w:rPr>
        <w:t> </w:t>
      </w:r>
      <w:r>
        <w:rPr>
          <w:w w:val="100"/>
          <w:sz w:val="21"/>
        </w:rPr>
        <w:t>a </w:t>
      </w:r>
      <w:r>
        <w:rPr>
          <w:sz w:val="21"/>
        </w:rPr>
        <w:t>lifetime the presumption arose that a similar use had existed from remote antiquity. As it could not but happen that in many cases, such a presumption was impossible, in order to support possession and enjoyment, which the law ought to have invested with the character of rights, recourse was had to the theory of lost modern</w:t>
      </w:r>
      <w:r>
        <w:rPr>
          <w:spacing w:val="-19"/>
          <w:sz w:val="21"/>
        </w:rPr>
        <w:t> </w:t>
      </w:r>
      <w:r>
        <w:rPr>
          <w:sz w:val="21"/>
        </w:rPr>
        <w:t>grants...‖</w:t>
      </w:r>
      <w:r>
        <w:rPr>
          <w:sz w:val="21"/>
          <w:vertAlign w:val="superscript"/>
        </w:rPr>
        <w:t>376</w:t>
      </w:r>
    </w:p>
    <w:p>
      <w:pPr>
        <w:pStyle w:val="BodyText"/>
        <w:spacing w:before="1"/>
        <w:rPr>
          <w:sz w:val="38"/>
        </w:rPr>
      </w:pPr>
    </w:p>
    <w:p>
      <w:pPr>
        <w:pStyle w:val="BodyText"/>
        <w:spacing w:line="480" w:lineRule="auto" w:before="1"/>
        <w:ind w:left="500" w:right="440"/>
        <w:jc w:val="both"/>
      </w:pPr>
      <w:r>
        <w:rPr/>
        <w:t>The doctrine only applies where the enjoyment or use of land cannot otherwise be reasonably accounted for.</w:t>
      </w:r>
      <w:r>
        <w:rPr>
          <w:vertAlign w:val="superscript"/>
        </w:rPr>
        <w:t>377</w:t>
      </w:r>
      <w:r>
        <w:rPr>
          <w:vertAlign w:val="baseline"/>
        </w:rPr>
        <w:t> In the absence of an instrument of conveyance, enjoyment since the time of legal memory is to be viewed as an indication that the right claimed had been conferred on the claimant (or his predecessors) by a grant.</w:t>
      </w:r>
      <w:r>
        <w:rPr>
          <w:vertAlign w:val="superscript"/>
        </w:rPr>
        <w:t>378</w:t>
      </w:r>
      <w:r>
        <w:rPr>
          <w:vertAlign w:val="baseline"/>
        </w:rPr>
        <w:t> The grant maybe expressed or presumed.</w:t>
      </w:r>
      <w:r>
        <w:rPr>
          <w:vertAlign w:val="superscript"/>
        </w:rPr>
        <w:t>379</w:t>
      </w:r>
      <w:r>
        <w:rPr>
          <w:vertAlign w:val="baseline"/>
        </w:rPr>
        <w:t> The onus of proving continued and uninterrupted enjoyment of property through long use is on the plaintiff. The court will not presume a lost grant in cases where there was no person who could ever have made such a grant, or where there was no person or persons competent to receive a particular grant.</w:t>
      </w:r>
      <w:r>
        <w:rPr>
          <w:vertAlign w:val="superscript"/>
        </w:rPr>
        <w:t>380</w:t>
      </w:r>
      <w:r>
        <w:rPr>
          <w:vertAlign w:val="baseline"/>
        </w:rPr>
        <w:t> As there is a legal presumption of a grant, the doctrine is not applicable unless throughout the necessary period there existed some person or persons, alone or together, capable of conveying the interest claimed to have been transferred by the lost grant.</w:t>
      </w:r>
      <w:r>
        <w:rPr>
          <w:vertAlign w:val="superscript"/>
        </w:rPr>
        <w:t>381</w:t>
      </w:r>
      <w:r>
        <w:rPr>
          <w:spacing w:val="7"/>
          <w:vertAlign w:val="baseline"/>
        </w:rPr>
        <w:t> </w:t>
      </w:r>
      <w:r>
        <w:rPr>
          <w:vertAlign w:val="baseline"/>
        </w:rPr>
        <w:t>For</w:t>
      </w:r>
      <w:r>
        <w:rPr>
          <w:spacing w:val="9"/>
          <w:vertAlign w:val="baseline"/>
        </w:rPr>
        <w:t> </w:t>
      </w:r>
      <w:r>
        <w:rPr>
          <w:vertAlign w:val="baseline"/>
        </w:rPr>
        <w:t>valid</w:t>
      </w:r>
      <w:r>
        <w:rPr>
          <w:spacing w:val="8"/>
          <w:vertAlign w:val="baseline"/>
        </w:rPr>
        <w:t> </w:t>
      </w:r>
      <w:r>
        <w:rPr>
          <w:vertAlign w:val="baseline"/>
        </w:rPr>
        <w:t>application</w:t>
      </w:r>
      <w:r>
        <w:rPr>
          <w:spacing w:val="7"/>
          <w:vertAlign w:val="baseline"/>
        </w:rPr>
        <w:t> </w:t>
      </w:r>
      <w:r>
        <w:rPr>
          <w:vertAlign w:val="baseline"/>
        </w:rPr>
        <w:t>of</w:t>
      </w:r>
      <w:r>
        <w:rPr>
          <w:spacing w:val="9"/>
          <w:vertAlign w:val="baseline"/>
        </w:rPr>
        <w:t> </w:t>
      </w:r>
      <w:r>
        <w:rPr>
          <w:vertAlign w:val="baseline"/>
        </w:rPr>
        <w:t>the</w:t>
      </w:r>
      <w:r>
        <w:rPr>
          <w:spacing w:val="9"/>
          <w:vertAlign w:val="baseline"/>
        </w:rPr>
        <w:t> </w:t>
      </w:r>
      <w:r>
        <w:rPr>
          <w:vertAlign w:val="baseline"/>
        </w:rPr>
        <w:t>doctrine,</w:t>
      </w:r>
      <w:r>
        <w:rPr>
          <w:spacing w:val="8"/>
          <w:vertAlign w:val="baseline"/>
        </w:rPr>
        <w:t> </w:t>
      </w:r>
      <w:r>
        <w:rPr>
          <w:vertAlign w:val="baseline"/>
        </w:rPr>
        <w:t>the</w:t>
      </w:r>
      <w:r>
        <w:rPr>
          <w:spacing w:val="7"/>
          <w:vertAlign w:val="baseline"/>
        </w:rPr>
        <w:t> </w:t>
      </w:r>
      <w:r>
        <w:rPr>
          <w:vertAlign w:val="baseline"/>
        </w:rPr>
        <w:t>only</w:t>
      </w:r>
      <w:r>
        <w:rPr>
          <w:spacing w:val="5"/>
          <w:vertAlign w:val="baseline"/>
        </w:rPr>
        <w:t> </w:t>
      </w:r>
      <w:r>
        <w:rPr>
          <w:vertAlign w:val="baseline"/>
        </w:rPr>
        <w:t>conclusive</w:t>
      </w:r>
      <w:r>
        <w:rPr>
          <w:spacing w:val="8"/>
          <w:vertAlign w:val="baseline"/>
        </w:rPr>
        <w:t> </w:t>
      </w:r>
      <w:r>
        <w:rPr>
          <w:vertAlign w:val="baseline"/>
        </w:rPr>
        <w:t>evidence</w:t>
      </w:r>
      <w:r>
        <w:rPr>
          <w:spacing w:val="7"/>
          <w:vertAlign w:val="baseline"/>
        </w:rPr>
        <w:t> </w:t>
      </w:r>
      <w:r>
        <w:rPr>
          <w:vertAlign w:val="baseline"/>
        </w:rPr>
        <w:t>is</w:t>
      </w:r>
      <w:r>
        <w:rPr>
          <w:spacing w:val="8"/>
          <w:vertAlign w:val="baseline"/>
        </w:rPr>
        <w:t> </w:t>
      </w:r>
      <w:r>
        <w:rPr>
          <w:vertAlign w:val="baseline"/>
        </w:rPr>
        <w:t>that</w:t>
      </w:r>
    </w:p>
    <w:p>
      <w:pPr>
        <w:pStyle w:val="BodyText"/>
        <w:rPr>
          <w:sz w:val="20"/>
        </w:rPr>
      </w:pPr>
    </w:p>
    <w:p>
      <w:pPr>
        <w:pStyle w:val="BodyText"/>
        <w:spacing w:before="2"/>
        <w:rPr>
          <w:sz w:val="11"/>
        </w:rPr>
      </w:pPr>
      <w:r>
        <w:rPr/>
        <w:pict>
          <v:rect style="position:absolute;margin-left:72.024002pt;margin-top:8.392316pt;width:144.020pt;height:.60004pt;mso-position-horizontal-relative:page;mso-position-vertical-relative:paragraph;z-index:-15614976;mso-wrap-distance-left:0;mso-wrap-distance-right:0" filled="true" fillcolor="#000000" stroked="false">
            <v:fill type="solid"/>
            <w10:wrap type="topAndBottom"/>
          </v:rect>
        </w:pict>
      </w:r>
    </w:p>
    <w:p>
      <w:pPr>
        <w:spacing w:before="80"/>
        <w:ind w:left="500" w:right="512" w:firstLine="0"/>
        <w:jc w:val="left"/>
        <w:rPr>
          <w:sz w:val="18"/>
        </w:rPr>
      </w:pPr>
      <w:r>
        <w:rPr>
          <w:sz w:val="18"/>
          <w:vertAlign w:val="superscript"/>
        </w:rPr>
        <w:t>375</w:t>
      </w:r>
      <w:r>
        <w:rPr>
          <w:sz w:val="18"/>
          <w:vertAlign w:val="baseline"/>
        </w:rPr>
        <w:t>Jerome J. Curtis, " Reviving The Lost Grant" Real Property, Probate And Trust Journal 23, No. 3 (1988) at pages 535-60.</w:t>
      </w:r>
    </w:p>
    <w:p>
      <w:pPr>
        <w:pStyle w:val="BodyText"/>
        <w:spacing w:before="1"/>
        <w:rPr>
          <w:sz w:val="18"/>
        </w:rPr>
      </w:pPr>
    </w:p>
    <w:p>
      <w:pPr>
        <w:spacing w:line="207" w:lineRule="exact" w:before="0"/>
        <w:ind w:left="500" w:right="0" w:firstLine="0"/>
        <w:jc w:val="left"/>
        <w:rPr>
          <w:sz w:val="18"/>
        </w:rPr>
      </w:pPr>
      <w:r>
        <w:rPr>
          <w:sz w:val="18"/>
          <w:vertAlign w:val="superscript"/>
        </w:rPr>
        <w:t>376</w:t>
      </w:r>
      <w:r>
        <w:rPr>
          <w:sz w:val="18"/>
          <w:vertAlign w:val="baseline"/>
        </w:rPr>
        <w:t> Halsbury Laws of England, Vol 14, Fourth Edition para 90</w:t>
      </w:r>
    </w:p>
    <w:p>
      <w:pPr>
        <w:spacing w:line="206" w:lineRule="exact" w:before="0"/>
        <w:ind w:left="500" w:right="0" w:firstLine="0"/>
        <w:jc w:val="left"/>
        <w:rPr>
          <w:sz w:val="18"/>
        </w:rPr>
      </w:pPr>
      <w:r>
        <w:rPr>
          <w:sz w:val="18"/>
          <w:vertAlign w:val="superscript"/>
        </w:rPr>
        <w:t>377</w:t>
      </w:r>
      <w:r>
        <w:rPr>
          <w:sz w:val="18"/>
          <w:vertAlign w:val="baseline"/>
        </w:rPr>
        <w:t> Halsbury Laws of England, Vol 14, Fourth Edition, para 91</w:t>
      </w:r>
    </w:p>
    <w:p>
      <w:pPr>
        <w:spacing w:before="0"/>
        <w:ind w:left="500" w:right="512" w:firstLine="0"/>
        <w:jc w:val="left"/>
        <w:rPr>
          <w:sz w:val="18"/>
        </w:rPr>
      </w:pPr>
      <w:r>
        <w:rPr>
          <w:sz w:val="18"/>
          <w:vertAlign w:val="superscript"/>
        </w:rPr>
        <w:t>378</w:t>
      </w:r>
      <w:r>
        <w:rPr>
          <w:sz w:val="18"/>
          <w:vertAlign w:val="baseline"/>
        </w:rPr>
        <w:t> Jerome J. Curtis, " Reviving The Lost Grant‖</w:t>
      </w:r>
      <w:r>
        <w:rPr>
          <w:spacing w:val="-5"/>
          <w:sz w:val="18"/>
          <w:vertAlign w:val="baseline"/>
        </w:rPr>
        <w:t> </w:t>
      </w:r>
      <w:r>
        <w:rPr>
          <w:sz w:val="18"/>
          <w:vertAlign w:val="baseline"/>
        </w:rPr>
        <w:t>Real Property, Probate And Trust Journal 23, No. 3 (1988) at pages 535-60.</w:t>
      </w:r>
    </w:p>
    <w:p>
      <w:pPr>
        <w:spacing w:before="1"/>
        <w:ind w:left="500" w:right="512" w:firstLine="0"/>
        <w:jc w:val="left"/>
        <w:rPr>
          <w:sz w:val="18"/>
        </w:rPr>
      </w:pPr>
      <w:r>
        <w:rPr>
          <w:sz w:val="18"/>
          <w:vertAlign w:val="superscript"/>
        </w:rPr>
        <w:t>379</w:t>
      </w:r>
      <w:r>
        <w:rPr>
          <w:spacing w:val="-3"/>
          <w:sz w:val="18"/>
          <w:vertAlign w:val="baseline"/>
        </w:rPr>
        <w:t> </w:t>
      </w:r>
      <w:r>
        <w:rPr>
          <w:sz w:val="18"/>
          <w:vertAlign w:val="baseline"/>
        </w:rPr>
        <w:t>Jerome</w:t>
      </w:r>
      <w:r>
        <w:rPr>
          <w:spacing w:val="-4"/>
          <w:sz w:val="18"/>
          <w:vertAlign w:val="baseline"/>
        </w:rPr>
        <w:t> </w:t>
      </w:r>
      <w:r>
        <w:rPr>
          <w:sz w:val="18"/>
          <w:vertAlign w:val="baseline"/>
        </w:rPr>
        <w:t>J.</w:t>
      </w:r>
      <w:r>
        <w:rPr>
          <w:spacing w:val="-3"/>
          <w:sz w:val="18"/>
          <w:vertAlign w:val="baseline"/>
        </w:rPr>
        <w:t> </w:t>
      </w:r>
      <w:r>
        <w:rPr>
          <w:sz w:val="18"/>
          <w:vertAlign w:val="baseline"/>
        </w:rPr>
        <w:t>Curtis,</w:t>
      </w:r>
      <w:r>
        <w:rPr>
          <w:spacing w:val="-4"/>
          <w:sz w:val="18"/>
          <w:vertAlign w:val="baseline"/>
        </w:rPr>
        <w:t> </w:t>
      </w:r>
      <w:r>
        <w:rPr>
          <w:sz w:val="18"/>
          <w:vertAlign w:val="baseline"/>
        </w:rPr>
        <w:t>"Reviving</w:t>
      </w:r>
      <w:r>
        <w:rPr>
          <w:spacing w:val="-3"/>
          <w:sz w:val="18"/>
          <w:vertAlign w:val="baseline"/>
        </w:rPr>
        <w:t> </w:t>
      </w:r>
      <w:r>
        <w:rPr>
          <w:sz w:val="18"/>
          <w:vertAlign w:val="baseline"/>
        </w:rPr>
        <w:t>The</w:t>
      </w:r>
      <w:r>
        <w:rPr>
          <w:spacing w:val="-2"/>
          <w:sz w:val="18"/>
          <w:vertAlign w:val="baseline"/>
        </w:rPr>
        <w:t> </w:t>
      </w:r>
      <w:r>
        <w:rPr>
          <w:sz w:val="18"/>
          <w:vertAlign w:val="baseline"/>
        </w:rPr>
        <w:t>Lost</w:t>
      </w:r>
      <w:r>
        <w:rPr>
          <w:spacing w:val="-3"/>
          <w:sz w:val="18"/>
          <w:vertAlign w:val="baseline"/>
        </w:rPr>
        <w:t> </w:t>
      </w:r>
      <w:r>
        <w:rPr>
          <w:sz w:val="18"/>
          <w:vertAlign w:val="baseline"/>
        </w:rPr>
        <w:t>Grant‖</w:t>
      </w:r>
      <w:r>
        <w:rPr>
          <w:spacing w:val="2"/>
          <w:sz w:val="18"/>
          <w:vertAlign w:val="baseline"/>
        </w:rPr>
        <w:t> </w:t>
      </w:r>
      <w:r>
        <w:rPr>
          <w:sz w:val="18"/>
          <w:vertAlign w:val="baseline"/>
        </w:rPr>
        <w:t>Real</w:t>
      </w:r>
      <w:r>
        <w:rPr>
          <w:spacing w:val="-5"/>
          <w:sz w:val="18"/>
          <w:vertAlign w:val="baseline"/>
        </w:rPr>
        <w:t> </w:t>
      </w:r>
      <w:r>
        <w:rPr>
          <w:sz w:val="18"/>
          <w:vertAlign w:val="baseline"/>
        </w:rPr>
        <w:t>Property,</w:t>
      </w:r>
      <w:r>
        <w:rPr>
          <w:spacing w:val="-2"/>
          <w:sz w:val="18"/>
          <w:vertAlign w:val="baseline"/>
        </w:rPr>
        <w:t> </w:t>
      </w:r>
      <w:r>
        <w:rPr>
          <w:sz w:val="18"/>
          <w:vertAlign w:val="baseline"/>
        </w:rPr>
        <w:t>Probate</w:t>
      </w:r>
      <w:r>
        <w:rPr>
          <w:spacing w:val="-3"/>
          <w:sz w:val="18"/>
          <w:vertAlign w:val="baseline"/>
        </w:rPr>
        <w:t> </w:t>
      </w:r>
      <w:r>
        <w:rPr>
          <w:sz w:val="18"/>
          <w:vertAlign w:val="baseline"/>
        </w:rPr>
        <w:t>And</w:t>
      </w:r>
      <w:r>
        <w:rPr>
          <w:spacing w:val="1"/>
          <w:sz w:val="18"/>
          <w:vertAlign w:val="baseline"/>
        </w:rPr>
        <w:t> </w:t>
      </w:r>
      <w:r>
        <w:rPr>
          <w:sz w:val="18"/>
          <w:vertAlign w:val="baseline"/>
        </w:rPr>
        <w:t>Trust</w:t>
      </w:r>
      <w:r>
        <w:rPr>
          <w:spacing w:val="-5"/>
          <w:sz w:val="18"/>
          <w:vertAlign w:val="baseline"/>
        </w:rPr>
        <w:t> </w:t>
      </w:r>
      <w:r>
        <w:rPr>
          <w:sz w:val="18"/>
          <w:vertAlign w:val="baseline"/>
        </w:rPr>
        <w:t>Journal</w:t>
      </w:r>
      <w:r>
        <w:rPr>
          <w:spacing w:val="-3"/>
          <w:sz w:val="18"/>
          <w:vertAlign w:val="baseline"/>
        </w:rPr>
        <w:t> </w:t>
      </w:r>
      <w:r>
        <w:rPr>
          <w:sz w:val="18"/>
          <w:vertAlign w:val="baseline"/>
        </w:rPr>
        <w:t>23,</w:t>
      </w:r>
      <w:r>
        <w:rPr>
          <w:spacing w:val="-6"/>
          <w:sz w:val="18"/>
          <w:vertAlign w:val="baseline"/>
        </w:rPr>
        <w:t> </w:t>
      </w:r>
      <w:r>
        <w:rPr>
          <w:sz w:val="18"/>
          <w:vertAlign w:val="baseline"/>
        </w:rPr>
        <w:t>No.</w:t>
      </w:r>
      <w:r>
        <w:rPr>
          <w:spacing w:val="-3"/>
          <w:sz w:val="18"/>
          <w:vertAlign w:val="baseline"/>
        </w:rPr>
        <w:t> </w:t>
      </w:r>
      <w:r>
        <w:rPr>
          <w:sz w:val="18"/>
          <w:vertAlign w:val="baseline"/>
        </w:rPr>
        <w:t>3</w:t>
      </w:r>
      <w:r>
        <w:rPr>
          <w:spacing w:val="-2"/>
          <w:sz w:val="18"/>
          <w:vertAlign w:val="baseline"/>
        </w:rPr>
        <w:t> </w:t>
      </w:r>
      <w:r>
        <w:rPr>
          <w:sz w:val="18"/>
          <w:vertAlign w:val="baseline"/>
        </w:rPr>
        <w:t>(1988)</w:t>
      </w:r>
      <w:r>
        <w:rPr>
          <w:spacing w:val="-5"/>
          <w:sz w:val="18"/>
          <w:vertAlign w:val="baseline"/>
        </w:rPr>
        <w:t> </w:t>
      </w:r>
      <w:r>
        <w:rPr>
          <w:sz w:val="18"/>
          <w:vertAlign w:val="baseline"/>
        </w:rPr>
        <w:t>at pages 535-60.</w:t>
      </w:r>
    </w:p>
    <w:p>
      <w:pPr>
        <w:spacing w:line="206" w:lineRule="exact" w:before="0"/>
        <w:ind w:left="500" w:right="0" w:firstLine="0"/>
        <w:jc w:val="left"/>
        <w:rPr>
          <w:sz w:val="18"/>
        </w:rPr>
      </w:pPr>
      <w:r>
        <w:rPr>
          <w:sz w:val="18"/>
          <w:vertAlign w:val="superscript"/>
        </w:rPr>
        <w:t>380</w:t>
      </w:r>
      <w:r>
        <w:rPr>
          <w:sz w:val="18"/>
          <w:vertAlign w:val="baseline"/>
        </w:rPr>
        <w:t> Halsbury Laws of England, Vol 14, Fourth Edition, para</w:t>
      </w:r>
      <w:r>
        <w:rPr>
          <w:spacing w:val="-29"/>
          <w:sz w:val="18"/>
          <w:vertAlign w:val="baseline"/>
        </w:rPr>
        <w:t> </w:t>
      </w:r>
      <w:r>
        <w:rPr>
          <w:sz w:val="18"/>
          <w:vertAlign w:val="baseline"/>
        </w:rPr>
        <w:t>94</w:t>
      </w:r>
    </w:p>
    <w:p>
      <w:pPr>
        <w:spacing w:before="2"/>
        <w:ind w:left="500" w:right="0" w:firstLine="0"/>
        <w:jc w:val="left"/>
        <w:rPr>
          <w:sz w:val="18"/>
        </w:rPr>
      </w:pPr>
      <w:r>
        <w:rPr>
          <w:sz w:val="18"/>
          <w:vertAlign w:val="superscript"/>
        </w:rPr>
        <w:t>381</w:t>
      </w:r>
      <w:r>
        <w:rPr>
          <w:sz w:val="18"/>
          <w:vertAlign w:val="baseline"/>
        </w:rPr>
        <w:t> Halsbury Laws of England, Vol 14, Fourth Edition, para</w:t>
      </w:r>
      <w:r>
        <w:rPr>
          <w:spacing w:val="-29"/>
          <w:sz w:val="18"/>
          <w:vertAlign w:val="baseline"/>
        </w:rPr>
        <w:t> </w:t>
      </w:r>
      <w:r>
        <w:rPr>
          <w:sz w:val="18"/>
          <w:vertAlign w:val="baseline"/>
        </w:rPr>
        <w:t>94</w:t>
      </w:r>
    </w:p>
    <w:p>
      <w:pPr>
        <w:spacing w:after="0"/>
        <w:jc w:val="left"/>
        <w:rPr>
          <w:sz w:val="18"/>
        </w:rPr>
        <w:sectPr>
          <w:pgSz w:w="11910" w:h="16840"/>
          <w:pgMar w:header="721" w:footer="1014" w:top="1300" w:bottom="1200" w:left="940" w:right="1000"/>
        </w:sectPr>
      </w:pPr>
    </w:p>
    <w:p>
      <w:pPr>
        <w:pStyle w:val="BodyText"/>
        <w:spacing w:line="480" w:lineRule="auto" w:before="124"/>
        <w:ind w:left="500" w:right="437"/>
        <w:jc w:val="both"/>
      </w:pPr>
      <w:r>
        <w:rPr/>
        <w:t>possession must be uninterrupted for a sufficient length of time. The doctrine of lost grant is not based upon evidence of long use but for default of evidence.</w:t>
      </w:r>
      <w:r>
        <w:rPr>
          <w:vertAlign w:val="superscript"/>
        </w:rPr>
        <w:t>382</w:t>
      </w:r>
      <w:r>
        <w:rPr>
          <w:vertAlign w:val="baseline"/>
        </w:rPr>
        <w:t> A person seeking to establish a claim to an easement under this doctrine should plead lost grant, but need not state in his pleadings the date and names of the parties to the alleged modern grant.</w:t>
      </w:r>
      <w:r>
        <w:rPr>
          <w:vertAlign w:val="superscript"/>
        </w:rPr>
        <w:t>383</w:t>
      </w:r>
    </w:p>
    <w:p>
      <w:pPr>
        <w:pStyle w:val="BodyText"/>
        <w:rPr>
          <w:sz w:val="32"/>
        </w:rPr>
      </w:pPr>
    </w:p>
    <w:p>
      <w:pPr>
        <w:pStyle w:val="ListParagraph"/>
        <w:numPr>
          <w:ilvl w:val="0"/>
          <w:numId w:val="235"/>
        </w:numPr>
        <w:tabs>
          <w:tab w:pos="1221" w:val="left" w:leader="none"/>
        </w:tabs>
        <w:spacing w:line="480" w:lineRule="auto" w:before="218" w:after="0"/>
        <w:ind w:left="500" w:right="438" w:firstLine="0"/>
        <w:jc w:val="both"/>
        <w:rPr>
          <w:sz w:val="25"/>
        </w:rPr>
      </w:pPr>
      <w:r>
        <w:rPr>
          <w:sz w:val="25"/>
        </w:rPr>
        <w:t>In a Privy Council decision in </w:t>
      </w:r>
      <w:r>
        <w:rPr>
          <w:b/>
          <w:sz w:val="25"/>
        </w:rPr>
        <w:t>Chockalingam Pillai </w:t>
      </w:r>
      <w:r>
        <w:rPr>
          <w:sz w:val="25"/>
        </w:rPr>
        <w:t>v </w:t>
      </w:r>
      <w:r>
        <w:rPr>
          <w:b/>
          <w:sz w:val="25"/>
        </w:rPr>
        <w:t>Mayandi Chettiar</w:t>
      </w:r>
      <w:r>
        <w:rPr>
          <w:sz w:val="25"/>
          <w:vertAlign w:val="superscript"/>
        </w:rPr>
        <w:t>384</w:t>
      </w:r>
      <w:r>
        <w:rPr>
          <w:sz w:val="25"/>
          <w:vertAlign w:val="baseline"/>
        </w:rPr>
        <w:t>, Lord Buckmaster explained the presumption of a lawful origin in support of proprietary rights long and quietly enjoyed in the following</w:t>
      </w:r>
      <w:r>
        <w:rPr>
          <w:spacing w:val="-8"/>
          <w:sz w:val="25"/>
          <w:vertAlign w:val="baseline"/>
        </w:rPr>
        <w:t> </w:t>
      </w:r>
      <w:r>
        <w:rPr>
          <w:sz w:val="25"/>
          <w:vertAlign w:val="baseline"/>
        </w:rPr>
        <w:t>terms:</w:t>
      </w:r>
    </w:p>
    <w:p>
      <w:pPr>
        <w:spacing w:line="276" w:lineRule="auto" w:before="161"/>
        <w:ind w:left="1940" w:right="2257" w:firstLine="57"/>
        <w:jc w:val="both"/>
        <w:rPr>
          <w:sz w:val="21"/>
        </w:rPr>
      </w:pPr>
      <w:r>
        <w:rPr>
          <w:spacing w:val="-6"/>
          <w:w w:val="33"/>
          <w:sz w:val="21"/>
        </w:rPr>
        <w:t>―</w:t>
      </w:r>
      <w:r>
        <w:rPr>
          <w:spacing w:val="6"/>
          <w:w w:val="100"/>
          <w:sz w:val="21"/>
        </w:rPr>
        <w:t>W</w:t>
      </w:r>
      <w:r>
        <w:rPr>
          <w:spacing w:val="-3"/>
          <w:w w:val="100"/>
          <w:sz w:val="21"/>
        </w:rPr>
        <w:t>h</w:t>
      </w:r>
      <w:r>
        <w:rPr>
          <w:spacing w:val="-1"/>
          <w:w w:val="100"/>
          <w:sz w:val="21"/>
        </w:rPr>
        <w:t>e</w:t>
      </w:r>
      <w:r>
        <w:rPr>
          <w:w w:val="100"/>
          <w:sz w:val="21"/>
        </w:rPr>
        <w:t>n</w:t>
      </w:r>
      <w:r>
        <w:rPr>
          <w:sz w:val="21"/>
        </w:rPr>
        <w:t>  </w:t>
      </w:r>
      <w:r>
        <w:rPr>
          <w:spacing w:val="-1"/>
          <w:w w:val="100"/>
          <w:sz w:val="21"/>
        </w:rPr>
        <w:t>e</w:t>
      </w:r>
      <w:r>
        <w:rPr>
          <w:spacing w:val="-3"/>
          <w:w w:val="100"/>
          <w:sz w:val="21"/>
        </w:rPr>
        <w:t>v</w:t>
      </w:r>
      <w:r>
        <w:rPr>
          <w:spacing w:val="-1"/>
          <w:w w:val="100"/>
          <w:sz w:val="21"/>
        </w:rPr>
        <w:t>er</w:t>
      </w:r>
      <w:r>
        <w:rPr>
          <w:w w:val="100"/>
          <w:sz w:val="21"/>
        </w:rPr>
        <w:t>y</w:t>
      </w:r>
      <w:r>
        <w:rPr>
          <w:sz w:val="21"/>
        </w:rPr>
        <w:t>  </w:t>
      </w:r>
      <w:r>
        <w:rPr>
          <w:spacing w:val="-1"/>
          <w:w w:val="100"/>
          <w:sz w:val="21"/>
        </w:rPr>
        <w:t>par</w:t>
      </w:r>
      <w:r>
        <w:rPr>
          <w:spacing w:val="-2"/>
          <w:w w:val="100"/>
          <w:sz w:val="21"/>
        </w:rPr>
        <w:t>t</w:t>
      </w:r>
      <w:r>
        <w:rPr>
          <w:w w:val="100"/>
          <w:sz w:val="21"/>
        </w:rPr>
        <w:t>y</w:t>
      </w:r>
      <w:r>
        <w:rPr>
          <w:sz w:val="21"/>
        </w:rPr>
        <w:t>  </w:t>
      </w:r>
      <w:r>
        <w:rPr>
          <w:spacing w:val="-2"/>
          <w:w w:val="100"/>
          <w:sz w:val="21"/>
        </w:rPr>
        <w:t>t</w:t>
      </w:r>
      <w:r>
        <w:rPr>
          <w:w w:val="100"/>
          <w:sz w:val="21"/>
        </w:rPr>
        <w:t>o</w:t>
      </w:r>
      <w:r>
        <w:rPr>
          <w:sz w:val="21"/>
        </w:rPr>
        <w:t>  </w:t>
      </w:r>
      <w:r>
        <w:rPr>
          <w:spacing w:val="1"/>
          <w:w w:val="100"/>
          <w:sz w:val="21"/>
        </w:rPr>
        <w:t>t</w:t>
      </w:r>
      <w:r>
        <w:rPr>
          <w:spacing w:val="-1"/>
          <w:w w:val="100"/>
          <w:sz w:val="21"/>
        </w:rPr>
        <w:t>h</w:t>
      </w:r>
      <w:r>
        <w:rPr>
          <w:w w:val="100"/>
          <w:sz w:val="21"/>
        </w:rPr>
        <w:t>e</w:t>
      </w:r>
      <w:r>
        <w:rPr>
          <w:sz w:val="21"/>
        </w:rPr>
        <w:t>  </w:t>
      </w:r>
      <w:r>
        <w:rPr>
          <w:spacing w:val="-1"/>
          <w:w w:val="100"/>
          <w:sz w:val="21"/>
        </w:rPr>
        <w:t>or</w:t>
      </w:r>
      <w:r>
        <w:rPr>
          <w:spacing w:val="-2"/>
          <w:w w:val="100"/>
          <w:sz w:val="21"/>
        </w:rPr>
        <w:t>i</w:t>
      </w:r>
      <w:r>
        <w:rPr>
          <w:spacing w:val="-1"/>
          <w:w w:val="100"/>
          <w:sz w:val="21"/>
        </w:rPr>
        <w:t>g</w:t>
      </w:r>
      <w:r>
        <w:rPr>
          <w:spacing w:val="-2"/>
          <w:w w:val="100"/>
          <w:sz w:val="21"/>
        </w:rPr>
        <w:t>i</w:t>
      </w:r>
      <w:r>
        <w:rPr>
          <w:spacing w:val="-1"/>
          <w:w w:val="100"/>
          <w:sz w:val="21"/>
        </w:rPr>
        <w:t>n</w:t>
      </w:r>
      <w:r>
        <w:rPr>
          <w:spacing w:val="-3"/>
          <w:w w:val="100"/>
          <w:sz w:val="21"/>
        </w:rPr>
        <w:t>a</w:t>
      </w:r>
      <w:r>
        <w:rPr>
          <w:w w:val="100"/>
          <w:sz w:val="21"/>
        </w:rPr>
        <w:t>l</w:t>
      </w:r>
      <w:r>
        <w:rPr>
          <w:sz w:val="21"/>
        </w:rPr>
        <w:t>  </w:t>
      </w:r>
      <w:r>
        <w:rPr>
          <w:spacing w:val="-2"/>
          <w:w w:val="100"/>
          <w:sz w:val="21"/>
        </w:rPr>
        <w:t>t</w:t>
      </w:r>
      <w:r>
        <w:rPr>
          <w:spacing w:val="-1"/>
          <w:w w:val="100"/>
          <w:sz w:val="21"/>
        </w:rPr>
        <w:t>rans</w:t>
      </w:r>
      <w:r>
        <w:rPr>
          <w:spacing w:val="-2"/>
          <w:w w:val="100"/>
          <w:sz w:val="21"/>
        </w:rPr>
        <w:t>a</w:t>
      </w:r>
      <w:r>
        <w:rPr>
          <w:w w:val="100"/>
          <w:sz w:val="21"/>
        </w:rPr>
        <w:t>c</w:t>
      </w:r>
      <w:r>
        <w:rPr>
          <w:spacing w:val="-2"/>
          <w:w w:val="100"/>
          <w:sz w:val="21"/>
        </w:rPr>
        <w:t>t</w:t>
      </w:r>
      <w:r>
        <w:rPr>
          <w:w w:val="100"/>
          <w:sz w:val="21"/>
        </w:rPr>
        <w:t>i</w:t>
      </w:r>
      <w:r>
        <w:rPr>
          <w:spacing w:val="-1"/>
          <w:w w:val="100"/>
          <w:sz w:val="21"/>
        </w:rPr>
        <w:t>o</w:t>
      </w:r>
      <w:r>
        <w:rPr>
          <w:w w:val="100"/>
          <w:sz w:val="21"/>
        </w:rPr>
        <w:t>n</w:t>
      </w:r>
      <w:r>
        <w:rPr>
          <w:sz w:val="21"/>
        </w:rPr>
        <w:t>  </w:t>
      </w:r>
      <w:r>
        <w:rPr>
          <w:spacing w:val="-3"/>
          <w:w w:val="100"/>
          <w:sz w:val="21"/>
        </w:rPr>
        <w:t>h</w:t>
      </w:r>
      <w:r>
        <w:rPr>
          <w:spacing w:val="-1"/>
          <w:w w:val="100"/>
          <w:sz w:val="21"/>
        </w:rPr>
        <w:t>a</w:t>
      </w:r>
      <w:r>
        <w:rPr>
          <w:w w:val="100"/>
          <w:sz w:val="21"/>
        </w:rPr>
        <w:t>s</w:t>
      </w:r>
      <w:r>
        <w:rPr>
          <w:sz w:val="21"/>
        </w:rPr>
        <w:t>  </w:t>
      </w:r>
      <w:r>
        <w:rPr>
          <w:spacing w:val="-1"/>
          <w:w w:val="100"/>
          <w:sz w:val="21"/>
        </w:rPr>
        <w:t>pa</w:t>
      </w:r>
      <w:r>
        <w:rPr>
          <w:spacing w:val="-3"/>
          <w:w w:val="100"/>
          <w:sz w:val="21"/>
        </w:rPr>
        <w:t>s</w:t>
      </w:r>
      <w:r>
        <w:rPr>
          <w:w w:val="100"/>
          <w:sz w:val="21"/>
        </w:rPr>
        <w:t>sed </w:t>
      </w:r>
      <w:r>
        <w:rPr>
          <w:sz w:val="21"/>
        </w:rPr>
        <w:t>away and it becomes completely impossible to ascertain what were the circumstances which caused the original grant to be made, it is only following the policy, which the courts always adopt, of securing, as far as possible, quiet possession, to people who are in apparent lawful holding of an estate, to assume that the grant was lawfully and not unlawfully made.‖</w:t>
      </w:r>
    </w:p>
    <w:p>
      <w:pPr>
        <w:pStyle w:val="BodyText"/>
        <w:rPr>
          <w:sz w:val="24"/>
        </w:rPr>
      </w:pPr>
    </w:p>
    <w:p>
      <w:pPr>
        <w:pStyle w:val="BodyText"/>
        <w:spacing w:before="4"/>
        <w:rPr>
          <w:sz w:val="24"/>
        </w:rPr>
      </w:pPr>
    </w:p>
    <w:p>
      <w:pPr>
        <w:spacing w:line="482" w:lineRule="auto" w:before="0"/>
        <w:ind w:left="500" w:right="436" w:firstLine="0"/>
        <w:jc w:val="both"/>
        <w:rPr>
          <w:sz w:val="25"/>
        </w:rPr>
      </w:pPr>
      <w:r>
        <w:rPr>
          <w:sz w:val="25"/>
        </w:rPr>
        <w:t>In the decision of the House of Lords in </w:t>
      </w:r>
      <w:r>
        <w:rPr>
          <w:b/>
          <w:sz w:val="25"/>
        </w:rPr>
        <w:t>Harris and Earl of Chesterfield</w:t>
      </w:r>
      <w:r>
        <w:rPr>
          <w:b/>
          <w:sz w:val="25"/>
          <w:vertAlign w:val="superscript"/>
        </w:rPr>
        <w:t>385</w:t>
      </w:r>
      <w:r>
        <w:rPr>
          <w:sz w:val="25"/>
          <w:vertAlign w:val="baseline"/>
        </w:rPr>
        <w:t>, Lord Loreburn LJ held:</w:t>
      </w:r>
    </w:p>
    <w:p>
      <w:pPr>
        <w:spacing w:line="276" w:lineRule="auto" w:before="146"/>
        <w:ind w:left="1940" w:right="2255" w:firstLine="57"/>
        <w:jc w:val="both"/>
        <w:rPr>
          <w:sz w:val="21"/>
        </w:rPr>
      </w:pPr>
      <w:r>
        <w:rPr>
          <w:spacing w:val="-1"/>
          <w:w w:val="33"/>
          <w:sz w:val="21"/>
        </w:rPr>
        <w:t>―</w:t>
      </w:r>
      <w:r>
        <w:rPr>
          <w:spacing w:val="-2"/>
          <w:w w:val="100"/>
          <w:sz w:val="21"/>
        </w:rPr>
        <w:t>..</w:t>
      </w:r>
      <w:r>
        <w:rPr>
          <w:w w:val="100"/>
          <w:sz w:val="21"/>
        </w:rPr>
        <w:t>.</w:t>
      </w:r>
      <w:r>
        <w:rPr>
          <w:sz w:val="21"/>
        </w:rPr>
        <w:t> </w:t>
      </w:r>
      <w:r>
        <w:rPr>
          <w:spacing w:val="21"/>
          <w:sz w:val="21"/>
        </w:rPr>
        <w:t> </w:t>
      </w:r>
      <w:r>
        <w:rPr>
          <w:w w:val="100"/>
          <w:sz w:val="21"/>
        </w:rPr>
        <w:t>B</w:t>
      </w:r>
      <w:r>
        <w:rPr>
          <w:spacing w:val="-1"/>
          <w:w w:val="100"/>
          <w:sz w:val="21"/>
        </w:rPr>
        <w:t>u</w:t>
      </w:r>
      <w:r>
        <w:rPr>
          <w:w w:val="100"/>
          <w:sz w:val="21"/>
        </w:rPr>
        <w:t>t</w:t>
      </w:r>
      <w:r>
        <w:rPr>
          <w:sz w:val="21"/>
        </w:rPr>
        <w:t> </w:t>
      </w:r>
      <w:r>
        <w:rPr>
          <w:spacing w:val="19"/>
          <w:sz w:val="21"/>
        </w:rPr>
        <w:t> </w:t>
      </w:r>
      <w:r>
        <w:rPr>
          <w:spacing w:val="-2"/>
          <w:w w:val="100"/>
          <w:sz w:val="21"/>
        </w:rPr>
        <w:t>t</w:t>
      </w:r>
      <w:r>
        <w:rPr>
          <w:spacing w:val="-1"/>
          <w:w w:val="100"/>
          <w:sz w:val="21"/>
        </w:rPr>
        <w:t>h</w:t>
      </w:r>
      <w:r>
        <w:rPr>
          <w:w w:val="100"/>
          <w:sz w:val="21"/>
        </w:rPr>
        <w:t>e</w:t>
      </w:r>
      <w:r>
        <w:rPr>
          <w:sz w:val="21"/>
        </w:rPr>
        <w:t> </w:t>
      </w:r>
      <w:r>
        <w:rPr>
          <w:spacing w:val="20"/>
          <w:sz w:val="21"/>
        </w:rPr>
        <w:t> </w:t>
      </w:r>
      <w:r>
        <w:rPr>
          <w:spacing w:val="-1"/>
          <w:w w:val="100"/>
          <w:sz w:val="21"/>
        </w:rPr>
        <w:t>pri</w:t>
      </w:r>
      <w:r>
        <w:rPr>
          <w:w w:val="100"/>
          <w:sz w:val="21"/>
        </w:rPr>
        <w:t>n</w:t>
      </w:r>
      <w:r>
        <w:rPr>
          <w:spacing w:val="-3"/>
          <w:w w:val="100"/>
          <w:sz w:val="21"/>
        </w:rPr>
        <w:t>c</w:t>
      </w:r>
      <w:r>
        <w:rPr>
          <w:w w:val="100"/>
          <w:sz w:val="21"/>
        </w:rPr>
        <w:t>i</w:t>
      </w:r>
      <w:r>
        <w:rPr>
          <w:spacing w:val="-3"/>
          <w:w w:val="100"/>
          <w:sz w:val="21"/>
        </w:rPr>
        <w:t>p</w:t>
      </w:r>
      <w:r>
        <w:rPr>
          <w:w w:val="100"/>
          <w:sz w:val="21"/>
        </w:rPr>
        <w:t>le</w:t>
      </w:r>
      <w:r>
        <w:rPr>
          <w:sz w:val="21"/>
        </w:rPr>
        <w:t> </w:t>
      </w:r>
      <w:r>
        <w:rPr>
          <w:spacing w:val="20"/>
          <w:sz w:val="21"/>
        </w:rPr>
        <w:t> </w:t>
      </w:r>
      <w:r>
        <w:rPr>
          <w:spacing w:val="-2"/>
          <w:w w:val="100"/>
          <w:sz w:val="21"/>
        </w:rPr>
        <w:t>i</w:t>
      </w:r>
      <w:r>
        <w:rPr>
          <w:w w:val="100"/>
          <w:sz w:val="21"/>
        </w:rPr>
        <w:t>s</w:t>
      </w:r>
      <w:r>
        <w:rPr>
          <w:sz w:val="21"/>
        </w:rPr>
        <w:t> </w:t>
      </w:r>
      <w:r>
        <w:rPr>
          <w:spacing w:val="17"/>
          <w:sz w:val="21"/>
        </w:rPr>
        <w:t> </w:t>
      </w:r>
      <w:r>
        <w:rPr>
          <w:w w:val="100"/>
          <w:sz w:val="21"/>
        </w:rPr>
        <w:t>surely</w:t>
      </w:r>
      <w:r>
        <w:rPr>
          <w:sz w:val="21"/>
        </w:rPr>
        <w:t> </w:t>
      </w:r>
      <w:r>
        <w:rPr>
          <w:spacing w:val="17"/>
          <w:sz w:val="21"/>
        </w:rPr>
        <w:t> </w:t>
      </w:r>
      <w:r>
        <w:rPr>
          <w:spacing w:val="-1"/>
          <w:w w:val="100"/>
          <w:sz w:val="21"/>
        </w:rPr>
        <w:t>bas</w:t>
      </w:r>
      <w:r>
        <w:rPr>
          <w:spacing w:val="-2"/>
          <w:w w:val="100"/>
          <w:sz w:val="21"/>
        </w:rPr>
        <w:t>e</w:t>
      </w:r>
      <w:r>
        <w:rPr>
          <w:w w:val="100"/>
          <w:sz w:val="21"/>
        </w:rPr>
        <w:t>d</w:t>
      </w:r>
      <w:r>
        <w:rPr>
          <w:sz w:val="21"/>
        </w:rPr>
        <w:t> </w:t>
      </w:r>
      <w:r>
        <w:rPr>
          <w:spacing w:val="20"/>
          <w:sz w:val="21"/>
        </w:rPr>
        <w:t> </w:t>
      </w:r>
      <w:r>
        <w:rPr>
          <w:spacing w:val="-1"/>
          <w:w w:val="100"/>
          <w:sz w:val="21"/>
        </w:rPr>
        <w:t>up</w:t>
      </w:r>
      <w:r>
        <w:rPr>
          <w:spacing w:val="-2"/>
          <w:w w:val="100"/>
          <w:sz w:val="21"/>
        </w:rPr>
        <w:t>o</w:t>
      </w:r>
      <w:r>
        <w:rPr>
          <w:w w:val="100"/>
          <w:sz w:val="21"/>
        </w:rPr>
        <w:t>n</w:t>
      </w:r>
      <w:r>
        <w:rPr>
          <w:sz w:val="21"/>
        </w:rPr>
        <w:t> </w:t>
      </w:r>
      <w:r>
        <w:rPr>
          <w:spacing w:val="20"/>
          <w:sz w:val="21"/>
        </w:rPr>
        <w:t> </w:t>
      </w:r>
      <w:r>
        <w:rPr>
          <w:spacing w:val="-1"/>
          <w:w w:val="100"/>
          <w:sz w:val="21"/>
        </w:rPr>
        <w:t>g</w:t>
      </w:r>
      <w:r>
        <w:rPr>
          <w:spacing w:val="-3"/>
          <w:w w:val="100"/>
          <w:sz w:val="21"/>
        </w:rPr>
        <w:t>o</w:t>
      </w:r>
      <w:r>
        <w:rPr>
          <w:spacing w:val="-1"/>
          <w:w w:val="100"/>
          <w:sz w:val="21"/>
        </w:rPr>
        <w:t>o</w:t>
      </w:r>
      <w:r>
        <w:rPr>
          <w:w w:val="100"/>
          <w:sz w:val="21"/>
        </w:rPr>
        <w:t>d</w:t>
      </w:r>
      <w:r>
        <w:rPr>
          <w:sz w:val="21"/>
        </w:rPr>
        <w:t> </w:t>
      </w:r>
      <w:r>
        <w:rPr>
          <w:spacing w:val="20"/>
          <w:sz w:val="21"/>
        </w:rPr>
        <w:t> </w:t>
      </w:r>
      <w:r>
        <w:rPr>
          <w:w w:val="100"/>
          <w:sz w:val="21"/>
        </w:rPr>
        <w:t>se</w:t>
      </w:r>
      <w:r>
        <w:rPr>
          <w:spacing w:val="-3"/>
          <w:w w:val="100"/>
          <w:sz w:val="21"/>
        </w:rPr>
        <w:t>n</w:t>
      </w:r>
      <w:r>
        <w:rPr>
          <w:w w:val="100"/>
          <w:sz w:val="21"/>
        </w:rPr>
        <w:t>se. </w:t>
      </w:r>
      <w:r>
        <w:rPr>
          <w:sz w:val="21"/>
        </w:rPr>
        <w:t>The lapse of time gradually effaces records of past transactions, and it would be intolerable if any body of men should be dispossessed of property which they and their predecessors have enjoyed during all human memory, merely upon the ground that they cannot show how it was originally acquired. That is the reason why the law infers that the original acquisition was lawful, unless the property claimed is such that no such body of men could lawfully acquire it, or the facts show that it could not have been acquired in the only ways which the law</w:t>
      </w:r>
      <w:r>
        <w:rPr>
          <w:spacing w:val="-7"/>
          <w:sz w:val="21"/>
        </w:rPr>
        <w:t> </w:t>
      </w:r>
      <w:r>
        <w:rPr>
          <w:sz w:val="21"/>
        </w:rPr>
        <w:t>allows.‖</w:t>
      </w:r>
    </w:p>
    <w:p>
      <w:pPr>
        <w:pStyle w:val="BodyText"/>
        <w:rPr>
          <w:sz w:val="20"/>
        </w:rPr>
      </w:pPr>
    </w:p>
    <w:p>
      <w:pPr>
        <w:pStyle w:val="BodyText"/>
        <w:spacing w:before="1"/>
        <w:rPr>
          <w:sz w:val="29"/>
        </w:rPr>
      </w:pPr>
      <w:r>
        <w:rPr/>
        <w:pict>
          <v:rect style="position:absolute;margin-left:72.024002pt;margin-top:18.718966pt;width:144.020pt;height:.599980pt;mso-position-horizontal-relative:page;mso-position-vertical-relative:paragraph;z-index:-15614464;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382</w:t>
      </w:r>
      <w:r>
        <w:rPr>
          <w:sz w:val="18"/>
          <w:vertAlign w:val="baseline"/>
        </w:rPr>
        <w:t>Attorney General v Horner (No.2) [1913] 2 Ch. 140</w:t>
      </w:r>
    </w:p>
    <w:p>
      <w:pPr>
        <w:spacing w:before="0"/>
        <w:ind w:left="500" w:right="0" w:firstLine="0"/>
        <w:jc w:val="left"/>
        <w:rPr>
          <w:sz w:val="18"/>
        </w:rPr>
      </w:pPr>
      <w:r>
        <w:rPr>
          <w:sz w:val="18"/>
          <w:vertAlign w:val="superscript"/>
        </w:rPr>
        <w:t>383</w:t>
      </w:r>
      <w:r>
        <w:rPr>
          <w:sz w:val="18"/>
          <w:vertAlign w:val="baseline"/>
        </w:rPr>
        <w:t> Halsbury Laws of England, Vol 14, Fourth Edition, para 96</w:t>
      </w:r>
    </w:p>
    <w:p>
      <w:pPr>
        <w:spacing w:before="206"/>
        <w:ind w:left="500" w:right="0" w:firstLine="0"/>
        <w:jc w:val="left"/>
        <w:rPr>
          <w:sz w:val="18"/>
        </w:rPr>
      </w:pPr>
      <w:r>
        <w:rPr>
          <w:sz w:val="18"/>
          <w:vertAlign w:val="superscript"/>
        </w:rPr>
        <w:t>384</w:t>
      </w:r>
      <w:r>
        <w:rPr>
          <w:sz w:val="18"/>
          <w:vertAlign w:val="baseline"/>
        </w:rPr>
        <w:t> ILR 19 Madras 485</w:t>
      </w:r>
    </w:p>
    <w:p>
      <w:pPr>
        <w:spacing w:before="2"/>
        <w:ind w:left="500" w:right="0" w:firstLine="0"/>
        <w:jc w:val="left"/>
        <w:rPr>
          <w:sz w:val="18"/>
        </w:rPr>
      </w:pPr>
      <w:r>
        <w:rPr>
          <w:sz w:val="18"/>
          <w:vertAlign w:val="superscript"/>
        </w:rPr>
        <w:t>385</w:t>
      </w:r>
      <w:r>
        <w:rPr>
          <w:sz w:val="18"/>
          <w:vertAlign w:val="baseline"/>
        </w:rPr>
        <w:t> [1911] A.C. 623</w:t>
      </w:r>
    </w:p>
    <w:p>
      <w:pPr>
        <w:spacing w:after="0"/>
        <w:jc w:val="left"/>
        <w:rPr>
          <w:sz w:val="18"/>
        </w:rPr>
        <w:sectPr>
          <w:pgSz w:w="11910" w:h="16840"/>
          <w:pgMar w:header="721" w:footer="1014" w:top="1300" w:bottom="1200" w:left="940" w:right="1000"/>
        </w:sectPr>
      </w:pPr>
    </w:p>
    <w:p>
      <w:pPr>
        <w:pStyle w:val="BodyText"/>
        <w:spacing w:line="480" w:lineRule="auto" w:before="124"/>
        <w:ind w:left="500" w:right="436"/>
        <w:jc w:val="both"/>
      </w:pPr>
      <w:r>
        <w:rPr/>
        <w:t>In the above decision, the question before the court was whether a presumption of lost grant could be made by virtue of the parishes exercising fishery rights admittedly for several centuries over a river. The House of Lords held by a majority that no presumption of lost grant was available in the case, inasmuch as the free holders of several parishes who were an indefinite and fluctuating </w:t>
      </w:r>
      <w:r>
        <w:rPr>
          <w:spacing w:val="2"/>
        </w:rPr>
        <w:t>body </w:t>
      </w:r>
      <w:r>
        <w:rPr/>
        <w:t>of persons could not be proper grantees in</w:t>
      </w:r>
      <w:r>
        <w:rPr>
          <w:spacing w:val="-9"/>
        </w:rPr>
        <w:t> </w:t>
      </w:r>
      <w:r>
        <w:rPr/>
        <w:t>law.</w:t>
      </w:r>
    </w:p>
    <w:p>
      <w:pPr>
        <w:pStyle w:val="BodyText"/>
        <w:rPr>
          <w:sz w:val="28"/>
        </w:rPr>
      </w:pPr>
    </w:p>
    <w:p>
      <w:pPr>
        <w:pStyle w:val="BodyText"/>
        <w:rPr>
          <w:sz w:val="28"/>
        </w:rPr>
      </w:pPr>
    </w:p>
    <w:p>
      <w:pPr>
        <w:pStyle w:val="ListParagraph"/>
        <w:numPr>
          <w:ilvl w:val="0"/>
          <w:numId w:val="235"/>
        </w:numPr>
        <w:tabs>
          <w:tab w:pos="1221" w:val="left" w:leader="none"/>
        </w:tabs>
        <w:spacing w:line="480" w:lineRule="auto" w:before="203" w:after="0"/>
        <w:ind w:left="500" w:right="435" w:firstLine="0"/>
        <w:jc w:val="both"/>
        <w:rPr>
          <w:sz w:val="25"/>
        </w:rPr>
      </w:pPr>
      <w:r>
        <w:rPr>
          <w:sz w:val="25"/>
        </w:rPr>
        <w:t>The above decision was referred to in a decision of the Calcutta High  Court in </w:t>
      </w:r>
      <w:r>
        <w:rPr>
          <w:b/>
          <w:sz w:val="25"/>
        </w:rPr>
        <w:t>Asrabulla </w:t>
      </w:r>
      <w:r>
        <w:rPr>
          <w:sz w:val="25"/>
        </w:rPr>
        <w:t>v </w:t>
      </w:r>
      <w:r>
        <w:rPr>
          <w:b/>
          <w:sz w:val="25"/>
        </w:rPr>
        <w:t>Kiamatulla Haji Chaudhury</w:t>
      </w:r>
      <w:r>
        <w:rPr>
          <w:sz w:val="25"/>
          <w:vertAlign w:val="superscript"/>
        </w:rPr>
        <w:t>386</w:t>
      </w:r>
      <w:r>
        <w:rPr>
          <w:sz w:val="25"/>
          <w:vertAlign w:val="baseline"/>
        </w:rPr>
        <w:t>, where the plaintiffs claimed that since time immemorial the inhabitants of a village had been grazing their cattle in a disputed land openly and without any interruptions and thereby, they had acquired a right of pasturage by virtue of the doctrine of presumption of lost grant. Justice B K Mukherjea (as he then was), speaking for the Division Bench held</w:t>
      </w:r>
      <w:r>
        <w:rPr>
          <w:spacing w:val="-2"/>
          <w:sz w:val="25"/>
          <w:vertAlign w:val="baseline"/>
        </w:rPr>
        <w:t> </w:t>
      </w:r>
      <w:r>
        <w:rPr>
          <w:sz w:val="25"/>
          <w:vertAlign w:val="baseline"/>
        </w:rPr>
        <w:t>thus:</w:t>
      </w:r>
    </w:p>
    <w:p>
      <w:pPr>
        <w:spacing w:line="276" w:lineRule="auto" w:before="160"/>
        <w:ind w:left="1940" w:right="2256" w:firstLine="0"/>
        <w:jc w:val="both"/>
        <w:rPr>
          <w:sz w:val="21"/>
        </w:rPr>
      </w:pPr>
      <w:r>
        <w:rPr>
          <w:spacing w:val="-1"/>
          <w:w w:val="33"/>
          <w:sz w:val="21"/>
        </w:rPr>
        <w:t>―</w:t>
      </w:r>
      <w:r>
        <w:rPr>
          <w:spacing w:val="-2"/>
          <w:w w:val="100"/>
          <w:sz w:val="21"/>
        </w:rPr>
        <w:t>..</w:t>
      </w:r>
      <w:r>
        <w:rPr>
          <w:w w:val="100"/>
          <w:sz w:val="21"/>
        </w:rPr>
        <w:t>.</w:t>
      </w:r>
      <w:r>
        <w:rPr>
          <w:spacing w:val="2"/>
          <w:sz w:val="21"/>
        </w:rPr>
        <w:t> </w:t>
      </w:r>
      <w:r>
        <w:rPr>
          <w:w w:val="100"/>
          <w:sz w:val="21"/>
        </w:rPr>
        <w:t>in</w:t>
      </w:r>
      <w:r>
        <w:rPr>
          <w:spacing w:val="3"/>
          <w:sz w:val="21"/>
        </w:rPr>
        <w:t> </w:t>
      </w:r>
      <w:r>
        <w:rPr>
          <w:spacing w:val="-1"/>
          <w:w w:val="100"/>
          <w:sz w:val="21"/>
        </w:rPr>
        <w:t>orde</w:t>
      </w:r>
      <w:r>
        <w:rPr>
          <w:w w:val="100"/>
          <w:sz w:val="21"/>
        </w:rPr>
        <w:t>r</w:t>
      </w:r>
      <w:r>
        <w:rPr>
          <w:spacing w:val="2"/>
          <w:sz w:val="21"/>
        </w:rPr>
        <w:t> </w:t>
      </w:r>
      <w:r>
        <w:rPr>
          <w:spacing w:val="-2"/>
          <w:w w:val="100"/>
          <w:sz w:val="21"/>
        </w:rPr>
        <w:t>t</w:t>
      </w:r>
      <w:r>
        <w:rPr>
          <w:spacing w:val="-1"/>
          <w:w w:val="100"/>
          <w:sz w:val="21"/>
        </w:rPr>
        <w:t>ha</w:t>
      </w:r>
      <w:r>
        <w:rPr>
          <w:w w:val="100"/>
          <w:sz w:val="21"/>
        </w:rPr>
        <w:t>t</w:t>
      </w:r>
      <w:r>
        <w:rPr>
          <w:spacing w:val="2"/>
          <w:sz w:val="21"/>
        </w:rPr>
        <w:t> </w:t>
      </w:r>
      <w:r>
        <w:rPr>
          <w:spacing w:val="-2"/>
          <w:w w:val="100"/>
          <w:sz w:val="21"/>
        </w:rPr>
        <w:t>t</w:t>
      </w:r>
      <w:r>
        <w:rPr>
          <w:spacing w:val="-1"/>
          <w:w w:val="100"/>
          <w:sz w:val="21"/>
        </w:rPr>
        <w:t>her</w:t>
      </w:r>
      <w:r>
        <w:rPr>
          <w:w w:val="100"/>
          <w:sz w:val="21"/>
        </w:rPr>
        <w:t>e</w:t>
      </w:r>
      <w:r>
        <w:rPr>
          <w:spacing w:val="1"/>
          <w:sz w:val="21"/>
        </w:rPr>
        <w:t> </w:t>
      </w:r>
      <w:r>
        <w:rPr>
          <w:spacing w:val="-1"/>
          <w:w w:val="100"/>
          <w:sz w:val="21"/>
        </w:rPr>
        <w:t>ma</w:t>
      </w:r>
      <w:r>
        <w:rPr>
          <w:w w:val="100"/>
          <w:sz w:val="21"/>
        </w:rPr>
        <w:t>y</w:t>
      </w:r>
      <w:r>
        <w:rPr>
          <w:spacing w:val="1"/>
          <w:sz w:val="21"/>
        </w:rPr>
        <w:t> </w:t>
      </w:r>
      <w:r>
        <w:rPr>
          <w:spacing w:val="-1"/>
          <w:w w:val="100"/>
          <w:sz w:val="21"/>
        </w:rPr>
        <w:t>b</w:t>
      </w:r>
      <w:r>
        <w:rPr>
          <w:w w:val="100"/>
          <w:sz w:val="21"/>
        </w:rPr>
        <w:t>e</w:t>
      </w:r>
      <w:r>
        <w:rPr>
          <w:spacing w:val="4"/>
          <w:sz w:val="21"/>
        </w:rPr>
        <w:t> </w:t>
      </w:r>
      <w:r>
        <w:rPr>
          <w:w w:val="100"/>
          <w:sz w:val="21"/>
        </w:rPr>
        <w:t>a</w:t>
      </w:r>
      <w:r>
        <w:rPr>
          <w:spacing w:val="1"/>
          <w:sz w:val="21"/>
        </w:rPr>
        <w:t> </w:t>
      </w:r>
      <w:r>
        <w:rPr>
          <w:spacing w:val="-1"/>
          <w:w w:val="100"/>
          <w:sz w:val="21"/>
        </w:rPr>
        <w:t>pres</w:t>
      </w:r>
      <w:r>
        <w:rPr>
          <w:spacing w:val="-3"/>
          <w:w w:val="100"/>
          <w:sz w:val="21"/>
        </w:rPr>
        <w:t>u</w:t>
      </w:r>
      <w:r>
        <w:rPr>
          <w:spacing w:val="-1"/>
          <w:w w:val="100"/>
          <w:sz w:val="21"/>
        </w:rPr>
        <w:t>mpt</w:t>
      </w:r>
      <w:r>
        <w:rPr>
          <w:w w:val="100"/>
          <w:sz w:val="21"/>
        </w:rPr>
        <w:t>i</w:t>
      </w:r>
      <w:r>
        <w:rPr>
          <w:spacing w:val="-3"/>
          <w:w w:val="100"/>
          <w:sz w:val="21"/>
        </w:rPr>
        <w:t>o</w:t>
      </w:r>
      <w:r>
        <w:rPr>
          <w:w w:val="100"/>
          <w:sz w:val="21"/>
        </w:rPr>
        <w:t>n</w:t>
      </w:r>
      <w:r>
        <w:rPr>
          <w:spacing w:val="3"/>
          <w:sz w:val="21"/>
        </w:rPr>
        <w:t> </w:t>
      </w:r>
      <w:r>
        <w:rPr>
          <w:spacing w:val="-3"/>
          <w:w w:val="100"/>
          <w:sz w:val="21"/>
        </w:rPr>
        <w:t>o</w:t>
      </w:r>
      <w:r>
        <w:rPr>
          <w:w w:val="100"/>
          <w:sz w:val="21"/>
        </w:rPr>
        <w:t>f</w:t>
      </w:r>
      <w:r>
        <w:rPr>
          <w:spacing w:val="4"/>
          <w:sz w:val="21"/>
        </w:rPr>
        <w:t> </w:t>
      </w:r>
      <w:r>
        <w:rPr>
          <w:spacing w:val="-2"/>
          <w:w w:val="100"/>
          <w:sz w:val="21"/>
        </w:rPr>
        <w:t>l</w:t>
      </w:r>
      <w:r>
        <w:rPr>
          <w:spacing w:val="-1"/>
          <w:w w:val="100"/>
          <w:sz w:val="21"/>
        </w:rPr>
        <w:t>a</w:t>
      </w:r>
      <w:r>
        <w:rPr>
          <w:spacing w:val="-2"/>
          <w:w w:val="100"/>
          <w:sz w:val="21"/>
        </w:rPr>
        <w:t>wf</w:t>
      </w:r>
      <w:r>
        <w:rPr>
          <w:spacing w:val="-1"/>
          <w:w w:val="100"/>
          <w:sz w:val="21"/>
        </w:rPr>
        <w:t>u</w:t>
      </w:r>
      <w:r>
        <w:rPr>
          <w:w w:val="100"/>
          <w:sz w:val="21"/>
        </w:rPr>
        <w:t>l</w:t>
      </w:r>
      <w:r>
        <w:rPr>
          <w:spacing w:val="4"/>
          <w:sz w:val="21"/>
        </w:rPr>
        <w:t> </w:t>
      </w:r>
      <w:r>
        <w:rPr>
          <w:spacing w:val="-1"/>
          <w:w w:val="100"/>
          <w:sz w:val="21"/>
        </w:rPr>
        <w:t>o</w:t>
      </w:r>
      <w:r>
        <w:rPr>
          <w:spacing w:val="-3"/>
          <w:w w:val="100"/>
          <w:sz w:val="21"/>
        </w:rPr>
        <w:t>r</w:t>
      </w:r>
      <w:r>
        <w:rPr>
          <w:w w:val="100"/>
          <w:sz w:val="21"/>
        </w:rPr>
        <w:t>i</w:t>
      </w:r>
      <w:r>
        <w:rPr>
          <w:spacing w:val="-3"/>
          <w:w w:val="100"/>
          <w:sz w:val="21"/>
        </w:rPr>
        <w:t>g</w:t>
      </w:r>
      <w:r>
        <w:rPr>
          <w:w w:val="100"/>
          <w:sz w:val="21"/>
        </w:rPr>
        <w:t>i</w:t>
      </w:r>
      <w:r>
        <w:rPr>
          <w:spacing w:val="-1"/>
          <w:w w:val="100"/>
          <w:sz w:val="21"/>
        </w:rPr>
        <w:t>n</w:t>
      </w:r>
      <w:r>
        <w:rPr>
          <w:w w:val="100"/>
          <w:sz w:val="21"/>
        </w:rPr>
        <w:t>,</w:t>
      </w:r>
      <w:r>
        <w:rPr>
          <w:spacing w:val="2"/>
          <w:sz w:val="21"/>
        </w:rPr>
        <w:t> </w:t>
      </w:r>
      <w:r>
        <w:rPr>
          <w:w w:val="100"/>
          <w:sz w:val="21"/>
        </w:rPr>
        <w:t>it </w:t>
      </w:r>
      <w:r>
        <w:rPr>
          <w:sz w:val="21"/>
        </w:rPr>
        <w:t>is necessary to establish that there was no legal bar in the way of valid grant at its inception, and that not only there was a capable grantor but there was a capable grantee also in whose favour the grant could have been made. If for any reason a valid grant could not have been made no presumption of such a grant can</w:t>
      </w:r>
      <w:r>
        <w:rPr>
          <w:spacing w:val="-10"/>
          <w:sz w:val="21"/>
        </w:rPr>
        <w:t> </w:t>
      </w:r>
      <w:r>
        <w:rPr>
          <w:sz w:val="21"/>
        </w:rPr>
        <w:t>arise.‖</w:t>
      </w:r>
    </w:p>
    <w:p>
      <w:pPr>
        <w:pStyle w:val="BodyText"/>
        <w:rPr>
          <w:sz w:val="24"/>
        </w:rPr>
      </w:pPr>
    </w:p>
    <w:p>
      <w:pPr>
        <w:pStyle w:val="BodyText"/>
        <w:spacing w:before="7"/>
        <w:rPr>
          <w:sz w:val="31"/>
        </w:rPr>
      </w:pPr>
    </w:p>
    <w:p>
      <w:pPr>
        <w:pStyle w:val="ListParagraph"/>
        <w:numPr>
          <w:ilvl w:val="0"/>
          <w:numId w:val="235"/>
        </w:numPr>
        <w:tabs>
          <w:tab w:pos="1221" w:val="left" w:leader="none"/>
        </w:tabs>
        <w:spacing w:line="480" w:lineRule="auto" w:before="1" w:after="0"/>
        <w:ind w:left="500" w:right="436" w:firstLine="0"/>
        <w:jc w:val="both"/>
        <w:rPr>
          <w:sz w:val="25"/>
        </w:rPr>
      </w:pPr>
      <w:r>
        <w:rPr/>
        <w:pict>
          <v:rect style="position:absolute;margin-left:72.024002pt;margin-top:118.234879pt;width:144.020pt;height:.599980pt;mso-position-horizontal-relative:page;mso-position-vertical-relative:paragraph;z-index:-15613952;mso-wrap-distance-left:0;mso-wrap-distance-right:0" filled="true" fillcolor="#000000" stroked="false">
            <v:fill type="solid"/>
            <w10:wrap type="topAndBottom"/>
          </v:rect>
        </w:pict>
      </w:r>
      <w:r>
        <w:rPr>
          <w:sz w:val="25"/>
        </w:rPr>
        <w:t>The Privy Council in </w:t>
      </w:r>
      <w:r>
        <w:rPr>
          <w:b/>
          <w:sz w:val="25"/>
        </w:rPr>
        <w:t>N Sankaranarayana Pillayan </w:t>
      </w:r>
      <w:r>
        <w:rPr>
          <w:sz w:val="25"/>
        </w:rPr>
        <w:t>v </w:t>
      </w:r>
      <w:r>
        <w:rPr>
          <w:b/>
          <w:sz w:val="25"/>
        </w:rPr>
        <w:t>Board Of Commissioners For The Hindu Religious Endowments, Madras</w:t>
      </w:r>
      <w:r>
        <w:rPr>
          <w:sz w:val="25"/>
          <w:vertAlign w:val="superscript"/>
        </w:rPr>
        <w:t>387</w:t>
      </w:r>
      <w:r>
        <w:rPr>
          <w:sz w:val="25"/>
          <w:vertAlign w:val="baseline"/>
        </w:rPr>
        <w:t>, dealt with a case where the parties claimed that they were the owners of the suit properties, comprising</w:t>
      </w:r>
      <w:r>
        <w:rPr>
          <w:spacing w:val="27"/>
          <w:sz w:val="25"/>
          <w:vertAlign w:val="baseline"/>
        </w:rPr>
        <w:t> </w:t>
      </w:r>
      <w:r>
        <w:rPr>
          <w:sz w:val="25"/>
          <w:vertAlign w:val="baseline"/>
        </w:rPr>
        <w:t>of</w:t>
      </w:r>
      <w:r>
        <w:rPr>
          <w:spacing w:val="28"/>
          <w:sz w:val="25"/>
          <w:vertAlign w:val="baseline"/>
        </w:rPr>
        <w:t> </w:t>
      </w:r>
      <w:r>
        <w:rPr>
          <w:sz w:val="25"/>
          <w:vertAlign w:val="baseline"/>
        </w:rPr>
        <w:t>both</w:t>
      </w:r>
      <w:r>
        <w:rPr>
          <w:spacing w:val="28"/>
          <w:sz w:val="25"/>
          <w:vertAlign w:val="baseline"/>
        </w:rPr>
        <w:t> </w:t>
      </w:r>
      <w:r>
        <w:rPr>
          <w:sz w:val="25"/>
          <w:vertAlign w:val="baseline"/>
        </w:rPr>
        <w:t>inam</w:t>
      </w:r>
      <w:r>
        <w:rPr>
          <w:spacing w:val="31"/>
          <w:sz w:val="25"/>
          <w:vertAlign w:val="baseline"/>
        </w:rPr>
        <w:t> </w:t>
      </w:r>
      <w:r>
        <w:rPr>
          <w:sz w:val="25"/>
          <w:vertAlign w:val="baseline"/>
        </w:rPr>
        <w:t>(rent</w:t>
      </w:r>
      <w:r>
        <w:rPr>
          <w:spacing w:val="27"/>
          <w:sz w:val="25"/>
          <w:vertAlign w:val="baseline"/>
        </w:rPr>
        <w:t> </w:t>
      </w:r>
      <w:r>
        <w:rPr>
          <w:sz w:val="25"/>
          <w:vertAlign w:val="baseline"/>
        </w:rPr>
        <w:t>free)</w:t>
      </w:r>
      <w:r>
        <w:rPr>
          <w:spacing w:val="28"/>
          <w:sz w:val="25"/>
          <w:vertAlign w:val="baseline"/>
        </w:rPr>
        <w:t> </w:t>
      </w:r>
      <w:r>
        <w:rPr>
          <w:sz w:val="25"/>
          <w:vertAlign w:val="baseline"/>
        </w:rPr>
        <w:t>and</w:t>
      </w:r>
      <w:r>
        <w:rPr>
          <w:spacing w:val="28"/>
          <w:sz w:val="25"/>
          <w:vertAlign w:val="baseline"/>
        </w:rPr>
        <w:t> </w:t>
      </w:r>
      <w:r>
        <w:rPr>
          <w:sz w:val="25"/>
          <w:vertAlign w:val="baseline"/>
        </w:rPr>
        <w:t>ryotwari</w:t>
      </w:r>
      <w:r>
        <w:rPr>
          <w:spacing w:val="27"/>
          <w:sz w:val="25"/>
          <w:vertAlign w:val="baseline"/>
        </w:rPr>
        <w:t> </w:t>
      </w:r>
      <w:r>
        <w:rPr>
          <w:sz w:val="25"/>
          <w:vertAlign w:val="baseline"/>
        </w:rPr>
        <w:t>or</w:t>
      </w:r>
      <w:r>
        <w:rPr>
          <w:spacing w:val="27"/>
          <w:sz w:val="25"/>
          <w:vertAlign w:val="baseline"/>
        </w:rPr>
        <w:t> </w:t>
      </w:r>
      <w:r>
        <w:rPr>
          <w:sz w:val="25"/>
          <w:vertAlign w:val="baseline"/>
        </w:rPr>
        <w:t>ayan</w:t>
      </w:r>
      <w:r>
        <w:rPr>
          <w:spacing w:val="28"/>
          <w:sz w:val="25"/>
          <w:vertAlign w:val="baseline"/>
        </w:rPr>
        <w:t> </w:t>
      </w:r>
      <w:r>
        <w:rPr>
          <w:sz w:val="25"/>
          <w:vertAlign w:val="baseline"/>
        </w:rPr>
        <w:t>(assessed)</w:t>
      </w:r>
      <w:r>
        <w:rPr>
          <w:spacing w:val="28"/>
          <w:sz w:val="25"/>
          <w:vertAlign w:val="baseline"/>
        </w:rPr>
        <w:t> </w:t>
      </w:r>
      <w:r>
        <w:rPr>
          <w:sz w:val="25"/>
          <w:vertAlign w:val="baseline"/>
        </w:rPr>
        <w:t>lands,</w:t>
      </w:r>
      <w:r>
        <w:rPr>
          <w:spacing w:val="27"/>
          <w:sz w:val="25"/>
          <w:vertAlign w:val="baseline"/>
        </w:rPr>
        <w:t> </w:t>
      </w:r>
      <w:r>
        <w:rPr>
          <w:sz w:val="25"/>
          <w:vertAlign w:val="baseline"/>
        </w:rPr>
        <w:t>and</w:t>
      </w:r>
    </w:p>
    <w:p>
      <w:pPr>
        <w:spacing w:before="78"/>
        <w:ind w:left="500" w:right="0" w:firstLine="0"/>
        <w:jc w:val="left"/>
        <w:rPr>
          <w:sz w:val="18"/>
        </w:rPr>
      </w:pPr>
      <w:r>
        <w:rPr>
          <w:sz w:val="18"/>
          <w:vertAlign w:val="superscript"/>
        </w:rPr>
        <w:t>386</w:t>
      </w:r>
      <w:r>
        <w:rPr>
          <w:sz w:val="18"/>
          <w:vertAlign w:val="baseline"/>
        </w:rPr>
        <w:t> AIR 1937 Cal 245</w:t>
      </w:r>
    </w:p>
    <w:p>
      <w:pPr>
        <w:spacing w:before="2"/>
        <w:ind w:left="500" w:right="0" w:firstLine="0"/>
        <w:jc w:val="left"/>
        <w:rPr>
          <w:sz w:val="18"/>
        </w:rPr>
      </w:pPr>
      <w:r>
        <w:rPr>
          <w:sz w:val="18"/>
          <w:vertAlign w:val="superscript"/>
        </w:rPr>
        <w:t>387</w:t>
      </w:r>
      <w:r>
        <w:rPr>
          <w:sz w:val="18"/>
          <w:vertAlign w:val="baseline"/>
        </w:rPr>
        <w:t> AIR 1948 PC 25</w:t>
      </w:r>
    </w:p>
    <w:p>
      <w:pPr>
        <w:spacing w:after="0"/>
        <w:jc w:val="left"/>
        <w:rPr>
          <w:sz w:val="18"/>
        </w:rPr>
        <w:sectPr>
          <w:pgSz w:w="11910" w:h="16840"/>
          <w:pgMar w:header="721" w:footer="1014" w:top="1300" w:bottom="1200" w:left="940" w:right="1000"/>
        </w:sectPr>
      </w:pPr>
    </w:p>
    <w:p>
      <w:pPr>
        <w:pStyle w:val="BodyText"/>
        <w:spacing w:line="480" w:lineRule="auto" w:before="124"/>
        <w:ind w:left="500" w:right="436"/>
        <w:jc w:val="both"/>
      </w:pPr>
      <w:r>
        <w:rPr/>
        <w:t>that only a part of the income was subject to a charge for meeting the expenses of the midnight kattalai according to a prescribed scale in the Sri Papavinasaswami Temple at Papanasam in Madras. The question before the court was whether the suit properties had been wholly dedicated to the religious charity or whether there had been merely a charge on the income of the properties in favour of the charity. The court found that the endowment was founded by the Carnatic Rajas and not by the ancestors of the appellants, who were mere managers or supervisors of the endowment. The properties and the income therefrom were absolutely dedicated to the temple, and mainly for the purposes of the midnight services, and the appellants had no beneficial interest in any surplus income. Discussing the documentary evidence for the purpose of determining the true nature of the endowment, Justice M R Jayakar held</w:t>
      </w:r>
      <w:r>
        <w:rPr>
          <w:spacing w:val="-21"/>
        </w:rPr>
        <w:t> </w:t>
      </w:r>
      <w:r>
        <w:rPr/>
        <w:t>thus:</w:t>
      </w:r>
    </w:p>
    <w:p>
      <w:pPr>
        <w:spacing w:line="276" w:lineRule="auto" w:before="159"/>
        <w:ind w:left="1940" w:right="2255" w:firstLine="0"/>
        <w:jc w:val="both"/>
        <w:rPr>
          <w:sz w:val="21"/>
        </w:rPr>
      </w:pPr>
      <w:r>
        <w:rPr>
          <w:spacing w:val="-1"/>
          <w:w w:val="33"/>
          <w:sz w:val="21"/>
        </w:rPr>
        <w:t>―</w:t>
      </w:r>
      <w:r>
        <w:rPr>
          <w:w w:val="100"/>
          <w:sz w:val="21"/>
        </w:rPr>
        <w:t>As</w:t>
      </w:r>
      <w:r>
        <w:rPr>
          <w:sz w:val="21"/>
        </w:rPr>
        <w:t> </w:t>
      </w:r>
      <w:r>
        <w:rPr>
          <w:spacing w:val="-19"/>
          <w:sz w:val="21"/>
        </w:rPr>
        <w:t> </w:t>
      </w:r>
      <w:r>
        <w:rPr>
          <w:spacing w:val="-2"/>
          <w:w w:val="100"/>
          <w:sz w:val="21"/>
        </w:rPr>
        <w:t>t</w:t>
      </w:r>
      <w:r>
        <w:rPr>
          <w:spacing w:val="-1"/>
          <w:w w:val="100"/>
          <w:sz w:val="21"/>
        </w:rPr>
        <w:t>her</w:t>
      </w:r>
      <w:r>
        <w:rPr>
          <w:w w:val="100"/>
          <w:sz w:val="21"/>
        </w:rPr>
        <w:t>e</w:t>
      </w:r>
      <w:r>
        <w:rPr>
          <w:sz w:val="21"/>
        </w:rPr>
        <w:t> </w:t>
      </w:r>
      <w:r>
        <w:rPr>
          <w:spacing w:val="-19"/>
          <w:sz w:val="21"/>
        </w:rPr>
        <w:t> </w:t>
      </w:r>
      <w:r>
        <w:rPr>
          <w:spacing w:val="-2"/>
          <w:w w:val="100"/>
          <w:sz w:val="21"/>
        </w:rPr>
        <w:t>w</w:t>
      </w:r>
      <w:r>
        <w:rPr>
          <w:spacing w:val="-1"/>
          <w:w w:val="100"/>
          <w:sz w:val="21"/>
        </w:rPr>
        <w:t>a</w:t>
      </w:r>
      <w:r>
        <w:rPr>
          <w:w w:val="100"/>
          <w:sz w:val="21"/>
        </w:rPr>
        <w:t>s</w:t>
      </w:r>
      <w:r>
        <w:rPr>
          <w:sz w:val="21"/>
        </w:rPr>
        <w:t> </w:t>
      </w:r>
      <w:r>
        <w:rPr>
          <w:spacing w:val="-19"/>
          <w:sz w:val="21"/>
        </w:rPr>
        <w:t> </w:t>
      </w:r>
      <w:r>
        <w:rPr>
          <w:spacing w:val="-1"/>
          <w:w w:val="100"/>
          <w:sz w:val="21"/>
        </w:rPr>
        <w:t>n</w:t>
      </w:r>
      <w:r>
        <w:rPr>
          <w:w w:val="100"/>
          <w:sz w:val="21"/>
        </w:rPr>
        <w:t>o</w:t>
      </w:r>
      <w:r>
        <w:rPr>
          <w:sz w:val="21"/>
        </w:rPr>
        <w:t> </w:t>
      </w:r>
      <w:r>
        <w:rPr>
          <w:spacing w:val="-19"/>
          <w:sz w:val="21"/>
        </w:rPr>
        <w:t> </w:t>
      </w:r>
      <w:r>
        <w:rPr>
          <w:spacing w:val="-3"/>
          <w:w w:val="100"/>
          <w:sz w:val="21"/>
        </w:rPr>
        <w:t>d</w:t>
      </w:r>
      <w:r>
        <w:rPr>
          <w:spacing w:val="-1"/>
          <w:w w:val="100"/>
          <w:sz w:val="21"/>
        </w:rPr>
        <w:t>ee</w:t>
      </w:r>
      <w:r>
        <w:rPr>
          <w:w w:val="100"/>
          <w:sz w:val="21"/>
        </w:rPr>
        <w:t>d</w:t>
      </w:r>
      <w:r>
        <w:rPr>
          <w:sz w:val="21"/>
        </w:rPr>
        <w:t> </w:t>
      </w:r>
      <w:r>
        <w:rPr>
          <w:spacing w:val="-21"/>
          <w:sz w:val="21"/>
        </w:rPr>
        <w:t> </w:t>
      </w:r>
      <w:r>
        <w:rPr>
          <w:spacing w:val="-1"/>
          <w:w w:val="100"/>
          <w:sz w:val="21"/>
        </w:rPr>
        <w:t>o</w:t>
      </w:r>
      <w:r>
        <w:rPr>
          <w:w w:val="100"/>
          <w:sz w:val="21"/>
        </w:rPr>
        <w:t>r</w:t>
      </w:r>
      <w:r>
        <w:rPr>
          <w:sz w:val="21"/>
        </w:rPr>
        <w:t> </w:t>
      </w:r>
      <w:r>
        <w:rPr>
          <w:spacing w:val="-20"/>
          <w:sz w:val="21"/>
        </w:rPr>
        <w:t> </w:t>
      </w:r>
      <w:r>
        <w:rPr>
          <w:spacing w:val="-1"/>
          <w:w w:val="100"/>
          <w:sz w:val="21"/>
        </w:rPr>
        <w:t>gran</w:t>
      </w:r>
      <w:r>
        <w:rPr>
          <w:w w:val="100"/>
          <w:sz w:val="21"/>
        </w:rPr>
        <w:t>t</w:t>
      </w:r>
      <w:r>
        <w:rPr>
          <w:sz w:val="21"/>
        </w:rPr>
        <w:t> </w:t>
      </w:r>
      <w:r>
        <w:rPr>
          <w:spacing w:val="-20"/>
          <w:sz w:val="21"/>
        </w:rPr>
        <w:t> </w:t>
      </w:r>
      <w:r>
        <w:rPr>
          <w:spacing w:val="-1"/>
          <w:w w:val="100"/>
          <w:sz w:val="21"/>
        </w:rPr>
        <w:t>o</w:t>
      </w:r>
      <w:r>
        <w:rPr>
          <w:w w:val="100"/>
          <w:sz w:val="21"/>
        </w:rPr>
        <w:t>r</w:t>
      </w:r>
      <w:r>
        <w:rPr>
          <w:sz w:val="21"/>
        </w:rPr>
        <w:t> </w:t>
      </w:r>
      <w:r>
        <w:rPr>
          <w:spacing w:val="-20"/>
          <w:sz w:val="21"/>
        </w:rPr>
        <w:t> </w:t>
      </w:r>
      <w:r>
        <w:rPr>
          <w:spacing w:val="-1"/>
          <w:w w:val="100"/>
          <w:sz w:val="21"/>
        </w:rPr>
        <w:t>an</w:t>
      </w:r>
      <w:r>
        <w:rPr>
          <w:w w:val="100"/>
          <w:sz w:val="21"/>
        </w:rPr>
        <w:t>y</w:t>
      </w:r>
      <w:r>
        <w:rPr>
          <w:sz w:val="21"/>
        </w:rPr>
        <w:t> </w:t>
      </w:r>
      <w:r>
        <w:rPr>
          <w:spacing w:val="-21"/>
          <w:sz w:val="21"/>
        </w:rPr>
        <w:t> </w:t>
      </w:r>
      <w:r>
        <w:rPr>
          <w:spacing w:val="-1"/>
          <w:w w:val="100"/>
          <w:sz w:val="21"/>
        </w:rPr>
        <w:t>doc</w:t>
      </w:r>
      <w:r>
        <w:rPr>
          <w:spacing w:val="-2"/>
          <w:w w:val="100"/>
          <w:sz w:val="21"/>
        </w:rPr>
        <w:t>u</w:t>
      </w:r>
      <w:r>
        <w:rPr>
          <w:spacing w:val="1"/>
          <w:w w:val="100"/>
          <w:sz w:val="21"/>
        </w:rPr>
        <w:t>m</w:t>
      </w:r>
      <w:r>
        <w:rPr>
          <w:spacing w:val="-3"/>
          <w:w w:val="100"/>
          <w:sz w:val="21"/>
        </w:rPr>
        <w:t>en</w:t>
      </w:r>
      <w:r>
        <w:rPr>
          <w:w w:val="100"/>
          <w:sz w:val="21"/>
        </w:rPr>
        <w:t>t</w:t>
      </w:r>
      <w:r>
        <w:rPr>
          <w:sz w:val="21"/>
        </w:rPr>
        <w:t> </w:t>
      </w:r>
      <w:r>
        <w:rPr>
          <w:spacing w:val="-20"/>
          <w:sz w:val="21"/>
        </w:rPr>
        <w:t> </w:t>
      </w:r>
      <w:r>
        <w:rPr>
          <w:spacing w:val="-2"/>
          <w:w w:val="100"/>
          <w:sz w:val="21"/>
        </w:rPr>
        <w:t>t</w:t>
      </w:r>
      <w:r>
        <w:rPr>
          <w:spacing w:val="-1"/>
          <w:w w:val="100"/>
          <w:sz w:val="21"/>
        </w:rPr>
        <w:t>hro</w:t>
      </w:r>
      <w:r>
        <w:rPr>
          <w:spacing w:val="-2"/>
          <w:w w:val="100"/>
          <w:sz w:val="21"/>
        </w:rPr>
        <w:t>w</w:t>
      </w:r>
      <w:r>
        <w:rPr>
          <w:w w:val="100"/>
          <w:sz w:val="21"/>
        </w:rPr>
        <w:t>i</w:t>
      </w:r>
      <w:r>
        <w:rPr>
          <w:spacing w:val="-1"/>
          <w:w w:val="100"/>
          <w:sz w:val="21"/>
        </w:rPr>
        <w:t>ng </w:t>
      </w:r>
      <w:r>
        <w:rPr>
          <w:sz w:val="21"/>
        </w:rPr>
        <w:t>light on the nature or terms of the endowment, the  High Court, in their Lordships' opinion, was justified in relying on other documentary evidence for the purpose of determining what the true nature of the endowment. Such documentary evidence consisted, inter alia, of inam-registers, title deeds, statements in survey and settlement registers, pattas and orders of various revenue authorities to their subordinates in connection with the endowment in</w:t>
      </w:r>
      <w:r>
        <w:rPr>
          <w:spacing w:val="-12"/>
          <w:sz w:val="21"/>
        </w:rPr>
        <w:t> </w:t>
      </w:r>
      <w:r>
        <w:rPr>
          <w:sz w:val="21"/>
        </w:rPr>
        <w:t>question.‖</w:t>
      </w:r>
    </w:p>
    <w:p>
      <w:pPr>
        <w:pStyle w:val="BodyText"/>
        <w:spacing w:before="4"/>
        <w:rPr>
          <w:sz w:val="24"/>
        </w:rPr>
      </w:pPr>
    </w:p>
    <w:p>
      <w:pPr>
        <w:spacing w:before="0"/>
        <w:ind w:left="1940" w:right="0" w:firstLine="0"/>
        <w:jc w:val="left"/>
        <w:rPr>
          <w:sz w:val="21"/>
        </w:rPr>
      </w:pPr>
      <w:r>
        <w:rPr>
          <w:sz w:val="21"/>
        </w:rPr>
        <w:t>...</w:t>
      </w:r>
    </w:p>
    <w:p>
      <w:pPr>
        <w:pStyle w:val="BodyText"/>
        <w:spacing w:before="2"/>
        <w:rPr>
          <w:sz w:val="27"/>
        </w:rPr>
      </w:pPr>
    </w:p>
    <w:p>
      <w:pPr>
        <w:spacing w:line="276" w:lineRule="auto" w:before="1"/>
        <w:ind w:left="1940" w:right="2254" w:firstLine="0"/>
        <w:jc w:val="both"/>
        <w:rPr>
          <w:sz w:val="21"/>
        </w:rPr>
      </w:pPr>
      <w:r>
        <w:rPr>
          <w:sz w:val="21"/>
        </w:rPr>
        <w:t>In the present case no such arrangement is in evidence with which the possession or enjoyment of the appellants' family could be said to have commenced. The only arrangement mentioned is the compromise between the members of the family to which the endowment was not a party.‖</w:t>
      </w:r>
    </w:p>
    <w:p>
      <w:pPr>
        <w:spacing w:after="0" w:line="276" w:lineRule="auto"/>
        <w:jc w:val="both"/>
        <w:rPr>
          <w:sz w:val="21"/>
        </w:rPr>
        <w:sectPr>
          <w:pgSz w:w="11910" w:h="16840"/>
          <w:pgMar w:header="721" w:footer="1014" w:top="1300" w:bottom="1200" w:left="940" w:right="1000"/>
        </w:sectPr>
      </w:pPr>
    </w:p>
    <w:p>
      <w:pPr>
        <w:pStyle w:val="BodyText"/>
        <w:spacing w:line="480" w:lineRule="auto" w:before="121"/>
        <w:ind w:left="500" w:right="435"/>
        <w:jc w:val="both"/>
      </w:pPr>
      <w:r>
        <w:rPr/>
        <w:t>The Privy Council referred to the decision in </w:t>
      </w:r>
      <w:r>
        <w:rPr>
          <w:b/>
        </w:rPr>
        <w:t>Chockalingam Pillai </w:t>
      </w:r>
      <w:r>
        <w:rPr/>
        <w:t>and discussed the applicability of doctrine of lost grant in cases involving absence of the existence of actual evidence. It was held thus:</w:t>
      </w:r>
    </w:p>
    <w:p>
      <w:pPr>
        <w:pStyle w:val="BodyText"/>
        <w:spacing w:before="5"/>
        <w:rPr>
          <w:sz w:val="24"/>
        </w:rPr>
      </w:pPr>
    </w:p>
    <w:p>
      <w:pPr>
        <w:spacing w:line="276" w:lineRule="auto" w:before="0"/>
        <w:ind w:left="1940" w:right="2252" w:firstLine="0"/>
        <w:jc w:val="both"/>
        <w:rPr>
          <w:sz w:val="21"/>
        </w:rPr>
      </w:pPr>
      <w:r>
        <w:rPr>
          <w:spacing w:val="-1"/>
          <w:w w:val="33"/>
          <w:sz w:val="21"/>
        </w:rPr>
        <w:t>―</w:t>
      </w:r>
      <w:r>
        <w:rPr>
          <w:spacing w:val="-2"/>
          <w:w w:val="100"/>
          <w:sz w:val="21"/>
        </w:rPr>
        <w:t>..</w:t>
      </w:r>
      <w:r>
        <w:rPr>
          <w:w w:val="100"/>
          <w:sz w:val="21"/>
        </w:rPr>
        <w:t>.</w:t>
      </w:r>
      <w:r>
        <w:rPr>
          <w:sz w:val="21"/>
        </w:rPr>
        <w:t> </w:t>
      </w:r>
      <w:r>
        <w:rPr>
          <w:spacing w:val="-1"/>
          <w:sz w:val="21"/>
        </w:rPr>
        <w:t> </w:t>
      </w:r>
      <w:r>
        <w:rPr>
          <w:w w:val="100"/>
          <w:sz w:val="21"/>
        </w:rPr>
        <w:t>The</w:t>
      </w:r>
      <w:r>
        <w:rPr>
          <w:sz w:val="21"/>
        </w:rPr>
        <w:t>  </w:t>
      </w:r>
      <w:r>
        <w:rPr>
          <w:spacing w:val="-1"/>
          <w:w w:val="100"/>
          <w:sz w:val="21"/>
        </w:rPr>
        <w:t>othe</w:t>
      </w:r>
      <w:r>
        <w:rPr>
          <w:w w:val="100"/>
          <w:sz w:val="21"/>
        </w:rPr>
        <w:t>r</w:t>
      </w:r>
      <w:r>
        <w:rPr>
          <w:sz w:val="21"/>
        </w:rPr>
        <w:t>  </w:t>
      </w:r>
      <w:r>
        <w:rPr>
          <w:w w:val="100"/>
          <w:sz w:val="21"/>
        </w:rPr>
        <w:t>case</w:t>
      </w:r>
      <w:r>
        <w:rPr>
          <w:sz w:val="21"/>
        </w:rPr>
        <w:t>  </w:t>
      </w:r>
      <w:r>
        <w:rPr>
          <w:spacing w:val="-1"/>
          <w:w w:val="100"/>
          <w:sz w:val="21"/>
        </w:rPr>
        <w:t>re</w:t>
      </w:r>
      <w:r>
        <w:rPr>
          <w:spacing w:val="-2"/>
          <w:w w:val="100"/>
          <w:sz w:val="21"/>
        </w:rPr>
        <w:t>l</w:t>
      </w:r>
      <w:r>
        <w:rPr>
          <w:w w:val="100"/>
          <w:sz w:val="21"/>
        </w:rPr>
        <w:t>i</w:t>
      </w:r>
      <w:r>
        <w:rPr>
          <w:spacing w:val="-3"/>
          <w:w w:val="100"/>
          <w:sz w:val="21"/>
        </w:rPr>
        <w:t>e</w:t>
      </w:r>
      <w:r>
        <w:rPr>
          <w:w w:val="100"/>
          <w:sz w:val="21"/>
        </w:rPr>
        <w:t>d</w:t>
      </w:r>
      <w:r>
        <w:rPr>
          <w:sz w:val="21"/>
        </w:rPr>
        <w:t>  </w:t>
      </w:r>
      <w:r>
        <w:rPr>
          <w:spacing w:val="-1"/>
          <w:w w:val="100"/>
          <w:sz w:val="21"/>
        </w:rPr>
        <w:t>o</w:t>
      </w:r>
      <w:r>
        <w:rPr>
          <w:w w:val="100"/>
          <w:sz w:val="21"/>
        </w:rPr>
        <w:t>n</w:t>
      </w:r>
      <w:r>
        <w:rPr>
          <w:sz w:val="21"/>
        </w:rPr>
        <w:t>  </w:t>
      </w:r>
      <w:r>
        <w:rPr>
          <w:spacing w:val="-2"/>
          <w:w w:val="100"/>
          <w:sz w:val="21"/>
        </w:rPr>
        <w:t>w</w:t>
      </w:r>
      <w:r>
        <w:rPr>
          <w:spacing w:val="-1"/>
          <w:w w:val="100"/>
          <w:sz w:val="21"/>
        </w:rPr>
        <w:t>a</w:t>
      </w:r>
      <w:r>
        <w:rPr>
          <w:w w:val="100"/>
          <w:sz w:val="21"/>
        </w:rPr>
        <w:t>s</w:t>
      </w:r>
      <w:r>
        <w:rPr>
          <w:spacing w:val="1"/>
          <w:sz w:val="21"/>
        </w:rPr>
        <w:t> </w:t>
      </w:r>
      <w:r>
        <w:rPr>
          <w:spacing w:val="-1"/>
          <w:w w:val="100"/>
          <w:sz w:val="21"/>
        </w:rPr>
        <w:t>M</w:t>
      </w:r>
      <w:r>
        <w:rPr>
          <w:w w:val="100"/>
          <w:sz w:val="21"/>
        </w:rPr>
        <w:t>ah</w:t>
      </w:r>
      <w:r>
        <w:rPr>
          <w:spacing w:val="-2"/>
          <w:w w:val="100"/>
          <w:sz w:val="21"/>
        </w:rPr>
        <w:t>a</w:t>
      </w:r>
      <w:r>
        <w:rPr>
          <w:spacing w:val="-1"/>
          <w:w w:val="100"/>
          <w:sz w:val="21"/>
        </w:rPr>
        <w:t>mm</w:t>
      </w:r>
      <w:r>
        <w:rPr>
          <w:w w:val="100"/>
          <w:sz w:val="21"/>
        </w:rPr>
        <w:t>ad</w:t>
      </w:r>
      <w:r>
        <w:rPr>
          <w:sz w:val="21"/>
        </w:rPr>
        <w:t>  </w:t>
      </w:r>
      <w:r>
        <w:rPr>
          <w:spacing w:val="-4"/>
          <w:w w:val="100"/>
          <w:sz w:val="21"/>
        </w:rPr>
        <w:t>M</w:t>
      </w:r>
      <w:r>
        <w:rPr>
          <w:w w:val="100"/>
          <w:sz w:val="21"/>
        </w:rPr>
        <w:t>a</w:t>
      </w:r>
      <w:r>
        <w:rPr>
          <w:spacing w:val="-3"/>
          <w:w w:val="100"/>
          <w:sz w:val="21"/>
        </w:rPr>
        <w:t>z</w:t>
      </w:r>
      <w:r>
        <w:rPr>
          <w:w w:val="100"/>
          <w:sz w:val="21"/>
        </w:rPr>
        <w:t>a</w:t>
      </w:r>
      <w:r>
        <w:rPr>
          <w:spacing w:val="1"/>
          <w:w w:val="100"/>
          <w:sz w:val="21"/>
        </w:rPr>
        <w:t>f</w:t>
      </w:r>
      <w:r>
        <w:rPr>
          <w:spacing w:val="-2"/>
          <w:w w:val="100"/>
          <w:sz w:val="21"/>
        </w:rPr>
        <w:t>f</w:t>
      </w:r>
      <w:r>
        <w:rPr>
          <w:w w:val="100"/>
          <w:sz w:val="21"/>
        </w:rPr>
        <w:t>a</w:t>
      </w:r>
      <w:r>
        <w:rPr>
          <w:spacing w:val="-1"/>
          <w:w w:val="100"/>
          <w:sz w:val="21"/>
        </w:rPr>
        <w:t>r-</w:t>
      </w:r>
      <w:r>
        <w:rPr>
          <w:w w:val="100"/>
          <w:sz w:val="21"/>
        </w:rPr>
        <w:t>a</w:t>
      </w:r>
      <w:r>
        <w:rPr>
          <w:spacing w:val="1"/>
          <w:w w:val="100"/>
          <w:sz w:val="21"/>
        </w:rPr>
        <w:t>l</w:t>
      </w:r>
      <w:r>
        <w:rPr>
          <w:w w:val="100"/>
          <w:sz w:val="21"/>
        </w:rPr>
        <w:t>- </w:t>
      </w:r>
      <w:r>
        <w:rPr>
          <w:sz w:val="21"/>
        </w:rPr>
        <w:t>Musavi v. Jabeda Khatun (AIR 1930 PC 103) where the rule was affirmed, relating to the presumption of a lawful origin in support of proprietary rights long and quietly enjoyed, as it was explained in an earlier case [Chockalingam Pillai v Mayandi Chettiar ILR 19 Madras 485] by Lord Buckmaster…But it was explained in the same case that this rule is applicable where there is absence or failure of actual evidence. The presumption, it was stated, of an origin  in some lawful title which the courts have so often readily made in order to support possessory rights long and quietly enjoyed, arises where no actual proof of title is forthcoming, and the rule has to be resorted to because of the failure of actual evidence. In the present case, where there is ample and convincing proof of the nature of the grant, the object of the endowment and the capacity of the persons claiming the user and enjoyment, the rule can hardly have any application.‖</w:t>
      </w:r>
    </w:p>
    <w:p>
      <w:pPr>
        <w:pStyle w:val="BodyText"/>
        <w:rPr>
          <w:sz w:val="24"/>
        </w:rPr>
      </w:pPr>
    </w:p>
    <w:p>
      <w:pPr>
        <w:pStyle w:val="BodyText"/>
        <w:spacing w:before="5"/>
        <w:rPr>
          <w:sz w:val="24"/>
        </w:rPr>
      </w:pPr>
    </w:p>
    <w:p>
      <w:pPr>
        <w:pStyle w:val="ListParagraph"/>
        <w:numPr>
          <w:ilvl w:val="0"/>
          <w:numId w:val="235"/>
        </w:numPr>
        <w:tabs>
          <w:tab w:pos="1221" w:val="left" w:leader="none"/>
        </w:tabs>
        <w:spacing w:line="480" w:lineRule="auto" w:before="0" w:after="0"/>
        <w:ind w:left="500" w:right="436" w:firstLine="0"/>
        <w:jc w:val="both"/>
        <w:rPr>
          <w:sz w:val="25"/>
        </w:rPr>
      </w:pPr>
      <w:r>
        <w:rPr>
          <w:sz w:val="25"/>
        </w:rPr>
        <w:t>In a later decision of the Privy Council in </w:t>
      </w:r>
      <w:r>
        <w:rPr>
          <w:b/>
          <w:sz w:val="25"/>
        </w:rPr>
        <w:t>Lakshmidhar Misra </w:t>
      </w:r>
      <w:r>
        <w:rPr>
          <w:sz w:val="25"/>
        </w:rPr>
        <w:t>v </w:t>
      </w:r>
      <w:r>
        <w:rPr>
          <w:b/>
          <w:sz w:val="25"/>
        </w:rPr>
        <w:t>Rangalal</w:t>
      </w:r>
      <w:r>
        <w:rPr>
          <w:sz w:val="25"/>
          <w:vertAlign w:val="superscript"/>
        </w:rPr>
        <w:t>388</w:t>
      </w:r>
      <w:r>
        <w:rPr>
          <w:sz w:val="25"/>
          <w:vertAlign w:val="baseline"/>
        </w:rPr>
        <w:t>, the appellants in a representative capacity on behalf of the villagers claimed a parcel of land as a cremation ground since time immemorial. The respondent on the other hand claimed the land for the purpose of a private industry. The Subordinate Judge in first appeal held that the reservation of land amounted to a dedication or a grant by the landlord. The High Court in second appeal set aside the decision of the Subordinate Judge on the ground that there existed no valid grant and dismissed the appellant‘s suit. In appeal, the Privy Council held that the issue of whether the land had been used as a cremation ground</w:t>
      </w:r>
      <w:r>
        <w:rPr>
          <w:spacing w:val="22"/>
          <w:sz w:val="25"/>
          <w:vertAlign w:val="baseline"/>
        </w:rPr>
        <w:t> </w:t>
      </w:r>
      <w:r>
        <w:rPr>
          <w:sz w:val="25"/>
          <w:vertAlign w:val="baseline"/>
        </w:rPr>
        <w:t>was</w:t>
      </w:r>
      <w:r>
        <w:rPr>
          <w:spacing w:val="23"/>
          <w:sz w:val="25"/>
          <w:vertAlign w:val="baseline"/>
        </w:rPr>
        <w:t> </w:t>
      </w:r>
      <w:r>
        <w:rPr>
          <w:sz w:val="25"/>
          <w:vertAlign w:val="baseline"/>
        </w:rPr>
        <w:t>a</w:t>
      </w:r>
      <w:r>
        <w:rPr>
          <w:spacing w:val="23"/>
          <w:sz w:val="25"/>
          <w:vertAlign w:val="baseline"/>
        </w:rPr>
        <w:t> </w:t>
      </w:r>
      <w:r>
        <w:rPr>
          <w:sz w:val="25"/>
          <w:vertAlign w:val="baseline"/>
        </w:rPr>
        <w:t>mixed</w:t>
      </w:r>
      <w:r>
        <w:rPr>
          <w:spacing w:val="23"/>
          <w:sz w:val="25"/>
          <w:vertAlign w:val="baseline"/>
        </w:rPr>
        <w:t> </w:t>
      </w:r>
      <w:r>
        <w:rPr>
          <w:sz w:val="25"/>
          <w:vertAlign w:val="baseline"/>
        </w:rPr>
        <w:t>question</w:t>
      </w:r>
      <w:r>
        <w:rPr>
          <w:spacing w:val="23"/>
          <w:sz w:val="25"/>
          <w:vertAlign w:val="baseline"/>
        </w:rPr>
        <w:t> </w:t>
      </w:r>
      <w:r>
        <w:rPr>
          <w:sz w:val="25"/>
          <w:vertAlign w:val="baseline"/>
        </w:rPr>
        <w:t>of</w:t>
      </w:r>
      <w:r>
        <w:rPr>
          <w:spacing w:val="23"/>
          <w:sz w:val="25"/>
          <w:vertAlign w:val="baseline"/>
        </w:rPr>
        <w:t> </w:t>
      </w:r>
      <w:r>
        <w:rPr>
          <w:sz w:val="25"/>
          <w:vertAlign w:val="baseline"/>
        </w:rPr>
        <w:t>fact</w:t>
      </w:r>
      <w:r>
        <w:rPr>
          <w:spacing w:val="23"/>
          <w:sz w:val="25"/>
          <w:vertAlign w:val="baseline"/>
        </w:rPr>
        <w:t> </w:t>
      </w:r>
      <w:r>
        <w:rPr>
          <w:sz w:val="25"/>
          <w:vertAlign w:val="baseline"/>
        </w:rPr>
        <w:t>and</w:t>
      </w:r>
      <w:r>
        <w:rPr>
          <w:spacing w:val="23"/>
          <w:sz w:val="25"/>
          <w:vertAlign w:val="baseline"/>
        </w:rPr>
        <w:t> </w:t>
      </w:r>
      <w:r>
        <w:rPr>
          <w:sz w:val="25"/>
          <w:vertAlign w:val="baseline"/>
        </w:rPr>
        <w:t>law</w:t>
      </w:r>
      <w:r>
        <w:rPr>
          <w:spacing w:val="23"/>
          <w:sz w:val="25"/>
          <w:vertAlign w:val="baseline"/>
        </w:rPr>
        <w:t> </w:t>
      </w:r>
      <w:r>
        <w:rPr>
          <w:sz w:val="25"/>
          <w:vertAlign w:val="baseline"/>
        </w:rPr>
        <w:t>and</w:t>
      </w:r>
      <w:r>
        <w:rPr>
          <w:spacing w:val="23"/>
          <w:sz w:val="25"/>
          <w:vertAlign w:val="baseline"/>
        </w:rPr>
        <w:t> </w:t>
      </w:r>
      <w:r>
        <w:rPr>
          <w:sz w:val="25"/>
          <w:vertAlign w:val="baseline"/>
        </w:rPr>
        <w:t>the</w:t>
      </w:r>
      <w:r>
        <w:rPr>
          <w:spacing w:val="24"/>
          <w:sz w:val="25"/>
          <w:vertAlign w:val="baseline"/>
        </w:rPr>
        <w:t> </w:t>
      </w:r>
      <w:r>
        <w:rPr>
          <w:sz w:val="25"/>
          <w:vertAlign w:val="baseline"/>
        </w:rPr>
        <w:t>appellant‘s</w:t>
      </w:r>
      <w:r>
        <w:rPr>
          <w:spacing w:val="23"/>
          <w:sz w:val="25"/>
          <w:vertAlign w:val="baseline"/>
        </w:rPr>
        <w:t> </w:t>
      </w:r>
      <w:r>
        <w:rPr>
          <w:sz w:val="25"/>
          <w:vertAlign w:val="baseline"/>
        </w:rPr>
        <w:t>claim</w:t>
      </w:r>
      <w:r>
        <w:rPr>
          <w:spacing w:val="24"/>
          <w:sz w:val="25"/>
          <w:vertAlign w:val="baseline"/>
        </w:rPr>
        <w:t> </w:t>
      </w:r>
      <w:r>
        <w:rPr>
          <w:sz w:val="25"/>
          <w:vertAlign w:val="baseline"/>
        </w:rPr>
        <w:t>that</w:t>
      </w:r>
      <w:r>
        <w:rPr>
          <w:spacing w:val="23"/>
          <w:sz w:val="25"/>
          <w:vertAlign w:val="baseline"/>
        </w:rPr>
        <w:t> </w:t>
      </w:r>
      <w:r>
        <w:rPr>
          <w:sz w:val="25"/>
          <w:vertAlign w:val="baseline"/>
        </w:rPr>
        <w:t>the</w:t>
      </w:r>
    </w:p>
    <w:p>
      <w:pPr>
        <w:pStyle w:val="BodyText"/>
        <w:spacing w:before="1"/>
      </w:pPr>
      <w:r>
        <w:rPr/>
        <w:pict>
          <v:rect style="position:absolute;margin-left:72.024002pt;margin-top:16.382399pt;width:144.020pt;height:.599980pt;mso-position-horizontal-relative:page;mso-position-vertical-relative:paragraph;z-index:-15613440;mso-wrap-distance-left:0;mso-wrap-distance-right:0" filled="true" fillcolor="#000000" stroked="false">
            <v:fill type="solid"/>
            <w10:wrap type="topAndBottom"/>
          </v:rect>
        </w:pict>
      </w:r>
    </w:p>
    <w:p>
      <w:pPr>
        <w:spacing w:before="80"/>
        <w:ind w:left="500" w:right="0" w:firstLine="0"/>
        <w:jc w:val="left"/>
        <w:rPr>
          <w:sz w:val="18"/>
        </w:rPr>
      </w:pPr>
      <w:r>
        <w:rPr>
          <w:sz w:val="18"/>
          <w:vertAlign w:val="superscript"/>
        </w:rPr>
        <w:t>388</w:t>
      </w:r>
      <w:r>
        <w:rPr>
          <w:sz w:val="18"/>
          <w:vertAlign w:val="baseline"/>
        </w:rPr>
        <w:t> AIR 1950 PC 56</w:t>
      </w:r>
    </w:p>
    <w:p>
      <w:pPr>
        <w:spacing w:after="0"/>
        <w:jc w:val="left"/>
        <w:rPr>
          <w:sz w:val="18"/>
        </w:rPr>
        <w:sectPr>
          <w:pgSz w:w="11910" w:h="16840"/>
          <w:pgMar w:header="721" w:footer="1014" w:top="1300" w:bottom="1200" w:left="940" w:right="1000"/>
        </w:sectPr>
      </w:pPr>
    </w:p>
    <w:p>
      <w:pPr>
        <w:pStyle w:val="BodyText"/>
        <w:spacing w:line="480" w:lineRule="auto" w:before="124"/>
        <w:ind w:left="500" w:right="435"/>
        <w:jc w:val="both"/>
      </w:pPr>
      <w:r>
        <w:rPr/>
        <w:t>disputed property was the village cremation ground was based on customary practice attracting a legal custom. Hence the doctrine of lost grant was held to have no applicability. Explaining the applicability of doctrine of lost grant, Lord Radcliffe held thus:</w:t>
      </w:r>
    </w:p>
    <w:p>
      <w:pPr>
        <w:tabs>
          <w:tab w:pos="2909" w:val="left" w:leader="none"/>
          <w:tab w:pos="3622" w:val="left" w:leader="none"/>
          <w:tab w:pos="4577" w:val="left" w:leader="none"/>
          <w:tab w:pos="5114" w:val="left" w:leader="none"/>
          <w:tab w:pos="6152" w:val="left" w:leader="none"/>
          <w:tab w:pos="6748" w:val="left" w:leader="none"/>
        </w:tabs>
        <w:spacing w:line="276" w:lineRule="auto" w:before="159"/>
        <w:ind w:left="1940" w:right="2254" w:firstLine="0"/>
        <w:jc w:val="left"/>
        <w:rPr>
          <w:sz w:val="21"/>
        </w:rPr>
      </w:pPr>
      <w:r>
        <w:rPr>
          <w:spacing w:val="-1"/>
          <w:w w:val="33"/>
          <w:sz w:val="21"/>
        </w:rPr>
        <w:t>―</w:t>
      </w:r>
      <w:r>
        <w:rPr>
          <w:spacing w:val="-2"/>
          <w:w w:val="100"/>
          <w:sz w:val="21"/>
        </w:rPr>
        <w:t>..</w:t>
      </w:r>
      <w:r>
        <w:rPr>
          <w:w w:val="100"/>
          <w:sz w:val="21"/>
        </w:rPr>
        <w:t>.</w:t>
      </w:r>
      <w:r>
        <w:rPr>
          <w:spacing w:val="7"/>
          <w:sz w:val="21"/>
        </w:rPr>
        <w:t> </w:t>
      </w:r>
      <w:r>
        <w:rPr>
          <w:spacing w:val="-2"/>
          <w:w w:val="100"/>
          <w:sz w:val="21"/>
        </w:rPr>
        <w:t>I</w:t>
      </w:r>
      <w:r>
        <w:rPr>
          <w:w w:val="100"/>
          <w:sz w:val="21"/>
        </w:rPr>
        <w:t>t</w:t>
      </w:r>
      <w:r>
        <w:rPr>
          <w:spacing w:val="5"/>
          <w:sz w:val="21"/>
        </w:rPr>
        <w:t> </w:t>
      </w:r>
      <w:r>
        <w:rPr>
          <w:w w:val="100"/>
          <w:sz w:val="21"/>
        </w:rPr>
        <w:t>is</w:t>
      </w:r>
      <w:r>
        <w:rPr>
          <w:spacing w:val="6"/>
          <w:sz w:val="21"/>
        </w:rPr>
        <w:t> </w:t>
      </w:r>
      <w:r>
        <w:rPr>
          <w:spacing w:val="-1"/>
          <w:w w:val="100"/>
          <w:sz w:val="21"/>
        </w:rPr>
        <w:t>essent</w:t>
      </w:r>
      <w:r>
        <w:rPr>
          <w:spacing w:val="-2"/>
          <w:w w:val="100"/>
          <w:sz w:val="21"/>
        </w:rPr>
        <w:t>i</w:t>
      </w:r>
      <w:r>
        <w:rPr>
          <w:spacing w:val="-1"/>
          <w:w w:val="100"/>
          <w:sz w:val="21"/>
        </w:rPr>
        <w:t>a</w:t>
      </w:r>
      <w:r>
        <w:rPr>
          <w:spacing w:val="-2"/>
          <w:w w:val="100"/>
          <w:sz w:val="21"/>
        </w:rPr>
        <w:t>l</w:t>
      </w:r>
      <w:r>
        <w:rPr>
          <w:w w:val="100"/>
          <w:sz w:val="21"/>
        </w:rPr>
        <w:t>ly</w:t>
      </w:r>
      <w:r>
        <w:rPr>
          <w:spacing w:val="3"/>
          <w:sz w:val="21"/>
        </w:rPr>
        <w:t> </w:t>
      </w:r>
      <w:r>
        <w:rPr>
          <w:w w:val="100"/>
          <w:sz w:val="21"/>
        </w:rPr>
        <w:t>a</w:t>
      </w:r>
      <w:r>
        <w:rPr>
          <w:spacing w:val="6"/>
          <w:sz w:val="21"/>
        </w:rPr>
        <w:t> </w:t>
      </w:r>
      <w:r>
        <w:rPr>
          <w:w w:val="100"/>
          <w:sz w:val="21"/>
        </w:rPr>
        <w:t>su</w:t>
      </w:r>
      <w:r>
        <w:rPr>
          <w:spacing w:val="1"/>
          <w:w w:val="100"/>
          <w:sz w:val="21"/>
        </w:rPr>
        <w:t>i</w:t>
      </w:r>
      <w:r>
        <w:rPr>
          <w:w w:val="100"/>
          <w:sz w:val="21"/>
        </w:rPr>
        <w:t>t</w:t>
      </w:r>
      <w:r>
        <w:rPr>
          <w:spacing w:val="5"/>
          <w:sz w:val="21"/>
        </w:rPr>
        <w:t> </w:t>
      </w:r>
      <w:r>
        <w:rPr>
          <w:spacing w:val="-2"/>
          <w:w w:val="100"/>
          <w:sz w:val="21"/>
        </w:rPr>
        <w:t>t</w:t>
      </w:r>
      <w:r>
        <w:rPr>
          <w:w w:val="100"/>
          <w:sz w:val="21"/>
        </w:rPr>
        <w:t>o</w:t>
      </w:r>
      <w:r>
        <w:rPr>
          <w:spacing w:val="6"/>
          <w:sz w:val="21"/>
        </w:rPr>
        <w:t> </w:t>
      </w:r>
      <w:r>
        <w:rPr>
          <w:spacing w:val="-1"/>
          <w:w w:val="100"/>
          <w:sz w:val="21"/>
        </w:rPr>
        <w:t>esta</w:t>
      </w:r>
      <w:r>
        <w:rPr>
          <w:spacing w:val="-3"/>
          <w:w w:val="100"/>
          <w:sz w:val="21"/>
        </w:rPr>
        <w:t>b</w:t>
      </w:r>
      <w:r>
        <w:rPr>
          <w:w w:val="100"/>
          <w:sz w:val="21"/>
        </w:rPr>
        <w:t>li</w:t>
      </w:r>
      <w:r>
        <w:rPr>
          <w:spacing w:val="-3"/>
          <w:w w:val="100"/>
          <w:sz w:val="21"/>
        </w:rPr>
        <w:t>s</w:t>
      </w:r>
      <w:r>
        <w:rPr>
          <w:w w:val="100"/>
          <w:sz w:val="21"/>
        </w:rPr>
        <w:t>h</w:t>
      </w:r>
      <w:r>
        <w:rPr>
          <w:spacing w:val="6"/>
          <w:sz w:val="21"/>
        </w:rPr>
        <w:t> </w:t>
      </w:r>
      <w:r>
        <w:rPr>
          <w:spacing w:val="-2"/>
          <w:w w:val="100"/>
          <w:sz w:val="21"/>
        </w:rPr>
        <w:t>t</w:t>
      </w:r>
      <w:r>
        <w:rPr>
          <w:spacing w:val="-1"/>
          <w:w w:val="100"/>
          <w:sz w:val="21"/>
        </w:rPr>
        <w:t>h</w:t>
      </w:r>
      <w:r>
        <w:rPr>
          <w:w w:val="100"/>
          <w:sz w:val="21"/>
        </w:rPr>
        <w:t>e</w:t>
      </w:r>
      <w:r>
        <w:rPr>
          <w:spacing w:val="6"/>
          <w:sz w:val="21"/>
        </w:rPr>
        <w:t> </w:t>
      </w:r>
      <w:r>
        <w:rPr>
          <w:spacing w:val="-1"/>
          <w:w w:val="100"/>
          <w:sz w:val="21"/>
        </w:rPr>
        <w:t>r</w:t>
      </w:r>
      <w:r>
        <w:rPr>
          <w:spacing w:val="-2"/>
          <w:w w:val="100"/>
          <w:sz w:val="21"/>
        </w:rPr>
        <w:t>i</w:t>
      </w:r>
      <w:r>
        <w:rPr>
          <w:spacing w:val="-1"/>
          <w:w w:val="100"/>
          <w:sz w:val="21"/>
        </w:rPr>
        <w:t>ght</w:t>
      </w:r>
      <w:r>
        <w:rPr>
          <w:w w:val="100"/>
          <w:sz w:val="21"/>
        </w:rPr>
        <w:t>s</w:t>
      </w:r>
      <w:r>
        <w:rPr>
          <w:spacing w:val="6"/>
          <w:sz w:val="21"/>
        </w:rPr>
        <w:t> </w:t>
      </w:r>
      <w:r>
        <w:rPr>
          <w:spacing w:val="-3"/>
          <w:w w:val="100"/>
          <w:sz w:val="21"/>
        </w:rPr>
        <w:t>o</w:t>
      </w:r>
      <w:r>
        <w:rPr>
          <w:w w:val="100"/>
          <w:sz w:val="21"/>
        </w:rPr>
        <w:t>f</w:t>
      </w:r>
      <w:r>
        <w:rPr>
          <w:spacing w:val="11"/>
          <w:sz w:val="21"/>
        </w:rPr>
        <w:t> </w:t>
      </w:r>
      <w:r>
        <w:rPr>
          <w:spacing w:val="-2"/>
          <w:w w:val="100"/>
          <w:sz w:val="21"/>
        </w:rPr>
        <w:t>t</w:t>
      </w:r>
      <w:r>
        <w:rPr>
          <w:spacing w:val="-3"/>
          <w:w w:val="100"/>
          <w:sz w:val="21"/>
        </w:rPr>
        <w:t>h</w:t>
      </w:r>
      <w:r>
        <w:rPr>
          <w:w w:val="100"/>
          <w:sz w:val="21"/>
        </w:rPr>
        <w:t>e</w:t>
      </w:r>
      <w:r>
        <w:rPr>
          <w:spacing w:val="6"/>
          <w:sz w:val="21"/>
        </w:rPr>
        <w:t> </w:t>
      </w:r>
      <w:r>
        <w:rPr>
          <w:spacing w:val="-3"/>
          <w:w w:val="100"/>
          <w:sz w:val="21"/>
        </w:rPr>
        <w:t>v</w:t>
      </w:r>
      <w:r>
        <w:rPr>
          <w:w w:val="100"/>
          <w:sz w:val="21"/>
        </w:rPr>
        <w:t>ill</w:t>
      </w:r>
      <w:r>
        <w:rPr>
          <w:spacing w:val="-3"/>
          <w:w w:val="100"/>
          <w:sz w:val="21"/>
        </w:rPr>
        <w:t>a</w:t>
      </w:r>
      <w:r>
        <w:rPr>
          <w:w w:val="100"/>
          <w:sz w:val="21"/>
        </w:rPr>
        <w:t>gers </w:t>
      </w:r>
      <w:r>
        <w:rPr>
          <w:sz w:val="21"/>
        </w:rPr>
        <w:t>in the disputed area. No one claimed or spoke of the land as subject to the rights of the general public nor indeed would it be easy to give a meaning to such a conception as applied to a cremation ground in a particular village. But dedication is only known to English law as something equivalent to an irrevocable licence granted by the owner of soil to the use of the public. Dedication of a piece of land to a limited section of the public, such as the inhabitants of a village, is a claim unknown in law, and evidence limited to such special user would</w:t>
        <w:tab/>
        <w:t>not</w:t>
        <w:tab/>
        <w:t>justify</w:t>
        <w:tab/>
        <w:t>a</w:t>
        <w:tab/>
        <w:t>finding</w:t>
        <w:tab/>
        <w:t>of</w:t>
        <w:tab/>
      </w:r>
      <w:r>
        <w:rPr>
          <w:spacing w:val="-3"/>
          <w:sz w:val="21"/>
        </w:rPr>
        <w:t>dedication </w:t>
      </w:r>
      <w:r>
        <w:rPr>
          <w:sz w:val="21"/>
        </w:rPr>
        <w:t>[see </w:t>
      </w:r>
      <w:r>
        <w:rPr>
          <w:i/>
          <w:sz w:val="21"/>
        </w:rPr>
        <w:t>Poole </w:t>
      </w:r>
      <w:r>
        <w:rPr>
          <w:sz w:val="21"/>
        </w:rPr>
        <w:t>v. </w:t>
      </w:r>
      <w:r>
        <w:rPr>
          <w:i/>
          <w:sz w:val="21"/>
        </w:rPr>
        <w:t>Huskinson</w:t>
      </w:r>
      <w:r>
        <w:rPr>
          <w:sz w:val="21"/>
        </w:rPr>
        <w:t>, </w:t>
      </w:r>
      <w:r>
        <w:rPr>
          <w:i/>
          <w:sz w:val="21"/>
        </w:rPr>
        <w:t>Hildreth </w:t>
      </w:r>
      <w:r>
        <w:rPr>
          <w:sz w:val="21"/>
        </w:rPr>
        <w:t>v. </w:t>
      </w:r>
      <w:r>
        <w:rPr>
          <w:i/>
          <w:sz w:val="21"/>
        </w:rPr>
        <w:t>Adamson </w:t>
      </w:r>
      <w:r>
        <w:rPr>
          <w:sz w:val="21"/>
        </w:rPr>
        <w:t>and </w:t>
      </w:r>
      <w:r>
        <w:rPr>
          <w:i/>
          <w:sz w:val="21"/>
        </w:rPr>
        <w:t>Bermonds </w:t>
      </w:r>
      <w:r>
        <w:rPr>
          <w:i/>
          <w:sz w:val="21"/>
        </w:rPr>
        <w:t>ey </w:t>
      </w:r>
      <w:r>
        <w:rPr>
          <w:sz w:val="21"/>
        </w:rPr>
        <w:t>v. </w:t>
      </w:r>
      <w:r>
        <w:rPr>
          <w:i/>
          <w:sz w:val="21"/>
        </w:rPr>
        <w:t>Brown</w:t>
      </w:r>
      <w:r>
        <w:rPr>
          <w:sz w:val="21"/>
        </w:rPr>
        <w:t>. Much the same result might well be achieved by the creation of a charitable trust binding the land, but that is not dedication, nor is it in question here. At no stage of the hearing is there any record of a claim that the village community constitutes a corporation administering a trust for some classes of its inhabitants, nor was any such argument advanced before their</w:t>
      </w:r>
      <w:r>
        <w:rPr>
          <w:spacing w:val="-7"/>
          <w:sz w:val="21"/>
        </w:rPr>
        <w:t> </w:t>
      </w:r>
      <w:r>
        <w:rPr>
          <w:sz w:val="21"/>
        </w:rPr>
        <w:t>Lordships.</w:t>
      </w:r>
    </w:p>
    <w:p>
      <w:pPr>
        <w:spacing w:line="276" w:lineRule="auto" w:before="0"/>
        <w:ind w:left="1940" w:right="2169" w:firstLine="0"/>
        <w:jc w:val="left"/>
        <w:rPr>
          <w:sz w:val="21"/>
        </w:rPr>
      </w:pPr>
      <w:r>
        <w:rPr>
          <w:sz w:val="21"/>
        </w:rPr>
        <w:t>This doctrine originated as a technical device to enable title to be</w:t>
      </w:r>
      <w:r>
        <w:rPr>
          <w:spacing w:val="31"/>
          <w:sz w:val="21"/>
        </w:rPr>
        <w:t> </w:t>
      </w:r>
      <w:r>
        <w:rPr>
          <w:sz w:val="21"/>
        </w:rPr>
        <w:t>made</w:t>
      </w:r>
      <w:r>
        <w:rPr>
          <w:spacing w:val="30"/>
          <w:sz w:val="21"/>
        </w:rPr>
        <w:t> </w:t>
      </w:r>
      <w:r>
        <w:rPr>
          <w:sz w:val="21"/>
        </w:rPr>
        <w:t>by</w:t>
      </w:r>
      <w:r>
        <w:rPr>
          <w:spacing w:val="30"/>
          <w:sz w:val="21"/>
        </w:rPr>
        <w:t> </w:t>
      </w:r>
      <w:r>
        <w:rPr>
          <w:sz w:val="21"/>
        </w:rPr>
        <w:t>prescription</w:t>
      </w:r>
      <w:r>
        <w:rPr>
          <w:spacing w:val="30"/>
          <w:sz w:val="21"/>
        </w:rPr>
        <w:t> </w:t>
      </w:r>
      <w:r>
        <w:rPr>
          <w:sz w:val="21"/>
        </w:rPr>
        <w:t>despite</w:t>
      </w:r>
      <w:r>
        <w:rPr>
          <w:spacing w:val="32"/>
          <w:sz w:val="21"/>
        </w:rPr>
        <w:t> </w:t>
      </w:r>
      <w:r>
        <w:rPr>
          <w:sz w:val="21"/>
        </w:rPr>
        <w:t>the</w:t>
      </w:r>
      <w:r>
        <w:rPr>
          <w:spacing w:val="31"/>
          <w:sz w:val="21"/>
        </w:rPr>
        <w:t> </w:t>
      </w:r>
      <w:r>
        <w:rPr>
          <w:sz w:val="21"/>
        </w:rPr>
        <w:t>impossibility</w:t>
      </w:r>
      <w:r>
        <w:rPr>
          <w:spacing w:val="30"/>
          <w:sz w:val="21"/>
        </w:rPr>
        <w:t> </w:t>
      </w:r>
      <w:r>
        <w:rPr>
          <w:sz w:val="21"/>
        </w:rPr>
        <w:t>of</w:t>
      </w:r>
      <w:r>
        <w:rPr>
          <w:spacing w:val="33"/>
          <w:sz w:val="21"/>
        </w:rPr>
        <w:t> </w:t>
      </w:r>
      <w:r>
        <w:rPr>
          <w:sz w:val="21"/>
        </w:rPr>
        <w:t>proving</w:t>
      </w:r>
    </w:p>
    <w:p>
      <w:pPr>
        <w:spacing w:line="276" w:lineRule="auto" w:before="1"/>
        <w:ind w:left="1940" w:right="2253" w:firstLine="0"/>
        <w:jc w:val="both"/>
        <w:rPr>
          <w:b/>
          <w:sz w:val="21"/>
        </w:rPr>
      </w:pPr>
      <w:r>
        <w:rPr>
          <w:spacing w:val="-1"/>
          <w:w w:val="33"/>
          <w:sz w:val="21"/>
        </w:rPr>
        <w:t>―</w:t>
      </w:r>
      <w:r>
        <w:rPr>
          <w:spacing w:val="-2"/>
          <w:w w:val="100"/>
          <w:sz w:val="21"/>
        </w:rPr>
        <w:t>i</w:t>
      </w:r>
      <w:r>
        <w:rPr>
          <w:spacing w:val="-1"/>
          <w:w w:val="100"/>
          <w:sz w:val="21"/>
        </w:rPr>
        <w:t>m</w:t>
      </w:r>
      <w:r>
        <w:rPr>
          <w:spacing w:val="1"/>
          <w:w w:val="100"/>
          <w:sz w:val="21"/>
        </w:rPr>
        <w:t>m</w:t>
      </w:r>
      <w:r>
        <w:rPr>
          <w:spacing w:val="-3"/>
          <w:w w:val="100"/>
          <w:sz w:val="21"/>
        </w:rPr>
        <w:t>e</w:t>
      </w:r>
      <w:r>
        <w:rPr>
          <w:spacing w:val="1"/>
          <w:w w:val="100"/>
          <w:sz w:val="21"/>
        </w:rPr>
        <w:t>m</w:t>
      </w:r>
      <w:r>
        <w:rPr>
          <w:spacing w:val="-1"/>
          <w:w w:val="100"/>
          <w:sz w:val="21"/>
        </w:rPr>
        <w:t>o</w:t>
      </w:r>
      <w:r>
        <w:rPr>
          <w:spacing w:val="-3"/>
          <w:w w:val="100"/>
          <w:sz w:val="21"/>
        </w:rPr>
        <w:t>r</w:t>
      </w:r>
      <w:r>
        <w:rPr>
          <w:w w:val="100"/>
          <w:sz w:val="21"/>
        </w:rPr>
        <w:t>i</w:t>
      </w:r>
      <w:r>
        <w:rPr>
          <w:spacing w:val="-3"/>
          <w:w w:val="100"/>
          <w:sz w:val="21"/>
        </w:rPr>
        <w:t>a</w:t>
      </w:r>
      <w:r>
        <w:rPr>
          <w:w w:val="100"/>
          <w:sz w:val="21"/>
        </w:rPr>
        <w:t>l</w:t>
      </w:r>
      <w:r>
        <w:rPr>
          <w:spacing w:val="26"/>
          <w:sz w:val="21"/>
        </w:rPr>
        <w:t> </w:t>
      </w:r>
      <w:r>
        <w:rPr>
          <w:spacing w:val="-3"/>
          <w:w w:val="100"/>
          <w:sz w:val="21"/>
        </w:rPr>
        <w:t>u</w:t>
      </w:r>
      <w:r>
        <w:rPr>
          <w:w w:val="100"/>
          <w:sz w:val="21"/>
        </w:rPr>
        <w:t>ser</w:t>
      </w:r>
      <w:r>
        <w:rPr>
          <w:spacing w:val="-2"/>
          <w:w w:val="100"/>
          <w:sz w:val="21"/>
        </w:rPr>
        <w:t>.</w:t>
      </w:r>
      <w:r>
        <w:rPr>
          <w:w w:val="81"/>
          <w:sz w:val="21"/>
        </w:rPr>
        <w:t>‖</w:t>
      </w:r>
      <w:r>
        <w:rPr>
          <w:spacing w:val="24"/>
          <w:sz w:val="21"/>
        </w:rPr>
        <w:t> </w:t>
      </w:r>
      <w:r>
        <w:rPr>
          <w:w w:val="100"/>
          <w:sz w:val="21"/>
        </w:rPr>
        <w:t>By</w:t>
      </w:r>
      <w:r>
        <w:rPr>
          <w:spacing w:val="23"/>
          <w:sz w:val="21"/>
        </w:rPr>
        <w:t> </w:t>
      </w:r>
      <w:r>
        <w:rPr>
          <w:spacing w:val="-2"/>
          <w:w w:val="100"/>
          <w:sz w:val="21"/>
        </w:rPr>
        <w:t>E</w:t>
      </w:r>
      <w:r>
        <w:rPr>
          <w:spacing w:val="-3"/>
          <w:w w:val="100"/>
          <w:sz w:val="21"/>
        </w:rPr>
        <w:t>n</w:t>
      </w:r>
      <w:r>
        <w:rPr>
          <w:spacing w:val="-1"/>
          <w:w w:val="100"/>
          <w:sz w:val="21"/>
        </w:rPr>
        <w:t>g</w:t>
      </w:r>
      <w:r>
        <w:rPr>
          <w:spacing w:val="1"/>
          <w:w w:val="100"/>
          <w:sz w:val="21"/>
        </w:rPr>
        <w:t>l</w:t>
      </w:r>
      <w:r>
        <w:rPr>
          <w:spacing w:val="-2"/>
          <w:w w:val="100"/>
          <w:sz w:val="21"/>
        </w:rPr>
        <w:t>i</w:t>
      </w:r>
      <w:r>
        <w:rPr>
          <w:w w:val="100"/>
          <w:sz w:val="21"/>
        </w:rPr>
        <w:t>sh</w:t>
      </w:r>
      <w:r>
        <w:rPr>
          <w:spacing w:val="25"/>
          <w:sz w:val="21"/>
        </w:rPr>
        <w:t> </w:t>
      </w:r>
      <w:r>
        <w:rPr>
          <w:spacing w:val="-3"/>
          <w:w w:val="100"/>
          <w:sz w:val="21"/>
        </w:rPr>
        <w:t>co</w:t>
      </w:r>
      <w:r>
        <w:rPr>
          <w:spacing w:val="-1"/>
          <w:w w:val="100"/>
          <w:sz w:val="21"/>
        </w:rPr>
        <w:t>m</w:t>
      </w:r>
      <w:r>
        <w:rPr>
          <w:spacing w:val="1"/>
          <w:w w:val="100"/>
          <w:sz w:val="21"/>
        </w:rPr>
        <w:t>m</w:t>
      </w:r>
      <w:r>
        <w:rPr>
          <w:spacing w:val="-3"/>
          <w:w w:val="100"/>
          <w:sz w:val="21"/>
        </w:rPr>
        <w:t>o</w:t>
      </w:r>
      <w:r>
        <w:rPr>
          <w:w w:val="100"/>
          <w:sz w:val="21"/>
        </w:rPr>
        <w:t>n</w:t>
      </w:r>
      <w:r>
        <w:rPr>
          <w:spacing w:val="25"/>
          <w:sz w:val="21"/>
        </w:rPr>
        <w:t> </w:t>
      </w:r>
      <w:r>
        <w:rPr>
          <w:spacing w:val="-2"/>
          <w:w w:val="100"/>
          <w:sz w:val="21"/>
        </w:rPr>
        <w:t>l</w:t>
      </w:r>
      <w:r>
        <w:rPr>
          <w:spacing w:val="-1"/>
          <w:w w:val="100"/>
          <w:sz w:val="21"/>
        </w:rPr>
        <w:t>a</w:t>
      </w:r>
      <w:r>
        <w:rPr>
          <w:w w:val="100"/>
          <w:sz w:val="21"/>
        </w:rPr>
        <w:t>w</w:t>
      </w:r>
      <w:r>
        <w:rPr>
          <w:spacing w:val="24"/>
          <w:sz w:val="21"/>
        </w:rPr>
        <w:t> </w:t>
      </w:r>
      <w:r>
        <w:rPr>
          <w:spacing w:val="-1"/>
          <w:w w:val="100"/>
          <w:sz w:val="21"/>
        </w:rPr>
        <w:t>pr</w:t>
      </w:r>
      <w:r>
        <w:rPr>
          <w:spacing w:val="-3"/>
          <w:w w:val="100"/>
          <w:sz w:val="21"/>
        </w:rPr>
        <w:t>e</w:t>
      </w:r>
      <w:r>
        <w:rPr>
          <w:w w:val="100"/>
          <w:sz w:val="21"/>
        </w:rPr>
        <w:t>sc</w:t>
      </w:r>
      <w:r>
        <w:rPr>
          <w:spacing w:val="-1"/>
          <w:w w:val="100"/>
          <w:sz w:val="21"/>
        </w:rPr>
        <w:t>r</w:t>
      </w:r>
      <w:r>
        <w:rPr>
          <w:spacing w:val="-2"/>
          <w:w w:val="100"/>
          <w:sz w:val="21"/>
        </w:rPr>
        <w:t>i</w:t>
      </w:r>
      <w:r>
        <w:rPr>
          <w:spacing w:val="-1"/>
          <w:w w:val="100"/>
          <w:sz w:val="21"/>
        </w:rPr>
        <w:t>pt</w:t>
      </w:r>
      <w:r>
        <w:rPr>
          <w:w w:val="100"/>
          <w:sz w:val="21"/>
        </w:rPr>
        <w:t>i</w:t>
      </w:r>
      <w:r>
        <w:rPr>
          <w:spacing w:val="-1"/>
          <w:w w:val="100"/>
          <w:sz w:val="21"/>
        </w:rPr>
        <w:t>o</w:t>
      </w:r>
      <w:r>
        <w:rPr>
          <w:w w:val="100"/>
          <w:sz w:val="21"/>
        </w:rPr>
        <w:t>n</w:t>
      </w:r>
      <w:r>
        <w:rPr>
          <w:spacing w:val="23"/>
          <w:sz w:val="21"/>
        </w:rPr>
        <w:t> </w:t>
      </w:r>
      <w:r>
        <w:rPr>
          <w:spacing w:val="-1"/>
          <w:w w:val="100"/>
          <w:sz w:val="21"/>
        </w:rPr>
        <w:t>had </w:t>
      </w:r>
      <w:r>
        <w:rPr>
          <w:sz w:val="21"/>
        </w:rPr>
        <w:t>to run from time immemorial which, by convention, began in the year 1189. If it was possible to demonstrate that the user in question, though ancient, originated since 1189 the proof of title by the prescription of immemorial user failed. To get round this difficulty judges allowed, or even encouraged, juries to find that the right in question, though less ancient than 1189, originatel in a lost grant since that date. Thus the right acquired the necessary legal origin. </w:t>
      </w:r>
      <w:r>
        <w:rPr>
          <w:b/>
          <w:sz w:val="21"/>
        </w:rPr>
        <w:t>But such a right, just as much as an easement, had to be attached to and to descend with an estate: moreover, since it originated in grant, its owners, whether original or by devolution, had to be such persons as were capable of being the recipients of a grant under English law. A right exercisable by the inhabitants of a village from time to time is neither attached to any estate in land nor is it such a right as is capable of being made the subject of a grant. There are no admissible grantees. In fact, the doctrine of lost grant has no application to such rights as those   of   the   inhabitants   of   a   particular   locality </w:t>
      </w:r>
      <w:r>
        <w:rPr>
          <w:b/>
          <w:spacing w:val="14"/>
          <w:sz w:val="21"/>
        </w:rPr>
        <w:t> </w:t>
      </w:r>
      <w:r>
        <w:rPr>
          <w:b/>
          <w:sz w:val="21"/>
        </w:rPr>
        <w:t>to</w:t>
      </w:r>
    </w:p>
    <w:p>
      <w:pPr>
        <w:spacing w:after="0" w:line="276" w:lineRule="auto"/>
        <w:jc w:val="both"/>
        <w:rPr>
          <w:sz w:val="21"/>
        </w:rPr>
        <w:sectPr>
          <w:pgSz w:w="11910" w:h="16840"/>
          <w:pgMar w:header="721" w:footer="1014" w:top="1300" w:bottom="1200" w:left="940" w:right="1000"/>
        </w:sectPr>
      </w:pPr>
    </w:p>
    <w:p>
      <w:pPr>
        <w:tabs>
          <w:tab w:pos="4331" w:val="left" w:leader="none"/>
        </w:tabs>
        <w:spacing w:line="276" w:lineRule="auto" w:before="122"/>
        <w:ind w:left="1940" w:right="2260" w:firstLine="0"/>
        <w:jc w:val="both"/>
        <w:rPr>
          <w:sz w:val="21"/>
        </w:rPr>
      </w:pPr>
      <w:r>
        <w:rPr>
          <w:b/>
          <w:sz w:val="21"/>
        </w:rPr>
        <w:t>continue an ancient and established user of some piece of</w:t>
      </w:r>
      <w:r>
        <w:rPr>
          <w:b/>
          <w:spacing w:val="-7"/>
          <w:sz w:val="21"/>
        </w:rPr>
        <w:t> </w:t>
      </w:r>
      <w:r>
        <w:rPr>
          <w:b/>
          <w:sz w:val="21"/>
        </w:rPr>
        <w:t>land</w:t>
      </w:r>
      <w:r>
        <w:rPr>
          <w:sz w:val="21"/>
        </w:rPr>
        <w:t>.‖</w:t>
        <w:tab/>
        <w:t>(Emphasis</w:t>
      </w:r>
      <w:r>
        <w:rPr>
          <w:spacing w:val="-1"/>
          <w:sz w:val="21"/>
        </w:rPr>
        <w:t> </w:t>
      </w:r>
      <w:r>
        <w:rPr>
          <w:sz w:val="21"/>
        </w:rPr>
        <w:t>supplied)</w:t>
      </w:r>
    </w:p>
    <w:p>
      <w:pPr>
        <w:pStyle w:val="BodyText"/>
        <w:rPr>
          <w:sz w:val="24"/>
        </w:rPr>
      </w:pPr>
    </w:p>
    <w:p>
      <w:pPr>
        <w:pStyle w:val="BodyText"/>
        <w:spacing w:before="3"/>
      </w:pPr>
    </w:p>
    <w:p>
      <w:pPr>
        <w:pStyle w:val="ListParagraph"/>
        <w:numPr>
          <w:ilvl w:val="0"/>
          <w:numId w:val="235"/>
        </w:numPr>
        <w:tabs>
          <w:tab w:pos="1221" w:val="left" w:leader="none"/>
        </w:tabs>
        <w:spacing w:line="480" w:lineRule="auto" w:before="1" w:after="0"/>
        <w:ind w:left="500" w:right="436" w:firstLine="0"/>
        <w:jc w:val="both"/>
        <w:rPr>
          <w:sz w:val="25"/>
        </w:rPr>
      </w:pPr>
      <w:r>
        <w:rPr>
          <w:sz w:val="25"/>
        </w:rPr>
        <w:t>In a three judge Bench decision of this Court in </w:t>
      </w:r>
      <w:r>
        <w:rPr>
          <w:b/>
          <w:sz w:val="25"/>
        </w:rPr>
        <w:t>Raja Braja Sundar Deb </w:t>
      </w:r>
      <w:r>
        <w:rPr>
          <w:sz w:val="25"/>
        </w:rPr>
        <w:t>v </w:t>
      </w:r>
      <w:r>
        <w:rPr>
          <w:b/>
          <w:sz w:val="25"/>
        </w:rPr>
        <w:t>Moni Behara</w:t>
      </w:r>
      <w:r>
        <w:rPr>
          <w:sz w:val="25"/>
          <w:vertAlign w:val="superscript"/>
        </w:rPr>
        <w:t>389</w:t>
      </w:r>
      <w:r>
        <w:rPr>
          <w:sz w:val="25"/>
          <w:vertAlign w:val="baseline"/>
        </w:rPr>
        <w:t>, it was claimed that the principal defendants and their ancestors had long remained in undisturbed actual physical possession of a fishery on a fixed annual rental and had acquired this right in all possible ways i.e. by grant, custom, adverse possession and easement. A suit for injunction was brought by the plaintiff on behalf other fishermen residing in nine villages on the ground that being the proprietors of the fishery, they were the exclusive owners of the fishery and the defendants were interfering with the plaintiff‘s right of enjoyment and causing losses. The Trial Court passed a decree in favour of the plaintiff which was later modified in appeal by the High Court, where it was held that the defendants by virtue of lost grant had exclusive rights as tenants to fish in the fishery only during the Hilsa season. Reversing the decision of the High Court Justice Meher Chand Mahajan (as he then was), speaking for the Bench held thus:</w:t>
      </w:r>
    </w:p>
    <w:p>
      <w:pPr>
        <w:spacing w:before="163"/>
        <w:ind w:left="1940" w:right="0" w:firstLine="0"/>
        <w:jc w:val="both"/>
        <w:rPr>
          <w:sz w:val="21"/>
        </w:rPr>
      </w:pPr>
      <w:r>
        <w:rPr>
          <w:spacing w:val="-1"/>
          <w:w w:val="33"/>
          <w:sz w:val="21"/>
        </w:rPr>
        <w:t>―</w:t>
      </w:r>
      <w:r>
        <w:rPr>
          <w:spacing w:val="-1"/>
          <w:w w:val="100"/>
          <w:sz w:val="21"/>
        </w:rPr>
        <w:t>12.</w:t>
      </w:r>
      <w:r>
        <w:rPr>
          <w:rFonts w:ascii="Times New Roman" w:hAnsi="Times New Roman"/>
          <w:w w:val="100"/>
          <w:sz w:val="21"/>
        </w:rPr>
        <w:t> </w:t>
      </w:r>
      <w:r>
        <w:rPr>
          <w:rFonts w:ascii="Times New Roman" w:hAnsi="Times New Roman"/>
          <w:sz w:val="21"/>
        </w:rPr>
        <w:t>  </w:t>
      </w:r>
      <w:r>
        <w:rPr>
          <w:rFonts w:ascii="Times New Roman" w:hAnsi="Times New Roman"/>
          <w:spacing w:val="16"/>
          <w:sz w:val="21"/>
        </w:rPr>
        <w:t> </w:t>
      </w:r>
      <w:r>
        <w:rPr>
          <w:spacing w:val="6"/>
          <w:w w:val="100"/>
          <w:sz w:val="21"/>
        </w:rPr>
        <w:t>W</w:t>
      </w:r>
      <w:r>
        <w:rPr>
          <w:w w:val="100"/>
          <w:sz w:val="21"/>
        </w:rPr>
        <w:t>e</w:t>
      </w:r>
      <w:r>
        <w:rPr>
          <w:spacing w:val="13"/>
          <w:sz w:val="21"/>
        </w:rPr>
        <w:t> </w:t>
      </w:r>
      <w:r>
        <w:rPr>
          <w:spacing w:val="-2"/>
          <w:w w:val="100"/>
          <w:sz w:val="21"/>
        </w:rPr>
        <w:t>f</w:t>
      </w:r>
      <w:r>
        <w:rPr>
          <w:w w:val="100"/>
          <w:sz w:val="21"/>
        </w:rPr>
        <w:t>i</w:t>
      </w:r>
      <w:r>
        <w:rPr>
          <w:w w:val="100"/>
          <w:sz w:val="21"/>
        </w:rPr>
        <w:t>nd</w:t>
      </w:r>
      <w:r>
        <w:rPr>
          <w:spacing w:val="16"/>
          <w:sz w:val="21"/>
        </w:rPr>
        <w:t> </w:t>
      </w:r>
      <w:r>
        <w:rPr>
          <w:w w:val="100"/>
          <w:sz w:val="21"/>
        </w:rPr>
        <w:t>i</w:t>
      </w:r>
      <w:r>
        <w:rPr>
          <w:w w:val="100"/>
          <w:sz w:val="21"/>
        </w:rPr>
        <w:t>t</w:t>
      </w:r>
      <w:r>
        <w:rPr>
          <w:spacing w:val="14"/>
          <w:sz w:val="21"/>
        </w:rPr>
        <w:t> </w:t>
      </w:r>
      <w:r>
        <w:rPr>
          <w:spacing w:val="-3"/>
          <w:w w:val="100"/>
          <w:sz w:val="21"/>
        </w:rPr>
        <w:t>d</w:t>
      </w:r>
      <w:r>
        <w:rPr>
          <w:w w:val="100"/>
          <w:sz w:val="21"/>
        </w:rPr>
        <w:t>i</w:t>
      </w:r>
      <w:r>
        <w:rPr>
          <w:spacing w:val="-2"/>
          <w:w w:val="100"/>
          <w:sz w:val="21"/>
        </w:rPr>
        <w:t>ff</w:t>
      </w:r>
      <w:r>
        <w:rPr>
          <w:w w:val="100"/>
          <w:sz w:val="21"/>
        </w:rPr>
        <w:t>i</w:t>
      </w:r>
      <w:r>
        <w:rPr>
          <w:w w:val="100"/>
          <w:sz w:val="21"/>
        </w:rPr>
        <w:t>c</w:t>
      </w:r>
      <w:r>
        <w:rPr>
          <w:spacing w:val="-3"/>
          <w:w w:val="100"/>
          <w:sz w:val="21"/>
        </w:rPr>
        <w:t>u</w:t>
      </w:r>
      <w:r>
        <w:rPr>
          <w:w w:val="100"/>
          <w:sz w:val="21"/>
        </w:rPr>
        <w:t>l</w:t>
      </w:r>
      <w:r>
        <w:rPr>
          <w:w w:val="100"/>
          <w:sz w:val="21"/>
        </w:rPr>
        <w:t>t</w:t>
      </w:r>
      <w:r>
        <w:rPr>
          <w:spacing w:val="14"/>
          <w:sz w:val="21"/>
        </w:rPr>
        <w:t> </w:t>
      </w:r>
      <w:r>
        <w:rPr>
          <w:spacing w:val="-2"/>
          <w:w w:val="100"/>
          <w:sz w:val="21"/>
        </w:rPr>
        <w:t>t</w:t>
      </w:r>
      <w:r>
        <w:rPr>
          <w:w w:val="100"/>
          <w:sz w:val="21"/>
        </w:rPr>
        <w:t>o</w:t>
      </w:r>
      <w:r>
        <w:rPr>
          <w:spacing w:val="16"/>
          <w:sz w:val="21"/>
        </w:rPr>
        <w:t> </w:t>
      </w:r>
      <w:r>
        <w:rPr>
          <w:w w:val="100"/>
          <w:sz w:val="21"/>
        </w:rPr>
        <w:t>uph</w:t>
      </w:r>
      <w:r>
        <w:rPr>
          <w:spacing w:val="-2"/>
          <w:w w:val="100"/>
          <w:sz w:val="21"/>
        </w:rPr>
        <w:t>o</w:t>
      </w:r>
      <w:r>
        <w:rPr>
          <w:w w:val="100"/>
          <w:sz w:val="21"/>
        </w:rPr>
        <w:t>l</w:t>
      </w:r>
      <w:r>
        <w:rPr>
          <w:w w:val="100"/>
          <w:sz w:val="21"/>
        </w:rPr>
        <w:t>d</w:t>
      </w:r>
      <w:r>
        <w:rPr>
          <w:spacing w:val="16"/>
          <w:sz w:val="21"/>
        </w:rPr>
        <w:t> </w:t>
      </w:r>
      <w:r>
        <w:rPr>
          <w:spacing w:val="-2"/>
          <w:w w:val="100"/>
          <w:sz w:val="21"/>
        </w:rPr>
        <w:t>t</w:t>
      </w:r>
      <w:r>
        <w:rPr>
          <w:w w:val="100"/>
          <w:sz w:val="21"/>
        </w:rPr>
        <w:t>he</w:t>
      </w:r>
      <w:r>
        <w:rPr>
          <w:spacing w:val="16"/>
          <w:sz w:val="21"/>
        </w:rPr>
        <w:t> </w:t>
      </w:r>
      <w:r>
        <w:rPr>
          <w:spacing w:val="-3"/>
          <w:w w:val="100"/>
          <w:sz w:val="21"/>
        </w:rPr>
        <w:t>v</w:t>
      </w:r>
      <w:r>
        <w:rPr>
          <w:w w:val="100"/>
          <w:sz w:val="21"/>
        </w:rPr>
        <w:t>i</w:t>
      </w:r>
      <w:r>
        <w:rPr>
          <w:w w:val="100"/>
          <w:sz w:val="21"/>
        </w:rPr>
        <w:t>ew</w:t>
      </w:r>
      <w:r>
        <w:rPr>
          <w:spacing w:val="14"/>
          <w:sz w:val="21"/>
        </w:rPr>
        <w:t> </w:t>
      </w:r>
      <w:r>
        <w:rPr>
          <w:w w:val="100"/>
          <w:sz w:val="21"/>
        </w:rPr>
        <w:t>of</w:t>
      </w:r>
      <w:r>
        <w:rPr>
          <w:spacing w:val="17"/>
          <w:sz w:val="21"/>
        </w:rPr>
        <w:t> </w:t>
      </w:r>
      <w:r>
        <w:rPr>
          <w:spacing w:val="-2"/>
          <w:w w:val="100"/>
          <w:sz w:val="21"/>
        </w:rPr>
        <w:t>t</w:t>
      </w:r>
      <w:r>
        <w:rPr>
          <w:w w:val="100"/>
          <w:sz w:val="21"/>
        </w:rPr>
        <w:t>he</w:t>
      </w:r>
      <w:r>
        <w:rPr>
          <w:spacing w:val="13"/>
          <w:sz w:val="21"/>
        </w:rPr>
        <w:t> </w:t>
      </w:r>
      <w:r>
        <w:rPr>
          <w:w w:val="100"/>
          <w:sz w:val="21"/>
        </w:rPr>
        <w:t>H</w:t>
      </w:r>
      <w:r>
        <w:rPr>
          <w:spacing w:val="-2"/>
          <w:w w:val="100"/>
          <w:sz w:val="21"/>
        </w:rPr>
        <w:t>i</w:t>
      </w:r>
      <w:r>
        <w:rPr>
          <w:w w:val="100"/>
          <w:sz w:val="21"/>
        </w:rPr>
        <w:t>gh</w:t>
      </w:r>
      <w:r>
        <w:rPr>
          <w:spacing w:val="16"/>
          <w:sz w:val="21"/>
        </w:rPr>
        <w:t> </w:t>
      </w:r>
      <w:r>
        <w:rPr>
          <w:spacing w:val="-2"/>
          <w:w w:val="100"/>
          <w:sz w:val="21"/>
        </w:rPr>
        <w:t>C</w:t>
      </w:r>
      <w:r>
        <w:rPr>
          <w:w w:val="100"/>
          <w:sz w:val="21"/>
        </w:rPr>
        <w:t>ourt</w:t>
      </w:r>
    </w:p>
    <w:p>
      <w:pPr>
        <w:spacing w:line="276" w:lineRule="auto" w:before="37"/>
        <w:ind w:left="1940" w:right="2253" w:firstLine="0"/>
        <w:jc w:val="both"/>
        <w:rPr>
          <w:sz w:val="21"/>
        </w:rPr>
      </w:pPr>
      <w:r>
        <w:rPr/>
        <w:pict>
          <v:rect style="position:absolute;margin-left:72.024002pt;margin-top:203.028885pt;width:144.020pt;height:.599980pt;mso-position-horizontal-relative:page;mso-position-vertical-relative:paragraph;z-index:-15612928;mso-wrap-distance-left:0;mso-wrap-distance-right:0" filled="true" fillcolor="#000000" stroked="false">
            <v:fill type="solid"/>
            <w10:wrap type="topAndBottom"/>
          </v:rect>
        </w:pict>
      </w:r>
      <w:r>
        <w:rPr>
          <w:sz w:val="21"/>
        </w:rPr>
        <w:t>that the defendants were in possession of the disputed fishery under a lost grant. </w:t>
      </w:r>
      <w:r>
        <w:rPr>
          <w:b/>
          <w:sz w:val="21"/>
        </w:rPr>
        <w:t>This doctrine has no application to the case of inhabitants of particular localities seeking to establish rights of user to some piece of land or water</w:t>
      </w:r>
      <w:r>
        <w:rPr>
          <w:sz w:val="21"/>
        </w:rPr>
        <w:t>. As pointed    out    by    Lord    Radcliffe     in Lakshmidhar   Misra v. Rangalal [AIR 1950 PC 56] the doctrine of lost grant originated as a technical device to enable title to be made by prescription despite the impossibility of proving immemorial user and that since it originated in grant, its owners, whether original or by devolution, had to be such persons as were capable of being the recipients of a grant, and that a right exercisable by the inhabitants of a village from time to time is neither attached to any estate in land nor is it such a right as is</w:t>
      </w:r>
      <w:r>
        <w:rPr>
          <w:spacing w:val="21"/>
          <w:sz w:val="21"/>
        </w:rPr>
        <w:t> </w:t>
      </w:r>
      <w:r>
        <w:rPr>
          <w:sz w:val="21"/>
        </w:rPr>
        <w:t>capable</w:t>
      </w:r>
      <w:r>
        <w:rPr>
          <w:spacing w:val="22"/>
          <w:sz w:val="21"/>
        </w:rPr>
        <w:t> </w:t>
      </w:r>
      <w:r>
        <w:rPr>
          <w:sz w:val="21"/>
        </w:rPr>
        <w:t>of</w:t>
      </w:r>
      <w:r>
        <w:rPr>
          <w:spacing w:val="20"/>
          <w:sz w:val="21"/>
        </w:rPr>
        <w:t> </w:t>
      </w:r>
      <w:r>
        <w:rPr>
          <w:sz w:val="21"/>
        </w:rPr>
        <w:t>being</w:t>
      </w:r>
      <w:r>
        <w:rPr>
          <w:spacing w:val="19"/>
          <w:sz w:val="21"/>
        </w:rPr>
        <w:t> </w:t>
      </w:r>
      <w:r>
        <w:rPr>
          <w:sz w:val="21"/>
        </w:rPr>
        <w:t>made</w:t>
      </w:r>
      <w:r>
        <w:rPr>
          <w:spacing w:val="19"/>
          <w:sz w:val="21"/>
        </w:rPr>
        <w:t> </w:t>
      </w:r>
      <w:r>
        <w:rPr>
          <w:sz w:val="21"/>
        </w:rPr>
        <w:t>the</w:t>
      </w:r>
      <w:r>
        <w:rPr>
          <w:spacing w:val="22"/>
          <w:sz w:val="21"/>
        </w:rPr>
        <w:t> </w:t>
      </w:r>
      <w:r>
        <w:rPr>
          <w:sz w:val="21"/>
        </w:rPr>
        <w:t>subject</w:t>
      </w:r>
      <w:r>
        <w:rPr>
          <w:spacing w:val="18"/>
          <w:sz w:val="21"/>
        </w:rPr>
        <w:t> </w:t>
      </w:r>
      <w:r>
        <w:rPr>
          <w:sz w:val="21"/>
        </w:rPr>
        <w:t>of</w:t>
      </w:r>
      <w:r>
        <w:rPr>
          <w:spacing w:val="21"/>
          <w:sz w:val="21"/>
        </w:rPr>
        <w:t> </w:t>
      </w:r>
      <w:r>
        <w:rPr>
          <w:sz w:val="21"/>
        </w:rPr>
        <w:t>a</w:t>
      </w:r>
      <w:r>
        <w:rPr>
          <w:spacing w:val="19"/>
          <w:sz w:val="21"/>
        </w:rPr>
        <w:t> </w:t>
      </w:r>
      <w:r>
        <w:rPr>
          <w:sz w:val="21"/>
        </w:rPr>
        <w:t>grant,</w:t>
      </w:r>
      <w:r>
        <w:rPr>
          <w:spacing w:val="20"/>
          <w:sz w:val="21"/>
        </w:rPr>
        <w:t> </w:t>
      </w:r>
      <w:r>
        <w:rPr>
          <w:sz w:val="21"/>
        </w:rPr>
        <w:t>there</w:t>
      </w:r>
      <w:r>
        <w:rPr>
          <w:spacing w:val="21"/>
          <w:sz w:val="21"/>
        </w:rPr>
        <w:t> </w:t>
      </w:r>
      <w:r>
        <w:rPr>
          <w:sz w:val="21"/>
        </w:rPr>
        <w:t>being</w:t>
      </w:r>
    </w:p>
    <w:p>
      <w:pPr>
        <w:spacing w:before="80"/>
        <w:ind w:left="500" w:right="0" w:firstLine="0"/>
        <w:jc w:val="left"/>
        <w:rPr>
          <w:sz w:val="18"/>
        </w:rPr>
      </w:pPr>
      <w:r>
        <w:rPr>
          <w:sz w:val="18"/>
          <w:vertAlign w:val="superscript"/>
        </w:rPr>
        <w:t>389</w:t>
      </w:r>
      <w:r>
        <w:rPr>
          <w:sz w:val="18"/>
          <w:vertAlign w:val="baseline"/>
        </w:rPr>
        <w:t> AIR 1951 SC 247</w:t>
      </w:r>
    </w:p>
    <w:p>
      <w:pPr>
        <w:spacing w:after="0"/>
        <w:jc w:val="left"/>
        <w:rPr>
          <w:sz w:val="18"/>
        </w:rPr>
        <w:sectPr>
          <w:pgSz w:w="11910" w:h="16840"/>
          <w:pgMar w:header="721" w:footer="1014" w:top="1300" w:bottom="1200" w:left="940" w:right="1000"/>
        </w:sectPr>
      </w:pPr>
    </w:p>
    <w:p>
      <w:pPr>
        <w:spacing w:line="276" w:lineRule="auto" w:before="122"/>
        <w:ind w:left="1940" w:right="2255" w:firstLine="0"/>
        <w:jc w:val="both"/>
        <w:rPr>
          <w:sz w:val="21"/>
        </w:rPr>
      </w:pPr>
      <w:r>
        <w:rPr>
          <w:sz w:val="21"/>
        </w:rPr>
        <w:t>no admissible grantees. Reference in this connection may be made  to  a  Bench  decision  of   the  Calcutta   High  Court  in Asrabulla v. Kiamatulla [AIR 1937 Cal 245] wherein the law on this subject has been examined in some detail. In that case the question arose whether the right of pasturage claimed by a whole body of villagers could be acquired by grant, express or presumed. After an examination of a number of English and Indian cases it was held that </w:t>
      </w:r>
      <w:r>
        <w:rPr>
          <w:b/>
          <w:sz w:val="21"/>
        </w:rPr>
        <w:t>no lost grant could be presumed in favour of a fluctuating and unascertained body of persons who constitute the inhabitants of a village and that such a right could only be acquired by custom. The defendants in this case are a fluctuating body of persons and their number increases or decreases by each birth or death or by influx or efflux of fishermen to or from these</w:t>
      </w:r>
      <w:r>
        <w:rPr>
          <w:b/>
          <w:spacing w:val="-11"/>
          <w:sz w:val="21"/>
        </w:rPr>
        <w:t> </w:t>
      </w:r>
      <w:r>
        <w:rPr>
          <w:b/>
          <w:sz w:val="21"/>
        </w:rPr>
        <w:t>villages...</w:t>
      </w:r>
      <w:r>
        <w:rPr>
          <w:sz w:val="21"/>
        </w:rPr>
        <w:t>‖</w:t>
      </w:r>
    </w:p>
    <w:p>
      <w:pPr>
        <w:spacing w:before="2"/>
        <w:ind w:left="1940" w:right="0" w:firstLine="0"/>
        <w:jc w:val="both"/>
        <w:rPr>
          <w:sz w:val="21"/>
        </w:rPr>
      </w:pPr>
      <w:r>
        <w:rPr>
          <w:sz w:val="21"/>
        </w:rPr>
        <w:t>(Emphasis supplied)</w:t>
      </w:r>
    </w:p>
    <w:p>
      <w:pPr>
        <w:pStyle w:val="BodyText"/>
        <w:rPr>
          <w:sz w:val="24"/>
        </w:rPr>
      </w:pPr>
    </w:p>
    <w:p>
      <w:pPr>
        <w:pStyle w:val="BodyText"/>
        <w:spacing w:before="7"/>
        <w:rPr>
          <w:sz w:val="34"/>
        </w:rPr>
      </w:pPr>
    </w:p>
    <w:p>
      <w:pPr>
        <w:pStyle w:val="ListParagraph"/>
        <w:numPr>
          <w:ilvl w:val="0"/>
          <w:numId w:val="235"/>
        </w:numPr>
        <w:tabs>
          <w:tab w:pos="1221" w:val="left" w:leader="none"/>
        </w:tabs>
        <w:spacing w:line="240" w:lineRule="auto" w:before="0" w:after="0"/>
        <w:ind w:left="1220" w:right="0" w:hanging="721"/>
        <w:jc w:val="both"/>
        <w:rPr>
          <w:sz w:val="25"/>
        </w:rPr>
      </w:pPr>
      <w:r>
        <w:rPr>
          <w:spacing w:val="-1"/>
          <w:w w:val="99"/>
          <w:sz w:val="25"/>
        </w:rPr>
        <w:t>A</w:t>
      </w:r>
      <w:r>
        <w:rPr>
          <w:w w:val="99"/>
          <w:sz w:val="25"/>
        </w:rPr>
        <w:t>cco</w:t>
      </w:r>
      <w:r>
        <w:rPr>
          <w:spacing w:val="1"/>
          <w:w w:val="99"/>
          <w:sz w:val="25"/>
        </w:rPr>
        <w:t>r</w:t>
      </w:r>
      <w:r>
        <w:rPr>
          <w:spacing w:val="-1"/>
          <w:w w:val="99"/>
          <w:sz w:val="25"/>
        </w:rPr>
        <w:t>din</w:t>
      </w:r>
      <w:r>
        <w:rPr>
          <w:w w:val="99"/>
          <w:sz w:val="25"/>
        </w:rPr>
        <w:t>g</w:t>
      </w:r>
      <w:r>
        <w:rPr>
          <w:sz w:val="25"/>
        </w:rPr>
        <w:t> </w:t>
      </w:r>
      <w:r>
        <w:rPr>
          <w:w w:val="99"/>
          <w:sz w:val="25"/>
        </w:rPr>
        <w:t>to</w:t>
      </w:r>
      <w:r>
        <w:rPr>
          <w:sz w:val="25"/>
        </w:rPr>
        <w:t> </w:t>
      </w:r>
      <w:r>
        <w:rPr>
          <w:spacing w:val="2"/>
          <w:w w:val="33"/>
          <w:sz w:val="25"/>
        </w:rPr>
        <w:t>―</w:t>
      </w:r>
      <w:r>
        <w:rPr>
          <w:b/>
          <w:w w:val="99"/>
          <w:sz w:val="25"/>
        </w:rPr>
        <w:t>Hals</w:t>
      </w:r>
      <w:r>
        <w:rPr>
          <w:b/>
          <w:w w:val="99"/>
          <w:sz w:val="25"/>
        </w:rPr>
        <w:t>b</w:t>
      </w:r>
      <w:r>
        <w:rPr>
          <w:b/>
          <w:spacing w:val="-2"/>
          <w:w w:val="99"/>
          <w:sz w:val="25"/>
        </w:rPr>
        <w:t>u</w:t>
      </w:r>
      <w:r>
        <w:rPr>
          <w:b/>
          <w:spacing w:val="1"/>
          <w:w w:val="99"/>
          <w:sz w:val="25"/>
        </w:rPr>
        <w:t>r</w:t>
      </w:r>
      <w:r>
        <w:rPr>
          <w:b/>
          <w:w w:val="99"/>
          <w:sz w:val="25"/>
        </w:rPr>
        <w:t>y</w:t>
      </w:r>
      <w:r>
        <w:rPr>
          <w:b/>
          <w:spacing w:val="-5"/>
          <w:sz w:val="25"/>
        </w:rPr>
        <w:t> </w:t>
      </w:r>
      <w:r>
        <w:rPr>
          <w:b/>
          <w:spacing w:val="1"/>
          <w:w w:val="99"/>
          <w:sz w:val="25"/>
        </w:rPr>
        <w:t>L</w:t>
      </w:r>
      <w:r>
        <w:rPr>
          <w:b/>
          <w:spacing w:val="-2"/>
          <w:w w:val="99"/>
          <w:sz w:val="25"/>
        </w:rPr>
        <w:t>a</w:t>
      </w:r>
      <w:r>
        <w:rPr>
          <w:b/>
          <w:spacing w:val="7"/>
          <w:w w:val="99"/>
          <w:sz w:val="25"/>
        </w:rPr>
        <w:t>w</w:t>
      </w:r>
      <w:r>
        <w:rPr>
          <w:b/>
          <w:w w:val="99"/>
          <w:sz w:val="25"/>
        </w:rPr>
        <w:t>s</w:t>
      </w:r>
      <w:r>
        <w:rPr>
          <w:b/>
          <w:spacing w:val="-1"/>
          <w:sz w:val="25"/>
        </w:rPr>
        <w:t> </w:t>
      </w:r>
      <w:r>
        <w:rPr>
          <w:b/>
          <w:w w:val="99"/>
          <w:sz w:val="25"/>
        </w:rPr>
        <w:t>of</w:t>
      </w:r>
      <w:r>
        <w:rPr>
          <w:b/>
          <w:spacing w:val="-1"/>
          <w:sz w:val="25"/>
        </w:rPr>
        <w:t> </w:t>
      </w:r>
      <w:r>
        <w:rPr>
          <w:b/>
          <w:w w:val="99"/>
          <w:sz w:val="25"/>
        </w:rPr>
        <w:t>En</w:t>
      </w:r>
      <w:r>
        <w:rPr>
          <w:b/>
          <w:spacing w:val="1"/>
          <w:w w:val="99"/>
          <w:sz w:val="25"/>
        </w:rPr>
        <w:t>g</w:t>
      </w:r>
      <w:r>
        <w:rPr>
          <w:b/>
          <w:w w:val="99"/>
          <w:sz w:val="25"/>
        </w:rPr>
        <w:t>l</w:t>
      </w:r>
      <w:r>
        <w:rPr>
          <w:b/>
          <w:spacing w:val="-2"/>
          <w:w w:val="99"/>
          <w:sz w:val="25"/>
        </w:rPr>
        <w:t>a</w:t>
      </w:r>
      <w:r>
        <w:rPr>
          <w:b/>
          <w:w w:val="99"/>
          <w:sz w:val="25"/>
        </w:rPr>
        <w:t>n</w:t>
      </w:r>
      <w:r>
        <w:rPr>
          <w:b/>
          <w:spacing w:val="4"/>
          <w:w w:val="99"/>
          <w:sz w:val="25"/>
        </w:rPr>
        <w:t>d</w:t>
      </w:r>
      <w:r>
        <w:rPr>
          <w:w w:val="80"/>
          <w:sz w:val="25"/>
        </w:rPr>
        <w:t>‖</w:t>
      </w:r>
      <w:r>
        <w:rPr>
          <w:w w:val="99"/>
          <w:sz w:val="25"/>
        </w:rPr>
        <w:t>:</w:t>
      </w:r>
    </w:p>
    <w:p>
      <w:pPr>
        <w:pStyle w:val="BodyText"/>
        <w:rPr>
          <w:sz w:val="39"/>
        </w:rPr>
      </w:pPr>
    </w:p>
    <w:p>
      <w:pPr>
        <w:spacing w:line="276" w:lineRule="auto" w:before="0"/>
        <w:ind w:left="1940" w:right="2256" w:firstLine="0"/>
        <w:jc w:val="both"/>
        <w:rPr>
          <w:sz w:val="21"/>
        </w:rPr>
      </w:pPr>
      <w:r>
        <w:rPr>
          <w:w w:val="33"/>
          <w:sz w:val="21"/>
        </w:rPr>
        <w:t>―</w:t>
      </w:r>
      <w:r>
        <w:rPr>
          <w:w w:val="100"/>
          <w:sz w:val="21"/>
        </w:rPr>
        <w:t>The</w:t>
      </w:r>
      <w:r>
        <w:rPr>
          <w:sz w:val="21"/>
        </w:rPr>
        <w:t> </w:t>
      </w:r>
      <w:r>
        <w:rPr>
          <w:w w:val="100"/>
          <w:sz w:val="21"/>
        </w:rPr>
        <w:t>presumption</w:t>
      </w:r>
      <w:r>
        <w:rPr>
          <w:sz w:val="21"/>
        </w:rPr>
        <w:t> </w:t>
      </w:r>
      <w:r>
        <w:rPr>
          <w:w w:val="100"/>
          <w:sz w:val="21"/>
        </w:rPr>
        <w:t>can</w:t>
      </w:r>
      <w:r>
        <w:rPr>
          <w:sz w:val="21"/>
        </w:rPr>
        <w:t> </w:t>
      </w:r>
      <w:r>
        <w:rPr>
          <w:w w:val="100"/>
          <w:sz w:val="21"/>
        </w:rPr>
        <w:t>only</w:t>
      </w:r>
      <w:r>
        <w:rPr>
          <w:sz w:val="21"/>
        </w:rPr>
        <w:t> </w:t>
      </w:r>
      <w:r>
        <w:rPr>
          <w:w w:val="100"/>
          <w:sz w:val="21"/>
        </w:rPr>
        <w:t>be</w:t>
      </w:r>
      <w:r>
        <w:rPr>
          <w:sz w:val="21"/>
        </w:rPr>
        <w:t> </w:t>
      </w:r>
      <w:r>
        <w:rPr>
          <w:w w:val="100"/>
          <w:sz w:val="21"/>
        </w:rPr>
        <w:t>rebutted</w:t>
      </w:r>
      <w:r>
        <w:rPr>
          <w:sz w:val="21"/>
        </w:rPr>
        <w:t> </w:t>
      </w:r>
      <w:r>
        <w:rPr>
          <w:w w:val="100"/>
          <w:sz w:val="21"/>
        </w:rPr>
        <w:t>by</w:t>
      </w:r>
      <w:r>
        <w:rPr>
          <w:sz w:val="21"/>
        </w:rPr>
        <w:t> </w:t>
      </w:r>
      <w:r>
        <w:rPr>
          <w:w w:val="100"/>
          <w:sz w:val="21"/>
        </w:rPr>
        <w:t>evid</w:t>
      </w:r>
      <w:r>
        <w:rPr>
          <w:w w:val="100"/>
          <w:sz w:val="21"/>
        </w:rPr>
        <w:t>en</w:t>
      </w:r>
      <w:r>
        <w:rPr>
          <w:w w:val="100"/>
          <w:sz w:val="21"/>
        </w:rPr>
        <w:t>c</w:t>
      </w:r>
      <w:r>
        <w:rPr>
          <w:w w:val="100"/>
          <w:sz w:val="21"/>
        </w:rPr>
        <w:t>e</w:t>
      </w:r>
      <w:r>
        <w:rPr>
          <w:sz w:val="21"/>
        </w:rPr>
        <w:t> </w:t>
      </w:r>
      <w:r>
        <w:rPr>
          <w:w w:val="100"/>
          <w:sz w:val="21"/>
        </w:rPr>
        <w:t>t</w:t>
      </w:r>
      <w:r>
        <w:rPr>
          <w:w w:val="100"/>
          <w:sz w:val="21"/>
        </w:rPr>
        <w:t>hat</w:t>
      </w:r>
      <w:r>
        <w:rPr>
          <w:sz w:val="21"/>
        </w:rPr>
        <w:t> </w:t>
      </w:r>
      <w:r>
        <w:rPr>
          <w:w w:val="100"/>
          <w:sz w:val="21"/>
        </w:rPr>
        <w:t>t</w:t>
      </w:r>
      <w:r>
        <w:rPr>
          <w:w w:val="100"/>
          <w:sz w:val="21"/>
        </w:rPr>
        <w:t>he </w:t>
      </w:r>
      <w:r>
        <w:rPr>
          <w:sz w:val="21"/>
        </w:rPr>
        <w:t>existence of such a grant is impossible; nothing short of such evidence will suffice and a judge is not entitled to refuse to presume a grant merely because he is convinced that it was never in fact granted.‖</w:t>
      </w:r>
      <w:r>
        <w:rPr>
          <w:sz w:val="21"/>
          <w:vertAlign w:val="superscript"/>
        </w:rPr>
        <w:t>390</w:t>
      </w:r>
    </w:p>
    <w:p>
      <w:pPr>
        <w:pStyle w:val="BodyText"/>
        <w:rPr>
          <w:sz w:val="26"/>
        </w:rPr>
      </w:pPr>
    </w:p>
    <w:p>
      <w:pPr>
        <w:pStyle w:val="BodyText"/>
        <w:spacing w:before="2"/>
        <w:rPr>
          <w:sz w:val="22"/>
        </w:rPr>
      </w:pPr>
    </w:p>
    <w:p>
      <w:pPr>
        <w:pStyle w:val="BodyText"/>
        <w:spacing w:line="480" w:lineRule="auto"/>
        <w:ind w:left="500" w:right="435"/>
        <w:jc w:val="both"/>
      </w:pPr>
      <w:r>
        <w:rPr/>
        <w:pict>
          <v:rect style="position:absolute;margin-left:72.024002pt;margin-top:283.454865pt;width:144.020pt;height:.599980pt;mso-position-horizontal-relative:page;mso-position-vertical-relative:paragraph;z-index:-23808000" filled="true" fillcolor="#000000" stroked="false">
            <v:fill type="solid"/>
            <w10:wrap type="none"/>
          </v:rect>
        </w:pict>
      </w:r>
      <w:r>
        <w:rPr/>
        <w:t>A two judge Bench of this Court in </w:t>
      </w:r>
      <w:r>
        <w:rPr>
          <w:b/>
        </w:rPr>
        <w:t>Buddu Satyanarayana </w:t>
      </w:r>
      <w:r>
        <w:rPr/>
        <w:t>v </w:t>
      </w:r>
      <w:r>
        <w:rPr>
          <w:b/>
        </w:rPr>
        <w:t>Konduru Venkatapayya</w:t>
      </w:r>
      <w:r>
        <w:rPr>
          <w:vertAlign w:val="superscript"/>
        </w:rPr>
        <w:t>391</w:t>
      </w:r>
      <w:r>
        <w:rPr>
          <w:vertAlign w:val="baseline"/>
        </w:rPr>
        <w:t>, dealt with an appeal arising out of a suit for recovery of possession of certain immovable properties. A suit was instituted by the Executive Officer appointed by government for ejectment of the defendants on the allegation that the properties belonged </w:t>
      </w:r>
      <w:r>
        <w:rPr>
          <w:spacing w:val="3"/>
          <w:vertAlign w:val="baseline"/>
        </w:rPr>
        <w:t>to </w:t>
      </w:r>
      <w:r>
        <w:rPr>
          <w:vertAlign w:val="baseline"/>
        </w:rPr>
        <w:t>the temple, having been given to it by a zamindar in 1770 AD. It was contended that the defendants were in possession by virtue of being the Archakas and were wrongfully claiming the properties as their own. The suit was instituted giving notice to the defendants to make over possession of the suit properties to the plaintiff as the Executive Officer</w:t>
      </w:r>
      <w:r>
        <w:rPr>
          <w:spacing w:val="13"/>
          <w:vertAlign w:val="baseline"/>
        </w:rPr>
        <w:t> </w:t>
      </w:r>
      <w:r>
        <w:rPr>
          <w:vertAlign w:val="baseline"/>
        </w:rPr>
        <w:t>of</w:t>
      </w:r>
      <w:r>
        <w:rPr>
          <w:spacing w:val="13"/>
          <w:vertAlign w:val="baseline"/>
        </w:rPr>
        <w:t> </w:t>
      </w:r>
      <w:r>
        <w:rPr>
          <w:vertAlign w:val="baseline"/>
        </w:rPr>
        <w:t>the</w:t>
      </w:r>
      <w:r>
        <w:rPr>
          <w:spacing w:val="14"/>
          <w:vertAlign w:val="baseline"/>
        </w:rPr>
        <w:t> </w:t>
      </w:r>
      <w:r>
        <w:rPr>
          <w:vertAlign w:val="baseline"/>
        </w:rPr>
        <w:t>temple.</w:t>
      </w:r>
      <w:r>
        <w:rPr>
          <w:spacing w:val="11"/>
          <w:vertAlign w:val="baseline"/>
        </w:rPr>
        <w:t> </w:t>
      </w:r>
      <w:r>
        <w:rPr>
          <w:vertAlign w:val="baseline"/>
        </w:rPr>
        <w:t>The</w:t>
      </w:r>
      <w:r>
        <w:rPr>
          <w:spacing w:val="13"/>
          <w:vertAlign w:val="baseline"/>
        </w:rPr>
        <w:t> </w:t>
      </w:r>
      <w:r>
        <w:rPr>
          <w:vertAlign w:val="baseline"/>
        </w:rPr>
        <w:t>High</w:t>
      </w:r>
      <w:r>
        <w:rPr>
          <w:spacing w:val="12"/>
          <w:vertAlign w:val="baseline"/>
        </w:rPr>
        <w:t> </w:t>
      </w:r>
      <w:r>
        <w:rPr>
          <w:vertAlign w:val="baseline"/>
        </w:rPr>
        <w:t>Court</w:t>
      </w:r>
      <w:r>
        <w:rPr>
          <w:spacing w:val="13"/>
          <w:vertAlign w:val="baseline"/>
        </w:rPr>
        <w:t> </w:t>
      </w:r>
      <w:r>
        <w:rPr>
          <w:vertAlign w:val="baseline"/>
        </w:rPr>
        <w:t>upheld</w:t>
      </w:r>
      <w:r>
        <w:rPr>
          <w:spacing w:val="13"/>
          <w:vertAlign w:val="baseline"/>
        </w:rPr>
        <w:t> </w:t>
      </w:r>
      <w:r>
        <w:rPr>
          <w:vertAlign w:val="baseline"/>
        </w:rPr>
        <w:t>the</w:t>
      </w:r>
      <w:r>
        <w:rPr>
          <w:spacing w:val="14"/>
          <w:vertAlign w:val="baseline"/>
        </w:rPr>
        <w:t> </w:t>
      </w:r>
      <w:r>
        <w:rPr>
          <w:vertAlign w:val="baseline"/>
        </w:rPr>
        <w:t>order</w:t>
      </w:r>
      <w:r>
        <w:rPr>
          <w:spacing w:val="14"/>
          <w:vertAlign w:val="baseline"/>
        </w:rPr>
        <w:t> </w:t>
      </w:r>
      <w:r>
        <w:rPr>
          <w:vertAlign w:val="baseline"/>
        </w:rPr>
        <w:t>of</w:t>
      </w:r>
      <w:r>
        <w:rPr>
          <w:spacing w:val="12"/>
          <w:vertAlign w:val="baseline"/>
        </w:rPr>
        <w:t> </w:t>
      </w:r>
      <w:r>
        <w:rPr>
          <w:vertAlign w:val="baseline"/>
        </w:rPr>
        <w:t>the</w:t>
      </w:r>
      <w:r>
        <w:rPr>
          <w:spacing w:val="13"/>
          <w:vertAlign w:val="baseline"/>
        </w:rPr>
        <w:t> </w:t>
      </w:r>
      <w:r>
        <w:rPr>
          <w:vertAlign w:val="baseline"/>
        </w:rPr>
        <w:t>Subordinate</w:t>
      </w:r>
      <w:r>
        <w:rPr>
          <w:spacing w:val="13"/>
          <w:vertAlign w:val="baseline"/>
        </w:rPr>
        <w:t> </w:t>
      </w:r>
      <w:r>
        <w:rPr>
          <w:vertAlign w:val="baseline"/>
        </w:rPr>
        <w:t>Judge</w:t>
      </w:r>
    </w:p>
    <w:p>
      <w:pPr>
        <w:spacing w:before="39"/>
        <w:ind w:left="500" w:right="0" w:firstLine="0"/>
        <w:jc w:val="left"/>
        <w:rPr>
          <w:sz w:val="18"/>
        </w:rPr>
      </w:pPr>
      <w:r>
        <w:rPr>
          <w:sz w:val="18"/>
          <w:vertAlign w:val="superscript"/>
        </w:rPr>
        <w:t>390</w:t>
      </w:r>
      <w:r>
        <w:rPr>
          <w:sz w:val="18"/>
          <w:vertAlign w:val="baseline"/>
        </w:rPr>
        <w:t> Halsbury Laws of England, Vol 14, Fourth Edition, para 90</w:t>
      </w:r>
    </w:p>
    <w:p>
      <w:pPr>
        <w:spacing w:before="2"/>
        <w:ind w:left="500" w:right="0" w:firstLine="0"/>
        <w:jc w:val="left"/>
        <w:rPr>
          <w:sz w:val="18"/>
        </w:rPr>
      </w:pPr>
      <w:r>
        <w:rPr>
          <w:sz w:val="18"/>
          <w:vertAlign w:val="superscript"/>
        </w:rPr>
        <w:t>391</w:t>
      </w:r>
      <w:r>
        <w:rPr>
          <w:sz w:val="18"/>
          <w:vertAlign w:val="baseline"/>
        </w:rPr>
        <w:t> AIR 1953 SC 195</w:t>
      </w:r>
    </w:p>
    <w:p>
      <w:pPr>
        <w:spacing w:after="0"/>
        <w:jc w:val="left"/>
        <w:rPr>
          <w:sz w:val="18"/>
        </w:rPr>
        <w:sectPr>
          <w:pgSz w:w="11910" w:h="16840"/>
          <w:pgMar w:header="721" w:footer="1014" w:top="1300" w:bottom="1200" w:left="940" w:right="1000"/>
        </w:sectPr>
      </w:pPr>
    </w:p>
    <w:p>
      <w:pPr>
        <w:pStyle w:val="BodyText"/>
        <w:spacing w:line="480" w:lineRule="auto" w:before="124"/>
        <w:ind w:left="500" w:right="441"/>
        <w:jc w:val="both"/>
      </w:pPr>
      <w:r>
        <w:rPr/>
        <w:t>decreeing the plaintiff‘s suit. On behalf of the defendants, it was argued before this Court that, by virtue of the defendants and their predecessors being in possession of the properties from ancient times, a valid presumption of some lawful title should arise by virtue of doctrine of lost grant. Justice S R Das speaking for the Bench rejected the contention and held thus:</w:t>
      </w:r>
    </w:p>
    <w:p>
      <w:pPr>
        <w:spacing w:before="158"/>
        <w:ind w:left="1940" w:right="0" w:firstLine="0"/>
        <w:jc w:val="both"/>
        <w:rPr>
          <w:sz w:val="21"/>
        </w:rPr>
      </w:pPr>
      <w:r>
        <w:rPr>
          <w:spacing w:val="-1"/>
          <w:w w:val="33"/>
          <w:sz w:val="21"/>
        </w:rPr>
        <w:t>―</w:t>
      </w:r>
      <w:r>
        <w:rPr>
          <w:spacing w:val="-1"/>
          <w:w w:val="100"/>
          <w:sz w:val="21"/>
        </w:rPr>
        <w:t>2.</w:t>
      </w:r>
      <w:r>
        <w:rPr>
          <w:rFonts w:ascii="Times New Roman" w:hAnsi="Times New Roman"/>
          <w:w w:val="100"/>
          <w:sz w:val="21"/>
        </w:rPr>
        <w:t> </w:t>
      </w:r>
      <w:r>
        <w:rPr>
          <w:rFonts w:ascii="Times New Roman" w:hAnsi="Times New Roman"/>
          <w:sz w:val="21"/>
        </w:rPr>
        <w:t>    </w:t>
      </w:r>
      <w:r>
        <w:rPr>
          <w:rFonts w:ascii="Times New Roman" w:hAnsi="Times New Roman"/>
          <w:spacing w:val="-24"/>
          <w:sz w:val="21"/>
        </w:rPr>
        <w:t> </w:t>
      </w:r>
      <w:r>
        <w:rPr>
          <w:w w:val="100"/>
          <w:sz w:val="21"/>
        </w:rPr>
        <w:t>Th</w:t>
      </w:r>
      <w:r>
        <w:rPr>
          <w:spacing w:val="-1"/>
          <w:w w:val="100"/>
          <w:sz w:val="21"/>
        </w:rPr>
        <w:t>er</w:t>
      </w:r>
      <w:r>
        <w:rPr>
          <w:w w:val="100"/>
          <w:sz w:val="21"/>
        </w:rPr>
        <w:t>e</w:t>
      </w:r>
      <w:r>
        <w:rPr>
          <w:spacing w:val="-2"/>
          <w:sz w:val="21"/>
        </w:rPr>
        <w:t> </w:t>
      </w:r>
      <w:r>
        <w:rPr>
          <w:w w:val="100"/>
          <w:sz w:val="21"/>
        </w:rPr>
        <w:t>is</w:t>
      </w:r>
      <w:r>
        <w:rPr>
          <w:spacing w:val="-1"/>
          <w:sz w:val="21"/>
        </w:rPr>
        <w:t> </w:t>
      </w:r>
      <w:r>
        <w:rPr>
          <w:spacing w:val="-1"/>
          <w:w w:val="100"/>
          <w:sz w:val="21"/>
        </w:rPr>
        <w:t>n</w:t>
      </w:r>
      <w:r>
        <w:rPr>
          <w:w w:val="100"/>
          <w:sz w:val="21"/>
        </w:rPr>
        <w:t>o</w:t>
      </w:r>
      <w:r>
        <w:rPr>
          <w:spacing w:val="-1"/>
          <w:sz w:val="21"/>
        </w:rPr>
        <w:t> </w:t>
      </w:r>
      <w:r>
        <w:rPr>
          <w:spacing w:val="-1"/>
          <w:w w:val="100"/>
          <w:sz w:val="21"/>
        </w:rPr>
        <w:t>do</w:t>
      </w:r>
      <w:r>
        <w:rPr>
          <w:spacing w:val="-2"/>
          <w:w w:val="100"/>
          <w:sz w:val="21"/>
        </w:rPr>
        <w:t>u</w:t>
      </w:r>
      <w:r>
        <w:rPr>
          <w:spacing w:val="-1"/>
          <w:w w:val="100"/>
          <w:sz w:val="21"/>
        </w:rPr>
        <w:t>bt</w:t>
      </w:r>
      <w:r>
        <w:rPr>
          <w:w w:val="100"/>
          <w:sz w:val="21"/>
        </w:rPr>
        <w:t>,</w:t>
      </w:r>
      <w:r>
        <w:rPr>
          <w:sz w:val="21"/>
        </w:rPr>
        <w:t> </w:t>
      </w:r>
      <w:r>
        <w:rPr>
          <w:spacing w:val="-1"/>
          <w:w w:val="100"/>
          <w:sz w:val="21"/>
        </w:rPr>
        <w:t>o</w:t>
      </w:r>
      <w:r>
        <w:rPr>
          <w:w w:val="100"/>
          <w:sz w:val="21"/>
        </w:rPr>
        <w:t>n</w:t>
      </w:r>
      <w:r>
        <w:rPr>
          <w:spacing w:val="1"/>
          <w:sz w:val="21"/>
        </w:rPr>
        <w:t> </w:t>
      </w:r>
      <w:r>
        <w:rPr>
          <w:spacing w:val="-2"/>
          <w:w w:val="100"/>
          <w:sz w:val="21"/>
        </w:rPr>
        <w:t>t</w:t>
      </w:r>
      <w:r>
        <w:rPr>
          <w:spacing w:val="-1"/>
          <w:w w:val="100"/>
          <w:sz w:val="21"/>
        </w:rPr>
        <w:t>h</w:t>
      </w:r>
      <w:r>
        <w:rPr>
          <w:w w:val="100"/>
          <w:sz w:val="21"/>
        </w:rPr>
        <w:t>e</w:t>
      </w:r>
      <w:r>
        <w:rPr>
          <w:spacing w:val="-1"/>
          <w:sz w:val="21"/>
        </w:rPr>
        <w:t> </w:t>
      </w:r>
      <w:r>
        <w:rPr>
          <w:spacing w:val="-1"/>
          <w:w w:val="100"/>
          <w:sz w:val="21"/>
        </w:rPr>
        <w:t>autho</w:t>
      </w:r>
      <w:r>
        <w:rPr>
          <w:spacing w:val="-3"/>
          <w:w w:val="100"/>
          <w:sz w:val="21"/>
        </w:rPr>
        <w:t>r</w:t>
      </w:r>
      <w:r>
        <w:rPr>
          <w:w w:val="100"/>
          <w:sz w:val="21"/>
        </w:rPr>
        <w:t>i</w:t>
      </w:r>
      <w:r>
        <w:rPr>
          <w:spacing w:val="-2"/>
          <w:w w:val="100"/>
          <w:sz w:val="21"/>
        </w:rPr>
        <w:t>t</w:t>
      </w:r>
      <w:r>
        <w:rPr>
          <w:w w:val="100"/>
          <w:sz w:val="21"/>
        </w:rPr>
        <w:t>i</w:t>
      </w:r>
      <w:r>
        <w:rPr>
          <w:spacing w:val="-1"/>
          <w:w w:val="100"/>
          <w:sz w:val="21"/>
        </w:rPr>
        <w:t>es</w:t>
      </w:r>
      <w:r>
        <w:rPr>
          <w:w w:val="100"/>
          <w:sz w:val="21"/>
        </w:rPr>
        <w:t>,</w:t>
      </w:r>
      <w:r>
        <w:rPr>
          <w:sz w:val="21"/>
        </w:rPr>
        <w:t> </w:t>
      </w:r>
      <w:r>
        <w:rPr>
          <w:spacing w:val="-2"/>
          <w:w w:val="100"/>
          <w:sz w:val="21"/>
        </w:rPr>
        <w:t>t</w:t>
      </w:r>
      <w:r>
        <w:rPr>
          <w:spacing w:val="-3"/>
          <w:w w:val="100"/>
          <w:sz w:val="21"/>
        </w:rPr>
        <w:t>h</w:t>
      </w:r>
      <w:r>
        <w:rPr>
          <w:spacing w:val="-1"/>
          <w:w w:val="100"/>
          <w:sz w:val="21"/>
        </w:rPr>
        <w:t>a</w:t>
      </w:r>
      <w:r>
        <w:rPr>
          <w:w w:val="100"/>
          <w:sz w:val="21"/>
        </w:rPr>
        <w:t>t</w:t>
      </w:r>
      <w:r>
        <w:rPr>
          <w:sz w:val="21"/>
        </w:rPr>
        <w:t> </w:t>
      </w:r>
      <w:r>
        <w:rPr>
          <w:w w:val="100"/>
          <w:sz w:val="21"/>
        </w:rPr>
        <w:t>a</w:t>
      </w:r>
      <w:r>
        <w:rPr>
          <w:spacing w:val="-1"/>
          <w:sz w:val="21"/>
        </w:rPr>
        <w:t> </w:t>
      </w:r>
      <w:r>
        <w:rPr>
          <w:spacing w:val="-1"/>
          <w:w w:val="100"/>
          <w:sz w:val="21"/>
        </w:rPr>
        <w:t>p</w:t>
      </w:r>
      <w:r>
        <w:rPr>
          <w:spacing w:val="-3"/>
          <w:w w:val="100"/>
          <w:sz w:val="21"/>
        </w:rPr>
        <w:t>r</w:t>
      </w:r>
      <w:r>
        <w:rPr>
          <w:spacing w:val="-1"/>
          <w:w w:val="100"/>
          <w:sz w:val="21"/>
        </w:rPr>
        <w:t>es</w:t>
      </w:r>
      <w:r>
        <w:rPr>
          <w:spacing w:val="-3"/>
          <w:w w:val="100"/>
          <w:sz w:val="21"/>
        </w:rPr>
        <w:t>u</w:t>
      </w:r>
      <w:r>
        <w:rPr>
          <w:spacing w:val="1"/>
          <w:w w:val="100"/>
          <w:sz w:val="21"/>
        </w:rPr>
        <w:t>m</w:t>
      </w:r>
      <w:r>
        <w:rPr>
          <w:spacing w:val="-1"/>
          <w:w w:val="100"/>
          <w:sz w:val="21"/>
        </w:rPr>
        <w:t>p</w:t>
      </w:r>
      <w:r>
        <w:rPr>
          <w:spacing w:val="-4"/>
          <w:w w:val="100"/>
          <w:sz w:val="21"/>
        </w:rPr>
        <w:t>t</w:t>
      </w:r>
      <w:r>
        <w:rPr>
          <w:w w:val="100"/>
          <w:sz w:val="21"/>
        </w:rPr>
        <w:t>i</w:t>
      </w:r>
      <w:r>
        <w:rPr>
          <w:spacing w:val="-1"/>
          <w:w w:val="100"/>
          <w:sz w:val="21"/>
        </w:rPr>
        <w:t>on</w:t>
      </w:r>
    </w:p>
    <w:p>
      <w:pPr>
        <w:spacing w:line="276" w:lineRule="auto" w:before="37"/>
        <w:ind w:left="1940" w:right="2254" w:firstLine="0"/>
        <w:jc w:val="both"/>
        <w:rPr>
          <w:sz w:val="21"/>
        </w:rPr>
      </w:pPr>
      <w:r>
        <w:rPr>
          <w:sz w:val="21"/>
        </w:rPr>
        <w:t>of an origin in some lawful title may in certain circumstances be made to support possessory rights long and quietly enjoyed where no actual proof of title is forthcoming but it is equally well established that </w:t>
      </w:r>
      <w:r>
        <w:rPr>
          <w:b/>
          <w:sz w:val="21"/>
        </w:rPr>
        <w:t>that presumption cannot be made where there is sufficient evidence and convincing proof of the nature of the grant and the persons to whom it was made. It is true that the original grant is not forthcoming but turning to the evidence we find two documents which appear to us to be decisive on the question of title... </w:t>
      </w:r>
      <w:r>
        <w:rPr>
          <w:sz w:val="21"/>
        </w:rPr>
        <w:t>It will be noticed that neither in the Inam Register Ex. P-3 nor in the statement Ex. D-3 is there any mention of the Archakas as the grantee or for the matter of that, having any the least interest, personal or otherwise, in the subject-matter of the Inam grant. </w:t>
      </w:r>
      <w:r>
        <w:rPr>
          <w:b/>
          <w:sz w:val="21"/>
        </w:rPr>
        <w:t>The two exhibits quite clearly indicate that the Inam grant was made in favour of the temple by the grantor and that in the face of this definite evidence and proof of the nature of the grant, no presumption of a lost grant can be made in favour of the Archakas. </w:t>
      </w:r>
      <w:r>
        <w:rPr>
          <w:sz w:val="21"/>
        </w:rPr>
        <w:t>We, therefore, in agreement with the High Court, hold that the deity was the grantee and the first question raised before us must be answered against the</w:t>
      </w:r>
      <w:r>
        <w:rPr>
          <w:spacing w:val="-34"/>
          <w:sz w:val="21"/>
        </w:rPr>
        <w:t> </w:t>
      </w:r>
      <w:r>
        <w:rPr>
          <w:sz w:val="21"/>
        </w:rPr>
        <w:t>appellants.‖</w:t>
      </w:r>
    </w:p>
    <w:p>
      <w:pPr>
        <w:pStyle w:val="BodyText"/>
        <w:rPr>
          <w:sz w:val="24"/>
        </w:rPr>
      </w:pPr>
    </w:p>
    <w:p>
      <w:pPr>
        <w:pStyle w:val="BodyText"/>
        <w:spacing w:before="1"/>
        <w:rPr>
          <w:sz w:val="24"/>
        </w:rPr>
      </w:pPr>
    </w:p>
    <w:p>
      <w:pPr>
        <w:spacing w:before="1"/>
        <w:ind w:left="500" w:right="0" w:firstLine="0"/>
        <w:jc w:val="both"/>
        <w:rPr>
          <w:sz w:val="25"/>
        </w:rPr>
      </w:pPr>
      <w:r>
        <w:rPr>
          <w:sz w:val="25"/>
        </w:rPr>
        <w:t>[See also </w:t>
      </w:r>
      <w:r>
        <w:rPr>
          <w:b/>
          <w:sz w:val="25"/>
        </w:rPr>
        <w:t>C Periaswami Goundar </w:t>
      </w:r>
      <w:r>
        <w:rPr>
          <w:sz w:val="25"/>
        </w:rPr>
        <w:t>v </w:t>
      </w:r>
      <w:r>
        <w:rPr>
          <w:b/>
          <w:sz w:val="25"/>
        </w:rPr>
        <w:t>Sundaraesa Ayyar</w:t>
      </w:r>
      <w:r>
        <w:rPr>
          <w:sz w:val="25"/>
          <w:vertAlign w:val="superscript"/>
        </w:rPr>
        <w:t>392</w:t>
      </w:r>
      <w:r>
        <w:rPr>
          <w:sz w:val="25"/>
          <w:vertAlign w:val="baseline"/>
        </w:rPr>
        <w:t>]</w:t>
      </w:r>
    </w:p>
    <w:p>
      <w:pPr>
        <w:pStyle w:val="BodyText"/>
        <w:rPr>
          <w:sz w:val="32"/>
        </w:rPr>
      </w:pPr>
    </w:p>
    <w:p>
      <w:pPr>
        <w:pStyle w:val="ListParagraph"/>
        <w:numPr>
          <w:ilvl w:val="0"/>
          <w:numId w:val="235"/>
        </w:numPr>
        <w:tabs>
          <w:tab w:pos="1221" w:val="left" w:leader="none"/>
        </w:tabs>
        <w:spacing w:line="480" w:lineRule="auto" w:before="209" w:after="0"/>
        <w:ind w:left="500" w:right="436" w:firstLine="0"/>
        <w:jc w:val="both"/>
        <w:rPr>
          <w:sz w:val="25"/>
        </w:rPr>
      </w:pPr>
      <w:r>
        <w:rPr>
          <w:sz w:val="25"/>
        </w:rPr>
        <w:t>A Constitution Bench of this Court in </w:t>
      </w:r>
      <w:r>
        <w:rPr>
          <w:b/>
          <w:sz w:val="25"/>
        </w:rPr>
        <w:t>Monohar Das Mohanta </w:t>
      </w:r>
      <w:r>
        <w:rPr>
          <w:sz w:val="25"/>
        </w:rPr>
        <w:t>v </w:t>
      </w:r>
      <w:r>
        <w:rPr>
          <w:b/>
          <w:sz w:val="25"/>
        </w:rPr>
        <w:t>Charu Chandra Pal</w:t>
      </w:r>
      <w:r>
        <w:rPr>
          <w:sz w:val="25"/>
          <w:vertAlign w:val="superscript"/>
        </w:rPr>
        <w:t>393</w:t>
      </w:r>
      <w:r>
        <w:rPr>
          <w:sz w:val="25"/>
          <w:vertAlign w:val="baseline"/>
        </w:rPr>
        <w:t>, had to deal with a suit for recovery of possession of various plots of land filed by the appellant, a Mahant of a religious institution against the defendants. In the alternate, the appellant sought for assessment of fair and equitable</w:t>
      </w:r>
      <w:r>
        <w:rPr>
          <w:spacing w:val="20"/>
          <w:sz w:val="25"/>
          <w:vertAlign w:val="baseline"/>
        </w:rPr>
        <w:t> </w:t>
      </w:r>
      <w:r>
        <w:rPr>
          <w:sz w:val="25"/>
          <w:vertAlign w:val="baseline"/>
        </w:rPr>
        <w:t>rent.</w:t>
      </w:r>
      <w:r>
        <w:rPr>
          <w:spacing w:val="21"/>
          <w:sz w:val="25"/>
          <w:vertAlign w:val="baseline"/>
        </w:rPr>
        <w:t> </w:t>
      </w:r>
      <w:r>
        <w:rPr>
          <w:sz w:val="25"/>
          <w:vertAlign w:val="baseline"/>
        </w:rPr>
        <w:t>The</w:t>
      </w:r>
      <w:r>
        <w:rPr>
          <w:spacing w:val="21"/>
          <w:sz w:val="25"/>
          <w:vertAlign w:val="baseline"/>
        </w:rPr>
        <w:t> </w:t>
      </w:r>
      <w:r>
        <w:rPr>
          <w:sz w:val="25"/>
          <w:vertAlign w:val="baseline"/>
        </w:rPr>
        <w:t>respondents</w:t>
      </w:r>
      <w:r>
        <w:rPr>
          <w:spacing w:val="21"/>
          <w:sz w:val="25"/>
          <w:vertAlign w:val="baseline"/>
        </w:rPr>
        <w:t> </w:t>
      </w:r>
      <w:r>
        <w:rPr>
          <w:sz w:val="25"/>
          <w:vertAlign w:val="baseline"/>
        </w:rPr>
        <w:t>contested</w:t>
      </w:r>
      <w:r>
        <w:rPr>
          <w:spacing w:val="21"/>
          <w:sz w:val="25"/>
          <w:vertAlign w:val="baseline"/>
        </w:rPr>
        <w:t> </w:t>
      </w:r>
      <w:r>
        <w:rPr>
          <w:sz w:val="25"/>
          <w:vertAlign w:val="baseline"/>
        </w:rPr>
        <w:t>the</w:t>
      </w:r>
      <w:r>
        <w:rPr>
          <w:spacing w:val="21"/>
          <w:sz w:val="25"/>
          <w:vertAlign w:val="baseline"/>
        </w:rPr>
        <w:t> </w:t>
      </w:r>
      <w:r>
        <w:rPr>
          <w:sz w:val="25"/>
          <w:vertAlign w:val="baseline"/>
        </w:rPr>
        <w:t>suits,</w:t>
      </w:r>
      <w:r>
        <w:rPr>
          <w:spacing w:val="21"/>
          <w:sz w:val="25"/>
          <w:vertAlign w:val="baseline"/>
        </w:rPr>
        <w:t> </w:t>
      </w:r>
      <w:r>
        <w:rPr>
          <w:sz w:val="25"/>
          <w:vertAlign w:val="baseline"/>
        </w:rPr>
        <w:t>and</w:t>
      </w:r>
      <w:r>
        <w:rPr>
          <w:spacing w:val="21"/>
          <w:sz w:val="25"/>
          <w:vertAlign w:val="baseline"/>
        </w:rPr>
        <w:t> </w:t>
      </w:r>
      <w:r>
        <w:rPr>
          <w:sz w:val="25"/>
          <w:vertAlign w:val="baseline"/>
        </w:rPr>
        <w:t>pleaded</w:t>
      </w:r>
      <w:r>
        <w:rPr>
          <w:spacing w:val="21"/>
          <w:sz w:val="25"/>
          <w:vertAlign w:val="baseline"/>
        </w:rPr>
        <w:t> </w:t>
      </w:r>
      <w:r>
        <w:rPr>
          <w:sz w:val="25"/>
          <w:vertAlign w:val="baseline"/>
        </w:rPr>
        <w:t>that</w:t>
      </w:r>
      <w:r>
        <w:rPr>
          <w:spacing w:val="20"/>
          <w:sz w:val="25"/>
          <w:vertAlign w:val="baseline"/>
        </w:rPr>
        <w:t> </w:t>
      </w:r>
      <w:r>
        <w:rPr>
          <w:sz w:val="25"/>
          <w:vertAlign w:val="baseline"/>
        </w:rPr>
        <w:t>the</w:t>
      </w:r>
    </w:p>
    <w:p>
      <w:pPr>
        <w:pStyle w:val="BodyText"/>
        <w:spacing w:line="20" w:lineRule="exact"/>
        <w:ind w:left="500"/>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spacing w:before="92"/>
        <w:ind w:left="500" w:right="0" w:firstLine="0"/>
        <w:jc w:val="left"/>
        <w:rPr>
          <w:sz w:val="18"/>
        </w:rPr>
      </w:pPr>
      <w:r>
        <w:rPr>
          <w:sz w:val="18"/>
          <w:vertAlign w:val="superscript"/>
        </w:rPr>
        <w:t>392</w:t>
      </w:r>
      <w:r>
        <w:rPr>
          <w:sz w:val="18"/>
          <w:vertAlign w:val="baseline"/>
        </w:rPr>
        <w:t> AIR 1965 SC</w:t>
      </w:r>
      <w:r>
        <w:rPr>
          <w:spacing w:val="-8"/>
          <w:sz w:val="18"/>
          <w:vertAlign w:val="baseline"/>
        </w:rPr>
        <w:t> </w:t>
      </w:r>
      <w:r>
        <w:rPr>
          <w:sz w:val="18"/>
          <w:vertAlign w:val="baseline"/>
        </w:rPr>
        <w:t>516</w:t>
      </w:r>
    </w:p>
    <w:p>
      <w:pPr>
        <w:spacing w:before="2"/>
        <w:ind w:left="500" w:right="0" w:firstLine="0"/>
        <w:jc w:val="left"/>
        <w:rPr>
          <w:sz w:val="18"/>
        </w:rPr>
      </w:pPr>
      <w:r>
        <w:rPr>
          <w:sz w:val="18"/>
          <w:vertAlign w:val="superscript"/>
        </w:rPr>
        <w:t>393</w:t>
      </w:r>
      <w:r>
        <w:rPr>
          <w:sz w:val="18"/>
          <w:vertAlign w:val="baseline"/>
        </w:rPr>
        <w:t> AIR 1955 SC</w:t>
      </w:r>
      <w:r>
        <w:rPr>
          <w:spacing w:val="-8"/>
          <w:sz w:val="18"/>
          <w:vertAlign w:val="baseline"/>
        </w:rPr>
        <w:t> </w:t>
      </w:r>
      <w:r>
        <w:rPr>
          <w:sz w:val="18"/>
          <w:vertAlign w:val="baseline"/>
        </w:rPr>
        <w:t>228</w:t>
      </w:r>
    </w:p>
    <w:p>
      <w:pPr>
        <w:spacing w:after="0"/>
        <w:jc w:val="left"/>
        <w:rPr>
          <w:sz w:val="18"/>
        </w:rPr>
        <w:sectPr>
          <w:headerReference w:type="default" r:id="rId192"/>
          <w:footerReference w:type="default" r:id="rId193"/>
          <w:pgSz w:w="11910" w:h="16840"/>
          <w:pgMar w:header="721" w:footer="1014" w:top="1300" w:bottom="1200" w:left="940" w:right="1000"/>
          <w:pgNumType w:start="875"/>
        </w:sectPr>
      </w:pPr>
    </w:p>
    <w:p>
      <w:pPr>
        <w:pStyle w:val="BodyText"/>
        <w:spacing w:line="480" w:lineRule="auto" w:before="124"/>
        <w:ind w:left="500" w:right="436"/>
        <w:jc w:val="both"/>
      </w:pPr>
      <w:r>
        <w:rPr/>
        <w:t>disputed lands did not form part of the zamindari but a grant had been made in favour of their predecessors-in-title long prior to the permanent settlement and that neither the Maharaja of Burdwan nor the plaintiff claiming under him had any title to them. The District Court upheld the decision of the Munsif and held that  the defendants and the predecessors had been in possession for a very long time without payment of rent and a presumption of lost grant could be made in their favour. The High Court dismissed the appeal against the decision of the District Court. The issue before this Court was whether on the materials on record the courts below were right in presuming a lost grant in favour of the defendants. This Court held that no presumption of a lost grant could be made in favour of the defendants, and that the plaintiff was entitled to assessment of fair and equitable rent on the holdings in their possession. Speaking for the Bench, Justice T L Venkatarama Ayyar, explained the applicability of the doctrine of lost grant in the following</w:t>
      </w:r>
      <w:r>
        <w:rPr>
          <w:spacing w:val="-2"/>
        </w:rPr>
        <w:t> </w:t>
      </w:r>
      <w:r>
        <w:rPr/>
        <w:t>terms:</w:t>
      </w:r>
    </w:p>
    <w:p>
      <w:pPr>
        <w:spacing w:line="276" w:lineRule="auto" w:before="161"/>
        <w:ind w:left="1940" w:right="2261" w:firstLine="0"/>
        <w:jc w:val="both"/>
        <w:rPr>
          <w:sz w:val="21"/>
        </w:rPr>
      </w:pPr>
      <w:r>
        <w:rPr>
          <w:spacing w:val="-1"/>
          <w:w w:val="33"/>
          <w:sz w:val="21"/>
        </w:rPr>
        <w:t>―</w:t>
      </w:r>
      <w:r>
        <w:rPr>
          <w:spacing w:val="-1"/>
          <w:w w:val="100"/>
          <w:sz w:val="21"/>
        </w:rPr>
        <w:t>7</w:t>
      </w:r>
      <w:r>
        <w:rPr>
          <w:w w:val="100"/>
          <w:sz w:val="21"/>
        </w:rPr>
        <w:t>.</w:t>
      </w:r>
      <w:r>
        <w:rPr>
          <w:spacing w:val="-2"/>
          <w:sz w:val="21"/>
        </w:rPr>
        <w:t> </w:t>
      </w:r>
      <w:r>
        <w:rPr>
          <w:w w:val="100"/>
          <w:sz w:val="21"/>
        </w:rPr>
        <w:t>Th</w:t>
      </w:r>
      <w:r>
        <w:rPr>
          <w:w w:val="100"/>
          <w:sz w:val="21"/>
        </w:rPr>
        <w:t>e</w:t>
      </w:r>
      <w:r>
        <w:rPr>
          <w:sz w:val="21"/>
        </w:rPr>
        <w:t>   </w:t>
      </w:r>
      <w:r>
        <w:rPr>
          <w:spacing w:val="-23"/>
          <w:sz w:val="21"/>
        </w:rPr>
        <w:t> </w:t>
      </w:r>
      <w:r>
        <w:rPr>
          <w:spacing w:val="-3"/>
          <w:w w:val="100"/>
          <w:sz w:val="21"/>
        </w:rPr>
        <w:t>c</w:t>
      </w:r>
      <w:r>
        <w:rPr>
          <w:w w:val="100"/>
          <w:sz w:val="21"/>
        </w:rPr>
        <w:t>i</w:t>
      </w:r>
      <w:r>
        <w:rPr>
          <w:spacing w:val="-1"/>
          <w:w w:val="100"/>
          <w:sz w:val="21"/>
        </w:rPr>
        <w:t>r</w:t>
      </w:r>
      <w:r>
        <w:rPr>
          <w:w w:val="100"/>
          <w:sz w:val="21"/>
        </w:rPr>
        <w:t>c</w:t>
      </w:r>
      <w:r>
        <w:rPr>
          <w:spacing w:val="-3"/>
          <w:w w:val="100"/>
          <w:sz w:val="21"/>
        </w:rPr>
        <w:t>u</w:t>
      </w:r>
      <w:r>
        <w:rPr>
          <w:spacing w:val="1"/>
          <w:w w:val="100"/>
          <w:sz w:val="21"/>
        </w:rPr>
        <w:t>m</w:t>
      </w:r>
      <w:r>
        <w:rPr>
          <w:w w:val="100"/>
          <w:sz w:val="21"/>
        </w:rPr>
        <w:t>s</w:t>
      </w:r>
      <w:r>
        <w:rPr>
          <w:spacing w:val="-2"/>
          <w:w w:val="100"/>
          <w:sz w:val="21"/>
        </w:rPr>
        <w:t>t</w:t>
      </w:r>
      <w:r>
        <w:rPr>
          <w:spacing w:val="-3"/>
          <w:w w:val="100"/>
          <w:sz w:val="21"/>
        </w:rPr>
        <w:t>a</w:t>
      </w:r>
      <w:r>
        <w:rPr>
          <w:w w:val="100"/>
          <w:sz w:val="21"/>
        </w:rPr>
        <w:t>nc</w:t>
      </w:r>
      <w:r>
        <w:rPr>
          <w:spacing w:val="-3"/>
          <w:w w:val="100"/>
          <w:sz w:val="21"/>
        </w:rPr>
        <w:t>e</w:t>
      </w:r>
      <w:r>
        <w:rPr>
          <w:w w:val="100"/>
          <w:sz w:val="21"/>
        </w:rPr>
        <w:t>s</w:t>
      </w:r>
      <w:r>
        <w:rPr>
          <w:sz w:val="21"/>
        </w:rPr>
        <w:t>   </w:t>
      </w:r>
      <w:r>
        <w:rPr>
          <w:spacing w:val="-25"/>
          <w:sz w:val="21"/>
        </w:rPr>
        <w:t> </w:t>
      </w:r>
      <w:r>
        <w:rPr>
          <w:w w:val="100"/>
          <w:sz w:val="21"/>
        </w:rPr>
        <w:t>and</w:t>
      </w:r>
      <w:r>
        <w:rPr>
          <w:sz w:val="21"/>
        </w:rPr>
        <w:t>   </w:t>
      </w:r>
      <w:r>
        <w:rPr>
          <w:spacing w:val="-22"/>
          <w:sz w:val="21"/>
        </w:rPr>
        <w:t> </w:t>
      </w:r>
      <w:r>
        <w:rPr>
          <w:spacing w:val="-3"/>
          <w:w w:val="100"/>
          <w:sz w:val="21"/>
        </w:rPr>
        <w:t>c</w:t>
      </w:r>
      <w:r>
        <w:rPr>
          <w:w w:val="100"/>
          <w:sz w:val="21"/>
        </w:rPr>
        <w:t>on</w:t>
      </w:r>
      <w:r>
        <w:rPr>
          <w:spacing w:val="-2"/>
          <w:w w:val="100"/>
          <w:sz w:val="21"/>
        </w:rPr>
        <w:t>d</w:t>
      </w:r>
      <w:r>
        <w:rPr>
          <w:w w:val="100"/>
          <w:sz w:val="21"/>
        </w:rPr>
        <w:t>i</w:t>
      </w:r>
      <w:r>
        <w:rPr>
          <w:spacing w:val="-2"/>
          <w:w w:val="100"/>
          <w:sz w:val="21"/>
        </w:rPr>
        <w:t>t</w:t>
      </w:r>
      <w:r>
        <w:rPr>
          <w:w w:val="100"/>
          <w:sz w:val="21"/>
        </w:rPr>
        <w:t>i</w:t>
      </w:r>
      <w:r>
        <w:rPr>
          <w:spacing w:val="-3"/>
          <w:w w:val="100"/>
          <w:sz w:val="21"/>
        </w:rPr>
        <w:t>o</w:t>
      </w:r>
      <w:r>
        <w:rPr>
          <w:w w:val="100"/>
          <w:sz w:val="21"/>
        </w:rPr>
        <w:t>ns</w:t>
      </w:r>
      <w:r>
        <w:rPr>
          <w:sz w:val="21"/>
        </w:rPr>
        <w:t>   </w:t>
      </w:r>
      <w:r>
        <w:rPr>
          <w:spacing w:val="-23"/>
          <w:sz w:val="21"/>
        </w:rPr>
        <w:t> </w:t>
      </w:r>
      <w:r>
        <w:rPr>
          <w:spacing w:val="-3"/>
          <w:w w:val="100"/>
          <w:sz w:val="21"/>
        </w:rPr>
        <w:t>u</w:t>
      </w:r>
      <w:r>
        <w:rPr>
          <w:w w:val="100"/>
          <w:sz w:val="21"/>
        </w:rPr>
        <w:t>nder</w:t>
      </w:r>
      <w:r>
        <w:rPr>
          <w:sz w:val="21"/>
        </w:rPr>
        <w:t>   </w:t>
      </w:r>
      <w:r>
        <w:rPr>
          <w:spacing w:val="-25"/>
          <w:sz w:val="21"/>
        </w:rPr>
        <w:t> </w:t>
      </w:r>
      <w:r>
        <w:rPr>
          <w:spacing w:val="-2"/>
          <w:w w:val="100"/>
          <w:sz w:val="21"/>
        </w:rPr>
        <w:t>w</w:t>
      </w:r>
      <w:r>
        <w:rPr>
          <w:w w:val="100"/>
          <w:sz w:val="21"/>
        </w:rPr>
        <w:t>h</w:t>
      </w:r>
      <w:r>
        <w:rPr>
          <w:spacing w:val="1"/>
          <w:w w:val="100"/>
          <w:sz w:val="21"/>
        </w:rPr>
        <w:t>i</w:t>
      </w:r>
      <w:r>
        <w:rPr>
          <w:w w:val="100"/>
          <w:sz w:val="21"/>
        </w:rPr>
        <w:t>ch</w:t>
      </w:r>
      <w:r>
        <w:rPr>
          <w:sz w:val="21"/>
        </w:rPr>
        <w:t>   </w:t>
      </w:r>
      <w:r>
        <w:rPr>
          <w:spacing w:val="-25"/>
          <w:sz w:val="21"/>
        </w:rPr>
        <w:t> </w:t>
      </w:r>
      <w:r>
        <w:rPr>
          <w:w w:val="100"/>
          <w:sz w:val="21"/>
        </w:rPr>
        <w:t>a </w:t>
      </w:r>
      <w:r>
        <w:rPr>
          <w:sz w:val="21"/>
        </w:rPr>
        <w:t>presumption of lost grant could be made are well settled. When a person was found in possession and enjoyment of land for a considerable period of time under an assertion of title without challenge, Courts in England were inclined to ascribe a legal origin to such possession, and when on the facts a title by prescription could not be sustained, it was held that a presumption could be made that the possession was referable to a grant by the owner entitled to the land, but that such grant had been lost. It was a presumption made for securing ancient and continued possession, which could not otherwise  be  reasonably  accounted  for.  But  it  was  not    a </w:t>
      </w:r>
      <w:r>
        <w:rPr>
          <w:i/>
          <w:sz w:val="21"/>
        </w:rPr>
        <w:t>presumptio juris et de jure</w:t>
      </w:r>
      <w:r>
        <w:rPr>
          <w:sz w:val="21"/>
        </w:rPr>
        <w:t>, and the Courts were not bound </w:t>
      </w:r>
      <w:r>
        <w:rPr>
          <w:spacing w:val="-2"/>
          <w:w w:val="100"/>
          <w:sz w:val="21"/>
        </w:rPr>
        <w:t>t</w:t>
      </w:r>
      <w:r>
        <w:rPr>
          <w:w w:val="100"/>
          <w:sz w:val="21"/>
        </w:rPr>
        <w:t>o</w:t>
      </w:r>
      <w:r>
        <w:rPr>
          <w:spacing w:val="1"/>
          <w:sz w:val="21"/>
        </w:rPr>
        <w:t> </w:t>
      </w:r>
      <w:r>
        <w:rPr>
          <w:spacing w:val="-1"/>
          <w:w w:val="100"/>
          <w:sz w:val="21"/>
        </w:rPr>
        <w:t>ra</w:t>
      </w:r>
      <w:r>
        <w:rPr>
          <w:spacing w:val="1"/>
          <w:w w:val="100"/>
          <w:sz w:val="21"/>
        </w:rPr>
        <w:t>i</w:t>
      </w:r>
      <w:r>
        <w:rPr>
          <w:w w:val="100"/>
          <w:sz w:val="21"/>
        </w:rPr>
        <w:t>se</w:t>
      </w:r>
      <w:r>
        <w:rPr>
          <w:spacing w:val="1"/>
          <w:sz w:val="21"/>
        </w:rPr>
        <w:t> </w:t>
      </w:r>
      <w:r>
        <w:rPr>
          <w:w w:val="100"/>
          <w:sz w:val="21"/>
        </w:rPr>
        <w:t>i</w:t>
      </w:r>
      <w:r>
        <w:rPr>
          <w:spacing w:val="-2"/>
          <w:w w:val="100"/>
          <w:sz w:val="21"/>
        </w:rPr>
        <w:t>t</w:t>
      </w:r>
      <w:r>
        <w:rPr>
          <w:w w:val="100"/>
          <w:sz w:val="21"/>
        </w:rPr>
        <w:t>,</w:t>
      </w:r>
      <w:r>
        <w:rPr>
          <w:sz w:val="21"/>
        </w:rPr>
        <w:t> </w:t>
      </w:r>
      <w:r>
        <w:rPr>
          <w:spacing w:val="-2"/>
          <w:w w:val="100"/>
          <w:sz w:val="21"/>
        </w:rPr>
        <w:t>i</w:t>
      </w:r>
      <w:r>
        <w:rPr>
          <w:w w:val="100"/>
          <w:sz w:val="21"/>
        </w:rPr>
        <w:t>f</w:t>
      </w:r>
      <w:r>
        <w:rPr>
          <w:spacing w:val="2"/>
          <w:sz w:val="21"/>
        </w:rPr>
        <w:t> </w:t>
      </w:r>
      <w:r>
        <w:rPr>
          <w:spacing w:val="-2"/>
          <w:w w:val="100"/>
          <w:sz w:val="21"/>
        </w:rPr>
        <w:t>t</w:t>
      </w:r>
      <w:r>
        <w:rPr>
          <w:spacing w:val="-1"/>
          <w:w w:val="100"/>
          <w:sz w:val="21"/>
        </w:rPr>
        <w:t>h</w:t>
      </w:r>
      <w:r>
        <w:rPr>
          <w:w w:val="100"/>
          <w:sz w:val="21"/>
        </w:rPr>
        <w:t>e</w:t>
      </w:r>
      <w:r>
        <w:rPr>
          <w:spacing w:val="1"/>
          <w:sz w:val="21"/>
        </w:rPr>
        <w:t> </w:t>
      </w:r>
      <w:r>
        <w:rPr>
          <w:spacing w:val="-2"/>
          <w:w w:val="100"/>
          <w:sz w:val="21"/>
        </w:rPr>
        <w:t>f</w:t>
      </w:r>
      <w:r>
        <w:rPr>
          <w:spacing w:val="-1"/>
          <w:w w:val="100"/>
          <w:sz w:val="21"/>
        </w:rPr>
        <w:t>act</w:t>
      </w:r>
      <w:r>
        <w:rPr>
          <w:w w:val="100"/>
          <w:sz w:val="21"/>
        </w:rPr>
        <w:t>s</w:t>
      </w:r>
      <w:r>
        <w:rPr>
          <w:spacing w:val="1"/>
          <w:sz w:val="21"/>
        </w:rPr>
        <w:t> </w:t>
      </w:r>
      <w:r>
        <w:rPr>
          <w:spacing w:val="-2"/>
          <w:w w:val="100"/>
          <w:sz w:val="21"/>
        </w:rPr>
        <w:t>i</w:t>
      </w:r>
      <w:r>
        <w:rPr>
          <w:w w:val="100"/>
          <w:sz w:val="21"/>
        </w:rPr>
        <w:t>n</w:t>
      </w:r>
      <w:r>
        <w:rPr>
          <w:spacing w:val="1"/>
          <w:sz w:val="21"/>
        </w:rPr>
        <w:t> </w:t>
      </w:r>
      <w:r>
        <w:rPr>
          <w:spacing w:val="-1"/>
          <w:w w:val="100"/>
          <w:sz w:val="21"/>
        </w:rPr>
        <w:t>e</w:t>
      </w:r>
      <w:r>
        <w:rPr>
          <w:spacing w:val="-3"/>
          <w:w w:val="100"/>
          <w:sz w:val="21"/>
        </w:rPr>
        <w:t>v</w:t>
      </w:r>
      <w:r>
        <w:rPr>
          <w:w w:val="100"/>
          <w:sz w:val="21"/>
        </w:rPr>
        <w:t>i</w:t>
      </w:r>
      <w:r>
        <w:rPr>
          <w:spacing w:val="-1"/>
          <w:w w:val="100"/>
          <w:sz w:val="21"/>
        </w:rPr>
        <w:t>d</w:t>
      </w:r>
      <w:r>
        <w:rPr>
          <w:spacing w:val="-3"/>
          <w:w w:val="100"/>
          <w:sz w:val="21"/>
        </w:rPr>
        <w:t>e</w:t>
      </w:r>
      <w:r>
        <w:rPr>
          <w:spacing w:val="-1"/>
          <w:w w:val="100"/>
          <w:sz w:val="21"/>
        </w:rPr>
        <w:t>nc</w:t>
      </w:r>
      <w:r>
        <w:rPr>
          <w:w w:val="100"/>
          <w:sz w:val="21"/>
        </w:rPr>
        <w:t>e</w:t>
      </w:r>
      <w:r>
        <w:rPr>
          <w:spacing w:val="1"/>
          <w:sz w:val="21"/>
        </w:rPr>
        <w:t> </w:t>
      </w:r>
      <w:r>
        <w:rPr>
          <w:spacing w:val="-2"/>
          <w:w w:val="100"/>
          <w:sz w:val="21"/>
        </w:rPr>
        <w:t>w</w:t>
      </w:r>
      <w:r>
        <w:rPr>
          <w:spacing w:val="-1"/>
          <w:w w:val="100"/>
          <w:sz w:val="21"/>
        </w:rPr>
        <w:t>en</w:t>
      </w:r>
      <w:r>
        <w:rPr>
          <w:w w:val="100"/>
          <w:sz w:val="21"/>
        </w:rPr>
        <w:t>t</w:t>
      </w:r>
      <w:r>
        <w:rPr>
          <w:sz w:val="21"/>
        </w:rPr>
        <w:t> </w:t>
      </w:r>
      <w:r>
        <w:rPr>
          <w:spacing w:val="-3"/>
          <w:w w:val="100"/>
          <w:sz w:val="21"/>
        </w:rPr>
        <w:t>a</w:t>
      </w:r>
      <w:r>
        <w:rPr>
          <w:spacing w:val="-1"/>
          <w:w w:val="100"/>
          <w:sz w:val="21"/>
        </w:rPr>
        <w:t>gains</w:t>
      </w:r>
      <w:r>
        <w:rPr>
          <w:w w:val="100"/>
          <w:sz w:val="21"/>
        </w:rPr>
        <w:t>t</w:t>
      </w:r>
      <w:r>
        <w:rPr>
          <w:sz w:val="21"/>
        </w:rPr>
        <w:t> </w:t>
      </w:r>
      <w:r>
        <w:rPr>
          <w:w w:val="100"/>
          <w:sz w:val="21"/>
        </w:rPr>
        <w:t>i</w:t>
      </w:r>
      <w:r>
        <w:rPr>
          <w:spacing w:val="-2"/>
          <w:w w:val="100"/>
          <w:sz w:val="21"/>
        </w:rPr>
        <w:t>t</w:t>
      </w:r>
      <w:r>
        <w:rPr>
          <w:w w:val="100"/>
          <w:sz w:val="21"/>
        </w:rPr>
        <w:t>.</w:t>
      </w:r>
      <w:r>
        <w:rPr>
          <w:sz w:val="21"/>
        </w:rPr>
        <w:t> </w:t>
      </w:r>
      <w:r>
        <w:rPr>
          <w:spacing w:val="-1"/>
          <w:w w:val="33"/>
          <w:sz w:val="21"/>
        </w:rPr>
        <w:t>―</w:t>
      </w:r>
      <w:r>
        <w:rPr>
          <w:spacing w:val="-2"/>
          <w:w w:val="100"/>
          <w:sz w:val="21"/>
        </w:rPr>
        <w:t>I</w:t>
      </w:r>
      <w:r>
        <w:rPr>
          <w:w w:val="100"/>
          <w:sz w:val="21"/>
        </w:rPr>
        <w:t>t</w:t>
      </w:r>
      <w:r>
        <w:rPr>
          <w:spacing w:val="2"/>
          <w:sz w:val="21"/>
        </w:rPr>
        <w:t> </w:t>
      </w:r>
      <w:r>
        <w:rPr>
          <w:w w:val="100"/>
          <w:sz w:val="21"/>
        </w:rPr>
        <w:t>can</w:t>
      </w:r>
      <w:r>
        <w:rPr>
          <w:spacing w:val="-2"/>
          <w:w w:val="100"/>
          <w:sz w:val="21"/>
        </w:rPr>
        <w:t>n</w:t>
      </w:r>
      <w:r>
        <w:rPr>
          <w:spacing w:val="-1"/>
          <w:w w:val="100"/>
          <w:sz w:val="21"/>
        </w:rPr>
        <w:t>o</w:t>
      </w:r>
      <w:r>
        <w:rPr>
          <w:w w:val="100"/>
          <w:sz w:val="21"/>
        </w:rPr>
        <w:t>t</w:t>
      </w:r>
      <w:r>
        <w:rPr>
          <w:sz w:val="21"/>
        </w:rPr>
        <w:t> </w:t>
      </w:r>
      <w:r>
        <w:rPr>
          <w:spacing w:val="-1"/>
          <w:w w:val="100"/>
          <w:sz w:val="21"/>
        </w:rPr>
        <w:t>be </w:t>
      </w:r>
      <w:r>
        <w:rPr>
          <w:sz w:val="21"/>
        </w:rPr>
        <w:t>the duty of a Judge to presume a grant of the non-existence of which he is convinced‖ observed Farwell, J. in Attorney- General v. Simpson [(1901) 2 Ch D 671, 698] . So also the presumption was not made if there was any legal impediment to the making of it. Thus, it has been held that it could not be made, if there was no person competent to be the recipient</w:t>
      </w:r>
      <w:r>
        <w:rPr>
          <w:spacing w:val="30"/>
          <w:sz w:val="21"/>
        </w:rPr>
        <w:t> </w:t>
      </w:r>
      <w:r>
        <w:rPr>
          <w:sz w:val="21"/>
        </w:rPr>
        <w:t>of</w:t>
      </w:r>
    </w:p>
    <w:p>
      <w:pPr>
        <w:spacing w:after="0" w:line="276" w:lineRule="auto"/>
        <w:jc w:val="both"/>
        <w:rPr>
          <w:sz w:val="21"/>
        </w:rPr>
        <w:sectPr>
          <w:pgSz w:w="11910" w:h="16840"/>
          <w:pgMar w:header="721" w:footer="1014" w:top="1300" w:bottom="1200" w:left="940" w:right="1000"/>
        </w:sectPr>
      </w:pPr>
    </w:p>
    <w:p>
      <w:pPr>
        <w:spacing w:line="276" w:lineRule="auto" w:before="122"/>
        <w:ind w:left="1940" w:right="2261" w:firstLine="0"/>
        <w:jc w:val="both"/>
        <w:rPr>
          <w:sz w:val="21"/>
        </w:rPr>
      </w:pPr>
      <w:r>
        <w:rPr>
          <w:sz w:val="21"/>
        </w:rPr>
        <w:t>such a grant, as where the right is claimed by a fluctuating body of  persons.  That  was  held  in Raja  Braja  Sundar  Deb v. Moni Behara [1951 SCR 431, 446] . There will likewise be no scope for this presumption, if there is no person capable of making a grant: (Vide Halsbury's Laws of England, Vol. IV, p. 574, para 1074); or if the grant would have been illegal   and   beyond   the    powers    of    the    grantor.  (Vide Barker v. Richardson [4 B &amp; Ald 579: 106 ER 1048 at 1049] and Rochdale Canal Company v. Radcliffe [18 QB 287: 118 ER 108 at 118]</w:t>
      </w:r>
      <w:r>
        <w:rPr>
          <w:spacing w:val="-7"/>
          <w:sz w:val="21"/>
        </w:rPr>
        <w:t> </w:t>
      </w:r>
      <w:r>
        <w:rPr>
          <w:sz w:val="21"/>
        </w:rPr>
        <w:t>).‖</w:t>
      </w:r>
    </w:p>
    <w:p>
      <w:pPr>
        <w:pStyle w:val="BodyText"/>
        <w:rPr>
          <w:sz w:val="24"/>
        </w:rPr>
      </w:pPr>
    </w:p>
    <w:p>
      <w:pPr>
        <w:pStyle w:val="BodyText"/>
        <w:rPr>
          <w:sz w:val="24"/>
        </w:rPr>
      </w:pPr>
    </w:p>
    <w:p>
      <w:pPr>
        <w:pStyle w:val="BodyText"/>
        <w:spacing w:before="7"/>
        <w:rPr>
          <w:sz w:val="24"/>
        </w:rPr>
      </w:pPr>
    </w:p>
    <w:p>
      <w:pPr>
        <w:pStyle w:val="ListParagraph"/>
        <w:numPr>
          <w:ilvl w:val="0"/>
          <w:numId w:val="235"/>
        </w:numPr>
        <w:tabs>
          <w:tab w:pos="1221" w:val="left" w:leader="none"/>
        </w:tabs>
        <w:spacing w:line="480" w:lineRule="auto" w:before="0" w:after="0"/>
        <w:ind w:left="500" w:right="436" w:firstLine="0"/>
        <w:jc w:val="both"/>
        <w:rPr>
          <w:sz w:val="25"/>
        </w:rPr>
      </w:pPr>
      <w:r>
        <w:rPr>
          <w:sz w:val="25"/>
        </w:rPr>
        <w:t>In </w:t>
      </w:r>
      <w:r>
        <w:rPr>
          <w:b/>
          <w:sz w:val="25"/>
        </w:rPr>
        <w:t>Konda Lakshmana Bapuji </w:t>
      </w:r>
      <w:r>
        <w:rPr>
          <w:sz w:val="25"/>
        </w:rPr>
        <w:t>v </w:t>
      </w:r>
      <w:r>
        <w:rPr>
          <w:b/>
          <w:sz w:val="25"/>
        </w:rPr>
        <w:t>Government of A P</w:t>
      </w:r>
      <w:r>
        <w:rPr>
          <w:sz w:val="25"/>
          <w:vertAlign w:val="superscript"/>
        </w:rPr>
        <w:t>394</w:t>
      </w:r>
      <w:r>
        <w:rPr>
          <w:sz w:val="25"/>
          <w:vertAlign w:val="baseline"/>
        </w:rPr>
        <w:t>, the respondent claimed that the land in dispute was shown as Maqta land and later as Inam land. The appellant claimed to be an assessee of one of the successors to the said Maqta and he had occupied the land in 1958 and constructed a building upon it. It was argued that the principle of lost grant would apply as the appellant has been in possession of the land in dispute for a considerable length of time under an assertion of title. It was alleged by the respondent that the claim of the appellant was not lawful because the land never belonged to the said Maqta; even otherwise it vested in the Government with effect from the said date and the order of the Collector, correcting entries in the record of rights, had become final. A two judge Bench of this Court, while rejecting the claim of doctrine of lost grant, referred to the decision of </w:t>
      </w:r>
      <w:r>
        <w:rPr>
          <w:b/>
          <w:sz w:val="25"/>
          <w:vertAlign w:val="baseline"/>
        </w:rPr>
        <w:t>Monohar Das Mohanta </w:t>
      </w:r>
      <w:r>
        <w:rPr>
          <w:sz w:val="25"/>
          <w:vertAlign w:val="baseline"/>
        </w:rPr>
        <w:t>and held that a presumption  of lost grant will not be available to the appellant who traced his possession from 1954 under an unregistered perpetual lease from the erstwhile Inamdar (Maqtedar).</w:t>
      </w:r>
    </w:p>
    <w:p>
      <w:pPr>
        <w:spacing w:after="0" w:line="480" w:lineRule="auto"/>
        <w:jc w:val="both"/>
        <w:rPr>
          <w:sz w:val="25"/>
        </w:rPr>
        <w:sectPr>
          <w:headerReference w:type="default" r:id="rId194"/>
          <w:footerReference w:type="default" r:id="rId195"/>
          <w:pgSz w:w="11910" w:h="16840"/>
          <w:pgMar w:header="721" w:footer="1566" w:top="1300" w:bottom="1760" w:left="940" w:right="1000"/>
          <w:pgNumType w:start="394"/>
        </w:sectPr>
      </w:pPr>
    </w:p>
    <w:p>
      <w:pPr>
        <w:pStyle w:val="ListParagraph"/>
        <w:numPr>
          <w:ilvl w:val="0"/>
          <w:numId w:val="235"/>
        </w:numPr>
        <w:tabs>
          <w:tab w:pos="1221" w:val="left" w:leader="none"/>
        </w:tabs>
        <w:spacing w:line="480" w:lineRule="auto" w:before="121" w:after="0"/>
        <w:ind w:left="500" w:right="435" w:firstLine="0"/>
        <w:jc w:val="both"/>
        <w:rPr>
          <w:sz w:val="25"/>
        </w:rPr>
      </w:pPr>
      <w:r>
        <w:rPr>
          <w:sz w:val="25"/>
        </w:rPr>
        <w:t>A two judge Bench of this Court in </w:t>
      </w:r>
      <w:r>
        <w:rPr>
          <w:b/>
          <w:sz w:val="25"/>
        </w:rPr>
        <w:t>Braja Kishore Jagdev </w:t>
      </w:r>
      <w:r>
        <w:rPr>
          <w:sz w:val="25"/>
        </w:rPr>
        <w:t>v </w:t>
      </w:r>
      <w:r>
        <w:rPr>
          <w:b/>
          <w:sz w:val="25"/>
        </w:rPr>
        <w:t>Lingraj Samantaray</w:t>
      </w:r>
      <w:r>
        <w:rPr>
          <w:sz w:val="25"/>
          <w:vertAlign w:val="superscript"/>
        </w:rPr>
        <w:t>395</w:t>
      </w:r>
      <w:r>
        <w:rPr>
          <w:sz w:val="25"/>
          <w:vertAlign w:val="baseline"/>
        </w:rPr>
        <w:t>, dealt with the respondent‘s claim to be a hereditary trustee of a public religious institution based on the contention that his ancestors had been entrusted with the management of affairs of the religious institution which had been established long ago by an unknown founder. It was contended by the respondent that their family had been performing seva and puja without any interruption whatsoever as marfatdars and the office of marfatdar was hereditary and regulated by custom. The appellants contested the claim of the respondent and the Assistant Commissioner rejected the claim of the respondent. However, the High Court in appeal allowed the respondent‘s claim and held him to be a hereditary trustee based on the doctrine of lost grant. Justice S Rajendra Babu while setting aside the High Court‘s decision held</w:t>
      </w:r>
      <w:r>
        <w:rPr>
          <w:spacing w:val="-7"/>
          <w:sz w:val="25"/>
          <w:vertAlign w:val="baseline"/>
        </w:rPr>
        <w:t> </w:t>
      </w:r>
      <w:r>
        <w:rPr>
          <w:sz w:val="25"/>
          <w:vertAlign w:val="baseline"/>
        </w:rPr>
        <w:t>thus:</w:t>
      </w:r>
    </w:p>
    <w:p>
      <w:pPr>
        <w:spacing w:line="276" w:lineRule="auto" w:before="162"/>
        <w:ind w:left="1940" w:right="2255" w:firstLine="0"/>
        <w:jc w:val="both"/>
        <w:rPr>
          <w:sz w:val="21"/>
        </w:rPr>
      </w:pPr>
      <w:r>
        <w:rPr>
          <w:spacing w:val="-1"/>
          <w:w w:val="33"/>
          <w:sz w:val="21"/>
        </w:rPr>
        <w:t>―</w:t>
      </w:r>
      <w:r>
        <w:rPr>
          <w:spacing w:val="-1"/>
          <w:w w:val="100"/>
          <w:sz w:val="21"/>
        </w:rPr>
        <w:t>6</w:t>
      </w:r>
      <w:r>
        <w:rPr>
          <w:w w:val="100"/>
          <w:sz w:val="21"/>
        </w:rPr>
        <w:t>.</w:t>
      </w:r>
      <w:r>
        <w:rPr>
          <w:spacing w:val="-2"/>
          <w:sz w:val="21"/>
        </w:rPr>
        <w:t> </w:t>
      </w:r>
      <w:r>
        <w:rPr>
          <w:w w:val="100"/>
          <w:sz w:val="21"/>
        </w:rPr>
        <w:t>Th</w:t>
      </w:r>
      <w:r>
        <w:rPr>
          <w:w w:val="100"/>
          <w:sz w:val="21"/>
        </w:rPr>
        <w:t>e</w:t>
      </w:r>
      <w:r>
        <w:rPr>
          <w:sz w:val="21"/>
        </w:rPr>
        <w:t> </w:t>
      </w:r>
      <w:r>
        <w:rPr>
          <w:spacing w:val="-7"/>
          <w:sz w:val="21"/>
        </w:rPr>
        <w:t> </w:t>
      </w:r>
      <w:r>
        <w:rPr>
          <w:w w:val="100"/>
          <w:sz w:val="21"/>
        </w:rPr>
        <w:t>o</w:t>
      </w:r>
      <w:r>
        <w:rPr>
          <w:spacing w:val="-1"/>
          <w:w w:val="100"/>
          <w:sz w:val="21"/>
        </w:rPr>
        <w:t>t</w:t>
      </w:r>
      <w:r>
        <w:rPr>
          <w:w w:val="100"/>
          <w:sz w:val="21"/>
        </w:rPr>
        <w:t>her</w:t>
      </w:r>
      <w:r>
        <w:rPr>
          <w:sz w:val="21"/>
        </w:rPr>
        <w:t> </w:t>
      </w:r>
      <w:r>
        <w:rPr>
          <w:spacing w:val="-7"/>
          <w:sz w:val="21"/>
        </w:rPr>
        <w:t> </w:t>
      </w:r>
      <w:r>
        <w:rPr>
          <w:w w:val="100"/>
          <w:sz w:val="21"/>
        </w:rPr>
        <w:t>ba</w:t>
      </w:r>
      <w:r>
        <w:rPr>
          <w:spacing w:val="-3"/>
          <w:w w:val="100"/>
          <w:sz w:val="21"/>
        </w:rPr>
        <w:t>s</w:t>
      </w:r>
      <w:r>
        <w:rPr>
          <w:w w:val="100"/>
          <w:sz w:val="21"/>
        </w:rPr>
        <w:t>i</w:t>
      </w:r>
      <w:r>
        <w:rPr>
          <w:w w:val="100"/>
          <w:sz w:val="21"/>
        </w:rPr>
        <w:t>s</w:t>
      </w:r>
      <w:r>
        <w:rPr>
          <w:sz w:val="21"/>
        </w:rPr>
        <w:t> </w:t>
      </w:r>
      <w:r>
        <w:rPr>
          <w:spacing w:val="-7"/>
          <w:sz w:val="21"/>
        </w:rPr>
        <w:t> </w:t>
      </w:r>
      <w:r>
        <w:rPr>
          <w:w w:val="100"/>
          <w:sz w:val="21"/>
        </w:rPr>
        <w:t>u</w:t>
      </w:r>
      <w:r>
        <w:rPr>
          <w:spacing w:val="-3"/>
          <w:w w:val="100"/>
          <w:sz w:val="21"/>
        </w:rPr>
        <w:t>p</w:t>
      </w:r>
      <w:r>
        <w:rPr>
          <w:w w:val="100"/>
          <w:sz w:val="21"/>
        </w:rPr>
        <w:t>on</w:t>
      </w:r>
      <w:r>
        <w:rPr>
          <w:sz w:val="21"/>
        </w:rPr>
        <w:t> </w:t>
      </w:r>
      <w:r>
        <w:rPr>
          <w:spacing w:val="-9"/>
          <w:sz w:val="21"/>
        </w:rPr>
        <w:t> </w:t>
      </w:r>
      <w:r>
        <w:rPr>
          <w:spacing w:val="-2"/>
          <w:w w:val="100"/>
          <w:sz w:val="21"/>
        </w:rPr>
        <w:t>w</w:t>
      </w:r>
      <w:r>
        <w:rPr>
          <w:w w:val="100"/>
          <w:sz w:val="21"/>
        </w:rPr>
        <w:t>h</w:t>
      </w:r>
      <w:r>
        <w:rPr>
          <w:spacing w:val="1"/>
          <w:w w:val="100"/>
          <w:sz w:val="21"/>
        </w:rPr>
        <w:t>i</w:t>
      </w:r>
      <w:r>
        <w:rPr>
          <w:w w:val="100"/>
          <w:sz w:val="21"/>
        </w:rPr>
        <w:t>ch</w:t>
      </w:r>
      <w:r>
        <w:rPr>
          <w:sz w:val="21"/>
        </w:rPr>
        <w:t> </w:t>
      </w:r>
      <w:r>
        <w:rPr>
          <w:spacing w:val="-7"/>
          <w:sz w:val="21"/>
        </w:rPr>
        <w:t> </w:t>
      </w:r>
      <w:r>
        <w:rPr>
          <w:spacing w:val="-2"/>
          <w:w w:val="100"/>
          <w:sz w:val="21"/>
        </w:rPr>
        <w:t>t</w:t>
      </w:r>
      <w:r>
        <w:rPr>
          <w:w w:val="100"/>
          <w:sz w:val="21"/>
        </w:rPr>
        <w:t>he</w:t>
      </w:r>
      <w:r>
        <w:rPr>
          <w:sz w:val="21"/>
        </w:rPr>
        <w:t> </w:t>
      </w:r>
      <w:r>
        <w:rPr>
          <w:spacing w:val="-7"/>
          <w:sz w:val="21"/>
        </w:rPr>
        <w:t> </w:t>
      </w:r>
      <w:r>
        <w:rPr>
          <w:spacing w:val="-2"/>
          <w:w w:val="100"/>
          <w:sz w:val="21"/>
        </w:rPr>
        <w:t>H</w:t>
      </w:r>
      <w:r>
        <w:rPr>
          <w:w w:val="100"/>
          <w:sz w:val="21"/>
        </w:rPr>
        <w:t>i</w:t>
      </w:r>
      <w:r>
        <w:rPr>
          <w:w w:val="100"/>
          <w:sz w:val="21"/>
        </w:rPr>
        <w:t>gh</w:t>
      </w:r>
      <w:r>
        <w:rPr>
          <w:sz w:val="21"/>
        </w:rPr>
        <w:t> </w:t>
      </w:r>
      <w:r>
        <w:rPr>
          <w:spacing w:val="-9"/>
          <w:sz w:val="21"/>
        </w:rPr>
        <w:t> </w:t>
      </w:r>
      <w:r>
        <w:rPr>
          <w:w w:val="100"/>
          <w:sz w:val="21"/>
        </w:rPr>
        <w:t>C</w:t>
      </w:r>
      <w:r>
        <w:rPr>
          <w:w w:val="100"/>
          <w:sz w:val="21"/>
        </w:rPr>
        <w:t>ourt</w:t>
      </w:r>
      <w:r>
        <w:rPr>
          <w:sz w:val="21"/>
        </w:rPr>
        <w:t> </w:t>
      </w:r>
      <w:r>
        <w:rPr>
          <w:spacing w:val="-8"/>
          <w:sz w:val="21"/>
        </w:rPr>
        <w:t> </w:t>
      </w:r>
      <w:r>
        <w:rPr>
          <w:spacing w:val="-3"/>
          <w:w w:val="100"/>
          <w:sz w:val="21"/>
        </w:rPr>
        <w:t>p</w:t>
      </w:r>
      <w:r>
        <w:rPr>
          <w:w w:val="100"/>
          <w:sz w:val="21"/>
        </w:rPr>
        <w:t>assed</w:t>
      </w:r>
      <w:r>
        <w:rPr>
          <w:sz w:val="21"/>
        </w:rPr>
        <w:t> </w:t>
      </w:r>
      <w:r>
        <w:rPr>
          <w:spacing w:val="-9"/>
          <w:sz w:val="21"/>
        </w:rPr>
        <w:t> </w:t>
      </w:r>
      <w:r>
        <w:rPr>
          <w:w w:val="100"/>
          <w:sz w:val="21"/>
        </w:rPr>
        <w:t>i</w:t>
      </w:r>
      <w:r>
        <w:rPr>
          <w:spacing w:val="-2"/>
          <w:w w:val="100"/>
          <w:sz w:val="21"/>
        </w:rPr>
        <w:t>t</w:t>
      </w:r>
      <w:r>
        <w:rPr>
          <w:w w:val="100"/>
          <w:sz w:val="21"/>
        </w:rPr>
        <w:t>s </w:t>
      </w:r>
      <w:r>
        <w:rPr>
          <w:sz w:val="21"/>
        </w:rPr>
        <w:t>judgment is that the requirements of law that they are </w:t>
      </w:r>
      <w:r>
        <w:rPr>
          <w:spacing w:val="-1"/>
          <w:w w:val="100"/>
          <w:sz w:val="21"/>
        </w:rPr>
        <w:t>here</w:t>
      </w:r>
      <w:r>
        <w:rPr>
          <w:spacing w:val="-3"/>
          <w:w w:val="100"/>
          <w:sz w:val="21"/>
        </w:rPr>
        <w:t>d</w:t>
      </w:r>
      <w:r>
        <w:rPr>
          <w:w w:val="100"/>
          <w:sz w:val="21"/>
        </w:rPr>
        <w:t>i</w:t>
      </w:r>
      <w:r>
        <w:rPr>
          <w:spacing w:val="-2"/>
          <w:w w:val="100"/>
          <w:sz w:val="21"/>
        </w:rPr>
        <w:t>t</w:t>
      </w:r>
      <w:r>
        <w:rPr>
          <w:spacing w:val="-1"/>
          <w:w w:val="100"/>
          <w:sz w:val="21"/>
        </w:rPr>
        <w:t>ar</w:t>
      </w:r>
      <w:r>
        <w:rPr>
          <w:w w:val="100"/>
          <w:sz w:val="21"/>
        </w:rPr>
        <w:t>y</w:t>
      </w:r>
      <w:r>
        <w:rPr>
          <w:sz w:val="21"/>
        </w:rPr>
        <w:t> </w:t>
      </w:r>
      <w:r>
        <w:rPr>
          <w:spacing w:val="-2"/>
          <w:w w:val="100"/>
          <w:sz w:val="21"/>
        </w:rPr>
        <w:t>t</w:t>
      </w:r>
      <w:r>
        <w:rPr>
          <w:spacing w:val="-1"/>
          <w:w w:val="100"/>
          <w:sz w:val="21"/>
        </w:rPr>
        <w:t>rustee</w:t>
      </w:r>
      <w:r>
        <w:rPr>
          <w:w w:val="100"/>
          <w:sz w:val="21"/>
        </w:rPr>
        <w:t>s</w:t>
      </w:r>
      <w:r>
        <w:rPr>
          <w:spacing w:val="4"/>
          <w:sz w:val="21"/>
        </w:rPr>
        <w:t> </w:t>
      </w:r>
      <w:r>
        <w:rPr>
          <w:spacing w:val="-1"/>
          <w:w w:val="33"/>
          <w:sz w:val="21"/>
        </w:rPr>
        <w:t>―</w:t>
      </w:r>
      <w:r>
        <w:rPr>
          <w:w w:val="100"/>
          <w:sz w:val="21"/>
        </w:rPr>
        <w:t>s</w:t>
      </w:r>
      <w:r>
        <w:rPr>
          <w:spacing w:val="-2"/>
          <w:w w:val="100"/>
          <w:sz w:val="21"/>
        </w:rPr>
        <w:t>i</w:t>
      </w:r>
      <w:r>
        <w:rPr>
          <w:spacing w:val="-1"/>
          <w:w w:val="100"/>
          <w:sz w:val="21"/>
        </w:rPr>
        <w:t>nc</w:t>
      </w:r>
      <w:r>
        <w:rPr>
          <w:w w:val="100"/>
          <w:sz w:val="21"/>
        </w:rPr>
        <w:t>e</w:t>
      </w:r>
      <w:r>
        <w:rPr>
          <w:spacing w:val="1"/>
          <w:sz w:val="21"/>
        </w:rPr>
        <w:t> </w:t>
      </w:r>
      <w:r>
        <w:rPr>
          <w:spacing w:val="-2"/>
          <w:w w:val="100"/>
          <w:sz w:val="21"/>
        </w:rPr>
        <w:t>t</w:t>
      </w:r>
      <w:r>
        <w:rPr>
          <w:spacing w:val="-1"/>
          <w:w w:val="100"/>
          <w:sz w:val="21"/>
        </w:rPr>
        <w:t>h</w:t>
      </w:r>
      <w:r>
        <w:rPr>
          <w:w w:val="100"/>
          <w:sz w:val="21"/>
        </w:rPr>
        <w:t>e</w:t>
      </w:r>
      <w:r>
        <w:rPr>
          <w:spacing w:val="4"/>
          <w:sz w:val="21"/>
        </w:rPr>
        <w:t> </w:t>
      </w:r>
      <w:r>
        <w:rPr>
          <w:spacing w:val="-2"/>
          <w:w w:val="100"/>
          <w:sz w:val="21"/>
        </w:rPr>
        <w:t>ti</w:t>
      </w:r>
      <w:r>
        <w:rPr>
          <w:spacing w:val="1"/>
          <w:w w:val="100"/>
          <w:sz w:val="21"/>
        </w:rPr>
        <w:t>m</w:t>
      </w:r>
      <w:r>
        <w:rPr>
          <w:w w:val="100"/>
          <w:sz w:val="21"/>
        </w:rPr>
        <w:t>e</w:t>
      </w:r>
      <w:r>
        <w:rPr>
          <w:spacing w:val="1"/>
          <w:sz w:val="21"/>
        </w:rPr>
        <w:t> </w:t>
      </w:r>
      <w:r>
        <w:rPr>
          <w:spacing w:val="-1"/>
          <w:w w:val="100"/>
          <w:sz w:val="21"/>
        </w:rPr>
        <w:t>o</w:t>
      </w:r>
      <w:r>
        <w:rPr>
          <w:w w:val="100"/>
          <w:sz w:val="21"/>
        </w:rPr>
        <w:t>f</w:t>
      </w:r>
      <w:r>
        <w:rPr>
          <w:spacing w:val="2"/>
          <w:sz w:val="21"/>
        </w:rPr>
        <w:t> </w:t>
      </w:r>
      <w:r>
        <w:rPr>
          <w:spacing w:val="1"/>
          <w:w w:val="100"/>
          <w:sz w:val="21"/>
        </w:rPr>
        <w:t>f</w:t>
      </w:r>
      <w:r>
        <w:rPr>
          <w:spacing w:val="-3"/>
          <w:w w:val="100"/>
          <w:sz w:val="21"/>
        </w:rPr>
        <w:t>o</w:t>
      </w:r>
      <w:r>
        <w:rPr>
          <w:spacing w:val="-1"/>
          <w:w w:val="100"/>
          <w:sz w:val="21"/>
        </w:rPr>
        <w:t>un</w:t>
      </w:r>
      <w:r>
        <w:rPr>
          <w:spacing w:val="-2"/>
          <w:w w:val="100"/>
          <w:sz w:val="21"/>
        </w:rPr>
        <w:t>d</w:t>
      </w:r>
      <w:r>
        <w:rPr>
          <w:spacing w:val="-1"/>
          <w:w w:val="94"/>
          <w:sz w:val="21"/>
        </w:rPr>
        <w:t>er</w:t>
      </w:r>
      <w:r>
        <w:rPr>
          <w:w w:val="94"/>
          <w:sz w:val="21"/>
        </w:rPr>
        <w:t>‖</w:t>
      </w:r>
      <w:r>
        <w:rPr>
          <w:spacing w:val="2"/>
          <w:sz w:val="21"/>
        </w:rPr>
        <w:t> </w:t>
      </w:r>
      <w:r>
        <w:rPr>
          <w:spacing w:val="-1"/>
          <w:w w:val="100"/>
          <w:sz w:val="21"/>
        </w:rPr>
        <w:t>oc</w:t>
      </w:r>
      <w:r>
        <w:rPr>
          <w:spacing w:val="-3"/>
          <w:w w:val="100"/>
          <w:sz w:val="21"/>
        </w:rPr>
        <w:t>c</w:t>
      </w:r>
      <w:r>
        <w:rPr>
          <w:spacing w:val="-1"/>
          <w:w w:val="100"/>
          <w:sz w:val="21"/>
        </w:rPr>
        <w:t>ur</w:t>
      </w:r>
      <w:r>
        <w:rPr>
          <w:spacing w:val="-2"/>
          <w:w w:val="100"/>
          <w:sz w:val="21"/>
        </w:rPr>
        <w:t>r</w:t>
      </w:r>
      <w:r>
        <w:rPr>
          <w:w w:val="100"/>
          <w:sz w:val="21"/>
        </w:rPr>
        <w:t>i</w:t>
      </w:r>
      <w:r>
        <w:rPr>
          <w:spacing w:val="-1"/>
          <w:w w:val="100"/>
          <w:sz w:val="21"/>
        </w:rPr>
        <w:t>n</w:t>
      </w:r>
      <w:r>
        <w:rPr>
          <w:w w:val="100"/>
          <w:sz w:val="21"/>
        </w:rPr>
        <w:t>g</w:t>
      </w:r>
      <w:r>
        <w:rPr>
          <w:spacing w:val="1"/>
          <w:sz w:val="21"/>
        </w:rPr>
        <w:t> </w:t>
      </w:r>
      <w:r>
        <w:rPr>
          <w:w w:val="100"/>
          <w:sz w:val="21"/>
        </w:rPr>
        <w:t>in</w:t>
      </w:r>
      <w:r>
        <w:rPr>
          <w:spacing w:val="3"/>
          <w:sz w:val="21"/>
        </w:rPr>
        <w:t> </w:t>
      </w:r>
      <w:r>
        <w:rPr>
          <w:spacing w:val="-2"/>
          <w:w w:val="100"/>
          <w:sz w:val="21"/>
        </w:rPr>
        <w:t>t</w:t>
      </w:r>
      <w:r>
        <w:rPr>
          <w:spacing w:val="-3"/>
          <w:w w:val="100"/>
          <w:sz w:val="21"/>
        </w:rPr>
        <w:t>h</w:t>
      </w:r>
      <w:r>
        <w:rPr>
          <w:w w:val="100"/>
          <w:sz w:val="21"/>
        </w:rPr>
        <w:t>e </w:t>
      </w:r>
      <w:r>
        <w:rPr>
          <w:spacing w:val="-1"/>
          <w:w w:val="100"/>
          <w:sz w:val="21"/>
        </w:rPr>
        <w:t>def</w:t>
      </w:r>
      <w:r>
        <w:rPr>
          <w:w w:val="100"/>
          <w:sz w:val="21"/>
        </w:rPr>
        <w:t>i</w:t>
      </w:r>
      <w:r>
        <w:rPr>
          <w:spacing w:val="-3"/>
          <w:w w:val="100"/>
          <w:sz w:val="21"/>
        </w:rPr>
        <w:t>n</w:t>
      </w:r>
      <w:r>
        <w:rPr>
          <w:w w:val="100"/>
          <w:sz w:val="21"/>
        </w:rPr>
        <w:t>i</w:t>
      </w:r>
      <w:r>
        <w:rPr>
          <w:spacing w:val="-2"/>
          <w:w w:val="100"/>
          <w:sz w:val="21"/>
        </w:rPr>
        <w:t>t</w:t>
      </w:r>
      <w:r>
        <w:rPr>
          <w:w w:val="100"/>
          <w:sz w:val="21"/>
        </w:rPr>
        <w:t>i</w:t>
      </w:r>
      <w:r>
        <w:rPr>
          <w:spacing w:val="-3"/>
          <w:w w:val="100"/>
          <w:sz w:val="21"/>
        </w:rPr>
        <w:t>o</w:t>
      </w:r>
      <w:r>
        <w:rPr>
          <w:w w:val="100"/>
          <w:sz w:val="21"/>
        </w:rPr>
        <w:t>n</w:t>
      </w:r>
      <w:r>
        <w:rPr>
          <w:sz w:val="21"/>
        </w:rPr>
        <w:t>  </w:t>
      </w:r>
      <w:r>
        <w:rPr>
          <w:spacing w:val="-17"/>
          <w:sz w:val="21"/>
        </w:rPr>
        <w:t> </w:t>
      </w:r>
      <w:r>
        <w:rPr>
          <w:spacing w:val="-3"/>
          <w:w w:val="100"/>
          <w:sz w:val="21"/>
        </w:rPr>
        <w:t>o</w:t>
      </w:r>
      <w:r>
        <w:rPr>
          <w:w w:val="100"/>
          <w:sz w:val="21"/>
        </w:rPr>
        <w:t>f</w:t>
      </w:r>
      <w:r>
        <w:rPr>
          <w:sz w:val="21"/>
        </w:rPr>
        <w:t>  </w:t>
      </w:r>
      <w:r>
        <w:rPr>
          <w:spacing w:val="-16"/>
          <w:sz w:val="21"/>
        </w:rPr>
        <w:t> </w:t>
      </w:r>
      <w:r>
        <w:rPr>
          <w:spacing w:val="-4"/>
          <w:w w:val="33"/>
          <w:sz w:val="21"/>
        </w:rPr>
        <w:t>―</w:t>
      </w:r>
      <w:r>
        <w:rPr>
          <w:spacing w:val="-1"/>
          <w:w w:val="100"/>
          <w:sz w:val="21"/>
        </w:rPr>
        <w:t>her</w:t>
      </w:r>
      <w:r>
        <w:rPr>
          <w:spacing w:val="-3"/>
          <w:w w:val="100"/>
          <w:sz w:val="21"/>
        </w:rPr>
        <w:t>e</w:t>
      </w:r>
      <w:r>
        <w:rPr>
          <w:spacing w:val="-1"/>
          <w:w w:val="100"/>
          <w:sz w:val="21"/>
        </w:rPr>
        <w:t>d</w:t>
      </w:r>
      <w:r>
        <w:rPr>
          <w:spacing w:val="1"/>
          <w:w w:val="100"/>
          <w:sz w:val="21"/>
        </w:rPr>
        <w:t>i</w:t>
      </w:r>
      <w:r>
        <w:rPr>
          <w:spacing w:val="-2"/>
          <w:w w:val="100"/>
          <w:sz w:val="21"/>
        </w:rPr>
        <w:t>t</w:t>
      </w:r>
      <w:r>
        <w:rPr>
          <w:spacing w:val="-1"/>
          <w:w w:val="100"/>
          <w:sz w:val="21"/>
        </w:rPr>
        <w:t>ar</w:t>
      </w:r>
      <w:r>
        <w:rPr>
          <w:w w:val="100"/>
          <w:sz w:val="21"/>
        </w:rPr>
        <w:t>y</w:t>
      </w:r>
      <w:r>
        <w:rPr>
          <w:sz w:val="21"/>
        </w:rPr>
        <w:t>  </w:t>
      </w:r>
      <w:r>
        <w:rPr>
          <w:spacing w:val="-20"/>
          <w:sz w:val="21"/>
        </w:rPr>
        <w:t> </w:t>
      </w:r>
      <w:r>
        <w:rPr>
          <w:spacing w:val="-2"/>
          <w:w w:val="100"/>
          <w:sz w:val="21"/>
        </w:rPr>
        <w:t>t</w:t>
      </w:r>
      <w:r>
        <w:rPr>
          <w:spacing w:val="-1"/>
          <w:w w:val="100"/>
          <w:sz w:val="21"/>
        </w:rPr>
        <w:t>rust</w:t>
      </w:r>
      <w:r>
        <w:rPr>
          <w:spacing w:val="-1"/>
          <w:w w:val="95"/>
          <w:sz w:val="21"/>
        </w:rPr>
        <w:t>ee</w:t>
      </w:r>
      <w:r>
        <w:rPr>
          <w:w w:val="95"/>
          <w:sz w:val="21"/>
        </w:rPr>
        <w:t>‖</w:t>
      </w:r>
      <w:r>
        <w:rPr>
          <w:sz w:val="21"/>
        </w:rPr>
        <w:t>  </w:t>
      </w:r>
      <w:r>
        <w:rPr>
          <w:spacing w:val="-20"/>
          <w:sz w:val="21"/>
        </w:rPr>
        <w:t> </w:t>
      </w:r>
      <w:r>
        <w:rPr>
          <w:w w:val="100"/>
          <w:sz w:val="21"/>
        </w:rPr>
        <w:t>is</w:t>
      </w:r>
      <w:r>
        <w:rPr>
          <w:sz w:val="21"/>
        </w:rPr>
        <w:t>  </w:t>
      </w:r>
      <w:r>
        <w:rPr>
          <w:spacing w:val="-20"/>
          <w:sz w:val="21"/>
        </w:rPr>
        <w:t> </w:t>
      </w:r>
      <w:r>
        <w:rPr>
          <w:w w:val="100"/>
          <w:sz w:val="21"/>
        </w:rPr>
        <w:t>l</w:t>
      </w:r>
      <w:r>
        <w:rPr>
          <w:spacing w:val="-1"/>
          <w:w w:val="100"/>
          <w:sz w:val="21"/>
        </w:rPr>
        <w:t>os</w:t>
      </w:r>
      <w:r>
        <w:rPr>
          <w:w w:val="100"/>
          <w:sz w:val="21"/>
        </w:rPr>
        <w:t>t</w:t>
      </w:r>
      <w:r>
        <w:rPr>
          <w:sz w:val="21"/>
        </w:rPr>
        <w:t>  </w:t>
      </w:r>
      <w:r>
        <w:rPr>
          <w:spacing w:val="-21"/>
          <w:sz w:val="21"/>
        </w:rPr>
        <w:t> </w:t>
      </w:r>
      <w:r>
        <w:rPr>
          <w:w w:val="100"/>
          <w:sz w:val="21"/>
        </w:rPr>
        <w:t>in</w:t>
      </w:r>
      <w:r>
        <w:rPr>
          <w:sz w:val="21"/>
        </w:rPr>
        <w:t>  </w:t>
      </w:r>
      <w:r>
        <w:rPr>
          <w:spacing w:val="-20"/>
          <w:sz w:val="21"/>
        </w:rPr>
        <w:t> </w:t>
      </w:r>
      <w:r>
        <w:rPr>
          <w:spacing w:val="-1"/>
          <w:w w:val="100"/>
          <w:sz w:val="21"/>
        </w:rPr>
        <w:t>an</w:t>
      </w:r>
      <w:r>
        <w:rPr>
          <w:spacing w:val="-4"/>
          <w:w w:val="100"/>
          <w:sz w:val="21"/>
        </w:rPr>
        <w:t>t</w:t>
      </w:r>
      <w:r>
        <w:rPr>
          <w:w w:val="100"/>
          <w:sz w:val="21"/>
        </w:rPr>
        <w:t>i</w:t>
      </w:r>
      <w:r>
        <w:rPr>
          <w:spacing w:val="-1"/>
          <w:w w:val="100"/>
          <w:sz w:val="21"/>
        </w:rPr>
        <w:t>q</w:t>
      </w:r>
      <w:r>
        <w:rPr>
          <w:spacing w:val="-3"/>
          <w:w w:val="100"/>
          <w:sz w:val="21"/>
        </w:rPr>
        <w:t>u</w:t>
      </w:r>
      <w:r>
        <w:rPr>
          <w:w w:val="100"/>
          <w:sz w:val="21"/>
        </w:rPr>
        <w:t>i</w:t>
      </w:r>
      <w:r>
        <w:rPr>
          <w:spacing w:val="-2"/>
          <w:w w:val="100"/>
          <w:sz w:val="21"/>
        </w:rPr>
        <w:t>t</w:t>
      </w:r>
      <w:r>
        <w:rPr>
          <w:w w:val="100"/>
          <w:sz w:val="21"/>
        </w:rPr>
        <w:t>y</w:t>
      </w:r>
      <w:r>
        <w:rPr>
          <w:sz w:val="21"/>
        </w:rPr>
        <w:t>  </w:t>
      </w:r>
      <w:r>
        <w:rPr>
          <w:spacing w:val="-20"/>
          <w:sz w:val="21"/>
        </w:rPr>
        <w:t> </w:t>
      </w:r>
      <w:r>
        <w:rPr>
          <w:spacing w:val="-1"/>
          <w:w w:val="100"/>
          <w:sz w:val="21"/>
        </w:rPr>
        <w:t>and </w:t>
      </w:r>
      <w:r>
        <w:rPr>
          <w:sz w:val="21"/>
        </w:rPr>
        <w:t>therefore it is not possible to have any direct evidence to establish the line of succession but could be derived in the </w:t>
      </w:r>
      <w:r>
        <w:rPr>
          <w:spacing w:val="-1"/>
          <w:w w:val="100"/>
          <w:sz w:val="21"/>
        </w:rPr>
        <w:t>doctr</w:t>
      </w:r>
      <w:r>
        <w:rPr>
          <w:w w:val="100"/>
          <w:sz w:val="21"/>
        </w:rPr>
        <w:t>i</w:t>
      </w:r>
      <w:r>
        <w:rPr>
          <w:spacing w:val="-3"/>
          <w:w w:val="100"/>
          <w:sz w:val="21"/>
        </w:rPr>
        <w:t>n</w:t>
      </w:r>
      <w:r>
        <w:rPr>
          <w:w w:val="100"/>
          <w:sz w:val="21"/>
        </w:rPr>
        <w:t>e</w:t>
      </w:r>
      <w:r>
        <w:rPr>
          <w:sz w:val="21"/>
        </w:rPr>
        <w:t> </w:t>
      </w:r>
      <w:r>
        <w:rPr>
          <w:spacing w:val="-26"/>
          <w:sz w:val="21"/>
        </w:rPr>
        <w:t> </w:t>
      </w:r>
      <w:r>
        <w:rPr>
          <w:spacing w:val="-1"/>
          <w:w w:val="100"/>
          <w:sz w:val="21"/>
        </w:rPr>
        <w:t>o</w:t>
      </w:r>
      <w:r>
        <w:rPr>
          <w:w w:val="100"/>
          <w:sz w:val="21"/>
        </w:rPr>
        <w:t>f</w:t>
      </w:r>
      <w:r>
        <w:rPr>
          <w:sz w:val="21"/>
        </w:rPr>
        <w:t> </w:t>
      </w:r>
      <w:r>
        <w:rPr>
          <w:spacing w:val="-25"/>
          <w:sz w:val="21"/>
        </w:rPr>
        <w:t> </w:t>
      </w:r>
      <w:r>
        <w:rPr>
          <w:spacing w:val="-1"/>
          <w:w w:val="33"/>
          <w:sz w:val="21"/>
        </w:rPr>
        <w:t>―</w:t>
      </w:r>
      <w:r>
        <w:rPr>
          <w:w w:val="100"/>
          <w:sz w:val="21"/>
        </w:rPr>
        <w:t>l</w:t>
      </w:r>
      <w:r>
        <w:rPr>
          <w:spacing w:val="-3"/>
          <w:w w:val="100"/>
          <w:sz w:val="21"/>
        </w:rPr>
        <w:t>o</w:t>
      </w:r>
      <w:r>
        <w:rPr>
          <w:w w:val="100"/>
          <w:sz w:val="21"/>
        </w:rPr>
        <w:t>st</w:t>
      </w:r>
      <w:r>
        <w:rPr>
          <w:sz w:val="21"/>
        </w:rPr>
        <w:t> </w:t>
      </w:r>
      <w:r>
        <w:rPr>
          <w:spacing w:val="-27"/>
          <w:sz w:val="21"/>
        </w:rPr>
        <w:t> </w:t>
      </w:r>
      <w:r>
        <w:rPr>
          <w:spacing w:val="-1"/>
          <w:w w:val="100"/>
          <w:sz w:val="21"/>
        </w:rPr>
        <w:t>gran</w:t>
      </w:r>
      <w:r>
        <w:rPr>
          <w:spacing w:val="-2"/>
          <w:w w:val="100"/>
          <w:sz w:val="21"/>
        </w:rPr>
        <w:t>t</w:t>
      </w:r>
      <w:r>
        <w:rPr>
          <w:spacing w:val="-1"/>
          <w:w w:val="81"/>
          <w:sz w:val="21"/>
        </w:rPr>
        <w:t>‖</w:t>
      </w:r>
      <w:r>
        <w:rPr>
          <w:w w:val="100"/>
          <w:sz w:val="21"/>
        </w:rPr>
        <w:t>.</w:t>
      </w:r>
      <w:r>
        <w:rPr>
          <w:sz w:val="21"/>
        </w:rPr>
        <w:t> </w:t>
      </w:r>
      <w:r>
        <w:rPr>
          <w:spacing w:val="-27"/>
          <w:sz w:val="21"/>
        </w:rPr>
        <w:t> </w:t>
      </w:r>
      <w:r>
        <w:rPr>
          <w:spacing w:val="-2"/>
          <w:w w:val="100"/>
          <w:sz w:val="21"/>
        </w:rPr>
        <w:t>I</w:t>
      </w:r>
      <w:r>
        <w:rPr>
          <w:w w:val="100"/>
          <w:sz w:val="21"/>
        </w:rPr>
        <w:t>t</w:t>
      </w:r>
      <w:r>
        <w:rPr>
          <w:sz w:val="21"/>
        </w:rPr>
        <w:t> </w:t>
      </w:r>
      <w:r>
        <w:rPr>
          <w:spacing w:val="-25"/>
          <w:sz w:val="21"/>
        </w:rPr>
        <w:t> </w:t>
      </w:r>
      <w:r>
        <w:rPr>
          <w:w w:val="100"/>
          <w:sz w:val="21"/>
        </w:rPr>
        <w:t>is</w:t>
      </w:r>
      <w:r>
        <w:rPr>
          <w:sz w:val="21"/>
        </w:rPr>
        <w:t> </w:t>
      </w:r>
      <w:r>
        <w:rPr>
          <w:spacing w:val="-26"/>
          <w:sz w:val="21"/>
        </w:rPr>
        <w:t> </w:t>
      </w:r>
      <w:r>
        <w:rPr>
          <w:spacing w:val="-1"/>
          <w:w w:val="100"/>
          <w:sz w:val="21"/>
        </w:rPr>
        <w:t>ope</w:t>
      </w:r>
      <w:r>
        <w:rPr>
          <w:w w:val="100"/>
          <w:sz w:val="21"/>
        </w:rPr>
        <w:t>n</w:t>
      </w:r>
      <w:r>
        <w:rPr>
          <w:sz w:val="21"/>
        </w:rPr>
        <w:t> </w:t>
      </w:r>
      <w:r>
        <w:rPr>
          <w:spacing w:val="-26"/>
          <w:sz w:val="21"/>
        </w:rPr>
        <w:t> </w:t>
      </w:r>
      <w:r>
        <w:rPr>
          <w:spacing w:val="-2"/>
          <w:w w:val="100"/>
          <w:sz w:val="21"/>
        </w:rPr>
        <w:t>t</w:t>
      </w:r>
      <w:r>
        <w:rPr>
          <w:w w:val="100"/>
          <w:sz w:val="21"/>
        </w:rPr>
        <w:t>o</w:t>
      </w:r>
      <w:r>
        <w:rPr>
          <w:sz w:val="21"/>
        </w:rPr>
        <w:t> </w:t>
      </w:r>
      <w:r>
        <w:rPr>
          <w:spacing w:val="-26"/>
          <w:sz w:val="21"/>
        </w:rPr>
        <w:t> </w:t>
      </w:r>
      <w:r>
        <w:rPr>
          <w:spacing w:val="-2"/>
          <w:w w:val="100"/>
          <w:sz w:val="21"/>
        </w:rPr>
        <w:t>t</w:t>
      </w:r>
      <w:r>
        <w:rPr>
          <w:spacing w:val="-1"/>
          <w:w w:val="100"/>
          <w:sz w:val="21"/>
        </w:rPr>
        <w:t>h</w:t>
      </w:r>
      <w:r>
        <w:rPr>
          <w:w w:val="100"/>
          <w:sz w:val="21"/>
        </w:rPr>
        <w:t>e</w:t>
      </w:r>
      <w:r>
        <w:rPr>
          <w:sz w:val="21"/>
        </w:rPr>
        <w:t> </w:t>
      </w:r>
      <w:r>
        <w:rPr>
          <w:spacing w:val="-26"/>
          <w:sz w:val="21"/>
        </w:rPr>
        <w:t> </w:t>
      </w:r>
      <w:r>
        <w:rPr>
          <w:w w:val="100"/>
          <w:sz w:val="21"/>
        </w:rPr>
        <w:t>court</w:t>
      </w:r>
      <w:r>
        <w:rPr>
          <w:sz w:val="21"/>
        </w:rPr>
        <w:t> </w:t>
      </w:r>
      <w:r>
        <w:rPr>
          <w:spacing w:val="-28"/>
          <w:sz w:val="21"/>
        </w:rPr>
        <w:t> </w:t>
      </w:r>
      <w:r>
        <w:rPr>
          <w:spacing w:val="-2"/>
          <w:w w:val="100"/>
          <w:sz w:val="21"/>
        </w:rPr>
        <w:t>t</w:t>
      </w:r>
      <w:r>
        <w:rPr>
          <w:w w:val="100"/>
          <w:sz w:val="21"/>
        </w:rPr>
        <w:t>o</w:t>
      </w:r>
      <w:r>
        <w:rPr>
          <w:sz w:val="21"/>
        </w:rPr>
        <w:t> </w:t>
      </w:r>
      <w:r>
        <w:rPr>
          <w:spacing w:val="-26"/>
          <w:sz w:val="21"/>
        </w:rPr>
        <w:t> </w:t>
      </w:r>
      <w:r>
        <w:rPr>
          <w:w w:val="100"/>
          <w:sz w:val="21"/>
        </w:rPr>
        <w:t>i</w:t>
      </w:r>
      <w:r>
        <w:rPr>
          <w:spacing w:val="-1"/>
          <w:w w:val="100"/>
          <w:sz w:val="21"/>
        </w:rPr>
        <w:t>n</w:t>
      </w:r>
      <w:r>
        <w:rPr>
          <w:spacing w:val="1"/>
          <w:w w:val="100"/>
          <w:sz w:val="21"/>
        </w:rPr>
        <w:t>f</w:t>
      </w:r>
      <w:r>
        <w:rPr>
          <w:spacing w:val="-1"/>
          <w:w w:val="100"/>
          <w:sz w:val="21"/>
        </w:rPr>
        <w:t>e</w:t>
      </w:r>
      <w:r>
        <w:rPr>
          <w:w w:val="100"/>
          <w:sz w:val="21"/>
        </w:rPr>
        <w:t>r</w:t>
      </w:r>
      <w:r>
        <w:rPr>
          <w:sz w:val="21"/>
        </w:rPr>
        <w:t> </w:t>
      </w:r>
      <w:r>
        <w:rPr>
          <w:spacing w:val="-27"/>
          <w:sz w:val="21"/>
        </w:rPr>
        <w:t> </w:t>
      </w:r>
      <w:r>
        <w:rPr>
          <w:spacing w:val="-1"/>
          <w:w w:val="100"/>
          <w:sz w:val="21"/>
        </w:rPr>
        <w:t>gr</w:t>
      </w:r>
      <w:r>
        <w:rPr>
          <w:spacing w:val="-3"/>
          <w:w w:val="100"/>
          <w:sz w:val="21"/>
        </w:rPr>
        <w:t>a</w:t>
      </w:r>
      <w:r>
        <w:rPr>
          <w:spacing w:val="-1"/>
          <w:w w:val="100"/>
          <w:sz w:val="21"/>
        </w:rPr>
        <w:t>nt </w:t>
      </w:r>
      <w:r>
        <w:rPr>
          <w:sz w:val="21"/>
        </w:rPr>
        <w:t>from immemorial use when such user is open, as of right and without interruption but grant will not be inferred if the user </w:t>
      </w:r>
      <w:r>
        <w:rPr>
          <w:w w:val="100"/>
          <w:sz w:val="21"/>
        </w:rPr>
        <w:t>can</w:t>
      </w:r>
      <w:r>
        <w:rPr>
          <w:spacing w:val="25"/>
          <w:sz w:val="21"/>
        </w:rPr>
        <w:t> </w:t>
      </w:r>
      <w:r>
        <w:rPr>
          <w:spacing w:val="-3"/>
          <w:w w:val="100"/>
          <w:sz w:val="21"/>
        </w:rPr>
        <w:t>b</w:t>
      </w:r>
      <w:r>
        <w:rPr>
          <w:w w:val="100"/>
          <w:sz w:val="21"/>
        </w:rPr>
        <w:t>e</w:t>
      </w:r>
      <w:r>
        <w:rPr>
          <w:spacing w:val="25"/>
          <w:sz w:val="21"/>
        </w:rPr>
        <w:t> </w:t>
      </w:r>
      <w:r>
        <w:rPr>
          <w:w w:val="100"/>
          <w:sz w:val="21"/>
        </w:rPr>
        <w:t>e</w:t>
      </w:r>
      <w:r>
        <w:rPr>
          <w:spacing w:val="-3"/>
          <w:w w:val="100"/>
          <w:sz w:val="21"/>
        </w:rPr>
        <w:t>x</w:t>
      </w:r>
      <w:r>
        <w:rPr>
          <w:w w:val="100"/>
          <w:sz w:val="21"/>
        </w:rPr>
        <w:t>p</w:t>
      </w:r>
      <w:r>
        <w:rPr>
          <w:spacing w:val="-2"/>
          <w:w w:val="100"/>
          <w:sz w:val="21"/>
        </w:rPr>
        <w:t>l</w:t>
      </w:r>
      <w:r>
        <w:rPr>
          <w:w w:val="100"/>
          <w:sz w:val="21"/>
        </w:rPr>
        <w:t>a</w:t>
      </w:r>
      <w:r>
        <w:rPr>
          <w:spacing w:val="1"/>
          <w:w w:val="100"/>
          <w:sz w:val="21"/>
        </w:rPr>
        <w:t>i</w:t>
      </w:r>
      <w:r>
        <w:rPr>
          <w:spacing w:val="-3"/>
          <w:w w:val="100"/>
          <w:sz w:val="21"/>
        </w:rPr>
        <w:t>n</w:t>
      </w:r>
      <w:r>
        <w:rPr>
          <w:w w:val="100"/>
          <w:sz w:val="21"/>
        </w:rPr>
        <w:t>ed</w:t>
      </w:r>
      <w:r>
        <w:rPr>
          <w:spacing w:val="23"/>
          <w:sz w:val="21"/>
        </w:rPr>
        <w:t> </w:t>
      </w:r>
      <w:r>
        <w:rPr>
          <w:w w:val="100"/>
          <w:sz w:val="21"/>
        </w:rPr>
        <w:t>o</w:t>
      </w:r>
      <w:r>
        <w:rPr>
          <w:spacing w:val="-1"/>
          <w:w w:val="100"/>
          <w:sz w:val="21"/>
        </w:rPr>
        <w:t>t</w:t>
      </w:r>
      <w:r>
        <w:rPr>
          <w:w w:val="100"/>
          <w:sz w:val="21"/>
        </w:rPr>
        <w:t>her</w:t>
      </w:r>
      <w:r>
        <w:rPr>
          <w:spacing w:val="-2"/>
          <w:w w:val="100"/>
          <w:sz w:val="21"/>
        </w:rPr>
        <w:t>w</w:t>
      </w:r>
      <w:r>
        <w:rPr>
          <w:spacing w:val="-2"/>
          <w:w w:val="100"/>
          <w:sz w:val="21"/>
        </w:rPr>
        <w:t>i</w:t>
      </w:r>
      <w:r>
        <w:rPr>
          <w:w w:val="100"/>
          <w:sz w:val="21"/>
        </w:rPr>
        <w:t>se.</w:t>
      </w:r>
      <w:r>
        <w:rPr>
          <w:spacing w:val="24"/>
          <w:sz w:val="21"/>
        </w:rPr>
        <w:t> </w:t>
      </w:r>
      <w:r>
        <w:rPr>
          <w:w w:val="100"/>
          <w:sz w:val="21"/>
        </w:rPr>
        <w:t>T</w:t>
      </w:r>
      <w:r>
        <w:rPr>
          <w:spacing w:val="-2"/>
          <w:w w:val="100"/>
          <w:sz w:val="21"/>
        </w:rPr>
        <w:t>h</w:t>
      </w:r>
      <w:r>
        <w:rPr>
          <w:w w:val="100"/>
          <w:sz w:val="21"/>
        </w:rPr>
        <w:t>e</w:t>
      </w:r>
      <w:r>
        <w:rPr>
          <w:spacing w:val="25"/>
          <w:sz w:val="21"/>
        </w:rPr>
        <w:t> </w:t>
      </w:r>
      <w:r>
        <w:rPr>
          <w:spacing w:val="-2"/>
          <w:w w:val="100"/>
          <w:sz w:val="21"/>
        </w:rPr>
        <w:t>f</w:t>
      </w:r>
      <w:r>
        <w:rPr>
          <w:w w:val="100"/>
          <w:sz w:val="21"/>
        </w:rPr>
        <w:t>i</w:t>
      </w:r>
      <w:r>
        <w:rPr>
          <w:w w:val="100"/>
          <w:sz w:val="21"/>
        </w:rPr>
        <w:t>c</w:t>
      </w:r>
      <w:r>
        <w:rPr>
          <w:spacing w:val="-2"/>
          <w:w w:val="100"/>
          <w:sz w:val="21"/>
        </w:rPr>
        <w:t>t</w:t>
      </w:r>
      <w:r>
        <w:rPr>
          <w:spacing w:val="-2"/>
          <w:w w:val="100"/>
          <w:sz w:val="21"/>
        </w:rPr>
        <w:t>i</w:t>
      </w:r>
      <w:r>
        <w:rPr>
          <w:w w:val="100"/>
          <w:sz w:val="21"/>
        </w:rPr>
        <w:t>on</w:t>
      </w:r>
      <w:r>
        <w:rPr>
          <w:spacing w:val="28"/>
          <w:sz w:val="21"/>
        </w:rPr>
        <w:t> </w:t>
      </w:r>
      <w:r>
        <w:rPr>
          <w:spacing w:val="-3"/>
          <w:w w:val="100"/>
          <w:sz w:val="21"/>
        </w:rPr>
        <w:t>o</w:t>
      </w:r>
      <w:r>
        <w:rPr>
          <w:w w:val="100"/>
          <w:sz w:val="21"/>
        </w:rPr>
        <w:t>f</w:t>
      </w:r>
      <w:r>
        <w:rPr>
          <w:spacing w:val="24"/>
          <w:sz w:val="21"/>
        </w:rPr>
        <w:t> </w:t>
      </w:r>
      <w:r>
        <w:rPr>
          <w:w w:val="100"/>
          <w:sz w:val="21"/>
        </w:rPr>
        <w:t>a</w:t>
      </w:r>
      <w:r>
        <w:rPr>
          <w:spacing w:val="25"/>
          <w:sz w:val="21"/>
        </w:rPr>
        <w:t> </w:t>
      </w:r>
      <w:r>
        <w:rPr>
          <w:spacing w:val="-1"/>
          <w:w w:val="33"/>
          <w:sz w:val="21"/>
        </w:rPr>
        <w:t>―</w:t>
      </w:r>
      <w:r>
        <w:rPr>
          <w:w w:val="100"/>
          <w:sz w:val="21"/>
        </w:rPr>
        <w:t>l</w:t>
      </w:r>
      <w:r>
        <w:rPr>
          <w:spacing w:val="-3"/>
          <w:w w:val="100"/>
          <w:sz w:val="21"/>
        </w:rPr>
        <w:t>o</w:t>
      </w:r>
      <w:r>
        <w:rPr>
          <w:w w:val="100"/>
          <w:sz w:val="21"/>
        </w:rPr>
        <w:t>st</w:t>
      </w:r>
      <w:r>
        <w:rPr>
          <w:spacing w:val="24"/>
          <w:sz w:val="21"/>
        </w:rPr>
        <w:t> </w:t>
      </w:r>
      <w:r>
        <w:rPr>
          <w:spacing w:val="-1"/>
          <w:w w:val="100"/>
          <w:sz w:val="21"/>
        </w:rPr>
        <w:t>gran</w:t>
      </w:r>
      <w:r>
        <w:rPr>
          <w:spacing w:val="-2"/>
          <w:w w:val="100"/>
          <w:sz w:val="21"/>
        </w:rPr>
        <w:t>t</w:t>
      </w:r>
      <w:r>
        <w:rPr>
          <w:w w:val="81"/>
          <w:sz w:val="21"/>
        </w:rPr>
        <w:t>‖</w:t>
      </w:r>
      <w:r>
        <w:rPr>
          <w:spacing w:val="24"/>
          <w:sz w:val="21"/>
        </w:rPr>
        <w:t> </w:t>
      </w:r>
      <w:r>
        <w:rPr>
          <w:w w:val="100"/>
          <w:sz w:val="21"/>
        </w:rPr>
        <w:t>is</w:t>
      </w:r>
      <w:r>
        <w:rPr>
          <w:spacing w:val="22"/>
          <w:sz w:val="21"/>
        </w:rPr>
        <w:t> </w:t>
      </w:r>
      <w:r>
        <w:rPr>
          <w:w w:val="100"/>
          <w:sz w:val="21"/>
        </w:rPr>
        <w:t>a </w:t>
      </w:r>
      <w:r>
        <w:rPr>
          <w:sz w:val="21"/>
        </w:rPr>
        <w:t>mere presumption from long possession and exercise of user by easement with acquiescence of the owner, that there must have</w:t>
      </w:r>
      <w:r>
        <w:rPr>
          <w:spacing w:val="16"/>
          <w:sz w:val="21"/>
        </w:rPr>
        <w:t> </w:t>
      </w:r>
      <w:r>
        <w:rPr>
          <w:sz w:val="21"/>
        </w:rPr>
        <w:t>been</w:t>
      </w:r>
      <w:r>
        <w:rPr>
          <w:spacing w:val="15"/>
          <w:sz w:val="21"/>
        </w:rPr>
        <w:t> </w:t>
      </w:r>
      <w:r>
        <w:rPr>
          <w:sz w:val="21"/>
        </w:rPr>
        <w:t>originally</w:t>
      </w:r>
      <w:r>
        <w:rPr>
          <w:spacing w:val="15"/>
          <w:sz w:val="21"/>
        </w:rPr>
        <w:t> </w:t>
      </w:r>
      <w:r>
        <w:rPr>
          <w:sz w:val="21"/>
        </w:rPr>
        <w:t>a</w:t>
      </w:r>
      <w:r>
        <w:rPr>
          <w:spacing w:val="15"/>
          <w:sz w:val="21"/>
        </w:rPr>
        <w:t> </w:t>
      </w:r>
      <w:r>
        <w:rPr>
          <w:sz w:val="21"/>
        </w:rPr>
        <w:t>grant</w:t>
      </w:r>
      <w:r>
        <w:rPr>
          <w:spacing w:val="16"/>
          <w:sz w:val="21"/>
        </w:rPr>
        <w:t> </w:t>
      </w:r>
      <w:r>
        <w:rPr>
          <w:sz w:val="21"/>
        </w:rPr>
        <w:t>to</w:t>
      </w:r>
      <w:r>
        <w:rPr>
          <w:spacing w:val="16"/>
          <w:sz w:val="21"/>
        </w:rPr>
        <w:t> </w:t>
      </w:r>
      <w:r>
        <w:rPr>
          <w:sz w:val="21"/>
        </w:rPr>
        <w:t>the</w:t>
      </w:r>
      <w:r>
        <w:rPr>
          <w:spacing w:val="17"/>
          <w:sz w:val="21"/>
        </w:rPr>
        <w:t> </w:t>
      </w:r>
      <w:r>
        <w:rPr>
          <w:sz w:val="21"/>
        </w:rPr>
        <w:t>claimant,</w:t>
      </w:r>
      <w:r>
        <w:rPr>
          <w:spacing w:val="16"/>
          <w:sz w:val="21"/>
        </w:rPr>
        <w:t> </w:t>
      </w:r>
      <w:r>
        <w:rPr>
          <w:sz w:val="21"/>
        </w:rPr>
        <w:t>which</w:t>
      </w:r>
      <w:r>
        <w:rPr>
          <w:spacing w:val="15"/>
          <w:sz w:val="21"/>
        </w:rPr>
        <w:t> </w:t>
      </w:r>
      <w:r>
        <w:rPr>
          <w:sz w:val="21"/>
        </w:rPr>
        <w:t>had</w:t>
      </w:r>
      <w:r>
        <w:rPr>
          <w:spacing w:val="14"/>
          <w:sz w:val="21"/>
        </w:rPr>
        <w:t> </w:t>
      </w:r>
      <w:r>
        <w:rPr>
          <w:sz w:val="21"/>
        </w:rPr>
        <w:t>been</w:t>
      </w:r>
    </w:p>
    <w:p>
      <w:pPr>
        <w:spacing w:line="276" w:lineRule="auto" w:before="2"/>
        <w:ind w:left="1940" w:right="2253" w:firstLine="0"/>
        <w:jc w:val="both"/>
        <w:rPr>
          <w:sz w:val="21"/>
        </w:rPr>
      </w:pPr>
      <w:r>
        <w:rPr>
          <w:spacing w:val="-1"/>
          <w:w w:val="33"/>
          <w:sz w:val="21"/>
        </w:rPr>
        <w:t>―</w:t>
      </w:r>
      <w:r>
        <w:rPr>
          <w:w w:val="100"/>
          <w:sz w:val="21"/>
        </w:rPr>
        <w:t>l</w:t>
      </w:r>
      <w:r>
        <w:rPr>
          <w:spacing w:val="-1"/>
          <w:w w:val="100"/>
          <w:sz w:val="21"/>
        </w:rPr>
        <w:t>ost</w:t>
      </w:r>
      <w:r>
        <w:rPr>
          <w:spacing w:val="-1"/>
          <w:w w:val="81"/>
          <w:sz w:val="21"/>
        </w:rPr>
        <w:t>‖</w:t>
      </w:r>
      <w:r>
        <w:rPr>
          <w:w w:val="100"/>
          <w:sz w:val="21"/>
        </w:rPr>
        <w:t>.</w:t>
      </w:r>
      <w:r>
        <w:rPr>
          <w:spacing w:val="21"/>
          <w:sz w:val="21"/>
        </w:rPr>
        <w:t> </w:t>
      </w:r>
      <w:r>
        <w:rPr>
          <w:spacing w:val="-2"/>
          <w:w w:val="100"/>
          <w:sz w:val="21"/>
        </w:rPr>
        <w:t>T</w:t>
      </w:r>
      <w:r>
        <w:rPr>
          <w:spacing w:val="-1"/>
          <w:w w:val="100"/>
          <w:sz w:val="21"/>
        </w:rPr>
        <w:t>her</w:t>
      </w:r>
      <w:r>
        <w:rPr>
          <w:w w:val="100"/>
          <w:sz w:val="21"/>
        </w:rPr>
        <w:t>e</w:t>
      </w:r>
      <w:r>
        <w:rPr>
          <w:spacing w:val="20"/>
          <w:sz w:val="21"/>
        </w:rPr>
        <w:t> </w:t>
      </w:r>
      <w:r>
        <w:rPr>
          <w:w w:val="100"/>
          <w:sz w:val="21"/>
        </w:rPr>
        <w:t>can</w:t>
      </w:r>
      <w:r>
        <w:rPr>
          <w:spacing w:val="20"/>
          <w:sz w:val="21"/>
        </w:rPr>
        <w:t> </w:t>
      </w:r>
      <w:r>
        <w:rPr>
          <w:spacing w:val="-1"/>
          <w:w w:val="100"/>
          <w:sz w:val="21"/>
        </w:rPr>
        <w:t>b</w:t>
      </w:r>
      <w:r>
        <w:rPr>
          <w:w w:val="100"/>
          <w:sz w:val="21"/>
        </w:rPr>
        <w:t>e</w:t>
      </w:r>
      <w:r>
        <w:rPr>
          <w:spacing w:val="20"/>
          <w:sz w:val="21"/>
        </w:rPr>
        <w:t> </w:t>
      </w:r>
      <w:r>
        <w:rPr>
          <w:spacing w:val="-3"/>
          <w:w w:val="100"/>
          <w:sz w:val="21"/>
        </w:rPr>
        <w:t>n</w:t>
      </w:r>
      <w:r>
        <w:rPr>
          <w:w w:val="100"/>
          <w:sz w:val="21"/>
        </w:rPr>
        <w:t>o</w:t>
      </w:r>
      <w:r>
        <w:rPr>
          <w:spacing w:val="23"/>
          <w:sz w:val="21"/>
        </w:rPr>
        <w:t> </w:t>
      </w:r>
      <w:r>
        <w:rPr>
          <w:spacing w:val="-3"/>
          <w:w w:val="100"/>
          <w:sz w:val="21"/>
        </w:rPr>
        <w:t>s</w:t>
      </w:r>
      <w:r>
        <w:rPr>
          <w:spacing w:val="-1"/>
          <w:w w:val="100"/>
          <w:sz w:val="21"/>
        </w:rPr>
        <w:t>uc</w:t>
      </w:r>
      <w:r>
        <w:rPr>
          <w:w w:val="100"/>
          <w:sz w:val="21"/>
        </w:rPr>
        <w:t>h</w:t>
      </w:r>
      <w:r>
        <w:rPr>
          <w:spacing w:val="21"/>
          <w:sz w:val="21"/>
        </w:rPr>
        <w:t> </w:t>
      </w:r>
      <w:r>
        <w:rPr>
          <w:spacing w:val="-1"/>
          <w:w w:val="100"/>
          <w:sz w:val="21"/>
        </w:rPr>
        <w:t>pres</w:t>
      </w:r>
      <w:r>
        <w:rPr>
          <w:spacing w:val="-3"/>
          <w:w w:val="100"/>
          <w:sz w:val="21"/>
        </w:rPr>
        <w:t>u</w:t>
      </w:r>
      <w:r>
        <w:rPr>
          <w:spacing w:val="-1"/>
          <w:w w:val="100"/>
          <w:sz w:val="21"/>
        </w:rPr>
        <w:t>mpt</w:t>
      </w:r>
      <w:r>
        <w:rPr>
          <w:w w:val="100"/>
          <w:sz w:val="21"/>
        </w:rPr>
        <w:t>i</w:t>
      </w:r>
      <w:r>
        <w:rPr>
          <w:spacing w:val="-3"/>
          <w:w w:val="100"/>
          <w:sz w:val="21"/>
        </w:rPr>
        <w:t>o</w:t>
      </w:r>
      <w:r>
        <w:rPr>
          <w:w w:val="100"/>
          <w:sz w:val="21"/>
        </w:rPr>
        <w:t>n</w:t>
      </w:r>
      <w:r>
        <w:rPr>
          <w:spacing w:val="20"/>
          <w:sz w:val="21"/>
        </w:rPr>
        <w:t> </w:t>
      </w:r>
      <w:r>
        <w:rPr>
          <w:spacing w:val="-1"/>
          <w:w w:val="100"/>
          <w:sz w:val="21"/>
        </w:rPr>
        <w:t>o</w:t>
      </w:r>
      <w:r>
        <w:rPr>
          <w:w w:val="100"/>
          <w:sz w:val="21"/>
        </w:rPr>
        <w:t>f</w:t>
      </w:r>
      <w:r>
        <w:rPr>
          <w:spacing w:val="22"/>
          <w:sz w:val="21"/>
        </w:rPr>
        <w:t> </w:t>
      </w:r>
      <w:r>
        <w:rPr>
          <w:w w:val="100"/>
          <w:sz w:val="21"/>
        </w:rPr>
        <w:t>a</w:t>
      </w:r>
      <w:r>
        <w:rPr>
          <w:spacing w:val="23"/>
          <w:sz w:val="21"/>
        </w:rPr>
        <w:t> </w:t>
      </w:r>
      <w:r>
        <w:rPr>
          <w:spacing w:val="-4"/>
          <w:w w:val="33"/>
          <w:sz w:val="21"/>
        </w:rPr>
        <w:t>―</w:t>
      </w:r>
      <w:r>
        <w:rPr>
          <w:w w:val="100"/>
          <w:sz w:val="21"/>
        </w:rPr>
        <w:t>l</w:t>
      </w:r>
      <w:r>
        <w:rPr>
          <w:spacing w:val="-1"/>
          <w:w w:val="100"/>
          <w:sz w:val="21"/>
        </w:rPr>
        <w:t>o</w:t>
      </w:r>
      <w:r>
        <w:rPr>
          <w:spacing w:val="-3"/>
          <w:w w:val="100"/>
          <w:sz w:val="21"/>
        </w:rPr>
        <w:t>s</w:t>
      </w:r>
      <w:r>
        <w:rPr>
          <w:w w:val="100"/>
          <w:sz w:val="21"/>
        </w:rPr>
        <w:t>t</w:t>
      </w:r>
      <w:r>
        <w:rPr>
          <w:spacing w:val="21"/>
          <w:sz w:val="21"/>
        </w:rPr>
        <w:t> </w:t>
      </w:r>
      <w:r>
        <w:rPr>
          <w:spacing w:val="4"/>
          <w:w w:val="100"/>
          <w:sz w:val="21"/>
        </w:rPr>
        <w:t>g</w:t>
      </w:r>
      <w:r>
        <w:rPr>
          <w:spacing w:val="-1"/>
          <w:w w:val="100"/>
          <w:sz w:val="21"/>
        </w:rPr>
        <w:t>rant</w:t>
      </w:r>
      <w:r>
        <w:rPr>
          <w:w w:val="81"/>
          <w:sz w:val="21"/>
        </w:rPr>
        <w:t>‖</w:t>
      </w:r>
      <w:r>
        <w:rPr>
          <w:spacing w:val="22"/>
          <w:sz w:val="21"/>
        </w:rPr>
        <w:t> </w:t>
      </w:r>
      <w:r>
        <w:rPr>
          <w:spacing w:val="-2"/>
          <w:w w:val="100"/>
          <w:sz w:val="21"/>
        </w:rPr>
        <w:t>i</w:t>
      </w:r>
      <w:r>
        <w:rPr>
          <w:w w:val="100"/>
          <w:sz w:val="21"/>
        </w:rPr>
        <w:t>n </w:t>
      </w:r>
      <w:r>
        <w:rPr>
          <w:sz w:val="21"/>
        </w:rPr>
        <w:t>favour of a person who constitutes trustees in succession. </w:t>
      </w:r>
      <w:r>
        <w:rPr>
          <w:spacing w:val="3"/>
          <w:sz w:val="21"/>
        </w:rPr>
        <w:t>We </w:t>
      </w:r>
      <w:r>
        <w:rPr>
          <w:sz w:val="21"/>
        </w:rPr>
        <w:t>do not think that, with the material on record, any such interference (sic inference) is possible. Firstly, the contention had been advanced before the courts that the deity is a private trust and not covered by the enactment; having failed in that regard now they want to hang on to the fact that they are hereditary trustees. In establishing the same they have miserably failed by not producing evidence of any</w:t>
      </w:r>
      <w:r>
        <w:rPr>
          <w:spacing w:val="-34"/>
          <w:sz w:val="21"/>
        </w:rPr>
        <w:t> </w:t>
      </w:r>
      <w:r>
        <w:rPr>
          <w:sz w:val="21"/>
        </w:rPr>
        <w:t>kind...‖</w:t>
      </w:r>
    </w:p>
    <w:p>
      <w:pPr>
        <w:spacing w:after="0" w:line="276" w:lineRule="auto"/>
        <w:jc w:val="both"/>
        <w:rPr>
          <w:sz w:val="21"/>
        </w:rPr>
        <w:sectPr>
          <w:headerReference w:type="default" r:id="rId196"/>
          <w:footerReference w:type="default" r:id="rId197"/>
          <w:pgSz w:w="11910" w:h="16840"/>
          <w:pgMar w:header="721" w:footer="1566" w:top="1300" w:bottom="1760" w:left="940" w:right="1000"/>
        </w:sectPr>
      </w:pPr>
    </w:p>
    <w:p>
      <w:pPr>
        <w:pStyle w:val="ListParagraph"/>
        <w:numPr>
          <w:ilvl w:val="0"/>
          <w:numId w:val="235"/>
        </w:numPr>
        <w:tabs>
          <w:tab w:pos="1221" w:val="left" w:leader="none"/>
        </w:tabs>
        <w:spacing w:line="480" w:lineRule="auto" w:before="124" w:after="0"/>
        <w:ind w:left="500" w:right="442" w:firstLine="0"/>
        <w:jc w:val="both"/>
        <w:rPr>
          <w:sz w:val="25"/>
        </w:rPr>
      </w:pPr>
      <w:r>
        <w:rPr>
          <w:sz w:val="25"/>
        </w:rPr>
        <w:t>From the analysis of the precedent on the subject, the following principles can be culled</w:t>
      </w:r>
      <w:r>
        <w:rPr>
          <w:spacing w:val="-1"/>
          <w:sz w:val="25"/>
        </w:rPr>
        <w:t> </w:t>
      </w:r>
      <w:r>
        <w:rPr>
          <w:sz w:val="25"/>
        </w:rPr>
        <w:t>out:</w:t>
      </w:r>
    </w:p>
    <w:p>
      <w:pPr>
        <w:pStyle w:val="ListParagraph"/>
        <w:numPr>
          <w:ilvl w:val="0"/>
          <w:numId w:val="236"/>
        </w:numPr>
        <w:tabs>
          <w:tab w:pos="1221" w:val="left" w:leader="none"/>
        </w:tabs>
        <w:spacing w:line="480" w:lineRule="auto" w:before="160" w:after="0"/>
        <w:ind w:left="1220" w:right="442" w:hanging="720"/>
        <w:jc w:val="both"/>
        <w:rPr>
          <w:sz w:val="25"/>
        </w:rPr>
      </w:pPr>
      <w:r>
        <w:rPr>
          <w:sz w:val="25"/>
        </w:rPr>
        <w:t>The doctrine of lost grant supplies a rule of evidence. The doctrine is applicable in the absence of evidence, due to a lapse of time, to prove the existence of a valid grant issued in antiquity. However, the court is not bound to raise the presumption where there is sufficient and convincing evidence to prove possession or a claim to a land in which case the doctrine of lost grant will have no</w:t>
      </w:r>
      <w:r>
        <w:rPr>
          <w:spacing w:val="-9"/>
          <w:sz w:val="25"/>
        </w:rPr>
        <w:t> </w:t>
      </w:r>
      <w:r>
        <w:rPr>
          <w:sz w:val="25"/>
        </w:rPr>
        <w:t>applicability;</w:t>
      </w:r>
    </w:p>
    <w:p>
      <w:pPr>
        <w:pStyle w:val="ListParagraph"/>
        <w:numPr>
          <w:ilvl w:val="0"/>
          <w:numId w:val="236"/>
        </w:numPr>
        <w:tabs>
          <w:tab w:pos="1221" w:val="left" w:leader="none"/>
        </w:tabs>
        <w:spacing w:line="480" w:lineRule="auto" w:before="151" w:after="0"/>
        <w:ind w:left="1220" w:right="433" w:hanging="720"/>
        <w:jc w:val="both"/>
        <w:rPr>
          <w:sz w:val="25"/>
        </w:rPr>
      </w:pPr>
      <w:r>
        <w:rPr>
          <w:sz w:val="25"/>
        </w:rPr>
        <w:t>Where it is impossible for the court to determine the circumstances under which the grant was made, an assumption is made about the existence of a valid and positive grant by the servient owner to the possessor or user. The grant maybe express or presumed. Once the assumption is made, the court shall, as far as possible, secure the possession of those who have been in quiet</w:t>
      </w:r>
      <w:r>
        <w:rPr>
          <w:spacing w:val="-2"/>
          <w:sz w:val="25"/>
        </w:rPr>
        <w:t> </w:t>
      </w:r>
      <w:r>
        <w:rPr>
          <w:sz w:val="25"/>
        </w:rPr>
        <w:t>possession;</w:t>
      </w:r>
    </w:p>
    <w:p>
      <w:pPr>
        <w:pStyle w:val="ListParagraph"/>
        <w:numPr>
          <w:ilvl w:val="0"/>
          <w:numId w:val="236"/>
        </w:numPr>
        <w:tabs>
          <w:tab w:pos="1221" w:val="left" w:leader="none"/>
        </w:tabs>
        <w:spacing w:line="480" w:lineRule="auto" w:before="151" w:after="0"/>
        <w:ind w:left="1220" w:right="433" w:hanging="720"/>
        <w:jc w:val="both"/>
        <w:rPr>
          <w:sz w:val="25"/>
        </w:rPr>
      </w:pPr>
      <w:r>
        <w:rPr>
          <w:sz w:val="25"/>
        </w:rPr>
        <w:t>For a lawful presumption there must be no legal impediments. For the applicability of the doctrine it is necessary to establish that at the inception when the grant was made not only was there a valid grant but also capable grantees in whose favour the grant could have been made. In the absence of defined grantees, there will be no presumption of lost</w:t>
      </w:r>
      <w:r>
        <w:rPr>
          <w:spacing w:val="-11"/>
          <w:sz w:val="25"/>
        </w:rPr>
        <w:t> </w:t>
      </w:r>
      <w:r>
        <w:rPr>
          <w:sz w:val="25"/>
        </w:rPr>
        <w:t>grant;</w:t>
      </w:r>
    </w:p>
    <w:p>
      <w:pPr>
        <w:pStyle w:val="ListParagraph"/>
        <w:numPr>
          <w:ilvl w:val="0"/>
          <w:numId w:val="236"/>
        </w:numPr>
        <w:tabs>
          <w:tab w:pos="1221" w:val="left" w:leader="none"/>
        </w:tabs>
        <w:spacing w:line="480" w:lineRule="auto" w:before="149" w:after="0"/>
        <w:ind w:left="1220" w:right="438" w:hanging="720"/>
        <w:jc w:val="both"/>
        <w:rPr>
          <w:sz w:val="25"/>
        </w:rPr>
      </w:pPr>
      <w:r>
        <w:rPr>
          <w:sz w:val="25"/>
        </w:rPr>
        <w:t>For the applicability of the doctrine of lost grant, there must be long, uninterrupted and peaceful enjoyment of an incorporeal right. Uninterrupted</w:t>
      </w:r>
      <w:r>
        <w:rPr>
          <w:spacing w:val="20"/>
          <w:sz w:val="25"/>
        </w:rPr>
        <w:t> </w:t>
      </w:r>
      <w:r>
        <w:rPr>
          <w:sz w:val="25"/>
        </w:rPr>
        <w:t>enjoyment</w:t>
      </w:r>
      <w:r>
        <w:rPr>
          <w:spacing w:val="21"/>
          <w:sz w:val="25"/>
        </w:rPr>
        <w:t> </w:t>
      </w:r>
      <w:r>
        <w:rPr>
          <w:sz w:val="25"/>
        </w:rPr>
        <w:t>includes</w:t>
      </w:r>
      <w:r>
        <w:rPr>
          <w:spacing w:val="21"/>
          <w:sz w:val="25"/>
        </w:rPr>
        <w:t> </w:t>
      </w:r>
      <w:r>
        <w:rPr>
          <w:sz w:val="25"/>
        </w:rPr>
        <w:t>continuous</w:t>
      </w:r>
      <w:r>
        <w:rPr>
          <w:spacing w:val="21"/>
          <w:sz w:val="25"/>
        </w:rPr>
        <w:t> </w:t>
      </w:r>
      <w:r>
        <w:rPr>
          <w:sz w:val="25"/>
        </w:rPr>
        <w:t>use</w:t>
      </w:r>
      <w:r>
        <w:rPr>
          <w:spacing w:val="21"/>
          <w:sz w:val="25"/>
        </w:rPr>
        <w:t> </w:t>
      </w:r>
      <w:r>
        <w:rPr>
          <w:sz w:val="25"/>
        </w:rPr>
        <w:t>or</w:t>
      </w:r>
      <w:r>
        <w:rPr>
          <w:spacing w:val="20"/>
          <w:sz w:val="25"/>
        </w:rPr>
        <w:t> </w:t>
      </w:r>
      <w:r>
        <w:rPr>
          <w:sz w:val="25"/>
        </w:rPr>
        <w:t>possession.</w:t>
      </w:r>
      <w:r>
        <w:rPr>
          <w:spacing w:val="21"/>
          <w:sz w:val="25"/>
        </w:rPr>
        <w:t> </w:t>
      </w:r>
      <w:r>
        <w:rPr>
          <w:sz w:val="25"/>
        </w:rPr>
        <w:t>The</w:t>
      </w:r>
    </w:p>
    <w:p>
      <w:pPr>
        <w:spacing w:after="0" w:line="480" w:lineRule="auto"/>
        <w:jc w:val="both"/>
        <w:rPr>
          <w:sz w:val="25"/>
        </w:rPr>
        <w:sectPr>
          <w:headerReference w:type="default" r:id="rId198"/>
          <w:footerReference w:type="default" r:id="rId199"/>
          <w:pgSz w:w="11910" w:h="16840"/>
          <w:pgMar w:header="721" w:footer="1014" w:top="1300" w:bottom="1200" w:left="940" w:right="1000"/>
        </w:sectPr>
      </w:pPr>
    </w:p>
    <w:p>
      <w:pPr>
        <w:pStyle w:val="BodyText"/>
        <w:spacing w:line="480" w:lineRule="auto" w:before="124"/>
        <w:ind w:left="1220" w:right="512"/>
      </w:pPr>
      <w:r>
        <w:rPr/>
        <w:t>requisite period of use and possession is variable and to be determined from case to case; and</w:t>
      </w:r>
    </w:p>
    <w:p>
      <w:pPr>
        <w:pStyle w:val="ListParagraph"/>
        <w:numPr>
          <w:ilvl w:val="0"/>
          <w:numId w:val="236"/>
        </w:numPr>
        <w:tabs>
          <w:tab w:pos="1220" w:val="left" w:leader="none"/>
          <w:tab w:pos="1221" w:val="left" w:leader="none"/>
        </w:tabs>
        <w:spacing w:line="480" w:lineRule="auto" w:before="150" w:after="0"/>
        <w:ind w:left="1220" w:right="445" w:hanging="720"/>
        <w:jc w:val="left"/>
        <w:rPr>
          <w:sz w:val="25"/>
        </w:rPr>
      </w:pPr>
      <w:r>
        <w:rPr>
          <w:sz w:val="25"/>
        </w:rPr>
        <w:t>A distinction has to be made between an assertion of rights due to a prolonged custom and usage and that by doctrine of lost</w:t>
      </w:r>
      <w:r>
        <w:rPr>
          <w:spacing w:val="-10"/>
          <w:sz w:val="25"/>
        </w:rPr>
        <w:t> </w:t>
      </w:r>
      <w:r>
        <w:rPr>
          <w:sz w:val="25"/>
        </w:rPr>
        <w:t>grant.</w:t>
      </w:r>
    </w:p>
    <w:p>
      <w:pPr>
        <w:pStyle w:val="BodyText"/>
        <w:rPr>
          <w:sz w:val="28"/>
        </w:rPr>
      </w:pPr>
    </w:p>
    <w:p>
      <w:pPr>
        <w:pStyle w:val="BodyText"/>
        <w:spacing w:before="4"/>
        <w:rPr>
          <w:sz w:val="23"/>
        </w:rPr>
      </w:pPr>
    </w:p>
    <w:p>
      <w:pPr>
        <w:pStyle w:val="Heading4"/>
        <w:jc w:val="left"/>
        <w:rPr>
          <w:i/>
        </w:rPr>
      </w:pPr>
      <w:r>
        <w:rPr>
          <w:i/>
        </w:rPr>
        <w:t>Analysis</w:t>
      </w:r>
    </w:p>
    <w:p>
      <w:pPr>
        <w:pStyle w:val="BodyText"/>
        <w:rPr>
          <w:i/>
          <w:sz w:val="28"/>
        </w:rPr>
      </w:pPr>
    </w:p>
    <w:p>
      <w:pPr>
        <w:pStyle w:val="BodyText"/>
        <w:spacing w:before="10"/>
        <w:rPr>
          <w:i/>
          <w:sz w:val="22"/>
        </w:rPr>
      </w:pPr>
    </w:p>
    <w:p>
      <w:pPr>
        <w:pStyle w:val="ListParagraph"/>
        <w:numPr>
          <w:ilvl w:val="0"/>
          <w:numId w:val="235"/>
        </w:numPr>
        <w:tabs>
          <w:tab w:pos="1221" w:val="left" w:leader="none"/>
        </w:tabs>
        <w:spacing w:line="480" w:lineRule="auto" w:before="0" w:after="0"/>
        <w:ind w:left="500" w:right="436" w:firstLine="0"/>
        <w:jc w:val="both"/>
        <w:rPr>
          <w:sz w:val="25"/>
        </w:rPr>
      </w:pPr>
      <w:r>
        <w:rPr>
          <w:sz w:val="25"/>
        </w:rPr>
        <w:t>In the present case, the plaintiffs in Suit 4 have set up a claim of declaration on the basis of a dedication of the mosque constructed by Babur in 1528 for the worship of the Muslim community and, in the alternate, on adverse possession, if it is established that the mosque was constructed on the site of a Hindu temple. There is no pleading by the plaintiffs to support the application of the doctrine of lost grant. The specific case of the plaintiffs is that of a dedication of the mosque for public worship by Muslims. This must be evaluated on the basis of the evidence which has been adduced. In fact, the alternate plea of adverse possession is destructive of a valid legal basis to apply the doctrine of lost grant as a rule of evidence. Adverse possession postulates the vesting of title in one person and the existence of a long continued and uninterrupted possession of another, to the knowledge of and in a manner hostile to, the true title holder. The plea of adverse possession would lead to an inference against the application of the doctrine of lost grant as a plea of adverse possession is premised in title vesting in someone other than the alleged grantee. The decisions of this Court and those of the Privy Council recognising the doctrine as a</w:t>
      </w:r>
      <w:r>
        <w:rPr>
          <w:spacing w:val="51"/>
          <w:sz w:val="25"/>
        </w:rPr>
        <w:t> </w:t>
      </w:r>
      <w:r>
        <w:rPr>
          <w:sz w:val="25"/>
        </w:rPr>
        <w:t>rule</w:t>
      </w:r>
      <w:r>
        <w:rPr>
          <w:spacing w:val="52"/>
          <w:sz w:val="25"/>
        </w:rPr>
        <w:t> </w:t>
      </w:r>
      <w:r>
        <w:rPr>
          <w:sz w:val="25"/>
        </w:rPr>
        <w:t>of</w:t>
      </w:r>
      <w:r>
        <w:rPr>
          <w:spacing w:val="52"/>
          <w:sz w:val="25"/>
        </w:rPr>
        <w:t> </w:t>
      </w:r>
      <w:r>
        <w:rPr>
          <w:sz w:val="25"/>
        </w:rPr>
        <w:t>evidence</w:t>
      </w:r>
      <w:r>
        <w:rPr>
          <w:spacing w:val="52"/>
          <w:sz w:val="25"/>
        </w:rPr>
        <w:t> </w:t>
      </w:r>
      <w:r>
        <w:rPr>
          <w:sz w:val="25"/>
        </w:rPr>
        <w:t>show</w:t>
      </w:r>
      <w:r>
        <w:rPr>
          <w:spacing w:val="52"/>
          <w:sz w:val="25"/>
        </w:rPr>
        <w:t> </w:t>
      </w:r>
      <w:r>
        <w:rPr>
          <w:sz w:val="25"/>
        </w:rPr>
        <w:t>that</w:t>
      </w:r>
      <w:r>
        <w:rPr>
          <w:spacing w:val="52"/>
          <w:sz w:val="25"/>
        </w:rPr>
        <w:t> </w:t>
      </w:r>
      <w:r>
        <w:rPr>
          <w:sz w:val="25"/>
        </w:rPr>
        <w:t>the</w:t>
      </w:r>
      <w:r>
        <w:rPr>
          <w:spacing w:val="52"/>
          <w:sz w:val="25"/>
        </w:rPr>
        <w:t> </w:t>
      </w:r>
      <w:r>
        <w:rPr>
          <w:sz w:val="25"/>
        </w:rPr>
        <w:t>principle</w:t>
      </w:r>
      <w:r>
        <w:rPr>
          <w:spacing w:val="52"/>
          <w:sz w:val="25"/>
        </w:rPr>
        <w:t> </w:t>
      </w:r>
      <w:r>
        <w:rPr>
          <w:sz w:val="25"/>
        </w:rPr>
        <w:t>must</w:t>
      </w:r>
      <w:r>
        <w:rPr>
          <w:spacing w:val="52"/>
          <w:sz w:val="25"/>
        </w:rPr>
        <w:t> </w:t>
      </w:r>
      <w:r>
        <w:rPr>
          <w:sz w:val="25"/>
        </w:rPr>
        <w:t>be</w:t>
      </w:r>
      <w:r>
        <w:rPr>
          <w:spacing w:val="52"/>
          <w:sz w:val="25"/>
        </w:rPr>
        <w:t> </w:t>
      </w:r>
      <w:r>
        <w:rPr>
          <w:sz w:val="25"/>
        </w:rPr>
        <w:t>applied</w:t>
      </w:r>
      <w:r>
        <w:rPr>
          <w:spacing w:val="52"/>
          <w:sz w:val="25"/>
        </w:rPr>
        <w:t> </w:t>
      </w:r>
      <w:r>
        <w:rPr>
          <w:sz w:val="25"/>
        </w:rPr>
        <w:t>with</w:t>
      </w:r>
      <w:r>
        <w:rPr>
          <w:spacing w:val="51"/>
          <w:sz w:val="25"/>
        </w:rPr>
        <w:t> </w:t>
      </w:r>
      <w:r>
        <w:rPr>
          <w:sz w:val="25"/>
        </w:rPr>
        <w:t>caution.</w:t>
      </w:r>
      <w:r>
        <w:rPr>
          <w:spacing w:val="52"/>
          <w:sz w:val="25"/>
        </w:rPr>
        <w:t> </w:t>
      </w:r>
      <w:r>
        <w:rPr>
          <w:sz w:val="25"/>
        </w:rPr>
        <w:t>The</w:t>
      </w:r>
    </w:p>
    <w:p>
      <w:pPr>
        <w:spacing w:after="0" w:line="480" w:lineRule="auto"/>
        <w:jc w:val="both"/>
        <w:rPr>
          <w:sz w:val="25"/>
        </w:rPr>
        <w:sectPr>
          <w:headerReference w:type="default" r:id="rId200"/>
          <w:footerReference w:type="default" r:id="rId201"/>
          <w:pgSz w:w="11910" w:h="16840"/>
          <w:pgMar w:header="721" w:footer="1014" w:top="1300" w:bottom="1200" w:left="940" w:right="1000"/>
        </w:sectPr>
      </w:pPr>
    </w:p>
    <w:p>
      <w:pPr>
        <w:pStyle w:val="BodyText"/>
        <w:spacing w:line="480" w:lineRule="auto" w:before="124"/>
        <w:ind w:left="500" w:right="439"/>
        <w:jc w:val="both"/>
      </w:pPr>
      <w:r>
        <w:rPr/>
        <w:t>doctrine does not constitute an independent, substantive head for the recognition of titles but is a rule of evidence. Section 110 of the Evidence Act 1872 speaks of the burden of proof as to ownership : when a question arises as to whether a person in possession of anything is the owner of such thing, the burden of proving that he is not the owner is cast on the person who avers that he is not the owner. In the process of applying the doctrine of lost grant as a rule of evidence, the court must be circumspect about not travelling beyond the limits set for it by the</w:t>
      </w:r>
      <w:r>
        <w:rPr>
          <w:spacing w:val="-1"/>
        </w:rPr>
        <w:t> </w:t>
      </w:r>
      <w:r>
        <w:rPr/>
        <w:t>legislature.</w:t>
      </w:r>
    </w:p>
    <w:p>
      <w:pPr>
        <w:pStyle w:val="BodyText"/>
        <w:rPr>
          <w:sz w:val="28"/>
        </w:rPr>
      </w:pPr>
    </w:p>
    <w:p>
      <w:pPr>
        <w:pStyle w:val="BodyText"/>
        <w:spacing w:before="10"/>
        <w:rPr>
          <w:sz w:val="23"/>
        </w:rPr>
      </w:pPr>
    </w:p>
    <w:p>
      <w:pPr>
        <w:pStyle w:val="BodyText"/>
        <w:spacing w:line="480" w:lineRule="auto"/>
        <w:ind w:left="500" w:right="436"/>
        <w:jc w:val="both"/>
      </w:pPr>
      <w:r>
        <w:rPr/>
        <w:t>In the present case, absent any pleadings and </w:t>
      </w:r>
      <w:r>
        <w:rPr>
          <w:spacing w:val="3"/>
        </w:rPr>
        <w:t>of </w:t>
      </w:r>
      <w:r>
        <w:rPr/>
        <w:t>evidence on the basis of which a presumption could be raised of the application of the doctrine, it must necessarily follow that the doctrine of lost grant has no</w:t>
      </w:r>
      <w:r>
        <w:rPr>
          <w:spacing w:val="-11"/>
        </w:rPr>
        <w:t> </w:t>
      </w:r>
      <w:r>
        <w:rPr/>
        <w:t>application.</w:t>
      </w:r>
    </w:p>
    <w:p>
      <w:pPr>
        <w:pStyle w:val="BodyText"/>
        <w:rPr>
          <w:sz w:val="28"/>
        </w:rPr>
      </w:pPr>
    </w:p>
    <w:p>
      <w:pPr>
        <w:pStyle w:val="BodyText"/>
        <w:spacing w:before="3"/>
        <w:rPr>
          <w:sz w:val="23"/>
        </w:rPr>
      </w:pPr>
    </w:p>
    <w:p>
      <w:pPr>
        <w:pStyle w:val="Heading3"/>
        <w:numPr>
          <w:ilvl w:val="1"/>
          <w:numId w:val="191"/>
        </w:numPr>
        <w:tabs>
          <w:tab w:pos="1221" w:val="left" w:leader="none"/>
        </w:tabs>
        <w:spacing w:line="240" w:lineRule="auto" w:before="0" w:after="0"/>
        <w:ind w:left="1220" w:right="0" w:hanging="721"/>
        <w:jc w:val="left"/>
      </w:pPr>
      <w:r>
        <w:rPr/>
        <w:t>The smokescreen of the disputed premises – the wall of</w:t>
      </w:r>
      <w:r>
        <w:rPr>
          <w:spacing w:val="-8"/>
        </w:rPr>
        <w:t> </w:t>
      </w:r>
      <w:r>
        <w:rPr/>
        <w:t>1858</w:t>
      </w:r>
    </w:p>
    <w:p>
      <w:pPr>
        <w:pStyle w:val="BodyText"/>
        <w:rPr>
          <w:b/>
          <w:sz w:val="28"/>
        </w:rPr>
      </w:pPr>
    </w:p>
    <w:p>
      <w:pPr>
        <w:pStyle w:val="ListParagraph"/>
        <w:numPr>
          <w:ilvl w:val="0"/>
          <w:numId w:val="235"/>
        </w:numPr>
        <w:tabs>
          <w:tab w:pos="1221" w:val="left" w:leader="none"/>
        </w:tabs>
        <w:spacing w:line="480" w:lineRule="auto" w:before="216" w:after="0"/>
        <w:ind w:left="500" w:right="436" w:firstLine="0"/>
        <w:jc w:val="both"/>
        <w:rPr>
          <w:sz w:val="25"/>
        </w:rPr>
      </w:pPr>
      <w:r>
        <w:rPr>
          <w:sz w:val="25"/>
        </w:rPr>
        <w:t>The disputed site has witnessed a medley of faiths and the co-existence of Hindu and Muslim practices, beliefs and customs. A blend of Hindu and Muslim elements emerges from the religious and architectural tradition associated with the erstwhile structure which embodied features both of a temple and a mosque. While, the distinctive architectural elements overlapped they were yet easily recognisable. They were symbols of a syncretic culture. Specific sculptured finds such as the black Kasauti stone pillars along with the presence of the figurines of Varah, Garud, Jai and Vijay suggest that they were primarily meant for decoration of a Hindu temple facade and served as deities to be worshipped. At the same time, the distinctive appearance of a mosque emerged from the three domes,</w:t>
      </w:r>
      <w:r>
        <w:rPr>
          <w:spacing w:val="64"/>
          <w:sz w:val="25"/>
        </w:rPr>
        <w:t> </w:t>
      </w:r>
      <w:r>
        <w:rPr>
          <w:sz w:val="25"/>
        </w:rPr>
        <w:t>the</w:t>
      </w:r>
    </w:p>
    <w:p>
      <w:pPr>
        <w:spacing w:after="0" w:line="480" w:lineRule="auto"/>
        <w:jc w:val="both"/>
        <w:rPr>
          <w:sz w:val="25"/>
        </w:rPr>
        <w:sectPr>
          <w:headerReference w:type="default" r:id="rId202"/>
          <w:footerReference w:type="default" r:id="rId203"/>
          <w:pgSz w:w="11910" w:h="16840"/>
          <w:pgMar w:header="721" w:footer="1014" w:top="1300" w:bottom="1200" w:left="940" w:right="1000"/>
          <w:pgNumType w:start="881"/>
        </w:sectPr>
      </w:pPr>
    </w:p>
    <w:p>
      <w:pPr>
        <w:pStyle w:val="BodyText"/>
        <w:spacing w:line="480" w:lineRule="auto" w:before="124"/>
        <w:ind w:left="500" w:right="432"/>
        <w:jc w:val="both"/>
      </w:pPr>
      <w:r>
        <w:rPr/>
        <w:t>Vazoo, the stone inscription with ‗Allah‘, the mimbar and the mehrab. These features indicate that the disputed premise was constructed as a mosque. Within the premises of the same complex there existed two religious faiths. Their co- existence was at times, especially before 1856, accepting and at others, antagonistic and a cause of bloodshed. Yet, the distinctive features of the site, embodying both Hindu and Islamic traditions led to the creation of a space with </w:t>
      </w:r>
      <w:r>
        <w:rPr>
          <w:u w:val="single"/>
        </w:rPr>
        <w:t>an identity</w:t>
      </w:r>
      <w:r>
        <w:rPr/>
        <w:t> of its own.</w:t>
      </w:r>
      <w:r>
        <w:rPr>
          <w:spacing w:val="14"/>
        </w:rPr>
        <w:t> </w:t>
      </w:r>
      <w:r>
        <w:rPr/>
        <w:t>The real significance attached to the composite structure is</w:t>
      </w:r>
    </w:p>
    <w:p>
      <w:pPr>
        <w:pStyle w:val="BodyText"/>
        <w:ind w:left="500"/>
        <w:jc w:val="both"/>
      </w:pPr>
      <w:r>
        <w:rPr/>
        <w:t>evidenced by the nature and the length of use by both of the parties.</w:t>
      </w:r>
    </w:p>
    <w:p>
      <w:pPr>
        <w:pStyle w:val="BodyText"/>
        <w:rPr>
          <w:sz w:val="28"/>
        </w:rPr>
      </w:pPr>
    </w:p>
    <w:p>
      <w:pPr>
        <w:pStyle w:val="BodyText"/>
        <w:spacing w:before="8"/>
        <w:rPr>
          <w:sz w:val="35"/>
        </w:rPr>
      </w:pPr>
    </w:p>
    <w:p>
      <w:pPr>
        <w:pStyle w:val="ListParagraph"/>
        <w:numPr>
          <w:ilvl w:val="0"/>
          <w:numId w:val="235"/>
        </w:numPr>
        <w:tabs>
          <w:tab w:pos="1221" w:val="left" w:leader="none"/>
        </w:tabs>
        <w:spacing w:line="480" w:lineRule="auto" w:before="0" w:after="0"/>
        <w:ind w:left="500" w:right="435" w:firstLine="0"/>
        <w:jc w:val="both"/>
        <w:rPr>
          <w:sz w:val="25"/>
        </w:rPr>
      </w:pPr>
      <w:r>
        <w:rPr>
          <w:sz w:val="25"/>
        </w:rPr>
        <w:t>The accounts from travellers (chiefly </w:t>
      </w:r>
      <w:r>
        <w:rPr>
          <w:b/>
          <w:sz w:val="25"/>
        </w:rPr>
        <w:t>Tieffenthaler </w:t>
      </w:r>
      <w:r>
        <w:rPr>
          <w:sz w:val="25"/>
        </w:rPr>
        <w:t>and </w:t>
      </w:r>
      <w:r>
        <w:rPr>
          <w:b/>
          <w:sz w:val="25"/>
        </w:rPr>
        <w:t>Montgomery Martin</w:t>
      </w:r>
      <w:r>
        <w:rPr>
          <w:sz w:val="25"/>
        </w:rPr>
        <w:t>) corroborated by both Hindu and Muslim witnesses indicate identifiable places of offering worship and the prevalence of worship by Hindu pilgrims at the disputed site. The setting up of a railing in 1858 by the British around  the disputed structure of the mosque took place in the backdrop of a contestation over the claim of the Hindus to worship inside the precincts of the mosque. One of the earliest instances evidencing namaz being carried out at the disputed site is documented in an application dated 5 November 1860, filed by one Rajab Ali for removal of the construction of the Hindu Chabutra. The application indicated that the Azaan of the Moazzin was met with the blowing of conch shells by the Hindus. The railing which comprised of a brick grill-wall was neither a sub-division of the disputed site, which was one composite property, or a determination of title by the colonial administration. This is evident from - (i) the immediate setting up of the Ramchabutra by the Hindus right outside three domed structure upon the setting up of the railing; (ii) the continued assertion of rights to the inner</w:t>
      </w:r>
      <w:r>
        <w:rPr>
          <w:spacing w:val="21"/>
          <w:sz w:val="25"/>
        </w:rPr>
        <w:t> </w:t>
      </w:r>
      <w:r>
        <w:rPr>
          <w:sz w:val="25"/>
        </w:rPr>
        <w:t>courtyard</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by Hindus; and (iii) offering of worship by devotees towards the ‗Garbh Grih‘ standing outside the railing. The construction of Ramchabutra and the worship offered there was an event which coincided with the setting up of the railing. The railing was an effort to maintain peace at the site. However, peace remained elusive.</w:t>
      </w:r>
    </w:p>
    <w:p>
      <w:pPr>
        <w:pStyle w:val="BodyText"/>
        <w:spacing w:before="10"/>
        <w:rPr>
          <w:sz w:val="38"/>
        </w:rPr>
      </w:pPr>
    </w:p>
    <w:p>
      <w:pPr>
        <w:pStyle w:val="ListParagraph"/>
        <w:numPr>
          <w:ilvl w:val="0"/>
          <w:numId w:val="235"/>
        </w:numPr>
        <w:tabs>
          <w:tab w:pos="1221" w:val="left" w:leader="none"/>
        </w:tabs>
        <w:spacing w:line="240" w:lineRule="auto" w:before="0" w:after="0"/>
        <w:ind w:left="1220" w:right="0" w:hanging="721"/>
        <w:jc w:val="both"/>
        <w:rPr>
          <w:sz w:val="25"/>
        </w:rPr>
      </w:pPr>
      <w:r>
        <w:rPr>
          <w:sz w:val="25"/>
        </w:rPr>
        <w:t>The oral witness accounts of the Hindus show their faith and belief that</w:t>
      </w:r>
      <w:r>
        <w:rPr>
          <w:spacing w:val="50"/>
          <w:sz w:val="25"/>
        </w:rPr>
        <w:t> </w:t>
      </w:r>
      <w:r>
        <w:rPr>
          <w:sz w:val="25"/>
        </w:rPr>
        <w:t>the</w:t>
      </w:r>
    </w:p>
    <w:p>
      <w:pPr>
        <w:pStyle w:val="BodyText"/>
        <w:spacing w:before="1"/>
      </w:pPr>
    </w:p>
    <w:p>
      <w:pPr>
        <w:pStyle w:val="BodyText"/>
        <w:spacing w:line="480" w:lineRule="auto"/>
        <w:ind w:left="500" w:right="438"/>
        <w:jc w:val="both"/>
      </w:pPr>
      <w:r>
        <w:rPr/>
        <w:t>‗Garbh-Grih‘</w:t>
      </w:r>
      <w:r>
        <w:rPr>
          <w:spacing w:val="-5"/>
        </w:rPr>
        <w:t> </w:t>
      </w:r>
      <w:r>
        <w:rPr/>
        <w:t>was</w:t>
      </w:r>
      <w:r>
        <w:rPr>
          <w:spacing w:val="-5"/>
        </w:rPr>
        <w:t> </w:t>
      </w:r>
      <w:r>
        <w:rPr/>
        <w:t>the</w:t>
      </w:r>
      <w:r>
        <w:rPr>
          <w:spacing w:val="-8"/>
        </w:rPr>
        <w:t> </w:t>
      </w:r>
      <w:r>
        <w:rPr/>
        <w:t>birth-place</w:t>
      </w:r>
      <w:r>
        <w:rPr>
          <w:spacing w:val="-4"/>
        </w:rPr>
        <w:t> </w:t>
      </w:r>
      <w:r>
        <w:rPr/>
        <w:t>of</w:t>
      </w:r>
      <w:r>
        <w:rPr>
          <w:spacing w:val="-7"/>
        </w:rPr>
        <w:t> </w:t>
      </w:r>
      <w:r>
        <w:rPr/>
        <w:t>Lord</w:t>
      </w:r>
      <w:r>
        <w:rPr>
          <w:spacing w:val="-2"/>
        </w:rPr>
        <w:t> </w:t>
      </w:r>
      <w:r>
        <w:rPr/>
        <w:t>Ram</w:t>
      </w:r>
      <w:r>
        <w:rPr>
          <w:spacing w:val="-4"/>
        </w:rPr>
        <w:t> </w:t>
      </w:r>
      <w:r>
        <w:rPr/>
        <w:t>and</w:t>
      </w:r>
      <w:r>
        <w:rPr>
          <w:spacing w:val="-4"/>
        </w:rPr>
        <w:t> </w:t>
      </w:r>
      <w:r>
        <w:rPr/>
        <w:t>the</w:t>
      </w:r>
      <w:r>
        <w:rPr>
          <w:spacing w:val="-6"/>
        </w:rPr>
        <w:t> </w:t>
      </w:r>
      <w:r>
        <w:rPr/>
        <w:t>existence</w:t>
      </w:r>
      <w:r>
        <w:rPr>
          <w:spacing w:val="-4"/>
        </w:rPr>
        <w:t> </w:t>
      </w:r>
      <w:r>
        <w:rPr/>
        <w:t>of</w:t>
      </w:r>
      <w:r>
        <w:rPr>
          <w:spacing w:val="-3"/>
        </w:rPr>
        <w:t> </w:t>
      </w:r>
      <w:r>
        <w:rPr/>
        <w:t>long</w:t>
      </w:r>
      <w:r>
        <w:rPr>
          <w:spacing w:val="-4"/>
        </w:rPr>
        <w:t> </w:t>
      </w:r>
      <w:r>
        <w:rPr/>
        <w:t>continued worship by the Hindus at the disputed site. As regards namaz within the disputed site, the evidence on record of the Muslim witnesses, indicates that post 1934 namaz was being offered until 16 December 1949. However, the extent of namaz would appear to have been confined to Friday namaz particularly in the period preceding the events of December 1949. Both Hindu and Muslim witnesses state that active measures were being taken by the Sadhus and Bairagis to prevent the Muslims from approaching the disputed premises and from offering prayers. This primarily shows that the disputed site witnessed use by worshippers of both the faiths. Obstructing Muslims from accessing the mosque did not mean that they had had no claim to or had abandoned the disputed site. However, it needs to be remembered that the present case relates to title or ownership of this composite place of worship. In the absence of historical records with respect to ownership or title, the court has to determine the nature and use of the disputed premises as a whole by either of the parties. In determining the nature of use, the court has to factor in the length and extent of</w:t>
      </w:r>
      <w:r>
        <w:rPr>
          <w:spacing w:val="-5"/>
        </w:rPr>
        <w:t> </w:t>
      </w:r>
      <w:r>
        <w:rPr/>
        <w:t>use.</w:t>
      </w:r>
    </w:p>
    <w:p>
      <w:pPr>
        <w:spacing w:after="0" w:line="480" w:lineRule="auto"/>
        <w:jc w:val="both"/>
        <w:sectPr>
          <w:pgSz w:w="11910" w:h="16840"/>
          <w:pgMar w:header="721" w:footer="1014" w:top="1300" w:bottom="1200" w:left="940" w:right="1000"/>
        </w:sectPr>
      </w:pPr>
    </w:p>
    <w:p>
      <w:pPr>
        <w:pStyle w:val="ListParagraph"/>
        <w:numPr>
          <w:ilvl w:val="0"/>
          <w:numId w:val="235"/>
        </w:numPr>
        <w:tabs>
          <w:tab w:pos="1221" w:val="left" w:leader="none"/>
        </w:tabs>
        <w:spacing w:line="480" w:lineRule="auto" w:before="124" w:after="0"/>
        <w:ind w:left="500" w:right="437" w:firstLine="0"/>
        <w:jc w:val="both"/>
        <w:rPr>
          <w:sz w:val="25"/>
        </w:rPr>
      </w:pPr>
      <w:r>
        <w:rPr>
          <w:sz w:val="25"/>
        </w:rPr>
        <w:t>In assessing the title of the Muslims, the physical structure of the mosque is one fact to be taken into consideration. But a claim to possessory title has to be based on exclusive and unimpeded possession which has to be established by evidence. As shown above, the disputed premises are characterised by distinct architectural characteristics of Hindu and Islamic cultures. The claim to title will have to be judged from the perspective of long and continued possession. It becomes relevant to note the extent to which the Muslims have asserted their claim to the entirety of the property, which forms a composite whole, comprised  of the inner and outer courtyards in comparison with the contesting claims of the Hindus. In relation to the outer courtyard, both Hindu and Muslim witnesses have admitted the presence of the Ramchabutra and other places of religious significance which were being continuously worshipped by the Hindus. The access of Hindus to and their possession of the outer courtyard was</w:t>
      </w:r>
      <w:r>
        <w:rPr>
          <w:spacing w:val="-22"/>
          <w:sz w:val="25"/>
        </w:rPr>
        <w:t> </w:t>
      </w:r>
      <w:r>
        <w:rPr>
          <w:sz w:val="25"/>
        </w:rPr>
        <w:t>unimpeded.</w:t>
      </w:r>
    </w:p>
    <w:p>
      <w:pPr>
        <w:pStyle w:val="BodyText"/>
        <w:rPr>
          <w:sz w:val="39"/>
        </w:rPr>
      </w:pPr>
    </w:p>
    <w:p>
      <w:pPr>
        <w:pStyle w:val="ListParagraph"/>
        <w:numPr>
          <w:ilvl w:val="0"/>
          <w:numId w:val="235"/>
        </w:numPr>
        <w:tabs>
          <w:tab w:pos="1221" w:val="left" w:leader="none"/>
        </w:tabs>
        <w:spacing w:line="480" w:lineRule="auto" w:before="0" w:after="0"/>
        <w:ind w:left="500" w:right="436" w:firstLine="0"/>
        <w:jc w:val="both"/>
        <w:rPr>
          <w:sz w:val="25"/>
        </w:rPr>
      </w:pPr>
      <w:r>
        <w:rPr>
          <w:sz w:val="25"/>
        </w:rPr>
        <w:t>Despite the setting up of the grill-brick wall in 1857, the Hindus never accepted the division of the inner and the outer courtyard. For the Hindus, the entire complex </w:t>
      </w:r>
      <w:r>
        <w:rPr>
          <w:b/>
          <w:sz w:val="25"/>
        </w:rPr>
        <w:t>as a whole </w:t>
      </w:r>
      <w:r>
        <w:rPr>
          <w:sz w:val="25"/>
        </w:rPr>
        <w:t>was of religious significance. A demarcation by the British for the purposes of maintaining law and order did not obliterate their belief in the relevance of the ‗Garbh-Grih‘ being the birth-place of Lord Ram. This is evident from the witness testimonies which indicate that pilgrims offered prayer standing at the railing by looking towards the sanctum sanctorum. Another relevant piece of evidence is the admission of the Moazzin of the Babri Mosque  in his complaint dated 30 November 1858 against Nihang Singh. The Moazzin admitted</w:t>
      </w:r>
      <w:r>
        <w:rPr>
          <w:spacing w:val="15"/>
          <w:sz w:val="25"/>
        </w:rPr>
        <w:t> </w:t>
      </w:r>
      <w:r>
        <w:rPr>
          <w:sz w:val="25"/>
        </w:rPr>
        <w:t>that</w:t>
      </w:r>
      <w:r>
        <w:rPr>
          <w:spacing w:val="12"/>
          <w:sz w:val="25"/>
        </w:rPr>
        <w:t> </w:t>
      </w:r>
      <w:r>
        <w:rPr>
          <w:sz w:val="25"/>
        </w:rPr>
        <w:t>previously</w:t>
      </w:r>
      <w:r>
        <w:rPr>
          <w:spacing w:val="12"/>
          <w:sz w:val="25"/>
        </w:rPr>
        <w:t> </w:t>
      </w:r>
      <w:r>
        <w:rPr>
          <w:sz w:val="25"/>
        </w:rPr>
        <w:t>the</w:t>
      </w:r>
      <w:r>
        <w:rPr>
          <w:spacing w:val="15"/>
          <w:sz w:val="25"/>
        </w:rPr>
        <w:t> </w:t>
      </w:r>
      <w:r>
        <w:rPr>
          <w:sz w:val="25"/>
        </w:rPr>
        <w:t>symbol</w:t>
      </w:r>
      <w:r>
        <w:rPr>
          <w:spacing w:val="15"/>
          <w:sz w:val="25"/>
        </w:rPr>
        <w:t> </w:t>
      </w:r>
      <w:r>
        <w:rPr>
          <w:sz w:val="25"/>
        </w:rPr>
        <w:t>of</w:t>
      </w:r>
      <w:r>
        <w:rPr>
          <w:spacing w:val="15"/>
          <w:sz w:val="25"/>
        </w:rPr>
        <w:t> </w:t>
      </w:r>
      <w:r>
        <w:rPr>
          <w:sz w:val="25"/>
        </w:rPr>
        <w:t>Janamsthan</w:t>
      </w:r>
      <w:r>
        <w:rPr>
          <w:spacing w:val="15"/>
          <w:sz w:val="25"/>
        </w:rPr>
        <w:t> </w:t>
      </w:r>
      <w:r>
        <w:rPr>
          <w:sz w:val="25"/>
        </w:rPr>
        <w:t>had</w:t>
      </w:r>
      <w:r>
        <w:rPr>
          <w:spacing w:val="12"/>
          <w:sz w:val="25"/>
        </w:rPr>
        <w:t> </w:t>
      </w:r>
      <w:r>
        <w:rPr>
          <w:sz w:val="25"/>
        </w:rPr>
        <w:t>been</w:t>
      </w:r>
      <w:r>
        <w:rPr>
          <w:spacing w:val="15"/>
          <w:sz w:val="25"/>
        </w:rPr>
        <w:t> </w:t>
      </w:r>
      <w:r>
        <w:rPr>
          <w:sz w:val="25"/>
        </w:rPr>
        <w:t>there</w:t>
      </w:r>
      <w:r>
        <w:rPr>
          <w:spacing w:val="16"/>
          <w:sz w:val="25"/>
        </w:rPr>
        <w:t> </w:t>
      </w:r>
      <w:r>
        <w:rPr>
          <w:sz w:val="25"/>
        </w:rPr>
        <w:t>for</w:t>
      </w:r>
      <w:r>
        <w:rPr>
          <w:spacing w:val="13"/>
          <w:sz w:val="25"/>
        </w:rPr>
        <w:t> </w:t>
      </w:r>
      <w:r>
        <w:rPr>
          <w:sz w:val="25"/>
        </w:rPr>
        <w:t>hundreds</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of years and Hindus did puja inside the three domed structure. Absent any division of the site, the Hindus had </w:t>
      </w:r>
      <w:r>
        <w:rPr>
          <w:b/>
        </w:rPr>
        <w:t>multiple points </w:t>
      </w:r>
      <w:r>
        <w:rPr/>
        <w:t>and forms of worship within the disputed premises which included the Ramchabutra and Sita Rasoi and the </w:t>
      </w:r>
      <w:r>
        <w:rPr>
          <w:i/>
        </w:rPr>
        <w:t>parikrama </w:t>
      </w:r>
      <w:r>
        <w:rPr/>
        <w:t>of the disputed premises. Even after the railing was set up, Hindu worship at Ramchabutra, Sita Rasoi and of the idols placed below the fig and neem tree clearly indicated their exclusive and unimpeded possession of the outer courtyard. All the evidence indicates that a reasonable inference based on a preponderance of probabilities can be made that there was continuum of faith and belief of the Hindus that the ‗Garbh-Grih‘ was the place of birth of Lord Ram both prior to and after the construction of the wall. The use of the area within the railing by the Muslims was contentious and their access to the inner courtyard was landlocked; the only access being through the two gates to the outer portion and the area which were in the control of the</w:t>
      </w:r>
      <w:r>
        <w:rPr>
          <w:spacing w:val="-8"/>
        </w:rPr>
        <w:t> </w:t>
      </w:r>
      <w:r>
        <w:rPr/>
        <w:t>Hindus.</w:t>
      </w:r>
    </w:p>
    <w:p>
      <w:pPr>
        <w:pStyle w:val="BodyText"/>
        <w:rPr>
          <w:sz w:val="28"/>
        </w:rPr>
      </w:pPr>
    </w:p>
    <w:p>
      <w:pPr>
        <w:pStyle w:val="BodyText"/>
        <w:spacing w:before="6"/>
        <w:rPr>
          <w:sz w:val="22"/>
        </w:rPr>
      </w:pPr>
    </w:p>
    <w:p>
      <w:pPr>
        <w:pStyle w:val="Heading3"/>
        <w:numPr>
          <w:ilvl w:val="1"/>
          <w:numId w:val="191"/>
        </w:numPr>
        <w:tabs>
          <w:tab w:pos="1221" w:val="left" w:leader="none"/>
        </w:tabs>
        <w:spacing w:line="240" w:lineRule="auto" w:before="0" w:after="0"/>
        <w:ind w:left="1220" w:right="0" w:hanging="721"/>
        <w:jc w:val="left"/>
      </w:pPr>
      <w:r>
        <w:rPr/>
        <w:t>Analysis of evidence in Suit</w:t>
      </w:r>
      <w:r>
        <w:rPr>
          <w:spacing w:val="-4"/>
        </w:rPr>
        <w:t> </w:t>
      </w:r>
      <w:r>
        <w:rPr/>
        <w:t>4</w:t>
      </w:r>
    </w:p>
    <w:p>
      <w:pPr>
        <w:pStyle w:val="BodyText"/>
        <w:rPr>
          <w:b/>
          <w:sz w:val="28"/>
        </w:rPr>
      </w:pPr>
    </w:p>
    <w:p>
      <w:pPr>
        <w:pStyle w:val="ListParagraph"/>
        <w:numPr>
          <w:ilvl w:val="0"/>
          <w:numId w:val="235"/>
        </w:numPr>
        <w:tabs>
          <w:tab w:pos="1221" w:val="left" w:leader="none"/>
        </w:tabs>
        <w:spacing w:line="480" w:lineRule="auto" w:before="216" w:after="0"/>
        <w:ind w:left="500" w:right="434" w:firstLine="0"/>
        <w:jc w:val="both"/>
        <w:rPr>
          <w:sz w:val="25"/>
        </w:rPr>
      </w:pPr>
      <w:r>
        <w:rPr>
          <w:sz w:val="25"/>
        </w:rPr>
        <w:t>The case of the plaintiffs in Suit 4 is that upon its construction at the behest of Babur in 1528, there was a dedication of the mosque for the purpose of worship by Muslims. With respect to title, no documentary evidence exists or has been adduced for the period prior to 1860. Before the High Court, </w:t>
      </w:r>
      <w:r>
        <w:rPr>
          <w:spacing w:val="4"/>
          <w:sz w:val="25"/>
        </w:rPr>
        <w:t>as </w:t>
      </w:r>
      <w:r>
        <w:rPr>
          <w:sz w:val="25"/>
        </w:rPr>
        <w:t>noticed earlier submissions proceeded on the basis that there was no evidence either in regard to possession or the offering of namaz prior to 1860 or at any rate before 1856-7.</w:t>
      </w:r>
      <w:r>
        <w:rPr>
          <w:spacing w:val="43"/>
          <w:sz w:val="25"/>
        </w:rPr>
        <w:t> </w:t>
      </w:r>
      <w:r>
        <w:rPr>
          <w:sz w:val="25"/>
        </w:rPr>
        <w:t>The</w:t>
      </w:r>
      <w:r>
        <w:rPr>
          <w:spacing w:val="44"/>
          <w:sz w:val="25"/>
        </w:rPr>
        <w:t> </w:t>
      </w:r>
      <w:r>
        <w:rPr>
          <w:sz w:val="25"/>
        </w:rPr>
        <w:t>evidence</w:t>
      </w:r>
      <w:r>
        <w:rPr>
          <w:spacing w:val="44"/>
          <w:sz w:val="25"/>
        </w:rPr>
        <w:t> </w:t>
      </w:r>
      <w:r>
        <w:rPr>
          <w:sz w:val="25"/>
        </w:rPr>
        <w:t>which</w:t>
      </w:r>
      <w:r>
        <w:rPr>
          <w:spacing w:val="44"/>
          <w:sz w:val="25"/>
        </w:rPr>
        <w:t> </w:t>
      </w:r>
      <w:r>
        <w:rPr>
          <w:sz w:val="25"/>
        </w:rPr>
        <w:t>has</w:t>
      </w:r>
      <w:r>
        <w:rPr>
          <w:spacing w:val="44"/>
          <w:sz w:val="25"/>
        </w:rPr>
        <w:t> </w:t>
      </w:r>
      <w:r>
        <w:rPr>
          <w:sz w:val="25"/>
        </w:rPr>
        <w:t>been</w:t>
      </w:r>
      <w:r>
        <w:rPr>
          <w:spacing w:val="44"/>
          <w:sz w:val="25"/>
        </w:rPr>
        <w:t> </w:t>
      </w:r>
      <w:r>
        <w:rPr>
          <w:sz w:val="25"/>
        </w:rPr>
        <w:t>adduced,</w:t>
      </w:r>
      <w:r>
        <w:rPr>
          <w:spacing w:val="44"/>
          <w:sz w:val="25"/>
        </w:rPr>
        <w:t> </w:t>
      </w:r>
      <w:r>
        <w:rPr>
          <w:sz w:val="25"/>
        </w:rPr>
        <w:t>must</w:t>
      </w:r>
      <w:r>
        <w:rPr>
          <w:spacing w:val="43"/>
          <w:sz w:val="25"/>
        </w:rPr>
        <w:t> </w:t>
      </w:r>
      <w:r>
        <w:rPr>
          <w:sz w:val="25"/>
        </w:rPr>
        <w:t>be</w:t>
      </w:r>
      <w:r>
        <w:rPr>
          <w:spacing w:val="44"/>
          <w:sz w:val="25"/>
        </w:rPr>
        <w:t> </w:t>
      </w:r>
      <w:r>
        <w:rPr>
          <w:sz w:val="25"/>
        </w:rPr>
        <w:t>analysed</w:t>
      </w:r>
      <w:r>
        <w:rPr>
          <w:spacing w:val="44"/>
          <w:sz w:val="25"/>
        </w:rPr>
        <w:t> </w:t>
      </w:r>
      <w:r>
        <w:rPr>
          <w:sz w:val="25"/>
        </w:rPr>
        <w:t>bearing</w:t>
      </w:r>
      <w:r>
        <w:rPr>
          <w:spacing w:val="44"/>
          <w:sz w:val="25"/>
        </w:rPr>
        <w:t> </w:t>
      </w:r>
      <w:r>
        <w:rPr>
          <w:sz w:val="25"/>
        </w:rPr>
        <w:t>in</w:t>
      </w:r>
    </w:p>
    <w:p>
      <w:pPr>
        <w:spacing w:after="0" w:line="480" w:lineRule="auto"/>
        <w:jc w:val="both"/>
        <w:rPr>
          <w:sz w:val="25"/>
        </w:rPr>
        <w:sectPr>
          <w:pgSz w:w="11910" w:h="16840"/>
          <w:pgMar w:header="721" w:footer="1014" w:top="1300" w:bottom="1200" w:left="940" w:right="1000"/>
        </w:sectPr>
      </w:pPr>
    </w:p>
    <w:p>
      <w:pPr>
        <w:pStyle w:val="BodyText"/>
        <w:spacing w:before="124"/>
        <w:ind w:left="500"/>
        <w:jc w:val="both"/>
      </w:pPr>
      <w:r>
        <w:rPr/>
        <w:t>mind the fundamental principle of law that revenue records do not confer title. In</w:t>
      </w:r>
    </w:p>
    <w:p>
      <w:pPr>
        <w:pStyle w:val="BodyText"/>
        <w:spacing w:before="10"/>
        <w:rPr>
          <w:sz w:val="24"/>
        </w:rPr>
      </w:pPr>
    </w:p>
    <w:p>
      <w:pPr>
        <w:spacing w:before="0"/>
        <w:ind w:left="500" w:right="0" w:firstLine="0"/>
        <w:jc w:val="both"/>
        <w:rPr>
          <w:sz w:val="25"/>
        </w:rPr>
      </w:pPr>
      <w:r>
        <w:rPr>
          <w:b/>
          <w:sz w:val="25"/>
        </w:rPr>
        <w:t>Jattu Ram </w:t>
      </w:r>
      <w:r>
        <w:rPr>
          <w:sz w:val="25"/>
        </w:rPr>
        <w:t>v </w:t>
      </w:r>
      <w:r>
        <w:rPr>
          <w:b/>
          <w:sz w:val="25"/>
        </w:rPr>
        <w:t>Hakam Singh</w:t>
      </w:r>
      <w:r>
        <w:rPr>
          <w:sz w:val="25"/>
          <w:vertAlign w:val="superscript"/>
        </w:rPr>
        <w:t>396</w:t>
      </w:r>
      <w:r>
        <w:rPr>
          <w:sz w:val="25"/>
          <w:vertAlign w:val="baseline"/>
        </w:rPr>
        <w:t>, a two judge Bench held:</w:t>
      </w:r>
    </w:p>
    <w:p>
      <w:pPr>
        <w:pStyle w:val="BodyText"/>
        <w:rPr>
          <w:sz w:val="39"/>
        </w:rPr>
      </w:pPr>
    </w:p>
    <w:p>
      <w:pPr>
        <w:spacing w:line="276" w:lineRule="auto" w:before="0"/>
        <w:ind w:left="1940" w:right="2258" w:firstLine="0"/>
        <w:jc w:val="both"/>
        <w:rPr>
          <w:sz w:val="21"/>
        </w:rPr>
      </w:pPr>
      <w:r>
        <w:rPr>
          <w:w w:val="33"/>
          <w:sz w:val="21"/>
        </w:rPr>
        <w:t>―</w:t>
      </w:r>
      <w:r>
        <w:rPr>
          <w:w w:val="100"/>
          <w:sz w:val="21"/>
        </w:rPr>
        <w:t>3…The</w:t>
      </w:r>
      <w:r>
        <w:rPr>
          <w:sz w:val="21"/>
        </w:rPr>
        <w:t>  </w:t>
      </w:r>
      <w:r>
        <w:rPr>
          <w:w w:val="100"/>
          <w:sz w:val="21"/>
        </w:rPr>
        <w:t>sole</w:t>
      </w:r>
      <w:r>
        <w:rPr>
          <w:sz w:val="21"/>
        </w:rPr>
        <w:t>  </w:t>
      </w:r>
      <w:r>
        <w:rPr>
          <w:w w:val="100"/>
          <w:sz w:val="21"/>
        </w:rPr>
        <w:t>entry</w:t>
      </w:r>
      <w:r>
        <w:rPr>
          <w:sz w:val="21"/>
        </w:rPr>
        <w:t>  </w:t>
      </w:r>
      <w:r>
        <w:rPr>
          <w:w w:val="100"/>
          <w:sz w:val="21"/>
        </w:rPr>
        <w:t>on</w:t>
      </w:r>
      <w:r>
        <w:rPr>
          <w:sz w:val="21"/>
        </w:rPr>
        <w:t>  </w:t>
      </w:r>
      <w:r>
        <w:rPr>
          <w:w w:val="100"/>
          <w:sz w:val="21"/>
        </w:rPr>
        <w:t>which</w:t>
      </w:r>
      <w:r>
        <w:rPr>
          <w:sz w:val="21"/>
        </w:rPr>
        <w:t>  </w:t>
      </w:r>
      <w:r>
        <w:rPr>
          <w:w w:val="100"/>
          <w:sz w:val="21"/>
        </w:rPr>
        <w:t>the</w:t>
      </w:r>
      <w:r>
        <w:rPr>
          <w:sz w:val="21"/>
        </w:rPr>
        <w:t>  </w:t>
      </w:r>
      <w:r>
        <w:rPr>
          <w:w w:val="100"/>
          <w:sz w:val="21"/>
        </w:rPr>
        <w:t>appellate</w:t>
      </w:r>
      <w:r>
        <w:rPr>
          <w:sz w:val="21"/>
        </w:rPr>
        <w:t>  </w:t>
      </w:r>
      <w:r>
        <w:rPr>
          <w:w w:val="100"/>
          <w:sz w:val="21"/>
        </w:rPr>
        <w:t>court</w:t>
      </w:r>
      <w:r>
        <w:rPr>
          <w:sz w:val="21"/>
        </w:rPr>
        <w:t>  </w:t>
      </w:r>
      <w:r>
        <w:rPr>
          <w:w w:val="100"/>
          <w:sz w:val="21"/>
        </w:rPr>
        <w:t>placed </w:t>
      </w:r>
      <w:r>
        <w:rPr>
          <w:sz w:val="21"/>
        </w:rPr>
        <w:t>implicit reliance is by the Patwari in Jamabandi. It is settled law that the Jamabandi entries are only for fiscal purpose and they create no title.‖</w:t>
      </w:r>
    </w:p>
    <w:p>
      <w:pPr>
        <w:pStyle w:val="BodyText"/>
        <w:spacing w:before="5"/>
        <w:rPr>
          <w:sz w:val="28"/>
        </w:rPr>
      </w:pPr>
    </w:p>
    <w:p>
      <w:pPr>
        <w:spacing w:line="482" w:lineRule="auto" w:before="0"/>
        <w:ind w:left="500" w:right="434" w:firstLine="0"/>
        <w:jc w:val="both"/>
        <w:rPr>
          <w:sz w:val="25"/>
        </w:rPr>
      </w:pPr>
      <w:r>
        <w:rPr>
          <w:sz w:val="25"/>
        </w:rPr>
        <w:t>This decision was followed in </w:t>
      </w:r>
      <w:r>
        <w:rPr>
          <w:b/>
          <w:sz w:val="25"/>
        </w:rPr>
        <w:t>Suraj Bhan </w:t>
      </w:r>
      <w:r>
        <w:rPr>
          <w:sz w:val="25"/>
        </w:rPr>
        <w:t>v </w:t>
      </w:r>
      <w:r>
        <w:rPr>
          <w:b/>
          <w:sz w:val="25"/>
        </w:rPr>
        <w:t>Financial Commissioner</w:t>
      </w:r>
      <w:r>
        <w:rPr>
          <w:sz w:val="25"/>
          <w:vertAlign w:val="superscript"/>
        </w:rPr>
        <w:t>397</w:t>
      </w:r>
      <w:r>
        <w:rPr>
          <w:sz w:val="25"/>
          <w:vertAlign w:val="baseline"/>
        </w:rPr>
        <w:t>, where Justice C K Thakker speaking for a two judge Bench held:</w:t>
      </w:r>
    </w:p>
    <w:p>
      <w:pPr>
        <w:spacing w:line="276" w:lineRule="auto" w:before="0"/>
        <w:ind w:left="1940" w:right="2252" w:firstLine="0"/>
        <w:jc w:val="both"/>
        <w:rPr>
          <w:sz w:val="21"/>
        </w:rPr>
      </w:pPr>
      <w:r>
        <w:rPr>
          <w:spacing w:val="-1"/>
          <w:w w:val="33"/>
          <w:sz w:val="21"/>
        </w:rPr>
        <w:t>―</w:t>
      </w:r>
      <w:r>
        <w:rPr>
          <w:spacing w:val="-1"/>
          <w:w w:val="100"/>
          <w:sz w:val="21"/>
        </w:rPr>
        <w:t>9…I</w:t>
      </w:r>
      <w:r>
        <w:rPr>
          <w:w w:val="100"/>
          <w:sz w:val="21"/>
        </w:rPr>
        <w:t>t</w:t>
      </w:r>
      <w:r>
        <w:rPr>
          <w:spacing w:val="5"/>
          <w:sz w:val="21"/>
        </w:rPr>
        <w:t> </w:t>
      </w:r>
      <w:r>
        <w:rPr>
          <w:w w:val="100"/>
          <w:sz w:val="21"/>
        </w:rPr>
        <w:t>is</w:t>
      </w:r>
      <w:r>
        <w:rPr>
          <w:spacing w:val="3"/>
          <w:sz w:val="21"/>
        </w:rPr>
        <w:t> </w:t>
      </w:r>
      <w:r>
        <w:rPr>
          <w:spacing w:val="-2"/>
          <w:w w:val="100"/>
          <w:sz w:val="21"/>
        </w:rPr>
        <w:t>w</w:t>
      </w:r>
      <w:r>
        <w:rPr>
          <w:spacing w:val="-3"/>
          <w:w w:val="100"/>
          <w:sz w:val="21"/>
        </w:rPr>
        <w:t>e</w:t>
      </w:r>
      <w:r>
        <w:rPr>
          <w:w w:val="100"/>
          <w:sz w:val="21"/>
        </w:rPr>
        <w:t>ll</w:t>
      </w:r>
      <w:r>
        <w:rPr>
          <w:spacing w:val="4"/>
          <w:sz w:val="21"/>
        </w:rPr>
        <w:t> </w:t>
      </w:r>
      <w:r>
        <w:rPr>
          <w:w w:val="100"/>
          <w:sz w:val="21"/>
        </w:rPr>
        <w:t>se</w:t>
      </w:r>
      <w:r>
        <w:rPr>
          <w:spacing w:val="-1"/>
          <w:w w:val="100"/>
          <w:sz w:val="21"/>
        </w:rPr>
        <w:t>t</w:t>
      </w:r>
      <w:r>
        <w:rPr>
          <w:spacing w:val="-2"/>
          <w:w w:val="100"/>
          <w:sz w:val="21"/>
        </w:rPr>
        <w:t>t</w:t>
      </w:r>
      <w:r>
        <w:rPr>
          <w:w w:val="100"/>
          <w:sz w:val="21"/>
        </w:rPr>
        <w:t>l</w:t>
      </w:r>
      <w:r>
        <w:rPr>
          <w:spacing w:val="-3"/>
          <w:w w:val="100"/>
          <w:sz w:val="21"/>
        </w:rPr>
        <w:t>e</w:t>
      </w:r>
      <w:r>
        <w:rPr>
          <w:w w:val="100"/>
          <w:sz w:val="21"/>
        </w:rPr>
        <w:t>d</w:t>
      </w:r>
      <w:r>
        <w:rPr>
          <w:spacing w:val="6"/>
          <w:sz w:val="21"/>
        </w:rPr>
        <w:t> </w:t>
      </w:r>
      <w:r>
        <w:rPr>
          <w:spacing w:val="-2"/>
          <w:w w:val="100"/>
          <w:sz w:val="21"/>
        </w:rPr>
        <w:t>t</w:t>
      </w:r>
      <w:r>
        <w:rPr>
          <w:spacing w:val="-3"/>
          <w:w w:val="100"/>
          <w:sz w:val="21"/>
        </w:rPr>
        <w:t>h</w:t>
      </w:r>
      <w:r>
        <w:rPr>
          <w:spacing w:val="-1"/>
          <w:w w:val="100"/>
          <w:sz w:val="21"/>
        </w:rPr>
        <w:t>a</w:t>
      </w:r>
      <w:r>
        <w:rPr>
          <w:w w:val="100"/>
          <w:sz w:val="21"/>
        </w:rPr>
        <w:t>t</w:t>
      </w:r>
      <w:r>
        <w:rPr>
          <w:spacing w:val="5"/>
          <w:sz w:val="21"/>
        </w:rPr>
        <w:t> </w:t>
      </w:r>
      <w:r>
        <w:rPr>
          <w:spacing w:val="-3"/>
          <w:w w:val="100"/>
          <w:sz w:val="21"/>
        </w:rPr>
        <w:t>a</w:t>
      </w:r>
      <w:r>
        <w:rPr>
          <w:w w:val="100"/>
          <w:sz w:val="21"/>
        </w:rPr>
        <w:t>n</w:t>
      </w:r>
      <w:r>
        <w:rPr>
          <w:spacing w:val="6"/>
          <w:sz w:val="21"/>
        </w:rPr>
        <w:t> </w:t>
      </w:r>
      <w:r>
        <w:rPr>
          <w:spacing w:val="-1"/>
          <w:w w:val="100"/>
          <w:sz w:val="21"/>
        </w:rPr>
        <w:t>entr</w:t>
      </w:r>
      <w:r>
        <w:rPr>
          <w:w w:val="100"/>
          <w:sz w:val="21"/>
        </w:rPr>
        <w:t>y</w:t>
      </w:r>
      <w:r>
        <w:rPr>
          <w:spacing w:val="3"/>
          <w:sz w:val="21"/>
        </w:rPr>
        <w:t> </w:t>
      </w:r>
      <w:r>
        <w:rPr>
          <w:spacing w:val="-2"/>
          <w:w w:val="100"/>
          <w:sz w:val="21"/>
        </w:rPr>
        <w:t>i</w:t>
      </w:r>
      <w:r>
        <w:rPr>
          <w:w w:val="100"/>
          <w:sz w:val="21"/>
        </w:rPr>
        <w:t>n</w:t>
      </w:r>
      <w:r>
        <w:rPr>
          <w:spacing w:val="6"/>
          <w:sz w:val="21"/>
        </w:rPr>
        <w:t> </w:t>
      </w:r>
      <w:r>
        <w:rPr>
          <w:spacing w:val="-1"/>
          <w:w w:val="100"/>
          <w:sz w:val="21"/>
        </w:rPr>
        <w:t>re</w:t>
      </w:r>
      <w:r>
        <w:rPr>
          <w:spacing w:val="-3"/>
          <w:w w:val="100"/>
          <w:sz w:val="21"/>
        </w:rPr>
        <w:t>v</w:t>
      </w:r>
      <w:r>
        <w:rPr>
          <w:spacing w:val="-1"/>
          <w:w w:val="100"/>
          <w:sz w:val="21"/>
        </w:rPr>
        <w:t>e</w:t>
      </w:r>
      <w:r>
        <w:rPr>
          <w:spacing w:val="-3"/>
          <w:w w:val="100"/>
          <w:sz w:val="21"/>
        </w:rPr>
        <w:t>n</w:t>
      </w:r>
      <w:r>
        <w:rPr>
          <w:spacing w:val="-1"/>
          <w:w w:val="100"/>
          <w:sz w:val="21"/>
        </w:rPr>
        <w:t>u</w:t>
      </w:r>
      <w:r>
        <w:rPr>
          <w:w w:val="100"/>
          <w:sz w:val="21"/>
        </w:rPr>
        <w:t>e</w:t>
      </w:r>
      <w:r>
        <w:rPr>
          <w:spacing w:val="9"/>
          <w:sz w:val="21"/>
        </w:rPr>
        <w:t> </w:t>
      </w:r>
      <w:r>
        <w:rPr>
          <w:spacing w:val="-4"/>
          <w:w w:val="100"/>
          <w:sz w:val="21"/>
        </w:rPr>
        <w:t>r</w:t>
      </w:r>
      <w:r>
        <w:rPr>
          <w:w w:val="100"/>
          <w:sz w:val="21"/>
        </w:rPr>
        <w:t>ecor</w:t>
      </w:r>
      <w:r>
        <w:rPr>
          <w:spacing w:val="-3"/>
          <w:w w:val="100"/>
          <w:sz w:val="21"/>
        </w:rPr>
        <w:t>d</w:t>
      </w:r>
      <w:r>
        <w:rPr>
          <w:w w:val="100"/>
          <w:sz w:val="21"/>
        </w:rPr>
        <w:t>s</w:t>
      </w:r>
      <w:r>
        <w:rPr>
          <w:spacing w:val="6"/>
          <w:sz w:val="21"/>
        </w:rPr>
        <w:t> </w:t>
      </w:r>
      <w:r>
        <w:rPr>
          <w:w w:val="100"/>
          <w:sz w:val="21"/>
        </w:rPr>
        <w:t>d</w:t>
      </w:r>
      <w:r>
        <w:rPr>
          <w:spacing w:val="-3"/>
          <w:w w:val="100"/>
          <w:sz w:val="21"/>
        </w:rPr>
        <w:t>o</w:t>
      </w:r>
      <w:r>
        <w:rPr>
          <w:w w:val="100"/>
          <w:sz w:val="21"/>
        </w:rPr>
        <w:t>es</w:t>
      </w:r>
      <w:r>
        <w:rPr>
          <w:spacing w:val="3"/>
          <w:sz w:val="21"/>
        </w:rPr>
        <w:t> </w:t>
      </w:r>
      <w:r>
        <w:rPr>
          <w:w w:val="100"/>
          <w:sz w:val="21"/>
        </w:rPr>
        <w:t>not </w:t>
      </w:r>
      <w:r>
        <w:rPr>
          <w:sz w:val="21"/>
        </w:rPr>
        <w:t>confer title on a person whose name appears in record-of- rights. It is settled law that entries in the revenue records </w:t>
      </w:r>
      <w:r>
        <w:rPr>
          <w:w w:val="100"/>
          <w:sz w:val="21"/>
        </w:rPr>
        <w:t>or</w:t>
      </w:r>
      <w:r>
        <w:rPr>
          <w:spacing w:val="-2"/>
          <w:sz w:val="21"/>
        </w:rPr>
        <w:t> </w:t>
      </w:r>
      <w:r>
        <w:rPr>
          <w:w w:val="100"/>
          <w:sz w:val="21"/>
        </w:rPr>
        <w:t>j</w:t>
      </w:r>
      <w:r>
        <w:rPr>
          <w:spacing w:val="-3"/>
          <w:w w:val="100"/>
          <w:sz w:val="21"/>
        </w:rPr>
        <w:t>a</w:t>
      </w:r>
      <w:r>
        <w:rPr>
          <w:spacing w:val="1"/>
          <w:w w:val="100"/>
          <w:sz w:val="21"/>
        </w:rPr>
        <w:t>m</w:t>
      </w:r>
      <w:r>
        <w:rPr>
          <w:spacing w:val="-3"/>
          <w:w w:val="100"/>
          <w:sz w:val="21"/>
        </w:rPr>
        <w:t>a</w:t>
      </w:r>
      <w:r>
        <w:rPr>
          <w:w w:val="100"/>
          <w:sz w:val="21"/>
        </w:rPr>
        <w:t>ba</w:t>
      </w:r>
      <w:r>
        <w:rPr>
          <w:spacing w:val="-2"/>
          <w:w w:val="100"/>
          <w:sz w:val="21"/>
        </w:rPr>
        <w:t>n</w:t>
      </w:r>
      <w:r>
        <w:rPr>
          <w:w w:val="100"/>
          <w:sz w:val="21"/>
        </w:rPr>
        <w:t>di</w:t>
      </w:r>
      <w:r>
        <w:rPr>
          <w:spacing w:val="1"/>
          <w:sz w:val="21"/>
        </w:rPr>
        <w:t> </w:t>
      </w:r>
      <w:r>
        <w:rPr>
          <w:spacing w:val="-1"/>
          <w:w w:val="100"/>
          <w:sz w:val="21"/>
        </w:rPr>
        <w:t>ha</w:t>
      </w:r>
      <w:r>
        <w:rPr>
          <w:spacing w:val="-3"/>
          <w:w w:val="100"/>
          <w:sz w:val="21"/>
        </w:rPr>
        <w:t>v</w:t>
      </w:r>
      <w:r>
        <w:rPr>
          <w:w w:val="100"/>
          <w:sz w:val="21"/>
        </w:rPr>
        <w:t>e</w:t>
      </w:r>
      <w:r>
        <w:rPr>
          <w:spacing w:val="27"/>
          <w:sz w:val="21"/>
        </w:rPr>
        <w:t> </w:t>
      </w:r>
      <w:r>
        <w:rPr>
          <w:spacing w:val="-1"/>
          <w:w w:val="100"/>
          <w:sz w:val="21"/>
        </w:rPr>
        <w:t>on</w:t>
      </w:r>
      <w:r>
        <w:rPr>
          <w:spacing w:val="1"/>
          <w:w w:val="100"/>
          <w:sz w:val="21"/>
        </w:rPr>
        <w:t>l</w:t>
      </w:r>
      <w:r>
        <w:rPr>
          <w:w w:val="100"/>
          <w:sz w:val="21"/>
        </w:rPr>
        <w:t>y</w:t>
      </w:r>
      <w:r>
        <w:rPr>
          <w:spacing w:val="27"/>
          <w:sz w:val="21"/>
        </w:rPr>
        <w:t> </w:t>
      </w:r>
      <w:r>
        <w:rPr>
          <w:spacing w:val="-1"/>
          <w:w w:val="33"/>
          <w:sz w:val="21"/>
        </w:rPr>
        <w:t>―</w:t>
      </w:r>
      <w:r>
        <w:rPr>
          <w:spacing w:val="-2"/>
          <w:w w:val="100"/>
          <w:sz w:val="21"/>
        </w:rPr>
        <w:t>f</w:t>
      </w:r>
      <w:r>
        <w:rPr>
          <w:w w:val="100"/>
          <w:sz w:val="21"/>
        </w:rPr>
        <w:t>isc</w:t>
      </w:r>
      <w:r>
        <w:rPr>
          <w:spacing w:val="-3"/>
          <w:w w:val="100"/>
          <w:sz w:val="21"/>
        </w:rPr>
        <w:t>a</w:t>
      </w:r>
      <w:r>
        <w:rPr>
          <w:w w:val="100"/>
          <w:sz w:val="21"/>
        </w:rPr>
        <w:t>l</w:t>
      </w:r>
      <w:r>
        <w:rPr>
          <w:sz w:val="21"/>
        </w:rPr>
        <w:t> </w:t>
      </w:r>
      <w:r>
        <w:rPr>
          <w:spacing w:val="-28"/>
          <w:sz w:val="21"/>
        </w:rPr>
        <w:t> </w:t>
      </w:r>
      <w:r>
        <w:rPr>
          <w:spacing w:val="-3"/>
          <w:w w:val="100"/>
          <w:sz w:val="21"/>
        </w:rPr>
        <w:t>p</w:t>
      </w:r>
      <w:r>
        <w:rPr>
          <w:spacing w:val="-1"/>
          <w:w w:val="100"/>
          <w:sz w:val="21"/>
        </w:rPr>
        <w:t>urp</w:t>
      </w:r>
      <w:r>
        <w:rPr>
          <w:spacing w:val="-3"/>
          <w:w w:val="100"/>
          <w:sz w:val="21"/>
        </w:rPr>
        <w:t>o</w:t>
      </w:r>
      <w:r>
        <w:rPr>
          <w:w w:val="95"/>
          <w:sz w:val="21"/>
        </w:rPr>
        <w:t>se‖</w:t>
      </w:r>
      <w:r>
        <w:rPr>
          <w:spacing w:val="27"/>
          <w:sz w:val="21"/>
        </w:rPr>
        <w:t> </w:t>
      </w:r>
      <w:r>
        <w:rPr>
          <w:w w:val="100"/>
          <w:sz w:val="21"/>
        </w:rPr>
        <w:t>i</w:t>
      </w:r>
      <w:r>
        <w:rPr>
          <w:spacing w:val="-2"/>
          <w:w w:val="100"/>
          <w:sz w:val="21"/>
        </w:rPr>
        <w:t>.</w:t>
      </w:r>
      <w:r>
        <w:rPr>
          <w:spacing w:val="-1"/>
          <w:w w:val="100"/>
          <w:sz w:val="21"/>
        </w:rPr>
        <w:t>e</w:t>
      </w:r>
      <w:r>
        <w:rPr>
          <w:w w:val="100"/>
          <w:sz w:val="21"/>
        </w:rPr>
        <w:t>.</w:t>
      </w:r>
      <w:r>
        <w:rPr>
          <w:sz w:val="21"/>
        </w:rPr>
        <w:t> </w:t>
      </w:r>
      <w:r>
        <w:rPr>
          <w:spacing w:val="-30"/>
          <w:sz w:val="21"/>
        </w:rPr>
        <w:t> </w:t>
      </w:r>
      <w:r>
        <w:rPr>
          <w:spacing w:val="-1"/>
          <w:w w:val="100"/>
          <w:sz w:val="21"/>
        </w:rPr>
        <w:t>pa</w:t>
      </w:r>
      <w:r>
        <w:rPr>
          <w:spacing w:val="-3"/>
          <w:w w:val="100"/>
          <w:sz w:val="21"/>
        </w:rPr>
        <w:t>y</w:t>
      </w:r>
      <w:r>
        <w:rPr>
          <w:spacing w:val="-1"/>
          <w:w w:val="100"/>
          <w:sz w:val="21"/>
        </w:rPr>
        <w:t>m</w:t>
      </w:r>
      <w:r>
        <w:rPr>
          <w:spacing w:val="-3"/>
          <w:w w:val="100"/>
          <w:sz w:val="21"/>
        </w:rPr>
        <w:t>e</w:t>
      </w:r>
      <w:r>
        <w:rPr>
          <w:spacing w:val="-1"/>
          <w:w w:val="100"/>
          <w:sz w:val="21"/>
        </w:rPr>
        <w:t>n</w:t>
      </w:r>
      <w:r>
        <w:rPr>
          <w:w w:val="100"/>
          <w:sz w:val="21"/>
        </w:rPr>
        <w:t>t</w:t>
      </w:r>
      <w:r>
        <w:rPr>
          <w:sz w:val="21"/>
        </w:rPr>
        <w:t> </w:t>
      </w:r>
      <w:r>
        <w:rPr>
          <w:spacing w:val="-30"/>
          <w:sz w:val="21"/>
        </w:rPr>
        <w:t> </w:t>
      </w:r>
      <w:r>
        <w:rPr>
          <w:spacing w:val="-1"/>
          <w:w w:val="100"/>
          <w:sz w:val="21"/>
        </w:rPr>
        <w:t>o</w:t>
      </w:r>
      <w:r>
        <w:rPr>
          <w:w w:val="100"/>
          <w:sz w:val="21"/>
        </w:rPr>
        <w:t>f</w:t>
      </w:r>
      <w:r>
        <w:rPr>
          <w:spacing w:val="29"/>
          <w:sz w:val="21"/>
        </w:rPr>
        <w:t> </w:t>
      </w:r>
      <w:r>
        <w:rPr>
          <w:w w:val="100"/>
          <w:sz w:val="21"/>
        </w:rPr>
        <w:t>l</w:t>
      </w:r>
      <w:r>
        <w:rPr>
          <w:spacing w:val="-3"/>
          <w:w w:val="100"/>
          <w:sz w:val="21"/>
        </w:rPr>
        <w:t>a</w:t>
      </w:r>
      <w:r>
        <w:rPr>
          <w:spacing w:val="-1"/>
          <w:w w:val="100"/>
          <w:sz w:val="21"/>
        </w:rPr>
        <w:t>nd </w:t>
      </w:r>
      <w:r>
        <w:rPr>
          <w:sz w:val="21"/>
        </w:rPr>
        <w:t>revenue, and no ownership is conferred on the basis of such entries. So far as title to the property is concerned, it can only be   decided   by   a   competent   civil   court   (vide Jattu Ram v. Hakam Singh [(1993) 4 SCC 403 : AIR 1994 SC 1653]).‖</w:t>
      </w:r>
    </w:p>
    <w:p>
      <w:pPr>
        <w:pStyle w:val="BodyText"/>
        <w:rPr>
          <w:sz w:val="24"/>
        </w:rPr>
      </w:pPr>
    </w:p>
    <w:p>
      <w:pPr>
        <w:pStyle w:val="BodyText"/>
        <w:rPr>
          <w:sz w:val="24"/>
        </w:rPr>
      </w:pPr>
    </w:p>
    <w:p>
      <w:pPr>
        <w:pStyle w:val="BodyText"/>
        <w:spacing w:before="10"/>
        <w:rPr>
          <w:sz w:val="26"/>
        </w:rPr>
      </w:pPr>
    </w:p>
    <w:p>
      <w:pPr>
        <w:pStyle w:val="ListParagraph"/>
        <w:numPr>
          <w:ilvl w:val="0"/>
          <w:numId w:val="235"/>
        </w:numPr>
        <w:tabs>
          <w:tab w:pos="1221" w:val="left" w:leader="none"/>
        </w:tabs>
        <w:spacing w:line="480" w:lineRule="auto" w:before="0" w:after="0"/>
        <w:ind w:left="500" w:right="437" w:firstLine="0"/>
        <w:jc w:val="both"/>
        <w:rPr>
          <w:sz w:val="25"/>
        </w:rPr>
      </w:pPr>
      <w:r>
        <w:rPr>
          <w:sz w:val="25"/>
        </w:rPr>
        <w:t>No documentary evidence has been brought on the record indicating the conferment of title in a form of the grant of the land underlying the mosque. The documentary evidence on which reliance has been placed essentially consists of grants which were made by the British Government for the upkeep and maintenance of the mosque. These grants are stated to be in continuation of those which have been made previously prior to the annexation of Oudh by the colonial government. The register Mafiat which bears government orders dated 13 March 1860 and 29 June 1860 has been noticed in the judgment of Justice Sudhir Agarwal as a document which is torn and the contents of which were not </w:t>
      </w:r>
      <w:r>
        <w:rPr>
          <w:spacing w:val="-1"/>
          <w:w w:val="99"/>
          <w:sz w:val="25"/>
        </w:rPr>
        <w:t>legi</w:t>
      </w:r>
      <w:r>
        <w:rPr>
          <w:w w:val="99"/>
          <w:sz w:val="25"/>
        </w:rPr>
        <w:t>b</w:t>
      </w:r>
      <w:r>
        <w:rPr>
          <w:spacing w:val="-1"/>
          <w:w w:val="99"/>
          <w:sz w:val="25"/>
        </w:rPr>
        <w:t>le</w:t>
      </w:r>
      <w:r>
        <w:rPr>
          <w:w w:val="99"/>
          <w:sz w:val="25"/>
        </w:rPr>
        <w:t>.</w:t>
      </w:r>
      <w:r>
        <w:rPr>
          <w:sz w:val="25"/>
        </w:rPr>
        <w:t> </w:t>
      </w:r>
      <w:r>
        <w:rPr>
          <w:spacing w:val="33"/>
          <w:sz w:val="25"/>
        </w:rPr>
        <w:t> </w:t>
      </w:r>
      <w:r>
        <w:rPr>
          <w:w w:val="99"/>
          <w:sz w:val="25"/>
        </w:rPr>
        <w:t>T</w:t>
      </w:r>
      <w:r>
        <w:rPr>
          <w:spacing w:val="-1"/>
          <w:w w:val="99"/>
          <w:sz w:val="25"/>
        </w:rPr>
        <w:t>h</w:t>
      </w:r>
      <w:r>
        <w:rPr>
          <w:w w:val="99"/>
          <w:sz w:val="25"/>
        </w:rPr>
        <w:t>e</w:t>
      </w:r>
      <w:r>
        <w:rPr>
          <w:spacing w:val="17"/>
          <w:sz w:val="25"/>
        </w:rPr>
        <w:t> </w:t>
      </w:r>
      <w:r>
        <w:rPr>
          <w:spacing w:val="-1"/>
          <w:w w:val="99"/>
          <w:sz w:val="25"/>
        </w:rPr>
        <w:t>g</w:t>
      </w:r>
      <w:r>
        <w:rPr>
          <w:w w:val="99"/>
          <w:sz w:val="25"/>
        </w:rPr>
        <w:t>r</w:t>
      </w:r>
      <w:r>
        <w:rPr>
          <w:spacing w:val="-1"/>
          <w:w w:val="99"/>
          <w:sz w:val="25"/>
        </w:rPr>
        <w:t>a</w:t>
      </w:r>
      <w:r>
        <w:rPr>
          <w:w w:val="99"/>
          <w:sz w:val="25"/>
        </w:rPr>
        <w:t>nt</w:t>
      </w:r>
      <w:r>
        <w:rPr>
          <w:spacing w:val="16"/>
          <w:sz w:val="25"/>
        </w:rPr>
        <w:t> </w:t>
      </w:r>
      <w:r>
        <w:rPr>
          <w:w w:val="99"/>
          <w:sz w:val="25"/>
        </w:rPr>
        <w:t>for</w:t>
      </w:r>
      <w:r>
        <w:rPr>
          <w:spacing w:val="15"/>
          <w:sz w:val="25"/>
        </w:rPr>
        <w:t> </w:t>
      </w:r>
      <w:r>
        <w:rPr>
          <w:w w:val="99"/>
          <w:sz w:val="25"/>
        </w:rPr>
        <w:t>the</w:t>
      </w:r>
      <w:r>
        <w:rPr>
          <w:spacing w:val="17"/>
          <w:sz w:val="25"/>
        </w:rPr>
        <w:t> </w:t>
      </w:r>
      <w:r>
        <w:rPr>
          <w:spacing w:val="-1"/>
          <w:w w:val="99"/>
          <w:sz w:val="25"/>
        </w:rPr>
        <w:t>u</w:t>
      </w:r>
      <w:r>
        <w:rPr>
          <w:w w:val="99"/>
          <w:sz w:val="25"/>
        </w:rPr>
        <w:t>pkeep</w:t>
      </w:r>
      <w:r>
        <w:rPr>
          <w:spacing w:val="17"/>
          <w:sz w:val="25"/>
        </w:rPr>
        <w:t> </w:t>
      </w:r>
      <w:r>
        <w:rPr>
          <w:spacing w:val="-1"/>
          <w:w w:val="99"/>
          <w:sz w:val="25"/>
        </w:rPr>
        <w:t>a</w:t>
      </w:r>
      <w:r>
        <w:rPr>
          <w:w w:val="99"/>
          <w:sz w:val="25"/>
        </w:rPr>
        <w:t>nd</w:t>
      </w:r>
      <w:r>
        <w:rPr>
          <w:spacing w:val="17"/>
          <w:sz w:val="25"/>
        </w:rPr>
        <w:t> </w:t>
      </w:r>
      <w:r>
        <w:rPr>
          <w:w w:val="99"/>
          <w:sz w:val="25"/>
        </w:rPr>
        <w:t>m</w:t>
      </w:r>
      <w:r>
        <w:rPr>
          <w:spacing w:val="-1"/>
          <w:w w:val="99"/>
          <w:sz w:val="25"/>
        </w:rPr>
        <w:t>ain</w:t>
      </w:r>
      <w:r>
        <w:rPr>
          <w:w w:val="99"/>
          <w:sz w:val="25"/>
        </w:rPr>
        <w:t>t</w:t>
      </w:r>
      <w:r>
        <w:rPr>
          <w:spacing w:val="-1"/>
          <w:w w:val="99"/>
          <w:sz w:val="25"/>
        </w:rPr>
        <w:t>e</w:t>
      </w:r>
      <w:r>
        <w:rPr>
          <w:w w:val="99"/>
          <w:sz w:val="25"/>
        </w:rPr>
        <w:t>n</w:t>
      </w:r>
      <w:r>
        <w:rPr>
          <w:spacing w:val="-1"/>
          <w:w w:val="99"/>
          <w:sz w:val="25"/>
        </w:rPr>
        <w:t>a</w:t>
      </w:r>
      <w:r>
        <w:rPr>
          <w:w w:val="99"/>
          <w:sz w:val="25"/>
        </w:rPr>
        <w:t>nce</w:t>
      </w:r>
      <w:r>
        <w:rPr>
          <w:spacing w:val="17"/>
          <w:sz w:val="25"/>
        </w:rPr>
        <w:t> </w:t>
      </w:r>
      <w:r>
        <w:rPr>
          <w:spacing w:val="-1"/>
          <w:w w:val="99"/>
          <w:sz w:val="25"/>
        </w:rPr>
        <w:t>o</w:t>
      </w:r>
      <w:r>
        <w:rPr>
          <w:w w:val="99"/>
          <w:sz w:val="25"/>
        </w:rPr>
        <w:t>f</w:t>
      </w:r>
      <w:r>
        <w:rPr>
          <w:spacing w:val="17"/>
          <w:sz w:val="25"/>
        </w:rPr>
        <w:t> </w:t>
      </w:r>
      <w:r>
        <w:rPr>
          <w:w w:val="99"/>
          <w:sz w:val="25"/>
        </w:rPr>
        <w:t>the</w:t>
      </w:r>
      <w:r>
        <w:rPr>
          <w:spacing w:val="17"/>
          <w:sz w:val="25"/>
        </w:rPr>
        <w:t> </w:t>
      </w:r>
      <w:r>
        <w:rPr>
          <w:w w:val="99"/>
          <w:sz w:val="25"/>
        </w:rPr>
        <w:t>m</w:t>
      </w:r>
      <w:r>
        <w:rPr>
          <w:spacing w:val="-1"/>
          <w:w w:val="99"/>
          <w:sz w:val="25"/>
        </w:rPr>
        <w:t>os</w:t>
      </w:r>
      <w:r>
        <w:rPr>
          <w:w w:val="99"/>
          <w:sz w:val="25"/>
        </w:rPr>
        <w:t>q</w:t>
      </w:r>
      <w:r>
        <w:rPr>
          <w:spacing w:val="-1"/>
          <w:w w:val="99"/>
          <w:sz w:val="25"/>
        </w:rPr>
        <w:t>u</w:t>
      </w:r>
      <w:r>
        <w:rPr>
          <w:w w:val="99"/>
          <w:sz w:val="25"/>
        </w:rPr>
        <w:t>e</w:t>
      </w:r>
      <w:r>
        <w:rPr>
          <w:spacing w:val="17"/>
          <w:sz w:val="25"/>
        </w:rPr>
        <w:t> </w:t>
      </w:r>
      <w:r>
        <w:rPr>
          <w:spacing w:val="-1"/>
          <w:w w:val="99"/>
          <w:sz w:val="25"/>
        </w:rPr>
        <w:t>wa</w:t>
      </w:r>
      <w:r>
        <w:rPr>
          <w:w w:val="99"/>
          <w:sz w:val="25"/>
        </w:rPr>
        <w:t>s</w:t>
      </w:r>
      <w:r>
        <w:rPr>
          <w:spacing w:val="16"/>
          <w:sz w:val="25"/>
        </w:rPr>
        <w:t> </w:t>
      </w:r>
      <w:r>
        <w:rPr>
          <w:w w:val="33"/>
          <w:sz w:val="25"/>
        </w:rPr>
        <w:t>―</w:t>
      </w:r>
      <w:r>
        <w:rPr>
          <w:w w:val="99"/>
          <w:sz w:val="25"/>
        </w:rPr>
        <w:t>so</w:t>
      </w:r>
      <w:r>
        <w:rPr>
          <w:spacing w:val="17"/>
          <w:sz w:val="25"/>
        </w:rPr>
        <w:t> </w:t>
      </w:r>
      <w:r>
        <w:rPr>
          <w:spacing w:val="-1"/>
          <w:w w:val="99"/>
          <w:sz w:val="25"/>
        </w:rPr>
        <w:t>long</w:t>
      </w:r>
    </w:p>
    <w:p>
      <w:pPr>
        <w:pStyle w:val="BodyText"/>
        <w:rPr>
          <w:sz w:val="20"/>
        </w:rPr>
      </w:pPr>
    </w:p>
    <w:p>
      <w:pPr>
        <w:pStyle w:val="BodyText"/>
        <w:spacing w:before="9"/>
        <w:rPr>
          <w:sz w:val="12"/>
        </w:rPr>
      </w:pPr>
      <w:r>
        <w:rPr/>
        <w:pict>
          <v:rect style="position:absolute;margin-left:72.024002pt;margin-top:9.330794pt;width:144.020pt;height:.599980pt;mso-position-horizontal-relative:page;mso-position-vertical-relative:paragraph;z-index:-15611392;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396</w:t>
      </w:r>
      <w:r>
        <w:rPr>
          <w:sz w:val="18"/>
          <w:vertAlign w:val="baseline"/>
        </w:rPr>
        <w:t> (1993) 4 SCC</w:t>
      </w:r>
      <w:r>
        <w:rPr>
          <w:spacing w:val="-11"/>
          <w:sz w:val="18"/>
          <w:vertAlign w:val="baseline"/>
        </w:rPr>
        <w:t> </w:t>
      </w:r>
      <w:r>
        <w:rPr>
          <w:sz w:val="18"/>
          <w:vertAlign w:val="baseline"/>
        </w:rPr>
        <w:t>403</w:t>
      </w:r>
    </w:p>
    <w:p>
      <w:pPr>
        <w:spacing w:before="2"/>
        <w:ind w:left="500" w:right="0" w:firstLine="0"/>
        <w:jc w:val="left"/>
        <w:rPr>
          <w:sz w:val="18"/>
        </w:rPr>
      </w:pPr>
      <w:r>
        <w:rPr>
          <w:sz w:val="18"/>
          <w:vertAlign w:val="superscript"/>
        </w:rPr>
        <w:t>397</w:t>
      </w:r>
      <w:r>
        <w:rPr>
          <w:sz w:val="18"/>
          <w:vertAlign w:val="baseline"/>
        </w:rPr>
        <w:t> (2007) 6 SCC</w:t>
      </w:r>
      <w:r>
        <w:rPr>
          <w:spacing w:val="-11"/>
          <w:sz w:val="18"/>
          <w:vertAlign w:val="baseline"/>
        </w:rPr>
        <w:t> </w:t>
      </w:r>
      <w:r>
        <w:rPr>
          <w:sz w:val="18"/>
          <w:vertAlign w:val="baseline"/>
        </w:rPr>
        <w:t>186</w:t>
      </w:r>
    </w:p>
    <w:p>
      <w:pPr>
        <w:spacing w:after="0"/>
        <w:jc w:val="left"/>
        <w:rPr>
          <w:sz w:val="18"/>
        </w:rPr>
        <w:sectPr>
          <w:pgSz w:w="11910" w:h="16840"/>
          <w:pgMar w:header="721" w:footer="1014" w:top="1300" w:bottom="1200" w:left="940" w:right="1000"/>
        </w:sectPr>
      </w:pPr>
    </w:p>
    <w:p>
      <w:pPr>
        <w:pStyle w:val="BodyText"/>
        <w:spacing w:line="480" w:lineRule="auto" w:before="124"/>
        <w:ind w:left="500" w:right="434"/>
        <w:jc w:val="both"/>
      </w:pPr>
      <w:r>
        <w:rPr/>
        <w:t>the masjid is kept up and the Mohammedans conduct themselves properly.‖ This document even if it is accepted as authentic indicates a grant for specific purposes and does not confer the title to the disputed land. The register of enquiry dated 14 March 1860 contains certain details of a rent-free grant and is </w:t>
      </w:r>
      <w:r>
        <w:rPr>
          <w:w w:val="99"/>
        </w:rPr>
        <w:t>stat</w:t>
      </w:r>
      <w:r>
        <w:rPr>
          <w:spacing w:val="-1"/>
          <w:w w:val="99"/>
        </w:rPr>
        <w:t>e</w:t>
      </w:r>
      <w:r>
        <w:rPr>
          <w:w w:val="99"/>
        </w:rPr>
        <w:t>d</w:t>
      </w:r>
      <w:r>
        <w:rPr>
          <w:spacing w:val="29"/>
        </w:rPr>
        <w:t> </w:t>
      </w:r>
      <w:r>
        <w:rPr>
          <w:w w:val="99"/>
        </w:rPr>
        <w:t>to</w:t>
      </w:r>
      <w:r>
        <w:rPr>
          <w:spacing w:val="29"/>
        </w:rPr>
        <w:t> </w:t>
      </w:r>
      <w:r>
        <w:rPr>
          <w:spacing w:val="-1"/>
          <w:w w:val="99"/>
        </w:rPr>
        <w:t>b</w:t>
      </w:r>
      <w:r>
        <w:rPr>
          <w:w w:val="99"/>
        </w:rPr>
        <w:t>e</w:t>
      </w:r>
      <w:r>
        <w:rPr>
          <w:spacing w:val="26"/>
        </w:rPr>
        <w:t> </w:t>
      </w:r>
      <w:r>
        <w:rPr>
          <w:w w:val="33"/>
        </w:rPr>
        <w:t>―</w:t>
      </w:r>
      <w:r>
        <w:rPr>
          <w:spacing w:val="-1"/>
          <w:w w:val="99"/>
        </w:rPr>
        <w:t>b</w:t>
      </w:r>
      <w:r>
        <w:rPr>
          <w:w w:val="99"/>
        </w:rPr>
        <w:t>ased</w:t>
      </w:r>
      <w:r>
        <w:rPr>
          <w:spacing w:val="26"/>
        </w:rPr>
        <w:t> </w:t>
      </w:r>
      <w:r>
        <w:rPr>
          <w:spacing w:val="-1"/>
          <w:w w:val="99"/>
        </w:rPr>
        <w:t>o</w:t>
      </w:r>
      <w:r>
        <w:rPr>
          <w:w w:val="99"/>
        </w:rPr>
        <w:t>n</w:t>
      </w:r>
      <w:r>
        <w:rPr>
          <w:spacing w:val="29"/>
        </w:rPr>
        <w:t> </w:t>
      </w:r>
      <w:r>
        <w:rPr>
          <w:w w:val="99"/>
        </w:rPr>
        <w:t>test</w:t>
      </w:r>
      <w:r>
        <w:rPr>
          <w:spacing w:val="-1"/>
          <w:w w:val="99"/>
        </w:rPr>
        <w:t>im</w:t>
      </w:r>
      <w:r>
        <w:rPr>
          <w:w w:val="99"/>
        </w:rPr>
        <w:t>o</w:t>
      </w:r>
      <w:r>
        <w:rPr>
          <w:spacing w:val="-1"/>
          <w:w w:val="96"/>
        </w:rPr>
        <w:t>nies</w:t>
      </w:r>
      <w:r>
        <w:rPr>
          <w:spacing w:val="1"/>
          <w:w w:val="96"/>
        </w:rPr>
        <w:t>‖</w:t>
      </w:r>
      <w:r>
        <w:rPr>
          <w:w w:val="99"/>
        </w:rPr>
        <w:t>.</w:t>
      </w:r>
      <w:r>
        <w:rPr>
          <w:spacing w:val="28"/>
        </w:rPr>
        <w:t> </w:t>
      </w:r>
      <w:r>
        <w:rPr>
          <w:spacing w:val="-1"/>
          <w:w w:val="99"/>
        </w:rPr>
        <w:t>Ho</w:t>
      </w:r>
      <w:r>
        <w:rPr>
          <w:spacing w:val="-3"/>
          <w:w w:val="99"/>
        </w:rPr>
        <w:t>w</w:t>
      </w:r>
      <w:r>
        <w:rPr>
          <w:spacing w:val="-1"/>
          <w:w w:val="99"/>
        </w:rPr>
        <w:t>e</w:t>
      </w:r>
      <w:r>
        <w:rPr>
          <w:spacing w:val="-3"/>
          <w:w w:val="99"/>
        </w:rPr>
        <w:t>v</w:t>
      </w:r>
      <w:r>
        <w:rPr>
          <w:spacing w:val="-1"/>
          <w:w w:val="99"/>
        </w:rPr>
        <w:t>e</w:t>
      </w:r>
      <w:r>
        <w:rPr>
          <w:w w:val="99"/>
        </w:rPr>
        <w:t>r,</w:t>
      </w:r>
      <w:r>
        <w:rPr>
          <w:spacing w:val="28"/>
        </w:rPr>
        <w:t> </w:t>
      </w:r>
      <w:r>
        <w:rPr>
          <w:spacing w:val="-1"/>
          <w:w w:val="99"/>
        </w:rPr>
        <w:t>i</w:t>
      </w:r>
      <w:r>
        <w:rPr>
          <w:w w:val="99"/>
        </w:rPr>
        <w:t>t</w:t>
      </w:r>
      <w:r>
        <w:rPr>
          <w:spacing w:val="28"/>
        </w:rPr>
        <w:t> </w:t>
      </w:r>
      <w:r>
        <w:rPr>
          <w:w w:val="99"/>
        </w:rPr>
        <w:t>sho</w:t>
      </w:r>
      <w:r>
        <w:rPr>
          <w:spacing w:val="-1"/>
          <w:w w:val="99"/>
        </w:rPr>
        <w:t>w</w:t>
      </w:r>
      <w:r>
        <w:rPr>
          <w:w w:val="99"/>
        </w:rPr>
        <w:t>s</w:t>
      </w:r>
      <w:r>
        <w:rPr>
          <w:spacing w:val="28"/>
        </w:rPr>
        <w:t> </w:t>
      </w:r>
      <w:r>
        <w:rPr>
          <w:w w:val="99"/>
        </w:rPr>
        <w:t>that</w:t>
      </w:r>
      <w:r>
        <w:rPr>
          <w:spacing w:val="28"/>
        </w:rPr>
        <w:t> </w:t>
      </w:r>
      <w:r>
        <w:rPr>
          <w:w w:val="33"/>
        </w:rPr>
        <w:t>―</w:t>
      </w:r>
      <w:r>
        <w:rPr>
          <w:spacing w:val="-3"/>
          <w:w w:val="99"/>
        </w:rPr>
        <w:t>t</w:t>
      </w:r>
      <w:r>
        <w:rPr>
          <w:spacing w:val="-1"/>
          <w:w w:val="99"/>
        </w:rPr>
        <w:t>h</w:t>
      </w:r>
      <w:r>
        <w:rPr>
          <w:w w:val="99"/>
        </w:rPr>
        <w:t>e</w:t>
      </w:r>
      <w:r>
        <w:rPr>
          <w:spacing w:val="29"/>
        </w:rPr>
        <w:t> </w:t>
      </w:r>
      <w:r>
        <w:rPr>
          <w:spacing w:val="-3"/>
          <w:w w:val="99"/>
        </w:rPr>
        <w:t>y</w:t>
      </w:r>
      <w:r>
        <w:rPr>
          <w:spacing w:val="-1"/>
          <w:w w:val="99"/>
        </w:rPr>
        <w:t>e</w:t>
      </w:r>
      <w:r>
        <w:rPr>
          <w:w w:val="99"/>
        </w:rPr>
        <w:t>ar</w:t>
      </w:r>
      <w:r>
        <w:rPr>
          <w:spacing w:val="29"/>
        </w:rPr>
        <w:t> </w:t>
      </w:r>
      <w:r>
        <w:rPr>
          <w:spacing w:val="-1"/>
          <w:w w:val="99"/>
        </w:rPr>
        <w:t>a</w:t>
      </w:r>
      <w:r>
        <w:rPr>
          <w:w w:val="99"/>
        </w:rPr>
        <w:t>nd</w:t>
      </w:r>
      <w:r>
        <w:rPr>
          <w:spacing w:val="29"/>
        </w:rPr>
        <w:t> </w:t>
      </w:r>
      <w:r>
        <w:rPr>
          <w:spacing w:val="-1"/>
          <w:w w:val="99"/>
        </w:rPr>
        <w:t>d</w:t>
      </w:r>
      <w:r>
        <w:rPr>
          <w:w w:val="99"/>
        </w:rPr>
        <w:t>ate </w:t>
      </w:r>
      <w:r>
        <w:rPr>
          <w:spacing w:val="-1"/>
          <w:w w:val="99"/>
        </w:rPr>
        <w:t>a</w:t>
      </w:r>
      <w:r>
        <w:rPr>
          <w:w w:val="99"/>
        </w:rPr>
        <w:t>re</w:t>
      </w:r>
      <w:r>
        <w:rPr>
          <w:spacing w:val="17"/>
        </w:rPr>
        <w:t> </w:t>
      </w:r>
      <w:r>
        <w:rPr>
          <w:spacing w:val="-1"/>
          <w:w w:val="99"/>
        </w:rPr>
        <w:t>n</w:t>
      </w:r>
      <w:r>
        <w:rPr>
          <w:w w:val="99"/>
        </w:rPr>
        <w:t>ot</w:t>
      </w:r>
      <w:r>
        <w:rPr>
          <w:spacing w:val="16"/>
        </w:rPr>
        <w:t> </w:t>
      </w:r>
      <w:r>
        <w:rPr>
          <w:w w:val="99"/>
        </w:rPr>
        <w:t>k</w:t>
      </w:r>
      <w:r>
        <w:rPr>
          <w:spacing w:val="-2"/>
          <w:w w:val="99"/>
        </w:rPr>
        <w:t>n</w:t>
      </w:r>
      <w:r>
        <w:rPr>
          <w:spacing w:val="-1"/>
          <w:w w:val="96"/>
        </w:rPr>
        <w:t>own</w:t>
      </w:r>
      <w:r>
        <w:rPr>
          <w:spacing w:val="1"/>
          <w:w w:val="96"/>
        </w:rPr>
        <w:t>‖</w:t>
      </w:r>
      <w:r>
        <w:rPr>
          <w:w w:val="99"/>
        </w:rPr>
        <w:t>.</w:t>
      </w:r>
      <w:r>
        <w:rPr>
          <w:spacing w:val="16"/>
        </w:rPr>
        <w:t> </w:t>
      </w:r>
      <w:r>
        <w:rPr>
          <w:spacing w:val="-1"/>
          <w:w w:val="99"/>
        </w:rPr>
        <w:t>A</w:t>
      </w:r>
      <w:r>
        <w:rPr>
          <w:w w:val="99"/>
        </w:rPr>
        <w:t>s</w:t>
      </w:r>
      <w:r>
        <w:rPr>
          <w:spacing w:val="16"/>
        </w:rPr>
        <w:t> </w:t>
      </w:r>
      <w:r>
        <w:rPr>
          <w:w w:val="99"/>
        </w:rPr>
        <w:t>r</w:t>
      </w:r>
      <w:r>
        <w:rPr>
          <w:spacing w:val="-3"/>
          <w:w w:val="99"/>
        </w:rPr>
        <w:t>e</w:t>
      </w:r>
      <w:r>
        <w:rPr>
          <w:spacing w:val="-1"/>
          <w:w w:val="99"/>
        </w:rPr>
        <w:t>g</w:t>
      </w:r>
      <w:r>
        <w:rPr>
          <w:w w:val="99"/>
        </w:rPr>
        <w:t>ar</w:t>
      </w:r>
      <w:r>
        <w:rPr>
          <w:spacing w:val="-1"/>
          <w:w w:val="99"/>
        </w:rPr>
        <w:t>d</w:t>
      </w:r>
      <w:r>
        <w:rPr>
          <w:w w:val="99"/>
        </w:rPr>
        <w:t>s</w:t>
      </w:r>
      <w:r>
        <w:rPr>
          <w:spacing w:val="17"/>
        </w:rPr>
        <w:t> </w:t>
      </w:r>
      <w:r>
        <w:rPr>
          <w:w w:val="99"/>
        </w:rPr>
        <w:t>the</w:t>
      </w:r>
      <w:r>
        <w:rPr>
          <w:spacing w:val="15"/>
        </w:rPr>
        <w:t> </w:t>
      </w:r>
      <w:r>
        <w:rPr>
          <w:spacing w:val="-1"/>
          <w:w w:val="99"/>
        </w:rPr>
        <w:t>d</w:t>
      </w:r>
      <w:r>
        <w:rPr>
          <w:w w:val="99"/>
        </w:rPr>
        <w:t>ate</w:t>
      </w:r>
      <w:r>
        <w:rPr>
          <w:spacing w:val="17"/>
        </w:rPr>
        <w:t> </w:t>
      </w:r>
      <w:r>
        <w:rPr>
          <w:spacing w:val="-1"/>
          <w:w w:val="99"/>
        </w:rPr>
        <w:t>o</w:t>
      </w:r>
      <w:r>
        <w:rPr>
          <w:w w:val="99"/>
        </w:rPr>
        <w:t>f</w:t>
      </w:r>
      <w:r>
        <w:rPr>
          <w:spacing w:val="14"/>
        </w:rPr>
        <w:t> </w:t>
      </w:r>
      <w:r>
        <w:rPr>
          <w:w w:val="99"/>
        </w:rPr>
        <w:t>the</w:t>
      </w:r>
      <w:r>
        <w:rPr>
          <w:spacing w:val="15"/>
        </w:rPr>
        <w:t> </w:t>
      </w:r>
      <w:r>
        <w:rPr>
          <w:spacing w:val="-1"/>
          <w:w w:val="99"/>
        </w:rPr>
        <w:t>g</w:t>
      </w:r>
      <w:r>
        <w:rPr>
          <w:w w:val="99"/>
        </w:rPr>
        <w:t>r</w:t>
      </w:r>
      <w:r>
        <w:rPr>
          <w:spacing w:val="-1"/>
          <w:w w:val="99"/>
        </w:rPr>
        <w:t>a</w:t>
      </w:r>
      <w:r>
        <w:rPr>
          <w:w w:val="99"/>
        </w:rPr>
        <w:t>nt,</w:t>
      </w:r>
      <w:r>
        <w:rPr>
          <w:spacing w:val="17"/>
        </w:rPr>
        <w:t> </w:t>
      </w:r>
      <w:r>
        <w:rPr>
          <w:spacing w:val="-1"/>
          <w:w w:val="99"/>
        </w:rPr>
        <w:t>i</w:t>
      </w:r>
      <w:r>
        <w:rPr>
          <w:w w:val="99"/>
        </w:rPr>
        <w:t>t</w:t>
      </w:r>
      <w:r>
        <w:rPr>
          <w:spacing w:val="16"/>
        </w:rPr>
        <w:t> </w:t>
      </w:r>
      <w:r>
        <w:rPr>
          <w:spacing w:val="-3"/>
          <w:w w:val="99"/>
        </w:rPr>
        <w:t>h</w:t>
      </w:r>
      <w:r>
        <w:rPr>
          <w:spacing w:val="-1"/>
          <w:w w:val="99"/>
        </w:rPr>
        <w:t>a</w:t>
      </w:r>
      <w:r>
        <w:rPr>
          <w:w w:val="99"/>
        </w:rPr>
        <w:t>s</w:t>
      </w:r>
      <w:r>
        <w:rPr>
          <w:spacing w:val="17"/>
        </w:rPr>
        <w:t> </w:t>
      </w:r>
      <w:r>
        <w:rPr>
          <w:spacing w:val="-1"/>
          <w:w w:val="99"/>
        </w:rPr>
        <w:t>b</w:t>
      </w:r>
      <w:r>
        <w:rPr>
          <w:w w:val="99"/>
        </w:rPr>
        <w:t>e</w:t>
      </w:r>
      <w:r>
        <w:rPr>
          <w:spacing w:val="-1"/>
          <w:w w:val="99"/>
        </w:rPr>
        <w:t>e</w:t>
      </w:r>
      <w:r>
        <w:rPr>
          <w:w w:val="99"/>
        </w:rPr>
        <w:t>n</w:t>
      </w:r>
      <w:r>
        <w:rPr>
          <w:spacing w:val="15"/>
        </w:rPr>
        <w:t> </w:t>
      </w:r>
      <w:r>
        <w:rPr>
          <w:w w:val="99"/>
        </w:rPr>
        <w:t>st</w:t>
      </w:r>
      <w:r>
        <w:rPr>
          <w:spacing w:val="-2"/>
          <w:w w:val="99"/>
        </w:rPr>
        <w:t>a</w:t>
      </w:r>
      <w:r>
        <w:rPr>
          <w:w w:val="99"/>
        </w:rPr>
        <w:t>ted</w:t>
      </w:r>
      <w:r>
        <w:rPr>
          <w:spacing w:val="17"/>
        </w:rPr>
        <w:t> </w:t>
      </w:r>
      <w:r>
        <w:rPr>
          <w:w w:val="99"/>
        </w:rPr>
        <w:t>to</w:t>
      </w:r>
      <w:r>
        <w:rPr>
          <w:spacing w:val="17"/>
        </w:rPr>
        <w:t> </w:t>
      </w:r>
      <w:r>
        <w:rPr>
          <w:spacing w:val="-1"/>
          <w:w w:val="99"/>
        </w:rPr>
        <w:t>b</w:t>
      </w:r>
      <w:r>
        <w:rPr>
          <w:w w:val="99"/>
        </w:rPr>
        <w:t>e</w:t>
      </w:r>
      <w:r>
        <w:rPr>
          <w:spacing w:val="15"/>
        </w:rPr>
        <w:t> </w:t>
      </w:r>
      <w:r>
        <w:rPr>
          <w:spacing w:val="-1"/>
          <w:w w:val="99"/>
        </w:rPr>
        <w:t>o</w:t>
      </w:r>
      <w:r>
        <w:rPr>
          <w:w w:val="99"/>
        </w:rPr>
        <w:t>f</w:t>
      </w:r>
      <w:r>
        <w:rPr>
          <w:spacing w:val="14"/>
        </w:rPr>
        <w:t> </w:t>
      </w:r>
      <w:r>
        <w:rPr>
          <w:w w:val="33"/>
        </w:rPr>
        <w:t>―</w:t>
      </w:r>
      <w:r>
        <w:rPr>
          <w:spacing w:val="-1"/>
          <w:w w:val="99"/>
        </w:rPr>
        <w:t>no </w:t>
      </w:r>
      <w:r>
        <w:rPr/>
        <w:t>knowledge‖. There is a reference in the register to an enquiry into the rent-free land (which) began in the year 1264 Fasli when riots broke out. The reference to 1264 Fasli corresponds to 1856-7 A.D. While the name of the donor is stated to be Babur, this account is based on testimony. Register no. 6(e) – conditional exemption dated 29 June 1860-only indicates the names of individuals who were holding the rent-free</w:t>
      </w:r>
      <w:r>
        <w:rPr>
          <w:spacing w:val="-2"/>
        </w:rPr>
        <w:t> </w:t>
      </w:r>
      <w:r>
        <w:rPr/>
        <w:t>lands.</w:t>
      </w:r>
    </w:p>
    <w:p>
      <w:pPr>
        <w:pStyle w:val="BodyText"/>
        <w:spacing w:before="10"/>
        <w:rPr>
          <w:sz w:val="38"/>
        </w:rPr>
      </w:pPr>
    </w:p>
    <w:p>
      <w:pPr>
        <w:pStyle w:val="ListParagraph"/>
        <w:numPr>
          <w:ilvl w:val="0"/>
          <w:numId w:val="235"/>
        </w:numPr>
        <w:tabs>
          <w:tab w:pos="1221" w:val="left" w:leader="none"/>
        </w:tabs>
        <w:spacing w:line="480" w:lineRule="auto" w:before="1" w:after="0"/>
        <w:ind w:left="500" w:right="434" w:firstLine="0"/>
        <w:jc w:val="both"/>
        <w:rPr>
          <w:sz w:val="25"/>
        </w:rPr>
      </w:pPr>
      <w:r>
        <w:rPr>
          <w:sz w:val="25"/>
        </w:rPr>
        <w:t>The next stage in the documentary evidence relates to the conversion of the cash grant into the grant of revenue free land. As noted earlier, there is a serious problem in regard to the lineage and this Court cannot proceed on the basis of a claim made in the fourth generation with an unexplained break in the intervening period of nearly 325 years. There is nothing to indicate that there was any investigation into the correctness of the claim. Eventually, the cash payment of Rs. 302.3.6 was commuted by the grant of lands in two villages in lieu of the erstwhile payment. This is evidenced by the letter dated 25 August 1863 of </w:t>
      </w:r>
      <w:r>
        <w:rPr>
          <w:spacing w:val="3"/>
          <w:sz w:val="25"/>
        </w:rPr>
        <w:t>the </w:t>
      </w:r>
      <w:r>
        <w:rPr>
          <w:sz w:val="25"/>
        </w:rPr>
        <w:t>Chief Commissioner Oudh to the Commissioner Faizabad Division and the order dated 31 August 1863 of the Deputy Commissioner. The grant of 1870 states that the cash nankar was being maintained so long as the assignee surrenders all</w:t>
      </w:r>
      <w:r>
        <w:rPr>
          <w:spacing w:val="41"/>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4"/>
        <w:jc w:val="both"/>
      </w:pPr>
      <w:r>
        <w:rPr/>
        <w:t>previous sanads, titled deeds, and other documents relevant to the grant in question.</w:t>
      </w:r>
    </w:p>
    <w:p>
      <w:pPr>
        <w:pStyle w:val="BodyText"/>
        <w:spacing w:before="11"/>
        <w:rPr>
          <w:sz w:val="38"/>
        </w:rPr>
      </w:pPr>
    </w:p>
    <w:p>
      <w:pPr>
        <w:pStyle w:val="BodyText"/>
        <w:spacing w:line="480" w:lineRule="auto"/>
        <w:ind w:left="500" w:right="446"/>
        <w:jc w:val="both"/>
      </w:pPr>
      <w:r>
        <w:rPr/>
        <w:t>The Nakal Khasra Abadi of 1931 indicates that Arazi number 583 is Nazul land. While it makes a reference to the Masjid Pokhta Waqf Ahde Shahi, it also adverts to the Chabutra which is prominently known as the Janmabhumi.</w:t>
      </w:r>
    </w:p>
    <w:p>
      <w:pPr>
        <w:pStyle w:val="BodyText"/>
        <w:spacing w:before="11"/>
        <w:rPr>
          <w:sz w:val="24"/>
        </w:rPr>
      </w:pPr>
    </w:p>
    <w:p>
      <w:pPr>
        <w:pStyle w:val="ListParagraph"/>
        <w:numPr>
          <w:ilvl w:val="0"/>
          <w:numId w:val="235"/>
        </w:numPr>
        <w:tabs>
          <w:tab w:pos="1221" w:val="left" w:leader="none"/>
        </w:tabs>
        <w:spacing w:line="480" w:lineRule="auto" w:before="0" w:after="0"/>
        <w:ind w:left="500" w:right="433" w:firstLine="0"/>
        <w:jc w:val="both"/>
        <w:rPr>
          <w:sz w:val="25"/>
        </w:rPr>
      </w:pPr>
      <w:r>
        <w:rPr>
          <w:sz w:val="25"/>
        </w:rPr>
        <w:t>The documentary evidence indicates that the riots of 1856-7 led to the colonial government erecting a wall with railings to bifurcate the areas of worship: the Muslims within the inner courtyard and the Hindus in the outer courtyard. Evidently, prior to the setting up of the railing, there was no such clear-cut demarcation and the Hindus and Muslims had offered worship within the structure. The setting up and offering worship at the the Chabutra immediately outside the railing and in close proximity to it is an indicator that the Hindus asserted their right to worship at what they believed is the birth-place of Lord Ram. The setting up of the Chabutra is proximate both in terms of distance and time. In terms of time, the establishment of the Chabutra is an event which was an immediate consequence of the setting up of the railing to bifurcate a contiguous and consolidated area into the inner courtyard and outer courtyard. Prior to the railing being erected there was no restriction on access for the Hindus to offer worship inside the domed structure. The documentary evidence also shows that the setting up of the railing did not as a matter of fact result in an absolute division of the inner and outer courtyards as separate and identified places of worship for the two communities. Soon after the incident of November 1858 in which the Nihang Singh is alleged to have organised a hawan puja and</w:t>
      </w:r>
      <w:r>
        <w:rPr>
          <w:spacing w:val="-19"/>
          <w:sz w:val="25"/>
        </w:rPr>
        <w:t> </w:t>
      </w:r>
      <w:r>
        <w:rPr>
          <w:sz w:val="25"/>
        </w:rPr>
        <w:t>to</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spacing w:val="-1"/>
          <w:w w:val="99"/>
        </w:rPr>
        <w:t>h</w:t>
      </w:r>
      <w:r>
        <w:rPr>
          <w:w w:val="99"/>
        </w:rPr>
        <w:t>a</w:t>
      </w:r>
      <w:r>
        <w:rPr>
          <w:spacing w:val="-3"/>
          <w:w w:val="99"/>
        </w:rPr>
        <w:t>v</w:t>
      </w:r>
      <w:r>
        <w:rPr>
          <w:w w:val="99"/>
        </w:rPr>
        <w:t>e</w:t>
      </w:r>
      <w:r>
        <w:rPr>
          <w:spacing w:val="2"/>
        </w:rPr>
        <w:t> </w:t>
      </w:r>
      <w:r>
        <w:rPr>
          <w:spacing w:val="-1"/>
          <w:w w:val="99"/>
        </w:rPr>
        <w:t>e</w:t>
      </w:r>
      <w:r>
        <w:rPr>
          <w:w w:val="99"/>
        </w:rPr>
        <w:t>r</w:t>
      </w:r>
      <w:r>
        <w:rPr>
          <w:spacing w:val="-1"/>
          <w:w w:val="99"/>
        </w:rPr>
        <w:t>ect</w:t>
      </w:r>
      <w:r>
        <w:rPr>
          <w:w w:val="99"/>
        </w:rPr>
        <w:t>ed</w:t>
      </w:r>
      <w:r>
        <w:rPr>
          <w:spacing w:val="2"/>
        </w:rPr>
        <w:t> </w:t>
      </w:r>
      <w:r>
        <w:rPr>
          <w:w w:val="99"/>
        </w:rPr>
        <w:t>a</w:t>
      </w:r>
      <w:r>
        <w:rPr>
          <w:spacing w:val="4"/>
        </w:rPr>
        <w:t> </w:t>
      </w:r>
      <w:r>
        <w:rPr>
          <w:spacing w:val="2"/>
          <w:w w:val="99"/>
        </w:rPr>
        <w:t>s</w:t>
      </w:r>
      <w:r>
        <w:rPr>
          <w:spacing w:val="-3"/>
          <w:w w:val="99"/>
        </w:rPr>
        <w:t>y</w:t>
      </w:r>
      <w:r>
        <w:rPr>
          <w:w w:val="99"/>
        </w:rPr>
        <w:t>m</w:t>
      </w:r>
      <w:r>
        <w:rPr>
          <w:spacing w:val="-1"/>
          <w:w w:val="99"/>
        </w:rPr>
        <w:t>b</w:t>
      </w:r>
      <w:r>
        <w:rPr>
          <w:w w:val="99"/>
        </w:rPr>
        <w:t>ol</w:t>
      </w:r>
      <w:r>
        <w:rPr>
          <w:spacing w:val="2"/>
        </w:rPr>
        <w:t> </w:t>
      </w:r>
      <w:r>
        <w:rPr>
          <w:spacing w:val="-1"/>
          <w:w w:val="99"/>
        </w:rPr>
        <w:t>o</w:t>
      </w:r>
      <w:r>
        <w:rPr>
          <w:w w:val="99"/>
        </w:rPr>
        <w:t>f</w:t>
      </w:r>
      <w:r>
        <w:rPr>
          <w:spacing w:val="2"/>
        </w:rPr>
        <w:t> </w:t>
      </w:r>
      <w:r>
        <w:rPr>
          <w:w w:val="33"/>
        </w:rPr>
        <w:t>―</w:t>
      </w:r>
      <w:r>
        <w:rPr>
          <w:spacing w:val="-1"/>
          <w:w w:val="99"/>
        </w:rPr>
        <w:t>S</w:t>
      </w:r>
      <w:r>
        <w:rPr>
          <w:w w:val="99"/>
        </w:rPr>
        <w:t>ri</w:t>
      </w:r>
      <w:r>
        <w:rPr>
          <w:spacing w:val="4"/>
        </w:rPr>
        <w:t> </w:t>
      </w:r>
      <w:r>
        <w:rPr>
          <w:spacing w:val="-1"/>
          <w:w w:val="99"/>
        </w:rPr>
        <w:t>Bh</w:t>
      </w:r>
      <w:r>
        <w:rPr>
          <w:w w:val="99"/>
        </w:rPr>
        <w:t>a</w:t>
      </w:r>
      <w:r>
        <w:rPr>
          <w:spacing w:val="-1"/>
          <w:w w:val="99"/>
        </w:rPr>
        <w:t>gwa</w:t>
      </w:r>
      <w:r>
        <w:rPr>
          <w:w w:val="99"/>
        </w:rPr>
        <w:t>n</w:t>
      </w:r>
      <w:r>
        <w:rPr>
          <w:w w:val="80"/>
        </w:rPr>
        <w:t>‖</w:t>
      </w:r>
      <w:r>
        <w:rPr>
          <w:spacing w:val="2"/>
        </w:rPr>
        <w:t> </w:t>
      </w:r>
      <w:r>
        <w:rPr>
          <w:spacing w:val="-1"/>
          <w:w w:val="99"/>
        </w:rPr>
        <w:t>w</w:t>
      </w:r>
      <w:r>
        <w:rPr>
          <w:spacing w:val="1"/>
          <w:w w:val="99"/>
        </w:rPr>
        <w:t>i</w:t>
      </w:r>
      <w:r>
        <w:rPr>
          <w:w w:val="99"/>
        </w:rPr>
        <w:t>thin</w:t>
      </w:r>
      <w:r>
        <w:rPr>
          <w:spacing w:val="2"/>
        </w:rPr>
        <w:t> </w:t>
      </w:r>
      <w:r>
        <w:rPr>
          <w:w w:val="99"/>
        </w:rPr>
        <w:t>the</w:t>
      </w:r>
      <w:r>
        <w:rPr>
          <w:spacing w:val="2"/>
        </w:rPr>
        <w:t> </w:t>
      </w:r>
      <w:r>
        <w:rPr>
          <w:spacing w:val="-1"/>
          <w:w w:val="99"/>
        </w:rPr>
        <w:t>p</w:t>
      </w:r>
      <w:r>
        <w:rPr>
          <w:w w:val="99"/>
        </w:rPr>
        <w:t>r</w:t>
      </w:r>
      <w:r>
        <w:rPr>
          <w:spacing w:val="-1"/>
          <w:w w:val="99"/>
        </w:rPr>
        <w:t>e</w:t>
      </w:r>
      <w:r>
        <w:rPr>
          <w:w w:val="99"/>
        </w:rPr>
        <w:t>m</w:t>
      </w:r>
      <w:r>
        <w:rPr>
          <w:spacing w:val="-1"/>
          <w:w w:val="99"/>
        </w:rPr>
        <w:t>ise</w:t>
      </w:r>
      <w:r>
        <w:rPr>
          <w:w w:val="99"/>
        </w:rPr>
        <w:t>s</w:t>
      </w:r>
      <w:r>
        <w:rPr>
          <w:spacing w:val="2"/>
        </w:rPr>
        <w:t> </w:t>
      </w:r>
      <w:r>
        <w:rPr>
          <w:spacing w:val="-1"/>
          <w:w w:val="99"/>
        </w:rPr>
        <w:t>o</w:t>
      </w:r>
      <w:r>
        <w:rPr>
          <w:w w:val="99"/>
        </w:rPr>
        <w:t>f</w:t>
      </w:r>
      <w:r>
        <w:rPr>
          <w:spacing w:val="2"/>
        </w:rPr>
        <w:t> </w:t>
      </w:r>
      <w:r>
        <w:rPr>
          <w:spacing w:val="2"/>
          <w:w w:val="99"/>
        </w:rPr>
        <w:t>t</w:t>
      </w:r>
      <w:r>
        <w:rPr>
          <w:spacing w:val="-1"/>
          <w:w w:val="99"/>
        </w:rPr>
        <w:t>h</w:t>
      </w:r>
      <w:r>
        <w:rPr>
          <w:w w:val="99"/>
        </w:rPr>
        <w:t>e</w:t>
      </w:r>
      <w:r>
        <w:rPr>
          <w:spacing w:val="2"/>
        </w:rPr>
        <w:t> </w:t>
      </w:r>
      <w:r>
        <w:rPr>
          <w:w w:val="99"/>
        </w:rPr>
        <w:t>m</w:t>
      </w:r>
      <w:r>
        <w:rPr>
          <w:spacing w:val="-1"/>
          <w:w w:val="99"/>
        </w:rPr>
        <w:t>os</w:t>
      </w:r>
      <w:r>
        <w:rPr>
          <w:w w:val="99"/>
        </w:rPr>
        <w:t>q</w:t>
      </w:r>
      <w:r>
        <w:rPr>
          <w:spacing w:val="-1"/>
          <w:w w:val="99"/>
        </w:rPr>
        <w:t>u</w:t>
      </w:r>
      <w:r>
        <w:rPr>
          <w:w w:val="99"/>
        </w:rPr>
        <w:t>e</w:t>
      </w:r>
      <w:r>
        <w:rPr>
          <w:spacing w:val="2"/>
        </w:rPr>
        <w:t> </w:t>
      </w:r>
      <w:r>
        <w:rPr>
          <w:spacing w:val="-1"/>
          <w:w w:val="99"/>
        </w:rPr>
        <w:t>i</w:t>
      </w:r>
      <w:r>
        <w:rPr>
          <w:w w:val="99"/>
        </w:rPr>
        <w:t>s</w:t>
      </w:r>
      <w:r>
        <w:rPr>
          <w:spacing w:val="2"/>
        </w:rPr>
        <w:t> </w:t>
      </w:r>
      <w:r>
        <w:rPr>
          <w:w w:val="99"/>
        </w:rPr>
        <w:t>the </w:t>
      </w:r>
      <w:r>
        <w:rPr/>
        <w:t>commencement of a series of episodes indicating that the exclusion of the Hindus from the inner courtyard was neither accepted nor enforced as a matter of ground reality. Resistance was met to the removal of the Nihang Singh. Eventually, in December 1858 it was recorded that the flag had been uprooted from the masjid and the Nihang Singh had been ousted. Within a short span of time in November 1860 came a complaint of Mir Rajjab Ali complaining of a new chabutra being constructed in the graveyard. The complaint recorded that when Azaan is called by a Moazzin, the Hindus begin to blow conch shells. The area was thus rife with contesting claims over religious worship. Consistent with those claims, the record of contemporary date does not indicate the total exclusion of the Hindus from the inner courtyard despite the construction of the railing. In March 1861, Mohd Asghar and Rajjab Ali joined in complaining against the erection of a chabutra without permission near Babri Masjid. This led to the Subedar tendering the report of the eviction of the individual who have done so. Again in 1866, there was a complaint by the Mutawalli seeking the demolition of a new Kothari which was constructed for placing idols inside the door of the Masjid where Bairagis had constructed a chabutra. On this application, the Deputy Commissioner passed an order in October 1866 for its consignment to the records.</w:t>
      </w:r>
    </w:p>
    <w:p>
      <w:pPr>
        <w:pStyle w:val="BodyText"/>
        <w:spacing w:before="1"/>
        <w:rPr>
          <w:sz w:val="39"/>
        </w:rPr>
      </w:pPr>
    </w:p>
    <w:p>
      <w:pPr>
        <w:pStyle w:val="ListParagraph"/>
        <w:numPr>
          <w:ilvl w:val="0"/>
          <w:numId w:val="235"/>
        </w:numPr>
        <w:tabs>
          <w:tab w:pos="1221" w:val="left" w:leader="none"/>
        </w:tabs>
        <w:spacing w:line="480" w:lineRule="auto" w:before="0" w:after="0"/>
        <w:ind w:left="500" w:right="439" w:firstLine="0"/>
        <w:jc w:val="both"/>
        <w:rPr>
          <w:sz w:val="25"/>
        </w:rPr>
      </w:pPr>
      <w:r>
        <w:rPr>
          <w:sz w:val="25"/>
        </w:rPr>
        <w:t>In 1868, the Muslims alleged encroachment on the north western corner of the Masjid which was held not to have been proved. In 1870, the Mutawalli sought an order of eviction against a Faqir from the graveyard and complained</w:t>
      </w:r>
      <w:r>
        <w:rPr>
          <w:spacing w:val="56"/>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certain encroachments around the trees. An order was passed thereon in August 1871, stating that the plaintiff had no right of ownership over the graveyard in the courtyard in front of the door of the Masjid. In 1873, there appears to have been a dispute in regard to the placing of an idol on the chabutra.</w:t>
      </w:r>
    </w:p>
    <w:p>
      <w:pPr>
        <w:pStyle w:val="BodyText"/>
        <w:spacing w:before="11"/>
        <w:rPr>
          <w:sz w:val="38"/>
        </w:rPr>
      </w:pPr>
    </w:p>
    <w:p>
      <w:pPr>
        <w:pStyle w:val="ListParagraph"/>
        <w:numPr>
          <w:ilvl w:val="0"/>
          <w:numId w:val="235"/>
        </w:numPr>
        <w:tabs>
          <w:tab w:pos="1221" w:val="left" w:leader="none"/>
        </w:tabs>
        <w:spacing w:line="480" w:lineRule="auto" w:before="0" w:after="0"/>
        <w:ind w:left="500" w:right="436" w:firstLine="0"/>
        <w:jc w:val="both"/>
        <w:rPr>
          <w:sz w:val="25"/>
        </w:rPr>
      </w:pPr>
      <w:r>
        <w:rPr>
          <w:sz w:val="25"/>
        </w:rPr>
        <w:t>In April 1877, the grant of permission by the Deputy Commissioner for the construction of a new gate on the northern side (in addition to the pre-existing gate on the eastern side) again led to a dispute. The creation of an additional entry was justified by the Deputy Commissioner to safeguard human safety since it appears that there was a rush of devotees. The complaint of the Muslims was dismissed and the opening of an additional door on the northern side  was justified as being in the interest of public</w:t>
      </w:r>
      <w:r>
        <w:rPr>
          <w:spacing w:val="-5"/>
          <w:sz w:val="25"/>
        </w:rPr>
        <w:t> </w:t>
      </w:r>
      <w:r>
        <w:rPr>
          <w:sz w:val="25"/>
        </w:rPr>
        <w:t>safety.</w:t>
      </w:r>
    </w:p>
    <w:p>
      <w:pPr>
        <w:pStyle w:val="BodyText"/>
        <w:spacing w:before="10"/>
        <w:rPr>
          <w:sz w:val="38"/>
        </w:rPr>
      </w:pPr>
    </w:p>
    <w:p>
      <w:pPr>
        <w:pStyle w:val="ListParagraph"/>
        <w:numPr>
          <w:ilvl w:val="0"/>
          <w:numId w:val="235"/>
        </w:numPr>
        <w:tabs>
          <w:tab w:pos="1221" w:val="left" w:leader="none"/>
        </w:tabs>
        <w:spacing w:line="480" w:lineRule="auto" w:before="0" w:after="0"/>
        <w:ind w:left="500" w:right="434" w:firstLine="0"/>
        <w:jc w:val="both"/>
        <w:rPr>
          <w:sz w:val="25"/>
        </w:rPr>
      </w:pPr>
      <w:r>
        <w:rPr>
          <w:sz w:val="25"/>
        </w:rPr>
        <w:t>When in November 1883, the Mutawalli asserted the right to have the wall of the mosque painted, the Assistant Commissioner, while restricting Raghubar Das from carrying out repairs in the inner and outer part of the compound directed the Mutawalli not to lock the outer door of the mosque on the ground that the old existing orders must be complied with. The course of the disputes between 1858 and 1883 thus indicates that the setting up of the railing as a measure of allowing Muslim worship inside to the railing and exclusion of Hindus from worshipping in the inner courtyard was a matter of continuing dispute. The Muslims on their part had complained of the setting up of the chabutra. However, the activities of the Hindus in the outer courtyard continued and </w:t>
      </w:r>
      <w:r>
        <w:rPr>
          <w:spacing w:val="4"/>
          <w:sz w:val="25"/>
        </w:rPr>
        <w:t>an </w:t>
      </w:r>
      <w:r>
        <w:rPr>
          <w:sz w:val="25"/>
        </w:rPr>
        <w:t>important indicator of the presence of Hindu devotees in large number was the opening of an additional door in 1877. As regards the inner courtyard, it is evident this was</w:t>
      </w:r>
      <w:r>
        <w:rPr>
          <w:spacing w:val="51"/>
          <w:sz w:val="25"/>
        </w:rPr>
        <w:t> </w:t>
      </w:r>
      <w:r>
        <w:rPr>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9"/>
        <w:jc w:val="both"/>
      </w:pPr>
      <w:r>
        <w:rPr/>
        <w:t>matter of contestation between Hindus and Muslims, the Muslims asserting it to be a place of worship and the Hindus periodically contesting it by seeking entry as they had obtained prior to the setting up of the railing. The riot of 1934 resulted in a considerable damage being caused to the domes of the mosque and led to the imposition of fines on the Hindus and Bairagis. The work of restoration was carried out at the cost of the British Government by a Muslim contractor. This coupled with the documentary evidence pertaining to the arrears of salary of the Pesh Imam would indicate that post 1934 there was no abandonment by the Muslims of the mosque as a place for offering namaz. This would have continued until 1949 though, as the Waqf Inspector notes in his report dated 12 December 1949, Muslims who went to pray in the mosque were being harassed by the Hindus in the outer courtyard where many of them resided. Eventually, the events immediately preceding the intervening night of 22/23 December 1949 led to the placement of the idols on the pulpit below the central dome of the</w:t>
      </w:r>
      <w:r>
        <w:rPr>
          <w:spacing w:val="-20"/>
        </w:rPr>
        <w:t> </w:t>
      </w:r>
      <w:r>
        <w:rPr/>
        <w:t>mosque.</w:t>
      </w:r>
    </w:p>
    <w:p>
      <w:pPr>
        <w:pStyle w:val="BodyText"/>
        <w:spacing w:before="10"/>
        <w:rPr>
          <w:sz w:val="38"/>
        </w:rPr>
      </w:pPr>
    </w:p>
    <w:p>
      <w:pPr>
        <w:pStyle w:val="ListParagraph"/>
        <w:numPr>
          <w:ilvl w:val="0"/>
          <w:numId w:val="235"/>
        </w:numPr>
        <w:tabs>
          <w:tab w:pos="1221" w:val="left" w:leader="none"/>
        </w:tabs>
        <w:spacing w:line="240" w:lineRule="auto" w:before="0" w:after="0"/>
        <w:ind w:left="1220" w:right="0" w:hanging="721"/>
        <w:jc w:val="both"/>
        <w:rPr>
          <w:sz w:val="25"/>
        </w:rPr>
      </w:pPr>
      <w:r>
        <w:rPr>
          <w:sz w:val="25"/>
        </w:rPr>
        <w:t>From the documentary evidence, it emerges</w:t>
      </w:r>
      <w:r>
        <w:rPr>
          <w:spacing w:val="-8"/>
          <w:sz w:val="25"/>
        </w:rPr>
        <w:t> </w:t>
      </w:r>
      <w:r>
        <w:rPr>
          <w:sz w:val="25"/>
        </w:rPr>
        <w:t>that:</w:t>
      </w:r>
    </w:p>
    <w:p>
      <w:pPr>
        <w:pStyle w:val="BodyText"/>
        <w:spacing w:before="1"/>
        <w:rPr>
          <w:sz w:val="39"/>
        </w:rPr>
      </w:pPr>
    </w:p>
    <w:p>
      <w:pPr>
        <w:pStyle w:val="ListParagraph"/>
        <w:numPr>
          <w:ilvl w:val="0"/>
          <w:numId w:val="237"/>
        </w:numPr>
        <w:tabs>
          <w:tab w:pos="1221" w:val="left" w:leader="none"/>
        </w:tabs>
        <w:spacing w:line="480" w:lineRule="auto" w:before="0" w:after="0"/>
        <w:ind w:left="1220" w:right="441" w:hanging="720"/>
        <w:jc w:val="both"/>
        <w:rPr>
          <w:sz w:val="25"/>
        </w:rPr>
      </w:pPr>
      <w:r>
        <w:rPr>
          <w:sz w:val="25"/>
        </w:rPr>
        <w:t>Prior to 1856-7 there was no exclusion of the Hindus from worshipping within the precincts of the inner</w:t>
      </w:r>
      <w:r>
        <w:rPr>
          <w:spacing w:val="-4"/>
          <w:sz w:val="25"/>
        </w:rPr>
        <w:t> </w:t>
      </w:r>
      <w:r>
        <w:rPr>
          <w:sz w:val="25"/>
        </w:rPr>
        <w:t>courtyard;</w:t>
      </w:r>
    </w:p>
    <w:p>
      <w:pPr>
        <w:pStyle w:val="ListParagraph"/>
        <w:numPr>
          <w:ilvl w:val="0"/>
          <w:numId w:val="237"/>
        </w:numPr>
        <w:tabs>
          <w:tab w:pos="1221" w:val="left" w:leader="none"/>
        </w:tabs>
        <w:spacing w:line="480" w:lineRule="auto" w:before="0" w:after="0"/>
        <w:ind w:left="1220" w:right="441" w:hanging="720"/>
        <w:jc w:val="both"/>
        <w:rPr>
          <w:sz w:val="25"/>
        </w:rPr>
      </w:pPr>
      <w:r>
        <w:rPr>
          <w:sz w:val="25"/>
        </w:rPr>
        <w:t>The conflagration of 1856-7 led to the setting up of the railing to provide a bifurcation of the places of worship between the two</w:t>
      </w:r>
      <w:r>
        <w:rPr>
          <w:spacing w:val="-12"/>
          <w:sz w:val="25"/>
        </w:rPr>
        <w:t> </w:t>
      </w:r>
      <w:r>
        <w:rPr>
          <w:sz w:val="25"/>
        </w:rPr>
        <w:t>communities;</w:t>
      </w:r>
    </w:p>
    <w:p>
      <w:pPr>
        <w:pStyle w:val="ListParagraph"/>
        <w:numPr>
          <w:ilvl w:val="0"/>
          <w:numId w:val="237"/>
        </w:numPr>
        <w:tabs>
          <w:tab w:pos="1221" w:val="left" w:leader="none"/>
        </w:tabs>
        <w:spacing w:line="480" w:lineRule="auto" w:before="0" w:after="0"/>
        <w:ind w:left="1220" w:right="446" w:hanging="720"/>
        <w:jc w:val="both"/>
        <w:rPr>
          <w:sz w:val="25"/>
        </w:rPr>
      </w:pPr>
      <w:r>
        <w:rPr>
          <w:sz w:val="25"/>
        </w:rPr>
        <w:t>The immediate consequence of the setting up of the railing was the continued assertion of the right to worship by the Hindus who set up the Chabutra in the immediate proximity of the</w:t>
      </w:r>
      <w:r>
        <w:rPr>
          <w:spacing w:val="-8"/>
          <w:sz w:val="25"/>
        </w:rPr>
        <w:t> </w:t>
      </w:r>
      <w:r>
        <w:rPr>
          <w:sz w:val="25"/>
        </w:rPr>
        <w:t>railing;</w:t>
      </w:r>
    </w:p>
    <w:p>
      <w:pPr>
        <w:spacing w:after="0" w:line="480" w:lineRule="auto"/>
        <w:jc w:val="both"/>
        <w:rPr>
          <w:sz w:val="25"/>
        </w:rPr>
        <w:sectPr>
          <w:pgSz w:w="11910" w:h="16840"/>
          <w:pgMar w:header="721" w:footer="1014" w:top="1300" w:bottom="1200" w:left="940" w:right="1000"/>
        </w:sectPr>
      </w:pPr>
    </w:p>
    <w:p>
      <w:pPr>
        <w:pStyle w:val="ListParagraph"/>
        <w:numPr>
          <w:ilvl w:val="0"/>
          <w:numId w:val="237"/>
        </w:numPr>
        <w:tabs>
          <w:tab w:pos="1221" w:val="left" w:leader="none"/>
        </w:tabs>
        <w:spacing w:line="480" w:lineRule="auto" w:before="124" w:after="0"/>
        <w:ind w:left="1220" w:right="445" w:hanging="720"/>
        <w:jc w:val="both"/>
        <w:rPr>
          <w:sz w:val="25"/>
        </w:rPr>
      </w:pPr>
      <w:r>
        <w:rPr>
          <w:sz w:val="25"/>
        </w:rPr>
        <w:t>Despite the existence of the railing, the exclusion of the Hindus from the inner courtyard was a matter of contestation and at the very least was not absolute;</w:t>
      </w:r>
    </w:p>
    <w:p>
      <w:pPr>
        <w:pStyle w:val="ListParagraph"/>
        <w:numPr>
          <w:ilvl w:val="0"/>
          <w:numId w:val="237"/>
        </w:numPr>
        <w:tabs>
          <w:tab w:pos="1221" w:val="left" w:leader="none"/>
        </w:tabs>
        <w:spacing w:line="480" w:lineRule="auto" w:before="0" w:after="0"/>
        <w:ind w:left="1220" w:right="438" w:hanging="720"/>
        <w:jc w:val="both"/>
        <w:rPr>
          <w:sz w:val="25"/>
        </w:rPr>
      </w:pPr>
      <w:r>
        <w:rPr>
          <w:sz w:val="25"/>
        </w:rPr>
        <w:t>As regards the outer courtyard it became the focal point of Hindu worship both on the Ramchabutra as well as other religious structures within the outer courtyard including Sita Rasoi. Though, the Hindus continued to worship at the Ramchabutra which was in the outer courtyard, by the consistent</w:t>
      </w:r>
      <w:r>
        <w:rPr>
          <w:spacing w:val="17"/>
          <w:sz w:val="25"/>
        </w:rPr>
        <w:t> </w:t>
      </w:r>
      <w:r>
        <w:rPr>
          <w:sz w:val="25"/>
        </w:rPr>
        <w:t>pattern</w:t>
      </w:r>
      <w:r>
        <w:rPr>
          <w:spacing w:val="18"/>
          <w:sz w:val="25"/>
        </w:rPr>
        <w:t> </w:t>
      </w:r>
      <w:r>
        <w:rPr>
          <w:sz w:val="25"/>
        </w:rPr>
        <w:t>of</w:t>
      </w:r>
      <w:r>
        <w:rPr>
          <w:spacing w:val="18"/>
          <w:sz w:val="25"/>
        </w:rPr>
        <w:t> </w:t>
      </w:r>
      <w:r>
        <w:rPr>
          <w:sz w:val="25"/>
        </w:rPr>
        <w:t>their</w:t>
      </w:r>
      <w:r>
        <w:rPr>
          <w:spacing w:val="18"/>
          <w:sz w:val="25"/>
        </w:rPr>
        <w:t> </w:t>
      </w:r>
      <w:r>
        <w:rPr>
          <w:sz w:val="25"/>
        </w:rPr>
        <w:t>worship</w:t>
      </w:r>
      <w:r>
        <w:rPr>
          <w:spacing w:val="18"/>
          <w:sz w:val="25"/>
        </w:rPr>
        <w:t> </w:t>
      </w:r>
      <w:r>
        <w:rPr>
          <w:sz w:val="25"/>
        </w:rPr>
        <w:t>including</w:t>
      </w:r>
      <w:r>
        <w:rPr>
          <w:spacing w:val="18"/>
          <w:sz w:val="25"/>
        </w:rPr>
        <w:t> </w:t>
      </w:r>
      <w:r>
        <w:rPr>
          <w:sz w:val="25"/>
        </w:rPr>
        <w:t>the</w:t>
      </w:r>
      <w:r>
        <w:rPr>
          <w:spacing w:val="24"/>
          <w:sz w:val="25"/>
        </w:rPr>
        <w:t> </w:t>
      </w:r>
      <w:r>
        <w:rPr>
          <w:sz w:val="25"/>
        </w:rPr>
        <w:t>making</w:t>
      </w:r>
      <w:r>
        <w:rPr>
          <w:spacing w:val="19"/>
          <w:sz w:val="25"/>
        </w:rPr>
        <w:t> </w:t>
      </w:r>
      <w:r>
        <w:rPr>
          <w:sz w:val="25"/>
        </w:rPr>
        <w:t>of</w:t>
      </w:r>
      <w:r>
        <w:rPr>
          <w:spacing w:val="18"/>
          <w:sz w:val="25"/>
        </w:rPr>
        <w:t> </w:t>
      </w:r>
      <w:r>
        <w:rPr>
          <w:sz w:val="25"/>
        </w:rPr>
        <w:t>offerings</w:t>
      </w:r>
      <w:r>
        <w:rPr>
          <w:spacing w:val="18"/>
          <w:sz w:val="25"/>
        </w:rPr>
        <w:t> </w:t>
      </w:r>
      <w:r>
        <w:rPr>
          <w:sz w:val="25"/>
        </w:rPr>
        <w:t>to</w:t>
      </w:r>
      <w:r>
        <w:rPr>
          <w:spacing w:val="18"/>
          <w:sz w:val="25"/>
        </w:rPr>
        <w:t> </w:t>
      </w:r>
      <w:r>
        <w:rPr>
          <w:sz w:val="25"/>
        </w:rPr>
        <w:t>the</w:t>
      </w:r>
    </w:p>
    <w:p>
      <w:pPr>
        <w:pStyle w:val="BodyText"/>
        <w:spacing w:line="480" w:lineRule="auto" w:before="1"/>
        <w:ind w:left="1220" w:right="439"/>
        <w:jc w:val="both"/>
      </w:pPr>
      <w:r>
        <w:rPr/>
        <w:t>‗Garbh Grih‘ while standing at the railing, there can be no manner of doubt that this was in furtherance of their belief that the birth-place of Lord Ram was within the precincts of and under the central dome of the mosque; and</w:t>
      </w:r>
    </w:p>
    <w:p>
      <w:pPr>
        <w:pStyle w:val="ListParagraph"/>
        <w:numPr>
          <w:ilvl w:val="0"/>
          <w:numId w:val="237"/>
        </w:numPr>
        <w:tabs>
          <w:tab w:pos="1221" w:val="left" w:leader="none"/>
        </w:tabs>
        <w:spacing w:line="480" w:lineRule="auto" w:before="0" w:after="0"/>
        <w:ind w:left="1220" w:right="441" w:hanging="720"/>
        <w:jc w:val="both"/>
        <w:rPr>
          <w:sz w:val="25"/>
        </w:rPr>
      </w:pPr>
      <w:r>
        <w:rPr>
          <w:sz w:val="25"/>
        </w:rPr>
        <w:t>The riots of 1934 and the events which led up to 22/23 December 1949 indicate that possession over the inner courtyard was a matter of serious contestation often leading to violence by both parties and the Muslims did not have exclusive possession over the inner courtyard. From the above documentary evidence, it cannot be said that the Muslims have been able to establish their possessory title to the disputed site as a composite whole.</w:t>
      </w:r>
    </w:p>
    <w:p>
      <w:pPr>
        <w:pStyle w:val="BodyText"/>
        <w:spacing w:before="5"/>
        <w:rPr>
          <w:sz w:val="35"/>
        </w:rPr>
      </w:pPr>
    </w:p>
    <w:p>
      <w:pPr>
        <w:pStyle w:val="Heading3"/>
        <w:numPr>
          <w:ilvl w:val="1"/>
          <w:numId w:val="191"/>
        </w:numPr>
        <w:tabs>
          <w:tab w:pos="1221" w:val="left" w:leader="none"/>
        </w:tabs>
        <w:spacing w:line="240" w:lineRule="auto" w:before="1" w:after="0"/>
        <w:ind w:left="1220" w:right="0" w:hanging="721"/>
        <w:jc w:val="left"/>
      </w:pPr>
      <w:r>
        <w:rPr/>
        <w:t>The Muslim claim to possessory</w:t>
      </w:r>
      <w:r>
        <w:rPr>
          <w:spacing w:val="-11"/>
        </w:rPr>
        <w:t> </w:t>
      </w:r>
      <w:r>
        <w:rPr/>
        <w:t>title</w:t>
      </w:r>
    </w:p>
    <w:p>
      <w:pPr>
        <w:pStyle w:val="BodyText"/>
        <w:rPr>
          <w:b/>
          <w:sz w:val="28"/>
        </w:rPr>
      </w:pPr>
    </w:p>
    <w:p>
      <w:pPr>
        <w:pStyle w:val="ListParagraph"/>
        <w:numPr>
          <w:ilvl w:val="0"/>
          <w:numId w:val="235"/>
        </w:numPr>
        <w:tabs>
          <w:tab w:pos="1221" w:val="left" w:leader="none"/>
        </w:tabs>
        <w:spacing w:line="480" w:lineRule="auto" w:before="216" w:after="0"/>
        <w:ind w:left="500" w:right="443" w:firstLine="0"/>
        <w:jc w:val="both"/>
        <w:rPr>
          <w:sz w:val="25"/>
        </w:rPr>
      </w:pPr>
      <w:r>
        <w:rPr>
          <w:sz w:val="25"/>
        </w:rPr>
        <w:t>Dr Rajeev Dhavan, learned Senior Counsel appearing on behalf of the plaintiffs in Suit 4, urged submissions on the effect of the existence and destruction of a temple on the title asserted by the Sunni Central Waqf Board. The submissions of Dr Dhavan have been formulated</w:t>
      </w:r>
      <w:r>
        <w:rPr>
          <w:spacing w:val="-6"/>
          <w:sz w:val="25"/>
        </w:rPr>
        <w:t> </w:t>
      </w:r>
      <w:r>
        <w:rPr>
          <w:sz w:val="25"/>
        </w:rPr>
        <w:t>thus:</w:t>
      </w:r>
    </w:p>
    <w:p>
      <w:pPr>
        <w:spacing w:after="0" w:line="480" w:lineRule="auto"/>
        <w:jc w:val="both"/>
        <w:rPr>
          <w:sz w:val="25"/>
        </w:rPr>
        <w:sectPr>
          <w:pgSz w:w="11910" w:h="16840"/>
          <w:pgMar w:header="721" w:footer="1014" w:top="1300" w:bottom="1200" w:left="940" w:right="1000"/>
        </w:sectPr>
      </w:pPr>
    </w:p>
    <w:p>
      <w:pPr>
        <w:pStyle w:val="ListParagraph"/>
        <w:numPr>
          <w:ilvl w:val="0"/>
          <w:numId w:val="238"/>
        </w:numPr>
        <w:tabs>
          <w:tab w:pos="1221" w:val="left" w:leader="none"/>
        </w:tabs>
        <w:spacing w:line="480" w:lineRule="auto" w:before="124" w:after="0"/>
        <w:ind w:left="1220" w:right="446" w:hanging="720"/>
        <w:jc w:val="both"/>
        <w:rPr>
          <w:sz w:val="25"/>
        </w:rPr>
      </w:pPr>
      <w:r>
        <w:rPr>
          <w:sz w:val="25"/>
        </w:rPr>
        <w:t>The existence of a temple below the mosque pertaining to an earlier time period is irrelevant to the question of</w:t>
      </w:r>
      <w:r>
        <w:rPr>
          <w:spacing w:val="-4"/>
          <w:sz w:val="25"/>
        </w:rPr>
        <w:t> </w:t>
      </w:r>
      <w:r>
        <w:rPr>
          <w:sz w:val="25"/>
        </w:rPr>
        <w:t>title;</w:t>
      </w:r>
    </w:p>
    <w:p>
      <w:pPr>
        <w:pStyle w:val="ListParagraph"/>
        <w:numPr>
          <w:ilvl w:val="0"/>
          <w:numId w:val="238"/>
        </w:numPr>
        <w:tabs>
          <w:tab w:pos="1220" w:val="left" w:leader="none"/>
          <w:tab w:pos="1221" w:val="left" w:leader="none"/>
        </w:tabs>
        <w:spacing w:line="287" w:lineRule="exact" w:before="0" w:after="0"/>
        <w:ind w:left="1220" w:right="0" w:hanging="721"/>
        <w:jc w:val="left"/>
        <w:rPr>
          <w:sz w:val="25"/>
        </w:rPr>
      </w:pPr>
      <w:r>
        <w:rPr>
          <w:sz w:val="25"/>
        </w:rPr>
        <w:t>The ASI report, in any event is inconclusive on the question</w:t>
      </w:r>
      <w:r>
        <w:rPr>
          <w:spacing w:val="-13"/>
          <w:sz w:val="25"/>
        </w:rPr>
        <w:t> </w:t>
      </w:r>
      <w:r>
        <w:rPr>
          <w:sz w:val="25"/>
        </w:rPr>
        <w:t>whether:</w:t>
      </w:r>
    </w:p>
    <w:p>
      <w:pPr>
        <w:pStyle w:val="BodyText"/>
      </w:pPr>
    </w:p>
    <w:p>
      <w:pPr>
        <w:pStyle w:val="ListParagraph"/>
        <w:numPr>
          <w:ilvl w:val="1"/>
          <w:numId w:val="238"/>
        </w:numPr>
        <w:tabs>
          <w:tab w:pos="1941" w:val="left" w:leader="none"/>
        </w:tabs>
        <w:spacing w:line="480" w:lineRule="auto" w:before="1" w:after="0"/>
        <w:ind w:left="1940" w:right="438" w:hanging="720"/>
        <w:jc w:val="both"/>
        <w:rPr>
          <w:sz w:val="25"/>
        </w:rPr>
      </w:pPr>
      <w:r>
        <w:rPr>
          <w:sz w:val="25"/>
        </w:rPr>
        <w:t>an earlier structure existed at the site and was demolished for the construction of a mosque;</w:t>
      </w:r>
      <w:r>
        <w:rPr>
          <w:spacing w:val="-3"/>
          <w:sz w:val="25"/>
        </w:rPr>
        <w:t> </w:t>
      </w:r>
      <w:r>
        <w:rPr>
          <w:sz w:val="25"/>
        </w:rPr>
        <w:t>and</w:t>
      </w:r>
    </w:p>
    <w:p>
      <w:pPr>
        <w:pStyle w:val="ListParagraph"/>
        <w:numPr>
          <w:ilvl w:val="1"/>
          <w:numId w:val="238"/>
        </w:numPr>
        <w:tabs>
          <w:tab w:pos="1940" w:val="left" w:leader="none"/>
          <w:tab w:pos="1941" w:val="left" w:leader="none"/>
        </w:tabs>
        <w:spacing w:line="287" w:lineRule="exact" w:before="0" w:after="0"/>
        <w:ind w:left="1940" w:right="0" w:hanging="721"/>
        <w:jc w:val="left"/>
        <w:rPr>
          <w:sz w:val="25"/>
        </w:rPr>
      </w:pPr>
      <w:r>
        <w:rPr>
          <w:sz w:val="25"/>
        </w:rPr>
        <w:t>whether or not that structure is a</w:t>
      </w:r>
      <w:r>
        <w:rPr>
          <w:spacing w:val="-4"/>
          <w:sz w:val="25"/>
        </w:rPr>
        <w:t> </w:t>
      </w:r>
      <w:r>
        <w:rPr>
          <w:sz w:val="25"/>
        </w:rPr>
        <w:t>temple.</w:t>
      </w:r>
    </w:p>
    <w:p>
      <w:pPr>
        <w:pStyle w:val="BodyText"/>
        <w:rPr>
          <w:sz w:val="28"/>
        </w:rPr>
      </w:pPr>
    </w:p>
    <w:p>
      <w:pPr>
        <w:pStyle w:val="BodyText"/>
        <w:spacing w:before="11"/>
        <w:rPr>
          <w:sz w:val="21"/>
        </w:rPr>
      </w:pPr>
    </w:p>
    <w:p>
      <w:pPr>
        <w:pStyle w:val="ListParagraph"/>
        <w:numPr>
          <w:ilvl w:val="0"/>
          <w:numId w:val="238"/>
        </w:numPr>
        <w:tabs>
          <w:tab w:pos="1221" w:val="left" w:leader="none"/>
        </w:tabs>
        <w:spacing w:line="480" w:lineRule="auto" w:before="0" w:after="0"/>
        <w:ind w:left="1220" w:right="445" w:hanging="720"/>
        <w:jc w:val="both"/>
        <w:rPr>
          <w:sz w:val="25"/>
        </w:rPr>
      </w:pPr>
      <w:r>
        <w:rPr>
          <w:sz w:val="25"/>
        </w:rPr>
        <w:t>The High Court has also accepted that the ASI report had not furnished a categorical finding on whether the mosque was constructed by demolition of a pre-existing</w:t>
      </w:r>
      <w:r>
        <w:rPr>
          <w:spacing w:val="-2"/>
          <w:sz w:val="25"/>
        </w:rPr>
        <w:t> </w:t>
      </w:r>
      <w:r>
        <w:rPr>
          <w:sz w:val="25"/>
        </w:rPr>
        <w:t>structure;</w:t>
      </w:r>
    </w:p>
    <w:p>
      <w:pPr>
        <w:pStyle w:val="ListParagraph"/>
        <w:numPr>
          <w:ilvl w:val="0"/>
          <w:numId w:val="238"/>
        </w:numPr>
        <w:tabs>
          <w:tab w:pos="1221" w:val="left" w:leader="none"/>
        </w:tabs>
        <w:spacing w:line="480" w:lineRule="auto" w:before="1" w:after="0"/>
        <w:ind w:left="1220" w:right="442" w:hanging="720"/>
        <w:jc w:val="both"/>
        <w:rPr>
          <w:sz w:val="25"/>
        </w:rPr>
      </w:pPr>
      <w:r>
        <w:rPr>
          <w:sz w:val="25"/>
        </w:rPr>
        <w:t>No adverse inference could have been drawn against the Muslim parties for failing to plead whether there was an earlier idgah or kanati masjid below the structure of the mosque</w:t>
      </w:r>
      <w:r>
        <w:rPr>
          <w:spacing w:val="-8"/>
          <w:sz w:val="25"/>
        </w:rPr>
        <w:t> </w:t>
      </w:r>
      <w:r>
        <w:rPr>
          <w:sz w:val="25"/>
        </w:rPr>
        <w:t>since:</w:t>
      </w:r>
    </w:p>
    <w:p>
      <w:pPr>
        <w:pStyle w:val="ListParagraph"/>
        <w:numPr>
          <w:ilvl w:val="1"/>
          <w:numId w:val="238"/>
        </w:numPr>
        <w:tabs>
          <w:tab w:pos="1941" w:val="left" w:leader="none"/>
        </w:tabs>
        <w:spacing w:line="480" w:lineRule="auto" w:before="1" w:after="0"/>
        <w:ind w:left="1940" w:right="443" w:hanging="720"/>
        <w:jc w:val="both"/>
        <w:rPr>
          <w:sz w:val="25"/>
        </w:rPr>
      </w:pPr>
      <w:r>
        <w:rPr>
          <w:sz w:val="25"/>
        </w:rPr>
        <w:t>Such an enquiry could not have been conducted by Babur before having the mosque constructed;</w:t>
      </w:r>
      <w:r>
        <w:rPr>
          <w:spacing w:val="-1"/>
          <w:sz w:val="25"/>
        </w:rPr>
        <w:t> </w:t>
      </w:r>
      <w:r>
        <w:rPr>
          <w:sz w:val="25"/>
        </w:rPr>
        <w:t>and</w:t>
      </w:r>
    </w:p>
    <w:p>
      <w:pPr>
        <w:pStyle w:val="ListParagraph"/>
        <w:numPr>
          <w:ilvl w:val="1"/>
          <w:numId w:val="238"/>
        </w:numPr>
        <w:tabs>
          <w:tab w:pos="1941" w:val="left" w:leader="none"/>
        </w:tabs>
        <w:spacing w:line="480" w:lineRule="auto" w:before="0" w:after="0"/>
        <w:ind w:left="1940" w:right="444" w:hanging="720"/>
        <w:jc w:val="both"/>
        <w:rPr>
          <w:sz w:val="25"/>
        </w:rPr>
      </w:pPr>
      <w:r>
        <w:rPr>
          <w:sz w:val="25"/>
        </w:rPr>
        <w:t>The High Court directed the ASI to conduct an investigation only because the material which emerged from the gazetteers and historical accounts was</w:t>
      </w:r>
      <w:r>
        <w:rPr>
          <w:spacing w:val="-3"/>
          <w:sz w:val="25"/>
        </w:rPr>
        <w:t> </w:t>
      </w:r>
      <w:r>
        <w:rPr>
          <w:sz w:val="25"/>
        </w:rPr>
        <w:t>inconclusive.</w:t>
      </w:r>
    </w:p>
    <w:p>
      <w:pPr>
        <w:pStyle w:val="BodyText"/>
        <w:spacing w:line="480" w:lineRule="auto"/>
        <w:ind w:left="500" w:right="446"/>
        <w:jc w:val="both"/>
      </w:pPr>
      <w:r>
        <w:rPr/>
        <w:t>Buttressing the submissions on the law pertaining to title, Dr Dhavan commended following propositions for acceptance by the court:</w:t>
      </w:r>
    </w:p>
    <w:p>
      <w:pPr>
        <w:pStyle w:val="ListParagraph"/>
        <w:numPr>
          <w:ilvl w:val="0"/>
          <w:numId w:val="239"/>
        </w:numPr>
        <w:tabs>
          <w:tab w:pos="1220" w:val="left" w:leader="none"/>
          <w:tab w:pos="1221" w:val="left" w:leader="none"/>
        </w:tabs>
        <w:spacing w:line="480" w:lineRule="auto" w:before="0" w:after="0"/>
        <w:ind w:left="1220" w:right="442" w:hanging="720"/>
        <w:jc w:val="left"/>
        <w:rPr>
          <w:sz w:val="25"/>
        </w:rPr>
      </w:pPr>
      <w:r>
        <w:rPr>
          <w:sz w:val="25"/>
        </w:rPr>
        <w:t>Possession creates a presumption of title, particularly if there is no better title or any other claim is barred by</w:t>
      </w:r>
      <w:r>
        <w:rPr>
          <w:spacing w:val="-6"/>
          <w:sz w:val="25"/>
        </w:rPr>
        <w:t> </w:t>
      </w:r>
      <w:r>
        <w:rPr>
          <w:sz w:val="25"/>
        </w:rPr>
        <w:t>limitation;</w:t>
      </w:r>
    </w:p>
    <w:p>
      <w:pPr>
        <w:pStyle w:val="ListParagraph"/>
        <w:numPr>
          <w:ilvl w:val="0"/>
          <w:numId w:val="239"/>
        </w:numPr>
        <w:tabs>
          <w:tab w:pos="1220" w:val="left" w:leader="none"/>
          <w:tab w:pos="1221" w:val="left" w:leader="none"/>
        </w:tabs>
        <w:spacing w:line="480" w:lineRule="auto" w:before="0" w:after="0"/>
        <w:ind w:left="1220" w:right="446" w:hanging="720"/>
        <w:jc w:val="left"/>
        <w:rPr>
          <w:sz w:val="25"/>
        </w:rPr>
      </w:pPr>
      <w:r>
        <w:rPr>
          <w:sz w:val="25"/>
        </w:rPr>
        <w:t>Where a person has possession with title, this will continue with use or the inability to</w:t>
      </w:r>
      <w:r>
        <w:rPr>
          <w:spacing w:val="-4"/>
          <w:sz w:val="25"/>
        </w:rPr>
        <w:t> </w:t>
      </w:r>
      <w:r>
        <w:rPr>
          <w:sz w:val="25"/>
        </w:rPr>
        <w:t>use;</w:t>
      </w:r>
    </w:p>
    <w:p>
      <w:pPr>
        <w:pStyle w:val="ListParagraph"/>
        <w:numPr>
          <w:ilvl w:val="0"/>
          <w:numId w:val="239"/>
        </w:numPr>
        <w:tabs>
          <w:tab w:pos="1220" w:val="left" w:leader="none"/>
          <w:tab w:pos="1221" w:val="left" w:leader="none"/>
        </w:tabs>
        <w:spacing w:line="240" w:lineRule="auto" w:before="0" w:after="0"/>
        <w:ind w:left="1220" w:right="0" w:hanging="721"/>
        <w:jc w:val="left"/>
        <w:rPr>
          <w:sz w:val="25"/>
        </w:rPr>
      </w:pPr>
      <w:r>
        <w:rPr>
          <w:sz w:val="25"/>
        </w:rPr>
        <w:t>In certain circumstances, possession may be sufficient to decide</w:t>
      </w:r>
      <w:r>
        <w:rPr>
          <w:spacing w:val="-9"/>
          <w:sz w:val="25"/>
        </w:rPr>
        <w:t> </w:t>
      </w:r>
      <w:r>
        <w:rPr>
          <w:sz w:val="25"/>
        </w:rPr>
        <w:t>title;</w:t>
      </w:r>
    </w:p>
    <w:p>
      <w:pPr>
        <w:spacing w:after="0" w:line="240" w:lineRule="auto"/>
        <w:jc w:val="left"/>
        <w:rPr>
          <w:sz w:val="25"/>
        </w:rPr>
        <w:sectPr>
          <w:pgSz w:w="11910" w:h="16840"/>
          <w:pgMar w:header="721" w:footer="1014" w:top="1300" w:bottom="1200" w:left="940" w:right="1000"/>
        </w:sectPr>
      </w:pPr>
    </w:p>
    <w:p>
      <w:pPr>
        <w:pStyle w:val="ListParagraph"/>
        <w:numPr>
          <w:ilvl w:val="0"/>
          <w:numId w:val="239"/>
        </w:numPr>
        <w:tabs>
          <w:tab w:pos="1221" w:val="left" w:leader="none"/>
        </w:tabs>
        <w:spacing w:line="480" w:lineRule="auto" w:before="124" w:after="0"/>
        <w:ind w:left="1220" w:right="445" w:hanging="720"/>
        <w:jc w:val="both"/>
        <w:rPr>
          <w:sz w:val="25"/>
        </w:rPr>
      </w:pPr>
      <w:r>
        <w:rPr>
          <w:sz w:val="25"/>
        </w:rPr>
        <w:t>The burden of proof is upon the person who asserts possession without title, particularly having regard to the provisions of Section 110 of the Evidence</w:t>
      </w:r>
      <w:r>
        <w:rPr>
          <w:spacing w:val="-2"/>
          <w:sz w:val="25"/>
        </w:rPr>
        <w:t> </w:t>
      </w:r>
      <w:r>
        <w:rPr>
          <w:sz w:val="25"/>
        </w:rPr>
        <w:t>Act;</w:t>
      </w:r>
    </w:p>
    <w:p>
      <w:pPr>
        <w:pStyle w:val="ListParagraph"/>
        <w:numPr>
          <w:ilvl w:val="0"/>
          <w:numId w:val="239"/>
        </w:numPr>
        <w:tabs>
          <w:tab w:pos="1221" w:val="left" w:leader="none"/>
        </w:tabs>
        <w:spacing w:line="480" w:lineRule="auto" w:before="0" w:after="0"/>
        <w:ind w:left="1220" w:right="441" w:hanging="720"/>
        <w:jc w:val="both"/>
        <w:rPr>
          <w:sz w:val="25"/>
        </w:rPr>
      </w:pPr>
      <w:r>
        <w:rPr>
          <w:sz w:val="25"/>
        </w:rPr>
        <w:t>If a person concedes or acts in a manner that indicates a lack of possession and performs of an act or makes an omission, this will amount to estoppel under Section 115 of the Evidence Act;</w:t>
      </w:r>
    </w:p>
    <w:p>
      <w:pPr>
        <w:pStyle w:val="ListParagraph"/>
        <w:numPr>
          <w:ilvl w:val="0"/>
          <w:numId w:val="239"/>
        </w:numPr>
        <w:tabs>
          <w:tab w:pos="1220" w:val="left" w:leader="none"/>
          <w:tab w:pos="1221" w:val="left" w:leader="none"/>
        </w:tabs>
        <w:spacing w:line="286" w:lineRule="exact" w:before="0" w:after="0"/>
        <w:ind w:left="1220" w:right="0" w:hanging="721"/>
        <w:jc w:val="left"/>
        <w:rPr>
          <w:sz w:val="25"/>
        </w:rPr>
      </w:pPr>
      <w:r>
        <w:rPr>
          <w:sz w:val="25"/>
        </w:rPr>
        <w:t>Possession is sustained by </w:t>
      </w:r>
      <w:r>
        <w:rPr>
          <w:i/>
          <w:sz w:val="25"/>
        </w:rPr>
        <w:t>animus possidendi</w:t>
      </w:r>
      <w:r>
        <w:rPr>
          <w:sz w:val="25"/>
        </w:rPr>
        <w:t>;</w:t>
      </w:r>
      <w:r>
        <w:rPr>
          <w:spacing w:val="-4"/>
          <w:sz w:val="25"/>
        </w:rPr>
        <w:t> </w:t>
      </w:r>
      <w:r>
        <w:rPr>
          <w:sz w:val="25"/>
        </w:rPr>
        <w:t>and</w:t>
      </w:r>
    </w:p>
    <w:p>
      <w:pPr>
        <w:pStyle w:val="BodyText"/>
        <w:spacing w:before="1"/>
      </w:pPr>
    </w:p>
    <w:p>
      <w:pPr>
        <w:pStyle w:val="ListParagraph"/>
        <w:numPr>
          <w:ilvl w:val="0"/>
          <w:numId w:val="239"/>
        </w:numPr>
        <w:tabs>
          <w:tab w:pos="1221" w:val="left" w:leader="none"/>
        </w:tabs>
        <w:spacing w:line="480" w:lineRule="auto" w:before="0" w:after="0"/>
        <w:ind w:left="1220" w:right="443" w:hanging="720"/>
        <w:jc w:val="both"/>
        <w:rPr>
          <w:sz w:val="25"/>
        </w:rPr>
      </w:pPr>
      <w:r>
        <w:rPr>
          <w:sz w:val="25"/>
        </w:rPr>
        <w:t>The absence of a prayer or lesser prayer would not result in a loss of title and title can be lost only on adverse possession beyond</w:t>
      </w:r>
      <w:r>
        <w:rPr>
          <w:spacing w:val="-15"/>
          <w:sz w:val="25"/>
        </w:rPr>
        <w:t> </w:t>
      </w:r>
      <w:r>
        <w:rPr>
          <w:sz w:val="25"/>
        </w:rPr>
        <w:t>limitation;</w:t>
      </w:r>
    </w:p>
    <w:p>
      <w:pPr>
        <w:pStyle w:val="BodyText"/>
        <w:rPr>
          <w:sz w:val="28"/>
        </w:rPr>
      </w:pPr>
    </w:p>
    <w:p>
      <w:pPr>
        <w:pStyle w:val="BodyText"/>
        <w:spacing w:before="1"/>
        <w:rPr>
          <w:sz w:val="22"/>
        </w:rPr>
      </w:pPr>
    </w:p>
    <w:p>
      <w:pPr>
        <w:pStyle w:val="BodyText"/>
        <w:spacing w:line="480" w:lineRule="auto"/>
        <w:ind w:left="500" w:right="438"/>
        <w:jc w:val="both"/>
      </w:pPr>
      <w:r>
        <w:rPr/>
        <w:t>In sum and substance, the basis of the claim of title, as alleged before this Court by Dr Dhavan can be formulated thus:</w:t>
      </w:r>
    </w:p>
    <w:p>
      <w:pPr>
        <w:pStyle w:val="ListParagraph"/>
        <w:numPr>
          <w:ilvl w:val="0"/>
          <w:numId w:val="240"/>
        </w:numPr>
        <w:tabs>
          <w:tab w:pos="1221" w:val="left" w:leader="none"/>
        </w:tabs>
        <w:spacing w:line="480" w:lineRule="auto" w:before="159" w:after="0"/>
        <w:ind w:left="1220" w:right="441" w:hanging="720"/>
        <w:jc w:val="both"/>
        <w:rPr>
          <w:sz w:val="25"/>
        </w:rPr>
      </w:pPr>
      <w:r>
        <w:rPr>
          <w:sz w:val="25"/>
        </w:rPr>
        <w:t>Babri masjid was constructed in 1528 under the command of Babur. The maintenance and upkeep of the mosque was realised by a cash grant payable by the royal treasury during the rule of Babur and the British administration continued the</w:t>
      </w:r>
      <w:r>
        <w:rPr>
          <w:spacing w:val="-3"/>
          <w:sz w:val="25"/>
        </w:rPr>
        <w:t> </w:t>
      </w:r>
      <w:r>
        <w:rPr>
          <w:sz w:val="25"/>
        </w:rPr>
        <w:t>grant;</w:t>
      </w:r>
    </w:p>
    <w:p>
      <w:pPr>
        <w:pStyle w:val="ListParagraph"/>
        <w:numPr>
          <w:ilvl w:val="0"/>
          <w:numId w:val="240"/>
        </w:numPr>
        <w:tabs>
          <w:tab w:pos="1221" w:val="left" w:leader="none"/>
        </w:tabs>
        <w:spacing w:line="480" w:lineRule="auto" w:before="1" w:after="0"/>
        <w:ind w:left="1220" w:right="442" w:hanging="720"/>
        <w:jc w:val="both"/>
        <w:rPr>
          <w:sz w:val="25"/>
        </w:rPr>
      </w:pPr>
      <w:r>
        <w:rPr>
          <w:sz w:val="25"/>
        </w:rPr>
        <w:t>Several attempts of trespass and encroachment by Sikhs and Hindus were repulsed by the Muslims and even the authorities of the state protected their rights by directing</w:t>
      </w:r>
      <w:r>
        <w:rPr>
          <w:spacing w:val="-2"/>
          <w:sz w:val="25"/>
        </w:rPr>
        <w:t> </w:t>
      </w:r>
      <w:r>
        <w:rPr>
          <w:sz w:val="25"/>
        </w:rPr>
        <w:t>-</w:t>
      </w:r>
    </w:p>
    <w:p>
      <w:pPr>
        <w:pStyle w:val="ListParagraph"/>
        <w:numPr>
          <w:ilvl w:val="1"/>
          <w:numId w:val="240"/>
        </w:numPr>
        <w:tabs>
          <w:tab w:pos="1940" w:val="left" w:leader="none"/>
          <w:tab w:pos="1941" w:val="left" w:leader="none"/>
        </w:tabs>
        <w:spacing w:line="286" w:lineRule="exact" w:before="0" w:after="0"/>
        <w:ind w:left="1940" w:right="0" w:hanging="721"/>
        <w:jc w:val="left"/>
        <w:rPr>
          <w:sz w:val="25"/>
        </w:rPr>
      </w:pPr>
      <w:r>
        <w:rPr>
          <w:sz w:val="25"/>
        </w:rPr>
        <w:t>Eviction of Hindu / Sikh squatters from the mosque;</w:t>
      </w:r>
      <w:r>
        <w:rPr>
          <w:spacing w:val="-9"/>
          <w:sz w:val="25"/>
        </w:rPr>
        <w:t> </w:t>
      </w:r>
      <w:r>
        <w:rPr>
          <w:sz w:val="25"/>
        </w:rPr>
        <w:t>and</w:t>
      </w:r>
    </w:p>
    <w:p>
      <w:pPr>
        <w:pStyle w:val="BodyText"/>
        <w:spacing w:before="1"/>
      </w:pPr>
    </w:p>
    <w:p>
      <w:pPr>
        <w:pStyle w:val="ListParagraph"/>
        <w:numPr>
          <w:ilvl w:val="1"/>
          <w:numId w:val="240"/>
        </w:numPr>
        <w:tabs>
          <w:tab w:pos="1940" w:val="left" w:leader="none"/>
          <w:tab w:pos="1941" w:val="left" w:leader="none"/>
        </w:tabs>
        <w:spacing w:line="240" w:lineRule="auto" w:before="0" w:after="0"/>
        <w:ind w:left="1940" w:right="0" w:hanging="721"/>
        <w:jc w:val="left"/>
        <w:rPr>
          <w:sz w:val="25"/>
        </w:rPr>
      </w:pPr>
      <w:r>
        <w:rPr>
          <w:sz w:val="25"/>
        </w:rPr>
        <w:t>Removal of offending</w:t>
      </w:r>
      <w:r>
        <w:rPr>
          <w:spacing w:val="-3"/>
          <w:sz w:val="25"/>
        </w:rPr>
        <w:t> </w:t>
      </w:r>
      <w:r>
        <w:rPr>
          <w:sz w:val="25"/>
        </w:rPr>
        <w:t>constructions;</w:t>
      </w:r>
    </w:p>
    <w:p>
      <w:pPr>
        <w:pStyle w:val="BodyText"/>
        <w:spacing w:before="10"/>
        <w:rPr>
          <w:sz w:val="24"/>
        </w:rPr>
      </w:pPr>
    </w:p>
    <w:p>
      <w:pPr>
        <w:pStyle w:val="ListParagraph"/>
        <w:numPr>
          <w:ilvl w:val="0"/>
          <w:numId w:val="240"/>
        </w:numPr>
        <w:tabs>
          <w:tab w:pos="1221" w:val="left" w:leader="none"/>
        </w:tabs>
        <w:spacing w:line="480" w:lineRule="auto" w:before="1" w:after="0"/>
        <w:ind w:left="1220" w:right="437" w:hanging="720"/>
        <w:jc w:val="both"/>
        <w:rPr>
          <w:sz w:val="25"/>
        </w:rPr>
      </w:pPr>
      <w:r>
        <w:rPr>
          <w:sz w:val="25"/>
        </w:rPr>
        <w:t>At least in 1885, the general belief of the Hindus was that the birth-place of Lord</w:t>
      </w:r>
      <w:r>
        <w:rPr>
          <w:spacing w:val="34"/>
          <w:sz w:val="25"/>
        </w:rPr>
        <w:t> </w:t>
      </w:r>
      <w:r>
        <w:rPr>
          <w:sz w:val="25"/>
        </w:rPr>
        <w:t>Ram</w:t>
      </w:r>
      <w:r>
        <w:rPr>
          <w:spacing w:val="36"/>
          <w:sz w:val="25"/>
        </w:rPr>
        <w:t> </w:t>
      </w:r>
      <w:r>
        <w:rPr>
          <w:sz w:val="25"/>
        </w:rPr>
        <w:t>was</w:t>
      </w:r>
      <w:r>
        <w:rPr>
          <w:spacing w:val="34"/>
          <w:sz w:val="25"/>
        </w:rPr>
        <w:t> </w:t>
      </w:r>
      <w:r>
        <w:rPr>
          <w:sz w:val="25"/>
        </w:rPr>
        <w:t>at</w:t>
      </w:r>
      <w:r>
        <w:rPr>
          <w:spacing w:val="36"/>
          <w:sz w:val="25"/>
        </w:rPr>
        <w:t> </w:t>
      </w:r>
      <w:r>
        <w:rPr>
          <w:sz w:val="25"/>
        </w:rPr>
        <w:t>the</w:t>
      </w:r>
      <w:r>
        <w:rPr>
          <w:spacing w:val="38"/>
          <w:sz w:val="25"/>
        </w:rPr>
        <w:t> </w:t>
      </w:r>
      <w:r>
        <w:rPr>
          <w:sz w:val="25"/>
        </w:rPr>
        <w:t>Ramchabutra.</w:t>
      </w:r>
      <w:r>
        <w:rPr>
          <w:spacing w:val="35"/>
          <w:sz w:val="25"/>
        </w:rPr>
        <w:t> </w:t>
      </w:r>
      <w:r>
        <w:rPr>
          <w:sz w:val="25"/>
        </w:rPr>
        <w:t>This</w:t>
      </w:r>
      <w:r>
        <w:rPr>
          <w:spacing w:val="35"/>
          <w:sz w:val="25"/>
        </w:rPr>
        <w:t> </w:t>
      </w:r>
      <w:r>
        <w:rPr>
          <w:sz w:val="25"/>
        </w:rPr>
        <w:t>belief</w:t>
      </w:r>
      <w:r>
        <w:rPr>
          <w:spacing w:val="34"/>
          <w:sz w:val="25"/>
        </w:rPr>
        <w:t> </w:t>
      </w:r>
      <w:r>
        <w:rPr>
          <w:sz w:val="25"/>
        </w:rPr>
        <w:t>was</w:t>
      </w:r>
      <w:r>
        <w:rPr>
          <w:spacing w:val="35"/>
          <w:sz w:val="25"/>
        </w:rPr>
        <w:t> </w:t>
      </w:r>
      <w:r>
        <w:rPr>
          <w:sz w:val="25"/>
        </w:rPr>
        <w:t>noted</w:t>
      </w:r>
      <w:r>
        <w:rPr>
          <w:spacing w:val="36"/>
          <w:sz w:val="25"/>
        </w:rPr>
        <w:t> </w:t>
      </w:r>
      <w:r>
        <w:rPr>
          <w:sz w:val="25"/>
        </w:rPr>
        <w:t>in</w:t>
      </w:r>
      <w:r>
        <w:rPr>
          <w:spacing w:val="36"/>
          <w:sz w:val="25"/>
        </w:rPr>
        <w:t> </w:t>
      </w:r>
      <w:r>
        <w:rPr>
          <w:sz w:val="25"/>
        </w:rPr>
        <w:t>the</w:t>
      </w:r>
      <w:r>
        <w:rPr>
          <w:spacing w:val="35"/>
          <w:sz w:val="25"/>
        </w:rPr>
        <w:t> </w:t>
      </w:r>
      <w:r>
        <w:rPr>
          <w:sz w:val="25"/>
        </w:rPr>
        <w:t>Suit</w:t>
      </w:r>
      <w:r>
        <w:rPr>
          <w:spacing w:val="35"/>
          <w:sz w:val="25"/>
        </w:rPr>
        <w:t> </w:t>
      </w:r>
      <w:r>
        <w:rPr>
          <w:sz w:val="25"/>
        </w:rPr>
        <w:t>of</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3"/>
        <w:jc w:val="both"/>
      </w:pPr>
      <w:r>
        <w:rPr/>
        <w:t>1885 in which there was a finding that the Hindus had no title over the Chabutra and their rights at the highest were prescriptive in nature;</w:t>
      </w:r>
    </w:p>
    <w:p>
      <w:pPr>
        <w:pStyle w:val="ListParagraph"/>
        <w:numPr>
          <w:ilvl w:val="0"/>
          <w:numId w:val="240"/>
        </w:numPr>
        <w:tabs>
          <w:tab w:pos="1221" w:val="left" w:leader="none"/>
        </w:tabs>
        <w:spacing w:line="480" w:lineRule="auto" w:before="0" w:after="0"/>
        <w:ind w:left="1220" w:right="443" w:hanging="720"/>
        <w:jc w:val="both"/>
        <w:rPr>
          <w:sz w:val="25"/>
        </w:rPr>
      </w:pPr>
      <w:r>
        <w:rPr>
          <w:sz w:val="25"/>
        </w:rPr>
        <w:t>The Hindus have always referred to the disputed structure as a mosque and recognised it as</w:t>
      </w:r>
      <w:r>
        <w:rPr>
          <w:spacing w:val="-3"/>
          <w:sz w:val="25"/>
        </w:rPr>
        <w:t> </w:t>
      </w:r>
      <w:r>
        <w:rPr>
          <w:sz w:val="25"/>
        </w:rPr>
        <w:t>such;</w:t>
      </w:r>
    </w:p>
    <w:p>
      <w:pPr>
        <w:pStyle w:val="ListParagraph"/>
        <w:numPr>
          <w:ilvl w:val="0"/>
          <w:numId w:val="240"/>
        </w:numPr>
        <w:tabs>
          <w:tab w:pos="1221" w:val="left" w:leader="none"/>
        </w:tabs>
        <w:spacing w:line="480" w:lineRule="auto" w:before="0" w:after="0"/>
        <w:ind w:left="1220" w:right="446" w:hanging="720"/>
        <w:jc w:val="both"/>
        <w:rPr>
          <w:sz w:val="25"/>
        </w:rPr>
      </w:pPr>
      <w:r>
        <w:rPr>
          <w:sz w:val="25"/>
        </w:rPr>
        <w:t>Muslims continuously offered prayers in the disputed structure, as is evident</w:t>
      </w:r>
      <w:r>
        <w:rPr>
          <w:spacing w:val="-2"/>
          <w:sz w:val="25"/>
        </w:rPr>
        <w:t> </w:t>
      </w:r>
      <w:r>
        <w:rPr>
          <w:sz w:val="25"/>
        </w:rPr>
        <w:t>from:</w:t>
      </w:r>
    </w:p>
    <w:p>
      <w:pPr>
        <w:pStyle w:val="ListParagraph"/>
        <w:numPr>
          <w:ilvl w:val="1"/>
          <w:numId w:val="240"/>
        </w:numPr>
        <w:tabs>
          <w:tab w:pos="1941" w:val="left" w:leader="none"/>
        </w:tabs>
        <w:spacing w:line="480" w:lineRule="auto" w:before="0" w:after="0"/>
        <w:ind w:left="1940" w:right="445" w:hanging="720"/>
        <w:jc w:val="both"/>
        <w:rPr>
          <w:sz w:val="25"/>
        </w:rPr>
      </w:pPr>
      <w:r>
        <w:rPr>
          <w:sz w:val="25"/>
        </w:rPr>
        <w:t>The agreement dated 25 July 1936 for payment of arrears and salary of the Pesh</w:t>
      </w:r>
      <w:r>
        <w:rPr>
          <w:spacing w:val="-4"/>
          <w:sz w:val="25"/>
        </w:rPr>
        <w:t> </w:t>
      </w:r>
      <w:r>
        <w:rPr>
          <w:sz w:val="25"/>
        </w:rPr>
        <w:t>Imam;</w:t>
      </w:r>
    </w:p>
    <w:p>
      <w:pPr>
        <w:pStyle w:val="ListParagraph"/>
        <w:numPr>
          <w:ilvl w:val="1"/>
          <w:numId w:val="240"/>
        </w:numPr>
        <w:tabs>
          <w:tab w:pos="1941" w:val="left" w:leader="none"/>
        </w:tabs>
        <w:spacing w:line="480" w:lineRule="auto" w:before="1" w:after="0"/>
        <w:ind w:left="1940" w:right="441" w:hanging="720"/>
        <w:jc w:val="both"/>
        <w:rPr>
          <w:sz w:val="25"/>
        </w:rPr>
      </w:pPr>
      <w:r>
        <w:rPr>
          <w:sz w:val="25"/>
        </w:rPr>
        <w:t>Testimonies of witnesses recorded in the Shia/Sunni suit of 1941; and</w:t>
      </w:r>
    </w:p>
    <w:p>
      <w:pPr>
        <w:pStyle w:val="ListParagraph"/>
        <w:numPr>
          <w:ilvl w:val="1"/>
          <w:numId w:val="240"/>
        </w:numPr>
        <w:tabs>
          <w:tab w:pos="1941" w:val="left" w:leader="none"/>
        </w:tabs>
        <w:spacing w:line="480" w:lineRule="auto" w:before="0" w:after="0"/>
        <w:ind w:left="1940" w:right="444" w:hanging="720"/>
        <w:jc w:val="both"/>
        <w:rPr>
          <w:sz w:val="25"/>
        </w:rPr>
      </w:pPr>
      <w:r>
        <w:rPr>
          <w:sz w:val="25"/>
        </w:rPr>
        <w:t>Acceptance, during the course of the arguments by the plaintiffs of Suit 5, that namaz was offered in the mosque until 16 December 1949;</w:t>
      </w:r>
    </w:p>
    <w:p>
      <w:pPr>
        <w:pStyle w:val="ListParagraph"/>
        <w:numPr>
          <w:ilvl w:val="0"/>
          <w:numId w:val="240"/>
        </w:numPr>
        <w:tabs>
          <w:tab w:pos="1220" w:val="left" w:leader="none"/>
          <w:tab w:pos="1221" w:val="left" w:leader="none"/>
        </w:tabs>
        <w:spacing w:line="286" w:lineRule="exact" w:before="0" w:after="0"/>
        <w:ind w:left="1220" w:right="0" w:hanging="721"/>
        <w:jc w:val="left"/>
        <w:rPr>
          <w:sz w:val="25"/>
        </w:rPr>
      </w:pPr>
      <w:r>
        <w:rPr>
          <w:sz w:val="25"/>
        </w:rPr>
        <w:t>The rights which the Hindus claim are based purely on illegal</w:t>
      </w:r>
      <w:r>
        <w:rPr>
          <w:spacing w:val="-13"/>
          <w:sz w:val="25"/>
        </w:rPr>
        <w:t> </w:t>
      </w:r>
      <w:r>
        <w:rPr>
          <w:sz w:val="25"/>
        </w:rPr>
        <w:t>acts:</w:t>
      </w:r>
    </w:p>
    <w:p>
      <w:pPr>
        <w:pStyle w:val="BodyText"/>
        <w:spacing w:before="1"/>
      </w:pPr>
    </w:p>
    <w:p>
      <w:pPr>
        <w:pStyle w:val="ListParagraph"/>
        <w:numPr>
          <w:ilvl w:val="1"/>
          <w:numId w:val="240"/>
        </w:numPr>
        <w:tabs>
          <w:tab w:pos="1941" w:val="left" w:leader="none"/>
        </w:tabs>
        <w:spacing w:line="480" w:lineRule="auto" w:before="0" w:after="0"/>
        <w:ind w:left="1940" w:right="442" w:hanging="720"/>
        <w:jc w:val="both"/>
        <w:rPr>
          <w:sz w:val="25"/>
        </w:rPr>
      </w:pPr>
      <w:r>
        <w:rPr>
          <w:sz w:val="25"/>
        </w:rPr>
        <w:t>Preventing or harassing Muslims when they proceeded to the mosque to offer namaz;</w:t>
      </w:r>
    </w:p>
    <w:p>
      <w:pPr>
        <w:pStyle w:val="ListParagraph"/>
        <w:numPr>
          <w:ilvl w:val="1"/>
          <w:numId w:val="240"/>
        </w:numPr>
        <w:tabs>
          <w:tab w:pos="1941" w:val="left" w:leader="none"/>
        </w:tabs>
        <w:spacing w:line="482" w:lineRule="auto" w:before="0" w:after="0"/>
        <w:ind w:left="1940" w:right="444" w:hanging="720"/>
        <w:jc w:val="both"/>
        <w:rPr>
          <w:sz w:val="25"/>
        </w:rPr>
      </w:pPr>
      <w:r>
        <w:rPr>
          <w:sz w:val="25"/>
        </w:rPr>
        <w:t>Destroying a part of the mosque in 1934 leading to repairs and the imposition of fines on the</w:t>
      </w:r>
      <w:r>
        <w:rPr>
          <w:spacing w:val="-3"/>
          <w:sz w:val="25"/>
        </w:rPr>
        <w:t> </w:t>
      </w:r>
      <w:r>
        <w:rPr>
          <w:sz w:val="25"/>
        </w:rPr>
        <w:t>Hindus;</w:t>
      </w:r>
    </w:p>
    <w:p>
      <w:pPr>
        <w:pStyle w:val="ListParagraph"/>
        <w:numPr>
          <w:ilvl w:val="1"/>
          <w:numId w:val="240"/>
        </w:numPr>
        <w:tabs>
          <w:tab w:pos="1940" w:val="left" w:leader="none"/>
          <w:tab w:pos="1941" w:val="left" w:leader="none"/>
        </w:tabs>
        <w:spacing w:line="282" w:lineRule="exact" w:before="0" w:after="0"/>
        <w:ind w:left="1940" w:right="0" w:hanging="721"/>
        <w:jc w:val="left"/>
        <w:rPr>
          <w:sz w:val="25"/>
        </w:rPr>
      </w:pPr>
      <w:r>
        <w:rPr>
          <w:sz w:val="25"/>
        </w:rPr>
        <w:t>Desecration of the mosque on 22/23 December 1949;</w:t>
      </w:r>
      <w:r>
        <w:rPr>
          <w:spacing w:val="-10"/>
          <w:sz w:val="25"/>
        </w:rPr>
        <w:t> </w:t>
      </w:r>
      <w:r>
        <w:rPr>
          <w:sz w:val="25"/>
        </w:rPr>
        <w:t>and</w:t>
      </w:r>
    </w:p>
    <w:p>
      <w:pPr>
        <w:pStyle w:val="BodyText"/>
        <w:spacing w:before="1"/>
      </w:pPr>
    </w:p>
    <w:p>
      <w:pPr>
        <w:pStyle w:val="ListParagraph"/>
        <w:numPr>
          <w:ilvl w:val="1"/>
          <w:numId w:val="240"/>
        </w:numPr>
        <w:tabs>
          <w:tab w:pos="1940" w:val="left" w:leader="none"/>
          <w:tab w:pos="1941" w:val="left" w:leader="none"/>
        </w:tabs>
        <w:spacing w:line="240" w:lineRule="auto" w:before="0" w:after="0"/>
        <w:ind w:left="1940" w:right="0" w:hanging="721"/>
        <w:jc w:val="left"/>
        <w:rPr>
          <w:sz w:val="25"/>
        </w:rPr>
      </w:pPr>
      <w:r>
        <w:rPr>
          <w:sz w:val="25"/>
        </w:rPr>
        <w:t>Demolition</w:t>
      </w:r>
      <w:r>
        <w:rPr>
          <w:spacing w:val="34"/>
          <w:sz w:val="25"/>
        </w:rPr>
        <w:t> </w:t>
      </w:r>
      <w:r>
        <w:rPr>
          <w:sz w:val="25"/>
        </w:rPr>
        <w:t>of</w:t>
      </w:r>
      <w:r>
        <w:rPr>
          <w:spacing w:val="36"/>
          <w:sz w:val="25"/>
        </w:rPr>
        <w:t> </w:t>
      </w:r>
      <w:r>
        <w:rPr>
          <w:sz w:val="25"/>
        </w:rPr>
        <w:t>the</w:t>
      </w:r>
      <w:r>
        <w:rPr>
          <w:spacing w:val="36"/>
          <w:sz w:val="25"/>
        </w:rPr>
        <w:t> </w:t>
      </w:r>
      <w:r>
        <w:rPr>
          <w:sz w:val="25"/>
        </w:rPr>
        <w:t>mosque</w:t>
      </w:r>
      <w:r>
        <w:rPr>
          <w:spacing w:val="34"/>
          <w:sz w:val="25"/>
        </w:rPr>
        <w:t> </w:t>
      </w:r>
      <w:r>
        <w:rPr>
          <w:sz w:val="25"/>
        </w:rPr>
        <w:t>on</w:t>
      </w:r>
      <w:r>
        <w:rPr>
          <w:spacing w:val="35"/>
          <w:sz w:val="25"/>
        </w:rPr>
        <w:t> </w:t>
      </w:r>
      <w:r>
        <w:rPr>
          <w:sz w:val="25"/>
        </w:rPr>
        <w:t>6</w:t>
      </w:r>
      <w:r>
        <w:rPr>
          <w:spacing w:val="35"/>
          <w:sz w:val="25"/>
        </w:rPr>
        <w:t> </w:t>
      </w:r>
      <w:r>
        <w:rPr>
          <w:sz w:val="25"/>
        </w:rPr>
        <w:t>December</w:t>
      </w:r>
      <w:r>
        <w:rPr>
          <w:spacing w:val="35"/>
          <w:sz w:val="25"/>
        </w:rPr>
        <w:t> </w:t>
      </w:r>
      <w:r>
        <w:rPr>
          <w:sz w:val="25"/>
        </w:rPr>
        <w:t>1992</w:t>
      </w:r>
      <w:r>
        <w:rPr>
          <w:spacing w:val="35"/>
          <w:sz w:val="25"/>
        </w:rPr>
        <w:t> </w:t>
      </w:r>
      <w:r>
        <w:rPr>
          <w:sz w:val="25"/>
        </w:rPr>
        <w:t>in</w:t>
      </w:r>
      <w:r>
        <w:rPr>
          <w:spacing w:val="35"/>
          <w:sz w:val="25"/>
        </w:rPr>
        <w:t> </w:t>
      </w:r>
      <w:r>
        <w:rPr>
          <w:sz w:val="25"/>
        </w:rPr>
        <w:t>violation</w:t>
      </w:r>
      <w:r>
        <w:rPr>
          <w:spacing w:val="36"/>
          <w:sz w:val="25"/>
        </w:rPr>
        <w:t> </w:t>
      </w:r>
      <w:r>
        <w:rPr>
          <w:sz w:val="25"/>
        </w:rPr>
        <w:t>of</w:t>
      </w:r>
      <w:r>
        <w:rPr>
          <w:spacing w:val="37"/>
          <w:sz w:val="25"/>
        </w:rPr>
        <w:t> </w:t>
      </w:r>
      <w:r>
        <w:rPr>
          <w:sz w:val="25"/>
        </w:rPr>
        <w:t>the</w:t>
      </w:r>
    </w:p>
    <w:p>
      <w:pPr>
        <w:pStyle w:val="BodyText"/>
        <w:spacing w:before="10"/>
        <w:rPr>
          <w:sz w:val="24"/>
        </w:rPr>
      </w:pPr>
    </w:p>
    <w:p>
      <w:pPr>
        <w:spacing w:before="0"/>
        <w:ind w:left="1940" w:right="0" w:firstLine="0"/>
        <w:jc w:val="left"/>
        <w:rPr>
          <w:sz w:val="25"/>
        </w:rPr>
      </w:pPr>
      <w:r>
        <w:rPr>
          <w:i/>
          <w:sz w:val="25"/>
        </w:rPr>
        <w:t>status quo </w:t>
      </w:r>
      <w:r>
        <w:rPr>
          <w:sz w:val="25"/>
        </w:rPr>
        <w:t>orders of this Court;</w:t>
      </w:r>
    </w:p>
    <w:p>
      <w:pPr>
        <w:pStyle w:val="BodyText"/>
        <w:spacing w:before="1"/>
      </w:pPr>
    </w:p>
    <w:p>
      <w:pPr>
        <w:pStyle w:val="ListParagraph"/>
        <w:numPr>
          <w:ilvl w:val="0"/>
          <w:numId w:val="240"/>
        </w:numPr>
        <w:tabs>
          <w:tab w:pos="1221" w:val="left" w:leader="none"/>
        </w:tabs>
        <w:spacing w:line="480" w:lineRule="auto" w:before="0" w:after="0"/>
        <w:ind w:left="1220" w:right="442" w:hanging="720"/>
        <w:jc w:val="both"/>
        <w:rPr>
          <w:sz w:val="25"/>
        </w:rPr>
      </w:pPr>
      <w:r>
        <w:rPr>
          <w:sz w:val="25"/>
        </w:rPr>
        <w:t>The disputed structure has in consequence always been a mosque which remained in possession of Muslims from 1528 until its desecration on 22/23 December</w:t>
      </w:r>
      <w:r>
        <w:rPr>
          <w:spacing w:val="-1"/>
          <w:sz w:val="25"/>
        </w:rPr>
        <w:t> </w:t>
      </w:r>
      <w:r>
        <w:rPr>
          <w:sz w:val="25"/>
        </w:rPr>
        <w:t>1949.</w:t>
      </w:r>
    </w:p>
    <w:p>
      <w:pPr>
        <w:spacing w:after="0" w:line="480" w:lineRule="auto"/>
        <w:jc w:val="both"/>
        <w:rPr>
          <w:sz w:val="25"/>
        </w:rPr>
        <w:sectPr>
          <w:pgSz w:w="11910" w:h="16840"/>
          <w:pgMar w:header="721" w:footer="1014" w:top="1300" w:bottom="1200" w:left="940" w:right="1000"/>
        </w:sectPr>
      </w:pPr>
    </w:p>
    <w:p>
      <w:pPr>
        <w:pStyle w:val="ListParagraph"/>
        <w:numPr>
          <w:ilvl w:val="0"/>
          <w:numId w:val="235"/>
        </w:numPr>
        <w:tabs>
          <w:tab w:pos="1221" w:val="left" w:leader="none"/>
        </w:tabs>
        <w:spacing w:line="480" w:lineRule="auto" w:before="124" w:after="0"/>
        <w:ind w:left="500" w:right="442" w:firstLine="0"/>
        <w:jc w:val="both"/>
        <w:rPr>
          <w:sz w:val="25"/>
        </w:rPr>
      </w:pPr>
      <w:r>
        <w:rPr>
          <w:sz w:val="25"/>
        </w:rPr>
        <w:t>This limb of the submission of Dr Dhavan is essentially founded on possessory title. In the earlier analysis on the claim of an independent title, it has been found that the Muslims have been unable to establish a specific grant of the land underlying the mosque as a foundation of legal title during Muslims rule or upon the transfer of power to the colonial administration after 1857. The documentary evidence which has been relied upon consists of revenue records pertaining to grants for the upkeep and maintenance of the mosque. Dr Dhavan has however urged for the acceptance </w:t>
      </w:r>
      <w:r>
        <w:rPr>
          <w:spacing w:val="2"/>
          <w:sz w:val="25"/>
        </w:rPr>
        <w:t>of </w:t>
      </w:r>
      <w:r>
        <w:rPr>
          <w:sz w:val="25"/>
        </w:rPr>
        <w:t>the claim of the Muslims that they were in possession of the inner and outer courtyard and the continuous nature of that possession creates a presumption of title which the Hindus cannot</w:t>
      </w:r>
      <w:r>
        <w:rPr>
          <w:spacing w:val="-14"/>
          <w:sz w:val="25"/>
        </w:rPr>
        <w:t> </w:t>
      </w:r>
      <w:r>
        <w:rPr>
          <w:sz w:val="25"/>
        </w:rPr>
        <w:t>displace.</w:t>
      </w:r>
    </w:p>
    <w:p>
      <w:pPr>
        <w:pStyle w:val="BodyText"/>
        <w:spacing w:before="10"/>
        <w:rPr>
          <w:sz w:val="38"/>
        </w:rPr>
      </w:pPr>
    </w:p>
    <w:p>
      <w:pPr>
        <w:pStyle w:val="ListParagraph"/>
        <w:numPr>
          <w:ilvl w:val="0"/>
          <w:numId w:val="235"/>
        </w:numPr>
        <w:tabs>
          <w:tab w:pos="1221" w:val="left" w:leader="none"/>
        </w:tabs>
        <w:spacing w:line="240" w:lineRule="auto" w:before="0" w:after="0"/>
        <w:ind w:left="1220" w:right="0" w:hanging="721"/>
        <w:jc w:val="both"/>
        <w:rPr>
          <w:sz w:val="25"/>
        </w:rPr>
      </w:pPr>
      <w:r>
        <w:rPr>
          <w:sz w:val="25"/>
        </w:rPr>
        <w:t>Section 110 of the Evidence Act 1872 provides</w:t>
      </w:r>
      <w:r>
        <w:rPr>
          <w:spacing w:val="-7"/>
          <w:sz w:val="25"/>
        </w:rPr>
        <w:t> </w:t>
      </w:r>
      <w:r>
        <w:rPr>
          <w:sz w:val="25"/>
        </w:rPr>
        <w:t>thus:</w:t>
      </w:r>
    </w:p>
    <w:p>
      <w:pPr>
        <w:pStyle w:val="BodyText"/>
        <w:spacing w:before="10"/>
        <w:rPr>
          <w:sz w:val="38"/>
        </w:rPr>
      </w:pPr>
    </w:p>
    <w:p>
      <w:pPr>
        <w:spacing w:line="276" w:lineRule="auto" w:before="0"/>
        <w:ind w:left="1940" w:right="2253" w:firstLine="0"/>
        <w:jc w:val="both"/>
        <w:rPr>
          <w:sz w:val="21"/>
        </w:rPr>
      </w:pPr>
      <w:r>
        <w:rPr>
          <w:spacing w:val="-1"/>
          <w:w w:val="33"/>
          <w:sz w:val="21"/>
        </w:rPr>
        <w:t>―</w:t>
      </w:r>
      <w:r>
        <w:rPr>
          <w:w w:val="100"/>
          <w:sz w:val="21"/>
        </w:rPr>
        <w:t>S</w:t>
      </w:r>
      <w:r>
        <w:rPr>
          <w:spacing w:val="-1"/>
          <w:w w:val="100"/>
          <w:sz w:val="21"/>
        </w:rPr>
        <w:t>ect</w:t>
      </w:r>
      <w:r>
        <w:rPr>
          <w:spacing w:val="-2"/>
          <w:w w:val="100"/>
          <w:sz w:val="21"/>
        </w:rPr>
        <w:t>i</w:t>
      </w:r>
      <w:r>
        <w:rPr>
          <w:spacing w:val="-1"/>
          <w:w w:val="100"/>
          <w:sz w:val="21"/>
        </w:rPr>
        <w:t>o</w:t>
      </w:r>
      <w:r>
        <w:rPr>
          <w:w w:val="100"/>
          <w:sz w:val="21"/>
        </w:rPr>
        <w:t>n</w:t>
      </w:r>
      <w:r>
        <w:rPr>
          <w:sz w:val="21"/>
        </w:rPr>
        <w:t> </w:t>
      </w:r>
      <w:r>
        <w:rPr>
          <w:spacing w:val="-21"/>
          <w:sz w:val="21"/>
        </w:rPr>
        <w:t> </w:t>
      </w:r>
      <w:r>
        <w:rPr>
          <w:spacing w:val="-1"/>
          <w:w w:val="100"/>
          <w:sz w:val="21"/>
        </w:rPr>
        <w:t>1</w:t>
      </w:r>
      <w:r>
        <w:rPr>
          <w:spacing w:val="-3"/>
          <w:w w:val="100"/>
          <w:sz w:val="21"/>
        </w:rPr>
        <w:t>1</w:t>
      </w:r>
      <w:r>
        <w:rPr>
          <w:spacing w:val="-1"/>
          <w:w w:val="100"/>
          <w:sz w:val="21"/>
        </w:rPr>
        <w:t>0</w:t>
      </w:r>
      <w:r>
        <w:rPr>
          <w:w w:val="100"/>
          <w:sz w:val="21"/>
        </w:rPr>
        <w:t>.-</w:t>
      </w:r>
      <w:r>
        <w:rPr>
          <w:sz w:val="21"/>
        </w:rPr>
        <w:t> </w:t>
      </w:r>
      <w:r>
        <w:rPr>
          <w:spacing w:val="-22"/>
          <w:sz w:val="21"/>
        </w:rPr>
        <w:t> </w:t>
      </w:r>
      <w:r>
        <w:rPr>
          <w:w w:val="100"/>
          <w:sz w:val="21"/>
        </w:rPr>
        <w:t>B</w:t>
      </w:r>
      <w:r>
        <w:rPr>
          <w:w w:val="100"/>
          <w:sz w:val="21"/>
        </w:rPr>
        <w:t>urd</w:t>
      </w:r>
      <w:r>
        <w:rPr>
          <w:spacing w:val="-3"/>
          <w:w w:val="100"/>
          <w:sz w:val="21"/>
        </w:rPr>
        <w:t>e</w:t>
      </w:r>
      <w:r>
        <w:rPr>
          <w:w w:val="100"/>
          <w:sz w:val="21"/>
        </w:rPr>
        <w:t>n</w:t>
      </w:r>
      <w:r>
        <w:rPr>
          <w:sz w:val="21"/>
        </w:rPr>
        <w:t> </w:t>
      </w:r>
      <w:r>
        <w:rPr>
          <w:spacing w:val="-21"/>
          <w:sz w:val="21"/>
        </w:rPr>
        <w:t> </w:t>
      </w:r>
      <w:r>
        <w:rPr>
          <w:w w:val="100"/>
          <w:sz w:val="21"/>
        </w:rPr>
        <w:t>of</w:t>
      </w:r>
      <w:r>
        <w:rPr>
          <w:sz w:val="21"/>
        </w:rPr>
        <w:t> </w:t>
      </w:r>
      <w:r>
        <w:rPr>
          <w:spacing w:val="-22"/>
          <w:sz w:val="21"/>
        </w:rPr>
        <w:t> </w:t>
      </w:r>
      <w:r>
        <w:rPr>
          <w:w w:val="100"/>
          <w:sz w:val="21"/>
        </w:rPr>
        <w:t>proof</w:t>
      </w:r>
      <w:r>
        <w:rPr>
          <w:sz w:val="21"/>
        </w:rPr>
        <w:t> </w:t>
      </w:r>
      <w:r>
        <w:rPr>
          <w:spacing w:val="-20"/>
          <w:sz w:val="21"/>
        </w:rPr>
        <w:t> </w:t>
      </w:r>
      <w:r>
        <w:rPr>
          <w:w w:val="100"/>
          <w:sz w:val="21"/>
        </w:rPr>
        <w:t>as</w:t>
      </w:r>
      <w:r>
        <w:rPr>
          <w:sz w:val="21"/>
        </w:rPr>
        <w:t> </w:t>
      </w:r>
      <w:r>
        <w:rPr>
          <w:spacing w:val="-21"/>
          <w:sz w:val="21"/>
        </w:rPr>
        <w:t> </w:t>
      </w:r>
      <w:r>
        <w:rPr>
          <w:spacing w:val="-2"/>
          <w:w w:val="100"/>
          <w:sz w:val="21"/>
        </w:rPr>
        <w:t>t</w:t>
      </w:r>
      <w:r>
        <w:rPr>
          <w:w w:val="100"/>
          <w:sz w:val="21"/>
        </w:rPr>
        <w:t>o</w:t>
      </w:r>
      <w:r>
        <w:rPr>
          <w:sz w:val="21"/>
        </w:rPr>
        <w:t> </w:t>
      </w:r>
      <w:r>
        <w:rPr>
          <w:spacing w:val="-21"/>
          <w:sz w:val="21"/>
        </w:rPr>
        <w:t> </w:t>
      </w:r>
      <w:r>
        <w:rPr>
          <w:w w:val="100"/>
          <w:sz w:val="21"/>
        </w:rPr>
        <w:t>o</w:t>
      </w:r>
      <w:r>
        <w:rPr>
          <w:spacing w:val="-2"/>
          <w:w w:val="100"/>
          <w:sz w:val="21"/>
        </w:rPr>
        <w:t>w</w:t>
      </w:r>
      <w:r>
        <w:rPr>
          <w:spacing w:val="-3"/>
          <w:w w:val="100"/>
          <w:sz w:val="21"/>
        </w:rPr>
        <w:t>n</w:t>
      </w:r>
      <w:r>
        <w:rPr>
          <w:w w:val="100"/>
          <w:sz w:val="21"/>
        </w:rPr>
        <w:t>ers</w:t>
      </w:r>
      <w:r>
        <w:rPr>
          <w:spacing w:val="-3"/>
          <w:w w:val="100"/>
          <w:sz w:val="21"/>
        </w:rPr>
        <w:t>h</w:t>
      </w:r>
      <w:r>
        <w:rPr>
          <w:w w:val="100"/>
          <w:sz w:val="21"/>
        </w:rPr>
        <w:t>i</w:t>
      </w:r>
      <w:r>
        <w:rPr>
          <w:w w:val="100"/>
          <w:sz w:val="21"/>
        </w:rPr>
        <w:t>p</w:t>
      </w:r>
      <w:r>
        <w:rPr>
          <w:sz w:val="21"/>
        </w:rPr>
        <w:t> </w:t>
      </w:r>
      <w:r>
        <w:rPr>
          <w:spacing w:val="-19"/>
          <w:sz w:val="21"/>
        </w:rPr>
        <w:t> </w:t>
      </w:r>
      <w:r>
        <w:rPr>
          <w:w w:val="100"/>
          <w:sz w:val="21"/>
        </w:rPr>
        <w:t>-</w:t>
      </w:r>
      <w:r>
        <w:rPr>
          <w:sz w:val="21"/>
        </w:rPr>
        <w:t> </w:t>
      </w:r>
      <w:r>
        <w:rPr>
          <w:spacing w:val="-22"/>
          <w:sz w:val="21"/>
        </w:rPr>
        <w:t> </w:t>
      </w:r>
      <w:r>
        <w:rPr>
          <w:spacing w:val="-2"/>
          <w:w w:val="100"/>
          <w:sz w:val="21"/>
        </w:rPr>
        <w:t>w</w:t>
      </w:r>
      <w:r>
        <w:rPr>
          <w:w w:val="100"/>
          <w:sz w:val="21"/>
        </w:rPr>
        <w:t>hen</w:t>
      </w:r>
      <w:r>
        <w:rPr>
          <w:sz w:val="21"/>
        </w:rPr>
        <w:t> </w:t>
      </w:r>
      <w:r>
        <w:rPr>
          <w:spacing w:val="-21"/>
          <w:sz w:val="21"/>
        </w:rPr>
        <w:t> </w:t>
      </w:r>
      <w:r>
        <w:rPr>
          <w:spacing w:val="-2"/>
          <w:w w:val="100"/>
          <w:sz w:val="21"/>
        </w:rPr>
        <w:t>t</w:t>
      </w:r>
      <w:r>
        <w:rPr>
          <w:w w:val="100"/>
          <w:sz w:val="21"/>
        </w:rPr>
        <w:t>he </w:t>
      </w:r>
      <w:r>
        <w:rPr>
          <w:sz w:val="21"/>
        </w:rPr>
        <w:t>question is whether any person is owner of anything of which he is shown to be in possession, the burden of proving that  he is not the owner is on the person who affirms that he is not the</w:t>
      </w:r>
      <w:r>
        <w:rPr>
          <w:spacing w:val="-2"/>
          <w:sz w:val="21"/>
        </w:rPr>
        <w:t> </w:t>
      </w:r>
      <w:r>
        <w:rPr>
          <w:sz w:val="21"/>
        </w:rPr>
        <w:t>owner.‖</w:t>
      </w:r>
    </w:p>
    <w:p>
      <w:pPr>
        <w:pStyle w:val="BodyText"/>
        <w:rPr>
          <w:sz w:val="24"/>
        </w:rPr>
      </w:pPr>
    </w:p>
    <w:p>
      <w:pPr>
        <w:pStyle w:val="BodyText"/>
        <w:spacing w:line="480" w:lineRule="auto" w:before="208"/>
        <w:ind w:left="500" w:right="442"/>
        <w:jc w:val="both"/>
      </w:pPr>
      <w:r>
        <w:rPr/>
        <w:t>Section 110 deals with the burden of proof. Where the provision applies, the burden of proving that another person who is in possession is not the owner lies on the person who affirms against the ownership of that other person. But, for Section 110 to be attracted, there must be a question as to whether any person is the owner of anything and the ownership claimed must be that of which he is shown to be in possession. Section 110 is based on the principle that title follows possession. That is why the provision postulates that where a person is shown to be in possession, and a question arises as to whether that person is the owner,</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1"/>
        <w:jc w:val="both"/>
      </w:pPr>
      <w:r>
        <w:rPr/>
        <w:t>the law casts the burden of disproving ownership on the individual who affirms that the person in possession is not the owner.</w:t>
      </w:r>
    </w:p>
    <w:p>
      <w:pPr>
        <w:pStyle w:val="BodyText"/>
      </w:pPr>
    </w:p>
    <w:p>
      <w:pPr>
        <w:pStyle w:val="ListParagraph"/>
        <w:numPr>
          <w:ilvl w:val="0"/>
          <w:numId w:val="235"/>
        </w:numPr>
        <w:tabs>
          <w:tab w:pos="1221" w:val="left" w:leader="none"/>
        </w:tabs>
        <w:spacing w:line="240" w:lineRule="auto" w:before="0" w:after="0"/>
        <w:ind w:left="1220" w:right="0" w:hanging="721"/>
        <w:jc w:val="both"/>
        <w:rPr>
          <w:sz w:val="25"/>
        </w:rPr>
      </w:pPr>
      <w:r>
        <w:rPr>
          <w:sz w:val="25"/>
        </w:rPr>
        <w:t>Several</w:t>
      </w:r>
      <w:r>
        <w:rPr>
          <w:spacing w:val="24"/>
          <w:sz w:val="25"/>
        </w:rPr>
        <w:t> </w:t>
      </w:r>
      <w:r>
        <w:rPr>
          <w:sz w:val="25"/>
        </w:rPr>
        <w:t>decisions</w:t>
      </w:r>
      <w:r>
        <w:rPr>
          <w:spacing w:val="25"/>
          <w:sz w:val="25"/>
        </w:rPr>
        <w:t> </w:t>
      </w:r>
      <w:r>
        <w:rPr>
          <w:sz w:val="25"/>
        </w:rPr>
        <w:t>of</w:t>
      </w:r>
      <w:r>
        <w:rPr>
          <w:spacing w:val="24"/>
          <w:sz w:val="25"/>
        </w:rPr>
        <w:t> </w:t>
      </w:r>
      <w:r>
        <w:rPr>
          <w:sz w:val="25"/>
        </w:rPr>
        <w:t>this</w:t>
      </w:r>
      <w:r>
        <w:rPr>
          <w:spacing w:val="25"/>
          <w:sz w:val="25"/>
        </w:rPr>
        <w:t> </w:t>
      </w:r>
      <w:r>
        <w:rPr>
          <w:sz w:val="25"/>
        </w:rPr>
        <w:t>Court</w:t>
      </w:r>
      <w:r>
        <w:rPr>
          <w:spacing w:val="25"/>
          <w:sz w:val="25"/>
        </w:rPr>
        <w:t> </w:t>
      </w:r>
      <w:r>
        <w:rPr>
          <w:sz w:val="25"/>
        </w:rPr>
        <w:t>have</w:t>
      </w:r>
      <w:r>
        <w:rPr>
          <w:spacing w:val="24"/>
          <w:sz w:val="25"/>
        </w:rPr>
        <w:t> </w:t>
      </w:r>
      <w:r>
        <w:rPr>
          <w:sz w:val="25"/>
        </w:rPr>
        <w:t>interpreted</w:t>
      </w:r>
      <w:r>
        <w:rPr>
          <w:spacing w:val="25"/>
          <w:sz w:val="25"/>
        </w:rPr>
        <w:t> </w:t>
      </w:r>
      <w:r>
        <w:rPr>
          <w:sz w:val="25"/>
        </w:rPr>
        <w:t>the</w:t>
      </w:r>
      <w:r>
        <w:rPr>
          <w:spacing w:val="26"/>
          <w:sz w:val="25"/>
        </w:rPr>
        <w:t> </w:t>
      </w:r>
      <w:r>
        <w:rPr>
          <w:sz w:val="25"/>
        </w:rPr>
        <w:t>provisions</w:t>
      </w:r>
      <w:r>
        <w:rPr>
          <w:spacing w:val="27"/>
          <w:sz w:val="25"/>
        </w:rPr>
        <w:t> </w:t>
      </w:r>
      <w:r>
        <w:rPr>
          <w:sz w:val="25"/>
        </w:rPr>
        <w:t>of</w:t>
      </w:r>
      <w:r>
        <w:rPr>
          <w:spacing w:val="25"/>
          <w:sz w:val="25"/>
        </w:rPr>
        <w:t> </w:t>
      </w:r>
      <w:r>
        <w:rPr>
          <w:sz w:val="25"/>
        </w:rPr>
        <w:t>Section</w:t>
      </w:r>
    </w:p>
    <w:p>
      <w:pPr>
        <w:pStyle w:val="BodyText"/>
        <w:spacing w:before="10"/>
        <w:rPr>
          <w:sz w:val="24"/>
        </w:rPr>
      </w:pPr>
    </w:p>
    <w:p>
      <w:pPr>
        <w:pStyle w:val="BodyText"/>
        <w:spacing w:line="480" w:lineRule="auto"/>
        <w:ind w:left="500" w:right="440"/>
        <w:jc w:val="both"/>
      </w:pPr>
      <w:r>
        <w:rPr/>
        <w:t>110. Section 110 is based on the principle that possession in and of itself may raise a presumption of title. But this applies when the facts disclose no title in either of the disputants in which case, as it is said, possession alone decides. Hence, on the other hand, it is also well-settled that the presumption cannot be arise when the facts are known.</w:t>
      </w:r>
    </w:p>
    <w:p>
      <w:pPr>
        <w:pStyle w:val="BodyText"/>
        <w:spacing w:before="10"/>
        <w:rPr>
          <w:sz w:val="38"/>
        </w:rPr>
      </w:pPr>
    </w:p>
    <w:p>
      <w:pPr>
        <w:spacing w:line="480" w:lineRule="auto" w:before="0"/>
        <w:ind w:left="500" w:right="442" w:firstLine="0"/>
        <w:jc w:val="both"/>
        <w:rPr>
          <w:sz w:val="25"/>
        </w:rPr>
      </w:pPr>
      <w:r>
        <w:rPr>
          <w:sz w:val="25"/>
        </w:rPr>
        <w:t>In </w:t>
      </w:r>
      <w:r>
        <w:rPr>
          <w:b/>
          <w:sz w:val="25"/>
        </w:rPr>
        <w:t>Nair Service Society Ltd. </w:t>
      </w:r>
      <w:r>
        <w:rPr>
          <w:sz w:val="25"/>
        </w:rPr>
        <w:t>v </w:t>
      </w:r>
      <w:r>
        <w:rPr>
          <w:b/>
          <w:sz w:val="25"/>
        </w:rPr>
        <w:t>K C Alexander</w:t>
      </w:r>
      <w:r>
        <w:rPr>
          <w:sz w:val="25"/>
          <w:vertAlign w:val="superscript"/>
        </w:rPr>
        <w:t>398</w:t>
      </w:r>
      <w:r>
        <w:rPr>
          <w:sz w:val="25"/>
          <w:vertAlign w:val="baseline"/>
        </w:rPr>
        <w:t>, Justice M Hidayatullah (as the learned Chief Justice then was) speaking for a three judge Bench of this Court held:</w:t>
      </w:r>
    </w:p>
    <w:p>
      <w:pPr>
        <w:spacing w:line="276" w:lineRule="auto" w:before="161"/>
        <w:ind w:left="1940" w:right="2254" w:firstLine="0"/>
        <w:jc w:val="both"/>
        <w:rPr>
          <w:sz w:val="21"/>
        </w:rPr>
      </w:pPr>
      <w:r>
        <w:rPr>
          <w:w w:val="33"/>
          <w:sz w:val="21"/>
        </w:rPr>
        <w:t>―</w:t>
      </w:r>
      <w:r>
        <w:rPr>
          <w:w w:val="100"/>
          <w:sz w:val="21"/>
        </w:rPr>
        <w:t>17…That</w:t>
      </w:r>
      <w:r>
        <w:rPr>
          <w:sz w:val="21"/>
        </w:rPr>
        <w:t> </w:t>
      </w:r>
      <w:r>
        <w:rPr>
          <w:w w:val="100"/>
          <w:sz w:val="21"/>
        </w:rPr>
        <w:t>possession</w:t>
      </w:r>
      <w:r>
        <w:rPr>
          <w:sz w:val="21"/>
        </w:rPr>
        <w:t> </w:t>
      </w:r>
      <w:r>
        <w:rPr>
          <w:w w:val="100"/>
          <w:sz w:val="21"/>
        </w:rPr>
        <w:t>may</w:t>
      </w:r>
      <w:r>
        <w:rPr>
          <w:sz w:val="21"/>
        </w:rPr>
        <w:t> </w:t>
      </w:r>
      <w:r>
        <w:rPr>
          <w:w w:val="100"/>
          <w:sz w:val="21"/>
        </w:rPr>
        <w:t>prima</w:t>
      </w:r>
      <w:r>
        <w:rPr>
          <w:sz w:val="21"/>
        </w:rPr>
        <w:t> </w:t>
      </w:r>
      <w:r>
        <w:rPr>
          <w:w w:val="100"/>
          <w:sz w:val="21"/>
        </w:rPr>
        <w:t>facie</w:t>
      </w:r>
      <w:r>
        <w:rPr>
          <w:sz w:val="21"/>
        </w:rPr>
        <w:t> </w:t>
      </w:r>
      <w:r>
        <w:rPr>
          <w:w w:val="100"/>
          <w:sz w:val="21"/>
        </w:rPr>
        <w:t>raise</w:t>
      </w:r>
      <w:r>
        <w:rPr>
          <w:sz w:val="21"/>
        </w:rPr>
        <w:t> </w:t>
      </w:r>
      <w:r>
        <w:rPr>
          <w:w w:val="100"/>
          <w:sz w:val="21"/>
        </w:rPr>
        <w:t>a</w:t>
      </w:r>
      <w:r>
        <w:rPr>
          <w:sz w:val="21"/>
        </w:rPr>
        <w:t> </w:t>
      </w:r>
      <w:r>
        <w:rPr>
          <w:w w:val="100"/>
          <w:sz w:val="21"/>
        </w:rPr>
        <w:t>presumption</w:t>
      </w:r>
      <w:r>
        <w:rPr>
          <w:sz w:val="21"/>
        </w:rPr>
        <w:t> </w:t>
      </w:r>
      <w:r>
        <w:rPr>
          <w:w w:val="100"/>
          <w:sz w:val="21"/>
        </w:rPr>
        <w:t>of </w:t>
      </w:r>
      <w:r>
        <w:rPr>
          <w:sz w:val="21"/>
        </w:rPr>
        <w:t>title no one can deny but this presumption can hardly arise when the facts are known. When the facts disclose no title in either party, possession alone decides.‖</w:t>
      </w:r>
    </w:p>
    <w:p>
      <w:pPr>
        <w:pStyle w:val="BodyText"/>
        <w:rPr>
          <w:sz w:val="24"/>
        </w:rPr>
      </w:pPr>
    </w:p>
    <w:p>
      <w:pPr>
        <w:pStyle w:val="BodyText"/>
        <w:rPr>
          <w:sz w:val="21"/>
        </w:rPr>
      </w:pPr>
    </w:p>
    <w:p>
      <w:pPr>
        <w:pStyle w:val="BodyText"/>
        <w:spacing w:line="480" w:lineRule="auto"/>
        <w:ind w:left="500" w:right="435"/>
        <w:jc w:val="both"/>
      </w:pPr>
      <w:r>
        <w:rPr/>
        <w:t>In </w:t>
      </w:r>
      <w:r>
        <w:rPr>
          <w:b/>
        </w:rPr>
        <w:t>M S Jagadambal </w:t>
      </w:r>
      <w:r>
        <w:rPr/>
        <w:t>v </w:t>
      </w:r>
      <w:r>
        <w:rPr>
          <w:b/>
        </w:rPr>
        <w:t>Southern Indian Education Trust</w:t>
      </w:r>
      <w:r>
        <w:rPr>
          <w:vertAlign w:val="superscript"/>
        </w:rPr>
        <w:t>399</w:t>
      </w:r>
      <w:r>
        <w:rPr>
          <w:vertAlign w:val="baseline"/>
        </w:rPr>
        <w:t> , Justice K Jagannatha Shetty, speaking for a two judge Bench of this Court held that possession continues with the title holder unless and until the defendant acquires title by adverse possession:</w:t>
      </w:r>
    </w:p>
    <w:p>
      <w:pPr>
        <w:spacing w:line="276" w:lineRule="auto" w:before="2"/>
        <w:ind w:left="1940" w:right="2255" w:firstLine="0"/>
        <w:jc w:val="both"/>
        <w:rPr>
          <w:sz w:val="21"/>
        </w:rPr>
      </w:pPr>
      <w:r>
        <w:rPr>
          <w:spacing w:val="-1"/>
          <w:w w:val="33"/>
          <w:sz w:val="21"/>
        </w:rPr>
        <w:t>―</w:t>
      </w:r>
      <w:r>
        <w:rPr>
          <w:spacing w:val="-1"/>
          <w:w w:val="100"/>
          <w:sz w:val="21"/>
        </w:rPr>
        <w:t>18</w:t>
      </w:r>
      <w:r>
        <w:rPr>
          <w:spacing w:val="-3"/>
          <w:w w:val="100"/>
          <w:sz w:val="21"/>
        </w:rPr>
        <w:t>…</w:t>
      </w:r>
      <w:r>
        <w:rPr>
          <w:w w:val="100"/>
          <w:sz w:val="21"/>
        </w:rPr>
        <w:t>The</w:t>
      </w:r>
      <w:r>
        <w:rPr>
          <w:sz w:val="21"/>
        </w:rPr>
        <w:t> </w:t>
      </w:r>
      <w:r>
        <w:rPr>
          <w:spacing w:val="-9"/>
          <w:sz w:val="21"/>
        </w:rPr>
        <w:t> </w:t>
      </w:r>
      <w:r>
        <w:rPr>
          <w:spacing w:val="-3"/>
          <w:w w:val="100"/>
          <w:sz w:val="21"/>
        </w:rPr>
        <w:t>p</w:t>
      </w:r>
      <w:r>
        <w:rPr>
          <w:spacing w:val="-1"/>
          <w:w w:val="100"/>
          <w:sz w:val="21"/>
        </w:rPr>
        <w:t>os</w:t>
      </w:r>
      <w:r>
        <w:rPr>
          <w:spacing w:val="-3"/>
          <w:w w:val="100"/>
          <w:sz w:val="21"/>
        </w:rPr>
        <w:t>s</w:t>
      </w:r>
      <w:r>
        <w:rPr>
          <w:spacing w:val="-1"/>
          <w:w w:val="100"/>
          <w:sz w:val="21"/>
        </w:rPr>
        <w:t>es</w:t>
      </w:r>
      <w:r>
        <w:rPr>
          <w:spacing w:val="-3"/>
          <w:w w:val="100"/>
          <w:sz w:val="21"/>
        </w:rPr>
        <w:t>s</w:t>
      </w:r>
      <w:r>
        <w:rPr>
          <w:w w:val="100"/>
          <w:sz w:val="21"/>
        </w:rPr>
        <w:t>i</w:t>
      </w:r>
      <w:r>
        <w:rPr>
          <w:spacing w:val="-1"/>
          <w:w w:val="100"/>
          <w:sz w:val="21"/>
        </w:rPr>
        <w:t>o</w:t>
      </w:r>
      <w:r>
        <w:rPr>
          <w:w w:val="100"/>
          <w:sz w:val="21"/>
        </w:rPr>
        <w:t>n</w:t>
      </w:r>
      <w:r>
        <w:rPr>
          <w:sz w:val="21"/>
        </w:rPr>
        <w:t> </w:t>
      </w:r>
      <w:r>
        <w:rPr>
          <w:spacing w:val="-9"/>
          <w:sz w:val="21"/>
        </w:rPr>
        <w:t> </w:t>
      </w:r>
      <w:r>
        <w:rPr>
          <w:spacing w:val="-3"/>
          <w:w w:val="100"/>
          <w:sz w:val="21"/>
        </w:rPr>
        <w:t>co</w:t>
      </w:r>
      <w:r>
        <w:rPr>
          <w:spacing w:val="-1"/>
          <w:w w:val="100"/>
          <w:sz w:val="21"/>
        </w:rPr>
        <w:t>nt</w:t>
      </w:r>
      <w:r>
        <w:rPr>
          <w:w w:val="100"/>
          <w:sz w:val="21"/>
        </w:rPr>
        <w:t>i</w:t>
      </w:r>
      <w:r>
        <w:rPr>
          <w:spacing w:val="-1"/>
          <w:w w:val="100"/>
          <w:sz w:val="21"/>
        </w:rPr>
        <w:t>n</w:t>
      </w:r>
      <w:r>
        <w:rPr>
          <w:spacing w:val="-3"/>
          <w:w w:val="100"/>
          <w:sz w:val="21"/>
        </w:rPr>
        <w:t>u</w:t>
      </w:r>
      <w:r>
        <w:rPr>
          <w:spacing w:val="-1"/>
          <w:w w:val="100"/>
          <w:sz w:val="21"/>
        </w:rPr>
        <w:t>e</w:t>
      </w:r>
      <w:r>
        <w:rPr>
          <w:w w:val="100"/>
          <w:sz w:val="21"/>
        </w:rPr>
        <w:t>s</w:t>
      </w:r>
      <w:r>
        <w:rPr>
          <w:sz w:val="21"/>
        </w:rPr>
        <w:t> </w:t>
      </w:r>
      <w:r>
        <w:rPr>
          <w:spacing w:val="-9"/>
          <w:sz w:val="21"/>
        </w:rPr>
        <w:t> </w:t>
      </w:r>
      <w:r>
        <w:rPr>
          <w:spacing w:val="-2"/>
          <w:w w:val="100"/>
          <w:sz w:val="21"/>
        </w:rPr>
        <w:t>w</w:t>
      </w:r>
      <w:r>
        <w:rPr>
          <w:w w:val="100"/>
          <w:sz w:val="21"/>
        </w:rPr>
        <w:t>i</w:t>
      </w:r>
      <w:r>
        <w:rPr>
          <w:spacing w:val="-2"/>
          <w:w w:val="100"/>
          <w:sz w:val="21"/>
        </w:rPr>
        <w:t>t</w:t>
      </w:r>
      <w:r>
        <w:rPr>
          <w:w w:val="100"/>
          <w:sz w:val="21"/>
        </w:rPr>
        <w:t>h</w:t>
      </w:r>
      <w:r>
        <w:rPr>
          <w:sz w:val="21"/>
        </w:rPr>
        <w:t> </w:t>
      </w:r>
      <w:r>
        <w:rPr>
          <w:spacing w:val="-9"/>
          <w:sz w:val="21"/>
        </w:rPr>
        <w:t> </w:t>
      </w:r>
      <w:r>
        <w:rPr>
          <w:spacing w:val="-2"/>
          <w:w w:val="100"/>
          <w:sz w:val="21"/>
        </w:rPr>
        <w:t>t</w:t>
      </w:r>
      <w:r>
        <w:rPr>
          <w:spacing w:val="-1"/>
          <w:w w:val="100"/>
          <w:sz w:val="21"/>
        </w:rPr>
        <w:t>h</w:t>
      </w:r>
      <w:r>
        <w:rPr>
          <w:w w:val="100"/>
          <w:sz w:val="21"/>
        </w:rPr>
        <w:t>e</w:t>
      </w:r>
      <w:r>
        <w:rPr>
          <w:sz w:val="21"/>
        </w:rPr>
        <w:t> </w:t>
      </w:r>
      <w:r>
        <w:rPr>
          <w:spacing w:val="-9"/>
          <w:sz w:val="21"/>
        </w:rPr>
        <w:t> </w:t>
      </w:r>
      <w:r>
        <w:rPr>
          <w:spacing w:val="-2"/>
          <w:w w:val="100"/>
          <w:sz w:val="21"/>
        </w:rPr>
        <w:t>t</w:t>
      </w:r>
      <w:r>
        <w:rPr>
          <w:w w:val="100"/>
          <w:sz w:val="21"/>
        </w:rPr>
        <w:t>i</w:t>
      </w:r>
      <w:r>
        <w:rPr>
          <w:spacing w:val="-4"/>
          <w:w w:val="100"/>
          <w:sz w:val="21"/>
        </w:rPr>
        <w:t>t</w:t>
      </w:r>
      <w:r>
        <w:rPr>
          <w:w w:val="100"/>
          <w:sz w:val="21"/>
        </w:rPr>
        <w:t>le</w:t>
      </w:r>
      <w:r>
        <w:rPr>
          <w:sz w:val="21"/>
        </w:rPr>
        <w:t> </w:t>
      </w:r>
      <w:r>
        <w:rPr>
          <w:spacing w:val="-9"/>
          <w:sz w:val="21"/>
        </w:rPr>
        <w:t> </w:t>
      </w:r>
      <w:r>
        <w:rPr>
          <w:spacing w:val="-3"/>
          <w:w w:val="100"/>
          <w:sz w:val="21"/>
        </w:rPr>
        <w:t>h</w:t>
      </w:r>
      <w:r>
        <w:rPr>
          <w:spacing w:val="-1"/>
          <w:w w:val="100"/>
          <w:sz w:val="21"/>
        </w:rPr>
        <w:t>o</w:t>
      </w:r>
      <w:r>
        <w:rPr>
          <w:spacing w:val="-2"/>
          <w:w w:val="100"/>
          <w:sz w:val="21"/>
        </w:rPr>
        <w:t>l</w:t>
      </w:r>
      <w:r>
        <w:rPr>
          <w:spacing w:val="-1"/>
          <w:w w:val="100"/>
          <w:sz w:val="21"/>
        </w:rPr>
        <w:t>de</w:t>
      </w:r>
      <w:r>
        <w:rPr>
          <w:w w:val="100"/>
          <w:sz w:val="21"/>
        </w:rPr>
        <w:t>r</w:t>
      </w:r>
      <w:r>
        <w:rPr>
          <w:sz w:val="21"/>
        </w:rPr>
        <w:t> </w:t>
      </w:r>
      <w:r>
        <w:rPr>
          <w:spacing w:val="-10"/>
          <w:sz w:val="21"/>
        </w:rPr>
        <w:t> </w:t>
      </w:r>
      <w:r>
        <w:rPr>
          <w:spacing w:val="-1"/>
          <w:w w:val="100"/>
          <w:sz w:val="21"/>
        </w:rPr>
        <w:t>u</w:t>
      </w:r>
      <w:r>
        <w:rPr>
          <w:spacing w:val="-3"/>
          <w:w w:val="100"/>
          <w:sz w:val="21"/>
        </w:rPr>
        <w:t>n</w:t>
      </w:r>
      <w:r>
        <w:rPr>
          <w:w w:val="100"/>
          <w:sz w:val="21"/>
        </w:rPr>
        <w:t>l</w:t>
      </w:r>
      <w:r>
        <w:rPr>
          <w:spacing w:val="-1"/>
          <w:w w:val="100"/>
          <w:sz w:val="21"/>
        </w:rPr>
        <w:t>ess </w:t>
      </w:r>
      <w:r>
        <w:rPr>
          <w:sz w:val="21"/>
        </w:rPr>
        <w:t>and until the defendant acquires title by adverse possession. There would be no continuance of adverse possession when the land remains submerged and when it is put out of use and enjoyment. In such a case the party having title could claim constructive possession provided the title had not been extinguished by adverse possession before the</w:t>
      </w:r>
      <w:r>
        <w:rPr>
          <w:spacing w:val="58"/>
          <w:sz w:val="21"/>
        </w:rPr>
        <w:t> </w:t>
      </w:r>
      <w:r>
        <w:rPr>
          <w:sz w:val="21"/>
        </w:rPr>
        <w:t>last</w:t>
      </w:r>
    </w:p>
    <w:p>
      <w:pPr>
        <w:pStyle w:val="BodyText"/>
        <w:spacing w:before="10"/>
      </w:pPr>
      <w:r>
        <w:rPr/>
        <w:pict>
          <v:rect style="position:absolute;margin-left:72.024002pt;margin-top:16.839485pt;width:144.020pt;height:.599980pt;mso-position-horizontal-relative:page;mso-position-vertical-relative:paragraph;z-index:-15610880;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398</w:t>
      </w:r>
      <w:r>
        <w:rPr>
          <w:sz w:val="18"/>
          <w:vertAlign w:val="baseline"/>
        </w:rPr>
        <w:t> AIR 1968 SC 1165</w:t>
      </w:r>
    </w:p>
    <w:p>
      <w:pPr>
        <w:spacing w:before="2"/>
        <w:ind w:left="500" w:right="0" w:firstLine="0"/>
        <w:jc w:val="left"/>
        <w:rPr>
          <w:sz w:val="18"/>
        </w:rPr>
      </w:pPr>
      <w:r>
        <w:rPr>
          <w:sz w:val="18"/>
          <w:vertAlign w:val="superscript"/>
        </w:rPr>
        <w:t>399</w:t>
      </w:r>
      <w:r>
        <w:rPr>
          <w:sz w:val="18"/>
          <w:vertAlign w:val="baseline"/>
        </w:rPr>
        <w:t> 1988 (Supp) SCC 144</w:t>
      </w:r>
    </w:p>
    <w:p>
      <w:pPr>
        <w:spacing w:after="0"/>
        <w:jc w:val="left"/>
        <w:rPr>
          <w:sz w:val="18"/>
        </w:rPr>
        <w:sectPr>
          <w:pgSz w:w="11910" w:h="16840"/>
          <w:pgMar w:header="721" w:footer="1014" w:top="1300" w:bottom="1200" w:left="940" w:right="1000"/>
        </w:sectPr>
      </w:pPr>
    </w:p>
    <w:p>
      <w:pPr>
        <w:spacing w:line="276" w:lineRule="auto" w:before="122"/>
        <w:ind w:left="1940" w:right="2259" w:firstLine="0"/>
        <w:jc w:val="both"/>
        <w:rPr>
          <w:sz w:val="21"/>
        </w:rPr>
      </w:pPr>
      <w:r>
        <w:rPr>
          <w:sz w:val="21"/>
        </w:rPr>
        <w:t>submergence. There is no difference in principle between seasonal submersion and one which continues for a length of time.‖</w:t>
      </w:r>
    </w:p>
    <w:p>
      <w:pPr>
        <w:pStyle w:val="BodyText"/>
        <w:spacing w:before="1"/>
        <w:rPr>
          <w:sz w:val="24"/>
        </w:rPr>
      </w:pPr>
    </w:p>
    <w:p>
      <w:pPr>
        <w:spacing w:line="480" w:lineRule="auto" w:before="0"/>
        <w:ind w:left="500" w:right="440" w:firstLine="0"/>
        <w:jc w:val="both"/>
        <w:rPr>
          <w:sz w:val="25"/>
        </w:rPr>
      </w:pPr>
      <w:r>
        <w:rPr>
          <w:sz w:val="25"/>
        </w:rPr>
        <w:t>In </w:t>
      </w:r>
      <w:r>
        <w:rPr>
          <w:b/>
          <w:sz w:val="25"/>
        </w:rPr>
        <w:t>Chief Conservator of Forests, Govt of A P </w:t>
      </w:r>
      <w:r>
        <w:rPr>
          <w:sz w:val="25"/>
        </w:rPr>
        <w:t>v </w:t>
      </w:r>
      <w:r>
        <w:rPr>
          <w:b/>
          <w:sz w:val="25"/>
        </w:rPr>
        <w:t>Collector</w:t>
      </w:r>
      <w:r>
        <w:rPr>
          <w:sz w:val="25"/>
          <w:vertAlign w:val="superscript"/>
        </w:rPr>
        <w:t>400</w:t>
      </w:r>
      <w:r>
        <w:rPr>
          <w:sz w:val="25"/>
          <w:vertAlign w:val="baseline"/>
        </w:rPr>
        <w:t>, Justice Syed Shah Mohammed Quadri, speaking for a two judge Bench of this Court</w:t>
      </w:r>
      <w:r>
        <w:rPr>
          <w:spacing w:val="-6"/>
          <w:sz w:val="25"/>
          <w:vertAlign w:val="baseline"/>
        </w:rPr>
        <w:t> </w:t>
      </w:r>
      <w:r>
        <w:rPr>
          <w:sz w:val="25"/>
          <w:vertAlign w:val="baseline"/>
        </w:rPr>
        <w:t>held:</w:t>
      </w:r>
    </w:p>
    <w:p>
      <w:pPr>
        <w:pStyle w:val="BodyText"/>
        <w:rPr>
          <w:sz w:val="28"/>
        </w:rPr>
      </w:pPr>
    </w:p>
    <w:p>
      <w:pPr>
        <w:pStyle w:val="BodyText"/>
        <w:spacing w:before="2"/>
        <w:rPr>
          <w:sz w:val="22"/>
        </w:rPr>
      </w:pPr>
    </w:p>
    <w:p>
      <w:pPr>
        <w:spacing w:line="276" w:lineRule="auto" w:before="1"/>
        <w:ind w:left="1940" w:right="2259" w:firstLine="0"/>
        <w:jc w:val="both"/>
        <w:rPr>
          <w:sz w:val="21"/>
        </w:rPr>
      </w:pPr>
      <w:r>
        <w:rPr>
          <w:spacing w:val="-1"/>
          <w:w w:val="33"/>
          <w:sz w:val="21"/>
        </w:rPr>
        <w:t>―</w:t>
      </w:r>
      <w:r>
        <w:rPr>
          <w:spacing w:val="-1"/>
          <w:w w:val="100"/>
          <w:sz w:val="21"/>
        </w:rPr>
        <w:t>20…p</w:t>
      </w:r>
      <w:r>
        <w:rPr>
          <w:spacing w:val="-3"/>
          <w:w w:val="100"/>
          <w:sz w:val="21"/>
        </w:rPr>
        <w:t>r</w:t>
      </w:r>
      <w:r>
        <w:rPr>
          <w:spacing w:val="-1"/>
          <w:w w:val="100"/>
          <w:sz w:val="21"/>
        </w:rPr>
        <w:t>es</w:t>
      </w:r>
      <w:r>
        <w:rPr>
          <w:spacing w:val="-3"/>
          <w:w w:val="100"/>
          <w:sz w:val="21"/>
        </w:rPr>
        <w:t>u</w:t>
      </w:r>
      <w:r>
        <w:rPr>
          <w:spacing w:val="-1"/>
          <w:w w:val="100"/>
          <w:sz w:val="21"/>
        </w:rPr>
        <w:t>mpt</w:t>
      </w:r>
      <w:r>
        <w:rPr>
          <w:w w:val="100"/>
          <w:sz w:val="21"/>
        </w:rPr>
        <w:t>i</w:t>
      </w:r>
      <w:r>
        <w:rPr>
          <w:spacing w:val="-1"/>
          <w:w w:val="100"/>
          <w:sz w:val="21"/>
        </w:rPr>
        <w:t>on</w:t>
      </w:r>
      <w:r>
        <w:rPr>
          <w:w w:val="100"/>
          <w:sz w:val="21"/>
        </w:rPr>
        <w:t>,</w:t>
      </w:r>
      <w:r>
        <w:rPr>
          <w:spacing w:val="24"/>
          <w:sz w:val="21"/>
        </w:rPr>
        <w:t> </w:t>
      </w:r>
      <w:r>
        <w:rPr>
          <w:spacing w:val="-2"/>
          <w:w w:val="100"/>
          <w:sz w:val="21"/>
        </w:rPr>
        <w:t>w</w:t>
      </w:r>
      <w:r>
        <w:rPr>
          <w:spacing w:val="-1"/>
          <w:w w:val="100"/>
          <w:sz w:val="21"/>
        </w:rPr>
        <w:t>h</w:t>
      </w:r>
      <w:r>
        <w:rPr>
          <w:spacing w:val="-2"/>
          <w:w w:val="100"/>
          <w:sz w:val="21"/>
        </w:rPr>
        <w:t>i</w:t>
      </w:r>
      <w:r>
        <w:rPr>
          <w:w w:val="100"/>
          <w:sz w:val="21"/>
        </w:rPr>
        <w:t>ch</w:t>
      </w:r>
      <w:r>
        <w:rPr>
          <w:spacing w:val="23"/>
          <w:sz w:val="21"/>
        </w:rPr>
        <w:t> </w:t>
      </w:r>
      <w:r>
        <w:rPr>
          <w:w w:val="100"/>
          <w:sz w:val="21"/>
        </w:rPr>
        <w:t>is</w:t>
      </w:r>
      <w:r>
        <w:rPr>
          <w:spacing w:val="25"/>
          <w:sz w:val="21"/>
        </w:rPr>
        <w:t> </w:t>
      </w:r>
      <w:r>
        <w:rPr>
          <w:spacing w:val="-1"/>
          <w:w w:val="100"/>
          <w:sz w:val="21"/>
        </w:rPr>
        <w:t>rebut</w:t>
      </w:r>
      <w:r>
        <w:rPr>
          <w:spacing w:val="-2"/>
          <w:w w:val="100"/>
          <w:sz w:val="21"/>
        </w:rPr>
        <w:t>t</w:t>
      </w:r>
      <w:r>
        <w:rPr>
          <w:spacing w:val="-1"/>
          <w:w w:val="100"/>
          <w:sz w:val="21"/>
        </w:rPr>
        <w:t>a</w:t>
      </w:r>
      <w:r>
        <w:rPr>
          <w:spacing w:val="-3"/>
          <w:w w:val="100"/>
          <w:sz w:val="21"/>
        </w:rPr>
        <w:t>b</w:t>
      </w:r>
      <w:r>
        <w:rPr>
          <w:w w:val="100"/>
          <w:sz w:val="21"/>
        </w:rPr>
        <w:t>l</w:t>
      </w:r>
      <w:r>
        <w:rPr>
          <w:spacing w:val="-1"/>
          <w:w w:val="100"/>
          <w:sz w:val="21"/>
        </w:rPr>
        <w:t>e</w:t>
      </w:r>
      <w:r>
        <w:rPr>
          <w:w w:val="100"/>
          <w:sz w:val="21"/>
        </w:rPr>
        <w:t>,</w:t>
      </w:r>
      <w:r>
        <w:rPr>
          <w:spacing w:val="24"/>
          <w:sz w:val="21"/>
        </w:rPr>
        <w:t> </w:t>
      </w:r>
      <w:r>
        <w:rPr>
          <w:w w:val="100"/>
          <w:sz w:val="21"/>
        </w:rPr>
        <w:t>is</w:t>
      </w:r>
      <w:r>
        <w:rPr>
          <w:spacing w:val="25"/>
          <w:sz w:val="21"/>
        </w:rPr>
        <w:t> </w:t>
      </w:r>
      <w:r>
        <w:rPr>
          <w:spacing w:val="-1"/>
          <w:w w:val="100"/>
          <w:sz w:val="21"/>
        </w:rPr>
        <w:t>at</w:t>
      </w:r>
      <w:r>
        <w:rPr>
          <w:spacing w:val="-2"/>
          <w:w w:val="100"/>
          <w:sz w:val="21"/>
        </w:rPr>
        <w:t>t</w:t>
      </w:r>
      <w:r>
        <w:rPr>
          <w:spacing w:val="-1"/>
          <w:w w:val="100"/>
          <w:sz w:val="21"/>
        </w:rPr>
        <w:t>racte</w:t>
      </w:r>
      <w:r>
        <w:rPr>
          <w:w w:val="100"/>
          <w:sz w:val="21"/>
        </w:rPr>
        <w:t>d</w:t>
      </w:r>
      <w:r>
        <w:rPr>
          <w:spacing w:val="23"/>
          <w:sz w:val="21"/>
        </w:rPr>
        <w:t> </w:t>
      </w:r>
      <w:r>
        <w:rPr>
          <w:spacing w:val="-2"/>
          <w:w w:val="100"/>
          <w:sz w:val="21"/>
        </w:rPr>
        <w:t>w</w:t>
      </w:r>
      <w:r>
        <w:rPr>
          <w:spacing w:val="-1"/>
          <w:w w:val="100"/>
          <w:sz w:val="21"/>
        </w:rPr>
        <w:t>he</w:t>
      </w:r>
      <w:r>
        <w:rPr>
          <w:w w:val="100"/>
          <w:sz w:val="21"/>
        </w:rPr>
        <w:t>n</w:t>
      </w:r>
      <w:r>
        <w:rPr>
          <w:spacing w:val="25"/>
          <w:sz w:val="21"/>
        </w:rPr>
        <w:t> </w:t>
      </w:r>
      <w:r>
        <w:rPr>
          <w:spacing w:val="-2"/>
          <w:w w:val="100"/>
          <w:sz w:val="21"/>
        </w:rPr>
        <w:t>t</w:t>
      </w:r>
      <w:r>
        <w:rPr>
          <w:spacing w:val="-1"/>
          <w:w w:val="100"/>
          <w:sz w:val="21"/>
        </w:rPr>
        <w:t>he </w:t>
      </w:r>
      <w:r>
        <w:rPr>
          <w:sz w:val="21"/>
        </w:rPr>
        <w:t>possession is prima facie lawful and when the contesting party has no</w:t>
      </w:r>
      <w:r>
        <w:rPr>
          <w:spacing w:val="-7"/>
          <w:sz w:val="21"/>
        </w:rPr>
        <w:t> </w:t>
      </w:r>
      <w:r>
        <w:rPr>
          <w:sz w:val="21"/>
        </w:rPr>
        <w:t>title.‖</w:t>
      </w:r>
    </w:p>
    <w:p>
      <w:pPr>
        <w:pStyle w:val="BodyText"/>
        <w:rPr>
          <w:sz w:val="24"/>
        </w:rPr>
      </w:pPr>
    </w:p>
    <w:p>
      <w:pPr>
        <w:pStyle w:val="BodyText"/>
        <w:spacing w:before="8"/>
      </w:pPr>
    </w:p>
    <w:p>
      <w:pPr>
        <w:pStyle w:val="BodyText"/>
        <w:spacing w:line="480" w:lineRule="auto"/>
        <w:ind w:left="500" w:right="437"/>
        <w:jc w:val="both"/>
      </w:pPr>
      <w:r>
        <w:rPr/>
        <w:t>In </w:t>
      </w:r>
      <w:r>
        <w:rPr>
          <w:b/>
        </w:rPr>
        <w:t>State of A P </w:t>
      </w:r>
      <w:r>
        <w:rPr/>
        <w:t>v </w:t>
      </w:r>
      <w:r>
        <w:rPr>
          <w:b/>
        </w:rPr>
        <w:t>Star Bone Mill &amp; Fertiliser Company</w:t>
      </w:r>
      <w:r>
        <w:rPr>
          <w:vertAlign w:val="superscript"/>
        </w:rPr>
        <w:t>401</w:t>
      </w:r>
      <w:r>
        <w:rPr>
          <w:vertAlign w:val="baseline"/>
        </w:rPr>
        <w:t>, this Court held that the object of Section 110 is based on public policy. The object is to prevent persons from committing a breach of peace by taking the law into their own hands however good their title may be over the land in question. This object underlies provisions such as Section 6 of the Specific Relief Act 1963, Section 145 of the Code of Criminal Procedure 1973 and Sections 154 and 158 of the Indian Penal Code 1860. Justice B S Chauhan speaking for a two judge Bench of this Court explained in the above decision</w:t>
      </w:r>
      <w:r>
        <w:rPr>
          <w:spacing w:val="-1"/>
          <w:vertAlign w:val="baseline"/>
        </w:rPr>
        <w:t> </w:t>
      </w:r>
      <w:r>
        <w:rPr>
          <w:vertAlign w:val="baseline"/>
        </w:rPr>
        <w:t>that:</w:t>
      </w:r>
    </w:p>
    <w:p>
      <w:pPr>
        <w:spacing w:line="276" w:lineRule="auto" w:before="4"/>
        <w:ind w:left="1940" w:right="2255" w:firstLine="0"/>
        <w:jc w:val="both"/>
        <w:rPr>
          <w:sz w:val="21"/>
        </w:rPr>
      </w:pPr>
      <w:r>
        <w:rPr>
          <w:spacing w:val="-1"/>
          <w:w w:val="33"/>
          <w:sz w:val="21"/>
        </w:rPr>
        <w:t>―</w:t>
      </w:r>
      <w:r>
        <w:rPr>
          <w:spacing w:val="-1"/>
          <w:w w:val="100"/>
          <w:sz w:val="21"/>
        </w:rPr>
        <w:t>21</w:t>
      </w:r>
      <w:r>
        <w:rPr>
          <w:spacing w:val="-3"/>
          <w:w w:val="100"/>
          <w:sz w:val="21"/>
        </w:rPr>
        <w:t>…</w:t>
      </w:r>
      <w:r>
        <w:rPr>
          <w:b/>
          <w:w w:val="100"/>
          <w:sz w:val="21"/>
        </w:rPr>
        <w:t>Th</w:t>
      </w:r>
      <w:r>
        <w:rPr>
          <w:b/>
          <w:w w:val="100"/>
          <w:sz w:val="21"/>
        </w:rPr>
        <w:t>e</w:t>
      </w:r>
      <w:r>
        <w:rPr>
          <w:b/>
          <w:spacing w:val="1"/>
          <w:sz w:val="21"/>
        </w:rPr>
        <w:t> </w:t>
      </w:r>
      <w:r>
        <w:rPr>
          <w:b/>
          <w:w w:val="100"/>
          <w:sz w:val="21"/>
        </w:rPr>
        <w:t>sa</w:t>
      </w:r>
      <w:r>
        <w:rPr>
          <w:b/>
          <w:spacing w:val="-1"/>
          <w:w w:val="100"/>
          <w:sz w:val="21"/>
        </w:rPr>
        <w:t>i</w:t>
      </w:r>
      <w:r>
        <w:rPr>
          <w:b/>
          <w:w w:val="100"/>
          <w:sz w:val="21"/>
        </w:rPr>
        <w:t>d</w:t>
      </w:r>
      <w:r>
        <w:rPr>
          <w:b/>
          <w:spacing w:val="2"/>
          <w:sz w:val="21"/>
        </w:rPr>
        <w:t> </w:t>
      </w:r>
      <w:r>
        <w:rPr>
          <w:b/>
          <w:w w:val="100"/>
          <w:sz w:val="21"/>
        </w:rPr>
        <w:t>pr</w:t>
      </w:r>
      <w:r>
        <w:rPr>
          <w:b/>
          <w:spacing w:val="-3"/>
          <w:w w:val="100"/>
          <w:sz w:val="21"/>
        </w:rPr>
        <w:t>e</w:t>
      </w:r>
      <w:r>
        <w:rPr>
          <w:b/>
          <w:w w:val="100"/>
          <w:sz w:val="21"/>
        </w:rPr>
        <w:t>su</w:t>
      </w:r>
      <w:r>
        <w:rPr>
          <w:b/>
          <w:spacing w:val="-3"/>
          <w:w w:val="100"/>
          <w:sz w:val="21"/>
        </w:rPr>
        <w:t>m</w:t>
      </w:r>
      <w:r>
        <w:rPr>
          <w:b/>
          <w:w w:val="100"/>
          <w:sz w:val="21"/>
        </w:rPr>
        <w:t>pt</w:t>
      </w:r>
      <w:r>
        <w:rPr>
          <w:b/>
          <w:spacing w:val="-2"/>
          <w:w w:val="100"/>
          <w:sz w:val="21"/>
        </w:rPr>
        <w:t>i</w:t>
      </w:r>
      <w:r>
        <w:rPr>
          <w:b/>
          <w:w w:val="100"/>
          <w:sz w:val="21"/>
        </w:rPr>
        <w:t>on</w:t>
      </w:r>
      <w:r>
        <w:rPr>
          <w:b/>
          <w:spacing w:val="4"/>
          <w:sz w:val="21"/>
        </w:rPr>
        <w:t> </w:t>
      </w:r>
      <w:r>
        <w:rPr>
          <w:w w:val="100"/>
          <w:sz w:val="21"/>
        </w:rPr>
        <w:t>i</w:t>
      </w:r>
      <w:r>
        <w:rPr>
          <w:w w:val="100"/>
          <w:sz w:val="21"/>
        </w:rPr>
        <w:t>s</w:t>
      </w:r>
      <w:r>
        <w:rPr>
          <w:spacing w:val="3"/>
          <w:sz w:val="21"/>
        </w:rPr>
        <w:t> </w:t>
      </w:r>
      <w:r>
        <w:rPr>
          <w:spacing w:val="-1"/>
          <w:w w:val="100"/>
          <w:sz w:val="21"/>
        </w:rPr>
        <w:t>r</w:t>
      </w:r>
      <w:r>
        <w:rPr>
          <w:spacing w:val="-3"/>
          <w:w w:val="100"/>
          <w:sz w:val="21"/>
        </w:rPr>
        <w:t>e</w:t>
      </w:r>
      <w:r>
        <w:rPr>
          <w:w w:val="100"/>
          <w:sz w:val="21"/>
        </w:rPr>
        <w:t>ad</w:t>
      </w:r>
      <w:r>
        <w:rPr>
          <w:spacing w:val="4"/>
          <w:sz w:val="21"/>
        </w:rPr>
        <w:t> </w:t>
      </w:r>
      <w:r>
        <w:rPr>
          <w:spacing w:val="-3"/>
          <w:w w:val="100"/>
          <w:sz w:val="21"/>
        </w:rPr>
        <w:t>u</w:t>
      </w:r>
      <w:r>
        <w:rPr>
          <w:w w:val="100"/>
          <w:sz w:val="21"/>
        </w:rPr>
        <w:t>nder</w:t>
      </w:r>
      <w:r>
        <w:rPr>
          <w:spacing w:val="1"/>
          <w:sz w:val="21"/>
        </w:rPr>
        <w:t> </w:t>
      </w:r>
      <w:r>
        <w:rPr>
          <w:w w:val="100"/>
          <w:sz w:val="21"/>
        </w:rPr>
        <w:t>Sec</w:t>
      </w:r>
      <w:r>
        <w:rPr>
          <w:spacing w:val="-4"/>
          <w:w w:val="100"/>
          <w:sz w:val="21"/>
        </w:rPr>
        <w:t>t</w:t>
      </w:r>
      <w:r>
        <w:rPr>
          <w:w w:val="100"/>
          <w:sz w:val="21"/>
        </w:rPr>
        <w:t>i</w:t>
      </w:r>
      <w:r>
        <w:rPr>
          <w:w w:val="100"/>
          <w:sz w:val="21"/>
        </w:rPr>
        <w:t>on</w:t>
      </w:r>
      <w:r>
        <w:rPr>
          <w:spacing w:val="1"/>
          <w:sz w:val="21"/>
        </w:rPr>
        <w:t> </w:t>
      </w:r>
      <w:r>
        <w:rPr>
          <w:w w:val="100"/>
          <w:sz w:val="21"/>
        </w:rPr>
        <w:t>114</w:t>
      </w:r>
      <w:r>
        <w:rPr>
          <w:spacing w:val="4"/>
          <w:sz w:val="21"/>
        </w:rPr>
        <w:t> </w:t>
      </w:r>
      <w:r>
        <w:rPr>
          <w:spacing w:val="-3"/>
          <w:w w:val="100"/>
          <w:sz w:val="21"/>
        </w:rPr>
        <w:t>o</w:t>
      </w:r>
      <w:r>
        <w:rPr>
          <w:w w:val="100"/>
          <w:sz w:val="21"/>
        </w:rPr>
        <w:t>f</w:t>
      </w:r>
      <w:r>
        <w:rPr>
          <w:spacing w:val="4"/>
          <w:sz w:val="21"/>
        </w:rPr>
        <w:t> </w:t>
      </w:r>
      <w:r>
        <w:rPr>
          <w:spacing w:val="-2"/>
          <w:w w:val="100"/>
          <w:sz w:val="21"/>
        </w:rPr>
        <w:t>t</w:t>
      </w:r>
      <w:r>
        <w:rPr>
          <w:spacing w:val="-3"/>
          <w:w w:val="100"/>
          <w:sz w:val="21"/>
        </w:rPr>
        <w:t>h</w:t>
      </w:r>
      <w:r>
        <w:rPr>
          <w:w w:val="100"/>
          <w:sz w:val="21"/>
        </w:rPr>
        <w:t>e </w:t>
      </w:r>
      <w:r>
        <w:rPr>
          <w:sz w:val="21"/>
        </w:rPr>
        <w:t>Evidence Act, and </w:t>
      </w:r>
      <w:r>
        <w:rPr>
          <w:b/>
          <w:sz w:val="21"/>
        </w:rPr>
        <w:t>applies only in a case where there is either no proof, or very little proof of ownership on either </w:t>
      </w:r>
      <w:r>
        <w:rPr>
          <w:b/>
          <w:w w:val="100"/>
          <w:sz w:val="21"/>
        </w:rPr>
        <w:t>s</w:t>
      </w:r>
      <w:r>
        <w:rPr>
          <w:b/>
          <w:spacing w:val="-1"/>
          <w:w w:val="100"/>
          <w:sz w:val="21"/>
        </w:rPr>
        <w:t>i</w:t>
      </w:r>
      <w:r>
        <w:rPr>
          <w:b/>
          <w:w w:val="100"/>
          <w:sz w:val="21"/>
        </w:rPr>
        <w:t>de</w:t>
      </w:r>
      <w:r>
        <w:rPr>
          <w:w w:val="100"/>
          <w:sz w:val="21"/>
        </w:rPr>
        <w:t>.</w:t>
      </w:r>
      <w:r>
        <w:rPr>
          <w:sz w:val="21"/>
        </w:rPr>
        <w:t> </w:t>
      </w:r>
      <w:r>
        <w:rPr>
          <w:spacing w:val="-8"/>
          <w:sz w:val="21"/>
        </w:rPr>
        <w:t> </w:t>
      </w:r>
      <w:r>
        <w:rPr>
          <w:w w:val="100"/>
          <w:sz w:val="21"/>
        </w:rPr>
        <w:t>T</w:t>
      </w:r>
      <w:r>
        <w:rPr>
          <w:spacing w:val="-2"/>
          <w:w w:val="100"/>
          <w:sz w:val="21"/>
        </w:rPr>
        <w:t>h</w:t>
      </w:r>
      <w:r>
        <w:rPr>
          <w:w w:val="100"/>
          <w:sz w:val="21"/>
        </w:rPr>
        <w:t>e</w:t>
      </w:r>
      <w:r>
        <w:rPr>
          <w:sz w:val="21"/>
        </w:rPr>
        <w:t> </w:t>
      </w:r>
      <w:r>
        <w:rPr>
          <w:spacing w:val="-7"/>
          <w:sz w:val="21"/>
        </w:rPr>
        <w:t> </w:t>
      </w:r>
      <w:r>
        <w:rPr>
          <w:spacing w:val="-1"/>
          <w:w w:val="100"/>
          <w:sz w:val="21"/>
        </w:rPr>
        <w:t>ma</w:t>
      </w:r>
      <w:r>
        <w:rPr>
          <w:spacing w:val="-3"/>
          <w:w w:val="100"/>
          <w:sz w:val="21"/>
        </w:rPr>
        <w:t>x</w:t>
      </w:r>
      <w:r>
        <w:rPr>
          <w:spacing w:val="-2"/>
          <w:w w:val="100"/>
          <w:sz w:val="21"/>
        </w:rPr>
        <w:t>i</w:t>
      </w:r>
      <w:r>
        <w:rPr>
          <w:w w:val="100"/>
          <w:sz w:val="21"/>
        </w:rPr>
        <w:t>m</w:t>
      </w:r>
      <w:r>
        <w:rPr>
          <w:sz w:val="21"/>
        </w:rPr>
        <w:t> </w:t>
      </w:r>
      <w:r>
        <w:rPr>
          <w:spacing w:val="-5"/>
          <w:sz w:val="21"/>
        </w:rPr>
        <w:t> </w:t>
      </w:r>
      <w:r>
        <w:rPr>
          <w:spacing w:val="-1"/>
          <w:w w:val="33"/>
          <w:sz w:val="21"/>
        </w:rPr>
        <w:t>―</w:t>
      </w:r>
      <w:r>
        <w:rPr>
          <w:spacing w:val="-1"/>
          <w:w w:val="100"/>
          <w:sz w:val="21"/>
        </w:rPr>
        <w:t>po</w:t>
      </w:r>
      <w:r>
        <w:rPr>
          <w:spacing w:val="-3"/>
          <w:w w:val="100"/>
          <w:sz w:val="21"/>
        </w:rPr>
        <w:t>s</w:t>
      </w:r>
      <w:r>
        <w:rPr>
          <w:w w:val="100"/>
          <w:sz w:val="21"/>
        </w:rPr>
        <w:t>s</w:t>
      </w:r>
      <w:r>
        <w:rPr>
          <w:spacing w:val="-3"/>
          <w:w w:val="100"/>
          <w:sz w:val="21"/>
        </w:rPr>
        <w:t>e</w:t>
      </w:r>
      <w:r>
        <w:rPr>
          <w:w w:val="100"/>
          <w:sz w:val="21"/>
        </w:rPr>
        <w:t>ssi</w:t>
      </w:r>
      <w:r>
        <w:rPr>
          <w:spacing w:val="-3"/>
          <w:w w:val="100"/>
          <w:sz w:val="21"/>
        </w:rPr>
        <w:t>o</w:t>
      </w:r>
      <w:r>
        <w:rPr>
          <w:w w:val="100"/>
          <w:sz w:val="21"/>
        </w:rPr>
        <w:t>n</w:t>
      </w:r>
      <w:r>
        <w:rPr>
          <w:sz w:val="21"/>
        </w:rPr>
        <w:t> </w:t>
      </w:r>
      <w:r>
        <w:rPr>
          <w:spacing w:val="-7"/>
          <w:sz w:val="21"/>
        </w:rPr>
        <w:t> </w:t>
      </w:r>
      <w:r>
        <w:rPr>
          <w:spacing w:val="-2"/>
          <w:w w:val="100"/>
          <w:sz w:val="21"/>
        </w:rPr>
        <w:t>f</w:t>
      </w:r>
      <w:r>
        <w:rPr>
          <w:spacing w:val="-1"/>
          <w:w w:val="100"/>
          <w:sz w:val="21"/>
        </w:rPr>
        <w:t>o</w:t>
      </w:r>
      <w:r>
        <w:rPr>
          <w:spacing w:val="-2"/>
          <w:w w:val="100"/>
          <w:sz w:val="21"/>
        </w:rPr>
        <w:t>l</w:t>
      </w:r>
      <w:r>
        <w:rPr>
          <w:w w:val="100"/>
          <w:sz w:val="21"/>
        </w:rPr>
        <w:t>l</w:t>
      </w:r>
      <w:r>
        <w:rPr>
          <w:spacing w:val="-1"/>
          <w:w w:val="100"/>
          <w:sz w:val="21"/>
        </w:rPr>
        <w:t>o</w:t>
      </w:r>
      <w:r>
        <w:rPr>
          <w:spacing w:val="-2"/>
          <w:w w:val="100"/>
          <w:sz w:val="21"/>
        </w:rPr>
        <w:t>w</w:t>
      </w:r>
      <w:r>
        <w:rPr>
          <w:w w:val="100"/>
          <w:sz w:val="21"/>
        </w:rPr>
        <w:t>s</w:t>
      </w:r>
      <w:r>
        <w:rPr>
          <w:sz w:val="21"/>
        </w:rPr>
        <w:t> </w:t>
      </w:r>
      <w:r>
        <w:rPr>
          <w:spacing w:val="-7"/>
          <w:sz w:val="21"/>
        </w:rPr>
        <w:t> </w:t>
      </w:r>
      <w:r>
        <w:rPr>
          <w:spacing w:val="-2"/>
          <w:w w:val="100"/>
          <w:sz w:val="21"/>
        </w:rPr>
        <w:t>t</w:t>
      </w:r>
      <w:r>
        <w:rPr>
          <w:w w:val="100"/>
          <w:sz w:val="21"/>
        </w:rPr>
        <w:t>i</w:t>
      </w:r>
      <w:r>
        <w:rPr>
          <w:spacing w:val="-2"/>
          <w:w w:val="100"/>
          <w:sz w:val="21"/>
        </w:rPr>
        <w:t>tl</w:t>
      </w:r>
      <w:r>
        <w:rPr>
          <w:spacing w:val="-1"/>
          <w:w w:val="92"/>
          <w:sz w:val="21"/>
        </w:rPr>
        <w:t>e</w:t>
      </w:r>
      <w:r>
        <w:rPr>
          <w:w w:val="92"/>
          <w:sz w:val="21"/>
        </w:rPr>
        <w:t>‖</w:t>
      </w:r>
      <w:r>
        <w:rPr>
          <w:sz w:val="21"/>
        </w:rPr>
        <w:t> </w:t>
      </w:r>
      <w:r>
        <w:rPr>
          <w:spacing w:val="-8"/>
          <w:sz w:val="21"/>
        </w:rPr>
        <w:t> </w:t>
      </w:r>
      <w:r>
        <w:rPr>
          <w:w w:val="100"/>
          <w:sz w:val="21"/>
        </w:rPr>
        <w:t>is</w:t>
      </w:r>
      <w:r>
        <w:rPr>
          <w:sz w:val="21"/>
        </w:rPr>
        <w:t> </w:t>
      </w:r>
      <w:r>
        <w:rPr>
          <w:spacing w:val="-7"/>
          <w:sz w:val="21"/>
        </w:rPr>
        <w:t> </w:t>
      </w:r>
      <w:r>
        <w:rPr>
          <w:spacing w:val="-3"/>
          <w:w w:val="100"/>
          <w:sz w:val="21"/>
        </w:rPr>
        <w:t>ap</w:t>
      </w:r>
      <w:r>
        <w:rPr>
          <w:spacing w:val="-1"/>
          <w:w w:val="100"/>
          <w:sz w:val="21"/>
        </w:rPr>
        <w:t>p</w:t>
      </w:r>
      <w:r>
        <w:rPr>
          <w:spacing w:val="1"/>
          <w:w w:val="100"/>
          <w:sz w:val="21"/>
        </w:rPr>
        <w:t>l</w:t>
      </w:r>
      <w:r>
        <w:rPr>
          <w:spacing w:val="-2"/>
          <w:w w:val="100"/>
          <w:sz w:val="21"/>
        </w:rPr>
        <w:t>i</w:t>
      </w:r>
      <w:r>
        <w:rPr>
          <w:w w:val="100"/>
          <w:sz w:val="21"/>
        </w:rPr>
        <w:t>ca</w:t>
      </w:r>
      <w:r>
        <w:rPr>
          <w:spacing w:val="-3"/>
          <w:w w:val="100"/>
          <w:sz w:val="21"/>
        </w:rPr>
        <w:t>b</w:t>
      </w:r>
      <w:r>
        <w:rPr>
          <w:w w:val="100"/>
          <w:sz w:val="21"/>
        </w:rPr>
        <w:t>le</w:t>
      </w:r>
      <w:r>
        <w:rPr>
          <w:sz w:val="21"/>
        </w:rPr>
        <w:t> </w:t>
      </w:r>
      <w:r>
        <w:rPr>
          <w:spacing w:val="-9"/>
          <w:sz w:val="21"/>
        </w:rPr>
        <w:t> </w:t>
      </w:r>
      <w:r>
        <w:rPr>
          <w:w w:val="100"/>
          <w:sz w:val="21"/>
        </w:rPr>
        <w:t>in </w:t>
      </w:r>
      <w:r>
        <w:rPr>
          <w:sz w:val="21"/>
        </w:rPr>
        <w:t>cases where proof of actual possession cannot reasonably be expected, for instance, in the case of wastelands, or where nothing is known about possession one way or another. </w:t>
      </w:r>
      <w:r>
        <w:rPr>
          <w:b/>
          <w:sz w:val="21"/>
        </w:rPr>
        <w:t>Presumption of title as a result of possession, can arise only where facts disclose that no title vests in any party</w:t>
      </w:r>
      <w:r>
        <w:rPr>
          <w:sz w:val="21"/>
        </w:rPr>
        <w:t>. Possession of the plaintiff is not prima facie wrongful, and title of the plaintiff is not proved. It certainly does not mean that because a man has title over some land, he is necessarily in possession of it. </w:t>
      </w:r>
      <w:r>
        <w:rPr>
          <w:b/>
          <w:sz w:val="21"/>
        </w:rPr>
        <w:t>It in fact means, that if at any time a man with title was in possession of the said property, the law allows the presumption that such possession was in continuation of the title vested in him</w:t>
      </w:r>
      <w:r>
        <w:rPr>
          <w:sz w:val="21"/>
        </w:rPr>
        <w:t>. A person</w:t>
      </w:r>
      <w:r>
        <w:rPr>
          <w:spacing w:val="38"/>
          <w:sz w:val="21"/>
        </w:rPr>
        <w:t> </w:t>
      </w:r>
      <w:r>
        <w:rPr>
          <w:sz w:val="21"/>
        </w:rPr>
        <w:t>must</w:t>
      </w:r>
    </w:p>
    <w:p>
      <w:pPr>
        <w:pStyle w:val="BodyText"/>
        <w:spacing w:before="10"/>
        <w:rPr>
          <w:sz w:val="8"/>
        </w:rPr>
      </w:pPr>
      <w:r>
        <w:rPr/>
        <w:pict>
          <v:rect style="position:absolute;margin-left:72.024002pt;margin-top:7.092281pt;width:144.020pt;height:.599980pt;mso-position-horizontal-relative:page;mso-position-vertical-relative:paragraph;z-index:-15610368;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400</w:t>
      </w:r>
      <w:r>
        <w:rPr>
          <w:sz w:val="18"/>
          <w:vertAlign w:val="baseline"/>
        </w:rPr>
        <w:t> (2003) 3 SSC 472</w:t>
      </w:r>
    </w:p>
    <w:p>
      <w:pPr>
        <w:spacing w:before="2"/>
        <w:ind w:left="500" w:right="0" w:firstLine="0"/>
        <w:jc w:val="left"/>
        <w:rPr>
          <w:sz w:val="18"/>
        </w:rPr>
      </w:pPr>
      <w:r>
        <w:rPr>
          <w:sz w:val="18"/>
          <w:vertAlign w:val="superscript"/>
        </w:rPr>
        <w:t>401</w:t>
      </w:r>
      <w:r>
        <w:rPr>
          <w:sz w:val="18"/>
          <w:vertAlign w:val="baseline"/>
        </w:rPr>
        <w:t> (2013) 9 SCC 319</w:t>
      </w:r>
    </w:p>
    <w:p>
      <w:pPr>
        <w:spacing w:after="0"/>
        <w:jc w:val="left"/>
        <w:rPr>
          <w:sz w:val="18"/>
        </w:rPr>
        <w:sectPr>
          <w:headerReference w:type="default" r:id="rId204"/>
          <w:footerReference w:type="default" r:id="rId205"/>
          <w:pgSz w:w="11910" w:h="16840"/>
          <w:pgMar w:header="721" w:footer="1014" w:top="1300" w:bottom="1200" w:left="940" w:right="1000"/>
          <w:pgNumType w:start="898"/>
        </w:sectPr>
      </w:pPr>
    </w:p>
    <w:p>
      <w:pPr>
        <w:spacing w:line="276" w:lineRule="auto" w:before="122"/>
        <w:ind w:left="1940" w:right="2256" w:firstLine="0"/>
        <w:jc w:val="both"/>
        <w:rPr>
          <w:sz w:val="21"/>
        </w:rPr>
      </w:pPr>
      <w:r>
        <w:rPr>
          <w:sz w:val="21"/>
        </w:rPr>
        <w:t>establish that he has continued possession of the suit property, while the other side claiming title, must make out a case of trespass/encroachment, etc. Where the apparent title is with the plaintiffs, it is incumbent upon the defendant, that in order to displace this claim of apparent title and to establish beneficial title in himself, he must establish by way of satisfactory evidence, circumstances that favour his version. Even, a revenue record is not a document of title. It merely raises a presumption in regard to possession. Presumption of possession and/or continuity thereof, both forward and backward, can also be raised under Section 110 of the Evidence</w:t>
      </w:r>
      <w:r>
        <w:rPr>
          <w:spacing w:val="-2"/>
          <w:sz w:val="21"/>
        </w:rPr>
        <w:t> </w:t>
      </w:r>
      <w:r>
        <w:rPr>
          <w:sz w:val="21"/>
        </w:rPr>
        <w:t>Act.‖</w:t>
      </w:r>
    </w:p>
    <w:p>
      <w:pPr>
        <w:spacing w:before="2"/>
        <w:ind w:left="5462" w:right="0" w:firstLine="0"/>
        <w:jc w:val="left"/>
        <w:rPr>
          <w:sz w:val="21"/>
        </w:rPr>
      </w:pPr>
      <w:r>
        <w:rPr>
          <w:sz w:val="21"/>
        </w:rPr>
        <w:t>(Emphasis supplied)</w:t>
      </w:r>
    </w:p>
    <w:p>
      <w:pPr>
        <w:pStyle w:val="BodyText"/>
        <w:rPr>
          <w:sz w:val="24"/>
        </w:rPr>
      </w:pPr>
    </w:p>
    <w:p>
      <w:pPr>
        <w:pStyle w:val="BodyText"/>
        <w:spacing w:before="6"/>
        <w:rPr>
          <w:sz w:val="27"/>
        </w:rPr>
      </w:pPr>
    </w:p>
    <w:p>
      <w:pPr>
        <w:pStyle w:val="BodyText"/>
        <w:spacing w:line="480" w:lineRule="auto"/>
        <w:ind w:left="500" w:right="442"/>
        <w:jc w:val="both"/>
      </w:pPr>
      <w:r>
        <w:rPr/>
        <w:t>In assessing this limb of the submission on the applicability of Section 110 the </w:t>
      </w:r>
      <w:r>
        <w:rPr>
          <w:w w:val="99"/>
        </w:rPr>
        <w:t>crucial</w:t>
      </w:r>
      <w:r>
        <w:rPr/>
        <w:t> </w:t>
      </w:r>
      <w:r>
        <w:rPr>
          <w:w w:val="99"/>
        </w:rPr>
        <w:t>test</w:t>
      </w:r>
      <w:r>
        <w:rPr/>
        <w:t> </w:t>
      </w:r>
      <w:r>
        <w:rPr>
          <w:w w:val="99"/>
        </w:rPr>
        <w:t>is</w:t>
      </w:r>
      <w:r>
        <w:rPr/>
        <w:t> </w:t>
      </w:r>
      <w:r>
        <w:rPr>
          <w:w w:val="99"/>
        </w:rPr>
        <w:t>whether</w:t>
      </w:r>
      <w:r>
        <w:rPr/>
        <w:t> </w:t>
      </w:r>
      <w:r>
        <w:rPr>
          <w:w w:val="99"/>
        </w:rPr>
        <w:t>the</w:t>
      </w:r>
      <w:r>
        <w:rPr/>
        <w:t> </w:t>
      </w:r>
      <w:r>
        <w:rPr>
          <w:w w:val="99"/>
        </w:rPr>
        <w:t>disputed</w:t>
      </w:r>
      <w:r>
        <w:rPr/>
        <w:t> </w:t>
      </w:r>
      <w:r>
        <w:rPr>
          <w:w w:val="99"/>
        </w:rPr>
        <w:t>site</w:t>
      </w:r>
      <w:r>
        <w:rPr/>
        <w:t> </w:t>
      </w:r>
      <w:r>
        <w:rPr>
          <w:w w:val="99"/>
        </w:rPr>
        <w:t>represents</w:t>
      </w:r>
      <w:r>
        <w:rPr/>
        <w:t> </w:t>
      </w:r>
      <w:r>
        <w:rPr>
          <w:w w:val="33"/>
        </w:rPr>
        <w:t>―</w:t>
      </w:r>
      <w:r>
        <w:rPr>
          <w:w w:val="99"/>
        </w:rPr>
        <w:t>anything</w:t>
      </w:r>
      <w:r>
        <w:rPr/>
        <w:t> </w:t>
      </w:r>
      <w:r>
        <w:rPr>
          <w:w w:val="99"/>
        </w:rPr>
        <w:t>of</w:t>
      </w:r>
      <w:r>
        <w:rPr/>
        <w:t> </w:t>
      </w:r>
      <w:r>
        <w:rPr>
          <w:w w:val="99"/>
        </w:rPr>
        <w:t>w</w:t>
      </w:r>
      <w:r>
        <w:rPr>
          <w:w w:val="96"/>
        </w:rPr>
        <w:t>hich‖</w:t>
      </w:r>
      <w:r>
        <w:rPr/>
        <w:t> </w:t>
      </w:r>
      <w:r>
        <w:rPr>
          <w:w w:val="99"/>
        </w:rPr>
        <w:t>the</w:t>
      </w:r>
      <w:r>
        <w:rPr/>
        <w:t> </w:t>
      </w:r>
      <w:r>
        <w:rPr>
          <w:w w:val="99"/>
        </w:rPr>
        <w:t>Muslim parties</w:t>
      </w:r>
      <w:r>
        <w:rPr/>
        <w:t> </w:t>
      </w:r>
      <w:r>
        <w:rPr>
          <w:w w:val="99"/>
        </w:rPr>
        <w:t>are</w:t>
      </w:r>
      <w:r>
        <w:rPr/>
        <w:t> </w:t>
      </w:r>
      <w:r>
        <w:rPr>
          <w:w w:val="33"/>
        </w:rPr>
        <w:t>―</w:t>
      </w:r>
      <w:r>
        <w:rPr>
          <w:w w:val="99"/>
        </w:rPr>
        <w:t>shown</w:t>
      </w:r>
      <w:r>
        <w:rPr/>
        <w:t> </w:t>
      </w:r>
      <w:r>
        <w:rPr>
          <w:w w:val="99"/>
        </w:rPr>
        <w:t>to</w:t>
      </w:r>
      <w:r>
        <w:rPr/>
        <w:t> </w:t>
      </w:r>
      <w:r>
        <w:rPr>
          <w:w w:val="99"/>
        </w:rPr>
        <w:t>be</w:t>
      </w:r>
      <w:r>
        <w:rPr/>
        <w:t> </w:t>
      </w:r>
      <w:r>
        <w:rPr>
          <w:w w:val="99"/>
        </w:rPr>
        <w:t>in</w:t>
      </w:r>
      <w:r>
        <w:rPr/>
        <w:t> </w:t>
      </w:r>
      <w:r>
        <w:rPr>
          <w:w w:val="99"/>
        </w:rPr>
        <w:t>possession</w:t>
      </w:r>
      <w:r>
        <w:rPr>
          <w:w w:val="80"/>
        </w:rPr>
        <w:t>‖</w:t>
      </w:r>
      <w:r>
        <w:rPr>
          <w:w w:val="99"/>
        </w:rPr>
        <w:t>.</w:t>
      </w:r>
      <w:r>
        <w:rPr/>
        <w:t> </w:t>
      </w:r>
      <w:r>
        <w:rPr>
          <w:w w:val="99"/>
        </w:rPr>
        <w:t>Unless</w:t>
      </w:r>
      <w:r>
        <w:rPr/>
        <w:t> </w:t>
      </w:r>
      <w:r>
        <w:rPr>
          <w:w w:val="99"/>
        </w:rPr>
        <w:t>the</w:t>
      </w:r>
      <w:r>
        <w:rPr/>
        <w:t> </w:t>
      </w:r>
      <w:r>
        <w:rPr>
          <w:w w:val="90"/>
        </w:rPr>
        <w:t>‗shown</w:t>
      </w:r>
      <w:r>
        <w:rPr/>
        <w:t> </w:t>
      </w:r>
      <w:r>
        <w:rPr>
          <w:w w:val="99"/>
        </w:rPr>
        <w:t>to</w:t>
      </w:r>
      <w:r>
        <w:rPr/>
        <w:t> </w:t>
      </w:r>
      <w:r>
        <w:rPr>
          <w:w w:val="99"/>
        </w:rPr>
        <w:t>be</w:t>
      </w:r>
      <w:r>
        <w:rPr/>
        <w:t> </w:t>
      </w:r>
      <w:r>
        <w:rPr>
          <w:w w:val="99"/>
        </w:rPr>
        <w:t>in</w:t>
      </w:r>
      <w:r>
        <w:rPr/>
        <w:t> </w:t>
      </w:r>
      <w:r>
        <w:rPr>
          <w:w w:val="99"/>
        </w:rPr>
        <w:t>possession‘ </w:t>
      </w:r>
      <w:r>
        <w:rPr/>
        <w:t>requirement is fulfilled, the presumption would not arise and there would be no question of placing the burden of establishing that the plaintiffs in Suit 4 are not the owners on the contesting Hindu parties.</w:t>
      </w:r>
    </w:p>
    <w:p>
      <w:pPr>
        <w:pStyle w:val="BodyText"/>
        <w:spacing w:before="3"/>
      </w:pPr>
    </w:p>
    <w:p>
      <w:pPr>
        <w:pStyle w:val="Heading4"/>
        <w:rPr>
          <w:i/>
        </w:rPr>
      </w:pPr>
      <w:r>
        <w:rPr>
          <w:i/>
        </w:rPr>
        <w:t>Analysis on the Muslim claim of possession</w:t>
      </w:r>
    </w:p>
    <w:p>
      <w:pPr>
        <w:pStyle w:val="BodyText"/>
        <w:rPr>
          <w:i/>
          <w:sz w:val="28"/>
        </w:rPr>
      </w:pPr>
    </w:p>
    <w:p>
      <w:pPr>
        <w:pStyle w:val="BodyText"/>
        <w:spacing w:before="9"/>
        <w:rPr>
          <w:i/>
          <w:sz w:val="23"/>
        </w:rPr>
      </w:pPr>
    </w:p>
    <w:p>
      <w:pPr>
        <w:pStyle w:val="ListParagraph"/>
        <w:numPr>
          <w:ilvl w:val="0"/>
          <w:numId w:val="241"/>
        </w:numPr>
        <w:tabs>
          <w:tab w:pos="1221" w:val="left" w:leader="none"/>
        </w:tabs>
        <w:spacing w:line="480" w:lineRule="auto" w:before="0" w:after="0"/>
        <w:ind w:left="500" w:right="440" w:firstLine="0"/>
        <w:jc w:val="both"/>
        <w:rPr>
          <w:sz w:val="25"/>
        </w:rPr>
      </w:pPr>
      <w:r>
        <w:rPr>
          <w:sz w:val="25"/>
        </w:rPr>
        <w:t>The case of the plaintiffs in Suit 4 has to be evaluated on the basis of the entirety of the evidence on the record to deduce whether possession has been established on a preponderance of probabilities. The evidence reveals several significant features which must be</w:t>
      </w:r>
      <w:r>
        <w:rPr>
          <w:spacing w:val="-3"/>
          <w:sz w:val="25"/>
        </w:rPr>
        <w:t> </w:t>
      </w:r>
      <w:r>
        <w:rPr>
          <w:sz w:val="25"/>
        </w:rPr>
        <w:t>noted:</w:t>
      </w:r>
    </w:p>
    <w:p>
      <w:pPr>
        <w:pStyle w:val="ListParagraph"/>
        <w:numPr>
          <w:ilvl w:val="0"/>
          <w:numId w:val="242"/>
        </w:numPr>
        <w:tabs>
          <w:tab w:pos="1221" w:val="left" w:leader="none"/>
        </w:tabs>
        <w:spacing w:line="480" w:lineRule="auto" w:before="159" w:after="0"/>
        <w:ind w:left="1220" w:right="438" w:hanging="720"/>
        <w:jc w:val="both"/>
        <w:rPr>
          <w:sz w:val="25"/>
        </w:rPr>
      </w:pPr>
      <w:r>
        <w:rPr>
          <w:sz w:val="25"/>
        </w:rPr>
        <w:t>Though, the case of the plaintiffs in Suit 4 is that the mosque was constructed in 1528 by or at the behest of Babur, there is no account by them of possession, use or offer of namaz in the mosque between the date of construction and 1856-7. For a period of over 325 years which elapsed since</w:t>
      </w:r>
      <w:r>
        <w:rPr>
          <w:spacing w:val="27"/>
          <w:sz w:val="25"/>
        </w:rPr>
        <w:t> </w:t>
      </w:r>
      <w:r>
        <w:rPr>
          <w:sz w:val="25"/>
        </w:rPr>
        <w:t>the</w:t>
      </w:r>
      <w:r>
        <w:rPr>
          <w:spacing w:val="28"/>
          <w:sz w:val="25"/>
        </w:rPr>
        <w:t> </w:t>
      </w:r>
      <w:r>
        <w:rPr>
          <w:sz w:val="25"/>
        </w:rPr>
        <w:t>date</w:t>
      </w:r>
      <w:r>
        <w:rPr>
          <w:spacing w:val="28"/>
          <w:sz w:val="25"/>
        </w:rPr>
        <w:t> </w:t>
      </w:r>
      <w:r>
        <w:rPr>
          <w:sz w:val="25"/>
        </w:rPr>
        <w:t>of</w:t>
      </w:r>
      <w:r>
        <w:rPr>
          <w:spacing w:val="28"/>
          <w:sz w:val="25"/>
        </w:rPr>
        <w:t> </w:t>
      </w:r>
      <w:r>
        <w:rPr>
          <w:sz w:val="25"/>
        </w:rPr>
        <w:t>the</w:t>
      </w:r>
      <w:r>
        <w:rPr>
          <w:spacing w:val="26"/>
          <w:sz w:val="25"/>
        </w:rPr>
        <w:t> </w:t>
      </w:r>
      <w:r>
        <w:rPr>
          <w:sz w:val="25"/>
        </w:rPr>
        <w:t>construction</w:t>
      </w:r>
      <w:r>
        <w:rPr>
          <w:spacing w:val="28"/>
          <w:sz w:val="25"/>
        </w:rPr>
        <w:t> </w:t>
      </w:r>
      <w:r>
        <w:rPr>
          <w:sz w:val="25"/>
        </w:rPr>
        <w:t>of</w:t>
      </w:r>
      <w:r>
        <w:rPr>
          <w:spacing w:val="28"/>
          <w:sz w:val="25"/>
        </w:rPr>
        <w:t> </w:t>
      </w:r>
      <w:r>
        <w:rPr>
          <w:sz w:val="25"/>
        </w:rPr>
        <w:t>the</w:t>
      </w:r>
      <w:r>
        <w:rPr>
          <w:spacing w:val="26"/>
          <w:sz w:val="25"/>
        </w:rPr>
        <w:t> </w:t>
      </w:r>
      <w:r>
        <w:rPr>
          <w:sz w:val="25"/>
        </w:rPr>
        <w:t>mosque</w:t>
      </w:r>
      <w:r>
        <w:rPr>
          <w:spacing w:val="28"/>
          <w:sz w:val="25"/>
        </w:rPr>
        <w:t> </w:t>
      </w:r>
      <w:r>
        <w:rPr>
          <w:sz w:val="25"/>
        </w:rPr>
        <w:t>until</w:t>
      </w:r>
      <w:r>
        <w:rPr>
          <w:spacing w:val="27"/>
          <w:sz w:val="25"/>
        </w:rPr>
        <w:t> </w:t>
      </w:r>
      <w:r>
        <w:rPr>
          <w:sz w:val="25"/>
        </w:rPr>
        <w:t>the</w:t>
      </w:r>
      <w:r>
        <w:rPr>
          <w:spacing w:val="28"/>
          <w:sz w:val="25"/>
        </w:rPr>
        <w:t> </w:t>
      </w:r>
      <w:r>
        <w:rPr>
          <w:sz w:val="25"/>
        </w:rPr>
        <w:t>setting</w:t>
      </w:r>
      <w:r>
        <w:rPr>
          <w:spacing w:val="28"/>
          <w:sz w:val="25"/>
        </w:rPr>
        <w:t> </w:t>
      </w:r>
      <w:r>
        <w:rPr>
          <w:sz w:val="25"/>
        </w:rPr>
        <w:t>up</w:t>
      </w:r>
      <w:r>
        <w:rPr>
          <w:spacing w:val="28"/>
          <w:sz w:val="25"/>
        </w:rPr>
        <w:t> </w:t>
      </w:r>
      <w:r>
        <w:rPr>
          <w:sz w:val="25"/>
        </w:rPr>
        <w:t>of</w:t>
      </w:r>
      <w:r>
        <w:rPr>
          <w:spacing w:val="25"/>
          <w:sz w:val="25"/>
        </w:rPr>
        <w:t> </w:t>
      </w:r>
      <w:r>
        <w:rPr>
          <w:sz w:val="25"/>
        </w:rPr>
        <w:t>a</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2"/>
        <w:jc w:val="both"/>
      </w:pPr>
      <w:r>
        <w:rPr/>
        <w:t>grill-brick wall by the British, the Muslims have not adduced evidence to establish the exercise of possessory control over the disputed site. Nor is there any account in the evidence of the offering of namaz in the mosque, over this period;</w:t>
      </w:r>
    </w:p>
    <w:p>
      <w:pPr>
        <w:pStyle w:val="ListParagraph"/>
        <w:numPr>
          <w:ilvl w:val="0"/>
          <w:numId w:val="242"/>
        </w:numPr>
        <w:tabs>
          <w:tab w:pos="1221" w:val="left" w:leader="none"/>
        </w:tabs>
        <w:spacing w:line="480" w:lineRule="auto" w:before="0" w:after="0"/>
        <w:ind w:left="1220" w:right="435" w:hanging="720"/>
        <w:jc w:val="both"/>
        <w:rPr>
          <w:sz w:val="25"/>
        </w:rPr>
      </w:pPr>
      <w:r>
        <w:rPr>
          <w:sz w:val="25"/>
        </w:rPr>
        <w:t>On the contrary, the travelogues (chiefly </w:t>
      </w:r>
      <w:r>
        <w:rPr>
          <w:b/>
          <w:sz w:val="25"/>
        </w:rPr>
        <w:t>Tieffenthaler </w:t>
      </w:r>
      <w:r>
        <w:rPr>
          <w:sz w:val="25"/>
        </w:rPr>
        <w:t>and </w:t>
      </w:r>
      <w:r>
        <w:rPr>
          <w:b/>
          <w:sz w:val="25"/>
        </w:rPr>
        <w:t>Montgomery Martin</w:t>
      </w:r>
      <w:r>
        <w:rPr>
          <w:sz w:val="25"/>
        </w:rPr>
        <w:t>) provide a detailed account both of the faith and belief of  the Hindus based on the sanctity which they ascribed to the place of birth of Lord Ram and of the actual worship by the Hindus at the</w:t>
      </w:r>
      <w:r>
        <w:rPr>
          <w:spacing w:val="-15"/>
          <w:sz w:val="25"/>
        </w:rPr>
        <w:t> </w:t>
      </w:r>
      <w:r>
        <w:rPr>
          <w:sz w:val="25"/>
        </w:rPr>
        <w:t>Janmasthan;</w:t>
      </w:r>
    </w:p>
    <w:p>
      <w:pPr>
        <w:pStyle w:val="ListParagraph"/>
        <w:numPr>
          <w:ilvl w:val="0"/>
          <w:numId w:val="242"/>
        </w:numPr>
        <w:tabs>
          <w:tab w:pos="1221" w:val="left" w:leader="none"/>
        </w:tabs>
        <w:spacing w:line="480" w:lineRule="auto" w:before="0" w:after="0"/>
        <w:ind w:left="1220" w:right="434" w:hanging="720"/>
        <w:jc w:val="both"/>
        <w:rPr>
          <w:sz w:val="25"/>
        </w:rPr>
      </w:pPr>
      <w:r>
        <w:rPr>
          <w:b/>
          <w:sz w:val="25"/>
        </w:rPr>
        <w:t>William Finch </w:t>
      </w:r>
      <w:r>
        <w:rPr>
          <w:sz w:val="25"/>
        </w:rPr>
        <w:t>(1608-11) and </w:t>
      </w:r>
      <w:r>
        <w:rPr>
          <w:b/>
          <w:sz w:val="25"/>
        </w:rPr>
        <w:t>Tieffenthaler </w:t>
      </w:r>
      <w:r>
        <w:rPr>
          <w:sz w:val="25"/>
        </w:rPr>
        <w:t>who visited India between 1743-1785 provided an account of Ayodhya. Conspicuous in both the accounts are references to worship by the Hindus to Lord Ram. The positive account of Hindu worship to Lord Ram is of probative value. </w:t>
      </w:r>
      <w:r>
        <w:rPr>
          <w:b/>
          <w:sz w:val="25"/>
        </w:rPr>
        <w:t>Tieffenthaler </w:t>
      </w:r>
      <w:r>
        <w:rPr>
          <w:sz w:val="25"/>
        </w:rPr>
        <w:t>specifically refers to Hindu places of worship including Sita Rasoi, Swargdwar and the </w:t>
      </w:r>
      <w:r>
        <w:rPr>
          <w:i/>
          <w:sz w:val="25"/>
        </w:rPr>
        <w:t>Bedi </w:t>
      </w:r>
      <w:r>
        <w:rPr>
          <w:sz w:val="25"/>
        </w:rPr>
        <w:t>or cradle symbolising the birth of Lord Ram. The account refers to religious festivals where during the course of which Hindu devotees would throng for worship. Tieffenthaler‘s account in the eighteenth century is prior to the construction of the grill–brick wall in </w:t>
      </w:r>
      <w:r>
        <w:rPr>
          <w:w w:val="99"/>
          <w:sz w:val="25"/>
        </w:rPr>
        <w:t>fr</w:t>
      </w:r>
      <w:r>
        <w:rPr>
          <w:w w:val="99"/>
          <w:sz w:val="25"/>
        </w:rPr>
        <w:t>on</w:t>
      </w:r>
      <w:r>
        <w:rPr>
          <w:w w:val="99"/>
          <w:sz w:val="25"/>
        </w:rPr>
        <w:t>t</w:t>
      </w:r>
      <w:r>
        <w:rPr>
          <w:spacing w:val="14"/>
          <w:sz w:val="25"/>
        </w:rPr>
        <w:t> </w:t>
      </w:r>
      <w:r>
        <w:rPr>
          <w:w w:val="99"/>
          <w:sz w:val="25"/>
        </w:rPr>
        <w:t>of</w:t>
      </w:r>
      <w:r>
        <w:rPr>
          <w:spacing w:val="14"/>
          <w:sz w:val="25"/>
        </w:rPr>
        <w:t> </w:t>
      </w:r>
      <w:r>
        <w:rPr>
          <w:w w:val="99"/>
          <w:sz w:val="25"/>
        </w:rPr>
        <w:t>the</w:t>
      </w:r>
      <w:r>
        <w:rPr>
          <w:spacing w:val="15"/>
          <w:sz w:val="25"/>
        </w:rPr>
        <w:t> </w:t>
      </w:r>
      <w:r>
        <w:rPr>
          <w:w w:val="99"/>
          <w:sz w:val="25"/>
        </w:rPr>
        <w:t>m</w:t>
      </w:r>
      <w:r>
        <w:rPr>
          <w:w w:val="99"/>
          <w:sz w:val="25"/>
        </w:rPr>
        <w:t>osque</w:t>
      </w:r>
      <w:r>
        <w:rPr>
          <w:w w:val="99"/>
          <w:sz w:val="25"/>
        </w:rPr>
        <w:t>.</w:t>
      </w:r>
      <w:r>
        <w:rPr>
          <w:spacing w:val="15"/>
          <w:sz w:val="25"/>
        </w:rPr>
        <w:t> </w:t>
      </w:r>
      <w:r>
        <w:rPr>
          <w:b/>
          <w:spacing w:val="-2"/>
          <w:w w:val="99"/>
          <w:sz w:val="25"/>
        </w:rPr>
        <w:t>T</w:t>
      </w:r>
      <w:r>
        <w:rPr>
          <w:b/>
          <w:w w:val="99"/>
          <w:sz w:val="25"/>
        </w:rPr>
        <w:t>ie</w:t>
      </w:r>
      <w:r>
        <w:rPr>
          <w:b/>
          <w:spacing w:val="1"/>
          <w:w w:val="99"/>
          <w:sz w:val="25"/>
        </w:rPr>
        <w:t>f</w:t>
      </w:r>
      <w:r>
        <w:rPr>
          <w:b/>
          <w:w w:val="99"/>
          <w:sz w:val="25"/>
        </w:rPr>
        <w:t>f</w:t>
      </w:r>
      <w:r>
        <w:rPr>
          <w:b/>
          <w:w w:val="99"/>
          <w:sz w:val="25"/>
        </w:rPr>
        <w:t>e</w:t>
      </w:r>
      <w:r>
        <w:rPr>
          <w:b/>
          <w:spacing w:val="1"/>
          <w:w w:val="99"/>
          <w:sz w:val="25"/>
        </w:rPr>
        <w:t>n</w:t>
      </w:r>
      <w:r>
        <w:rPr>
          <w:b/>
          <w:w w:val="99"/>
          <w:sz w:val="25"/>
        </w:rPr>
        <w:t>th</w:t>
      </w:r>
      <w:r>
        <w:rPr>
          <w:b/>
          <w:w w:val="99"/>
          <w:sz w:val="25"/>
        </w:rPr>
        <w:t>ale</w:t>
      </w:r>
      <w:r>
        <w:rPr>
          <w:b/>
          <w:w w:val="99"/>
          <w:sz w:val="25"/>
        </w:rPr>
        <w:t>r</w:t>
      </w:r>
      <w:r>
        <w:rPr>
          <w:b/>
          <w:spacing w:val="14"/>
          <w:sz w:val="25"/>
        </w:rPr>
        <w:t> </w:t>
      </w:r>
      <w:r>
        <w:rPr>
          <w:w w:val="99"/>
          <w:sz w:val="25"/>
        </w:rPr>
        <w:t>r</w:t>
      </w:r>
      <w:r>
        <w:rPr>
          <w:spacing w:val="-1"/>
          <w:w w:val="99"/>
          <w:sz w:val="25"/>
        </w:rPr>
        <w:t>ef</w:t>
      </w:r>
      <w:r>
        <w:rPr>
          <w:spacing w:val="-2"/>
          <w:w w:val="99"/>
          <w:sz w:val="25"/>
        </w:rPr>
        <w:t>e</w:t>
      </w:r>
      <w:r>
        <w:rPr>
          <w:w w:val="99"/>
          <w:sz w:val="25"/>
        </w:rPr>
        <w:t>rs</w:t>
      </w:r>
      <w:r>
        <w:rPr>
          <w:spacing w:val="14"/>
          <w:sz w:val="25"/>
        </w:rPr>
        <w:t> </w:t>
      </w:r>
      <w:r>
        <w:rPr>
          <w:w w:val="99"/>
          <w:sz w:val="25"/>
        </w:rPr>
        <w:t>to</w:t>
      </w:r>
      <w:r>
        <w:rPr>
          <w:spacing w:val="15"/>
          <w:sz w:val="25"/>
        </w:rPr>
        <w:t> </w:t>
      </w:r>
      <w:r>
        <w:rPr>
          <w:w w:val="33"/>
          <w:sz w:val="25"/>
        </w:rPr>
        <w:t>―</w:t>
      </w:r>
      <w:r>
        <w:rPr>
          <w:w w:val="99"/>
          <w:sz w:val="25"/>
        </w:rPr>
        <w:t>a</w:t>
      </w:r>
      <w:r>
        <w:rPr>
          <w:spacing w:val="14"/>
          <w:sz w:val="25"/>
        </w:rPr>
        <w:t> </w:t>
      </w:r>
      <w:r>
        <w:rPr>
          <w:w w:val="99"/>
          <w:sz w:val="25"/>
        </w:rPr>
        <w:t>squ</w:t>
      </w:r>
      <w:r>
        <w:rPr>
          <w:spacing w:val="-1"/>
          <w:w w:val="99"/>
          <w:sz w:val="25"/>
        </w:rPr>
        <w:t>a</w:t>
      </w:r>
      <w:r>
        <w:rPr>
          <w:w w:val="99"/>
          <w:sz w:val="25"/>
        </w:rPr>
        <w:t>re</w:t>
      </w:r>
      <w:r>
        <w:rPr>
          <w:spacing w:val="14"/>
          <w:sz w:val="25"/>
        </w:rPr>
        <w:t> </w:t>
      </w:r>
      <w:r>
        <w:rPr>
          <w:spacing w:val="-1"/>
          <w:w w:val="99"/>
          <w:sz w:val="25"/>
        </w:rPr>
        <w:t>b</w:t>
      </w:r>
      <w:r>
        <w:rPr>
          <w:w w:val="99"/>
          <w:sz w:val="25"/>
        </w:rPr>
        <w:t>ox</w:t>
      </w:r>
      <w:r>
        <w:rPr>
          <w:spacing w:val="11"/>
          <w:sz w:val="25"/>
        </w:rPr>
        <w:t> </w:t>
      </w:r>
      <w:r>
        <w:rPr>
          <w:w w:val="99"/>
          <w:sz w:val="25"/>
        </w:rPr>
        <w:t>r</w:t>
      </w:r>
      <w:r>
        <w:rPr>
          <w:spacing w:val="-1"/>
          <w:w w:val="99"/>
          <w:sz w:val="25"/>
        </w:rPr>
        <w:t>aise</w:t>
      </w:r>
      <w:r>
        <w:rPr>
          <w:w w:val="99"/>
          <w:sz w:val="25"/>
        </w:rPr>
        <w:t>d</w:t>
      </w:r>
      <w:r>
        <w:rPr>
          <w:spacing w:val="15"/>
          <w:sz w:val="25"/>
        </w:rPr>
        <w:t> </w:t>
      </w:r>
      <w:r>
        <w:rPr>
          <w:w w:val="99"/>
          <w:sz w:val="25"/>
        </w:rPr>
        <w:t>5</w:t>
      </w:r>
      <w:r>
        <w:rPr>
          <w:spacing w:val="14"/>
          <w:sz w:val="25"/>
        </w:rPr>
        <w:t> </w:t>
      </w:r>
      <w:r>
        <w:rPr>
          <w:spacing w:val="-1"/>
          <w:w w:val="99"/>
          <w:sz w:val="25"/>
        </w:rPr>
        <w:t>inch</w:t>
      </w:r>
      <w:r>
        <w:rPr>
          <w:w w:val="99"/>
          <w:sz w:val="25"/>
        </w:rPr>
        <w:t>es </w:t>
      </w:r>
      <w:r>
        <w:rPr>
          <w:sz w:val="25"/>
        </w:rPr>
        <w:t>above the ground with borders made of lime with the length of more than 5 ells and the maximum width of 4 ells‖, which the Hindus called the </w:t>
      </w:r>
      <w:r>
        <w:rPr>
          <w:i/>
          <w:sz w:val="25"/>
        </w:rPr>
        <w:t>Bedi </w:t>
      </w:r>
      <w:r>
        <w:rPr>
          <w:sz w:val="25"/>
        </w:rPr>
        <w:t>or cradle. This, as he notes, was the site of the house where Lord Vishnu was born in the form of the Lord Ram. This, as he notes, is where it was believed that either Aurangzeb or (according to others) Babur got the place </w:t>
      </w:r>
      <w:r>
        <w:rPr>
          <w:w w:val="99"/>
          <w:sz w:val="25"/>
        </w:rPr>
        <w:t>r</w:t>
      </w:r>
      <w:r>
        <w:rPr>
          <w:w w:val="99"/>
          <w:sz w:val="25"/>
        </w:rPr>
        <w:t>aze</w:t>
      </w:r>
      <w:r>
        <w:rPr>
          <w:w w:val="99"/>
          <w:sz w:val="25"/>
        </w:rPr>
        <w:t>d.</w:t>
      </w:r>
      <w:r>
        <w:rPr>
          <w:sz w:val="25"/>
        </w:rPr>
        <w:t> </w:t>
      </w:r>
      <w:r>
        <w:rPr>
          <w:spacing w:val="-33"/>
          <w:sz w:val="25"/>
        </w:rPr>
        <w:t> </w:t>
      </w:r>
      <w:r>
        <w:rPr>
          <w:b/>
          <w:spacing w:val="-2"/>
          <w:w w:val="99"/>
          <w:sz w:val="25"/>
        </w:rPr>
        <w:t>T</w:t>
      </w:r>
      <w:r>
        <w:rPr>
          <w:b/>
          <w:w w:val="99"/>
          <w:sz w:val="25"/>
        </w:rPr>
        <w:t>ie</w:t>
      </w:r>
      <w:r>
        <w:rPr>
          <w:b/>
          <w:spacing w:val="1"/>
          <w:w w:val="99"/>
          <w:sz w:val="25"/>
        </w:rPr>
        <w:t>f</w:t>
      </w:r>
      <w:r>
        <w:rPr>
          <w:b/>
          <w:w w:val="99"/>
          <w:sz w:val="25"/>
        </w:rPr>
        <w:t>f</w:t>
      </w:r>
      <w:r>
        <w:rPr>
          <w:b/>
          <w:w w:val="99"/>
          <w:sz w:val="25"/>
        </w:rPr>
        <w:t>e</w:t>
      </w:r>
      <w:r>
        <w:rPr>
          <w:b/>
          <w:spacing w:val="1"/>
          <w:w w:val="99"/>
          <w:sz w:val="25"/>
        </w:rPr>
        <w:t>n</w:t>
      </w:r>
      <w:r>
        <w:rPr>
          <w:b/>
          <w:w w:val="99"/>
          <w:sz w:val="25"/>
        </w:rPr>
        <w:t>th</w:t>
      </w:r>
      <w:r>
        <w:rPr>
          <w:b/>
          <w:w w:val="99"/>
          <w:sz w:val="25"/>
        </w:rPr>
        <w:t>ale</w:t>
      </w:r>
      <w:r>
        <w:rPr>
          <w:b/>
          <w:spacing w:val="1"/>
          <w:w w:val="99"/>
          <w:sz w:val="25"/>
        </w:rPr>
        <w:t>r</w:t>
      </w:r>
      <w:r>
        <w:rPr>
          <w:w w:val="99"/>
          <w:sz w:val="25"/>
        </w:rPr>
        <w:t>,</w:t>
      </w:r>
      <w:r>
        <w:rPr>
          <w:spacing w:val="33"/>
          <w:sz w:val="25"/>
        </w:rPr>
        <w:t> </w:t>
      </w:r>
      <w:r>
        <w:rPr>
          <w:spacing w:val="-1"/>
          <w:w w:val="99"/>
          <w:sz w:val="25"/>
        </w:rPr>
        <w:t>h</w:t>
      </w:r>
      <w:r>
        <w:rPr>
          <w:w w:val="99"/>
          <w:sz w:val="25"/>
        </w:rPr>
        <w:t>o</w:t>
      </w:r>
      <w:r>
        <w:rPr>
          <w:spacing w:val="-1"/>
          <w:w w:val="99"/>
          <w:sz w:val="25"/>
        </w:rPr>
        <w:t>w</w:t>
      </w:r>
      <w:r>
        <w:rPr>
          <w:spacing w:val="2"/>
          <w:w w:val="99"/>
          <w:sz w:val="25"/>
        </w:rPr>
        <w:t>e</w:t>
      </w:r>
      <w:r>
        <w:rPr>
          <w:spacing w:val="-3"/>
          <w:w w:val="99"/>
          <w:sz w:val="25"/>
        </w:rPr>
        <w:t>v</w:t>
      </w:r>
      <w:r>
        <w:rPr>
          <w:spacing w:val="-1"/>
          <w:w w:val="99"/>
          <w:sz w:val="25"/>
        </w:rPr>
        <w:t>e</w:t>
      </w:r>
      <w:r>
        <w:rPr>
          <w:w w:val="99"/>
          <w:sz w:val="25"/>
        </w:rPr>
        <w:t>r,</w:t>
      </w:r>
      <w:r>
        <w:rPr>
          <w:sz w:val="25"/>
        </w:rPr>
        <w:t> </w:t>
      </w:r>
      <w:r>
        <w:rPr>
          <w:spacing w:val="-34"/>
          <w:sz w:val="25"/>
        </w:rPr>
        <w:t> </w:t>
      </w:r>
      <w:r>
        <w:rPr>
          <w:spacing w:val="-1"/>
          <w:w w:val="99"/>
          <w:sz w:val="25"/>
        </w:rPr>
        <w:t>n</w:t>
      </w:r>
      <w:r>
        <w:rPr>
          <w:w w:val="99"/>
          <w:sz w:val="25"/>
        </w:rPr>
        <w:t>oted</w:t>
      </w:r>
      <w:r>
        <w:rPr>
          <w:sz w:val="25"/>
        </w:rPr>
        <w:t> </w:t>
      </w:r>
      <w:r>
        <w:rPr>
          <w:spacing w:val="-33"/>
          <w:sz w:val="25"/>
        </w:rPr>
        <w:t> </w:t>
      </w:r>
      <w:r>
        <w:rPr>
          <w:w w:val="99"/>
          <w:sz w:val="25"/>
        </w:rPr>
        <w:t>that</w:t>
      </w:r>
      <w:r>
        <w:rPr>
          <w:sz w:val="25"/>
        </w:rPr>
        <w:t> </w:t>
      </w:r>
      <w:r>
        <w:rPr>
          <w:spacing w:val="-34"/>
          <w:sz w:val="25"/>
        </w:rPr>
        <w:t> </w:t>
      </w:r>
      <w:r>
        <w:rPr>
          <w:spacing w:val="-1"/>
          <w:w w:val="99"/>
          <w:sz w:val="25"/>
        </w:rPr>
        <w:t>i</w:t>
      </w:r>
      <w:r>
        <w:rPr>
          <w:w w:val="99"/>
          <w:sz w:val="25"/>
        </w:rPr>
        <w:t>n</w:t>
      </w:r>
      <w:r>
        <w:rPr>
          <w:sz w:val="25"/>
        </w:rPr>
        <w:t> </w:t>
      </w:r>
      <w:r>
        <w:rPr>
          <w:spacing w:val="-34"/>
          <w:sz w:val="25"/>
        </w:rPr>
        <w:t> </w:t>
      </w:r>
      <w:r>
        <w:rPr>
          <w:w w:val="99"/>
          <w:sz w:val="25"/>
        </w:rPr>
        <w:t>the</w:t>
      </w:r>
      <w:r>
        <w:rPr>
          <w:sz w:val="25"/>
        </w:rPr>
        <w:t> </w:t>
      </w:r>
      <w:r>
        <w:rPr>
          <w:spacing w:val="-33"/>
          <w:sz w:val="25"/>
        </w:rPr>
        <w:t> </w:t>
      </w:r>
      <w:r>
        <w:rPr>
          <w:spacing w:val="-1"/>
          <w:w w:val="99"/>
          <w:sz w:val="25"/>
        </w:rPr>
        <w:t>plac</w:t>
      </w:r>
      <w:r>
        <w:rPr>
          <w:w w:val="99"/>
          <w:sz w:val="25"/>
        </w:rPr>
        <w:t>e</w:t>
      </w:r>
      <w:r>
        <w:rPr>
          <w:sz w:val="25"/>
        </w:rPr>
        <w:t> </w:t>
      </w:r>
      <w:r>
        <w:rPr>
          <w:spacing w:val="-31"/>
          <w:sz w:val="25"/>
        </w:rPr>
        <w:t> </w:t>
      </w:r>
      <w:r>
        <w:rPr>
          <w:spacing w:val="-1"/>
          <w:w w:val="99"/>
          <w:sz w:val="25"/>
        </w:rPr>
        <w:t>whe</w:t>
      </w:r>
      <w:r>
        <w:rPr>
          <w:spacing w:val="1"/>
          <w:w w:val="99"/>
          <w:sz w:val="25"/>
        </w:rPr>
        <w:t>r</w:t>
      </w:r>
      <w:r>
        <w:rPr>
          <w:w w:val="99"/>
          <w:sz w:val="25"/>
        </w:rPr>
        <w:t>e</w:t>
      </w:r>
      <w:r>
        <w:rPr>
          <w:sz w:val="25"/>
        </w:rPr>
        <w:t> </w:t>
      </w:r>
      <w:r>
        <w:rPr>
          <w:spacing w:val="-34"/>
          <w:sz w:val="25"/>
        </w:rPr>
        <w:t> </w:t>
      </w:r>
      <w:r>
        <w:rPr>
          <w:spacing w:val="2"/>
          <w:w w:val="99"/>
          <w:sz w:val="25"/>
        </w:rPr>
        <w:t>t</w:t>
      </w:r>
      <w:r>
        <w:rPr>
          <w:spacing w:val="-1"/>
          <w:w w:val="99"/>
          <w:sz w:val="25"/>
        </w:rPr>
        <w:t>h</w:t>
      </w:r>
      <w:r>
        <w:rPr>
          <w:w w:val="99"/>
          <w:sz w:val="25"/>
        </w:rPr>
        <w:t>e</w:t>
      </w:r>
      <w:r>
        <w:rPr>
          <w:sz w:val="25"/>
        </w:rPr>
        <w:t> </w:t>
      </w:r>
      <w:r>
        <w:rPr>
          <w:spacing w:val="-34"/>
          <w:sz w:val="25"/>
        </w:rPr>
        <w:t> </w:t>
      </w:r>
      <w:r>
        <w:rPr>
          <w:w w:val="33"/>
          <w:sz w:val="25"/>
        </w:rPr>
        <w:t>―</w:t>
      </w:r>
      <w:r>
        <w:rPr>
          <w:spacing w:val="-1"/>
          <w:w w:val="99"/>
          <w:sz w:val="25"/>
        </w:rPr>
        <w:t>n</w:t>
      </w:r>
      <w:r>
        <w:rPr>
          <w:w w:val="99"/>
          <w:sz w:val="25"/>
        </w:rPr>
        <w:t>ati</w:t>
      </w:r>
      <w:r>
        <w:rPr>
          <w:spacing w:val="-3"/>
          <w:w w:val="99"/>
          <w:sz w:val="25"/>
        </w:rPr>
        <w:t>v</w:t>
      </w:r>
      <w:r>
        <w:rPr>
          <w:w w:val="99"/>
          <w:sz w:val="25"/>
        </w:rPr>
        <w:t>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39"/>
        <w:jc w:val="both"/>
      </w:pPr>
      <w:r>
        <w:rPr/>
        <w:t>house‖ of Lord Ram existed the Hindus circumambulate three times and prostrate on the floor. This account of Tieffenthaler refers to a focal point of worship namely the birth-place of Lord Ram around which worship took place and the Hindus circumambulated and prostrated;</w:t>
      </w:r>
    </w:p>
    <w:p>
      <w:pPr>
        <w:pStyle w:val="ListParagraph"/>
        <w:numPr>
          <w:ilvl w:val="0"/>
          <w:numId w:val="242"/>
        </w:numPr>
        <w:tabs>
          <w:tab w:pos="1221" w:val="left" w:leader="none"/>
        </w:tabs>
        <w:spacing w:line="480" w:lineRule="auto" w:before="0" w:after="0"/>
        <w:ind w:left="1220" w:right="436" w:hanging="720"/>
        <w:jc w:val="both"/>
        <w:rPr>
          <w:sz w:val="25"/>
        </w:rPr>
      </w:pPr>
      <w:r>
        <w:rPr>
          <w:sz w:val="25"/>
        </w:rPr>
        <w:t>The communal riots that took place in 1856-7 resulted in the colonial administration setting up a grill-brick wall to bring about a measure of peace between the conflicting claims of the two communities. The immediate aftermath of the railing led to the dispute over </w:t>
      </w:r>
      <w:r>
        <w:rPr>
          <w:spacing w:val="2"/>
          <w:sz w:val="25"/>
        </w:rPr>
        <w:t>the </w:t>
      </w:r>
      <w:r>
        <w:rPr>
          <w:sz w:val="25"/>
        </w:rPr>
        <w:t>Ramchabutra, which was erected right outside the railing and from where the Hindus sought to offer worship to Lord Ram. The time of the setting up of the Chabutra, the place of its location and the offer of worship to Lord Ram on Chabutra are pointers in the direction of the Hindus continuing to offer worship immediately outside the railing when faced with a possible exclusion from the inner</w:t>
      </w:r>
      <w:r>
        <w:rPr>
          <w:spacing w:val="-2"/>
          <w:sz w:val="25"/>
        </w:rPr>
        <w:t> </w:t>
      </w:r>
      <w:r>
        <w:rPr>
          <w:sz w:val="25"/>
        </w:rPr>
        <w:t>courtyard;</w:t>
      </w:r>
    </w:p>
    <w:p>
      <w:pPr>
        <w:pStyle w:val="ListParagraph"/>
        <w:numPr>
          <w:ilvl w:val="0"/>
          <w:numId w:val="242"/>
        </w:numPr>
        <w:tabs>
          <w:tab w:pos="1221" w:val="left" w:leader="none"/>
        </w:tabs>
        <w:spacing w:line="480" w:lineRule="auto" w:before="1" w:after="0"/>
        <w:ind w:left="1220" w:right="437" w:hanging="720"/>
        <w:jc w:val="both"/>
        <w:rPr>
          <w:sz w:val="25"/>
        </w:rPr>
      </w:pPr>
      <w:r>
        <w:rPr>
          <w:sz w:val="25"/>
        </w:rPr>
        <w:t>The construction of the grill-brick wall during the colonial administration did not constitute any determination of title as between the Hindus and the Muslims but was a measure intended to maintain public peace and safety having regard to the incidents which had taken place in 1856-7 resulting in a loss of</w:t>
      </w:r>
      <w:r>
        <w:rPr>
          <w:spacing w:val="-3"/>
          <w:sz w:val="25"/>
        </w:rPr>
        <w:t> </w:t>
      </w:r>
      <w:r>
        <w:rPr>
          <w:sz w:val="25"/>
        </w:rPr>
        <w:t>life;</w:t>
      </w:r>
    </w:p>
    <w:p>
      <w:pPr>
        <w:pStyle w:val="ListParagraph"/>
        <w:numPr>
          <w:ilvl w:val="0"/>
          <w:numId w:val="242"/>
        </w:numPr>
        <w:tabs>
          <w:tab w:pos="1221" w:val="left" w:leader="none"/>
        </w:tabs>
        <w:spacing w:line="480" w:lineRule="auto" w:before="1" w:after="0"/>
        <w:ind w:left="1220" w:right="435" w:hanging="720"/>
        <w:jc w:val="both"/>
        <w:rPr>
          <w:sz w:val="25"/>
        </w:rPr>
      </w:pPr>
      <w:r>
        <w:rPr>
          <w:sz w:val="25"/>
        </w:rPr>
        <w:t>That the setting up of a buffer in the form of the grill-brick wall did not amount to an absolute exclusion appears from sporadic incidents such as the incident involving the setting up of a flag and the performance of  hawan</w:t>
      </w:r>
      <w:r>
        <w:rPr>
          <w:spacing w:val="23"/>
          <w:sz w:val="25"/>
        </w:rPr>
        <w:t> </w:t>
      </w:r>
      <w:r>
        <w:rPr>
          <w:sz w:val="25"/>
        </w:rPr>
        <w:t>and</w:t>
      </w:r>
      <w:r>
        <w:rPr>
          <w:spacing w:val="24"/>
          <w:sz w:val="25"/>
        </w:rPr>
        <w:t> </w:t>
      </w:r>
      <w:r>
        <w:rPr>
          <w:sz w:val="25"/>
        </w:rPr>
        <w:t>puja</w:t>
      </w:r>
      <w:r>
        <w:rPr>
          <w:spacing w:val="24"/>
          <w:sz w:val="25"/>
        </w:rPr>
        <w:t> </w:t>
      </w:r>
      <w:r>
        <w:rPr>
          <w:sz w:val="25"/>
        </w:rPr>
        <w:t>by</w:t>
      </w:r>
      <w:r>
        <w:rPr>
          <w:spacing w:val="21"/>
          <w:sz w:val="25"/>
        </w:rPr>
        <w:t> </w:t>
      </w:r>
      <w:r>
        <w:rPr>
          <w:sz w:val="25"/>
        </w:rPr>
        <w:t>the</w:t>
      </w:r>
      <w:r>
        <w:rPr>
          <w:spacing w:val="24"/>
          <w:sz w:val="25"/>
        </w:rPr>
        <w:t> </w:t>
      </w:r>
      <w:r>
        <w:rPr>
          <w:sz w:val="25"/>
        </w:rPr>
        <w:t>Nihang</w:t>
      </w:r>
      <w:r>
        <w:rPr>
          <w:spacing w:val="24"/>
          <w:sz w:val="25"/>
        </w:rPr>
        <w:t> </w:t>
      </w:r>
      <w:r>
        <w:rPr>
          <w:sz w:val="25"/>
        </w:rPr>
        <w:t>Singh</w:t>
      </w:r>
      <w:r>
        <w:rPr>
          <w:spacing w:val="27"/>
          <w:sz w:val="25"/>
        </w:rPr>
        <w:t> </w:t>
      </w:r>
      <w:r>
        <w:rPr>
          <w:sz w:val="25"/>
        </w:rPr>
        <w:t>within</w:t>
      </w:r>
      <w:r>
        <w:rPr>
          <w:spacing w:val="24"/>
          <w:sz w:val="25"/>
        </w:rPr>
        <w:t> </w:t>
      </w:r>
      <w:r>
        <w:rPr>
          <w:sz w:val="25"/>
        </w:rPr>
        <w:t>the</w:t>
      </w:r>
      <w:r>
        <w:rPr>
          <w:spacing w:val="24"/>
          <w:sz w:val="25"/>
        </w:rPr>
        <w:t> </w:t>
      </w:r>
      <w:r>
        <w:rPr>
          <w:sz w:val="25"/>
        </w:rPr>
        <w:t>precincts</w:t>
      </w:r>
      <w:r>
        <w:rPr>
          <w:spacing w:val="23"/>
          <w:sz w:val="25"/>
        </w:rPr>
        <w:t> </w:t>
      </w:r>
      <w:r>
        <w:rPr>
          <w:sz w:val="25"/>
        </w:rPr>
        <w:t>of</w:t>
      </w:r>
      <w:r>
        <w:rPr>
          <w:spacing w:val="24"/>
          <w:sz w:val="25"/>
        </w:rPr>
        <w:t> </w:t>
      </w:r>
      <w:r>
        <w:rPr>
          <w:sz w:val="25"/>
        </w:rPr>
        <w:t>the</w:t>
      </w:r>
      <w:r>
        <w:rPr>
          <w:spacing w:val="24"/>
          <w:sz w:val="25"/>
        </w:rPr>
        <w:t> </w:t>
      </w:r>
      <w:r>
        <w:rPr>
          <w:sz w:val="25"/>
        </w:rPr>
        <w:t>mosque.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5"/>
        <w:jc w:val="both"/>
      </w:pPr>
      <w:r>
        <w:rPr/>
        <w:t>Nihang Singh was evicted following the intervention of the authorities of the</w:t>
      </w:r>
      <w:r>
        <w:rPr>
          <w:spacing w:val="-1"/>
        </w:rPr>
        <w:t> </w:t>
      </w:r>
      <w:r>
        <w:rPr/>
        <w:t>state;</w:t>
      </w:r>
    </w:p>
    <w:p>
      <w:pPr>
        <w:pStyle w:val="ListParagraph"/>
        <w:numPr>
          <w:ilvl w:val="0"/>
          <w:numId w:val="242"/>
        </w:numPr>
        <w:tabs>
          <w:tab w:pos="1221" w:val="left" w:leader="none"/>
        </w:tabs>
        <w:spacing w:line="480" w:lineRule="auto" w:before="0" w:after="0"/>
        <w:ind w:left="1220" w:right="439" w:hanging="720"/>
        <w:jc w:val="both"/>
        <w:rPr>
          <w:sz w:val="25"/>
        </w:rPr>
      </w:pPr>
      <w:r>
        <w:rPr>
          <w:sz w:val="25"/>
        </w:rPr>
        <w:t>Until 1877, there was only one entry through which access could be gained to the inner courtyard which was the door on the eastern side called Hanumat Dwar. On gaining entry, the Hindus had several places of worship such as the Ramchabutra and Sita Rasoi as well as the Bhandar which indicated that insofar as the outer courtyard is concerned, the Hindus were in settled</w:t>
      </w:r>
      <w:r>
        <w:rPr>
          <w:spacing w:val="-3"/>
          <w:sz w:val="25"/>
        </w:rPr>
        <w:t> </w:t>
      </w:r>
      <w:r>
        <w:rPr>
          <w:sz w:val="25"/>
        </w:rPr>
        <w:t>possession;</w:t>
      </w:r>
    </w:p>
    <w:p>
      <w:pPr>
        <w:pStyle w:val="ListParagraph"/>
        <w:numPr>
          <w:ilvl w:val="0"/>
          <w:numId w:val="242"/>
        </w:numPr>
        <w:tabs>
          <w:tab w:pos="1221" w:val="left" w:leader="none"/>
        </w:tabs>
        <w:spacing w:line="480" w:lineRule="auto" w:before="1" w:after="0"/>
        <w:ind w:left="1220" w:right="437" w:hanging="720"/>
        <w:jc w:val="both"/>
        <w:rPr>
          <w:sz w:val="25"/>
        </w:rPr>
      </w:pPr>
      <w:r>
        <w:rPr>
          <w:sz w:val="25"/>
        </w:rPr>
        <w:t>The opening of an additional door on the northern side which came to be known as Singh Dwar was warranted as a measure to ensure the safe passage of a large number of pilgrims who entered the premises to offer worship. Objections to the opening of Singh Dwar were dealt with and resulted in their rejection as a consequence of which the opening of an additional door providing access became an established</w:t>
      </w:r>
      <w:r>
        <w:rPr>
          <w:spacing w:val="-9"/>
          <w:sz w:val="25"/>
        </w:rPr>
        <w:t> </w:t>
      </w:r>
      <w:r>
        <w:rPr>
          <w:sz w:val="25"/>
        </w:rPr>
        <w:t>fact;</w:t>
      </w:r>
    </w:p>
    <w:p>
      <w:pPr>
        <w:pStyle w:val="ListParagraph"/>
        <w:numPr>
          <w:ilvl w:val="0"/>
          <w:numId w:val="242"/>
        </w:numPr>
        <w:tabs>
          <w:tab w:pos="1221" w:val="left" w:leader="none"/>
        </w:tabs>
        <w:spacing w:line="480" w:lineRule="auto" w:before="0" w:after="0"/>
        <w:ind w:left="1220" w:right="437" w:hanging="720"/>
        <w:jc w:val="both"/>
        <w:rPr>
          <w:sz w:val="25"/>
        </w:rPr>
      </w:pPr>
      <w:r>
        <w:rPr>
          <w:sz w:val="25"/>
        </w:rPr>
        <w:t>Disputes between the Hindus and the Muslims continued to persist, indicating the litigious nature of the respective claims, in respect of the inner</w:t>
      </w:r>
      <w:r>
        <w:rPr>
          <w:spacing w:val="-1"/>
          <w:sz w:val="25"/>
        </w:rPr>
        <w:t> </w:t>
      </w:r>
      <w:r>
        <w:rPr>
          <w:sz w:val="25"/>
        </w:rPr>
        <w:t>courtyard;</w:t>
      </w:r>
    </w:p>
    <w:p>
      <w:pPr>
        <w:pStyle w:val="ListParagraph"/>
        <w:numPr>
          <w:ilvl w:val="0"/>
          <w:numId w:val="242"/>
        </w:numPr>
        <w:tabs>
          <w:tab w:pos="1221" w:val="left" w:leader="none"/>
        </w:tabs>
        <w:spacing w:line="480" w:lineRule="auto" w:before="1" w:after="0"/>
        <w:ind w:left="1220" w:right="437" w:hanging="720"/>
        <w:jc w:val="both"/>
        <w:rPr>
          <w:sz w:val="25"/>
        </w:rPr>
      </w:pPr>
      <w:r>
        <w:rPr>
          <w:sz w:val="25"/>
        </w:rPr>
        <w:t>In 1934, there was yet another communal riot during the course of which the domed structure of the mosque was damaged. This led to the imposition of a fine on the Hindu residents of Ayodhya and the work of restoration being carried out at the expense of the colonial administration through a Muslim contractor. This indicates that while the Hindus had continued to offer worship continuously in the outer courtyard, there was no</w:t>
      </w:r>
      <w:r>
        <w:rPr>
          <w:spacing w:val="12"/>
          <w:sz w:val="25"/>
        </w:rPr>
        <w:t> </w:t>
      </w:r>
      <w:r>
        <w:rPr>
          <w:sz w:val="25"/>
        </w:rPr>
        <w:t>abandonment</w:t>
      </w:r>
      <w:r>
        <w:rPr>
          <w:spacing w:val="11"/>
          <w:sz w:val="25"/>
        </w:rPr>
        <w:t> </w:t>
      </w:r>
      <w:r>
        <w:rPr>
          <w:sz w:val="25"/>
        </w:rPr>
        <w:t>of</w:t>
      </w:r>
      <w:r>
        <w:rPr>
          <w:spacing w:val="13"/>
          <w:sz w:val="25"/>
        </w:rPr>
        <w:t> </w:t>
      </w:r>
      <w:r>
        <w:rPr>
          <w:sz w:val="25"/>
        </w:rPr>
        <w:t>the</w:t>
      </w:r>
      <w:r>
        <w:rPr>
          <w:spacing w:val="13"/>
          <w:sz w:val="25"/>
        </w:rPr>
        <w:t> </w:t>
      </w:r>
      <w:r>
        <w:rPr>
          <w:sz w:val="25"/>
        </w:rPr>
        <w:t>claim</w:t>
      </w:r>
      <w:r>
        <w:rPr>
          <w:spacing w:val="14"/>
          <w:sz w:val="25"/>
        </w:rPr>
        <w:t> </w:t>
      </w:r>
      <w:r>
        <w:rPr>
          <w:sz w:val="25"/>
        </w:rPr>
        <w:t>by</w:t>
      </w:r>
      <w:r>
        <w:rPr>
          <w:spacing w:val="11"/>
          <w:sz w:val="25"/>
        </w:rPr>
        <w:t> </w:t>
      </w:r>
      <w:r>
        <w:rPr>
          <w:sz w:val="25"/>
        </w:rPr>
        <w:t>the</w:t>
      </w:r>
      <w:r>
        <w:rPr>
          <w:spacing w:val="14"/>
          <w:sz w:val="25"/>
        </w:rPr>
        <w:t> </w:t>
      </w:r>
      <w:r>
        <w:rPr>
          <w:sz w:val="25"/>
        </w:rPr>
        <w:t>Muslims</w:t>
      </w:r>
      <w:r>
        <w:rPr>
          <w:spacing w:val="13"/>
          <w:sz w:val="25"/>
        </w:rPr>
        <w:t> </w:t>
      </w:r>
      <w:r>
        <w:rPr>
          <w:sz w:val="25"/>
        </w:rPr>
        <w:t>of</w:t>
      </w:r>
      <w:r>
        <w:rPr>
          <w:spacing w:val="13"/>
          <w:sz w:val="25"/>
        </w:rPr>
        <w:t> </w:t>
      </w:r>
      <w:r>
        <w:rPr>
          <w:sz w:val="25"/>
        </w:rPr>
        <w:t>the</w:t>
      </w:r>
      <w:r>
        <w:rPr>
          <w:spacing w:val="12"/>
          <w:sz w:val="25"/>
        </w:rPr>
        <w:t> </w:t>
      </w:r>
      <w:r>
        <w:rPr>
          <w:sz w:val="25"/>
        </w:rPr>
        <w:t>status</w:t>
      </w:r>
      <w:r>
        <w:rPr>
          <w:spacing w:val="13"/>
          <w:sz w:val="25"/>
        </w:rPr>
        <w:t> </w:t>
      </w:r>
      <w:r>
        <w:rPr>
          <w:sz w:val="25"/>
        </w:rPr>
        <w:t>of</w:t>
      </w:r>
      <w:r>
        <w:rPr>
          <w:spacing w:val="11"/>
          <w:sz w:val="25"/>
        </w:rPr>
        <w:t> </w:t>
      </w:r>
      <w:r>
        <w:rPr>
          <w:sz w:val="25"/>
        </w:rPr>
        <w:t>the</w:t>
      </w:r>
      <w:r>
        <w:rPr>
          <w:spacing w:val="12"/>
          <w:sz w:val="25"/>
        </w:rPr>
        <w:t> </w:t>
      </w:r>
      <w:r>
        <w:rPr>
          <w:sz w:val="25"/>
        </w:rPr>
        <w:t>structure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220" w:right="443"/>
        <w:jc w:val="both"/>
      </w:pPr>
      <w:r>
        <w:rPr/>
        <w:t>inside the inner courtyard as a mosque. After 1934, there is documentary material to indicate that arrangements were made for the appointment of a Pesh Imam and Mutawalli for the mosque which would belie the notion that there was an abandonment of the mosque;</w:t>
      </w:r>
    </w:p>
    <w:p>
      <w:pPr>
        <w:pStyle w:val="ListParagraph"/>
        <w:numPr>
          <w:ilvl w:val="0"/>
          <w:numId w:val="242"/>
        </w:numPr>
        <w:tabs>
          <w:tab w:pos="1221" w:val="left" w:leader="none"/>
        </w:tabs>
        <w:spacing w:line="480" w:lineRule="auto" w:before="0" w:after="0"/>
        <w:ind w:left="1220" w:right="437" w:hanging="720"/>
        <w:jc w:val="both"/>
        <w:rPr>
          <w:sz w:val="25"/>
        </w:rPr>
      </w:pPr>
      <w:r>
        <w:rPr>
          <w:sz w:val="25"/>
        </w:rPr>
        <w:t>After 1934, evidence indicates that Muslim worship in the form of namaz had reduced as a result of the obstructions in their access to the inner courtyard. By 16 December 1949 (the last Friday namaz) the mosque was being used for the purposes of Friday namaz. The circumstances bearing upon the restoration of the damage which was done to the mosque in 1934, availing of the services of the Pesh Imam and the offering of namaz albeit to a reduced extent are circumstances which point to a reasonable inference that there was no total ouster of the Muslims from the inner structure prior to 22/23 December 1949 though their access was intermittent and interrupted;</w:t>
      </w:r>
      <w:r>
        <w:rPr>
          <w:spacing w:val="-3"/>
          <w:sz w:val="25"/>
        </w:rPr>
        <w:t> </w:t>
      </w:r>
      <w:r>
        <w:rPr>
          <w:sz w:val="25"/>
        </w:rPr>
        <w:t>and</w:t>
      </w:r>
    </w:p>
    <w:p>
      <w:pPr>
        <w:pStyle w:val="ListParagraph"/>
        <w:numPr>
          <w:ilvl w:val="0"/>
          <w:numId w:val="242"/>
        </w:numPr>
        <w:tabs>
          <w:tab w:pos="1221" w:val="left" w:leader="none"/>
        </w:tabs>
        <w:spacing w:line="480" w:lineRule="auto" w:before="1" w:after="0"/>
        <w:ind w:left="1220" w:right="437" w:hanging="720"/>
        <w:jc w:val="both"/>
        <w:rPr>
          <w:sz w:val="25"/>
        </w:rPr>
      </w:pPr>
      <w:r>
        <w:rPr>
          <w:sz w:val="25"/>
        </w:rPr>
        <w:t>On 22/23 December 1949, idols were installed below the central dome of the inner structure which, according to the Muslims, led to the desecration of the mosque. Prior to this, the last namaz was offered on Friday, 16 December 1949. The Friday namaz due on 23 December 1949 could not be offered due to the intervening desecration of the</w:t>
      </w:r>
      <w:r>
        <w:rPr>
          <w:spacing w:val="-9"/>
          <w:sz w:val="25"/>
        </w:rPr>
        <w:t> </w:t>
      </w:r>
      <w:r>
        <w:rPr>
          <w:sz w:val="25"/>
        </w:rPr>
        <w:t>mosque.</w:t>
      </w:r>
    </w:p>
    <w:p>
      <w:pPr>
        <w:pStyle w:val="BodyText"/>
        <w:rPr>
          <w:sz w:val="28"/>
        </w:rPr>
      </w:pPr>
    </w:p>
    <w:p>
      <w:pPr>
        <w:pStyle w:val="BodyText"/>
        <w:spacing w:before="11"/>
        <w:rPr>
          <w:sz w:val="21"/>
        </w:rPr>
      </w:pPr>
    </w:p>
    <w:p>
      <w:pPr>
        <w:pStyle w:val="BodyText"/>
        <w:spacing w:line="480" w:lineRule="auto"/>
        <w:ind w:left="500" w:right="435"/>
        <w:jc w:val="both"/>
      </w:pPr>
      <w:r>
        <w:rPr/>
        <w:t>The Sunni Central Waqf Board‘s case of possession to attract the applicability of Section 110 of the Evidence Act must therefore be assessed from two perspectives: First, insofar as the outer courtyard is concerned, it is impossible to accept on the basis of a preponderance of probabilities that the Muslims were in</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38"/>
        <w:jc w:val="both"/>
      </w:pPr>
      <w:r>
        <w:rPr/>
        <w:t>possession. On the contrary, the establishment of Hindu places of worship in the outer courtyard clearly belies such a claim. Second, insofar as the inner courtyard is concerned, the claim of the Muslims must necessarily be assessed with reference to various time periods namely (i) prior to 1856; (ii) between 1856 and 1934; and (iii) after 1934.</w:t>
      </w:r>
    </w:p>
    <w:p>
      <w:pPr>
        <w:pStyle w:val="BodyText"/>
        <w:spacing w:before="10"/>
        <w:rPr>
          <w:sz w:val="38"/>
        </w:rPr>
      </w:pPr>
    </w:p>
    <w:p>
      <w:pPr>
        <w:pStyle w:val="ListParagraph"/>
        <w:numPr>
          <w:ilvl w:val="0"/>
          <w:numId w:val="241"/>
        </w:numPr>
        <w:tabs>
          <w:tab w:pos="1221" w:val="left" w:leader="none"/>
        </w:tabs>
        <w:spacing w:line="480" w:lineRule="auto" w:before="0" w:after="0"/>
        <w:ind w:left="500" w:right="437" w:firstLine="0"/>
        <w:jc w:val="both"/>
        <w:rPr>
          <w:sz w:val="25"/>
        </w:rPr>
      </w:pPr>
      <w:r>
        <w:rPr>
          <w:sz w:val="25"/>
        </w:rPr>
        <w:t>The Muslim account of worship prior to 1856 is conspicuously silent as opposed to the accounts of worship being offered by the Hindus. Post the setting up of the wall and railing, it is evident that there were obstructions which arose in the continued worship of the Muslims in the inner courtyard which is evidenced  by numerous proceedings as well as by the riots of 1934. Yet, the manner in which the restoration of the mosque took place after the riots and the arrangements in particular for the services of the Pesh Imam indicate that the obstruction notwithstanding, some form of namaz continued to be offered in the mosque until 16 December 1949. While, as the Waqf Inspector indicated, the process of namaz was being obstructed and the worshippers were harassed, there is no evidence to show the abandonment of the claims by the Muslims. In fact, the documentary and oral evidence indicates that Friday namaz was intermittently being offered until 16 December 1949. Though, the claim of the Muslims over the inner courtyard was not abandoned, yet as the evidence indicates, this was a matter of contestation and</w:t>
      </w:r>
      <w:r>
        <w:rPr>
          <w:spacing w:val="-4"/>
          <w:sz w:val="25"/>
        </w:rPr>
        <w:t> </w:t>
      </w:r>
      <w:r>
        <w:rPr>
          <w:sz w:val="25"/>
        </w:rPr>
        <w:t>dispute.</w:t>
      </w:r>
    </w:p>
    <w:p>
      <w:pPr>
        <w:spacing w:after="0" w:line="480" w:lineRule="auto"/>
        <w:jc w:val="both"/>
        <w:rPr>
          <w:sz w:val="25"/>
        </w:rPr>
        <w:sectPr>
          <w:pgSz w:w="11910" w:h="16840"/>
          <w:pgMar w:header="721" w:footer="1014" w:top="1300" w:bottom="1200" w:left="940" w:right="1000"/>
        </w:sectPr>
      </w:pPr>
    </w:p>
    <w:p>
      <w:pPr>
        <w:pStyle w:val="Heading3"/>
        <w:numPr>
          <w:ilvl w:val="0"/>
          <w:numId w:val="191"/>
        </w:numPr>
        <w:tabs>
          <w:tab w:pos="1220" w:val="left" w:leader="none"/>
          <w:tab w:pos="1221" w:val="left" w:leader="none"/>
        </w:tabs>
        <w:spacing w:line="240" w:lineRule="auto" w:before="124" w:after="0"/>
        <w:ind w:left="1220" w:right="0" w:hanging="721"/>
        <w:jc w:val="left"/>
      </w:pPr>
      <w:r>
        <w:rPr/>
        <w:t>Analysis on</w:t>
      </w:r>
      <w:r>
        <w:rPr>
          <w:spacing w:val="-3"/>
        </w:rPr>
        <w:t> </w:t>
      </w:r>
      <w:r>
        <w:rPr/>
        <w:t>title</w:t>
      </w:r>
    </w:p>
    <w:p>
      <w:pPr>
        <w:pStyle w:val="BodyText"/>
        <w:rPr>
          <w:b/>
          <w:sz w:val="28"/>
        </w:rPr>
      </w:pPr>
    </w:p>
    <w:p>
      <w:pPr>
        <w:pStyle w:val="ListParagraph"/>
        <w:numPr>
          <w:ilvl w:val="1"/>
          <w:numId w:val="191"/>
        </w:numPr>
        <w:tabs>
          <w:tab w:pos="1220" w:val="left" w:leader="none"/>
          <w:tab w:pos="1221" w:val="left" w:leader="none"/>
        </w:tabs>
        <w:spacing w:line="240" w:lineRule="auto" w:before="216" w:after="0"/>
        <w:ind w:left="1220" w:right="0" w:hanging="721"/>
        <w:jc w:val="left"/>
        <w:rPr>
          <w:b/>
          <w:sz w:val="26"/>
        </w:rPr>
      </w:pPr>
      <w:r>
        <w:rPr>
          <w:b/>
          <w:sz w:val="26"/>
        </w:rPr>
        <w:t>Marshalling the evidence in Suit 4 and Suit</w:t>
      </w:r>
      <w:r>
        <w:rPr>
          <w:b/>
          <w:spacing w:val="-6"/>
          <w:sz w:val="26"/>
        </w:rPr>
        <w:t> </w:t>
      </w:r>
      <w:r>
        <w:rPr>
          <w:b/>
          <w:sz w:val="26"/>
        </w:rPr>
        <w:t>5</w:t>
      </w:r>
    </w:p>
    <w:p>
      <w:pPr>
        <w:pStyle w:val="BodyText"/>
        <w:rPr>
          <w:b/>
          <w:sz w:val="28"/>
        </w:rPr>
      </w:pPr>
    </w:p>
    <w:p>
      <w:pPr>
        <w:pStyle w:val="ListParagraph"/>
        <w:numPr>
          <w:ilvl w:val="0"/>
          <w:numId w:val="241"/>
        </w:numPr>
        <w:tabs>
          <w:tab w:pos="1221" w:val="left" w:leader="none"/>
        </w:tabs>
        <w:spacing w:line="480" w:lineRule="auto" w:before="217" w:after="0"/>
        <w:ind w:left="500" w:right="444" w:firstLine="0"/>
        <w:jc w:val="both"/>
        <w:rPr>
          <w:sz w:val="25"/>
        </w:rPr>
      </w:pPr>
      <w:r>
        <w:rPr>
          <w:sz w:val="25"/>
        </w:rPr>
        <w:t>A stage has now been reached to marshal together the evidence on the claim of title in Suit 4 and Suit 5 to pave the way for the ultimate determination of the relief to be</w:t>
      </w:r>
      <w:r>
        <w:rPr>
          <w:spacing w:val="-1"/>
          <w:sz w:val="25"/>
        </w:rPr>
        <w:t> </w:t>
      </w:r>
      <w:r>
        <w:rPr>
          <w:sz w:val="25"/>
        </w:rPr>
        <w:t>granted.</w:t>
      </w:r>
    </w:p>
    <w:p>
      <w:pPr>
        <w:pStyle w:val="ListParagraph"/>
        <w:numPr>
          <w:ilvl w:val="0"/>
          <w:numId w:val="243"/>
        </w:numPr>
        <w:tabs>
          <w:tab w:pos="1221" w:val="left" w:leader="none"/>
        </w:tabs>
        <w:spacing w:line="240" w:lineRule="auto" w:before="162" w:after="0"/>
        <w:ind w:left="1220" w:right="0" w:hanging="721"/>
        <w:jc w:val="both"/>
        <w:rPr>
          <w:sz w:val="25"/>
        </w:rPr>
      </w:pPr>
      <w:r>
        <w:rPr>
          <w:sz w:val="25"/>
        </w:rPr>
        <w:t>The report of the ASI indicates the following</w:t>
      </w:r>
      <w:r>
        <w:rPr>
          <w:spacing w:val="-8"/>
          <w:sz w:val="25"/>
        </w:rPr>
        <w:t> </w:t>
      </w:r>
      <w:r>
        <w:rPr>
          <w:sz w:val="25"/>
        </w:rPr>
        <w:t>position:</w:t>
      </w:r>
    </w:p>
    <w:p>
      <w:pPr>
        <w:pStyle w:val="BodyText"/>
        <w:spacing w:before="10"/>
        <w:rPr>
          <w:sz w:val="24"/>
        </w:rPr>
      </w:pPr>
    </w:p>
    <w:p>
      <w:pPr>
        <w:pStyle w:val="ListParagraph"/>
        <w:numPr>
          <w:ilvl w:val="1"/>
          <w:numId w:val="243"/>
        </w:numPr>
        <w:tabs>
          <w:tab w:pos="1941" w:val="left" w:leader="none"/>
        </w:tabs>
        <w:spacing w:line="480" w:lineRule="auto" w:before="0" w:after="0"/>
        <w:ind w:left="1940" w:right="440" w:hanging="720"/>
        <w:jc w:val="both"/>
        <w:rPr>
          <w:sz w:val="25"/>
        </w:rPr>
      </w:pPr>
      <w:r>
        <w:rPr>
          <w:sz w:val="25"/>
        </w:rPr>
        <w:t>Archaeological finds in the area of excavation reveal significant traces of successive civilisations, commencing with the age of the North Black Polished Ware traceable to the second century</w:t>
      </w:r>
      <w:r>
        <w:rPr>
          <w:spacing w:val="-10"/>
          <w:sz w:val="25"/>
        </w:rPr>
        <w:t> </w:t>
      </w:r>
      <w:r>
        <w:rPr>
          <w:sz w:val="25"/>
        </w:rPr>
        <w:t>B.C.;</w:t>
      </w:r>
    </w:p>
    <w:p>
      <w:pPr>
        <w:pStyle w:val="ListParagraph"/>
        <w:numPr>
          <w:ilvl w:val="1"/>
          <w:numId w:val="243"/>
        </w:numPr>
        <w:tabs>
          <w:tab w:pos="1941" w:val="left" w:leader="none"/>
        </w:tabs>
        <w:spacing w:line="480" w:lineRule="auto" w:before="200" w:after="0"/>
        <w:ind w:left="1940" w:right="434" w:hanging="720"/>
        <w:jc w:val="both"/>
        <w:rPr>
          <w:sz w:val="25"/>
        </w:rPr>
      </w:pPr>
      <w:r>
        <w:rPr>
          <w:sz w:val="25"/>
        </w:rPr>
        <w:t>The excavation by the ASI has revealed the existence of a </w:t>
      </w:r>
      <w:r>
        <w:rPr>
          <w:spacing w:val="2"/>
          <w:sz w:val="25"/>
        </w:rPr>
        <w:t>pre- </w:t>
      </w:r>
      <w:r>
        <w:rPr>
          <w:sz w:val="25"/>
        </w:rPr>
        <w:t>existing underlying structure dating back to the twelfth century. The structure has large dimensions, evident from the fact that there were 85 pillar bases comprised in 17 rows each of five pillar</w:t>
      </w:r>
      <w:r>
        <w:rPr>
          <w:spacing w:val="-14"/>
          <w:sz w:val="25"/>
        </w:rPr>
        <w:t> </w:t>
      </w:r>
      <w:r>
        <w:rPr>
          <w:sz w:val="25"/>
        </w:rPr>
        <w:t>bases;</w:t>
      </w:r>
    </w:p>
    <w:p>
      <w:pPr>
        <w:pStyle w:val="ListParagraph"/>
        <w:numPr>
          <w:ilvl w:val="1"/>
          <w:numId w:val="243"/>
        </w:numPr>
        <w:tabs>
          <w:tab w:pos="1941" w:val="left" w:leader="none"/>
        </w:tabs>
        <w:spacing w:line="480" w:lineRule="auto" w:before="202" w:after="0"/>
        <w:ind w:left="1940" w:right="436" w:hanging="720"/>
        <w:jc w:val="both"/>
        <w:rPr>
          <w:sz w:val="25"/>
        </w:rPr>
      </w:pPr>
      <w:r>
        <w:rPr>
          <w:sz w:val="25"/>
        </w:rPr>
        <w:t>On a preponderance of probabilities, the archaeological findings on the nature of the underlying structure indicate it to be of Hindu religious origin, dating to twelfth century</w:t>
      </w:r>
      <w:r>
        <w:rPr>
          <w:spacing w:val="-8"/>
          <w:sz w:val="25"/>
        </w:rPr>
        <w:t> </w:t>
      </w:r>
      <w:r>
        <w:rPr>
          <w:sz w:val="25"/>
        </w:rPr>
        <w:t>A.D.;</w:t>
      </w:r>
    </w:p>
    <w:p>
      <w:pPr>
        <w:pStyle w:val="ListParagraph"/>
        <w:numPr>
          <w:ilvl w:val="1"/>
          <w:numId w:val="243"/>
        </w:numPr>
        <w:tabs>
          <w:tab w:pos="1941" w:val="left" w:leader="none"/>
        </w:tabs>
        <w:spacing w:line="480" w:lineRule="auto" w:before="200" w:after="0"/>
        <w:ind w:left="1940" w:right="442" w:hanging="720"/>
        <w:jc w:val="both"/>
        <w:rPr>
          <w:sz w:val="25"/>
        </w:rPr>
      </w:pPr>
      <w:r>
        <w:rPr>
          <w:sz w:val="25"/>
        </w:rPr>
        <w:t>The mosque in dispute was constructed upon the foundation of the pre-existing structure. The construction of the mosque has taken place in such a manner as to obviate an independent foundation by utilising the walls of the pre-existing structure;</w:t>
      </w:r>
      <w:r>
        <w:rPr>
          <w:spacing w:val="-4"/>
          <w:sz w:val="25"/>
        </w:rPr>
        <w:t> </w:t>
      </w:r>
      <w:r>
        <w:rPr>
          <w:sz w:val="25"/>
        </w:rPr>
        <w:t>and</w:t>
      </w:r>
    </w:p>
    <w:p>
      <w:pPr>
        <w:pStyle w:val="ListParagraph"/>
        <w:numPr>
          <w:ilvl w:val="1"/>
          <w:numId w:val="243"/>
        </w:numPr>
        <w:tabs>
          <w:tab w:pos="1941" w:val="left" w:leader="none"/>
        </w:tabs>
        <w:spacing w:line="482" w:lineRule="auto" w:before="199" w:after="0"/>
        <w:ind w:left="1940" w:right="443" w:hanging="720"/>
        <w:jc w:val="both"/>
        <w:rPr>
          <w:sz w:val="25"/>
        </w:rPr>
      </w:pPr>
      <w:r>
        <w:rPr>
          <w:sz w:val="25"/>
        </w:rPr>
        <w:t>The layered excavation at the site of excavation has also revealed the</w:t>
      </w:r>
      <w:r>
        <w:rPr>
          <w:spacing w:val="47"/>
          <w:sz w:val="25"/>
        </w:rPr>
        <w:t> </w:t>
      </w:r>
      <w:r>
        <w:rPr>
          <w:sz w:val="25"/>
        </w:rPr>
        <w:t>existence</w:t>
      </w:r>
      <w:r>
        <w:rPr>
          <w:spacing w:val="46"/>
          <w:sz w:val="25"/>
        </w:rPr>
        <w:t> </w:t>
      </w:r>
      <w:r>
        <w:rPr>
          <w:sz w:val="25"/>
        </w:rPr>
        <w:t>of</w:t>
      </w:r>
      <w:r>
        <w:rPr>
          <w:spacing w:val="48"/>
          <w:sz w:val="25"/>
        </w:rPr>
        <w:t> </w:t>
      </w:r>
      <w:r>
        <w:rPr>
          <w:sz w:val="25"/>
        </w:rPr>
        <w:t>a</w:t>
      </w:r>
      <w:r>
        <w:rPr>
          <w:spacing w:val="46"/>
          <w:sz w:val="25"/>
        </w:rPr>
        <w:t> </w:t>
      </w:r>
      <w:r>
        <w:rPr>
          <w:sz w:val="25"/>
        </w:rPr>
        <w:t>circular</w:t>
      </w:r>
      <w:r>
        <w:rPr>
          <w:spacing w:val="47"/>
          <w:sz w:val="25"/>
        </w:rPr>
        <w:t> </w:t>
      </w:r>
      <w:r>
        <w:rPr>
          <w:sz w:val="25"/>
        </w:rPr>
        <w:t>shrine</w:t>
      </w:r>
      <w:r>
        <w:rPr>
          <w:spacing w:val="48"/>
          <w:sz w:val="25"/>
        </w:rPr>
        <w:t> </w:t>
      </w:r>
      <w:r>
        <w:rPr>
          <w:sz w:val="25"/>
        </w:rPr>
        <w:t>together</w:t>
      </w:r>
      <w:r>
        <w:rPr>
          <w:spacing w:val="47"/>
          <w:sz w:val="25"/>
        </w:rPr>
        <w:t> </w:t>
      </w:r>
      <w:r>
        <w:rPr>
          <w:sz w:val="25"/>
        </w:rPr>
        <w:t>with</w:t>
      </w:r>
      <w:r>
        <w:rPr>
          <w:spacing w:val="46"/>
          <w:sz w:val="25"/>
        </w:rPr>
        <w:t> </w:t>
      </w:r>
      <w:r>
        <w:rPr>
          <w:sz w:val="25"/>
        </w:rPr>
        <w:t>a</w:t>
      </w:r>
      <w:r>
        <w:rPr>
          <w:spacing w:val="47"/>
          <w:sz w:val="25"/>
        </w:rPr>
        <w:t> </w:t>
      </w:r>
      <w:r>
        <w:rPr>
          <w:sz w:val="25"/>
        </w:rPr>
        <w:t>makara</w:t>
      </w:r>
      <w:r>
        <w:rPr>
          <w:spacing w:val="46"/>
          <w:sz w:val="25"/>
        </w:rPr>
        <w:t> </w:t>
      </w:r>
      <w:r>
        <w:rPr>
          <w:sz w:val="25"/>
        </w:rPr>
        <w:t>pranala</w:t>
      </w:r>
    </w:p>
    <w:p>
      <w:pPr>
        <w:spacing w:after="0" w:line="482" w:lineRule="auto"/>
        <w:jc w:val="both"/>
        <w:rPr>
          <w:sz w:val="25"/>
        </w:rPr>
        <w:sectPr>
          <w:headerReference w:type="default" r:id="rId206"/>
          <w:footerReference w:type="default" r:id="rId207"/>
          <w:pgSz w:w="11910" w:h="16840"/>
          <w:pgMar w:header="721" w:footer="1014" w:top="1300" w:bottom="1200" w:left="940" w:right="1000"/>
          <w:pgNumType w:start="905"/>
        </w:sectPr>
      </w:pPr>
    </w:p>
    <w:p>
      <w:pPr>
        <w:pStyle w:val="BodyText"/>
        <w:spacing w:line="480" w:lineRule="auto" w:before="124"/>
        <w:ind w:left="1940" w:right="512"/>
      </w:pPr>
      <w:r>
        <w:rPr/>
        <w:t>indicative of Hindu worship dating back to the eighth to tenth century.</w:t>
      </w:r>
    </w:p>
    <w:p>
      <w:pPr>
        <w:pStyle w:val="BodyText"/>
      </w:pPr>
    </w:p>
    <w:p>
      <w:pPr>
        <w:pStyle w:val="BodyText"/>
        <w:spacing w:line="480" w:lineRule="auto"/>
        <w:ind w:left="500" w:right="446"/>
        <w:jc w:val="both"/>
      </w:pPr>
      <w:r>
        <w:rPr/>
        <w:t>A reasonable inference can be drawn on the basis of the standard of proof which governs civil trials that:</w:t>
      </w:r>
    </w:p>
    <w:p>
      <w:pPr>
        <w:pStyle w:val="ListParagraph"/>
        <w:numPr>
          <w:ilvl w:val="0"/>
          <w:numId w:val="244"/>
        </w:numPr>
        <w:tabs>
          <w:tab w:pos="1221" w:val="left" w:leader="none"/>
        </w:tabs>
        <w:spacing w:line="480" w:lineRule="auto" w:before="160" w:after="0"/>
        <w:ind w:left="1220" w:right="439" w:hanging="720"/>
        <w:jc w:val="both"/>
        <w:rPr>
          <w:sz w:val="25"/>
        </w:rPr>
      </w:pPr>
      <w:r>
        <w:rPr>
          <w:sz w:val="25"/>
        </w:rPr>
        <w:t>The foundation of the mosque is based on the walls of a large pre-existing structure;</w:t>
      </w:r>
    </w:p>
    <w:p>
      <w:pPr>
        <w:pStyle w:val="ListParagraph"/>
        <w:numPr>
          <w:ilvl w:val="0"/>
          <w:numId w:val="244"/>
        </w:numPr>
        <w:tabs>
          <w:tab w:pos="1221" w:val="left" w:leader="none"/>
        </w:tabs>
        <w:spacing w:line="240" w:lineRule="auto" w:before="1" w:after="0"/>
        <w:ind w:left="1220" w:right="0" w:hanging="721"/>
        <w:jc w:val="both"/>
        <w:rPr>
          <w:sz w:val="25"/>
        </w:rPr>
      </w:pPr>
      <w:r>
        <w:rPr>
          <w:sz w:val="25"/>
        </w:rPr>
        <w:t>The pre-existing structure dates back to the twelfth century;</w:t>
      </w:r>
      <w:r>
        <w:rPr>
          <w:spacing w:val="-12"/>
          <w:sz w:val="25"/>
        </w:rPr>
        <w:t> </w:t>
      </w:r>
      <w:r>
        <w:rPr>
          <w:sz w:val="25"/>
        </w:rPr>
        <w:t>and</w:t>
      </w:r>
    </w:p>
    <w:p>
      <w:pPr>
        <w:pStyle w:val="BodyText"/>
        <w:spacing w:before="10"/>
        <w:rPr>
          <w:sz w:val="24"/>
        </w:rPr>
      </w:pPr>
    </w:p>
    <w:p>
      <w:pPr>
        <w:pStyle w:val="ListParagraph"/>
        <w:numPr>
          <w:ilvl w:val="0"/>
          <w:numId w:val="244"/>
        </w:numPr>
        <w:tabs>
          <w:tab w:pos="1221" w:val="left" w:leader="none"/>
        </w:tabs>
        <w:spacing w:line="480" w:lineRule="auto" w:before="0" w:after="0"/>
        <w:ind w:left="1220" w:right="442" w:hanging="720"/>
        <w:jc w:val="both"/>
        <w:rPr>
          <w:sz w:val="25"/>
        </w:rPr>
      </w:pPr>
      <w:r>
        <w:rPr>
          <w:sz w:val="25"/>
        </w:rPr>
        <w:t>The underlying structure which provided the foundations of the mosque together with its architectural features and recoveries are suggestive of a Hindu religious origin comparable to temple excavations in the region and pertaining to the</w:t>
      </w:r>
      <w:r>
        <w:rPr>
          <w:spacing w:val="-1"/>
          <w:sz w:val="25"/>
        </w:rPr>
        <w:t> </w:t>
      </w:r>
      <w:r>
        <w:rPr>
          <w:sz w:val="25"/>
        </w:rPr>
        <w:t>era.</w:t>
      </w:r>
    </w:p>
    <w:p>
      <w:pPr>
        <w:pStyle w:val="BodyText"/>
      </w:pPr>
    </w:p>
    <w:p>
      <w:pPr>
        <w:pStyle w:val="ListParagraph"/>
        <w:numPr>
          <w:ilvl w:val="0"/>
          <w:numId w:val="243"/>
        </w:numPr>
        <w:tabs>
          <w:tab w:pos="1221" w:val="left" w:leader="none"/>
        </w:tabs>
        <w:spacing w:line="480" w:lineRule="auto" w:before="0" w:after="0"/>
        <w:ind w:left="500" w:right="438" w:firstLine="0"/>
        <w:jc w:val="both"/>
        <w:rPr>
          <w:sz w:val="25"/>
        </w:rPr>
      </w:pPr>
      <w:r>
        <w:rPr>
          <w:sz w:val="25"/>
        </w:rPr>
        <w:t>The conclusion in the ASI report about the remains of an underlying structure of a Hindu religious origin symbolic of temple architecture of the twelfth century A.D. must however be read contextually with the following</w:t>
      </w:r>
      <w:r>
        <w:rPr>
          <w:spacing w:val="-17"/>
          <w:sz w:val="25"/>
        </w:rPr>
        <w:t> </w:t>
      </w:r>
      <w:r>
        <w:rPr>
          <w:sz w:val="25"/>
        </w:rPr>
        <w:t>caveats:</w:t>
      </w:r>
    </w:p>
    <w:p>
      <w:pPr>
        <w:pStyle w:val="ListParagraph"/>
        <w:numPr>
          <w:ilvl w:val="1"/>
          <w:numId w:val="243"/>
        </w:numPr>
        <w:tabs>
          <w:tab w:pos="1941" w:val="left" w:leader="none"/>
        </w:tabs>
        <w:spacing w:line="480" w:lineRule="auto" w:before="162" w:after="0"/>
        <w:ind w:left="1940" w:right="436" w:hanging="720"/>
        <w:jc w:val="both"/>
        <w:rPr>
          <w:sz w:val="25"/>
        </w:rPr>
      </w:pPr>
      <w:r>
        <w:rPr>
          <w:sz w:val="25"/>
        </w:rPr>
        <w:t>While the ASI report has found the existence of ruins of a pre- existing structure, the report does not</w:t>
      </w:r>
      <w:r>
        <w:rPr>
          <w:spacing w:val="-5"/>
          <w:sz w:val="25"/>
        </w:rPr>
        <w:t> </w:t>
      </w:r>
      <w:r>
        <w:rPr>
          <w:sz w:val="25"/>
        </w:rPr>
        <w:t>provide:</w:t>
      </w:r>
    </w:p>
    <w:p>
      <w:pPr>
        <w:pStyle w:val="ListParagraph"/>
        <w:numPr>
          <w:ilvl w:val="2"/>
          <w:numId w:val="243"/>
        </w:numPr>
        <w:tabs>
          <w:tab w:pos="4101" w:val="left" w:leader="none"/>
        </w:tabs>
        <w:spacing w:line="480" w:lineRule="auto" w:before="0" w:after="0"/>
        <w:ind w:left="3381" w:right="436" w:firstLine="0"/>
        <w:jc w:val="both"/>
        <w:rPr>
          <w:sz w:val="25"/>
        </w:rPr>
      </w:pPr>
      <w:r>
        <w:rPr>
          <w:sz w:val="25"/>
        </w:rPr>
        <w:t>The reason for the destruction of the pre-existing structure;</w:t>
      </w:r>
      <w:r>
        <w:rPr>
          <w:spacing w:val="-1"/>
          <w:sz w:val="25"/>
        </w:rPr>
        <w:t> </w:t>
      </w:r>
      <w:r>
        <w:rPr>
          <w:sz w:val="25"/>
        </w:rPr>
        <w:t>and</w:t>
      </w:r>
    </w:p>
    <w:p>
      <w:pPr>
        <w:pStyle w:val="ListParagraph"/>
        <w:numPr>
          <w:ilvl w:val="2"/>
          <w:numId w:val="243"/>
        </w:numPr>
        <w:tabs>
          <w:tab w:pos="4101" w:val="left" w:leader="none"/>
        </w:tabs>
        <w:spacing w:line="480" w:lineRule="auto" w:before="0" w:after="0"/>
        <w:ind w:left="3381" w:right="443" w:firstLine="0"/>
        <w:jc w:val="both"/>
        <w:rPr>
          <w:sz w:val="25"/>
        </w:rPr>
      </w:pPr>
      <w:r>
        <w:rPr>
          <w:sz w:val="25"/>
        </w:rPr>
        <w:t>Whether the earlier structure was demolished for the purpose of the construction of the</w:t>
      </w:r>
      <w:r>
        <w:rPr>
          <w:spacing w:val="-10"/>
          <w:sz w:val="25"/>
        </w:rPr>
        <w:t> </w:t>
      </w:r>
      <w:r>
        <w:rPr>
          <w:sz w:val="25"/>
        </w:rPr>
        <w:t>mosque.</w:t>
      </w:r>
    </w:p>
    <w:p>
      <w:pPr>
        <w:pStyle w:val="ListParagraph"/>
        <w:numPr>
          <w:ilvl w:val="1"/>
          <w:numId w:val="243"/>
        </w:numPr>
        <w:tabs>
          <w:tab w:pos="1941" w:val="left" w:leader="none"/>
        </w:tabs>
        <w:spacing w:line="480" w:lineRule="auto" w:before="0" w:after="0"/>
        <w:ind w:left="1940" w:right="440" w:hanging="720"/>
        <w:jc w:val="both"/>
        <w:rPr>
          <w:sz w:val="25"/>
        </w:rPr>
      </w:pPr>
      <w:r>
        <w:rPr>
          <w:sz w:val="25"/>
        </w:rPr>
        <w:t>Since the ASI report dates the underlying structure to the twelfth century, there is a </w:t>
      </w:r>
      <w:r>
        <w:rPr>
          <w:b/>
          <w:sz w:val="25"/>
        </w:rPr>
        <w:t>time gap </w:t>
      </w:r>
      <w:r>
        <w:rPr>
          <w:sz w:val="25"/>
        </w:rPr>
        <w:t>of about four centuries between the date of the underlying structure and the construction of the</w:t>
      </w:r>
      <w:r>
        <w:rPr>
          <w:spacing w:val="7"/>
          <w:sz w:val="25"/>
        </w:rPr>
        <w:t> </w:t>
      </w:r>
      <w:r>
        <w:rPr>
          <w:sz w:val="25"/>
        </w:rPr>
        <w:t>mosque.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940" w:right="445"/>
        <w:jc w:val="both"/>
      </w:pPr>
      <w:r>
        <w:rPr/>
        <w:t>No evidence is available to explain what transpired in the course of the intervening period of nearly four centuries;</w:t>
      </w:r>
    </w:p>
    <w:p>
      <w:pPr>
        <w:pStyle w:val="ListParagraph"/>
        <w:numPr>
          <w:ilvl w:val="1"/>
          <w:numId w:val="243"/>
        </w:numPr>
        <w:tabs>
          <w:tab w:pos="1941" w:val="left" w:leader="none"/>
        </w:tabs>
        <w:spacing w:line="480" w:lineRule="auto" w:before="0" w:after="0"/>
        <w:ind w:left="1940" w:right="434" w:hanging="732"/>
        <w:jc w:val="both"/>
        <w:rPr>
          <w:sz w:val="25"/>
        </w:rPr>
      </w:pPr>
      <w:r>
        <w:rPr>
          <w:sz w:val="25"/>
        </w:rPr>
        <w:t>The ASI report does not conclude that the remnants of the pre- existing structure were used for the purpose of constructing the mosque (apart, that is, from the construction of the mosque on the foundation of the erstwhile structure);</w:t>
      </w:r>
      <w:r>
        <w:rPr>
          <w:spacing w:val="-6"/>
          <w:sz w:val="25"/>
        </w:rPr>
        <w:t> </w:t>
      </w:r>
      <w:r>
        <w:rPr>
          <w:sz w:val="25"/>
        </w:rPr>
        <w:t>and</w:t>
      </w:r>
    </w:p>
    <w:p>
      <w:pPr>
        <w:pStyle w:val="ListParagraph"/>
        <w:numPr>
          <w:ilvl w:val="1"/>
          <w:numId w:val="243"/>
        </w:numPr>
        <w:tabs>
          <w:tab w:pos="1941" w:val="left" w:leader="none"/>
        </w:tabs>
        <w:spacing w:line="480" w:lineRule="auto" w:before="0" w:after="0"/>
        <w:ind w:left="1940" w:right="438" w:hanging="720"/>
        <w:jc w:val="both"/>
        <w:rPr>
          <w:sz w:val="25"/>
        </w:rPr>
      </w:pPr>
      <w:r>
        <w:rPr>
          <w:sz w:val="25"/>
        </w:rPr>
        <w:t>The pillars that were used in the construction of the mosque were black Kasauti stone pillars. ASI has found no evidence to show that these Kasauti pillars are relatable to the underlying pillar bases found during the course of excavation in the structure below the mosque.</w:t>
      </w:r>
    </w:p>
    <w:p>
      <w:pPr>
        <w:pStyle w:val="BodyText"/>
        <w:rPr>
          <w:sz w:val="28"/>
        </w:rPr>
      </w:pPr>
    </w:p>
    <w:p>
      <w:pPr>
        <w:pStyle w:val="BodyText"/>
        <w:spacing w:before="1"/>
        <w:rPr>
          <w:sz w:val="22"/>
        </w:rPr>
      </w:pPr>
    </w:p>
    <w:p>
      <w:pPr>
        <w:pStyle w:val="ListParagraph"/>
        <w:numPr>
          <w:ilvl w:val="0"/>
          <w:numId w:val="243"/>
        </w:numPr>
        <w:tabs>
          <w:tab w:pos="1221" w:val="left" w:leader="none"/>
        </w:tabs>
        <w:spacing w:line="480" w:lineRule="auto" w:before="0" w:after="0"/>
        <w:ind w:left="500" w:right="437" w:firstLine="0"/>
        <w:jc w:val="both"/>
        <w:rPr>
          <w:sz w:val="25"/>
        </w:rPr>
      </w:pPr>
      <w:r>
        <w:rPr>
          <w:sz w:val="25"/>
        </w:rPr>
        <w:t>A finding of title cannot be based in law on the archaeological findings which have been arrived at by ASI. Between the twelfth century to which the underlying structure is dated and the construction of the mosque in the sixteenth century, there is an intervening period of four centuries. No evidence has been placed on the record in relation to the course of human history between the twelfth and sixteen centuries. No evidence is available in a case of this antiquity on (i) the cause of destruction of the underlying structure; and (ii) whether the pre-existing structure was demolished for the construction of the mosque. Title to the land must be decided on settled legal principles and applying evidentiary standards which govern a civil</w:t>
      </w:r>
      <w:r>
        <w:rPr>
          <w:spacing w:val="-5"/>
          <w:sz w:val="25"/>
        </w:rPr>
        <w:t> </w:t>
      </w:r>
      <w:r>
        <w:rPr>
          <w:sz w:val="25"/>
        </w:rPr>
        <w:t>trial.</w:t>
      </w:r>
    </w:p>
    <w:p>
      <w:pPr>
        <w:pStyle w:val="BodyText"/>
        <w:spacing w:before="9"/>
        <w:rPr>
          <w:sz w:val="24"/>
        </w:rPr>
      </w:pPr>
    </w:p>
    <w:p>
      <w:pPr>
        <w:pStyle w:val="ListParagraph"/>
        <w:numPr>
          <w:ilvl w:val="0"/>
          <w:numId w:val="243"/>
        </w:numPr>
        <w:tabs>
          <w:tab w:pos="1221" w:val="left" w:leader="none"/>
        </w:tabs>
        <w:spacing w:line="240" w:lineRule="auto" w:before="0" w:after="0"/>
        <w:ind w:left="1220" w:right="0" w:hanging="721"/>
        <w:jc w:val="both"/>
        <w:rPr>
          <w:sz w:val="25"/>
        </w:rPr>
      </w:pPr>
      <w:r>
        <w:rPr>
          <w:sz w:val="25"/>
        </w:rPr>
        <w:t>Historical</w:t>
      </w:r>
      <w:r>
        <w:rPr>
          <w:spacing w:val="48"/>
          <w:sz w:val="25"/>
        </w:rPr>
        <w:t> </w:t>
      </w:r>
      <w:r>
        <w:rPr>
          <w:sz w:val="25"/>
        </w:rPr>
        <w:t>records</w:t>
      </w:r>
      <w:r>
        <w:rPr>
          <w:spacing w:val="49"/>
          <w:sz w:val="25"/>
        </w:rPr>
        <w:t> </w:t>
      </w:r>
      <w:r>
        <w:rPr>
          <w:sz w:val="25"/>
        </w:rPr>
        <w:t>of</w:t>
      </w:r>
      <w:r>
        <w:rPr>
          <w:spacing w:val="50"/>
          <w:sz w:val="25"/>
        </w:rPr>
        <w:t> </w:t>
      </w:r>
      <w:r>
        <w:rPr>
          <w:sz w:val="25"/>
        </w:rPr>
        <w:t>travellers</w:t>
      </w:r>
      <w:r>
        <w:rPr>
          <w:spacing w:val="48"/>
          <w:sz w:val="25"/>
        </w:rPr>
        <w:t> </w:t>
      </w:r>
      <w:r>
        <w:rPr>
          <w:sz w:val="25"/>
        </w:rPr>
        <w:t>(chiefly</w:t>
      </w:r>
      <w:r>
        <w:rPr>
          <w:spacing w:val="51"/>
          <w:sz w:val="25"/>
        </w:rPr>
        <w:t> </w:t>
      </w:r>
      <w:r>
        <w:rPr>
          <w:b/>
          <w:sz w:val="25"/>
        </w:rPr>
        <w:t>Tieffenthaler</w:t>
      </w:r>
      <w:r>
        <w:rPr>
          <w:b/>
          <w:spacing w:val="49"/>
          <w:sz w:val="25"/>
        </w:rPr>
        <w:t> </w:t>
      </w:r>
      <w:r>
        <w:rPr>
          <w:sz w:val="25"/>
        </w:rPr>
        <w:t>and</w:t>
      </w:r>
      <w:r>
        <w:rPr>
          <w:spacing w:val="49"/>
          <w:sz w:val="25"/>
        </w:rPr>
        <w:t> </w:t>
      </w:r>
      <w:r>
        <w:rPr>
          <w:sz w:val="25"/>
        </w:rPr>
        <w:t>the</w:t>
      </w:r>
      <w:r>
        <w:rPr>
          <w:spacing w:val="50"/>
          <w:sz w:val="25"/>
        </w:rPr>
        <w:t> </w:t>
      </w:r>
      <w:r>
        <w:rPr>
          <w:sz w:val="25"/>
        </w:rPr>
        <w:t>account</w:t>
      </w:r>
      <w:r>
        <w:rPr>
          <w:spacing w:val="49"/>
          <w:sz w:val="25"/>
        </w:rPr>
        <w:t> </w:t>
      </w:r>
      <w:r>
        <w:rPr>
          <w:sz w:val="25"/>
        </w:rPr>
        <w:t>of</w:t>
      </w:r>
    </w:p>
    <w:p>
      <w:pPr>
        <w:pStyle w:val="BodyText"/>
        <w:spacing w:before="1"/>
      </w:pPr>
    </w:p>
    <w:p>
      <w:pPr>
        <w:spacing w:before="0"/>
        <w:ind w:left="500" w:right="0" w:firstLine="0"/>
        <w:jc w:val="both"/>
        <w:rPr>
          <w:sz w:val="25"/>
        </w:rPr>
      </w:pPr>
      <w:r>
        <w:rPr>
          <w:b/>
          <w:sz w:val="25"/>
        </w:rPr>
        <w:t>Montgomery Martin </w:t>
      </w:r>
      <w:r>
        <w:rPr>
          <w:sz w:val="25"/>
        </w:rPr>
        <w:t>in the eighteenth century) indicate:</w:t>
      </w:r>
    </w:p>
    <w:p>
      <w:pPr>
        <w:spacing w:after="0"/>
        <w:jc w:val="both"/>
        <w:rPr>
          <w:sz w:val="25"/>
        </w:rPr>
        <w:sectPr>
          <w:pgSz w:w="11910" w:h="16840"/>
          <w:pgMar w:header="721" w:footer="1014" w:top="1300" w:bottom="1200" w:left="940" w:right="1000"/>
        </w:sectPr>
      </w:pPr>
    </w:p>
    <w:p>
      <w:pPr>
        <w:pStyle w:val="ListParagraph"/>
        <w:numPr>
          <w:ilvl w:val="0"/>
          <w:numId w:val="245"/>
        </w:numPr>
        <w:tabs>
          <w:tab w:pos="1221" w:val="left" w:leader="none"/>
        </w:tabs>
        <w:spacing w:line="480" w:lineRule="auto" w:before="124" w:after="0"/>
        <w:ind w:left="1220" w:right="446" w:hanging="720"/>
        <w:jc w:val="both"/>
        <w:rPr>
          <w:sz w:val="25"/>
        </w:rPr>
      </w:pPr>
      <w:r>
        <w:rPr>
          <w:sz w:val="25"/>
        </w:rPr>
        <w:t>The existence of the faith and belief of the Hindus that the disputed site was the birth-place of Lord</w:t>
      </w:r>
      <w:r>
        <w:rPr>
          <w:spacing w:val="-6"/>
          <w:sz w:val="25"/>
        </w:rPr>
        <w:t> </w:t>
      </w:r>
      <w:r>
        <w:rPr>
          <w:sz w:val="25"/>
        </w:rPr>
        <w:t>Ram;</w:t>
      </w:r>
    </w:p>
    <w:p>
      <w:pPr>
        <w:pStyle w:val="ListParagraph"/>
        <w:numPr>
          <w:ilvl w:val="0"/>
          <w:numId w:val="245"/>
        </w:numPr>
        <w:tabs>
          <w:tab w:pos="1221" w:val="left" w:leader="none"/>
        </w:tabs>
        <w:spacing w:line="480" w:lineRule="auto" w:before="0" w:after="0"/>
        <w:ind w:left="1220" w:right="441" w:hanging="720"/>
        <w:jc w:val="both"/>
        <w:rPr>
          <w:sz w:val="25"/>
        </w:rPr>
      </w:pPr>
      <w:r>
        <w:rPr>
          <w:sz w:val="25"/>
        </w:rPr>
        <w:t>Identifiable places of offering worship by the Hindus including Sita Rasoi, Swargdwar and the </w:t>
      </w:r>
      <w:r>
        <w:rPr>
          <w:i/>
          <w:sz w:val="25"/>
        </w:rPr>
        <w:t>Bedi </w:t>
      </w:r>
      <w:r>
        <w:rPr>
          <w:sz w:val="25"/>
        </w:rPr>
        <w:t>(cradle) symbolising the birth of Lord Ram in and around the disputed</w:t>
      </w:r>
      <w:r>
        <w:rPr>
          <w:spacing w:val="-2"/>
          <w:sz w:val="25"/>
        </w:rPr>
        <w:t> </w:t>
      </w:r>
      <w:r>
        <w:rPr>
          <w:sz w:val="25"/>
        </w:rPr>
        <w:t>site;</w:t>
      </w:r>
    </w:p>
    <w:p>
      <w:pPr>
        <w:pStyle w:val="ListParagraph"/>
        <w:numPr>
          <w:ilvl w:val="0"/>
          <w:numId w:val="245"/>
        </w:numPr>
        <w:tabs>
          <w:tab w:pos="1221" w:val="left" w:leader="none"/>
        </w:tabs>
        <w:spacing w:line="480" w:lineRule="auto" w:before="0" w:after="0"/>
        <w:ind w:left="1220" w:right="437" w:hanging="720"/>
        <w:jc w:val="both"/>
        <w:rPr>
          <w:sz w:val="25"/>
        </w:rPr>
      </w:pPr>
      <w:r>
        <w:rPr>
          <w:sz w:val="25"/>
        </w:rPr>
        <w:t>Prevalence of the practice of worship by pilgrims at the disputed site including by </w:t>
      </w:r>
      <w:r>
        <w:rPr>
          <w:i/>
          <w:sz w:val="25"/>
        </w:rPr>
        <w:t>parikrama </w:t>
      </w:r>
      <w:r>
        <w:rPr>
          <w:sz w:val="25"/>
        </w:rPr>
        <w:t>(circumambulation) and the presence of large congregations of devotees on the occasion of religious festivals;</w:t>
      </w:r>
      <w:r>
        <w:rPr>
          <w:spacing w:val="-11"/>
          <w:sz w:val="25"/>
        </w:rPr>
        <w:t> </w:t>
      </w:r>
      <w:r>
        <w:rPr>
          <w:sz w:val="25"/>
        </w:rPr>
        <w:t>and</w:t>
      </w:r>
    </w:p>
    <w:p>
      <w:pPr>
        <w:pStyle w:val="ListParagraph"/>
        <w:numPr>
          <w:ilvl w:val="0"/>
          <w:numId w:val="245"/>
        </w:numPr>
        <w:tabs>
          <w:tab w:pos="1221" w:val="left" w:leader="none"/>
        </w:tabs>
        <w:spacing w:line="480" w:lineRule="auto" w:before="1" w:after="0"/>
        <w:ind w:left="1220" w:right="435" w:hanging="720"/>
        <w:jc w:val="both"/>
        <w:rPr>
          <w:sz w:val="25"/>
        </w:rPr>
      </w:pPr>
      <w:r>
        <w:rPr>
          <w:sz w:val="25"/>
        </w:rPr>
        <w:t>The historical presence of worshippers and the existence of worship at the disputed site even prior to the annexation of Oudh by the British and the construction of a brick-grill wall in</w:t>
      </w:r>
      <w:r>
        <w:rPr>
          <w:spacing w:val="-6"/>
          <w:sz w:val="25"/>
        </w:rPr>
        <w:t> </w:t>
      </w:r>
      <w:r>
        <w:rPr>
          <w:sz w:val="25"/>
        </w:rPr>
        <w:t>1857.</w:t>
      </w:r>
    </w:p>
    <w:p>
      <w:pPr>
        <w:pStyle w:val="BodyText"/>
        <w:spacing w:before="11"/>
        <w:rPr>
          <w:sz w:val="24"/>
        </w:rPr>
      </w:pPr>
    </w:p>
    <w:p>
      <w:pPr>
        <w:pStyle w:val="BodyText"/>
        <w:spacing w:line="480" w:lineRule="auto"/>
        <w:ind w:left="500" w:right="434"/>
        <w:jc w:val="both"/>
      </w:pPr>
      <w:r>
        <w:rPr/>
        <w:t>Beyond the above observations, the accounts of the travellers must be read with circumspection. Their personal observations must carefully be sifted from hearsay – matters of legend and lore. Consulting their accounts on matters of public history is distinct from evidence on a matter of title. An adjudication of title has to be deduced on the basis of evidence sustainable in a court of law, which has withstood the searching scrutiny of cross-examination. Similarly, the contents of gazetteers can at best provide corroborative material to evidence which emerges from the record. The court must be circumspect in drawing negative inferences from what a traveller may not have seen or observed. Title cannot be established on the basis of faith and belief above. Faith and belief are indicators towards patterns of worship at the site on the basis of which claims of possession are</w:t>
      </w:r>
      <w:r>
        <w:rPr>
          <w:spacing w:val="41"/>
        </w:rPr>
        <w:t> </w:t>
      </w:r>
      <w:r>
        <w:rPr/>
        <w:t>asserted.</w:t>
      </w:r>
      <w:r>
        <w:rPr>
          <w:spacing w:val="39"/>
        </w:rPr>
        <w:t> </w:t>
      </w:r>
      <w:r>
        <w:rPr/>
        <w:t>The</w:t>
      </w:r>
      <w:r>
        <w:rPr>
          <w:spacing w:val="40"/>
        </w:rPr>
        <w:t> </w:t>
      </w:r>
      <w:r>
        <w:rPr/>
        <w:t>court</w:t>
      </w:r>
      <w:r>
        <w:rPr>
          <w:spacing w:val="40"/>
        </w:rPr>
        <w:t> </w:t>
      </w:r>
      <w:r>
        <w:rPr/>
        <w:t>has</w:t>
      </w:r>
      <w:r>
        <w:rPr>
          <w:spacing w:val="41"/>
        </w:rPr>
        <w:t> </w:t>
      </w:r>
      <w:r>
        <w:rPr/>
        <w:t>evaluated</w:t>
      </w:r>
      <w:r>
        <w:rPr>
          <w:spacing w:val="42"/>
        </w:rPr>
        <w:t> </w:t>
      </w:r>
      <w:r>
        <w:rPr/>
        <w:t>the</w:t>
      </w:r>
      <w:r>
        <w:rPr>
          <w:spacing w:val="41"/>
        </w:rPr>
        <w:t> </w:t>
      </w:r>
      <w:r>
        <w:rPr/>
        <w:t>rival</w:t>
      </w:r>
      <w:r>
        <w:rPr>
          <w:spacing w:val="41"/>
        </w:rPr>
        <w:t> </w:t>
      </w:r>
      <w:r>
        <w:rPr/>
        <w:t>claims</w:t>
      </w:r>
      <w:r>
        <w:rPr>
          <w:spacing w:val="41"/>
        </w:rPr>
        <w:t> </w:t>
      </w:r>
      <w:r>
        <w:rPr/>
        <w:t>to</w:t>
      </w:r>
      <w:r>
        <w:rPr>
          <w:spacing w:val="42"/>
        </w:rPr>
        <w:t> </w:t>
      </w:r>
      <w:r>
        <w:rPr/>
        <w:t>possessory</w:t>
      </w:r>
      <w:r>
        <w:rPr>
          <w:spacing w:val="38"/>
        </w:rPr>
        <w:t> </w:t>
      </w:r>
      <w:r>
        <w:rPr/>
        <w:t>title</w:t>
      </w:r>
      <w:r>
        <w:rPr>
          <w:spacing w:val="42"/>
        </w:rPr>
        <w:t> </w:t>
      </w:r>
      <w:r>
        <w:rPr/>
        <w:t>in</w:t>
      </w:r>
      <w:r>
        <w:rPr>
          <w:spacing w:val="41"/>
        </w:rPr>
        <w:t> </w:t>
      </w:r>
      <w:r>
        <w:rPr/>
        <w:t>a</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2"/>
        <w:jc w:val="both"/>
      </w:pPr>
      <w:r>
        <w:rPr/>
        <w:t>situation in which the state has expressly stated in its written statement that it claims no interest in the land.</w:t>
      </w:r>
    </w:p>
    <w:p>
      <w:pPr>
        <w:pStyle w:val="BodyText"/>
      </w:pPr>
    </w:p>
    <w:p>
      <w:pPr>
        <w:pStyle w:val="ListParagraph"/>
        <w:numPr>
          <w:ilvl w:val="0"/>
          <w:numId w:val="243"/>
        </w:numPr>
        <w:tabs>
          <w:tab w:pos="1221" w:val="left" w:leader="none"/>
        </w:tabs>
        <w:spacing w:line="480" w:lineRule="auto" w:before="0" w:after="0"/>
        <w:ind w:left="500" w:right="434" w:firstLine="0"/>
        <w:jc w:val="both"/>
        <w:rPr>
          <w:sz w:val="25"/>
        </w:rPr>
      </w:pPr>
      <w:r>
        <w:rPr>
          <w:sz w:val="25"/>
        </w:rPr>
        <w:t>The evidence indicates that despite the existence of a mosque at the site, Hindu worship at the place believed to be the birth-place of Lord Ram was not restricted. The existence of an Islamic structure at a place considered sacrosanct by the Hindus did not stop them from continuing their worship at the disputed site and within the precincts of the structure prior to the incidents of 1856-7. The physical structure of an Islamic mosque did not shake the faith and belief of Hindus that Lord Ram was born at the disputed site. On the other hand, learned counsel fairly stated that the evidence relied on by the Sunni Central Waqf Board to establish the offering of namaz by the Muslim residents commences from around 1856-7;</w:t>
      </w:r>
    </w:p>
    <w:p>
      <w:pPr>
        <w:pStyle w:val="BodyText"/>
      </w:pPr>
    </w:p>
    <w:p>
      <w:pPr>
        <w:pStyle w:val="ListParagraph"/>
        <w:numPr>
          <w:ilvl w:val="0"/>
          <w:numId w:val="243"/>
        </w:numPr>
        <w:tabs>
          <w:tab w:pos="1221" w:val="left" w:leader="none"/>
        </w:tabs>
        <w:spacing w:line="480" w:lineRule="auto" w:before="0" w:after="0"/>
        <w:ind w:left="500" w:right="432" w:firstLine="0"/>
        <w:jc w:val="both"/>
        <w:rPr>
          <w:sz w:val="25"/>
        </w:rPr>
      </w:pPr>
      <w:r>
        <w:rPr>
          <w:sz w:val="25"/>
        </w:rPr>
        <w:t>The setting up of a railing in 1857 by the British around the disputed structure of the mosque took place in the backdrop of a contestation and disputes over the claim of the Hindus to worship inside the precincts of the mosque. This furnished the context for the riots which took place between Hindus and Muslims in 1856-7. The construction of a grick-brick wall by the colonial administration  was intended to ensure peace between the two communities with respect to a contested place of worship. The grill-brick wall did not constitute either a sub- division of the disputed site which was one composite property, nor did it amount to a determination of title by the colonial</w:t>
      </w:r>
      <w:r>
        <w:rPr>
          <w:spacing w:val="-8"/>
          <w:sz w:val="25"/>
        </w:rPr>
        <w:t> </w:t>
      </w:r>
      <w:r>
        <w:rPr>
          <w:sz w:val="25"/>
        </w:rPr>
        <w:t>administration;</w:t>
      </w:r>
    </w:p>
    <w:p>
      <w:pPr>
        <w:pStyle w:val="BodyText"/>
        <w:spacing w:before="1"/>
      </w:pPr>
    </w:p>
    <w:p>
      <w:pPr>
        <w:pStyle w:val="ListParagraph"/>
        <w:numPr>
          <w:ilvl w:val="0"/>
          <w:numId w:val="243"/>
        </w:numPr>
        <w:tabs>
          <w:tab w:pos="1221" w:val="left" w:leader="none"/>
        </w:tabs>
        <w:spacing w:line="482" w:lineRule="auto" w:before="0" w:after="0"/>
        <w:ind w:left="500" w:right="442" w:firstLine="0"/>
        <w:jc w:val="both"/>
        <w:rPr>
          <w:sz w:val="25"/>
        </w:rPr>
      </w:pPr>
      <w:r>
        <w:rPr>
          <w:sz w:val="25"/>
        </w:rPr>
        <w:t>Proximate in time after the setting up of the railing, the Ramchabutra was set</w:t>
      </w:r>
      <w:r>
        <w:rPr>
          <w:spacing w:val="22"/>
          <w:sz w:val="25"/>
        </w:rPr>
        <w:t> </w:t>
      </w:r>
      <w:r>
        <w:rPr>
          <w:sz w:val="25"/>
        </w:rPr>
        <w:t>up</w:t>
      </w:r>
      <w:r>
        <w:rPr>
          <w:spacing w:val="23"/>
          <w:sz w:val="25"/>
        </w:rPr>
        <w:t> </w:t>
      </w:r>
      <w:r>
        <w:rPr>
          <w:sz w:val="25"/>
        </w:rPr>
        <w:t>in</w:t>
      </w:r>
      <w:r>
        <w:rPr>
          <w:spacing w:val="22"/>
          <w:sz w:val="25"/>
        </w:rPr>
        <w:t> </w:t>
      </w:r>
      <w:r>
        <w:rPr>
          <w:sz w:val="25"/>
        </w:rPr>
        <w:t>or</w:t>
      </w:r>
      <w:r>
        <w:rPr>
          <w:spacing w:val="21"/>
          <w:sz w:val="25"/>
        </w:rPr>
        <w:t> </w:t>
      </w:r>
      <w:r>
        <w:rPr>
          <w:sz w:val="25"/>
        </w:rPr>
        <w:t>about</w:t>
      </w:r>
      <w:r>
        <w:rPr>
          <w:spacing w:val="23"/>
          <w:sz w:val="25"/>
        </w:rPr>
        <w:t> </w:t>
      </w:r>
      <w:r>
        <w:rPr>
          <w:sz w:val="25"/>
        </w:rPr>
        <w:t>1857.</w:t>
      </w:r>
      <w:r>
        <w:rPr>
          <w:spacing w:val="22"/>
          <w:sz w:val="25"/>
        </w:rPr>
        <w:t> </w:t>
      </w:r>
      <w:r>
        <w:rPr>
          <w:sz w:val="25"/>
        </w:rPr>
        <w:t>Ramchabutra</w:t>
      </w:r>
      <w:r>
        <w:rPr>
          <w:spacing w:val="23"/>
          <w:sz w:val="25"/>
        </w:rPr>
        <w:t> </w:t>
      </w:r>
      <w:r>
        <w:rPr>
          <w:sz w:val="25"/>
        </w:rPr>
        <w:t>was</w:t>
      </w:r>
      <w:r>
        <w:rPr>
          <w:spacing w:val="21"/>
          <w:sz w:val="25"/>
        </w:rPr>
        <w:t> </w:t>
      </w:r>
      <w:r>
        <w:rPr>
          <w:sz w:val="25"/>
        </w:rPr>
        <w:t>set</w:t>
      </w:r>
      <w:r>
        <w:rPr>
          <w:spacing w:val="23"/>
          <w:sz w:val="25"/>
        </w:rPr>
        <w:t> </w:t>
      </w:r>
      <w:r>
        <w:rPr>
          <w:sz w:val="25"/>
        </w:rPr>
        <w:t>up</w:t>
      </w:r>
      <w:r>
        <w:rPr>
          <w:spacing w:val="23"/>
          <w:sz w:val="25"/>
        </w:rPr>
        <w:t> </w:t>
      </w:r>
      <w:r>
        <w:rPr>
          <w:sz w:val="25"/>
        </w:rPr>
        <w:t>in</w:t>
      </w:r>
      <w:r>
        <w:rPr>
          <w:spacing w:val="22"/>
          <w:sz w:val="25"/>
        </w:rPr>
        <w:t> </w:t>
      </w:r>
      <w:r>
        <w:rPr>
          <w:sz w:val="25"/>
        </w:rPr>
        <w:t>close</w:t>
      </w:r>
      <w:r>
        <w:rPr>
          <w:spacing w:val="23"/>
          <w:sz w:val="25"/>
        </w:rPr>
        <w:t> </w:t>
      </w:r>
      <w:r>
        <w:rPr>
          <w:sz w:val="25"/>
        </w:rPr>
        <w:t>physical</w:t>
      </w:r>
      <w:r>
        <w:rPr>
          <w:spacing w:val="22"/>
          <w:sz w:val="25"/>
        </w:rPr>
        <w:t> </w:t>
      </w:r>
      <w:r>
        <w:rPr>
          <w:sz w:val="25"/>
        </w:rPr>
        <w:t>proximity</w:t>
      </w:r>
      <w:r>
        <w:rPr>
          <w:spacing w:val="20"/>
          <w:sz w:val="25"/>
        </w:rPr>
        <w:t> </w:t>
      </w:r>
      <w:r>
        <w:rPr>
          <w:sz w:val="25"/>
        </w:rPr>
        <w:t>to</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500" w:right="435"/>
        <w:jc w:val="both"/>
      </w:pPr>
      <w:r>
        <w:rPr/>
        <w:t>the railing. Essentially, the setting up of Ramchabutra within a hundred feet or thereabouts of the inner dome must be seen in the historical context as an expression or assertion of the Hindu right to worship at the birth-place of Lord Ram. Even after the construction of the dividing wall by the British, the Hindus continued to assert their right to pray below the central dome. This emerges from the evidentiary record indicating acts of individuals in trying to set up idols and perform puja both within and outside the precincts of the inner courtyard. Even after the setting up of the Ramchabutra, pilgrims used to pay obeisance and make offerings to what they believed to be the ‗Garbh Grih‘ located inside the three domed structure while standing at the iron railing which divided the inner and outer courtyards. There is no evidence to the contrary by the Muslims to indicate that their possession of the disputed structure of the mosque was exclusive and that the offering of namaz was exclusionary of the</w:t>
      </w:r>
      <w:r>
        <w:rPr>
          <w:spacing w:val="-8"/>
        </w:rPr>
        <w:t> </w:t>
      </w:r>
      <w:r>
        <w:rPr/>
        <w:t>Hindus;</w:t>
      </w:r>
    </w:p>
    <w:p>
      <w:pPr>
        <w:pStyle w:val="BodyText"/>
      </w:pPr>
    </w:p>
    <w:p>
      <w:pPr>
        <w:pStyle w:val="ListParagraph"/>
        <w:numPr>
          <w:ilvl w:val="0"/>
          <w:numId w:val="243"/>
        </w:numPr>
        <w:tabs>
          <w:tab w:pos="1221" w:val="left" w:leader="none"/>
        </w:tabs>
        <w:spacing w:line="480" w:lineRule="auto" w:before="0" w:after="0"/>
        <w:ind w:left="500" w:right="434" w:firstLine="0"/>
        <w:jc w:val="both"/>
        <w:rPr>
          <w:sz w:val="25"/>
        </w:rPr>
      </w:pPr>
      <w:r>
        <w:rPr>
          <w:sz w:val="25"/>
        </w:rPr>
        <w:t>Hindu worship at Ramchabutra, Sita Rasoi and at other religious places including the setting up of a Bhandar clearly indicated their open, exclusive and unimpeded possession of the outer courtyard. The Muslims have not been in possession of the outer courtyard. Despite the construction of the wall in 1858 by the British and the setting up of the Ramchabutra in close-proximity of the inner dome, Hindus continued to assert their right to pray inside the three-domed structure;</w:t>
      </w:r>
    </w:p>
    <w:p>
      <w:pPr>
        <w:pStyle w:val="BodyText"/>
        <w:spacing w:before="1"/>
      </w:pPr>
    </w:p>
    <w:p>
      <w:pPr>
        <w:pStyle w:val="ListParagraph"/>
        <w:numPr>
          <w:ilvl w:val="0"/>
          <w:numId w:val="243"/>
        </w:numPr>
        <w:tabs>
          <w:tab w:pos="1221" w:val="left" w:leader="none"/>
        </w:tabs>
        <w:spacing w:line="480" w:lineRule="auto" w:before="1" w:after="0"/>
        <w:ind w:left="500" w:right="435" w:firstLine="0"/>
        <w:jc w:val="both"/>
        <w:rPr>
          <w:sz w:val="25"/>
        </w:rPr>
      </w:pPr>
      <w:r>
        <w:rPr>
          <w:sz w:val="25"/>
        </w:rPr>
        <w:t>In or about 1877, at the behest of the Hindus, another door to the outer courtyard was allowed to be opened by the administration on the northern side (Sing</w:t>
      </w:r>
      <w:r>
        <w:rPr>
          <w:spacing w:val="34"/>
          <w:sz w:val="25"/>
        </w:rPr>
        <w:t> </w:t>
      </w:r>
      <w:r>
        <w:rPr>
          <w:sz w:val="25"/>
        </w:rPr>
        <w:t>Dwar),</w:t>
      </w:r>
      <w:r>
        <w:rPr>
          <w:spacing w:val="34"/>
          <w:sz w:val="25"/>
        </w:rPr>
        <w:t> </w:t>
      </w:r>
      <w:r>
        <w:rPr>
          <w:sz w:val="25"/>
        </w:rPr>
        <w:t>in</w:t>
      </w:r>
      <w:r>
        <w:rPr>
          <w:spacing w:val="34"/>
          <w:sz w:val="25"/>
        </w:rPr>
        <w:t> </w:t>
      </w:r>
      <w:r>
        <w:rPr>
          <w:sz w:val="25"/>
        </w:rPr>
        <w:t>addition</w:t>
      </w:r>
      <w:r>
        <w:rPr>
          <w:spacing w:val="35"/>
          <w:sz w:val="25"/>
        </w:rPr>
        <w:t> </w:t>
      </w:r>
      <w:r>
        <w:rPr>
          <w:sz w:val="25"/>
        </w:rPr>
        <w:t>to</w:t>
      </w:r>
      <w:r>
        <w:rPr>
          <w:spacing w:val="35"/>
          <w:sz w:val="25"/>
        </w:rPr>
        <w:t> </w:t>
      </w:r>
      <w:r>
        <w:rPr>
          <w:sz w:val="25"/>
        </w:rPr>
        <w:t>the</w:t>
      </w:r>
      <w:r>
        <w:rPr>
          <w:spacing w:val="35"/>
          <w:sz w:val="25"/>
        </w:rPr>
        <w:t> </w:t>
      </w:r>
      <w:r>
        <w:rPr>
          <w:sz w:val="25"/>
        </w:rPr>
        <w:t>existing</w:t>
      </w:r>
      <w:r>
        <w:rPr>
          <w:spacing w:val="35"/>
          <w:sz w:val="25"/>
        </w:rPr>
        <w:t> </w:t>
      </w:r>
      <w:r>
        <w:rPr>
          <w:sz w:val="25"/>
        </w:rPr>
        <w:t>door</w:t>
      </w:r>
      <w:r>
        <w:rPr>
          <w:spacing w:val="35"/>
          <w:sz w:val="25"/>
        </w:rPr>
        <w:t> </w:t>
      </w:r>
      <w:r>
        <w:rPr>
          <w:sz w:val="25"/>
        </w:rPr>
        <w:t>on</w:t>
      </w:r>
      <w:r>
        <w:rPr>
          <w:spacing w:val="34"/>
          <w:sz w:val="25"/>
        </w:rPr>
        <w:t> </w:t>
      </w:r>
      <w:r>
        <w:rPr>
          <w:sz w:val="25"/>
        </w:rPr>
        <w:t>the</w:t>
      </w:r>
      <w:r>
        <w:rPr>
          <w:spacing w:val="35"/>
          <w:sz w:val="25"/>
        </w:rPr>
        <w:t> </w:t>
      </w:r>
      <w:r>
        <w:rPr>
          <w:sz w:val="25"/>
        </w:rPr>
        <w:t>east</w:t>
      </w:r>
      <w:r>
        <w:rPr>
          <w:spacing w:val="31"/>
          <w:sz w:val="25"/>
        </w:rPr>
        <w:t> </w:t>
      </w:r>
      <w:r>
        <w:rPr>
          <w:sz w:val="25"/>
        </w:rPr>
        <w:t>(Hanumat</w:t>
      </w:r>
      <w:r>
        <w:rPr>
          <w:spacing w:val="43"/>
          <w:sz w:val="25"/>
        </w:rPr>
        <w:t> </w:t>
      </w:r>
      <w:r>
        <w:rPr>
          <w:sz w:val="25"/>
        </w:rPr>
        <w:t>Dwar).</w:t>
      </w:r>
      <w:r>
        <w:rPr>
          <w:spacing w:val="34"/>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5"/>
        <w:jc w:val="both"/>
      </w:pPr>
      <w:r>
        <w:rPr/>
        <w:t>Deputy Commissioner declined to entertain a complaint against the opening made in the wall. The Commissioner while dismissing the appeal held that the opening up of the door was in public interest. The opening of an additional door with the permission of the British administration indicates recognition of the presence of a large congregation of Hindu devotees necessitating additional access to the site in the interest of public peace and</w:t>
      </w:r>
      <w:r>
        <w:rPr>
          <w:spacing w:val="-9"/>
        </w:rPr>
        <w:t> </w:t>
      </w:r>
      <w:r>
        <w:rPr/>
        <w:t>safety;</w:t>
      </w:r>
    </w:p>
    <w:p>
      <w:pPr>
        <w:pStyle w:val="BodyText"/>
      </w:pPr>
    </w:p>
    <w:p>
      <w:pPr>
        <w:pStyle w:val="ListParagraph"/>
        <w:numPr>
          <w:ilvl w:val="0"/>
          <w:numId w:val="243"/>
        </w:numPr>
        <w:tabs>
          <w:tab w:pos="1221" w:val="left" w:leader="none"/>
        </w:tabs>
        <w:spacing w:line="480" w:lineRule="auto" w:before="0" w:after="0"/>
        <w:ind w:left="500" w:right="435" w:firstLine="0"/>
        <w:jc w:val="both"/>
        <w:rPr>
          <w:sz w:val="25"/>
        </w:rPr>
      </w:pPr>
      <w:r>
        <w:rPr>
          <w:sz w:val="25"/>
        </w:rPr>
        <w:t>Testimonies of both Hindu and Muslim witnesses indicate that on religious occasions and festivals such as Ram Navami, Sawan Jhoola, Kartik Poornima, Parikrama Mela and Ram Vivah, large congregations of Hindu devotees visited the disputed premises for darshan. The oral testimony of the Hindu devotees establishes the pattern of worship and prayer at Sita Rasoi, Ramchabutra and towards the ‗Garb Grih‘, while standing at the railing of the structure of the brick wall;</w:t>
      </w:r>
    </w:p>
    <w:p>
      <w:pPr>
        <w:pStyle w:val="BodyText"/>
        <w:spacing w:before="1"/>
      </w:pPr>
    </w:p>
    <w:p>
      <w:pPr>
        <w:pStyle w:val="ListParagraph"/>
        <w:numPr>
          <w:ilvl w:val="0"/>
          <w:numId w:val="243"/>
        </w:numPr>
        <w:tabs>
          <w:tab w:pos="1221" w:val="left" w:leader="none"/>
        </w:tabs>
        <w:spacing w:line="480" w:lineRule="auto" w:before="0" w:after="0"/>
        <w:ind w:left="500" w:right="436" w:firstLine="0"/>
        <w:jc w:val="both"/>
        <w:rPr>
          <w:sz w:val="25"/>
        </w:rPr>
      </w:pPr>
      <w:r>
        <w:rPr>
          <w:sz w:val="25"/>
        </w:rPr>
        <w:t>Hindu witnesses have indicated that Hindus used to offer prayer to the Kasauti stone pillars placed inside the mosque. Muslim witnesses have acknowledged the presence of symbols of Hindu religious significance both  inside and outside the mosque. Among them, is the depiction of Varah, Jai-Vijay and Garud outside the three domed structure. They are suggestive not merely of the existence of the faith and belief but of actual worship down the</w:t>
      </w:r>
      <w:r>
        <w:rPr>
          <w:spacing w:val="-20"/>
          <w:sz w:val="25"/>
        </w:rPr>
        <w:t> </w:t>
      </w:r>
      <w:r>
        <w:rPr>
          <w:sz w:val="25"/>
        </w:rPr>
        <w:t>centuries;</w:t>
      </w:r>
    </w:p>
    <w:p>
      <w:pPr>
        <w:pStyle w:val="BodyText"/>
      </w:pPr>
    </w:p>
    <w:p>
      <w:pPr>
        <w:pStyle w:val="ListParagraph"/>
        <w:numPr>
          <w:ilvl w:val="0"/>
          <w:numId w:val="243"/>
        </w:numPr>
        <w:tabs>
          <w:tab w:pos="1221" w:val="left" w:leader="none"/>
        </w:tabs>
        <w:spacing w:line="480" w:lineRule="auto" w:before="0" w:after="0"/>
        <w:ind w:left="500" w:right="432" w:firstLine="0"/>
        <w:jc w:val="both"/>
        <w:rPr>
          <w:sz w:val="25"/>
        </w:rPr>
      </w:pPr>
      <w:r>
        <w:rPr>
          <w:sz w:val="25"/>
        </w:rPr>
        <w:t>There can no denying the existence of the structure of the mosque since its construction in the sixteenth century with the inscription of ‗Allah‘ on the structure. The genesis of the communal incident of 1856-7 lies in the contestation between</w:t>
      </w:r>
      <w:r>
        <w:rPr>
          <w:spacing w:val="7"/>
          <w:sz w:val="25"/>
        </w:rPr>
        <w:t> </w:t>
      </w:r>
      <w:r>
        <w:rPr>
          <w:sz w:val="25"/>
        </w:rPr>
        <w:t>the</w:t>
      </w:r>
      <w:r>
        <w:rPr>
          <w:spacing w:val="9"/>
          <w:sz w:val="25"/>
        </w:rPr>
        <w:t> </w:t>
      </w:r>
      <w:r>
        <w:rPr>
          <w:sz w:val="25"/>
        </w:rPr>
        <w:t>two</w:t>
      </w:r>
      <w:r>
        <w:rPr>
          <w:spacing w:val="7"/>
          <w:sz w:val="25"/>
        </w:rPr>
        <w:t> </w:t>
      </w:r>
      <w:r>
        <w:rPr>
          <w:sz w:val="25"/>
        </w:rPr>
        <w:t>communities</w:t>
      </w:r>
      <w:r>
        <w:rPr>
          <w:spacing w:val="8"/>
          <w:sz w:val="25"/>
        </w:rPr>
        <w:t> </w:t>
      </w:r>
      <w:r>
        <w:rPr>
          <w:sz w:val="25"/>
        </w:rPr>
        <w:t>over</w:t>
      </w:r>
      <w:r>
        <w:rPr>
          <w:spacing w:val="9"/>
          <w:sz w:val="25"/>
        </w:rPr>
        <w:t> </w:t>
      </w:r>
      <w:r>
        <w:rPr>
          <w:sz w:val="25"/>
        </w:rPr>
        <w:t>worship.</w:t>
      </w:r>
      <w:r>
        <w:rPr>
          <w:spacing w:val="7"/>
          <w:sz w:val="25"/>
        </w:rPr>
        <w:t> </w:t>
      </w:r>
      <w:r>
        <w:rPr>
          <w:sz w:val="25"/>
        </w:rPr>
        <w:t>The</w:t>
      </w:r>
      <w:r>
        <w:rPr>
          <w:spacing w:val="8"/>
          <w:sz w:val="25"/>
        </w:rPr>
        <w:t> </w:t>
      </w:r>
      <w:r>
        <w:rPr>
          <w:sz w:val="25"/>
        </w:rPr>
        <w:t>setting</w:t>
      </w:r>
      <w:r>
        <w:rPr>
          <w:spacing w:val="9"/>
          <w:sz w:val="25"/>
        </w:rPr>
        <w:t> </w:t>
      </w:r>
      <w:r>
        <w:rPr>
          <w:sz w:val="25"/>
        </w:rPr>
        <w:t>up</w:t>
      </w:r>
      <w:r>
        <w:rPr>
          <w:spacing w:val="7"/>
          <w:sz w:val="25"/>
        </w:rPr>
        <w:t> </w:t>
      </w:r>
      <w:r>
        <w:rPr>
          <w:spacing w:val="3"/>
          <w:sz w:val="25"/>
        </w:rPr>
        <w:t>of</w:t>
      </w:r>
      <w:r>
        <w:rPr>
          <w:spacing w:val="8"/>
          <w:sz w:val="25"/>
        </w:rPr>
        <w:t> </w:t>
      </w:r>
      <w:r>
        <w:rPr>
          <w:sz w:val="25"/>
        </w:rPr>
        <w:t>the</w:t>
      </w:r>
      <w:r>
        <w:rPr>
          <w:spacing w:val="7"/>
          <w:sz w:val="25"/>
        </w:rPr>
        <w:t> </w:t>
      </w:r>
      <w:r>
        <w:rPr>
          <w:sz w:val="25"/>
        </w:rPr>
        <w:t>railing</w:t>
      </w:r>
      <w:r>
        <w:rPr>
          <w:spacing w:val="9"/>
          <w:sz w:val="25"/>
        </w:rPr>
        <w:t> </w:t>
      </w:r>
      <w:r>
        <w:rPr>
          <w:sz w:val="25"/>
        </w:rPr>
        <w:t>in</w:t>
      </w:r>
      <w:r>
        <w:rPr>
          <w:spacing w:val="8"/>
          <w:sz w:val="25"/>
        </w:rPr>
        <w:t> </w:t>
      </w:r>
      <w:r>
        <w:rPr>
          <w:sz w:val="25"/>
        </w:rPr>
        <w:t>1856-</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7 was an attempt by the administration to provide a measure of bifurcation to observe religious worship – namaz by the Muslims inside the railing within the domed structure of the mosque and worship by the Hindus outside the railing. Attempts by the Sikhs or faqirs to enter into the mosque and set up religious symbols for puja were resisted by the Muslims, resulting in the administration evicting the occupier;</w:t>
      </w:r>
    </w:p>
    <w:p>
      <w:pPr>
        <w:pStyle w:val="BodyText"/>
      </w:pPr>
    </w:p>
    <w:p>
      <w:pPr>
        <w:pStyle w:val="ListParagraph"/>
        <w:numPr>
          <w:ilvl w:val="0"/>
          <w:numId w:val="243"/>
        </w:numPr>
        <w:tabs>
          <w:tab w:pos="1221" w:val="left" w:leader="none"/>
        </w:tabs>
        <w:spacing w:line="480" w:lineRule="auto" w:before="0" w:after="0"/>
        <w:ind w:left="500" w:right="437" w:firstLine="0"/>
        <w:jc w:val="both"/>
        <w:rPr>
          <w:sz w:val="25"/>
        </w:rPr>
      </w:pPr>
      <w:r>
        <w:rPr>
          <w:sz w:val="25"/>
        </w:rPr>
        <w:t>After the construction of the grill-brick wall in 1857, there is evidence on record to show the exclusive and unimpeded possession of the Hindus and the offering of worship in the outer courtyard. Entry into the three domed structure was possible only by seeking access through either of the two doors on the eastern and northern sides of the outer courtyard which were under the control of the Hindu</w:t>
      </w:r>
      <w:r>
        <w:rPr>
          <w:spacing w:val="-1"/>
          <w:sz w:val="25"/>
        </w:rPr>
        <w:t> </w:t>
      </w:r>
      <w:r>
        <w:rPr>
          <w:sz w:val="25"/>
        </w:rPr>
        <w:t>devotees;</w:t>
      </w:r>
    </w:p>
    <w:p>
      <w:pPr>
        <w:pStyle w:val="BodyText"/>
      </w:pPr>
    </w:p>
    <w:p>
      <w:pPr>
        <w:pStyle w:val="ListParagraph"/>
        <w:numPr>
          <w:ilvl w:val="0"/>
          <w:numId w:val="243"/>
        </w:numPr>
        <w:tabs>
          <w:tab w:pos="1221" w:val="left" w:leader="none"/>
        </w:tabs>
        <w:spacing w:line="480" w:lineRule="auto" w:before="0" w:after="0"/>
        <w:ind w:left="500" w:right="441" w:firstLine="0"/>
        <w:jc w:val="both"/>
        <w:rPr>
          <w:sz w:val="25"/>
        </w:rPr>
      </w:pPr>
      <w:r>
        <w:rPr>
          <w:sz w:val="25"/>
        </w:rPr>
        <w:t>On a preponderance of probabilities, there is no evidence to establish that the Muslims abandoned the mosque or ceased to perform namaz in spite of the contestation over their possession of the inner courtyard after 1858. Oral evidence indicates the continuation of</w:t>
      </w:r>
      <w:r>
        <w:rPr>
          <w:spacing w:val="-4"/>
          <w:sz w:val="25"/>
        </w:rPr>
        <w:t> </w:t>
      </w:r>
      <w:r>
        <w:rPr>
          <w:sz w:val="25"/>
        </w:rPr>
        <w:t>namaz;</w:t>
      </w:r>
    </w:p>
    <w:p>
      <w:pPr>
        <w:pStyle w:val="BodyText"/>
      </w:pPr>
    </w:p>
    <w:p>
      <w:pPr>
        <w:pStyle w:val="ListParagraph"/>
        <w:numPr>
          <w:ilvl w:val="0"/>
          <w:numId w:val="243"/>
        </w:numPr>
        <w:tabs>
          <w:tab w:pos="1221" w:val="left" w:leader="none"/>
        </w:tabs>
        <w:spacing w:line="480" w:lineRule="auto" w:before="0" w:after="0"/>
        <w:ind w:left="500" w:right="434" w:firstLine="0"/>
        <w:jc w:val="both"/>
        <w:rPr>
          <w:sz w:val="25"/>
        </w:rPr>
      </w:pPr>
      <w:r>
        <w:rPr>
          <w:sz w:val="25"/>
        </w:rPr>
        <w:t>The contestation over the possession of the inner courtyard became the centre of the communal conflict of 1934 during the course of which the domes of the mosque sustained damage as did the structure. The repair and renovation of the mosque following the riots of 1934 at the expense of the British administration through the agency of a Muslim contractor is indicative of the fact the despite the disputes between the two communities, the structure of the mosque continued to exist</w:t>
      </w:r>
      <w:r>
        <w:rPr>
          <w:spacing w:val="10"/>
          <w:sz w:val="25"/>
        </w:rPr>
        <w:t> </w:t>
      </w:r>
      <w:r>
        <w:rPr>
          <w:sz w:val="25"/>
        </w:rPr>
        <w:t>as</w:t>
      </w:r>
      <w:r>
        <w:rPr>
          <w:spacing w:val="13"/>
          <w:sz w:val="25"/>
        </w:rPr>
        <w:t> </w:t>
      </w:r>
      <w:r>
        <w:rPr>
          <w:sz w:val="25"/>
        </w:rPr>
        <w:t>did</w:t>
      </w:r>
      <w:r>
        <w:rPr>
          <w:spacing w:val="11"/>
          <w:sz w:val="25"/>
        </w:rPr>
        <w:t> </w:t>
      </w:r>
      <w:r>
        <w:rPr>
          <w:sz w:val="25"/>
        </w:rPr>
        <w:t>the</w:t>
      </w:r>
      <w:r>
        <w:rPr>
          <w:spacing w:val="11"/>
          <w:sz w:val="25"/>
        </w:rPr>
        <w:t> </w:t>
      </w:r>
      <w:r>
        <w:rPr>
          <w:sz w:val="25"/>
        </w:rPr>
        <w:t>assertion</w:t>
      </w:r>
      <w:r>
        <w:rPr>
          <w:spacing w:val="11"/>
          <w:sz w:val="25"/>
        </w:rPr>
        <w:t> </w:t>
      </w:r>
      <w:r>
        <w:rPr>
          <w:sz w:val="25"/>
        </w:rPr>
        <w:t>of</w:t>
      </w:r>
      <w:r>
        <w:rPr>
          <w:spacing w:val="11"/>
          <w:sz w:val="25"/>
        </w:rPr>
        <w:t> </w:t>
      </w:r>
      <w:r>
        <w:rPr>
          <w:sz w:val="25"/>
        </w:rPr>
        <w:t>the</w:t>
      </w:r>
      <w:r>
        <w:rPr>
          <w:spacing w:val="14"/>
          <w:sz w:val="25"/>
        </w:rPr>
        <w:t> </w:t>
      </w:r>
      <w:r>
        <w:rPr>
          <w:sz w:val="25"/>
        </w:rPr>
        <w:t>Muslims</w:t>
      </w:r>
      <w:r>
        <w:rPr>
          <w:spacing w:val="10"/>
          <w:sz w:val="25"/>
        </w:rPr>
        <w:t> </w:t>
      </w:r>
      <w:r>
        <w:rPr>
          <w:sz w:val="25"/>
        </w:rPr>
        <w:t>of</w:t>
      </w:r>
      <w:r>
        <w:rPr>
          <w:spacing w:val="14"/>
          <w:sz w:val="25"/>
        </w:rPr>
        <w:t> </w:t>
      </w:r>
      <w:r>
        <w:rPr>
          <w:sz w:val="25"/>
        </w:rPr>
        <w:t>their</w:t>
      </w:r>
      <w:r>
        <w:rPr>
          <w:spacing w:val="11"/>
          <w:sz w:val="25"/>
        </w:rPr>
        <w:t> </w:t>
      </w:r>
      <w:r>
        <w:rPr>
          <w:sz w:val="25"/>
        </w:rPr>
        <w:t>right</w:t>
      </w:r>
      <w:r>
        <w:rPr>
          <w:spacing w:val="11"/>
          <w:sz w:val="25"/>
        </w:rPr>
        <w:t> </w:t>
      </w:r>
      <w:r>
        <w:rPr>
          <w:sz w:val="25"/>
        </w:rPr>
        <w:t>to</w:t>
      </w:r>
      <w:r>
        <w:rPr>
          <w:spacing w:val="11"/>
          <w:sz w:val="25"/>
        </w:rPr>
        <w:t> </w:t>
      </w:r>
      <w:r>
        <w:rPr>
          <w:sz w:val="25"/>
        </w:rPr>
        <w:t>pray.</w:t>
      </w:r>
      <w:r>
        <w:rPr>
          <w:spacing w:val="11"/>
          <w:sz w:val="25"/>
        </w:rPr>
        <w:t> </w:t>
      </w:r>
      <w:r>
        <w:rPr>
          <w:sz w:val="25"/>
        </w:rPr>
        <w:t>Namaz</w:t>
      </w:r>
      <w:r>
        <w:rPr>
          <w:spacing w:val="11"/>
          <w:sz w:val="25"/>
        </w:rPr>
        <w:t> </w:t>
      </w:r>
      <w:r>
        <w:rPr>
          <w:sz w:val="25"/>
        </w:rPr>
        <w:t>appears</w:t>
      </w:r>
      <w:r>
        <w:rPr>
          <w:spacing w:val="10"/>
          <w:sz w:val="25"/>
        </w:rPr>
        <w:t> </w:t>
      </w:r>
      <w:r>
        <w:rPr>
          <w:sz w:val="25"/>
        </w:rPr>
        <w:t>to</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have been offered within the mosque after 1934 though, by the time of incident of 22/23 December 1949, only Friday namaz was being offered. The reports of the Waqf Inspector of December 1949 indicate that the Sadhus and Bairagis who worshipped and resided in the outer courtyard obstructed Muslims from passing through the courtyard, which was under their control, for namaz within the mosque. Hence the Waqf Inspector noted that worship within the mosque was possible on Fridays with the assistance of the police;</w:t>
      </w:r>
    </w:p>
    <w:p>
      <w:pPr>
        <w:pStyle w:val="BodyText"/>
        <w:spacing w:before="1"/>
      </w:pPr>
    </w:p>
    <w:p>
      <w:pPr>
        <w:pStyle w:val="ListParagraph"/>
        <w:numPr>
          <w:ilvl w:val="0"/>
          <w:numId w:val="243"/>
        </w:numPr>
        <w:tabs>
          <w:tab w:pos="1221" w:val="left" w:leader="none"/>
        </w:tabs>
        <w:spacing w:line="480" w:lineRule="auto" w:before="0" w:after="0"/>
        <w:ind w:left="500" w:right="437" w:firstLine="0"/>
        <w:jc w:val="both"/>
        <w:rPr>
          <w:sz w:val="25"/>
        </w:rPr>
      </w:pPr>
      <w:r>
        <w:rPr>
          <w:sz w:val="25"/>
        </w:rPr>
        <w:t>The events preceding 22/23 December 1949 indicate the build-up of a large presence of Bairagis in the outer courtyard and the expression of his apprehension by the Superintendent of Police that the Hindus would seek forcible entry into the precincts of the mosque to install idols. In spite of written  intimations to him, the Deputy Commissioner and District Magistrate (K K Nayyar) paid no heed and rejected the apprehension of the Superintendent of Police to the safety of the mosque as baseless. The apprehension was borne out by the incident which took place on the night between 22/23 December 1949, when a group of fifty to sixty persons installed idols on the pulpit of the mosque below the central dome. This led to the desecration of the mosque and the ouster of the Muslims otherwise than by the due process of law. The inner courtyard was thereafter attached in proceedings under Section 145 CrPC 1898 on 29 December 1949 and the receiver took</w:t>
      </w:r>
      <w:r>
        <w:rPr>
          <w:spacing w:val="-4"/>
          <w:sz w:val="25"/>
        </w:rPr>
        <w:t> </w:t>
      </w:r>
      <w:r>
        <w:rPr>
          <w:sz w:val="25"/>
        </w:rPr>
        <w:t>possession;</w:t>
      </w:r>
    </w:p>
    <w:p>
      <w:pPr>
        <w:pStyle w:val="BodyText"/>
      </w:pPr>
    </w:p>
    <w:p>
      <w:pPr>
        <w:pStyle w:val="ListParagraph"/>
        <w:numPr>
          <w:ilvl w:val="0"/>
          <w:numId w:val="243"/>
        </w:numPr>
        <w:tabs>
          <w:tab w:pos="1221" w:val="left" w:leader="none"/>
        </w:tabs>
        <w:spacing w:line="480" w:lineRule="auto" w:before="1" w:after="0"/>
        <w:ind w:left="500" w:right="437" w:firstLine="0"/>
        <w:jc w:val="both"/>
        <w:rPr>
          <w:sz w:val="25"/>
        </w:rPr>
      </w:pPr>
      <w:r>
        <w:rPr>
          <w:sz w:val="25"/>
        </w:rPr>
        <w:t>On 6 December 1992, the structure of the mosque was brought down and the mosque was destroyed. The destruction of the mosque took place in breach of</w:t>
      </w:r>
      <w:r>
        <w:rPr>
          <w:spacing w:val="15"/>
          <w:sz w:val="25"/>
        </w:rPr>
        <w:t> </w:t>
      </w:r>
      <w:r>
        <w:rPr>
          <w:sz w:val="25"/>
        </w:rPr>
        <w:t>the</w:t>
      </w:r>
      <w:r>
        <w:rPr>
          <w:spacing w:val="16"/>
          <w:sz w:val="25"/>
        </w:rPr>
        <w:t> </w:t>
      </w:r>
      <w:r>
        <w:rPr>
          <w:sz w:val="25"/>
        </w:rPr>
        <w:t>order</w:t>
      </w:r>
      <w:r>
        <w:rPr>
          <w:spacing w:val="16"/>
          <w:sz w:val="25"/>
        </w:rPr>
        <w:t> </w:t>
      </w:r>
      <w:r>
        <w:rPr>
          <w:sz w:val="25"/>
        </w:rPr>
        <w:t>of</w:t>
      </w:r>
      <w:r>
        <w:rPr>
          <w:spacing w:val="18"/>
          <w:sz w:val="25"/>
        </w:rPr>
        <w:t> </w:t>
      </w:r>
      <w:r>
        <w:rPr>
          <w:i/>
          <w:sz w:val="25"/>
        </w:rPr>
        <w:t>status</w:t>
      </w:r>
      <w:r>
        <w:rPr>
          <w:i/>
          <w:spacing w:val="16"/>
          <w:sz w:val="25"/>
        </w:rPr>
        <w:t> </w:t>
      </w:r>
      <w:r>
        <w:rPr>
          <w:i/>
          <w:sz w:val="25"/>
        </w:rPr>
        <w:t>quo</w:t>
      </w:r>
      <w:r>
        <w:rPr>
          <w:i/>
          <w:spacing w:val="17"/>
          <w:sz w:val="25"/>
        </w:rPr>
        <w:t> </w:t>
      </w:r>
      <w:r>
        <w:rPr>
          <w:sz w:val="25"/>
        </w:rPr>
        <w:t>and</w:t>
      </w:r>
      <w:r>
        <w:rPr>
          <w:spacing w:val="16"/>
          <w:sz w:val="25"/>
        </w:rPr>
        <w:t> </w:t>
      </w:r>
      <w:r>
        <w:rPr>
          <w:sz w:val="25"/>
        </w:rPr>
        <w:t>an</w:t>
      </w:r>
      <w:r>
        <w:rPr>
          <w:spacing w:val="16"/>
          <w:sz w:val="25"/>
        </w:rPr>
        <w:t> </w:t>
      </w:r>
      <w:r>
        <w:rPr>
          <w:sz w:val="25"/>
        </w:rPr>
        <w:t>assurance</w:t>
      </w:r>
      <w:r>
        <w:rPr>
          <w:spacing w:val="16"/>
          <w:sz w:val="25"/>
        </w:rPr>
        <w:t> </w:t>
      </w:r>
      <w:r>
        <w:rPr>
          <w:sz w:val="25"/>
        </w:rPr>
        <w:t>given</w:t>
      </w:r>
      <w:r>
        <w:rPr>
          <w:spacing w:val="16"/>
          <w:sz w:val="25"/>
        </w:rPr>
        <w:t> </w:t>
      </w:r>
      <w:r>
        <w:rPr>
          <w:sz w:val="25"/>
        </w:rPr>
        <w:t>to</w:t>
      </w:r>
      <w:r>
        <w:rPr>
          <w:spacing w:val="16"/>
          <w:sz w:val="25"/>
        </w:rPr>
        <w:t> </w:t>
      </w:r>
      <w:r>
        <w:rPr>
          <w:sz w:val="25"/>
        </w:rPr>
        <w:t>this</w:t>
      </w:r>
      <w:r>
        <w:rPr>
          <w:spacing w:val="15"/>
          <w:sz w:val="25"/>
        </w:rPr>
        <w:t> </w:t>
      </w:r>
      <w:r>
        <w:rPr>
          <w:sz w:val="25"/>
        </w:rPr>
        <w:t>Court.</w:t>
      </w:r>
      <w:r>
        <w:rPr>
          <w:spacing w:val="18"/>
          <w:sz w:val="25"/>
        </w:rPr>
        <w:t> </w:t>
      </w:r>
      <w:r>
        <w:rPr>
          <w:sz w:val="25"/>
        </w:rPr>
        <w:t>The</w:t>
      </w:r>
      <w:r>
        <w:rPr>
          <w:spacing w:val="16"/>
          <w:sz w:val="25"/>
        </w:rPr>
        <w:t> </w:t>
      </w:r>
      <w:r>
        <w:rPr>
          <w:sz w:val="25"/>
        </w:rPr>
        <w:t>destruction</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of the mosque and the obliteration of the Islamic structure was an egregious violation of the rule of law;</w:t>
      </w:r>
    </w:p>
    <w:p>
      <w:pPr>
        <w:pStyle w:val="BodyText"/>
      </w:pPr>
    </w:p>
    <w:p>
      <w:pPr>
        <w:pStyle w:val="ListParagraph"/>
        <w:numPr>
          <w:ilvl w:val="0"/>
          <w:numId w:val="243"/>
        </w:numPr>
        <w:tabs>
          <w:tab w:pos="1221" w:val="left" w:leader="none"/>
        </w:tabs>
        <w:spacing w:line="240" w:lineRule="auto" w:before="0" w:after="0"/>
        <w:ind w:left="1220" w:right="0" w:hanging="721"/>
        <w:jc w:val="both"/>
        <w:rPr>
          <w:sz w:val="25"/>
        </w:rPr>
      </w:pPr>
      <w:r>
        <w:rPr>
          <w:sz w:val="25"/>
        </w:rPr>
        <w:t>The net result, as it emerges from the evidentiary record is</w:t>
      </w:r>
      <w:r>
        <w:rPr>
          <w:spacing w:val="-8"/>
          <w:sz w:val="25"/>
        </w:rPr>
        <w:t> </w:t>
      </w:r>
      <w:r>
        <w:rPr>
          <w:sz w:val="25"/>
        </w:rPr>
        <w:t>thus:</w:t>
      </w:r>
    </w:p>
    <w:p>
      <w:pPr>
        <w:pStyle w:val="BodyText"/>
        <w:spacing w:before="10"/>
        <w:rPr>
          <w:sz w:val="24"/>
        </w:rPr>
      </w:pPr>
    </w:p>
    <w:p>
      <w:pPr>
        <w:pStyle w:val="ListParagraph"/>
        <w:numPr>
          <w:ilvl w:val="1"/>
          <w:numId w:val="243"/>
        </w:numPr>
        <w:tabs>
          <w:tab w:pos="1941" w:val="left" w:leader="none"/>
        </w:tabs>
        <w:spacing w:line="480" w:lineRule="auto" w:before="0" w:after="0"/>
        <w:ind w:left="1940" w:right="439" w:hanging="720"/>
        <w:jc w:val="both"/>
        <w:rPr>
          <w:sz w:val="25"/>
        </w:rPr>
      </w:pPr>
      <w:r>
        <w:rPr>
          <w:sz w:val="25"/>
        </w:rPr>
        <w:t>The disputed site is one composite whole. The railing set up in 1856-7 did not either bring about a sub-division of the land or any determination of</w:t>
      </w:r>
      <w:r>
        <w:rPr>
          <w:spacing w:val="-1"/>
          <w:sz w:val="25"/>
        </w:rPr>
        <w:t> </w:t>
      </w:r>
      <w:r>
        <w:rPr>
          <w:sz w:val="25"/>
        </w:rPr>
        <w:t>title;</w:t>
      </w:r>
    </w:p>
    <w:p>
      <w:pPr>
        <w:pStyle w:val="ListParagraph"/>
        <w:numPr>
          <w:ilvl w:val="1"/>
          <w:numId w:val="243"/>
        </w:numPr>
        <w:tabs>
          <w:tab w:pos="1941" w:val="left" w:leader="none"/>
        </w:tabs>
        <w:spacing w:line="480" w:lineRule="auto" w:before="1" w:after="0"/>
        <w:ind w:left="1940" w:right="442" w:hanging="720"/>
        <w:jc w:val="both"/>
        <w:rPr>
          <w:sz w:val="25"/>
        </w:rPr>
      </w:pPr>
      <w:r>
        <w:rPr>
          <w:sz w:val="25"/>
        </w:rPr>
        <w:t>The Sunni Central Waqf Board has not established its case of a dedication by</w:t>
      </w:r>
      <w:r>
        <w:rPr>
          <w:spacing w:val="-4"/>
          <w:sz w:val="25"/>
        </w:rPr>
        <w:t> </w:t>
      </w:r>
      <w:r>
        <w:rPr>
          <w:sz w:val="25"/>
        </w:rPr>
        <w:t>user;</w:t>
      </w:r>
    </w:p>
    <w:p>
      <w:pPr>
        <w:pStyle w:val="ListParagraph"/>
        <w:numPr>
          <w:ilvl w:val="1"/>
          <w:numId w:val="243"/>
        </w:numPr>
        <w:tabs>
          <w:tab w:pos="1941" w:val="left" w:leader="none"/>
        </w:tabs>
        <w:spacing w:line="480" w:lineRule="auto" w:before="0" w:after="0"/>
        <w:ind w:left="1940" w:right="441" w:hanging="720"/>
        <w:jc w:val="both"/>
        <w:rPr>
          <w:sz w:val="25"/>
        </w:rPr>
      </w:pPr>
      <w:r>
        <w:rPr>
          <w:sz w:val="25"/>
        </w:rPr>
        <w:t>The alternate plea of adverse possession has not been established by the Sunni Central Waqf Board as it failed to meet the requirements of adverse</w:t>
      </w:r>
      <w:r>
        <w:rPr>
          <w:spacing w:val="-4"/>
          <w:sz w:val="25"/>
        </w:rPr>
        <w:t> </w:t>
      </w:r>
      <w:r>
        <w:rPr>
          <w:sz w:val="25"/>
        </w:rPr>
        <w:t>possession;</w:t>
      </w:r>
    </w:p>
    <w:p>
      <w:pPr>
        <w:pStyle w:val="ListParagraph"/>
        <w:numPr>
          <w:ilvl w:val="1"/>
          <w:numId w:val="243"/>
        </w:numPr>
        <w:tabs>
          <w:tab w:pos="1941" w:val="left" w:leader="none"/>
        </w:tabs>
        <w:spacing w:line="480" w:lineRule="auto" w:before="1" w:after="0"/>
        <w:ind w:left="1940" w:right="444" w:hanging="720"/>
        <w:jc w:val="both"/>
        <w:rPr>
          <w:sz w:val="25"/>
        </w:rPr>
      </w:pPr>
      <w:r>
        <w:rPr>
          <w:sz w:val="25"/>
        </w:rPr>
        <w:t>The Hindus have been in exclusive and unimpeded possession of the outer courtyard where they have continued</w:t>
      </w:r>
      <w:r>
        <w:rPr>
          <w:spacing w:val="-8"/>
          <w:sz w:val="25"/>
        </w:rPr>
        <w:t> </w:t>
      </w:r>
      <w:r>
        <w:rPr>
          <w:sz w:val="25"/>
        </w:rPr>
        <w:t>worship;</w:t>
      </w:r>
    </w:p>
    <w:p>
      <w:pPr>
        <w:pStyle w:val="ListParagraph"/>
        <w:numPr>
          <w:ilvl w:val="1"/>
          <w:numId w:val="243"/>
        </w:numPr>
        <w:tabs>
          <w:tab w:pos="1941" w:val="left" w:leader="none"/>
        </w:tabs>
        <w:spacing w:line="480" w:lineRule="auto" w:before="0" w:after="0"/>
        <w:ind w:left="1940" w:right="445" w:hanging="720"/>
        <w:jc w:val="both"/>
        <w:rPr>
          <w:sz w:val="25"/>
        </w:rPr>
      </w:pPr>
      <w:r>
        <w:rPr>
          <w:sz w:val="25"/>
        </w:rPr>
        <w:t>The inner courtyard has been a contested site with conflicting claims of the Hindus and</w:t>
      </w:r>
      <w:r>
        <w:rPr>
          <w:spacing w:val="-3"/>
          <w:sz w:val="25"/>
        </w:rPr>
        <w:t> </w:t>
      </w:r>
      <w:r>
        <w:rPr>
          <w:sz w:val="25"/>
        </w:rPr>
        <w:t>Muslims;</w:t>
      </w:r>
    </w:p>
    <w:p>
      <w:pPr>
        <w:pStyle w:val="ListParagraph"/>
        <w:numPr>
          <w:ilvl w:val="1"/>
          <w:numId w:val="243"/>
        </w:numPr>
        <w:tabs>
          <w:tab w:pos="1941" w:val="left" w:leader="none"/>
        </w:tabs>
        <w:spacing w:line="480" w:lineRule="auto" w:before="0" w:after="0"/>
        <w:ind w:left="1940" w:right="442" w:hanging="720"/>
        <w:jc w:val="both"/>
        <w:rPr>
          <w:sz w:val="25"/>
        </w:rPr>
      </w:pPr>
      <w:r>
        <w:rPr>
          <w:sz w:val="25"/>
        </w:rPr>
        <w:t>The existence of the structure of the mosque until 6 December 1992 does not admit any contestation. The submission that the mosque did not accord with Islamic tenets stands rejected. The evidence indicates that there was no abandonment of the mosque by Muslims. Namaz was observed on Fridays towards December 1949, the last namaz being on 16 December</w:t>
      </w:r>
      <w:r>
        <w:rPr>
          <w:spacing w:val="-5"/>
          <w:sz w:val="25"/>
        </w:rPr>
        <w:t> </w:t>
      </w:r>
      <w:r>
        <w:rPr>
          <w:sz w:val="25"/>
        </w:rPr>
        <w:t>1949;</w:t>
      </w:r>
    </w:p>
    <w:p>
      <w:pPr>
        <w:pStyle w:val="ListParagraph"/>
        <w:numPr>
          <w:ilvl w:val="1"/>
          <w:numId w:val="243"/>
        </w:numPr>
        <w:tabs>
          <w:tab w:pos="1941" w:val="left" w:leader="none"/>
        </w:tabs>
        <w:spacing w:line="480" w:lineRule="auto" w:before="2" w:after="0"/>
        <w:ind w:left="1940" w:right="439" w:hanging="720"/>
        <w:jc w:val="both"/>
        <w:rPr>
          <w:sz w:val="25"/>
        </w:rPr>
      </w:pPr>
      <w:r>
        <w:rPr>
          <w:sz w:val="25"/>
        </w:rPr>
        <w:t>The damage to the mosque in 1934, its desecration in 1949 leading to the ouster of the Muslims and the eventual destruction on</w:t>
      </w:r>
      <w:r>
        <w:rPr>
          <w:spacing w:val="36"/>
          <w:sz w:val="25"/>
        </w:rPr>
        <w:t> </w:t>
      </w:r>
      <w:r>
        <w:rPr>
          <w:sz w:val="25"/>
        </w:rPr>
        <w:t>6</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1940" w:right="444"/>
        <w:jc w:val="both"/>
      </w:pPr>
      <w:r>
        <w:rPr/>
        <w:t>December 1992 constituted a serious violation of the rule of </w:t>
      </w:r>
      <w:r>
        <w:rPr>
          <w:spacing w:val="-3"/>
        </w:rPr>
        <w:t>law;</w:t>
      </w:r>
      <w:r>
        <w:rPr>
          <w:spacing w:val="63"/>
        </w:rPr>
        <w:t> </w:t>
      </w:r>
      <w:r>
        <w:rPr/>
        <w:t>and</w:t>
      </w:r>
    </w:p>
    <w:p>
      <w:pPr>
        <w:pStyle w:val="ListParagraph"/>
        <w:numPr>
          <w:ilvl w:val="1"/>
          <w:numId w:val="243"/>
        </w:numPr>
        <w:tabs>
          <w:tab w:pos="1941" w:val="left" w:leader="none"/>
        </w:tabs>
        <w:spacing w:line="480" w:lineRule="auto" w:before="0" w:after="0"/>
        <w:ind w:left="1940" w:right="441" w:hanging="720"/>
        <w:jc w:val="both"/>
        <w:rPr>
          <w:sz w:val="25"/>
        </w:rPr>
      </w:pPr>
      <w:r>
        <w:rPr>
          <w:sz w:val="25"/>
        </w:rPr>
        <w:t>Consistent with the principles of justice, equity and good conscience, both Suits 4 and 5 will have to be decreed and the relief moulded in a manner which preserves the constitutional values of justice, fraternity, human dignity and the equality of religious</w:t>
      </w:r>
      <w:r>
        <w:rPr>
          <w:spacing w:val="-17"/>
          <w:sz w:val="25"/>
        </w:rPr>
        <w:t> </w:t>
      </w:r>
      <w:r>
        <w:rPr>
          <w:sz w:val="25"/>
        </w:rPr>
        <w:t>belief.</w:t>
      </w:r>
    </w:p>
    <w:p>
      <w:pPr>
        <w:pStyle w:val="BodyText"/>
      </w:pPr>
    </w:p>
    <w:p>
      <w:pPr>
        <w:pStyle w:val="BodyText"/>
        <w:spacing w:line="480" w:lineRule="auto"/>
        <w:ind w:left="500" w:right="438" w:firstLine="69"/>
        <w:jc w:val="both"/>
      </w:pPr>
      <w:r>
        <w:rPr/>
        <w:t>XVIII The Hindus have established a clear case of a possessory title to the outside courtyard by virtue of long, continued and unimpeded worship at the Ramchabutra and other objects of religious signficance. The Hindus and the Muslims have contested claims to the offering worship within the three domed structure in the inner courtyard. The assertion by the Hindus of their entitlement to offer worship inside has been contested by the</w:t>
      </w:r>
      <w:r>
        <w:rPr>
          <w:spacing w:val="-9"/>
        </w:rPr>
        <w:t> </w:t>
      </w:r>
      <w:r>
        <w:rPr/>
        <w:t>Muslims.</w:t>
      </w:r>
    </w:p>
    <w:p>
      <w:pPr>
        <w:pStyle w:val="BodyText"/>
        <w:rPr>
          <w:sz w:val="28"/>
        </w:rPr>
      </w:pPr>
    </w:p>
    <w:p>
      <w:pPr>
        <w:pStyle w:val="BodyText"/>
        <w:spacing w:before="3"/>
        <w:rPr>
          <w:sz w:val="22"/>
        </w:rPr>
      </w:pPr>
    </w:p>
    <w:p>
      <w:pPr>
        <w:pStyle w:val="Heading4"/>
        <w:rPr>
          <w:i/>
        </w:rPr>
      </w:pPr>
      <w:r>
        <w:rPr>
          <w:i/>
        </w:rPr>
        <w:t>Legality of the decree for partition by the High Court</w:t>
      </w:r>
    </w:p>
    <w:p>
      <w:pPr>
        <w:pStyle w:val="BodyText"/>
        <w:rPr>
          <w:i/>
          <w:sz w:val="28"/>
        </w:rPr>
      </w:pPr>
    </w:p>
    <w:p>
      <w:pPr>
        <w:pStyle w:val="BodyText"/>
        <w:spacing w:before="9"/>
        <w:rPr>
          <w:i/>
          <w:sz w:val="22"/>
        </w:rPr>
      </w:pPr>
    </w:p>
    <w:p>
      <w:pPr>
        <w:pStyle w:val="ListParagraph"/>
        <w:numPr>
          <w:ilvl w:val="0"/>
          <w:numId w:val="241"/>
        </w:numPr>
        <w:tabs>
          <w:tab w:pos="1221" w:val="left" w:leader="none"/>
        </w:tabs>
        <w:spacing w:line="480" w:lineRule="auto" w:before="0" w:after="0"/>
        <w:ind w:left="500" w:right="441" w:firstLine="0"/>
        <w:jc w:val="both"/>
        <w:rPr>
          <w:sz w:val="25"/>
        </w:rPr>
      </w:pPr>
      <w:r>
        <w:rPr>
          <w:sz w:val="25"/>
        </w:rPr>
        <w:t>The High Court on a finding that Hindus and Muslims were in joint possession directed a three-way bifurcation of the disputed site, one third each being assigned to the Muslims, Hindus and Nirmohi Akhara. Justice S U Khan held that title follows possession and based on the provisions of Section 110 of the Evidence Act came to the conclusion that the disputed site should be equally distributed between the three parties. Justice Sudhir Agarwal held that the area under the central dome of the disputed structure </w:t>
      </w:r>
      <w:r>
        <w:rPr>
          <w:spacing w:val="3"/>
          <w:sz w:val="25"/>
        </w:rPr>
        <w:t>is </w:t>
      </w:r>
      <w:r>
        <w:rPr>
          <w:sz w:val="25"/>
        </w:rPr>
        <w:t>believed to be and worshipped by the Hindus as the place of birth of Lord Ram. This part of the land, he held, constitutes the deity called ‗Sri Ramjanmsthan‘ which has</w:t>
      </w:r>
      <w:r>
        <w:rPr>
          <w:spacing w:val="4"/>
          <w:sz w:val="25"/>
        </w:rPr>
        <w:t> </w:t>
      </w:r>
      <w:r>
        <w:rPr>
          <w:sz w:val="25"/>
        </w:rPr>
        <w:t>specific</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6"/>
        <w:jc w:val="both"/>
      </w:pPr>
      <w:r>
        <w:rPr/>
        <w:t>significance to the Hindus. Insofar as the other land within the inner courtyard is concerned, Justice Agarwal held that it has been continuously used by members of both communities for prayer and worship, noticing that the prayer for relief in </w:t>
      </w:r>
      <w:r>
        <w:rPr>
          <w:spacing w:val="-1"/>
          <w:w w:val="99"/>
        </w:rPr>
        <w:t>Sui</w:t>
      </w:r>
      <w:r>
        <w:rPr>
          <w:w w:val="99"/>
        </w:rPr>
        <w:t>t</w:t>
      </w:r>
      <w:r>
        <w:rPr>
          <w:spacing w:val="5"/>
        </w:rPr>
        <w:t> </w:t>
      </w:r>
      <w:r>
        <w:rPr>
          <w:w w:val="99"/>
        </w:rPr>
        <w:t>5</w:t>
      </w:r>
      <w:r>
        <w:rPr>
          <w:spacing w:val="5"/>
        </w:rPr>
        <w:t> </w:t>
      </w:r>
      <w:r>
        <w:rPr>
          <w:spacing w:val="-1"/>
          <w:w w:val="99"/>
        </w:rPr>
        <w:t>h</w:t>
      </w:r>
      <w:r>
        <w:rPr>
          <w:w w:val="99"/>
        </w:rPr>
        <w:t>ad</w:t>
      </w:r>
      <w:r>
        <w:rPr>
          <w:spacing w:val="7"/>
        </w:rPr>
        <w:t> </w:t>
      </w:r>
      <w:r>
        <w:rPr>
          <w:spacing w:val="-1"/>
          <w:w w:val="99"/>
        </w:rPr>
        <w:t>b</w:t>
      </w:r>
      <w:r>
        <w:rPr>
          <w:w w:val="99"/>
        </w:rPr>
        <w:t>e</w:t>
      </w:r>
      <w:r>
        <w:rPr>
          <w:spacing w:val="-1"/>
          <w:w w:val="99"/>
        </w:rPr>
        <w:t>e</w:t>
      </w:r>
      <w:r>
        <w:rPr>
          <w:w w:val="99"/>
        </w:rPr>
        <w:t>n</w:t>
      </w:r>
      <w:r>
        <w:rPr>
          <w:spacing w:val="5"/>
        </w:rPr>
        <w:t> </w:t>
      </w:r>
      <w:r>
        <w:rPr>
          <w:w w:val="33"/>
        </w:rPr>
        <w:t>―</w:t>
      </w:r>
      <w:r>
        <w:rPr>
          <w:spacing w:val="-1"/>
          <w:w w:val="99"/>
        </w:rPr>
        <w:t>wo</w:t>
      </w:r>
      <w:r>
        <w:rPr>
          <w:w w:val="99"/>
        </w:rPr>
        <w:t>r</w:t>
      </w:r>
      <w:r>
        <w:rPr>
          <w:spacing w:val="-1"/>
          <w:w w:val="99"/>
        </w:rPr>
        <w:t>d</w:t>
      </w:r>
      <w:r>
        <w:rPr>
          <w:w w:val="99"/>
        </w:rPr>
        <w:t>ed</w:t>
      </w:r>
      <w:r>
        <w:rPr>
          <w:spacing w:val="5"/>
        </w:rPr>
        <w:t> </w:t>
      </w:r>
      <w:r>
        <w:rPr>
          <w:spacing w:val="-1"/>
          <w:w w:val="99"/>
        </w:rPr>
        <w:t>i</w:t>
      </w:r>
      <w:r>
        <w:rPr>
          <w:w w:val="99"/>
        </w:rPr>
        <w:t>n</w:t>
      </w:r>
      <w:r>
        <w:rPr>
          <w:spacing w:val="4"/>
        </w:rPr>
        <w:t> </w:t>
      </w:r>
      <w:r>
        <w:rPr>
          <w:w w:val="99"/>
        </w:rPr>
        <w:t>a</w:t>
      </w:r>
      <w:r>
        <w:rPr>
          <w:spacing w:val="5"/>
        </w:rPr>
        <w:t> </w:t>
      </w:r>
      <w:r>
        <w:rPr>
          <w:w w:val="99"/>
        </w:rPr>
        <w:t>m</w:t>
      </w:r>
      <w:r>
        <w:rPr>
          <w:spacing w:val="-1"/>
          <w:w w:val="99"/>
        </w:rPr>
        <w:t>a</w:t>
      </w:r>
      <w:r>
        <w:rPr>
          <w:w w:val="99"/>
        </w:rPr>
        <w:t>n</w:t>
      </w:r>
      <w:r>
        <w:rPr>
          <w:spacing w:val="-1"/>
          <w:w w:val="99"/>
        </w:rPr>
        <w:t>n</w:t>
      </w:r>
      <w:r>
        <w:rPr>
          <w:w w:val="99"/>
        </w:rPr>
        <w:t>er</w:t>
      </w:r>
      <w:r>
        <w:rPr>
          <w:spacing w:val="5"/>
        </w:rPr>
        <w:t> </w:t>
      </w:r>
      <w:r>
        <w:rPr>
          <w:w w:val="99"/>
        </w:rPr>
        <w:t>sh</w:t>
      </w:r>
      <w:r>
        <w:rPr>
          <w:spacing w:val="3"/>
          <w:w w:val="99"/>
        </w:rPr>
        <w:t>o</w:t>
      </w:r>
      <w:r>
        <w:rPr>
          <w:spacing w:val="-1"/>
          <w:w w:val="99"/>
        </w:rPr>
        <w:t>win</w:t>
      </w:r>
      <w:r>
        <w:rPr>
          <w:w w:val="99"/>
        </w:rPr>
        <w:t>g</w:t>
      </w:r>
      <w:r>
        <w:rPr>
          <w:spacing w:val="5"/>
        </w:rPr>
        <w:t> </w:t>
      </w:r>
      <w:r>
        <w:rPr>
          <w:w w:val="99"/>
        </w:rPr>
        <w:t>that</w:t>
      </w:r>
      <w:r>
        <w:rPr>
          <w:spacing w:val="5"/>
        </w:rPr>
        <w:t> </w:t>
      </w:r>
      <w:r>
        <w:rPr>
          <w:w w:val="99"/>
        </w:rPr>
        <w:t>the</w:t>
      </w:r>
      <w:r>
        <w:rPr>
          <w:spacing w:val="5"/>
        </w:rPr>
        <w:t> </w:t>
      </w:r>
      <w:r>
        <w:rPr>
          <w:w w:val="99"/>
        </w:rPr>
        <w:t>sa</w:t>
      </w:r>
      <w:r>
        <w:rPr>
          <w:spacing w:val="1"/>
          <w:w w:val="99"/>
        </w:rPr>
        <w:t>m</w:t>
      </w:r>
      <w:r>
        <w:rPr>
          <w:w w:val="99"/>
        </w:rPr>
        <w:t>e</w:t>
      </w:r>
      <w:r>
        <w:rPr>
          <w:spacing w:val="5"/>
        </w:rPr>
        <w:t> </w:t>
      </w:r>
      <w:r>
        <w:rPr>
          <w:spacing w:val="2"/>
          <w:w w:val="99"/>
        </w:rPr>
        <w:t>h</w:t>
      </w:r>
      <w:r>
        <w:rPr>
          <w:spacing w:val="-1"/>
          <w:w w:val="99"/>
        </w:rPr>
        <w:t>a</w:t>
      </w:r>
      <w:r>
        <w:rPr>
          <w:w w:val="99"/>
        </w:rPr>
        <w:t>s</w:t>
      </w:r>
      <w:r>
        <w:rPr>
          <w:spacing w:val="5"/>
        </w:rPr>
        <w:t> </w:t>
      </w:r>
      <w:r>
        <w:rPr>
          <w:spacing w:val="-1"/>
          <w:w w:val="99"/>
        </w:rPr>
        <w:t>n</w:t>
      </w:r>
      <w:r>
        <w:rPr>
          <w:w w:val="99"/>
        </w:rPr>
        <w:t>ot</w:t>
      </w:r>
      <w:r>
        <w:rPr>
          <w:spacing w:val="5"/>
        </w:rPr>
        <w:t> </w:t>
      </w:r>
      <w:r>
        <w:rPr>
          <w:spacing w:val="-1"/>
          <w:w w:val="99"/>
        </w:rPr>
        <w:t>b</w:t>
      </w:r>
      <w:r>
        <w:rPr>
          <w:w w:val="99"/>
        </w:rPr>
        <w:t>e</w:t>
      </w:r>
      <w:r>
        <w:rPr>
          <w:spacing w:val="-1"/>
          <w:w w:val="99"/>
        </w:rPr>
        <w:t>e</w:t>
      </w:r>
      <w:r>
        <w:rPr>
          <w:w w:val="99"/>
        </w:rPr>
        <w:t>n</w:t>
      </w:r>
      <w:r>
        <w:rPr>
          <w:spacing w:val="5"/>
        </w:rPr>
        <w:t> </w:t>
      </w:r>
      <w:r>
        <w:rPr>
          <w:spacing w:val="-1"/>
          <w:w w:val="99"/>
        </w:rPr>
        <w:t>ask</w:t>
      </w:r>
      <w:r>
        <w:rPr>
          <w:w w:val="99"/>
        </w:rPr>
        <w:t>ed </w:t>
      </w:r>
      <w:r>
        <w:rPr/>
        <w:t>from</w:t>
      </w:r>
      <w:r>
        <w:rPr>
          <w:spacing w:val="-4"/>
        </w:rPr>
        <w:t> </w:t>
      </w:r>
      <w:r>
        <w:rPr/>
        <w:t>the</w:t>
      </w:r>
      <w:r>
        <w:rPr>
          <w:spacing w:val="-4"/>
        </w:rPr>
        <w:t> </w:t>
      </w:r>
      <w:r>
        <w:rPr/>
        <w:t>Court</w:t>
      </w:r>
      <w:r>
        <w:rPr>
          <w:spacing w:val="-4"/>
        </w:rPr>
        <w:t> </w:t>
      </w:r>
      <w:r>
        <w:rPr/>
        <w:t>but</w:t>
      </w:r>
      <w:r>
        <w:rPr>
          <w:spacing w:val="-3"/>
        </w:rPr>
        <w:t> </w:t>
      </w:r>
      <w:r>
        <w:rPr/>
        <w:t>has</w:t>
      </w:r>
      <w:r>
        <w:rPr>
          <w:spacing w:val="-5"/>
        </w:rPr>
        <w:t> </w:t>
      </w:r>
      <w:r>
        <w:rPr/>
        <w:t>been</w:t>
      </w:r>
      <w:r>
        <w:rPr>
          <w:spacing w:val="-3"/>
        </w:rPr>
        <w:t> </w:t>
      </w:r>
      <w:r>
        <w:rPr/>
        <w:t>left</w:t>
      </w:r>
      <w:r>
        <w:rPr>
          <w:spacing w:val="-4"/>
        </w:rPr>
        <w:t> </w:t>
      </w:r>
      <w:r>
        <w:rPr/>
        <w:t>to</w:t>
      </w:r>
      <w:r>
        <w:rPr>
          <w:spacing w:val="-3"/>
        </w:rPr>
        <w:t> </w:t>
      </w:r>
      <w:r>
        <w:rPr/>
        <w:t>the</w:t>
      </w:r>
      <w:r>
        <w:rPr>
          <w:spacing w:val="-4"/>
        </w:rPr>
        <w:t> </w:t>
      </w:r>
      <w:r>
        <w:rPr/>
        <w:t>discretion</w:t>
      </w:r>
      <w:r>
        <w:rPr>
          <w:spacing w:val="-4"/>
        </w:rPr>
        <w:t> </w:t>
      </w:r>
      <w:r>
        <w:rPr/>
        <w:t>of</w:t>
      </w:r>
      <w:r>
        <w:rPr>
          <w:spacing w:val="-3"/>
        </w:rPr>
        <w:t> </w:t>
      </w:r>
      <w:r>
        <w:rPr/>
        <w:t>the</w:t>
      </w:r>
      <w:r>
        <w:rPr>
          <w:spacing w:val="-5"/>
        </w:rPr>
        <w:t> </w:t>
      </w:r>
      <w:r>
        <w:rPr/>
        <w:t>Court</w:t>
      </w:r>
      <w:r>
        <w:rPr>
          <w:spacing w:val="-3"/>
        </w:rPr>
        <w:t> </w:t>
      </w:r>
      <w:r>
        <w:rPr/>
        <w:t>if</w:t>
      </w:r>
      <w:r>
        <w:rPr>
          <w:spacing w:val="-4"/>
        </w:rPr>
        <w:t> </w:t>
      </w:r>
      <w:r>
        <w:rPr/>
        <w:t>it</w:t>
      </w:r>
      <w:r>
        <w:rPr>
          <w:spacing w:val="-4"/>
        </w:rPr>
        <w:t> </w:t>
      </w:r>
      <w:r>
        <w:rPr/>
        <w:t>finds</w:t>
      </w:r>
      <w:r>
        <w:rPr>
          <w:spacing w:val="-4"/>
        </w:rPr>
        <w:t> </w:t>
      </w:r>
      <w:r>
        <w:rPr/>
        <w:t>expedient‖. Justice Agarwal held that in order to do complete justice and to avoid a multiplicity of litigation, it was open to the court to mould the relief under Order VII Rule 7 of the CPC. Justice Agarwal therefore also joined in directing a three-way bifurcation in terms of a preliminary decree. Justice D V Sharma, decreed Suit 5 in its</w:t>
      </w:r>
      <w:r>
        <w:rPr>
          <w:spacing w:val="-3"/>
        </w:rPr>
        <w:t> </w:t>
      </w:r>
      <w:r>
        <w:rPr/>
        <w:t>entirety.</w:t>
      </w:r>
    </w:p>
    <w:p>
      <w:pPr>
        <w:pStyle w:val="BodyText"/>
        <w:spacing w:before="10"/>
        <w:rPr>
          <w:sz w:val="38"/>
        </w:rPr>
      </w:pPr>
    </w:p>
    <w:p>
      <w:pPr>
        <w:pStyle w:val="ListParagraph"/>
        <w:numPr>
          <w:ilvl w:val="0"/>
          <w:numId w:val="241"/>
        </w:numPr>
        <w:tabs>
          <w:tab w:pos="1221" w:val="left" w:leader="none"/>
        </w:tabs>
        <w:spacing w:line="480" w:lineRule="auto" w:before="0" w:after="0"/>
        <w:ind w:left="500" w:right="440" w:firstLine="0"/>
        <w:jc w:val="both"/>
        <w:rPr>
          <w:sz w:val="25"/>
        </w:rPr>
      </w:pPr>
      <w:r>
        <w:rPr>
          <w:sz w:val="25"/>
        </w:rPr>
        <w:t>Mr K Parasaran, learned Senior Counsel, appearing for the plaintiffs in Suit </w:t>
      </w:r>
      <w:r>
        <w:rPr>
          <w:w w:val="99"/>
          <w:sz w:val="25"/>
        </w:rPr>
        <w:t>5,</w:t>
      </w:r>
      <w:r>
        <w:rPr>
          <w:spacing w:val="14"/>
          <w:sz w:val="25"/>
        </w:rPr>
        <w:t> </w:t>
      </w:r>
      <w:r>
        <w:rPr>
          <w:w w:val="99"/>
          <w:sz w:val="25"/>
        </w:rPr>
        <w:t>a</w:t>
      </w:r>
      <w:r>
        <w:rPr>
          <w:spacing w:val="1"/>
          <w:w w:val="99"/>
          <w:sz w:val="25"/>
        </w:rPr>
        <w:t>r</w:t>
      </w:r>
      <w:r>
        <w:rPr>
          <w:w w:val="99"/>
          <w:sz w:val="25"/>
        </w:rPr>
        <w:t>gued</w:t>
      </w:r>
      <w:r>
        <w:rPr>
          <w:spacing w:val="14"/>
          <w:sz w:val="25"/>
        </w:rPr>
        <w:t> </w:t>
      </w:r>
      <w:r>
        <w:rPr>
          <w:w w:val="99"/>
          <w:sz w:val="25"/>
        </w:rPr>
        <w:t>th</w:t>
      </w:r>
      <w:r>
        <w:rPr>
          <w:spacing w:val="2"/>
          <w:w w:val="99"/>
          <w:sz w:val="25"/>
        </w:rPr>
        <w:t>a</w:t>
      </w:r>
      <w:r>
        <w:rPr>
          <w:w w:val="99"/>
          <w:sz w:val="25"/>
        </w:rPr>
        <w:t>t</w:t>
      </w:r>
      <w:r>
        <w:rPr>
          <w:spacing w:val="14"/>
          <w:sz w:val="25"/>
        </w:rPr>
        <w:t> </w:t>
      </w:r>
      <w:r>
        <w:rPr>
          <w:spacing w:val="-1"/>
          <w:w w:val="99"/>
          <w:sz w:val="25"/>
        </w:rPr>
        <w:t>i</w:t>
      </w:r>
      <w:r>
        <w:rPr>
          <w:w w:val="99"/>
          <w:sz w:val="25"/>
        </w:rPr>
        <w:t>n</w:t>
      </w:r>
      <w:r>
        <w:rPr>
          <w:spacing w:val="14"/>
          <w:sz w:val="25"/>
        </w:rPr>
        <w:t> </w:t>
      </w:r>
      <w:r>
        <w:rPr>
          <w:spacing w:val="-1"/>
          <w:w w:val="99"/>
          <w:sz w:val="25"/>
        </w:rPr>
        <w:t>at</w:t>
      </w:r>
      <w:r>
        <w:rPr>
          <w:w w:val="99"/>
          <w:sz w:val="25"/>
        </w:rPr>
        <w:t>t</w:t>
      </w:r>
      <w:r>
        <w:rPr>
          <w:spacing w:val="-3"/>
          <w:w w:val="99"/>
          <w:sz w:val="25"/>
        </w:rPr>
        <w:t>e</w:t>
      </w:r>
      <w:r>
        <w:rPr>
          <w:w w:val="99"/>
          <w:sz w:val="25"/>
        </w:rPr>
        <w:t>m</w:t>
      </w:r>
      <w:r>
        <w:rPr>
          <w:spacing w:val="-1"/>
          <w:w w:val="99"/>
          <w:sz w:val="25"/>
        </w:rPr>
        <w:t>pti</w:t>
      </w:r>
      <w:r>
        <w:rPr>
          <w:w w:val="99"/>
          <w:sz w:val="25"/>
        </w:rPr>
        <w:t>ng</w:t>
      </w:r>
      <w:r>
        <w:rPr>
          <w:spacing w:val="14"/>
          <w:sz w:val="25"/>
        </w:rPr>
        <w:t> </w:t>
      </w:r>
      <w:r>
        <w:rPr>
          <w:w w:val="99"/>
          <w:sz w:val="25"/>
        </w:rPr>
        <w:t>to</w:t>
      </w:r>
      <w:r>
        <w:rPr>
          <w:spacing w:val="15"/>
          <w:sz w:val="25"/>
        </w:rPr>
        <w:t> </w:t>
      </w:r>
      <w:r>
        <w:rPr>
          <w:w w:val="99"/>
          <w:sz w:val="25"/>
        </w:rPr>
        <w:t>m</w:t>
      </w:r>
      <w:r>
        <w:rPr>
          <w:spacing w:val="-1"/>
          <w:w w:val="99"/>
          <w:sz w:val="25"/>
        </w:rPr>
        <w:t>o</w:t>
      </w:r>
      <w:r>
        <w:rPr>
          <w:w w:val="99"/>
          <w:sz w:val="25"/>
        </w:rPr>
        <w:t>u</w:t>
      </w:r>
      <w:r>
        <w:rPr>
          <w:spacing w:val="-1"/>
          <w:w w:val="99"/>
          <w:sz w:val="25"/>
        </w:rPr>
        <w:t>l</w:t>
      </w:r>
      <w:r>
        <w:rPr>
          <w:w w:val="99"/>
          <w:sz w:val="25"/>
        </w:rPr>
        <w:t>d</w:t>
      </w:r>
      <w:r>
        <w:rPr>
          <w:spacing w:val="14"/>
          <w:sz w:val="25"/>
        </w:rPr>
        <w:t> </w:t>
      </w:r>
      <w:r>
        <w:rPr>
          <w:w w:val="99"/>
          <w:sz w:val="25"/>
        </w:rPr>
        <w:t>the</w:t>
      </w:r>
      <w:r>
        <w:rPr>
          <w:spacing w:val="15"/>
          <w:sz w:val="25"/>
        </w:rPr>
        <w:t> </w:t>
      </w:r>
      <w:r>
        <w:rPr>
          <w:spacing w:val="-2"/>
          <w:w w:val="99"/>
          <w:sz w:val="25"/>
        </w:rPr>
        <w:t>r</w:t>
      </w:r>
      <w:r>
        <w:rPr>
          <w:spacing w:val="-1"/>
          <w:w w:val="99"/>
          <w:sz w:val="25"/>
        </w:rPr>
        <w:t>elie</w:t>
      </w:r>
      <w:r>
        <w:rPr>
          <w:w w:val="99"/>
          <w:sz w:val="25"/>
        </w:rPr>
        <w:t>f</w:t>
      </w:r>
      <w:r>
        <w:rPr>
          <w:spacing w:val="14"/>
          <w:sz w:val="25"/>
        </w:rPr>
        <w:t> </w:t>
      </w:r>
      <w:r>
        <w:rPr>
          <w:w w:val="33"/>
          <w:sz w:val="25"/>
        </w:rPr>
        <w:t>―</w:t>
      </w:r>
      <w:r>
        <w:rPr>
          <w:w w:val="99"/>
          <w:sz w:val="25"/>
        </w:rPr>
        <w:t>to</w:t>
      </w:r>
      <w:r>
        <w:rPr>
          <w:spacing w:val="15"/>
          <w:sz w:val="25"/>
        </w:rPr>
        <w:t> </w:t>
      </w:r>
      <w:r>
        <w:rPr>
          <w:spacing w:val="-1"/>
          <w:w w:val="99"/>
          <w:sz w:val="25"/>
        </w:rPr>
        <w:t>d</w:t>
      </w:r>
      <w:r>
        <w:rPr>
          <w:w w:val="99"/>
          <w:sz w:val="25"/>
        </w:rPr>
        <w:t>o</w:t>
      </w:r>
      <w:r>
        <w:rPr>
          <w:spacing w:val="14"/>
          <w:sz w:val="25"/>
        </w:rPr>
        <w:t> </w:t>
      </w:r>
      <w:r>
        <w:rPr>
          <w:w w:val="99"/>
          <w:sz w:val="25"/>
        </w:rPr>
        <w:t>co</w:t>
      </w:r>
      <w:r>
        <w:rPr>
          <w:spacing w:val="1"/>
          <w:w w:val="99"/>
          <w:sz w:val="25"/>
        </w:rPr>
        <w:t>m</w:t>
      </w:r>
      <w:r>
        <w:rPr>
          <w:spacing w:val="-1"/>
          <w:w w:val="99"/>
          <w:sz w:val="25"/>
        </w:rPr>
        <w:t>ple</w:t>
      </w:r>
      <w:r>
        <w:rPr>
          <w:w w:val="99"/>
          <w:sz w:val="25"/>
        </w:rPr>
        <w:t>te</w:t>
      </w:r>
      <w:r>
        <w:rPr>
          <w:spacing w:val="14"/>
          <w:sz w:val="25"/>
        </w:rPr>
        <w:t> </w:t>
      </w:r>
      <w:r>
        <w:rPr>
          <w:spacing w:val="-3"/>
          <w:w w:val="99"/>
          <w:sz w:val="25"/>
        </w:rPr>
        <w:t>j</w:t>
      </w:r>
      <w:r>
        <w:rPr>
          <w:spacing w:val="-1"/>
          <w:w w:val="99"/>
          <w:sz w:val="25"/>
        </w:rPr>
        <w:t>ustic</w:t>
      </w:r>
      <w:r>
        <w:rPr>
          <w:w w:val="99"/>
          <w:sz w:val="25"/>
        </w:rPr>
        <w:t>e</w:t>
      </w:r>
      <w:r>
        <w:rPr>
          <w:w w:val="80"/>
          <w:sz w:val="25"/>
        </w:rPr>
        <w:t>‖</w:t>
      </w:r>
      <w:r>
        <w:rPr>
          <w:w w:val="99"/>
          <w:sz w:val="25"/>
        </w:rPr>
        <w:t>,</w:t>
      </w:r>
      <w:r>
        <w:rPr>
          <w:spacing w:val="14"/>
          <w:sz w:val="25"/>
        </w:rPr>
        <w:t> </w:t>
      </w:r>
      <w:r>
        <w:rPr>
          <w:w w:val="99"/>
          <w:sz w:val="25"/>
        </w:rPr>
        <w:t>the</w:t>
      </w:r>
      <w:r>
        <w:rPr>
          <w:spacing w:val="15"/>
          <w:sz w:val="25"/>
        </w:rPr>
        <w:t> </w:t>
      </w:r>
      <w:r>
        <w:rPr>
          <w:spacing w:val="-1"/>
          <w:w w:val="99"/>
          <w:sz w:val="25"/>
        </w:rPr>
        <w:t>High </w:t>
      </w:r>
      <w:r>
        <w:rPr>
          <w:sz w:val="25"/>
        </w:rPr>
        <w:t>Court assumed a jurisdiction which did not vest in it; such a power, it was urged, lies in the exclusive jurisdiction of this Court under Article 142 of the</w:t>
      </w:r>
      <w:r>
        <w:rPr>
          <w:spacing w:val="-18"/>
          <w:sz w:val="25"/>
        </w:rPr>
        <w:t> </w:t>
      </w:r>
      <w:r>
        <w:rPr>
          <w:sz w:val="25"/>
        </w:rPr>
        <w:t>Constitution.</w:t>
      </w:r>
    </w:p>
    <w:p>
      <w:pPr>
        <w:pStyle w:val="BodyText"/>
        <w:rPr>
          <w:sz w:val="39"/>
        </w:rPr>
      </w:pPr>
    </w:p>
    <w:p>
      <w:pPr>
        <w:pStyle w:val="ListParagraph"/>
        <w:numPr>
          <w:ilvl w:val="0"/>
          <w:numId w:val="241"/>
        </w:numPr>
        <w:tabs>
          <w:tab w:pos="1221" w:val="left" w:leader="none"/>
        </w:tabs>
        <w:spacing w:line="480" w:lineRule="auto" w:before="1" w:after="0"/>
        <w:ind w:left="500" w:right="440" w:firstLine="0"/>
        <w:jc w:val="both"/>
        <w:rPr>
          <w:sz w:val="25"/>
        </w:rPr>
      </w:pPr>
      <w:r>
        <w:rPr>
          <w:sz w:val="25"/>
        </w:rPr>
        <w:t>In assessing the correctness of the decree of the High Court, it must be noted at the outset that the High Court was not seized of a suit for partition. In a suit for partition, it is trite law that every party is both a plaintiff and defendant. The High Court was hearing: (i) a suit by a worshipper seeking the enforcement of the right to pray (Suit 1); (ii) a suit by Nirmohi Akhara asserting shebaiti rights to the management and charge of the temple (Suit 3); (iii) a declaratory suit on title by the Sunni Central Waqf Board and Muslims (Suit 4); and (iv) a suit for a declaration on behalf of the Hindu deities in which an injunction has also been sought</w:t>
      </w:r>
      <w:r>
        <w:rPr>
          <w:spacing w:val="12"/>
          <w:sz w:val="25"/>
        </w:rPr>
        <w:t> </w:t>
      </w:r>
      <w:r>
        <w:rPr>
          <w:sz w:val="25"/>
        </w:rPr>
        <w:t>restraining</w:t>
      </w:r>
      <w:r>
        <w:rPr>
          <w:spacing w:val="13"/>
          <w:sz w:val="25"/>
        </w:rPr>
        <w:t> </w:t>
      </w:r>
      <w:r>
        <w:rPr>
          <w:sz w:val="25"/>
        </w:rPr>
        <w:t>any</w:t>
      </w:r>
      <w:r>
        <w:rPr>
          <w:spacing w:val="10"/>
          <w:sz w:val="25"/>
        </w:rPr>
        <w:t> </w:t>
      </w:r>
      <w:r>
        <w:rPr>
          <w:sz w:val="25"/>
        </w:rPr>
        <w:t>obstruction</w:t>
      </w:r>
      <w:r>
        <w:rPr>
          <w:spacing w:val="12"/>
          <w:sz w:val="25"/>
        </w:rPr>
        <w:t> </w:t>
      </w:r>
      <w:r>
        <w:rPr>
          <w:sz w:val="25"/>
        </w:rPr>
        <w:t>with</w:t>
      </w:r>
      <w:r>
        <w:rPr>
          <w:spacing w:val="13"/>
          <w:sz w:val="25"/>
        </w:rPr>
        <w:t> </w:t>
      </w:r>
      <w:r>
        <w:rPr>
          <w:sz w:val="25"/>
        </w:rPr>
        <w:t>the</w:t>
      </w:r>
      <w:r>
        <w:rPr>
          <w:spacing w:val="16"/>
          <w:sz w:val="25"/>
        </w:rPr>
        <w:t> </w:t>
      </w:r>
      <w:r>
        <w:rPr>
          <w:sz w:val="25"/>
        </w:rPr>
        <w:t>construction</w:t>
      </w:r>
      <w:r>
        <w:rPr>
          <w:spacing w:val="12"/>
          <w:sz w:val="25"/>
        </w:rPr>
        <w:t> </w:t>
      </w:r>
      <w:r>
        <w:rPr>
          <w:sz w:val="25"/>
        </w:rPr>
        <w:t>of</w:t>
      </w:r>
      <w:r>
        <w:rPr>
          <w:spacing w:val="13"/>
          <w:sz w:val="25"/>
        </w:rPr>
        <w:t> </w:t>
      </w:r>
      <w:r>
        <w:rPr>
          <w:sz w:val="25"/>
        </w:rPr>
        <w:t>a</w:t>
      </w:r>
      <w:r>
        <w:rPr>
          <w:spacing w:val="13"/>
          <w:sz w:val="25"/>
        </w:rPr>
        <w:t> </w:t>
      </w:r>
      <w:r>
        <w:rPr>
          <w:sz w:val="25"/>
        </w:rPr>
        <w:t>temple</w:t>
      </w:r>
      <w:r>
        <w:rPr>
          <w:spacing w:val="13"/>
          <w:sz w:val="25"/>
        </w:rPr>
        <w:t> </w:t>
      </w:r>
      <w:r>
        <w:rPr>
          <w:sz w:val="25"/>
        </w:rPr>
        <w:t>(Suit</w:t>
      </w:r>
      <w:r>
        <w:rPr>
          <w:spacing w:val="12"/>
          <w:sz w:val="25"/>
        </w:rPr>
        <w:t> </w:t>
      </w:r>
      <w:r>
        <w:rPr>
          <w:sz w:val="25"/>
        </w:rPr>
        <w:t>5).</w:t>
      </w:r>
      <w:r>
        <w:rPr>
          <w:spacing w:val="13"/>
          <w:sz w:val="25"/>
        </w:rPr>
        <w:t> </w:t>
      </w:r>
      <w:r>
        <w:rPr>
          <w:sz w:val="25"/>
        </w:rPr>
        <w:t>The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2"/>
        <w:jc w:val="both"/>
      </w:pPr>
      <w:r>
        <w:rPr/>
        <w:t>High Court was called upon to decide the question of title particularly in the declaratory suits, Suits 4 and 5.</w:t>
      </w:r>
    </w:p>
    <w:p>
      <w:pPr>
        <w:pStyle w:val="BodyText"/>
        <w:spacing w:before="9"/>
        <w:rPr>
          <w:sz w:val="38"/>
        </w:rPr>
      </w:pPr>
    </w:p>
    <w:p>
      <w:pPr>
        <w:pStyle w:val="ListParagraph"/>
        <w:numPr>
          <w:ilvl w:val="0"/>
          <w:numId w:val="241"/>
        </w:numPr>
        <w:tabs>
          <w:tab w:pos="1221" w:val="left" w:leader="none"/>
        </w:tabs>
        <w:spacing w:line="480" w:lineRule="auto" w:before="0" w:after="0"/>
        <w:ind w:left="500" w:right="437" w:firstLine="0"/>
        <w:jc w:val="both"/>
        <w:rPr>
          <w:sz w:val="25"/>
        </w:rPr>
      </w:pPr>
      <w:r>
        <w:rPr>
          <w:sz w:val="25"/>
        </w:rPr>
        <w:t>In </w:t>
      </w:r>
      <w:r>
        <w:rPr>
          <w:b/>
          <w:sz w:val="25"/>
        </w:rPr>
        <w:t>Srinivas Ram Kumar </w:t>
      </w:r>
      <w:r>
        <w:rPr>
          <w:sz w:val="25"/>
        </w:rPr>
        <w:t>v </w:t>
      </w:r>
      <w:r>
        <w:rPr>
          <w:b/>
          <w:sz w:val="25"/>
        </w:rPr>
        <w:t>Mahabir Prasad</w:t>
      </w:r>
      <w:r>
        <w:rPr>
          <w:sz w:val="25"/>
          <w:vertAlign w:val="superscript"/>
        </w:rPr>
        <w:t>402</w:t>
      </w:r>
      <w:r>
        <w:rPr>
          <w:sz w:val="25"/>
          <w:vertAlign w:val="baseline"/>
        </w:rPr>
        <w:t>, a three judge Bench of this Court held that it is not open to the court to grant relief to the plaintiff on a case for which there is no basis in the pleadings. Justice B K Mukherjea</w:t>
      </w:r>
      <w:r>
        <w:rPr>
          <w:spacing w:val="-11"/>
          <w:sz w:val="25"/>
          <w:vertAlign w:val="baseline"/>
        </w:rPr>
        <w:t> </w:t>
      </w:r>
      <w:r>
        <w:rPr>
          <w:sz w:val="25"/>
          <w:vertAlign w:val="baseline"/>
        </w:rPr>
        <w:t>held:</w:t>
      </w:r>
    </w:p>
    <w:p>
      <w:pPr>
        <w:spacing w:line="276" w:lineRule="auto" w:before="161"/>
        <w:ind w:left="1940" w:right="2263" w:firstLine="0"/>
        <w:jc w:val="both"/>
        <w:rPr>
          <w:sz w:val="21"/>
        </w:rPr>
      </w:pPr>
      <w:r>
        <w:rPr>
          <w:w w:val="33"/>
          <w:sz w:val="21"/>
        </w:rPr>
        <w:t>―</w:t>
      </w:r>
      <w:r>
        <w:rPr>
          <w:w w:val="100"/>
          <w:sz w:val="21"/>
        </w:rPr>
        <w:t>9...The</w:t>
      </w:r>
      <w:r>
        <w:rPr>
          <w:sz w:val="21"/>
        </w:rPr>
        <w:t> </w:t>
      </w:r>
      <w:r>
        <w:rPr>
          <w:w w:val="100"/>
          <w:sz w:val="21"/>
        </w:rPr>
        <w:t>question,</w:t>
      </w:r>
      <w:r>
        <w:rPr>
          <w:sz w:val="21"/>
        </w:rPr>
        <w:t> </w:t>
      </w:r>
      <w:r>
        <w:rPr>
          <w:w w:val="100"/>
          <w:sz w:val="21"/>
        </w:rPr>
        <w:t>however,</w:t>
      </w:r>
      <w:r>
        <w:rPr>
          <w:sz w:val="21"/>
        </w:rPr>
        <w:t> </w:t>
      </w:r>
      <w:r>
        <w:rPr>
          <w:w w:val="100"/>
          <w:sz w:val="21"/>
        </w:rPr>
        <w:t>arises</w:t>
      </w:r>
      <w:r>
        <w:rPr>
          <w:sz w:val="21"/>
        </w:rPr>
        <w:t> </w:t>
      </w:r>
      <w:r>
        <w:rPr>
          <w:w w:val="100"/>
          <w:sz w:val="21"/>
        </w:rPr>
        <w:t>whether,</w:t>
      </w:r>
      <w:r>
        <w:rPr>
          <w:sz w:val="21"/>
        </w:rPr>
        <w:t> </w:t>
      </w:r>
      <w:r>
        <w:rPr>
          <w:w w:val="100"/>
          <w:sz w:val="21"/>
        </w:rPr>
        <w:t>in</w:t>
      </w:r>
      <w:r>
        <w:rPr>
          <w:sz w:val="21"/>
        </w:rPr>
        <w:t> </w:t>
      </w:r>
      <w:r>
        <w:rPr>
          <w:w w:val="100"/>
          <w:sz w:val="21"/>
        </w:rPr>
        <w:t>the</w:t>
      </w:r>
      <w:r>
        <w:rPr>
          <w:sz w:val="21"/>
        </w:rPr>
        <w:t> </w:t>
      </w:r>
      <w:r>
        <w:rPr>
          <w:w w:val="100"/>
          <w:sz w:val="21"/>
        </w:rPr>
        <w:t>absence</w:t>
      </w:r>
      <w:r>
        <w:rPr>
          <w:sz w:val="21"/>
        </w:rPr>
        <w:t> </w:t>
      </w:r>
      <w:r>
        <w:rPr>
          <w:w w:val="100"/>
          <w:sz w:val="21"/>
        </w:rPr>
        <w:t>of </w:t>
      </w:r>
      <w:r>
        <w:rPr>
          <w:sz w:val="21"/>
        </w:rPr>
        <w:t>any such alternative case in the plaint it is open to the court to give him relief on that basis. The rule undoubtedly is that the court cannot grant relief to the plaintiff on a case for which there was no foundation in the pleadings and which the other side was not called upon or had an opportunity to meet.‖</w:t>
      </w:r>
    </w:p>
    <w:p>
      <w:pPr>
        <w:pStyle w:val="BodyText"/>
        <w:rPr>
          <w:sz w:val="24"/>
        </w:rPr>
      </w:pPr>
    </w:p>
    <w:p>
      <w:pPr>
        <w:pStyle w:val="BodyText"/>
        <w:spacing w:before="10"/>
      </w:pPr>
    </w:p>
    <w:p>
      <w:pPr>
        <w:spacing w:line="480" w:lineRule="auto" w:before="0"/>
        <w:ind w:left="500" w:right="438" w:firstLine="0"/>
        <w:jc w:val="both"/>
        <w:rPr>
          <w:sz w:val="25"/>
        </w:rPr>
      </w:pPr>
      <w:r>
        <w:rPr>
          <w:sz w:val="25"/>
        </w:rPr>
        <w:t>This principle was reiterated in the judgment of the Constitution Bench in </w:t>
      </w:r>
      <w:r>
        <w:rPr>
          <w:b/>
          <w:sz w:val="25"/>
        </w:rPr>
        <w:t>Sri Venkataramana Devaru </w:t>
      </w:r>
      <w:r>
        <w:rPr>
          <w:sz w:val="25"/>
        </w:rPr>
        <w:t>v </w:t>
      </w:r>
      <w:r>
        <w:rPr>
          <w:b/>
          <w:sz w:val="25"/>
        </w:rPr>
        <w:t>State of Mysore</w:t>
      </w:r>
      <w:r>
        <w:rPr>
          <w:sz w:val="25"/>
          <w:vertAlign w:val="superscript"/>
        </w:rPr>
        <w:t>403</w:t>
      </w:r>
      <w:r>
        <w:rPr>
          <w:sz w:val="25"/>
          <w:vertAlign w:val="baseline"/>
        </w:rPr>
        <w:t>, Justice Venkatarama Aiyar, speaking for this Court held:</w:t>
      </w:r>
    </w:p>
    <w:p>
      <w:pPr>
        <w:spacing w:line="276" w:lineRule="auto" w:before="1"/>
        <w:ind w:left="1940" w:right="2261" w:firstLine="0"/>
        <w:jc w:val="both"/>
        <w:rPr>
          <w:sz w:val="21"/>
        </w:rPr>
      </w:pPr>
      <w:r>
        <w:rPr>
          <w:spacing w:val="-1"/>
          <w:w w:val="33"/>
          <w:sz w:val="21"/>
        </w:rPr>
        <w:t>―</w:t>
      </w:r>
      <w:r>
        <w:rPr>
          <w:w w:val="100"/>
          <w:sz w:val="21"/>
        </w:rPr>
        <w:t>The</w:t>
      </w:r>
      <w:r>
        <w:rPr>
          <w:spacing w:val="6"/>
          <w:sz w:val="21"/>
        </w:rPr>
        <w:t> </w:t>
      </w:r>
      <w:r>
        <w:rPr>
          <w:spacing w:val="-1"/>
          <w:w w:val="100"/>
          <w:sz w:val="21"/>
        </w:rPr>
        <w:t>o</w:t>
      </w:r>
      <w:r>
        <w:rPr>
          <w:spacing w:val="-3"/>
          <w:w w:val="100"/>
          <w:sz w:val="21"/>
        </w:rPr>
        <w:t>b</w:t>
      </w:r>
      <w:r>
        <w:rPr>
          <w:w w:val="100"/>
          <w:sz w:val="21"/>
        </w:rPr>
        <w:t>j</w:t>
      </w:r>
      <w:r>
        <w:rPr>
          <w:spacing w:val="-1"/>
          <w:w w:val="100"/>
          <w:sz w:val="21"/>
        </w:rPr>
        <w:t>ec</w:t>
      </w:r>
      <w:r>
        <w:rPr>
          <w:w w:val="100"/>
          <w:sz w:val="21"/>
        </w:rPr>
        <w:t>t</w:t>
      </w:r>
      <w:r>
        <w:rPr>
          <w:spacing w:val="7"/>
          <w:sz w:val="21"/>
        </w:rPr>
        <w:t> </w:t>
      </w:r>
      <w:r>
        <w:rPr>
          <w:spacing w:val="-3"/>
          <w:w w:val="100"/>
          <w:sz w:val="21"/>
        </w:rPr>
        <w:t>o</w:t>
      </w:r>
      <w:r>
        <w:rPr>
          <w:w w:val="100"/>
          <w:sz w:val="21"/>
        </w:rPr>
        <w:t>f</w:t>
      </w:r>
      <w:r>
        <w:rPr>
          <w:spacing w:val="9"/>
          <w:sz w:val="21"/>
        </w:rPr>
        <w:t> </w:t>
      </w:r>
      <w:r>
        <w:rPr>
          <w:spacing w:val="-4"/>
          <w:w w:val="100"/>
          <w:sz w:val="21"/>
        </w:rPr>
        <w:t>r</w:t>
      </w:r>
      <w:r>
        <w:rPr>
          <w:spacing w:val="-1"/>
          <w:w w:val="100"/>
          <w:sz w:val="21"/>
        </w:rPr>
        <w:t>eq</w:t>
      </w:r>
      <w:r>
        <w:rPr>
          <w:spacing w:val="-2"/>
          <w:w w:val="100"/>
          <w:sz w:val="21"/>
        </w:rPr>
        <w:t>u</w:t>
      </w:r>
      <w:r>
        <w:rPr>
          <w:w w:val="100"/>
          <w:sz w:val="21"/>
        </w:rPr>
        <w:t>i</w:t>
      </w:r>
      <w:r>
        <w:rPr>
          <w:spacing w:val="-1"/>
          <w:w w:val="100"/>
          <w:sz w:val="21"/>
        </w:rPr>
        <w:t>r</w:t>
      </w:r>
      <w:r>
        <w:rPr>
          <w:spacing w:val="-2"/>
          <w:w w:val="100"/>
          <w:sz w:val="21"/>
        </w:rPr>
        <w:t>i</w:t>
      </w:r>
      <w:r>
        <w:rPr>
          <w:spacing w:val="-1"/>
          <w:w w:val="100"/>
          <w:sz w:val="21"/>
        </w:rPr>
        <w:t>n</w:t>
      </w:r>
      <w:r>
        <w:rPr>
          <w:w w:val="100"/>
          <w:sz w:val="21"/>
        </w:rPr>
        <w:t>g</w:t>
      </w:r>
      <w:r>
        <w:rPr>
          <w:spacing w:val="8"/>
          <w:sz w:val="21"/>
        </w:rPr>
        <w:t> </w:t>
      </w:r>
      <w:r>
        <w:rPr>
          <w:w w:val="100"/>
          <w:sz w:val="21"/>
        </w:rPr>
        <w:t>a</w:t>
      </w:r>
      <w:r>
        <w:rPr>
          <w:spacing w:val="3"/>
          <w:sz w:val="21"/>
        </w:rPr>
        <w:t> </w:t>
      </w:r>
      <w:r>
        <w:rPr>
          <w:spacing w:val="-1"/>
          <w:w w:val="100"/>
          <w:sz w:val="21"/>
        </w:rPr>
        <w:t>par</w:t>
      </w:r>
      <w:r>
        <w:rPr>
          <w:spacing w:val="-2"/>
          <w:w w:val="100"/>
          <w:sz w:val="21"/>
        </w:rPr>
        <w:t>t</w:t>
      </w:r>
      <w:r>
        <w:rPr>
          <w:w w:val="100"/>
          <w:sz w:val="21"/>
        </w:rPr>
        <w:t>y</w:t>
      </w:r>
      <w:r>
        <w:rPr>
          <w:spacing w:val="6"/>
          <w:sz w:val="21"/>
        </w:rPr>
        <w:t> </w:t>
      </w:r>
      <w:r>
        <w:rPr>
          <w:spacing w:val="-2"/>
          <w:w w:val="100"/>
          <w:sz w:val="21"/>
        </w:rPr>
        <w:t>t</w:t>
      </w:r>
      <w:r>
        <w:rPr>
          <w:w w:val="100"/>
          <w:sz w:val="21"/>
        </w:rPr>
        <w:t>o</w:t>
      </w:r>
      <w:r>
        <w:rPr>
          <w:spacing w:val="8"/>
          <w:sz w:val="21"/>
        </w:rPr>
        <w:t> </w:t>
      </w:r>
      <w:r>
        <w:rPr>
          <w:spacing w:val="-1"/>
          <w:w w:val="100"/>
          <w:sz w:val="21"/>
        </w:rPr>
        <w:t>pu</w:t>
      </w:r>
      <w:r>
        <w:rPr>
          <w:w w:val="100"/>
          <w:sz w:val="21"/>
        </w:rPr>
        <w:t>t</w:t>
      </w:r>
      <w:r>
        <w:rPr>
          <w:spacing w:val="7"/>
          <w:sz w:val="21"/>
        </w:rPr>
        <w:t> </w:t>
      </w:r>
      <w:r>
        <w:rPr>
          <w:spacing w:val="-2"/>
          <w:w w:val="100"/>
          <w:sz w:val="21"/>
        </w:rPr>
        <w:t>f</w:t>
      </w:r>
      <w:r>
        <w:rPr>
          <w:spacing w:val="-1"/>
          <w:w w:val="100"/>
          <w:sz w:val="21"/>
        </w:rPr>
        <w:t>or</w:t>
      </w:r>
      <w:r>
        <w:rPr>
          <w:spacing w:val="-2"/>
          <w:w w:val="100"/>
          <w:sz w:val="21"/>
        </w:rPr>
        <w:t>w</w:t>
      </w:r>
      <w:r>
        <w:rPr>
          <w:spacing w:val="-1"/>
          <w:w w:val="100"/>
          <w:sz w:val="21"/>
        </w:rPr>
        <w:t>ar</w:t>
      </w:r>
      <w:r>
        <w:rPr>
          <w:w w:val="100"/>
          <w:sz w:val="21"/>
        </w:rPr>
        <w:t>d</w:t>
      </w:r>
      <w:r>
        <w:rPr>
          <w:spacing w:val="8"/>
          <w:sz w:val="21"/>
        </w:rPr>
        <w:t> </w:t>
      </w:r>
      <w:r>
        <w:rPr>
          <w:spacing w:val="-3"/>
          <w:w w:val="100"/>
          <w:sz w:val="21"/>
        </w:rPr>
        <w:t>h</w:t>
      </w:r>
      <w:r>
        <w:rPr>
          <w:w w:val="100"/>
          <w:sz w:val="21"/>
        </w:rPr>
        <w:t>is</w:t>
      </w:r>
      <w:r>
        <w:rPr>
          <w:spacing w:val="6"/>
          <w:sz w:val="21"/>
        </w:rPr>
        <w:t> </w:t>
      </w:r>
      <w:r>
        <w:rPr>
          <w:spacing w:val="-1"/>
          <w:w w:val="100"/>
          <w:sz w:val="21"/>
        </w:rPr>
        <w:t>p</w:t>
      </w:r>
      <w:r>
        <w:rPr>
          <w:spacing w:val="-2"/>
          <w:w w:val="100"/>
          <w:sz w:val="21"/>
        </w:rPr>
        <w:t>l</w:t>
      </w:r>
      <w:r>
        <w:rPr>
          <w:spacing w:val="-1"/>
          <w:w w:val="100"/>
          <w:sz w:val="21"/>
        </w:rPr>
        <w:t>ea</w:t>
      </w:r>
      <w:r>
        <w:rPr>
          <w:w w:val="100"/>
          <w:sz w:val="21"/>
        </w:rPr>
        <w:t>s</w:t>
      </w:r>
      <w:r>
        <w:rPr>
          <w:spacing w:val="6"/>
          <w:sz w:val="21"/>
        </w:rPr>
        <w:t> </w:t>
      </w:r>
      <w:r>
        <w:rPr>
          <w:w w:val="100"/>
          <w:sz w:val="21"/>
        </w:rPr>
        <w:t>in</w:t>
      </w:r>
      <w:r>
        <w:rPr>
          <w:spacing w:val="8"/>
          <w:sz w:val="21"/>
        </w:rPr>
        <w:t> </w:t>
      </w:r>
      <w:r>
        <w:rPr>
          <w:spacing w:val="-2"/>
          <w:w w:val="100"/>
          <w:sz w:val="21"/>
        </w:rPr>
        <w:t>t</w:t>
      </w:r>
      <w:r>
        <w:rPr>
          <w:spacing w:val="-3"/>
          <w:w w:val="100"/>
          <w:sz w:val="21"/>
        </w:rPr>
        <w:t>h</w:t>
      </w:r>
      <w:r>
        <w:rPr>
          <w:w w:val="100"/>
          <w:sz w:val="21"/>
        </w:rPr>
        <w:t>e </w:t>
      </w:r>
      <w:r>
        <w:rPr>
          <w:sz w:val="21"/>
        </w:rPr>
        <w:t>pleadings is to enable the opposite party to controvert them and to adduce evidence in support of his case. And it would be neither legal nor just to refer to evidence adduced with reference to a matter which was actually in issue and on the basis of that evidence, to come to a finding on a matter which was not in issue, and decide the rights of parties on the basis of that</w:t>
      </w:r>
      <w:r>
        <w:rPr>
          <w:spacing w:val="-3"/>
          <w:sz w:val="21"/>
        </w:rPr>
        <w:t> </w:t>
      </w:r>
      <w:r>
        <w:rPr>
          <w:sz w:val="21"/>
        </w:rPr>
        <w:t>finding.‖</w:t>
      </w:r>
    </w:p>
    <w:p>
      <w:pPr>
        <w:pStyle w:val="BodyText"/>
        <w:rPr>
          <w:sz w:val="24"/>
        </w:rPr>
      </w:pPr>
    </w:p>
    <w:p>
      <w:pPr>
        <w:pStyle w:val="BodyText"/>
        <w:spacing w:before="3"/>
        <w:rPr>
          <w:sz w:val="26"/>
        </w:rPr>
      </w:pPr>
    </w:p>
    <w:p>
      <w:pPr>
        <w:pStyle w:val="BodyText"/>
        <w:spacing w:line="480" w:lineRule="auto"/>
        <w:ind w:left="500" w:right="479"/>
      </w:pPr>
      <w:r>
        <w:rPr/>
        <w:t>The High Court has adopted a path which was not open to it in terms of the principles formulated above. It granted reliefs which were not the subject matter of the prayers in the suits. In the process of doing so, it proceeded to assume the jurisdiction of a civil court in a suit for partition, which the suits before it were not. Order VII Rule 7 of the CPC provides</w:t>
      </w:r>
      <w:r>
        <w:rPr>
          <w:spacing w:val="-7"/>
        </w:rPr>
        <w:t> </w:t>
      </w:r>
      <w:r>
        <w:rPr/>
        <w:t>thus:</w:t>
      </w:r>
    </w:p>
    <w:p>
      <w:pPr>
        <w:pStyle w:val="BodyText"/>
        <w:spacing w:before="4"/>
        <w:rPr>
          <w:sz w:val="23"/>
        </w:rPr>
      </w:pPr>
      <w:r>
        <w:rPr/>
        <w:pict>
          <v:rect style="position:absolute;margin-left:72.024002pt;margin-top:15.380855pt;width:144.020pt;height:.599980pt;mso-position-horizontal-relative:page;mso-position-vertical-relative:paragraph;z-index:-15609856;mso-wrap-distance-left:0;mso-wrap-distance-right:0" filled="true" fillcolor="#000000" stroked="false">
            <v:fill type="solid"/>
            <w10:wrap type="topAndBottom"/>
          </v:rect>
        </w:pict>
      </w:r>
    </w:p>
    <w:p>
      <w:pPr>
        <w:spacing w:before="78"/>
        <w:ind w:left="500" w:right="0" w:firstLine="0"/>
        <w:jc w:val="left"/>
        <w:rPr>
          <w:sz w:val="18"/>
        </w:rPr>
      </w:pPr>
      <w:r>
        <w:rPr>
          <w:sz w:val="18"/>
          <w:vertAlign w:val="superscript"/>
        </w:rPr>
        <w:t>402</w:t>
      </w:r>
      <w:r>
        <w:rPr>
          <w:sz w:val="18"/>
          <w:vertAlign w:val="baseline"/>
        </w:rPr>
        <w:t> 1951 SCR</w:t>
      </w:r>
      <w:r>
        <w:rPr>
          <w:spacing w:val="-9"/>
          <w:sz w:val="18"/>
          <w:vertAlign w:val="baseline"/>
        </w:rPr>
        <w:t> </w:t>
      </w:r>
      <w:r>
        <w:rPr>
          <w:sz w:val="18"/>
          <w:vertAlign w:val="baseline"/>
        </w:rPr>
        <w:t>277</w:t>
      </w:r>
    </w:p>
    <w:p>
      <w:pPr>
        <w:spacing w:before="2"/>
        <w:ind w:left="500" w:right="0" w:firstLine="0"/>
        <w:jc w:val="left"/>
        <w:rPr>
          <w:sz w:val="18"/>
        </w:rPr>
      </w:pPr>
      <w:r>
        <w:rPr>
          <w:sz w:val="18"/>
          <w:vertAlign w:val="superscript"/>
        </w:rPr>
        <w:t>403</w:t>
      </w:r>
      <w:r>
        <w:rPr>
          <w:sz w:val="18"/>
          <w:vertAlign w:val="baseline"/>
        </w:rPr>
        <w:t> 1958 SCR</w:t>
      </w:r>
      <w:r>
        <w:rPr>
          <w:spacing w:val="-9"/>
          <w:sz w:val="18"/>
          <w:vertAlign w:val="baseline"/>
        </w:rPr>
        <w:t> </w:t>
      </w:r>
      <w:r>
        <w:rPr>
          <w:sz w:val="18"/>
          <w:vertAlign w:val="baseline"/>
        </w:rPr>
        <w:t>895</w:t>
      </w:r>
    </w:p>
    <w:p>
      <w:pPr>
        <w:spacing w:after="0"/>
        <w:jc w:val="left"/>
        <w:rPr>
          <w:sz w:val="18"/>
        </w:rPr>
        <w:sectPr>
          <w:pgSz w:w="11910" w:h="16840"/>
          <w:pgMar w:header="721" w:footer="1014" w:top="1300" w:bottom="1200" w:left="940" w:right="1000"/>
        </w:sectPr>
      </w:pPr>
    </w:p>
    <w:p>
      <w:pPr>
        <w:spacing w:line="276" w:lineRule="auto" w:before="122"/>
        <w:ind w:left="1940" w:right="2262" w:firstLine="0"/>
        <w:jc w:val="both"/>
        <w:rPr>
          <w:sz w:val="21"/>
        </w:rPr>
      </w:pPr>
      <w:r>
        <w:rPr>
          <w:spacing w:val="-1"/>
          <w:w w:val="33"/>
          <w:sz w:val="21"/>
        </w:rPr>
        <w:t>―</w:t>
      </w:r>
      <w:r>
        <w:rPr>
          <w:spacing w:val="-1"/>
          <w:w w:val="100"/>
          <w:sz w:val="21"/>
        </w:rPr>
        <w:t>7</w:t>
      </w:r>
      <w:r>
        <w:rPr>
          <w:w w:val="100"/>
          <w:sz w:val="21"/>
        </w:rPr>
        <w:t>.</w:t>
      </w:r>
      <w:r>
        <w:rPr>
          <w:sz w:val="21"/>
        </w:rPr>
        <w:t> </w:t>
      </w:r>
      <w:r>
        <w:rPr>
          <w:spacing w:val="-8"/>
          <w:sz w:val="21"/>
        </w:rPr>
        <w:t> </w:t>
      </w:r>
      <w:r>
        <w:rPr>
          <w:w w:val="100"/>
          <w:sz w:val="21"/>
        </w:rPr>
        <w:t>R</w:t>
      </w:r>
      <w:r>
        <w:rPr>
          <w:spacing w:val="-3"/>
          <w:w w:val="100"/>
          <w:sz w:val="21"/>
        </w:rPr>
        <w:t>e</w:t>
      </w:r>
      <w:r>
        <w:rPr>
          <w:w w:val="100"/>
          <w:sz w:val="21"/>
        </w:rPr>
        <w:t>l</w:t>
      </w:r>
      <w:r>
        <w:rPr>
          <w:spacing w:val="-2"/>
          <w:w w:val="100"/>
          <w:sz w:val="21"/>
        </w:rPr>
        <w:t>i</w:t>
      </w:r>
      <w:r>
        <w:rPr>
          <w:spacing w:val="-3"/>
          <w:w w:val="100"/>
          <w:sz w:val="21"/>
        </w:rPr>
        <w:t>e</w:t>
      </w:r>
      <w:r>
        <w:rPr>
          <w:w w:val="100"/>
          <w:sz w:val="21"/>
        </w:rPr>
        <w:t>f</w:t>
      </w:r>
      <w:r>
        <w:rPr>
          <w:sz w:val="21"/>
        </w:rPr>
        <w:t> </w:t>
      </w:r>
      <w:r>
        <w:rPr>
          <w:spacing w:val="-6"/>
          <w:sz w:val="21"/>
        </w:rPr>
        <w:t> </w:t>
      </w:r>
      <w:r>
        <w:rPr>
          <w:spacing w:val="-2"/>
          <w:w w:val="100"/>
          <w:sz w:val="21"/>
        </w:rPr>
        <w:t>t</w:t>
      </w:r>
      <w:r>
        <w:rPr>
          <w:w w:val="100"/>
          <w:sz w:val="21"/>
        </w:rPr>
        <w:t>o</w:t>
      </w:r>
      <w:r>
        <w:rPr>
          <w:sz w:val="21"/>
        </w:rPr>
        <w:t> </w:t>
      </w:r>
      <w:r>
        <w:rPr>
          <w:spacing w:val="-9"/>
          <w:sz w:val="21"/>
        </w:rPr>
        <w:t> </w:t>
      </w:r>
      <w:r>
        <w:rPr>
          <w:spacing w:val="-1"/>
          <w:w w:val="100"/>
          <w:sz w:val="21"/>
        </w:rPr>
        <w:t>b</w:t>
      </w:r>
      <w:r>
        <w:rPr>
          <w:w w:val="100"/>
          <w:sz w:val="21"/>
        </w:rPr>
        <w:t>e</w:t>
      </w:r>
      <w:r>
        <w:rPr>
          <w:sz w:val="21"/>
        </w:rPr>
        <w:t> </w:t>
      </w:r>
      <w:r>
        <w:rPr>
          <w:spacing w:val="-7"/>
          <w:sz w:val="21"/>
        </w:rPr>
        <w:t> </w:t>
      </w:r>
      <w:r>
        <w:rPr>
          <w:spacing w:val="-3"/>
          <w:w w:val="100"/>
          <w:sz w:val="21"/>
        </w:rPr>
        <w:t>s</w:t>
      </w:r>
      <w:r>
        <w:rPr>
          <w:spacing w:val="-1"/>
          <w:w w:val="100"/>
          <w:sz w:val="21"/>
        </w:rPr>
        <w:t>pe</w:t>
      </w:r>
      <w:r>
        <w:rPr>
          <w:spacing w:val="-3"/>
          <w:w w:val="100"/>
          <w:sz w:val="21"/>
        </w:rPr>
        <w:t>c</w:t>
      </w:r>
      <w:r>
        <w:rPr>
          <w:spacing w:val="-2"/>
          <w:w w:val="100"/>
          <w:sz w:val="21"/>
        </w:rPr>
        <w:t>i</w:t>
      </w:r>
      <w:r>
        <w:rPr>
          <w:spacing w:val="1"/>
          <w:w w:val="100"/>
          <w:sz w:val="21"/>
        </w:rPr>
        <w:t>f</w:t>
      </w:r>
      <w:r>
        <w:rPr>
          <w:w w:val="100"/>
          <w:sz w:val="21"/>
        </w:rPr>
        <w:t>i</w:t>
      </w:r>
      <w:r>
        <w:rPr>
          <w:spacing w:val="-3"/>
          <w:w w:val="100"/>
          <w:sz w:val="21"/>
        </w:rPr>
        <w:t>ca</w:t>
      </w:r>
      <w:r>
        <w:rPr>
          <w:w w:val="100"/>
          <w:sz w:val="21"/>
        </w:rPr>
        <w:t>lly</w:t>
      </w:r>
      <w:r>
        <w:rPr>
          <w:sz w:val="21"/>
        </w:rPr>
        <w:t> </w:t>
      </w:r>
      <w:r>
        <w:rPr>
          <w:spacing w:val="-9"/>
          <w:sz w:val="21"/>
        </w:rPr>
        <w:t> </w:t>
      </w:r>
      <w:r>
        <w:rPr>
          <w:w w:val="100"/>
          <w:sz w:val="21"/>
        </w:rPr>
        <w:t>s</w:t>
      </w:r>
      <w:r>
        <w:rPr>
          <w:spacing w:val="-2"/>
          <w:w w:val="100"/>
          <w:sz w:val="21"/>
        </w:rPr>
        <w:t>t</w:t>
      </w:r>
      <w:r>
        <w:rPr>
          <w:spacing w:val="-1"/>
          <w:w w:val="100"/>
          <w:sz w:val="21"/>
        </w:rPr>
        <w:t>ate</w:t>
      </w:r>
      <w:r>
        <w:rPr>
          <w:spacing w:val="3"/>
          <w:w w:val="100"/>
          <w:sz w:val="21"/>
        </w:rPr>
        <w:t>d</w:t>
      </w:r>
      <w:r>
        <w:rPr>
          <w:w w:val="100"/>
          <w:sz w:val="21"/>
        </w:rPr>
        <w:t>-</w:t>
      </w:r>
      <w:r>
        <w:rPr>
          <w:sz w:val="21"/>
        </w:rPr>
        <w:t> </w:t>
      </w:r>
      <w:r>
        <w:rPr>
          <w:spacing w:val="-10"/>
          <w:sz w:val="21"/>
        </w:rPr>
        <w:t> </w:t>
      </w:r>
      <w:r>
        <w:rPr>
          <w:w w:val="100"/>
          <w:sz w:val="21"/>
        </w:rPr>
        <w:t>E</w:t>
      </w:r>
      <w:r>
        <w:rPr>
          <w:spacing w:val="-3"/>
          <w:w w:val="100"/>
          <w:sz w:val="21"/>
        </w:rPr>
        <w:t>v</w:t>
      </w:r>
      <w:r>
        <w:rPr>
          <w:w w:val="100"/>
          <w:sz w:val="21"/>
        </w:rPr>
        <w:t>ery</w:t>
      </w:r>
      <w:r>
        <w:rPr>
          <w:sz w:val="21"/>
        </w:rPr>
        <w:t> </w:t>
      </w:r>
      <w:r>
        <w:rPr>
          <w:spacing w:val="-10"/>
          <w:sz w:val="21"/>
        </w:rPr>
        <w:t> </w:t>
      </w:r>
      <w:r>
        <w:rPr>
          <w:w w:val="100"/>
          <w:sz w:val="21"/>
        </w:rPr>
        <w:t>p</w:t>
      </w:r>
      <w:r>
        <w:rPr>
          <w:spacing w:val="1"/>
          <w:w w:val="100"/>
          <w:sz w:val="21"/>
        </w:rPr>
        <w:t>l</w:t>
      </w:r>
      <w:r>
        <w:rPr>
          <w:spacing w:val="-3"/>
          <w:w w:val="100"/>
          <w:sz w:val="21"/>
        </w:rPr>
        <w:t>a</w:t>
      </w:r>
      <w:r>
        <w:rPr>
          <w:w w:val="100"/>
          <w:sz w:val="21"/>
        </w:rPr>
        <w:t>i</w:t>
      </w:r>
      <w:r>
        <w:rPr>
          <w:w w:val="100"/>
          <w:sz w:val="21"/>
        </w:rPr>
        <w:t>nt</w:t>
      </w:r>
      <w:r>
        <w:rPr>
          <w:sz w:val="21"/>
        </w:rPr>
        <w:t> </w:t>
      </w:r>
      <w:r>
        <w:rPr>
          <w:spacing w:val="-10"/>
          <w:sz w:val="21"/>
        </w:rPr>
        <w:t> </w:t>
      </w:r>
      <w:r>
        <w:rPr>
          <w:spacing w:val="-3"/>
          <w:w w:val="100"/>
          <w:sz w:val="21"/>
        </w:rPr>
        <w:t>s</w:t>
      </w:r>
      <w:r>
        <w:rPr>
          <w:w w:val="100"/>
          <w:sz w:val="21"/>
        </w:rPr>
        <w:t>ha</w:t>
      </w:r>
      <w:r>
        <w:rPr>
          <w:spacing w:val="-1"/>
          <w:w w:val="100"/>
          <w:sz w:val="21"/>
        </w:rPr>
        <w:t>l</w:t>
      </w:r>
      <w:r>
        <w:rPr>
          <w:w w:val="100"/>
          <w:sz w:val="21"/>
        </w:rPr>
        <w:t>l</w:t>
      </w:r>
      <w:r>
        <w:rPr>
          <w:sz w:val="21"/>
        </w:rPr>
        <w:t> </w:t>
      </w:r>
      <w:r>
        <w:rPr>
          <w:spacing w:val="-6"/>
          <w:sz w:val="21"/>
        </w:rPr>
        <w:t> </w:t>
      </w:r>
      <w:r>
        <w:rPr>
          <w:w w:val="100"/>
          <w:sz w:val="21"/>
        </w:rPr>
        <w:t>s</w:t>
      </w:r>
      <w:r>
        <w:rPr>
          <w:spacing w:val="-2"/>
          <w:w w:val="100"/>
          <w:sz w:val="21"/>
        </w:rPr>
        <w:t>t</w:t>
      </w:r>
      <w:r>
        <w:rPr>
          <w:w w:val="100"/>
          <w:sz w:val="21"/>
        </w:rPr>
        <w:t>a</w:t>
      </w:r>
      <w:r>
        <w:rPr>
          <w:spacing w:val="-1"/>
          <w:w w:val="100"/>
          <w:sz w:val="21"/>
        </w:rPr>
        <w:t>t</w:t>
      </w:r>
      <w:r>
        <w:rPr>
          <w:w w:val="100"/>
          <w:sz w:val="21"/>
        </w:rPr>
        <w:t>e </w:t>
      </w:r>
      <w:r>
        <w:rPr>
          <w:sz w:val="21"/>
        </w:rPr>
        <w:t>specifically the relief which the plaintiff claims either simply or in the alternative, and it shall not be necessary to ask for general or other relief which may always be given as the Court may think just to the same extent as if it had been asked for. And the same rule shall apply to any relief claimed by the defendant in his written</w:t>
      </w:r>
      <w:r>
        <w:rPr>
          <w:spacing w:val="-15"/>
          <w:sz w:val="21"/>
        </w:rPr>
        <w:t> </w:t>
      </w:r>
      <w:r>
        <w:rPr>
          <w:sz w:val="21"/>
        </w:rPr>
        <w:t>statement.‖</w:t>
      </w:r>
    </w:p>
    <w:p>
      <w:pPr>
        <w:pStyle w:val="BodyText"/>
        <w:rPr>
          <w:sz w:val="24"/>
        </w:rPr>
      </w:pPr>
    </w:p>
    <w:p>
      <w:pPr>
        <w:pStyle w:val="BodyText"/>
        <w:spacing w:before="4"/>
      </w:pPr>
    </w:p>
    <w:p>
      <w:pPr>
        <w:pStyle w:val="BodyText"/>
        <w:spacing w:line="480" w:lineRule="auto" w:before="1"/>
        <w:ind w:left="500" w:right="440"/>
        <w:jc w:val="both"/>
      </w:pPr>
      <w:r>
        <w:rPr/>
        <w:t>The above provision requires a plaintiff to specifically claim either simply or in the alternative the relief, which is sought. However, it clarifies that it is not necessary to ask for general and other reliefs which may always be given in the discretion of the court. This provision does not entitle the court in a civil trial to embark upon the exercise of recasting virtually the frame of a suit, which was undertaken by the High Court. There was no basis in the pleadings before the High Court and certainly no warrant in the reliefs which were claimed to direct a division of the land in the manner that a court would do in a suit for</w:t>
      </w:r>
      <w:r>
        <w:rPr>
          <w:spacing w:val="-13"/>
        </w:rPr>
        <w:t> </w:t>
      </w:r>
      <w:r>
        <w:rPr/>
        <w:t>partition.</w:t>
      </w:r>
    </w:p>
    <w:p>
      <w:pPr>
        <w:pStyle w:val="BodyText"/>
        <w:spacing w:before="2"/>
      </w:pPr>
    </w:p>
    <w:p>
      <w:pPr>
        <w:pStyle w:val="ListParagraph"/>
        <w:numPr>
          <w:ilvl w:val="0"/>
          <w:numId w:val="241"/>
        </w:numPr>
        <w:tabs>
          <w:tab w:pos="1221" w:val="left" w:leader="none"/>
        </w:tabs>
        <w:spacing w:line="477" w:lineRule="auto" w:before="0" w:after="0"/>
        <w:ind w:left="500" w:right="444" w:firstLine="0"/>
        <w:jc w:val="both"/>
        <w:rPr>
          <w:sz w:val="25"/>
        </w:rPr>
      </w:pPr>
      <w:r>
        <w:rPr>
          <w:sz w:val="25"/>
        </w:rPr>
        <w:t>As Justice S B Sinha held while speaking for a two judge Bench of this Court in </w:t>
      </w:r>
      <w:r>
        <w:rPr>
          <w:b/>
          <w:sz w:val="25"/>
        </w:rPr>
        <w:t>Shiv Kumar Sharma </w:t>
      </w:r>
      <w:r>
        <w:rPr>
          <w:sz w:val="25"/>
        </w:rPr>
        <w:t>v </w:t>
      </w:r>
      <w:r>
        <w:rPr>
          <w:b/>
          <w:sz w:val="25"/>
        </w:rPr>
        <w:t>Santosh</w:t>
      </w:r>
      <w:r>
        <w:rPr>
          <w:b/>
          <w:spacing w:val="-1"/>
          <w:sz w:val="25"/>
        </w:rPr>
        <w:t> </w:t>
      </w:r>
      <w:r>
        <w:rPr>
          <w:b/>
          <w:sz w:val="25"/>
        </w:rPr>
        <w:t>Kumari</w:t>
      </w:r>
      <w:r>
        <w:rPr>
          <w:sz w:val="25"/>
          <w:vertAlign w:val="superscript"/>
        </w:rPr>
        <w:t>404</w:t>
      </w:r>
      <w:r>
        <w:rPr>
          <w:sz w:val="25"/>
          <w:vertAlign w:val="baseline"/>
        </w:rPr>
        <w:t>:</w:t>
      </w:r>
    </w:p>
    <w:p>
      <w:pPr>
        <w:spacing w:line="276" w:lineRule="auto" w:before="163"/>
        <w:ind w:left="1940" w:right="2260" w:firstLine="0"/>
        <w:jc w:val="both"/>
        <w:rPr>
          <w:sz w:val="21"/>
        </w:rPr>
      </w:pPr>
      <w:r>
        <w:rPr>
          <w:w w:val="33"/>
          <w:sz w:val="21"/>
        </w:rPr>
        <w:t>―</w:t>
      </w:r>
      <w:r>
        <w:rPr>
          <w:w w:val="100"/>
          <w:sz w:val="21"/>
        </w:rPr>
        <w:t>27.</w:t>
      </w:r>
      <w:r>
        <w:rPr>
          <w:sz w:val="21"/>
        </w:rPr>
        <w:t>   </w:t>
      </w:r>
      <w:r>
        <w:rPr>
          <w:w w:val="100"/>
          <w:sz w:val="21"/>
        </w:rPr>
        <w:t>A</w:t>
      </w:r>
      <w:r>
        <w:rPr>
          <w:sz w:val="21"/>
        </w:rPr>
        <w:t>   </w:t>
      </w:r>
      <w:r>
        <w:rPr>
          <w:w w:val="100"/>
          <w:sz w:val="21"/>
        </w:rPr>
        <w:t>court</w:t>
      </w:r>
      <w:r>
        <w:rPr>
          <w:sz w:val="21"/>
        </w:rPr>
        <w:t>   </w:t>
      </w:r>
      <w:r>
        <w:rPr>
          <w:w w:val="100"/>
          <w:sz w:val="21"/>
        </w:rPr>
        <w:t>of</w:t>
      </w:r>
      <w:r>
        <w:rPr>
          <w:sz w:val="21"/>
        </w:rPr>
        <w:t>   </w:t>
      </w:r>
      <w:r>
        <w:rPr>
          <w:w w:val="100"/>
          <w:sz w:val="21"/>
        </w:rPr>
        <w:t>law</w:t>
      </w:r>
      <w:r>
        <w:rPr>
          <w:sz w:val="21"/>
        </w:rPr>
        <w:t>   </w:t>
      </w:r>
      <w:r>
        <w:rPr>
          <w:w w:val="100"/>
          <w:sz w:val="21"/>
        </w:rPr>
        <w:t>cannot</w:t>
      </w:r>
      <w:r>
        <w:rPr>
          <w:sz w:val="21"/>
        </w:rPr>
        <w:t>   </w:t>
      </w:r>
      <w:r>
        <w:rPr>
          <w:w w:val="100"/>
          <w:sz w:val="21"/>
        </w:rPr>
        <w:t>exer</w:t>
      </w:r>
      <w:r>
        <w:rPr>
          <w:w w:val="100"/>
          <w:sz w:val="21"/>
        </w:rPr>
        <w:t>cise</w:t>
      </w:r>
      <w:r>
        <w:rPr>
          <w:sz w:val="21"/>
        </w:rPr>
        <w:t>   </w:t>
      </w:r>
      <w:r>
        <w:rPr>
          <w:w w:val="100"/>
          <w:sz w:val="21"/>
        </w:rPr>
        <w:t>i</w:t>
      </w:r>
      <w:r>
        <w:rPr>
          <w:w w:val="100"/>
          <w:sz w:val="21"/>
        </w:rPr>
        <w:t>t</w:t>
      </w:r>
      <w:r>
        <w:rPr>
          <w:w w:val="100"/>
          <w:sz w:val="21"/>
        </w:rPr>
        <w:t>s</w:t>
      </w:r>
      <w:r>
        <w:rPr>
          <w:sz w:val="21"/>
        </w:rPr>
        <w:t>   </w:t>
      </w:r>
      <w:r>
        <w:rPr>
          <w:w w:val="100"/>
          <w:sz w:val="21"/>
        </w:rPr>
        <w:t>di</w:t>
      </w:r>
      <w:r>
        <w:rPr>
          <w:w w:val="100"/>
          <w:sz w:val="21"/>
        </w:rPr>
        <w:t>scret</w:t>
      </w:r>
      <w:r>
        <w:rPr>
          <w:w w:val="100"/>
          <w:sz w:val="21"/>
        </w:rPr>
        <w:t>i</w:t>
      </w:r>
      <w:r>
        <w:rPr>
          <w:w w:val="100"/>
          <w:sz w:val="21"/>
        </w:rPr>
        <w:t>on</w:t>
      </w:r>
      <w:r>
        <w:rPr>
          <w:w w:val="100"/>
          <w:sz w:val="21"/>
        </w:rPr>
        <w:t>ary </w:t>
      </w:r>
      <w:r>
        <w:rPr>
          <w:sz w:val="21"/>
        </w:rPr>
        <w:t>jurisdiction dehors the statutory law. Its discretion must be exercised in terms of the existing statute.‖</w:t>
      </w:r>
    </w:p>
    <w:p>
      <w:pPr>
        <w:pStyle w:val="BodyText"/>
        <w:spacing w:before="11"/>
        <w:rPr>
          <w:sz w:val="24"/>
        </w:rPr>
      </w:pPr>
    </w:p>
    <w:p>
      <w:pPr>
        <w:spacing w:line="480" w:lineRule="auto" w:before="0"/>
        <w:ind w:left="500" w:right="440" w:firstLine="0"/>
        <w:jc w:val="both"/>
        <w:rPr>
          <w:sz w:val="25"/>
        </w:rPr>
      </w:pPr>
      <w:r>
        <w:rPr>
          <w:sz w:val="25"/>
        </w:rPr>
        <w:t>[See also in this context the judgment of Justice Ashok Bhan in </w:t>
      </w:r>
      <w:r>
        <w:rPr>
          <w:b/>
          <w:sz w:val="25"/>
        </w:rPr>
        <w:t>Shamsu Suhara Beevi </w:t>
      </w:r>
      <w:r>
        <w:rPr>
          <w:sz w:val="25"/>
        </w:rPr>
        <w:t>v </w:t>
      </w:r>
      <w:r>
        <w:rPr>
          <w:b/>
          <w:sz w:val="25"/>
        </w:rPr>
        <w:t>G Alex</w:t>
      </w:r>
      <w:r>
        <w:rPr>
          <w:sz w:val="25"/>
          <w:vertAlign w:val="superscript"/>
        </w:rPr>
        <w:t>405</w:t>
      </w:r>
      <w:r>
        <w:rPr>
          <w:sz w:val="25"/>
          <w:vertAlign w:val="baseline"/>
        </w:rPr>
        <w:t>].</w:t>
      </w:r>
    </w:p>
    <w:p>
      <w:pPr>
        <w:pStyle w:val="BodyText"/>
        <w:rPr>
          <w:sz w:val="32"/>
        </w:rPr>
      </w:pPr>
    </w:p>
    <w:p>
      <w:pPr>
        <w:spacing w:line="482" w:lineRule="auto" w:before="208"/>
        <w:ind w:left="500" w:right="440" w:firstLine="0"/>
        <w:jc w:val="both"/>
        <w:rPr>
          <w:sz w:val="25"/>
        </w:rPr>
      </w:pPr>
      <w:r>
        <w:rPr>
          <w:sz w:val="25"/>
        </w:rPr>
        <w:t>In </w:t>
      </w:r>
      <w:r>
        <w:rPr>
          <w:b/>
          <w:sz w:val="25"/>
        </w:rPr>
        <w:t>Om Prakash </w:t>
      </w:r>
      <w:r>
        <w:rPr>
          <w:sz w:val="25"/>
        </w:rPr>
        <w:t>v </w:t>
      </w:r>
      <w:r>
        <w:rPr>
          <w:b/>
          <w:sz w:val="25"/>
        </w:rPr>
        <w:t>Ram Kumar</w:t>
      </w:r>
      <w:r>
        <w:rPr>
          <w:sz w:val="25"/>
          <w:vertAlign w:val="superscript"/>
        </w:rPr>
        <w:t>406</w:t>
      </w:r>
      <w:r>
        <w:rPr>
          <w:sz w:val="25"/>
          <w:vertAlign w:val="baseline"/>
        </w:rPr>
        <w:t>, Justice M Fathima Beevi speaking for a three judge Bench held:</w:t>
      </w:r>
    </w:p>
    <w:p>
      <w:pPr>
        <w:pStyle w:val="BodyText"/>
        <w:rPr>
          <w:sz w:val="20"/>
        </w:rPr>
      </w:pPr>
    </w:p>
    <w:p>
      <w:pPr>
        <w:pStyle w:val="BodyText"/>
        <w:spacing w:before="1"/>
        <w:rPr>
          <w:sz w:val="21"/>
        </w:rPr>
      </w:pPr>
      <w:r>
        <w:rPr/>
        <w:pict>
          <v:rect style="position:absolute;margin-left:72.024002pt;margin-top:14.089154pt;width:144.020pt;height:.60004pt;mso-position-horizontal-relative:page;mso-position-vertical-relative:paragraph;z-index:-15609344;mso-wrap-distance-left:0;mso-wrap-distance-right:0" filled="true" fillcolor="#000000" stroked="false">
            <v:fill type="solid"/>
            <w10:wrap type="topAndBottom"/>
          </v:rect>
        </w:pict>
      </w:r>
    </w:p>
    <w:p>
      <w:pPr>
        <w:spacing w:line="207" w:lineRule="exact" w:before="81"/>
        <w:ind w:left="500" w:right="0" w:firstLine="0"/>
        <w:jc w:val="left"/>
        <w:rPr>
          <w:sz w:val="18"/>
        </w:rPr>
      </w:pPr>
      <w:r>
        <w:rPr>
          <w:sz w:val="18"/>
          <w:vertAlign w:val="superscript"/>
        </w:rPr>
        <w:t>404</w:t>
      </w:r>
      <w:r>
        <w:rPr>
          <w:sz w:val="18"/>
          <w:vertAlign w:val="baseline"/>
        </w:rPr>
        <w:t> (2007) 8 SCC 600</w:t>
      </w:r>
    </w:p>
    <w:p>
      <w:pPr>
        <w:spacing w:line="207" w:lineRule="exact" w:before="0"/>
        <w:ind w:left="500" w:right="0" w:firstLine="0"/>
        <w:jc w:val="left"/>
        <w:rPr>
          <w:sz w:val="18"/>
        </w:rPr>
      </w:pPr>
      <w:r>
        <w:rPr>
          <w:sz w:val="18"/>
          <w:vertAlign w:val="superscript"/>
        </w:rPr>
        <w:t>405</w:t>
      </w:r>
      <w:r>
        <w:rPr>
          <w:sz w:val="18"/>
          <w:vertAlign w:val="baseline"/>
        </w:rPr>
        <w:t> (2004) 8 SCC 569 at paragraph 11</w:t>
      </w:r>
    </w:p>
    <w:p>
      <w:pPr>
        <w:spacing w:before="1"/>
        <w:ind w:left="500" w:right="0" w:firstLine="0"/>
        <w:jc w:val="left"/>
        <w:rPr>
          <w:sz w:val="18"/>
        </w:rPr>
      </w:pPr>
      <w:r>
        <w:rPr>
          <w:sz w:val="18"/>
          <w:vertAlign w:val="superscript"/>
        </w:rPr>
        <w:t>406</w:t>
      </w:r>
      <w:r>
        <w:rPr>
          <w:sz w:val="18"/>
          <w:vertAlign w:val="baseline"/>
        </w:rPr>
        <w:t> (1991) 1 SCC 441</w:t>
      </w:r>
    </w:p>
    <w:p>
      <w:pPr>
        <w:spacing w:after="0"/>
        <w:jc w:val="left"/>
        <w:rPr>
          <w:sz w:val="18"/>
        </w:rPr>
        <w:sectPr>
          <w:pgSz w:w="11910" w:h="16840"/>
          <w:pgMar w:header="721" w:footer="1014" w:top="1300" w:bottom="1200" w:left="940" w:right="1000"/>
        </w:sectPr>
      </w:pPr>
    </w:p>
    <w:p>
      <w:pPr>
        <w:spacing w:line="276" w:lineRule="auto" w:before="122"/>
        <w:ind w:left="1940" w:right="2264" w:firstLine="0"/>
        <w:jc w:val="both"/>
        <w:rPr>
          <w:sz w:val="21"/>
        </w:rPr>
      </w:pPr>
      <w:r>
        <w:rPr>
          <w:spacing w:val="-1"/>
          <w:w w:val="33"/>
          <w:sz w:val="21"/>
        </w:rPr>
        <w:t>―</w:t>
      </w:r>
      <w:r>
        <w:rPr>
          <w:spacing w:val="-1"/>
          <w:w w:val="100"/>
          <w:sz w:val="21"/>
        </w:rPr>
        <w:t>4…</w:t>
      </w:r>
      <w:r>
        <w:rPr>
          <w:w w:val="100"/>
          <w:sz w:val="21"/>
        </w:rPr>
        <w:t>A</w:t>
      </w:r>
      <w:r>
        <w:rPr>
          <w:spacing w:val="6"/>
          <w:sz w:val="21"/>
        </w:rPr>
        <w:t> </w:t>
      </w:r>
      <w:r>
        <w:rPr>
          <w:spacing w:val="-1"/>
          <w:w w:val="100"/>
          <w:sz w:val="21"/>
        </w:rPr>
        <w:t>par</w:t>
      </w:r>
      <w:r>
        <w:rPr>
          <w:spacing w:val="-2"/>
          <w:w w:val="100"/>
          <w:sz w:val="21"/>
        </w:rPr>
        <w:t>t</w:t>
      </w:r>
      <w:r>
        <w:rPr>
          <w:w w:val="100"/>
          <w:sz w:val="21"/>
        </w:rPr>
        <w:t>y</w:t>
      </w:r>
      <w:r>
        <w:rPr>
          <w:spacing w:val="6"/>
          <w:sz w:val="21"/>
        </w:rPr>
        <w:t> </w:t>
      </w:r>
      <w:r>
        <w:rPr>
          <w:w w:val="100"/>
          <w:sz w:val="21"/>
        </w:rPr>
        <w:t>cannot</w:t>
      </w:r>
      <w:r>
        <w:rPr>
          <w:spacing w:val="7"/>
          <w:sz w:val="21"/>
        </w:rPr>
        <w:t> </w:t>
      </w:r>
      <w:r>
        <w:rPr>
          <w:spacing w:val="-3"/>
          <w:w w:val="100"/>
          <w:sz w:val="21"/>
        </w:rPr>
        <w:t>b</w:t>
      </w:r>
      <w:r>
        <w:rPr>
          <w:w w:val="100"/>
          <w:sz w:val="21"/>
        </w:rPr>
        <w:t>e</w:t>
      </w:r>
      <w:r>
        <w:rPr>
          <w:spacing w:val="8"/>
          <w:sz w:val="21"/>
        </w:rPr>
        <w:t> </w:t>
      </w:r>
      <w:r>
        <w:rPr>
          <w:spacing w:val="-1"/>
          <w:w w:val="100"/>
          <w:sz w:val="21"/>
        </w:rPr>
        <w:t>gr</w:t>
      </w:r>
      <w:r>
        <w:rPr>
          <w:spacing w:val="-3"/>
          <w:w w:val="100"/>
          <w:sz w:val="21"/>
        </w:rPr>
        <w:t>a</w:t>
      </w:r>
      <w:r>
        <w:rPr>
          <w:spacing w:val="-1"/>
          <w:w w:val="100"/>
          <w:sz w:val="21"/>
        </w:rPr>
        <w:t>nte</w:t>
      </w:r>
      <w:r>
        <w:rPr>
          <w:w w:val="100"/>
          <w:sz w:val="21"/>
        </w:rPr>
        <w:t>d</w:t>
      </w:r>
      <w:r>
        <w:rPr>
          <w:spacing w:val="8"/>
          <w:sz w:val="21"/>
        </w:rPr>
        <w:t> </w:t>
      </w:r>
      <w:r>
        <w:rPr>
          <w:w w:val="100"/>
          <w:sz w:val="21"/>
        </w:rPr>
        <w:t>a</w:t>
      </w:r>
      <w:r>
        <w:rPr>
          <w:spacing w:val="8"/>
          <w:sz w:val="21"/>
        </w:rPr>
        <w:t> </w:t>
      </w:r>
      <w:r>
        <w:rPr>
          <w:spacing w:val="-1"/>
          <w:w w:val="100"/>
          <w:sz w:val="21"/>
        </w:rPr>
        <w:t>r</w:t>
      </w:r>
      <w:r>
        <w:rPr>
          <w:spacing w:val="-3"/>
          <w:w w:val="100"/>
          <w:sz w:val="21"/>
        </w:rPr>
        <w:t>e</w:t>
      </w:r>
      <w:r>
        <w:rPr>
          <w:w w:val="100"/>
          <w:sz w:val="21"/>
        </w:rPr>
        <w:t>l</w:t>
      </w:r>
      <w:r>
        <w:rPr>
          <w:spacing w:val="-2"/>
          <w:w w:val="100"/>
          <w:sz w:val="21"/>
        </w:rPr>
        <w:t>i</w:t>
      </w:r>
      <w:r>
        <w:rPr>
          <w:spacing w:val="-1"/>
          <w:w w:val="100"/>
          <w:sz w:val="21"/>
        </w:rPr>
        <w:t>e</w:t>
      </w:r>
      <w:r>
        <w:rPr>
          <w:w w:val="100"/>
          <w:sz w:val="21"/>
        </w:rPr>
        <w:t>f</w:t>
      </w:r>
      <w:r>
        <w:rPr>
          <w:spacing w:val="9"/>
          <w:sz w:val="21"/>
        </w:rPr>
        <w:t> </w:t>
      </w:r>
      <w:r>
        <w:rPr>
          <w:spacing w:val="-2"/>
          <w:w w:val="100"/>
          <w:sz w:val="21"/>
        </w:rPr>
        <w:t>w</w:t>
      </w:r>
      <w:r>
        <w:rPr>
          <w:spacing w:val="-3"/>
          <w:w w:val="100"/>
          <w:sz w:val="21"/>
        </w:rPr>
        <w:t>h</w:t>
      </w:r>
      <w:r>
        <w:rPr>
          <w:w w:val="100"/>
          <w:sz w:val="21"/>
        </w:rPr>
        <w:t>ich</w:t>
      </w:r>
      <w:r>
        <w:rPr>
          <w:spacing w:val="6"/>
          <w:sz w:val="21"/>
        </w:rPr>
        <w:t> </w:t>
      </w:r>
      <w:r>
        <w:rPr>
          <w:w w:val="100"/>
          <w:sz w:val="21"/>
        </w:rPr>
        <w:t>is</w:t>
      </w:r>
      <w:r>
        <w:rPr>
          <w:spacing w:val="8"/>
          <w:sz w:val="21"/>
        </w:rPr>
        <w:t> </w:t>
      </w:r>
      <w:r>
        <w:rPr>
          <w:spacing w:val="-3"/>
          <w:w w:val="100"/>
          <w:sz w:val="21"/>
        </w:rPr>
        <w:t>n</w:t>
      </w:r>
      <w:r>
        <w:rPr>
          <w:spacing w:val="-1"/>
          <w:w w:val="100"/>
          <w:sz w:val="21"/>
        </w:rPr>
        <w:t>o</w:t>
      </w:r>
      <w:r>
        <w:rPr>
          <w:w w:val="100"/>
          <w:sz w:val="21"/>
        </w:rPr>
        <w:t>t</w:t>
      </w:r>
      <w:r>
        <w:rPr>
          <w:spacing w:val="7"/>
          <w:sz w:val="21"/>
        </w:rPr>
        <w:t> </w:t>
      </w:r>
      <w:r>
        <w:rPr>
          <w:w w:val="100"/>
          <w:sz w:val="21"/>
        </w:rPr>
        <w:t>cl</w:t>
      </w:r>
      <w:r>
        <w:rPr>
          <w:spacing w:val="-3"/>
          <w:w w:val="100"/>
          <w:sz w:val="21"/>
        </w:rPr>
        <w:t>a</w:t>
      </w:r>
      <w:r>
        <w:rPr>
          <w:spacing w:val="-2"/>
          <w:w w:val="100"/>
          <w:sz w:val="21"/>
        </w:rPr>
        <w:t>i</w:t>
      </w:r>
      <w:r>
        <w:rPr>
          <w:spacing w:val="1"/>
          <w:w w:val="100"/>
          <w:sz w:val="21"/>
        </w:rPr>
        <w:t>m</w:t>
      </w:r>
      <w:r>
        <w:rPr>
          <w:spacing w:val="-1"/>
          <w:w w:val="100"/>
          <w:sz w:val="21"/>
        </w:rPr>
        <w:t>ed</w:t>
      </w:r>
      <w:r>
        <w:rPr>
          <w:w w:val="100"/>
          <w:sz w:val="21"/>
        </w:rPr>
        <w:t>,</w:t>
      </w:r>
      <w:r>
        <w:rPr>
          <w:spacing w:val="5"/>
          <w:sz w:val="21"/>
        </w:rPr>
        <w:t> </w:t>
      </w:r>
      <w:r>
        <w:rPr>
          <w:spacing w:val="-2"/>
          <w:w w:val="100"/>
          <w:sz w:val="21"/>
        </w:rPr>
        <w:t>i</w:t>
      </w:r>
      <w:r>
        <w:rPr>
          <w:w w:val="100"/>
          <w:sz w:val="21"/>
        </w:rPr>
        <w:t>f </w:t>
      </w:r>
      <w:r>
        <w:rPr>
          <w:sz w:val="21"/>
        </w:rPr>
        <w:t>the circumstance of the case are such that the granting of such relief would result in serious prejudice to the interested party and deprive him of the valuable rights under the statute.‖</w:t>
      </w:r>
    </w:p>
    <w:p>
      <w:pPr>
        <w:pStyle w:val="BodyText"/>
        <w:rPr>
          <w:sz w:val="24"/>
        </w:rPr>
      </w:pPr>
    </w:p>
    <w:p>
      <w:pPr>
        <w:pStyle w:val="BodyText"/>
        <w:rPr>
          <w:sz w:val="24"/>
        </w:rPr>
      </w:pPr>
    </w:p>
    <w:p>
      <w:pPr>
        <w:pStyle w:val="BodyText"/>
        <w:spacing w:before="6"/>
        <w:rPr>
          <w:sz w:val="21"/>
        </w:rPr>
      </w:pPr>
    </w:p>
    <w:p>
      <w:pPr>
        <w:pStyle w:val="BodyText"/>
        <w:spacing w:line="480" w:lineRule="auto"/>
        <w:ind w:left="500" w:right="444"/>
        <w:jc w:val="both"/>
      </w:pPr>
      <w:r>
        <w:rPr/>
        <w:t>The High Court has completely erred in granting relief which lay outside the ambit of the pleadings and the cases set up by the plaintiffs in Suits 3, 4 and 5.</w:t>
      </w:r>
    </w:p>
    <w:p>
      <w:pPr>
        <w:pStyle w:val="BodyText"/>
        <w:rPr>
          <w:sz w:val="28"/>
        </w:rPr>
      </w:pPr>
    </w:p>
    <w:p>
      <w:pPr>
        <w:pStyle w:val="BodyText"/>
        <w:spacing w:before="10"/>
        <w:rPr>
          <w:sz w:val="21"/>
        </w:rPr>
      </w:pPr>
    </w:p>
    <w:p>
      <w:pPr>
        <w:pStyle w:val="ListParagraph"/>
        <w:numPr>
          <w:ilvl w:val="0"/>
          <w:numId w:val="241"/>
        </w:numPr>
        <w:tabs>
          <w:tab w:pos="1221" w:val="left" w:leader="none"/>
        </w:tabs>
        <w:spacing w:line="480" w:lineRule="auto" w:before="0" w:after="0"/>
        <w:ind w:left="500" w:right="436" w:firstLine="0"/>
        <w:jc w:val="both"/>
        <w:rPr>
          <w:sz w:val="25"/>
        </w:rPr>
      </w:pPr>
      <w:r>
        <w:rPr>
          <w:sz w:val="25"/>
        </w:rPr>
        <w:t>There is another serious flaw in the entire approach of the High Court in granting relief of a three-way bifurcation of the disputed site. Having come to the conclusion that Suit 3 (filed by Nirmohi Akhara) and Suit 4 (filed by Sunni Central Waqf Board) were barred by limitation, the High Court proceeded to grant relief in Suit 5 to the plaintiffs in Suits 3 and 4. This defies logic and is contrary to settled principles of law. Moreover, the claim by the Nirmohi Akhara was as a shebait who claimed a decree for management and charge. On its own case, Nirmohi Akhara could not have been granted an independent share of the land. By this judgment, the finding of the High Court that the suit of Nirmohi Akhara was barred by limitation has been upheld but the finding in regard to the bar of limitation being attracted to Suit 4 has been reversed. This aspect will be dealt with while analysing the final relief which will be</w:t>
      </w:r>
      <w:r>
        <w:rPr>
          <w:spacing w:val="-4"/>
          <w:sz w:val="25"/>
        </w:rPr>
        <w:t> </w:t>
      </w:r>
      <w:r>
        <w:rPr>
          <w:sz w:val="25"/>
        </w:rPr>
        <w:t>granted.</w:t>
      </w:r>
    </w:p>
    <w:p>
      <w:pPr>
        <w:spacing w:after="0" w:line="480" w:lineRule="auto"/>
        <w:jc w:val="both"/>
        <w:rPr>
          <w:sz w:val="25"/>
        </w:rPr>
        <w:sectPr>
          <w:pgSz w:w="11910" w:h="16840"/>
          <w:pgMar w:header="721" w:footer="1014" w:top="1300" w:bottom="1200" w:left="940" w:right="1000"/>
        </w:sectPr>
      </w:pPr>
    </w:p>
    <w:p>
      <w:pPr>
        <w:pStyle w:val="Heading3"/>
        <w:numPr>
          <w:ilvl w:val="1"/>
          <w:numId w:val="191"/>
        </w:numPr>
        <w:tabs>
          <w:tab w:pos="1220" w:val="left" w:leader="none"/>
          <w:tab w:pos="1221" w:val="left" w:leader="none"/>
        </w:tabs>
        <w:spacing w:line="240" w:lineRule="auto" w:before="124" w:after="0"/>
        <w:ind w:left="1220" w:right="0" w:hanging="721"/>
        <w:jc w:val="left"/>
      </w:pPr>
      <w:r>
        <w:rPr/>
        <w:t>Conclusion on</w:t>
      </w:r>
      <w:r>
        <w:rPr>
          <w:spacing w:val="-3"/>
        </w:rPr>
        <w:t> </w:t>
      </w:r>
      <w:r>
        <w:rPr/>
        <w:t>title</w:t>
      </w:r>
    </w:p>
    <w:p>
      <w:pPr>
        <w:pStyle w:val="BodyText"/>
        <w:rPr>
          <w:b/>
          <w:sz w:val="28"/>
        </w:rPr>
      </w:pPr>
    </w:p>
    <w:p>
      <w:pPr>
        <w:pStyle w:val="BodyText"/>
        <w:rPr>
          <w:b/>
          <w:sz w:val="28"/>
        </w:rPr>
      </w:pPr>
    </w:p>
    <w:p>
      <w:pPr>
        <w:pStyle w:val="ListParagraph"/>
        <w:numPr>
          <w:ilvl w:val="0"/>
          <w:numId w:val="241"/>
        </w:numPr>
        <w:tabs>
          <w:tab w:pos="1221" w:val="left" w:leader="none"/>
        </w:tabs>
        <w:spacing w:line="480" w:lineRule="auto" w:before="182" w:after="0"/>
        <w:ind w:left="500" w:right="434" w:firstLine="0"/>
        <w:jc w:val="both"/>
        <w:rPr>
          <w:sz w:val="25"/>
        </w:rPr>
      </w:pPr>
      <w:r>
        <w:rPr>
          <w:sz w:val="25"/>
        </w:rPr>
        <w:t>The facts, evidence and oral arguments of the present case have  traversed the realms of history, archaeology, religion and the law. The law must stand apart from political contestations over history, ideology and religion. For a case replete with references to archaeological foundations, we must remember that it is the law which provides the edifice upon which our multicultural society rests. The law forms the ground upon which, multiple strands of history, ideology and religion can compete. By determining their limits, this Court as the final arbiter must preserve the sense of balance that the beliefs of one citizen do not interfere with or dominate the freedoms and beliefs of another. On 15 August 1947, India as a nation realised the vision of self-determination. On 26 January 1950 we gave ourselves the Constitution of India, as an unwavering commitment to the values which define our society. At the heart of the Constitution is a commitment to equality upheld and enforced by the rule of law. Under our Constitution, citizens of all faiths, beliefs and creeds seeking divine provenance are both subject to the law and equal before the law. Every judge of this Court is not merely tasked with but sworn to uphold the Constitution and its values. The Constitution does not make a distinction between the faith and belief of one religion and another. All forms of belief, worship and prayer are equal. Those whose duty it is to interpret the Constitution, enforce it and engage with it can ignore this only to the peril of our society and nation. The Constitution speaks to the judges who interpret it, to those who govern who must enforce it, but above all, to the citizens who engage with it as an inseparable feature of their</w:t>
      </w:r>
      <w:r>
        <w:rPr>
          <w:spacing w:val="-22"/>
          <w:sz w:val="25"/>
        </w:rPr>
        <w:t> </w:t>
      </w:r>
      <w:r>
        <w:rPr>
          <w:sz w:val="25"/>
        </w:rPr>
        <w:t>lives.</w:t>
      </w:r>
    </w:p>
    <w:p>
      <w:pPr>
        <w:spacing w:after="0" w:line="480" w:lineRule="auto"/>
        <w:jc w:val="both"/>
        <w:rPr>
          <w:sz w:val="25"/>
        </w:rPr>
        <w:sectPr>
          <w:pgSz w:w="11910" w:h="16840"/>
          <w:pgMar w:header="721" w:footer="1014" w:top="1300" w:bottom="1200" w:left="940" w:right="1000"/>
        </w:sectPr>
      </w:pPr>
    </w:p>
    <w:p>
      <w:pPr>
        <w:pStyle w:val="ListParagraph"/>
        <w:numPr>
          <w:ilvl w:val="0"/>
          <w:numId w:val="241"/>
        </w:numPr>
        <w:tabs>
          <w:tab w:pos="1221" w:val="left" w:leader="none"/>
        </w:tabs>
        <w:spacing w:line="480" w:lineRule="auto" w:before="124" w:after="0"/>
        <w:ind w:left="500" w:right="438" w:firstLine="0"/>
        <w:jc w:val="both"/>
        <w:rPr>
          <w:sz w:val="25"/>
        </w:rPr>
      </w:pPr>
      <w:r>
        <w:rPr>
          <w:sz w:val="25"/>
        </w:rPr>
        <w:t>In the present case, this Court is tasked with an adjudicatory task of unique dimension. The dispute is over immovable property. The court does not decide title on the basis of faith or belief but on the basis of evidence. The law provides us with parameters as clear but as profound as ownership and possession. In deciding title to the disputed property, the court applies settled principles of evidence to adjudicate upon which party has established a claim to the immovable</w:t>
      </w:r>
      <w:r>
        <w:rPr>
          <w:spacing w:val="-2"/>
          <w:sz w:val="25"/>
        </w:rPr>
        <w:t> </w:t>
      </w:r>
      <w:r>
        <w:rPr>
          <w:sz w:val="25"/>
        </w:rPr>
        <w:t>property.</w:t>
      </w:r>
    </w:p>
    <w:p>
      <w:pPr>
        <w:pStyle w:val="BodyText"/>
        <w:spacing w:before="10"/>
        <w:rPr>
          <w:sz w:val="38"/>
        </w:rPr>
      </w:pPr>
    </w:p>
    <w:p>
      <w:pPr>
        <w:pStyle w:val="ListParagraph"/>
        <w:numPr>
          <w:ilvl w:val="0"/>
          <w:numId w:val="241"/>
        </w:numPr>
        <w:tabs>
          <w:tab w:pos="1221" w:val="left" w:leader="none"/>
        </w:tabs>
        <w:spacing w:line="480" w:lineRule="auto" w:before="0" w:after="0"/>
        <w:ind w:left="500" w:right="442" w:firstLine="0"/>
        <w:jc w:val="both"/>
        <w:rPr>
          <w:sz w:val="25"/>
        </w:rPr>
      </w:pPr>
      <w:r>
        <w:rPr>
          <w:sz w:val="25"/>
        </w:rPr>
        <w:t>On the balance of probabilities, there is clear evidence to indicate that the worship by the Hindus in the outer courtyard continued unimpeded in spite of the setting up of a grill-brick wall in 1857. Their possession of the outer courtyard stands established together with the incidents attaching to their control over</w:t>
      </w:r>
      <w:r>
        <w:rPr>
          <w:spacing w:val="-17"/>
          <w:sz w:val="25"/>
        </w:rPr>
        <w:t> </w:t>
      </w:r>
      <w:r>
        <w:rPr>
          <w:sz w:val="25"/>
        </w:rPr>
        <w:t>it.</w:t>
      </w:r>
    </w:p>
    <w:p>
      <w:pPr>
        <w:pStyle w:val="BodyText"/>
        <w:rPr>
          <w:sz w:val="39"/>
        </w:rPr>
      </w:pPr>
    </w:p>
    <w:p>
      <w:pPr>
        <w:pStyle w:val="ListParagraph"/>
        <w:numPr>
          <w:ilvl w:val="0"/>
          <w:numId w:val="241"/>
        </w:numPr>
        <w:tabs>
          <w:tab w:pos="1221" w:val="left" w:leader="none"/>
        </w:tabs>
        <w:spacing w:line="480" w:lineRule="auto" w:before="0" w:after="0"/>
        <w:ind w:left="500" w:right="433" w:firstLine="0"/>
        <w:jc w:val="both"/>
        <w:rPr>
          <w:sz w:val="25"/>
        </w:rPr>
      </w:pPr>
      <w:r>
        <w:rPr>
          <w:sz w:val="25"/>
        </w:rPr>
        <w:t>As regards the inner courtyard, there is evidence on a preponderance of probabilities to establish worship by the Hindus prior to the annexation of Oudh by the British in 1857. The Muslims have offered no evidence to indicate that they were in exclusive possession of the inner structure prior to 1857 since the date of the construction in the sixteenth century. After the setting up of the grill-brick wall, the structure of the mosque continued to exist and there is evidence to indicate that namaz was offered within its precincts. The report of the Waqf Inspector of December 1949 indicates that Muslims were being obstructed in free and unimpeded access to mosque for the purposes of offering namaz. However,  there is evidence to show that namaz was offered in the structure of the mosque and the last Friday namaz was on 16 December 1949. The exclusion of the Muslims</w:t>
      </w:r>
      <w:r>
        <w:rPr>
          <w:spacing w:val="19"/>
          <w:sz w:val="25"/>
        </w:rPr>
        <w:t> </w:t>
      </w:r>
      <w:r>
        <w:rPr>
          <w:sz w:val="25"/>
        </w:rPr>
        <w:t>from</w:t>
      </w:r>
      <w:r>
        <w:rPr>
          <w:spacing w:val="21"/>
          <w:sz w:val="25"/>
        </w:rPr>
        <w:t> </w:t>
      </w:r>
      <w:r>
        <w:rPr>
          <w:sz w:val="25"/>
        </w:rPr>
        <w:t>worship</w:t>
      </w:r>
      <w:r>
        <w:rPr>
          <w:spacing w:val="20"/>
          <w:sz w:val="25"/>
        </w:rPr>
        <w:t> </w:t>
      </w:r>
      <w:r>
        <w:rPr>
          <w:sz w:val="25"/>
        </w:rPr>
        <w:t>and</w:t>
      </w:r>
      <w:r>
        <w:rPr>
          <w:spacing w:val="21"/>
          <w:sz w:val="25"/>
        </w:rPr>
        <w:t> </w:t>
      </w:r>
      <w:r>
        <w:rPr>
          <w:sz w:val="25"/>
        </w:rPr>
        <w:t>possession</w:t>
      </w:r>
      <w:r>
        <w:rPr>
          <w:spacing w:val="21"/>
          <w:sz w:val="25"/>
        </w:rPr>
        <w:t> </w:t>
      </w:r>
      <w:r>
        <w:rPr>
          <w:sz w:val="25"/>
        </w:rPr>
        <w:t>took</w:t>
      </w:r>
      <w:r>
        <w:rPr>
          <w:spacing w:val="19"/>
          <w:sz w:val="25"/>
        </w:rPr>
        <w:t> </w:t>
      </w:r>
      <w:r>
        <w:rPr>
          <w:sz w:val="25"/>
        </w:rPr>
        <w:t>place</w:t>
      </w:r>
      <w:r>
        <w:rPr>
          <w:spacing w:val="21"/>
          <w:sz w:val="25"/>
        </w:rPr>
        <w:t> </w:t>
      </w:r>
      <w:r>
        <w:rPr>
          <w:sz w:val="25"/>
        </w:rPr>
        <w:t>on</w:t>
      </w:r>
      <w:r>
        <w:rPr>
          <w:spacing w:val="21"/>
          <w:sz w:val="25"/>
        </w:rPr>
        <w:t> </w:t>
      </w:r>
      <w:r>
        <w:rPr>
          <w:sz w:val="25"/>
        </w:rPr>
        <w:t>the</w:t>
      </w:r>
      <w:r>
        <w:rPr>
          <w:spacing w:val="23"/>
          <w:sz w:val="25"/>
        </w:rPr>
        <w:t> </w:t>
      </w:r>
      <w:r>
        <w:rPr>
          <w:sz w:val="25"/>
        </w:rPr>
        <w:t>intervening</w:t>
      </w:r>
      <w:r>
        <w:rPr>
          <w:spacing w:val="21"/>
          <w:sz w:val="25"/>
        </w:rPr>
        <w:t> </w:t>
      </w:r>
      <w:r>
        <w:rPr>
          <w:sz w:val="25"/>
        </w:rPr>
        <w:t>night</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40"/>
        <w:jc w:val="both"/>
      </w:pPr>
      <w:r>
        <w:rPr/>
        <w:t>between 22/23 December 1949 when the mosque was desecrated by the installation of Hindu idols. The ouster of the Muslims on that occasion was not through any lawful authority but through an act which was calculated to deprive them of their place of worship. After the proceedings under Section 145 of CrPC 1898 were initiated and a receiver was appointed following the attachment of the inner courtyard, worship of the Hindu idols was permitted. During the pendency of the suits, the entire structure of the mosque was brought down in a calculated act of destroying a place of public worship. The Muslims have been wrongly deprived of a mosque which had been constructed well over 450 years ago.</w:t>
      </w:r>
    </w:p>
    <w:p>
      <w:pPr>
        <w:pStyle w:val="BodyText"/>
        <w:rPr>
          <w:sz w:val="28"/>
        </w:rPr>
      </w:pPr>
    </w:p>
    <w:p>
      <w:pPr>
        <w:pStyle w:val="BodyText"/>
        <w:spacing w:before="9"/>
        <w:rPr>
          <w:sz w:val="24"/>
        </w:rPr>
      </w:pPr>
    </w:p>
    <w:p>
      <w:pPr>
        <w:pStyle w:val="ListParagraph"/>
        <w:numPr>
          <w:ilvl w:val="0"/>
          <w:numId w:val="241"/>
        </w:numPr>
        <w:tabs>
          <w:tab w:pos="1221" w:val="left" w:leader="none"/>
        </w:tabs>
        <w:spacing w:line="480" w:lineRule="auto" w:before="0" w:after="0"/>
        <w:ind w:left="500" w:right="439" w:firstLine="0"/>
        <w:jc w:val="both"/>
        <w:rPr>
          <w:sz w:val="25"/>
        </w:rPr>
      </w:pPr>
      <w:r>
        <w:rPr>
          <w:spacing w:val="3"/>
          <w:sz w:val="25"/>
        </w:rPr>
        <w:t>We </w:t>
      </w:r>
      <w:r>
        <w:rPr>
          <w:sz w:val="25"/>
        </w:rPr>
        <w:t>have already concluded that the three-way bifurcation by the High Court was legally unsustainable. Even as a matter of maintaining public peace and tranquillity, the solution which commended itself to the High Court is not feasible. The disputed site admeasures all of 1500 square yards. Dividing the land will not subserve the interest of either of the parties or secure a lasting sense of peace and</w:t>
      </w:r>
      <w:r>
        <w:rPr>
          <w:spacing w:val="-4"/>
          <w:sz w:val="25"/>
        </w:rPr>
        <w:t> </w:t>
      </w:r>
      <w:r>
        <w:rPr>
          <w:sz w:val="25"/>
        </w:rPr>
        <w:t>tranquillity.</w:t>
      </w:r>
    </w:p>
    <w:p>
      <w:pPr>
        <w:pStyle w:val="BodyText"/>
        <w:rPr>
          <w:sz w:val="39"/>
        </w:rPr>
      </w:pPr>
    </w:p>
    <w:p>
      <w:pPr>
        <w:pStyle w:val="ListParagraph"/>
        <w:numPr>
          <w:ilvl w:val="0"/>
          <w:numId w:val="241"/>
        </w:numPr>
        <w:tabs>
          <w:tab w:pos="1221" w:val="left" w:leader="none"/>
        </w:tabs>
        <w:spacing w:line="480" w:lineRule="auto" w:before="0" w:after="0"/>
        <w:ind w:left="500" w:right="436" w:firstLine="0"/>
        <w:jc w:val="both"/>
        <w:rPr>
          <w:sz w:val="25"/>
        </w:rPr>
      </w:pPr>
      <w:r>
        <w:rPr>
          <w:sz w:val="25"/>
        </w:rPr>
        <w:t>Suit 5 has been held to be maintainable at the behest of the first plaintiff (the deity of Lord Ram) who is a juristic person. The third plaintiff (next friend) has been held to be entitled to represent the the first plaintiff. </w:t>
      </w:r>
      <w:r>
        <w:rPr>
          <w:spacing w:val="4"/>
          <w:sz w:val="25"/>
        </w:rPr>
        <w:t>We </w:t>
      </w:r>
      <w:r>
        <w:rPr>
          <w:sz w:val="25"/>
        </w:rPr>
        <w:t>are of the view that on the one hand a decree must ensue in Suit 5, Suit 4 must also be partly decreed by directing the allotment of alternate land to the Muslims for the construction of a mosque and associated activities. The allotment of land to the Muslims is necessary because though on a balance of probabilities, the</w:t>
      </w:r>
      <w:r>
        <w:rPr>
          <w:spacing w:val="48"/>
          <w:sz w:val="25"/>
        </w:rPr>
        <w:t> </w:t>
      </w:r>
      <w:r>
        <w:rPr>
          <w:sz w:val="25"/>
        </w:rPr>
        <w:t>evidence</w:t>
      </w:r>
    </w:p>
    <w:p>
      <w:pPr>
        <w:spacing w:after="0" w:line="480" w:lineRule="auto"/>
        <w:jc w:val="both"/>
        <w:rPr>
          <w:sz w:val="25"/>
        </w:rPr>
        <w:sectPr>
          <w:pgSz w:w="11910" w:h="16840"/>
          <w:pgMar w:header="721" w:footer="1014" w:top="1300" w:bottom="1200" w:left="940" w:right="1000"/>
        </w:sectPr>
      </w:pPr>
    </w:p>
    <w:p>
      <w:pPr>
        <w:pStyle w:val="BodyText"/>
        <w:spacing w:line="480" w:lineRule="auto" w:before="124"/>
        <w:ind w:left="500" w:right="434"/>
        <w:jc w:val="both"/>
      </w:pPr>
      <w:r>
        <w:rPr/>
        <w:t>in respect of the possessory claim of the Hindus to the composite whole of the disputed property stands on a better footing than the evidence adduced by the Muslims, the Muslims were dispossessed upon the desecration of the mosque on 22/23 December 1949 which was ultimately destroyed on 6 December 1992. There was no abandonment of the mosque by the Muslims. This Court in the exercise of its powers under Article 142 of the Constitution must ensure that a wrong committed must be remedied. Justice would not prevail if the Court were to overlook the entitlement of the Muslims who have been deprived of the structure of the mosque through means which should not have been employed in a secular nation committed to the rule of law. The Constitution postulates the equality of </w:t>
      </w:r>
      <w:r>
        <w:rPr>
          <w:u w:val="single"/>
        </w:rPr>
        <w:t>all</w:t>
      </w:r>
    </w:p>
    <w:p>
      <w:pPr>
        <w:pStyle w:val="BodyText"/>
        <w:spacing w:line="480" w:lineRule="auto" w:before="1"/>
        <w:ind w:left="500" w:right="440"/>
        <w:jc w:val="both"/>
      </w:pPr>
      <w:r>
        <w:rPr/>
        <w:t>faiths. Tolerance and mutual co-existnce nourish the secular commitment of our nation and its people.</w:t>
      </w:r>
    </w:p>
    <w:p>
      <w:pPr>
        <w:pStyle w:val="BodyText"/>
        <w:rPr>
          <w:sz w:val="28"/>
        </w:rPr>
      </w:pPr>
    </w:p>
    <w:p>
      <w:pPr>
        <w:pStyle w:val="BodyText"/>
        <w:spacing w:before="9"/>
        <w:rPr>
          <w:sz w:val="24"/>
        </w:rPr>
      </w:pPr>
    </w:p>
    <w:p>
      <w:pPr>
        <w:pStyle w:val="ListParagraph"/>
        <w:numPr>
          <w:ilvl w:val="0"/>
          <w:numId w:val="241"/>
        </w:numPr>
        <w:tabs>
          <w:tab w:pos="1221" w:val="left" w:leader="none"/>
        </w:tabs>
        <w:spacing w:line="480" w:lineRule="auto" w:before="0" w:after="0"/>
        <w:ind w:left="500" w:right="434" w:firstLine="0"/>
        <w:jc w:val="both"/>
        <w:rPr>
          <w:sz w:val="25"/>
        </w:rPr>
      </w:pPr>
      <w:r>
        <w:rPr>
          <w:sz w:val="25"/>
        </w:rPr>
        <w:t>The area of the composite site admeasures about 1500 square yards. While determining the area of land to be allotted, it is necessary to provide restitution to the Muslim community for the unlawful destruction of their place of worship. Having weighed the nature of the relief which should be granted to the Muslims, we direct that land admeasuring 5 acres be allotted to the Sunni Central Waqf Board either by the Central Government out of the acquired land or by the Government of Uttar Pradesh within the city of Ayodhya. This exercise, and the consequent handing over of the land to the Sunni Central Waqf Board, shall be conducted simultaneously with the handing over of the disputed site comprising of the inner and outer courtyards as a consequence of the decree in Suit </w:t>
      </w:r>
      <w:r>
        <w:rPr>
          <w:spacing w:val="3"/>
          <w:sz w:val="25"/>
        </w:rPr>
        <w:t>5. </w:t>
      </w:r>
      <w:r>
        <w:rPr>
          <w:sz w:val="25"/>
        </w:rPr>
        <w:t>Suit 4 shall stand decreed in the above</w:t>
      </w:r>
      <w:r>
        <w:rPr>
          <w:spacing w:val="-8"/>
          <w:sz w:val="25"/>
        </w:rPr>
        <w:t> </w:t>
      </w:r>
      <w:r>
        <w:rPr>
          <w:sz w:val="25"/>
        </w:rPr>
        <w:t>terms.</w:t>
      </w:r>
    </w:p>
    <w:p>
      <w:pPr>
        <w:spacing w:after="0" w:line="480" w:lineRule="auto"/>
        <w:jc w:val="both"/>
        <w:rPr>
          <w:sz w:val="25"/>
        </w:rPr>
        <w:sectPr>
          <w:pgSz w:w="11910" w:h="16840"/>
          <w:pgMar w:header="721" w:footer="1014" w:top="1300" w:bottom="1200" w:left="940" w:right="1000"/>
        </w:sectPr>
      </w:pPr>
    </w:p>
    <w:p>
      <w:pPr>
        <w:pStyle w:val="ListParagraph"/>
        <w:numPr>
          <w:ilvl w:val="0"/>
          <w:numId w:val="241"/>
        </w:numPr>
        <w:tabs>
          <w:tab w:pos="1221" w:val="left" w:leader="none"/>
        </w:tabs>
        <w:spacing w:line="480" w:lineRule="auto" w:before="124" w:after="0"/>
        <w:ind w:left="500" w:right="437" w:firstLine="0"/>
        <w:jc w:val="both"/>
        <w:rPr>
          <w:sz w:val="25"/>
        </w:rPr>
      </w:pPr>
      <w:r>
        <w:rPr>
          <w:sz w:val="25"/>
        </w:rPr>
        <w:t>Section 6 of the Acquisition of Certain Area at Ayodhya Act 1993 empowers the Central Government to direct that the right, title and interest in relation to the area or any part thereof, instead of continuing to vest in the Central Government shall vest in the authority or body or trustees of any trust which is willing to comply with the terms and conditions as government may </w:t>
      </w:r>
      <w:r>
        <w:rPr>
          <w:spacing w:val="-3"/>
          <w:sz w:val="25"/>
        </w:rPr>
        <w:t>impose.</w:t>
      </w:r>
      <w:r>
        <w:rPr>
          <w:spacing w:val="-3"/>
          <w:sz w:val="25"/>
          <w:vertAlign w:val="superscript"/>
        </w:rPr>
        <w:t>407</w:t>
      </w:r>
      <w:r>
        <w:rPr>
          <w:spacing w:val="-3"/>
          <w:sz w:val="25"/>
          <w:vertAlign w:val="baseline"/>
        </w:rPr>
        <w:t> </w:t>
      </w:r>
      <w:r>
        <w:rPr>
          <w:sz w:val="25"/>
          <w:vertAlign w:val="baseline"/>
        </w:rPr>
        <w:t>Section 7(1) provides that the property vested in the Central Government under Section 3, shall be maintained by the government or by any person or trustees of any trust, authorities in this</w:t>
      </w:r>
      <w:r>
        <w:rPr>
          <w:spacing w:val="-5"/>
          <w:sz w:val="25"/>
          <w:vertAlign w:val="baseline"/>
        </w:rPr>
        <w:t> </w:t>
      </w:r>
      <w:r>
        <w:rPr>
          <w:sz w:val="25"/>
          <w:vertAlign w:val="baseline"/>
        </w:rPr>
        <w:t>behalf.</w:t>
      </w:r>
      <w:r>
        <w:rPr>
          <w:sz w:val="25"/>
          <w:vertAlign w:val="superscript"/>
        </w:rPr>
        <w:t>408</w:t>
      </w:r>
    </w:p>
    <w:p>
      <w:pPr>
        <w:pStyle w:val="BodyText"/>
        <w:spacing w:before="11"/>
        <w:rPr>
          <w:sz w:val="38"/>
        </w:rPr>
      </w:pPr>
    </w:p>
    <w:p>
      <w:pPr>
        <w:pStyle w:val="ListParagraph"/>
        <w:numPr>
          <w:ilvl w:val="0"/>
          <w:numId w:val="241"/>
        </w:numPr>
        <w:tabs>
          <w:tab w:pos="1221" w:val="left" w:leader="none"/>
        </w:tabs>
        <w:spacing w:line="480" w:lineRule="auto" w:before="0" w:after="0"/>
        <w:ind w:left="500" w:right="436" w:firstLine="0"/>
        <w:jc w:val="both"/>
        <w:rPr>
          <w:sz w:val="25"/>
        </w:rPr>
      </w:pPr>
      <w:r>
        <w:rPr/>
        <w:pict>
          <v:rect style="position:absolute;margin-left:72.024002pt;margin-top:170.624832pt;width:144.020pt;height:.600010pt;mso-position-horizontal-relative:page;mso-position-vertical-relative:paragraph;z-index:15848448" filled="true" fillcolor="#000000" stroked="false">
            <v:fill type="solid"/>
            <w10:wrap type="none"/>
          </v:rect>
        </w:pict>
      </w:r>
      <w:r>
        <w:rPr>
          <w:spacing w:val="3"/>
          <w:sz w:val="25"/>
        </w:rPr>
        <w:t>We </w:t>
      </w:r>
      <w:r>
        <w:rPr>
          <w:sz w:val="25"/>
        </w:rPr>
        <w:t>are of the view that it would be necessary to direct the Central Government to frame a scheme in exercise of the powers conferred upon it by Sections 6 and 7 to set up a trust or any other appropriate mechanism to whom the land would be handed over in terms of the decree </w:t>
      </w:r>
      <w:r>
        <w:rPr>
          <w:spacing w:val="4"/>
          <w:sz w:val="25"/>
        </w:rPr>
        <w:t>in </w:t>
      </w:r>
      <w:r>
        <w:rPr>
          <w:sz w:val="25"/>
        </w:rPr>
        <w:t>Suit 5. The scheme shall incorporate all provisions necessary to vest power and authority in relation to the management</w:t>
      </w:r>
      <w:r>
        <w:rPr>
          <w:spacing w:val="19"/>
          <w:sz w:val="25"/>
        </w:rPr>
        <w:t> </w:t>
      </w:r>
      <w:r>
        <w:rPr>
          <w:sz w:val="25"/>
        </w:rPr>
        <w:t>of</w:t>
      </w:r>
      <w:r>
        <w:rPr>
          <w:spacing w:val="18"/>
          <w:sz w:val="25"/>
        </w:rPr>
        <w:t> </w:t>
      </w:r>
      <w:r>
        <w:rPr>
          <w:sz w:val="25"/>
        </w:rPr>
        <w:t>the</w:t>
      </w:r>
      <w:r>
        <w:rPr>
          <w:spacing w:val="18"/>
          <w:sz w:val="25"/>
        </w:rPr>
        <w:t> </w:t>
      </w:r>
      <w:r>
        <w:rPr>
          <w:sz w:val="25"/>
        </w:rPr>
        <w:t>trust</w:t>
      </w:r>
      <w:r>
        <w:rPr>
          <w:spacing w:val="21"/>
          <w:sz w:val="25"/>
        </w:rPr>
        <w:t> </w:t>
      </w:r>
      <w:r>
        <w:rPr>
          <w:sz w:val="25"/>
        </w:rPr>
        <w:t>or</w:t>
      </w:r>
      <w:r>
        <w:rPr>
          <w:spacing w:val="21"/>
          <w:sz w:val="25"/>
        </w:rPr>
        <w:t> </w:t>
      </w:r>
      <w:r>
        <w:rPr>
          <w:sz w:val="25"/>
        </w:rPr>
        <w:t>the</w:t>
      </w:r>
      <w:r>
        <w:rPr>
          <w:spacing w:val="22"/>
          <w:sz w:val="25"/>
        </w:rPr>
        <w:t> </w:t>
      </w:r>
      <w:r>
        <w:rPr>
          <w:sz w:val="25"/>
        </w:rPr>
        <w:t>body</w:t>
      </w:r>
      <w:r>
        <w:rPr>
          <w:spacing w:val="18"/>
          <w:sz w:val="25"/>
        </w:rPr>
        <w:t> </w:t>
      </w:r>
      <w:r>
        <w:rPr>
          <w:sz w:val="25"/>
        </w:rPr>
        <w:t>chosen</w:t>
      </w:r>
      <w:r>
        <w:rPr>
          <w:spacing w:val="21"/>
          <w:sz w:val="25"/>
        </w:rPr>
        <w:t> </w:t>
      </w:r>
      <w:r>
        <w:rPr>
          <w:sz w:val="25"/>
        </w:rPr>
        <w:t>for</w:t>
      </w:r>
      <w:r>
        <w:rPr>
          <w:spacing w:val="20"/>
          <w:sz w:val="25"/>
        </w:rPr>
        <w:t> </w:t>
      </w:r>
      <w:r>
        <w:rPr>
          <w:sz w:val="25"/>
        </w:rPr>
        <w:t>the</w:t>
      </w:r>
      <w:r>
        <w:rPr>
          <w:spacing w:val="21"/>
          <w:sz w:val="25"/>
        </w:rPr>
        <w:t> </w:t>
      </w:r>
      <w:r>
        <w:rPr>
          <w:sz w:val="25"/>
        </w:rPr>
        <w:t>vesting</w:t>
      </w:r>
      <w:r>
        <w:rPr>
          <w:spacing w:val="20"/>
          <w:sz w:val="25"/>
        </w:rPr>
        <w:t> </w:t>
      </w:r>
      <w:r>
        <w:rPr>
          <w:sz w:val="25"/>
        </w:rPr>
        <w:t>of</w:t>
      </w:r>
      <w:r>
        <w:rPr>
          <w:spacing w:val="21"/>
          <w:sz w:val="25"/>
        </w:rPr>
        <w:t> </w:t>
      </w:r>
      <w:r>
        <w:rPr>
          <w:sz w:val="25"/>
        </w:rPr>
        <w:t>the</w:t>
      </w:r>
      <w:r>
        <w:rPr>
          <w:spacing w:val="19"/>
          <w:sz w:val="25"/>
        </w:rPr>
        <w:t> </w:t>
      </w:r>
      <w:r>
        <w:rPr>
          <w:sz w:val="25"/>
        </w:rPr>
        <w:t>land.</w:t>
      </w:r>
    </w:p>
    <w:p>
      <w:pPr>
        <w:spacing w:line="240" w:lineRule="auto" w:before="79"/>
        <w:ind w:left="500" w:right="433" w:firstLine="0"/>
        <w:jc w:val="both"/>
        <w:rPr>
          <w:sz w:val="18"/>
        </w:rPr>
      </w:pPr>
      <w:r>
        <w:rPr>
          <w:sz w:val="18"/>
          <w:vertAlign w:val="superscript"/>
        </w:rPr>
        <w:t>407</w:t>
      </w:r>
      <w:r>
        <w:rPr>
          <w:sz w:val="18"/>
          <w:vertAlign w:val="baseline"/>
        </w:rPr>
        <w:t> 6. </w:t>
      </w:r>
      <w:r>
        <w:rPr>
          <w:b/>
          <w:sz w:val="18"/>
          <w:vertAlign w:val="baseline"/>
        </w:rPr>
        <w:t>Power of Central Government to direct vesting of the area in another authority or body or trust</w:t>
      </w:r>
      <w:r>
        <w:rPr>
          <w:sz w:val="18"/>
          <w:vertAlign w:val="baseline"/>
        </w:rPr>
        <w:t>.—(1) Notwithstanding anything contained in Sections 3, 4, 5 and 7, the Central Government may, if it is satisfied that any authority or other body, or trustees of any trust, set up on or after the commencement of this Act is or are willing to comply with such terms and conditions as that Government may think fit to impose, direct by notification in the Official Gazette, that the right, title and interest or any of them in reason to the area or any part thereof, instead of continuing to vest in the Central Government, vest in that authority or body or trustees of that trust either on the date of the notification or on such later date as may be specified in the notification.</w:t>
      </w:r>
    </w:p>
    <w:p>
      <w:pPr>
        <w:pStyle w:val="ListParagraph"/>
        <w:numPr>
          <w:ilvl w:val="0"/>
          <w:numId w:val="246"/>
        </w:numPr>
        <w:tabs>
          <w:tab w:pos="772" w:val="left" w:leader="none"/>
        </w:tabs>
        <w:spacing w:line="240" w:lineRule="auto" w:before="4" w:after="0"/>
        <w:ind w:left="500" w:right="437" w:firstLine="0"/>
        <w:jc w:val="both"/>
        <w:rPr>
          <w:sz w:val="18"/>
        </w:rPr>
      </w:pPr>
      <w:r>
        <w:rPr>
          <w:sz w:val="18"/>
        </w:rPr>
        <w:t>When any right, title and interest in relation to the area or part thereof vest in the authority or body or trustees referred to in sub-section (1), such rights of the Central Government in relation to such area or part thereof, shall, on and from the date of such vesting, be deemed to have become the rights of that authority or body or trustees of that</w:t>
      </w:r>
      <w:r>
        <w:rPr>
          <w:spacing w:val="-3"/>
          <w:sz w:val="18"/>
        </w:rPr>
        <w:t> </w:t>
      </w:r>
      <w:r>
        <w:rPr>
          <w:sz w:val="18"/>
        </w:rPr>
        <w:t>trust.</w:t>
      </w:r>
    </w:p>
    <w:p>
      <w:pPr>
        <w:pStyle w:val="ListParagraph"/>
        <w:numPr>
          <w:ilvl w:val="0"/>
          <w:numId w:val="246"/>
        </w:numPr>
        <w:tabs>
          <w:tab w:pos="777" w:val="left" w:leader="none"/>
        </w:tabs>
        <w:spacing w:line="240" w:lineRule="auto" w:before="0" w:after="0"/>
        <w:ind w:left="500" w:right="435" w:firstLine="0"/>
        <w:jc w:val="both"/>
        <w:rPr>
          <w:sz w:val="18"/>
        </w:rPr>
      </w:pPr>
      <w:r>
        <w:rPr>
          <w:sz w:val="18"/>
        </w:rPr>
        <w:t>The provision of Sections 4, 5, 7 and 11 shall, so far as may be, apply in relation to such authority or body or trustees as they apply in relation to the Central Government and for this purpose references therein to the Central Government shall be construed as references to such authority or body or</w:t>
      </w:r>
      <w:r>
        <w:rPr>
          <w:spacing w:val="-17"/>
          <w:sz w:val="18"/>
        </w:rPr>
        <w:t> </w:t>
      </w:r>
      <w:r>
        <w:rPr>
          <w:sz w:val="18"/>
        </w:rPr>
        <w:t>trustees.</w:t>
      </w:r>
    </w:p>
    <w:p>
      <w:pPr>
        <w:pStyle w:val="BodyText"/>
        <w:rPr>
          <w:sz w:val="18"/>
        </w:rPr>
      </w:pPr>
    </w:p>
    <w:p>
      <w:pPr>
        <w:spacing w:before="0"/>
        <w:ind w:left="500" w:right="440" w:firstLine="0"/>
        <w:jc w:val="both"/>
        <w:rPr>
          <w:sz w:val="18"/>
        </w:rPr>
      </w:pPr>
      <w:r>
        <w:rPr>
          <w:sz w:val="18"/>
          <w:vertAlign w:val="superscript"/>
        </w:rPr>
        <w:t>408</w:t>
      </w:r>
      <w:r>
        <w:rPr>
          <w:sz w:val="18"/>
          <w:vertAlign w:val="baseline"/>
        </w:rPr>
        <w:t> 7. Management of property by Government.—(1) Notwithstanding anything contained in any contract or instrument or order of any court, tribunal or other authority to the contrary, on and from the commencement of this Act, the property vested in the Central Government under Section 3 shall be managed by the Central Government or by a person or body of persons or trustees of any trust authorised by that Government in this behalf.</w:t>
      </w:r>
    </w:p>
    <w:p>
      <w:pPr>
        <w:spacing w:before="0"/>
        <w:ind w:left="500" w:right="437" w:firstLine="0"/>
        <w:jc w:val="both"/>
        <w:rPr>
          <w:sz w:val="18"/>
        </w:rPr>
      </w:pPr>
      <w:r>
        <w:rPr>
          <w:sz w:val="18"/>
        </w:rPr>
        <w:t>(2) In managing the property vested in the Central Government under Section 3, the Central Government or the authorised person shall ensure that the position existing before the commencement of this Act in the area on which the structure (including the premises of the inner and outer courtyards of such structure), commonly known as the Ram Janma Bhumi-Babri Masjid stood in village Kot Ramchandra in Ayodhya, in Pargana Haveli Avadh, in tehsil Faizabad Sadar, in the district of Faizabad of the State of Uttar Pradesh is maintained.</w:t>
      </w:r>
    </w:p>
    <w:p>
      <w:pPr>
        <w:spacing w:after="0"/>
        <w:jc w:val="both"/>
        <w:rPr>
          <w:sz w:val="18"/>
        </w:rPr>
        <w:sectPr>
          <w:pgSz w:w="11910" w:h="16840"/>
          <w:pgMar w:header="721" w:footer="1014" w:top="1300" w:bottom="1200" w:left="940" w:right="1000"/>
        </w:sectPr>
      </w:pPr>
    </w:p>
    <w:p>
      <w:pPr>
        <w:pStyle w:val="ListParagraph"/>
        <w:numPr>
          <w:ilvl w:val="0"/>
          <w:numId w:val="241"/>
        </w:numPr>
        <w:tabs>
          <w:tab w:pos="1221" w:val="left" w:leader="none"/>
        </w:tabs>
        <w:spacing w:line="480" w:lineRule="auto" w:before="124" w:after="0"/>
        <w:ind w:left="500" w:right="434" w:firstLine="0"/>
        <w:jc w:val="both"/>
        <w:rPr>
          <w:sz w:val="25"/>
        </w:rPr>
      </w:pPr>
      <w:r>
        <w:rPr>
          <w:sz w:val="25"/>
        </w:rPr>
        <w:t>Suit 3 filed by Nirmohi Akhara has been held to be barred by limitation. </w:t>
      </w:r>
      <w:r>
        <w:rPr>
          <w:spacing w:val="4"/>
          <w:sz w:val="25"/>
        </w:rPr>
        <w:t>We </w:t>
      </w:r>
      <w:r>
        <w:rPr>
          <w:sz w:val="25"/>
        </w:rPr>
        <w:t>have also rejected the objection of Nirmohi Akhara and of the Sunni Central Waqf Board to the maintainability of Suit 5 which was based on their plea that Nirmohi Akhara is a shebait. Nirmohi Akhara‘s claim to be a shebait stands rejected. However, having regard to the historical presence of Nirmohi Akhara at the disputed site and their role, it is necessary for this Court to take recourse to its powers under Article 142 to do complete justice. Hence, we direct that in framing the scheme, an appropriate role in the management would be assigned to the Nirmohi</w:t>
      </w:r>
      <w:r>
        <w:rPr>
          <w:spacing w:val="-2"/>
          <w:sz w:val="25"/>
        </w:rPr>
        <w:t> </w:t>
      </w:r>
      <w:r>
        <w:rPr>
          <w:sz w:val="25"/>
        </w:rPr>
        <w:t>Akhara.</w:t>
      </w:r>
    </w:p>
    <w:p>
      <w:pPr>
        <w:pStyle w:val="BodyText"/>
        <w:rPr>
          <w:sz w:val="28"/>
        </w:rPr>
      </w:pPr>
    </w:p>
    <w:p>
      <w:pPr>
        <w:pStyle w:val="Heading5"/>
        <w:numPr>
          <w:ilvl w:val="0"/>
          <w:numId w:val="191"/>
        </w:numPr>
        <w:tabs>
          <w:tab w:pos="1221" w:val="left" w:leader="none"/>
        </w:tabs>
        <w:spacing w:line="240" w:lineRule="auto" w:before="244" w:after="0"/>
        <w:ind w:left="1220" w:right="0" w:hanging="721"/>
        <w:jc w:val="both"/>
      </w:pPr>
      <w:r>
        <w:rPr/>
        <w:t>Reliefs and</w:t>
      </w:r>
      <w:r>
        <w:rPr>
          <w:spacing w:val="-4"/>
        </w:rPr>
        <w:t> </w:t>
      </w:r>
      <w:r>
        <w:rPr/>
        <w:t>directions</w:t>
      </w:r>
    </w:p>
    <w:p>
      <w:pPr>
        <w:pStyle w:val="BodyText"/>
        <w:rPr>
          <w:b/>
          <w:sz w:val="28"/>
        </w:rPr>
      </w:pPr>
    </w:p>
    <w:p>
      <w:pPr>
        <w:pStyle w:val="ListParagraph"/>
        <w:numPr>
          <w:ilvl w:val="0"/>
          <w:numId w:val="241"/>
        </w:numPr>
        <w:tabs>
          <w:tab w:pos="1286" w:val="left" w:leader="none"/>
        </w:tabs>
        <w:spacing w:line="240" w:lineRule="auto" w:before="207" w:after="0"/>
        <w:ind w:left="1285" w:right="0" w:hanging="786"/>
        <w:jc w:val="both"/>
        <w:rPr>
          <w:sz w:val="25"/>
        </w:rPr>
      </w:pPr>
      <w:r>
        <w:rPr>
          <w:spacing w:val="4"/>
          <w:sz w:val="25"/>
        </w:rPr>
        <w:t>We </w:t>
      </w:r>
      <w:r>
        <w:rPr>
          <w:sz w:val="25"/>
        </w:rPr>
        <w:t>accordingly order and direct as</w:t>
      </w:r>
      <w:r>
        <w:rPr>
          <w:spacing w:val="-14"/>
          <w:sz w:val="25"/>
        </w:rPr>
        <w:t> </w:t>
      </w:r>
      <w:r>
        <w:rPr>
          <w:sz w:val="25"/>
        </w:rPr>
        <w:t>follows:</w:t>
      </w:r>
    </w:p>
    <w:p>
      <w:pPr>
        <w:pStyle w:val="BodyText"/>
        <w:spacing w:before="10"/>
        <w:rPr>
          <w:sz w:val="38"/>
        </w:rPr>
      </w:pPr>
    </w:p>
    <w:p>
      <w:pPr>
        <w:pStyle w:val="ListParagraph"/>
        <w:numPr>
          <w:ilvl w:val="0"/>
          <w:numId w:val="247"/>
        </w:numPr>
        <w:tabs>
          <w:tab w:pos="1196" w:val="left" w:leader="none"/>
        </w:tabs>
        <w:spacing w:line="480" w:lineRule="auto" w:before="0" w:after="0"/>
        <w:ind w:left="1940" w:right="439" w:hanging="1440"/>
        <w:jc w:val="both"/>
        <w:rPr>
          <w:sz w:val="25"/>
        </w:rPr>
      </w:pPr>
      <w:r>
        <w:rPr>
          <w:sz w:val="25"/>
        </w:rPr>
        <w:t>(i)  Suit 3 instituted by Nirmohi Akhara is held to be barred by limitation  and shall accordingly stand</w:t>
      </w:r>
      <w:r>
        <w:rPr>
          <w:spacing w:val="-5"/>
          <w:sz w:val="25"/>
        </w:rPr>
        <w:t> </w:t>
      </w:r>
      <w:r>
        <w:rPr>
          <w:sz w:val="25"/>
        </w:rPr>
        <w:t>dismissed;</w:t>
      </w:r>
    </w:p>
    <w:p>
      <w:pPr>
        <w:pStyle w:val="ListParagraph"/>
        <w:numPr>
          <w:ilvl w:val="0"/>
          <w:numId w:val="248"/>
        </w:numPr>
        <w:tabs>
          <w:tab w:pos="1941" w:val="left" w:leader="none"/>
        </w:tabs>
        <w:spacing w:line="480" w:lineRule="auto" w:before="0" w:after="0"/>
        <w:ind w:left="1940" w:right="443" w:hanging="720"/>
        <w:jc w:val="both"/>
        <w:rPr>
          <w:sz w:val="25"/>
        </w:rPr>
      </w:pPr>
      <w:r>
        <w:rPr>
          <w:sz w:val="25"/>
        </w:rPr>
        <w:t>Suit 4 instituted by the Sunni Central Waqf Board and other plaintiffs is held to be within limitation. The judgment of the High Court holding Suit 4 to be barred by limitation is reversed;</w:t>
      </w:r>
      <w:r>
        <w:rPr>
          <w:spacing w:val="-11"/>
          <w:sz w:val="25"/>
        </w:rPr>
        <w:t> </w:t>
      </w:r>
      <w:r>
        <w:rPr>
          <w:sz w:val="25"/>
        </w:rPr>
        <w:t>and</w:t>
      </w:r>
    </w:p>
    <w:p>
      <w:pPr>
        <w:pStyle w:val="ListParagraph"/>
        <w:numPr>
          <w:ilvl w:val="0"/>
          <w:numId w:val="248"/>
        </w:numPr>
        <w:tabs>
          <w:tab w:pos="1941" w:val="left" w:leader="none"/>
        </w:tabs>
        <w:spacing w:line="240" w:lineRule="auto" w:before="1" w:after="0"/>
        <w:ind w:left="1940" w:right="0" w:hanging="721"/>
        <w:jc w:val="both"/>
        <w:rPr>
          <w:sz w:val="25"/>
        </w:rPr>
      </w:pPr>
      <w:r>
        <w:rPr>
          <w:sz w:val="25"/>
        </w:rPr>
        <w:t>Suit 5 is held to be within</w:t>
      </w:r>
      <w:r>
        <w:rPr>
          <w:spacing w:val="-4"/>
          <w:sz w:val="25"/>
        </w:rPr>
        <w:t> </w:t>
      </w:r>
      <w:r>
        <w:rPr>
          <w:sz w:val="25"/>
        </w:rPr>
        <w:t>limitation.</w:t>
      </w:r>
    </w:p>
    <w:p>
      <w:pPr>
        <w:pStyle w:val="BodyText"/>
        <w:rPr>
          <w:sz w:val="28"/>
        </w:rPr>
      </w:pPr>
    </w:p>
    <w:p>
      <w:pPr>
        <w:pStyle w:val="BodyText"/>
        <w:spacing w:before="5"/>
        <w:rPr>
          <w:sz w:val="39"/>
        </w:rPr>
      </w:pPr>
    </w:p>
    <w:p>
      <w:pPr>
        <w:pStyle w:val="ListParagraph"/>
        <w:numPr>
          <w:ilvl w:val="0"/>
          <w:numId w:val="247"/>
        </w:numPr>
        <w:tabs>
          <w:tab w:pos="1221" w:val="left" w:leader="none"/>
        </w:tabs>
        <w:spacing w:line="480" w:lineRule="auto" w:before="1" w:after="0"/>
        <w:ind w:left="500" w:right="446" w:firstLine="0"/>
        <w:jc w:val="both"/>
        <w:rPr>
          <w:sz w:val="25"/>
        </w:rPr>
      </w:pPr>
      <w:r>
        <w:rPr>
          <w:sz w:val="25"/>
        </w:rPr>
        <w:t>Suit 5 is held to be maintainable at the behest of the first plaintiff who is represented by the third plaintiff. There shall be a decree in terms of prayer clauses (A) and (B) of the suit, subject to the following</w:t>
      </w:r>
      <w:r>
        <w:rPr>
          <w:spacing w:val="-11"/>
          <w:sz w:val="25"/>
        </w:rPr>
        <w:t> </w:t>
      </w:r>
      <w:r>
        <w:rPr>
          <w:sz w:val="25"/>
        </w:rPr>
        <w:t>directions:</w:t>
      </w:r>
    </w:p>
    <w:p>
      <w:pPr>
        <w:spacing w:after="0" w:line="480" w:lineRule="auto"/>
        <w:jc w:val="both"/>
        <w:rPr>
          <w:sz w:val="25"/>
        </w:rPr>
        <w:sectPr>
          <w:headerReference w:type="default" r:id="rId208"/>
          <w:footerReference w:type="default" r:id="rId209"/>
          <w:pgSz w:w="11910" w:h="16840"/>
          <w:pgMar w:header="721" w:footer="1014" w:top="1300" w:bottom="1200" w:left="940" w:right="1000"/>
          <w:pgNumType w:start="925"/>
        </w:sectPr>
      </w:pPr>
    </w:p>
    <w:p>
      <w:pPr>
        <w:pStyle w:val="ListParagraph"/>
        <w:numPr>
          <w:ilvl w:val="0"/>
          <w:numId w:val="249"/>
        </w:numPr>
        <w:tabs>
          <w:tab w:pos="1221" w:val="left" w:leader="none"/>
        </w:tabs>
        <w:spacing w:line="480" w:lineRule="auto" w:before="124" w:after="0"/>
        <w:ind w:left="1220" w:right="439" w:hanging="720"/>
        <w:jc w:val="both"/>
        <w:rPr>
          <w:sz w:val="25"/>
        </w:rPr>
      </w:pPr>
      <w:r>
        <w:rPr>
          <w:sz w:val="25"/>
        </w:rPr>
        <w:t>The Central Government shall, within a period of three months from the date of this judgment, formulate a scheme pursuant to the powers vested in it under Sections 6 and 7 of the Acquisition of Certain Area at Ayodhya Act 1993. The scheme shall envisage the setting up of a trust with a Board of Trustees or any other appropriate body under Section 6. The scheme to be framed by the Central Government shall make necessary provisions in regard to the functioning of the trust or body including on matters relating to the management of the trust, the powers of the trustees including the construction of a temple and all necessary, incidental and supplemental matters;</w:t>
      </w:r>
    </w:p>
    <w:p>
      <w:pPr>
        <w:pStyle w:val="BodyText"/>
        <w:spacing w:before="10"/>
        <w:rPr>
          <w:sz w:val="24"/>
        </w:rPr>
      </w:pPr>
    </w:p>
    <w:p>
      <w:pPr>
        <w:pStyle w:val="ListParagraph"/>
        <w:numPr>
          <w:ilvl w:val="0"/>
          <w:numId w:val="249"/>
        </w:numPr>
        <w:tabs>
          <w:tab w:pos="1221" w:val="left" w:leader="none"/>
        </w:tabs>
        <w:spacing w:line="480" w:lineRule="auto" w:before="1" w:after="0"/>
        <w:ind w:left="1220" w:right="438" w:hanging="720"/>
        <w:jc w:val="both"/>
        <w:rPr>
          <w:sz w:val="25"/>
        </w:rPr>
      </w:pPr>
      <w:r>
        <w:rPr>
          <w:sz w:val="25"/>
        </w:rPr>
        <w:t>Possession of the inner and outer courtyards shall be handed over to the Board of Trustees of the Trust or to the body so constituted. The Central Government will be at liberty to make suitable provisions in respect of the rest of the acquired land by handing it over to the Trust or body for management and development in terms of the scheme framed in accordance with the above directions;</w:t>
      </w:r>
      <w:r>
        <w:rPr>
          <w:spacing w:val="-5"/>
          <w:sz w:val="25"/>
        </w:rPr>
        <w:t> </w:t>
      </w:r>
      <w:r>
        <w:rPr>
          <w:sz w:val="25"/>
        </w:rPr>
        <w:t>and</w:t>
      </w:r>
    </w:p>
    <w:p>
      <w:pPr>
        <w:pStyle w:val="BodyText"/>
        <w:spacing w:before="3"/>
      </w:pPr>
    </w:p>
    <w:p>
      <w:pPr>
        <w:pStyle w:val="ListParagraph"/>
        <w:numPr>
          <w:ilvl w:val="0"/>
          <w:numId w:val="249"/>
        </w:numPr>
        <w:tabs>
          <w:tab w:pos="1221" w:val="left" w:leader="none"/>
        </w:tabs>
        <w:spacing w:line="480" w:lineRule="auto" w:before="0" w:after="0"/>
        <w:ind w:left="1220" w:right="437" w:hanging="720"/>
        <w:jc w:val="both"/>
        <w:rPr>
          <w:sz w:val="25"/>
        </w:rPr>
      </w:pPr>
      <w:r>
        <w:rPr>
          <w:sz w:val="25"/>
        </w:rPr>
        <w:t>Possession of the disputed property shall continue to vest in the statutory receiver under the Central Government, untill in exercise of its jurisdiction under Section 6 of the Ayodhya Act of 1993, a notification is issued vesting the property in the trust or other</w:t>
      </w:r>
      <w:r>
        <w:rPr>
          <w:spacing w:val="-6"/>
          <w:sz w:val="25"/>
        </w:rPr>
        <w:t> </w:t>
      </w:r>
      <w:r>
        <w:rPr>
          <w:sz w:val="25"/>
        </w:rPr>
        <w:t>body.</w:t>
      </w:r>
    </w:p>
    <w:p>
      <w:pPr>
        <w:pStyle w:val="BodyText"/>
        <w:spacing w:before="11"/>
        <w:rPr>
          <w:sz w:val="24"/>
        </w:rPr>
      </w:pPr>
    </w:p>
    <w:p>
      <w:pPr>
        <w:pStyle w:val="ListParagraph"/>
        <w:numPr>
          <w:ilvl w:val="0"/>
          <w:numId w:val="247"/>
        </w:numPr>
        <w:tabs>
          <w:tab w:pos="709" w:val="left" w:leader="none"/>
          <w:tab w:pos="1220" w:val="left" w:leader="none"/>
        </w:tabs>
        <w:spacing w:line="480" w:lineRule="auto" w:before="0" w:after="0"/>
        <w:ind w:left="1220" w:right="446" w:hanging="720"/>
        <w:jc w:val="left"/>
        <w:rPr>
          <w:sz w:val="25"/>
        </w:rPr>
      </w:pPr>
      <w:r>
        <w:rPr>
          <w:sz w:val="25"/>
        </w:rPr>
        <w:t>(i)</w:t>
        <w:tab/>
        <w:t>Simultaneously, with the handing over of the disputed property to the Trust or body under clause</w:t>
      </w:r>
      <w:r>
        <w:rPr>
          <w:spacing w:val="16"/>
          <w:sz w:val="25"/>
        </w:rPr>
        <w:t> </w:t>
      </w:r>
      <w:r>
        <w:rPr>
          <w:sz w:val="25"/>
        </w:rPr>
        <w:t>2 above, a suitable plot of land admeasuring 5 acres</w:t>
      </w:r>
    </w:p>
    <w:p>
      <w:pPr>
        <w:spacing w:after="0" w:line="480" w:lineRule="auto"/>
        <w:jc w:val="left"/>
        <w:rPr>
          <w:sz w:val="25"/>
        </w:rPr>
        <w:sectPr>
          <w:pgSz w:w="11910" w:h="16840"/>
          <w:pgMar w:header="721" w:footer="1014" w:top="1300" w:bottom="1200" w:left="940" w:right="1000"/>
        </w:sectPr>
      </w:pPr>
    </w:p>
    <w:p>
      <w:pPr>
        <w:pStyle w:val="BodyText"/>
        <w:spacing w:line="480" w:lineRule="auto" w:before="124"/>
        <w:ind w:left="1220" w:right="512"/>
      </w:pPr>
      <w:r>
        <w:rPr/>
        <w:t>shall be handed over to the Sunni Central Waqf Board, the plaintiff in Suit 4.</w:t>
      </w:r>
    </w:p>
    <w:p>
      <w:pPr>
        <w:pStyle w:val="BodyText"/>
      </w:pPr>
    </w:p>
    <w:p>
      <w:pPr>
        <w:pStyle w:val="ListParagraph"/>
        <w:numPr>
          <w:ilvl w:val="0"/>
          <w:numId w:val="250"/>
        </w:numPr>
        <w:tabs>
          <w:tab w:pos="849" w:val="left" w:leader="none"/>
        </w:tabs>
        <w:spacing w:line="240" w:lineRule="auto" w:before="0" w:after="0"/>
        <w:ind w:left="848" w:right="0" w:hanging="349"/>
        <w:jc w:val="left"/>
        <w:rPr>
          <w:sz w:val="25"/>
        </w:rPr>
      </w:pPr>
      <w:r>
        <w:rPr>
          <w:sz w:val="25"/>
        </w:rPr>
        <w:t>The land shall be allotted either</w:t>
      </w:r>
      <w:r>
        <w:rPr>
          <w:spacing w:val="-4"/>
          <w:sz w:val="25"/>
        </w:rPr>
        <w:t> </w:t>
      </w:r>
      <w:r>
        <w:rPr>
          <w:sz w:val="25"/>
        </w:rPr>
        <w:t>by:</w:t>
      </w:r>
    </w:p>
    <w:p>
      <w:pPr>
        <w:pStyle w:val="BodyText"/>
        <w:spacing w:before="10"/>
        <w:rPr>
          <w:sz w:val="24"/>
        </w:rPr>
      </w:pPr>
    </w:p>
    <w:p>
      <w:pPr>
        <w:pStyle w:val="ListParagraph"/>
        <w:numPr>
          <w:ilvl w:val="1"/>
          <w:numId w:val="250"/>
        </w:numPr>
        <w:tabs>
          <w:tab w:pos="1672" w:val="left" w:leader="none"/>
        </w:tabs>
        <w:spacing w:line="480" w:lineRule="auto" w:before="0" w:after="0"/>
        <w:ind w:left="1671" w:right="439" w:hanging="452"/>
        <w:jc w:val="left"/>
        <w:rPr>
          <w:sz w:val="25"/>
        </w:rPr>
      </w:pPr>
      <w:r>
        <w:rPr>
          <w:sz w:val="25"/>
        </w:rPr>
        <w:t>The Central Government out of the land acquired under the Ayodhya Act 1993;</w:t>
      </w:r>
      <w:r>
        <w:rPr>
          <w:spacing w:val="-3"/>
          <w:sz w:val="25"/>
        </w:rPr>
        <w:t> </w:t>
      </w:r>
      <w:r>
        <w:rPr>
          <w:sz w:val="25"/>
        </w:rPr>
        <w:t>or</w:t>
      </w:r>
    </w:p>
    <w:p>
      <w:pPr>
        <w:pStyle w:val="ListParagraph"/>
        <w:numPr>
          <w:ilvl w:val="1"/>
          <w:numId w:val="250"/>
        </w:numPr>
        <w:tabs>
          <w:tab w:pos="1672" w:val="left" w:leader="none"/>
        </w:tabs>
        <w:spacing w:line="240" w:lineRule="auto" w:before="2" w:after="0"/>
        <w:ind w:left="1671" w:right="0" w:hanging="452"/>
        <w:jc w:val="left"/>
        <w:rPr>
          <w:sz w:val="25"/>
        </w:rPr>
      </w:pPr>
      <w:r>
        <w:rPr>
          <w:sz w:val="25"/>
        </w:rPr>
        <w:t>The State Government at a suitable prominent place in</w:t>
      </w:r>
      <w:r>
        <w:rPr>
          <w:spacing w:val="-7"/>
          <w:sz w:val="25"/>
        </w:rPr>
        <w:t> </w:t>
      </w:r>
      <w:r>
        <w:rPr>
          <w:sz w:val="25"/>
        </w:rPr>
        <w:t>Ayodhya;</w:t>
      </w:r>
    </w:p>
    <w:p>
      <w:pPr>
        <w:pStyle w:val="BodyText"/>
        <w:rPr>
          <w:sz w:val="28"/>
        </w:rPr>
      </w:pPr>
    </w:p>
    <w:p>
      <w:pPr>
        <w:pStyle w:val="BodyText"/>
        <w:rPr>
          <w:sz w:val="22"/>
        </w:rPr>
      </w:pPr>
    </w:p>
    <w:p>
      <w:pPr>
        <w:pStyle w:val="BodyText"/>
        <w:spacing w:line="480" w:lineRule="auto"/>
        <w:ind w:left="500" w:right="438"/>
      </w:pPr>
      <w:r>
        <w:rPr/>
        <w:t>The Central Government and the State Government shall act in consultation with each other to effectuate the above allotment in the period stipulated.</w:t>
      </w:r>
    </w:p>
    <w:p>
      <w:pPr>
        <w:pStyle w:val="BodyText"/>
      </w:pPr>
    </w:p>
    <w:p>
      <w:pPr>
        <w:pStyle w:val="ListParagraph"/>
        <w:numPr>
          <w:ilvl w:val="0"/>
          <w:numId w:val="250"/>
        </w:numPr>
        <w:tabs>
          <w:tab w:pos="1034" w:val="left" w:leader="none"/>
        </w:tabs>
        <w:spacing w:line="480" w:lineRule="auto" w:before="0" w:after="0"/>
        <w:ind w:left="1220" w:right="442" w:hanging="720"/>
        <w:jc w:val="both"/>
        <w:rPr>
          <w:sz w:val="25"/>
        </w:rPr>
      </w:pPr>
      <w:r>
        <w:rPr>
          <w:sz w:val="25"/>
        </w:rPr>
        <w:t>The Sunni Central Waqf Board would be at liberty, on the allotment of the land to take all necessary steps for the construction of a mosque on the land so allotted together with other associated facilities;</w:t>
      </w:r>
    </w:p>
    <w:p>
      <w:pPr>
        <w:pStyle w:val="BodyText"/>
        <w:spacing w:before="11"/>
        <w:rPr>
          <w:sz w:val="24"/>
        </w:rPr>
      </w:pPr>
    </w:p>
    <w:p>
      <w:pPr>
        <w:pStyle w:val="ListParagraph"/>
        <w:numPr>
          <w:ilvl w:val="0"/>
          <w:numId w:val="250"/>
        </w:numPr>
        <w:tabs>
          <w:tab w:pos="986" w:val="left" w:leader="none"/>
        </w:tabs>
        <w:spacing w:line="240" w:lineRule="auto" w:before="0" w:after="0"/>
        <w:ind w:left="985" w:right="0" w:hanging="486"/>
        <w:jc w:val="both"/>
        <w:rPr>
          <w:sz w:val="25"/>
        </w:rPr>
      </w:pPr>
      <w:r>
        <w:rPr>
          <w:sz w:val="25"/>
        </w:rPr>
        <w:t>Suit 4 shall stand decreed to this extent in terms of the above directions;</w:t>
      </w:r>
      <w:r>
        <w:rPr>
          <w:spacing w:val="-21"/>
          <w:sz w:val="25"/>
        </w:rPr>
        <w:t> </w:t>
      </w:r>
      <w:r>
        <w:rPr>
          <w:sz w:val="25"/>
        </w:rPr>
        <w:t>and</w:t>
      </w:r>
    </w:p>
    <w:p>
      <w:pPr>
        <w:pStyle w:val="BodyText"/>
        <w:rPr>
          <w:sz w:val="28"/>
        </w:rPr>
      </w:pPr>
    </w:p>
    <w:p>
      <w:pPr>
        <w:pStyle w:val="BodyText"/>
        <w:spacing w:before="1"/>
        <w:rPr>
          <w:sz w:val="22"/>
        </w:rPr>
      </w:pPr>
    </w:p>
    <w:p>
      <w:pPr>
        <w:pStyle w:val="ListParagraph"/>
        <w:numPr>
          <w:ilvl w:val="0"/>
          <w:numId w:val="250"/>
        </w:numPr>
        <w:tabs>
          <w:tab w:pos="983" w:val="left" w:leader="none"/>
        </w:tabs>
        <w:spacing w:line="480" w:lineRule="auto" w:before="0" w:after="0"/>
        <w:ind w:left="1220" w:right="435" w:hanging="720"/>
        <w:jc w:val="both"/>
        <w:rPr>
          <w:sz w:val="25"/>
        </w:rPr>
      </w:pPr>
      <w:r>
        <w:rPr>
          <w:sz w:val="25"/>
        </w:rPr>
        <w:t>The directions for the allotment of land to the Sunni Central Waqf Board in Suit 4 are issued in pursuance of the powers vested in this Court under Article 142 of the</w:t>
      </w:r>
      <w:r>
        <w:rPr>
          <w:spacing w:val="-3"/>
          <w:sz w:val="25"/>
        </w:rPr>
        <w:t> </w:t>
      </w:r>
      <w:r>
        <w:rPr>
          <w:sz w:val="25"/>
        </w:rPr>
        <w:t>Constitution.</w:t>
      </w:r>
    </w:p>
    <w:p>
      <w:pPr>
        <w:pStyle w:val="BodyText"/>
      </w:pPr>
    </w:p>
    <w:p>
      <w:pPr>
        <w:pStyle w:val="ListParagraph"/>
        <w:numPr>
          <w:ilvl w:val="0"/>
          <w:numId w:val="247"/>
        </w:numPr>
        <w:tabs>
          <w:tab w:pos="1221" w:val="left" w:leader="none"/>
        </w:tabs>
        <w:spacing w:line="480" w:lineRule="auto" w:before="0" w:after="0"/>
        <w:ind w:left="500" w:right="443" w:firstLine="0"/>
        <w:jc w:val="both"/>
        <w:rPr>
          <w:sz w:val="25"/>
        </w:rPr>
      </w:pPr>
      <w:r>
        <w:rPr>
          <w:sz w:val="25"/>
        </w:rPr>
        <w:t>In exercise of the powers vested in this Court under Article 142 of the Constitution, we direct that in the scheme to be framed by the Central Government, appropriate representation may be given in the Trust or body, to the Nirmohi Akhara in such manner as the Central Government deems</w:t>
      </w:r>
      <w:r>
        <w:rPr>
          <w:spacing w:val="-12"/>
          <w:sz w:val="25"/>
        </w:rPr>
        <w:t> </w:t>
      </w:r>
      <w:r>
        <w:rPr>
          <w:sz w:val="25"/>
        </w:rPr>
        <w:t>fit.</w:t>
      </w:r>
    </w:p>
    <w:p>
      <w:pPr>
        <w:pStyle w:val="BodyText"/>
      </w:pPr>
    </w:p>
    <w:p>
      <w:pPr>
        <w:pStyle w:val="ListParagraph"/>
        <w:numPr>
          <w:ilvl w:val="0"/>
          <w:numId w:val="247"/>
        </w:numPr>
        <w:tabs>
          <w:tab w:pos="1221" w:val="left" w:leader="none"/>
        </w:tabs>
        <w:spacing w:line="482" w:lineRule="auto" w:before="0" w:after="0"/>
        <w:ind w:left="500" w:right="441" w:firstLine="0"/>
        <w:jc w:val="both"/>
        <w:rPr>
          <w:sz w:val="25"/>
        </w:rPr>
      </w:pPr>
      <w:r>
        <w:rPr>
          <w:sz w:val="25"/>
        </w:rPr>
        <w:t>The right of the plaintiff in Suit 1 to worship at the disputed property is affirmed subject to any restrictions imposed by the relevant authorities</w:t>
      </w:r>
      <w:r>
        <w:rPr>
          <w:spacing w:val="57"/>
          <w:sz w:val="25"/>
        </w:rPr>
        <w:t> </w:t>
      </w:r>
      <w:r>
        <w:rPr>
          <w:sz w:val="25"/>
        </w:rPr>
        <w:t>with</w:t>
      </w:r>
    </w:p>
    <w:p>
      <w:pPr>
        <w:spacing w:after="0" w:line="482" w:lineRule="auto"/>
        <w:jc w:val="both"/>
        <w:rPr>
          <w:sz w:val="25"/>
        </w:rPr>
        <w:sectPr>
          <w:pgSz w:w="11910" w:h="16840"/>
          <w:pgMar w:header="721" w:footer="1014" w:top="1300" w:bottom="1200" w:left="940" w:right="1000"/>
        </w:sectPr>
      </w:pPr>
    </w:p>
    <w:p>
      <w:pPr>
        <w:pStyle w:val="BodyText"/>
        <w:spacing w:line="480" w:lineRule="auto" w:before="124"/>
        <w:ind w:left="500" w:right="444"/>
        <w:jc w:val="both"/>
      </w:pPr>
      <w:r>
        <w:rPr/>
        <w:t>respect to the maintenance of peace and order and the performance of orderly worship.</w:t>
      </w:r>
    </w:p>
    <w:p>
      <w:pPr>
        <w:pStyle w:val="BodyText"/>
      </w:pPr>
    </w:p>
    <w:p>
      <w:pPr>
        <w:pStyle w:val="ListParagraph"/>
        <w:numPr>
          <w:ilvl w:val="0"/>
          <w:numId w:val="241"/>
        </w:numPr>
        <w:tabs>
          <w:tab w:pos="1221" w:val="left" w:leader="none"/>
        </w:tabs>
        <w:spacing w:line="480" w:lineRule="auto" w:before="0" w:after="0"/>
        <w:ind w:left="500" w:right="442" w:firstLine="0"/>
        <w:jc w:val="both"/>
        <w:rPr>
          <w:sz w:val="25"/>
        </w:rPr>
      </w:pPr>
      <w:r>
        <w:rPr>
          <w:sz w:val="25"/>
        </w:rPr>
        <w:t>All the appeals shall stand disposed of in the above terms. Parties are left to bear their own</w:t>
      </w:r>
      <w:r>
        <w:rPr>
          <w:spacing w:val="-1"/>
          <w:sz w:val="25"/>
        </w:rPr>
        <w:t> </w:t>
      </w:r>
      <w:r>
        <w:rPr>
          <w:sz w:val="25"/>
        </w:rPr>
        <w:t>costs.</w:t>
      </w:r>
    </w:p>
    <w:p>
      <w:pPr>
        <w:pStyle w:val="BodyText"/>
        <w:spacing w:before="6"/>
        <w:rPr>
          <w:sz w:val="38"/>
        </w:rPr>
      </w:pPr>
    </w:p>
    <w:p>
      <w:pPr>
        <w:pStyle w:val="Heading5"/>
        <w:spacing w:before="1"/>
        <w:ind w:left="500" w:firstLine="0"/>
        <w:jc w:val="left"/>
      </w:pPr>
      <w:r>
        <w:rPr/>
        <w:t>Acknowledgments</w:t>
      </w:r>
    </w:p>
    <w:p>
      <w:pPr>
        <w:pStyle w:val="BodyText"/>
        <w:rPr>
          <w:b/>
          <w:sz w:val="28"/>
        </w:rPr>
      </w:pPr>
    </w:p>
    <w:p>
      <w:pPr>
        <w:pStyle w:val="BodyText"/>
        <w:spacing w:before="4"/>
        <w:rPr>
          <w:b/>
          <w:sz w:val="22"/>
        </w:rPr>
      </w:pPr>
    </w:p>
    <w:p>
      <w:pPr>
        <w:pStyle w:val="BodyText"/>
        <w:spacing w:line="480" w:lineRule="auto"/>
        <w:ind w:left="500" w:right="434"/>
        <w:jc w:val="both"/>
      </w:pPr>
      <w:r>
        <w:rPr/>
        <w:t>In crafting this judgment, the forensic contest before this Court has provided a valuable insight in navigating through the layers of complexity of the case. The erudition of counsel, their industry, vision and above all, dispassionate objectivity in discharging their role as officers of the court must be commended. We acknowledge the assistance rendered by Mr K Parasaran and Dr Rajeev Dhavan, learned Senior Counsel who led the arguments. Their fairness to the cause which they espouse and to their opponents as, indeed, to the court during the course of the hearings has facilitated the completion of the hearings in the spirit that all sides have ultimately been engaged in the search of truth and justice.</w:t>
      </w:r>
    </w:p>
    <w:p>
      <w:pPr>
        <w:pStyle w:val="BodyText"/>
        <w:spacing w:before="10"/>
        <w:rPr>
          <w:sz w:val="38"/>
        </w:rPr>
      </w:pPr>
    </w:p>
    <w:p>
      <w:pPr>
        <w:pStyle w:val="BodyText"/>
        <w:spacing w:line="480" w:lineRule="auto"/>
        <w:ind w:left="500" w:right="437"/>
        <w:jc w:val="both"/>
      </w:pPr>
      <w:r>
        <w:rPr/>
        <w:t>The other learned Senior Counsel whose efforts need to be acknowledged are: Mr C S Vaidyanathan, Mr S K Jain, Mr Ranjit Kumar, Mr Zafaryab Jilani, Ms Meenakshi Arora, Mr Shekhar Naphade and Mr P S Narasimha. </w:t>
      </w:r>
      <w:r>
        <w:rPr>
          <w:spacing w:val="4"/>
        </w:rPr>
        <w:t>We </w:t>
      </w:r>
      <w:r>
        <w:rPr/>
        <w:t>also acknowledge the assistance rendered to the court by Mr P N Mishra, Mr Mohd Nizamuddin Pasha, Mr V N Sinha, Mr Hari Shankar Jain, Mr Jaideep Gupta (learned Senior Counsel), Mr Vikas Singh (learned Senior Counsel), Mr M C Dhingra, and Mr Anoop Bose. While acknowledging the scholarly contributions made by the arguing counsel both in their oral arguments and written</w:t>
      </w:r>
    </w:p>
    <w:p>
      <w:pPr>
        <w:spacing w:after="0" w:line="480" w:lineRule="auto"/>
        <w:jc w:val="both"/>
        <w:sectPr>
          <w:pgSz w:w="11910" w:h="16840"/>
          <w:pgMar w:header="721" w:footer="1014" w:top="1300" w:bottom="1200" w:left="940" w:right="1000"/>
        </w:sectPr>
      </w:pPr>
    </w:p>
    <w:p>
      <w:pPr>
        <w:pStyle w:val="BodyText"/>
        <w:spacing w:line="480" w:lineRule="auto" w:before="124"/>
        <w:ind w:left="500" w:right="442"/>
        <w:jc w:val="both"/>
      </w:pPr>
      <w:r>
        <w:rPr/>
        <w:t>submissions, we must equally notice the sincerity and dedication of the learned assisting counsel and among them the industry of the junior counsel.</w:t>
      </w:r>
    </w:p>
    <w:p>
      <w:pPr>
        <w:pStyle w:val="BodyText"/>
        <w:rPr>
          <w:sz w:val="28"/>
        </w:rPr>
      </w:pPr>
    </w:p>
    <w:p>
      <w:pPr>
        <w:pStyle w:val="BodyText"/>
        <w:spacing w:before="8"/>
        <w:rPr>
          <w:sz w:val="24"/>
        </w:rPr>
      </w:pPr>
    </w:p>
    <w:p>
      <w:pPr>
        <w:pStyle w:val="BodyText"/>
        <w:spacing w:line="480" w:lineRule="auto" w:before="1"/>
        <w:ind w:left="500" w:right="437"/>
        <w:jc w:val="both"/>
      </w:pPr>
      <w:r>
        <w:rPr/>
        <w:t>One of us, while being in agreement with the above reasons and directions, has </w:t>
      </w:r>
      <w:r>
        <w:rPr>
          <w:w w:val="99"/>
        </w:rPr>
        <w:t>r</w:t>
      </w:r>
      <w:r>
        <w:rPr>
          <w:w w:val="99"/>
        </w:rPr>
        <w:t>eco</w:t>
      </w:r>
      <w:r>
        <w:rPr>
          <w:w w:val="99"/>
        </w:rPr>
        <w:t>r</w:t>
      </w:r>
      <w:r>
        <w:rPr>
          <w:w w:val="99"/>
        </w:rPr>
        <w:t>ded</w:t>
      </w:r>
      <w:r>
        <w:rPr>
          <w:spacing w:val="15"/>
        </w:rPr>
        <w:t> </w:t>
      </w:r>
      <w:r>
        <w:rPr>
          <w:w w:val="99"/>
        </w:rPr>
        <w:t>sepa</w:t>
      </w:r>
      <w:r>
        <w:rPr>
          <w:spacing w:val="1"/>
          <w:w w:val="99"/>
        </w:rPr>
        <w:t>r</w:t>
      </w:r>
      <w:r>
        <w:rPr>
          <w:w w:val="99"/>
        </w:rPr>
        <w:t>ate</w:t>
      </w:r>
      <w:r>
        <w:rPr>
          <w:spacing w:val="13"/>
        </w:rPr>
        <w:t> </w:t>
      </w:r>
      <w:r>
        <w:rPr>
          <w:w w:val="99"/>
        </w:rPr>
        <w:t>r</w:t>
      </w:r>
      <w:r>
        <w:rPr>
          <w:spacing w:val="-3"/>
          <w:w w:val="99"/>
        </w:rPr>
        <w:t>e</w:t>
      </w:r>
      <w:r>
        <w:rPr>
          <w:spacing w:val="-1"/>
          <w:w w:val="99"/>
        </w:rPr>
        <w:t>as</w:t>
      </w:r>
      <w:r>
        <w:rPr>
          <w:w w:val="99"/>
        </w:rPr>
        <w:t>o</w:t>
      </w:r>
      <w:r>
        <w:rPr>
          <w:spacing w:val="-1"/>
          <w:w w:val="99"/>
        </w:rPr>
        <w:t>n</w:t>
      </w:r>
      <w:r>
        <w:rPr>
          <w:w w:val="99"/>
        </w:rPr>
        <w:t>s</w:t>
      </w:r>
      <w:r>
        <w:rPr>
          <w:spacing w:val="14"/>
        </w:rPr>
        <w:t> </w:t>
      </w:r>
      <w:r>
        <w:rPr>
          <w:spacing w:val="-1"/>
          <w:w w:val="99"/>
        </w:rPr>
        <w:t>o</w:t>
      </w:r>
      <w:r>
        <w:rPr>
          <w:w w:val="99"/>
        </w:rPr>
        <w:t>n:</w:t>
      </w:r>
      <w:r>
        <w:rPr>
          <w:spacing w:val="14"/>
        </w:rPr>
        <w:t> </w:t>
      </w:r>
      <w:r>
        <w:rPr>
          <w:spacing w:val="-4"/>
          <w:w w:val="33"/>
        </w:rPr>
        <w:t>―</w:t>
      </w:r>
      <w:r>
        <w:rPr>
          <w:spacing w:val="9"/>
          <w:w w:val="99"/>
        </w:rPr>
        <w:t>W</w:t>
      </w:r>
      <w:r>
        <w:rPr>
          <w:spacing w:val="-3"/>
          <w:w w:val="99"/>
        </w:rPr>
        <w:t>h</w:t>
      </w:r>
      <w:r>
        <w:rPr>
          <w:spacing w:val="-1"/>
          <w:w w:val="99"/>
        </w:rPr>
        <w:t>et</w:t>
      </w:r>
      <w:r>
        <w:rPr>
          <w:w w:val="99"/>
        </w:rPr>
        <w:t>h</w:t>
      </w:r>
      <w:r>
        <w:rPr>
          <w:spacing w:val="-3"/>
          <w:w w:val="99"/>
        </w:rPr>
        <w:t>e</w:t>
      </w:r>
      <w:r>
        <w:rPr>
          <w:w w:val="99"/>
        </w:rPr>
        <w:t>r</w:t>
      </w:r>
      <w:r>
        <w:rPr>
          <w:spacing w:val="15"/>
        </w:rPr>
        <w:t> </w:t>
      </w:r>
      <w:r>
        <w:rPr>
          <w:spacing w:val="-3"/>
          <w:w w:val="99"/>
        </w:rPr>
        <w:t>t</w:t>
      </w:r>
      <w:r>
        <w:rPr>
          <w:spacing w:val="-1"/>
          <w:w w:val="99"/>
        </w:rPr>
        <w:t>h</w:t>
      </w:r>
      <w:r>
        <w:rPr>
          <w:w w:val="99"/>
        </w:rPr>
        <w:t>e</w:t>
      </w:r>
      <w:r>
        <w:rPr>
          <w:spacing w:val="14"/>
        </w:rPr>
        <w:t> </w:t>
      </w:r>
      <w:r>
        <w:rPr>
          <w:spacing w:val="-1"/>
          <w:w w:val="99"/>
        </w:rPr>
        <w:t>disp</w:t>
      </w:r>
      <w:r>
        <w:rPr>
          <w:w w:val="99"/>
        </w:rPr>
        <w:t>uted</w:t>
      </w:r>
      <w:r>
        <w:rPr>
          <w:spacing w:val="15"/>
        </w:rPr>
        <w:t> </w:t>
      </w:r>
      <w:r>
        <w:rPr>
          <w:w w:val="99"/>
        </w:rPr>
        <w:t>str</w:t>
      </w:r>
      <w:r>
        <w:rPr>
          <w:spacing w:val="-1"/>
          <w:w w:val="99"/>
        </w:rPr>
        <w:t>uct</w:t>
      </w:r>
      <w:r>
        <w:rPr>
          <w:w w:val="99"/>
        </w:rPr>
        <w:t>ure</w:t>
      </w:r>
      <w:r>
        <w:rPr>
          <w:spacing w:val="12"/>
        </w:rPr>
        <w:t> </w:t>
      </w:r>
      <w:r>
        <w:rPr>
          <w:spacing w:val="-1"/>
          <w:w w:val="99"/>
        </w:rPr>
        <w:t>i</w:t>
      </w:r>
      <w:r>
        <w:rPr>
          <w:w w:val="99"/>
        </w:rPr>
        <w:t>s</w:t>
      </w:r>
      <w:r>
        <w:rPr>
          <w:spacing w:val="14"/>
        </w:rPr>
        <w:t> </w:t>
      </w:r>
      <w:r>
        <w:rPr>
          <w:w w:val="99"/>
        </w:rPr>
        <w:t>the</w:t>
      </w:r>
      <w:r>
        <w:rPr>
          <w:spacing w:val="15"/>
        </w:rPr>
        <w:t> </w:t>
      </w:r>
      <w:r>
        <w:rPr>
          <w:spacing w:val="-1"/>
          <w:w w:val="99"/>
        </w:rPr>
        <w:t>bi</w:t>
      </w:r>
      <w:r>
        <w:rPr>
          <w:w w:val="99"/>
        </w:rPr>
        <w:t>rt</w:t>
      </w:r>
      <w:r>
        <w:rPr>
          <w:spacing w:val="8"/>
          <w:w w:val="99"/>
        </w:rPr>
        <w:t>h</w:t>
      </w:r>
      <w:r>
        <w:rPr>
          <w:w w:val="99"/>
        </w:rPr>
        <w:t>-</w:t>
      </w:r>
      <w:r>
        <w:rPr>
          <w:w w:val="99"/>
        </w:rPr>
        <w:t>place </w:t>
      </w:r>
      <w:r>
        <w:rPr/>
        <w:t>of Lord Ram according to the faith and belief of the Hindu devotees‖. The reasons of the learned judge are set out in an</w:t>
      </w:r>
      <w:r>
        <w:rPr>
          <w:spacing w:val="-4"/>
        </w:rPr>
        <w:t> </w:t>
      </w:r>
      <w:r>
        <w:rPr/>
        <w:t>addendum.</w:t>
      </w:r>
    </w:p>
    <w:p>
      <w:pPr>
        <w:pStyle w:val="BodyText"/>
        <w:rPr>
          <w:sz w:val="28"/>
        </w:rPr>
      </w:pPr>
    </w:p>
    <w:p>
      <w:pPr>
        <w:pStyle w:val="BodyText"/>
        <w:rPr>
          <w:sz w:val="28"/>
        </w:rPr>
      </w:pPr>
    </w:p>
    <w:p>
      <w:pPr>
        <w:pStyle w:val="BodyText"/>
        <w:rPr>
          <w:sz w:val="28"/>
        </w:rPr>
      </w:pPr>
    </w:p>
    <w:p>
      <w:pPr>
        <w:pStyle w:val="Heading5"/>
        <w:spacing w:before="214"/>
        <w:ind w:left="4441" w:firstLine="0"/>
        <w:jc w:val="left"/>
      </w:pPr>
      <w:r>
        <w:rPr/>
        <w:t>.....….……...…...….......………………........CJI.</w:t>
      </w:r>
    </w:p>
    <w:p>
      <w:pPr>
        <w:spacing w:before="3"/>
        <w:ind w:left="4463" w:right="0" w:firstLine="0"/>
        <w:jc w:val="left"/>
        <w:rPr>
          <w:b/>
          <w:sz w:val="24"/>
        </w:rPr>
      </w:pPr>
      <w:r>
        <w:rPr>
          <w:b/>
          <w:sz w:val="24"/>
        </w:rPr>
        <w:t>[RANJAN GOGOI]</w:t>
      </w:r>
    </w:p>
    <w:p>
      <w:pPr>
        <w:pStyle w:val="BodyText"/>
        <w:rPr>
          <w:b/>
          <w:sz w:val="26"/>
        </w:rPr>
      </w:pPr>
    </w:p>
    <w:p>
      <w:pPr>
        <w:pStyle w:val="BodyText"/>
        <w:rPr>
          <w:b/>
          <w:sz w:val="26"/>
        </w:rPr>
      </w:pPr>
    </w:p>
    <w:p>
      <w:pPr>
        <w:spacing w:before="231"/>
        <w:ind w:left="4530" w:right="423" w:firstLine="9"/>
        <w:jc w:val="left"/>
        <w:rPr>
          <w:b/>
          <w:sz w:val="24"/>
        </w:rPr>
      </w:pPr>
      <w:r>
        <w:rPr>
          <w:b/>
          <w:sz w:val="24"/>
        </w:rPr>
        <w:t>….…...………...…...….......………………........J. [S A BOBDE]</w:t>
      </w:r>
    </w:p>
    <w:p>
      <w:pPr>
        <w:pStyle w:val="BodyText"/>
        <w:rPr>
          <w:b/>
          <w:sz w:val="26"/>
        </w:rPr>
      </w:pPr>
    </w:p>
    <w:p>
      <w:pPr>
        <w:pStyle w:val="BodyText"/>
        <w:rPr>
          <w:b/>
          <w:sz w:val="26"/>
        </w:rPr>
      </w:pPr>
    </w:p>
    <w:p>
      <w:pPr>
        <w:spacing w:before="230"/>
        <w:ind w:left="4597" w:right="424" w:firstLine="21"/>
        <w:jc w:val="left"/>
        <w:rPr>
          <w:b/>
          <w:sz w:val="24"/>
        </w:rPr>
      </w:pPr>
      <w:r>
        <w:rPr>
          <w:b/>
          <w:sz w:val="24"/>
        </w:rPr>
        <w:t>..........………...…...….......………………........J. [DR DHANANJAYA Y CHANDRACHUD]</w:t>
      </w:r>
    </w:p>
    <w:p>
      <w:pPr>
        <w:pStyle w:val="BodyText"/>
        <w:rPr>
          <w:b/>
          <w:sz w:val="26"/>
        </w:rPr>
      </w:pPr>
    </w:p>
    <w:p>
      <w:pPr>
        <w:pStyle w:val="BodyText"/>
        <w:rPr>
          <w:b/>
          <w:sz w:val="26"/>
        </w:rPr>
      </w:pPr>
    </w:p>
    <w:p>
      <w:pPr>
        <w:spacing w:before="230"/>
        <w:ind w:left="4583" w:right="461" w:hanging="15"/>
        <w:jc w:val="left"/>
        <w:rPr>
          <w:b/>
          <w:sz w:val="24"/>
        </w:rPr>
      </w:pPr>
      <w:r>
        <w:rPr>
          <w:b/>
          <w:sz w:val="24"/>
        </w:rPr>
        <w:t>……...………...…...….......………………........J. [ASHOK</w:t>
      </w:r>
      <w:r>
        <w:rPr>
          <w:b/>
          <w:spacing w:val="-1"/>
          <w:sz w:val="24"/>
        </w:rPr>
        <w:t> </w:t>
      </w:r>
      <w:r>
        <w:rPr>
          <w:b/>
          <w:sz w:val="24"/>
        </w:rPr>
        <w:t>BHUSHAN]</w:t>
      </w:r>
    </w:p>
    <w:p>
      <w:pPr>
        <w:pStyle w:val="BodyText"/>
        <w:rPr>
          <w:b/>
          <w:sz w:val="26"/>
        </w:rPr>
      </w:pPr>
    </w:p>
    <w:p>
      <w:pPr>
        <w:pStyle w:val="BodyText"/>
        <w:rPr>
          <w:b/>
          <w:sz w:val="26"/>
        </w:rPr>
      </w:pPr>
    </w:p>
    <w:p>
      <w:pPr>
        <w:spacing w:before="230"/>
        <w:ind w:left="4597" w:right="424" w:firstLine="48"/>
        <w:jc w:val="left"/>
        <w:rPr>
          <w:b/>
          <w:sz w:val="24"/>
        </w:rPr>
      </w:pPr>
      <w:r>
        <w:rPr>
          <w:b/>
          <w:sz w:val="24"/>
        </w:rPr>
        <w:t>..….....…....………...…...….......……………...J. [S ABDUL</w:t>
      </w:r>
      <w:r>
        <w:rPr>
          <w:b/>
          <w:spacing w:val="1"/>
          <w:sz w:val="24"/>
        </w:rPr>
        <w:t> </w:t>
      </w:r>
      <w:r>
        <w:rPr>
          <w:b/>
          <w:sz w:val="24"/>
        </w:rPr>
        <w:t>NAZEER]</w:t>
      </w:r>
    </w:p>
    <w:p>
      <w:pPr>
        <w:pStyle w:val="BodyText"/>
        <w:rPr>
          <w:b/>
          <w:sz w:val="26"/>
        </w:rPr>
      </w:pPr>
    </w:p>
    <w:p>
      <w:pPr>
        <w:pStyle w:val="BodyText"/>
        <w:rPr>
          <w:b/>
          <w:sz w:val="22"/>
        </w:rPr>
      </w:pPr>
    </w:p>
    <w:p>
      <w:pPr>
        <w:spacing w:before="1"/>
        <w:ind w:left="500" w:right="7220" w:firstLine="0"/>
        <w:jc w:val="left"/>
        <w:rPr>
          <w:sz w:val="24"/>
        </w:rPr>
      </w:pPr>
      <w:r>
        <w:rPr>
          <w:sz w:val="24"/>
        </w:rPr>
        <w:t>New Delhi; November 09, 2019.</w:t>
      </w:r>
    </w:p>
    <w:p>
      <w:pPr>
        <w:spacing w:after="0"/>
        <w:jc w:val="left"/>
        <w:rPr>
          <w:sz w:val="24"/>
        </w:rPr>
        <w:sectPr>
          <w:pgSz w:w="11910" w:h="16840"/>
          <w:pgMar w:header="721" w:footer="1014" w:top="1300" w:bottom="1200" w:left="940" w:right="1000"/>
        </w:sectPr>
      </w:pPr>
    </w:p>
    <w:p>
      <w:pPr>
        <w:pStyle w:val="Heading1"/>
        <w:spacing w:before="86"/>
        <w:ind w:left="793" w:right="793"/>
        <w:jc w:val="center"/>
      </w:pPr>
      <w:r>
        <w:rPr>
          <w:u w:val="thick"/>
        </w:rPr>
        <w:t>ADDENDA</w:t>
      </w:r>
    </w:p>
    <w:p>
      <w:pPr>
        <w:pStyle w:val="BodyText"/>
        <w:spacing w:before="10"/>
        <w:rPr>
          <w:rFonts w:ascii="Courier New"/>
          <w:b/>
          <w:sz w:val="27"/>
        </w:rPr>
      </w:pPr>
    </w:p>
    <w:p>
      <w:pPr>
        <w:spacing w:line="240" w:lineRule="auto" w:before="0"/>
        <w:ind w:left="327" w:right="157" w:firstLine="0"/>
        <w:jc w:val="both"/>
        <w:rPr>
          <w:rFonts w:ascii="Courier New"/>
          <w:b/>
          <w:sz w:val="28"/>
        </w:rPr>
      </w:pPr>
      <w:r>
        <w:rPr>
          <w:rFonts w:ascii="Courier New"/>
          <w:b/>
          <w:sz w:val="28"/>
        </w:rPr>
        <w:t>Whether disputed structure is the holy birth place</w:t>
      </w:r>
      <w:r>
        <w:rPr>
          <w:rFonts w:ascii="Courier New"/>
          <w:b/>
          <w:spacing w:val="-67"/>
          <w:sz w:val="28"/>
        </w:rPr>
        <w:t> </w:t>
      </w:r>
      <w:r>
        <w:rPr>
          <w:rFonts w:ascii="Courier New"/>
          <w:b/>
          <w:sz w:val="28"/>
        </w:rPr>
        <w:t>of Lord Ram as per the faith, belief and trust of the Hindus?</w:t>
      </w:r>
    </w:p>
    <w:p>
      <w:pPr>
        <w:pStyle w:val="BodyText"/>
        <w:rPr>
          <w:rFonts w:ascii="Courier New"/>
          <w:b/>
          <w:sz w:val="32"/>
        </w:rPr>
      </w:pPr>
    </w:p>
    <w:p>
      <w:pPr>
        <w:pStyle w:val="BodyText"/>
        <w:rPr>
          <w:rFonts w:ascii="Courier New"/>
          <w:b/>
          <w:sz w:val="32"/>
        </w:rPr>
      </w:pPr>
    </w:p>
    <w:p>
      <w:pPr>
        <w:pStyle w:val="Heading2"/>
        <w:numPr>
          <w:ilvl w:val="0"/>
          <w:numId w:val="251"/>
        </w:numPr>
        <w:tabs>
          <w:tab w:pos="868" w:val="left" w:leader="none"/>
        </w:tabs>
        <w:spacing w:line="480" w:lineRule="auto" w:before="227" w:after="0"/>
        <w:ind w:left="160" w:right="160" w:firstLine="0"/>
        <w:jc w:val="both"/>
      </w:pPr>
      <w:r>
        <w:rPr/>
        <w:t>It is necessary to notice the issues framed in</w:t>
      </w:r>
      <w:r>
        <w:rPr>
          <w:spacing w:val="-107"/>
        </w:rPr>
        <w:t> </w:t>
      </w:r>
      <w:r>
        <w:rPr/>
        <w:t>all the suits related to the above and findings recorded by the High</w:t>
      </w:r>
      <w:r>
        <w:rPr>
          <w:spacing w:val="-4"/>
        </w:rPr>
        <w:t> </w:t>
      </w:r>
      <w:r>
        <w:rPr/>
        <w:t>Court.</w:t>
      </w:r>
    </w:p>
    <w:p>
      <w:pPr>
        <w:spacing w:before="0"/>
        <w:ind w:left="880" w:right="0" w:firstLine="0"/>
        <w:jc w:val="both"/>
        <w:rPr>
          <w:rFonts w:ascii="Courier New"/>
          <w:sz w:val="28"/>
        </w:rPr>
      </w:pPr>
      <w:r>
        <w:rPr>
          <w:rFonts w:ascii="Courier New"/>
          <w:sz w:val="28"/>
        </w:rPr>
        <w:t>In </w:t>
      </w:r>
      <w:r>
        <w:rPr>
          <w:rFonts w:ascii="Courier New"/>
          <w:b/>
          <w:sz w:val="28"/>
          <w:u w:val="thick"/>
        </w:rPr>
        <w:t>Suit No.1</w:t>
      </w:r>
      <w:r>
        <w:rPr>
          <w:rFonts w:ascii="Courier New"/>
          <w:b/>
          <w:sz w:val="28"/>
        </w:rPr>
        <w:t> </w:t>
      </w:r>
      <w:r>
        <w:rPr>
          <w:rFonts w:ascii="Courier New"/>
          <w:sz w:val="28"/>
        </w:rPr>
        <w:t>following was the relevant issue:</w:t>
      </w:r>
    </w:p>
    <w:p>
      <w:pPr>
        <w:pStyle w:val="BodyText"/>
        <w:spacing w:before="1"/>
        <w:rPr>
          <w:rFonts w:ascii="Courier New"/>
          <w:sz w:val="28"/>
        </w:rPr>
      </w:pPr>
    </w:p>
    <w:p>
      <w:pPr>
        <w:pStyle w:val="Heading2"/>
        <w:spacing w:before="1"/>
        <w:ind w:left="1012" w:right="1247" w:firstLine="719"/>
      </w:pPr>
      <w:r>
        <w:rPr>
          <w:b/>
        </w:rPr>
        <w:t>Issue</w:t>
      </w:r>
      <w:r>
        <w:rPr>
          <w:b/>
          <w:spacing w:val="-30"/>
        </w:rPr>
        <w:t> </w:t>
      </w:r>
      <w:r>
        <w:rPr>
          <w:b/>
        </w:rPr>
        <w:t>No.1</w:t>
      </w:r>
      <w:r>
        <w:rPr>
          <w:b/>
          <w:spacing w:val="-28"/>
        </w:rPr>
        <w:t> </w:t>
      </w:r>
      <w:r>
        <w:rPr/>
        <w:t>was</w:t>
      </w:r>
      <w:r>
        <w:rPr>
          <w:spacing w:val="-27"/>
        </w:rPr>
        <w:t> </w:t>
      </w:r>
      <w:r>
        <w:rPr/>
        <w:t>“Is</w:t>
      </w:r>
      <w:r>
        <w:rPr>
          <w:spacing w:val="-29"/>
        </w:rPr>
        <w:t> </w:t>
      </w:r>
      <w:r>
        <w:rPr/>
        <w:t>the</w:t>
      </w:r>
      <w:r>
        <w:rPr>
          <w:spacing w:val="-30"/>
        </w:rPr>
        <w:t> </w:t>
      </w:r>
      <w:r>
        <w:rPr/>
        <w:t>property</w:t>
      </w:r>
      <w:r>
        <w:rPr>
          <w:spacing w:val="-29"/>
        </w:rPr>
        <w:t> </w:t>
      </w:r>
      <w:r>
        <w:rPr/>
        <w:t>in</w:t>
      </w:r>
      <w:r>
        <w:rPr>
          <w:spacing w:val="-30"/>
        </w:rPr>
        <w:t> </w:t>
      </w:r>
      <w:r>
        <w:rPr/>
        <w:t>suit the site of Janam Bhumi of Sri Ram Chandra Ji</w:t>
      </w:r>
      <w:r>
        <w:rPr>
          <w:spacing w:val="-2"/>
        </w:rPr>
        <w:t> </w:t>
      </w:r>
      <w:r>
        <w:rPr/>
        <w:t>?”</w:t>
      </w:r>
    </w:p>
    <w:p>
      <w:pPr>
        <w:pStyle w:val="BodyText"/>
        <w:spacing w:before="9"/>
        <w:rPr>
          <w:rFonts w:ascii="Courier New"/>
          <w:sz w:val="27"/>
        </w:rPr>
      </w:pPr>
    </w:p>
    <w:p>
      <w:pPr>
        <w:spacing w:before="0"/>
        <w:ind w:left="880" w:right="0" w:firstLine="0"/>
        <w:jc w:val="both"/>
        <w:rPr>
          <w:rFonts w:ascii="Courier New"/>
          <w:sz w:val="28"/>
        </w:rPr>
      </w:pPr>
      <w:r>
        <w:rPr>
          <w:rFonts w:ascii="Courier New"/>
          <w:sz w:val="28"/>
        </w:rPr>
        <w:t>In </w:t>
      </w:r>
      <w:r>
        <w:rPr>
          <w:rFonts w:ascii="Courier New"/>
          <w:b/>
          <w:sz w:val="28"/>
          <w:u w:val="thick"/>
        </w:rPr>
        <w:t>Suit No.3 </w:t>
      </w:r>
      <w:r>
        <w:rPr>
          <w:rFonts w:ascii="Courier New"/>
          <w:sz w:val="28"/>
        </w:rPr>
        <w:t>following were the relevant issues:</w:t>
      </w:r>
    </w:p>
    <w:p>
      <w:pPr>
        <w:pStyle w:val="BodyText"/>
        <w:spacing w:before="2"/>
        <w:rPr>
          <w:rFonts w:ascii="Courier New"/>
          <w:sz w:val="28"/>
        </w:rPr>
      </w:pPr>
    </w:p>
    <w:p>
      <w:pPr>
        <w:pStyle w:val="Heading2"/>
        <w:ind w:left="1012" w:right="1245" w:firstLine="719"/>
      </w:pPr>
      <w:r>
        <w:rPr>
          <w:b/>
        </w:rPr>
        <w:t>Issue</w:t>
      </w:r>
      <w:r>
        <w:rPr>
          <w:b/>
          <w:spacing w:val="-27"/>
        </w:rPr>
        <w:t> </w:t>
      </w:r>
      <w:r>
        <w:rPr>
          <w:b/>
        </w:rPr>
        <w:t>No.1</w:t>
      </w:r>
      <w:r>
        <w:rPr>
          <w:b/>
          <w:spacing w:val="-25"/>
        </w:rPr>
        <w:t> </w:t>
      </w:r>
      <w:r>
        <w:rPr/>
        <w:t>:</w:t>
      </w:r>
      <w:r>
        <w:rPr>
          <w:spacing w:val="-24"/>
        </w:rPr>
        <w:t> </w:t>
      </w:r>
      <w:r>
        <w:rPr/>
        <w:t>Is</w:t>
      </w:r>
      <w:r>
        <w:rPr>
          <w:spacing w:val="-24"/>
        </w:rPr>
        <w:t> </w:t>
      </w:r>
      <w:r>
        <w:rPr/>
        <w:t>there</w:t>
      </w:r>
      <w:r>
        <w:rPr>
          <w:spacing w:val="-26"/>
        </w:rPr>
        <w:t> </w:t>
      </w:r>
      <w:r>
        <w:rPr/>
        <w:t>a</w:t>
      </w:r>
      <w:r>
        <w:rPr>
          <w:spacing w:val="-24"/>
        </w:rPr>
        <w:t> </w:t>
      </w:r>
      <w:r>
        <w:rPr/>
        <w:t>temple</w:t>
      </w:r>
      <w:r>
        <w:rPr>
          <w:spacing w:val="-24"/>
        </w:rPr>
        <w:t> </w:t>
      </w:r>
      <w:r>
        <w:rPr/>
        <w:t>of</w:t>
      </w:r>
      <w:r>
        <w:rPr>
          <w:spacing w:val="-26"/>
        </w:rPr>
        <w:t> </w:t>
      </w:r>
      <w:r>
        <w:rPr/>
        <w:t>Janam Bhumi with idols installed therein as alleged in para 3 of the plaint</w:t>
      </w:r>
      <w:r>
        <w:rPr>
          <w:spacing w:val="-10"/>
        </w:rPr>
        <w:t> </w:t>
      </w:r>
      <w:r>
        <w:rPr/>
        <w:t>?</w:t>
      </w:r>
    </w:p>
    <w:p>
      <w:pPr>
        <w:pStyle w:val="BodyText"/>
        <w:spacing w:before="10"/>
        <w:rPr>
          <w:rFonts w:ascii="Courier New"/>
          <w:sz w:val="27"/>
        </w:rPr>
      </w:pPr>
    </w:p>
    <w:p>
      <w:pPr>
        <w:spacing w:line="240" w:lineRule="auto" w:before="0"/>
        <w:ind w:left="1012" w:right="1245" w:firstLine="719"/>
        <w:jc w:val="both"/>
        <w:rPr>
          <w:rFonts w:ascii="Courier New"/>
          <w:sz w:val="28"/>
        </w:rPr>
      </w:pPr>
      <w:r>
        <w:rPr>
          <w:rFonts w:ascii="Courier New"/>
          <w:b/>
          <w:sz w:val="28"/>
        </w:rPr>
        <w:t>Issue No.5 </w:t>
      </w:r>
      <w:r>
        <w:rPr>
          <w:rFonts w:ascii="Courier New"/>
          <w:sz w:val="28"/>
        </w:rPr>
        <w:t>: Is the property in suit</w:t>
      </w:r>
      <w:r>
        <w:rPr>
          <w:rFonts w:ascii="Courier New"/>
          <w:spacing w:val="-28"/>
          <w:sz w:val="28"/>
        </w:rPr>
        <w:t> </w:t>
      </w:r>
      <w:r>
        <w:rPr>
          <w:rFonts w:ascii="Courier New"/>
          <w:sz w:val="28"/>
        </w:rPr>
        <w:t>a Mosque</w:t>
      </w:r>
      <w:r>
        <w:rPr>
          <w:rFonts w:ascii="Courier New"/>
          <w:spacing w:val="-22"/>
          <w:sz w:val="28"/>
        </w:rPr>
        <w:t> </w:t>
      </w:r>
      <w:r>
        <w:rPr>
          <w:rFonts w:ascii="Courier New"/>
          <w:sz w:val="28"/>
        </w:rPr>
        <w:t>made</w:t>
      </w:r>
      <w:r>
        <w:rPr>
          <w:rFonts w:ascii="Courier New"/>
          <w:spacing w:val="-22"/>
          <w:sz w:val="28"/>
        </w:rPr>
        <w:t> </w:t>
      </w:r>
      <w:r>
        <w:rPr>
          <w:rFonts w:ascii="Courier New"/>
          <w:sz w:val="28"/>
        </w:rPr>
        <w:t>by</w:t>
      </w:r>
      <w:r>
        <w:rPr>
          <w:rFonts w:ascii="Courier New"/>
          <w:spacing w:val="-22"/>
          <w:sz w:val="28"/>
        </w:rPr>
        <w:t> </w:t>
      </w:r>
      <w:r>
        <w:rPr>
          <w:rFonts w:ascii="Courier New"/>
          <w:sz w:val="28"/>
        </w:rPr>
        <w:t>Emperor</w:t>
      </w:r>
      <w:r>
        <w:rPr>
          <w:rFonts w:ascii="Courier New"/>
          <w:spacing w:val="-22"/>
          <w:sz w:val="28"/>
        </w:rPr>
        <w:t> </w:t>
      </w:r>
      <w:r>
        <w:rPr>
          <w:rFonts w:ascii="Courier New"/>
          <w:sz w:val="28"/>
        </w:rPr>
        <w:t>Babar</w:t>
      </w:r>
      <w:r>
        <w:rPr>
          <w:rFonts w:ascii="Courier New"/>
          <w:spacing w:val="-21"/>
          <w:sz w:val="28"/>
        </w:rPr>
        <w:t> </w:t>
      </w:r>
      <w:r>
        <w:rPr>
          <w:rFonts w:ascii="Courier New"/>
          <w:sz w:val="28"/>
        </w:rPr>
        <w:t>known</w:t>
      </w:r>
      <w:r>
        <w:rPr>
          <w:rFonts w:ascii="Courier New"/>
          <w:spacing w:val="-22"/>
          <w:sz w:val="28"/>
        </w:rPr>
        <w:t> </w:t>
      </w:r>
      <w:r>
        <w:rPr>
          <w:rFonts w:ascii="Courier New"/>
          <w:sz w:val="28"/>
        </w:rPr>
        <w:t>as</w:t>
      </w:r>
      <w:r>
        <w:rPr>
          <w:rFonts w:ascii="Courier New"/>
          <w:spacing w:val="-22"/>
          <w:sz w:val="28"/>
        </w:rPr>
        <w:t> </w:t>
      </w:r>
      <w:r>
        <w:rPr>
          <w:rFonts w:ascii="Courier New"/>
          <w:sz w:val="28"/>
        </w:rPr>
        <w:t>Babri Masjid</w:t>
      </w:r>
      <w:r>
        <w:rPr>
          <w:rFonts w:ascii="Courier New"/>
          <w:spacing w:val="-2"/>
          <w:sz w:val="28"/>
        </w:rPr>
        <w:t> </w:t>
      </w:r>
      <w:r>
        <w:rPr>
          <w:rFonts w:ascii="Courier New"/>
          <w:sz w:val="28"/>
        </w:rPr>
        <w:t>?</w:t>
      </w:r>
    </w:p>
    <w:p>
      <w:pPr>
        <w:pStyle w:val="BodyText"/>
        <w:rPr>
          <w:rFonts w:ascii="Courier New"/>
          <w:sz w:val="32"/>
        </w:rPr>
      </w:pPr>
    </w:p>
    <w:p>
      <w:pPr>
        <w:spacing w:before="272"/>
        <w:ind w:left="867" w:right="0" w:firstLine="0"/>
        <w:jc w:val="both"/>
        <w:rPr>
          <w:rFonts w:ascii="Courier New"/>
          <w:sz w:val="28"/>
        </w:rPr>
      </w:pPr>
      <w:r>
        <w:rPr>
          <w:rFonts w:ascii="Courier New"/>
          <w:sz w:val="28"/>
        </w:rPr>
        <w:t>In </w:t>
      </w:r>
      <w:r>
        <w:rPr>
          <w:rFonts w:ascii="Courier New"/>
          <w:b/>
          <w:sz w:val="28"/>
          <w:u w:val="thick"/>
        </w:rPr>
        <w:t>Suit No.4</w:t>
      </w:r>
      <w:r>
        <w:rPr>
          <w:rFonts w:ascii="Courier New"/>
          <w:b/>
          <w:sz w:val="28"/>
        </w:rPr>
        <w:t> </w:t>
      </w:r>
      <w:r>
        <w:rPr>
          <w:rFonts w:ascii="Courier New"/>
          <w:sz w:val="28"/>
        </w:rPr>
        <w:t>relevant issues were:</w:t>
      </w:r>
    </w:p>
    <w:p>
      <w:pPr>
        <w:pStyle w:val="BodyText"/>
        <w:spacing w:before="11"/>
        <w:rPr>
          <w:rFonts w:ascii="Courier New"/>
          <w:sz w:val="27"/>
        </w:rPr>
      </w:pPr>
    </w:p>
    <w:p>
      <w:pPr>
        <w:pStyle w:val="Heading2"/>
        <w:ind w:left="1012" w:right="1247" w:firstLine="849"/>
      </w:pPr>
      <w:r>
        <w:rPr>
          <w:b/>
        </w:rPr>
        <w:t>Issue</w:t>
      </w:r>
      <w:r>
        <w:rPr>
          <w:b/>
          <w:spacing w:val="-21"/>
        </w:rPr>
        <w:t> </w:t>
      </w:r>
      <w:r>
        <w:rPr>
          <w:b/>
        </w:rPr>
        <w:t>No.</w:t>
      </w:r>
      <w:r>
        <w:rPr>
          <w:b/>
          <w:spacing w:val="-21"/>
        </w:rPr>
        <w:t> </w:t>
      </w:r>
      <w:r>
        <w:rPr>
          <w:b/>
        </w:rPr>
        <w:t>1(a)</w:t>
      </w:r>
      <w:r>
        <w:rPr>
          <w:b/>
          <w:spacing w:val="-18"/>
        </w:rPr>
        <w:t> </w:t>
      </w:r>
      <w:r>
        <w:rPr/>
        <w:t>:</w:t>
      </w:r>
      <w:r>
        <w:rPr>
          <w:spacing w:val="-21"/>
        </w:rPr>
        <w:t> </w:t>
      </w:r>
      <w:r>
        <w:rPr/>
        <w:t>When</w:t>
      </w:r>
      <w:r>
        <w:rPr>
          <w:spacing w:val="-20"/>
        </w:rPr>
        <w:t> </w:t>
      </w:r>
      <w:r>
        <w:rPr/>
        <w:t>was</w:t>
      </w:r>
      <w:r>
        <w:rPr>
          <w:spacing w:val="-21"/>
        </w:rPr>
        <w:t> </w:t>
      </w:r>
      <w:r>
        <w:rPr/>
        <w:t>it</w:t>
      </w:r>
      <w:r>
        <w:rPr>
          <w:spacing w:val="-19"/>
        </w:rPr>
        <w:t> </w:t>
      </w:r>
      <w:r>
        <w:rPr/>
        <w:t>built</w:t>
      </w:r>
      <w:r>
        <w:rPr>
          <w:spacing w:val="-21"/>
        </w:rPr>
        <w:t> </w:t>
      </w:r>
      <w:r>
        <w:rPr/>
        <w:t>and by whom-whether by Babar as alleged by the plaintiffs or by Meer Baqui as alleged by defendant No.</w:t>
      </w:r>
      <w:r>
        <w:rPr>
          <w:spacing w:val="-3"/>
        </w:rPr>
        <w:t> </w:t>
      </w:r>
      <w:r>
        <w:rPr/>
        <w:t>13?</w:t>
      </w:r>
    </w:p>
    <w:p>
      <w:pPr>
        <w:pStyle w:val="BodyText"/>
        <w:rPr>
          <w:rFonts w:ascii="Courier New"/>
          <w:sz w:val="28"/>
        </w:rPr>
      </w:pPr>
    </w:p>
    <w:p>
      <w:pPr>
        <w:spacing w:line="240" w:lineRule="auto" w:before="0"/>
        <w:ind w:left="1011" w:right="1245" w:firstLine="849"/>
        <w:jc w:val="both"/>
        <w:rPr>
          <w:rFonts w:ascii="Courier New"/>
          <w:sz w:val="28"/>
        </w:rPr>
      </w:pPr>
      <w:r>
        <w:rPr>
          <w:rFonts w:ascii="Courier New"/>
          <w:b/>
          <w:sz w:val="28"/>
        </w:rPr>
        <w:t>Issue No. 1(b) </w:t>
      </w:r>
      <w:r>
        <w:rPr>
          <w:rFonts w:ascii="Courier New"/>
          <w:sz w:val="28"/>
        </w:rPr>
        <w:t>: Whether the building had been constructed on the site of an alleged Hindu temple after demolishing the same</w:t>
      </w:r>
      <w:r>
        <w:rPr>
          <w:rFonts w:ascii="Courier New"/>
          <w:spacing w:val="-20"/>
          <w:sz w:val="28"/>
        </w:rPr>
        <w:t> </w:t>
      </w:r>
      <w:r>
        <w:rPr>
          <w:rFonts w:ascii="Courier New"/>
          <w:sz w:val="28"/>
        </w:rPr>
        <w:t>as</w:t>
      </w:r>
      <w:r>
        <w:rPr>
          <w:rFonts w:ascii="Courier New"/>
          <w:spacing w:val="-19"/>
          <w:sz w:val="28"/>
        </w:rPr>
        <w:t> </w:t>
      </w:r>
      <w:r>
        <w:rPr>
          <w:rFonts w:ascii="Courier New"/>
          <w:sz w:val="28"/>
        </w:rPr>
        <w:t>alleged</w:t>
      </w:r>
      <w:r>
        <w:rPr>
          <w:rFonts w:ascii="Courier New"/>
          <w:spacing w:val="-20"/>
          <w:sz w:val="28"/>
        </w:rPr>
        <w:t> </w:t>
      </w:r>
      <w:r>
        <w:rPr>
          <w:rFonts w:ascii="Courier New"/>
          <w:sz w:val="28"/>
        </w:rPr>
        <w:t>by</w:t>
      </w:r>
      <w:r>
        <w:rPr>
          <w:rFonts w:ascii="Courier New"/>
          <w:spacing w:val="-19"/>
          <w:sz w:val="28"/>
        </w:rPr>
        <w:t> </w:t>
      </w:r>
      <w:r>
        <w:rPr>
          <w:rFonts w:ascii="Courier New"/>
          <w:sz w:val="28"/>
        </w:rPr>
        <w:t>defendant</w:t>
      </w:r>
      <w:r>
        <w:rPr>
          <w:rFonts w:ascii="Courier New"/>
          <w:spacing w:val="-19"/>
          <w:sz w:val="28"/>
        </w:rPr>
        <w:t> </w:t>
      </w:r>
      <w:r>
        <w:rPr>
          <w:rFonts w:ascii="Courier New"/>
          <w:sz w:val="28"/>
        </w:rPr>
        <w:t>no.</w:t>
      </w:r>
      <w:r>
        <w:rPr>
          <w:rFonts w:ascii="Courier New"/>
          <w:spacing w:val="-20"/>
          <w:sz w:val="28"/>
        </w:rPr>
        <w:t> </w:t>
      </w:r>
      <w:r>
        <w:rPr>
          <w:rFonts w:ascii="Courier New"/>
          <w:sz w:val="28"/>
        </w:rPr>
        <w:t>13?</w:t>
      </w:r>
      <w:r>
        <w:rPr>
          <w:rFonts w:ascii="Courier New"/>
          <w:spacing w:val="-19"/>
          <w:sz w:val="28"/>
        </w:rPr>
        <w:t> </w:t>
      </w:r>
      <w:r>
        <w:rPr>
          <w:rFonts w:ascii="Courier New"/>
          <w:sz w:val="28"/>
        </w:rPr>
        <w:t>If</w:t>
      </w:r>
      <w:r>
        <w:rPr>
          <w:rFonts w:ascii="Courier New"/>
          <w:spacing w:val="-19"/>
          <w:sz w:val="28"/>
        </w:rPr>
        <w:t> </w:t>
      </w:r>
      <w:r>
        <w:rPr>
          <w:rFonts w:ascii="Courier New"/>
          <w:sz w:val="28"/>
        </w:rPr>
        <w:t>so, its</w:t>
      </w:r>
      <w:r>
        <w:rPr>
          <w:rFonts w:ascii="Courier New"/>
          <w:spacing w:val="-2"/>
          <w:sz w:val="28"/>
        </w:rPr>
        <w:t> </w:t>
      </w:r>
      <w:r>
        <w:rPr>
          <w:rFonts w:ascii="Courier New"/>
          <w:sz w:val="28"/>
        </w:rPr>
        <w:t>effect?</w:t>
      </w:r>
    </w:p>
    <w:p>
      <w:pPr>
        <w:spacing w:after="0" w:line="240" w:lineRule="auto"/>
        <w:jc w:val="both"/>
        <w:rPr>
          <w:rFonts w:ascii="Courier New"/>
          <w:sz w:val="28"/>
        </w:rPr>
        <w:sectPr>
          <w:headerReference w:type="default" r:id="rId210"/>
          <w:footerReference w:type="default" r:id="rId211"/>
          <w:pgSz w:w="11910" w:h="16840"/>
          <w:pgMar w:header="0" w:footer="1063" w:top="1340" w:bottom="1260" w:left="1280" w:right="1280"/>
          <w:pgNumType w:start="1"/>
        </w:sectPr>
      </w:pPr>
    </w:p>
    <w:p>
      <w:pPr>
        <w:spacing w:before="163"/>
        <w:ind w:left="1012" w:right="1247" w:firstLine="849"/>
        <w:jc w:val="both"/>
        <w:rPr>
          <w:rFonts w:ascii="Courier New"/>
          <w:sz w:val="28"/>
        </w:rPr>
      </w:pPr>
      <w:r>
        <w:rPr>
          <w:rFonts w:ascii="Courier New"/>
          <w:b/>
          <w:sz w:val="28"/>
        </w:rPr>
        <w:t>Issue No.11 </w:t>
      </w:r>
      <w:r>
        <w:rPr>
          <w:rFonts w:ascii="Courier New"/>
          <w:sz w:val="28"/>
        </w:rPr>
        <w:t>: Is the property in suit the site of Janam Bhumi of Sri Ram Chandraji?</w:t>
      </w:r>
    </w:p>
    <w:p>
      <w:pPr>
        <w:pStyle w:val="BodyText"/>
        <w:rPr>
          <w:rFonts w:ascii="Courier New"/>
          <w:sz w:val="28"/>
        </w:rPr>
      </w:pPr>
    </w:p>
    <w:p>
      <w:pPr>
        <w:spacing w:line="240" w:lineRule="auto" w:before="0"/>
        <w:ind w:left="1011" w:right="1246" w:firstLine="849"/>
        <w:jc w:val="both"/>
        <w:rPr>
          <w:rFonts w:ascii="Courier New"/>
          <w:sz w:val="28"/>
        </w:rPr>
      </w:pPr>
      <w:r>
        <w:rPr>
          <w:rFonts w:ascii="Courier New"/>
          <w:b/>
          <w:sz w:val="28"/>
        </w:rPr>
        <w:t>Issue No.14: </w:t>
      </w:r>
      <w:r>
        <w:rPr>
          <w:rFonts w:ascii="Courier New"/>
          <w:sz w:val="28"/>
        </w:rPr>
        <w:t>Have the Hindus been worshiping the place in dispute as Sri Ram Janam Bhumi or Janam Asthan and have been visiting</w:t>
      </w:r>
      <w:r>
        <w:rPr>
          <w:rFonts w:ascii="Courier New"/>
          <w:spacing w:val="-22"/>
          <w:sz w:val="28"/>
        </w:rPr>
        <w:t> </w:t>
      </w:r>
      <w:r>
        <w:rPr>
          <w:rFonts w:ascii="Courier New"/>
          <w:sz w:val="28"/>
        </w:rPr>
        <w:t>it</w:t>
      </w:r>
      <w:r>
        <w:rPr>
          <w:rFonts w:ascii="Courier New"/>
          <w:spacing w:val="-22"/>
          <w:sz w:val="28"/>
        </w:rPr>
        <w:t> </w:t>
      </w:r>
      <w:r>
        <w:rPr>
          <w:rFonts w:ascii="Courier New"/>
          <w:sz w:val="28"/>
        </w:rPr>
        <w:t>as</w:t>
      </w:r>
      <w:r>
        <w:rPr>
          <w:rFonts w:ascii="Courier New"/>
          <w:spacing w:val="-22"/>
          <w:sz w:val="28"/>
        </w:rPr>
        <w:t> </w:t>
      </w:r>
      <w:r>
        <w:rPr>
          <w:rFonts w:ascii="Courier New"/>
          <w:sz w:val="28"/>
        </w:rPr>
        <w:t>a</w:t>
      </w:r>
      <w:r>
        <w:rPr>
          <w:rFonts w:ascii="Courier New"/>
          <w:spacing w:val="-22"/>
          <w:sz w:val="28"/>
        </w:rPr>
        <w:t> </w:t>
      </w:r>
      <w:r>
        <w:rPr>
          <w:rFonts w:ascii="Courier New"/>
          <w:sz w:val="28"/>
        </w:rPr>
        <w:t>sacred</w:t>
      </w:r>
      <w:r>
        <w:rPr>
          <w:rFonts w:ascii="Courier New"/>
          <w:spacing w:val="-21"/>
          <w:sz w:val="28"/>
        </w:rPr>
        <w:t> </w:t>
      </w:r>
      <w:r>
        <w:rPr>
          <w:rFonts w:ascii="Courier New"/>
          <w:sz w:val="28"/>
        </w:rPr>
        <w:t>place</w:t>
      </w:r>
      <w:r>
        <w:rPr>
          <w:rFonts w:ascii="Courier New"/>
          <w:spacing w:val="-22"/>
          <w:sz w:val="28"/>
        </w:rPr>
        <w:t> </w:t>
      </w:r>
      <w:r>
        <w:rPr>
          <w:rFonts w:ascii="Courier New"/>
          <w:sz w:val="28"/>
        </w:rPr>
        <w:t>of</w:t>
      </w:r>
      <w:r>
        <w:rPr>
          <w:rFonts w:ascii="Courier New"/>
          <w:spacing w:val="-22"/>
          <w:sz w:val="28"/>
        </w:rPr>
        <w:t> </w:t>
      </w:r>
      <w:r>
        <w:rPr>
          <w:rFonts w:ascii="Courier New"/>
          <w:sz w:val="28"/>
        </w:rPr>
        <w:t>pilgrimage as</w:t>
      </w:r>
      <w:r>
        <w:rPr>
          <w:rFonts w:ascii="Courier New"/>
          <w:spacing w:val="-20"/>
          <w:sz w:val="28"/>
        </w:rPr>
        <w:t> </w:t>
      </w:r>
      <w:r>
        <w:rPr>
          <w:rFonts w:ascii="Courier New"/>
          <w:sz w:val="28"/>
        </w:rPr>
        <w:t>of</w:t>
      </w:r>
      <w:r>
        <w:rPr>
          <w:rFonts w:ascii="Courier New"/>
          <w:spacing w:val="-19"/>
          <w:sz w:val="28"/>
        </w:rPr>
        <w:t> </w:t>
      </w:r>
      <w:r>
        <w:rPr>
          <w:rFonts w:ascii="Courier New"/>
          <w:sz w:val="28"/>
        </w:rPr>
        <w:t>right</w:t>
      </w:r>
      <w:r>
        <w:rPr>
          <w:rFonts w:ascii="Courier New"/>
          <w:spacing w:val="-20"/>
          <w:sz w:val="28"/>
        </w:rPr>
        <w:t> </w:t>
      </w:r>
      <w:r>
        <w:rPr>
          <w:rFonts w:ascii="Courier New"/>
          <w:sz w:val="28"/>
        </w:rPr>
        <w:t>since</w:t>
      </w:r>
      <w:r>
        <w:rPr>
          <w:rFonts w:ascii="Courier New"/>
          <w:spacing w:val="-19"/>
          <w:sz w:val="28"/>
        </w:rPr>
        <w:t> </w:t>
      </w:r>
      <w:r>
        <w:rPr>
          <w:rFonts w:ascii="Courier New"/>
          <w:sz w:val="28"/>
        </w:rPr>
        <w:t>times</w:t>
      </w:r>
      <w:r>
        <w:rPr>
          <w:rFonts w:ascii="Courier New"/>
          <w:spacing w:val="-19"/>
          <w:sz w:val="28"/>
        </w:rPr>
        <w:t> </w:t>
      </w:r>
      <w:r>
        <w:rPr>
          <w:rFonts w:ascii="Courier New"/>
          <w:sz w:val="28"/>
        </w:rPr>
        <w:t>immemorial</w:t>
      </w:r>
      <w:r>
        <w:rPr>
          <w:rFonts w:ascii="Courier New"/>
          <w:spacing w:val="-20"/>
          <w:sz w:val="28"/>
        </w:rPr>
        <w:t> </w:t>
      </w:r>
      <w:r>
        <w:rPr>
          <w:rFonts w:ascii="Courier New"/>
          <w:sz w:val="28"/>
        </w:rPr>
        <w:t>?</w:t>
      </w:r>
      <w:r>
        <w:rPr>
          <w:rFonts w:ascii="Courier New"/>
          <w:spacing w:val="-19"/>
          <w:sz w:val="28"/>
        </w:rPr>
        <w:t> </w:t>
      </w:r>
      <w:r>
        <w:rPr>
          <w:rFonts w:ascii="Courier New"/>
          <w:sz w:val="28"/>
        </w:rPr>
        <w:t>If</w:t>
      </w:r>
      <w:r>
        <w:rPr>
          <w:rFonts w:ascii="Courier New"/>
          <w:spacing w:val="-19"/>
          <w:sz w:val="28"/>
        </w:rPr>
        <w:t> </w:t>
      </w:r>
      <w:r>
        <w:rPr>
          <w:rFonts w:ascii="Courier New"/>
          <w:sz w:val="28"/>
        </w:rPr>
        <w:t>so, its effect</w:t>
      </w:r>
      <w:r>
        <w:rPr>
          <w:rFonts w:ascii="Courier New"/>
          <w:spacing w:val="-3"/>
          <w:sz w:val="28"/>
        </w:rPr>
        <w:t> </w:t>
      </w:r>
      <w:r>
        <w:rPr>
          <w:rFonts w:ascii="Courier New"/>
          <w:sz w:val="28"/>
        </w:rPr>
        <w:t>?</w:t>
      </w:r>
    </w:p>
    <w:p>
      <w:pPr>
        <w:pStyle w:val="BodyText"/>
        <w:rPr>
          <w:rFonts w:ascii="Courier New"/>
          <w:sz w:val="32"/>
        </w:rPr>
      </w:pPr>
    </w:p>
    <w:p>
      <w:pPr>
        <w:spacing w:before="272"/>
        <w:ind w:left="867" w:right="0" w:firstLine="0"/>
        <w:jc w:val="both"/>
        <w:rPr>
          <w:rFonts w:ascii="Courier New"/>
          <w:sz w:val="28"/>
        </w:rPr>
      </w:pPr>
      <w:r>
        <w:rPr>
          <w:rFonts w:ascii="Courier New"/>
          <w:sz w:val="28"/>
        </w:rPr>
        <w:t>In </w:t>
      </w:r>
      <w:r>
        <w:rPr>
          <w:rFonts w:ascii="Courier New"/>
          <w:b/>
          <w:sz w:val="28"/>
          <w:u w:val="thick"/>
        </w:rPr>
        <w:t>Suit No.5</w:t>
      </w:r>
      <w:r>
        <w:rPr>
          <w:rFonts w:ascii="Courier New"/>
          <w:b/>
          <w:sz w:val="28"/>
        </w:rPr>
        <w:t> </w:t>
      </w:r>
      <w:r>
        <w:rPr>
          <w:rFonts w:ascii="Courier New"/>
          <w:sz w:val="28"/>
        </w:rPr>
        <w:t>relevant issue was:</w:t>
      </w:r>
    </w:p>
    <w:p>
      <w:pPr>
        <w:pStyle w:val="BodyText"/>
        <w:spacing w:before="10"/>
        <w:rPr>
          <w:rFonts w:ascii="Courier New"/>
          <w:sz w:val="27"/>
        </w:rPr>
      </w:pPr>
    </w:p>
    <w:p>
      <w:pPr>
        <w:pStyle w:val="Heading2"/>
        <w:ind w:left="1011" w:right="1246" w:firstLine="1274"/>
      </w:pPr>
      <w:r>
        <w:rPr>
          <w:b/>
        </w:rPr>
        <w:t>Issue No.22: </w:t>
      </w:r>
      <w:r>
        <w:rPr/>
        <w:t>Whether the premises in question or any part thereof is by tradition,</w:t>
      </w:r>
      <w:r>
        <w:rPr>
          <w:spacing w:val="-26"/>
        </w:rPr>
        <w:t> </w:t>
      </w:r>
      <w:r>
        <w:rPr/>
        <w:t>belief</w:t>
      </w:r>
      <w:r>
        <w:rPr>
          <w:spacing w:val="-26"/>
        </w:rPr>
        <w:t> </w:t>
      </w:r>
      <w:r>
        <w:rPr/>
        <w:t>and</w:t>
      </w:r>
      <w:r>
        <w:rPr>
          <w:spacing w:val="-25"/>
        </w:rPr>
        <w:t> </w:t>
      </w:r>
      <w:r>
        <w:rPr/>
        <w:t>faith</w:t>
      </w:r>
      <w:r>
        <w:rPr>
          <w:spacing w:val="-26"/>
        </w:rPr>
        <w:t> </w:t>
      </w:r>
      <w:r>
        <w:rPr/>
        <w:t>the</w:t>
      </w:r>
      <w:r>
        <w:rPr>
          <w:spacing w:val="-26"/>
        </w:rPr>
        <w:t> </w:t>
      </w:r>
      <w:r>
        <w:rPr/>
        <w:t>birth</w:t>
      </w:r>
      <w:r>
        <w:rPr>
          <w:spacing w:val="-25"/>
        </w:rPr>
        <w:t> </w:t>
      </w:r>
      <w:r>
        <w:rPr/>
        <w:t>place of Lord Rama as alleged in paragraphs 19 and 20 of the plaint ? If so, its effect</w:t>
      </w:r>
      <w:r>
        <w:rPr>
          <w:spacing w:val="-17"/>
        </w:rPr>
        <w:t> </w:t>
      </w:r>
      <w:r>
        <w:rPr/>
        <w:t>?</w:t>
      </w:r>
    </w:p>
    <w:p>
      <w:pPr>
        <w:pStyle w:val="BodyText"/>
        <w:rPr>
          <w:rFonts w:ascii="Courier New"/>
          <w:sz w:val="32"/>
        </w:rPr>
      </w:pPr>
    </w:p>
    <w:p>
      <w:pPr>
        <w:pStyle w:val="BodyText"/>
        <w:rPr>
          <w:rFonts w:ascii="Courier New"/>
          <w:sz w:val="32"/>
        </w:rPr>
      </w:pPr>
    </w:p>
    <w:p>
      <w:pPr>
        <w:pStyle w:val="ListParagraph"/>
        <w:numPr>
          <w:ilvl w:val="0"/>
          <w:numId w:val="251"/>
        </w:numPr>
        <w:tabs>
          <w:tab w:pos="895" w:val="left" w:leader="none"/>
        </w:tabs>
        <w:spacing w:line="480" w:lineRule="auto" w:before="228" w:after="0"/>
        <w:ind w:left="160" w:right="158" w:firstLine="0"/>
        <w:jc w:val="both"/>
        <w:rPr>
          <w:rFonts w:ascii="Courier New"/>
          <w:sz w:val="28"/>
        </w:rPr>
      </w:pPr>
      <w:r>
        <w:rPr>
          <w:rFonts w:ascii="Courier New"/>
          <w:sz w:val="28"/>
        </w:rPr>
        <w:t>After noticing the issues relevant to the points under consideration, it is necessary to notice the pleadings</w:t>
      </w:r>
      <w:r>
        <w:rPr>
          <w:rFonts w:ascii="Courier New"/>
          <w:spacing w:val="-27"/>
          <w:sz w:val="28"/>
        </w:rPr>
        <w:t> </w:t>
      </w:r>
      <w:r>
        <w:rPr>
          <w:rFonts w:ascii="Courier New"/>
          <w:sz w:val="28"/>
        </w:rPr>
        <w:t>of</w:t>
      </w:r>
      <w:r>
        <w:rPr>
          <w:rFonts w:ascii="Courier New"/>
          <w:spacing w:val="-26"/>
          <w:sz w:val="28"/>
        </w:rPr>
        <w:t> </w:t>
      </w:r>
      <w:r>
        <w:rPr>
          <w:rFonts w:ascii="Courier New"/>
          <w:sz w:val="28"/>
        </w:rPr>
        <w:t>the</w:t>
      </w:r>
      <w:r>
        <w:rPr>
          <w:rFonts w:ascii="Courier New"/>
          <w:spacing w:val="-26"/>
          <w:sz w:val="28"/>
        </w:rPr>
        <w:t> </w:t>
      </w:r>
      <w:r>
        <w:rPr>
          <w:rFonts w:ascii="Courier New"/>
          <w:sz w:val="28"/>
        </w:rPr>
        <w:t>parties</w:t>
      </w:r>
      <w:r>
        <w:rPr>
          <w:rFonts w:ascii="Courier New"/>
          <w:spacing w:val="-26"/>
          <w:sz w:val="28"/>
        </w:rPr>
        <w:t> </w:t>
      </w:r>
      <w:r>
        <w:rPr>
          <w:rFonts w:ascii="Courier New"/>
          <w:sz w:val="28"/>
        </w:rPr>
        <w:t>in</w:t>
      </w:r>
      <w:r>
        <w:rPr>
          <w:rFonts w:ascii="Courier New"/>
          <w:spacing w:val="-26"/>
          <w:sz w:val="28"/>
        </w:rPr>
        <w:t> </w:t>
      </w:r>
      <w:r>
        <w:rPr>
          <w:rFonts w:ascii="Courier New"/>
          <w:sz w:val="28"/>
        </w:rPr>
        <w:t>brief</w:t>
      </w:r>
      <w:r>
        <w:rPr>
          <w:rFonts w:ascii="Courier New"/>
          <w:spacing w:val="-26"/>
          <w:sz w:val="28"/>
        </w:rPr>
        <w:t> </w:t>
      </w:r>
      <w:r>
        <w:rPr>
          <w:rFonts w:ascii="Courier New"/>
          <w:sz w:val="28"/>
        </w:rPr>
        <w:t>in</w:t>
      </w:r>
      <w:r>
        <w:rPr>
          <w:rFonts w:ascii="Courier New"/>
          <w:spacing w:val="-26"/>
          <w:sz w:val="28"/>
        </w:rPr>
        <w:t> </w:t>
      </w:r>
      <w:r>
        <w:rPr>
          <w:rFonts w:ascii="Courier New"/>
          <w:sz w:val="28"/>
        </w:rPr>
        <w:t>the</w:t>
      </w:r>
      <w:r>
        <w:rPr>
          <w:rFonts w:ascii="Courier New"/>
          <w:spacing w:val="-26"/>
          <w:sz w:val="28"/>
        </w:rPr>
        <w:t> </w:t>
      </w:r>
      <w:r>
        <w:rPr>
          <w:rFonts w:ascii="Courier New"/>
          <w:sz w:val="28"/>
        </w:rPr>
        <w:t>above</w:t>
      </w:r>
      <w:r>
        <w:rPr>
          <w:rFonts w:ascii="Courier New"/>
          <w:spacing w:val="-26"/>
          <w:sz w:val="28"/>
        </w:rPr>
        <w:t> </w:t>
      </w:r>
      <w:r>
        <w:rPr>
          <w:rFonts w:ascii="Courier New"/>
          <w:sz w:val="28"/>
        </w:rPr>
        <w:t>respect.</w:t>
      </w:r>
    </w:p>
    <w:p>
      <w:pPr>
        <w:pStyle w:val="BodyText"/>
        <w:rPr>
          <w:rFonts w:ascii="Courier New"/>
          <w:sz w:val="28"/>
        </w:rPr>
      </w:pPr>
    </w:p>
    <w:p>
      <w:pPr>
        <w:pStyle w:val="ListParagraph"/>
        <w:numPr>
          <w:ilvl w:val="0"/>
          <w:numId w:val="251"/>
        </w:numPr>
        <w:tabs>
          <w:tab w:pos="895" w:val="left" w:leader="none"/>
        </w:tabs>
        <w:spacing w:line="480" w:lineRule="auto" w:before="0" w:after="0"/>
        <w:ind w:left="160" w:right="160" w:firstLine="0"/>
        <w:jc w:val="both"/>
        <w:rPr>
          <w:rFonts w:ascii="Courier New"/>
          <w:sz w:val="28"/>
        </w:rPr>
      </w:pPr>
      <w:r>
        <w:rPr>
          <w:rFonts w:ascii="Courier New"/>
          <w:sz w:val="28"/>
        </w:rPr>
        <w:t>In Suit No.1, the plaintiff, follower of Sanatan Dharam is the resident of Ayodhya and as per his religion, he used to worship and have the darshan of the deities and Idols. It was pleaded in paragraph 1 and</w:t>
      </w:r>
      <w:r>
        <w:rPr>
          <w:rFonts w:ascii="Courier New"/>
          <w:spacing w:val="-2"/>
          <w:sz w:val="28"/>
        </w:rPr>
        <w:t> </w:t>
      </w:r>
      <w:r>
        <w:rPr>
          <w:rFonts w:ascii="Courier New"/>
          <w:sz w:val="28"/>
        </w:rPr>
        <w:t>2:</w:t>
      </w:r>
    </w:p>
    <w:p>
      <w:pPr>
        <w:spacing w:line="240" w:lineRule="auto" w:before="0"/>
        <w:ind w:left="1011" w:right="962" w:firstLine="0"/>
        <w:jc w:val="both"/>
        <w:rPr>
          <w:rFonts w:ascii="Courier New" w:hAnsi="Courier New"/>
          <w:sz w:val="28"/>
        </w:rPr>
      </w:pPr>
      <w:r>
        <w:rPr>
          <w:rFonts w:ascii="Courier New" w:hAnsi="Courier New"/>
          <w:sz w:val="28"/>
        </w:rPr>
        <w:t>“1. That the original Plaintiff, follower of Sanatan Dharm and is the resident of Ayodhya and as per his religion, he used</w:t>
      </w:r>
      <w:r>
        <w:rPr>
          <w:rFonts w:ascii="Courier New" w:hAnsi="Courier New"/>
          <w:spacing w:val="130"/>
          <w:sz w:val="28"/>
        </w:rPr>
        <w:t> </w:t>
      </w:r>
      <w:r>
        <w:rPr>
          <w:rFonts w:ascii="Courier New" w:hAnsi="Courier New"/>
          <w:sz w:val="28"/>
        </w:rPr>
        <w:t>to</w:t>
      </w:r>
    </w:p>
    <w:p>
      <w:pPr>
        <w:spacing w:after="0" w:line="240" w:lineRule="auto"/>
        <w:jc w:val="both"/>
        <w:rPr>
          <w:rFonts w:ascii="Courier New" w:hAnsi="Courier New"/>
          <w:sz w:val="28"/>
        </w:rPr>
        <w:sectPr>
          <w:headerReference w:type="default" r:id="rId212"/>
          <w:footerReference w:type="default" r:id="rId213"/>
          <w:pgSz w:w="11910" w:h="16840"/>
          <w:pgMar w:header="0" w:footer="1063" w:top="1580" w:bottom="1260" w:left="1280" w:right="1280"/>
          <w:pgNumType w:start="2"/>
        </w:sectPr>
      </w:pPr>
    </w:p>
    <w:p>
      <w:pPr>
        <w:spacing w:line="240" w:lineRule="auto" w:before="86"/>
        <w:ind w:left="1011" w:right="960" w:firstLine="0"/>
        <w:jc w:val="both"/>
        <w:rPr>
          <w:rFonts w:ascii="Courier New"/>
          <w:sz w:val="28"/>
        </w:rPr>
      </w:pPr>
      <w:r>
        <w:rPr>
          <w:rFonts w:ascii="Courier New"/>
          <w:sz w:val="28"/>
        </w:rPr>
        <w:t>worship and have the darshan of the deities and idols and the present plaintiff like</w:t>
      </w:r>
      <w:r>
        <w:rPr>
          <w:rFonts w:ascii="Courier New"/>
          <w:spacing w:val="-35"/>
          <w:sz w:val="28"/>
        </w:rPr>
        <w:t> </w:t>
      </w:r>
      <w:r>
        <w:rPr>
          <w:rFonts w:ascii="Courier New"/>
          <w:sz w:val="28"/>
        </w:rPr>
        <w:t>his deceased father (original Plaintiff) is the follower of Sanatan Dharma and performs the worship and has the darshan of the deities and holy places</w:t>
      </w:r>
      <w:r>
        <w:rPr>
          <w:rFonts w:ascii="Courier New"/>
          <w:spacing w:val="-4"/>
          <w:sz w:val="28"/>
        </w:rPr>
        <w:t> </w:t>
      </w:r>
      <w:r>
        <w:rPr>
          <w:rFonts w:ascii="Courier New"/>
          <w:sz w:val="28"/>
        </w:rPr>
        <w:t>etc.</w:t>
      </w:r>
    </w:p>
    <w:p>
      <w:pPr>
        <w:pStyle w:val="BodyText"/>
        <w:spacing w:before="10"/>
        <w:rPr>
          <w:rFonts w:ascii="Courier New"/>
          <w:sz w:val="27"/>
        </w:rPr>
      </w:pPr>
    </w:p>
    <w:p>
      <w:pPr>
        <w:spacing w:line="240" w:lineRule="auto" w:before="1"/>
        <w:ind w:left="1011" w:right="961" w:firstLine="0"/>
        <w:jc w:val="both"/>
        <w:rPr>
          <w:rFonts w:ascii="Courier New" w:hAnsi="Courier New"/>
          <w:sz w:val="28"/>
        </w:rPr>
      </w:pPr>
      <w:r>
        <w:rPr>
          <w:rFonts w:ascii="Courier New" w:hAnsi="Courier New"/>
          <w:sz w:val="28"/>
        </w:rPr>
        <w:t>2. That the plaintiff has been worshipping and having darshan of the idol of Lord Shri Ram Chandra Ji and Charan Paduka (foot impressions) etc., in that place of Janambhumi , details whereof has been given hereinbelow and he is entitled to perform worship and have darshan in that place without any obstruction or interference and forever in future also.”</w:t>
      </w:r>
    </w:p>
    <w:p>
      <w:pPr>
        <w:pStyle w:val="BodyText"/>
        <w:rPr>
          <w:rFonts w:ascii="Courier New"/>
          <w:sz w:val="32"/>
        </w:rPr>
      </w:pPr>
    </w:p>
    <w:p>
      <w:pPr>
        <w:pStyle w:val="ListParagraph"/>
        <w:numPr>
          <w:ilvl w:val="0"/>
          <w:numId w:val="251"/>
        </w:numPr>
        <w:tabs>
          <w:tab w:pos="943" w:val="left" w:leader="none"/>
        </w:tabs>
        <w:spacing w:line="480" w:lineRule="auto" w:before="272" w:after="0"/>
        <w:ind w:left="160" w:right="114" w:firstLine="0"/>
        <w:jc w:val="both"/>
        <w:rPr>
          <w:rFonts w:ascii="Courier New"/>
          <w:sz w:val="28"/>
        </w:rPr>
      </w:pPr>
      <w:r>
        <w:rPr>
          <w:rFonts w:ascii="Courier New"/>
          <w:sz w:val="28"/>
        </w:rPr>
        <w:t>In the written statement filed by the defendant No.1,</w:t>
      </w:r>
      <w:r>
        <w:rPr>
          <w:rFonts w:ascii="Courier New"/>
          <w:spacing w:val="-20"/>
          <w:sz w:val="28"/>
        </w:rPr>
        <w:t> </w:t>
      </w:r>
      <w:r>
        <w:rPr>
          <w:rFonts w:ascii="Courier New"/>
          <w:sz w:val="28"/>
        </w:rPr>
        <w:t>Zahoor</w:t>
      </w:r>
      <w:r>
        <w:rPr>
          <w:rFonts w:ascii="Courier New"/>
          <w:spacing w:val="-19"/>
          <w:sz w:val="28"/>
        </w:rPr>
        <w:t> </w:t>
      </w:r>
      <w:r>
        <w:rPr>
          <w:rFonts w:ascii="Courier New"/>
          <w:sz w:val="28"/>
        </w:rPr>
        <w:t>Ahmed,</w:t>
      </w:r>
      <w:r>
        <w:rPr>
          <w:rFonts w:ascii="Courier New"/>
          <w:spacing w:val="-20"/>
          <w:sz w:val="28"/>
        </w:rPr>
        <w:t> </w:t>
      </w:r>
      <w:r>
        <w:rPr>
          <w:rFonts w:ascii="Courier New"/>
          <w:sz w:val="28"/>
        </w:rPr>
        <w:t>para</w:t>
      </w:r>
      <w:r>
        <w:rPr>
          <w:rFonts w:ascii="Courier New"/>
          <w:spacing w:val="-19"/>
          <w:sz w:val="28"/>
        </w:rPr>
        <w:t> </w:t>
      </w:r>
      <w:r>
        <w:rPr>
          <w:rFonts w:ascii="Courier New"/>
          <w:sz w:val="28"/>
        </w:rPr>
        <w:t>2</w:t>
      </w:r>
      <w:r>
        <w:rPr>
          <w:rFonts w:ascii="Courier New"/>
          <w:spacing w:val="-20"/>
          <w:sz w:val="28"/>
        </w:rPr>
        <w:t> </w:t>
      </w:r>
      <w:r>
        <w:rPr>
          <w:rFonts w:ascii="Courier New"/>
          <w:sz w:val="28"/>
        </w:rPr>
        <w:t>of</w:t>
      </w:r>
      <w:r>
        <w:rPr>
          <w:rFonts w:ascii="Courier New"/>
          <w:spacing w:val="-19"/>
          <w:sz w:val="28"/>
        </w:rPr>
        <w:t> </w:t>
      </w:r>
      <w:r>
        <w:rPr>
          <w:rFonts w:ascii="Courier New"/>
          <w:sz w:val="28"/>
        </w:rPr>
        <w:t>the</w:t>
      </w:r>
      <w:r>
        <w:rPr>
          <w:rFonts w:ascii="Courier New"/>
          <w:spacing w:val="-20"/>
          <w:sz w:val="28"/>
        </w:rPr>
        <w:t> </w:t>
      </w:r>
      <w:r>
        <w:rPr>
          <w:rFonts w:ascii="Courier New"/>
          <w:sz w:val="28"/>
        </w:rPr>
        <w:t>plaint</w:t>
      </w:r>
      <w:r>
        <w:rPr>
          <w:rFonts w:ascii="Courier New"/>
          <w:spacing w:val="-19"/>
          <w:sz w:val="28"/>
        </w:rPr>
        <w:t> </w:t>
      </w:r>
      <w:r>
        <w:rPr>
          <w:rFonts w:ascii="Courier New"/>
          <w:sz w:val="28"/>
        </w:rPr>
        <w:t>was</w:t>
      </w:r>
      <w:r>
        <w:rPr>
          <w:rFonts w:ascii="Courier New"/>
          <w:spacing w:val="-19"/>
          <w:sz w:val="28"/>
        </w:rPr>
        <w:t> </w:t>
      </w:r>
      <w:r>
        <w:rPr>
          <w:rFonts w:ascii="Courier New"/>
          <w:sz w:val="28"/>
        </w:rPr>
        <w:t>replied</w:t>
      </w:r>
      <w:r>
        <w:rPr>
          <w:rFonts w:ascii="Courier New"/>
          <w:spacing w:val="-15"/>
          <w:sz w:val="28"/>
        </w:rPr>
        <w:t> </w:t>
      </w:r>
      <w:r>
        <w:rPr>
          <w:rFonts w:ascii="Courier New"/>
          <w:sz w:val="28"/>
        </w:rPr>
        <w:t>in following</w:t>
      </w:r>
      <w:r>
        <w:rPr>
          <w:rFonts w:ascii="Courier New"/>
          <w:spacing w:val="-2"/>
          <w:sz w:val="28"/>
        </w:rPr>
        <w:t> </w:t>
      </w:r>
      <w:r>
        <w:rPr>
          <w:rFonts w:ascii="Courier New"/>
          <w:sz w:val="28"/>
        </w:rPr>
        <w:t>manner:</w:t>
      </w:r>
    </w:p>
    <w:p>
      <w:pPr>
        <w:spacing w:before="0"/>
        <w:ind w:left="1011" w:right="961" w:firstLine="0"/>
        <w:jc w:val="both"/>
        <w:rPr>
          <w:rFonts w:ascii="Courier New" w:hAnsi="Courier New"/>
          <w:sz w:val="28"/>
        </w:rPr>
      </w:pPr>
      <w:r>
        <w:rPr>
          <w:rFonts w:ascii="Courier New" w:hAnsi="Courier New"/>
          <w:sz w:val="28"/>
        </w:rPr>
        <w:t>“2. The corresponding paragraph is denied. The</w:t>
      </w:r>
      <w:r>
        <w:rPr>
          <w:rFonts w:ascii="Courier New" w:hAnsi="Courier New"/>
          <w:spacing w:val="-26"/>
          <w:sz w:val="28"/>
        </w:rPr>
        <w:t> </w:t>
      </w:r>
      <w:r>
        <w:rPr>
          <w:rFonts w:ascii="Courier New" w:hAnsi="Courier New"/>
          <w:sz w:val="28"/>
        </w:rPr>
        <w:t>property</w:t>
      </w:r>
      <w:r>
        <w:rPr>
          <w:rFonts w:ascii="Courier New" w:hAnsi="Courier New"/>
          <w:spacing w:val="-26"/>
          <w:sz w:val="28"/>
        </w:rPr>
        <w:t> </w:t>
      </w:r>
      <w:r>
        <w:rPr>
          <w:rFonts w:ascii="Courier New" w:hAnsi="Courier New"/>
          <w:sz w:val="28"/>
        </w:rPr>
        <w:t>of</w:t>
      </w:r>
      <w:r>
        <w:rPr>
          <w:rFonts w:ascii="Courier New" w:hAnsi="Courier New"/>
          <w:spacing w:val="-25"/>
          <w:sz w:val="28"/>
        </w:rPr>
        <w:t> </w:t>
      </w:r>
      <w:r>
        <w:rPr>
          <w:rFonts w:ascii="Courier New" w:hAnsi="Courier New"/>
          <w:sz w:val="28"/>
        </w:rPr>
        <w:t>which</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case</w:t>
      </w:r>
      <w:r>
        <w:rPr>
          <w:rFonts w:ascii="Courier New" w:hAnsi="Courier New"/>
          <w:spacing w:val="-25"/>
          <w:sz w:val="28"/>
        </w:rPr>
        <w:t> </w:t>
      </w:r>
      <w:r>
        <w:rPr>
          <w:rFonts w:ascii="Courier New" w:hAnsi="Courier New"/>
          <w:sz w:val="28"/>
        </w:rPr>
        <w:t>has</w:t>
      </w:r>
      <w:r>
        <w:rPr>
          <w:rFonts w:ascii="Courier New" w:hAnsi="Courier New"/>
          <w:spacing w:val="-26"/>
          <w:sz w:val="28"/>
        </w:rPr>
        <w:t> </w:t>
      </w:r>
      <w:r>
        <w:rPr>
          <w:rFonts w:ascii="Courier New" w:hAnsi="Courier New"/>
          <w:sz w:val="28"/>
        </w:rPr>
        <w:t>been</w:t>
      </w:r>
      <w:r>
        <w:rPr>
          <w:rFonts w:ascii="Courier New" w:hAnsi="Courier New"/>
          <w:spacing w:val="-26"/>
          <w:sz w:val="28"/>
        </w:rPr>
        <w:t> </w:t>
      </w:r>
      <w:r>
        <w:rPr>
          <w:rFonts w:ascii="Courier New" w:hAnsi="Courier New"/>
          <w:sz w:val="28"/>
        </w:rPr>
        <w:t>filed is not Janambhumi but a mosque constructed by emperor of India Babar</w:t>
      </w:r>
      <w:r>
        <w:rPr>
          <w:rFonts w:ascii="Courier New" w:hAnsi="Courier New"/>
          <w:spacing w:val="-8"/>
          <w:sz w:val="28"/>
        </w:rPr>
        <w:t> </w:t>
      </w:r>
      <w:r>
        <w:rPr>
          <w:rFonts w:ascii="Courier New" w:hAnsi="Courier New"/>
          <w:sz w:val="28"/>
        </w:rPr>
        <w:t>Shah.”</w:t>
      </w:r>
    </w:p>
    <w:p>
      <w:pPr>
        <w:pStyle w:val="BodyText"/>
        <w:rPr>
          <w:rFonts w:ascii="Courier New"/>
          <w:sz w:val="32"/>
        </w:rPr>
      </w:pPr>
    </w:p>
    <w:p>
      <w:pPr>
        <w:pStyle w:val="ListParagraph"/>
        <w:numPr>
          <w:ilvl w:val="0"/>
          <w:numId w:val="251"/>
        </w:numPr>
        <w:tabs>
          <w:tab w:pos="758" w:val="left" w:leader="none"/>
        </w:tabs>
        <w:spacing w:line="480" w:lineRule="auto" w:before="271" w:after="0"/>
        <w:ind w:left="160" w:right="114" w:firstLine="0"/>
        <w:jc w:val="both"/>
        <w:rPr>
          <w:rFonts w:ascii="Courier New"/>
          <w:sz w:val="28"/>
        </w:rPr>
      </w:pPr>
      <w:r>
        <w:rPr>
          <w:rFonts w:ascii="Courier New"/>
          <w:sz w:val="28"/>
        </w:rPr>
        <w:t>In paragraph 9, it was pleaded that Mosque was constructed</w:t>
      </w:r>
      <w:r>
        <w:rPr>
          <w:rFonts w:ascii="Courier New"/>
          <w:spacing w:val="-28"/>
          <w:sz w:val="28"/>
        </w:rPr>
        <w:t> </w:t>
      </w:r>
      <w:r>
        <w:rPr>
          <w:rFonts w:ascii="Courier New"/>
          <w:sz w:val="28"/>
        </w:rPr>
        <w:t>by</w:t>
      </w:r>
      <w:r>
        <w:rPr>
          <w:rFonts w:ascii="Courier New"/>
          <w:spacing w:val="-28"/>
          <w:sz w:val="28"/>
        </w:rPr>
        <w:t> </w:t>
      </w:r>
      <w:r>
        <w:rPr>
          <w:rFonts w:ascii="Courier New"/>
          <w:sz w:val="28"/>
        </w:rPr>
        <w:t>emperor</w:t>
      </w:r>
      <w:r>
        <w:rPr>
          <w:rFonts w:ascii="Courier New"/>
          <w:spacing w:val="-28"/>
          <w:sz w:val="28"/>
        </w:rPr>
        <w:t> </w:t>
      </w:r>
      <w:r>
        <w:rPr>
          <w:rFonts w:ascii="Courier New"/>
          <w:sz w:val="28"/>
        </w:rPr>
        <w:t>Babar</w:t>
      </w:r>
      <w:r>
        <w:rPr>
          <w:rFonts w:ascii="Courier New"/>
          <w:spacing w:val="-25"/>
          <w:sz w:val="28"/>
        </w:rPr>
        <w:t> </w:t>
      </w:r>
      <w:r>
        <w:rPr>
          <w:rFonts w:ascii="Courier New"/>
          <w:sz w:val="28"/>
        </w:rPr>
        <w:t>Shah</w:t>
      </w:r>
      <w:r>
        <w:rPr>
          <w:rFonts w:ascii="Courier New"/>
          <w:spacing w:val="-28"/>
          <w:sz w:val="28"/>
        </w:rPr>
        <w:t> </w:t>
      </w:r>
      <w:r>
        <w:rPr>
          <w:rFonts w:ascii="Courier New"/>
          <w:sz w:val="28"/>
        </w:rPr>
        <w:t>through</w:t>
      </w:r>
      <w:r>
        <w:rPr>
          <w:rFonts w:ascii="Courier New"/>
          <w:spacing w:val="-28"/>
          <w:sz w:val="28"/>
        </w:rPr>
        <w:t> </w:t>
      </w:r>
      <w:r>
        <w:rPr>
          <w:rFonts w:ascii="Courier New"/>
          <w:sz w:val="28"/>
        </w:rPr>
        <w:t>its</w:t>
      </w:r>
      <w:r>
        <w:rPr>
          <w:rFonts w:ascii="Courier New"/>
          <w:spacing w:val="-27"/>
          <w:sz w:val="28"/>
        </w:rPr>
        <w:t> </w:t>
      </w:r>
      <w:r>
        <w:rPr>
          <w:rFonts w:ascii="Courier New"/>
          <w:sz w:val="28"/>
        </w:rPr>
        <w:t>Minister, Mohammad Mir Baqi in the year</w:t>
      </w:r>
      <w:r>
        <w:rPr>
          <w:rFonts w:ascii="Courier New"/>
          <w:spacing w:val="-9"/>
          <w:sz w:val="28"/>
        </w:rPr>
        <w:t> </w:t>
      </w:r>
      <w:r>
        <w:rPr>
          <w:rFonts w:ascii="Courier New"/>
          <w:sz w:val="28"/>
        </w:rPr>
        <w:t>1528.</w:t>
      </w:r>
    </w:p>
    <w:p>
      <w:pPr>
        <w:pStyle w:val="BodyText"/>
        <w:spacing w:before="11"/>
        <w:rPr>
          <w:rFonts w:ascii="Courier New"/>
          <w:sz w:val="27"/>
        </w:rPr>
      </w:pPr>
    </w:p>
    <w:p>
      <w:pPr>
        <w:pStyle w:val="ListParagraph"/>
        <w:numPr>
          <w:ilvl w:val="0"/>
          <w:numId w:val="251"/>
        </w:numPr>
        <w:tabs>
          <w:tab w:pos="770" w:val="left" w:leader="none"/>
        </w:tabs>
        <w:spacing w:line="480" w:lineRule="auto" w:before="0" w:after="0"/>
        <w:ind w:left="160" w:right="116" w:firstLine="0"/>
        <w:jc w:val="both"/>
        <w:rPr>
          <w:rFonts w:ascii="Courier New"/>
          <w:sz w:val="28"/>
        </w:rPr>
      </w:pPr>
      <w:r>
        <w:rPr>
          <w:rFonts w:ascii="Courier New"/>
          <w:sz w:val="28"/>
        </w:rPr>
        <w:t>In</w:t>
      </w:r>
      <w:r>
        <w:rPr>
          <w:rFonts w:ascii="Courier New"/>
          <w:spacing w:val="-33"/>
          <w:sz w:val="28"/>
        </w:rPr>
        <w:t> </w:t>
      </w:r>
      <w:r>
        <w:rPr>
          <w:rFonts w:ascii="Courier New"/>
          <w:sz w:val="28"/>
        </w:rPr>
        <w:t>paragraph</w:t>
      </w:r>
      <w:r>
        <w:rPr>
          <w:rFonts w:ascii="Courier New"/>
          <w:spacing w:val="-33"/>
          <w:sz w:val="28"/>
        </w:rPr>
        <w:t> </w:t>
      </w:r>
      <w:r>
        <w:rPr>
          <w:rFonts w:ascii="Courier New"/>
          <w:sz w:val="28"/>
        </w:rPr>
        <w:t>27</w:t>
      </w:r>
      <w:r>
        <w:rPr>
          <w:rFonts w:ascii="Courier New"/>
          <w:spacing w:val="-33"/>
          <w:sz w:val="28"/>
        </w:rPr>
        <w:t> </w:t>
      </w:r>
      <w:r>
        <w:rPr>
          <w:rFonts w:ascii="Courier New"/>
          <w:sz w:val="28"/>
        </w:rPr>
        <w:t>it</w:t>
      </w:r>
      <w:r>
        <w:rPr>
          <w:rFonts w:ascii="Courier New"/>
          <w:spacing w:val="-33"/>
          <w:sz w:val="28"/>
        </w:rPr>
        <w:t> </w:t>
      </w:r>
      <w:r>
        <w:rPr>
          <w:rFonts w:ascii="Courier New"/>
          <w:sz w:val="28"/>
        </w:rPr>
        <w:t>was</w:t>
      </w:r>
      <w:r>
        <w:rPr>
          <w:rFonts w:ascii="Courier New"/>
          <w:spacing w:val="-31"/>
          <w:sz w:val="28"/>
        </w:rPr>
        <w:t> </w:t>
      </w:r>
      <w:r>
        <w:rPr>
          <w:rFonts w:ascii="Courier New"/>
          <w:sz w:val="28"/>
        </w:rPr>
        <w:t>pleaded</w:t>
      </w:r>
      <w:r>
        <w:rPr>
          <w:rFonts w:ascii="Courier New"/>
          <w:spacing w:val="-33"/>
          <w:sz w:val="28"/>
        </w:rPr>
        <w:t> </w:t>
      </w:r>
      <w:r>
        <w:rPr>
          <w:rFonts w:ascii="Courier New"/>
          <w:sz w:val="28"/>
        </w:rPr>
        <w:t>that</w:t>
      </w:r>
      <w:r>
        <w:rPr>
          <w:rFonts w:ascii="Courier New"/>
          <w:spacing w:val="-33"/>
          <w:sz w:val="28"/>
        </w:rPr>
        <w:t> </w:t>
      </w:r>
      <w:r>
        <w:rPr>
          <w:rFonts w:ascii="Courier New"/>
          <w:sz w:val="28"/>
        </w:rPr>
        <w:t>in</w:t>
      </w:r>
      <w:r>
        <w:rPr>
          <w:rFonts w:ascii="Courier New"/>
          <w:spacing w:val="-33"/>
          <w:sz w:val="28"/>
        </w:rPr>
        <w:t> </w:t>
      </w:r>
      <w:r>
        <w:rPr>
          <w:rFonts w:ascii="Courier New"/>
          <w:sz w:val="28"/>
        </w:rPr>
        <w:t>Ayodhya</w:t>
      </w:r>
      <w:r>
        <w:rPr>
          <w:rFonts w:ascii="Courier New"/>
          <w:spacing w:val="-33"/>
          <w:sz w:val="28"/>
        </w:rPr>
        <w:t> </w:t>
      </w:r>
      <w:r>
        <w:rPr>
          <w:rFonts w:ascii="Courier New"/>
          <w:sz w:val="28"/>
        </w:rPr>
        <w:t>there was a temple on the place of Janmasthan of Ram Janma Bhumi for quite long and still existing in which</w:t>
      </w:r>
      <w:r>
        <w:rPr>
          <w:rFonts w:ascii="Courier New"/>
          <w:spacing w:val="-25"/>
          <w:sz w:val="28"/>
        </w:rPr>
        <w:t> </w:t>
      </w:r>
      <w:r>
        <w:rPr>
          <w:rFonts w:ascii="Courier New"/>
          <w:sz w:val="28"/>
        </w:rPr>
        <w:t>there</w:t>
      </w:r>
    </w:p>
    <w:p>
      <w:pPr>
        <w:spacing w:after="0" w:line="480" w:lineRule="auto"/>
        <w:jc w:val="both"/>
        <w:rPr>
          <w:rFonts w:ascii="Courier New"/>
          <w:sz w:val="28"/>
        </w:rPr>
        <w:sectPr>
          <w:headerReference w:type="default" r:id="rId214"/>
          <w:footerReference w:type="default" r:id="rId215"/>
          <w:pgSz w:w="11910" w:h="16840"/>
          <w:pgMar w:header="0" w:footer="1063" w:top="1340" w:bottom="1260" w:left="1280" w:right="1280"/>
          <w:pgNumType w:start="3"/>
        </w:sectPr>
      </w:pPr>
    </w:p>
    <w:p>
      <w:pPr>
        <w:spacing w:line="480" w:lineRule="auto" w:before="86"/>
        <w:ind w:left="160" w:right="112" w:firstLine="0"/>
        <w:jc w:val="both"/>
        <w:rPr>
          <w:rFonts w:ascii="Courier New"/>
          <w:sz w:val="28"/>
        </w:rPr>
      </w:pPr>
      <w:r>
        <w:rPr>
          <w:rFonts w:ascii="Courier New"/>
          <w:sz w:val="28"/>
        </w:rPr>
        <w:t>are Idols of Ramchandraji etc. It was stated that the present suit claiming as Babri Masjid as the place of Janmasthan against the defendants and other persons is objectionable and is the result of achieving nefarious ends and to take advantage in the coming elections.</w:t>
      </w:r>
    </w:p>
    <w:p>
      <w:pPr>
        <w:pStyle w:val="BodyText"/>
        <w:rPr>
          <w:rFonts w:ascii="Courier New"/>
          <w:sz w:val="28"/>
        </w:rPr>
      </w:pPr>
    </w:p>
    <w:p>
      <w:pPr>
        <w:pStyle w:val="ListParagraph"/>
        <w:numPr>
          <w:ilvl w:val="0"/>
          <w:numId w:val="251"/>
        </w:numPr>
        <w:tabs>
          <w:tab w:pos="832" w:val="left" w:leader="none"/>
        </w:tabs>
        <w:spacing w:line="480" w:lineRule="auto" w:before="0" w:after="0"/>
        <w:ind w:left="160" w:right="115" w:firstLine="0"/>
        <w:jc w:val="both"/>
        <w:rPr>
          <w:rFonts w:ascii="Courier New"/>
          <w:sz w:val="28"/>
        </w:rPr>
      </w:pPr>
      <w:r>
        <w:rPr>
          <w:rFonts w:ascii="Courier New"/>
          <w:sz w:val="28"/>
        </w:rPr>
        <w:t>Plaintiff filed replication denying paragraph 9 of the</w:t>
      </w:r>
      <w:r>
        <w:rPr>
          <w:rFonts w:ascii="Courier New"/>
          <w:spacing w:val="-22"/>
          <w:sz w:val="28"/>
        </w:rPr>
        <w:t> </w:t>
      </w:r>
      <w:r>
        <w:rPr>
          <w:rFonts w:ascii="Courier New"/>
          <w:sz w:val="28"/>
        </w:rPr>
        <w:t>written</w:t>
      </w:r>
      <w:r>
        <w:rPr>
          <w:rFonts w:ascii="Courier New"/>
          <w:spacing w:val="-21"/>
          <w:sz w:val="28"/>
        </w:rPr>
        <w:t> </w:t>
      </w:r>
      <w:r>
        <w:rPr>
          <w:rFonts w:ascii="Courier New"/>
          <w:sz w:val="28"/>
        </w:rPr>
        <w:t>statement.</w:t>
      </w:r>
      <w:r>
        <w:rPr>
          <w:rFonts w:ascii="Courier New"/>
          <w:spacing w:val="-21"/>
          <w:sz w:val="28"/>
        </w:rPr>
        <w:t> </w:t>
      </w:r>
      <w:r>
        <w:rPr>
          <w:rFonts w:ascii="Courier New"/>
          <w:sz w:val="28"/>
        </w:rPr>
        <w:t>It</w:t>
      </w:r>
      <w:r>
        <w:rPr>
          <w:rFonts w:ascii="Courier New"/>
          <w:spacing w:val="-22"/>
          <w:sz w:val="28"/>
        </w:rPr>
        <w:t> </w:t>
      </w:r>
      <w:r>
        <w:rPr>
          <w:rFonts w:ascii="Courier New"/>
          <w:sz w:val="28"/>
        </w:rPr>
        <w:t>was</w:t>
      </w:r>
      <w:r>
        <w:rPr>
          <w:rFonts w:ascii="Courier New"/>
          <w:spacing w:val="-21"/>
          <w:sz w:val="28"/>
        </w:rPr>
        <w:t> </w:t>
      </w:r>
      <w:r>
        <w:rPr>
          <w:rFonts w:ascii="Courier New"/>
          <w:sz w:val="28"/>
        </w:rPr>
        <w:t>denied</w:t>
      </w:r>
      <w:r>
        <w:rPr>
          <w:rFonts w:ascii="Courier New"/>
          <w:spacing w:val="-21"/>
          <w:sz w:val="28"/>
        </w:rPr>
        <w:t> </w:t>
      </w:r>
      <w:r>
        <w:rPr>
          <w:rFonts w:ascii="Courier New"/>
          <w:sz w:val="28"/>
        </w:rPr>
        <w:t>that</w:t>
      </w:r>
      <w:r>
        <w:rPr>
          <w:rFonts w:ascii="Courier New"/>
          <w:spacing w:val="-20"/>
          <w:sz w:val="28"/>
        </w:rPr>
        <w:t> </w:t>
      </w:r>
      <w:r>
        <w:rPr>
          <w:rFonts w:ascii="Courier New"/>
          <w:sz w:val="28"/>
        </w:rPr>
        <w:t>Mosque</w:t>
      </w:r>
      <w:r>
        <w:rPr>
          <w:rFonts w:ascii="Courier New"/>
          <w:spacing w:val="-21"/>
          <w:sz w:val="28"/>
        </w:rPr>
        <w:t> </w:t>
      </w:r>
      <w:r>
        <w:rPr>
          <w:rFonts w:ascii="Courier New"/>
          <w:sz w:val="28"/>
        </w:rPr>
        <w:t>is</w:t>
      </w:r>
      <w:r>
        <w:rPr>
          <w:rFonts w:ascii="Courier New"/>
          <w:spacing w:val="-21"/>
          <w:sz w:val="28"/>
        </w:rPr>
        <w:t> </w:t>
      </w:r>
      <w:r>
        <w:rPr>
          <w:rFonts w:ascii="Courier New"/>
          <w:sz w:val="28"/>
        </w:rPr>
        <w:t>the Babri</w:t>
      </w:r>
      <w:r>
        <w:rPr>
          <w:rFonts w:ascii="Courier New"/>
          <w:spacing w:val="-25"/>
          <w:sz w:val="28"/>
        </w:rPr>
        <w:t> </w:t>
      </w:r>
      <w:r>
        <w:rPr>
          <w:rFonts w:ascii="Courier New"/>
          <w:sz w:val="28"/>
        </w:rPr>
        <w:t>Mosque.</w:t>
      </w:r>
      <w:r>
        <w:rPr>
          <w:rFonts w:ascii="Courier New"/>
          <w:spacing w:val="-22"/>
          <w:sz w:val="28"/>
        </w:rPr>
        <w:t> </w:t>
      </w:r>
      <w:r>
        <w:rPr>
          <w:rFonts w:ascii="Courier New"/>
          <w:sz w:val="28"/>
        </w:rPr>
        <w:t>Paragraph</w:t>
      </w:r>
      <w:r>
        <w:rPr>
          <w:rFonts w:ascii="Courier New"/>
          <w:spacing w:val="-25"/>
          <w:sz w:val="28"/>
        </w:rPr>
        <w:t> </w:t>
      </w:r>
      <w:r>
        <w:rPr>
          <w:rFonts w:ascii="Courier New"/>
          <w:sz w:val="28"/>
        </w:rPr>
        <w:t>27</w:t>
      </w:r>
      <w:r>
        <w:rPr>
          <w:rFonts w:ascii="Courier New"/>
          <w:spacing w:val="-25"/>
          <w:sz w:val="28"/>
        </w:rPr>
        <w:t> </w:t>
      </w:r>
      <w:r>
        <w:rPr>
          <w:rFonts w:ascii="Courier New"/>
          <w:sz w:val="28"/>
        </w:rPr>
        <w:t>of</w:t>
      </w:r>
      <w:r>
        <w:rPr>
          <w:rFonts w:ascii="Courier New"/>
          <w:spacing w:val="-25"/>
          <w:sz w:val="28"/>
        </w:rPr>
        <w:t> </w:t>
      </w:r>
      <w:r>
        <w:rPr>
          <w:rFonts w:ascii="Courier New"/>
          <w:sz w:val="28"/>
        </w:rPr>
        <w:t>the</w:t>
      </w:r>
      <w:r>
        <w:rPr>
          <w:rFonts w:ascii="Courier New"/>
          <w:spacing w:val="-25"/>
          <w:sz w:val="28"/>
        </w:rPr>
        <w:t> </w:t>
      </w:r>
      <w:r>
        <w:rPr>
          <w:rFonts w:ascii="Courier New"/>
          <w:sz w:val="28"/>
        </w:rPr>
        <w:t>written</w:t>
      </w:r>
      <w:r>
        <w:rPr>
          <w:rFonts w:ascii="Courier New"/>
          <w:spacing w:val="-22"/>
          <w:sz w:val="28"/>
        </w:rPr>
        <w:t> </w:t>
      </w:r>
      <w:r>
        <w:rPr>
          <w:rFonts w:ascii="Courier New"/>
          <w:sz w:val="28"/>
        </w:rPr>
        <w:t>statement</w:t>
      </w:r>
      <w:r>
        <w:rPr>
          <w:rFonts w:ascii="Courier New"/>
          <w:spacing w:val="-25"/>
          <w:sz w:val="28"/>
        </w:rPr>
        <w:t> </w:t>
      </w:r>
      <w:r>
        <w:rPr>
          <w:rFonts w:ascii="Courier New"/>
          <w:sz w:val="28"/>
        </w:rPr>
        <w:t>was also denied. It was stated that temple Janma Asthan mentioned by the defendant is another temple whose boundaries were also mentioned in the</w:t>
      </w:r>
      <w:r>
        <w:rPr>
          <w:rFonts w:ascii="Courier New"/>
          <w:spacing w:val="-17"/>
          <w:sz w:val="28"/>
        </w:rPr>
        <w:t> </w:t>
      </w:r>
      <w:r>
        <w:rPr>
          <w:rFonts w:ascii="Courier New"/>
          <w:sz w:val="28"/>
        </w:rPr>
        <w:t>replication.</w:t>
      </w:r>
    </w:p>
    <w:p>
      <w:pPr>
        <w:pStyle w:val="BodyText"/>
        <w:spacing w:before="10"/>
        <w:rPr>
          <w:rFonts w:ascii="Courier New"/>
          <w:sz w:val="27"/>
        </w:rPr>
      </w:pPr>
    </w:p>
    <w:p>
      <w:pPr>
        <w:pStyle w:val="ListParagraph"/>
        <w:numPr>
          <w:ilvl w:val="0"/>
          <w:numId w:val="251"/>
        </w:numPr>
        <w:tabs>
          <w:tab w:pos="1187" w:val="left" w:leader="none"/>
        </w:tabs>
        <w:spacing w:line="480" w:lineRule="auto" w:before="1" w:after="0"/>
        <w:ind w:left="160" w:right="111" w:firstLine="0"/>
        <w:jc w:val="both"/>
        <w:rPr>
          <w:rFonts w:ascii="Courier New"/>
          <w:sz w:val="28"/>
        </w:rPr>
      </w:pPr>
      <w:r>
        <w:rPr>
          <w:rFonts w:ascii="Courier New"/>
          <w:sz w:val="28"/>
        </w:rPr>
        <w:t>Defendant Nos.6, 8 and 9, who were the State- parties also filed their written</w:t>
      </w:r>
      <w:r>
        <w:rPr>
          <w:rFonts w:ascii="Courier New"/>
          <w:spacing w:val="-10"/>
          <w:sz w:val="28"/>
        </w:rPr>
        <w:t> </w:t>
      </w:r>
      <w:r>
        <w:rPr>
          <w:rFonts w:ascii="Courier New"/>
          <w:sz w:val="28"/>
        </w:rPr>
        <w:t>statement.</w:t>
      </w:r>
    </w:p>
    <w:p>
      <w:pPr>
        <w:pStyle w:val="BodyText"/>
        <w:rPr>
          <w:rFonts w:ascii="Courier New"/>
          <w:sz w:val="28"/>
        </w:rPr>
      </w:pPr>
    </w:p>
    <w:p>
      <w:pPr>
        <w:pStyle w:val="ListParagraph"/>
        <w:numPr>
          <w:ilvl w:val="0"/>
          <w:numId w:val="251"/>
        </w:numPr>
        <w:tabs>
          <w:tab w:pos="808" w:val="left" w:leader="none"/>
        </w:tabs>
        <w:spacing w:line="480" w:lineRule="auto" w:before="0" w:after="0"/>
        <w:ind w:left="160" w:right="113" w:firstLine="0"/>
        <w:jc w:val="both"/>
        <w:rPr>
          <w:rFonts w:ascii="Courier New" w:hAnsi="Courier New"/>
          <w:sz w:val="28"/>
        </w:rPr>
      </w:pPr>
      <w:r>
        <w:rPr>
          <w:rFonts w:ascii="Courier New" w:hAnsi="Courier New"/>
          <w:sz w:val="28"/>
        </w:rPr>
        <w:t>U.P. Sunni Central Board of Wakf (hereinafter referred to as “Sunni Board”), Defendant No.10, filed written</w:t>
      </w:r>
      <w:r>
        <w:rPr>
          <w:rFonts w:ascii="Courier New" w:hAnsi="Courier New"/>
          <w:spacing w:val="-28"/>
          <w:sz w:val="28"/>
        </w:rPr>
        <w:t> </w:t>
      </w:r>
      <w:r>
        <w:rPr>
          <w:rFonts w:ascii="Courier New" w:hAnsi="Courier New"/>
          <w:sz w:val="28"/>
        </w:rPr>
        <w:t>statement</w:t>
      </w:r>
      <w:r>
        <w:rPr>
          <w:rFonts w:ascii="Courier New" w:hAnsi="Courier New"/>
          <w:spacing w:val="-28"/>
          <w:sz w:val="28"/>
        </w:rPr>
        <w:t> </w:t>
      </w:r>
      <w:r>
        <w:rPr>
          <w:rFonts w:ascii="Courier New" w:hAnsi="Courier New"/>
          <w:sz w:val="28"/>
        </w:rPr>
        <w:t>pleading</w:t>
      </w:r>
      <w:r>
        <w:rPr>
          <w:rFonts w:ascii="Courier New" w:hAnsi="Courier New"/>
          <w:spacing w:val="-28"/>
          <w:sz w:val="28"/>
        </w:rPr>
        <w:t> </w:t>
      </w:r>
      <w:r>
        <w:rPr>
          <w:rFonts w:ascii="Courier New" w:hAnsi="Courier New"/>
          <w:sz w:val="28"/>
        </w:rPr>
        <w:t>that</w:t>
      </w:r>
      <w:r>
        <w:rPr>
          <w:rFonts w:ascii="Courier New" w:hAnsi="Courier New"/>
          <w:spacing w:val="-27"/>
          <w:sz w:val="28"/>
        </w:rPr>
        <w:t> </w:t>
      </w:r>
      <w:r>
        <w:rPr>
          <w:rFonts w:ascii="Courier New" w:hAnsi="Courier New"/>
          <w:sz w:val="28"/>
        </w:rPr>
        <w:t>building</w:t>
      </w:r>
      <w:r>
        <w:rPr>
          <w:rFonts w:ascii="Courier New" w:hAnsi="Courier New"/>
          <w:spacing w:val="-28"/>
          <w:sz w:val="28"/>
        </w:rPr>
        <w:t> </w:t>
      </w:r>
      <w:r>
        <w:rPr>
          <w:rFonts w:ascii="Courier New" w:hAnsi="Courier New"/>
          <w:sz w:val="28"/>
        </w:rPr>
        <w:t>referred</w:t>
      </w:r>
      <w:r>
        <w:rPr>
          <w:rFonts w:ascii="Courier New" w:hAnsi="Courier New"/>
          <w:spacing w:val="-28"/>
          <w:sz w:val="28"/>
        </w:rPr>
        <w:t> </w:t>
      </w:r>
      <w:r>
        <w:rPr>
          <w:rFonts w:ascii="Courier New" w:hAnsi="Courier New"/>
          <w:sz w:val="28"/>
        </w:rPr>
        <w:t>to</w:t>
      </w:r>
      <w:r>
        <w:rPr>
          <w:rFonts w:ascii="Courier New" w:hAnsi="Courier New"/>
          <w:spacing w:val="-27"/>
          <w:sz w:val="28"/>
        </w:rPr>
        <w:t> </w:t>
      </w:r>
      <w:r>
        <w:rPr>
          <w:rFonts w:ascii="Courier New" w:hAnsi="Courier New"/>
          <w:sz w:val="28"/>
        </w:rPr>
        <w:t>in paragraph 2 in the plaint is not place of Janma Bhumi of Ram Chandra and plaintiff has no right and no Idols of</w:t>
      </w:r>
      <w:r>
        <w:rPr>
          <w:rFonts w:ascii="Courier New" w:hAnsi="Courier New"/>
          <w:spacing w:val="-40"/>
          <w:sz w:val="28"/>
        </w:rPr>
        <w:t> </w:t>
      </w:r>
      <w:r>
        <w:rPr>
          <w:rFonts w:ascii="Courier New" w:hAnsi="Courier New"/>
          <w:sz w:val="28"/>
        </w:rPr>
        <w:t>Ram</w:t>
      </w:r>
      <w:r>
        <w:rPr>
          <w:rFonts w:ascii="Courier New" w:hAnsi="Courier New"/>
          <w:spacing w:val="-39"/>
          <w:sz w:val="28"/>
        </w:rPr>
        <w:t> </w:t>
      </w:r>
      <w:r>
        <w:rPr>
          <w:rFonts w:ascii="Courier New" w:hAnsi="Courier New"/>
          <w:sz w:val="28"/>
        </w:rPr>
        <w:t>Chandra</w:t>
      </w:r>
      <w:r>
        <w:rPr>
          <w:rFonts w:ascii="Courier New" w:hAnsi="Courier New"/>
          <w:spacing w:val="-41"/>
          <w:sz w:val="28"/>
        </w:rPr>
        <w:t> </w:t>
      </w:r>
      <w:r>
        <w:rPr>
          <w:rFonts w:ascii="Courier New" w:hAnsi="Courier New"/>
          <w:sz w:val="28"/>
        </w:rPr>
        <w:t>were</w:t>
      </w:r>
      <w:r>
        <w:rPr>
          <w:rFonts w:ascii="Courier New" w:hAnsi="Courier New"/>
          <w:spacing w:val="-40"/>
          <w:sz w:val="28"/>
        </w:rPr>
        <w:t> </w:t>
      </w:r>
      <w:r>
        <w:rPr>
          <w:rFonts w:ascii="Courier New" w:hAnsi="Courier New"/>
          <w:sz w:val="28"/>
        </w:rPr>
        <w:t>ever</w:t>
      </w:r>
      <w:r>
        <w:rPr>
          <w:rFonts w:ascii="Courier New" w:hAnsi="Courier New"/>
          <w:spacing w:val="-39"/>
          <w:sz w:val="28"/>
        </w:rPr>
        <w:t> </w:t>
      </w:r>
      <w:r>
        <w:rPr>
          <w:rFonts w:ascii="Courier New" w:hAnsi="Courier New"/>
          <w:sz w:val="28"/>
        </w:rPr>
        <w:t>installed</w:t>
      </w:r>
      <w:r>
        <w:rPr>
          <w:rFonts w:ascii="Courier New" w:hAnsi="Courier New"/>
          <w:spacing w:val="-39"/>
          <w:sz w:val="28"/>
        </w:rPr>
        <w:t> </w:t>
      </w:r>
      <w:r>
        <w:rPr>
          <w:rFonts w:ascii="Courier New" w:hAnsi="Courier New"/>
          <w:sz w:val="28"/>
        </w:rPr>
        <w:t>in</w:t>
      </w:r>
      <w:r>
        <w:rPr>
          <w:rFonts w:ascii="Courier New" w:hAnsi="Courier New"/>
          <w:spacing w:val="-39"/>
          <w:sz w:val="28"/>
        </w:rPr>
        <w:t> </w:t>
      </w:r>
      <w:r>
        <w:rPr>
          <w:rFonts w:ascii="Courier New" w:hAnsi="Courier New"/>
          <w:sz w:val="28"/>
        </w:rPr>
        <w:t>the</w:t>
      </w:r>
      <w:r>
        <w:rPr>
          <w:rFonts w:ascii="Courier New" w:hAnsi="Courier New"/>
          <w:spacing w:val="-40"/>
          <w:sz w:val="28"/>
        </w:rPr>
        <w:t> </w:t>
      </w:r>
      <w:r>
        <w:rPr>
          <w:rFonts w:ascii="Courier New" w:hAnsi="Courier New"/>
          <w:sz w:val="28"/>
        </w:rPr>
        <w:t>said</w:t>
      </w:r>
      <w:r>
        <w:rPr>
          <w:rFonts w:ascii="Courier New" w:hAnsi="Courier New"/>
          <w:spacing w:val="-39"/>
          <w:sz w:val="28"/>
        </w:rPr>
        <w:t> </w:t>
      </w:r>
      <w:r>
        <w:rPr>
          <w:rFonts w:ascii="Courier New" w:hAnsi="Courier New"/>
          <w:sz w:val="28"/>
        </w:rPr>
        <w:t>building. There</w:t>
      </w:r>
      <w:r>
        <w:rPr>
          <w:rFonts w:ascii="Courier New" w:hAnsi="Courier New"/>
          <w:spacing w:val="64"/>
          <w:sz w:val="28"/>
        </w:rPr>
        <w:t> </w:t>
      </w:r>
      <w:r>
        <w:rPr>
          <w:rFonts w:ascii="Courier New" w:hAnsi="Courier New"/>
          <w:sz w:val="28"/>
        </w:rPr>
        <w:t>is</w:t>
      </w:r>
      <w:r>
        <w:rPr>
          <w:rFonts w:ascii="Courier New" w:hAnsi="Courier New"/>
          <w:spacing w:val="65"/>
          <w:sz w:val="28"/>
        </w:rPr>
        <w:t> </w:t>
      </w:r>
      <w:r>
        <w:rPr>
          <w:rFonts w:ascii="Courier New" w:hAnsi="Courier New"/>
          <w:sz w:val="28"/>
        </w:rPr>
        <w:t>no</w:t>
      </w:r>
      <w:r>
        <w:rPr>
          <w:rFonts w:ascii="Courier New" w:hAnsi="Courier New"/>
          <w:spacing w:val="65"/>
          <w:sz w:val="28"/>
        </w:rPr>
        <w:t> </w:t>
      </w:r>
      <w:r>
        <w:rPr>
          <w:rFonts w:ascii="Courier New" w:hAnsi="Courier New"/>
          <w:sz w:val="28"/>
        </w:rPr>
        <w:t>question</w:t>
      </w:r>
      <w:r>
        <w:rPr>
          <w:rFonts w:ascii="Courier New" w:hAnsi="Courier New"/>
          <w:spacing w:val="65"/>
          <w:sz w:val="28"/>
        </w:rPr>
        <w:t> </w:t>
      </w:r>
      <w:r>
        <w:rPr>
          <w:rFonts w:ascii="Courier New" w:hAnsi="Courier New"/>
          <w:sz w:val="28"/>
        </w:rPr>
        <w:t>of</w:t>
      </w:r>
      <w:r>
        <w:rPr>
          <w:rFonts w:ascii="Courier New" w:hAnsi="Courier New"/>
          <w:spacing w:val="65"/>
          <w:sz w:val="28"/>
        </w:rPr>
        <w:t> </w:t>
      </w:r>
      <w:r>
        <w:rPr>
          <w:rFonts w:ascii="Courier New" w:hAnsi="Courier New"/>
          <w:sz w:val="28"/>
        </w:rPr>
        <w:t>any</w:t>
      </w:r>
      <w:r>
        <w:rPr>
          <w:rFonts w:ascii="Courier New" w:hAnsi="Courier New"/>
          <w:spacing w:val="64"/>
          <w:sz w:val="28"/>
        </w:rPr>
        <w:t> </w:t>
      </w:r>
      <w:r>
        <w:rPr>
          <w:rFonts w:ascii="Courier New" w:hAnsi="Courier New"/>
          <w:sz w:val="28"/>
        </w:rPr>
        <w:t>right</w:t>
      </w:r>
      <w:r>
        <w:rPr>
          <w:rFonts w:ascii="Courier New" w:hAnsi="Courier New"/>
          <w:spacing w:val="65"/>
          <w:sz w:val="28"/>
        </w:rPr>
        <w:t> </w:t>
      </w:r>
      <w:r>
        <w:rPr>
          <w:rFonts w:ascii="Courier New" w:hAnsi="Courier New"/>
          <w:sz w:val="28"/>
        </w:rPr>
        <w:t>and</w:t>
      </w:r>
      <w:r>
        <w:rPr>
          <w:rFonts w:ascii="Courier New" w:hAnsi="Courier New"/>
          <w:spacing w:val="65"/>
          <w:sz w:val="28"/>
        </w:rPr>
        <w:t> </w:t>
      </w:r>
      <w:r>
        <w:rPr>
          <w:rFonts w:ascii="Courier New" w:hAnsi="Courier New"/>
          <w:sz w:val="28"/>
        </w:rPr>
        <w:t>claim</w:t>
      </w:r>
      <w:r>
        <w:rPr>
          <w:rFonts w:ascii="Courier New" w:hAnsi="Courier New"/>
          <w:spacing w:val="65"/>
          <w:sz w:val="28"/>
        </w:rPr>
        <w:t> </w:t>
      </w:r>
      <w:r>
        <w:rPr>
          <w:rFonts w:ascii="Courier New" w:hAnsi="Courier New"/>
          <w:sz w:val="28"/>
        </w:rPr>
        <w:t>of</w:t>
      </w:r>
      <w:r>
        <w:rPr>
          <w:rFonts w:ascii="Courier New" w:hAnsi="Courier New"/>
          <w:spacing w:val="65"/>
          <w:sz w:val="28"/>
        </w:rPr>
        <w:t> </w:t>
      </w:r>
      <w:r>
        <w:rPr>
          <w:rFonts w:ascii="Courier New" w:hAnsi="Courier New"/>
          <w:sz w:val="28"/>
        </w:rPr>
        <w:t>the</w:t>
      </w:r>
    </w:p>
    <w:p>
      <w:pPr>
        <w:spacing w:after="0" w:line="480" w:lineRule="auto"/>
        <w:jc w:val="both"/>
        <w:rPr>
          <w:rFonts w:ascii="Courier New" w:hAnsi="Courier New"/>
          <w:sz w:val="28"/>
        </w:rPr>
        <w:sectPr>
          <w:headerReference w:type="default" r:id="rId216"/>
          <w:footerReference w:type="default" r:id="rId217"/>
          <w:pgSz w:w="11910" w:h="16840"/>
          <w:pgMar w:header="0" w:footer="1063" w:top="1340" w:bottom="1260" w:left="1280" w:right="1280"/>
          <w:pgNumType w:start="4"/>
        </w:sectPr>
      </w:pPr>
    </w:p>
    <w:p>
      <w:pPr>
        <w:spacing w:line="480" w:lineRule="auto" w:before="86"/>
        <w:ind w:left="160" w:right="114" w:firstLine="0"/>
        <w:jc w:val="both"/>
        <w:rPr>
          <w:rFonts w:ascii="Courier New"/>
          <w:sz w:val="28"/>
        </w:rPr>
      </w:pPr>
      <w:r>
        <w:rPr>
          <w:rFonts w:ascii="Courier New"/>
          <w:sz w:val="28"/>
        </w:rPr>
        <w:t>plaintiff to perform Puja and Darshan. It was pleaded that property in suit known as Babri Masjid and same was constructed in the regime of emperor Babar. In the additional pleas in paragraph 10 following was stated:</w:t>
      </w:r>
    </w:p>
    <w:p>
      <w:pPr>
        <w:spacing w:line="240" w:lineRule="auto" w:before="0"/>
        <w:ind w:left="1011" w:right="961" w:firstLine="0"/>
        <w:jc w:val="both"/>
        <w:rPr>
          <w:rFonts w:ascii="Courier New" w:hAnsi="Courier New"/>
          <w:sz w:val="28"/>
        </w:rPr>
      </w:pPr>
      <w:r>
        <w:rPr>
          <w:rFonts w:ascii="Courier New" w:hAnsi="Courier New"/>
          <w:sz w:val="28"/>
        </w:rPr>
        <w:t>“That the property in suit is an old mosque constructed around the year 1528 AD during the regime of Emperor Babar under the supervision of Mir Baqi and the same has always</w:t>
      </w:r>
      <w:r>
        <w:rPr>
          <w:rFonts w:ascii="Courier New" w:hAnsi="Courier New"/>
          <w:spacing w:val="-24"/>
          <w:sz w:val="28"/>
        </w:rPr>
        <w:t> </w:t>
      </w:r>
      <w:r>
        <w:rPr>
          <w:rFonts w:ascii="Courier New" w:hAnsi="Courier New"/>
          <w:sz w:val="28"/>
        </w:rPr>
        <w:t>been</w:t>
      </w:r>
      <w:r>
        <w:rPr>
          <w:rFonts w:ascii="Courier New" w:hAnsi="Courier New"/>
          <w:spacing w:val="-24"/>
          <w:sz w:val="28"/>
        </w:rPr>
        <w:t> </w:t>
      </w:r>
      <w:r>
        <w:rPr>
          <w:rFonts w:ascii="Courier New" w:hAnsi="Courier New"/>
          <w:sz w:val="28"/>
        </w:rPr>
        <w:t>used</w:t>
      </w:r>
      <w:r>
        <w:rPr>
          <w:rFonts w:ascii="Courier New" w:hAnsi="Courier New"/>
          <w:spacing w:val="-24"/>
          <w:sz w:val="28"/>
        </w:rPr>
        <w:t> </w:t>
      </w:r>
      <w:r>
        <w:rPr>
          <w:rFonts w:ascii="Courier New" w:hAnsi="Courier New"/>
          <w:sz w:val="28"/>
        </w:rPr>
        <w:t>as</w:t>
      </w:r>
      <w:r>
        <w:rPr>
          <w:rFonts w:ascii="Courier New" w:hAnsi="Courier New"/>
          <w:spacing w:val="-23"/>
          <w:sz w:val="28"/>
        </w:rPr>
        <w:t> </w:t>
      </w:r>
      <w:r>
        <w:rPr>
          <w:rFonts w:ascii="Courier New" w:hAnsi="Courier New"/>
          <w:sz w:val="28"/>
        </w:rPr>
        <w:t>a</w:t>
      </w:r>
      <w:r>
        <w:rPr>
          <w:rFonts w:ascii="Courier New" w:hAnsi="Courier New"/>
          <w:spacing w:val="-24"/>
          <w:sz w:val="28"/>
        </w:rPr>
        <w:t> </w:t>
      </w:r>
      <w:r>
        <w:rPr>
          <w:rFonts w:ascii="Courier New" w:hAnsi="Courier New"/>
          <w:sz w:val="28"/>
        </w:rPr>
        <w:t>mosque</w:t>
      </w:r>
      <w:r>
        <w:rPr>
          <w:rFonts w:ascii="Courier New" w:hAnsi="Courier New"/>
          <w:spacing w:val="-19"/>
          <w:sz w:val="28"/>
        </w:rPr>
        <w:t> </w:t>
      </w:r>
      <w:r>
        <w:rPr>
          <w:rFonts w:ascii="Courier New" w:hAnsi="Courier New"/>
          <w:sz w:val="28"/>
        </w:rPr>
        <w:t>and</w:t>
      </w:r>
      <w:r>
        <w:rPr>
          <w:rFonts w:ascii="Courier New" w:hAnsi="Courier New"/>
          <w:spacing w:val="-24"/>
          <w:sz w:val="28"/>
        </w:rPr>
        <w:t> </w:t>
      </w:r>
      <w:r>
        <w:rPr>
          <w:rFonts w:ascii="Courier New" w:hAnsi="Courier New"/>
          <w:sz w:val="28"/>
        </w:rPr>
        <w:t>it</w:t>
      </w:r>
      <w:r>
        <w:rPr>
          <w:rFonts w:ascii="Courier New" w:hAnsi="Courier New"/>
          <w:spacing w:val="-23"/>
          <w:sz w:val="28"/>
        </w:rPr>
        <w:t> </w:t>
      </w:r>
      <w:r>
        <w:rPr>
          <w:rFonts w:ascii="Courier New" w:hAnsi="Courier New"/>
          <w:sz w:val="28"/>
        </w:rPr>
        <w:t>was</w:t>
      </w:r>
      <w:r>
        <w:rPr>
          <w:rFonts w:ascii="Courier New" w:hAnsi="Courier New"/>
          <w:spacing w:val="-24"/>
          <w:sz w:val="28"/>
        </w:rPr>
        <w:t> </w:t>
      </w:r>
      <w:r>
        <w:rPr>
          <w:rFonts w:ascii="Courier New" w:hAnsi="Courier New"/>
          <w:sz w:val="28"/>
        </w:rPr>
        <w:t>never used</w:t>
      </w:r>
      <w:r>
        <w:rPr>
          <w:rFonts w:ascii="Courier New" w:hAnsi="Courier New"/>
          <w:spacing w:val="-21"/>
          <w:sz w:val="28"/>
        </w:rPr>
        <w:t> </w:t>
      </w:r>
      <w:r>
        <w:rPr>
          <w:rFonts w:ascii="Courier New" w:hAnsi="Courier New"/>
          <w:sz w:val="28"/>
        </w:rPr>
        <w:t>as</w:t>
      </w:r>
      <w:r>
        <w:rPr>
          <w:rFonts w:ascii="Courier New" w:hAnsi="Courier New"/>
          <w:spacing w:val="-20"/>
          <w:sz w:val="28"/>
        </w:rPr>
        <w:t> </w:t>
      </w:r>
      <w:r>
        <w:rPr>
          <w:rFonts w:ascii="Courier New" w:hAnsi="Courier New"/>
          <w:sz w:val="28"/>
        </w:rPr>
        <w:t>a</w:t>
      </w:r>
      <w:r>
        <w:rPr>
          <w:rFonts w:ascii="Courier New" w:hAnsi="Courier New"/>
          <w:spacing w:val="-20"/>
          <w:sz w:val="28"/>
        </w:rPr>
        <w:t> </w:t>
      </w:r>
      <w:r>
        <w:rPr>
          <w:rFonts w:ascii="Courier New" w:hAnsi="Courier New"/>
          <w:sz w:val="28"/>
        </w:rPr>
        <w:t>temple</w:t>
      </w:r>
      <w:r>
        <w:rPr>
          <w:rFonts w:ascii="Courier New" w:hAnsi="Courier New"/>
          <w:spacing w:val="-21"/>
          <w:sz w:val="28"/>
        </w:rPr>
        <w:t> </w:t>
      </w:r>
      <w:r>
        <w:rPr>
          <w:rFonts w:ascii="Courier New" w:hAnsi="Courier New"/>
          <w:sz w:val="28"/>
        </w:rPr>
        <w:t>or</w:t>
      </w:r>
      <w:r>
        <w:rPr>
          <w:rFonts w:ascii="Courier New" w:hAnsi="Courier New"/>
          <w:spacing w:val="-20"/>
          <w:sz w:val="28"/>
        </w:rPr>
        <w:t> </w:t>
      </w:r>
      <w:r>
        <w:rPr>
          <w:rFonts w:ascii="Courier New" w:hAnsi="Courier New"/>
          <w:sz w:val="28"/>
        </w:rPr>
        <w:t>as</w:t>
      </w:r>
      <w:r>
        <w:rPr>
          <w:rFonts w:ascii="Courier New" w:hAnsi="Courier New"/>
          <w:spacing w:val="-20"/>
          <w:sz w:val="28"/>
        </w:rPr>
        <w:t> </w:t>
      </w:r>
      <w:r>
        <w:rPr>
          <w:rFonts w:ascii="Courier New" w:hAnsi="Courier New"/>
          <w:sz w:val="28"/>
        </w:rPr>
        <w:t>a</w:t>
      </w:r>
      <w:r>
        <w:rPr>
          <w:rFonts w:ascii="Courier New" w:hAnsi="Courier New"/>
          <w:spacing w:val="-21"/>
          <w:sz w:val="28"/>
        </w:rPr>
        <w:t> </w:t>
      </w:r>
      <w:r>
        <w:rPr>
          <w:rFonts w:ascii="Courier New" w:hAnsi="Courier New"/>
          <w:sz w:val="28"/>
        </w:rPr>
        <w:t>place</w:t>
      </w:r>
      <w:r>
        <w:rPr>
          <w:rFonts w:ascii="Courier New" w:hAnsi="Courier New"/>
          <w:spacing w:val="-20"/>
          <w:sz w:val="28"/>
        </w:rPr>
        <w:t> </w:t>
      </w:r>
      <w:r>
        <w:rPr>
          <w:rFonts w:ascii="Courier New" w:hAnsi="Courier New"/>
          <w:sz w:val="28"/>
        </w:rPr>
        <w:t>of</w:t>
      </w:r>
      <w:r>
        <w:rPr>
          <w:rFonts w:ascii="Courier New" w:hAnsi="Courier New"/>
          <w:spacing w:val="-20"/>
          <w:sz w:val="28"/>
        </w:rPr>
        <w:t> </w:t>
      </w:r>
      <w:r>
        <w:rPr>
          <w:rFonts w:ascii="Courier New" w:hAnsi="Courier New"/>
          <w:sz w:val="28"/>
        </w:rPr>
        <w:t>worship</w:t>
      </w:r>
      <w:r>
        <w:rPr>
          <w:rFonts w:ascii="Courier New" w:hAnsi="Courier New"/>
          <w:spacing w:val="-21"/>
          <w:sz w:val="28"/>
        </w:rPr>
        <w:t> </w:t>
      </w:r>
      <w:r>
        <w:rPr>
          <w:rFonts w:ascii="Courier New" w:hAnsi="Courier New"/>
          <w:sz w:val="28"/>
        </w:rPr>
        <w:t>for any other community except</w:t>
      </w:r>
      <w:r>
        <w:rPr>
          <w:rFonts w:ascii="Courier New" w:hAnsi="Courier New"/>
          <w:spacing w:val="-9"/>
          <w:sz w:val="28"/>
        </w:rPr>
        <w:t> </w:t>
      </w:r>
      <w:r>
        <w:rPr>
          <w:rFonts w:ascii="Courier New" w:hAnsi="Courier New"/>
          <w:sz w:val="28"/>
        </w:rPr>
        <w:t>muslims.”</w:t>
      </w:r>
    </w:p>
    <w:p>
      <w:pPr>
        <w:pStyle w:val="BodyText"/>
        <w:rPr>
          <w:rFonts w:ascii="Courier New"/>
          <w:sz w:val="32"/>
        </w:rPr>
      </w:pPr>
    </w:p>
    <w:p>
      <w:pPr>
        <w:pStyle w:val="ListParagraph"/>
        <w:numPr>
          <w:ilvl w:val="0"/>
          <w:numId w:val="251"/>
        </w:numPr>
        <w:tabs>
          <w:tab w:pos="854" w:val="left" w:leader="none"/>
        </w:tabs>
        <w:spacing w:line="480" w:lineRule="auto" w:before="272" w:after="0"/>
        <w:ind w:left="160" w:right="113" w:firstLine="0"/>
        <w:jc w:val="both"/>
        <w:rPr>
          <w:rFonts w:ascii="Courier New"/>
          <w:sz w:val="28"/>
        </w:rPr>
      </w:pPr>
      <w:r>
        <w:rPr>
          <w:rFonts w:ascii="Courier New"/>
          <w:sz w:val="28"/>
        </w:rPr>
        <w:t>Plaintiff of Suit No.3 pleaded that Janma Asthan, now, commonly known as Janma Bhumi, birth place of Ram is situate in Ayodhya belonged to plaintiff No.1. The said Asthan, the Janma Bhumi is of ancient antiquity and has existed since before the living memory of man. The Muslims, Defendant Nos.6 to 8 filed written statement where it was pleaded that property against which</w:t>
      </w:r>
      <w:r>
        <w:rPr>
          <w:rFonts w:ascii="Courier New"/>
          <w:spacing w:val="-39"/>
          <w:sz w:val="28"/>
        </w:rPr>
        <w:t> </w:t>
      </w:r>
      <w:r>
        <w:rPr>
          <w:rFonts w:ascii="Courier New"/>
          <w:sz w:val="28"/>
        </w:rPr>
        <w:t>plaintiff</w:t>
      </w:r>
      <w:r>
        <w:rPr>
          <w:rFonts w:ascii="Courier New"/>
          <w:spacing w:val="-39"/>
          <w:sz w:val="28"/>
        </w:rPr>
        <w:t> </w:t>
      </w:r>
      <w:r>
        <w:rPr>
          <w:rFonts w:ascii="Courier New"/>
          <w:sz w:val="28"/>
        </w:rPr>
        <w:t>has</w:t>
      </w:r>
      <w:r>
        <w:rPr>
          <w:rFonts w:ascii="Courier New"/>
          <w:spacing w:val="-39"/>
          <w:sz w:val="28"/>
        </w:rPr>
        <w:t> </w:t>
      </w:r>
      <w:r>
        <w:rPr>
          <w:rFonts w:ascii="Courier New"/>
          <w:sz w:val="28"/>
        </w:rPr>
        <w:t>filed</w:t>
      </w:r>
      <w:r>
        <w:rPr>
          <w:rFonts w:ascii="Courier New"/>
          <w:spacing w:val="-39"/>
          <w:sz w:val="28"/>
        </w:rPr>
        <w:t> </w:t>
      </w:r>
      <w:r>
        <w:rPr>
          <w:rFonts w:ascii="Courier New"/>
          <w:sz w:val="28"/>
        </w:rPr>
        <w:t>the</w:t>
      </w:r>
      <w:r>
        <w:rPr>
          <w:rFonts w:ascii="Courier New"/>
          <w:spacing w:val="-41"/>
          <w:sz w:val="28"/>
        </w:rPr>
        <w:t> </w:t>
      </w:r>
      <w:r>
        <w:rPr>
          <w:rFonts w:ascii="Courier New"/>
          <w:sz w:val="28"/>
        </w:rPr>
        <w:t>suit</w:t>
      </w:r>
      <w:r>
        <w:rPr>
          <w:rFonts w:ascii="Courier New"/>
          <w:spacing w:val="-38"/>
          <w:sz w:val="28"/>
        </w:rPr>
        <w:t> </w:t>
      </w:r>
      <w:r>
        <w:rPr>
          <w:rFonts w:ascii="Courier New"/>
          <w:sz w:val="28"/>
        </w:rPr>
        <w:t>is</w:t>
      </w:r>
      <w:r>
        <w:rPr>
          <w:rFonts w:ascii="Courier New"/>
          <w:spacing w:val="-39"/>
          <w:sz w:val="28"/>
        </w:rPr>
        <w:t> </w:t>
      </w:r>
      <w:r>
        <w:rPr>
          <w:rFonts w:ascii="Courier New"/>
          <w:sz w:val="28"/>
        </w:rPr>
        <w:t>Babri</w:t>
      </w:r>
      <w:r>
        <w:rPr>
          <w:rFonts w:ascii="Courier New"/>
          <w:spacing w:val="-44"/>
          <w:sz w:val="28"/>
        </w:rPr>
        <w:t> </w:t>
      </w:r>
      <w:r>
        <w:rPr>
          <w:rFonts w:ascii="Courier New"/>
          <w:sz w:val="28"/>
        </w:rPr>
        <w:t>Masjid</w:t>
      </w:r>
      <w:r>
        <w:rPr>
          <w:rFonts w:ascii="Courier New"/>
          <w:spacing w:val="-39"/>
          <w:sz w:val="28"/>
        </w:rPr>
        <w:t> </w:t>
      </w:r>
      <w:r>
        <w:rPr>
          <w:rFonts w:ascii="Courier New"/>
          <w:sz w:val="28"/>
        </w:rPr>
        <w:t>built by Babar Shah constructed in the year 1528 A.D. U.P. Sunni Central Board of Wakf had also filed written statement claiming the suit property as Mosque constructed by emperor Babar in 1528 and existence of any temple was</w:t>
      </w:r>
      <w:r>
        <w:rPr>
          <w:rFonts w:ascii="Courier New"/>
          <w:spacing w:val="-4"/>
          <w:sz w:val="28"/>
        </w:rPr>
        <w:t> </w:t>
      </w:r>
      <w:r>
        <w:rPr>
          <w:rFonts w:ascii="Courier New"/>
          <w:sz w:val="28"/>
        </w:rPr>
        <w:t>denied.</w:t>
      </w:r>
    </w:p>
    <w:p>
      <w:pPr>
        <w:spacing w:after="0" w:line="480" w:lineRule="auto"/>
        <w:jc w:val="both"/>
        <w:rPr>
          <w:rFonts w:ascii="Courier New"/>
          <w:sz w:val="28"/>
        </w:rPr>
        <w:sectPr>
          <w:headerReference w:type="default" r:id="rId218"/>
          <w:footerReference w:type="default" r:id="rId219"/>
          <w:pgSz w:w="11910" w:h="16840"/>
          <w:pgMar w:header="0" w:footer="1063" w:top="1340" w:bottom="1260" w:left="1280" w:right="1280"/>
          <w:pgNumType w:start="5"/>
        </w:sectPr>
      </w:pPr>
    </w:p>
    <w:p>
      <w:pPr>
        <w:pStyle w:val="ListParagraph"/>
        <w:numPr>
          <w:ilvl w:val="0"/>
          <w:numId w:val="251"/>
        </w:numPr>
        <w:tabs>
          <w:tab w:pos="895" w:val="left" w:leader="none"/>
        </w:tabs>
        <w:spacing w:line="480" w:lineRule="auto" w:before="163" w:after="0"/>
        <w:ind w:left="160" w:right="114" w:firstLine="0"/>
        <w:jc w:val="both"/>
        <w:rPr>
          <w:rFonts w:ascii="Courier New"/>
          <w:sz w:val="28"/>
        </w:rPr>
      </w:pPr>
      <w:r>
        <w:rPr>
          <w:rFonts w:ascii="Courier New"/>
          <w:sz w:val="28"/>
        </w:rPr>
        <w:t>A written statement was also filed by Defendant No.10, Umesh Chandra Pandey. In his written statement he has stated that Janma Asthan is holy place for worshiping the Deity of Ram Lalla Virajman</w:t>
      </w:r>
      <w:r>
        <w:rPr>
          <w:rFonts w:ascii="Courier New"/>
          <w:spacing w:val="-17"/>
          <w:sz w:val="28"/>
        </w:rPr>
        <w:t> </w:t>
      </w:r>
      <w:r>
        <w:rPr>
          <w:rFonts w:ascii="Courier New"/>
          <w:sz w:val="28"/>
        </w:rPr>
        <w:t>there.</w:t>
      </w:r>
    </w:p>
    <w:p>
      <w:pPr>
        <w:pStyle w:val="BodyText"/>
        <w:rPr>
          <w:rFonts w:ascii="Courier New"/>
          <w:sz w:val="28"/>
        </w:rPr>
      </w:pPr>
    </w:p>
    <w:p>
      <w:pPr>
        <w:pStyle w:val="ListParagraph"/>
        <w:numPr>
          <w:ilvl w:val="0"/>
          <w:numId w:val="251"/>
        </w:numPr>
        <w:tabs>
          <w:tab w:pos="887" w:val="left" w:leader="none"/>
        </w:tabs>
        <w:spacing w:line="480" w:lineRule="auto" w:before="1" w:after="0"/>
        <w:ind w:left="160" w:right="112" w:firstLine="0"/>
        <w:jc w:val="both"/>
        <w:rPr>
          <w:rFonts w:ascii="Courier New"/>
          <w:sz w:val="28"/>
        </w:rPr>
      </w:pPr>
      <w:r>
        <w:rPr>
          <w:rFonts w:ascii="Courier New"/>
          <w:sz w:val="28"/>
        </w:rPr>
        <w:t>In Suit No.4, the plaintiff pleaded that in the town</w:t>
      </w:r>
      <w:r>
        <w:rPr>
          <w:rFonts w:ascii="Courier New"/>
          <w:spacing w:val="-25"/>
          <w:sz w:val="28"/>
        </w:rPr>
        <w:t> </w:t>
      </w:r>
      <w:r>
        <w:rPr>
          <w:rFonts w:ascii="Courier New"/>
          <w:sz w:val="28"/>
        </w:rPr>
        <w:t>of</w:t>
      </w:r>
      <w:r>
        <w:rPr>
          <w:rFonts w:ascii="Courier New"/>
          <w:spacing w:val="-25"/>
          <w:sz w:val="28"/>
        </w:rPr>
        <w:t> </w:t>
      </w:r>
      <w:r>
        <w:rPr>
          <w:rFonts w:ascii="Courier New"/>
          <w:sz w:val="28"/>
        </w:rPr>
        <w:t>Ayodhya</w:t>
      </w:r>
      <w:r>
        <w:rPr>
          <w:rFonts w:ascii="Courier New"/>
          <w:spacing w:val="-25"/>
          <w:sz w:val="28"/>
        </w:rPr>
        <w:t> </w:t>
      </w:r>
      <w:r>
        <w:rPr>
          <w:rFonts w:ascii="Courier New"/>
          <w:sz w:val="28"/>
        </w:rPr>
        <w:t>there</w:t>
      </w:r>
      <w:r>
        <w:rPr>
          <w:rFonts w:ascii="Courier New"/>
          <w:spacing w:val="-24"/>
          <w:sz w:val="28"/>
        </w:rPr>
        <w:t> </w:t>
      </w:r>
      <w:r>
        <w:rPr>
          <w:rFonts w:ascii="Courier New"/>
          <w:sz w:val="28"/>
        </w:rPr>
        <w:t>exists</w:t>
      </w:r>
      <w:r>
        <w:rPr>
          <w:rFonts w:ascii="Courier New"/>
          <w:spacing w:val="-22"/>
          <w:sz w:val="28"/>
        </w:rPr>
        <w:t> </w:t>
      </w:r>
      <w:r>
        <w:rPr>
          <w:rFonts w:ascii="Courier New"/>
          <w:sz w:val="28"/>
        </w:rPr>
        <w:t>an</w:t>
      </w:r>
      <w:r>
        <w:rPr>
          <w:rFonts w:ascii="Courier New"/>
          <w:spacing w:val="-25"/>
          <w:sz w:val="28"/>
        </w:rPr>
        <w:t> </w:t>
      </w:r>
      <w:r>
        <w:rPr>
          <w:rFonts w:ascii="Courier New"/>
          <w:sz w:val="28"/>
        </w:rPr>
        <w:t>ancient</w:t>
      </w:r>
      <w:r>
        <w:rPr>
          <w:rFonts w:ascii="Courier New"/>
          <w:spacing w:val="-24"/>
          <w:sz w:val="28"/>
        </w:rPr>
        <w:t> </w:t>
      </w:r>
      <w:r>
        <w:rPr>
          <w:rFonts w:ascii="Courier New"/>
          <w:sz w:val="28"/>
        </w:rPr>
        <w:t>historic</w:t>
      </w:r>
      <w:r>
        <w:rPr>
          <w:rFonts w:ascii="Courier New"/>
          <w:spacing w:val="-25"/>
          <w:sz w:val="28"/>
        </w:rPr>
        <w:t> </w:t>
      </w:r>
      <w:r>
        <w:rPr>
          <w:rFonts w:ascii="Courier New"/>
          <w:sz w:val="28"/>
        </w:rPr>
        <w:t>Mosque commonly known as Babri Masjid built by emperor Babar more than 433 years ago, after his conquest of India and occupation of territories including the town of Ayodhya. In Suit No.4, written statement was filed by Defendant Nos.1 and 2. In paragraph 25 it was pleaded that members of the Hindu community have from time immemorial been worshiping the site as of the Janma Bhumi. A written statement was also filed by Defendant No.3, Nirmohi Akhara and Defendant No.4, Mahant Raghunath Das. The existence of Mosque claimed by the plaintiff was denied. It was further pleaded that the alleged Mosque never existed, nor it exists now. The building which the plaintiffs have been wrongly referring as Babri Masjid is and has always been the temple</w:t>
      </w:r>
      <w:r>
        <w:rPr>
          <w:rFonts w:ascii="Courier New"/>
          <w:spacing w:val="-22"/>
          <w:sz w:val="28"/>
        </w:rPr>
        <w:t> </w:t>
      </w:r>
      <w:r>
        <w:rPr>
          <w:rFonts w:ascii="Courier New"/>
          <w:sz w:val="28"/>
        </w:rPr>
        <w:t>of</w:t>
      </w:r>
      <w:r>
        <w:rPr>
          <w:rFonts w:ascii="Courier New"/>
          <w:spacing w:val="-21"/>
          <w:sz w:val="28"/>
        </w:rPr>
        <w:t> </w:t>
      </w:r>
      <w:r>
        <w:rPr>
          <w:rFonts w:ascii="Courier New"/>
          <w:sz w:val="28"/>
        </w:rPr>
        <w:t>Janma</w:t>
      </w:r>
      <w:r>
        <w:rPr>
          <w:rFonts w:ascii="Courier New"/>
          <w:spacing w:val="-21"/>
          <w:sz w:val="28"/>
        </w:rPr>
        <w:t> </w:t>
      </w:r>
      <w:r>
        <w:rPr>
          <w:rFonts w:ascii="Courier New"/>
          <w:sz w:val="28"/>
        </w:rPr>
        <w:t>Bhumi</w:t>
      </w:r>
      <w:r>
        <w:rPr>
          <w:rFonts w:ascii="Courier New"/>
          <w:spacing w:val="-22"/>
          <w:sz w:val="28"/>
        </w:rPr>
        <w:t> </w:t>
      </w:r>
      <w:r>
        <w:rPr>
          <w:rFonts w:ascii="Courier New"/>
          <w:sz w:val="28"/>
        </w:rPr>
        <w:t>with</w:t>
      </w:r>
      <w:r>
        <w:rPr>
          <w:rFonts w:ascii="Courier New"/>
          <w:spacing w:val="-21"/>
          <w:sz w:val="28"/>
        </w:rPr>
        <w:t> </w:t>
      </w:r>
      <w:r>
        <w:rPr>
          <w:rFonts w:ascii="Courier New"/>
          <w:sz w:val="28"/>
        </w:rPr>
        <w:t>Idols</w:t>
      </w:r>
      <w:r>
        <w:rPr>
          <w:rFonts w:ascii="Courier New"/>
          <w:spacing w:val="-21"/>
          <w:sz w:val="28"/>
        </w:rPr>
        <w:t> </w:t>
      </w:r>
      <w:r>
        <w:rPr>
          <w:rFonts w:ascii="Courier New"/>
          <w:sz w:val="28"/>
        </w:rPr>
        <w:t>of</w:t>
      </w:r>
      <w:r>
        <w:rPr>
          <w:rFonts w:ascii="Courier New"/>
          <w:spacing w:val="-22"/>
          <w:sz w:val="28"/>
        </w:rPr>
        <w:t> </w:t>
      </w:r>
      <w:r>
        <w:rPr>
          <w:rFonts w:ascii="Courier New"/>
          <w:sz w:val="28"/>
        </w:rPr>
        <w:t>Hindu</w:t>
      </w:r>
      <w:r>
        <w:rPr>
          <w:rFonts w:ascii="Courier New"/>
          <w:spacing w:val="-19"/>
          <w:sz w:val="28"/>
        </w:rPr>
        <w:t> </w:t>
      </w:r>
      <w:r>
        <w:rPr>
          <w:rFonts w:ascii="Courier New"/>
          <w:sz w:val="28"/>
        </w:rPr>
        <w:t>God</w:t>
      </w:r>
      <w:r>
        <w:rPr>
          <w:rFonts w:ascii="Courier New"/>
          <w:spacing w:val="-21"/>
          <w:sz w:val="28"/>
        </w:rPr>
        <w:t> </w:t>
      </w:r>
      <w:r>
        <w:rPr>
          <w:rFonts w:ascii="Courier New"/>
          <w:sz w:val="28"/>
        </w:rPr>
        <w:t>installed</w:t>
      </w:r>
    </w:p>
    <w:p>
      <w:pPr>
        <w:spacing w:after="0" w:line="480" w:lineRule="auto"/>
        <w:jc w:val="both"/>
        <w:rPr>
          <w:rFonts w:ascii="Courier New"/>
          <w:sz w:val="28"/>
        </w:rPr>
        <w:sectPr>
          <w:headerReference w:type="default" r:id="rId220"/>
          <w:footerReference w:type="default" r:id="rId221"/>
          <w:pgSz w:w="11910" w:h="16840"/>
          <w:pgMar w:header="0" w:footer="1063" w:top="1580" w:bottom="1260" w:left="1280" w:right="1280"/>
          <w:pgNumType w:start="6"/>
        </w:sectPr>
      </w:pPr>
    </w:p>
    <w:p>
      <w:pPr>
        <w:spacing w:line="480" w:lineRule="auto" w:before="86"/>
        <w:ind w:left="160" w:right="114" w:firstLine="0"/>
        <w:jc w:val="both"/>
        <w:rPr>
          <w:rFonts w:ascii="Courier New"/>
          <w:sz w:val="28"/>
        </w:rPr>
      </w:pPr>
      <w:r>
        <w:rPr>
          <w:rFonts w:ascii="Courier New"/>
          <w:sz w:val="28"/>
        </w:rPr>
        <w:t>therein. In the additional pleas it was pleaded that the temple in question known as Janma Bhumi, the birth place of Lord Ram Chandra, situate in Ayodhya belongs and will always belongs to Defendant No.3.</w:t>
      </w:r>
    </w:p>
    <w:p>
      <w:pPr>
        <w:pStyle w:val="BodyText"/>
        <w:spacing w:before="9"/>
        <w:rPr>
          <w:rFonts w:ascii="Courier New"/>
          <w:sz w:val="27"/>
        </w:rPr>
      </w:pPr>
    </w:p>
    <w:p>
      <w:pPr>
        <w:pStyle w:val="ListParagraph"/>
        <w:numPr>
          <w:ilvl w:val="0"/>
          <w:numId w:val="251"/>
        </w:numPr>
        <w:tabs>
          <w:tab w:pos="852" w:val="left" w:leader="none"/>
        </w:tabs>
        <w:spacing w:line="480" w:lineRule="auto" w:before="1" w:after="0"/>
        <w:ind w:left="160" w:right="112" w:firstLine="0"/>
        <w:jc w:val="both"/>
        <w:rPr>
          <w:rFonts w:ascii="Courier New"/>
          <w:sz w:val="28"/>
        </w:rPr>
      </w:pPr>
      <w:r>
        <w:rPr>
          <w:rFonts w:ascii="Courier New"/>
          <w:sz w:val="28"/>
        </w:rPr>
        <w:t>In Suit No.4, written statement was also filed by State, Defendant Nos.5 to 8 in which it was pleaded that the Government is not interested in the property which is in dispute and as such it is not proposed to contest the suit. Defendant No.10 filed a written statement and additional written statement. Few other defendants also filed written statement. In written statement filed by Dharam Das, Defendant No.13, it was pleaded that Mir Baqi, who was a Shia and commanded by Babar, demolished the ancient Hindu temple at the time of Raja Vikramaditya at Sri Ram Janma Bhumi. It was, further, pleaded that originally there was a temple erected. Few of the other defendants filed written statements. Defendant No.20, the convenor of Akhil Bharatiya Shri Ram Janma Bhumi Punrudhar Samiti filed a detailed written statement and additional statement. Plaintiff also filed a</w:t>
      </w:r>
      <w:r>
        <w:rPr>
          <w:rFonts w:ascii="Courier New"/>
          <w:spacing w:val="-7"/>
          <w:sz w:val="28"/>
        </w:rPr>
        <w:t> </w:t>
      </w:r>
      <w:r>
        <w:rPr>
          <w:rFonts w:ascii="Courier New"/>
          <w:sz w:val="28"/>
        </w:rPr>
        <w:t>replication.</w:t>
      </w:r>
    </w:p>
    <w:p>
      <w:pPr>
        <w:spacing w:after="0" w:line="480" w:lineRule="auto"/>
        <w:jc w:val="both"/>
        <w:rPr>
          <w:rFonts w:ascii="Courier New"/>
          <w:sz w:val="28"/>
        </w:rPr>
        <w:sectPr>
          <w:headerReference w:type="default" r:id="rId222"/>
          <w:footerReference w:type="default" r:id="rId223"/>
          <w:pgSz w:w="11910" w:h="16840"/>
          <w:pgMar w:header="0" w:footer="1063" w:top="1340" w:bottom="1260" w:left="1280" w:right="1280"/>
          <w:pgNumType w:start="7"/>
        </w:sectPr>
      </w:pPr>
    </w:p>
    <w:p>
      <w:pPr>
        <w:pStyle w:val="ListParagraph"/>
        <w:numPr>
          <w:ilvl w:val="0"/>
          <w:numId w:val="251"/>
        </w:numPr>
        <w:tabs>
          <w:tab w:pos="799" w:val="left" w:leader="none"/>
        </w:tabs>
        <w:spacing w:line="480" w:lineRule="auto" w:before="163" w:after="0"/>
        <w:ind w:left="160" w:right="114" w:firstLine="0"/>
        <w:jc w:val="both"/>
        <w:rPr>
          <w:rFonts w:ascii="Courier New"/>
          <w:sz w:val="28"/>
        </w:rPr>
      </w:pPr>
      <w:r>
        <w:rPr>
          <w:rFonts w:ascii="Courier New"/>
          <w:sz w:val="28"/>
        </w:rPr>
        <w:t>In</w:t>
      </w:r>
      <w:r>
        <w:rPr>
          <w:rFonts w:ascii="Courier New"/>
          <w:spacing w:val="-37"/>
          <w:sz w:val="28"/>
        </w:rPr>
        <w:t> </w:t>
      </w:r>
      <w:r>
        <w:rPr>
          <w:rFonts w:ascii="Courier New"/>
          <w:sz w:val="28"/>
        </w:rPr>
        <w:t>Suit</w:t>
      </w:r>
      <w:r>
        <w:rPr>
          <w:rFonts w:ascii="Courier New"/>
          <w:spacing w:val="-37"/>
          <w:sz w:val="28"/>
        </w:rPr>
        <w:t> </w:t>
      </w:r>
      <w:r>
        <w:rPr>
          <w:rFonts w:ascii="Courier New"/>
          <w:sz w:val="28"/>
        </w:rPr>
        <w:t>No.5</w:t>
      </w:r>
      <w:r>
        <w:rPr>
          <w:rFonts w:ascii="Courier New"/>
          <w:spacing w:val="-36"/>
          <w:sz w:val="28"/>
        </w:rPr>
        <w:t> </w:t>
      </w:r>
      <w:r>
        <w:rPr>
          <w:rFonts w:ascii="Courier New"/>
          <w:sz w:val="28"/>
        </w:rPr>
        <w:t>it</w:t>
      </w:r>
      <w:r>
        <w:rPr>
          <w:rFonts w:ascii="Courier New"/>
          <w:spacing w:val="-37"/>
          <w:sz w:val="28"/>
        </w:rPr>
        <w:t> </w:t>
      </w:r>
      <w:r>
        <w:rPr>
          <w:rFonts w:ascii="Courier New"/>
          <w:sz w:val="28"/>
        </w:rPr>
        <w:t>was</w:t>
      </w:r>
      <w:r>
        <w:rPr>
          <w:rFonts w:ascii="Courier New"/>
          <w:spacing w:val="-36"/>
          <w:sz w:val="28"/>
        </w:rPr>
        <w:t> </w:t>
      </w:r>
      <w:r>
        <w:rPr>
          <w:rFonts w:ascii="Courier New"/>
          <w:sz w:val="28"/>
        </w:rPr>
        <w:t>pleaded</w:t>
      </w:r>
      <w:r>
        <w:rPr>
          <w:rFonts w:ascii="Courier New"/>
          <w:spacing w:val="-37"/>
          <w:sz w:val="28"/>
        </w:rPr>
        <w:t> </w:t>
      </w:r>
      <w:r>
        <w:rPr>
          <w:rFonts w:ascii="Courier New"/>
          <w:sz w:val="28"/>
        </w:rPr>
        <w:t>that</w:t>
      </w:r>
      <w:r>
        <w:rPr>
          <w:rFonts w:ascii="Courier New"/>
          <w:spacing w:val="-37"/>
          <w:sz w:val="28"/>
        </w:rPr>
        <w:t> </w:t>
      </w:r>
      <w:r>
        <w:rPr>
          <w:rFonts w:ascii="Courier New"/>
          <w:sz w:val="28"/>
        </w:rPr>
        <w:t>premises</w:t>
      </w:r>
      <w:r>
        <w:rPr>
          <w:rFonts w:ascii="Courier New"/>
          <w:spacing w:val="-36"/>
          <w:sz w:val="28"/>
        </w:rPr>
        <w:t> </w:t>
      </w:r>
      <w:r>
        <w:rPr>
          <w:rFonts w:ascii="Courier New"/>
          <w:sz w:val="28"/>
        </w:rPr>
        <w:t>in</w:t>
      </w:r>
      <w:r>
        <w:rPr>
          <w:rFonts w:ascii="Courier New"/>
          <w:spacing w:val="-37"/>
          <w:sz w:val="28"/>
        </w:rPr>
        <w:t> </w:t>
      </w:r>
      <w:r>
        <w:rPr>
          <w:rFonts w:ascii="Courier New"/>
          <w:sz w:val="28"/>
        </w:rPr>
        <w:t>dispute is the place where Maryada Purushottam Ram Chandra Ji Maharaj was born. The Hindus worship divine which has no quality or shape or form. In paragraph 19 and 20 following was</w:t>
      </w:r>
      <w:r>
        <w:rPr>
          <w:rFonts w:ascii="Courier New"/>
          <w:spacing w:val="-3"/>
          <w:sz w:val="28"/>
        </w:rPr>
        <w:t> </w:t>
      </w:r>
      <w:r>
        <w:rPr>
          <w:rFonts w:ascii="Courier New"/>
          <w:sz w:val="28"/>
        </w:rPr>
        <w:t>pleaded:</w:t>
      </w:r>
    </w:p>
    <w:p>
      <w:pPr>
        <w:spacing w:line="240" w:lineRule="auto" w:before="0"/>
        <w:ind w:left="1011" w:right="961" w:firstLine="0"/>
        <w:jc w:val="both"/>
        <w:rPr>
          <w:rFonts w:ascii="Courier New" w:hAnsi="Courier New"/>
          <w:sz w:val="28"/>
        </w:rPr>
      </w:pPr>
      <w:r>
        <w:rPr>
          <w:rFonts w:ascii="Courier New" w:hAnsi="Courier New"/>
          <w:sz w:val="28"/>
        </w:rPr>
        <w:t>“19. That is manifestly established by public records of unimpeachable authority that the premises in dispute is the place where</w:t>
      </w:r>
      <w:r>
        <w:rPr>
          <w:rFonts w:ascii="Courier New" w:hAnsi="Courier New"/>
          <w:spacing w:val="-35"/>
          <w:sz w:val="28"/>
        </w:rPr>
        <w:t> </w:t>
      </w:r>
      <w:r>
        <w:rPr>
          <w:rFonts w:ascii="Courier New" w:hAnsi="Courier New"/>
          <w:sz w:val="28"/>
        </w:rPr>
        <w:t>Maryada</w:t>
      </w:r>
      <w:r>
        <w:rPr>
          <w:rFonts w:ascii="Courier New" w:hAnsi="Courier New"/>
          <w:spacing w:val="-34"/>
          <w:sz w:val="28"/>
        </w:rPr>
        <w:t> </w:t>
      </w:r>
      <w:r>
        <w:rPr>
          <w:rFonts w:ascii="Courier New" w:hAnsi="Courier New"/>
          <w:sz w:val="28"/>
        </w:rPr>
        <w:t>Purushottam</w:t>
      </w:r>
      <w:r>
        <w:rPr>
          <w:rFonts w:ascii="Courier New" w:hAnsi="Courier New"/>
          <w:spacing w:val="-35"/>
          <w:sz w:val="28"/>
        </w:rPr>
        <w:t> </w:t>
      </w:r>
      <w:r>
        <w:rPr>
          <w:rFonts w:ascii="Courier New" w:hAnsi="Courier New"/>
          <w:sz w:val="28"/>
        </w:rPr>
        <w:t>Ji</w:t>
      </w:r>
      <w:r>
        <w:rPr>
          <w:rFonts w:ascii="Courier New" w:hAnsi="Courier New"/>
          <w:spacing w:val="-34"/>
          <w:sz w:val="28"/>
        </w:rPr>
        <w:t> </w:t>
      </w:r>
      <w:r>
        <w:rPr>
          <w:rFonts w:ascii="Courier New" w:hAnsi="Courier New"/>
          <w:sz w:val="28"/>
        </w:rPr>
        <w:t>Maharaj</w:t>
      </w:r>
      <w:r>
        <w:rPr>
          <w:rFonts w:ascii="Courier New" w:hAnsi="Courier New"/>
          <w:spacing w:val="-35"/>
          <w:sz w:val="28"/>
        </w:rPr>
        <w:t> </w:t>
      </w:r>
      <w:r>
        <w:rPr>
          <w:rFonts w:ascii="Courier New" w:hAnsi="Courier New"/>
          <w:sz w:val="28"/>
        </w:rPr>
        <w:t>was</w:t>
      </w:r>
      <w:r>
        <w:rPr>
          <w:rFonts w:ascii="Courier New" w:hAnsi="Courier New"/>
          <w:spacing w:val="-34"/>
          <w:sz w:val="28"/>
        </w:rPr>
        <w:t> </w:t>
      </w:r>
      <w:r>
        <w:rPr>
          <w:rFonts w:ascii="Courier New" w:hAnsi="Courier New"/>
          <w:sz w:val="28"/>
        </w:rPr>
        <w:t>born as the son of Maharaja Dashrath of the</w:t>
      </w:r>
      <w:r>
        <w:rPr>
          <w:rFonts w:ascii="Courier New" w:hAnsi="Courier New"/>
          <w:spacing w:val="-36"/>
          <w:sz w:val="28"/>
        </w:rPr>
        <w:t> </w:t>
      </w:r>
      <w:r>
        <w:rPr>
          <w:rFonts w:ascii="Courier New" w:hAnsi="Courier New"/>
          <w:sz w:val="28"/>
        </w:rPr>
        <w:t>solar Dynasty,</w:t>
      </w:r>
      <w:r>
        <w:rPr>
          <w:rFonts w:ascii="Courier New" w:hAnsi="Courier New"/>
          <w:spacing w:val="-35"/>
          <w:sz w:val="28"/>
        </w:rPr>
        <w:t> </w:t>
      </w:r>
      <w:r>
        <w:rPr>
          <w:rFonts w:ascii="Courier New" w:hAnsi="Courier New"/>
          <w:sz w:val="28"/>
        </w:rPr>
        <w:t>which</w:t>
      </w:r>
      <w:r>
        <w:rPr>
          <w:rFonts w:ascii="Courier New" w:hAnsi="Courier New"/>
          <w:spacing w:val="-34"/>
          <w:sz w:val="28"/>
        </w:rPr>
        <w:t> </w:t>
      </w:r>
      <w:r>
        <w:rPr>
          <w:rFonts w:ascii="Courier New" w:hAnsi="Courier New"/>
          <w:sz w:val="28"/>
        </w:rPr>
        <w:t>according</w:t>
      </w:r>
      <w:r>
        <w:rPr>
          <w:rFonts w:ascii="Courier New" w:hAnsi="Courier New"/>
          <w:spacing w:val="-35"/>
          <w:sz w:val="28"/>
        </w:rPr>
        <w:t> </w:t>
      </w:r>
      <w:r>
        <w:rPr>
          <w:rFonts w:ascii="Courier New" w:hAnsi="Courier New"/>
          <w:sz w:val="28"/>
        </w:rPr>
        <w:t>to</w:t>
      </w:r>
      <w:r>
        <w:rPr>
          <w:rFonts w:ascii="Courier New" w:hAnsi="Courier New"/>
          <w:spacing w:val="-34"/>
          <w:sz w:val="28"/>
        </w:rPr>
        <w:t> </w:t>
      </w:r>
      <w:r>
        <w:rPr>
          <w:rFonts w:ascii="Courier New" w:hAnsi="Courier New"/>
          <w:sz w:val="28"/>
        </w:rPr>
        <w:t>the</w:t>
      </w:r>
      <w:r>
        <w:rPr>
          <w:rFonts w:ascii="Courier New" w:hAnsi="Courier New"/>
          <w:spacing w:val="-35"/>
          <w:sz w:val="28"/>
        </w:rPr>
        <w:t> </w:t>
      </w:r>
      <w:r>
        <w:rPr>
          <w:rFonts w:ascii="Courier New" w:hAnsi="Courier New"/>
          <w:sz w:val="28"/>
        </w:rPr>
        <w:t>tradition</w:t>
      </w:r>
      <w:r>
        <w:rPr>
          <w:rFonts w:ascii="Courier New" w:hAnsi="Courier New"/>
          <w:spacing w:val="-34"/>
          <w:sz w:val="28"/>
        </w:rPr>
        <w:t> </w:t>
      </w:r>
      <w:r>
        <w:rPr>
          <w:rFonts w:ascii="Courier New" w:hAnsi="Courier New"/>
          <w:sz w:val="28"/>
        </w:rPr>
        <w:t>and the</w:t>
      </w:r>
      <w:r>
        <w:rPr>
          <w:rFonts w:ascii="Courier New" w:hAnsi="Courier New"/>
          <w:spacing w:val="-26"/>
          <w:sz w:val="28"/>
        </w:rPr>
        <w:t> </w:t>
      </w:r>
      <w:r>
        <w:rPr>
          <w:rFonts w:ascii="Courier New" w:hAnsi="Courier New"/>
          <w:sz w:val="28"/>
        </w:rPr>
        <w:t>faith</w:t>
      </w:r>
      <w:r>
        <w:rPr>
          <w:rFonts w:ascii="Courier New" w:hAnsi="Courier New"/>
          <w:spacing w:val="-26"/>
          <w:sz w:val="28"/>
        </w:rPr>
        <w:t> </w:t>
      </w:r>
      <w:r>
        <w:rPr>
          <w:rFonts w:ascii="Courier New" w:hAnsi="Courier New"/>
          <w:sz w:val="28"/>
        </w:rPr>
        <w:t>of</w:t>
      </w:r>
      <w:r>
        <w:rPr>
          <w:rFonts w:ascii="Courier New" w:hAnsi="Courier New"/>
          <w:spacing w:val="-25"/>
          <w:sz w:val="28"/>
        </w:rPr>
        <w:t> </w:t>
      </w:r>
      <w:r>
        <w:rPr>
          <w:rFonts w:ascii="Courier New" w:hAnsi="Courier New"/>
          <w:sz w:val="28"/>
        </w:rPr>
        <w:t>the</w:t>
      </w:r>
      <w:r>
        <w:rPr>
          <w:rFonts w:ascii="Courier New" w:hAnsi="Courier New"/>
          <w:spacing w:val="-26"/>
          <w:sz w:val="28"/>
        </w:rPr>
        <w:t> </w:t>
      </w:r>
      <w:r>
        <w:rPr>
          <w:rFonts w:ascii="Courier New" w:hAnsi="Courier New"/>
          <w:sz w:val="28"/>
        </w:rPr>
        <w:t>devotees</w:t>
      </w:r>
      <w:r>
        <w:rPr>
          <w:rFonts w:ascii="Courier New" w:hAnsi="Courier New"/>
          <w:spacing w:val="-26"/>
          <w:sz w:val="28"/>
        </w:rPr>
        <w:t> </w:t>
      </w:r>
      <w:r>
        <w:rPr>
          <w:rFonts w:ascii="Courier New" w:hAnsi="Courier New"/>
          <w:sz w:val="28"/>
        </w:rPr>
        <w:t>of</w:t>
      </w:r>
      <w:r>
        <w:rPr>
          <w:rFonts w:ascii="Courier New" w:hAnsi="Courier New"/>
          <w:spacing w:val="-25"/>
          <w:sz w:val="28"/>
        </w:rPr>
        <w:t> </w:t>
      </w:r>
      <w:r>
        <w:rPr>
          <w:rFonts w:ascii="Courier New" w:hAnsi="Courier New"/>
          <w:sz w:val="28"/>
        </w:rPr>
        <w:t>Bhagwan</w:t>
      </w:r>
      <w:r>
        <w:rPr>
          <w:rFonts w:ascii="Courier New" w:hAnsi="Courier New"/>
          <w:spacing w:val="-26"/>
          <w:sz w:val="28"/>
        </w:rPr>
        <w:t> </w:t>
      </w:r>
      <w:r>
        <w:rPr>
          <w:rFonts w:ascii="Courier New" w:hAnsi="Courier New"/>
          <w:sz w:val="28"/>
        </w:rPr>
        <w:t>Sri</w:t>
      </w:r>
      <w:r>
        <w:rPr>
          <w:rFonts w:ascii="Courier New" w:hAnsi="Courier New"/>
          <w:spacing w:val="-26"/>
          <w:sz w:val="28"/>
        </w:rPr>
        <w:t> </w:t>
      </w:r>
      <w:r>
        <w:rPr>
          <w:rFonts w:ascii="Courier New" w:hAnsi="Courier New"/>
          <w:sz w:val="28"/>
        </w:rPr>
        <w:t>Rama is the place where HE manifested HIMSELF in human form as an incarnation of BHAGWAN VISHNU. The place has since ever been</w:t>
      </w:r>
      <w:r>
        <w:rPr>
          <w:rFonts w:ascii="Courier New" w:hAnsi="Courier New"/>
          <w:spacing w:val="-35"/>
          <w:sz w:val="28"/>
        </w:rPr>
        <w:t> </w:t>
      </w:r>
      <w:r>
        <w:rPr>
          <w:rFonts w:ascii="Courier New" w:hAnsi="Courier New"/>
          <w:sz w:val="28"/>
        </w:rPr>
        <w:t>called Sri Rama Janma Bhumi by all and sundry through the</w:t>
      </w:r>
      <w:r>
        <w:rPr>
          <w:rFonts w:ascii="Courier New" w:hAnsi="Courier New"/>
          <w:spacing w:val="-3"/>
          <w:sz w:val="28"/>
        </w:rPr>
        <w:t> </w:t>
      </w:r>
      <w:r>
        <w:rPr>
          <w:rFonts w:ascii="Courier New" w:hAnsi="Courier New"/>
          <w:sz w:val="28"/>
        </w:rPr>
        <w:t>ages.</w:t>
      </w:r>
    </w:p>
    <w:p>
      <w:pPr>
        <w:pStyle w:val="BodyText"/>
        <w:spacing w:before="11"/>
        <w:rPr>
          <w:rFonts w:ascii="Courier New"/>
          <w:sz w:val="27"/>
        </w:rPr>
      </w:pPr>
    </w:p>
    <w:p>
      <w:pPr>
        <w:spacing w:line="240" w:lineRule="auto" w:before="0"/>
        <w:ind w:left="1011" w:right="961" w:firstLine="0"/>
        <w:jc w:val="both"/>
        <w:rPr>
          <w:rFonts w:ascii="Courier New" w:hAnsi="Courier New"/>
          <w:sz w:val="28"/>
        </w:rPr>
      </w:pPr>
      <w:r>
        <w:rPr>
          <w:rFonts w:ascii="Courier New" w:hAnsi="Courier New"/>
          <w:sz w:val="28"/>
        </w:rPr>
        <w:t>20. That the place itself, or the ASTHAN</w:t>
      </w:r>
      <w:r>
        <w:rPr>
          <w:rFonts w:ascii="Courier New" w:hAnsi="Courier New"/>
          <w:spacing w:val="-39"/>
          <w:sz w:val="28"/>
        </w:rPr>
        <w:t> </w:t>
      </w:r>
      <w:r>
        <w:rPr>
          <w:rFonts w:ascii="Courier New" w:hAnsi="Courier New"/>
          <w:sz w:val="28"/>
        </w:rPr>
        <w:t>SRI RAMA</w:t>
      </w:r>
      <w:r>
        <w:rPr>
          <w:rFonts w:ascii="Courier New" w:hAnsi="Courier New"/>
          <w:spacing w:val="-24"/>
          <w:sz w:val="28"/>
        </w:rPr>
        <w:t> </w:t>
      </w:r>
      <w:r>
        <w:rPr>
          <w:rFonts w:ascii="Courier New" w:hAnsi="Courier New"/>
          <w:sz w:val="28"/>
        </w:rPr>
        <w:t>JANMA</w:t>
      </w:r>
      <w:r>
        <w:rPr>
          <w:rFonts w:ascii="Courier New" w:hAnsi="Courier New"/>
          <w:spacing w:val="-24"/>
          <w:sz w:val="28"/>
        </w:rPr>
        <w:t> </w:t>
      </w:r>
      <w:r>
        <w:rPr>
          <w:rFonts w:ascii="Courier New" w:hAnsi="Courier New"/>
          <w:sz w:val="28"/>
        </w:rPr>
        <w:t>BHUMI,</w:t>
      </w:r>
      <w:r>
        <w:rPr>
          <w:rFonts w:ascii="Courier New" w:hAnsi="Courier New"/>
          <w:spacing w:val="-23"/>
          <w:sz w:val="28"/>
        </w:rPr>
        <w:t> </w:t>
      </w:r>
      <w:r>
        <w:rPr>
          <w:rFonts w:ascii="Courier New" w:hAnsi="Courier New"/>
          <w:sz w:val="28"/>
        </w:rPr>
        <w:t>as</w:t>
      </w:r>
      <w:r>
        <w:rPr>
          <w:rFonts w:ascii="Courier New" w:hAnsi="Courier New"/>
          <w:spacing w:val="-24"/>
          <w:sz w:val="28"/>
        </w:rPr>
        <w:t> </w:t>
      </w:r>
      <w:r>
        <w:rPr>
          <w:rFonts w:ascii="Courier New" w:hAnsi="Courier New"/>
          <w:sz w:val="28"/>
        </w:rPr>
        <w:t>it</w:t>
      </w:r>
      <w:r>
        <w:rPr>
          <w:rFonts w:ascii="Courier New" w:hAnsi="Courier New"/>
          <w:spacing w:val="-23"/>
          <w:sz w:val="28"/>
        </w:rPr>
        <w:t> </w:t>
      </w:r>
      <w:r>
        <w:rPr>
          <w:rFonts w:ascii="Courier New" w:hAnsi="Courier New"/>
          <w:sz w:val="28"/>
        </w:rPr>
        <w:t>has</w:t>
      </w:r>
      <w:r>
        <w:rPr>
          <w:rFonts w:ascii="Courier New" w:hAnsi="Courier New"/>
          <w:spacing w:val="-21"/>
          <w:sz w:val="28"/>
        </w:rPr>
        <w:t> </w:t>
      </w:r>
      <w:r>
        <w:rPr>
          <w:rFonts w:ascii="Courier New" w:hAnsi="Courier New"/>
          <w:sz w:val="28"/>
        </w:rPr>
        <w:t>come</w:t>
      </w:r>
      <w:r>
        <w:rPr>
          <w:rFonts w:ascii="Courier New" w:hAnsi="Courier New"/>
          <w:spacing w:val="-23"/>
          <w:sz w:val="28"/>
        </w:rPr>
        <w:t> </w:t>
      </w:r>
      <w:r>
        <w:rPr>
          <w:rFonts w:ascii="Courier New" w:hAnsi="Courier New"/>
          <w:sz w:val="28"/>
        </w:rPr>
        <w:t>to</w:t>
      </w:r>
      <w:r>
        <w:rPr>
          <w:rFonts w:ascii="Courier New" w:hAnsi="Courier New"/>
          <w:spacing w:val="-24"/>
          <w:sz w:val="28"/>
        </w:rPr>
        <w:t> </w:t>
      </w:r>
      <w:r>
        <w:rPr>
          <w:rFonts w:ascii="Courier New" w:hAnsi="Courier New"/>
          <w:sz w:val="28"/>
        </w:rPr>
        <w:t>be</w:t>
      </w:r>
      <w:r>
        <w:rPr>
          <w:rFonts w:ascii="Courier New" w:hAnsi="Courier New"/>
          <w:spacing w:val="-23"/>
          <w:sz w:val="28"/>
        </w:rPr>
        <w:t> </w:t>
      </w:r>
      <w:r>
        <w:rPr>
          <w:rFonts w:ascii="Courier New" w:hAnsi="Courier New"/>
          <w:sz w:val="28"/>
        </w:rPr>
        <w:t>known, has been an object of worship as a Deity by the devotees of BHAGWAN SRI RAMA, as it personifies the spirit of the Divine worshipped in the form of SRI RAMA LALA or Lord RAMA the child. The Asthan was thus Deified and has had a juridical personality of its own even before the construction of</w:t>
      </w:r>
      <w:r>
        <w:rPr>
          <w:rFonts w:ascii="Courier New" w:hAnsi="Courier New"/>
          <w:spacing w:val="-35"/>
          <w:sz w:val="28"/>
        </w:rPr>
        <w:t> </w:t>
      </w:r>
      <w:r>
        <w:rPr>
          <w:rFonts w:ascii="Courier New" w:hAnsi="Courier New"/>
          <w:sz w:val="28"/>
        </w:rPr>
        <w:t>a Temple building or the installation of the idol of Bhagwan Sri Rama there</w:t>
      </w:r>
      <w:r>
        <w:rPr>
          <w:rFonts w:ascii="Courier New" w:hAnsi="Courier New"/>
          <w:spacing w:val="-10"/>
          <w:sz w:val="28"/>
        </w:rPr>
        <w:t> </w:t>
      </w:r>
      <w:r>
        <w:rPr>
          <w:rFonts w:ascii="Courier New" w:hAnsi="Courier New"/>
          <w:sz w:val="28"/>
        </w:rPr>
        <w:t>at.”</w:t>
      </w:r>
    </w:p>
    <w:p>
      <w:pPr>
        <w:pStyle w:val="BodyText"/>
        <w:rPr>
          <w:rFonts w:ascii="Courier New"/>
          <w:sz w:val="32"/>
        </w:rPr>
      </w:pPr>
    </w:p>
    <w:p>
      <w:pPr>
        <w:pStyle w:val="ListParagraph"/>
        <w:numPr>
          <w:ilvl w:val="0"/>
          <w:numId w:val="251"/>
        </w:numPr>
        <w:tabs>
          <w:tab w:pos="796" w:val="left" w:leader="none"/>
        </w:tabs>
        <w:spacing w:line="480" w:lineRule="auto" w:before="271" w:after="0"/>
        <w:ind w:left="159" w:right="116" w:firstLine="0"/>
        <w:jc w:val="both"/>
        <w:rPr>
          <w:rFonts w:ascii="Courier New" w:hAnsi="Courier New"/>
          <w:sz w:val="28"/>
        </w:rPr>
      </w:pPr>
      <w:r>
        <w:rPr>
          <w:rFonts w:ascii="Courier New" w:hAnsi="Courier New"/>
          <w:sz w:val="28"/>
        </w:rPr>
        <w:t>In</w:t>
      </w:r>
      <w:r>
        <w:rPr>
          <w:rFonts w:ascii="Courier New" w:hAnsi="Courier New"/>
          <w:spacing w:val="-40"/>
          <w:sz w:val="28"/>
        </w:rPr>
        <w:t> </w:t>
      </w:r>
      <w:r>
        <w:rPr>
          <w:rFonts w:ascii="Courier New" w:hAnsi="Courier New"/>
          <w:sz w:val="28"/>
        </w:rPr>
        <w:t>paragraph</w:t>
      </w:r>
      <w:r>
        <w:rPr>
          <w:rFonts w:ascii="Courier New" w:hAnsi="Courier New"/>
          <w:spacing w:val="-39"/>
          <w:sz w:val="28"/>
        </w:rPr>
        <w:t> </w:t>
      </w:r>
      <w:r>
        <w:rPr>
          <w:rFonts w:ascii="Courier New" w:hAnsi="Courier New"/>
          <w:sz w:val="28"/>
        </w:rPr>
        <w:t>23</w:t>
      </w:r>
      <w:r>
        <w:rPr>
          <w:rFonts w:ascii="Courier New" w:hAnsi="Courier New"/>
          <w:spacing w:val="-40"/>
          <w:sz w:val="28"/>
        </w:rPr>
        <w:t> </w:t>
      </w:r>
      <w:r>
        <w:rPr>
          <w:rFonts w:ascii="Courier New" w:hAnsi="Courier New"/>
          <w:sz w:val="28"/>
        </w:rPr>
        <w:t>of</w:t>
      </w:r>
      <w:r>
        <w:rPr>
          <w:rFonts w:ascii="Courier New" w:hAnsi="Courier New"/>
          <w:spacing w:val="-39"/>
          <w:sz w:val="28"/>
        </w:rPr>
        <w:t> </w:t>
      </w:r>
      <w:r>
        <w:rPr>
          <w:rFonts w:ascii="Courier New" w:hAnsi="Courier New"/>
          <w:sz w:val="28"/>
        </w:rPr>
        <w:t>the</w:t>
      </w:r>
      <w:r>
        <w:rPr>
          <w:rFonts w:ascii="Courier New" w:hAnsi="Courier New"/>
          <w:spacing w:val="-42"/>
          <w:sz w:val="28"/>
        </w:rPr>
        <w:t> </w:t>
      </w:r>
      <w:r>
        <w:rPr>
          <w:rFonts w:ascii="Courier New" w:hAnsi="Courier New"/>
          <w:sz w:val="28"/>
        </w:rPr>
        <w:t>plaint,</w:t>
      </w:r>
      <w:r>
        <w:rPr>
          <w:rFonts w:ascii="Courier New" w:hAnsi="Courier New"/>
          <w:spacing w:val="-39"/>
          <w:sz w:val="28"/>
        </w:rPr>
        <w:t> </w:t>
      </w:r>
      <w:r>
        <w:rPr>
          <w:rFonts w:ascii="Courier New" w:hAnsi="Courier New"/>
          <w:sz w:val="28"/>
        </w:rPr>
        <w:t>plaintiff</w:t>
      </w:r>
      <w:r>
        <w:rPr>
          <w:rFonts w:ascii="Courier New" w:hAnsi="Courier New"/>
          <w:spacing w:val="-42"/>
          <w:sz w:val="28"/>
        </w:rPr>
        <w:t> </w:t>
      </w:r>
      <w:r>
        <w:rPr>
          <w:rFonts w:ascii="Courier New" w:hAnsi="Courier New"/>
          <w:sz w:val="28"/>
        </w:rPr>
        <w:t>also</w:t>
      </w:r>
      <w:r>
        <w:rPr>
          <w:rFonts w:ascii="Courier New" w:hAnsi="Courier New"/>
          <w:spacing w:val="-39"/>
          <w:sz w:val="28"/>
        </w:rPr>
        <w:t> </w:t>
      </w:r>
      <w:r>
        <w:rPr>
          <w:rFonts w:ascii="Courier New" w:hAnsi="Courier New"/>
          <w:sz w:val="28"/>
        </w:rPr>
        <w:t>relied on ‘1928 Edition of the Fyzabad Gazetteer published</w:t>
      </w:r>
      <w:r>
        <w:rPr>
          <w:rFonts w:ascii="Courier New" w:hAnsi="Courier New"/>
          <w:spacing w:val="-25"/>
          <w:sz w:val="28"/>
        </w:rPr>
        <w:t> </w:t>
      </w:r>
      <w:r>
        <w:rPr>
          <w:rFonts w:ascii="Courier New" w:hAnsi="Courier New"/>
          <w:sz w:val="28"/>
        </w:rPr>
        <w:t>by the Government Press,</w:t>
      </w:r>
      <w:r>
        <w:rPr>
          <w:rFonts w:ascii="Courier New" w:hAnsi="Courier New"/>
          <w:spacing w:val="-4"/>
          <w:sz w:val="28"/>
        </w:rPr>
        <w:t> </w:t>
      </w:r>
      <w:r>
        <w:rPr>
          <w:rFonts w:ascii="Courier New" w:hAnsi="Courier New"/>
          <w:sz w:val="28"/>
        </w:rPr>
        <w:t>U.P.</w:t>
      </w:r>
    </w:p>
    <w:p>
      <w:pPr>
        <w:spacing w:after="0" w:line="480" w:lineRule="auto"/>
        <w:jc w:val="both"/>
        <w:rPr>
          <w:rFonts w:ascii="Courier New" w:hAnsi="Courier New"/>
          <w:sz w:val="28"/>
        </w:rPr>
        <w:sectPr>
          <w:headerReference w:type="default" r:id="rId224"/>
          <w:footerReference w:type="default" r:id="rId225"/>
          <w:pgSz w:w="11910" w:h="16840"/>
          <w:pgMar w:header="0" w:footer="1063" w:top="1580" w:bottom="1260" w:left="1280" w:right="1280"/>
          <w:pgNumType w:start="8"/>
        </w:sectPr>
      </w:pPr>
    </w:p>
    <w:p>
      <w:pPr>
        <w:pStyle w:val="BodyText"/>
        <w:rPr>
          <w:rFonts w:ascii="Courier New"/>
          <w:sz w:val="20"/>
        </w:rPr>
      </w:pPr>
    </w:p>
    <w:p>
      <w:pPr>
        <w:pStyle w:val="ListParagraph"/>
        <w:numPr>
          <w:ilvl w:val="0"/>
          <w:numId w:val="251"/>
        </w:numPr>
        <w:tabs>
          <w:tab w:pos="832" w:val="left" w:leader="none"/>
        </w:tabs>
        <w:spacing w:line="480" w:lineRule="auto" w:before="253" w:after="0"/>
        <w:ind w:left="160" w:right="111" w:firstLine="0"/>
        <w:jc w:val="both"/>
        <w:rPr>
          <w:rFonts w:ascii="Courier New"/>
          <w:sz w:val="28"/>
        </w:rPr>
      </w:pPr>
      <w:r>
        <w:rPr>
          <w:rFonts w:ascii="Courier New"/>
          <w:sz w:val="28"/>
        </w:rPr>
        <w:t>It was further pleaded that disputed structure was raised on the land belonging to the plaintiff-Deity after</w:t>
      </w:r>
      <w:r>
        <w:rPr>
          <w:rFonts w:ascii="Courier New"/>
          <w:spacing w:val="-28"/>
          <w:sz w:val="28"/>
        </w:rPr>
        <w:t> </w:t>
      </w:r>
      <w:r>
        <w:rPr>
          <w:rFonts w:ascii="Courier New"/>
          <w:sz w:val="28"/>
        </w:rPr>
        <w:t>destroying</w:t>
      </w:r>
      <w:r>
        <w:rPr>
          <w:rFonts w:ascii="Courier New"/>
          <w:spacing w:val="-27"/>
          <w:sz w:val="28"/>
        </w:rPr>
        <w:t> </w:t>
      </w:r>
      <w:r>
        <w:rPr>
          <w:rFonts w:ascii="Courier New"/>
          <w:sz w:val="28"/>
        </w:rPr>
        <w:t>the</w:t>
      </w:r>
      <w:r>
        <w:rPr>
          <w:rFonts w:ascii="Courier New"/>
          <w:spacing w:val="-28"/>
          <w:sz w:val="28"/>
        </w:rPr>
        <w:t> </w:t>
      </w:r>
      <w:r>
        <w:rPr>
          <w:rFonts w:ascii="Courier New"/>
          <w:sz w:val="28"/>
        </w:rPr>
        <w:t>temple</w:t>
      </w:r>
      <w:r>
        <w:rPr>
          <w:rFonts w:ascii="Courier New"/>
          <w:spacing w:val="-27"/>
          <w:sz w:val="28"/>
        </w:rPr>
        <w:t> </w:t>
      </w:r>
      <w:r>
        <w:rPr>
          <w:rFonts w:ascii="Courier New"/>
          <w:sz w:val="28"/>
        </w:rPr>
        <w:t>situate</w:t>
      </w:r>
      <w:r>
        <w:rPr>
          <w:rFonts w:ascii="Courier New"/>
          <w:spacing w:val="-27"/>
          <w:sz w:val="28"/>
        </w:rPr>
        <w:t> </w:t>
      </w:r>
      <w:r>
        <w:rPr>
          <w:rFonts w:ascii="Courier New"/>
          <w:sz w:val="28"/>
        </w:rPr>
        <w:t>there.</w:t>
      </w:r>
      <w:r>
        <w:rPr>
          <w:rFonts w:ascii="Courier New"/>
          <w:spacing w:val="-28"/>
          <w:sz w:val="28"/>
        </w:rPr>
        <w:t> </w:t>
      </w:r>
      <w:r>
        <w:rPr>
          <w:rFonts w:ascii="Courier New"/>
          <w:sz w:val="28"/>
        </w:rPr>
        <w:t>In</w:t>
      </w:r>
      <w:r>
        <w:rPr>
          <w:rFonts w:ascii="Courier New"/>
          <w:spacing w:val="-27"/>
          <w:sz w:val="28"/>
        </w:rPr>
        <w:t> </w:t>
      </w:r>
      <w:r>
        <w:rPr>
          <w:rFonts w:ascii="Courier New"/>
          <w:sz w:val="28"/>
        </w:rPr>
        <w:t>paragraph 24(C),</w:t>
      </w:r>
      <w:r>
        <w:rPr>
          <w:rFonts w:ascii="Courier New"/>
          <w:spacing w:val="-20"/>
          <w:sz w:val="28"/>
        </w:rPr>
        <w:t> </w:t>
      </w:r>
      <w:r>
        <w:rPr>
          <w:rFonts w:ascii="Courier New"/>
          <w:sz w:val="28"/>
        </w:rPr>
        <w:t>it</w:t>
      </w:r>
      <w:r>
        <w:rPr>
          <w:rFonts w:ascii="Courier New"/>
          <w:spacing w:val="-19"/>
          <w:sz w:val="28"/>
        </w:rPr>
        <w:t> </w:t>
      </w:r>
      <w:r>
        <w:rPr>
          <w:rFonts w:ascii="Courier New"/>
          <w:sz w:val="28"/>
        </w:rPr>
        <w:t>was</w:t>
      </w:r>
      <w:r>
        <w:rPr>
          <w:rFonts w:ascii="Courier New"/>
          <w:spacing w:val="-20"/>
          <w:sz w:val="28"/>
        </w:rPr>
        <w:t> </w:t>
      </w:r>
      <w:r>
        <w:rPr>
          <w:rFonts w:ascii="Courier New"/>
          <w:sz w:val="28"/>
        </w:rPr>
        <w:t>further</w:t>
      </w:r>
      <w:r>
        <w:rPr>
          <w:rFonts w:ascii="Courier New"/>
          <w:spacing w:val="-19"/>
          <w:sz w:val="28"/>
        </w:rPr>
        <w:t> </w:t>
      </w:r>
      <w:r>
        <w:rPr>
          <w:rFonts w:ascii="Courier New"/>
          <w:sz w:val="28"/>
        </w:rPr>
        <w:t>pleaded</w:t>
      </w:r>
      <w:r>
        <w:rPr>
          <w:rFonts w:ascii="Courier New"/>
          <w:spacing w:val="-20"/>
          <w:sz w:val="28"/>
        </w:rPr>
        <w:t> </w:t>
      </w:r>
      <w:r>
        <w:rPr>
          <w:rFonts w:ascii="Courier New"/>
          <w:sz w:val="28"/>
        </w:rPr>
        <w:t>that</w:t>
      </w:r>
      <w:r>
        <w:rPr>
          <w:rFonts w:ascii="Courier New"/>
          <w:spacing w:val="-19"/>
          <w:sz w:val="28"/>
        </w:rPr>
        <w:t> </w:t>
      </w:r>
      <w:r>
        <w:rPr>
          <w:rFonts w:ascii="Courier New"/>
          <w:sz w:val="28"/>
        </w:rPr>
        <w:t>in</w:t>
      </w:r>
      <w:r>
        <w:rPr>
          <w:rFonts w:ascii="Courier New"/>
          <w:spacing w:val="-20"/>
          <w:sz w:val="28"/>
        </w:rPr>
        <w:t> </w:t>
      </w:r>
      <w:r>
        <w:rPr>
          <w:rFonts w:ascii="Courier New"/>
          <w:sz w:val="28"/>
        </w:rPr>
        <w:t>spite</w:t>
      </w:r>
      <w:r>
        <w:rPr>
          <w:rFonts w:ascii="Courier New"/>
          <w:spacing w:val="-19"/>
          <w:sz w:val="28"/>
        </w:rPr>
        <w:t> </w:t>
      </w:r>
      <w:r>
        <w:rPr>
          <w:rFonts w:ascii="Courier New"/>
          <w:sz w:val="28"/>
        </w:rPr>
        <w:t>of</w:t>
      </w:r>
      <w:r>
        <w:rPr>
          <w:rFonts w:ascii="Courier New"/>
          <w:spacing w:val="-19"/>
          <w:sz w:val="28"/>
        </w:rPr>
        <w:t> </w:t>
      </w:r>
      <w:r>
        <w:rPr>
          <w:rFonts w:ascii="Courier New"/>
          <w:sz w:val="28"/>
        </w:rPr>
        <w:t>all</w:t>
      </w:r>
      <w:r>
        <w:rPr>
          <w:rFonts w:ascii="Courier New"/>
          <w:spacing w:val="-20"/>
          <w:sz w:val="28"/>
        </w:rPr>
        <w:t> </w:t>
      </w:r>
      <w:r>
        <w:rPr>
          <w:rFonts w:ascii="Courier New"/>
          <w:sz w:val="28"/>
        </w:rPr>
        <w:t>that Mir Baqi tried to do with the Temple, the land always continued to vest in the Plaintiff-Deities. Paragraph 24(C) is as</w:t>
      </w:r>
      <w:r>
        <w:rPr>
          <w:rFonts w:ascii="Courier New"/>
          <w:spacing w:val="-4"/>
          <w:sz w:val="28"/>
        </w:rPr>
        <w:t> </w:t>
      </w:r>
      <w:r>
        <w:rPr>
          <w:rFonts w:ascii="Courier New"/>
          <w:sz w:val="28"/>
        </w:rPr>
        <w:t>follows:</w:t>
      </w:r>
    </w:p>
    <w:p>
      <w:pPr>
        <w:spacing w:line="240" w:lineRule="auto" w:before="2"/>
        <w:ind w:left="1011" w:right="961" w:firstLine="0"/>
        <w:jc w:val="both"/>
        <w:rPr>
          <w:rFonts w:ascii="Courier New" w:hAnsi="Courier New"/>
          <w:sz w:val="28"/>
        </w:rPr>
      </w:pPr>
      <w:r>
        <w:rPr>
          <w:rFonts w:ascii="Courier New" w:hAnsi="Courier New"/>
          <w:sz w:val="28"/>
        </w:rPr>
        <w:t>“24(C) That in spite of all that Mir Baqi tried to do with the Temple, the land</w:t>
      </w:r>
      <w:r>
        <w:rPr>
          <w:rFonts w:ascii="Courier New" w:hAnsi="Courier New"/>
          <w:spacing w:val="-36"/>
          <w:sz w:val="28"/>
        </w:rPr>
        <w:t> </w:t>
      </w:r>
      <w:r>
        <w:rPr>
          <w:rFonts w:ascii="Courier New" w:hAnsi="Courier New"/>
          <w:sz w:val="28"/>
        </w:rPr>
        <w:t>always continued to vest in the Plaintiff Deities, and they never surrendered their possession over it. Their possession continued in fact and in law. The ASTHAN never went out of</w:t>
      </w:r>
      <w:r>
        <w:rPr>
          <w:rFonts w:ascii="Courier New" w:hAnsi="Courier New"/>
          <w:spacing w:val="-34"/>
          <w:sz w:val="28"/>
        </w:rPr>
        <w:t> </w:t>
      </w:r>
      <w:r>
        <w:rPr>
          <w:rFonts w:ascii="Courier New" w:hAnsi="Courier New"/>
          <w:sz w:val="28"/>
        </w:rPr>
        <w:t>the possession of the Deity and HIS</w:t>
      </w:r>
      <w:r>
        <w:rPr>
          <w:rFonts w:ascii="Courier New" w:hAnsi="Courier New"/>
          <w:spacing w:val="-36"/>
          <w:sz w:val="28"/>
        </w:rPr>
        <w:t> </w:t>
      </w:r>
      <w:r>
        <w:rPr>
          <w:rFonts w:ascii="Courier New" w:hAnsi="Courier New"/>
          <w:sz w:val="28"/>
        </w:rPr>
        <w:t>worshippers. They continued to worship HIM through such symbols</w:t>
      </w:r>
      <w:r>
        <w:rPr>
          <w:rFonts w:ascii="Courier New" w:hAnsi="Courier New"/>
          <w:spacing w:val="-26"/>
          <w:sz w:val="28"/>
        </w:rPr>
        <w:t> </w:t>
      </w:r>
      <w:r>
        <w:rPr>
          <w:rFonts w:ascii="Courier New" w:hAnsi="Courier New"/>
          <w:sz w:val="28"/>
        </w:rPr>
        <w:t>as</w:t>
      </w:r>
      <w:r>
        <w:rPr>
          <w:rFonts w:ascii="Courier New" w:hAnsi="Courier New"/>
          <w:spacing w:val="-26"/>
          <w:sz w:val="28"/>
        </w:rPr>
        <w:t> </w:t>
      </w:r>
      <w:r>
        <w:rPr>
          <w:rFonts w:ascii="Courier New" w:hAnsi="Courier New"/>
          <w:sz w:val="28"/>
        </w:rPr>
        <w:t>the</w:t>
      </w:r>
      <w:r>
        <w:rPr>
          <w:rFonts w:ascii="Courier New" w:hAnsi="Courier New"/>
          <w:spacing w:val="-24"/>
          <w:sz w:val="28"/>
        </w:rPr>
        <w:t> </w:t>
      </w:r>
      <w:r>
        <w:rPr>
          <w:rFonts w:ascii="Courier New" w:hAnsi="Courier New"/>
          <w:sz w:val="28"/>
        </w:rPr>
        <w:t>CHARAN</w:t>
      </w:r>
      <w:r>
        <w:rPr>
          <w:rFonts w:ascii="Courier New" w:hAnsi="Courier New"/>
          <w:spacing w:val="-26"/>
          <w:sz w:val="28"/>
        </w:rPr>
        <w:t> </w:t>
      </w:r>
      <w:r>
        <w:rPr>
          <w:rFonts w:ascii="Courier New" w:hAnsi="Courier New"/>
          <w:sz w:val="28"/>
        </w:rPr>
        <w:t>and</w:t>
      </w:r>
      <w:r>
        <w:rPr>
          <w:rFonts w:ascii="Courier New" w:hAnsi="Courier New"/>
          <w:spacing w:val="-26"/>
          <w:sz w:val="28"/>
        </w:rPr>
        <w:t> </w:t>
      </w:r>
      <w:r>
        <w:rPr>
          <w:rFonts w:ascii="Courier New" w:hAnsi="Courier New"/>
          <w:sz w:val="28"/>
        </w:rPr>
        <w:t>SITA</w:t>
      </w:r>
      <w:r>
        <w:rPr>
          <w:rFonts w:ascii="Courier New" w:hAnsi="Courier New"/>
          <w:spacing w:val="-26"/>
          <w:sz w:val="28"/>
        </w:rPr>
        <w:t> </w:t>
      </w:r>
      <w:r>
        <w:rPr>
          <w:rFonts w:ascii="Courier New" w:hAnsi="Courier New"/>
          <w:sz w:val="28"/>
        </w:rPr>
        <w:t>RASOI,</w:t>
      </w:r>
      <w:r>
        <w:rPr>
          <w:rFonts w:ascii="Courier New" w:hAnsi="Courier New"/>
          <w:spacing w:val="-26"/>
          <w:sz w:val="28"/>
        </w:rPr>
        <w:t> </w:t>
      </w:r>
      <w:r>
        <w:rPr>
          <w:rFonts w:ascii="Courier New" w:hAnsi="Courier New"/>
          <w:sz w:val="28"/>
        </w:rPr>
        <w:t>and</w:t>
      </w:r>
      <w:r>
        <w:rPr>
          <w:rFonts w:ascii="Courier New" w:hAnsi="Courier New"/>
          <w:spacing w:val="-26"/>
          <w:sz w:val="28"/>
        </w:rPr>
        <w:t> </w:t>
      </w:r>
      <w:r>
        <w:rPr>
          <w:rFonts w:ascii="Courier New" w:hAnsi="Courier New"/>
          <w:sz w:val="28"/>
        </w:rPr>
        <w:t>the idol</w:t>
      </w:r>
      <w:r>
        <w:rPr>
          <w:rFonts w:ascii="Courier New" w:hAnsi="Courier New"/>
          <w:spacing w:val="-26"/>
          <w:sz w:val="28"/>
        </w:rPr>
        <w:t> </w:t>
      </w:r>
      <w:r>
        <w:rPr>
          <w:rFonts w:ascii="Courier New" w:hAnsi="Courier New"/>
          <w:sz w:val="28"/>
        </w:rPr>
        <w:t>of</w:t>
      </w:r>
      <w:r>
        <w:rPr>
          <w:rFonts w:ascii="Courier New" w:hAnsi="Courier New"/>
          <w:spacing w:val="-26"/>
          <w:sz w:val="28"/>
        </w:rPr>
        <w:t> </w:t>
      </w:r>
      <w:r>
        <w:rPr>
          <w:rFonts w:ascii="Courier New" w:hAnsi="Courier New"/>
          <w:sz w:val="28"/>
        </w:rPr>
        <w:t>BHAGWAN</w:t>
      </w:r>
      <w:r>
        <w:rPr>
          <w:rFonts w:ascii="Courier New" w:hAnsi="Courier New"/>
          <w:spacing w:val="-26"/>
          <w:sz w:val="28"/>
        </w:rPr>
        <w:t> </w:t>
      </w:r>
      <w:r>
        <w:rPr>
          <w:rFonts w:ascii="Courier New" w:hAnsi="Courier New"/>
          <w:sz w:val="28"/>
        </w:rPr>
        <w:t>SRI</w:t>
      </w:r>
      <w:r>
        <w:rPr>
          <w:rFonts w:ascii="Courier New" w:hAnsi="Courier New"/>
          <w:spacing w:val="-26"/>
          <w:sz w:val="28"/>
        </w:rPr>
        <w:t> </w:t>
      </w:r>
      <w:r>
        <w:rPr>
          <w:rFonts w:ascii="Courier New" w:hAnsi="Courier New"/>
          <w:sz w:val="28"/>
        </w:rPr>
        <w:t>RAM</w:t>
      </w:r>
      <w:r>
        <w:rPr>
          <w:rFonts w:ascii="Courier New" w:hAnsi="Courier New"/>
          <w:spacing w:val="-26"/>
          <w:sz w:val="28"/>
        </w:rPr>
        <w:t> </w:t>
      </w:r>
      <w:r>
        <w:rPr>
          <w:rFonts w:ascii="Courier New" w:hAnsi="Courier New"/>
          <w:sz w:val="28"/>
        </w:rPr>
        <w:t>LALLA</w:t>
      </w:r>
      <w:r>
        <w:rPr>
          <w:rFonts w:ascii="Courier New" w:hAnsi="Courier New"/>
          <w:spacing w:val="-24"/>
          <w:sz w:val="28"/>
        </w:rPr>
        <w:t> </w:t>
      </w:r>
      <w:r>
        <w:rPr>
          <w:rFonts w:ascii="Courier New" w:hAnsi="Courier New"/>
          <w:sz w:val="28"/>
        </w:rPr>
        <w:t>VIRAJMAN</w:t>
      </w:r>
      <w:r>
        <w:rPr>
          <w:rFonts w:ascii="Courier New" w:hAnsi="Courier New"/>
          <w:spacing w:val="-26"/>
          <w:sz w:val="28"/>
        </w:rPr>
        <w:t> </w:t>
      </w:r>
      <w:r>
        <w:rPr>
          <w:rFonts w:ascii="Courier New" w:hAnsi="Courier New"/>
          <w:sz w:val="28"/>
        </w:rPr>
        <w:t>on</w:t>
      </w:r>
      <w:r>
        <w:rPr>
          <w:rFonts w:ascii="Courier New" w:hAnsi="Courier New"/>
          <w:spacing w:val="-26"/>
          <w:sz w:val="28"/>
        </w:rPr>
        <w:t> </w:t>
      </w:r>
      <w:r>
        <w:rPr>
          <w:rFonts w:ascii="Courier New" w:hAnsi="Courier New"/>
          <w:sz w:val="28"/>
        </w:rPr>
        <w:t>the</w:t>
      </w:r>
    </w:p>
    <w:p>
      <w:pPr>
        <w:spacing w:line="240" w:lineRule="auto" w:before="0"/>
        <w:ind w:left="1011" w:right="962" w:firstLine="0"/>
        <w:jc w:val="both"/>
        <w:rPr>
          <w:rFonts w:ascii="Courier New" w:hAnsi="Courier New"/>
          <w:sz w:val="28"/>
        </w:rPr>
      </w:pPr>
      <w:r>
        <w:rPr>
          <w:rFonts w:ascii="Courier New" w:hAnsi="Courier New"/>
          <w:sz w:val="28"/>
        </w:rPr>
        <w:t>Chabutra, called the </w:t>
      </w:r>
      <w:r>
        <w:rPr>
          <w:rFonts w:ascii="Courier New" w:hAnsi="Courier New"/>
          <w:sz w:val="28"/>
          <w:u w:val="single"/>
        </w:rPr>
        <w:t>Rama Chabutra</w:t>
      </w:r>
      <w:r>
        <w:rPr>
          <w:rFonts w:ascii="Courier New" w:hAnsi="Courier New"/>
          <w:sz w:val="28"/>
        </w:rPr>
        <w:t>, within the enclosed courtyard of the building directly in front of the arched opening of its Southern dome. No one could enter the building except after passing through there can be no Idol worship within the courtyard of</w:t>
      </w:r>
      <w:r>
        <w:rPr>
          <w:rFonts w:ascii="Courier New" w:hAnsi="Courier New"/>
          <w:spacing w:val="-24"/>
          <w:sz w:val="28"/>
        </w:rPr>
        <w:t> </w:t>
      </w:r>
      <w:r>
        <w:rPr>
          <w:rFonts w:ascii="Courier New" w:hAnsi="Courier New"/>
          <w:sz w:val="28"/>
        </w:rPr>
        <w:t>a</w:t>
      </w:r>
      <w:r>
        <w:rPr>
          <w:rFonts w:ascii="Courier New" w:hAnsi="Courier New"/>
          <w:spacing w:val="-24"/>
          <w:sz w:val="28"/>
        </w:rPr>
        <w:t> </w:t>
      </w:r>
      <w:r>
        <w:rPr>
          <w:rFonts w:ascii="Courier New" w:hAnsi="Courier New"/>
          <w:sz w:val="28"/>
        </w:rPr>
        <w:t>mosque,</w:t>
      </w:r>
      <w:r>
        <w:rPr>
          <w:rFonts w:ascii="Courier New" w:hAnsi="Courier New"/>
          <w:spacing w:val="-24"/>
          <w:sz w:val="28"/>
        </w:rPr>
        <w:t> </w:t>
      </w:r>
      <w:r>
        <w:rPr>
          <w:rFonts w:ascii="Courier New" w:hAnsi="Courier New"/>
          <w:sz w:val="28"/>
        </w:rPr>
        <w:t>and</w:t>
      </w:r>
      <w:r>
        <w:rPr>
          <w:rFonts w:ascii="Courier New" w:hAnsi="Courier New"/>
          <w:spacing w:val="-23"/>
          <w:sz w:val="28"/>
        </w:rPr>
        <w:t> </w:t>
      </w:r>
      <w:r>
        <w:rPr>
          <w:rFonts w:ascii="Courier New" w:hAnsi="Courier New"/>
          <w:sz w:val="28"/>
        </w:rPr>
        <w:t>the</w:t>
      </w:r>
      <w:r>
        <w:rPr>
          <w:rFonts w:ascii="Courier New" w:hAnsi="Courier New"/>
          <w:spacing w:val="-24"/>
          <w:sz w:val="28"/>
        </w:rPr>
        <w:t> </w:t>
      </w:r>
      <w:r>
        <w:rPr>
          <w:rFonts w:ascii="Courier New" w:hAnsi="Courier New"/>
          <w:sz w:val="28"/>
        </w:rPr>
        <w:t>passage</w:t>
      </w:r>
      <w:r>
        <w:rPr>
          <w:rFonts w:ascii="Courier New" w:hAnsi="Courier New"/>
          <w:spacing w:val="-21"/>
          <w:sz w:val="28"/>
        </w:rPr>
        <w:t> </w:t>
      </w:r>
      <w:r>
        <w:rPr>
          <w:rFonts w:ascii="Courier New" w:hAnsi="Courier New"/>
          <w:sz w:val="28"/>
        </w:rPr>
        <w:t>to</w:t>
      </w:r>
      <w:r>
        <w:rPr>
          <w:rFonts w:ascii="Courier New" w:hAnsi="Courier New"/>
          <w:spacing w:val="-24"/>
          <w:sz w:val="28"/>
        </w:rPr>
        <w:t> </w:t>
      </w:r>
      <w:r>
        <w:rPr>
          <w:rFonts w:ascii="Courier New" w:hAnsi="Courier New"/>
          <w:sz w:val="28"/>
        </w:rPr>
        <w:t>a</w:t>
      </w:r>
      <w:r>
        <w:rPr>
          <w:rFonts w:ascii="Courier New" w:hAnsi="Courier New"/>
          <w:spacing w:val="-23"/>
          <w:sz w:val="28"/>
        </w:rPr>
        <w:t> </w:t>
      </w:r>
      <w:r>
        <w:rPr>
          <w:rFonts w:ascii="Courier New" w:hAnsi="Courier New"/>
          <w:sz w:val="28"/>
        </w:rPr>
        <w:t>mosque</w:t>
      </w:r>
      <w:r>
        <w:rPr>
          <w:rFonts w:ascii="Courier New" w:hAnsi="Courier New"/>
          <w:spacing w:val="-21"/>
          <w:sz w:val="28"/>
        </w:rPr>
        <w:t> </w:t>
      </w:r>
      <w:r>
        <w:rPr>
          <w:rFonts w:ascii="Courier New" w:hAnsi="Courier New"/>
          <w:sz w:val="28"/>
        </w:rPr>
        <w:t>must be free and unobstructed and open at all times to the ’Faithful’. It can never be through Hindu place of worship. There can</w:t>
      </w:r>
      <w:r>
        <w:rPr>
          <w:rFonts w:ascii="Courier New" w:hAnsi="Courier New"/>
          <w:spacing w:val="-35"/>
          <w:sz w:val="28"/>
        </w:rPr>
        <w:t> </w:t>
      </w:r>
      <w:r>
        <w:rPr>
          <w:rFonts w:ascii="Courier New" w:hAnsi="Courier New"/>
          <w:sz w:val="28"/>
        </w:rPr>
        <w:t>be no co-sharing of title or possession with ALLAH</w:t>
      </w:r>
      <w:r>
        <w:rPr>
          <w:rFonts w:ascii="Courier New" w:hAnsi="Courier New"/>
          <w:spacing w:val="-26"/>
          <w:sz w:val="28"/>
        </w:rPr>
        <w:t> </w:t>
      </w:r>
      <w:r>
        <w:rPr>
          <w:rFonts w:ascii="Courier New" w:hAnsi="Courier New"/>
          <w:sz w:val="28"/>
        </w:rPr>
        <w:t>in</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case</w:t>
      </w:r>
      <w:r>
        <w:rPr>
          <w:rFonts w:ascii="Courier New" w:hAnsi="Courier New"/>
          <w:spacing w:val="-26"/>
          <w:sz w:val="28"/>
        </w:rPr>
        <w:t> </w:t>
      </w:r>
      <w:r>
        <w:rPr>
          <w:rFonts w:ascii="Courier New" w:hAnsi="Courier New"/>
          <w:sz w:val="28"/>
        </w:rPr>
        <w:t>of</w:t>
      </w:r>
      <w:r>
        <w:rPr>
          <w:rFonts w:ascii="Courier New" w:hAnsi="Courier New"/>
          <w:spacing w:val="-26"/>
          <w:sz w:val="28"/>
        </w:rPr>
        <w:t> </w:t>
      </w:r>
      <w:r>
        <w:rPr>
          <w:rFonts w:ascii="Courier New" w:hAnsi="Courier New"/>
          <w:sz w:val="28"/>
        </w:rPr>
        <w:t>a</w:t>
      </w:r>
      <w:r>
        <w:rPr>
          <w:rFonts w:ascii="Courier New" w:hAnsi="Courier New"/>
          <w:spacing w:val="-26"/>
          <w:sz w:val="28"/>
        </w:rPr>
        <w:t> </w:t>
      </w:r>
      <w:r>
        <w:rPr>
          <w:rFonts w:ascii="Courier New" w:hAnsi="Courier New"/>
          <w:sz w:val="28"/>
        </w:rPr>
        <w:t>mosque.</w:t>
      </w:r>
      <w:r>
        <w:rPr>
          <w:rFonts w:ascii="Courier New" w:hAnsi="Courier New"/>
          <w:spacing w:val="-24"/>
          <w:sz w:val="28"/>
        </w:rPr>
        <w:t> </w:t>
      </w:r>
      <w:r>
        <w:rPr>
          <w:rFonts w:ascii="Courier New" w:hAnsi="Courier New"/>
          <w:sz w:val="28"/>
        </w:rPr>
        <w:t>His</w:t>
      </w:r>
      <w:r>
        <w:rPr>
          <w:rFonts w:ascii="Courier New" w:hAnsi="Courier New"/>
          <w:spacing w:val="-26"/>
          <w:sz w:val="28"/>
        </w:rPr>
        <w:t> </w:t>
      </w:r>
      <w:r>
        <w:rPr>
          <w:rFonts w:ascii="Courier New" w:hAnsi="Courier New"/>
          <w:sz w:val="28"/>
        </w:rPr>
        <w:t>possession must be</w:t>
      </w:r>
      <w:r>
        <w:rPr>
          <w:rFonts w:ascii="Courier New" w:hAnsi="Courier New"/>
          <w:spacing w:val="-3"/>
          <w:sz w:val="28"/>
        </w:rPr>
        <w:t> </w:t>
      </w:r>
      <w:r>
        <w:rPr>
          <w:rFonts w:ascii="Courier New" w:hAnsi="Courier New"/>
          <w:sz w:val="28"/>
        </w:rPr>
        <w:t>exclusive.”</w:t>
      </w:r>
    </w:p>
    <w:p>
      <w:pPr>
        <w:spacing w:after="0" w:line="240" w:lineRule="auto"/>
        <w:jc w:val="both"/>
        <w:rPr>
          <w:rFonts w:ascii="Courier New" w:hAnsi="Courier New"/>
          <w:sz w:val="28"/>
        </w:rPr>
        <w:sectPr>
          <w:headerReference w:type="default" r:id="rId226"/>
          <w:footerReference w:type="default" r:id="rId227"/>
          <w:pgSz w:w="11910" w:h="16840"/>
          <w:pgMar w:header="0" w:footer="1063" w:top="1580" w:bottom="1260" w:left="1280" w:right="1280"/>
          <w:pgNumType w:start="9"/>
        </w:sectPr>
      </w:pPr>
    </w:p>
    <w:p>
      <w:pPr>
        <w:pStyle w:val="ListParagraph"/>
        <w:numPr>
          <w:ilvl w:val="0"/>
          <w:numId w:val="251"/>
        </w:numPr>
        <w:tabs>
          <w:tab w:pos="832" w:val="left" w:leader="none"/>
        </w:tabs>
        <w:spacing w:line="480" w:lineRule="auto" w:before="86" w:after="0"/>
        <w:ind w:left="160" w:right="113" w:firstLine="0"/>
        <w:jc w:val="both"/>
        <w:rPr>
          <w:rFonts w:ascii="Courier New"/>
          <w:sz w:val="28"/>
        </w:rPr>
      </w:pPr>
      <w:r>
        <w:rPr>
          <w:rFonts w:ascii="Courier New"/>
          <w:sz w:val="28"/>
        </w:rPr>
        <w:t>In paragraph 25 it was pleaded that worship of the Plaintiff-Deities has continued since ever throughout the ages at Sri Ram Janma Bhumi. The place belongs to the Deities. No valid Waqf was ever created or could have been created at the place or any part of it, in view of the title and possession of the Plaintiff- Deities</w:t>
      </w:r>
      <w:r>
        <w:rPr>
          <w:rFonts w:ascii="Courier New"/>
          <w:spacing w:val="-2"/>
          <w:sz w:val="28"/>
        </w:rPr>
        <w:t> </w:t>
      </w:r>
      <w:r>
        <w:rPr>
          <w:rFonts w:ascii="Courier New"/>
          <w:sz w:val="28"/>
        </w:rPr>
        <w:t>thereon.</w:t>
      </w:r>
    </w:p>
    <w:p>
      <w:pPr>
        <w:pStyle w:val="BodyText"/>
        <w:spacing w:before="9"/>
        <w:rPr>
          <w:rFonts w:ascii="Courier New"/>
          <w:sz w:val="27"/>
        </w:rPr>
      </w:pPr>
    </w:p>
    <w:p>
      <w:pPr>
        <w:pStyle w:val="ListParagraph"/>
        <w:numPr>
          <w:ilvl w:val="0"/>
          <w:numId w:val="251"/>
        </w:numPr>
        <w:tabs>
          <w:tab w:pos="928" w:val="left" w:leader="none"/>
        </w:tabs>
        <w:spacing w:line="480" w:lineRule="auto" w:before="1" w:after="0"/>
        <w:ind w:left="160" w:right="116" w:firstLine="0"/>
        <w:jc w:val="both"/>
        <w:rPr>
          <w:rFonts w:ascii="Courier New"/>
          <w:sz w:val="28"/>
        </w:rPr>
      </w:pPr>
      <w:r>
        <w:rPr>
          <w:rFonts w:ascii="Courier New"/>
          <w:sz w:val="28"/>
        </w:rPr>
        <w:t>Defendant No.3, Nirmohi Akhara filed a written statement wherein denying paragraphs 19 and 20 following was</w:t>
      </w:r>
      <w:r>
        <w:rPr>
          <w:rFonts w:ascii="Courier New"/>
          <w:spacing w:val="-3"/>
          <w:sz w:val="28"/>
        </w:rPr>
        <w:t> </w:t>
      </w:r>
      <w:r>
        <w:rPr>
          <w:rFonts w:ascii="Courier New"/>
          <w:sz w:val="28"/>
        </w:rPr>
        <w:t>pleaded:</w:t>
      </w:r>
    </w:p>
    <w:p>
      <w:pPr>
        <w:spacing w:line="240" w:lineRule="auto" w:before="0"/>
        <w:ind w:left="1011" w:right="960" w:firstLine="0"/>
        <w:jc w:val="both"/>
        <w:rPr>
          <w:rFonts w:ascii="Courier New" w:hAnsi="Courier New"/>
          <w:sz w:val="28"/>
        </w:rPr>
      </w:pPr>
      <w:r>
        <w:rPr>
          <w:rFonts w:ascii="Courier New" w:hAnsi="Courier New"/>
          <w:sz w:val="28"/>
        </w:rPr>
        <w:t>“19. That the contents of para-19 need no reply except that though the birth place of Bhagwan Ram is place where the temple known as Ram Janma Bhumi Temple is constructed</w:t>
      </w:r>
      <w:r>
        <w:rPr>
          <w:rFonts w:ascii="Courier New" w:hAnsi="Courier New"/>
          <w:spacing w:val="-35"/>
          <w:sz w:val="28"/>
        </w:rPr>
        <w:t> </w:t>
      </w:r>
      <w:r>
        <w:rPr>
          <w:rFonts w:ascii="Courier New" w:hAnsi="Courier New"/>
          <w:sz w:val="28"/>
        </w:rPr>
        <w:t>but the dispute is not regarding the place of birth of Lord Rama but regarding the Temple known as Tample Shri Ram Janma Bhumi. The belief that Lord Ram is the son of Raja Dashrath of solar Dynasty is not</w:t>
      </w:r>
      <w:r>
        <w:rPr>
          <w:rFonts w:ascii="Courier New" w:hAnsi="Courier New"/>
          <w:spacing w:val="-17"/>
          <w:sz w:val="28"/>
        </w:rPr>
        <w:t> </w:t>
      </w:r>
      <w:r>
        <w:rPr>
          <w:rFonts w:ascii="Courier New" w:hAnsi="Courier New"/>
          <w:sz w:val="28"/>
        </w:rPr>
        <w:t>disputed.</w:t>
      </w:r>
    </w:p>
    <w:p>
      <w:pPr>
        <w:pStyle w:val="BodyText"/>
        <w:rPr>
          <w:rFonts w:ascii="Courier New"/>
          <w:sz w:val="28"/>
        </w:rPr>
      </w:pPr>
    </w:p>
    <w:p>
      <w:pPr>
        <w:spacing w:line="240" w:lineRule="auto" w:before="0"/>
        <w:ind w:left="1011" w:right="961" w:firstLine="566"/>
        <w:jc w:val="both"/>
        <w:rPr>
          <w:rFonts w:ascii="Courier New" w:hAnsi="Courier New"/>
          <w:sz w:val="28"/>
        </w:rPr>
      </w:pPr>
      <w:r>
        <w:rPr>
          <w:rFonts w:ascii="Courier New" w:hAnsi="Courier New"/>
          <w:sz w:val="28"/>
        </w:rPr>
        <w:t>20. That the contents of para-20 of the plaint are denied. They are products of imagination of the so called Next Friend of the plaintiffs 1 and 2. The plaintiffs studiously avoid to mention the subject of dispute as the Ram Janma Bhumi Temple for whose delivery of charge and management the Nirmohi Akhara has filed the suit No.26 of 1959 and maliciously uses the phrase Asthan Sri</w:t>
      </w:r>
      <w:r>
        <w:rPr>
          <w:rFonts w:ascii="Courier New" w:hAnsi="Courier New"/>
          <w:spacing w:val="-30"/>
          <w:sz w:val="28"/>
        </w:rPr>
        <w:t> </w:t>
      </w:r>
      <w:r>
        <w:rPr>
          <w:rFonts w:ascii="Courier New" w:hAnsi="Courier New"/>
          <w:sz w:val="28"/>
        </w:rPr>
        <w:t>Ram</w:t>
      </w:r>
      <w:r>
        <w:rPr>
          <w:rFonts w:ascii="Courier New" w:hAnsi="Courier New"/>
          <w:spacing w:val="-30"/>
          <w:sz w:val="28"/>
        </w:rPr>
        <w:t> </w:t>
      </w:r>
      <w:r>
        <w:rPr>
          <w:rFonts w:ascii="Courier New" w:hAnsi="Courier New"/>
          <w:sz w:val="28"/>
        </w:rPr>
        <w:t>Janma</w:t>
      </w:r>
      <w:r>
        <w:rPr>
          <w:rFonts w:ascii="Courier New" w:hAnsi="Courier New"/>
          <w:spacing w:val="-30"/>
          <w:sz w:val="28"/>
        </w:rPr>
        <w:t> </w:t>
      </w:r>
      <w:r>
        <w:rPr>
          <w:rFonts w:ascii="Courier New" w:hAnsi="Courier New"/>
          <w:sz w:val="28"/>
        </w:rPr>
        <w:t>Bhumi</w:t>
      </w:r>
      <w:r>
        <w:rPr>
          <w:rFonts w:ascii="Courier New" w:hAnsi="Courier New"/>
          <w:spacing w:val="-30"/>
          <w:sz w:val="28"/>
        </w:rPr>
        <w:t> </w:t>
      </w:r>
      <w:r>
        <w:rPr>
          <w:rFonts w:ascii="Courier New" w:hAnsi="Courier New"/>
          <w:sz w:val="28"/>
        </w:rPr>
        <w:t>which</w:t>
      </w:r>
      <w:r>
        <w:rPr>
          <w:rFonts w:ascii="Courier New" w:hAnsi="Courier New"/>
          <w:spacing w:val="-30"/>
          <w:sz w:val="28"/>
        </w:rPr>
        <w:t> </w:t>
      </w:r>
      <w:r>
        <w:rPr>
          <w:rFonts w:ascii="Courier New" w:hAnsi="Courier New"/>
          <w:sz w:val="28"/>
        </w:rPr>
        <w:t>is</w:t>
      </w:r>
      <w:r>
        <w:rPr>
          <w:rFonts w:ascii="Courier New" w:hAnsi="Courier New"/>
          <w:spacing w:val="-30"/>
          <w:sz w:val="28"/>
        </w:rPr>
        <w:t> </w:t>
      </w:r>
      <w:r>
        <w:rPr>
          <w:rFonts w:ascii="Courier New" w:hAnsi="Courier New"/>
          <w:sz w:val="28"/>
        </w:rPr>
        <w:t>meaningless.</w:t>
      </w:r>
      <w:r>
        <w:rPr>
          <w:rFonts w:ascii="Courier New" w:hAnsi="Courier New"/>
          <w:spacing w:val="-30"/>
          <w:sz w:val="28"/>
        </w:rPr>
        <w:t> </w:t>
      </w:r>
      <w:r>
        <w:rPr>
          <w:rFonts w:ascii="Courier New" w:hAnsi="Courier New"/>
          <w:sz w:val="28"/>
        </w:rPr>
        <w:t>The said Asthan is not a juridical</w:t>
      </w:r>
      <w:r>
        <w:rPr>
          <w:rFonts w:ascii="Courier New" w:hAnsi="Courier New"/>
          <w:spacing w:val="-13"/>
          <w:sz w:val="28"/>
        </w:rPr>
        <w:t> </w:t>
      </w:r>
      <w:r>
        <w:rPr>
          <w:rFonts w:ascii="Courier New" w:hAnsi="Courier New"/>
          <w:sz w:val="28"/>
        </w:rPr>
        <w:t>person.”</w:t>
      </w:r>
    </w:p>
    <w:p>
      <w:pPr>
        <w:spacing w:after="0" w:line="240" w:lineRule="auto"/>
        <w:jc w:val="both"/>
        <w:rPr>
          <w:rFonts w:ascii="Courier New" w:hAnsi="Courier New"/>
          <w:sz w:val="28"/>
        </w:rPr>
        <w:sectPr>
          <w:headerReference w:type="default" r:id="rId228"/>
          <w:footerReference w:type="default" r:id="rId229"/>
          <w:pgSz w:w="11910" w:h="16840"/>
          <w:pgMar w:header="0" w:footer="1063" w:top="1340" w:bottom="1260" w:left="1280" w:right="1280"/>
          <w:pgNumType w:start="10"/>
        </w:sectPr>
      </w:pPr>
    </w:p>
    <w:p>
      <w:pPr>
        <w:pStyle w:val="ListParagraph"/>
        <w:numPr>
          <w:ilvl w:val="0"/>
          <w:numId w:val="251"/>
        </w:numPr>
        <w:tabs>
          <w:tab w:pos="880" w:val="left" w:leader="none"/>
        </w:tabs>
        <w:spacing w:line="480" w:lineRule="auto" w:before="86" w:after="0"/>
        <w:ind w:left="159" w:right="114" w:firstLine="0"/>
        <w:jc w:val="both"/>
        <w:rPr>
          <w:rFonts w:ascii="Courier New" w:hAnsi="Courier New"/>
          <w:sz w:val="28"/>
        </w:rPr>
      </w:pPr>
      <w:r>
        <w:rPr>
          <w:rFonts w:ascii="Courier New" w:hAnsi="Courier New"/>
          <w:sz w:val="28"/>
        </w:rPr>
        <w:t>Additional written statements were also filed by defendant No.3. In para-42 of the additional written statement it was pleaded that the outer Sahan carried a</w:t>
      </w:r>
      <w:r>
        <w:rPr>
          <w:rFonts w:ascii="Courier New" w:hAnsi="Courier New"/>
          <w:spacing w:val="-22"/>
          <w:sz w:val="28"/>
        </w:rPr>
        <w:t> </w:t>
      </w:r>
      <w:r>
        <w:rPr>
          <w:rFonts w:ascii="Courier New" w:hAnsi="Courier New"/>
          <w:sz w:val="28"/>
        </w:rPr>
        <w:t>little</w:t>
      </w:r>
      <w:r>
        <w:rPr>
          <w:rFonts w:ascii="Courier New" w:hAnsi="Courier New"/>
          <w:spacing w:val="-21"/>
          <w:sz w:val="28"/>
        </w:rPr>
        <w:t> </w:t>
      </w:r>
      <w:r>
        <w:rPr>
          <w:rFonts w:ascii="Courier New" w:hAnsi="Courier New"/>
          <w:sz w:val="28"/>
        </w:rPr>
        <w:t>temple</w:t>
      </w:r>
      <w:r>
        <w:rPr>
          <w:rFonts w:ascii="Courier New" w:hAnsi="Courier New"/>
          <w:spacing w:val="-21"/>
          <w:sz w:val="28"/>
        </w:rPr>
        <w:t> </w:t>
      </w:r>
      <w:r>
        <w:rPr>
          <w:rFonts w:ascii="Courier New" w:hAnsi="Courier New"/>
          <w:sz w:val="28"/>
        </w:rPr>
        <w:t>of</w:t>
      </w:r>
      <w:r>
        <w:rPr>
          <w:rFonts w:ascii="Courier New" w:hAnsi="Courier New"/>
          <w:spacing w:val="-21"/>
          <w:sz w:val="28"/>
        </w:rPr>
        <w:t> </w:t>
      </w:r>
      <w:r>
        <w:rPr>
          <w:rFonts w:ascii="Courier New" w:hAnsi="Courier New"/>
          <w:sz w:val="28"/>
        </w:rPr>
        <w:t>Bhagwan</w:t>
      </w:r>
      <w:r>
        <w:rPr>
          <w:rFonts w:ascii="Courier New" w:hAnsi="Courier New"/>
          <w:spacing w:val="-21"/>
          <w:sz w:val="28"/>
        </w:rPr>
        <w:t> </w:t>
      </w:r>
      <w:r>
        <w:rPr>
          <w:rFonts w:ascii="Courier New" w:hAnsi="Courier New"/>
          <w:sz w:val="28"/>
        </w:rPr>
        <w:t>Ram</w:t>
      </w:r>
      <w:r>
        <w:rPr>
          <w:rFonts w:ascii="Courier New" w:hAnsi="Courier New"/>
          <w:spacing w:val="-21"/>
          <w:sz w:val="28"/>
        </w:rPr>
        <w:t> </w:t>
      </w:r>
      <w:r>
        <w:rPr>
          <w:rFonts w:ascii="Courier New" w:hAnsi="Courier New"/>
          <w:sz w:val="28"/>
        </w:rPr>
        <w:t>Lallaji</w:t>
      </w:r>
      <w:r>
        <w:rPr>
          <w:rFonts w:ascii="Courier New" w:hAnsi="Courier New"/>
          <w:spacing w:val="-21"/>
          <w:sz w:val="28"/>
        </w:rPr>
        <w:t> </w:t>
      </w:r>
      <w:r>
        <w:rPr>
          <w:rFonts w:ascii="Courier New" w:hAnsi="Courier New"/>
          <w:sz w:val="28"/>
        </w:rPr>
        <w:t>along</w:t>
      </w:r>
      <w:r>
        <w:rPr>
          <w:rFonts w:ascii="Courier New" w:hAnsi="Courier New"/>
          <w:spacing w:val="-21"/>
          <w:sz w:val="28"/>
        </w:rPr>
        <w:t> </w:t>
      </w:r>
      <w:r>
        <w:rPr>
          <w:rFonts w:ascii="Courier New" w:hAnsi="Courier New"/>
          <w:sz w:val="28"/>
        </w:rPr>
        <w:t>with</w:t>
      </w:r>
      <w:r>
        <w:rPr>
          <w:rFonts w:ascii="Courier New" w:hAnsi="Courier New"/>
          <w:spacing w:val="-22"/>
          <w:sz w:val="28"/>
        </w:rPr>
        <w:t> </w:t>
      </w:r>
      <w:r>
        <w:rPr>
          <w:rFonts w:ascii="Courier New" w:hAnsi="Courier New"/>
          <w:sz w:val="28"/>
        </w:rPr>
        <w:t>other Idols which was regularly worshipped according to the customs prevailing amongst Rama Nandi Vairagies. The outer</w:t>
      </w:r>
      <w:r>
        <w:rPr>
          <w:rFonts w:ascii="Courier New" w:hAnsi="Courier New"/>
          <w:spacing w:val="-22"/>
          <w:sz w:val="28"/>
        </w:rPr>
        <w:t> </w:t>
      </w:r>
      <w:r>
        <w:rPr>
          <w:rFonts w:ascii="Courier New" w:hAnsi="Courier New"/>
          <w:sz w:val="28"/>
        </w:rPr>
        <w:t>part</w:t>
      </w:r>
      <w:r>
        <w:rPr>
          <w:rFonts w:ascii="Courier New" w:hAnsi="Courier New"/>
          <w:spacing w:val="-21"/>
          <w:sz w:val="28"/>
        </w:rPr>
        <w:t> </w:t>
      </w:r>
      <w:r>
        <w:rPr>
          <w:rFonts w:ascii="Courier New" w:hAnsi="Courier New"/>
          <w:sz w:val="28"/>
        </w:rPr>
        <w:t>with</w:t>
      </w:r>
      <w:r>
        <w:rPr>
          <w:rFonts w:ascii="Courier New" w:hAnsi="Courier New"/>
          <w:spacing w:val="-21"/>
          <w:sz w:val="28"/>
        </w:rPr>
        <w:t> </w:t>
      </w:r>
      <w:r>
        <w:rPr>
          <w:rFonts w:ascii="Courier New" w:hAnsi="Courier New"/>
          <w:sz w:val="28"/>
        </w:rPr>
        <w:t>temple</w:t>
      </w:r>
      <w:r>
        <w:rPr>
          <w:rFonts w:ascii="Courier New" w:hAnsi="Courier New"/>
          <w:spacing w:val="-22"/>
          <w:sz w:val="28"/>
        </w:rPr>
        <w:t> </w:t>
      </w:r>
      <w:r>
        <w:rPr>
          <w:rFonts w:ascii="Courier New" w:hAnsi="Courier New"/>
          <w:sz w:val="28"/>
        </w:rPr>
        <w:t>of</w:t>
      </w:r>
      <w:r>
        <w:rPr>
          <w:rFonts w:ascii="Courier New" w:hAnsi="Courier New"/>
          <w:spacing w:val="-21"/>
          <w:sz w:val="28"/>
        </w:rPr>
        <w:t> </w:t>
      </w:r>
      <w:r>
        <w:rPr>
          <w:rFonts w:ascii="Courier New" w:hAnsi="Courier New"/>
          <w:sz w:val="28"/>
        </w:rPr>
        <w:t>Ram</w:t>
      </w:r>
      <w:r>
        <w:rPr>
          <w:rFonts w:ascii="Courier New" w:hAnsi="Courier New"/>
          <w:spacing w:val="-21"/>
          <w:sz w:val="28"/>
        </w:rPr>
        <w:t> </w:t>
      </w:r>
      <w:r>
        <w:rPr>
          <w:rFonts w:ascii="Courier New" w:hAnsi="Courier New"/>
          <w:sz w:val="28"/>
        </w:rPr>
        <w:t>Lallaji</w:t>
      </w:r>
      <w:r>
        <w:rPr>
          <w:rFonts w:ascii="Courier New" w:hAnsi="Courier New"/>
          <w:spacing w:val="-22"/>
          <w:sz w:val="28"/>
        </w:rPr>
        <w:t> </w:t>
      </w:r>
      <w:r>
        <w:rPr>
          <w:rFonts w:ascii="Courier New" w:hAnsi="Courier New"/>
          <w:sz w:val="28"/>
        </w:rPr>
        <w:t>and</w:t>
      </w:r>
      <w:r>
        <w:rPr>
          <w:rFonts w:ascii="Courier New" w:hAnsi="Courier New"/>
          <w:spacing w:val="-19"/>
          <w:sz w:val="28"/>
        </w:rPr>
        <w:t> </w:t>
      </w:r>
      <w:r>
        <w:rPr>
          <w:rFonts w:ascii="Courier New" w:hAnsi="Courier New"/>
          <w:sz w:val="28"/>
        </w:rPr>
        <w:t>other</w:t>
      </w:r>
      <w:r>
        <w:rPr>
          <w:rFonts w:ascii="Courier New" w:hAnsi="Courier New"/>
          <w:spacing w:val="-21"/>
          <w:sz w:val="28"/>
        </w:rPr>
        <w:t> </w:t>
      </w:r>
      <w:r>
        <w:rPr>
          <w:rFonts w:ascii="Courier New" w:hAnsi="Courier New"/>
          <w:sz w:val="28"/>
        </w:rPr>
        <w:t>Deities have ever been in management and charge of Nirmohi Akhara as Shebait. It was further pleaded that attachment made in 1949 was only in respect of main building of Garbh Grahya carrying three “Shikher” wherein the Deity of Bhagwan Sri Ram Chandraji is installed by Nirmohi Akhara from time beyond the human memory.</w:t>
      </w:r>
    </w:p>
    <w:p>
      <w:pPr>
        <w:pStyle w:val="BodyText"/>
        <w:spacing w:before="11"/>
        <w:rPr>
          <w:rFonts w:ascii="Courier New"/>
          <w:sz w:val="27"/>
        </w:rPr>
      </w:pPr>
    </w:p>
    <w:p>
      <w:pPr>
        <w:pStyle w:val="ListParagraph"/>
        <w:numPr>
          <w:ilvl w:val="0"/>
          <w:numId w:val="251"/>
        </w:numPr>
        <w:tabs>
          <w:tab w:pos="895" w:val="left" w:leader="none"/>
        </w:tabs>
        <w:spacing w:line="480" w:lineRule="auto" w:before="0" w:after="0"/>
        <w:ind w:left="159" w:right="112" w:firstLine="0"/>
        <w:jc w:val="both"/>
        <w:rPr>
          <w:rFonts w:ascii="Courier New"/>
          <w:sz w:val="28"/>
        </w:rPr>
      </w:pPr>
      <w:r>
        <w:rPr>
          <w:rFonts w:ascii="Courier New"/>
          <w:sz w:val="28"/>
        </w:rPr>
        <w:t>The written statement was filed by Sunni Board, Defendant</w:t>
      </w:r>
      <w:r>
        <w:rPr>
          <w:rFonts w:ascii="Courier New"/>
          <w:spacing w:val="-45"/>
          <w:sz w:val="28"/>
        </w:rPr>
        <w:t> </w:t>
      </w:r>
      <w:r>
        <w:rPr>
          <w:rFonts w:ascii="Courier New"/>
          <w:sz w:val="28"/>
        </w:rPr>
        <w:t>No.4.</w:t>
      </w:r>
      <w:r>
        <w:rPr>
          <w:rFonts w:ascii="Courier New"/>
          <w:spacing w:val="-44"/>
          <w:sz w:val="28"/>
        </w:rPr>
        <w:t> </w:t>
      </w:r>
      <w:r>
        <w:rPr>
          <w:rFonts w:ascii="Courier New"/>
          <w:sz w:val="28"/>
        </w:rPr>
        <w:t>In</w:t>
      </w:r>
      <w:r>
        <w:rPr>
          <w:rFonts w:ascii="Courier New"/>
          <w:spacing w:val="-45"/>
          <w:sz w:val="28"/>
        </w:rPr>
        <w:t> </w:t>
      </w:r>
      <w:r>
        <w:rPr>
          <w:rFonts w:ascii="Courier New"/>
          <w:sz w:val="28"/>
        </w:rPr>
        <w:t>para-13,</w:t>
      </w:r>
      <w:r>
        <w:rPr>
          <w:rFonts w:ascii="Courier New"/>
          <w:spacing w:val="-44"/>
          <w:sz w:val="28"/>
        </w:rPr>
        <w:t> </w:t>
      </w:r>
      <w:r>
        <w:rPr>
          <w:rFonts w:ascii="Courier New"/>
          <w:sz w:val="28"/>
        </w:rPr>
        <w:t>it</w:t>
      </w:r>
      <w:r>
        <w:rPr>
          <w:rFonts w:ascii="Courier New"/>
          <w:spacing w:val="-45"/>
          <w:sz w:val="28"/>
        </w:rPr>
        <w:t> </w:t>
      </w:r>
      <w:r>
        <w:rPr>
          <w:rFonts w:ascii="Courier New"/>
          <w:sz w:val="28"/>
        </w:rPr>
        <w:t>was</w:t>
      </w:r>
      <w:r>
        <w:rPr>
          <w:rFonts w:ascii="Courier New"/>
          <w:spacing w:val="-44"/>
          <w:sz w:val="28"/>
        </w:rPr>
        <w:t> </w:t>
      </w:r>
      <w:r>
        <w:rPr>
          <w:rFonts w:ascii="Courier New"/>
          <w:sz w:val="28"/>
        </w:rPr>
        <w:t>pleaded</w:t>
      </w:r>
      <w:r>
        <w:rPr>
          <w:rFonts w:ascii="Courier New"/>
          <w:spacing w:val="-45"/>
          <w:sz w:val="28"/>
        </w:rPr>
        <w:t> </w:t>
      </w:r>
      <w:r>
        <w:rPr>
          <w:rFonts w:ascii="Courier New"/>
          <w:sz w:val="28"/>
        </w:rPr>
        <w:t>that</w:t>
      </w:r>
      <w:r>
        <w:rPr>
          <w:rFonts w:ascii="Courier New"/>
          <w:spacing w:val="-44"/>
          <w:sz w:val="28"/>
        </w:rPr>
        <w:t> </w:t>
      </w:r>
      <w:r>
        <w:rPr>
          <w:rFonts w:ascii="Courier New"/>
          <w:sz w:val="28"/>
        </w:rPr>
        <w:t>building in dispute is not the Janam Bhumi of Sri Ram Chandraji and no Idols of Ram Chandraji were ever installed in the said building. In the second part of para-13 following was</w:t>
      </w:r>
      <w:r>
        <w:rPr>
          <w:rFonts w:ascii="Courier New"/>
          <w:spacing w:val="-3"/>
          <w:sz w:val="28"/>
        </w:rPr>
        <w:t> </w:t>
      </w:r>
      <w:r>
        <w:rPr>
          <w:rFonts w:ascii="Courier New"/>
          <w:sz w:val="28"/>
        </w:rPr>
        <w:t>pleaded:</w:t>
      </w:r>
    </w:p>
    <w:p>
      <w:pPr>
        <w:spacing w:before="0"/>
        <w:ind w:left="1011" w:right="961" w:firstLine="0"/>
        <w:jc w:val="both"/>
        <w:rPr>
          <w:rFonts w:ascii="Courier New" w:hAnsi="Courier New"/>
          <w:sz w:val="28"/>
        </w:rPr>
      </w:pPr>
      <w:r>
        <w:rPr>
          <w:rFonts w:ascii="Courier New" w:hAnsi="Courier New"/>
          <w:sz w:val="28"/>
        </w:rPr>
        <w:t>“13…… It is further submitted that the building in dispute is not the Janam</w:t>
      </w:r>
      <w:r>
        <w:rPr>
          <w:rFonts w:ascii="Courier New" w:hAnsi="Courier New"/>
          <w:spacing w:val="127"/>
          <w:sz w:val="28"/>
        </w:rPr>
        <w:t> </w:t>
      </w:r>
      <w:r>
        <w:rPr>
          <w:rFonts w:ascii="Courier New" w:hAnsi="Courier New"/>
          <w:sz w:val="28"/>
        </w:rPr>
        <w:t>Bhoomi</w:t>
      </w:r>
    </w:p>
    <w:p>
      <w:pPr>
        <w:spacing w:after="0"/>
        <w:jc w:val="both"/>
        <w:rPr>
          <w:rFonts w:ascii="Courier New" w:hAnsi="Courier New"/>
          <w:sz w:val="28"/>
        </w:rPr>
        <w:sectPr>
          <w:headerReference w:type="default" r:id="rId230"/>
          <w:footerReference w:type="default" r:id="rId231"/>
          <w:pgSz w:w="11910" w:h="16840"/>
          <w:pgMar w:header="0" w:footer="1063" w:top="1340" w:bottom="1260" w:left="1280" w:right="1280"/>
          <w:pgNumType w:start="11"/>
        </w:sectPr>
      </w:pPr>
    </w:p>
    <w:p>
      <w:pPr>
        <w:spacing w:line="240" w:lineRule="auto" w:before="86"/>
        <w:ind w:left="1011" w:right="961" w:firstLine="0"/>
        <w:jc w:val="both"/>
        <w:rPr>
          <w:rFonts w:ascii="Courier New" w:hAnsi="Courier New"/>
          <w:sz w:val="28"/>
        </w:rPr>
      </w:pPr>
      <w:r>
        <w:rPr>
          <w:rFonts w:ascii="Courier New" w:hAnsi="Courier New"/>
          <w:sz w:val="28"/>
        </w:rPr>
        <w:t>of Sri Ram Chandraji and no Idols of Sri</w:t>
      </w:r>
      <w:r>
        <w:rPr>
          <w:rFonts w:ascii="Courier New" w:hAnsi="Courier New"/>
          <w:spacing w:val="-33"/>
          <w:sz w:val="28"/>
        </w:rPr>
        <w:t> </w:t>
      </w:r>
      <w:r>
        <w:rPr>
          <w:rFonts w:ascii="Courier New" w:hAnsi="Courier New"/>
          <w:sz w:val="28"/>
        </w:rPr>
        <w:t>Ram Chandraji were ever installed in the said building</w:t>
      </w:r>
      <w:r>
        <w:rPr>
          <w:rFonts w:ascii="Courier New" w:hAnsi="Courier New"/>
          <w:spacing w:val="-30"/>
          <w:sz w:val="28"/>
        </w:rPr>
        <w:t> </w:t>
      </w:r>
      <w:r>
        <w:rPr>
          <w:rFonts w:ascii="Courier New" w:hAnsi="Courier New"/>
          <w:sz w:val="28"/>
        </w:rPr>
        <w:t>and</w:t>
      </w:r>
      <w:r>
        <w:rPr>
          <w:rFonts w:ascii="Courier New" w:hAnsi="Courier New"/>
          <w:spacing w:val="-30"/>
          <w:sz w:val="28"/>
        </w:rPr>
        <w:t> </w:t>
      </w:r>
      <w:r>
        <w:rPr>
          <w:rFonts w:ascii="Courier New" w:hAnsi="Courier New"/>
          <w:sz w:val="28"/>
        </w:rPr>
        <w:t>as</w:t>
      </w:r>
      <w:r>
        <w:rPr>
          <w:rFonts w:ascii="Courier New" w:hAnsi="Courier New"/>
          <w:spacing w:val="-30"/>
          <w:sz w:val="28"/>
        </w:rPr>
        <w:t> </w:t>
      </w:r>
      <w:r>
        <w:rPr>
          <w:rFonts w:ascii="Courier New" w:hAnsi="Courier New"/>
          <w:sz w:val="28"/>
        </w:rPr>
        <w:t>such</w:t>
      </w:r>
      <w:r>
        <w:rPr>
          <w:rFonts w:ascii="Courier New" w:hAnsi="Courier New"/>
          <w:spacing w:val="-30"/>
          <w:sz w:val="28"/>
        </w:rPr>
        <w:t> </w:t>
      </w:r>
      <w:r>
        <w:rPr>
          <w:rFonts w:ascii="Courier New" w:hAnsi="Courier New"/>
          <w:sz w:val="28"/>
        </w:rPr>
        <w:t>there</w:t>
      </w:r>
      <w:r>
        <w:rPr>
          <w:rFonts w:ascii="Courier New" w:hAnsi="Courier New"/>
          <w:spacing w:val="-30"/>
          <w:sz w:val="28"/>
        </w:rPr>
        <w:t> </w:t>
      </w:r>
      <w:r>
        <w:rPr>
          <w:rFonts w:ascii="Courier New" w:hAnsi="Courier New"/>
          <w:sz w:val="28"/>
        </w:rPr>
        <w:t>arises</w:t>
      </w:r>
      <w:r>
        <w:rPr>
          <w:rFonts w:ascii="Courier New" w:hAnsi="Courier New"/>
          <w:spacing w:val="-30"/>
          <w:sz w:val="28"/>
        </w:rPr>
        <w:t> </w:t>
      </w:r>
      <w:r>
        <w:rPr>
          <w:rFonts w:ascii="Courier New" w:hAnsi="Courier New"/>
          <w:sz w:val="28"/>
        </w:rPr>
        <w:t>no</w:t>
      </w:r>
      <w:r>
        <w:rPr>
          <w:rFonts w:ascii="Courier New" w:hAnsi="Courier New"/>
          <w:spacing w:val="-30"/>
          <w:sz w:val="28"/>
        </w:rPr>
        <w:t> </w:t>
      </w:r>
      <w:r>
        <w:rPr>
          <w:rFonts w:ascii="Courier New" w:hAnsi="Courier New"/>
          <w:sz w:val="28"/>
        </w:rPr>
        <w:t>question of any right or claim of the defendant</w:t>
      </w:r>
      <w:r>
        <w:rPr>
          <w:rFonts w:ascii="Courier New" w:hAnsi="Courier New"/>
          <w:spacing w:val="-36"/>
          <w:sz w:val="28"/>
        </w:rPr>
        <w:t> </w:t>
      </w:r>
      <w:r>
        <w:rPr>
          <w:rFonts w:ascii="Courier New" w:hAnsi="Courier New"/>
          <w:sz w:val="28"/>
        </w:rPr>
        <w:t>No.20 or of anyone else to perform Pooja and Darshan over there. The fact is that the property in suit is an old mosque known as Babri Masjid and the same was constructed during the regime of Emperor</w:t>
      </w:r>
      <w:r>
        <w:rPr>
          <w:rFonts w:ascii="Courier New" w:hAnsi="Courier New"/>
          <w:spacing w:val="-10"/>
          <w:sz w:val="28"/>
        </w:rPr>
        <w:t> </w:t>
      </w:r>
      <w:r>
        <w:rPr>
          <w:rFonts w:ascii="Courier New" w:hAnsi="Courier New"/>
          <w:sz w:val="28"/>
        </w:rPr>
        <w:t>Babar.”</w:t>
      </w:r>
    </w:p>
    <w:p>
      <w:pPr>
        <w:pStyle w:val="BodyText"/>
        <w:rPr>
          <w:rFonts w:ascii="Courier New"/>
          <w:sz w:val="32"/>
        </w:rPr>
      </w:pPr>
    </w:p>
    <w:p>
      <w:pPr>
        <w:pStyle w:val="ListParagraph"/>
        <w:numPr>
          <w:ilvl w:val="0"/>
          <w:numId w:val="251"/>
        </w:numPr>
        <w:tabs>
          <w:tab w:pos="815" w:val="left" w:leader="none"/>
        </w:tabs>
        <w:spacing w:line="480" w:lineRule="auto" w:before="272" w:after="0"/>
        <w:ind w:left="160" w:right="110" w:firstLine="0"/>
        <w:jc w:val="both"/>
        <w:rPr>
          <w:rFonts w:ascii="Courier New"/>
          <w:sz w:val="28"/>
        </w:rPr>
      </w:pPr>
      <w:r>
        <w:rPr>
          <w:rFonts w:ascii="Courier New"/>
          <w:sz w:val="28"/>
        </w:rPr>
        <w:t>It</w:t>
      </w:r>
      <w:r>
        <w:rPr>
          <w:rFonts w:ascii="Courier New"/>
          <w:spacing w:val="-20"/>
          <w:sz w:val="28"/>
        </w:rPr>
        <w:t> </w:t>
      </w:r>
      <w:r>
        <w:rPr>
          <w:rFonts w:ascii="Courier New"/>
          <w:sz w:val="28"/>
        </w:rPr>
        <w:t>was</w:t>
      </w:r>
      <w:r>
        <w:rPr>
          <w:rFonts w:ascii="Courier New"/>
          <w:spacing w:val="-19"/>
          <w:sz w:val="28"/>
        </w:rPr>
        <w:t> </w:t>
      </w:r>
      <w:r>
        <w:rPr>
          <w:rFonts w:ascii="Courier New"/>
          <w:sz w:val="28"/>
        </w:rPr>
        <w:t>pleaded</w:t>
      </w:r>
      <w:r>
        <w:rPr>
          <w:rFonts w:ascii="Courier New"/>
          <w:spacing w:val="-19"/>
          <w:sz w:val="28"/>
        </w:rPr>
        <w:t> </w:t>
      </w:r>
      <w:r>
        <w:rPr>
          <w:rFonts w:ascii="Courier New"/>
          <w:sz w:val="28"/>
        </w:rPr>
        <w:t>in</w:t>
      </w:r>
      <w:r>
        <w:rPr>
          <w:rFonts w:ascii="Courier New"/>
          <w:spacing w:val="-20"/>
          <w:sz w:val="28"/>
        </w:rPr>
        <w:t> </w:t>
      </w:r>
      <w:r>
        <w:rPr>
          <w:rFonts w:ascii="Courier New"/>
          <w:sz w:val="28"/>
        </w:rPr>
        <w:t>para-19</w:t>
      </w:r>
      <w:r>
        <w:rPr>
          <w:rFonts w:ascii="Courier New"/>
          <w:spacing w:val="-19"/>
          <w:sz w:val="28"/>
        </w:rPr>
        <w:t> </w:t>
      </w:r>
      <w:r>
        <w:rPr>
          <w:rFonts w:ascii="Courier New"/>
          <w:sz w:val="28"/>
        </w:rPr>
        <w:t>that</w:t>
      </w:r>
      <w:r>
        <w:rPr>
          <w:rFonts w:ascii="Courier New"/>
          <w:spacing w:val="-19"/>
          <w:sz w:val="28"/>
        </w:rPr>
        <w:t> </w:t>
      </w:r>
      <w:r>
        <w:rPr>
          <w:rFonts w:ascii="Courier New"/>
          <w:sz w:val="28"/>
        </w:rPr>
        <w:t>neither</w:t>
      </w:r>
      <w:r>
        <w:rPr>
          <w:rFonts w:ascii="Courier New"/>
          <w:spacing w:val="-20"/>
          <w:sz w:val="28"/>
        </w:rPr>
        <w:t> </w:t>
      </w:r>
      <w:r>
        <w:rPr>
          <w:rFonts w:ascii="Courier New"/>
          <w:sz w:val="28"/>
        </w:rPr>
        <w:t>there</w:t>
      </w:r>
      <w:r>
        <w:rPr>
          <w:rFonts w:ascii="Courier New"/>
          <w:spacing w:val="-19"/>
          <w:sz w:val="28"/>
        </w:rPr>
        <w:t> </w:t>
      </w:r>
      <w:r>
        <w:rPr>
          <w:rFonts w:ascii="Courier New"/>
          <w:sz w:val="28"/>
        </w:rPr>
        <w:t>is</w:t>
      </w:r>
      <w:r>
        <w:rPr>
          <w:rFonts w:ascii="Courier New"/>
          <w:spacing w:val="-19"/>
          <w:sz w:val="28"/>
        </w:rPr>
        <w:t> </w:t>
      </w:r>
      <w:r>
        <w:rPr>
          <w:rFonts w:ascii="Courier New"/>
          <w:sz w:val="28"/>
        </w:rPr>
        <w:t>any public record, much less any record of unimpeachable authority showing that the premises in dispute is the place of birth of Sri Ram Chandraji nor there is any historical or judicial record to testify. It was further pleaded in para-19 that Hindu books as well as the writing of Hindu scholars themselves make it very doubtful as to whether the personality of Sri Ram Chandraji is a historical personality. In para-24 it was</w:t>
      </w:r>
      <w:r>
        <w:rPr>
          <w:rFonts w:ascii="Courier New"/>
          <w:spacing w:val="-20"/>
          <w:sz w:val="28"/>
        </w:rPr>
        <w:t> </w:t>
      </w:r>
      <w:r>
        <w:rPr>
          <w:rFonts w:ascii="Courier New"/>
          <w:sz w:val="28"/>
        </w:rPr>
        <w:t>pleaded</w:t>
      </w:r>
      <w:r>
        <w:rPr>
          <w:rFonts w:ascii="Courier New"/>
          <w:spacing w:val="-19"/>
          <w:sz w:val="28"/>
        </w:rPr>
        <w:t> </w:t>
      </w:r>
      <w:r>
        <w:rPr>
          <w:rFonts w:ascii="Courier New"/>
          <w:sz w:val="28"/>
        </w:rPr>
        <w:t>that</w:t>
      </w:r>
      <w:r>
        <w:rPr>
          <w:rFonts w:ascii="Courier New"/>
          <w:spacing w:val="-20"/>
          <w:sz w:val="28"/>
        </w:rPr>
        <w:t> </w:t>
      </w:r>
      <w:r>
        <w:rPr>
          <w:rFonts w:ascii="Courier New"/>
          <w:sz w:val="28"/>
        </w:rPr>
        <w:t>at</w:t>
      </w:r>
      <w:r>
        <w:rPr>
          <w:rFonts w:ascii="Courier New"/>
          <w:spacing w:val="-19"/>
          <w:sz w:val="28"/>
        </w:rPr>
        <w:t> </w:t>
      </w:r>
      <w:r>
        <w:rPr>
          <w:rFonts w:ascii="Courier New"/>
          <w:sz w:val="28"/>
        </w:rPr>
        <w:t>no</w:t>
      </w:r>
      <w:r>
        <w:rPr>
          <w:rFonts w:ascii="Courier New"/>
          <w:spacing w:val="-20"/>
          <w:sz w:val="28"/>
        </w:rPr>
        <w:t> </w:t>
      </w:r>
      <w:r>
        <w:rPr>
          <w:rFonts w:ascii="Courier New"/>
          <w:sz w:val="28"/>
        </w:rPr>
        <w:t>point</w:t>
      </w:r>
      <w:r>
        <w:rPr>
          <w:rFonts w:ascii="Courier New"/>
          <w:spacing w:val="-17"/>
          <w:sz w:val="28"/>
        </w:rPr>
        <w:t> </w:t>
      </w:r>
      <w:r>
        <w:rPr>
          <w:rFonts w:ascii="Courier New"/>
          <w:sz w:val="28"/>
        </w:rPr>
        <w:t>of</w:t>
      </w:r>
      <w:r>
        <w:rPr>
          <w:rFonts w:ascii="Courier New"/>
          <w:spacing w:val="-20"/>
          <w:sz w:val="28"/>
        </w:rPr>
        <w:t> </w:t>
      </w:r>
      <w:r>
        <w:rPr>
          <w:rFonts w:ascii="Courier New"/>
          <w:sz w:val="28"/>
        </w:rPr>
        <w:t>time</w:t>
      </w:r>
      <w:r>
        <w:rPr>
          <w:rFonts w:ascii="Courier New"/>
          <w:spacing w:val="-19"/>
          <w:sz w:val="28"/>
        </w:rPr>
        <w:t> </w:t>
      </w:r>
      <w:r>
        <w:rPr>
          <w:rFonts w:ascii="Courier New"/>
          <w:sz w:val="28"/>
        </w:rPr>
        <w:t>there</w:t>
      </w:r>
      <w:r>
        <w:rPr>
          <w:rFonts w:ascii="Courier New"/>
          <w:spacing w:val="-19"/>
          <w:sz w:val="28"/>
        </w:rPr>
        <w:t> </w:t>
      </w:r>
      <w:r>
        <w:rPr>
          <w:rFonts w:ascii="Courier New"/>
          <w:sz w:val="28"/>
        </w:rPr>
        <w:t>ever</w:t>
      </w:r>
      <w:r>
        <w:rPr>
          <w:rFonts w:ascii="Courier New"/>
          <w:spacing w:val="-20"/>
          <w:sz w:val="28"/>
        </w:rPr>
        <w:t> </w:t>
      </w:r>
      <w:r>
        <w:rPr>
          <w:rFonts w:ascii="Courier New"/>
          <w:sz w:val="28"/>
        </w:rPr>
        <w:t>existed any temple at the site of the Babri Masjid and it is absolutely incorrect to say that the said Mosque was constructed, after destroying any ancient temple, with the material of the alleged temple. The Mosque in question has always been used as a Mosque since its construction during the regime of Emperor</w:t>
      </w:r>
      <w:r>
        <w:rPr>
          <w:rFonts w:ascii="Courier New"/>
          <w:spacing w:val="-15"/>
          <w:sz w:val="28"/>
        </w:rPr>
        <w:t> </w:t>
      </w:r>
      <w:r>
        <w:rPr>
          <w:rFonts w:ascii="Courier New"/>
          <w:sz w:val="28"/>
        </w:rPr>
        <w:t>Babar.</w:t>
      </w:r>
    </w:p>
    <w:p>
      <w:pPr>
        <w:spacing w:after="0" w:line="480" w:lineRule="auto"/>
        <w:jc w:val="both"/>
        <w:rPr>
          <w:rFonts w:ascii="Courier New"/>
          <w:sz w:val="28"/>
        </w:rPr>
        <w:sectPr>
          <w:headerReference w:type="default" r:id="rId232"/>
          <w:footerReference w:type="default" r:id="rId233"/>
          <w:pgSz w:w="11910" w:h="16840"/>
          <w:pgMar w:header="0" w:footer="1063" w:top="1340" w:bottom="1260" w:left="1280" w:right="1280"/>
          <w:pgNumType w:start="12"/>
        </w:sectPr>
      </w:pPr>
    </w:p>
    <w:p>
      <w:pPr>
        <w:pStyle w:val="ListParagraph"/>
        <w:numPr>
          <w:ilvl w:val="0"/>
          <w:numId w:val="251"/>
        </w:numPr>
        <w:tabs>
          <w:tab w:pos="811" w:val="left" w:leader="none"/>
        </w:tabs>
        <w:spacing w:line="480" w:lineRule="auto" w:before="163" w:after="0"/>
        <w:ind w:left="160" w:right="112" w:firstLine="0"/>
        <w:jc w:val="both"/>
        <w:rPr>
          <w:rFonts w:ascii="Courier New"/>
          <w:sz w:val="28"/>
        </w:rPr>
      </w:pPr>
      <w:r>
        <w:rPr>
          <w:rFonts w:ascii="Courier New"/>
          <w:sz w:val="28"/>
        </w:rPr>
        <w:t>Defendant</w:t>
      </w:r>
      <w:r>
        <w:rPr>
          <w:rFonts w:ascii="Courier New"/>
          <w:spacing w:val="-21"/>
          <w:sz w:val="28"/>
        </w:rPr>
        <w:t> </w:t>
      </w:r>
      <w:r>
        <w:rPr>
          <w:rFonts w:ascii="Courier New"/>
          <w:sz w:val="28"/>
        </w:rPr>
        <w:t>No.5</w:t>
      </w:r>
      <w:r>
        <w:rPr>
          <w:rFonts w:ascii="Courier New"/>
          <w:spacing w:val="-25"/>
          <w:sz w:val="28"/>
        </w:rPr>
        <w:t> </w:t>
      </w:r>
      <w:r>
        <w:rPr>
          <w:rFonts w:ascii="Courier New"/>
          <w:sz w:val="28"/>
        </w:rPr>
        <w:t>also</w:t>
      </w:r>
      <w:r>
        <w:rPr>
          <w:rFonts w:ascii="Courier New"/>
          <w:spacing w:val="-25"/>
          <w:sz w:val="28"/>
        </w:rPr>
        <w:t> </w:t>
      </w:r>
      <w:r>
        <w:rPr>
          <w:rFonts w:ascii="Courier New"/>
          <w:sz w:val="28"/>
        </w:rPr>
        <w:t>filed</w:t>
      </w:r>
      <w:r>
        <w:rPr>
          <w:rFonts w:ascii="Courier New"/>
          <w:spacing w:val="-25"/>
          <w:sz w:val="28"/>
        </w:rPr>
        <w:t> </w:t>
      </w:r>
      <w:r>
        <w:rPr>
          <w:rFonts w:ascii="Courier New"/>
          <w:sz w:val="28"/>
        </w:rPr>
        <w:t>written</w:t>
      </w:r>
      <w:r>
        <w:rPr>
          <w:rFonts w:ascii="Courier New"/>
          <w:spacing w:val="-25"/>
          <w:sz w:val="28"/>
        </w:rPr>
        <w:t> </w:t>
      </w:r>
      <w:r>
        <w:rPr>
          <w:rFonts w:ascii="Courier New"/>
          <w:sz w:val="28"/>
        </w:rPr>
        <w:t>statement.</w:t>
      </w:r>
      <w:r>
        <w:rPr>
          <w:rFonts w:ascii="Courier New"/>
          <w:spacing w:val="-24"/>
          <w:sz w:val="28"/>
        </w:rPr>
        <w:t> </w:t>
      </w:r>
      <w:r>
        <w:rPr>
          <w:rFonts w:ascii="Courier New"/>
          <w:sz w:val="28"/>
        </w:rPr>
        <w:t>It</w:t>
      </w:r>
      <w:r>
        <w:rPr>
          <w:rFonts w:ascii="Courier New"/>
          <w:spacing w:val="-25"/>
          <w:sz w:val="28"/>
        </w:rPr>
        <w:t> </w:t>
      </w:r>
      <w:r>
        <w:rPr>
          <w:rFonts w:ascii="Courier New"/>
          <w:sz w:val="28"/>
        </w:rPr>
        <w:t>was pleaded in para 19 that there is no evidence, historic or otherwise, to indicate that Sri Ram Chandra Ji was born there. Defendant Nos.4 and 5 also filed an additional written</w:t>
      </w:r>
      <w:r>
        <w:rPr>
          <w:rFonts w:ascii="Courier New"/>
          <w:spacing w:val="-3"/>
          <w:sz w:val="28"/>
        </w:rPr>
        <w:t> </w:t>
      </w:r>
      <w:r>
        <w:rPr>
          <w:rFonts w:ascii="Courier New"/>
          <w:sz w:val="28"/>
        </w:rPr>
        <w:t>statement.</w:t>
      </w:r>
    </w:p>
    <w:p>
      <w:pPr>
        <w:pStyle w:val="BodyText"/>
        <w:spacing w:before="11"/>
        <w:rPr>
          <w:rFonts w:ascii="Courier New"/>
          <w:sz w:val="27"/>
        </w:rPr>
      </w:pPr>
    </w:p>
    <w:p>
      <w:pPr>
        <w:pStyle w:val="ListParagraph"/>
        <w:numPr>
          <w:ilvl w:val="0"/>
          <w:numId w:val="251"/>
        </w:numPr>
        <w:tabs>
          <w:tab w:pos="916" w:val="left" w:leader="none"/>
        </w:tabs>
        <w:spacing w:line="480" w:lineRule="auto" w:before="0" w:after="0"/>
        <w:ind w:left="160" w:right="113" w:firstLine="0"/>
        <w:jc w:val="both"/>
        <w:rPr>
          <w:rFonts w:ascii="Courier New"/>
          <w:sz w:val="28"/>
        </w:rPr>
      </w:pPr>
      <w:r>
        <w:rPr>
          <w:rFonts w:ascii="Courier New"/>
          <w:sz w:val="28"/>
        </w:rPr>
        <w:t>The reference of one more written statement is necessary</w:t>
      </w:r>
      <w:r>
        <w:rPr>
          <w:rFonts w:ascii="Courier New"/>
          <w:spacing w:val="-28"/>
          <w:sz w:val="28"/>
        </w:rPr>
        <w:t> </w:t>
      </w:r>
      <w:r>
        <w:rPr>
          <w:rFonts w:ascii="Courier New"/>
          <w:sz w:val="28"/>
        </w:rPr>
        <w:t>i.e.</w:t>
      </w:r>
      <w:r>
        <w:rPr>
          <w:rFonts w:ascii="Courier New"/>
          <w:spacing w:val="-27"/>
          <w:sz w:val="28"/>
        </w:rPr>
        <w:t> </w:t>
      </w:r>
      <w:r>
        <w:rPr>
          <w:rFonts w:ascii="Courier New"/>
          <w:sz w:val="28"/>
        </w:rPr>
        <w:t>the</w:t>
      </w:r>
      <w:r>
        <w:rPr>
          <w:rFonts w:ascii="Courier New"/>
          <w:spacing w:val="-28"/>
          <w:sz w:val="28"/>
        </w:rPr>
        <w:t> </w:t>
      </w:r>
      <w:r>
        <w:rPr>
          <w:rFonts w:ascii="Courier New"/>
          <w:sz w:val="28"/>
        </w:rPr>
        <w:t>written</w:t>
      </w:r>
      <w:r>
        <w:rPr>
          <w:rFonts w:ascii="Courier New"/>
          <w:spacing w:val="-27"/>
          <w:sz w:val="28"/>
        </w:rPr>
        <w:t> </w:t>
      </w:r>
      <w:r>
        <w:rPr>
          <w:rFonts w:ascii="Courier New"/>
          <w:sz w:val="28"/>
        </w:rPr>
        <w:t>statement</w:t>
      </w:r>
      <w:r>
        <w:rPr>
          <w:rFonts w:ascii="Courier New"/>
          <w:spacing w:val="-28"/>
          <w:sz w:val="28"/>
        </w:rPr>
        <w:t> </w:t>
      </w:r>
      <w:r>
        <w:rPr>
          <w:rFonts w:ascii="Courier New"/>
          <w:sz w:val="28"/>
        </w:rPr>
        <w:t>filed</w:t>
      </w:r>
      <w:r>
        <w:rPr>
          <w:rFonts w:ascii="Courier New"/>
          <w:spacing w:val="-27"/>
          <w:sz w:val="28"/>
        </w:rPr>
        <w:t> </w:t>
      </w:r>
      <w:r>
        <w:rPr>
          <w:rFonts w:ascii="Courier New"/>
          <w:sz w:val="28"/>
        </w:rPr>
        <w:t>by</w:t>
      </w:r>
      <w:r>
        <w:rPr>
          <w:rFonts w:ascii="Courier New"/>
          <w:spacing w:val="-27"/>
          <w:sz w:val="28"/>
        </w:rPr>
        <w:t> </w:t>
      </w:r>
      <w:r>
        <w:rPr>
          <w:rFonts w:ascii="Courier New"/>
          <w:sz w:val="28"/>
        </w:rPr>
        <w:t>Defendant No.24. Defendant No.24 is Prince Anjum, President, All India Shia Conference</w:t>
      </w:r>
      <w:r>
        <w:rPr>
          <w:rFonts w:ascii="Courier New"/>
          <w:b/>
          <w:sz w:val="28"/>
        </w:rPr>
        <w:t>, </w:t>
      </w:r>
      <w:r>
        <w:rPr>
          <w:rFonts w:ascii="Courier New"/>
          <w:sz w:val="28"/>
        </w:rPr>
        <w:t>Lucknow. In reference to Lord Ram, Defendant No.24 has pleaded that Muslims of India has</w:t>
      </w:r>
      <w:r>
        <w:rPr>
          <w:rFonts w:ascii="Courier New"/>
          <w:spacing w:val="-40"/>
          <w:sz w:val="28"/>
        </w:rPr>
        <w:t> </w:t>
      </w:r>
      <w:r>
        <w:rPr>
          <w:rFonts w:ascii="Courier New"/>
          <w:sz w:val="28"/>
        </w:rPr>
        <w:t>highest</w:t>
      </w:r>
      <w:r>
        <w:rPr>
          <w:rFonts w:ascii="Courier New"/>
          <w:spacing w:val="-39"/>
          <w:sz w:val="28"/>
        </w:rPr>
        <w:t> </w:t>
      </w:r>
      <w:r>
        <w:rPr>
          <w:rFonts w:ascii="Courier New"/>
          <w:sz w:val="28"/>
        </w:rPr>
        <w:t>regard</w:t>
      </w:r>
      <w:r>
        <w:rPr>
          <w:rFonts w:ascii="Courier New"/>
          <w:spacing w:val="-40"/>
          <w:sz w:val="28"/>
        </w:rPr>
        <w:t> </w:t>
      </w:r>
      <w:r>
        <w:rPr>
          <w:rFonts w:ascii="Courier New"/>
          <w:sz w:val="28"/>
        </w:rPr>
        <w:t>for</w:t>
      </w:r>
      <w:r>
        <w:rPr>
          <w:rFonts w:ascii="Courier New"/>
          <w:spacing w:val="-39"/>
          <w:sz w:val="28"/>
        </w:rPr>
        <w:t> </w:t>
      </w:r>
      <w:r>
        <w:rPr>
          <w:rFonts w:ascii="Courier New"/>
          <w:sz w:val="28"/>
        </w:rPr>
        <w:t>Lord</w:t>
      </w:r>
      <w:r>
        <w:rPr>
          <w:rFonts w:ascii="Courier New"/>
          <w:spacing w:val="-39"/>
          <w:sz w:val="28"/>
        </w:rPr>
        <w:t> </w:t>
      </w:r>
      <w:r>
        <w:rPr>
          <w:rFonts w:ascii="Courier New"/>
          <w:sz w:val="28"/>
        </w:rPr>
        <w:t>Ram.</w:t>
      </w:r>
      <w:r>
        <w:rPr>
          <w:rFonts w:ascii="Courier New"/>
          <w:spacing w:val="-40"/>
          <w:sz w:val="28"/>
        </w:rPr>
        <w:t> </w:t>
      </w:r>
      <w:r>
        <w:rPr>
          <w:rFonts w:ascii="Courier New"/>
          <w:sz w:val="28"/>
        </w:rPr>
        <w:t>Pleadings</w:t>
      </w:r>
      <w:r>
        <w:rPr>
          <w:rFonts w:ascii="Courier New"/>
          <w:spacing w:val="-39"/>
          <w:sz w:val="28"/>
        </w:rPr>
        <w:t> </w:t>
      </w:r>
      <w:r>
        <w:rPr>
          <w:rFonts w:ascii="Courier New"/>
          <w:sz w:val="28"/>
        </w:rPr>
        <w:t>made</w:t>
      </w:r>
      <w:r>
        <w:rPr>
          <w:rFonts w:ascii="Courier New"/>
          <w:spacing w:val="-39"/>
          <w:sz w:val="28"/>
        </w:rPr>
        <w:t> </w:t>
      </w:r>
      <w:r>
        <w:rPr>
          <w:rFonts w:ascii="Courier New"/>
          <w:sz w:val="28"/>
        </w:rPr>
        <w:t>in</w:t>
      </w:r>
      <w:r>
        <w:rPr>
          <w:rFonts w:ascii="Courier New"/>
          <w:spacing w:val="-40"/>
          <w:sz w:val="28"/>
        </w:rPr>
        <w:t> </w:t>
      </w:r>
      <w:r>
        <w:rPr>
          <w:rFonts w:ascii="Courier New"/>
          <w:sz w:val="28"/>
        </w:rPr>
        <w:t>para-</w:t>
      </w:r>
    </w:p>
    <w:p>
      <w:pPr>
        <w:spacing w:line="480" w:lineRule="auto" w:before="0"/>
        <w:ind w:left="160" w:right="114" w:firstLine="0"/>
        <w:jc w:val="both"/>
        <w:rPr>
          <w:rFonts w:ascii="Courier New"/>
          <w:sz w:val="28"/>
        </w:rPr>
      </w:pPr>
      <w:r>
        <w:rPr>
          <w:rFonts w:ascii="Courier New"/>
          <w:sz w:val="28"/>
        </w:rPr>
        <w:t>10 of the written statement in this regard are as follows:</w:t>
      </w:r>
    </w:p>
    <w:p>
      <w:pPr>
        <w:spacing w:line="240" w:lineRule="auto" w:before="1"/>
        <w:ind w:left="1011" w:right="962" w:firstLine="0"/>
        <w:jc w:val="both"/>
        <w:rPr>
          <w:rFonts w:ascii="Courier New" w:hAnsi="Courier New"/>
          <w:sz w:val="28"/>
        </w:rPr>
      </w:pPr>
      <w:r>
        <w:rPr>
          <w:rFonts w:ascii="Courier New" w:hAnsi="Courier New"/>
          <w:sz w:val="28"/>
        </w:rPr>
        <w:t>“10. With reference to the statements made in</w:t>
      </w:r>
      <w:r>
        <w:rPr>
          <w:rFonts w:ascii="Courier New" w:hAnsi="Courier New"/>
          <w:spacing w:val="-30"/>
          <w:sz w:val="28"/>
        </w:rPr>
        <w:t> </w:t>
      </w:r>
      <w:r>
        <w:rPr>
          <w:rFonts w:ascii="Courier New" w:hAnsi="Courier New"/>
          <w:sz w:val="28"/>
        </w:rPr>
        <w:t>paragraph</w:t>
      </w:r>
      <w:r>
        <w:rPr>
          <w:rFonts w:ascii="Courier New" w:hAnsi="Courier New"/>
          <w:spacing w:val="-30"/>
          <w:sz w:val="28"/>
        </w:rPr>
        <w:t> </w:t>
      </w:r>
      <w:r>
        <w:rPr>
          <w:rFonts w:ascii="Courier New" w:hAnsi="Courier New"/>
          <w:sz w:val="28"/>
        </w:rPr>
        <w:t>18,</w:t>
      </w:r>
      <w:r>
        <w:rPr>
          <w:rFonts w:ascii="Courier New" w:hAnsi="Courier New"/>
          <w:spacing w:val="-30"/>
          <w:sz w:val="28"/>
        </w:rPr>
        <w:t> </w:t>
      </w:r>
      <w:r>
        <w:rPr>
          <w:rFonts w:ascii="Courier New" w:hAnsi="Courier New"/>
          <w:sz w:val="28"/>
        </w:rPr>
        <w:t>this</w:t>
      </w:r>
      <w:r>
        <w:rPr>
          <w:rFonts w:ascii="Courier New" w:hAnsi="Courier New"/>
          <w:spacing w:val="-30"/>
          <w:sz w:val="28"/>
        </w:rPr>
        <w:t> </w:t>
      </w:r>
      <w:r>
        <w:rPr>
          <w:rFonts w:ascii="Courier New" w:hAnsi="Courier New"/>
          <w:sz w:val="28"/>
        </w:rPr>
        <w:t>defendant</w:t>
      </w:r>
      <w:r>
        <w:rPr>
          <w:rFonts w:ascii="Courier New" w:hAnsi="Courier New"/>
          <w:spacing w:val="-30"/>
          <w:sz w:val="28"/>
        </w:rPr>
        <w:t> </w:t>
      </w:r>
      <w:r>
        <w:rPr>
          <w:rFonts w:ascii="Courier New" w:hAnsi="Courier New"/>
          <w:sz w:val="28"/>
        </w:rPr>
        <w:t>at</w:t>
      </w:r>
      <w:r>
        <w:rPr>
          <w:rFonts w:ascii="Courier New" w:hAnsi="Courier New"/>
          <w:spacing w:val="-30"/>
          <w:sz w:val="28"/>
        </w:rPr>
        <w:t> </w:t>
      </w:r>
      <w:r>
        <w:rPr>
          <w:rFonts w:ascii="Courier New" w:hAnsi="Courier New"/>
          <w:sz w:val="28"/>
        </w:rPr>
        <w:t>the</w:t>
      </w:r>
      <w:r>
        <w:rPr>
          <w:rFonts w:ascii="Courier New" w:hAnsi="Courier New"/>
          <w:spacing w:val="-30"/>
          <w:sz w:val="28"/>
        </w:rPr>
        <w:t> </w:t>
      </w:r>
      <w:r>
        <w:rPr>
          <w:rFonts w:ascii="Courier New" w:hAnsi="Courier New"/>
          <w:sz w:val="28"/>
        </w:rPr>
        <w:t>outset wishes to record the fact that he and the Muslims of India have the highest regard</w:t>
      </w:r>
      <w:r>
        <w:rPr>
          <w:rFonts w:ascii="Courier New" w:hAnsi="Courier New"/>
          <w:spacing w:val="-35"/>
          <w:sz w:val="28"/>
        </w:rPr>
        <w:t> </w:t>
      </w:r>
      <w:r>
        <w:rPr>
          <w:rFonts w:ascii="Courier New" w:hAnsi="Courier New"/>
          <w:sz w:val="28"/>
        </w:rPr>
        <w:t>for Lord Rama. These sentiments of the Muslims are</w:t>
      </w:r>
      <w:r>
        <w:rPr>
          <w:rFonts w:ascii="Courier New" w:hAnsi="Courier New"/>
          <w:spacing w:val="-30"/>
          <w:sz w:val="28"/>
        </w:rPr>
        <w:t> </w:t>
      </w:r>
      <w:r>
        <w:rPr>
          <w:rFonts w:ascii="Courier New" w:hAnsi="Courier New"/>
          <w:sz w:val="28"/>
        </w:rPr>
        <w:t>best</w:t>
      </w:r>
      <w:r>
        <w:rPr>
          <w:rFonts w:ascii="Courier New" w:hAnsi="Courier New"/>
          <w:spacing w:val="-30"/>
          <w:sz w:val="28"/>
        </w:rPr>
        <w:t> </w:t>
      </w:r>
      <w:r>
        <w:rPr>
          <w:rFonts w:ascii="Courier New" w:hAnsi="Courier New"/>
          <w:sz w:val="28"/>
        </w:rPr>
        <w:t>reflected</w:t>
      </w:r>
      <w:r>
        <w:rPr>
          <w:rFonts w:ascii="Courier New" w:hAnsi="Courier New"/>
          <w:spacing w:val="-30"/>
          <w:sz w:val="28"/>
        </w:rPr>
        <w:t> </w:t>
      </w:r>
      <w:r>
        <w:rPr>
          <w:rFonts w:ascii="Courier New" w:hAnsi="Courier New"/>
          <w:sz w:val="28"/>
        </w:rPr>
        <w:t>in</w:t>
      </w:r>
      <w:r>
        <w:rPr>
          <w:rFonts w:ascii="Courier New" w:hAnsi="Courier New"/>
          <w:spacing w:val="-30"/>
          <w:sz w:val="28"/>
        </w:rPr>
        <w:t> </w:t>
      </w:r>
      <w:r>
        <w:rPr>
          <w:rFonts w:ascii="Courier New" w:hAnsi="Courier New"/>
          <w:sz w:val="28"/>
        </w:rPr>
        <w:t>the</w:t>
      </w:r>
      <w:r>
        <w:rPr>
          <w:rFonts w:ascii="Courier New" w:hAnsi="Courier New"/>
          <w:spacing w:val="-30"/>
          <w:sz w:val="28"/>
        </w:rPr>
        <w:t> </w:t>
      </w:r>
      <w:r>
        <w:rPr>
          <w:rFonts w:ascii="Courier New" w:hAnsi="Courier New"/>
          <w:sz w:val="28"/>
        </w:rPr>
        <w:t>poem</w:t>
      </w:r>
      <w:r>
        <w:rPr>
          <w:rFonts w:ascii="Courier New" w:hAnsi="Courier New"/>
          <w:spacing w:val="-30"/>
          <w:sz w:val="28"/>
        </w:rPr>
        <w:t> </w:t>
      </w:r>
      <w:r>
        <w:rPr>
          <w:rFonts w:ascii="Courier New" w:hAnsi="Courier New"/>
          <w:sz w:val="28"/>
        </w:rPr>
        <w:t>entitled</w:t>
      </w:r>
      <w:r>
        <w:rPr>
          <w:rFonts w:ascii="Courier New" w:hAnsi="Courier New"/>
          <w:spacing w:val="-30"/>
          <w:sz w:val="28"/>
        </w:rPr>
        <w:t> </w:t>
      </w:r>
      <w:r>
        <w:rPr>
          <w:rFonts w:ascii="Courier New" w:hAnsi="Courier New"/>
          <w:sz w:val="28"/>
        </w:rPr>
        <w:t>“Ram” composed by the greatest Muslim thinker of India of the present century Allama Dr.Sir Muhammad</w:t>
      </w:r>
      <w:r>
        <w:rPr>
          <w:rFonts w:ascii="Courier New" w:hAnsi="Courier New"/>
          <w:spacing w:val="-26"/>
          <w:sz w:val="28"/>
        </w:rPr>
        <w:t> </w:t>
      </w:r>
      <w:r>
        <w:rPr>
          <w:rFonts w:ascii="Courier New" w:hAnsi="Courier New"/>
          <w:sz w:val="28"/>
        </w:rPr>
        <w:t>Iqbal,</w:t>
      </w:r>
      <w:r>
        <w:rPr>
          <w:rFonts w:ascii="Courier New" w:hAnsi="Courier New"/>
          <w:spacing w:val="-26"/>
          <w:sz w:val="28"/>
        </w:rPr>
        <w:t> </w:t>
      </w:r>
      <w:r>
        <w:rPr>
          <w:rFonts w:ascii="Courier New" w:hAnsi="Courier New"/>
          <w:sz w:val="28"/>
        </w:rPr>
        <w:t>who</w:t>
      </w:r>
      <w:r>
        <w:rPr>
          <w:rFonts w:ascii="Courier New" w:hAnsi="Courier New"/>
          <w:spacing w:val="-26"/>
          <w:sz w:val="28"/>
        </w:rPr>
        <w:t> </w:t>
      </w:r>
      <w:r>
        <w:rPr>
          <w:rFonts w:ascii="Courier New" w:hAnsi="Courier New"/>
          <w:sz w:val="28"/>
        </w:rPr>
        <w:t>has</w:t>
      </w:r>
      <w:r>
        <w:rPr>
          <w:rFonts w:ascii="Courier New" w:hAnsi="Courier New"/>
          <w:spacing w:val="-26"/>
          <w:sz w:val="28"/>
        </w:rPr>
        <w:t> </w:t>
      </w:r>
      <w:r>
        <w:rPr>
          <w:rFonts w:ascii="Courier New" w:hAnsi="Courier New"/>
          <w:sz w:val="28"/>
        </w:rPr>
        <w:t>summed</w:t>
      </w:r>
      <w:r>
        <w:rPr>
          <w:rFonts w:ascii="Courier New" w:hAnsi="Courier New"/>
          <w:spacing w:val="-26"/>
          <w:sz w:val="28"/>
        </w:rPr>
        <w:t> </w:t>
      </w:r>
      <w:r>
        <w:rPr>
          <w:rFonts w:ascii="Courier New" w:hAnsi="Courier New"/>
          <w:sz w:val="28"/>
        </w:rPr>
        <w:t>up</w:t>
      </w:r>
      <w:r>
        <w:rPr>
          <w:rFonts w:ascii="Courier New" w:hAnsi="Courier New"/>
          <w:spacing w:val="-26"/>
          <w:sz w:val="28"/>
        </w:rPr>
        <w:t> </w:t>
      </w:r>
      <w:r>
        <w:rPr>
          <w:rFonts w:ascii="Courier New" w:hAnsi="Courier New"/>
          <w:sz w:val="28"/>
        </w:rPr>
        <w:t>in</w:t>
      </w:r>
      <w:r>
        <w:rPr>
          <w:rFonts w:ascii="Courier New" w:hAnsi="Courier New"/>
          <w:spacing w:val="-26"/>
          <w:sz w:val="28"/>
        </w:rPr>
        <w:t> </w:t>
      </w:r>
      <w:r>
        <w:rPr>
          <w:rFonts w:ascii="Courier New" w:hAnsi="Courier New"/>
          <w:sz w:val="28"/>
        </w:rPr>
        <w:t>just</w:t>
      </w:r>
      <w:r>
        <w:rPr>
          <w:rFonts w:ascii="Courier New" w:hAnsi="Courier New"/>
          <w:spacing w:val="-26"/>
          <w:sz w:val="28"/>
        </w:rPr>
        <w:t> </w:t>
      </w:r>
      <w:r>
        <w:rPr>
          <w:rFonts w:ascii="Courier New" w:hAnsi="Courier New"/>
          <w:sz w:val="28"/>
        </w:rPr>
        <w:t>one verse of the long poem what Muslims of</w:t>
      </w:r>
      <w:r>
        <w:rPr>
          <w:rFonts w:ascii="Courier New" w:hAnsi="Courier New"/>
          <w:spacing w:val="-36"/>
          <w:sz w:val="28"/>
        </w:rPr>
        <w:t> </w:t>
      </w:r>
      <w:r>
        <w:rPr>
          <w:rFonts w:ascii="Courier New" w:hAnsi="Courier New"/>
          <w:sz w:val="28"/>
        </w:rPr>
        <w:t>India think of Shri Ram</w:t>
      </w:r>
      <w:r>
        <w:rPr>
          <w:rFonts w:ascii="Courier New" w:hAnsi="Courier New"/>
          <w:spacing w:val="-6"/>
          <w:sz w:val="28"/>
        </w:rPr>
        <w:t> </w:t>
      </w:r>
      <w:r>
        <w:rPr>
          <w:rFonts w:ascii="Courier New" w:hAnsi="Courier New"/>
          <w:sz w:val="28"/>
        </w:rPr>
        <w:t>Chanerji:</w:t>
      </w:r>
    </w:p>
    <w:p>
      <w:pPr>
        <w:pStyle w:val="BodyText"/>
        <w:spacing w:before="9"/>
        <w:rPr>
          <w:rFonts w:ascii="Courier New"/>
          <w:sz w:val="27"/>
        </w:rPr>
      </w:pPr>
    </w:p>
    <w:p>
      <w:pPr>
        <w:spacing w:line="242" w:lineRule="auto" w:before="0"/>
        <w:ind w:left="1350" w:right="1219" w:firstLine="227"/>
        <w:jc w:val="left"/>
        <w:rPr>
          <w:rFonts w:ascii="Courier New" w:hAnsi="Courier New"/>
          <w:sz w:val="28"/>
        </w:rPr>
      </w:pPr>
      <w:r>
        <w:rPr>
          <w:rFonts w:ascii="Courier New" w:hAnsi="Courier New"/>
          <w:sz w:val="28"/>
        </w:rPr>
        <w:t>“Hae Ram ke wajood pa Hindostan ko naaz Ahl-e Nazar Samajht-e hain usko Imam-e-</w:t>
      </w:r>
    </w:p>
    <w:p>
      <w:pPr>
        <w:spacing w:line="313" w:lineRule="exact" w:before="0"/>
        <w:ind w:left="4122" w:right="0" w:firstLine="0"/>
        <w:jc w:val="left"/>
        <w:rPr>
          <w:rFonts w:ascii="Courier New" w:hAnsi="Courier New"/>
          <w:sz w:val="28"/>
        </w:rPr>
      </w:pPr>
      <w:r>
        <w:rPr>
          <w:rFonts w:ascii="Courier New" w:hAnsi="Courier New"/>
          <w:sz w:val="28"/>
        </w:rPr>
        <w:t>Hind.”</w:t>
      </w:r>
    </w:p>
    <w:p>
      <w:pPr>
        <w:spacing w:after="0" w:line="313" w:lineRule="exact"/>
        <w:jc w:val="left"/>
        <w:rPr>
          <w:rFonts w:ascii="Courier New" w:hAnsi="Courier New"/>
          <w:sz w:val="28"/>
        </w:rPr>
        <w:sectPr>
          <w:headerReference w:type="default" r:id="rId234"/>
          <w:footerReference w:type="default" r:id="rId235"/>
          <w:pgSz w:w="11910" w:h="16840"/>
          <w:pgMar w:header="0" w:footer="1063" w:top="1580" w:bottom="1260" w:left="1280" w:right="1280"/>
          <w:pgNumType w:start="13"/>
        </w:sectPr>
      </w:pPr>
    </w:p>
    <w:p>
      <w:pPr>
        <w:spacing w:before="163"/>
        <w:ind w:left="1011" w:right="961" w:firstLine="0"/>
        <w:jc w:val="both"/>
        <w:rPr>
          <w:rFonts w:ascii="Courier New" w:hAnsi="Courier New"/>
          <w:sz w:val="28"/>
        </w:rPr>
      </w:pPr>
      <w:r>
        <w:rPr>
          <w:rFonts w:ascii="Courier New" w:hAnsi="Courier New"/>
          <w:sz w:val="28"/>
        </w:rPr>
        <w:t>Meaning- India is proud of the existence of Ram. The intelligentsia consider him as the leader of India.”</w:t>
      </w:r>
    </w:p>
    <w:p>
      <w:pPr>
        <w:pStyle w:val="BodyText"/>
        <w:rPr>
          <w:rFonts w:ascii="Courier New"/>
          <w:sz w:val="32"/>
        </w:rPr>
      </w:pPr>
    </w:p>
    <w:p>
      <w:pPr>
        <w:pStyle w:val="ListParagraph"/>
        <w:numPr>
          <w:ilvl w:val="0"/>
          <w:numId w:val="251"/>
        </w:numPr>
        <w:tabs>
          <w:tab w:pos="813" w:val="left" w:leader="none"/>
        </w:tabs>
        <w:spacing w:line="480" w:lineRule="auto" w:before="272" w:after="0"/>
        <w:ind w:left="159" w:right="113" w:firstLine="0"/>
        <w:jc w:val="both"/>
        <w:rPr>
          <w:rFonts w:ascii="Courier New" w:hAnsi="Courier New"/>
          <w:sz w:val="28"/>
        </w:rPr>
      </w:pPr>
      <w:r>
        <w:rPr>
          <w:rFonts w:ascii="Courier New" w:hAnsi="Courier New"/>
          <w:sz w:val="28"/>
        </w:rPr>
        <w:t>It</w:t>
      </w:r>
      <w:r>
        <w:rPr>
          <w:rFonts w:ascii="Courier New" w:hAnsi="Courier New"/>
          <w:spacing w:val="-22"/>
          <w:sz w:val="28"/>
        </w:rPr>
        <w:t> </w:t>
      </w:r>
      <w:r>
        <w:rPr>
          <w:rFonts w:ascii="Courier New" w:hAnsi="Courier New"/>
          <w:sz w:val="28"/>
        </w:rPr>
        <w:t>was,</w:t>
      </w:r>
      <w:r>
        <w:rPr>
          <w:rFonts w:ascii="Courier New" w:hAnsi="Courier New"/>
          <w:spacing w:val="-22"/>
          <w:sz w:val="28"/>
        </w:rPr>
        <w:t> </w:t>
      </w:r>
      <w:r>
        <w:rPr>
          <w:rFonts w:ascii="Courier New" w:hAnsi="Courier New"/>
          <w:sz w:val="28"/>
        </w:rPr>
        <w:t>however,</w:t>
      </w:r>
      <w:r>
        <w:rPr>
          <w:rFonts w:ascii="Courier New" w:hAnsi="Courier New"/>
          <w:spacing w:val="-21"/>
          <w:sz w:val="28"/>
        </w:rPr>
        <w:t> </w:t>
      </w:r>
      <w:r>
        <w:rPr>
          <w:rFonts w:ascii="Courier New" w:hAnsi="Courier New"/>
          <w:sz w:val="28"/>
        </w:rPr>
        <w:t>denied</w:t>
      </w:r>
      <w:r>
        <w:rPr>
          <w:rFonts w:ascii="Courier New" w:hAnsi="Courier New"/>
          <w:spacing w:val="-20"/>
          <w:sz w:val="28"/>
        </w:rPr>
        <w:t> </w:t>
      </w:r>
      <w:r>
        <w:rPr>
          <w:rFonts w:ascii="Courier New" w:hAnsi="Courier New"/>
          <w:sz w:val="28"/>
        </w:rPr>
        <w:t>that</w:t>
      </w:r>
      <w:r>
        <w:rPr>
          <w:rFonts w:ascii="Courier New" w:hAnsi="Courier New"/>
          <w:spacing w:val="-22"/>
          <w:sz w:val="28"/>
        </w:rPr>
        <w:t> </w:t>
      </w:r>
      <w:r>
        <w:rPr>
          <w:rFonts w:ascii="Courier New" w:hAnsi="Courier New"/>
          <w:sz w:val="28"/>
        </w:rPr>
        <w:t>premises</w:t>
      </w:r>
      <w:r>
        <w:rPr>
          <w:rFonts w:ascii="Courier New" w:hAnsi="Courier New"/>
          <w:spacing w:val="-19"/>
          <w:sz w:val="28"/>
        </w:rPr>
        <w:t> </w:t>
      </w:r>
      <w:r>
        <w:rPr>
          <w:rFonts w:ascii="Courier New" w:hAnsi="Courier New"/>
          <w:sz w:val="28"/>
        </w:rPr>
        <w:t>in</w:t>
      </w:r>
      <w:r>
        <w:rPr>
          <w:rFonts w:ascii="Courier New" w:hAnsi="Courier New"/>
          <w:spacing w:val="-22"/>
          <w:sz w:val="28"/>
        </w:rPr>
        <w:t> </w:t>
      </w:r>
      <w:r>
        <w:rPr>
          <w:rFonts w:ascii="Courier New" w:hAnsi="Courier New"/>
          <w:sz w:val="28"/>
        </w:rPr>
        <w:t>dispute</w:t>
      </w:r>
      <w:r>
        <w:rPr>
          <w:rFonts w:ascii="Courier New" w:hAnsi="Courier New"/>
          <w:spacing w:val="-22"/>
          <w:sz w:val="28"/>
        </w:rPr>
        <w:t> </w:t>
      </w:r>
      <w:r>
        <w:rPr>
          <w:rFonts w:ascii="Courier New" w:hAnsi="Courier New"/>
          <w:sz w:val="28"/>
        </w:rPr>
        <w:t>is the</w:t>
      </w:r>
      <w:r>
        <w:rPr>
          <w:rFonts w:ascii="Courier New" w:hAnsi="Courier New"/>
          <w:spacing w:val="-22"/>
          <w:sz w:val="28"/>
        </w:rPr>
        <w:t> </w:t>
      </w:r>
      <w:r>
        <w:rPr>
          <w:rFonts w:ascii="Courier New" w:hAnsi="Courier New"/>
          <w:sz w:val="28"/>
        </w:rPr>
        <w:t>place</w:t>
      </w:r>
      <w:r>
        <w:rPr>
          <w:rFonts w:ascii="Courier New" w:hAnsi="Courier New"/>
          <w:spacing w:val="-21"/>
          <w:sz w:val="28"/>
        </w:rPr>
        <w:t> </w:t>
      </w:r>
      <w:r>
        <w:rPr>
          <w:rFonts w:ascii="Courier New" w:hAnsi="Courier New"/>
          <w:sz w:val="28"/>
        </w:rPr>
        <w:t>where</w:t>
      </w:r>
      <w:r>
        <w:rPr>
          <w:rFonts w:ascii="Courier New" w:hAnsi="Courier New"/>
          <w:spacing w:val="-21"/>
          <w:sz w:val="28"/>
        </w:rPr>
        <w:t> </w:t>
      </w:r>
      <w:r>
        <w:rPr>
          <w:rFonts w:ascii="Courier New" w:hAnsi="Courier New"/>
          <w:sz w:val="28"/>
        </w:rPr>
        <w:t>Ram</w:t>
      </w:r>
      <w:r>
        <w:rPr>
          <w:rFonts w:ascii="Courier New" w:hAnsi="Courier New"/>
          <w:spacing w:val="-22"/>
          <w:sz w:val="28"/>
        </w:rPr>
        <w:t> </w:t>
      </w:r>
      <w:r>
        <w:rPr>
          <w:rFonts w:ascii="Courier New" w:hAnsi="Courier New"/>
          <w:sz w:val="28"/>
        </w:rPr>
        <w:t>Chandraji</w:t>
      </w:r>
      <w:r>
        <w:rPr>
          <w:rFonts w:ascii="Courier New" w:hAnsi="Courier New"/>
          <w:spacing w:val="-21"/>
          <w:sz w:val="28"/>
        </w:rPr>
        <w:t> </w:t>
      </w:r>
      <w:r>
        <w:rPr>
          <w:rFonts w:ascii="Courier New" w:hAnsi="Courier New"/>
          <w:sz w:val="28"/>
        </w:rPr>
        <w:t>was</w:t>
      </w:r>
      <w:r>
        <w:rPr>
          <w:rFonts w:ascii="Courier New" w:hAnsi="Courier New"/>
          <w:spacing w:val="-21"/>
          <w:sz w:val="28"/>
        </w:rPr>
        <w:t> </w:t>
      </w:r>
      <w:r>
        <w:rPr>
          <w:rFonts w:ascii="Courier New" w:hAnsi="Courier New"/>
          <w:sz w:val="28"/>
        </w:rPr>
        <w:t>born.</w:t>
      </w:r>
      <w:r>
        <w:rPr>
          <w:rFonts w:ascii="Courier New" w:hAnsi="Courier New"/>
          <w:spacing w:val="-22"/>
          <w:sz w:val="28"/>
        </w:rPr>
        <w:t> </w:t>
      </w:r>
      <w:r>
        <w:rPr>
          <w:rFonts w:ascii="Courier New" w:hAnsi="Courier New"/>
          <w:sz w:val="28"/>
        </w:rPr>
        <w:t>In</w:t>
      </w:r>
      <w:r>
        <w:rPr>
          <w:rFonts w:ascii="Courier New" w:hAnsi="Courier New"/>
          <w:spacing w:val="-19"/>
          <w:sz w:val="28"/>
        </w:rPr>
        <w:t> </w:t>
      </w:r>
      <w:r>
        <w:rPr>
          <w:rFonts w:ascii="Courier New" w:hAnsi="Courier New"/>
          <w:sz w:val="28"/>
        </w:rPr>
        <w:t>paragraph</w:t>
      </w:r>
      <w:r>
        <w:rPr>
          <w:rFonts w:ascii="Courier New" w:hAnsi="Courier New"/>
          <w:spacing w:val="-21"/>
          <w:sz w:val="28"/>
        </w:rPr>
        <w:t> </w:t>
      </w:r>
      <w:r>
        <w:rPr>
          <w:rFonts w:ascii="Courier New" w:hAnsi="Courier New"/>
          <w:sz w:val="28"/>
        </w:rPr>
        <w:t>15 of the written statement he has referred to Maulana Syed</w:t>
      </w:r>
      <w:r>
        <w:rPr>
          <w:rFonts w:ascii="Courier New" w:hAnsi="Courier New"/>
          <w:spacing w:val="-25"/>
          <w:sz w:val="28"/>
        </w:rPr>
        <w:t> </w:t>
      </w:r>
      <w:r>
        <w:rPr>
          <w:rFonts w:ascii="Courier New" w:hAnsi="Courier New"/>
          <w:sz w:val="28"/>
        </w:rPr>
        <w:t>Sabahuddin</w:t>
      </w:r>
      <w:r>
        <w:rPr>
          <w:rFonts w:ascii="Courier New" w:hAnsi="Courier New"/>
          <w:spacing w:val="-25"/>
          <w:sz w:val="28"/>
        </w:rPr>
        <w:t> </w:t>
      </w:r>
      <w:r>
        <w:rPr>
          <w:rFonts w:ascii="Courier New" w:hAnsi="Courier New"/>
          <w:sz w:val="28"/>
        </w:rPr>
        <w:t>Abdur</w:t>
      </w:r>
      <w:r>
        <w:rPr>
          <w:rFonts w:ascii="Courier New" w:hAnsi="Courier New"/>
          <w:spacing w:val="-25"/>
          <w:sz w:val="28"/>
        </w:rPr>
        <w:t> </w:t>
      </w:r>
      <w:r>
        <w:rPr>
          <w:rFonts w:ascii="Courier New" w:hAnsi="Courier New"/>
          <w:sz w:val="28"/>
        </w:rPr>
        <w:t>Rahman</w:t>
      </w:r>
      <w:r>
        <w:rPr>
          <w:rFonts w:ascii="Courier New" w:hAnsi="Courier New"/>
          <w:spacing w:val="-21"/>
          <w:sz w:val="28"/>
        </w:rPr>
        <w:t> </w:t>
      </w:r>
      <w:r>
        <w:rPr>
          <w:rFonts w:ascii="Courier New" w:hAnsi="Courier New"/>
          <w:sz w:val="28"/>
        </w:rPr>
        <w:t>who</w:t>
      </w:r>
      <w:r>
        <w:rPr>
          <w:rFonts w:ascii="Courier New" w:hAnsi="Courier New"/>
          <w:spacing w:val="-25"/>
          <w:sz w:val="28"/>
        </w:rPr>
        <w:t> </w:t>
      </w:r>
      <w:r>
        <w:rPr>
          <w:rFonts w:ascii="Courier New" w:hAnsi="Courier New"/>
          <w:sz w:val="28"/>
        </w:rPr>
        <w:t>in</w:t>
      </w:r>
      <w:r>
        <w:rPr>
          <w:rFonts w:ascii="Courier New" w:hAnsi="Courier New"/>
          <w:spacing w:val="-25"/>
          <w:sz w:val="28"/>
        </w:rPr>
        <w:t> </w:t>
      </w:r>
      <w:r>
        <w:rPr>
          <w:rFonts w:ascii="Courier New" w:hAnsi="Courier New"/>
          <w:sz w:val="28"/>
        </w:rPr>
        <w:t>his</w:t>
      </w:r>
      <w:r>
        <w:rPr>
          <w:rFonts w:ascii="Courier New" w:hAnsi="Courier New"/>
          <w:spacing w:val="-21"/>
          <w:sz w:val="28"/>
        </w:rPr>
        <w:t> </w:t>
      </w:r>
      <w:r>
        <w:rPr>
          <w:rFonts w:ascii="Courier New" w:hAnsi="Courier New"/>
          <w:sz w:val="28"/>
        </w:rPr>
        <w:t>treatise</w:t>
      </w:r>
      <w:r>
        <w:rPr>
          <w:rFonts w:ascii="Courier New" w:hAnsi="Courier New"/>
          <w:spacing w:val="-25"/>
          <w:sz w:val="28"/>
        </w:rPr>
        <w:t> </w:t>
      </w:r>
      <w:r>
        <w:rPr>
          <w:rFonts w:ascii="Courier New" w:hAnsi="Courier New"/>
          <w:sz w:val="28"/>
        </w:rPr>
        <w:t>“BABRI MASJID” had stated that if it is proved that Babri Masjid</w:t>
      </w:r>
      <w:r>
        <w:rPr>
          <w:rFonts w:ascii="Courier New" w:hAnsi="Courier New"/>
          <w:spacing w:val="-25"/>
          <w:sz w:val="28"/>
        </w:rPr>
        <w:t> </w:t>
      </w:r>
      <w:r>
        <w:rPr>
          <w:rFonts w:ascii="Courier New" w:hAnsi="Courier New"/>
          <w:sz w:val="28"/>
        </w:rPr>
        <w:t>has</w:t>
      </w:r>
      <w:r>
        <w:rPr>
          <w:rFonts w:ascii="Courier New" w:hAnsi="Courier New"/>
          <w:spacing w:val="-25"/>
          <w:sz w:val="28"/>
        </w:rPr>
        <w:t> </w:t>
      </w:r>
      <w:r>
        <w:rPr>
          <w:rFonts w:ascii="Courier New" w:hAnsi="Courier New"/>
          <w:sz w:val="28"/>
        </w:rPr>
        <w:t>been</w:t>
      </w:r>
      <w:r>
        <w:rPr>
          <w:rFonts w:ascii="Courier New" w:hAnsi="Courier New"/>
          <w:spacing w:val="-25"/>
          <w:sz w:val="28"/>
        </w:rPr>
        <w:t> </w:t>
      </w:r>
      <w:r>
        <w:rPr>
          <w:rFonts w:ascii="Courier New" w:hAnsi="Courier New"/>
          <w:sz w:val="28"/>
        </w:rPr>
        <w:t>built</w:t>
      </w:r>
      <w:r>
        <w:rPr>
          <w:rFonts w:ascii="Courier New" w:hAnsi="Courier New"/>
          <w:spacing w:val="-24"/>
          <w:sz w:val="28"/>
        </w:rPr>
        <w:t> </w:t>
      </w:r>
      <w:r>
        <w:rPr>
          <w:rFonts w:ascii="Courier New" w:hAnsi="Courier New"/>
          <w:sz w:val="28"/>
        </w:rPr>
        <w:t>after</w:t>
      </w:r>
      <w:r>
        <w:rPr>
          <w:rFonts w:ascii="Courier New" w:hAnsi="Courier New"/>
          <w:spacing w:val="-22"/>
          <w:sz w:val="28"/>
        </w:rPr>
        <w:t> </w:t>
      </w:r>
      <w:r>
        <w:rPr>
          <w:rFonts w:ascii="Courier New" w:hAnsi="Courier New"/>
          <w:sz w:val="28"/>
        </w:rPr>
        <w:t>demolishing</w:t>
      </w:r>
      <w:r>
        <w:rPr>
          <w:rFonts w:ascii="Courier New" w:hAnsi="Courier New"/>
          <w:spacing w:val="-25"/>
          <w:sz w:val="28"/>
        </w:rPr>
        <w:t> </w:t>
      </w:r>
      <w:r>
        <w:rPr>
          <w:rFonts w:ascii="Courier New" w:hAnsi="Courier New"/>
          <w:sz w:val="28"/>
        </w:rPr>
        <w:t>Ram</w:t>
      </w:r>
      <w:r>
        <w:rPr>
          <w:rFonts w:ascii="Courier New" w:hAnsi="Courier New"/>
          <w:spacing w:val="-24"/>
          <w:sz w:val="28"/>
        </w:rPr>
        <w:t> </w:t>
      </w:r>
      <w:r>
        <w:rPr>
          <w:rFonts w:ascii="Courier New" w:hAnsi="Courier New"/>
          <w:sz w:val="28"/>
        </w:rPr>
        <w:t>Janam</w:t>
      </w:r>
      <w:r>
        <w:rPr>
          <w:rFonts w:ascii="Courier New" w:hAnsi="Courier New"/>
          <w:spacing w:val="-25"/>
          <w:sz w:val="28"/>
        </w:rPr>
        <w:t> </w:t>
      </w:r>
      <w:r>
        <w:rPr>
          <w:rFonts w:ascii="Courier New" w:hAnsi="Courier New"/>
          <w:sz w:val="28"/>
        </w:rPr>
        <w:t>Bhumi Mandir on its place, then such a Mosque if built on such an usurped land deserves to be destroyed. In paragraph 15 following was</w:t>
      </w:r>
      <w:r>
        <w:rPr>
          <w:rFonts w:ascii="Courier New" w:hAnsi="Courier New"/>
          <w:spacing w:val="-7"/>
          <w:sz w:val="28"/>
        </w:rPr>
        <w:t> </w:t>
      </w:r>
      <w:r>
        <w:rPr>
          <w:rFonts w:ascii="Courier New" w:hAnsi="Courier New"/>
          <w:sz w:val="28"/>
        </w:rPr>
        <w:t>pleaded:</w:t>
      </w:r>
    </w:p>
    <w:p>
      <w:pPr>
        <w:spacing w:line="240" w:lineRule="auto" w:before="0"/>
        <w:ind w:left="1011" w:right="962" w:firstLine="0"/>
        <w:jc w:val="both"/>
        <w:rPr>
          <w:rFonts w:ascii="Courier New" w:hAnsi="Courier New"/>
          <w:sz w:val="28"/>
        </w:rPr>
      </w:pPr>
      <w:r>
        <w:rPr>
          <w:rFonts w:ascii="Courier New" w:hAnsi="Courier New"/>
          <w:sz w:val="28"/>
        </w:rPr>
        <w:t>“15………In this connection, the celebrated Muslim historian and scholar Maulana Syed Sabahuddin Abdur Rahman (since expired) in his well-known treatise “BABRI MASJID”</w:t>
      </w:r>
      <w:r>
        <w:rPr>
          <w:rFonts w:ascii="Courier New" w:hAnsi="Courier New"/>
          <w:spacing w:val="-39"/>
          <w:sz w:val="28"/>
        </w:rPr>
        <w:t> </w:t>
      </w:r>
      <w:r>
        <w:rPr>
          <w:rFonts w:ascii="Courier New" w:hAnsi="Courier New"/>
          <w:sz w:val="28"/>
        </w:rPr>
        <w:t>wrote at</w:t>
      </w:r>
      <w:r>
        <w:rPr>
          <w:rFonts w:ascii="Courier New" w:hAnsi="Courier New"/>
          <w:spacing w:val="-42"/>
          <w:sz w:val="28"/>
        </w:rPr>
        <w:t> </w:t>
      </w:r>
      <w:r>
        <w:rPr>
          <w:rFonts w:ascii="Courier New" w:hAnsi="Courier New"/>
          <w:sz w:val="28"/>
        </w:rPr>
        <w:t>page</w:t>
      </w:r>
      <w:r>
        <w:rPr>
          <w:rFonts w:ascii="Courier New" w:hAnsi="Courier New"/>
          <w:spacing w:val="-42"/>
          <w:sz w:val="28"/>
        </w:rPr>
        <w:t> </w:t>
      </w:r>
      <w:r>
        <w:rPr>
          <w:rFonts w:ascii="Courier New" w:hAnsi="Courier New"/>
          <w:sz w:val="28"/>
        </w:rPr>
        <w:t>5</w:t>
      </w:r>
      <w:r>
        <w:rPr>
          <w:rFonts w:ascii="Courier New" w:hAnsi="Courier New"/>
          <w:spacing w:val="-42"/>
          <w:sz w:val="28"/>
        </w:rPr>
        <w:t> </w:t>
      </w:r>
      <w:r>
        <w:rPr>
          <w:rFonts w:ascii="Courier New" w:hAnsi="Courier New"/>
          <w:sz w:val="28"/>
        </w:rPr>
        <w:t>at</w:t>
      </w:r>
      <w:r>
        <w:rPr>
          <w:rFonts w:ascii="Courier New" w:hAnsi="Courier New"/>
          <w:spacing w:val="-44"/>
          <w:sz w:val="28"/>
        </w:rPr>
        <w:t> </w:t>
      </w:r>
      <w:r>
        <w:rPr>
          <w:rFonts w:ascii="Courier New" w:hAnsi="Courier New"/>
          <w:sz w:val="28"/>
        </w:rPr>
        <w:t>the</w:t>
      </w:r>
      <w:r>
        <w:rPr>
          <w:rFonts w:ascii="Courier New" w:hAnsi="Courier New"/>
          <w:spacing w:val="-41"/>
          <w:sz w:val="28"/>
        </w:rPr>
        <w:t> </w:t>
      </w:r>
      <w:r>
        <w:rPr>
          <w:rFonts w:ascii="Courier New" w:hAnsi="Courier New"/>
          <w:sz w:val="28"/>
        </w:rPr>
        <w:t>very</w:t>
      </w:r>
      <w:r>
        <w:rPr>
          <w:rFonts w:ascii="Courier New" w:hAnsi="Courier New"/>
          <w:spacing w:val="-42"/>
          <w:sz w:val="28"/>
        </w:rPr>
        <w:t> </w:t>
      </w:r>
      <w:r>
        <w:rPr>
          <w:rFonts w:ascii="Courier New" w:hAnsi="Courier New"/>
          <w:sz w:val="28"/>
        </w:rPr>
        <w:t>beginning</w:t>
      </w:r>
      <w:r>
        <w:rPr>
          <w:rFonts w:ascii="Courier New" w:hAnsi="Courier New"/>
          <w:spacing w:val="-42"/>
          <w:sz w:val="28"/>
        </w:rPr>
        <w:t> </w:t>
      </w:r>
      <w:r>
        <w:rPr>
          <w:rFonts w:ascii="Courier New" w:hAnsi="Courier New"/>
          <w:sz w:val="28"/>
        </w:rPr>
        <w:t>of</w:t>
      </w:r>
      <w:r>
        <w:rPr>
          <w:rFonts w:ascii="Courier New" w:hAnsi="Courier New"/>
          <w:spacing w:val="-42"/>
          <w:sz w:val="28"/>
        </w:rPr>
        <w:t> </w:t>
      </w:r>
      <w:r>
        <w:rPr>
          <w:rFonts w:ascii="Courier New" w:hAnsi="Courier New"/>
          <w:sz w:val="28"/>
        </w:rPr>
        <w:t>his</w:t>
      </w:r>
      <w:r>
        <w:rPr>
          <w:rFonts w:ascii="Courier New" w:hAnsi="Courier New"/>
          <w:spacing w:val="-41"/>
          <w:sz w:val="28"/>
        </w:rPr>
        <w:t> </w:t>
      </w:r>
      <w:r>
        <w:rPr>
          <w:rFonts w:ascii="Courier New" w:hAnsi="Courier New"/>
          <w:sz w:val="28"/>
        </w:rPr>
        <w:t>preface thus: (translation from</w:t>
      </w:r>
      <w:r>
        <w:rPr>
          <w:rFonts w:ascii="Courier New" w:hAnsi="Courier New"/>
          <w:spacing w:val="-5"/>
          <w:sz w:val="28"/>
        </w:rPr>
        <w:t> </w:t>
      </w:r>
      <w:r>
        <w:rPr>
          <w:rFonts w:ascii="Courier New" w:hAnsi="Courier New"/>
          <w:sz w:val="28"/>
        </w:rPr>
        <w:t>Urdu)</w:t>
      </w:r>
    </w:p>
    <w:p>
      <w:pPr>
        <w:pStyle w:val="BodyText"/>
        <w:spacing w:before="10"/>
        <w:rPr>
          <w:rFonts w:ascii="Courier New"/>
          <w:sz w:val="27"/>
        </w:rPr>
      </w:pPr>
    </w:p>
    <w:p>
      <w:pPr>
        <w:spacing w:line="240" w:lineRule="auto" w:before="0"/>
        <w:ind w:left="1011" w:right="962" w:firstLine="566"/>
        <w:jc w:val="both"/>
        <w:rPr>
          <w:rFonts w:ascii="Courier New" w:hAnsi="Courier New"/>
          <w:sz w:val="28"/>
        </w:rPr>
      </w:pPr>
      <w:r>
        <w:rPr>
          <w:rFonts w:ascii="Courier New" w:hAnsi="Courier New"/>
          <w:sz w:val="28"/>
        </w:rPr>
        <w:t>“On behalf of Muslims I also have a</w:t>
      </w:r>
      <w:r>
        <w:rPr>
          <w:rFonts w:ascii="Courier New" w:hAnsi="Courier New"/>
          <w:spacing w:val="-100"/>
          <w:sz w:val="28"/>
        </w:rPr>
        <w:t> </w:t>
      </w:r>
      <w:r>
        <w:rPr>
          <w:rFonts w:ascii="Courier New" w:hAnsi="Courier New"/>
          <w:sz w:val="28"/>
        </w:rPr>
        <w:t>right to</w:t>
      </w:r>
      <w:r>
        <w:rPr>
          <w:rFonts w:ascii="Courier New" w:hAnsi="Courier New"/>
          <w:spacing w:val="-24"/>
          <w:sz w:val="28"/>
        </w:rPr>
        <w:t> </w:t>
      </w:r>
      <w:r>
        <w:rPr>
          <w:rFonts w:ascii="Courier New" w:hAnsi="Courier New"/>
          <w:sz w:val="28"/>
        </w:rPr>
        <w:t>say</w:t>
      </w:r>
      <w:r>
        <w:rPr>
          <w:rFonts w:ascii="Courier New" w:hAnsi="Courier New"/>
          <w:spacing w:val="-24"/>
          <w:sz w:val="28"/>
        </w:rPr>
        <w:t> </w:t>
      </w:r>
      <w:r>
        <w:rPr>
          <w:rFonts w:ascii="Courier New" w:hAnsi="Courier New"/>
          <w:sz w:val="28"/>
        </w:rPr>
        <w:t>that</w:t>
      </w:r>
      <w:r>
        <w:rPr>
          <w:rFonts w:ascii="Courier New" w:hAnsi="Courier New"/>
          <w:spacing w:val="-24"/>
          <w:sz w:val="28"/>
        </w:rPr>
        <w:t> </w:t>
      </w:r>
      <w:r>
        <w:rPr>
          <w:rFonts w:ascii="Courier New" w:hAnsi="Courier New"/>
          <w:sz w:val="28"/>
        </w:rPr>
        <w:t>if</w:t>
      </w:r>
      <w:r>
        <w:rPr>
          <w:rFonts w:ascii="Courier New" w:hAnsi="Courier New"/>
          <w:spacing w:val="-18"/>
          <w:sz w:val="28"/>
        </w:rPr>
        <w:t> </w:t>
      </w:r>
      <w:r>
        <w:rPr>
          <w:rFonts w:ascii="Courier New" w:hAnsi="Courier New"/>
          <w:sz w:val="28"/>
        </w:rPr>
        <w:t>it</w:t>
      </w:r>
      <w:r>
        <w:rPr>
          <w:rFonts w:ascii="Courier New" w:hAnsi="Courier New"/>
          <w:spacing w:val="-24"/>
          <w:sz w:val="28"/>
        </w:rPr>
        <w:t> </w:t>
      </w:r>
      <w:r>
        <w:rPr>
          <w:rFonts w:ascii="Courier New" w:hAnsi="Courier New"/>
          <w:sz w:val="28"/>
        </w:rPr>
        <w:t>is</w:t>
      </w:r>
      <w:r>
        <w:rPr>
          <w:rFonts w:ascii="Courier New" w:hAnsi="Courier New"/>
          <w:spacing w:val="-24"/>
          <w:sz w:val="28"/>
        </w:rPr>
        <w:t> </w:t>
      </w:r>
      <w:r>
        <w:rPr>
          <w:rFonts w:ascii="Courier New" w:hAnsi="Courier New"/>
          <w:sz w:val="28"/>
        </w:rPr>
        <w:t>proved</w:t>
      </w:r>
      <w:r>
        <w:rPr>
          <w:rFonts w:ascii="Courier New" w:hAnsi="Courier New"/>
          <w:spacing w:val="-24"/>
          <w:sz w:val="28"/>
        </w:rPr>
        <w:t> </w:t>
      </w:r>
      <w:r>
        <w:rPr>
          <w:rFonts w:ascii="Courier New" w:hAnsi="Courier New"/>
          <w:sz w:val="28"/>
        </w:rPr>
        <w:t>that</w:t>
      </w:r>
      <w:r>
        <w:rPr>
          <w:rFonts w:ascii="Courier New" w:hAnsi="Courier New"/>
          <w:spacing w:val="-23"/>
          <w:sz w:val="28"/>
        </w:rPr>
        <w:t> </w:t>
      </w:r>
      <w:r>
        <w:rPr>
          <w:rFonts w:ascii="Courier New" w:hAnsi="Courier New"/>
          <w:sz w:val="28"/>
        </w:rPr>
        <w:t>Babri</w:t>
      </w:r>
      <w:r>
        <w:rPr>
          <w:rFonts w:ascii="Courier New" w:hAnsi="Courier New"/>
          <w:spacing w:val="-24"/>
          <w:sz w:val="28"/>
        </w:rPr>
        <w:t> </w:t>
      </w:r>
      <w:r>
        <w:rPr>
          <w:rFonts w:ascii="Courier New" w:hAnsi="Courier New"/>
          <w:sz w:val="28"/>
        </w:rPr>
        <w:t>Masjid has been built after demolishing Ram Janam Bhoomi Mandir on its place, then such a mosque if built on such an usurped land deserves to be destroyed. No theologean or Aalim can give Fatwa to hold Namaz in</w:t>
      </w:r>
      <w:r>
        <w:rPr>
          <w:rFonts w:ascii="Courier New" w:hAnsi="Courier New"/>
          <w:spacing w:val="-17"/>
          <w:sz w:val="28"/>
        </w:rPr>
        <w:t> </w:t>
      </w:r>
      <w:r>
        <w:rPr>
          <w:rFonts w:ascii="Courier New" w:hAnsi="Courier New"/>
          <w:sz w:val="28"/>
        </w:rPr>
        <w:t>it.”</w:t>
      </w:r>
    </w:p>
    <w:p>
      <w:pPr>
        <w:pStyle w:val="BodyText"/>
        <w:rPr>
          <w:rFonts w:ascii="Courier New"/>
          <w:sz w:val="32"/>
        </w:rPr>
      </w:pPr>
    </w:p>
    <w:p>
      <w:pPr>
        <w:pStyle w:val="ListParagraph"/>
        <w:numPr>
          <w:ilvl w:val="0"/>
          <w:numId w:val="251"/>
        </w:numPr>
        <w:tabs>
          <w:tab w:pos="852" w:val="left" w:leader="none"/>
        </w:tabs>
        <w:spacing w:line="482" w:lineRule="auto" w:before="270" w:after="0"/>
        <w:ind w:left="160" w:right="109" w:hanging="1"/>
        <w:jc w:val="both"/>
        <w:rPr>
          <w:rFonts w:ascii="Courier New"/>
          <w:sz w:val="28"/>
        </w:rPr>
      </w:pPr>
      <w:r>
        <w:rPr>
          <w:rFonts w:ascii="Courier New"/>
          <w:sz w:val="28"/>
        </w:rPr>
        <w:t>To the same effect pleadings were made in para-26 which are as</w:t>
      </w:r>
      <w:r>
        <w:rPr>
          <w:rFonts w:ascii="Courier New"/>
          <w:spacing w:val="-4"/>
          <w:sz w:val="28"/>
        </w:rPr>
        <w:t> </w:t>
      </w:r>
      <w:r>
        <w:rPr>
          <w:rFonts w:ascii="Courier New"/>
          <w:sz w:val="28"/>
        </w:rPr>
        <w:t>follows:</w:t>
      </w:r>
    </w:p>
    <w:p>
      <w:pPr>
        <w:spacing w:after="0" w:line="482" w:lineRule="auto"/>
        <w:jc w:val="both"/>
        <w:rPr>
          <w:rFonts w:ascii="Courier New"/>
          <w:sz w:val="28"/>
        </w:rPr>
        <w:sectPr>
          <w:headerReference w:type="default" r:id="rId236"/>
          <w:footerReference w:type="default" r:id="rId237"/>
          <w:pgSz w:w="11910" w:h="16840"/>
          <w:pgMar w:header="0" w:footer="1063" w:top="1580" w:bottom="1260" w:left="1280" w:right="1280"/>
          <w:pgNumType w:start="14"/>
        </w:sectPr>
      </w:pPr>
    </w:p>
    <w:p>
      <w:pPr>
        <w:spacing w:line="240" w:lineRule="auto" w:before="86"/>
        <w:ind w:left="1011" w:right="961" w:firstLine="0"/>
        <w:jc w:val="both"/>
        <w:rPr>
          <w:rFonts w:ascii="Courier New" w:hAnsi="Courier New"/>
          <w:sz w:val="28"/>
        </w:rPr>
      </w:pPr>
      <w:r>
        <w:rPr>
          <w:rFonts w:ascii="Courier New" w:hAnsi="Courier New"/>
          <w:sz w:val="28"/>
        </w:rPr>
        <w:t>“26. That as regards the contents of paragraphs 34 and 35 of the Suit Plaint,</w:t>
      </w:r>
      <w:r>
        <w:rPr>
          <w:rFonts w:ascii="Courier New" w:hAnsi="Courier New"/>
          <w:spacing w:val="-36"/>
          <w:sz w:val="28"/>
        </w:rPr>
        <w:t> </w:t>
      </w:r>
      <w:r>
        <w:rPr>
          <w:rFonts w:ascii="Courier New" w:hAnsi="Courier New"/>
          <w:sz w:val="28"/>
        </w:rPr>
        <w:t>the answering</w:t>
      </w:r>
      <w:r>
        <w:rPr>
          <w:rFonts w:ascii="Courier New" w:hAnsi="Courier New"/>
          <w:spacing w:val="-43"/>
          <w:sz w:val="28"/>
        </w:rPr>
        <w:t> </w:t>
      </w:r>
      <w:r>
        <w:rPr>
          <w:rFonts w:ascii="Courier New" w:hAnsi="Courier New"/>
          <w:sz w:val="28"/>
        </w:rPr>
        <w:t>defendant</w:t>
      </w:r>
      <w:r>
        <w:rPr>
          <w:rFonts w:ascii="Courier New" w:hAnsi="Courier New"/>
          <w:spacing w:val="-42"/>
          <w:sz w:val="28"/>
        </w:rPr>
        <w:t> </w:t>
      </w:r>
      <w:r>
        <w:rPr>
          <w:rFonts w:ascii="Courier New" w:hAnsi="Courier New"/>
          <w:sz w:val="28"/>
        </w:rPr>
        <w:t>being</w:t>
      </w:r>
      <w:r>
        <w:rPr>
          <w:rFonts w:ascii="Courier New" w:hAnsi="Courier New"/>
          <w:spacing w:val="-43"/>
          <w:sz w:val="28"/>
        </w:rPr>
        <w:t> </w:t>
      </w:r>
      <w:r>
        <w:rPr>
          <w:rFonts w:ascii="Courier New" w:hAnsi="Courier New"/>
          <w:sz w:val="28"/>
        </w:rPr>
        <w:t>a</w:t>
      </w:r>
      <w:r>
        <w:rPr>
          <w:rFonts w:ascii="Courier New" w:hAnsi="Courier New"/>
          <w:spacing w:val="-42"/>
          <w:sz w:val="28"/>
        </w:rPr>
        <w:t> </w:t>
      </w:r>
      <w:r>
        <w:rPr>
          <w:rFonts w:ascii="Courier New" w:hAnsi="Courier New"/>
          <w:sz w:val="28"/>
        </w:rPr>
        <w:t>representative</w:t>
      </w:r>
      <w:r>
        <w:rPr>
          <w:rFonts w:ascii="Courier New" w:hAnsi="Courier New"/>
          <w:spacing w:val="-40"/>
          <w:sz w:val="28"/>
        </w:rPr>
        <w:t> </w:t>
      </w:r>
      <w:r>
        <w:rPr>
          <w:rFonts w:ascii="Courier New" w:hAnsi="Courier New"/>
          <w:sz w:val="28"/>
        </w:rPr>
        <w:t>of the Shia Muslims of India is deadly against any form of sacrilegious actions. He is of the</w:t>
      </w:r>
      <w:r>
        <w:rPr>
          <w:rFonts w:ascii="Courier New" w:hAnsi="Courier New"/>
          <w:spacing w:val="-25"/>
          <w:sz w:val="28"/>
        </w:rPr>
        <w:t> </w:t>
      </w:r>
      <w:r>
        <w:rPr>
          <w:rFonts w:ascii="Courier New" w:hAnsi="Courier New"/>
          <w:sz w:val="28"/>
        </w:rPr>
        <w:t>firm</w:t>
      </w:r>
      <w:r>
        <w:rPr>
          <w:rFonts w:ascii="Courier New" w:hAnsi="Courier New"/>
          <w:spacing w:val="-24"/>
          <w:sz w:val="28"/>
        </w:rPr>
        <w:t> </w:t>
      </w:r>
      <w:r>
        <w:rPr>
          <w:rFonts w:ascii="Courier New" w:hAnsi="Courier New"/>
          <w:sz w:val="28"/>
        </w:rPr>
        <w:t>view</w:t>
      </w:r>
      <w:r>
        <w:rPr>
          <w:rFonts w:ascii="Courier New" w:hAnsi="Courier New"/>
          <w:spacing w:val="-21"/>
          <w:sz w:val="28"/>
        </w:rPr>
        <w:t> </w:t>
      </w:r>
      <w:r>
        <w:rPr>
          <w:rFonts w:ascii="Courier New" w:hAnsi="Courier New"/>
          <w:sz w:val="28"/>
        </w:rPr>
        <w:t>that</w:t>
      </w:r>
      <w:r>
        <w:rPr>
          <w:rFonts w:ascii="Courier New" w:hAnsi="Courier New"/>
          <w:spacing w:val="-24"/>
          <w:sz w:val="28"/>
        </w:rPr>
        <w:t> </w:t>
      </w:r>
      <w:r>
        <w:rPr>
          <w:rFonts w:ascii="Courier New" w:hAnsi="Courier New"/>
          <w:sz w:val="28"/>
        </w:rPr>
        <w:t>no</w:t>
      </w:r>
      <w:r>
        <w:rPr>
          <w:rFonts w:ascii="Courier New" w:hAnsi="Courier New"/>
          <w:spacing w:val="-24"/>
          <w:sz w:val="28"/>
        </w:rPr>
        <w:t> </w:t>
      </w:r>
      <w:r>
        <w:rPr>
          <w:rFonts w:ascii="Courier New" w:hAnsi="Courier New"/>
          <w:sz w:val="28"/>
        </w:rPr>
        <w:t>place</w:t>
      </w:r>
      <w:r>
        <w:rPr>
          <w:rFonts w:ascii="Courier New" w:hAnsi="Courier New"/>
          <w:spacing w:val="-22"/>
          <w:sz w:val="28"/>
        </w:rPr>
        <w:t> </w:t>
      </w:r>
      <w:r>
        <w:rPr>
          <w:rFonts w:ascii="Courier New" w:hAnsi="Courier New"/>
          <w:sz w:val="28"/>
        </w:rPr>
        <w:t>of</w:t>
      </w:r>
      <w:r>
        <w:rPr>
          <w:rFonts w:ascii="Courier New" w:hAnsi="Courier New"/>
          <w:spacing w:val="-24"/>
          <w:sz w:val="28"/>
        </w:rPr>
        <w:t> </w:t>
      </w:r>
      <w:r>
        <w:rPr>
          <w:rFonts w:ascii="Courier New" w:hAnsi="Courier New"/>
          <w:sz w:val="28"/>
        </w:rPr>
        <w:t>worship</w:t>
      </w:r>
      <w:r>
        <w:rPr>
          <w:rFonts w:ascii="Courier New" w:hAnsi="Courier New"/>
          <w:spacing w:val="-24"/>
          <w:sz w:val="28"/>
        </w:rPr>
        <w:t> </w:t>
      </w:r>
      <w:r>
        <w:rPr>
          <w:rFonts w:ascii="Courier New" w:hAnsi="Courier New"/>
          <w:sz w:val="28"/>
        </w:rPr>
        <w:t>of</w:t>
      </w:r>
      <w:r>
        <w:rPr>
          <w:rFonts w:ascii="Courier New" w:hAnsi="Courier New"/>
          <w:spacing w:val="-21"/>
          <w:sz w:val="28"/>
        </w:rPr>
        <w:t> </w:t>
      </w:r>
      <w:r>
        <w:rPr>
          <w:rFonts w:ascii="Courier New" w:hAnsi="Courier New"/>
          <w:sz w:val="28"/>
        </w:rPr>
        <w:t>any religion should be destroyed and no place</w:t>
      </w:r>
      <w:r>
        <w:rPr>
          <w:rFonts w:ascii="Courier New" w:hAnsi="Courier New"/>
          <w:spacing w:val="-35"/>
          <w:sz w:val="28"/>
        </w:rPr>
        <w:t> </w:t>
      </w:r>
      <w:r>
        <w:rPr>
          <w:rFonts w:ascii="Courier New" w:hAnsi="Courier New"/>
          <w:sz w:val="28"/>
        </w:rPr>
        <w:t>of worship should be constructed on the ruins of</w:t>
      </w:r>
      <w:r>
        <w:rPr>
          <w:rFonts w:ascii="Courier New" w:hAnsi="Courier New"/>
          <w:spacing w:val="-35"/>
          <w:sz w:val="28"/>
        </w:rPr>
        <w:t> </w:t>
      </w:r>
      <w:r>
        <w:rPr>
          <w:rFonts w:ascii="Courier New" w:hAnsi="Courier New"/>
          <w:sz w:val="28"/>
        </w:rPr>
        <w:t>the</w:t>
      </w:r>
      <w:r>
        <w:rPr>
          <w:rFonts w:ascii="Courier New" w:hAnsi="Courier New"/>
          <w:spacing w:val="-34"/>
          <w:sz w:val="28"/>
        </w:rPr>
        <w:t> </w:t>
      </w:r>
      <w:r>
        <w:rPr>
          <w:rFonts w:ascii="Courier New" w:hAnsi="Courier New"/>
          <w:sz w:val="28"/>
        </w:rPr>
        <w:t>destroyed</w:t>
      </w:r>
      <w:r>
        <w:rPr>
          <w:rFonts w:ascii="Courier New" w:hAnsi="Courier New"/>
          <w:spacing w:val="-35"/>
          <w:sz w:val="28"/>
        </w:rPr>
        <w:t> </w:t>
      </w:r>
      <w:r>
        <w:rPr>
          <w:rFonts w:ascii="Courier New" w:hAnsi="Courier New"/>
          <w:sz w:val="28"/>
        </w:rPr>
        <w:t>one.</w:t>
      </w:r>
      <w:r>
        <w:rPr>
          <w:rFonts w:ascii="Courier New" w:hAnsi="Courier New"/>
          <w:spacing w:val="-34"/>
          <w:sz w:val="28"/>
        </w:rPr>
        <w:t> </w:t>
      </w:r>
      <w:r>
        <w:rPr>
          <w:rFonts w:ascii="Courier New" w:hAnsi="Courier New"/>
          <w:sz w:val="28"/>
        </w:rPr>
        <w:t>The</w:t>
      </w:r>
      <w:r>
        <w:rPr>
          <w:rFonts w:ascii="Courier New" w:hAnsi="Courier New"/>
          <w:spacing w:val="-35"/>
          <w:sz w:val="28"/>
        </w:rPr>
        <w:t> </w:t>
      </w:r>
      <w:r>
        <w:rPr>
          <w:rFonts w:ascii="Courier New" w:hAnsi="Courier New"/>
          <w:sz w:val="28"/>
        </w:rPr>
        <w:t>Answering</w:t>
      </w:r>
      <w:r>
        <w:rPr>
          <w:rFonts w:ascii="Courier New" w:hAnsi="Courier New"/>
          <w:spacing w:val="-34"/>
          <w:sz w:val="28"/>
        </w:rPr>
        <w:t> </w:t>
      </w:r>
      <w:r>
        <w:rPr>
          <w:rFonts w:ascii="Courier New" w:hAnsi="Courier New"/>
          <w:sz w:val="28"/>
        </w:rPr>
        <w:t>defendant firmly believes that the Babri Masjid was certainly not built after destroying the Vikramaditya Mandir or any temple. Yet, at the same time if it is unequivocally proved in this Hon’ble Court in the light of historical archaeological and expert scientific</w:t>
      </w:r>
      <w:r>
        <w:rPr>
          <w:rFonts w:ascii="Courier New" w:hAnsi="Courier New"/>
          <w:spacing w:val="-35"/>
          <w:sz w:val="28"/>
        </w:rPr>
        <w:t> </w:t>
      </w:r>
      <w:r>
        <w:rPr>
          <w:rFonts w:ascii="Courier New" w:hAnsi="Courier New"/>
          <w:sz w:val="28"/>
        </w:rPr>
        <w:t>evidence</w:t>
      </w:r>
      <w:r>
        <w:rPr>
          <w:rFonts w:ascii="Courier New" w:hAnsi="Courier New"/>
          <w:spacing w:val="-34"/>
          <w:sz w:val="28"/>
        </w:rPr>
        <w:t> </w:t>
      </w:r>
      <w:r>
        <w:rPr>
          <w:rFonts w:ascii="Courier New" w:hAnsi="Courier New"/>
          <w:sz w:val="28"/>
        </w:rPr>
        <w:t>that</w:t>
      </w:r>
      <w:r>
        <w:rPr>
          <w:rFonts w:ascii="Courier New" w:hAnsi="Courier New"/>
          <w:spacing w:val="-35"/>
          <w:sz w:val="28"/>
        </w:rPr>
        <w:t> </w:t>
      </w:r>
      <w:r>
        <w:rPr>
          <w:rFonts w:ascii="Courier New" w:hAnsi="Courier New"/>
          <w:sz w:val="28"/>
        </w:rPr>
        <w:t>the</w:t>
      </w:r>
      <w:r>
        <w:rPr>
          <w:rFonts w:ascii="Courier New" w:hAnsi="Courier New"/>
          <w:spacing w:val="-34"/>
          <w:sz w:val="28"/>
        </w:rPr>
        <w:t> </w:t>
      </w:r>
      <w:r>
        <w:rPr>
          <w:rFonts w:ascii="Courier New" w:hAnsi="Courier New"/>
          <w:sz w:val="28"/>
        </w:rPr>
        <w:t>Babri</w:t>
      </w:r>
      <w:r>
        <w:rPr>
          <w:rFonts w:ascii="Courier New" w:hAnsi="Courier New"/>
          <w:spacing w:val="-35"/>
          <w:sz w:val="28"/>
        </w:rPr>
        <w:t> </w:t>
      </w:r>
      <w:r>
        <w:rPr>
          <w:rFonts w:ascii="Courier New" w:hAnsi="Courier New"/>
          <w:sz w:val="28"/>
        </w:rPr>
        <w:t>Masjid</w:t>
      </w:r>
      <w:r>
        <w:rPr>
          <w:rFonts w:ascii="Courier New" w:hAnsi="Courier New"/>
          <w:spacing w:val="-34"/>
          <w:sz w:val="28"/>
        </w:rPr>
        <w:t> </w:t>
      </w:r>
      <w:r>
        <w:rPr>
          <w:rFonts w:ascii="Courier New" w:hAnsi="Courier New"/>
          <w:sz w:val="28"/>
        </w:rPr>
        <w:t>was really built after demolishing any Mandir</w:t>
      </w:r>
      <w:r>
        <w:rPr>
          <w:rFonts w:ascii="Courier New" w:hAnsi="Courier New"/>
          <w:spacing w:val="-36"/>
          <w:sz w:val="28"/>
        </w:rPr>
        <w:t> </w:t>
      </w:r>
      <w:r>
        <w:rPr>
          <w:rFonts w:ascii="Courier New" w:hAnsi="Courier New"/>
          <w:sz w:val="28"/>
        </w:rPr>
        <w:t>on the Mandir land, only then this defendant will withdraw his</w:t>
      </w:r>
      <w:r>
        <w:rPr>
          <w:rFonts w:ascii="Courier New" w:hAnsi="Courier New"/>
          <w:spacing w:val="-5"/>
          <w:sz w:val="28"/>
        </w:rPr>
        <w:t> </w:t>
      </w:r>
      <w:r>
        <w:rPr>
          <w:rFonts w:ascii="Courier New" w:hAnsi="Courier New"/>
          <w:sz w:val="28"/>
        </w:rPr>
        <w:t>opposition.</w:t>
      </w:r>
    </w:p>
    <w:p>
      <w:pPr>
        <w:pStyle w:val="BodyText"/>
        <w:spacing w:before="10"/>
        <w:rPr>
          <w:rFonts w:ascii="Courier New"/>
          <w:sz w:val="27"/>
        </w:rPr>
      </w:pPr>
    </w:p>
    <w:p>
      <w:pPr>
        <w:spacing w:line="240" w:lineRule="auto" w:before="0"/>
        <w:ind w:left="1011" w:right="961" w:firstLine="566"/>
        <w:jc w:val="both"/>
        <w:rPr>
          <w:rFonts w:ascii="Courier New" w:hAnsi="Courier New"/>
          <w:sz w:val="28"/>
        </w:rPr>
      </w:pPr>
      <w:r>
        <w:rPr>
          <w:rFonts w:ascii="Courier New" w:hAnsi="Courier New"/>
          <w:sz w:val="28"/>
        </w:rPr>
        <w:t>As a further concession to the Plaintiff No.3 and to the Hindu community of India whose</w:t>
      </w:r>
      <w:r>
        <w:rPr>
          <w:rFonts w:ascii="Courier New" w:hAnsi="Courier New"/>
          <w:spacing w:val="-41"/>
          <w:sz w:val="28"/>
        </w:rPr>
        <w:t> </w:t>
      </w:r>
      <w:r>
        <w:rPr>
          <w:rFonts w:ascii="Courier New" w:hAnsi="Courier New"/>
          <w:sz w:val="28"/>
        </w:rPr>
        <w:t>religious</w:t>
      </w:r>
      <w:r>
        <w:rPr>
          <w:rFonts w:ascii="Courier New" w:hAnsi="Courier New"/>
          <w:spacing w:val="-41"/>
          <w:sz w:val="28"/>
        </w:rPr>
        <w:t> </w:t>
      </w:r>
      <w:r>
        <w:rPr>
          <w:rFonts w:ascii="Courier New" w:hAnsi="Courier New"/>
          <w:sz w:val="28"/>
        </w:rPr>
        <w:t>sentiments</w:t>
      </w:r>
      <w:r>
        <w:rPr>
          <w:rFonts w:ascii="Courier New" w:hAnsi="Courier New"/>
          <w:spacing w:val="-42"/>
          <w:sz w:val="28"/>
        </w:rPr>
        <w:t> </w:t>
      </w:r>
      <w:r>
        <w:rPr>
          <w:rFonts w:ascii="Courier New" w:hAnsi="Courier New"/>
          <w:sz w:val="28"/>
        </w:rPr>
        <w:t>the</w:t>
      </w:r>
      <w:r>
        <w:rPr>
          <w:rFonts w:ascii="Courier New" w:hAnsi="Courier New"/>
          <w:spacing w:val="-42"/>
          <w:sz w:val="28"/>
        </w:rPr>
        <w:t> </w:t>
      </w:r>
      <w:r>
        <w:rPr>
          <w:rFonts w:ascii="Courier New" w:hAnsi="Courier New"/>
          <w:sz w:val="28"/>
        </w:rPr>
        <w:t>said</w:t>
      </w:r>
      <w:r>
        <w:rPr>
          <w:rFonts w:ascii="Courier New" w:hAnsi="Courier New"/>
          <w:spacing w:val="-42"/>
          <w:sz w:val="28"/>
        </w:rPr>
        <w:t> </w:t>
      </w:r>
      <w:r>
        <w:rPr>
          <w:rFonts w:ascii="Courier New" w:hAnsi="Courier New"/>
          <w:sz w:val="28"/>
        </w:rPr>
        <w:t>Plaintiff and his party are trying to wrongly arouse since last 3 years, this Defendant is prepared to withdraw his opposition also if it is unequivocally proved, in this Hon’ble Court that the belief, of Ram Janam Asthan being at the presently claimed spot inside the Babri Masjid, existed from before the Babri Masjid was built, existed from before the Babri Masjid was built. And that the Babri Masjid was knowingly built on the Ram Janam Asthan</w:t>
      </w:r>
      <w:r>
        <w:rPr>
          <w:rFonts w:ascii="Courier New" w:hAnsi="Courier New"/>
          <w:spacing w:val="-3"/>
          <w:sz w:val="28"/>
        </w:rPr>
        <w:t> </w:t>
      </w:r>
      <w:r>
        <w:rPr>
          <w:rFonts w:ascii="Courier New" w:hAnsi="Courier New"/>
          <w:sz w:val="28"/>
        </w:rPr>
        <w:t>sport.”</w:t>
      </w:r>
    </w:p>
    <w:p>
      <w:pPr>
        <w:pStyle w:val="BodyText"/>
        <w:rPr>
          <w:rFonts w:ascii="Courier New"/>
          <w:sz w:val="32"/>
        </w:rPr>
      </w:pPr>
    </w:p>
    <w:p>
      <w:pPr>
        <w:pStyle w:val="BodyText"/>
        <w:rPr>
          <w:rFonts w:ascii="Courier New"/>
          <w:sz w:val="32"/>
        </w:rPr>
      </w:pPr>
    </w:p>
    <w:p>
      <w:pPr>
        <w:pStyle w:val="ListParagraph"/>
        <w:numPr>
          <w:ilvl w:val="0"/>
          <w:numId w:val="251"/>
        </w:numPr>
        <w:tabs>
          <w:tab w:pos="873" w:val="left" w:leader="none"/>
        </w:tabs>
        <w:spacing w:line="480" w:lineRule="auto" w:before="226" w:after="0"/>
        <w:ind w:left="160" w:right="159" w:firstLine="0"/>
        <w:jc w:val="both"/>
        <w:rPr>
          <w:rFonts w:ascii="Courier New"/>
          <w:sz w:val="28"/>
        </w:rPr>
      </w:pPr>
      <w:r>
        <w:rPr>
          <w:rFonts w:ascii="Courier New"/>
          <w:sz w:val="28"/>
        </w:rPr>
        <w:t>Defendant No.25 also filed written statement. It was pleaded that the area and the places indicated in Annexure</w:t>
      </w:r>
      <w:r>
        <w:rPr>
          <w:rFonts w:ascii="Courier New"/>
          <w:spacing w:val="26"/>
          <w:sz w:val="28"/>
        </w:rPr>
        <w:t> </w:t>
      </w:r>
      <w:r>
        <w:rPr>
          <w:rFonts w:ascii="Courier New"/>
          <w:sz w:val="28"/>
        </w:rPr>
        <w:t>NO.1,</w:t>
      </w:r>
      <w:r>
        <w:rPr>
          <w:rFonts w:ascii="Courier New"/>
          <w:spacing w:val="27"/>
          <w:sz w:val="28"/>
        </w:rPr>
        <w:t> </w:t>
      </w:r>
      <w:r>
        <w:rPr>
          <w:rFonts w:ascii="Courier New"/>
          <w:sz w:val="28"/>
        </w:rPr>
        <w:t>2</w:t>
      </w:r>
      <w:r>
        <w:rPr>
          <w:rFonts w:ascii="Courier New"/>
          <w:spacing w:val="27"/>
          <w:sz w:val="28"/>
        </w:rPr>
        <w:t> </w:t>
      </w:r>
      <w:r>
        <w:rPr>
          <w:rFonts w:ascii="Courier New"/>
          <w:sz w:val="28"/>
        </w:rPr>
        <w:t>and</w:t>
      </w:r>
      <w:r>
        <w:rPr>
          <w:rFonts w:ascii="Courier New"/>
          <w:spacing w:val="27"/>
          <w:sz w:val="28"/>
        </w:rPr>
        <w:t> </w:t>
      </w:r>
      <w:r>
        <w:rPr>
          <w:rFonts w:ascii="Courier New"/>
          <w:sz w:val="28"/>
        </w:rPr>
        <w:t>3</w:t>
      </w:r>
      <w:r>
        <w:rPr>
          <w:rFonts w:ascii="Courier New"/>
          <w:spacing w:val="27"/>
          <w:sz w:val="28"/>
        </w:rPr>
        <w:t> </w:t>
      </w:r>
      <w:r>
        <w:rPr>
          <w:rFonts w:ascii="Courier New"/>
          <w:sz w:val="28"/>
        </w:rPr>
        <w:t>of</w:t>
      </w:r>
      <w:r>
        <w:rPr>
          <w:rFonts w:ascii="Courier New"/>
          <w:spacing w:val="27"/>
          <w:sz w:val="28"/>
        </w:rPr>
        <w:t> </w:t>
      </w:r>
      <w:r>
        <w:rPr>
          <w:rFonts w:ascii="Courier New"/>
          <w:sz w:val="28"/>
        </w:rPr>
        <w:t>the</w:t>
      </w:r>
      <w:r>
        <w:rPr>
          <w:rFonts w:ascii="Courier New"/>
          <w:spacing w:val="27"/>
          <w:sz w:val="28"/>
        </w:rPr>
        <w:t> </w:t>
      </w:r>
      <w:r>
        <w:rPr>
          <w:rFonts w:ascii="Courier New"/>
          <w:sz w:val="28"/>
        </w:rPr>
        <w:t>plaint</w:t>
      </w:r>
      <w:r>
        <w:rPr>
          <w:rFonts w:ascii="Courier New"/>
          <w:spacing w:val="27"/>
          <w:sz w:val="28"/>
        </w:rPr>
        <w:t> </w:t>
      </w:r>
      <w:r>
        <w:rPr>
          <w:rFonts w:ascii="Courier New"/>
          <w:sz w:val="28"/>
        </w:rPr>
        <w:t>are</w:t>
      </w:r>
      <w:r>
        <w:rPr>
          <w:rFonts w:ascii="Courier New"/>
          <w:spacing w:val="29"/>
          <w:sz w:val="28"/>
        </w:rPr>
        <w:t> </w:t>
      </w:r>
      <w:r>
        <w:rPr>
          <w:rFonts w:ascii="Courier New"/>
          <w:sz w:val="28"/>
        </w:rPr>
        <w:t>neither</w:t>
      </w:r>
      <w:r>
        <w:rPr>
          <w:rFonts w:ascii="Courier New"/>
          <w:spacing w:val="27"/>
          <w:sz w:val="28"/>
        </w:rPr>
        <w:t> </w:t>
      </w:r>
      <w:r>
        <w:rPr>
          <w:rFonts w:ascii="Courier New"/>
          <w:sz w:val="28"/>
        </w:rPr>
        <w:t>Ram</w:t>
      </w:r>
    </w:p>
    <w:p>
      <w:pPr>
        <w:spacing w:after="0" w:line="480" w:lineRule="auto"/>
        <w:jc w:val="both"/>
        <w:rPr>
          <w:rFonts w:ascii="Courier New"/>
          <w:sz w:val="28"/>
        </w:rPr>
        <w:sectPr>
          <w:headerReference w:type="default" r:id="rId238"/>
          <w:footerReference w:type="default" r:id="rId239"/>
          <w:pgSz w:w="11910" w:h="16840"/>
          <w:pgMar w:header="0" w:footer="1063" w:top="1340" w:bottom="1260" w:left="1280" w:right="1280"/>
          <w:pgNumType w:start="15"/>
        </w:sectPr>
      </w:pPr>
    </w:p>
    <w:p>
      <w:pPr>
        <w:spacing w:line="480" w:lineRule="auto" w:before="86"/>
        <w:ind w:left="160" w:right="158" w:firstLine="0"/>
        <w:jc w:val="both"/>
        <w:rPr>
          <w:rFonts w:ascii="Courier New"/>
          <w:sz w:val="28"/>
        </w:rPr>
      </w:pPr>
      <w:r>
        <w:rPr>
          <w:rFonts w:ascii="Courier New"/>
          <w:sz w:val="28"/>
        </w:rPr>
        <w:t>Janma</w:t>
      </w:r>
      <w:r>
        <w:rPr>
          <w:rFonts w:ascii="Courier New"/>
          <w:spacing w:val="-27"/>
          <w:sz w:val="28"/>
        </w:rPr>
        <w:t> </w:t>
      </w:r>
      <w:r>
        <w:rPr>
          <w:rFonts w:ascii="Courier New"/>
          <w:sz w:val="28"/>
        </w:rPr>
        <w:t>Bhumi</w:t>
      </w:r>
      <w:r>
        <w:rPr>
          <w:rFonts w:ascii="Courier New"/>
          <w:spacing w:val="-26"/>
          <w:sz w:val="28"/>
        </w:rPr>
        <w:t> </w:t>
      </w:r>
      <w:r>
        <w:rPr>
          <w:rFonts w:ascii="Courier New"/>
          <w:sz w:val="28"/>
        </w:rPr>
        <w:t>nor</w:t>
      </w:r>
      <w:r>
        <w:rPr>
          <w:rFonts w:ascii="Courier New"/>
          <w:spacing w:val="-26"/>
          <w:sz w:val="28"/>
        </w:rPr>
        <w:t> </w:t>
      </w:r>
      <w:r>
        <w:rPr>
          <w:rFonts w:ascii="Courier New"/>
          <w:sz w:val="28"/>
        </w:rPr>
        <w:t>Ram</w:t>
      </w:r>
      <w:r>
        <w:rPr>
          <w:rFonts w:ascii="Courier New"/>
          <w:spacing w:val="-26"/>
          <w:sz w:val="28"/>
        </w:rPr>
        <w:t> </w:t>
      </w:r>
      <w:r>
        <w:rPr>
          <w:rFonts w:ascii="Courier New"/>
          <w:sz w:val="28"/>
        </w:rPr>
        <w:t>Janma</w:t>
      </w:r>
      <w:r>
        <w:rPr>
          <w:rFonts w:ascii="Courier New"/>
          <w:spacing w:val="-26"/>
          <w:sz w:val="28"/>
        </w:rPr>
        <w:t> </w:t>
      </w:r>
      <w:r>
        <w:rPr>
          <w:rFonts w:ascii="Courier New"/>
          <w:sz w:val="28"/>
        </w:rPr>
        <w:t>Asthan.</w:t>
      </w:r>
      <w:r>
        <w:rPr>
          <w:rFonts w:ascii="Courier New"/>
          <w:spacing w:val="-26"/>
          <w:sz w:val="28"/>
        </w:rPr>
        <w:t> </w:t>
      </w:r>
      <w:r>
        <w:rPr>
          <w:rFonts w:ascii="Courier New"/>
          <w:sz w:val="28"/>
        </w:rPr>
        <w:t>It</w:t>
      </w:r>
      <w:r>
        <w:rPr>
          <w:rFonts w:ascii="Courier New"/>
          <w:spacing w:val="-26"/>
          <w:sz w:val="28"/>
        </w:rPr>
        <w:t> </w:t>
      </w:r>
      <w:r>
        <w:rPr>
          <w:rFonts w:ascii="Courier New"/>
          <w:sz w:val="28"/>
        </w:rPr>
        <w:t>was</w:t>
      </w:r>
      <w:r>
        <w:rPr>
          <w:rFonts w:ascii="Courier New"/>
          <w:spacing w:val="-26"/>
          <w:sz w:val="28"/>
        </w:rPr>
        <w:t> </w:t>
      </w:r>
      <w:r>
        <w:rPr>
          <w:rFonts w:ascii="Courier New"/>
          <w:sz w:val="28"/>
        </w:rPr>
        <w:t>further</w:t>
      </w:r>
      <w:r>
        <w:rPr>
          <w:rFonts w:ascii="Courier New"/>
          <w:spacing w:val="-26"/>
          <w:sz w:val="28"/>
        </w:rPr>
        <w:t> </w:t>
      </w:r>
      <w:r>
        <w:rPr>
          <w:rFonts w:ascii="Courier New"/>
          <w:sz w:val="28"/>
        </w:rPr>
        <w:t>stated that it is evident that there exists a Mosque known</w:t>
      </w:r>
      <w:r>
        <w:rPr>
          <w:rFonts w:ascii="Courier New"/>
          <w:spacing w:val="-68"/>
          <w:sz w:val="28"/>
        </w:rPr>
        <w:t> </w:t>
      </w:r>
      <w:r>
        <w:rPr>
          <w:rFonts w:ascii="Courier New"/>
          <w:sz w:val="28"/>
        </w:rPr>
        <w:t>as Babri Masjid, the existence of this Mosque is established by record, Historic, Judicial and</w:t>
      </w:r>
      <w:r>
        <w:rPr>
          <w:rFonts w:ascii="Courier New"/>
          <w:spacing w:val="-68"/>
          <w:sz w:val="28"/>
        </w:rPr>
        <w:t> </w:t>
      </w:r>
      <w:r>
        <w:rPr>
          <w:rFonts w:ascii="Courier New"/>
          <w:sz w:val="28"/>
        </w:rPr>
        <w:t>Revenue.</w:t>
      </w:r>
    </w:p>
    <w:p>
      <w:pPr>
        <w:pStyle w:val="BodyText"/>
        <w:rPr>
          <w:rFonts w:ascii="Courier New"/>
          <w:sz w:val="32"/>
        </w:rPr>
      </w:pPr>
    </w:p>
    <w:p>
      <w:pPr>
        <w:pStyle w:val="ListParagraph"/>
        <w:numPr>
          <w:ilvl w:val="0"/>
          <w:numId w:val="251"/>
        </w:numPr>
        <w:tabs>
          <w:tab w:pos="868" w:val="left" w:leader="none"/>
        </w:tabs>
        <w:spacing w:line="480" w:lineRule="auto" w:before="272" w:after="0"/>
        <w:ind w:left="159" w:right="161" w:firstLine="0"/>
        <w:jc w:val="both"/>
        <w:rPr>
          <w:rFonts w:ascii="Courier New"/>
          <w:sz w:val="28"/>
        </w:rPr>
      </w:pPr>
      <w:r>
        <w:rPr>
          <w:rFonts w:ascii="Courier New"/>
          <w:sz w:val="28"/>
        </w:rPr>
        <w:t>The above is the relevant pleading of the parties on the points under</w:t>
      </w:r>
      <w:r>
        <w:rPr>
          <w:rFonts w:ascii="Courier New"/>
          <w:spacing w:val="-7"/>
          <w:sz w:val="28"/>
        </w:rPr>
        <w:t> </w:t>
      </w:r>
      <w:r>
        <w:rPr>
          <w:rFonts w:ascii="Courier New"/>
          <w:sz w:val="28"/>
        </w:rPr>
        <w:t>consideration.</w:t>
      </w:r>
    </w:p>
    <w:p>
      <w:pPr>
        <w:pStyle w:val="BodyText"/>
        <w:spacing w:before="10"/>
        <w:rPr>
          <w:rFonts w:ascii="Courier New"/>
          <w:sz w:val="27"/>
        </w:rPr>
      </w:pPr>
    </w:p>
    <w:p>
      <w:pPr>
        <w:pStyle w:val="ListParagraph"/>
        <w:numPr>
          <w:ilvl w:val="0"/>
          <w:numId w:val="251"/>
        </w:numPr>
        <w:tabs>
          <w:tab w:pos="847" w:val="left" w:leader="none"/>
        </w:tabs>
        <w:spacing w:line="482" w:lineRule="auto" w:before="0" w:after="0"/>
        <w:ind w:left="160" w:right="160" w:firstLine="0"/>
        <w:jc w:val="both"/>
        <w:rPr>
          <w:rFonts w:ascii="Courier New"/>
          <w:sz w:val="28"/>
        </w:rPr>
      </w:pPr>
      <w:r>
        <w:rPr>
          <w:rFonts w:ascii="Courier New"/>
          <w:sz w:val="28"/>
        </w:rPr>
        <w:t>Faith and belief foster and promote the spiritual life of the</w:t>
      </w:r>
      <w:r>
        <w:rPr>
          <w:rFonts w:ascii="Courier New"/>
          <w:spacing w:val="-4"/>
          <w:sz w:val="28"/>
        </w:rPr>
        <w:t> </w:t>
      </w:r>
      <w:r>
        <w:rPr>
          <w:rFonts w:ascii="Courier New"/>
          <w:sz w:val="28"/>
        </w:rPr>
        <w:t>soul.</w:t>
      </w:r>
    </w:p>
    <w:p>
      <w:pPr>
        <w:pStyle w:val="BodyText"/>
        <w:spacing w:before="5"/>
        <w:rPr>
          <w:rFonts w:ascii="Courier New"/>
          <w:sz w:val="27"/>
        </w:rPr>
      </w:pPr>
    </w:p>
    <w:p>
      <w:pPr>
        <w:pStyle w:val="ListParagraph"/>
        <w:numPr>
          <w:ilvl w:val="0"/>
          <w:numId w:val="251"/>
        </w:numPr>
        <w:tabs>
          <w:tab w:pos="873" w:val="left" w:leader="none"/>
        </w:tabs>
        <w:spacing w:line="480" w:lineRule="auto" w:before="0" w:after="0"/>
        <w:ind w:left="160" w:right="160" w:firstLine="0"/>
        <w:jc w:val="both"/>
        <w:rPr>
          <w:rFonts w:ascii="Courier New"/>
          <w:sz w:val="28"/>
        </w:rPr>
      </w:pPr>
      <w:r>
        <w:rPr>
          <w:rFonts w:ascii="Courier New"/>
          <w:sz w:val="28"/>
        </w:rPr>
        <w:t>This Court in </w:t>
      </w:r>
      <w:r>
        <w:rPr>
          <w:rFonts w:ascii="Courier New"/>
          <w:b/>
          <w:sz w:val="28"/>
        </w:rPr>
        <w:t>Shastri Yagnapurushadji and others vs. Muldas Bhudardas Vaishya and another, AIR 1966 SC 1119, </w:t>
      </w:r>
      <w:r>
        <w:rPr>
          <w:rFonts w:ascii="Courier New"/>
          <w:sz w:val="28"/>
        </w:rPr>
        <w:t>explaining the Hindu religion made the</w:t>
      </w:r>
      <w:r>
        <w:rPr>
          <w:rFonts w:ascii="Courier New"/>
          <w:spacing w:val="-69"/>
          <w:sz w:val="28"/>
        </w:rPr>
        <w:t> </w:t>
      </w:r>
      <w:r>
        <w:rPr>
          <w:rFonts w:ascii="Courier New"/>
          <w:sz w:val="28"/>
        </w:rPr>
        <w:t>following observation in paragraphs 29, 30 and</w:t>
      </w:r>
      <w:r>
        <w:rPr>
          <w:rFonts w:ascii="Courier New"/>
          <w:spacing w:val="-10"/>
          <w:sz w:val="28"/>
        </w:rPr>
        <w:t> </w:t>
      </w:r>
      <w:r>
        <w:rPr>
          <w:rFonts w:ascii="Courier New"/>
          <w:sz w:val="28"/>
        </w:rPr>
        <w:t>31:</w:t>
      </w:r>
    </w:p>
    <w:p>
      <w:pPr>
        <w:pStyle w:val="Heading2"/>
        <w:spacing w:before="41"/>
        <w:ind w:left="1011" w:right="961" w:firstLine="35"/>
      </w:pPr>
      <w:r>
        <w:rPr>
          <w:b/>
        </w:rPr>
        <w:t>“29. </w:t>
      </w:r>
      <w:r>
        <w:rPr/>
        <w:t>When we think of the Hindu religion,</w:t>
      </w:r>
      <w:r>
        <w:rPr>
          <w:spacing w:val="-76"/>
        </w:rPr>
        <w:t> </w:t>
      </w:r>
      <w:r>
        <w:rPr/>
        <w:t>we find it difficult, if not impossible, to define Hindu religion or even adequately describe it. Unlike other religions in the world, the Hindu religion does not claim</w:t>
      </w:r>
      <w:r>
        <w:rPr>
          <w:spacing w:val="-35"/>
        </w:rPr>
        <w:t> </w:t>
      </w:r>
      <w:r>
        <w:rPr/>
        <w:t>any one</w:t>
      </w:r>
      <w:r>
        <w:rPr>
          <w:spacing w:val="-26"/>
        </w:rPr>
        <w:t> </w:t>
      </w:r>
      <w:r>
        <w:rPr/>
        <w:t>prophet;</w:t>
      </w:r>
      <w:r>
        <w:rPr>
          <w:spacing w:val="-26"/>
        </w:rPr>
        <w:t> </w:t>
      </w:r>
      <w:r>
        <w:rPr/>
        <w:t>it</w:t>
      </w:r>
      <w:r>
        <w:rPr>
          <w:spacing w:val="-25"/>
        </w:rPr>
        <w:t> </w:t>
      </w:r>
      <w:r>
        <w:rPr/>
        <w:t>does</w:t>
      </w:r>
      <w:r>
        <w:rPr>
          <w:spacing w:val="-26"/>
        </w:rPr>
        <w:t> </w:t>
      </w:r>
      <w:r>
        <w:rPr/>
        <w:t>not</w:t>
      </w:r>
      <w:r>
        <w:rPr>
          <w:spacing w:val="-26"/>
        </w:rPr>
        <w:t> </w:t>
      </w:r>
      <w:r>
        <w:rPr/>
        <w:t>worship</w:t>
      </w:r>
      <w:r>
        <w:rPr>
          <w:spacing w:val="-25"/>
        </w:rPr>
        <w:t> </w:t>
      </w:r>
      <w:r>
        <w:rPr/>
        <w:t>any</w:t>
      </w:r>
      <w:r>
        <w:rPr>
          <w:spacing w:val="-26"/>
        </w:rPr>
        <w:t> </w:t>
      </w:r>
      <w:r>
        <w:rPr/>
        <w:t>one</w:t>
      </w:r>
      <w:r>
        <w:rPr>
          <w:spacing w:val="-26"/>
        </w:rPr>
        <w:t> </w:t>
      </w:r>
      <w:r>
        <w:rPr/>
        <w:t>God; it does not subscribe to any one dogma; it does not believe in any one philosophic concept; it does not follow any one set of religious rites or performances; in fact,</w:t>
      </w:r>
      <w:r>
        <w:rPr>
          <w:spacing w:val="-36"/>
        </w:rPr>
        <w:t> </w:t>
      </w:r>
      <w:r>
        <w:rPr/>
        <w:t>it does not appear to satisfy the narrow traditional features of any religion or creed. It may broadly be described as a way of life and nothing</w:t>
      </w:r>
      <w:r>
        <w:rPr>
          <w:spacing w:val="-6"/>
        </w:rPr>
        <w:t> </w:t>
      </w:r>
      <w:r>
        <w:rPr/>
        <w:t>more.</w:t>
      </w:r>
    </w:p>
    <w:p>
      <w:pPr>
        <w:spacing w:after="0"/>
        <w:sectPr>
          <w:headerReference w:type="default" r:id="rId240"/>
          <w:footerReference w:type="default" r:id="rId241"/>
          <w:pgSz w:w="11910" w:h="16840"/>
          <w:pgMar w:header="0" w:footer="1063" w:top="1340" w:bottom="1260" w:left="1280" w:right="1280"/>
          <w:pgNumType w:start="16"/>
        </w:sectPr>
      </w:pPr>
    </w:p>
    <w:p>
      <w:pPr>
        <w:pStyle w:val="ListParagraph"/>
        <w:numPr>
          <w:ilvl w:val="0"/>
          <w:numId w:val="251"/>
        </w:numPr>
        <w:tabs>
          <w:tab w:pos="1910" w:val="left" w:leader="none"/>
        </w:tabs>
        <w:spacing w:line="240" w:lineRule="auto" w:before="86" w:after="0"/>
        <w:ind w:left="1011" w:right="959" w:firstLine="36"/>
        <w:jc w:val="both"/>
        <w:rPr>
          <w:rFonts w:ascii="Courier New" w:hAnsi="Courier New"/>
          <w:sz w:val="28"/>
        </w:rPr>
      </w:pPr>
      <w:r>
        <w:rPr>
          <w:rFonts w:ascii="Courier New" w:hAnsi="Courier New"/>
          <w:sz w:val="28"/>
        </w:rPr>
        <w:t>Confronted by this difficulty, Dr. Radhakrishnan</w:t>
      </w:r>
      <w:r>
        <w:rPr>
          <w:rFonts w:ascii="Courier New" w:hAnsi="Courier New"/>
          <w:spacing w:val="-40"/>
          <w:sz w:val="28"/>
        </w:rPr>
        <w:t> </w:t>
      </w:r>
      <w:r>
        <w:rPr>
          <w:rFonts w:ascii="Courier New" w:hAnsi="Courier New"/>
          <w:sz w:val="28"/>
        </w:rPr>
        <w:t>realised</w:t>
      </w:r>
      <w:r>
        <w:rPr>
          <w:rFonts w:ascii="Courier New" w:hAnsi="Courier New"/>
          <w:spacing w:val="-41"/>
          <w:sz w:val="28"/>
        </w:rPr>
        <w:t> </w:t>
      </w:r>
      <w:r>
        <w:rPr>
          <w:rFonts w:ascii="Courier New" w:hAnsi="Courier New"/>
          <w:sz w:val="28"/>
        </w:rPr>
        <w:t>that</w:t>
      </w:r>
      <w:r>
        <w:rPr>
          <w:rFonts w:ascii="Courier New" w:hAnsi="Courier New"/>
          <w:spacing w:val="-41"/>
          <w:sz w:val="28"/>
        </w:rPr>
        <w:t> </w:t>
      </w:r>
      <w:r>
        <w:rPr>
          <w:rFonts w:ascii="Courier New" w:hAnsi="Courier New"/>
          <w:sz w:val="28"/>
        </w:rPr>
        <w:t>“to</w:t>
      </w:r>
      <w:r>
        <w:rPr>
          <w:rFonts w:ascii="Courier New" w:hAnsi="Courier New"/>
          <w:spacing w:val="-43"/>
          <w:sz w:val="28"/>
        </w:rPr>
        <w:t> </w:t>
      </w:r>
      <w:r>
        <w:rPr>
          <w:rFonts w:ascii="Courier New" w:hAnsi="Courier New"/>
          <w:sz w:val="28"/>
        </w:rPr>
        <w:t>many</w:t>
      </w:r>
      <w:r>
        <w:rPr>
          <w:rFonts w:ascii="Courier New" w:hAnsi="Courier New"/>
          <w:spacing w:val="-42"/>
          <w:sz w:val="28"/>
        </w:rPr>
        <w:t> </w:t>
      </w:r>
      <w:r>
        <w:rPr>
          <w:rFonts w:ascii="Courier New" w:hAnsi="Courier New"/>
          <w:sz w:val="28"/>
        </w:rPr>
        <w:t>Hinduism seems to be a name without any content. Is it a museum of beliefs, a medley of rites, or a mere map, a geographical expression?” Having posed these questions which</w:t>
      </w:r>
      <w:r>
        <w:rPr>
          <w:rFonts w:ascii="Courier New" w:hAnsi="Courier New"/>
          <w:spacing w:val="-39"/>
          <w:sz w:val="28"/>
        </w:rPr>
        <w:t> </w:t>
      </w:r>
      <w:r>
        <w:rPr>
          <w:rFonts w:ascii="Courier New" w:hAnsi="Courier New"/>
          <w:sz w:val="28"/>
        </w:rPr>
        <w:t>disturbed foreigners when they think of Hinduism, Dr Radhakrishnan has explained how Hinduism</w:t>
      </w:r>
      <w:r>
        <w:rPr>
          <w:rFonts w:ascii="Courier New" w:hAnsi="Courier New"/>
          <w:spacing w:val="-38"/>
          <w:sz w:val="28"/>
        </w:rPr>
        <w:t> </w:t>
      </w:r>
      <w:r>
        <w:rPr>
          <w:rFonts w:ascii="Courier New" w:hAnsi="Courier New"/>
          <w:sz w:val="28"/>
        </w:rPr>
        <w:t>has steadily absorbed the customs and ideas of peoples with whom it has come into contact and has thus been able to maintain its supremacy and its youth. The term “Hindu”, according</w:t>
      </w:r>
      <w:r>
        <w:rPr>
          <w:rFonts w:ascii="Courier New" w:hAnsi="Courier New"/>
          <w:spacing w:val="-43"/>
          <w:sz w:val="28"/>
        </w:rPr>
        <w:t> </w:t>
      </w:r>
      <w:r>
        <w:rPr>
          <w:rFonts w:ascii="Courier New" w:hAnsi="Courier New"/>
          <w:sz w:val="28"/>
        </w:rPr>
        <w:t>to</w:t>
      </w:r>
      <w:r>
        <w:rPr>
          <w:rFonts w:ascii="Courier New" w:hAnsi="Courier New"/>
          <w:spacing w:val="-42"/>
          <w:sz w:val="28"/>
        </w:rPr>
        <w:t> </w:t>
      </w:r>
      <w:r>
        <w:rPr>
          <w:rFonts w:ascii="Courier New" w:hAnsi="Courier New"/>
          <w:sz w:val="28"/>
        </w:rPr>
        <w:t>Dr</w:t>
      </w:r>
      <w:r>
        <w:rPr>
          <w:rFonts w:ascii="Courier New" w:hAnsi="Courier New"/>
          <w:spacing w:val="-39"/>
          <w:sz w:val="28"/>
        </w:rPr>
        <w:t> </w:t>
      </w:r>
      <w:r>
        <w:rPr>
          <w:rFonts w:ascii="Courier New" w:hAnsi="Courier New"/>
          <w:sz w:val="28"/>
        </w:rPr>
        <w:t>Radhakrishnan,</w:t>
      </w:r>
      <w:r>
        <w:rPr>
          <w:rFonts w:ascii="Courier New" w:hAnsi="Courier New"/>
          <w:spacing w:val="-43"/>
          <w:sz w:val="28"/>
        </w:rPr>
        <w:t> </w:t>
      </w:r>
      <w:r>
        <w:rPr>
          <w:rFonts w:ascii="Courier New" w:hAnsi="Courier New"/>
          <w:sz w:val="28"/>
        </w:rPr>
        <w:t>had</w:t>
      </w:r>
      <w:r>
        <w:rPr>
          <w:rFonts w:ascii="Courier New" w:hAnsi="Courier New"/>
          <w:spacing w:val="-42"/>
          <w:sz w:val="28"/>
        </w:rPr>
        <w:t> </w:t>
      </w:r>
      <w:r>
        <w:rPr>
          <w:rFonts w:ascii="Courier New" w:hAnsi="Courier New"/>
          <w:sz w:val="28"/>
        </w:rPr>
        <w:t>originally a territorial and not a credal</w:t>
      </w:r>
      <w:r>
        <w:rPr>
          <w:rFonts w:ascii="Courier New" w:hAnsi="Courier New"/>
          <w:spacing w:val="-35"/>
          <w:sz w:val="28"/>
        </w:rPr>
        <w:t> </w:t>
      </w:r>
      <w:r>
        <w:rPr>
          <w:rFonts w:ascii="Courier New" w:hAnsi="Courier New"/>
          <w:sz w:val="28"/>
        </w:rPr>
        <w:t>significance. It implied residence in a well-defined geographical area. Aboriginal tribes,</w:t>
      </w:r>
      <w:r>
        <w:rPr>
          <w:rFonts w:ascii="Courier New" w:hAnsi="Courier New"/>
          <w:spacing w:val="-42"/>
          <w:sz w:val="28"/>
        </w:rPr>
        <w:t> </w:t>
      </w:r>
      <w:r>
        <w:rPr>
          <w:rFonts w:ascii="Courier New" w:hAnsi="Courier New"/>
          <w:sz w:val="28"/>
        </w:rPr>
        <w:t>savage and half-civilized people, the cultured Dravidians and the Vedic Aryans were all Hindus as they were the sons of the same mother. The Hindu thinkers reckoned with</w:t>
      </w:r>
      <w:r>
        <w:rPr>
          <w:rFonts w:ascii="Courier New" w:hAnsi="Courier New"/>
          <w:spacing w:val="-34"/>
          <w:sz w:val="28"/>
        </w:rPr>
        <w:t> </w:t>
      </w:r>
      <w:r>
        <w:rPr>
          <w:rFonts w:ascii="Courier New" w:hAnsi="Courier New"/>
          <w:sz w:val="28"/>
        </w:rPr>
        <w:t>the striking</w:t>
      </w:r>
      <w:r>
        <w:rPr>
          <w:rFonts w:ascii="Courier New" w:hAnsi="Courier New"/>
          <w:spacing w:val="-30"/>
          <w:sz w:val="28"/>
        </w:rPr>
        <w:t> </w:t>
      </w:r>
      <w:r>
        <w:rPr>
          <w:rFonts w:ascii="Courier New" w:hAnsi="Courier New"/>
          <w:sz w:val="28"/>
        </w:rPr>
        <w:t>fact</w:t>
      </w:r>
      <w:r>
        <w:rPr>
          <w:rFonts w:ascii="Courier New" w:hAnsi="Courier New"/>
          <w:spacing w:val="-30"/>
          <w:sz w:val="28"/>
        </w:rPr>
        <w:t> </w:t>
      </w:r>
      <w:r>
        <w:rPr>
          <w:rFonts w:ascii="Courier New" w:hAnsi="Courier New"/>
          <w:sz w:val="28"/>
        </w:rPr>
        <w:t>that</w:t>
      </w:r>
      <w:r>
        <w:rPr>
          <w:rFonts w:ascii="Courier New" w:hAnsi="Courier New"/>
          <w:spacing w:val="-30"/>
          <w:sz w:val="28"/>
        </w:rPr>
        <w:t> </w:t>
      </w:r>
      <w:r>
        <w:rPr>
          <w:rFonts w:ascii="Courier New" w:hAnsi="Courier New"/>
          <w:sz w:val="28"/>
        </w:rPr>
        <w:t>the</w:t>
      </w:r>
      <w:r>
        <w:rPr>
          <w:rFonts w:ascii="Courier New" w:hAnsi="Courier New"/>
          <w:spacing w:val="-30"/>
          <w:sz w:val="28"/>
        </w:rPr>
        <w:t> </w:t>
      </w:r>
      <w:r>
        <w:rPr>
          <w:rFonts w:ascii="Courier New" w:hAnsi="Courier New"/>
          <w:sz w:val="28"/>
        </w:rPr>
        <w:t>men</w:t>
      </w:r>
      <w:r>
        <w:rPr>
          <w:rFonts w:ascii="Courier New" w:hAnsi="Courier New"/>
          <w:spacing w:val="-30"/>
          <w:sz w:val="28"/>
        </w:rPr>
        <w:t> </w:t>
      </w:r>
      <w:r>
        <w:rPr>
          <w:rFonts w:ascii="Courier New" w:hAnsi="Courier New"/>
          <w:sz w:val="28"/>
        </w:rPr>
        <w:t>and</w:t>
      </w:r>
      <w:r>
        <w:rPr>
          <w:rFonts w:ascii="Courier New" w:hAnsi="Courier New"/>
          <w:spacing w:val="-30"/>
          <w:sz w:val="28"/>
        </w:rPr>
        <w:t> </w:t>
      </w:r>
      <w:r>
        <w:rPr>
          <w:rFonts w:ascii="Courier New" w:hAnsi="Courier New"/>
          <w:sz w:val="28"/>
        </w:rPr>
        <w:t>women</w:t>
      </w:r>
      <w:r>
        <w:rPr>
          <w:rFonts w:ascii="Courier New" w:hAnsi="Courier New"/>
          <w:spacing w:val="-30"/>
          <w:sz w:val="28"/>
        </w:rPr>
        <w:t> </w:t>
      </w:r>
      <w:r>
        <w:rPr>
          <w:rFonts w:ascii="Courier New" w:hAnsi="Courier New"/>
          <w:sz w:val="28"/>
        </w:rPr>
        <w:t>dwelling in India belonged to different communities, worshipped different gods, and practised different rites (Kurma Purana)(“The Hindu View of Life” by Dr. Radhakrishnan,</w:t>
      </w:r>
      <w:r>
        <w:rPr>
          <w:rFonts w:ascii="Courier New" w:hAnsi="Courier New"/>
          <w:spacing w:val="-16"/>
          <w:sz w:val="28"/>
        </w:rPr>
        <w:t> </w:t>
      </w:r>
      <w:r>
        <w:rPr>
          <w:rFonts w:ascii="Courier New" w:hAnsi="Courier New"/>
          <w:sz w:val="28"/>
        </w:rPr>
        <w:t>p.12).</w:t>
      </w:r>
    </w:p>
    <w:p>
      <w:pPr>
        <w:pStyle w:val="BodyText"/>
        <w:spacing w:before="2"/>
        <w:rPr>
          <w:rFonts w:ascii="Courier New"/>
          <w:sz w:val="35"/>
        </w:rPr>
      </w:pPr>
    </w:p>
    <w:p>
      <w:pPr>
        <w:pStyle w:val="ListParagraph"/>
        <w:numPr>
          <w:ilvl w:val="0"/>
          <w:numId w:val="251"/>
        </w:numPr>
        <w:tabs>
          <w:tab w:pos="1579" w:val="left" w:leader="none"/>
        </w:tabs>
        <w:spacing w:line="240" w:lineRule="auto" w:before="0" w:after="0"/>
        <w:ind w:left="1011" w:right="961" w:firstLine="35"/>
        <w:jc w:val="both"/>
        <w:rPr>
          <w:rFonts w:ascii="Courier New" w:hAnsi="Courier New"/>
          <w:sz w:val="28"/>
        </w:rPr>
      </w:pPr>
      <w:r>
        <w:rPr>
          <w:rFonts w:ascii="Courier New" w:hAnsi="Courier New"/>
          <w:sz w:val="28"/>
        </w:rPr>
        <w:t>Monier</w:t>
      </w:r>
      <w:r>
        <w:rPr>
          <w:rFonts w:ascii="Courier New" w:hAnsi="Courier New"/>
          <w:spacing w:val="-45"/>
          <w:sz w:val="28"/>
        </w:rPr>
        <w:t> </w:t>
      </w:r>
      <w:r>
        <w:rPr>
          <w:rFonts w:ascii="Courier New" w:hAnsi="Courier New"/>
          <w:sz w:val="28"/>
        </w:rPr>
        <w:t>Williams</w:t>
      </w:r>
      <w:r>
        <w:rPr>
          <w:rFonts w:ascii="Courier New" w:hAnsi="Courier New"/>
          <w:spacing w:val="-44"/>
          <w:sz w:val="28"/>
        </w:rPr>
        <w:t> </w:t>
      </w:r>
      <w:r>
        <w:rPr>
          <w:rFonts w:ascii="Courier New" w:hAnsi="Courier New"/>
          <w:sz w:val="28"/>
        </w:rPr>
        <w:t>has</w:t>
      </w:r>
      <w:r>
        <w:rPr>
          <w:rFonts w:ascii="Courier New" w:hAnsi="Courier New"/>
          <w:spacing w:val="-44"/>
          <w:sz w:val="28"/>
        </w:rPr>
        <w:t> </w:t>
      </w:r>
      <w:r>
        <w:rPr>
          <w:rFonts w:ascii="Courier New" w:hAnsi="Courier New"/>
          <w:sz w:val="28"/>
        </w:rPr>
        <w:t>observed</w:t>
      </w:r>
      <w:r>
        <w:rPr>
          <w:rFonts w:ascii="Courier New" w:hAnsi="Courier New"/>
          <w:spacing w:val="-46"/>
          <w:sz w:val="28"/>
        </w:rPr>
        <w:t> </w:t>
      </w:r>
      <w:r>
        <w:rPr>
          <w:rFonts w:ascii="Courier New" w:hAnsi="Courier New"/>
          <w:sz w:val="28"/>
        </w:rPr>
        <w:t>that</w:t>
      </w:r>
      <w:r>
        <w:rPr>
          <w:rFonts w:ascii="Courier New" w:hAnsi="Courier New"/>
          <w:spacing w:val="-45"/>
          <w:sz w:val="28"/>
        </w:rPr>
        <w:t> </w:t>
      </w:r>
      <w:r>
        <w:rPr>
          <w:rFonts w:ascii="Courier New" w:hAnsi="Courier New"/>
          <w:sz w:val="28"/>
        </w:rPr>
        <w:t>“it</w:t>
      </w:r>
      <w:r>
        <w:rPr>
          <w:rFonts w:ascii="Courier New" w:hAnsi="Courier New"/>
          <w:spacing w:val="-44"/>
          <w:sz w:val="28"/>
        </w:rPr>
        <w:t> </w:t>
      </w:r>
      <w:r>
        <w:rPr>
          <w:rFonts w:ascii="Courier New" w:hAnsi="Courier New"/>
          <w:sz w:val="28"/>
        </w:rPr>
        <w:t>must be borne in mind that Hinduism is far more than a mere form of theism resting on Brahmanism.</w:t>
      </w:r>
      <w:r>
        <w:rPr>
          <w:rFonts w:ascii="Courier New" w:hAnsi="Courier New"/>
          <w:spacing w:val="-43"/>
          <w:sz w:val="28"/>
        </w:rPr>
        <w:t> </w:t>
      </w:r>
      <w:r>
        <w:rPr>
          <w:rFonts w:ascii="Courier New" w:hAnsi="Courier New"/>
          <w:sz w:val="28"/>
        </w:rPr>
        <w:t>It</w:t>
      </w:r>
      <w:r>
        <w:rPr>
          <w:rFonts w:ascii="Courier New" w:hAnsi="Courier New"/>
          <w:spacing w:val="-39"/>
          <w:sz w:val="28"/>
        </w:rPr>
        <w:t> </w:t>
      </w:r>
      <w:r>
        <w:rPr>
          <w:rFonts w:ascii="Courier New" w:hAnsi="Courier New"/>
          <w:sz w:val="28"/>
        </w:rPr>
        <w:t>presents</w:t>
      </w:r>
      <w:r>
        <w:rPr>
          <w:rFonts w:ascii="Courier New" w:hAnsi="Courier New"/>
          <w:spacing w:val="-42"/>
          <w:sz w:val="28"/>
        </w:rPr>
        <w:t> </w:t>
      </w:r>
      <w:r>
        <w:rPr>
          <w:rFonts w:ascii="Courier New" w:hAnsi="Courier New"/>
          <w:sz w:val="28"/>
        </w:rPr>
        <w:t>for</w:t>
      </w:r>
      <w:r>
        <w:rPr>
          <w:rFonts w:ascii="Courier New" w:hAnsi="Courier New"/>
          <w:spacing w:val="-43"/>
          <w:sz w:val="28"/>
        </w:rPr>
        <w:t> </w:t>
      </w:r>
      <w:r>
        <w:rPr>
          <w:rFonts w:ascii="Courier New" w:hAnsi="Courier New"/>
          <w:sz w:val="28"/>
        </w:rPr>
        <w:t>our</w:t>
      </w:r>
      <w:r>
        <w:rPr>
          <w:rFonts w:ascii="Courier New" w:hAnsi="Courier New"/>
          <w:spacing w:val="-41"/>
          <w:sz w:val="28"/>
        </w:rPr>
        <w:t> </w:t>
      </w:r>
      <w:r>
        <w:rPr>
          <w:rFonts w:ascii="Courier New" w:hAnsi="Courier New"/>
          <w:sz w:val="28"/>
        </w:rPr>
        <w:t>investigation a complex congeries of creeds and doctrines which in its gradual accumulation may be compared to the gathering together of the mighty volume of the Ganges, swollen by a continual influx of tributary rivers and rivulets, spreading itself over an ever- increasing area of country and finally resolving itself into an intricate Delta of tortuous steams and jungly marshes... The Hindu religion is a reflection of the composite character of the Hindus, who are not one people but many. It is based on the idea</w:t>
      </w:r>
      <w:r>
        <w:rPr>
          <w:rFonts w:ascii="Courier New" w:hAnsi="Courier New"/>
          <w:spacing w:val="49"/>
          <w:sz w:val="28"/>
        </w:rPr>
        <w:t> </w:t>
      </w:r>
      <w:r>
        <w:rPr>
          <w:rFonts w:ascii="Courier New" w:hAnsi="Courier New"/>
          <w:sz w:val="28"/>
        </w:rPr>
        <w:t>of</w:t>
      </w:r>
      <w:r>
        <w:rPr>
          <w:rFonts w:ascii="Courier New" w:hAnsi="Courier New"/>
          <w:spacing w:val="50"/>
          <w:sz w:val="28"/>
        </w:rPr>
        <w:t> </w:t>
      </w:r>
      <w:r>
        <w:rPr>
          <w:rFonts w:ascii="Courier New" w:hAnsi="Courier New"/>
          <w:sz w:val="28"/>
        </w:rPr>
        <w:t>universal</w:t>
      </w:r>
      <w:r>
        <w:rPr>
          <w:rFonts w:ascii="Courier New" w:hAnsi="Courier New"/>
          <w:spacing w:val="50"/>
          <w:sz w:val="28"/>
        </w:rPr>
        <w:t> </w:t>
      </w:r>
      <w:r>
        <w:rPr>
          <w:rFonts w:ascii="Courier New" w:hAnsi="Courier New"/>
          <w:sz w:val="28"/>
        </w:rPr>
        <w:t>receptivity.</w:t>
      </w:r>
      <w:r>
        <w:rPr>
          <w:rFonts w:ascii="Courier New" w:hAnsi="Courier New"/>
          <w:spacing w:val="50"/>
          <w:sz w:val="28"/>
        </w:rPr>
        <w:t> </w:t>
      </w:r>
      <w:r>
        <w:rPr>
          <w:rFonts w:ascii="Courier New" w:hAnsi="Courier New"/>
          <w:sz w:val="28"/>
        </w:rPr>
        <w:t>It</w:t>
      </w:r>
      <w:r>
        <w:rPr>
          <w:rFonts w:ascii="Courier New" w:hAnsi="Courier New"/>
          <w:spacing w:val="49"/>
          <w:sz w:val="28"/>
        </w:rPr>
        <w:t> </w:t>
      </w:r>
      <w:r>
        <w:rPr>
          <w:rFonts w:ascii="Courier New" w:hAnsi="Courier New"/>
          <w:sz w:val="28"/>
        </w:rPr>
        <w:t>has</w:t>
      </w:r>
      <w:r>
        <w:rPr>
          <w:rFonts w:ascii="Courier New" w:hAnsi="Courier New"/>
          <w:spacing w:val="50"/>
          <w:sz w:val="28"/>
        </w:rPr>
        <w:t> </w:t>
      </w:r>
      <w:r>
        <w:rPr>
          <w:rFonts w:ascii="Courier New" w:hAnsi="Courier New"/>
          <w:sz w:val="28"/>
        </w:rPr>
        <w:t>ever</w:t>
      </w:r>
    </w:p>
    <w:p>
      <w:pPr>
        <w:spacing w:after="0" w:line="240" w:lineRule="auto"/>
        <w:jc w:val="both"/>
        <w:rPr>
          <w:rFonts w:ascii="Courier New" w:hAnsi="Courier New"/>
          <w:sz w:val="28"/>
        </w:rPr>
        <w:sectPr>
          <w:headerReference w:type="default" r:id="rId242"/>
          <w:footerReference w:type="default" r:id="rId243"/>
          <w:pgSz w:w="11910" w:h="16840"/>
          <w:pgMar w:header="0" w:footer="1063" w:top="1340" w:bottom="1260" w:left="1280" w:right="1280"/>
          <w:pgNumType w:start="17"/>
        </w:sectPr>
      </w:pPr>
    </w:p>
    <w:p>
      <w:pPr>
        <w:spacing w:line="240" w:lineRule="auto" w:before="86"/>
        <w:ind w:left="1011" w:right="961" w:firstLine="0"/>
        <w:jc w:val="both"/>
        <w:rPr>
          <w:rFonts w:ascii="Courier New" w:hAnsi="Courier New"/>
          <w:sz w:val="28"/>
        </w:rPr>
      </w:pPr>
      <w:r>
        <w:rPr>
          <w:rFonts w:ascii="Courier New" w:hAnsi="Courier New"/>
          <w:sz w:val="28"/>
        </w:rPr>
        <w:t>aimed at accommodating itself to circumstances,</w:t>
      </w:r>
      <w:r>
        <w:rPr>
          <w:rFonts w:ascii="Courier New" w:hAnsi="Courier New"/>
          <w:spacing w:val="-35"/>
          <w:sz w:val="28"/>
        </w:rPr>
        <w:t> </w:t>
      </w:r>
      <w:r>
        <w:rPr>
          <w:rFonts w:ascii="Courier New" w:hAnsi="Courier New"/>
          <w:sz w:val="28"/>
        </w:rPr>
        <w:t>and</w:t>
      </w:r>
      <w:r>
        <w:rPr>
          <w:rFonts w:ascii="Courier New" w:hAnsi="Courier New"/>
          <w:spacing w:val="-34"/>
          <w:sz w:val="28"/>
        </w:rPr>
        <w:t> </w:t>
      </w:r>
      <w:r>
        <w:rPr>
          <w:rFonts w:ascii="Courier New" w:hAnsi="Courier New"/>
          <w:sz w:val="28"/>
        </w:rPr>
        <w:t>has</w:t>
      </w:r>
      <w:r>
        <w:rPr>
          <w:rFonts w:ascii="Courier New" w:hAnsi="Courier New"/>
          <w:spacing w:val="-35"/>
          <w:sz w:val="28"/>
        </w:rPr>
        <w:t> </w:t>
      </w:r>
      <w:r>
        <w:rPr>
          <w:rFonts w:ascii="Courier New" w:hAnsi="Courier New"/>
          <w:sz w:val="28"/>
        </w:rPr>
        <w:t>carried</w:t>
      </w:r>
      <w:r>
        <w:rPr>
          <w:rFonts w:ascii="Courier New" w:hAnsi="Courier New"/>
          <w:spacing w:val="-34"/>
          <w:sz w:val="28"/>
        </w:rPr>
        <w:t> </w:t>
      </w:r>
      <w:r>
        <w:rPr>
          <w:rFonts w:ascii="Courier New" w:hAnsi="Courier New"/>
          <w:sz w:val="28"/>
        </w:rPr>
        <w:t>on</w:t>
      </w:r>
      <w:r>
        <w:rPr>
          <w:rFonts w:ascii="Courier New" w:hAnsi="Courier New"/>
          <w:spacing w:val="-35"/>
          <w:sz w:val="28"/>
        </w:rPr>
        <w:t> </w:t>
      </w:r>
      <w:r>
        <w:rPr>
          <w:rFonts w:ascii="Courier New" w:hAnsi="Courier New"/>
          <w:sz w:val="28"/>
        </w:rPr>
        <w:t>the</w:t>
      </w:r>
      <w:r>
        <w:rPr>
          <w:rFonts w:ascii="Courier New" w:hAnsi="Courier New"/>
          <w:spacing w:val="-34"/>
          <w:sz w:val="28"/>
        </w:rPr>
        <w:t> </w:t>
      </w:r>
      <w:r>
        <w:rPr>
          <w:rFonts w:ascii="Courier New" w:hAnsi="Courier New"/>
          <w:sz w:val="28"/>
        </w:rPr>
        <w:t>process of adaptation through more than three thousand years. It has first borne with and then, so to speak, swallowed, digested, and assimilated something from all </w:t>
      </w:r>
      <w:r>
        <w:rPr>
          <w:rFonts w:ascii="Courier New" w:hAnsi="Courier New"/>
          <w:position w:val="-5"/>
          <w:sz w:val="28"/>
        </w:rPr>
        <w:t>creeds”.</w:t>
      </w:r>
      <w:r>
        <w:rPr>
          <w:rFonts w:ascii="Courier New" w:hAnsi="Courier New"/>
          <w:sz w:val="28"/>
        </w:rPr>
        <w:t>(“Religious Thought &amp; Life in</w:t>
      </w:r>
      <w:r>
        <w:rPr>
          <w:rFonts w:ascii="Courier New" w:hAnsi="Courier New"/>
          <w:spacing w:val="-38"/>
          <w:sz w:val="28"/>
        </w:rPr>
        <w:t> </w:t>
      </w:r>
      <w:r>
        <w:rPr>
          <w:rFonts w:ascii="Courier New" w:hAnsi="Courier New"/>
          <w:sz w:val="28"/>
        </w:rPr>
        <w:t>India” by Monier Williams,</w:t>
      </w:r>
      <w:r>
        <w:rPr>
          <w:rFonts w:ascii="Courier New" w:hAnsi="Courier New"/>
          <w:spacing w:val="-5"/>
          <w:sz w:val="28"/>
        </w:rPr>
        <w:t> </w:t>
      </w:r>
      <w:r>
        <w:rPr>
          <w:rFonts w:ascii="Courier New" w:hAnsi="Courier New"/>
          <w:sz w:val="28"/>
        </w:rPr>
        <w:t>p.57)”</w:t>
      </w:r>
    </w:p>
    <w:p>
      <w:pPr>
        <w:pStyle w:val="BodyText"/>
        <w:spacing w:before="5"/>
        <w:rPr>
          <w:rFonts w:ascii="Courier New"/>
          <w:sz w:val="31"/>
        </w:rPr>
      </w:pPr>
    </w:p>
    <w:p>
      <w:pPr>
        <w:pStyle w:val="ListParagraph"/>
        <w:numPr>
          <w:ilvl w:val="0"/>
          <w:numId w:val="252"/>
        </w:numPr>
        <w:tabs>
          <w:tab w:pos="868" w:val="left" w:leader="none"/>
        </w:tabs>
        <w:spacing w:line="480" w:lineRule="auto" w:before="0" w:after="0"/>
        <w:ind w:left="160" w:right="158" w:firstLine="0"/>
        <w:jc w:val="both"/>
        <w:rPr>
          <w:rFonts w:ascii="Courier New"/>
          <w:sz w:val="28"/>
        </w:rPr>
      </w:pPr>
      <w:r>
        <w:rPr>
          <w:rFonts w:ascii="Courier New"/>
          <w:sz w:val="28"/>
        </w:rPr>
        <w:t>The concept of Hinduism has been defined by great scholars and jurists, but in this case, it is not necessary to dwell upon concept of Hinduism. The core of all religions and faith is one, i.e., quest for truth, quest for knowing more about soul and quest to know more about Supreme, who in one or other form is worshipped in all religions. Every religion, every faith</w:t>
      </w:r>
      <w:r>
        <w:rPr>
          <w:rFonts w:ascii="Courier New"/>
          <w:spacing w:val="-22"/>
          <w:sz w:val="28"/>
        </w:rPr>
        <w:t> </w:t>
      </w:r>
      <w:r>
        <w:rPr>
          <w:rFonts w:ascii="Courier New"/>
          <w:sz w:val="28"/>
        </w:rPr>
        <w:t>revere</w:t>
      </w:r>
      <w:r>
        <w:rPr>
          <w:rFonts w:ascii="Courier New"/>
          <w:spacing w:val="-21"/>
          <w:sz w:val="28"/>
        </w:rPr>
        <w:t> </w:t>
      </w:r>
      <w:r>
        <w:rPr>
          <w:rFonts w:ascii="Courier New"/>
          <w:sz w:val="28"/>
        </w:rPr>
        <w:t>and</w:t>
      </w:r>
      <w:r>
        <w:rPr>
          <w:rFonts w:ascii="Courier New"/>
          <w:spacing w:val="-21"/>
          <w:sz w:val="28"/>
        </w:rPr>
        <w:t> </w:t>
      </w:r>
      <w:r>
        <w:rPr>
          <w:rFonts w:ascii="Courier New"/>
          <w:sz w:val="28"/>
        </w:rPr>
        <w:t>sings</w:t>
      </w:r>
      <w:r>
        <w:rPr>
          <w:rFonts w:ascii="Courier New"/>
          <w:spacing w:val="-21"/>
          <w:sz w:val="28"/>
        </w:rPr>
        <w:t> </w:t>
      </w:r>
      <w:r>
        <w:rPr>
          <w:rFonts w:ascii="Courier New"/>
          <w:sz w:val="28"/>
        </w:rPr>
        <w:t>the</w:t>
      </w:r>
      <w:r>
        <w:rPr>
          <w:rFonts w:ascii="Courier New"/>
          <w:spacing w:val="-21"/>
          <w:sz w:val="28"/>
        </w:rPr>
        <w:t> </w:t>
      </w:r>
      <w:r>
        <w:rPr>
          <w:rFonts w:ascii="Courier New"/>
          <w:sz w:val="28"/>
        </w:rPr>
        <w:t>glory</w:t>
      </w:r>
      <w:r>
        <w:rPr>
          <w:rFonts w:ascii="Courier New"/>
          <w:spacing w:val="-22"/>
          <w:sz w:val="28"/>
        </w:rPr>
        <w:t> </w:t>
      </w:r>
      <w:r>
        <w:rPr>
          <w:rFonts w:ascii="Courier New"/>
          <w:sz w:val="28"/>
        </w:rPr>
        <w:t>of</w:t>
      </w:r>
      <w:r>
        <w:rPr>
          <w:rFonts w:ascii="Courier New"/>
          <w:spacing w:val="-21"/>
          <w:sz w:val="28"/>
        </w:rPr>
        <w:t> </w:t>
      </w:r>
      <w:r>
        <w:rPr>
          <w:rFonts w:ascii="Courier New"/>
          <w:sz w:val="28"/>
        </w:rPr>
        <w:t>God</w:t>
      </w:r>
      <w:r>
        <w:rPr>
          <w:rFonts w:ascii="Courier New"/>
          <w:spacing w:val="-21"/>
          <w:sz w:val="28"/>
        </w:rPr>
        <w:t> </w:t>
      </w:r>
      <w:r>
        <w:rPr>
          <w:rFonts w:ascii="Courier New"/>
          <w:sz w:val="28"/>
        </w:rPr>
        <w:t>with</w:t>
      </w:r>
      <w:r>
        <w:rPr>
          <w:rFonts w:ascii="Courier New"/>
          <w:spacing w:val="-21"/>
          <w:sz w:val="28"/>
        </w:rPr>
        <w:t> </w:t>
      </w:r>
      <w:r>
        <w:rPr>
          <w:rFonts w:ascii="Courier New"/>
          <w:sz w:val="28"/>
        </w:rPr>
        <w:t>whom</w:t>
      </w:r>
      <w:r>
        <w:rPr>
          <w:rFonts w:ascii="Courier New"/>
          <w:spacing w:val="-21"/>
          <w:sz w:val="28"/>
        </w:rPr>
        <w:t> </w:t>
      </w:r>
      <w:r>
        <w:rPr>
          <w:rFonts w:ascii="Courier New"/>
          <w:sz w:val="28"/>
        </w:rPr>
        <w:t>I</w:t>
      </w:r>
      <w:r>
        <w:rPr>
          <w:rFonts w:ascii="Courier New"/>
          <w:spacing w:val="-21"/>
          <w:sz w:val="28"/>
        </w:rPr>
        <w:t> </w:t>
      </w:r>
      <w:r>
        <w:rPr>
          <w:rFonts w:ascii="Courier New"/>
          <w:sz w:val="28"/>
        </w:rPr>
        <w:t>all want to relate. Wordsworth in his beautiful poem has also echoed the same</w:t>
      </w:r>
      <w:r>
        <w:rPr>
          <w:rFonts w:ascii="Courier New"/>
          <w:spacing w:val="-6"/>
          <w:sz w:val="28"/>
        </w:rPr>
        <w:t> </w:t>
      </w:r>
      <w:r>
        <w:rPr>
          <w:rFonts w:ascii="Courier New"/>
          <w:sz w:val="28"/>
        </w:rPr>
        <w:t>thought:-</w:t>
      </w:r>
    </w:p>
    <w:p>
      <w:pPr>
        <w:spacing w:line="240" w:lineRule="auto" w:before="0"/>
        <w:ind w:left="1123" w:right="793" w:firstLine="0"/>
        <w:jc w:val="center"/>
        <w:rPr>
          <w:rFonts w:ascii="Courier New" w:hAnsi="Courier New"/>
          <w:sz w:val="28"/>
        </w:rPr>
      </w:pPr>
      <w:r>
        <w:rPr>
          <w:rFonts w:ascii="Courier New" w:hAnsi="Courier New"/>
          <w:sz w:val="28"/>
        </w:rPr>
        <w:t>“Our birth is but a sleep and a forgetting; The Soul that rises with us, our life’s star Hath had elsewhere its setting,</w:t>
      </w:r>
    </w:p>
    <w:p>
      <w:pPr>
        <w:spacing w:before="1"/>
        <w:ind w:left="2487" w:right="2157" w:firstLine="504"/>
        <w:jc w:val="left"/>
        <w:rPr>
          <w:rFonts w:ascii="Courier New"/>
          <w:sz w:val="28"/>
        </w:rPr>
      </w:pPr>
      <w:r>
        <w:rPr>
          <w:rFonts w:ascii="Courier New"/>
          <w:sz w:val="28"/>
        </w:rPr>
        <w:t>And cometh from afar ; Not in entire</w:t>
      </w:r>
      <w:r>
        <w:rPr>
          <w:rFonts w:ascii="Courier New"/>
          <w:spacing w:val="-14"/>
          <w:sz w:val="28"/>
        </w:rPr>
        <w:t> </w:t>
      </w:r>
      <w:r>
        <w:rPr>
          <w:rFonts w:ascii="Courier New"/>
          <w:sz w:val="28"/>
        </w:rPr>
        <w:t>forgetfulness, And not in utter</w:t>
      </w:r>
      <w:r>
        <w:rPr>
          <w:rFonts w:ascii="Courier New"/>
          <w:spacing w:val="-11"/>
          <w:sz w:val="28"/>
        </w:rPr>
        <w:t> </w:t>
      </w:r>
      <w:r>
        <w:rPr>
          <w:rFonts w:ascii="Courier New"/>
          <w:sz w:val="28"/>
        </w:rPr>
        <w:t>nakedness,</w:t>
      </w:r>
    </w:p>
    <w:p>
      <w:pPr>
        <w:spacing w:before="0"/>
        <w:ind w:left="2655" w:right="1232" w:hanging="1093"/>
        <w:jc w:val="left"/>
        <w:rPr>
          <w:rFonts w:ascii="Courier New" w:hAnsi="Courier New"/>
          <w:sz w:val="28"/>
        </w:rPr>
      </w:pPr>
      <w:r>
        <w:rPr>
          <w:rFonts w:ascii="Courier New" w:hAnsi="Courier New"/>
          <w:sz w:val="28"/>
        </w:rPr>
        <w:t>But trailing clouds of glory do we</w:t>
      </w:r>
      <w:r>
        <w:rPr>
          <w:rFonts w:ascii="Courier New" w:hAnsi="Courier New"/>
          <w:spacing w:val="-18"/>
          <w:sz w:val="28"/>
        </w:rPr>
        <w:t> </w:t>
      </w:r>
      <w:r>
        <w:rPr>
          <w:rFonts w:ascii="Courier New" w:hAnsi="Courier New"/>
          <w:sz w:val="28"/>
        </w:rPr>
        <w:t>come From god who is our</w:t>
      </w:r>
      <w:r>
        <w:rPr>
          <w:rFonts w:ascii="Courier New" w:hAnsi="Courier New"/>
          <w:spacing w:val="-8"/>
          <w:sz w:val="28"/>
        </w:rPr>
        <w:t> </w:t>
      </w:r>
      <w:r>
        <w:rPr>
          <w:rFonts w:ascii="Courier New" w:hAnsi="Courier New"/>
          <w:sz w:val="28"/>
        </w:rPr>
        <w:t>home,”</w:t>
      </w:r>
    </w:p>
    <w:p>
      <w:pPr>
        <w:spacing w:after="0"/>
        <w:jc w:val="left"/>
        <w:rPr>
          <w:rFonts w:ascii="Courier New" w:hAnsi="Courier New"/>
          <w:sz w:val="28"/>
        </w:rPr>
        <w:sectPr>
          <w:headerReference w:type="default" r:id="rId244"/>
          <w:footerReference w:type="default" r:id="rId245"/>
          <w:pgSz w:w="11910" w:h="16840"/>
          <w:pgMar w:header="0" w:footer="1063" w:top="1340" w:bottom="1260" w:left="1280" w:right="1280"/>
          <w:pgNumType w:start="18"/>
        </w:sectPr>
      </w:pPr>
    </w:p>
    <w:p>
      <w:pPr>
        <w:pStyle w:val="ListParagraph"/>
        <w:numPr>
          <w:ilvl w:val="0"/>
          <w:numId w:val="252"/>
        </w:numPr>
        <w:tabs>
          <w:tab w:pos="940" w:val="left" w:leader="none"/>
        </w:tabs>
        <w:spacing w:line="480" w:lineRule="auto" w:before="86" w:after="0"/>
        <w:ind w:left="160" w:right="158" w:firstLine="0"/>
        <w:jc w:val="both"/>
        <w:rPr>
          <w:rFonts w:ascii="Courier New"/>
          <w:sz w:val="28"/>
        </w:rPr>
      </w:pPr>
      <w:r>
        <w:rPr>
          <w:rFonts w:ascii="Courier New"/>
          <w:sz w:val="28"/>
        </w:rPr>
        <w:t>Reverting back to the point which are up for consideration, i.e., whether the disputed structure</w:t>
      </w:r>
      <w:r>
        <w:rPr>
          <w:rFonts w:ascii="Courier New"/>
          <w:spacing w:val="-68"/>
          <w:sz w:val="28"/>
        </w:rPr>
        <w:t> </w:t>
      </w:r>
      <w:r>
        <w:rPr>
          <w:rFonts w:ascii="Courier New"/>
          <w:sz w:val="28"/>
        </w:rPr>
        <w:t>is holy</w:t>
      </w:r>
      <w:r>
        <w:rPr>
          <w:rFonts w:ascii="Courier New"/>
          <w:spacing w:val="-25"/>
          <w:sz w:val="28"/>
        </w:rPr>
        <w:t> </w:t>
      </w:r>
      <w:r>
        <w:rPr>
          <w:rFonts w:ascii="Courier New"/>
          <w:sz w:val="28"/>
        </w:rPr>
        <w:t>birthplace</w:t>
      </w:r>
      <w:r>
        <w:rPr>
          <w:rFonts w:ascii="Courier New"/>
          <w:spacing w:val="-24"/>
          <w:sz w:val="28"/>
        </w:rPr>
        <w:t> </w:t>
      </w:r>
      <w:r>
        <w:rPr>
          <w:rFonts w:ascii="Courier New"/>
          <w:sz w:val="28"/>
        </w:rPr>
        <w:t>of</w:t>
      </w:r>
      <w:r>
        <w:rPr>
          <w:rFonts w:ascii="Courier New"/>
          <w:spacing w:val="-24"/>
          <w:sz w:val="28"/>
        </w:rPr>
        <w:t> </w:t>
      </w:r>
      <w:r>
        <w:rPr>
          <w:rFonts w:ascii="Courier New"/>
          <w:sz w:val="28"/>
        </w:rPr>
        <w:t>Lord</w:t>
      </w:r>
      <w:r>
        <w:rPr>
          <w:rFonts w:ascii="Courier New"/>
          <w:spacing w:val="-24"/>
          <w:sz w:val="28"/>
        </w:rPr>
        <w:t> </w:t>
      </w:r>
      <w:r>
        <w:rPr>
          <w:rFonts w:ascii="Courier New"/>
          <w:sz w:val="28"/>
        </w:rPr>
        <w:t>Ram</w:t>
      </w:r>
      <w:r>
        <w:rPr>
          <w:rFonts w:ascii="Courier New"/>
          <w:spacing w:val="-24"/>
          <w:sz w:val="28"/>
        </w:rPr>
        <w:t> </w:t>
      </w:r>
      <w:r>
        <w:rPr>
          <w:rFonts w:ascii="Courier New"/>
          <w:sz w:val="28"/>
        </w:rPr>
        <w:t>as</w:t>
      </w:r>
      <w:r>
        <w:rPr>
          <w:rFonts w:ascii="Courier New"/>
          <w:spacing w:val="-24"/>
          <w:sz w:val="28"/>
        </w:rPr>
        <w:t> </w:t>
      </w:r>
      <w:r>
        <w:rPr>
          <w:rFonts w:ascii="Courier New"/>
          <w:sz w:val="28"/>
        </w:rPr>
        <w:t>per</w:t>
      </w:r>
      <w:r>
        <w:rPr>
          <w:rFonts w:ascii="Courier New"/>
          <w:spacing w:val="-24"/>
          <w:sz w:val="28"/>
        </w:rPr>
        <w:t> </w:t>
      </w:r>
      <w:r>
        <w:rPr>
          <w:rFonts w:ascii="Courier New"/>
          <w:sz w:val="28"/>
        </w:rPr>
        <w:t>the</w:t>
      </w:r>
      <w:r>
        <w:rPr>
          <w:rFonts w:ascii="Courier New"/>
          <w:spacing w:val="-24"/>
          <w:sz w:val="28"/>
        </w:rPr>
        <w:t> </w:t>
      </w:r>
      <w:r>
        <w:rPr>
          <w:rFonts w:ascii="Courier New"/>
          <w:sz w:val="28"/>
        </w:rPr>
        <w:t>faith,</w:t>
      </w:r>
      <w:r>
        <w:rPr>
          <w:rFonts w:ascii="Courier New"/>
          <w:spacing w:val="-24"/>
          <w:sz w:val="28"/>
        </w:rPr>
        <w:t> </w:t>
      </w:r>
      <w:r>
        <w:rPr>
          <w:rFonts w:ascii="Courier New"/>
          <w:sz w:val="28"/>
        </w:rPr>
        <w:t>trust</w:t>
      </w:r>
      <w:r>
        <w:rPr>
          <w:rFonts w:ascii="Courier New"/>
          <w:spacing w:val="-24"/>
          <w:sz w:val="28"/>
        </w:rPr>
        <w:t> </w:t>
      </w:r>
      <w:r>
        <w:rPr>
          <w:rFonts w:ascii="Courier New"/>
          <w:sz w:val="28"/>
        </w:rPr>
        <w:t>and belief of</w:t>
      </w:r>
      <w:r>
        <w:rPr>
          <w:rFonts w:ascii="Courier New"/>
          <w:spacing w:val="-3"/>
          <w:sz w:val="28"/>
        </w:rPr>
        <w:t> </w:t>
      </w:r>
      <w:r>
        <w:rPr>
          <w:rFonts w:ascii="Courier New"/>
          <w:sz w:val="28"/>
        </w:rPr>
        <w:t>Hindus?</w:t>
      </w:r>
    </w:p>
    <w:p>
      <w:pPr>
        <w:pStyle w:val="BodyText"/>
        <w:rPr>
          <w:rFonts w:ascii="Courier New"/>
          <w:sz w:val="32"/>
        </w:rPr>
      </w:pPr>
    </w:p>
    <w:p>
      <w:pPr>
        <w:pStyle w:val="ListParagraph"/>
        <w:numPr>
          <w:ilvl w:val="0"/>
          <w:numId w:val="252"/>
        </w:numPr>
        <w:tabs>
          <w:tab w:pos="1204" w:val="left" w:leader="none"/>
        </w:tabs>
        <w:spacing w:line="480" w:lineRule="auto" w:before="272" w:after="0"/>
        <w:ind w:left="159" w:right="154" w:firstLine="0"/>
        <w:jc w:val="both"/>
        <w:rPr>
          <w:rFonts w:ascii="Courier New"/>
          <w:sz w:val="28"/>
        </w:rPr>
      </w:pPr>
      <w:r>
        <w:rPr>
          <w:rFonts w:ascii="Courier New"/>
          <w:sz w:val="28"/>
        </w:rPr>
        <w:t>Ayodhya, which is associated with Ram is</w:t>
      </w:r>
      <w:r>
        <w:rPr>
          <w:rFonts w:ascii="Courier New"/>
          <w:spacing w:val="-100"/>
          <w:sz w:val="28"/>
        </w:rPr>
        <w:t> </w:t>
      </w:r>
      <w:r>
        <w:rPr>
          <w:rFonts w:ascii="Courier New"/>
          <w:sz w:val="28"/>
        </w:rPr>
        <w:t>treated a holy city by Hindu scriptures. In</w:t>
      </w:r>
      <w:r>
        <w:rPr>
          <w:rFonts w:ascii="Courier New"/>
          <w:spacing w:val="-64"/>
          <w:sz w:val="28"/>
        </w:rPr>
        <w:t> </w:t>
      </w:r>
      <w:r>
        <w:rPr>
          <w:rFonts w:ascii="Courier New"/>
          <w:sz w:val="28"/>
        </w:rPr>
        <w:t>Brihad-dharmottara Purana, Ayodhya is referred to one of seven holiest cities in following</w:t>
      </w:r>
      <w:r>
        <w:rPr>
          <w:rFonts w:ascii="Courier New"/>
          <w:spacing w:val="-4"/>
          <w:sz w:val="28"/>
        </w:rPr>
        <w:t> </w:t>
      </w:r>
      <w:r>
        <w:rPr>
          <w:rFonts w:ascii="Courier New"/>
          <w:sz w:val="28"/>
        </w:rPr>
        <w:t>verse:-</w:t>
      </w:r>
    </w:p>
    <w:p>
      <w:pPr>
        <w:tabs>
          <w:tab w:pos="2626" w:val="left" w:leader="none"/>
          <w:tab w:pos="2734" w:val="left" w:leader="none"/>
          <w:tab w:pos="3649" w:val="left" w:leader="none"/>
          <w:tab w:pos="4165" w:val="left" w:leader="none"/>
          <w:tab w:pos="4491" w:val="left" w:leader="none"/>
          <w:tab w:pos="5101" w:val="left" w:leader="none"/>
          <w:tab w:pos="5434" w:val="left" w:leader="none"/>
          <w:tab w:pos="6085" w:val="left" w:leader="none"/>
          <w:tab w:pos="6479" w:val="left" w:leader="none"/>
        </w:tabs>
        <w:spacing w:before="0"/>
        <w:ind w:left="1578" w:right="1325" w:firstLine="0"/>
        <w:jc w:val="left"/>
        <w:rPr>
          <w:rFonts w:ascii="Nirmala UI" w:hAnsi="Nirmala UI" w:cs="Nirmala UI" w:eastAsia="Nirmala UI"/>
          <w:sz w:val="28"/>
          <w:szCs w:val="28"/>
        </w:rPr>
      </w:pPr>
      <w:r>
        <w:rPr>
          <w:rFonts w:ascii="Nirmala UI" w:hAnsi="Nirmala UI" w:cs="Nirmala UI" w:eastAsia="Nirmala UI"/>
          <w:w w:val="100"/>
          <w:sz w:val="28"/>
          <w:szCs w:val="28"/>
        </w:rPr>
        <w:t>अय</w:t>
      </w:r>
      <w:r>
        <w:rPr>
          <w:rFonts w:ascii="Nirmala UI" w:hAnsi="Nirmala UI" w:cs="Nirmala UI" w:eastAsia="Nirmala UI"/>
          <w:spacing w:val="-1"/>
          <w:w w:val="100"/>
          <w:sz w:val="28"/>
          <w:szCs w:val="28"/>
        </w:rPr>
        <w:t>ो</w:t>
      </w:r>
      <w:r>
        <w:rPr>
          <w:rFonts w:ascii="Nirmala UI" w:hAnsi="Nirmala UI" w:cs="Nirmala UI" w:eastAsia="Nirmala UI"/>
          <w:spacing w:val="-1"/>
          <w:w w:val="136"/>
          <w:sz w:val="28"/>
          <w:szCs w:val="28"/>
        </w:rPr>
        <w:t>�</w:t>
      </w:r>
      <w:r>
        <w:rPr>
          <w:rFonts w:ascii="Nirmala UI" w:hAnsi="Nirmala UI" w:cs="Nirmala UI" w:eastAsia="Nirmala UI"/>
          <w:w w:val="136"/>
          <w:sz w:val="28"/>
          <w:szCs w:val="28"/>
        </w:rPr>
        <w:t>ा</w:t>
      </w:r>
      <w:r>
        <w:rPr>
          <w:rFonts w:ascii="Nirmala UI" w:hAnsi="Nirmala UI" w:cs="Nirmala UI" w:eastAsia="Nirmala UI"/>
          <w:sz w:val="28"/>
          <w:szCs w:val="28"/>
        </w:rPr>
        <w:tab/>
        <w:tab/>
      </w:r>
      <w:r>
        <w:rPr>
          <w:rFonts w:ascii="Nirmala UI" w:hAnsi="Nirmala UI" w:cs="Nirmala UI" w:eastAsia="Nirmala UI"/>
          <w:w w:val="100"/>
          <w:sz w:val="28"/>
          <w:szCs w:val="28"/>
        </w:rPr>
        <w:t>म</w:t>
      </w:r>
      <w:r>
        <w:rPr>
          <w:rFonts w:ascii="Nirmala UI" w:hAnsi="Nirmala UI" w:cs="Nirmala UI" w:eastAsia="Nirmala UI"/>
          <w:spacing w:val="-7"/>
          <w:w w:val="100"/>
          <w:sz w:val="28"/>
          <w:szCs w:val="28"/>
        </w:rPr>
        <w:t>थ</w:t>
      </w:r>
      <w:r>
        <w:rPr>
          <w:rFonts w:ascii="Nirmala UI" w:hAnsi="Nirmala UI" w:cs="Nirmala UI" w:eastAsia="Nirmala UI"/>
          <w:w w:val="100"/>
          <w:sz w:val="28"/>
          <w:szCs w:val="28"/>
        </w:rPr>
        <w:t>ु</w:t>
      </w:r>
      <w:r>
        <w:rPr>
          <w:rFonts w:ascii="Nirmala UI" w:hAnsi="Nirmala UI" w:cs="Nirmala UI" w:eastAsia="Nirmala UI"/>
          <w:spacing w:val="-1"/>
          <w:w w:val="100"/>
          <w:sz w:val="28"/>
          <w:szCs w:val="28"/>
        </w:rPr>
        <w:t>र</w:t>
      </w:r>
      <w:r>
        <w:rPr>
          <w:rFonts w:ascii="Nirmala UI" w:hAnsi="Nirmala UI" w:cs="Nirmala UI" w:eastAsia="Nirmala UI"/>
          <w:w w:val="100"/>
          <w:sz w:val="28"/>
          <w:szCs w:val="28"/>
        </w:rPr>
        <w:t>ा</w:t>
      </w:r>
      <w:r>
        <w:rPr>
          <w:rFonts w:ascii="Nirmala UI" w:hAnsi="Nirmala UI" w:cs="Nirmala UI" w:eastAsia="Nirmala UI"/>
          <w:sz w:val="28"/>
          <w:szCs w:val="28"/>
        </w:rPr>
        <w:tab/>
      </w:r>
      <w:r>
        <w:rPr>
          <w:rFonts w:ascii="Nirmala UI" w:hAnsi="Nirmala UI" w:cs="Nirmala UI" w:eastAsia="Nirmala UI"/>
          <w:w w:val="100"/>
          <w:sz w:val="28"/>
          <w:szCs w:val="28"/>
        </w:rPr>
        <w:t>म</w:t>
      </w:r>
      <w:r>
        <w:rPr>
          <w:rFonts w:ascii="Nirmala UI" w:hAnsi="Nirmala UI" w:cs="Nirmala UI" w:eastAsia="Nirmala UI"/>
          <w:spacing w:val="-4"/>
          <w:w w:val="100"/>
          <w:sz w:val="28"/>
          <w:szCs w:val="28"/>
        </w:rPr>
        <w:t>ा</w:t>
      </w:r>
      <w:r>
        <w:rPr>
          <w:rFonts w:ascii="Nirmala UI" w:hAnsi="Nirmala UI" w:cs="Nirmala UI" w:eastAsia="Nirmala UI"/>
          <w:w w:val="100"/>
          <w:sz w:val="28"/>
          <w:szCs w:val="28"/>
        </w:rPr>
        <w:t>या</w:t>
      </w:r>
      <w:r>
        <w:rPr>
          <w:rFonts w:ascii="Nirmala UI" w:hAnsi="Nirmala UI" w:cs="Nirmala UI" w:eastAsia="Nirmala UI"/>
          <w:sz w:val="28"/>
          <w:szCs w:val="28"/>
        </w:rPr>
        <w:tab/>
        <w:tab/>
      </w:r>
      <w:r>
        <w:rPr>
          <w:rFonts w:ascii="Nirmala UI" w:hAnsi="Nirmala UI" w:cs="Nirmala UI" w:eastAsia="Nirmala UI"/>
          <w:spacing w:val="-1"/>
          <w:w w:val="100"/>
          <w:sz w:val="28"/>
          <w:szCs w:val="28"/>
        </w:rPr>
        <w:t>का</w:t>
      </w:r>
      <w:r>
        <w:rPr>
          <w:rFonts w:ascii="Nirmala UI" w:hAnsi="Nirmala UI" w:cs="Nirmala UI" w:eastAsia="Nirmala UI"/>
          <w:spacing w:val="1"/>
          <w:w w:val="100"/>
          <w:sz w:val="28"/>
          <w:szCs w:val="28"/>
        </w:rPr>
        <w:t>श</w:t>
      </w:r>
      <w:r>
        <w:rPr>
          <w:rFonts w:ascii="Nirmala UI" w:hAnsi="Nirmala UI" w:cs="Nirmala UI" w:eastAsia="Nirmala UI"/>
          <w:w w:val="100"/>
          <w:sz w:val="28"/>
          <w:szCs w:val="28"/>
        </w:rPr>
        <w:t>ी</w:t>
      </w:r>
      <w:r>
        <w:rPr>
          <w:rFonts w:ascii="Nirmala UI" w:hAnsi="Nirmala UI" w:cs="Nirmala UI" w:eastAsia="Nirmala UI"/>
          <w:sz w:val="28"/>
          <w:szCs w:val="28"/>
        </w:rPr>
        <w:tab/>
        <w:tab/>
      </w:r>
      <w:r>
        <w:rPr>
          <w:rFonts w:ascii="Nirmala UI" w:hAnsi="Nirmala UI" w:cs="Nirmala UI" w:eastAsia="Nirmala UI"/>
          <w:spacing w:val="-1"/>
          <w:w w:val="100"/>
          <w:sz w:val="28"/>
          <w:szCs w:val="28"/>
        </w:rPr>
        <w:t>क</w:t>
      </w:r>
      <w:r>
        <w:rPr>
          <w:rFonts w:ascii="Nirmala UI" w:hAnsi="Nirmala UI" w:cs="Nirmala UI" w:eastAsia="Nirmala UI"/>
          <w:w w:val="100"/>
          <w:sz w:val="28"/>
          <w:szCs w:val="28"/>
        </w:rPr>
        <w:t>ा</w:t>
      </w:r>
      <w:r>
        <w:rPr>
          <w:rFonts w:ascii="Nirmala UI" w:hAnsi="Nirmala UI" w:cs="Nirmala UI" w:eastAsia="Nirmala UI"/>
          <w:sz w:val="28"/>
          <w:szCs w:val="28"/>
        </w:rPr>
        <w:tab/>
      </w:r>
      <w:r>
        <w:rPr>
          <w:rFonts w:ascii="Nirmala UI" w:hAnsi="Nirmala UI" w:cs="Nirmala UI" w:eastAsia="Nirmala UI"/>
          <w:spacing w:val="-1"/>
          <w:w w:val="100"/>
          <w:sz w:val="28"/>
          <w:szCs w:val="28"/>
        </w:rPr>
        <w:t>च</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w w:val="122"/>
          <w:sz w:val="28"/>
          <w:szCs w:val="28"/>
        </w:rPr>
        <w:t>�</w:t>
      </w:r>
      <w:r>
        <w:rPr>
          <w:rFonts w:ascii="Nirmala UI" w:hAnsi="Nirmala UI" w:cs="Nirmala UI" w:eastAsia="Nirmala UI"/>
          <w:w w:val="100"/>
          <w:sz w:val="28"/>
          <w:szCs w:val="28"/>
        </w:rPr>
        <w:t>व</w:t>
      </w:r>
      <w:r>
        <w:rPr>
          <w:rFonts w:ascii="Nirmala UI" w:hAnsi="Nirmala UI" w:cs="Nirmala UI" w:eastAsia="Nirmala UI"/>
          <w:spacing w:val="-1"/>
          <w:w w:val="40"/>
          <w:sz w:val="28"/>
          <w:szCs w:val="28"/>
        </w:rPr>
        <w:t>�</w:t>
      </w:r>
      <w:r>
        <w:rPr>
          <w:rFonts w:ascii="Nirmala UI" w:hAnsi="Nirmala UI" w:cs="Nirmala UI" w:eastAsia="Nirmala UI"/>
          <w:spacing w:val="-1"/>
          <w:w w:val="142"/>
          <w:sz w:val="28"/>
          <w:szCs w:val="28"/>
        </w:rPr>
        <w:t>�</w:t>
      </w:r>
      <w:r>
        <w:rPr>
          <w:rFonts w:ascii="Nirmala UI" w:hAnsi="Nirmala UI" w:cs="Nirmala UI" w:eastAsia="Nirmala UI"/>
          <w:w w:val="100"/>
          <w:sz w:val="28"/>
          <w:szCs w:val="28"/>
        </w:rPr>
        <w:t>का</w:t>
      </w:r>
      <w:r>
        <w:rPr>
          <w:rFonts w:ascii="Nirmala UI" w:hAnsi="Nirmala UI" w:cs="Nirmala UI" w:eastAsia="Nirmala UI"/>
          <w:spacing w:val="-4"/>
          <w:sz w:val="28"/>
          <w:szCs w:val="28"/>
        </w:rPr>
        <w:t> </w:t>
      </w:r>
      <w:r>
        <w:rPr>
          <w:rFonts w:ascii="Nirmala UI" w:hAnsi="Nirmala UI" w:cs="Nirmala UI" w:eastAsia="Nirmala UI"/>
          <w:spacing w:val="-72"/>
          <w:w w:val="100"/>
          <w:sz w:val="28"/>
          <w:szCs w:val="28"/>
        </w:rPr>
        <w:t>।</w:t>
      </w:r>
      <w:r>
        <w:rPr>
          <w:rFonts w:ascii="Nirmala UI" w:hAnsi="Nirmala UI" w:cs="Nirmala UI" w:eastAsia="Nirmala UI"/>
          <w:spacing w:val="-73"/>
          <w:w w:val="100"/>
          <w:sz w:val="28"/>
          <w:szCs w:val="28"/>
        </w:rPr>
        <w:t>।</w:t>
      </w:r>
      <w:r>
        <w:rPr>
          <w:rFonts w:ascii="Nirmala UI" w:hAnsi="Nirmala UI" w:cs="Nirmala UI" w:eastAsia="Nirmala UI"/>
          <w:w w:val="100"/>
          <w:sz w:val="28"/>
          <w:szCs w:val="28"/>
        </w:rPr>
        <w:t> </w:t>
      </w:r>
      <w:r>
        <w:rPr>
          <w:rFonts w:ascii="Nirmala UI" w:hAnsi="Nirmala UI" w:cs="Nirmala UI" w:eastAsia="Nirmala UI"/>
          <w:spacing w:val="-3"/>
          <w:sz w:val="28"/>
          <w:szCs w:val="28"/>
        </w:rPr>
        <w:t>पुरी</w:t>
        <w:tab/>
      </w:r>
      <w:r>
        <w:rPr>
          <w:rFonts w:ascii="Nirmala UI" w:hAnsi="Nirmala UI" w:cs="Nirmala UI" w:eastAsia="Nirmala UI"/>
          <w:sz w:val="28"/>
          <w:szCs w:val="28"/>
        </w:rPr>
        <w:t>�ारावती</w:t>
        <w:tab/>
        <w:tab/>
      </w:r>
      <w:r>
        <w:rPr>
          <w:rFonts w:ascii="Nirmala UI" w:hAnsi="Nirmala UI" w:cs="Nirmala UI" w:eastAsia="Nirmala UI"/>
          <w:spacing w:val="-3"/>
          <w:sz w:val="28"/>
          <w:szCs w:val="28"/>
        </w:rPr>
        <w:t>चैव</w:t>
        <w:tab/>
      </w:r>
      <w:r>
        <w:rPr>
          <w:rFonts w:ascii="Nirmala UI" w:hAnsi="Nirmala UI" w:cs="Nirmala UI" w:eastAsia="Nirmala UI"/>
          <w:sz w:val="28"/>
          <w:szCs w:val="28"/>
        </w:rPr>
        <w:t>स�ैता</w:t>
        <w:tab/>
        <w:tab/>
        <w:t>मो�दाियकाः</w:t>
      </w:r>
      <w:r>
        <w:rPr>
          <w:rFonts w:ascii="Nirmala UI" w:hAnsi="Nirmala UI" w:cs="Nirmala UI" w:eastAsia="Nirmala UI"/>
          <w:spacing w:val="25"/>
          <w:sz w:val="28"/>
          <w:szCs w:val="28"/>
        </w:rPr>
        <w:t> </w:t>
      </w:r>
      <w:r>
        <w:rPr>
          <w:rFonts w:ascii="Nirmala UI" w:hAnsi="Nirmala UI" w:cs="Nirmala UI" w:eastAsia="Nirmala UI"/>
          <w:spacing w:val="-122"/>
          <w:sz w:val="28"/>
          <w:szCs w:val="28"/>
        </w:rPr>
        <w:t>।</w:t>
      </w:r>
    </w:p>
    <w:p>
      <w:pPr>
        <w:spacing w:line="240" w:lineRule="auto" w:before="316"/>
        <w:ind w:left="1012" w:right="1245" w:firstLine="588"/>
        <w:jc w:val="both"/>
        <w:rPr>
          <w:rFonts w:ascii="Courier New"/>
          <w:sz w:val="28"/>
        </w:rPr>
      </w:pPr>
      <w:r>
        <w:rPr>
          <w:rFonts w:ascii="Courier New"/>
          <w:sz w:val="28"/>
        </w:rPr>
        <w:t>Ayodhya, Mathura, Maya (Haridwar), Kashi, Kanchi, Avantika (Ujjain) and Dvaravati (Dwaraka) are seven most sacred cities.</w:t>
      </w:r>
    </w:p>
    <w:p>
      <w:pPr>
        <w:pStyle w:val="BodyText"/>
        <w:rPr>
          <w:rFonts w:ascii="Courier New"/>
          <w:sz w:val="32"/>
        </w:rPr>
      </w:pPr>
    </w:p>
    <w:p>
      <w:pPr>
        <w:pStyle w:val="ListParagraph"/>
        <w:numPr>
          <w:ilvl w:val="0"/>
          <w:numId w:val="252"/>
        </w:numPr>
        <w:tabs>
          <w:tab w:pos="863" w:val="left" w:leader="none"/>
        </w:tabs>
        <w:spacing w:line="480" w:lineRule="auto" w:before="272" w:after="0"/>
        <w:ind w:left="159" w:right="160" w:firstLine="0"/>
        <w:jc w:val="both"/>
        <w:rPr>
          <w:rFonts w:ascii="Courier New"/>
          <w:sz w:val="28"/>
        </w:rPr>
      </w:pPr>
      <w:r>
        <w:rPr>
          <w:rFonts w:ascii="Courier New"/>
          <w:sz w:val="28"/>
        </w:rPr>
        <w:t>A long span of period, which spread into several centuries fall for consideration. The case of plaintiff of Suit No.4 as noted above is that Babri Mosque</w:t>
      </w:r>
      <w:r>
        <w:rPr>
          <w:rFonts w:ascii="Courier New"/>
          <w:spacing w:val="-25"/>
          <w:sz w:val="28"/>
        </w:rPr>
        <w:t> </w:t>
      </w:r>
      <w:r>
        <w:rPr>
          <w:rFonts w:ascii="Courier New"/>
          <w:sz w:val="28"/>
        </w:rPr>
        <w:t>was</w:t>
      </w:r>
      <w:r>
        <w:rPr>
          <w:rFonts w:ascii="Courier New"/>
          <w:spacing w:val="-24"/>
          <w:sz w:val="28"/>
        </w:rPr>
        <w:t> </w:t>
      </w:r>
      <w:r>
        <w:rPr>
          <w:rFonts w:ascii="Courier New"/>
          <w:sz w:val="28"/>
        </w:rPr>
        <w:t>constructed</w:t>
      </w:r>
      <w:r>
        <w:rPr>
          <w:rFonts w:ascii="Courier New"/>
          <w:spacing w:val="-24"/>
          <w:sz w:val="28"/>
        </w:rPr>
        <w:t> </w:t>
      </w:r>
      <w:r>
        <w:rPr>
          <w:rFonts w:ascii="Courier New"/>
          <w:sz w:val="28"/>
        </w:rPr>
        <w:t>in</w:t>
      </w:r>
      <w:r>
        <w:rPr>
          <w:rFonts w:ascii="Courier New"/>
          <w:spacing w:val="-24"/>
          <w:sz w:val="28"/>
        </w:rPr>
        <w:t> </w:t>
      </w:r>
      <w:r>
        <w:rPr>
          <w:rFonts w:ascii="Courier New"/>
          <w:sz w:val="28"/>
        </w:rPr>
        <w:t>1528</w:t>
      </w:r>
      <w:r>
        <w:rPr>
          <w:rFonts w:ascii="Courier New"/>
          <w:spacing w:val="-24"/>
          <w:sz w:val="28"/>
        </w:rPr>
        <w:t> </w:t>
      </w:r>
      <w:r>
        <w:rPr>
          <w:rFonts w:ascii="Courier New"/>
          <w:sz w:val="28"/>
        </w:rPr>
        <w:t>by</w:t>
      </w:r>
      <w:r>
        <w:rPr>
          <w:rFonts w:ascii="Courier New"/>
          <w:spacing w:val="-24"/>
          <w:sz w:val="28"/>
        </w:rPr>
        <w:t> </w:t>
      </w:r>
      <w:r>
        <w:rPr>
          <w:rFonts w:ascii="Courier New"/>
          <w:sz w:val="28"/>
        </w:rPr>
        <w:t>Mir</w:t>
      </w:r>
      <w:r>
        <w:rPr>
          <w:rFonts w:ascii="Courier New"/>
          <w:spacing w:val="-24"/>
          <w:sz w:val="28"/>
        </w:rPr>
        <w:t> </w:t>
      </w:r>
      <w:r>
        <w:rPr>
          <w:rFonts w:ascii="Courier New"/>
          <w:sz w:val="28"/>
        </w:rPr>
        <w:t>Baqi</w:t>
      </w:r>
      <w:r>
        <w:rPr>
          <w:rFonts w:ascii="Courier New"/>
          <w:spacing w:val="-21"/>
          <w:sz w:val="28"/>
        </w:rPr>
        <w:t> </w:t>
      </w:r>
      <w:r>
        <w:rPr>
          <w:rFonts w:ascii="Courier New"/>
          <w:sz w:val="28"/>
        </w:rPr>
        <w:t>on</w:t>
      </w:r>
      <w:r>
        <w:rPr>
          <w:rFonts w:ascii="Courier New"/>
          <w:spacing w:val="-24"/>
          <w:sz w:val="28"/>
        </w:rPr>
        <w:t> </w:t>
      </w:r>
      <w:r>
        <w:rPr>
          <w:rFonts w:ascii="Courier New"/>
          <w:sz w:val="28"/>
        </w:rPr>
        <w:t>the</w:t>
      </w:r>
      <w:r>
        <w:rPr>
          <w:rFonts w:ascii="Courier New"/>
          <w:spacing w:val="-24"/>
          <w:sz w:val="28"/>
        </w:rPr>
        <w:t> </w:t>
      </w:r>
      <w:r>
        <w:rPr>
          <w:rFonts w:ascii="Courier New"/>
          <w:sz w:val="28"/>
        </w:rPr>
        <w:t>order of Emperor Babar. Dr. Rajeev Dhavan, learned senior counsel appearing for plaintiff in Suit NO. 4 for Muslim</w:t>
      </w:r>
      <w:r>
        <w:rPr>
          <w:rFonts w:ascii="Courier New"/>
          <w:spacing w:val="-31"/>
          <w:sz w:val="28"/>
        </w:rPr>
        <w:t> </w:t>
      </w:r>
      <w:r>
        <w:rPr>
          <w:rFonts w:ascii="Courier New"/>
          <w:sz w:val="28"/>
        </w:rPr>
        <w:t>Parties</w:t>
      </w:r>
      <w:r>
        <w:rPr>
          <w:rFonts w:ascii="Courier New"/>
          <w:spacing w:val="-30"/>
          <w:sz w:val="28"/>
        </w:rPr>
        <w:t> </w:t>
      </w:r>
      <w:r>
        <w:rPr>
          <w:rFonts w:ascii="Courier New"/>
          <w:sz w:val="28"/>
        </w:rPr>
        <w:t>as</w:t>
      </w:r>
      <w:r>
        <w:rPr>
          <w:rFonts w:ascii="Courier New"/>
          <w:spacing w:val="-30"/>
          <w:sz w:val="28"/>
        </w:rPr>
        <w:t> </w:t>
      </w:r>
      <w:r>
        <w:rPr>
          <w:rFonts w:ascii="Courier New"/>
          <w:sz w:val="28"/>
        </w:rPr>
        <w:t>well</w:t>
      </w:r>
      <w:r>
        <w:rPr>
          <w:rFonts w:ascii="Courier New"/>
          <w:spacing w:val="-30"/>
          <w:sz w:val="28"/>
        </w:rPr>
        <w:t> </w:t>
      </w:r>
      <w:r>
        <w:rPr>
          <w:rFonts w:ascii="Courier New"/>
          <w:sz w:val="28"/>
        </w:rPr>
        <w:t>as</w:t>
      </w:r>
      <w:r>
        <w:rPr>
          <w:rFonts w:ascii="Courier New"/>
          <w:spacing w:val="-30"/>
          <w:sz w:val="28"/>
        </w:rPr>
        <w:t> </w:t>
      </w:r>
      <w:r>
        <w:rPr>
          <w:rFonts w:ascii="Courier New"/>
          <w:sz w:val="28"/>
        </w:rPr>
        <w:t>Shri</w:t>
      </w:r>
      <w:r>
        <w:rPr>
          <w:rFonts w:ascii="Courier New"/>
          <w:spacing w:val="-30"/>
          <w:sz w:val="28"/>
        </w:rPr>
        <w:t> </w:t>
      </w:r>
      <w:r>
        <w:rPr>
          <w:rFonts w:ascii="Courier New"/>
          <w:sz w:val="28"/>
        </w:rPr>
        <w:t>Zafaryab</w:t>
      </w:r>
      <w:r>
        <w:rPr>
          <w:rFonts w:ascii="Courier New"/>
          <w:spacing w:val="-31"/>
          <w:sz w:val="28"/>
        </w:rPr>
        <w:t> </w:t>
      </w:r>
      <w:r>
        <w:rPr>
          <w:rFonts w:ascii="Courier New"/>
          <w:sz w:val="28"/>
        </w:rPr>
        <w:t>Jilani,</w:t>
      </w:r>
      <w:r>
        <w:rPr>
          <w:rFonts w:ascii="Courier New"/>
          <w:spacing w:val="-30"/>
          <w:sz w:val="28"/>
        </w:rPr>
        <w:t> </w:t>
      </w:r>
      <w:r>
        <w:rPr>
          <w:rFonts w:ascii="Courier New"/>
          <w:sz w:val="28"/>
        </w:rPr>
        <w:t>learned senior counsel have contended that there was no</w:t>
      </w:r>
      <w:r>
        <w:rPr>
          <w:rFonts w:ascii="Courier New"/>
          <w:spacing w:val="97"/>
          <w:sz w:val="28"/>
        </w:rPr>
        <w:t> </w:t>
      </w:r>
      <w:r>
        <w:rPr>
          <w:rFonts w:ascii="Courier New"/>
          <w:sz w:val="28"/>
        </w:rPr>
        <w:t>faith</w:t>
      </w:r>
    </w:p>
    <w:p>
      <w:pPr>
        <w:spacing w:after="0" w:line="480" w:lineRule="auto"/>
        <w:jc w:val="both"/>
        <w:rPr>
          <w:rFonts w:ascii="Courier New"/>
          <w:sz w:val="28"/>
        </w:rPr>
        <w:sectPr>
          <w:headerReference w:type="default" r:id="rId246"/>
          <w:footerReference w:type="default" r:id="rId247"/>
          <w:pgSz w:w="11910" w:h="16840"/>
          <w:pgMar w:header="0" w:footer="1063" w:top="1340" w:bottom="1260" w:left="1280" w:right="1280"/>
          <w:pgNumType w:start="19"/>
        </w:sectPr>
      </w:pPr>
    </w:p>
    <w:p>
      <w:pPr>
        <w:spacing w:line="480" w:lineRule="auto" w:before="86"/>
        <w:ind w:left="160" w:right="155" w:firstLine="0"/>
        <w:jc w:val="both"/>
        <w:rPr>
          <w:rFonts w:ascii="Courier New" w:hAnsi="Courier New"/>
          <w:sz w:val="28"/>
        </w:rPr>
      </w:pPr>
      <w:r>
        <w:rPr>
          <w:rFonts w:ascii="Courier New" w:hAnsi="Courier New"/>
          <w:sz w:val="28"/>
        </w:rPr>
        <w:t>and belief regarding the disputed site being Janma Asthan of Lord Ram at any time before 1989, when Suit No.5</w:t>
      </w:r>
      <w:r>
        <w:rPr>
          <w:rFonts w:ascii="Courier New" w:hAnsi="Courier New"/>
          <w:spacing w:val="-27"/>
          <w:sz w:val="28"/>
        </w:rPr>
        <w:t> </w:t>
      </w:r>
      <w:r>
        <w:rPr>
          <w:rFonts w:ascii="Courier New" w:hAnsi="Courier New"/>
          <w:sz w:val="28"/>
        </w:rPr>
        <w:t>was</w:t>
      </w:r>
      <w:r>
        <w:rPr>
          <w:rFonts w:ascii="Courier New" w:hAnsi="Courier New"/>
          <w:spacing w:val="-26"/>
          <w:sz w:val="28"/>
        </w:rPr>
        <w:t> </w:t>
      </w:r>
      <w:r>
        <w:rPr>
          <w:rFonts w:ascii="Courier New" w:hAnsi="Courier New"/>
          <w:sz w:val="28"/>
        </w:rPr>
        <w:t>filed.</w:t>
      </w:r>
      <w:r>
        <w:rPr>
          <w:rFonts w:ascii="Courier New" w:hAnsi="Courier New"/>
          <w:spacing w:val="-26"/>
          <w:sz w:val="28"/>
        </w:rPr>
        <w:t> </w:t>
      </w:r>
      <w:r>
        <w:rPr>
          <w:rFonts w:ascii="Courier New" w:hAnsi="Courier New"/>
          <w:sz w:val="28"/>
        </w:rPr>
        <w:t>It</w:t>
      </w:r>
      <w:r>
        <w:rPr>
          <w:rFonts w:ascii="Courier New" w:hAnsi="Courier New"/>
          <w:spacing w:val="-27"/>
          <w:sz w:val="28"/>
        </w:rPr>
        <w:t> </w:t>
      </w:r>
      <w:r>
        <w:rPr>
          <w:rFonts w:ascii="Courier New" w:hAnsi="Courier New"/>
          <w:sz w:val="28"/>
        </w:rPr>
        <w:t>is</w:t>
      </w:r>
      <w:r>
        <w:rPr>
          <w:rFonts w:ascii="Courier New" w:hAnsi="Courier New"/>
          <w:spacing w:val="-26"/>
          <w:sz w:val="28"/>
        </w:rPr>
        <w:t> </w:t>
      </w:r>
      <w:r>
        <w:rPr>
          <w:rFonts w:ascii="Courier New" w:hAnsi="Courier New"/>
          <w:sz w:val="28"/>
        </w:rPr>
        <w:t>submitted</w:t>
      </w:r>
      <w:r>
        <w:rPr>
          <w:rFonts w:ascii="Courier New" w:hAnsi="Courier New"/>
          <w:spacing w:val="-26"/>
          <w:sz w:val="28"/>
        </w:rPr>
        <w:t> </w:t>
      </w:r>
      <w:r>
        <w:rPr>
          <w:rFonts w:ascii="Courier New" w:hAnsi="Courier New"/>
          <w:sz w:val="28"/>
        </w:rPr>
        <w:t>that</w:t>
      </w:r>
      <w:r>
        <w:rPr>
          <w:rFonts w:ascii="Courier New" w:hAnsi="Courier New"/>
          <w:spacing w:val="-27"/>
          <w:sz w:val="28"/>
        </w:rPr>
        <w:t> </w:t>
      </w:r>
      <w:r>
        <w:rPr>
          <w:rFonts w:ascii="Courier New" w:hAnsi="Courier New"/>
          <w:sz w:val="28"/>
        </w:rPr>
        <w:t>theory</w:t>
      </w:r>
      <w:r>
        <w:rPr>
          <w:rFonts w:ascii="Courier New" w:hAnsi="Courier New"/>
          <w:spacing w:val="-24"/>
          <w:sz w:val="28"/>
        </w:rPr>
        <w:t> </w:t>
      </w:r>
      <w:r>
        <w:rPr>
          <w:rFonts w:ascii="Courier New" w:hAnsi="Courier New"/>
          <w:sz w:val="28"/>
        </w:rPr>
        <w:t>of</w:t>
      </w:r>
      <w:r>
        <w:rPr>
          <w:rFonts w:ascii="Courier New" w:hAnsi="Courier New"/>
          <w:spacing w:val="-26"/>
          <w:sz w:val="28"/>
        </w:rPr>
        <w:t> </w:t>
      </w:r>
      <w:r>
        <w:rPr>
          <w:rFonts w:ascii="Courier New" w:hAnsi="Courier New"/>
          <w:sz w:val="28"/>
        </w:rPr>
        <w:t>disputed site being called as Janma Asthan of Lord Ram is of recent origin and there are no evidence of any</w:t>
      </w:r>
      <w:r>
        <w:rPr>
          <w:rFonts w:ascii="Courier New" w:hAnsi="Courier New"/>
          <w:spacing w:val="-70"/>
          <w:sz w:val="28"/>
        </w:rPr>
        <w:t> </w:t>
      </w:r>
      <w:r>
        <w:rPr>
          <w:rFonts w:ascii="Courier New" w:hAnsi="Courier New"/>
          <w:sz w:val="28"/>
        </w:rPr>
        <w:t>earlier time that Hindus had faith and belief that where the Mosque was constructed was birth place of Lord Ram. Dr. Dhavan submits that the argument that Ayodhya Mahatmya in Skanda Purana gives the location of Ram Janma Bhumi, which matches with the site of Babri Masjid has not been found correct. In support of his submission, he has relied on “Historian Report to the Nation”, which has been exhibited by plaintiff in</w:t>
      </w:r>
      <w:r>
        <w:rPr>
          <w:rFonts w:ascii="Courier New" w:hAnsi="Courier New"/>
          <w:spacing w:val="-67"/>
          <w:sz w:val="28"/>
        </w:rPr>
        <w:t> </w:t>
      </w:r>
      <w:r>
        <w:rPr>
          <w:rFonts w:ascii="Courier New" w:hAnsi="Courier New"/>
          <w:sz w:val="28"/>
        </w:rPr>
        <w:t>Suit No.5 (Ext. No.44) as well as plaintiff in Suit No.4 (Ext. No.62). It is submitted that the above report states that location described in the Ayodhya</w:t>
      </w:r>
      <w:r>
        <w:rPr>
          <w:rFonts w:ascii="Courier New" w:hAnsi="Courier New"/>
          <w:spacing w:val="-69"/>
          <w:sz w:val="28"/>
        </w:rPr>
        <w:t> </w:t>
      </w:r>
      <w:r>
        <w:rPr>
          <w:rFonts w:ascii="Courier New" w:hAnsi="Courier New"/>
          <w:sz w:val="28"/>
        </w:rPr>
        <w:t>Mahatmya in Skanda Purana does not match with the present-day location of Babri Masjid. It is submitted that no place in Ayodhya is associated with Lord Ram’s birth either</w:t>
      </w:r>
      <w:r>
        <w:rPr>
          <w:rFonts w:ascii="Courier New" w:hAnsi="Courier New"/>
          <w:spacing w:val="-31"/>
          <w:sz w:val="28"/>
        </w:rPr>
        <w:t> </w:t>
      </w:r>
      <w:r>
        <w:rPr>
          <w:rFonts w:ascii="Courier New" w:hAnsi="Courier New"/>
          <w:sz w:val="28"/>
        </w:rPr>
        <w:t>in</w:t>
      </w:r>
      <w:r>
        <w:rPr>
          <w:rFonts w:ascii="Courier New" w:hAnsi="Courier New"/>
          <w:spacing w:val="-30"/>
          <w:sz w:val="28"/>
        </w:rPr>
        <w:t> </w:t>
      </w:r>
      <w:r>
        <w:rPr>
          <w:rFonts w:ascii="Courier New" w:hAnsi="Courier New"/>
          <w:sz w:val="28"/>
        </w:rPr>
        <w:t>Eleventh</w:t>
      </w:r>
      <w:r>
        <w:rPr>
          <w:rFonts w:ascii="Courier New" w:hAnsi="Courier New"/>
          <w:spacing w:val="-30"/>
          <w:sz w:val="28"/>
        </w:rPr>
        <w:t> </w:t>
      </w:r>
      <w:r>
        <w:rPr>
          <w:rFonts w:ascii="Courier New" w:hAnsi="Courier New"/>
          <w:sz w:val="28"/>
        </w:rPr>
        <w:t>Century</w:t>
      </w:r>
      <w:r>
        <w:rPr>
          <w:rFonts w:ascii="Courier New" w:hAnsi="Courier New"/>
          <w:spacing w:val="-30"/>
          <w:sz w:val="28"/>
        </w:rPr>
        <w:t> </w:t>
      </w:r>
      <w:r>
        <w:rPr>
          <w:rFonts w:ascii="Courier New" w:hAnsi="Courier New"/>
          <w:sz w:val="28"/>
        </w:rPr>
        <w:t>or</w:t>
      </w:r>
      <w:r>
        <w:rPr>
          <w:rFonts w:ascii="Courier New" w:hAnsi="Courier New"/>
          <w:spacing w:val="-30"/>
          <w:sz w:val="28"/>
        </w:rPr>
        <w:t> </w:t>
      </w:r>
      <w:r>
        <w:rPr>
          <w:rFonts w:ascii="Courier New" w:hAnsi="Courier New"/>
          <w:sz w:val="28"/>
        </w:rPr>
        <w:t>even</w:t>
      </w:r>
      <w:r>
        <w:rPr>
          <w:rFonts w:ascii="Courier New" w:hAnsi="Courier New"/>
          <w:spacing w:val="-30"/>
          <w:sz w:val="28"/>
        </w:rPr>
        <w:t> </w:t>
      </w:r>
      <w:r>
        <w:rPr>
          <w:rFonts w:ascii="Courier New" w:hAnsi="Courier New"/>
          <w:sz w:val="28"/>
        </w:rPr>
        <w:t>six</w:t>
      </w:r>
      <w:r>
        <w:rPr>
          <w:rFonts w:ascii="Courier New" w:hAnsi="Courier New"/>
          <w:spacing w:val="-31"/>
          <w:sz w:val="28"/>
        </w:rPr>
        <w:t> </w:t>
      </w:r>
      <w:r>
        <w:rPr>
          <w:rFonts w:ascii="Courier New" w:hAnsi="Courier New"/>
          <w:sz w:val="28"/>
        </w:rPr>
        <w:t>centuries</w:t>
      </w:r>
      <w:r>
        <w:rPr>
          <w:rFonts w:ascii="Courier New" w:hAnsi="Courier New"/>
          <w:spacing w:val="-30"/>
          <w:sz w:val="28"/>
        </w:rPr>
        <w:t> </w:t>
      </w:r>
      <w:r>
        <w:rPr>
          <w:rFonts w:ascii="Courier New" w:hAnsi="Courier New"/>
          <w:sz w:val="28"/>
        </w:rPr>
        <w:t>after. When a place is associated with the birthplace of</w:t>
      </w:r>
      <w:r>
        <w:rPr>
          <w:rFonts w:ascii="Courier New" w:hAnsi="Courier New"/>
          <w:spacing w:val="-70"/>
          <w:sz w:val="28"/>
        </w:rPr>
        <w:t> </w:t>
      </w:r>
      <w:r>
        <w:rPr>
          <w:rFonts w:ascii="Courier New" w:hAnsi="Courier New"/>
          <w:sz w:val="28"/>
        </w:rPr>
        <w:t>Lord Ram,</w:t>
      </w:r>
      <w:r>
        <w:rPr>
          <w:rFonts w:ascii="Courier New" w:hAnsi="Courier New"/>
          <w:spacing w:val="85"/>
          <w:sz w:val="28"/>
        </w:rPr>
        <w:t> </w:t>
      </w:r>
      <w:r>
        <w:rPr>
          <w:rFonts w:ascii="Courier New" w:hAnsi="Courier New"/>
          <w:sz w:val="28"/>
        </w:rPr>
        <w:t>possibly</w:t>
      </w:r>
      <w:r>
        <w:rPr>
          <w:rFonts w:ascii="Courier New" w:hAnsi="Courier New"/>
          <w:spacing w:val="88"/>
          <w:sz w:val="28"/>
        </w:rPr>
        <w:t> </w:t>
      </w:r>
      <w:r>
        <w:rPr>
          <w:rFonts w:ascii="Courier New" w:hAnsi="Courier New"/>
          <w:sz w:val="28"/>
        </w:rPr>
        <w:t>in</w:t>
      </w:r>
      <w:r>
        <w:rPr>
          <w:rFonts w:ascii="Courier New" w:hAnsi="Courier New"/>
          <w:spacing w:val="86"/>
          <w:sz w:val="28"/>
        </w:rPr>
        <w:t> </w:t>
      </w:r>
      <w:r>
        <w:rPr>
          <w:rFonts w:ascii="Courier New" w:hAnsi="Courier New"/>
          <w:sz w:val="28"/>
        </w:rPr>
        <w:t>the</w:t>
      </w:r>
      <w:r>
        <w:rPr>
          <w:rFonts w:ascii="Courier New" w:hAnsi="Courier New"/>
          <w:spacing w:val="86"/>
          <w:sz w:val="28"/>
        </w:rPr>
        <w:t> </w:t>
      </w:r>
      <w:r>
        <w:rPr>
          <w:rFonts w:ascii="Courier New" w:hAnsi="Courier New"/>
          <w:sz w:val="28"/>
        </w:rPr>
        <w:t>later</w:t>
      </w:r>
      <w:r>
        <w:rPr>
          <w:rFonts w:ascii="Courier New" w:hAnsi="Courier New"/>
          <w:spacing w:val="88"/>
          <w:sz w:val="28"/>
        </w:rPr>
        <w:t> </w:t>
      </w:r>
      <w:r>
        <w:rPr>
          <w:rFonts w:ascii="Courier New" w:hAnsi="Courier New"/>
          <w:sz w:val="28"/>
        </w:rPr>
        <w:t>Eighteenth</w:t>
      </w:r>
      <w:r>
        <w:rPr>
          <w:rFonts w:ascii="Courier New" w:hAnsi="Courier New"/>
          <w:spacing w:val="86"/>
          <w:sz w:val="28"/>
        </w:rPr>
        <w:t> </w:t>
      </w:r>
      <w:r>
        <w:rPr>
          <w:rFonts w:ascii="Courier New" w:hAnsi="Courier New"/>
          <w:sz w:val="28"/>
        </w:rPr>
        <w:t>Century,</w:t>
      </w:r>
      <w:r>
        <w:rPr>
          <w:rFonts w:ascii="Courier New" w:hAnsi="Courier New"/>
          <w:spacing w:val="86"/>
          <w:sz w:val="28"/>
        </w:rPr>
        <w:t> </w:t>
      </w:r>
      <w:r>
        <w:rPr>
          <w:rFonts w:ascii="Courier New" w:hAnsi="Courier New"/>
          <w:sz w:val="28"/>
        </w:rPr>
        <w:t>its</w:t>
      </w:r>
    </w:p>
    <w:p>
      <w:pPr>
        <w:spacing w:after="0" w:line="480" w:lineRule="auto"/>
        <w:jc w:val="both"/>
        <w:rPr>
          <w:rFonts w:ascii="Courier New" w:hAnsi="Courier New"/>
          <w:sz w:val="28"/>
        </w:rPr>
        <w:sectPr>
          <w:headerReference w:type="default" r:id="rId248"/>
          <w:footerReference w:type="default" r:id="rId249"/>
          <w:pgSz w:w="11910" w:h="16840"/>
          <w:pgMar w:header="0" w:footer="1063" w:top="1340" w:bottom="1260" w:left="1280" w:right="1280"/>
          <w:pgNumType w:start="20"/>
        </w:sectPr>
      </w:pPr>
    </w:p>
    <w:p>
      <w:pPr>
        <w:spacing w:line="480" w:lineRule="auto" w:before="86"/>
        <w:ind w:left="160" w:right="155" w:firstLine="0"/>
        <w:jc w:val="both"/>
        <w:rPr>
          <w:rFonts w:ascii="Courier New" w:hAnsi="Courier New"/>
          <w:sz w:val="28"/>
        </w:rPr>
      </w:pPr>
      <w:r>
        <w:rPr>
          <w:rFonts w:ascii="Courier New" w:hAnsi="Courier New"/>
          <w:sz w:val="28"/>
        </w:rPr>
        <w:t>location given in the various Mahatmyas does not</w:t>
      </w:r>
      <w:r>
        <w:rPr>
          <w:rFonts w:ascii="Courier New" w:hAnsi="Courier New"/>
          <w:spacing w:val="-67"/>
          <w:sz w:val="28"/>
        </w:rPr>
        <w:t> </w:t>
      </w:r>
      <w:r>
        <w:rPr>
          <w:rFonts w:ascii="Courier New" w:hAnsi="Courier New"/>
          <w:sz w:val="28"/>
        </w:rPr>
        <w:t>tally with the Babri Masjid. The arguments based on book Ayodhya by Hans Bakker has also been refuted by Dr. Dhavan. He submits that no reliance can be placed on the Hans Bakker since (i) Hans Bakker proceeds on the presumption that Ayodhya is not a real city but a figment</w:t>
      </w:r>
      <w:r>
        <w:rPr>
          <w:rFonts w:ascii="Courier New" w:hAnsi="Courier New"/>
          <w:spacing w:val="-35"/>
          <w:sz w:val="28"/>
        </w:rPr>
        <w:t> </w:t>
      </w:r>
      <w:r>
        <w:rPr>
          <w:rFonts w:ascii="Courier New" w:hAnsi="Courier New"/>
          <w:sz w:val="28"/>
        </w:rPr>
        <w:t>of</w:t>
      </w:r>
      <w:r>
        <w:rPr>
          <w:rFonts w:ascii="Courier New" w:hAnsi="Courier New"/>
          <w:spacing w:val="-34"/>
          <w:sz w:val="28"/>
        </w:rPr>
        <w:t> </w:t>
      </w:r>
      <w:r>
        <w:rPr>
          <w:rFonts w:ascii="Courier New" w:hAnsi="Courier New"/>
          <w:sz w:val="28"/>
        </w:rPr>
        <w:t>the</w:t>
      </w:r>
      <w:r>
        <w:rPr>
          <w:rFonts w:ascii="Courier New" w:hAnsi="Courier New"/>
          <w:spacing w:val="-32"/>
          <w:sz w:val="28"/>
        </w:rPr>
        <w:t> </w:t>
      </w:r>
      <w:r>
        <w:rPr>
          <w:rFonts w:ascii="Courier New" w:hAnsi="Courier New"/>
          <w:sz w:val="28"/>
        </w:rPr>
        <w:t>poet’s</w:t>
      </w:r>
      <w:r>
        <w:rPr>
          <w:rFonts w:ascii="Courier New" w:hAnsi="Courier New"/>
          <w:spacing w:val="-34"/>
          <w:sz w:val="28"/>
        </w:rPr>
        <w:t> </w:t>
      </w:r>
      <w:r>
        <w:rPr>
          <w:rFonts w:ascii="Courier New" w:hAnsi="Courier New"/>
          <w:sz w:val="28"/>
        </w:rPr>
        <w:t>imagination;</w:t>
      </w:r>
      <w:r>
        <w:rPr>
          <w:rFonts w:ascii="Courier New" w:hAnsi="Courier New"/>
          <w:spacing w:val="-34"/>
          <w:sz w:val="28"/>
        </w:rPr>
        <w:t> </w:t>
      </w:r>
      <w:r>
        <w:rPr>
          <w:rFonts w:ascii="Courier New" w:hAnsi="Courier New"/>
          <w:sz w:val="28"/>
        </w:rPr>
        <w:t>(ii)</w:t>
      </w:r>
      <w:r>
        <w:rPr>
          <w:rFonts w:ascii="Courier New" w:hAnsi="Courier New"/>
          <w:spacing w:val="-34"/>
          <w:sz w:val="28"/>
        </w:rPr>
        <w:t> </w:t>
      </w:r>
      <w:r>
        <w:rPr>
          <w:rFonts w:ascii="Courier New" w:hAnsi="Courier New"/>
          <w:sz w:val="28"/>
        </w:rPr>
        <w:t>Bakker</w:t>
      </w:r>
      <w:r>
        <w:rPr>
          <w:rFonts w:ascii="Courier New" w:hAnsi="Courier New"/>
          <w:spacing w:val="-34"/>
          <w:sz w:val="28"/>
        </w:rPr>
        <w:t> </w:t>
      </w:r>
      <w:r>
        <w:rPr>
          <w:rFonts w:ascii="Courier New" w:hAnsi="Courier New"/>
          <w:sz w:val="28"/>
        </w:rPr>
        <w:t>proceeds by</w:t>
      </w:r>
      <w:r>
        <w:rPr>
          <w:rFonts w:ascii="Courier New" w:hAnsi="Courier New"/>
          <w:spacing w:val="-27"/>
          <w:sz w:val="28"/>
        </w:rPr>
        <w:t> </w:t>
      </w:r>
      <w:r>
        <w:rPr>
          <w:rFonts w:ascii="Courier New" w:hAnsi="Courier New"/>
          <w:sz w:val="28"/>
        </w:rPr>
        <w:t>equating</w:t>
      </w:r>
      <w:r>
        <w:rPr>
          <w:rFonts w:ascii="Courier New" w:hAnsi="Courier New"/>
          <w:spacing w:val="-26"/>
          <w:sz w:val="28"/>
        </w:rPr>
        <w:t> </w:t>
      </w:r>
      <w:r>
        <w:rPr>
          <w:rFonts w:ascii="Courier New" w:hAnsi="Courier New"/>
          <w:sz w:val="28"/>
        </w:rPr>
        <w:t>Ayodhya</w:t>
      </w:r>
      <w:r>
        <w:rPr>
          <w:rFonts w:ascii="Courier New" w:hAnsi="Courier New"/>
          <w:spacing w:val="-26"/>
          <w:sz w:val="28"/>
        </w:rPr>
        <w:t> </w:t>
      </w:r>
      <w:r>
        <w:rPr>
          <w:rFonts w:ascii="Courier New" w:hAnsi="Courier New"/>
          <w:sz w:val="28"/>
        </w:rPr>
        <w:t>to</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city</w:t>
      </w:r>
      <w:r>
        <w:rPr>
          <w:rFonts w:ascii="Courier New" w:hAnsi="Courier New"/>
          <w:spacing w:val="-26"/>
          <w:sz w:val="28"/>
        </w:rPr>
        <w:t> </w:t>
      </w:r>
      <w:r>
        <w:rPr>
          <w:rFonts w:ascii="Courier New" w:hAnsi="Courier New"/>
          <w:sz w:val="28"/>
        </w:rPr>
        <w:t>of</w:t>
      </w:r>
      <w:r>
        <w:rPr>
          <w:rFonts w:ascii="Courier New" w:hAnsi="Courier New"/>
          <w:spacing w:val="-26"/>
          <w:sz w:val="28"/>
        </w:rPr>
        <w:t> </w:t>
      </w:r>
      <w:r>
        <w:rPr>
          <w:rFonts w:ascii="Courier New" w:hAnsi="Courier New"/>
          <w:sz w:val="28"/>
        </w:rPr>
        <w:t>Saketa;</w:t>
      </w:r>
      <w:r>
        <w:rPr>
          <w:rFonts w:ascii="Courier New" w:hAnsi="Courier New"/>
          <w:spacing w:val="-26"/>
          <w:sz w:val="28"/>
        </w:rPr>
        <w:t> </w:t>
      </w:r>
      <w:r>
        <w:rPr>
          <w:rFonts w:ascii="Courier New" w:hAnsi="Courier New"/>
          <w:sz w:val="28"/>
        </w:rPr>
        <w:t>(iii)</w:t>
      </w:r>
      <w:r>
        <w:rPr>
          <w:rFonts w:ascii="Courier New" w:hAnsi="Courier New"/>
          <w:spacing w:val="-26"/>
          <w:sz w:val="28"/>
        </w:rPr>
        <w:t> </w:t>
      </w:r>
      <w:r>
        <w:rPr>
          <w:rFonts w:ascii="Courier New" w:hAnsi="Courier New"/>
          <w:sz w:val="28"/>
        </w:rPr>
        <w:t>Bakker further</w:t>
      </w:r>
      <w:r>
        <w:rPr>
          <w:rFonts w:ascii="Courier New" w:hAnsi="Courier New"/>
          <w:spacing w:val="-31"/>
          <w:sz w:val="28"/>
        </w:rPr>
        <w:t> </w:t>
      </w:r>
      <w:r>
        <w:rPr>
          <w:rFonts w:ascii="Courier New" w:hAnsi="Courier New"/>
          <w:sz w:val="28"/>
        </w:rPr>
        <w:t>states</w:t>
      </w:r>
      <w:r>
        <w:rPr>
          <w:rFonts w:ascii="Courier New" w:hAnsi="Courier New"/>
          <w:spacing w:val="-30"/>
          <w:sz w:val="28"/>
        </w:rPr>
        <w:t> </w:t>
      </w:r>
      <w:r>
        <w:rPr>
          <w:rFonts w:ascii="Courier New" w:hAnsi="Courier New"/>
          <w:sz w:val="28"/>
        </w:rPr>
        <w:t>that</w:t>
      </w:r>
      <w:r>
        <w:rPr>
          <w:rFonts w:ascii="Courier New" w:hAnsi="Courier New"/>
          <w:spacing w:val="-30"/>
          <w:sz w:val="28"/>
        </w:rPr>
        <w:t> </w:t>
      </w:r>
      <w:r>
        <w:rPr>
          <w:rFonts w:ascii="Courier New" w:hAnsi="Courier New"/>
          <w:sz w:val="28"/>
        </w:rPr>
        <w:t>even</w:t>
      </w:r>
      <w:r>
        <w:rPr>
          <w:rFonts w:ascii="Courier New" w:hAnsi="Courier New"/>
          <w:spacing w:val="-30"/>
          <w:sz w:val="28"/>
        </w:rPr>
        <w:t> </w:t>
      </w:r>
      <w:r>
        <w:rPr>
          <w:rFonts w:ascii="Courier New" w:hAnsi="Courier New"/>
          <w:sz w:val="28"/>
        </w:rPr>
        <w:t>by</w:t>
      </w:r>
      <w:r>
        <w:rPr>
          <w:rFonts w:ascii="Courier New" w:hAnsi="Courier New"/>
          <w:spacing w:val="-30"/>
          <w:sz w:val="28"/>
        </w:rPr>
        <w:t> </w:t>
      </w:r>
      <w:r>
        <w:rPr>
          <w:rFonts w:ascii="Courier New" w:hAnsi="Courier New"/>
          <w:sz w:val="28"/>
        </w:rPr>
        <w:t>mapping</w:t>
      </w:r>
      <w:r>
        <w:rPr>
          <w:rFonts w:ascii="Courier New" w:hAnsi="Courier New"/>
          <w:spacing w:val="-30"/>
          <w:sz w:val="28"/>
        </w:rPr>
        <w:t> </w:t>
      </w:r>
      <w:r>
        <w:rPr>
          <w:rFonts w:ascii="Courier New" w:hAnsi="Courier New"/>
          <w:sz w:val="28"/>
        </w:rPr>
        <w:t>the</w:t>
      </w:r>
      <w:r>
        <w:rPr>
          <w:rFonts w:ascii="Courier New" w:hAnsi="Courier New"/>
          <w:spacing w:val="-31"/>
          <w:sz w:val="28"/>
        </w:rPr>
        <w:t> </w:t>
      </w:r>
      <w:r>
        <w:rPr>
          <w:rFonts w:ascii="Courier New" w:hAnsi="Courier New"/>
          <w:sz w:val="28"/>
        </w:rPr>
        <w:t>birthplace</w:t>
      </w:r>
      <w:r>
        <w:rPr>
          <w:rFonts w:ascii="Courier New" w:hAnsi="Courier New"/>
          <w:spacing w:val="-30"/>
          <w:sz w:val="28"/>
        </w:rPr>
        <w:t> </w:t>
      </w:r>
      <w:r>
        <w:rPr>
          <w:rFonts w:ascii="Courier New" w:hAnsi="Courier New"/>
          <w:sz w:val="28"/>
        </w:rPr>
        <w:t>from Ayodhya Mahatmya and ultimately states that Babri Masjid is built at the birthplace as is confirmed by local belief; (iv) even the impugned judgment records that Hans Bakker proceeds on the basis of conjectures without assigning any</w:t>
      </w:r>
      <w:r>
        <w:rPr>
          <w:rFonts w:ascii="Courier New" w:hAnsi="Courier New"/>
          <w:spacing w:val="-5"/>
          <w:sz w:val="28"/>
        </w:rPr>
        <w:t> </w:t>
      </w:r>
      <w:r>
        <w:rPr>
          <w:rFonts w:ascii="Courier New" w:hAnsi="Courier New"/>
          <w:sz w:val="28"/>
        </w:rPr>
        <w:t>reason.</w:t>
      </w:r>
    </w:p>
    <w:p>
      <w:pPr>
        <w:pStyle w:val="BodyText"/>
        <w:spacing w:before="11"/>
        <w:rPr>
          <w:rFonts w:ascii="Courier New"/>
          <w:sz w:val="27"/>
        </w:rPr>
      </w:pPr>
    </w:p>
    <w:p>
      <w:pPr>
        <w:pStyle w:val="ListParagraph"/>
        <w:numPr>
          <w:ilvl w:val="0"/>
          <w:numId w:val="252"/>
        </w:numPr>
        <w:tabs>
          <w:tab w:pos="868" w:val="left" w:leader="none"/>
        </w:tabs>
        <w:spacing w:line="480" w:lineRule="auto" w:before="0" w:after="0"/>
        <w:ind w:left="160" w:right="158" w:firstLine="0"/>
        <w:jc w:val="both"/>
        <w:rPr>
          <w:rFonts w:ascii="Courier New"/>
          <w:sz w:val="28"/>
        </w:rPr>
      </w:pPr>
      <w:r>
        <w:rPr>
          <w:rFonts w:ascii="Courier New"/>
          <w:sz w:val="28"/>
        </w:rPr>
        <w:t>With regard to the statement recorded in various travelogues, Dr. Dhavan submits that statement in travelogues are all hearsay and those travellers were only story tellers on which no reliance can be</w:t>
      </w:r>
      <w:r>
        <w:rPr>
          <w:rFonts w:ascii="Courier New"/>
          <w:spacing w:val="-70"/>
          <w:sz w:val="28"/>
        </w:rPr>
        <w:t> </w:t>
      </w:r>
      <w:r>
        <w:rPr>
          <w:rFonts w:ascii="Courier New"/>
          <w:sz w:val="28"/>
        </w:rPr>
        <w:t>placed. Insofar</w:t>
      </w:r>
      <w:r>
        <w:rPr>
          <w:rFonts w:ascii="Courier New"/>
          <w:spacing w:val="-34"/>
          <w:sz w:val="28"/>
        </w:rPr>
        <w:t> </w:t>
      </w:r>
      <w:r>
        <w:rPr>
          <w:rFonts w:ascii="Courier New"/>
          <w:sz w:val="28"/>
        </w:rPr>
        <w:t>as</w:t>
      </w:r>
      <w:r>
        <w:rPr>
          <w:rFonts w:ascii="Courier New"/>
          <w:spacing w:val="-34"/>
          <w:sz w:val="28"/>
        </w:rPr>
        <w:t> </w:t>
      </w:r>
      <w:r>
        <w:rPr>
          <w:rFonts w:ascii="Courier New"/>
          <w:sz w:val="28"/>
        </w:rPr>
        <w:t>Gazetteers</w:t>
      </w:r>
      <w:r>
        <w:rPr>
          <w:rFonts w:ascii="Courier New"/>
          <w:spacing w:val="-34"/>
          <w:sz w:val="28"/>
        </w:rPr>
        <w:t> </w:t>
      </w:r>
      <w:r>
        <w:rPr>
          <w:rFonts w:ascii="Courier New"/>
          <w:sz w:val="28"/>
        </w:rPr>
        <w:t>are</w:t>
      </w:r>
      <w:r>
        <w:rPr>
          <w:rFonts w:ascii="Courier New"/>
          <w:spacing w:val="-34"/>
          <w:sz w:val="28"/>
        </w:rPr>
        <w:t> </w:t>
      </w:r>
      <w:r>
        <w:rPr>
          <w:rFonts w:ascii="Courier New"/>
          <w:sz w:val="28"/>
        </w:rPr>
        <w:t>concerned,</w:t>
      </w:r>
      <w:r>
        <w:rPr>
          <w:rFonts w:ascii="Courier New"/>
          <w:spacing w:val="-34"/>
          <w:sz w:val="28"/>
        </w:rPr>
        <w:t> </w:t>
      </w:r>
      <w:r>
        <w:rPr>
          <w:rFonts w:ascii="Courier New"/>
          <w:sz w:val="28"/>
        </w:rPr>
        <w:t>Dr.</w:t>
      </w:r>
      <w:r>
        <w:rPr>
          <w:rFonts w:ascii="Courier New"/>
          <w:spacing w:val="-34"/>
          <w:sz w:val="28"/>
        </w:rPr>
        <w:t> </w:t>
      </w:r>
      <w:r>
        <w:rPr>
          <w:rFonts w:ascii="Courier New"/>
          <w:sz w:val="28"/>
        </w:rPr>
        <w:t>Dhavan</w:t>
      </w:r>
      <w:r>
        <w:rPr>
          <w:rFonts w:ascii="Courier New"/>
          <w:spacing w:val="-33"/>
          <w:sz w:val="28"/>
        </w:rPr>
        <w:t> </w:t>
      </w:r>
      <w:r>
        <w:rPr>
          <w:rFonts w:ascii="Courier New"/>
          <w:sz w:val="28"/>
        </w:rPr>
        <w:t>submits that Gazetteers which were prepared during the period of East India Company were the Gazetteers prepared</w:t>
      </w:r>
      <w:r>
        <w:rPr>
          <w:rFonts w:ascii="Courier New"/>
          <w:spacing w:val="97"/>
          <w:sz w:val="28"/>
        </w:rPr>
        <w:t> </w:t>
      </w:r>
      <w:r>
        <w:rPr>
          <w:rFonts w:ascii="Courier New"/>
          <w:sz w:val="28"/>
        </w:rPr>
        <w:t>to</w:t>
      </w:r>
    </w:p>
    <w:p>
      <w:pPr>
        <w:spacing w:after="0" w:line="480" w:lineRule="auto"/>
        <w:jc w:val="both"/>
        <w:rPr>
          <w:rFonts w:ascii="Courier New"/>
          <w:sz w:val="28"/>
        </w:rPr>
        <w:sectPr>
          <w:headerReference w:type="default" r:id="rId250"/>
          <w:footerReference w:type="default" r:id="rId251"/>
          <w:pgSz w:w="11910" w:h="16840"/>
          <w:pgMar w:header="0" w:footer="1063" w:top="1340" w:bottom="1260" w:left="1280" w:right="1280"/>
          <w:pgNumType w:start="21"/>
        </w:sectPr>
      </w:pPr>
    </w:p>
    <w:p>
      <w:pPr>
        <w:spacing w:line="480" w:lineRule="auto" w:before="86"/>
        <w:ind w:left="160" w:right="160" w:firstLine="0"/>
        <w:jc w:val="both"/>
        <w:rPr>
          <w:rFonts w:ascii="Courier New"/>
          <w:sz w:val="28"/>
        </w:rPr>
      </w:pPr>
      <w:r>
        <w:rPr>
          <w:rFonts w:ascii="Courier New"/>
          <w:sz w:val="28"/>
        </w:rPr>
        <w:t>place before the Britishers and they being not under governmental authority cannot be relied. He submits that Gazettes prepared after 1858 when the British assumes sovereignty on the area in question, can be looked into, but those Gazettes cannot be stand alone evidence</w:t>
      </w:r>
      <w:r>
        <w:rPr>
          <w:rFonts w:ascii="Courier New"/>
          <w:spacing w:val="-34"/>
          <w:sz w:val="28"/>
        </w:rPr>
        <w:t> </w:t>
      </w:r>
      <w:r>
        <w:rPr>
          <w:rFonts w:ascii="Courier New"/>
          <w:sz w:val="28"/>
        </w:rPr>
        <w:t>and</w:t>
      </w:r>
      <w:r>
        <w:rPr>
          <w:rFonts w:ascii="Courier New"/>
          <w:spacing w:val="-34"/>
          <w:sz w:val="28"/>
        </w:rPr>
        <w:t> </w:t>
      </w:r>
      <w:r>
        <w:rPr>
          <w:rFonts w:ascii="Courier New"/>
          <w:sz w:val="28"/>
        </w:rPr>
        <w:t>needs</w:t>
      </w:r>
      <w:r>
        <w:rPr>
          <w:rFonts w:ascii="Courier New"/>
          <w:spacing w:val="-34"/>
          <w:sz w:val="28"/>
        </w:rPr>
        <w:t> </w:t>
      </w:r>
      <w:r>
        <w:rPr>
          <w:rFonts w:ascii="Courier New"/>
          <w:sz w:val="28"/>
        </w:rPr>
        <w:t>corroboration</w:t>
      </w:r>
      <w:r>
        <w:rPr>
          <w:rFonts w:ascii="Courier New"/>
          <w:spacing w:val="-34"/>
          <w:sz w:val="28"/>
        </w:rPr>
        <w:t> </w:t>
      </w:r>
      <w:r>
        <w:rPr>
          <w:rFonts w:ascii="Courier New"/>
          <w:sz w:val="28"/>
        </w:rPr>
        <w:t>by</w:t>
      </w:r>
      <w:r>
        <w:rPr>
          <w:rFonts w:ascii="Courier New"/>
          <w:spacing w:val="-34"/>
          <w:sz w:val="28"/>
        </w:rPr>
        <w:t> </w:t>
      </w:r>
      <w:r>
        <w:rPr>
          <w:rFonts w:ascii="Courier New"/>
          <w:sz w:val="28"/>
        </w:rPr>
        <w:t>any</w:t>
      </w:r>
      <w:r>
        <w:rPr>
          <w:rFonts w:ascii="Courier New"/>
          <w:spacing w:val="-34"/>
          <w:sz w:val="28"/>
        </w:rPr>
        <w:t> </w:t>
      </w:r>
      <w:r>
        <w:rPr>
          <w:rFonts w:ascii="Courier New"/>
          <w:sz w:val="28"/>
        </w:rPr>
        <w:t>other</w:t>
      </w:r>
      <w:r>
        <w:rPr>
          <w:rFonts w:ascii="Courier New"/>
          <w:spacing w:val="-33"/>
          <w:sz w:val="28"/>
        </w:rPr>
        <w:t> </w:t>
      </w:r>
      <w:r>
        <w:rPr>
          <w:rFonts w:ascii="Courier New"/>
          <w:sz w:val="28"/>
        </w:rPr>
        <w:t>intrinsic evidence. He submits that the site of Babri Masjid</w:t>
      </w:r>
      <w:r>
        <w:rPr>
          <w:rFonts w:ascii="Courier New"/>
          <w:spacing w:val="-70"/>
          <w:sz w:val="28"/>
        </w:rPr>
        <w:t> </w:t>
      </w:r>
      <w:r>
        <w:rPr>
          <w:rFonts w:ascii="Courier New"/>
          <w:sz w:val="28"/>
        </w:rPr>
        <w:t>was constructed in 1528 A.D. being not the birthplace of Lord</w:t>
      </w:r>
      <w:r>
        <w:rPr>
          <w:rFonts w:ascii="Courier New"/>
          <w:spacing w:val="-31"/>
          <w:sz w:val="28"/>
        </w:rPr>
        <w:t> </w:t>
      </w:r>
      <w:r>
        <w:rPr>
          <w:rFonts w:ascii="Courier New"/>
          <w:sz w:val="28"/>
        </w:rPr>
        <w:t>Ram,</w:t>
      </w:r>
      <w:r>
        <w:rPr>
          <w:rFonts w:ascii="Courier New"/>
          <w:spacing w:val="-30"/>
          <w:sz w:val="28"/>
        </w:rPr>
        <w:t> </w:t>
      </w:r>
      <w:r>
        <w:rPr>
          <w:rFonts w:ascii="Courier New"/>
          <w:sz w:val="28"/>
        </w:rPr>
        <w:t>there</w:t>
      </w:r>
      <w:r>
        <w:rPr>
          <w:rFonts w:ascii="Courier New"/>
          <w:spacing w:val="-30"/>
          <w:sz w:val="28"/>
        </w:rPr>
        <w:t> </w:t>
      </w:r>
      <w:r>
        <w:rPr>
          <w:rFonts w:ascii="Courier New"/>
          <w:sz w:val="28"/>
        </w:rPr>
        <w:t>is</w:t>
      </w:r>
      <w:r>
        <w:rPr>
          <w:rFonts w:ascii="Courier New"/>
          <w:spacing w:val="-30"/>
          <w:sz w:val="28"/>
        </w:rPr>
        <w:t> </w:t>
      </w:r>
      <w:r>
        <w:rPr>
          <w:rFonts w:ascii="Courier New"/>
          <w:sz w:val="28"/>
        </w:rPr>
        <w:t>no</w:t>
      </w:r>
      <w:r>
        <w:rPr>
          <w:rFonts w:ascii="Courier New"/>
          <w:spacing w:val="-30"/>
          <w:sz w:val="28"/>
        </w:rPr>
        <w:t> </w:t>
      </w:r>
      <w:r>
        <w:rPr>
          <w:rFonts w:ascii="Courier New"/>
          <w:sz w:val="28"/>
        </w:rPr>
        <w:t>question</w:t>
      </w:r>
      <w:r>
        <w:rPr>
          <w:rFonts w:ascii="Courier New"/>
          <w:spacing w:val="-30"/>
          <w:sz w:val="28"/>
        </w:rPr>
        <w:t> </w:t>
      </w:r>
      <w:r>
        <w:rPr>
          <w:rFonts w:ascii="Courier New"/>
          <w:sz w:val="28"/>
        </w:rPr>
        <w:t>of</w:t>
      </w:r>
      <w:r>
        <w:rPr>
          <w:rFonts w:ascii="Courier New"/>
          <w:spacing w:val="-31"/>
          <w:sz w:val="28"/>
        </w:rPr>
        <w:t> </w:t>
      </w:r>
      <w:r>
        <w:rPr>
          <w:rFonts w:ascii="Courier New"/>
          <w:sz w:val="28"/>
        </w:rPr>
        <w:t>treating</w:t>
      </w:r>
      <w:r>
        <w:rPr>
          <w:rFonts w:ascii="Courier New"/>
          <w:spacing w:val="-30"/>
          <w:sz w:val="28"/>
        </w:rPr>
        <w:t> </w:t>
      </w:r>
      <w:r>
        <w:rPr>
          <w:rFonts w:ascii="Courier New"/>
          <w:sz w:val="28"/>
        </w:rPr>
        <w:t>construction of Babri Mosque on birthplace of Lord</w:t>
      </w:r>
      <w:r>
        <w:rPr>
          <w:rFonts w:ascii="Courier New"/>
          <w:spacing w:val="-12"/>
          <w:sz w:val="28"/>
        </w:rPr>
        <w:t> </w:t>
      </w:r>
      <w:r>
        <w:rPr>
          <w:rFonts w:ascii="Courier New"/>
          <w:sz w:val="28"/>
        </w:rPr>
        <w:t>Ram.</w:t>
      </w:r>
    </w:p>
    <w:p>
      <w:pPr>
        <w:pStyle w:val="BodyText"/>
        <w:spacing w:before="9"/>
        <w:rPr>
          <w:rFonts w:ascii="Courier New"/>
          <w:sz w:val="27"/>
        </w:rPr>
      </w:pPr>
    </w:p>
    <w:p>
      <w:pPr>
        <w:pStyle w:val="ListParagraph"/>
        <w:numPr>
          <w:ilvl w:val="0"/>
          <w:numId w:val="252"/>
        </w:numPr>
        <w:tabs>
          <w:tab w:pos="806" w:val="left" w:leader="none"/>
        </w:tabs>
        <w:spacing w:line="482" w:lineRule="auto" w:before="0" w:after="0"/>
        <w:ind w:left="160" w:right="163" w:firstLine="0"/>
        <w:jc w:val="both"/>
        <w:rPr>
          <w:rFonts w:ascii="Courier New"/>
          <w:sz w:val="28"/>
        </w:rPr>
      </w:pPr>
      <w:r>
        <w:rPr>
          <w:rFonts w:ascii="Courier New"/>
          <w:sz w:val="28"/>
        </w:rPr>
        <w:t>Above</w:t>
      </w:r>
      <w:r>
        <w:rPr>
          <w:rFonts w:ascii="Courier New"/>
          <w:spacing w:val="-31"/>
          <w:sz w:val="28"/>
        </w:rPr>
        <w:t> </w:t>
      </w:r>
      <w:r>
        <w:rPr>
          <w:rFonts w:ascii="Courier New"/>
          <w:sz w:val="28"/>
        </w:rPr>
        <w:t>submission</w:t>
      </w:r>
      <w:r>
        <w:rPr>
          <w:rFonts w:ascii="Courier New"/>
          <w:spacing w:val="-30"/>
          <w:sz w:val="28"/>
        </w:rPr>
        <w:t> </w:t>
      </w:r>
      <w:r>
        <w:rPr>
          <w:rFonts w:ascii="Courier New"/>
          <w:sz w:val="28"/>
        </w:rPr>
        <w:t>has</w:t>
      </w:r>
      <w:r>
        <w:rPr>
          <w:rFonts w:ascii="Courier New"/>
          <w:spacing w:val="-31"/>
          <w:sz w:val="28"/>
        </w:rPr>
        <w:t> </w:t>
      </w:r>
      <w:r>
        <w:rPr>
          <w:rFonts w:ascii="Courier New"/>
          <w:sz w:val="28"/>
        </w:rPr>
        <w:t>been</w:t>
      </w:r>
      <w:r>
        <w:rPr>
          <w:rFonts w:ascii="Courier New"/>
          <w:spacing w:val="-30"/>
          <w:sz w:val="28"/>
        </w:rPr>
        <w:t> </w:t>
      </w:r>
      <w:r>
        <w:rPr>
          <w:rFonts w:ascii="Courier New"/>
          <w:sz w:val="28"/>
        </w:rPr>
        <w:t>refuted</w:t>
      </w:r>
      <w:r>
        <w:rPr>
          <w:rFonts w:ascii="Courier New"/>
          <w:spacing w:val="-30"/>
          <w:sz w:val="28"/>
        </w:rPr>
        <w:t> </w:t>
      </w:r>
      <w:r>
        <w:rPr>
          <w:rFonts w:ascii="Courier New"/>
          <w:sz w:val="28"/>
        </w:rPr>
        <w:t>by</w:t>
      </w:r>
      <w:r>
        <w:rPr>
          <w:rFonts w:ascii="Courier New"/>
          <w:spacing w:val="-31"/>
          <w:sz w:val="28"/>
        </w:rPr>
        <w:t> </w:t>
      </w:r>
      <w:r>
        <w:rPr>
          <w:rFonts w:ascii="Courier New"/>
          <w:sz w:val="28"/>
        </w:rPr>
        <w:t>learned</w:t>
      </w:r>
      <w:r>
        <w:rPr>
          <w:rFonts w:ascii="Courier New"/>
          <w:spacing w:val="-30"/>
          <w:sz w:val="28"/>
        </w:rPr>
        <w:t> </w:t>
      </w:r>
      <w:r>
        <w:rPr>
          <w:rFonts w:ascii="Courier New"/>
          <w:sz w:val="28"/>
        </w:rPr>
        <w:t>senior counsel,</w:t>
      </w:r>
      <w:r>
        <w:rPr>
          <w:rFonts w:ascii="Courier New"/>
          <w:spacing w:val="-40"/>
          <w:sz w:val="28"/>
        </w:rPr>
        <w:t> </w:t>
      </w:r>
      <w:r>
        <w:rPr>
          <w:rFonts w:ascii="Courier New"/>
          <w:sz w:val="28"/>
        </w:rPr>
        <w:t>Shri</w:t>
      </w:r>
      <w:r>
        <w:rPr>
          <w:rFonts w:ascii="Courier New"/>
          <w:spacing w:val="-40"/>
          <w:sz w:val="28"/>
        </w:rPr>
        <w:t> </w:t>
      </w:r>
      <w:r>
        <w:rPr>
          <w:rFonts w:ascii="Courier New"/>
          <w:sz w:val="28"/>
        </w:rPr>
        <w:t>K.Parasaran,</w:t>
      </w:r>
      <w:r>
        <w:rPr>
          <w:rFonts w:ascii="Courier New"/>
          <w:spacing w:val="-40"/>
          <w:sz w:val="28"/>
        </w:rPr>
        <w:t> </w:t>
      </w:r>
      <w:r>
        <w:rPr>
          <w:rFonts w:ascii="Courier New"/>
          <w:sz w:val="28"/>
        </w:rPr>
        <w:t>Shri</w:t>
      </w:r>
      <w:r>
        <w:rPr>
          <w:rFonts w:ascii="Courier New"/>
          <w:spacing w:val="-40"/>
          <w:sz w:val="28"/>
        </w:rPr>
        <w:t> </w:t>
      </w:r>
      <w:r>
        <w:rPr>
          <w:rFonts w:ascii="Courier New"/>
          <w:sz w:val="28"/>
        </w:rPr>
        <w:t>C.S.</w:t>
      </w:r>
      <w:r>
        <w:rPr>
          <w:rFonts w:ascii="Courier New"/>
          <w:spacing w:val="-40"/>
          <w:sz w:val="28"/>
        </w:rPr>
        <w:t> </w:t>
      </w:r>
      <w:r>
        <w:rPr>
          <w:rFonts w:ascii="Courier New"/>
          <w:sz w:val="28"/>
        </w:rPr>
        <w:t>Vaidyanathan,</w:t>
      </w:r>
      <w:r>
        <w:rPr>
          <w:rFonts w:ascii="Courier New"/>
          <w:spacing w:val="-39"/>
          <w:sz w:val="28"/>
        </w:rPr>
        <w:t> </w:t>
      </w:r>
      <w:r>
        <w:rPr>
          <w:rFonts w:ascii="Courier New"/>
          <w:sz w:val="28"/>
        </w:rPr>
        <w:t>Shri</w:t>
      </w:r>
    </w:p>
    <w:p>
      <w:pPr>
        <w:spacing w:line="480" w:lineRule="auto" w:before="0"/>
        <w:ind w:left="160" w:right="158" w:firstLine="0"/>
        <w:jc w:val="both"/>
        <w:rPr>
          <w:rFonts w:ascii="Courier New"/>
          <w:sz w:val="28"/>
        </w:rPr>
      </w:pPr>
      <w:r>
        <w:rPr>
          <w:rFonts w:ascii="Courier New"/>
          <w:sz w:val="28"/>
        </w:rPr>
        <w:t>P.N. Mishra and Shri P.S. Narsimha. Shri C.S. Vaidyanathan, learned senior counsel refuting the submissions of Dr. Dhavan contends that faith and belief</w:t>
      </w:r>
      <w:r>
        <w:rPr>
          <w:rFonts w:ascii="Courier New"/>
          <w:spacing w:val="-27"/>
          <w:sz w:val="28"/>
        </w:rPr>
        <w:t> </w:t>
      </w:r>
      <w:r>
        <w:rPr>
          <w:rFonts w:ascii="Courier New"/>
          <w:sz w:val="28"/>
        </w:rPr>
        <w:t>of</w:t>
      </w:r>
      <w:r>
        <w:rPr>
          <w:rFonts w:ascii="Courier New"/>
          <w:spacing w:val="-26"/>
          <w:sz w:val="28"/>
        </w:rPr>
        <w:t> </w:t>
      </w:r>
      <w:r>
        <w:rPr>
          <w:rFonts w:ascii="Courier New"/>
          <w:sz w:val="28"/>
        </w:rPr>
        <w:t>the</w:t>
      </w:r>
      <w:r>
        <w:rPr>
          <w:rFonts w:ascii="Courier New"/>
          <w:spacing w:val="-26"/>
          <w:sz w:val="28"/>
        </w:rPr>
        <w:t> </w:t>
      </w:r>
      <w:r>
        <w:rPr>
          <w:rFonts w:ascii="Courier New"/>
          <w:sz w:val="28"/>
        </w:rPr>
        <w:t>Hindus</w:t>
      </w:r>
      <w:r>
        <w:rPr>
          <w:rFonts w:ascii="Courier New"/>
          <w:spacing w:val="-26"/>
          <w:sz w:val="28"/>
        </w:rPr>
        <w:t> </w:t>
      </w:r>
      <w:r>
        <w:rPr>
          <w:rFonts w:ascii="Courier New"/>
          <w:sz w:val="28"/>
        </w:rPr>
        <w:t>in</w:t>
      </w:r>
      <w:r>
        <w:rPr>
          <w:rFonts w:ascii="Courier New"/>
          <w:spacing w:val="-26"/>
          <w:sz w:val="28"/>
        </w:rPr>
        <w:t> </w:t>
      </w:r>
      <w:r>
        <w:rPr>
          <w:rFonts w:ascii="Courier New"/>
          <w:sz w:val="28"/>
        </w:rPr>
        <w:t>respect</w:t>
      </w:r>
      <w:r>
        <w:rPr>
          <w:rFonts w:ascii="Courier New"/>
          <w:spacing w:val="-26"/>
          <w:sz w:val="28"/>
        </w:rPr>
        <w:t> </w:t>
      </w:r>
      <w:r>
        <w:rPr>
          <w:rFonts w:ascii="Courier New"/>
          <w:sz w:val="28"/>
        </w:rPr>
        <w:t>of</w:t>
      </w:r>
      <w:r>
        <w:rPr>
          <w:rFonts w:ascii="Courier New"/>
          <w:spacing w:val="-26"/>
          <w:sz w:val="28"/>
        </w:rPr>
        <w:t> </w:t>
      </w:r>
      <w:r>
        <w:rPr>
          <w:rFonts w:ascii="Courier New"/>
          <w:sz w:val="28"/>
        </w:rPr>
        <w:t>place</w:t>
      </w:r>
      <w:r>
        <w:rPr>
          <w:rFonts w:ascii="Courier New"/>
          <w:spacing w:val="-26"/>
          <w:sz w:val="28"/>
        </w:rPr>
        <w:t> </w:t>
      </w:r>
      <w:r>
        <w:rPr>
          <w:rFonts w:ascii="Courier New"/>
          <w:sz w:val="28"/>
        </w:rPr>
        <w:t>where</w:t>
      </w:r>
      <w:r>
        <w:rPr>
          <w:rFonts w:ascii="Courier New"/>
          <w:spacing w:val="-26"/>
          <w:sz w:val="28"/>
        </w:rPr>
        <w:t> </w:t>
      </w:r>
      <w:r>
        <w:rPr>
          <w:rFonts w:ascii="Courier New"/>
          <w:sz w:val="28"/>
        </w:rPr>
        <w:t>disputed structure was put up during the Mughal period was the birthplace of Lord Ram and has been since ages worshipped</w:t>
      </w:r>
      <w:r>
        <w:rPr>
          <w:rFonts w:ascii="Courier New"/>
          <w:spacing w:val="-27"/>
          <w:sz w:val="28"/>
        </w:rPr>
        <w:t> </w:t>
      </w:r>
      <w:r>
        <w:rPr>
          <w:rFonts w:ascii="Courier New"/>
          <w:sz w:val="28"/>
        </w:rPr>
        <w:t>as</w:t>
      </w:r>
      <w:r>
        <w:rPr>
          <w:rFonts w:ascii="Courier New"/>
          <w:spacing w:val="-25"/>
          <w:sz w:val="28"/>
        </w:rPr>
        <w:t> </w:t>
      </w:r>
      <w:r>
        <w:rPr>
          <w:rFonts w:ascii="Courier New"/>
          <w:sz w:val="28"/>
        </w:rPr>
        <w:t>such</w:t>
      </w:r>
      <w:r>
        <w:rPr>
          <w:rFonts w:ascii="Courier New"/>
          <w:spacing w:val="-26"/>
          <w:sz w:val="28"/>
        </w:rPr>
        <w:t> </w:t>
      </w:r>
      <w:r>
        <w:rPr>
          <w:rFonts w:ascii="Courier New"/>
          <w:sz w:val="28"/>
        </w:rPr>
        <w:t>the</w:t>
      </w:r>
      <w:r>
        <w:rPr>
          <w:rFonts w:ascii="Courier New"/>
          <w:spacing w:val="-27"/>
          <w:sz w:val="28"/>
        </w:rPr>
        <w:t> </w:t>
      </w:r>
      <w:r>
        <w:rPr>
          <w:rFonts w:ascii="Courier New"/>
          <w:sz w:val="28"/>
        </w:rPr>
        <w:t>place</w:t>
      </w:r>
      <w:r>
        <w:rPr>
          <w:rFonts w:ascii="Courier New"/>
          <w:spacing w:val="-24"/>
          <w:sz w:val="28"/>
        </w:rPr>
        <w:t> </w:t>
      </w:r>
      <w:r>
        <w:rPr>
          <w:rFonts w:ascii="Courier New"/>
          <w:sz w:val="28"/>
        </w:rPr>
        <w:t>being</w:t>
      </w:r>
      <w:r>
        <w:rPr>
          <w:rFonts w:ascii="Courier New"/>
          <w:spacing w:val="-27"/>
          <w:sz w:val="28"/>
        </w:rPr>
        <w:t> </w:t>
      </w:r>
      <w:r>
        <w:rPr>
          <w:rFonts w:ascii="Courier New"/>
          <w:sz w:val="28"/>
        </w:rPr>
        <w:t>divine</w:t>
      </w:r>
      <w:r>
        <w:rPr>
          <w:rFonts w:ascii="Courier New"/>
          <w:spacing w:val="-26"/>
          <w:sz w:val="28"/>
        </w:rPr>
        <w:t> </w:t>
      </w:r>
      <w:r>
        <w:rPr>
          <w:rFonts w:ascii="Courier New"/>
          <w:sz w:val="28"/>
        </w:rPr>
        <w:t>and</w:t>
      </w:r>
      <w:r>
        <w:rPr>
          <w:rFonts w:ascii="Courier New"/>
          <w:spacing w:val="-27"/>
          <w:sz w:val="28"/>
        </w:rPr>
        <w:t> </w:t>
      </w:r>
      <w:r>
        <w:rPr>
          <w:rFonts w:ascii="Courier New"/>
          <w:sz w:val="28"/>
        </w:rPr>
        <w:t>of</w:t>
      </w:r>
      <w:r>
        <w:rPr>
          <w:rFonts w:ascii="Courier New"/>
          <w:spacing w:val="-26"/>
          <w:sz w:val="28"/>
        </w:rPr>
        <w:t> </w:t>
      </w:r>
      <w:r>
        <w:rPr>
          <w:rFonts w:ascii="Courier New"/>
          <w:sz w:val="28"/>
        </w:rPr>
        <w:t>sacred character. It is submitted that scriptures and sacred writings,</w:t>
      </w:r>
      <w:r>
        <w:rPr>
          <w:rFonts w:ascii="Courier New"/>
          <w:spacing w:val="33"/>
          <w:sz w:val="28"/>
        </w:rPr>
        <w:t> </w:t>
      </w:r>
      <w:r>
        <w:rPr>
          <w:rFonts w:ascii="Courier New"/>
          <w:sz w:val="28"/>
        </w:rPr>
        <w:t>which</w:t>
      </w:r>
      <w:r>
        <w:rPr>
          <w:rFonts w:ascii="Courier New"/>
          <w:spacing w:val="33"/>
          <w:sz w:val="28"/>
        </w:rPr>
        <w:t> </w:t>
      </w:r>
      <w:r>
        <w:rPr>
          <w:rFonts w:ascii="Courier New"/>
          <w:sz w:val="28"/>
        </w:rPr>
        <w:t>are</w:t>
      </w:r>
      <w:r>
        <w:rPr>
          <w:rFonts w:ascii="Courier New"/>
          <w:spacing w:val="33"/>
          <w:sz w:val="28"/>
        </w:rPr>
        <w:t> </w:t>
      </w:r>
      <w:r>
        <w:rPr>
          <w:rFonts w:ascii="Courier New"/>
          <w:sz w:val="28"/>
        </w:rPr>
        <w:t>of</w:t>
      </w:r>
      <w:r>
        <w:rPr>
          <w:rFonts w:ascii="Courier New"/>
          <w:spacing w:val="33"/>
          <w:sz w:val="28"/>
        </w:rPr>
        <w:t> </w:t>
      </w:r>
      <w:r>
        <w:rPr>
          <w:rFonts w:ascii="Courier New"/>
          <w:sz w:val="28"/>
        </w:rPr>
        <w:t>much</w:t>
      </w:r>
      <w:r>
        <w:rPr>
          <w:rFonts w:ascii="Courier New"/>
          <w:spacing w:val="36"/>
          <w:sz w:val="28"/>
        </w:rPr>
        <w:t> </w:t>
      </w:r>
      <w:r>
        <w:rPr>
          <w:rFonts w:ascii="Courier New"/>
          <w:sz w:val="28"/>
        </w:rPr>
        <w:t>earlier</w:t>
      </w:r>
      <w:r>
        <w:rPr>
          <w:rFonts w:ascii="Courier New"/>
          <w:spacing w:val="33"/>
          <w:sz w:val="28"/>
        </w:rPr>
        <w:t> </w:t>
      </w:r>
      <w:r>
        <w:rPr>
          <w:rFonts w:ascii="Courier New"/>
          <w:sz w:val="28"/>
        </w:rPr>
        <w:t>period</w:t>
      </w:r>
      <w:r>
        <w:rPr>
          <w:rFonts w:ascii="Courier New"/>
          <w:spacing w:val="33"/>
          <w:sz w:val="28"/>
        </w:rPr>
        <w:t> </w:t>
      </w:r>
      <w:r>
        <w:rPr>
          <w:rFonts w:ascii="Courier New"/>
          <w:sz w:val="28"/>
        </w:rPr>
        <w:t>than</w:t>
      </w:r>
      <w:r>
        <w:rPr>
          <w:rFonts w:ascii="Courier New"/>
          <w:spacing w:val="33"/>
          <w:sz w:val="28"/>
        </w:rPr>
        <w:t> </w:t>
      </w:r>
      <w:r>
        <w:rPr>
          <w:rFonts w:ascii="Courier New"/>
          <w:sz w:val="28"/>
        </w:rPr>
        <w:t>1528</w:t>
      </w:r>
    </w:p>
    <w:p>
      <w:pPr>
        <w:spacing w:after="0" w:line="480" w:lineRule="auto"/>
        <w:jc w:val="both"/>
        <w:rPr>
          <w:rFonts w:ascii="Courier New"/>
          <w:sz w:val="28"/>
        </w:rPr>
        <w:sectPr>
          <w:headerReference w:type="default" r:id="rId252"/>
          <w:footerReference w:type="default" r:id="rId253"/>
          <w:pgSz w:w="11910" w:h="16840"/>
          <w:pgMar w:header="0" w:footer="1063" w:top="1340" w:bottom="1260" w:left="1280" w:right="1280"/>
          <w:pgNumType w:start="22"/>
        </w:sectPr>
      </w:pPr>
    </w:p>
    <w:p>
      <w:pPr>
        <w:spacing w:line="480" w:lineRule="auto" w:before="86"/>
        <w:ind w:left="160" w:right="158" w:firstLine="0"/>
        <w:jc w:val="both"/>
        <w:rPr>
          <w:rFonts w:ascii="Courier New" w:hAnsi="Courier New"/>
          <w:sz w:val="28"/>
        </w:rPr>
      </w:pPr>
      <w:r>
        <w:rPr>
          <w:rFonts w:ascii="Courier New" w:hAnsi="Courier New"/>
          <w:sz w:val="28"/>
        </w:rPr>
        <w:t>appropriately describes the Janma Asthan of Lord Ram at Ayodhya. Reliance has been placed on Skanda</w:t>
      </w:r>
      <w:r>
        <w:rPr>
          <w:rFonts w:ascii="Courier New" w:hAnsi="Courier New"/>
          <w:spacing w:val="-67"/>
          <w:sz w:val="28"/>
        </w:rPr>
        <w:t> </w:t>
      </w:r>
      <w:r>
        <w:rPr>
          <w:rFonts w:ascii="Courier New" w:hAnsi="Courier New"/>
          <w:sz w:val="28"/>
        </w:rPr>
        <w:t>Purana, Vaisnavakhanda, Ayodhya Mahatmya specifically. It is submitted that Valmiki Ramayana, which is composition Before Christ also refers to Ayodhya as birthplace of Lord Ram, according to which Lord Ram was born at the palace of King Dasratha at Ayodhya. ‘Ramcharit</w:t>
      </w:r>
      <w:r>
        <w:rPr>
          <w:rFonts w:ascii="Courier New" w:hAnsi="Courier New"/>
          <w:spacing w:val="-73"/>
          <w:sz w:val="28"/>
        </w:rPr>
        <w:t> </w:t>
      </w:r>
      <w:r>
        <w:rPr>
          <w:rFonts w:ascii="Courier New" w:hAnsi="Courier New"/>
          <w:sz w:val="28"/>
        </w:rPr>
        <w:t>Manasa’ by</w:t>
      </w:r>
      <w:r>
        <w:rPr>
          <w:rFonts w:ascii="Courier New" w:hAnsi="Courier New"/>
          <w:spacing w:val="-27"/>
          <w:sz w:val="28"/>
        </w:rPr>
        <w:t> </w:t>
      </w:r>
      <w:r>
        <w:rPr>
          <w:rFonts w:ascii="Courier New" w:hAnsi="Courier New"/>
          <w:sz w:val="28"/>
        </w:rPr>
        <w:t>Tulsidas</w:t>
      </w:r>
      <w:r>
        <w:rPr>
          <w:rFonts w:ascii="Courier New" w:hAnsi="Courier New"/>
          <w:spacing w:val="-26"/>
          <w:sz w:val="28"/>
        </w:rPr>
        <w:t> </w:t>
      </w:r>
      <w:r>
        <w:rPr>
          <w:rFonts w:ascii="Courier New" w:hAnsi="Courier New"/>
          <w:sz w:val="28"/>
        </w:rPr>
        <w:t>has</w:t>
      </w:r>
      <w:r>
        <w:rPr>
          <w:rFonts w:ascii="Courier New" w:hAnsi="Courier New"/>
          <w:spacing w:val="-26"/>
          <w:sz w:val="28"/>
        </w:rPr>
        <w:t> </w:t>
      </w:r>
      <w:r>
        <w:rPr>
          <w:rFonts w:ascii="Courier New" w:hAnsi="Courier New"/>
          <w:sz w:val="28"/>
        </w:rPr>
        <w:t>also</w:t>
      </w:r>
      <w:r>
        <w:rPr>
          <w:rFonts w:ascii="Courier New" w:hAnsi="Courier New"/>
          <w:spacing w:val="-26"/>
          <w:sz w:val="28"/>
        </w:rPr>
        <w:t> </w:t>
      </w:r>
      <w:r>
        <w:rPr>
          <w:rFonts w:ascii="Courier New" w:hAnsi="Courier New"/>
          <w:sz w:val="28"/>
        </w:rPr>
        <w:t>been</w:t>
      </w:r>
      <w:r>
        <w:rPr>
          <w:rFonts w:ascii="Courier New" w:hAnsi="Courier New"/>
          <w:spacing w:val="-26"/>
          <w:sz w:val="28"/>
        </w:rPr>
        <w:t> </w:t>
      </w:r>
      <w:r>
        <w:rPr>
          <w:rFonts w:ascii="Courier New" w:hAnsi="Courier New"/>
          <w:sz w:val="28"/>
        </w:rPr>
        <w:t>referred</w:t>
      </w:r>
      <w:r>
        <w:rPr>
          <w:rFonts w:ascii="Courier New" w:hAnsi="Courier New"/>
          <w:spacing w:val="-26"/>
          <w:sz w:val="28"/>
        </w:rPr>
        <w:t> </w:t>
      </w:r>
      <w:r>
        <w:rPr>
          <w:rFonts w:ascii="Courier New" w:hAnsi="Courier New"/>
          <w:sz w:val="28"/>
        </w:rPr>
        <w:t>to</w:t>
      </w:r>
      <w:r>
        <w:rPr>
          <w:rFonts w:ascii="Courier New" w:hAnsi="Courier New"/>
          <w:spacing w:val="-26"/>
          <w:sz w:val="28"/>
        </w:rPr>
        <w:t> </w:t>
      </w:r>
      <w:r>
        <w:rPr>
          <w:rFonts w:ascii="Courier New" w:hAnsi="Courier New"/>
          <w:sz w:val="28"/>
        </w:rPr>
        <w:t>wherein</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birth of Lord Ram at Ayodhya is mentioned, which is being celebrated</w:t>
      </w:r>
      <w:r>
        <w:rPr>
          <w:rFonts w:ascii="Courier New" w:hAnsi="Courier New"/>
          <w:spacing w:val="-35"/>
          <w:sz w:val="28"/>
        </w:rPr>
        <w:t> </w:t>
      </w:r>
      <w:r>
        <w:rPr>
          <w:rFonts w:ascii="Courier New" w:hAnsi="Courier New"/>
          <w:sz w:val="28"/>
        </w:rPr>
        <w:t>on</w:t>
      </w:r>
      <w:r>
        <w:rPr>
          <w:rFonts w:ascii="Courier New" w:hAnsi="Courier New"/>
          <w:spacing w:val="-32"/>
          <w:sz w:val="28"/>
        </w:rPr>
        <w:t> </w:t>
      </w:r>
      <w:r>
        <w:rPr>
          <w:rFonts w:ascii="Courier New" w:hAnsi="Courier New"/>
          <w:sz w:val="28"/>
        </w:rPr>
        <w:t>Chaitra</w:t>
      </w:r>
      <w:r>
        <w:rPr>
          <w:rFonts w:ascii="Courier New" w:hAnsi="Courier New"/>
          <w:spacing w:val="-34"/>
          <w:sz w:val="28"/>
        </w:rPr>
        <w:t> </w:t>
      </w:r>
      <w:r>
        <w:rPr>
          <w:rFonts w:ascii="Courier New" w:hAnsi="Courier New"/>
          <w:sz w:val="28"/>
        </w:rPr>
        <w:t>Navami,</w:t>
      </w:r>
      <w:r>
        <w:rPr>
          <w:rFonts w:ascii="Courier New" w:hAnsi="Courier New"/>
          <w:spacing w:val="-34"/>
          <w:sz w:val="28"/>
        </w:rPr>
        <w:t> </w:t>
      </w:r>
      <w:r>
        <w:rPr>
          <w:rFonts w:ascii="Courier New" w:hAnsi="Courier New"/>
          <w:sz w:val="28"/>
        </w:rPr>
        <w:t>Shukla</w:t>
      </w:r>
      <w:r>
        <w:rPr>
          <w:rFonts w:ascii="Courier New" w:hAnsi="Courier New"/>
          <w:spacing w:val="-34"/>
          <w:sz w:val="28"/>
        </w:rPr>
        <w:t> </w:t>
      </w:r>
      <w:r>
        <w:rPr>
          <w:rFonts w:ascii="Courier New" w:hAnsi="Courier New"/>
          <w:sz w:val="28"/>
        </w:rPr>
        <w:t>Paksha</w:t>
      </w:r>
      <w:r>
        <w:rPr>
          <w:rFonts w:ascii="Courier New" w:hAnsi="Courier New"/>
          <w:spacing w:val="-34"/>
          <w:sz w:val="28"/>
        </w:rPr>
        <w:t> </w:t>
      </w:r>
      <w:r>
        <w:rPr>
          <w:rFonts w:ascii="Courier New" w:hAnsi="Courier New"/>
          <w:sz w:val="28"/>
        </w:rPr>
        <w:t>every</w:t>
      </w:r>
      <w:r>
        <w:rPr>
          <w:rFonts w:ascii="Courier New" w:hAnsi="Courier New"/>
          <w:spacing w:val="-34"/>
          <w:sz w:val="28"/>
        </w:rPr>
        <w:t> </w:t>
      </w:r>
      <w:r>
        <w:rPr>
          <w:rFonts w:ascii="Courier New" w:hAnsi="Courier New"/>
          <w:sz w:val="28"/>
        </w:rPr>
        <w:t>year. Learned counsel appearing for the Hindu parties also submits that travellers’ account, which relates to</w:t>
      </w:r>
      <w:r>
        <w:rPr>
          <w:rFonts w:ascii="Courier New" w:hAnsi="Courier New"/>
          <w:spacing w:val="-67"/>
          <w:sz w:val="28"/>
        </w:rPr>
        <w:t> </w:t>
      </w:r>
      <w:r>
        <w:rPr>
          <w:rFonts w:ascii="Courier New" w:hAnsi="Courier New"/>
          <w:sz w:val="28"/>
        </w:rPr>
        <w:t>the period prior to 1858 as well as after 1858, which are in form of published books are relevant and can be relied</w:t>
      </w:r>
      <w:r>
        <w:rPr>
          <w:rFonts w:ascii="Courier New" w:hAnsi="Courier New"/>
          <w:spacing w:val="-27"/>
          <w:sz w:val="28"/>
        </w:rPr>
        <w:t> </w:t>
      </w:r>
      <w:r>
        <w:rPr>
          <w:rFonts w:ascii="Courier New" w:hAnsi="Courier New"/>
          <w:sz w:val="28"/>
        </w:rPr>
        <w:t>by</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Court</w:t>
      </w:r>
      <w:r>
        <w:rPr>
          <w:rFonts w:ascii="Courier New" w:hAnsi="Courier New"/>
          <w:spacing w:val="-26"/>
          <w:sz w:val="28"/>
        </w:rPr>
        <w:t> </w:t>
      </w:r>
      <w:r>
        <w:rPr>
          <w:rFonts w:ascii="Courier New" w:hAnsi="Courier New"/>
          <w:sz w:val="28"/>
        </w:rPr>
        <w:t>under</w:t>
      </w:r>
      <w:r>
        <w:rPr>
          <w:rFonts w:ascii="Courier New" w:hAnsi="Courier New"/>
          <w:spacing w:val="-26"/>
          <w:sz w:val="28"/>
        </w:rPr>
        <w:t> </w:t>
      </w:r>
      <w:r>
        <w:rPr>
          <w:rFonts w:ascii="Courier New" w:hAnsi="Courier New"/>
          <w:sz w:val="28"/>
        </w:rPr>
        <w:t>Section</w:t>
      </w:r>
      <w:r>
        <w:rPr>
          <w:rFonts w:ascii="Courier New" w:hAnsi="Courier New"/>
          <w:spacing w:val="-26"/>
          <w:sz w:val="28"/>
        </w:rPr>
        <w:t> </w:t>
      </w:r>
      <w:r>
        <w:rPr>
          <w:rFonts w:ascii="Courier New" w:hAnsi="Courier New"/>
          <w:sz w:val="28"/>
        </w:rPr>
        <w:t>57</w:t>
      </w:r>
      <w:r>
        <w:rPr>
          <w:rFonts w:ascii="Courier New" w:hAnsi="Courier New"/>
          <w:spacing w:val="-26"/>
          <w:sz w:val="28"/>
        </w:rPr>
        <w:t> </w:t>
      </w:r>
      <w:r>
        <w:rPr>
          <w:rFonts w:ascii="Courier New" w:hAnsi="Courier New"/>
          <w:sz w:val="28"/>
        </w:rPr>
        <w:t>of</w:t>
      </w:r>
      <w:r>
        <w:rPr>
          <w:rFonts w:ascii="Courier New" w:hAnsi="Courier New"/>
          <w:spacing w:val="-26"/>
          <w:sz w:val="28"/>
        </w:rPr>
        <w:t> </w:t>
      </w:r>
      <w:r>
        <w:rPr>
          <w:rFonts w:ascii="Courier New" w:hAnsi="Courier New"/>
          <w:sz w:val="28"/>
        </w:rPr>
        <w:t>Indian</w:t>
      </w:r>
      <w:r>
        <w:rPr>
          <w:rFonts w:ascii="Courier New" w:hAnsi="Courier New"/>
          <w:spacing w:val="-26"/>
          <w:sz w:val="28"/>
        </w:rPr>
        <w:t> </w:t>
      </w:r>
      <w:r>
        <w:rPr>
          <w:rFonts w:ascii="Courier New" w:hAnsi="Courier New"/>
          <w:sz w:val="28"/>
        </w:rPr>
        <w:t>Evidence Act, 1872. Coming to the Gazetteers, learned counsel submits that Gazetteers are published work by Government authorities, which has substantial evidentiary value. It is submitted that Gazetteers have been relied by this Court in several cases and statements recorded in Gazetteers has to be</w:t>
      </w:r>
      <w:r>
        <w:rPr>
          <w:rFonts w:ascii="Courier New" w:hAnsi="Courier New"/>
          <w:spacing w:val="-69"/>
          <w:sz w:val="28"/>
        </w:rPr>
        <w:t> </w:t>
      </w:r>
      <w:r>
        <w:rPr>
          <w:rFonts w:ascii="Courier New" w:hAnsi="Courier New"/>
          <w:sz w:val="28"/>
        </w:rPr>
        <w:t>considered as substantial evidence and looked into. Shri</w:t>
      </w:r>
      <w:r>
        <w:rPr>
          <w:rFonts w:ascii="Courier New" w:hAnsi="Courier New"/>
          <w:spacing w:val="97"/>
          <w:sz w:val="28"/>
        </w:rPr>
        <w:t> </w:t>
      </w:r>
      <w:r>
        <w:rPr>
          <w:rFonts w:ascii="Courier New" w:hAnsi="Courier New"/>
          <w:sz w:val="28"/>
        </w:rPr>
        <w:t>P.S.</w:t>
      </w:r>
    </w:p>
    <w:p>
      <w:pPr>
        <w:spacing w:after="0" w:line="480" w:lineRule="auto"/>
        <w:jc w:val="both"/>
        <w:rPr>
          <w:rFonts w:ascii="Courier New" w:hAnsi="Courier New"/>
          <w:sz w:val="28"/>
        </w:rPr>
        <w:sectPr>
          <w:headerReference w:type="default" r:id="rId254"/>
          <w:footerReference w:type="default" r:id="rId255"/>
          <w:pgSz w:w="11910" w:h="16840"/>
          <w:pgMar w:header="0" w:footer="1063" w:top="1340" w:bottom="1260" w:left="1280" w:right="1280"/>
          <w:pgNumType w:start="23"/>
        </w:sectPr>
      </w:pPr>
    </w:p>
    <w:p>
      <w:pPr>
        <w:spacing w:line="480" w:lineRule="auto" w:before="86"/>
        <w:ind w:left="160" w:right="157" w:firstLine="0"/>
        <w:jc w:val="both"/>
        <w:rPr>
          <w:rFonts w:ascii="Courier New"/>
          <w:sz w:val="28"/>
        </w:rPr>
      </w:pPr>
      <w:r>
        <w:rPr>
          <w:rFonts w:ascii="Courier New"/>
          <w:sz w:val="28"/>
        </w:rPr>
        <w:t>Narsimha elaborating his submission submits that the test, which has to be applied for marshalling the evidence is the standard of preponderance of probability. Referring to Section 3 of Evidence Act, he submits that proof of fact depends upon the belief or</w:t>
      </w:r>
      <w:r>
        <w:rPr>
          <w:rFonts w:ascii="Courier New"/>
          <w:spacing w:val="-31"/>
          <w:sz w:val="28"/>
        </w:rPr>
        <w:t> </w:t>
      </w:r>
      <w:r>
        <w:rPr>
          <w:rFonts w:ascii="Courier New"/>
          <w:sz w:val="28"/>
        </w:rPr>
        <w:t>probability</w:t>
      </w:r>
      <w:r>
        <w:rPr>
          <w:rFonts w:ascii="Courier New"/>
          <w:spacing w:val="-30"/>
          <w:sz w:val="28"/>
        </w:rPr>
        <w:t> </w:t>
      </w:r>
      <w:r>
        <w:rPr>
          <w:rFonts w:ascii="Courier New"/>
          <w:sz w:val="28"/>
        </w:rPr>
        <w:t>of</w:t>
      </w:r>
      <w:r>
        <w:rPr>
          <w:rFonts w:ascii="Courier New"/>
          <w:spacing w:val="-30"/>
          <w:sz w:val="28"/>
        </w:rPr>
        <w:t> </w:t>
      </w:r>
      <w:r>
        <w:rPr>
          <w:rFonts w:ascii="Courier New"/>
          <w:sz w:val="28"/>
        </w:rPr>
        <w:t>the</w:t>
      </w:r>
      <w:r>
        <w:rPr>
          <w:rFonts w:ascii="Courier New"/>
          <w:spacing w:val="-30"/>
          <w:sz w:val="28"/>
        </w:rPr>
        <w:t> </w:t>
      </w:r>
      <w:r>
        <w:rPr>
          <w:rFonts w:ascii="Courier New"/>
          <w:sz w:val="28"/>
        </w:rPr>
        <w:t>fact</w:t>
      </w:r>
      <w:r>
        <w:rPr>
          <w:rFonts w:ascii="Courier New"/>
          <w:spacing w:val="-30"/>
          <w:sz w:val="28"/>
        </w:rPr>
        <w:t> </w:t>
      </w:r>
      <w:r>
        <w:rPr>
          <w:rFonts w:ascii="Courier New"/>
          <w:sz w:val="28"/>
        </w:rPr>
        <w:t>looking</w:t>
      </w:r>
      <w:r>
        <w:rPr>
          <w:rFonts w:ascii="Courier New"/>
          <w:spacing w:val="-30"/>
          <w:sz w:val="28"/>
        </w:rPr>
        <w:t> </w:t>
      </w:r>
      <w:r>
        <w:rPr>
          <w:rFonts w:ascii="Courier New"/>
          <w:sz w:val="28"/>
        </w:rPr>
        <w:t>to</w:t>
      </w:r>
      <w:r>
        <w:rPr>
          <w:rFonts w:ascii="Courier New"/>
          <w:spacing w:val="-31"/>
          <w:sz w:val="28"/>
        </w:rPr>
        <w:t> </w:t>
      </w:r>
      <w:r>
        <w:rPr>
          <w:rFonts w:ascii="Courier New"/>
          <w:sz w:val="28"/>
        </w:rPr>
        <w:t>the</w:t>
      </w:r>
      <w:r>
        <w:rPr>
          <w:rFonts w:ascii="Courier New"/>
          <w:spacing w:val="-30"/>
          <w:sz w:val="28"/>
        </w:rPr>
        <w:t> </w:t>
      </w:r>
      <w:r>
        <w:rPr>
          <w:rFonts w:ascii="Courier New"/>
          <w:sz w:val="28"/>
        </w:rPr>
        <w:t>circumstances of the particular case. It is submitted that oral and documentary evidence submitted on behalf of the Hindu parties proves the faith and belief of Hindus that disputed site is birthplace of Lord Ram. He submits that Valmiki Ramayana refers to birth of Shri Ram in Ayodhya, which is the epic of the East and considered to have become the foundation of the culture and tradition of our country. Skanda Purana is of Eighth Century A.D., which provides ample proof of faith</w:t>
      </w:r>
      <w:r>
        <w:rPr>
          <w:rFonts w:ascii="Courier New"/>
          <w:spacing w:val="-67"/>
          <w:sz w:val="28"/>
        </w:rPr>
        <w:t> </w:t>
      </w:r>
      <w:r>
        <w:rPr>
          <w:rFonts w:ascii="Courier New"/>
          <w:sz w:val="28"/>
        </w:rPr>
        <w:t>that is instilled in the heart of Hindus, i.e., visit to birthplace of Lord Ram, which is of extreme merit which,</w:t>
      </w:r>
      <w:r>
        <w:rPr>
          <w:rFonts w:ascii="Courier New"/>
          <w:spacing w:val="-41"/>
          <w:sz w:val="28"/>
        </w:rPr>
        <w:t> </w:t>
      </w:r>
      <w:r>
        <w:rPr>
          <w:rFonts w:ascii="Courier New"/>
          <w:sz w:val="28"/>
        </w:rPr>
        <w:t>for</w:t>
      </w:r>
      <w:r>
        <w:rPr>
          <w:rFonts w:ascii="Courier New"/>
          <w:spacing w:val="-40"/>
          <w:sz w:val="28"/>
        </w:rPr>
        <w:t> </w:t>
      </w:r>
      <w:r>
        <w:rPr>
          <w:rFonts w:ascii="Courier New"/>
          <w:sz w:val="28"/>
        </w:rPr>
        <w:t>Hindus,</w:t>
      </w:r>
      <w:r>
        <w:rPr>
          <w:rFonts w:ascii="Courier New"/>
          <w:spacing w:val="-41"/>
          <w:sz w:val="28"/>
        </w:rPr>
        <w:t> </w:t>
      </w:r>
      <w:r>
        <w:rPr>
          <w:rFonts w:ascii="Courier New"/>
          <w:sz w:val="28"/>
        </w:rPr>
        <w:t>is</w:t>
      </w:r>
      <w:r>
        <w:rPr>
          <w:rFonts w:ascii="Courier New"/>
          <w:spacing w:val="-40"/>
          <w:sz w:val="28"/>
        </w:rPr>
        <w:t> </w:t>
      </w:r>
      <w:r>
        <w:rPr>
          <w:rFonts w:ascii="Courier New"/>
          <w:sz w:val="28"/>
        </w:rPr>
        <w:t>nothing</w:t>
      </w:r>
      <w:r>
        <w:rPr>
          <w:rFonts w:ascii="Courier New"/>
          <w:spacing w:val="-38"/>
          <w:sz w:val="28"/>
        </w:rPr>
        <w:t> </w:t>
      </w:r>
      <w:r>
        <w:rPr>
          <w:rFonts w:ascii="Courier New"/>
          <w:sz w:val="28"/>
        </w:rPr>
        <w:t>but</w:t>
      </w:r>
      <w:r>
        <w:rPr>
          <w:rFonts w:ascii="Courier New"/>
          <w:spacing w:val="-42"/>
          <w:sz w:val="28"/>
        </w:rPr>
        <w:t> </w:t>
      </w:r>
      <w:r>
        <w:rPr>
          <w:rFonts w:ascii="Courier New"/>
          <w:sz w:val="28"/>
        </w:rPr>
        <w:t>Moksha.</w:t>
      </w:r>
      <w:r>
        <w:rPr>
          <w:rFonts w:ascii="Courier New"/>
          <w:spacing w:val="87"/>
          <w:sz w:val="28"/>
        </w:rPr>
        <w:t> </w:t>
      </w:r>
      <w:r>
        <w:rPr>
          <w:rFonts w:ascii="Courier New"/>
          <w:sz w:val="28"/>
        </w:rPr>
        <w:t>It</w:t>
      </w:r>
      <w:r>
        <w:rPr>
          <w:rFonts w:ascii="Courier New"/>
          <w:spacing w:val="-38"/>
          <w:sz w:val="28"/>
        </w:rPr>
        <w:t> </w:t>
      </w:r>
      <w:r>
        <w:rPr>
          <w:rFonts w:ascii="Courier New"/>
          <w:sz w:val="28"/>
        </w:rPr>
        <w:t>is</w:t>
      </w:r>
      <w:r>
        <w:rPr>
          <w:rFonts w:ascii="Courier New"/>
          <w:spacing w:val="-41"/>
          <w:sz w:val="28"/>
        </w:rPr>
        <w:t> </w:t>
      </w:r>
      <w:r>
        <w:rPr>
          <w:rFonts w:ascii="Courier New"/>
          <w:sz w:val="28"/>
        </w:rPr>
        <w:t>further submitted</w:t>
      </w:r>
      <w:r>
        <w:rPr>
          <w:rFonts w:ascii="Courier New"/>
          <w:spacing w:val="-35"/>
          <w:sz w:val="28"/>
        </w:rPr>
        <w:t> </w:t>
      </w:r>
      <w:r>
        <w:rPr>
          <w:rFonts w:ascii="Courier New"/>
          <w:sz w:val="28"/>
        </w:rPr>
        <w:t>that</w:t>
      </w:r>
      <w:r>
        <w:rPr>
          <w:rFonts w:ascii="Courier New"/>
          <w:spacing w:val="-32"/>
          <w:sz w:val="28"/>
        </w:rPr>
        <w:t> </w:t>
      </w:r>
      <w:r>
        <w:rPr>
          <w:rFonts w:ascii="Courier New"/>
          <w:sz w:val="28"/>
        </w:rPr>
        <w:t>repeated</w:t>
      </w:r>
      <w:r>
        <w:rPr>
          <w:rFonts w:ascii="Courier New"/>
          <w:spacing w:val="-34"/>
          <w:sz w:val="28"/>
        </w:rPr>
        <w:t> </w:t>
      </w:r>
      <w:r>
        <w:rPr>
          <w:rFonts w:ascii="Courier New"/>
          <w:sz w:val="28"/>
        </w:rPr>
        <w:t>assertions</w:t>
      </w:r>
      <w:r>
        <w:rPr>
          <w:rFonts w:ascii="Courier New"/>
          <w:spacing w:val="-34"/>
          <w:sz w:val="28"/>
        </w:rPr>
        <w:t> </w:t>
      </w:r>
      <w:r>
        <w:rPr>
          <w:rFonts w:ascii="Courier New"/>
          <w:sz w:val="28"/>
        </w:rPr>
        <w:t>and</w:t>
      </w:r>
      <w:r>
        <w:rPr>
          <w:rFonts w:ascii="Courier New"/>
          <w:spacing w:val="-34"/>
          <w:sz w:val="28"/>
        </w:rPr>
        <w:t> </w:t>
      </w:r>
      <w:r>
        <w:rPr>
          <w:rFonts w:ascii="Courier New"/>
          <w:sz w:val="28"/>
        </w:rPr>
        <w:t>right</w:t>
      </w:r>
      <w:r>
        <w:rPr>
          <w:rFonts w:ascii="Courier New"/>
          <w:spacing w:val="-34"/>
          <w:sz w:val="28"/>
        </w:rPr>
        <w:t> </w:t>
      </w:r>
      <w:r>
        <w:rPr>
          <w:rFonts w:ascii="Courier New"/>
          <w:sz w:val="28"/>
        </w:rPr>
        <w:t>to</w:t>
      </w:r>
      <w:r>
        <w:rPr>
          <w:rFonts w:ascii="Courier New"/>
          <w:spacing w:val="-34"/>
          <w:sz w:val="28"/>
        </w:rPr>
        <w:t> </w:t>
      </w:r>
      <w:r>
        <w:rPr>
          <w:rFonts w:ascii="Courier New"/>
          <w:sz w:val="28"/>
        </w:rPr>
        <w:t>worship by the Hindus in the disputed premises and the</w:t>
      </w:r>
      <w:r>
        <w:rPr>
          <w:rFonts w:ascii="Courier New"/>
          <w:spacing w:val="-70"/>
          <w:sz w:val="28"/>
        </w:rPr>
        <w:t> </w:t>
      </w:r>
      <w:r>
        <w:rPr>
          <w:rFonts w:ascii="Courier New"/>
          <w:sz w:val="28"/>
        </w:rPr>
        <w:t>various fights by Hindus is ample proof of their undying</w:t>
      </w:r>
      <w:r>
        <w:rPr>
          <w:rFonts w:ascii="Courier New"/>
          <w:spacing w:val="-70"/>
          <w:sz w:val="28"/>
        </w:rPr>
        <w:t> </w:t>
      </w:r>
      <w:r>
        <w:rPr>
          <w:rFonts w:ascii="Courier New"/>
          <w:sz w:val="28"/>
        </w:rPr>
        <w:t>faith that disputed site is the birthplace of Lord Ram.</w:t>
      </w:r>
      <w:r>
        <w:rPr>
          <w:rFonts w:ascii="Courier New"/>
          <w:spacing w:val="-70"/>
          <w:sz w:val="28"/>
        </w:rPr>
        <w:t> </w:t>
      </w:r>
      <w:r>
        <w:rPr>
          <w:rFonts w:ascii="Courier New"/>
          <w:sz w:val="28"/>
        </w:rPr>
        <w:t>Shri</w:t>
      </w:r>
    </w:p>
    <w:p>
      <w:pPr>
        <w:spacing w:after="0" w:line="480" w:lineRule="auto"/>
        <w:jc w:val="both"/>
        <w:rPr>
          <w:rFonts w:ascii="Courier New"/>
          <w:sz w:val="28"/>
        </w:rPr>
        <w:sectPr>
          <w:headerReference w:type="default" r:id="rId256"/>
          <w:footerReference w:type="default" r:id="rId257"/>
          <w:pgSz w:w="11910" w:h="16840"/>
          <w:pgMar w:header="0" w:footer="1063" w:top="1340" w:bottom="1260" w:left="1280" w:right="1280"/>
          <w:pgNumType w:start="24"/>
        </w:sectPr>
      </w:pPr>
    </w:p>
    <w:p>
      <w:pPr>
        <w:spacing w:line="480" w:lineRule="auto" w:before="86"/>
        <w:ind w:left="160" w:right="160" w:firstLine="0"/>
        <w:jc w:val="both"/>
        <w:rPr>
          <w:rFonts w:ascii="Courier New"/>
          <w:sz w:val="28"/>
        </w:rPr>
      </w:pPr>
      <w:r>
        <w:rPr>
          <w:rFonts w:ascii="Courier New"/>
          <w:sz w:val="28"/>
        </w:rPr>
        <w:t>P.N. Mishra elaborating his submission has placed reliance on Holy Scriptures Shrimad Valmiki Ramayana and Srimad Skandpuranam, Rudrayamala, Sri Ramacharitamanasa and other scriptures like Srimad Narashingha Puranam. Reliance has been placed on</w:t>
      </w:r>
      <w:r>
        <w:rPr>
          <w:rFonts w:ascii="Courier New"/>
          <w:spacing w:val="-69"/>
          <w:sz w:val="28"/>
        </w:rPr>
        <w:t> </w:t>
      </w:r>
      <w:r>
        <w:rPr>
          <w:rFonts w:ascii="Courier New"/>
          <w:sz w:val="28"/>
        </w:rPr>
        <w:t>Verse</w:t>
      </w:r>
    </w:p>
    <w:p>
      <w:pPr>
        <w:spacing w:line="480" w:lineRule="auto" w:before="0"/>
        <w:ind w:left="160" w:right="158" w:firstLine="0"/>
        <w:jc w:val="both"/>
        <w:rPr>
          <w:rFonts w:ascii="Courier New"/>
          <w:sz w:val="28"/>
        </w:rPr>
      </w:pPr>
      <w:r>
        <w:rPr>
          <w:rFonts w:ascii="Courier New"/>
          <w:sz w:val="28"/>
        </w:rPr>
        <w:t>15 to 17 and 18 to 25 and particular pages of Ayodhya Mahatmya of Skanda Purana, he submits that the above verses gives the geographical situation of birthplace of Lord Ram, which is still verifiable. Shri Mishra took us to the oral evidence of witnesses where according to him witnesses have proved the locations as mentioned in the Skanda Purana with respect to birthplace of Lord Ram. Referring to map prepared by Hans Bakker and the site plan prepared by Shiv</w:t>
      </w:r>
      <w:r>
        <w:rPr>
          <w:rFonts w:ascii="Courier New"/>
          <w:spacing w:val="-70"/>
          <w:sz w:val="28"/>
        </w:rPr>
        <w:t> </w:t>
      </w:r>
      <w:r>
        <w:rPr>
          <w:rFonts w:ascii="Courier New"/>
          <w:sz w:val="28"/>
        </w:rPr>
        <w:t>Shankar Lal</w:t>
      </w:r>
      <w:r>
        <w:rPr>
          <w:rFonts w:ascii="Courier New"/>
          <w:spacing w:val="-25"/>
          <w:sz w:val="28"/>
        </w:rPr>
        <w:t> </w:t>
      </w:r>
      <w:r>
        <w:rPr>
          <w:rFonts w:ascii="Courier New"/>
          <w:sz w:val="28"/>
        </w:rPr>
        <w:t>in</w:t>
      </w:r>
      <w:r>
        <w:rPr>
          <w:rFonts w:ascii="Courier New"/>
          <w:spacing w:val="-24"/>
          <w:sz w:val="28"/>
        </w:rPr>
        <w:t> </w:t>
      </w:r>
      <w:r>
        <w:rPr>
          <w:rFonts w:ascii="Courier New"/>
          <w:sz w:val="28"/>
        </w:rPr>
        <w:t>Suit</w:t>
      </w:r>
      <w:r>
        <w:rPr>
          <w:rFonts w:ascii="Courier New"/>
          <w:spacing w:val="-24"/>
          <w:sz w:val="28"/>
        </w:rPr>
        <w:t> </w:t>
      </w:r>
      <w:r>
        <w:rPr>
          <w:rFonts w:ascii="Courier New"/>
          <w:sz w:val="28"/>
        </w:rPr>
        <w:t>No.2</w:t>
      </w:r>
      <w:r>
        <w:rPr>
          <w:rFonts w:ascii="Courier New"/>
          <w:spacing w:val="-24"/>
          <w:sz w:val="28"/>
        </w:rPr>
        <w:t> </w:t>
      </w:r>
      <w:r>
        <w:rPr>
          <w:rFonts w:ascii="Courier New"/>
          <w:sz w:val="28"/>
        </w:rPr>
        <w:t>of</w:t>
      </w:r>
      <w:r>
        <w:rPr>
          <w:rFonts w:ascii="Courier New"/>
          <w:spacing w:val="-24"/>
          <w:sz w:val="28"/>
        </w:rPr>
        <w:t> </w:t>
      </w:r>
      <w:r>
        <w:rPr>
          <w:rFonts w:ascii="Courier New"/>
          <w:sz w:val="28"/>
        </w:rPr>
        <w:t>1950,</w:t>
      </w:r>
      <w:r>
        <w:rPr>
          <w:rFonts w:ascii="Courier New"/>
          <w:spacing w:val="-24"/>
          <w:sz w:val="28"/>
        </w:rPr>
        <w:t> </w:t>
      </w:r>
      <w:r>
        <w:rPr>
          <w:rFonts w:ascii="Courier New"/>
          <w:sz w:val="28"/>
        </w:rPr>
        <w:t>he</w:t>
      </w:r>
      <w:r>
        <w:rPr>
          <w:rFonts w:ascii="Courier New"/>
          <w:spacing w:val="-21"/>
          <w:sz w:val="28"/>
        </w:rPr>
        <w:t> </w:t>
      </w:r>
      <w:r>
        <w:rPr>
          <w:rFonts w:ascii="Courier New"/>
          <w:sz w:val="28"/>
        </w:rPr>
        <w:t>submits</w:t>
      </w:r>
      <w:r>
        <w:rPr>
          <w:rFonts w:ascii="Courier New"/>
          <w:spacing w:val="-24"/>
          <w:sz w:val="28"/>
        </w:rPr>
        <w:t> </w:t>
      </w:r>
      <w:r>
        <w:rPr>
          <w:rFonts w:ascii="Courier New"/>
          <w:sz w:val="28"/>
        </w:rPr>
        <w:t>that</w:t>
      </w:r>
      <w:r>
        <w:rPr>
          <w:rFonts w:ascii="Courier New"/>
          <w:spacing w:val="-24"/>
          <w:sz w:val="28"/>
        </w:rPr>
        <w:t> </w:t>
      </w:r>
      <w:r>
        <w:rPr>
          <w:rFonts w:ascii="Courier New"/>
          <w:sz w:val="28"/>
        </w:rPr>
        <w:t>several</w:t>
      </w:r>
      <w:r>
        <w:rPr>
          <w:rFonts w:ascii="Courier New"/>
          <w:spacing w:val="-24"/>
          <w:sz w:val="28"/>
        </w:rPr>
        <w:t> </w:t>
      </w:r>
      <w:r>
        <w:rPr>
          <w:rFonts w:ascii="Courier New"/>
          <w:sz w:val="28"/>
        </w:rPr>
        <w:t>marks mentioned in Skanda Purana are still present, which certifies the location of birthplace as the disputed site.</w:t>
      </w:r>
    </w:p>
    <w:p>
      <w:pPr>
        <w:pStyle w:val="BodyText"/>
        <w:spacing w:before="10"/>
        <w:rPr>
          <w:rFonts w:ascii="Courier New"/>
          <w:sz w:val="27"/>
        </w:rPr>
      </w:pPr>
    </w:p>
    <w:p>
      <w:pPr>
        <w:pStyle w:val="ListParagraph"/>
        <w:numPr>
          <w:ilvl w:val="0"/>
          <w:numId w:val="252"/>
        </w:numPr>
        <w:tabs>
          <w:tab w:pos="995" w:val="left" w:leader="none"/>
        </w:tabs>
        <w:spacing w:line="480" w:lineRule="auto" w:before="0" w:after="0"/>
        <w:ind w:left="160" w:right="159" w:firstLine="0"/>
        <w:jc w:val="both"/>
        <w:rPr>
          <w:rFonts w:ascii="Courier New"/>
          <w:sz w:val="28"/>
        </w:rPr>
      </w:pPr>
      <w:r>
        <w:rPr>
          <w:rFonts w:ascii="Courier New"/>
          <w:sz w:val="28"/>
        </w:rPr>
        <w:t>The faith and belief that disputed site is birthplace of Lord Ram has to be established since before</w:t>
      </w:r>
      <w:r>
        <w:rPr>
          <w:rFonts w:ascii="Courier New"/>
          <w:spacing w:val="54"/>
          <w:sz w:val="28"/>
        </w:rPr>
        <w:t> </w:t>
      </w:r>
      <w:r>
        <w:rPr>
          <w:rFonts w:ascii="Courier New"/>
          <w:sz w:val="28"/>
        </w:rPr>
        <w:t>1528</w:t>
      </w:r>
      <w:r>
        <w:rPr>
          <w:rFonts w:ascii="Courier New"/>
          <w:spacing w:val="54"/>
          <w:sz w:val="28"/>
        </w:rPr>
        <w:t> </w:t>
      </w:r>
      <w:r>
        <w:rPr>
          <w:rFonts w:ascii="Courier New"/>
          <w:sz w:val="28"/>
        </w:rPr>
        <w:t>when</w:t>
      </w:r>
      <w:r>
        <w:rPr>
          <w:rFonts w:ascii="Courier New"/>
          <w:spacing w:val="54"/>
          <w:sz w:val="28"/>
        </w:rPr>
        <w:t> </w:t>
      </w:r>
      <w:r>
        <w:rPr>
          <w:rFonts w:ascii="Courier New"/>
          <w:sz w:val="28"/>
        </w:rPr>
        <w:t>disputed</w:t>
      </w:r>
      <w:r>
        <w:rPr>
          <w:rFonts w:ascii="Courier New"/>
          <w:spacing w:val="54"/>
          <w:sz w:val="28"/>
        </w:rPr>
        <w:t> </w:t>
      </w:r>
      <w:r>
        <w:rPr>
          <w:rFonts w:ascii="Courier New"/>
          <w:sz w:val="28"/>
        </w:rPr>
        <w:t>structure</w:t>
      </w:r>
      <w:r>
        <w:rPr>
          <w:rFonts w:ascii="Courier New"/>
          <w:spacing w:val="54"/>
          <w:sz w:val="28"/>
        </w:rPr>
        <w:t> </w:t>
      </w:r>
      <w:r>
        <w:rPr>
          <w:rFonts w:ascii="Courier New"/>
          <w:sz w:val="28"/>
        </w:rPr>
        <w:t>is</w:t>
      </w:r>
      <w:r>
        <w:rPr>
          <w:rFonts w:ascii="Courier New"/>
          <w:spacing w:val="54"/>
          <w:sz w:val="28"/>
        </w:rPr>
        <w:t> </w:t>
      </w:r>
      <w:r>
        <w:rPr>
          <w:rFonts w:ascii="Courier New"/>
          <w:sz w:val="28"/>
        </w:rPr>
        <w:t>said</w:t>
      </w:r>
      <w:r>
        <w:rPr>
          <w:rFonts w:ascii="Courier New"/>
          <w:spacing w:val="54"/>
          <w:sz w:val="28"/>
        </w:rPr>
        <w:t> </w:t>
      </w:r>
      <w:r>
        <w:rPr>
          <w:rFonts w:ascii="Courier New"/>
          <w:sz w:val="28"/>
        </w:rPr>
        <w:t>to</w:t>
      </w:r>
      <w:r>
        <w:rPr>
          <w:rFonts w:ascii="Courier New"/>
          <w:spacing w:val="54"/>
          <w:sz w:val="28"/>
        </w:rPr>
        <w:t> </w:t>
      </w:r>
      <w:r>
        <w:rPr>
          <w:rFonts w:ascii="Courier New"/>
          <w:sz w:val="28"/>
        </w:rPr>
        <w:t>have</w:t>
      </w:r>
    </w:p>
    <w:p>
      <w:pPr>
        <w:spacing w:after="0" w:line="480" w:lineRule="auto"/>
        <w:jc w:val="both"/>
        <w:rPr>
          <w:rFonts w:ascii="Courier New"/>
          <w:sz w:val="28"/>
        </w:rPr>
        <w:sectPr>
          <w:headerReference w:type="default" r:id="rId258"/>
          <w:footerReference w:type="default" r:id="rId259"/>
          <w:pgSz w:w="11910" w:h="16840"/>
          <w:pgMar w:header="0" w:footer="1063" w:top="1340" w:bottom="1260" w:left="1280" w:right="1280"/>
          <w:pgNumType w:start="25"/>
        </w:sectPr>
      </w:pPr>
    </w:p>
    <w:p>
      <w:pPr>
        <w:spacing w:line="480" w:lineRule="auto" w:before="86"/>
        <w:ind w:left="160" w:right="156" w:firstLine="0"/>
        <w:jc w:val="both"/>
        <w:rPr>
          <w:rFonts w:ascii="Courier New"/>
          <w:sz w:val="28"/>
        </w:rPr>
      </w:pPr>
      <w:r>
        <w:rPr>
          <w:rFonts w:ascii="Courier New"/>
          <w:sz w:val="28"/>
        </w:rPr>
        <w:t>been constructed by Babar. The oral evidence, which has</w:t>
      </w:r>
      <w:r>
        <w:rPr>
          <w:rFonts w:ascii="Courier New"/>
          <w:spacing w:val="-27"/>
          <w:sz w:val="28"/>
        </w:rPr>
        <w:t> </w:t>
      </w:r>
      <w:r>
        <w:rPr>
          <w:rFonts w:ascii="Courier New"/>
          <w:sz w:val="28"/>
        </w:rPr>
        <w:t>been</w:t>
      </w:r>
      <w:r>
        <w:rPr>
          <w:rFonts w:ascii="Courier New"/>
          <w:spacing w:val="-27"/>
          <w:sz w:val="28"/>
        </w:rPr>
        <w:t> </w:t>
      </w:r>
      <w:r>
        <w:rPr>
          <w:rFonts w:ascii="Courier New"/>
          <w:sz w:val="28"/>
        </w:rPr>
        <w:t>led</w:t>
      </w:r>
      <w:r>
        <w:rPr>
          <w:rFonts w:ascii="Courier New"/>
          <w:spacing w:val="-27"/>
          <w:sz w:val="28"/>
        </w:rPr>
        <w:t> </w:t>
      </w:r>
      <w:r>
        <w:rPr>
          <w:rFonts w:ascii="Courier New"/>
          <w:sz w:val="28"/>
        </w:rPr>
        <w:t>by</w:t>
      </w:r>
      <w:r>
        <w:rPr>
          <w:rFonts w:ascii="Courier New"/>
          <w:spacing w:val="-25"/>
          <w:sz w:val="28"/>
        </w:rPr>
        <w:t> </w:t>
      </w:r>
      <w:r>
        <w:rPr>
          <w:rFonts w:ascii="Courier New"/>
          <w:sz w:val="28"/>
        </w:rPr>
        <w:t>the</w:t>
      </w:r>
      <w:r>
        <w:rPr>
          <w:rFonts w:ascii="Courier New"/>
          <w:spacing w:val="-26"/>
          <w:sz w:val="28"/>
        </w:rPr>
        <w:t> </w:t>
      </w:r>
      <w:r>
        <w:rPr>
          <w:rFonts w:ascii="Courier New"/>
          <w:sz w:val="28"/>
        </w:rPr>
        <w:t>parties</w:t>
      </w:r>
      <w:r>
        <w:rPr>
          <w:rFonts w:ascii="Courier New"/>
          <w:spacing w:val="-27"/>
          <w:sz w:val="28"/>
        </w:rPr>
        <w:t> </w:t>
      </w:r>
      <w:r>
        <w:rPr>
          <w:rFonts w:ascii="Courier New"/>
          <w:sz w:val="28"/>
        </w:rPr>
        <w:t>to</w:t>
      </w:r>
      <w:r>
        <w:rPr>
          <w:rFonts w:ascii="Courier New"/>
          <w:spacing w:val="-25"/>
          <w:sz w:val="28"/>
        </w:rPr>
        <w:t> </w:t>
      </w:r>
      <w:r>
        <w:rPr>
          <w:rFonts w:ascii="Courier New"/>
          <w:sz w:val="28"/>
        </w:rPr>
        <w:t>support</w:t>
      </w:r>
      <w:r>
        <w:rPr>
          <w:rFonts w:ascii="Courier New"/>
          <w:spacing w:val="-27"/>
          <w:sz w:val="28"/>
        </w:rPr>
        <w:t> </w:t>
      </w:r>
      <w:r>
        <w:rPr>
          <w:rFonts w:ascii="Courier New"/>
          <w:sz w:val="28"/>
        </w:rPr>
        <w:t>their</w:t>
      </w:r>
      <w:r>
        <w:rPr>
          <w:rFonts w:ascii="Courier New"/>
          <w:spacing w:val="-24"/>
          <w:sz w:val="28"/>
        </w:rPr>
        <w:t> </w:t>
      </w:r>
      <w:r>
        <w:rPr>
          <w:rFonts w:ascii="Courier New"/>
          <w:sz w:val="28"/>
        </w:rPr>
        <w:t>respective cases can at best be the oral evidence of that which has been seen by the witnesses, who depose before the Court,</w:t>
      </w:r>
      <w:r>
        <w:rPr>
          <w:rFonts w:ascii="Courier New"/>
          <w:spacing w:val="-22"/>
          <w:sz w:val="28"/>
        </w:rPr>
        <w:t> </w:t>
      </w:r>
      <w:r>
        <w:rPr>
          <w:rFonts w:ascii="Courier New"/>
          <w:sz w:val="28"/>
        </w:rPr>
        <w:t>which</w:t>
      </w:r>
      <w:r>
        <w:rPr>
          <w:rFonts w:ascii="Courier New"/>
          <w:spacing w:val="-21"/>
          <w:sz w:val="28"/>
        </w:rPr>
        <w:t> </w:t>
      </w:r>
      <w:r>
        <w:rPr>
          <w:rFonts w:ascii="Courier New"/>
          <w:sz w:val="28"/>
        </w:rPr>
        <w:t>can</w:t>
      </w:r>
      <w:r>
        <w:rPr>
          <w:rFonts w:ascii="Courier New"/>
          <w:spacing w:val="-21"/>
          <w:sz w:val="28"/>
        </w:rPr>
        <w:t> </w:t>
      </w:r>
      <w:r>
        <w:rPr>
          <w:rFonts w:ascii="Courier New"/>
          <w:sz w:val="28"/>
        </w:rPr>
        <w:t>at</w:t>
      </w:r>
      <w:r>
        <w:rPr>
          <w:rFonts w:ascii="Courier New"/>
          <w:spacing w:val="-21"/>
          <w:sz w:val="28"/>
        </w:rPr>
        <w:t> </w:t>
      </w:r>
      <w:r>
        <w:rPr>
          <w:rFonts w:ascii="Courier New"/>
          <w:sz w:val="28"/>
        </w:rPr>
        <w:t>best</w:t>
      </w:r>
      <w:r>
        <w:rPr>
          <w:rFonts w:ascii="Courier New"/>
          <w:spacing w:val="-21"/>
          <w:sz w:val="28"/>
        </w:rPr>
        <w:t> </w:t>
      </w:r>
      <w:r>
        <w:rPr>
          <w:rFonts w:ascii="Courier New"/>
          <w:sz w:val="28"/>
        </w:rPr>
        <w:t>be</w:t>
      </w:r>
      <w:r>
        <w:rPr>
          <w:rFonts w:ascii="Courier New"/>
          <w:spacing w:val="-22"/>
          <w:sz w:val="28"/>
        </w:rPr>
        <w:t> </w:t>
      </w:r>
      <w:r>
        <w:rPr>
          <w:rFonts w:ascii="Courier New"/>
          <w:sz w:val="28"/>
        </w:rPr>
        <w:t>of</w:t>
      </w:r>
      <w:r>
        <w:rPr>
          <w:rFonts w:ascii="Courier New"/>
          <w:spacing w:val="-21"/>
          <w:sz w:val="28"/>
        </w:rPr>
        <w:t> </w:t>
      </w:r>
      <w:r>
        <w:rPr>
          <w:rFonts w:ascii="Courier New"/>
          <w:sz w:val="28"/>
        </w:rPr>
        <w:t>things</w:t>
      </w:r>
      <w:r>
        <w:rPr>
          <w:rFonts w:ascii="Courier New"/>
          <w:spacing w:val="-21"/>
          <w:sz w:val="28"/>
        </w:rPr>
        <w:t> </w:t>
      </w:r>
      <w:r>
        <w:rPr>
          <w:rFonts w:ascii="Courier New"/>
          <w:sz w:val="28"/>
        </w:rPr>
        <w:t>as</w:t>
      </w:r>
      <w:r>
        <w:rPr>
          <w:rFonts w:ascii="Courier New"/>
          <w:spacing w:val="-21"/>
          <w:sz w:val="28"/>
        </w:rPr>
        <w:t> </w:t>
      </w:r>
      <w:r>
        <w:rPr>
          <w:rFonts w:ascii="Courier New"/>
          <w:sz w:val="28"/>
        </w:rPr>
        <w:t>existed</w:t>
      </w:r>
      <w:r>
        <w:rPr>
          <w:rFonts w:ascii="Courier New"/>
          <w:spacing w:val="-21"/>
          <w:sz w:val="28"/>
        </w:rPr>
        <w:t> </w:t>
      </w:r>
      <w:r>
        <w:rPr>
          <w:rFonts w:ascii="Courier New"/>
          <w:sz w:val="28"/>
        </w:rPr>
        <w:t>in</w:t>
      </w:r>
      <w:r>
        <w:rPr>
          <w:rFonts w:ascii="Courier New"/>
          <w:spacing w:val="-21"/>
          <w:sz w:val="28"/>
        </w:rPr>
        <w:t> </w:t>
      </w:r>
      <w:r>
        <w:rPr>
          <w:rFonts w:ascii="Courier New"/>
          <w:sz w:val="28"/>
        </w:rPr>
        <w:t>the Twentieth Century only. There are some Exhibits filed by the parties, which relates to Nineteenth Century. The Holy Scriptures relied by Hindu Parties being of older period, the accounts of travelogues and Gazetteers belonging to different period, some before Nineteenth Century, the period of consideration have to be divided in three parts. First period before 1528, second period from 1528 to 1858 and the third period after 1858 to 1949. Although in the written statement filed by Muslim Parties, Sunni Central</w:t>
      </w:r>
      <w:r>
        <w:rPr>
          <w:rFonts w:ascii="Courier New"/>
          <w:spacing w:val="-69"/>
          <w:sz w:val="28"/>
        </w:rPr>
        <w:t> </w:t>
      </w:r>
      <w:r>
        <w:rPr>
          <w:rFonts w:ascii="Courier New"/>
          <w:sz w:val="28"/>
        </w:rPr>
        <w:t>Board under Suit No.5 pleaded that as a matter of fact, the religious books as well as the writings of Hindu Scholars makes it very difficult as to whether personality of Shri Ram Chandra Ji is a historical personality, but by making statements under Order X Rule 2 of the Civil Procedure Code, which statements have</w:t>
      </w:r>
      <w:r>
        <w:rPr>
          <w:rFonts w:ascii="Courier New"/>
          <w:spacing w:val="86"/>
          <w:sz w:val="28"/>
        </w:rPr>
        <w:t> </w:t>
      </w:r>
      <w:r>
        <w:rPr>
          <w:rFonts w:ascii="Courier New"/>
          <w:sz w:val="28"/>
        </w:rPr>
        <w:t>been</w:t>
      </w:r>
      <w:r>
        <w:rPr>
          <w:rFonts w:ascii="Courier New"/>
          <w:spacing w:val="87"/>
          <w:sz w:val="28"/>
        </w:rPr>
        <w:t> </w:t>
      </w:r>
      <w:r>
        <w:rPr>
          <w:rFonts w:ascii="Courier New"/>
          <w:sz w:val="28"/>
        </w:rPr>
        <w:t>recorded</w:t>
      </w:r>
      <w:r>
        <w:rPr>
          <w:rFonts w:ascii="Courier New"/>
          <w:spacing w:val="86"/>
          <w:sz w:val="28"/>
        </w:rPr>
        <w:t> </w:t>
      </w:r>
      <w:r>
        <w:rPr>
          <w:rFonts w:ascii="Courier New"/>
          <w:sz w:val="28"/>
        </w:rPr>
        <w:t>by</w:t>
      </w:r>
      <w:r>
        <w:rPr>
          <w:rFonts w:ascii="Courier New"/>
          <w:spacing w:val="87"/>
          <w:sz w:val="28"/>
        </w:rPr>
        <w:t> </w:t>
      </w:r>
      <w:r>
        <w:rPr>
          <w:rFonts w:ascii="Courier New"/>
          <w:sz w:val="28"/>
        </w:rPr>
        <w:t>the</w:t>
      </w:r>
      <w:r>
        <w:rPr>
          <w:rFonts w:ascii="Courier New"/>
          <w:spacing w:val="87"/>
          <w:sz w:val="28"/>
        </w:rPr>
        <w:t> </w:t>
      </w:r>
      <w:r>
        <w:rPr>
          <w:rFonts w:ascii="Courier New"/>
          <w:sz w:val="28"/>
        </w:rPr>
        <w:t>High</w:t>
      </w:r>
      <w:r>
        <w:rPr>
          <w:rFonts w:ascii="Courier New"/>
          <w:spacing w:val="86"/>
          <w:sz w:val="28"/>
        </w:rPr>
        <w:t> </w:t>
      </w:r>
      <w:r>
        <w:rPr>
          <w:rFonts w:ascii="Courier New"/>
          <w:sz w:val="28"/>
        </w:rPr>
        <w:t>Court</w:t>
      </w:r>
      <w:r>
        <w:rPr>
          <w:rFonts w:ascii="Courier New"/>
          <w:spacing w:val="87"/>
          <w:sz w:val="28"/>
        </w:rPr>
        <w:t> </w:t>
      </w:r>
      <w:r>
        <w:rPr>
          <w:rFonts w:ascii="Courier New"/>
          <w:sz w:val="28"/>
        </w:rPr>
        <w:t>and</w:t>
      </w:r>
      <w:r>
        <w:rPr>
          <w:rFonts w:ascii="Courier New"/>
          <w:spacing w:val="86"/>
          <w:sz w:val="28"/>
        </w:rPr>
        <w:t> </w:t>
      </w:r>
      <w:r>
        <w:rPr>
          <w:rFonts w:ascii="Courier New"/>
          <w:sz w:val="28"/>
        </w:rPr>
        <w:t>has</w:t>
      </w:r>
      <w:r>
        <w:rPr>
          <w:rFonts w:ascii="Courier New"/>
          <w:spacing w:val="87"/>
          <w:sz w:val="28"/>
        </w:rPr>
        <w:t> </w:t>
      </w:r>
      <w:r>
        <w:rPr>
          <w:rFonts w:ascii="Courier New"/>
          <w:sz w:val="28"/>
        </w:rPr>
        <w:t>been</w:t>
      </w:r>
    </w:p>
    <w:p>
      <w:pPr>
        <w:spacing w:after="0" w:line="480" w:lineRule="auto"/>
        <w:jc w:val="both"/>
        <w:rPr>
          <w:rFonts w:ascii="Courier New"/>
          <w:sz w:val="28"/>
        </w:rPr>
        <w:sectPr>
          <w:headerReference w:type="default" r:id="rId260"/>
          <w:footerReference w:type="default" r:id="rId261"/>
          <w:pgSz w:w="11910" w:h="16840"/>
          <w:pgMar w:header="0" w:footer="1063" w:top="1340" w:bottom="1260" w:left="1280" w:right="1280"/>
          <w:pgNumType w:start="26"/>
        </w:sectPr>
      </w:pPr>
    </w:p>
    <w:p>
      <w:pPr>
        <w:pStyle w:val="BodyText"/>
        <w:rPr>
          <w:rFonts w:ascii="Courier New"/>
          <w:sz w:val="19"/>
        </w:rPr>
      </w:pPr>
    </w:p>
    <w:p>
      <w:pPr>
        <w:spacing w:line="480" w:lineRule="auto" w:before="101"/>
        <w:ind w:left="160" w:right="158" w:firstLine="0"/>
        <w:jc w:val="both"/>
        <w:rPr>
          <w:rFonts w:ascii="Courier New"/>
          <w:sz w:val="28"/>
        </w:rPr>
      </w:pPr>
      <w:r>
        <w:rPr>
          <w:rFonts w:ascii="Courier New"/>
          <w:sz w:val="28"/>
        </w:rPr>
        <w:t>of Muslim parties have been clarified. It is</w:t>
      </w:r>
      <w:r>
        <w:rPr>
          <w:rFonts w:ascii="Courier New"/>
          <w:spacing w:val="-67"/>
          <w:sz w:val="28"/>
        </w:rPr>
        <w:t> </w:t>
      </w:r>
      <w:r>
        <w:rPr>
          <w:rFonts w:ascii="Courier New"/>
          <w:sz w:val="28"/>
        </w:rPr>
        <w:t>necessary to refer the above statements made under Order X Rule II C.P.C. The statement of Shri Zafaryab Jilani, counsel for plaintiff in Suit No.4 was recorded by</w:t>
      </w:r>
      <w:r>
        <w:rPr>
          <w:rFonts w:ascii="Courier New"/>
          <w:spacing w:val="-70"/>
          <w:sz w:val="28"/>
        </w:rPr>
        <w:t> </w:t>
      </w:r>
      <w:r>
        <w:rPr>
          <w:rFonts w:ascii="Courier New"/>
          <w:sz w:val="28"/>
        </w:rPr>
        <w:t>the Full Bench of the High Court on 22.04.2009, which is to the following effect:-</w:t>
      </w:r>
    </w:p>
    <w:p>
      <w:pPr>
        <w:spacing w:line="240" w:lineRule="auto" w:before="0"/>
        <w:ind w:left="1011" w:right="1245" w:firstLine="0"/>
        <w:jc w:val="both"/>
        <w:rPr>
          <w:rFonts w:ascii="Courier New" w:hAnsi="Courier New"/>
          <w:b/>
          <w:sz w:val="28"/>
        </w:rPr>
      </w:pPr>
      <w:r>
        <w:rPr>
          <w:rFonts w:ascii="Courier New" w:hAnsi="Courier New"/>
          <w:sz w:val="28"/>
        </w:rPr>
        <w:t>“</w:t>
      </w:r>
      <w:r>
        <w:rPr>
          <w:rFonts w:ascii="Courier New" w:hAnsi="Courier New"/>
          <w:b/>
          <w:sz w:val="28"/>
        </w:rPr>
        <w:t>STATEMENT OF SRI ZAFARYAB ZILANI, COUNSEL FOR</w:t>
      </w:r>
      <w:r>
        <w:rPr>
          <w:rFonts w:ascii="Courier New" w:hAnsi="Courier New"/>
          <w:b/>
          <w:spacing w:val="-41"/>
          <w:sz w:val="28"/>
        </w:rPr>
        <w:t> </w:t>
      </w:r>
      <w:r>
        <w:rPr>
          <w:rFonts w:ascii="Courier New" w:hAnsi="Courier New"/>
          <w:b/>
          <w:sz w:val="28"/>
        </w:rPr>
        <w:t>PLAINTIFF</w:t>
      </w:r>
      <w:r>
        <w:rPr>
          <w:rFonts w:ascii="Courier New" w:hAnsi="Courier New"/>
          <w:b/>
          <w:spacing w:val="-41"/>
          <w:sz w:val="28"/>
        </w:rPr>
        <w:t> </w:t>
      </w:r>
      <w:r>
        <w:rPr>
          <w:rFonts w:ascii="Courier New" w:hAnsi="Courier New"/>
          <w:b/>
          <w:sz w:val="28"/>
        </w:rPr>
        <w:t>IN</w:t>
      </w:r>
      <w:r>
        <w:rPr>
          <w:rFonts w:ascii="Courier New" w:hAnsi="Courier New"/>
          <w:b/>
          <w:spacing w:val="-41"/>
          <w:sz w:val="28"/>
        </w:rPr>
        <w:t> </w:t>
      </w:r>
      <w:r>
        <w:rPr>
          <w:rFonts w:ascii="Courier New" w:hAnsi="Courier New"/>
          <w:b/>
          <w:sz w:val="28"/>
        </w:rPr>
        <w:t>O.O.S.</w:t>
      </w:r>
      <w:r>
        <w:rPr>
          <w:rFonts w:ascii="Courier New" w:hAnsi="Courier New"/>
          <w:b/>
          <w:spacing w:val="-40"/>
          <w:sz w:val="28"/>
        </w:rPr>
        <w:t> </w:t>
      </w:r>
      <w:r>
        <w:rPr>
          <w:rFonts w:ascii="Courier New" w:hAnsi="Courier New"/>
          <w:b/>
          <w:sz w:val="28"/>
        </w:rPr>
        <w:t>4</w:t>
      </w:r>
      <w:r>
        <w:rPr>
          <w:rFonts w:ascii="Courier New" w:hAnsi="Courier New"/>
          <w:b/>
          <w:spacing w:val="-41"/>
          <w:sz w:val="28"/>
        </w:rPr>
        <w:t> </w:t>
      </w:r>
      <w:r>
        <w:rPr>
          <w:rFonts w:ascii="Courier New" w:hAnsi="Courier New"/>
          <w:b/>
          <w:sz w:val="28"/>
        </w:rPr>
        <w:t>OF</w:t>
      </w:r>
      <w:r>
        <w:rPr>
          <w:rFonts w:ascii="Courier New" w:hAnsi="Courier New"/>
          <w:b/>
          <w:spacing w:val="-41"/>
          <w:sz w:val="28"/>
        </w:rPr>
        <w:t> </w:t>
      </w:r>
      <w:r>
        <w:rPr>
          <w:rFonts w:ascii="Courier New" w:hAnsi="Courier New"/>
          <w:b/>
          <w:sz w:val="28"/>
        </w:rPr>
        <w:t>1989</w:t>
      </w:r>
      <w:r>
        <w:rPr>
          <w:rFonts w:ascii="Courier New" w:hAnsi="Courier New"/>
          <w:b/>
          <w:spacing w:val="-41"/>
          <w:sz w:val="28"/>
        </w:rPr>
        <w:t> </w:t>
      </w:r>
      <w:r>
        <w:rPr>
          <w:rFonts w:ascii="Courier New" w:hAnsi="Courier New"/>
          <w:b/>
          <w:sz w:val="28"/>
        </w:rPr>
        <w:t>MADE</w:t>
      </w:r>
      <w:r>
        <w:rPr>
          <w:rFonts w:ascii="Courier New" w:hAnsi="Courier New"/>
          <w:b/>
          <w:spacing w:val="-41"/>
          <w:sz w:val="28"/>
        </w:rPr>
        <w:t> </w:t>
      </w:r>
      <w:r>
        <w:rPr>
          <w:rFonts w:ascii="Courier New" w:hAnsi="Courier New"/>
          <w:b/>
          <w:sz w:val="28"/>
        </w:rPr>
        <w:t>UNDER ORDER X RULE 2 C.P.C. ON</w:t>
      </w:r>
      <w:r>
        <w:rPr>
          <w:rFonts w:ascii="Courier New" w:hAnsi="Courier New"/>
          <w:b/>
          <w:spacing w:val="-12"/>
          <w:sz w:val="28"/>
        </w:rPr>
        <w:t> </w:t>
      </w:r>
      <w:r>
        <w:rPr>
          <w:rFonts w:ascii="Courier New" w:hAnsi="Courier New"/>
          <w:b/>
          <w:sz w:val="28"/>
        </w:rPr>
        <w:t>22.04.2009.</w:t>
      </w:r>
    </w:p>
    <w:p>
      <w:pPr>
        <w:spacing w:line="240" w:lineRule="auto" w:before="1"/>
        <w:ind w:left="1011" w:right="1247" w:firstLine="566"/>
        <w:jc w:val="both"/>
        <w:rPr>
          <w:rFonts w:ascii="Courier New"/>
          <w:sz w:val="28"/>
        </w:rPr>
      </w:pPr>
      <w:r>
        <w:rPr>
          <w:rFonts w:ascii="Courier New"/>
          <w:sz w:val="28"/>
        </w:rPr>
        <w:t>For the purpose of this case there is no dispute about the faith of Hindu devotees of Lord Rama regarding the birth of Lord Rama at Ayodhya as described in Balmiki Ramayana or as existing today. It is, however, disputed and denied that the site</w:t>
      </w:r>
      <w:r>
        <w:rPr>
          <w:rFonts w:ascii="Courier New"/>
          <w:spacing w:val="-20"/>
          <w:sz w:val="28"/>
        </w:rPr>
        <w:t> </w:t>
      </w:r>
      <w:r>
        <w:rPr>
          <w:rFonts w:ascii="Courier New"/>
          <w:sz w:val="28"/>
        </w:rPr>
        <w:t>of</w:t>
      </w:r>
      <w:r>
        <w:rPr>
          <w:rFonts w:ascii="Courier New"/>
          <w:spacing w:val="-19"/>
          <w:sz w:val="28"/>
        </w:rPr>
        <w:t> </w:t>
      </w:r>
      <w:r>
        <w:rPr>
          <w:rFonts w:ascii="Courier New"/>
          <w:sz w:val="28"/>
        </w:rPr>
        <w:t>Babri</w:t>
      </w:r>
      <w:r>
        <w:rPr>
          <w:rFonts w:ascii="Courier New"/>
          <w:spacing w:val="-20"/>
          <w:sz w:val="28"/>
        </w:rPr>
        <w:t> </w:t>
      </w:r>
      <w:r>
        <w:rPr>
          <w:rFonts w:ascii="Courier New"/>
          <w:sz w:val="28"/>
        </w:rPr>
        <w:t>Masjid</w:t>
      </w:r>
      <w:r>
        <w:rPr>
          <w:rFonts w:ascii="Courier New"/>
          <w:spacing w:val="-19"/>
          <w:sz w:val="28"/>
        </w:rPr>
        <w:t> </w:t>
      </w:r>
      <w:r>
        <w:rPr>
          <w:rFonts w:ascii="Courier New"/>
          <w:sz w:val="28"/>
        </w:rPr>
        <w:t>was</w:t>
      </w:r>
      <w:r>
        <w:rPr>
          <w:rFonts w:ascii="Courier New"/>
          <w:spacing w:val="-19"/>
          <w:sz w:val="28"/>
        </w:rPr>
        <w:t> </w:t>
      </w:r>
      <w:r>
        <w:rPr>
          <w:rFonts w:ascii="Courier New"/>
          <w:sz w:val="28"/>
        </w:rPr>
        <w:t>the</w:t>
      </w:r>
      <w:r>
        <w:rPr>
          <w:rFonts w:ascii="Courier New"/>
          <w:spacing w:val="-20"/>
          <w:sz w:val="28"/>
        </w:rPr>
        <w:t> </w:t>
      </w:r>
      <w:r>
        <w:rPr>
          <w:rFonts w:ascii="Courier New"/>
          <w:sz w:val="28"/>
        </w:rPr>
        <w:t>place</w:t>
      </w:r>
      <w:r>
        <w:rPr>
          <w:rFonts w:ascii="Courier New"/>
          <w:spacing w:val="-19"/>
          <w:sz w:val="28"/>
        </w:rPr>
        <w:t> </w:t>
      </w:r>
      <w:r>
        <w:rPr>
          <w:rFonts w:ascii="Courier New"/>
          <w:sz w:val="28"/>
        </w:rPr>
        <w:t>of</w:t>
      </w:r>
      <w:r>
        <w:rPr>
          <w:rFonts w:ascii="Courier New"/>
          <w:spacing w:val="-19"/>
          <w:sz w:val="28"/>
        </w:rPr>
        <w:t> </w:t>
      </w:r>
      <w:r>
        <w:rPr>
          <w:rFonts w:ascii="Courier New"/>
          <w:sz w:val="28"/>
        </w:rPr>
        <w:t>birth of Lord Rama. It is also denied that there was</w:t>
      </w:r>
      <w:r>
        <w:rPr>
          <w:rFonts w:ascii="Courier New"/>
          <w:spacing w:val="-20"/>
          <w:sz w:val="28"/>
        </w:rPr>
        <w:t> </w:t>
      </w:r>
      <w:r>
        <w:rPr>
          <w:rFonts w:ascii="Courier New"/>
          <w:sz w:val="28"/>
        </w:rPr>
        <w:t>any</w:t>
      </w:r>
      <w:r>
        <w:rPr>
          <w:rFonts w:ascii="Courier New"/>
          <w:spacing w:val="-19"/>
          <w:sz w:val="28"/>
        </w:rPr>
        <w:t> </w:t>
      </w:r>
      <w:r>
        <w:rPr>
          <w:rFonts w:ascii="Courier New"/>
          <w:sz w:val="28"/>
        </w:rPr>
        <w:t>Ram</w:t>
      </w:r>
      <w:r>
        <w:rPr>
          <w:rFonts w:ascii="Courier New"/>
          <w:spacing w:val="-20"/>
          <w:sz w:val="28"/>
        </w:rPr>
        <w:t> </w:t>
      </w:r>
      <w:r>
        <w:rPr>
          <w:rFonts w:ascii="Courier New"/>
          <w:sz w:val="28"/>
        </w:rPr>
        <w:t>Janam</w:t>
      </w:r>
      <w:r>
        <w:rPr>
          <w:rFonts w:ascii="Courier New"/>
          <w:spacing w:val="-19"/>
          <w:sz w:val="28"/>
        </w:rPr>
        <w:t> </w:t>
      </w:r>
      <w:r>
        <w:rPr>
          <w:rFonts w:ascii="Courier New"/>
          <w:sz w:val="28"/>
        </w:rPr>
        <w:t>Bhoomi</w:t>
      </w:r>
      <w:r>
        <w:rPr>
          <w:rFonts w:ascii="Courier New"/>
          <w:spacing w:val="-19"/>
          <w:sz w:val="28"/>
        </w:rPr>
        <w:t> </w:t>
      </w:r>
      <w:r>
        <w:rPr>
          <w:rFonts w:ascii="Courier New"/>
          <w:sz w:val="28"/>
        </w:rPr>
        <w:t>Temple</w:t>
      </w:r>
      <w:r>
        <w:rPr>
          <w:rFonts w:ascii="Courier New"/>
          <w:spacing w:val="-20"/>
          <w:sz w:val="28"/>
        </w:rPr>
        <w:t> </w:t>
      </w:r>
      <w:r>
        <w:rPr>
          <w:rFonts w:ascii="Courier New"/>
          <w:sz w:val="28"/>
        </w:rPr>
        <w:t>at</w:t>
      </w:r>
      <w:r>
        <w:rPr>
          <w:rFonts w:ascii="Courier New"/>
          <w:spacing w:val="-19"/>
          <w:sz w:val="28"/>
        </w:rPr>
        <w:t> </w:t>
      </w:r>
      <w:r>
        <w:rPr>
          <w:rFonts w:ascii="Courier New"/>
          <w:sz w:val="28"/>
        </w:rPr>
        <w:t>the</w:t>
      </w:r>
      <w:r>
        <w:rPr>
          <w:rFonts w:ascii="Courier New"/>
          <w:spacing w:val="-19"/>
          <w:sz w:val="28"/>
        </w:rPr>
        <w:t> </w:t>
      </w:r>
      <w:r>
        <w:rPr>
          <w:rFonts w:ascii="Courier New"/>
          <w:sz w:val="28"/>
        </w:rPr>
        <w:t>site of Babri Masjid at any time</w:t>
      </w:r>
      <w:r>
        <w:rPr>
          <w:rFonts w:ascii="Courier New"/>
          <w:spacing w:val="-14"/>
          <w:sz w:val="28"/>
        </w:rPr>
        <w:t> </w:t>
      </w:r>
      <w:r>
        <w:rPr>
          <w:rFonts w:ascii="Courier New"/>
          <w:sz w:val="28"/>
        </w:rPr>
        <w:t>whatsoever.</w:t>
      </w:r>
    </w:p>
    <w:p>
      <w:pPr>
        <w:spacing w:line="240" w:lineRule="auto" w:before="0"/>
        <w:ind w:left="1011" w:right="1243" w:firstLine="566"/>
        <w:jc w:val="both"/>
        <w:rPr>
          <w:rFonts w:ascii="Courier New"/>
          <w:sz w:val="28"/>
        </w:rPr>
      </w:pPr>
      <w:r>
        <w:rPr>
          <w:rFonts w:ascii="Courier New"/>
          <w:sz w:val="28"/>
        </w:rPr>
        <w:t>The</w:t>
      </w:r>
      <w:r>
        <w:rPr>
          <w:rFonts w:ascii="Courier New"/>
          <w:spacing w:val="-37"/>
          <w:sz w:val="28"/>
        </w:rPr>
        <w:t> </w:t>
      </w:r>
      <w:r>
        <w:rPr>
          <w:rFonts w:ascii="Courier New"/>
          <w:sz w:val="28"/>
        </w:rPr>
        <w:t>existence</w:t>
      </w:r>
      <w:r>
        <w:rPr>
          <w:rFonts w:ascii="Courier New"/>
          <w:spacing w:val="-36"/>
          <w:sz w:val="28"/>
        </w:rPr>
        <w:t> </w:t>
      </w:r>
      <w:r>
        <w:rPr>
          <w:rFonts w:ascii="Courier New"/>
          <w:sz w:val="28"/>
        </w:rPr>
        <w:t>of</w:t>
      </w:r>
      <w:r>
        <w:rPr>
          <w:rFonts w:ascii="Courier New"/>
          <w:spacing w:val="-37"/>
          <w:sz w:val="28"/>
        </w:rPr>
        <w:t> </w:t>
      </w:r>
      <w:r>
        <w:rPr>
          <w:rFonts w:ascii="Courier New"/>
          <w:sz w:val="28"/>
        </w:rPr>
        <w:t>Nirmohi</w:t>
      </w:r>
      <w:r>
        <w:rPr>
          <w:rFonts w:ascii="Courier New"/>
          <w:spacing w:val="-36"/>
          <w:sz w:val="28"/>
        </w:rPr>
        <w:t> </w:t>
      </w:r>
      <w:r>
        <w:rPr>
          <w:rFonts w:ascii="Courier New"/>
          <w:sz w:val="28"/>
        </w:rPr>
        <w:t>Akhara</w:t>
      </w:r>
      <w:r>
        <w:rPr>
          <w:rFonts w:ascii="Courier New"/>
          <w:spacing w:val="-36"/>
          <w:sz w:val="28"/>
        </w:rPr>
        <w:t> </w:t>
      </w:r>
      <w:r>
        <w:rPr>
          <w:rFonts w:ascii="Courier New"/>
          <w:sz w:val="28"/>
        </w:rPr>
        <w:t>from</w:t>
      </w:r>
      <w:r>
        <w:rPr>
          <w:rFonts w:ascii="Courier New"/>
          <w:spacing w:val="-37"/>
          <w:sz w:val="28"/>
        </w:rPr>
        <w:t> </w:t>
      </w:r>
      <w:r>
        <w:rPr>
          <w:rFonts w:ascii="Courier New"/>
          <w:sz w:val="28"/>
        </w:rPr>
        <w:t>the second half of Nineteenth Century onwards is also not disputed. It is, however, denied</w:t>
      </w:r>
      <w:r>
        <w:rPr>
          <w:rFonts w:ascii="Courier New"/>
          <w:spacing w:val="-27"/>
          <w:sz w:val="28"/>
        </w:rPr>
        <w:t> </w:t>
      </w:r>
      <w:r>
        <w:rPr>
          <w:rFonts w:ascii="Courier New"/>
          <w:sz w:val="28"/>
        </w:rPr>
        <w:t>and</w:t>
      </w:r>
      <w:r>
        <w:rPr>
          <w:rFonts w:ascii="Courier New"/>
          <w:spacing w:val="-26"/>
          <w:sz w:val="28"/>
        </w:rPr>
        <w:t> </w:t>
      </w:r>
      <w:r>
        <w:rPr>
          <w:rFonts w:ascii="Courier New"/>
          <w:sz w:val="28"/>
        </w:rPr>
        <w:t>disputed</w:t>
      </w:r>
      <w:r>
        <w:rPr>
          <w:rFonts w:ascii="Courier New"/>
          <w:spacing w:val="-26"/>
          <w:sz w:val="28"/>
        </w:rPr>
        <w:t> </w:t>
      </w:r>
      <w:r>
        <w:rPr>
          <w:rFonts w:ascii="Courier New"/>
          <w:sz w:val="28"/>
        </w:rPr>
        <w:t>that</w:t>
      </w:r>
      <w:r>
        <w:rPr>
          <w:rFonts w:ascii="Courier New"/>
          <w:spacing w:val="-26"/>
          <w:sz w:val="28"/>
        </w:rPr>
        <w:t> </w:t>
      </w:r>
      <w:r>
        <w:rPr>
          <w:rFonts w:ascii="Courier New"/>
          <w:sz w:val="28"/>
        </w:rPr>
        <w:t>Nirmohi</w:t>
      </w:r>
      <w:r>
        <w:rPr>
          <w:rFonts w:ascii="Courier New"/>
          <w:spacing w:val="-26"/>
          <w:sz w:val="28"/>
        </w:rPr>
        <w:t> </w:t>
      </w:r>
      <w:r>
        <w:rPr>
          <w:rFonts w:ascii="Courier New"/>
          <w:sz w:val="28"/>
        </w:rPr>
        <w:t>Akhara</w:t>
      </w:r>
      <w:r>
        <w:rPr>
          <w:rFonts w:ascii="Courier New"/>
          <w:spacing w:val="-26"/>
          <w:sz w:val="28"/>
        </w:rPr>
        <w:t> </w:t>
      </w:r>
      <w:r>
        <w:rPr>
          <w:rFonts w:ascii="Courier New"/>
          <w:sz w:val="28"/>
        </w:rPr>
        <w:t>was in existence and specially in Ayodhya in 16the Century A.D. or in 1528 A.D. and it is</w:t>
      </w:r>
      <w:r>
        <w:rPr>
          <w:rFonts w:ascii="Courier New"/>
          <w:spacing w:val="-20"/>
          <w:sz w:val="28"/>
        </w:rPr>
        <w:t> </w:t>
      </w:r>
      <w:r>
        <w:rPr>
          <w:rFonts w:ascii="Courier New"/>
          <w:sz w:val="28"/>
        </w:rPr>
        <w:t>also</w:t>
      </w:r>
      <w:r>
        <w:rPr>
          <w:rFonts w:ascii="Courier New"/>
          <w:spacing w:val="-19"/>
          <w:sz w:val="28"/>
        </w:rPr>
        <w:t> </w:t>
      </w:r>
      <w:r>
        <w:rPr>
          <w:rFonts w:ascii="Courier New"/>
          <w:sz w:val="28"/>
        </w:rPr>
        <w:t>denied</w:t>
      </w:r>
      <w:r>
        <w:rPr>
          <w:rFonts w:ascii="Courier New"/>
          <w:spacing w:val="-20"/>
          <w:sz w:val="28"/>
        </w:rPr>
        <w:t> </w:t>
      </w:r>
      <w:r>
        <w:rPr>
          <w:rFonts w:ascii="Courier New"/>
          <w:sz w:val="28"/>
        </w:rPr>
        <w:t>that</w:t>
      </w:r>
      <w:r>
        <w:rPr>
          <w:rFonts w:ascii="Courier New"/>
          <w:spacing w:val="-19"/>
          <w:sz w:val="28"/>
        </w:rPr>
        <w:t> </w:t>
      </w:r>
      <w:r>
        <w:rPr>
          <w:rFonts w:ascii="Courier New"/>
          <w:sz w:val="28"/>
        </w:rPr>
        <w:t>any</w:t>
      </w:r>
      <w:r>
        <w:rPr>
          <w:rFonts w:ascii="Courier New"/>
          <w:spacing w:val="-19"/>
          <w:sz w:val="28"/>
        </w:rPr>
        <w:t> </w:t>
      </w:r>
      <w:r>
        <w:rPr>
          <w:rFonts w:ascii="Courier New"/>
          <w:sz w:val="28"/>
        </w:rPr>
        <w:t>idols</w:t>
      </w:r>
      <w:r>
        <w:rPr>
          <w:rFonts w:ascii="Courier New"/>
          <w:spacing w:val="-20"/>
          <w:sz w:val="28"/>
        </w:rPr>
        <w:t> </w:t>
      </w:r>
      <w:r>
        <w:rPr>
          <w:rFonts w:ascii="Courier New"/>
          <w:sz w:val="28"/>
        </w:rPr>
        <w:t>were</w:t>
      </w:r>
      <w:r>
        <w:rPr>
          <w:rFonts w:ascii="Courier New"/>
          <w:spacing w:val="-19"/>
          <w:sz w:val="28"/>
        </w:rPr>
        <w:t> </w:t>
      </w:r>
      <w:r>
        <w:rPr>
          <w:rFonts w:ascii="Courier New"/>
          <w:sz w:val="28"/>
        </w:rPr>
        <w:t>there</w:t>
      </w:r>
      <w:r>
        <w:rPr>
          <w:rFonts w:ascii="Courier New"/>
          <w:spacing w:val="-19"/>
          <w:sz w:val="28"/>
        </w:rPr>
        <w:t> </w:t>
      </w:r>
      <w:r>
        <w:rPr>
          <w:rFonts w:ascii="Courier New"/>
          <w:sz w:val="28"/>
        </w:rPr>
        <w:t>in the building of the Babri Masjid up to</w:t>
      </w:r>
      <w:r>
        <w:rPr>
          <w:rFonts w:ascii="Courier New"/>
          <w:spacing w:val="-29"/>
          <w:sz w:val="28"/>
        </w:rPr>
        <w:t> </w:t>
      </w:r>
      <w:r>
        <w:rPr>
          <w:rFonts w:ascii="Courier New"/>
          <w:sz w:val="28"/>
        </w:rPr>
        <w:t>22</w:t>
      </w:r>
      <w:r>
        <w:rPr>
          <w:rFonts w:ascii="Courier New"/>
          <w:position w:val="8"/>
          <w:sz w:val="18"/>
        </w:rPr>
        <w:t>nd </w:t>
      </w:r>
      <w:r>
        <w:rPr>
          <w:rFonts w:ascii="Courier New"/>
          <w:sz w:val="28"/>
        </w:rPr>
        <w:t>December,</w:t>
      </w:r>
      <w:r>
        <w:rPr>
          <w:rFonts w:ascii="Courier New"/>
          <w:spacing w:val="-2"/>
          <w:sz w:val="28"/>
        </w:rPr>
        <w:t> </w:t>
      </w:r>
      <w:r>
        <w:rPr>
          <w:rFonts w:ascii="Courier New"/>
          <w:sz w:val="28"/>
        </w:rPr>
        <w:t>1949.</w:t>
      </w:r>
    </w:p>
    <w:p>
      <w:pPr>
        <w:spacing w:line="317" w:lineRule="exact" w:before="0"/>
        <w:ind w:left="0" w:right="1244" w:firstLine="0"/>
        <w:jc w:val="right"/>
        <w:rPr>
          <w:rFonts w:ascii="Courier New"/>
          <w:sz w:val="28"/>
        </w:rPr>
      </w:pPr>
      <w:r>
        <w:rPr>
          <w:rFonts w:ascii="Courier New"/>
          <w:spacing w:val="-1"/>
          <w:sz w:val="28"/>
        </w:rPr>
        <w:t>Sd/-</w:t>
      </w:r>
    </w:p>
    <w:p>
      <w:pPr>
        <w:spacing w:before="0"/>
        <w:ind w:left="6253" w:right="1246" w:hanging="672"/>
        <w:jc w:val="right"/>
        <w:rPr>
          <w:rFonts w:ascii="Courier New" w:hAnsi="Courier New"/>
          <w:sz w:val="28"/>
        </w:rPr>
      </w:pPr>
      <w:r>
        <w:rPr>
          <w:rFonts w:ascii="Courier New" w:hAnsi="Courier New"/>
          <w:sz w:val="28"/>
        </w:rPr>
        <w:t>Z.</w:t>
      </w:r>
      <w:r>
        <w:rPr>
          <w:rFonts w:ascii="Courier New" w:hAnsi="Courier New"/>
          <w:spacing w:val="-2"/>
          <w:sz w:val="28"/>
        </w:rPr>
        <w:t> </w:t>
      </w:r>
      <w:r>
        <w:rPr>
          <w:rFonts w:ascii="Courier New" w:hAnsi="Courier New"/>
          <w:sz w:val="28"/>
        </w:rPr>
        <w:t>Jilani,</w:t>
      </w:r>
      <w:r>
        <w:rPr>
          <w:rFonts w:ascii="Courier New" w:hAnsi="Courier New"/>
          <w:spacing w:val="-1"/>
          <w:sz w:val="28"/>
        </w:rPr>
        <w:t> </w:t>
      </w:r>
      <w:r>
        <w:rPr>
          <w:rFonts w:ascii="Courier New" w:hAnsi="Courier New"/>
          <w:spacing w:val="-4"/>
          <w:sz w:val="28"/>
        </w:rPr>
        <w:t>Adv.</w:t>
      </w:r>
      <w:r>
        <w:rPr>
          <w:rFonts w:ascii="Courier New" w:hAnsi="Courier New"/>
          <w:spacing w:val="-1"/>
          <w:w w:val="100"/>
          <w:sz w:val="28"/>
        </w:rPr>
        <w:t> </w:t>
      </w:r>
      <w:r>
        <w:rPr>
          <w:rFonts w:ascii="Courier New" w:hAnsi="Courier New"/>
          <w:spacing w:val="-1"/>
          <w:sz w:val="28"/>
        </w:rPr>
        <w:t>22.04.2009”</w:t>
      </w:r>
    </w:p>
    <w:p>
      <w:pPr>
        <w:pStyle w:val="BodyText"/>
        <w:spacing w:before="9"/>
        <w:rPr>
          <w:rFonts w:ascii="Courier New"/>
          <w:sz w:val="27"/>
        </w:rPr>
      </w:pPr>
    </w:p>
    <w:p>
      <w:pPr>
        <w:tabs>
          <w:tab w:pos="1692" w:val="left" w:leader="none"/>
          <w:tab w:pos="3225" w:val="left" w:leader="none"/>
          <w:tab w:pos="4254" w:val="left" w:leader="none"/>
          <w:tab w:pos="5617" w:val="left" w:leader="none"/>
          <w:tab w:pos="6814" w:val="left" w:leader="none"/>
          <w:tab w:pos="8680" w:val="left" w:leader="none"/>
        </w:tabs>
        <w:spacing w:line="482" w:lineRule="auto" w:before="1"/>
        <w:ind w:left="159" w:right="162" w:firstLine="707"/>
        <w:jc w:val="left"/>
        <w:rPr>
          <w:rFonts w:ascii="Courier New"/>
          <w:sz w:val="28"/>
        </w:rPr>
      </w:pPr>
      <w:r>
        <w:rPr>
          <w:rFonts w:ascii="Courier New"/>
          <w:sz w:val="28"/>
        </w:rPr>
        <w:t>To the same effect was statement made by another learned</w:t>
        <w:tab/>
        <w:t>counsel</w:t>
        <w:tab/>
        <w:t>Shri</w:t>
        <w:tab/>
        <w:t>Mustaq</w:t>
        <w:tab/>
        <w:t>Ahmad</w:t>
        <w:tab/>
        <w:t>Siddiqui,</w:t>
        <w:tab/>
      </w:r>
      <w:r>
        <w:rPr>
          <w:rFonts w:ascii="Courier New"/>
          <w:spacing w:val="-7"/>
          <w:sz w:val="28"/>
        </w:rPr>
        <w:t>who</w:t>
      </w:r>
    </w:p>
    <w:p>
      <w:pPr>
        <w:spacing w:after="0" w:line="482" w:lineRule="auto"/>
        <w:jc w:val="left"/>
        <w:rPr>
          <w:rFonts w:ascii="Courier New"/>
          <w:sz w:val="28"/>
        </w:rPr>
        <w:sectPr>
          <w:headerReference w:type="default" r:id="rId262"/>
          <w:footerReference w:type="default" r:id="rId263"/>
          <w:pgSz w:w="11910" w:h="16840"/>
          <w:pgMar w:header="1439" w:footer="1063" w:top="1740" w:bottom="1260" w:left="1280" w:right="1280"/>
          <w:pgNumType w:start="27"/>
        </w:sectPr>
      </w:pPr>
    </w:p>
    <w:p>
      <w:pPr>
        <w:pStyle w:val="BodyText"/>
        <w:rPr>
          <w:rFonts w:ascii="Courier New"/>
          <w:sz w:val="19"/>
        </w:rPr>
      </w:pPr>
    </w:p>
    <w:p>
      <w:pPr>
        <w:spacing w:before="101"/>
        <w:ind w:left="160" w:right="0" w:firstLine="0"/>
        <w:jc w:val="left"/>
        <w:rPr>
          <w:rFonts w:ascii="Courier New"/>
          <w:sz w:val="28"/>
        </w:rPr>
      </w:pPr>
      <w:r>
        <w:rPr>
          <w:rFonts w:ascii="Courier New"/>
          <w:sz w:val="28"/>
        </w:rPr>
        <w:t>Ahmad,</w:t>
      </w:r>
      <w:r>
        <w:rPr>
          <w:rFonts w:ascii="Courier New"/>
          <w:spacing w:val="-27"/>
          <w:sz w:val="28"/>
        </w:rPr>
        <w:t> </w:t>
      </w:r>
      <w:r>
        <w:rPr>
          <w:rFonts w:ascii="Courier New"/>
          <w:sz w:val="28"/>
        </w:rPr>
        <w:t>counsel</w:t>
      </w:r>
      <w:r>
        <w:rPr>
          <w:rFonts w:ascii="Courier New"/>
          <w:spacing w:val="-27"/>
          <w:sz w:val="28"/>
        </w:rPr>
        <w:t> </w:t>
      </w:r>
      <w:r>
        <w:rPr>
          <w:rFonts w:ascii="Courier New"/>
          <w:sz w:val="28"/>
        </w:rPr>
        <w:t>for</w:t>
      </w:r>
      <w:r>
        <w:rPr>
          <w:rFonts w:ascii="Courier New"/>
          <w:spacing w:val="-26"/>
          <w:sz w:val="28"/>
        </w:rPr>
        <w:t> </w:t>
      </w:r>
      <w:r>
        <w:rPr>
          <w:rFonts w:ascii="Courier New"/>
          <w:sz w:val="28"/>
        </w:rPr>
        <w:t>defendant</w:t>
      </w:r>
      <w:r>
        <w:rPr>
          <w:rFonts w:ascii="Courier New"/>
          <w:spacing w:val="-25"/>
          <w:sz w:val="28"/>
        </w:rPr>
        <w:t> </w:t>
      </w:r>
      <w:r>
        <w:rPr>
          <w:rFonts w:ascii="Courier New"/>
          <w:sz w:val="28"/>
        </w:rPr>
        <w:t>No.6/1</w:t>
      </w:r>
      <w:r>
        <w:rPr>
          <w:rFonts w:ascii="Courier New"/>
          <w:spacing w:val="-26"/>
          <w:sz w:val="28"/>
        </w:rPr>
        <w:t> </w:t>
      </w:r>
      <w:r>
        <w:rPr>
          <w:rFonts w:ascii="Courier New"/>
          <w:sz w:val="28"/>
        </w:rPr>
        <w:t>and</w:t>
      </w:r>
      <w:r>
        <w:rPr>
          <w:rFonts w:ascii="Courier New"/>
          <w:spacing w:val="-27"/>
          <w:sz w:val="28"/>
        </w:rPr>
        <w:t> </w:t>
      </w:r>
      <w:r>
        <w:rPr>
          <w:rFonts w:ascii="Courier New"/>
          <w:sz w:val="28"/>
        </w:rPr>
        <w:t>6/2</w:t>
      </w:r>
      <w:r>
        <w:rPr>
          <w:rFonts w:ascii="Courier New"/>
          <w:spacing w:val="-25"/>
          <w:sz w:val="28"/>
        </w:rPr>
        <w:t> </w:t>
      </w:r>
      <w:r>
        <w:rPr>
          <w:rFonts w:ascii="Courier New"/>
          <w:sz w:val="28"/>
        </w:rPr>
        <w:t>in</w:t>
      </w:r>
      <w:r>
        <w:rPr>
          <w:rFonts w:ascii="Courier New"/>
          <w:spacing w:val="-23"/>
          <w:sz w:val="28"/>
        </w:rPr>
        <w:t> </w:t>
      </w:r>
      <w:r>
        <w:rPr>
          <w:rFonts w:ascii="Courier New"/>
          <w:sz w:val="28"/>
        </w:rPr>
        <w:t>Suit</w:t>
      </w:r>
      <w:r>
        <w:rPr>
          <w:rFonts w:ascii="Courier New"/>
          <w:spacing w:val="-27"/>
          <w:sz w:val="28"/>
        </w:rPr>
        <w:t> </w:t>
      </w:r>
      <w:r>
        <w:rPr>
          <w:rFonts w:ascii="Courier New"/>
          <w:sz w:val="28"/>
        </w:rPr>
        <w:t>No.</w:t>
      </w:r>
    </w:p>
    <w:p>
      <w:pPr>
        <w:pStyle w:val="BodyText"/>
        <w:spacing w:before="1"/>
        <w:rPr>
          <w:rFonts w:ascii="Courier New"/>
          <w:sz w:val="28"/>
        </w:rPr>
      </w:pPr>
    </w:p>
    <w:p>
      <w:pPr>
        <w:tabs>
          <w:tab w:pos="1009" w:val="left" w:leader="none"/>
          <w:tab w:pos="1769" w:val="left" w:leader="none"/>
          <w:tab w:pos="2530" w:val="left" w:leader="none"/>
          <w:tab w:pos="3626" w:val="left" w:leader="none"/>
          <w:tab w:pos="5394" w:val="left" w:leader="none"/>
          <w:tab w:pos="5987" w:val="left" w:leader="none"/>
          <w:tab w:pos="7754" w:val="left" w:leader="none"/>
          <w:tab w:pos="8851" w:val="left" w:leader="none"/>
        </w:tabs>
        <w:spacing w:line="480" w:lineRule="auto" w:before="0"/>
        <w:ind w:left="160" w:right="159" w:firstLine="0"/>
        <w:jc w:val="left"/>
        <w:rPr>
          <w:rFonts w:ascii="Courier New"/>
          <w:sz w:val="28"/>
        </w:rPr>
      </w:pPr>
      <w:r>
        <w:rPr>
          <w:rFonts w:ascii="Courier New"/>
          <w:sz w:val="28"/>
        </w:rPr>
        <w:t>3.</w:t>
        <w:tab/>
        <w:t>All</w:t>
        <w:tab/>
        <w:t>the</w:t>
        <w:tab/>
        <w:t>three</w:t>
        <w:tab/>
        <w:t>statement</w:t>
        <w:tab/>
        <w:t>in</w:t>
        <w:tab/>
        <w:t>identical</w:t>
        <w:tab/>
        <w:t>words</w:t>
        <w:tab/>
      </w:r>
      <w:r>
        <w:rPr>
          <w:rFonts w:ascii="Courier New"/>
          <w:spacing w:val="-10"/>
          <w:sz w:val="28"/>
        </w:rPr>
        <w:t>is </w:t>
      </w:r>
      <w:r>
        <w:rPr>
          <w:rFonts w:ascii="Courier New"/>
          <w:sz w:val="28"/>
        </w:rPr>
        <w:t>extracted</w:t>
      </w:r>
      <w:r>
        <w:rPr>
          <w:rFonts w:ascii="Courier New"/>
          <w:spacing w:val="-2"/>
          <w:sz w:val="28"/>
        </w:rPr>
        <w:t> </w:t>
      </w:r>
      <w:r>
        <w:rPr>
          <w:rFonts w:ascii="Courier New"/>
          <w:sz w:val="28"/>
        </w:rPr>
        <w:t>below:-</w:t>
      </w:r>
    </w:p>
    <w:p>
      <w:pPr>
        <w:spacing w:line="240" w:lineRule="auto" w:before="0"/>
        <w:ind w:left="1011" w:right="1246" w:firstLine="0"/>
        <w:jc w:val="both"/>
        <w:rPr>
          <w:rFonts w:ascii="Courier New" w:hAnsi="Courier New"/>
          <w:b/>
          <w:sz w:val="28"/>
        </w:rPr>
      </w:pPr>
      <w:r>
        <w:rPr>
          <w:rFonts w:ascii="Courier New" w:hAnsi="Courier New"/>
          <w:sz w:val="28"/>
        </w:rPr>
        <w:t>“</w:t>
      </w:r>
      <w:r>
        <w:rPr>
          <w:rFonts w:ascii="Courier New" w:hAnsi="Courier New"/>
          <w:b/>
          <w:sz w:val="28"/>
        </w:rPr>
        <w:t>STATEMENT OF SRI MUSAQ AHMAD SIDDIQUI, COUNSEL FOR PLAINTIFF IN O.O.S. 4 OF 1989 MADE UNDER ORDER X RULE 2 C.P.C. ON 22.04.2009.</w:t>
      </w:r>
    </w:p>
    <w:p>
      <w:pPr>
        <w:spacing w:line="240" w:lineRule="auto" w:before="0"/>
        <w:ind w:left="1011" w:right="1247" w:firstLine="566"/>
        <w:jc w:val="both"/>
        <w:rPr>
          <w:rFonts w:ascii="Courier New"/>
          <w:sz w:val="28"/>
        </w:rPr>
      </w:pPr>
      <w:r>
        <w:rPr>
          <w:rFonts w:ascii="Courier New"/>
          <w:sz w:val="28"/>
        </w:rPr>
        <w:t>For the purpose of this case there is no dispute about the faith of Hindu devotees of Lord Rama regarding the birth of Lord Rama at Ayodhya as described in Balmiki Ramayana or as existing today. It is, however, disputed and denied that the site</w:t>
      </w:r>
      <w:r>
        <w:rPr>
          <w:rFonts w:ascii="Courier New"/>
          <w:spacing w:val="-20"/>
          <w:sz w:val="28"/>
        </w:rPr>
        <w:t> </w:t>
      </w:r>
      <w:r>
        <w:rPr>
          <w:rFonts w:ascii="Courier New"/>
          <w:sz w:val="28"/>
        </w:rPr>
        <w:t>of</w:t>
      </w:r>
      <w:r>
        <w:rPr>
          <w:rFonts w:ascii="Courier New"/>
          <w:spacing w:val="-19"/>
          <w:sz w:val="28"/>
        </w:rPr>
        <w:t> </w:t>
      </w:r>
      <w:r>
        <w:rPr>
          <w:rFonts w:ascii="Courier New"/>
          <w:sz w:val="28"/>
        </w:rPr>
        <w:t>Babri</w:t>
      </w:r>
      <w:r>
        <w:rPr>
          <w:rFonts w:ascii="Courier New"/>
          <w:spacing w:val="-20"/>
          <w:sz w:val="28"/>
        </w:rPr>
        <w:t> </w:t>
      </w:r>
      <w:r>
        <w:rPr>
          <w:rFonts w:ascii="Courier New"/>
          <w:sz w:val="28"/>
        </w:rPr>
        <w:t>Masjid</w:t>
      </w:r>
      <w:r>
        <w:rPr>
          <w:rFonts w:ascii="Courier New"/>
          <w:spacing w:val="-19"/>
          <w:sz w:val="28"/>
        </w:rPr>
        <w:t> </w:t>
      </w:r>
      <w:r>
        <w:rPr>
          <w:rFonts w:ascii="Courier New"/>
          <w:sz w:val="28"/>
        </w:rPr>
        <w:t>was</w:t>
      </w:r>
      <w:r>
        <w:rPr>
          <w:rFonts w:ascii="Courier New"/>
          <w:spacing w:val="-19"/>
          <w:sz w:val="28"/>
        </w:rPr>
        <w:t> </w:t>
      </w:r>
      <w:r>
        <w:rPr>
          <w:rFonts w:ascii="Courier New"/>
          <w:sz w:val="28"/>
        </w:rPr>
        <w:t>the</w:t>
      </w:r>
      <w:r>
        <w:rPr>
          <w:rFonts w:ascii="Courier New"/>
          <w:spacing w:val="-20"/>
          <w:sz w:val="28"/>
        </w:rPr>
        <w:t> </w:t>
      </w:r>
      <w:r>
        <w:rPr>
          <w:rFonts w:ascii="Courier New"/>
          <w:sz w:val="28"/>
        </w:rPr>
        <w:t>place</w:t>
      </w:r>
      <w:r>
        <w:rPr>
          <w:rFonts w:ascii="Courier New"/>
          <w:spacing w:val="-19"/>
          <w:sz w:val="28"/>
        </w:rPr>
        <w:t> </w:t>
      </w:r>
      <w:r>
        <w:rPr>
          <w:rFonts w:ascii="Courier New"/>
          <w:sz w:val="28"/>
        </w:rPr>
        <w:t>of</w:t>
      </w:r>
      <w:r>
        <w:rPr>
          <w:rFonts w:ascii="Courier New"/>
          <w:spacing w:val="-19"/>
          <w:sz w:val="28"/>
        </w:rPr>
        <w:t> </w:t>
      </w:r>
      <w:r>
        <w:rPr>
          <w:rFonts w:ascii="Courier New"/>
          <w:sz w:val="28"/>
        </w:rPr>
        <w:t>birth of Lord Rama. It is also denied that there was</w:t>
      </w:r>
      <w:r>
        <w:rPr>
          <w:rFonts w:ascii="Courier New"/>
          <w:spacing w:val="-20"/>
          <w:sz w:val="28"/>
        </w:rPr>
        <w:t> </w:t>
      </w:r>
      <w:r>
        <w:rPr>
          <w:rFonts w:ascii="Courier New"/>
          <w:sz w:val="28"/>
        </w:rPr>
        <w:t>any</w:t>
      </w:r>
      <w:r>
        <w:rPr>
          <w:rFonts w:ascii="Courier New"/>
          <w:spacing w:val="-19"/>
          <w:sz w:val="28"/>
        </w:rPr>
        <w:t> </w:t>
      </w:r>
      <w:r>
        <w:rPr>
          <w:rFonts w:ascii="Courier New"/>
          <w:sz w:val="28"/>
        </w:rPr>
        <w:t>Ram</w:t>
      </w:r>
      <w:r>
        <w:rPr>
          <w:rFonts w:ascii="Courier New"/>
          <w:spacing w:val="-20"/>
          <w:sz w:val="28"/>
        </w:rPr>
        <w:t> </w:t>
      </w:r>
      <w:r>
        <w:rPr>
          <w:rFonts w:ascii="Courier New"/>
          <w:sz w:val="28"/>
        </w:rPr>
        <w:t>Janam</w:t>
      </w:r>
      <w:r>
        <w:rPr>
          <w:rFonts w:ascii="Courier New"/>
          <w:spacing w:val="-19"/>
          <w:sz w:val="28"/>
        </w:rPr>
        <w:t> </w:t>
      </w:r>
      <w:r>
        <w:rPr>
          <w:rFonts w:ascii="Courier New"/>
          <w:sz w:val="28"/>
        </w:rPr>
        <w:t>Bhoomi</w:t>
      </w:r>
      <w:r>
        <w:rPr>
          <w:rFonts w:ascii="Courier New"/>
          <w:spacing w:val="-19"/>
          <w:sz w:val="28"/>
        </w:rPr>
        <w:t> </w:t>
      </w:r>
      <w:r>
        <w:rPr>
          <w:rFonts w:ascii="Courier New"/>
          <w:sz w:val="28"/>
        </w:rPr>
        <w:t>Temple</w:t>
      </w:r>
      <w:r>
        <w:rPr>
          <w:rFonts w:ascii="Courier New"/>
          <w:spacing w:val="-20"/>
          <w:sz w:val="28"/>
        </w:rPr>
        <w:t> </w:t>
      </w:r>
      <w:r>
        <w:rPr>
          <w:rFonts w:ascii="Courier New"/>
          <w:sz w:val="28"/>
        </w:rPr>
        <w:t>at</w:t>
      </w:r>
      <w:r>
        <w:rPr>
          <w:rFonts w:ascii="Courier New"/>
          <w:spacing w:val="-19"/>
          <w:sz w:val="28"/>
        </w:rPr>
        <w:t> </w:t>
      </w:r>
      <w:r>
        <w:rPr>
          <w:rFonts w:ascii="Courier New"/>
          <w:sz w:val="28"/>
        </w:rPr>
        <w:t>the</w:t>
      </w:r>
      <w:r>
        <w:rPr>
          <w:rFonts w:ascii="Courier New"/>
          <w:spacing w:val="-19"/>
          <w:sz w:val="28"/>
        </w:rPr>
        <w:t> </w:t>
      </w:r>
      <w:r>
        <w:rPr>
          <w:rFonts w:ascii="Courier New"/>
          <w:sz w:val="28"/>
        </w:rPr>
        <w:t>site of Babri Masjid at any time</w:t>
      </w:r>
      <w:r>
        <w:rPr>
          <w:rFonts w:ascii="Courier New"/>
          <w:spacing w:val="-14"/>
          <w:sz w:val="28"/>
        </w:rPr>
        <w:t> </w:t>
      </w:r>
      <w:r>
        <w:rPr>
          <w:rFonts w:ascii="Courier New"/>
          <w:sz w:val="28"/>
        </w:rPr>
        <w:t>whatsoever.</w:t>
      </w:r>
    </w:p>
    <w:p>
      <w:pPr>
        <w:spacing w:line="240" w:lineRule="auto" w:before="0"/>
        <w:ind w:left="1011" w:right="1245" w:firstLine="566"/>
        <w:jc w:val="both"/>
        <w:rPr>
          <w:rFonts w:ascii="Courier New"/>
          <w:sz w:val="28"/>
        </w:rPr>
      </w:pPr>
      <w:r>
        <w:rPr>
          <w:rFonts w:ascii="Courier New"/>
          <w:sz w:val="28"/>
        </w:rPr>
        <w:t>The</w:t>
      </w:r>
      <w:r>
        <w:rPr>
          <w:rFonts w:ascii="Courier New"/>
          <w:spacing w:val="-37"/>
          <w:sz w:val="28"/>
        </w:rPr>
        <w:t> </w:t>
      </w:r>
      <w:r>
        <w:rPr>
          <w:rFonts w:ascii="Courier New"/>
          <w:sz w:val="28"/>
        </w:rPr>
        <w:t>existence</w:t>
      </w:r>
      <w:r>
        <w:rPr>
          <w:rFonts w:ascii="Courier New"/>
          <w:spacing w:val="-36"/>
          <w:sz w:val="28"/>
        </w:rPr>
        <w:t> </w:t>
      </w:r>
      <w:r>
        <w:rPr>
          <w:rFonts w:ascii="Courier New"/>
          <w:sz w:val="28"/>
        </w:rPr>
        <w:t>of</w:t>
      </w:r>
      <w:r>
        <w:rPr>
          <w:rFonts w:ascii="Courier New"/>
          <w:spacing w:val="-37"/>
          <w:sz w:val="28"/>
        </w:rPr>
        <w:t> </w:t>
      </w:r>
      <w:r>
        <w:rPr>
          <w:rFonts w:ascii="Courier New"/>
          <w:sz w:val="28"/>
        </w:rPr>
        <w:t>Nirmohi</w:t>
      </w:r>
      <w:r>
        <w:rPr>
          <w:rFonts w:ascii="Courier New"/>
          <w:spacing w:val="-36"/>
          <w:sz w:val="28"/>
        </w:rPr>
        <w:t> </w:t>
      </w:r>
      <w:r>
        <w:rPr>
          <w:rFonts w:ascii="Courier New"/>
          <w:sz w:val="28"/>
        </w:rPr>
        <w:t>Akhara</w:t>
      </w:r>
      <w:r>
        <w:rPr>
          <w:rFonts w:ascii="Courier New"/>
          <w:spacing w:val="-36"/>
          <w:sz w:val="28"/>
        </w:rPr>
        <w:t> </w:t>
      </w:r>
      <w:r>
        <w:rPr>
          <w:rFonts w:ascii="Courier New"/>
          <w:sz w:val="28"/>
        </w:rPr>
        <w:t>from</w:t>
      </w:r>
      <w:r>
        <w:rPr>
          <w:rFonts w:ascii="Courier New"/>
          <w:spacing w:val="-37"/>
          <w:sz w:val="28"/>
        </w:rPr>
        <w:t> </w:t>
      </w:r>
      <w:r>
        <w:rPr>
          <w:rFonts w:ascii="Courier New"/>
          <w:sz w:val="28"/>
        </w:rPr>
        <w:t>the second half of Nineteenth Century onwards is also not disputed. It is, however, denied</w:t>
      </w:r>
      <w:r>
        <w:rPr>
          <w:rFonts w:ascii="Courier New"/>
          <w:spacing w:val="-27"/>
          <w:sz w:val="28"/>
        </w:rPr>
        <w:t> </w:t>
      </w:r>
      <w:r>
        <w:rPr>
          <w:rFonts w:ascii="Courier New"/>
          <w:sz w:val="28"/>
        </w:rPr>
        <w:t>and</w:t>
      </w:r>
      <w:r>
        <w:rPr>
          <w:rFonts w:ascii="Courier New"/>
          <w:spacing w:val="-26"/>
          <w:sz w:val="28"/>
        </w:rPr>
        <w:t> </w:t>
      </w:r>
      <w:r>
        <w:rPr>
          <w:rFonts w:ascii="Courier New"/>
          <w:sz w:val="28"/>
        </w:rPr>
        <w:t>disputed</w:t>
      </w:r>
      <w:r>
        <w:rPr>
          <w:rFonts w:ascii="Courier New"/>
          <w:spacing w:val="-26"/>
          <w:sz w:val="28"/>
        </w:rPr>
        <w:t> </w:t>
      </w:r>
      <w:r>
        <w:rPr>
          <w:rFonts w:ascii="Courier New"/>
          <w:sz w:val="28"/>
        </w:rPr>
        <w:t>that</w:t>
      </w:r>
      <w:r>
        <w:rPr>
          <w:rFonts w:ascii="Courier New"/>
          <w:spacing w:val="-26"/>
          <w:sz w:val="28"/>
        </w:rPr>
        <w:t> </w:t>
      </w:r>
      <w:r>
        <w:rPr>
          <w:rFonts w:ascii="Courier New"/>
          <w:sz w:val="28"/>
        </w:rPr>
        <w:t>Nirmohi</w:t>
      </w:r>
      <w:r>
        <w:rPr>
          <w:rFonts w:ascii="Courier New"/>
          <w:spacing w:val="-26"/>
          <w:sz w:val="28"/>
        </w:rPr>
        <w:t> </w:t>
      </w:r>
      <w:r>
        <w:rPr>
          <w:rFonts w:ascii="Courier New"/>
          <w:sz w:val="28"/>
        </w:rPr>
        <w:t>Akhara</w:t>
      </w:r>
      <w:r>
        <w:rPr>
          <w:rFonts w:ascii="Courier New"/>
          <w:spacing w:val="-26"/>
          <w:sz w:val="28"/>
        </w:rPr>
        <w:t> </w:t>
      </w:r>
      <w:r>
        <w:rPr>
          <w:rFonts w:ascii="Courier New"/>
          <w:sz w:val="28"/>
        </w:rPr>
        <w:t>was in existence and specially in Ayodhya in 16</w:t>
      </w:r>
      <w:r>
        <w:rPr>
          <w:rFonts w:ascii="Courier New"/>
          <w:position w:val="8"/>
          <w:sz w:val="18"/>
        </w:rPr>
        <w:t>th </w:t>
      </w:r>
      <w:r>
        <w:rPr>
          <w:rFonts w:ascii="Courier New"/>
          <w:sz w:val="28"/>
        </w:rPr>
        <w:t>Century A.D. or in 1528 A.D. and it is also denied that any idols were there in the building of the Babri Masjid up to</w:t>
      </w:r>
      <w:r>
        <w:rPr>
          <w:rFonts w:ascii="Courier New"/>
          <w:spacing w:val="-29"/>
          <w:sz w:val="28"/>
        </w:rPr>
        <w:t> </w:t>
      </w:r>
      <w:r>
        <w:rPr>
          <w:rFonts w:ascii="Courier New"/>
          <w:sz w:val="28"/>
        </w:rPr>
        <w:t>22</w:t>
      </w:r>
      <w:r>
        <w:rPr>
          <w:rFonts w:ascii="Courier New"/>
          <w:position w:val="8"/>
          <w:sz w:val="18"/>
        </w:rPr>
        <w:t>nd </w:t>
      </w:r>
      <w:r>
        <w:rPr>
          <w:rFonts w:ascii="Courier New"/>
          <w:sz w:val="28"/>
        </w:rPr>
        <w:t>December,</w:t>
      </w:r>
      <w:r>
        <w:rPr>
          <w:rFonts w:ascii="Courier New"/>
          <w:spacing w:val="-2"/>
          <w:sz w:val="28"/>
        </w:rPr>
        <w:t> </w:t>
      </w:r>
      <w:r>
        <w:rPr>
          <w:rFonts w:ascii="Courier New"/>
          <w:sz w:val="28"/>
        </w:rPr>
        <w:t>1949.</w:t>
      </w:r>
    </w:p>
    <w:p>
      <w:pPr>
        <w:spacing w:line="317" w:lineRule="exact" w:before="0"/>
        <w:ind w:left="0" w:right="1244" w:firstLine="0"/>
        <w:jc w:val="right"/>
        <w:rPr>
          <w:rFonts w:ascii="Courier New"/>
          <w:sz w:val="28"/>
        </w:rPr>
      </w:pPr>
      <w:r>
        <w:rPr>
          <w:rFonts w:ascii="Courier New"/>
          <w:spacing w:val="-1"/>
          <w:sz w:val="28"/>
        </w:rPr>
        <w:t>Sd/-</w:t>
      </w:r>
    </w:p>
    <w:p>
      <w:pPr>
        <w:spacing w:line="317" w:lineRule="exact" w:before="0"/>
        <w:ind w:left="0" w:right="1246" w:firstLine="0"/>
        <w:jc w:val="right"/>
        <w:rPr>
          <w:rFonts w:ascii="Courier New"/>
          <w:sz w:val="28"/>
        </w:rPr>
      </w:pPr>
      <w:r>
        <w:rPr>
          <w:rFonts w:ascii="Courier New"/>
          <w:sz w:val="28"/>
        </w:rPr>
        <w:t>M.A. Siddiqui,</w:t>
      </w:r>
      <w:r>
        <w:rPr>
          <w:rFonts w:ascii="Courier New"/>
          <w:spacing w:val="-10"/>
          <w:sz w:val="28"/>
        </w:rPr>
        <w:t> </w:t>
      </w:r>
      <w:r>
        <w:rPr>
          <w:rFonts w:ascii="Courier New"/>
          <w:sz w:val="28"/>
        </w:rPr>
        <w:t>Adv.</w:t>
      </w:r>
    </w:p>
    <w:p>
      <w:pPr>
        <w:spacing w:line="317" w:lineRule="exact" w:before="0"/>
        <w:ind w:left="0" w:right="1246" w:firstLine="0"/>
        <w:jc w:val="right"/>
        <w:rPr>
          <w:rFonts w:ascii="Courier New"/>
          <w:sz w:val="28"/>
        </w:rPr>
      </w:pPr>
      <w:r>
        <w:rPr>
          <w:rFonts w:ascii="Courier New"/>
          <w:spacing w:val="-2"/>
          <w:sz w:val="28"/>
        </w:rPr>
        <w:t>22.04.2009</w:t>
      </w:r>
    </w:p>
    <w:p>
      <w:pPr>
        <w:pStyle w:val="BodyText"/>
        <w:spacing w:before="1"/>
        <w:rPr>
          <w:rFonts w:ascii="Courier New"/>
          <w:sz w:val="28"/>
        </w:rPr>
      </w:pPr>
    </w:p>
    <w:p>
      <w:pPr>
        <w:spacing w:before="0"/>
        <w:ind w:left="1011" w:right="1245" w:firstLine="0"/>
        <w:jc w:val="both"/>
        <w:rPr>
          <w:rFonts w:ascii="Courier New"/>
          <w:b/>
          <w:sz w:val="28"/>
        </w:rPr>
      </w:pPr>
      <w:r>
        <w:rPr>
          <w:rFonts w:ascii="Courier New"/>
          <w:b/>
          <w:sz w:val="28"/>
        </w:rPr>
        <w:t>STATEMENT OF SRI SYED IRFAN AHMAD, COUNSEL FOR DEFENDANTS No.6/1 and 6/2 IN O.O.S.NO.34</w:t>
      </w:r>
      <w:r>
        <w:rPr>
          <w:rFonts w:ascii="Courier New"/>
          <w:b/>
          <w:spacing w:val="-22"/>
          <w:sz w:val="28"/>
        </w:rPr>
        <w:t> </w:t>
      </w:r>
      <w:r>
        <w:rPr>
          <w:rFonts w:ascii="Courier New"/>
          <w:b/>
          <w:sz w:val="28"/>
        </w:rPr>
        <w:t>OF</w:t>
      </w:r>
      <w:r>
        <w:rPr>
          <w:rFonts w:ascii="Courier New"/>
          <w:b/>
          <w:spacing w:val="-22"/>
          <w:sz w:val="28"/>
        </w:rPr>
        <w:t> </w:t>
      </w:r>
      <w:r>
        <w:rPr>
          <w:rFonts w:ascii="Courier New"/>
          <w:b/>
          <w:sz w:val="28"/>
        </w:rPr>
        <w:t>1989</w:t>
      </w:r>
      <w:r>
        <w:rPr>
          <w:rFonts w:ascii="Courier New"/>
          <w:b/>
          <w:spacing w:val="-22"/>
          <w:sz w:val="28"/>
        </w:rPr>
        <w:t> </w:t>
      </w:r>
      <w:r>
        <w:rPr>
          <w:rFonts w:ascii="Courier New"/>
          <w:b/>
          <w:sz w:val="28"/>
        </w:rPr>
        <w:t>MADE</w:t>
      </w:r>
      <w:r>
        <w:rPr>
          <w:rFonts w:ascii="Courier New"/>
          <w:b/>
          <w:spacing w:val="-22"/>
          <w:sz w:val="28"/>
        </w:rPr>
        <w:t> </w:t>
      </w:r>
      <w:r>
        <w:rPr>
          <w:rFonts w:ascii="Courier New"/>
          <w:b/>
          <w:sz w:val="28"/>
        </w:rPr>
        <w:t>UNDER</w:t>
      </w:r>
      <w:r>
        <w:rPr>
          <w:rFonts w:ascii="Courier New"/>
          <w:b/>
          <w:spacing w:val="-21"/>
          <w:sz w:val="28"/>
        </w:rPr>
        <w:t> </w:t>
      </w:r>
      <w:r>
        <w:rPr>
          <w:rFonts w:ascii="Courier New"/>
          <w:b/>
          <w:sz w:val="28"/>
        </w:rPr>
        <w:t>ORDER</w:t>
      </w:r>
      <w:r>
        <w:rPr>
          <w:rFonts w:ascii="Courier New"/>
          <w:b/>
          <w:spacing w:val="-22"/>
          <w:sz w:val="28"/>
        </w:rPr>
        <w:t> </w:t>
      </w:r>
      <w:r>
        <w:rPr>
          <w:rFonts w:ascii="Courier New"/>
          <w:b/>
          <w:sz w:val="28"/>
        </w:rPr>
        <w:t>X</w:t>
      </w:r>
      <w:r>
        <w:rPr>
          <w:rFonts w:ascii="Courier New"/>
          <w:b/>
          <w:spacing w:val="-22"/>
          <w:sz w:val="28"/>
        </w:rPr>
        <w:t> </w:t>
      </w:r>
      <w:r>
        <w:rPr>
          <w:rFonts w:ascii="Courier New"/>
          <w:b/>
          <w:sz w:val="28"/>
        </w:rPr>
        <w:t>RULE 2 C.P.C. ON</w:t>
      </w:r>
      <w:r>
        <w:rPr>
          <w:rFonts w:ascii="Courier New"/>
          <w:b/>
          <w:spacing w:val="-5"/>
          <w:sz w:val="28"/>
        </w:rPr>
        <w:t> </w:t>
      </w:r>
      <w:r>
        <w:rPr>
          <w:rFonts w:ascii="Courier New"/>
          <w:b/>
          <w:sz w:val="28"/>
        </w:rPr>
        <w:t>22.04.2009.</w:t>
      </w:r>
    </w:p>
    <w:p>
      <w:pPr>
        <w:spacing w:line="240" w:lineRule="auto" w:before="0"/>
        <w:ind w:left="1011" w:right="1247" w:firstLine="566"/>
        <w:jc w:val="both"/>
        <w:rPr>
          <w:rFonts w:ascii="Courier New"/>
          <w:sz w:val="28"/>
        </w:rPr>
      </w:pPr>
      <w:r>
        <w:rPr>
          <w:rFonts w:ascii="Courier New"/>
          <w:sz w:val="28"/>
        </w:rPr>
        <w:t>For the purpose of this case there is no dispute about the faith of Hindu devotees of Lord Rama regarding the birth of</w:t>
      </w:r>
      <w:r>
        <w:rPr>
          <w:rFonts w:ascii="Courier New"/>
          <w:spacing w:val="74"/>
          <w:sz w:val="28"/>
        </w:rPr>
        <w:t> </w:t>
      </w:r>
      <w:r>
        <w:rPr>
          <w:rFonts w:ascii="Courier New"/>
          <w:sz w:val="28"/>
        </w:rPr>
        <w:t>Lord</w:t>
      </w:r>
      <w:r>
        <w:rPr>
          <w:rFonts w:ascii="Courier New"/>
          <w:spacing w:val="75"/>
          <w:sz w:val="28"/>
        </w:rPr>
        <w:t> </w:t>
      </w:r>
      <w:r>
        <w:rPr>
          <w:rFonts w:ascii="Courier New"/>
          <w:sz w:val="28"/>
        </w:rPr>
        <w:t>Rama</w:t>
      </w:r>
      <w:r>
        <w:rPr>
          <w:rFonts w:ascii="Courier New"/>
          <w:spacing w:val="74"/>
          <w:sz w:val="28"/>
        </w:rPr>
        <w:t> </w:t>
      </w:r>
      <w:r>
        <w:rPr>
          <w:rFonts w:ascii="Courier New"/>
          <w:sz w:val="28"/>
        </w:rPr>
        <w:t>at</w:t>
      </w:r>
      <w:r>
        <w:rPr>
          <w:rFonts w:ascii="Courier New"/>
          <w:spacing w:val="75"/>
          <w:sz w:val="28"/>
        </w:rPr>
        <w:t> </w:t>
      </w:r>
      <w:r>
        <w:rPr>
          <w:rFonts w:ascii="Courier New"/>
          <w:sz w:val="28"/>
        </w:rPr>
        <w:t>Ayodhya</w:t>
      </w:r>
      <w:r>
        <w:rPr>
          <w:rFonts w:ascii="Courier New"/>
          <w:spacing w:val="74"/>
          <w:sz w:val="28"/>
        </w:rPr>
        <w:t> </w:t>
      </w:r>
      <w:r>
        <w:rPr>
          <w:rFonts w:ascii="Courier New"/>
          <w:sz w:val="28"/>
        </w:rPr>
        <w:t>as</w:t>
      </w:r>
      <w:r>
        <w:rPr>
          <w:rFonts w:ascii="Courier New"/>
          <w:spacing w:val="75"/>
          <w:sz w:val="28"/>
        </w:rPr>
        <w:t> </w:t>
      </w:r>
      <w:r>
        <w:rPr>
          <w:rFonts w:ascii="Courier New"/>
          <w:sz w:val="28"/>
        </w:rPr>
        <w:t>described</w:t>
      </w:r>
      <w:r>
        <w:rPr>
          <w:rFonts w:ascii="Courier New"/>
          <w:spacing w:val="74"/>
          <w:sz w:val="28"/>
        </w:rPr>
        <w:t> </w:t>
      </w:r>
      <w:r>
        <w:rPr>
          <w:rFonts w:ascii="Courier New"/>
          <w:sz w:val="28"/>
        </w:rPr>
        <w:t>in</w:t>
      </w:r>
    </w:p>
    <w:p>
      <w:pPr>
        <w:spacing w:after="0" w:line="240" w:lineRule="auto"/>
        <w:jc w:val="both"/>
        <w:rPr>
          <w:rFonts w:ascii="Courier New"/>
          <w:sz w:val="28"/>
        </w:rPr>
        <w:sectPr>
          <w:headerReference w:type="default" r:id="rId264"/>
          <w:footerReference w:type="default" r:id="rId265"/>
          <w:pgSz w:w="11910" w:h="16840"/>
          <w:pgMar w:header="1439" w:footer="1063" w:top="1740" w:bottom="1260" w:left="1280" w:right="1280"/>
          <w:pgNumType w:start="28"/>
        </w:sectPr>
      </w:pPr>
    </w:p>
    <w:p>
      <w:pPr>
        <w:spacing w:line="240" w:lineRule="auto" w:before="0"/>
        <w:ind w:left="1011" w:right="1245" w:firstLine="0"/>
        <w:jc w:val="both"/>
        <w:rPr>
          <w:rFonts w:ascii="Courier New"/>
          <w:sz w:val="28"/>
        </w:rPr>
      </w:pPr>
      <w:r>
        <w:rPr>
          <w:rFonts w:ascii="Courier New"/>
          <w:sz w:val="28"/>
        </w:rPr>
        <w:t>is, however, disputed and denied that the site</w:t>
      </w:r>
      <w:r>
        <w:rPr>
          <w:rFonts w:ascii="Courier New"/>
          <w:spacing w:val="-20"/>
          <w:sz w:val="28"/>
        </w:rPr>
        <w:t> </w:t>
      </w:r>
      <w:r>
        <w:rPr>
          <w:rFonts w:ascii="Courier New"/>
          <w:sz w:val="28"/>
        </w:rPr>
        <w:t>of</w:t>
      </w:r>
      <w:r>
        <w:rPr>
          <w:rFonts w:ascii="Courier New"/>
          <w:spacing w:val="-19"/>
          <w:sz w:val="28"/>
        </w:rPr>
        <w:t> </w:t>
      </w:r>
      <w:r>
        <w:rPr>
          <w:rFonts w:ascii="Courier New"/>
          <w:sz w:val="28"/>
        </w:rPr>
        <w:t>Babri</w:t>
      </w:r>
      <w:r>
        <w:rPr>
          <w:rFonts w:ascii="Courier New"/>
          <w:spacing w:val="-20"/>
          <w:sz w:val="28"/>
        </w:rPr>
        <w:t> </w:t>
      </w:r>
      <w:r>
        <w:rPr>
          <w:rFonts w:ascii="Courier New"/>
          <w:sz w:val="28"/>
        </w:rPr>
        <w:t>Masjid</w:t>
      </w:r>
      <w:r>
        <w:rPr>
          <w:rFonts w:ascii="Courier New"/>
          <w:spacing w:val="-19"/>
          <w:sz w:val="28"/>
        </w:rPr>
        <w:t> </w:t>
      </w:r>
      <w:r>
        <w:rPr>
          <w:rFonts w:ascii="Courier New"/>
          <w:sz w:val="28"/>
        </w:rPr>
        <w:t>was</w:t>
      </w:r>
      <w:r>
        <w:rPr>
          <w:rFonts w:ascii="Courier New"/>
          <w:spacing w:val="-19"/>
          <w:sz w:val="28"/>
        </w:rPr>
        <w:t> </w:t>
      </w:r>
      <w:r>
        <w:rPr>
          <w:rFonts w:ascii="Courier New"/>
          <w:sz w:val="28"/>
        </w:rPr>
        <w:t>the</w:t>
      </w:r>
      <w:r>
        <w:rPr>
          <w:rFonts w:ascii="Courier New"/>
          <w:spacing w:val="-20"/>
          <w:sz w:val="28"/>
        </w:rPr>
        <w:t> </w:t>
      </w:r>
      <w:r>
        <w:rPr>
          <w:rFonts w:ascii="Courier New"/>
          <w:sz w:val="28"/>
        </w:rPr>
        <w:t>place</w:t>
      </w:r>
      <w:r>
        <w:rPr>
          <w:rFonts w:ascii="Courier New"/>
          <w:spacing w:val="-19"/>
          <w:sz w:val="28"/>
        </w:rPr>
        <w:t> </w:t>
      </w:r>
      <w:r>
        <w:rPr>
          <w:rFonts w:ascii="Courier New"/>
          <w:sz w:val="28"/>
        </w:rPr>
        <w:t>of</w:t>
      </w:r>
      <w:r>
        <w:rPr>
          <w:rFonts w:ascii="Courier New"/>
          <w:spacing w:val="-19"/>
          <w:sz w:val="28"/>
        </w:rPr>
        <w:t> </w:t>
      </w:r>
      <w:r>
        <w:rPr>
          <w:rFonts w:ascii="Courier New"/>
          <w:sz w:val="28"/>
        </w:rPr>
        <w:t>birth of Lord Rama. It is also denied that there was</w:t>
      </w:r>
      <w:r>
        <w:rPr>
          <w:rFonts w:ascii="Courier New"/>
          <w:spacing w:val="-20"/>
          <w:sz w:val="28"/>
        </w:rPr>
        <w:t> </w:t>
      </w:r>
      <w:r>
        <w:rPr>
          <w:rFonts w:ascii="Courier New"/>
          <w:sz w:val="28"/>
        </w:rPr>
        <w:t>any</w:t>
      </w:r>
      <w:r>
        <w:rPr>
          <w:rFonts w:ascii="Courier New"/>
          <w:spacing w:val="-19"/>
          <w:sz w:val="28"/>
        </w:rPr>
        <w:t> </w:t>
      </w:r>
      <w:r>
        <w:rPr>
          <w:rFonts w:ascii="Courier New"/>
          <w:sz w:val="28"/>
        </w:rPr>
        <w:t>Ram</w:t>
      </w:r>
      <w:r>
        <w:rPr>
          <w:rFonts w:ascii="Courier New"/>
          <w:spacing w:val="-20"/>
          <w:sz w:val="28"/>
        </w:rPr>
        <w:t> </w:t>
      </w:r>
      <w:r>
        <w:rPr>
          <w:rFonts w:ascii="Courier New"/>
          <w:sz w:val="28"/>
        </w:rPr>
        <w:t>Janam</w:t>
      </w:r>
      <w:r>
        <w:rPr>
          <w:rFonts w:ascii="Courier New"/>
          <w:spacing w:val="-19"/>
          <w:sz w:val="28"/>
        </w:rPr>
        <w:t> </w:t>
      </w:r>
      <w:r>
        <w:rPr>
          <w:rFonts w:ascii="Courier New"/>
          <w:sz w:val="28"/>
        </w:rPr>
        <w:t>Bhoomi</w:t>
      </w:r>
      <w:r>
        <w:rPr>
          <w:rFonts w:ascii="Courier New"/>
          <w:spacing w:val="-19"/>
          <w:sz w:val="28"/>
        </w:rPr>
        <w:t> </w:t>
      </w:r>
      <w:r>
        <w:rPr>
          <w:rFonts w:ascii="Courier New"/>
          <w:sz w:val="28"/>
        </w:rPr>
        <w:t>Temple</w:t>
      </w:r>
      <w:r>
        <w:rPr>
          <w:rFonts w:ascii="Courier New"/>
          <w:spacing w:val="-20"/>
          <w:sz w:val="28"/>
        </w:rPr>
        <w:t> </w:t>
      </w:r>
      <w:r>
        <w:rPr>
          <w:rFonts w:ascii="Courier New"/>
          <w:sz w:val="28"/>
        </w:rPr>
        <w:t>at</w:t>
      </w:r>
      <w:r>
        <w:rPr>
          <w:rFonts w:ascii="Courier New"/>
          <w:spacing w:val="-19"/>
          <w:sz w:val="28"/>
        </w:rPr>
        <w:t> </w:t>
      </w:r>
      <w:r>
        <w:rPr>
          <w:rFonts w:ascii="Courier New"/>
          <w:sz w:val="28"/>
        </w:rPr>
        <w:t>the</w:t>
      </w:r>
      <w:r>
        <w:rPr>
          <w:rFonts w:ascii="Courier New"/>
          <w:spacing w:val="-15"/>
          <w:sz w:val="28"/>
        </w:rPr>
        <w:t> </w:t>
      </w:r>
      <w:r>
        <w:rPr>
          <w:rFonts w:ascii="Courier New"/>
          <w:sz w:val="28"/>
        </w:rPr>
        <w:t>site of Babri Masjid at any time</w:t>
      </w:r>
      <w:r>
        <w:rPr>
          <w:rFonts w:ascii="Courier New"/>
          <w:spacing w:val="-14"/>
          <w:sz w:val="28"/>
        </w:rPr>
        <w:t> </w:t>
      </w:r>
      <w:r>
        <w:rPr>
          <w:rFonts w:ascii="Courier New"/>
          <w:sz w:val="28"/>
        </w:rPr>
        <w:t>whatsoever.</w:t>
      </w:r>
    </w:p>
    <w:p>
      <w:pPr>
        <w:spacing w:line="240" w:lineRule="auto" w:before="1"/>
        <w:ind w:left="1011" w:right="1245" w:firstLine="566"/>
        <w:jc w:val="both"/>
        <w:rPr>
          <w:rFonts w:ascii="Courier New"/>
          <w:sz w:val="28"/>
        </w:rPr>
      </w:pPr>
      <w:r>
        <w:rPr>
          <w:rFonts w:ascii="Courier New"/>
          <w:sz w:val="28"/>
        </w:rPr>
        <w:t>The</w:t>
      </w:r>
      <w:r>
        <w:rPr>
          <w:rFonts w:ascii="Courier New"/>
          <w:spacing w:val="-37"/>
          <w:sz w:val="28"/>
        </w:rPr>
        <w:t> </w:t>
      </w:r>
      <w:r>
        <w:rPr>
          <w:rFonts w:ascii="Courier New"/>
          <w:sz w:val="28"/>
        </w:rPr>
        <w:t>existence</w:t>
      </w:r>
      <w:r>
        <w:rPr>
          <w:rFonts w:ascii="Courier New"/>
          <w:spacing w:val="-36"/>
          <w:sz w:val="28"/>
        </w:rPr>
        <w:t> </w:t>
      </w:r>
      <w:r>
        <w:rPr>
          <w:rFonts w:ascii="Courier New"/>
          <w:sz w:val="28"/>
        </w:rPr>
        <w:t>of</w:t>
      </w:r>
      <w:r>
        <w:rPr>
          <w:rFonts w:ascii="Courier New"/>
          <w:spacing w:val="-37"/>
          <w:sz w:val="28"/>
        </w:rPr>
        <w:t> </w:t>
      </w:r>
      <w:r>
        <w:rPr>
          <w:rFonts w:ascii="Courier New"/>
          <w:sz w:val="28"/>
        </w:rPr>
        <w:t>Nirmohi</w:t>
      </w:r>
      <w:r>
        <w:rPr>
          <w:rFonts w:ascii="Courier New"/>
          <w:spacing w:val="-36"/>
          <w:sz w:val="28"/>
        </w:rPr>
        <w:t> </w:t>
      </w:r>
      <w:r>
        <w:rPr>
          <w:rFonts w:ascii="Courier New"/>
          <w:sz w:val="28"/>
        </w:rPr>
        <w:t>Akhara</w:t>
      </w:r>
      <w:r>
        <w:rPr>
          <w:rFonts w:ascii="Courier New"/>
          <w:spacing w:val="-36"/>
          <w:sz w:val="28"/>
        </w:rPr>
        <w:t> </w:t>
      </w:r>
      <w:r>
        <w:rPr>
          <w:rFonts w:ascii="Courier New"/>
          <w:sz w:val="28"/>
        </w:rPr>
        <w:t>from</w:t>
      </w:r>
      <w:r>
        <w:rPr>
          <w:rFonts w:ascii="Courier New"/>
          <w:spacing w:val="-37"/>
          <w:sz w:val="28"/>
        </w:rPr>
        <w:t> </w:t>
      </w:r>
      <w:r>
        <w:rPr>
          <w:rFonts w:ascii="Courier New"/>
          <w:sz w:val="28"/>
        </w:rPr>
        <w:t>the second half of Nineteenth Century onwards is also not disputed. It is, however, denied</w:t>
      </w:r>
      <w:r>
        <w:rPr>
          <w:rFonts w:ascii="Courier New"/>
          <w:spacing w:val="-27"/>
          <w:sz w:val="28"/>
        </w:rPr>
        <w:t> </w:t>
      </w:r>
      <w:r>
        <w:rPr>
          <w:rFonts w:ascii="Courier New"/>
          <w:sz w:val="28"/>
        </w:rPr>
        <w:t>and</w:t>
      </w:r>
      <w:r>
        <w:rPr>
          <w:rFonts w:ascii="Courier New"/>
          <w:spacing w:val="-26"/>
          <w:sz w:val="28"/>
        </w:rPr>
        <w:t> </w:t>
      </w:r>
      <w:r>
        <w:rPr>
          <w:rFonts w:ascii="Courier New"/>
          <w:sz w:val="28"/>
        </w:rPr>
        <w:t>disputed</w:t>
      </w:r>
      <w:r>
        <w:rPr>
          <w:rFonts w:ascii="Courier New"/>
          <w:spacing w:val="-26"/>
          <w:sz w:val="28"/>
        </w:rPr>
        <w:t> </w:t>
      </w:r>
      <w:r>
        <w:rPr>
          <w:rFonts w:ascii="Courier New"/>
          <w:sz w:val="28"/>
        </w:rPr>
        <w:t>that</w:t>
      </w:r>
      <w:r>
        <w:rPr>
          <w:rFonts w:ascii="Courier New"/>
          <w:spacing w:val="-26"/>
          <w:sz w:val="28"/>
        </w:rPr>
        <w:t> </w:t>
      </w:r>
      <w:r>
        <w:rPr>
          <w:rFonts w:ascii="Courier New"/>
          <w:sz w:val="28"/>
        </w:rPr>
        <w:t>Nirmohi</w:t>
      </w:r>
      <w:r>
        <w:rPr>
          <w:rFonts w:ascii="Courier New"/>
          <w:spacing w:val="-26"/>
          <w:sz w:val="28"/>
        </w:rPr>
        <w:t> </w:t>
      </w:r>
      <w:r>
        <w:rPr>
          <w:rFonts w:ascii="Courier New"/>
          <w:sz w:val="28"/>
        </w:rPr>
        <w:t>Akhara</w:t>
      </w:r>
      <w:r>
        <w:rPr>
          <w:rFonts w:ascii="Courier New"/>
          <w:spacing w:val="-26"/>
          <w:sz w:val="28"/>
        </w:rPr>
        <w:t> </w:t>
      </w:r>
      <w:r>
        <w:rPr>
          <w:rFonts w:ascii="Courier New"/>
          <w:sz w:val="28"/>
        </w:rPr>
        <w:t>was in existence and specially in Ayodhya in 16</w:t>
      </w:r>
      <w:r>
        <w:rPr>
          <w:rFonts w:ascii="Courier New"/>
          <w:position w:val="8"/>
          <w:sz w:val="18"/>
        </w:rPr>
        <w:t>th </w:t>
      </w:r>
      <w:r>
        <w:rPr>
          <w:rFonts w:ascii="Courier New"/>
          <w:sz w:val="28"/>
        </w:rPr>
        <w:t>Century A.D. or in 1528 A.D. and it is also denied that any idols were there in the building of the Babri Masjid up to</w:t>
      </w:r>
      <w:r>
        <w:rPr>
          <w:rFonts w:ascii="Courier New"/>
          <w:spacing w:val="-29"/>
          <w:sz w:val="28"/>
        </w:rPr>
        <w:t> </w:t>
      </w:r>
      <w:r>
        <w:rPr>
          <w:rFonts w:ascii="Courier New"/>
          <w:sz w:val="28"/>
        </w:rPr>
        <w:t>22</w:t>
      </w:r>
      <w:r>
        <w:rPr>
          <w:rFonts w:ascii="Courier New"/>
          <w:position w:val="8"/>
          <w:sz w:val="18"/>
        </w:rPr>
        <w:t>nd </w:t>
      </w:r>
      <w:r>
        <w:rPr>
          <w:rFonts w:ascii="Courier New"/>
          <w:sz w:val="28"/>
        </w:rPr>
        <w:t>December,</w:t>
      </w:r>
      <w:r>
        <w:rPr>
          <w:rFonts w:ascii="Courier New"/>
          <w:spacing w:val="-2"/>
          <w:sz w:val="28"/>
        </w:rPr>
        <w:t> </w:t>
      </w:r>
      <w:r>
        <w:rPr>
          <w:rFonts w:ascii="Courier New"/>
          <w:sz w:val="28"/>
        </w:rPr>
        <w:t>1949.</w:t>
      </w:r>
    </w:p>
    <w:p>
      <w:pPr>
        <w:spacing w:line="316" w:lineRule="exact" w:before="0"/>
        <w:ind w:left="0" w:right="1244" w:firstLine="0"/>
        <w:jc w:val="right"/>
        <w:rPr>
          <w:rFonts w:ascii="Courier New"/>
          <w:sz w:val="28"/>
        </w:rPr>
      </w:pPr>
      <w:r>
        <w:rPr>
          <w:rFonts w:ascii="Courier New"/>
          <w:spacing w:val="-1"/>
          <w:sz w:val="28"/>
        </w:rPr>
        <w:t>Sd/-</w:t>
      </w:r>
    </w:p>
    <w:p>
      <w:pPr>
        <w:spacing w:line="317" w:lineRule="exact" w:before="2"/>
        <w:ind w:left="0" w:right="1246" w:firstLine="0"/>
        <w:jc w:val="right"/>
        <w:rPr>
          <w:rFonts w:ascii="Courier New"/>
          <w:sz w:val="28"/>
        </w:rPr>
      </w:pPr>
      <w:r>
        <w:rPr>
          <w:rFonts w:ascii="Courier New"/>
          <w:sz w:val="28"/>
        </w:rPr>
        <w:t>S. Irfan Ahmad,</w:t>
      </w:r>
      <w:r>
        <w:rPr>
          <w:rFonts w:ascii="Courier New"/>
          <w:spacing w:val="-10"/>
          <w:sz w:val="28"/>
        </w:rPr>
        <w:t> </w:t>
      </w:r>
      <w:r>
        <w:rPr>
          <w:rFonts w:ascii="Courier New"/>
          <w:sz w:val="28"/>
        </w:rPr>
        <w:t>Adv.</w:t>
      </w:r>
    </w:p>
    <w:p>
      <w:pPr>
        <w:spacing w:line="317" w:lineRule="exact" w:before="0"/>
        <w:ind w:left="0" w:right="1246" w:firstLine="0"/>
        <w:jc w:val="right"/>
        <w:rPr>
          <w:rFonts w:ascii="Courier New" w:hAnsi="Courier New"/>
          <w:sz w:val="28"/>
        </w:rPr>
      </w:pPr>
      <w:r>
        <w:rPr>
          <w:rFonts w:ascii="Courier New" w:hAnsi="Courier New"/>
          <w:spacing w:val="-2"/>
          <w:sz w:val="28"/>
        </w:rPr>
        <w:t>22.04.2009”</w:t>
      </w:r>
    </w:p>
    <w:p>
      <w:pPr>
        <w:pStyle w:val="BodyText"/>
        <w:rPr>
          <w:rFonts w:ascii="Courier New"/>
          <w:sz w:val="32"/>
        </w:rPr>
      </w:pPr>
    </w:p>
    <w:p>
      <w:pPr>
        <w:pStyle w:val="BodyText"/>
        <w:rPr>
          <w:rFonts w:ascii="Courier New"/>
          <w:sz w:val="32"/>
        </w:rPr>
      </w:pPr>
    </w:p>
    <w:p>
      <w:pPr>
        <w:pStyle w:val="BodyText"/>
        <w:rPr>
          <w:rFonts w:ascii="Courier New"/>
          <w:sz w:val="32"/>
        </w:rPr>
      </w:pPr>
    </w:p>
    <w:p>
      <w:pPr>
        <w:pStyle w:val="ListParagraph"/>
        <w:numPr>
          <w:ilvl w:val="0"/>
          <w:numId w:val="253"/>
        </w:numPr>
        <w:tabs>
          <w:tab w:pos="825" w:val="left" w:leader="none"/>
        </w:tabs>
        <w:spacing w:line="480" w:lineRule="auto" w:before="181" w:after="0"/>
        <w:ind w:left="159" w:right="182" w:firstLine="0"/>
        <w:jc w:val="both"/>
        <w:rPr>
          <w:rFonts w:ascii="Courier New"/>
          <w:sz w:val="28"/>
        </w:rPr>
      </w:pPr>
      <w:r>
        <w:rPr>
          <w:rFonts w:ascii="Courier New"/>
          <w:sz w:val="28"/>
        </w:rPr>
        <w:t>The stand of plaintiff of Suit No.4 with regard</w:t>
      </w:r>
      <w:r>
        <w:rPr>
          <w:rFonts w:ascii="Courier New"/>
          <w:spacing w:val="-82"/>
          <w:sz w:val="28"/>
        </w:rPr>
        <w:t> </w:t>
      </w:r>
      <w:r>
        <w:rPr>
          <w:rFonts w:ascii="Courier New"/>
          <w:sz w:val="28"/>
        </w:rPr>
        <w:t>to faith and belief of Hindus regarding birth of Lord</w:t>
      </w:r>
      <w:r>
        <w:rPr>
          <w:rFonts w:ascii="Courier New"/>
          <w:spacing w:val="-88"/>
          <w:sz w:val="28"/>
        </w:rPr>
        <w:t> </w:t>
      </w:r>
      <w:r>
        <w:rPr>
          <w:rFonts w:ascii="Courier New"/>
          <w:sz w:val="28"/>
        </w:rPr>
        <w:t>Ram at Ayodhya having been made clear and it having been accepted that there is no dispute about the faith of Hindu devotees that Lord Ram was born at Ayodhya, our consideration is confined to only a limited</w:t>
      </w:r>
      <w:r>
        <w:rPr>
          <w:rFonts w:ascii="Courier New"/>
          <w:spacing w:val="-96"/>
          <w:sz w:val="28"/>
        </w:rPr>
        <w:t> </w:t>
      </w:r>
      <w:r>
        <w:rPr>
          <w:rFonts w:ascii="Courier New"/>
          <w:sz w:val="28"/>
        </w:rPr>
        <w:t>submission as to whether site of disputed structure where Babri Masjid was constructed is the place of birth of Lord Ram or not. It will be necessary to consider the evidence led by the parties in respect of above</w:t>
      </w:r>
      <w:r>
        <w:rPr>
          <w:rFonts w:ascii="Courier New"/>
          <w:spacing w:val="-88"/>
          <w:sz w:val="28"/>
        </w:rPr>
        <w:t> </w:t>
      </w:r>
      <w:r>
        <w:rPr>
          <w:rFonts w:ascii="Courier New"/>
          <w:sz w:val="28"/>
        </w:rPr>
        <w:t>aspect only.</w:t>
      </w:r>
    </w:p>
    <w:p>
      <w:pPr>
        <w:spacing w:after="0" w:line="480" w:lineRule="auto"/>
        <w:jc w:val="both"/>
        <w:rPr>
          <w:rFonts w:ascii="Courier New"/>
          <w:sz w:val="28"/>
        </w:rPr>
        <w:sectPr>
          <w:headerReference w:type="default" r:id="rId266"/>
          <w:footerReference w:type="default" r:id="rId267"/>
          <w:pgSz w:w="11910" w:h="16840"/>
          <w:pgMar w:header="1439" w:footer="1063" w:top="1740" w:bottom="1260" w:left="1280" w:right="1280"/>
          <w:pgNumType w:start="29"/>
        </w:sectPr>
      </w:pPr>
    </w:p>
    <w:p>
      <w:pPr>
        <w:spacing w:before="163"/>
        <w:ind w:left="160" w:right="0" w:firstLine="0"/>
        <w:jc w:val="both"/>
        <w:rPr>
          <w:rFonts w:ascii="Courier New"/>
          <w:b/>
          <w:sz w:val="28"/>
        </w:rPr>
      </w:pPr>
      <w:r>
        <w:rPr>
          <w:rFonts w:ascii="Courier New"/>
          <w:b/>
          <w:sz w:val="28"/>
          <w:u w:val="thick"/>
        </w:rPr>
        <w:t>Period earlier to 1528 A.D.</w:t>
      </w:r>
    </w:p>
    <w:p>
      <w:pPr>
        <w:pStyle w:val="BodyText"/>
        <w:spacing w:before="10"/>
        <w:rPr>
          <w:rFonts w:ascii="Courier New"/>
          <w:b/>
          <w:sz w:val="27"/>
        </w:rPr>
      </w:pPr>
    </w:p>
    <w:p>
      <w:pPr>
        <w:pStyle w:val="ListParagraph"/>
        <w:numPr>
          <w:ilvl w:val="0"/>
          <w:numId w:val="253"/>
        </w:numPr>
        <w:tabs>
          <w:tab w:pos="1036" w:val="left" w:leader="none"/>
        </w:tabs>
        <w:spacing w:line="480" w:lineRule="auto" w:before="0" w:after="0"/>
        <w:ind w:left="160" w:right="160" w:firstLine="0"/>
        <w:jc w:val="both"/>
        <w:rPr>
          <w:rFonts w:ascii="Courier New"/>
          <w:sz w:val="28"/>
        </w:rPr>
      </w:pPr>
      <w:r>
        <w:rPr>
          <w:rFonts w:ascii="Courier New"/>
          <w:sz w:val="28"/>
        </w:rPr>
        <w:t>Religious faith of a person is formed on traditions, religious scriptures and practices. Constitution Bench of this Court speaking through Justice B.K. Mukherjea in </w:t>
      </w:r>
      <w:r>
        <w:rPr>
          <w:rFonts w:ascii="Courier New"/>
          <w:b/>
          <w:sz w:val="28"/>
        </w:rPr>
        <w:t>The Commissioner, Hindu Religious Endowments, Madras Vs. Sri Lakshmindra Thirtha Swamiar of Sri Shirur Mutt, AIR 1954 SC 282 </w:t>
      </w:r>
      <w:r>
        <w:rPr>
          <w:rFonts w:ascii="Courier New"/>
          <w:sz w:val="28"/>
        </w:rPr>
        <w:t>held that religion is certainly a matter of faith</w:t>
      </w:r>
      <w:r>
        <w:rPr>
          <w:rFonts w:ascii="Courier New"/>
          <w:spacing w:val="-70"/>
          <w:sz w:val="28"/>
        </w:rPr>
        <w:t> </w:t>
      </w:r>
      <w:r>
        <w:rPr>
          <w:rFonts w:ascii="Courier New"/>
          <w:sz w:val="28"/>
        </w:rPr>
        <w:t>with individuals or communities, in paragraph 17,</w:t>
      </w:r>
      <w:r>
        <w:rPr>
          <w:rFonts w:ascii="Courier New"/>
          <w:spacing w:val="-68"/>
          <w:sz w:val="28"/>
        </w:rPr>
        <w:t> </w:t>
      </w:r>
      <w:r>
        <w:rPr>
          <w:rFonts w:ascii="Courier New"/>
          <w:sz w:val="28"/>
        </w:rPr>
        <w:t>following has been</w:t>
      </w:r>
      <w:r>
        <w:rPr>
          <w:rFonts w:ascii="Courier New"/>
          <w:spacing w:val="-3"/>
          <w:sz w:val="28"/>
        </w:rPr>
        <w:t> </w:t>
      </w:r>
      <w:r>
        <w:rPr>
          <w:rFonts w:ascii="Courier New"/>
          <w:sz w:val="28"/>
        </w:rPr>
        <w:t>observed:-</w:t>
      </w:r>
    </w:p>
    <w:p>
      <w:pPr>
        <w:pStyle w:val="Heading2"/>
        <w:spacing w:before="41"/>
        <w:ind w:left="1011"/>
        <w:jc w:val="left"/>
      </w:pPr>
      <w:r>
        <w:rPr/>
        <w:t>“17. XXXXXXXXXXXXXXX</w:t>
      </w:r>
    </w:p>
    <w:p>
      <w:pPr>
        <w:pStyle w:val="BodyText"/>
        <w:spacing w:before="2"/>
        <w:rPr>
          <w:rFonts w:ascii="Courier New"/>
          <w:sz w:val="35"/>
        </w:rPr>
      </w:pPr>
    </w:p>
    <w:p>
      <w:pPr>
        <w:spacing w:line="240" w:lineRule="auto" w:before="0"/>
        <w:ind w:left="1011" w:right="1245" w:firstLine="588"/>
        <w:jc w:val="both"/>
        <w:rPr>
          <w:rFonts w:ascii="Courier New" w:hAnsi="Courier New"/>
          <w:sz w:val="28"/>
        </w:rPr>
      </w:pPr>
      <w:r>
        <w:rPr>
          <w:rFonts w:ascii="Courier New" w:hAnsi="Courier New"/>
          <w:sz w:val="28"/>
        </w:rPr>
        <w:t>Religion is certainly a matter of</w:t>
      </w:r>
      <w:r>
        <w:rPr>
          <w:rFonts w:ascii="Courier New" w:hAnsi="Courier New"/>
          <w:spacing w:val="-74"/>
          <w:sz w:val="28"/>
        </w:rPr>
        <w:t> </w:t>
      </w:r>
      <w:r>
        <w:rPr>
          <w:rFonts w:ascii="Courier New" w:hAnsi="Courier New"/>
          <w:sz w:val="28"/>
        </w:rPr>
        <w:t>faith with individuals or communities and it is not necessarily theistic. There are well known religions in India like Buddhism and Jainism which do not believe in God or in any Intelligent First Cause. A religion undoubtedly has its basis in a system of beliefs or doctrines which are regarded by those who profess that religion as conducive to their spiritual well being, but it would not be correct to say that religion is nothing else but a doctrine or belief. A religion may not only lay down a code of ethical rules for its followers to accept, it might prescribe rituals and observances, ceremonies and modes of worship which are regarded as integral parts of religion, and these forms and observances</w:t>
      </w:r>
      <w:r>
        <w:rPr>
          <w:rFonts w:ascii="Courier New" w:hAnsi="Courier New"/>
          <w:spacing w:val="-26"/>
          <w:sz w:val="28"/>
        </w:rPr>
        <w:t> </w:t>
      </w:r>
      <w:r>
        <w:rPr>
          <w:rFonts w:ascii="Courier New" w:hAnsi="Courier New"/>
          <w:sz w:val="28"/>
        </w:rPr>
        <w:t>might</w:t>
      </w:r>
      <w:r>
        <w:rPr>
          <w:rFonts w:ascii="Courier New" w:hAnsi="Courier New"/>
          <w:spacing w:val="-26"/>
          <w:sz w:val="28"/>
        </w:rPr>
        <w:t> </w:t>
      </w:r>
      <w:r>
        <w:rPr>
          <w:rFonts w:ascii="Courier New" w:hAnsi="Courier New"/>
          <w:sz w:val="28"/>
        </w:rPr>
        <w:t>extend</w:t>
      </w:r>
      <w:r>
        <w:rPr>
          <w:rFonts w:ascii="Courier New" w:hAnsi="Courier New"/>
          <w:spacing w:val="-25"/>
          <w:sz w:val="28"/>
        </w:rPr>
        <w:t> </w:t>
      </w:r>
      <w:r>
        <w:rPr>
          <w:rFonts w:ascii="Courier New" w:hAnsi="Courier New"/>
          <w:sz w:val="28"/>
        </w:rPr>
        <w:t>even</w:t>
      </w:r>
      <w:r>
        <w:rPr>
          <w:rFonts w:ascii="Courier New" w:hAnsi="Courier New"/>
          <w:spacing w:val="-26"/>
          <w:sz w:val="28"/>
        </w:rPr>
        <w:t> </w:t>
      </w:r>
      <w:r>
        <w:rPr>
          <w:rFonts w:ascii="Courier New" w:hAnsi="Courier New"/>
          <w:sz w:val="28"/>
        </w:rPr>
        <w:t>to</w:t>
      </w:r>
      <w:r>
        <w:rPr>
          <w:rFonts w:ascii="Courier New" w:hAnsi="Courier New"/>
          <w:spacing w:val="-26"/>
          <w:sz w:val="28"/>
        </w:rPr>
        <w:t> </w:t>
      </w:r>
      <w:r>
        <w:rPr>
          <w:rFonts w:ascii="Courier New" w:hAnsi="Courier New"/>
          <w:sz w:val="28"/>
        </w:rPr>
        <w:t>matters</w:t>
      </w:r>
      <w:r>
        <w:rPr>
          <w:rFonts w:ascii="Courier New" w:hAnsi="Courier New"/>
          <w:spacing w:val="-25"/>
          <w:sz w:val="28"/>
        </w:rPr>
        <w:t> </w:t>
      </w:r>
      <w:r>
        <w:rPr>
          <w:rFonts w:ascii="Courier New" w:hAnsi="Courier New"/>
          <w:sz w:val="28"/>
        </w:rPr>
        <w:t>of food and</w:t>
      </w:r>
      <w:r>
        <w:rPr>
          <w:rFonts w:ascii="Courier New" w:hAnsi="Courier New"/>
          <w:spacing w:val="-3"/>
          <w:sz w:val="28"/>
        </w:rPr>
        <w:t> </w:t>
      </w:r>
      <w:r>
        <w:rPr>
          <w:rFonts w:ascii="Courier New" w:hAnsi="Courier New"/>
          <w:sz w:val="28"/>
        </w:rPr>
        <w:t>dress.”</w:t>
      </w:r>
    </w:p>
    <w:p>
      <w:pPr>
        <w:spacing w:after="0" w:line="240" w:lineRule="auto"/>
        <w:jc w:val="both"/>
        <w:rPr>
          <w:rFonts w:ascii="Courier New" w:hAnsi="Courier New"/>
          <w:sz w:val="28"/>
        </w:rPr>
        <w:sectPr>
          <w:headerReference w:type="default" r:id="rId268"/>
          <w:footerReference w:type="default" r:id="rId269"/>
          <w:pgSz w:w="11910" w:h="16840"/>
          <w:pgMar w:header="0" w:footer="1063" w:top="1580" w:bottom="1260" w:left="1280" w:right="1280"/>
          <w:pgNumType w:start="30"/>
        </w:sectPr>
      </w:pPr>
    </w:p>
    <w:p>
      <w:pPr>
        <w:pStyle w:val="BodyText"/>
        <w:rPr>
          <w:rFonts w:ascii="Courier New"/>
          <w:sz w:val="20"/>
        </w:rPr>
      </w:pPr>
    </w:p>
    <w:p>
      <w:pPr>
        <w:pStyle w:val="BodyText"/>
        <w:rPr>
          <w:rFonts w:ascii="Courier New"/>
          <w:sz w:val="17"/>
        </w:rPr>
      </w:pPr>
    </w:p>
    <w:p>
      <w:pPr>
        <w:pStyle w:val="ListParagraph"/>
        <w:numPr>
          <w:ilvl w:val="0"/>
          <w:numId w:val="253"/>
        </w:numPr>
        <w:tabs>
          <w:tab w:pos="921" w:val="left" w:leader="none"/>
        </w:tabs>
        <w:spacing w:line="480" w:lineRule="auto" w:before="101" w:after="0"/>
        <w:ind w:left="160" w:right="156" w:firstLine="0"/>
        <w:jc w:val="both"/>
        <w:rPr>
          <w:rFonts w:ascii="Courier New" w:hAnsi="Courier New"/>
          <w:sz w:val="28"/>
        </w:rPr>
      </w:pPr>
      <w:r>
        <w:rPr>
          <w:rFonts w:ascii="Courier New" w:hAnsi="Courier New"/>
          <w:sz w:val="28"/>
        </w:rPr>
        <w:t>Religious scriptures, which are main source of Hinduism are the foundation on which faith of Hindus is concretised. The epic Valmiki Ramayana is the main source of knowledge of Lord Ram and his deeds. The composition of Valmiki Ramayana dates back in the period Before Christ (BC). The Valmiki Ramayana is of period earlier to Mahabharata and Srimad Bhagwadgita. The period in which Valmiki Ramayana was composed is much prior to beginning of Christian era. For the purposes of this case, it is sufficient to notice the statement</w:t>
      </w:r>
      <w:r>
        <w:rPr>
          <w:rFonts w:ascii="Courier New" w:hAnsi="Courier New"/>
          <w:spacing w:val="-34"/>
          <w:sz w:val="28"/>
        </w:rPr>
        <w:t> </w:t>
      </w:r>
      <w:r>
        <w:rPr>
          <w:rFonts w:ascii="Courier New" w:hAnsi="Courier New"/>
          <w:sz w:val="28"/>
        </w:rPr>
        <w:t>of</w:t>
      </w:r>
      <w:r>
        <w:rPr>
          <w:rFonts w:ascii="Courier New" w:hAnsi="Courier New"/>
          <w:spacing w:val="-34"/>
          <w:sz w:val="28"/>
        </w:rPr>
        <w:t> </w:t>
      </w:r>
      <w:r>
        <w:rPr>
          <w:rFonts w:ascii="Courier New" w:hAnsi="Courier New"/>
          <w:sz w:val="28"/>
        </w:rPr>
        <w:t>Suvira</w:t>
      </w:r>
      <w:r>
        <w:rPr>
          <w:rFonts w:ascii="Courier New" w:hAnsi="Courier New"/>
          <w:spacing w:val="-34"/>
          <w:sz w:val="28"/>
        </w:rPr>
        <w:t> </w:t>
      </w:r>
      <w:r>
        <w:rPr>
          <w:rFonts w:ascii="Courier New" w:hAnsi="Courier New"/>
          <w:sz w:val="28"/>
        </w:rPr>
        <w:t>Jaiswal</w:t>
      </w:r>
      <w:r>
        <w:rPr>
          <w:rFonts w:ascii="Courier New" w:hAnsi="Courier New"/>
          <w:spacing w:val="-32"/>
          <w:sz w:val="28"/>
        </w:rPr>
        <w:t> </w:t>
      </w:r>
      <w:r>
        <w:rPr>
          <w:rFonts w:ascii="Courier New" w:hAnsi="Courier New"/>
          <w:sz w:val="28"/>
        </w:rPr>
        <w:t>(PW-18),</w:t>
      </w:r>
      <w:r>
        <w:rPr>
          <w:rFonts w:ascii="Courier New" w:hAnsi="Courier New"/>
          <w:spacing w:val="-34"/>
          <w:sz w:val="28"/>
        </w:rPr>
        <w:t> </w:t>
      </w:r>
      <w:r>
        <w:rPr>
          <w:rFonts w:ascii="Courier New" w:hAnsi="Courier New"/>
          <w:sz w:val="28"/>
        </w:rPr>
        <w:t>a</w:t>
      </w:r>
      <w:r>
        <w:rPr>
          <w:rFonts w:ascii="Courier New" w:hAnsi="Courier New"/>
          <w:spacing w:val="-34"/>
          <w:sz w:val="28"/>
        </w:rPr>
        <w:t> </w:t>
      </w:r>
      <w:r>
        <w:rPr>
          <w:rFonts w:ascii="Courier New" w:hAnsi="Courier New"/>
          <w:sz w:val="28"/>
        </w:rPr>
        <w:t>witness</w:t>
      </w:r>
      <w:r>
        <w:rPr>
          <w:rFonts w:ascii="Courier New" w:hAnsi="Courier New"/>
          <w:spacing w:val="-33"/>
          <w:sz w:val="28"/>
        </w:rPr>
        <w:t> </w:t>
      </w:r>
      <w:r>
        <w:rPr>
          <w:rFonts w:ascii="Courier New" w:hAnsi="Courier New"/>
          <w:sz w:val="28"/>
        </w:rPr>
        <w:t>produced by plaintiff of Suit No.4 as historian. She in her statement states “the period of Valmiki Ramayana is recorded as 300 BC - 200 BC”. Various scholars and others date the Valmiki Ramayana to much older period but it is not necessary to dwell in the said question since for our purpose, it is sufficient that Valmiki Ramayana was composed in an era Before</w:t>
      </w:r>
      <w:r>
        <w:rPr>
          <w:rFonts w:ascii="Courier New" w:hAnsi="Courier New"/>
          <w:spacing w:val="-14"/>
          <w:sz w:val="28"/>
        </w:rPr>
        <w:t> </w:t>
      </w:r>
      <w:r>
        <w:rPr>
          <w:rFonts w:ascii="Courier New" w:hAnsi="Courier New"/>
          <w:sz w:val="28"/>
        </w:rPr>
        <w:t>Christ.</w:t>
      </w:r>
    </w:p>
    <w:p>
      <w:pPr>
        <w:pStyle w:val="BodyText"/>
        <w:spacing w:before="10"/>
        <w:rPr>
          <w:rFonts w:ascii="Courier New"/>
          <w:sz w:val="27"/>
        </w:rPr>
      </w:pPr>
    </w:p>
    <w:p>
      <w:pPr>
        <w:pStyle w:val="ListParagraph"/>
        <w:numPr>
          <w:ilvl w:val="0"/>
          <w:numId w:val="253"/>
        </w:numPr>
        <w:tabs>
          <w:tab w:pos="873" w:val="left" w:leader="none"/>
        </w:tabs>
        <w:spacing w:line="480" w:lineRule="auto" w:before="0" w:after="0"/>
        <w:ind w:left="160" w:right="160" w:firstLine="0"/>
        <w:jc w:val="both"/>
        <w:rPr>
          <w:rFonts w:ascii="Courier New"/>
          <w:sz w:val="28"/>
        </w:rPr>
      </w:pPr>
      <w:r>
        <w:rPr>
          <w:rFonts w:ascii="Courier New"/>
          <w:sz w:val="28"/>
        </w:rPr>
        <w:t>Valmiki Ramayan, Balakand, Canto XVIII Shlokas 8 to 12 refers to birth of Lord Ram with</w:t>
      </w:r>
      <w:r>
        <w:rPr>
          <w:rFonts w:ascii="Courier New"/>
          <w:spacing w:val="-64"/>
          <w:sz w:val="28"/>
        </w:rPr>
        <w:t> </w:t>
      </w:r>
      <w:r>
        <w:rPr>
          <w:rFonts w:ascii="Courier New"/>
          <w:sz w:val="28"/>
        </w:rPr>
        <w:t>planetary</w:t>
      </w:r>
    </w:p>
    <w:p>
      <w:pPr>
        <w:spacing w:after="0" w:line="480" w:lineRule="auto"/>
        <w:jc w:val="both"/>
        <w:rPr>
          <w:rFonts w:ascii="Courier New"/>
          <w:sz w:val="28"/>
        </w:rPr>
        <w:sectPr>
          <w:headerReference w:type="default" r:id="rId270"/>
          <w:footerReference w:type="default" r:id="rId271"/>
          <w:pgSz w:w="11910" w:h="16840"/>
          <w:pgMar w:header="0" w:footer="1063" w:top="1580" w:bottom="1260" w:left="1280" w:right="1280"/>
          <w:pgNumType w:start="31"/>
        </w:sectPr>
      </w:pPr>
    </w:p>
    <w:p>
      <w:pPr>
        <w:spacing w:line="480" w:lineRule="auto" w:before="86"/>
        <w:ind w:left="160" w:right="158" w:firstLine="0"/>
        <w:jc w:val="both"/>
        <w:rPr>
          <w:rFonts w:ascii="Courier New" w:hAnsi="Courier New"/>
          <w:sz w:val="28"/>
        </w:rPr>
      </w:pPr>
      <w:r>
        <w:rPr>
          <w:rFonts w:ascii="Courier New" w:hAnsi="Courier New"/>
          <w:sz w:val="28"/>
        </w:rPr>
        <w:t>situation. The above Shlokas depict that Lord of the Universe, </w:t>
      </w:r>
      <w:r>
        <w:rPr>
          <w:rFonts w:ascii="Courier New" w:hAnsi="Courier New"/>
          <w:b/>
          <w:sz w:val="28"/>
        </w:rPr>
        <w:t>“Vishnu” </w:t>
      </w:r>
      <w:r>
        <w:rPr>
          <w:rFonts w:ascii="Courier New" w:hAnsi="Courier New"/>
          <w:sz w:val="28"/>
        </w:rPr>
        <w:t>was born as son of Kaushalya. Valmiki Ramayana contains ample description of birth of</w:t>
      </w:r>
      <w:r>
        <w:rPr>
          <w:rFonts w:ascii="Courier New" w:hAnsi="Courier New"/>
          <w:spacing w:val="-42"/>
          <w:sz w:val="28"/>
        </w:rPr>
        <w:t> </w:t>
      </w:r>
      <w:r>
        <w:rPr>
          <w:rFonts w:ascii="Courier New" w:hAnsi="Courier New"/>
          <w:sz w:val="28"/>
        </w:rPr>
        <w:t>Lord</w:t>
      </w:r>
      <w:r>
        <w:rPr>
          <w:rFonts w:ascii="Courier New" w:hAnsi="Courier New"/>
          <w:spacing w:val="-41"/>
          <w:sz w:val="28"/>
        </w:rPr>
        <w:t> </w:t>
      </w:r>
      <w:r>
        <w:rPr>
          <w:rFonts w:ascii="Courier New" w:hAnsi="Courier New"/>
          <w:sz w:val="28"/>
        </w:rPr>
        <w:t>Ram</w:t>
      </w:r>
      <w:r>
        <w:rPr>
          <w:rFonts w:ascii="Courier New" w:hAnsi="Courier New"/>
          <w:spacing w:val="-42"/>
          <w:sz w:val="28"/>
        </w:rPr>
        <w:t> </w:t>
      </w:r>
      <w:r>
        <w:rPr>
          <w:rFonts w:ascii="Courier New" w:hAnsi="Courier New"/>
          <w:sz w:val="28"/>
        </w:rPr>
        <w:t>as</w:t>
      </w:r>
      <w:r>
        <w:rPr>
          <w:rFonts w:ascii="Courier New" w:hAnsi="Courier New"/>
          <w:spacing w:val="-38"/>
          <w:sz w:val="28"/>
        </w:rPr>
        <w:t> </w:t>
      </w:r>
      <w:r>
        <w:rPr>
          <w:rFonts w:ascii="Courier New" w:hAnsi="Courier New"/>
          <w:sz w:val="28"/>
        </w:rPr>
        <w:t>incarnation</w:t>
      </w:r>
      <w:r>
        <w:rPr>
          <w:rFonts w:ascii="Courier New" w:hAnsi="Courier New"/>
          <w:spacing w:val="-41"/>
          <w:sz w:val="28"/>
        </w:rPr>
        <w:t> </w:t>
      </w:r>
      <w:r>
        <w:rPr>
          <w:rFonts w:ascii="Courier New" w:hAnsi="Courier New"/>
          <w:sz w:val="28"/>
        </w:rPr>
        <w:t>of</w:t>
      </w:r>
      <w:r>
        <w:rPr>
          <w:rFonts w:ascii="Courier New" w:hAnsi="Courier New"/>
          <w:spacing w:val="-38"/>
          <w:sz w:val="28"/>
        </w:rPr>
        <w:t> </w:t>
      </w:r>
      <w:r>
        <w:rPr>
          <w:rFonts w:ascii="Courier New" w:hAnsi="Courier New"/>
          <w:sz w:val="28"/>
        </w:rPr>
        <w:t>Vishnu,</w:t>
      </w:r>
      <w:r>
        <w:rPr>
          <w:rFonts w:ascii="Courier New" w:hAnsi="Courier New"/>
          <w:spacing w:val="-42"/>
          <w:sz w:val="28"/>
        </w:rPr>
        <w:t> </w:t>
      </w:r>
      <w:r>
        <w:rPr>
          <w:rFonts w:ascii="Courier New" w:hAnsi="Courier New"/>
          <w:sz w:val="28"/>
        </w:rPr>
        <w:t>as</w:t>
      </w:r>
      <w:r>
        <w:rPr>
          <w:rFonts w:ascii="Courier New" w:hAnsi="Courier New"/>
          <w:spacing w:val="-41"/>
          <w:sz w:val="28"/>
        </w:rPr>
        <w:t> </w:t>
      </w:r>
      <w:r>
        <w:rPr>
          <w:rFonts w:ascii="Courier New" w:hAnsi="Courier New"/>
          <w:sz w:val="28"/>
        </w:rPr>
        <w:t>son</w:t>
      </w:r>
      <w:r>
        <w:rPr>
          <w:rFonts w:ascii="Courier New" w:hAnsi="Courier New"/>
          <w:spacing w:val="-39"/>
          <w:sz w:val="28"/>
        </w:rPr>
        <w:t> </w:t>
      </w:r>
      <w:r>
        <w:rPr>
          <w:rFonts w:ascii="Courier New" w:hAnsi="Courier New"/>
          <w:sz w:val="28"/>
        </w:rPr>
        <w:t>of</w:t>
      </w:r>
      <w:r>
        <w:rPr>
          <w:rFonts w:ascii="Courier New" w:hAnsi="Courier New"/>
          <w:spacing w:val="-41"/>
          <w:sz w:val="28"/>
        </w:rPr>
        <w:t> </w:t>
      </w:r>
      <w:r>
        <w:rPr>
          <w:rFonts w:ascii="Courier New" w:hAnsi="Courier New"/>
          <w:sz w:val="28"/>
        </w:rPr>
        <w:t>Dasratha and Kaushalya at Ayodhya. Shlok 10 tells about birth of Lord Ram as son of Kaushalya, which is extracted</w:t>
      </w:r>
      <w:r>
        <w:rPr>
          <w:rFonts w:ascii="Courier New" w:hAnsi="Courier New"/>
          <w:spacing w:val="-66"/>
          <w:sz w:val="28"/>
        </w:rPr>
        <w:t> </w:t>
      </w:r>
      <w:r>
        <w:rPr>
          <w:rFonts w:ascii="Courier New" w:hAnsi="Courier New"/>
          <w:sz w:val="28"/>
        </w:rPr>
        <w:t>as below:-</w:t>
      </w:r>
    </w:p>
    <w:p>
      <w:pPr>
        <w:tabs>
          <w:tab w:pos="3654" w:val="left" w:leader="none"/>
        </w:tabs>
        <w:spacing w:line="273" w:lineRule="auto" w:before="45"/>
        <w:ind w:left="1861" w:right="3078" w:firstLine="0"/>
        <w:jc w:val="left"/>
        <w:rPr>
          <w:rFonts w:ascii="Nirmala UI" w:hAnsi="Nirmala UI" w:cs="Nirmala UI" w:eastAsia="Nirmala UI"/>
          <w:sz w:val="28"/>
          <w:szCs w:val="28"/>
        </w:rPr>
      </w:pPr>
      <w:r>
        <w:rPr>
          <w:rFonts w:ascii="Nirmala UI" w:hAnsi="Nirmala UI" w:cs="Nirmala UI" w:eastAsia="Nirmala UI"/>
          <w:w w:val="55"/>
          <w:sz w:val="28"/>
          <w:szCs w:val="28"/>
        </w:rPr>
        <w:t>प्</w:t>
      </w:r>
      <w:r>
        <w:rPr>
          <w:rFonts w:ascii="Nirmala UI" w:hAnsi="Nirmala UI" w:cs="Nirmala UI" w:eastAsia="Nirmala UI"/>
          <w:spacing w:val="-2"/>
          <w:w w:val="55"/>
          <w:sz w:val="28"/>
          <w:szCs w:val="28"/>
        </w:rPr>
        <w:t>र</w:t>
      </w:r>
      <w:r>
        <w:rPr>
          <w:rFonts w:ascii="Nirmala UI" w:hAnsi="Nirmala UI" w:cs="Nirmala UI" w:eastAsia="Nirmala UI"/>
          <w:spacing w:val="-1"/>
          <w:w w:val="100"/>
          <w:sz w:val="28"/>
          <w:szCs w:val="28"/>
        </w:rPr>
        <w:t>ो</w:t>
      </w:r>
      <w:r>
        <w:rPr>
          <w:rFonts w:ascii="Nirmala UI" w:hAnsi="Nirmala UI" w:cs="Nirmala UI" w:eastAsia="Nirmala UI"/>
          <w:w w:val="112"/>
          <w:sz w:val="28"/>
          <w:szCs w:val="28"/>
        </w:rPr>
        <w:t>�</w:t>
      </w:r>
      <w:r>
        <w:rPr>
          <w:rFonts w:ascii="Nirmala UI" w:hAnsi="Nirmala UI" w:cs="Nirmala UI" w:eastAsia="Nirmala UI"/>
          <w:w w:val="100"/>
          <w:sz w:val="28"/>
          <w:szCs w:val="28"/>
        </w:rPr>
        <w:t>म</w:t>
      </w:r>
      <w:r>
        <w:rPr>
          <w:rFonts w:ascii="Nirmala UI" w:hAnsi="Nirmala UI" w:cs="Nirmala UI" w:eastAsia="Nirmala UI"/>
          <w:spacing w:val="-1"/>
          <w:w w:val="100"/>
          <w:sz w:val="28"/>
          <w:szCs w:val="28"/>
        </w:rPr>
        <w:t>ा</w:t>
      </w:r>
      <w:r>
        <w:rPr>
          <w:rFonts w:ascii="Nirmala UI" w:hAnsi="Nirmala UI" w:cs="Nirmala UI" w:eastAsia="Nirmala UI"/>
          <w:spacing w:val="-8"/>
          <w:w w:val="100"/>
          <w:sz w:val="28"/>
          <w:szCs w:val="28"/>
        </w:rPr>
        <w:t>न</w:t>
      </w:r>
      <w:r>
        <w:rPr>
          <w:rFonts w:ascii="Nirmala UI" w:hAnsi="Nirmala UI" w:cs="Nirmala UI" w:eastAsia="Nirmala UI"/>
          <w:w w:val="100"/>
          <w:sz w:val="28"/>
          <w:szCs w:val="28"/>
        </w:rPr>
        <w:t>े</w:t>
      </w:r>
      <w:r>
        <w:rPr>
          <w:rFonts w:ascii="Nirmala UI" w:hAnsi="Nirmala UI" w:cs="Nirmala UI" w:eastAsia="Nirmala UI"/>
          <w:spacing w:val="7"/>
          <w:sz w:val="28"/>
          <w:szCs w:val="28"/>
        </w:rPr>
        <w:t> </w:t>
      </w:r>
      <w:r>
        <w:rPr>
          <w:rFonts w:ascii="Nirmala UI" w:hAnsi="Nirmala UI" w:cs="Nirmala UI" w:eastAsia="Nirmala UI"/>
          <w:spacing w:val="1"/>
          <w:w w:val="100"/>
          <w:sz w:val="28"/>
          <w:szCs w:val="28"/>
        </w:rPr>
        <w:t>ज</w:t>
      </w:r>
      <w:r>
        <w:rPr>
          <w:rFonts w:ascii="Nirmala UI" w:hAnsi="Nirmala UI" w:cs="Nirmala UI" w:eastAsia="Nirmala UI"/>
          <w:w w:val="100"/>
          <w:sz w:val="28"/>
          <w:szCs w:val="28"/>
        </w:rPr>
        <w:t>ग</w:t>
      </w:r>
      <w:r>
        <w:rPr>
          <w:rFonts w:ascii="Nirmala UI" w:hAnsi="Nirmala UI" w:cs="Nirmala UI" w:eastAsia="Nirmala UI"/>
          <w:w w:val="86"/>
          <w:sz w:val="28"/>
          <w:szCs w:val="28"/>
        </w:rPr>
        <w:t>न</w:t>
      </w:r>
      <w:r>
        <w:rPr>
          <w:rFonts w:ascii="Nirmala UI" w:hAnsi="Nirmala UI" w:cs="Nirmala UI" w:eastAsia="Nirmala UI"/>
          <w:spacing w:val="-1"/>
          <w:w w:val="86"/>
          <w:sz w:val="28"/>
          <w:szCs w:val="28"/>
        </w:rPr>
        <w:t>्</w:t>
      </w:r>
      <w:r>
        <w:rPr>
          <w:rFonts w:ascii="Nirmala UI" w:hAnsi="Nirmala UI" w:cs="Nirmala UI" w:eastAsia="Nirmala UI"/>
          <w:spacing w:val="-4"/>
          <w:w w:val="108"/>
          <w:sz w:val="28"/>
          <w:szCs w:val="28"/>
        </w:rPr>
        <w:t>न</w:t>
      </w:r>
      <w:r>
        <w:rPr>
          <w:rFonts w:ascii="Nirmala UI" w:hAnsi="Nirmala UI" w:cs="Nirmala UI" w:eastAsia="Nirmala UI"/>
          <w:spacing w:val="-2"/>
          <w:w w:val="108"/>
          <w:sz w:val="28"/>
          <w:szCs w:val="28"/>
        </w:rPr>
        <w:t>ा</w:t>
      </w:r>
      <w:r>
        <w:rPr>
          <w:rFonts w:ascii="Nirmala UI" w:hAnsi="Nirmala UI" w:cs="Nirmala UI" w:eastAsia="Nirmala UI"/>
          <w:spacing w:val="-7"/>
          <w:w w:val="100"/>
          <w:sz w:val="28"/>
          <w:szCs w:val="28"/>
        </w:rPr>
        <w:t>थ</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1"/>
          <w:w w:val="100"/>
          <w:sz w:val="28"/>
          <w:szCs w:val="28"/>
        </w:rPr>
        <w:t>स</w:t>
      </w:r>
      <w:r>
        <w:rPr>
          <w:rFonts w:ascii="Nirmala UI" w:hAnsi="Nirmala UI" w:cs="Nirmala UI" w:eastAsia="Nirmala UI"/>
          <w:spacing w:val="-7"/>
          <w:w w:val="47"/>
          <w:sz w:val="28"/>
          <w:szCs w:val="28"/>
        </w:rPr>
        <w:t>व</w:t>
      </w:r>
      <w:r>
        <w:rPr>
          <w:rFonts w:ascii="Nirmala UI" w:hAnsi="Nirmala UI" w:cs="Nirmala UI" w:eastAsia="Nirmala UI"/>
          <w:w w:val="47"/>
          <w:sz w:val="28"/>
          <w:szCs w:val="28"/>
        </w:rPr>
        <w:t>�</w:t>
      </w:r>
      <w:r>
        <w:rPr>
          <w:rFonts w:ascii="Nirmala UI" w:hAnsi="Nirmala UI" w:cs="Nirmala UI" w:eastAsia="Nirmala UI"/>
          <w:spacing w:val="1"/>
          <w:w w:val="100"/>
          <w:sz w:val="28"/>
          <w:szCs w:val="28"/>
        </w:rPr>
        <w:t>ल</w:t>
      </w:r>
      <w:r>
        <w:rPr>
          <w:rFonts w:ascii="Nirmala UI" w:hAnsi="Nirmala UI" w:cs="Nirmala UI" w:eastAsia="Nirmala UI"/>
          <w:spacing w:val="-1"/>
          <w:w w:val="100"/>
          <w:sz w:val="28"/>
          <w:szCs w:val="28"/>
        </w:rPr>
        <w:t>ोक</w:t>
      </w:r>
      <w:r>
        <w:rPr>
          <w:rFonts w:ascii="Nirmala UI" w:hAnsi="Nirmala UI" w:cs="Nirmala UI" w:eastAsia="Nirmala UI"/>
          <w:spacing w:val="-3"/>
          <w:w w:val="100"/>
          <w:sz w:val="28"/>
          <w:szCs w:val="28"/>
        </w:rPr>
        <w:t>न</w:t>
      </w:r>
      <w:r>
        <w:rPr>
          <w:rFonts w:ascii="Nirmala UI" w:hAnsi="Nirmala UI" w:cs="Nirmala UI" w:eastAsia="Nirmala UI"/>
          <w:w w:val="100"/>
          <w:sz w:val="28"/>
          <w:szCs w:val="28"/>
        </w:rPr>
        <w:t>म</w:t>
      </w:r>
      <w:r>
        <w:rPr>
          <w:rFonts w:ascii="Nirmala UI" w:hAnsi="Nirmala UI" w:cs="Nirmala UI" w:eastAsia="Nirmala UI"/>
          <w:spacing w:val="-93"/>
          <w:w w:val="198"/>
          <w:sz w:val="28"/>
          <w:szCs w:val="28"/>
        </w:rPr>
        <w:t>�</w:t>
      </w:r>
      <w:r>
        <w:rPr>
          <w:rFonts w:ascii="Nirmala UI" w:hAnsi="Nirmala UI" w:cs="Nirmala UI" w:eastAsia="Nirmala UI"/>
          <w:w w:val="100"/>
          <w:sz w:val="28"/>
          <w:szCs w:val="28"/>
        </w:rPr>
        <w:t>ृ</w:t>
      </w:r>
      <w:r>
        <w:rPr>
          <w:rFonts w:ascii="Nirmala UI" w:hAnsi="Nirmala UI" w:cs="Nirmala UI" w:eastAsia="Nirmala UI"/>
          <w:spacing w:val="14"/>
          <w:sz w:val="28"/>
          <w:szCs w:val="28"/>
        </w:rPr>
        <w:t> </w:t>
      </w:r>
      <w:r>
        <w:rPr>
          <w:rFonts w:ascii="Nirmala UI" w:hAnsi="Nirmala UI" w:cs="Nirmala UI" w:eastAsia="Nirmala UI"/>
          <w:spacing w:val="-23"/>
          <w:sz w:val="28"/>
          <w:szCs w:val="28"/>
        </w:rPr>
        <w:t>तम्।    </w:t>
      </w:r>
      <w:r>
        <w:rPr>
          <w:rFonts w:ascii="Nirmala UI" w:hAnsi="Nirmala UI" w:cs="Nirmala UI" w:eastAsia="Nirmala UI"/>
          <w:spacing w:val="-18"/>
          <w:sz w:val="28"/>
          <w:szCs w:val="28"/>
        </w:rPr>
        <w:t> </w:t>
      </w:r>
      <w:r>
        <w:rPr>
          <w:rFonts w:ascii="Nirmala UI" w:hAnsi="Nirmala UI" w:cs="Nirmala UI" w:eastAsia="Nirmala UI"/>
          <w:spacing w:val="-6"/>
          <w:sz w:val="28"/>
          <w:szCs w:val="28"/>
        </w:rPr>
        <w:t>कौस�ाजनयद्</w:t>
        <w:tab/>
      </w:r>
      <w:r>
        <w:rPr>
          <w:rFonts w:ascii="Nirmala UI" w:hAnsi="Nirmala UI" w:cs="Nirmala UI" w:eastAsia="Nirmala UI"/>
          <w:spacing w:val="-3"/>
          <w:sz w:val="28"/>
          <w:szCs w:val="28"/>
        </w:rPr>
        <w:t>रामं     </w:t>
      </w:r>
      <w:r>
        <w:rPr>
          <w:rFonts w:ascii="Nirmala UI" w:hAnsi="Nirmala UI" w:cs="Nirmala UI" w:eastAsia="Nirmala UI"/>
          <w:spacing w:val="-16"/>
          <w:sz w:val="28"/>
          <w:szCs w:val="28"/>
        </w:rPr>
        <w:t>िद�ल�णसंयुतम्॥</w:t>
      </w:r>
    </w:p>
    <w:p>
      <w:pPr>
        <w:spacing w:line="334" w:lineRule="exact" w:before="0"/>
        <w:ind w:left="1123" w:right="473" w:firstLine="0"/>
        <w:jc w:val="center"/>
        <w:rPr>
          <w:rFonts w:ascii="Nirmala UI"/>
          <w:sz w:val="28"/>
        </w:rPr>
      </w:pPr>
      <w:r>
        <w:rPr>
          <w:rFonts w:ascii="Nirmala UI"/>
          <w:sz w:val="28"/>
        </w:rPr>
        <w:t>(</w:t>
      </w:r>
      <w:r>
        <w:rPr>
          <w:rFonts w:ascii="Courier New"/>
          <w:sz w:val="28"/>
        </w:rPr>
        <w:t>Balakanda </w:t>
      </w:r>
      <w:r>
        <w:rPr>
          <w:rFonts w:ascii="Nirmala UI"/>
          <w:sz w:val="28"/>
        </w:rPr>
        <w:t>18.10)</w:t>
      </w:r>
    </w:p>
    <w:p>
      <w:pPr>
        <w:spacing w:line="240" w:lineRule="auto" w:before="317"/>
        <w:ind w:left="1012" w:right="1245" w:firstLine="566"/>
        <w:jc w:val="both"/>
        <w:rPr>
          <w:rFonts w:ascii="Courier New"/>
          <w:sz w:val="28"/>
        </w:rPr>
      </w:pPr>
      <w:r>
        <w:rPr>
          <w:rFonts w:ascii="Courier New"/>
          <w:sz w:val="28"/>
        </w:rPr>
        <w:t>Kaushalya gave birth to a son who was the Lord of the whole world. He was a person adored by all the people. He was invested with divine symptoms.</w:t>
      </w:r>
    </w:p>
    <w:p>
      <w:pPr>
        <w:spacing w:line="240" w:lineRule="auto" w:before="1"/>
        <w:ind w:left="1012" w:right="1245" w:firstLine="566"/>
        <w:jc w:val="both"/>
        <w:rPr>
          <w:rFonts w:ascii="Courier New"/>
          <w:sz w:val="28"/>
        </w:rPr>
      </w:pPr>
      <w:r>
        <w:rPr>
          <w:rFonts w:ascii="Courier New"/>
          <w:sz w:val="28"/>
        </w:rPr>
        <w:t>It was not birth of an ordinary man. Ayodhya</w:t>
      </w:r>
      <w:r>
        <w:rPr>
          <w:rFonts w:ascii="Courier New"/>
          <w:spacing w:val="-22"/>
          <w:sz w:val="28"/>
        </w:rPr>
        <w:t> </w:t>
      </w:r>
      <w:r>
        <w:rPr>
          <w:rFonts w:ascii="Courier New"/>
          <w:sz w:val="28"/>
        </w:rPr>
        <w:t>was</w:t>
      </w:r>
      <w:r>
        <w:rPr>
          <w:rFonts w:ascii="Courier New"/>
          <w:spacing w:val="-22"/>
          <w:sz w:val="28"/>
        </w:rPr>
        <w:t> </w:t>
      </w:r>
      <w:r>
        <w:rPr>
          <w:rFonts w:ascii="Courier New"/>
          <w:sz w:val="28"/>
        </w:rPr>
        <w:t>blessed</w:t>
      </w:r>
      <w:r>
        <w:rPr>
          <w:rFonts w:ascii="Courier New"/>
          <w:spacing w:val="-22"/>
          <w:sz w:val="28"/>
        </w:rPr>
        <w:t> </w:t>
      </w:r>
      <w:r>
        <w:rPr>
          <w:rFonts w:ascii="Courier New"/>
          <w:sz w:val="28"/>
        </w:rPr>
        <w:t>with</w:t>
      </w:r>
      <w:r>
        <w:rPr>
          <w:rFonts w:ascii="Courier New"/>
          <w:spacing w:val="-22"/>
          <w:sz w:val="28"/>
        </w:rPr>
        <w:t> </w:t>
      </w:r>
      <w:r>
        <w:rPr>
          <w:rFonts w:ascii="Courier New"/>
          <w:sz w:val="28"/>
        </w:rPr>
        <w:t>the</w:t>
      </w:r>
      <w:r>
        <w:rPr>
          <w:rFonts w:ascii="Courier New"/>
          <w:spacing w:val="-21"/>
          <w:sz w:val="28"/>
        </w:rPr>
        <w:t> </w:t>
      </w:r>
      <w:r>
        <w:rPr>
          <w:rFonts w:ascii="Courier New"/>
          <w:sz w:val="28"/>
        </w:rPr>
        <w:t>arrival</w:t>
      </w:r>
      <w:r>
        <w:rPr>
          <w:rFonts w:ascii="Courier New"/>
          <w:spacing w:val="-22"/>
          <w:sz w:val="28"/>
        </w:rPr>
        <w:t> </w:t>
      </w:r>
      <w:r>
        <w:rPr>
          <w:rFonts w:ascii="Courier New"/>
          <w:sz w:val="28"/>
        </w:rPr>
        <w:t>of</w:t>
      </w:r>
      <w:r>
        <w:rPr>
          <w:rFonts w:ascii="Courier New"/>
          <w:spacing w:val="-22"/>
          <w:sz w:val="28"/>
        </w:rPr>
        <w:t> </w:t>
      </w:r>
      <w:r>
        <w:rPr>
          <w:rFonts w:ascii="Courier New"/>
          <w:sz w:val="28"/>
        </w:rPr>
        <w:t>the Lord of the whole world, even then Aligarh Historians say that Ayodhya was never sacrosanct because of the birth of</w:t>
      </w:r>
      <w:r>
        <w:rPr>
          <w:rFonts w:ascii="Courier New"/>
          <w:spacing w:val="-16"/>
          <w:sz w:val="28"/>
        </w:rPr>
        <w:t> </w:t>
      </w:r>
      <w:r>
        <w:rPr>
          <w:rFonts w:ascii="Courier New"/>
          <w:sz w:val="28"/>
        </w:rPr>
        <w:t>Rama.</w:t>
      </w:r>
    </w:p>
    <w:p>
      <w:pPr>
        <w:pStyle w:val="BodyText"/>
        <w:rPr>
          <w:rFonts w:ascii="Courier New"/>
          <w:sz w:val="32"/>
        </w:rPr>
      </w:pPr>
    </w:p>
    <w:p>
      <w:pPr>
        <w:pStyle w:val="ListParagraph"/>
        <w:numPr>
          <w:ilvl w:val="0"/>
          <w:numId w:val="253"/>
        </w:numPr>
        <w:tabs>
          <w:tab w:pos="883" w:val="left" w:leader="none"/>
        </w:tabs>
        <w:spacing w:line="480" w:lineRule="auto" w:before="271" w:after="0"/>
        <w:ind w:left="160" w:right="159" w:firstLine="0"/>
        <w:jc w:val="both"/>
        <w:rPr>
          <w:rFonts w:ascii="Courier New"/>
          <w:sz w:val="28"/>
        </w:rPr>
      </w:pPr>
      <w:r>
        <w:rPr>
          <w:rFonts w:ascii="Courier New"/>
          <w:sz w:val="28"/>
        </w:rPr>
        <w:t>The Epic, thus, associate the birth of Lord Ram with Ayodhya. It is, however, true that Valmiki Ramayana does not gives any description of place of birth except that Lord Ram was born to Kaushalya at Ayodhya in the Palace of King Dasratha. The next religious text, which is referred to and relied by plaintiff</w:t>
      </w:r>
      <w:r>
        <w:rPr>
          <w:rFonts w:ascii="Courier New"/>
          <w:spacing w:val="95"/>
          <w:sz w:val="28"/>
        </w:rPr>
        <w:t> </w:t>
      </w:r>
      <w:r>
        <w:rPr>
          <w:rFonts w:ascii="Courier New"/>
          <w:sz w:val="28"/>
        </w:rPr>
        <w:t>of</w:t>
      </w:r>
      <w:r>
        <w:rPr>
          <w:rFonts w:ascii="Courier New"/>
          <w:spacing w:val="98"/>
          <w:sz w:val="28"/>
        </w:rPr>
        <w:t> </w:t>
      </w:r>
      <w:r>
        <w:rPr>
          <w:rFonts w:ascii="Courier New"/>
          <w:sz w:val="28"/>
        </w:rPr>
        <w:t>Suit</w:t>
      </w:r>
      <w:r>
        <w:rPr>
          <w:rFonts w:ascii="Courier New"/>
          <w:spacing w:val="95"/>
          <w:sz w:val="28"/>
        </w:rPr>
        <w:t> </w:t>
      </w:r>
      <w:r>
        <w:rPr>
          <w:rFonts w:ascii="Courier New"/>
          <w:sz w:val="28"/>
        </w:rPr>
        <w:t>No.5</w:t>
      </w:r>
      <w:r>
        <w:rPr>
          <w:rFonts w:ascii="Courier New"/>
          <w:spacing w:val="95"/>
          <w:sz w:val="28"/>
        </w:rPr>
        <w:t> </w:t>
      </w:r>
      <w:r>
        <w:rPr>
          <w:rFonts w:ascii="Courier New"/>
          <w:sz w:val="28"/>
        </w:rPr>
        <w:t>and</w:t>
      </w:r>
      <w:r>
        <w:rPr>
          <w:rFonts w:ascii="Courier New"/>
          <w:spacing w:val="99"/>
          <w:sz w:val="28"/>
        </w:rPr>
        <w:t> </w:t>
      </w:r>
      <w:r>
        <w:rPr>
          <w:rFonts w:ascii="Courier New"/>
          <w:sz w:val="28"/>
        </w:rPr>
        <w:t>other</w:t>
      </w:r>
      <w:r>
        <w:rPr>
          <w:rFonts w:ascii="Courier New"/>
          <w:spacing w:val="95"/>
          <w:sz w:val="28"/>
        </w:rPr>
        <w:t> </w:t>
      </w:r>
      <w:r>
        <w:rPr>
          <w:rFonts w:ascii="Courier New"/>
          <w:sz w:val="28"/>
        </w:rPr>
        <w:t>Hindu</w:t>
      </w:r>
      <w:r>
        <w:rPr>
          <w:rFonts w:ascii="Courier New"/>
          <w:spacing w:val="98"/>
          <w:sz w:val="28"/>
        </w:rPr>
        <w:t> </w:t>
      </w:r>
      <w:r>
        <w:rPr>
          <w:rFonts w:ascii="Courier New"/>
          <w:sz w:val="28"/>
        </w:rPr>
        <w:t>Parties</w:t>
      </w:r>
      <w:r>
        <w:rPr>
          <w:rFonts w:ascii="Courier New"/>
          <w:spacing w:val="95"/>
          <w:sz w:val="28"/>
        </w:rPr>
        <w:t> </w:t>
      </w:r>
      <w:r>
        <w:rPr>
          <w:rFonts w:ascii="Courier New"/>
          <w:sz w:val="28"/>
        </w:rPr>
        <w:t>is</w:t>
      </w:r>
    </w:p>
    <w:p>
      <w:pPr>
        <w:spacing w:after="0" w:line="480" w:lineRule="auto"/>
        <w:jc w:val="both"/>
        <w:rPr>
          <w:rFonts w:ascii="Courier New"/>
          <w:sz w:val="28"/>
        </w:rPr>
        <w:sectPr>
          <w:headerReference w:type="default" r:id="rId272"/>
          <w:footerReference w:type="default" r:id="rId273"/>
          <w:pgSz w:w="11910" w:h="16840"/>
          <w:pgMar w:header="0" w:footer="1063" w:top="1340" w:bottom="1260" w:left="1280" w:right="1280"/>
          <w:pgNumType w:start="32"/>
        </w:sectPr>
      </w:pPr>
    </w:p>
    <w:p>
      <w:pPr>
        <w:spacing w:line="480" w:lineRule="auto" w:before="86"/>
        <w:ind w:left="160" w:right="159" w:firstLine="0"/>
        <w:jc w:val="both"/>
        <w:rPr>
          <w:rFonts w:ascii="Courier New"/>
          <w:sz w:val="28"/>
        </w:rPr>
      </w:pPr>
      <w:r>
        <w:rPr>
          <w:rFonts w:ascii="Courier New"/>
          <w:sz w:val="28"/>
        </w:rPr>
        <w:t>Skanda Purana. In Skanda Purana, reliance has been placed on Ayodhya Mahatmya of Vaisnavakhanda. The above Ayodhya Mahatmya of Vaisnavakhanda of Skanda Purana has been filed as Ext. 93 in Suit No.5. The Skanda Purana has been translated into English by</w:t>
      </w:r>
      <w:r>
        <w:rPr>
          <w:rFonts w:ascii="Courier New"/>
          <w:spacing w:val="94"/>
          <w:sz w:val="28"/>
        </w:rPr>
        <w:t> </w:t>
      </w:r>
      <w:r>
        <w:rPr>
          <w:rFonts w:ascii="Courier New"/>
          <w:sz w:val="28"/>
        </w:rPr>
        <w:t>Dr.</w:t>
      </w:r>
    </w:p>
    <w:p>
      <w:pPr>
        <w:spacing w:line="480" w:lineRule="auto" w:before="0"/>
        <w:ind w:left="159" w:right="158" w:firstLine="0"/>
        <w:jc w:val="both"/>
        <w:rPr>
          <w:rFonts w:ascii="Courier New"/>
          <w:sz w:val="28"/>
        </w:rPr>
      </w:pPr>
      <w:r>
        <w:rPr>
          <w:rFonts w:ascii="Courier New"/>
          <w:sz w:val="28"/>
        </w:rPr>
        <w:t>G.V. Tagare published from Motilal Banarasidass Publishers Private Limited, Delhi, which shall also</w:t>
      </w:r>
      <w:r>
        <w:rPr>
          <w:rFonts w:ascii="Courier New"/>
          <w:spacing w:val="-69"/>
          <w:sz w:val="28"/>
        </w:rPr>
        <w:t> </w:t>
      </w:r>
      <w:r>
        <w:rPr>
          <w:rFonts w:ascii="Courier New"/>
          <w:sz w:val="28"/>
        </w:rPr>
        <w:t>be referred to while considering the relevant versus of Skanda Purana. Book II of Skanda Purana is Vaisnavakhanda. Different sections of Vaisnavakhanda deals with Mahatmya of different subjects. Section</w:t>
      </w:r>
      <w:r>
        <w:rPr>
          <w:rFonts w:ascii="Courier New"/>
          <w:spacing w:val="-73"/>
          <w:sz w:val="28"/>
        </w:rPr>
        <w:t> </w:t>
      </w:r>
      <w:r>
        <w:rPr>
          <w:rFonts w:ascii="Courier New"/>
          <w:sz w:val="28"/>
        </w:rPr>
        <w:t>VII deals with Vaisakhamasa-Mahatmya, Section VIII deals with Ayodhya-Mahatmya and Section IX deals with Vasudeva-Mahatmya. Skandamahapuranam was published by Khemraj Shrikrishnadas. (Ext. 93) published by Shri Venkateshwar Steam Press, Mumbai.  Translation of</w:t>
      </w:r>
      <w:r>
        <w:rPr>
          <w:rFonts w:ascii="Courier New"/>
          <w:spacing w:val="98"/>
          <w:sz w:val="28"/>
        </w:rPr>
        <w:t> </w:t>
      </w:r>
      <w:r>
        <w:rPr>
          <w:rFonts w:ascii="Courier New"/>
          <w:sz w:val="28"/>
        </w:rPr>
        <w:t>Dr.</w:t>
      </w:r>
    </w:p>
    <w:p>
      <w:pPr>
        <w:spacing w:line="480" w:lineRule="auto" w:before="0"/>
        <w:ind w:left="159" w:right="158" w:firstLine="0"/>
        <w:jc w:val="both"/>
        <w:rPr>
          <w:rFonts w:ascii="Courier New"/>
          <w:sz w:val="28"/>
        </w:rPr>
      </w:pPr>
      <w:r>
        <w:rPr>
          <w:rFonts w:ascii="Courier New"/>
          <w:sz w:val="28"/>
        </w:rPr>
        <w:t>G.V.</w:t>
      </w:r>
      <w:r>
        <w:rPr>
          <w:rFonts w:ascii="Courier New"/>
          <w:spacing w:val="-27"/>
          <w:sz w:val="28"/>
        </w:rPr>
        <w:t> </w:t>
      </w:r>
      <w:r>
        <w:rPr>
          <w:rFonts w:ascii="Courier New"/>
          <w:sz w:val="28"/>
        </w:rPr>
        <w:t>Tagare</w:t>
      </w:r>
      <w:r>
        <w:rPr>
          <w:rFonts w:ascii="Courier New"/>
          <w:spacing w:val="-26"/>
          <w:sz w:val="28"/>
        </w:rPr>
        <w:t> </w:t>
      </w:r>
      <w:r>
        <w:rPr>
          <w:rFonts w:ascii="Courier New"/>
          <w:sz w:val="28"/>
        </w:rPr>
        <w:t>is</w:t>
      </w:r>
      <w:r>
        <w:rPr>
          <w:rFonts w:ascii="Courier New"/>
          <w:spacing w:val="-24"/>
          <w:sz w:val="28"/>
        </w:rPr>
        <w:t> </w:t>
      </w:r>
      <w:r>
        <w:rPr>
          <w:rFonts w:ascii="Courier New"/>
          <w:sz w:val="28"/>
        </w:rPr>
        <w:t>of</w:t>
      </w:r>
      <w:r>
        <w:rPr>
          <w:rFonts w:ascii="Courier New"/>
          <w:spacing w:val="-27"/>
          <w:sz w:val="28"/>
        </w:rPr>
        <w:t> </w:t>
      </w:r>
      <w:r>
        <w:rPr>
          <w:rFonts w:ascii="Courier New"/>
          <w:sz w:val="28"/>
        </w:rPr>
        <w:t>the</w:t>
      </w:r>
      <w:r>
        <w:rPr>
          <w:rFonts w:ascii="Courier New"/>
          <w:spacing w:val="-26"/>
          <w:sz w:val="28"/>
        </w:rPr>
        <w:t> </w:t>
      </w:r>
      <w:r>
        <w:rPr>
          <w:rFonts w:ascii="Courier New"/>
          <w:sz w:val="28"/>
        </w:rPr>
        <w:t>published</w:t>
      </w:r>
      <w:r>
        <w:rPr>
          <w:rFonts w:ascii="Courier New"/>
          <w:spacing w:val="-26"/>
          <w:sz w:val="28"/>
        </w:rPr>
        <w:t> </w:t>
      </w:r>
      <w:r>
        <w:rPr>
          <w:rFonts w:ascii="Courier New"/>
          <w:sz w:val="28"/>
        </w:rPr>
        <w:t>Skanda</w:t>
      </w:r>
      <w:r>
        <w:rPr>
          <w:rFonts w:ascii="Courier New"/>
          <w:spacing w:val="-27"/>
          <w:sz w:val="28"/>
        </w:rPr>
        <w:t> </w:t>
      </w:r>
      <w:r>
        <w:rPr>
          <w:rFonts w:ascii="Courier New"/>
          <w:sz w:val="28"/>
        </w:rPr>
        <w:t>Purana</w:t>
      </w:r>
      <w:r>
        <w:rPr>
          <w:rFonts w:ascii="Courier New"/>
          <w:spacing w:val="-26"/>
          <w:sz w:val="28"/>
        </w:rPr>
        <w:t> </w:t>
      </w:r>
      <w:r>
        <w:rPr>
          <w:rFonts w:ascii="Courier New"/>
          <w:sz w:val="28"/>
        </w:rPr>
        <w:t>from</w:t>
      </w:r>
      <w:r>
        <w:rPr>
          <w:rFonts w:ascii="Courier New"/>
          <w:spacing w:val="-26"/>
          <w:sz w:val="28"/>
        </w:rPr>
        <w:t> </w:t>
      </w:r>
      <w:r>
        <w:rPr>
          <w:rFonts w:ascii="Courier New"/>
          <w:sz w:val="28"/>
        </w:rPr>
        <w:t>Shri Venkateshwar Steam Press, Mumbai. Chapter X of Ayodhya-Mahatmya contains 87 Shlokas. M/s. Khemraj Shrikrishnadas, proprietor, Shri Venkateshwar Steam Press, Mumbai reprinted by Nag Publishers, New Delhi. Shlokas 18 to 25, which are relevant are as</w:t>
      </w:r>
      <w:r>
        <w:rPr>
          <w:rFonts w:ascii="Courier New"/>
          <w:spacing w:val="-22"/>
          <w:sz w:val="28"/>
        </w:rPr>
        <w:t> </w:t>
      </w:r>
      <w:r>
        <w:rPr>
          <w:rFonts w:ascii="Courier New"/>
          <w:sz w:val="28"/>
        </w:rPr>
        <w:t>follows:-</w:t>
      </w:r>
    </w:p>
    <w:p>
      <w:pPr>
        <w:spacing w:after="0" w:line="480" w:lineRule="auto"/>
        <w:jc w:val="both"/>
        <w:rPr>
          <w:rFonts w:ascii="Courier New"/>
          <w:sz w:val="28"/>
        </w:rPr>
        <w:sectPr>
          <w:headerReference w:type="default" r:id="rId274"/>
          <w:footerReference w:type="default" r:id="rId275"/>
          <w:pgSz w:w="11910" w:h="16840"/>
          <w:pgMar w:header="0" w:footer="1063" w:top="1340" w:bottom="1260" w:left="1280" w:right="1280"/>
          <w:pgNumType w:start="33"/>
        </w:sectPr>
      </w:pPr>
    </w:p>
    <w:p>
      <w:pPr>
        <w:pStyle w:val="BodyText"/>
        <w:rPr>
          <w:rFonts w:ascii="Courier New"/>
          <w:sz w:val="20"/>
        </w:rPr>
      </w:pPr>
    </w:p>
    <w:p>
      <w:pPr>
        <w:spacing w:before="302"/>
        <w:ind w:left="1123" w:right="1961" w:firstLine="0"/>
        <w:jc w:val="center"/>
        <w:rPr>
          <w:rFonts w:ascii="Nirmala UI" w:hAnsi="Nirmala UI" w:cs="Nirmala UI" w:eastAsia="Nirmala UI"/>
          <w:sz w:val="28"/>
          <w:szCs w:val="28"/>
        </w:rPr>
      </w:pPr>
      <w:r>
        <w:rPr>
          <w:rFonts w:ascii="Nirmala UI" w:hAnsi="Nirmala UI" w:cs="Nirmala UI" w:eastAsia="Nirmala UI"/>
          <w:w w:val="109"/>
          <w:sz w:val="28"/>
          <w:szCs w:val="28"/>
        </w:rPr>
        <w:t>त</w:t>
      </w:r>
      <w:r>
        <w:rPr>
          <w:rFonts w:ascii="Nirmala UI" w:hAnsi="Nirmala UI" w:cs="Nirmala UI" w:eastAsia="Nirmala UI"/>
          <w:w w:val="79"/>
          <w:sz w:val="28"/>
          <w:szCs w:val="28"/>
        </w:rPr>
        <w:t>स</w:t>
      </w:r>
      <w:r>
        <w:rPr>
          <w:rFonts w:ascii="Nirmala UI" w:hAnsi="Nirmala UI" w:cs="Nirmala UI" w:eastAsia="Nirmala UI"/>
          <w:spacing w:val="-1"/>
          <w:w w:val="79"/>
          <w:sz w:val="28"/>
          <w:szCs w:val="28"/>
        </w:rPr>
        <w:t>्</w:t>
      </w:r>
      <w:r>
        <w:rPr>
          <w:rFonts w:ascii="Nirmala UI" w:hAnsi="Nirmala UI" w:cs="Nirmala UI" w:eastAsia="Nirmala UI"/>
          <w:spacing w:val="-2"/>
          <w:w w:val="108"/>
          <w:sz w:val="28"/>
          <w:szCs w:val="28"/>
        </w:rPr>
        <w:t>म</w:t>
      </w:r>
      <w:r>
        <w:rPr>
          <w:rFonts w:ascii="Nirmala UI" w:hAnsi="Nirmala UI" w:cs="Nirmala UI" w:eastAsia="Nirmala UI"/>
          <w:spacing w:val="1"/>
          <w:w w:val="106"/>
          <w:sz w:val="28"/>
          <w:szCs w:val="28"/>
        </w:rPr>
        <w:t>ा</w:t>
      </w:r>
      <w:r>
        <w:rPr>
          <w:rFonts w:ascii="Nirmala UI" w:hAnsi="Nirmala UI" w:cs="Nirmala UI" w:eastAsia="Nirmala UI"/>
          <w:w w:val="106"/>
          <w:sz w:val="28"/>
          <w:szCs w:val="28"/>
        </w:rPr>
        <w:t>त</w:t>
      </w:r>
      <w:r>
        <w:rPr>
          <w:rFonts w:ascii="Nirmala UI" w:hAnsi="Nirmala UI" w:cs="Nirmala UI" w:eastAsia="Nirmala UI"/>
          <w:spacing w:val="-36"/>
          <w:sz w:val="28"/>
          <w:szCs w:val="28"/>
        </w:rPr>
        <w:t> </w:t>
      </w:r>
      <w:r>
        <w:rPr>
          <w:rFonts w:ascii="Nirmala UI" w:hAnsi="Nirmala UI" w:cs="Nirmala UI" w:eastAsia="Nirmala UI"/>
          <w:w w:val="100"/>
          <w:sz w:val="28"/>
          <w:szCs w:val="28"/>
        </w:rPr>
        <w:t>्</w:t>
      </w:r>
      <w:r>
        <w:rPr>
          <w:rFonts w:ascii="Nirmala UI" w:hAnsi="Nirmala UI" w:cs="Nirmala UI" w:eastAsia="Nirmala UI"/>
          <w:spacing w:val="21"/>
          <w:sz w:val="28"/>
          <w:szCs w:val="28"/>
        </w:rPr>
        <w:t> </w:t>
      </w:r>
      <w:r>
        <w:rPr>
          <w:rFonts w:ascii="Nirmala UI" w:hAnsi="Nirmala UI" w:cs="Nirmala UI" w:eastAsia="Nirmala UI"/>
          <w:w w:val="79"/>
          <w:sz w:val="28"/>
          <w:szCs w:val="28"/>
        </w:rPr>
        <w:t>स</w:t>
      </w:r>
      <w:r>
        <w:rPr>
          <w:rFonts w:ascii="Nirmala UI" w:hAnsi="Nirmala UI" w:cs="Nirmala UI" w:eastAsia="Nirmala UI"/>
          <w:spacing w:val="-1"/>
          <w:w w:val="79"/>
          <w:sz w:val="28"/>
          <w:szCs w:val="28"/>
        </w:rPr>
        <w:t>्</w:t>
      </w:r>
      <w:r>
        <w:rPr>
          <w:rFonts w:ascii="Nirmala UI" w:hAnsi="Nirmala UI" w:cs="Nirmala UI" w:eastAsia="Nirmala UI"/>
          <w:spacing w:val="-1"/>
          <w:w w:val="110"/>
          <w:sz w:val="28"/>
          <w:szCs w:val="28"/>
        </w:rPr>
        <w:t>थ</w:t>
      </w:r>
      <w:r>
        <w:rPr>
          <w:rFonts w:ascii="Nirmala UI" w:hAnsi="Nirmala UI" w:cs="Nirmala UI" w:eastAsia="Nirmala UI"/>
          <w:spacing w:val="1"/>
          <w:w w:val="108"/>
          <w:sz w:val="28"/>
          <w:szCs w:val="28"/>
        </w:rPr>
        <w:t>ा</w:t>
      </w:r>
      <w:r>
        <w:rPr>
          <w:rFonts w:ascii="Nirmala UI" w:hAnsi="Nirmala UI" w:cs="Nirmala UI" w:eastAsia="Nirmala UI"/>
          <w:spacing w:val="-4"/>
          <w:w w:val="108"/>
          <w:sz w:val="28"/>
          <w:szCs w:val="28"/>
        </w:rPr>
        <w:t>न</w:t>
      </w:r>
      <w:r>
        <w:rPr>
          <w:rFonts w:ascii="Nirmala UI" w:hAnsi="Nirmala UI" w:cs="Nirmala UI" w:eastAsia="Nirmala UI"/>
          <w:w w:val="109"/>
          <w:sz w:val="28"/>
          <w:szCs w:val="28"/>
        </w:rPr>
        <w:t>त</w:t>
      </w:r>
      <w:r>
        <w:rPr>
          <w:rFonts w:ascii="Nirmala UI" w:hAnsi="Nirmala UI" w:cs="Nirmala UI" w:eastAsia="Nirmala UI"/>
          <w:sz w:val="28"/>
          <w:szCs w:val="28"/>
        </w:rPr>
        <w:t> </w:t>
      </w:r>
      <w:r>
        <w:rPr>
          <w:rFonts w:ascii="Nirmala UI" w:hAnsi="Nirmala UI" w:cs="Nirmala UI" w:eastAsia="Nirmala UI"/>
          <w:spacing w:val="-12"/>
          <w:sz w:val="28"/>
          <w:szCs w:val="28"/>
        </w:rPr>
        <w:t> </w:t>
      </w:r>
      <w:r>
        <w:rPr>
          <w:rFonts w:ascii="Nirmala UI" w:hAnsi="Nirmala UI" w:cs="Nirmala UI" w:eastAsia="Nirmala UI"/>
          <w:spacing w:val="-1"/>
          <w:w w:val="105"/>
          <w:sz w:val="28"/>
          <w:szCs w:val="28"/>
        </w:rPr>
        <w:t>ऐ</w:t>
      </w:r>
      <w:r>
        <w:rPr>
          <w:rFonts w:ascii="Nirmala UI" w:hAnsi="Nirmala UI" w:cs="Nirmala UI" w:eastAsia="Nirmala UI"/>
          <w:spacing w:val="-4"/>
          <w:w w:val="93"/>
          <w:sz w:val="28"/>
          <w:szCs w:val="28"/>
        </w:rPr>
        <w:t>श</w:t>
      </w:r>
      <w:r>
        <w:rPr>
          <w:rFonts w:ascii="Nirmala UI" w:hAnsi="Nirmala UI" w:cs="Nirmala UI" w:eastAsia="Nirmala UI"/>
          <w:spacing w:val="-2"/>
          <w:w w:val="100"/>
          <w:sz w:val="28"/>
          <w:szCs w:val="28"/>
        </w:rPr>
        <w:t>ा</w:t>
      </w:r>
      <w:r>
        <w:rPr>
          <w:rFonts w:ascii="Nirmala UI" w:hAnsi="Nirmala UI" w:cs="Nirmala UI" w:eastAsia="Nirmala UI"/>
          <w:spacing w:val="-1"/>
          <w:w w:val="111"/>
          <w:sz w:val="28"/>
          <w:szCs w:val="28"/>
        </w:rPr>
        <w:t>न</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2"/>
          <w:sz w:val="28"/>
          <w:szCs w:val="28"/>
        </w:rPr>
        <w:t> </w:t>
      </w:r>
      <w:r>
        <w:rPr>
          <w:rFonts w:ascii="Nirmala UI" w:hAnsi="Nirmala UI" w:cs="Nirmala UI" w:eastAsia="Nirmala UI"/>
          <w:w w:val="96"/>
          <w:sz w:val="28"/>
          <w:szCs w:val="28"/>
        </w:rPr>
        <w:t>र</w:t>
      </w:r>
      <w:r>
        <w:rPr>
          <w:rFonts w:ascii="Nirmala UI" w:hAnsi="Nirmala UI" w:cs="Nirmala UI" w:eastAsia="Nirmala UI"/>
          <w:spacing w:val="1"/>
          <w:w w:val="106"/>
          <w:sz w:val="28"/>
          <w:szCs w:val="28"/>
        </w:rPr>
        <w:t>ा</w:t>
      </w:r>
      <w:r>
        <w:rPr>
          <w:rFonts w:ascii="Nirmala UI" w:hAnsi="Nirmala UI" w:cs="Nirmala UI" w:eastAsia="Nirmala UI"/>
          <w:spacing w:val="-4"/>
          <w:w w:val="106"/>
          <w:sz w:val="28"/>
          <w:szCs w:val="28"/>
        </w:rPr>
        <w:t>म</w:t>
      </w:r>
      <w:r>
        <w:rPr>
          <w:rFonts w:ascii="Nirmala UI" w:hAnsi="Nirmala UI" w:cs="Nirmala UI" w:eastAsia="Nirmala UI"/>
          <w:spacing w:val="1"/>
          <w:w w:val="96"/>
          <w:sz w:val="28"/>
          <w:szCs w:val="28"/>
        </w:rPr>
        <w:t>जन</w:t>
      </w:r>
      <w:r>
        <w:rPr>
          <w:rFonts w:ascii="Nirmala UI" w:hAnsi="Nirmala UI" w:cs="Nirmala UI" w:eastAsia="Nirmala UI"/>
          <w:w w:val="96"/>
          <w:sz w:val="28"/>
          <w:szCs w:val="28"/>
        </w:rPr>
        <w:t>्</w:t>
      </w:r>
      <w:r>
        <w:rPr>
          <w:rFonts w:ascii="Nirmala UI" w:hAnsi="Nirmala UI" w:cs="Nirmala UI" w:eastAsia="Nirmala UI"/>
          <w:w w:val="108"/>
          <w:sz w:val="28"/>
          <w:szCs w:val="28"/>
        </w:rPr>
        <w:t>म</w:t>
      </w:r>
      <w:r>
        <w:rPr>
          <w:rFonts w:ascii="Nirmala UI" w:hAnsi="Nirmala UI" w:cs="Nirmala UI" w:eastAsia="Nirmala UI"/>
          <w:sz w:val="28"/>
          <w:szCs w:val="28"/>
        </w:rPr>
        <w:t> </w:t>
      </w:r>
      <w:r>
        <w:rPr>
          <w:rFonts w:ascii="Nirmala UI" w:hAnsi="Nirmala UI" w:cs="Nirmala UI" w:eastAsia="Nirmala UI"/>
          <w:spacing w:val="-16"/>
          <w:sz w:val="28"/>
          <w:szCs w:val="28"/>
        </w:rPr>
        <w:t> </w:t>
      </w:r>
      <w:r>
        <w:rPr>
          <w:rFonts w:ascii="Nirmala UI" w:hAnsi="Nirmala UI" w:cs="Nirmala UI" w:eastAsia="Nirmala UI"/>
          <w:w w:val="55"/>
          <w:sz w:val="28"/>
          <w:szCs w:val="28"/>
        </w:rPr>
        <w:t>प्</w:t>
      </w:r>
      <w:r>
        <w:rPr>
          <w:rFonts w:ascii="Nirmala UI" w:hAnsi="Nirmala UI" w:cs="Nirmala UI" w:eastAsia="Nirmala UI"/>
          <w:spacing w:val="-1"/>
          <w:w w:val="55"/>
          <w:sz w:val="28"/>
          <w:szCs w:val="28"/>
        </w:rPr>
        <w:t>र</w:t>
      </w:r>
      <w:r>
        <w:rPr>
          <w:rFonts w:ascii="Nirmala UI" w:hAnsi="Nirmala UI" w:cs="Nirmala UI" w:eastAsia="Nirmala UI"/>
          <w:spacing w:val="-1"/>
          <w:w w:val="102"/>
          <w:sz w:val="28"/>
          <w:szCs w:val="28"/>
        </w:rPr>
        <w:t>व</w:t>
      </w:r>
      <w:r>
        <w:rPr>
          <w:rFonts w:ascii="Nirmala UI" w:hAnsi="Nirmala UI" w:cs="Nirmala UI" w:eastAsia="Nirmala UI"/>
          <w:w w:val="109"/>
          <w:sz w:val="28"/>
          <w:szCs w:val="28"/>
        </w:rPr>
        <w:t>त</w:t>
      </w:r>
      <w:r>
        <w:rPr>
          <w:rFonts w:ascii="Nirmala UI" w:hAnsi="Nirmala UI" w:cs="Nirmala UI" w:eastAsia="Nirmala UI"/>
          <w:spacing w:val="-3"/>
          <w:w w:val="109"/>
          <w:sz w:val="28"/>
          <w:szCs w:val="28"/>
        </w:rPr>
        <w:t>त</w:t>
      </w:r>
      <w:r>
        <w:rPr>
          <w:rFonts w:ascii="Nirmala UI" w:hAnsi="Nirmala UI" w:cs="Nirmala UI" w:eastAsia="Nirmala UI"/>
          <w:spacing w:val="-115"/>
          <w:w w:val="96"/>
          <w:sz w:val="28"/>
          <w:szCs w:val="28"/>
        </w:rPr>
        <w:t>।</w:t>
      </w:r>
    </w:p>
    <w:p>
      <w:pPr>
        <w:spacing w:before="97"/>
        <w:ind w:left="879" w:right="793" w:firstLine="0"/>
        <w:jc w:val="center"/>
        <w:rPr>
          <w:rFonts w:ascii="Nirmala UI" w:hAnsi="Nirmala UI" w:cs="Nirmala UI" w:eastAsia="Nirmala UI"/>
          <w:sz w:val="28"/>
          <w:szCs w:val="28"/>
        </w:rPr>
      </w:pPr>
      <w:r>
        <w:rPr>
          <w:rFonts w:ascii="Nirmala UI" w:hAnsi="Nirmala UI" w:cs="Nirmala UI" w:eastAsia="Nirmala UI"/>
          <w:spacing w:val="1"/>
          <w:w w:val="96"/>
          <w:sz w:val="28"/>
          <w:szCs w:val="28"/>
        </w:rPr>
        <w:t>जन</w:t>
      </w:r>
      <w:r>
        <w:rPr>
          <w:rFonts w:ascii="Nirmala UI" w:hAnsi="Nirmala UI" w:cs="Nirmala UI" w:eastAsia="Nirmala UI"/>
          <w:w w:val="96"/>
          <w:sz w:val="28"/>
          <w:szCs w:val="28"/>
        </w:rPr>
        <w:t>्</w:t>
      </w:r>
      <w:r>
        <w:rPr>
          <w:rFonts w:ascii="Nirmala UI" w:hAnsi="Nirmala UI" w:cs="Nirmala UI" w:eastAsia="Nirmala UI"/>
          <w:spacing w:val="-2"/>
          <w:w w:val="108"/>
          <w:sz w:val="28"/>
          <w:szCs w:val="28"/>
        </w:rPr>
        <w:t>म</w:t>
      </w:r>
      <w:r>
        <w:rPr>
          <w:rFonts w:ascii="Nirmala UI" w:hAnsi="Nirmala UI" w:cs="Nirmala UI" w:eastAsia="Nirmala UI"/>
          <w:w w:val="79"/>
          <w:sz w:val="28"/>
          <w:szCs w:val="28"/>
        </w:rPr>
        <w:t>स</w:t>
      </w:r>
      <w:r>
        <w:rPr>
          <w:rFonts w:ascii="Nirmala UI" w:hAnsi="Nirmala UI" w:cs="Nirmala UI" w:eastAsia="Nirmala UI"/>
          <w:spacing w:val="-1"/>
          <w:w w:val="79"/>
          <w:sz w:val="28"/>
          <w:szCs w:val="28"/>
        </w:rPr>
        <w:t>्</w:t>
      </w:r>
      <w:r>
        <w:rPr>
          <w:rFonts w:ascii="Nirmala UI" w:hAnsi="Nirmala UI" w:cs="Nirmala UI" w:eastAsia="Nirmala UI"/>
          <w:spacing w:val="-1"/>
          <w:w w:val="110"/>
          <w:sz w:val="28"/>
          <w:szCs w:val="28"/>
        </w:rPr>
        <w:t>थ</w:t>
      </w:r>
      <w:r>
        <w:rPr>
          <w:rFonts w:ascii="Nirmala UI" w:hAnsi="Nirmala UI" w:cs="Nirmala UI" w:eastAsia="Nirmala UI"/>
          <w:spacing w:val="1"/>
          <w:w w:val="108"/>
          <w:sz w:val="28"/>
          <w:szCs w:val="28"/>
        </w:rPr>
        <w:t>ा</w:t>
      </w:r>
      <w:r>
        <w:rPr>
          <w:rFonts w:ascii="Nirmala UI" w:hAnsi="Nirmala UI" w:cs="Nirmala UI" w:eastAsia="Nirmala UI"/>
          <w:spacing w:val="-4"/>
          <w:w w:val="108"/>
          <w:sz w:val="28"/>
          <w:szCs w:val="28"/>
        </w:rPr>
        <w:t>न</w:t>
      </w:r>
      <w:r>
        <w:rPr>
          <w:rFonts w:ascii="Nirmala UI" w:hAnsi="Nirmala UI" w:cs="Nirmala UI" w:eastAsia="Nirmala UI"/>
          <w:spacing w:val="1"/>
          <w:w w:val="48"/>
          <w:sz w:val="28"/>
          <w:szCs w:val="28"/>
        </w:rPr>
        <w:t>�</w:t>
      </w:r>
      <w:r>
        <w:rPr>
          <w:rFonts w:ascii="Nirmala UI" w:hAnsi="Nirmala UI" w:cs="Nirmala UI" w:eastAsia="Nirmala UI"/>
          <w:spacing w:val="-2"/>
          <w:w w:val="108"/>
          <w:sz w:val="28"/>
          <w:szCs w:val="28"/>
        </w:rPr>
        <w:t>म</w:t>
      </w:r>
      <w:r>
        <w:rPr>
          <w:rFonts w:ascii="Nirmala UI" w:hAnsi="Nirmala UI" w:cs="Nirmala UI" w:eastAsia="Nirmala UI"/>
          <w:spacing w:val="-15"/>
          <w:w w:val="92"/>
          <w:sz w:val="28"/>
          <w:szCs w:val="28"/>
        </w:rPr>
        <w:t>द</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2"/>
          <w:sz w:val="28"/>
          <w:szCs w:val="28"/>
        </w:rPr>
        <w:t> </w:t>
      </w:r>
      <w:r>
        <w:rPr>
          <w:rFonts w:ascii="Nirmala UI" w:hAnsi="Nirmala UI" w:cs="Nirmala UI" w:eastAsia="Nirmala UI"/>
          <w:w w:val="55"/>
          <w:sz w:val="28"/>
          <w:szCs w:val="28"/>
        </w:rPr>
        <w:t>प्</w:t>
      </w:r>
      <w:r>
        <w:rPr>
          <w:rFonts w:ascii="Nirmala UI" w:hAnsi="Nirmala UI" w:cs="Nirmala UI" w:eastAsia="Nirmala UI"/>
          <w:spacing w:val="-3"/>
          <w:w w:val="55"/>
          <w:sz w:val="28"/>
          <w:szCs w:val="28"/>
        </w:rPr>
        <w:t>र</w:t>
      </w:r>
      <w:r>
        <w:rPr>
          <w:rFonts w:ascii="Nirmala UI" w:hAnsi="Nirmala UI" w:cs="Nirmala UI" w:eastAsia="Nirmala UI"/>
          <w:spacing w:val="1"/>
          <w:w w:val="79"/>
          <w:sz w:val="28"/>
          <w:szCs w:val="28"/>
        </w:rPr>
        <w:t>ोक</w:t>
      </w:r>
      <w:r>
        <w:rPr>
          <w:rFonts w:ascii="Nirmala UI" w:hAnsi="Nirmala UI" w:cs="Nirmala UI" w:eastAsia="Nirmala UI"/>
          <w:spacing w:val="-1"/>
          <w:w w:val="79"/>
          <w:sz w:val="28"/>
          <w:szCs w:val="28"/>
        </w:rPr>
        <w:t>्</w:t>
      </w:r>
      <w:r>
        <w:rPr>
          <w:rFonts w:ascii="Nirmala UI" w:hAnsi="Nirmala UI" w:cs="Nirmala UI" w:eastAsia="Nirmala UI"/>
          <w:w w:val="109"/>
          <w:sz w:val="28"/>
          <w:szCs w:val="28"/>
        </w:rPr>
        <w:t>त</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2"/>
          <w:w w:val="108"/>
          <w:sz w:val="28"/>
          <w:szCs w:val="28"/>
        </w:rPr>
        <w:t>म</w:t>
      </w:r>
      <w:r>
        <w:rPr>
          <w:rFonts w:ascii="Nirmala UI" w:hAnsi="Nirmala UI" w:cs="Nirmala UI" w:eastAsia="Nirmala UI"/>
          <w:spacing w:val="1"/>
          <w:w w:val="116"/>
          <w:sz w:val="28"/>
          <w:szCs w:val="28"/>
        </w:rPr>
        <w:t>ो</w:t>
      </w:r>
      <w:r>
        <w:rPr>
          <w:rFonts w:ascii="Nirmala UI" w:hAnsi="Nirmala UI" w:cs="Nirmala UI" w:eastAsia="Nirmala UI"/>
          <w:spacing w:val="-1"/>
          <w:w w:val="116"/>
          <w:sz w:val="28"/>
          <w:szCs w:val="28"/>
        </w:rPr>
        <w:t>�</w:t>
      </w:r>
      <w:r>
        <w:rPr>
          <w:rFonts w:ascii="Nirmala UI" w:hAnsi="Nirmala UI" w:cs="Nirmala UI" w:eastAsia="Nirmala UI"/>
          <w:spacing w:val="-2"/>
          <w:w w:val="100"/>
          <w:sz w:val="28"/>
          <w:szCs w:val="28"/>
        </w:rPr>
        <w:t>ा</w:t>
      </w:r>
      <w:r>
        <w:rPr>
          <w:rFonts w:ascii="Nirmala UI" w:hAnsi="Nirmala UI" w:cs="Nirmala UI" w:eastAsia="Nirmala UI"/>
          <w:spacing w:val="1"/>
          <w:w w:val="48"/>
          <w:sz w:val="28"/>
          <w:szCs w:val="28"/>
        </w:rPr>
        <w:t>�</w:t>
      </w:r>
      <w:r>
        <w:rPr>
          <w:rFonts w:ascii="Nirmala UI" w:hAnsi="Nirmala UI" w:cs="Nirmala UI" w:eastAsia="Nirmala UI"/>
          <w:spacing w:val="-3"/>
          <w:w w:val="92"/>
          <w:sz w:val="28"/>
          <w:szCs w:val="28"/>
        </w:rPr>
        <w:t>द</w:t>
      </w:r>
      <w:r>
        <w:rPr>
          <w:rFonts w:ascii="Nirmala UI" w:hAnsi="Nirmala UI" w:cs="Nirmala UI" w:eastAsia="Nirmala UI"/>
          <w:spacing w:val="1"/>
          <w:w w:val="94"/>
          <w:sz w:val="28"/>
          <w:szCs w:val="28"/>
        </w:rPr>
        <w:t>फ</w:t>
      </w:r>
      <w:r>
        <w:rPr>
          <w:rFonts w:ascii="Nirmala UI" w:hAnsi="Nirmala UI" w:cs="Nirmala UI" w:eastAsia="Nirmala UI"/>
          <w:spacing w:val="-2"/>
          <w:w w:val="94"/>
          <w:sz w:val="28"/>
          <w:szCs w:val="28"/>
        </w:rPr>
        <w:t>ल</w:t>
      </w:r>
      <w:r>
        <w:rPr>
          <w:rFonts w:ascii="Nirmala UI" w:hAnsi="Nirmala UI" w:cs="Nirmala UI" w:eastAsia="Nirmala UI"/>
          <w:spacing w:val="-2"/>
          <w:w w:val="101"/>
          <w:sz w:val="28"/>
          <w:szCs w:val="28"/>
        </w:rPr>
        <w:t>स</w:t>
      </w:r>
      <w:r>
        <w:rPr>
          <w:rFonts w:ascii="Nirmala UI" w:hAnsi="Nirmala UI" w:cs="Nirmala UI" w:eastAsia="Nirmala UI"/>
          <w:spacing w:val="1"/>
          <w:w w:val="108"/>
          <w:sz w:val="28"/>
          <w:szCs w:val="28"/>
        </w:rPr>
        <w:t>ा</w:t>
      </w:r>
      <w:r>
        <w:rPr>
          <w:rFonts w:ascii="Nirmala UI" w:hAnsi="Nirmala UI" w:cs="Nirmala UI" w:eastAsia="Nirmala UI"/>
          <w:spacing w:val="-1"/>
          <w:w w:val="108"/>
          <w:sz w:val="28"/>
          <w:szCs w:val="28"/>
        </w:rPr>
        <w:t>ध</w:t>
      </w:r>
      <w:r>
        <w:rPr>
          <w:rFonts w:ascii="Nirmala UI" w:hAnsi="Nirmala UI" w:cs="Nirmala UI" w:eastAsia="Nirmala UI"/>
          <w:spacing w:val="-1"/>
          <w:w w:val="111"/>
          <w:sz w:val="28"/>
          <w:szCs w:val="28"/>
        </w:rPr>
        <w:t>न</w:t>
      </w:r>
      <w:r>
        <w:rPr>
          <w:rFonts w:ascii="Nirmala UI" w:hAnsi="Nirmala UI" w:cs="Nirmala UI" w:eastAsia="Nirmala UI"/>
          <w:spacing w:val="-2"/>
          <w:w w:val="108"/>
          <w:sz w:val="28"/>
          <w:szCs w:val="28"/>
        </w:rPr>
        <w:t>म</w:t>
      </w:r>
      <w:r>
        <w:rPr>
          <w:rFonts w:ascii="Nirmala UI" w:hAnsi="Nirmala UI" w:cs="Nirmala UI" w:eastAsia="Nirmala UI"/>
          <w:spacing w:val="-77"/>
          <w:w w:val="96"/>
          <w:sz w:val="28"/>
          <w:szCs w:val="28"/>
        </w:rPr>
        <w:t>।</w:t>
      </w:r>
      <w:r>
        <w:rPr>
          <w:rFonts w:ascii="Nirmala UI" w:hAnsi="Nirmala UI" w:cs="Nirmala UI" w:eastAsia="Nirmala UI"/>
          <w:w w:val="100"/>
          <w:sz w:val="28"/>
          <w:szCs w:val="28"/>
        </w:rPr>
        <w:t>्</w:t>
      </w:r>
      <w:r>
        <w:rPr>
          <w:rFonts w:ascii="Nirmala UI" w:hAnsi="Nirmala UI" w:cs="Nirmala UI" w:eastAsia="Nirmala UI"/>
          <w:spacing w:val="-3"/>
          <w:sz w:val="28"/>
          <w:szCs w:val="28"/>
        </w:rPr>
        <w:t> </w:t>
      </w:r>
      <w:r>
        <w:rPr>
          <w:rFonts w:ascii="Nirmala UI" w:hAnsi="Nirmala UI" w:cs="Nirmala UI" w:eastAsia="Nirmala UI"/>
          <w:w w:val="96"/>
          <w:sz w:val="28"/>
          <w:szCs w:val="28"/>
        </w:rPr>
        <w:t>।</w:t>
      </w:r>
      <w:r>
        <w:rPr>
          <w:rFonts w:ascii="Nirmala UI" w:hAnsi="Nirmala UI" w:cs="Nirmala UI" w:eastAsia="Nirmala UI"/>
          <w:spacing w:val="-1"/>
          <w:w w:val="104"/>
          <w:sz w:val="28"/>
          <w:szCs w:val="28"/>
        </w:rPr>
        <w:t>18</w:t>
      </w:r>
      <w:r>
        <w:rPr>
          <w:rFonts w:ascii="Nirmala UI" w:hAnsi="Nirmala UI" w:cs="Nirmala UI" w:eastAsia="Nirmala UI"/>
          <w:w w:val="104"/>
          <w:sz w:val="28"/>
          <w:szCs w:val="28"/>
        </w:rPr>
        <w:t>।</w:t>
      </w:r>
      <w:r>
        <w:rPr>
          <w:rFonts w:ascii="Nirmala UI" w:hAnsi="Nirmala UI" w:cs="Nirmala UI" w:eastAsia="Nirmala UI"/>
          <w:w w:val="96"/>
          <w:sz w:val="28"/>
          <w:szCs w:val="28"/>
        </w:rPr>
        <w:t>।</w:t>
      </w:r>
    </w:p>
    <w:p>
      <w:pPr>
        <w:spacing w:after="0"/>
        <w:jc w:val="center"/>
        <w:rPr>
          <w:rFonts w:ascii="Nirmala UI" w:hAnsi="Nirmala UI" w:cs="Nirmala UI" w:eastAsia="Nirmala UI"/>
          <w:sz w:val="28"/>
          <w:szCs w:val="28"/>
        </w:rPr>
        <w:sectPr>
          <w:headerReference w:type="default" r:id="rId276"/>
          <w:footerReference w:type="default" r:id="rId277"/>
          <w:pgSz w:w="11910" w:h="16840"/>
          <w:pgMar w:header="0" w:footer="1063" w:top="1580" w:bottom="1260" w:left="1280" w:right="1280"/>
          <w:pgNumType w:start="34"/>
        </w:sectPr>
      </w:pPr>
    </w:p>
    <w:p>
      <w:pPr>
        <w:spacing w:before="98"/>
        <w:ind w:left="2003" w:right="-15" w:firstLine="0"/>
        <w:jc w:val="left"/>
        <w:rPr>
          <w:rFonts w:ascii="Nirmala UI" w:hAnsi="Nirmala UI" w:cs="Nirmala UI" w:eastAsia="Nirmala UI"/>
          <w:sz w:val="28"/>
          <w:szCs w:val="28"/>
        </w:rPr>
      </w:pPr>
      <w:r>
        <w:rPr>
          <w:rFonts w:ascii="Nirmala UI" w:hAnsi="Nirmala UI" w:cs="Nirmala UI" w:eastAsia="Nirmala UI"/>
          <w:spacing w:val="1"/>
          <w:w w:val="48"/>
          <w:sz w:val="28"/>
          <w:szCs w:val="28"/>
        </w:rPr>
        <w:t>�</w:t>
      </w:r>
      <w:r>
        <w:rPr>
          <w:rFonts w:ascii="Nirmala UI" w:hAnsi="Nirmala UI" w:cs="Nirmala UI" w:eastAsia="Nirmala UI"/>
          <w:spacing w:val="-1"/>
          <w:w w:val="102"/>
          <w:sz w:val="28"/>
          <w:szCs w:val="28"/>
        </w:rPr>
        <w:t>व</w:t>
      </w:r>
      <w:r>
        <w:rPr>
          <w:rFonts w:ascii="Nirmala UI" w:hAnsi="Nirmala UI" w:cs="Nirmala UI" w:eastAsia="Nirmala UI"/>
          <w:w w:val="81"/>
          <w:sz w:val="28"/>
          <w:szCs w:val="28"/>
        </w:rPr>
        <w:t>घ</w:t>
      </w:r>
      <w:r>
        <w:rPr>
          <w:rFonts w:ascii="Nirmala UI" w:hAnsi="Nirmala UI" w:cs="Nirmala UI" w:eastAsia="Nirmala UI"/>
          <w:spacing w:val="-1"/>
          <w:w w:val="81"/>
          <w:sz w:val="28"/>
          <w:szCs w:val="28"/>
        </w:rPr>
        <w:t>्</w:t>
      </w:r>
      <w:r>
        <w:rPr>
          <w:rFonts w:ascii="Nirmala UI" w:hAnsi="Nirmala UI" w:cs="Nirmala UI" w:eastAsia="Nirmala UI"/>
          <w:spacing w:val="-1"/>
          <w:w w:val="111"/>
          <w:sz w:val="28"/>
          <w:szCs w:val="28"/>
        </w:rPr>
        <w:t>न</w:t>
      </w:r>
      <w:r>
        <w:rPr>
          <w:rFonts w:ascii="Nirmala UI" w:hAnsi="Nirmala UI" w:cs="Nirmala UI" w:eastAsia="Nirmala UI"/>
          <w:w w:val="100"/>
          <w:sz w:val="28"/>
          <w:szCs w:val="28"/>
        </w:rPr>
        <w:t>े</w:t>
      </w:r>
      <w:r>
        <w:rPr>
          <w:rFonts w:ascii="Nirmala UI" w:hAnsi="Nirmala UI" w:cs="Nirmala UI" w:eastAsia="Nirmala UI"/>
          <w:w w:val="60"/>
          <w:sz w:val="28"/>
          <w:szCs w:val="28"/>
        </w:rPr>
        <w:t>श्</w:t>
      </w:r>
      <w:r>
        <w:rPr>
          <w:rFonts w:ascii="Nirmala UI" w:hAnsi="Nirmala UI" w:cs="Nirmala UI" w:eastAsia="Nirmala UI"/>
          <w:spacing w:val="-1"/>
          <w:w w:val="102"/>
          <w:sz w:val="28"/>
          <w:szCs w:val="28"/>
        </w:rPr>
        <w:t>व</w:t>
      </w:r>
      <w:r>
        <w:rPr>
          <w:rFonts w:ascii="Nirmala UI" w:hAnsi="Nirmala UI" w:cs="Nirmala UI" w:eastAsia="Nirmala UI"/>
          <w:spacing w:val="-2"/>
          <w:w w:val="96"/>
          <w:sz w:val="28"/>
          <w:szCs w:val="28"/>
        </w:rPr>
        <w:t>र</w:t>
      </w:r>
      <w:r>
        <w:rPr>
          <w:rFonts w:ascii="Nirmala UI" w:hAnsi="Nirmala UI" w:cs="Nirmala UI" w:eastAsia="Nirmala UI"/>
          <w:spacing w:val="1"/>
          <w:w w:val="100"/>
          <w:sz w:val="28"/>
          <w:szCs w:val="28"/>
        </w:rPr>
        <w:t>ा</w:t>
      </w:r>
      <w:r>
        <w:rPr>
          <w:rFonts w:ascii="Nirmala UI" w:hAnsi="Nirmala UI" w:cs="Nirmala UI" w:eastAsia="Nirmala UI"/>
          <w:w w:val="109"/>
          <w:sz w:val="28"/>
          <w:szCs w:val="28"/>
        </w:rPr>
        <w:t>त</w:t>
      </w:r>
      <w:r>
        <w:rPr>
          <w:rFonts w:ascii="Nirmala UI" w:hAnsi="Nirmala UI" w:cs="Nirmala UI" w:eastAsia="Nirmala UI"/>
          <w:spacing w:val="-36"/>
          <w:sz w:val="28"/>
          <w:szCs w:val="28"/>
        </w:rPr>
        <w:t> </w:t>
      </w:r>
      <w:r>
        <w:rPr>
          <w:rFonts w:ascii="Nirmala UI" w:hAnsi="Nirmala UI" w:cs="Nirmala UI" w:eastAsia="Nirmala UI"/>
          <w:w w:val="100"/>
          <w:sz w:val="28"/>
          <w:szCs w:val="28"/>
        </w:rPr>
        <w:t>्</w:t>
      </w:r>
      <w:r>
        <w:rPr>
          <w:rFonts w:ascii="Nirmala UI" w:hAnsi="Nirmala UI" w:cs="Nirmala UI" w:eastAsia="Nirmala UI"/>
          <w:spacing w:val="21"/>
          <w:sz w:val="28"/>
          <w:szCs w:val="28"/>
        </w:rPr>
        <w:t> </w:t>
      </w:r>
      <w:r>
        <w:rPr>
          <w:rFonts w:ascii="Nirmala UI" w:hAnsi="Nirmala UI" w:cs="Nirmala UI" w:eastAsia="Nirmala UI"/>
          <w:spacing w:val="-51"/>
          <w:w w:val="99"/>
          <w:sz w:val="28"/>
          <w:szCs w:val="28"/>
        </w:rPr>
        <w:t>प</w:t>
      </w:r>
    </w:p>
    <w:p>
      <w:pPr>
        <w:spacing w:before="96"/>
        <w:ind w:left="128" w:right="0" w:firstLine="0"/>
        <w:jc w:val="left"/>
        <w:rPr>
          <w:rFonts w:ascii="Nirmala UI" w:hAnsi="Nirmala UI" w:cs="Nirmala UI" w:eastAsia="Nirmala UI"/>
          <w:sz w:val="28"/>
          <w:szCs w:val="28"/>
        </w:rPr>
      </w:pPr>
      <w:r>
        <w:rPr/>
        <w:br w:type="column"/>
      </w:r>
      <w:r>
        <w:rPr>
          <w:rFonts w:ascii="Nirmala UI" w:hAnsi="Nirmala UI" w:cs="Nirmala UI" w:eastAsia="Nirmala UI"/>
          <w:spacing w:val="-2"/>
          <w:w w:val="102"/>
          <w:sz w:val="28"/>
          <w:szCs w:val="28"/>
        </w:rPr>
        <w:t>भ</w:t>
      </w:r>
      <w:r>
        <w:rPr>
          <w:rFonts w:ascii="Nirmala UI" w:hAnsi="Nirmala UI" w:cs="Nirmala UI" w:eastAsia="Nirmala UI"/>
          <w:spacing w:val="-2"/>
          <w:w w:val="100"/>
          <w:sz w:val="28"/>
          <w:szCs w:val="28"/>
        </w:rPr>
        <w:t>ा</w:t>
      </w:r>
      <w:r>
        <w:rPr>
          <w:rFonts w:ascii="Nirmala UI" w:hAnsi="Nirmala UI" w:cs="Nirmala UI" w:eastAsia="Nirmala UI"/>
          <w:spacing w:val="-2"/>
          <w:w w:val="112"/>
          <w:sz w:val="28"/>
          <w:szCs w:val="28"/>
        </w:rPr>
        <w:t>ग</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17"/>
          <w:w w:val="102"/>
          <w:sz w:val="28"/>
          <w:szCs w:val="28"/>
        </w:rPr>
        <w:t>व</w:t>
      </w:r>
      <w:r>
        <w:rPr>
          <w:rFonts w:ascii="Nirmala UI" w:hAnsi="Nirmala UI" w:cs="Nirmala UI" w:eastAsia="Nirmala UI"/>
          <w:spacing w:val="-15"/>
          <w:w w:val="100"/>
          <w:sz w:val="28"/>
          <w:szCs w:val="28"/>
        </w:rPr>
        <w:t>ा</w:t>
      </w:r>
      <w:r>
        <w:rPr>
          <w:rFonts w:ascii="Nirmala UI" w:hAnsi="Nirmala UI" w:cs="Nirmala UI" w:eastAsia="Nirmala UI"/>
          <w:spacing w:val="-15"/>
          <w:w w:val="48"/>
          <w:sz w:val="28"/>
          <w:szCs w:val="28"/>
        </w:rPr>
        <w:t>�</w:t>
      </w:r>
      <w:r>
        <w:rPr>
          <w:rFonts w:ascii="Nirmala UI" w:hAnsi="Nirmala UI" w:cs="Nirmala UI" w:eastAsia="Nirmala UI"/>
          <w:spacing w:val="-18"/>
          <w:w w:val="88"/>
          <w:sz w:val="28"/>
          <w:szCs w:val="28"/>
        </w:rPr>
        <w:t>सष</w:t>
      </w:r>
      <w:r>
        <w:rPr>
          <w:rFonts w:ascii="Nirmala UI" w:hAnsi="Nirmala UI" w:cs="Nirmala UI" w:eastAsia="Nirmala UI"/>
          <w:spacing w:val="-16"/>
          <w:w w:val="88"/>
          <w:sz w:val="28"/>
          <w:szCs w:val="28"/>
        </w:rPr>
        <w:t>्</w:t>
      </w:r>
      <w:r>
        <w:rPr>
          <w:rFonts w:ascii="Nirmala UI" w:hAnsi="Nirmala UI" w:cs="Nirmala UI" w:eastAsia="Nirmala UI"/>
          <w:spacing w:val="-19"/>
          <w:w w:val="92"/>
          <w:sz w:val="28"/>
          <w:szCs w:val="28"/>
        </w:rPr>
        <w:t>ठ</w:t>
      </w:r>
      <w:r>
        <w:rPr>
          <w:rFonts w:ascii="Nirmala UI" w:hAnsi="Nirmala UI" w:cs="Nirmala UI" w:eastAsia="Nirmala UI"/>
          <w:spacing w:val="-15"/>
          <w:w w:val="100"/>
          <w:sz w:val="28"/>
          <w:szCs w:val="28"/>
        </w:rPr>
        <w:t>ा</w:t>
      </w:r>
      <w:r>
        <w:rPr>
          <w:rFonts w:ascii="Nirmala UI" w:hAnsi="Nirmala UI" w:cs="Nirmala UI" w:eastAsia="Nirmala UI"/>
          <w:spacing w:val="-17"/>
          <w:w w:val="92"/>
          <w:sz w:val="28"/>
          <w:szCs w:val="28"/>
        </w:rPr>
        <w:t>द</w:t>
      </w:r>
      <w:r>
        <w:rPr>
          <w:rFonts w:ascii="Nirmala UI" w:hAnsi="Nirmala UI" w:cs="Nirmala UI" w:eastAsia="Nirmala UI"/>
          <w:spacing w:val="-180"/>
          <w:w w:val="97"/>
          <w:sz w:val="28"/>
          <w:szCs w:val="28"/>
        </w:rPr>
        <w:t>�</w:t>
      </w:r>
    </w:p>
    <w:p>
      <w:pPr>
        <w:spacing w:before="96"/>
        <w:ind w:left="123" w:right="0" w:firstLine="0"/>
        <w:jc w:val="left"/>
        <w:rPr>
          <w:rFonts w:ascii="Nirmala UI" w:hAnsi="Nirmala UI" w:cs="Nirmala UI" w:eastAsia="Nirmala UI"/>
          <w:sz w:val="28"/>
          <w:szCs w:val="28"/>
        </w:rPr>
      </w:pPr>
      <w:r>
        <w:rPr/>
        <w:br w:type="column"/>
      </w:r>
      <w:r>
        <w:rPr>
          <w:rFonts w:ascii="Nirmala UI" w:hAnsi="Nirmala UI" w:cs="Nirmala UI" w:eastAsia="Nirmala UI"/>
          <w:sz w:val="28"/>
          <w:szCs w:val="28"/>
        </w:rPr>
        <w:t>रे तथा।</w:t>
      </w:r>
    </w:p>
    <w:p>
      <w:pPr>
        <w:spacing w:after="0"/>
        <w:jc w:val="left"/>
        <w:rPr>
          <w:rFonts w:ascii="Nirmala UI" w:hAnsi="Nirmala UI" w:cs="Nirmala UI" w:eastAsia="Nirmala UI"/>
          <w:sz w:val="28"/>
          <w:szCs w:val="28"/>
        </w:rPr>
        <w:sectPr>
          <w:type w:val="continuous"/>
          <w:pgSz w:w="11910" w:h="16840"/>
          <w:pgMar w:top="1340" w:bottom="1200" w:left="1280" w:right="1280"/>
          <w:cols w:num="3" w:equalWidth="0">
            <w:col w:w="3595" w:space="40"/>
            <w:col w:w="1818" w:space="39"/>
            <w:col w:w="3858"/>
          </w:cols>
        </w:sectPr>
      </w:pPr>
    </w:p>
    <w:p>
      <w:pPr>
        <w:spacing w:before="98"/>
        <w:ind w:left="1123" w:right="486" w:firstLine="0"/>
        <w:jc w:val="center"/>
        <w:rPr>
          <w:rFonts w:ascii="Nirmala UI" w:hAnsi="Nirmala UI" w:cs="Nirmala UI" w:eastAsia="Nirmala UI"/>
          <w:sz w:val="28"/>
          <w:szCs w:val="28"/>
        </w:rPr>
      </w:pPr>
      <w:r>
        <w:rPr>
          <w:rFonts w:ascii="Nirmala UI" w:hAnsi="Nirmala UI" w:cs="Nirmala UI" w:eastAsia="Nirmala UI"/>
          <w:spacing w:val="-2"/>
          <w:w w:val="102"/>
          <w:sz w:val="28"/>
          <w:szCs w:val="28"/>
        </w:rPr>
        <w:t>ल</w:t>
      </w:r>
      <w:r>
        <w:rPr>
          <w:rFonts w:ascii="Nirmala UI" w:hAnsi="Nirmala UI" w:cs="Nirmala UI" w:eastAsia="Nirmala UI"/>
          <w:spacing w:val="1"/>
          <w:w w:val="102"/>
          <w:sz w:val="28"/>
          <w:szCs w:val="28"/>
        </w:rPr>
        <w:t>ौ</w:t>
      </w:r>
      <w:r>
        <w:rPr>
          <w:rFonts w:ascii="Nirmala UI" w:hAnsi="Nirmala UI" w:cs="Nirmala UI" w:eastAsia="Nirmala UI"/>
          <w:spacing w:val="-2"/>
          <w:w w:val="100"/>
          <w:sz w:val="28"/>
          <w:szCs w:val="28"/>
        </w:rPr>
        <w:t>म</w:t>
      </w:r>
      <w:r>
        <w:rPr>
          <w:rFonts w:ascii="Nirmala UI" w:hAnsi="Nirmala UI" w:cs="Nirmala UI" w:eastAsia="Nirmala UI"/>
          <w:spacing w:val="-1"/>
          <w:w w:val="100"/>
          <w:sz w:val="28"/>
          <w:szCs w:val="28"/>
        </w:rPr>
        <w:t>श</w:t>
      </w:r>
      <w:r>
        <w:rPr>
          <w:rFonts w:ascii="Nirmala UI" w:hAnsi="Nirmala UI" w:cs="Nirmala UI" w:eastAsia="Nirmala UI"/>
          <w:spacing w:val="1"/>
          <w:w w:val="100"/>
          <w:sz w:val="28"/>
          <w:szCs w:val="28"/>
        </w:rPr>
        <w:t>ा</w:t>
      </w:r>
      <w:r>
        <w:rPr>
          <w:rFonts w:ascii="Nirmala UI" w:hAnsi="Nirmala UI" w:cs="Nirmala UI" w:eastAsia="Nirmala UI"/>
          <w:w w:val="109"/>
          <w:sz w:val="28"/>
          <w:szCs w:val="28"/>
        </w:rPr>
        <w:t>त</w:t>
      </w:r>
      <w:r>
        <w:rPr>
          <w:rFonts w:ascii="Nirmala UI" w:hAnsi="Nirmala UI" w:cs="Nirmala UI" w:eastAsia="Nirmala UI"/>
          <w:spacing w:val="-36"/>
          <w:sz w:val="28"/>
          <w:szCs w:val="28"/>
        </w:rPr>
        <w:t> </w:t>
      </w:r>
      <w:r>
        <w:rPr>
          <w:rFonts w:ascii="Nirmala UI" w:hAnsi="Nirmala UI" w:cs="Nirmala UI" w:eastAsia="Nirmala UI"/>
          <w:w w:val="100"/>
          <w:sz w:val="28"/>
          <w:szCs w:val="28"/>
        </w:rPr>
        <w:t>्</w:t>
      </w:r>
      <w:r>
        <w:rPr>
          <w:rFonts w:ascii="Nirmala UI" w:hAnsi="Nirmala UI" w:cs="Nirmala UI" w:eastAsia="Nirmala UI"/>
          <w:spacing w:val="21"/>
          <w:sz w:val="28"/>
          <w:szCs w:val="28"/>
        </w:rPr>
        <w:t> </w:t>
      </w:r>
      <w:r>
        <w:rPr>
          <w:rFonts w:ascii="Nirmala UI" w:hAnsi="Nirmala UI" w:cs="Nirmala UI" w:eastAsia="Nirmala UI"/>
          <w:spacing w:val="-1"/>
          <w:w w:val="99"/>
          <w:sz w:val="28"/>
          <w:szCs w:val="28"/>
        </w:rPr>
        <w:t>प</w:t>
      </w:r>
      <w:r>
        <w:rPr>
          <w:rFonts w:ascii="Nirmala UI" w:hAnsi="Nirmala UI" w:cs="Nirmala UI" w:eastAsia="Nirmala UI"/>
          <w:spacing w:val="-2"/>
          <w:w w:val="120"/>
          <w:sz w:val="28"/>
          <w:szCs w:val="28"/>
        </w:rPr>
        <w:t>ि</w:t>
      </w:r>
      <w:r>
        <w:rPr>
          <w:rFonts w:ascii="Nirmala UI" w:hAnsi="Nirmala UI" w:cs="Nirmala UI" w:eastAsia="Nirmala UI"/>
          <w:w w:val="60"/>
          <w:sz w:val="28"/>
          <w:szCs w:val="28"/>
        </w:rPr>
        <w:t>श्</w:t>
      </w:r>
      <w:r>
        <w:rPr>
          <w:rFonts w:ascii="Nirmala UI" w:hAnsi="Nirmala UI" w:cs="Nirmala UI" w:eastAsia="Nirmala UI"/>
          <w:spacing w:val="-1"/>
          <w:w w:val="104"/>
          <w:sz w:val="28"/>
          <w:szCs w:val="28"/>
        </w:rPr>
        <w:t>च</w:t>
      </w:r>
      <w:r>
        <w:rPr>
          <w:rFonts w:ascii="Nirmala UI" w:hAnsi="Nirmala UI" w:cs="Nirmala UI" w:eastAsia="Nirmala UI"/>
          <w:spacing w:val="-2"/>
          <w:w w:val="108"/>
          <w:sz w:val="28"/>
          <w:szCs w:val="28"/>
        </w:rPr>
        <w:t>म</w:t>
      </w:r>
      <w:r>
        <w:rPr>
          <w:rFonts w:ascii="Nirmala UI" w:hAnsi="Nirmala UI" w:cs="Nirmala UI" w:eastAsia="Nirmala UI"/>
          <w:w w:val="108"/>
          <w:sz w:val="28"/>
          <w:szCs w:val="28"/>
        </w:rPr>
        <w:t>े</w:t>
      </w:r>
      <w:r>
        <w:rPr>
          <w:rFonts w:ascii="Nirmala UI" w:hAnsi="Nirmala UI" w:cs="Nirmala UI" w:eastAsia="Nirmala UI"/>
          <w:sz w:val="28"/>
          <w:szCs w:val="28"/>
        </w:rPr>
        <w:t> </w:t>
      </w:r>
      <w:r>
        <w:rPr>
          <w:rFonts w:ascii="Nirmala UI" w:hAnsi="Nirmala UI" w:cs="Nirmala UI" w:eastAsia="Nirmala UI"/>
          <w:spacing w:val="-14"/>
          <w:sz w:val="28"/>
          <w:szCs w:val="28"/>
        </w:rPr>
        <w:t> </w:t>
      </w:r>
      <w:r>
        <w:rPr>
          <w:rFonts w:ascii="Nirmala UI" w:hAnsi="Nirmala UI" w:cs="Nirmala UI" w:eastAsia="Nirmala UI"/>
          <w:spacing w:val="-2"/>
          <w:w w:val="101"/>
          <w:sz w:val="28"/>
          <w:szCs w:val="28"/>
        </w:rPr>
        <w:t>भा</w:t>
      </w:r>
      <w:r>
        <w:rPr>
          <w:rFonts w:ascii="Nirmala UI" w:hAnsi="Nirmala UI" w:cs="Nirmala UI" w:eastAsia="Nirmala UI"/>
          <w:spacing w:val="-2"/>
          <w:w w:val="112"/>
          <w:sz w:val="28"/>
          <w:szCs w:val="28"/>
        </w:rPr>
        <w:t>ग</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2"/>
          <w:sz w:val="28"/>
          <w:szCs w:val="28"/>
        </w:rPr>
        <w:t> </w:t>
      </w:r>
      <w:r>
        <w:rPr>
          <w:rFonts w:ascii="Nirmala UI" w:hAnsi="Nirmala UI" w:cs="Nirmala UI" w:eastAsia="Nirmala UI"/>
          <w:spacing w:val="1"/>
          <w:w w:val="104"/>
          <w:sz w:val="28"/>
          <w:szCs w:val="28"/>
        </w:rPr>
        <w:t>ज</w:t>
      </w:r>
      <w:r>
        <w:rPr>
          <w:rFonts w:ascii="Nirmala UI" w:hAnsi="Nirmala UI" w:cs="Nirmala UI" w:eastAsia="Nirmala UI"/>
          <w:w w:val="86"/>
          <w:sz w:val="28"/>
          <w:szCs w:val="28"/>
        </w:rPr>
        <w:t>न</w:t>
      </w:r>
      <w:r>
        <w:rPr>
          <w:rFonts w:ascii="Nirmala UI" w:hAnsi="Nirmala UI" w:cs="Nirmala UI" w:eastAsia="Nirmala UI"/>
          <w:spacing w:val="-1"/>
          <w:w w:val="86"/>
          <w:sz w:val="28"/>
          <w:szCs w:val="28"/>
        </w:rPr>
        <w:t>्</w:t>
      </w:r>
      <w:r>
        <w:rPr>
          <w:rFonts w:ascii="Nirmala UI" w:hAnsi="Nirmala UI" w:cs="Nirmala UI" w:eastAsia="Nirmala UI"/>
          <w:spacing w:val="-2"/>
          <w:w w:val="93"/>
          <w:sz w:val="28"/>
          <w:szCs w:val="28"/>
        </w:rPr>
        <w:t>मस</w:t>
      </w:r>
      <w:r>
        <w:rPr>
          <w:rFonts w:ascii="Nirmala UI" w:hAnsi="Nirmala UI" w:cs="Nirmala UI" w:eastAsia="Nirmala UI"/>
          <w:spacing w:val="-1"/>
          <w:w w:val="93"/>
          <w:sz w:val="28"/>
          <w:szCs w:val="28"/>
        </w:rPr>
        <w:t>्</w:t>
      </w:r>
      <w:r>
        <w:rPr>
          <w:rFonts w:ascii="Nirmala UI" w:hAnsi="Nirmala UI" w:cs="Nirmala UI" w:eastAsia="Nirmala UI"/>
          <w:spacing w:val="-1"/>
          <w:w w:val="110"/>
          <w:sz w:val="28"/>
          <w:szCs w:val="28"/>
        </w:rPr>
        <w:t>थ</w:t>
      </w:r>
      <w:r>
        <w:rPr>
          <w:rFonts w:ascii="Nirmala UI" w:hAnsi="Nirmala UI" w:cs="Nirmala UI" w:eastAsia="Nirmala UI"/>
          <w:spacing w:val="1"/>
          <w:w w:val="100"/>
          <w:sz w:val="28"/>
          <w:szCs w:val="28"/>
        </w:rPr>
        <w:t>ा</w:t>
      </w:r>
      <w:r>
        <w:rPr>
          <w:rFonts w:ascii="Nirmala UI" w:hAnsi="Nirmala UI" w:cs="Nirmala UI" w:eastAsia="Nirmala UI"/>
          <w:spacing w:val="-1"/>
          <w:w w:val="111"/>
          <w:sz w:val="28"/>
          <w:szCs w:val="28"/>
        </w:rPr>
        <w:t>न</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2"/>
          <w:w w:val="109"/>
          <w:sz w:val="28"/>
          <w:szCs w:val="28"/>
        </w:rPr>
        <w:t>त</w:t>
      </w:r>
      <w:r>
        <w:rPr>
          <w:rFonts w:ascii="Nirmala UI" w:hAnsi="Nirmala UI" w:cs="Nirmala UI" w:eastAsia="Nirmala UI"/>
          <w:w w:val="109"/>
          <w:sz w:val="28"/>
          <w:szCs w:val="28"/>
        </w:rPr>
        <w:t>त</w:t>
      </w:r>
      <w:r>
        <w:rPr>
          <w:rFonts w:ascii="Nirmala UI" w:hAnsi="Nirmala UI" w:cs="Nirmala UI" w:eastAsia="Nirmala UI"/>
          <w:w w:val="120"/>
          <w:sz w:val="28"/>
          <w:szCs w:val="28"/>
        </w:rPr>
        <w:t>ः</w:t>
      </w:r>
      <w:r>
        <w:rPr>
          <w:rFonts w:ascii="Nirmala UI" w:hAnsi="Nirmala UI" w:cs="Nirmala UI" w:eastAsia="Nirmala UI"/>
          <w:sz w:val="28"/>
          <w:szCs w:val="28"/>
        </w:rPr>
        <w:t> </w:t>
      </w:r>
      <w:r>
        <w:rPr>
          <w:rFonts w:ascii="Nirmala UI" w:hAnsi="Nirmala UI" w:cs="Nirmala UI" w:eastAsia="Nirmala UI"/>
          <w:spacing w:val="-14"/>
          <w:sz w:val="28"/>
          <w:szCs w:val="28"/>
        </w:rPr>
        <w:t> </w:t>
      </w:r>
      <w:r>
        <w:rPr>
          <w:rFonts w:ascii="Nirmala UI" w:hAnsi="Nirmala UI" w:cs="Nirmala UI" w:eastAsia="Nirmala UI"/>
          <w:w w:val="79"/>
          <w:sz w:val="28"/>
          <w:szCs w:val="28"/>
        </w:rPr>
        <w:t>स</w:t>
      </w:r>
      <w:r>
        <w:rPr>
          <w:rFonts w:ascii="Nirmala UI" w:hAnsi="Nirmala UI" w:cs="Nirmala UI" w:eastAsia="Nirmala UI"/>
          <w:spacing w:val="-3"/>
          <w:w w:val="79"/>
          <w:sz w:val="28"/>
          <w:szCs w:val="28"/>
        </w:rPr>
        <w:t>्</w:t>
      </w:r>
      <w:r>
        <w:rPr>
          <w:rFonts w:ascii="Nirmala UI" w:hAnsi="Nirmala UI" w:cs="Nirmala UI" w:eastAsia="Nirmala UI"/>
          <w:spacing w:val="-1"/>
          <w:w w:val="108"/>
          <w:sz w:val="28"/>
          <w:szCs w:val="28"/>
        </w:rPr>
        <w:t>म</w:t>
      </w:r>
      <w:r>
        <w:rPr>
          <w:rFonts w:ascii="Nirmala UI" w:hAnsi="Nirmala UI" w:cs="Nirmala UI" w:eastAsia="Nirmala UI"/>
          <w:w w:val="109"/>
          <w:sz w:val="28"/>
          <w:szCs w:val="28"/>
        </w:rPr>
        <w:t>त</w:t>
      </w:r>
      <w:r>
        <w:rPr>
          <w:rFonts w:ascii="Nirmala UI" w:hAnsi="Nirmala UI" w:cs="Nirmala UI" w:eastAsia="Nirmala UI"/>
          <w:spacing w:val="-2"/>
          <w:w w:val="103"/>
          <w:sz w:val="28"/>
          <w:szCs w:val="28"/>
        </w:rPr>
        <w:t>म</w:t>
      </w:r>
      <w:r>
        <w:rPr>
          <w:rFonts w:ascii="Nirmala UI" w:hAnsi="Nirmala UI" w:cs="Nirmala UI" w:eastAsia="Nirmala UI"/>
          <w:w w:val="103"/>
          <w:sz w:val="28"/>
          <w:szCs w:val="28"/>
        </w:rPr>
        <w:t>॥</w:t>
      </w:r>
      <w:r>
        <w:rPr>
          <w:rFonts w:ascii="Nirmala UI" w:hAnsi="Nirmala UI" w:cs="Nirmala UI" w:eastAsia="Nirmala UI"/>
          <w:spacing w:val="-1"/>
          <w:w w:val="107"/>
          <w:sz w:val="28"/>
          <w:szCs w:val="28"/>
        </w:rPr>
        <w:t>19</w:t>
      </w:r>
      <w:r>
        <w:rPr>
          <w:rFonts w:ascii="Nirmala UI" w:hAnsi="Nirmala UI" w:cs="Nirmala UI" w:eastAsia="Nirmala UI"/>
          <w:w w:val="96"/>
          <w:sz w:val="28"/>
          <w:szCs w:val="28"/>
        </w:rPr>
        <w:t>॥</w:t>
      </w:r>
    </w:p>
    <w:p>
      <w:pPr>
        <w:pStyle w:val="BodyText"/>
        <w:rPr>
          <w:rFonts w:ascii="Nirmala UI"/>
          <w:sz w:val="20"/>
        </w:rPr>
      </w:pPr>
    </w:p>
    <w:p>
      <w:pPr>
        <w:spacing w:line="240" w:lineRule="auto" w:before="254"/>
        <w:ind w:left="1011" w:right="1244" w:firstLine="588"/>
        <w:jc w:val="both"/>
        <w:rPr>
          <w:rFonts w:ascii="Courier New"/>
          <w:sz w:val="28"/>
        </w:rPr>
      </w:pPr>
      <w:r>
        <w:rPr>
          <w:rFonts w:ascii="Courier New"/>
          <w:sz w:val="28"/>
        </w:rPr>
        <w:t>To the north-east of that spot is the place of the birth of Rama. This holy spot of the birth is said to be the means of achieving salvation etc. It is said that the place of birth is situated to the east of Vighnesvara, the north of Vasistha and to the west of Laumasa.</w:t>
      </w:r>
    </w:p>
    <w:p>
      <w:pPr>
        <w:pStyle w:val="BodyText"/>
        <w:spacing w:before="1"/>
        <w:rPr>
          <w:rFonts w:ascii="Courier New"/>
          <w:sz w:val="19"/>
        </w:rPr>
      </w:pPr>
    </w:p>
    <w:p>
      <w:pPr>
        <w:spacing w:before="146"/>
        <w:ind w:left="512" w:right="793" w:firstLine="0"/>
        <w:jc w:val="center"/>
        <w:rPr>
          <w:rFonts w:ascii="Nirmala UI" w:hAnsi="Nirmala UI" w:cs="Nirmala UI" w:eastAsia="Nirmala UI"/>
          <w:sz w:val="28"/>
          <w:szCs w:val="28"/>
        </w:rPr>
      </w:pPr>
      <w:r>
        <w:rPr>
          <w:rFonts w:ascii="Nirmala UI" w:hAnsi="Nirmala UI" w:cs="Nirmala UI" w:eastAsia="Nirmala UI"/>
          <w:sz w:val="28"/>
          <w:szCs w:val="28"/>
        </w:rPr>
        <w:t>यद् दृष्द्वा च मन</w:t>
      </w:r>
      <w:r>
        <w:rPr>
          <w:rFonts w:ascii="Nirmala UI" w:hAnsi="Nirmala UI" w:cs="Nirmala UI" w:eastAsia="Nirmala UI"/>
          <w:position w:val="-1"/>
          <w:sz w:val="28"/>
          <w:szCs w:val="28"/>
        </w:rPr>
        <w:t>ु</w:t>
      </w:r>
      <w:r>
        <w:rPr>
          <w:rFonts w:ascii="Nirmala UI" w:hAnsi="Nirmala UI" w:cs="Nirmala UI" w:eastAsia="Nirmala UI"/>
          <w:sz w:val="28"/>
          <w:szCs w:val="28"/>
        </w:rPr>
        <w:t>ष्यस्य गभवासजयो</w:t>
      </w:r>
      <w:r>
        <w:rPr>
          <w:rFonts w:ascii="Nirmala UI" w:hAnsi="Nirmala UI" w:cs="Nirmala UI" w:eastAsia="Nirmala UI"/>
          <w:spacing w:val="68"/>
          <w:sz w:val="28"/>
          <w:szCs w:val="28"/>
        </w:rPr>
        <w:t> </w:t>
      </w:r>
      <w:r>
        <w:rPr>
          <w:rFonts w:ascii="Nirmala UI" w:hAnsi="Nirmala UI" w:cs="Nirmala UI" w:eastAsia="Nirmala UI"/>
          <w:spacing w:val="-21"/>
          <w:sz w:val="28"/>
          <w:szCs w:val="28"/>
        </w:rPr>
        <w:t>भवत।</w:t>
      </w:r>
    </w:p>
    <w:p>
      <w:pPr>
        <w:spacing w:before="79"/>
        <w:ind w:left="832" w:right="793" w:firstLine="0"/>
        <w:jc w:val="center"/>
        <w:rPr>
          <w:rFonts w:ascii="Nirmala UI" w:hAnsi="Nirmala UI" w:cs="Nirmala UI" w:eastAsia="Nirmala UI"/>
          <w:sz w:val="28"/>
          <w:szCs w:val="28"/>
        </w:rPr>
      </w:pPr>
      <w:r>
        <w:rPr>
          <w:rFonts w:ascii="Nirmala UI" w:hAnsi="Nirmala UI" w:cs="Nirmala UI" w:eastAsia="Nirmala UI"/>
          <w:spacing w:val="1"/>
          <w:w w:val="48"/>
          <w:sz w:val="28"/>
          <w:szCs w:val="28"/>
        </w:rPr>
        <w:t>�</w:t>
      </w:r>
      <w:r>
        <w:rPr>
          <w:rFonts w:ascii="Nirmala UI" w:hAnsi="Nirmala UI" w:cs="Nirmala UI" w:eastAsia="Nirmala UI"/>
          <w:spacing w:val="-1"/>
          <w:w w:val="107"/>
          <w:sz w:val="28"/>
          <w:szCs w:val="28"/>
        </w:rPr>
        <w:t>वन</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3"/>
          <w:w w:val="94"/>
          <w:sz w:val="28"/>
          <w:szCs w:val="28"/>
        </w:rPr>
        <w:t>द</w:t>
      </w:r>
      <w:r>
        <w:rPr>
          <w:rFonts w:ascii="Nirmala UI" w:hAnsi="Nirmala UI" w:cs="Nirmala UI" w:eastAsia="Nirmala UI"/>
          <w:spacing w:val="1"/>
          <w:w w:val="94"/>
          <w:sz w:val="28"/>
          <w:szCs w:val="28"/>
        </w:rPr>
        <w:t>ा</w:t>
      </w:r>
      <w:r>
        <w:rPr>
          <w:rFonts w:ascii="Nirmala UI" w:hAnsi="Nirmala UI" w:cs="Nirmala UI" w:eastAsia="Nirmala UI"/>
          <w:spacing w:val="-1"/>
          <w:w w:val="111"/>
          <w:sz w:val="28"/>
          <w:szCs w:val="28"/>
        </w:rPr>
        <w:t>न</w:t>
      </w:r>
      <w:r>
        <w:rPr>
          <w:rFonts w:ascii="Nirmala UI" w:hAnsi="Nirmala UI" w:cs="Nirmala UI" w:eastAsia="Nirmala UI"/>
          <w:w w:val="100"/>
          <w:sz w:val="28"/>
          <w:szCs w:val="28"/>
        </w:rPr>
        <w:t>े</w:t>
      </w:r>
      <w:r>
        <w:rPr>
          <w:rFonts w:ascii="Nirmala UI" w:hAnsi="Nirmala UI" w:cs="Nirmala UI" w:eastAsia="Nirmala UI"/>
          <w:w w:val="111"/>
          <w:sz w:val="28"/>
          <w:szCs w:val="28"/>
        </w:rPr>
        <w:t>न</w:t>
      </w:r>
      <w:r>
        <w:rPr>
          <w:rFonts w:ascii="Nirmala UI" w:hAnsi="Nirmala UI" w:cs="Nirmala UI" w:eastAsia="Nirmala UI"/>
          <w:sz w:val="28"/>
          <w:szCs w:val="28"/>
        </w:rPr>
        <w:t> </w:t>
      </w:r>
      <w:r>
        <w:rPr>
          <w:rFonts w:ascii="Nirmala UI" w:hAnsi="Nirmala UI" w:cs="Nirmala UI" w:eastAsia="Nirmala UI"/>
          <w:spacing w:val="13"/>
          <w:sz w:val="28"/>
          <w:szCs w:val="28"/>
        </w:rPr>
        <w:t> </w:t>
      </w:r>
      <w:r>
        <w:rPr>
          <w:rFonts w:ascii="Nirmala UI" w:hAnsi="Nirmala UI" w:cs="Nirmala UI" w:eastAsia="Nirmala UI"/>
          <w:w w:val="109"/>
          <w:sz w:val="28"/>
          <w:szCs w:val="28"/>
        </w:rPr>
        <w:t>त</w:t>
      </w:r>
      <w:r>
        <w:rPr>
          <w:rFonts w:ascii="Nirmala UI" w:hAnsi="Nirmala UI" w:cs="Nirmala UI" w:eastAsia="Nirmala UI"/>
          <w:spacing w:val="-1"/>
          <w:w w:val="99"/>
          <w:sz w:val="28"/>
          <w:szCs w:val="28"/>
        </w:rPr>
        <w:t>प</w:t>
      </w:r>
      <w:r>
        <w:rPr>
          <w:rFonts w:ascii="Nirmala UI" w:hAnsi="Nirmala UI" w:cs="Nirmala UI" w:eastAsia="Nirmala UI"/>
          <w:spacing w:val="-2"/>
          <w:w w:val="101"/>
          <w:sz w:val="28"/>
          <w:szCs w:val="28"/>
        </w:rPr>
        <w:t>स</w:t>
      </w:r>
      <w:r>
        <w:rPr>
          <w:rFonts w:ascii="Nirmala UI" w:hAnsi="Nirmala UI" w:cs="Nirmala UI" w:eastAsia="Nirmala UI"/>
          <w:w w:val="101"/>
          <w:sz w:val="28"/>
          <w:szCs w:val="28"/>
        </w:rPr>
        <w:t>ा</w:t>
      </w:r>
      <w:r>
        <w:rPr>
          <w:rFonts w:ascii="Nirmala UI" w:hAnsi="Nirmala UI" w:cs="Nirmala UI" w:eastAsia="Nirmala UI"/>
          <w:sz w:val="28"/>
          <w:szCs w:val="28"/>
        </w:rPr>
        <w:t> </w:t>
      </w:r>
      <w:r>
        <w:rPr>
          <w:rFonts w:ascii="Nirmala UI" w:hAnsi="Nirmala UI" w:cs="Nirmala UI" w:eastAsia="Nirmala UI"/>
          <w:spacing w:val="13"/>
          <w:sz w:val="28"/>
          <w:szCs w:val="28"/>
        </w:rPr>
        <w:t> </w:t>
      </w:r>
      <w:r>
        <w:rPr>
          <w:rFonts w:ascii="Nirmala UI" w:hAnsi="Nirmala UI" w:cs="Nirmala UI" w:eastAsia="Nirmala UI"/>
          <w:spacing w:val="-2"/>
          <w:w w:val="74"/>
          <w:sz w:val="28"/>
          <w:szCs w:val="28"/>
        </w:rPr>
        <w:t>�</w:t>
      </w:r>
      <w:r>
        <w:rPr>
          <w:rFonts w:ascii="Nirmala UI" w:hAnsi="Nirmala UI" w:cs="Nirmala UI" w:eastAsia="Nirmala UI"/>
          <w:spacing w:val="-1"/>
          <w:w w:val="74"/>
          <w:sz w:val="28"/>
          <w:szCs w:val="28"/>
        </w:rPr>
        <w:t>व</w:t>
      </w:r>
      <w:r>
        <w:rPr>
          <w:rFonts w:ascii="Nirmala UI" w:hAnsi="Nirmala UI" w:cs="Nirmala UI" w:eastAsia="Nirmala UI"/>
          <w:spacing w:val="-1"/>
          <w:w w:val="111"/>
          <w:sz w:val="28"/>
          <w:szCs w:val="28"/>
        </w:rPr>
        <w:t>न</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2"/>
          <w:w w:val="106"/>
          <w:sz w:val="28"/>
          <w:szCs w:val="28"/>
        </w:rPr>
        <w:t>त</w:t>
      </w:r>
      <w:r>
        <w:rPr>
          <w:rFonts w:ascii="Nirmala UI" w:hAnsi="Nirmala UI" w:cs="Nirmala UI" w:eastAsia="Nirmala UI"/>
          <w:spacing w:val="1"/>
          <w:w w:val="106"/>
          <w:sz w:val="28"/>
          <w:szCs w:val="28"/>
        </w:rPr>
        <w:t>ी</w:t>
      </w:r>
      <w:r>
        <w:rPr>
          <w:rFonts w:ascii="Nirmala UI" w:hAnsi="Nirmala UI" w:cs="Nirmala UI" w:eastAsia="Nirmala UI"/>
          <w:spacing w:val="-1"/>
          <w:w w:val="110"/>
          <w:sz w:val="28"/>
          <w:szCs w:val="28"/>
        </w:rPr>
        <w:t>थ</w:t>
      </w:r>
      <w:r>
        <w:rPr>
          <w:rFonts w:ascii="Nirmala UI" w:hAnsi="Nirmala UI" w:cs="Nirmala UI" w:eastAsia="Nirmala UI"/>
          <w:w w:val="100"/>
          <w:sz w:val="28"/>
          <w:szCs w:val="28"/>
        </w:rPr>
        <w:t>�</w:t>
      </w:r>
      <w:r>
        <w:rPr>
          <w:rFonts w:ascii="Nirmala UI" w:hAnsi="Nirmala UI" w:cs="Nirmala UI" w:eastAsia="Nirmala UI"/>
          <w:spacing w:val="1"/>
          <w:w w:val="48"/>
          <w:sz w:val="28"/>
          <w:szCs w:val="28"/>
        </w:rPr>
        <w:t>�</w:t>
      </w:r>
      <w:r>
        <w:rPr>
          <w:rFonts w:ascii="Nirmala UI" w:hAnsi="Nirmala UI" w:cs="Nirmala UI" w:eastAsia="Nirmala UI"/>
          <w:spacing w:val="-1"/>
          <w:w w:val="102"/>
          <w:sz w:val="28"/>
          <w:szCs w:val="28"/>
        </w:rPr>
        <w:t>व</w:t>
      </w:r>
      <w:r>
        <w:rPr>
          <w:rFonts w:ascii="Nirmala UI" w:hAnsi="Nirmala UI" w:cs="Nirmala UI" w:eastAsia="Nirmala UI"/>
          <w:spacing w:val="-1"/>
          <w:w w:val="111"/>
          <w:sz w:val="28"/>
          <w:szCs w:val="28"/>
        </w:rPr>
        <w:t>न</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4"/>
          <w:w w:val="103"/>
          <w:sz w:val="28"/>
          <w:szCs w:val="28"/>
        </w:rPr>
        <w:t>म</w:t>
      </w:r>
      <w:r>
        <w:rPr>
          <w:rFonts w:ascii="Nirmala UI" w:hAnsi="Nirmala UI" w:cs="Nirmala UI" w:eastAsia="Nirmala UI"/>
          <w:w w:val="103"/>
          <w:sz w:val="28"/>
          <w:szCs w:val="28"/>
        </w:rPr>
        <w:t>ख</w:t>
      </w:r>
      <w:r>
        <w:rPr>
          <w:rFonts w:ascii="Nirmala UI" w:hAnsi="Nirmala UI" w:cs="Nirmala UI" w:eastAsia="Nirmala UI"/>
          <w:w w:val="100"/>
          <w:sz w:val="28"/>
          <w:szCs w:val="28"/>
        </w:rPr>
        <w:t>ै</w:t>
      </w:r>
      <w:r>
        <w:rPr>
          <w:rFonts w:ascii="Courier New" w:hAnsi="Courier New" w:cs="Courier New" w:eastAsia="Courier New"/>
          <w:spacing w:val="-3"/>
          <w:w w:val="100"/>
          <w:sz w:val="28"/>
          <w:szCs w:val="28"/>
        </w:rPr>
        <w:t>:</w:t>
      </w:r>
      <w:r>
        <w:rPr>
          <w:rFonts w:ascii="Nirmala UI" w:hAnsi="Nirmala UI" w:cs="Nirmala UI" w:eastAsia="Nirmala UI"/>
          <w:w w:val="96"/>
          <w:sz w:val="28"/>
          <w:szCs w:val="28"/>
        </w:rPr>
        <w:t>॥</w:t>
      </w:r>
      <w:r>
        <w:rPr>
          <w:rFonts w:ascii="Courier New" w:hAnsi="Courier New" w:cs="Courier New" w:eastAsia="Courier New"/>
          <w:spacing w:val="-1"/>
          <w:w w:val="100"/>
          <w:sz w:val="28"/>
          <w:szCs w:val="28"/>
        </w:rPr>
        <w:t>20</w:t>
      </w:r>
      <w:r>
        <w:rPr>
          <w:rFonts w:ascii="Nirmala UI" w:hAnsi="Nirmala UI" w:cs="Nirmala UI" w:eastAsia="Nirmala UI"/>
          <w:w w:val="96"/>
          <w:sz w:val="28"/>
          <w:szCs w:val="28"/>
        </w:rPr>
        <w:t>॥</w:t>
      </w:r>
    </w:p>
    <w:p>
      <w:pPr>
        <w:spacing w:after="0"/>
        <w:jc w:val="center"/>
        <w:rPr>
          <w:rFonts w:ascii="Nirmala UI" w:hAnsi="Nirmala UI" w:cs="Nirmala UI" w:eastAsia="Nirmala UI"/>
          <w:sz w:val="28"/>
          <w:szCs w:val="28"/>
        </w:rPr>
        <w:sectPr>
          <w:type w:val="continuous"/>
          <w:pgSz w:w="11910" w:h="16840"/>
          <w:pgMar w:top="1340" w:bottom="1200" w:left="1280" w:right="1280"/>
        </w:sectPr>
      </w:pPr>
    </w:p>
    <w:p>
      <w:pPr>
        <w:spacing w:line="292" w:lineRule="auto" w:before="84"/>
        <w:ind w:left="2003" w:right="-2" w:firstLine="0"/>
        <w:jc w:val="left"/>
        <w:rPr>
          <w:rFonts w:ascii="Nirmala UI" w:hAnsi="Nirmala UI" w:cs="Nirmala UI" w:eastAsia="Nirmala UI"/>
          <w:sz w:val="28"/>
          <w:szCs w:val="28"/>
        </w:rPr>
      </w:pPr>
      <w:r>
        <w:rPr>
          <w:rFonts w:ascii="Nirmala UI" w:hAnsi="Nirmala UI" w:cs="Nirmala UI" w:eastAsia="Nirmala UI"/>
          <w:spacing w:val="-1"/>
          <w:w w:val="111"/>
          <w:sz w:val="28"/>
          <w:szCs w:val="28"/>
        </w:rPr>
        <w:t>न</w:t>
      </w:r>
      <w:r>
        <w:rPr>
          <w:rFonts w:ascii="Nirmala UI" w:hAnsi="Nirmala UI" w:cs="Nirmala UI" w:eastAsia="Nirmala UI"/>
          <w:spacing w:val="-1"/>
          <w:w w:val="102"/>
          <w:sz w:val="28"/>
          <w:szCs w:val="28"/>
        </w:rPr>
        <w:t>व</w:t>
      </w:r>
      <w:r>
        <w:rPr>
          <w:rFonts w:ascii="Nirmala UI" w:hAnsi="Nirmala UI" w:cs="Nirmala UI" w:eastAsia="Nirmala UI"/>
          <w:spacing w:val="-2"/>
          <w:w w:val="106"/>
          <w:sz w:val="28"/>
          <w:szCs w:val="28"/>
        </w:rPr>
        <w:t>म</w:t>
      </w:r>
      <w:r>
        <w:rPr>
          <w:rFonts w:ascii="Nirmala UI" w:hAnsi="Nirmala UI" w:cs="Nirmala UI" w:eastAsia="Nirmala UI"/>
          <w:w w:val="106"/>
          <w:sz w:val="28"/>
          <w:szCs w:val="28"/>
        </w:rPr>
        <w:t>ी</w:t>
      </w:r>
      <w:r>
        <w:rPr>
          <w:rFonts w:ascii="Nirmala UI" w:hAnsi="Nirmala UI" w:cs="Nirmala UI" w:eastAsia="Nirmala UI"/>
          <w:spacing w:val="1"/>
          <w:w w:val="48"/>
          <w:sz w:val="28"/>
          <w:szCs w:val="28"/>
        </w:rPr>
        <w:t>�</w:t>
      </w:r>
      <w:r>
        <w:rPr>
          <w:rFonts w:ascii="Nirmala UI" w:hAnsi="Nirmala UI" w:cs="Nirmala UI" w:eastAsia="Nirmala UI"/>
          <w:spacing w:val="-1"/>
          <w:w w:val="92"/>
          <w:sz w:val="28"/>
          <w:szCs w:val="28"/>
        </w:rPr>
        <w:t>द</w:t>
      </w:r>
      <w:r>
        <w:rPr>
          <w:rFonts w:ascii="Nirmala UI" w:hAnsi="Nirmala UI" w:cs="Nirmala UI" w:eastAsia="Nirmala UI"/>
          <w:spacing w:val="-1"/>
          <w:w w:val="102"/>
          <w:sz w:val="28"/>
          <w:szCs w:val="28"/>
        </w:rPr>
        <w:t>व</w:t>
      </w:r>
      <w:r>
        <w:rPr>
          <w:rFonts w:ascii="Nirmala UI" w:hAnsi="Nirmala UI" w:cs="Nirmala UI" w:eastAsia="Nirmala UI"/>
          <w:spacing w:val="-2"/>
          <w:w w:val="101"/>
          <w:sz w:val="28"/>
          <w:szCs w:val="28"/>
        </w:rPr>
        <w:t>स</w:t>
      </w:r>
      <w:r>
        <w:rPr>
          <w:rFonts w:ascii="Nirmala UI" w:hAnsi="Nirmala UI" w:cs="Nirmala UI" w:eastAsia="Nirmala UI"/>
          <w:w w:val="101"/>
          <w:sz w:val="28"/>
          <w:szCs w:val="28"/>
        </w:rPr>
        <w:t>े</w:t>
      </w:r>
      <w:r>
        <w:rPr>
          <w:rFonts w:ascii="Nirmala UI" w:hAnsi="Nirmala UI" w:cs="Nirmala UI" w:eastAsia="Nirmala UI"/>
          <w:sz w:val="28"/>
          <w:szCs w:val="28"/>
        </w:rPr>
        <w:t> </w:t>
      </w:r>
      <w:r>
        <w:rPr>
          <w:rFonts w:ascii="Nirmala UI" w:hAnsi="Nirmala UI" w:cs="Nirmala UI" w:eastAsia="Nirmala UI"/>
          <w:spacing w:val="13"/>
          <w:sz w:val="28"/>
          <w:szCs w:val="28"/>
        </w:rPr>
        <w:t> </w:t>
      </w:r>
      <w:r>
        <w:rPr>
          <w:rFonts w:ascii="Nirmala UI" w:hAnsi="Nirmala UI" w:cs="Nirmala UI" w:eastAsia="Nirmala UI"/>
          <w:w w:val="55"/>
          <w:sz w:val="28"/>
          <w:szCs w:val="28"/>
        </w:rPr>
        <w:t>प्</w:t>
      </w:r>
      <w:r>
        <w:rPr>
          <w:rFonts w:ascii="Nirmala UI" w:hAnsi="Nirmala UI" w:cs="Nirmala UI" w:eastAsia="Nirmala UI"/>
          <w:spacing w:val="-1"/>
          <w:w w:val="55"/>
          <w:sz w:val="28"/>
          <w:szCs w:val="28"/>
        </w:rPr>
        <w:t>र</w:t>
      </w:r>
      <w:r>
        <w:rPr>
          <w:rFonts w:ascii="Nirmala UI" w:hAnsi="Nirmala UI" w:cs="Nirmala UI" w:eastAsia="Nirmala UI"/>
          <w:spacing w:val="-2"/>
          <w:w w:val="100"/>
          <w:sz w:val="28"/>
          <w:szCs w:val="28"/>
        </w:rPr>
        <w:t>ा</w:t>
      </w:r>
      <w:r>
        <w:rPr>
          <w:rFonts w:ascii="Nirmala UI" w:hAnsi="Nirmala UI" w:cs="Nirmala UI" w:eastAsia="Nirmala UI"/>
          <w:w w:val="73"/>
          <w:sz w:val="28"/>
          <w:szCs w:val="28"/>
        </w:rPr>
        <w:t>प्</w:t>
      </w:r>
      <w:r>
        <w:rPr>
          <w:rFonts w:ascii="Nirmala UI" w:hAnsi="Nirmala UI" w:cs="Nirmala UI" w:eastAsia="Nirmala UI"/>
          <w:w w:val="109"/>
          <w:sz w:val="28"/>
          <w:szCs w:val="28"/>
        </w:rPr>
        <w:t>त</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4"/>
          <w:sz w:val="28"/>
          <w:szCs w:val="28"/>
        </w:rPr>
        <w:t> </w:t>
      </w:r>
      <w:r>
        <w:rPr>
          <w:rFonts w:ascii="Nirmala UI" w:hAnsi="Nirmala UI" w:cs="Nirmala UI" w:eastAsia="Nirmala UI"/>
          <w:spacing w:val="-3"/>
          <w:w w:val="75"/>
          <w:sz w:val="28"/>
          <w:szCs w:val="28"/>
        </w:rPr>
        <w:t>व्र</w:t>
      </w:r>
      <w:r>
        <w:rPr>
          <w:rFonts w:ascii="Nirmala UI" w:hAnsi="Nirmala UI" w:cs="Nirmala UI" w:eastAsia="Nirmala UI"/>
          <w:w w:val="75"/>
          <w:sz w:val="28"/>
          <w:szCs w:val="28"/>
        </w:rPr>
        <w:t>त</w:t>
      </w:r>
      <w:r>
        <w:rPr>
          <w:rFonts w:ascii="Nirmala UI" w:hAnsi="Nirmala UI" w:cs="Nirmala UI" w:eastAsia="Nirmala UI"/>
          <w:spacing w:val="-1"/>
          <w:w w:val="111"/>
          <w:sz w:val="28"/>
          <w:szCs w:val="28"/>
        </w:rPr>
        <w:t>ध</w:t>
      </w:r>
      <w:r>
        <w:rPr>
          <w:rFonts w:ascii="Nirmala UI" w:hAnsi="Nirmala UI" w:cs="Nirmala UI" w:eastAsia="Nirmala UI"/>
          <w:spacing w:val="1"/>
          <w:w w:val="100"/>
          <w:sz w:val="28"/>
          <w:szCs w:val="28"/>
        </w:rPr>
        <w:t>ा</w:t>
      </w:r>
      <w:r>
        <w:rPr>
          <w:rFonts w:ascii="Nirmala UI" w:hAnsi="Nirmala UI" w:cs="Nirmala UI" w:eastAsia="Nirmala UI"/>
          <w:spacing w:val="-3"/>
          <w:w w:val="96"/>
          <w:sz w:val="28"/>
          <w:szCs w:val="28"/>
        </w:rPr>
        <w:t>र</w:t>
      </w:r>
      <w:r>
        <w:rPr>
          <w:rFonts w:ascii="Nirmala UI" w:hAnsi="Nirmala UI" w:cs="Nirmala UI" w:eastAsia="Nirmala UI"/>
          <w:w w:val="4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1"/>
          <w:w w:val="48"/>
          <w:sz w:val="28"/>
          <w:szCs w:val="28"/>
        </w:rPr>
        <w:t>�</w:t>
      </w:r>
      <w:r>
        <w:rPr>
          <w:rFonts w:ascii="Nirmala UI" w:hAnsi="Nirmala UI" w:cs="Nirmala UI" w:eastAsia="Nirmala UI"/>
          <w:w w:val="91"/>
          <w:sz w:val="28"/>
          <w:szCs w:val="28"/>
        </w:rPr>
        <w:t>ह</w:t>
      </w:r>
      <w:r>
        <w:rPr>
          <w:rFonts w:ascii="Nirmala UI" w:hAnsi="Nirmala UI" w:cs="Nirmala UI" w:eastAsia="Nirmala UI"/>
          <w:sz w:val="28"/>
          <w:szCs w:val="28"/>
        </w:rPr>
        <w:t> </w:t>
      </w:r>
      <w:r>
        <w:rPr>
          <w:rFonts w:ascii="Nirmala UI" w:hAnsi="Nirmala UI" w:cs="Nirmala UI" w:eastAsia="Nirmala UI"/>
          <w:spacing w:val="14"/>
          <w:sz w:val="28"/>
          <w:szCs w:val="28"/>
        </w:rPr>
        <w:t> </w:t>
      </w:r>
      <w:r>
        <w:rPr>
          <w:rFonts w:ascii="Nirmala UI" w:hAnsi="Nirmala UI" w:cs="Nirmala UI" w:eastAsia="Nirmala UI"/>
          <w:spacing w:val="-20"/>
          <w:w w:val="106"/>
          <w:sz w:val="28"/>
          <w:szCs w:val="28"/>
        </w:rPr>
        <w:t>म</w:t>
      </w:r>
      <w:r>
        <w:rPr>
          <w:rFonts w:ascii="Nirmala UI" w:hAnsi="Nirmala UI" w:cs="Nirmala UI" w:eastAsia="Nirmala UI"/>
          <w:spacing w:val="-15"/>
          <w:w w:val="106"/>
          <w:sz w:val="28"/>
          <w:szCs w:val="28"/>
        </w:rPr>
        <w:t>ा</w:t>
      </w:r>
      <w:r>
        <w:rPr>
          <w:rFonts w:ascii="Nirmala UI" w:hAnsi="Nirmala UI" w:cs="Nirmala UI" w:eastAsia="Nirmala UI"/>
          <w:spacing w:val="-17"/>
          <w:w w:val="111"/>
          <w:sz w:val="28"/>
          <w:szCs w:val="28"/>
        </w:rPr>
        <w:t>न</w:t>
      </w:r>
      <w:r>
        <w:rPr>
          <w:rFonts w:ascii="Nirmala UI" w:hAnsi="Nirmala UI" w:cs="Nirmala UI" w:eastAsia="Nirmala UI"/>
          <w:spacing w:val="-17"/>
          <w:w w:val="102"/>
          <w:sz w:val="28"/>
          <w:szCs w:val="28"/>
        </w:rPr>
        <w:t>व</w:t>
      </w:r>
      <w:r>
        <w:rPr>
          <w:rFonts w:ascii="Courier New" w:hAnsi="Courier New" w:cs="Courier New" w:eastAsia="Courier New"/>
          <w:spacing w:val="-17"/>
          <w:w w:val="100"/>
          <w:sz w:val="28"/>
          <w:szCs w:val="28"/>
        </w:rPr>
        <w:t>:</w:t>
      </w:r>
      <w:r>
        <w:rPr>
          <w:rFonts w:ascii="Nirmala UI" w:hAnsi="Nirmala UI" w:cs="Nirmala UI" w:eastAsia="Nirmala UI"/>
          <w:spacing w:val="-16"/>
          <w:w w:val="96"/>
          <w:sz w:val="28"/>
          <w:szCs w:val="28"/>
        </w:rPr>
        <w:t>।</w:t>
      </w:r>
      <w:r>
        <w:rPr>
          <w:rFonts w:ascii="Nirmala UI" w:hAnsi="Nirmala UI" w:cs="Nirmala UI" w:eastAsia="Nirmala UI"/>
          <w:w w:val="96"/>
          <w:sz w:val="28"/>
          <w:szCs w:val="28"/>
        </w:rPr>
        <w:t> </w:t>
      </w:r>
      <w:r>
        <w:rPr>
          <w:rFonts w:ascii="Nirmala UI" w:hAnsi="Nirmala UI" w:cs="Nirmala UI" w:eastAsia="Nirmala UI"/>
          <w:w w:val="79"/>
          <w:sz w:val="28"/>
          <w:szCs w:val="28"/>
        </w:rPr>
        <w:t>स</w:t>
      </w:r>
      <w:r>
        <w:rPr>
          <w:rFonts w:ascii="Nirmala UI" w:hAnsi="Nirmala UI" w:cs="Nirmala UI" w:eastAsia="Nirmala UI"/>
          <w:spacing w:val="-1"/>
          <w:w w:val="79"/>
          <w:sz w:val="28"/>
          <w:szCs w:val="28"/>
        </w:rPr>
        <w:t>्</w:t>
      </w:r>
      <w:r>
        <w:rPr>
          <w:rFonts w:ascii="Nirmala UI" w:hAnsi="Nirmala UI" w:cs="Nirmala UI" w:eastAsia="Nirmala UI"/>
          <w:spacing w:val="-1"/>
          <w:w w:val="111"/>
          <w:sz w:val="28"/>
          <w:szCs w:val="28"/>
        </w:rPr>
        <w:t>न</w:t>
      </w:r>
      <w:r>
        <w:rPr>
          <w:rFonts w:ascii="Nirmala UI" w:hAnsi="Nirmala UI" w:cs="Nirmala UI" w:eastAsia="Nirmala UI"/>
          <w:spacing w:val="1"/>
          <w:w w:val="100"/>
          <w:sz w:val="28"/>
          <w:szCs w:val="28"/>
        </w:rPr>
        <w:t>ा</w:t>
      </w:r>
      <w:r>
        <w:rPr>
          <w:rFonts w:ascii="Nirmala UI" w:hAnsi="Nirmala UI" w:cs="Nirmala UI" w:eastAsia="Nirmala UI"/>
          <w:spacing w:val="-1"/>
          <w:w w:val="111"/>
          <w:sz w:val="28"/>
          <w:szCs w:val="28"/>
        </w:rPr>
        <w:t>न</w:t>
      </w:r>
      <w:r>
        <w:rPr>
          <w:rFonts w:ascii="Nirmala UI" w:hAnsi="Nirmala UI" w:cs="Nirmala UI" w:eastAsia="Nirmala UI"/>
          <w:spacing w:val="-1"/>
          <w:w w:val="92"/>
          <w:sz w:val="28"/>
          <w:szCs w:val="28"/>
        </w:rPr>
        <w:t>द</w:t>
      </w:r>
      <w:r>
        <w:rPr>
          <w:rFonts w:ascii="Nirmala UI" w:hAnsi="Nirmala UI" w:cs="Nirmala UI" w:eastAsia="Nirmala UI"/>
          <w:spacing w:val="1"/>
          <w:w w:val="100"/>
          <w:sz w:val="28"/>
          <w:szCs w:val="28"/>
        </w:rPr>
        <w:t>ा</w:t>
      </w:r>
      <w:r>
        <w:rPr>
          <w:rFonts w:ascii="Nirmala UI" w:hAnsi="Nirmala UI" w:cs="Nirmala UI" w:eastAsia="Nirmala UI"/>
          <w:spacing w:val="-1"/>
          <w:w w:val="111"/>
          <w:sz w:val="28"/>
          <w:szCs w:val="28"/>
        </w:rPr>
        <w:t>न</w:t>
      </w:r>
      <w:r>
        <w:rPr>
          <w:rFonts w:ascii="Nirmala UI" w:hAnsi="Nirmala UI" w:cs="Nirmala UI" w:eastAsia="Nirmala UI"/>
          <w:spacing w:val="-1"/>
          <w:w w:val="73"/>
          <w:sz w:val="28"/>
          <w:szCs w:val="28"/>
        </w:rPr>
        <w:t>प्रभ</w:t>
      </w:r>
      <w:r>
        <w:rPr>
          <w:rFonts w:ascii="Nirmala UI" w:hAnsi="Nirmala UI" w:cs="Nirmala UI" w:eastAsia="Nirmala UI"/>
          <w:spacing w:val="1"/>
          <w:w w:val="100"/>
          <w:sz w:val="28"/>
          <w:szCs w:val="28"/>
        </w:rPr>
        <w:t>ा</w:t>
      </w:r>
      <w:r>
        <w:rPr>
          <w:rFonts w:ascii="Nirmala UI" w:hAnsi="Nirmala UI" w:cs="Nirmala UI" w:eastAsia="Nirmala UI"/>
          <w:spacing w:val="-1"/>
          <w:w w:val="102"/>
          <w:sz w:val="28"/>
          <w:szCs w:val="28"/>
        </w:rPr>
        <w:t>व</w:t>
      </w:r>
      <w:r>
        <w:rPr>
          <w:rFonts w:ascii="Nirmala UI" w:hAnsi="Nirmala UI" w:cs="Nirmala UI" w:eastAsia="Nirmala UI"/>
          <w:spacing w:val="-3"/>
          <w:w w:val="102"/>
          <w:sz w:val="28"/>
          <w:szCs w:val="28"/>
        </w:rPr>
        <w:t>े</w:t>
      </w:r>
      <w:r>
        <w:rPr>
          <w:rFonts w:ascii="Nirmala UI" w:hAnsi="Nirmala UI" w:cs="Nirmala UI" w:eastAsia="Nirmala UI"/>
          <w:w w:val="108"/>
          <w:sz w:val="28"/>
          <w:szCs w:val="28"/>
        </w:rPr>
        <w:t>ण</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4"/>
          <w:w w:val="108"/>
          <w:sz w:val="28"/>
          <w:szCs w:val="28"/>
        </w:rPr>
        <w:t>म</w:t>
      </w:r>
      <w:r>
        <w:rPr>
          <w:rFonts w:ascii="Nirmala UI" w:hAnsi="Nirmala UI" w:cs="Nirmala UI" w:eastAsia="Nirmala UI"/>
          <w:spacing w:val="2"/>
          <w:w w:val="100"/>
          <w:position w:val="-1"/>
          <w:sz w:val="28"/>
          <w:szCs w:val="28"/>
        </w:rPr>
        <w:t>ु</w:t>
      </w:r>
      <w:r>
        <w:rPr>
          <w:rFonts w:ascii="Nirmala UI" w:hAnsi="Nirmala UI" w:cs="Nirmala UI" w:eastAsia="Nirmala UI"/>
          <w:w w:val="81"/>
          <w:sz w:val="28"/>
          <w:szCs w:val="28"/>
        </w:rPr>
        <w:t>च</w:t>
      </w:r>
      <w:r>
        <w:rPr>
          <w:rFonts w:ascii="Nirmala UI" w:hAnsi="Nirmala UI" w:cs="Nirmala UI" w:eastAsia="Nirmala UI"/>
          <w:spacing w:val="-3"/>
          <w:w w:val="81"/>
          <w:sz w:val="28"/>
          <w:szCs w:val="28"/>
        </w:rPr>
        <w:t>्</w:t>
      </w:r>
      <w:r>
        <w:rPr>
          <w:rFonts w:ascii="Nirmala UI" w:hAnsi="Nirmala UI" w:cs="Nirmala UI" w:eastAsia="Nirmala UI"/>
          <w:spacing w:val="-1"/>
          <w:w w:val="109"/>
          <w:sz w:val="28"/>
          <w:szCs w:val="28"/>
        </w:rPr>
        <w:t>य</w:t>
      </w:r>
      <w:r>
        <w:rPr>
          <w:rFonts w:ascii="Nirmala UI" w:hAnsi="Nirmala UI" w:cs="Nirmala UI" w:eastAsia="Nirmala UI"/>
          <w:w w:val="109"/>
          <w:sz w:val="28"/>
          <w:szCs w:val="28"/>
        </w:rPr>
        <w:t>त</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4"/>
          <w:sz w:val="28"/>
          <w:szCs w:val="28"/>
        </w:rPr>
        <w:t> </w:t>
      </w:r>
      <w:r>
        <w:rPr>
          <w:rFonts w:ascii="Nirmala UI" w:hAnsi="Nirmala UI" w:cs="Nirmala UI" w:eastAsia="Nirmala UI"/>
          <w:spacing w:val="-1"/>
          <w:w w:val="104"/>
          <w:sz w:val="28"/>
          <w:szCs w:val="28"/>
        </w:rPr>
        <w:t>ज</w:t>
      </w:r>
      <w:r>
        <w:rPr>
          <w:rFonts w:ascii="Nirmala UI" w:hAnsi="Nirmala UI" w:cs="Nirmala UI" w:eastAsia="Nirmala UI"/>
          <w:spacing w:val="-3"/>
          <w:w w:val="98"/>
          <w:sz w:val="28"/>
          <w:szCs w:val="28"/>
        </w:rPr>
        <w:t>न्</w:t>
      </w:r>
      <w:r>
        <w:rPr>
          <w:rFonts w:ascii="Nirmala UI" w:hAnsi="Nirmala UI" w:cs="Nirmala UI" w:eastAsia="Nirmala UI"/>
          <w:spacing w:val="-4"/>
          <w:w w:val="98"/>
          <w:sz w:val="28"/>
          <w:szCs w:val="28"/>
        </w:rPr>
        <w:t>म</w:t>
      </w:r>
      <w:r>
        <w:rPr>
          <w:rFonts w:ascii="Nirmala UI" w:hAnsi="Nirmala UI" w:cs="Nirmala UI" w:eastAsia="Nirmala UI"/>
          <w:spacing w:val="-3"/>
          <w:w w:val="96"/>
          <w:sz w:val="28"/>
          <w:szCs w:val="28"/>
        </w:rPr>
        <w:t>ब</w:t>
      </w:r>
      <w:r>
        <w:rPr>
          <w:rFonts w:ascii="Nirmala UI" w:hAnsi="Nirmala UI" w:cs="Nirmala UI" w:eastAsia="Nirmala UI"/>
          <w:spacing w:val="-3"/>
          <w:w w:val="99"/>
          <w:sz w:val="28"/>
          <w:szCs w:val="28"/>
        </w:rPr>
        <w:t>न्ध</w:t>
      </w:r>
      <w:r>
        <w:rPr>
          <w:rFonts w:ascii="Nirmala UI" w:hAnsi="Nirmala UI" w:cs="Nirmala UI" w:eastAsia="Nirmala UI"/>
          <w:spacing w:val="-6"/>
          <w:w w:val="111"/>
          <w:sz w:val="28"/>
          <w:szCs w:val="28"/>
        </w:rPr>
        <w:t>न</w:t>
      </w:r>
      <w:r>
        <w:rPr>
          <w:rFonts w:ascii="Nirmala UI" w:hAnsi="Nirmala UI" w:cs="Nirmala UI" w:eastAsia="Nirmala UI"/>
          <w:spacing w:val="-1"/>
          <w:w w:val="100"/>
          <w:sz w:val="28"/>
          <w:szCs w:val="28"/>
        </w:rPr>
        <w:t>ा</w:t>
      </w:r>
      <w:r>
        <w:rPr>
          <w:rFonts w:ascii="Nirmala UI" w:hAnsi="Nirmala UI" w:cs="Nirmala UI" w:eastAsia="Nirmala UI"/>
          <w:spacing w:val="-2"/>
          <w:w w:val="109"/>
          <w:sz w:val="28"/>
          <w:szCs w:val="28"/>
        </w:rPr>
        <w:t>त</w:t>
      </w:r>
      <w:r>
        <w:rPr>
          <w:rFonts w:ascii="Nirmala UI" w:hAnsi="Nirmala UI" w:cs="Nirmala UI" w:eastAsia="Nirmala UI"/>
          <w:spacing w:val="-134"/>
          <w:w w:val="96"/>
          <w:sz w:val="28"/>
          <w:szCs w:val="28"/>
        </w:rPr>
        <w:t>॥</w:t>
      </w:r>
    </w:p>
    <w:p>
      <w:pPr>
        <w:pStyle w:val="BodyText"/>
        <w:spacing w:before="9"/>
        <w:rPr>
          <w:rFonts w:ascii="Nirmala UI"/>
          <w:sz w:val="41"/>
        </w:rPr>
      </w:pPr>
      <w:r>
        <w:rPr/>
        <w:br w:type="column"/>
      </w:r>
      <w:r>
        <w:rPr>
          <w:rFonts w:ascii="Nirmala UI"/>
          <w:sz w:val="41"/>
        </w:rPr>
      </w:r>
    </w:p>
    <w:p>
      <w:pPr>
        <w:spacing w:before="0"/>
        <w:ind w:left="91" w:right="0" w:firstLine="0"/>
        <w:jc w:val="left"/>
        <w:rPr>
          <w:rFonts w:ascii="Nirmala UI" w:hAnsi="Nirmala UI" w:cs="Nirmala UI" w:eastAsia="Nirmala UI"/>
          <w:sz w:val="28"/>
          <w:szCs w:val="28"/>
        </w:rPr>
      </w:pPr>
      <w:r>
        <w:rPr>
          <w:rFonts w:ascii="Courier New" w:hAnsi="Courier New" w:cs="Courier New" w:eastAsia="Courier New"/>
          <w:sz w:val="28"/>
          <w:szCs w:val="28"/>
        </w:rPr>
        <w:t>21</w:t>
      </w:r>
      <w:r>
        <w:rPr>
          <w:rFonts w:ascii="Nirmala UI" w:hAnsi="Nirmala UI" w:cs="Nirmala UI" w:eastAsia="Nirmala UI"/>
          <w:sz w:val="28"/>
          <w:szCs w:val="28"/>
        </w:rPr>
        <w:t>॥</w:t>
      </w:r>
    </w:p>
    <w:p>
      <w:pPr>
        <w:spacing w:after="0"/>
        <w:jc w:val="left"/>
        <w:rPr>
          <w:rFonts w:ascii="Nirmala UI" w:hAnsi="Nirmala UI" w:cs="Nirmala UI" w:eastAsia="Nirmala UI"/>
          <w:sz w:val="28"/>
          <w:szCs w:val="28"/>
        </w:rPr>
        <w:sectPr>
          <w:type w:val="continuous"/>
          <w:pgSz w:w="11910" w:h="16840"/>
          <w:pgMar w:top="1340" w:bottom="1200" w:left="1280" w:right="1280"/>
          <w:cols w:num="2" w:equalWidth="0">
            <w:col w:w="6520" w:space="40"/>
            <w:col w:w="2790"/>
          </w:cols>
        </w:sectPr>
      </w:pPr>
    </w:p>
    <w:p>
      <w:pPr>
        <w:pStyle w:val="BodyText"/>
        <w:spacing w:before="8"/>
        <w:rPr>
          <w:rFonts w:ascii="Nirmala UI"/>
          <w:sz w:val="12"/>
        </w:rPr>
      </w:pPr>
    </w:p>
    <w:p>
      <w:pPr>
        <w:spacing w:line="240" w:lineRule="auto" w:before="101"/>
        <w:ind w:left="1012" w:right="1244" w:firstLine="588"/>
        <w:jc w:val="both"/>
        <w:rPr>
          <w:rFonts w:ascii="Courier New"/>
          <w:sz w:val="28"/>
        </w:rPr>
      </w:pPr>
      <w:r>
        <w:rPr>
          <w:rFonts w:ascii="Courier New"/>
          <w:sz w:val="28"/>
        </w:rPr>
        <w:t>Only by visiting it a man can get rid of staying (frequently) in a womb (i.e. rebirth). There is no need for making charitable gifts, performing penance or sacrifices or undertaking pilgrimages to holy</w:t>
      </w:r>
      <w:r>
        <w:rPr>
          <w:rFonts w:ascii="Courier New"/>
          <w:spacing w:val="-42"/>
          <w:sz w:val="28"/>
        </w:rPr>
        <w:t> </w:t>
      </w:r>
      <w:r>
        <w:rPr>
          <w:rFonts w:ascii="Courier New"/>
          <w:sz w:val="28"/>
        </w:rPr>
        <w:t>spots.</w:t>
      </w:r>
      <w:r>
        <w:rPr>
          <w:rFonts w:ascii="Courier New"/>
          <w:spacing w:val="-40"/>
          <w:sz w:val="28"/>
        </w:rPr>
        <w:t> </w:t>
      </w:r>
      <w:r>
        <w:rPr>
          <w:rFonts w:ascii="Courier New"/>
          <w:sz w:val="28"/>
        </w:rPr>
        <w:t>On</w:t>
      </w:r>
      <w:r>
        <w:rPr>
          <w:rFonts w:ascii="Courier New"/>
          <w:spacing w:val="-39"/>
          <w:sz w:val="28"/>
        </w:rPr>
        <w:t> </w:t>
      </w:r>
      <w:r>
        <w:rPr>
          <w:rFonts w:ascii="Courier New"/>
          <w:sz w:val="28"/>
        </w:rPr>
        <w:t>the</w:t>
      </w:r>
      <w:r>
        <w:rPr>
          <w:rFonts w:ascii="Courier New"/>
          <w:spacing w:val="-41"/>
          <w:sz w:val="28"/>
        </w:rPr>
        <w:t> </w:t>
      </w:r>
      <w:r>
        <w:rPr>
          <w:rFonts w:ascii="Courier New"/>
          <w:sz w:val="28"/>
        </w:rPr>
        <w:t>Navami</w:t>
      </w:r>
      <w:r>
        <w:rPr>
          <w:rFonts w:ascii="Courier New"/>
          <w:spacing w:val="-42"/>
          <w:sz w:val="28"/>
        </w:rPr>
        <w:t> </w:t>
      </w:r>
      <w:r>
        <w:rPr>
          <w:rFonts w:ascii="Courier New"/>
          <w:sz w:val="28"/>
        </w:rPr>
        <w:t>day</w:t>
      </w:r>
      <w:r>
        <w:rPr>
          <w:rFonts w:ascii="Courier New"/>
          <w:spacing w:val="-38"/>
          <w:sz w:val="28"/>
        </w:rPr>
        <w:t> </w:t>
      </w:r>
      <w:r>
        <w:rPr>
          <w:rFonts w:ascii="Courier New"/>
          <w:sz w:val="28"/>
        </w:rPr>
        <w:t>the</w:t>
      </w:r>
      <w:r>
        <w:rPr>
          <w:rFonts w:ascii="Courier New"/>
          <w:spacing w:val="-42"/>
          <w:sz w:val="28"/>
        </w:rPr>
        <w:t> </w:t>
      </w:r>
      <w:r>
        <w:rPr>
          <w:rFonts w:ascii="Courier New"/>
          <w:sz w:val="28"/>
        </w:rPr>
        <w:t>man</w:t>
      </w:r>
      <w:r>
        <w:rPr>
          <w:rFonts w:ascii="Courier New"/>
          <w:spacing w:val="-41"/>
          <w:sz w:val="28"/>
        </w:rPr>
        <w:t> </w:t>
      </w:r>
      <w:r>
        <w:rPr>
          <w:rFonts w:ascii="Courier New"/>
          <w:sz w:val="28"/>
        </w:rPr>
        <w:t>should observe the holy vow. By the power of the holy bath and charitable gifts, he is liberated from the bondage of</w:t>
      </w:r>
      <w:r>
        <w:rPr>
          <w:rFonts w:ascii="Courier New"/>
          <w:spacing w:val="-12"/>
          <w:sz w:val="28"/>
        </w:rPr>
        <w:t> </w:t>
      </w:r>
      <w:r>
        <w:rPr>
          <w:rFonts w:ascii="Courier New"/>
          <w:sz w:val="28"/>
        </w:rPr>
        <w:t>births.</w:t>
      </w:r>
    </w:p>
    <w:p>
      <w:pPr>
        <w:pStyle w:val="BodyText"/>
        <w:spacing w:before="1"/>
        <w:rPr>
          <w:rFonts w:ascii="Courier New"/>
          <w:sz w:val="32"/>
        </w:rPr>
      </w:pPr>
    </w:p>
    <w:p>
      <w:pPr>
        <w:spacing w:before="0"/>
        <w:ind w:left="1123" w:right="2013" w:firstLine="0"/>
        <w:jc w:val="center"/>
        <w:rPr>
          <w:rFonts w:ascii="Nirmala UI" w:hAnsi="Nirmala UI" w:cs="Nirmala UI" w:eastAsia="Nirmala UI"/>
          <w:sz w:val="28"/>
          <w:szCs w:val="28"/>
        </w:rPr>
      </w:pPr>
      <w:r>
        <w:rPr>
          <w:rFonts w:ascii="Nirmala UI" w:hAnsi="Nirmala UI" w:cs="Nirmala UI" w:eastAsia="Nirmala UI"/>
          <w:spacing w:val="1"/>
          <w:w w:val="72"/>
          <w:sz w:val="28"/>
          <w:szCs w:val="28"/>
        </w:rPr>
        <w:t>क</w:t>
      </w:r>
      <w:r>
        <w:rPr>
          <w:rFonts w:ascii="Nirmala UI" w:hAnsi="Nirmala UI" w:cs="Nirmala UI" w:eastAsia="Nirmala UI"/>
          <w:w w:val="72"/>
          <w:sz w:val="28"/>
          <w:szCs w:val="28"/>
        </w:rPr>
        <w:t>�</w:t>
      </w:r>
      <w:r>
        <w:rPr>
          <w:rFonts w:ascii="Nirmala UI" w:hAnsi="Nirmala UI" w:cs="Nirmala UI" w:eastAsia="Nirmala UI"/>
          <w:spacing w:val="-1"/>
          <w:w w:val="99"/>
          <w:sz w:val="28"/>
          <w:szCs w:val="28"/>
        </w:rPr>
        <w:t>प</w:t>
      </w:r>
      <w:r>
        <w:rPr>
          <w:rFonts w:ascii="Nirmala UI" w:hAnsi="Nirmala UI" w:cs="Nirmala UI" w:eastAsia="Nirmala UI"/>
          <w:spacing w:val="-4"/>
          <w:w w:val="102"/>
          <w:sz w:val="28"/>
          <w:szCs w:val="28"/>
        </w:rPr>
        <w:t>ल</w:t>
      </w:r>
      <w:r>
        <w:rPr>
          <w:rFonts w:ascii="Nirmala UI" w:hAnsi="Nirmala UI" w:cs="Nirmala UI" w:eastAsia="Nirmala UI"/>
          <w:spacing w:val="1"/>
          <w:w w:val="108"/>
          <w:sz w:val="28"/>
          <w:szCs w:val="28"/>
        </w:rPr>
        <w:t>ा</w:t>
      </w:r>
      <w:r>
        <w:rPr>
          <w:rFonts w:ascii="Nirmala UI" w:hAnsi="Nirmala UI" w:cs="Nirmala UI" w:eastAsia="Nirmala UI"/>
          <w:spacing w:val="-2"/>
          <w:w w:val="108"/>
          <w:sz w:val="28"/>
          <w:szCs w:val="28"/>
        </w:rPr>
        <w:t>ग</w:t>
      </w:r>
      <w:r>
        <w:rPr>
          <w:rFonts w:ascii="Nirmala UI" w:hAnsi="Nirmala UI" w:cs="Nirmala UI" w:eastAsia="Nirmala UI"/>
          <w:spacing w:val="1"/>
          <w:w w:val="101"/>
          <w:sz w:val="28"/>
          <w:szCs w:val="28"/>
        </w:rPr>
        <w:t>ो</w:t>
      </w:r>
      <w:r>
        <w:rPr>
          <w:rFonts w:ascii="Nirmala UI" w:hAnsi="Nirmala UI" w:cs="Nirmala UI" w:eastAsia="Nirmala UI"/>
          <w:spacing w:val="-1"/>
          <w:w w:val="101"/>
          <w:sz w:val="28"/>
          <w:szCs w:val="28"/>
        </w:rPr>
        <w:t>स</w:t>
      </w:r>
      <w:r>
        <w:rPr>
          <w:rFonts w:ascii="Nirmala UI" w:hAnsi="Nirmala UI" w:cs="Nirmala UI" w:eastAsia="Nirmala UI"/>
          <w:spacing w:val="-1"/>
          <w:w w:val="91"/>
          <w:sz w:val="28"/>
          <w:szCs w:val="28"/>
        </w:rPr>
        <w:t>ह</w:t>
      </w:r>
      <w:r>
        <w:rPr>
          <w:rFonts w:ascii="Nirmala UI" w:hAnsi="Nirmala UI" w:cs="Nirmala UI" w:eastAsia="Nirmala UI"/>
          <w:w w:val="60"/>
          <w:sz w:val="28"/>
          <w:szCs w:val="28"/>
        </w:rPr>
        <w:t>स्</w:t>
      </w:r>
      <w:r>
        <w:rPr>
          <w:rFonts w:ascii="Nirmala UI" w:hAnsi="Nirmala UI" w:cs="Nirmala UI" w:eastAsia="Nirmala UI"/>
          <w:spacing w:val="-2"/>
          <w:w w:val="60"/>
          <w:sz w:val="28"/>
          <w:szCs w:val="28"/>
        </w:rPr>
        <w:t>र</w:t>
      </w:r>
      <w:r>
        <w:rPr>
          <w:rFonts w:ascii="Nirmala UI" w:hAnsi="Nirmala UI" w:cs="Nirmala UI" w:eastAsia="Nirmala UI"/>
          <w:spacing w:val="-2"/>
          <w:w w:val="100"/>
          <w:sz w:val="28"/>
          <w:szCs w:val="28"/>
        </w:rPr>
        <w:t>ा</w:t>
      </w:r>
      <w:r>
        <w:rPr>
          <w:rFonts w:ascii="Nirmala UI" w:hAnsi="Nirmala UI" w:cs="Nirmala UI" w:eastAsia="Nirmala UI"/>
          <w:spacing w:val="1"/>
          <w:w w:val="48"/>
          <w:sz w:val="28"/>
          <w:szCs w:val="28"/>
        </w:rPr>
        <w:t>�</w:t>
      </w:r>
      <w:r>
        <w:rPr>
          <w:rFonts w:ascii="Nirmala UI" w:hAnsi="Nirmala UI" w:cs="Nirmala UI" w:eastAsia="Nirmala UI"/>
          <w:w w:val="108"/>
          <w:sz w:val="28"/>
          <w:szCs w:val="28"/>
        </w:rPr>
        <w:t>ण</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4"/>
          <w:w w:val="106"/>
          <w:sz w:val="28"/>
          <w:szCs w:val="28"/>
        </w:rPr>
        <w:t>य</w:t>
      </w:r>
      <w:r>
        <w:rPr>
          <w:rFonts w:ascii="Nirmala UI" w:hAnsi="Nirmala UI" w:cs="Nirmala UI" w:eastAsia="Nirmala UI"/>
          <w:w w:val="106"/>
          <w:sz w:val="28"/>
          <w:szCs w:val="28"/>
        </w:rPr>
        <w:t>ो</w:t>
      </w:r>
      <w:r>
        <w:rPr>
          <w:rFonts w:ascii="Nirmala UI" w:hAnsi="Nirmala UI" w:cs="Nirmala UI" w:eastAsia="Nirmala UI"/>
          <w:sz w:val="28"/>
          <w:szCs w:val="28"/>
        </w:rPr>
        <w:t> </w:t>
      </w:r>
      <w:r>
        <w:rPr>
          <w:rFonts w:ascii="Nirmala UI" w:hAnsi="Nirmala UI" w:cs="Nirmala UI" w:eastAsia="Nirmala UI"/>
          <w:spacing w:val="13"/>
          <w:sz w:val="28"/>
          <w:szCs w:val="28"/>
        </w:rPr>
        <w:t> </w:t>
      </w:r>
      <w:r>
        <w:rPr>
          <w:rFonts w:ascii="Nirmala UI" w:hAnsi="Nirmala UI" w:cs="Nirmala UI" w:eastAsia="Nirmala UI"/>
          <w:spacing w:val="-1"/>
          <w:w w:val="92"/>
          <w:sz w:val="28"/>
          <w:szCs w:val="28"/>
        </w:rPr>
        <w:t>दद</w:t>
      </w:r>
      <w:r>
        <w:rPr>
          <w:rFonts w:ascii="Nirmala UI" w:hAnsi="Nirmala UI" w:cs="Nirmala UI" w:eastAsia="Nirmala UI"/>
          <w:spacing w:val="1"/>
          <w:w w:val="100"/>
          <w:sz w:val="28"/>
          <w:szCs w:val="28"/>
        </w:rPr>
        <w:t>ा</w:t>
      </w:r>
      <w:r>
        <w:rPr>
          <w:rFonts w:ascii="Nirmala UI" w:hAnsi="Nirmala UI" w:cs="Nirmala UI" w:eastAsia="Nirmala UI"/>
          <w:spacing w:val="-2"/>
          <w:w w:val="48"/>
          <w:sz w:val="28"/>
          <w:szCs w:val="28"/>
        </w:rPr>
        <w:t>�</w:t>
      </w:r>
      <w:r>
        <w:rPr>
          <w:rFonts w:ascii="Nirmala UI" w:hAnsi="Nirmala UI" w:cs="Nirmala UI" w:eastAsia="Nirmala UI"/>
          <w:w w:val="109"/>
          <w:sz w:val="28"/>
          <w:szCs w:val="28"/>
        </w:rPr>
        <w:t>त</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1"/>
          <w:w w:val="48"/>
          <w:sz w:val="28"/>
          <w:szCs w:val="28"/>
        </w:rPr>
        <w:t>�</w:t>
      </w:r>
      <w:r>
        <w:rPr>
          <w:rFonts w:ascii="Nirmala UI" w:hAnsi="Nirmala UI" w:cs="Nirmala UI" w:eastAsia="Nirmala UI"/>
          <w:spacing w:val="-1"/>
          <w:w w:val="92"/>
          <w:sz w:val="28"/>
          <w:szCs w:val="28"/>
        </w:rPr>
        <w:t>द</w:t>
      </w:r>
      <w:r>
        <w:rPr>
          <w:rFonts w:ascii="Nirmala UI" w:hAnsi="Nirmala UI" w:cs="Nirmala UI" w:eastAsia="Nirmala UI"/>
          <w:spacing w:val="-1"/>
          <w:w w:val="111"/>
          <w:sz w:val="28"/>
          <w:szCs w:val="28"/>
        </w:rPr>
        <w:t>न</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4"/>
          <w:sz w:val="28"/>
          <w:szCs w:val="28"/>
        </w:rPr>
        <w:t> </w:t>
      </w:r>
      <w:r>
        <w:rPr>
          <w:rFonts w:ascii="Nirmala UI" w:hAnsi="Nirmala UI" w:cs="Nirmala UI" w:eastAsia="Nirmala UI"/>
          <w:spacing w:val="1"/>
          <w:w w:val="48"/>
          <w:sz w:val="28"/>
          <w:szCs w:val="28"/>
        </w:rPr>
        <w:t>�</w:t>
      </w:r>
      <w:r>
        <w:rPr>
          <w:rFonts w:ascii="Nirmala UI" w:hAnsi="Nirmala UI" w:cs="Nirmala UI" w:eastAsia="Nirmala UI"/>
          <w:spacing w:val="-1"/>
          <w:w w:val="92"/>
          <w:sz w:val="28"/>
          <w:szCs w:val="28"/>
        </w:rPr>
        <w:t>द</w:t>
      </w:r>
      <w:r>
        <w:rPr>
          <w:rFonts w:ascii="Nirmala UI" w:hAnsi="Nirmala UI" w:cs="Nirmala UI" w:eastAsia="Nirmala UI"/>
          <w:spacing w:val="-4"/>
          <w:w w:val="111"/>
          <w:sz w:val="28"/>
          <w:szCs w:val="28"/>
        </w:rPr>
        <w:t>न</w:t>
      </w:r>
      <w:r>
        <w:rPr>
          <w:rFonts w:ascii="Nirmala UI" w:hAnsi="Nirmala UI" w:cs="Nirmala UI" w:eastAsia="Nirmala UI"/>
          <w:spacing w:val="-115"/>
          <w:w w:val="96"/>
          <w:sz w:val="28"/>
          <w:szCs w:val="28"/>
        </w:rPr>
        <w:t>।</w:t>
      </w:r>
      <w:r>
        <w:rPr>
          <w:rFonts w:ascii="Nirmala UI" w:hAnsi="Nirmala UI" w:cs="Nirmala UI" w:eastAsia="Nirmala UI"/>
          <w:w w:val="100"/>
          <w:sz w:val="28"/>
          <w:szCs w:val="28"/>
        </w:rPr>
        <w:t>े</w:t>
      </w:r>
    </w:p>
    <w:p>
      <w:pPr>
        <w:spacing w:after="0"/>
        <w:jc w:val="center"/>
        <w:rPr>
          <w:rFonts w:ascii="Nirmala UI" w:hAnsi="Nirmala UI" w:cs="Nirmala UI" w:eastAsia="Nirmala UI"/>
          <w:sz w:val="28"/>
          <w:szCs w:val="28"/>
        </w:rPr>
        <w:sectPr>
          <w:type w:val="continuous"/>
          <w:pgSz w:w="11910" w:h="16840"/>
          <w:pgMar w:top="1340" w:bottom="1200" w:left="1280" w:right="1280"/>
        </w:sectPr>
      </w:pPr>
    </w:p>
    <w:p>
      <w:pPr>
        <w:spacing w:before="99"/>
        <w:ind w:left="2003" w:right="0" w:firstLine="0"/>
        <w:jc w:val="left"/>
        <w:rPr>
          <w:rFonts w:ascii="Nirmala UI" w:hAnsi="Nirmala UI" w:cs="Nirmala UI" w:eastAsia="Nirmala UI"/>
          <w:sz w:val="28"/>
          <w:szCs w:val="28"/>
        </w:rPr>
      </w:pPr>
      <w:r>
        <w:rPr>
          <w:rFonts w:ascii="Nirmala UI" w:hAnsi="Nirmala UI" w:cs="Nirmala UI" w:eastAsia="Nirmala UI"/>
          <w:w w:val="109"/>
          <w:sz w:val="28"/>
          <w:szCs w:val="28"/>
        </w:rPr>
        <w:t>त</w:t>
      </w:r>
      <w:r>
        <w:rPr>
          <w:rFonts w:ascii="Nirmala UI" w:hAnsi="Nirmala UI" w:cs="Nirmala UI" w:eastAsia="Nirmala UI"/>
          <w:w w:val="72"/>
          <w:sz w:val="28"/>
          <w:szCs w:val="28"/>
        </w:rPr>
        <w:t>त</w:t>
      </w:r>
      <w:r>
        <w:rPr>
          <w:rFonts w:ascii="Nirmala UI" w:hAnsi="Nirmala UI" w:cs="Nirmala UI" w:eastAsia="Nirmala UI"/>
          <w:spacing w:val="-1"/>
          <w:w w:val="72"/>
          <w:sz w:val="28"/>
          <w:szCs w:val="28"/>
        </w:rPr>
        <w:t>्</w:t>
      </w:r>
      <w:r>
        <w:rPr>
          <w:rFonts w:ascii="Nirmala UI" w:hAnsi="Nirmala UI" w:cs="Nirmala UI" w:eastAsia="Nirmala UI"/>
          <w:spacing w:val="1"/>
          <w:w w:val="87"/>
          <w:sz w:val="28"/>
          <w:szCs w:val="28"/>
        </w:rPr>
        <w:t>फ</w:t>
      </w:r>
      <w:r>
        <w:rPr>
          <w:rFonts w:ascii="Nirmala UI" w:hAnsi="Nirmala UI" w:cs="Nirmala UI" w:eastAsia="Nirmala UI"/>
          <w:spacing w:val="-2"/>
          <w:w w:val="102"/>
          <w:sz w:val="28"/>
          <w:szCs w:val="28"/>
        </w:rPr>
        <w:t>ल</w:t>
      </w:r>
      <w:r>
        <w:rPr>
          <w:rFonts w:ascii="Nirmala UI" w:hAnsi="Nirmala UI" w:cs="Nirmala UI" w:eastAsia="Nirmala UI"/>
          <w:w w:val="102"/>
          <w:sz w:val="28"/>
          <w:szCs w:val="28"/>
        </w:rPr>
        <w:t>ं</w:t>
      </w:r>
      <w:r>
        <w:rPr>
          <w:rFonts w:ascii="Nirmala UI" w:hAnsi="Nirmala UI" w:cs="Nirmala UI" w:eastAsia="Nirmala UI"/>
          <w:sz w:val="28"/>
          <w:szCs w:val="28"/>
        </w:rPr>
        <w:t> </w:t>
      </w:r>
      <w:r>
        <w:rPr>
          <w:rFonts w:ascii="Nirmala UI" w:hAnsi="Nirmala UI" w:cs="Nirmala UI" w:eastAsia="Nirmala UI"/>
          <w:spacing w:val="13"/>
          <w:sz w:val="28"/>
          <w:szCs w:val="28"/>
        </w:rPr>
        <w:t> </w:t>
      </w:r>
      <w:r>
        <w:rPr>
          <w:rFonts w:ascii="Nirmala UI" w:hAnsi="Nirmala UI" w:cs="Nirmala UI" w:eastAsia="Nirmala UI"/>
          <w:spacing w:val="-2"/>
          <w:w w:val="104"/>
          <w:sz w:val="28"/>
          <w:szCs w:val="28"/>
        </w:rPr>
        <w:t>सम</w:t>
      </w:r>
      <w:r>
        <w:rPr>
          <w:rFonts w:ascii="Nirmala UI" w:hAnsi="Nirmala UI" w:cs="Nirmala UI" w:eastAsia="Nirmala UI"/>
          <w:spacing w:val="-1"/>
          <w:w w:val="104"/>
          <w:sz w:val="28"/>
          <w:szCs w:val="28"/>
        </w:rPr>
        <w:t>व</w:t>
      </w:r>
      <w:r>
        <w:rPr>
          <w:rFonts w:ascii="Nirmala UI" w:hAnsi="Nirmala UI" w:cs="Nirmala UI" w:eastAsia="Nirmala UI"/>
          <w:spacing w:val="1"/>
          <w:w w:val="100"/>
          <w:sz w:val="28"/>
          <w:szCs w:val="28"/>
        </w:rPr>
        <w:t>ा</w:t>
      </w:r>
      <w:r>
        <w:rPr>
          <w:rFonts w:ascii="Nirmala UI" w:hAnsi="Nirmala UI" w:cs="Nirmala UI" w:eastAsia="Nirmala UI"/>
          <w:w w:val="73"/>
          <w:sz w:val="28"/>
          <w:szCs w:val="28"/>
        </w:rPr>
        <w:t>प्</w:t>
      </w:r>
      <w:r>
        <w:rPr>
          <w:rFonts w:ascii="Nirmala UI" w:hAnsi="Nirmala UI" w:cs="Nirmala UI" w:eastAsia="Nirmala UI"/>
          <w:spacing w:val="-4"/>
          <w:w w:val="111"/>
          <w:sz w:val="28"/>
          <w:szCs w:val="28"/>
        </w:rPr>
        <w:t>न</w:t>
      </w:r>
      <w:r>
        <w:rPr>
          <w:rFonts w:ascii="Nirmala UI" w:hAnsi="Nirmala UI" w:cs="Nirmala UI" w:eastAsia="Nirmala UI"/>
          <w:spacing w:val="1"/>
          <w:w w:val="100"/>
          <w:sz w:val="28"/>
          <w:szCs w:val="28"/>
        </w:rPr>
        <w:t>ो</w:t>
      </w:r>
      <w:r>
        <w:rPr>
          <w:rFonts w:ascii="Nirmala UI" w:hAnsi="Nirmala UI" w:cs="Nirmala UI" w:eastAsia="Nirmala UI"/>
          <w:spacing w:val="-2"/>
          <w:w w:val="48"/>
          <w:sz w:val="28"/>
          <w:szCs w:val="28"/>
        </w:rPr>
        <w:t>�</w:t>
      </w:r>
      <w:r>
        <w:rPr>
          <w:rFonts w:ascii="Nirmala UI" w:hAnsi="Nirmala UI" w:cs="Nirmala UI" w:eastAsia="Nirmala UI"/>
          <w:w w:val="109"/>
          <w:sz w:val="28"/>
          <w:szCs w:val="28"/>
        </w:rPr>
        <w:t>त</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1"/>
          <w:w w:val="104"/>
          <w:sz w:val="28"/>
          <w:szCs w:val="28"/>
        </w:rPr>
        <w:t>ज</w:t>
      </w:r>
      <w:r>
        <w:rPr>
          <w:rFonts w:ascii="Nirmala UI" w:hAnsi="Nirmala UI" w:cs="Nirmala UI" w:eastAsia="Nirmala UI"/>
          <w:w w:val="86"/>
          <w:sz w:val="28"/>
          <w:szCs w:val="28"/>
        </w:rPr>
        <w:t>न</w:t>
      </w:r>
      <w:r>
        <w:rPr>
          <w:rFonts w:ascii="Nirmala UI" w:hAnsi="Nirmala UI" w:cs="Nirmala UI" w:eastAsia="Nirmala UI"/>
          <w:spacing w:val="-1"/>
          <w:w w:val="86"/>
          <w:sz w:val="28"/>
          <w:szCs w:val="28"/>
        </w:rPr>
        <w:t>्</w:t>
      </w:r>
      <w:r>
        <w:rPr>
          <w:rFonts w:ascii="Nirmala UI" w:hAnsi="Nirmala UI" w:cs="Nirmala UI" w:eastAsia="Nirmala UI"/>
          <w:spacing w:val="-2"/>
          <w:w w:val="105"/>
          <w:sz w:val="28"/>
          <w:szCs w:val="28"/>
        </w:rPr>
        <w:t>म</w:t>
      </w:r>
      <w:r>
        <w:rPr>
          <w:rFonts w:ascii="Nirmala UI" w:hAnsi="Nirmala UI" w:cs="Nirmala UI" w:eastAsia="Nirmala UI"/>
          <w:spacing w:val="-1"/>
          <w:w w:val="105"/>
          <w:sz w:val="28"/>
          <w:szCs w:val="28"/>
        </w:rPr>
        <w:t>भ</w:t>
      </w:r>
      <w:r>
        <w:rPr>
          <w:rFonts w:ascii="Nirmala UI" w:hAnsi="Nirmala UI" w:cs="Nirmala UI" w:eastAsia="Nirmala UI"/>
          <w:spacing w:val="-3"/>
          <w:w w:val="108"/>
          <w:sz w:val="28"/>
          <w:szCs w:val="28"/>
        </w:rPr>
        <w:t>म</w:t>
      </w:r>
      <w:r>
        <w:rPr>
          <w:rFonts w:ascii="Nirmala UI" w:hAnsi="Nirmala UI" w:cs="Nirmala UI" w:eastAsia="Nirmala UI"/>
          <w:spacing w:val="-2"/>
          <w:w w:val="100"/>
          <w:sz w:val="28"/>
          <w:szCs w:val="28"/>
        </w:rPr>
        <w:t>े</w:t>
      </w:r>
      <w:r>
        <w:rPr>
          <w:rFonts w:ascii="Courier New" w:hAnsi="Courier New" w:cs="Courier New" w:eastAsia="Courier New"/>
          <w:w w:val="100"/>
          <w:sz w:val="28"/>
          <w:szCs w:val="28"/>
        </w:rPr>
        <w:t>:</w:t>
      </w:r>
      <w:r>
        <w:rPr>
          <w:rFonts w:ascii="Courier New" w:hAnsi="Courier New" w:cs="Courier New" w:eastAsia="Courier New"/>
          <w:spacing w:val="-1"/>
          <w:sz w:val="28"/>
          <w:szCs w:val="28"/>
        </w:rPr>
        <w:t> </w:t>
      </w:r>
      <w:r>
        <w:rPr>
          <w:rFonts w:ascii="Nirmala UI" w:hAnsi="Nirmala UI" w:cs="Nirmala UI" w:eastAsia="Nirmala UI"/>
          <w:spacing w:val="-11"/>
          <w:w w:val="68"/>
          <w:sz w:val="28"/>
          <w:szCs w:val="28"/>
        </w:rPr>
        <w:t>प्रद</w:t>
      </w:r>
      <w:r>
        <w:rPr>
          <w:rFonts w:ascii="Nirmala UI" w:hAnsi="Nirmala UI" w:cs="Nirmala UI" w:eastAsia="Nirmala UI"/>
          <w:spacing w:val="-11"/>
          <w:w w:val="93"/>
          <w:sz w:val="28"/>
          <w:szCs w:val="28"/>
        </w:rPr>
        <w:t>श</w:t>
      </w:r>
      <w:r>
        <w:rPr>
          <w:rFonts w:ascii="Nirmala UI" w:hAnsi="Nirmala UI" w:cs="Nirmala UI" w:eastAsia="Nirmala UI"/>
          <w:spacing w:val="-198"/>
          <w:w w:val="111"/>
          <w:sz w:val="28"/>
          <w:szCs w:val="28"/>
        </w:rPr>
        <w:t>न</w:t>
      </w:r>
    </w:p>
    <w:p>
      <w:pPr>
        <w:spacing w:before="99"/>
        <w:ind w:left="147" w:right="0" w:firstLine="0"/>
        <w:jc w:val="left"/>
        <w:rPr>
          <w:rFonts w:ascii="Nirmala UI" w:hAnsi="Nirmala UI" w:cs="Nirmala UI" w:eastAsia="Nirmala UI"/>
          <w:sz w:val="28"/>
          <w:szCs w:val="28"/>
        </w:rPr>
      </w:pPr>
      <w:r>
        <w:rPr/>
        <w:br w:type="column"/>
      </w:r>
      <w:r>
        <w:rPr>
          <w:rFonts w:ascii="Nirmala UI" w:hAnsi="Nirmala UI" w:cs="Nirmala UI" w:eastAsia="Nirmala UI"/>
          <w:spacing w:val="1"/>
          <w:w w:val="100"/>
          <w:sz w:val="28"/>
          <w:szCs w:val="28"/>
        </w:rPr>
        <w:t>ा</w:t>
      </w:r>
      <w:r>
        <w:rPr>
          <w:rFonts w:ascii="Nirmala UI" w:hAnsi="Nirmala UI" w:cs="Nirmala UI" w:eastAsia="Nirmala UI"/>
          <w:spacing w:val="-2"/>
          <w:w w:val="109"/>
          <w:sz w:val="28"/>
          <w:szCs w:val="28"/>
        </w:rPr>
        <w:t>त</w:t>
      </w:r>
      <w:r>
        <w:rPr>
          <w:rFonts w:ascii="Nirmala UI" w:hAnsi="Nirmala UI" w:cs="Nirmala UI" w:eastAsia="Nirmala UI"/>
          <w:spacing w:val="-129"/>
          <w:w w:val="96"/>
          <w:sz w:val="28"/>
          <w:szCs w:val="28"/>
        </w:rPr>
        <w:t>॥</w:t>
      </w:r>
    </w:p>
    <w:p>
      <w:pPr>
        <w:spacing w:before="99"/>
        <w:ind w:left="89" w:right="0" w:firstLine="0"/>
        <w:jc w:val="left"/>
        <w:rPr>
          <w:rFonts w:ascii="Nirmala UI" w:hAnsi="Nirmala UI" w:cs="Nirmala UI" w:eastAsia="Nirmala UI"/>
          <w:sz w:val="28"/>
          <w:szCs w:val="28"/>
        </w:rPr>
      </w:pPr>
      <w:r>
        <w:rPr/>
        <w:br w:type="column"/>
      </w:r>
      <w:r>
        <w:rPr>
          <w:rFonts w:ascii="Courier New" w:hAnsi="Courier New" w:cs="Courier New" w:eastAsia="Courier New"/>
          <w:sz w:val="28"/>
          <w:szCs w:val="28"/>
        </w:rPr>
        <w:t>22</w:t>
      </w:r>
      <w:r>
        <w:rPr>
          <w:rFonts w:ascii="Nirmala UI" w:hAnsi="Nirmala UI" w:cs="Nirmala UI" w:eastAsia="Nirmala UI"/>
          <w:sz w:val="28"/>
          <w:szCs w:val="28"/>
        </w:rPr>
        <w:t>॥</w:t>
      </w:r>
    </w:p>
    <w:p>
      <w:pPr>
        <w:spacing w:after="0"/>
        <w:jc w:val="left"/>
        <w:rPr>
          <w:rFonts w:ascii="Nirmala UI" w:hAnsi="Nirmala UI" w:cs="Nirmala UI" w:eastAsia="Nirmala UI"/>
          <w:sz w:val="28"/>
          <w:szCs w:val="28"/>
        </w:rPr>
        <w:sectPr>
          <w:type w:val="continuous"/>
          <w:pgSz w:w="11910" w:h="16840"/>
          <w:pgMar w:top="1340" w:bottom="1200" w:left="1280" w:right="1280"/>
          <w:cols w:num="3" w:equalWidth="0">
            <w:col w:w="6235" w:space="40"/>
            <w:col w:w="450" w:space="39"/>
            <w:col w:w="2586"/>
          </w:cols>
        </w:sectPr>
      </w:pPr>
    </w:p>
    <w:p>
      <w:pPr>
        <w:pStyle w:val="Heading2"/>
        <w:spacing w:before="84"/>
        <w:ind w:left="442" w:right="793"/>
        <w:jc w:val="center"/>
        <w:rPr>
          <w:rFonts w:ascii="Nirmala UI" w:hAnsi="Nirmala UI" w:cs="Nirmala UI" w:eastAsia="Nirmala UI"/>
        </w:rPr>
      </w:pPr>
      <w:r>
        <w:rPr>
          <w:rFonts w:ascii="Nirmala UI" w:hAnsi="Nirmala UI" w:cs="Nirmala UI" w:eastAsia="Nirmala UI"/>
          <w:w w:val="97"/>
        </w:rPr>
        <w:t>आ</w:t>
      </w:r>
      <w:r>
        <w:rPr>
          <w:rFonts w:ascii="Nirmala UI" w:hAnsi="Nirmala UI" w:cs="Nirmala UI" w:eastAsia="Nirmala UI"/>
          <w:w w:val="55"/>
        </w:rPr>
        <w:t>श्</w:t>
      </w:r>
      <w:r>
        <w:rPr>
          <w:rFonts w:ascii="Nirmala UI" w:hAnsi="Nirmala UI" w:cs="Nirmala UI" w:eastAsia="Nirmala UI"/>
          <w:spacing w:val="-1"/>
          <w:w w:val="55"/>
        </w:rPr>
        <w:t>र</w:t>
      </w:r>
      <w:r>
        <w:rPr>
          <w:rFonts w:ascii="Nirmala UI" w:hAnsi="Nirmala UI" w:cs="Nirmala UI" w:eastAsia="Nirmala UI"/>
          <w:spacing w:val="-2"/>
          <w:w w:val="108"/>
        </w:rPr>
        <w:t>म</w:t>
      </w:r>
      <w:r>
        <w:rPr>
          <w:rFonts w:ascii="Nirmala UI" w:hAnsi="Nirmala UI" w:cs="Nirmala UI" w:eastAsia="Nirmala UI"/>
          <w:w w:val="108"/>
        </w:rPr>
        <w:t>े</w:t>
      </w:r>
      <w:r>
        <w:rPr>
          <w:rFonts w:ascii="Nirmala UI" w:hAnsi="Nirmala UI" w:cs="Nirmala UI" w:eastAsia="Nirmala UI"/>
        </w:rPr>
        <w:t> </w:t>
      </w:r>
      <w:r>
        <w:rPr>
          <w:rFonts w:ascii="Nirmala UI" w:hAnsi="Nirmala UI" w:cs="Nirmala UI" w:eastAsia="Nirmala UI"/>
          <w:spacing w:val="13"/>
        </w:rPr>
        <w:t> </w:t>
      </w:r>
      <w:r>
        <w:rPr>
          <w:rFonts w:ascii="Nirmala UI" w:hAnsi="Nirmala UI" w:cs="Nirmala UI" w:eastAsia="Nirmala UI"/>
          <w:spacing w:val="-1"/>
          <w:w w:val="102"/>
        </w:rPr>
        <w:t>व</w:t>
      </w:r>
      <w:r>
        <w:rPr>
          <w:rFonts w:ascii="Nirmala UI" w:hAnsi="Nirmala UI" w:cs="Nirmala UI" w:eastAsia="Nirmala UI"/>
          <w:spacing w:val="-2"/>
          <w:w w:val="105"/>
        </w:rPr>
        <w:t>स</w:t>
      </w:r>
      <w:r>
        <w:rPr>
          <w:rFonts w:ascii="Nirmala UI" w:hAnsi="Nirmala UI" w:cs="Nirmala UI" w:eastAsia="Nirmala UI"/>
          <w:w w:val="105"/>
        </w:rPr>
        <w:t>त</w:t>
      </w:r>
      <w:r>
        <w:rPr>
          <w:rFonts w:ascii="Nirmala UI" w:hAnsi="Nirmala UI" w:cs="Nirmala UI" w:eastAsia="Nirmala UI"/>
          <w:spacing w:val="1"/>
          <w:w w:val="100"/>
        </w:rPr>
        <w:t>ा</w:t>
      </w:r>
      <w:r>
        <w:rPr>
          <w:rFonts w:ascii="Nirmala UI" w:hAnsi="Nirmala UI" w:cs="Nirmala UI" w:eastAsia="Nirmala UI"/>
          <w:w w:val="100"/>
        </w:rPr>
        <w:t>ं</w:t>
      </w:r>
      <w:r>
        <w:rPr>
          <w:rFonts w:ascii="Nirmala UI" w:hAnsi="Nirmala UI" w:cs="Nirmala UI" w:eastAsia="Nirmala UI"/>
        </w:rPr>
        <w:t> </w:t>
      </w:r>
      <w:r>
        <w:rPr>
          <w:rFonts w:ascii="Nirmala UI" w:hAnsi="Nirmala UI" w:cs="Nirmala UI" w:eastAsia="Nirmala UI"/>
          <w:spacing w:val="14"/>
        </w:rPr>
        <w:t> </w:t>
      </w:r>
      <w:r>
        <w:rPr>
          <w:rFonts w:ascii="Nirmala UI" w:hAnsi="Nirmala UI" w:cs="Nirmala UI" w:eastAsia="Nirmala UI"/>
          <w:spacing w:val="-3"/>
          <w:w w:val="99"/>
        </w:rPr>
        <w:t>प</w:t>
      </w:r>
      <w:r>
        <w:rPr>
          <w:rFonts w:ascii="Nirmala UI" w:hAnsi="Nirmala UI" w:cs="Nirmala UI" w:eastAsia="Nirmala UI"/>
          <w:spacing w:val="2"/>
          <w:w w:val="100"/>
          <w:position w:val="-1"/>
        </w:rPr>
        <w:t>ु</w:t>
      </w:r>
      <w:r>
        <w:rPr>
          <w:rFonts w:ascii="Nirmala UI" w:hAnsi="Nirmala UI" w:cs="Nirmala UI" w:eastAsia="Nirmala UI"/>
          <w:w w:val="100"/>
        </w:rPr>
        <w:t>ं</w:t>
      </w:r>
      <w:r>
        <w:rPr>
          <w:rFonts w:ascii="Nirmala UI" w:hAnsi="Nirmala UI" w:cs="Nirmala UI" w:eastAsia="Nirmala UI"/>
          <w:spacing w:val="-2"/>
          <w:w w:val="101"/>
        </w:rPr>
        <w:t>स</w:t>
      </w:r>
      <w:r>
        <w:rPr>
          <w:rFonts w:ascii="Nirmala UI" w:hAnsi="Nirmala UI" w:cs="Nirmala UI" w:eastAsia="Nirmala UI"/>
          <w:spacing w:val="1"/>
          <w:w w:val="101"/>
        </w:rPr>
        <w:t>ा</w:t>
      </w:r>
      <w:r>
        <w:rPr>
          <w:rFonts w:ascii="Nirmala UI" w:hAnsi="Nirmala UI" w:cs="Nirmala UI" w:eastAsia="Nirmala UI"/>
          <w:w w:val="100"/>
        </w:rPr>
        <w:t>ं</w:t>
      </w:r>
      <w:r>
        <w:rPr>
          <w:rFonts w:ascii="Nirmala UI" w:hAnsi="Nirmala UI" w:cs="Nirmala UI" w:eastAsia="Nirmala UI"/>
        </w:rPr>
        <w:t> </w:t>
      </w:r>
      <w:r>
        <w:rPr>
          <w:rFonts w:ascii="Nirmala UI" w:hAnsi="Nirmala UI" w:cs="Nirmala UI" w:eastAsia="Nirmala UI"/>
          <w:spacing w:val="12"/>
        </w:rPr>
        <w:t> </w:t>
      </w:r>
      <w:r>
        <w:rPr>
          <w:rFonts w:ascii="Nirmala UI" w:hAnsi="Nirmala UI" w:cs="Nirmala UI" w:eastAsia="Nirmala UI"/>
          <w:w w:val="109"/>
        </w:rPr>
        <w:t>त</w:t>
      </w:r>
      <w:r>
        <w:rPr>
          <w:rFonts w:ascii="Nirmala UI" w:hAnsi="Nirmala UI" w:cs="Nirmala UI" w:eastAsia="Nirmala UI"/>
          <w:spacing w:val="1"/>
          <w:w w:val="100"/>
        </w:rPr>
        <w:t>ा</w:t>
      </w:r>
      <w:r>
        <w:rPr>
          <w:rFonts w:ascii="Nirmala UI" w:hAnsi="Nirmala UI" w:cs="Nirmala UI" w:eastAsia="Nirmala UI"/>
          <w:spacing w:val="-1"/>
          <w:w w:val="100"/>
        </w:rPr>
        <w:t>प</w:t>
      </w:r>
      <w:r>
        <w:rPr>
          <w:rFonts w:ascii="Nirmala UI" w:hAnsi="Nirmala UI" w:cs="Nirmala UI" w:eastAsia="Nirmala UI"/>
          <w:spacing w:val="-2"/>
          <w:w w:val="101"/>
        </w:rPr>
        <w:t>स</w:t>
      </w:r>
      <w:r>
        <w:rPr>
          <w:rFonts w:ascii="Nirmala UI" w:hAnsi="Nirmala UI" w:cs="Nirmala UI" w:eastAsia="Nirmala UI"/>
          <w:spacing w:val="1"/>
          <w:w w:val="108"/>
        </w:rPr>
        <w:t>ा</w:t>
      </w:r>
      <w:r>
        <w:rPr>
          <w:rFonts w:ascii="Nirmala UI" w:hAnsi="Nirmala UI" w:cs="Nirmala UI" w:eastAsia="Nirmala UI"/>
          <w:spacing w:val="-4"/>
          <w:w w:val="108"/>
        </w:rPr>
        <w:t>न</w:t>
      </w:r>
      <w:r>
        <w:rPr>
          <w:rFonts w:ascii="Nirmala UI" w:hAnsi="Nirmala UI" w:cs="Nirmala UI" w:eastAsia="Nirmala UI"/>
          <w:spacing w:val="1"/>
          <w:w w:val="100"/>
        </w:rPr>
        <w:t>ा</w:t>
      </w:r>
      <w:r>
        <w:rPr>
          <w:rFonts w:ascii="Nirmala UI" w:hAnsi="Nirmala UI" w:cs="Nirmala UI" w:eastAsia="Nirmala UI"/>
          <w:w w:val="100"/>
        </w:rPr>
        <w:t>ं</w:t>
      </w:r>
      <w:r>
        <w:rPr>
          <w:rFonts w:ascii="Nirmala UI" w:hAnsi="Nirmala UI" w:cs="Nirmala UI" w:eastAsia="Nirmala UI"/>
        </w:rPr>
        <w:t> </w:t>
      </w:r>
      <w:r>
        <w:rPr>
          <w:rFonts w:ascii="Nirmala UI" w:hAnsi="Nirmala UI" w:cs="Nirmala UI" w:eastAsia="Nirmala UI"/>
          <w:spacing w:val="14"/>
        </w:rPr>
        <w:t> </w:t>
      </w:r>
      <w:r>
        <w:rPr>
          <w:rFonts w:ascii="Nirmala UI" w:hAnsi="Nirmala UI" w:cs="Nirmala UI" w:eastAsia="Nirmala UI"/>
          <w:w w:val="104"/>
        </w:rPr>
        <w:t>च</w:t>
      </w:r>
      <w:r>
        <w:rPr>
          <w:rFonts w:ascii="Nirmala UI" w:hAnsi="Nirmala UI" w:cs="Nirmala UI" w:eastAsia="Nirmala UI"/>
        </w:rPr>
        <w:t> </w:t>
      </w:r>
      <w:r>
        <w:rPr>
          <w:rFonts w:ascii="Nirmala UI" w:hAnsi="Nirmala UI" w:cs="Nirmala UI" w:eastAsia="Nirmala UI"/>
          <w:spacing w:val="13"/>
        </w:rPr>
        <w:t> </w:t>
      </w:r>
      <w:r>
        <w:rPr>
          <w:rFonts w:ascii="Nirmala UI" w:hAnsi="Nirmala UI" w:cs="Nirmala UI" w:eastAsia="Nirmala UI"/>
          <w:spacing w:val="-1"/>
          <w:w w:val="109"/>
        </w:rPr>
        <w:t>य</w:t>
      </w:r>
      <w:r>
        <w:rPr>
          <w:rFonts w:ascii="Nirmala UI" w:hAnsi="Nirmala UI" w:cs="Nirmala UI" w:eastAsia="Nirmala UI"/>
          <w:w w:val="109"/>
        </w:rPr>
        <w:t>त</w:t>
      </w:r>
      <w:r>
        <w:rPr>
          <w:rFonts w:ascii="Nirmala UI" w:hAnsi="Nirmala UI" w:cs="Nirmala UI" w:eastAsia="Nirmala UI"/>
          <w:spacing w:val="-36"/>
        </w:rPr>
        <w:t> </w:t>
      </w:r>
      <w:r>
        <w:rPr>
          <w:rFonts w:ascii="Nirmala UI" w:hAnsi="Nirmala UI" w:cs="Nirmala UI" w:eastAsia="Nirmala UI"/>
          <w:w w:val="100"/>
        </w:rPr>
        <w:t>्</w:t>
      </w:r>
      <w:r>
        <w:rPr>
          <w:rFonts w:ascii="Nirmala UI" w:hAnsi="Nirmala UI" w:cs="Nirmala UI" w:eastAsia="Nirmala UI"/>
        </w:rPr>
        <w:t> </w:t>
      </w:r>
      <w:r>
        <w:rPr>
          <w:rFonts w:ascii="Nirmala UI" w:hAnsi="Nirmala UI" w:cs="Nirmala UI" w:eastAsia="Nirmala UI"/>
          <w:spacing w:val="-29"/>
        </w:rPr>
        <w:t> </w:t>
      </w:r>
      <w:r>
        <w:rPr>
          <w:rFonts w:ascii="Nirmala UI" w:hAnsi="Nirmala UI" w:cs="Nirmala UI" w:eastAsia="Nirmala UI"/>
          <w:spacing w:val="-2"/>
          <w:w w:val="98"/>
        </w:rPr>
        <w:t>फलम</w:t>
      </w:r>
      <w:r>
        <w:rPr>
          <w:rFonts w:ascii="Nirmala UI" w:hAnsi="Nirmala UI" w:cs="Nirmala UI" w:eastAsia="Nirmala UI"/>
          <w:spacing w:val="-77"/>
          <w:w w:val="96"/>
        </w:rPr>
        <w:t>।</w:t>
      </w:r>
    </w:p>
    <w:p>
      <w:pPr>
        <w:spacing w:before="78"/>
        <w:ind w:left="64" w:right="793" w:firstLine="0"/>
        <w:jc w:val="center"/>
        <w:rPr>
          <w:rFonts w:ascii="Nirmala UI" w:hAnsi="Nirmala UI" w:cs="Nirmala UI" w:eastAsia="Nirmala UI"/>
          <w:sz w:val="28"/>
          <w:szCs w:val="28"/>
        </w:rPr>
      </w:pPr>
      <w:r>
        <w:rPr>
          <w:rFonts w:ascii="Nirmala UI" w:hAnsi="Nirmala UI" w:cs="Nirmala UI" w:eastAsia="Nirmala UI"/>
          <w:w w:val="96"/>
          <w:sz w:val="28"/>
          <w:szCs w:val="28"/>
        </w:rPr>
        <w:t>र</w:t>
      </w:r>
      <w:r>
        <w:rPr>
          <w:rFonts w:ascii="Nirmala UI" w:hAnsi="Nirmala UI" w:cs="Nirmala UI" w:eastAsia="Nirmala UI"/>
          <w:spacing w:val="-2"/>
          <w:w w:val="100"/>
          <w:sz w:val="28"/>
          <w:szCs w:val="28"/>
        </w:rPr>
        <w:t>ा</w:t>
      </w:r>
      <w:r>
        <w:rPr>
          <w:rFonts w:ascii="Nirmala UI" w:hAnsi="Nirmala UI" w:cs="Nirmala UI" w:eastAsia="Nirmala UI"/>
          <w:spacing w:val="1"/>
          <w:w w:val="104"/>
          <w:sz w:val="28"/>
          <w:szCs w:val="28"/>
        </w:rPr>
        <w:t>ज</w:t>
      </w:r>
      <w:r>
        <w:rPr>
          <w:rFonts w:ascii="Nirmala UI" w:hAnsi="Nirmala UI" w:cs="Nirmala UI" w:eastAsia="Nirmala UI"/>
          <w:w w:val="101"/>
          <w:sz w:val="28"/>
          <w:szCs w:val="28"/>
        </w:rPr>
        <w:t>स</w:t>
      </w:r>
      <w:r>
        <w:rPr>
          <w:rFonts w:ascii="Nirmala UI" w:hAnsi="Nirmala UI" w:cs="Nirmala UI" w:eastAsia="Nirmala UI"/>
          <w:sz w:val="28"/>
          <w:szCs w:val="28"/>
        </w:rPr>
        <w:t> </w:t>
      </w:r>
      <w:r>
        <w:rPr>
          <w:rFonts w:ascii="Nirmala UI" w:hAnsi="Nirmala UI" w:cs="Nirmala UI" w:eastAsia="Nirmala UI"/>
          <w:spacing w:val="35"/>
          <w:sz w:val="28"/>
          <w:szCs w:val="28"/>
        </w:rPr>
        <w:t> </w:t>
      </w:r>
      <w:r>
        <w:rPr>
          <w:rFonts w:ascii="Nirmala UI" w:hAnsi="Nirmala UI" w:cs="Nirmala UI" w:eastAsia="Nirmala UI"/>
          <w:spacing w:val="-2"/>
          <w:w w:val="96"/>
          <w:sz w:val="28"/>
          <w:szCs w:val="28"/>
        </w:rPr>
        <w:t>स</w:t>
      </w:r>
      <w:r>
        <w:rPr>
          <w:rFonts w:ascii="Nirmala UI" w:hAnsi="Nirmala UI" w:cs="Nirmala UI" w:eastAsia="Nirmala UI"/>
          <w:spacing w:val="-1"/>
          <w:w w:val="96"/>
          <w:sz w:val="28"/>
          <w:szCs w:val="28"/>
        </w:rPr>
        <w:t>ह</w:t>
      </w:r>
      <w:r>
        <w:rPr>
          <w:rFonts w:ascii="Nirmala UI" w:hAnsi="Nirmala UI" w:cs="Nirmala UI" w:eastAsia="Nirmala UI"/>
          <w:spacing w:val="-2"/>
          <w:w w:val="67"/>
          <w:sz w:val="28"/>
          <w:szCs w:val="28"/>
        </w:rPr>
        <w:t>स्र</w:t>
      </w:r>
      <w:r>
        <w:rPr>
          <w:rFonts w:ascii="Nirmala UI" w:hAnsi="Nirmala UI" w:cs="Nirmala UI" w:eastAsia="Nirmala UI"/>
          <w:spacing w:val="1"/>
          <w:w w:val="67"/>
          <w:sz w:val="28"/>
          <w:szCs w:val="28"/>
        </w:rPr>
        <w:t>ा</w:t>
      </w:r>
      <w:r>
        <w:rPr>
          <w:rFonts w:ascii="Nirmala UI" w:hAnsi="Nirmala UI" w:cs="Nirmala UI" w:eastAsia="Nirmala UI"/>
          <w:spacing w:val="-2"/>
          <w:w w:val="48"/>
          <w:sz w:val="28"/>
          <w:szCs w:val="28"/>
        </w:rPr>
        <w:t>�</w:t>
      </w:r>
      <w:r>
        <w:rPr>
          <w:rFonts w:ascii="Nirmala UI" w:hAnsi="Nirmala UI" w:cs="Nirmala UI" w:eastAsia="Nirmala UI"/>
          <w:w w:val="108"/>
          <w:sz w:val="28"/>
          <w:szCs w:val="28"/>
        </w:rPr>
        <w:t>ण</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w w:val="55"/>
          <w:sz w:val="28"/>
          <w:szCs w:val="28"/>
        </w:rPr>
        <w:t>प्</w:t>
      </w:r>
      <w:r>
        <w:rPr>
          <w:rFonts w:ascii="Nirmala UI" w:hAnsi="Nirmala UI" w:cs="Nirmala UI" w:eastAsia="Nirmala UI"/>
          <w:spacing w:val="-1"/>
          <w:w w:val="55"/>
          <w:sz w:val="28"/>
          <w:szCs w:val="28"/>
        </w:rPr>
        <w:t>र</w:t>
      </w:r>
      <w:r>
        <w:rPr>
          <w:rFonts w:ascii="Nirmala UI" w:hAnsi="Nirmala UI" w:cs="Nirmala UI" w:eastAsia="Nirmala UI"/>
          <w:spacing w:val="-2"/>
          <w:w w:val="48"/>
          <w:sz w:val="28"/>
          <w:szCs w:val="28"/>
        </w:rPr>
        <w:t>�</w:t>
      </w:r>
      <w:r>
        <w:rPr>
          <w:rFonts w:ascii="Nirmala UI" w:hAnsi="Nirmala UI" w:cs="Nirmala UI" w:eastAsia="Nirmala UI"/>
          <w:spacing w:val="-2"/>
          <w:w w:val="109"/>
          <w:sz w:val="28"/>
          <w:szCs w:val="28"/>
        </w:rPr>
        <w:t>त</w:t>
      </w:r>
      <w:r>
        <w:rPr>
          <w:rFonts w:ascii="Nirmala UI" w:hAnsi="Nirmala UI" w:cs="Nirmala UI" w:eastAsia="Nirmala UI"/>
          <w:spacing w:val="-1"/>
          <w:w w:val="102"/>
          <w:sz w:val="28"/>
          <w:szCs w:val="28"/>
        </w:rPr>
        <w:t>व</w:t>
      </w:r>
      <w:r>
        <w:rPr>
          <w:rFonts w:ascii="Nirmala UI" w:hAnsi="Nirmala UI" w:cs="Nirmala UI" w:eastAsia="Nirmala UI"/>
          <w:spacing w:val="-1"/>
          <w:w w:val="99"/>
          <w:sz w:val="28"/>
          <w:szCs w:val="28"/>
        </w:rPr>
        <w:t>ष</w:t>
      </w:r>
      <w:r>
        <w:rPr>
          <w:rFonts w:ascii="Nirmala UI" w:hAnsi="Nirmala UI" w:cs="Nirmala UI" w:eastAsia="Nirmala UI"/>
          <w:spacing w:val="1"/>
          <w:w w:val="100"/>
          <w:sz w:val="28"/>
          <w:szCs w:val="28"/>
        </w:rPr>
        <w:t>ा</w:t>
      </w:r>
      <w:r>
        <w:rPr>
          <w:rFonts w:ascii="Nirmala UI" w:hAnsi="Nirmala UI" w:cs="Nirmala UI" w:eastAsia="Nirmala UI"/>
          <w:w w:val="100"/>
          <w:sz w:val="28"/>
          <w:szCs w:val="28"/>
        </w:rPr>
        <w:t>र्</w:t>
      </w:r>
      <w:r>
        <w:rPr>
          <w:rFonts w:ascii="Nirmala UI" w:hAnsi="Nirmala UI" w:cs="Nirmala UI" w:eastAsia="Nirmala UI"/>
          <w:spacing w:val="-2"/>
          <w:w w:val="120"/>
          <w:sz w:val="28"/>
          <w:szCs w:val="28"/>
        </w:rPr>
        <w:t>ि</w:t>
      </w:r>
      <w:r>
        <w:rPr>
          <w:rFonts w:ascii="Nirmala UI" w:hAnsi="Nirmala UI" w:cs="Nirmala UI" w:eastAsia="Nirmala UI"/>
          <w:w w:val="75"/>
          <w:sz w:val="28"/>
          <w:szCs w:val="28"/>
        </w:rPr>
        <w:t>ग्</w:t>
      </w:r>
      <w:r>
        <w:rPr>
          <w:rFonts w:ascii="Nirmala UI" w:hAnsi="Nirmala UI" w:cs="Nirmala UI" w:eastAsia="Nirmala UI"/>
          <w:spacing w:val="-1"/>
          <w:w w:val="111"/>
          <w:sz w:val="28"/>
          <w:szCs w:val="28"/>
        </w:rPr>
        <w:t>न</w:t>
      </w:r>
      <w:r>
        <w:rPr>
          <w:rFonts w:ascii="Nirmala UI" w:hAnsi="Nirmala UI" w:cs="Nirmala UI" w:eastAsia="Nirmala UI"/>
          <w:spacing w:val="-1"/>
          <w:w w:val="94"/>
          <w:sz w:val="28"/>
          <w:szCs w:val="28"/>
        </w:rPr>
        <w:t>ह</w:t>
      </w:r>
      <w:r>
        <w:rPr>
          <w:rFonts w:ascii="Nirmala UI" w:hAnsi="Nirmala UI" w:cs="Nirmala UI" w:eastAsia="Nirmala UI"/>
          <w:spacing w:val="1"/>
          <w:w w:val="94"/>
          <w:sz w:val="28"/>
          <w:szCs w:val="28"/>
        </w:rPr>
        <w:t>ो</w:t>
      </w:r>
      <w:r>
        <w:rPr>
          <w:rFonts w:ascii="Nirmala UI" w:hAnsi="Nirmala UI" w:cs="Nirmala UI" w:eastAsia="Nirmala UI"/>
          <w:w w:val="52"/>
          <w:sz w:val="28"/>
          <w:szCs w:val="28"/>
        </w:rPr>
        <w:t>त्</w:t>
      </w:r>
      <w:r>
        <w:rPr>
          <w:rFonts w:ascii="Nirmala UI" w:hAnsi="Nirmala UI" w:cs="Nirmala UI" w:eastAsia="Nirmala UI"/>
          <w:spacing w:val="-3"/>
          <w:w w:val="52"/>
          <w:sz w:val="28"/>
          <w:szCs w:val="28"/>
        </w:rPr>
        <w:t>र</w:t>
      </w:r>
      <w:r>
        <w:rPr>
          <w:rFonts w:ascii="Nirmala UI" w:hAnsi="Nirmala UI" w:cs="Nirmala UI" w:eastAsia="Nirmala UI"/>
          <w:w w:val="109"/>
          <w:sz w:val="28"/>
          <w:szCs w:val="28"/>
        </w:rPr>
        <w:t>त</w:t>
      </w:r>
      <w:r>
        <w:rPr>
          <w:rFonts w:ascii="Courier New" w:hAnsi="Courier New" w:cs="Courier New" w:eastAsia="Courier New"/>
          <w:spacing w:val="-1"/>
          <w:w w:val="100"/>
          <w:sz w:val="28"/>
          <w:szCs w:val="28"/>
        </w:rPr>
        <w:t>:</w:t>
      </w:r>
      <w:r>
        <w:rPr>
          <w:rFonts w:ascii="Nirmala UI" w:hAnsi="Nirmala UI" w:cs="Nirmala UI" w:eastAsia="Nirmala UI"/>
          <w:w w:val="96"/>
          <w:sz w:val="28"/>
          <w:szCs w:val="28"/>
        </w:rPr>
        <w:t>॥</w:t>
      </w:r>
      <w:r>
        <w:rPr>
          <w:rFonts w:ascii="Courier New" w:hAnsi="Courier New" w:cs="Courier New" w:eastAsia="Courier New"/>
          <w:spacing w:val="-1"/>
          <w:w w:val="100"/>
          <w:sz w:val="28"/>
          <w:szCs w:val="28"/>
        </w:rPr>
        <w:t>2</w:t>
      </w:r>
      <w:r>
        <w:rPr>
          <w:rFonts w:ascii="Courier New" w:hAnsi="Courier New" w:cs="Courier New" w:eastAsia="Courier New"/>
          <w:spacing w:val="-3"/>
          <w:w w:val="100"/>
          <w:sz w:val="28"/>
          <w:szCs w:val="28"/>
        </w:rPr>
        <w:t>3</w:t>
      </w:r>
      <w:r>
        <w:rPr>
          <w:rFonts w:ascii="Nirmala UI" w:hAnsi="Nirmala UI" w:cs="Nirmala UI" w:eastAsia="Nirmala UI"/>
          <w:w w:val="96"/>
          <w:sz w:val="28"/>
          <w:szCs w:val="28"/>
        </w:rPr>
        <w:t>॥</w:t>
      </w:r>
    </w:p>
    <w:p>
      <w:pPr>
        <w:pStyle w:val="BodyText"/>
        <w:rPr>
          <w:rFonts w:ascii="Nirmala UI"/>
          <w:sz w:val="20"/>
        </w:rPr>
      </w:pPr>
    </w:p>
    <w:p>
      <w:pPr>
        <w:tabs>
          <w:tab w:pos="2190" w:val="left" w:leader="none"/>
          <w:tab w:pos="3809" w:val="left" w:leader="none"/>
          <w:tab w:pos="4586" w:val="left" w:leader="none"/>
          <w:tab w:pos="5702" w:val="left" w:leader="none"/>
          <w:tab w:pos="6312" w:val="left" w:leader="none"/>
          <w:tab w:pos="7595" w:val="left" w:leader="none"/>
        </w:tabs>
        <w:spacing w:before="242"/>
        <w:ind w:left="867" w:right="1247" w:firstLine="710"/>
        <w:jc w:val="left"/>
        <w:rPr>
          <w:rFonts w:ascii="Courier New"/>
          <w:sz w:val="28"/>
        </w:rPr>
      </w:pPr>
      <w:r>
        <w:rPr>
          <w:rFonts w:ascii="Courier New"/>
          <w:sz w:val="28"/>
        </w:rPr>
        <w:t>By</w:t>
        <w:tab/>
        <w:t>visiting</w:t>
        <w:tab/>
        <w:t>the</w:t>
        <w:tab/>
        <w:t>place</w:t>
        <w:tab/>
        <w:t>of</w:t>
        <w:tab/>
        <w:t>birth,</w:t>
        <w:tab/>
      </w:r>
      <w:r>
        <w:rPr>
          <w:rFonts w:ascii="Courier New"/>
          <w:spacing w:val="-7"/>
          <w:sz w:val="28"/>
        </w:rPr>
        <w:t>one </w:t>
      </w:r>
      <w:r>
        <w:rPr>
          <w:rFonts w:ascii="Courier New"/>
          <w:sz w:val="28"/>
        </w:rPr>
        <w:t>attains</w:t>
      </w:r>
      <w:r>
        <w:rPr>
          <w:rFonts w:ascii="Courier New"/>
          <w:spacing w:val="53"/>
          <w:sz w:val="28"/>
        </w:rPr>
        <w:t> </w:t>
      </w:r>
      <w:r>
        <w:rPr>
          <w:rFonts w:ascii="Courier New"/>
          <w:sz w:val="28"/>
        </w:rPr>
        <w:t>that</w:t>
      </w:r>
      <w:r>
        <w:rPr>
          <w:rFonts w:ascii="Courier New"/>
          <w:spacing w:val="54"/>
          <w:sz w:val="28"/>
        </w:rPr>
        <w:t> </w:t>
      </w:r>
      <w:r>
        <w:rPr>
          <w:rFonts w:ascii="Courier New"/>
          <w:sz w:val="28"/>
        </w:rPr>
        <w:t>benefit</w:t>
      </w:r>
      <w:r>
        <w:rPr>
          <w:rFonts w:ascii="Courier New"/>
          <w:spacing w:val="54"/>
          <w:sz w:val="28"/>
        </w:rPr>
        <w:t> </w:t>
      </w:r>
      <w:r>
        <w:rPr>
          <w:rFonts w:ascii="Courier New"/>
          <w:sz w:val="28"/>
        </w:rPr>
        <w:t>which</w:t>
      </w:r>
      <w:r>
        <w:rPr>
          <w:rFonts w:ascii="Courier New"/>
          <w:spacing w:val="54"/>
          <w:sz w:val="28"/>
        </w:rPr>
        <w:t> </w:t>
      </w:r>
      <w:r>
        <w:rPr>
          <w:rFonts w:ascii="Courier New"/>
          <w:sz w:val="28"/>
        </w:rPr>
        <w:t>is</w:t>
      </w:r>
      <w:r>
        <w:rPr>
          <w:rFonts w:ascii="Courier New"/>
          <w:spacing w:val="54"/>
          <w:sz w:val="28"/>
        </w:rPr>
        <w:t> </w:t>
      </w:r>
      <w:r>
        <w:rPr>
          <w:rFonts w:ascii="Courier New"/>
          <w:sz w:val="28"/>
        </w:rPr>
        <w:t>obtained</w:t>
      </w:r>
      <w:r>
        <w:rPr>
          <w:rFonts w:ascii="Courier New"/>
          <w:spacing w:val="54"/>
          <w:sz w:val="28"/>
        </w:rPr>
        <w:t> </w:t>
      </w:r>
      <w:r>
        <w:rPr>
          <w:rFonts w:ascii="Courier New"/>
          <w:sz w:val="28"/>
        </w:rPr>
        <w:t>by</w:t>
      </w:r>
    </w:p>
    <w:p>
      <w:pPr>
        <w:spacing w:after="0"/>
        <w:jc w:val="left"/>
        <w:rPr>
          <w:rFonts w:ascii="Courier New"/>
          <w:sz w:val="28"/>
        </w:rPr>
        <w:sectPr>
          <w:type w:val="continuous"/>
          <w:pgSz w:w="11910" w:h="16840"/>
          <w:pgMar w:top="1340" w:bottom="1200" w:left="1280" w:right="1280"/>
        </w:sectPr>
      </w:pPr>
    </w:p>
    <w:p>
      <w:pPr>
        <w:spacing w:line="240" w:lineRule="auto" w:before="86"/>
        <w:ind w:left="867" w:right="1247" w:firstLine="0"/>
        <w:jc w:val="both"/>
        <w:rPr>
          <w:rFonts w:ascii="Courier New"/>
          <w:sz w:val="28"/>
        </w:rPr>
      </w:pPr>
      <w:r>
        <w:rPr>
          <w:rFonts w:ascii="Courier New"/>
          <w:sz w:val="28"/>
        </w:rPr>
        <w:t>the person who gives thousands of tawny- coloured cows everyday. By seeing the place of birth, one attains the merit of ascetics performing penance in hermitage, of thousands of Rajasuya sacrifices and Agnihotra sacrifices performed every year.</w:t>
      </w:r>
    </w:p>
    <w:p>
      <w:pPr>
        <w:pStyle w:val="BodyText"/>
        <w:rPr>
          <w:rFonts w:ascii="Courier New"/>
          <w:sz w:val="32"/>
        </w:rPr>
      </w:pPr>
    </w:p>
    <w:p>
      <w:pPr>
        <w:spacing w:before="0"/>
        <w:ind w:left="253" w:right="793" w:firstLine="0"/>
        <w:jc w:val="center"/>
        <w:rPr>
          <w:rFonts w:ascii="Nirmala UI" w:hAnsi="Nirmala UI" w:cs="Nirmala UI" w:eastAsia="Nirmala UI"/>
          <w:sz w:val="28"/>
          <w:szCs w:val="28"/>
        </w:rPr>
      </w:pPr>
      <w:r>
        <w:rPr>
          <w:rFonts w:ascii="Nirmala UI" w:hAnsi="Nirmala UI" w:cs="Nirmala UI" w:eastAsia="Nirmala UI"/>
          <w:spacing w:val="1"/>
          <w:w w:val="48"/>
          <w:sz w:val="28"/>
          <w:szCs w:val="28"/>
        </w:rPr>
        <w:t>�</w:t>
      </w:r>
      <w:r>
        <w:rPr>
          <w:rFonts w:ascii="Nirmala UI" w:hAnsi="Nirmala UI" w:cs="Nirmala UI" w:eastAsia="Nirmala UI"/>
          <w:spacing w:val="-1"/>
          <w:w w:val="111"/>
          <w:sz w:val="28"/>
          <w:szCs w:val="28"/>
        </w:rPr>
        <w:t>न</w:t>
      </w:r>
      <w:r>
        <w:rPr>
          <w:rFonts w:ascii="Nirmala UI" w:hAnsi="Nirmala UI" w:cs="Nirmala UI" w:eastAsia="Nirmala UI"/>
          <w:spacing w:val="-1"/>
          <w:w w:val="109"/>
          <w:sz w:val="28"/>
          <w:szCs w:val="28"/>
        </w:rPr>
        <w:t>य</w:t>
      </w:r>
      <w:r>
        <w:rPr>
          <w:rFonts w:ascii="Nirmala UI" w:hAnsi="Nirmala UI" w:cs="Nirmala UI" w:eastAsia="Nirmala UI"/>
          <w:spacing w:val="-2"/>
          <w:w w:val="108"/>
          <w:sz w:val="28"/>
          <w:szCs w:val="28"/>
        </w:rPr>
        <w:t>म</w:t>
      </w:r>
      <w:r>
        <w:rPr>
          <w:rFonts w:ascii="Nirmala UI" w:hAnsi="Nirmala UI" w:cs="Nirmala UI" w:eastAsia="Nirmala UI"/>
          <w:w w:val="79"/>
          <w:sz w:val="28"/>
          <w:szCs w:val="28"/>
        </w:rPr>
        <w:t>स</w:t>
      </w:r>
      <w:r>
        <w:rPr>
          <w:rFonts w:ascii="Nirmala UI" w:hAnsi="Nirmala UI" w:cs="Nirmala UI" w:eastAsia="Nirmala UI"/>
          <w:spacing w:val="-1"/>
          <w:w w:val="79"/>
          <w:sz w:val="28"/>
          <w:szCs w:val="28"/>
        </w:rPr>
        <w:t>्</w:t>
      </w:r>
      <w:r>
        <w:rPr>
          <w:rFonts w:ascii="Nirmala UI" w:hAnsi="Nirmala UI" w:cs="Nirmala UI" w:eastAsia="Nirmala UI"/>
          <w:spacing w:val="-1"/>
          <w:w w:val="110"/>
          <w:sz w:val="28"/>
          <w:szCs w:val="28"/>
        </w:rPr>
        <w:t>थ</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2"/>
          <w:sz w:val="28"/>
          <w:szCs w:val="28"/>
        </w:rPr>
        <w:t> </w:t>
      </w:r>
      <w:r>
        <w:rPr>
          <w:rFonts w:ascii="Nirmala UI" w:hAnsi="Nirmala UI" w:cs="Nirmala UI" w:eastAsia="Nirmala UI"/>
          <w:spacing w:val="-1"/>
          <w:w w:val="111"/>
          <w:sz w:val="28"/>
          <w:szCs w:val="28"/>
        </w:rPr>
        <w:t>न</w:t>
      </w:r>
      <w:r>
        <w:rPr>
          <w:rFonts w:ascii="Nirmala UI" w:hAnsi="Nirmala UI" w:cs="Nirmala UI" w:eastAsia="Nirmala UI"/>
          <w:spacing w:val="-12"/>
          <w:w w:val="96"/>
          <w:sz w:val="28"/>
          <w:szCs w:val="28"/>
        </w:rPr>
        <w:t>र</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3"/>
          <w:sz w:val="28"/>
          <w:szCs w:val="28"/>
        </w:rPr>
        <w:t> </w:t>
      </w:r>
      <w:r>
        <w:rPr>
          <w:rFonts w:ascii="Nirmala UI" w:hAnsi="Nirmala UI" w:cs="Nirmala UI" w:eastAsia="Nirmala UI"/>
          <w:w w:val="92"/>
          <w:sz w:val="28"/>
          <w:szCs w:val="28"/>
        </w:rPr>
        <w:t>द</w:t>
      </w:r>
      <w:r>
        <w:rPr>
          <w:rFonts w:ascii="Nirmala UI" w:hAnsi="Nirmala UI" w:cs="Nirmala UI" w:eastAsia="Nirmala UI"/>
          <w:spacing w:val="-1"/>
          <w:w w:val="92"/>
          <w:sz w:val="28"/>
          <w:szCs w:val="28"/>
        </w:rPr>
        <w:t>ृ</w:t>
      </w:r>
      <w:r>
        <w:rPr>
          <w:rFonts w:ascii="Nirmala UI" w:hAnsi="Nirmala UI" w:cs="Nirmala UI" w:eastAsia="Nirmala UI"/>
          <w:w w:val="73"/>
          <w:sz w:val="28"/>
          <w:szCs w:val="28"/>
        </w:rPr>
        <w:t>ष्</w:t>
      </w:r>
      <w:r>
        <w:rPr>
          <w:rFonts w:ascii="Nirmala UI" w:hAnsi="Nirmala UI" w:cs="Nirmala UI" w:eastAsia="Nirmala UI"/>
          <w:w w:val="97"/>
          <w:sz w:val="28"/>
          <w:szCs w:val="28"/>
        </w:rPr>
        <w:t>ट</w:t>
      </w:r>
      <w:r>
        <w:rPr>
          <w:rFonts w:ascii="Nirmala UI" w:hAnsi="Nirmala UI" w:cs="Nirmala UI" w:eastAsia="Nirmala UI"/>
          <w:spacing w:val="-1"/>
          <w:w w:val="97"/>
          <w:sz w:val="28"/>
          <w:szCs w:val="28"/>
        </w:rPr>
        <w:t>्</w:t>
      </w:r>
      <w:r>
        <w:rPr>
          <w:rFonts w:ascii="Nirmala UI" w:hAnsi="Nirmala UI" w:cs="Nirmala UI" w:eastAsia="Nirmala UI"/>
          <w:spacing w:val="-1"/>
          <w:w w:val="101"/>
          <w:sz w:val="28"/>
          <w:szCs w:val="28"/>
        </w:rPr>
        <w:t>व</w:t>
      </w:r>
      <w:r>
        <w:rPr>
          <w:rFonts w:ascii="Nirmala UI" w:hAnsi="Nirmala UI" w:cs="Nirmala UI" w:eastAsia="Nirmala UI"/>
          <w:w w:val="101"/>
          <w:sz w:val="28"/>
          <w:szCs w:val="28"/>
        </w:rPr>
        <w:t>ा</w:t>
      </w:r>
      <w:r>
        <w:rPr>
          <w:rFonts w:ascii="Nirmala UI" w:hAnsi="Nirmala UI" w:cs="Nirmala UI" w:eastAsia="Nirmala UI"/>
          <w:sz w:val="28"/>
          <w:szCs w:val="28"/>
        </w:rPr>
        <w:t> </w:t>
      </w:r>
      <w:r>
        <w:rPr>
          <w:rFonts w:ascii="Nirmala UI" w:hAnsi="Nirmala UI" w:cs="Nirmala UI" w:eastAsia="Nirmala UI"/>
          <w:spacing w:val="-13"/>
          <w:sz w:val="28"/>
          <w:szCs w:val="28"/>
        </w:rPr>
        <w:t> </w:t>
      </w:r>
      <w:r>
        <w:rPr>
          <w:rFonts w:ascii="Nirmala UI" w:hAnsi="Nirmala UI" w:cs="Nirmala UI" w:eastAsia="Nirmala UI"/>
          <w:spacing w:val="-2"/>
          <w:w w:val="104"/>
          <w:sz w:val="28"/>
          <w:szCs w:val="28"/>
        </w:rPr>
        <w:t>ज</w:t>
      </w:r>
      <w:r>
        <w:rPr>
          <w:rFonts w:ascii="Nirmala UI" w:hAnsi="Nirmala UI" w:cs="Nirmala UI" w:eastAsia="Nirmala UI"/>
          <w:w w:val="86"/>
          <w:sz w:val="28"/>
          <w:szCs w:val="28"/>
        </w:rPr>
        <w:t>न</w:t>
      </w:r>
      <w:r>
        <w:rPr>
          <w:rFonts w:ascii="Nirmala UI" w:hAnsi="Nirmala UI" w:cs="Nirmala UI" w:eastAsia="Nirmala UI"/>
          <w:spacing w:val="-1"/>
          <w:w w:val="86"/>
          <w:sz w:val="28"/>
          <w:szCs w:val="28"/>
        </w:rPr>
        <w:t>्</w:t>
      </w:r>
      <w:r>
        <w:rPr>
          <w:rFonts w:ascii="Nirmala UI" w:hAnsi="Nirmala UI" w:cs="Nirmala UI" w:eastAsia="Nirmala UI"/>
          <w:spacing w:val="-2"/>
          <w:w w:val="108"/>
          <w:sz w:val="28"/>
          <w:szCs w:val="28"/>
        </w:rPr>
        <w:t>म</w:t>
      </w:r>
      <w:r>
        <w:rPr>
          <w:rFonts w:ascii="Nirmala UI" w:hAnsi="Nirmala UI" w:cs="Nirmala UI" w:eastAsia="Nirmala UI"/>
          <w:w w:val="79"/>
          <w:sz w:val="28"/>
          <w:szCs w:val="28"/>
        </w:rPr>
        <w:t>स</w:t>
      </w:r>
      <w:r>
        <w:rPr>
          <w:rFonts w:ascii="Nirmala UI" w:hAnsi="Nirmala UI" w:cs="Nirmala UI" w:eastAsia="Nirmala UI"/>
          <w:spacing w:val="-1"/>
          <w:w w:val="79"/>
          <w:sz w:val="28"/>
          <w:szCs w:val="28"/>
        </w:rPr>
        <w:t>्</w:t>
      </w:r>
      <w:r>
        <w:rPr>
          <w:rFonts w:ascii="Nirmala UI" w:hAnsi="Nirmala UI" w:cs="Nirmala UI" w:eastAsia="Nirmala UI"/>
          <w:spacing w:val="-1"/>
          <w:w w:val="110"/>
          <w:sz w:val="28"/>
          <w:szCs w:val="28"/>
        </w:rPr>
        <w:t>थ</w:t>
      </w:r>
      <w:r>
        <w:rPr>
          <w:rFonts w:ascii="Nirmala UI" w:hAnsi="Nirmala UI" w:cs="Nirmala UI" w:eastAsia="Nirmala UI"/>
          <w:spacing w:val="1"/>
          <w:w w:val="100"/>
          <w:sz w:val="28"/>
          <w:szCs w:val="28"/>
        </w:rPr>
        <w:t>ा</w:t>
      </w:r>
      <w:r>
        <w:rPr>
          <w:rFonts w:ascii="Nirmala UI" w:hAnsi="Nirmala UI" w:cs="Nirmala UI" w:eastAsia="Nirmala UI"/>
          <w:spacing w:val="-1"/>
          <w:w w:val="111"/>
          <w:sz w:val="28"/>
          <w:szCs w:val="28"/>
        </w:rPr>
        <w:t>न</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5"/>
          <w:sz w:val="28"/>
          <w:szCs w:val="28"/>
        </w:rPr>
        <w:t> </w:t>
      </w:r>
      <w:r>
        <w:rPr>
          <w:rFonts w:ascii="Nirmala UI" w:hAnsi="Nirmala UI" w:cs="Nirmala UI" w:eastAsia="Nirmala UI"/>
          <w:spacing w:val="1"/>
          <w:w w:val="48"/>
          <w:sz w:val="28"/>
          <w:szCs w:val="28"/>
        </w:rPr>
        <w:t>�</w:t>
      </w:r>
      <w:r>
        <w:rPr>
          <w:rFonts w:ascii="Nirmala UI" w:hAnsi="Nirmala UI" w:cs="Nirmala UI" w:eastAsia="Nirmala UI"/>
          <w:spacing w:val="-1"/>
          <w:w w:val="97"/>
          <w:sz w:val="28"/>
          <w:szCs w:val="28"/>
        </w:rPr>
        <w:t>व</w:t>
      </w:r>
      <w:r>
        <w:rPr>
          <w:rFonts w:ascii="Nirmala UI" w:hAnsi="Nirmala UI" w:cs="Nirmala UI" w:eastAsia="Nirmala UI"/>
          <w:spacing w:val="-3"/>
          <w:w w:val="97"/>
          <w:sz w:val="28"/>
          <w:szCs w:val="28"/>
        </w:rPr>
        <w:t>श</w:t>
      </w:r>
      <w:r>
        <w:rPr>
          <w:rFonts w:ascii="Nirmala UI" w:hAnsi="Nirmala UI" w:cs="Nirmala UI" w:eastAsia="Nirmala UI"/>
          <w:spacing w:val="2"/>
          <w:w w:val="100"/>
          <w:sz w:val="28"/>
          <w:szCs w:val="28"/>
        </w:rPr>
        <w:t>े</w:t>
      </w:r>
      <w:r>
        <w:rPr>
          <w:rFonts w:ascii="Nirmala UI" w:hAnsi="Nirmala UI" w:cs="Nirmala UI" w:eastAsia="Nirmala UI"/>
          <w:spacing w:val="-1"/>
          <w:w w:val="104"/>
          <w:sz w:val="28"/>
          <w:szCs w:val="28"/>
        </w:rPr>
        <w:t>ष</w:t>
      </w:r>
      <w:r>
        <w:rPr>
          <w:rFonts w:ascii="Nirmala UI" w:hAnsi="Nirmala UI" w:cs="Nirmala UI" w:eastAsia="Nirmala UI"/>
          <w:spacing w:val="-2"/>
          <w:w w:val="104"/>
          <w:sz w:val="28"/>
          <w:szCs w:val="28"/>
        </w:rPr>
        <w:t>त</w:t>
      </w:r>
      <w:r>
        <w:rPr>
          <w:rFonts w:ascii="Nirmala UI" w:hAnsi="Nirmala UI" w:cs="Nirmala UI" w:eastAsia="Nirmala UI"/>
          <w:spacing w:val="-2"/>
          <w:w w:val="133"/>
          <w:sz w:val="28"/>
          <w:szCs w:val="28"/>
        </w:rPr>
        <w:t>:</w:t>
      </w:r>
      <w:r>
        <w:rPr>
          <w:rFonts w:ascii="Nirmala UI" w:hAnsi="Nirmala UI" w:cs="Nirmala UI" w:eastAsia="Nirmala UI"/>
          <w:w w:val="96"/>
          <w:sz w:val="28"/>
          <w:szCs w:val="28"/>
        </w:rPr>
        <w:t>।</w:t>
      </w:r>
    </w:p>
    <w:p>
      <w:pPr>
        <w:spacing w:after="0"/>
        <w:jc w:val="center"/>
        <w:rPr>
          <w:rFonts w:ascii="Nirmala UI" w:hAnsi="Nirmala UI" w:cs="Nirmala UI" w:eastAsia="Nirmala UI"/>
          <w:sz w:val="28"/>
          <w:szCs w:val="28"/>
        </w:rPr>
        <w:sectPr>
          <w:headerReference w:type="default" r:id="rId278"/>
          <w:footerReference w:type="default" r:id="rId279"/>
          <w:pgSz w:w="11910" w:h="16840"/>
          <w:pgMar w:header="0" w:footer="1063" w:top="1340" w:bottom="1260" w:left="1280" w:right="1280"/>
          <w:pgNumType w:start="35"/>
        </w:sectPr>
      </w:pPr>
    </w:p>
    <w:p>
      <w:pPr>
        <w:tabs>
          <w:tab w:pos="5936" w:val="left" w:leader="none"/>
        </w:tabs>
        <w:spacing w:before="98"/>
        <w:ind w:left="2003" w:right="0" w:firstLine="0"/>
        <w:jc w:val="left"/>
        <w:rPr>
          <w:rFonts w:ascii="Nirmala UI" w:hAnsi="Nirmala UI" w:cs="Nirmala UI" w:eastAsia="Nirmala UI"/>
          <w:sz w:val="28"/>
          <w:szCs w:val="28"/>
        </w:rPr>
      </w:pPr>
      <w:r>
        <w:rPr>
          <w:rFonts w:ascii="Nirmala UI" w:hAnsi="Nirmala UI" w:cs="Nirmala UI" w:eastAsia="Nirmala UI"/>
          <w:spacing w:val="-2"/>
          <w:w w:val="106"/>
          <w:sz w:val="28"/>
          <w:szCs w:val="28"/>
        </w:rPr>
        <w:t>म</w:t>
      </w:r>
      <w:r>
        <w:rPr>
          <w:rFonts w:ascii="Nirmala UI" w:hAnsi="Nirmala UI" w:cs="Nirmala UI" w:eastAsia="Nirmala UI"/>
          <w:spacing w:val="1"/>
          <w:w w:val="106"/>
          <w:sz w:val="28"/>
          <w:szCs w:val="28"/>
        </w:rPr>
        <w:t>ा</w:t>
      </w:r>
      <w:r>
        <w:rPr>
          <w:rFonts w:ascii="Nirmala UI" w:hAnsi="Nirmala UI" w:cs="Nirmala UI" w:eastAsia="Nirmala UI"/>
          <w:w w:val="109"/>
          <w:sz w:val="28"/>
          <w:szCs w:val="28"/>
        </w:rPr>
        <w:t>त</w:t>
      </w:r>
      <w:r>
        <w:rPr>
          <w:rFonts w:ascii="Nirmala UI" w:hAnsi="Nirmala UI" w:cs="Nirmala UI" w:eastAsia="Nirmala UI"/>
          <w:spacing w:val="-2"/>
          <w:w w:val="100"/>
          <w:sz w:val="28"/>
          <w:szCs w:val="28"/>
        </w:rPr>
        <w:t>ा</w:t>
      </w:r>
      <w:r>
        <w:rPr>
          <w:rFonts w:ascii="Nirmala UI" w:hAnsi="Nirmala UI" w:cs="Nirmala UI" w:eastAsia="Nirmala UI"/>
          <w:spacing w:val="1"/>
          <w:w w:val="48"/>
          <w:sz w:val="28"/>
          <w:szCs w:val="28"/>
        </w:rPr>
        <w:t>�</w:t>
      </w:r>
      <w:r>
        <w:rPr>
          <w:rFonts w:ascii="Nirmala UI" w:hAnsi="Nirmala UI" w:cs="Nirmala UI" w:eastAsia="Nirmala UI"/>
          <w:spacing w:val="-1"/>
          <w:w w:val="99"/>
          <w:sz w:val="28"/>
          <w:szCs w:val="28"/>
        </w:rPr>
        <w:t>प</w:t>
      </w:r>
      <w:r>
        <w:rPr>
          <w:rFonts w:ascii="Nirmala UI" w:hAnsi="Nirmala UI" w:cs="Nirmala UI" w:eastAsia="Nirmala UI"/>
          <w:w w:val="52"/>
          <w:sz w:val="28"/>
          <w:szCs w:val="28"/>
        </w:rPr>
        <w:t>त्</w:t>
      </w:r>
      <w:r>
        <w:rPr>
          <w:rFonts w:ascii="Nirmala UI" w:hAnsi="Nirmala UI" w:cs="Nirmala UI" w:eastAsia="Nirmala UI"/>
          <w:spacing w:val="-3"/>
          <w:w w:val="52"/>
          <w:sz w:val="28"/>
          <w:szCs w:val="28"/>
        </w:rPr>
        <w:t>र</w:t>
      </w:r>
      <w:r>
        <w:rPr>
          <w:rFonts w:ascii="Nirmala UI" w:hAnsi="Nirmala UI" w:cs="Nirmala UI" w:eastAsia="Nirmala UI"/>
          <w:spacing w:val="1"/>
          <w:w w:val="100"/>
          <w:sz w:val="28"/>
          <w:szCs w:val="28"/>
        </w:rPr>
        <w:t>ो</w:t>
      </w:r>
      <w:r>
        <w:rPr>
          <w:rFonts w:ascii="Nirmala UI" w:hAnsi="Nirmala UI" w:cs="Nirmala UI" w:eastAsia="Nirmala UI"/>
          <w:spacing w:val="1"/>
          <w:w w:val="112"/>
          <w:sz w:val="28"/>
          <w:szCs w:val="28"/>
        </w:rPr>
        <w:t>ग</w:t>
      </w:r>
      <w:r>
        <w:rPr>
          <w:rFonts w:ascii="Nirmala UI" w:hAnsi="Nirmala UI" w:cs="Nirmala UI" w:eastAsia="Nirmala UI"/>
          <w:w w:val="100"/>
          <w:position w:val="-1"/>
          <w:sz w:val="28"/>
          <w:szCs w:val="28"/>
        </w:rPr>
        <w:t>ु</w:t>
      </w:r>
      <w:r>
        <w:rPr>
          <w:rFonts w:ascii="Nirmala UI" w:hAnsi="Nirmala UI" w:cs="Nirmala UI" w:eastAsia="Nirmala UI"/>
          <w:spacing w:val="-181"/>
          <w:w w:val="133"/>
          <w:sz w:val="28"/>
          <w:szCs w:val="28"/>
        </w:rPr>
        <w:t>र</w:t>
      </w:r>
      <w:r>
        <w:rPr>
          <w:rFonts w:ascii="Nirmala UI" w:hAnsi="Nirmala UI" w:cs="Nirmala UI" w:eastAsia="Nirmala UI"/>
          <w:spacing w:val="-4"/>
          <w:w w:val="133"/>
          <w:sz w:val="28"/>
          <w:szCs w:val="28"/>
        </w:rPr>
        <w:t>ू</w:t>
      </w:r>
      <w:r>
        <w:rPr>
          <w:rFonts w:ascii="Nirmala UI" w:hAnsi="Nirmala UI" w:cs="Nirmala UI" w:eastAsia="Nirmala UI"/>
          <w:w w:val="108"/>
          <w:sz w:val="28"/>
          <w:szCs w:val="28"/>
        </w:rPr>
        <w:t>ण</w:t>
      </w:r>
      <w:r>
        <w:rPr>
          <w:rFonts w:ascii="Nirmala UI" w:hAnsi="Nirmala UI" w:cs="Nirmala UI" w:eastAsia="Nirmala UI"/>
          <w:spacing w:val="1"/>
          <w:w w:val="77"/>
          <w:sz w:val="28"/>
          <w:szCs w:val="28"/>
        </w:rPr>
        <w:t>ाञ</w:t>
      </w:r>
      <w:r>
        <w:rPr>
          <w:rFonts w:ascii="Nirmala UI" w:hAnsi="Nirmala UI" w:cs="Nirmala UI" w:eastAsia="Nirmala UI"/>
          <w:spacing w:val="-1"/>
          <w:w w:val="77"/>
          <w:sz w:val="28"/>
          <w:szCs w:val="28"/>
        </w:rPr>
        <w:t>्</w:t>
      </w:r>
      <w:r>
        <w:rPr>
          <w:rFonts w:ascii="Nirmala UI" w:hAnsi="Nirmala UI" w:cs="Nirmala UI" w:eastAsia="Nirmala UI"/>
          <w:w w:val="104"/>
          <w:sz w:val="28"/>
          <w:szCs w:val="28"/>
        </w:rPr>
        <w:t>च</w:t>
      </w:r>
      <w:r>
        <w:rPr>
          <w:rFonts w:ascii="Nirmala UI" w:hAnsi="Nirmala UI" w:cs="Nirmala UI" w:eastAsia="Nirmala UI"/>
          <w:sz w:val="28"/>
          <w:szCs w:val="28"/>
        </w:rPr>
        <w:t> </w:t>
      </w:r>
      <w:r>
        <w:rPr>
          <w:rFonts w:ascii="Nirmala UI" w:hAnsi="Nirmala UI" w:cs="Nirmala UI" w:eastAsia="Nirmala UI"/>
          <w:spacing w:val="-16"/>
          <w:sz w:val="28"/>
          <w:szCs w:val="28"/>
        </w:rPr>
        <w:t> </w:t>
      </w:r>
      <w:r>
        <w:rPr>
          <w:rFonts w:ascii="Nirmala UI" w:hAnsi="Nirmala UI" w:cs="Nirmala UI" w:eastAsia="Nirmala UI"/>
          <w:spacing w:val="-4"/>
          <w:w w:val="102"/>
          <w:sz w:val="28"/>
          <w:szCs w:val="28"/>
        </w:rPr>
        <w:t>भ</w:t>
      </w:r>
      <w:r>
        <w:rPr>
          <w:rFonts w:ascii="Nirmala UI" w:hAnsi="Nirmala UI" w:cs="Nirmala UI" w:eastAsia="Nirmala UI"/>
          <w:spacing w:val="1"/>
          <w:w w:val="120"/>
          <w:sz w:val="28"/>
          <w:szCs w:val="28"/>
        </w:rPr>
        <w:t>ि</w:t>
      </w:r>
      <w:r>
        <w:rPr>
          <w:rFonts w:ascii="Nirmala UI" w:hAnsi="Nirmala UI" w:cs="Nirmala UI" w:eastAsia="Nirmala UI"/>
          <w:w w:val="72"/>
          <w:sz w:val="28"/>
          <w:szCs w:val="28"/>
        </w:rPr>
        <w:t>क</w:t>
      </w:r>
      <w:r>
        <w:rPr>
          <w:rFonts w:ascii="Nirmala UI" w:hAnsi="Nirmala UI" w:cs="Nirmala UI" w:eastAsia="Nirmala UI"/>
          <w:spacing w:val="-1"/>
          <w:w w:val="72"/>
          <w:sz w:val="28"/>
          <w:szCs w:val="28"/>
        </w:rPr>
        <w:t>्</w:t>
      </w:r>
      <w:r>
        <w:rPr>
          <w:rFonts w:ascii="Nirmala UI" w:hAnsi="Nirmala UI" w:cs="Nirmala UI" w:eastAsia="Nirmala UI"/>
          <w:w w:val="109"/>
          <w:sz w:val="28"/>
          <w:szCs w:val="28"/>
        </w:rPr>
        <w:t>त</w:t>
      </w:r>
      <w:r>
        <w:rPr>
          <w:rFonts w:ascii="Nirmala UI" w:hAnsi="Nirmala UI" w:cs="Nirmala UI" w:eastAsia="Nirmala UI"/>
          <w:spacing w:val="-1"/>
          <w:w w:val="108"/>
          <w:sz w:val="28"/>
          <w:szCs w:val="28"/>
        </w:rPr>
        <w:t>म</w:t>
      </w:r>
      <w:r>
        <w:rPr>
          <w:rFonts w:ascii="Nirmala UI" w:hAnsi="Nirmala UI" w:cs="Nirmala UI" w:eastAsia="Nirmala UI"/>
          <w:w w:val="92"/>
          <w:sz w:val="28"/>
          <w:szCs w:val="28"/>
        </w:rPr>
        <w:t>द</w:t>
      </w:r>
      <w:r>
        <w:rPr>
          <w:rFonts w:ascii="Nirmala UI" w:hAnsi="Nirmala UI" w:cs="Nirmala UI" w:eastAsia="Nirmala UI"/>
          <w:spacing w:val="-1"/>
          <w:w w:val="92"/>
          <w:sz w:val="28"/>
          <w:szCs w:val="28"/>
        </w:rPr>
        <w:t>्</w:t>
      </w:r>
      <w:r>
        <w:rPr>
          <w:rFonts w:ascii="Nirmala UI" w:hAnsi="Nirmala UI" w:cs="Nirmala UI" w:eastAsia="Nirmala UI"/>
          <w:spacing w:val="-1"/>
          <w:w w:val="102"/>
          <w:sz w:val="28"/>
          <w:szCs w:val="28"/>
        </w:rPr>
        <w:t>व</w:t>
      </w:r>
      <w:r>
        <w:rPr>
          <w:rFonts w:ascii="Nirmala UI" w:hAnsi="Nirmala UI" w:cs="Nirmala UI" w:eastAsia="Nirmala UI"/>
          <w:spacing w:val="-1"/>
          <w:w w:val="91"/>
          <w:sz w:val="28"/>
          <w:szCs w:val="28"/>
        </w:rPr>
        <w:t>ह</w:t>
      </w:r>
      <w:r>
        <w:rPr>
          <w:rFonts w:ascii="Nirmala UI" w:hAnsi="Nirmala UI" w:cs="Nirmala UI" w:eastAsia="Nirmala UI"/>
          <w:spacing w:val="-2"/>
          <w:w w:val="109"/>
          <w:sz w:val="28"/>
          <w:szCs w:val="28"/>
        </w:rPr>
        <w:t>त</w:t>
      </w:r>
      <w:r>
        <w:rPr>
          <w:rFonts w:ascii="Nirmala UI" w:hAnsi="Nirmala UI" w:cs="Nirmala UI" w:eastAsia="Nirmala UI"/>
          <w:spacing w:val="1"/>
          <w:w w:val="100"/>
          <w:sz w:val="28"/>
          <w:szCs w:val="28"/>
        </w:rPr>
        <w:t>ा</w:t>
      </w:r>
      <w:r>
        <w:rPr>
          <w:rFonts w:ascii="Nirmala UI" w:hAnsi="Nirmala UI" w:cs="Nirmala UI" w:eastAsia="Nirmala UI"/>
          <w:spacing w:val="-744"/>
          <w:w w:val="100"/>
          <w:sz w:val="28"/>
          <w:szCs w:val="28"/>
        </w:rPr>
        <w:t>ं</w:t>
      </w:r>
      <w:r>
        <w:rPr>
          <w:rFonts w:ascii="Nirmala UI" w:hAnsi="Nirmala UI" w:cs="Nirmala UI" w:eastAsia="Nirmala UI"/>
          <w:w w:val="100"/>
          <w:position w:val="-1"/>
          <w:sz w:val="28"/>
          <w:szCs w:val="28"/>
        </w:rPr>
        <w:t>ु</w:t>
      </w:r>
      <w:r>
        <w:rPr>
          <w:rFonts w:ascii="Nirmala UI" w:hAnsi="Nirmala UI" w:cs="Nirmala UI" w:eastAsia="Nirmala UI"/>
          <w:position w:val="-1"/>
          <w:sz w:val="28"/>
          <w:szCs w:val="28"/>
        </w:rPr>
        <w:tab/>
      </w:r>
      <w:r>
        <w:rPr>
          <w:rFonts w:ascii="Nirmala UI" w:hAnsi="Nirmala UI" w:cs="Nirmala UI" w:eastAsia="Nirmala UI"/>
          <w:spacing w:val="-8"/>
          <w:w w:val="101"/>
          <w:sz w:val="28"/>
          <w:szCs w:val="28"/>
        </w:rPr>
        <w:t>स</w:t>
      </w:r>
      <w:r>
        <w:rPr>
          <w:rFonts w:ascii="Nirmala UI" w:hAnsi="Nirmala UI" w:cs="Nirmala UI" w:eastAsia="Nirmala UI"/>
          <w:spacing w:val="-4"/>
          <w:w w:val="109"/>
          <w:sz w:val="28"/>
          <w:szCs w:val="28"/>
        </w:rPr>
        <w:t>त</w:t>
      </w:r>
      <w:r>
        <w:rPr>
          <w:rFonts w:ascii="Nirmala UI" w:hAnsi="Nirmala UI" w:cs="Nirmala UI" w:eastAsia="Nirmala UI"/>
          <w:spacing w:val="-3"/>
          <w:w w:val="106"/>
          <w:sz w:val="28"/>
          <w:szCs w:val="28"/>
        </w:rPr>
        <w:t>ा</w:t>
      </w:r>
      <w:r>
        <w:rPr>
          <w:rFonts w:ascii="Nirmala UI" w:hAnsi="Nirmala UI" w:cs="Nirmala UI" w:eastAsia="Nirmala UI"/>
          <w:spacing w:val="-8"/>
          <w:w w:val="106"/>
          <w:sz w:val="28"/>
          <w:szCs w:val="28"/>
        </w:rPr>
        <w:t>म</w:t>
      </w:r>
      <w:r>
        <w:rPr>
          <w:rFonts w:ascii="Nirmala UI" w:hAnsi="Nirmala UI" w:cs="Nirmala UI" w:eastAsia="Nirmala UI"/>
          <w:spacing w:val="-133"/>
          <w:w w:val="96"/>
          <w:sz w:val="28"/>
          <w:szCs w:val="28"/>
        </w:rPr>
        <w:t>॥</w:t>
      </w:r>
    </w:p>
    <w:p>
      <w:pPr>
        <w:spacing w:before="98"/>
        <w:ind w:left="87" w:right="0" w:firstLine="0"/>
        <w:jc w:val="left"/>
        <w:rPr>
          <w:rFonts w:ascii="Nirmala UI" w:hAnsi="Nirmala UI" w:cs="Nirmala UI" w:eastAsia="Nirmala UI"/>
          <w:sz w:val="28"/>
          <w:szCs w:val="28"/>
        </w:rPr>
      </w:pPr>
      <w:r>
        <w:rPr/>
        <w:br w:type="column"/>
      </w:r>
      <w:r>
        <w:rPr>
          <w:rFonts w:ascii="Nirmala UI" w:hAnsi="Nirmala UI" w:cs="Nirmala UI" w:eastAsia="Nirmala UI"/>
          <w:w w:val="105"/>
          <w:sz w:val="28"/>
          <w:szCs w:val="28"/>
        </w:rPr>
        <w:t>24॥</w:t>
      </w:r>
    </w:p>
    <w:p>
      <w:pPr>
        <w:spacing w:after="0"/>
        <w:jc w:val="left"/>
        <w:rPr>
          <w:rFonts w:ascii="Nirmala UI" w:hAnsi="Nirmala UI" w:cs="Nirmala UI" w:eastAsia="Nirmala UI"/>
          <w:sz w:val="28"/>
          <w:szCs w:val="28"/>
        </w:rPr>
        <w:sectPr>
          <w:type w:val="continuous"/>
          <w:pgSz w:w="11910" w:h="16840"/>
          <w:pgMar w:top="1340" w:bottom="1200" w:left="1280" w:right="1280"/>
          <w:cols w:num="2" w:equalWidth="0">
            <w:col w:w="6646" w:space="40"/>
            <w:col w:w="2664"/>
          </w:cols>
        </w:sectPr>
      </w:pPr>
    </w:p>
    <w:p>
      <w:pPr>
        <w:pStyle w:val="Heading2"/>
        <w:spacing w:before="78"/>
        <w:ind w:left="2003"/>
        <w:jc w:val="left"/>
        <w:rPr>
          <w:rFonts w:ascii="Nirmala UI" w:hAnsi="Nirmala UI" w:cs="Nirmala UI" w:eastAsia="Nirmala UI"/>
        </w:rPr>
      </w:pPr>
      <w:r>
        <w:rPr>
          <w:rFonts w:ascii="Nirmala UI" w:hAnsi="Nirmala UI" w:cs="Nirmala UI" w:eastAsia="Nirmala UI"/>
          <w:w w:val="109"/>
        </w:rPr>
        <w:t>त</w:t>
      </w:r>
      <w:r>
        <w:rPr>
          <w:rFonts w:ascii="Nirmala UI" w:hAnsi="Nirmala UI" w:cs="Nirmala UI" w:eastAsia="Nirmala UI"/>
          <w:w w:val="72"/>
        </w:rPr>
        <w:t>त</w:t>
      </w:r>
      <w:r>
        <w:rPr>
          <w:rFonts w:ascii="Nirmala UI" w:hAnsi="Nirmala UI" w:cs="Nirmala UI" w:eastAsia="Nirmala UI"/>
          <w:spacing w:val="-1"/>
          <w:w w:val="72"/>
        </w:rPr>
        <w:t>्</w:t>
      </w:r>
      <w:r>
        <w:rPr>
          <w:rFonts w:ascii="Nirmala UI" w:hAnsi="Nirmala UI" w:cs="Nirmala UI" w:eastAsia="Nirmala UI"/>
          <w:spacing w:val="1"/>
          <w:w w:val="87"/>
        </w:rPr>
        <w:t>फ</w:t>
      </w:r>
      <w:r>
        <w:rPr>
          <w:rFonts w:ascii="Nirmala UI" w:hAnsi="Nirmala UI" w:cs="Nirmala UI" w:eastAsia="Nirmala UI"/>
          <w:spacing w:val="-2"/>
          <w:w w:val="102"/>
        </w:rPr>
        <w:t>ल</w:t>
      </w:r>
      <w:r>
        <w:rPr>
          <w:rFonts w:ascii="Nirmala UI" w:hAnsi="Nirmala UI" w:cs="Nirmala UI" w:eastAsia="Nirmala UI"/>
          <w:w w:val="102"/>
        </w:rPr>
        <w:t>ं</w:t>
      </w:r>
      <w:r>
        <w:rPr>
          <w:rFonts w:ascii="Nirmala UI" w:hAnsi="Nirmala UI" w:cs="Nirmala UI" w:eastAsia="Nirmala UI"/>
        </w:rPr>
        <w:t> </w:t>
      </w:r>
      <w:r>
        <w:rPr>
          <w:rFonts w:ascii="Nirmala UI" w:hAnsi="Nirmala UI" w:cs="Nirmala UI" w:eastAsia="Nirmala UI"/>
          <w:spacing w:val="-14"/>
        </w:rPr>
        <w:t> </w:t>
      </w:r>
      <w:r>
        <w:rPr>
          <w:rFonts w:ascii="Nirmala UI" w:hAnsi="Nirmala UI" w:cs="Nirmala UI" w:eastAsia="Nirmala UI"/>
          <w:spacing w:val="-2"/>
          <w:w w:val="104"/>
        </w:rPr>
        <w:t>सम</w:t>
      </w:r>
      <w:r>
        <w:rPr>
          <w:rFonts w:ascii="Nirmala UI" w:hAnsi="Nirmala UI" w:cs="Nirmala UI" w:eastAsia="Nirmala UI"/>
          <w:spacing w:val="-1"/>
          <w:w w:val="104"/>
        </w:rPr>
        <w:t>व</w:t>
      </w:r>
      <w:r>
        <w:rPr>
          <w:rFonts w:ascii="Nirmala UI" w:hAnsi="Nirmala UI" w:cs="Nirmala UI" w:eastAsia="Nirmala UI"/>
          <w:spacing w:val="-2"/>
          <w:w w:val="100"/>
        </w:rPr>
        <w:t>ा</w:t>
      </w:r>
      <w:r>
        <w:rPr>
          <w:rFonts w:ascii="Nirmala UI" w:hAnsi="Nirmala UI" w:cs="Nirmala UI" w:eastAsia="Nirmala UI"/>
          <w:w w:val="73"/>
        </w:rPr>
        <w:t>प्</w:t>
      </w:r>
      <w:r>
        <w:rPr>
          <w:rFonts w:ascii="Nirmala UI" w:hAnsi="Nirmala UI" w:cs="Nirmala UI" w:eastAsia="Nirmala UI"/>
          <w:spacing w:val="-1"/>
          <w:w w:val="111"/>
        </w:rPr>
        <w:t>न</w:t>
      </w:r>
      <w:r>
        <w:rPr>
          <w:rFonts w:ascii="Nirmala UI" w:hAnsi="Nirmala UI" w:cs="Nirmala UI" w:eastAsia="Nirmala UI"/>
          <w:spacing w:val="-2"/>
          <w:w w:val="100"/>
        </w:rPr>
        <w:t>ो</w:t>
      </w:r>
      <w:r>
        <w:rPr>
          <w:rFonts w:ascii="Nirmala UI" w:hAnsi="Nirmala UI" w:cs="Nirmala UI" w:eastAsia="Nirmala UI"/>
          <w:spacing w:val="1"/>
          <w:w w:val="48"/>
        </w:rPr>
        <w:t>�</w:t>
      </w:r>
      <w:r>
        <w:rPr>
          <w:rFonts w:ascii="Nirmala UI" w:hAnsi="Nirmala UI" w:cs="Nirmala UI" w:eastAsia="Nirmala UI"/>
          <w:w w:val="109"/>
        </w:rPr>
        <w:t>त</w:t>
      </w:r>
      <w:r>
        <w:rPr>
          <w:rFonts w:ascii="Nirmala UI" w:hAnsi="Nirmala UI" w:cs="Nirmala UI" w:eastAsia="Nirmala UI"/>
        </w:rPr>
        <w:t> </w:t>
      </w:r>
      <w:r>
        <w:rPr>
          <w:rFonts w:ascii="Nirmala UI" w:hAnsi="Nirmala UI" w:cs="Nirmala UI" w:eastAsia="Nirmala UI"/>
          <w:spacing w:val="-17"/>
        </w:rPr>
        <w:t> </w:t>
      </w:r>
      <w:r>
        <w:rPr>
          <w:rFonts w:ascii="Nirmala UI" w:hAnsi="Nirmala UI" w:cs="Nirmala UI" w:eastAsia="Nirmala UI"/>
          <w:spacing w:val="1"/>
          <w:w w:val="104"/>
        </w:rPr>
        <w:t>ज</w:t>
      </w:r>
      <w:r>
        <w:rPr>
          <w:rFonts w:ascii="Nirmala UI" w:hAnsi="Nirmala UI" w:cs="Nirmala UI" w:eastAsia="Nirmala UI"/>
          <w:w w:val="86"/>
        </w:rPr>
        <w:t>न</w:t>
      </w:r>
      <w:r>
        <w:rPr>
          <w:rFonts w:ascii="Nirmala UI" w:hAnsi="Nirmala UI" w:cs="Nirmala UI" w:eastAsia="Nirmala UI"/>
          <w:spacing w:val="-1"/>
          <w:w w:val="86"/>
        </w:rPr>
        <w:t>्</w:t>
      </w:r>
      <w:r>
        <w:rPr>
          <w:rFonts w:ascii="Nirmala UI" w:hAnsi="Nirmala UI" w:cs="Nirmala UI" w:eastAsia="Nirmala UI"/>
          <w:spacing w:val="-2"/>
          <w:w w:val="105"/>
        </w:rPr>
        <w:t>म</w:t>
      </w:r>
      <w:r>
        <w:rPr>
          <w:rFonts w:ascii="Nirmala UI" w:hAnsi="Nirmala UI" w:cs="Nirmala UI" w:eastAsia="Nirmala UI"/>
          <w:spacing w:val="-1"/>
          <w:w w:val="105"/>
        </w:rPr>
        <w:t>भ</w:t>
      </w:r>
      <w:r>
        <w:rPr>
          <w:rFonts w:ascii="Nirmala UI" w:hAnsi="Nirmala UI" w:cs="Nirmala UI" w:eastAsia="Nirmala UI"/>
          <w:spacing w:val="-3"/>
          <w:w w:val="108"/>
        </w:rPr>
        <w:t>म</w:t>
      </w:r>
      <w:r>
        <w:rPr>
          <w:rFonts w:ascii="Nirmala UI" w:hAnsi="Nirmala UI" w:cs="Nirmala UI" w:eastAsia="Nirmala UI"/>
          <w:spacing w:val="-2"/>
          <w:w w:val="100"/>
        </w:rPr>
        <w:t>े</w:t>
      </w:r>
      <w:r>
        <w:rPr>
          <w:rFonts w:ascii="Nirmala UI" w:hAnsi="Nirmala UI" w:cs="Nirmala UI" w:eastAsia="Nirmala UI"/>
          <w:w w:val="133"/>
        </w:rPr>
        <w:t>:</w:t>
      </w:r>
      <w:r>
        <w:rPr>
          <w:rFonts w:ascii="Nirmala UI" w:hAnsi="Nirmala UI" w:cs="Nirmala UI" w:eastAsia="Nirmala UI"/>
        </w:rPr>
        <w:t> </w:t>
      </w:r>
      <w:r>
        <w:rPr>
          <w:rFonts w:ascii="Nirmala UI" w:hAnsi="Nirmala UI" w:cs="Nirmala UI" w:eastAsia="Nirmala UI"/>
          <w:spacing w:val="-11"/>
        </w:rPr>
        <w:t> </w:t>
      </w:r>
      <w:r>
        <w:rPr>
          <w:rFonts w:ascii="Nirmala UI" w:hAnsi="Nirmala UI" w:cs="Nirmala UI" w:eastAsia="Nirmala UI"/>
          <w:spacing w:val="-10"/>
          <w:w w:val="55"/>
        </w:rPr>
        <w:t>प्</w:t>
      </w:r>
      <w:r>
        <w:rPr>
          <w:rFonts w:ascii="Nirmala UI" w:hAnsi="Nirmala UI" w:cs="Nirmala UI" w:eastAsia="Nirmala UI"/>
          <w:spacing w:val="-11"/>
          <w:w w:val="55"/>
        </w:rPr>
        <w:t>र</w:t>
      </w:r>
      <w:r>
        <w:rPr>
          <w:rFonts w:ascii="Nirmala UI" w:hAnsi="Nirmala UI" w:cs="Nirmala UI" w:eastAsia="Nirmala UI"/>
          <w:spacing w:val="-11"/>
          <w:w w:val="92"/>
        </w:rPr>
        <w:t>द</w:t>
      </w:r>
      <w:r>
        <w:rPr>
          <w:rFonts w:ascii="Nirmala UI" w:hAnsi="Nirmala UI" w:cs="Nirmala UI" w:eastAsia="Nirmala UI"/>
          <w:spacing w:val="-11"/>
          <w:w w:val="93"/>
        </w:rPr>
        <w:t>श</w:t>
      </w:r>
      <w:r>
        <w:rPr>
          <w:rFonts w:ascii="Nirmala UI" w:hAnsi="Nirmala UI" w:cs="Nirmala UI" w:eastAsia="Nirmala UI"/>
          <w:spacing w:val="-198"/>
          <w:w w:val="111"/>
        </w:rPr>
        <w:t>न</w:t>
      </w:r>
    </w:p>
    <w:p>
      <w:pPr>
        <w:spacing w:before="78"/>
        <w:ind w:left="144" w:right="0" w:firstLine="0"/>
        <w:jc w:val="left"/>
        <w:rPr>
          <w:rFonts w:ascii="Nirmala UI" w:hAnsi="Nirmala UI" w:cs="Nirmala UI" w:eastAsia="Nirmala UI"/>
          <w:sz w:val="28"/>
          <w:szCs w:val="28"/>
        </w:rPr>
      </w:pPr>
      <w:r>
        <w:rPr/>
        <w:br w:type="column"/>
      </w:r>
      <w:r>
        <w:rPr>
          <w:rFonts w:ascii="Nirmala UI" w:hAnsi="Nirmala UI" w:cs="Nirmala UI" w:eastAsia="Nirmala UI"/>
          <w:spacing w:val="1"/>
          <w:w w:val="100"/>
          <w:sz w:val="28"/>
          <w:szCs w:val="28"/>
        </w:rPr>
        <w:t>ा</w:t>
      </w:r>
      <w:r>
        <w:rPr>
          <w:rFonts w:ascii="Nirmala UI" w:hAnsi="Nirmala UI" w:cs="Nirmala UI" w:eastAsia="Nirmala UI"/>
          <w:spacing w:val="-2"/>
          <w:w w:val="109"/>
          <w:sz w:val="28"/>
          <w:szCs w:val="28"/>
        </w:rPr>
        <w:t>त</w:t>
      </w:r>
      <w:r>
        <w:rPr>
          <w:rFonts w:ascii="Nirmala UI" w:hAnsi="Nirmala UI" w:cs="Nirmala UI" w:eastAsia="Nirmala UI"/>
          <w:spacing w:val="-129"/>
          <w:w w:val="96"/>
          <w:sz w:val="28"/>
          <w:szCs w:val="28"/>
        </w:rPr>
        <w:t>॥</w:t>
      </w:r>
    </w:p>
    <w:p>
      <w:pPr>
        <w:spacing w:before="78"/>
        <w:ind w:left="87" w:right="0" w:firstLine="0"/>
        <w:jc w:val="left"/>
        <w:rPr>
          <w:rFonts w:ascii="Nirmala UI" w:hAnsi="Nirmala UI" w:cs="Nirmala UI" w:eastAsia="Nirmala UI"/>
          <w:sz w:val="28"/>
          <w:szCs w:val="28"/>
        </w:rPr>
      </w:pPr>
      <w:r>
        <w:rPr/>
        <w:br w:type="column"/>
      </w:r>
      <w:r>
        <w:rPr>
          <w:rFonts w:ascii="Nirmala UI" w:hAnsi="Nirmala UI" w:cs="Nirmala UI" w:eastAsia="Nirmala UI"/>
          <w:w w:val="105"/>
          <w:sz w:val="28"/>
          <w:szCs w:val="28"/>
        </w:rPr>
        <w:t>25॥</w:t>
      </w:r>
    </w:p>
    <w:p>
      <w:pPr>
        <w:spacing w:after="0"/>
        <w:jc w:val="left"/>
        <w:rPr>
          <w:rFonts w:ascii="Nirmala UI" w:hAnsi="Nirmala UI" w:cs="Nirmala UI" w:eastAsia="Nirmala UI"/>
          <w:sz w:val="28"/>
          <w:szCs w:val="28"/>
        </w:rPr>
        <w:sectPr>
          <w:type w:val="continuous"/>
          <w:pgSz w:w="11910" w:h="16840"/>
          <w:pgMar w:top="1340" w:bottom="1200" w:left="1280" w:right="1280"/>
          <w:cols w:num="3" w:equalWidth="0">
            <w:col w:w="6064" w:space="40"/>
            <w:col w:w="448" w:space="39"/>
            <w:col w:w="2759"/>
          </w:cols>
        </w:sectPr>
      </w:pPr>
    </w:p>
    <w:p>
      <w:pPr>
        <w:pStyle w:val="Heading2"/>
        <w:spacing w:before="52"/>
        <w:ind w:left="4693"/>
        <w:jc w:val="left"/>
      </w:pPr>
      <w:r>
        <w:rPr/>
        <w:t>(Adhyaya 10, p.293</w:t>
      </w:r>
      <w:r>
        <w:rPr>
          <w:position w:val="8"/>
          <w:sz w:val="18"/>
        </w:rPr>
        <w:t>R.</w:t>
      </w:r>
      <w:r>
        <w:rPr/>
        <w:t>)</w:t>
      </w:r>
    </w:p>
    <w:p>
      <w:pPr>
        <w:pStyle w:val="BodyText"/>
        <w:spacing w:before="10"/>
        <w:rPr>
          <w:rFonts w:ascii="Courier New"/>
          <w:sz w:val="27"/>
        </w:rPr>
      </w:pPr>
    </w:p>
    <w:p>
      <w:pPr>
        <w:spacing w:line="240" w:lineRule="auto" w:before="1"/>
        <w:ind w:left="1011" w:right="1246" w:firstLine="588"/>
        <w:jc w:val="both"/>
        <w:rPr>
          <w:rFonts w:ascii="Courier New" w:hAnsi="Courier New"/>
          <w:sz w:val="28"/>
        </w:rPr>
      </w:pPr>
      <w:r>
        <w:rPr>
          <w:rFonts w:ascii="Courier New" w:hAnsi="Courier New"/>
          <w:sz w:val="28"/>
        </w:rPr>
        <w:t>By observing sacred rites,</w:t>
      </w:r>
      <w:r>
        <w:rPr>
          <w:rFonts w:ascii="Courier New" w:hAnsi="Courier New"/>
          <w:spacing w:val="-71"/>
          <w:sz w:val="28"/>
        </w:rPr>
        <w:t> </w:t>
      </w:r>
      <w:r>
        <w:rPr>
          <w:rFonts w:ascii="Courier New" w:hAnsi="Courier New"/>
          <w:sz w:val="28"/>
        </w:rPr>
        <w:t>particularly at</w:t>
      </w:r>
      <w:r>
        <w:rPr>
          <w:rFonts w:ascii="Courier New" w:hAnsi="Courier New"/>
          <w:spacing w:val="-20"/>
          <w:sz w:val="28"/>
        </w:rPr>
        <w:t> </w:t>
      </w:r>
      <w:r>
        <w:rPr>
          <w:rFonts w:ascii="Courier New" w:hAnsi="Courier New"/>
          <w:sz w:val="28"/>
        </w:rPr>
        <w:t>the</w:t>
      </w:r>
      <w:r>
        <w:rPr>
          <w:rFonts w:ascii="Courier New" w:hAnsi="Courier New"/>
          <w:spacing w:val="-19"/>
          <w:sz w:val="28"/>
        </w:rPr>
        <w:t> </w:t>
      </w:r>
      <w:r>
        <w:rPr>
          <w:rFonts w:ascii="Courier New" w:hAnsi="Courier New"/>
          <w:sz w:val="28"/>
        </w:rPr>
        <w:t>place</w:t>
      </w:r>
      <w:r>
        <w:rPr>
          <w:rFonts w:ascii="Courier New" w:hAnsi="Courier New"/>
          <w:spacing w:val="-20"/>
          <w:sz w:val="28"/>
        </w:rPr>
        <w:t> </w:t>
      </w:r>
      <w:r>
        <w:rPr>
          <w:rFonts w:ascii="Courier New" w:hAnsi="Courier New"/>
          <w:sz w:val="28"/>
        </w:rPr>
        <w:t>of</w:t>
      </w:r>
      <w:r>
        <w:rPr>
          <w:rFonts w:ascii="Courier New" w:hAnsi="Courier New"/>
          <w:spacing w:val="-19"/>
          <w:sz w:val="28"/>
        </w:rPr>
        <w:t> </w:t>
      </w:r>
      <w:r>
        <w:rPr>
          <w:rFonts w:ascii="Courier New" w:hAnsi="Courier New"/>
          <w:sz w:val="28"/>
        </w:rPr>
        <w:t>birth,</w:t>
      </w:r>
      <w:r>
        <w:rPr>
          <w:rFonts w:ascii="Courier New" w:hAnsi="Courier New"/>
          <w:spacing w:val="-19"/>
          <w:sz w:val="28"/>
        </w:rPr>
        <w:t> </w:t>
      </w:r>
      <w:r>
        <w:rPr>
          <w:rFonts w:ascii="Courier New" w:hAnsi="Courier New"/>
          <w:sz w:val="28"/>
        </w:rPr>
        <w:t>he</w:t>
      </w:r>
      <w:r>
        <w:rPr>
          <w:rFonts w:ascii="Courier New" w:hAnsi="Courier New"/>
          <w:spacing w:val="-20"/>
          <w:sz w:val="28"/>
        </w:rPr>
        <w:t> </w:t>
      </w:r>
      <w:r>
        <w:rPr>
          <w:rFonts w:ascii="Courier New" w:hAnsi="Courier New"/>
          <w:sz w:val="28"/>
        </w:rPr>
        <w:t>obtains</w:t>
      </w:r>
      <w:r>
        <w:rPr>
          <w:rFonts w:ascii="Courier New" w:hAnsi="Courier New"/>
          <w:spacing w:val="-19"/>
          <w:sz w:val="28"/>
        </w:rPr>
        <w:t> </w:t>
      </w:r>
      <w:r>
        <w:rPr>
          <w:rFonts w:ascii="Courier New" w:hAnsi="Courier New"/>
          <w:sz w:val="28"/>
        </w:rPr>
        <w:t>the</w:t>
      </w:r>
      <w:r>
        <w:rPr>
          <w:rFonts w:ascii="Courier New" w:hAnsi="Courier New"/>
          <w:spacing w:val="-19"/>
          <w:sz w:val="28"/>
        </w:rPr>
        <w:t> </w:t>
      </w:r>
      <w:r>
        <w:rPr>
          <w:rFonts w:ascii="Courier New" w:hAnsi="Courier New"/>
          <w:sz w:val="28"/>
        </w:rPr>
        <w:t>merit of the holy men endowed with devotion to their mother and father as well as preceptors.”</w:t>
      </w:r>
    </w:p>
    <w:p>
      <w:pPr>
        <w:pStyle w:val="BodyText"/>
        <w:rPr>
          <w:rFonts w:ascii="Courier New"/>
          <w:sz w:val="32"/>
        </w:rPr>
      </w:pPr>
    </w:p>
    <w:p>
      <w:pPr>
        <w:pStyle w:val="ListParagraph"/>
        <w:numPr>
          <w:ilvl w:val="0"/>
          <w:numId w:val="253"/>
        </w:numPr>
        <w:tabs>
          <w:tab w:pos="890" w:val="left" w:leader="none"/>
        </w:tabs>
        <w:spacing w:line="480" w:lineRule="auto" w:before="271" w:after="0"/>
        <w:ind w:left="160" w:right="158" w:firstLine="0"/>
        <w:jc w:val="both"/>
        <w:rPr>
          <w:rFonts w:ascii="Courier New"/>
          <w:sz w:val="28"/>
        </w:rPr>
      </w:pPr>
      <w:r>
        <w:rPr>
          <w:rFonts w:ascii="Courier New"/>
          <w:sz w:val="28"/>
        </w:rPr>
        <w:t>The above Shlokas describes the location of Ram Janma Asthan. Legends to identify the Ram Janma</w:t>
      </w:r>
      <w:r>
        <w:rPr>
          <w:rFonts w:ascii="Courier New"/>
          <w:spacing w:val="-67"/>
          <w:sz w:val="28"/>
        </w:rPr>
        <w:t> </w:t>
      </w:r>
      <w:r>
        <w:rPr>
          <w:rFonts w:ascii="Courier New"/>
          <w:sz w:val="28"/>
        </w:rPr>
        <w:t>Asthan is mentioned in the Shlokas, which is situated to the east</w:t>
      </w:r>
      <w:r>
        <w:rPr>
          <w:rFonts w:ascii="Courier New"/>
          <w:spacing w:val="-24"/>
          <w:sz w:val="28"/>
        </w:rPr>
        <w:t> </w:t>
      </w:r>
      <w:r>
        <w:rPr>
          <w:rFonts w:ascii="Courier New"/>
          <w:sz w:val="28"/>
        </w:rPr>
        <w:t>of</w:t>
      </w:r>
      <w:r>
        <w:rPr>
          <w:rFonts w:ascii="Courier New"/>
          <w:spacing w:val="-24"/>
          <w:sz w:val="28"/>
        </w:rPr>
        <w:t> </w:t>
      </w:r>
      <w:r>
        <w:rPr>
          <w:rFonts w:ascii="Courier New"/>
          <w:sz w:val="28"/>
        </w:rPr>
        <w:t>Vighnesvara</w:t>
      </w:r>
      <w:r>
        <w:rPr>
          <w:rFonts w:ascii="Courier New"/>
          <w:spacing w:val="-24"/>
          <w:sz w:val="28"/>
        </w:rPr>
        <w:t> </w:t>
      </w:r>
      <w:r>
        <w:rPr>
          <w:rFonts w:ascii="Courier New"/>
          <w:sz w:val="28"/>
        </w:rPr>
        <w:t>to</w:t>
      </w:r>
      <w:r>
        <w:rPr>
          <w:rFonts w:ascii="Courier New"/>
          <w:spacing w:val="-24"/>
          <w:sz w:val="28"/>
        </w:rPr>
        <w:t> </w:t>
      </w:r>
      <w:r>
        <w:rPr>
          <w:rFonts w:ascii="Courier New"/>
          <w:sz w:val="28"/>
        </w:rPr>
        <w:t>the</w:t>
      </w:r>
      <w:r>
        <w:rPr>
          <w:rFonts w:ascii="Courier New"/>
          <w:spacing w:val="-24"/>
          <w:sz w:val="28"/>
        </w:rPr>
        <w:t> </w:t>
      </w:r>
      <w:r>
        <w:rPr>
          <w:rFonts w:ascii="Courier New"/>
          <w:sz w:val="28"/>
        </w:rPr>
        <w:t>north</w:t>
      </w:r>
      <w:r>
        <w:rPr>
          <w:rFonts w:ascii="Courier New"/>
          <w:spacing w:val="-24"/>
          <w:sz w:val="28"/>
        </w:rPr>
        <w:t> </w:t>
      </w:r>
      <w:r>
        <w:rPr>
          <w:rFonts w:ascii="Courier New"/>
          <w:sz w:val="28"/>
        </w:rPr>
        <w:t>of</w:t>
      </w:r>
      <w:r>
        <w:rPr>
          <w:rFonts w:ascii="Courier New"/>
          <w:spacing w:val="-23"/>
          <w:sz w:val="28"/>
        </w:rPr>
        <w:t> </w:t>
      </w:r>
      <w:r>
        <w:rPr>
          <w:rFonts w:ascii="Courier New"/>
          <w:sz w:val="28"/>
        </w:rPr>
        <w:t>Vasistha</w:t>
      </w:r>
      <w:r>
        <w:rPr>
          <w:rFonts w:ascii="Courier New"/>
          <w:spacing w:val="-24"/>
          <w:sz w:val="28"/>
        </w:rPr>
        <w:t> </w:t>
      </w:r>
      <w:r>
        <w:rPr>
          <w:rFonts w:ascii="Courier New"/>
          <w:sz w:val="28"/>
        </w:rPr>
        <w:t>and</w:t>
      </w:r>
      <w:r>
        <w:rPr>
          <w:rFonts w:ascii="Courier New"/>
          <w:spacing w:val="-24"/>
          <w:sz w:val="28"/>
        </w:rPr>
        <w:t> </w:t>
      </w:r>
      <w:r>
        <w:rPr>
          <w:rFonts w:ascii="Courier New"/>
          <w:sz w:val="28"/>
        </w:rPr>
        <w:t>to</w:t>
      </w:r>
      <w:r>
        <w:rPr>
          <w:rFonts w:ascii="Courier New"/>
          <w:spacing w:val="-24"/>
          <w:sz w:val="28"/>
        </w:rPr>
        <w:t> </w:t>
      </w:r>
      <w:r>
        <w:rPr>
          <w:rFonts w:ascii="Courier New"/>
          <w:sz w:val="28"/>
        </w:rPr>
        <w:t>the west of Laumasa. During arguments, Shri P.N. Mishra, learned counsel had referred to Srimad Skandapuranam, whether the above legends mentioned in the Ayodhya Mahatmya can lead to verification of Ram Janma Bhumi is a contention between parties where both the</w:t>
      </w:r>
      <w:r>
        <w:rPr>
          <w:rFonts w:ascii="Courier New"/>
          <w:spacing w:val="-66"/>
          <w:sz w:val="28"/>
        </w:rPr>
        <w:t> </w:t>
      </w:r>
      <w:r>
        <w:rPr>
          <w:rFonts w:ascii="Courier New"/>
          <w:sz w:val="28"/>
        </w:rPr>
        <w:t>parties have taken divergent stand. Learned counsel appearing for Hindu Parties submits that the present place</w:t>
      </w:r>
      <w:r>
        <w:rPr>
          <w:rFonts w:ascii="Courier New"/>
          <w:spacing w:val="-66"/>
          <w:sz w:val="28"/>
        </w:rPr>
        <w:t> </w:t>
      </w:r>
      <w:r>
        <w:rPr>
          <w:rFonts w:ascii="Courier New"/>
          <w:sz w:val="28"/>
        </w:rPr>
        <w:t>where Ram</w:t>
      </w:r>
      <w:r>
        <w:rPr>
          <w:rFonts w:ascii="Courier New"/>
          <w:spacing w:val="60"/>
          <w:sz w:val="28"/>
        </w:rPr>
        <w:t> </w:t>
      </w:r>
      <w:r>
        <w:rPr>
          <w:rFonts w:ascii="Courier New"/>
          <w:sz w:val="28"/>
        </w:rPr>
        <w:t>Janma</w:t>
      </w:r>
      <w:r>
        <w:rPr>
          <w:rFonts w:ascii="Courier New"/>
          <w:spacing w:val="60"/>
          <w:sz w:val="28"/>
        </w:rPr>
        <w:t> </w:t>
      </w:r>
      <w:r>
        <w:rPr>
          <w:rFonts w:ascii="Courier New"/>
          <w:sz w:val="28"/>
        </w:rPr>
        <w:t>Bhumi</w:t>
      </w:r>
      <w:r>
        <w:rPr>
          <w:rFonts w:ascii="Courier New"/>
          <w:spacing w:val="60"/>
          <w:sz w:val="28"/>
        </w:rPr>
        <w:t> </w:t>
      </w:r>
      <w:r>
        <w:rPr>
          <w:rFonts w:ascii="Courier New"/>
          <w:sz w:val="28"/>
        </w:rPr>
        <w:t>is</w:t>
      </w:r>
      <w:r>
        <w:rPr>
          <w:rFonts w:ascii="Courier New"/>
          <w:spacing w:val="60"/>
          <w:sz w:val="28"/>
        </w:rPr>
        <w:t> </w:t>
      </w:r>
      <w:r>
        <w:rPr>
          <w:rFonts w:ascii="Courier New"/>
          <w:sz w:val="28"/>
        </w:rPr>
        <w:t>claimed</w:t>
      </w:r>
      <w:r>
        <w:rPr>
          <w:rFonts w:ascii="Courier New"/>
          <w:spacing w:val="63"/>
          <w:sz w:val="28"/>
        </w:rPr>
        <w:t> </w:t>
      </w:r>
      <w:r>
        <w:rPr>
          <w:rFonts w:ascii="Courier New"/>
          <w:sz w:val="28"/>
        </w:rPr>
        <w:t>is</w:t>
      </w:r>
      <w:r>
        <w:rPr>
          <w:rFonts w:ascii="Courier New"/>
          <w:spacing w:val="60"/>
          <w:sz w:val="28"/>
        </w:rPr>
        <w:t> </w:t>
      </w:r>
      <w:r>
        <w:rPr>
          <w:rFonts w:ascii="Courier New"/>
          <w:sz w:val="28"/>
        </w:rPr>
        <w:t>the</w:t>
      </w:r>
      <w:r>
        <w:rPr>
          <w:rFonts w:ascii="Courier New"/>
          <w:spacing w:val="60"/>
          <w:sz w:val="28"/>
        </w:rPr>
        <w:t> </w:t>
      </w:r>
      <w:r>
        <w:rPr>
          <w:rFonts w:ascii="Courier New"/>
          <w:sz w:val="28"/>
        </w:rPr>
        <w:t>same</w:t>
      </w:r>
      <w:r>
        <w:rPr>
          <w:rFonts w:ascii="Courier New"/>
          <w:spacing w:val="63"/>
          <w:sz w:val="28"/>
        </w:rPr>
        <w:t> </w:t>
      </w:r>
      <w:r>
        <w:rPr>
          <w:rFonts w:ascii="Courier New"/>
          <w:sz w:val="28"/>
        </w:rPr>
        <w:t>as</w:t>
      </w:r>
      <w:r>
        <w:rPr>
          <w:rFonts w:ascii="Courier New"/>
          <w:spacing w:val="60"/>
          <w:sz w:val="28"/>
        </w:rPr>
        <w:t> </w:t>
      </w:r>
      <w:r>
        <w:rPr>
          <w:rFonts w:ascii="Courier New"/>
          <w:sz w:val="28"/>
        </w:rPr>
        <w:t>has</w:t>
      </w:r>
      <w:r>
        <w:rPr>
          <w:rFonts w:ascii="Courier New"/>
          <w:spacing w:val="60"/>
          <w:sz w:val="28"/>
        </w:rPr>
        <w:t> </w:t>
      </w:r>
      <w:r>
        <w:rPr>
          <w:rFonts w:ascii="Courier New"/>
          <w:sz w:val="28"/>
        </w:rPr>
        <w:t>been</w:t>
      </w:r>
    </w:p>
    <w:p>
      <w:pPr>
        <w:spacing w:after="0" w:line="480" w:lineRule="auto"/>
        <w:jc w:val="both"/>
        <w:rPr>
          <w:rFonts w:ascii="Courier New"/>
          <w:sz w:val="28"/>
        </w:rPr>
        <w:sectPr>
          <w:type w:val="continuous"/>
          <w:pgSz w:w="11910" w:h="16840"/>
          <w:pgMar w:top="1340" w:bottom="1200" w:left="1280" w:right="1280"/>
        </w:sectPr>
      </w:pPr>
    </w:p>
    <w:p>
      <w:pPr>
        <w:spacing w:line="480" w:lineRule="auto" w:before="86"/>
        <w:ind w:left="160" w:right="158" w:firstLine="0"/>
        <w:jc w:val="both"/>
        <w:rPr>
          <w:rFonts w:ascii="Courier New"/>
          <w:sz w:val="28"/>
        </w:rPr>
      </w:pPr>
      <w:r>
        <w:rPr>
          <w:rFonts w:ascii="Courier New"/>
          <w:sz w:val="28"/>
        </w:rPr>
        <w:t>described in Ayodhya Mahatmya, which is the faith and belief carried by lakhs of Hindus from ancient time till date. In the oral evidence led by both the parties,</w:t>
      </w:r>
      <w:r>
        <w:rPr>
          <w:rFonts w:ascii="Courier New"/>
          <w:spacing w:val="-35"/>
          <w:sz w:val="28"/>
        </w:rPr>
        <w:t> </w:t>
      </w:r>
      <w:r>
        <w:rPr>
          <w:rFonts w:ascii="Courier New"/>
          <w:sz w:val="28"/>
        </w:rPr>
        <w:t>the</w:t>
      </w:r>
      <w:r>
        <w:rPr>
          <w:rFonts w:ascii="Courier New"/>
          <w:spacing w:val="-34"/>
          <w:sz w:val="28"/>
        </w:rPr>
        <w:t> </w:t>
      </w:r>
      <w:r>
        <w:rPr>
          <w:rFonts w:ascii="Courier New"/>
          <w:sz w:val="28"/>
        </w:rPr>
        <w:t>witnesses</w:t>
      </w:r>
      <w:r>
        <w:rPr>
          <w:rFonts w:ascii="Courier New"/>
          <w:spacing w:val="-34"/>
          <w:sz w:val="28"/>
        </w:rPr>
        <w:t> </w:t>
      </w:r>
      <w:r>
        <w:rPr>
          <w:rFonts w:ascii="Courier New"/>
          <w:sz w:val="28"/>
        </w:rPr>
        <w:t>have</w:t>
      </w:r>
      <w:r>
        <w:rPr>
          <w:rFonts w:ascii="Courier New"/>
          <w:spacing w:val="-32"/>
          <w:sz w:val="28"/>
        </w:rPr>
        <w:t> </w:t>
      </w:r>
      <w:r>
        <w:rPr>
          <w:rFonts w:ascii="Courier New"/>
          <w:sz w:val="28"/>
        </w:rPr>
        <w:t>deposed</w:t>
      </w:r>
      <w:r>
        <w:rPr>
          <w:rFonts w:ascii="Courier New"/>
          <w:spacing w:val="-34"/>
          <w:sz w:val="28"/>
        </w:rPr>
        <w:t> </w:t>
      </w:r>
      <w:r>
        <w:rPr>
          <w:rFonts w:ascii="Courier New"/>
          <w:sz w:val="28"/>
        </w:rPr>
        <w:t>proving</w:t>
      </w:r>
      <w:r>
        <w:rPr>
          <w:rFonts w:ascii="Courier New"/>
          <w:spacing w:val="-34"/>
          <w:sz w:val="28"/>
        </w:rPr>
        <w:t> </w:t>
      </w:r>
      <w:r>
        <w:rPr>
          <w:rFonts w:ascii="Courier New"/>
          <w:sz w:val="28"/>
        </w:rPr>
        <w:t>the</w:t>
      </w:r>
      <w:r>
        <w:rPr>
          <w:rFonts w:ascii="Courier New"/>
          <w:spacing w:val="-34"/>
          <w:sz w:val="28"/>
        </w:rPr>
        <w:t> </w:t>
      </w:r>
      <w:r>
        <w:rPr>
          <w:rFonts w:ascii="Courier New"/>
          <w:sz w:val="28"/>
        </w:rPr>
        <w:t>legends mentioned</w:t>
      </w:r>
      <w:r>
        <w:rPr>
          <w:rFonts w:ascii="Courier New"/>
          <w:spacing w:val="-31"/>
          <w:sz w:val="28"/>
        </w:rPr>
        <w:t> </w:t>
      </w:r>
      <w:r>
        <w:rPr>
          <w:rFonts w:ascii="Courier New"/>
          <w:sz w:val="28"/>
        </w:rPr>
        <w:t>in</w:t>
      </w:r>
      <w:r>
        <w:rPr>
          <w:rFonts w:ascii="Courier New"/>
          <w:spacing w:val="-30"/>
          <w:sz w:val="28"/>
        </w:rPr>
        <w:t> </w:t>
      </w:r>
      <w:r>
        <w:rPr>
          <w:rFonts w:ascii="Courier New"/>
          <w:sz w:val="28"/>
        </w:rPr>
        <w:t>Ayodhya</w:t>
      </w:r>
      <w:r>
        <w:rPr>
          <w:rFonts w:ascii="Courier New"/>
          <w:spacing w:val="-30"/>
          <w:sz w:val="28"/>
        </w:rPr>
        <w:t> </w:t>
      </w:r>
      <w:r>
        <w:rPr>
          <w:rFonts w:ascii="Courier New"/>
          <w:sz w:val="28"/>
        </w:rPr>
        <w:t>Mahatmya</w:t>
      </w:r>
      <w:r>
        <w:rPr>
          <w:rFonts w:ascii="Courier New"/>
          <w:spacing w:val="-30"/>
          <w:sz w:val="28"/>
        </w:rPr>
        <w:t> </w:t>
      </w:r>
      <w:r>
        <w:rPr>
          <w:rFonts w:ascii="Courier New"/>
          <w:sz w:val="28"/>
        </w:rPr>
        <w:t>and</w:t>
      </w:r>
      <w:r>
        <w:rPr>
          <w:rFonts w:ascii="Courier New"/>
          <w:spacing w:val="-30"/>
          <w:sz w:val="28"/>
        </w:rPr>
        <w:t> </w:t>
      </w:r>
      <w:r>
        <w:rPr>
          <w:rFonts w:ascii="Courier New"/>
          <w:sz w:val="28"/>
        </w:rPr>
        <w:t>they</w:t>
      </w:r>
      <w:r>
        <w:rPr>
          <w:rFonts w:ascii="Courier New"/>
          <w:spacing w:val="-30"/>
          <w:sz w:val="28"/>
        </w:rPr>
        <w:t> </w:t>
      </w:r>
      <w:r>
        <w:rPr>
          <w:rFonts w:ascii="Courier New"/>
          <w:sz w:val="28"/>
        </w:rPr>
        <w:t>deposed</w:t>
      </w:r>
      <w:r>
        <w:rPr>
          <w:rFonts w:ascii="Courier New"/>
          <w:spacing w:val="-31"/>
          <w:sz w:val="28"/>
        </w:rPr>
        <w:t> </w:t>
      </w:r>
      <w:r>
        <w:rPr>
          <w:rFonts w:ascii="Courier New"/>
          <w:sz w:val="28"/>
        </w:rPr>
        <w:t>that</w:t>
      </w:r>
      <w:r>
        <w:rPr>
          <w:rFonts w:ascii="Courier New"/>
          <w:spacing w:val="-30"/>
          <w:sz w:val="28"/>
        </w:rPr>
        <w:t> </w:t>
      </w:r>
      <w:r>
        <w:rPr>
          <w:rFonts w:ascii="Courier New"/>
          <w:sz w:val="28"/>
        </w:rPr>
        <w:t>the place</w:t>
      </w:r>
      <w:r>
        <w:rPr>
          <w:rFonts w:ascii="Courier New"/>
          <w:spacing w:val="-25"/>
          <w:sz w:val="28"/>
        </w:rPr>
        <w:t> </w:t>
      </w:r>
      <w:r>
        <w:rPr>
          <w:rFonts w:ascii="Courier New"/>
          <w:sz w:val="28"/>
        </w:rPr>
        <w:t>which</w:t>
      </w:r>
      <w:r>
        <w:rPr>
          <w:rFonts w:ascii="Courier New"/>
          <w:spacing w:val="-24"/>
          <w:sz w:val="28"/>
        </w:rPr>
        <w:t> </w:t>
      </w:r>
      <w:r>
        <w:rPr>
          <w:rFonts w:ascii="Courier New"/>
          <w:sz w:val="28"/>
        </w:rPr>
        <w:t>is</w:t>
      </w:r>
      <w:r>
        <w:rPr>
          <w:rFonts w:ascii="Courier New"/>
          <w:spacing w:val="-21"/>
          <w:sz w:val="28"/>
        </w:rPr>
        <w:t> </w:t>
      </w:r>
      <w:r>
        <w:rPr>
          <w:rFonts w:ascii="Courier New"/>
          <w:sz w:val="28"/>
        </w:rPr>
        <w:t>claimed</w:t>
      </w:r>
      <w:r>
        <w:rPr>
          <w:rFonts w:ascii="Courier New"/>
          <w:spacing w:val="-24"/>
          <w:sz w:val="28"/>
        </w:rPr>
        <w:t> </w:t>
      </w:r>
      <w:r>
        <w:rPr>
          <w:rFonts w:ascii="Courier New"/>
          <w:sz w:val="28"/>
        </w:rPr>
        <w:t>as</w:t>
      </w:r>
      <w:r>
        <w:rPr>
          <w:rFonts w:ascii="Courier New"/>
          <w:spacing w:val="-25"/>
          <w:sz w:val="28"/>
        </w:rPr>
        <w:t> </w:t>
      </w:r>
      <w:r>
        <w:rPr>
          <w:rFonts w:ascii="Courier New"/>
          <w:sz w:val="28"/>
        </w:rPr>
        <w:t>Ram</w:t>
      </w:r>
      <w:r>
        <w:rPr>
          <w:rFonts w:ascii="Courier New"/>
          <w:spacing w:val="-24"/>
          <w:sz w:val="28"/>
        </w:rPr>
        <w:t> </w:t>
      </w:r>
      <w:r>
        <w:rPr>
          <w:rFonts w:ascii="Courier New"/>
          <w:sz w:val="28"/>
        </w:rPr>
        <w:t>Janma</w:t>
      </w:r>
      <w:r>
        <w:rPr>
          <w:rFonts w:ascii="Courier New"/>
          <w:spacing w:val="-24"/>
          <w:sz w:val="28"/>
        </w:rPr>
        <w:t> </w:t>
      </w:r>
      <w:r>
        <w:rPr>
          <w:rFonts w:ascii="Courier New"/>
          <w:sz w:val="28"/>
        </w:rPr>
        <w:t>Bhumi</w:t>
      </w:r>
      <w:r>
        <w:rPr>
          <w:rFonts w:ascii="Courier New"/>
          <w:spacing w:val="-21"/>
          <w:sz w:val="28"/>
        </w:rPr>
        <w:t> </w:t>
      </w:r>
      <w:r>
        <w:rPr>
          <w:rFonts w:ascii="Courier New"/>
          <w:sz w:val="28"/>
        </w:rPr>
        <w:t>by</w:t>
      </w:r>
      <w:r>
        <w:rPr>
          <w:rFonts w:ascii="Courier New"/>
          <w:spacing w:val="-25"/>
          <w:sz w:val="28"/>
        </w:rPr>
        <w:t> </w:t>
      </w:r>
      <w:r>
        <w:rPr>
          <w:rFonts w:ascii="Courier New"/>
          <w:sz w:val="28"/>
        </w:rPr>
        <w:t>the</w:t>
      </w:r>
      <w:r>
        <w:rPr>
          <w:rFonts w:ascii="Courier New"/>
          <w:spacing w:val="-24"/>
          <w:sz w:val="28"/>
        </w:rPr>
        <w:t> </w:t>
      </w:r>
      <w:r>
        <w:rPr>
          <w:rFonts w:ascii="Courier New"/>
          <w:sz w:val="28"/>
        </w:rPr>
        <w:t>Hindus is</w:t>
      </w:r>
      <w:r>
        <w:rPr>
          <w:rFonts w:ascii="Courier New"/>
          <w:spacing w:val="-27"/>
          <w:sz w:val="28"/>
        </w:rPr>
        <w:t> </w:t>
      </w:r>
      <w:r>
        <w:rPr>
          <w:rFonts w:ascii="Courier New"/>
          <w:sz w:val="28"/>
        </w:rPr>
        <w:t>Ram</w:t>
      </w:r>
      <w:r>
        <w:rPr>
          <w:rFonts w:ascii="Courier New"/>
          <w:spacing w:val="-26"/>
          <w:sz w:val="28"/>
        </w:rPr>
        <w:t> </w:t>
      </w:r>
      <w:r>
        <w:rPr>
          <w:rFonts w:ascii="Courier New"/>
          <w:sz w:val="28"/>
        </w:rPr>
        <w:t>Janma</w:t>
      </w:r>
      <w:r>
        <w:rPr>
          <w:rFonts w:ascii="Courier New"/>
          <w:spacing w:val="-26"/>
          <w:sz w:val="28"/>
        </w:rPr>
        <w:t> </w:t>
      </w:r>
      <w:r>
        <w:rPr>
          <w:rFonts w:ascii="Courier New"/>
          <w:sz w:val="28"/>
        </w:rPr>
        <w:t>Asthan</w:t>
      </w:r>
      <w:r>
        <w:rPr>
          <w:rFonts w:ascii="Courier New"/>
          <w:spacing w:val="-27"/>
          <w:sz w:val="28"/>
        </w:rPr>
        <w:t> </w:t>
      </w:r>
      <w:r>
        <w:rPr>
          <w:rFonts w:ascii="Courier New"/>
          <w:sz w:val="28"/>
        </w:rPr>
        <w:t>as</w:t>
      </w:r>
      <w:r>
        <w:rPr>
          <w:rFonts w:ascii="Courier New"/>
          <w:spacing w:val="-26"/>
          <w:sz w:val="28"/>
        </w:rPr>
        <w:t> </w:t>
      </w:r>
      <w:r>
        <w:rPr>
          <w:rFonts w:ascii="Courier New"/>
          <w:sz w:val="28"/>
        </w:rPr>
        <w:t>per</w:t>
      </w:r>
      <w:r>
        <w:rPr>
          <w:rFonts w:ascii="Courier New"/>
          <w:spacing w:val="-26"/>
          <w:sz w:val="28"/>
        </w:rPr>
        <w:t> </w:t>
      </w:r>
      <w:r>
        <w:rPr>
          <w:rFonts w:ascii="Courier New"/>
          <w:sz w:val="28"/>
        </w:rPr>
        <w:t>description</w:t>
      </w:r>
      <w:r>
        <w:rPr>
          <w:rFonts w:ascii="Courier New"/>
          <w:spacing w:val="-27"/>
          <w:sz w:val="28"/>
        </w:rPr>
        <w:t> </w:t>
      </w:r>
      <w:r>
        <w:rPr>
          <w:rFonts w:ascii="Courier New"/>
          <w:sz w:val="28"/>
        </w:rPr>
        <w:t>given</w:t>
      </w:r>
      <w:r>
        <w:rPr>
          <w:rFonts w:ascii="Courier New"/>
          <w:spacing w:val="-26"/>
          <w:sz w:val="28"/>
        </w:rPr>
        <w:t> </w:t>
      </w:r>
      <w:r>
        <w:rPr>
          <w:rFonts w:ascii="Courier New"/>
          <w:sz w:val="28"/>
        </w:rPr>
        <w:t>in</w:t>
      </w:r>
      <w:r>
        <w:rPr>
          <w:rFonts w:ascii="Courier New"/>
          <w:spacing w:val="-26"/>
          <w:sz w:val="28"/>
        </w:rPr>
        <w:t> </w:t>
      </w:r>
      <w:r>
        <w:rPr>
          <w:rFonts w:ascii="Courier New"/>
          <w:sz w:val="28"/>
        </w:rPr>
        <w:t>Ayodhya Mahatmya. The belief and faith of Hindus that place of Ram Janma Bhumi as is worshipped on date is the place</w:t>
      </w:r>
      <w:r>
        <w:rPr>
          <w:rFonts w:ascii="Courier New"/>
          <w:spacing w:val="-31"/>
          <w:sz w:val="28"/>
        </w:rPr>
        <w:t> </w:t>
      </w:r>
      <w:r>
        <w:rPr>
          <w:rFonts w:ascii="Courier New"/>
          <w:sz w:val="28"/>
        </w:rPr>
        <w:t>of</w:t>
      </w:r>
      <w:r>
        <w:rPr>
          <w:rFonts w:ascii="Courier New"/>
          <w:spacing w:val="-30"/>
          <w:sz w:val="28"/>
        </w:rPr>
        <w:t> </w:t>
      </w:r>
      <w:r>
        <w:rPr>
          <w:rFonts w:ascii="Courier New"/>
          <w:sz w:val="28"/>
        </w:rPr>
        <w:t>worship,</w:t>
      </w:r>
      <w:r>
        <w:rPr>
          <w:rFonts w:ascii="Courier New"/>
          <w:spacing w:val="-30"/>
          <w:sz w:val="28"/>
        </w:rPr>
        <w:t> </w:t>
      </w:r>
      <w:r>
        <w:rPr>
          <w:rFonts w:ascii="Courier New"/>
          <w:sz w:val="28"/>
        </w:rPr>
        <w:t>which</w:t>
      </w:r>
      <w:r>
        <w:rPr>
          <w:rFonts w:ascii="Courier New"/>
          <w:spacing w:val="-30"/>
          <w:sz w:val="28"/>
        </w:rPr>
        <w:t> </w:t>
      </w:r>
      <w:r>
        <w:rPr>
          <w:rFonts w:ascii="Courier New"/>
          <w:sz w:val="28"/>
        </w:rPr>
        <w:t>is</w:t>
      </w:r>
      <w:r>
        <w:rPr>
          <w:rFonts w:ascii="Courier New"/>
          <w:spacing w:val="-30"/>
          <w:sz w:val="28"/>
        </w:rPr>
        <w:t> </w:t>
      </w:r>
      <w:r>
        <w:rPr>
          <w:rFonts w:ascii="Courier New"/>
          <w:sz w:val="28"/>
        </w:rPr>
        <w:t>being</w:t>
      </w:r>
      <w:r>
        <w:rPr>
          <w:rFonts w:ascii="Courier New"/>
          <w:spacing w:val="-30"/>
          <w:sz w:val="28"/>
        </w:rPr>
        <w:t> </w:t>
      </w:r>
      <w:r>
        <w:rPr>
          <w:rFonts w:ascii="Courier New"/>
          <w:sz w:val="28"/>
        </w:rPr>
        <w:t>spoken</w:t>
      </w:r>
      <w:r>
        <w:rPr>
          <w:rFonts w:ascii="Courier New"/>
          <w:spacing w:val="-31"/>
          <w:sz w:val="28"/>
        </w:rPr>
        <w:t> </w:t>
      </w:r>
      <w:r>
        <w:rPr>
          <w:rFonts w:ascii="Courier New"/>
          <w:sz w:val="28"/>
        </w:rPr>
        <w:t>through</w:t>
      </w:r>
      <w:r>
        <w:rPr>
          <w:rFonts w:ascii="Courier New"/>
          <w:spacing w:val="-30"/>
          <w:sz w:val="28"/>
        </w:rPr>
        <w:t> </w:t>
      </w:r>
      <w:r>
        <w:rPr>
          <w:rFonts w:ascii="Courier New"/>
          <w:sz w:val="28"/>
        </w:rPr>
        <w:t>ancient scriptures</w:t>
      </w:r>
      <w:r>
        <w:rPr>
          <w:rFonts w:ascii="Courier New"/>
          <w:spacing w:val="-31"/>
          <w:sz w:val="28"/>
        </w:rPr>
        <w:t> </w:t>
      </w:r>
      <w:r>
        <w:rPr>
          <w:rFonts w:ascii="Courier New"/>
          <w:sz w:val="28"/>
        </w:rPr>
        <w:t>and</w:t>
      </w:r>
      <w:r>
        <w:rPr>
          <w:rFonts w:ascii="Courier New"/>
          <w:spacing w:val="-30"/>
          <w:sz w:val="28"/>
        </w:rPr>
        <w:t> </w:t>
      </w:r>
      <w:r>
        <w:rPr>
          <w:rFonts w:ascii="Courier New"/>
          <w:sz w:val="28"/>
        </w:rPr>
        <w:t>lakhs</w:t>
      </w:r>
      <w:r>
        <w:rPr>
          <w:rFonts w:ascii="Courier New"/>
          <w:spacing w:val="-30"/>
          <w:sz w:val="28"/>
        </w:rPr>
        <w:t> </w:t>
      </w:r>
      <w:r>
        <w:rPr>
          <w:rFonts w:ascii="Courier New"/>
          <w:sz w:val="28"/>
        </w:rPr>
        <w:t>of</w:t>
      </w:r>
      <w:r>
        <w:rPr>
          <w:rFonts w:ascii="Courier New"/>
          <w:spacing w:val="-30"/>
          <w:sz w:val="28"/>
        </w:rPr>
        <w:t> </w:t>
      </w:r>
      <w:r>
        <w:rPr>
          <w:rFonts w:ascii="Courier New"/>
          <w:sz w:val="28"/>
        </w:rPr>
        <w:t>Hindus</w:t>
      </w:r>
      <w:r>
        <w:rPr>
          <w:rFonts w:ascii="Courier New"/>
          <w:spacing w:val="-30"/>
          <w:sz w:val="28"/>
        </w:rPr>
        <w:t> </w:t>
      </w:r>
      <w:r>
        <w:rPr>
          <w:rFonts w:ascii="Courier New"/>
          <w:sz w:val="28"/>
        </w:rPr>
        <w:t>are</w:t>
      </w:r>
      <w:r>
        <w:rPr>
          <w:rFonts w:ascii="Courier New"/>
          <w:spacing w:val="-30"/>
          <w:sz w:val="28"/>
        </w:rPr>
        <w:t> </w:t>
      </w:r>
      <w:r>
        <w:rPr>
          <w:rFonts w:ascii="Courier New"/>
          <w:sz w:val="28"/>
        </w:rPr>
        <w:t>carrying</w:t>
      </w:r>
      <w:r>
        <w:rPr>
          <w:rFonts w:ascii="Courier New"/>
          <w:spacing w:val="-31"/>
          <w:sz w:val="28"/>
        </w:rPr>
        <w:t> </w:t>
      </w:r>
      <w:r>
        <w:rPr>
          <w:rFonts w:ascii="Courier New"/>
          <w:sz w:val="28"/>
        </w:rPr>
        <w:t>that</w:t>
      </w:r>
      <w:r>
        <w:rPr>
          <w:rFonts w:ascii="Courier New"/>
          <w:spacing w:val="-30"/>
          <w:sz w:val="28"/>
        </w:rPr>
        <w:t> </w:t>
      </w:r>
      <w:r>
        <w:rPr>
          <w:rFonts w:ascii="Courier New"/>
          <w:sz w:val="28"/>
        </w:rPr>
        <w:t>belief from ancient period. O.P.W.1 Mahant Ram Chandra Das Digamber, appeared as witness for plaintiff in Suit No.5, he stated that birth of Lord Ram at Ayodhya is proved by the descriptions in our Vedas, Upnishads, Smhitas, Smritis etc. The witnesses specifically referred</w:t>
      </w:r>
      <w:r>
        <w:rPr>
          <w:rFonts w:ascii="Courier New"/>
          <w:spacing w:val="-34"/>
          <w:sz w:val="28"/>
        </w:rPr>
        <w:t> </w:t>
      </w:r>
      <w:r>
        <w:rPr>
          <w:rFonts w:ascii="Courier New"/>
          <w:sz w:val="28"/>
        </w:rPr>
        <w:t>to</w:t>
      </w:r>
      <w:r>
        <w:rPr>
          <w:rFonts w:ascii="Courier New"/>
          <w:spacing w:val="-34"/>
          <w:sz w:val="28"/>
        </w:rPr>
        <w:t> </w:t>
      </w:r>
      <w:r>
        <w:rPr>
          <w:rFonts w:ascii="Courier New"/>
          <w:sz w:val="28"/>
        </w:rPr>
        <w:t>Ayodhya-Mahatmya</w:t>
      </w:r>
      <w:r>
        <w:rPr>
          <w:rFonts w:ascii="Courier New"/>
          <w:spacing w:val="-34"/>
          <w:sz w:val="28"/>
        </w:rPr>
        <w:t> </w:t>
      </w:r>
      <w:r>
        <w:rPr>
          <w:rFonts w:ascii="Courier New"/>
          <w:sz w:val="28"/>
        </w:rPr>
        <w:t>of</w:t>
      </w:r>
      <w:r>
        <w:rPr>
          <w:rFonts w:ascii="Courier New"/>
          <w:spacing w:val="-34"/>
          <w:sz w:val="28"/>
        </w:rPr>
        <w:t> </w:t>
      </w:r>
      <w:r>
        <w:rPr>
          <w:rFonts w:ascii="Courier New"/>
          <w:sz w:val="28"/>
        </w:rPr>
        <w:t>Skanda</w:t>
      </w:r>
      <w:r>
        <w:rPr>
          <w:rFonts w:ascii="Courier New"/>
          <w:spacing w:val="-34"/>
          <w:sz w:val="28"/>
        </w:rPr>
        <w:t> </w:t>
      </w:r>
      <w:r>
        <w:rPr>
          <w:rFonts w:ascii="Courier New"/>
          <w:sz w:val="28"/>
        </w:rPr>
        <w:t>Purana</w:t>
      </w:r>
      <w:r>
        <w:rPr>
          <w:rFonts w:ascii="Courier New"/>
          <w:spacing w:val="-34"/>
          <w:sz w:val="28"/>
        </w:rPr>
        <w:t> </w:t>
      </w:r>
      <w:r>
        <w:rPr>
          <w:rFonts w:ascii="Courier New"/>
          <w:sz w:val="28"/>
        </w:rPr>
        <w:t>and</w:t>
      </w:r>
      <w:r>
        <w:rPr>
          <w:rFonts w:ascii="Courier New"/>
          <w:spacing w:val="-34"/>
          <w:sz w:val="28"/>
        </w:rPr>
        <w:t> </w:t>
      </w:r>
      <w:r>
        <w:rPr>
          <w:rFonts w:ascii="Courier New"/>
          <w:sz w:val="28"/>
        </w:rPr>
        <w:t>state that birth place of Lord Ram is the sanctum</w:t>
      </w:r>
      <w:r>
        <w:rPr>
          <w:rFonts w:ascii="Courier New"/>
          <w:spacing w:val="-70"/>
          <w:sz w:val="28"/>
        </w:rPr>
        <w:t> </w:t>
      </w:r>
      <w:r>
        <w:rPr>
          <w:rFonts w:ascii="Courier New"/>
          <w:sz w:val="28"/>
        </w:rPr>
        <w:t>sanctorum, i.e., the disputed site where Ram Lalla is sitting at present. The statement of O.P.W.1 has been referred to and has been extensively relied by Justice Sudhir Agarwal in his judgment. Following is his</w:t>
      </w:r>
      <w:r>
        <w:rPr>
          <w:rFonts w:ascii="Courier New"/>
          <w:spacing w:val="102"/>
          <w:sz w:val="28"/>
        </w:rPr>
        <w:t> </w:t>
      </w:r>
      <w:r>
        <w:rPr>
          <w:rFonts w:ascii="Courier New"/>
          <w:sz w:val="28"/>
        </w:rPr>
        <w:t>statement</w:t>
      </w:r>
    </w:p>
    <w:p>
      <w:pPr>
        <w:spacing w:after="0" w:line="480" w:lineRule="auto"/>
        <w:jc w:val="both"/>
        <w:rPr>
          <w:rFonts w:ascii="Courier New"/>
          <w:sz w:val="28"/>
        </w:rPr>
        <w:sectPr>
          <w:headerReference w:type="default" r:id="rId280"/>
          <w:footerReference w:type="default" r:id="rId281"/>
          <w:pgSz w:w="11910" w:h="16840"/>
          <w:pgMar w:header="0" w:footer="1063" w:top="1340" w:bottom="1260" w:left="1280" w:right="1280"/>
          <w:pgNumType w:start="36"/>
        </w:sectPr>
      </w:pPr>
    </w:p>
    <w:p>
      <w:pPr>
        <w:spacing w:before="86"/>
        <w:ind w:left="160" w:right="0" w:firstLine="0"/>
        <w:jc w:val="left"/>
        <w:rPr>
          <w:rFonts w:ascii="Courier New"/>
          <w:sz w:val="28"/>
        </w:rPr>
      </w:pPr>
      <w:r>
        <w:rPr>
          <w:rFonts w:ascii="Courier New"/>
          <w:sz w:val="28"/>
        </w:rPr>
        <w:t>where he relied on Ayodhya-Mahatmya of Skanda</w:t>
      </w:r>
      <w:r>
        <w:rPr>
          <w:rFonts w:ascii="Courier New"/>
          <w:spacing w:val="-66"/>
          <w:sz w:val="28"/>
        </w:rPr>
        <w:t> </w:t>
      </w:r>
      <w:r>
        <w:rPr>
          <w:rFonts w:ascii="Courier New"/>
          <w:sz w:val="28"/>
        </w:rPr>
        <w:t>Purana:-</w:t>
      </w:r>
    </w:p>
    <w:p>
      <w:pPr>
        <w:pStyle w:val="BodyText"/>
        <w:spacing w:before="10"/>
        <w:rPr>
          <w:rFonts w:ascii="Courier New"/>
          <w:sz w:val="27"/>
        </w:rPr>
      </w:pPr>
    </w:p>
    <w:p>
      <w:pPr>
        <w:spacing w:line="240" w:lineRule="auto" w:before="0"/>
        <w:ind w:left="1011" w:right="1245" w:firstLine="719"/>
        <w:jc w:val="both"/>
        <w:rPr>
          <w:rFonts w:ascii="Courier New" w:hAnsi="Courier New"/>
          <w:sz w:val="28"/>
        </w:rPr>
      </w:pPr>
      <w:r>
        <w:rPr>
          <w:rFonts w:ascii="Courier New" w:hAnsi="Courier New"/>
          <w:sz w:val="28"/>
        </w:rPr>
        <w:t>“It is the same Ayodhya, which is the present site. Lord Rama was born at this place. While giving the boundary in its behalf,</w:t>
      </w:r>
      <w:r>
        <w:rPr>
          <w:rFonts w:ascii="Courier New" w:hAnsi="Courier New"/>
          <w:spacing w:val="-22"/>
          <w:sz w:val="28"/>
        </w:rPr>
        <w:t> </w:t>
      </w:r>
      <w:r>
        <w:rPr>
          <w:rFonts w:ascii="Courier New" w:hAnsi="Courier New"/>
          <w:sz w:val="28"/>
        </w:rPr>
        <w:t>there</w:t>
      </w:r>
      <w:r>
        <w:rPr>
          <w:rFonts w:ascii="Courier New" w:hAnsi="Courier New"/>
          <w:spacing w:val="-21"/>
          <w:sz w:val="28"/>
        </w:rPr>
        <w:t> </w:t>
      </w:r>
      <w:r>
        <w:rPr>
          <w:rFonts w:ascii="Courier New" w:hAnsi="Courier New"/>
          <w:sz w:val="28"/>
        </w:rPr>
        <w:t>is</w:t>
      </w:r>
      <w:r>
        <w:rPr>
          <w:rFonts w:ascii="Courier New" w:hAnsi="Courier New"/>
          <w:spacing w:val="-22"/>
          <w:sz w:val="28"/>
        </w:rPr>
        <w:t> </w:t>
      </w:r>
      <w:r>
        <w:rPr>
          <w:rFonts w:ascii="Courier New" w:hAnsi="Courier New"/>
          <w:sz w:val="28"/>
        </w:rPr>
        <w:t>clear</w:t>
      </w:r>
      <w:r>
        <w:rPr>
          <w:rFonts w:ascii="Courier New" w:hAnsi="Courier New"/>
          <w:spacing w:val="-22"/>
          <w:sz w:val="28"/>
        </w:rPr>
        <w:t> </w:t>
      </w:r>
      <w:r>
        <w:rPr>
          <w:rFonts w:ascii="Courier New" w:hAnsi="Courier New"/>
          <w:sz w:val="28"/>
        </w:rPr>
        <w:t>reference</w:t>
      </w:r>
      <w:r>
        <w:rPr>
          <w:rFonts w:ascii="Courier New" w:hAnsi="Courier New"/>
          <w:spacing w:val="-21"/>
          <w:sz w:val="28"/>
        </w:rPr>
        <w:t> </w:t>
      </w:r>
      <w:r>
        <w:rPr>
          <w:rFonts w:ascii="Courier New" w:hAnsi="Courier New"/>
          <w:sz w:val="28"/>
        </w:rPr>
        <w:t>in</w:t>
      </w:r>
      <w:r>
        <w:rPr>
          <w:rFonts w:ascii="Courier New" w:hAnsi="Courier New"/>
          <w:spacing w:val="-22"/>
          <w:sz w:val="28"/>
        </w:rPr>
        <w:t> </w:t>
      </w:r>
      <w:r>
        <w:rPr>
          <w:rFonts w:ascii="Courier New" w:hAnsi="Courier New"/>
          <w:sz w:val="28"/>
        </w:rPr>
        <w:t>all</w:t>
      </w:r>
      <w:r>
        <w:rPr>
          <w:rFonts w:ascii="Courier New" w:hAnsi="Courier New"/>
          <w:spacing w:val="-22"/>
          <w:sz w:val="28"/>
        </w:rPr>
        <w:t> </w:t>
      </w:r>
      <w:r>
        <w:rPr>
          <w:rFonts w:ascii="Courier New" w:hAnsi="Courier New"/>
          <w:sz w:val="28"/>
        </w:rPr>
        <w:t>the above mentioned Hindu treatises. The paper No.107C/75 is before me. It contains clear mention in this behalf in the Ayodhya Mahatmya under the Skanda Purana. The birthplace of Lord Rama and the sanctum sanctorum are the disputed site, where Ramlala is present at present.”</w:t>
      </w:r>
      <w:r>
        <w:rPr>
          <w:rFonts w:ascii="Courier New" w:hAnsi="Courier New"/>
          <w:spacing w:val="-15"/>
          <w:sz w:val="28"/>
        </w:rPr>
        <w:t> </w:t>
      </w:r>
      <w:r>
        <w:rPr>
          <w:rFonts w:ascii="Courier New" w:hAnsi="Courier New"/>
          <w:sz w:val="28"/>
        </w:rPr>
        <w:t>(E.T.C.)</w:t>
      </w:r>
    </w:p>
    <w:p>
      <w:pPr>
        <w:pStyle w:val="BodyText"/>
        <w:rPr>
          <w:rFonts w:ascii="Courier New"/>
          <w:sz w:val="32"/>
        </w:rPr>
      </w:pPr>
    </w:p>
    <w:p>
      <w:pPr>
        <w:pStyle w:val="ListParagraph"/>
        <w:numPr>
          <w:ilvl w:val="0"/>
          <w:numId w:val="253"/>
        </w:numPr>
        <w:tabs>
          <w:tab w:pos="1240" w:val="left" w:leader="none"/>
        </w:tabs>
        <w:spacing w:line="480" w:lineRule="auto" w:before="271" w:after="0"/>
        <w:ind w:left="160" w:right="158" w:firstLine="0"/>
        <w:jc w:val="both"/>
        <w:rPr>
          <w:rFonts w:ascii="Courier New"/>
          <w:sz w:val="28"/>
        </w:rPr>
      </w:pPr>
      <w:r>
        <w:rPr>
          <w:rFonts w:ascii="Courier New"/>
          <w:sz w:val="28"/>
        </w:rPr>
        <w:t>O.P.W.16 Jagadguru Ramanandacharya Swami Rambhadracharya states in his statement that disputed site is a Ram Janma Bhumi, which is being so believed from time immemorial by faith and tradition of</w:t>
      </w:r>
      <w:r>
        <w:rPr>
          <w:rFonts w:ascii="Courier New"/>
          <w:spacing w:val="-66"/>
          <w:sz w:val="28"/>
        </w:rPr>
        <w:t> </w:t>
      </w:r>
      <w:r>
        <w:rPr>
          <w:rFonts w:ascii="Courier New"/>
          <w:sz w:val="28"/>
        </w:rPr>
        <w:t>Hindus. In his statement, he</w:t>
      </w:r>
      <w:r>
        <w:rPr>
          <w:rFonts w:ascii="Courier New"/>
          <w:spacing w:val="-6"/>
          <w:sz w:val="28"/>
        </w:rPr>
        <w:t> </w:t>
      </w:r>
      <w:r>
        <w:rPr>
          <w:rFonts w:ascii="Courier New"/>
          <w:sz w:val="28"/>
        </w:rPr>
        <w:t>states:-</w:t>
      </w:r>
    </w:p>
    <w:p>
      <w:pPr>
        <w:spacing w:line="240" w:lineRule="auto" w:before="1"/>
        <w:ind w:left="1011" w:right="1245" w:firstLine="719"/>
        <w:jc w:val="both"/>
        <w:rPr>
          <w:rFonts w:ascii="Courier New" w:hAnsi="Courier New"/>
          <w:sz w:val="28"/>
        </w:rPr>
      </w:pPr>
      <w:r>
        <w:rPr>
          <w:rFonts w:ascii="Courier New" w:hAnsi="Courier New"/>
          <w:sz w:val="28"/>
        </w:rPr>
        <w:t>“According</w:t>
      </w:r>
      <w:r>
        <w:rPr>
          <w:rFonts w:ascii="Courier New" w:hAnsi="Courier New"/>
          <w:spacing w:val="-41"/>
          <w:sz w:val="28"/>
        </w:rPr>
        <w:t> </w:t>
      </w:r>
      <w:r>
        <w:rPr>
          <w:rFonts w:ascii="Courier New" w:hAnsi="Courier New"/>
          <w:sz w:val="28"/>
        </w:rPr>
        <w:t>to</w:t>
      </w:r>
      <w:r>
        <w:rPr>
          <w:rFonts w:ascii="Courier New" w:hAnsi="Courier New"/>
          <w:spacing w:val="-40"/>
          <w:sz w:val="28"/>
        </w:rPr>
        <w:t> </w:t>
      </w:r>
      <w:r>
        <w:rPr>
          <w:rFonts w:ascii="Courier New" w:hAnsi="Courier New"/>
          <w:sz w:val="28"/>
        </w:rPr>
        <w:t>my</w:t>
      </w:r>
      <w:r>
        <w:rPr>
          <w:rFonts w:ascii="Courier New" w:hAnsi="Courier New"/>
          <w:spacing w:val="-40"/>
          <w:sz w:val="28"/>
        </w:rPr>
        <w:t> </w:t>
      </w:r>
      <w:r>
        <w:rPr>
          <w:rFonts w:ascii="Courier New" w:hAnsi="Courier New"/>
          <w:sz w:val="28"/>
        </w:rPr>
        <w:t>studies</w:t>
      </w:r>
      <w:r>
        <w:rPr>
          <w:rFonts w:ascii="Courier New" w:hAnsi="Courier New"/>
          <w:spacing w:val="-40"/>
          <w:sz w:val="28"/>
        </w:rPr>
        <w:t> </w:t>
      </w:r>
      <w:r>
        <w:rPr>
          <w:rFonts w:ascii="Courier New" w:hAnsi="Courier New"/>
          <w:sz w:val="28"/>
        </w:rPr>
        <w:t>and</w:t>
      </w:r>
      <w:r>
        <w:rPr>
          <w:rFonts w:ascii="Courier New" w:hAnsi="Courier New"/>
          <w:spacing w:val="-40"/>
          <w:sz w:val="28"/>
        </w:rPr>
        <w:t> </w:t>
      </w:r>
      <w:r>
        <w:rPr>
          <w:rFonts w:ascii="Courier New" w:hAnsi="Courier New"/>
          <w:sz w:val="28"/>
        </w:rPr>
        <w:t>knowledge, the Ayodhya situated disputed site is Sri Ramjanmbhumi, which has been recognised as the</w:t>
      </w:r>
      <w:r>
        <w:rPr>
          <w:rFonts w:ascii="Courier New" w:hAnsi="Courier New"/>
          <w:spacing w:val="-22"/>
          <w:sz w:val="28"/>
        </w:rPr>
        <w:t> </w:t>
      </w:r>
      <w:r>
        <w:rPr>
          <w:rFonts w:ascii="Courier New" w:hAnsi="Courier New"/>
          <w:sz w:val="28"/>
        </w:rPr>
        <w:t>birthplace</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Lord</w:t>
      </w:r>
      <w:r>
        <w:rPr>
          <w:rFonts w:ascii="Courier New" w:hAnsi="Courier New"/>
          <w:spacing w:val="-22"/>
          <w:sz w:val="28"/>
        </w:rPr>
        <w:t> </w:t>
      </w:r>
      <w:r>
        <w:rPr>
          <w:rFonts w:ascii="Courier New" w:hAnsi="Courier New"/>
          <w:sz w:val="28"/>
        </w:rPr>
        <w:t>Rama</w:t>
      </w:r>
      <w:r>
        <w:rPr>
          <w:rFonts w:ascii="Courier New" w:hAnsi="Courier New"/>
          <w:spacing w:val="-21"/>
          <w:sz w:val="28"/>
        </w:rPr>
        <w:t> </w:t>
      </w:r>
      <w:r>
        <w:rPr>
          <w:rFonts w:ascii="Courier New" w:hAnsi="Courier New"/>
          <w:sz w:val="28"/>
        </w:rPr>
        <w:t>by</w:t>
      </w:r>
      <w:r>
        <w:rPr>
          <w:rFonts w:ascii="Courier New" w:hAnsi="Courier New"/>
          <w:spacing w:val="-22"/>
          <w:sz w:val="28"/>
        </w:rPr>
        <w:t> </w:t>
      </w:r>
      <w:r>
        <w:rPr>
          <w:rFonts w:ascii="Courier New" w:hAnsi="Courier New"/>
          <w:sz w:val="28"/>
        </w:rPr>
        <w:t>followers</w:t>
      </w:r>
      <w:r>
        <w:rPr>
          <w:rFonts w:ascii="Courier New" w:hAnsi="Courier New"/>
          <w:spacing w:val="-22"/>
          <w:sz w:val="28"/>
        </w:rPr>
        <w:t> </w:t>
      </w:r>
      <w:r>
        <w:rPr>
          <w:rFonts w:ascii="Courier New" w:hAnsi="Courier New"/>
          <w:sz w:val="28"/>
        </w:rPr>
        <w:t>of Hinduism from time immemorial on basis of faith, tradition and belief and the said place has been continuously worshiped. “(E.T.C.)</w:t>
      </w:r>
    </w:p>
    <w:p>
      <w:pPr>
        <w:pStyle w:val="BodyText"/>
        <w:rPr>
          <w:rFonts w:ascii="Courier New"/>
          <w:sz w:val="32"/>
        </w:rPr>
      </w:pPr>
    </w:p>
    <w:p>
      <w:pPr>
        <w:pStyle w:val="ListParagraph"/>
        <w:numPr>
          <w:ilvl w:val="0"/>
          <w:numId w:val="253"/>
        </w:numPr>
        <w:tabs>
          <w:tab w:pos="1367" w:val="left" w:leader="none"/>
        </w:tabs>
        <w:spacing w:line="480" w:lineRule="auto" w:before="272" w:after="0"/>
        <w:ind w:left="160" w:right="159" w:hanging="1"/>
        <w:jc w:val="both"/>
        <w:rPr>
          <w:rFonts w:ascii="Courier New"/>
          <w:sz w:val="28"/>
        </w:rPr>
      </w:pPr>
      <w:r>
        <w:rPr>
          <w:rFonts w:ascii="Courier New"/>
          <w:sz w:val="28"/>
        </w:rPr>
        <w:t>In his examination-in-chief Jagadguru Ramanandacharya Swami Rambhadracharya has also stated that in Ayodhya-Mahatmya birthplace of Lord Shri Ram has been clearly described. Paragraph 25 of</w:t>
      </w:r>
      <w:r>
        <w:rPr>
          <w:rFonts w:ascii="Courier New"/>
          <w:spacing w:val="-66"/>
          <w:sz w:val="28"/>
        </w:rPr>
        <w:t> </w:t>
      </w:r>
      <w:r>
        <w:rPr>
          <w:rFonts w:ascii="Courier New"/>
          <w:sz w:val="28"/>
        </w:rPr>
        <w:t>the</w:t>
      </w:r>
    </w:p>
    <w:p>
      <w:pPr>
        <w:spacing w:after="0" w:line="480" w:lineRule="auto"/>
        <w:jc w:val="both"/>
        <w:rPr>
          <w:rFonts w:ascii="Courier New"/>
          <w:sz w:val="28"/>
        </w:rPr>
        <w:sectPr>
          <w:headerReference w:type="default" r:id="rId282"/>
          <w:footerReference w:type="default" r:id="rId283"/>
          <w:pgSz w:w="11910" w:h="16840"/>
          <w:pgMar w:header="0" w:footer="1063" w:top="1340" w:bottom="1260" w:left="1280" w:right="1280"/>
          <w:pgNumType w:start="37"/>
        </w:sectPr>
      </w:pPr>
    </w:p>
    <w:p>
      <w:pPr>
        <w:spacing w:before="86"/>
        <w:ind w:left="160" w:right="0" w:firstLine="0"/>
        <w:jc w:val="left"/>
        <w:rPr>
          <w:rFonts w:ascii="Courier New"/>
          <w:sz w:val="28"/>
        </w:rPr>
      </w:pPr>
      <w:r>
        <w:rPr>
          <w:rFonts w:ascii="Courier New"/>
          <w:sz w:val="28"/>
        </w:rPr>
        <w:t>examination-in chief is as follows:-</w:t>
      </w:r>
    </w:p>
    <w:p>
      <w:pPr>
        <w:pStyle w:val="BodyText"/>
        <w:spacing w:before="10"/>
        <w:rPr>
          <w:rFonts w:ascii="Courier New"/>
          <w:sz w:val="27"/>
        </w:rPr>
      </w:pPr>
    </w:p>
    <w:p>
      <w:pPr>
        <w:spacing w:line="240" w:lineRule="auto" w:before="0"/>
        <w:ind w:left="1011" w:right="1245" w:firstLine="0"/>
        <w:jc w:val="both"/>
        <w:rPr>
          <w:rFonts w:ascii="Courier New" w:hAnsi="Courier New"/>
          <w:sz w:val="28"/>
        </w:rPr>
      </w:pPr>
      <w:r>
        <w:rPr>
          <w:rFonts w:ascii="Courier New" w:hAnsi="Courier New"/>
          <w:sz w:val="28"/>
        </w:rPr>
        <w:t>“</w:t>
      </w:r>
      <w:r>
        <w:rPr>
          <w:rFonts w:ascii="Courier New" w:hAnsi="Courier New"/>
          <w:b/>
          <w:sz w:val="28"/>
        </w:rPr>
        <w:t>25. </w:t>
      </w:r>
      <w:r>
        <w:rPr>
          <w:rFonts w:ascii="Courier New" w:hAnsi="Courier New"/>
          <w:sz w:val="28"/>
        </w:rPr>
        <w:t>I am familiar with the Ayodhya Mahatmya of the Vaishnav Khand of Skand Puran published in 1966 in the press established by Shri Krishnadasatmaj Kshemraj Shresthi in which the birthplace of Lord Shri Rama has been clearly described. The photocopy of the cover page and</w:t>
      </w:r>
      <w:r>
        <w:rPr>
          <w:rFonts w:ascii="Courier New" w:hAnsi="Courier New"/>
          <w:spacing w:val="-17"/>
          <w:sz w:val="28"/>
        </w:rPr>
        <w:t> </w:t>
      </w:r>
      <w:r>
        <w:rPr>
          <w:rFonts w:ascii="Courier New" w:hAnsi="Courier New"/>
          <w:sz w:val="28"/>
        </w:rPr>
        <w:t>the</w:t>
      </w:r>
      <w:r>
        <w:rPr>
          <w:rFonts w:ascii="Courier New" w:hAnsi="Courier New"/>
          <w:spacing w:val="-16"/>
          <w:sz w:val="28"/>
        </w:rPr>
        <w:t> </w:t>
      </w:r>
      <w:r>
        <w:rPr>
          <w:rFonts w:ascii="Courier New" w:hAnsi="Courier New"/>
          <w:sz w:val="28"/>
        </w:rPr>
        <w:t>photocopy</w:t>
      </w:r>
      <w:r>
        <w:rPr>
          <w:rFonts w:ascii="Courier New" w:hAnsi="Courier New"/>
          <w:spacing w:val="-16"/>
          <w:sz w:val="28"/>
        </w:rPr>
        <w:t> </w:t>
      </w:r>
      <w:r>
        <w:rPr>
          <w:rFonts w:ascii="Courier New" w:hAnsi="Courier New"/>
          <w:sz w:val="28"/>
        </w:rPr>
        <w:t>of</w:t>
      </w:r>
      <w:r>
        <w:rPr>
          <w:rFonts w:ascii="Courier New" w:hAnsi="Courier New"/>
          <w:spacing w:val="-16"/>
          <w:sz w:val="28"/>
        </w:rPr>
        <w:t> </w:t>
      </w:r>
      <w:r>
        <w:rPr>
          <w:rFonts w:ascii="Courier New" w:hAnsi="Courier New"/>
          <w:sz w:val="28"/>
        </w:rPr>
        <w:t>Shloka</w:t>
      </w:r>
      <w:r>
        <w:rPr>
          <w:rFonts w:ascii="Courier New" w:hAnsi="Courier New"/>
          <w:spacing w:val="-19"/>
          <w:sz w:val="28"/>
        </w:rPr>
        <w:t> </w:t>
      </w:r>
      <w:r>
        <w:rPr>
          <w:rFonts w:ascii="Courier New" w:hAnsi="Courier New"/>
          <w:sz w:val="28"/>
        </w:rPr>
        <w:t>Nos.</w:t>
      </w:r>
      <w:r>
        <w:rPr>
          <w:rFonts w:ascii="Courier New" w:hAnsi="Courier New"/>
          <w:spacing w:val="-16"/>
          <w:sz w:val="28"/>
        </w:rPr>
        <w:t> </w:t>
      </w:r>
      <w:r>
        <w:rPr>
          <w:rFonts w:ascii="Courier New" w:hAnsi="Courier New"/>
          <w:sz w:val="28"/>
        </w:rPr>
        <w:t>1</w:t>
      </w:r>
      <w:r>
        <w:rPr>
          <w:rFonts w:ascii="Courier New" w:hAnsi="Courier New"/>
          <w:spacing w:val="-17"/>
          <w:sz w:val="28"/>
        </w:rPr>
        <w:t> </w:t>
      </w:r>
      <w:r>
        <w:rPr>
          <w:rFonts w:ascii="Courier New" w:hAnsi="Courier New"/>
          <w:sz w:val="28"/>
        </w:rPr>
        <w:t>to</w:t>
      </w:r>
      <w:r>
        <w:rPr>
          <w:rFonts w:ascii="Courier New" w:hAnsi="Courier New"/>
          <w:spacing w:val="-16"/>
          <w:sz w:val="28"/>
        </w:rPr>
        <w:t> </w:t>
      </w:r>
      <w:r>
        <w:rPr>
          <w:rFonts w:ascii="Courier New" w:hAnsi="Courier New"/>
          <w:sz w:val="28"/>
        </w:rPr>
        <w:t>25</w:t>
      </w:r>
      <w:r>
        <w:rPr>
          <w:rFonts w:ascii="Courier New" w:hAnsi="Courier New"/>
          <w:spacing w:val="-16"/>
          <w:sz w:val="28"/>
        </w:rPr>
        <w:t> </w:t>
      </w:r>
      <w:r>
        <w:rPr>
          <w:rFonts w:ascii="Courier New" w:hAnsi="Courier New"/>
          <w:sz w:val="28"/>
        </w:rPr>
        <w:t>on page No.292 of chapter 10 of this book is enclosed with this affidavit as</w:t>
      </w:r>
      <w:r>
        <w:rPr>
          <w:rFonts w:ascii="Courier New" w:hAnsi="Courier New"/>
          <w:spacing w:val="16"/>
          <w:sz w:val="28"/>
        </w:rPr>
        <w:t> </w:t>
      </w:r>
      <w:r>
        <w:rPr>
          <w:rFonts w:ascii="Courier New" w:hAnsi="Courier New"/>
          <w:sz w:val="28"/>
        </w:rPr>
        <w:t>enclosure-</w:t>
      </w:r>
    </w:p>
    <w:p>
      <w:pPr>
        <w:spacing w:before="1"/>
        <w:ind w:left="1011" w:right="1248" w:firstLine="0"/>
        <w:jc w:val="both"/>
        <w:rPr>
          <w:rFonts w:ascii="Courier New" w:hAnsi="Courier New"/>
          <w:sz w:val="28"/>
        </w:rPr>
      </w:pPr>
      <w:r>
        <w:rPr>
          <w:rFonts w:ascii="Courier New" w:hAnsi="Courier New"/>
          <w:sz w:val="28"/>
        </w:rPr>
        <w:t>1 which is the true photocopy of the original book.”</w:t>
      </w:r>
    </w:p>
    <w:p>
      <w:pPr>
        <w:pStyle w:val="BodyText"/>
        <w:rPr>
          <w:rFonts w:ascii="Courier New"/>
          <w:sz w:val="32"/>
        </w:rPr>
      </w:pPr>
    </w:p>
    <w:p>
      <w:pPr>
        <w:pStyle w:val="ListParagraph"/>
        <w:numPr>
          <w:ilvl w:val="0"/>
          <w:numId w:val="253"/>
        </w:numPr>
        <w:tabs>
          <w:tab w:pos="868" w:val="left" w:leader="none"/>
        </w:tabs>
        <w:spacing w:line="480" w:lineRule="auto" w:before="273" w:after="0"/>
        <w:ind w:left="160" w:right="156" w:firstLine="0"/>
        <w:jc w:val="both"/>
        <w:rPr>
          <w:rFonts w:ascii="Courier New"/>
          <w:sz w:val="28"/>
        </w:rPr>
      </w:pPr>
      <w:r>
        <w:rPr>
          <w:rFonts w:ascii="Courier New"/>
          <w:sz w:val="28"/>
        </w:rPr>
        <w:t>The witness was not put to any cross-examination regarding non-existence of legends to identify Ram Janma Bhumi. Mahant Ram Vilas Das Vedanti, DW-2/3 in his examination-in-chief has also relied on Ayodhya Mahatmya, Vaisnavakhanda, Skanda Purana in</w:t>
      </w:r>
      <w:r>
        <w:rPr>
          <w:rFonts w:ascii="Courier New"/>
          <w:spacing w:val="97"/>
          <w:sz w:val="28"/>
        </w:rPr>
        <w:t> </w:t>
      </w:r>
      <w:r>
        <w:rPr>
          <w:rFonts w:ascii="Courier New"/>
          <w:sz w:val="28"/>
        </w:rPr>
        <w:t>paragraph</w:t>
      </w:r>
    </w:p>
    <w:p>
      <w:pPr>
        <w:spacing w:line="315" w:lineRule="exact" w:before="0"/>
        <w:ind w:left="160" w:right="0" w:firstLine="0"/>
        <w:jc w:val="both"/>
        <w:rPr>
          <w:rFonts w:ascii="Courier New"/>
          <w:sz w:val="28"/>
        </w:rPr>
      </w:pPr>
      <w:r>
        <w:rPr>
          <w:rFonts w:ascii="Courier New"/>
          <w:sz w:val="28"/>
        </w:rPr>
        <w:t>24. He states as under:-</w:t>
      </w:r>
    </w:p>
    <w:p>
      <w:pPr>
        <w:pStyle w:val="BodyText"/>
        <w:spacing w:before="1"/>
        <w:rPr>
          <w:rFonts w:ascii="Courier New"/>
          <w:sz w:val="28"/>
        </w:rPr>
      </w:pPr>
    </w:p>
    <w:p>
      <w:pPr>
        <w:spacing w:before="1"/>
        <w:ind w:left="1011" w:right="1245" w:firstLine="0"/>
        <w:jc w:val="both"/>
        <w:rPr>
          <w:rFonts w:ascii="Courier New" w:hAnsi="Courier New"/>
          <w:sz w:val="28"/>
        </w:rPr>
      </w:pPr>
      <w:r>
        <w:rPr>
          <w:rFonts w:ascii="Courier New" w:hAnsi="Courier New"/>
          <w:b/>
          <w:sz w:val="28"/>
        </w:rPr>
        <w:t>“24. </w:t>
      </w:r>
      <w:r>
        <w:rPr>
          <w:rFonts w:ascii="Courier New" w:hAnsi="Courier New"/>
          <w:sz w:val="28"/>
        </w:rPr>
        <w:t>That, Ayodhya Mahatamya has been described in Vaishnav-volume of Skand Puran, famous book of Hindus. Disputed land has been explicitly described as a birthplace of God Sri Rama in it. Relevant lines of Vaishnav Volume of Ayodhya Mahatamiya are as</w:t>
      </w:r>
      <w:r>
        <w:rPr>
          <w:rFonts w:ascii="Courier New" w:hAnsi="Courier New"/>
          <w:spacing w:val="-5"/>
          <w:sz w:val="28"/>
        </w:rPr>
        <w:t> </w:t>
      </w:r>
      <w:r>
        <w:rPr>
          <w:rFonts w:ascii="Courier New" w:hAnsi="Courier New"/>
          <w:sz w:val="28"/>
        </w:rPr>
        <w:t>under:-</w:t>
      </w:r>
    </w:p>
    <w:p>
      <w:pPr>
        <w:pStyle w:val="BodyText"/>
        <w:spacing w:before="10"/>
        <w:rPr>
          <w:rFonts w:ascii="Courier New"/>
          <w:sz w:val="27"/>
        </w:rPr>
      </w:pPr>
    </w:p>
    <w:p>
      <w:pPr>
        <w:spacing w:line="240" w:lineRule="auto" w:before="1"/>
        <w:ind w:left="1578" w:right="1812" w:firstLine="0"/>
        <w:jc w:val="both"/>
        <w:rPr>
          <w:rFonts w:ascii="Courier New" w:hAnsi="Courier New"/>
          <w:sz w:val="28"/>
        </w:rPr>
      </w:pPr>
      <w:r>
        <w:rPr>
          <w:rFonts w:ascii="Courier New" w:hAnsi="Courier New"/>
          <w:sz w:val="28"/>
        </w:rPr>
        <w:t>“Vedvyas describing the importance of Ayodhya has written in Vaishnav Volume of Skand Puran that one should make darshan of Ayodhya with respect – devotion for the fulfilment of all desire. One should,</w:t>
      </w:r>
      <w:r>
        <w:rPr>
          <w:rFonts w:ascii="Courier New" w:hAnsi="Courier New"/>
          <w:spacing w:val="112"/>
          <w:sz w:val="28"/>
        </w:rPr>
        <w:t> </w:t>
      </w:r>
      <w:r>
        <w:rPr>
          <w:rFonts w:ascii="Courier New" w:hAnsi="Courier New"/>
          <w:sz w:val="28"/>
        </w:rPr>
        <w:t>visit</w:t>
      </w:r>
      <w:r>
        <w:rPr>
          <w:rFonts w:ascii="Courier New" w:hAnsi="Courier New"/>
          <w:spacing w:val="112"/>
          <w:sz w:val="28"/>
        </w:rPr>
        <w:t> </w:t>
      </w:r>
      <w:r>
        <w:rPr>
          <w:rFonts w:ascii="Courier New" w:hAnsi="Courier New"/>
          <w:sz w:val="28"/>
        </w:rPr>
        <w:t>the</w:t>
      </w:r>
      <w:r>
        <w:rPr>
          <w:rFonts w:ascii="Courier New" w:hAnsi="Courier New"/>
          <w:spacing w:val="112"/>
          <w:sz w:val="28"/>
        </w:rPr>
        <w:t> </w:t>
      </w:r>
      <w:r>
        <w:rPr>
          <w:rFonts w:ascii="Courier New" w:hAnsi="Courier New"/>
          <w:sz w:val="28"/>
        </w:rPr>
        <w:t>Ayodhya</w:t>
      </w:r>
      <w:r>
        <w:rPr>
          <w:rFonts w:ascii="Courier New" w:hAnsi="Courier New"/>
          <w:spacing w:val="115"/>
          <w:sz w:val="28"/>
        </w:rPr>
        <w:t> </w:t>
      </w:r>
      <w:r>
        <w:rPr>
          <w:rFonts w:ascii="Courier New" w:hAnsi="Courier New"/>
          <w:sz w:val="28"/>
        </w:rPr>
        <w:t>on</w:t>
      </w:r>
      <w:r>
        <w:rPr>
          <w:rFonts w:ascii="Courier New" w:hAnsi="Courier New"/>
          <w:spacing w:val="112"/>
          <w:sz w:val="28"/>
        </w:rPr>
        <w:t> </w:t>
      </w:r>
      <w:r>
        <w:rPr>
          <w:rFonts w:ascii="Courier New" w:hAnsi="Courier New"/>
          <w:sz w:val="28"/>
        </w:rPr>
        <w:t>the</w:t>
      </w:r>
    </w:p>
    <w:p>
      <w:pPr>
        <w:spacing w:after="0" w:line="240" w:lineRule="auto"/>
        <w:jc w:val="both"/>
        <w:rPr>
          <w:rFonts w:ascii="Courier New" w:hAnsi="Courier New"/>
          <w:sz w:val="28"/>
        </w:rPr>
        <w:sectPr>
          <w:headerReference w:type="default" r:id="rId284"/>
          <w:footerReference w:type="default" r:id="rId285"/>
          <w:pgSz w:w="11910" w:h="16840"/>
          <w:pgMar w:header="0" w:footer="1063" w:top="1340" w:bottom="1260" w:left="1280" w:right="1280"/>
          <w:pgNumType w:start="38"/>
        </w:sectPr>
      </w:pPr>
    </w:p>
    <w:p>
      <w:pPr>
        <w:spacing w:line="240" w:lineRule="auto" w:before="86"/>
        <w:ind w:left="1578" w:right="1813" w:firstLine="0"/>
        <w:jc w:val="both"/>
        <w:rPr>
          <w:rFonts w:ascii="Courier New" w:hAnsi="Courier New"/>
          <w:sz w:val="28"/>
        </w:rPr>
      </w:pPr>
      <w:r>
        <w:rPr>
          <w:rFonts w:ascii="Courier New" w:hAnsi="Courier New"/>
          <w:sz w:val="28"/>
        </w:rPr>
        <w:t>third Navratra, chanting bhazans in the month of Chaitra. Yatra of Shri Ram Navami in Ayodhya commence from the third Navratra of Chaitra</w:t>
      </w:r>
      <w:r>
        <w:rPr>
          <w:rFonts w:ascii="Courier New" w:hAnsi="Courier New"/>
          <w:spacing w:val="-108"/>
          <w:sz w:val="28"/>
        </w:rPr>
        <w:t> </w:t>
      </w:r>
      <w:r>
        <w:rPr>
          <w:rFonts w:ascii="Courier New" w:hAnsi="Courier New"/>
          <w:sz w:val="28"/>
        </w:rPr>
        <w:t>month. This yatra is recognized for obtaining divine and progeny and pleasure. The scene with various types of music and dance is</w:t>
      </w:r>
      <w:r>
        <w:rPr>
          <w:rFonts w:ascii="Courier New" w:hAnsi="Courier New"/>
          <w:spacing w:val="-109"/>
          <w:sz w:val="28"/>
        </w:rPr>
        <w:t> </w:t>
      </w:r>
      <w:r>
        <w:rPr>
          <w:rFonts w:ascii="Courier New" w:hAnsi="Courier New"/>
          <w:sz w:val="28"/>
        </w:rPr>
        <w:t>alluring and one is protected by it, there</w:t>
      </w:r>
      <w:r>
        <w:rPr>
          <w:rFonts w:ascii="Courier New" w:hAnsi="Courier New"/>
          <w:spacing w:val="-106"/>
          <w:sz w:val="28"/>
        </w:rPr>
        <w:t> </w:t>
      </w:r>
      <w:r>
        <w:rPr>
          <w:rFonts w:ascii="Courier New" w:hAnsi="Courier New"/>
          <w:sz w:val="28"/>
        </w:rPr>
        <w:t>is no doubt in it. High ascetic, devotee person lives in the western side of Ramjanambhoomi, the land known as Pindarak. The land worshipable with flowers etc. Men get skill from this pooja. People perform pooja with due procedure. Worship of Pindarak should be done after taking bath in Saryu River. Sinful person should do its pooja for keeping the lust of the world away during holy nakshtra of Navratras. Worship of God Ganesh is performed in the western side for removing obstacles. Ramjanambhoomi is situated at northeastern corner. This land which provides salvation is called Janambhoomi or</w:t>
      </w:r>
      <w:r>
        <w:rPr>
          <w:rFonts w:ascii="Courier New" w:hAnsi="Courier New"/>
          <w:spacing w:val="-110"/>
          <w:sz w:val="28"/>
        </w:rPr>
        <w:t> </w:t>
      </w:r>
      <w:r>
        <w:rPr>
          <w:rFonts w:ascii="Courier New" w:hAnsi="Courier New"/>
          <w:sz w:val="28"/>
        </w:rPr>
        <w:t>Janamsthan. Vashishta Kund is in the east of Vigneshwari. Ramjanambhoomi is in the north side of Vasistha Kund and it becomes clear from the word that Ramjanambhoomi is in the north of Vasistha Kund. One should meditate Janamsthan in the western part of Lomas Ashram.”</w:t>
      </w:r>
    </w:p>
    <w:p>
      <w:pPr>
        <w:pStyle w:val="BodyText"/>
        <w:rPr>
          <w:rFonts w:ascii="Courier New"/>
          <w:sz w:val="32"/>
        </w:rPr>
      </w:pPr>
    </w:p>
    <w:p>
      <w:pPr>
        <w:pStyle w:val="ListParagraph"/>
        <w:numPr>
          <w:ilvl w:val="0"/>
          <w:numId w:val="254"/>
        </w:numPr>
        <w:tabs>
          <w:tab w:pos="938" w:val="left" w:leader="none"/>
        </w:tabs>
        <w:spacing w:line="480" w:lineRule="auto" w:before="270" w:after="0"/>
        <w:ind w:left="160" w:right="160" w:firstLine="0"/>
        <w:jc w:val="both"/>
        <w:rPr>
          <w:rFonts w:ascii="Courier New"/>
          <w:sz w:val="28"/>
        </w:rPr>
      </w:pPr>
      <w:r>
        <w:rPr>
          <w:rFonts w:ascii="Courier New"/>
          <w:sz w:val="28"/>
        </w:rPr>
        <w:t>Swami Avimuktswaranand Sarswati, DW20/2 in his statement has referred to and relied on Ayodhya Mahatmya of Skanda Purana in his</w:t>
      </w:r>
      <w:r>
        <w:rPr>
          <w:rFonts w:ascii="Courier New"/>
          <w:spacing w:val="97"/>
          <w:sz w:val="28"/>
        </w:rPr>
        <w:t> </w:t>
      </w:r>
      <w:r>
        <w:rPr>
          <w:rFonts w:ascii="Courier New"/>
          <w:sz w:val="28"/>
        </w:rPr>
        <w:t>examination-in-chief</w:t>
      </w:r>
    </w:p>
    <w:p>
      <w:pPr>
        <w:spacing w:after="0" w:line="480" w:lineRule="auto"/>
        <w:jc w:val="both"/>
        <w:rPr>
          <w:rFonts w:ascii="Courier New"/>
          <w:sz w:val="28"/>
        </w:rPr>
        <w:sectPr>
          <w:headerReference w:type="default" r:id="rId286"/>
          <w:footerReference w:type="default" r:id="rId287"/>
          <w:pgSz w:w="11910" w:h="16840"/>
          <w:pgMar w:header="0" w:footer="1063" w:top="1340" w:bottom="1260" w:left="1280" w:right="1280"/>
          <w:pgNumType w:start="39"/>
        </w:sectPr>
      </w:pPr>
    </w:p>
    <w:p>
      <w:pPr>
        <w:spacing w:line="480" w:lineRule="auto" w:before="86"/>
        <w:ind w:left="160" w:right="157" w:firstLine="0"/>
        <w:jc w:val="both"/>
        <w:rPr>
          <w:rFonts w:ascii="Courier New" w:hAnsi="Courier New"/>
          <w:sz w:val="28"/>
        </w:rPr>
      </w:pPr>
      <w:r>
        <w:rPr>
          <w:rFonts w:ascii="Courier New" w:hAnsi="Courier New"/>
          <w:sz w:val="28"/>
        </w:rPr>
        <w:t>in paragraph 35. He stated that “</w:t>
      </w:r>
      <w:r>
        <w:rPr>
          <w:rFonts w:ascii="Courier New" w:hAnsi="Courier New"/>
          <w:b/>
          <w:sz w:val="28"/>
        </w:rPr>
        <w:t>Ayodhya is a holy place as was described in the Book Ayodhya Mahatmya”. </w:t>
      </w:r>
      <w:r>
        <w:rPr>
          <w:rFonts w:ascii="Courier New" w:hAnsi="Courier New"/>
          <w:sz w:val="28"/>
        </w:rPr>
        <w:t>This book contains “the details about the Ram Janma Bhumi, but did not mention about any mosque”. The witness</w:t>
      </w:r>
      <w:r>
        <w:rPr>
          <w:rFonts w:ascii="Courier New" w:hAnsi="Courier New"/>
          <w:spacing w:val="-34"/>
          <w:sz w:val="28"/>
        </w:rPr>
        <w:t> </w:t>
      </w:r>
      <w:r>
        <w:rPr>
          <w:rFonts w:ascii="Courier New" w:hAnsi="Courier New"/>
          <w:sz w:val="28"/>
        </w:rPr>
        <w:t>was</w:t>
      </w:r>
      <w:r>
        <w:rPr>
          <w:rFonts w:ascii="Courier New" w:hAnsi="Courier New"/>
          <w:spacing w:val="-34"/>
          <w:sz w:val="28"/>
        </w:rPr>
        <w:t> </w:t>
      </w:r>
      <w:r>
        <w:rPr>
          <w:rFonts w:ascii="Courier New" w:hAnsi="Courier New"/>
          <w:sz w:val="28"/>
        </w:rPr>
        <w:t>cross-examined</w:t>
      </w:r>
      <w:r>
        <w:rPr>
          <w:rFonts w:ascii="Courier New" w:hAnsi="Courier New"/>
          <w:spacing w:val="-34"/>
          <w:sz w:val="28"/>
        </w:rPr>
        <w:t> </w:t>
      </w:r>
      <w:r>
        <w:rPr>
          <w:rFonts w:ascii="Courier New" w:hAnsi="Courier New"/>
          <w:sz w:val="28"/>
        </w:rPr>
        <w:t>with</w:t>
      </w:r>
      <w:r>
        <w:rPr>
          <w:rFonts w:ascii="Courier New" w:hAnsi="Courier New"/>
          <w:spacing w:val="-33"/>
          <w:sz w:val="28"/>
        </w:rPr>
        <w:t> </w:t>
      </w:r>
      <w:r>
        <w:rPr>
          <w:rFonts w:ascii="Courier New" w:hAnsi="Courier New"/>
          <w:sz w:val="28"/>
        </w:rPr>
        <w:t>regard</w:t>
      </w:r>
      <w:r>
        <w:rPr>
          <w:rFonts w:ascii="Courier New" w:hAnsi="Courier New"/>
          <w:spacing w:val="-34"/>
          <w:sz w:val="28"/>
        </w:rPr>
        <w:t> </w:t>
      </w:r>
      <w:r>
        <w:rPr>
          <w:rFonts w:ascii="Courier New" w:hAnsi="Courier New"/>
          <w:sz w:val="28"/>
        </w:rPr>
        <w:t>to</w:t>
      </w:r>
      <w:r>
        <w:rPr>
          <w:rFonts w:ascii="Courier New" w:hAnsi="Courier New"/>
          <w:spacing w:val="-34"/>
          <w:sz w:val="28"/>
        </w:rPr>
        <w:t> </w:t>
      </w:r>
      <w:r>
        <w:rPr>
          <w:rFonts w:ascii="Courier New" w:hAnsi="Courier New"/>
          <w:sz w:val="28"/>
        </w:rPr>
        <w:t>his</w:t>
      </w:r>
      <w:r>
        <w:rPr>
          <w:rFonts w:ascii="Courier New" w:hAnsi="Courier New"/>
          <w:spacing w:val="-33"/>
          <w:sz w:val="28"/>
        </w:rPr>
        <w:t> </w:t>
      </w:r>
      <w:r>
        <w:rPr>
          <w:rFonts w:ascii="Courier New" w:hAnsi="Courier New"/>
          <w:sz w:val="28"/>
        </w:rPr>
        <w:t>statement made in paragraph 35. He in his cross-examination has said that he has seen Bara Sthan, Nageshwar Nath Temple, Lomash Rishi hermitage, Vighnesh Pindarak and Vashishta Kund. In his cross-examination, he</w:t>
      </w:r>
      <w:r>
        <w:rPr>
          <w:rFonts w:ascii="Courier New" w:hAnsi="Courier New"/>
          <w:spacing w:val="-67"/>
          <w:sz w:val="28"/>
        </w:rPr>
        <w:t> </w:t>
      </w:r>
      <w:r>
        <w:rPr>
          <w:rFonts w:ascii="Courier New" w:hAnsi="Courier New"/>
          <w:sz w:val="28"/>
        </w:rPr>
        <w:t>states:-</w:t>
      </w:r>
    </w:p>
    <w:p>
      <w:pPr>
        <w:spacing w:line="240" w:lineRule="auto" w:before="0"/>
        <w:ind w:left="1011" w:right="1243" w:firstLine="0"/>
        <w:jc w:val="both"/>
        <w:rPr>
          <w:rFonts w:ascii="Courier New" w:hAnsi="Courier New"/>
          <w:sz w:val="28"/>
        </w:rPr>
      </w:pPr>
      <w:r>
        <w:rPr>
          <w:rFonts w:ascii="Courier New" w:hAnsi="Courier New"/>
          <w:sz w:val="28"/>
        </w:rPr>
        <w:t>“Learned advocate cross examining the witness draw the attention of witness towards</w:t>
      </w:r>
      <w:r>
        <w:rPr>
          <w:rFonts w:ascii="Courier New" w:hAnsi="Courier New"/>
          <w:spacing w:val="-26"/>
          <w:sz w:val="28"/>
        </w:rPr>
        <w:t> </w:t>
      </w:r>
      <w:r>
        <w:rPr>
          <w:rFonts w:ascii="Courier New" w:hAnsi="Courier New"/>
          <w:sz w:val="28"/>
        </w:rPr>
        <w:t>Para-35</w:t>
      </w:r>
      <w:r>
        <w:rPr>
          <w:rFonts w:ascii="Courier New" w:hAnsi="Courier New"/>
          <w:spacing w:val="-25"/>
          <w:sz w:val="28"/>
        </w:rPr>
        <w:t> </w:t>
      </w:r>
      <w:r>
        <w:rPr>
          <w:rFonts w:ascii="Courier New" w:hAnsi="Courier New"/>
          <w:sz w:val="28"/>
        </w:rPr>
        <w:t>of</w:t>
      </w:r>
      <w:r>
        <w:rPr>
          <w:rFonts w:ascii="Courier New" w:hAnsi="Courier New"/>
          <w:spacing w:val="-26"/>
          <w:sz w:val="28"/>
        </w:rPr>
        <w:t> </w:t>
      </w:r>
      <w:r>
        <w:rPr>
          <w:rFonts w:ascii="Courier New" w:hAnsi="Courier New"/>
          <w:sz w:val="28"/>
        </w:rPr>
        <w:t>his</w:t>
      </w:r>
      <w:r>
        <w:rPr>
          <w:rFonts w:ascii="Courier New" w:hAnsi="Courier New"/>
          <w:spacing w:val="-25"/>
          <w:sz w:val="28"/>
        </w:rPr>
        <w:t> </w:t>
      </w:r>
      <w:r>
        <w:rPr>
          <w:rFonts w:ascii="Courier New" w:hAnsi="Courier New"/>
          <w:sz w:val="28"/>
        </w:rPr>
        <w:t>examination</w:t>
      </w:r>
      <w:r>
        <w:rPr>
          <w:rFonts w:ascii="Courier New" w:hAnsi="Courier New"/>
          <w:spacing w:val="-26"/>
          <w:sz w:val="28"/>
        </w:rPr>
        <w:t> </w:t>
      </w:r>
      <w:r>
        <w:rPr>
          <w:rFonts w:ascii="Courier New" w:hAnsi="Courier New"/>
          <w:sz w:val="28"/>
        </w:rPr>
        <w:t>in</w:t>
      </w:r>
      <w:r>
        <w:rPr>
          <w:rFonts w:ascii="Courier New" w:hAnsi="Courier New"/>
          <w:spacing w:val="-25"/>
          <w:sz w:val="28"/>
        </w:rPr>
        <w:t> </w:t>
      </w:r>
      <w:r>
        <w:rPr>
          <w:rFonts w:ascii="Courier New" w:hAnsi="Courier New"/>
          <w:sz w:val="28"/>
        </w:rPr>
        <w:t>chief affidavit. Witness in reply to a question said that darshan of Shri RamJanam Bhoomi Temple was referred therein. From “Other Temples” referred in this para. I mean Hnaumangarhi and Kanak Bhawan. Besides I have seen Bara Sthan, Nageshwar Nath Temple, Lomash Rishi hermitage, Vighnesh Pindarak and Vashishta Kund. Vighnesh and Pindarak are not temples. These are the name of places. Only a large piece of stones are there. I have in Para-35 of my examination in chief affidavit stated that I</w:t>
      </w:r>
      <w:r>
        <w:rPr>
          <w:rFonts w:ascii="Courier New" w:hAnsi="Courier New"/>
          <w:spacing w:val="-42"/>
          <w:sz w:val="28"/>
        </w:rPr>
        <w:t> </w:t>
      </w:r>
      <w:r>
        <w:rPr>
          <w:rFonts w:ascii="Courier New" w:hAnsi="Courier New"/>
          <w:sz w:val="28"/>
        </w:rPr>
        <w:t>have</w:t>
      </w:r>
      <w:r>
        <w:rPr>
          <w:rFonts w:ascii="Courier New" w:hAnsi="Courier New"/>
          <w:spacing w:val="-41"/>
          <w:sz w:val="28"/>
        </w:rPr>
        <w:t> </w:t>
      </w:r>
      <w:r>
        <w:rPr>
          <w:rFonts w:ascii="Courier New" w:hAnsi="Courier New"/>
          <w:sz w:val="28"/>
        </w:rPr>
        <w:t>visited</w:t>
      </w:r>
      <w:r>
        <w:rPr>
          <w:rFonts w:ascii="Courier New" w:hAnsi="Courier New"/>
          <w:spacing w:val="-38"/>
          <w:sz w:val="28"/>
        </w:rPr>
        <w:t> </w:t>
      </w:r>
      <w:r>
        <w:rPr>
          <w:rFonts w:ascii="Courier New" w:hAnsi="Courier New"/>
          <w:sz w:val="28"/>
        </w:rPr>
        <w:t>Ayodhya</w:t>
      </w:r>
      <w:r>
        <w:rPr>
          <w:rFonts w:ascii="Courier New" w:hAnsi="Courier New"/>
          <w:spacing w:val="-41"/>
          <w:sz w:val="28"/>
        </w:rPr>
        <w:t> </w:t>
      </w:r>
      <w:r>
        <w:rPr>
          <w:rFonts w:ascii="Courier New" w:hAnsi="Courier New"/>
          <w:sz w:val="28"/>
        </w:rPr>
        <w:t>on</w:t>
      </w:r>
      <w:r>
        <w:rPr>
          <w:rFonts w:ascii="Courier New" w:hAnsi="Courier New"/>
          <w:spacing w:val="-41"/>
          <w:sz w:val="28"/>
        </w:rPr>
        <w:t> </w:t>
      </w:r>
      <w:r>
        <w:rPr>
          <w:rFonts w:ascii="Courier New" w:hAnsi="Courier New"/>
          <w:sz w:val="28"/>
        </w:rPr>
        <w:t>a</w:t>
      </w:r>
      <w:r>
        <w:rPr>
          <w:rFonts w:ascii="Courier New" w:hAnsi="Courier New"/>
          <w:spacing w:val="-42"/>
          <w:sz w:val="28"/>
        </w:rPr>
        <w:t> </w:t>
      </w:r>
      <w:r>
        <w:rPr>
          <w:rFonts w:ascii="Courier New" w:hAnsi="Courier New"/>
          <w:sz w:val="28"/>
        </w:rPr>
        <w:t>number</w:t>
      </w:r>
      <w:r>
        <w:rPr>
          <w:rFonts w:ascii="Courier New" w:hAnsi="Courier New"/>
          <w:spacing w:val="-41"/>
          <w:sz w:val="28"/>
        </w:rPr>
        <w:t> </w:t>
      </w:r>
      <w:r>
        <w:rPr>
          <w:rFonts w:ascii="Courier New" w:hAnsi="Courier New"/>
          <w:sz w:val="28"/>
        </w:rPr>
        <w:t>of</w:t>
      </w:r>
      <w:r>
        <w:rPr>
          <w:rFonts w:ascii="Courier New" w:hAnsi="Courier New"/>
          <w:spacing w:val="-41"/>
          <w:sz w:val="28"/>
        </w:rPr>
        <w:t> </w:t>
      </w:r>
      <w:r>
        <w:rPr>
          <w:rFonts w:ascii="Courier New" w:hAnsi="Courier New"/>
          <w:sz w:val="28"/>
        </w:rPr>
        <w:t>times. During these visits, I had taken darshan for</w:t>
      </w:r>
      <w:r>
        <w:rPr>
          <w:rFonts w:ascii="Courier New" w:hAnsi="Courier New"/>
          <w:spacing w:val="-20"/>
          <w:sz w:val="28"/>
        </w:rPr>
        <w:t> </w:t>
      </w:r>
      <w:r>
        <w:rPr>
          <w:rFonts w:ascii="Courier New" w:hAnsi="Courier New"/>
          <w:sz w:val="28"/>
        </w:rPr>
        <w:t>a</w:t>
      </w:r>
      <w:r>
        <w:rPr>
          <w:rFonts w:ascii="Courier New" w:hAnsi="Courier New"/>
          <w:spacing w:val="-19"/>
          <w:sz w:val="28"/>
        </w:rPr>
        <w:t> </w:t>
      </w:r>
      <w:r>
        <w:rPr>
          <w:rFonts w:ascii="Courier New" w:hAnsi="Courier New"/>
          <w:sz w:val="28"/>
        </w:rPr>
        <w:t>number</w:t>
      </w:r>
      <w:r>
        <w:rPr>
          <w:rFonts w:ascii="Courier New" w:hAnsi="Courier New"/>
          <w:spacing w:val="-20"/>
          <w:sz w:val="28"/>
        </w:rPr>
        <w:t> </w:t>
      </w:r>
      <w:r>
        <w:rPr>
          <w:rFonts w:ascii="Courier New" w:hAnsi="Courier New"/>
          <w:sz w:val="28"/>
        </w:rPr>
        <w:t>of</w:t>
      </w:r>
      <w:r>
        <w:rPr>
          <w:rFonts w:ascii="Courier New" w:hAnsi="Courier New"/>
          <w:spacing w:val="-19"/>
          <w:sz w:val="28"/>
        </w:rPr>
        <w:t> </w:t>
      </w:r>
      <w:r>
        <w:rPr>
          <w:rFonts w:ascii="Courier New" w:hAnsi="Courier New"/>
          <w:sz w:val="28"/>
        </w:rPr>
        <w:t>times,</w:t>
      </w:r>
      <w:r>
        <w:rPr>
          <w:rFonts w:ascii="Courier New" w:hAnsi="Courier New"/>
          <w:spacing w:val="-19"/>
          <w:sz w:val="28"/>
        </w:rPr>
        <w:t> </w:t>
      </w:r>
      <w:r>
        <w:rPr>
          <w:rFonts w:ascii="Courier New" w:hAnsi="Courier New"/>
          <w:sz w:val="28"/>
        </w:rPr>
        <w:t>but</w:t>
      </w:r>
      <w:r>
        <w:rPr>
          <w:rFonts w:ascii="Courier New" w:hAnsi="Courier New"/>
          <w:spacing w:val="-20"/>
          <w:sz w:val="28"/>
        </w:rPr>
        <w:t> </w:t>
      </w:r>
      <w:r>
        <w:rPr>
          <w:rFonts w:ascii="Courier New" w:hAnsi="Courier New"/>
          <w:sz w:val="28"/>
        </w:rPr>
        <w:t>not</w:t>
      </w:r>
      <w:r>
        <w:rPr>
          <w:rFonts w:ascii="Courier New" w:hAnsi="Courier New"/>
          <w:spacing w:val="-19"/>
          <w:sz w:val="28"/>
        </w:rPr>
        <w:t> </w:t>
      </w:r>
      <w:r>
        <w:rPr>
          <w:rFonts w:ascii="Courier New" w:hAnsi="Courier New"/>
          <w:sz w:val="28"/>
        </w:rPr>
        <w:t>during</w:t>
      </w:r>
      <w:r>
        <w:rPr>
          <w:rFonts w:ascii="Courier New" w:hAnsi="Courier New"/>
          <w:spacing w:val="-19"/>
          <w:sz w:val="28"/>
        </w:rPr>
        <w:t> </w:t>
      </w:r>
      <w:r>
        <w:rPr>
          <w:rFonts w:ascii="Courier New" w:hAnsi="Courier New"/>
          <w:sz w:val="28"/>
        </w:rPr>
        <w:t>every visit.”</w:t>
      </w:r>
    </w:p>
    <w:p>
      <w:pPr>
        <w:pStyle w:val="BodyText"/>
        <w:rPr>
          <w:rFonts w:ascii="Courier New"/>
          <w:sz w:val="32"/>
        </w:rPr>
      </w:pPr>
    </w:p>
    <w:p>
      <w:pPr>
        <w:pStyle w:val="ListParagraph"/>
        <w:numPr>
          <w:ilvl w:val="0"/>
          <w:numId w:val="254"/>
        </w:numPr>
        <w:tabs>
          <w:tab w:pos="873" w:val="left" w:leader="none"/>
          <w:tab w:pos="1280" w:val="left" w:leader="none"/>
          <w:tab w:pos="1896" w:val="left" w:leader="none"/>
          <w:tab w:pos="3355" w:val="left" w:leader="none"/>
          <w:tab w:pos="5150" w:val="left" w:leader="none"/>
          <w:tab w:pos="5934" w:val="left" w:leader="none"/>
          <w:tab w:pos="7729" w:val="left" w:leader="none"/>
          <w:tab w:pos="8849" w:val="left" w:leader="none"/>
        </w:tabs>
        <w:spacing w:line="482" w:lineRule="auto" w:before="270" w:after="0"/>
        <w:ind w:left="160" w:right="161" w:firstLine="0"/>
        <w:jc w:val="left"/>
        <w:rPr>
          <w:rFonts w:ascii="Courier New"/>
          <w:sz w:val="28"/>
        </w:rPr>
      </w:pPr>
      <w:r>
        <w:rPr>
          <w:rFonts w:ascii="Courier New"/>
          <w:sz w:val="28"/>
        </w:rPr>
        <w:t>In his examination-in-chief, he has stated about visit</w:t>
        <w:tab/>
        <w:t>to</w:t>
        <w:tab/>
        <w:t>Ayodhya</w:t>
        <w:tab/>
        <w:t>following</w:t>
        <w:tab/>
        <w:t>the</w:t>
        <w:tab/>
        <w:t>procedure</w:t>
        <w:tab/>
        <w:t>given</w:t>
        <w:tab/>
      </w:r>
      <w:r>
        <w:rPr>
          <w:rFonts w:ascii="Courier New"/>
          <w:spacing w:val="-10"/>
          <w:sz w:val="28"/>
        </w:rPr>
        <w:t>in</w:t>
      </w:r>
    </w:p>
    <w:p>
      <w:pPr>
        <w:spacing w:after="0" w:line="482" w:lineRule="auto"/>
        <w:jc w:val="left"/>
        <w:rPr>
          <w:rFonts w:ascii="Courier New"/>
          <w:sz w:val="28"/>
        </w:rPr>
        <w:sectPr>
          <w:headerReference w:type="default" r:id="rId288"/>
          <w:footerReference w:type="default" r:id="rId289"/>
          <w:pgSz w:w="11910" w:h="16840"/>
          <w:pgMar w:header="0" w:footer="1063" w:top="1340" w:bottom="1260" w:left="1280" w:right="1280"/>
          <w:pgNumType w:start="40"/>
        </w:sectPr>
      </w:pPr>
    </w:p>
    <w:p>
      <w:pPr>
        <w:spacing w:line="480" w:lineRule="auto" w:before="86"/>
        <w:ind w:left="160" w:right="158" w:firstLine="0"/>
        <w:jc w:val="both"/>
        <w:rPr>
          <w:rFonts w:ascii="Courier New"/>
          <w:sz w:val="28"/>
        </w:rPr>
      </w:pPr>
      <w:r>
        <w:rPr>
          <w:rFonts w:ascii="Courier New"/>
          <w:sz w:val="28"/>
        </w:rPr>
        <w:t>Skanda Purana and having darshan accordingly. He also referred in his examination-in-chief that he got</w:t>
      </w:r>
      <w:r>
        <w:rPr>
          <w:rFonts w:ascii="Courier New"/>
          <w:spacing w:val="-67"/>
          <w:sz w:val="28"/>
        </w:rPr>
        <w:t> </w:t>
      </w:r>
      <w:r>
        <w:rPr>
          <w:rFonts w:ascii="Courier New"/>
          <w:sz w:val="28"/>
        </w:rPr>
        <w:t>great assistance from the stone boards fixed by Shri Edward during the time of British Rule. In paragraph 36 of the examination-in-chief, he stated as follows:-</w:t>
      </w:r>
    </w:p>
    <w:p>
      <w:pPr>
        <w:spacing w:line="240" w:lineRule="auto" w:before="0"/>
        <w:ind w:left="1011" w:right="1244" w:firstLine="0"/>
        <w:jc w:val="both"/>
        <w:rPr>
          <w:rFonts w:ascii="Courier New" w:hAnsi="Courier New"/>
          <w:sz w:val="28"/>
        </w:rPr>
      </w:pPr>
      <w:r>
        <w:rPr>
          <w:rFonts w:ascii="Courier New" w:hAnsi="Courier New"/>
          <w:sz w:val="28"/>
        </w:rPr>
        <w:t>“</w:t>
      </w:r>
      <w:r>
        <w:rPr>
          <w:rFonts w:ascii="Courier New" w:hAnsi="Courier New"/>
          <w:b/>
          <w:sz w:val="28"/>
        </w:rPr>
        <w:t>36.</w:t>
      </w:r>
      <w:r>
        <w:rPr>
          <w:rFonts w:ascii="Courier New" w:hAnsi="Courier New"/>
          <w:b/>
          <w:spacing w:val="87"/>
          <w:sz w:val="28"/>
        </w:rPr>
        <w:t> </w:t>
      </w:r>
      <w:r>
        <w:rPr>
          <w:rFonts w:ascii="Courier New" w:hAnsi="Courier New"/>
          <w:sz w:val="28"/>
        </w:rPr>
        <w:t>That,</w:t>
      </w:r>
      <w:r>
        <w:rPr>
          <w:rFonts w:ascii="Courier New" w:hAnsi="Courier New"/>
          <w:spacing w:val="-41"/>
          <w:sz w:val="28"/>
        </w:rPr>
        <w:t> </w:t>
      </w:r>
      <w:r>
        <w:rPr>
          <w:rFonts w:ascii="Courier New" w:hAnsi="Courier New"/>
          <w:sz w:val="28"/>
        </w:rPr>
        <w:t>I</w:t>
      </w:r>
      <w:r>
        <w:rPr>
          <w:rFonts w:ascii="Courier New" w:hAnsi="Courier New"/>
          <w:spacing w:val="-41"/>
          <w:sz w:val="28"/>
        </w:rPr>
        <w:t> </w:t>
      </w:r>
      <w:r>
        <w:rPr>
          <w:rFonts w:ascii="Courier New" w:hAnsi="Courier New"/>
          <w:sz w:val="28"/>
        </w:rPr>
        <w:t>have</w:t>
      </w:r>
      <w:r>
        <w:rPr>
          <w:rFonts w:ascii="Courier New" w:hAnsi="Courier New"/>
          <w:spacing w:val="-40"/>
          <w:sz w:val="28"/>
        </w:rPr>
        <w:t> </w:t>
      </w:r>
      <w:r>
        <w:rPr>
          <w:rFonts w:ascii="Courier New" w:hAnsi="Courier New"/>
          <w:sz w:val="28"/>
        </w:rPr>
        <w:t>also</w:t>
      </w:r>
      <w:r>
        <w:rPr>
          <w:rFonts w:ascii="Courier New" w:hAnsi="Courier New"/>
          <w:spacing w:val="-40"/>
          <w:sz w:val="28"/>
        </w:rPr>
        <w:t> </w:t>
      </w:r>
      <w:r>
        <w:rPr>
          <w:rFonts w:ascii="Courier New" w:hAnsi="Courier New"/>
          <w:sz w:val="28"/>
        </w:rPr>
        <w:t>once</w:t>
      </w:r>
      <w:r>
        <w:rPr>
          <w:rFonts w:ascii="Courier New" w:hAnsi="Courier New"/>
          <w:spacing w:val="-41"/>
          <w:sz w:val="28"/>
        </w:rPr>
        <w:t> </w:t>
      </w:r>
      <w:r>
        <w:rPr>
          <w:rFonts w:ascii="Courier New" w:hAnsi="Courier New"/>
          <w:sz w:val="28"/>
        </w:rPr>
        <w:t>visited</w:t>
      </w:r>
      <w:r>
        <w:rPr>
          <w:rFonts w:ascii="Courier New" w:hAnsi="Courier New"/>
          <w:spacing w:val="-40"/>
          <w:sz w:val="28"/>
        </w:rPr>
        <w:t> </w:t>
      </w:r>
      <w:r>
        <w:rPr>
          <w:rFonts w:ascii="Courier New" w:hAnsi="Courier New"/>
          <w:sz w:val="28"/>
        </w:rPr>
        <w:t>Ayodhya following the procedure given in Skand Puran and took darshan of Shri RamJanam Bhoomi. During that visit, I got great assistance from the stone boards fixed by a higher officer Shri Edward, during the time of British Rule, which were fixed in accordance with the serial prescribed in Skand Puran and proves the then geographical</w:t>
      </w:r>
      <w:r>
        <w:rPr>
          <w:rFonts w:ascii="Courier New" w:hAnsi="Courier New"/>
          <w:spacing w:val="-2"/>
          <w:sz w:val="28"/>
        </w:rPr>
        <w:t> </w:t>
      </w:r>
      <w:r>
        <w:rPr>
          <w:rFonts w:ascii="Courier New" w:hAnsi="Courier New"/>
          <w:sz w:val="28"/>
        </w:rPr>
        <w:t>situation.”</w:t>
      </w:r>
    </w:p>
    <w:p>
      <w:pPr>
        <w:pStyle w:val="BodyText"/>
        <w:rPr>
          <w:rFonts w:ascii="Courier New"/>
          <w:sz w:val="32"/>
        </w:rPr>
      </w:pPr>
    </w:p>
    <w:p>
      <w:pPr>
        <w:pStyle w:val="ListParagraph"/>
        <w:numPr>
          <w:ilvl w:val="0"/>
          <w:numId w:val="254"/>
        </w:numPr>
        <w:tabs>
          <w:tab w:pos="827" w:val="left" w:leader="none"/>
        </w:tabs>
        <w:spacing w:line="480" w:lineRule="auto" w:before="273" w:after="0"/>
        <w:ind w:left="160" w:right="155" w:firstLine="0"/>
        <w:jc w:val="both"/>
        <w:rPr>
          <w:rFonts w:ascii="Courier New"/>
          <w:sz w:val="28"/>
        </w:rPr>
      </w:pPr>
      <w:r>
        <w:rPr>
          <w:rFonts w:ascii="Courier New"/>
          <w:sz w:val="28"/>
        </w:rPr>
        <w:t>With regard to paragraph 36 of his</w:t>
      </w:r>
      <w:r>
        <w:rPr>
          <w:rFonts w:ascii="Courier New"/>
          <w:spacing w:val="-56"/>
          <w:sz w:val="28"/>
        </w:rPr>
        <w:t> </w:t>
      </w:r>
      <w:r>
        <w:rPr>
          <w:rFonts w:ascii="Courier New"/>
          <w:sz w:val="28"/>
        </w:rPr>
        <w:t>examination-in- chief witness was cross-examined in which cross- examination,</w:t>
      </w:r>
      <w:r>
        <w:rPr>
          <w:rFonts w:ascii="Courier New"/>
          <w:spacing w:val="-27"/>
          <w:sz w:val="28"/>
        </w:rPr>
        <w:t> </w:t>
      </w:r>
      <w:r>
        <w:rPr>
          <w:rFonts w:ascii="Courier New"/>
          <w:sz w:val="28"/>
        </w:rPr>
        <w:t>he</w:t>
      </w:r>
      <w:r>
        <w:rPr>
          <w:rFonts w:ascii="Courier New"/>
          <w:spacing w:val="-26"/>
          <w:sz w:val="28"/>
        </w:rPr>
        <w:t> </w:t>
      </w:r>
      <w:r>
        <w:rPr>
          <w:rFonts w:ascii="Courier New"/>
          <w:sz w:val="28"/>
        </w:rPr>
        <w:t>stated</w:t>
      </w:r>
      <w:r>
        <w:rPr>
          <w:rFonts w:ascii="Courier New"/>
          <w:spacing w:val="-26"/>
          <w:sz w:val="28"/>
        </w:rPr>
        <w:t> </w:t>
      </w:r>
      <w:r>
        <w:rPr>
          <w:rFonts w:ascii="Courier New"/>
          <w:sz w:val="28"/>
        </w:rPr>
        <w:t>that</w:t>
      </w:r>
      <w:r>
        <w:rPr>
          <w:rFonts w:ascii="Courier New"/>
          <w:spacing w:val="-27"/>
          <w:sz w:val="28"/>
        </w:rPr>
        <w:t> </w:t>
      </w:r>
      <w:r>
        <w:rPr>
          <w:rFonts w:ascii="Courier New"/>
          <w:sz w:val="28"/>
        </w:rPr>
        <w:t>he</w:t>
      </w:r>
      <w:r>
        <w:rPr>
          <w:rFonts w:ascii="Courier New"/>
          <w:spacing w:val="-26"/>
          <w:sz w:val="28"/>
        </w:rPr>
        <w:t> </w:t>
      </w:r>
      <w:r>
        <w:rPr>
          <w:rFonts w:ascii="Courier New"/>
          <w:sz w:val="28"/>
        </w:rPr>
        <w:t>had</w:t>
      </w:r>
      <w:r>
        <w:rPr>
          <w:rFonts w:ascii="Courier New"/>
          <w:spacing w:val="-26"/>
          <w:sz w:val="28"/>
        </w:rPr>
        <w:t> </w:t>
      </w:r>
      <w:r>
        <w:rPr>
          <w:rFonts w:ascii="Courier New"/>
          <w:sz w:val="28"/>
        </w:rPr>
        <w:t>darshan</w:t>
      </w:r>
      <w:r>
        <w:rPr>
          <w:rFonts w:ascii="Courier New"/>
          <w:spacing w:val="-27"/>
          <w:sz w:val="28"/>
        </w:rPr>
        <w:t> </w:t>
      </w:r>
      <w:r>
        <w:rPr>
          <w:rFonts w:ascii="Courier New"/>
          <w:sz w:val="28"/>
        </w:rPr>
        <w:t>of</w:t>
      </w:r>
      <w:r>
        <w:rPr>
          <w:rFonts w:ascii="Courier New"/>
          <w:spacing w:val="-26"/>
          <w:sz w:val="28"/>
        </w:rPr>
        <w:t> </w:t>
      </w:r>
      <w:r>
        <w:rPr>
          <w:rFonts w:ascii="Courier New"/>
          <w:sz w:val="28"/>
        </w:rPr>
        <w:t>Ram</w:t>
      </w:r>
      <w:r>
        <w:rPr>
          <w:rFonts w:ascii="Courier New"/>
          <w:spacing w:val="-26"/>
          <w:sz w:val="28"/>
        </w:rPr>
        <w:t> </w:t>
      </w:r>
      <w:r>
        <w:rPr>
          <w:rFonts w:ascii="Courier New"/>
          <w:sz w:val="28"/>
        </w:rPr>
        <w:t>Janma Bhumi following the legends in Ayodhya Mahatmya. Referring to stone fixing by Shri Edward in British Rule (1901-1902), he submits that he has seen stone fixed by legends at Bara Sthan, Ram Janma Bhumi, Pindarak, Lomash, Vighnesh and Vashishtkund. He further had stated that the stone at Lomash Ashram</w:t>
      </w:r>
      <w:r>
        <w:rPr>
          <w:rFonts w:ascii="Courier New"/>
          <w:spacing w:val="-69"/>
          <w:sz w:val="28"/>
        </w:rPr>
        <w:t> </w:t>
      </w:r>
      <w:r>
        <w:rPr>
          <w:rFonts w:ascii="Courier New"/>
          <w:sz w:val="28"/>
        </w:rPr>
        <w:t>was fixed in the east of Ram Janma Bhumi Mandir. In his cross-examination, he states</w:t>
      </w:r>
      <w:r>
        <w:rPr>
          <w:rFonts w:ascii="Courier New"/>
          <w:spacing w:val="-6"/>
          <w:sz w:val="28"/>
        </w:rPr>
        <w:t> </w:t>
      </w:r>
      <w:r>
        <w:rPr>
          <w:rFonts w:ascii="Courier New"/>
          <w:sz w:val="28"/>
        </w:rPr>
        <w:t>following:-</w:t>
      </w:r>
    </w:p>
    <w:p>
      <w:pPr>
        <w:spacing w:after="0" w:line="480" w:lineRule="auto"/>
        <w:jc w:val="both"/>
        <w:rPr>
          <w:rFonts w:ascii="Courier New"/>
          <w:sz w:val="28"/>
        </w:rPr>
        <w:sectPr>
          <w:headerReference w:type="default" r:id="rId290"/>
          <w:footerReference w:type="default" r:id="rId291"/>
          <w:pgSz w:w="11910" w:h="16840"/>
          <w:pgMar w:header="0" w:footer="1063" w:top="1340" w:bottom="1260" w:left="1280" w:right="1280"/>
          <w:pgNumType w:start="41"/>
        </w:sectPr>
      </w:pPr>
    </w:p>
    <w:p>
      <w:pPr>
        <w:spacing w:line="240" w:lineRule="auto" w:before="86"/>
        <w:ind w:left="1011" w:right="1244" w:firstLine="0"/>
        <w:jc w:val="both"/>
        <w:rPr>
          <w:rFonts w:ascii="Courier New" w:hAnsi="Courier New"/>
          <w:sz w:val="28"/>
        </w:rPr>
      </w:pPr>
      <w:r>
        <w:rPr>
          <w:rFonts w:ascii="Courier New" w:hAnsi="Courier New"/>
          <w:sz w:val="28"/>
        </w:rPr>
        <w:t>“I have seen five-six stone boards. These stone boards were fixed at “Bara Sthan”, Ram Janam Bhoomi, Pindarak, Lomash, Vighnesh and Vashishtkund and Vighneshwara respectively. I have seen these stone in 2001 or 2002. I have seen these stones together</w:t>
      </w:r>
      <w:r>
        <w:rPr>
          <w:rFonts w:ascii="Courier New" w:hAnsi="Courier New"/>
          <w:spacing w:val="-37"/>
          <w:sz w:val="28"/>
        </w:rPr>
        <w:t> </w:t>
      </w:r>
      <w:r>
        <w:rPr>
          <w:rFonts w:ascii="Courier New" w:hAnsi="Courier New"/>
          <w:sz w:val="28"/>
        </w:rPr>
        <w:t>in</w:t>
      </w:r>
      <w:r>
        <w:rPr>
          <w:rFonts w:ascii="Courier New" w:hAnsi="Courier New"/>
          <w:spacing w:val="-36"/>
          <w:sz w:val="28"/>
        </w:rPr>
        <w:t> </w:t>
      </w:r>
      <w:r>
        <w:rPr>
          <w:rFonts w:ascii="Courier New" w:hAnsi="Courier New"/>
          <w:sz w:val="28"/>
        </w:rPr>
        <w:t>2001</w:t>
      </w:r>
      <w:r>
        <w:rPr>
          <w:rFonts w:ascii="Courier New" w:hAnsi="Courier New"/>
          <w:spacing w:val="-36"/>
          <w:sz w:val="28"/>
        </w:rPr>
        <w:t> </w:t>
      </w:r>
      <w:r>
        <w:rPr>
          <w:rFonts w:ascii="Courier New" w:hAnsi="Courier New"/>
          <w:sz w:val="28"/>
        </w:rPr>
        <w:t>or</w:t>
      </w:r>
      <w:r>
        <w:rPr>
          <w:rFonts w:ascii="Courier New" w:hAnsi="Courier New"/>
          <w:spacing w:val="-36"/>
          <w:sz w:val="28"/>
        </w:rPr>
        <w:t> </w:t>
      </w:r>
      <w:r>
        <w:rPr>
          <w:rFonts w:ascii="Courier New" w:hAnsi="Courier New"/>
          <w:sz w:val="28"/>
        </w:rPr>
        <w:t>2002.</w:t>
      </w:r>
      <w:r>
        <w:rPr>
          <w:rFonts w:ascii="Courier New" w:hAnsi="Courier New"/>
          <w:spacing w:val="97"/>
          <w:sz w:val="28"/>
        </w:rPr>
        <w:t> </w:t>
      </w:r>
      <w:r>
        <w:rPr>
          <w:rFonts w:ascii="Courier New" w:hAnsi="Courier New"/>
          <w:sz w:val="28"/>
        </w:rPr>
        <w:t>I</w:t>
      </w:r>
      <w:r>
        <w:rPr>
          <w:rFonts w:ascii="Courier New" w:hAnsi="Courier New"/>
          <w:spacing w:val="-36"/>
          <w:sz w:val="28"/>
        </w:rPr>
        <w:t> </w:t>
      </w:r>
      <w:r>
        <w:rPr>
          <w:rFonts w:ascii="Courier New" w:hAnsi="Courier New"/>
          <w:sz w:val="28"/>
        </w:rPr>
        <w:t>have</w:t>
      </w:r>
      <w:r>
        <w:rPr>
          <w:rFonts w:ascii="Courier New" w:hAnsi="Courier New"/>
          <w:spacing w:val="-36"/>
          <w:sz w:val="28"/>
        </w:rPr>
        <w:t> </w:t>
      </w:r>
      <w:r>
        <w:rPr>
          <w:rFonts w:ascii="Courier New" w:hAnsi="Courier New"/>
          <w:sz w:val="28"/>
        </w:rPr>
        <w:t>seen</w:t>
      </w:r>
      <w:r>
        <w:rPr>
          <w:rFonts w:ascii="Courier New" w:hAnsi="Courier New"/>
          <w:spacing w:val="-36"/>
          <w:sz w:val="28"/>
        </w:rPr>
        <w:t> </w:t>
      </w:r>
      <w:r>
        <w:rPr>
          <w:rFonts w:ascii="Courier New" w:hAnsi="Courier New"/>
          <w:sz w:val="28"/>
        </w:rPr>
        <w:t>these stones regularly whenever I visited there. Stone</w:t>
      </w:r>
      <w:r>
        <w:rPr>
          <w:rFonts w:ascii="Courier New" w:hAnsi="Courier New"/>
          <w:spacing w:val="-41"/>
          <w:sz w:val="28"/>
        </w:rPr>
        <w:t> </w:t>
      </w:r>
      <w:r>
        <w:rPr>
          <w:rFonts w:ascii="Courier New" w:hAnsi="Courier New"/>
          <w:sz w:val="28"/>
        </w:rPr>
        <w:t>at</w:t>
      </w:r>
      <w:r>
        <w:rPr>
          <w:rFonts w:ascii="Courier New" w:hAnsi="Courier New"/>
          <w:spacing w:val="-40"/>
          <w:sz w:val="28"/>
        </w:rPr>
        <w:t> </w:t>
      </w:r>
      <w:r>
        <w:rPr>
          <w:rFonts w:ascii="Courier New" w:hAnsi="Courier New"/>
          <w:sz w:val="28"/>
        </w:rPr>
        <w:t>Lomash</w:t>
      </w:r>
      <w:r>
        <w:rPr>
          <w:rFonts w:ascii="Courier New" w:hAnsi="Courier New"/>
          <w:spacing w:val="-38"/>
          <w:sz w:val="28"/>
        </w:rPr>
        <w:t> </w:t>
      </w:r>
      <w:r>
        <w:rPr>
          <w:rFonts w:ascii="Courier New" w:hAnsi="Courier New"/>
          <w:sz w:val="28"/>
        </w:rPr>
        <w:t>Ashram</w:t>
      </w:r>
      <w:r>
        <w:rPr>
          <w:rFonts w:ascii="Courier New" w:hAnsi="Courier New"/>
          <w:spacing w:val="-40"/>
          <w:sz w:val="28"/>
        </w:rPr>
        <w:t> </w:t>
      </w:r>
      <w:r>
        <w:rPr>
          <w:rFonts w:ascii="Courier New" w:hAnsi="Courier New"/>
          <w:sz w:val="28"/>
        </w:rPr>
        <w:t>was</w:t>
      </w:r>
      <w:r>
        <w:rPr>
          <w:rFonts w:ascii="Courier New" w:hAnsi="Courier New"/>
          <w:spacing w:val="-40"/>
          <w:sz w:val="28"/>
        </w:rPr>
        <w:t> </w:t>
      </w:r>
      <w:r>
        <w:rPr>
          <w:rFonts w:ascii="Courier New" w:hAnsi="Courier New"/>
          <w:sz w:val="28"/>
        </w:rPr>
        <w:t>fixed</w:t>
      </w:r>
      <w:r>
        <w:rPr>
          <w:rFonts w:ascii="Courier New" w:hAnsi="Courier New"/>
          <w:spacing w:val="-42"/>
          <w:sz w:val="28"/>
        </w:rPr>
        <w:t> </w:t>
      </w:r>
      <w:r>
        <w:rPr>
          <w:rFonts w:ascii="Courier New" w:hAnsi="Courier New"/>
          <w:sz w:val="28"/>
        </w:rPr>
        <w:t>in</w:t>
      </w:r>
      <w:r>
        <w:rPr>
          <w:rFonts w:ascii="Courier New" w:hAnsi="Courier New"/>
          <w:spacing w:val="-41"/>
          <w:sz w:val="28"/>
        </w:rPr>
        <w:t> </w:t>
      </w:r>
      <w:r>
        <w:rPr>
          <w:rFonts w:ascii="Courier New" w:hAnsi="Courier New"/>
          <w:sz w:val="28"/>
        </w:rPr>
        <w:t>the</w:t>
      </w:r>
      <w:r>
        <w:rPr>
          <w:rFonts w:ascii="Courier New" w:hAnsi="Courier New"/>
          <w:spacing w:val="-41"/>
          <w:sz w:val="28"/>
        </w:rPr>
        <w:t> </w:t>
      </w:r>
      <w:r>
        <w:rPr>
          <w:rFonts w:ascii="Courier New" w:hAnsi="Courier New"/>
          <w:sz w:val="28"/>
        </w:rPr>
        <w:t>east of east north corner of the Mandir. This stone was in the eastern side on the way back from Janam Bhoomi. Stone at Pindarak, is</w:t>
      </w:r>
      <w:r>
        <w:rPr>
          <w:rFonts w:ascii="Courier New" w:hAnsi="Courier New"/>
          <w:spacing w:val="-42"/>
          <w:sz w:val="28"/>
        </w:rPr>
        <w:t> </w:t>
      </w:r>
      <w:r>
        <w:rPr>
          <w:rFonts w:ascii="Courier New" w:hAnsi="Courier New"/>
          <w:sz w:val="28"/>
        </w:rPr>
        <w:t>in</w:t>
      </w:r>
      <w:r>
        <w:rPr>
          <w:rFonts w:ascii="Courier New" w:hAnsi="Courier New"/>
          <w:spacing w:val="-41"/>
          <w:sz w:val="28"/>
        </w:rPr>
        <w:t> </w:t>
      </w:r>
      <w:r>
        <w:rPr>
          <w:rFonts w:ascii="Courier New" w:hAnsi="Courier New"/>
          <w:sz w:val="28"/>
        </w:rPr>
        <w:t>the</w:t>
      </w:r>
      <w:r>
        <w:rPr>
          <w:rFonts w:ascii="Courier New" w:hAnsi="Courier New"/>
          <w:spacing w:val="-41"/>
          <w:sz w:val="28"/>
        </w:rPr>
        <w:t> </w:t>
      </w:r>
      <w:r>
        <w:rPr>
          <w:rFonts w:ascii="Courier New" w:hAnsi="Courier New"/>
          <w:sz w:val="28"/>
        </w:rPr>
        <w:t>northern</w:t>
      </w:r>
      <w:r>
        <w:rPr>
          <w:rFonts w:ascii="Courier New" w:hAnsi="Courier New"/>
          <w:spacing w:val="-41"/>
          <w:sz w:val="28"/>
        </w:rPr>
        <w:t> </w:t>
      </w:r>
      <w:r>
        <w:rPr>
          <w:rFonts w:ascii="Courier New" w:hAnsi="Courier New"/>
          <w:sz w:val="28"/>
        </w:rPr>
        <w:t>side</w:t>
      </w:r>
      <w:r>
        <w:rPr>
          <w:rFonts w:ascii="Courier New" w:hAnsi="Courier New"/>
          <w:spacing w:val="-41"/>
          <w:sz w:val="28"/>
        </w:rPr>
        <w:t> </w:t>
      </w:r>
      <w:r>
        <w:rPr>
          <w:rFonts w:ascii="Courier New" w:hAnsi="Courier New"/>
          <w:sz w:val="28"/>
        </w:rPr>
        <w:t>of</w:t>
      </w:r>
      <w:r>
        <w:rPr>
          <w:rFonts w:ascii="Courier New" w:hAnsi="Courier New"/>
          <w:spacing w:val="-42"/>
          <w:sz w:val="28"/>
        </w:rPr>
        <w:t> </w:t>
      </w:r>
      <w:r>
        <w:rPr>
          <w:rFonts w:ascii="Courier New" w:hAnsi="Courier New"/>
          <w:sz w:val="28"/>
        </w:rPr>
        <w:t>the</w:t>
      </w:r>
      <w:r>
        <w:rPr>
          <w:rFonts w:ascii="Courier New" w:hAnsi="Courier New"/>
          <w:spacing w:val="-38"/>
          <w:sz w:val="28"/>
        </w:rPr>
        <w:t> </w:t>
      </w:r>
      <w:r>
        <w:rPr>
          <w:rFonts w:ascii="Courier New" w:hAnsi="Courier New"/>
          <w:sz w:val="28"/>
        </w:rPr>
        <w:t>Janam</w:t>
      </w:r>
      <w:r>
        <w:rPr>
          <w:rFonts w:ascii="Courier New" w:hAnsi="Courier New"/>
          <w:spacing w:val="-41"/>
          <w:sz w:val="28"/>
        </w:rPr>
        <w:t> </w:t>
      </w:r>
      <w:r>
        <w:rPr>
          <w:rFonts w:ascii="Courier New" w:hAnsi="Courier New"/>
          <w:sz w:val="28"/>
        </w:rPr>
        <w:t>Bhoomi. There is a Sharma Ka Mandir located near this stone. Stone at Vighnesh was adjacent to Pindarak. This stone was at a height of four</w:t>
      </w:r>
      <w:r>
        <w:rPr>
          <w:rFonts w:ascii="Courier New" w:hAnsi="Courier New"/>
          <w:spacing w:val="-20"/>
          <w:sz w:val="28"/>
        </w:rPr>
        <w:t> </w:t>
      </w:r>
      <w:r>
        <w:rPr>
          <w:rFonts w:ascii="Courier New" w:hAnsi="Courier New"/>
          <w:sz w:val="28"/>
        </w:rPr>
        <w:t>to</w:t>
      </w:r>
      <w:r>
        <w:rPr>
          <w:rFonts w:ascii="Courier New" w:hAnsi="Courier New"/>
          <w:spacing w:val="-19"/>
          <w:sz w:val="28"/>
        </w:rPr>
        <w:t> </w:t>
      </w:r>
      <w:r>
        <w:rPr>
          <w:rFonts w:ascii="Courier New" w:hAnsi="Courier New"/>
          <w:sz w:val="28"/>
        </w:rPr>
        <w:t>five</w:t>
      </w:r>
      <w:r>
        <w:rPr>
          <w:rFonts w:ascii="Courier New" w:hAnsi="Courier New"/>
          <w:spacing w:val="-20"/>
          <w:sz w:val="28"/>
        </w:rPr>
        <w:t> </w:t>
      </w:r>
      <w:r>
        <w:rPr>
          <w:rFonts w:ascii="Courier New" w:hAnsi="Courier New"/>
          <w:sz w:val="28"/>
        </w:rPr>
        <w:t>feet</w:t>
      </w:r>
      <w:r>
        <w:rPr>
          <w:rFonts w:ascii="Courier New" w:hAnsi="Courier New"/>
          <w:spacing w:val="-19"/>
          <w:sz w:val="28"/>
        </w:rPr>
        <w:t> </w:t>
      </w:r>
      <w:r>
        <w:rPr>
          <w:rFonts w:ascii="Courier New" w:hAnsi="Courier New"/>
          <w:sz w:val="28"/>
        </w:rPr>
        <w:t>from</w:t>
      </w:r>
      <w:r>
        <w:rPr>
          <w:rFonts w:ascii="Courier New" w:hAnsi="Courier New"/>
          <w:spacing w:val="-19"/>
          <w:sz w:val="28"/>
        </w:rPr>
        <w:t> </w:t>
      </w:r>
      <w:r>
        <w:rPr>
          <w:rFonts w:ascii="Courier New" w:hAnsi="Courier New"/>
          <w:sz w:val="28"/>
        </w:rPr>
        <w:t>the</w:t>
      </w:r>
      <w:r>
        <w:rPr>
          <w:rFonts w:ascii="Courier New" w:hAnsi="Courier New"/>
          <w:spacing w:val="-20"/>
          <w:sz w:val="28"/>
        </w:rPr>
        <w:t> </w:t>
      </w:r>
      <w:r>
        <w:rPr>
          <w:rFonts w:ascii="Courier New" w:hAnsi="Courier New"/>
          <w:sz w:val="28"/>
        </w:rPr>
        <w:t>ground</w:t>
      </w:r>
      <w:r>
        <w:rPr>
          <w:rFonts w:ascii="Courier New" w:hAnsi="Courier New"/>
          <w:spacing w:val="-19"/>
          <w:sz w:val="28"/>
        </w:rPr>
        <w:t> </w:t>
      </w:r>
      <w:r>
        <w:rPr>
          <w:rFonts w:ascii="Courier New" w:hAnsi="Courier New"/>
          <w:sz w:val="28"/>
        </w:rPr>
        <w:t>level</w:t>
      </w:r>
      <w:r>
        <w:rPr>
          <w:rFonts w:ascii="Courier New" w:hAnsi="Courier New"/>
          <w:spacing w:val="-19"/>
          <w:sz w:val="28"/>
        </w:rPr>
        <w:t> </w:t>
      </w:r>
      <w:r>
        <w:rPr>
          <w:rFonts w:ascii="Courier New" w:hAnsi="Courier New"/>
          <w:sz w:val="28"/>
        </w:rPr>
        <w:t>and buried in to ground up to two to two and half feet in depth. These stones were two to four feet in thickness. I do not remember as which number written on which stones. Stone at Vighneswara was in the western side of Janam Bhoomi and at some distance from Vashishta Kund. I have visited the Vashistha Kund. It is, perhaps at the south west corner of Janam Bhoomi. It</w:t>
      </w:r>
      <w:r>
        <w:rPr>
          <w:rFonts w:ascii="Courier New" w:hAnsi="Courier New"/>
          <w:spacing w:val="-16"/>
          <w:sz w:val="28"/>
        </w:rPr>
        <w:t> </w:t>
      </w:r>
      <w:r>
        <w:rPr>
          <w:rFonts w:ascii="Courier New" w:hAnsi="Courier New"/>
          <w:sz w:val="28"/>
        </w:rPr>
        <w:t>is</w:t>
      </w:r>
      <w:r>
        <w:rPr>
          <w:rFonts w:ascii="Courier New" w:hAnsi="Courier New"/>
          <w:spacing w:val="-15"/>
          <w:sz w:val="28"/>
        </w:rPr>
        <w:t> </w:t>
      </w:r>
      <w:r>
        <w:rPr>
          <w:rFonts w:ascii="Courier New" w:hAnsi="Courier New"/>
          <w:sz w:val="28"/>
        </w:rPr>
        <w:t>at</w:t>
      </w:r>
      <w:r>
        <w:rPr>
          <w:rFonts w:ascii="Courier New" w:hAnsi="Courier New"/>
          <w:spacing w:val="-15"/>
          <w:sz w:val="28"/>
        </w:rPr>
        <w:t> </w:t>
      </w:r>
      <w:r>
        <w:rPr>
          <w:rFonts w:ascii="Courier New" w:hAnsi="Courier New"/>
          <w:sz w:val="28"/>
        </w:rPr>
        <w:t>a</w:t>
      </w:r>
      <w:r>
        <w:rPr>
          <w:rFonts w:ascii="Courier New" w:hAnsi="Courier New"/>
          <w:spacing w:val="-14"/>
          <w:sz w:val="28"/>
        </w:rPr>
        <w:t> </w:t>
      </w:r>
      <w:r>
        <w:rPr>
          <w:rFonts w:ascii="Courier New" w:hAnsi="Courier New"/>
          <w:sz w:val="28"/>
        </w:rPr>
        <w:t>distance</w:t>
      </w:r>
      <w:r>
        <w:rPr>
          <w:rFonts w:ascii="Courier New" w:hAnsi="Courier New"/>
          <w:spacing w:val="-15"/>
          <w:sz w:val="28"/>
        </w:rPr>
        <w:t> </w:t>
      </w:r>
      <w:r>
        <w:rPr>
          <w:rFonts w:ascii="Courier New" w:hAnsi="Courier New"/>
          <w:sz w:val="28"/>
        </w:rPr>
        <w:t>of</w:t>
      </w:r>
      <w:r>
        <w:rPr>
          <w:rFonts w:ascii="Courier New" w:hAnsi="Courier New"/>
          <w:spacing w:val="-15"/>
          <w:sz w:val="28"/>
        </w:rPr>
        <w:t> </w:t>
      </w:r>
      <w:r>
        <w:rPr>
          <w:rFonts w:ascii="Courier New" w:hAnsi="Courier New"/>
          <w:sz w:val="28"/>
        </w:rPr>
        <w:t>about</w:t>
      </w:r>
      <w:r>
        <w:rPr>
          <w:rFonts w:ascii="Courier New" w:hAnsi="Courier New"/>
          <w:spacing w:val="-14"/>
          <w:sz w:val="28"/>
        </w:rPr>
        <w:t> </w:t>
      </w:r>
      <w:r>
        <w:rPr>
          <w:rFonts w:ascii="Courier New" w:hAnsi="Courier New"/>
          <w:sz w:val="28"/>
        </w:rPr>
        <w:t>two</w:t>
      </w:r>
      <w:r>
        <w:rPr>
          <w:rFonts w:ascii="Courier New" w:hAnsi="Courier New"/>
          <w:spacing w:val="-15"/>
          <w:sz w:val="28"/>
        </w:rPr>
        <w:t> </w:t>
      </w:r>
      <w:r>
        <w:rPr>
          <w:rFonts w:ascii="Courier New" w:hAnsi="Courier New"/>
          <w:sz w:val="28"/>
        </w:rPr>
        <w:t>to</w:t>
      </w:r>
      <w:r>
        <w:rPr>
          <w:rFonts w:ascii="Courier New" w:hAnsi="Courier New"/>
          <w:spacing w:val="-15"/>
          <w:sz w:val="28"/>
        </w:rPr>
        <w:t> </w:t>
      </w:r>
      <w:r>
        <w:rPr>
          <w:rFonts w:ascii="Courier New" w:hAnsi="Courier New"/>
          <w:sz w:val="28"/>
        </w:rPr>
        <w:t>two</w:t>
      </w:r>
      <w:r>
        <w:rPr>
          <w:rFonts w:ascii="Courier New" w:hAnsi="Courier New"/>
          <w:spacing w:val="-14"/>
          <w:sz w:val="28"/>
        </w:rPr>
        <w:t> </w:t>
      </w:r>
      <w:r>
        <w:rPr>
          <w:rFonts w:ascii="Courier New" w:hAnsi="Courier New"/>
          <w:sz w:val="28"/>
        </w:rPr>
        <w:t>and half hundred yards. I have seen this stone during my first visit and also during my last visit. The material engraved thereon was</w:t>
      </w:r>
      <w:r>
        <w:rPr>
          <w:rFonts w:ascii="Courier New" w:hAnsi="Courier New"/>
          <w:spacing w:val="-22"/>
          <w:sz w:val="28"/>
        </w:rPr>
        <w:t> </w:t>
      </w:r>
      <w:r>
        <w:rPr>
          <w:rFonts w:ascii="Courier New" w:hAnsi="Courier New"/>
          <w:sz w:val="28"/>
        </w:rPr>
        <w:t>in</w:t>
      </w:r>
      <w:r>
        <w:rPr>
          <w:rFonts w:ascii="Courier New" w:hAnsi="Courier New"/>
          <w:spacing w:val="-22"/>
          <w:sz w:val="28"/>
        </w:rPr>
        <w:t> </w:t>
      </w:r>
      <w:r>
        <w:rPr>
          <w:rFonts w:ascii="Courier New" w:hAnsi="Courier New"/>
          <w:sz w:val="28"/>
        </w:rPr>
        <w:t>both</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languages</w:t>
      </w:r>
      <w:r>
        <w:rPr>
          <w:rFonts w:ascii="Courier New" w:hAnsi="Courier New"/>
          <w:spacing w:val="-21"/>
          <w:sz w:val="28"/>
        </w:rPr>
        <w:t> </w:t>
      </w:r>
      <w:r>
        <w:rPr>
          <w:rFonts w:ascii="Courier New" w:hAnsi="Courier New"/>
          <w:sz w:val="28"/>
        </w:rPr>
        <w:t>i.e.,</w:t>
      </w:r>
      <w:r>
        <w:rPr>
          <w:rFonts w:ascii="Courier New" w:hAnsi="Courier New"/>
          <w:spacing w:val="-22"/>
          <w:sz w:val="28"/>
        </w:rPr>
        <w:t> </w:t>
      </w:r>
      <w:r>
        <w:rPr>
          <w:rFonts w:ascii="Courier New" w:hAnsi="Courier New"/>
          <w:sz w:val="28"/>
        </w:rPr>
        <w:t>English</w:t>
      </w:r>
      <w:r>
        <w:rPr>
          <w:rFonts w:ascii="Courier New" w:hAnsi="Courier New"/>
          <w:spacing w:val="-22"/>
          <w:sz w:val="28"/>
        </w:rPr>
        <w:t> </w:t>
      </w:r>
      <w:r>
        <w:rPr>
          <w:rFonts w:ascii="Courier New" w:hAnsi="Courier New"/>
          <w:sz w:val="28"/>
        </w:rPr>
        <w:t>and Hindi.”</w:t>
      </w:r>
    </w:p>
    <w:p>
      <w:pPr>
        <w:pStyle w:val="BodyText"/>
        <w:rPr>
          <w:rFonts w:ascii="Courier New"/>
          <w:sz w:val="32"/>
        </w:rPr>
      </w:pPr>
    </w:p>
    <w:p>
      <w:pPr>
        <w:pStyle w:val="ListParagraph"/>
        <w:numPr>
          <w:ilvl w:val="0"/>
          <w:numId w:val="254"/>
        </w:numPr>
        <w:tabs>
          <w:tab w:pos="806" w:val="left" w:leader="none"/>
        </w:tabs>
        <w:spacing w:line="480" w:lineRule="auto" w:before="269" w:after="0"/>
        <w:ind w:left="160" w:right="159" w:firstLine="0"/>
        <w:jc w:val="both"/>
        <w:rPr>
          <w:rFonts w:ascii="Courier New"/>
          <w:sz w:val="28"/>
        </w:rPr>
      </w:pPr>
      <w:r>
        <w:rPr>
          <w:rFonts w:ascii="Courier New"/>
          <w:sz w:val="28"/>
        </w:rPr>
        <w:t>Witnesses,</w:t>
      </w:r>
      <w:r>
        <w:rPr>
          <w:rFonts w:ascii="Courier New"/>
          <w:spacing w:val="-31"/>
          <w:sz w:val="28"/>
        </w:rPr>
        <w:t> </w:t>
      </w:r>
      <w:r>
        <w:rPr>
          <w:rFonts w:ascii="Courier New"/>
          <w:sz w:val="28"/>
        </w:rPr>
        <w:t>thus,</w:t>
      </w:r>
      <w:r>
        <w:rPr>
          <w:rFonts w:ascii="Courier New"/>
          <w:spacing w:val="-30"/>
          <w:sz w:val="28"/>
        </w:rPr>
        <w:t> </w:t>
      </w:r>
      <w:r>
        <w:rPr>
          <w:rFonts w:ascii="Courier New"/>
          <w:sz w:val="28"/>
        </w:rPr>
        <w:t>clearly</w:t>
      </w:r>
      <w:r>
        <w:rPr>
          <w:rFonts w:ascii="Courier New"/>
          <w:spacing w:val="-31"/>
          <w:sz w:val="28"/>
        </w:rPr>
        <w:t> </w:t>
      </w:r>
      <w:r>
        <w:rPr>
          <w:rFonts w:ascii="Courier New"/>
          <w:sz w:val="28"/>
        </w:rPr>
        <w:t>proves</w:t>
      </w:r>
      <w:r>
        <w:rPr>
          <w:rFonts w:ascii="Courier New"/>
          <w:spacing w:val="-30"/>
          <w:sz w:val="28"/>
        </w:rPr>
        <w:t> </w:t>
      </w:r>
      <w:r>
        <w:rPr>
          <w:rFonts w:ascii="Courier New"/>
          <w:sz w:val="28"/>
        </w:rPr>
        <w:t>the</w:t>
      </w:r>
      <w:r>
        <w:rPr>
          <w:rFonts w:ascii="Courier New"/>
          <w:spacing w:val="-30"/>
          <w:sz w:val="28"/>
        </w:rPr>
        <w:t> </w:t>
      </w:r>
      <w:r>
        <w:rPr>
          <w:rFonts w:ascii="Courier New"/>
          <w:sz w:val="28"/>
        </w:rPr>
        <w:t>location</w:t>
      </w:r>
      <w:r>
        <w:rPr>
          <w:rFonts w:ascii="Courier New"/>
          <w:spacing w:val="-31"/>
          <w:sz w:val="28"/>
        </w:rPr>
        <w:t> </w:t>
      </w:r>
      <w:r>
        <w:rPr>
          <w:rFonts w:ascii="Courier New"/>
          <w:sz w:val="28"/>
        </w:rPr>
        <w:t>of</w:t>
      </w:r>
      <w:r>
        <w:rPr>
          <w:rFonts w:ascii="Courier New"/>
          <w:spacing w:val="-30"/>
          <w:sz w:val="28"/>
        </w:rPr>
        <w:t> </w:t>
      </w:r>
      <w:r>
        <w:rPr>
          <w:rFonts w:ascii="Courier New"/>
          <w:sz w:val="28"/>
        </w:rPr>
        <w:t>Ram Janma Bhumi as per legends given in Ayodhya Mahatmya of Skanda Purana. Another witness DW3/7, Mahant Ramji Das in his cross-examination has relied on Ayodhya Mahatmya, which mentioned about the</w:t>
      </w:r>
      <w:r>
        <w:rPr>
          <w:rFonts w:ascii="Courier New"/>
          <w:spacing w:val="100"/>
          <w:sz w:val="28"/>
        </w:rPr>
        <w:t> </w:t>
      </w:r>
      <w:r>
        <w:rPr>
          <w:rFonts w:ascii="Courier New"/>
          <w:sz w:val="28"/>
        </w:rPr>
        <w:t>birthplace. He</w:t>
      </w:r>
    </w:p>
    <w:p>
      <w:pPr>
        <w:spacing w:after="0" w:line="480" w:lineRule="auto"/>
        <w:jc w:val="both"/>
        <w:rPr>
          <w:rFonts w:ascii="Courier New"/>
          <w:sz w:val="28"/>
        </w:rPr>
        <w:sectPr>
          <w:headerReference w:type="default" r:id="rId292"/>
          <w:footerReference w:type="default" r:id="rId293"/>
          <w:pgSz w:w="11910" w:h="16840"/>
          <w:pgMar w:header="0" w:footer="1063" w:top="1340" w:bottom="1260" w:left="1280" w:right="1280"/>
          <w:pgNumType w:start="42"/>
        </w:sectPr>
      </w:pPr>
    </w:p>
    <w:p>
      <w:pPr>
        <w:spacing w:line="480" w:lineRule="auto" w:before="86"/>
        <w:ind w:left="160" w:right="158" w:firstLine="0"/>
        <w:jc w:val="both"/>
        <w:rPr>
          <w:rFonts w:ascii="Courier New"/>
          <w:sz w:val="28"/>
        </w:rPr>
      </w:pPr>
      <w:r>
        <w:rPr>
          <w:rFonts w:ascii="Courier New"/>
          <w:sz w:val="28"/>
        </w:rPr>
        <w:t>testifies the situation of Ram Janma Asthan as per Ayodhya Mahatmya. DW3/14 Jagat Guru Ramanandacharya Swami Haryacharya. In his examination-in-chief, he placed reliance on Ayodhya Mahatmya of Skanda Purana. In</w:t>
      </w:r>
      <w:r>
        <w:rPr>
          <w:rFonts w:ascii="Courier New"/>
          <w:spacing w:val="-35"/>
          <w:sz w:val="28"/>
        </w:rPr>
        <w:t> </w:t>
      </w:r>
      <w:r>
        <w:rPr>
          <w:rFonts w:ascii="Courier New"/>
          <w:sz w:val="28"/>
        </w:rPr>
        <w:t>his</w:t>
      </w:r>
      <w:r>
        <w:rPr>
          <w:rFonts w:ascii="Courier New"/>
          <w:spacing w:val="-34"/>
          <w:sz w:val="28"/>
        </w:rPr>
        <w:t> </w:t>
      </w:r>
      <w:r>
        <w:rPr>
          <w:rFonts w:ascii="Courier New"/>
          <w:sz w:val="28"/>
        </w:rPr>
        <w:t>examination-in-chief,</w:t>
      </w:r>
      <w:r>
        <w:rPr>
          <w:rFonts w:ascii="Courier New"/>
          <w:spacing w:val="-34"/>
          <w:sz w:val="28"/>
        </w:rPr>
        <w:t> </w:t>
      </w:r>
      <w:r>
        <w:rPr>
          <w:rFonts w:ascii="Courier New"/>
          <w:sz w:val="28"/>
        </w:rPr>
        <w:t>he</w:t>
      </w:r>
      <w:r>
        <w:rPr>
          <w:rFonts w:ascii="Courier New"/>
          <w:spacing w:val="-35"/>
          <w:sz w:val="28"/>
        </w:rPr>
        <w:t> </w:t>
      </w:r>
      <w:r>
        <w:rPr>
          <w:rFonts w:ascii="Courier New"/>
          <w:sz w:val="28"/>
        </w:rPr>
        <w:t>states</w:t>
      </w:r>
      <w:r>
        <w:rPr>
          <w:rFonts w:ascii="Courier New"/>
          <w:spacing w:val="-34"/>
          <w:sz w:val="28"/>
        </w:rPr>
        <w:t> </w:t>
      </w:r>
      <w:r>
        <w:rPr>
          <w:rFonts w:ascii="Courier New"/>
          <w:sz w:val="28"/>
        </w:rPr>
        <w:t>that</w:t>
      </w:r>
      <w:r>
        <w:rPr>
          <w:rFonts w:ascii="Courier New"/>
          <w:spacing w:val="-32"/>
          <w:sz w:val="28"/>
        </w:rPr>
        <w:t> </w:t>
      </w:r>
      <w:r>
        <w:rPr>
          <w:rFonts w:ascii="Courier New"/>
          <w:sz w:val="28"/>
        </w:rPr>
        <w:t>Lomas</w:t>
      </w:r>
      <w:r>
        <w:rPr>
          <w:rFonts w:ascii="Courier New"/>
          <w:spacing w:val="-34"/>
          <w:sz w:val="28"/>
        </w:rPr>
        <w:t> </w:t>
      </w:r>
      <w:r>
        <w:rPr>
          <w:rFonts w:ascii="Courier New"/>
          <w:sz w:val="28"/>
        </w:rPr>
        <w:t>Rishi Ashram is in the east of the present Shri Ram Janma Bhumi. He further states that at place of Lomas Rishi Ashram, now, there is a Ramgulella Mandir and a stone in the name of Shri Lomasji. In paragraph 31 of the examination-in-chief, he</w:t>
      </w:r>
      <w:r>
        <w:rPr>
          <w:rFonts w:ascii="Courier New"/>
          <w:spacing w:val="-4"/>
          <w:sz w:val="28"/>
        </w:rPr>
        <w:t> </w:t>
      </w:r>
      <w:r>
        <w:rPr>
          <w:rFonts w:ascii="Courier New"/>
          <w:sz w:val="28"/>
        </w:rPr>
        <w:t>states:-</w:t>
      </w:r>
    </w:p>
    <w:p>
      <w:pPr>
        <w:spacing w:line="240" w:lineRule="auto" w:before="0"/>
        <w:ind w:left="1011" w:right="1243" w:firstLine="0"/>
        <w:jc w:val="both"/>
        <w:rPr>
          <w:rFonts w:ascii="Courier New" w:hAnsi="Courier New"/>
          <w:sz w:val="28"/>
        </w:rPr>
      </w:pPr>
      <w:r>
        <w:rPr>
          <w:rFonts w:ascii="Courier New" w:hAnsi="Courier New"/>
          <w:sz w:val="28"/>
        </w:rPr>
        <w:t>“</w:t>
      </w:r>
      <w:r>
        <w:rPr>
          <w:rFonts w:ascii="Courier New" w:hAnsi="Courier New"/>
          <w:b/>
          <w:sz w:val="28"/>
        </w:rPr>
        <w:t>31. </w:t>
      </w:r>
      <w:r>
        <w:rPr>
          <w:rFonts w:ascii="Courier New" w:hAnsi="Courier New"/>
          <w:sz w:val="28"/>
        </w:rPr>
        <w:t>Lomas Rishi Ashram is in the east of the present Shri Ramjanm Bhoomi Mandir, about which a case is subjudice. Where there is a Ramgulella Mandir, there is a stone in the name of Shri Lomasji. Bighneshwar Bhagwan is in the west side of Ram</w:t>
      </w:r>
      <w:r>
        <w:rPr>
          <w:rFonts w:ascii="Courier New" w:hAnsi="Courier New"/>
          <w:spacing w:val="-42"/>
          <w:sz w:val="28"/>
        </w:rPr>
        <w:t> </w:t>
      </w:r>
      <w:r>
        <w:rPr>
          <w:rFonts w:ascii="Courier New" w:hAnsi="Courier New"/>
          <w:sz w:val="28"/>
        </w:rPr>
        <w:t>Janm</w:t>
      </w:r>
      <w:r>
        <w:rPr>
          <w:rFonts w:ascii="Courier New" w:hAnsi="Courier New"/>
          <w:spacing w:val="-41"/>
          <w:sz w:val="28"/>
        </w:rPr>
        <w:t> </w:t>
      </w:r>
      <w:r>
        <w:rPr>
          <w:rFonts w:ascii="Courier New" w:hAnsi="Courier New"/>
          <w:sz w:val="28"/>
        </w:rPr>
        <w:t>Bhoomi</w:t>
      </w:r>
      <w:r>
        <w:rPr>
          <w:rFonts w:ascii="Courier New" w:hAnsi="Courier New"/>
          <w:spacing w:val="-39"/>
          <w:sz w:val="28"/>
        </w:rPr>
        <w:t> </w:t>
      </w:r>
      <w:r>
        <w:rPr>
          <w:rFonts w:ascii="Courier New" w:hAnsi="Courier New"/>
          <w:sz w:val="28"/>
        </w:rPr>
        <w:t>Mandir,</w:t>
      </w:r>
      <w:r>
        <w:rPr>
          <w:rFonts w:ascii="Courier New" w:hAnsi="Courier New"/>
          <w:spacing w:val="-40"/>
          <w:sz w:val="28"/>
        </w:rPr>
        <w:t> </w:t>
      </w:r>
      <w:r>
        <w:rPr>
          <w:rFonts w:ascii="Courier New" w:hAnsi="Courier New"/>
          <w:sz w:val="28"/>
        </w:rPr>
        <w:t>which</w:t>
      </w:r>
      <w:r>
        <w:rPr>
          <w:rFonts w:ascii="Courier New" w:hAnsi="Courier New"/>
          <w:spacing w:val="-39"/>
          <w:sz w:val="28"/>
        </w:rPr>
        <w:t> </w:t>
      </w:r>
      <w:r>
        <w:rPr>
          <w:rFonts w:ascii="Courier New" w:hAnsi="Courier New"/>
          <w:sz w:val="28"/>
        </w:rPr>
        <w:t>is</w:t>
      </w:r>
      <w:r>
        <w:rPr>
          <w:rFonts w:ascii="Courier New" w:hAnsi="Courier New"/>
          <w:spacing w:val="-41"/>
          <w:sz w:val="28"/>
        </w:rPr>
        <w:t> </w:t>
      </w:r>
      <w:r>
        <w:rPr>
          <w:rFonts w:ascii="Courier New" w:hAnsi="Courier New"/>
          <w:sz w:val="28"/>
        </w:rPr>
        <w:t>in</w:t>
      </w:r>
      <w:r>
        <w:rPr>
          <w:rFonts w:ascii="Courier New" w:hAnsi="Courier New"/>
          <w:spacing w:val="-41"/>
          <w:sz w:val="28"/>
        </w:rPr>
        <w:t> </w:t>
      </w:r>
      <w:r>
        <w:rPr>
          <w:rFonts w:ascii="Courier New" w:hAnsi="Courier New"/>
          <w:sz w:val="28"/>
        </w:rPr>
        <w:t>the</w:t>
      </w:r>
      <w:r>
        <w:rPr>
          <w:rFonts w:ascii="Courier New" w:hAnsi="Courier New"/>
          <w:spacing w:val="-42"/>
          <w:sz w:val="28"/>
        </w:rPr>
        <w:t> </w:t>
      </w:r>
      <w:r>
        <w:rPr>
          <w:rFonts w:ascii="Courier New" w:hAnsi="Courier New"/>
          <w:sz w:val="28"/>
        </w:rPr>
        <w:t>west side of Vasisth Bhawan Mandir. The proof is enclosed at list ‘A’ of an</w:t>
      </w:r>
      <w:r>
        <w:rPr>
          <w:rFonts w:ascii="Courier New" w:hAnsi="Courier New"/>
          <w:spacing w:val="-15"/>
          <w:sz w:val="28"/>
        </w:rPr>
        <w:t> </w:t>
      </w:r>
      <w:r>
        <w:rPr>
          <w:rFonts w:ascii="Courier New" w:hAnsi="Courier New"/>
          <w:sz w:val="28"/>
        </w:rPr>
        <w:t>affidavit.”</w:t>
      </w:r>
    </w:p>
    <w:p>
      <w:pPr>
        <w:pStyle w:val="BodyText"/>
        <w:rPr>
          <w:rFonts w:ascii="Courier New"/>
          <w:sz w:val="32"/>
        </w:rPr>
      </w:pPr>
    </w:p>
    <w:p>
      <w:pPr>
        <w:pStyle w:val="ListParagraph"/>
        <w:numPr>
          <w:ilvl w:val="0"/>
          <w:numId w:val="254"/>
        </w:numPr>
        <w:tabs>
          <w:tab w:pos="847" w:val="left" w:leader="none"/>
        </w:tabs>
        <w:spacing w:line="480" w:lineRule="auto" w:before="272" w:after="0"/>
        <w:ind w:left="160" w:right="156" w:firstLine="0"/>
        <w:jc w:val="both"/>
        <w:rPr>
          <w:rFonts w:ascii="Courier New"/>
          <w:sz w:val="28"/>
        </w:rPr>
      </w:pPr>
      <w:r>
        <w:rPr>
          <w:rFonts w:ascii="Courier New"/>
          <w:sz w:val="28"/>
        </w:rPr>
        <w:t>It is further relevant to notice that witness who appeared on behalf of the plaintiff of Suit No.4 were also cross-examined in reference to Ayodhya Mahatmya of Skanda Purana. PW13, Suresh Chandra Mishra, appeared on behalf of plaintiff of Suit No.4 is a historian.</w:t>
      </w:r>
      <w:r>
        <w:rPr>
          <w:rFonts w:ascii="Courier New"/>
          <w:spacing w:val="-40"/>
          <w:sz w:val="28"/>
        </w:rPr>
        <w:t> </w:t>
      </w:r>
      <w:r>
        <w:rPr>
          <w:rFonts w:ascii="Courier New"/>
          <w:sz w:val="28"/>
        </w:rPr>
        <w:t>PW15,</w:t>
      </w:r>
      <w:r>
        <w:rPr>
          <w:rFonts w:ascii="Courier New"/>
          <w:spacing w:val="-40"/>
          <w:sz w:val="28"/>
        </w:rPr>
        <w:t> </w:t>
      </w:r>
      <w:r>
        <w:rPr>
          <w:rFonts w:ascii="Courier New"/>
          <w:sz w:val="28"/>
        </w:rPr>
        <w:t>Sushil</w:t>
      </w:r>
      <w:r>
        <w:rPr>
          <w:rFonts w:ascii="Courier New"/>
          <w:spacing w:val="-40"/>
          <w:sz w:val="28"/>
        </w:rPr>
        <w:t> </w:t>
      </w:r>
      <w:r>
        <w:rPr>
          <w:rFonts w:ascii="Courier New"/>
          <w:sz w:val="28"/>
        </w:rPr>
        <w:t>Srivastav</w:t>
      </w:r>
      <w:r>
        <w:rPr>
          <w:rFonts w:ascii="Courier New"/>
          <w:spacing w:val="-39"/>
          <w:sz w:val="28"/>
        </w:rPr>
        <w:t> </w:t>
      </w:r>
      <w:r>
        <w:rPr>
          <w:rFonts w:ascii="Courier New"/>
          <w:sz w:val="28"/>
        </w:rPr>
        <w:t>appeared</w:t>
      </w:r>
      <w:r>
        <w:rPr>
          <w:rFonts w:ascii="Courier New"/>
          <w:spacing w:val="-40"/>
          <w:sz w:val="28"/>
        </w:rPr>
        <w:t> </w:t>
      </w:r>
      <w:r>
        <w:rPr>
          <w:rFonts w:ascii="Courier New"/>
          <w:sz w:val="28"/>
        </w:rPr>
        <w:t>as</w:t>
      </w:r>
      <w:r>
        <w:rPr>
          <w:rFonts w:ascii="Courier New"/>
          <w:spacing w:val="-40"/>
          <w:sz w:val="28"/>
        </w:rPr>
        <w:t> </w:t>
      </w:r>
      <w:r>
        <w:rPr>
          <w:rFonts w:ascii="Courier New"/>
          <w:sz w:val="28"/>
        </w:rPr>
        <w:t>historian</w:t>
      </w:r>
    </w:p>
    <w:p>
      <w:pPr>
        <w:spacing w:after="0" w:line="480" w:lineRule="auto"/>
        <w:jc w:val="both"/>
        <w:rPr>
          <w:rFonts w:ascii="Courier New"/>
          <w:sz w:val="28"/>
        </w:rPr>
        <w:sectPr>
          <w:headerReference w:type="default" r:id="rId294"/>
          <w:footerReference w:type="default" r:id="rId295"/>
          <w:pgSz w:w="11910" w:h="16840"/>
          <w:pgMar w:header="0" w:footer="1063" w:top="1340" w:bottom="1260" w:left="1280" w:right="1280"/>
          <w:pgNumType w:start="43"/>
        </w:sectPr>
      </w:pPr>
    </w:p>
    <w:p>
      <w:pPr>
        <w:pStyle w:val="BodyText"/>
        <w:rPr>
          <w:rFonts w:ascii="Courier New"/>
          <w:sz w:val="19"/>
        </w:rPr>
      </w:pPr>
    </w:p>
    <w:p>
      <w:pPr>
        <w:spacing w:before="101"/>
        <w:ind w:left="160" w:right="0" w:firstLine="0"/>
        <w:jc w:val="left"/>
        <w:rPr>
          <w:rFonts w:ascii="Courier New"/>
          <w:sz w:val="28"/>
        </w:rPr>
      </w:pPr>
      <w:r>
        <w:rPr>
          <w:rFonts w:ascii="Courier New"/>
          <w:sz w:val="28"/>
        </w:rPr>
        <w:t>his cross-examination with regard to Ayodhya</w:t>
      </w:r>
      <w:r>
        <w:rPr>
          <w:rFonts w:ascii="Courier New"/>
          <w:spacing w:val="-65"/>
          <w:sz w:val="28"/>
        </w:rPr>
        <w:t> </w:t>
      </w:r>
      <w:r>
        <w:rPr>
          <w:rFonts w:ascii="Courier New"/>
          <w:sz w:val="28"/>
        </w:rPr>
        <w:t>Mahatmya,</w:t>
      </w:r>
    </w:p>
    <w:p>
      <w:pPr>
        <w:pStyle w:val="BodyText"/>
        <w:rPr>
          <w:rFonts w:ascii="Courier New"/>
          <w:sz w:val="28"/>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2"/>
        <w:gridCol w:w="527"/>
        <w:gridCol w:w="636"/>
      </w:tblGrid>
      <w:tr>
        <w:trPr>
          <w:trHeight w:val="475" w:hRule="atLeast"/>
        </w:trPr>
        <w:tc>
          <w:tcPr>
            <w:tcW w:w="7962" w:type="dxa"/>
          </w:tcPr>
          <w:p>
            <w:pPr>
              <w:pStyle w:val="TableParagraph"/>
              <w:ind w:left="50"/>
              <w:rPr>
                <w:rFonts w:ascii="Courier New"/>
                <w:sz w:val="28"/>
              </w:rPr>
            </w:pPr>
            <w:r>
              <w:rPr>
                <w:rFonts w:ascii="Courier New"/>
                <w:sz w:val="28"/>
              </w:rPr>
              <w:t>he shows his agreement about what is</w:t>
            </w:r>
            <w:r>
              <w:rPr>
                <w:rFonts w:ascii="Courier New"/>
                <w:spacing w:val="74"/>
                <w:sz w:val="28"/>
              </w:rPr>
              <w:t> </w:t>
            </w:r>
            <w:r>
              <w:rPr>
                <w:rFonts w:ascii="Courier New"/>
                <w:sz w:val="28"/>
              </w:rPr>
              <w:t>mentioned</w:t>
            </w:r>
          </w:p>
        </w:tc>
        <w:tc>
          <w:tcPr>
            <w:tcW w:w="527" w:type="dxa"/>
          </w:tcPr>
          <w:p>
            <w:pPr>
              <w:pStyle w:val="TableParagraph"/>
              <w:ind w:left="55" w:right="60"/>
              <w:jc w:val="center"/>
              <w:rPr>
                <w:rFonts w:ascii="Courier New"/>
                <w:sz w:val="28"/>
              </w:rPr>
            </w:pPr>
            <w:r>
              <w:rPr>
                <w:rFonts w:ascii="Courier New"/>
                <w:sz w:val="28"/>
              </w:rPr>
              <w:t>in</w:t>
            </w:r>
          </w:p>
        </w:tc>
        <w:tc>
          <w:tcPr>
            <w:tcW w:w="636" w:type="dxa"/>
          </w:tcPr>
          <w:p>
            <w:pPr>
              <w:pStyle w:val="TableParagraph"/>
              <w:ind w:left="0" w:right="47"/>
              <w:jc w:val="right"/>
              <w:rPr>
                <w:rFonts w:ascii="Courier New"/>
                <w:sz w:val="28"/>
              </w:rPr>
            </w:pPr>
            <w:r>
              <w:rPr>
                <w:rFonts w:ascii="Courier New"/>
                <w:sz w:val="28"/>
              </w:rPr>
              <w:t>the</w:t>
            </w:r>
          </w:p>
        </w:tc>
      </w:tr>
      <w:tr>
        <w:trPr>
          <w:trHeight w:val="633" w:hRule="atLeast"/>
        </w:trPr>
        <w:tc>
          <w:tcPr>
            <w:tcW w:w="7962" w:type="dxa"/>
          </w:tcPr>
          <w:p>
            <w:pPr>
              <w:pStyle w:val="TableParagraph"/>
              <w:spacing w:before="158"/>
              <w:ind w:left="50"/>
              <w:rPr>
                <w:rFonts w:ascii="Courier New"/>
                <w:sz w:val="28"/>
              </w:rPr>
            </w:pPr>
            <w:r>
              <w:rPr>
                <w:rFonts w:ascii="Courier New"/>
                <w:sz w:val="28"/>
              </w:rPr>
              <w:t>Ayodhya Mahatmya about birthplace of Lord Ram.</w:t>
            </w:r>
          </w:p>
        </w:tc>
        <w:tc>
          <w:tcPr>
            <w:tcW w:w="527" w:type="dxa"/>
          </w:tcPr>
          <w:p>
            <w:pPr>
              <w:pStyle w:val="TableParagraph"/>
              <w:spacing w:before="158"/>
              <w:ind w:left="72" w:right="43"/>
              <w:jc w:val="center"/>
              <w:rPr>
                <w:rFonts w:ascii="Courier New"/>
                <w:sz w:val="28"/>
              </w:rPr>
            </w:pPr>
            <w:r>
              <w:rPr>
                <w:rFonts w:ascii="Courier New"/>
                <w:sz w:val="28"/>
              </w:rPr>
              <w:t>In</w:t>
            </w:r>
          </w:p>
        </w:tc>
        <w:tc>
          <w:tcPr>
            <w:tcW w:w="636" w:type="dxa"/>
          </w:tcPr>
          <w:p>
            <w:pPr>
              <w:pStyle w:val="TableParagraph"/>
              <w:spacing w:before="158"/>
              <w:ind w:left="0" w:right="47"/>
              <w:jc w:val="right"/>
              <w:rPr>
                <w:rFonts w:ascii="Courier New"/>
                <w:sz w:val="28"/>
              </w:rPr>
            </w:pPr>
            <w:r>
              <w:rPr>
                <w:rFonts w:ascii="Courier New"/>
                <w:sz w:val="28"/>
              </w:rPr>
              <w:t>his</w:t>
            </w:r>
          </w:p>
        </w:tc>
      </w:tr>
      <w:tr>
        <w:trPr>
          <w:trHeight w:val="475" w:hRule="atLeast"/>
        </w:trPr>
        <w:tc>
          <w:tcPr>
            <w:tcW w:w="7962" w:type="dxa"/>
          </w:tcPr>
          <w:p>
            <w:pPr>
              <w:pStyle w:val="TableParagraph"/>
              <w:spacing w:line="297" w:lineRule="exact" w:before="158"/>
              <w:ind w:left="50"/>
              <w:rPr>
                <w:rFonts w:ascii="Courier New"/>
                <w:sz w:val="28"/>
              </w:rPr>
            </w:pPr>
            <w:r>
              <w:rPr>
                <w:rFonts w:ascii="Courier New"/>
                <w:sz w:val="28"/>
              </w:rPr>
              <w:t>cross-examination, he states, following:-</w:t>
            </w:r>
          </w:p>
        </w:tc>
        <w:tc>
          <w:tcPr>
            <w:tcW w:w="527" w:type="dxa"/>
          </w:tcPr>
          <w:p>
            <w:pPr>
              <w:pStyle w:val="TableParagraph"/>
              <w:ind w:left="0"/>
              <w:rPr>
                <w:rFonts w:ascii="Times New Roman"/>
                <w:sz w:val="28"/>
              </w:rPr>
            </w:pPr>
          </w:p>
        </w:tc>
        <w:tc>
          <w:tcPr>
            <w:tcW w:w="636" w:type="dxa"/>
          </w:tcPr>
          <w:p>
            <w:pPr>
              <w:pStyle w:val="TableParagraph"/>
              <w:ind w:left="0"/>
              <w:rPr>
                <w:rFonts w:ascii="Times New Roman"/>
                <w:sz w:val="28"/>
              </w:rPr>
            </w:pPr>
          </w:p>
        </w:tc>
      </w:tr>
    </w:tbl>
    <w:p>
      <w:pPr>
        <w:pStyle w:val="BodyText"/>
        <w:spacing w:before="1"/>
        <w:rPr>
          <w:rFonts w:ascii="Courier New"/>
          <w:sz w:val="28"/>
        </w:rPr>
      </w:pPr>
    </w:p>
    <w:p>
      <w:pPr>
        <w:spacing w:line="240" w:lineRule="auto" w:before="0"/>
        <w:ind w:left="1011" w:right="1244" w:firstLine="0"/>
        <w:jc w:val="both"/>
        <w:rPr>
          <w:rFonts w:ascii="Courier New" w:hAnsi="Courier New"/>
          <w:sz w:val="28"/>
        </w:rPr>
      </w:pPr>
      <w:r>
        <w:rPr>
          <w:rFonts w:ascii="Courier New" w:hAnsi="Courier New"/>
          <w:sz w:val="28"/>
        </w:rPr>
        <w:t>“It is written about birth of Rama in Ayodhya Mahatmya. I agree with what is mentioned in Ayodhya Mahatmya about the birth place of Rama. The hermitage of sage Lomash</w:t>
      </w:r>
      <w:r>
        <w:rPr>
          <w:rFonts w:ascii="Courier New" w:hAnsi="Courier New"/>
          <w:spacing w:val="-22"/>
          <w:sz w:val="28"/>
        </w:rPr>
        <w:t> </w:t>
      </w:r>
      <w:r>
        <w:rPr>
          <w:rFonts w:ascii="Courier New" w:hAnsi="Courier New"/>
          <w:sz w:val="28"/>
        </w:rPr>
        <w:t>has</w:t>
      </w:r>
      <w:r>
        <w:rPr>
          <w:rFonts w:ascii="Courier New" w:hAnsi="Courier New"/>
          <w:spacing w:val="-22"/>
          <w:sz w:val="28"/>
        </w:rPr>
        <w:t> </w:t>
      </w:r>
      <w:r>
        <w:rPr>
          <w:rFonts w:ascii="Courier New" w:hAnsi="Courier New"/>
          <w:sz w:val="28"/>
        </w:rPr>
        <w:t>found</w:t>
      </w:r>
      <w:r>
        <w:rPr>
          <w:rFonts w:ascii="Courier New" w:hAnsi="Courier New"/>
          <w:spacing w:val="-22"/>
          <w:sz w:val="28"/>
        </w:rPr>
        <w:t> </w:t>
      </w:r>
      <w:r>
        <w:rPr>
          <w:rFonts w:ascii="Courier New" w:hAnsi="Courier New"/>
          <w:sz w:val="28"/>
        </w:rPr>
        <w:t>mention</w:t>
      </w:r>
      <w:r>
        <w:rPr>
          <w:rFonts w:ascii="Courier New" w:hAnsi="Courier New"/>
          <w:spacing w:val="-22"/>
          <w:sz w:val="28"/>
        </w:rPr>
        <w:t> </w:t>
      </w:r>
      <w:r>
        <w:rPr>
          <w:rFonts w:ascii="Courier New" w:hAnsi="Courier New"/>
          <w:sz w:val="28"/>
        </w:rPr>
        <w:t>in</w:t>
      </w:r>
      <w:r>
        <w:rPr>
          <w:rFonts w:ascii="Courier New" w:hAnsi="Courier New"/>
          <w:spacing w:val="-21"/>
          <w:sz w:val="28"/>
        </w:rPr>
        <w:t> </w:t>
      </w:r>
      <w:r>
        <w:rPr>
          <w:rFonts w:ascii="Courier New" w:hAnsi="Courier New"/>
          <w:sz w:val="28"/>
        </w:rPr>
        <w:t>this</w:t>
      </w:r>
      <w:r>
        <w:rPr>
          <w:rFonts w:ascii="Courier New" w:hAnsi="Courier New"/>
          <w:spacing w:val="-22"/>
          <w:sz w:val="28"/>
        </w:rPr>
        <w:t> </w:t>
      </w:r>
      <w:r>
        <w:rPr>
          <w:rFonts w:ascii="Courier New" w:hAnsi="Courier New"/>
          <w:sz w:val="28"/>
        </w:rPr>
        <w:t>book,</w:t>
      </w:r>
      <w:r>
        <w:rPr>
          <w:rFonts w:ascii="Courier New" w:hAnsi="Courier New"/>
          <w:spacing w:val="-22"/>
          <w:sz w:val="28"/>
        </w:rPr>
        <w:t> </w:t>
      </w:r>
      <w:r>
        <w:rPr>
          <w:rFonts w:ascii="Courier New" w:hAnsi="Courier New"/>
          <w:sz w:val="28"/>
        </w:rPr>
        <w:t>that is, it is described therein. It also describes Vighneshwar sthan. The hermitage of seer Vashishtha has also found description in Ayodhya Mahatmya”.</w:t>
      </w:r>
      <w:r>
        <w:rPr>
          <w:rFonts w:ascii="Courier New" w:hAnsi="Courier New"/>
          <w:spacing w:val="-13"/>
          <w:sz w:val="28"/>
        </w:rPr>
        <w:t> </w:t>
      </w:r>
      <w:r>
        <w:rPr>
          <w:rFonts w:ascii="Courier New" w:hAnsi="Courier New"/>
          <w:sz w:val="28"/>
        </w:rPr>
        <w:t>(ETC)</w:t>
      </w:r>
    </w:p>
    <w:p>
      <w:pPr>
        <w:pStyle w:val="BodyText"/>
        <w:spacing w:before="9"/>
        <w:rPr>
          <w:rFonts w:ascii="Courier New"/>
          <w:sz w:val="27"/>
        </w:rPr>
      </w:pPr>
    </w:p>
    <w:p>
      <w:pPr>
        <w:spacing w:line="240" w:lineRule="auto" w:before="1"/>
        <w:ind w:left="1011" w:right="1245" w:firstLine="0"/>
        <w:jc w:val="both"/>
        <w:rPr>
          <w:rFonts w:ascii="Courier New" w:hAnsi="Courier New"/>
          <w:sz w:val="28"/>
        </w:rPr>
      </w:pPr>
      <w:r>
        <w:rPr>
          <w:rFonts w:ascii="Courier New" w:hAnsi="Courier New"/>
          <w:sz w:val="28"/>
        </w:rPr>
        <w:t>From references about the hermitages of sage Lomash and seer Vashishtha in Ayodhya Mahatmya, the birthplace of Rama has been located. As per Ayodhya Mahatmya, Ram Janam Sthan is situated West of Lomash Rishi Ashram, east of the Vighneshwar temple</w:t>
      </w:r>
      <w:r>
        <w:rPr>
          <w:rFonts w:ascii="Courier New" w:hAnsi="Courier New"/>
          <w:spacing w:val="-27"/>
          <w:sz w:val="28"/>
        </w:rPr>
        <w:t> </w:t>
      </w:r>
      <w:r>
        <w:rPr>
          <w:rFonts w:ascii="Courier New" w:hAnsi="Courier New"/>
          <w:sz w:val="28"/>
        </w:rPr>
        <w:t>and</w:t>
      </w:r>
      <w:r>
        <w:rPr>
          <w:rFonts w:ascii="Courier New" w:hAnsi="Courier New"/>
          <w:spacing w:val="-26"/>
          <w:sz w:val="28"/>
        </w:rPr>
        <w:t> </w:t>
      </w:r>
      <w:r>
        <w:rPr>
          <w:rFonts w:ascii="Courier New" w:hAnsi="Courier New"/>
          <w:sz w:val="28"/>
        </w:rPr>
        <w:t>north</w:t>
      </w:r>
      <w:r>
        <w:rPr>
          <w:rFonts w:ascii="Courier New" w:hAnsi="Courier New"/>
          <w:spacing w:val="-26"/>
          <w:sz w:val="28"/>
        </w:rPr>
        <w:t> </w:t>
      </w:r>
      <w:r>
        <w:rPr>
          <w:rFonts w:ascii="Courier New" w:hAnsi="Courier New"/>
          <w:sz w:val="28"/>
        </w:rPr>
        <w:t>of</w:t>
      </w:r>
      <w:r>
        <w:rPr>
          <w:rFonts w:ascii="Courier New" w:hAnsi="Courier New"/>
          <w:spacing w:val="-26"/>
          <w:sz w:val="28"/>
        </w:rPr>
        <w:t> </w:t>
      </w:r>
      <w:r>
        <w:rPr>
          <w:rFonts w:ascii="Courier New" w:hAnsi="Courier New"/>
          <w:sz w:val="28"/>
        </w:rPr>
        <w:t>Vashishtha</w:t>
      </w:r>
      <w:r>
        <w:rPr>
          <w:rFonts w:ascii="Courier New" w:hAnsi="Courier New"/>
          <w:spacing w:val="-26"/>
          <w:sz w:val="28"/>
        </w:rPr>
        <w:t> </w:t>
      </w:r>
      <w:r>
        <w:rPr>
          <w:rFonts w:ascii="Courier New" w:hAnsi="Courier New"/>
          <w:sz w:val="28"/>
        </w:rPr>
        <w:t>Muni</w:t>
      </w:r>
      <w:r>
        <w:rPr>
          <w:rFonts w:ascii="Courier New" w:hAnsi="Courier New"/>
          <w:spacing w:val="-26"/>
          <w:sz w:val="28"/>
        </w:rPr>
        <w:t> </w:t>
      </w:r>
      <w:r>
        <w:rPr>
          <w:rFonts w:ascii="Courier New" w:hAnsi="Courier New"/>
          <w:sz w:val="28"/>
        </w:rPr>
        <w:t>Ashram. I did not come across the Vighneshwar temple;</w:t>
      </w:r>
      <w:r>
        <w:rPr>
          <w:rFonts w:ascii="Courier New" w:hAnsi="Courier New"/>
          <w:spacing w:val="-41"/>
          <w:sz w:val="28"/>
        </w:rPr>
        <w:t> </w:t>
      </w:r>
      <w:r>
        <w:rPr>
          <w:rFonts w:ascii="Courier New" w:hAnsi="Courier New"/>
          <w:sz w:val="28"/>
        </w:rPr>
        <w:t>rather,</w:t>
      </w:r>
      <w:r>
        <w:rPr>
          <w:rFonts w:ascii="Courier New" w:hAnsi="Courier New"/>
          <w:spacing w:val="-41"/>
          <w:sz w:val="28"/>
        </w:rPr>
        <w:t> </w:t>
      </w:r>
      <w:r>
        <w:rPr>
          <w:rFonts w:ascii="Courier New" w:hAnsi="Courier New"/>
          <w:sz w:val="28"/>
        </w:rPr>
        <w:t>I</w:t>
      </w:r>
      <w:r>
        <w:rPr>
          <w:rFonts w:ascii="Courier New" w:hAnsi="Courier New"/>
          <w:spacing w:val="-41"/>
          <w:sz w:val="28"/>
        </w:rPr>
        <w:t> </w:t>
      </w:r>
      <w:r>
        <w:rPr>
          <w:rFonts w:ascii="Courier New" w:hAnsi="Courier New"/>
          <w:sz w:val="28"/>
        </w:rPr>
        <w:t>saw</w:t>
      </w:r>
      <w:r>
        <w:rPr>
          <w:rFonts w:ascii="Courier New" w:hAnsi="Courier New"/>
          <w:spacing w:val="-41"/>
          <w:sz w:val="28"/>
        </w:rPr>
        <w:t> </w:t>
      </w:r>
      <w:r>
        <w:rPr>
          <w:rFonts w:ascii="Courier New" w:hAnsi="Courier New"/>
          <w:sz w:val="28"/>
        </w:rPr>
        <w:t>a</w:t>
      </w:r>
      <w:r>
        <w:rPr>
          <w:rFonts w:ascii="Courier New" w:hAnsi="Courier New"/>
          <w:spacing w:val="-40"/>
          <w:sz w:val="28"/>
        </w:rPr>
        <w:t> </w:t>
      </w:r>
      <w:r>
        <w:rPr>
          <w:rFonts w:ascii="Courier New" w:hAnsi="Courier New"/>
          <w:sz w:val="28"/>
        </w:rPr>
        <w:t>pillar</w:t>
      </w:r>
      <w:r>
        <w:rPr>
          <w:rFonts w:ascii="Courier New" w:hAnsi="Courier New"/>
          <w:spacing w:val="-41"/>
          <w:sz w:val="28"/>
        </w:rPr>
        <w:t> </w:t>
      </w:r>
      <w:r>
        <w:rPr>
          <w:rFonts w:ascii="Courier New" w:hAnsi="Courier New"/>
          <w:sz w:val="28"/>
        </w:rPr>
        <w:t>with</w:t>
      </w:r>
      <w:r>
        <w:rPr>
          <w:rFonts w:ascii="Courier New" w:hAnsi="Courier New"/>
          <w:spacing w:val="-40"/>
          <w:sz w:val="28"/>
        </w:rPr>
        <w:t> </w:t>
      </w:r>
      <w:r>
        <w:rPr>
          <w:rFonts w:ascii="Courier New" w:hAnsi="Courier New"/>
          <w:sz w:val="28"/>
        </w:rPr>
        <w:t>the</w:t>
      </w:r>
      <w:r>
        <w:rPr>
          <w:rFonts w:ascii="Courier New" w:hAnsi="Courier New"/>
          <w:spacing w:val="-40"/>
          <w:sz w:val="28"/>
        </w:rPr>
        <w:t> </w:t>
      </w:r>
      <w:r>
        <w:rPr>
          <w:rFonts w:ascii="Courier New" w:hAnsi="Courier New"/>
          <w:sz w:val="28"/>
        </w:rPr>
        <w:t>word “Vighneshwar” engraved thereon. I did not come across the hermitage of sage Lomash. I also did not see the hermitage of seer Vashishtha, but people told me about him”. (ETC)</w:t>
      </w:r>
    </w:p>
    <w:p>
      <w:pPr>
        <w:pStyle w:val="BodyText"/>
        <w:rPr>
          <w:rFonts w:ascii="Courier New"/>
          <w:sz w:val="32"/>
        </w:rPr>
      </w:pPr>
    </w:p>
    <w:p>
      <w:pPr>
        <w:pStyle w:val="ListParagraph"/>
        <w:numPr>
          <w:ilvl w:val="0"/>
          <w:numId w:val="254"/>
        </w:numPr>
        <w:tabs>
          <w:tab w:pos="921" w:val="left" w:leader="none"/>
        </w:tabs>
        <w:spacing w:line="480" w:lineRule="auto" w:before="272" w:after="0"/>
        <w:ind w:left="159" w:right="157" w:firstLine="0"/>
        <w:jc w:val="both"/>
        <w:rPr>
          <w:rFonts w:ascii="Courier New"/>
          <w:sz w:val="28"/>
        </w:rPr>
      </w:pPr>
      <w:r>
        <w:rPr>
          <w:rFonts w:ascii="Courier New"/>
          <w:sz w:val="28"/>
        </w:rPr>
        <w:t>One Dr. Sita Ram Rai, PW-28 also appeared for plaintiff in Suit No.4, who was cross-examined with regard to Skanda Purana. In his statement, he states that</w:t>
      </w:r>
      <w:r>
        <w:rPr>
          <w:rFonts w:ascii="Courier New"/>
          <w:spacing w:val="60"/>
          <w:sz w:val="28"/>
        </w:rPr>
        <w:t> </w:t>
      </w:r>
      <w:r>
        <w:rPr>
          <w:rFonts w:ascii="Courier New"/>
          <w:sz w:val="28"/>
        </w:rPr>
        <w:t>it</w:t>
      </w:r>
      <w:r>
        <w:rPr>
          <w:rFonts w:ascii="Courier New"/>
          <w:spacing w:val="60"/>
          <w:sz w:val="28"/>
        </w:rPr>
        <w:t> </w:t>
      </w:r>
      <w:r>
        <w:rPr>
          <w:rFonts w:ascii="Courier New"/>
          <w:sz w:val="28"/>
        </w:rPr>
        <w:t>will</w:t>
      </w:r>
      <w:r>
        <w:rPr>
          <w:rFonts w:ascii="Courier New"/>
          <w:spacing w:val="63"/>
          <w:sz w:val="28"/>
        </w:rPr>
        <w:t> </w:t>
      </w:r>
      <w:r>
        <w:rPr>
          <w:rFonts w:ascii="Courier New"/>
          <w:sz w:val="28"/>
        </w:rPr>
        <w:t>not</w:t>
      </w:r>
      <w:r>
        <w:rPr>
          <w:rFonts w:ascii="Courier New"/>
          <w:spacing w:val="60"/>
          <w:sz w:val="28"/>
        </w:rPr>
        <w:t> </w:t>
      </w:r>
      <w:r>
        <w:rPr>
          <w:rFonts w:ascii="Courier New"/>
          <w:sz w:val="28"/>
        </w:rPr>
        <w:t>be</w:t>
      </w:r>
      <w:r>
        <w:rPr>
          <w:rFonts w:ascii="Courier New"/>
          <w:spacing w:val="60"/>
          <w:sz w:val="28"/>
        </w:rPr>
        <w:t> </w:t>
      </w:r>
      <w:r>
        <w:rPr>
          <w:rFonts w:ascii="Courier New"/>
          <w:sz w:val="28"/>
        </w:rPr>
        <w:t>correct</w:t>
      </w:r>
      <w:r>
        <w:rPr>
          <w:rFonts w:ascii="Courier New"/>
          <w:spacing w:val="60"/>
          <w:sz w:val="28"/>
        </w:rPr>
        <w:t> </w:t>
      </w:r>
      <w:r>
        <w:rPr>
          <w:rFonts w:ascii="Courier New"/>
          <w:sz w:val="28"/>
        </w:rPr>
        <w:t>to</w:t>
      </w:r>
      <w:r>
        <w:rPr>
          <w:rFonts w:ascii="Courier New"/>
          <w:spacing w:val="60"/>
          <w:sz w:val="28"/>
        </w:rPr>
        <w:t> </w:t>
      </w:r>
      <w:r>
        <w:rPr>
          <w:rFonts w:ascii="Courier New"/>
          <w:sz w:val="28"/>
        </w:rPr>
        <w:t>say</w:t>
      </w:r>
      <w:r>
        <w:rPr>
          <w:rFonts w:ascii="Courier New"/>
          <w:spacing w:val="60"/>
          <w:sz w:val="28"/>
        </w:rPr>
        <w:t> </w:t>
      </w:r>
      <w:r>
        <w:rPr>
          <w:rFonts w:ascii="Courier New"/>
          <w:sz w:val="28"/>
        </w:rPr>
        <w:t>that</w:t>
      </w:r>
      <w:r>
        <w:rPr>
          <w:rFonts w:ascii="Courier New"/>
          <w:spacing w:val="63"/>
          <w:sz w:val="28"/>
        </w:rPr>
        <w:t> </w:t>
      </w:r>
      <w:r>
        <w:rPr>
          <w:rFonts w:ascii="Courier New"/>
          <w:sz w:val="28"/>
        </w:rPr>
        <w:t>in</w:t>
      </w:r>
      <w:r>
        <w:rPr>
          <w:rFonts w:ascii="Courier New"/>
          <w:spacing w:val="60"/>
          <w:sz w:val="28"/>
        </w:rPr>
        <w:t> </w:t>
      </w:r>
      <w:r>
        <w:rPr>
          <w:rFonts w:ascii="Courier New"/>
          <w:sz w:val="28"/>
        </w:rPr>
        <w:t>Ayodhya</w:t>
      </w:r>
    </w:p>
    <w:p>
      <w:pPr>
        <w:spacing w:after="0" w:line="480" w:lineRule="auto"/>
        <w:jc w:val="both"/>
        <w:rPr>
          <w:rFonts w:ascii="Courier New"/>
          <w:sz w:val="28"/>
        </w:rPr>
        <w:sectPr>
          <w:headerReference w:type="default" r:id="rId296"/>
          <w:footerReference w:type="default" r:id="rId297"/>
          <w:pgSz w:w="11910" w:h="16840"/>
          <w:pgMar w:header="1439" w:footer="1063" w:top="1740" w:bottom="1260" w:left="1280" w:right="1280"/>
          <w:pgNumType w:start="44"/>
        </w:sectPr>
      </w:pPr>
    </w:p>
    <w:p>
      <w:pPr>
        <w:pStyle w:val="BodyText"/>
        <w:rPr>
          <w:rFonts w:ascii="Courier New"/>
          <w:sz w:val="19"/>
        </w:rPr>
      </w:pPr>
    </w:p>
    <w:p>
      <w:pPr>
        <w:spacing w:line="480" w:lineRule="auto" w:before="101"/>
        <w:ind w:left="159" w:right="156" w:firstLine="0"/>
        <w:jc w:val="both"/>
        <w:rPr>
          <w:rFonts w:ascii="Courier New"/>
          <w:sz w:val="28"/>
        </w:rPr>
      </w:pPr>
      <w:r>
        <w:rPr>
          <w:rFonts w:ascii="Courier New"/>
          <w:sz w:val="28"/>
        </w:rPr>
        <w:t>position has been given. He, however, states that it is true that legends Pindarak, Vighneshwar, Vashishth and Lomesh are present. He stated in his statement that Couplets in Ayodhya Mahatmya indicates about the visit towards Janma Asthan and not the clarity of its boundaries. He stated following in his cross- examination:-</w:t>
      </w:r>
    </w:p>
    <w:p>
      <w:pPr>
        <w:spacing w:line="240" w:lineRule="auto" w:before="1"/>
        <w:ind w:left="1011" w:right="1244" w:firstLine="0"/>
        <w:jc w:val="both"/>
        <w:rPr>
          <w:rFonts w:ascii="Courier New" w:hAnsi="Courier New"/>
          <w:sz w:val="28"/>
        </w:rPr>
      </w:pPr>
      <w:r>
        <w:rPr>
          <w:rFonts w:ascii="Courier New" w:hAnsi="Courier New"/>
          <w:sz w:val="28"/>
        </w:rPr>
        <w:t>“In my view it will not be correct to say that in Ayodhya Mahatamya Chapter the boundary of Ram Janam Bhoomi and its position has been given. On this point the learned advocate drew attention of the witness</w:t>
      </w:r>
      <w:r>
        <w:rPr>
          <w:rFonts w:ascii="Courier New" w:hAnsi="Courier New"/>
          <w:spacing w:val="-41"/>
          <w:sz w:val="28"/>
        </w:rPr>
        <w:t> </w:t>
      </w:r>
      <w:r>
        <w:rPr>
          <w:rFonts w:ascii="Courier New" w:hAnsi="Courier New"/>
          <w:sz w:val="28"/>
        </w:rPr>
        <w:t>to</w:t>
      </w:r>
      <w:r>
        <w:rPr>
          <w:rFonts w:ascii="Courier New" w:hAnsi="Courier New"/>
          <w:spacing w:val="-41"/>
          <w:sz w:val="28"/>
        </w:rPr>
        <w:t> </w:t>
      </w:r>
      <w:r>
        <w:rPr>
          <w:rFonts w:ascii="Courier New" w:hAnsi="Courier New"/>
          <w:sz w:val="28"/>
        </w:rPr>
        <w:t>couplet</w:t>
      </w:r>
      <w:r>
        <w:rPr>
          <w:rFonts w:ascii="Courier New" w:hAnsi="Courier New"/>
          <w:spacing w:val="-41"/>
          <w:sz w:val="28"/>
        </w:rPr>
        <w:t> </w:t>
      </w:r>
      <w:r>
        <w:rPr>
          <w:rFonts w:ascii="Courier New" w:hAnsi="Courier New"/>
          <w:sz w:val="28"/>
        </w:rPr>
        <w:t>14</w:t>
      </w:r>
      <w:r>
        <w:rPr>
          <w:rFonts w:ascii="Courier New" w:hAnsi="Courier New"/>
          <w:spacing w:val="-41"/>
          <w:sz w:val="28"/>
        </w:rPr>
        <w:t> </w:t>
      </w:r>
      <w:r>
        <w:rPr>
          <w:rFonts w:ascii="Courier New" w:hAnsi="Courier New"/>
          <w:sz w:val="28"/>
        </w:rPr>
        <w:t>to</w:t>
      </w:r>
      <w:r>
        <w:rPr>
          <w:rFonts w:ascii="Courier New" w:hAnsi="Courier New"/>
          <w:spacing w:val="-41"/>
          <w:sz w:val="28"/>
        </w:rPr>
        <w:t> </w:t>
      </w:r>
      <w:r>
        <w:rPr>
          <w:rFonts w:ascii="Courier New" w:hAnsi="Courier New"/>
          <w:sz w:val="28"/>
        </w:rPr>
        <w:t>25</w:t>
      </w:r>
      <w:r>
        <w:rPr>
          <w:rFonts w:ascii="Courier New" w:hAnsi="Courier New"/>
          <w:spacing w:val="-41"/>
          <w:sz w:val="28"/>
        </w:rPr>
        <w:t> </w:t>
      </w:r>
      <w:r>
        <w:rPr>
          <w:rFonts w:ascii="Courier New" w:hAnsi="Courier New"/>
          <w:sz w:val="28"/>
        </w:rPr>
        <w:t>of</w:t>
      </w:r>
      <w:r>
        <w:rPr>
          <w:rFonts w:ascii="Courier New" w:hAnsi="Courier New"/>
          <w:spacing w:val="-38"/>
          <w:sz w:val="28"/>
        </w:rPr>
        <w:t> </w:t>
      </w:r>
      <w:r>
        <w:rPr>
          <w:rFonts w:ascii="Courier New" w:hAnsi="Courier New"/>
          <w:sz w:val="28"/>
        </w:rPr>
        <w:t>Paper</w:t>
      </w:r>
      <w:r>
        <w:rPr>
          <w:rFonts w:ascii="Courier New" w:hAnsi="Courier New"/>
          <w:spacing w:val="-40"/>
          <w:sz w:val="28"/>
        </w:rPr>
        <w:t> </w:t>
      </w:r>
      <w:r>
        <w:rPr>
          <w:rFonts w:ascii="Courier New" w:hAnsi="Courier New"/>
          <w:sz w:val="28"/>
        </w:rPr>
        <w:t>No.107- C 1/75 (On this the advocate of Plaintiff Shri</w:t>
      </w:r>
      <w:r>
        <w:rPr>
          <w:rFonts w:ascii="Courier New" w:hAnsi="Courier New"/>
          <w:spacing w:val="-32"/>
          <w:sz w:val="28"/>
        </w:rPr>
        <w:t> </w:t>
      </w:r>
      <w:r>
        <w:rPr>
          <w:rFonts w:ascii="Courier New" w:hAnsi="Courier New"/>
          <w:sz w:val="28"/>
        </w:rPr>
        <w:t>Zaffaryab</w:t>
      </w:r>
      <w:r>
        <w:rPr>
          <w:rFonts w:ascii="Courier New" w:hAnsi="Courier New"/>
          <w:spacing w:val="-31"/>
          <w:sz w:val="28"/>
        </w:rPr>
        <w:t> </w:t>
      </w:r>
      <w:r>
        <w:rPr>
          <w:rFonts w:ascii="Courier New" w:hAnsi="Courier New"/>
          <w:sz w:val="28"/>
        </w:rPr>
        <w:t>Jilani</w:t>
      </w:r>
      <w:r>
        <w:rPr>
          <w:rFonts w:ascii="Courier New" w:hAnsi="Courier New"/>
          <w:spacing w:val="-31"/>
          <w:sz w:val="28"/>
        </w:rPr>
        <w:t> </w:t>
      </w:r>
      <w:r>
        <w:rPr>
          <w:rFonts w:ascii="Courier New" w:hAnsi="Courier New"/>
          <w:sz w:val="28"/>
        </w:rPr>
        <w:t>raised</w:t>
      </w:r>
      <w:r>
        <w:rPr>
          <w:rFonts w:ascii="Courier New" w:hAnsi="Courier New"/>
          <w:spacing w:val="-33"/>
          <w:sz w:val="28"/>
        </w:rPr>
        <w:t> </w:t>
      </w:r>
      <w:r>
        <w:rPr>
          <w:rFonts w:ascii="Courier New" w:hAnsi="Courier New"/>
          <w:sz w:val="28"/>
        </w:rPr>
        <w:t>objection</w:t>
      </w:r>
      <w:r>
        <w:rPr>
          <w:rFonts w:ascii="Courier New" w:hAnsi="Courier New"/>
          <w:spacing w:val="-31"/>
          <w:sz w:val="28"/>
        </w:rPr>
        <w:t> </w:t>
      </w:r>
      <w:r>
        <w:rPr>
          <w:rFonts w:ascii="Courier New" w:hAnsi="Courier New"/>
          <w:sz w:val="28"/>
        </w:rPr>
        <w:t>that the paper has not been proved and, as such permission to ask question thereon should not be given. (Reply to it will be given later on). After reading the above couplet the</w:t>
      </w:r>
      <w:r>
        <w:rPr>
          <w:rFonts w:ascii="Courier New" w:hAnsi="Courier New"/>
          <w:spacing w:val="-22"/>
          <w:sz w:val="28"/>
        </w:rPr>
        <w:t> </w:t>
      </w:r>
      <w:r>
        <w:rPr>
          <w:rFonts w:ascii="Courier New" w:hAnsi="Courier New"/>
          <w:sz w:val="28"/>
        </w:rPr>
        <w:t>witness</w:t>
      </w:r>
      <w:r>
        <w:rPr>
          <w:rFonts w:ascii="Courier New" w:hAnsi="Courier New"/>
          <w:spacing w:val="-22"/>
          <w:sz w:val="28"/>
        </w:rPr>
        <w:t> </w:t>
      </w:r>
      <w:r>
        <w:rPr>
          <w:rFonts w:ascii="Courier New" w:hAnsi="Courier New"/>
          <w:sz w:val="28"/>
        </w:rPr>
        <w:t>said</w:t>
      </w:r>
      <w:r>
        <w:rPr>
          <w:rFonts w:ascii="Courier New" w:hAnsi="Courier New"/>
          <w:spacing w:val="-22"/>
          <w:sz w:val="28"/>
        </w:rPr>
        <w:t> </w:t>
      </w:r>
      <w:r>
        <w:rPr>
          <w:rFonts w:ascii="Courier New" w:hAnsi="Courier New"/>
          <w:sz w:val="28"/>
        </w:rPr>
        <w:t>that</w:t>
      </w:r>
      <w:r>
        <w:rPr>
          <w:rFonts w:ascii="Courier New" w:hAnsi="Courier New"/>
          <w:spacing w:val="-22"/>
          <w:sz w:val="28"/>
        </w:rPr>
        <w:t> </w:t>
      </w:r>
      <w:r>
        <w:rPr>
          <w:rFonts w:ascii="Courier New" w:hAnsi="Courier New"/>
          <w:sz w:val="28"/>
        </w:rPr>
        <w:t>I</w:t>
      </w:r>
      <w:r>
        <w:rPr>
          <w:rFonts w:ascii="Courier New" w:hAnsi="Courier New"/>
          <w:spacing w:val="-21"/>
          <w:sz w:val="28"/>
        </w:rPr>
        <w:t> </w:t>
      </w:r>
      <w:r>
        <w:rPr>
          <w:rFonts w:ascii="Courier New" w:hAnsi="Courier New"/>
          <w:sz w:val="28"/>
        </w:rPr>
        <w:t>have</w:t>
      </w:r>
      <w:r>
        <w:rPr>
          <w:rFonts w:ascii="Courier New" w:hAnsi="Courier New"/>
          <w:spacing w:val="-22"/>
          <w:sz w:val="28"/>
        </w:rPr>
        <w:t> </w:t>
      </w:r>
      <w:r>
        <w:rPr>
          <w:rFonts w:ascii="Courier New" w:hAnsi="Courier New"/>
          <w:sz w:val="28"/>
        </w:rPr>
        <w:t>understood</w:t>
      </w:r>
      <w:r>
        <w:rPr>
          <w:rFonts w:ascii="Courier New" w:hAnsi="Courier New"/>
          <w:spacing w:val="-22"/>
          <w:sz w:val="28"/>
        </w:rPr>
        <w:t> </w:t>
      </w:r>
      <w:r>
        <w:rPr>
          <w:rFonts w:ascii="Courier New" w:hAnsi="Courier New"/>
          <w:sz w:val="28"/>
        </w:rPr>
        <w:t>its contents and said that boundary of Ram Janam Bhoomi has not been clearly demarcated in it and afterwards said that boundary has not been given in it. The learned advocate again made the witness to read line 18-19 of the couplet and after reading it the witness said that the boundary of Ram Janam Bhoomi has not been clearly demarcated. There is no mention of all</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four</w:t>
      </w:r>
      <w:r>
        <w:rPr>
          <w:rFonts w:ascii="Courier New" w:hAnsi="Courier New"/>
          <w:spacing w:val="-25"/>
          <w:sz w:val="28"/>
        </w:rPr>
        <w:t> </w:t>
      </w:r>
      <w:r>
        <w:rPr>
          <w:rFonts w:ascii="Courier New" w:hAnsi="Courier New"/>
          <w:sz w:val="28"/>
        </w:rPr>
        <w:t>directions,</w:t>
      </w:r>
      <w:r>
        <w:rPr>
          <w:rFonts w:ascii="Courier New" w:hAnsi="Courier New"/>
          <w:spacing w:val="-26"/>
          <w:sz w:val="28"/>
        </w:rPr>
        <w:t> </w:t>
      </w:r>
      <w:r>
        <w:rPr>
          <w:rFonts w:ascii="Courier New" w:hAnsi="Courier New"/>
          <w:sz w:val="28"/>
        </w:rPr>
        <w:t>which</w:t>
      </w:r>
      <w:r>
        <w:rPr>
          <w:rFonts w:ascii="Courier New" w:hAnsi="Courier New"/>
          <w:spacing w:val="-26"/>
          <w:sz w:val="28"/>
        </w:rPr>
        <w:t> </w:t>
      </w:r>
      <w:r>
        <w:rPr>
          <w:rFonts w:ascii="Courier New" w:hAnsi="Courier New"/>
          <w:sz w:val="28"/>
        </w:rPr>
        <w:t>is</w:t>
      </w:r>
      <w:r>
        <w:rPr>
          <w:rFonts w:ascii="Courier New" w:hAnsi="Courier New"/>
          <w:spacing w:val="-25"/>
          <w:sz w:val="28"/>
        </w:rPr>
        <w:t> </w:t>
      </w:r>
      <w:r>
        <w:rPr>
          <w:rFonts w:ascii="Courier New" w:hAnsi="Courier New"/>
          <w:sz w:val="28"/>
        </w:rPr>
        <w:t>necessary for the boundary. It is true that in the couplets Pindarak, Vighneshwar, Vashishth and Lomesh are mentioned in the above couplets. After listening first line</w:t>
      </w:r>
      <w:r>
        <w:rPr>
          <w:rFonts w:ascii="Courier New" w:hAnsi="Courier New"/>
          <w:spacing w:val="14"/>
          <w:sz w:val="28"/>
        </w:rPr>
        <w:t> </w:t>
      </w:r>
      <w:r>
        <w:rPr>
          <w:rFonts w:ascii="Courier New" w:hAnsi="Courier New"/>
          <w:sz w:val="28"/>
        </w:rPr>
        <w:t>of</w:t>
      </w:r>
    </w:p>
    <w:p>
      <w:pPr>
        <w:spacing w:after="0" w:line="240" w:lineRule="auto"/>
        <w:jc w:val="both"/>
        <w:rPr>
          <w:rFonts w:ascii="Courier New" w:hAnsi="Courier New"/>
          <w:sz w:val="28"/>
        </w:rPr>
        <w:sectPr>
          <w:headerReference w:type="default" r:id="rId298"/>
          <w:footerReference w:type="default" r:id="rId299"/>
          <w:pgSz w:w="11910" w:h="16840"/>
          <w:pgMar w:header="1439" w:footer="1063" w:top="1740" w:bottom="1260" w:left="1280" w:right="1280"/>
          <w:pgNumType w:start="45"/>
        </w:sectPr>
      </w:pPr>
    </w:p>
    <w:p>
      <w:pPr>
        <w:spacing w:line="240" w:lineRule="auto" w:before="86"/>
        <w:ind w:left="1011" w:right="1244" w:firstLine="0"/>
        <w:jc w:val="both"/>
        <w:rPr>
          <w:rFonts w:ascii="Courier New" w:hAnsi="Courier New"/>
          <w:sz w:val="28"/>
        </w:rPr>
      </w:pPr>
      <w:r>
        <w:rPr>
          <w:rFonts w:ascii="Courier New" w:hAnsi="Courier New"/>
          <w:sz w:val="28"/>
        </w:rPr>
        <w:t>the 18</w:t>
      </w:r>
      <w:r>
        <w:rPr>
          <w:rFonts w:ascii="Courier New" w:hAnsi="Courier New"/>
          <w:position w:val="8"/>
          <w:sz w:val="18"/>
        </w:rPr>
        <w:t>th </w:t>
      </w:r>
      <w:r>
        <w:rPr>
          <w:rFonts w:ascii="Courier New" w:hAnsi="Courier New"/>
          <w:sz w:val="28"/>
        </w:rPr>
        <w:t>couplet from the learned advocate cross-examining, the witness replied that from</w:t>
      </w:r>
      <w:r>
        <w:rPr>
          <w:rFonts w:ascii="Courier New" w:hAnsi="Courier New"/>
          <w:spacing w:val="-20"/>
          <w:sz w:val="28"/>
        </w:rPr>
        <w:t> </w:t>
      </w:r>
      <w:r>
        <w:rPr>
          <w:rFonts w:ascii="Courier New" w:hAnsi="Courier New"/>
          <w:sz w:val="28"/>
        </w:rPr>
        <w:t>this</w:t>
      </w:r>
      <w:r>
        <w:rPr>
          <w:rFonts w:ascii="Courier New" w:hAnsi="Courier New"/>
          <w:spacing w:val="-19"/>
          <w:sz w:val="28"/>
        </w:rPr>
        <w:t> </w:t>
      </w:r>
      <w:r>
        <w:rPr>
          <w:rFonts w:ascii="Courier New" w:hAnsi="Courier New"/>
          <w:sz w:val="28"/>
        </w:rPr>
        <w:t>place</w:t>
      </w:r>
      <w:r>
        <w:rPr>
          <w:rFonts w:ascii="Courier New" w:hAnsi="Courier New"/>
          <w:spacing w:val="-20"/>
          <w:sz w:val="28"/>
        </w:rPr>
        <w:t> </w:t>
      </w:r>
      <w:r>
        <w:rPr>
          <w:rFonts w:ascii="Courier New" w:hAnsi="Courier New"/>
          <w:sz w:val="28"/>
        </w:rPr>
        <w:t>on</w:t>
      </w:r>
      <w:r>
        <w:rPr>
          <w:rFonts w:ascii="Courier New" w:hAnsi="Courier New"/>
          <w:spacing w:val="-19"/>
          <w:sz w:val="28"/>
        </w:rPr>
        <w:t> </w:t>
      </w:r>
      <w:r>
        <w:rPr>
          <w:rFonts w:ascii="Courier New" w:hAnsi="Courier New"/>
          <w:sz w:val="28"/>
        </w:rPr>
        <w:t>has</w:t>
      </w:r>
      <w:r>
        <w:rPr>
          <w:rFonts w:ascii="Courier New" w:hAnsi="Courier New"/>
          <w:spacing w:val="-19"/>
          <w:sz w:val="28"/>
        </w:rPr>
        <w:t> </w:t>
      </w:r>
      <w:r>
        <w:rPr>
          <w:rFonts w:ascii="Courier New" w:hAnsi="Courier New"/>
          <w:sz w:val="28"/>
        </w:rPr>
        <w:t>to</w:t>
      </w:r>
      <w:r>
        <w:rPr>
          <w:rFonts w:ascii="Courier New" w:hAnsi="Courier New"/>
          <w:spacing w:val="-20"/>
          <w:sz w:val="28"/>
        </w:rPr>
        <w:t> </w:t>
      </w:r>
      <w:r>
        <w:rPr>
          <w:rFonts w:ascii="Courier New" w:hAnsi="Courier New"/>
          <w:sz w:val="28"/>
        </w:rPr>
        <w:t>go</w:t>
      </w:r>
      <w:r>
        <w:rPr>
          <w:rFonts w:ascii="Courier New" w:hAnsi="Courier New"/>
          <w:spacing w:val="-19"/>
          <w:sz w:val="28"/>
        </w:rPr>
        <w:t> </w:t>
      </w:r>
      <w:r>
        <w:rPr>
          <w:rFonts w:ascii="Courier New" w:hAnsi="Courier New"/>
          <w:sz w:val="28"/>
        </w:rPr>
        <w:t>towards,</w:t>
      </w:r>
      <w:r>
        <w:rPr>
          <w:rFonts w:ascii="Courier New" w:hAnsi="Courier New"/>
          <w:spacing w:val="-19"/>
          <w:sz w:val="28"/>
        </w:rPr>
        <w:t> </w:t>
      </w:r>
      <w:r>
        <w:rPr>
          <w:rFonts w:ascii="Courier New" w:hAnsi="Courier New"/>
          <w:sz w:val="28"/>
        </w:rPr>
        <w:t>Eshan direction for Janam Bhoomi. The meaning of “Pravartate” is that one who goes. The meaning of ‘Vighneshwar purva bhage’ is that on the eastern side of Vighneshwar. ‘Vashishthth uttare’ means on the Northern side of Vashishth. ‘Lomsath Paschime’ means on the Western side of Lomesh. ‘Janmasthanam tathati” means from there to Janmasthan. What I have said above indicates about the visit towards Janamasthan and not the clarity of its boundary.”</w:t>
      </w:r>
    </w:p>
    <w:p>
      <w:pPr>
        <w:pStyle w:val="BodyText"/>
        <w:rPr>
          <w:rFonts w:ascii="Courier New"/>
          <w:sz w:val="32"/>
        </w:rPr>
      </w:pPr>
    </w:p>
    <w:p>
      <w:pPr>
        <w:pStyle w:val="ListParagraph"/>
        <w:numPr>
          <w:ilvl w:val="0"/>
          <w:numId w:val="254"/>
        </w:numPr>
        <w:tabs>
          <w:tab w:pos="873" w:val="left" w:leader="none"/>
        </w:tabs>
        <w:spacing w:line="480" w:lineRule="auto" w:before="272" w:after="0"/>
        <w:ind w:left="160" w:right="158" w:firstLine="0"/>
        <w:jc w:val="both"/>
        <w:rPr>
          <w:rFonts w:ascii="Courier New" w:hAnsi="Courier New"/>
          <w:sz w:val="28"/>
        </w:rPr>
      </w:pPr>
      <w:r>
        <w:rPr>
          <w:rFonts w:ascii="Courier New" w:hAnsi="Courier New"/>
          <w:sz w:val="28"/>
        </w:rPr>
        <w:t>According to the above witness, clear boundaries have not been given of the Ram Janma Bhumi but indications have been given about the legends</w:t>
      </w:r>
      <w:r>
        <w:rPr>
          <w:rFonts w:ascii="Courier New" w:hAnsi="Courier New"/>
          <w:spacing w:val="-69"/>
          <w:sz w:val="28"/>
        </w:rPr>
        <w:t> </w:t>
      </w:r>
      <w:r>
        <w:rPr>
          <w:rFonts w:ascii="Courier New" w:hAnsi="Courier New"/>
          <w:sz w:val="28"/>
        </w:rPr>
        <w:t>situated on eastern, western and northern side and how to</w:t>
      </w:r>
      <w:r>
        <w:rPr>
          <w:rFonts w:ascii="Courier New" w:hAnsi="Courier New"/>
          <w:spacing w:val="-70"/>
          <w:sz w:val="28"/>
        </w:rPr>
        <w:t> </w:t>
      </w:r>
      <w:r>
        <w:rPr>
          <w:rFonts w:ascii="Courier New" w:hAnsi="Courier New"/>
          <w:sz w:val="28"/>
        </w:rPr>
        <w:t>reach the Ram Janma Bhumi. Accordingly, the above are sufficient indication to locate the Ram Janma Bhumi. Boundaries as required to refer in a sale or lease documents were not contemplated to be given in such ancient Text as Ayodhya Mahatmya of Skanda Purana. As noted above, Dr. Rajeev Dhavan refuting the identification, the marks given in Ayodhya Mahatmya</w:t>
      </w:r>
      <w:r>
        <w:rPr>
          <w:rFonts w:ascii="Courier New" w:hAnsi="Courier New"/>
          <w:spacing w:val="-71"/>
          <w:sz w:val="28"/>
        </w:rPr>
        <w:t> </w:t>
      </w:r>
      <w:r>
        <w:rPr>
          <w:rFonts w:ascii="Courier New" w:hAnsi="Courier New"/>
          <w:sz w:val="28"/>
        </w:rPr>
        <w:t>of Skanda Purana has placed heavy reliance on the Historian’s</w:t>
      </w:r>
      <w:r>
        <w:rPr>
          <w:rFonts w:ascii="Courier New" w:hAnsi="Courier New"/>
          <w:spacing w:val="72"/>
          <w:sz w:val="28"/>
        </w:rPr>
        <w:t> </w:t>
      </w:r>
      <w:r>
        <w:rPr>
          <w:rFonts w:ascii="Courier New" w:hAnsi="Courier New"/>
          <w:sz w:val="28"/>
        </w:rPr>
        <w:t>reports</w:t>
      </w:r>
      <w:r>
        <w:rPr>
          <w:rFonts w:ascii="Courier New" w:hAnsi="Courier New"/>
          <w:spacing w:val="73"/>
          <w:sz w:val="28"/>
        </w:rPr>
        <w:t> </w:t>
      </w:r>
      <w:r>
        <w:rPr>
          <w:rFonts w:ascii="Courier New" w:hAnsi="Courier New"/>
          <w:sz w:val="28"/>
        </w:rPr>
        <w:t>to</w:t>
      </w:r>
      <w:r>
        <w:rPr>
          <w:rFonts w:ascii="Courier New" w:hAnsi="Courier New"/>
          <w:spacing w:val="73"/>
          <w:sz w:val="28"/>
        </w:rPr>
        <w:t> </w:t>
      </w:r>
      <w:r>
        <w:rPr>
          <w:rFonts w:ascii="Courier New" w:hAnsi="Courier New"/>
          <w:sz w:val="28"/>
        </w:rPr>
        <w:t>the</w:t>
      </w:r>
      <w:r>
        <w:rPr>
          <w:rFonts w:ascii="Courier New" w:hAnsi="Courier New"/>
          <w:spacing w:val="73"/>
          <w:sz w:val="28"/>
        </w:rPr>
        <w:t> </w:t>
      </w:r>
      <w:r>
        <w:rPr>
          <w:rFonts w:ascii="Courier New" w:hAnsi="Courier New"/>
          <w:sz w:val="28"/>
        </w:rPr>
        <w:t>Nation</w:t>
      </w:r>
      <w:r>
        <w:rPr>
          <w:rFonts w:ascii="Courier New" w:hAnsi="Courier New"/>
          <w:spacing w:val="73"/>
          <w:sz w:val="28"/>
        </w:rPr>
        <w:t> </w:t>
      </w:r>
      <w:r>
        <w:rPr>
          <w:rFonts w:ascii="Courier New" w:hAnsi="Courier New"/>
          <w:sz w:val="28"/>
        </w:rPr>
        <w:t>dated</w:t>
      </w:r>
      <w:r>
        <w:rPr>
          <w:rFonts w:ascii="Courier New" w:hAnsi="Courier New"/>
          <w:spacing w:val="73"/>
          <w:sz w:val="28"/>
        </w:rPr>
        <w:t> </w:t>
      </w:r>
      <w:r>
        <w:rPr>
          <w:rFonts w:ascii="Courier New" w:hAnsi="Courier New"/>
          <w:sz w:val="28"/>
        </w:rPr>
        <w:t>13.05.1991.</w:t>
      </w:r>
    </w:p>
    <w:p>
      <w:pPr>
        <w:spacing w:after="0" w:line="480" w:lineRule="auto"/>
        <w:jc w:val="both"/>
        <w:rPr>
          <w:rFonts w:ascii="Courier New" w:hAnsi="Courier New"/>
          <w:sz w:val="28"/>
        </w:rPr>
        <w:sectPr>
          <w:headerReference w:type="default" r:id="rId300"/>
          <w:footerReference w:type="default" r:id="rId301"/>
          <w:pgSz w:w="11910" w:h="16840"/>
          <w:pgMar w:header="0" w:footer="1063" w:top="1340" w:bottom="1260" w:left="1280" w:right="1280"/>
          <w:pgNumType w:start="46"/>
        </w:sectPr>
      </w:pPr>
    </w:p>
    <w:p>
      <w:pPr>
        <w:spacing w:line="480" w:lineRule="auto" w:before="86"/>
        <w:ind w:left="160" w:right="158" w:firstLine="0"/>
        <w:jc w:val="both"/>
        <w:rPr>
          <w:rFonts w:ascii="Courier New"/>
          <w:sz w:val="28"/>
        </w:rPr>
      </w:pPr>
      <w:r>
        <w:rPr>
          <w:rFonts w:ascii="Courier New"/>
          <w:sz w:val="28"/>
        </w:rPr>
        <w:t>Dr. Rajeev Dhavan refuting the arguments based on the locations of Ram Janma Bhumi as given in Ayodhya Mahatmya</w:t>
      </w:r>
      <w:r>
        <w:rPr>
          <w:rFonts w:ascii="Courier New"/>
          <w:spacing w:val="-31"/>
          <w:sz w:val="28"/>
        </w:rPr>
        <w:t> </w:t>
      </w:r>
      <w:r>
        <w:rPr>
          <w:rFonts w:ascii="Courier New"/>
          <w:sz w:val="28"/>
        </w:rPr>
        <w:t>of</w:t>
      </w:r>
      <w:r>
        <w:rPr>
          <w:rFonts w:ascii="Courier New"/>
          <w:spacing w:val="-30"/>
          <w:sz w:val="28"/>
        </w:rPr>
        <w:t> </w:t>
      </w:r>
      <w:r>
        <w:rPr>
          <w:rFonts w:ascii="Courier New"/>
          <w:sz w:val="28"/>
        </w:rPr>
        <w:t>Skanda</w:t>
      </w:r>
      <w:r>
        <w:rPr>
          <w:rFonts w:ascii="Courier New"/>
          <w:spacing w:val="-30"/>
          <w:sz w:val="28"/>
        </w:rPr>
        <w:t> </w:t>
      </w:r>
      <w:r>
        <w:rPr>
          <w:rFonts w:ascii="Courier New"/>
          <w:sz w:val="28"/>
        </w:rPr>
        <w:t>Purana</w:t>
      </w:r>
      <w:r>
        <w:rPr>
          <w:rFonts w:ascii="Courier New"/>
          <w:spacing w:val="-30"/>
          <w:sz w:val="28"/>
        </w:rPr>
        <w:t> </w:t>
      </w:r>
      <w:r>
        <w:rPr>
          <w:rFonts w:ascii="Courier New"/>
          <w:sz w:val="28"/>
        </w:rPr>
        <w:t>rely</w:t>
      </w:r>
      <w:r>
        <w:rPr>
          <w:rFonts w:ascii="Courier New"/>
          <w:spacing w:val="-30"/>
          <w:sz w:val="28"/>
        </w:rPr>
        <w:t> </w:t>
      </w:r>
      <w:r>
        <w:rPr>
          <w:rFonts w:ascii="Courier New"/>
          <w:sz w:val="28"/>
        </w:rPr>
        <w:t>on</w:t>
      </w:r>
      <w:r>
        <w:rPr>
          <w:rFonts w:ascii="Courier New"/>
          <w:spacing w:val="-30"/>
          <w:sz w:val="28"/>
        </w:rPr>
        <w:t> </w:t>
      </w:r>
      <w:r>
        <w:rPr>
          <w:rFonts w:ascii="Courier New"/>
          <w:sz w:val="28"/>
        </w:rPr>
        <w:t>the</w:t>
      </w:r>
      <w:r>
        <w:rPr>
          <w:rFonts w:ascii="Courier New"/>
          <w:spacing w:val="-31"/>
          <w:sz w:val="28"/>
        </w:rPr>
        <w:t> </w:t>
      </w:r>
      <w:r>
        <w:rPr>
          <w:rFonts w:ascii="Courier New"/>
          <w:sz w:val="28"/>
        </w:rPr>
        <w:t>Historian</w:t>
      </w:r>
      <w:r>
        <w:rPr>
          <w:rFonts w:ascii="Courier New"/>
          <w:spacing w:val="-30"/>
          <w:sz w:val="28"/>
        </w:rPr>
        <w:t> </w:t>
      </w:r>
      <w:r>
        <w:rPr>
          <w:rFonts w:ascii="Courier New"/>
          <w:sz w:val="28"/>
        </w:rPr>
        <w:t>Reports to Nation. Arguments made by Shri P.N. Mishra,</w:t>
      </w:r>
      <w:r>
        <w:rPr>
          <w:rFonts w:ascii="Courier New"/>
          <w:spacing w:val="-67"/>
          <w:sz w:val="28"/>
        </w:rPr>
        <w:t> </w:t>
      </w:r>
      <w:r>
        <w:rPr>
          <w:rFonts w:ascii="Courier New"/>
          <w:sz w:val="28"/>
        </w:rPr>
        <w:t>relying on book Ayodhya by Hans Bakker has been refuted by making following</w:t>
      </w:r>
      <w:r>
        <w:rPr>
          <w:rFonts w:ascii="Courier New"/>
          <w:spacing w:val="-3"/>
          <w:sz w:val="28"/>
        </w:rPr>
        <w:t> </w:t>
      </w:r>
      <w:r>
        <w:rPr>
          <w:rFonts w:ascii="Courier New"/>
          <w:sz w:val="28"/>
        </w:rPr>
        <w:t>submissions:-</w:t>
      </w:r>
    </w:p>
    <w:p>
      <w:pPr>
        <w:pStyle w:val="ListParagraph"/>
        <w:numPr>
          <w:ilvl w:val="1"/>
          <w:numId w:val="254"/>
        </w:numPr>
        <w:tabs>
          <w:tab w:pos="1852" w:val="left" w:leader="none"/>
        </w:tabs>
        <w:spacing w:line="240" w:lineRule="auto" w:before="0" w:after="0"/>
        <w:ind w:left="1851" w:right="1244" w:hanging="840"/>
        <w:jc w:val="both"/>
        <w:rPr>
          <w:rFonts w:ascii="Courier New" w:hAnsi="Courier New"/>
          <w:sz w:val="28"/>
        </w:rPr>
      </w:pPr>
      <w:r>
        <w:rPr>
          <w:rFonts w:ascii="Courier New" w:hAnsi="Courier New"/>
          <w:sz w:val="28"/>
        </w:rPr>
        <w:t>Hans Bakker proceeds on the presump- tion that Ayodhya is not a real city but a figment of the poet’s imagina- tion;</w:t>
      </w:r>
    </w:p>
    <w:p>
      <w:pPr>
        <w:pStyle w:val="BodyText"/>
        <w:rPr>
          <w:rFonts w:ascii="Courier New"/>
          <w:sz w:val="32"/>
        </w:rPr>
      </w:pPr>
    </w:p>
    <w:p>
      <w:pPr>
        <w:pStyle w:val="ListParagraph"/>
        <w:numPr>
          <w:ilvl w:val="1"/>
          <w:numId w:val="254"/>
        </w:numPr>
        <w:tabs>
          <w:tab w:pos="1852" w:val="left" w:leader="none"/>
        </w:tabs>
        <w:spacing w:line="240" w:lineRule="auto" w:before="274" w:after="0"/>
        <w:ind w:left="1851" w:right="1246" w:hanging="840"/>
        <w:jc w:val="both"/>
        <w:rPr>
          <w:rFonts w:ascii="Courier New"/>
          <w:sz w:val="28"/>
        </w:rPr>
      </w:pPr>
      <w:r>
        <w:rPr>
          <w:rFonts w:ascii="Courier New"/>
          <w:sz w:val="28"/>
        </w:rPr>
        <w:t>He</w:t>
      </w:r>
      <w:r>
        <w:rPr>
          <w:rFonts w:ascii="Courier New"/>
          <w:spacing w:val="-25"/>
          <w:sz w:val="28"/>
        </w:rPr>
        <w:t> </w:t>
      </w:r>
      <w:r>
        <w:rPr>
          <w:rFonts w:ascii="Courier New"/>
          <w:sz w:val="28"/>
        </w:rPr>
        <w:t>proceeds</w:t>
      </w:r>
      <w:r>
        <w:rPr>
          <w:rFonts w:ascii="Courier New"/>
          <w:spacing w:val="-25"/>
          <w:sz w:val="28"/>
        </w:rPr>
        <w:t> </w:t>
      </w:r>
      <w:r>
        <w:rPr>
          <w:rFonts w:ascii="Courier New"/>
          <w:sz w:val="28"/>
        </w:rPr>
        <w:t>by</w:t>
      </w:r>
      <w:r>
        <w:rPr>
          <w:rFonts w:ascii="Courier New"/>
          <w:spacing w:val="-27"/>
          <w:sz w:val="28"/>
        </w:rPr>
        <w:t> </w:t>
      </w:r>
      <w:r>
        <w:rPr>
          <w:rFonts w:ascii="Courier New"/>
          <w:sz w:val="28"/>
        </w:rPr>
        <w:t>equating</w:t>
      </w:r>
      <w:r>
        <w:rPr>
          <w:rFonts w:ascii="Courier New"/>
          <w:spacing w:val="-25"/>
          <w:sz w:val="28"/>
        </w:rPr>
        <w:t> </w:t>
      </w:r>
      <w:r>
        <w:rPr>
          <w:rFonts w:ascii="Courier New"/>
          <w:sz w:val="28"/>
        </w:rPr>
        <w:t>Ayodhya</w:t>
      </w:r>
      <w:r>
        <w:rPr>
          <w:rFonts w:ascii="Courier New"/>
          <w:spacing w:val="-25"/>
          <w:sz w:val="28"/>
        </w:rPr>
        <w:t> </w:t>
      </w:r>
      <w:r>
        <w:rPr>
          <w:rFonts w:ascii="Courier New"/>
          <w:sz w:val="28"/>
        </w:rPr>
        <w:t>to</w:t>
      </w:r>
      <w:r>
        <w:rPr>
          <w:rFonts w:ascii="Courier New"/>
          <w:spacing w:val="-25"/>
          <w:sz w:val="28"/>
        </w:rPr>
        <w:t> </w:t>
      </w:r>
      <w:r>
        <w:rPr>
          <w:rFonts w:ascii="Courier New"/>
          <w:sz w:val="28"/>
        </w:rPr>
        <w:t>the city of</w:t>
      </w:r>
      <w:r>
        <w:rPr>
          <w:rFonts w:ascii="Courier New"/>
          <w:spacing w:val="-3"/>
          <w:sz w:val="28"/>
        </w:rPr>
        <w:t> </w:t>
      </w:r>
      <w:r>
        <w:rPr>
          <w:rFonts w:ascii="Courier New"/>
          <w:sz w:val="28"/>
        </w:rPr>
        <w:t>Saketa;</w:t>
      </w:r>
    </w:p>
    <w:p>
      <w:pPr>
        <w:pStyle w:val="BodyText"/>
        <w:rPr>
          <w:rFonts w:ascii="Courier New"/>
          <w:sz w:val="32"/>
        </w:rPr>
      </w:pPr>
    </w:p>
    <w:p>
      <w:pPr>
        <w:pStyle w:val="ListParagraph"/>
        <w:numPr>
          <w:ilvl w:val="1"/>
          <w:numId w:val="254"/>
        </w:numPr>
        <w:tabs>
          <w:tab w:pos="1852" w:val="left" w:leader="none"/>
        </w:tabs>
        <w:spacing w:line="240" w:lineRule="auto" w:before="275" w:after="0"/>
        <w:ind w:left="1851" w:right="1245" w:hanging="840"/>
        <w:jc w:val="both"/>
        <w:rPr>
          <w:rFonts w:ascii="Courier New"/>
          <w:sz w:val="28"/>
        </w:rPr>
      </w:pPr>
      <w:r>
        <w:rPr>
          <w:rFonts w:ascii="Courier New"/>
          <w:sz w:val="28"/>
        </w:rPr>
        <w:t>Even</w:t>
      </w:r>
      <w:r>
        <w:rPr>
          <w:rFonts w:ascii="Courier New"/>
          <w:spacing w:val="-31"/>
          <w:sz w:val="28"/>
        </w:rPr>
        <w:t> </w:t>
      </w:r>
      <w:r>
        <w:rPr>
          <w:rFonts w:ascii="Courier New"/>
          <w:sz w:val="28"/>
        </w:rPr>
        <w:t>while</w:t>
      </w:r>
      <w:r>
        <w:rPr>
          <w:rFonts w:ascii="Courier New"/>
          <w:spacing w:val="-31"/>
          <w:sz w:val="28"/>
        </w:rPr>
        <w:t> </w:t>
      </w:r>
      <w:r>
        <w:rPr>
          <w:rFonts w:ascii="Courier New"/>
          <w:sz w:val="28"/>
        </w:rPr>
        <w:t>mapping</w:t>
      </w:r>
      <w:r>
        <w:rPr>
          <w:rFonts w:ascii="Courier New"/>
          <w:spacing w:val="-30"/>
          <w:sz w:val="28"/>
        </w:rPr>
        <w:t> </w:t>
      </w:r>
      <w:r>
        <w:rPr>
          <w:rFonts w:ascii="Courier New"/>
          <w:sz w:val="28"/>
        </w:rPr>
        <w:t>the</w:t>
      </w:r>
      <w:r>
        <w:rPr>
          <w:rFonts w:ascii="Courier New"/>
          <w:spacing w:val="-31"/>
          <w:sz w:val="28"/>
        </w:rPr>
        <w:t> </w:t>
      </w:r>
      <w:r>
        <w:rPr>
          <w:rFonts w:ascii="Courier New"/>
          <w:sz w:val="28"/>
        </w:rPr>
        <w:t>birthplace</w:t>
      </w:r>
      <w:r>
        <w:rPr>
          <w:rFonts w:ascii="Courier New"/>
          <w:spacing w:val="-30"/>
          <w:sz w:val="28"/>
        </w:rPr>
        <w:t> </w:t>
      </w:r>
      <w:r>
        <w:rPr>
          <w:rFonts w:ascii="Courier New"/>
          <w:sz w:val="28"/>
        </w:rPr>
        <w:t>from Ayodhya Mahatmya, he cites considera- ble</w:t>
      </w:r>
      <w:r>
        <w:rPr>
          <w:rFonts w:ascii="Courier New"/>
          <w:spacing w:val="-39"/>
          <w:sz w:val="28"/>
        </w:rPr>
        <w:t> </w:t>
      </w:r>
      <w:r>
        <w:rPr>
          <w:rFonts w:ascii="Courier New"/>
          <w:sz w:val="28"/>
        </w:rPr>
        <w:t>difficulties</w:t>
      </w:r>
      <w:r>
        <w:rPr>
          <w:rFonts w:ascii="Courier New"/>
          <w:spacing w:val="-38"/>
          <w:sz w:val="28"/>
        </w:rPr>
        <w:t> </w:t>
      </w:r>
      <w:r>
        <w:rPr>
          <w:rFonts w:ascii="Courier New"/>
          <w:sz w:val="28"/>
        </w:rPr>
        <w:t>and</w:t>
      </w:r>
      <w:r>
        <w:rPr>
          <w:rFonts w:ascii="Courier New"/>
          <w:spacing w:val="-39"/>
          <w:sz w:val="28"/>
        </w:rPr>
        <w:t> </w:t>
      </w:r>
      <w:r>
        <w:rPr>
          <w:rFonts w:ascii="Courier New"/>
          <w:sz w:val="28"/>
        </w:rPr>
        <w:t>ultimately</w:t>
      </w:r>
      <w:r>
        <w:rPr>
          <w:rFonts w:ascii="Courier New"/>
          <w:spacing w:val="-39"/>
          <w:sz w:val="28"/>
        </w:rPr>
        <w:t> </w:t>
      </w:r>
      <w:r>
        <w:rPr>
          <w:rFonts w:ascii="Courier New"/>
          <w:sz w:val="28"/>
        </w:rPr>
        <w:t>states that Babri Masjid is built at the birthplace as is confirmed by local belief.</w:t>
      </w:r>
    </w:p>
    <w:p>
      <w:pPr>
        <w:pStyle w:val="BodyText"/>
        <w:rPr>
          <w:rFonts w:ascii="Courier New"/>
          <w:sz w:val="32"/>
        </w:rPr>
      </w:pPr>
    </w:p>
    <w:p>
      <w:pPr>
        <w:pStyle w:val="ListParagraph"/>
        <w:numPr>
          <w:ilvl w:val="1"/>
          <w:numId w:val="254"/>
        </w:numPr>
        <w:tabs>
          <w:tab w:pos="1852" w:val="left" w:leader="none"/>
        </w:tabs>
        <w:spacing w:line="240" w:lineRule="auto" w:before="273" w:after="0"/>
        <w:ind w:left="1851" w:right="1248" w:hanging="840"/>
        <w:jc w:val="both"/>
        <w:rPr>
          <w:rFonts w:ascii="Courier New" w:hAnsi="Courier New"/>
          <w:sz w:val="28"/>
        </w:rPr>
      </w:pPr>
      <w:r>
        <w:rPr>
          <w:rFonts w:ascii="Courier New" w:hAnsi="Courier New"/>
          <w:sz w:val="28"/>
        </w:rPr>
        <w:t>Even the impugned judgment records that</w:t>
      </w:r>
      <w:r>
        <w:rPr>
          <w:rFonts w:ascii="Courier New" w:hAnsi="Courier New"/>
          <w:spacing w:val="-26"/>
          <w:sz w:val="28"/>
        </w:rPr>
        <w:t> </w:t>
      </w:r>
      <w:r>
        <w:rPr>
          <w:rFonts w:ascii="Courier New" w:hAnsi="Courier New"/>
          <w:sz w:val="28"/>
        </w:rPr>
        <w:t>Hans</w:t>
      </w:r>
      <w:r>
        <w:rPr>
          <w:rFonts w:ascii="Courier New" w:hAnsi="Courier New"/>
          <w:spacing w:val="-25"/>
          <w:sz w:val="28"/>
        </w:rPr>
        <w:t> </w:t>
      </w:r>
      <w:r>
        <w:rPr>
          <w:rFonts w:ascii="Courier New" w:hAnsi="Courier New"/>
          <w:sz w:val="28"/>
        </w:rPr>
        <w:t>Bakker</w:t>
      </w:r>
      <w:r>
        <w:rPr>
          <w:rFonts w:ascii="Courier New" w:hAnsi="Courier New"/>
          <w:spacing w:val="-25"/>
          <w:sz w:val="28"/>
        </w:rPr>
        <w:t> </w:t>
      </w:r>
      <w:r>
        <w:rPr>
          <w:rFonts w:ascii="Courier New" w:hAnsi="Courier New"/>
          <w:sz w:val="28"/>
        </w:rPr>
        <w:t>proceeds</w:t>
      </w:r>
      <w:r>
        <w:rPr>
          <w:rFonts w:ascii="Courier New" w:hAnsi="Courier New"/>
          <w:spacing w:val="-25"/>
          <w:sz w:val="28"/>
        </w:rPr>
        <w:t> </w:t>
      </w:r>
      <w:r>
        <w:rPr>
          <w:rFonts w:ascii="Courier New" w:hAnsi="Courier New"/>
          <w:sz w:val="28"/>
        </w:rPr>
        <w:t>on</w:t>
      </w:r>
      <w:r>
        <w:rPr>
          <w:rFonts w:ascii="Courier New" w:hAnsi="Courier New"/>
          <w:spacing w:val="-28"/>
          <w:sz w:val="28"/>
        </w:rPr>
        <w:t> </w:t>
      </w:r>
      <w:r>
        <w:rPr>
          <w:rFonts w:ascii="Courier New" w:hAnsi="Courier New"/>
          <w:sz w:val="28"/>
        </w:rPr>
        <w:t>the</w:t>
      </w:r>
      <w:r>
        <w:rPr>
          <w:rFonts w:ascii="Courier New" w:hAnsi="Courier New"/>
          <w:spacing w:val="-25"/>
          <w:sz w:val="28"/>
        </w:rPr>
        <w:t> </w:t>
      </w:r>
      <w:r>
        <w:rPr>
          <w:rFonts w:ascii="Courier New" w:hAnsi="Courier New"/>
          <w:sz w:val="28"/>
        </w:rPr>
        <w:t>basis of conjectures without assigning any reason.“</w:t>
      </w:r>
    </w:p>
    <w:p>
      <w:pPr>
        <w:pStyle w:val="BodyText"/>
        <w:rPr>
          <w:rFonts w:ascii="Courier New"/>
          <w:sz w:val="32"/>
        </w:rPr>
      </w:pPr>
    </w:p>
    <w:p>
      <w:pPr>
        <w:pStyle w:val="BodyText"/>
        <w:spacing w:before="2"/>
        <w:rPr>
          <w:rFonts w:ascii="Courier New"/>
          <w:sz w:val="38"/>
        </w:rPr>
      </w:pPr>
    </w:p>
    <w:p>
      <w:pPr>
        <w:pStyle w:val="ListParagraph"/>
        <w:numPr>
          <w:ilvl w:val="0"/>
          <w:numId w:val="254"/>
        </w:numPr>
        <w:tabs>
          <w:tab w:pos="1062" w:val="left" w:leader="none"/>
        </w:tabs>
        <w:spacing w:line="240" w:lineRule="auto" w:before="0" w:after="0"/>
        <w:ind w:left="1061" w:right="0" w:hanging="903"/>
        <w:jc w:val="both"/>
        <w:rPr>
          <w:rFonts w:ascii="Courier New" w:hAnsi="Courier New"/>
          <w:sz w:val="28"/>
        </w:rPr>
      </w:pPr>
      <w:r>
        <w:rPr>
          <w:rFonts w:ascii="Courier New" w:hAnsi="Courier New"/>
          <w:sz w:val="28"/>
        </w:rPr>
        <w:t>The Historian’s Report to Nation, which is</w:t>
      </w:r>
      <w:r>
        <w:rPr>
          <w:rFonts w:ascii="Courier New" w:hAnsi="Courier New"/>
          <w:spacing w:val="37"/>
          <w:sz w:val="28"/>
        </w:rPr>
        <w:t> </w:t>
      </w:r>
      <w:r>
        <w:rPr>
          <w:rFonts w:ascii="Courier New" w:hAnsi="Courier New"/>
          <w:sz w:val="28"/>
        </w:rPr>
        <w:t>Ext.</w:t>
      </w:r>
    </w:p>
    <w:p>
      <w:pPr>
        <w:pStyle w:val="BodyText"/>
        <w:spacing w:before="11"/>
        <w:rPr>
          <w:rFonts w:ascii="Courier New"/>
          <w:sz w:val="27"/>
        </w:rPr>
      </w:pPr>
    </w:p>
    <w:p>
      <w:pPr>
        <w:spacing w:line="480" w:lineRule="auto" w:before="0"/>
        <w:ind w:left="159" w:right="161" w:firstLine="0"/>
        <w:jc w:val="both"/>
        <w:rPr>
          <w:rFonts w:ascii="Courier New"/>
          <w:sz w:val="28"/>
        </w:rPr>
      </w:pPr>
      <w:r>
        <w:rPr>
          <w:rFonts w:ascii="Courier New"/>
          <w:sz w:val="28"/>
        </w:rPr>
        <w:t>No.62 in Suit No.4 may be first considered. Report referred to as a Historian Report to the Nation was their comments on the stand of Vishva Hindu Parishad</w:t>
      </w:r>
    </w:p>
    <w:p>
      <w:pPr>
        <w:spacing w:after="0" w:line="480" w:lineRule="auto"/>
        <w:jc w:val="both"/>
        <w:rPr>
          <w:rFonts w:ascii="Courier New"/>
          <w:sz w:val="28"/>
        </w:rPr>
        <w:sectPr>
          <w:headerReference w:type="default" r:id="rId302"/>
          <w:footerReference w:type="default" r:id="rId303"/>
          <w:pgSz w:w="11910" w:h="16840"/>
          <w:pgMar w:header="0" w:footer="1063" w:top="1340" w:bottom="1260" w:left="1280" w:right="1280"/>
          <w:pgNumType w:start="47"/>
        </w:sectPr>
      </w:pPr>
    </w:p>
    <w:p>
      <w:pPr>
        <w:spacing w:line="480" w:lineRule="auto" w:before="86"/>
        <w:ind w:left="160" w:right="158" w:firstLine="0"/>
        <w:jc w:val="both"/>
        <w:rPr>
          <w:rFonts w:ascii="Courier New" w:hAnsi="Courier New"/>
          <w:sz w:val="28"/>
        </w:rPr>
      </w:pPr>
      <w:r>
        <w:rPr>
          <w:rFonts w:ascii="Courier New" w:hAnsi="Courier New"/>
          <w:sz w:val="28"/>
        </w:rPr>
        <w:t>in the Ayodhya dispute. The four Historian in their letter to the Government of India opined “Our study shows</w:t>
      </w:r>
      <w:r>
        <w:rPr>
          <w:rFonts w:ascii="Courier New" w:hAnsi="Courier New"/>
          <w:spacing w:val="-27"/>
          <w:sz w:val="28"/>
        </w:rPr>
        <w:t> </w:t>
      </w:r>
      <w:r>
        <w:rPr>
          <w:rFonts w:ascii="Courier New" w:hAnsi="Courier New"/>
          <w:sz w:val="28"/>
        </w:rPr>
        <w:t>neither</w:t>
      </w:r>
      <w:r>
        <w:rPr>
          <w:rFonts w:ascii="Courier New" w:hAnsi="Courier New"/>
          <w:spacing w:val="-24"/>
          <w:sz w:val="28"/>
        </w:rPr>
        <w:t> </w:t>
      </w:r>
      <w:r>
        <w:rPr>
          <w:rFonts w:ascii="Courier New" w:hAnsi="Courier New"/>
          <w:sz w:val="28"/>
        </w:rPr>
        <w:t>any</w:t>
      </w:r>
      <w:r>
        <w:rPr>
          <w:rFonts w:ascii="Courier New" w:hAnsi="Courier New"/>
          <w:spacing w:val="-26"/>
          <w:sz w:val="28"/>
        </w:rPr>
        <w:t> </w:t>
      </w:r>
      <w:r>
        <w:rPr>
          <w:rFonts w:ascii="Courier New" w:hAnsi="Courier New"/>
          <w:sz w:val="28"/>
        </w:rPr>
        <w:t>evidence</w:t>
      </w:r>
      <w:r>
        <w:rPr>
          <w:rFonts w:ascii="Courier New" w:hAnsi="Courier New"/>
          <w:spacing w:val="-27"/>
          <w:sz w:val="28"/>
        </w:rPr>
        <w:t> </w:t>
      </w:r>
      <w:r>
        <w:rPr>
          <w:rFonts w:ascii="Courier New" w:hAnsi="Courier New"/>
          <w:sz w:val="28"/>
        </w:rPr>
        <w:t>of</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existence</w:t>
      </w:r>
      <w:r>
        <w:rPr>
          <w:rFonts w:ascii="Courier New" w:hAnsi="Courier New"/>
          <w:spacing w:val="-27"/>
          <w:sz w:val="28"/>
        </w:rPr>
        <w:t> </w:t>
      </w:r>
      <w:r>
        <w:rPr>
          <w:rFonts w:ascii="Courier New" w:hAnsi="Courier New"/>
          <w:sz w:val="28"/>
        </w:rPr>
        <w:t>of</w:t>
      </w:r>
      <w:r>
        <w:rPr>
          <w:rFonts w:ascii="Courier New" w:hAnsi="Courier New"/>
          <w:spacing w:val="-26"/>
          <w:sz w:val="28"/>
        </w:rPr>
        <w:t> </w:t>
      </w:r>
      <w:r>
        <w:rPr>
          <w:rFonts w:ascii="Courier New" w:hAnsi="Courier New"/>
          <w:sz w:val="28"/>
        </w:rPr>
        <w:t>a</w:t>
      </w:r>
      <w:r>
        <w:rPr>
          <w:rFonts w:ascii="Courier New" w:hAnsi="Courier New"/>
          <w:spacing w:val="-26"/>
          <w:sz w:val="28"/>
        </w:rPr>
        <w:t> </w:t>
      </w:r>
      <w:r>
        <w:rPr>
          <w:rFonts w:ascii="Courier New" w:hAnsi="Courier New"/>
          <w:sz w:val="28"/>
        </w:rPr>
        <w:t>temple on the site of Babri Masjid nor of the destruction of any other structure there prior to the construction</w:t>
      </w:r>
      <w:r>
        <w:rPr>
          <w:rFonts w:ascii="Courier New" w:hAnsi="Courier New"/>
          <w:spacing w:val="-67"/>
          <w:sz w:val="28"/>
        </w:rPr>
        <w:t> </w:t>
      </w:r>
      <w:r>
        <w:rPr>
          <w:rFonts w:ascii="Courier New" w:hAnsi="Courier New"/>
          <w:sz w:val="28"/>
        </w:rPr>
        <w:t>of the</w:t>
      </w:r>
      <w:r>
        <w:rPr>
          <w:rFonts w:ascii="Courier New" w:hAnsi="Courier New"/>
          <w:spacing w:val="-2"/>
          <w:sz w:val="28"/>
        </w:rPr>
        <w:t> </w:t>
      </w:r>
      <w:r>
        <w:rPr>
          <w:rFonts w:ascii="Courier New" w:hAnsi="Courier New"/>
          <w:sz w:val="28"/>
        </w:rPr>
        <w:t>mosque.”</w:t>
      </w:r>
    </w:p>
    <w:p>
      <w:pPr>
        <w:pStyle w:val="BodyText"/>
        <w:rPr>
          <w:rFonts w:ascii="Courier New"/>
          <w:sz w:val="32"/>
        </w:rPr>
      </w:pPr>
    </w:p>
    <w:p>
      <w:pPr>
        <w:pStyle w:val="ListParagraph"/>
        <w:numPr>
          <w:ilvl w:val="0"/>
          <w:numId w:val="254"/>
        </w:numPr>
        <w:tabs>
          <w:tab w:pos="930" w:val="left" w:leader="none"/>
        </w:tabs>
        <w:spacing w:line="480" w:lineRule="auto" w:before="270" w:after="0"/>
        <w:ind w:left="159" w:right="158" w:firstLine="0"/>
        <w:jc w:val="both"/>
        <w:rPr>
          <w:rFonts w:ascii="Courier New" w:hAnsi="Courier New"/>
          <w:sz w:val="28"/>
        </w:rPr>
      </w:pPr>
      <w:r>
        <w:rPr>
          <w:rFonts w:ascii="Courier New" w:hAnsi="Courier New"/>
          <w:sz w:val="28"/>
        </w:rPr>
        <w:t>The above observations in the report that the absence of any such reference to ancient Sanskrit</w:t>
      </w:r>
      <w:r>
        <w:rPr>
          <w:rFonts w:ascii="Courier New" w:hAnsi="Courier New"/>
          <w:spacing w:val="-67"/>
          <w:sz w:val="28"/>
        </w:rPr>
        <w:t> </w:t>
      </w:r>
      <w:r>
        <w:rPr>
          <w:rFonts w:ascii="Courier New" w:hAnsi="Courier New"/>
          <w:sz w:val="28"/>
        </w:rPr>
        <w:t>text makes it very doubtful that belief in Ram Janma</w:t>
      </w:r>
      <w:r>
        <w:rPr>
          <w:rFonts w:ascii="Courier New" w:hAnsi="Courier New"/>
          <w:spacing w:val="-70"/>
          <w:sz w:val="28"/>
        </w:rPr>
        <w:t> </w:t>
      </w:r>
      <w:r>
        <w:rPr>
          <w:rFonts w:ascii="Courier New" w:hAnsi="Courier New"/>
          <w:sz w:val="28"/>
        </w:rPr>
        <w:t>Asthan is of such respectable antiquity as is being made</w:t>
      </w:r>
      <w:r>
        <w:rPr>
          <w:rFonts w:ascii="Courier New" w:hAnsi="Courier New"/>
          <w:spacing w:val="-70"/>
          <w:sz w:val="28"/>
        </w:rPr>
        <w:t> </w:t>
      </w:r>
      <w:r>
        <w:rPr>
          <w:rFonts w:ascii="Courier New" w:hAnsi="Courier New"/>
          <w:sz w:val="28"/>
        </w:rPr>
        <w:t>out. The epic Valmiki Ramayana as noticed above which was</w:t>
      </w:r>
      <w:r>
        <w:rPr>
          <w:rFonts w:ascii="Courier New" w:hAnsi="Courier New"/>
          <w:spacing w:val="-69"/>
          <w:sz w:val="28"/>
        </w:rPr>
        <w:t> </w:t>
      </w:r>
      <w:r>
        <w:rPr>
          <w:rFonts w:ascii="Courier New" w:hAnsi="Courier New"/>
          <w:sz w:val="28"/>
        </w:rPr>
        <w:t>a composition before the start of Christian era states Ayodhya as birth of Lord Ram at Ayodhya at King Dasratha’s palace. The report jumped to the</w:t>
      </w:r>
      <w:r>
        <w:rPr>
          <w:rFonts w:ascii="Courier New" w:hAnsi="Courier New"/>
          <w:spacing w:val="-71"/>
          <w:sz w:val="28"/>
        </w:rPr>
        <w:t> </w:t>
      </w:r>
      <w:r>
        <w:rPr>
          <w:rFonts w:ascii="Courier New" w:hAnsi="Courier New"/>
          <w:sz w:val="28"/>
        </w:rPr>
        <w:t>conclusion that it is even doubtful that belief is earlier than the late Eighteenth Century. Further observations</w:t>
      </w:r>
      <w:r>
        <w:rPr>
          <w:rFonts w:ascii="Courier New" w:hAnsi="Courier New"/>
          <w:spacing w:val="-69"/>
          <w:sz w:val="28"/>
        </w:rPr>
        <w:t> </w:t>
      </w:r>
      <w:r>
        <w:rPr>
          <w:rFonts w:ascii="Courier New" w:hAnsi="Courier New"/>
          <w:sz w:val="28"/>
        </w:rPr>
        <w:t>were made in the report regarding period of composition of Skanda Purana, the report comes to the conclusion</w:t>
      </w:r>
      <w:r>
        <w:rPr>
          <w:rFonts w:ascii="Courier New" w:hAnsi="Courier New"/>
          <w:spacing w:val="-69"/>
          <w:sz w:val="28"/>
        </w:rPr>
        <w:t> </w:t>
      </w:r>
      <w:r>
        <w:rPr>
          <w:rFonts w:ascii="Courier New" w:hAnsi="Courier New"/>
          <w:sz w:val="28"/>
        </w:rPr>
        <w:t>that Ayodhya Mahatmya has to be of period towards the end of Eighteenth Century or the beginning of Nineteenth Century. It is necessary to consider as</w:t>
      </w:r>
      <w:r>
        <w:rPr>
          <w:rFonts w:ascii="Courier New" w:hAnsi="Courier New"/>
          <w:spacing w:val="100"/>
          <w:sz w:val="28"/>
        </w:rPr>
        <w:t> </w:t>
      </w:r>
      <w:r>
        <w:rPr>
          <w:rFonts w:ascii="Courier New" w:hAnsi="Courier New"/>
          <w:sz w:val="28"/>
        </w:rPr>
        <w:t>to whether</w:t>
      </w:r>
    </w:p>
    <w:p>
      <w:pPr>
        <w:spacing w:after="0" w:line="480" w:lineRule="auto"/>
        <w:jc w:val="both"/>
        <w:rPr>
          <w:rFonts w:ascii="Courier New" w:hAnsi="Courier New"/>
          <w:sz w:val="28"/>
        </w:rPr>
        <w:sectPr>
          <w:headerReference w:type="default" r:id="rId304"/>
          <w:footerReference w:type="default" r:id="rId305"/>
          <w:pgSz w:w="11910" w:h="16840"/>
          <w:pgMar w:header="0" w:footer="1063" w:top="1340" w:bottom="1260" w:left="1280" w:right="1280"/>
          <w:pgNumType w:start="48"/>
        </w:sectPr>
      </w:pPr>
    </w:p>
    <w:p>
      <w:pPr>
        <w:spacing w:line="480" w:lineRule="auto" w:before="86"/>
        <w:ind w:left="160" w:right="160" w:firstLine="0"/>
        <w:jc w:val="both"/>
        <w:rPr>
          <w:rFonts w:ascii="Courier New"/>
          <w:sz w:val="28"/>
        </w:rPr>
      </w:pPr>
      <w:r>
        <w:rPr>
          <w:rFonts w:ascii="Courier New"/>
          <w:sz w:val="28"/>
        </w:rPr>
        <w:t>observations made in the report that Ayodhya Mahatmya of the Skanda Purana is composition of end of Eighteenth Century or the beginning of Nineteenth Century or it belongs to an earlier period.</w:t>
      </w:r>
    </w:p>
    <w:p>
      <w:pPr>
        <w:pStyle w:val="BodyText"/>
        <w:rPr>
          <w:rFonts w:ascii="Courier New"/>
          <w:sz w:val="32"/>
        </w:rPr>
      </w:pPr>
    </w:p>
    <w:p>
      <w:pPr>
        <w:pStyle w:val="ListParagraph"/>
        <w:numPr>
          <w:ilvl w:val="0"/>
          <w:numId w:val="254"/>
        </w:numPr>
        <w:tabs>
          <w:tab w:pos="890" w:val="left" w:leader="none"/>
        </w:tabs>
        <w:spacing w:line="480" w:lineRule="auto" w:before="272" w:after="0"/>
        <w:ind w:left="160" w:right="159" w:firstLine="0"/>
        <w:jc w:val="both"/>
        <w:rPr>
          <w:rFonts w:ascii="Courier New"/>
          <w:sz w:val="28"/>
        </w:rPr>
      </w:pPr>
      <w:r>
        <w:rPr>
          <w:rFonts w:ascii="Courier New"/>
          <w:sz w:val="28"/>
        </w:rPr>
        <w:t>P.V. Kane in History of Dharmasastra, Volume 5, Part II published by Bhandarkar Oriental Research Institute, Poona (1962) has elaborately dealt with Puranas and their date or period. P.V. Kane has also referred to Skanda Purana in VII Khand as published from Venkateshwar Press, referred to above. After elaborate discussion P.V. Kane arrives at the conclusion that Skanda Purana cannot be placed</w:t>
      </w:r>
      <w:r>
        <w:rPr>
          <w:rFonts w:ascii="Courier New"/>
          <w:spacing w:val="-69"/>
          <w:sz w:val="28"/>
        </w:rPr>
        <w:t> </w:t>
      </w:r>
      <w:r>
        <w:rPr>
          <w:rFonts w:ascii="Courier New"/>
          <w:sz w:val="28"/>
        </w:rPr>
        <w:t>earlier than Seventh Century and not later than Ninth</w:t>
      </w:r>
      <w:r>
        <w:rPr>
          <w:rFonts w:ascii="Courier New"/>
          <w:spacing w:val="97"/>
          <w:sz w:val="28"/>
        </w:rPr>
        <w:t> </w:t>
      </w:r>
      <w:r>
        <w:rPr>
          <w:rFonts w:ascii="Courier New"/>
          <w:sz w:val="28"/>
        </w:rPr>
        <w:t>Century</w:t>
      </w:r>
    </w:p>
    <w:p>
      <w:pPr>
        <w:spacing w:line="480" w:lineRule="auto" w:before="0"/>
        <w:ind w:left="160" w:right="157" w:firstLine="0"/>
        <w:jc w:val="both"/>
        <w:rPr>
          <w:rFonts w:ascii="Courier New" w:hAnsi="Courier New"/>
          <w:sz w:val="28"/>
        </w:rPr>
      </w:pPr>
      <w:r>
        <w:rPr>
          <w:rFonts w:ascii="Courier New" w:hAnsi="Courier New"/>
          <w:sz w:val="28"/>
        </w:rPr>
        <w:t>A.D. Following is the discussion on Skanda Purana and its</w:t>
      </w:r>
      <w:r>
        <w:rPr>
          <w:rFonts w:ascii="Courier New" w:hAnsi="Courier New"/>
          <w:spacing w:val="-30"/>
          <w:sz w:val="28"/>
        </w:rPr>
        <w:t> </w:t>
      </w:r>
      <w:r>
        <w:rPr>
          <w:rFonts w:ascii="Courier New" w:hAnsi="Courier New"/>
          <w:sz w:val="28"/>
        </w:rPr>
        <w:t>dating</w:t>
      </w:r>
      <w:r>
        <w:rPr>
          <w:rFonts w:ascii="Courier New" w:hAnsi="Courier New"/>
          <w:spacing w:val="-30"/>
          <w:sz w:val="28"/>
        </w:rPr>
        <w:t> </w:t>
      </w:r>
      <w:r>
        <w:rPr>
          <w:rFonts w:ascii="Courier New" w:hAnsi="Courier New"/>
          <w:sz w:val="28"/>
        </w:rPr>
        <w:t>by</w:t>
      </w:r>
      <w:r>
        <w:rPr>
          <w:rFonts w:ascii="Courier New" w:hAnsi="Courier New"/>
          <w:spacing w:val="-30"/>
          <w:sz w:val="28"/>
        </w:rPr>
        <w:t> </w:t>
      </w:r>
      <w:r>
        <w:rPr>
          <w:rFonts w:ascii="Courier New" w:hAnsi="Courier New"/>
          <w:b/>
          <w:sz w:val="28"/>
        </w:rPr>
        <w:t>P.V.</w:t>
      </w:r>
      <w:r>
        <w:rPr>
          <w:rFonts w:ascii="Courier New" w:hAnsi="Courier New"/>
          <w:b/>
          <w:spacing w:val="-30"/>
          <w:sz w:val="28"/>
        </w:rPr>
        <w:t> </w:t>
      </w:r>
      <w:r>
        <w:rPr>
          <w:rFonts w:ascii="Courier New" w:hAnsi="Courier New"/>
          <w:b/>
          <w:sz w:val="28"/>
        </w:rPr>
        <w:t>Kane</w:t>
      </w:r>
      <w:r>
        <w:rPr>
          <w:rFonts w:ascii="Courier New" w:hAnsi="Courier New"/>
          <w:b/>
          <w:spacing w:val="-28"/>
          <w:sz w:val="28"/>
        </w:rPr>
        <w:t> </w:t>
      </w:r>
      <w:r>
        <w:rPr>
          <w:rFonts w:ascii="Courier New" w:hAnsi="Courier New"/>
          <w:sz w:val="28"/>
        </w:rPr>
        <w:t>in</w:t>
      </w:r>
      <w:r>
        <w:rPr>
          <w:rFonts w:ascii="Courier New" w:hAnsi="Courier New"/>
          <w:spacing w:val="-29"/>
          <w:sz w:val="28"/>
        </w:rPr>
        <w:t> </w:t>
      </w:r>
      <w:r>
        <w:rPr>
          <w:rFonts w:ascii="Courier New" w:hAnsi="Courier New"/>
          <w:b/>
          <w:sz w:val="28"/>
        </w:rPr>
        <w:t>“History</w:t>
      </w:r>
      <w:r>
        <w:rPr>
          <w:rFonts w:ascii="Courier New" w:hAnsi="Courier New"/>
          <w:b/>
          <w:spacing w:val="-29"/>
          <w:sz w:val="28"/>
        </w:rPr>
        <w:t> </w:t>
      </w:r>
      <w:r>
        <w:rPr>
          <w:rFonts w:ascii="Courier New" w:hAnsi="Courier New"/>
          <w:b/>
          <w:sz w:val="28"/>
        </w:rPr>
        <w:t>of</w:t>
      </w:r>
      <w:r>
        <w:rPr>
          <w:rFonts w:ascii="Courier New" w:hAnsi="Courier New"/>
          <w:b/>
          <w:spacing w:val="-30"/>
          <w:sz w:val="28"/>
        </w:rPr>
        <w:t> </w:t>
      </w:r>
      <w:r>
        <w:rPr>
          <w:rFonts w:ascii="Courier New" w:hAnsi="Courier New"/>
          <w:b/>
          <w:sz w:val="28"/>
        </w:rPr>
        <w:t>Dharamasastra”</w:t>
      </w:r>
      <w:r>
        <w:rPr>
          <w:rFonts w:ascii="Courier New" w:hAnsi="Courier New"/>
          <w:sz w:val="28"/>
        </w:rPr>
        <w:t>:-</w:t>
      </w:r>
    </w:p>
    <w:p>
      <w:pPr>
        <w:spacing w:line="240" w:lineRule="auto" w:before="0"/>
        <w:ind w:left="1011" w:right="1245" w:firstLine="0"/>
        <w:jc w:val="both"/>
        <w:rPr>
          <w:rFonts w:ascii="Courier New" w:hAnsi="Courier New"/>
          <w:sz w:val="28"/>
        </w:rPr>
      </w:pPr>
      <w:r>
        <w:rPr>
          <w:rFonts w:ascii="Courier New" w:hAnsi="Courier New"/>
          <w:color w:val="303030"/>
          <w:sz w:val="28"/>
        </w:rPr>
        <w:t>“Skanda — This is the most extensive of Puranas and poses perplexing problems. It is found in two forms, one being divided into seven khandas, viz. Mahesvara, Vaisnava,</w:t>
      </w:r>
      <w:r>
        <w:rPr>
          <w:rFonts w:ascii="Courier New" w:hAnsi="Courier New"/>
          <w:color w:val="303030"/>
          <w:spacing w:val="-32"/>
          <w:sz w:val="28"/>
        </w:rPr>
        <w:t> </w:t>
      </w:r>
      <w:r>
        <w:rPr>
          <w:rFonts w:ascii="Courier New" w:hAnsi="Courier New"/>
          <w:color w:val="303030"/>
          <w:sz w:val="28"/>
        </w:rPr>
        <w:t>Brahma,</w:t>
      </w:r>
      <w:r>
        <w:rPr>
          <w:rFonts w:ascii="Courier New" w:hAnsi="Courier New"/>
          <w:color w:val="303030"/>
          <w:spacing w:val="-31"/>
          <w:sz w:val="28"/>
        </w:rPr>
        <w:t> </w:t>
      </w:r>
      <w:r>
        <w:rPr>
          <w:rFonts w:ascii="Courier New" w:hAnsi="Courier New"/>
          <w:color w:val="303030"/>
          <w:sz w:val="28"/>
        </w:rPr>
        <w:t>Kasi,</w:t>
      </w:r>
      <w:r>
        <w:rPr>
          <w:rFonts w:ascii="Courier New" w:hAnsi="Courier New"/>
          <w:color w:val="303030"/>
          <w:spacing w:val="-31"/>
          <w:sz w:val="28"/>
        </w:rPr>
        <w:t> </w:t>
      </w:r>
      <w:r>
        <w:rPr>
          <w:rFonts w:ascii="Courier New" w:hAnsi="Courier New"/>
          <w:color w:val="303030"/>
          <w:sz w:val="28"/>
        </w:rPr>
        <w:t>Avantya,</w:t>
      </w:r>
      <w:r>
        <w:rPr>
          <w:rFonts w:ascii="Courier New" w:hAnsi="Courier New"/>
          <w:color w:val="303030"/>
          <w:spacing w:val="-31"/>
          <w:sz w:val="28"/>
        </w:rPr>
        <w:t> </w:t>
      </w:r>
      <w:r>
        <w:rPr>
          <w:rFonts w:ascii="Courier New" w:hAnsi="Courier New"/>
          <w:color w:val="303030"/>
          <w:sz w:val="28"/>
        </w:rPr>
        <w:t>Nagara</w:t>
      </w:r>
      <w:r>
        <w:rPr>
          <w:rFonts w:ascii="Courier New" w:hAnsi="Courier New"/>
          <w:color w:val="303030"/>
          <w:spacing w:val="-31"/>
          <w:sz w:val="28"/>
        </w:rPr>
        <w:t> </w:t>
      </w:r>
      <w:r>
        <w:rPr>
          <w:rFonts w:ascii="Courier New" w:hAnsi="Courier New"/>
          <w:color w:val="303030"/>
          <w:sz w:val="28"/>
        </w:rPr>
        <w:t>and Prabhasa, the other being divided into six samhitas, viz. Sanatkumara, Suta, Sankari, Vaisnavi, Brahmi and Saura. The Skanda in seven khandas has been published by the Venk. Press and the Sutasamhita with the commentary of Madhavacarya has</w:t>
      </w:r>
      <w:r>
        <w:rPr>
          <w:rFonts w:ascii="Courier New" w:hAnsi="Courier New"/>
          <w:color w:val="303030"/>
          <w:spacing w:val="15"/>
          <w:sz w:val="28"/>
        </w:rPr>
        <w:t> </w:t>
      </w:r>
      <w:r>
        <w:rPr>
          <w:rFonts w:ascii="Courier New" w:hAnsi="Courier New"/>
          <w:color w:val="303030"/>
          <w:sz w:val="28"/>
        </w:rPr>
        <w:t>been</w:t>
      </w:r>
    </w:p>
    <w:p>
      <w:pPr>
        <w:spacing w:after="0" w:line="240" w:lineRule="auto"/>
        <w:jc w:val="both"/>
        <w:rPr>
          <w:rFonts w:ascii="Courier New" w:hAnsi="Courier New"/>
          <w:sz w:val="28"/>
        </w:rPr>
        <w:sectPr>
          <w:headerReference w:type="default" r:id="rId306"/>
          <w:footerReference w:type="default" r:id="rId307"/>
          <w:pgSz w:w="11910" w:h="16840"/>
          <w:pgMar w:header="0" w:footer="1063" w:top="1340" w:bottom="1260" w:left="1280" w:right="1280"/>
          <w:pgNumType w:start="49"/>
        </w:sectPr>
      </w:pPr>
    </w:p>
    <w:p>
      <w:pPr>
        <w:spacing w:before="86"/>
        <w:ind w:left="1011" w:right="1247" w:firstLine="0"/>
        <w:jc w:val="both"/>
        <w:rPr>
          <w:rFonts w:ascii="Courier New"/>
          <w:sz w:val="28"/>
        </w:rPr>
      </w:pPr>
      <w:r>
        <w:rPr>
          <w:rFonts w:ascii="Courier New"/>
          <w:color w:val="303030"/>
          <w:sz w:val="28"/>
        </w:rPr>
        <w:t>published by the Anan. Press, Poona. The extent of the Skanda is variously given as 81000 slokas, at 100000 slokas (vide </w:t>
      </w:r>
      <w:r>
        <w:rPr>
          <w:rFonts w:ascii="Courier New"/>
          <w:color w:val="303030"/>
          <w:spacing w:val="16"/>
          <w:sz w:val="28"/>
        </w:rPr>
        <w:t> </w:t>
      </w:r>
      <w:r>
        <w:rPr>
          <w:rFonts w:ascii="Courier New"/>
          <w:color w:val="303030"/>
          <w:sz w:val="28"/>
        </w:rPr>
        <w:t>PRHR</w:t>
      </w:r>
    </w:p>
    <w:p>
      <w:pPr>
        <w:spacing w:line="240" w:lineRule="auto" w:before="0"/>
        <w:ind w:left="1011" w:right="1242" w:firstLine="0"/>
        <w:jc w:val="both"/>
        <w:rPr>
          <w:rFonts w:ascii="Courier New" w:hAnsi="Courier New"/>
          <w:sz w:val="28"/>
        </w:rPr>
      </w:pPr>
      <w:r>
        <w:rPr>
          <w:rFonts w:ascii="Courier New" w:hAnsi="Courier New"/>
          <w:color w:val="303030"/>
          <w:sz w:val="28"/>
        </w:rPr>
        <w:t>p.</w:t>
      </w:r>
      <w:r>
        <w:rPr>
          <w:rFonts w:ascii="Courier New" w:hAnsi="Courier New"/>
          <w:color w:val="303030"/>
          <w:spacing w:val="-17"/>
          <w:sz w:val="28"/>
        </w:rPr>
        <w:t> </w:t>
      </w:r>
      <w:r>
        <w:rPr>
          <w:rFonts w:ascii="Courier New" w:hAnsi="Courier New"/>
          <w:color w:val="303030"/>
          <w:sz w:val="28"/>
        </w:rPr>
        <w:t>158),</w:t>
      </w:r>
      <w:r>
        <w:rPr>
          <w:rFonts w:ascii="Courier New" w:hAnsi="Courier New"/>
          <w:color w:val="303030"/>
          <w:spacing w:val="-17"/>
          <w:sz w:val="28"/>
        </w:rPr>
        <w:t> </w:t>
      </w:r>
      <w:r>
        <w:rPr>
          <w:rFonts w:ascii="Courier New" w:hAnsi="Courier New"/>
          <w:color w:val="303030"/>
          <w:sz w:val="28"/>
        </w:rPr>
        <w:t>at</w:t>
      </w:r>
      <w:r>
        <w:rPr>
          <w:rFonts w:ascii="Courier New" w:hAnsi="Courier New"/>
          <w:color w:val="303030"/>
          <w:spacing w:val="-16"/>
          <w:sz w:val="28"/>
        </w:rPr>
        <w:t> </w:t>
      </w:r>
      <w:r>
        <w:rPr>
          <w:rFonts w:ascii="Courier New" w:hAnsi="Courier New"/>
          <w:color w:val="303030"/>
          <w:sz w:val="28"/>
        </w:rPr>
        <w:t>86000</w:t>
      </w:r>
      <w:r>
        <w:rPr>
          <w:rFonts w:ascii="Courier New" w:hAnsi="Courier New"/>
          <w:color w:val="303030"/>
          <w:spacing w:val="-17"/>
          <w:sz w:val="28"/>
        </w:rPr>
        <w:t> </w:t>
      </w:r>
      <w:r>
        <w:rPr>
          <w:rFonts w:ascii="Courier New" w:hAnsi="Courier New"/>
          <w:color w:val="303030"/>
          <w:sz w:val="28"/>
        </w:rPr>
        <w:t>(in</w:t>
      </w:r>
      <w:r>
        <w:rPr>
          <w:rFonts w:ascii="Courier New" w:hAnsi="Courier New"/>
          <w:color w:val="303030"/>
          <w:spacing w:val="-16"/>
          <w:sz w:val="28"/>
        </w:rPr>
        <w:t> </w:t>
      </w:r>
      <w:r>
        <w:rPr>
          <w:rFonts w:ascii="Courier New" w:hAnsi="Courier New"/>
          <w:color w:val="303030"/>
          <w:sz w:val="28"/>
        </w:rPr>
        <w:t>PRHR</w:t>
      </w:r>
      <w:r>
        <w:rPr>
          <w:rFonts w:ascii="Courier New" w:hAnsi="Courier New"/>
          <w:color w:val="303030"/>
          <w:spacing w:val="-17"/>
          <w:sz w:val="28"/>
        </w:rPr>
        <w:t> </w:t>
      </w:r>
      <w:r>
        <w:rPr>
          <w:rFonts w:ascii="Courier New" w:hAnsi="Courier New"/>
          <w:color w:val="303030"/>
          <w:sz w:val="28"/>
        </w:rPr>
        <w:t>p.</w:t>
      </w:r>
      <w:r>
        <w:rPr>
          <w:rFonts w:ascii="Courier New" w:hAnsi="Courier New"/>
          <w:color w:val="303030"/>
          <w:spacing w:val="-17"/>
          <w:sz w:val="28"/>
        </w:rPr>
        <w:t> </w:t>
      </w:r>
      <w:r>
        <w:rPr>
          <w:rFonts w:ascii="Courier New" w:hAnsi="Courier New"/>
          <w:color w:val="303030"/>
          <w:sz w:val="28"/>
        </w:rPr>
        <w:t>159).</w:t>
      </w:r>
      <w:r>
        <w:rPr>
          <w:rFonts w:ascii="Courier New" w:hAnsi="Courier New"/>
          <w:color w:val="303030"/>
          <w:spacing w:val="-16"/>
          <w:sz w:val="28"/>
        </w:rPr>
        <w:t> </w:t>
      </w:r>
      <w:r>
        <w:rPr>
          <w:rFonts w:ascii="Courier New" w:hAnsi="Courier New"/>
          <w:color w:val="303030"/>
          <w:sz w:val="28"/>
        </w:rPr>
        <w:t>The</w:t>
      </w:r>
      <w:r>
        <w:rPr>
          <w:rFonts w:ascii="Courier New" w:hAnsi="Courier New"/>
          <w:color w:val="303030"/>
          <w:spacing w:val="-17"/>
          <w:sz w:val="28"/>
        </w:rPr>
        <w:t> </w:t>
      </w:r>
      <w:r>
        <w:rPr>
          <w:rFonts w:ascii="Courier New" w:hAnsi="Courier New"/>
          <w:color w:val="303030"/>
          <w:sz w:val="28"/>
        </w:rPr>
        <w:t>god Skanda does not figure prominently in this Purana</w:t>
      </w:r>
      <w:r>
        <w:rPr>
          <w:rFonts w:ascii="Courier New" w:hAnsi="Courier New"/>
          <w:color w:val="303030"/>
          <w:spacing w:val="-22"/>
          <w:sz w:val="28"/>
        </w:rPr>
        <w:t> </w:t>
      </w:r>
      <w:r>
        <w:rPr>
          <w:rFonts w:ascii="Courier New" w:hAnsi="Courier New"/>
          <w:color w:val="303030"/>
          <w:sz w:val="28"/>
        </w:rPr>
        <w:t>named</w:t>
      </w:r>
      <w:r>
        <w:rPr>
          <w:rFonts w:ascii="Courier New" w:hAnsi="Courier New"/>
          <w:color w:val="303030"/>
          <w:spacing w:val="-22"/>
          <w:sz w:val="28"/>
        </w:rPr>
        <w:t> </w:t>
      </w:r>
      <w:r>
        <w:rPr>
          <w:rFonts w:ascii="Courier New" w:hAnsi="Courier New"/>
          <w:color w:val="303030"/>
          <w:sz w:val="28"/>
        </w:rPr>
        <w:t>after</w:t>
      </w:r>
      <w:r>
        <w:rPr>
          <w:rFonts w:ascii="Courier New" w:hAnsi="Courier New"/>
          <w:color w:val="303030"/>
          <w:spacing w:val="-22"/>
          <w:sz w:val="28"/>
        </w:rPr>
        <w:t> </w:t>
      </w:r>
      <w:r>
        <w:rPr>
          <w:rFonts w:ascii="Courier New" w:hAnsi="Courier New"/>
          <w:color w:val="303030"/>
          <w:sz w:val="28"/>
        </w:rPr>
        <w:t>him.</w:t>
      </w:r>
      <w:r>
        <w:rPr>
          <w:rFonts w:ascii="Courier New" w:hAnsi="Courier New"/>
          <w:color w:val="303030"/>
          <w:spacing w:val="-22"/>
          <w:sz w:val="28"/>
        </w:rPr>
        <w:t> </w:t>
      </w:r>
      <w:r>
        <w:rPr>
          <w:rFonts w:ascii="Courier New" w:hAnsi="Courier New"/>
          <w:color w:val="303030"/>
          <w:sz w:val="28"/>
        </w:rPr>
        <w:t>The</w:t>
      </w:r>
      <w:r>
        <w:rPr>
          <w:rFonts w:ascii="Courier New" w:hAnsi="Courier New"/>
          <w:color w:val="303030"/>
          <w:spacing w:val="-21"/>
          <w:sz w:val="28"/>
        </w:rPr>
        <w:t> </w:t>
      </w:r>
      <w:r>
        <w:rPr>
          <w:rFonts w:ascii="Courier New" w:hAnsi="Courier New"/>
          <w:color w:val="303030"/>
          <w:sz w:val="28"/>
        </w:rPr>
        <w:t>Skanda</w:t>
      </w:r>
      <w:r>
        <w:rPr>
          <w:rFonts w:ascii="Courier New" w:hAnsi="Courier New"/>
          <w:color w:val="303030"/>
          <w:spacing w:val="-22"/>
          <w:sz w:val="28"/>
        </w:rPr>
        <w:t> </w:t>
      </w:r>
      <w:r>
        <w:rPr>
          <w:rFonts w:ascii="Courier New" w:hAnsi="Courier New"/>
          <w:color w:val="303030"/>
          <w:sz w:val="28"/>
        </w:rPr>
        <w:t>is</w:t>
      </w:r>
      <w:r>
        <w:rPr>
          <w:rFonts w:ascii="Courier New" w:hAnsi="Courier New"/>
          <w:color w:val="303030"/>
          <w:spacing w:val="-22"/>
          <w:sz w:val="28"/>
        </w:rPr>
        <w:t> </w:t>
      </w:r>
      <w:r>
        <w:rPr>
          <w:rFonts w:ascii="Courier New" w:hAnsi="Courier New"/>
          <w:color w:val="303030"/>
          <w:sz w:val="28"/>
        </w:rPr>
        <w:t>named in</w:t>
      </w:r>
      <w:r>
        <w:rPr>
          <w:rFonts w:ascii="Courier New" w:hAnsi="Courier New"/>
          <w:color w:val="303030"/>
          <w:spacing w:val="-14"/>
          <w:sz w:val="28"/>
        </w:rPr>
        <w:t> </w:t>
      </w:r>
      <w:r>
        <w:rPr>
          <w:rFonts w:ascii="Courier New" w:hAnsi="Courier New"/>
          <w:color w:val="303030"/>
          <w:sz w:val="28"/>
        </w:rPr>
        <w:t>the</w:t>
      </w:r>
      <w:r>
        <w:rPr>
          <w:rFonts w:ascii="Courier New" w:hAnsi="Courier New"/>
          <w:color w:val="303030"/>
          <w:spacing w:val="-14"/>
          <w:sz w:val="28"/>
        </w:rPr>
        <w:t> </w:t>
      </w:r>
      <w:r>
        <w:rPr>
          <w:rFonts w:ascii="Courier New" w:hAnsi="Courier New"/>
          <w:color w:val="303030"/>
          <w:sz w:val="28"/>
        </w:rPr>
        <w:t>Padma</w:t>
      </w:r>
      <w:r>
        <w:rPr>
          <w:rFonts w:ascii="Courier New" w:hAnsi="Courier New"/>
          <w:color w:val="303030"/>
          <w:spacing w:val="-13"/>
          <w:sz w:val="28"/>
        </w:rPr>
        <w:t> </w:t>
      </w:r>
      <w:r>
        <w:rPr>
          <w:rFonts w:ascii="Courier New" w:hAnsi="Courier New"/>
          <w:color w:val="303030"/>
          <w:sz w:val="28"/>
        </w:rPr>
        <w:t>V.</w:t>
      </w:r>
      <w:r>
        <w:rPr>
          <w:rFonts w:ascii="Courier New" w:hAnsi="Courier New"/>
          <w:color w:val="303030"/>
          <w:spacing w:val="-14"/>
          <w:sz w:val="28"/>
        </w:rPr>
        <w:t> </w:t>
      </w:r>
      <w:r>
        <w:rPr>
          <w:rFonts w:ascii="Courier New" w:hAnsi="Courier New"/>
          <w:color w:val="303030"/>
          <w:sz w:val="28"/>
        </w:rPr>
        <w:t>59.</w:t>
      </w:r>
      <w:r>
        <w:rPr>
          <w:rFonts w:ascii="Courier New" w:hAnsi="Courier New"/>
          <w:color w:val="303030"/>
          <w:spacing w:val="-13"/>
          <w:sz w:val="28"/>
        </w:rPr>
        <w:t> </w:t>
      </w:r>
      <w:r>
        <w:rPr>
          <w:rFonts w:ascii="Courier New" w:hAnsi="Courier New"/>
          <w:color w:val="303030"/>
          <w:sz w:val="28"/>
        </w:rPr>
        <w:t>2</w:t>
      </w:r>
      <w:r>
        <w:rPr>
          <w:rFonts w:ascii="Courier New" w:hAnsi="Courier New"/>
          <w:color w:val="303030"/>
          <w:spacing w:val="-14"/>
          <w:sz w:val="28"/>
        </w:rPr>
        <w:t> </w:t>
      </w:r>
      <w:r>
        <w:rPr>
          <w:rFonts w:ascii="Courier New" w:hAnsi="Courier New"/>
          <w:color w:val="303030"/>
          <w:sz w:val="28"/>
        </w:rPr>
        <w:t>Skanda</w:t>
      </w:r>
      <w:r>
        <w:rPr>
          <w:rFonts w:ascii="Courier New" w:hAnsi="Courier New"/>
          <w:color w:val="303030"/>
          <w:spacing w:val="-14"/>
          <w:sz w:val="28"/>
        </w:rPr>
        <w:t> </w:t>
      </w:r>
      <w:r>
        <w:rPr>
          <w:rFonts w:ascii="Courier New" w:hAnsi="Courier New"/>
          <w:color w:val="303030"/>
          <w:sz w:val="28"/>
        </w:rPr>
        <w:t>I.</w:t>
      </w:r>
      <w:r>
        <w:rPr>
          <w:rFonts w:ascii="Courier New" w:hAnsi="Courier New"/>
          <w:color w:val="303030"/>
          <w:spacing w:val="-13"/>
          <w:sz w:val="28"/>
        </w:rPr>
        <w:t> </w:t>
      </w:r>
      <w:r>
        <w:rPr>
          <w:rFonts w:ascii="Courier New" w:hAnsi="Courier New"/>
          <w:color w:val="303030"/>
          <w:sz w:val="28"/>
        </w:rPr>
        <w:t>2.</w:t>
      </w:r>
      <w:r>
        <w:rPr>
          <w:rFonts w:ascii="Courier New" w:hAnsi="Courier New"/>
          <w:color w:val="303030"/>
          <w:spacing w:val="-14"/>
          <w:sz w:val="28"/>
        </w:rPr>
        <w:t> </w:t>
      </w:r>
      <w:r>
        <w:rPr>
          <w:rFonts w:ascii="Courier New" w:hAnsi="Courier New"/>
          <w:color w:val="303030"/>
          <w:sz w:val="28"/>
        </w:rPr>
        <w:t>6.</w:t>
      </w:r>
      <w:r>
        <w:rPr>
          <w:rFonts w:ascii="Courier New" w:hAnsi="Courier New"/>
          <w:color w:val="303030"/>
          <w:spacing w:val="-13"/>
          <w:sz w:val="28"/>
        </w:rPr>
        <w:t> </w:t>
      </w:r>
      <w:r>
        <w:rPr>
          <w:rFonts w:ascii="Courier New" w:hAnsi="Courier New"/>
          <w:color w:val="303030"/>
          <w:sz w:val="28"/>
        </w:rPr>
        <w:t>79</w:t>
      </w:r>
      <w:r>
        <w:rPr>
          <w:rFonts w:ascii="Courier New" w:hAnsi="Courier New"/>
          <w:color w:val="303030"/>
          <w:spacing w:val="-14"/>
          <w:sz w:val="28"/>
        </w:rPr>
        <w:t> </w:t>
      </w:r>
      <w:r>
        <w:rPr>
          <w:rFonts w:ascii="Courier New" w:hAnsi="Courier New"/>
          <w:color w:val="303030"/>
          <w:sz w:val="28"/>
        </w:rPr>
        <w:t>is almost in the same words as Kiratarjuniya (II. 30 'sahasa vidadhita na kriyam'). Skanda, Kasikhanda 24 (8 ff) is full of Slesa and Parisankhya in the style of Bana as in 'yatra ksa-panaka eva drsyante maladharinah' (verse 21) or 'vibhramoyatra narlsu na vidvatsu ca karhicit’ (verse 9). Natyaveda and Artha-sastras are mentioned in Kasikhanda (Purvardha 7. 4-5), Dhan- vantari and Caraka on medicine are mentioned in Kasikhanda (Purvardha 1.71); the  word  Jhotinga  occurs  in</w:t>
      </w:r>
      <w:r>
        <w:rPr>
          <w:rFonts w:ascii="Courier New" w:hAnsi="Courier New"/>
          <w:color w:val="303030"/>
          <w:spacing w:val="15"/>
          <w:sz w:val="28"/>
        </w:rPr>
        <w:t> </w:t>
      </w:r>
      <w:r>
        <w:rPr>
          <w:rFonts w:ascii="Courier New" w:hAnsi="Courier New"/>
          <w:color w:val="303030"/>
          <w:sz w:val="28"/>
        </w:rPr>
        <w:t>Kasikhanda</w:t>
      </w:r>
    </w:p>
    <w:p>
      <w:pPr>
        <w:spacing w:before="0"/>
        <w:ind w:left="1011" w:right="1246" w:firstLine="0"/>
        <w:jc w:val="both"/>
        <w:rPr>
          <w:rFonts w:ascii="Courier New"/>
          <w:sz w:val="28"/>
        </w:rPr>
      </w:pPr>
      <w:r>
        <w:rPr>
          <w:rFonts w:ascii="Courier New"/>
          <w:color w:val="303030"/>
          <w:sz w:val="28"/>
        </w:rPr>
        <w:t>72.74</w:t>
      </w:r>
      <w:r>
        <w:rPr>
          <w:rFonts w:ascii="Courier New"/>
          <w:color w:val="303030"/>
          <w:spacing w:val="-32"/>
          <w:sz w:val="28"/>
        </w:rPr>
        <w:t> </w:t>
      </w:r>
      <w:r>
        <w:rPr>
          <w:rFonts w:ascii="Courier New"/>
          <w:color w:val="303030"/>
          <w:sz w:val="28"/>
        </w:rPr>
        <w:t>(Jhotinga</w:t>
      </w:r>
      <w:r>
        <w:rPr>
          <w:rFonts w:ascii="Courier New"/>
          <w:color w:val="303030"/>
          <w:spacing w:val="-31"/>
          <w:sz w:val="28"/>
        </w:rPr>
        <w:t> </w:t>
      </w:r>
      <w:r>
        <w:rPr>
          <w:rFonts w:ascii="Courier New"/>
          <w:color w:val="303030"/>
          <w:sz w:val="28"/>
        </w:rPr>
        <w:t>raksasah</w:t>
      </w:r>
      <w:r>
        <w:rPr>
          <w:rFonts w:ascii="Courier New"/>
          <w:color w:val="303030"/>
          <w:spacing w:val="-31"/>
          <w:sz w:val="28"/>
        </w:rPr>
        <w:t> </w:t>
      </w:r>
      <w:r>
        <w:rPr>
          <w:rFonts w:ascii="Courier New"/>
          <w:color w:val="303030"/>
          <w:sz w:val="28"/>
        </w:rPr>
        <w:t>krurah).</w:t>
      </w:r>
      <w:r>
        <w:rPr>
          <w:rFonts w:ascii="Courier New"/>
          <w:color w:val="303030"/>
          <w:spacing w:val="-31"/>
          <w:sz w:val="28"/>
        </w:rPr>
        <w:t> </w:t>
      </w:r>
      <w:r>
        <w:rPr>
          <w:rFonts w:ascii="Courier New"/>
          <w:color w:val="303030"/>
          <w:sz w:val="28"/>
        </w:rPr>
        <w:t>Skanda</w:t>
      </w:r>
      <w:r>
        <w:rPr>
          <w:rFonts w:ascii="Courier New"/>
          <w:color w:val="303030"/>
          <w:spacing w:val="-31"/>
          <w:sz w:val="28"/>
        </w:rPr>
        <w:t> </w:t>
      </w:r>
      <w:r>
        <w:rPr>
          <w:rFonts w:ascii="Courier New"/>
          <w:color w:val="303030"/>
          <w:sz w:val="28"/>
        </w:rPr>
        <w:t>is quoted on topics of Dharmasastra in early commentaries and digests. The Mit. on</w:t>
      </w:r>
      <w:r>
        <w:rPr>
          <w:rFonts w:ascii="Courier New"/>
          <w:color w:val="303030"/>
          <w:spacing w:val="14"/>
          <w:sz w:val="28"/>
        </w:rPr>
        <w:t> </w:t>
      </w:r>
      <w:r>
        <w:rPr>
          <w:rFonts w:ascii="Courier New"/>
          <w:color w:val="303030"/>
          <w:sz w:val="28"/>
        </w:rPr>
        <w:t>Yaj.</w:t>
      </w:r>
    </w:p>
    <w:p>
      <w:pPr>
        <w:spacing w:line="240" w:lineRule="auto" w:before="0"/>
        <w:ind w:left="1011" w:right="1243" w:firstLine="0"/>
        <w:jc w:val="both"/>
        <w:rPr>
          <w:rFonts w:ascii="Courier New"/>
          <w:sz w:val="28"/>
        </w:rPr>
      </w:pPr>
      <w:r>
        <w:rPr>
          <w:rFonts w:ascii="Courier New"/>
          <w:color w:val="303030"/>
          <w:sz w:val="28"/>
        </w:rPr>
        <w:t>II. 290 mentions it in connection with the status</w:t>
      </w:r>
      <w:r>
        <w:rPr>
          <w:rFonts w:ascii="Courier New"/>
          <w:color w:val="303030"/>
          <w:spacing w:val="-32"/>
          <w:sz w:val="28"/>
        </w:rPr>
        <w:t> </w:t>
      </w:r>
      <w:r>
        <w:rPr>
          <w:rFonts w:ascii="Courier New"/>
          <w:color w:val="303030"/>
          <w:sz w:val="28"/>
        </w:rPr>
        <w:t>of</w:t>
      </w:r>
      <w:r>
        <w:rPr>
          <w:rFonts w:ascii="Courier New"/>
          <w:color w:val="303030"/>
          <w:spacing w:val="-31"/>
          <w:sz w:val="28"/>
        </w:rPr>
        <w:t> </w:t>
      </w:r>
      <w:r>
        <w:rPr>
          <w:rFonts w:ascii="Courier New"/>
          <w:color w:val="303030"/>
          <w:sz w:val="28"/>
        </w:rPr>
        <w:t>vesyas</w:t>
      </w:r>
      <w:r>
        <w:rPr>
          <w:rFonts w:ascii="Courier New"/>
          <w:color w:val="303030"/>
          <w:spacing w:val="-31"/>
          <w:sz w:val="28"/>
        </w:rPr>
        <w:t> </w:t>
      </w:r>
      <w:r>
        <w:rPr>
          <w:rFonts w:ascii="Courier New"/>
          <w:color w:val="303030"/>
          <w:sz w:val="28"/>
        </w:rPr>
        <w:t>(courtezans).</w:t>
      </w:r>
      <w:r>
        <w:rPr>
          <w:rFonts w:ascii="Courier New"/>
          <w:color w:val="303030"/>
          <w:spacing w:val="-31"/>
          <w:sz w:val="28"/>
        </w:rPr>
        <w:t> </w:t>
      </w:r>
      <w:r>
        <w:rPr>
          <w:rFonts w:ascii="Courier New"/>
          <w:color w:val="303030"/>
          <w:sz w:val="28"/>
        </w:rPr>
        <w:t>Kalpataru</w:t>
      </w:r>
      <w:r>
        <w:rPr>
          <w:rFonts w:ascii="Courier New"/>
          <w:color w:val="303030"/>
          <w:spacing w:val="-31"/>
          <w:sz w:val="28"/>
        </w:rPr>
        <w:t> </w:t>
      </w:r>
      <w:r>
        <w:rPr>
          <w:rFonts w:ascii="Courier New"/>
          <w:color w:val="303030"/>
          <w:sz w:val="28"/>
        </w:rPr>
        <w:t>on vrata quotes only 15 verses from it, Kalpataru on tirtha (pp. 36-39, 32, 46, 130-135) quotes 92 verses from it, on dana only</w:t>
      </w:r>
      <w:r>
        <w:rPr>
          <w:rFonts w:ascii="Courier New"/>
          <w:color w:val="303030"/>
          <w:spacing w:val="-22"/>
          <w:sz w:val="28"/>
        </w:rPr>
        <w:t> </w:t>
      </w:r>
      <w:r>
        <w:rPr>
          <w:rFonts w:ascii="Courier New"/>
          <w:color w:val="303030"/>
          <w:sz w:val="28"/>
        </w:rPr>
        <w:t>44,</w:t>
      </w:r>
      <w:r>
        <w:rPr>
          <w:rFonts w:ascii="Courier New"/>
          <w:color w:val="303030"/>
          <w:spacing w:val="-22"/>
          <w:sz w:val="28"/>
        </w:rPr>
        <w:t> </w:t>
      </w:r>
      <w:r>
        <w:rPr>
          <w:rFonts w:ascii="Courier New"/>
          <w:color w:val="303030"/>
          <w:sz w:val="28"/>
        </w:rPr>
        <w:t>on</w:t>
      </w:r>
      <w:r>
        <w:rPr>
          <w:rFonts w:ascii="Courier New"/>
          <w:color w:val="303030"/>
          <w:spacing w:val="-22"/>
          <w:sz w:val="28"/>
        </w:rPr>
        <w:t> </w:t>
      </w:r>
      <w:r>
        <w:rPr>
          <w:rFonts w:ascii="Courier New"/>
          <w:color w:val="303030"/>
          <w:sz w:val="28"/>
        </w:rPr>
        <w:t>niyatakala</w:t>
      </w:r>
      <w:r>
        <w:rPr>
          <w:rFonts w:ascii="Courier New"/>
          <w:color w:val="303030"/>
          <w:spacing w:val="-22"/>
          <w:sz w:val="28"/>
        </w:rPr>
        <w:t> </w:t>
      </w:r>
      <w:r>
        <w:rPr>
          <w:rFonts w:ascii="Courier New"/>
          <w:color w:val="303030"/>
          <w:sz w:val="28"/>
        </w:rPr>
        <w:t>63</w:t>
      </w:r>
      <w:r>
        <w:rPr>
          <w:rFonts w:ascii="Courier New"/>
          <w:color w:val="303030"/>
          <w:spacing w:val="-21"/>
          <w:sz w:val="28"/>
        </w:rPr>
        <w:t> </w:t>
      </w:r>
      <w:r>
        <w:rPr>
          <w:rFonts w:ascii="Courier New"/>
          <w:color w:val="303030"/>
          <w:sz w:val="28"/>
        </w:rPr>
        <w:t>verses,</w:t>
      </w:r>
      <w:r>
        <w:rPr>
          <w:rFonts w:ascii="Courier New"/>
          <w:color w:val="303030"/>
          <w:spacing w:val="-22"/>
          <w:sz w:val="28"/>
        </w:rPr>
        <w:t> </w:t>
      </w:r>
      <w:r>
        <w:rPr>
          <w:rFonts w:ascii="Courier New"/>
          <w:color w:val="303030"/>
          <w:sz w:val="28"/>
        </w:rPr>
        <w:t>18</w:t>
      </w:r>
      <w:r>
        <w:rPr>
          <w:rFonts w:ascii="Courier New"/>
          <w:color w:val="303030"/>
          <w:spacing w:val="-22"/>
          <w:sz w:val="28"/>
        </w:rPr>
        <w:t> </w:t>
      </w:r>
      <w:r>
        <w:rPr>
          <w:rFonts w:ascii="Courier New"/>
          <w:color w:val="303030"/>
          <w:sz w:val="28"/>
        </w:rPr>
        <w:t>verses on Rajadharma (on Kaumudimahotsava), </w:t>
      </w:r>
      <w:r>
        <w:rPr>
          <w:rFonts w:ascii="Courier New"/>
          <w:color w:val="303030"/>
          <w:spacing w:val="12"/>
          <w:sz w:val="28"/>
        </w:rPr>
        <w:t> </w:t>
      </w:r>
      <w:r>
        <w:rPr>
          <w:rFonts w:ascii="Courier New"/>
          <w:color w:val="303030"/>
          <w:sz w:val="28"/>
        </w:rPr>
        <w:t>only</w:t>
      </w:r>
    </w:p>
    <w:p>
      <w:pPr>
        <w:spacing w:line="240" w:lineRule="auto" w:before="0"/>
        <w:ind w:left="1011" w:right="1244" w:firstLine="0"/>
        <w:jc w:val="both"/>
        <w:rPr>
          <w:rFonts w:ascii="Courier New"/>
          <w:sz w:val="28"/>
        </w:rPr>
      </w:pPr>
      <w:r>
        <w:rPr>
          <w:rFonts w:ascii="Courier New"/>
          <w:color w:val="303030"/>
          <w:sz w:val="28"/>
        </w:rPr>
        <w:t>4 in sraddhakanda and 3 in grhasthakanda. Apararka</w:t>
      </w:r>
      <w:r>
        <w:rPr>
          <w:rFonts w:ascii="Courier New"/>
          <w:color w:val="303030"/>
          <w:spacing w:val="-22"/>
          <w:sz w:val="28"/>
        </w:rPr>
        <w:t> </w:t>
      </w:r>
      <w:r>
        <w:rPr>
          <w:rFonts w:ascii="Courier New"/>
          <w:color w:val="303030"/>
          <w:sz w:val="28"/>
        </w:rPr>
        <w:t>quotes</w:t>
      </w:r>
      <w:r>
        <w:rPr>
          <w:rFonts w:ascii="Courier New"/>
          <w:color w:val="303030"/>
          <w:spacing w:val="-22"/>
          <w:sz w:val="28"/>
        </w:rPr>
        <w:t> </w:t>
      </w:r>
      <w:r>
        <w:rPr>
          <w:rFonts w:ascii="Courier New"/>
          <w:color w:val="303030"/>
          <w:sz w:val="28"/>
        </w:rPr>
        <w:t>only</w:t>
      </w:r>
      <w:r>
        <w:rPr>
          <w:rFonts w:ascii="Courier New"/>
          <w:color w:val="303030"/>
          <w:spacing w:val="-22"/>
          <w:sz w:val="28"/>
        </w:rPr>
        <w:t> </w:t>
      </w:r>
      <w:r>
        <w:rPr>
          <w:rFonts w:ascii="Courier New"/>
          <w:color w:val="303030"/>
          <w:sz w:val="28"/>
        </w:rPr>
        <w:t>19</w:t>
      </w:r>
      <w:r>
        <w:rPr>
          <w:rFonts w:ascii="Courier New"/>
          <w:color w:val="303030"/>
          <w:spacing w:val="-22"/>
          <w:sz w:val="28"/>
        </w:rPr>
        <w:t> </w:t>
      </w:r>
      <w:r>
        <w:rPr>
          <w:rFonts w:ascii="Courier New"/>
          <w:color w:val="303030"/>
          <w:sz w:val="28"/>
        </w:rPr>
        <w:t>verses</w:t>
      </w:r>
      <w:r>
        <w:rPr>
          <w:rFonts w:ascii="Courier New"/>
          <w:color w:val="303030"/>
          <w:spacing w:val="-21"/>
          <w:sz w:val="28"/>
        </w:rPr>
        <w:t> </w:t>
      </w:r>
      <w:r>
        <w:rPr>
          <w:rFonts w:ascii="Courier New"/>
          <w:color w:val="303030"/>
          <w:sz w:val="28"/>
        </w:rPr>
        <w:t>from</w:t>
      </w:r>
      <w:r>
        <w:rPr>
          <w:rFonts w:ascii="Courier New"/>
          <w:color w:val="303030"/>
          <w:spacing w:val="-22"/>
          <w:sz w:val="28"/>
        </w:rPr>
        <w:t> </w:t>
      </w:r>
      <w:r>
        <w:rPr>
          <w:rFonts w:ascii="Courier New"/>
          <w:color w:val="303030"/>
          <w:sz w:val="28"/>
        </w:rPr>
        <w:t>it;</w:t>
      </w:r>
      <w:r>
        <w:rPr>
          <w:rFonts w:ascii="Courier New"/>
          <w:color w:val="303030"/>
          <w:spacing w:val="-22"/>
          <w:sz w:val="28"/>
        </w:rPr>
        <w:t> </w:t>
      </w:r>
      <w:r>
        <w:rPr>
          <w:rFonts w:ascii="Courier New"/>
          <w:color w:val="303030"/>
          <w:sz w:val="28"/>
        </w:rPr>
        <w:t>one quotation</w:t>
      </w:r>
      <w:r>
        <w:rPr>
          <w:rFonts w:ascii="Courier New"/>
          <w:color w:val="303030"/>
          <w:spacing w:val="-40"/>
          <w:sz w:val="28"/>
        </w:rPr>
        <w:t> </w:t>
      </w:r>
      <w:r>
        <w:rPr>
          <w:rFonts w:ascii="Courier New"/>
          <w:color w:val="303030"/>
          <w:sz w:val="28"/>
        </w:rPr>
        <w:t>indicates</w:t>
      </w:r>
      <w:r>
        <w:rPr>
          <w:rFonts w:ascii="Courier New"/>
          <w:color w:val="303030"/>
          <w:spacing w:val="-39"/>
          <w:sz w:val="28"/>
        </w:rPr>
        <w:t> </w:t>
      </w:r>
      <w:r>
        <w:rPr>
          <w:rFonts w:ascii="Courier New"/>
          <w:color w:val="303030"/>
          <w:sz w:val="28"/>
        </w:rPr>
        <w:t>Tantrik</w:t>
      </w:r>
      <w:r>
        <w:rPr>
          <w:rFonts w:ascii="Courier New"/>
          <w:color w:val="303030"/>
          <w:spacing w:val="-39"/>
          <w:sz w:val="28"/>
        </w:rPr>
        <w:t> </w:t>
      </w:r>
      <w:r>
        <w:rPr>
          <w:rFonts w:ascii="Courier New"/>
          <w:color w:val="303030"/>
          <w:sz w:val="28"/>
        </w:rPr>
        <w:t>influence</w:t>
      </w:r>
      <w:r>
        <w:rPr>
          <w:rFonts w:ascii="Courier New"/>
          <w:color w:val="303030"/>
          <w:spacing w:val="-39"/>
          <w:sz w:val="28"/>
        </w:rPr>
        <w:t> </w:t>
      </w:r>
      <w:r>
        <w:rPr>
          <w:rFonts w:ascii="Courier New"/>
          <w:color w:val="303030"/>
          <w:sz w:val="28"/>
        </w:rPr>
        <w:t>(vide note). The Danasagara cites 48 verses on dana</w:t>
      </w:r>
      <w:r>
        <w:rPr>
          <w:rFonts w:ascii="Courier New"/>
          <w:color w:val="303030"/>
          <w:spacing w:val="-16"/>
          <w:sz w:val="28"/>
        </w:rPr>
        <w:t> </w:t>
      </w:r>
      <w:r>
        <w:rPr>
          <w:rFonts w:ascii="Courier New"/>
          <w:color w:val="303030"/>
          <w:sz w:val="28"/>
        </w:rPr>
        <w:t>from</w:t>
      </w:r>
      <w:r>
        <w:rPr>
          <w:rFonts w:ascii="Courier New"/>
          <w:color w:val="303030"/>
          <w:spacing w:val="-15"/>
          <w:sz w:val="28"/>
        </w:rPr>
        <w:t> </w:t>
      </w:r>
      <w:r>
        <w:rPr>
          <w:rFonts w:ascii="Courier New"/>
          <w:color w:val="303030"/>
          <w:sz w:val="28"/>
        </w:rPr>
        <w:t>it</w:t>
      </w:r>
      <w:r>
        <w:rPr>
          <w:rFonts w:ascii="Courier New"/>
          <w:color w:val="303030"/>
          <w:spacing w:val="-15"/>
          <w:sz w:val="28"/>
        </w:rPr>
        <w:t> </w:t>
      </w:r>
      <w:r>
        <w:rPr>
          <w:rFonts w:ascii="Courier New"/>
          <w:color w:val="303030"/>
          <w:sz w:val="28"/>
        </w:rPr>
        <w:t>and</w:t>
      </w:r>
      <w:r>
        <w:rPr>
          <w:rFonts w:ascii="Courier New"/>
          <w:color w:val="303030"/>
          <w:spacing w:val="-16"/>
          <w:sz w:val="28"/>
        </w:rPr>
        <w:t> </w:t>
      </w:r>
      <w:r>
        <w:rPr>
          <w:rFonts w:ascii="Courier New"/>
          <w:color w:val="303030"/>
          <w:sz w:val="28"/>
        </w:rPr>
        <w:t>the</w:t>
      </w:r>
      <w:r>
        <w:rPr>
          <w:rFonts w:ascii="Courier New"/>
          <w:color w:val="303030"/>
          <w:spacing w:val="-15"/>
          <w:sz w:val="28"/>
        </w:rPr>
        <w:t> </w:t>
      </w:r>
      <w:r>
        <w:rPr>
          <w:rFonts w:ascii="Courier New"/>
          <w:color w:val="303030"/>
          <w:sz w:val="28"/>
        </w:rPr>
        <w:t>Sm.</w:t>
      </w:r>
      <w:r>
        <w:rPr>
          <w:rFonts w:ascii="Courier New"/>
          <w:color w:val="303030"/>
          <w:spacing w:val="-15"/>
          <w:sz w:val="28"/>
        </w:rPr>
        <w:t> </w:t>
      </w:r>
      <w:r>
        <w:rPr>
          <w:rFonts w:ascii="Courier New"/>
          <w:color w:val="303030"/>
          <w:sz w:val="28"/>
        </w:rPr>
        <w:t>C.</w:t>
      </w:r>
      <w:r>
        <w:rPr>
          <w:rFonts w:ascii="Courier New"/>
          <w:color w:val="303030"/>
          <w:spacing w:val="-12"/>
          <w:sz w:val="28"/>
        </w:rPr>
        <w:t> </w:t>
      </w:r>
      <w:r>
        <w:rPr>
          <w:rFonts w:ascii="Courier New"/>
          <w:color w:val="303030"/>
          <w:sz w:val="28"/>
        </w:rPr>
        <w:t>only</w:t>
      </w:r>
      <w:r>
        <w:rPr>
          <w:rFonts w:ascii="Courier New"/>
          <w:color w:val="303030"/>
          <w:spacing w:val="-15"/>
          <w:sz w:val="28"/>
        </w:rPr>
        <w:t> </w:t>
      </w:r>
      <w:r>
        <w:rPr>
          <w:rFonts w:ascii="Courier New"/>
          <w:color w:val="303030"/>
          <w:sz w:val="28"/>
        </w:rPr>
        <w:t>23</w:t>
      </w:r>
      <w:r>
        <w:rPr>
          <w:rFonts w:ascii="Courier New"/>
          <w:color w:val="303030"/>
          <w:spacing w:val="-15"/>
          <w:sz w:val="28"/>
        </w:rPr>
        <w:t> </w:t>
      </w:r>
      <w:r>
        <w:rPr>
          <w:rFonts w:ascii="Courier New"/>
          <w:color w:val="303030"/>
          <w:sz w:val="28"/>
        </w:rPr>
        <w:t>in</w:t>
      </w:r>
      <w:r>
        <w:rPr>
          <w:rFonts w:ascii="Courier New"/>
          <w:color w:val="303030"/>
          <w:spacing w:val="-16"/>
          <w:sz w:val="28"/>
        </w:rPr>
        <w:t> </w:t>
      </w:r>
      <w:r>
        <w:rPr>
          <w:rFonts w:ascii="Courier New"/>
          <w:color w:val="303030"/>
          <w:sz w:val="28"/>
        </w:rPr>
        <w:t>all. Considering the colossal figure of slokas in the Skanda it must be said that it is rather</w:t>
      </w:r>
      <w:r>
        <w:rPr>
          <w:rFonts w:ascii="Courier New"/>
          <w:color w:val="303030"/>
          <w:spacing w:val="-32"/>
          <w:sz w:val="28"/>
        </w:rPr>
        <w:t> </w:t>
      </w:r>
      <w:r>
        <w:rPr>
          <w:rFonts w:ascii="Courier New"/>
          <w:color w:val="303030"/>
          <w:sz w:val="28"/>
        </w:rPr>
        <w:t>sparingly</w:t>
      </w:r>
      <w:r>
        <w:rPr>
          <w:rFonts w:ascii="Courier New"/>
          <w:color w:val="303030"/>
          <w:spacing w:val="-31"/>
          <w:sz w:val="28"/>
        </w:rPr>
        <w:t> </w:t>
      </w:r>
      <w:r>
        <w:rPr>
          <w:rFonts w:ascii="Courier New"/>
          <w:color w:val="303030"/>
          <w:sz w:val="28"/>
        </w:rPr>
        <w:t>quoted</w:t>
      </w:r>
      <w:r>
        <w:rPr>
          <w:rFonts w:ascii="Courier New"/>
          <w:color w:val="303030"/>
          <w:spacing w:val="-32"/>
          <w:sz w:val="28"/>
        </w:rPr>
        <w:t> </w:t>
      </w:r>
      <w:r>
        <w:rPr>
          <w:rFonts w:ascii="Courier New"/>
          <w:color w:val="303030"/>
          <w:sz w:val="28"/>
        </w:rPr>
        <w:t>in</w:t>
      </w:r>
      <w:r>
        <w:rPr>
          <w:rFonts w:ascii="Courier New"/>
          <w:color w:val="303030"/>
          <w:spacing w:val="-31"/>
          <w:sz w:val="28"/>
        </w:rPr>
        <w:t> </w:t>
      </w:r>
      <w:r>
        <w:rPr>
          <w:rFonts w:ascii="Courier New"/>
          <w:color w:val="303030"/>
          <w:sz w:val="28"/>
        </w:rPr>
        <w:t>the</w:t>
      </w:r>
      <w:r>
        <w:rPr>
          <w:rFonts w:ascii="Courier New"/>
          <w:color w:val="303030"/>
          <w:spacing w:val="-32"/>
          <w:sz w:val="28"/>
        </w:rPr>
        <w:t> </w:t>
      </w:r>
      <w:r>
        <w:rPr>
          <w:rFonts w:ascii="Courier New"/>
          <w:color w:val="303030"/>
          <w:sz w:val="28"/>
        </w:rPr>
        <w:t>Dharmasastra works.</w:t>
      </w:r>
      <w:r>
        <w:rPr>
          <w:rFonts w:ascii="Courier New"/>
          <w:color w:val="303030"/>
          <w:spacing w:val="-17"/>
          <w:sz w:val="28"/>
        </w:rPr>
        <w:t> </w:t>
      </w:r>
      <w:r>
        <w:rPr>
          <w:rFonts w:ascii="Courier New"/>
          <w:color w:val="303030"/>
          <w:sz w:val="28"/>
        </w:rPr>
        <w:t>A</w:t>
      </w:r>
      <w:r>
        <w:rPr>
          <w:rFonts w:ascii="Courier New"/>
          <w:color w:val="303030"/>
          <w:spacing w:val="-16"/>
          <w:sz w:val="28"/>
        </w:rPr>
        <w:t> </w:t>
      </w:r>
      <w:r>
        <w:rPr>
          <w:rFonts w:ascii="Courier New"/>
          <w:color w:val="303030"/>
          <w:sz w:val="28"/>
        </w:rPr>
        <w:t>verse</w:t>
      </w:r>
      <w:r>
        <w:rPr>
          <w:rFonts w:ascii="Courier New"/>
          <w:color w:val="303030"/>
          <w:spacing w:val="-17"/>
          <w:sz w:val="28"/>
        </w:rPr>
        <w:t> </w:t>
      </w:r>
      <w:r>
        <w:rPr>
          <w:rFonts w:ascii="Courier New"/>
          <w:color w:val="303030"/>
          <w:sz w:val="28"/>
        </w:rPr>
        <w:t>in</w:t>
      </w:r>
      <w:r>
        <w:rPr>
          <w:rFonts w:ascii="Courier New"/>
          <w:color w:val="303030"/>
          <w:spacing w:val="-16"/>
          <w:sz w:val="28"/>
        </w:rPr>
        <w:t> </w:t>
      </w:r>
      <w:r>
        <w:rPr>
          <w:rFonts w:ascii="Courier New"/>
          <w:color w:val="303030"/>
          <w:sz w:val="28"/>
        </w:rPr>
        <w:t>it</w:t>
      </w:r>
      <w:r>
        <w:rPr>
          <w:rFonts w:ascii="Courier New"/>
          <w:color w:val="303030"/>
          <w:spacing w:val="-16"/>
          <w:sz w:val="28"/>
        </w:rPr>
        <w:t> </w:t>
      </w:r>
      <w:r>
        <w:rPr>
          <w:rFonts w:ascii="Courier New"/>
          <w:color w:val="303030"/>
          <w:sz w:val="28"/>
        </w:rPr>
        <w:t>seems</w:t>
      </w:r>
      <w:r>
        <w:rPr>
          <w:rFonts w:ascii="Courier New"/>
          <w:color w:val="303030"/>
          <w:spacing w:val="-17"/>
          <w:sz w:val="28"/>
        </w:rPr>
        <w:t> </w:t>
      </w:r>
      <w:r>
        <w:rPr>
          <w:rFonts w:ascii="Courier New"/>
          <w:color w:val="303030"/>
          <w:sz w:val="28"/>
        </w:rPr>
        <w:t>to</w:t>
      </w:r>
      <w:r>
        <w:rPr>
          <w:rFonts w:ascii="Courier New"/>
          <w:color w:val="303030"/>
          <w:spacing w:val="-16"/>
          <w:sz w:val="28"/>
        </w:rPr>
        <w:t> </w:t>
      </w:r>
      <w:r>
        <w:rPr>
          <w:rFonts w:ascii="Courier New"/>
          <w:color w:val="303030"/>
          <w:sz w:val="28"/>
        </w:rPr>
        <w:t>echo</w:t>
      </w:r>
      <w:r>
        <w:rPr>
          <w:rFonts w:ascii="Courier New"/>
          <w:color w:val="303030"/>
          <w:spacing w:val="-17"/>
          <w:sz w:val="28"/>
        </w:rPr>
        <w:t> </w:t>
      </w:r>
      <w:r>
        <w:rPr>
          <w:rFonts w:ascii="Courier New"/>
          <w:color w:val="303030"/>
          <w:sz w:val="28"/>
        </w:rPr>
        <w:t>the</w:t>
      </w:r>
      <w:r>
        <w:rPr>
          <w:rFonts w:ascii="Courier New"/>
          <w:color w:val="303030"/>
          <w:spacing w:val="-16"/>
          <w:sz w:val="28"/>
        </w:rPr>
        <w:t> </w:t>
      </w:r>
      <w:r>
        <w:rPr>
          <w:rFonts w:ascii="Courier New"/>
          <w:color w:val="303030"/>
          <w:sz w:val="28"/>
        </w:rPr>
        <w:t>very words of Kalidasa and quotes the view of Devala. In such a huge work interpolations could</w:t>
      </w:r>
      <w:r>
        <w:rPr>
          <w:rFonts w:ascii="Courier New"/>
          <w:color w:val="303030"/>
          <w:spacing w:val="-20"/>
          <w:sz w:val="28"/>
        </w:rPr>
        <w:t> </w:t>
      </w:r>
      <w:r>
        <w:rPr>
          <w:rFonts w:ascii="Courier New"/>
          <w:color w:val="303030"/>
          <w:sz w:val="28"/>
        </w:rPr>
        <w:t>easily</w:t>
      </w:r>
      <w:r>
        <w:rPr>
          <w:rFonts w:ascii="Courier New"/>
          <w:color w:val="303030"/>
          <w:spacing w:val="-19"/>
          <w:sz w:val="28"/>
        </w:rPr>
        <w:t> </w:t>
      </w:r>
      <w:r>
        <w:rPr>
          <w:rFonts w:ascii="Courier New"/>
          <w:color w:val="303030"/>
          <w:sz w:val="28"/>
        </w:rPr>
        <w:t>be</w:t>
      </w:r>
      <w:r>
        <w:rPr>
          <w:rFonts w:ascii="Courier New"/>
          <w:color w:val="303030"/>
          <w:spacing w:val="-20"/>
          <w:sz w:val="28"/>
        </w:rPr>
        <w:t> </w:t>
      </w:r>
      <w:r>
        <w:rPr>
          <w:rFonts w:ascii="Courier New"/>
          <w:color w:val="303030"/>
          <w:sz w:val="28"/>
        </w:rPr>
        <w:t>made.</w:t>
      </w:r>
      <w:r>
        <w:rPr>
          <w:rFonts w:ascii="Courier New"/>
          <w:color w:val="303030"/>
          <w:spacing w:val="-19"/>
          <w:sz w:val="28"/>
        </w:rPr>
        <w:t> </w:t>
      </w:r>
      <w:r>
        <w:rPr>
          <w:rFonts w:ascii="Courier New"/>
          <w:color w:val="303030"/>
          <w:sz w:val="28"/>
        </w:rPr>
        <w:t>So</w:t>
      </w:r>
      <w:r>
        <w:rPr>
          <w:rFonts w:ascii="Courier New"/>
          <w:color w:val="303030"/>
          <w:spacing w:val="-19"/>
          <w:sz w:val="28"/>
        </w:rPr>
        <w:t> </w:t>
      </w:r>
      <w:r>
        <w:rPr>
          <w:rFonts w:ascii="Courier New"/>
          <w:color w:val="303030"/>
          <w:sz w:val="28"/>
        </w:rPr>
        <w:t>it</w:t>
      </w:r>
      <w:r>
        <w:rPr>
          <w:rFonts w:ascii="Courier New"/>
          <w:color w:val="303030"/>
          <w:spacing w:val="-20"/>
          <w:sz w:val="28"/>
        </w:rPr>
        <w:t> </w:t>
      </w:r>
      <w:r>
        <w:rPr>
          <w:rFonts w:ascii="Courier New"/>
          <w:color w:val="303030"/>
          <w:sz w:val="28"/>
        </w:rPr>
        <w:t>is</w:t>
      </w:r>
      <w:r>
        <w:rPr>
          <w:rFonts w:ascii="Courier New"/>
          <w:color w:val="303030"/>
          <w:spacing w:val="-19"/>
          <w:sz w:val="28"/>
        </w:rPr>
        <w:t> </w:t>
      </w:r>
      <w:r>
        <w:rPr>
          <w:rFonts w:ascii="Courier New"/>
          <w:color w:val="303030"/>
          <w:sz w:val="28"/>
        </w:rPr>
        <w:t>difficult</w:t>
      </w:r>
      <w:r>
        <w:rPr>
          <w:rFonts w:ascii="Courier New"/>
          <w:color w:val="303030"/>
          <w:spacing w:val="-19"/>
          <w:sz w:val="28"/>
        </w:rPr>
        <w:t> </w:t>
      </w:r>
      <w:r>
        <w:rPr>
          <w:rFonts w:ascii="Courier New"/>
          <w:color w:val="303030"/>
          <w:sz w:val="28"/>
        </w:rPr>
        <w:t>to assign a definite date to it. A ms. of the Skanda  in  the  Nepal  Durbar  Library</w:t>
      </w:r>
      <w:r>
        <w:rPr>
          <w:rFonts w:ascii="Courier New"/>
          <w:color w:val="303030"/>
          <w:spacing w:val="14"/>
          <w:sz w:val="28"/>
        </w:rPr>
        <w:t> </w:t>
      </w:r>
      <w:r>
        <w:rPr>
          <w:rFonts w:ascii="Courier New"/>
          <w:color w:val="303030"/>
          <w:sz w:val="28"/>
        </w:rPr>
        <w:t>is</w:t>
      </w:r>
    </w:p>
    <w:p>
      <w:pPr>
        <w:spacing w:after="0" w:line="240" w:lineRule="auto"/>
        <w:jc w:val="both"/>
        <w:rPr>
          <w:rFonts w:ascii="Courier New"/>
          <w:sz w:val="28"/>
        </w:rPr>
        <w:sectPr>
          <w:headerReference w:type="default" r:id="rId308"/>
          <w:footerReference w:type="default" r:id="rId309"/>
          <w:pgSz w:w="11910" w:h="16840"/>
          <w:pgMar w:header="0" w:footer="1063" w:top="1340" w:bottom="1260" w:left="1280" w:right="1280"/>
          <w:pgNumType w:start="50"/>
        </w:sectPr>
      </w:pPr>
    </w:p>
    <w:p>
      <w:pPr>
        <w:spacing w:before="86"/>
        <w:ind w:left="1011" w:right="1246" w:firstLine="0"/>
        <w:jc w:val="both"/>
        <w:rPr>
          <w:rFonts w:ascii="Courier New"/>
          <w:sz w:val="28"/>
        </w:rPr>
      </w:pPr>
      <w:r>
        <w:rPr>
          <w:rFonts w:ascii="Courier New"/>
          <w:color w:val="303030"/>
          <w:sz w:val="28"/>
        </w:rPr>
        <w:t>written in characters which belong to the 7th century A.D. according to Haraprasad Shastri (vide Cat. of Nepal Palm-leaf mss.</w:t>
      </w:r>
    </w:p>
    <w:p>
      <w:pPr>
        <w:spacing w:line="316" w:lineRule="exact" w:before="0"/>
        <w:ind w:left="1012" w:right="0" w:firstLine="0"/>
        <w:jc w:val="left"/>
        <w:rPr>
          <w:rFonts w:ascii="Courier New"/>
          <w:sz w:val="28"/>
        </w:rPr>
      </w:pPr>
      <w:r>
        <w:rPr>
          <w:rFonts w:ascii="Courier New"/>
          <w:color w:val="303030"/>
          <w:sz w:val="28"/>
        </w:rPr>
        <w:t>p. LII.)</w:t>
      </w:r>
    </w:p>
    <w:p>
      <w:pPr>
        <w:pStyle w:val="BodyText"/>
        <w:spacing w:before="1"/>
        <w:rPr>
          <w:rFonts w:ascii="Courier New"/>
          <w:sz w:val="28"/>
        </w:rPr>
      </w:pPr>
    </w:p>
    <w:p>
      <w:pPr>
        <w:spacing w:before="0"/>
        <w:ind w:left="1012" w:right="1246" w:firstLine="588"/>
        <w:jc w:val="both"/>
        <w:rPr>
          <w:rFonts w:ascii="Courier New" w:hAnsi="Courier New"/>
          <w:sz w:val="28"/>
        </w:rPr>
      </w:pPr>
      <w:r>
        <w:rPr>
          <w:rFonts w:ascii="Courier New" w:hAnsi="Courier New"/>
          <w:color w:val="303030"/>
          <w:sz w:val="28"/>
        </w:rPr>
        <w:t>It would be not far from the truth to say that the Skanda cannot be placed earlier than the 7th century A.D. and not later</w:t>
      </w:r>
      <w:r>
        <w:rPr>
          <w:rFonts w:ascii="Courier New" w:hAnsi="Courier New"/>
          <w:color w:val="303030"/>
          <w:spacing w:val="-22"/>
          <w:sz w:val="28"/>
        </w:rPr>
        <w:t> </w:t>
      </w:r>
      <w:r>
        <w:rPr>
          <w:rFonts w:ascii="Courier New" w:hAnsi="Courier New"/>
          <w:color w:val="303030"/>
          <w:sz w:val="28"/>
        </w:rPr>
        <w:t>than</w:t>
      </w:r>
      <w:r>
        <w:rPr>
          <w:rFonts w:ascii="Courier New" w:hAnsi="Courier New"/>
          <w:color w:val="303030"/>
          <w:spacing w:val="-22"/>
          <w:sz w:val="28"/>
        </w:rPr>
        <w:t> </w:t>
      </w:r>
      <w:r>
        <w:rPr>
          <w:rFonts w:ascii="Courier New" w:hAnsi="Courier New"/>
          <w:color w:val="303030"/>
          <w:sz w:val="28"/>
        </w:rPr>
        <w:t>9th</w:t>
      </w:r>
      <w:r>
        <w:rPr>
          <w:rFonts w:ascii="Courier New" w:hAnsi="Courier New"/>
          <w:color w:val="303030"/>
          <w:spacing w:val="-22"/>
          <w:sz w:val="28"/>
        </w:rPr>
        <w:t> </w:t>
      </w:r>
      <w:r>
        <w:rPr>
          <w:rFonts w:ascii="Courier New" w:hAnsi="Courier New"/>
          <w:color w:val="303030"/>
          <w:sz w:val="28"/>
        </w:rPr>
        <w:t>century</w:t>
      </w:r>
      <w:r>
        <w:rPr>
          <w:rFonts w:ascii="Courier New" w:hAnsi="Courier New"/>
          <w:color w:val="303030"/>
          <w:spacing w:val="-22"/>
          <w:sz w:val="28"/>
        </w:rPr>
        <w:t> </w:t>
      </w:r>
      <w:r>
        <w:rPr>
          <w:rFonts w:ascii="Courier New" w:hAnsi="Courier New"/>
          <w:color w:val="303030"/>
          <w:sz w:val="28"/>
        </w:rPr>
        <w:t>A.D.</w:t>
      </w:r>
      <w:r>
        <w:rPr>
          <w:rFonts w:ascii="Courier New" w:hAnsi="Courier New"/>
          <w:color w:val="303030"/>
          <w:spacing w:val="-21"/>
          <w:sz w:val="28"/>
        </w:rPr>
        <w:t> </w:t>
      </w:r>
      <w:r>
        <w:rPr>
          <w:rFonts w:ascii="Courier New" w:hAnsi="Courier New"/>
          <w:color w:val="303030"/>
          <w:sz w:val="28"/>
        </w:rPr>
        <w:t>on</w:t>
      </w:r>
      <w:r>
        <w:rPr>
          <w:rFonts w:ascii="Courier New" w:hAnsi="Courier New"/>
          <w:color w:val="303030"/>
          <w:spacing w:val="-22"/>
          <w:sz w:val="28"/>
        </w:rPr>
        <w:t> </w:t>
      </w:r>
      <w:r>
        <w:rPr>
          <w:rFonts w:ascii="Courier New" w:hAnsi="Courier New"/>
          <w:color w:val="303030"/>
          <w:sz w:val="28"/>
        </w:rPr>
        <w:t>the</w:t>
      </w:r>
      <w:r>
        <w:rPr>
          <w:rFonts w:ascii="Courier New" w:hAnsi="Courier New"/>
          <w:color w:val="303030"/>
          <w:spacing w:val="-22"/>
          <w:sz w:val="28"/>
        </w:rPr>
        <w:t> </w:t>
      </w:r>
      <w:r>
        <w:rPr>
          <w:rFonts w:ascii="Courier New" w:hAnsi="Courier New"/>
          <w:color w:val="303030"/>
          <w:sz w:val="28"/>
        </w:rPr>
        <w:t>evidence so far</w:t>
      </w:r>
      <w:r>
        <w:rPr>
          <w:rFonts w:ascii="Courier New" w:hAnsi="Courier New"/>
          <w:color w:val="303030"/>
          <w:spacing w:val="-3"/>
          <w:sz w:val="28"/>
        </w:rPr>
        <w:t> </w:t>
      </w:r>
      <w:r>
        <w:rPr>
          <w:rFonts w:ascii="Courier New" w:hAnsi="Courier New"/>
          <w:color w:val="303030"/>
          <w:sz w:val="28"/>
        </w:rPr>
        <w:t>available.”</w:t>
      </w:r>
    </w:p>
    <w:p>
      <w:pPr>
        <w:pStyle w:val="BodyText"/>
        <w:rPr>
          <w:rFonts w:ascii="Courier New"/>
          <w:sz w:val="32"/>
        </w:rPr>
      </w:pPr>
    </w:p>
    <w:p>
      <w:pPr>
        <w:pStyle w:val="ListParagraph"/>
        <w:numPr>
          <w:ilvl w:val="0"/>
          <w:numId w:val="254"/>
        </w:numPr>
        <w:tabs>
          <w:tab w:pos="995" w:val="left" w:leader="none"/>
        </w:tabs>
        <w:spacing w:line="480" w:lineRule="auto" w:before="272" w:after="0"/>
        <w:ind w:left="160" w:right="158" w:firstLine="0"/>
        <w:jc w:val="both"/>
        <w:rPr>
          <w:rFonts w:ascii="Courier New"/>
          <w:sz w:val="28"/>
        </w:rPr>
      </w:pPr>
      <w:r>
        <w:rPr>
          <w:rFonts w:ascii="Courier New"/>
          <w:sz w:val="28"/>
        </w:rPr>
        <w:t>There is no need of any further discussion regarding period of composition of Skanda Purana in view of evidence, which was led on behalf of</w:t>
      </w:r>
      <w:r>
        <w:rPr>
          <w:rFonts w:ascii="Courier New"/>
          <w:spacing w:val="-70"/>
          <w:sz w:val="28"/>
        </w:rPr>
        <w:t> </w:t>
      </w:r>
      <w:r>
        <w:rPr>
          <w:rFonts w:ascii="Courier New"/>
          <w:sz w:val="28"/>
        </w:rPr>
        <w:t>plaintiff of Suit No.4 itself. PW20 Prof. Shirin Musavi in her statement has stated that geographical local of</w:t>
      </w:r>
      <w:r>
        <w:rPr>
          <w:rFonts w:ascii="Courier New"/>
          <w:spacing w:val="-69"/>
          <w:sz w:val="28"/>
        </w:rPr>
        <w:t> </w:t>
      </w:r>
      <w:r>
        <w:rPr>
          <w:rFonts w:ascii="Courier New"/>
          <w:sz w:val="28"/>
        </w:rPr>
        <w:t>Ramkot found description in the Skanda Purana. She clearly stated</w:t>
      </w:r>
      <w:r>
        <w:rPr>
          <w:rFonts w:ascii="Courier New"/>
          <w:spacing w:val="-31"/>
          <w:sz w:val="28"/>
        </w:rPr>
        <w:t> </w:t>
      </w:r>
      <w:r>
        <w:rPr>
          <w:rFonts w:ascii="Courier New"/>
          <w:sz w:val="28"/>
        </w:rPr>
        <w:t>that</w:t>
      </w:r>
      <w:r>
        <w:rPr>
          <w:rFonts w:ascii="Courier New"/>
          <w:spacing w:val="-30"/>
          <w:sz w:val="28"/>
        </w:rPr>
        <w:t> </w:t>
      </w:r>
      <w:r>
        <w:rPr>
          <w:rFonts w:ascii="Courier New"/>
          <w:sz w:val="28"/>
        </w:rPr>
        <w:t>Skanda</w:t>
      </w:r>
      <w:r>
        <w:rPr>
          <w:rFonts w:ascii="Courier New"/>
          <w:spacing w:val="-30"/>
          <w:sz w:val="28"/>
        </w:rPr>
        <w:t> </w:t>
      </w:r>
      <w:r>
        <w:rPr>
          <w:rFonts w:ascii="Courier New"/>
          <w:sz w:val="28"/>
        </w:rPr>
        <w:t>Purana</w:t>
      </w:r>
      <w:r>
        <w:rPr>
          <w:rFonts w:ascii="Courier New"/>
          <w:spacing w:val="-30"/>
          <w:sz w:val="28"/>
        </w:rPr>
        <w:t> </w:t>
      </w:r>
      <w:r>
        <w:rPr>
          <w:rFonts w:ascii="Courier New"/>
          <w:sz w:val="28"/>
        </w:rPr>
        <w:t>belongs</w:t>
      </w:r>
      <w:r>
        <w:rPr>
          <w:rFonts w:ascii="Courier New"/>
          <w:spacing w:val="-30"/>
          <w:sz w:val="28"/>
        </w:rPr>
        <w:t> </w:t>
      </w:r>
      <w:r>
        <w:rPr>
          <w:rFonts w:ascii="Courier New"/>
          <w:sz w:val="28"/>
        </w:rPr>
        <w:t>to</w:t>
      </w:r>
      <w:r>
        <w:rPr>
          <w:rFonts w:ascii="Courier New"/>
          <w:spacing w:val="-30"/>
          <w:sz w:val="28"/>
        </w:rPr>
        <w:t> </w:t>
      </w:r>
      <w:r>
        <w:rPr>
          <w:rFonts w:ascii="Courier New"/>
          <w:sz w:val="28"/>
        </w:rPr>
        <w:t>Ninth</w:t>
      </w:r>
      <w:r>
        <w:rPr>
          <w:rFonts w:ascii="Courier New"/>
          <w:spacing w:val="-31"/>
          <w:sz w:val="28"/>
        </w:rPr>
        <w:t> </w:t>
      </w:r>
      <w:r>
        <w:rPr>
          <w:rFonts w:ascii="Courier New"/>
          <w:sz w:val="28"/>
        </w:rPr>
        <w:t>Century</w:t>
      </w:r>
      <w:r>
        <w:rPr>
          <w:rFonts w:ascii="Courier New"/>
          <w:spacing w:val="-30"/>
          <w:sz w:val="28"/>
        </w:rPr>
        <w:t> </w:t>
      </w:r>
      <w:r>
        <w:rPr>
          <w:rFonts w:ascii="Courier New"/>
          <w:sz w:val="28"/>
        </w:rPr>
        <w:t>A.D. Following is her statement in above</w:t>
      </w:r>
      <w:r>
        <w:rPr>
          <w:rFonts w:ascii="Courier New"/>
          <w:spacing w:val="-12"/>
          <w:sz w:val="28"/>
        </w:rPr>
        <w:t> </w:t>
      </w:r>
      <w:r>
        <w:rPr>
          <w:rFonts w:ascii="Courier New"/>
          <w:sz w:val="28"/>
        </w:rPr>
        <w:t>regard:-</w:t>
      </w:r>
    </w:p>
    <w:p>
      <w:pPr>
        <w:spacing w:line="240" w:lineRule="auto" w:before="0"/>
        <w:ind w:left="1011" w:right="1245" w:firstLine="0"/>
        <w:jc w:val="both"/>
        <w:rPr>
          <w:rFonts w:ascii="Courier New" w:hAnsi="Courier New"/>
          <w:sz w:val="28"/>
        </w:rPr>
      </w:pPr>
      <w:r>
        <w:rPr>
          <w:rFonts w:ascii="Courier New" w:hAnsi="Courier New"/>
          <w:sz w:val="28"/>
        </w:rPr>
        <w:t>“I</w:t>
      </w:r>
      <w:r>
        <w:rPr>
          <w:rFonts w:ascii="Courier New" w:hAnsi="Courier New"/>
          <w:spacing w:val="-20"/>
          <w:sz w:val="28"/>
        </w:rPr>
        <w:t> </w:t>
      </w:r>
      <w:r>
        <w:rPr>
          <w:rFonts w:ascii="Courier New" w:hAnsi="Courier New"/>
          <w:sz w:val="28"/>
        </w:rPr>
        <w:t>have</w:t>
      </w:r>
      <w:r>
        <w:rPr>
          <w:rFonts w:ascii="Courier New" w:hAnsi="Courier New"/>
          <w:spacing w:val="-19"/>
          <w:sz w:val="28"/>
        </w:rPr>
        <w:t> </w:t>
      </w:r>
      <w:r>
        <w:rPr>
          <w:rFonts w:ascii="Courier New" w:hAnsi="Courier New"/>
          <w:sz w:val="28"/>
        </w:rPr>
        <w:t>read</w:t>
      </w:r>
      <w:r>
        <w:rPr>
          <w:rFonts w:ascii="Courier New" w:hAnsi="Courier New"/>
          <w:spacing w:val="-20"/>
          <w:sz w:val="28"/>
        </w:rPr>
        <w:t> </w:t>
      </w:r>
      <w:r>
        <w:rPr>
          <w:rFonts w:ascii="Courier New" w:hAnsi="Courier New"/>
          <w:sz w:val="28"/>
        </w:rPr>
        <w:t>about</w:t>
      </w:r>
      <w:r>
        <w:rPr>
          <w:rFonts w:ascii="Courier New" w:hAnsi="Courier New"/>
          <w:spacing w:val="-19"/>
          <w:sz w:val="28"/>
        </w:rPr>
        <w:t> </w:t>
      </w:r>
      <w:r>
        <w:rPr>
          <w:rFonts w:ascii="Courier New" w:hAnsi="Courier New"/>
          <w:sz w:val="28"/>
        </w:rPr>
        <w:t>a</w:t>
      </w:r>
      <w:r>
        <w:rPr>
          <w:rFonts w:ascii="Courier New" w:hAnsi="Courier New"/>
          <w:spacing w:val="-19"/>
          <w:sz w:val="28"/>
        </w:rPr>
        <w:t> </w:t>
      </w:r>
      <w:r>
        <w:rPr>
          <w:rFonts w:ascii="Courier New" w:hAnsi="Courier New"/>
          <w:sz w:val="28"/>
        </w:rPr>
        <w:t>place</w:t>
      </w:r>
      <w:r>
        <w:rPr>
          <w:rFonts w:ascii="Courier New" w:hAnsi="Courier New"/>
          <w:spacing w:val="-20"/>
          <w:sz w:val="28"/>
        </w:rPr>
        <w:t> </w:t>
      </w:r>
      <w:r>
        <w:rPr>
          <w:rFonts w:ascii="Courier New" w:hAnsi="Courier New"/>
          <w:sz w:val="28"/>
        </w:rPr>
        <w:t>called</w:t>
      </w:r>
      <w:r>
        <w:rPr>
          <w:rFonts w:ascii="Courier New" w:hAnsi="Courier New"/>
          <w:spacing w:val="-19"/>
          <w:sz w:val="28"/>
        </w:rPr>
        <w:t> </w:t>
      </w:r>
      <w:r>
        <w:rPr>
          <w:rFonts w:ascii="Courier New" w:hAnsi="Courier New"/>
          <w:sz w:val="28"/>
        </w:rPr>
        <w:t>Ramkot</w:t>
      </w:r>
      <w:r>
        <w:rPr>
          <w:rFonts w:ascii="Courier New" w:hAnsi="Courier New"/>
          <w:spacing w:val="-19"/>
          <w:sz w:val="28"/>
        </w:rPr>
        <w:t> </w:t>
      </w:r>
      <w:r>
        <w:rPr>
          <w:rFonts w:ascii="Courier New" w:hAnsi="Courier New"/>
          <w:sz w:val="28"/>
        </w:rPr>
        <w:t>in Ayodhya. The geographical location of Ramkot finds description in Skanda Purana. But it is not clear. It is true that a certain place in Ayodhya is known by the name</w:t>
      </w:r>
      <w:r>
        <w:rPr>
          <w:rFonts w:ascii="Courier New" w:hAnsi="Courier New"/>
          <w:spacing w:val="-27"/>
          <w:sz w:val="28"/>
        </w:rPr>
        <w:t> </w:t>
      </w:r>
      <w:r>
        <w:rPr>
          <w:rFonts w:ascii="Courier New" w:hAnsi="Courier New"/>
          <w:sz w:val="28"/>
        </w:rPr>
        <w:t>of</w:t>
      </w:r>
      <w:r>
        <w:rPr>
          <w:rFonts w:ascii="Courier New" w:hAnsi="Courier New"/>
          <w:spacing w:val="-26"/>
          <w:sz w:val="28"/>
        </w:rPr>
        <w:t> </w:t>
      </w:r>
      <w:r>
        <w:rPr>
          <w:rFonts w:ascii="Courier New" w:hAnsi="Courier New"/>
          <w:sz w:val="28"/>
        </w:rPr>
        <w:t>Ramkot</w:t>
      </w:r>
      <w:r>
        <w:rPr>
          <w:rFonts w:ascii="Courier New" w:hAnsi="Courier New"/>
          <w:spacing w:val="-21"/>
          <w:sz w:val="28"/>
        </w:rPr>
        <w:t> </w:t>
      </w:r>
      <w:r>
        <w:rPr>
          <w:rFonts w:ascii="Courier New" w:hAnsi="Courier New"/>
          <w:sz w:val="28"/>
        </w:rPr>
        <w:t>from</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end</w:t>
      </w:r>
      <w:r>
        <w:rPr>
          <w:rFonts w:ascii="Courier New" w:hAnsi="Courier New"/>
          <w:spacing w:val="-25"/>
          <w:sz w:val="28"/>
        </w:rPr>
        <w:t> </w:t>
      </w:r>
      <w:r>
        <w:rPr>
          <w:rFonts w:ascii="Courier New" w:hAnsi="Courier New"/>
          <w:sz w:val="28"/>
        </w:rPr>
        <w:t>of</w:t>
      </w:r>
      <w:r>
        <w:rPr>
          <w:rFonts w:ascii="Courier New" w:hAnsi="Courier New"/>
          <w:spacing w:val="-24"/>
          <w:sz w:val="28"/>
        </w:rPr>
        <w:t> </w:t>
      </w:r>
      <w:r>
        <w:rPr>
          <w:rFonts w:ascii="Courier New" w:hAnsi="Courier New"/>
          <w:sz w:val="28"/>
        </w:rPr>
        <w:t>16</w:t>
      </w:r>
      <w:r>
        <w:rPr>
          <w:rFonts w:ascii="Courier New" w:hAnsi="Courier New"/>
          <w:position w:val="8"/>
          <w:sz w:val="18"/>
        </w:rPr>
        <w:t>th</w:t>
      </w:r>
      <w:r>
        <w:rPr>
          <w:rFonts w:ascii="Courier New" w:hAnsi="Courier New"/>
          <w:spacing w:val="35"/>
          <w:position w:val="8"/>
          <w:sz w:val="18"/>
        </w:rPr>
        <w:t> </w:t>
      </w:r>
      <w:r>
        <w:rPr>
          <w:rFonts w:ascii="Courier New" w:hAnsi="Courier New"/>
          <w:sz w:val="28"/>
        </w:rPr>
        <w:t>century. Skanda Purana is attributed to, that is, stated to be belonging to the 9</w:t>
      </w:r>
      <w:r>
        <w:rPr>
          <w:rFonts w:ascii="Courier New" w:hAnsi="Courier New"/>
          <w:position w:val="8"/>
          <w:sz w:val="18"/>
        </w:rPr>
        <w:t>th </w:t>
      </w:r>
      <w:r>
        <w:rPr>
          <w:rFonts w:ascii="Courier New" w:hAnsi="Courier New"/>
          <w:sz w:val="28"/>
        </w:rPr>
        <w:t>century.” (E.T.C.)</w:t>
      </w:r>
    </w:p>
    <w:p>
      <w:pPr>
        <w:spacing w:after="0" w:line="240" w:lineRule="auto"/>
        <w:jc w:val="both"/>
        <w:rPr>
          <w:rFonts w:ascii="Courier New" w:hAnsi="Courier New"/>
          <w:sz w:val="28"/>
        </w:rPr>
        <w:sectPr>
          <w:headerReference w:type="default" r:id="rId310"/>
          <w:footerReference w:type="default" r:id="rId311"/>
          <w:pgSz w:w="11910" w:h="16840"/>
          <w:pgMar w:header="0" w:footer="1063" w:top="1340" w:bottom="1260" w:left="1280" w:right="1280"/>
          <w:pgNumType w:start="51"/>
        </w:sectPr>
      </w:pPr>
    </w:p>
    <w:p>
      <w:pPr>
        <w:pStyle w:val="ListParagraph"/>
        <w:numPr>
          <w:ilvl w:val="0"/>
          <w:numId w:val="254"/>
        </w:numPr>
        <w:tabs>
          <w:tab w:pos="861" w:val="left" w:leader="none"/>
        </w:tabs>
        <w:spacing w:line="480" w:lineRule="auto" w:before="86" w:after="0"/>
        <w:ind w:left="160" w:right="158" w:firstLine="0"/>
        <w:jc w:val="both"/>
        <w:rPr>
          <w:rFonts w:ascii="Courier New" w:hAnsi="Courier New"/>
          <w:sz w:val="28"/>
        </w:rPr>
      </w:pPr>
      <w:r>
        <w:rPr>
          <w:rFonts w:ascii="Courier New" w:hAnsi="Courier New"/>
          <w:sz w:val="28"/>
        </w:rPr>
        <w:t>In above view of the matter, the opinion of four Historians in their report that Ayodhya Mahatmya of Skanda Purana was prepared towards the end of Eighteenth Century or the beginning of Nineteenth Century cannot be accepted. It is further relevant to notice that Ayodhya Mahatmya of the Skanda Purana,</w:t>
      </w:r>
      <w:r>
        <w:rPr>
          <w:rFonts w:ascii="Courier New" w:hAnsi="Courier New"/>
          <w:spacing w:val="-67"/>
          <w:sz w:val="28"/>
        </w:rPr>
        <w:t> </w:t>
      </w:r>
      <w:r>
        <w:rPr>
          <w:rFonts w:ascii="Courier New" w:hAnsi="Courier New"/>
          <w:sz w:val="28"/>
        </w:rPr>
        <w:t>the witnesses examined in Suit No.5 on behalf of the</w:t>
      </w:r>
      <w:r>
        <w:rPr>
          <w:rFonts w:ascii="Courier New" w:hAnsi="Courier New"/>
          <w:spacing w:val="-70"/>
          <w:sz w:val="28"/>
        </w:rPr>
        <w:t> </w:t>
      </w:r>
      <w:r>
        <w:rPr>
          <w:rFonts w:ascii="Courier New" w:hAnsi="Courier New"/>
          <w:sz w:val="28"/>
        </w:rPr>
        <w:t>Hindu Parties as well as other witnesses examined on behalf of the Hindu parties were cross-examined on various Shlokas of Ayodhya Mahatmya of Skanda purana but not even</w:t>
      </w:r>
      <w:r>
        <w:rPr>
          <w:rFonts w:ascii="Courier New" w:hAnsi="Courier New"/>
          <w:spacing w:val="-24"/>
          <w:sz w:val="28"/>
        </w:rPr>
        <w:t> </w:t>
      </w:r>
      <w:r>
        <w:rPr>
          <w:rFonts w:ascii="Courier New" w:hAnsi="Courier New"/>
          <w:sz w:val="28"/>
        </w:rPr>
        <w:t>a</w:t>
      </w:r>
      <w:r>
        <w:rPr>
          <w:rFonts w:ascii="Courier New" w:hAnsi="Courier New"/>
          <w:spacing w:val="-24"/>
          <w:sz w:val="28"/>
        </w:rPr>
        <w:t> </w:t>
      </w:r>
      <w:r>
        <w:rPr>
          <w:rFonts w:ascii="Courier New" w:hAnsi="Courier New"/>
          <w:sz w:val="28"/>
        </w:rPr>
        <w:t>suggestion</w:t>
      </w:r>
      <w:r>
        <w:rPr>
          <w:rFonts w:ascii="Courier New" w:hAnsi="Courier New"/>
          <w:spacing w:val="-24"/>
          <w:sz w:val="28"/>
        </w:rPr>
        <w:t> </w:t>
      </w:r>
      <w:r>
        <w:rPr>
          <w:rFonts w:ascii="Courier New" w:hAnsi="Courier New"/>
          <w:sz w:val="28"/>
        </w:rPr>
        <w:t>was</w:t>
      </w:r>
      <w:r>
        <w:rPr>
          <w:rFonts w:ascii="Courier New" w:hAnsi="Courier New"/>
          <w:spacing w:val="-23"/>
          <w:sz w:val="28"/>
        </w:rPr>
        <w:t> </w:t>
      </w:r>
      <w:r>
        <w:rPr>
          <w:rFonts w:ascii="Courier New" w:hAnsi="Courier New"/>
          <w:sz w:val="28"/>
        </w:rPr>
        <w:t>made</w:t>
      </w:r>
      <w:r>
        <w:rPr>
          <w:rFonts w:ascii="Courier New" w:hAnsi="Courier New"/>
          <w:spacing w:val="-24"/>
          <w:sz w:val="28"/>
        </w:rPr>
        <w:t> </w:t>
      </w:r>
      <w:r>
        <w:rPr>
          <w:rFonts w:ascii="Courier New" w:hAnsi="Courier New"/>
          <w:sz w:val="28"/>
        </w:rPr>
        <w:t>to</w:t>
      </w:r>
      <w:r>
        <w:rPr>
          <w:rFonts w:ascii="Courier New" w:hAnsi="Courier New"/>
          <w:spacing w:val="-24"/>
          <w:sz w:val="28"/>
        </w:rPr>
        <w:t> </w:t>
      </w:r>
      <w:r>
        <w:rPr>
          <w:rFonts w:ascii="Courier New" w:hAnsi="Courier New"/>
          <w:sz w:val="28"/>
        </w:rPr>
        <w:t>any</w:t>
      </w:r>
      <w:r>
        <w:rPr>
          <w:rFonts w:ascii="Courier New" w:hAnsi="Courier New"/>
          <w:spacing w:val="-24"/>
          <w:sz w:val="28"/>
        </w:rPr>
        <w:t> </w:t>
      </w:r>
      <w:r>
        <w:rPr>
          <w:rFonts w:ascii="Courier New" w:hAnsi="Courier New"/>
          <w:sz w:val="28"/>
        </w:rPr>
        <w:t>of</w:t>
      </w:r>
      <w:r>
        <w:rPr>
          <w:rFonts w:ascii="Courier New" w:hAnsi="Courier New"/>
          <w:spacing w:val="-24"/>
          <w:sz w:val="28"/>
        </w:rPr>
        <w:t> </w:t>
      </w:r>
      <w:r>
        <w:rPr>
          <w:rFonts w:ascii="Courier New" w:hAnsi="Courier New"/>
          <w:sz w:val="28"/>
        </w:rPr>
        <w:t>the</w:t>
      </w:r>
      <w:r>
        <w:rPr>
          <w:rFonts w:ascii="Courier New" w:hAnsi="Courier New"/>
          <w:spacing w:val="-23"/>
          <w:sz w:val="28"/>
        </w:rPr>
        <w:t> </w:t>
      </w:r>
      <w:r>
        <w:rPr>
          <w:rFonts w:ascii="Courier New" w:hAnsi="Courier New"/>
          <w:sz w:val="28"/>
        </w:rPr>
        <w:t>witnesses</w:t>
      </w:r>
      <w:r>
        <w:rPr>
          <w:rFonts w:ascii="Courier New" w:hAnsi="Courier New"/>
          <w:spacing w:val="-24"/>
          <w:sz w:val="28"/>
        </w:rPr>
        <w:t> </w:t>
      </w:r>
      <w:r>
        <w:rPr>
          <w:rFonts w:ascii="Courier New" w:hAnsi="Courier New"/>
          <w:sz w:val="28"/>
        </w:rPr>
        <w:t>that Ayodhya Mahatmya in Skanda Purana was composed in end of Eighteenth Century or beginning of Nineteenth Century. Thus, the opinion of the Historian’s report that Skanda Purana does not give support to any</w:t>
      </w:r>
      <w:r>
        <w:rPr>
          <w:rFonts w:ascii="Courier New" w:hAnsi="Courier New"/>
          <w:spacing w:val="-70"/>
          <w:sz w:val="28"/>
        </w:rPr>
        <w:t> </w:t>
      </w:r>
      <w:r>
        <w:rPr>
          <w:rFonts w:ascii="Courier New" w:hAnsi="Courier New"/>
          <w:sz w:val="28"/>
        </w:rPr>
        <w:t>belief in Ram Janma Asthan extending since long is unacceptable.</w:t>
      </w:r>
    </w:p>
    <w:p>
      <w:pPr>
        <w:pStyle w:val="BodyText"/>
        <w:spacing w:before="11"/>
        <w:rPr>
          <w:rFonts w:ascii="Courier New"/>
          <w:sz w:val="27"/>
        </w:rPr>
      </w:pPr>
    </w:p>
    <w:p>
      <w:pPr>
        <w:pStyle w:val="ListParagraph"/>
        <w:numPr>
          <w:ilvl w:val="0"/>
          <w:numId w:val="254"/>
        </w:numPr>
        <w:tabs>
          <w:tab w:pos="827" w:val="left" w:leader="none"/>
        </w:tabs>
        <w:spacing w:line="480" w:lineRule="auto" w:before="0" w:after="0"/>
        <w:ind w:left="160" w:right="159" w:firstLine="0"/>
        <w:jc w:val="both"/>
        <w:rPr>
          <w:rFonts w:ascii="Courier New" w:hAnsi="Courier New"/>
          <w:sz w:val="28"/>
        </w:rPr>
      </w:pPr>
      <w:r>
        <w:rPr>
          <w:rFonts w:ascii="Courier New" w:hAnsi="Courier New"/>
          <w:sz w:val="28"/>
        </w:rPr>
        <w:t>Another mistake which has crept in the</w:t>
      </w:r>
      <w:r>
        <w:rPr>
          <w:rFonts w:ascii="Courier New" w:hAnsi="Courier New"/>
          <w:spacing w:val="-61"/>
          <w:sz w:val="28"/>
        </w:rPr>
        <w:t> </w:t>
      </w:r>
      <w:r>
        <w:rPr>
          <w:rFonts w:ascii="Courier New" w:hAnsi="Courier New"/>
          <w:sz w:val="28"/>
        </w:rPr>
        <w:t>Historian’s report is that while recording the legends mentioned in</w:t>
      </w:r>
      <w:r>
        <w:rPr>
          <w:rFonts w:ascii="Courier New" w:hAnsi="Courier New"/>
          <w:spacing w:val="-31"/>
          <w:sz w:val="28"/>
        </w:rPr>
        <w:t> </w:t>
      </w:r>
      <w:r>
        <w:rPr>
          <w:rFonts w:ascii="Courier New" w:hAnsi="Courier New"/>
          <w:sz w:val="28"/>
        </w:rPr>
        <w:t>the</w:t>
      </w:r>
      <w:r>
        <w:rPr>
          <w:rFonts w:ascii="Courier New" w:hAnsi="Courier New"/>
          <w:spacing w:val="-30"/>
          <w:sz w:val="28"/>
        </w:rPr>
        <w:t> </w:t>
      </w:r>
      <w:r>
        <w:rPr>
          <w:rFonts w:ascii="Courier New" w:hAnsi="Courier New"/>
          <w:sz w:val="28"/>
        </w:rPr>
        <w:t>Ayodhya</w:t>
      </w:r>
      <w:r>
        <w:rPr>
          <w:rFonts w:ascii="Courier New" w:hAnsi="Courier New"/>
          <w:spacing w:val="-30"/>
          <w:sz w:val="28"/>
        </w:rPr>
        <w:t> </w:t>
      </w:r>
      <w:r>
        <w:rPr>
          <w:rFonts w:ascii="Courier New" w:hAnsi="Courier New"/>
          <w:sz w:val="28"/>
        </w:rPr>
        <w:t>Mahatmya,</w:t>
      </w:r>
      <w:r>
        <w:rPr>
          <w:rFonts w:ascii="Courier New" w:hAnsi="Courier New"/>
          <w:spacing w:val="-30"/>
          <w:sz w:val="28"/>
        </w:rPr>
        <w:t> </w:t>
      </w:r>
      <w:r>
        <w:rPr>
          <w:rFonts w:ascii="Courier New" w:hAnsi="Courier New"/>
          <w:sz w:val="28"/>
        </w:rPr>
        <w:t>the</w:t>
      </w:r>
      <w:r>
        <w:rPr>
          <w:rFonts w:ascii="Courier New" w:hAnsi="Courier New"/>
          <w:spacing w:val="-30"/>
          <w:sz w:val="28"/>
        </w:rPr>
        <w:t> </w:t>
      </w:r>
      <w:r>
        <w:rPr>
          <w:rFonts w:ascii="Courier New" w:hAnsi="Courier New"/>
          <w:sz w:val="28"/>
        </w:rPr>
        <w:t>report</w:t>
      </w:r>
      <w:r>
        <w:rPr>
          <w:rFonts w:ascii="Courier New" w:hAnsi="Courier New"/>
          <w:spacing w:val="-30"/>
          <w:sz w:val="28"/>
        </w:rPr>
        <w:t> </w:t>
      </w:r>
      <w:r>
        <w:rPr>
          <w:rFonts w:ascii="Courier New" w:hAnsi="Courier New"/>
          <w:sz w:val="28"/>
        </w:rPr>
        <w:t>refers</w:t>
      </w:r>
      <w:r>
        <w:rPr>
          <w:rFonts w:ascii="Courier New" w:hAnsi="Courier New"/>
          <w:spacing w:val="-31"/>
          <w:sz w:val="28"/>
        </w:rPr>
        <w:t> </w:t>
      </w:r>
      <w:r>
        <w:rPr>
          <w:rFonts w:ascii="Courier New" w:hAnsi="Courier New"/>
          <w:sz w:val="28"/>
        </w:rPr>
        <w:t>to</w:t>
      </w:r>
      <w:r>
        <w:rPr>
          <w:rFonts w:ascii="Courier New" w:hAnsi="Courier New"/>
          <w:spacing w:val="-30"/>
          <w:sz w:val="28"/>
        </w:rPr>
        <w:t> </w:t>
      </w:r>
      <w:r>
        <w:rPr>
          <w:rFonts w:ascii="Courier New" w:hAnsi="Courier New"/>
          <w:sz w:val="28"/>
        </w:rPr>
        <w:t>“Laumasa” with</w:t>
      </w:r>
      <w:r>
        <w:rPr>
          <w:rFonts w:ascii="Courier New" w:hAnsi="Courier New"/>
          <w:spacing w:val="48"/>
          <w:sz w:val="28"/>
        </w:rPr>
        <w:t> </w:t>
      </w:r>
      <w:r>
        <w:rPr>
          <w:rFonts w:ascii="Courier New" w:hAnsi="Courier New"/>
          <w:sz w:val="28"/>
        </w:rPr>
        <w:t>present</w:t>
      </w:r>
      <w:r>
        <w:rPr>
          <w:rFonts w:ascii="Courier New" w:hAnsi="Courier New"/>
          <w:spacing w:val="48"/>
          <w:sz w:val="28"/>
        </w:rPr>
        <w:t> </w:t>
      </w:r>
      <w:r>
        <w:rPr>
          <w:rFonts w:ascii="Courier New" w:hAnsi="Courier New"/>
          <w:sz w:val="28"/>
        </w:rPr>
        <w:t>Rin</w:t>
      </w:r>
      <w:r>
        <w:rPr>
          <w:rFonts w:ascii="Courier New" w:hAnsi="Courier New"/>
          <w:spacing w:val="48"/>
          <w:sz w:val="28"/>
        </w:rPr>
        <w:t> </w:t>
      </w:r>
      <w:r>
        <w:rPr>
          <w:rFonts w:ascii="Courier New" w:hAnsi="Courier New"/>
          <w:sz w:val="28"/>
        </w:rPr>
        <w:t>Mochan</w:t>
      </w:r>
      <w:r>
        <w:rPr>
          <w:rFonts w:ascii="Courier New" w:hAnsi="Courier New"/>
          <w:spacing w:val="48"/>
          <w:sz w:val="28"/>
        </w:rPr>
        <w:t> </w:t>
      </w:r>
      <w:r>
        <w:rPr>
          <w:rFonts w:ascii="Courier New" w:hAnsi="Courier New"/>
          <w:sz w:val="28"/>
        </w:rPr>
        <w:t>Ghat.</w:t>
      </w:r>
      <w:r>
        <w:rPr>
          <w:rFonts w:ascii="Courier New" w:hAnsi="Courier New"/>
          <w:spacing w:val="98"/>
          <w:sz w:val="28"/>
        </w:rPr>
        <w:t> </w:t>
      </w:r>
      <w:r>
        <w:rPr>
          <w:rFonts w:ascii="Courier New" w:hAnsi="Courier New"/>
          <w:sz w:val="28"/>
        </w:rPr>
        <w:t>With</w:t>
      </w:r>
      <w:r>
        <w:rPr>
          <w:rFonts w:ascii="Courier New" w:hAnsi="Courier New"/>
          <w:spacing w:val="48"/>
          <w:sz w:val="28"/>
        </w:rPr>
        <w:t> </w:t>
      </w:r>
      <w:r>
        <w:rPr>
          <w:rFonts w:ascii="Courier New" w:hAnsi="Courier New"/>
          <w:sz w:val="28"/>
        </w:rPr>
        <w:t>regard</w:t>
      </w:r>
      <w:r>
        <w:rPr>
          <w:rFonts w:ascii="Courier New" w:hAnsi="Courier New"/>
          <w:spacing w:val="48"/>
          <w:sz w:val="28"/>
        </w:rPr>
        <w:t> </w:t>
      </w:r>
      <w:r>
        <w:rPr>
          <w:rFonts w:ascii="Courier New" w:hAnsi="Courier New"/>
          <w:sz w:val="28"/>
        </w:rPr>
        <w:t>to</w:t>
      </w:r>
      <w:r>
        <w:rPr>
          <w:rFonts w:ascii="Courier New" w:hAnsi="Courier New"/>
          <w:spacing w:val="48"/>
          <w:sz w:val="28"/>
        </w:rPr>
        <w:t> </w:t>
      </w:r>
      <w:r>
        <w:rPr>
          <w:rFonts w:ascii="Courier New" w:hAnsi="Courier New"/>
          <w:sz w:val="28"/>
        </w:rPr>
        <w:t>above</w:t>
      </w:r>
    </w:p>
    <w:p>
      <w:pPr>
        <w:spacing w:after="0" w:line="480" w:lineRule="auto"/>
        <w:jc w:val="both"/>
        <w:rPr>
          <w:rFonts w:ascii="Courier New" w:hAnsi="Courier New"/>
          <w:sz w:val="28"/>
        </w:rPr>
        <w:sectPr>
          <w:headerReference w:type="default" r:id="rId312"/>
          <w:footerReference w:type="default" r:id="rId313"/>
          <w:pgSz w:w="11910" w:h="16840"/>
          <w:pgMar w:header="0" w:footer="1063" w:top="1340" w:bottom="1260" w:left="1280" w:right="1280"/>
          <w:pgNumType w:start="52"/>
        </w:sectPr>
      </w:pPr>
    </w:p>
    <w:p>
      <w:pPr>
        <w:spacing w:before="86"/>
        <w:ind w:left="160" w:right="0" w:firstLine="0"/>
        <w:jc w:val="left"/>
        <w:rPr>
          <w:rFonts w:ascii="Courier New"/>
          <w:sz w:val="28"/>
        </w:rPr>
      </w:pPr>
      <w:r>
        <w:rPr>
          <w:rFonts w:ascii="Courier New"/>
          <w:sz w:val="28"/>
        </w:rPr>
        <w:t>report states following:-</w:t>
      </w:r>
    </w:p>
    <w:p>
      <w:pPr>
        <w:pStyle w:val="BodyText"/>
        <w:spacing w:before="10"/>
        <w:rPr>
          <w:rFonts w:ascii="Courier New"/>
          <w:sz w:val="27"/>
        </w:rPr>
      </w:pPr>
    </w:p>
    <w:p>
      <w:pPr>
        <w:spacing w:line="240" w:lineRule="auto" w:before="0"/>
        <w:ind w:left="1011" w:right="1245" w:firstLine="0"/>
        <w:jc w:val="both"/>
        <w:rPr>
          <w:rFonts w:ascii="Courier New" w:hAnsi="Courier New"/>
          <w:sz w:val="28"/>
        </w:rPr>
      </w:pPr>
      <w:r>
        <w:rPr>
          <w:rFonts w:ascii="Courier New" w:hAnsi="Courier New"/>
          <w:sz w:val="28"/>
        </w:rPr>
        <w:t>“According to local Hindus beliefs Laumasa or the place of Laumasa is identical with the Rin Mochan Ghat.”</w:t>
      </w:r>
    </w:p>
    <w:p>
      <w:pPr>
        <w:pStyle w:val="BodyText"/>
        <w:rPr>
          <w:rFonts w:ascii="Courier New"/>
          <w:sz w:val="32"/>
        </w:rPr>
      </w:pPr>
    </w:p>
    <w:p>
      <w:pPr>
        <w:pStyle w:val="ListParagraph"/>
        <w:numPr>
          <w:ilvl w:val="0"/>
          <w:numId w:val="254"/>
        </w:numPr>
        <w:tabs>
          <w:tab w:pos="952" w:val="left" w:leader="none"/>
        </w:tabs>
        <w:spacing w:line="480" w:lineRule="auto" w:before="273" w:after="0"/>
        <w:ind w:left="160" w:right="157" w:firstLine="0"/>
        <w:jc w:val="both"/>
        <w:rPr>
          <w:rFonts w:ascii="Courier New" w:hAnsi="Courier New"/>
          <w:sz w:val="28"/>
        </w:rPr>
      </w:pPr>
      <w:r>
        <w:rPr>
          <w:rFonts w:ascii="Courier New" w:hAnsi="Courier New"/>
          <w:sz w:val="28"/>
        </w:rPr>
        <w:t>The above conclusion was drawn by the report referring to local Hindus beliefs whereas existence</w:t>
      </w:r>
      <w:r>
        <w:rPr>
          <w:rFonts w:ascii="Courier New" w:hAnsi="Courier New"/>
          <w:spacing w:val="-69"/>
          <w:sz w:val="28"/>
        </w:rPr>
        <w:t> </w:t>
      </w:r>
      <w:r>
        <w:rPr>
          <w:rFonts w:ascii="Courier New" w:hAnsi="Courier New"/>
          <w:sz w:val="28"/>
        </w:rPr>
        <w:t>of Laumasa and its situation and identification is well established since the year 1901-02, where stone</w:t>
      </w:r>
      <w:r>
        <w:rPr>
          <w:rFonts w:ascii="Courier New" w:hAnsi="Courier New"/>
          <w:spacing w:val="-67"/>
          <w:sz w:val="28"/>
        </w:rPr>
        <w:t> </w:t>
      </w:r>
      <w:r>
        <w:rPr>
          <w:rFonts w:ascii="Courier New" w:hAnsi="Courier New"/>
          <w:sz w:val="28"/>
        </w:rPr>
        <w:t>pillar has been placed, has been proved by the witnesses,</w:t>
      </w:r>
      <w:r>
        <w:rPr>
          <w:rFonts w:ascii="Courier New" w:hAnsi="Courier New"/>
          <w:spacing w:val="-70"/>
          <w:sz w:val="28"/>
        </w:rPr>
        <w:t> </w:t>
      </w:r>
      <w:r>
        <w:rPr>
          <w:rFonts w:ascii="Courier New" w:hAnsi="Courier New"/>
          <w:sz w:val="28"/>
        </w:rPr>
        <w:t>who appeared on behalf of plaintiff in Suit No.5. The statement of Swami Avimuktswaranand Sarswati has already been referred to. Due to the above error, the placement of Ram Janma Bhumi by the Four Historian</w:t>
      </w:r>
      <w:r>
        <w:rPr>
          <w:rFonts w:ascii="Courier New" w:hAnsi="Courier New"/>
          <w:spacing w:val="-70"/>
          <w:sz w:val="28"/>
        </w:rPr>
        <w:t> </w:t>
      </w:r>
      <w:r>
        <w:rPr>
          <w:rFonts w:ascii="Courier New" w:hAnsi="Courier New"/>
          <w:sz w:val="28"/>
        </w:rPr>
        <w:t>has been faulted. The identification of Lomas by four Historians as Rin Mochan Ghat is palpably wrong. In Suit No. 2 of 1950, a site plan &amp; map were prepared</w:t>
      </w:r>
      <w:r>
        <w:rPr>
          <w:rFonts w:ascii="Courier New" w:hAnsi="Courier New"/>
          <w:spacing w:val="-66"/>
          <w:sz w:val="28"/>
        </w:rPr>
        <w:t> </w:t>
      </w:r>
      <w:r>
        <w:rPr>
          <w:rFonts w:ascii="Courier New" w:hAnsi="Courier New"/>
          <w:sz w:val="28"/>
        </w:rPr>
        <w:t>by Shiv</w:t>
      </w:r>
      <w:r>
        <w:rPr>
          <w:rFonts w:ascii="Courier New" w:hAnsi="Courier New"/>
          <w:spacing w:val="-35"/>
          <w:sz w:val="28"/>
        </w:rPr>
        <w:t> </w:t>
      </w:r>
      <w:r>
        <w:rPr>
          <w:rFonts w:ascii="Courier New" w:hAnsi="Courier New"/>
          <w:sz w:val="28"/>
        </w:rPr>
        <w:t>Shankar</w:t>
      </w:r>
      <w:r>
        <w:rPr>
          <w:rFonts w:ascii="Courier New" w:hAnsi="Courier New"/>
          <w:spacing w:val="-34"/>
          <w:sz w:val="28"/>
        </w:rPr>
        <w:t> </w:t>
      </w:r>
      <w:r>
        <w:rPr>
          <w:rFonts w:ascii="Courier New" w:hAnsi="Courier New"/>
          <w:sz w:val="28"/>
        </w:rPr>
        <w:t>Lal,</w:t>
      </w:r>
      <w:r>
        <w:rPr>
          <w:rFonts w:ascii="Courier New" w:hAnsi="Courier New"/>
          <w:spacing w:val="-34"/>
          <w:sz w:val="28"/>
        </w:rPr>
        <w:t> </w:t>
      </w:r>
      <w:r>
        <w:rPr>
          <w:rFonts w:ascii="Courier New" w:hAnsi="Courier New"/>
          <w:sz w:val="28"/>
        </w:rPr>
        <w:t>the</w:t>
      </w:r>
      <w:r>
        <w:rPr>
          <w:rFonts w:ascii="Courier New" w:hAnsi="Courier New"/>
          <w:spacing w:val="-34"/>
          <w:sz w:val="28"/>
        </w:rPr>
        <w:t> </w:t>
      </w:r>
      <w:r>
        <w:rPr>
          <w:rFonts w:ascii="Courier New" w:hAnsi="Courier New"/>
          <w:sz w:val="28"/>
        </w:rPr>
        <w:t>Court</w:t>
      </w:r>
      <w:r>
        <w:rPr>
          <w:rFonts w:ascii="Courier New" w:hAnsi="Courier New"/>
          <w:spacing w:val="-34"/>
          <w:sz w:val="28"/>
        </w:rPr>
        <w:t> </w:t>
      </w:r>
      <w:r>
        <w:rPr>
          <w:rFonts w:ascii="Courier New" w:hAnsi="Courier New"/>
          <w:sz w:val="28"/>
        </w:rPr>
        <w:t>Commissioner</w:t>
      </w:r>
      <w:r>
        <w:rPr>
          <w:rFonts w:ascii="Courier New" w:hAnsi="Courier New"/>
          <w:spacing w:val="-34"/>
          <w:sz w:val="28"/>
        </w:rPr>
        <w:t> </w:t>
      </w:r>
      <w:r>
        <w:rPr>
          <w:rFonts w:ascii="Courier New" w:hAnsi="Courier New"/>
          <w:sz w:val="28"/>
        </w:rPr>
        <w:t>on</w:t>
      </w:r>
      <w:r>
        <w:rPr>
          <w:rFonts w:ascii="Courier New" w:hAnsi="Courier New"/>
          <w:spacing w:val="-32"/>
          <w:sz w:val="28"/>
        </w:rPr>
        <w:t> </w:t>
      </w:r>
      <w:r>
        <w:rPr>
          <w:rFonts w:ascii="Courier New" w:hAnsi="Courier New"/>
          <w:sz w:val="28"/>
        </w:rPr>
        <w:t>01.04.1950, which has been relied by the High Court and not questioned by anyone. In the above site plan, which has been printed in the judgment of Justice S.U. Khan at Page 30 of Volume I and as Appendix 2C of judgment of</w:t>
      </w:r>
      <w:r>
        <w:rPr>
          <w:rFonts w:ascii="Courier New" w:hAnsi="Courier New"/>
          <w:spacing w:val="85"/>
          <w:sz w:val="28"/>
        </w:rPr>
        <w:t> </w:t>
      </w:r>
      <w:r>
        <w:rPr>
          <w:rFonts w:ascii="Courier New" w:hAnsi="Courier New"/>
          <w:sz w:val="28"/>
        </w:rPr>
        <w:t>Justice</w:t>
      </w:r>
      <w:r>
        <w:rPr>
          <w:rFonts w:ascii="Courier New" w:hAnsi="Courier New"/>
          <w:spacing w:val="86"/>
          <w:sz w:val="28"/>
        </w:rPr>
        <w:t> </w:t>
      </w:r>
      <w:r>
        <w:rPr>
          <w:rFonts w:ascii="Courier New" w:hAnsi="Courier New"/>
          <w:sz w:val="28"/>
        </w:rPr>
        <w:t>Sudhir</w:t>
      </w:r>
      <w:r>
        <w:rPr>
          <w:rFonts w:ascii="Courier New" w:hAnsi="Courier New"/>
          <w:spacing w:val="86"/>
          <w:sz w:val="28"/>
        </w:rPr>
        <w:t> </w:t>
      </w:r>
      <w:r>
        <w:rPr>
          <w:rFonts w:ascii="Courier New" w:hAnsi="Courier New"/>
          <w:sz w:val="28"/>
        </w:rPr>
        <w:t>Agarwal</w:t>
      </w:r>
      <w:r>
        <w:rPr>
          <w:rFonts w:ascii="Courier New" w:hAnsi="Courier New"/>
          <w:spacing w:val="88"/>
          <w:sz w:val="28"/>
        </w:rPr>
        <w:t> </w:t>
      </w:r>
      <w:r>
        <w:rPr>
          <w:rFonts w:ascii="Courier New" w:hAnsi="Courier New"/>
          <w:sz w:val="28"/>
        </w:rPr>
        <w:t>mentions</w:t>
      </w:r>
      <w:r>
        <w:rPr>
          <w:rFonts w:ascii="Courier New" w:hAnsi="Courier New"/>
          <w:spacing w:val="86"/>
          <w:sz w:val="28"/>
        </w:rPr>
        <w:t> </w:t>
      </w:r>
      <w:r>
        <w:rPr>
          <w:rFonts w:ascii="Courier New" w:hAnsi="Courier New"/>
          <w:sz w:val="28"/>
        </w:rPr>
        <w:t>that</w:t>
      </w:r>
      <w:r>
        <w:rPr>
          <w:rFonts w:ascii="Courier New" w:hAnsi="Courier New"/>
          <w:spacing w:val="88"/>
          <w:sz w:val="28"/>
        </w:rPr>
        <w:t> </w:t>
      </w:r>
      <w:r>
        <w:rPr>
          <w:rFonts w:ascii="Courier New" w:hAnsi="Courier New"/>
          <w:sz w:val="28"/>
        </w:rPr>
        <w:t>‘Lomas’</w:t>
      </w:r>
      <w:r>
        <w:rPr>
          <w:rFonts w:ascii="Courier New" w:hAnsi="Courier New"/>
          <w:spacing w:val="86"/>
          <w:sz w:val="28"/>
        </w:rPr>
        <w:t> </w:t>
      </w:r>
      <w:r>
        <w:rPr>
          <w:rFonts w:ascii="Courier New" w:hAnsi="Courier New"/>
          <w:sz w:val="28"/>
        </w:rPr>
        <w:t>as</w:t>
      </w:r>
    </w:p>
    <w:p>
      <w:pPr>
        <w:spacing w:after="0" w:line="480" w:lineRule="auto"/>
        <w:jc w:val="both"/>
        <w:rPr>
          <w:rFonts w:ascii="Courier New" w:hAnsi="Courier New"/>
          <w:sz w:val="28"/>
        </w:rPr>
        <w:sectPr>
          <w:headerReference w:type="default" r:id="rId314"/>
          <w:footerReference w:type="default" r:id="rId315"/>
          <w:pgSz w:w="11910" w:h="16840"/>
          <w:pgMar w:header="0" w:footer="1063" w:top="1340" w:bottom="1260" w:left="1280" w:right="1280"/>
          <w:pgNumType w:start="53"/>
        </w:sectPr>
      </w:pPr>
    </w:p>
    <w:p>
      <w:pPr>
        <w:spacing w:line="480" w:lineRule="auto" w:before="86"/>
        <w:ind w:left="160" w:right="157" w:firstLine="0"/>
        <w:jc w:val="both"/>
        <w:rPr>
          <w:rFonts w:ascii="Courier New"/>
          <w:sz w:val="28"/>
        </w:rPr>
      </w:pPr>
      <w:r>
        <w:rPr>
          <w:rFonts w:ascii="Courier New"/>
          <w:sz w:val="28"/>
        </w:rPr>
        <w:t>South Eastern corner of Janma Bhumi, which clearly negate</w:t>
      </w:r>
      <w:r>
        <w:rPr>
          <w:rFonts w:ascii="Courier New"/>
          <w:spacing w:val="-27"/>
          <w:sz w:val="28"/>
        </w:rPr>
        <w:t> </w:t>
      </w:r>
      <w:r>
        <w:rPr>
          <w:rFonts w:ascii="Courier New"/>
          <w:sz w:val="28"/>
        </w:rPr>
        <w:t>the</w:t>
      </w:r>
      <w:r>
        <w:rPr>
          <w:rFonts w:ascii="Courier New"/>
          <w:spacing w:val="-26"/>
          <w:sz w:val="28"/>
        </w:rPr>
        <w:t> </w:t>
      </w:r>
      <w:r>
        <w:rPr>
          <w:rFonts w:ascii="Courier New"/>
          <w:sz w:val="28"/>
        </w:rPr>
        <w:t>placement</w:t>
      </w:r>
      <w:r>
        <w:rPr>
          <w:rFonts w:ascii="Courier New"/>
          <w:spacing w:val="-26"/>
          <w:sz w:val="28"/>
        </w:rPr>
        <w:t> </w:t>
      </w:r>
      <w:r>
        <w:rPr>
          <w:rFonts w:ascii="Courier New"/>
          <w:sz w:val="28"/>
        </w:rPr>
        <w:t>of</w:t>
      </w:r>
      <w:r>
        <w:rPr>
          <w:rFonts w:ascii="Courier New"/>
          <w:spacing w:val="-26"/>
          <w:sz w:val="28"/>
        </w:rPr>
        <w:t> </w:t>
      </w:r>
      <w:r>
        <w:rPr>
          <w:rFonts w:ascii="Courier New"/>
          <w:sz w:val="28"/>
        </w:rPr>
        <w:t>Lomas</w:t>
      </w:r>
      <w:r>
        <w:rPr>
          <w:rFonts w:ascii="Courier New"/>
          <w:spacing w:val="-26"/>
          <w:sz w:val="28"/>
        </w:rPr>
        <w:t> </w:t>
      </w:r>
      <w:r>
        <w:rPr>
          <w:rFonts w:ascii="Courier New"/>
          <w:sz w:val="28"/>
        </w:rPr>
        <w:t>by</w:t>
      </w:r>
      <w:r>
        <w:rPr>
          <w:rFonts w:ascii="Courier New"/>
          <w:spacing w:val="-26"/>
          <w:sz w:val="28"/>
        </w:rPr>
        <w:t> </w:t>
      </w:r>
      <w:r>
        <w:rPr>
          <w:rFonts w:ascii="Courier New"/>
          <w:sz w:val="28"/>
        </w:rPr>
        <w:t>four</w:t>
      </w:r>
      <w:r>
        <w:rPr>
          <w:rFonts w:ascii="Courier New"/>
          <w:spacing w:val="-26"/>
          <w:sz w:val="28"/>
        </w:rPr>
        <w:t> </w:t>
      </w:r>
      <w:r>
        <w:rPr>
          <w:rFonts w:ascii="Courier New"/>
          <w:sz w:val="28"/>
        </w:rPr>
        <w:t>Historians</w:t>
      </w:r>
      <w:r>
        <w:rPr>
          <w:rFonts w:ascii="Courier New"/>
          <w:spacing w:val="-26"/>
          <w:sz w:val="28"/>
        </w:rPr>
        <w:t> </w:t>
      </w:r>
      <w:r>
        <w:rPr>
          <w:rFonts w:ascii="Courier New"/>
          <w:sz w:val="28"/>
        </w:rPr>
        <w:t>as</w:t>
      </w:r>
      <w:r>
        <w:rPr>
          <w:rFonts w:ascii="Courier New"/>
          <w:spacing w:val="-26"/>
          <w:sz w:val="28"/>
        </w:rPr>
        <w:t> </w:t>
      </w:r>
      <w:r>
        <w:rPr>
          <w:rFonts w:ascii="Courier New"/>
          <w:sz w:val="28"/>
        </w:rPr>
        <w:t>Rin Mochan Ghat on the bank of Saryu. There are few other observations,</w:t>
      </w:r>
      <w:r>
        <w:rPr>
          <w:rFonts w:ascii="Courier New"/>
          <w:spacing w:val="-31"/>
          <w:sz w:val="28"/>
        </w:rPr>
        <w:t> </w:t>
      </w:r>
      <w:r>
        <w:rPr>
          <w:rFonts w:ascii="Courier New"/>
          <w:sz w:val="28"/>
        </w:rPr>
        <w:t>which</w:t>
      </w:r>
      <w:r>
        <w:rPr>
          <w:rFonts w:ascii="Courier New"/>
          <w:spacing w:val="-30"/>
          <w:sz w:val="28"/>
        </w:rPr>
        <w:t> </w:t>
      </w:r>
      <w:r>
        <w:rPr>
          <w:rFonts w:ascii="Courier New"/>
          <w:sz w:val="28"/>
        </w:rPr>
        <w:t>have</w:t>
      </w:r>
      <w:r>
        <w:rPr>
          <w:rFonts w:ascii="Courier New"/>
          <w:spacing w:val="-30"/>
          <w:sz w:val="28"/>
        </w:rPr>
        <w:t> </w:t>
      </w:r>
      <w:r>
        <w:rPr>
          <w:rFonts w:ascii="Courier New"/>
          <w:sz w:val="28"/>
        </w:rPr>
        <w:t>been</w:t>
      </w:r>
      <w:r>
        <w:rPr>
          <w:rFonts w:ascii="Courier New"/>
          <w:spacing w:val="-30"/>
          <w:sz w:val="28"/>
        </w:rPr>
        <w:t> </w:t>
      </w:r>
      <w:r>
        <w:rPr>
          <w:rFonts w:ascii="Courier New"/>
          <w:sz w:val="28"/>
        </w:rPr>
        <w:t>made</w:t>
      </w:r>
      <w:r>
        <w:rPr>
          <w:rFonts w:ascii="Courier New"/>
          <w:spacing w:val="-30"/>
          <w:sz w:val="28"/>
        </w:rPr>
        <w:t> </w:t>
      </w:r>
      <w:r>
        <w:rPr>
          <w:rFonts w:ascii="Courier New"/>
          <w:sz w:val="28"/>
        </w:rPr>
        <w:t>in</w:t>
      </w:r>
      <w:r>
        <w:rPr>
          <w:rFonts w:ascii="Courier New"/>
          <w:spacing w:val="-30"/>
          <w:sz w:val="28"/>
        </w:rPr>
        <w:t> </w:t>
      </w:r>
      <w:r>
        <w:rPr>
          <w:rFonts w:ascii="Courier New"/>
          <w:sz w:val="28"/>
        </w:rPr>
        <w:t>the</w:t>
      </w:r>
      <w:r>
        <w:rPr>
          <w:rFonts w:ascii="Courier New"/>
          <w:spacing w:val="-31"/>
          <w:sz w:val="28"/>
        </w:rPr>
        <w:t> </w:t>
      </w:r>
      <w:r>
        <w:rPr>
          <w:rFonts w:ascii="Courier New"/>
          <w:sz w:val="28"/>
        </w:rPr>
        <w:t>report,</w:t>
      </w:r>
      <w:r>
        <w:rPr>
          <w:rFonts w:ascii="Courier New"/>
          <w:spacing w:val="-30"/>
          <w:sz w:val="28"/>
        </w:rPr>
        <w:t> </w:t>
      </w:r>
      <w:r>
        <w:rPr>
          <w:rFonts w:ascii="Courier New"/>
          <w:sz w:val="28"/>
        </w:rPr>
        <w:t>which cannot be approved. The report mentioned that Skanda Purana refers to Swargdwar Tirth on which 100 verses have been devoted to the description of Swargdwar whereas only 8 verses have been devoted to Janma Asthan, which means that Swargdwar Tirth was more important than Janma Asthan. Whether describing Janma Asthan in 8 verses, its description and location</w:t>
      </w:r>
      <w:r>
        <w:rPr>
          <w:rFonts w:ascii="Courier New"/>
          <w:spacing w:val="-67"/>
          <w:sz w:val="28"/>
        </w:rPr>
        <w:t> </w:t>
      </w:r>
      <w:r>
        <w:rPr>
          <w:rFonts w:ascii="Courier New"/>
          <w:sz w:val="28"/>
        </w:rPr>
        <w:t>shall lose its importance? Answer is obviously no. It may be further noticed that whole report is nothing but objection to the case of the Vishwa Hindu Parishad as has been mentioned in the report in very beginning. The report, thus, has been prepared as the counter to the Vishwa Hindu Parishad case, which itself suggests that the four Historians had not treated the entire subject dispassionately and</w:t>
      </w:r>
      <w:r>
        <w:rPr>
          <w:rFonts w:ascii="Courier New"/>
          <w:spacing w:val="-7"/>
          <w:sz w:val="28"/>
        </w:rPr>
        <w:t> </w:t>
      </w:r>
      <w:r>
        <w:rPr>
          <w:rFonts w:ascii="Courier New"/>
          <w:sz w:val="28"/>
        </w:rPr>
        <w:t>objectively.</w:t>
      </w:r>
    </w:p>
    <w:p>
      <w:pPr>
        <w:pStyle w:val="BodyText"/>
        <w:spacing w:before="10"/>
        <w:rPr>
          <w:rFonts w:ascii="Courier New"/>
          <w:sz w:val="27"/>
        </w:rPr>
      </w:pPr>
    </w:p>
    <w:p>
      <w:pPr>
        <w:pStyle w:val="ListParagraph"/>
        <w:numPr>
          <w:ilvl w:val="0"/>
          <w:numId w:val="254"/>
        </w:numPr>
        <w:tabs>
          <w:tab w:pos="806" w:val="left" w:leader="none"/>
        </w:tabs>
        <w:spacing w:line="482" w:lineRule="auto" w:before="0" w:after="0"/>
        <w:ind w:left="160" w:right="162" w:firstLine="0"/>
        <w:jc w:val="both"/>
        <w:rPr>
          <w:rFonts w:ascii="Courier New"/>
          <w:sz w:val="28"/>
        </w:rPr>
      </w:pPr>
      <w:r>
        <w:rPr>
          <w:rFonts w:ascii="Courier New"/>
          <w:sz w:val="28"/>
        </w:rPr>
        <w:t>Justice</w:t>
      </w:r>
      <w:r>
        <w:rPr>
          <w:rFonts w:ascii="Courier New"/>
          <w:spacing w:val="-31"/>
          <w:sz w:val="28"/>
        </w:rPr>
        <w:t> </w:t>
      </w:r>
      <w:r>
        <w:rPr>
          <w:rFonts w:ascii="Courier New"/>
          <w:sz w:val="28"/>
        </w:rPr>
        <w:t>Sudhir</w:t>
      </w:r>
      <w:r>
        <w:rPr>
          <w:rFonts w:ascii="Courier New"/>
          <w:spacing w:val="-30"/>
          <w:sz w:val="28"/>
        </w:rPr>
        <w:t> </w:t>
      </w:r>
      <w:r>
        <w:rPr>
          <w:rFonts w:ascii="Courier New"/>
          <w:sz w:val="28"/>
        </w:rPr>
        <w:t>Agarwal</w:t>
      </w:r>
      <w:r>
        <w:rPr>
          <w:rFonts w:ascii="Courier New"/>
          <w:spacing w:val="-31"/>
          <w:sz w:val="28"/>
        </w:rPr>
        <w:t> </w:t>
      </w:r>
      <w:r>
        <w:rPr>
          <w:rFonts w:ascii="Courier New"/>
          <w:sz w:val="28"/>
        </w:rPr>
        <w:t>in</w:t>
      </w:r>
      <w:r>
        <w:rPr>
          <w:rFonts w:ascii="Courier New"/>
          <w:spacing w:val="-30"/>
          <w:sz w:val="28"/>
        </w:rPr>
        <w:t> </w:t>
      </w:r>
      <w:r>
        <w:rPr>
          <w:rFonts w:ascii="Courier New"/>
          <w:sz w:val="28"/>
        </w:rPr>
        <w:t>the</w:t>
      </w:r>
      <w:r>
        <w:rPr>
          <w:rFonts w:ascii="Courier New"/>
          <w:spacing w:val="-30"/>
          <w:sz w:val="28"/>
        </w:rPr>
        <w:t> </w:t>
      </w:r>
      <w:r>
        <w:rPr>
          <w:rFonts w:ascii="Courier New"/>
          <w:sz w:val="28"/>
        </w:rPr>
        <w:t>impugned</w:t>
      </w:r>
      <w:r>
        <w:rPr>
          <w:rFonts w:ascii="Courier New"/>
          <w:spacing w:val="-31"/>
          <w:sz w:val="28"/>
        </w:rPr>
        <w:t> </w:t>
      </w:r>
      <w:r>
        <w:rPr>
          <w:rFonts w:ascii="Courier New"/>
          <w:sz w:val="28"/>
        </w:rPr>
        <w:t>judgment</w:t>
      </w:r>
      <w:r>
        <w:rPr>
          <w:rFonts w:ascii="Courier New"/>
          <w:spacing w:val="-30"/>
          <w:sz w:val="28"/>
        </w:rPr>
        <w:t> </w:t>
      </w:r>
      <w:r>
        <w:rPr>
          <w:rFonts w:ascii="Courier New"/>
          <w:sz w:val="28"/>
        </w:rPr>
        <w:t>has elaborately dealt with the above reports by</w:t>
      </w:r>
      <w:r>
        <w:rPr>
          <w:rFonts w:ascii="Courier New"/>
          <w:spacing w:val="-66"/>
          <w:sz w:val="28"/>
        </w:rPr>
        <w:t> </w:t>
      </w:r>
      <w:r>
        <w:rPr>
          <w:rFonts w:ascii="Courier New"/>
          <w:sz w:val="28"/>
        </w:rPr>
        <w:t>four</w:t>
      </w:r>
    </w:p>
    <w:p>
      <w:pPr>
        <w:spacing w:after="0" w:line="482" w:lineRule="auto"/>
        <w:jc w:val="both"/>
        <w:rPr>
          <w:rFonts w:ascii="Courier New"/>
          <w:sz w:val="28"/>
        </w:rPr>
        <w:sectPr>
          <w:headerReference w:type="default" r:id="rId316"/>
          <w:footerReference w:type="default" r:id="rId317"/>
          <w:pgSz w:w="11910" w:h="16840"/>
          <w:pgMar w:header="0" w:footer="1063" w:top="1340" w:bottom="1260" w:left="1280" w:right="1280"/>
          <w:pgNumType w:start="54"/>
        </w:sectPr>
      </w:pPr>
    </w:p>
    <w:p>
      <w:pPr>
        <w:spacing w:line="480" w:lineRule="auto" w:before="86"/>
        <w:ind w:left="160" w:right="159" w:firstLine="0"/>
        <w:jc w:val="both"/>
        <w:rPr>
          <w:rFonts w:ascii="Courier New"/>
          <w:sz w:val="28"/>
        </w:rPr>
      </w:pPr>
      <w:r>
        <w:rPr>
          <w:rFonts w:ascii="Courier New"/>
          <w:sz w:val="28"/>
        </w:rPr>
        <w:t>Historians and found it unworthy of reliance. Very strong observations have also been made with regard</w:t>
      </w:r>
      <w:r>
        <w:rPr>
          <w:rFonts w:ascii="Courier New"/>
          <w:spacing w:val="-67"/>
          <w:sz w:val="28"/>
        </w:rPr>
        <w:t> </w:t>
      </w:r>
      <w:r>
        <w:rPr>
          <w:rFonts w:ascii="Courier New"/>
          <w:sz w:val="28"/>
        </w:rPr>
        <w:t>to the report of Historian as well as of some witnesses in following words:-</w:t>
      </w:r>
    </w:p>
    <w:p>
      <w:pPr>
        <w:spacing w:line="240" w:lineRule="auto" w:before="0"/>
        <w:ind w:left="1011" w:right="1246" w:firstLine="0"/>
        <w:jc w:val="both"/>
        <w:rPr>
          <w:rFonts w:ascii="Courier New" w:hAnsi="Courier New"/>
          <w:sz w:val="28"/>
        </w:rPr>
      </w:pPr>
      <w:r>
        <w:rPr>
          <w:rFonts w:ascii="Courier New" w:hAnsi="Courier New"/>
          <w:sz w:val="28"/>
        </w:rPr>
        <w:t>“</w:t>
      </w:r>
      <w:r>
        <w:rPr>
          <w:rFonts w:ascii="Courier New" w:hAnsi="Courier New"/>
          <w:b/>
          <w:sz w:val="28"/>
        </w:rPr>
        <w:t>3622. </w:t>
      </w:r>
      <w:r>
        <w:rPr>
          <w:rFonts w:ascii="Courier New" w:hAnsi="Courier New"/>
          <w:sz w:val="28"/>
        </w:rPr>
        <w:t>We may mention here that though the said report claims to have been written by four persons but in fact it was not signed by Sri D.N.Jha. The opinion of an alleged expert,</w:t>
      </w:r>
      <w:r>
        <w:rPr>
          <w:rFonts w:ascii="Courier New" w:hAnsi="Courier New"/>
          <w:spacing w:val="-20"/>
          <w:sz w:val="28"/>
        </w:rPr>
        <w:t> </w:t>
      </w:r>
      <w:r>
        <w:rPr>
          <w:rFonts w:ascii="Courier New" w:hAnsi="Courier New"/>
          <w:sz w:val="28"/>
        </w:rPr>
        <w:t>which</w:t>
      </w:r>
      <w:r>
        <w:rPr>
          <w:rFonts w:ascii="Courier New" w:hAnsi="Courier New"/>
          <w:spacing w:val="-19"/>
          <w:sz w:val="28"/>
        </w:rPr>
        <w:t> </w:t>
      </w:r>
      <w:r>
        <w:rPr>
          <w:rFonts w:ascii="Courier New" w:hAnsi="Courier New"/>
          <w:sz w:val="28"/>
        </w:rPr>
        <w:t>is</w:t>
      </w:r>
      <w:r>
        <w:rPr>
          <w:rFonts w:ascii="Courier New" w:hAnsi="Courier New"/>
          <w:spacing w:val="-20"/>
          <w:sz w:val="28"/>
        </w:rPr>
        <w:t> </w:t>
      </w:r>
      <w:r>
        <w:rPr>
          <w:rFonts w:ascii="Courier New" w:hAnsi="Courier New"/>
          <w:sz w:val="28"/>
        </w:rPr>
        <w:t>not</w:t>
      </w:r>
      <w:r>
        <w:rPr>
          <w:rFonts w:ascii="Courier New" w:hAnsi="Courier New"/>
          <w:spacing w:val="-19"/>
          <w:sz w:val="28"/>
        </w:rPr>
        <w:t> </w:t>
      </w:r>
      <w:r>
        <w:rPr>
          <w:rFonts w:ascii="Courier New" w:hAnsi="Courier New"/>
          <w:sz w:val="28"/>
        </w:rPr>
        <w:t>based</w:t>
      </w:r>
      <w:r>
        <w:rPr>
          <w:rFonts w:ascii="Courier New" w:hAnsi="Courier New"/>
          <w:spacing w:val="-19"/>
          <w:sz w:val="28"/>
        </w:rPr>
        <w:t> </w:t>
      </w:r>
      <w:r>
        <w:rPr>
          <w:rFonts w:ascii="Courier New" w:hAnsi="Courier New"/>
          <w:sz w:val="28"/>
        </w:rPr>
        <w:t>on</w:t>
      </w:r>
      <w:r>
        <w:rPr>
          <w:rFonts w:ascii="Courier New" w:hAnsi="Courier New"/>
          <w:spacing w:val="-20"/>
          <w:sz w:val="28"/>
        </w:rPr>
        <w:t> </w:t>
      </w:r>
      <w:r>
        <w:rPr>
          <w:rFonts w:ascii="Courier New" w:hAnsi="Courier New"/>
          <w:sz w:val="28"/>
        </w:rPr>
        <w:t>her</w:t>
      </w:r>
      <w:r>
        <w:rPr>
          <w:rFonts w:ascii="Courier New" w:hAnsi="Courier New"/>
          <w:spacing w:val="-19"/>
          <w:sz w:val="28"/>
        </w:rPr>
        <w:t> </w:t>
      </w:r>
      <w:r>
        <w:rPr>
          <w:rFonts w:ascii="Courier New" w:hAnsi="Courier New"/>
          <w:sz w:val="28"/>
        </w:rPr>
        <w:t>own</w:t>
      </w:r>
      <w:r>
        <w:rPr>
          <w:rFonts w:ascii="Courier New" w:hAnsi="Courier New"/>
          <w:spacing w:val="-19"/>
          <w:sz w:val="28"/>
        </w:rPr>
        <w:t> </w:t>
      </w:r>
      <w:r>
        <w:rPr>
          <w:rFonts w:ascii="Courier New" w:hAnsi="Courier New"/>
          <w:sz w:val="28"/>
        </w:rPr>
        <w:t>study and</w:t>
      </w:r>
      <w:r>
        <w:rPr>
          <w:rFonts w:ascii="Courier New" w:hAnsi="Courier New"/>
          <w:spacing w:val="-27"/>
          <w:sz w:val="28"/>
        </w:rPr>
        <w:t> </w:t>
      </w:r>
      <w:r>
        <w:rPr>
          <w:rFonts w:ascii="Courier New" w:hAnsi="Courier New"/>
          <w:sz w:val="28"/>
        </w:rPr>
        <w:t>research</w:t>
      </w:r>
      <w:r>
        <w:rPr>
          <w:rFonts w:ascii="Courier New" w:hAnsi="Courier New"/>
          <w:spacing w:val="-26"/>
          <w:sz w:val="28"/>
        </w:rPr>
        <w:t> </w:t>
      </w:r>
      <w:r>
        <w:rPr>
          <w:rFonts w:ascii="Courier New" w:hAnsi="Courier New"/>
          <w:sz w:val="28"/>
        </w:rPr>
        <w:t>work</w:t>
      </w:r>
      <w:r>
        <w:rPr>
          <w:rFonts w:ascii="Courier New" w:hAnsi="Courier New"/>
          <w:spacing w:val="-26"/>
          <w:sz w:val="28"/>
        </w:rPr>
        <w:t> </w:t>
      </w:r>
      <w:r>
        <w:rPr>
          <w:rFonts w:ascii="Courier New" w:hAnsi="Courier New"/>
          <w:sz w:val="28"/>
        </w:rPr>
        <w:t>but</w:t>
      </w:r>
      <w:r>
        <w:rPr>
          <w:rFonts w:ascii="Courier New" w:hAnsi="Courier New"/>
          <w:spacing w:val="-26"/>
          <w:sz w:val="28"/>
        </w:rPr>
        <w:t> </w:t>
      </w:r>
      <w:r>
        <w:rPr>
          <w:rFonts w:ascii="Courier New" w:hAnsi="Courier New"/>
          <w:sz w:val="28"/>
        </w:rPr>
        <w:t>reflection</w:t>
      </w:r>
      <w:r>
        <w:rPr>
          <w:rFonts w:ascii="Courier New" w:hAnsi="Courier New"/>
          <w:spacing w:val="-26"/>
          <w:sz w:val="28"/>
        </w:rPr>
        <w:t> </w:t>
      </w:r>
      <w:r>
        <w:rPr>
          <w:rFonts w:ascii="Courier New" w:hAnsi="Courier New"/>
          <w:sz w:val="28"/>
        </w:rPr>
        <w:t>of</w:t>
      </w:r>
      <w:r>
        <w:rPr>
          <w:rFonts w:ascii="Courier New" w:hAnsi="Courier New"/>
          <w:spacing w:val="-26"/>
          <w:sz w:val="28"/>
        </w:rPr>
        <w:t> </w:t>
      </w:r>
      <w:r>
        <w:rPr>
          <w:rFonts w:ascii="Courier New" w:hAnsi="Courier New"/>
          <w:sz w:val="28"/>
        </w:rPr>
        <w:t>other's opinion, in our view, shall not qualify to be considered relevant under Section 45 of the Evidence Act as well as the law laid down</w:t>
      </w:r>
      <w:r>
        <w:rPr>
          <w:rFonts w:ascii="Courier New" w:hAnsi="Courier New"/>
          <w:spacing w:val="-20"/>
          <w:sz w:val="28"/>
        </w:rPr>
        <w:t> </w:t>
      </w:r>
      <w:r>
        <w:rPr>
          <w:rFonts w:ascii="Courier New" w:hAnsi="Courier New"/>
          <w:sz w:val="28"/>
        </w:rPr>
        <w:t>by</w:t>
      </w:r>
      <w:r>
        <w:rPr>
          <w:rFonts w:ascii="Courier New" w:hAnsi="Courier New"/>
          <w:spacing w:val="-19"/>
          <w:sz w:val="28"/>
        </w:rPr>
        <w:t> </w:t>
      </w:r>
      <w:r>
        <w:rPr>
          <w:rFonts w:ascii="Courier New" w:hAnsi="Courier New"/>
          <w:sz w:val="28"/>
        </w:rPr>
        <w:t>the</w:t>
      </w:r>
      <w:r>
        <w:rPr>
          <w:rFonts w:ascii="Courier New" w:hAnsi="Courier New"/>
          <w:spacing w:val="-20"/>
          <w:sz w:val="28"/>
        </w:rPr>
        <w:t> </w:t>
      </w:r>
      <w:r>
        <w:rPr>
          <w:rFonts w:ascii="Courier New" w:hAnsi="Courier New"/>
          <w:sz w:val="28"/>
        </w:rPr>
        <w:t>Apex</w:t>
      </w:r>
      <w:r>
        <w:rPr>
          <w:rFonts w:ascii="Courier New" w:hAnsi="Courier New"/>
          <w:spacing w:val="-19"/>
          <w:sz w:val="28"/>
        </w:rPr>
        <w:t> </w:t>
      </w:r>
      <w:r>
        <w:rPr>
          <w:rFonts w:ascii="Courier New" w:hAnsi="Courier New"/>
          <w:sz w:val="28"/>
        </w:rPr>
        <w:t>Court</w:t>
      </w:r>
      <w:r>
        <w:rPr>
          <w:rFonts w:ascii="Courier New" w:hAnsi="Courier New"/>
          <w:spacing w:val="-19"/>
          <w:sz w:val="28"/>
        </w:rPr>
        <w:t> </w:t>
      </w:r>
      <w:r>
        <w:rPr>
          <w:rFonts w:ascii="Courier New" w:hAnsi="Courier New"/>
          <w:sz w:val="28"/>
        </w:rPr>
        <w:t>in</w:t>
      </w:r>
      <w:r>
        <w:rPr>
          <w:rFonts w:ascii="Courier New" w:hAnsi="Courier New"/>
          <w:spacing w:val="-20"/>
          <w:sz w:val="28"/>
        </w:rPr>
        <w:t> </w:t>
      </w:r>
      <w:r>
        <w:rPr>
          <w:rFonts w:ascii="Courier New" w:hAnsi="Courier New"/>
          <w:sz w:val="28"/>
        </w:rPr>
        <w:t>State</w:t>
      </w:r>
      <w:r>
        <w:rPr>
          <w:rFonts w:ascii="Courier New" w:hAnsi="Courier New"/>
          <w:spacing w:val="-19"/>
          <w:sz w:val="28"/>
        </w:rPr>
        <w:t> </w:t>
      </w:r>
      <w:r>
        <w:rPr>
          <w:rFonts w:ascii="Courier New" w:hAnsi="Courier New"/>
          <w:sz w:val="28"/>
        </w:rPr>
        <w:t>of</w:t>
      </w:r>
      <w:r>
        <w:rPr>
          <w:rFonts w:ascii="Courier New" w:hAnsi="Courier New"/>
          <w:spacing w:val="-19"/>
          <w:sz w:val="28"/>
        </w:rPr>
        <w:t> </w:t>
      </w:r>
      <w:r>
        <w:rPr>
          <w:rFonts w:ascii="Courier New" w:hAnsi="Courier New"/>
          <w:sz w:val="28"/>
        </w:rPr>
        <w:t>Himachal Pradesh Vs. Jai Lal</w:t>
      </w:r>
      <w:r>
        <w:rPr>
          <w:rFonts w:ascii="Courier New" w:hAnsi="Courier New"/>
          <w:spacing w:val="-6"/>
          <w:sz w:val="28"/>
        </w:rPr>
        <w:t> </w:t>
      </w:r>
      <w:r>
        <w:rPr>
          <w:rFonts w:ascii="Courier New" w:hAnsi="Courier New"/>
          <w:sz w:val="28"/>
        </w:rPr>
        <w:t>(supra).</w:t>
      </w:r>
    </w:p>
    <w:p>
      <w:pPr>
        <w:pStyle w:val="BodyText"/>
        <w:spacing w:before="10"/>
        <w:rPr>
          <w:rFonts w:ascii="Courier New"/>
          <w:sz w:val="27"/>
        </w:rPr>
      </w:pPr>
    </w:p>
    <w:p>
      <w:pPr>
        <w:spacing w:line="240" w:lineRule="auto" w:before="1"/>
        <w:ind w:left="1011" w:right="1245" w:firstLine="0"/>
        <w:jc w:val="both"/>
        <w:rPr>
          <w:rFonts w:ascii="Courier New"/>
          <w:sz w:val="28"/>
        </w:rPr>
      </w:pPr>
      <w:r>
        <w:rPr>
          <w:rFonts w:ascii="Courier New"/>
          <w:b/>
          <w:sz w:val="28"/>
        </w:rPr>
        <w:t>3623. </w:t>
      </w:r>
      <w:r>
        <w:rPr>
          <w:rFonts w:ascii="Courier New"/>
          <w:sz w:val="28"/>
        </w:rPr>
        <w:t>Normally, the Court does not make adverse comments on the deposition of witness and suffice it to consider whether it is credible or not but we find it difficult to resist ourselves in this particular</w:t>
      </w:r>
      <w:r>
        <w:rPr>
          <w:rFonts w:ascii="Courier New"/>
          <w:spacing w:val="-40"/>
          <w:sz w:val="28"/>
        </w:rPr>
        <w:t> </w:t>
      </w:r>
      <w:r>
        <w:rPr>
          <w:rFonts w:ascii="Courier New"/>
          <w:sz w:val="28"/>
        </w:rPr>
        <w:t>case</w:t>
      </w:r>
      <w:r>
        <w:rPr>
          <w:rFonts w:ascii="Courier New"/>
          <w:spacing w:val="-39"/>
          <w:sz w:val="28"/>
        </w:rPr>
        <w:t> </w:t>
      </w:r>
      <w:r>
        <w:rPr>
          <w:rFonts w:ascii="Courier New"/>
          <w:sz w:val="28"/>
        </w:rPr>
        <w:t>considering</w:t>
      </w:r>
      <w:r>
        <w:rPr>
          <w:rFonts w:ascii="Courier New"/>
          <w:spacing w:val="-39"/>
          <w:sz w:val="28"/>
        </w:rPr>
        <w:t> </w:t>
      </w:r>
      <w:r>
        <w:rPr>
          <w:rFonts w:ascii="Courier New"/>
          <w:sz w:val="28"/>
        </w:rPr>
        <w:t>the</w:t>
      </w:r>
      <w:r>
        <w:rPr>
          <w:rFonts w:ascii="Courier New"/>
          <w:spacing w:val="-39"/>
          <w:sz w:val="28"/>
        </w:rPr>
        <w:t> </w:t>
      </w:r>
      <w:r>
        <w:rPr>
          <w:rFonts w:ascii="Courier New"/>
          <w:sz w:val="28"/>
        </w:rPr>
        <w:t>sensitivity and the nature of dispute and also the reckless and irresponsible kind of statements, and the material got published by the persons claiming to be Expert Historian, Archaeologist etc. without making any proper investigation, research or study in the</w:t>
      </w:r>
      <w:r>
        <w:rPr>
          <w:rFonts w:ascii="Courier New"/>
          <w:spacing w:val="-6"/>
          <w:sz w:val="28"/>
        </w:rPr>
        <w:t> </w:t>
      </w:r>
      <w:r>
        <w:rPr>
          <w:rFonts w:ascii="Courier New"/>
          <w:sz w:val="28"/>
        </w:rPr>
        <w:t>subject.</w:t>
      </w:r>
    </w:p>
    <w:p>
      <w:pPr>
        <w:pStyle w:val="BodyText"/>
        <w:spacing w:before="10"/>
        <w:rPr>
          <w:rFonts w:ascii="Courier New"/>
          <w:sz w:val="27"/>
        </w:rPr>
      </w:pPr>
    </w:p>
    <w:p>
      <w:pPr>
        <w:spacing w:line="240" w:lineRule="auto" w:before="0"/>
        <w:ind w:left="1011" w:right="1245" w:firstLine="0"/>
        <w:jc w:val="both"/>
        <w:rPr>
          <w:rFonts w:ascii="Courier New"/>
          <w:sz w:val="28"/>
        </w:rPr>
      </w:pPr>
      <w:r>
        <w:rPr>
          <w:rFonts w:ascii="Courier New"/>
          <w:b/>
          <w:sz w:val="28"/>
        </w:rPr>
        <w:t>3624.</w:t>
      </w:r>
      <w:r>
        <w:rPr>
          <w:rFonts w:ascii="Courier New"/>
          <w:b/>
          <w:spacing w:val="-22"/>
          <w:sz w:val="28"/>
        </w:rPr>
        <w:t> </w:t>
      </w:r>
      <w:r>
        <w:rPr>
          <w:rFonts w:ascii="Courier New"/>
          <w:sz w:val="28"/>
        </w:rPr>
        <w:t>This</w:t>
      </w:r>
      <w:r>
        <w:rPr>
          <w:rFonts w:ascii="Courier New"/>
          <w:spacing w:val="-22"/>
          <w:sz w:val="28"/>
        </w:rPr>
        <w:t> </w:t>
      </w:r>
      <w:r>
        <w:rPr>
          <w:rFonts w:ascii="Courier New"/>
          <w:sz w:val="28"/>
        </w:rPr>
        <w:t>is</w:t>
      </w:r>
      <w:r>
        <w:rPr>
          <w:rFonts w:ascii="Courier New"/>
          <w:spacing w:val="-22"/>
          <w:sz w:val="28"/>
        </w:rPr>
        <w:t> </w:t>
      </w:r>
      <w:r>
        <w:rPr>
          <w:rFonts w:ascii="Courier New"/>
          <w:sz w:val="28"/>
        </w:rPr>
        <w:t>really</w:t>
      </w:r>
      <w:r>
        <w:rPr>
          <w:rFonts w:ascii="Courier New"/>
          <w:spacing w:val="-22"/>
          <w:sz w:val="28"/>
        </w:rPr>
        <w:t> </w:t>
      </w:r>
      <w:r>
        <w:rPr>
          <w:rFonts w:ascii="Courier New"/>
          <w:sz w:val="28"/>
        </w:rPr>
        <w:t>startling.</w:t>
      </w:r>
      <w:r>
        <w:rPr>
          <w:rFonts w:ascii="Courier New"/>
          <w:spacing w:val="-21"/>
          <w:sz w:val="28"/>
        </w:rPr>
        <w:t> </w:t>
      </w:r>
      <w:r>
        <w:rPr>
          <w:rFonts w:ascii="Courier New"/>
          <w:sz w:val="28"/>
        </w:rPr>
        <w:t>It</w:t>
      </w:r>
      <w:r>
        <w:rPr>
          <w:rFonts w:ascii="Courier New"/>
          <w:spacing w:val="-22"/>
          <w:sz w:val="28"/>
        </w:rPr>
        <w:t> </w:t>
      </w:r>
      <w:r>
        <w:rPr>
          <w:rFonts w:ascii="Courier New"/>
          <w:sz w:val="28"/>
        </w:rPr>
        <w:t>not</w:t>
      </w:r>
      <w:r>
        <w:rPr>
          <w:rFonts w:ascii="Courier New"/>
          <w:spacing w:val="-22"/>
          <w:sz w:val="28"/>
        </w:rPr>
        <w:t> </w:t>
      </w:r>
      <w:r>
        <w:rPr>
          <w:rFonts w:ascii="Courier New"/>
          <w:sz w:val="28"/>
        </w:rPr>
        <w:t>only surprises us but we are puzzled. Such kind of statements to public at large causes more confusion than clear the things. Instead of helping in making a cordial atmosphere it tends to create more complications, conflict and controversy. Such</w:t>
      </w:r>
      <w:r>
        <w:rPr>
          <w:rFonts w:ascii="Courier New"/>
          <w:spacing w:val="-27"/>
          <w:sz w:val="28"/>
        </w:rPr>
        <w:t> </w:t>
      </w:r>
      <w:r>
        <w:rPr>
          <w:rFonts w:ascii="Courier New"/>
          <w:sz w:val="28"/>
        </w:rPr>
        <w:t>people</w:t>
      </w:r>
      <w:r>
        <w:rPr>
          <w:rFonts w:ascii="Courier New"/>
          <w:spacing w:val="-26"/>
          <w:sz w:val="28"/>
        </w:rPr>
        <w:t> </w:t>
      </w:r>
      <w:r>
        <w:rPr>
          <w:rFonts w:ascii="Courier New"/>
          <w:sz w:val="28"/>
        </w:rPr>
        <w:t>should</w:t>
      </w:r>
      <w:r>
        <w:rPr>
          <w:rFonts w:ascii="Courier New"/>
          <w:spacing w:val="-26"/>
          <w:sz w:val="28"/>
        </w:rPr>
        <w:t> </w:t>
      </w:r>
      <w:r>
        <w:rPr>
          <w:rFonts w:ascii="Courier New"/>
          <w:sz w:val="28"/>
        </w:rPr>
        <w:t>refrain</w:t>
      </w:r>
      <w:r>
        <w:rPr>
          <w:rFonts w:ascii="Courier New"/>
          <w:spacing w:val="-26"/>
          <w:sz w:val="28"/>
        </w:rPr>
        <w:t> </w:t>
      </w:r>
      <w:r>
        <w:rPr>
          <w:rFonts w:ascii="Courier New"/>
          <w:sz w:val="28"/>
        </w:rPr>
        <w:t>from</w:t>
      </w:r>
      <w:r>
        <w:rPr>
          <w:rFonts w:ascii="Courier New"/>
          <w:spacing w:val="-26"/>
          <w:sz w:val="28"/>
        </w:rPr>
        <w:t> </w:t>
      </w:r>
      <w:r>
        <w:rPr>
          <w:rFonts w:ascii="Courier New"/>
          <w:sz w:val="28"/>
        </w:rPr>
        <w:t>making</w:t>
      </w:r>
      <w:r>
        <w:rPr>
          <w:rFonts w:ascii="Courier New"/>
          <w:spacing w:val="-26"/>
          <w:sz w:val="28"/>
        </w:rPr>
        <w:t> </w:t>
      </w:r>
      <w:r>
        <w:rPr>
          <w:rFonts w:ascii="Courier New"/>
          <w:sz w:val="28"/>
        </w:rPr>
        <w:t>such statements</w:t>
      </w:r>
      <w:r>
        <w:rPr>
          <w:rFonts w:ascii="Courier New"/>
          <w:spacing w:val="58"/>
          <w:sz w:val="28"/>
        </w:rPr>
        <w:t> </w:t>
      </w:r>
      <w:r>
        <w:rPr>
          <w:rFonts w:ascii="Courier New"/>
          <w:sz w:val="28"/>
        </w:rPr>
        <w:t>or</w:t>
      </w:r>
      <w:r>
        <w:rPr>
          <w:rFonts w:ascii="Courier New"/>
          <w:spacing w:val="58"/>
          <w:sz w:val="28"/>
        </w:rPr>
        <w:t> </w:t>
      </w:r>
      <w:r>
        <w:rPr>
          <w:rFonts w:ascii="Courier New"/>
          <w:sz w:val="28"/>
        </w:rPr>
        <w:t>written</w:t>
      </w:r>
      <w:r>
        <w:rPr>
          <w:rFonts w:ascii="Courier New"/>
          <w:spacing w:val="59"/>
          <w:sz w:val="28"/>
        </w:rPr>
        <w:t> </w:t>
      </w:r>
      <w:r>
        <w:rPr>
          <w:rFonts w:ascii="Courier New"/>
          <w:sz w:val="28"/>
        </w:rPr>
        <w:t>work.</w:t>
      </w:r>
      <w:r>
        <w:rPr>
          <w:rFonts w:ascii="Courier New"/>
          <w:spacing w:val="58"/>
          <w:sz w:val="28"/>
        </w:rPr>
        <w:t> </w:t>
      </w:r>
      <w:r>
        <w:rPr>
          <w:rFonts w:ascii="Courier New"/>
          <w:sz w:val="28"/>
        </w:rPr>
        <w:t>They</w:t>
      </w:r>
      <w:r>
        <w:rPr>
          <w:rFonts w:ascii="Courier New"/>
          <w:spacing w:val="59"/>
          <w:sz w:val="28"/>
        </w:rPr>
        <w:t> </w:t>
      </w:r>
      <w:r>
        <w:rPr>
          <w:rFonts w:ascii="Courier New"/>
          <w:sz w:val="28"/>
        </w:rPr>
        <w:t>must</w:t>
      </w:r>
      <w:r>
        <w:rPr>
          <w:rFonts w:ascii="Courier New"/>
          <w:spacing w:val="58"/>
          <w:sz w:val="28"/>
        </w:rPr>
        <w:t> </w:t>
      </w:r>
      <w:r>
        <w:rPr>
          <w:rFonts w:ascii="Courier New"/>
          <w:sz w:val="28"/>
        </w:rPr>
        <w:t>be</w:t>
      </w:r>
    </w:p>
    <w:p>
      <w:pPr>
        <w:spacing w:after="0" w:line="240" w:lineRule="auto"/>
        <w:jc w:val="both"/>
        <w:rPr>
          <w:rFonts w:ascii="Courier New"/>
          <w:sz w:val="28"/>
        </w:rPr>
        <w:sectPr>
          <w:headerReference w:type="default" r:id="rId318"/>
          <w:footerReference w:type="default" r:id="rId319"/>
          <w:pgSz w:w="11910" w:h="16840"/>
          <w:pgMar w:header="0" w:footer="1063" w:top="1340" w:bottom="1260" w:left="1280" w:right="1280"/>
          <w:pgNumType w:start="55"/>
        </w:sectPr>
      </w:pPr>
    </w:p>
    <w:p>
      <w:pPr>
        <w:spacing w:before="86"/>
        <w:ind w:left="1011" w:right="1247" w:firstLine="0"/>
        <w:jc w:val="both"/>
        <w:rPr>
          <w:rFonts w:ascii="Courier New"/>
          <w:sz w:val="28"/>
        </w:rPr>
      </w:pPr>
      <w:r>
        <w:rPr>
          <w:rFonts w:ascii="Courier New"/>
          <w:sz w:val="28"/>
        </w:rPr>
        <w:t>extremely careful and cautious before making any statement in public on such issues.</w:t>
      </w:r>
    </w:p>
    <w:p>
      <w:pPr>
        <w:pStyle w:val="BodyText"/>
        <w:spacing w:before="1"/>
        <w:rPr>
          <w:rFonts w:ascii="Courier New"/>
          <w:sz w:val="28"/>
        </w:rPr>
      </w:pPr>
    </w:p>
    <w:p>
      <w:pPr>
        <w:spacing w:line="240" w:lineRule="auto" w:before="0"/>
        <w:ind w:left="1011" w:right="1243" w:firstLine="0"/>
        <w:jc w:val="both"/>
        <w:rPr>
          <w:rFonts w:ascii="Courier New" w:hAnsi="Courier New"/>
          <w:sz w:val="28"/>
        </w:rPr>
      </w:pPr>
      <w:r>
        <w:rPr>
          <w:rFonts w:ascii="Courier New" w:hAnsi="Courier New"/>
          <w:b/>
          <w:sz w:val="28"/>
        </w:rPr>
        <w:t>3625. </w:t>
      </w:r>
      <w:r>
        <w:rPr>
          <w:rFonts w:ascii="Courier New" w:hAnsi="Courier New"/>
          <w:sz w:val="28"/>
        </w:rPr>
        <w:t>The people believe that something, which has been said by a learned, well studied person, would not be without any basis.</w:t>
      </w:r>
      <w:r>
        <w:rPr>
          <w:rFonts w:ascii="Courier New" w:hAnsi="Courier New"/>
          <w:spacing w:val="-22"/>
          <w:sz w:val="28"/>
        </w:rPr>
        <w:t> </w:t>
      </w:r>
      <w:r>
        <w:rPr>
          <w:rFonts w:ascii="Courier New" w:hAnsi="Courier New"/>
          <w:sz w:val="28"/>
        </w:rPr>
        <w:t>Normally</w:t>
      </w:r>
      <w:r>
        <w:rPr>
          <w:rFonts w:ascii="Courier New" w:hAnsi="Courier New"/>
          <w:spacing w:val="-22"/>
          <w:sz w:val="28"/>
        </w:rPr>
        <w:t> </w:t>
      </w:r>
      <w:r>
        <w:rPr>
          <w:rFonts w:ascii="Courier New" w:hAnsi="Courier New"/>
          <w:sz w:val="28"/>
        </w:rPr>
        <w:t>they</w:t>
      </w:r>
      <w:r>
        <w:rPr>
          <w:rFonts w:ascii="Courier New" w:hAnsi="Courier New"/>
          <w:spacing w:val="-22"/>
          <w:sz w:val="28"/>
        </w:rPr>
        <w:t> </w:t>
      </w:r>
      <w:r>
        <w:rPr>
          <w:rFonts w:ascii="Courier New" w:hAnsi="Courier New"/>
          <w:sz w:val="28"/>
        </w:rPr>
        <w:t>accept</w:t>
      </w:r>
      <w:r>
        <w:rPr>
          <w:rFonts w:ascii="Courier New" w:hAnsi="Courier New"/>
          <w:spacing w:val="-22"/>
          <w:sz w:val="28"/>
        </w:rPr>
        <w:t> </w:t>
      </w:r>
      <w:r>
        <w:rPr>
          <w:rFonts w:ascii="Courier New" w:hAnsi="Courier New"/>
          <w:sz w:val="28"/>
        </w:rPr>
        <w:t>it</w:t>
      </w:r>
      <w:r>
        <w:rPr>
          <w:rFonts w:ascii="Courier New" w:hAnsi="Courier New"/>
          <w:spacing w:val="-21"/>
          <w:sz w:val="28"/>
        </w:rPr>
        <w:t> </w:t>
      </w:r>
      <w:r>
        <w:rPr>
          <w:rFonts w:ascii="Courier New" w:hAnsi="Courier New"/>
          <w:sz w:val="28"/>
        </w:rPr>
        <w:t>as</w:t>
      </w:r>
      <w:r>
        <w:rPr>
          <w:rFonts w:ascii="Courier New" w:hAnsi="Courier New"/>
          <w:spacing w:val="-22"/>
          <w:sz w:val="28"/>
        </w:rPr>
        <w:t> </w:t>
      </w:r>
      <w:r>
        <w:rPr>
          <w:rFonts w:ascii="Courier New" w:hAnsi="Courier New"/>
          <w:sz w:val="28"/>
        </w:rPr>
        <w:t>a</w:t>
      </w:r>
      <w:r>
        <w:rPr>
          <w:rFonts w:ascii="Courier New" w:hAnsi="Courier New"/>
          <w:spacing w:val="-22"/>
          <w:sz w:val="28"/>
        </w:rPr>
        <w:t> </w:t>
      </w:r>
      <w:r>
        <w:rPr>
          <w:rFonts w:ascii="Courier New" w:hAnsi="Courier New"/>
          <w:sz w:val="28"/>
        </w:rPr>
        <w:t>correct statement of fact and affairs. Normally, these persons do not find a stage where their</w:t>
      </w:r>
      <w:r>
        <w:rPr>
          <w:rFonts w:ascii="Courier New" w:hAnsi="Courier New"/>
          <w:spacing w:val="-26"/>
          <w:sz w:val="28"/>
        </w:rPr>
        <w:t> </w:t>
      </w:r>
      <w:r>
        <w:rPr>
          <w:rFonts w:ascii="Courier New" w:hAnsi="Courier New"/>
          <w:sz w:val="28"/>
        </w:rPr>
        <w:t>statement</w:t>
      </w:r>
      <w:r>
        <w:rPr>
          <w:rFonts w:ascii="Courier New" w:hAnsi="Courier New"/>
          <w:spacing w:val="-26"/>
          <w:sz w:val="28"/>
        </w:rPr>
        <w:t> </w:t>
      </w:r>
      <w:r>
        <w:rPr>
          <w:rFonts w:ascii="Courier New" w:hAnsi="Courier New"/>
          <w:sz w:val="28"/>
        </w:rPr>
        <w:t>can</w:t>
      </w:r>
      <w:r>
        <w:rPr>
          <w:rFonts w:ascii="Courier New" w:hAnsi="Courier New"/>
          <w:spacing w:val="-25"/>
          <w:sz w:val="28"/>
        </w:rPr>
        <w:t> </w:t>
      </w:r>
      <w:r>
        <w:rPr>
          <w:rFonts w:ascii="Courier New" w:hAnsi="Courier New"/>
          <w:sz w:val="28"/>
        </w:rPr>
        <w:t>be</w:t>
      </w:r>
      <w:r>
        <w:rPr>
          <w:rFonts w:ascii="Courier New" w:hAnsi="Courier New"/>
          <w:spacing w:val="-26"/>
          <w:sz w:val="28"/>
        </w:rPr>
        <w:t> </w:t>
      </w:r>
      <w:r>
        <w:rPr>
          <w:rFonts w:ascii="Courier New" w:hAnsi="Courier New"/>
          <w:sz w:val="28"/>
        </w:rPr>
        <w:t>scrutinized</w:t>
      </w:r>
      <w:r>
        <w:rPr>
          <w:rFonts w:ascii="Courier New" w:hAnsi="Courier New"/>
          <w:spacing w:val="-26"/>
          <w:sz w:val="28"/>
        </w:rPr>
        <w:t> </w:t>
      </w:r>
      <w:r>
        <w:rPr>
          <w:rFonts w:ascii="Courier New" w:hAnsi="Courier New"/>
          <w:sz w:val="28"/>
        </w:rPr>
        <w:t>by</w:t>
      </w:r>
      <w:r>
        <w:rPr>
          <w:rFonts w:ascii="Courier New" w:hAnsi="Courier New"/>
          <w:spacing w:val="-25"/>
          <w:sz w:val="28"/>
        </w:rPr>
        <w:t> </w:t>
      </w:r>
      <w:r>
        <w:rPr>
          <w:rFonts w:ascii="Courier New" w:hAnsi="Courier New"/>
          <w:sz w:val="28"/>
        </w:rPr>
        <w:t>other experts</w:t>
      </w:r>
      <w:r>
        <w:rPr>
          <w:rFonts w:ascii="Courier New" w:hAnsi="Courier New"/>
          <w:spacing w:val="-25"/>
          <w:sz w:val="28"/>
        </w:rPr>
        <w:t> </w:t>
      </w:r>
      <w:r>
        <w:rPr>
          <w:rFonts w:ascii="Courier New" w:hAnsi="Courier New"/>
          <w:sz w:val="28"/>
        </w:rPr>
        <w:t>like</w:t>
      </w:r>
      <w:r>
        <w:rPr>
          <w:rFonts w:ascii="Courier New" w:hAnsi="Courier New"/>
          <w:spacing w:val="-25"/>
          <w:sz w:val="28"/>
        </w:rPr>
        <w:t> </w:t>
      </w:r>
      <w:r>
        <w:rPr>
          <w:rFonts w:ascii="Courier New" w:hAnsi="Courier New"/>
          <w:sz w:val="28"/>
        </w:rPr>
        <w:t>a</w:t>
      </w:r>
      <w:r>
        <w:rPr>
          <w:rFonts w:ascii="Courier New" w:hAnsi="Courier New"/>
          <w:spacing w:val="-27"/>
          <w:sz w:val="28"/>
        </w:rPr>
        <w:t> </w:t>
      </w:r>
      <w:r>
        <w:rPr>
          <w:rFonts w:ascii="Courier New" w:hAnsi="Courier New"/>
          <w:sz w:val="28"/>
        </w:rPr>
        <w:t>cross-examination</w:t>
      </w:r>
      <w:r>
        <w:rPr>
          <w:rFonts w:ascii="Courier New" w:hAnsi="Courier New"/>
          <w:spacing w:val="-25"/>
          <w:sz w:val="28"/>
        </w:rPr>
        <w:t> </w:t>
      </w:r>
      <w:r>
        <w:rPr>
          <w:rFonts w:ascii="Courier New" w:hAnsi="Courier New"/>
          <w:sz w:val="28"/>
        </w:rPr>
        <w:t>in</w:t>
      </w:r>
      <w:r>
        <w:rPr>
          <w:rFonts w:ascii="Courier New" w:hAnsi="Courier New"/>
          <w:spacing w:val="-25"/>
          <w:sz w:val="28"/>
        </w:rPr>
        <w:t> </w:t>
      </w:r>
      <w:r>
        <w:rPr>
          <w:rFonts w:ascii="Courier New" w:hAnsi="Courier New"/>
          <w:sz w:val="28"/>
        </w:rPr>
        <w:t>a</w:t>
      </w:r>
      <w:r>
        <w:rPr>
          <w:rFonts w:ascii="Courier New" w:hAnsi="Courier New"/>
          <w:spacing w:val="-23"/>
          <w:sz w:val="28"/>
        </w:rPr>
        <w:t> </w:t>
      </w:r>
      <w:r>
        <w:rPr>
          <w:rFonts w:ascii="Courier New" w:hAnsi="Courier New"/>
          <w:sz w:val="28"/>
        </w:rPr>
        <w:t>Court of law. In legal terminology, we can say that</w:t>
      </w:r>
      <w:r>
        <w:rPr>
          <w:rFonts w:ascii="Courier New" w:hAnsi="Courier New"/>
          <w:spacing w:val="-27"/>
          <w:sz w:val="28"/>
        </w:rPr>
        <w:t> </w:t>
      </w:r>
      <w:r>
        <w:rPr>
          <w:rFonts w:ascii="Courier New" w:hAnsi="Courier New"/>
          <w:sz w:val="28"/>
        </w:rPr>
        <w:t>these</w:t>
      </w:r>
      <w:r>
        <w:rPr>
          <w:rFonts w:ascii="Courier New" w:hAnsi="Courier New"/>
          <w:spacing w:val="-26"/>
          <w:sz w:val="28"/>
        </w:rPr>
        <w:t> </w:t>
      </w:r>
      <w:r>
        <w:rPr>
          <w:rFonts w:ascii="Courier New" w:hAnsi="Courier New"/>
          <w:sz w:val="28"/>
        </w:rPr>
        <w:t>statements</w:t>
      </w:r>
      <w:r>
        <w:rPr>
          <w:rFonts w:ascii="Courier New" w:hAnsi="Courier New"/>
          <w:spacing w:val="-26"/>
          <w:sz w:val="28"/>
        </w:rPr>
        <w:t> </w:t>
      </w:r>
      <w:r>
        <w:rPr>
          <w:rFonts w:ascii="Courier New" w:hAnsi="Courier New"/>
          <w:sz w:val="28"/>
        </w:rPr>
        <w:t>are</w:t>
      </w:r>
      <w:r>
        <w:rPr>
          <w:rFonts w:ascii="Courier New" w:hAnsi="Courier New"/>
          <w:spacing w:val="-26"/>
          <w:sz w:val="28"/>
        </w:rPr>
        <w:t> </w:t>
      </w:r>
      <w:r>
        <w:rPr>
          <w:rFonts w:ascii="Courier New" w:hAnsi="Courier New"/>
          <w:sz w:val="28"/>
        </w:rPr>
        <w:t>normally</w:t>
      </w:r>
      <w:r>
        <w:rPr>
          <w:rFonts w:ascii="Courier New" w:hAnsi="Courier New"/>
          <w:spacing w:val="-26"/>
          <w:sz w:val="28"/>
        </w:rPr>
        <w:t> </w:t>
      </w:r>
      <w:r>
        <w:rPr>
          <w:rFonts w:ascii="Courier New" w:hAnsi="Courier New"/>
          <w:sz w:val="28"/>
        </w:rPr>
        <w:t>ex</w:t>
      </w:r>
      <w:r>
        <w:rPr>
          <w:rFonts w:ascii="Courier New" w:hAnsi="Courier New"/>
          <w:spacing w:val="-26"/>
          <w:sz w:val="28"/>
        </w:rPr>
        <w:t> </w:t>
      </w:r>
      <w:r>
        <w:rPr>
          <w:rFonts w:ascii="Courier New" w:hAnsi="Courier New"/>
          <w:sz w:val="28"/>
        </w:rPr>
        <w:t>parte and unilateral. But that does not give a license to such persons to make statements whatsoever without shouldering responsibility and accountability for its authenticity. One cannot say that though I had made a statement but I am not responsible for its authenticity since it is not based on my study or research but what I have learnt from others that I have uttered. No one, particularly when he claims to be an expert on the subject, a proclaimed or self styled expert in a History etc. or the facts or events can express</w:t>
      </w:r>
      <w:r>
        <w:rPr>
          <w:rFonts w:ascii="Courier New" w:hAnsi="Courier New"/>
          <w:spacing w:val="-26"/>
          <w:sz w:val="28"/>
        </w:rPr>
        <w:t> </w:t>
      </w:r>
      <w:r>
        <w:rPr>
          <w:rFonts w:ascii="Courier New" w:hAnsi="Courier New"/>
          <w:sz w:val="28"/>
        </w:rPr>
        <w:t>some</w:t>
      </w:r>
      <w:r>
        <w:rPr>
          <w:rFonts w:ascii="Courier New" w:hAnsi="Courier New"/>
          <w:spacing w:val="-26"/>
          <w:sz w:val="28"/>
        </w:rPr>
        <w:t> </w:t>
      </w:r>
      <w:r>
        <w:rPr>
          <w:rFonts w:ascii="Courier New" w:hAnsi="Courier New"/>
          <w:sz w:val="28"/>
        </w:rPr>
        <w:t>opinion</w:t>
      </w:r>
      <w:r>
        <w:rPr>
          <w:rFonts w:ascii="Courier New" w:hAnsi="Courier New"/>
          <w:spacing w:val="-26"/>
          <w:sz w:val="28"/>
        </w:rPr>
        <w:t> </w:t>
      </w:r>
      <w:r>
        <w:rPr>
          <w:rFonts w:ascii="Courier New" w:hAnsi="Courier New"/>
          <w:sz w:val="28"/>
        </w:rPr>
        <w:t>unless</w:t>
      </w:r>
      <w:r>
        <w:rPr>
          <w:rFonts w:ascii="Courier New" w:hAnsi="Courier New"/>
          <w:spacing w:val="-28"/>
          <w:sz w:val="28"/>
        </w:rPr>
        <w:t> </w:t>
      </w:r>
      <w:r>
        <w:rPr>
          <w:rFonts w:ascii="Courier New" w:hAnsi="Courier New"/>
          <w:sz w:val="28"/>
        </w:rPr>
        <w:t>he/she</w:t>
      </w:r>
      <w:r>
        <w:rPr>
          <w:rFonts w:ascii="Courier New" w:hAnsi="Courier New"/>
          <w:spacing w:val="-25"/>
          <w:sz w:val="28"/>
        </w:rPr>
        <w:t> </w:t>
      </w:r>
      <w:r>
        <w:rPr>
          <w:rFonts w:ascii="Courier New" w:hAnsi="Courier New"/>
          <w:sz w:val="28"/>
        </w:rPr>
        <w:t>is</w:t>
      </w:r>
      <w:r>
        <w:rPr>
          <w:rFonts w:ascii="Courier New" w:hAnsi="Courier New"/>
          <w:spacing w:val="-26"/>
          <w:sz w:val="28"/>
        </w:rPr>
        <w:t> </w:t>
      </w:r>
      <w:r>
        <w:rPr>
          <w:rFonts w:ascii="Courier New" w:hAnsi="Courier New"/>
          <w:sz w:val="28"/>
        </w:rPr>
        <w:t>fully satisfied after his/her own research and study that he/she is also of the same view and intend to make the same statement with reasons.”</w:t>
      </w:r>
    </w:p>
    <w:p>
      <w:pPr>
        <w:pStyle w:val="BodyText"/>
        <w:rPr>
          <w:rFonts w:ascii="Courier New"/>
          <w:sz w:val="32"/>
        </w:rPr>
      </w:pPr>
    </w:p>
    <w:p>
      <w:pPr>
        <w:pStyle w:val="ListParagraph"/>
        <w:numPr>
          <w:ilvl w:val="0"/>
          <w:numId w:val="254"/>
        </w:numPr>
        <w:tabs>
          <w:tab w:pos="827" w:val="left" w:leader="none"/>
        </w:tabs>
        <w:spacing w:line="240" w:lineRule="auto" w:before="269" w:after="0"/>
        <w:ind w:left="826" w:right="0" w:hanging="667"/>
        <w:jc w:val="both"/>
        <w:rPr>
          <w:rFonts w:ascii="Courier New"/>
          <w:sz w:val="28"/>
        </w:rPr>
      </w:pPr>
      <w:r>
        <w:rPr>
          <w:rFonts w:ascii="Courier New"/>
          <w:sz w:val="28"/>
        </w:rPr>
        <w:t>One more aspect of the report needs to be</w:t>
      </w:r>
      <w:r>
        <w:rPr>
          <w:rFonts w:ascii="Courier New"/>
          <w:spacing w:val="-60"/>
          <w:sz w:val="28"/>
        </w:rPr>
        <w:t> </w:t>
      </w:r>
      <w:r>
        <w:rPr>
          <w:rFonts w:ascii="Courier New"/>
          <w:sz w:val="28"/>
        </w:rPr>
        <w:t>noticed.</w:t>
      </w:r>
    </w:p>
    <w:p>
      <w:pPr>
        <w:pStyle w:val="BodyText"/>
        <w:spacing w:before="2"/>
        <w:rPr>
          <w:rFonts w:ascii="Courier New"/>
          <w:sz w:val="28"/>
        </w:rPr>
      </w:pPr>
    </w:p>
    <w:p>
      <w:pPr>
        <w:spacing w:before="0"/>
        <w:ind w:left="160" w:right="0" w:firstLine="0"/>
        <w:jc w:val="both"/>
        <w:rPr>
          <w:rFonts w:ascii="Courier New"/>
          <w:sz w:val="28"/>
        </w:rPr>
      </w:pPr>
      <w:r>
        <w:rPr>
          <w:rFonts w:ascii="Courier New"/>
          <w:sz w:val="28"/>
        </w:rPr>
        <w:t>In the report, the refence to excavation made by</w:t>
      </w:r>
      <w:r>
        <w:rPr>
          <w:rFonts w:ascii="Courier New"/>
          <w:spacing w:val="-70"/>
          <w:sz w:val="28"/>
        </w:rPr>
        <w:t> </w:t>
      </w:r>
      <w:r>
        <w:rPr>
          <w:rFonts w:ascii="Courier New"/>
          <w:sz w:val="28"/>
        </w:rPr>
        <w:t>Prof.</w:t>
      </w:r>
    </w:p>
    <w:p>
      <w:pPr>
        <w:pStyle w:val="BodyText"/>
        <w:spacing w:before="10"/>
        <w:rPr>
          <w:rFonts w:ascii="Courier New"/>
          <w:sz w:val="27"/>
        </w:rPr>
      </w:pPr>
    </w:p>
    <w:p>
      <w:pPr>
        <w:spacing w:line="480" w:lineRule="auto" w:before="0"/>
        <w:ind w:left="160" w:right="155" w:firstLine="0"/>
        <w:jc w:val="both"/>
        <w:rPr>
          <w:rFonts w:ascii="Courier New"/>
          <w:sz w:val="28"/>
        </w:rPr>
      </w:pPr>
      <w:r>
        <w:rPr>
          <w:rFonts w:ascii="Courier New"/>
          <w:sz w:val="28"/>
        </w:rPr>
        <w:t>B.B. Lal (of Archaeological Survey of India) to identify sites of Ramayana have been made. The said excavation was conducted by Shri B.B. Lal in</w:t>
      </w:r>
      <w:r>
        <w:rPr>
          <w:rFonts w:ascii="Courier New"/>
          <w:spacing w:val="103"/>
          <w:sz w:val="28"/>
        </w:rPr>
        <w:t> </w:t>
      </w:r>
      <w:r>
        <w:rPr>
          <w:rFonts w:ascii="Courier New"/>
          <w:sz w:val="28"/>
        </w:rPr>
        <w:t>1975-76.</w:t>
      </w:r>
    </w:p>
    <w:p>
      <w:pPr>
        <w:spacing w:after="0" w:line="480" w:lineRule="auto"/>
        <w:jc w:val="both"/>
        <w:rPr>
          <w:rFonts w:ascii="Courier New"/>
          <w:sz w:val="28"/>
        </w:rPr>
        <w:sectPr>
          <w:headerReference w:type="default" r:id="rId320"/>
          <w:footerReference w:type="default" r:id="rId321"/>
          <w:pgSz w:w="11910" w:h="16840"/>
          <w:pgMar w:header="0" w:footer="1063" w:top="1340" w:bottom="1260" w:left="1280" w:right="1280"/>
          <w:pgNumType w:start="56"/>
        </w:sectPr>
      </w:pPr>
    </w:p>
    <w:p>
      <w:pPr>
        <w:spacing w:line="480" w:lineRule="auto" w:before="86"/>
        <w:ind w:left="160" w:right="160" w:firstLine="0"/>
        <w:jc w:val="both"/>
        <w:rPr>
          <w:rFonts w:ascii="Courier New"/>
          <w:sz w:val="28"/>
        </w:rPr>
      </w:pPr>
      <w:r>
        <w:rPr>
          <w:rFonts w:ascii="Courier New"/>
          <w:sz w:val="28"/>
        </w:rPr>
        <w:t>Towards</w:t>
      </w:r>
      <w:r>
        <w:rPr>
          <w:rFonts w:ascii="Courier New"/>
          <w:spacing w:val="-35"/>
          <w:sz w:val="28"/>
        </w:rPr>
        <w:t> </w:t>
      </w:r>
      <w:r>
        <w:rPr>
          <w:rFonts w:ascii="Courier New"/>
          <w:sz w:val="28"/>
        </w:rPr>
        <w:t>south</w:t>
      </w:r>
      <w:r>
        <w:rPr>
          <w:rFonts w:ascii="Courier New"/>
          <w:spacing w:val="-32"/>
          <w:sz w:val="28"/>
        </w:rPr>
        <w:t> </w:t>
      </w:r>
      <w:r>
        <w:rPr>
          <w:rFonts w:ascii="Courier New"/>
          <w:sz w:val="28"/>
        </w:rPr>
        <w:t>of</w:t>
      </w:r>
      <w:r>
        <w:rPr>
          <w:rFonts w:ascii="Courier New"/>
          <w:spacing w:val="-34"/>
          <w:sz w:val="28"/>
        </w:rPr>
        <w:t> </w:t>
      </w:r>
      <w:r>
        <w:rPr>
          <w:rFonts w:ascii="Courier New"/>
          <w:sz w:val="28"/>
        </w:rPr>
        <w:t>the</w:t>
      </w:r>
      <w:r>
        <w:rPr>
          <w:rFonts w:ascii="Courier New"/>
          <w:spacing w:val="-34"/>
          <w:sz w:val="28"/>
        </w:rPr>
        <w:t> </w:t>
      </w:r>
      <w:r>
        <w:rPr>
          <w:rFonts w:ascii="Courier New"/>
          <w:sz w:val="28"/>
        </w:rPr>
        <w:t>disputed</w:t>
      </w:r>
      <w:r>
        <w:rPr>
          <w:rFonts w:ascii="Courier New"/>
          <w:spacing w:val="-34"/>
          <w:sz w:val="28"/>
        </w:rPr>
        <w:t> </w:t>
      </w:r>
      <w:r>
        <w:rPr>
          <w:rFonts w:ascii="Courier New"/>
          <w:sz w:val="28"/>
        </w:rPr>
        <w:t>structure,</w:t>
      </w:r>
      <w:r>
        <w:rPr>
          <w:rFonts w:ascii="Courier New"/>
          <w:spacing w:val="-34"/>
          <w:sz w:val="28"/>
        </w:rPr>
        <w:t> </w:t>
      </w:r>
      <w:r>
        <w:rPr>
          <w:rFonts w:ascii="Courier New"/>
          <w:sz w:val="28"/>
        </w:rPr>
        <w:t>certain</w:t>
      </w:r>
      <w:r>
        <w:rPr>
          <w:rFonts w:ascii="Courier New"/>
          <w:spacing w:val="-34"/>
          <w:sz w:val="28"/>
        </w:rPr>
        <w:t> </w:t>
      </w:r>
      <w:r>
        <w:rPr>
          <w:rFonts w:ascii="Courier New"/>
          <w:sz w:val="28"/>
        </w:rPr>
        <w:t>trench were excavated and Shri B.B. Lal opined that certain pillar bases were found sustaining pillars and show a structure in the south of Babri Masjid. In the</w:t>
      </w:r>
      <w:r>
        <w:rPr>
          <w:rFonts w:ascii="Courier New"/>
          <w:spacing w:val="-71"/>
          <w:sz w:val="28"/>
        </w:rPr>
        <w:t> </w:t>
      </w:r>
      <w:r>
        <w:rPr>
          <w:rFonts w:ascii="Courier New"/>
          <w:sz w:val="28"/>
        </w:rPr>
        <w:t>report, after referring to excavation by Shri B.B. Lal, the report</w:t>
      </w:r>
      <w:r>
        <w:rPr>
          <w:rFonts w:ascii="Courier New"/>
          <w:spacing w:val="-2"/>
          <w:sz w:val="28"/>
        </w:rPr>
        <w:t> </w:t>
      </w:r>
      <w:r>
        <w:rPr>
          <w:rFonts w:ascii="Courier New"/>
          <w:sz w:val="28"/>
        </w:rPr>
        <w:t>concludes:-</w:t>
      </w:r>
    </w:p>
    <w:p>
      <w:pPr>
        <w:spacing w:line="240" w:lineRule="auto" w:before="0"/>
        <w:ind w:left="1011" w:right="1246" w:firstLine="0"/>
        <w:jc w:val="both"/>
        <w:rPr>
          <w:rFonts w:ascii="Courier New" w:hAnsi="Courier New"/>
          <w:sz w:val="28"/>
        </w:rPr>
      </w:pPr>
      <w:r>
        <w:rPr>
          <w:rFonts w:ascii="Courier New" w:hAnsi="Courier New"/>
          <w:sz w:val="28"/>
        </w:rPr>
        <w:t>“Finally,</w:t>
      </w:r>
      <w:r>
        <w:rPr>
          <w:rFonts w:ascii="Courier New" w:hAnsi="Courier New"/>
          <w:spacing w:val="-22"/>
          <w:sz w:val="28"/>
        </w:rPr>
        <w:t> </w:t>
      </w:r>
      <w:r>
        <w:rPr>
          <w:rFonts w:ascii="Courier New" w:hAnsi="Courier New"/>
          <w:sz w:val="28"/>
        </w:rPr>
        <w:t>there</w:t>
      </w:r>
      <w:r>
        <w:rPr>
          <w:rFonts w:ascii="Courier New" w:hAnsi="Courier New"/>
          <w:spacing w:val="-22"/>
          <w:sz w:val="28"/>
        </w:rPr>
        <w:t> </w:t>
      </w:r>
      <w:r>
        <w:rPr>
          <w:rFonts w:ascii="Courier New" w:hAnsi="Courier New"/>
          <w:sz w:val="28"/>
        </w:rPr>
        <w:t>is</w:t>
      </w:r>
      <w:r>
        <w:rPr>
          <w:rFonts w:ascii="Courier New" w:hAnsi="Courier New"/>
          <w:spacing w:val="-22"/>
          <w:sz w:val="28"/>
        </w:rPr>
        <w:t> </w:t>
      </w:r>
      <w:r>
        <w:rPr>
          <w:rFonts w:ascii="Courier New" w:hAnsi="Courier New"/>
          <w:sz w:val="28"/>
        </w:rPr>
        <w:t>nothing</w:t>
      </w:r>
      <w:r>
        <w:rPr>
          <w:rFonts w:ascii="Courier New" w:hAnsi="Courier New"/>
          <w:spacing w:val="-22"/>
          <w:sz w:val="28"/>
        </w:rPr>
        <w:t> </w:t>
      </w:r>
      <w:r>
        <w:rPr>
          <w:rFonts w:ascii="Courier New" w:hAnsi="Courier New"/>
          <w:sz w:val="28"/>
        </w:rPr>
        <w:t>to</w:t>
      </w:r>
      <w:r>
        <w:rPr>
          <w:rFonts w:ascii="Courier New" w:hAnsi="Courier New"/>
          <w:spacing w:val="-21"/>
          <w:sz w:val="28"/>
        </w:rPr>
        <w:t> </w:t>
      </w:r>
      <w:r>
        <w:rPr>
          <w:rFonts w:ascii="Courier New" w:hAnsi="Courier New"/>
          <w:sz w:val="28"/>
        </w:rPr>
        <w:t>show</w:t>
      </w:r>
      <w:r>
        <w:rPr>
          <w:rFonts w:ascii="Courier New" w:hAnsi="Courier New"/>
          <w:spacing w:val="-22"/>
          <w:sz w:val="28"/>
        </w:rPr>
        <w:t> </w:t>
      </w:r>
      <w:r>
        <w:rPr>
          <w:rFonts w:ascii="Courier New" w:hAnsi="Courier New"/>
          <w:sz w:val="28"/>
        </w:rPr>
        <w:t>that</w:t>
      </w:r>
      <w:r>
        <w:rPr>
          <w:rFonts w:ascii="Courier New" w:hAnsi="Courier New"/>
          <w:spacing w:val="-22"/>
          <w:sz w:val="28"/>
        </w:rPr>
        <w:t> </w:t>
      </w:r>
      <w:r>
        <w:rPr>
          <w:rFonts w:ascii="Courier New" w:hAnsi="Courier New"/>
          <w:sz w:val="28"/>
        </w:rPr>
        <w:t>the pillar bases existing at a distance of about 60 ft to the south of the Baburi Masjid structure are in alignment with the pillars used in the Baburi Masjid. In fact no importance can be attached to the structure</w:t>
      </w:r>
      <w:r>
        <w:rPr>
          <w:rFonts w:ascii="Courier New" w:hAnsi="Courier New"/>
          <w:spacing w:val="-26"/>
          <w:sz w:val="28"/>
        </w:rPr>
        <w:t> </w:t>
      </w:r>
      <w:r>
        <w:rPr>
          <w:rFonts w:ascii="Courier New" w:hAnsi="Courier New"/>
          <w:sz w:val="28"/>
        </w:rPr>
        <w:t>postulated</w:t>
      </w:r>
      <w:r>
        <w:rPr>
          <w:rFonts w:ascii="Courier New" w:hAnsi="Courier New"/>
          <w:spacing w:val="-26"/>
          <w:sz w:val="28"/>
        </w:rPr>
        <w:t> </w:t>
      </w:r>
      <w:r>
        <w:rPr>
          <w:rFonts w:ascii="Courier New" w:hAnsi="Courier New"/>
          <w:sz w:val="28"/>
        </w:rPr>
        <w:t>on</w:t>
      </w:r>
      <w:r>
        <w:rPr>
          <w:rFonts w:ascii="Courier New" w:hAnsi="Courier New"/>
          <w:spacing w:val="-25"/>
          <w:sz w:val="28"/>
        </w:rPr>
        <w:t> </w:t>
      </w:r>
      <w:r>
        <w:rPr>
          <w:rFonts w:ascii="Courier New" w:hAnsi="Courier New"/>
          <w:sz w:val="28"/>
        </w:rPr>
        <w:t>the</w:t>
      </w:r>
      <w:r>
        <w:rPr>
          <w:rFonts w:ascii="Courier New" w:hAnsi="Courier New"/>
          <w:spacing w:val="-26"/>
          <w:sz w:val="28"/>
        </w:rPr>
        <w:t> </w:t>
      </w:r>
      <w:r>
        <w:rPr>
          <w:rFonts w:ascii="Courier New" w:hAnsi="Courier New"/>
          <w:sz w:val="28"/>
        </w:rPr>
        <w:t>strength</w:t>
      </w:r>
      <w:r>
        <w:rPr>
          <w:rFonts w:ascii="Courier New" w:hAnsi="Courier New"/>
          <w:spacing w:val="-26"/>
          <w:sz w:val="28"/>
        </w:rPr>
        <w:t> </w:t>
      </w:r>
      <w:r>
        <w:rPr>
          <w:rFonts w:ascii="Courier New" w:hAnsi="Courier New"/>
          <w:sz w:val="28"/>
        </w:rPr>
        <w:t>of</w:t>
      </w:r>
      <w:r>
        <w:rPr>
          <w:rFonts w:ascii="Courier New" w:hAnsi="Courier New"/>
          <w:spacing w:val="-25"/>
          <w:sz w:val="28"/>
        </w:rPr>
        <w:t> </w:t>
      </w:r>
      <w:r>
        <w:rPr>
          <w:rFonts w:ascii="Courier New" w:hAnsi="Courier New"/>
          <w:sz w:val="28"/>
        </w:rPr>
        <w:t>the pillar</w:t>
      </w:r>
      <w:r>
        <w:rPr>
          <w:rFonts w:ascii="Courier New" w:hAnsi="Courier New"/>
          <w:spacing w:val="-41"/>
          <w:sz w:val="28"/>
        </w:rPr>
        <w:t> </w:t>
      </w:r>
      <w:r>
        <w:rPr>
          <w:rFonts w:ascii="Courier New" w:hAnsi="Courier New"/>
          <w:sz w:val="28"/>
        </w:rPr>
        <w:t>bases.</w:t>
      </w:r>
      <w:r>
        <w:rPr>
          <w:rFonts w:ascii="Courier New" w:hAnsi="Courier New"/>
          <w:spacing w:val="90"/>
          <w:sz w:val="28"/>
        </w:rPr>
        <w:t> </w:t>
      </w:r>
      <w:r>
        <w:rPr>
          <w:rFonts w:ascii="Courier New" w:hAnsi="Courier New"/>
          <w:sz w:val="28"/>
        </w:rPr>
        <w:t>It</w:t>
      </w:r>
      <w:r>
        <w:rPr>
          <w:rFonts w:ascii="Courier New" w:hAnsi="Courier New"/>
          <w:spacing w:val="-42"/>
          <w:sz w:val="28"/>
        </w:rPr>
        <w:t> </w:t>
      </w:r>
      <w:r>
        <w:rPr>
          <w:rFonts w:ascii="Courier New" w:hAnsi="Courier New"/>
          <w:sz w:val="28"/>
        </w:rPr>
        <w:t>could</w:t>
      </w:r>
      <w:r>
        <w:rPr>
          <w:rFonts w:ascii="Courier New" w:hAnsi="Courier New"/>
          <w:spacing w:val="-41"/>
          <w:sz w:val="28"/>
        </w:rPr>
        <w:t> </w:t>
      </w:r>
      <w:r>
        <w:rPr>
          <w:rFonts w:ascii="Courier New" w:hAnsi="Courier New"/>
          <w:sz w:val="28"/>
        </w:rPr>
        <w:t>be</w:t>
      </w:r>
      <w:r>
        <w:rPr>
          <w:rFonts w:ascii="Courier New" w:hAnsi="Courier New"/>
          <w:spacing w:val="-41"/>
          <w:sz w:val="28"/>
        </w:rPr>
        <w:t> </w:t>
      </w:r>
      <w:r>
        <w:rPr>
          <w:rFonts w:ascii="Courier New" w:hAnsi="Courier New"/>
          <w:sz w:val="28"/>
        </w:rPr>
        <w:t>a</w:t>
      </w:r>
      <w:r>
        <w:rPr>
          <w:rFonts w:ascii="Courier New" w:hAnsi="Courier New"/>
          <w:spacing w:val="-42"/>
          <w:sz w:val="28"/>
        </w:rPr>
        <w:t> </w:t>
      </w:r>
      <w:r>
        <w:rPr>
          <w:rFonts w:ascii="Courier New" w:hAnsi="Courier New"/>
          <w:sz w:val="28"/>
        </w:rPr>
        <w:t>small</w:t>
      </w:r>
      <w:r>
        <w:rPr>
          <w:rFonts w:ascii="Courier New" w:hAnsi="Courier New"/>
          <w:spacing w:val="-40"/>
          <w:sz w:val="28"/>
        </w:rPr>
        <w:t> </w:t>
      </w:r>
      <w:r>
        <w:rPr>
          <w:rFonts w:ascii="Courier New" w:hAnsi="Courier New"/>
          <w:sz w:val="28"/>
        </w:rPr>
        <w:t>verandah, which</w:t>
      </w:r>
      <w:r>
        <w:rPr>
          <w:rFonts w:ascii="Courier New" w:hAnsi="Courier New"/>
          <w:spacing w:val="-41"/>
          <w:sz w:val="28"/>
        </w:rPr>
        <w:t> </w:t>
      </w:r>
      <w:r>
        <w:rPr>
          <w:rFonts w:ascii="Courier New" w:hAnsi="Courier New"/>
          <w:sz w:val="28"/>
        </w:rPr>
        <w:t>may</w:t>
      </w:r>
      <w:r>
        <w:rPr>
          <w:rFonts w:ascii="Courier New" w:hAnsi="Courier New"/>
          <w:spacing w:val="-41"/>
          <w:sz w:val="28"/>
        </w:rPr>
        <w:t> </w:t>
      </w:r>
      <w:r>
        <w:rPr>
          <w:rFonts w:ascii="Courier New" w:hAnsi="Courier New"/>
          <w:sz w:val="28"/>
        </w:rPr>
        <w:t>have</w:t>
      </w:r>
      <w:r>
        <w:rPr>
          <w:rFonts w:ascii="Courier New" w:hAnsi="Courier New"/>
          <w:spacing w:val="-38"/>
          <w:sz w:val="28"/>
        </w:rPr>
        <w:t> </w:t>
      </w:r>
      <w:r>
        <w:rPr>
          <w:rFonts w:ascii="Courier New" w:hAnsi="Courier New"/>
          <w:sz w:val="28"/>
        </w:rPr>
        <w:t>been</w:t>
      </w:r>
      <w:r>
        <w:rPr>
          <w:rFonts w:ascii="Courier New" w:hAnsi="Courier New"/>
          <w:spacing w:val="-41"/>
          <w:sz w:val="28"/>
        </w:rPr>
        <w:t> </w:t>
      </w:r>
      <w:r>
        <w:rPr>
          <w:rFonts w:ascii="Courier New" w:hAnsi="Courier New"/>
          <w:sz w:val="28"/>
        </w:rPr>
        <w:t>used</w:t>
      </w:r>
      <w:r>
        <w:rPr>
          <w:rFonts w:ascii="Courier New" w:hAnsi="Courier New"/>
          <w:spacing w:val="-41"/>
          <w:sz w:val="28"/>
        </w:rPr>
        <w:t> </w:t>
      </w:r>
      <w:r>
        <w:rPr>
          <w:rFonts w:ascii="Courier New" w:hAnsi="Courier New"/>
          <w:sz w:val="28"/>
        </w:rPr>
        <w:t>either</w:t>
      </w:r>
      <w:r>
        <w:rPr>
          <w:rFonts w:ascii="Courier New" w:hAnsi="Courier New"/>
          <w:spacing w:val="-42"/>
          <w:sz w:val="28"/>
        </w:rPr>
        <w:t> </w:t>
      </w:r>
      <w:r>
        <w:rPr>
          <w:rFonts w:ascii="Courier New" w:hAnsi="Courier New"/>
          <w:sz w:val="28"/>
        </w:rPr>
        <w:t>as</w:t>
      </w:r>
      <w:r>
        <w:rPr>
          <w:rFonts w:ascii="Courier New" w:hAnsi="Courier New"/>
          <w:spacing w:val="-41"/>
          <w:sz w:val="28"/>
        </w:rPr>
        <w:t> </w:t>
      </w:r>
      <w:r>
        <w:rPr>
          <w:rFonts w:ascii="Courier New" w:hAnsi="Courier New"/>
          <w:sz w:val="28"/>
        </w:rPr>
        <w:t>an</w:t>
      </w:r>
      <w:r>
        <w:rPr>
          <w:rFonts w:ascii="Courier New" w:hAnsi="Courier New"/>
          <w:spacing w:val="-41"/>
          <w:sz w:val="28"/>
        </w:rPr>
        <w:t> </w:t>
      </w:r>
      <w:r>
        <w:rPr>
          <w:rFonts w:ascii="Courier New" w:hAnsi="Courier New"/>
          <w:sz w:val="28"/>
        </w:rPr>
        <w:t>animal shed, or just for living purposes. Such structures are found in that area even now.”</w:t>
      </w:r>
    </w:p>
    <w:p>
      <w:pPr>
        <w:pStyle w:val="BodyText"/>
        <w:rPr>
          <w:rFonts w:ascii="Courier New"/>
          <w:sz w:val="32"/>
        </w:rPr>
      </w:pPr>
    </w:p>
    <w:p>
      <w:pPr>
        <w:pStyle w:val="ListParagraph"/>
        <w:numPr>
          <w:ilvl w:val="0"/>
          <w:numId w:val="254"/>
        </w:numPr>
        <w:tabs>
          <w:tab w:pos="868" w:val="left" w:leader="none"/>
        </w:tabs>
        <w:spacing w:line="480" w:lineRule="auto" w:before="270" w:after="0"/>
        <w:ind w:left="159" w:right="159" w:firstLine="0"/>
        <w:jc w:val="both"/>
        <w:rPr>
          <w:rFonts w:ascii="Courier New"/>
          <w:sz w:val="28"/>
        </w:rPr>
      </w:pPr>
      <w:r>
        <w:rPr>
          <w:rFonts w:ascii="Courier New"/>
          <w:sz w:val="28"/>
        </w:rPr>
        <w:t>The excavation of disputed site leaving the area on which makeshift structure was situate was carried by Archaeological Survey of India (A.S.I.) under the orders of the High Court dated 05.03.2003. The detailed report by A.S.I. has been submitted which shall be separately considered. The opinion formed by four</w:t>
      </w:r>
      <w:r>
        <w:rPr>
          <w:rFonts w:ascii="Courier New"/>
          <w:spacing w:val="-31"/>
          <w:sz w:val="28"/>
        </w:rPr>
        <w:t> </w:t>
      </w:r>
      <w:r>
        <w:rPr>
          <w:rFonts w:ascii="Courier New"/>
          <w:sz w:val="28"/>
        </w:rPr>
        <w:t>Historians</w:t>
      </w:r>
      <w:r>
        <w:rPr>
          <w:rFonts w:ascii="Courier New"/>
          <w:spacing w:val="-30"/>
          <w:sz w:val="28"/>
        </w:rPr>
        <w:t> </w:t>
      </w:r>
      <w:r>
        <w:rPr>
          <w:rFonts w:ascii="Courier New"/>
          <w:sz w:val="28"/>
        </w:rPr>
        <w:t>on</w:t>
      </w:r>
      <w:r>
        <w:rPr>
          <w:rFonts w:ascii="Courier New"/>
          <w:spacing w:val="-30"/>
          <w:sz w:val="28"/>
        </w:rPr>
        <w:t> </w:t>
      </w:r>
      <w:r>
        <w:rPr>
          <w:rFonts w:ascii="Courier New"/>
          <w:sz w:val="28"/>
        </w:rPr>
        <w:t>the</w:t>
      </w:r>
      <w:r>
        <w:rPr>
          <w:rFonts w:ascii="Courier New"/>
          <w:spacing w:val="-30"/>
          <w:sz w:val="28"/>
        </w:rPr>
        <w:t> </w:t>
      </w:r>
      <w:r>
        <w:rPr>
          <w:rFonts w:ascii="Courier New"/>
          <w:sz w:val="28"/>
        </w:rPr>
        <w:t>basis</w:t>
      </w:r>
      <w:r>
        <w:rPr>
          <w:rFonts w:ascii="Courier New"/>
          <w:spacing w:val="-30"/>
          <w:sz w:val="28"/>
        </w:rPr>
        <w:t> </w:t>
      </w:r>
      <w:r>
        <w:rPr>
          <w:rFonts w:ascii="Courier New"/>
          <w:sz w:val="28"/>
        </w:rPr>
        <w:t>of</w:t>
      </w:r>
      <w:r>
        <w:rPr>
          <w:rFonts w:ascii="Courier New"/>
          <w:spacing w:val="-30"/>
          <w:sz w:val="28"/>
        </w:rPr>
        <w:t> </w:t>
      </w:r>
      <w:r>
        <w:rPr>
          <w:rFonts w:ascii="Courier New"/>
          <w:sz w:val="28"/>
        </w:rPr>
        <w:t>certain</w:t>
      </w:r>
      <w:r>
        <w:rPr>
          <w:rFonts w:ascii="Courier New"/>
          <w:spacing w:val="-31"/>
          <w:sz w:val="28"/>
        </w:rPr>
        <w:t> </w:t>
      </w:r>
      <w:r>
        <w:rPr>
          <w:rFonts w:ascii="Courier New"/>
          <w:sz w:val="28"/>
        </w:rPr>
        <w:t>excavation</w:t>
      </w:r>
      <w:r>
        <w:rPr>
          <w:rFonts w:ascii="Courier New"/>
          <w:spacing w:val="-30"/>
          <w:sz w:val="28"/>
        </w:rPr>
        <w:t> </w:t>
      </w:r>
      <w:r>
        <w:rPr>
          <w:rFonts w:ascii="Courier New"/>
          <w:sz w:val="28"/>
        </w:rPr>
        <w:t>made by</w:t>
      </w:r>
      <w:r>
        <w:rPr>
          <w:rFonts w:ascii="Courier New"/>
          <w:spacing w:val="-21"/>
          <w:sz w:val="28"/>
        </w:rPr>
        <w:t> </w:t>
      </w:r>
      <w:r>
        <w:rPr>
          <w:rFonts w:ascii="Courier New"/>
          <w:sz w:val="28"/>
        </w:rPr>
        <w:t>Shri</w:t>
      </w:r>
      <w:r>
        <w:rPr>
          <w:rFonts w:ascii="Courier New"/>
          <w:spacing w:val="-21"/>
          <w:sz w:val="28"/>
        </w:rPr>
        <w:t> </w:t>
      </w:r>
      <w:r>
        <w:rPr>
          <w:rFonts w:ascii="Courier New"/>
          <w:sz w:val="28"/>
        </w:rPr>
        <w:t>B.B.</w:t>
      </w:r>
      <w:r>
        <w:rPr>
          <w:rFonts w:ascii="Courier New"/>
          <w:spacing w:val="-21"/>
          <w:sz w:val="28"/>
        </w:rPr>
        <w:t> </w:t>
      </w:r>
      <w:r>
        <w:rPr>
          <w:rFonts w:ascii="Courier New"/>
          <w:sz w:val="28"/>
        </w:rPr>
        <w:t>Lal</w:t>
      </w:r>
      <w:r>
        <w:rPr>
          <w:rFonts w:ascii="Courier New"/>
          <w:spacing w:val="-21"/>
          <w:sz w:val="28"/>
        </w:rPr>
        <w:t> </w:t>
      </w:r>
      <w:r>
        <w:rPr>
          <w:rFonts w:ascii="Courier New"/>
          <w:sz w:val="28"/>
        </w:rPr>
        <w:t>in</w:t>
      </w:r>
      <w:r>
        <w:rPr>
          <w:rFonts w:ascii="Courier New"/>
          <w:spacing w:val="-21"/>
          <w:sz w:val="28"/>
        </w:rPr>
        <w:t> </w:t>
      </w:r>
      <w:r>
        <w:rPr>
          <w:rFonts w:ascii="Courier New"/>
          <w:sz w:val="28"/>
        </w:rPr>
        <w:t>the</w:t>
      </w:r>
      <w:r>
        <w:rPr>
          <w:rFonts w:ascii="Courier New"/>
          <w:spacing w:val="-21"/>
          <w:sz w:val="28"/>
        </w:rPr>
        <w:t> </w:t>
      </w:r>
      <w:r>
        <w:rPr>
          <w:rFonts w:ascii="Courier New"/>
          <w:sz w:val="28"/>
        </w:rPr>
        <w:t>year</w:t>
      </w:r>
      <w:r>
        <w:rPr>
          <w:rFonts w:ascii="Courier New"/>
          <w:spacing w:val="-21"/>
          <w:sz w:val="28"/>
        </w:rPr>
        <w:t> </w:t>
      </w:r>
      <w:r>
        <w:rPr>
          <w:rFonts w:ascii="Courier New"/>
          <w:sz w:val="28"/>
        </w:rPr>
        <w:t>1975-76</w:t>
      </w:r>
      <w:r>
        <w:rPr>
          <w:rFonts w:ascii="Courier New"/>
          <w:spacing w:val="-21"/>
          <w:sz w:val="28"/>
        </w:rPr>
        <w:t> </w:t>
      </w:r>
      <w:r>
        <w:rPr>
          <w:rFonts w:ascii="Courier New"/>
          <w:sz w:val="28"/>
        </w:rPr>
        <w:t>has</w:t>
      </w:r>
      <w:r>
        <w:rPr>
          <w:rFonts w:ascii="Courier New"/>
          <w:spacing w:val="-21"/>
          <w:sz w:val="28"/>
        </w:rPr>
        <w:t> </w:t>
      </w:r>
      <w:r>
        <w:rPr>
          <w:rFonts w:ascii="Courier New"/>
          <w:sz w:val="28"/>
        </w:rPr>
        <w:t>now</w:t>
      </w:r>
      <w:r>
        <w:rPr>
          <w:rFonts w:ascii="Courier New"/>
          <w:spacing w:val="-21"/>
          <w:sz w:val="28"/>
        </w:rPr>
        <w:t> </w:t>
      </w:r>
      <w:r>
        <w:rPr>
          <w:rFonts w:ascii="Courier New"/>
          <w:sz w:val="28"/>
        </w:rPr>
        <w:t>become</w:t>
      </w:r>
      <w:r>
        <w:rPr>
          <w:rFonts w:ascii="Courier New"/>
          <w:spacing w:val="-21"/>
          <w:sz w:val="28"/>
        </w:rPr>
        <w:t> </w:t>
      </w:r>
      <w:r>
        <w:rPr>
          <w:rFonts w:ascii="Courier New"/>
          <w:sz w:val="28"/>
        </w:rPr>
        <w:t>not much relevant in view of elaborate exercises</w:t>
      </w:r>
      <w:r>
        <w:rPr>
          <w:rFonts w:ascii="Courier New"/>
          <w:spacing w:val="-69"/>
          <w:sz w:val="28"/>
        </w:rPr>
        <w:t> </w:t>
      </w:r>
      <w:r>
        <w:rPr>
          <w:rFonts w:ascii="Courier New"/>
          <w:sz w:val="28"/>
        </w:rPr>
        <w:t>conducted</w:t>
      </w:r>
    </w:p>
    <w:p>
      <w:pPr>
        <w:spacing w:after="0" w:line="480" w:lineRule="auto"/>
        <w:jc w:val="both"/>
        <w:rPr>
          <w:rFonts w:ascii="Courier New"/>
          <w:sz w:val="28"/>
        </w:rPr>
        <w:sectPr>
          <w:headerReference w:type="default" r:id="rId322"/>
          <w:footerReference w:type="default" r:id="rId323"/>
          <w:pgSz w:w="11910" w:h="16840"/>
          <w:pgMar w:header="0" w:footer="1063" w:top="1340" w:bottom="1260" w:left="1280" w:right="1280"/>
          <w:pgNumType w:start="57"/>
        </w:sectPr>
      </w:pPr>
    </w:p>
    <w:p>
      <w:pPr>
        <w:spacing w:line="480" w:lineRule="auto" w:before="86"/>
        <w:ind w:left="160" w:right="158" w:firstLine="0"/>
        <w:jc w:val="both"/>
        <w:rPr>
          <w:rFonts w:ascii="Courier New" w:hAnsi="Courier New"/>
          <w:sz w:val="28"/>
        </w:rPr>
      </w:pPr>
      <w:r>
        <w:rPr>
          <w:rFonts w:ascii="Courier New" w:hAnsi="Courier New"/>
          <w:sz w:val="28"/>
        </w:rPr>
        <w:t>by A.S.I. under the orders of High Court. Hence the Historian’s report cannot be relied due to above subsequent massive excavation conducted by A.S.I.</w:t>
      </w:r>
    </w:p>
    <w:p>
      <w:pPr>
        <w:pStyle w:val="BodyText"/>
        <w:spacing w:before="10"/>
        <w:rPr>
          <w:rFonts w:ascii="Courier New"/>
          <w:sz w:val="27"/>
        </w:rPr>
      </w:pPr>
    </w:p>
    <w:p>
      <w:pPr>
        <w:pStyle w:val="ListParagraph"/>
        <w:numPr>
          <w:ilvl w:val="0"/>
          <w:numId w:val="254"/>
        </w:numPr>
        <w:tabs>
          <w:tab w:pos="883" w:val="left" w:leader="none"/>
        </w:tabs>
        <w:spacing w:line="480" w:lineRule="auto" w:before="1" w:after="0"/>
        <w:ind w:left="160" w:right="158" w:firstLine="0"/>
        <w:jc w:val="both"/>
        <w:rPr>
          <w:rFonts w:ascii="Courier New"/>
          <w:sz w:val="28"/>
        </w:rPr>
      </w:pPr>
      <w:r>
        <w:rPr>
          <w:rFonts w:ascii="Courier New"/>
          <w:sz w:val="28"/>
        </w:rPr>
        <w:t>The submissions have been made by Dr. Dhavan in reference to book on Ayodhya by Hans Bakker. The book Ayodhya by Hans Bakker is a thesis submitted to University of Groningen by Dutch Scholar H.T. Bakker in 1984. The book has been published in 1986, which contains details which is in three parts. Three maps were also prepared of the Ayodhya including place</w:t>
      </w:r>
      <w:r>
        <w:rPr>
          <w:rFonts w:ascii="Courier New"/>
          <w:spacing w:val="-67"/>
          <w:sz w:val="28"/>
        </w:rPr>
        <w:t> </w:t>
      </w:r>
      <w:r>
        <w:rPr>
          <w:rFonts w:ascii="Courier New"/>
          <w:sz w:val="28"/>
        </w:rPr>
        <w:t>like Ram Janma Bhumi, Babri Masjid and other legends of importance. Hans Bakker in his book has elaborately considered the Ayodhya Mahatamya, which includes consideration of Ayodhya Mahatmya published by Venkateshwar Press, Mumbai as noted above as well as few manuscripts of Ayodhya Mahatmya received from different sources. He has compared the manuscripts, one received from Bodleain Library, Oxford, London, Vrindawan Research Institute, Oriental Institute Baroda and Research Institute, Jodhpur. After elaborate comparison and considering all</w:t>
      </w:r>
      <w:r>
        <w:rPr>
          <w:rFonts w:ascii="Courier New"/>
          <w:spacing w:val="102"/>
          <w:sz w:val="28"/>
        </w:rPr>
        <w:t> </w:t>
      </w:r>
      <w:r>
        <w:rPr>
          <w:rFonts w:ascii="Courier New"/>
          <w:sz w:val="28"/>
        </w:rPr>
        <w:t>relevant</w:t>
      </w:r>
    </w:p>
    <w:p>
      <w:pPr>
        <w:spacing w:after="0" w:line="480" w:lineRule="auto"/>
        <w:jc w:val="both"/>
        <w:rPr>
          <w:rFonts w:ascii="Courier New"/>
          <w:sz w:val="28"/>
        </w:rPr>
        <w:sectPr>
          <w:headerReference w:type="default" r:id="rId324"/>
          <w:footerReference w:type="default" r:id="rId325"/>
          <w:pgSz w:w="11910" w:h="16840"/>
          <w:pgMar w:header="0" w:footer="1063" w:top="1340" w:bottom="1260" w:left="1280" w:right="1280"/>
          <w:pgNumType w:start="58"/>
        </w:sectPr>
      </w:pPr>
    </w:p>
    <w:p>
      <w:pPr>
        <w:spacing w:line="480" w:lineRule="auto" w:before="86"/>
        <w:ind w:left="160" w:right="159" w:firstLine="0"/>
        <w:jc w:val="both"/>
        <w:rPr>
          <w:rFonts w:ascii="Courier New"/>
          <w:sz w:val="28"/>
        </w:rPr>
      </w:pPr>
      <w:r>
        <w:rPr>
          <w:rFonts w:ascii="Courier New"/>
          <w:sz w:val="28"/>
        </w:rPr>
        <w:t>aspects, Hans Bakker in </w:t>
      </w:r>
      <w:r>
        <w:rPr>
          <w:rFonts w:ascii="Courier New"/>
          <w:sz w:val="28"/>
          <w:u w:val="single"/>
        </w:rPr>
        <w:t>Chapter XXI</w:t>
      </w:r>
      <w:r>
        <w:rPr>
          <w:rFonts w:ascii="Courier New"/>
          <w:sz w:val="28"/>
        </w:rPr>
        <w:t> has opined that original location of the Janma Asthan is</w:t>
      </w:r>
      <w:r>
        <w:rPr>
          <w:rFonts w:ascii="Courier New"/>
          <w:spacing w:val="-69"/>
          <w:sz w:val="28"/>
        </w:rPr>
        <w:t> </w:t>
      </w:r>
      <w:r>
        <w:rPr>
          <w:rFonts w:ascii="Courier New"/>
          <w:sz w:val="28"/>
        </w:rPr>
        <w:t>comparatively certain since it seems to be attested by the</w:t>
      </w:r>
      <w:r>
        <w:rPr>
          <w:rFonts w:ascii="Courier New"/>
          <w:spacing w:val="-70"/>
          <w:sz w:val="28"/>
        </w:rPr>
        <w:t> </w:t>
      </w:r>
      <w:r>
        <w:rPr>
          <w:rFonts w:ascii="Courier New"/>
          <w:sz w:val="28"/>
        </w:rPr>
        <w:t>location. Following statement is made by Bakker:-</w:t>
      </w:r>
    </w:p>
    <w:p>
      <w:pPr>
        <w:spacing w:line="240" w:lineRule="auto" w:before="0"/>
        <w:ind w:left="1012" w:right="1245" w:firstLine="719"/>
        <w:jc w:val="both"/>
        <w:rPr>
          <w:rFonts w:ascii="Courier New" w:hAnsi="Courier New"/>
          <w:sz w:val="28"/>
        </w:rPr>
      </w:pPr>
      <w:r>
        <w:rPr>
          <w:rFonts w:ascii="Courier New" w:hAnsi="Courier New"/>
          <w:sz w:val="28"/>
        </w:rPr>
        <w:t>“Notwithstanding all the difficulties discussed above, the original location of the Janmasthana temple is comparatively certain since it seems to be attested by the location of the mosque built by Babur, in the building of which materials of a previous Hindu temple were used and are still visible. The mosque is believed by general</w:t>
      </w:r>
      <w:r>
        <w:rPr>
          <w:rFonts w:ascii="Courier New" w:hAnsi="Courier New"/>
          <w:spacing w:val="-22"/>
          <w:sz w:val="28"/>
        </w:rPr>
        <w:t> </w:t>
      </w:r>
      <w:r>
        <w:rPr>
          <w:rFonts w:ascii="Courier New" w:hAnsi="Courier New"/>
          <w:sz w:val="28"/>
        </w:rPr>
        <w:t>consensus</w:t>
      </w:r>
      <w:r>
        <w:rPr>
          <w:rFonts w:ascii="Courier New" w:hAnsi="Courier New"/>
          <w:spacing w:val="-22"/>
          <w:sz w:val="28"/>
        </w:rPr>
        <w:t> </w:t>
      </w:r>
      <w:r>
        <w:rPr>
          <w:rFonts w:ascii="Courier New" w:hAnsi="Courier New"/>
          <w:sz w:val="28"/>
        </w:rPr>
        <w:t>to</w:t>
      </w:r>
      <w:r>
        <w:rPr>
          <w:rFonts w:ascii="Courier New" w:hAnsi="Courier New"/>
          <w:spacing w:val="-22"/>
          <w:sz w:val="28"/>
        </w:rPr>
        <w:t> </w:t>
      </w:r>
      <w:r>
        <w:rPr>
          <w:rFonts w:ascii="Courier New" w:hAnsi="Courier New"/>
          <w:sz w:val="28"/>
        </w:rPr>
        <w:t>occupy</w:t>
      </w:r>
      <w:r>
        <w:rPr>
          <w:rFonts w:ascii="Courier New" w:hAnsi="Courier New"/>
          <w:spacing w:val="-22"/>
          <w:sz w:val="28"/>
        </w:rPr>
        <w:t> </w:t>
      </w:r>
      <w:r>
        <w:rPr>
          <w:rFonts w:ascii="Courier New" w:hAnsi="Courier New"/>
          <w:sz w:val="28"/>
        </w:rPr>
        <w:t>the</w:t>
      </w:r>
      <w:r>
        <w:rPr>
          <w:rFonts w:ascii="Courier New" w:hAnsi="Courier New"/>
          <w:spacing w:val="-21"/>
          <w:sz w:val="28"/>
        </w:rPr>
        <w:t> </w:t>
      </w:r>
      <w:r>
        <w:rPr>
          <w:rFonts w:ascii="Courier New" w:hAnsi="Courier New"/>
          <w:sz w:val="28"/>
        </w:rPr>
        <w:t>site</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the Janmasthana.</w:t>
      </w:r>
    </w:p>
    <w:p>
      <w:pPr>
        <w:spacing w:before="0"/>
        <w:ind w:left="1012" w:right="1245" w:firstLine="719"/>
        <w:jc w:val="both"/>
        <w:rPr>
          <w:rFonts w:ascii="Courier New" w:hAnsi="Courier New"/>
          <w:sz w:val="28"/>
        </w:rPr>
      </w:pPr>
      <w:r>
        <w:rPr>
          <w:rFonts w:ascii="Courier New" w:hAnsi="Courier New"/>
          <w:sz w:val="28"/>
        </w:rPr>
        <w:t>After the destruction of the original temple a new Janmasthana temple was built on the north side of the mosque separated from it by a street.”</w:t>
      </w:r>
    </w:p>
    <w:p>
      <w:pPr>
        <w:pStyle w:val="BodyText"/>
        <w:rPr>
          <w:rFonts w:ascii="Courier New"/>
          <w:sz w:val="32"/>
        </w:rPr>
      </w:pPr>
    </w:p>
    <w:p>
      <w:pPr>
        <w:pStyle w:val="ListParagraph"/>
        <w:numPr>
          <w:ilvl w:val="0"/>
          <w:numId w:val="254"/>
        </w:numPr>
        <w:tabs>
          <w:tab w:pos="952" w:val="left" w:leader="none"/>
        </w:tabs>
        <w:spacing w:line="480" w:lineRule="auto" w:before="272" w:after="0"/>
        <w:ind w:left="160" w:right="157" w:firstLine="0"/>
        <w:jc w:val="both"/>
        <w:rPr>
          <w:rFonts w:ascii="Courier New"/>
          <w:sz w:val="28"/>
        </w:rPr>
      </w:pPr>
      <w:r>
        <w:rPr>
          <w:rFonts w:ascii="Courier New"/>
          <w:sz w:val="28"/>
        </w:rPr>
        <w:t>As far as maps prepared after discussing the locations</w:t>
      </w:r>
      <w:r>
        <w:rPr>
          <w:rFonts w:ascii="Courier New"/>
          <w:spacing w:val="-41"/>
          <w:sz w:val="28"/>
        </w:rPr>
        <w:t> </w:t>
      </w:r>
      <w:r>
        <w:rPr>
          <w:rFonts w:ascii="Courier New"/>
          <w:sz w:val="28"/>
        </w:rPr>
        <w:t>given</w:t>
      </w:r>
      <w:r>
        <w:rPr>
          <w:rFonts w:ascii="Courier New"/>
          <w:spacing w:val="-40"/>
          <w:sz w:val="28"/>
        </w:rPr>
        <w:t> </w:t>
      </w:r>
      <w:r>
        <w:rPr>
          <w:rFonts w:ascii="Courier New"/>
          <w:sz w:val="28"/>
        </w:rPr>
        <w:t>in</w:t>
      </w:r>
      <w:r>
        <w:rPr>
          <w:rFonts w:ascii="Courier New"/>
          <w:spacing w:val="-40"/>
          <w:sz w:val="28"/>
        </w:rPr>
        <w:t> </w:t>
      </w:r>
      <w:r>
        <w:rPr>
          <w:rFonts w:ascii="Courier New"/>
          <w:sz w:val="28"/>
        </w:rPr>
        <w:t>Ayodhya</w:t>
      </w:r>
      <w:r>
        <w:rPr>
          <w:rFonts w:ascii="Courier New"/>
          <w:spacing w:val="-40"/>
          <w:sz w:val="28"/>
        </w:rPr>
        <w:t> </w:t>
      </w:r>
      <w:r>
        <w:rPr>
          <w:rFonts w:ascii="Courier New"/>
          <w:sz w:val="28"/>
        </w:rPr>
        <w:t>Mahatmya,</w:t>
      </w:r>
      <w:r>
        <w:rPr>
          <w:rFonts w:ascii="Courier New"/>
          <w:spacing w:val="-40"/>
          <w:sz w:val="28"/>
        </w:rPr>
        <w:t> </w:t>
      </w:r>
      <w:r>
        <w:rPr>
          <w:rFonts w:ascii="Courier New"/>
          <w:sz w:val="28"/>
        </w:rPr>
        <w:t>different</w:t>
      </w:r>
      <w:r>
        <w:rPr>
          <w:rFonts w:ascii="Courier New"/>
          <w:spacing w:val="-40"/>
          <w:sz w:val="28"/>
        </w:rPr>
        <w:t> </w:t>
      </w:r>
      <w:r>
        <w:rPr>
          <w:rFonts w:ascii="Courier New"/>
          <w:sz w:val="28"/>
        </w:rPr>
        <w:t>versions of Ayodhya Mahatamya including one contained in the published version from Venkateshwar Press, Mumbai, at the end, Hans Bakker concludes that the five maps containing the scared topography of Ayodhya and its ksetra according to the tradition of Ayodhya Mahatmya based on survey carried out in the autumn of 1980 and spring of 1983. In the end, he states</w:t>
      </w:r>
      <w:r>
        <w:rPr>
          <w:rFonts w:ascii="Courier New"/>
          <w:spacing w:val="-18"/>
          <w:sz w:val="28"/>
        </w:rPr>
        <w:t> </w:t>
      </w:r>
      <w:r>
        <w:rPr>
          <w:rFonts w:ascii="Courier New"/>
          <w:sz w:val="28"/>
        </w:rPr>
        <w:t>following:-</w:t>
      </w:r>
    </w:p>
    <w:p>
      <w:pPr>
        <w:spacing w:after="0" w:line="480" w:lineRule="auto"/>
        <w:jc w:val="both"/>
        <w:rPr>
          <w:rFonts w:ascii="Courier New"/>
          <w:sz w:val="28"/>
        </w:rPr>
        <w:sectPr>
          <w:headerReference w:type="default" r:id="rId326"/>
          <w:footerReference w:type="default" r:id="rId327"/>
          <w:pgSz w:w="11910" w:h="16840"/>
          <w:pgMar w:header="0" w:footer="1063" w:top="1340" w:bottom="1260" w:left="1280" w:right="1280"/>
          <w:pgNumType w:start="59"/>
        </w:sectPr>
      </w:pPr>
    </w:p>
    <w:p>
      <w:pPr>
        <w:spacing w:line="240" w:lineRule="auto" w:before="86"/>
        <w:ind w:left="1011" w:right="1244" w:firstLine="0"/>
        <w:jc w:val="both"/>
        <w:rPr>
          <w:rFonts w:ascii="Courier New" w:hAnsi="Courier New"/>
          <w:sz w:val="28"/>
        </w:rPr>
      </w:pPr>
      <w:r>
        <w:rPr>
          <w:rFonts w:ascii="Courier New" w:hAnsi="Courier New"/>
          <w:sz w:val="28"/>
        </w:rPr>
        <w:t>“The five maps enclosed present the sacred topography of Ayodhya and its ksetra according to the tradition of the Ayodhyamahatmya based on surveys carried out in the autumn of 1980 and spring of 1983. It was necessary to make a thorough revision of sheet 63 J/1 of the 1 : 50,000 series with regard to the topography of Ayodhya town (Map III, scale 1 : 10,000).”</w:t>
      </w:r>
    </w:p>
    <w:p>
      <w:pPr>
        <w:pStyle w:val="BodyText"/>
        <w:rPr>
          <w:rFonts w:ascii="Courier New"/>
          <w:sz w:val="32"/>
        </w:rPr>
      </w:pPr>
    </w:p>
    <w:p>
      <w:pPr>
        <w:pStyle w:val="ListParagraph"/>
        <w:numPr>
          <w:ilvl w:val="0"/>
          <w:numId w:val="254"/>
        </w:numPr>
        <w:tabs>
          <w:tab w:pos="883" w:val="left" w:leader="none"/>
        </w:tabs>
        <w:spacing w:line="480" w:lineRule="auto" w:before="272" w:after="0"/>
        <w:ind w:left="160" w:right="160" w:firstLine="0"/>
        <w:jc w:val="both"/>
        <w:rPr>
          <w:rFonts w:ascii="Courier New" w:hAnsi="Courier New"/>
          <w:sz w:val="28"/>
        </w:rPr>
      </w:pPr>
      <w:r>
        <w:rPr>
          <w:rFonts w:ascii="Courier New" w:hAnsi="Courier New"/>
          <w:sz w:val="28"/>
        </w:rPr>
        <w:t>To support his submission that Ayodhya is not a real city but a figment of the poet’s imagination as was observed by Hans Bakker himself, following</w:t>
      </w:r>
      <w:r>
        <w:rPr>
          <w:rFonts w:ascii="Courier New" w:hAnsi="Courier New"/>
          <w:spacing w:val="-69"/>
          <w:sz w:val="28"/>
        </w:rPr>
        <w:t> </w:t>
      </w:r>
      <w:r>
        <w:rPr>
          <w:rFonts w:ascii="Courier New" w:hAnsi="Courier New"/>
          <w:sz w:val="28"/>
        </w:rPr>
        <w:t>passage from the book is referred by Dr.</w:t>
      </w:r>
      <w:r>
        <w:rPr>
          <w:rFonts w:ascii="Courier New" w:hAnsi="Courier New"/>
          <w:spacing w:val="-11"/>
          <w:sz w:val="28"/>
        </w:rPr>
        <w:t> </w:t>
      </w:r>
      <w:r>
        <w:rPr>
          <w:rFonts w:ascii="Courier New" w:hAnsi="Courier New"/>
          <w:sz w:val="28"/>
        </w:rPr>
        <w:t>Dhavan:-</w:t>
      </w:r>
    </w:p>
    <w:p>
      <w:pPr>
        <w:spacing w:line="240" w:lineRule="auto" w:before="0"/>
        <w:ind w:left="1012" w:right="1244" w:firstLine="0"/>
        <w:jc w:val="both"/>
        <w:rPr>
          <w:rFonts w:ascii="Courier New" w:hAnsi="Courier New"/>
          <w:sz w:val="28"/>
        </w:rPr>
      </w:pPr>
      <w:r>
        <w:rPr>
          <w:rFonts w:ascii="Courier New" w:hAnsi="Courier New"/>
          <w:sz w:val="28"/>
        </w:rPr>
        <w:t>“If it has thus become clear that the town of Ayodhya only figures in literature that is predominantly legendary in character, the question of the historicity of this town may well be raised. To settle this question</w:t>
      </w:r>
      <w:r>
        <w:rPr>
          <w:rFonts w:ascii="Courier New" w:hAnsi="Courier New"/>
          <w:spacing w:val="-26"/>
          <w:sz w:val="28"/>
        </w:rPr>
        <w:t> </w:t>
      </w:r>
      <w:r>
        <w:rPr>
          <w:rFonts w:ascii="Courier New" w:hAnsi="Courier New"/>
          <w:sz w:val="28"/>
        </w:rPr>
        <w:t>we</w:t>
      </w:r>
      <w:r>
        <w:rPr>
          <w:rFonts w:ascii="Courier New" w:hAnsi="Courier New"/>
          <w:spacing w:val="-26"/>
          <w:sz w:val="28"/>
        </w:rPr>
        <w:t> </w:t>
      </w:r>
      <w:r>
        <w:rPr>
          <w:rFonts w:ascii="Courier New" w:hAnsi="Courier New"/>
          <w:sz w:val="28"/>
        </w:rPr>
        <w:t>should</w:t>
      </w:r>
      <w:r>
        <w:rPr>
          <w:rFonts w:ascii="Courier New" w:hAnsi="Courier New"/>
          <w:spacing w:val="-26"/>
          <w:sz w:val="28"/>
        </w:rPr>
        <w:t> </w:t>
      </w:r>
      <w:r>
        <w:rPr>
          <w:rFonts w:ascii="Courier New" w:hAnsi="Courier New"/>
          <w:sz w:val="28"/>
        </w:rPr>
        <w:t>first</w:t>
      </w:r>
      <w:r>
        <w:rPr>
          <w:rFonts w:ascii="Courier New" w:hAnsi="Courier New"/>
          <w:spacing w:val="-26"/>
          <w:sz w:val="28"/>
        </w:rPr>
        <w:t> </w:t>
      </w:r>
      <w:r>
        <w:rPr>
          <w:rFonts w:ascii="Courier New" w:hAnsi="Courier New"/>
          <w:sz w:val="28"/>
        </w:rPr>
        <w:t>concentrate</w:t>
      </w:r>
      <w:r>
        <w:rPr>
          <w:rFonts w:ascii="Courier New" w:hAnsi="Courier New"/>
          <w:spacing w:val="-26"/>
          <w:sz w:val="28"/>
        </w:rPr>
        <w:t> </w:t>
      </w:r>
      <w:r>
        <w:rPr>
          <w:rFonts w:ascii="Courier New" w:hAnsi="Courier New"/>
          <w:sz w:val="28"/>
        </w:rPr>
        <w:t>on</w:t>
      </w:r>
      <w:r>
        <w:rPr>
          <w:rFonts w:ascii="Courier New" w:hAnsi="Courier New"/>
          <w:spacing w:val="-26"/>
          <w:sz w:val="28"/>
        </w:rPr>
        <w:t> </w:t>
      </w:r>
      <w:r>
        <w:rPr>
          <w:rFonts w:ascii="Courier New" w:hAnsi="Courier New"/>
          <w:sz w:val="28"/>
        </w:rPr>
        <w:t>the early historical period, say up to the second century of the Christian era. The name ‘Ayodhya’ is not attested by any archaeological or epigraphical evidence relating to this</w:t>
      </w:r>
      <w:r>
        <w:rPr>
          <w:rFonts w:ascii="Courier New" w:hAnsi="Courier New"/>
          <w:spacing w:val="-5"/>
          <w:sz w:val="28"/>
        </w:rPr>
        <w:t> </w:t>
      </w:r>
      <w:r>
        <w:rPr>
          <w:rFonts w:ascii="Courier New" w:hAnsi="Courier New"/>
          <w:sz w:val="28"/>
        </w:rPr>
        <w:t>period.”</w:t>
      </w:r>
    </w:p>
    <w:p>
      <w:pPr>
        <w:pStyle w:val="BodyText"/>
        <w:rPr>
          <w:rFonts w:ascii="Courier New"/>
          <w:sz w:val="32"/>
        </w:rPr>
      </w:pPr>
    </w:p>
    <w:p>
      <w:pPr>
        <w:pStyle w:val="ListParagraph"/>
        <w:numPr>
          <w:ilvl w:val="0"/>
          <w:numId w:val="254"/>
        </w:numPr>
        <w:tabs>
          <w:tab w:pos="897" w:val="left" w:leader="none"/>
        </w:tabs>
        <w:spacing w:line="480" w:lineRule="auto" w:before="270" w:after="0"/>
        <w:ind w:left="160" w:right="160" w:firstLine="0"/>
        <w:jc w:val="both"/>
        <w:rPr>
          <w:rFonts w:ascii="Courier New" w:hAnsi="Courier New"/>
          <w:sz w:val="28"/>
        </w:rPr>
      </w:pPr>
      <w:r>
        <w:rPr>
          <w:rFonts w:ascii="Courier New" w:hAnsi="Courier New"/>
          <w:sz w:val="28"/>
        </w:rPr>
        <w:t>The above observation occurs in Chapter dealing with</w:t>
      </w:r>
      <w:r>
        <w:rPr>
          <w:rFonts w:ascii="Courier New" w:hAnsi="Courier New"/>
          <w:spacing w:val="-31"/>
          <w:sz w:val="28"/>
        </w:rPr>
        <w:t> </w:t>
      </w:r>
      <w:r>
        <w:rPr>
          <w:rFonts w:ascii="Courier New" w:hAnsi="Courier New"/>
          <w:sz w:val="28"/>
        </w:rPr>
        <w:t>the</w:t>
      </w:r>
      <w:r>
        <w:rPr>
          <w:rFonts w:ascii="Courier New" w:hAnsi="Courier New"/>
          <w:spacing w:val="-30"/>
          <w:sz w:val="28"/>
        </w:rPr>
        <w:t> </w:t>
      </w:r>
      <w:r>
        <w:rPr>
          <w:rFonts w:ascii="Courier New" w:hAnsi="Courier New"/>
          <w:sz w:val="28"/>
        </w:rPr>
        <w:t>subject</w:t>
      </w:r>
      <w:r>
        <w:rPr>
          <w:rFonts w:ascii="Courier New" w:hAnsi="Courier New"/>
          <w:spacing w:val="-30"/>
          <w:sz w:val="28"/>
        </w:rPr>
        <w:t> </w:t>
      </w:r>
      <w:r>
        <w:rPr>
          <w:rFonts w:ascii="Courier New" w:hAnsi="Courier New"/>
          <w:sz w:val="28"/>
        </w:rPr>
        <w:t>on</w:t>
      </w:r>
      <w:r>
        <w:rPr>
          <w:rFonts w:ascii="Courier New" w:hAnsi="Courier New"/>
          <w:spacing w:val="-30"/>
          <w:sz w:val="28"/>
        </w:rPr>
        <w:t> </w:t>
      </w:r>
      <w:r>
        <w:rPr>
          <w:rFonts w:ascii="Courier New" w:hAnsi="Courier New"/>
          <w:sz w:val="28"/>
        </w:rPr>
        <w:t>“History</w:t>
      </w:r>
      <w:r>
        <w:rPr>
          <w:rFonts w:ascii="Courier New" w:hAnsi="Courier New"/>
          <w:spacing w:val="-30"/>
          <w:sz w:val="28"/>
        </w:rPr>
        <w:t> </w:t>
      </w:r>
      <w:r>
        <w:rPr>
          <w:rFonts w:ascii="Courier New" w:hAnsi="Courier New"/>
          <w:sz w:val="28"/>
        </w:rPr>
        <w:t>of</w:t>
      </w:r>
      <w:r>
        <w:rPr>
          <w:rFonts w:ascii="Courier New" w:hAnsi="Courier New"/>
          <w:spacing w:val="-30"/>
          <w:sz w:val="28"/>
        </w:rPr>
        <w:t> </w:t>
      </w:r>
      <w:r>
        <w:rPr>
          <w:rFonts w:ascii="Courier New" w:hAnsi="Courier New"/>
          <w:sz w:val="28"/>
        </w:rPr>
        <w:t>Saketa/Ayodhya</w:t>
      </w:r>
      <w:r>
        <w:rPr>
          <w:rFonts w:ascii="Courier New" w:hAnsi="Courier New"/>
          <w:spacing w:val="-31"/>
          <w:sz w:val="28"/>
        </w:rPr>
        <w:t> </w:t>
      </w:r>
      <w:r>
        <w:rPr>
          <w:rFonts w:ascii="Courier New" w:hAnsi="Courier New"/>
          <w:sz w:val="28"/>
        </w:rPr>
        <w:t>from</w:t>
      </w:r>
      <w:r>
        <w:rPr>
          <w:rFonts w:ascii="Courier New" w:hAnsi="Courier New"/>
          <w:spacing w:val="-30"/>
          <w:sz w:val="28"/>
        </w:rPr>
        <w:t> </w:t>
      </w:r>
      <w:r>
        <w:rPr>
          <w:rFonts w:ascii="Courier New" w:hAnsi="Courier New"/>
          <w:sz w:val="28"/>
        </w:rPr>
        <w:t>600 BC to AD 1000”. After making the aforesaid remarks, the conclusion which was drawn by Hans Bakker is as follows:-</w:t>
      </w:r>
    </w:p>
    <w:p>
      <w:pPr>
        <w:spacing w:before="1"/>
        <w:ind w:left="1012" w:right="0" w:firstLine="0"/>
        <w:jc w:val="both"/>
        <w:rPr>
          <w:rFonts w:ascii="Courier New" w:hAnsi="Courier New"/>
          <w:sz w:val="28"/>
        </w:rPr>
      </w:pPr>
      <w:r>
        <w:rPr>
          <w:rFonts w:ascii="Courier New" w:hAnsi="Courier New"/>
          <w:sz w:val="28"/>
        </w:rPr>
        <w:t>“Hence</w:t>
      </w:r>
      <w:r>
        <w:rPr>
          <w:rFonts w:ascii="Courier New" w:hAnsi="Courier New"/>
          <w:spacing w:val="105"/>
          <w:sz w:val="28"/>
        </w:rPr>
        <w:t> </w:t>
      </w:r>
      <w:r>
        <w:rPr>
          <w:rFonts w:ascii="Courier New" w:hAnsi="Courier New"/>
          <w:sz w:val="28"/>
        </w:rPr>
        <w:t>we</w:t>
      </w:r>
      <w:r>
        <w:rPr>
          <w:rFonts w:ascii="Courier New" w:hAnsi="Courier New"/>
          <w:spacing w:val="106"/>
          <w:sz w:val="28"/>
        </w:rPr>
        <w:t> </w:t>
      </w:r>
      <w:r>
        <w:rPr>
          <w:rFonts w:ascii="Courier New" w:hAnsi="Courier New"/>
          <w:sz w:val="28"/>
        </w:rPr>
        <w:t>conclude</w:t>
      </w:r>
      <w:r>
        <w:rPr>
          <w:rFonts w:ascii="Courier New" w:hAnsi="Courier New"/>
          <w:spacing w:val="105"/>
          <w:sz w:val="28"/>
        </w:rPr>
        <w:t> </w:t>
      </w:r>
      <w:r>
        <w:rPr>
          <w:rFonts w:ascii="Courier New" w:hAnsi="Courier New"/>
          <w:sz w:val="28"/>
        </w:rPr>
        <w:t>that</w:t>
      </w:r>
      <w:r>
        <w:rPr>
          <w:rFonts w:ascii="Courier New" w:hAnsi="Courier New"/>
          <w:spacing w:val="106"/>
          <w:sz w:val="28"/>
        </w:rPr>
        <w:t> </w:t>
      </w:r>
      <w:r>
        <w:rPr>
          <w:rFonts w:ascii="Courier New" w:hAnsi="Courier New"/>
          <w:sz w:val="28"/>
        </w:rPr>
        <w:t>the</w:t>
      </w:r>
      <w:r>
        <w:rPr>
          <w:rFonts w:ascii="Courier New" w:hAnsi="Courier New"/>
          <w:spacing w:val="106"/>
          <w:sz w:val="28"/>
        </w:rPr>
        <w:t> </w:t>
      </w:r>
      <w:r>
        <w:rPr>
          <w:rFonts w:ascii="Courier New" w:hAnsi="Courier New"/>
          <w:sz w:val="28"/>
        </w:rPr>
        <w:t>information</w:t>
      </w:r>
    </w:p>
    <w:p>
      <w:pPr>
        <w:spacing w:after="0"/>
        <w:jc w:val="both"/>
        <w:rPr>
          <w:rFonts w:ascii="Courier New" w:hAnsi="Courier New"/>
          <w:sz w:val="28"/>
        </w:rPr>
        <w:sectPr>
          <w:headerReference w:type="default" r:id="rId328"/>
          <w:footerReference w:type="default" r:id="rId329"/>
          <w:pgSz w:w="11910" w:h="16840"/>
          <w:pgMar w:header="0" w:footer="1063" w:top="1340" w:bottom="1260" w:left="1280" w:right="1280"/>
          <w:pgNumType w:start="60"/>
        </w:sectPr>
      </w:pPr>
    </w:p>
    <w:p>
      <w:pPr>
        <w:spacing w:before="86"/>
        <w:ind w:left="1011" w:right="1248" w:firstLine="0"/>
        <w:jc w:val="both"/>
        <w:rPr>
          <w:rFonts w:ascii="Courier New" w:hAnsi="Courier New"/>
          <w:sz w:val="28"/>
        </w:rPr>
      </w:pPr>
      <w:r>
        <w:rPr>
          <w:rFonts w:ascii="Courier New" w:hAnsi="Courier New"/>
          <w:sz w:val="28"/>
        </w:rPr>
        <w:t>about</w:t>
      </w:r>
      <w:r>
        <w:rPr>
          <w:rFonts w:ascii="Courier New" w:hAnsi="Courier New"/>
          <w:spacing w:val="-26"/>
          <w:sz w:val="28"/>
        </w:rPr>
        <w:t> </w:t>
      </w:r>
      <w:r>
        <w:rPr>
          <w:rFonts w:ascii="Courier New" w:hAnsi="Courier New"/>
          <w:sz w:val="28"/>
        </w:rPr>
        <w:t>Ayodhya</w:t>
      </w:r>
      <w:r>
        <w:rPr>
          <w:rFonts w:ascii="Courier New" w:hAnsi="Courier New"/>
          <w:spacing w:val="-28"/>
          <w:sz w:val="28"/>
        </w:rPr>
        <w:t> </w:t>
      </w:r>
      <w:r>
        <w:rPr>
          <w:rFonts w:ascii="Courier New" w:hAnsi="Courier New"/>
          <w:sz w:val="28"/>
        </w:rPr>
        <w:t>in</w:t>
      </w:r>
      <w:r>
        <w:rPr>
          <w:rFonts w:ascii="Courier New" w:hAnsi="Courier New"/>
          <w:spacing w:val="-25"/>
          <w:sz w:val="28"/>
        </w:rPr>
        <w:t> </w:t>
      </w:r>
      <w:r>
        <w:rPr>
          <w:rFonts w:ascii="Courier New" w:hAnsi="Courier New"/>
          <w:sz w:val="28"/>
        </w:rPr>
        <w:t>early</w:t>
      </w:r>
      <w:r>
        <w:rPr>
          <w:rFonts w:ascii="Courier New" w:hAnsi="Courier New"/>
          <w:spacing w:val="-26"/>
          <w:sz w:val="28"/>
        </w:rPr>
        <w:t> </w:t>
      </w:r>
      <w:r>
        <w:rPr>
          <w:rFonts w:ascii="Courier New" w:hAnsi="Courier New"/>
          <w:sz w:val="28"/>
        </w:rPr>
        <w:t>Epic</w:t>
      </w:r>
      <w:r>
        <w:rPr>
          <w:rFonts w:ascii="Courier New" w:hAnsi="Courier New"/>
          <w:spacing w:val="-26"/>
          <w:sz w:val="28"/>
        </w:rPr>
        <w:t> </w:t>
      </w:r>
      <w:r>
        <w:rPr>
          <w:rFonts w:ascii="Courier New" w:hAnsi="Courier New"/>
          <w:sz w:val="28"/>
        </w:rPr>
        <w:t>literature</w:t>
      </w:r>
      <w:r>
        <w:rPr>
          <w:rFonts w:ascii="Courier New" w:hAnsi="Courier New"/>
          <w:spacing w:val="-25"/>
          <w:sz w:val="28"/>
        </w:rPr>
        <w:t> </w:t>
      </w:r>
      <w:r>
        <w:rPr>
          <w:rFonts w:ascii="Courier New" w:hAnsi="Courier New"/>
          <w:sz w:val="28"/>
        </w:rPr>
        <w:t>does not furnish us with historical data concerning an old city of that name, let alone of the site</w:t>
      </w:r>
      <w:r>
        <w:rPr>
          <w:rFonts w:ascii="Courier New" w:hAnsi="Courier New"/>
          <w:spacing w:val="-5"/>
          <w:sz w:val="28"/>
        </w:rPr>
        <w:t> </w:t>
      </w:r>
      <w:r>
        <w:rPr>
          <w:rFonts w:ascii="Courier New" w:hAnsi="Courier New"/>
          <w:sz w:val="28"/>
        </w:rPr>
        <w:t>AY.”</w:t>
      </w:r>
    </w:p>
    <w:p>
      <w:pPr>
        <w:pStyle w:val="BodyText"/>
        <w:rPr>
          <w:rFonts w:ascii="Courier New"/>
          <w:sz w:val="32"/>
        </w:rPr>
      </w:pPr>
    </w:p>
    <w:p>
      <w:pPr>
        <w:pStyle w:val="ListParagraph"/>
        <w:numPr>
          <w:ilvl w:val="0"/>
          <w:numId w:val="254"/>
        </w:numPr>
        <w:tabs>
          <w:tab w:pos="806" w:val="left" w:leader="none"/>
        </w:tabs>
        <w:spacing w:line="480" w:lineRule="auto" w:before="272" w:after="0"/>
        <w:ind w:left="160" w:right="158" w:firstLine="0"/>
        <w:jc w:val="both"/>
        <w:rPr>
          <w:rFonts w:ascii="Courier New" w:hAnsi="Courier New"/>
          <w:sz w:val="28"/>
        </w:rPr>
      </w:pPr>
      <w:r>
        <w:rPr>
          <w:rFonts w:ascii="Courier New" w:hAnsi="Courier New"/>
          <w:sz w:val="28"/>
        </w:rPr>
        <w:t>Hans</w:t>
      </w:r>
      <w:r>
        <w:rPr>
          <w:rFonts w:ascii="Courier New" w:hAnsi="Courier New"/>
          <w:spacing w:val="-31"/>
          <w:sz w:val="28"/>
        </w:rPr>
        <w:t> </w:t>
      </w:r>
      <w:r>
        <w:rPr>
          <w:rFonts w:ascii="Courier New" w:hAnsi="Courier New"/>
          <w:sz w:val="28"/>
        </w:rPr>
        <w:t>Bakker,</w:t>
      </w:r>
      <w:r>
        <w:rPr>
          <w:rFonts w:ascii="Courier New" w:hAnsi="Courier New"/>
          <w:spacing w:val="-30"/>
          <w:sz w:val="28"/>
        </w:rPr>
        <w:t> </w:t>
      </w:r>
      <w:r>
        <w:rPr>
          <w:rFonts w:ascii="Courier New" w:hAnsi="Courier New"/>
          <w:sz w:val="28"/>
        </w:rPr>
        <w:t>however,</w:t>
      </w:r>
      <w:r>
        <w:rPr>
          <w:rFonts w:ascii="Courier New" w:hAnsi="Courier New"/>
          <w:spacing w:val="-31"/>
          <w:sz w:val="28"/>
        </w:rPr>
        <w:t> </w:t>
      </w:r>
      <w:r>
        <w:rPr>
          <w:rFonts w:ascii="Courier New" w:hAnsi="Courier New"/>
          <w:sz w:val="28"/>
        </w:rPr>
        <w:t>when</w:t>
      </w:r>
      <w:r>
        <w:rPr>
          <w:rFonts w:ascii="Courier New" w:hAnsi="Courier New"/>
          <w:spacing w:val="-30"/>
          <w:sz w:val="28"/>
        </w:rPr>
        <w:t> </w:t>
      </w:r>
      <w:r>
        <w:rPr>
          <w:rFonts w:ascii="Courier New" w:hAnsi="Courier New"/>
          <w:sz w:val="28"/>
        </w:rPr>
        <w:t>proceeded</w:t>
      </w:r>
      <w:r>
        <w:rPr>
          <w:rFonts w:ascii="Courier New" w:hAnsi="Courier New"/>
          <w:spacing w:val="-30"/>
          <w:sz w:val="28"/>
        </w:rPr>
        <w:t> </w:t>
      </w:r>
      <w:r>
        <w:rPr>
          <w:rFonts w:ascii="Courier New" w:hAnsi="Courier New"/>
          <w:sz w:val="28"/>
        </w:rPr>
        <w:t>to</w:t>
      </w:r>
      <w:r>
        <w:rPr>
          <w:rFonts w:ascii="Courier New" w:hAnsi="Courier New"/>
          <w:spacing w:val="-31"/>
          <w:sz w:val="28"/>
        </w:rPr>
        <w:t> </w:t>
      </w:r>
      <w:r>
        <w:rPr>
          <w:rFonts w:ascii="Courier New" w:hAnsi="Courier New"/>
          <w:sz w:val="28"/>
        </w:rPr>
        <w:t>examine</w:t>
      </w:r>
      <w:r>
        <w:rPr>
          <w:rFonts w:ascii="Courier New" w:hAnsi="Courier New"/>
          <w:spacing w:val="-30"/>
          <w:sz w:val="28"/>
        </w:rPr>
        <w:t> </w:t>
      </w:r>
      <w:r>
        <w:rPr>
          <w:rFonts w:ascii="Courier New" w:hAnsi="Courier New"/>
          <w:sz w:val="28"/>
        </w:rPr>
        <w:t>the history, Bakker also considered the Jains and Baudh’s Scriptures. Bakker subsequently held that identity of Ayodhya</w:t>
      </w:r>
      <w:r>
        <w:rPr>
          <w:rFonts w:ascii="Courier New" w:hAnsi="Courier New"/>
          <w:spacing w:val="-27"/>
          <w:sz w:val="28"/>
        </w:rPr>
        <w:t> </w:t>
      </w:r>
      <w:r>
        <w:rPr>
          <w:rFonts w:ascii="Courier New" w:hAnsi="Courier New"/>
          <w:sz w:val="28"/>
        </w:rPr>
        <w:t>and</w:t>
      </w:r>
      <w:r>
        <w:rPr>
          <w:rFonts w:ascii="Courier New" w:hAnsi="Courier New"/>
          <w:spacing w:val="-26"/>
          <w:sz w:val="28"/>
        </w:rPr>
        <w:t> </w:t>
      </w:r>
      <w:r>
        <w:rPr>
          <w:rFonts w:ascii="Courier New" w:hAnsi="Courier New"/>
          <w:sz w:val="28"/>
        </w:rPr>
        <w:t>Saketa</w:t>
      </w:r>
      <w:r>
        <w:rPr>
          <w:rFonts w:ascii="Courier New" w:hAnsi="Courier New"/>
          <w:spacing w:val="-26"/>
          <w:sz w:val="28"/>
        </w:rPr>
        <w:t> </w:t>
      </w:r>
      <w:r>
        <w:rPr>
          <w:rFonts w:ascii="Courier New" w:hAnsi="Courier New"/>
          <w:sz w:val="28"/>
        </w:rPr>
        <w:t>was</w:t>
      </w:r>
      <w:r>
        <w:rPr>
          <w:rFonts w:ascii="Courier New" w:hAnsi="Courier New"/>
          <w:spacing w:val="-26"/>
          <w:sz w:val="28"/>
        </w:rPr>
        <w:t> </w:t>
      </w:r>
      <w:r>
        <w:rPr>
          <w:rFonts w:ascii="Courier New" w:hAnsi="Courier New"/>
          <w:sz w:val="28"/>
        </w:rPr>
        <w:t>started</w:t>
      </w:r>
      <w:r>
        <w:rPr>
          <w:rFonts w:ascii="Courier New" w:hAnsi="Courier New"/>
          <w:spacing w:val="-26"/>
          <w:sz w:val="28"/>
        </w:rPr>
        <w:t> </w:t>
      </w:r>
      <w:r>
        <w:rPr>
          <w:rFonts w:ascii="Courier New" w:hAnsi="Courier New"/>
          <w:sz w:val="28"/>
        </w:rPr>
        <w:t>and</w:t>
      </w:r>
      <w:r>
        <w:rPr>
          <w:rFonts w:ascii="Courier New" w:hAnsi="Courier New"/>
          <w:spacing w:val="-26"/>
          <w:sz w:val="28"/>
        </w:rPr>
        <w:t> </w:t>
      </w:r>
      <w:r>
        <w:rPr>
          <w:rFonts w:ascii="Courier New" w:hAnsi="Courier New"/>
          <w:sz w:val="28"/>
        </w:rPr>
        <w:t>completed</w:t>
      </w:r>
      <w:r>
        <w:rPr>
          <w:rFonts w:ascii="Courier New" w:hAnsi="Courier New"/>
          <w:spacing w:val="-26"/>
          <w:sz w:val="28"/>
        </w:rPr>
        <w:t> </w:t>
      </w:r>
      <w:r>
        <w:rPr>
          <w:rFonts w:ascii="Courier New" w:hAnsi="Courier New"/>
          <w:sz w:val="28"/>
        </w:rPr>
        <w:t>in</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age of Guptas. The further observations made in the book, which is to the following</w:t>
      </w:r>
      <w:r>
        <w:rPr>
          <w:rFonts w:ascii="Courier New" w:hAnsi="Courier New"/>
          <w:spacing w:val="-7"/>
          <w:sz w:val="28"/>
        </w:rPr>
        <w:t> </w:t>
      </w:r>
      <w:r>
        <w:rPr>
          <w:rFonts w:ascii="Courier New" w:hAnsi="Courier New"/>
          <w:sz w:val="28"/>
        </w:rPr>
        <w:t>effect:-</w:t>
      </w:r>
    </w:p>
    <w:p>
      <w:pPr>
        <w:spacing w:line="240" w:lineRule="auto" w:before="0"/>
        <w:ind w:left="1011" w:right="1244" w:firstLine="0"/>
        <w:jc w:val="both"/>
        <w:rPr>
          <w:rFonts w:ascii="Courier New" w:hAnsi="Courier New"/>
          <w:sz w:val="28"/>
        </w:rPr>
      </w:pPr>
      <w:r>
        <w:rPr>
          <w:rFonts w:ascii="Courier New" w:hAnsi="Courier New"/>
          <w:sz w:val="28"/>
        </w:rPr>
        <w:t>“The reification of the realm of saga finally resulted in a general acknowledgment of the identity of Ayodhya and Saketa, that is the site AY, a process which was completed in the age of the Guptas. That the identification was not yet universally acknowledged during the rule of the early Guptas seems to follow from some Purana texts in which the Gupta rulers are credited with sovereignty over the real Saketa rather than over the marvelous</w:t>
      </w:r>
      <w:r>
        <w:rPr>
          <w:rFonts w:ascii="Courier New" w:hAnsi="Courier New"/>
          <w:spacing w:val="-2"/>
          <w:sz w:val="28"/>
        </w:rPr>
        <w:t> </w:t>
      </w:r>
      <w:r>
        <w:rPr>
          <w:rFonts w:ascii="Courier New" w:hAnsi="Courier New"/>
          <w:sz w:val="28"/>
        </w:rPr>
        <w:t>Ayodhya.</w:t>
      </w:r>
    </w:p>
    <w:p>
      <w:pPr>
        <w:spacing w:before="0"/>
        <w:ind w:left="1011" w:right="1244" w:firstLine="566"/>
        <w:jc w:val="both"/>
        <w:rPr>
          <w:rFonts w:ascii="Courier New"/>
          <w:sz w:val="28"/>
        </w:rPr>
      </w:pPr>
      <w:r>
        <w:rPr>
          <w:rFonts w:ascii="Courier New"/>
          <w:sz w:val="28"/>
        </w:rPr>
        <w:t>The identification of Ayodhya with Saketa during this period is not only attested in the Jaina sources but also in Sanskrit</w:t>
      </w:r>
      <w:r>
        <w:rPr>
          <w:rFonts w:ascii="Courier New"/>
          <w:spacing w:val="70"/>
          <w:sz w:val="28"/>
        </w:rPr>
        <w:t> </w:t>
      </w:r>
      <w:r>
        <w:rPr>
          <w:rFonts w:ascii="Courier New"/>
          <w:sz w:val="28"/>
        </w:rPr>
        <w:t>saga</w:t>
      </w:r>
      <w:r>
        <w:rPr>
          <w:rFonts w:ascii="Courier New"/>
          <w:spacing w:val="70"/>
          <w:sz w:val="28"/>
        </w:rPr>
        <w:t> </w:t>
      </w:r>
      <w:r>
        <w:rPr>
          <w:rFonts w:ascii="Courier New"/>
          <w:sz w:val="28"/>
        </w:rPr>
        <w:t>to</w:t>
      </w:r>
      <w:r>
        <w:rPr>
          <w:rFonts w:ascii="Courier New"/>
          <w:spacing w:val="70"/>
          <w:sz w:val="28"/>
        </w:rPr>
        <w:t> </w:t>
      </w:r>
      <w:r>
        <w:rPr>
          <w:rFonts w:ascii="Courier New"/>
          <w:sz w:val="28"/>
        </w:rPr>
        <w:t>wit</w:t>
      </w:r>
      <w:r>
        <w:rPr>
          <w:rFonts w:ascii="Courier New"/>
          <w:spacing w:val="70"/>
          <w:sz w:val="28"/>
        </w:rPr>
        <w:t> </w:t>
      </w:r>
      <w:r>
        <w:rPr>
          <w:rFonts w:ascii="Courier New"/>
          <w:sz w:val="28"/>
        </w:rPr>
        <w:t>the</w:t>
      </w:r>
      <w:r>
        <w:rPr>
          <w:rFonts w:ascii="Courier New"/>
          <w:spacing w:val="68"/>
          <w:sz w:val="28"/>
        </w:rPr>
        <w:t> </w:t>
      </w:r>
      <w:r>
        <w:rPr>
          <w:rFonts w:ascii="Courier New"/>
          <w:sz w:val="28"/>
        </w:rPr>
        <w:t>Brahmandapurana</w:t>
      </w:r>
    </w:p>
    <w:p>
      <w:pPr>
        <w:spacing w:line="240" w:lineRule="auto" w:before="0"/>
        <w:ind w:left="1011" w:right="1242" w:firstLine="0"/>
        <w:jc w:val="both"/>
        <w:rPr>
          <w:rFonts w:ascii="Courier New" w:hAnsi="Courier New"/>
          <w:sz w:val="28"/>
        </w:rPr>
      </w:pPr>
      <w:r>
        <w:rPr>
          <w:rFonts w:ascii="Courier New" w:hAnsi="Courier New"/>
          <w:sz w:val="28"/>
        </w:rPr>
        <w:t>3.54.54 (Cp. Op.cit.3.54.5), and most consistently in Kalidasa’s Raghuvamsa. It is only from the period when the name Ayodhya was used to denote an existing township that we may expect to find corroborative archaeological evidence. Such testimony is indeed found among the inscriptions of the later Guptas (5</w:t>
      </w:r>
      <w:r>
        <w:rPr>
          <w:rFonts w:ascii="Courier New" w:hAnsi="Courier New"/>
          <w:position w:val="8"/>
          <w:sz w:val="18"/>
        </w:rPr>
        <w:t>th</w:t>
      </w:r>
      <w:r>
        <w:rPr>
          <w:rFonts w:ascii="Courier New" w:hAnsi="Courier New"/>
          <w:sz w:val="18"/>
        </w:rPr>
        <w:t> </w:t>
      </w:r>
      <w:r>
        <w:rPr>
          <w:rFonts w:ascii="Courier New" w:hAnsi="Courier New"/>
          <w:sz w:val="28"/>
        </w:rPr>
        <w:t>century):</w:t>
      </w:r>
      <w:r>
        <w:rPr>
          <w:rFonts w:ascii="Courier New" w:hAnsi="Courier New"/>
          <w:spacing w:val="70"/>
          <w:sz w:val="28"/>
        </w:rPr>
        <w:t> </w:t>
      </w:r>
      <w:r>
        <w:rPr>
          <w:rFonts w:ascii="Courier New" w:hAnsi="Courier New"/>
          <w:sz w:val="28"/>
        </w:rPr>
        <w:t>an</w:t>
      </w:r>
      <w:r>
        <w:rPr>
          <w:rFonts w:ascii="Courier New" w:hAnsi="Courier New"/>
          <w:spacing w:val="70"/>
          <w:sz w:val="28"/>
        </w:rPr>
        <w:t> </w:t>
      </w:r>
      <w:r>
        <w:rPr>
          <w:rFonts w:ascii="Courier New" w:hAnsi="Courier New"/>
          <w:sz w:val="28"/>
        </w:rPr>
        <w:t>inscription</w:t>
      </w:r>
      <w:r>
        <w:rPr>
          <w:rFonts w:ascii="Courier New" w:hAnsi="Courier New"/>
          <w:spacing w:val="70"/>
          <w:sz w:val="28"/>
        </w:rPr>
        <w:t> </w:t>
      </w:r>
      <w:r>
        <w:rPr>
          <w:rFonts w:ascii="Courier New" w:hAnsi="Courier New"/>
          <w:sz w:val="28"/>
        </w:rPr>
        <w:t>dealing</w:t>
      </w:r>
      <w:r>
        <w:rPr>
          <w:rFonts w:ascii="Courier New" w:hAnsi="Courier New"/>
          <w:spacing w:val="70"/>
          <w:sz w:val="28"/>
        </w:rPr>
        <w:t> </w:t>
      </w:r>
      <w:r>
        <w:rPr>
          <w:rFonts w:ascii="Courier New" w:hAnsi="Courier New"/>
          <w:sz w:val="28"/>
        </w:rPr>
        <w:t>from</w:t>
      </w:r>
      <w:r>
        <w:rPr>
          <w:rFonts w:ascii="Courier New" w:hAnsi="Courier New"/>
          <w:spacing w:val="70"/>
          <w:sz w:val="28"/>
        </w:rPr>
        <w:t> </w:t>
      </w:r>
      <w:r>
        <w:rPr>
          <w:rFonts w:ascii="Courier New" w:hAnsi="Courier New"/>
          <w:sz w:val="28"/>
        </w:rPr>
        <w:t>AD</w:t>
      </w:r>
    </w:p>
    <w:p>
      <w:pPr>
        <w:spacing w:after="0" w:line="240" w:lineRule="auto"/>
        <w:jc w:val="both"/>
        <w:rPr>
          <w:rFonts w:ascii="Courier New" w:hAnsi="Courier New"/>
          <w:sz w:val="28"/>
        </w:rPr>
        <w:sectPr>
          <w:headerReference w:type="default" r:id="rId330"/>
          <w:footerReference w:type="default" r:id="rId331"/>
          <w:pgSz w:w="11910" w:h="16840"/>
          <w:pgMar w:header="0" w:footer="1063" w:top="1340" w:bottom="1260" w:left="1280" w:right="1280"/>
          <w:pgNumType w:start="61"/>
        </w:sectPr>
      </w:pPr>
    </w:p>
    <w:p>
      <w:pPr>
        <w:spacing w:line="240" w:lineRule="auto" w:before="86"/>
        <w:ind w:left="1011" w:right="1242" w:firstLine="0"/>
        <w:jc w:val="both"/>
        <w:rPr>
          <w:rFonts w:ascii="Courier New" w:hAnsi="Courier New"/>
          <w:sz w:val="28"/>
        </w:rPr>
      </w:pPr>
      <w:r>
        <w:rPr>
          <w:rFonts w:ascii="Courier New" w:hAnsi="Courier New"/>
          <w:sz w:val="28"/>
        </w:rPr>
        <w:t>436 describes the donees of a gift as ‘Brahmins hailing from Ayodhya’. A Gupta inscription</w:t>
      </w:r>
      <w:r>
        <w:rPr>
          <w:rFonts w:ascii="Courier New" w:hAnsi="Courier New"/>
          <w:spacing w:val="-26"/>
          <w:sz w:val="28"/>
        </w:rPr>
        <w:t> </w:t>
      </w:r>
      <w:r>
        <w:rPr>
          <w:rFonts w:ascii="Courier New" w:hAnsi="Courier New"/>
          <w:sz w:val="28"/>
        </w:rPr>
        <w:t>of</w:t>
      </w:r>
      <w:r>
        <w:rPr>
          <w:rFonts w:ascii="Courier New" w:hAnsi="Courier New"/>
          <w:spacing w:val="-25"/>
          <w:sz w:val="28"/>
        </w:rPr>
        <w:t> </w:t>
      </w:r>
      <w:r>
        <w:rPr>
          <w:rFonts w:ascii="Courier New" w:hAnsi="Courier New"/>
          <w:sz w:val="28"/>
        </w:rPr>
        <w:t>AD</w:t>
      </w:r>
      <w:r>
        <w:rPr>
          <w:rFonts w:ascii="Courier New" w:hAnsi="Courier New"/>
          <w:spacing w:val="-26"/>
          <w:sz w:val="28"/>
        </w:rPr>
        <w:t> </w:t>
      </w:r>
      <w:r>
        <w:rPr>
          <w:rFonts w:ascii="Courier New" w:hAnsi="Courier New"/>
          <w:sz w:val="28"/>
        </w:rPr>
        <w:t>533/4</w:t>
      </w:r>
      <w:r>
        <w:rPr>
          <w:rFonts w:ascii="Courier New" w:hAnsi="Courier New"/>
          <w:spacing w:val="-25"/>
          <w:sz w:val="28"/>
        </w:rPr>
        <w:t> </w:t>
      </w:r>
      <w:r>
        <w:rPr>
          <w:rFonts w:ascii="Courier New" w:hAnsi="Courier New"/>
          <w:sz w:val="28"/>
        </w:rPr>
        <w:t>mentions</w:t>
      </w:r>
      <w:r>
        <w:rPr>
          <w:rFonts w:ascii="Courier New" w:hAnsi="Courier New"/>
          <w:spacing w:val="-26"/>
          <w:sz w:val="28"/>
        </w:rPr>
        <w:t> </w:t>
      </w:r>
      <w:r>
        <w:rPr>
          <w:rFonts w:ascii="Courier New" w:hAnsi="Courier New"/>
          <w:sz w:val="28"/>
        </w:rPr>
        <w:t>a</w:t>
      </w:r>
      <w:r>
        <w:rPr>
          <w:rFonts w:ascii="Courier New" w:hAnsi="Courier New"/>
          <w:spacing w:val="-25"/>
          <w:sz w:val="28"/>
        </w:rPr>
        <w:t> </w:t>
      </w:r>
      <w:r>
        <w:rPr>
          <w:rFonts w:ascii="Courier New" w:hAnsi="Courier New"/>
          <w:sz w:val="28"/>
        </w:rPr>
        <w:t>nobleman from</w:t>
      </w:r>
      <w:r>
        <w:rPr>
          <w:rFonts w:ascii="Courier New" w:hAnsi="Courier New"/>
          <w:spacing w:val="-32"/>
          <w:sz w:val="28"/>
        </w:rPr>
        <w:t> </w:t>
      </w:r>
      <w:r>
        <w:rPr>
          <w:rFonts w:ascii="Courier New" w:hAnsi="Courier New"/>
          <w:sz w:val="28"/>
        </w:rPr>
        <w:t>Ayodhya.</w:t>
      </w:r>
      <w:r>
        <w:rPr>
          <w:rFonts w:ascii="Courier New" w:hAnsi="Courier New"/>
          <w:spacing w:val="-31"/>
          <w:sz w:val="28"/>
        </w:rPr>
        <w:t> </w:t>
      </w:r>
      <w:r>
        <w:rPr>
          <w:rFonts w:ascii="Courier New" w:hAnsi="Courier New"/>
          <w:sz w:val="28"/>
        </w:rPr>
        <w:t>The</w:t>
      </w:r>
      <w:r>
        <w:rPr>
          <w:rFonts w:ascii="Courier New" w:hAnsi="Courier New"/>
          <w:spacing w:val="-31"/>
          <w:sz w:val="28"/>
        </w:rPr>
        <w:t> </w:t>
      </w:r>
      <w:r>
        <w:rPr>
          <w:rFonts w:ascii="Courier New" w:hAnsi="Courier New"/>
          <w:sz w:val="28"/>
        </w:rPr>
        <w:t>spurious</w:t>
      </w:r>
      <w:r>
        <w:rPr>
          <w:rFonts w:ascii="Courier New" w:hAnsi="Courier New"/>
          <w:spacing w:val="-31"/>
          <w:sz w:val="28"/>
        </w:rPr>
        <w:t> </w:t>
      </w:r>
      <w:r>
        <w:rPr>
          <w:rFonts w:ascii="Courier New" w:hAnsi="Courier New"/>
          <w:sz w:val="28"/>
        </w:rPr>
        <w:t>Gaya</w:t>
      </w:r>
      <w:r>
        <w:rPr>
          <w:rFonts w:ascii="Courier New" w:hAnsi="Courier New"/>
          <w:spacing w:val="-31"/>
          <w:sz w:val="28"/>
        </w:rPr>
        <w:t> </w:t>
      </w:r>
      <w:r>
        <w:rPr>
          <w:rFonts w:ascii="Courier New" w:hAnsi="Courier New"/>
          <w:sz w:val="28"/>
        </w:rPr>
        <w:t>copperplate inscription of Samudragupta, probably a fabrication of the beginning of the 8</w:t>
      </w:r>
      <w:r>
        <w:rPr>
          <w:rFonts w:ascii="Courier New" w:hAnsi="Courier New"/>
          <w:position w:val="8"/>
          <w:sz w:val="18"/>
        </w:rPr>
        <w:t>th</w:t>
      </w:r>
      <w:r>
        <w:rPr>
          <w:rFonts w:ascii="Courier New" w:hAnsi="Courier New"/>
          <w:sz w:val="18"/>
        </w:rPr>
        <w:t> </w:t>
      </w:r>
      <w:r>
        <w:rPr>
          <w:rFonts w:ascii="Courier New" w:hAnsi="Courier New"/>
          <w:sz w:val="28"/>
        </w:rPr>
        <w:t>century, describes Ayodhya as a garrison town.”</w:t>
      </w:r>
    </w:p>
    <w:p>
      <w:pPr>
        <w:pStyle w:val="BodyText"/>
        <w:rPr>
          <w:rFonts w:ascii="Courier New"/>
          <w:sz w:val="32"/>
        </w:rPr>
      </w:pPr>
    </w:p>
    <w:p>
      <w:pPr>
        <w:pStyle w:val="ListParagraph"/>
        <w:numPr>
          <w:ilvl w:val="0"/>
          <w:numId w:val="254"/>
        </w:numPr>
        <w:tabs>
          <w:tab w:pos="890" w:val="left" w:leader="none"/>
        </w:tabs>
        <w:spacing w:line="480" w:lineRule="auto" w:before="273" w:after="0"/>
        <w:ind w:left="160" w:right="157" w:firstLine="0"/>
        <w:jc w:val="both"/>
        <w:rPr>
          <w:rFonts w:ascii="Courier New"/>
          <w:sz w:val="28"/>
        </w:rPr>
      </w:pPr>
      <w:r>
        <w:rPr>
          <w:rFonts w:ascii="Courier New"/>
          <w:sz w:val="28"/>
        </w:rPr>
        <w:t>Thus, identity of Ayodhya has been attested and corroborated by Sanskrit Scriptures and the corroboration from the later Gupta period. Thus, the earlier observation made was only to the effect that Ayodhya is not attested by any epic literature, but once it was identified by author himself, the earlier observation</w:t>
      </w:r>
      <w:r>
        <w:rPr>
          <w:rFonts w:ascii="Courier New"/>
          <w:spacing w:val="-35"/>
          <w:sz w:val="28"/>
        </w:rPr>
        <w:t> </w:t>
      </w:r>
      <w:r>
        <w:rPr>
          <w:rFonts w:ascii="Courier New"/>
          <w:sz w:val="28"/>
        </w:rPr>
        <w:t>loses</w:t>
      </w:r>
      <w:r>
        <w:rPr>
          <w:rFonts w:ascii="Courier New"/>
          <w:spacing w:val="-34"/>
          <w:sz w:val="28"/>
        </w:rPr>
        <w:t> </w:t>
      </w:r>
      <w:r>
        <w:rPr>
          <w:rFonts w:ascii="Courier New"/>
          <w:sz w:val="28"/>
        </w:rPr>
        <w:t>its</w:t>
      </w:r>
      <w:r>
        <w:rPr>
          <w:rFonts w:ascii="Courier New"/>
          <w:spacing w:val="-34"/>
          <w:sz w:val="28"/>
        </w:rPr>
        <w:t> </w:t>
      </w:r>
      <w:r>
        <w:rPr>
          <w:rFonts w:ascii="Courier New"/>
          <w:sz w:val="28"/>
        </w:rPr>
        <w:t>importance.</w:t>
      </w:r>
      <w:r>
        <w:rPr>
          <w:rFonts w:ascii="Courier New"/>
          <w:spacing w:val="-34"/>
          <w:sz w:val="28"/>
        </w:rPr>
        <w:t> </w:t>
      </w:r>
      <w:r>
        <w:rPr>
          <w:rFonts w:ascii="Courier New"/>
          <w:sz w:val="28"/>
        </w:rPr>
        <w:t>As</w:t>
      </w:r>
      <w:r>
        <w:rPr>
          <w:rFonts w:ascii="Courier New"/>
          <w:spacing w:val="-34"/>
          <w:sz w:val="28"/>
        </w:rPr>
        <w:t> </w:t>
      </w:r>
      <w:r>
        <w:rPr>
          <w:rFonts w:ascii="Courier New"/>
          <w:sz w:val="28"/>
        </w:rPr>
        <w:t>far</w:t>
      </w:r>
      <w:r>
        <w:rPr>
          <w:rFonts w:ascii="Courier New"/>
          <w:spacing w:val="-34"/>
          <w:sz w:val="28"/>
        </w:rPr>
        <w:t> </w:t>
      </w:r>
      <w:r>
        <w:rPr>
          <w:rFonts w:ascii="Courier New"/>
          <w:sz w:val="28"/>
        </w:rPr>
        <w:t>as</w:t>
      </w:r>
      <w:r>
        <w:rPr>
          <w:rFonts w:ascii="Courier New"/>
          <w:spacing w:val="-32"/>
          <w:sz w:val="28"/>
        </w:rPr>
        <w:t> </w:t>
      </w:r>
      <w:r>
        <w:rPr>
          <w:rFonts w:ascii="Courier New"/>
          <w:sz w:val="28"/>
        </w:rPr>
        <w:t>observation of Bakker in which he equated the Ayodhya to the city of Saketa, no exception can be taken. Saketa and Ayodhya has been used as synonyms in other scriptures as</w:t>
      </w:r>
      <w:r>
        <w:rPr>
          <w:rFonts w:ascii="Courier New"/>
          <w:spacing w:val="-27"/>
          <w:sz w:val="28"/>
        </w:rPr>
        <w:t> </w:t>
      </w:r>
      <w:r>
        <w:rPr>
          <w:rFonts w:ascii="Courier New"/>
          <w:sz w:val="28"/>
        </w:rPr>
        <w:t>well</w:t>
      </w:r>
      <w:r>
        <w:rPr>
          <w:rFonts w:ascii="Courier New"/>
          <w:spacing w:val="-26"/>
          <w:sz w:val="28"/>
        </w:rPr>
        <w:t> </w:t>
      </w:r>
      <w:r>
        <w:rPr>
          <w:rFonts w:ascii="Courier New"/>
          <w:sz w:val="28"/>
        </w:rPr>
        <w:t>as</w:t>
      </w:r>
      <w:r>
        <w:rPr>
          <w:rFonts w:ascii="Courier New"/>
          <w:spacing w:val="-26"/>
          <w:sz w:val="28"/>
        </w:rPr>
        <w:t> </w:t>
      </w:r>
      <w:r>
        <w:rPr>
          <w:rFonts w:ascii="Courier New"/>
          <w:sz w:val="28"/>
        </w:rPr>
        <w:t>historians.</w:t>
      </w:r>
      <w:r>
        <w:rPr>
          <w:rFonts w:ascii="Courier New"/>
          <w:spacing w:val="-27"/>
          <w:sz w:val="28"/>
        </w:rPr>
        <w:t> </w:t>
      </w:r>
      <w:r>
        <w:rPr>
          <w:rFonts w:ascii="Courier New"/>
          <w:sz w:val="28"/>
        </w:rPr>
        <w:t>With</w:t>
      </w:r>
      <w:r>
        <w:rPr>
          <w:rFonts w:ascii="Courier New"/>
          <w:spacing w:val="-26"/>
          <w:sz w:val="28"/>
        </w:rPr>
        <w:t> </w:t>
      </w:r>
      <w:r>
        <w:rPr>
          <w:rFonts w:ascii="Courier New"/>
          <w:sz w:val="28"/>
        </w:rPr>
        <w:t>regard</w:t>
      </w:r>
      <w:r>
        <w:rPr>
          <w:rFonts w:ascii="Courier New"/>
          <w:spacing w:val="-26"/>
          <w:sz w:val="28"/>
        </w:rPr>
        <w:t> </w:t>
      </w:r>
      <w:r>
        <w:rPr>
          <w:rFonts w:ascii="Courier New"/>
          <w:sz w:val="28"/>
        </w:rPr>
        <w:t>to</w:t>
      </w:r>
      <w:r>
        <w:rPr>
          <w:rFonts w:ascii="Courier New"/>
          <w:spacing w:val="-27"/>
          <w:sz w:val="28"/>
        </w:rPr>
        <w:t> </w:t>
      </w:r>
      <w:r>
        <w:rPr>
          <w:rFonts w:ascii="Courier New"/>
          <w:sz w:val="28"/>
        </w:rPr>
        <w:t>map</w:t>
      </w:r>
      <w:r>
        <w:rPr>
          <w:rFonts w:ascii="Courier New"/>
          <w:spacing w:val="-26"/>
          <w:sz w:val="28"/>
        </w:rPr>
        <w:t> </w:t>
      </w:r>
      <w:r>
        <w:rPr>
          <w:rFonts w:ascii="Courier New"/>
          <w:sz w:val="28"/>
        </w:rPr>
        <w:t>of</w:t>
      </w:r>
      <w:r>
        <w:rPr>
          <w:rFonts w:ascii="Courier New"/>
          <w:spacing w:val="-24"/>
          <w:sz w:val="28"/>
        </w:rPr>
        <w:t> </w:t>
      </w:r>
      <w:r>
        <w:rPr>
          <w:rFonts w:ascii="Courier New"/>
          <w:sz w:val="28"/>
        </w:rPr>
        <w:t>birthplace after considering the entire materials, Hans Bakker attests the location of birthplace. The conclusions arrived by Hans Bakker cannot be said to be based on surmises or</w:t>
      </w:r>
      <w:r>
        <w:rPr>
          <w:rFonts w:ascii="Courier New"/>
          <w:spacing w:val="-3"/>
          <w:sz w:val="28"/>
        </w:rPr>
        <w:t> </w:t>
      </w:r>
      <w:r>
        <w:rPr>
          <w:rFonts w:ascii="Courier New"/>
          <w:sz w:val="28"/>
        </w:rPr>
        <w:t>conjectures.</w:t>
      </w:r>
    </w:p>
    <w:p>
      <w:pPr>
        <w:pStyle w:val="BodyText"/>
        <w:spacing w:before="10"/>
        <w:rPr>
          <w:rFonts w:ascii="Courier New"/>
          <w:sz w:val="27"/>
        </w:rPr>
      </w:pPr>
    </w:p>
    <w:p>
      <w:pPr>
        <w:pStyle w:val="ListParagraph"/>
        <w:numPr>
          <w:ilvl w:val="0"/>
          <w:numId w:val="254"/>
        </w:numPr>
        <w:tabs>
          <w:tab w:pos="808" w:val="left" w:leader="none"/>
        </w:tabs>
        <w:spacing w:line="240" w:lineRule="auto" w:before="0" w:after="0"/>
        <w:ind w:left="807" w:right="0" w:hanging="648"/>
        <w:jc w:val="both"/>
        <w:rPr>
          <w:rFonts w:ascii="Courier New"/>
          <w:sz w:val="28"/>
        </w:rPr>
      </w:pPr>
      <w:r>
        <w:rPr>
          <w:rFonts w:ascii="Courier New"/>
          <w:sz w:val="28"/>
        </w:rPr>
        <w:t>One</w:t>
      </w:r>
      <w:r>
        <w:rPr>
          <w:rFonts w:ascii="Courier New"/>
          <w:spacing w:val="-27"/>
          <w:sz w:val="28"/>
        </w:rPr>
        <w:t> </w:t>
      </w:r>
      <w:r>
        <w:rPr>
          <w:rFonts w:ascii="Courier New"/>
          <w:sz w:val="28"/>
        </w:rPr>
        <w:t>more</w:t>
      </w:r>
      <w:r>
        <w:rPr>
          <w:rFonts w:ascii="Courier New"/>
          <w:spacing w:val="-26"/>
          <w:sz w:val="28"/>
        </w:rPr>
        <w:t> </w:t>
      </w:r>
      <w:r>
        <w:rPr>
          <w:rFonts w:ascii="Courier New"/>
          <w:sz w:val="28"/>
        </w:rPr>
        <w:t>aspect</w:t>
      </w:r>
      <w:r>
        <w:rPr>
          <w:rFonts w:ascii="Courier New"/>
          <w:spacing w:val="-27"/>
          <w:sz w:val="28"/>
        </w:rPr>
        <w:t> </w:t>
      </w:r>
      <w:r>
        <w:rPr>
          <w:rFonts w:ascii="Courier New"/>
          <w:sz w:val="28"/>
        </w:rPr>
        <w:t>relevant</w:t>
      </w:r>
      <w:r>
        <w:rPr>
          <w:rFonts w:ascii="Courier New"/>
          <w:spacing w:val="-24"/>
          <w:sz w:val="28"/>
        </w:rPr>
        <w:t> </w:t>
      </w:r>
      <w:r>
        <w:rPr>
          <w:rFonts w:ascii="Courier New"/>
          <w:sz w:val="28"/>
        </w:rPr>
        <w:t>for</w:t>
      </w:r>
      <w:r>
        <w:rPr>
          <w:rFonts w:ascii="Courier New"/>
          <w:spacing w:val="-27"/>
          <w:sz w:val="28"/>
        </w:rPr>
        <w:t> </w:t>
      </w:r>
      <w:r>
        <w:rPr>
          <w:rFonts w:ascii="Courier New"/>
          <w:sz w:val="28"/>
        </w:rPr>
        <w:t>the</w:t>
      </w:r>
      <w:r>
        <w:rPr>
          <w:rFonts w:ascii="Courier New"/>
          <w:spacing w:val="-26"/>
          <w:sz w:val="28"/>
        </w:rPr>
        <w:t> </w:t>
      </w:r>
      <w:r>
        <w:rPr>
          <w:rFonts w:ascii="Courier New"/>
          <w:sz w:val="28"/>
        </w:rPr>
        <w:t>period</w:t>
      </w:r>
      <w:r>
        <w:rPr>
          <w:rFonts w:ascii="Courier New"/>
          <w:spacing w:val="-25"/>
          <w:sz w:val="28"/>
        </w:rPr>
        <w:t> </w:t>
      </w:r>
      <w:r>
        <w:rPr>
          <w:rFonts w:ascii="Courier New"/>
          <w:sz w:val="28"/>
        </w:rPr>
        <w:t>in</w:t>
      </w:r>
      <w:r>
        <w:rPr>
          <w:rFonts w:ascii="Courier New"/>
          <w:spacing w:val="-26"/>
          <w:sz w:val="28"/>
        </w:rPr>
        <w:t> </w:t>
      </w:r>
      <w:r>
        <w:rPr>
          <w:rFonts w:ascii="Courier New"/>
          <w:sz w:val="28"/>
        </w:rPr>
        <w:t>question</w:t>
      </w:r>
    </w:p>
    <w:p>
      <w:pPr>
        <w:spacing w:after="0" w:line="240" w:lineRule="auto"/>
        <w:jc w:val="both"/>
        <w:rPr>
          <w:rFonts w:ascii="Courier New"/>
          <w:sz w:val="28"/>
        </w:rPr>
        <w:sectPr>
          <w:headerReference w:type="default" r:id="rId332"/>
          <w:footerReference w:type="default" r:id="rId333"/>
          <w:pgSz w:w="11910" w:h="16840"/>
          <w:pgMar w:header="0" w:footer="1063" w:top="1340" w:bottom="1260" w:left="1280" w:right="1280"/>
          <w:pgNumType w:start="62"/>
        </w:sectPr>
      </w:pPr>
    </w:p>
    <w:p>
      <w:pPr>
        <w:spacing w:line="480" w:lineRule="auto" w:before="86"/>
        <w:ind w:left="159" w:right="156" w:firstLine="0"/>
        <w:jc w:val="both"/>
        <w:rPr>
          <w:rFonts w:ascii="Courier New"/>
          <w:sz w:val="28"/>
        </w:rPr>
      </w:pPr>
      <w:r>
        <w:rPr>
          <w:rFonts w:ascii="Courier New"/>
          <w:sz w:val="28"/>
        </w:rPr>
        <w:t>may be considered. DW2/1-1, Rajinder Singh, appeared as a witness for defendant No.2 in Suit No.4, as a person having interest in the study of religious, cultural and Historical books of Sikh Cult. In examination-in-chief, he has referred to several</w:t>
      </w:r>
      <w:r>
        <w:rPr>
          <w:rFonts w:ascii="Courier New"/>
          <w:spacing w:val="-67"/>
          <w:sz w:val="28"/>
        </w:rPr>
        <w:t> </w:t>
      </w:r>
      <w:r>
        <w:rPr>
          <w:rFonts w:ascii="Courier New"/>
          <w:sz w:val="28"/>
        </w:rPr>
        <w:t>books about Sikh Cult and history. He also stated in his examination-in-chief that Guru Nanak Devji had sought darshan of Shri Ram Janma Bhumi Temple at Ayodhya.</w:t>
      </w:r>
      <w:r>
        <w:rPr>
          <w:rFonts w:ascii="Courier New"/>
          <w:spacing w:val="-70"/>
          <w:sz w:val="28"/>
        </w:rPr>
        <w:t> </w:t>
      </w:r>
      <w:r>
        <w:rPr>
          <w:rFonts w:ascii="Courier New"/>
          <w:sz w:val="28"/>
        </w:rPr>
        <w:t>The period during which Guru Nanak Devji went to Ayodhya and had darshan stated to be is 1510-1511 A.D. In paragraph 11 of examination-in-chief, he states:-</w:t>
      </w:r>
    </w:p>
    <w:p>
      <w:pPr>
        <w:spacing w:before="0"/>
        <w:ind w:left="1011" w:right="1246" w:firstLine="168"/>
        <w:jc w:val="both"/>
        <w:rPr>
          <w:rFonts w:ascii="Courier New" w:hAnsi="Courier New"/>
          <w:sz w:val="28"/>
        </w:rPr>
      </w:pPr>
      <w:r>
        <w:rPr>
          <w:rFonts w:ascii="Courier New" w:hAnsi="Courier New"/>
          <w:sz w:val="28"/>
        </w:rPr>
        <w:t>“</w:t>
      </w:r>
      <w:r>
        <w:rPr>
          <w:rFonts w:ascii="Courier New" w:hAnsi="Courier New"/>
          <w:b/>
          <w:sz w:val="28"/>
        </w:rPr>
        <w:t>11. </w:t>
      </w:r>
      <w:r>
        <w:rPr>
          <w:rFonts w:ascii="Courier New" w:hAnsi="Courier New"/>
          <w:sz w:val="28"/>
        </w:rPr>
        <w:t>Guru Nanak Devji, after getting the appearance of God on the auspicious day, Bhadrapad Poornima, 1564-Vikrami = 1507</w:t>
      </w:r>
    </w:p>
    <w:p>
      <w:pPr>
        <w:spacing w:line="240" w:lineRule="auto" w:before="0"/>
        <w:ind w:left="1011" w:right="1243" w:firstLine="0"/>
        <w:jc w:val="both"/>
        <w:rPr>
          <w:rFonts w:ascii="Courier New" w:hAnsi="Courier New"/>
          <w:sz w:val="28"/>
        </w:rPr>
      </w:pPr>
      <w:r>
        <w:rPr>
          <w:rFonts w:ascii="Courier New" w:hAnsi="Courier New"/>
          <w:sz w:val="28"/>
        </w:rPr>
        <w:t>c.e. prepared him for going on pilgrimage. Then he went to Ayodhya via Delhi, Haridwar, Sultanpur etc. Almost 3-4 years have passed in this journey. Similarly Guru Nanak Dev went on pilgrimage to see Shri Ram Janam Bhoomi Mandir in 1567-1568 Vikrami = 1510-11 Christian era. It is mentioned here that invader Babar has not invaded India by that</w:t>
      </w:r>
      <w:r>
        <w:rPr>
          <w:rFonts w:ascii="Courier New" w:hAnsi="Courier New"/>
          <w:spacing w:val="-6"/>
          <w:sz w:val="28"/>
        </w:rPr>
        <w:t> </w:t>
      </w:r>
      <w:r>
        <w:rPr>
          <w:rFonts w:ascii="Courier New" w:hAnsi="Courier New"/>
          <w:sz w:val="28"/>
        </w:rPr>
        <w:t>time.”</w:t>
      </w:r>
    </w:p>
    <w:p>
      <w:pPr>
        <w:pStyle w:val="BodyText"/>
        <w:rPr>
          <w:rFonts w:ascii="Courier New"/>
          <w:sz w:val="32"/>
        </w:rPr>
      </w:pPr>
    </w:p>
    <w:p>
      <w:pPr>
        <w:pStyle w:val="ListParagraph"/>
        <w:numPr>
          <w:ilvl w:val="0"/>
          <w:numId w:val="255"/>
        </w:numPr>
        <w:tabs>
          <w:tab w:pos="897" w:val="left" w:leader="none"/>
        </w:tabs>
        <w:spacing w:line="480" w:lineRule="auto" w:before="272" w:after="0"/>
        <w:ind w:left="160" w:right="159" w:firstLine="0"/>
        <w:jc w:val="both"/>
        <w:rPr>
          <w:rFonts w:ascii="Courier New"/>
          <w:sz w:val="28"/>
        </w:rPr>
      </w:pPr>
      <w:r>
        <w:rPr>
          <w:rFonts w:ascii="Courier New"/>
          <w:sz w:val="28"/>
        </w:rPr>
        <w:t>Alongwith his statement, he has annexed various Janma Sakhies, which records visit of Guru Nanak</w:t>
      </w:r>
      <w:r>
        <w:rPr>
          <w:rFonts w:ascii="Courier New"/>
          <w:spacing w:val="-67"/>
          <w:sz w:val="28"/>
        </w:rPr>
        <w:t> </w:t>
      </w:r>
      <w:r>
        <w:rPr>
          <w:rFonts w:ascii="Courier New"/>
          <w:sz w:val="28"/>
        </w:rPr>
        <w:t>Devji at Ayodhya and Darshan of Ram Janma Bhumi. Justice Sudhir</w:t>
      </w:r>
      <w:r>
        <w:rPr>
          <w:rFonts w:ascii="Courier New"/>
          <w:spacing w:val="54"/>
          <w:sz w:val="28"/>
        </w:rPr>
        <w:t> </w:t>
      </w:r>
      <w:r>
        <w:rPr>
          <w:rFonts w:ascii="Courier New"/>
          <w:sz w:val="28"/>
        </w:rPr>
        <w:t>Agarwal</w:t>
      </w:r>
      <w:r>
        <w:rPr>
          <w:rFonts w:ascii="Courier New"/>
          <w:spacing w:val="54"/>
          <w:sz w:val="28"/>
        </w:rPr>
        <w:t> </w:t>
      </w:r>
      <w:r>
        <w:rPr>
          <w:rFonts w:ascii="Courier New"/>
          <w:sz w:val="28"/>
        </w:rPr>
        <w:t>in</w:t>
      </w:r>
      <w:r>
        <w:rPr>
          <w:rFonts w:ascii="Courier New"/>
          <w:spacing w:val="54"/>
          <w:sz w:val="28"/>
        </w:rPr>
        <w:t> </w:t>
      </w:r>
      <w:r>
        <w:rPr>
          <w:rFonts w:ascii="Courier New"/>
          <w:sz w:val="28"/>
        </w:rPr>
        <w:t>his</w:t>
      </w:r>
      <w:r>
        <w:rPr>
          <w:rFonts w:ascii="Courier New"/>
          <w:spacing w:val="54"/>
          <w:sz w:val="28"/>
        </w:rPr>
        <w:t> </w:t>
      </w:r>
      <w:r>
        <w:rPr>
          <w:rFonts w:ascii="Courier New"/>
          <w:sz w:val="28"/>
        </w:rPr>
        <w:t>judgment</w:t>
      </w:r>
      <w:r>
        <w:rPr>
          <w:rFonts w:ascii="Courier New"/>
          <w:spacing w:val="54"/>
          <w:sz w:val="28"/>
        </w:rPr>
        <w:t> </w:t>
      </w:r>
      <w:r>
        <w:rPr>
          <w:rFonts w:ascii="Courier New"/>
          <w:sz w:val="28"/>
        </w:rPr>
        <w:t>has</w:t>
      </w:r>
      <w:r>
        <w:rPr>
          <w:rFonts w:ascii="Courier New"/>
          <w:spacing w:val="54"/>
          <w:sz w:val="28"/>
        </w:rPr>
        <w:t> </w:t>
      </w:r>
      <w:r>
        <w:rPr>
          <w:rFonts w:ascii="Courier New"/>
          <w:sz w:val="28"/>
        </w:rPr>
        <w:t>also</w:t>
      </w:r>
      <w:r>
        <w:rPr>
          <w:rFonts w:ascii="Courier New"/>
          <w:spacing w:val="54"/>
          <w:sz w:val="28"/>
        </w:rPr>
        <w:t> </w:t>
      </w:r>
      <w:r>
        <w:rPr>
          <w:rFonts w:ascii="Courier New"/>
          <w:sz w:val="28"/>
        </w:rPr>
        <w:t>referred</w:t>
      </w:r>
      <w:r>
        <w:rPr>
          <w:rFonts w:ascii="Courier New"/>
          <w:spacing w:val="54"/>
          <w:sz w:val="28"/>
        </w:rPr>
        <w:t> </w:t>
      </w:r>
      <w:r>
        <w:rPr>
          <w:rFonts w:ascii="Courier New"/>
          <w:sz w:val="28"/>
        </w:rPr>
        <w:t>to</w:t>
      </w:r>
    </w:p>
    <w:p>
      <w:pPr>
        <w:spacing w:after="0" w:line="480" w:lineRule="auto"/>
        <w:jc w:val="both"/>
        <w:rPr>
          <w:rFonts w:ascii="Courier New"/>
          <w:sz w:val="28"/>
        </w:rPr>
        <w:sectPr>
          <w:headerReference w:type="default" r:id="rId334"/>
          <w:footerReference w:type="default" r:id="rId335"/>
          <w:pgSz w:w="11910" w:h="16840"/>
          <w:pgMar w:header="0" w:footer="1063" w:top="1340" w:bottom="1260" w:left="1280" w:right="1280"/>
          <w:pgNumType w:start="63"/>
        </w:sectPr>
      </w:pPr>
    </w:p>
    <w:p>
      <w:pPr>
        <w:spacing w:line="480" w:lineRule="auto" w:before="86"/>
        <w:ind w:left="160" w:right="161" w:firstLine="0"/>
        <w:jc w:val="both"/>
        <w:rPr>
          <w:rFonts w:ascii="Courier New"/>
          <w:sz w:val="28"/>
        </w:rPr>
      </w:pPr>
      <w:r>
        <w:rPr>
          <w:rFonts w:ascii="Courier New"/>
          <w:sz w:val="28"/>
        </w:rPr>
        <w:t>various Janma Sakhies, which were referred to and relied by the witnesses. Detailed reference of Janma Sakhies, which have been referred and relied by the witness is mentioned in paragraph 5 of the affidavit. In paragraph 5 of examination-in-chief, he states:-</w:t>
      </w:r>
    </w:p>
    <w:p>
      <w:pPr>
        <w:spacing w:line="240" w:lineRule="auto" w:before="0"/>
        <w:ind w:left="1011" w:right="1243" w:firstLine="0"/>
        <w:jc w:val="both"/>
        <w:rPr>
          <w:rFonts w:ascii="Courier New" w:hAnsi="Courier New"/>
          <w:sz w:val="28"/>
        </w:rPr>
      </w:pPr>
      <w:r>
        <w:rPr>
          <w:rFonts w:ascii="Courier New" w:hAnsi="Courier New"/>
          <w:sz w:val="28"/>
        </w:rPr>
        <w:t>“</w:t>
      </w:r>
      <w:r>
        <w:rPr>
          <w:rFonts w:ascii="Courier New" w:hAnsi="Courier New"/>
          <w:b/>
          <w:sz w:val="28"/>
        </w:rPr>
        <w:t>5.</w:t>
      </w:r>
      <w:r>
        <w:rPr>
          <w:rFonts w:ascii="Courier New" w:hAnsi="Courier New"/>
          <w:b/>
          <w:spacing w:val="97"/>
          <w:sz w:val="28"/>
        </w:rPr>
        <w:t> </w:t>
      </w:r>
      <w:r>
        <w:rPr>
          <w:rFonts w:ascii="Courier New" w:hAnsi="Courier New"/>
          <w:sz w:val="28"/>
        </w:rPr>
        <w:t>I</w:t>
      </w:r>
      <w:r>
        <w:rPr>
          <w:rFonts w:ascii="Courier New" w:hAnsi="Courier New"/>
          <w:spacing w:val="-36"/>
          <w:sz w:val="28"/>
        </w:rPr>
        <w:t> </w:t>
      </w:r>
      <w:r>
        <w:rPr>
          <w:rFonts w:ascii="Courier New" w:hAnsi="Courier New"/>
          <w:sz w:val="28"/>
        </w:rPr>
        <w:t>had</w:t>
      </w:r>
      <w:r>
        <w:rPr>
          <w:rFonts w:ascii="Courier New" w:hAnsi="Courier New"/>
          <w:spacing w:val="-36"/>
          <w:sz w:val="28"/>
        </w:rPr>
        <w:t> </w:t>
      </w:r>
      <w:r>
        <w:rPr>
          <w:rFonts w:ascii="Courier New" w:hAnsi="Courier New"/>
          <w:sz w:val="28"/>
        </w:rPr>
        <w:t>studied</w:t>
      </w:r>
      <w:r>
        <w:rPr>
          <w:rFonts w:ascii="Courier New" w:hAnsi="Courier New"/>
          <w:spacing w:val="-37"/>
          <w:sz w:val="28"/>
        </w:rPr>
        <w:t> </w:t>
      </w:r>
      <w:r>
        <w:rPr>
          <w:rFonts w:ascii="Courier New" w:hAnsi="Courier New"/>
          <w:sz w:val="28"/>
        </w:rPr>
        <w:t>a</w:t>
      </w:r>
      <w:r>
        <w:rPr>
          <w:rFonts w:ascii="Courier New" w:hAnsi="Courier New"/>
          <w:spacing w:val="-36"/>
          <w:sz w:val="28"/>
        </w:rPr>
        <w:t> </w:t>
      </w:r>
      <w:r>
        <w:rPr>
          <w:rFonts w:ascii="Courier New" w:hAnsi="Courier New"/>
          <w:sz w:val="28"/>
        </w:rPr>
        <w:t>number</w:t>
      </w:r>
      <w:r>
        <w:rPr>
          <w:rFonts w:ascii="Courier New" w:hAnsi="Courier New"/>
          <w:spacing w:val="-35"/>
          <w:sz w:val="28"/>
        </w:rPr>
        <w:t> </w:t>
      </w:r>
      <w:r>
        <w:rPr>
          <w:rFonts w:ascii="Courier New" w:hAnsi="Courier New"/>
          <w:sz w:val="28"/>
        </w:rPr>
        <w:t>of</w:t>
      </w:r>
      <w:r>
        <w:rPr>
          <w:rFonts w:ascii="Courier New" w:hAnsi="Courier New"/>
          <w:spacing w:val="-36"/>
          <w:sz w:val="28"/>
        </w:rPr>
        <w:t> </w:t>
      </w:r>
      <w:r>
        <w:rPr>
          <w:rFonts w:ascii="Courier New" w:hAnsi="Courier New"/>
          <w:sz w:val="28"/>
        </w:rPr>
        <w:t>ancient</w:t>
      </w:r>
      <w:r>
        <w:rPr>
          <w:rFonts w:ascii="Courier New" w:hAnsi="Courier New"/>
          <w:spacing w:val="-36"/>
          <w:sz w:val="28"/>
        </w:rPr>
        <w:t> </w:t>
      </w:r>
      <w:r>
        <w:rPr>
          <w:rFonts w:ascii="Courier New" w:hAnsi="Courier New"/>
          <w:sz w:val="28"/>
        </w:rPr>
        <w:t>books in the form of edited and published books about Sikh Cult and history which include “Aadhi</w:t>
      </w:r>
      <w:r>
        <w:rPr>
          <w:rFonts w:ascii="Courier New" w:hAnsi="Courier New"/>
          <w:spacing w:val="-32"/>
          <w:sz w:val="28"/>
        </w:rPr>
        <w:t> </w:t>
      </w:r>
      <w:r>
        <w:rPr>
          <w:rFonts w:ascii="Courier New" w:hAnsi="Courier New"/>
          <w:sz w:val="28"/>
        </w:rPr>
        <w:t>Sakhies</w:t>
      </w:r>
      <w:r>
        <w:rPr>
          <w:rFonts w:ascii="Courier New" w:hAnsi="Courier New"/>
          <w:spacing w:val="-31"/>
          <w:sz w:val="28"/>
        </w:rPr>
        <w:t> </w:t>
      </w:r>
      <w:r>
        <w:rPr>
          <w:rFonts w:ascii="Courier New" w:hAnsi="Courier New"/>
          <w:sz w:val="28"/>
        </w:rPr>
        <w:t>(1758</w:t>
      </w:r>
      <w:r>
        <w:rPr>
          <w:rFonts w:ascii="Courier New" w:hAnsi="Courier New"/>
          <w:spacing w:val="-31"/>
          <w:sz w:val="28"/>
        </w:rPr>
        <w:t> </w:t>
      </w:r>
      <w:r>
        <w:rPr>
          <w:rFonts w:ascii="Courier New" w:hAnsi="Courier New"/>
          <w:sz w:val="28"/>
        </w:rPr>
        <w:t>Vikrami</w:t>
      </w:r>
      <w:r>
        <w:rPr>
          <w:rFonts w:ascii="Courier New" w:hAnsi="Courier New"/>
          <w:spacing w:val="-33"/>
          <w:sz w:val="28"/>
        </w:rPr>
        <w:t> </w:t>
      </w:r>
      <w:r>
        <w:rPr>
          <w:rFonts w:ascii="Courier New" w:hAnsi="Courier New"/>
          <w:sz w:val="28"/>
        </w:rPr>
        <w:t>1701</w:t>
      </w:r>
      <w:r>
        <w:rPr>
          <w:rFonts w:ascii="Courier New" w:hAnsi="Courier New"/>
          <w:spacing w:val="-31"/>
          <w:sz w:val="28"/>
        </w:rPr>
        <w:t> </w:t>
      </w:r>
      <w:r>
        <w:rPr>
          <w:rFonts w:ascii="Courier New" w:hAnsi="Courier New"/>
          <w:sz w:val="28"/>
        </w:rPr>
        <w:t>Christian era), Puratan Janam Sakhi Guru Nanak Devji Ki (1791 Vikrami = 1734 Christian era), creation of Bhai Mani Singh (Life-time 1701-1791 Vikrami 1644-1734 Christian era) “Pothi Janmsakhi: Gyan Ratnawali”, Bhai Bale Wali” (Shri Guru Nanak Dev) Janamsakhi” (1940-Vikrami = 1883 Christian era) creation of Sodhi ManoharDas Meharban (Life time 1637-1697 Vikrami = 1580-1640 Christian era) “Sachkhand Pothi:Janamsakhi Shri Guru Nanak Devji, creation of Babu Sukhbasi Ram vedi (Eighth descendant of Shri Laxmi Chand younger son of Guru Nanak Devji) “Guru Nanak Vansh Prakash (1886 Vikrami = 1829 Christian era), creation of Shri</w:t>
      </w:r>
      <w:r>
        <w:rPr>
          <w:rFonts w:ascii="Courier New" w:hAnsi="Courier New"/>
          <w:spacing w:val="-31"/>
          <w:sz w:val="28"/>
        </w:rPr>
        <w:t> </w:t>
      </w:r>
      <w:r>
        <w:rPr>
          <w:rFonts w:ascii="Courier New" w:hAnsi="Courier New"/>
          <w:sz w:val="28"/>
        </w:rPr>
        <w:t>Tara</w:t>
      </w:r>
      <w:r>
        <w:rPr>
          <w:rFonts w:ascii="Courier New" w:hAnsi="Courier New"/>
          <w:spacing w:val="-30"/>
          <w:sz w:val="28"/>
        </w:rPr>
        <w:t> </w:t>
      </w:r>
      <w:r>
        <w:rPr>
          <w:rFonts w:ascii="Courier New" w:hAnsi="Courier New"/>
          <w:sz w:val="28"/>
        </w:rPr>
        <w:t>Hari</w:t>
      </w:r>
      <w:r>
        <w:rPr>
          <w:rFonts w:ascii="Courier New" w:hAnsi="Courier New"/>
          <w:spacing w:val="-32"/>
          <w:sz w:val="28"/>
        </w:rPr>
        <w:t> </w:t>
      </w:r>
      <w:r>
        <w:rPr>
          <w:rFonts w:ascii="Courier New" w:hAnsi="Courier New"/>
          <w:sz w:val="28"/>
        </w:rPr>
        <w:t>Narotam</w:t>
      </w:r>
      <w:r>
        <w:rPr>
          <w:rFonts w:ascii="Courier New" w:hAnsi="Courier New"/>
          <w:spacing w:val="-30"/>
          <w:sz w:val="28"/>
        </w:rPr>
        <w:t> </w:t>
      </w:r>
      <w:r>
        <w:rPr>
          <w:rFonts w:ascii="Courier New" w:hAnsi="Courier New"/>
          <w:sz w:val="28"/>
        </w:rPr>
        <w:t>(Life-time</w:t>
      </w:r>
      <w:r>
        <w:rPr>
          <w:rFonts w:ascii="Courier New" w:hAnsi="Courier New"/>
          <w:spacing w:val="-31"/>
          <w:sz w:val="28"/>
        </w:rPr>
        <w:t> </w:t>
      </w:r>
      <w:r>
        <w:rPr>
          <w:rFonts w:ascii="Courier New" w:hAnsi="Courier New"/>
          <w:sz w:val="28"/>
        </w:rPr>
        <w:t>1879-1948 Vikrami = 1822-1891 Christian era) “Shri Guru Tirath Sangrahi” and famous creation of Gyani Gyan Sigh “Tawarikh Guru Khaira: Part-I (1948 Vikrami 1891 Christian era) etc. It is fully evident from the information gained from these books that disputed land is a birth place of Shri Ramchanderji and Guru Nanak Dev had sought the</w:t>
      </w:r>
      <w:r>
        <w:rPr>
          <w:rFonts w:ascii="Courier New" w:hAnsi="Courier New"/>
          <w:spacing w:val="-22"/>
          <w:sz w:val="28"/>
        </w:rPr>
        <w:t> </w:t>
      </w:r>
      <w:r>
        <w:rPr>
          <w:rFonts w:ascii="Courier New" w:hAnsi="Courier New"/>
          <w:sz w:val="28"/>
        </w:rPr>
        <w:t>darshan</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Shri</w:t>
      </w:r>
      <w:r>
        <w:rPr>
          <w:rFonts w:ascii="Courier New" w:hAnsi="Courier New"/>
          <w:spacing w:val="-22"/>
          <w:sz w:val="28"/>
        </w:rPr>
        <w:t> </w:t>
      </w:r>
      <w:r>
        <w:rPr>
          <w:rFonts w:ascii="Courier New" w:hAnsi="Courier New"/>
          <w:sz w:val="28"/>
        </w:rPr>
        <w:t>Ram</w:t>
      </w:r>
      <w:r>
        <w:rPr>
          <w:rFonts w:ascii="Courier New" w:hAnsi="Courier New"/>
          <w:spacing w:val="-21"/>
          <w:sz w:val="28"/>
        </w:rPr>
        <w:t> </w:t>
      </w:r>
      <w:r>
        <w:rPr>
          <w:rFonts w:ascii="Courier New" w:hAnsi="Courier New"/>
          <w:sz w:val="28"/>
        </w:rPr>
        <w:t>Janam</w:t>
      </w:r>
      <w:r>
        <w:rPr>
          <w:rFonts w:ascii="Courier New" w:hAnsi="Courier New"/>
          <w:spacing w:val="-22"/>
          <w:sz w:val="28"/>
        </w:rPr>
        <w:t> </w:t>
      </w:r>
      <w:r>
        <w:rPr>
          <w:rFonts w:ascii="Courier New" w:hAnsi="Courier New"/>
          <w:sz w:val="28"/>
        </w:rPr>
        <w:t>Bhoomi</w:t>
      </w:r>
      <w:r>
        <w:rPr>
          <w:rFonts w:ascii="Courier New" w:hAnsi="Courier New"/>
          <w:spacing w:val="-22"/>
          <w:sz w:val="28"/>
        </w:rPr>
        <w:t> </w:t>
      </w:r>
      <w:r>
        <w:rPr>
          <w:rFonts w:ascii="Courier New" w:hAnsi="Courier New"/>
          <w:sz w:val="28"/>
        </w:rPr>
        <w:t>Temple at Ayodhya it is also proved from these books that with the passage of time Shri Guru Teg Bahadur and his son Shri Guru Govind Singh have also sought the</w:t>
      </w:r>
      <w:r>
        <w:rPr>
          <w:rFonts w:ascii="Courier New" w:hAnsi="Courier New"/>
          <w:spacing w:val="17"/>
          <w:sz w:val="28"/>
        </w:rPr>
        <w:t> </w:t>
      </w:r>
      <w:r>
        <w:rPr>
          <w:rFonts w:ascii="Courier New" w:hAnsi="Courier New"/>
          <w:sz w:val="28"/>
        </w:rPr>
        <w:t>darshan</w:t>
      </w:r>
    </w:p>
    <w:p>
      <w:pPr>
        <w:spacing w:after="0" w:line="240" w:lineRule="auto"/>
        <w:jc w:val="both"/>
        <w:rPr>
          <w:rFonts w:ascii="Courier New" w:hAnsi="Courier New"/>
          <w:sz w:val="28"/>
        </w:rPr>
        <w:sectPr>
          <w:headerReference w:type="default" r:id="rId336"/>
          <w:footerReference w:type="default" r:id="rId337"/>
          <w:pgSz w:w="11910" w:h="16840"/>
          <w:pgMar w:header="0" w:footer="1063" w:top="1340" w:bottom="1260" w:left="1280" w:right="1280"/>
          <w:pgNumType w:start="64"/>
        </w:sectPr>
      </w:pPr>
    </w:p>
    <w:p>
      <w:pPr>
        <w:tabs>
          <w:tab w:pos="1746" w:val="left" w:leader="none"/>
          <w:tab w:pos="2816" w:val="left" w:leader="none"/>
          <w:tab w:pos="3716" w:val="left" w:leader="none"/>
          <w:tab w:pos="4954" w:val="left" w:leader="none"/>
          <w:tab w:pos="6357" w:val="left" w:leader="none"/>
          <w:tab w:pos="7763" w:val="left" w:leader="none"/>
        </w:tabs>
        <w:spacing w:before="86"/>
        <w:ind w:left="1011" w:right="1248" w:firstLine="0"/>
        <w:jc w:val="left"/>
        <w:rPr>
          <w:rFonts w:ascii="Courier New" w:hAnsi="Courier New"/>
          <w:sz w:val="28"/>
        </w:rPr>
      </w:pPr>
      <w:r>
        <w:rPr>
          <w:rFonts w:ascii="Courier New" w:hAnsi="Courier New"/>
          <w:sz w:val="28"/>
        </w:rPr>
        <w:t>of</w:t>
        <w:tab/>
        <w:t>Shri</w:t>
        <w:tab/>
        <w:t>Ram</w:t>
        <w:tab/>
        <w:t>Janam</w:t>
        <w:tab/>
        <w:t>Bhoomi</w:t>
        <w:tab/>
        <w:t>Mandir</w:t>
        <w:tab/>
      </w:r>
      <w:r>
        <w:rPr>
          <w:rFonts w:ascii="Courier New" w:hAnsi="Courier New"/>
          <w:spacing w:val="-11"/>
          <w:sz w:val="28"/>
        </w:rPr>
        <w:t>at </w:t>
      </w:r>
      <w:r>
        <w:rPr>
          <w:rFonts w:ascii="Courier New" w:hAnsi="Courier New"/>
          <w:sz w:val="28"/>
        </w:rPr>
        <w:t>Ayodhya.”</w:t>
      </w:r>
    </w:p>
    <w:p>
      <w:pPr>
        <w:pStyle w:val="BodyText"/>
        <w:rPr>
          <w:rFonts w:ascii="Courier New"/>
          <w:sz w:val="32"/>
        </w:rPr>
      </w:pPr>
    </w:p>
    <w:p>
      <w:pPr>
        <w:pStyle w:val="ListParagraph"/>
        <w:numPr>
          <w:ilvl w:val="0"/>
          <w:numId w:val="255"/>
        </w:numPr>
        <w:tabs>
          <w:tab w:pos="931" w:val="left" w:leader="none"/>
        </w:tabs>
        <w:spacing w:line="480" w:lineRule="auto" w:before="273" w:after="0"/>
        <w:ind w:left="160" w:right="156" w:firstLine="0"/>
        <w:jc w:val="both"/>
        <w:rPr>
          <w:rFonts w:ascii="Courier New"/>
          <w:sz w:val="28"/>
        </w:rPr>
      </w:pPr>
      <w:r>
        <w:rPr>
          <w:rFonts w:ascii="Courier New"/>
          <w:sz w:val="28"/>
        </w:rPr>
        <w:t>Janma Sakhies, which have been brought on the record contains a description of visit of Guru Nanak Devji to Ayodhya, where he had darshan of birthplace of Lord Ram. It is true that from the extracts of Janma Sakhies, which have been brought on the record, there</w:t>
      </w:r>
      <w:r>
        <w:rPr>
          <w:rFonts w:ascii="Courier New"/>
          <w:spacing w:val="-25"/>
          <w:sz w:val="28"/>
        </w:rPr>
        <w:t> </w:t>
      </w:r>
      <w:r>
        <w:rPr>
          <w:rFonts w:ascii="Courier New"/>
          <w:sz w:val="28"/>
        </w:rPr>
        <w:t>is</w:t>
      </w:r>
      <w:r>
        <w:rPr>
          <w:rFonts w:ascii="Courier New"/>
          <w:spacing w:val="-24"/>
          <w:sz w:val="28"/>
        </w:rPr>
        <w:t> </w:t>
      </w:r>
      <w:r>
        <w:rPr>
          <w:rFonts w:ascii="Courier New"/>
          <w:sz w:val="28"/>
        </w:rPr>
        <w:t>no</w:t>
      </w:r>
      <w:r>
        <w:rPr>
          <w:rFonts w:ascii="Courier New"/>
          <w:spacing w:val="-24"/>
          <w:sz w:val="28"/>
        </w:rPr>
        <w:t> </w:t>
      </w:r>
      <w:r>
        <w:rPr>
          <w:rFonts w:ascii="Courier New"/>
          <w:sz w:val="28"/>
        </w:rPr>
        <w:t>material</w:t>
      </w:r>
      <w:r>
        <w:rPr>
          <w:rFonts w:ascii="Courier New"/>
          <w:spacing w:val="-24"/>
          <w:sz w:val="28"/>
        </w:rPr>
        <w:t> </w:t>
      </w:r>
      <w:r>
        <w:rPr>
          <w:rFonts w:ascii="Courier New"/>
          <w:sz w:val="28"/>
        </w:rPr>
        <w:t>to</w:t>
      </w:r>
      <w:r>
        <w:rPr>
          <w:rFonts w:ascii="Courier New"/>
          <w:spacing w:val="-24"/>
          <w:sz w:val="28"/>
        </w:rPr>
        <w:t> </w:t>
      </w:r>
      <w:r>
        <w:rPr>
          <w:rFonts w:ascii="Courier New"/>
          <w:sz w:val="28"/>
        </w:rPr>
        <w:t>identify</w:t>
      </w:r>
      <w:r>
        <w:rPr>
          <w:rFonts w:ascii="Courier New"/>
          <w:spacing w:val="-24"/>
          <w:sz w:val="28"/>
        </w:rPr>
        <w:t> </w:t>
      </w:r>
      <w:r>
        <w:rPr>
          <w:rFonts w:ascii="Courier New"/>
          <w:sz w:val="28"/>
        </w:rPr>
        <w:t>the</w:t>
      </w:r>
      <w:r>
        <w:rPr>
          <w:rFonts w:ascii="Courier New"/>
          <w:spacing w:val="-24"/>
          <w:sz w:val="28"/>
        </w:rPr>
        <w:t> </w:t>
      </w:r>
      <w:r>
        <w:rPr>
          <w:rFonts w:ascii="Courier New"/>
          <w:sz w:val="28"/>
        </w:rPr>
        <w:t>exact</w:t>
      </w:r>
      <w:r>
        <w:rPr>
          <w:rFonts w:ascii="Courier New"/>
          <w:spacing w:val="-21"/>
          <w:sz w:val="28"/>
        </w:rPr>
        <w:t> </w:t>
      </w:r>
      <w:r>
        <w:rPr>
          <w:rFonts w:ascii="Courier New"/>
          <w:sz w:val="28"/>
        </w:rPr>
        <w:t>place</w:t>
      </w:r>
      <w:r>
        <w:rPr>
          <w:rFonts w:ascii="Courier New"/>
          <w:spacing w:val="-24"/>
          <w:sz w:val="28"/>
        </w:rPr>
        <w:t> </w:t>
      </w:r>
      <w:r>
        <w:rPr>
          <w:rFonts w:ascii="Courier New"/>
          <w:sz w:val="28"/>
        </w:rPr>
        <w:t>of</w:t>
      </w:r>
      <w:r>
        <w:rPr>
          <w:rFonts w:ascii="Courier New"/>
          <w:spacing w:val="-24"/>
          <w:sz w:val="28"/>
        </w:rPr>
        <w:t> </w:t>
      </w:r>
      <w:r>
        <w:rPr>
          <w:rFonts w:ascii="Courier New"/>
          <w:sz w:val="28"/>
        </w:rPr>
        <w:t>Ram Janma</w:t>
      </w:r>
      <w:r>
        <w:rPr>
          <w:rFonts w:ascii="Courier New"/>
          <w:spacing w:val="-41"/>
          <w:sz w:val="28"/>
        </w:rPr>
        <w:t> </w:t>
      </w:r>
      <w:r>
        <w:rPr>
          <w:rFonts w:ascii="Courier New"/>
          <w:sz w:val="28"/>
        </w:rPr>
        <w:t>Bhumi</w:t>
      </w:r>
      <w:r>
        <w:rPr>
          <w:rFonts w:ascii="Courier New"/>
          <w:spacing w:val="-40"/>
          <w:sz w:val="28"/>
        </w:rPr>
        <w:t> </w:t>
      </w:r>
      <w:r>
        <w:rPr>
          <w:rFonts w:ascii="Courier New"/>
          <w:sz w:val="28"/>
        </w:rPr>
        <w:t>but</w:t>
      </w:r>
      <w:r>
        <w:rPr>
          <w:rFonts w:ascii="Courier New"/>
          <w:spacing w:val="-38"/>
          <w:sz w:val="28"/>
        </w:rPr>
        <w:t> </w:t>
      </w:r>
      <w:r>
        <w:rPr>
          <w:rFonts w:ascii="Courier New"/>
          <w:sz w:val="28"/>
        </w:rPr>
        <w:t>the</w:t>
      </w:r>
      <w:r>
        <w:rPr>
          <w:rFonts w:ascii="Courier New"/>
          <w:spacing w:val="-42"/>
          <w:sz w:val="28"/>
        </w:rPr>
        <w:t> </w:t>
      </w:r>
      <w:r>
        <w:rPr>
          <w:rFonts w:ascii="Courier New"/>
          <w:sz w:val="28"/>
        </w:rPr>
        <w:t>visit</w:t>
      </w:r>
      <w:r>
        <w:rPr>
          <w:rFonts w:ascii="Courier New"/>
          <w:spacing w:val="-41"/>
          <w:sz w:val="28"/>
        </w:rPr>
        <w:t> </w:t>
      </w:r>
      <w:r>
        <w:rPr>
          <w:rFonts w:ascii="Courier New"/>
          <w:sz w:val="28"/>
        </w:rPr>
        <w:t>of</w:t>
      </w:r>
      <w:r>
        <w:rPr>
          <w:rFonts w:ascii="Courier New"/>
          <w:spacing w:val="-41"/>
          <w:sz w:val="28"/>
        </w:rPr>
        <w:t> </w:t>
      </w:r>
      <w:r>
        <w:rPr>
          <w:rFonts w:ascii="Courier New"/>
          <w:sz w:val="28"/>
        </w:rPr>
        <w:t>Guru</w:t>
      </w:r>
      <w:r>
        <w:rPr>
          <w:rFonts w:ascii="Courier New"/>
          <w:spacing w:val="-42"/>
          <w:sz w:val="28"/>
        </w:rPr>
        <w:t> </w:t>
      </w:r>
      <w:r>
        <w:rPr>
          <w:rFonts w:ascii="Courier New"/>
          <w:sz w:val="28"/>
        </w:rPr>
        <w:t>Nanak</w:t>
      </w:r>
      <w:r>
        <w:rPr>
          <w:rFonts w:ascii="Courier New"/>
          <w:spacing w:val="-41"/>
          <w:sz w:val="28"/>
        </w:rPr>
        <w:t> </w:t>
      </w:r>
      <w:r>
        <w:rPr>
          <w:rFonts w:ascii="Courier New"/>
          <w:sz w:val="28"/>
        </w:rPr>
        <w:t>Devji</w:t>
      </w:r>
      <w:r>
        <w:rPr>
          <w:rFonts w:ascii="Courier New"/>
          <w:spacing w:val="-38"/>
          <w:sz w:val="28"/>
        </w:rPr>
        <w:t> </w:t>
      </w:r>
      <w:r>
        <w:rPr>
          <w:rFonts w:ascii="Courier New"/>
          <w:sz w:val="28"/>
        </w:rPr>
        <w:t>to</w:t>
      </w:r>
      <w:r>
        <w:rPr>
          <w:rFonts w:ascii="Courier New"/>
          <w:spacing w:val="-41"/>
          <w:sz w:val="28"/>
        </w:rPr>
        <w:t> </w:t>
      </w:r>
      <w:r>
        <w:rPr>
          <w:rFonts w:ascii="Courier New"/>
          <w:sz w:val="28"/>
        </w:rPr>
        <w:t>Ayodhya for darshan of Janma Bhumi of Ram is an event, which depicted that pilgrims were visiting Ayodhya and were having darshan of Janma Bhumi even before 1528 A.D. The visit of Guru Nanak Devji in 1510-11 A.D. and to have darshan of Janma Bhumi of Lord Ram do support</w:t>
      </w:r>
      <w:r>
        <w:rPr>
          <w:rFonts w:ascii="Courier New"/>
          <w:spacing w:val="-66"/>
          <w:sz w:val="28"/>
        </w:rPr>
        <w:t> </w:t>
      </w:r>
      <w:r>
        <w:rPr>
          <w:rFonts w:ascii="Courier New"/>
          <w:sz w:val="28"/>
        </w:rPr>
        <w:t>the faith and beliefs of the</w:t>
      </w:r>
      <w:r>
        <w:rPr>
          <w:rFonts w:ascii="Courier New"/>
          <w:spacing w:val="-7"/>
          <w:sz w:val="28"/>
        </w:rPr>
        <w:t> </w:t>
      </w:r>
      <w:r>
        <w:rPr>
          <w:rFonts w:ascii="Courier New"/>
          <w:sz w:val="28"/>
        </w:rPr>
        <w:t>Hindus.</w:t>
      </w:r>
    </w:p>
    <w:p>
      <w:pPr>
        <w:pStyle w:val="BodyText"/>
        <w:spacing w:before="9"/>
        <w:rPr>
          <w:rFonts w:ascii="Courier New"/>
          <w:sz w:val="27"/>
        </w:rPr>
      </w:pPr>
    </w:p>
    <w:p>
      <w:pPr>
        <w:pStyle w:val="ListParagraph"/>
        <w:numPr>
          <w:ilvl w:val="0"/>
          <w:numId w:val="255"/>
        </w:numPr>
        <w:tabs>
          <w:tab w:pos="794" w:val="left" w:leader="none"/>
        </w:tabs>
        <w:spacing w:line="480" w:lineRule="auto" w:before="0" w:after="0"/>
        <w:ind w:left="160" w:right="159" w:firstLine="0"/>
        <w:jc w:val="both"/>
        <w:rPr>
          <w:rFonts w:ascii="Courier New"/>
          <w:sz w:val="28"/>
        </w:rPr>
      </w:pPr>
      <w:r>
        <w:rPr>
          <w:rFonts w:ascii="Courier New"/>
          <w:sz w:val="28"/>
        </w:rPr>
        <w:t>It</w:t>
      </w:r>
      <w:r>
        <w:rPr>
          <w:rFonts w:ascii="Courier New"/>
          <w:spacing w:val="-42"/>
          <w:sz w:val="28"/>
        </w:rPr>
        <w:t> </w:t>
      </w:r>
      <w:r>
        <w:rPr>
          <w:rFonts w:ascii="Courier New"/>
          <w:sz w:val="28"/>
        </w:rPr>
        <w:t>can,</w:t>
      </w:r>
      <w:r>
        <w:rPr>
          <w:rFonts w:ascii="Courier New"/>
          <w:spacing w:val="-41"/>
          <w:sz w:val="28"/>
        </w:rPr>
        <w:t> </w:t>
      </w:r>
      <w:r>
        <w:rPr>
          <w:rFonts w:ascii="Courier New"/>
          <w:sz w:val="28"/>
        </w:rPr>
        <w:t>therefore,</w:t>
      </w:r>
      <w:r>
        <w:rPr>
          <w:rFonts w:ascii="Courier New"/>
          <w:spacing w:val="-41"/>
          <w:sz w:val="28"/>
        </w:rPr>
        <w:t> </w:t>
      </w:r>
      <w:r>
        <w:rPr>
          <w:rFonts w:ascii="Courier New"/>
          <w:sz w:val="28"/>
        </w:rPr>
        <w:t>be</w:t>
      </w:r>
      <w:r>
        <w:rPr>
          <w:rFonts w:ascii="Courier New"/>
          <w:spacing w:val="-40"/>
          <w:sz w:val="28"/>
        </w:rPr>
        <w:t> </w:t>
      </w:r>
      <w:r>
        <w:rPr>
          <w:rFonts w:ascii="Courier New"/>
          <w:sz w:val="28"/>
        </w:rPr>
        <w:t>held</w:t>
      </w:r>
      <w:r>
        <w:rPr>
          <w:rFonts w:ascii="Courier New"/>
          <w:spacing w:val="-38"/>
          <w:sz w:val="28"/>
        </w:rPr>
        <w:t> </w:t>
      </w:r>
      <w:r>
        <w:rPr>
          <w:rFonts w:ascii="Courier New"/>
          <w:sz w:val="28"/>
        </w:rPr>
        <w:t>that</w:t>
      </w:r>
      <w:r>
        <w:rPr>
          <w:rFonts w:ascii="Courier New"/>
          <w:spacing w:val="-42"/>
          <w:sz w:val="28"/>
        </w:rPr>
        <w:t> </w:t>
      </w:r>
      <w:r>
        <w:rPr>
          <w:rFonts w:ascii="Courier New"/>
          <w:sz w:val="28"/>
        </w:rPr>
        <w:t>the</w:t>
      </w:r>
      <w:r>
        <w:rPr>
          <w:rFonts w:ascii="Courier New"/>
          <w:spacing w:val="-41"/>
          <w:sz w:val="28"/>
        </w:rPr>
        <w:t> </w:t>
      </w:r>
      <w:r>
        <w:rPr>
          <w:rFonts w:ascii="Courier New"/>
          <w:sz w:val="28"/>
        </w:rPr>
        <w:t>faith</w:t>
      </w:r>
      <w:r>
        <w:rPr>
          <w:rFonts w:ascii="Courier New"/>
          <w:spacing w:val="-38"/>
          <w:sz w:val="28"/>
        </w:rPr>
        <w:t> </w:t>
      </w:r>
      <w:r>
        <w:rPr>
          <w:rFonts w:ascii="Courier New"/>
          <w:sz w:val="28"/>
        </w:rPr>
        <w:t>and</w:t>
      </w:r>
      <w:r>
        <w:rPr>
          <w:rFonts w:ascii="Courier New"/>
          <w:spacing w:val="-42"/>
          <w:sz w:val="28"/>
        </w:rPr>
        <w:t> </w:t>
      </w:r>
      <w:r>
        <w:rPr>
          <w:rFonts w:ascii="Courier New"/>
          <w:sz w:val="28"/>
        </w:rPr>
        <w:t>belief of Hindus regarding location of birthplace of Lord</w:t>
      </w:r>
      <w:r>
        <w:rPr>
          <w:rFonts w:ascii="Courier New"/>
          <w:spacing w:val="-66"/>
          <w:sz w:val="28"/>
        </w:rPr>
        <w:t> </w:t>
      </w:r>
      <w:r>
        <w:rPr>
          <w:rFonts w:ascii="Courier New"/>
          <w:sz w:val="28"/>
        </w:rPr>
        <w:t>Ram is</w:t>
      </w:r>
      <w:r>
        <w:rPr>
          <w:rFonts w:ascii="Courier New"/>
          <w:spacing w:val="-34"/>
          <w:sz w:val="28"/>
        </w:rPr>
        <w:t> </w:t>
      </w:r>
      <w:r>
        <w:rPr>
          <w:rFonts w:ascii="Courier New"/>
          <w:sz w:val="28"/>
        </w:rPr>
        <w:t>from</w:t>
      </w:r>
      <w:r>
        <w:rPr>
          <w:rFonts w:ascii="Courier New"/>
          <w:spacing w:val="-34"/>
          <w:sz w:val="28"/>
        </w:rPr>
        <w:t> </w:t>
      </w:r>
      <w:r>
        <w:rPr>
          <w:rFonts w:ascii="Courier New"/>
          <w:sz w:val="28"/>
        </w:rPr>
        <w:t>scriptures</w:t>
      </w:r>
      <w:r>
        <w:rPr>
          <w:rFonts w:ascii="Courier New"/>
          <w:spacing w:val="-34"/>
          <w:sz w:val="28"/>
        </w:rPr>
        <w:t> </w:t>
      </w:r>
      <w:r>
        <w:rPr>
          <w:rFonts w:ascii="Courier New"/>
          <w:sz w:val="28"/>
        </w:rPr>
        <w:t>and</w:t>
      </w:r>
      <w:r>
        <w:rPr>
          <w:rFonts w:ascii="Courier New"/>
          <w:spacing w:val="-34"/>
          <w:sz w:val="28"/>
        </w:rPr>
        <w:t> </w:t>
      </w:r>
      <w:r>
        <w:rPr>
          <w:rFonts w:ascii="Courier New"/>
          <w:sz w:val="28"/>
        </w:rPr>
        <w:t>sacred</w:t>
      </w:r>
      <w:r>
        <w:rPr>
          <w:rFonts w:ascii="Courier New"/>
          <w:spacing w:val="-34"/>
          <w:sz w:val="28"/>
        </w:rPr>
        <w:t> </w:t>
      </w:r>
      <w:r>
        <w:rPr>
          <w:rFonts w:ascii="Courier New"/>
          <w:sz w:val="28"/>
        </w:rPr>
        <w:t>religious</w:t>
      </w:r>
      <w:r>
        <w:rPr>
          <w:rFonts w:ascii="Courier New"/>
          <w:spacing w:val="-34"/>
          <w:sz w:val="28"/>
        </w:rPr>
        <w:t> </w:t>
      </w:r>
      <w:r>
        <w:rPr>
          <w:rFonts w:ascii="Courier New"/>
          <w:sz w:val="28"/>
        </w:rPr>
        <w:t>books</w:t>
      </w:r>
      <w:r>
        <w:rPr>
          <w:rFonts w:ascii="Courier New"/>
          <w:spacing w:val="-33"/>
          <w:sz w:val="28"/>
        </w:rPr>
        <w:t> </w:t>
      </w:r>
      <w:r>
        <w:rPr>
          <w:rFonts w:ascii="Courier New"/>
          <w:sz w:val="28"/>
        </w:rPr>
        <w:t>including Valmiki Ramayana and Skanda Purana, which faith and beliefs, cannot be held to be groundless. Thus, it is found that in the period prior to 1528 A.D., there</w:t>
      </w:r>
      <w:r>
        <w:rPr>
          <w:rFonts w:ascii="Courier New"/>
          <w:spacing w:val="-67"/>
          <w:sz w:val="28"/>
        </w:rPr>
        <w:t> </w:t>
      </w:r>
      <w:r>
        <w:rPr>
          <w:rFonts w:ascii="Courier New"/>
          <w:sz w:val="28"/>
        </w:rPr>
        <w:t>was</w:t>
      </w:r>
    </w:p>
    <w:p>
      <w:pPr>
        <w:spacing w:after="0" w:line="480" w:lineRule="auto"/>
        <w:jc w:val="both"/>
        <w:rPr>
          <w:rFonts w:ascii="Courier New"/>
          <w:sz w:val="28"/>
        </w:rPr>
        <w:sectPr>
          <w:headerReference w:type="default" r:id="rId338"/>
          <w:footerReference w:type="default" r:id="rId339"/>
          <w:pgSz w:w="11910" w:h="16840"/>
          <w:pgMar w:header="0" w:footer="1063" w:top="1340" w:bottom="1260" w:left="1280" w:right="1280"/>
          <w:pgNumType w:start="65"/>
        </w:sectPr>
      </w:pPr>
    </w:p>
    <w:p>
      <w:pPr>
        <w:spacing w:line="480" w:lineRule="auto" w:before="86"/>
        <w:ind w:left="160" w:right="161" w:firstLine="0"/>
        <w:jc w:val="both"/>
        <w:rPr>
          <w:rFonts w:ascii="Courier New"/>
          <w:sz w:val="28"/>
        </w:rPr>
      </w:pPr>
      <w:r>
        <w:rPr>
          <w:rFonts w:ascii="Courier New"/>
          <w:sz w:val="28"/>
        </w:rPr>
        <w:t>sufficient religious texts, which led the Hindus to believe the present site of Ram Janma Bhumi as the birthplace of Lord Ram.</w:t>
      </w:r>
    </w:p>
    <w:p>
      <w:pPr>
        <w:pStyle w:val="BodyText"/>
        <w:spacing w:before="11"/>
        <w:rPr>
          <w:rFonts w:ascii="Courier New"/>
          <w:sz w:val="27"/>
        </w:rPr>
      </w:pPr>
    </w:p>
    <w:p>
      <w:pPr>
        <w:spacing w:before="0"/>
        <w:ind w:left="160" w:right="161" w:firstLine="0"/>
        <w:jc w:val="both"/>
        <w:rPr>
          <w:rFonts w:ascii="Courier New"/>
          <w:b/>
          <w:sz w:val="28"/>
        </w:rPr>
      </w:pPr>
      <w:r>
        <w:rPr>
          <w:rFonts w:ascii="Courier New"/>
          <w:b/>
          <w:sz w:val="28"/>
          <w:u w:val="thick"/>
        </w:rPr>
        <w:t>Faith and belief regarding Janma Asthan during the</w:t>
      </w:r>
      <w:r>
        <w:rPr>
          <w:rFonts w:ascii="Courier New"/>
          <w:b/>
          <w:sz w:val="28"/>
        </w:rPr>
        <w:t> </w:t>
      </w:r>
      <w:r>
        <w:rPr>
          <w:rFonts w:ascii="Courier New"/>
          <w:b/>
          <w:sz w:val="28"/>
          <w:u w:val="thick"/>
        </w:rPr>
        <w:t>period 1528 A.D. to 31.10.1858.</w:t>
      </w:r>
    </w:p>
    <w:p>
      <w:pPr>
        <w:pStyle w:val="BodyText"/>
        <w:spacing w:before="1"/>
        <w:rPr>
          <w:rFonts w:ascii="Courier New"/>
          <w:b/>
          <w:sz w:val="28"/>
        </w:rPr>
      </w:pPr>
    </w:p>
    <w:p>
      <w:pPr>
        <w:pStyle w:val="ListParagraph"/>
        <w:numPr>
          <w:ilvl w:val="0"/>
          <w:numId w:val="255"/>
        </w:numPr>
        <w:tabs>
          <w:tab w:pos="1579" w:val="left" w:leader="none"/>
        </w:tabs>
        <w:spacing w:line="480" w:lineRule="auto" w:before="0" w:after="0"/>
        <w:ind w:left="160" w:right="159" w:firstLine="0"/>
        <w:jc w:val="both"/>
        <w:rPr>
          <w:rFonts w:ascii="Courier New" w:hAnsi="Courier New"/>
          <w:sz w:val="28"/>
        </w:rPr>
      </w:pPr>
      <w:r>
        <w:rPr>
          <w:rFonts w:ascii="Courier New" w:hAnsi="Courier New"/>
          <w:sz w:val="28"/>
        </w:rPr>
        <w:t>During this period, “Sri Ramacharitmanasa” of Gosvami Tulasidasa was composed in Samvat 1631</w:t>
      </w:r>
      <w:r>
        <w:rPr>
          <w:rFonts w:ascii="Courier New" w:hAnsi="Courier New"/>
          <w:spacing w:val="101"/>
          <w:sz w:val="28"/>
        </w:rPr>
        <w:t> </w:t>
      </w:r>
      <w:r>
        <w:rPr>
          <w:rFonts w:ascii="Courier New" w:hAnsi="Courier New"/>
          <w:sz w:val="28"/>
        </w:rPr>
        <w:t>(1574-</w:t>
      </w:r>
    </w:p>
    <w:p>
      <w:pPr>
        <w:spacing w:line="480" w:lineRule="auto" w:before="0"/>
        <w:ind w:left="160" w:right="156" w:firstLine="0"/>
        <w:jc w:val="both"/>
        <w:rPr>
          <w:rFonts w:ascii="Courier New"/>
          <w:sz w:val="28"/>
        </w:rPr>
      </w:pPr>
      <w:r>
        <w:rPr>
          <w:rFonts w:ascii="Courier New"/>
          <w:sz w:val="28"/>
        </w:rPr>
        <w:t>75 A.D.). The Ramacharitmanasa enjoys a unique place and like Valmiki Ramayana is revered, read and respected by Hindus, which has acquired the status of an Epic in Hindu faith. Gosvami Tulasidasa in Bala- Kanda has composed verses, which are spoken through Lord Vishnu. When Brahma appealed to Vishnu to</w:t>
      </w:r>
      <w:r>
        <w:rPr>
          <w:rFonts w:ascii="Courier New"/>
          <w:spacing w:val="-67"/>
          <w:sz w:val="28"/>
        </w:rPr>
        <w:t> </w:t>
      </w:r>
      <w:r>
        <w:rPr>
          <w:rFonts w:ascii="Courier New"/>
          <w:sz w:val="28"/>
        </w:rPr>
        <w:t>relieve the Devas, Sages, Gandharvas and earth from the</w:t>
      </w:r>
      <w:r>
        <w:rPr>
          <w:rFonts w:ascii="Courier New"/>
          <w:spacing w:val="-64"/>
          <w:sz w:val="28"/>
        </w:rPr>
        <w:t> </w:t>
      </w:r>
      <w:r>
        <w:rPr>
          <w:rFonts w:ascii="Courier New"/>
          <w:sz w:val="28"/>
        </w:rPr>
        <w:t>terror of Demon Ravana (Raavan), Lord Vishnu said that I</w:t>
      </w:r>
      <w:r>
        <w:rPr>
          <w:rFonts w:ascii="Courier New"/>
          <w:spacing w:val="-70"/>
          <w:sz w:val="28"/>
        </w:rPr>
        <w:t> </w:t>
      </w:r>
      <w:r>
        <w:rPr>
          <w:rFonts w:ascii="Courier New"/>
          <w:sz w:val="28"/>
        </w:rPr>
        <w:t>will take a human form and born to Dasaratha and Kausalya in Kosalapuri. After Doha 186, Bala-Kanda in</w:t>
      </w:r>
      <w:r>
        <w:rPr>
          <w:rFonts w:ascii="Courier New"/>
          <w:spacing w:val="-70"/>
          <w:sz w:val="28"/>
        </w:rPr>
        <w:t> </w:t>
      </w:r>
      <w:r>
        <w:rPr>
          <w:rFonts w:ascii="Courier New"/>
          <w:sz w:val="28"/>
        </w:rPr>
        <w:t>following three chaupaiyas (Verses), Lord Vishnu says:-</w:t>
      </w:r>
    </w:p>
    <w:p>
      <w:pPr>
        <w:tabs>
          <w:tab w:pos="5096" w:val="left" w:leader="none"/>
          <w:tab w:pos="6121" w:val="left" w:leader="none"/>
          <w:tab w:pos="6728" w:val="left" w:leader="none"/>
        </w:tabs>
        <w:spacing w:before="0"/>
        <w:ind w:left="1011" w:right="1249" w:hanging="1"/>
        <w:jc w:val="left"/>
        <w:rPr>
          <w:rFonts w:ascii="Nirmala UI" w:hAnsi="Nirmala UI" w:cs="Nirmala UI" w:eastAsia="Nirmala UI"/>
          <w:sz w:val="28"/>
          <w:szCs w:val="28"/>
        </w:rPr>
      </w:pPr>
      <w:r>
        <w:rPr>
          <w:rFonts w:ascii="Nirmala UI" w:hAnsi="Nirmala UI" w:cs="Nirmala UI" w:eastAsia="Nirmala UI"/>
          <w:spacing w:val="1"/>
          <w:w w:val="100"/>
          <w:sz w:val="28"/>
          <w:szCs w:val="28"/>
        </w:rPr>
        <w:t>ज</w:t>
      </w:r>
      <w:r>
        <w:rPr>
          <w:rFonts w:ascii="Nirmala UI" w:hAnsi="Nirmala UI" w:cs="Nirmala UI" w:eastAsia="Nirmala UI"/>
          <w:spacing w:val="-1"/>
          <w:w w:val="100"/>
          <w:sz w:val="28"/>
          <w:szCs w:val="28"/>
        </w:rPr>
        <w:t>ि</w:t>
      </w:r>
      <w:r>
        <w:rPr>
          <w:rFonts w:ascii="Nirmala UI" w:hAnsi="Nirmala UI" w:cs="Nirmala UI" w:eastAsia="Nirmala UI"/>
          <w:w w:val="100"/>
          <w:sz w:val="28"/>
          <w:szCs w:val="28"/>
        </w:rPr>
        <w:t>न</w:t>
      </w:r>
      <w:r>
        <w:rPr>
          <w:rFonts w:ascii="Nirmala UI" w:hAnsi="Nirmala UI" w:cs="Nirmala UI" w:eastAsia="Nirmala UI"/>
          <w:spacing w:val="-1"/>
          <w:sz w:val="28"/>
          <w:szCs w:val="28"/>
        </w:rPr>
        <w:t> </w:t>
      </w:r>
      <w:r>
        <w:rPr>
          <w:rFonts w:ascii="Nirmala UI" w:hAnsi="Nirmala UI" w:cs="Nirmala UI" w:eastAsia="Nirmala UI"/>
          <w:w w:val="100"/>
          <w:sz w:val="28"/>
          <w:szCs w:val="28"/>
        </w:rPr>
        <w:t>ड</w:t>
      </w:r>
      <w:r>
        <w:rPr>
          <w:rFonts w:ascii="Nirmala UI" w:hAnsi="Nirmala UI" w:cs="Nirmala UI" w:eastAsia="Nirmala UI"/>
          <w:spacing w:val="-1"/>
          <w:w w:val="100"/>
          <w:sz w:val="28"/>
          <w:szCs w:val="28"/>
        </w:rPr>
        <w:t>र</w:t>
      </w:r>
      <w:r>
        <w:rPr>
          <w:rFonts w:ascii="Nirmala UI" w:hAnsi="Nirmala UI" w:cs="Nirmala UI" w:eastAsia="Nirmala UI"/>
          <w:spacing w:val="-2"/>
          <w:w w:val="100"/>
          <w:sz w:val="28"/>
          <w:szCs w:val="28"/>
        </w:rPr>
        <w:t>प</w:t>
      </w:r>
      <w:r>
        <w:rPr>
          <w:rFonts w:ascii="Nirmala UI" w:hAnsi="Nirmala UI" w:cs="Nirmala UI" w:eastAsia="Nirmala UI"/>
          <w:w w:val="93"/>
          <w:sz w:val="28"/>
          <w:szCs w:val="28"/>
        </w:rPr>
        <w:t>�</w:t>
      </w:r>
      <w:r>
        <w:rPr>
          <w:rFonts w:ascii="Nirmala UI" w:hAnsi="Nirmala UI" w:cs="Nirmala UI" w:eastAsia="Nirmala UI"/>
          <w:spacing w:val="-1"/>
          <w:sz w:val="28"/>
          <w:szCs w:val="28"/>
        </w:rPr>
        <w:t> </w:t>
      </w:r>
      <w:r>
        <w:rPr>
          <w:rFonts w:ascii="Nirmala UI" w:hAnsi="Nirmala UI" w:cs="Nirmala UI" w:eastAsia="Nirmala UI"/>
          <w:spacing w:val="-7"/>
          <w:w w:val="100"/>
          <w:sz w:val="28"/>
          <w:szCs w:val="28"/>
        </w:rPr>
        <w:t>म</w:t>
      </w:r>
      <w:r>
        <w:rPr>
          <w:rFonts w:ascii="Nirmala UI" w:hAnsi="Nirmala UI" w:cs="Nirmala UI" w:eastAsia="Nirmala UI"/>
          <w:spacing w:val="7"/>
          <w:w w:val="100"/>
          <w:sz w:val="28"/>
          <w:szCs w:val="28"/>
        </w:rPr>
        <w:t>ु</w:t>
      </w:r>
      <w:r>
        <w:rPr>
          <w:rFonts w:ascii="Nirmala UI" w:hAnsi="Nirmala UI" w:cs="Nirmala UI" w:eastAsia="Nirmala UI"/>
          <w:spacing w:val="-1"/>
          <w:w w:val="100"/>
          <w:sz w:val="28"/>
          <w:szCs w:val="28"/>
        </w:rPr>
        <w:t>ि</w:t>
      </w:r>
      <w:r>
        <w:rPr>
          <w:rFonts w:ascii="Nirmala UI" w:hAnsi="Nirmala UI" w:cs="Nirmala UI" w:eastAsia="Nirmala UI"/>
          <w:w w:val="100"/>
          <w:sz w:val="28"/>
          <w:szCs w:val="28"/>
        </w:rPr>
        <w:t>न</w:t>
      </w:r>
      <w:r>
        <w:rPr>
          <w:rFonts w:ascii="Nirmala UI" w:hAnsi="Nirmala UI" w:cs="Nirmala UI" w:eastAsia="Nirmala UI"/>
          <w:spacing w:val="-1"/>
          <w:sz w:val="28"/>
          <w:szCs w:val="28"/>
        </w:rPr>
        <w:t> </w:t>
      </w:r>
      <w:r>
        <w:rPr>
          <w:rFonts w:ascii="Nirmala UI" w:hAnsi="Nirmala UI" w:cs="Nirmala UI" w:eastAsia="Nirmala UI"/>
          <w:spacing w:val="-1"/>
          <w:w w:val="100"/>
          <w:sz w:val="28"/>
          <w:szCs w:val="28"/>
        </w:rPr>
        <w:t>िस</w:t>
      </w:r>
      <w:r>
        <w:rPr>
          <w:rFonts w:ascii="Nirmala UI" w:hAnsi="Nirmala UI" w:cs="Nirmala UI" w:eastAsia="Nirmala UI"/>
          <w:w w:val="131"/>
          <w:sz w:val="28"/>
          <w:szCs w:val="28"/>
        </w:rPr>
        <w:t>�</w:t>
      </w:r>
      <w:r>
        <w:rPr>
          <w:rFonts w:ascii="Nirmala UI" w:hAnsi="Nirmala UI" w:cs="Nirmala UI" w:eastAsia="Nirmala UI"/>
          <w:spacing w:val="-3"/>
          <w:sz w:val="28"/>
          <w:szCs w:val="28"/>
        </w:rPr>
        <w:t> </w:t>
      </w:r>
      <w:r>
        <w:rPr>
          <w:rFonts w:ascii="Nirmala UI" w:hAnsi="Nirmala UI" w:cs="Nirmala UI" w:eastAsia="Nirmala UI"/>
          <w:spacing w:val="-8"/>
          <w:w w:val="100"/>
          <w:sz w:val="28"/>
          <w:szCs w:val="28"/>
        </w:rPr>
        <w:t>स</w:t>
      </w:r>
      <w:r>
        <w:rPr>
          <w:rFonts w:ascii="Nirmala UI" w:hAnsi="Nirmala UI" w:cs="Nirmala UI" w:eastAsia="Nirmala UI"/>
          <w:spacing w:val="7"/>
          <w:w w:val="100"/>
          <w:sz w:val="28"/>
          <w:szCs w:val="28"/>
        </w:rPr>
        <w:t>ु</w:t>
      </w:r>
      <w:r>
        <w:rPr>
          <w:rFonts w:ascii="Nirmala UI" w:hAnsi="Nirmala UI" w:cs="Nirmala UI" w:eastAsia="Nirmala UI"/>
          <w:spacing w:val="-32"/>
          <w:w w:val="100"/>
          <w:sz w:val="28"/>
          <w:szCs w:val="28"/>
        </w:rPr>
        <w:t>र</w:t>
      </w:r>
      <w:r>
        <w:rPr>
          <w:rFonts w:ascii="Nirmala UI" w:hAnsi="Nirmala UI" w:cs="Nirmala UI" w:eastAsia="Nirmala UI"/>
          <w:w w:val="100"/>
          <w:sz w:val="28"/>
          <w:szCs w:val="28"/>
        </w:rPr>
        <w:t>े</w:t>
      </w:r>
      <w:r>
        <w:rPr>
          <w:rFonts w:ascii="Nirmala UI" w:hAnsi="Nirmala UI" w:cs="Nirmala UI" w:eastAsia="Nirmala UI"/>
          <w:spacing w:val="-46"/>
          <w:sz w:val="28"/>
          <w:szCs w:val="28"/>
        </w:rPr>
        <w:t> </w:t>
      </w:r>
      <w:r>
        <w:rPr>
          <w:rFonts w:ascii="Nirmala UI" w:hAnsi="Nirmala UI" w:cs="Nirmala UI" w:eastAsia="Nirmala UI"/>
          <w:spacing w:val="-1"/>
          <w:w w:val="100"/>
          <w:sz w:val="28"/>
          <w:szCs w:val="28"/>
        </w:rPr>
        <w:t>स</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w w:val="100"/>
          <w:sz w:val="28"/>
          <w:szCs w:val="28"/>
        </w:rPr>
        <w:t>।</w:t>
      </w:r>
      <w:r>
        <w:rPr>
          <w:rFonts w:ascii="Nirmala UI" w:hAnsi="Nirmala UI" w:cs="Nirmala UI" w:eastAsia="Nirmala UI"/>
          <w:spacing w:val="1"/>
          <w:sz w:val="28"/>
          <w:szCs w:val="28"/>
        </w:rPr>
        <w:t> </w:t>
      </w:r>
      <w:r>
        <w:rPr>
          <w:rFonts w:ascii="Nirmala UI" w:hAnsi="Nirmala UI" w:cs="Nirmala UI" w:eastAsia="Nirmala UI"/>
          <w:spacing w:val="-7"/>
          <w:w w:val="100"/>
          <w:sz w:val="28"/>
          <w:szCs w:val="28"/>
        </w:rPr>
        <w:t>त</w:t>
      </w:r>
      <w:r>
        <w:rPr>
          <w:rFonts w:ascii="Nirmala UI" w:hAnsi="Nirmala UI" w:cs="Nirmala UI" w:eastAsia="Nirmala UI"/>
          <w:spacing w:val="7"/>
          <w:w w:val="100"/>
          <w:sz w:val="28"/>
          <w:szCs w:val="28"/>
        </w:rPr>
        <w:t>ु</w:t>
      </w:r>
      <w:r>
        <w:rPr>
          <w:rFonts w:ascii="Nirmala UI" w:hAnsi="Nirmala UI" w:cs="Nirmala UI" w:eastAsia="Nirmala UI"/>
          <w:spacing w:val="-1"/>
          <w:w w:val="133"/>
          <w:sz w:val="28"/>
          <w:szCs w:val="28"/>
        </w:rPr>
        <w:t>�ि</w:t>
      </w:r>
      <w:r>
        <w:rPr>
          <w:rFonts w:ascii="Nirmala UI" w:hAnsi="Nirmala UI" w:cs="Nirmala UI" w:eastAsia="Nirmala UI"/>
          <w:w w:val="100"/>
          <w:sz w:val="28"/>
          <w:szCs w:val="28"/>
        </w:rPr>
        <w:t>ह</w:t>
      </w:r>
      <w:r>
        <w:rPr>
          <w:rFonts w:ascii="Nirmala UI" w:hAnsi="Nirmala UI" w:cs="Nirmala UI" w:eastAsia="Nirmala UI"/>
          <w:spacing w:val="-1"/>
          <w:sz w:val="28"/>
          <w:szCs w:val="28"/>
        </w:rPr>
        <w:t> </w:t>
      </w:r>
      <w:r>
        <w:rPr>
          <w:rFonts w:ascii="Nirmala UI" w:hAnsi="Nirmala UI" w:cs="Nirmala UI" w:eastAsia="Nirmala UI"/>
          <w:spacing w:val="1"/>
          <w:w w:val="100"/>
          <w:sz w:val="28"/>
          <w:szCs w:val="28"/>
        </w:rPr>
        <w:t>ल</w:t>
      </w:r>
      <w:r>
        <w:rPr>
          <w:rFonts w:ascii="Nirmala UI" w:hAnsi="Nirmala UI" w:cs="Nirmala UI" w:eastAsia="Nirmala UI"/>
          <w:spacing w:val="-1"/>
          <w:w w:val="100"/>
          <w:sz w:val="28"/>
          <w:szCs w:val="28"/>
        </w:rPr>
        <w:t>ाि</w:t>
      </w:r>
      <w:r>
        <w:rPr>
          <w:rFonts w:ascii="Nirmala UI" w:hAnsi="Nirmala UI" w:cs="Nirmala UI" w:eastAsia="Nirmala UI"/>
          <w:w w:val="100"/>
          <w:sz w:val="28"/>
          <w:szCs w:val="28"/>
        </w:rPr>
        <w:t>ग</w:t>
      </w:r>
      <w:r>
        <w:rPr>
          <w:rFonts w:ascii="Nirmala UI" w:hAnsi="Nirmala UI" w:cs="Nirmala UI" w:eastAsia="Nirmala UI"/>
          <w:spacing w:val="-3"/>
          <w:sz w:val="28"/>
          <w:szCs w:val="28"/>
        </w:rPr>
        <w:t> </w:t>
      </w:r>
      <w:r>
        <w:rPr>
          <w:rFonts w:ascii="Nirmala UI" w:hAnsi="Nirmala UI" w:cs="Nirmala UI" w:eastAsia="Nirmala UI"/>
          <w:spacing w:val="-1"/>
          <w:w w:val="100"/>
          <w:sz w:val="28"/>
          <w:szCs w:val="28"/>
        </w:rPr>
        <w:t>ध</w:t>
      </w:r>
      <w:r>
        <w:rPr>
          <w:rFonts w:ascii="Nirmala UI" w:hAnsi="Nirmala UI" w:cs="Nirmala UI" w:eastAsia="Nirmala UI"/>
          <w:spacing w:val="-1"/>
          <w:w w:val="40"/>
          <w:sz w:val="28"/>
          <w:szCs w:val="28"/>
        </w:rPr>
        <w:t>�</w:t>
      </w:r>
      <w:r>
        <w:rPr>
          <w:rFonts w:ascii="Nirmala UI" w:hAnsi="Nirmala UI" w:cs="Nirmala UI" w:eastAsia="Nirmala UI"/>
          <w:spacing w:val="-1"/>
          <w:w w:val="100"/>
          <w:sz w:val="28"/>
          <w:szCs w:val="28"/>
        </w:rPr>
        <w:t>र</w:t>
      </w:r>
      <w:r>
        <w:rPr>
          <w:rFonts w:ascii="Nirmala UI" w:hAnsi="Nirmala UI" w:cs="Nirmala UI" w:eastAsia="Nirmala UI"/>
          <w:spacing w:val="-2"/>
          <w:w w:val="100"/>
          <w:sz w:val="28"/>
          <w:szCs w:val="28"/>
        </w:rPr>
        <w:t>ह</w:t>
      </w:r>
      <w:r>
        <w:rPr>
          <w:rFonts w:ascii="Nirmala UI" w:hAnsi="Nirmala UI" w:cs="Nirmala UI" w:eastAsia="Nirmala UI"/>
          <w:spacing w:val="-26"/>
          <w:w w:val="100"/>
          <w:sz w:val="28"/>
          <w:szCs w:val="28"/>
        </w:rPr>
        <w:t>उ</w:t>
      </w:r>
      <w:r>
        <w:rPr>
          <w:rFonts w:ascii="Nirmala UI" w:hAnsi="Nirmala UI" w:cs="Nirmala UI" w:eastAsia="Nirmala UI"/>
          <w:w w:val="100"/>
          <w:sz w:val="28"/>
          <w:szCs w:val="28"/>
        </w:rPr>
        <w:t>ँ</w:t>
      </w:r>
      <w:r>
        <w:rPr>
          <w:rFonts w:ascii="Nirmala UI" w:hAnsi="Nirmala UI" w:cs="Nirmala UI" w:eastAsia="Nirmala UI"/>
          <w:spacing w:val="24"/>
          <w:sz w:val="28"/>
          <w:szCs w:val="28"/>
        </w:rPr>
        <w:t> </w:t>
      </w:r>
      <w:r>
        <w:rPr>
          <w:rFonts w:ascii="Nirmala UI" w:hAnsi="Nirmala UI" w:cs="Nirmala UI" w:eastAsia="Nirmala UI"/>
          <w:spacing w:val="-1"/>
          <w:w w:val="100"/>
          <w:sz w:val="28"/>
          <w:szCs w:val="28"/>
        </w:rPr>
        <w:t>न</w:t>
      </w:r>
      <w:r>
        <w:rPr>
          <w:rFonts w:ascii="Nirmala UI" w:hAnsi="Nirmala UI" w:cs="Nirmala UI" w:eastAsia="Nirmala UI"/>
          <w:w w:val="100"/>
          <w:sz w:val="28"/>
          <w:szCs w:val="28"/>
        </w:rPr>
        <w:t>र</w:t>
      </w:r>
      <w:r>
        <w:rPr>
          <w:rFonts w:ascii="Nirmala UI" w:hAnsi="Nirmala UI" w:cs="Nirmala UI" w:eastAsia="Nirmala UI"/>
          <w:spacing w:val="-1"/>
          <w:sz w:val="28"/>
          <w:szCs w:val="28"/>
        </w:rPr>
        <w:t> </w:t>
      </w:r>
      <w:r>
        <w:rPr>
          <w:rFonts w:ascii="Nirmala UI" w:hAnsi="Nirmala UI" w:cs="Nirmala UI" w:eastAsia="Nirmala UI"/>
          <w:spacing w:val="-7"/>
          <w:w w:val="100"/>
          <w:sz w:val="28"/>
          <w:szCs w:val="28"/>
        </w:rPr>
        <w:t>ब</w:t>
      </w:r>
      <w:r>
        <w:rPr>
          <w:rFonts w:ascii="Nirmala UI" w:hAnsi="Nirmala UI" w:cs="Nirmala UI" w:eastAsia="Nirmala UI"/>
          <w:spacing w:val="7"/>
          <w:w w:val="100"/>
          <w:sz w:val="28"/>
          <w:szCs w:val="28"/>
        </w:rPr>
        <w:t>े</w:t>
      </w:r>
      <w:r>
        <w:rPr>
          <w:rFonts w:ascii="Nirmala UI" w:hAnsi="Nirmala UI" w:cs="Nirmala UI" w:eastAsia="Nirmala UI"/>
          <w:spacing w:val="-1"/>
          <w:w w:val="100"/>
          <w:sz w:val="28"/>
          <w:szCs w:val="28"/>
        </w:rPr>
        <w:t>स</w:t>
      </w:r>
      <w:r>
        <w:rPr>
          <w:rFonts w:ascii="Nirmala UI" w:hAnsi="Nirmala UI" w:cs="Nirmala UI" w:eastAsia="Nirmala UI"/>
          <w:w w:val="100"/>
          <w:sz w:val="28"/>
          <w:szCs w:val="28"/>
        </w:rPr>
        <w:t>ा</w:t>
      </w:r>
      <w:r>
        <w:rPr>
          <w:rFonts w:ascii="Nirmala UI" w:hAnsi="Nirmala UI" w:cs="Nirmala UI" w:eastAsia="Nirmala UI"/>
          <w:spacing w:val="-1"/>
          <w:sz w:val="28"/>
          <w:szCs w:val="28"/>
        </w:rPr>
        <w:t> </w:t>
      </w:r>
      <w:r>
        <w:rPr>
          <w:rFonts w:ascii="Nirmala UI" w:hAnsi="Nirmala UI" w:cs="Nirmala UI" w:eastAsia="Nirmala UI"/>
          <w:w w:val="100"/>
          <w:sz w:val="28"/>
          <w:szCs w:val="28"/>
        </w:rPr>
        <w:t>॥ </w:t>
      </w:r>
      <w:r>
        <w:rPr>
          <w:rFonts w:ascii="Nirmala UI" w:hAnsi="Nirmala UI" w:cs="Nirmala UI" w:eastAsia="Nirmala UI"/>
          <w:spacing w:val="-3"/>
          <w:sz w:val="28"/>
          <w:szCs w:val="28"/>
        </w:rPr>
        <w:t>अंस� </w:t>
      </w:r>
      <w:r>
        <w:rPr>
          <w:rFonts w:ascii="Nirmala UI" w:hAnsi="Nirmala UI" w:cs="Nirmala UI" w:eastAsia="Nirmala UI"/>
          <w:sz w:val="28"/>
          <w:szCs w:val="28"/>
        </w:rPr>
        <w:t>सिहत मनुज अवतारा  </w:t>
      </w:r>
      <w:r>
        <w:rPr>
          <w:rFonts w:ascii="Nirmala UI" w:hAnsi="Nirmala UI" w:cs="Nirmala UI" w:eastAsia="Nirmala UI"/>
          <w:spacing w:val="1"/>
          <w:sz w:val="28"/>
          <w:szCs w:val="28"/>
        </w:rPr>
        <w:t> </w:t>
      </w:r>
      <w:r>
        <w:rPr>
          <w:rFonts w:ascii="Nirmala UI" w:hAnsi="Nirmala UI" w:cs="Nirmala UI" w:eastAsia="Nirmala UI"/>
          <w:sz w:val="28"/>
          <w:szCs w:val="28"/>
        </w:rPr>
        <w:t>।</w:t>
      </w:r>
      <w:r>
        <w:rPr>
          <w:rFonts w:ascii="Nirmala UI" w:hAnsi="Nirmala UI" w:cs="Nirmala UI" w:eastAsia="Nirmala UI"/>
          <w:spacing w:val="12"/>
          <w:sz w:val="28"/>
          <w:szCs w:val="28"/>
        </w:rPr>
        <w:t> </w:t>
      </w:r>
      <w:r>
        <w:rPr>
          <w:rFonts w:ascii="Nirmala UI" w:hAnsi="Nirmala UI" w:cs="Nirmala UI" w:eastAsia="Nirmala UI"/>
          <w:spacing w:val="-7"/>
          <w:sz w:val="28"/>
          <w:szCs w:val="28"/>
        </w:rPr>
        <w:t>लेहउँ</w:t>
        <w:tab/>
      </w:r>
      <w:r>
        <w:rPr>
          <w:rFonts w:ascii="Nirmala UI" w:hAnsi="Nirmala UI" w:cs="Nirmala UI" w:eastAsia="Nirmala UI"/>
          <w:sz w:val="28"/>
          <w:szCs w:val="28"/>
        </w:rPr>
        <w:t>िदनकर</w:t>
        <w:tab/>
      </w:r>
      <w:r>
        <w:rPr>
          <w:rFonts w:ascii="Nirmala UI" w:hAnsi="Nirmala UI" w:cs="Nirmala UI" w:eastAsia="Nirmala UI"/>
          <w:spacing w:val="-3"/>
          <w:sz w:val="28"/>
          <w:szCs w:val="28"/>
        </w:rPr>
        <w:t>बंस</w:t>
        <w:tab/>
      </w:r>
      <w:r>
        <w:rPr>
          <w:rFonts w:ascii="Nirmala UI" w:hAnsi="Nirmala UI" w:cs="Nirmala UI" w:eastAsia="Nirmala UI"/>
          <w:sz w:val="28"/>
          <w:szCs w:val="28"/>
        </w:rPr>
        <w:t>उदारा ॥ १</w:t>
      </w:r>
      <w:r>
        <w:rPr>
          <w:rFonts w:ascii="Nirmala UI" w:hAnsi="Nirmala UI" w:cs="Nirmala UI" w:eastAsia="Nirmala UI"/>
          <w:spacing w:val="-2"/>
          <w:sz w:val="28"/>
          <w:szCs w:val="28"/>
        </w:rPr>
        <w:t> </w:t>
      </w:r>
      <w:r>
        <w:rPr>
          <w:rFonts w:ascii="Nirmala UI" w:hAnsi="Nirmala UI" w:cs="Nirmala UI" w:eastAsia="Nirmala UI"/>
          <w:spacing w:val="-14"/>
          <w:sz w:val="28"/>
          <w:szCs w:val="28"/>
        </w:rPr>
        <w:t>॥</w:t>
      </w:r>
    </w:p>
    <w:p>
      <w:pPr>
        <w:spacing w:line="240" w:lineRule="auto" w:before="315"/>
        <w:ind w:left="1012" w:right="1247" w:firstLine="566"/>
        <w:jc w:val="both"/>
        <w:rPr>
          <w:rFonts w:ascii="Courier New" w:hAnsi="Courier New"/>
          <w:sz w:val="28"/>
        </w:rPr>
      </w:pPr>
      <w:r>
        <w:rPr>
          <w:rFonts w:ascii="Courier New" w:hAnsi="Courier New"/>
          <w:sz w:val="28"/>
        </w:rPr>
        <w:t>“Fear not, O sages, Siddhas and Indra (the chief of gods); for your sake I will assume the form of a human being. In the glorious</w:t>
      </w:r>
      <w:r>
        <w:rPr>
          <w:rFonts w:ascii="Courier New" w:hAnsi="Courier New"/>
          <w:spacing w:val="43"/>
          <w:sz w:val="28"/>
        </w:rPr>
        <w:t> </w:t>
      </w:r>
      <w:r>
        <w:rPr>
          <w:rFonts w:ascii="Courier New" w:hAnsi="Courier New"/>
          <w:sz w:val="28"/>
        </w:rPr>
        <w:t>solar</w:t>
      </w:r>
      <w:r>
        <w:rPr>
          <w:rFonts w:ascii="Courier New" w:hAnsi="Courier New"/>
          <w:spacing w:val="44"/>
          <w:sz w:val="28"/>
        </w:rPr>
        <w:t> </w:t>
      </w:r>
      <w:r>
        <w:rPr>
          <w:rFonts w:ascii="Courier New" w:hAnsi="Courier New"/>
          <w:sz w:val="28"/>
        </w:rPr>
        <w:t>race</w:t>
      </w:r>
      <w:r>
        <w:rPr>
          <w:rFonts w:ascii="Courier New" w:hAnsi="Courier New"/>
          <w:spacing w:val="44"/>
          <w:sz w:val="28"/>
        </w:rPr>
        <w:t> </w:t>
      </w:r>
      <w:r>
        <w:rPr>
          <w:rFonts w:ascii="Courier New" w:hAnsi="Courier New"/>
          <w:sz w:val="28"/>
        </w:rPr>
        <w:t>I</w:t>
      </w:r>
      <w:r>
        <w:rPr>
          <w:rFonts w:ascii="Courier New" w:hAnsi="Courier New"/>
          <w:spacing w:val="44"/>
          <w:sz w:val="28"/>
        </w:rPr>
        <w:t> </w:t>
      </w:r>
      <w:r>
        <w:rPr>
          <w:rFonts w:ascii="Courier New" w:hAnsi="Courier New"/>
          <w:sz w:val="28"/>
        </w:rPr>
        <w:t>shall</w:t>
      </w:r>
      <w:r>
        <w:rPr>
          <w:rFonts w:ascii="Courier New" w:hAnsi="Courier New"/>
          <w:spacing w:val="46"/>
          <w:sz w:val="28"/>
        </w:rPr>
        <w:t> </w:t>
      </w:r>
      <w:r>
        <w:rPr>
          <w:rFonts w:ascii="Courier New" w:hAnsi="Courier New"/>
          <w:sz w:val="28"/>
        </w:rPr>
        <w:t>be</w:t>
      </w:r>
      <w:r>
        <w:rPr>
          <w:rFonts w:ascii="Courier New" w:hAnsi="Courier New"/>
          <w:spacing w:val="44"/>
          <w:sz w:val="28"/>
        </w:rPr>
        <w:t> </w:t>
      </w:r>
      <w:r>
        <w:rPr>
          <w:rFonts w:ascii="Courier New" w:hAnsi="Courier New"/>
          <w:sz w:val="28"/>
        </w:rPr>
        <w:t>born</w:t>
      </w:r>
      <w:r>
        <w:rPr>
          <w:rFonts w:ascii="Courier New" w:hAnsi="Courier New"/>
          <w:spacing w:val="44"/>
          <w:sz w:val="28"/>
        </w:rPr>
        <w:t> </w:t>
      </w:r>
      <w:r>
        <w:rPr>
          <w:rFonts w:ascii="Courier New" w:hAnsi="Courier New"/>
          <w:sz w:val="28"/>
        </w:rPr>
        <w:t>as</w:t>
      </w:r>
      <w:r>
        <w:rPr>
          <w:rFonts w:ascii="Courier New" w:hAnsi="Courier New"/>
          <w:spacing w:val="44"/>
          <w:sz w:val="28"/>
        </w:rPr>
        <w:t> </w:t>
      </w:r>
      <w:r>
        <w:rPr>
          <w:rFonts w:ascii="Courier New" w:hAnsi="Courier New"/>
          <w:sz w:val="28"/>
        </w:rPr>
        <w:t>a</w:t>
      </w:r>
    </w:p>
    <w:p>
      <w:pPr>
        <w:spacing w:after="0" w:line="240" w:lineRule="auto"/>
        <w:jc w:val="both"/>
        <w:rPr>
          <w:rFonts w:ascii="Courier New" w:hAnsi="Courier New"/>
          <w:sz w:val="28"/>
        </w:rPr>
        <w:sectPr>
          <w:headerReference w:type="default" r:id="rId340"/>
          <w:footerReference w:type="default" r:id="rId341"/>
          <w:pgSz w:w="11910" w:h="16840"/>
          <w:pgMar w:header="0" w:footer="1063" w:top="1340" w:bottom="1260" w:left="1280" w:right="1280"/>
          <w:pgNumType w:start="66"/>
        </w:sectPr>
      </w:pPr>
    </w:p>
    <w:p>
      <w:pPr>
        <w:tabs>
          <w:tab w:pos="2574" w:val="left" w:leader="none"/>
          <w:tab w:pos="4136" w:val="left" w:leader="none"/>
          <w:tab w:pos="6369" w:val="left" w:leader="none"/>
          <w:tab w:pos="7428" w:val="left" w:leader="none"/>
        </w:tabs>
        <w:spacing w:before="86"/>
        <w:ind w:left="1011" w:right="1246" w:firstLine="0"/>
        <w:jc w:val="left"/>
        <w:rPr>
          <w:rFonts w:ascii="Courier New" w:hAnsi="Courier New"/>
          <w:sz w:val="28"/>
        </w:rPr>
      </w:pPr>
      <w:r>
        <w:rPr>
          <w:rFonts w:ascii="Courier New" w:hAnsi="Courier New"/>
          <w:sz w:val="28"/>
        </w:rPr>
        <w:t>human</w:t>
        <w:tab/>
        <w:t>being</w:t>
        <w:tab/>
        <w:t>alongwith</w:t>
        <w:tab/>
        <w:t>My</w:t>
        <w:tab/>
      </w:r>
      <w:r>
        <w:rPr>
          <w:rFonts w:ascii="Courier New" w:hAnsi="Courier New"/>
          <w:spacing w:val="-5"/>
          <w:sz w:val="28"/>
        </w:rPr>
        <w:t>part </w:t>
      </w:r>
      <w:r>
        <w:rPr>
          <w:rFonts w:ascii="Courier New" w:hAnsi="Courier New"/>
          <w:sz w:val="28"/>
        </w:rPr>
        <w:t>manifestations.”</w:t>
      </w:r>
    </w:p>
    <w:p>
      <w:pPr>
        <w:pStyle w:val="BodyText"/>
        <w:spacing w:before="10"/>
        <w:rPr>
          <w:rFonts w:ascii="Courier New"/>
          <w:sz w:val="27"/>
        </w:rPr>
      </w:pPr>
    </w:p>
    <w:p>
      <w:pPr>
        <w:spacing w:before="0"/>
        <w:ind w:left="1011" w:right="0" w:firstLine="0"/>
        <w:jc w:val="left"/>
        <w:rPr>
          <w:rFonts w:ascii="Nirmala UI" w:hAnsi="Nirmala UI" w:cs="Nirmala UI" w:eastAsia="Nirmala UI"/>
          <w:sz w:val="28"/>
          <w:szCs w:val="28"/>
        </w:rPr>
      </w:pPr>
      <w:r>
        <w:rPr>
          <w:rFonts w:ascii="Nirmala UI" w:hAnsi="Nirmala UI" w:cs="Nirmala UI" w:eastAsia="Nirmala UI"/>
          <w:w w:val="105"/>
          <w:sz w:val="28"/>
          <w:szCs w:val="28"/>
        </w:rPr>
        <w:t>क�प अिदित महातप की�ा । ित� क�ँ म� पूरब बर दी�ा ॥</w:t>
      </w:r>
    </w:p>
    <w:p>
      <w:pPr>
        <w:tabs>
          <w:tab w:pos="1415" w:val="left" w:leader="none"/>
          <w:tab w:pos="2413" w:val="left" w:leader="none"/>
          <w:tab w:pos="3534" w:val="left" w:leader="none"/>
          <w:tab w:pos="5725" w:val="left" w:leader="none"/>
          <w:tab w:pos="6464" w:val="left" w:leader="none"/>
        </w:tabs>
        <w:spacing w:before="2"/>
        <w:ind w:left="1011" w:right="0" w:firstLine="0"/>
        <w:jc w:val="left"/>
        <w:rPr>
          <w:rFonts w:ascii="Nirmala UI" w:hAnsi="Nirmala UI" w:cs="Nirmala UI" w:eastAsia="Nirmala UI"/>
          <w:sz w:val="28"/>
          <w:szCs w:val="28"/>
        </w:rPr>
      </w:pPr>
      <w:r>
        <w:rPr>
          <w:rFonts w:ascii="Nirmala UI" w:hAnsi="Nirmala UI" w:cs="Nirmala UI" w:eastAsia="Nirmala UI"/>
          <w:spacing w:val="-7"/>
          <w:w w:val="100"/>
          <w:sz w:val="28"/>
          <w:szCs w:val="28"/>
        </w:rPr>
        <w:t>त</w:t>
      </w:r>
      <w:r>
        <w:rPr>
          <w:rFonts w:ascii="Nirmala UI" w:hAnsi="Nirmala UI" w:cs="Nirmala UI" w:eastAsia="Nirmala UI"/>
          <w:w w:val="100"/>
          <w:sz w:val="28"/>
          <w:szCs w:val="28"/>
        </w:rPr>
        <w:t>े</w:t>
      </w:r>
      <w:r>
        <w:rPr>
          <w:rFonts w:ascii="Nirmala UI" w:hAnsi="Nirmala UI" w:cs="Nirmala UI" w:eastAsia="Nirmala UI"/>
          <w:sz w:val="28"/>
          <w:szCs w:val="28"/>
        </w:rPr>
        <w:tab/>
      </w:r>
      <w:r>
        <w:rPr>
          <w:rFonts w:ascii="Nirmala UI" w:hAnsi="Nirmala UI" w:cs="Nirmala UI" w:eastAsia="Nirmala UI"/>
          <w:w w:val="100"/>
          <w:sz w:val="28"/>
          <w:szCs w:val="28"/>
        </w:rPr>
        <w:t>द</w:t>
      </w:r>
      <w:r>
        <w:rPr>
          <w:rFonts w:ascii="Nirmala UI" w:hAnsi="Nirmala UI" w:cs="Nirmala UI" w:eastAsia="Nirmala UI"/>
          <w:spacing w:val="-1"/>
          <w:w w:val="100"/>
          <w:sz w:val="28"/>
          <w:szCs w:val="28"/>
        </w:rPr>
        <w:t>स</w:t>
      </w:r>
      <w:r>
        <w:rPr>
          <w:rFonts w:ascii="Nirmala UI" w:hAnsi="Nirmala UI" w:cs="Nirmala UI" w:eastAsia="Nirmala UI"/>
          <w:spacing w:val="-3"/>
          <w:w w:val="100"/>
          <w:sz w:val="28"/>
          <w:szCs w:val="28"/>
        </w:rPr>
        <w:t>र</w:t>
      </w:r>
      <w:r>
        <w:rPr>
          <w:rFonts w:ascii="Nirmala UI" w:hAnsi="Nirmala UI" w:cs="Nirmala UI" w:eastAsia="Nirmala UI"/>
          <w:w w:val="100"/>
          <w:sz w:val="28"/>
          <w:szCs w:val="28"/>
        </w:rPr>
        <w:t>थ</w:t>
      </w:r>
      <w:r>
        <w:rPr>
          <w:rFonts w:ascii="Nirmala UI" w:hAnsi="Nirmala UI" w:cs="Nirmala UI" w:eastAsia="Nirmala UI"/>
          <w:sz w:val="28"/>
          <w:szCs w:val="28"/>
        </w:rPr>
        <w:tab/>
      </w:r>
      <w:r>
        <w:rPr>
          <w:rFonts w:ascii="Nirmala UI" w:hAnsi="Nirmala UI" w:cs="Nirmala UI" w:eastAsia="Nirmala UI"/>
          <w:spacing w:val="-1"/>
          <w:w w:val="100"/>
          <w:sz w:val="28"/>
          <w:szCs w:val="28"/>
        </w:rPr>
        <w:t>क</w:t>
      </w:r>
      <w:r>
        <w:rPr>
          <w:rFonts w:ascii="Nirmala UI" w:hAnsi="Nirmala UI" w:cs="Nirmala UI" w:eastAsia="Nirmala UI"/>
          <w:spacing w:val="-2"/>
          <w:w w:val="100"/>
          <w:sz w:val="28"/>
          <w:szCs w:val="28"/>
        </w:rPr>
        <w:t>ौ</w:t>
      </w:r>
      <w:r>
        <w:rPr>
          <w:rFonts w:ascii="Nirmala UI" w:hAnsi="Nirmala UI" w:cs="Nirmala UI" w:eastAsia="Nirmala UI"/>
          <w:spacing w:val="-1"/>
          <w:w w:val="100"/>
          <w:sz w:val="28"/>
          <w:szCs w:val="28"/>
        </w:rPr>
        <w:t>स</w:t>
      </w:r>
      <w:r>
        <w:rPr>
          <w:rFonts w:ascii="Nirmala UI" w:hAnsi="Nirmala UI" w:cs="Nirmala UI" w:eastAsia="Nirmala UI"/>
          <w:spacing w:val="-1"/>
          <w:w w:val="168"/>
          <w:sz w:val="28"/>
          <w:szCs w:val="28"/>
        </w:rPr>
        <w:t>�</w:t>
      </w:r>
      <w:r>
        <w:rPr>
          <w:rFonts w:ascii="Nirmala UI" w:hAnsi="Nirmala UI" w:cs="Nirmala UI" w:eastAsia="Nirmala UI"/>
          <w:w w:val="100"/>
          <w:sz w:val="28"/>
          <w:szCs w:val="28"/>
        </w:rPr>
        <w:t>ा</w:t>
      </w:r>
      <w:r>
        <w:rPr>
          <w:rFonts w:ascii="Nirmala UI" w:hAnsi="Nirmala UI" w:cs="Nirmala UI" w:eastAsia="Nirmala UI"/>
          <w:sz w:val="28"/>
          <w:szCs w:val="28"/>
        </w:rPr>
        <w:tab/>
      </w:r>
      <w:r>
        <w:rPr>
          <w:rFonts w:ascii="Nirmala UI" w:hAnsi="Nirmala UI" w:cs="Nirmala UI" w:eastAsia="Nirmala UI"/>
          <w:spacing w:val="-1"/>
          <w:w w:val="151"/>
          <w:sz w:val="28"/>
          <w:szCs w:val="28"/>
        </w:rPr>
        <w:t>�</w:t>
      </w:r>
      <w:r>
        <w:rPr>
          <w:rFonts w:ascii="Nirmala UI" w:hAnsi="Nirmala UI" w:cs="Nirmala UI" w:eastAsia="Nirmala UI"/>
          <w:spacing w:val="-2"/>
          <w:w w:val="100"/>
          <w:sz w:val="28"/>
          <w:szCs w:val="28"/>
        </w:rPr>
        <w:t>प</w:t>
      </w:r>
      <w:r>
        <w:rPr>
          <w:rFonts w:ascii="Nirmala UI" w:hAnsi="Nirmala UI" w:cs="Nirmala UI" w:eastAsia="Nirmala UI"/>
          <w:w w:val="100"/>
          <w:sz w:val="28"/>
          <w:szCs w:val="28"/>
        </w:rPr>
        <w:t>ा</w:t>
      </w:r>
      <w:r>
        <w:rPr>
          <w:rFonts w:ascii="Nirmala UI" w:hAnsi="Nirmala UI" w:cs="Nirmala UI" w:eastAsia="Nirmala UI"/>
          <w:spacing w:val="-1"/>
          <w:sz w:val="28"/>
          <w:szCs w:val="28"/>
        </w:rPr>
        <w:t> </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spacing w:val="-1"/>
          <w:w w:val="100"/>
          <w:sz w:val="28"/>
          <w:szCs w:val="28"/>
        </w:rPr>
        <w:t>क</w:t>
      </w:r>
      <w:r>
        <w:rPr>
          <w:rFonts w:ascii="Nirmala UI" w:hAnsi="Nirmala UI" w:cs="Nirmala UI" w:eastAsia="Nirmala UI"/>
          <w:spacing w:val="-2"/>
          <w:w w:val="100"/>
          <w:sz w:val="28"/>
          <w:szCs w:val="28"/>
        </w:rPr>
        <w:t>ो</w:t>
      </w:r>
      <w:r>
        <w:rPr>
          <w:rFonts w:ascii="Nirmala UI" w:hAnsi="Nirmala UI" w:cs="Nirmala UI" w:eastAsia="Nirmala UI"/>
          <w:spacing w:val="-1"/>
          <w:w w:val="100"/>
          <w:sz w:val="28"/>
          <w:szCs w:val="28"/>
        </w:rPr>
        <w:t>स</w:t>
      </w:r>
      <w:r>
        <w:rPr>
          <w:rFonts w:ascii="Nirmala UI" w:hAnsi="Nirmala UI" w:cs="Nirmala UI" w:eastAsia="Nirmala UI"/>
          <w:spacing w:val="1"/>
          <w:w w:val="100"/>
          <w:sz w:val="28"/>
          <w:szCs w:val="28"/>
        </w:rPr>
        <w:t>ल</w:t>
      </w:r>
      <w:r>
        <w:rPr>
          <w:rFonts w:ascii="Nirmala UI" w:hAnsi="Nirmala UI" w:cs="Nirmala UI" w:eastAsia="Nirmala UI"/>
          <w:spacing w:val="-9"/>
          <w:w w:val="100"/>
          <w:sz w:val="28"/>
          <w:szCs w:val="28"/>
        </w:rPr>
        <w:t>प</w:t>
      </w:r>
      <w:r>
        <w:rPr>
          <w:rFonts w:ascii="Nirmala UI" w:hAnsi="Nirmala UI" w:cs="Nirmala UI" w:eastAsia="Nirmala UI"/>
          <w:spacing w:val="7"/>
          <w:w w:val="100"/>
          <w:sz w:val="28"/>
          <w:szCs w:val="28"/>
        </w:rPr>
        <w:t>ु</w:t>
      </w:r>
      <w:r>
        <w:rPr>
          <w:rFonts w:ascii="Nirmala UI" w:hAnsi="Nirmala UI" w:cs="Nirmala UI" w:eastAsia="Nirmala UI"/>
          <w:spacing w:val="-1"/>
          <w:w w:val="100"/>
          <w:sz w:val="28"/>
          <w:szCs w:val="28"/>
        </w:rPr>
        <w:t>र</w:t>
      </w:r>
      <w:r>
        <w:rPr>
          <w:rFonts w:ascii="Nirmala UI" w:hAnsi="Nirmala UI" w:cs="Nirmala UI" w:eastAsia="Nirmala UI"/>
          <w:w w:val="100"/>
          <w:sz w:val="28"/>
          <w:szCs w:val="28"/>
        </w:rPr>
        <w:t>ी</w:t>
      </w:r>
      <w:r>
        <w:rPr>
          <w:rFonts w:ascii="Nirmala UI" w:hAnsi="Nirmala UI" w:cs="Nirmala UI" w:eastAsia="Nirmala UI"/>
          <w:spacing w:val="-52"/>
          <w:sz w:val="28"/>
          <w:szCs w:val="28"/>
        </w:rPr>
        <w:t> </w:t>
      </w:r>
      <w:r>
        <w:rPr>
          <w:rFonts w:ascii="Nirmala UI" w:hAnsi="Nirmala UI" w:cs="Nirmala UI" w:eastAsia="Nirmala UI"/>
          <w:w w:val="100"/>
          <w:sz w:val="28"/>
          <w:szCs w:val="28"/>
        </w:rPr>
        <w:t>ं</w:t>
      </w:r>
      <w:r>
        <w:rPr>
          <w:rFonts w:ascii="Nirmala UI" w:hAnsi="Nirmala UI" w:cs="Nirmala UI" w:eastAsia="Nirmala UI"/>
          <w:sz w:val="28"/>
          <w:szCs w:val="28"/>
        </w:rPr>
        <w:tab/>
      </w:r>
      <w:r>
        <w:rPr>
          <w:rFonts w:ascii="Nirmala UI" w:hAnsi="Nirmala UI" w:cs="Nirmala UI" w:eastAsia="Nirmala UI"/>
          <w:w w:val="55"/>
          <w:sz w:val="28"/>
          <w:szCs w:val="28"/>
        </w:rPr>
        <w:t>प्</w:t>
      </w:r>
      <w:r>
        <w:rPr>
          <w:rFonts w:ascii="Nirmala UI" w:hAnsi="Nirmala UI" w:cs="Nirmala UI" w:eastAsia="Nirmala UI"/>
          <w:spacing w:val="-2"/>
          <w:w w:val="55"/>
          <w:sz w:val="28"/>
          <w:szCs w:val="28"/>
        </w:rPr>
        <w:t>र</w:t>
      </w:r>
      <w:r>
        <w:rPr>
          <w:rFonts w:ascii="Nirmala UI" w:hAnsi="Nirmala UI" w:cs="Nirmala UI" w:eastAsia="Nirmala UI"/>
          <w:w w:val="100"/>
          <w:sz w:val="28"/>
          <w:szCs w:val="28"/>
        </w:rPr>
        <w:t>गट</w:t>
      </w:r>
      <w:r>
        <w:rPr>
          <w:rFonts w:ascii="Nirmala UI" w:hAnsi="Nirmala UI" w:cs="Nirmala UI" w:eastAsia="Nirmala UI"/>
          <w:sz w:val="28"/>
          <w:szCs w:val="28"/>
        </w:rPr>
        <w:tab/>
      </w:r>
      <w:r>
        <w:rPr>
          <w:rFonts w:ascii="Nirmala UI" w:hAnsi="Nirmala UI" w:cs="Nirmala UI" w:eastAsia="Nirmala UI"/>
          <w:spacing w:val="-1"/>
          <w:w w:val="100"/>
          <w:sz w:val="28"/>
          <w:szCs w:val="28"/>
        </w:rPr>
        <w:t>नर</w:t>
      </w:r>
      <w:r>
        <w:rPr>
          <w:rFonts w:ascii="Nirmala UI" w:hAnsi="Nirmala UI" w:cs="Nirmala UI" w:eastAsia="Nirmala UI"/>
          <w:spacing w:val="-7"/>
          <w:w w:val="100"/>
          <w:sz w:val="28"/>
          <w:szCs w:val="28"/>
        </w:rPr>
        <w:t>भ</w:t>
      </w:r>
      <w:r>
        <w:rPr>
          <w:rFonts w:ascii="Nirmala UI" w:hAnsi="Nirmala UI" w:cs="Nirmala UI" w:eastAsia="Nirmala UI"/>
          <w:spacing w:val="7"/>
          <w:w w:val="100"/>
          <w:sz w:val="28"/>
          <w:szCs w:val="28"/>
        </w:rPr>
        <w:t>ू</w:t>
      </w:r>
      <w:r>
        <w:rPr>
          <w:rFonts w:ascii="Nirmala UI" w:hAnsi="Nirmala UI" w:cs="Nirmala UI" w:eastAsia="Nirmala UI"/>
          <w:spacing w:val="-2"/>
          <w:w w:val="100"/>
          <w:sz w:val="28"/>
          <w:szCs w:val="28"/>
        </w:rPr>
        <w:t>प</w:t>
      </w:r>
      <w:r>
        <w:rPr>
          <w:rFonts w:ascii="Nirmala UI" w:hAnsi="Nirmala UI" w:cs="Nirmala UI" w:eastAsia="Nirmala UI"/>
          <w:w w:val="100"/>
          <w:sz w:val="28"/>
          <w:szCs w:val="28"/>
        </w:rPr>
        <w:t>ा</w:t>
      </w:r>
      <w:r>
        <w:rPr>
          <w:rFonts w:ascii="Nirmala UI" w:hAnsi="Nirmala UI" w:cs="Nirmala UI" w:eastAsia="Nirmala UI"/>
          <w:spacing w:val="-1"/>
          <w:sz w:val="28"/>
          <w:szCs w:val="28"/>
        </w:rPr>
        <w:t> </w:t>
      </w:r>
      <w:r>
        <w:rPr>
          <w:rFonts w:ascii="Nirmala UI" w:hAnsi="Nirmala UI" w:cs="Nirmala UI" w:eastAsia="Nirmala UI"/>
          <w:w w:val="100"/>
          <w:sz w:val="28"/>
          <w:szCs w:val="28"/>
        </w:rPr>
        <w:t>॥</w:t>
      </w:r>
      <w:r>
        <w:rPr>
          <w:rFonts w:ascii="Nirmala UI" w:hAnsi="Nirmala UI" w:cs="Nirmala UI" w:eastAsia="Nirmala UI"/>
          <w:spacing w:val="-1"/>
          <w:sz w:val="28"/>
          <w:szCs w:val="28"/>
        </w:rPr>
        <w:t> </w:t>
      </w:r>
      <w:r>
        <w:rPr>
          <w:rFonts w:ascii="Nirmala UI" w:hAnsi="Nirmala UI" w:cs="Nirmala UI" w:eastAsia="Nirmala UI"/>
          <w:w w:val="100"/>
          <w:sz w:val="28"/>
          <w:szCs w:val="28"/>
        </w:rPr>
        <w:t>२</w:t>
      </w:r>
      <w:r>
        <w:rPr>
          <w:rFonts w:ascii="Nirmala UI" w:hAnsi="Nirmala UI" w:cs="Nirmala UI" w:eastAsia="Nirmala UI"/>
          <w:spacing w:val="-1"/>
          <w:sz w:val="28"/>
          <w:szCs w:val="28"/>
        </w:rPr>
        <w:t> </w:t>
      </w:r>
      <w:r>
        <w:rPr>
          <w:rFonts w:ascii="Nirmala UI" w:hAnsi="Nirmala UI" w:cs="Nirmala UI" w:eastAsia="Nirmala UI"/>
          <w:w w:val="100"/>
          <w:sz w:val="28"/>
          <w:szCs w:val="28"/>
        </w:rPr>
        <w:t>॥</w:t>
      </w:r>
    </w:p>
    <w:p>
      <w:pPr>
        <w:spacing w:line="240" w:lineRule="auto" w:before="316"/>
        <w:ind w:left="1012" w:right="1247" w:firstLine="566"/>
        <w:jc w:val="both"/>
        <w:rPr>
          <w:rFonts w:ascii="Courier New" w:hAnsi="Courier New"/>
          <w:sz w:val="28"/>
        </w:rPr>
      </w:pPr>
      <w:r>
        <w:rPr>
          <w:rFonts w:ascii="Courier New" w:hAnsi="Courier New"/>
          <w:sz w:val="28"/>
        </w:rPr>
        <w:t>“The</w:t>
      </w:r>
      <w:r>
        <w:rPr>
          <w:rFonts w:ascii="Courier New" w:hAnsi="Courier New"/>
          <w:spacing w:val="-31"/>
          <w:sz w:val="28"/>
        </w:rPr>
        <w:t> </w:t>
      </w:r>
      <w:r>
        <w:rPr>
          <w:rFonts w:ascii="Courier New" w:hAnsi="Courier New"/>
          <w:sz w:val="28"/>
        </w:rPr>
        <w:t>sage</w:t>
      </w:r>
      <w:r>
        <w:rPr>
          <w:rFonts w:ascii="Courier New" w:hAnsi="Courier New"/>
          <w:spacing w:val="-31"/>
          <w:sz w:val="28"/>
        </w:rPr>
        <w:t> </w:t>
      </w:r>
      <w:r>
        <w:rPr>
          <w:rFonts w:ascii="Courier New" w:hAnsi="Courier New"/>
          <w:sz w:val="28"/>
        </w:rPr>
        <w:t>Kasyapa</w:t>
      </w:r>
      <w:r>
        <w:rPr>
          <w:rFonts w:ascii="Courier New" w:hAnsi="Courier New"/>
          <w:spacing w:val="-31"/>
          <w:sz w:val="28"/>
        </w:rPr>
        <w:t> </w:t>
      </w:r>
      <w:r>
        <w:rPr>
          <w:rFonts w:ascii="Courier New" w:hAnsi="Courier New"/>
          <w:sz w:val="28"/>
        </w:rPr>
        <w:t>and</w:t>
      </w:r>
      <w:r>
        <w:rPr>
          <w:rFonts w:ascii="Courier New" w:hAnsi="Courier New"/>
          <w:spacing w:val="-31"/>
          <w:sz w:val="28"/>
        </w:rPr>
        <w:t> </w:t>
      </w:r>
      <w:r>
        <w:rPr>
          <w:rFonts w:ascii="Courier New" w:hAnsi="Courier New"/>
          <w:sz w:val="28"/>
        </w:rPr>
        <w:t>his</w:t>
      </w:r>
      <w:r>
        <w:rPr>
          <w:rFonts w:ascii="Courier New" w:hAnsi="Courier New"/>
          <w:spacing w:val="-31"/>
          <w:sz w:val="28"/>
        </w:rPr>
        <w:t> </w:t>
      </w:r>
      <w:r>
        <w:rPr>
          <w:rFonts w:ascii="Courier New" w:hAnsi="Courier New"/>
          <w:sz w:val="28"/>
        </w:rPr>
        <w:t>wife</w:t>
      </w:r>
      <w:r>
        <w:rPr>
          <w:rFonts w:ascii="Courier New" w:hAnsi="Courier New"/>
          <w:spacing w:val="-31"/>
          <w:sz w:val="28"/>
        </w:rPr>
        <w:t> </w:t>
      </w:r>
      <w:r>
        <w:rPr>
          <w:rFonts w:ascii="Courier New" w:hAnsi="Courier New"/>
          <w:sz w:val="28"/>
        </w:rPr>
        <w:t>Aditi</w:t>
      </w:r>
      <w:r>
        <w:rPr>
          <w:rFonts w:ascii="Courier New" w:hAnsi="Courier New"/>
          <w:spacing w:val="-31"/>
          <w:sz w:val="28"/>
        </w:rPr>
        <w:t> </w:t>
      </w:r>
      <w:r>
        <w:rPr>
          <w:rFonts w:ascii="Courier New" w:hAnsi="Courier New"/>
          <w:sz w:val="28"/>
        </w:rPr>
        <w:t>did severe penance; to them I have already vouchsafed a boon. They have appeared in the</w:t>
      </w:r>
      <w:r>
        <w:rPr>
          <w:rFonts w:ascii="Courier New" w:hAnsi="Courier New"/>
          <w:spacing w:val="-17"/>
          <w:sz w:val="28"/>
        </w:rPr>
        <w:t> </w:t>
      </w:r>
      <w:r>
        <w:rPr>
          <w:rFonts w:ascii="Courier New" w:hAnsi="Courier New"/>
          <w:sz w:val="28"/>
        </w:rPr>
        <w:t>city</w:t>
      </w:r>
      <w:r>
        <w:rPr>
          <w:rFonts w:ascii="Courier New" w:hAnsi="Courier New"/>
          <w:spacing w:val="-16"/>
          <w:sz w:val="28"/>
        </w:rPr>
        <w:t> </w:t>
      </w:r>
      <w:r>
        <w:rPr>
          <w:rFonts w:ascii="Courier New" w:hAnsi="Courier New"/>
          <w:sz w:val="28"/>
        </w:rPr>
        <w:t>of</w:t>
      </w:r>
      <w:r>
        <w:rPr>
          <w:rFonts w:ascii="Courier New" w:hAnsi="Courier New"/>
          <w:spacing w:val="-17"/>
          <w:sz w:val="28"/>
        </w:rPr>
        <w:t> </w:t>
      </w:r>
      <w:r>
        <w:rPr>
          <w:rFonts w:ascii="Courier New" w:hAnsi="Courier New"/>
          <w:sz w:val="28"/>
        </w:rPr>
        <w:t>Ayodhya</w:t>
      </w:r>
      <w:r>
        <w:rPr>
          <w:rFonts w:ascii="Courier New" w:hAnsi="Courier New"/>
          <w:spacing w:val="-16"/>
          <w:sz w:val="28"/>
        </w:rPr>
        <w:t> </w:t>
      </w:r>
      <w:r>
        <w:rPr>
          <w:rFonts w:ascii="Courier New" w:hAnsi="Courier New"/>
          <w:sz w:val="28"/>
        </w:rPr>
        <w:t>as</w:t>
      </w:r>
      <w:r>
        <w:rPr>
          <w:rFonts w:ascii="Courier New" w:hAnsi="Courier New"/>
          <w:spacing w:val="-16"/>
          <w:sz w:val="28"/>
        </w:rPr>
        <w:t> </w:t>
      </w:r>
      <w:r>
        <w:rPr>
          <w:rFonts w:ascii="Courier New" w:hAnsi="Courier New"/>
          <w:sz w:val="28"/>
        </w:rPr>
        <w:t>rulers</w:t>
      </w:r>
      <w:r>
        <w:rPr>
          <w:rFonts w:ascii="Courier New" w:hAnsi="Courier New"/>
          <w:spacing w:val="-17"/>
          <w:sz w:val="28"/>
        </w:rPr>
        <w:t> </w:t>
      </w:r>
      <w:r>
        <w:rPr>
          <w:rFonts w:ascii="Courier New" w:hAnsi="Courier New"/>
          <w:sz w:val="28"/>
        </w:rPr>
        <w:t>of</w:t>
      </w:r>
      <w:r>
        <w:rPr>
          <w:rFonts w:ascii="Courier New" w:hAnsi="Courier New"/>
          <w:spacing w:val="-16"/>
          <w:sz w:val="28"/>
        </w:rPr>
        <w:t> </w:t>
      </w:r>
      <w:r>
        <w:rPr>
          <w:rFonts w:ascii="Courier New" w:hAnsi="Courier New"/>
          <w:sz w:val="28"/>
        </w:rPr>
        <w:t>men</w:t>
      </w:r>
      <w:r>
        <w:rPr>
          <w:rFonts w:ascii="Courier New" w:hAnsi="Courier New"/>
          <w:spacing w:val="-17"/>
          <w:sz w:val="28"/>
        </w:rPr>
        <w:t> </w:t>
      </w:r>
      <w:r>
        <w:rPr>
          <w:rFonts w:ascii="Courier New" w:hAnsi="Courier New"/>
          <w:sz w:val="28"/>
        </w:rPr>
        <w:t>in</w:t>
      </w:r>
      <w:r>
        <w:rPr>
          <w:rFonts w:ascii="Courier New" w:hAnsi="Courier New"/>
          <w:spacing w:val="-16"/>
          <w:sz w:val="28"/>
        </w:rPr>
        <w:t> </w:t>
      </w:r>
      <w:r>
        <w:rPr>
          <w:rFonts w:ascii="Courier New" w:hAnsi="Courier New"/>
          <w:sz w:val="28"/>
        </w:rPr>
        <w:t>the form of Dasaratha and</w:t>
      </w:r>
      <w:r>
        <w:rPr>
          <w:rFonts w:ascii="Courier New" w:hAnsi="Courier New"/>
          <w:spacing w:val="-8"/>
          <w:sz w:val="28"/>
        </w:rPr>
        <w:t> </w:t>
      </w:r>
      <w:r>
        <w:rPr>
          <w:rFonts w:ascii="Courier New" w:hAnsi="Courier New"/>
          <w:sz w:val="28"/>
        </w:rPr>
        <w:t>Kausalya.”</w:t>
      </w:r>
    </w:p>
    <w:p>
      <w:pPr>
        <w:pStyle w:val="BodyText"/>
        <w:spacing w:before="1"/>
        <w:rPr>
          <w:rFonts w:ascii="Courier New"/>
          <w:sz w:val="28"/>
        </w:rPr>
      </w:pPr>
    </w:p>
    <w:p>
      <w:pPr>
        <w:tabs>
          <w:tab w:pos="4983" w:val="left" w:leader="none"/>
          <w:tab w:pos="5806" w:val="left" w:leader="none"/>
          <w:tab w:pos="6598" w:val="left" w:leader="none"/>
        </w:tabs>
        <w:spacing w:before="0"/>
        <w:ind w:left="868" w:right="875" w:hanging="1"/>
        <w:jc w:val="left"/>
        <w:rPr>
          <w:rFonts w:ascii="Nirmala UI" w:hAnsi="Nirmala UI" w:cs="Nirmala UI" w:eastAsia="Nirmala UI"/>
          <w:sz w:val="28"/>
          <w:szCs w:val="28"/>
        </w:rPr>
      </w:pPr>
      <w:r>
        <w:rPr>
          <w:rFonts w:ascii="Nirmala UI" w:hAnsi="Nirmala UI" w:cs="Nirmala UI" w:eastAsia="Nirmala UI"/>
          <w:spacing w:val="-1"/>
          <w:w w:val="100"/>
          <w:sz w:val="28"/>
          <w:szCs w:val="28"/>
        </w:rPr>
        <w:t>ि</w:t>
      </w:r>
      <w:r>
        <w:rPr>
          <w:rFonts w:ascii="Nirmala UI" w:hAnsi="Nirmala UI" w:cs="Nirmala UI" w:eastAsia="Nirmala UI"/>
          <w:spacing w:val="1"/>
          <w:w w:val="100"/>
          <w:sz w:val="28"/>
          <w:szCs w:val="28"/>
        </w:rPr>
        <w:t>त</w:t>
      </w:r>
      <w:r>
        <w:rPr>
          <w:rFonts w:ascii="Nirmala UI" w:hAnsi="Nirmala UI" w:cs="Nirmala UI" w:eastAsia="Nirmala UI"/>
          <w:w w:val="135"/>
          <w:sz w:val="28"/>
          <w:szCs w:val="28"/>
        </w:rPr>
        <w:t>�</w:t>
      </w:r>
      <w:r>
        <w:rPr>
          <w:rFonts w:ascii="Nirmala UI" w:hAnsi="Nirmala UI" w:cs="Nirmala UI" w:eastAsia="Nirmala UI"/>
          <w:sz w:val="28"/>
          <w:szCs w:val="28"/>
        </w:rPr>
        <w:t> </w:t>
      </w:r>
      <w:r>
        <w:rPr>
          <w:rFonts w:ascii="Nirmala UI" w:hAnsi="Nirmala UI" w:cs="Nirmala UI" w:eastAsia="Nirmala UI"/>
          <w:spacing w:val="-94"/>
          <w:w w:val="100"/>
          <w:sz w:val="28"/>
          <w:szCs w:val="28"/>
        </w:rPr>
        <w:t>क</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7"/>
          <w:sz w:val="28"/>
          <w:szCs w:val="28"/>
        </w:rPr>
        <w:t> </w:t>
      </w:r>
      <w:r>
        <w:rPr>
          <w:rFonts w:ascii="Nirmala UI" w:hAnsi="Nirmala UI" w:cs="Nirmala UI" w:eastAsia="Nirmala UI"/>
          <w:spacing w:val="-8"/>
          <w:w w:val="100"/>
          <w:sz w:val="28"/>
          <w:szCs w:val="28"/>
        </w:rPr>
        <w:t>ग</w:t>
      </w:r>
      <w:r>
        <w:rPr>
          <w:rFonts w:ascii="Nirmala UI" w:hAnsi="Nirmala UI" w:cs="Nirmala UI" w:eastAsia="Nirmala UI"/>
          <w:spacing w:val="7"/>
          <w:w w:val="100"/>
          <w:sz w:val="28"/>
          <w:szCs w:val="28"/>
        </w:rPr>
        <w:t>ृ</w:t>
      </w:r>
      <w:r>
        <w:rPr>
          <w:rFonts w:ascii="Nirmala UI" w:hAnsi="Nirmala UI" w:cs="Nirmala UI" w:eastAsia="Nirmala UI"/>
          <w:w w:val="100"/>
          <w:sz w:val="28"/>
          <w:szCs w:val="28"/>
        </w:rPr>
        <w:t>ह</w:t>
      </w:r>
      <w:r>
        <w:rPr>
          <w:rFonts w:ascii="Nirmala UI" w:hAnsi="Nirmala UI" w:cs="Nirmala UI" w:eastAsia="Nirmala UI"/>
          <w:spacing w:val="-1"/>
          <w:sz w:val="28"/>
          <w:szCs w:val="28"/>
        </w:rPr>
        <w:t> </w:t>
      </w:r>
      <w:r>
        <w:rPr>
          <w:rFonts w:ascii="Nirmala UI" w:hAnsi="Nirmala UI" w:cs="Nirmala UI" w:eastAsia="Nirmala UI"/>
          <w:spacing w:val="-3"/>
          <w:w w:val="100"/>
          <w:sz w:val="28"/>
          <w:szCs w:val="28"/>
        </w:rPr>
        <w:t>अ</w:t>
      </w:r>
      <w:r>
        <w:rPr>
          <w:rFonts w:ascii="Nirmala UI" w:hAnsi="Nirmala UI" w:cs="Nirmala UI" w:eastAsia="Nirmala UI"/>
          <w:w w:val="100"/>
          <w:sz w:val="28"/>
          <w:szCs w:val="28"/>
        </w:rPr>
        <w:t>व</w:t>
      </w:r>
      <w:r>
        <w:rPr>
          <w:rFonts w:ascii="Nirmala UI" w:hAnsi="Nirmala UI" w:cs="Nirmala UI" w:eastAsia="Nirmala UI"/>
          <w:spacing w:val="1"/>
          <w:w w:val="100"/>
          <w:sz w:val="28"/>
          <w:szCs w:val="28"/>
        </w:rPr>
        <w:t>त</w:t>
      </w:r>
      <w:r>
        <w:rPr>
          <w:rFonts w:ascii="Nirmala UI" w:hAnsi="Nirmala UI" w:cs="Nirmala UI" w:eastAsia="Nirmala UI"/>
          <w:spacing w:val="-1"/>
          <w:w w:val="40"/>
          <w:sz w:val="28"/>
          <w:szCs w:val="28"/>
        </w:rPr>
        <w:t>�</w:t>
      </w:r>
      <w:r>
        <w:rPr>
          <w:rFonts w:ascii="Nirmala UI" w:hAnsi="Nirmala UI" w:cs="Nirmala UI" w:eastAsia="Nirmala UI"/>
          <w:spacing w:val="-1"/>
          <w:w w:val="100"/>
          <w:sz w:val="28"/>
          <w:szCs w:val="28"/>
        </w:rPr>
        <w:t>र</w:t>
      </w:r>
      <w:r>
        <w:rPr>
          <w:rFonts w:ascii="Nirmala UI" w:hAnsi="Nirmala UI" w:cs="Nirmala UI" w:eastAsia="Nirmala UI"/>
          <w:spacing w:val="-2"/>
          <w:w w:val="100"/>
          <w:sz w:val="28"/>
          <w:szCs w:val="28"/>
        </w:rPr>
        <w:t>ह</w:t>
      </w:r>
      <w:r>
        <w:rPr>
          <w:rFonts w:ascii="Nirmala UI" w:hAnsi="Nirmala UI" w:cs="Nirmala UI" w:eastAsia="Nirmala UI"/>
          <w:spacing w:val="-26"/>
          <w:w w:val="100"/>
          <w:sz w:val="28"/>
          <w:szCs w:val="28"/>
        </w:rPr>
        <w:t>उ</w:t>
      </w:r>
      <w:r>
        <w:rPr>
          <w:rFonts w:ascii="Nirmala UI" w:hAnsi="Nirmala UI" w:cs="Nirmala UI" w:eastAsia="Nirmala UI"/>
          <w:w w:val="100"/>
          <w:sz w:val="28"/>
          <w:szCs w:val="28"/>
        </w:rPr>
        <w:t>ँ</w:t>
      </w:r>
      <w:r>
        <w:rPr>
          <w:rFonts w:ascii="Nirmala UI" w:hAnsi="Nirmala UI" w:cs="Nirmala UI" w:eastAsia="Nirmala UI"/>
          <w:spacing w:val="21"/>
          <w:sz w:val="28"/>
          <w:szCs w:val="28"/>
        </w:rPr>
        <w:t> </w:t>
      </w:r>
      <w:r>
        <w:rPr>
          <w:rFonts w:ascii="Nirmala UI" w:hAnsi="Nirmala UI" w:cs="Nirmala UI" w:eastAsia="Nirmala UI"/>
          <w:spacing w:val="1"/>
          <w:w w:val="100"/>
          <w:sz w:val="28"/>
          <w:szCs w:val="28"/>
        </w:rPr>
        <w:t>ज</w:t>
      </w:r>
      <w:r>
        <w:rPr>
          <w:rFonts w:ascii="Nirmala UI" w:hAnsi="Nirmala UI" w:cs="Nirmala UI" w:eastAsia="Nirmala UI"/>
          <w:spacing w:val="-1"/>
          <w:w w:val="100"/>
          <w:sz w:val="28"/>
          <w:szCs w:val="28"/>
        </w:rPr>
        <w:t>ा</w:t>
      </w:r>
      <w:r>
        <w:rPr>
          <w:rFonts w:ascii="Nirmala UI" w:hAnsi="Nirmala UI" w:cs="Nirmala UI" w:eastAsia="Nirmala UI"/>
          <w:w w:val="100"/>
          <w:sz w:val="28"/>
          <w:szCs w:val="28"/>
        </w:rPr>
        <w:t>ई</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spacing w:val="-1"/>
          <w:w w:val="100"/>
          <w:sz w:val="28"/>
          <w:szCs w:val="28"/>
        </w:rPr>
        <w:t>र</w:t>
      </w:r>
      <w:r>
        <w:rPr>
          <w:rFonts w:ascii="Nirmala UI" w:hAnsi="Nirmala UI" w:cs="Nirmala UI" w:eastAsia="Nirmala UI"/>
          <w:spacing w:val="-8"/>
          <w:w w:val="100"/>
          <w:sz w:val="28"/>
          <w:szCs w:val="28"/>
        </w:rPr>
        <w:t>घ</w:t>
      </w:r>
      <w:r>
        <w:rPr>
          <w:rFonts w:ascii="Nirmala UI" w:hAnsi="Nirmala UI" w:cs="Nirmala UI" w:eastAsia="Nirmala UI"/>
          <w:spacing w:val="7"/>
          <w:w w:val="100"/>
          <w:sz w:val="28"/>
          <w:szCs w:val="28"/>
        </w:rPr>
        <w:t>ु</w:t>
      </w:r>
      <w:r>
        <w:rPr>
          <w:rFonts w:ascii="Nirmala UI" w:hAnsi="Nirmala UI" w:cs="Nirmala UI" w:eastAsia="Nirmala UI"/>
          <w:spacing w:val="-94"/>
          <w:w w:val="100"/>
          <w:sz w:val="28"/>
          <w:szCs w:val="28"/>
        </w:rPr>
        <w:t>क</w:t>
      </w:r>
      <w:r>
        <w:rPr>
          <w:rFonts w:ascii="Nirmala UI" w:hAnsi="Nirmala UI" w:cs="Nirmala UI" w:eastAsia="Nirmala UI"/>
          <w:w w:val="100"/>
          <w:sz w:val="28"/>
          <w:szCs w:val="28"/>
        </w:rPr>
        <w:t>ु</w:t>
      </w:r>
      <w:r>
        <w:rPr>
          <w:rFonts w:ascii="Nirmala UI" w:hAnsi="Nirmala UI" w:cs="Nirmala UI" w:eastAsia="Nirmala UI"/>
          <w:spacing w:val="14"/>
          <w:sz w:val="28"/>
          <w:szCs w:val="28"/>
        </w:rPr>
        <w:t> </w:t>
      </w:r>
      <w:r>
        <w:rPr>
          <w:rFonts w:ascii="Nirmala UI" w:hAnsi="Nirmala UI" w:cs="Nirmala UI" w:eastAsia="Nirmala UI"/>
          <w:w w:val="100"/>
          <w:sz w:val="28"/>
          <w:szCs w:val="28"/>
        </w:rPr>
        <w:t>ल</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spacing w:val="-1"/>
          <w:w w:val="100"/>
          <w:sz w:val="28"/>
          <w:szCs w:val="28"/>
        </w:rPr>
        <w:t>ि</w:t>
      </w:r>
      <w:r>
        <w:rPr>
          <w:rFonts w:ascii="Nirmala UI" w:hAnsi="Nirmala UI" w:cs="Nirmala UI" w:eastAsia="Nirmala UI"/>
          <w:spacing w:val="-2"/>
          <w:w w:val="100"/>
          <w:sz w:val="28"/>
          <w:szCs w:val="28"/>
        </w:rPr>
        <w:t>तल</w:t>
      </w:r>
      <w:r>
        <w:rPr>
          <w:rFonts w:ascii="Nirmala UI" w:hAnsi="Nirmala UI" w:cs="Nirmala UI" w:eastAsia="Nirmala UI"/>
          <w:w w:val="100"/>
          <w:sz w:val="28"/>
          <w:szCs w:val="28"/>
        </w:rPr>
        <w:t>क</w:t>
      </w:r>
      <w:r>
        <w:rPr>
          <w:rFonts w:ascii="Nirmala UI" w:hAnsi="Nirmala UI" w:cs="Nirmala UI" w:eastAsia="Nirmala UI"/>
          <w:sz w:val="28"/>
          <w:szCs w:val="28"/>
        </w:rPr>
        <w:t>  </w:t>
      </w:r>
      <w:r>
        <w:rPr>
          <w:rFonts w:ascii="Nirmala UI" w:hAnsi="Nirmala UI" w:cs="Nirmala UI" w:eastAsia="Nirmala UI"/>
          <w:spacing w:val="-1"/>
          <w:w w:val="100"/>
          <w:sz w:val="28"/>
          <w:szCs w:val="28"/>
        </w:rPr>
        <w:t>स</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spacing w:val="-1"/>
          <w:w w:val="100"/>
          <w:sz w:val="28"/>
          <w:szCs w:val="28"/>
        </w:rPr>
        <w:t>चा</w:t>
      </w:r>
      <w:r>
        <w:rPr>
          <w:rFonts w:ascii="Nirmala UI" w:hAnsi="Nirmala UI" w:cs="Nirmala UI" w:eastAsia="Nirmala UI"/>
          <w:spacing w:val="-1"/>
          <w:w w:val="40"/>
          <w:sz w:val="28"/>
          <w:szCs w:val="28"/>
        </w:rPr>
        <w:t>�</w:t>
      </w:r>
      <w:r>
        <w:rPr>
          <w:rFonts w:ascii="Nirmala UI" w:hAnsi="Nirmala UI" w:cs="Nirmala UI" w:eastAsia="Nirmala UI"/>
          <w:spacing w:val="-1"/>
          <w:w w:val="100"/>
          <w:sz w:val="28"/>
          <w:szCs w:val="28"/>
        </w:rPr>
        <w:t>र</w:t>
      </w:r>
      <w:r>
        <w:rPr>
          <w:rFonts w:ascii="Nirmala UI" w:hAnsi="Nirmala UI" w:cs="Nirmala UI" w:eastAsia="Nirmala UI"/>
          <w:w w:val="100"/>
          <w:sz w:val="28"/>
          <w:szCs w:val="28"/>
        </w:rPr>
        <w:t>उ</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w w:val="100"/>
          <w:sz w:val="28"/>
          <w:szCs w:val="28"/>
        </w:rPr>
        <w:t>भ</w:t>
      </w:r>
      <w:r>
        <w:rPr>
          <w:rFonts w:ascii="Nirmala UI" w:hAnsi="Nirmala UI" w:cs="Nirmala UI" w:eastAsia="Nirmala UI"/>
          <w:spacing w:val="-1"/>
          <w:w w:val="100"/>
          <w:sz w:val="28"/>
          <w:szCs w:val="28"/>
        </w:rPr>
        <w:t>ा</w:t>
      </w:r>
      <w:r>
        <w:rPr>
          <w:rFonts w:ascii="Nirmala UI" w:hAnsi="Nirmala UI" w:cs="Nirmala UI" w:eastAsia="Nirmala UI"/>
          <w:w w:val="100"/>
          <w:sz w:val="28"/>
          <w:szCs w:val="28"/>
        </w:rPr>
        <w:t>ई</w:t>
      </w:r>
      <w:r>
        <w:rPr>
          <w:rFonts w:ascii="Nirmala UI" w:hAnsi="Nirmala UI" w:cs="Nirmala UI" w:eastAsia="Nirmala UI"/>
          <w:spacing w:val="-1"/>
          <w:sz w:val="28"/>
          <w:szCs w:val="28"/>
        </w:rPr>
        <w:t> </w:t>
      </w:r>
      <w:r>
        <w:rPr>
          <w:rFonts w:ascii="Nirmala UI" w:hAnsi="Nirmala UI" w:cs="Nirmala UI" w:eastAsia="Nirmala UI"/>
          <w:w w:val="100"/>
          <w:sz w:val="28"/>
          <w:szCs w:val="28"/>
        </w:rPr>
        <w:t>॥ </w:t>
      </w:r>
      <w:r>
        <w:rPr>
          <w:rFonts w:ascii="Nirmala UI" w:hAnsi="Nirmala UI" w:cs="Nirmala UI" w:eastAsia="Nirmala UI"/>
          <w:spacing w:val="-1"/>
          <w:w w:val="100"/>
          <w:sz w:val="28"/>
          <w:szCs w:val="28"/>
        </w:rPr>
        <w:t>न</w:t>
      </w:r>
      <w:r>
        <w:rPr>
          <w:rFonts w:ascii="Nirmala UI" w:hAnsi="Nirmala UI" w:cs="Nirmala UI" w:eastAsia="Nirmala UI"/>
          <w:spacing w:val="-2"/>
          <w:w w:val="100"/>
          <w:sz w:val="28"/>
          <w:szCs w:val="28"/>
        </w:rPr>
        <w:t>ा</w:t>
      </w:r>
      <w:r>
        <w:rPr>
          <w:rFonts w:ascii="Nirmala UI" w:hAnsi="Nirmala UI" w:cs="Nirmala UI" w:eastAsia="Nirmala UI"/>
          <w:spacing w:val="-1"/>
          <w:w w:val="100"/>
          <w:sz w:val="28"/>
          <w:szCs w:val="28"/>
        </w:rPr>
        <w:t>र</w:t>
      </w:r>
      <w:r>
        <w:rPr>
          <w:rFonts w:ascii="Nirmala UI" w:hAnsi="Nirmala UI" w:cs="Nirmala UI" w:eastAsia="Nirmala UI"/>
          <w:w w:val="100"/>
          <w:sz w:val="28"/>
          <w:szCs w:val="28"/>
        </w:rPr>
        <w:t>द</w:t>
      </w:r>
      <w:r>
        <w:rPr>
          <w:rFonts w:ascii="Nirmala UI" w:hAnsi="Nirmala UI" w:cs="Nirmala UI" w:eastAsia="Nirmala UI"/>
          <w:sz w:val="28"/>
          <w:szCs w:val="28"/>
        </w:rPr>
        <w:t> </w:t>
      </w:r>
      <w:r>
        <w:rPr>
          <w:rFonts w:ascii="Nirmala UI" w:hAnsi="Nirmala UI" w:cs="Nirmala UI" w:eastAsia="Nirmala UI"/>
          <w:w w:val="100"/>
          <w:sz w:val="28"/>
          <w:szCs w:val="28"/>
        </w:rPr>
        <w:t>ब</w:t>
      </w:r>
      <w:r>
        <w:rPr>
          <w:rFonts w:ascii="Nirmala UI" w:hAnsi="Nirmala UI" w:cs="Nirmala UI" w:eastAsia="Nirmala UI"/>
          <w:spacing w:val="-1"/>
          <w:w w:val="100"/>
          <w:sz w:val="28"/>
          <w:szCs w:val="28"/>
        </w:rPr>
        <w:t>च</w:t>
      </w:r>
      <w:r>
        <w:rPr>
          <w:rFonts w:ascii="Nirmala UI" w:hAnsi="Nirmala UI" w:cs="Nirmala UI" w:eastAsia="Nirmala UI"/>
          <w:w w:val="100"/>
          <w:sz w:val="28"/>
          <w:szCs w:val="28"/>
        </w:rPr>
        <w:t>न</w:t>
      </w:r>
      <w:r>
        <w:rPr>
          <w:rFonts w:ascii="Nirmala UI" w:hAnsi="Nirmala UI" w:cs="Nirmala UI" w:eastAsia="Nirmala UI"/>
          <w:spacing w:val="-1"/>
          <w:sz w:val="28"/>
          <w:szCs w:val="28"/>
        </w:rPr>
        <w:t> </w:t>
      </w:r>
      <w:r>
        <w:rPr>
          <w:rFonts w:ascii="Nirmala UI" w:hAnsi="Nirmala UI" w:cs="Nirmala UI" w:eastAsia="Nirmala UI"/>
          <w:spacing w:val="-1"/>
          <w:w w:val="100"/>
          <w:sz w:val="28"/>
          <w:szCs w:val="28"/>
        </w:rPr>
        <w:t>स</w:t>
      </w:r>
      <w:r>
        <w:rPr>
          <w:rFonts w:ascii="Nirmala UI" w:hAnsi="Nirmala UI" w:cs="Nirmala UI" w:eastAsia="Nirmala UI"/>
          <w:w w:val="139"/>
          <w:sz w:val="28"/>
          <w:szCs w:val="28"/>
        </w:rPr>
        <w:t>�</w:t>
      </w:r>
      <w:r>
        <w:rPr>
          <w:rFonts w:ascii="Nirmala UI" w:hAnsi="Nirmala UI" w:cs="Nirmala UI" w:eastAsia="Nirmala UI"/>
          <w:sz w:val="28"/>
          <w:szCs w:val="28"/>
        </w:rPr>
        <w:t> </w:t>
      </w:r>
      <w:r>
        <w:rPr>
          <w:rFonts w:ascii="Nirmala UI" w:hAnsi="Nirmala UI" w:cs="Nirmala UI" w:eastAsia="Nirmala UI"/>
          <w:spacing w:val="-4"/>
          <w:w w:val="100"/>
          <w:sz w:val="28"/>
          <w:szCs w:val="28"/>
        </w:rPr>
        <w:t>स</w:t>
      </w:r>
      <w:r>
        <w:rPr>
          <w:rFonts w:ascii="Nirmala UI" w:hAnsi="Nirmala UI" w:cs="Nirmala UI" w:eastAsia="Nirmala UI"/>
          <w:w w:val="100"/>
          <w:sz w:val="28"/>
          <w:szCs w:val="28"/>
        </w:rPr>
        <w:t>ब</w:t>
      </w:r>
      <w:r>
        <w:rPr>
          <w:rFonts w:ascii="Nirmala UI" w:hAnsi="Nirmala UI" w:cs="Nirmala UI" w:eastAsia="Nirmala UI"/>
          <w:spacing w:val="-3"/>
          <w:sz w:val="28"/>
          <w:szCs w:val="28"/>
        </w:rPr>
        <w:t> </w:t>
      </w:r>
      <w:r>
        <w:rPr>
          <w:rFonts w:ascii="Nirmala UI" w:hAnsi="Nirmala UI" w:cs="Nirmala UI" w:eastAsia="Nirmala UI"/>
          <w:spacing w:val="-1"/>
          <w:w w:val="74"/>
          <w:sz w:val="28"/>
          <w:szCs w:val="28"/>
        </w:rPr>
        <w:t>क</w:t>
      </w:r>
      <w:r>
        <w:rPr>
          <w:rFonts w:ascii="Nirmala UI" w:hAnsi="Nirmala UI" w:cs="Nirmala UI" w:eastAsia="Nirmala UI"/>
          <w:spacing w:val="-2"/>
          <w:w w:val="74"/>
          <w:sz w:val="28"/>
          <w:szCs w:val="28"/>
        </w:rPr>
        <w:t>�</w:t>
      </w:r>
      <w:r>
        <w:rPr>
          <w:rFonts w:ascii="Nirmala UI" w:hAnsi="Nirmala UI" w:cs="Nirmala UI" w:eastAsia="Nirmala UI"/>
          <w:spacing w:val="-1"/>
          <w:w w:val="100"/>
          <w:sz w:val="28"/>
          <w:szCs w:val="28"/>
        </w:rPr>
        <w:t>र</w:t>
      </w:r>
      <w:r>
        <w:rPr>
          <w:rFonts w:ascii="Nirmala UI" w:hAnsi="Nirmala UI" w:cs="Nirmala UI" w:eastAsia="Nirmala UI"/>
          <w:spacing w:val="-2"/>
          <w:w w:val="100"/>
          <w:sz w:val="28"/>
          <w:szCs w:val="28"/>
        </w:rPr>
        <w:t>ह</w:t>
      </w:r>
      <w:r>
        <w:rPr>
          <w:rFonts w:ascii="Nirmala UI" w:hAnsi="Nirmala UI" w:cs="Nirmala UI" w:eastAsia="Nirmala UI"/>
          <w:spacing w:val="-26"/>
          <w:w w:val="100"/>
          <w:sz w:val="28"/>
          <w:szCs w:val="28"/>
        </w:rPr>
        <w:t>उ</w:t>
      </w:r>
      <w:r>
        <w:rPr>
          <w:rFonts w:ascii="Nirmala UI" w:hAnsi="Nirmala UI" w:cs="Nirmala UI" w:eastAsia="Nirmala UI"/>
          <w:w w:val="100"/>
          <w:sz w:val="28"/>
          <w:szCs w:val="28"/>
        </w:rPr>
        <w:t>ँ</w:t>
      </w:r>
      <w:r>
        <w:rPr>
          <w:rFonts w:ascii="Nirmala UI" w:hAnsi="Nirmala UI" w:cs="Nirmala UI" w:eastAsia="Nirmala UI"/>
          <w:spacing w:val="24"/>
          <w:sz w:val="28"/>
          <w:szCs w:val="28"/>
        </w:rPr>
        <w:t> </w:t>
      </w:r>
      <w:r>
        <w:rPr>
          <w:rFonts w:ascii="Nirmala UI" w:hAnsi="Nirmala UI" w:cs="Nirmala UI" w:eastAsia="Nirmala UI"/>
          <w:w w:val="100"/>
          <w:sz w:val="28"/>
          <w:szCs w:val="28"/>
        </w:rPr>
        <w:t>।</w:t>
      </w:r>
      <w:r>
        <w:rPr>
          <w:rFonts w:ascii="Nirmala UI" w:hAnsi="Nirmala UI" w:cs="Nirmala UI" w:eastAsia="Nirmala UI"/>
          <w:sz w:val="28"/>
          <w:szCs w:val="28"/>
        </w:rPr>
        <w:t> </w:t>
      </w:r>
      <w:r>
        <w:rPr>
          <w:rFonts w:ascii="Nirmala UI" w:hAnsi="Nirmala UI" w:cs="Nirmala UI" w:eastAsia="Nirmala UI"/>
          <w:spacing w:val="1"/>
          <w:sz w:val="28"/>
          <w:szCs w:val="28"/>
        </w:rPr>
        <w:t> </w:t>
      </w:r>
      <w:r>
        <w:rPr>
          <w:rFonts w:ascii="Nirmala UI" w:hAnsi="Nirmala UI" w:cs="Nirmala UI" w:eastAsia="Nirmala UI"/>
          <w:spacing w:val="-2"/>
          <w:w w:val="100"/>
          <w:sz w:val="28"/>
          <w:szCs w:val="28"/>
        </w:rPr>
        <w:t>प</w:t>
      </w:r>
      <w:r>
        <w:rPr>
          <w:rFonts w:ascii="Nirmala UI" w:hAnsi="Nirmala UI" w:cs="Nirmala UI" w:eastAsia="Nirmala UI"/>
          <w:spacing w:val="-1"/>
          <w:w w:val="100"/>
          <w:sz w:val="28"/>
          <w:szCs w:val="28"/>
        </w:rPr>
        <w:t>र</w:t>
      </w:r>
      <w:r>
        <w:rPr>
          <w:rFonts w:ascii="Nirmala UI" w:hAnsi="Nirmala UI" w:cs="Nirmala UI" w:eastAsia="Nirmala UI"/>
          <w:w w:val="100"/>
          <w:sz w:val="28"/>
          <w:szCs w:val="28"/>
        </w:rPr>
        <w:t>म</w:t>
      </w:r>
      <w:r>
        <w:rPr>
          <w:rFonts w:ascii="Nirmala UI" w:hAnsi="Nirmala UI" w:cs="Nirmala UI" w:eastAsia="Nirmala UI"/>
          <w:sz w:val="28"/>
          <w:szCs w:val="28"/>
        </w:rPr>
        <w:tab/>
      </w:r>
      <w:r>
        <w:rPr>
          <w:rFonts w:ascii="Nirmala UI" w:hAnsi="Nirmala UI" w:cs="Nirmala UI" w:eastAsia="Nirmala UI"/>
          <w:spacing w:val="-1"/>
          <w:w w:val="100"/>
          <w:sz w:val="28"/>
          <w:szCs w:val="28"/>
        </w:rPr>
        <w:t>स</w:t>
      </w:r>
      <w:r>
        <w:rPr>
          <w:rFonts w:ascii="Nirmala UI" w:hAnsi="Nirmala UI" w:cs="Nirmala UI" w:eastAsia="Nirmala UI"/>
          <w:spacing w:val="-1"/>
          <w:w w:val="40"/>
          <w:sz w:val="28"/>
          <w:szCs w:val="28"/>
        </w:rPr>
        <w:t>�</w:t>
      </w:r>
      <w:r>
        <w:rPr>
          <w:rFonts w:ascii="Nirmala UI" w:hAnsi="Nirmala UI" w:cs="Nirmala UI" w:eastAsia="Nirmala UI"/>
          <w:w w:val="176"/>
          <w:sz w:val="28"/>
          <w:szCs w:val="28"/>
        </w:rPr>
        <w:t>�</w:t>
      </w:r>
      <w:r>
        <w:rPr>
          <w:rFonts w:ascii="Nirmala UI" w:hAnsi="Nirmala UI" w:cs="Nirmala UI" w:eastAsia="Nirmala UI"/>
          <w:sz w:val="28"/>
          <w:szCs w:val="28"/>
        </w:rPr>
        <w:tab/>
      </w:r>
      <w:r>
        <w:rPr>
          <w:rFonts w:ascii="Nirmala UI" w:hAnsi="Nirmala UI" w:cs="Nirmala UI" w:eastAsia="Nirmala UI"/>
          <w:spacing w:val="-1"/>
          <w:w w:val="100"/>
          <w:sz w:val="28"/>
          <w:szCs w:val="28"/>
        </w:rPr>
        <w:t>स</w:t>
      </w:r>
      <w:r>
        <w:rPr>
          <w:rFonts w:ascii="Nirmala UI" w:hAnsi="Nirmala UI" w:cs="Nirmala UI" w:eastAsia="Nirmala UI"/>
          <w:spacing w:val="-7"/>
          <w:w w:val="100"/>
          <w:sz w:val="28"/>
          <w:szCs w:val="28"/>
        </w:rPr>
        <w:t>म</w:t>
      </w:r>
      <w:r>
        <w:rPr>
          <w:rFonts w:ascii="Nirmala UI" w:hAnsi="Nirmala UI" w:cs="Nirmala UI" w:eastAsia="Nirmala UI"/>
          <w:spacing w:val="7"/>
          <w:w w:val="100"/>
          <w:sz w:val="28"/>
          <w:szCs w:val="28"/>
        </w:rPr>
        <w:t>े</w:t>
      </w:r>
      <w:r>
        <w:rPr>
          <w:rFonts w:ascii="Nirmala UI" w:hAnsi="Nirmala UI" w:cs="Nirmala UI" w:eastAsia="Nirmala UI"/>
          <w:w w:val="100"/>
          <w:sz w:val="28"/>
          <w:szCs w:val="28"/>
        </w:rPr>
        <w:t>त</w:t>
      </w:r>
      <w:r>
        <w:rPr>
          <w:rFonts w:ascii="Nirmala UI" w:hAnsi="Nirmala UI" w:cs="Nirmala UI" w:eastAsia="Nirmala UI"/>
          <w:sz w:val="28"/>
          <w:szCs w:val="28"/>
        </w:rPr>
        <w:tab/>
      </w:r>
      <w:r>
        <w:rPr>
          <w:rFonts w:ascii="Nirmala UI" w:hAnsi="Nirmala UI" w:cs="Nirmala UI" w:eastAsia="Nirmala UI"/>
          <w:spacing w:val="-1"/>
          <w:w w:val="100"/>
          <w:sz w:val="28"/>
          <w:szCs w:val="28"/>
        </w:rPr>
        <w:t>अ</w:t>
      </w:r>
      <w:r>
        <w:rPr>
          <w:rFonts w:ascii="Nirmala UI" w:hAnsi="Nirmala UI" w:cs="Nirmala UI" w:eastAsia="Nirmala UI"/>
          <w:spacing w:val="-2"/>
          <w:w w:val="100"/>
          <w:sz w:val="28"/>
          <w:szCs w:val="28"/>
        </w:rPr>
        <w:t>व</w:t>
      </w:r>
      <w:r>
        <w:rPr>
          <w:rFonts w:ascii="Nirmala UI" w:hAnsi="Nirmala UI" w:cs="Nirmala UI" w:eastAsia="Nirmala UI"/>
          <w:spacing w:val="1"/>
          <w:w w:val="100"/>
          <w:sz w:val="28"/>
          <w:szCs w:val="28"/>
        </w:rPr>
        <w:t>त</w:t>
      </w:r>
      <w:r>
        <w:rPr>
          <w:rFonts w:ascii="Nirmala UI" w:hAnsi="Nirmala UI" w:cs="Nirmala UI" w:eastAsia="Nirmala UI"/>
          <w:spacing w:val="-1"/>
          <w:w w:val="40"/>
          <w:sz w:val="28"/>
          <w:szCs w:val="28"/>
        </w:rPr>
        <w:t>�</w:t>
      </w:r>
      <w:r>
        <w:rPr>
          <w:rFonts w:ascii="Nirmala UI" w:hAnsi="Nirmala UI" w:cs="Nirmala UI" w:eastAsia="Nirmala UI"/>
          <w:spacing w:val="-1"/>
          <w:w w:val="100"/>
          <w:sz w:val="28"/>
          <w:szCs w:val="28"/>
        </w:rPr>
        <w:t>र</w:t>
      </w:r>
      <w:r>
        <w:rPr>
          <w:rFonts w:ascii="Nirmala UI" w:hAnsi="Nirmala UI" w:cs="Nirmala UI" w:eastAsia="Nirmala UI"/>
          <w:spacing w:val="-2"/>
          <w:w w:val="100"/>
          <w:sz w:val="28"/>
          <w:szCs w:val="28"/>
        </w:rPr>
        <w:t>ह</w:t>
      </w:r>
      <w:r>
        <w:rPr>
          <w:rFonts w:ascii="Nirmala UI" w:hAnsi="Nirmala UI" w:cs="Nirmala UI" w:eastAsia="Nirmala UI"/>
          <w:spacing w:val="-26"/>
          <w:w w:val="100"/>
          <w:sz w:val="28"/>
          <w:szCs w:val="28"/>
        </w:rPr>
        <w:t>उ</w:t>
      </w:r>
      <w:r>
        <w:rPr>
          <w:rFonts w:ascii="Nirmala UI" w:hAnsi="Nirmala UI" w:cs="Nirmala UI" w:eastAsia="Nirmala UI"/>
          <w:w w:val="100"/>
          <w:sz w:val="28"/>
          <w:szCs w:val="28"/>
        </w:rPr>
        <w:t>ँ</w:t>
      </w:r>
      <w:r>
        <w:rPr>
          <w:rFonts w:ascii="Nirmala UI" w:hAnsi="Nirmala UI" w:cs="Nirmala UI" w:eastAsia="Nirmala UI"/>
          <w:spacing w:val="24"/>
          <w:sz w:val="28"/>
          <w:szCs w:val="28"/>
        </w:rPr>
        <w:t> </w:t>
      </w:r>
      <w:r>
        <w:rPr>
          <w:rFonts w:ascii="Nirmala UI" w:hAnsi="Nirmala UI" w:cs="Nirmala UI" w:eastAsia="Nirmala UI"/>
          <w:w w:val="100"/>
          <w:sz w:val="28"/>
          <w:szCs w:val="28"/>
        </w:rPr>
        <w:t>॥</w:t>
      </w:r>
      <w:r>
        <w:rPr>
          <w:rFonts w:ascii="Nirmala UI" w:hAnsi="Nirmala UI" w:cs="Nirmala UI" w:eastAsia="Nirmala UI"/>
          <w:spacing w:val="-1"/>
          <w:sz w:val="28"/>
          <w:szCs w:val="28"/>
        </w:rPr>
        <w:t> </w:t>
      </w:r>
      <w:r>
        <w:rPr>
          <w:rFonts w:ascii="Nirmala UI" w:hAnsi="Nirmala UI" w:cs="Nirmala UI" w:eastAsia="Nirmala UI"/>
          <w:w w:val="100"/>
          <w:sz w:val="28"/>
          <w:szCs w:val="28"/>
        </w:rPr>
        <w:t>३</w:t>
      </w:r>
      <w:r>
        <w:rPr>
          <w:rFonts w:ascii="Nirmala UI" w:hAnsi="Nirmala UI" w:cs="Nirmala UI" w:eastAsia="Nirmala UI"/>
          <w:spacing w:val="-1"/>
          <w:sz w:val="28"/>
          <w:szCs w:val="28"/>
        </w:rPr>
        <w:t> </w:t>
      </w:r>
      <w:r>
        <w:rPr>
          <w:rFonts w:ascii="Nirmala UI" w:hAnsi="Nirmala UI" w:cs="Nirmala UI" w:eastAsia="Nirmala UI"/>
          <w:spacing w:val="-52"/>
          <w:w w:val="100"/>
          <w:sz w:val="28"/>
          <w:szCs w:val="28"/>
        </w:rPr>
        <w:t>॥</w:t>
      </w:r>
    </w:p>
    <w:p>
      <w:pPr>
        <w:spacing w:line="240" w:lineRule="auto" w:before="315"/>
        <w:ind w:left="1012" w:right="1247" w:firstLine="566"/>
        <w:jc w:val="both"/>
        <w:rPr>
          <w:rFonts w:ascii="Courier New" w:hAnsi="Courier New" w:cs="Courier New" w:eastAsia="Courier New"/>
          <w:sz w:val="28"/>
          <w:szCs w:val="28"/>
        </w:rPr>
      </w:pPr>
      <w:r>
        <w:rPr>
          <w:rFonts w:ascii="Courier New" w:hAnsi="Courier New" w:cs="Courier New" w:eastAsia="Courier New"/>
          <w:sz w:val="28"/>
          <w:szCs w:val="28"/>
        </w:rPr>
        <w:t>“In their house I shall take birth in the form of four brothers, the ornament of Raghu’s line. I shall prove the veracity of</w:t>
      </w:r>
      <w:r>
        <w:rPr>
          <w:rFonts w:ascii="Courier New" w:hAnsi="Courier New" w:cs="Courier New" w:eastAsia="Courier New"/>
          <w:spacing w:val="-20"/>
          <w:sz w:val="28"/>
          <w:szCs w:val="28"/>
        </w:rPr>
        <w:t> </w:t>
      </w:r>
      <w:r>
        <w:rPr>
          <w:rFonts w:ascii="Courier New" w:hAnsi="Courier New" w:cs="Courier New" w:eastAsia="Courier New"/>
          <w:sz w:val="28"/>
          <w:szCs w:val="28"/>
        </w:rPr>
        <w:t>all</w:t>
      </w:r>
      <w:r>
        <w:rPr>
          <w:rFonts w:ascii="Courier New" w:hAnsi="Courier New" w:cs="Courier New" w:eastAsia="Courier New"/>
          <w:spacing w:val="-19"/>
          <w:sz w:val="28"/>
          <w:szCs w:val="28"/>
        </w:rPr>
        <w:t> </w:t>
      </w:r>
      <w:r>
        <w:rPr>
          <w:rFonts w:ascii="Courier New" w:hAnsi="Courier New" w:cs="Courier New" w:eastAsia="Courier New"/>
          <w:sz w:val="28"/>
          <w:szCs w:val="28"/>
        </w:rPr>
        <w:t>that</w:t>
      </w:r>
      <w:r>
        <w:rPr>
          <w:rFonts w:ascii="Courier New" w:hAnsi="Courier New" w:cs="Courier New" w:eastAsia="Courier New"/>
          <w:spacing w:val="-20"/>
          <w:sz w:val="28"/>
          <w:szCs w:val="28"/>
        </w:rPr>
        <w:t> </w:t>
      </w:r>
      <w:r>
        <w:rPr>
          <w:rFonts w:ascii="Courier New" w:hAnsi="Courier New" w:cs="Courier New" w:eastAsia="Courier New"/>
          <w:sz w:val="28"/>
          <w:szCs w:val="28"/>
        </w:rPr>
        <w:t>was</w:t>
      </w:r>
      <w:r>
        <w:rPr>
          <w:rFonts w:ascii="Courier New" w:hAnsi="Courier New" w:cs="Courier New" w:eastAsia="Courier New"/>
          <w:spacing w:val="-19"/>
          <w:sz w:val="28"/>
          <w:szCs w:val="28"/>
        </w:rPr>
        <w:t> </w:t>
      </w:r>
      <w:r>
        <w:rPr>
          <w:rFonts w:ascii="Courier New" w:hAnsi="Courier New" w:cs="Courier New" w:eastAsia="Courier New"/>
          <w:sz w:val="28"/>
          <w:szCs w:val="28"/>
        </w:rPr>
        <w:t>uttered</w:t>
      </w:r>
      <w:r>
        <w:rPr>
          <w:rFonts w:ascii="Courier New" w:hAnsi="Courier New" w:cs="Courier New" w:eastAsia="Courier New"/>
          <w:spacing w:val="-19"/>
          <w:sz w:val="28"/>
          <w:szCs w:val="28"/>
        </w:rPr>
        <w:t> </w:t>
      </w:r>
      <w:r>
        <w:rPr>
          <w:rFonts w:ascii="Courier New" w:hAnsi="Courier New" w:cs="Courier New" w:eastAsia="Courier New"/>
          <w:sz w:val="28"/>
          <w:szCs w:val="28"/>
        </w:rPr>
        <w:t>by</w:t>
      </w:r>
      <w:r>
        <w:rPr>
          <w:rFonts w:ascii="Courier New" w:hAnsi="Courier New" w:cs="Courier New" w:eastAsia="Courier New"/>
          <w:spacing w:val="-20"/>
          <w:sz w:val="28"/>
          <w:szCs w:val="28"/>
        </w:rPr>
        <w:t> </w:t>
      </w:r>
      <w:r>
        <w:rPr>
          <w:rFonts w:ascii="Courier New" w:hAnsi="Courier New" w:cs="Courier New" w:eastAsia="Courier New"/>
          <w:sz w:val="28"/>
          <w:szCs w:val="28"/>
        </w:rPr>
        <w:t>Narada</w:t>
      </w:r>
      <w:r>
        <w:rPr>
          <w:rFonts w:ascii="Courier New" w:hAnsi="Courier New" w:cs="Courier New" w:eastAsia="Courier New"/>
          <w:spacing w:val="-19"/>
          <w:sz w:val="28"/>
          <w:szCs w:val="28"/>
        </w:rPr>
        <w:t> </w:t>
      </w:r>
      <w:r>
        <w:rPr>
          <w:rFonts w:ascii="Courier New" w:hAnsi="Courier New" w:cs="Courier New" w:eastAsia="Courier New"/>
          <w:sz w:val="28"/>
          <w:szCs w:val="28"/>
        </w:rPr>
        <w:t>and</w:t>
      </w:r>
      <w:r>
        <w:rPr>
          <w:rFonts w:ascii="Courier New" w:hAnsi="Courier New" w:cs="Courier New" w:eastAsia="Courier New"/>
          <w:spacing w:val="-19"/>
          <w:sz w:val="28"/>
          <w:szCs w:val="28"/>
        </w:rPr>
        <w:t> </w:t>
      </w:r>
      <w:r>
        <w:rPr>
          <w:rFonts w:ascii="Courier New" w:hAnsi="Courier New" w:cs="Courier New" w:eastAsia="Courier New"/>
          <w:sz w:val="28"/>
          <w:szCs w:val="28"/>
        </w:rPr>
        <w:t>shall </w:t>
      </w:r>
      <w:r>
        <w:rPr>
          <w:rFonts w:ascii="Courier New" w:hAnsi="Courier New" w:cs="Courier New" w:eastAsia="Courier New"/>
          <w:spacing w:val="-1"/>
          <w:w w:val="100"/>
          <w:sz w:val="28"/>
          <w:szCs w:val="28"/>
        </w:rPr>
        <w:t>descen</w:t>
      </w:r>
      <w:r>
        <w:rPr>
          <w:rFonts w:ascii="Courier New" w:hAnsi="Courier New" w:cs="Courier New" w:eastAsia="Courier New"/>
          <w:w w:val="100"/>
          <w:sz w:val="28"/>
          <w:szCs w:val="28"/>
        </w:rPr>
        <w:t>d</w:t>
      </w:r>
      <w:r>
        <w:rPr>
          <w:rFonts w:ascii="Courier New" w:hAnsi="Courier New" w:cs="Courier New" w:eastAsia="Courier New"/>
          <w:spacing w:val="-1"/>
          <w:sz w:val="28"/>
          <w:szCs w:val="28"/>
        </w:rPr>
        <w:t> </w:t>
      </w:r>
      <w:r>
        <w:rPr>
          <w:rFonts w:ascii="Courier New" w:hAnsi="Courier New" w:cs="Courier New" w:eastAsia="Courier New"/>
          <w:spacing w:val="-1"/>
          <w:w w:val="100"/>
          <w:sz w:val="28"/>
          <w:szCs w:val="28"/>
        </w:rPr>
        <w:t>wit</w:t>
      </w:r>
      <w:r>
        <w:rPr>
          <w:rFonts w:ascii="Courier New" w:hAnsi="Courier New" w:cs="Courier New" w:eastAsia="Courier New"/>
          <w:w w:val="100"/>
          <w:sz w:val="28"/>
          <w:szCs w:val="28"/>
        </w:rPr>
        <w:t>h</w:t>
      </w:r>
      <w:r>
        <w:rPr>
          <w:rFonts w:ascii="Courier New" w:hAnsi="Courier New" w:cs="Courier New" w:eastAsia="Courier New"/>
          <w:spacing w:val="-1"/>
          <w:sz w:val="28"/>
          <w:szCs w:val="28"/>
        </w:rPr>
        <w:t> </w:t>
      </w:r>
      <w:r>
        <w:rPr>
          <w:rFonts w:ascii="Courier New" w:hAnsi="Courier New" w:cs="Courier New" w:eastAsia="Courier New"/>
          <w:spacing w:val="-1"/>
          <w:w w:val="100"/>
          <w:sz w:val="28"/>
          <w:szCs w:val="28"/>
        </w:rPr>
        <w:t>m</w:t>
      </w:r>
      <w:r>
        <w:rPr>
          <w:rFonts w:ascii="Courier New" w:hAnsi="Courier New" w:cs="Courier New" w:eastAsia="Courier New"/>
          <w:w w:val="100"/>
          <w:sz w:val="28"/>
          <w:szCs w:val="28"/>
        </w:rPr>
        <w:t>y</w:t>
      </w:r>
      <w:r>
        <w:rPr>
          <w:rFonts w:ascii="Courier New" w:hAnsi="Courier New" w:cs="Courier New" w:eastAsia="Courier New"/>
          <w:spacing w:val="-1"/>
          <w:sz w:val="28"/>
          <w:szCs w:val="28"/>
        </w:rPr>
        <w:t> </w:t>
      </w:r>
      <w:r>
        <w:rPr>
          <w:rFonts w:ascii="Courier New" w:hAnsi="Courier New" w:cs="Courier New" w:eastAsia="Courier New"/>
          <w:spacing w:val="-1"/>
          <w:w w:val="100"/>
          <w:sz w:val="28"/>
          <w:szCs w:val="28"/>
        </w:rPr>
        <w:t>Suprem</w:t>
      </w:r>
      <w:r>
        <w:rPr>
          <w:rFonts w:ascii="Courier New" w:hAnsi="Courier New" w:cs="Courier New" w:eastAsia="Courier New"/>
          <w:w w:val="100"/>
          <w:sz w:val="28"/>
          <w:szCs w:val="28"/>
        </w:rPr>
        <w:t>e</w:t>
      </w:r>
      <w:r>
        <w:rPr>
          <w:rFonts w:ascii="Courier New" w:hAnsi="Courier New" w:cs="Courier New" w:eastAsia="Courier New"/>
          <w:spacing w:val="-1"/>
          <w:sz w:val="28"/>
          <w:szCs w:val="28"/>
        </w:rPr>
        <w:t> </w:t>
      </w:r>
      <w:r>
        <w:rPr>
          <w:rFonts w:ascii="Courier New" w:hAnsi="Courier New" w:cs="Courier New" w:eastAsia="Courier New"/>
          <w:spacing w:val="-1"/>
          <w:w w:val="100"/>
          <w:sz w:val="28"/>
          <w:szCs w:val="28"/>
        </w:rPr>
        <w:t>Energ</w:t>
      </w:r>
      <w:r>
        <w:rPr>
          <w:rFonts w:ascii="Courier New" w:hAnsi="Courier New" w:cs="Courier New" w:eastAsia="Courier New"/>
          <w:w w:val="100"/>
          <w:sz w:val="28"/>
          <w:szCs w:val="28"/>
        </w:rPr>
        <w:t>y</w:t>
      </w:r>
      <w:r>
        <w:rPr>
          <w:rFonts w:ascii="Courier New" w:hAnsi="Courier New" w:cs="Courier New" w:eastAsia="Courier New"/>
          <w:spacing w:val="-1"/>
          <w:sz w:val="28"/>
          <w:szCs w:val="28"/>
        </w:rPr>
        <w:t> </w:t>
      </w:r>
      <w:r>
        <w:rPr>
          <w:rFonts w:ascii="Courier New" w:hAnsi="Courier New" w:cs="Courier New" w:eastAsia="Courier New"/>
          <w:spacing w:val="1"/>
          <w:w w:val="100"/>
          <w:sz w:val="28"/>
          <w:szCs w:val="28"/>
        </w:rPr>
        <w:t>(</w:t>
      </w:r>
      <w:r>
        <w:rPr>
          <w:rFonts w:ascii="Nirmala UI" w:hAnsi="Nirmala UI" w:cs="Nirmala UI" w:eastAsia="Nirmala UI"/>
          <w:spacing w:val="-2"/>
          <w:w w:val="100"/>
          <w:sz w:val="28"/>
          <w:szCs w:val="28"/>
        </w:rPr>
        <w:t>प</w:t>
      </w:r>
      <w:r>
        <w:rPr>
          <w:rFonts w:ascii="Nirmala UI" w:hAnsi="Nirmala UI" w:cs="Nirmala UI" w:eastAsia="Nirmala UI"/>
          <w:spacing w:val="-1"/>
          <w:w w:val="100"/>
          <w:sz w:val="28"/>
          <w:szCs w:val="28"/>
        </w:rPr>
        <w:t>रा</w:t>
      </w:r>
      <w:r>
        <w:rPr>
          <w:rFonts w:ascii="Nirmala UI" w:hAnsi="Nirmala UI" w:cs="Nirmala UI" w:eastAsia="Nirmala UI"/>
          <w:spacing w:val="1"/>
          <w:w w:val="100"/>
          <w:sz w:val="28"/>
          <w:szCs w:val="28"/>
        </w:rPr>
        <w:t>श</w:t>
      </w:r>
      <w:r>
        <w:rPr>
          <w:rFonts w:ascii="Nirmala UI" w:hAnsi="Nirmala UI" w:cs="Nirmala UI" w:eastAsia="Nirmala UI"/>
          <w:spacing w:val="-1"/>
          <w:w w:val="40"/>
          <w:sz w:val="28"/>
          <w:szCs w:val="28"/>
        </w:rPr>
        <w:t>�</w:t>
      </w:r>
      <w:r>
        <w:rPr>
          <w:rFonts w:ascii="Nirmala UI" w:hAnsi="Nirmala UI" w:cs="Nirmala UI" w:eastAsia="Nirmala UI"/>
          <w:spacing w:val="-1"/>
          <w:w w:val="176"/>
          <w:sz w:val="28"/>
          <w:szCs w:val="28"/>
        </w:rPr>
        <w:t>�</w:t>
      </w:r>
      <w:r>
        <w:rPr>
          <w:rFonts w:ascii="Nirmala UI" w:hAnsi="Nirmala UI" w:cs="Nirmala UI" w:eastAsia="Nirmala UI"/>
          <w:spacing w:val="-1"/>
          <w:w w:val="100"/>
          <w:sz w:val="28"/>
          <w:szCs w:val="28"/>
        </w:rPr>
        <w:t>)</w:t>
      </w:r>
      <w:r>
        <w:rPr>
          <w:rFonts w:ascii="Courier New" w:hAnsi="Courier New" w:cs="Courier New" w:eastAsia="Courier New"/>
          <w:spacing w:val="-1"/>
          <w:w w:val="100"/>
          <w:sz w:val="28"/>
          <w:szCs w:val="28"/>
        </w:rPr>
        <w:t>.”</w:t>
      </w:r>
    </w:p>
    <w:p>
      <w:pPr>
        <w:pStyle w:val="BodyText"/>
        <w:rPr>
          <w:rFonts w:ascii="Courier New"/>
          <w:sz w:val="56"/>
        </w:rPr>
      </w:pPr>
    </w:p>
    <w:p>
      <w:pPr>
        <w:pStyle w:val="ListParagraph"/>
        <w:numPr>
          <w:ilvl w:val="0"/>
          <w:numId w:val="255"/>
        </w:numPr>
        <w:tabs>
          <w:tab w:pos="1204" w:val="left" w:leader="none"/>
        </w:tabs>
        <w:spacing w:line="480" w:lineRule="auto" w:before="1" w:after="0"/>
        <w:ind w:left="160" w:right="157" w:firstLine="0"/>
        <w:jc w:val="both"/>
        <w:rPr>
          <w:rFonts w:ascii="Courier New" w:hAnsi="Courier New"/>
          <w:sz w:val="28"/>
        </w:rPr>
      </w:pPr>
      <w:r>
        <w:rPr>
          <w:rFonts w:ascii="Courier New" w:hAnsi="Courier New"/>
          <w:sz w:val="28"/>
        </w:rPr>
        <w:t>The above chaupaiyas does not only refer to Vishnu taking human form in Avadhpuri, i.e., Ayodhya but the verse specifically mentions that he will take human form at the house of Dasaratha and Kausalya.</w:t>
      </w:r>
      <w:r>
        <w:rPr>
          <w:rFonts w:ascii="Courier New" w:hAnsi="Courier New"/>
          <w:spacing w:val="-70"/>
          <w:sz w:val="28"/>
        </w:rPr>
        <w:t> </w:t>
      </w:r>
      <w:r>
        <w:rPr>
          <w:rFonts w:ascii="Courier New" w:hAnsi="Courier New"/>
          <w:sz w:val="28"/>
        </w:rPr>
        <w:t>The above verses do not only refer to birth of Ram at Ayodhya</w:t>
      </w:r>
      <w:r>
        <w:rPr>
          <w:rFonts w:ascii="Courier New" w:hAnsi="Courier New"/>
          <w:spacing w:val="-25"/>
          <w:sz w:val="28"/>
        </w:rPr>
        <w:t> </w:t>
      </w:r>
      <w:r>
        <w:rPr>
          <w:rFonts w:ascii="Courier New" w:hAnsi="Courier New"/>
          <w:sz w:val="28"/>
        </w:rPr>
        <w:t>but</w:t>
      </w:r>
      <w:r>
        <w:rPr>
          <w:rFonts w:ascii="Courier New" w:hAnsi="Courier New"/>
          <w:spacing w:val="-24"/>
          <w:sz w:val="28"/>
        </w:rPr>
        <w:t> </w:t>
      </w:r>
      <w:r>
        <w:rPr>
          <w:rFonts w:ascii="Courier New" w:hAnsi="Courier New"/>
          <w:sz w:val="28"/>
        </w:rPr>
        <w:t>points</w:t>
      </w:r>
      <w:r>
        <w:rPr>
          <w:rFonts w:ascii="Courier New" w:hAnsi="Courier New"/>
          <w:spacing w:val="-24"/>
          <w:sz w:val="28"/>
        </w:rPr>
        <w:t> </w:t>
      </w:r>
      <w:r>
        <w:rPr>
          <w:rFonts w:ascii="Courier New" w:hAnsi="Courier New"/>
          <w:sz w:val="28"/>
        </w:rPr>
        <w:t>out</w:t>
      </w:r>
      <w:r>
        <w:rPr>
          <w:rFonts w:ascii="Courier New" w:hAnsi="Courier New"/>
          <w:spacing w:val="-24"/>
          <w:sz w:val="28"/>
        </w:rPr>
        <w:t> </w:t>
      </w:r>
      <w:r>
        <w:rPr>
          <w:rFonts w:ascii="Courier New" w:hAnsi="Courier New"/>
          <w:sz w:val="28"/>
        </w:rPr>
        <w:t>to</w:t>
      </w:r>
      <w:r>
        <w:rPr>
          <w:rFonts w:ascii="Courier New" w:hAnsi="Courier New"/>
          <w:spacing w:val="-25"/>
          <w:sz w:val="28"/>
        </w:rPr>
        <w:t> </w:t>
      </w:r>
      <w:r>
        <w:rPr>
          <w:rFonts w:ascii="Courier New" w:hAnsi="Courier New"/>
          <w:sz w:val="28"/>
        </w:rPr>
        <w:t>“</w:t>
      </w:r>
      <w:r>
        <w:rPr>
          <w:rFonts w:ascii="Courier New" w:hAnsi="Courier New"/>
          <w:sz w:val="28"/>
          <w:u w:val="single"/>
        </w:rPr>
        <w:t>a</w:t>
      </w:r>
      <w:r>
        <w:rPr>
          <w:rFonts w:ascii="Courier New" w:hAnsi="Courier New"/>
          <w:spacing w:val="-21"/>
          <w:sz w:val="28"/>
          <w:u w:val="single"/>
        </w:rPr>
        <w:t> </w:t>
      </w:r>
      <w:r>
        <w:rPr>
          <w:rFonts w:ascii="Courier New" w:hAnsi="Courier New"/>
          <w:sz w:val="28"/>
          <w:u w:val="single"/>
        </w:rPr>
        <w:t>place</w:t>
      </w:r>
      <w:r>
        <w:rPr>
          <w:rFonts w:ascii="Courier New" w:hAnsi="Courier New"/>
          <w:sz w:val="28"/>
        </w:rPr>
        <w:t>”,</w:t>
      </w:r>
      <w:r>
        <w:rPr>
          <w:rFonts w:ascii="Courier New" w:hAnsi="Courier New"/>
          <w:spacing w:val="-24"/>
          <w:sz w:val="28"/>
        </w:rPr>
        <w:t> </w:t>
      </w:r>
      <w:r>
        <w:rPr>
          <w:rFonts w:ascii="Courier New" w:hAnsi="Courier New"/>
          <w:sz w:val="28"/>
        </w:rPr>
        <w:t>where</w:t>
      </w:r>
      <w:r>
        <w:rPr>
          <w:rFonts w:ascii="Courier New" w:hAnsi="Courier New"/>
          <w:spacing w:val="-21"/>
          <w:sz w:val="28"/>
        </w:rPr>
        <w:t> </w:t>
      </w:r>
      <w:r>
        <w:rPr>
          <w:rFonts w:ascii="Courier New" w:hAnsi="Courier New"/>
          <w:sz w:val="28"/>
        </w:rPr>
        <w:t>he</w:t>
      </w:r>
      <w:r>
        <w:rPr>
          <w:rFonts w:ascii="Courier New" w:hAnsi="Courier New"/>
          <w:spacing w:val="-25"/>
          <w:sz w:val="28"/>
        </w:rPr>
        <w:t> </w:t>
      </w:r>
      <w:r>
        <w:rPr>
          <w:rFonts w:ascii="Courier New" w:hAnsi="Courier New"/>
          <w:sz w:val="28"/>
        </w:rPr>
        <w:t>will</w:t>
      </w:r>
      <w:r>
        <w:rPr>
          <w:rFonts w:ascii="Courier New" w:hAnsi="Courier New"/>
          <w:spacing w:val="-24"/>
          <w:sz w:val="28"/>
        </w:rPr>
        <w:t> </w:t>
      </w:r>
      <w:r>
        <w:rPr>
          <w:rFonts w:ascii="Courier New" w:hAnsi="Courier New"/>
          <w:sz w:val="28"/>
        </w:rPr>
        <w:t>take human form, which is clearly depicted in the words “</w:t>
      </w:r>
      <w:r>
        <w:rPr>
          <w:rFonts w:ascii="Courier New" w:hAnsi="Courier New"/>
          <w:sz w:val="28"/>
          <w:u w:val="single"/>
        </w:rPr>
        <w:t>tinha ke grha</w:t>
      </w:r>
      <w:r>
        <w:rPr>
          <w:rFonts w:ascii="Courier New" w:hAnsi="Courier New"/>
          <w:sz w:val="28"/>
        </w:rPr>
        <w:t>” (in their house of Dasaratha and Kausalya).</w:t>
      </w:r>
    </w:p>
    <w:p>
      <w:pPr>
        <w:spacing w:after="0" w:line="480" w:lineRule="auto"/>
        <w:jc w:val="both"/>
        <w:rPr>
          <w:rFonts w:ascii="Courier New" w:hAnsi="Courier New"/>
          <w:sz w:val="28"/>
        </w:rPr>
        <w:sectPr>
          <w:headerReference w:type="default" r:id="rId342"/>
          <w:footerReference w:type="default" r:id="rId343"/>
          <w:pgSz w:w="11910" w:h="16840"/>
          <w:pgMar w:header="0" w:footer="1063" w:top="1340" w:bottom="1260" w:left="1280" w:right="1280"/>
          <w:pgNumType w:start="67"/>
        </w:sectPr>
      </w:pPr>
    </w:p>
    <w:p>
      <w:pPr>
        <w:pStyle w:val="ListParagraph"/>
        <w:numPr>
          <w:ilvl w:val="0"/>
          <w:numId w:val="255"/>
        </w:numPr>
        <w:tabs>
          <w:tab w:pos="847" w:val="left" w:leader="none"/>
        </w:tabs>
        <w:spacing w:line="480" w:lineRule="auto" w:before="86" w:after="0"/>
        <w:ind w:left="160" w:right="158" w:firstLine="0"/>
        <w:jc w:val="both"/>
        <w:rPr>
          <w:rFonts w:ascii="Courier New" w:hAnsi="Courier New"/>
          <w:sz w:val="28"/>
        </w:rPr>
      </w:pPr>
      <w:r>
        <w:rPr>
          <w:rFonts w:ascii="Courier New" w:hAnsi="Courier New"/>
          <w:sz w:val="28"/>
        </w:rPr>
        <w:t>Contesting parties have referred to and relied on various Gazetteers, travelogues books relating to</w:t>
      </w:r>
      <w:r>
        <w:rPr>
          <w:rFonts w:ascii="Courier New" w:hAnsi="Courier New"/>
          <w:spacing w:val="-68"/>
          <w:sz w:val="28"/>
        </w:rPr>
        <w:t> </w:t>
      </w:r>
      <w:r>
        <w:rPr>
          <w:rFonts w:ascii="Courier New" w:hAnsi="Courier New"/>
          <w:sz w:val="28"/>
        </w:rPr>
        <w:t>this period. According to Hindu parties’ relevant books</w:t>
      </w:r>
      <w:r>
        <w:rPr>
          <w:rFonts w:ascii="Courier New" w:hAnsi="Courier New"/>
          <w:spacing w:val="-73"/>
          <w:sz w:val="28"/>
        </w:rPr>
        <w:t> </w:t>
      </w:r>
      <w:r>
        <w:rPr>
          <w:rFonts w:ascii="Courier New" w:hAnsi="Courier New"/>
          <w:sz w:val="28"/>
        </w:rPr>
        <w:t>and Gazetteers during the relevant period amply proves</w:t>
      </w:r>
      <w:r>
        <w:rPr>
          <w:rFonts w:ascii="Courier New" w:hAnsi="Courier New"/>
          <w:spacing w:val="-69"/>
          <w:sz w:val="28"/>
        </w:rPr>
        <w:t> </w:t>
      </w:r>
      <w:r>
        <w:rPr>
          <w:rFonts w:ascii="Courier New" w:hAnsi="Courier New"/>
          <w:sz w:val="28"/>
        </w:rPr>
        <w:t>the faith and belief of Hindus in the Janma Asthan of</w:t>
      </w:r>
      <w:r>
        <w:rPr>
          <w:rFonts w:ascii="Courier New" w:hAnsi="Courier New"/>
          <w:spacing w:val="-68"/>
          <w:sz w:val="28"/>
        </w:rPr>
        <w:t> </w:t>
      </w:r>
      <w:r>
        <w:rPr>
          <w:rFonts w:ascii="Courier New" w:hAnsi="Courier New"/>
          <w:sz w:val="28"/>
        </w:rPr>
        <w:t>Lord Ram, which was worshipped by Hindus throughout.</w:t>
      </w:r>
      <w:r>
        <w:rPr>
          <w:rFonts w:ascii="Courier New" w:hAnsi="Courier New"/>
          <w:spacing w:val="105"/>
          <w:sz w:val="28"/>
        </w:rPr>
        <w:t> </w:t>
      </w:r>
      <w:r>
        <w:rPr>
          <w:rFonts w:ascii="Courier New" w:hAnsi="Courier New"/>
          <w:sz w:val="28"/>
        </w:rPr>
        <w:t>Dr. Rajeev Dhavan on the other hand contends that Gazetteers of period prior to 1858 cannot be looked into and Gazetteers prepared under the British Government after 1858 can be of some assistance. He submits that Gazetteers prepared during the regime of East India Company cannot be relied nor can be called Gazetteers. With regard to all travelogues account published in different books, Dr. Dhavan submits that no reliance can be placed on the said accounts given by</w:t>
      </w:r>
      <w:r>
        <w:rPr>
          <w:rFonts w:ascii="Courier New" w:hAnsi="Courier New"/>
          <w:spacing w:val="-27"/>
          <w:sz w:val="28"/>
        </w:rPr>
        <w:t> </w:t>
      </w:r>
      <w:r>
        <w:rPr>
          <w:rFonts w:ascii="Courier New" w:hAnsi="Courier New"/>
          <w:sz w:val="28"/>
        </w:rPr>
        <w:t>travellers,</w:t>
      </w:r>
      <w:r>
        <w:rPr>
          <w:rFonts w:ascii="Courier New" w:hAnsi="Courier New"/>
          <w:spacing w:val="-27"/>
          <w:sz w:val="28"/>
        </w:rPr>
        <w:t> </w:t>
      </w:r>
      <w:r>
        <w:rPr>
          <w:rFonts w:ascii="Courier New" w:hAnsi="Courier New"/>
          <w:sz w:val="28"/>
        </w:rPr>
        <w:t>since</w:t>
      </w:r>
      <w:r>
        <w:rPr>
          <w:rFonts w:ascii="Courier New" w:hAnsi="Courier New"/>
          <w:spacing w:val="-26"/>
          <w:sz w:val="28"/>
        </w:rPr>
        <w:t> </w:t>
      </w:r>
      <w:r>
        <w:rPr>
          <w:rFonts w:ascii="Courier New" w:hAnsi="Courier New"/>
          <w:sz w:val="28"/>
        </w:rPr>
        <w:t>they</w:t>
      </w:r>
      <w:r>
        <w:rPr>
          <w:rFonts w:ascii="Courier New" w:hAnsi="Courier New"/>
          <w:spacing w:val="-27"/>
          <w:sz w:val="28"/>
        </w:rPr>
        <w:t> </w:t>
      </w:r>
      <w:r>
        <w:rPr>
          <w:rFonts w:ascii="Courier New" w:hAnsi="Courier New"/>
          <w:sz w:val="28"/>
        </w:rPr>
        <w:t>are</w:t>
      </w:r>
      <w:r>
        <w:rPr>
          <w:rFonts w:ascii="Courier New" w:hAnsi="Courier New"/>
          <w:spacing w:val="-24"/>
          <w:sz w:val="28"/>
        </w:rPr>
        <w:t> </w:t>
      </w:r>
      <w:r>
        <w:rPr>
          <w:rFonts w:ascii="Courier New" w:hAnsi="Courier New"/>
          <w:sz w:val="28"/>
        </w:rPr>
        <w:t>only</w:t>
      </w:r>
      <w:r>
        <w:rPr>
          <w:rFonts w:ascii="Courier New" w:hAnsi="Courier New"/>
          <w:spacing w:val="-27"/>
          <w:sz w:val="28"/>
        </w:rPr>
        <w:t> </w:t>
      </w:r>
      <w:r>
        <w:rPr>
          <w:rFonts w:ascii="Courier New" w:hAnsi="Courier New"/>
          <w:sz w:val="28"/>
        </w:rPr>
        <w:t>all</w:t>
      </w:r>
      <w:r>
        <w:rPr>
          <w:rFonts w:ascii="Courier New" w:hAnsi="Courier New"/>
          <w:spacing w:val="-26"/>
          <w:sz w:val="28"/>
        </w:rPr>
        <w:t> </w:t>
      </w:r>
      <w:r>
        <w:rPr>
          <w:rFonts w:ascii="Courier New" w:hAnsi="Courier New"/>
          <w:sz w:val="28"/>
        </w:rPr>
        <w:t>hearsay</w:t>
      </w:r>
      <w:r>
        <w:rPr>
          <w:rFonts w:ascii="Courier New" w:hAnsi="Courier New"/>
          <w:spacing w:val="-27"/>
          <w:sz w:val="28"/>
        </w:rPr>
        <w:t> </w:t>
      </w:r>
      <w:r>
        <w:rPr>
          <w:rFonts w:ascii="Courier New" w:hAnsi="Courier New"/>
          <w:sz w:val="28"/>
        </w:rPr>
        <w:t>and</w:t>
      </w:r>
      <w:r>
        <w:rPr>
          <w:rFonts w:ascii="Courier New" w:hAnsi="Courier New"/>
          <w:spacing w:val="-26"/>
          <w:sz w:val="28"/>
        </w:rPr>
        <w:t> </w:t>
      </w:r>
      <w:r>
        <w:rPr>
          <w:rFonts w:ascii="Courier New" w:hAnsi="Courier New"/>
          <w:sz w:val="28"/>
        </w:rPr>
        <w:t>they were only by their account telling stories. It is necessary to first consider as to whether Gazetteers and travelogues books can be treated as an evidence</w:t>
      </w:r>
      <w:r>
        <w:rPr>
          <w:rFonts w:ascii="Courier New" w:hAnsi="Courier New"/>
          <w:spacing w:val="-70"/>
          <w:sz w:val="28"/>
        </w:rPr>
        <w:t> </w:t>
      </w:r>
      <w:r>
        <w:rPr>
          <w:rFonts w:ascii="Courier New" w:hAnsi="Courier New"/>
          <w:sz w:val="28"/>
        </w:rPr>
        <w:t>by Court for considering the issue, which had arisen before the Court in the suit giving rise to appeals</w:t>
      </w:r>
      <w:r>
        <w:rPr>
          <w:rFonts w:ascii="Courier New" w:hAnsi="Courier New"/>
          <w:spacing w:val="-67"/>
          <w:sz w:val="28"/>
        </w:rPr>
        <w:t> </w:t>
      </w:r>
      <w:r>
        <w:rPr>
          <w:rFonts w:ascii="Courier New" w:hAnsi="Courier New"/>
          <w:sz w:val="28"/>
        </w:rPr>
        <w:t>in question. The Evidence Act, 1872 consolidated,</w:t>
      </w:r>
      <w:r>
        <w:rPr>
          <w:rFonts w:ascii="Courier New" w:hAnsi="Courier New"/>
          <w:spacing w:val="-70"/>
          <w:sz w:val="28"/>
        </w:rPr>
        <w:t> </w:t>
      </w:r>
      <w:r>
        <w:rPr>
          <w:rFonts w:ascii="Courier New" w:hAnsi="Courier New"/>
          <w:sz w:val="28"/>
        </w:rPr>
        <w:t>defined</w:t>
      </w:r>
    </w:p>
    <w:p>
      <w:pPr>
        <w:spacing w:after="0" w:line="480" w:lineRule="auto"/>
        <w:jc w:val="both"/>
        <w:rPr>
          <w:rFonts w:ascii="Courier New" w:hAnsi="Courier New"/>
          <w:sz w:val="28"/>
        </w:rPr>
        <w:sectPr>
          <w:headerReference w:type="default" r:id="rId344"/>
          <w:footerReference w:type="default" r:id="rId345"/>
          <w:pgSz w:w="11910" w:h="16840"/>
          <w:pgMar w:header="0" w:footer="1063" w:top="1340" w:bottom="1260" w:left="1280" w:right="1280"/>
          <w:pgNumType w:start="68"/>
        </w:sectPr>
      </w:pPr>
    </w:p>
    <w:p>
      <w:pPr>
        <w:spacing w:line="480" w:lineRule="auto" w:before="86"/>
        <w:ind w:left="160" w:right="159" w:firstLine="0"/>
        <w:jc w:val="both"/>
        <w:rPr>
          <w:rFonts w:ascii="Courier New"/>
          <w:sz w:val="28"/>
        </w:rPr>
      </w:pPr>
      <w:r>
        <w:rPr>
          <w:rFonts w:ascii="Courier New"/>
          <w:sz w:val="28"/>
        </w:rPr>
        <w:t>and amend the law of evidence. The evidence is</w:t>
      </w:r>
      <w:r>
        <w:rPr>
          <w:rFonts w:ascii="Courier New"/>
          <w:spacing w:val="-70"/>
          <w:sz w:val="28"/>
        </w:rPr>
        <w:t> </w:t>
      </w:r>
      <w:r>
        <w:rPr>
          <w:rFonts w:ascii="Courier New"/>
          <w:sz w:val="28"/>
        </w:rPr>
        <w:t>defined in interpretation clause, i.e., Section 3. The definition of evidence as amended by Act 21 of 2000</w:t>
      </w:r>
      <w:r>
        <w:rPr>
          <w:rFonts w:ascii="Courier New"/>
          <w:spacing w:val="-67"/>
          <w:sz w:val="28"/>
        </w:rPr>
        <w:t> </w:t>
      </w:r>
      <w:r>
        <w:rPr>
          <w:rFonts w:ascii="Courier New"/>
          <w:sz w:val="28"/>
        </w:rPr>
        <w:t>is as follows:-</w:t>
      </w:r>
    </w:p>
    <w:p>
      <w:pPr>
        <w:spacing w:before="0"/>
        <w:ind w:left="1011" w:right="1246" w:firstLine="167"/>
        <w:jc w:val="both"/>
        <w:rPr>
          <w:rFonts w:ascii="Courier New" w:hAnsi="Courier New"/>
          <w:sz w:val="28"/>
        </w:rPr>
      </w:pPr>
      <w:r>
        <w:rPr>
          <w:rFonts w:ascii="Courier New" w:hAnsi="Courier New"/>
          <w:sz w:val="28"/>
        </w:rPr>
        <w:t>“</w:t>
      </w:r>
      <w:r>
        <w:rPr>
          <w:rFonts w:ascii="Courier New" w:hAnsi="Courier New"/>
          <w:b/>
          <w:sz w:val="28"/>
        </w:rPr>
        <w:t>Evidence”.— </w:t>
      </w:r>
      <w:r>
        <w:rPr>
          <w:rFonts w:ascii="Courier New" w:hAnsi="Courier New"/>
          <w:sz w:val="28"/>
        </w:rPr>
        <w:t>“Evidence” means and includes—</w:t>
      </w:r>
    </w:p>
    <w:p>
      <w:pPr>
        <w:pStyle w:val="BodyText"/>
        <w:rPr>
          <w:rFonts w:ascii="Courier New"/>
          <w:sz w:val="28"/>
        </w:rPr>
      </w:pPr>
    </w:p>
    <w:p>
      <w:pPr>
        <w:pStyle w:val="Heading2"/>
        <w:numPr>
          <w:ilvl w:val="1"/>
          <w:numId w:val="255"/>
        </w:numPr>
        <w:tabs>
          <w:tab w:pos="1862" w:val="left" w:leader="none"/>
        </w:tabs>
        <w:spacing w:line="240" w:lineRule="auto" w:before="0" w:after="0"/>
        <w:ind w:left="1861" w:right="1247" w:hanging="850"/>
        <w:jc w:val="both"/>
      </w:pPr>
      <w:r>
        <w:rPr/>
        <w:t>all</w:t>
      </w:r>
      <w:r>
        <w:rPr>
          <w:spacing w:val="-33"/>
        </w:rPr>
        <w:t> </w:t>
      </w:r>
      <w:r>
        <w:rPr/>
        <w:t>statements</w:t>
      </w:r>
      <w:r>
        <w:rPr>
          <w:spacing w:val="-33"/>
        </w:rPr>
        <w:t> </w:t>
      </w:r>
      <w:r>
        <w:rPr/>
        <w:t>which</w:t>
      </w:r>
      <w:r>
        <w:rPr>
          <w:spacing w:val="-32"/>
        </w:rPr>
        <w:t> </w:t>
      </w:r>
      <w:r>
        <w:rPr/>
        <w:t>the</w:t>
      </w:r>
      <w:r>
        <w:rPr>
          <w:spacing w:val="-33"/>
        </w:rPr>
        <w:t> </w:t>
      </w:r>
      <w:r>
        <w:rPr/>
        <w:t>Court</w:t>
      </w:r>
      <w:r>
        <w:rPr>
          <w:spacing w:val="-32"/>
        </w:rPr>
        <w:t> </w:t>
      </w:r>
      <w:r>
        <w:rPr/>
        <w:t>permits or requires to be made before it by witnesses, in relation to matters of fact under</w:t>
      </w:r>
      <w:r>
        <w:rPr>
          <w:spacing w:val="-3"/>
        </w:rPr>
        <w:t> </w:t>
      </w:r>
      <w:r>
        <w:rPr/>
        <w:t>inquiry,</w:t>
      </w:r>
    </w:p>
    <w:p>
      <w:pPr>
        <w:pStyle w:val="BodyText"/>
        <w:spacing w:before="1"/>
        <w:rPr>
          <w:rFonts w:ascii="Courier New"/>
          <w:sz w:val="28"/>
        </w:rPr>
      </w:pPr>
    </w:p>
    <w:p>
      <w:pPr>
        <w:spacing w:before="0"/>
        <w:ind w:left="1011" w:right="0" w:firstLine="0"/>
        <w:jc w:val="both"/>
        <w:rPr>
          <w:rFonts w:ascii="Courier New"/>
          <w:sz w:val="28"/>
        </w:rPr>
      </w:pPr>
      <w:r>
        <w:rPr>
          <w:rFonts w:ascii="Courier New"/>
          <w:sz w:val="28"/>
        </w:rPr>
        <w:t>such statements are called oral evidence;</w:t>
      </w:r>
    </w:p>
    <w:p>
      <w:pPr>
        <w:pStyle w:val="BodyText"/>
        <w:spacing w:before="10"/>
        <w:rPr>
          <w:rFonts w:ascii="Courier New"/>
          <w:sz w:val="27"/>
        </w:rPr>
      </w:pPr>
    </w:p>
    <w:p>
      <w:pPr>
        <w:pStyle w:val="ListParagraph"/>
        <w:numPr>
          <w:ilvl w:val="1"/>
          <w:numId w:val="255"/>
        </w:numPr>
        <w:tabs>
          <w:tab w:pos="1862" w:val="left" w:leader="none"/>
        </w:tabs>
        <w:spacing w:line="240" w:lineRule="auto" w:before="0" w:after="0"/>
        <w:ind w:left="1861" w:right="1247" w:hanging="850"/>
        <w:jc w:val="both"/>
        <w:rPr>
          <w:rFonts w:ascii="Courier New"/>
          <w:sz w:val="28"/>
        </w:rPr>
      </w:pPr>
      <w:r>
        <w:rPr>
          <w:rFonts w:ascii="Courier New"/>
          <w:sz w:val="28"/>
        </w:rPr>
        <w:t>all documents including electronic records</w:t>
      </w:r>
      <w:r>
        <w:rPr>
          <w:rFonts w:ascii="Courier New"/>
          <w:spacing w:val="-33"/>
          <w:sz w:val="28"/>
        </w:rPr>
        <w:t> </w:t>
      </w:r>
      <w:r>
        <w:rPr>
          <w:rFonts w:ascii="Courier New"/>
          <w:sz w:val="28"/>
        </w:rPr>
        <w:t>produced</w:t>
      </w:r>
      <w:r>
        <w:rPr>
          <w:rFonts w:ascii="Courier New"/>
          <w:spacing w:val="-33"/>
          <w:sz w:val="28"/>
        </w:rPr>
        <w:t> </w:t>
      </w:r>
      <w:r>
        <w:rPr>
          <w:rFonts w:ascii="Courier New"/>
          <w:sz w:val="28"/>
        </w:rPr>
        <w:t>for</w:t>
      </w:r>
      <w:r>
        <w:rPr>
          <w:rFonts w:ascii="Courier New"/>
          <w:spacing w:val="-32"/>
          <w:sz w:val="28"/>
        </w:rPr>
        <w:t> </w:t>
      </w:r>
      <w:r>
        <w:rPr>
          <w:rFonts w:ascii="Courier New"/>
          <w:sz w:val="28"/>
        </w:rPr>
        <w:t>the</w:t>
      </w:r>
      <w:r>
        <w:rPr>
          <w:rFonts w:ascii="Courier New"/>
          <w:spacing w:val="-33"/>
          <w:sz w:val="28"/>
        </w:rPr>
        <w:t> </w:t>
      </w:r>
      <w:r>
        <w:rPr>
          <w:rFonts w:ascii="Courier New"/>
          <w:sz w:val="28"/>
        </w:rPr>
        <w:t>inspection</w:t>
      </w:r>
      <w:r>
        <w:rPr>
          <w:rFonts w:ascii="Courier New"/>
          <w:spacing w:val="-32"/>
          <w:sz w:val="28"/>
        </w:rPr>
        <w:t> </w:t>
      </w:r>
      <w:r>
        <w:rPr>
          <w:rFonts w:ascii="Courier New"/>
          <w:sz w:val="28"/>
        </w:rPr>
        <w:t>of the</w:t>
      </w:r>
      <w:r>
        <w:rPr>
          <w:rFonts w:ascii="Courier New"/>
          <w:spacing w:val="-2"/>
          <w:sz w:val="28"/>
        </w:rPr>
        <w:t> </w:t>
      </w:r>
      <w:r>
        <w:rPr>
          <w:rFonts w:ascii="Courier New"/>
          <w:sz w:val="28"/>
        </w:rPr>
        <w:t>Court,</w:t>
      </w:r>
    </w:p>
    <w:p>
      <w:pPr>
        <w:pStyle w:val="BodyText"/>
        <w:spacing w:before="1"/>
        <w:rPr>
          <w:rFonts w:ascii="Courier New"/>
          <w:sz w:val="28"/>
        </w:rPr>
      </w:pPr>
    </w:p>
    <w:p>
      <w:pPr>
        <w:spacing w:before="0"/>
        <w:ind w:left="1011" w:right="1247" w:firstLine="0"/>
        <w:jc w:val="both"/>
        <w:rPr>
          <w:rFonts w:ascii="Courier New" w:hAnsi="Courier New"/>
          <w:sz w:val="28"/>
        </w:rPr>
      </w:pPr>
      <w:r>
        <w:rPr>
          <w:rFonts w:ascii="Courier New" w:hAnsi="Courier New"/>
          <w:sz w:val="28"/>
        </w:rPr>
        <w:t>such documents are called documentary evidence.”</w:t>
      </w:r>
    </w:p>
    <w:p>
      <w:pPr>
        <w:pStyle w:val="BodyText"/>
        <w:rPr>
          <w:rFonts w:ascii="Courier New"/>
          <w:sz w:val="32"/>
        </w:rPr>
      </w:pPr>
    </w:p>
    <w:p>
      <w:pPr>
        <w:pStyle w:val="ListParagraph"/>
        <w:numPr>
          <w:ilvl w:val="0"/>
          <w:numId w:val="255"/>
        </w:numPr>
        <w:tabs>
          <w:tab w:pos="1139" w:val="left" w:leader="none"/>
        </w:tabs>
        <w:spacing w:line="480" w:lineRule="auto" w:before="270" w:after="0"/>
        <w:ind w:left="160" w:right="162" w:firstLine="0"/>
        <w:jc w:val="both"/>
        <w:rPr>
          <w:rFonts w:ascii="Courier New"/>
          <w:sz w:val="28"/>
        </w:rPr>
      </w:pPr>
      <w:r>
        <w:rPr>
          <w:rFonts w:ascii="Courier New"/>
          <w:sz w:val="28"/>
        </w:rPr>
        <w:t>Section 57 of the Evidence Act, enumerate the facts of which the Court must take judicial notice. Section 57 insofar as it is relevant for the present case is as</w:t>
      </w:r>
      <w:r>
        <w:rPr>
          <w:rFonts w:ascii="Courier New"/>
          <w:spacing w:val="-4"/>
          <w:sz w:val="28"/>
        </w:rPr>
        <w:t> </w:t>
      </w:r>
      <w:r>
        <w:rPr>
          <w:rFonts w:ascii="Courier New"/>
          <w:sz w:val="28"/>
        </w:rPr>
        <w:t>follows:-</w:t>
      </w:r>
    </w:p>
    <w:p>
      <w:pPr>
        <w:spacing w:line="240" w:lineRule="auto" w:before="0"/>
        <w:ind w:left="1011" w:right="1245" w:firstLine="0"/>
        <w:jc w:val="both"/>
        <w:rPr>
          <w:rFonts w:ascii="Courier New" w:hAnsi="Courier New"/>
          <w:sz w:val="28"/>
        </w:rPr>
      </w:pPr>
      <w:r>
        <w:rPr>
          <w:rFonts w:ascii="Courier New" w:hAnsi="Courier New"/>
          <w:sz w:val="28"/>
        </w:rPr>
        <w:t>“</w:t>
      </w:r>
      <w:hyperlink r:id="rId348">
        <w:r>
          <w:rPr>
            <w:rFonts w:ascii="Courier New" w:hAnsi="Courier New"/>
            <w:b/>
            <w:sz w:val="28"/>
          </w:rPr>
          <w:t>57. </w:t>
        </w:r>
      </w:hyperlink>
      <w:r>
        <w:rPr>
          <w:rFonts w:ascii="Courier New" w:hAnsi="Courier New"/>
          <w:b/>
          <w:sz w:val="28"/>
        </w:rPr>
        <w:t>Facts of which Court must take judicial notice.</w:t>
      </w:r>
      <w:r>
        <w:rPr>
          <w:rFonts w:ascii="Courier New" w:hAnsi="Courier New"/>
          <w:sz w:val="28"/>
        </w:rPr>
        <w:t>—The Court shall take judicial notice of the following facts:—</w:t>
      </w:r>
    </w:p>
    <w:p>
      <w:pPr>
        <w:pStyle w:val="BodyText"/>
        <w:rPr>
          <w:rFonts w:ascii="Courier New"/>
          <w:sz w:val="28"/>
        </w:rPr>
      </w:pPr>
    </w:p>
    <w:p>
      <w:pPr>
        <w:pStyle w:val="Heading2"/>
        <w:numPr>
          <w:ilvl w:val="1"/>
          <w:numId w:val="255"/>
        </w:numPr>
        <w:tabs>
          <w:tab w:pos="1862" w:val="left" w:leader="none"/>
        </w:tabs>
        <w:spacing w:line="240" w:lineRule="auto" w:before="1" w:after="0"/>
        <w:ind w:left="1861" w:right="1249" w:hanging="850"/>
        <w:jc w:val="both"/>
      </w:pPr>
      <w:r>
        <w:rPr/>
        <w:t>All laws in force in the territory of India;</w:t>
      </w:r>
    </w:p>
    <w:p>
      <w:pPr>
        <w:pStyle w:val="BodyText"/>
        <w:spacing w:before="2"/>
        <w:rPr>
          <w:rFonts w:ascii="Courier New"/>
          <w:sz w:val="19"/>
        </w:rPr>
      </w:pPr>
    </w:p>
    <w:p>
      <w:pPr>
        <w:spacing w:before="101"/>
        <w:ind w:left="559" w:right="793" w:firstLine="0"/>
        <w:jc w:val="center"/>
        <w:rPr>
          <w:rFonts w:ascii="Courier New"/>
          <w:sz w:val="28"/>
        </w:rPr>
      </w:pPr>
      <w:r>
        <w:rPr>
          <w:rFonts w:ascii="Courier New"/>
          <w:sz w:val="28"/>
        </w:rPr>
        <w:t>xxxxxxxxxxxxx</w:t>
      </w:r>
    </w:p>
    <w:p>
      <w:pPr>
        <w:spacing w:after="0"/>
        <w:jc w:val="center"/>
        <w:rPr>
          <w:rFonts w:ascii="Courier New"/>
          <w:sz w:val="28"/>
        </w:rPr>
        <w:sectPr>
          <w:headerReference w:type="default" r:id="rId346"/>
          <w:footerReference w:type="default" r:id="rId347"/>
          <w:pgSz w:w="11910" w:h="16840"/>
          <w:pgMar w:header="0" w:footer="1063" w:top="1340" w:bottom="1260" w:left="1280" w:right="1280"/>
          <w:pgNumType w:start="69"/>
        </w:sectPr>
      </w:pPr>
    </w:p>
    <w:p>
      <w:pPr>
        <w:spacing w:line="240" w:lineRule="auto" w:before="86"/>
        <w:ind w:left="1011" w:right="1247" w:firstLine="588"/>
        <w:jc w:val="both"/>
        <w:rPr>
          <w:rFonts w:ascii="Courier New"/>
          <w:sz w:val="28"/>
        </w:rPr>
      </w:pPr>
      <w:r>
        <w:rPr>
          <w:rFonts w:ascii="Courier New"/>
          <w:sz w:val="28"/>
        </w:rPr>
        <w:t>In all these cases, and also on all matters of public history, literature, science or art, the Court may resort for its aid to appropriate books or documents of reference.</w:t>
      </w:r>
    </w:p>
    <w:p>
      <w:pPr>
        <w:pStyle w:val="BodyText"/>
        <w:rPr>
          <w:rFonts w:ascii="Courier New"/>
          <w:sz w:val="28"/>
        </w:rPr>
      </w:pPr>
    </w:p>
    <w:p>
      <w:pPr>
        <w:spacing w:line="240" w:lineRule="auto" w:before="0"/>
        <w:ind w:left="1011" w:right="1246" w:firstLine="588"/>
        <w:jc w:val="both"/>
        <w:rPr>
          <w:rFonts w:ascii="Courier New" w:hAnsi="Courier New"/>
          <w:sz w:val="28"/>
        </w:rPr>
      </w:pPr>
      <w:r>
        <w:rPr>
          <w:rFonts w:ascii="Courier New" w:hAnsi="Courier New"/>
          <w:sz w:val="28"/>
        </w:rPr>
        <w:t>If the Court is called upon by any person</w:t>
      </w:r>
      <w:r>
        <w:rPr>
          <w:rFonts w:ascii="Courier New" w:hAnsi="Courier New"/>
          <w:spacing w:val="-22"/>
          <w:sz w:val="28"/>
        </w:rPr>
        <w:t> </w:t>
      </w:r>
      <w:r>
        <w:rPr>
          <w:rFonts w:ascii="Courier New" w:hAnsi="Courier New"/>
          <w:sz w:val="28"/>
        </w:rPr>
        <w:t>to</w:t>
      </w:r>
      <w:r>
        <w:rPr>
          <w:rFonts w:ascii="Courier New" w:hAnsi="Courier New"/>
          <w:spacing w:val="-22"/>
          <w:sz w:val="28"/>
        </w:rPr>
        <w:t> </w:t>
      </w:r>
      <w:r>
        <w:rPr>
          <w:rFonts w:ascii="Courier New" w:hAnsi="Courier New"/>
          <w:sz w:val="28"/>
        </w:rPr>
        <w:t>take</w:t>
      </w:r>
      <w:r>
        <w:rPr>
          <w:rFonts w:ascii="Courier New" w:hAnsi="Courier New"/>
          <w:spacing w:val="-22"/>
          <w:sz w:val="28"/>
        </w:rPr>
        <w:t> </w:t>
      </w:r>
      <w:r>
        <w:rPr>
          <w:rFonts w:ascii="Courier New" w:hAnsi="Courier New"/>
          <w:sz w:val="28"/>
        </w:rPr>
        <w:t>judicial</w:t>
      </w:r>
      <w:r>
        <w:rPr>
          <w:rFonts w:ascii="Courier New" w:hAnsi="Courier New"/>
          <w:spacing w:val="-22"/>
          <w:sz w:val="28"/>
        </w:rPr>
        <w:t> </w:t>
      </w:r>
      <w:r>
        <w:rPr>
          <w:rFonts w:ascii="Courier New" w:hAnsi="Courier New"/>
          <w:sz w:val="28"/>
        </w:rPr>
        <w:t>notice</w:t>
      </w:r>
      <w:r>
        <w:rPr>
          <w:rFonts w:ascii="Courier New" w:hAnsi="Courier New"/>
          <w:spacing w:val="-21"/>
          <w:sz w:val="28"/>
        </w:rPr>
        <w:t> </w:t>
      </w:r>
      <w:r>
        <w:rPr>
          <w:rFonts w:ascii="Courier New" w:hAnsi="Courier New"/>
          <w:sz w:val="28"/>
        </w:rPr>
        <w:t>of</w:t>
      </w:r>
      <w:r>
        <w:rPr>
          <w:rFonts w:ascii="Courier New" w:hAnsi="Courier New"/>
          <w:spacing w:val="-22"/>
          <w:sz w:val="28"/>
        </w:rPr>
        <w:t> </w:t>
      </w:r>
      <w:r>
        <w:rPr>
          <w:rFonts w:ascii="Courier New" w:hAnsi="Courier New"/>
          <w:sz w:val="28"/>
        </w:rPr>
        <w:t>any</w:t>
      </w:r>
      <w:r>
        <w:rPr>
          <w:rFonts w:ascii="Courier New" w:hAnsi="Courier New"/>
          <w:spacing w:val="-22"/>
          <w:sz w:val="28"/>
        </w:rPr>
        <w:t> </w:t>
      </w:r>
      <w:r>
        <w:rPr>
          <w:rFonts w:ascii="Courier New" w:hAnsi="Courier New"/>
          <w:sz w:val="28"/>
        </w:rPr>
        <w:t>fact, it may refuse to do so, unless and until such person produces any such book or document as it may consider necessary to enable it to do</w:t>
      </w:r>
      <w:r>
        <w:rPr>
          <w:rFonts w:ascii="Courier New" w:hAnsi="Courier New"/>
          <w:spacing w:val="-5"/>
          <w:sz w:val="28"/>
        </w:rPr>
        <w:t> </w:t>
      </w:r>
      <w:r>
        <w:rPr>
          <w:rFonts w:ascii="Courier New" w:hAnsi="Courier New"/>
          <w:sz w:val="28"/>
        </w:rPr>
        <w:t>so.”</w:t>
      </w:r>
    </w:p>
    <w:p>
      <w:pPr>
        <w:pStyle w:val="BodyText"/>
        <w:rPr>
          <w:rFonts w:ascii="Courier New"/>
          <w:sz w:val="32"/>
        </w:rPr>
      </w:pPr>
    </w:p>
    <w:p>
      <w:pPr>
        <w:pStyle w:val="ListParagraph"/>
        <w:numPr>
          <w:ilvl w:val="0"/>
          <w:numId w:val="255"/>
        </w:numPr>
        <w:tabs>
          <w:tab w:pos="911" w:val="left" w:leader="none"/>
        </w:tabs>
        <w:spacing w:line="480" w:lineRule="auto" w:before="271" w:after="0"/>
        <w:ind w:left="160" w:right="158" w:firstLine="0"/>
        <w:jc w:val="both"/>
        <w:rPr>
          <w:rFonts w:ascii="Courier New" w:hAnsi="Courier New"/>
          <w:sz w:val="28"/>
        </w:rPr>
      </w:pPr>
      <w:r>
        <w:rPr>
          <w:rFonts w:ascii="Courier New" w:hAnsi="Courier New"/>
          <w:sz w:val="28"/>
        </w:rPr>
        <w:t>The definition of facts, which Court must take judicial notice is not an exhaustive definition. Phrase “on all matters of public history, literature, science or art” are wide enough to empower the court to take into consideration Gazetteers, travelogues</w:t>
      </w:r>
      <w:r>
        <w:rPr>
          <w:rFonts w:ascii="Courier New" w:hAnsi="Courier New"/>
          <w:spacing w:val="-68"/>
          <w:sz w:val="28"/>
        </w:rPr>
        <w:t> </w:t>
      </w:r>
      <w:r>
        <w:rPr>
          <w:rFonts w:ascii="Courier New" w:hAnsi="Courier New"/>
          <w:sz w:val="28"/>
        </w:rPr>
        <w:t>and books. Gazetteers are nothing but record of public history. The above provision is with a rider that if the</w:t>
      </w:r>
      <w:r>
        <w:rPr>
          <w:rFonts w:ascii="Courier New" w:hAnsi="Courier New"/>
          <w:spacing w:val="-25"/>
          <w:sz w:val="28"/>
        </w:rPr>
        <w:t> </w:t>
      </w:r>
      <w:r>
        <w:rPr>
          <w:rFonts w:ascii="Courier New" w:hAnsi="Courier New"/>
          <w:sz w:val="28"/>
        </w:rPr>
        <w:t>Court</w:t>
      </w:r>
      <w:r>
        <w:rPr>
          <w:rFonts w:ascii="Courier New" w:hAnsi="Courier New"/>
          <w:spacing w:val="-24"/>
          <w:sz w:val="28"/>
        </w:rPr>
        <w:t> </w:t>
      </w:r>
      <w:r>
        <w:rPr>
          <w:rFonts w:ascii="Courier New" w:hAnsi="Courier New"/>
          <w:sz w:val="28"/>
        </w:rPr>
        <w:t>is</w:t>
      </w:r>
      <w:r>
        <w:rPr>
          <w:rFonts w:ascii="Courier New" w:hAnsi="Courier New"/>
          <w:spacing w:val="-24"/>
          <w:sz w:val="28"/>
        </w:rPr>
        <w:t> </w:t>
      </w:r>
      <w:r>
        <w:rPr>
          <w:rFonts w:ascii="Courier New" w:hAnsi="Courier New"/>
          <w:sz w:val="28"/>
        </w:rPr>
        <w:t>called</w:t>
      </w:r>
      <w:r>
        <w:rPr>
          <w:rFonts w:ascii="Courier New" w:hAnsi="Courier New"/>
          <w:spacing w:val="-24"/>
          <w:sz w:val="28"/>
        </w:rPr>
        <w:t> </w:t>
      </w:r>
      <w:r>
        <w:rPr>
          <w:rFonts w:ascii="Courier New" w:hAnsi="Courier New"/>
          <w:sz w:val="28"/>
        </w:rPr>
        <w:t>upon</w:t>
      </w:r>
      <w:r>
        <w:rPr>
          <w:rFonts w:ascii="Courier New" w:hAnsi="Courier New"/>
          <w:spacing w:val="-25"/>
          <w:sz w:val="28"/>
        </w:rPr>
        <w:t> </w:t>
      </w:r>
      <w:r>
        <w:rPr>
          <w:rFonts w:ascii="Courier New" w:hAnsi="Courier New"/>
          <w:sz w:val="28"/>
        </w:rPr>
        <w:t>by</w:t>
      </w:r>
      <w:r>
        <w:rPr>
          <w:rFonts w:ascii="Courier New" w:hAnsi="Courier New"/>
          <w:spacing w:val="-21"/>
          <w:sz w:val="28"/>
        </w:rPr>
        <w:t> </w:t>
      </w:r>
      <w:r>
        <w:rPr>
          <w:rFonts w:ascii="Courier New" w:hAnsi="Courier New"/>
          <w:sz w:val="28"/>
        </w:rPr>
        <w:t>any</w:t>
      </w:r>
      <w:r>
        <w:rPr>
          <w:rFonts w:ascii="Courier New" w:hAnsi="Courier New"/>
          <w:spacing w:val="-24"/>
          <w:sz w:val="28"/>
        </w:rPr>
        <w:t> </w:t>
      </w:r>
      <w:r>
        <w:rPr>
          <w:rFonts w:ascii="Courier New" w:hAnsi="Courier New"/>
          <w:sz w:val="28"/>
        </w:rPr>
        <w:t>person</w:t>
      </w:r>
      <w:r>
        <w:rPr>
          <w:rFonts w:ascii="Courier New" w:hAnsi="Courier New"/>
          <w:spacing w:val="-24"/>
          <w:sz w:val="28"/>
        </w:rPr>
        <w:t> </w:t>
      </w:r>
      <w:r>
        <w:rPr>
          <w:rFonts w:ascii="Courier New" w:hAnsi="Courier New"/>
          <w:sz w:val="28"/>
        </w:rPr>
        <w:t>to</w:t>
      </w:r>
      <w:r>
        <w:rPr>
          <w:rFonts w:ascii="Courier New" w:hAnsi="Courier New"/>
          <w:spacing w:val="-22"/>
          <w:sz w:val="28"/>
        </w:rPr>
        <w:t> </w:t>
      </w:r>
      <w:r>
        <w:rPr>
          <w:rFonts w:ascii="Courier New" w:hAnsi="Courier New"/>
          <w:sz w:val="28"/>
        </w:rPr>
        <w:t>take</w:t>
      </w:r>
      <w:r>
        <w:rPr>
          <w:rFonts w:ascii="Courier New" w:hAnsi="Courier New"/>
          <w:spacing w:val="-24"/>
          <w:sz w:val="28"/>
        </w:rPr>
        <w:t> </w:t>
      </w:r>
      <w:r>
        <w:rPr>
          <w:rFonts w:ascii="Courier New" w:hAnsi="Courier New"/>
          <w:sz w:val="28"/>
        </w:rPr>
        <w:t>judicial notice</w:t>
      </w:r>
      <w:r>
        <w:rPr>
          <w:rFonts w:ascii="Courier New" w:hAnsi="Courier New"/>
          <w:spacing w:val="-22"/>
          <w:sz w:val="28"/>
        </w:rPr>
        <w:t> </w:t>
      </w:r>
      <w:r>
        <w:rPr>
          <w:rFonts w:ascii="Courier New" w:hAnsi="Courier New"/>
          <w:sz w:val="28"/>
        </w:rPr>
        <w:t>of</w:t>
      </w:r>
      <w:r>
        <w:rPr>
          <w:rFonts w:ascii="Courier New" w:hAnsi="Courier New"/>
          <w:spacing w:val="-21"/>
          <w:sz w:val="28"/>
        </w:rPr>
        <w:t> </w:t>
      </w:r>
      <w:r>
        <w:rPr>
          <w:rFonts w:ascii="Courier New" w:hAnsi="Courier New"/>
          <w:sz w:val="28"/>
        </w:rPr>
        <w:t>any</w:t>
      </w:r>
      <w:r>
        <w:rPr>
          <w:rFonts w:ascii="Courier New" w:hAnsi="Courier New"/>
          <w:spacing w:val="-21"/>
          <w:sz w:val="28"/>
        </w:rPr>
        <w:t> </w:t>
      </w:r>
      <w:r>
        <w:rPr>
          <w:rFonts w:ascii="Courier New" w:hAnsi="Courier New"/>
          <w:sz w:val="28"/>
        </w:rPr>
        <w:t>fact,</w:t>
      </w:r>
      <w:r>
        <w:rPr>
          <w:rFonts w:ascii="Courier New" w:hAnsi="Courier New"/>
          <w:spacing w:val="-21"/>
          <w:sz w:val="28"/>
        </w:rPr>
        <w:t> </w:t>
      </w:r>
      <w:r>
        <w:rPr>
          <w:rFonts w:ascii="Courier New" w:hAnsi="Courier New"/>
          <w:sz w:val="28"/>
        </w:rPr>
        <w:t>the</w:t>
      </w:r>
      <w:r>
        <w:rPr>
          <w:rFonts w:ascii="Courier New" w:hAnsi="Courier New"/>
          <w:spacing w:val="-21"/>
          <w:sz w:val="28"/>
        </w:rPr>
        <w:t> </w:t>
      </w:r>
      <w:r>
        <w:rPr>
          <w:rFonts w:ascii="Courier New" w:hAnsi="Courier New"/>
          <w:sz w:val="28"/>
        </w:rPr>
        <w:t>Court</w:t>
      </w:r>
      <w:r>
        <w:rPr>
          <w:rFonts w:ascii="Courier New" w:hAnsi="Courier New"/>
          <w:spacing w:val="-22"/>
          <w:sz w:val="28"/>
        </w:rPr>
        <w:t> </w:t>
      </w:r>
      <w:r>
        <w:rPr>
          <w:rFonts w:ascii="Courier New" w:hAnsi="Courier New"/>
          <w:sz w:val="28"/>
        </w:rPr>
        <w:t>may</w:t>
      </w:r>
      <w:r>
        <w:rPr>
          <w:rFonts w:ascii="Courier New" w:hAnsi="Courier New"/>
          <w:spacing w:val="-21"/>
          <w:sz w:val="28"/>
        </w:rPr>
        <w:t> </w:t>
      </w:r>
      <w:r>
        <w:rPr>
          <w:rFonts w:ascii="Courier New" w:hAnsi="Courier New"/>
          <w:sz w:val="28"/>
        </w:rPr>
        <w:t>refuse</w:t>
      </w:r>
      <w:r>
        <w:rPr>
          <w:rFonts w:ascii="Courier New" w:hAnsi="Courier New"/>
          <w:spacing w:val="-21"/>
          <w:sz w:val="28"/>
        </w:rPr>
        <w:t> </w:t>
      </w:r>
      <w:r>
        <w:rPr>
          <w:rFonts w:ascii="Courier New" w:hAnsi="Courier New"/>
          <w:sz w:val="28"/>
        </w:rPr>
        <w:t>to</w:t>
      </w:r>
      <w:r>
        <w:rPr>
          <w:rFonts w:ascii="Courier New" w:hAnsi="Courier New"/>
          <w:spacing w:val="-21"/>
          <w:sz w:val="28"/>
        </w:rPr>
        <w:t> </w:t>
      </w:r>
      <w:r>
        <w:rPr>
          <w:rFonts w:ascii="Courier New" w:hAnsi="Courier New"/>
          <w:sz w:val="28"/>
        </w:rPr>
        <w:t>do</w:t>
      </w:r>
      <w:r>
        <w:rPr>
          <w:rFonts w:ascii="Courier New" w:hAnsi="Courier New"/>
          <w:spacing w:val="-21"/>
          <w:sz w:val="28"/>
        </w:rPr>
        <w:t> </w:t>
      </w:r>
      <w:r>
        <w:rPr>
          <w:rFonts w:ascii="Courier New" w:hAnsi="Courier New"/>
          <w:sz w:val="28"/>
        </w:rPr>
        <w:t>so</w:t>
      </w:r>
      <w:r>
        <w:rPr>
          <w:rFonts w:ascii="Courier New" w:hAnsi="Courier New"/>
          <w:spacing w:val="-21"/>
          <w:sz w:val="28"/>
        </w:rPr>
        <w:t> </w:t>
      </w:r>
      <w:r>
        <w:rPr>
          <w:rFonts w:ascii="Courier New" w:hAnsi="Courier New"/>
          <w:sz w:val="28"/>
        </w:rPr>
        <w:t>until and unless, such person produces such book or any document. Both the parties have cited several judgments of this Court, where this Court had</w:t>
      </w:r>
      <w:r>
        <w:rPr>
          <w:rFonts w:ascii="Courier New" w:hAnsi="Courier New"/>
          <w:spacing w:val="-67"/>
          <w:sz w:val="28"/>
        </w:rPr>
        <w:t> </w:t>
      </w:r>
      <w:r>
        <w:rPr>
          <w:rFonts w:ascii="Courier New" w:hAnsi="Courier New"/>
          <w:sz w:val="28"/>
        </w:rPr>
        <w:t>occasion to</w:t>
      </w:r>
      <w:r>
        <w:rPr>
          <w:rFonts w:ascii="Courier New" w:hAnsi="Courier New"/>
          <w:spacing w:val="-35"/>
          <w:sz w:val="28"/>
        </w:rPr>
        <w:t> </w:t>
      </w:r>
      <w:r>
        <w:rPr>
          <w:rFonts w:ascii="Courier New" w:hAnsi="Courier New"/>
          <w:sz w:val="28"/>
        </w:rPr>
        <w:t>consider</w:t>
      </w:r>
      <w:r>
        <w:rPr>
          <w:rFonts w:ascii="Courier New" w:hAnsi="Courier New"/>
          <w:spacing w:val="-34"/>
          <w:sz w:val="28"/>
        </w:rPr>
        <w:t> </w:t>
      </w:r>
      <w:r>
        <w:rPr>
          <w:rFonts w:ascii="Courier New" w:hAnsi="Courier New"/>
          <w:sz w:val="28"/>
        </w:rPr>
        <w:t>admissibility</w:t>
      </w:r>
      <w:r>
        <w:rPr>
          <w:rFonts w:ascii="Courier New" w:hAnsi="Courier New"/>
          <w:spacing w:val="-34"/>
          <w:sz w:val="28"/>
        </w:rPr>
        <w:t> </w:t>
      </w:r>
      <w:r>
        <w:rPr>
          <w:rFonts w:ascii="Courier New" w:hAnsi="Courier New"/>
          <w:sz w:val="28"/>
        </w:rPr>
        <w:t>of</w:t>
      </w:r>
      <w:r>
        <w:rPr>
          <w:rFonts w:ascii="Courier New" w:hAnsi="Courier New"/>
          <w:spacing w:val="-32"/>
          <w:sz w:val="28"/>
        </w:rPr>
        <w:t> </w:t>
      </w:r>
      <w:r>
        <w:rPr>
          <w:rFonts w:ascii="Courier New" w:hAnsi="Courier New"/>
          <w:sz w:val="28"/>
        </w:rPr>
        <w:t>Gazetteers</w:t>
      </w:r>
      <w:r>
        <w:rPr>
          <w:rFonts w:ascii="Courier New" w:hAnsi="Courier New"/>
          <w:spacing w:val="-34"/>
          <w:sz w:val="28"/>
        </w:rPr>
        <w:t> </w:t>
      </w:r>
      <w:r>
        <w:rPr>
          <w:rFonts w:ascii="Courier New" w:hAnsi="Courier New"/>
          <w:sz w:val="28"/>
        </w:rPr>
        <w:t>and</w:t>
      </w:r>
      <w:r>
        <w:rPr>
          <w:rFonts w:ascii="Courier New" w:hAnsi="Courier New"/>
          <w:spacing w:val="-34"/>
          <w:sz w:val="28"/>
        </w:rPr>
        <w:t> </w:t>
      </w:r>
      <w:r>
        <w:rPr>
          <w:rFonts w:ascii="Courier New" w:hAnsi="Courier New"/>
          <w:sz w:val="28"/>
        </w:rPr>
        <w:t>other</w:t>
      </w:r>
      <w:r>
        <w:rPr>
          <w:rFonts w:ascii="Courier New" w:hAnsi="Courier New"/>
          <w:spacing w:val="-34"/>
          <w:sz w:val="28"/>
        </w:rPr>
        <w:t> </w:t>
      </w:r>
      <w:r>
        <w:rPr>
          <w:rFonts w:ascii="Courier New" w:hAnsi="Courier New"/>
          <w:sz w:val="28"/>
        </w:rPr>
        <w:t>books in evidence and the value, which is to be attached on statements</w:t>
      </w:r>
      <w:r>
        <w:rPr>
          <w:rFonts w:ascii="Courier New" w:hAnsi="Courier New"/>
          <w:spacing w:val="87"/>
          <w:sz w:val="28"/>
        </w:rPr>
        <w:t> </w:t>
      </w:r>
      <w:r>
        <w:rPr>
          <w:rFonts w:ascii="Courier New" w:hAnsi="Courier New"/>
          <w:sz w:val="28"/>
        </w:rPr>
        <w:t>contained</w:t>
      </w:r>
      <w:r>
        <w:rPr>
          <w:rFonts w:ascii="Courier New" w:hAnsi="Courier New"/>
          <w:spacing w:val="87"/>
          <w:sz w:val="28"/>
        </w:rPr>
        <w:t> </w:t>
      </w:r>
      <w:r>
        <w:rPr>
          <w:rFonts w:ascii="Courier New" w:hAnsi="Courier New"/>
          <w:sz w:val="28"/>
        </w:rPr>
        <w:t>in</w:t>
      </w:r>
      <w:r>
        <w:rPr>
          <w:rFonts w:ascii="Courier New" w:hAnsi="Courier New"/>
          <w:spacing w:val="87"/>
          <w:sz w:val="28"/>
        </w:rPr>
        <w:t> </w:t>
      </w:r>
      <w:r>
        <w:rPr>
          <w:rFonts w:ascii="Courier New" w:hAnsi="Courier New"/>
          <w:sz w:val="28"/>
        </w:rPr>
        <w:t>Gazetteers,</w:t>
      </w:r>
      <w:r>
        <w:rPr>
          <w:rFonts w:ascii="Courier New" w:hAnsi="Courier New"/>
          <w:spacing w:val="87"/>
          <w:sz w:val="28"/>
        </w:rPr>
        <w:t> </w:t>
      </w:r>
      <w:r>
        <w:rPr>
          <w:rFonts w:ascii="Courier New" w:hAnsi="Courier New"/>
          <w:sz w:val="28"/>
        </w:rPr>
        <w:t>travelogues</w:t>
      </w:r>
      <w:r>
        <w:rPr>
          <w:rFonts w:ascii="Courier New" w:hAnsi="Courier New"/>
          <w:spacing w:val="88"/>
          <w:sz w:val="28"/>
        </w:rPr>
        <w:t> </w:t>
      </w:r>
      <w:r>
        <w:rPr>
          <w:rFonts w:ascii="Courier New" w:hAnsi="Courier New"/>
          <w:sz w:val="28"/>
        </w:rPr>
        <w:t>and</w:t>
      </w:r>
    </w:p>
    <w:p>
      <w:pPr>
        <w:spacing w:after="0" w:line="480" w:lineRule="auto"/>
        <w:jc w:val="both"/>
        <w:rPr>
          <w:rFonts w:ascii="Courier New" w:hAnsi="Courier New"/>
          <w:sz w:val="28"/>
        </w:rPr>
        <w:sectPr>
          <w:headerReference w:type="default" r:id="rId349"/>
          <w:footerReference w:type="default" r:id="rId350"/>
          <w:pgSz w:w="11910" w:h="16840"/>
          <w:pgMar w:header="0" w:footer="1063" w:top="1340" w:bottom="1260" w:left="1280" w:right="1280"/>
          <w:pgNumType w:start="70"/>
        </w:sectPr>
      </w:pPr>
    </w:p>
    <w:p>
      <w:pPr>
        <w:spacing w:line="480" w:lineRule="auto" w:before="86"/>
        <w:ind w:left="160" w:right="158" w:firstLine="0"/>
        <w:jc w:val="both"/>
        <w:rPr>
          <w:rFonts w:ascii="Courier New"/>
          <w:sz w:val="28"/>
        </w:rPr>
      </w:pPr>
      <w:r>
        <w:rPr>
          <w:rFonts w:ascii="Courier New"/>
          <w:sz w:val="28"/>
        </w:rPr>
        <w:t>books. In </w:t>
      </w:r>
      <w:r>
        <w:rPr>
          <w:rFonts w:ascii="Courier New"/>
          <w:b/>
          <w:sz w:val="28"/>
        </w:rPr>
        <w:t>Sukhdev Singh Vs. Maharaja Bahadur of Gidhaur, AIR 1951 SC 288</w:t>
      </w:r>
      <w:r>
        <w:rPr>
          <w:rFonts w:ascii="Courier New"/>
          <w:sz w:val="28"/>
        </w:rPr>
        <w:t>, this Court held that Gazetteer is an official document of some value as it is compiled by experienced officials with great care. Following observations were made in paragraph 10:-</w:t>
      </w:r>
    </w:p>
    <w:p>
      <w:pPr>
        <w:spacing w:before="39"/>
        <w:ind w:left="1011" w:right="0" w:firstLine="0"/>
        <w:jc w:val="both"/>
        <w:rPr>
          <w:rFonts w:ascii="Courier New" w:hAnsi="Courier New"/>
          <w:sz w:val="28"/>
        </w:rPr>
      </w:pPr>
      <w:r>
        <w:rPr>
          <w:rFonts w:ascii="Courier New" w:hAnsi="Courier New"/>
          <w:b/>
          <w:sz w:val="28"/>
        </w:rPr>
        <w:t>“10. </w:t>
      </w:r>
      <w:r>
        <w:rPr>
          <w:rFonts w:ascii="Courier New" w:hAnsi="Courier New"/>
          <w:sz w:val="28"/>
        </w:rPr>
        <w:t>Xxxxxxxxxxxxxxxxxx</w:t>
      </w:r>
    </w:p>
    <w:p>
      <w:pPr>
        <w:pStyle w:val="BodyText"/>
        <w:spacing w:before="2"/>
        <w:rPr>
          <w:rFonts w:ascii="Courier New"/>
          <w:sz w:val="35"/>
        </w:rPr>
      </w:pPr>
    </w:p>
    <w:p>
      <w:pPr>
        <w:pStyle w:val="Heading2"/>
        <w:ind w:left="1012" w:right="1245" w:firstLine="588"/>
      </w:pPr>
      <w:r>
        <w:rPr/>
        <w:t>The statement in the District</w:t>
      </w:r>
      <w:r>
        <w:rPr>
          <w:spacing w:val="-69"/>
        </w:rPr>
        <w:t> </w:t>
      </w:r>
      <w:r>
        <w:rPr/>
        <w:t>Gazetteer is not necessarily conclusive, but the Gazetteer is an official document of some value, as it is compiled by experienced officials with great care after obtaining the facts from official records. As Dawson Miller, C.J. has pointed out in </w:t>
      </w:r>
      <w:r>
        <w:rPr>
          <w:i/>
        </w:rPr>
        <w:t>Fulbati </w:t>
      </w:r>
      <w:r>
        <w:rPr>
          <w:i/>
        </w:rPr>
        <w:t>case, AIR 1923 Patna 423, </w:t>
      </w:r>
      <w:r>
        <w:rPr/>
        <w:t>there are a few inaccuracies in the latter part of the statement quoted above, but so far as the earlier part of it is concerned, it seems to derive considerable support from the documents to which reference has been made.”</w:t>
      </w:r>
    </w:p>
    <w:p>
      <w:pPr>
        <w:pStyle w:val="BodyText"/>
        <w:rPr>
          <w:rFonts w:ascii="Courier New"/>
          <w:sz w:val="32"/>
        </w:rPr>
      </w:pPr>
    </w:p>
    <w:p>
      <w:pPr>
        <w:pStyle w:val="BodyText"/>
        <w:rPr>
          <w:rFonts w:ascii="Courier New"/>
          <w:sz w:val="31"/>
        </w:rPr>
      </w:pPr>
    </w:p>
    <w:p>
      <w:pPr>
        <w:pStyle w:val="ListParagraph"/>
        <w:numPr>
          <w:ilvl w:val="0"/>
          <w:numId w:val="255"/>
        </w:numPr>
        <w:tabs>
          <w:tab w:pos="969" w:val="left" w:leader="none"/>
        </w:tabs>
        <w:spacing w:line="480" w:lineRule="auto" w:before="1" w:after="0"/>
        <w:ind w:left="160" w:right="159" w:firstLine="0"/>
        <w:jc w:val="both"/>
        <w:rPr>
          <w:rFonts w:ascii="Courier New"/>
          <w:sz w:val="28"/>
        </w:rPr>
      </w:pPr>
      <w:r>
        <w:rPr>
          <w:rFonts w:ascii="Courier New"/>
          <w:sz w:val="28"/>
        </w:rPr>
        <w:t>In </w:t>
      </w:r>
      <w:r>
        <w:rPr>
          <w:rFonts w:ascii="Courier New"/>
          <w:b/>
          <w:sz w:val="28"/>
        </w:rPr>
        <w:t>Gopal Krishnaji Ketkar Vs. Mahomed Jaffar Mahomed</w:t>
      </w:r>
      <w:r>
        <w:rPr>
          <w:rFonts w:ascii="Courier New"/>
          <w:b/>
          <w:spacing w:val="-27"/>
          <w:sz w:val="28"/>
        </w:rPr>
        <w:t> </w:t>
      </w:r>
      <w:r>
        <w:rPr>
          <w:rFonts w:ascii="Courier New"/>
          <w:b/>
          <w:sz w:val="28"/>
        </w:rPr>
        <w:t>Hussein,</w:t>
      </w:r>
      <w:r>
        <w:rPr>
          <w:rFonts w:ascii="Courier New"/>
          <w:b/>
          <w:spacing w:val="-27"/>
          <w:sz w:val="28"/>
        </w:rPr>
        <w:t> </w:t>
      </w:r>
      <w:r>
        <w:rPr>
          <w:rFonts w:ascii="Courier New"/>
          <w:b/>
          <w:sz w:val="28"/>
        </w:rPr>
        <w:t>AIR</w:t>
      </w:r>
      <w:r>
        <w:rPr>
          <w:rFonts w:ascii="Courier New"/>
          <w:b/>
          <w:spacing w:val="-26"/>
          <w:sz w:val="28"/>
        </w:rPr>
        <w:t> </w:t>
      </w:r>
      <w:r>
        <w:rPr>
          <w:rFonts w:ascii="Courier New"/>
          <w:b/>
          <w:sz w:val="28"/>
        </w:rPr>
        <w:t>1954</w:t>
      </w:r>
      <w:r>
        <w:rPr>
          <w:rFonts w:ascii="Courier New"/>
          <w:b/>
          <w:spacing w:val="-27"/>
          <w:sz w:val="28"/>
        </w:rPr>
        <w:t> </w:t>
      </w:r>
      <w:r>
        <w:rPr>
          <w:rFonts w:ascii="Courier New"/>
          <w:b/>
          <w:sz w:val="28"/>
        </w:rPr>
        <w:t>SC</w:t>
      </w:r>
      <w:r>
        <w:rPr>
          <w:rFonts w:ascii="Courier New"/>
          <w:b/>
          <w:spacing w:val="-24"/>
          <w:sz w:val="28"/>
        </w:rPr>
        <w:t> </w:t>
      </w:r>
      <w:r>
        <w:rPr>
          <w:rFonts w:ascii="Courier New"/>
          <w:b/>
          <w:sz w:val="28"/>
        </w:rPr>
        <w:t>5</w:t>
      </w:r>
      <w:r>
        <w:rPr>
          <w:rFonts w:ascii="Courier New"/>
          <w:sz w:val="28"/>
        </w:rPr>
        <w:t>,</w:t>
      </w:r>
      <w:r>
        <w:rPr>
          <w:rFonts w:ascii="Courier New"/>
          <w:spacing w:val="-27"/>
          <w:sz w:val="28"/>
        </w:rPr>
        <w:t> </w:t>
      </w:r>
      <w:r>
        <w:rPr>
          <w:rFonts w:ascii="Courier New"/>
          <w:sz w:val="28"/>
        </w:rPr>
        <w:t>this</w:t>
      </w:r>
      <w:r>
        <w:rPr>
          <w:rFonts w:ascii="Courier New"/>
          <w:spacing w:val="-26"/>
          <w:sz w:val="28"/>
        </w:rPr>
        <w:t> </w:t>
      </w:r>
      <w:r>
        <w:rPr>
          <w:rFonts w:ascii="Courier New"/>
          <w:sz w:val="28"/>
        </w:rPr>
        <w:t>Court</w:t>
      </w:r>
      <w:r>
        <w:rPr>
          <w:rFonts w:ascii="Courier New"/>
          <w:spacing w:val="-27"/>
          <w:sz w:val="28"/>
        </w:rPr>
        <w:t> </w:t>
      </w:r>
      <w:r>
        <w:rPr>
          <w:rFonts w:ascii="Courier New"/>
          <w:sz w:val="28"/>
        </w:rPr>
        <w:t>had</w:t>
      </w:r>
      <w:r>
        <w:rPr>
          <w:rFonts w:ascii="Courier New"/>
          <w:spacing w:val="-26"/>
          <w:sz w:val="28"/>
        </w:rPr>
        <w:t> </w:t>
      </w:r>
      <w:r>
        <w:rPr>
          <w:rFonts w:ascii="Courier New"/>
          <w:sz w:val="28"/>
        </w:rPr>
        <w:t>referred to and relied on the Gazetteer of Bombay. In</w:t>
      </w:r>
      <w:r>
        <w:rPr>
          <w:rFonts w:ascii="Courier New"/>
          <w:spacing w:val="-69"/>
          <w:sz w:val="28"/>
        </w:rPr>
        <w:t> </w:t>
      </w:r>
      <w:r>
        <w:rPr>
          <w:rFonts w:ascii="Courier New"/>
          <w:sz w:val="28"/>
        </w:rPr>
        <w:t>paragraph 4,</w:t>
      </w:r>
      <w:r>
        <w:rPr>
          <w:rFonts w:ascii="Courier New"/>
          <w:spacing w:val="-41"/>
          <w:sz w:val="28"/>
        </w:rPr>
        <w:t> </w:t>
      </w:r>
      <w:r>
        <w:rPr>
          <w:rFonts w:ascii="Courier New"/>
          <w:sz w:val="28"/>
        </w:rPr>
        <w:t>the</w:t>
      </w:r>
      <w:r>
        <w:rPr>
          <w:rFonts w:ascii="Courier New"/>
          <w:spacing w:val="-41"/>
          <w:sz w:val="28"/>
        </w:rPr>
        <w:t> </w:t>
      </w:r>
      <w:r>
        <w:rPr>
          <w:rFonts w:ascii="Courier New"/>
          <w:sz w:val="28"/>
        </w:rPr>
        <w:t>Court</w:t>
      </w:r>
      <w:r>
        <w:rPr>
          <w:rFonts w:ascii="Courier New"/>
          <w:spacing w:val="-40"/>
          <w:sz w:val="28"/>
        </w:rPr>
        <w:t> </w:t>
      </w:r>
      <w:r>
        <w:rPr>
          <w:rFonts w:ascii="Courier New"/>
          <w:sz w:val="28"/>
        </w:rPr>
        <w:t>was</w:t>
      </w:r>
      <w:r>
        <w:rPr>
          <w:rFonts w:ascii="Courier New"/>
          <w:spacing w:val="-41"/>
          <w:sz w:val="28"/>
        </w:rPr>
        <w:t> </w:t>
      </w:r>
      <w:r>
        <w:rPr>
          <w:rFonts w:ascii="Courier New"/>
          <w:sz w:val="28"/>
        </w:rPr>
        <w:t>examining</w:t>
      </w:r>
      <w:r>
        <w:rPr>
          <w:rFonts w:ascii="Courier New"/>
          <w:spacing w:val="-40"/>
          <w:sz w:val="28"/>
        </w:rPr>
        <w:t> </w:t>
      </w:r>
      <w:r>
        <w:rPr>
          <w:rFonts w:ascii="Courier New"/>
          <w:sz w:val="28"/>
        </w:rPr>
        <w:t>nature</w:t>
      </w:r>
      <w:r>
        <w:rPr>
          <w:rFonts w:ascii="Courier New"/>
          <w:spacing w:val="-41"/>
          <w:sz w:val="28"/>
        </w:rPr>
        <w:t> </w:t>
      </w:r>
      <w:r>
        <w:rPr>
          <w:rFonts w:ascii="Courier New"/>
          <w:sz w:val="28"/>
        </w:rPr>
        <w:t>of</w:t>
      </w:r>
      <w:r>
        <w:rPr>
          <w:rFonts w:ascii="Courier New"/>
          <w:spacing w:val="-41"/>
          <w:sz w:val="28"/>
        </w:rPr>
        <w:t> </w:t>
      </w:r>
      <w:r>
        <w:rPr>
          <w:rFonts w:ascii="Courier New"/>
          <w:sz w:val="28"/>
        </w:rPr>
        <w:t>a</w:t>
      </w:r>
      <w:r>
        <w:rPr>
          <w:rFonts w:ascii="Courier New"/>
          <w:spacing w:val="-41"/>
          <w:sz w:val="28"/>
        </w:rPr>
        <w:t> </w:t>
      </w:r>
      <w:r>
        <w:rPr>
          <w:rFonts w:ascii="Courier New"/>
          <w:sz w:val="28"/>
        </w:rPr>
        <w:t>tomb</w:t>
      </w:r>
      <w:r>
        <w:rPr>
          <w:rFonts w:ascii="Courier New"/>
          <w:spacing w:val="-41"/>
          <w:sz w:val="28"/>
        </w:rPr>
        <w:t> </w:t>
      </w:r>
      <w:r>
        <w:rPr>
          <w:rFonts w:ascii="Courier New"/>
          <w:sz w:val="28"/>
        </w:rPr>
        <w:t>which</w:t>
      </w:r>
      <w:r>
        <w:rPr>
          <w:rFonts w:ascii="Courier New"/>
          <w:spacing w:val="-40"/>
          <w:sz w:val="28"/>
        </w:rPr>
        <w:t> </w:t>
      </w:r>
      <w:r>
        <w:rPr>
          <w:rFonts w:ascii="Courier New"/>
          <w:sz w:val="28"/>
        </w:rPr>
        <w:t>belong to Eighteenth Century. In paragraph 4, this Court Stated:-</w:t>
      </w:r>
    </w:p>
    <w:p>
      <w:pPr>
        <w:pStyle w:val="Heading2"/>
        <w:ind w:left="1011" w:right="1246"/>
      </w:pPr>
      <w:r>
        <w:rPr/>
        <w:t>“</w:t>
      </w:r>
      <w:r>
        <w:rPr>
          <w:b/>
        </w:rPr>
        <w:t>4. </w:t>
      </w:r>
      <w:r>
        <w:rPr/>
        <w:t>The shrine has a curious, and in some respects legendary, history. Its origin is lost in antiquity but the Gazetteer of the</w:t>
      </w:r>
    </w:p>
    <w:p>
      <w:pPr>
        <w:spacing w:after="0"/>
        <w:sectPr>
          <w:headerReference w:type="default" r:id="rId351"/>
          <w:footerReference w:type="default" r:id="rId352"/>
          <w:pgSz w:w="11910" w:h="16840"/>
          <w:pgMar w:header="0" w:footer="1063" w:top="1340" w:bottom="1260" w:left="1280" w:right="1280"/>
          <w:pgNumType w:start="71"/>
        </w:sectPr>
      </w:pPr>
    </w:p>
    <w:p>
      <w:pPr>
        <w:spacing w:line="240" w:lineRule="auto" w:before="86"/>
        <w:ind w:left="1011" w:right="1245" w:firstLine="0"/>
        <w:jc w:val="both"/>
        <w:rPr>
          <w:rFonts w:ascii="Courier New" w:hAnsi="Courier New"/>
          <w:sz w:val="28"/>
        </w:rPr>
      </w:pPr>
      <w:r>
        <w:rPr>
          <w:rFonts w:ascii="Courier New" w:hAnsi="Courier New"/>
          <w:sz w:val="28"/>
        </w:rPr>
        <w:t>Bombay</w:t>
      </w:r>
      <w:r>
        <w:rPr>
          <w:rFonts w:ascii="Courier New" w:hAnsi="Courier New"/>
          <w:spacing w:val="-22"/>
          <w:sz w:val="28"/>
        </w:rPr>
        <w:t> </w:t>
      </w:r>
      <w:r>
        <w:rPr>
          <w:rFonts w:ascii="Courier New" w:hAnsi="Courier New"/>
          <w:sz w:val="28"/>
        </w:rPr>
        <w:t>Presidency</w:t>
      </w:r>
      <w:r>
        <w:rPr>
          <w:rFonts w:ascii="Courier New" w:hAnsi="Courier New"/>
          <w:spacing w:val="-22"/>
          <w:sz w:val="28"/>
        </w:rPr>
        <w:t> </w:t>
      </w:r>
      <w:r>
        <w:rPr>
          <w:rFonts w:ascii="Courier New" w:hAnsi="Courier New"/>
          <w:sz w:val="28"/>
        </w:rPr>
        <w:t>tells</w:t>
      </w:r>
      <w:r>
        <w:rPr>
          <w:rFonts w:ascii="Courier New" w:hAnsi="Courier New"/>
          <w:spacing w:val="-22"/>
          <w:sz w:val="28"/>
        </w:rPr>
        <w:t> </w:t>
      </w:r>
      <w:r>
        <w:rPr>
          <w:rFonts w:ascii="Courier New" w:hAnsi="Courier New"/>
          <w:sz w:val="28"/>
        </w:rPr>
        <w:t>us</w:t>
      </w:r>
      <w:r>
        <w:rPr>
          <w:rFonts w:ascii="Courier New" w:hAnsi="Courier New"/>
          <w:spacing w:val="-22"/>
          <w:sz w:val="28"/>
        </w:rPr>
        <w:t> </w:t>
      </w:r>
      <w:r>
        <w:rPr>
          <w:rFonts w:ascii="Courier New" w:hAnsi="Courier New"/>
          <w:sz w:val="28"/>
        </w:rPr>
        <w:t>that</w:t>
      </w:r>
      <w:r>
        <w:rPr>
          <w:rFonts w:ascii="Courier New" w:hAnsi="Courier New"/>
          <w:spacing w:val="-21"/>
          <w:sz w:val="28"/>
        </w:rPr>
        <w:t> </w:t>
      </w:r>
      <w:r>
        <w:rPr>
          <w:rFonts w:ascii="Courier New" w:hAnsi="Courier New"/>
          <w:sz w:val="28"/>
        </w:rPr>
        <w:t>the</w:t>
      </w:r>
      <w:r>
        <w:rPr>
          <w:rFonts w:ascii="Courier New" w:hAnsi="Courier New"/>
          <w:spacing w:val="-22"/>
          <w:sz w:val="28"/>
        </w:rPr>
        <w:t> </w:t>
      </w:r>
      <w:r>
        <w:rPr>
          <w:rFonts w:ascii="Courier New" w:hAnsi="Courier New"/>
          <w:sz w:val="28"/>
        </w:rPr>
        <w:t>tomb</w:t>
      </w:r>
      <w:r>
        <w:rPr>
          <w:rFonts w:ascii="Courier New" w:hAnsi="Courier New"/>
          <w:spacing w:val="-22"/>
          <w:sz w:val="28"/>
        </w:rPr>
        <w:t> </w:t>
      </w:r>
      <w:r>
        <w:rPr>
          <w:rFonts w:ascii="Courier New" w:hAnsi="Courier New"/>
          <w:sz w:val="28"/>
        </w:rPr>
        <w:t>is that</w:t>
      </w:r>
      <w:r>
        <w:rPr>
          <w:rFonts w:ascii="Courier New" w:hAnsi="Courier New"/>
          <w:spacing w:val="-17"/>
          <w:sz w:val="28"/>
        </w:rPr>
        <w:t> </w:t>
      </w:r>
      <w:r>
        <w:rPr>
          <w:rFonts w:ascii="Courier New" w:hAnsi="Courier New"/>
          <w:sz w:val="28"/>
        </w:rPr>
        <w:t>of</w:t>
      </w:r>
      <w:r>
        <w:rPr>
          <w:rFonts w:ascii="Courier New" w:hAnsi="Courier New"/>
          <w:spacing w:val="-17"/>
          <w:sz w:val="28"/>
        </w:rPr>
        <w:t> </w:t>
      </w:r>
      <w:r>
        <w:rPr>
          <w:rFonts w:ascii="Courier New" w:hAnsi="Courier New"/>
          <w:sz w:val="28"/>
        </w:rPr>
        <w:t>a</w:t>
      </w:r>
      <w:r>
        <w:rPr>
          <w:rFonts w:ascii="Courier New" w:hAnsi="Courier New"/>
          <w:spacing w:val="-16"/>
          <w:sz w:val="28"/>
        </w:rPr>
        <w:t> </w:t>
      </w:r>
      <w:r>
        <w:rPr>
          <w:rFonts w:ascii="Courier New" w:hAnsi="Courier New"/>
          <w:sz w:val="28"/>
        </w:rPr>
        <w:t>Muslim</w:t>
      </w:r>
      <w:r>
        <w:rPr>
          <w:rFonts w:ascii="Courier New" w:hAnsi="Courier New"/>
          <w:spacing w:val="-17"/>
          <w:sz w:val="28"/>
        </w:rPr>
        <w:t> </w:t>
      </w:r>
      <w:r>
        <w:rPr>
          <w:rFonts w:ascii="Courier New" w:hAnsi="Courier New"/>
          <w:sz w:val="28"/>
        </w:rPr>
        <w:t>saint</w:t>
      </w:r>
      <w:r>
        <w:rPr>
          <w:rFonts w:ascii="Courier New" w:hAnsi="Courier New"/>
          <w:spacing w:val="-17"/>
          <w:sz w:val="28"/>
        </w:rPr>
        <w:t> </w:t>
      </w:r>
      <w:r>
        <w:rPr>
          <w:rFonts w:ascii="Courier New" w:hAnsi="Courier New"/>
          <w:sz w:val="28"/>
        </w:rPr>
        <w:t>who</w:t>
      </w:r>
      <w:r>
        <w:rPr>
          <w:rFonts w:ascii="Courier New" w:hAnsi="Courier New"/>
          <w:spacing w:val="-16"/>
          <w:sz w:val="28"/>
        </w:rPr>
        <w:t> </w:t>
      </w:r>
      <w:r>
        <w:rPr>
          <w:rFonts w:ascii="Courier New" w:hAnsi="Courier New"/>
          <w:sz w:val="28"/>
        </w:rPr>
        <w:t>came</w:t>
      </w:r>
      <w:r>
        <w:rPr>
          <w:rFonts w:ascii="Courier New" w:hAnsi="Courier New"/>
          <w:spacing w:val="-17"/>
          <w:sz w:val="28"/>
        </w:rPr>
        <w:t> </w:t>
      </w:r>
      <w:r>
        <w:rPr>
          <w:rFonts w:ascii="Courier New" w:hAnsi="Courier New"/>
          <w:sz w:val="28"/>
        </w:rPr>
        <w:t>to</w:t>
      </w:r>
      <w:r>
        <w:rPr>
          <w:rFonts w:ascii="Courier New" w:hAnsi="Courier New"/>
          <w:spacing w:val="-16"/>
          <w:sz w:val="28"/>
        </w:rPr>
        <w:t> </w:t>
      </w:r>
      <w:r>
        <w:rPr>
          <w:rFonts w:ascii="Courier New" w:hAnsi="Courier New"/>
          <w:sz w:val="28"/>
        </w:rPr>
        <w:t>India</w:t>
      </w:r>
      <w:r>
        <w:rPr>
          <w:rFonts w:ascii="Courier New" w:hAnsi="Courier New"/>
          <w:spacing w:val="-17"/>
          <w:sz w:val="28"/>
        </w:rPr>
        <w:t> </w:t>
      </w:r>
      <w:r>
        <w:rPr>
          <w:rFonts w:ascii="Courier New" w:hAnsi="Courier New"/>
          <w:sz w:val="28"/>
        </w:rPr>
        <w:t>as an Arab missionary in the thirteenth century. His fame was still at its height when the English made their appearance at Kalyan, near where the tomb is situate, in the year 1780. As they only stayed for two years,</w:t>
      </w:r>
      <w:r>
        <w:rPr>
          <w:rFonts w:ascii="Courier New" w:hAnsi="Courier New"/>
          <w:spacing w:val="-22"/>
          <w:sz w:val="28"/>
        </w:rPr>
        <w:t> </w:t>
      </w:r>
      <w:r>
        <w:rPr>
          <w:rFonts w:ascii="Courier New" w:hAnsi="Courier New"/>
          <w:sz w:val="28"/>
        </w:rPr>
        <w:t>their</w:t>
      </w:r>
      <w:r>
        <w:rPr>
          <w:rFonts w:ascii="Courier New" w:hAnsi="Courier New"/>
          <w:spacing w:val="-22"/>
          <w:sz w:val="28"/>
        </w:rPr>
        <w:t> </w:t>
      </w:r>
      <w:r>
        <w:rPr>
          <w:rFonts w:ascii="Courier New" w:hAnsi="Courier New"/>
          <w:sz w:val="28"/>
        </w:rPr>
        <w:t>departure</w:t>
      </w:r>
      <w:r>
        <w:rPr>
          <w:rFonts w:ascii="Courier New" w:hAnsi="Courier New"/>
          <w:spacing w:val="-22"/>
          <w:sz w:val="28"/>
        </w:rPr>
        <w:t> </w:t>
      </w:r>
      <w:r>
        <w:rPr>
          <w:rFonts w:ascii="Courier New" w:hAnsi="Courier New"/>
          <w:sz w:val="28"/>
        </w:rPr>
        <w:t>in</w:t>
      </w:r>
      <w:r>
        <w:rPr>
          <w:rFonts w:ascii="Courier New" w:hAnsi="Courier New"/>
          <w:spacing w:val="-22"/>
          <w:sz w:val="28"/>
        </w:rPr>
        <w:t> </w:t>
      </w:r>
      <w:r>
        <w:rPr>
          <w:rFonts w:ascii="Courier New" w:hAnsi="Courier New"/>
          <w:sz w:val="28"/>
        </w:rPr>
        <w:t>the</w:t>
      </w:r>
      <w:r>
        <w:rPr>
          <w:rFonts w:ascii="Courier New" w:hAnsi="Courier New"/>
          <w:spacing w:val="-21"/>
          <w:sz w:val="28"/>
        </w:rPr>
        <w:t> </w:t>
      </w:r>
      <w:r>
        <w:rPr>
          <w:rFonts w:ascii="Courier New" w:hAnsi="Courier New"/>
          <w:sz w:val="28"/>
        </w:rPr>
        <w:t>year</w:t>
      </w:r>
      <w:r>
        <w:rPr>
          <w:rFonts w:ascii="Courier New" w:hAnsi="Courier New"/>
          <w:spacing w:val="-22"/>
          <w:sz w:val="28"/>
        </w:rPr>
        <w:t> </w:t>
      </w:r>
      <w:r>
        <w:rPr>
          <w:rFonts w:ascii="Courier New" w:hAnsi="Courier New"/>
          <w:sz w:val="28"/>
        </w:rPr>
        <w:t>1782</w:t>
      </w:r>
      <w:r>
        <w:rPr>
          <w:rFonts w:ascii="Courier New" w:hAnsi="Courier New"/>
          <w:spacing w:val="-22"/>
          <w:sz w:val="28"/>
        </w:rPr>
        <w:t> </w:t>
      </w:r>
      <w:r>
        <w:rPr>
          <w:rFonts w:ascii="Courier New" w:hAnsi="Courier New"/>
          <w:sz w:val="28"/>
        </w:rPr>
        <w:t>was ascribed to the power of the dead</w:t>
      </w:r>
      <w:r>
        <w:rPr>
          <w:rFonts w:ascii="Courier New" w:hAnsi="Courier New"/>
          <w:spacing w:val="-17"/>
          <w:sz w:val="28"/>
        </w:rPr>
        <w:t> </w:t>
      </w:r>
      <w:r>
        <w:rPr>
          <w:rFonts w:ascii="Courier New" w:hAnsi="Courier New"/>
          <w:sz w:val="28"/>
        </w:rPr>
        <w:t>saint.”</w:t>
      </w:r>
    </w:p>
    <w:p>
      <w:pPr>
        <w:pStyle w:val="BodyText"/>
        <w:rPr>
          <w:rFonts w:ascii="Courier New"/>
          <w:sz w:val="32"/>
        </w:rPr>
      </w:pPr>
    </w:p>
    <w:p>
      <w:pPr>
        <w:pStyle w:val="ListParagraph"/>
        <w:numPr>
          <w:ilvl w:val="0"/>
          <w:numId w:val="255"/>
        </w:numPr>
        <w:tabs>
          <w:tab w:pos="847" w:val="left" w:leader="none"/>
        </w:tabs>
        <w:spacing w:line="480" w:lineRule="auto" w:before="272" w:after="0"/>
        <w:ind w:left="160" w:right="157" w:firstLine="0"/>
        <w:jc w:val="both"/>
        <w:rPr>
          <w:rFonts w:ascii="Courier New" w:hAnsi="Courier New"/>
          <w:sz w:val="28"/>
        </w:rPr>
      </w:pPr>
      <w:r>
        <w:rPr>
          <w:rFonts w:ascii="Courier New" w:hAnsi="Courier New"/>
          <w:sz w:val="28"/>
        </w:rPr>
        <w:t>A Constitution Bench of this Court in </w:t>
      </w:r>
      <w:r>
        <w:rPr>
          <w:rFonts w:ascii="Courier New" w:hAnsi="Courier New"/>
          <w:b/>
          <w:sz w:val="28"/>
        </w:rPr>
        <w:t>Mahant Shri Srinivas Ramanuj Das Vs. Surjanarayan Das and</w:t>
      </w:r>
      <w:r>
        <w:rPr>
          <w:rFonts w:ascii="Courier New" w:hAnsi="Courier New"/>
          <w:b/>
          <w:spacing w:val="-69"/>
          <w:sz w:val="28"/>
        </w:rPr>
        <w:t> </w:t>
      </w:r>
      <w:r>
        <w:rPr>
          <w:rFonts w:ascii="Courier New" w:hAnsi="Courier New"/>
          <w:b/>
          <w:sz w:val="28"/>
        </w:rPr>
        <w:t>Another, AIR</w:t>
      </w:r>
      <w:r>
        <w:rPr>
          <w:rFonts w:ascii="Courier New" w:hAnsi="Courier New"/>
          <w:b/>
          <w:spacing w:val="-27"/>
          <w:sz w:val="28"/>
        </w:rPr>
        <w:t> </w:t>
      </w:r>
      <w:r>
        <w:rPr>
          <w:rFonts w:ascii="Courier New" w:hAnsi="Courier New"/>
          <w:b/>
          <w:sz w:val="28"/>
        </w:rPr>
        <w:t>1967</w:t>
      </w:r>
      <w:r>
        <w:rPr>
          <w:rFonts w:ascii="Courier New" w:hAnsi="Courier New"/>
          <w:b/>
          <w:spacing w:val="-26"/>
          <w:sz w:val="28"/>
        </w:rPr>
        <w:t> </w:t>
      </w:r>
      <w:r>
        <w:rPr>
          <w:rFonts w:ascii="Courier New" w:hAnsi="Courier New"/>
          <w:b/>
          <w:sz w:val="28"/>
        </w:rPr>
        <w:t>SC</w:t>
      </w:r>
      <w:r>
        <w:rPr>
          <w:rFonts w:ascii="Courier New" w:hAnsi="Courier New"/>
          <w:b/>
          <w:spacing w:val="-26"/>
          <w:sz w:val="28"/>
        </w:rPr>
        <w:t> </w:t>
      </w:r>
      <w:r>
        <w:rPr>
          <w:rFonts w:ascii="Courier New" w:hAnsi="Courier New"/>
          <w:b/>
          <w:sz w:val="28"/>
        </w:rPr>
        <w:t>256</w:t>
      </w:r>
      <w:r>
        <w:rPr>
          <w:rFonts w:ascii="Courier New" w:hAnsi="Courier New"/>
          <w:b/>
          <w:spacing w:val="-25"/>
          <w:sz w:val="28"/>
        </w:rPr>
        <w:t> </w:t>
      </w:r>
      <w:r>
        <w:rPr>
          <w:rFonts w:ascii="Courier New" w:hAnsi="Courier New"/>
          <w:sz w:val="28"/>
        </w:rPr>
        <w:t>had</w:t>
      </w:r>
      <w:r>
        <w:rPr>
          <w:rFonts w:ascii="Courier New" w:hAnsi="Courier New"/>
          <w:spacing w:val="-26"/>
          <w:sz w:val="28"/>
        </w:rPr>
        <w:t> </w:t>
      </w:r>
      <w:r>
        <w:rPr>
          <w:rFonts w:ascii="Courier New" w:hAnsi="Courier New"/>
          <w:sz w:val="28"/>
        </w:rPr>
        <w:t>occasion</w:t>
      </w:r>
      <w:r>
        <w:rPr>
          <w:rFonts w:ascii="Courier New" w:hAnsi="Courier New"/>
          <w:spacing w:val="-26"/>
          <w:sz w:val="28"/>
        </w:rPr>
        <w:t> </w:t>
      </w:r>
      <w:r>
        <w:rPr>
          <w:rFonts w:ascii="Courier New" w:hAnsi="Courier New"/>
          <w:sz w:val="28"/>
        </w:rPr>
        <w:t>to</w:t>
      </w:r>
      <w:r>
        <w:rPr>
          <w:rFonts w:ascii="Courier New" w:hAnsi="Courier New"/>
          <w:spacing w:val="-27"/>
          <w:sz w:val="28"/>
        </w:rPr>
        <w:t> </w:t>
      </w:r>
      <w:r>
        <w:rPr>
          <w:rFonts w:ascii="Courier New" w:hAnsi="Courier New"/>
          <w:sz w:val="28"/>
        </w:rPr>
        <w:t>consider</w:t>
      </w:r>
      <w:r>
        <w:rPr>
          <w:rFonts w:ascii="Courier New" w:hAnsi="Courier New"/>
          <w:spacing w:val="-26"/>
          <w:sz w:val="28"/>
        </w:rPr>
        <w:t> </w:t>
      </w:r>
      <w:r>
        <w:rPr>
          <w:rFonts w:ascii="Courier New" w:hAnsi="Courier New"/>
          <w:sz w:val="28"/>
        </w:rPr>
        <w:t>Puri</w:t>
      </w:r>
      <w:r>
        <w:rPr>
          <w:rFonts w:ascii="Courier New" w:hAnsi="Courier New"/>
          <w:spacing w:val="-26"/>
          <w:sz w:val="28"/>
        </w:rPr>
        <w:t> </w:t>
      </w:r>
      <w:r>
        <w:rPr>
          <w:rFonts w:ascii="Courier New" w:hAnsi="Courier New"/>
          <w:sz w:val="28"/>
        </w:rPr>
        <w:t>Gazetteer of O’Malley of 1908. In the Gazetteer, the history of Emar Math was addressed. It was contended by the appellant before this Court that Gazetteer cannot be treated as an evidence. The Court held that Gazetteer can be consulted on matters of public history. In paragraph 26, following was laid</w:t>
      </w:r>
      <w:r>
        <w:rPr>
          <w:rFonts w:ascii="Courier New" w:hAnsi="Courier New"/>
          <w:spacing w:val="-9"/>
          <w:sz w:val="28"/>
        </w:rPr>
        <w:t> </w:t>
      </w:r>
      <w:r>
        <w:rPr>
          <w:rFonts w:ascii="Courier New" w:hAnsi="Courier New"/>
          <w:sz w:val="28"/>
        </w:rPr>
        <w:t>down:-</w:t>
      </w:r>
    </w:p>
    <w:p>
      <w:pPr>
        <w:spacing w:before="41"/>
        <w:ind w:left="1011" w:right="1245" w:firstLine="0"/>
        <w:jc w:val="both"/>
        <w:rPr>
          <w:rFonts w:ascii="Courier New" w:hAnsi="Courier New"/>
          <w:sz w:val="28"/>
        </w:rPr>
      </w:pPr>
      <w:r>
        <w:rPr>
          <w:rFonts w:ascii="Courier New" w:hAnsi="Courier New"/>
          <w:b/>
          <w:sz w:val="28"/>
        </w:rPr>
        <w:t>“26.</w:t>
      </w:r>
      <w:r>
        <w:rPr>
          <w:rFonts w:ascii="Courier New" w:hAnsi="Courier New"/>
          <w:b/>
          <w:spacing w:val="-40"/>
          <w:sz w:val="28"/>
        </w:rPr>
        <w:t> </w:t>
      </w:r>
      <w:r>
        <w:rPr>
          <w:rFonts w:ascii="Courier New" w:hAnsi="Courier New"/>
          <w:sz w:val="28"/>
        </w:rPr>
        <w:t>It</w:t>
      </w:r>
      <w:r>
        <w:rPr>
          <w:rFonts w:ascii="Courier New" w:hAnsi="Courier New"/>
          <w:spacing w:val="-41"/>
          <w:sz w:val="28"/>
        </w:rPr>
        <w:t> </w:t>
      </w:r>
      <w:r>
        <w:rPr>
          <w:rFonts w:ascii="Courier New" w:hAnsi="Courier New"/>
          <w:sz w:val="28"/>
        </w:rPr>
        <w:t>is</w:t>
      </w:r>
      <w:r>
        <w:rPr>
          <w:rFonts w:ascii="Courier New" w:hAnsi="Courier New"/>
          <w:spacing w:val="-41"/>
          <w:sz w:val="28"/>
        </w:rPr>
        <w:t> </w:t>
      </w:r>
      <w:r>
        <w:rPr>
          <w:rFonts w:ascii="Courier New" w:hAnsi="Courier New"/>
          <w:sz w:val="28"/>
        </w:rPr>
        <w:t>urged</w:t>
      </w:r>
      <w:r>
        <w:rPr>
          <w:rFonts w:ascii="Courier New" w:hAnsi="Courier New"/>
          <w:spacing w:val="-41"/>
          <w:sz w:val="28"/>
        </w:rPr>
        <w:t> </w:t>
      </w:r>
      <w:r>
        <w:rPr>
          <w:rFonts w:ascii="Courier New" w:hAnsi="Courier New"/>
          <w:sz w:val="28"/>
        </w:rPr>
        <w:t>for</w:t>
      </w:r>
      <w:r>
        <w:rPr>
          <w:rFonts w:ascii="Courier New" w:hAnsi="Courier New"/>
          <w:spacing w:val="-40"/>
          <w:sz w:val="28"/>
        </w:rPr>
        <w:t> </w:t>
      </w:r>
      <w:r>
        <w:rPr>
          <w:rFonts w:ascii="Courier New" w:hAnsi="Courier New"/>
          <w:sz w:val="28"/>
        </w:rPr>
        <w:t>the</w:t>
      </w:r>
      <w:r>
        <w:rPr>
          <w:rFonts w:ascii="Courier New" w:hAnsi="Courier New"/>
          <w:spacing w:val="-41"/>
          <w:sz w:val="28"/>
        </w:rPr>
        <w:t> </w:t>
      </w:r>
      <w:r>
        <w:rPr>
          <w:rFonts w:ascii="Courier New" w:hAnsi="Courier New"/>
          <w:sz w:val="28"/>
        </w:rPr>
        <w:t>appellant</w:t>
      </w:r>
      <w:r>
        <w:rPr>
          <w:rFonts w:ascii="Courier New" w:hAnsi="Courier New"/>
          <w:spacing w:val="-41"/>
          <w:sz w:val="28"/>
        </w:rPr>
        <w:t> </w:t>
      </w:r>
      <w:r>
        <w:rPr>
          <w:rFonts w:ascii="Courier New" w:hAnsi="Courier New"/>
          <w:sz w:val="28"/>
        </w:rPr>
        <w:t>that</w:t>
      </w:r>
      <w:r>
        <w:rPr>
          <w:rFonts w:ascii="Courier New" w:hAnsi="Courier New"/>
          <w:spacing w:val="-41"/>
          <w:sz w:val="28"/>
        </w:rPr>
        <w:t> </w:t>
      </w:r>
      <w:r>
        <w:rPr>
          <w:rFonts w:ascii="Courier New" w:hAnsi="Courier New"/>
          <w:sz w:val="28"/>
        </w:rPr>
        <w:t>what is stated in the Gazetteer cannot be treated as evidence. These statements in the</w:t>
      </w:r>
      <w:r>
        <w:rPr>
          <w:rFonts w:ascii="Courier New" w:hAnsi="Courier New"/>
          <w:spacing w:val="-22"/>
          <w:sz w:val="28"/>
        </w:rPr>
        <w:t> </w:t>
      </w:r>
      <w:r>
        <w:rPr>
          <w:rFonts w:ascii="Courier New" w:hAnsi="Courier New"/>
          <w:sz w:val="28"/>
        </w:rPr>
        <w:t>Gazetteer</w:t>
      </w:r>
      <w:r>
        <w:rPr>
          <w:rFonts w:ascii="Courier New" w:hAnsi="Courier New"/>
          <w:spacing w:val="-22"/>
          <w:sz w:val="28"/>
        </w:rPr>
        <w:t> </w:t>
      </w:r>
      <w:r>
        <w:rPr>
          <w:rFonts w:ascii="Courier New" w:hAnsi="Courier New"/>
          <w:sz w:val="28"/>
        </w:rPr>
        <w:t>are</w:t>
      </w:r>
      <w:r>
        <w:rPr>
          <w:rFonts w:ascii="Courier New" w:hAnsi="Courier New"/>
          <w:spacing w:val="-22"/>
          <w:sz w:val="28"/>
        </w:rPr>
        <w:t> </w:t>
      </w:r>
      <w:r>
        <w:rPr>
          <w:rFonts w:ascii="Courier New" w:hAnsi="Courier New"/>
          <w:sz w:val="28"/>
        </w:rPr>
        <w:t>not</w:t>
      </w:r>
      <w:r>
        <w:rPr>
          <w:rFonts w:ascii="Courier New" w:hAnsi="Courier New"/>
          <w:spacing w:val="-22"/>
          <w:sz w:val="28"/>
        </w:rPr>
        <w:t> </w:t>
      </w:r>
      <w:r>
        <w:rPr>
          <w:rFonts w:ascii="Courier New" w:hAnsi="Courier New"/>
          <w:sz w:val="28"/>
        </w:rPr>
        <w:t>relied</w:t>
      </w:r>
      <w:r>
        <w:rPr>
          <w:rFonts w:ascii="Courier New" w:hAnsi="Courier New"/>
          <w:spacing w:val="-21"/>
          <w:sz w:val="28"/>
        </w:rPr>
        <w:t> </w:t>
      </w:r>
      <w:r>
        <w:rPr>
          <w:rFonts w:ascii="Courier New" w:hAnsi="Courier New"/>
          <w:sz w:val="28"/>
        </w:rPr>
        <w:t>on</w:t>
      </w:r>
      <w:r>
        <w:rPr>
          <w:rFonts w:ascii="Courier New" w:hAnsi="Courier New"/>
          <w:spacing w:val="-22"/>
          <w:sz w:val="28"/>
        </w:rPr>
        <w:t> </w:t>
      </w:r>
      <w:r>
        <w:rPr>
          <w:rFonts w:ascii="Courier New" w:hAnsi="Courier New"/>
          <w:sz w:val="28"/>
        </w:rPr>
        <w:t>as</w:t>
      </w:r>
      <w:r>
        <w:rPr>
          <w:rFonts w:ascii="Courier New" w:hAnsi="Courier New"/>
          <w:spacing w:val="-22"/>
          <w:sz w:val="28"/>
        </w:rPr>
        <w:t> </w:t>
      </w:r>
      <w:r>
        <w:rPr>
          <w:rFonts w:ascii="Courier New" w:hAnsi="Courier New"/>
          <w:sz w:val="28"/>
        </w:rPr>
        <w:t>evidence of title but as providing historical material and the practice followed by the Math and its head. The Gazetteer can be consulted on matters of public</w:t>
      </w:r>
      <w:r>
        <w:rPr>
          <w:rFonts w:ascii="Courier New" w:hAnsi="Courier New"/>
          <w:spacing w:val="-15"/>
          <w:sz w:val="28"/>
        </w:rPr>
        <w:t> </w:t>
      </w:r>
      <w:r>
        <w:rPr>
          <w:rFonts w:ascii="Courier New" w:hAnsi="Courier New"/>
          <w:sz w:val="28"/>
        </w:rPr>
        <w:t>history.”</w:t>
      </w:r>
    </w:p>
    <w:p>
      <w:pPr>
        <w:pStyle w:val="BodyText"/>
        <w:rPr>
          <w:rFonts w:ascii="Courier New"/>
          <w:sz w:val="32"/>
        </w:rPr>
      </w:pPr>
    </w:p>
    <w:p>
      <w:pPr>
        <w:pStyle w:val="BodyText"/>
        <w:spacing w:before="10"/>
        <w:rPr>
          <w:rFonts w:ascii="Courier New"/>
          <w:sz w:val="30"/>
        </w:rPr>
      </w:pPr>
    </w:p>
    <w:p>
      <w:pPr>
        <w:pStyle w:val="ListParagraph"/>
        <w:numPr>
          <w:ilvl w:val="0"/>
          <w:numId w:val="255"/>
        </w:numPr>
        <w:tabs>
          <w:tab w:pos="868" w:val="left" w:leader="none"/>
        </w:tabs>
        <w:spacing w:line="482" w:lineRule="auto" w:before="0" w:after="0"/>
        <w:ind w:left="160" w:right="160" w:firstLine="0"/>
        <w:jc w:val="both"/>
        <w:rPr>
          <w:rFonts w:ascii="Courier New"/>
          <w:b/>
          <w:sz w:val="28"/>
        </w:rPr>
      </w:pPr>
      <w:r>
        <w:rPr>
          <w:rFonts w:ascii="Courier New"/>
          <w:sz w:val="28"/>
        </w:rPr>
        <w:t>This Court in </w:t>
      </w:r>
      <w:r>
        <w:rPr>
          <w:rFonts w:ascii="Courier New"/>
          <w:b/>
          <w:sz w:val="28"/>
        </w:rPr>
        <w:t>Bala Shankar Maha Shanker Bhattjee and</w:t>
      </w:r>
      <w:r>
        <w:rPr>
          <w:rFonts w:ascii="Courier New"/>
          <w:b/>
          <w:spacing w:val="72"/>
          <w:sz w:val="28"/>
        </w:rPr>
        <w:t> </w:t>
      </w:r>
      <w:r>
        <w:rPr>
          <w:rFonts w:ascii="Courier New"/>
          <w:b/>
          <w:sz w:val="28"/>
        </w:rPr>
        <w:t>Others</w:t>
      </w:r>
      <w:r>
        <w:rPr>
          <w:rFonts w:ascii="Courier New"/>
          <w:b/>
          <w:spacing w:val="73"/>
          <w:sz w:val="28"/>
        </w:rPr>
        <w:t> </w:t>
      </w:r>
      <w:r>
        <w:rPr>
          <w:rFonts w:ascii="Courier New"/>
          <w:b/>
          <w:sz w:val="28"/>
        </w:rPr>
        <w:t>Vs.</w:t>
      </w:r>
      <w:r>
        <w:rPr>
          <w:rFonts w:ascii="Courier New"/>
          <w:b/>
          <w:spacing w:val="73"/>
          <w:sz w:val="28"/>
        </w:rPr>
        <w:t> </w:t>
      </w:r>
      <w:r>
        <w:rPr>
          <w:rFonts w:ascii="Courier New"/>
          <w:b/>
          <w:sz w:val="28"/>
        </w:rPr>
        <w:t>Charity</w:t>
      </w:r>
      <w:r>
        <w:rPr>
          <w:rFonts w:ascii="Courier New"/>
          <w:b/>
          <w:spacing w:val="73"/>
          <w:sz w:val="28"/>
        </w:rPr>
        <w:t> </w:t>
      </w:r>
      <w:r>
        <w:rPr>
          <w:rFonts w:ascii="Courier New"/>
          <w:b/>
          <w:sz w:val="28"/>
        </w:rPr>
        <w:t>Commissioner,</w:t>
      </w:r>
      <w:r>
        <w:rPr>
          <w:rFonts w:ascii="Courier New"/>
          <w:b/>
          <w:spacing w:val="73"/>
          <w:sz w:val="28"/>
        </w:rPr>
        <w:t> </w:t>
      </w:r>
      <w:r>
        <w:rPr>
          <w:rFonts w:ascii="Courier New"/>
          <w:b/>
          <w:sz w:val="28"/>
        </w:rPr>
        <w:t>Gujarat</w:t>
      </w:r>
      <w:r>
        <w:rPr>
          <w:rFonts w:ascii="Courier New"/>
          <w:b/>
          <w:spacing w:val="73"/>
          <w:sz w:val="28"/>
        </w:rPr>
        <w:t> </w:t>
      </w:r>
      <w:r>
        <w:rPr>
          <w:rFonts w:ascii="Courier New"/>
          <w:b/>
          <w:sz w:val="28"/>
        </w:rPr>
        <w:t>State,</w:t>
      </w:r>
    </w:p>
    <w:p>
      <w:pPr>
        <w:spacing w:after="0" w:line="482" w:lineRule="auto"/>
        <w:jc w:val="both"/>
        <w:rPr>
          <w:rFonts w:ascii="Courier New"/>
          <w:sz w:val="28"/>
        </w:rPr>
        <w:sectPr>
          <w:headerReference w:type="default" r:id="rId353"/>
          <w:footerReference w:type="default" r:id="rId354"/>
          <w:pgSz w:w="11910" w:h="16840"/>
          <w:pgMar w:header="0" w:footer="1063" w:top="1340" w:bottom="1260" w:left="1280" w:right="1280"/>
          <w:pgNumType w:start="72"/>
        </w:sectPr>
      </w:pPr>
    </w:p>
    <w:p>
      <w:pPr>
        <w:spacing w:line="480" w:lineRule="auto" w:before="86"/>
        <w:ind w:left="160" w:right="159" w:firstLine="0"/>
        <w:jc w:val="both"/>
        <w:rPr>
          <w:rFonts w:ascii="Courier New"/>
          <w:sz w:val="28"/>
        </w:rPr>
      </w:pPr>
      <w:r>
        <w:rPr>
          <w:rFonts w:ascii="Courier New"/>
          <w:b/>
          <w:sz w:val="28"/>
        </w:rPr>
        <w:t>1995 Supp. (1) SCC 485 </w:t>
      </w:r>
      <w:r>
        <w:rPr>
          <w:rFonts w:ascii="Courier New"/>
          <w:sz w:val="28"/>
        </w:rPr>
        <w:t>had occasion to consider Gazetteer of the Bombay presidency, Vol. III</w:t>
      </w:r>
      <w:r>
        <w:rPr>
          <w:rFonts w:ascii="Courier New"/>
          <w:spacing w:val="-69"/>
          <w:sz w:val="28"/>
        </w:rPr>
        <w:t> </w:t>
      </w:r>
      <w:r>
        <w:rPr>
          <w:rFonts w:ascii="Courier New"/>
          <w:sz w:val="28"/>
        </w:rPr>
        <w:t>published in 1879. This Court held that Gazette is admissible under Section 35 read with Section 81 of the Evidence Act, 1872. It was held that the Court may in conjunction with the other evidence may take into consideration in adjudging the dispute in question though it may not be treated as conclusive evidence. The recitals in the Gazette with regard to location</w:t>
      </w:r>
      <w:r>
        <w:rPr>
          <w:rFonts w:ascii="Courier New"/>
          <w:spacing w:val="-70"/>
          <w:sz w:val="28"/>
        </w:rPr>
        <w:t> </w:t>
      </w:r>
      <w:r>
        <w:rPr>
          <w:rFonts w:ascii="Courier New"/>
          <w:sz w:val="28"/>
        </w:rPr>
        <w:t>of temple of Kalika Mataji on the top of the hill was relied. In paragraph 22, following was laid down:-</w:t>
      </w:r>
    </w:p>
    <w:p>
      <w:pPr>
        <w:spacing w:line="240" w:lineRule="auto" w:before="39"/>
        <w:ind w:left="1011" w:right="1245" w:firstLine="0"/>
        <w:jc w:val="both"/>
        <w:rPr>
          <w:rFonts w:ascii="Courier New" w:hAnsi="Courier New"/>
          <w:sz w:val="28"/>
        </w:rPr>
      </w:pPr>
      <w:r>
        <w:rPr>
          <w:rFonts w:ascii="Courier New" w:hAnsi="Courier New"/>
          <w:sz w:val="28"/>
        </w:rPr>
        <w:t>“</w:t>
      </w:r>
      <w:r>
        <w:rPr>
          <w:rFonts w:ascii="Courier New" w:hAnsi="Courier New"/>
          <w:b/>
          <w:sz w:val="28"/>
        </w:rPr>
        <w:t>22. </w:t>
      </w:r>
      <w:r>
        <w:rPr>
          <w:rFonts w:ascii="Courier New" w:hAnsi="Courier New"/>
          <w:sz w:val="28"/>
        </w:rPr>
        <w:t>…………………………………..It is seen that the Gazette of the Bombay Presidency, Vol. III published in 1879 is admissible under Section 35 read with Section 81 of the Evidence Act, 1872. The Gazette is admissible</w:t>
      </w:r>
      <w:r>
        <w:rPr>
          <w:rFonts w:ascii="Courier New" w:hAnsi="Courier New"/>
          <w:spacing w:val="-40"/>
          <w:sz w:val="28"/>
        </w:rPr>
        <w:t> </w:t>
      </w:r>
      <w:r>
        <w:rPr>
          <w:rFonts w:ascii="Courier New" w:hAnsi="Courier New"/>
          <w:sz w:val="28"/>
        </w:rPr>
        <w:t>being</w:t>
      </w:r>
      <w:r>
        <w:rPr>
          <w:rFonts w:ascii="Courier New" w:hAnsi="Courier New"/>
          <w:spacing w:val="-39"/>
          <w:sz w:val="28"/>
        </w:rPr>
        <w:t> </w:t>
      </w:r>
      <w:r>
        <w:rPr>
          <w:rFonts w:ascii="Courier New" w:hAnsi="Courier New"/>
          <w:sz w:val="28"/>
        </w:rPr>
        <w:t>official</w:t>
      </w:r>
      <w:r>
        <w:rPr>
          <w:rFonts w:ascii="Courier New" w:hAnsi="Courier New"/>
          <w:spacing w:val="-39"/>
          <w:sz w:val="28"/>
        </w:rPr>
        <w:t> </w:t>
      </w:r>
      <w:r>
        <w:rPr>
          <w:rFonts w:ascii="Courier New" w:hAnsi="Courier New"/>
          <w:sz w:val="28"/>
        </w:rPr>
        <w:t>record</w:t>
      </w:r>
      <w:r>
        <w:rPr>
          <w:rFonts w:ascii="Courier New" w:hAnsi="Courier New"/>
          <w:spacing w:val="-39"/>
          <w:sz w:val="28"/>
        </w:rPr>
        <w:t> </w:t>
      </w:r>
      <w:r>
        <w:rPr>
          <w:rFonts w:ascii="Courier New" w:hAnsi="Courier New"/>
          <w:sz w:val="28"/>
        </w:rPr>
        <w:t>evidencing public affairs and the court may presume their contents as genuine. The statement contained</w:t>
      </w:r>
      <w:r>
        <w:rPr>
          <w:rFonts w:ascii="Courier New" w:hAnsi="Courier New"/>
          <w:spacing w:val="-26"/>
          <w:sz w:val="28"/>
        </w:rPr>
        <w:t> </w:t>
      </w:r>
      <w:r>
        <w:rPr>
          <w:rFonts w:ascii="Courier New" w:hAnsi="Courier New"/>
          <w:sz w:val="28"/>
        </w:rPr>
        <w:t>therein</w:t>
      </w:r>
      <w:r>
        <w:rPr>
          <w:rFonts w:ascii="Courier New" w:hAnsi="Courier New"/>
          <w:spacing w:val="-26"/>
          <w:sz w:val="28"/>
        </w:rPr>
        <w:t> </w:t>
      </w:r>
      <w:r>
        <w:rPr>
          <w:rFonts w:ascii="Courier New" w:hAnsi="Courier New"/>
          <w:sz w:val="28"/>
        </w:rPr>
        <w:t>can</w:t>
      </w:r>
      <w:r>
        <w:rPr>
          <w:rFonts w:ascii="Courier New" w:hAnsi="Courier New"/>
          <w:spacing w:val="-25"/>
          <w:sz w:val="28"/>
        </w:rPr>
        <w:t> </w:t>
      </w:r>
      <w:r>
        <w:rPr>
          <w:rFonts w:ascii="Courier New" w:hAnsi="Courier New"/>
          <w:sz w:val="28"/>
        </w:rPr>
        <w:t>be</w:t>
      </w:r>
      <w:r>
        <w:rPr>
          <w:rFonts w:ascii="Courier New" w:hAnsi="Courier New"/>
          <w:spacing w:val="-26"/>
          <w:sz w:val="28"/>
        </w:rPr>
        <w:t> </w:t>
      </w:r>
      <w:r>
        <w:rPr>
          <w:rFonts w:ascii="Courier New" w:hAnsi="Courier New"/>
          <w:sz w:val="28"/>
        </w:rPr>
        <w:t>taken</w:t>
      </w:r>
      <w:r>
        <w:rPr>
          <w:rFonts w:ascii="Courier New" w:hAnsi="Courier New"/>
          <w:spacing w:val="-26"/>
          <w:sz w:val="28"/>
        </w:rPr>
        <w:t> </w:t>
      </w:r>
      <w:r>
        <w:rPr>
          <w:rFonts w:ascii="Courier New" w:hAnsi="Courier New"/>
          <w:sz w:val="28"/>
        </w:rPr>
        <w:t>into</w:t>
      </w:r>
      <w:r>
        <w:rPr>
          <w:rFonts w:ascii="Courier New" w:hAnsi="Courier New"/>
          <w:spacing w:val="-25"/>
          <w:sz w:val="28"/>
        </w:rPr>
        <w:t> </w:t>
      </w:r>
      <w:r>
        <w:rPr>
          <w:rFonts w:ascii="Courier New" w:hAnsi="Courier New"/>
          <w:sz w:val="28"/>
        </w:rPr>
        <w:t>account to discover the historical material contained therein and the facts stated therein is evidence under Section 45 and the court may in conjunction with other evidence and circumstance take into consideration in adjudging the dispute in question, though may not be treated as conclusive evidence. The recitals in the Gazette do establish that Kalika Mataji is on</w:t>
      </w:r>
      <w:r>
        <w:rPr>
          <w:rFonts w:ascii="Courier New" w:hAnsi="Courier New"/>
          <w:spacing w:val="-20"/>
          <w:sz w:val="28"/>
        </w:rPr>
        <w:t> </w:t>
      </w:r>
      <w:r>
        <w:rPr>
          <w:rFonts w:ascii="Courier New" w:hAnsi="Courier New"/>
          <w:sz w:val="28"/>
        </w:rPr>
        <w:t>the</w:t>
      </w:r>
      <w:r>
        <w:rPr>
          <w:rFonts w:ascii="Courier New" w:hAnsi="Courier New"/>
          <w:spacing w:val="-19"/>
          <w:sz w:val="28"/>
        </w:rPr>
        <w:t> </w:t>
      </w:r>
      <w:r>
        <w:rPr>
          <w:rFonts w:ascii="Courier New" w:hAnsi="Courier New"/>
          <w:sz w:val="28"/>
        </w:rPr>
        <w:t>top</w:t>
      </w:r>
      <w:r>
        <w:rPr>
          <w:rFonts w:ascii="Courier New" w:hAnsi="Courier New"/>
          <w:spacing w:val="-20"/>
          <w:sz w:val="28"/>
        </w:rPr>
        <w:t> </w:t>
      </w:r>
      <w:r>
        <w:rPr>
          <w:rFonts w:ascii="Courier New" w:hAnsi="Courier New"/>
          <w:sz w:val="28"/>
        </w:rPr>
        <w:t>of</w:t>
      </w:r>
      <w:r>
        <w:rPr>
          <w:rFonts w:ascii="Courier New" w:hAnsi="Courier New"/>
          <w:spacing w:val="-19"/>
          <w:sz w:val="28"/>
        </w:rPr>
        <w:t> </w:t>
      </w:r>
      <w:r>
        <w:rPr>
          <w:rFonts w:ascii="Courier New" w:hAnsi="Courier New"/>
          <w:sz w:val="28"/>
        </w:rPr>
        <w:t>the</w:t>
      </w:r>
      <w:r>
        <w:rPr>
          <w:rFonts w:ascii="Courier New" w:hAnsi="Courier New"/>
          <w:spacing w:val="-19"/>
          <w:sz w:val="28"/>
        </w:rPr>
        <w:t> </w:t>
      </w:r>
      <w:r>
        <w:rPr>
          <w:rFonts w:ascii="Courier New" w:hAnsi="Courier New"/>
          <w:sz w:val="28"/>
        </w:rPr>
        <w:t>hill,</w:t>
      </w:r>
      <w:r>
        <w:rPr>
          <w:rFonts w:ascii="Courier New" w:hAnsi="Courier New"/>
          <w:spacing w:val="-20"/>
          <w:sz w:val="28"/>
        </w:rPr>
        <w:t> </w:t>
      </w:r>
      <w:r>
        <w:rPr>
          <w:rFonts w:ascii="Courier New" w:hAnsi="Courier New"/>
          <w:sz w:val="28"/>
        </w:rPr>
        <w:t>Mahakali</w:t>
      </w:r>
      <w:r>
        <w:rPr>
          <w:rFonts w:ascii="Courier New" w:hAnsi="Courier New"/>
          <w:spacing w:val="-19"/>
          <w:sz w:val="28"/>
        </w:rPr>
        <w:t> </w:t>
      </w:r>
      <w:r>
        <w:rPr>
          <w:rFonts w:ascii="Courier New" w:hAnsi="Courier New"/>
          <w:sz w:val="28"/>
        </w:rPr>
        <w:t>temple</w:t>
      </w:r>
      <w:r>
        <w:rPr>
          <w:rFonts w:ascii="Courier New" w:hAnsi="Courier New"/>
          <w:spacing w:val="-19"/>
          <w:sz w:val="28"/>
        </w:rPr>
        <w:t> </w:t>
      </w:r>
      <w:r>
        <w:rPr>
          <w:rFonts w:ascii="Courier New" w:hAnsi="Courier New"/>
          <w:sz w:val="28"/>
        </w:rPr>
        <w:t>and Bachra Mataji on the right and left to the Kalika Mataji. During Mughal rule</w:t>
      </w:r>
      <w:r>
        <w:rPr>
          <w:rFonts w:ascii="Courier New" w:hAnsi="Courier New"/>
          <w:spacing w:val="17"/>
          <w:sz w:val="28"/>
        </w:rPr>
        <w:t> </w:t>
      </w:r>
      <w:r>
        <w:rPr>
          <w:rFonts w:ascii="Courier New" w:hAnsi="Courier New"/>
          <w:sz w:val="28"/>
        </w:rPr>
        <w:t>another</w:t>
      </w:r>
    </w:p>
    <w:p>
      <w:pPr>
        <w:spacing w:after="0" w:line="240" w:lineRule="auto"/>
        <w:jc w:val="both"/>
        <w:rPr>
          <w:rFonts w:ascii="Courier New" w:hAnsi="Courier New"/>
          <w:sz w:val="28"/>
        </w:rPr>
        <w:sectPr>
          <w:headerReference w:type="default" r:id="rId355"/>
          <w:footerReference w:type="default" r:id="rId356"/>
          <w:pgSz w:w="11910" w:h="16840"/>
          <w:pgMar w:header="0" w:footer="1063" w:top="1340" w:bottom="1260" w:left="1280" w:right="1280"/>
          <w:pgNumType w:start="73"/>
        </w:sectPr>
      </w:pPr>
    </w:p>
    <w:p>
      <w:pPr>
        <w:tabs>
          <w:tab w:pos="3698" w:val="left" w:leader="dot"/>
        </w:tabs>
        <w:spacing w:line="240" w:lineRule="auto" w:before="86"/>
        <w:ind w:left="1011" w:right="1245" w:firstLine="0"/>
        <w:jc w:val="both"/>
        <w:rPr>
          <w:rFonts w:ascii="Courier New" w:hAnsi="Courier New"/>
          <w:sz w:val="28"/>
        </w:rPr>
      </w:pPr>
      <w:r>
        <w:rPr>
          <w:rFonts w:ascii="Courier New" w:hAnsi="Courier New"/>
          <w:sz w:val="28"/>
        </w:rPr>
        <w:t>Syed Sadar Peer was also installed there, but Kalika Mataji was the chief temple. Hollies</w:t>
      </w:r>
      <w:r>
        <w:rPr>
          <w:rFonts w:ascii="Courier New" w:hAnsi="Courier New"/>
          <w:spacing w:val="-26"/>
          <w:sz w:val="28"/>
        </w:rPr>
        <w:t> </w:t>
      </w:r>
      <w:r>
        <w:rPr>
          <w:rFonts w:ascii="Courier New" w:hAnsi="Courier New"/>
          <w:sz w:val="28"/>
        </w:rPr>
        <w:t>and</w:t>
      </w:r>
      <w:r>
        <w:rPr>
          <w:rFonts w:ascii="Courier New" w:hAnsi="Courier New"/>
          <w:spacing w:val="-26"/>
          <w:sz w:val="28"/>
        </w:rPr>
        <w:t> </w:t>
      </w:r>
      <w:r>
        <w:rPr>
          <w:rFonts w:ascii="Courier New" w:hAnsi="Courier New"/>
          <w:sz w:val="28"/>
        </w:rPr>
        <w:t>Bills</w:t>
      </w:r>
      <w:r>
        <w:rPr>
          <w:rFonts w:ascii="Courier New" w:hAnsi="Courier New"/>
          <w:spacing w:val="-26"/>
          <w:sz w:val="28"/>
        </w:rPr>
        <w:t> </w:t>
      </w:r>
      <w:r>
        <w:rPr>
          <w:rFonts w:ascii="Courier New" w:hAnsi="Courier New"/>
          <w:sz w:val="28"/>
        </w:rPr>
        <w:t>are</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main</w:t>
      </w:r>
      <w:r>
        <w:rPr>
          <w:rFonts w:ascii="Courier New" w:hAnsi="Courier New"/>
          <w:spacing w:val="-26"/>
          <w:sz w:val="28"/>
        </w:rPr>
        <w:t> </w:t>
      </w:r>
      <w:r>
        <w:rPr>
          <w:rFonts w:ascii="Courier New" w:hAnsi="Courier New"/>
          <w:sz w:val="28"/>
        </w:rPr>
        <w:t>worshippers. On full moon of </w:t>
      </w:r>
      <w:r>
        <w:rPr>
          <w:rFonts w:ascii="Courier New" w:hAnsi="Courier New"/>
          <w:i/>
          <w:sz w:val="28"/>
        </w:rPr>
        <w:t>Chaitra </w:t>
      </w:r>
      <w:r>
        <w:rPr>
          <w:rFonts w:ascii="Courier New" w:hAnsi="Courier New"/>
          <w:sz w:val="28"/>
        </w:rPr>
        <w:t>(April) and Dussehra (in the month of October), large number of Hindus of all classes gather there and worship Kalika Mataji, Mahakali etc…</w:t>
        <w:tab/>
        <w:t>”</w:t>
      </w:r>
    </w:p>
    <w:p>
      <w:pPr>
        <w:pStyle w:val="BodyText"/>
        <w:rPr>
          <w:rFonts w:ascii="Courier New"/>
          <w:sz w:val="32"/>
        </w:rPr>
      </w:pPr>
    </w:p>
    <w:p>
      <w:pPr>
        <w:pStyle w:val="ListParagraph"/>
        <w:numPr>
          <w:ilvl w:val="0"/>
          <w:numId w:val="255"/>
        </w:numPr>
        <w:tabs>
          <w:tab w:pos="827" w:val="left" w:leader="none"/>
        </w:tabs>
        <w:spacing w:line="480" w:lineRule="auto" w:before="273" w:after="0"/>
        <w:ind w:left="160" w:right="158" w:firstLine="0"/>
        <w:jc w:val="both"/>
        <w:rPr>
          <w:rFonts w:ascii="Courier New"/>
          <w:sz w:val="28"/>
        </w:rPr>
      </w:pPr>
      <w:r>
        <w:rPr>
          <w:rFonts w:ascii="Courier New"/>
          <w:sz w:val="28"/>
        </w:rPr>
        <w:t>In view of the above discussions, the law as</w:t>
      </w:r>
      <w:r>
        <w:rPr>
          <w:rFonts w:ascii="Courier New"/>
          <w:spacing w:val="-60"/>
          <w:sz w:val="28"/>
        </w:rPr>
        <w:t> </w:t>
      </w:r>
      <w:r>
        <w:rPr>
          <w:rFonts w:ascii="Courier New"/>
          <w:sz w:val="28"/>
        </w:rPr>
        <w:t>noted above clearly establish that Court can take into consideration the Gazetteers under the Evidence Act, 1872,</w:t>
      </w:r>
      <w:r>
        <w:rPr>
          <w:rFonts w:ascii="Courier New"/>
          <w:spacing w:val="-31"/>
          <w:sz w:val="28"/>
        </w:rPr>
        <w:t> </w:t>
      </w:r>
      <w:r>
        <w:rPr>
          <w:rFonts w:ascii="Courier New"/>
          <w:sz w:val="28"/>
        </w:rPr>
        <w:t>even</w:t>
      </w:r>
      <w:r>
        <w:rPr>
          <w:rFonts w:ascii="Courier New"/>
          <w:spacing w:val="-30"/>
          <w:sz w:val="28"/>
        </w:rPr>
        <w:t> </w:t>
      </w:r>
      <w:r>
        <w:rPr>
          <w:rFonts w:ascii="Courier New"/>
          <w:sz w:val="28"/>
        </w:rPr>
        <w:t>though,</w:t>
      </w:r>
      <w:r>
        <w:rPr>
          <w:rFonts w:ascii="Courier New"/>
          <w:spacing w:val="-30"/>
          <w:sz w:val="28"/>
        </w:rPr>
        <w:t> </w:t>
      </w:r>
      <w:r>
        <w:rPr>
          <w:rFonts w:ascii="Courier New"/>
          <w:sz w:val="28"/>
        </w:rPr>
        <w:t>the</w:t>
      </w:r>
      <w:r>
        <w:rPr>
          <w:rFonts w:ascii="Courier New"/>
          <w:spacing w:val="-30"/>
          <w:sz w:val="28"/>
        </w:rPr>
        <w:t> </w:t>
      </w:r>
      <w:r>
        <w:rPr>
          <w:rFonts w:ascii="Courier New"/>
          <w:sz w:val="28"/>
        </w:rPr>
        <w:t>statement</w:t>
      </w:r>
      <w:r>
        <w:rPr>
          <w:rFonts w:ascii="Courier New"/>
          <w:spacing w:val="-30"/>
          <w:sz w:val="28"/>
        </w:rPr>
        <w:t> </w:t>
      </w:r>
      <w:r>
        <w:rPr>
          <w:rFonts w:ascii="Courier New"/>
          <w:sz w:val="28"/>
        </w:rPr>
        <w:t>in</w:t>
      </w:r>
      <w:r>
        <w:rPr>
          <w:rFonts w:ascii="Courier New"/>
          <w:spacing w:val="-30"/>
          <w:sz w:val="28"/>
        </w:rPr>
        <w:t> </w:t>
      </w:r>
      <w:r>
        <w:rPr>
          <w:rFonts w:ascii="Courier New"/>
          <w:sz w:val="28"/>
        </w:rPr>
        <w:t>Gazetteers</w:t>
      </w:r>
      <w:r>
        <w:rPr>
          <w:rFonts w:ascii="Courier New"/>
          <w:spacing w:val="-31"/>
          <w:sz w:val="28"/>
        </w:rPr>
        <w:t> </w:t>
      </w:r>
      <w:r>
        <w:rPr>
          <w:rFonts w:ascii="Courier New"/>
          <w:sz w:val="28"/>
        </w:rPr>
        <w:t>will</w:t>
      </w:r>
      <w:r>
        <w:rPr>
          <w:rFonts w:ascii="Courier New"/>
          <w:spacing w:val="-30"/>
          <w:sz w:val="28"/>
        </w:rPr>
        <w:t> </w:t>
      </w:r>
      <w:r>
        <w:rPr>
          <w:rFonts w:ascii="Courier New"/>
          <w:sz w:val="28"/>
        </w:rPr>
        <w:t>not be treated as conclusive evidence but the presumption of correctness of that statement is attached to it. The admissibility of books and travelogues cannot be denied in view of Section 57. Section 81 of the Evidence Act also contemplate for a presumption of genuineness of every document purporting to be any official Gazette or the Government Gazette.</w:t>
      </w:r>
      <w:r>
        <w:rPr>
          <w:rFonts w:ascii="Courier New"/>
          <w:spacing w:val="100"/>
          <w:sz w:val="28"/>
        </w:rPr>
        <w:t> </w:t>
      </w:r>
      <w:r>
        <w:rPr>
          <w:rFonts w:ascii="Courier New"/>
          <w:sz w:val="28"/>
        </w:rPr>
        <w:t>Section</w:t>
      </w:r>
    </w:p>
    <w:p>
      <w:pPr>
        <w:spacing w:line="315" w:lineRule="exact" w:before="0"/>
        <w:ind w:left="160" w:right="0" w:firstLine="0"/>
        <w:jc w:val="both"/>
        <w:rPr>
          <w:rFonts w:ascii="Courier New"/>
          <w:sz w:val="28"/>
        </w:rPr>
      </w:pPr>
      <w:r>
        <w:rPr>
          <w:rFonts w:ascii="Courier New"/>
          <w:sz w:val="28"/>
        </w:rPr>
        <w:t>81 of the Evidence Act is as follows:-</w:t>
      </w:r>
    </w:p>
    <w:p>
      <w:pPr>
        <w:pStyle w:val="BodyText"/>
        <w:rPr>
          <w:rFonts w:ascii="Courier New"/>
          <w:sz w:val="28"/>
        </w:rPr>
      </w:pPr>
    </w:p>
    <w:p>
      <w:pPr>
        <w:spacing w:line="240" w:lineRule="auto" w:before="0"/>
        <w:ind w:left="1011" w:right="1246" w:firstLine="0"/>
        <w:jc w:val="both"/>
        <w:rPr>
          <w:rFonts w:ascii="Courier New" w:hAnsi="Courier New"/>
          <w:sz w:val="28"/>
        </w:rPr>
      </w:pPr>
      <w:r>
        <w:rPr>
          <w:rFonts w:ascii="Courier New" w:hAnsi="Courier New"/>
          <w:sz w:val="28"/>
        </w:rPr>
        <w:t>“</w:t>
      </w:r>
      <w:r>
        <w:rPr>
          <w:rFonts w:ascii="Courier New" w:hAnsi="Courier New"/>
          <w:b/>
          <w:sz w:val="28"/>
        </w:rPr>
        <w:t>8</w:t>
      </w:r>
      <w:hyperlink r:id="rId359">
        <w:r>
          <w:rPr>
            <w:rFonts w:ascii="Courier New" w:hAnsi="Courier New"/>
            <w:b/>
            <w:color w:val="1100CC"/>
            <w:sz w:val="28"/>
            <w:u w:val="thick" w:color="1100CC"/>
          </w:rPr>
          <w:t>1.</w:t>
        </w:r>
        <w:r>
          <w:rPr>
            <w:rFonts w:ascii="Courier New" w:hAnsi="Courier New"/>
            <w:b/>
            <w:color w:val="1100CC"/>
            <w:sz w:val="28"/>
          </w:rPr>
          <w:t> </w:t>
        </w:r>
      </w:hyperlink>
      <w:r>
        <w:rPr>
          <w:rFonts w:ascii="Courier New" w:hAnsi="Courier New"/>
          <w:b/>
          <w:sz w:val="28"/>
        </w:rPr>
        <w:t>Presumption as to Gazettes, newspapers, private Acts of Parliament and other documents.</w:t>
      </w:r>
      <w:r>
        <w:rPr>
          <w:rFonts w:ascii="Courier New" w:hAnsi="Courier New"/>
          <w:sz w:val="28"/>
        </w:rPr>
        <w:t>—The Court shall presume the genuineness of every document purporting</w:t>
      </w:r>
      <w:r>
        <w:rPr>
          <w:rFonts w:ascii="Courier New" w:hAnsi="Courier New"/>
          <w:spacing w:val="-22"/>
          <w:sz w:val="28"/>
        </w:rPr>
        <w:t> </w:t>
      </w:r>
      <w:r>
        <w:rPr>
          <w:rFonts w:ascii="Courier New" w:hAnsi="Courier New"/>
          <w:sz w:val="28"/>
        </w:rPr>
        <w:t>to</w:t>
      </w:r>
      <w:r>
        <w:rPr>
          <w:rFonts w:ascii="Courier New" w:hAnsi="Courier New"/>
          <w:spacing w:val="-22"/>
          <w:sz w:val="28"/>
        </w:rPr>
        <w:t> </w:t>
      </w:r>
      <w:r>
        <w:rPr>
          <w:rFonts w:ascii="Courier New" w:hAnsi="Courier New"/>
          <w:sz w:val="28"/>
        </w:rPr>
        <w:t>be</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London</w:t>
      </w:r>
      <w:r>
        <w:rPr>
          <w:rFonts w:ascii="Courier New" w:hAnsi="Courier New"/>
          <w:spacing w:val="-21"/>
          <w:sz w:val="28"/>
        </w:rPr>
        <w:t> </w:t>
      </w:r>
      <w:r>
        <w:rPr>
          <w:rFonts w:ascii="Courier New" w:hAnsi="Courier New"/>
          <w:sz w:val="28"/>
        </w:rPr>
        <w:t>Gazette,</w:t>
      </w:r>
      <w:r>
        <w:rPr>
          <w:rFonts w:ascii="Courier New" w:hAnsi="Courier New"/>
          <w:spacing w:val="-22"/>
          <w:sz w:val="28"/>
        </w:rPr>
        <w:t> </w:t>
      </w:r>
      <w:r>
        <w:rPr>
          <w:rFonts w:ascii="Courier New" w:hAnsi="Courier New"/>
          <w:sz w:val="28"/>
        </w:rPr>
        <w:t>or</w:t>
      </w:r>
      <w:r>
        <w:rPr>
          <w:rFonts w:ascii="Courier New" w:hAnsi="Courier New"/>
          <w:spacing w:val="-22"/>
          <w:sz w:val="28"/>
        </w:rPr>
        <w:t> </w:t>
      </w:r>
      <w:r>
        <w:rPr>
          <w:rFonts w:ascii="Courier New" w:hAnsi="Courier New"/>
          <w:sz w:val="28"/>
        </w:rPr>
        <w:t>any Official</w:t>
      </w:r>
      <w:r>
        <w:rPr>
          <w:rFonts w:ascii="Courier New" w:hAnsi="Courier New"/>
          <w:spacing w:val="-32"/>
          <w:sz w:val="28"/>
        </w:rPr>
        <w:t> </w:t>
      </w:r>
      <w:r>
        <w:rPr>
          <w:rFonts w:ascii="Courier New" w:hAnsi="Courier New"/>
          <w:sz w:val="28"/>
        </w:rPr>
        <w:t>Gazette,</w:t>
      </w:r>
      <w:r>
        <w:rPr>
          <w:rFonts w:ascii="Courier New" w:hAnsi="Courier New"/>
          <w:spacing w:val="-31"/>
          <w:sz w:val="28"/>
        </w:rPr>
        <w:t> </w:t>
      </w:r>
      <w:r>
        <w:rPr>
          <w:rFonts w:ascii="Courier New" w:hAnsi="Courier New"/>
          <w:sz w:val="28"/>
        </w:rPr>
        <w:t>or</w:t>
      </w:r>
      <w:r>
        <w:rPr>
          <w:rFonts w:ascii="Courier New" w:hAnsi="Courier New"/>
          <w:spacing w:val="-32"/>
          <w:sz w:val="28"/>
        </w:rPr>
        <w:t> </w:t>
      </w:r>
      <w:r>
        <w:rPr>
          <w:rFonts w:ascii="Courier New" w:hAnsi="Courier New"/>
          <w:sz w:val="28"/>
        </w:rPr>
        <w:t>the</w:t>
      </w:r>
      <w:r>
        <w:rPr>
          <w:rFonts w:ascii="Courier New" w:hAnsi="Courier New"/>
          <w:spacing w:val="-31"/>
          <w:sz w:val="28"/>
        </w:rPr>
        <w:t> </w:t>
      </w:r>
      <w:r>
        <w:rPr>
          <w:rFonts w:ascii="Courier New" w:hAnsi="Courier New"/>
          <w:sz w:val="28"/>
        </w:rPr>
        <w:t>Government</w:t>
      </w:r>
      <w:r>
        <w:rPr>
          <w:rFonts w:ascii="Courier New" w:hAnsi="Courier New"/>
          <w:spacing w:val="-32"/>
          <w:sz w:val="28"/>
        </w:rPr>
        <w:t> </w:t>
      </w:r>
      <w:r>
        <w:rPr>
          <w:rFonts w:ascii="Courier New" w:hAnsi="Courier New"/>
          <w:sz w:val="28"/>
        </w:rPr>
        <w:t>Gazette of any colony, dependency of possession of the British Crown, or to be a newspaper or journal, or to be a copy of a private</w:t>
      </w:r>
      <w:r>
        <w:rPr>
          <w:rFonts w:ascii="Courier New" w:hAnsi="Courier New"/>
          <w:spacing w:val="10"/>
          <w:sz w:val="28"/>
        </w:rPr>
        <w:t> </w:t>
      </w:r>
      <w:r>
        <w:rPr>
          <w:rFonts w:ascii="Courier New" w:hAnsi="Courier New"/>
          <w:sz w:val="28"/>
        </w:rPr>
        <w:t>Act</w:t>
      </w:r>
    </w:p>
    <w:p>
      <w:pPr>
        <w:spacing w:after="0" w:line="240" w:lineRule="auto"/>
        <w:jc w:val="both"/>
        <w:rPr>
          <w:rFonts w:ascii="Courier New" w:hAnsi="Courier New"/>
          <w:sz w:val="28"/>
        </w:rPr>
        <w:sectPr>
          <w:headerReference w:type="default" r:id="rId357"/>
          <w:footerReference w:type="default" r:id="rId358"/>
          <w:pgSz w:w="11910" w:h="16840"/>
          <w:pgMar w:header="0" w:footer="1063" w:top="1340" w:bottom="1260" w:left="1280" w:right="1280"/>
          <w:pgNumType w:start="74"/>
        </w:sectPr>
      </w:pPr>
    </w:p>
    <w:p>
      <w:pPr>
        <w:pStyle w:val="Heading2"/>
        <w:spacing w:before="86"/>
        <w:ind w:left="1011" w:right="1245"/>
      </w:pPr>
      <w:r>
        <w:rPr/>
        <w:t>of</w:t>
      </w:r>
      <w:r>
        <w:rPr>
          <w:spacing w:val="-26"/>
        </w:rPr>
        <w:t> </w:t>
      </w:r>
      <w:r>
        <w:rPr/>
        <w:t>Parliament</w:t>
      </w:r>
      <w:r>
        <w:rPr>
          <w:spacing w:val="-28"/>
        </w:rPr>
        <w:t> </w:t>
      </w:r>
      <w:r>
        <w:rPr/>
        <w:t>of</w:t>
      </w:r>
      <w:r>
        <w:rPr>
          <w:spacing w:val="-25"/>
        </w:rPr>
        <w:t> </w:t>
      </w:r>
      <w:r>
        <w:rPr/>
        <w:t>the</w:t>
      </w:r>
      <w:r>
        <w:rPr>
          <w:spacing w:val="-26"/>
        </w:rPr>
        <w:t> </w:t>
      </w:r>
      <w:r>
        <w:rPr/>
        <w:t>United</w:t>
      </w:r>
      <w:r>
        <w:rPr>
          <w:spacing w:val="-26"/>
        </w:rPr>
        <w:t> </w:t>
      </w:r>
      <w:r>
        <w:rPr/>
        <w:t>Kingdom</w:t>
      </w:r>
      <w:r>
        <w:rPr>
          <w:spacing w:val="-25"/>
        </w:rPr>
        <w:t> </w:t>
      </w:r>
      <w:r>
        <w:rPr/>
        <w:t>printed by the Queen’s Printer, and of every document purporting to be a document directed by any law to be kept by any person, if such document is kept substantially in the form required by law and is produced from proper</w:t>
      </w:r>
      <w:r>
        <w:rPr>
          <w:spacing w:val="-12"/>
        </w:rPr>
        <w:t> </w:t>
      </w:r>
      <w:r>
        <w:rPr/>
        <w:t>custody.”</w:t>
      </w:r>
    </w:p>
    <w:p>
      <w:pPr>
        <w:pStyle w:val="BodyText"/>
        <w:rPr>
          <w:rFonts w:ascii="Courier New"/>
          <w:sz w:val="32"/>
        </w:rPr>
      </w:pPr>
    </w:p>
    <w:p>
      <w:pPr>
        <w:pStyle w:val="ListParagraph"/>
        <w:numPr>
          <w:ilvl w:val="0"/>
          <w:numId w:val="255"/>
        </w:numPr>
        <w:tabs>
          <w:tab w:pos="808" w:val="left" w:leader="none"/>
        </w:tabs>
        <w:spacing w:line="480" w:lineRule="auto" w:before="270" w:after="0"/>
        <w:ind w:left="160" w:right="158" w:firstLine="0"/>
        <w:jc w:val="both"/>
        <w:rPr>
          <w:rFonts w:ascii="Courier New"/>
          <w:sz w:val="28"/>
        </w:rPr>
      </w:pPr>
      <w:r>
        <w:rPr>
          <w:rFonts w:ascii="Courier New"/>
          <w:sz w:val="28"/>
        </w:rPr>
        <w:t>Now,</w:t>
      </w:r>
      <w:r>
        <w:rPr>
          <w:rFonts w:ascii="Courier New"/>
          <w:spacing w:val="-27"/>
          <w:sz w:val="28"/>
        </w:rPr>
        <w:t> </w:t>
      </w:r>
      <w:r>
        <w:rPr>
          <w:rFonts w:ascii="Courier New"/>
          <w:sz w:val="28"/>
        </w:rPr>
        <w:t>remains</w:t>
      </w:r>
      <w:r>
        <w:rPr>
          <w:rFonts w:ascii="Courier New"/>
          <w:spacing w:val="-26"/>
          <w:sz w:val="28"/>
        </w:rPr>
        <w:t> </w:t>
      </w:r>
      <w:r>
        <w:rPr>
          <w:rFonts w:ascii="Courier New"/>
          <w:sz w:val="28"/>
        </w:rPr>
        <w:t>the</w:t>
      </w:r>
      <w:r>
        <w:rPr>
          <w:rFonts w:ascii="Courier New"/>
          <w:spacing w:val="-27"/>
          <w:sz w:val="28"/>
        </w:rPr>
        <w:t> </w:t>
      </w:r>
      <w:r>
        <w:rPr>
          <w:rFonts w:ascii="Courier New"/>
          <w:sz w:val="28"/>
        </w:rPr>
        <w:t>next</w:t>
      </w:r>
      <w:r>
        <w:rPr>
          <w:rFonts w:ascii="Courier New"/>
          <w:spacing w:val="-26"/>
          <w:sz w:val="28"/>
        </w:rPr>
        <w:t> </w:t>
      </w:r>
      <w:r>
        <w:rPr>
          <w:rFonts w:ascii="Courier New"/>
          <w:sz w:val="28"/>
        </w:rPr>
        <w:t>contention</w:t>
      </w:r>
      <w:r>
        <w:rPr>
          <w:rFonts w:ascii="Courier New"/>
          <w:spacing w:val="-27"/>
          <w:sz w:val="28"/>
        </w:rPr>
        <w:t> </w:t>
      </w:r>
      <w:r>
        <w:rPr>
          <w:rFonts w:ascii="Courier New"/>
          <w:sz w:val="28"/>
        </w:rPr>
        <w:t>of</w:t>
      </w:r>
      <w:r>
        <w:rPr>
          <w:rFonts w:ascii="Courier New"/>
          <w:spacing w:val="-26"/>
          <w:sz w:val="28"/>
        </w:rPr>
        <w:t> </w:t>
      </w:r>
      <w:r>
        <w:rPr>
          <w:rFonts w:ascii="Courier New"/>
          <w:sz w:val="28"/>
        </w:rPr>
        <w:t>Dr.</w:t>
      </w:r>
      <w:r>
        <w:rPr>
          <w:rFonts w:ascii="Courier New"/>
          <w:spacing w:val="-24"/>
          <w:sz w:val="28"/>
        </w:rPr>
        <w:t> </w:t>
      </w:r>
      <w:r>
        <w:rPr>
          <w:rFonts w:ascii="Courier New"/>
          <w:sz w:val="28"/>
        </w:rPr>
        <w:t>Dhavan</w:t>
      </w:r>
      <w:r>
        <w:rPr>
          <w:rFonts w:ascii="Courier New"/>
          <w:spacing w:val="-27"/>
          <w:sz w:val="28"/>
        </w:rPr>
        <w:t> </w:t>
      </w:r>
      <w:r>
        <w:rPr>
          <w:rFonts w:ascii="Courier New"/>
          <w:sz w:val="28"/>
        </w:rPr>
        <w:t>that Gazetteers prior to 1858, when the sovereignty of the area was not under direct control of British, during the regime of East India Company, cannot be relied.</w:t>
      </w:r>
      <w:r>
        <w:rPr>
          <w:rFonts w:ascii="Courier New"/>
          <w:spacing w:val="-70"/>
          <w:sz w:val="28"/>
        </w:rPr>
        <w:t> </w:t>
      </w:r>
      <w:r>
        <w:rPr>
          <w:rFonts w:ascii="Courier New"/>
          <w:sz w:val="28"/>
        </w:rPr>
        <w:t>In the present case, the Gazetteers, which have been relied are of the Gazetteers of Nineteenth Century. The East India company by Charter from Queen</w:t>
      </w:r>
      <w:r>
        <w:rPr>
          <w:rFonts w:ascii="Courier New"/>
          <w:spacing w:val="-67"/>
          <w:sz w:val="28"/>
        </w:rPr>
        <w:t> </w:t>
      </w:r>
      <w:r>
        <w:rPr>
          <w:rFonts w:ascii="Courier New"/>
          <w:sz w:val="28"/>
        </w:rPr>
        <w:t>Elizabeth on 31.12.1600 were permitted to trade in the East Indies. The Company initially setup a factory at</w:t>
      </w:r>
      <w:r>
        <w:rPr>
          <w:rFonts w:ascii="Courier New"/>
          <w:spacing w:val="-69"/>
          <w:sz w:val="28"/>
        </w:rPr>
        <w:t> </w:t>
      </w:r>
      <w:r>
        <w:rPr>
          <w:rFonts w:ascii="Courier New"/>
          <w:sz w:val="28"/>
        </w:rPr>
        <w:t>Surat (State of Gujarat) in 1619</w:t>
      </w:r>
      <w:r>
        <w:rPr>
          <w:rFonts w:ascii="Courier New"/>
          <w:b/>
          <w:sz w:val="28"/>
        </w:rPr>
        <w:t>. </w:t>
      </w:r>
      <w:r>
        <w:rPr>
          <w:rFonts w:ascii="Courier New"/>
          <w:sz w:val="28"/>
        </w:rPr>
        <w:t>The jurisdiction and</w:t>
      </w:r>
      <w:r>
        <w:rPr>
          <w:rFonts w:ascii="Courier New"/>
          <w:spacing w:val="-67"/>
          <w:sz w:val="28"/>
        </w:rPr>
        <w:t> </w:t>
      </w:r>
      <w:r>
        <w:rPr>
          <w:rFonts w:ascii="Courier New"/>
          <w:sz w:val="28"/>
        </w:rPr>
        <w:t>power of</w:t>
      </w:r>
      <w:r>
        <w:rPr>
          <w:rFonts w:ascii="Courier New"/>
          <w:spacing w:val="-31"/>
          <w:sz w:val="28"/>
        </w:rPr>
        <w:t> </w:t>
      </w:r>
      <w:r>
        <w:rPr>
          <w:rFonts w:ascii="Courier New"/>
          <w:sz w:val="28"/>
        </w:rPr>
        <w:t>East</w:t>
      </w:r>
      <w:r>
        <w:rPr>
          <w:rFonts w:ascii="Courier New"/>
          <w:spacing w:val="-30"/>
          <w:sz w:val="28"/>
        </w:rPr>
        <w:t> </w:t>
      </w:r>
      <w:r>
        <w:rPr>
          <w:rFonts w:ascii="Courier New"/>
          <w:sz w:val="28"/>
        </w:rPr>
        <w:t>India</w:t>
      </w:r>
      <w:r>
        <w:rPr>
          <w:rFonts w:ascii="Courier New"/>
          <w:spacing w:val="-30"/>
          <w:sz w:val="28"/>
        </w:rPr>
        <w:t> </w:t>
      </w:r>
      <w:r>
        <w:rPr>
          <w:rFonts w:ascii="Courier New"/>
          <w:sz w:val="28"/>
        </w:rPr>
        <w:t>Company</w:t>
      </w:r>
      <w:r>
        <w:rPr>
          <w:rFonts w:ascii="Courier New"/>
          <w:spacing w:val="-30"/>
          <w:sz w:val="28"/>
        </w:rPr>
        <w:t> </w:t>
      </w:r>
      <w:r>
        <w:rPr>
          <w:rFonts w:ascii="Courier New"/>
          <w:sz w:val="28"/>
        </w:rPr>
        <w:t>were</w:t>
      </w:r>
      <w:r>
        <w:rPr>
          <w:rFonts w:ascii="Courier New"/>
          <w:spacing w:val="-30"/>
          <w:sz w:val="28"/>
        </w:rPr>
        <w:t> </w:t>
      </w:r>
      <w:r>
        <w:rPr>
          <w:rFonts w:ascii="Courier New"/>
          <w:sz w:val="28"/>
        </w:rPr>
        <w:t>enlarged</w:t>
      </w:r>
      <w:r>
        <w:rPr>
          <w:rFonts w:ascii="Courier New"/>
          <w:spacing w:val="-30"/>
          <w:sz w:val="28"/>
        </w:rPr>
        <w:t> </w:t>
      </w:r>
      <w:r>
        <w:rPr>
          <w:rFonts w:ascii="Courier New"/>
          <w:sz w:val="28"/>
        </w:rPr>
        <w:t>by</w:t>
      </w:r>
      <w:r>
        <w:rPr>
          <w:rFonts w:ascii="Courier New"/>
          <w:spacing w:val="-31"/>
          <w:sz w:val="28"/>
        </w:rPr>
        <w:t> </w:t>
      </w:r>
      <w:r>
        <w:rPr>
          <w:rFonts w:ascii="Courier New"/>
          <w:sz w:val="28"/>
        </w:rPr>
        <w:t>various</w:t>
      </w:r>
      <w:r>
        <w:rPr>
          <w:rFonts w:ascii="Courier New"/>
          <w:spacing w:val="-30"/>
          <w:sz w:val="28"/>
        </w:rPr>
        <w:t> </w:t>
      </w:r>
      <w:r>
        <w:rPr>
          <w:rFonts w:ascii="Courier New"/>
          <w:sz w:val="28"/>
        </w:rPr>
        <w:t>charters issued</w:t>
      </w:r>
      <w:r>
        <w:rPr>
          <w:rFonts w:ascii="Courier New"/>
          <w:spacing w:val="-31"/>
          <w:sz w:val="28"/>
        </w:rPr>
        <w:t> </w:t>
      </w:r>
      <w:r>
        <w:rPr>
          <w:rFonts w:ascii="Courier New"/>
          <w:sz w:val="28"/>
        </w:rPr>
        <w:t>by</w:t>
      </w:r>
      <w:r>
        <w:rPr>
          <w:rFonts w:ascii="Courier New"/>
          <w:spacing w:val="-30"/>
          <w:sz w:val="28"/>
        </w:rPr>
        <w:t> </w:t>
      </w:r>
      <w:r>
        <w:rPr>
          <w:rFonts w:ascii="Courier New"/>
          <w:sz w:val="28"/>
        </w:rPr>
        <w:t>the</w:t>
      </w:r>
      <w:r>
        <w:rPr>
          <w:rFonts w:ascii="Courier New"/>
          <w:spacing w:val="-30"/>
          <w:sz w:val="28"/>
        </w:rPr>
        <w:t> </w:t>
      </w:r>
      <w:r>
        <w:rPr>
          <w:rFonts w:ascii="Courier New"/>
          <w:sz w:val="28"/>
        </w:rPr>
        <w:t>Queen</w:t>
      </w:r>
      <w:r>
        <w:rPr>
          <w:rFonts w:ascii="Courier New"/>
          <w:spacing w:val="-30"/>
          <w:sz w:val="28"/>
        </w:rPr>
        <w:t> </w:t>
      </w:r>
      <w:r>
        <w:rPr>
          <w:rFonts w:ascii="Courier New"/>
          <w:sz w:val="28"/>
        </w:rPr>
        <w:t>and</w:t>
      </w:r>
      <w:r>
        <w:rPr>
          <w:rFonts w:ascii="Courier New"/>
          <w:spacing w:val="-30"/>
          <w:sz w:val="28"/>
        </w:rPr>
        <w:t> </w:t>
      </w:r>
      <w:r>
        <w:rPr>
          <w:rFonts w:ascii="Courier New"/>
          <w:sz w:val="28"/>
        </w:rPr>
        <w:t>subsequently</w:t>
      </w:r>
      <w:r>
        <w:rPr>
          <w:rFonts w:ascii="Courier New"/>
          <w:spacing w:val="-30"/>
          <w:sz w:val="28"/>
        </w:rPr>
        <w:t> </w:t>
      </w:r>
      <w:r>
        <w:rPr>
          <w:rFonts w:ascii="Courier New"/>
          <w:sz w:val="28"/>
        </w:rPr>
        <w:t>by</w:t>
      </w:r>
      <w:r>
        <w:rPr>
          <w:rFonts w:ascii="Courier New"/>
          <w:spacing w:val="-31"/>
          <w:sz w:val="28"/>
        </w:rPr>
        <w:t> </w:t>
      </w:r>
      <w:r>
        <w:rPr>
          <w:rFonts w:ascii="Courier New"/>
          <w:sz w:val="28"/>
        </w:rPr>
        <w:t>enactments</w:t>
      </w:r>
      <w:r>
        <w:rPr>
          <w:rFonts w:ascii="Courier New"/>
          <w:spacing w:val="-30"/>
          <w:sz w:val="28"/>
        </w:rPr>
        <w:t> </w:t>
      </w:r>
      <w:r>
        <w:rPr>
          <w:rFonts w:ascii="Courier New"/>
          <w:sz w:val="28"/>
        </w:rPr>
        <w:t>made by the British Parliament. By 1805, several functions in Oudh area were also entrusted to the East Indies Company</w:t>
      </w:r>
      <w:r>
        <w:rPr>
          <w:rFonts w:ascii="Courier New"/>
          <w:spacing w:val="-34"/>
          <w:sz w:val="28"/>
        </w:rPr>
        <w:t> </w:t>
      </w:r>
      <w:r>
        <w:rPr>
          <w:rFonts w:ascii="Courier New"/>
          <w:sz w:val="28"/>
        </w:rPr>
        <w:t>including</w:t>
      </w:r>
      <w:r>
        <w:rPr>
          <w:rFonts w:ascii="Courier New"/>
          <w:spacing w:val="-34"/>
          <w:sz w:val="28"/>
        </w:rPr>
        <w:t> </w:t>
      </w:r>
      <w:r>
        <w:rPr>
          <w:rFonts w:ascii="Courier New"/>
          <w:sz w:val="28"/>
        </w:rPr>
        <w:t>establishment</w:t>
      </w:r>
      <w:r>
        <w:rPr>
          <w:rFonts w:ascii="Courier New"/>
          <w:spacing w:val="-34"/>
          <w:sz w:val="28"/>
        </w:rPr>
        <w:t> </w:t>
      </w:r>
      <w:r>
        <w:rPr>
          <w:rFonts w:ascii="Courier New"/>
          <w:sz w:val="28"/>
        </w:rPr>
        <w:t>of</w:t>
      </w:r>
      <w:r>
        <w:rPr>
          <w:rFonts w:ascii="Courier New"/>
          <w:spacing w:val="-34"/>
          <w:sz w:val="28"/>
        </w:rPr>
        <w:t> </w:t>
      </w:r>
      <w:r>
        <w:rPr>
          <w:rFonts w:ascii="Courier New"/>
          <w:sz w:val="28"/>
        </w:rPr>
        <w:t>Sudder</w:t>
      </w:r>
      <w:r>
        <w:rPr>
          <w:rFonts w:ascii="Courier New"/>
          <w:spacing w:val="-34"/>
          <w:sz w:val="28"/>
        </w:rPr>
        <w:t> </w:t>
      </w:r>
      <w:r>
        <w:rPr>
          <w:rFonts w:ascii="Courier New"/>
          <w:sz w:val="28"/>
        </w:rPr>
        <w:t>Court</w:t>
      </w:r>
      <w:r>
        <w:rPr>
          <w:rFonts w:ascii="Courier New"/>
          <w:spacing w:val="-34"/>
          <w:sz w:val="28"/>
        </w:rPr>
        <w:t> </w:t>
      </w:r>
      <w:r>
        <w:rPr>
          <w:rFonts w:ascii="Courier New"/>
          <w:sz w:val="28"/>
        </w:rPr>
        <w:t>in</w:t>
      </w:r>
      <w:r>
        <w:rPr>
          <w:rFonts w:ascii="Courier New"/>
          <w:spacing w:val="-33"/>
          <w:sz w:val="28"/>
        </w:rPr>
        <w:t> </w:t>
      </w:r>
      <w:r>
        <w:rPr>
          <w:rFonts w:ascii="Courier New"/>
          <w:sz w:val="28"/>
        </w:rPr>
        <w:t>Oudh area. East India Company, by beginning of Nineteenth Century, was not only a trading company but</w:t>
      </w:r>
      <w:r>
        <w:rPr>
          <w:rFonts w:ascii="Courier New"/>
          <w:spacing w:val="-64"/>
          <w:sz w:val="28"/>
        </w:rPr>
        <w:t> </w:t>
      </w:r>
      <w:r>
        <w:rPr>
          <w:rFonts w:ascii="Courier New"/>
          <w:sz w:val="28"/>
        </w:rPr>
        <w:t>had</w:t>
      </w:r>
    </w:p>
    <w:p>
      <w:pPr>
        <w:spacing w:after="0" w:line="480" w:lineRule="auto"/>
        <w:jc w:val="both"/>
        <w:rPr>
          <w:rFonts w:ascii="Courier New"/>
          <w:sz w:val="28"/>
        </w:rPr>
        <w:sectPr>
          <w:headerReference w:type="default" r:id="rId360"/>
          <w:footerReference w:type="default" r:id="rId361"/>
          <w:pgSz w:w="11910" w:h="16840"/>
          <w:pgMar w:header="0" w:footer="1063" w:top="1340" w:bottom="1260" w:left="1280" w:right="1280"/>
          <w:pgNumType w:start="75"/>
        </w:sectPr>
      </w:pPr>
    </w:p>
    <w:p>
      <w:pPr>
        <w:spacing w:line="480" w:lineRule="auto" w:before="86"/>
        <w:ind w:left="160" w:right="159" w:firstLine="0"/>
        <w:jc w:val="both"/>
        <w:rPr>
          <w:rFonts w:ascii="Courier New"/>
          <w:sz w:val="28"/>
        </w:rPr>
      </w:pPr>
      <w:r>
        <w:rPr>
          <w:rFonts w:ascii="Courier New"/>
          <w:sz w:val="28"/>
        </w:rPr>
        <w:t>statutory and governmental power as entrusted by Charters and Acts of the British Parliament with agreement</w:t>
      </w:r>
      <w:r>
        <w:rPr>
          <w:rFonts w:ascii="Courier New"/>
          <w:spacing w:val="-22"/>
          <w:sz w:val="28"/>
        </w:rPr>
        <w:t> </w:t>
      </w:r>
      <w:r>
        <w:rPr>
          <w:rFonts w:ascii="Courier New"/>
          <w:sz w:val="28"/>
        </w:rPr>
        <w:t>of</w:t>
      </w:r>
      <w:r>
        <w:rPr>
          <w:rFonts w:ascii="Courier New"/>
          <w:spacing w:val="-21"/>
          <w:sz w:val="28"/>
        </w:rPr>
        <w:t> </w:t>
      </w:r>
      <w:r>
        <w:rPr>
          <w:rFonts w:ascii="Courier New"/>
          <w:sz w:val="28"/>
        </w:rPr>
        <w:t>Nawab</w:t>
      </w:r>
      <w:r>
        <w:rPr>
          <w:rFonts w:ascii="Courier New"/>
          <w:spacing w:val="-21"/>
          <w:sz w:val="28"/>
        </w:rPr>
        <w:t> </w:t>
      </w:r>
      <w:r>
        <w:rPr>
          <w:rFonts w:ascii="Courier New"/>
          <w:sz w:val="28"/>
        </w:rPr>
        <w:t>of</w:t>
      </w:r>
      <w:r>
        <w:rPr>
          <w:rFonts w:ascii="Courier New"/>
          <w:spacing w:val="-21"/>
          <w:sz w:val="28"/>
        </w:rPr>
        <w:t> </w:t>
      </w:r>
      <w:r>
        <w:rPr>
          <w:rFonts w:ascii="Courier New"/>
          <w:sz w:val="28"/>
        </w:rPr>
        <w:t>Avadh</w:t>
      </w:r>
      <w:r>
        <w:rPr>
          <w:rFonts w:ascii="Courier New"/>
          <w:spacing w:val="-21"/>
          <w:sz w:val="28"/>
        </w:rPr>
        <w:t> </w:t>
      </w:r>
      <w:r>
        <w:rPr>
          <w:rFonts w:ascii="Courier New"/>
          <w:sz w:val="28"/>
        </w:rPr>
        <w:t>in</w:t>
      </w:r>
      <w:r>
        <w:rPr>
          <w:rFonts w:ascii="Courier New"/>
          <w:spacing w:val="-22"/>
          <w:sz w:val="28"/>
        </w:rPr>
        <w:t> </w:t>
      </w:r>
      <w:r>
        <w:rPr>
          <w:rFonts w:ascii="Courier New"/>
          <w:sz w:val="28"/>
        </w:rPr>
        <w:t>1801.</w:t>
      </w:r>
      <w:r>
        <w:rPr>
          <w:rFonts w:ascii="Courier New"/>
          <w:spacing w:val="-21"/>
          <w:sz w:val="28"/>
        </w:rPr>
        <w:t> </w:t>
      </w:r>
      <w:r>
        <w:rPr>
          <w:rFonts w:ascii="Courier New"/>
          <w:sz w:val="28"/>
        </w:rPr>
        <w:t>In</w:t>
      </w:r>
      <w:r>
        <w:rPr>
          <w:rFonts w:ascii="Courier New"/>
          <w:spacing w:val="-21"/>
          <w:sz w:val="28"/>
        </w:rPr>
        <w:t> </w:t>
      </w:r>
      <w:r>
        <w:rPr>
          <w:rFonts w:ascii="Courier New"/>
          <w:sz w:val="28"/>
        </w:rPr>
        <w:t>any</w:t>
      </w:r>
      <w:r>
        <w:rPr>
          <w:rFonts w:ascii="Courier New"/>
          <w:spacing w:val="-21"/>
          <w:sz w:val="28"/>
        </w:rPr>
        <w:t> </w:t>
      </w:r>
      <w:r>
        <w:rPr>
          <w:rFonts w:ascii="Courier New"/>
          <w:sz w:val="28"/>
        </w:rPr>
        <w:t>view</w:t>
      </w:r>
      <w:r>
        <w:rPr>
          <w:rFonts w:ascii="Courier New"/>
          <w:spacing w:val="-21"/>
          <w:sz w:val="28"/>
        </w:rPr>
        <w:t> </w:t>
      </w:r>
      <w:r>
        <w:rPr>
          <w:rFonts w:ascii="Courier New"/>
          <w:sz w:val="28"/>
        </w:rPr>
        <w:t>of</w:t>
      </w:r>
      <w:r>
        <w:rPr>
          <w:rFonts w:ascii="Courier New"/>
          <w:spacing w:val="-21"/>
          <w:sz w:val="28"/>
        </w:rPr>
        <w:t> </w:t>
      </w:r>
      <w:r>
        <w:rPr>
          <w:rFonts w:ascii="Courier New"/>
          <w:sz w:val="28"/>
        </w:rPr>
        <w:t>the matter, the Gazetteers, which were prepared during</w:t>
      </w:r>
      <w:r>
        <w:rPr>
          <w:rFonts w:ascii="Courier New"/>
          <w:spacing w:val="-69"/>
          <w:sz w:val="28"/>
        </w:rPr>
        <w:t> </w:t>
      </w:r>
      <w:r>
        <w:rPr>
          <w:rFonts w:ascii="Courier New"/>
          <w:sz w:val="28"/>
        </w:rPr>
        <w:t>the regime of the East India Company in the Nineteenth Century contains a record of public history and they are</w:t>
      </w:r>
      <w:r>
        <w:rPr>
          <w:rFonts w:ascii="Courier New"/>
          <w:spacing w:val="-31"/>
          <w:sz w:val="28"/>
        </w:rPr>
        <w:t> </w:t>
      </w:r>
      <w:r>
        <w:rPr>
          <w:rFonts w:ascii="Courier New"/>
          <w:sz w:val="28"/>
        </w:rPr>
        <w:t>clearly</w:t>
      </w:r>
      <w:r>
        <w:rPr>
          <w:rFonts w:ascii="Courier New"/>
          <w:spacing w:val="-30"/>
          <w:sz w:val="28"/>
        </w:rPr>
        <w:t> </w:t>
      </w:r>
      <w:r>
        <w:rPr>
          <w:rFonts w:ascii="Courier New"/>
          <w:sz w:val="28"/>
        </w:rPr>
        <w:t>admissible</w:t>
      </w:r>
      <w:r>
        <w:rPr>
          <w:rFonts w:ascii="Courier New"/>
          <w:spacing w:val="-30"/>
          <w:sz w:val="28"/>
        </w:rPr>
        <w:t> </w:t>
      </w:r>
      <w:r>
        <w:rPr>
          <w:rFonts w:ascii="Courier New"/>
          <w:sz w:val="28"/>
        </w:rPr>
        <w:t>under</w:t>
      </w:r>
      <w:r>
        <w:rPr>
          <w:rFonts w:ascii="Courier New"/>
          <w:spacing w:val="-30"/>
          <w:sz w:val="28"/>
        </w:rPr>
        <w:t> </w:t>
      </w:r>
      <w:r>
        <w:rPr>
          <w:rFonts w:ascii="Courier New"/>
          <w:sz w:val="28"/>
        </w:rPr>
        <w:t>Section</w:t>
      </w:r>
      <w:r>
        <w:rPr>
          <w:rFonts w:ascii="Courier New"/>
          <w:spacing w:val="-26"/>
          <w:sz w:val="28"/>
        </w:rPr>
        <w:t> </w:t>
      </w:r>
      <w:r>
        <w:rPr>
          <w:rFonts w:ascii="Courier New"/>
          <w:sz w:val="28"/>
        </w:rPr>
        <w:t>57</w:t>
      </w:r>
      <w:r>
        <w:rPr>
          <w:rFonts w:ascii="Courier New"/>
          <w:spacing w:val="-31"/>
          <w:sz w:val="28"/>
        </w:rPr>
        <w:t> </w:t>
      </w:r>
      <w:r>
        <w:rPr>
          <w:rFonts w:ascii="Courier New"/>
          <w:sz w:val="28"/>
        </w:rPr>
        <w:t>of</w:t>
      </w:r>
      <w:r>
        <w:rPr>
          <w:rFonts w:ascii="Courier New"/>
          <w:spacing w:val="-30"/>
          <w:sz w:val="28"/>
        </w:rPr>
        <w:t> </w:t>
      </w:r>
      <w:r>
        <w:rPr>
          <w:rFonts w:ascii="Courier New"/>
          <w:sz w:val="28"/>
        </w:rPr>
        <w:t>the</w:t>
      </w:r>
      <w:r>
        <w:rPr>
          <w:rFonts w:ascii="Courier New"/>
          <w:spacing w:val="-30"/>
          <w:sz w:val="28"/>
        </w:rPr>
        <w:t> </w:t>
      </w:r>
      <w:r>
        <w:rPr>
          <w:rFonts w:ascii="Courier New"/>
          <w:sz w:val="28"/>
        </w:rPr>
        <w:t>Evidence Act. Therefore, there is no substance in the submission of Dr. Dhavan that Gazetteers prior to</w:t>
      </w:r>
      <w:r>
        <w:rPr>
          <w:rFonts w:ascii="Courier New"/>
          <w:spacing w:val="-66"/>
          <w:sz w:val="28"/>
        </w:rPr>
        <w:t> </w:t>
      </w:r>
      <w:r>
        <w:rPr>
          <w:rFonts w:ascii="Courier New"/>
          <w:sz w:val="28"/>
        </w:rPr>
        <w:t>1858 should not be looked</w:t>
      </w:r>
      <w:r>
        <w:rPr>
          <w:rFonts w:ascii="Courier New"/>
          <w:spacing w:val="-5"/>
          <w:sz w:val="28"/>
        </w:rPr>
        <w:t> </w:t>
      </w:r>
      <w:r>
        <w:rPr>
          <w:rFonts w:ascii="Courier New"/>
          <w:sz w:val="28"/>
        </w:rPr>
        <w:t>into.</w:t>
      </w:r>
    </w:p>
    <w:p>
      <w:pPr>
        <w:pStyle w:val="BodyText"/>
        <w:spacing w:before="10"/>
        <w:rPr>
          <w:rFonts w:ascii="Courier New"/>
          <w:sz w:val="27"/>
        </w:rPr>
      </w:pPr>
    </w:p>
    <w:p>
      <w:pPr>
        <w:pStyle w:val="ListParagraph"/>
        <w:numPr>
          <w:ilvl w:val="0"/>
          <w:numId w:val="255"/>
        </w:numPr>
        <w:tabs>
          <w:tab w:pos="897" w:val="left" w:leader="none"/>
        </w:tabs>
        <w:spacing w:line="480" w:lineRule="auto" w:before="0" w:after="0"/>
        <w:ind w:left="159" w:right="157" w:firstLine="0"/>
        <w:jc w:val="both"/>
        <w:rPr>
          <w:rFonts w:ascii="Courier New" w:hAnsi="Courier New"/>
          <w:sz w:val="28"/>
        </w:rPr>
      </w:pPr>
      <w:r>
        <w:rPr>
          <w:rFonts w:ascii="Courier New" w:hAnsi="Courier New"/>
          <w:sz w:val="28"/>
        </w:rPr>
        <w:t>During the relevant period, the first important historical book, which contains the minutest details of administration in the regime of the Akbar is A-in- i-Akbari, which was completed in Sixteenth Century. The</w:t>
      </w:r>
      <w:r>
        <w:rPr>
          <w:rFonts w:ascii="Courier New" w:hAnsi="Courier New"/>
          <w:spacing w:val="-30"/>
          <w:sz w:val="28"/>
        </w:rPr>
        <w:t> </w:t>
      </w:r>
      <w:r>
        <w:rPr>
          <w:rFonts w:ascii="Courier New" w:hAnsi="Courier New"/>
          <w:sz w:val="28"/>
        </w:rPr>
        <w:t>A-in-i-Akbari</w:t>
      </w:r>
      <w:r>
        <w:rPr>
          <w:rFonts w:ascii="Courier New" w:hAnsi="Courier New"/>
          <w:spacing w:val="-30"/>
          <w:sz w:val="28"/>
        </w:rPr>
        <w:t> </w:t>
      </w:r>
      <w:r>
        <w:rPr>
          <w:rFonts w:ascii="Courier New" w:hAnsi="Courier New"/>
          <w:sz w:val="28"/>
        </w:rPr>
        <w:t>was</w:t>
      </w:r>
      <w:r>
        <w:rPr>
          <w:rFonts w:ascii="Courier New" w:hAnsi="Courier New"/>
          <w:spacing w:val="-30"/>
          <w:sz w:val="28"/>
        </w:rPr>
        <w:t> </w:t>
      </w:r>
      <w:r>
        <w:rPr>
          <w:rFonts w:ascii="Courier New" w:hAnsi="Courier New"/>
          <w:sz w:val="28"/>
        </w:rPr>
        <w:t>work</w:t>
      </w:r>
      <w:r>
        <w:rPr>
          <w:rFonts w:ascii="Courier New" w:hAnsi="Courier New"/>
          <w:spacing w:val="-30"/>
          <w:sz w:val="28"/>
        </w:rPr>
        <w:t> </w:t>
      </w:r>
      <w:r>
        <w:rPr>
          <w:rFonts w:ascii="Courier New" w:hAnsi="Courier New"/>
          <w:sz w:val="28"/>
        </w:rPr>
        <w:t>of</w:t>
      </w:r>
      <w:r>
        <w:rPr>
          <w:rFonts w:ascii="Courier New" w:hAnsi="Courier New"/>
          <w:spacing w:val="-29"/>
          <w:sz w:val="28"/>
        </w:rPr>
        <w:t> </w:t>
      </w:r>
      <w:r>
        <w:rPr>
          <w:rFonts w:ascii="Courier New" w:hAnsi="Courier New"/>
          <w:sz w:val="28"/>
        </w:rPr>
        <w:t>Abul-Fazl</w:t>
      </w:r>
      <w:r>
        <w:rPr>
          <w:rFonts w:ascii="Courier New" w:hAnsi="Courier New"/>
          <w:spacing w:val="-30"/>
          <w:sz w:val="28"/>
        </w:rPr>
        <w:t> </w:t>
      </w:r>
      <w:r>
        <w:rPr>
          <w:rFonts w:ascii="Courier New" w:hAnsi="Courier New"/>
          <w:sz w:val="28"/>
        </w:rPr>
        <w:t>Allami,</w:t>
      </w:r>
      <w:r>
        <w:rPr>
          <w:rFonts w:ascii="Courier New" w:hAnsi="Courier New"/>
          <w:spacing w:val="-30"/>
          <w:sz w:val="28"/>
        </w:rPr>
        <w:t> </w:t>
      </w:r>
      <w:r>
        <w:rPr>
          <w:rFonts w:ascii="Courier New" w:hAnsi="Courier New"/>
          <w:sz w:val="28"/>
        </w:rPr>
        <w:t>who</w:t>
      </w:r>
      <w:r>
        <w:rPr>
          <w:rFonts w:ascii="Courier New" w:hAnsi="Courier New"/>
          <w:spacing w:val="-30"/>
          <w:sz w:val="28"/>
        </w:rPr>
        <w:t> </w:t>
      </w:r>
      <w:r>
        <w:rPr>
          <w:rFonts w:ascii="Courier New" w:hAnsi="Courier New"/>
          <w:sz w:val="28"/>
        </w:rPr>
        <w:t>was one of the Ministers in the Akbar’s Court. The A-in- i-Akbari was translated by H. Blochmann from persian to English. Col. H.S. Jarrett translated Vol. No.II. Shri Jadunath Sarkar, a Historian of repute corrected and further annotated Vol.II translated into English by</w:t>
      </w:r>
      <w:r>
        <w:rPr>
          <w:rFonts w:ascii="Courier New" w:hAnsi="Courier New"/>
          <w:spacing w:val="66"/>
          <w:sz w:val="28"/>
        </w:rPr>
        <w:t> </w:t>
      </w:r>
      <w:r>
        <w:rPr>
          <w:rFonts w:ascii="Courier New" w:hAnsi="Courier New"/>
          <w:sz w:val="28"/>
        </w:rPr>
        <w:t>Col.</w:t>
      </w:r>
      <w:r>
        <w:rPr>
          <w:rFonts w:ascii="Courier New" w:hAnsi="Courier New"/>
          <w:spacing w:val="66"/>
          <w:sz w:val="28"/>
        </w:rPr>
        <w:t> </w:t>
      </w:r>
      <w:r>
        <w:rPr>
          <w:rFonts w:ascii="Courier New" w:hAnsi="Courier New"/>
          <w:sz w:val="28"/>
        </w:rPr>
        <w:t>H.S.</w:t>
      </w:r>
      <w:r>
        <w:rPr>
          <w:rFonts w:ascii="Courier New" w:hAnsi="Courier New"/>
          <w:spacing w:val="67"/>
          <w:sz w:val="28"/>
        </w:rPr>
        <w:t> </w:t>
      </w:r>
      <w:r>
        <w:rPr>
          <w:rFonts w:ascii="Courier New" w:hAnsi="Courier New"/>
          <w:sz w:val="28"/>
        </w:rPr>
        <w:t>Jarrett.</w:t>
      </w:r>
      <w:r>
        <w:rPr>
          <w:rFonts w:ascii="Courier New" w:hAnsi="Courier New"/>
          <w:spacing w:val="135"/>
          <w:sz w:val="28"/>
        </w:rPr>
        <w:t> </w:t>
      </w:r>
      <w:r>
        <w:rPr>
          <w:rFonts w:ascii="Courier New" w:hAnsi="Courier New"/>
          <w:sz w:val="28"/>
        </w:rPr>
        <w:t>Shri</w:t>
      </w:r>
      <w:r>
        <w:rPr>
          <w:rFonts w:ascii="Courier New" w:hAnsi="Courier New"/>
          <w:spacing w:val="66"/>
          <w:sz w:val="28"/>
        </w:rPr>
        <w:t> </w:t>
      </w:r>
      <w:r>
        <w:rPr>
          <w:rFonts w:ascii="Courier New" w:hAnsi="Courier New"/>
          <w:sz w:val="28"/>
        </w:rPr>
        <w:t>Jadunath</w:t>
      </w:r>
      <w:r>
        <w:rPr>
          <w:rFonts w:ascii="Courier New" w:hAnsi="Courier New"/>
          <w:spacing w:val="66"/>
          <w:sz w:val="28"/>
        </w:rPr>
        <w:t> </w:t>
      </w:r>
      <w:r>
        <w:rPr>
          <w:rFonts w:ascii="Courier New" w:hAnsi="Courier New"/>
          <w:sz w:val="28"/>
        </w:rPr>
        <w:t>Sarkar</w:t>
      </w:r>
      <w:r>
        <w:rPr>
          <w:rFonts w:ascii="Courier New" w:hAnsi="Courier New"/>
          <w:spacing w:val="67"/>
          <w:sz w:val="28"/>
        </w:rPr>
        <w:t> </w:t>
      </w:r>
      <w:r>
        <w:rPr>
          <w:rFonts w:ascii="Courier New" w:hAnsi="Courier New"/>
          <w:sz w:val="28"/>
        </w:rPr>
        <w:t>in</w:t>
      </w:r>
      <w:r>
        <w:rPr>
          <w:rFonts w:ascii="Courier New" w:hAnsi="Courier New"/>
          <w:spacing w:val="66"/>
          <w:sz w:val="28"/>
        </w:rPr>
        <w:t> </w:t>
      </w:r>
      <w:r>
        <w:rPr>
          <w:rFonts w:ascii="Courier New" w:hAnsi="Courier New"/>
          <w:sz w:val="28"/>
        </w:rPr>
        <w:t>his</w:t>
      </w:r>
    </w:p>
    <w:p>
      <w:pPr>
        <w:spacing w:after="0" w:line="480" w:lineRule="auto"/>
        <w:jc w:val="both"/>
        <w:rPr>
          <w:rFonts w:ascii="Courier New" w:hAnsi="Courier New"/>
          <w:sz w:val="28"/>
        </w:rPr>
        <w:sectPr>
          <w:headerReference w:type="default" r:id="rId362"/>
          <w:footerReference w:type="default" r:id="rId363"/>
          <w:pgSz w:w="11910" w:h="16840"/>
          <w:pgMar w:header="0" w:footer="1063" w:top="1340" w:bottom="1260" w:left="1280" w:right="1280"/>
          <w:pgNumType w:start="76"/>
        </w:sectPr>
      </w:pPr>
    </w:p>
    <w:p>
      <w:pPr>
        <w:spacing w:line="480" w:lineRule="auto" w:before="86"/>
        <w:ind w:left="159" w:right="160" w:firstLine="0"/>
        <w:jc w:val="both"/>
        <w:rPr>
          <w:rFonts w:ascii="Courier New" w:hAnsi="Courier New"/>
          <w:sz w:val="28"/>
        </w:rPr>
      </w:pPr>
      <w:r>
        <w:rPr>
          <w:rFonts w:ascii="Courier New" w:hAnsi="Courier New"/>
          <w:sz w:val="28"/>
        </w:rPr>
        <w:t>Editor’s introduction has observed that Second volume was designated to serve as a Gazetteer of the Mughal Empire under Akbar. Jadunath Sarkar says that Third volume of the A-in-i-Akbari was encyclopedia of the religion, philosophy and sciences of the Hindus. The above was stated by Jadunath Shankar in following words:-</w:t>
      </w:r>
    </w:p>
    <w:p>
      <w:pPr>
        <w:spacing w:line="240" w:lineRule="auto" w:before="0"/>
        <w:ind w:left="1011" w:right="1245" w:firstLine="0"/>
        <w:jc w:val="both"/>
        <w:rPr>
          <w:rFonts w:ascii="Courier New" w:hAnsi="Courier New"/>
          <w:sz w:val="28"/>
        </w:rPr>
      </w:pPr>
      <w:r>
        <w:rPr>
          <w:rFonts w:ascii="Courier New" w:hAnsi="Courier New"/>
          <w:sz w:val="28"/>
        </w:rPr>
        <w:t>“The</w:t>
      </w:r>
      <w:r>
        <w:rPr>
          <w:rFonts w:ascii="Courier New" w:hAnsi="Courier New"/>
          <w:spacing w:val="-22"/>
          <w:sz w:val="28"/>
        </w:rPr>
        <w:t> </w:t>
      </w:r>
      <w:r>
        <w:rPr>
          <w:rFonts w:ascii="Courier New" w:hAnsi="Courier New"/>
          <w:sz w:val="28"/>
        </w:rPr>
        <w:t>third</w:t>
      </w:r>
      <w:r>
        <w:rPr>
          <w:rFonts w:ascii="Courier New" w:hAnsi="Courier New"/>
          <w:spacing w:val="-21"/>
          <w:sz w:val="28"/>
        </w:rPr>
        <w:t> </w:t>
      </w:r>
      <w:r>
        <w:rPr>
          <w:rFonts w:ascii="Courier New" w:hAnsi="Courier New"/>
          <w:sz w:val="28"/>
        </w:rPr>
        <w:t>volume</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the</w:t>
      </w:r>
      <w:r>
        <w:rPr>
          <w:rFonts w:ascii="Courier New" w:hAnsi="Courier New"/>
          <w:spacing w:val="-21"/>
          <w:sz w:val="28"/>
        </w:rPr>
        <w:t> </w:t>
      </w:r>
      <w:r>
        <w:rPr>
          <w:rFonts w:ascii="Courier New" w:hAnsi="Courier New"/>
          <w:sz w:val="28"/>
        </w:rPr>
        <w:t>Ain-i-Akbari</w:t>
      </w:r>
      <w:r>
        <w:rPr>
          <w:rFonts w:ascii="Courier New" w:hAnsi="Courier New"/>
          <w:spacing w:val="-22"/>
          <w:sz w:val="28"/>
        </w:rPr>
        <w:t> </w:t>
      </w:r>
      <w:r>
        <w:rPr>
          <w:rFonts w:ascii="Courier New" w:hAnsi="Courier New"/>
          <w:sz w:val="28"/>
        </w:rPr>
        <w:t>is</w:t>
      </w:r>
      <w:r>
        <w:rPr>
          <w:rFonts w:ascii="Courier New" w:hAnsi="Courier New"/>
          <w:spacing w:val="-21"/>
          <w:sz w:val="28"/>
        </w:rPr>
        <w:t> </w:t>
      </w:r>
      <w:r>
        <w:rPr>
          <w:rFonts w:ascii="Courier New" w:hAnsi="Courier New"/>
          <w:sz w:val="28"/>
        </w:rPr>
        <w:t>an encyclopedia of the religion, philosophy and</w:t>
      </w:r>
      <w:r>
        <w:rPr>
          <w:rFonts w:ascii="Courier New" w:hAnsi="Courier New"/>
          <w:spacing w:val="-22"/>
          <w:sz w:val="28"/>
        </w:rPr>
        <w:t> </w:t>
      </w:r>
      <w:r>
        <w:rPr>
          <w:rFonts w:ascii="Courier New" w:hAnsi="Courier New"/>
          <w:sz w:val="28"/>
        </w:rPr>
        <w:t>sciences</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Hindus,</w:t>
      </w:r>
      <w:r>
        <w:rPr>
          <w:rFonts w:ascii="Courier New" w:hAnsi="Courier New"/>
          <w:spacing w:val="-21"/>
          <w:sz w:val="28"/>
        </w:rPr>
        <w:t> </w:t>
      </w:r>
      <w:r>
        <w:rPr>
          <w:rFonts w:ascii="Courier New" w:hAnsi="Courier New"/>
          <w:sz w:val="28"/>
        </w:rPr>
        <w:t>preceded</w:t>
      </w:r>
      <w:r>
        <w:rPr>
          <w:rFonts w:ascii="Courier New" w:hAnsi="Courier New"/>
          <w:spacing w:val="-22"/>
          <w:sz w:val="28"/>
        </w:rPr>
        <w:t> </w:t>
      </w:r>
      <w:r>
        <w:rPr>
          <w:rFonts w:ascii="Courier New" w:hAnsi="Courier New"/>
          <w:sz w:val="28"/>
        </w:rPr>
        <w:t>by</w:t>
      </w:r>
      <w:r>
        <w:rPr>
          <w:rFonts w:ascii="Courier New" w:hAnsi="Courier New"/>
          <w:spacing w:val="-22"/>
          <w:sz w:val="28"/>
        </w:rPr>
        <w:t> </w:t>
      </w:r>
      <w:r>
        <w:rPr>
          <w:rFonts w:ascii="Courier New" w:hAnsi="Courier New"/>
          <w:sz w:val="28"/>
        </w:rPr>
        <w:t>the chronology and cosmography of the Muslims, as required by literary convention, for comparison</w:t>
      </w:r>
      <w:r>
        <w:rPr>
          <w:rFonts w:ascii="Courier New" w:hAnsi="Courier New"/>
          <w:spacing w:val="-22"/>
          <w:sz w:val="28"/>
        </w:rPr>
        <w:t> </w:t>
      </w:r>
      <w:r>
        <w:rPr>
          <w:rFonts w:ascii="Courier New" w:hAnsi="Courier New"/>
          <w:sz w:val="28"/>
        </w:rPr>
        <w:t>with</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Hindu</w:t>
      </w:r>
      <w:r>
        <w:rPr>
          <w:rFonts w:ascii="Courier New" w:hAnsi="Courier New"/>
          <w:spacing w:val="-22"/>
          <w:sz w:val="28"/>
        </w:rPr>
        <w:t> </w:t>
      </w:r>
      <w:r>
        <w:rPr>
          <w:rFonts w:ascii="Courier New" w:hAnsi="Courier New"/>
          <w:sz w:val="28"/>
        </w:rPr>
        <w:t>ideas</w:t>
      </w:r>
      <w:r>
        <w:rPr>
          <w:rFonts w:ascii="Courier New" w:hAnsi="Courier New"/>
          <w:spacing w:val="-21"/>
          <w:sz w:val="28"/>
        </w:rPr>
        <w:t> </w:t>
      </w:r>
      <w:r>
        <w:rPr>
          <w:rFonts w:ascii="Courier New" w:hAnsi="Courier New"/>
          <w:sz w:val="28"/>
        </w:rPr>
        <w:t>on</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same subjects. The second volume was designed to</w:t>
      </w:r>
      <w:r>
        <w:rPr>
          <w:rFonts w:ascii="Courier New" w:hAnsi="Courier New"/>
          <w:spacing w:val="-42"/>
          <w:sz w:val="28"/>
        </w:rPr>
        <w:t> </w:t>
      </w:r>
      <w:r>
        <w:rPr>
          <w:rFonts w:ascii="Courier New" w:hAnsi="Courier New"/>
          <w:sz w:val="28"/>
        </w:rPr>
        <w:t>serve</w:t>
      </w:r>
      <w:r>
        <w:rPr>
          <w:rFonts w:ascii="Courier New" w:hAnsi="Courier New"/>
          <w:spacing w:val="-40"/>
          <w:sz w:val="28"/>
        </w:rPr>
        <w:t> </w:t>
      </w:r>
      <w:r>
        <w:rPr>
          <w:rFonts w:ascii="Courier New" w:hAnsi="Courier New"/>
          <w:sz w:val="28"/>
        </w:rPr>
        <w:t>as</w:t>
      </w:r>
      <w:r>
        <w:rPr>
          <w:rFonts w:ascii="Courier New" w:hAnsi="Courier New"/>
          <w:spacing w:val="-41"/>
          <w:sz w:val="28"/>
        </w:rPr>
        <w:t> </w:t>
      </w:r>
      <w:r>
        <w:rPr>
          <w:rFonts w:ascii="Courier New" w:hAnsi="Courier New"/>
          <w:sz w:val="28"/>
        </w:rPr>
        <w:t>a</w:t>
      </w:r>
      <w:r>
        <w:rPr>
          <w:rFonts w:ascii="Courier New" w:hAnsi="Courier New"/>
          <w:spacing w:val="-41"/>
          <w:sz w:val="28"/>
        </w:rPr>
        <w:t> </w:t>
      </w:r>
      <w:r>
        <w:rPr>
          <w:rFonts w:ascii="Courier New" w:hAnsi="Courier New"/>
          <w:sz w:val="28"/>
        </w:rPr>
        <w:t>Gazetteer</w:t>
      </w:r>
      <w:r>
        <w:rPr>
          <w:rFonts w:ascii="Courier New" w:hAnsi="Courier New"/>
          <w:spacing w:val="-41"/>
          <w:sz w:val="28"/>
        </w:rPr>
        <w:t> </w:t>
      </w:r>
      <w:r>
        <w:rPr>
          <w:rFonts w:ascii="Courier New" w:hAnsi="Courier New"/>
          <w:sz w:val="28"/>
        </w:rPr>
        <w:t>of</w:t>
      </w:r>
      <w:r>
        <w:rPr>
          <w:rFonts w:ascii="Courier New" w:hAnsi="Courier New"/>
          <w:spacing w:val="-42"/>
          <w:sz w:val="28"/>
        </w:rPr>
        <w:t> </w:t>
      </w:r>
      <w:r>
        <w:rPr>
          <w:rFonts w:ascii="Courier New" w:hAnsi="Courier New"/>
          <w:sz w:val="28"/>
        </w:rPr>
        <w:t>the</w:t>
      </w:r>
      <w:r>
        <w:rPr>
          <w:rFonts w:ascii="Courier New" w:hAnsi="Courier New"/>
          <w:spacing w:val="-38"/>
          <w:sz w:val="28"/>
        </w:rPr>
        <w:t> </w:t>
      </w:r>
      <w:r>
        <w:rPr>
          <w:rFonts w:ascii="Courier New" w:hAnsi="Courier New"/>
          <w:sz w:val="28"/>
        </w:rPr>
        <w:t>Mughal</w:t>
      </w:r>
      <w:r>
        <w:rPr>
          <w:rFonts w:ascii="Courier New" w:hAnsi="Courier New"/>
          <w:spacing w:val="-41"/>
          <w:sz w:val="28"/>
        </w:rPr>
        <w:t> </w:t>
      </w:r>
      <w:r>
        <w:rPr>
          <w:rFonts w:ascii="Courier New" w:hAnsi="Courier New"/>
          <w:sz w:val="28"/>
        </w:rPr>
        <w:t>Empire under Akbar. Its value lies in its minute topographical descriptions and statistics about numberless small places and its survey of the Empire’s finances, trade and industry, castes and</w:t>
      </w:r>
      <w:r>
        <w:rPr>
          <w:rFonts w:ascii="Courier New" w:hAnsi="Courier New"/>
          <w:spacing w:val="-6"/>
          <w:sz w:val="28"/>
        </w:rPr>
        <w:t> </w:t>
      </w:r>
      <w:r>
        <w:rPr>
          <w:rFonts w:ascii="Courier New" w:hAnsi="Courier New"/>
          <w:sz w:val="28"/>
        </w:rPr>
        <w:t>tribes.”</w:t>
      </w:r>
    </w:p>
    <w:p>
      <w:pPr>
        <w:pStyle w:val="BodyText"/>
        <w:rPr>
          <w:rFonts w:ascii="Courier New"/>
          <w:sz w:val="32"/>
        </w:rPr>
      </w:pPr>
    </w:p>
    <w:p>
      <w:pPr>
        <w:pStyle w:val="ListParagraph"/>
        <w:numPr>
          <w:ilvl w:val="0"/>
          <w:numId w:val="255"/>
        </w:numPr>
        <w:tabs>
          <w:tab w:pos="827" w:val="left" w:leader="none"/>
        </w:tabs>
        <w:spacing w:line="480" w:lineRule="auto" w:before="272" w:after="0"/>
        <w:ind w:left="159" w:right="159" w:firstLine="0"/>
        <w:jc w:val="both"/>
        <w:rPr>
          <w:rFonts w:ascii="Courier New"/>
          <w:sz w:val="28"/>
        </w:rPr>
      </w:pPr>
      <w:r>
        <w:rPr>
          <w:rFonts w:ascii="Courier New"/>
          <w:sz w:val="28"/>
        </w:rPr>
        <w:t>In second volume of the A-in-i-Akbari details</w:t>
      </w:r>
      <w:r>
        <w:rPr>
          <w:rFonts w:ascii="Courier New"/>
          <w:spacing w:val="-61"/>
          <w:sz w:val="28"/>
        </w:rPr>
        <w:t> </w:t>
      </w:r>
      <w:r>
        <w:rPr>
          <w:rFonts w:ascii="Courier New"/>
          <w:sz w:val="28"/>
        </w:rPr>
        <w:t>have been</w:t>
      </w:r>
      <w:r>
        <w:rPr>
          <w:rFonts w:ascii="Courier New"/>
          <w:spacing w:val="-31"/>
          <w:sz w:val="28"/>
        </w:rPr>
        <w:t> </w:t>
      </w:r>
      <w:r>
        <w:rPr>
          <w:rFonts w:ascii="Courier New"/>
          <w:sz w:val="28"/>
        </w:rPr>
        <w:t>given</w:t>
      </w:r>
      <w:r>
        <w:rPr>
          <w:rFonts w:ascii="Courier New"/>
          <w:spacing w:val="-30"/>
          <w:sz w:val="28"/>
        </w:rPr>
        <w:t> </w:t>
      </w:r>
      <w:r>
        <w:rPr>
          <w:rFonts w:ascii="Courier New"/>
          <w:sz w:val="28"/>
        </w:rPr>
        <w:t>regarding</w:t>
      </w:r>
      <w:r>
        <w:rPr>
          <w:rFonts w:ascii="Courier New"/>
          <w:spacing w:val="-30"/>
          <w:sz w:val="28"/>
        </w:rPr>
        <w:t> </w:t>
      </w:r>
      <w:r>
        <w:rPr>
          <w:rFonts w:ascii="Courier New"/>
          <w:sz w:val="28"/>
        </w:rPr>
        <w:t>"The</w:t>
      </w:r>
      <w:r>
        <w:rPr>
          <w:rFonts w:ascii="Courier New"/>
          <w:spacing w:val="-30"/>
          <w:sz w:val="28"/>
        </w:rPr>
        <w:t> </w:t>
      </w:r>
      <w:r>
        <w:rPr>
          <w:rFonts w:ascii="Courier New"/>
          <w:sz w:val="28"/>
        </w:rPr>
        <w:t>Subah</w:t>
      </w:r>
      <w:r>
        <w:rPr>
          <w:rFonts w:ascii="Courier New"/>
          <w:spacing w:val="-30"/>
          <w:sz w:val="28"/>
        </w:rPr>
        <w:t> </w:t>
      </w:r>
      <w:r>
        <w:rPr>
          <w:rFonts w:ascii="Courier New"/>
          <w:sz w:val="28"/>
        </w:rPr>
        <w:t>of</w:t>
      </w:r>
      <w:r>
        <w:rPr>
          <w:rFonts w:ascii="Courier New"/>
          <w:spacing w:val="-30"/>
          <w:sz w:val="28"/>
        </w:rPr>
        <w:t> </w:t>
      </w:r>
      <w:r>
        <w:rPr>
          <w:rFonts w:ascii="Courier New"/>
          <w:sz w:val="28"/>
        </w:rPr>
        <w:t>Oudh",</w:t>
      </w:r>
      <w:r>
        <w:rPr>
          <w:rFonts w:ascii="Courier New"/>
          <w:spacing w:val="-31"/>
          <w:sz w:val="28"/>
        </w:rPr>
        <w:t> </w:t>
      </w:r>
      <w:r>
        <w:rPr>
          <w:rFonts w:ascii="Courier New"/>
          <w:sz w:val="28"/>
        </w:rPr>
        <w:t>a</w:t>
      </w:r>
      <w:r>
        <w:rPr>
          <w:rFonts w:ascii="Courier New"/>
          <w:spacing w:val="-30"/>
          <w:sz w:val="28"/>
        </w:rPr>
        <w:t> </w:t>
      </w:r>
      <w:r>
        <w:rPr>
          <w:rFonts w:ascii="Courier New"/>
          <w:sz w:val="28"/>
        </w:rPr>
        <w:t>description of Awadh (Ayodhya) mentioned that Awadh (Ayodhya) is one of the largest cities of India. The description refers to Oudh as residence of Ramchandra following</w:t>
      </w:r>
      <w:r>
        <w:rPr>
          <w:rFonts w:ascii="Courier New"/>
          <w:spacing w:val="-67"/>
          <w:sz w:val="28"/>
        </w:rPr>
        <w:t> </w:t>
      </w:r>
      <w:r>
        <w:rPr>
          <w:rFonts w:ascii="Courier New"/>
          <w:sz w:val="28"/>
        </w:rPr>
        <w:t>is the description given at page 182</w:t>
      </w:r>
      <w:r>
        <w:rPr>
          <w:rFonts w:ascii="Courier New"/>
          <w:spacing w:val="-10"/>
          <w:sz w:val="28"/>
        </w:rPr>
        <w:t> </w:t>
      </w:r>
      <w:r>
        <w:rPr>
          <w:rFonts w:ascii="Courier New"/>
          <w:sz w:val="28"/>
        </w:rPr>
        <w:t>Vol.2:-</w:t>
      </w:r>
    </w:p>
    <w:p>
      <w:pPr>
        <w:spacing w:before="0"/>
        <w:ind w:left="1011" w:right="1247" w:firstLine="0"/>
        <w:jc w:val="both"/>
        <w:rPr>
          <w:rFonts w:ascii="Courier New" w:hAnsi="Courier New"/>
          <w:sz w:val="28"/>
        </w:rPr>
      </w:pPr>
      <w:r>
        <w:rPr>
          <w:rFonts w:ascii="Courier New" w:hAnsi="Courier New"/>
          <w:sz w:val="28"/>
        </w:rPr>
        <w:t>“Awadh (Ajodhya) is one of the largest cities of India. In is situated in</w:t>
      </w:r>
    </w:p>
    <w:p>
      <w:pPr>
        <w:spacing w:after="0"/>
        <w:jc w:val="both"/>
        <w:rPr>
          <w:rFonts w:ascii="Courier New" w:hAnsi="Courier New"/>
          <w:sz w:val="28"/>
        </w:rPr>
        <w:sectPr>
          <w:headerReference w:type="default" r:id="rId364"/>
          <w:footerReference w:type="default" r:id="rId365"/>
          <w:pgSz w:w="11910" w:h="16840"/>
          <w:pgMar w:header="0" w:footer="1063" w:top="1340" w:bottom="1260" w:left="1280" w:right="1280"/>
          <w:pgNumType w:start="77"/>
        </w:sectPr>
      </w:pPr>
    </w:p>
    <w:p>
      <w:pPr>
        <w:spacing w:line="240" w:lineRule="auto" w:before="86"/>
        <w:ind w:left="1012" w:right="1246" w:hanging="1"/>
        <w:jc w:val="both"/>
        <w:rPr>
          <w:rFonts w:ascii="Courier New" w:hAnsi="Courier New"/>
          <w:sz w:val="28"/>
        </w:rPr>
      </w:pPr>
      <w:r>
        <w:rPr>
          <w:rFonts w:ascii="Courier New" w:hAnsi="Courier New"/>
          <w:sz w:val="28"/>
        </w:rPr>
        <w:t>longitude</w:t>
      </w:r>
      <w:r>
        <w:rPr>
          <w:rFonts w:ascii="Courier New" w:hAnsi="Courier New"/>
          <w:spacing w:val="-32"/>
          <w:sz w:val="28"/>
        </w:rPr>
        <w:t> </w:t>
      </w:r>
      <w:r>
        <w:rPr>
          <w:rFonts w:ascii="Courier New" w:hAnsi="Courier New"/>
          <w:sz w:val="28"/>
        </w:rPr>
        <w:t>118</w:t>
      </w:r>
      <w:r>
        <w:rPr>
          <w:rFonts w:ascii="Courier New" w:hAnsi="Courier New"/>
          <w:position w:val="8"/>
          <w:sz w:val="18"/>
        </w:rPr>
        <w:t>o</w:t>
      </w:r>
      <w:r>
        <w:rPr>
          <w:rFonts w:ascii="Courier New" w:hAnsi="Courier New"/>
          <w:spacing w:val="-17"/>
          <w:position w:val="8"/>
          <w:sz w:val="18"/>
        </w:rPr>
        <w:t> </w:t>
      </w:r>
      <w:r>
        <w:rPr>
          <w:rFonts w:ascii="Courier New" w:hAnsi="Courier New"/>
          <w:sz w:val="28"/>
        </w:rPr>
        <w:t>6’,</w:t>
      </w:r>
      <w:r>
        <w:rPr>
          <w:rFonts w:ascii="Courier New" w:hAnsi="Courier New"/>
          <w:spacing w:val="-32"/>
          <w:sz w:val="28"/>
        </w:rPr>
        <w:t> </w:t>
      </w:r>
      <w:r>
        <w:rPr>
          <w:rFonts w:ascii="Courier New" w:hAnsi="Courier New"/>
          <w:sz w:val="28"/>
        </w:rPr>
        <w:t>and</w:t>
      </w:r>
      <w:r>
        <w:rPr>
          <w:rFonts w:ascii="Courier New" w:hAnsi="Courier New"/>
          <w:spacing w:val="-31"/>
          <w:sz w:val="28"/>
        </w:rPr>
        <w:t> </w:t>
      </w:r>
      <w:r>
        <w:rPr>
          <w:rFonts w:ascii="Courier New" w:hAnsi="Courier New"/>
          <w:sz w:val="28"/>
        </w:rPr>
        <w:t>latitude</w:t>
      </w:r>
      <w:r>
        <w:rPr>
          <w:rFonts w:ascii="Courier New" w:hAnsi="Courier New"/>
          <w:spacing w:val="-31"/>
          <w:sz w:val="28"/>
        </w:rPr>
        <w:t> </w:t>
      </w:r>
      <w:r>
        <w:rPr>
          <w:rFonts w:ascii="Courier New" w:hAnsi="Courier New"/>
          <w:sz w:val="28"/>
        </w:rPr>
        <w:t>27</w:t>
      </w:r>
      <w:r>
        <w:rPr>
          <w:rFonts w:ascii="Courier New" w:hAnsi="Courier New"/>
          <w:spacing w:val="-78"/>
          <w:sz w:val="28"/>
        </w:rPr>
        <w:t> </w:t>
      </w:r>
      <w:r>
        <w:rPr>
          <w:rFonts w:ascii="Courier New" w:hAnsi="Courier New"/>
          <w:position w:val="8"/>
          <w:sz w:val="18"/>
        </w:rPr>
        <w:t>o</w:t>
      </w:r>
      <w:r>
        <w:rPr>
          <w:rFonts w:ascii="Courier New" w:hAnsi="Courier New"/>
          <w:sz w:val="28"/>
        </w:rPr>
        <w:t>,</w:t>
      </w:r>
      <w:r>
        <w:rPr>
          <w:rFonts w:ascii="Courier New" w:hAnsi="Courier New"/>
          <w:spacing w:val="-31"/>
          <w:sz w:val="28"/>
        </w:rPr>
        <w:t> </w:t>
      </w:r>
      <w:r>
        <w:rPr>
          <w:rFonts w:ascii="Courier New" w:hAnsi="Courier New"/>
          <w:sz w:val="28"/>
        </w:rPr>
        <w:t>22.</w:t>
      </w:r>
      <w:r>
        <w:rPr>
          <w:rFonts w:ascii="Courier New" w:hAnsi="Courier New"/>
          <w:spacing w:val="107"/>
          <w:sz w:val="28"/>
        </w:rPr>
        <w:t> </w:t>
      </w:r>
      <w:r>
        <w:rPr>
          <w:rFonts w:ascii="Courier New" w:hAnsi="Courier New"/>
          <w:sz w:val="28"/>
        </w:rPr>
        <w:t>It ancient times its populous site covered an extent of 148 kos in length and 36 in breadth, and it is esteemed one of the holiest places of antiquity. Around the environs of the city, they sift the earth and gold is obtained. It was the residence of Ramachandra who in the Treta age combined in his own person both the spiritual</w:t>
      </w:r>
      <w:r>
        <w:rPr>
          <w:rFonts w:ascii="Courier New" w:hAnsi="Courier New"/>
          <w:spacing w:val="-32"/>
          <w:sz w:val="28"/>
        </w:rPr>
        <w:t> </w:t>
      </w:r>
      <w:r>
        <w:rPr>
          <w:rFonts w:ascii="Courier New" w:hAnsi="Courier New"/>
          <w:sz w:val="28"/>
        </w:rPr>
        <w:t>supremacy</w:t>
      </w:r>
      <w:r>
        <w:rPr>
          <w:rFonts w:ascii="Courier New" w:hAnsi="Courier New"/>
          <w:spacing w:val="-31"/>
          <w:sz w:val="28"/>
        </w:rPr>
        <w:t> </w:t>
      </w:r>
      <w:r>
        <w:rPr>
          <w:rFonts w:ascii="Courier New" w:hAnsi="Courier New"/>
          <w:sz w:val="28"/>
        </w:rPr>
        <w:t>and</w:t>
      </w:r>
      <w:r>
        <w:rPr>
          <w:rFonts w:ascii="Courier New" w:hAnsi="Courier New"/>
          <w:spacing w:val="-32"/>
          <w:sz w:val="28"/>
        </w:rPr>
        <w:t> </w:t>
      </w:r>
      <w:r>
        <w:rPr>
          <w:rFonts w:ascii="Courier New" w:hAnsi="Courier New"/>
          <w:sz w:val="28"/>
        </w:rPr>
        <w:t>the</w:t>
      </w:r>
      <w:r>
        <w:rPr>
          <w:rFonts w:ascii="Courier New" w:hAnsi="Courier New"/>
          <w:spacing w:val="-31"/>
          <w:sz w:val="28"/>
        </w:rPr>
        <w:t> </w:t>
      </w:r>
      <w:r>
        <w:rPr>
          <w:rFonts w:ascii="Courier New" w:hAnsi="Courier New"/>
          <w:sz w:val="28"/>
        </w:rPr>
        <w:t>kingly</w:t>
      </w:r>
      <w:r>
        <w:rPr>
          <w:rFonts w:ascii="Courier New" w:hAnsi="Courier New"/>
          <w:spacing w:val="-32"/>
          <w:sz w:val="28"/>
        </w:rPr>
        <w:t> </w:t>
      </w:r>
      <w:r>
        <w:rPr>
          <w:rFonts w:ascii="Courier New" w:hAnsi="Courier New"/>
          <w:sz w:val="28"/>
        </w:rPr>
        <w:t>office.”</w:t>
      </w:r>
    </w:p>
    <w:p>
      <w:pPr>
        <w:pStyle w:val="BodyText"/>
        <w:rPr>
          <w:rFonts w:ascii="Courier New"/>
          <w:sz w:val="32"/>
        </w:rPr>
      </w:pPr>
    </w:p>
    <w:p>
      <w:pPr>
        <w:pStyle w:val="ListParagraph"/>
        <w:numPr>
          <w:ilvl w:val="0"/>
          <w:numId w:val="255"/>
        </w:numPr>
        <w:tabs>
          <w:tab w:pos="849" w:val="left" w:leader="none"/>
        </w:tabs>
        <w:spacing w:line="480" w:lineRule="auto" w:before="272" w:after="0"/>
        <w:ind w:left="160" w:right="141" w:firstLine="0"/>
        <w:jc w:val="both"/>
        <w:rPr>
          <w:rFonts w:ascii="Courier New" w:hAnsi="Courier New"/>
          <w:sz w:val="28"/>
        </w:rPr>
      </w:pPr>
      <w:r>
        <w:rPr>
          <w:rFonts w:ascii="Courier New" w:hAnsi="Courier New"/>
          <w:sz w:val="28"/>
        </w:rPr>
        <w:t>Further Volume III, Chapter VI contains a heading "The Eighteen Sciences”. The description refers to Vedas and 18 Puranas and other religious texts. The book also refers to Avatars (incarnation of the</w:t>
      </w:r>
      <w:r>
        <w:rPr>
          <w:rFonts w:ascii="Courier New" w:hAnsi="Courier New"/>
          <w:spacing w:val="-46"/>
          <w:sz w:val="28"/>
        </w:rPr>
        <w:t> </w:t>
      </w:r>
      <w:r>
        <w:rPr>
          <w:rFonts w:ascii="Courier New" w:hAnsi="Courier New"/>
          <w:sz w:val="28"/>
        </w:rPr>
        <w:t>Deity) in the following</w:t>
      </w:r>
      <w:r>
        <w:rPr>
          <w:rFonts w:ascii="Courier New" w:hAnsi="Courier New"/>
          <w:spacing w:val="-4"/>
          <w:sz w:val="28"/>
        </w:rPr>
        <w:t> </w:t>
      </w:r>
      <w:r>
        <w:rPr>
          <w:rFonts w:ascii="Courier New" w:hAnsi="Courier New"/>
          <w:sz w:val="28"/>
        </w:rPr>
        <w:t>words:-</w:t>
      </w:r>
    </w:p>
    <w:p>
      <w:pPr>
        <w:spacing w:before="0"/>
        <w:ind w:left="3800" w:right="4034" w:firstLine="0"/>
        <w:jc w:val="center"/>
        <w:rPr>
          <w:rFonts w:ascii="Courier New" w:hAnsi="Courier New"/>
          <w:sz w:val="28"/>
        </w:rPr>
      </w:pPr>
      <w:r>
        <w:rPr>
          <w:rFonts w:ascii="Courier New" w:hAnsi="Courier New"/>
          <w:sz w:val="28"/>
        </w:rPr>
        <w:t>“Avataras or</w:t>
      </w:r>
    </w:p>
    <w:p>
      <w:pPr>
        <w:spacing w:line="316" w:lineRule="exact" w:before="0"/>
        <w:ind w:left="559" w:right="793" w:firstLine="0"/>
        <w:jc w:val="center"/>
        <w:rPr>
          <w:rFonts w:ascii="Courier New"/>
          <w:sz w:val="28"/>
        </w:rPr>
      </w:pPr>
      <w:r>
        <w:rPr>
          <w:rFonts w:ascii="Courier New"/>
          <w:sz w:val="28"/>
        </w:rPr>
        <w:t>Incarnations of the Deity</w:t>
      </w:r>
    </w:p>
    <w:p>
      <w:pPr>
        <w:pStyle w:val="BodyText"/>
        <w:spacing w:before="11"/>
        <w:rPr>
          <w:rFonts w:ascii="Courier New"/>
          <w:sz w:val="27"/>
        </w:rPr>
      </w:pPr>
    </w:p>
    <w:p>
      <w:pPr>
        <w:spacing w:line="240" w:lineRule="auto" w:before="0"/>
        <w:ind w:left="1012" w:right="1245" w:firstLine="566"/>
        <w:jc w:val="both"/>
        <w:rPr>
          <w:rFonts w:ascii="Courier New"/>
          <w:sz w:val="28"/>
        </w:rPr>
      </w:pPr>
      <w:r>
        <w:rPr>
          <w:rFonts w:ascii="Courier New"/>
          <w:sz w:val="28"/>
        </w:rPr>
        <w:t>They believe that the Supreme Being in the wisdom of His counsel, assumes an elementary form of a special character for the good of the creation, and many of the wisest of the Hindus accept this doctrine. Such a complete incarnation is called Purnavatara, and that principle which in some created forms is scintillant with the rays of the divinity and bestows extraordinary powers is called Ansavatara or partial incarnation. These latter will not be here</w:t>
      </w:r>
      <w:r>
        <w:rPr>
          <w:rFonts w:ascii="Courier New"/>
          <w:spacing w:val="-5"/>
          <w:sz w:val="28"/>
        </w:rPr>
        <w:t> </w:t>
      </w:r>
      <w:r>
        <w:rPr>
          <w:rFonts w:ascii="Courier New"/>
          <w:sz w:val="28"/>
        </w:rPr>
        <w:t>considered.</w:t>
      </w:r>
    </w:p>
    <w:p>
      <w:pPr>
        <w:pStyle w:val="BodyText"/>
        <w:spacing w:before="10"/>
        <w:rPr>
          <w:rFonts w:ascii="Courier New"/>
          <w:sz w:val="27"/>
        </w:rPr>
      </w:pPr>
    </w:p>
    <w:p>
      <w:pPr>
        <w:spacing w:line="240" w:lineRule="auto" w:before="0"/>
        <w:ind w:left="1012" w:right="1244" w:firstLine="566"/>
        <w:jc w:val="both"/>
        <w:rPr>
          <w:rFonts w:ascii="Courier New" w:hAnsi="Courier New"/>
          <w:sz w:val="28"/>
        </w:rPr>
      </w:pPr>
      <w:r>
        <w:rPr>
          <w:rFonts w:ascii="Courier New" w:hAnsi="Courier New"/>
          <w:sz w:val="28"/>
        </w:rPr>
        <w:t>Of the first kind they say that in the whole four Yugas, ten manifestations will take place, and that nine have up to the present time</w:t>
      </w:r>
      <w:r>
        <w:rPr>
          <w:rFonts w:ascii="Courier New" w:hAnsi="Courier New"/>
          <w:spacing w:val="-3"/>
          <w:sz w:val="28"/>
        </w:rPr>
        <w:t> </w:t>
      </w:r>
      <w:r>
        <w:rPr>
          <w:rFonts w:ascii="Courier New" w:hAnsi="Courier New"/>
          <w:sz w:val="28"/>
        </w:rPr>
        <w:t>appeared.”</w:t>
      </w:r>
    </w:p>
    <w:p>
      <w:pPr>
        <w:spacing w:after="0" w:line="240" w:lineRule="auto"/>
        <w:jc w:val="both"/>
        <w:rPr>
          <w:rFonts w:ascii="Courier New" w:hAnsi="Courier New"/>
          <w:sz w:val="28"/>
        </w:rPr>
        <w:sectPr>
          <w:headerReference w:type="default" r:id="rId366"/>
          <w:footerReference w:type="default" r:id="rId367"/>
          <w:pgSz w:w="11910" w:h="16840"/>
          <w:pgMar w:header="0" w:footer="1063" w:top="1340" w:bottom="1260" w:left="1280" w:right="1280"/>
          <w:pgNumType w:start="78"/>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6"/>
        <w:rPr>
          <w:rFonts w:ascii="Courier New"/>
          <w:sz w:val="29"/>
        </w:rPr>
      </w:pPr>
    </w:p>
    <w:p>
      <w:pPr>
        <w:pStyle w:val="ListParagraph"/>
        <w:numPr>
          <w:ilvl w:val="0"/>
          <w:numId w:val="255"/>
        </w:numPr>
        <w:tabs>
          <w:tab w:pos="801" w:val="left" w:leader="none"/>
        </w:tabs>
        <w:spacing w:line="480" w:lineRule="auto" w:before="101" w:after="0"/>
        <w:ind w:left="160" w:right="254" w:firstLine="0"/>
        <w:jc w:val="both"/>
        <w:rPr>
          <w:rFonts w:ascii="Courier New"/>
          <w:sz w:val="28"/>
        </w:rPr>
      </w:pPr>
      <w:r>
        <w:rPr>
          <w:rFonts w:ascii="Courier New"/>
          <w:sz w:val="28"/>
        </w:rPr>
        <w:t>The</w:t>
      </w:r>
      <w:r>
        <w:rPr>
          <w:rFonts w:ascii="Courier New"/>
          <w:spacing w:val="-33"/>
          <w:sz w:val="28"/>
        </w:rPr>
        <w:t> </w:t>
      </w:r>
      <w:r>
        <w:rPr>
          <w:rFonts w:ascii="Courier New"/>
          <w:sz w:val="28"/>
        </w:rPr>
        <w:t>book</w:t>
      </w:r>
      <w:r>
        <w:rPr>
          <w:rFonts w:ascii="Courier New"/>
          <w:spacing w:val="-33"/>
          <w:sz w:val="28"/>
        </w:rPr>
        <w:t> </w:t>
      </w:r>
      <w:r>
        <w:rPr>
          <w:rFonts w:ascii="Courier New"/>
          <w:sz w:val="28"/>
        </w:rPr>
        <w:t>have</w:t>
      </w:r>
      <w:r>
        <w:rPr>
          <w:rFonts w:ascii="Courier New"/>
          <w:spacing w:val="-33"/>
          <w:sz w:val="28"/>
        </w:rPr>
        <w:t> </w:t>
      </w:r>
      <w:r>
        <w:rPr>
          <w:rFonts w:ascii="Courier New"/>
          <w:sz w:val="28"/>
        </w:rPr>
        <w:t>details</w:t>
      </w:r>
      <w:r>
        <w:rPr>
          <w:rFonts w:ascii="Courier New"/>
          <w:spacing w:val="-33"/>
          <w:sz w:val="28"/>
        </w:rPr>
        <w:t> </w:t>
      </w:r>
      <w:r>
        <w:rPr>
          <w:rFonts w:ascii="Courier New"/>
          <w:sz w:val="28"/>
        </w:rPr>
        <w:t>of</w:t>
      </w:r>
      <w:r>
        <w:rPr>
          <w:rFonts w:ascii="Courier New"/>
          <w:spacing w:val="-33"/>
          <w:sz w:val="28"/>
        </w:rPr>
        <w:t> </w:t>
      </w:r>
      <w:r>
        <w:rPr>
          <w:rFonts w:ascii="Courier New"/>
          <w:sz w:val="28"/>
        </w:rPr>
        <w:t>9</w:t>
      </w:r>
      <w:r>
        <w:rPr>
          <w:rFonts w:ascii="Courier New"/>
          <w:spacing w:val="-31"/>
          <w:sz w:val="28"/>
        </w:rPr>
        <w:t> </w:t>
      </w:r>
      <w:r>
        <w:rPr>
          <w:rFonts w:ascii="Courier New"/>
          <w:sz w:val="28"/>
        </w:rPr>
        <w:t>avatars</w:t>
      </w:r>
      <w:r>
        <w:rPr>
          <w:rFonts w:ascii="Courier New"/>
          <w:spacing w:val="-33"/>
          <w:sz w:val="28"/>
        </w:rPr>
        <w:t> </w:t>
      </w:r>
      <w:r>
        <w:rPr>
          <w:rFonts w:ascii="Courier New"/>
          <w:sz w:val="28"/>
        </w:rPr>
        <w:t>of</w:t>
      </w:r>
      <w:r>
        <w:rPr>
          <w:rFonts w:ascii="Courier New"/>
          <w:spacing w:val="-32"/>
          <w:sz w:val="28"/>
        </w:rPr>
        <w:t> </w:t>
      </w:r>
      <w:r>
        <w:rPr>
          <w:rFonts w:ascii="Courier New"/>
          <w:sz w:val="28"/>
        </w:rPr>
        <w:t>Supreme</w:t>
      </w:r>
      <w:r>
        <w:rPr>
          <w:rFonts w:ascii="Courier New"/>
          <w:spacing w:val="-33"/>
          <w:sz w:val="28"/>
        </w:rPr>
        <w:t> </w:t>
      </w:r>
      <w:r>
        <w:rPr>
          <w:rFonts w:ascii="Courier New"/>
          <w:sz w:val="28"/>
        </w:rPr>
        <w:t>Being (Lord Vishnu) Ram Avatar or Ram incarnation has also been mentioned in following</w:t>
      </w:r>
      <w:r>
        <w:rPr>
          <w:rFonts w:ascii="Courier New"/>
          <w:spacing w:val="-7"/>
          <w:sz w:val="28"/>
        </w:rPr>
        <w:t> </w:t>
      </w:r>
      <w:r>
        <w:rPr>
          <w:rFonts w:ascii="Courier New"/>
          <w:sz w:val="28"/>
        </w:rPr>
        <w:t>words:-</w:t>
      </w:r>
    </w:p>
    <w:p>
      <w:pPr>
        <w:spacing w:before="0"/>
        <w:ind w:left="3548" w:right="3783" w:firstLine="0"/>
        <w:jc w:val="center"/>
        <w:rPr>
          <w:rFonts w:ascii="Courier New" w:hAnsi="Courier New"/>
          <w:sz w:val="28"/>
        </w:rPr>
      </w:pPr>
      <w:r>
        <w:rPr>
          <w:rFonts w:ascii="Courier New" w:hAnsi="Courier New"/>
          <w:sz w:val="28"/>
        </w:rPr>
        <w:t>“</w:t>
      </w:r>
      <w:r>
        <w:rPr>
          <w:rFonts w:ascii="Courier New" w:hAnsi="Courier New"/>
          <w:color w:val="303030"/>
          <w:sz w:val="28"/>
        </w:rPr>
        <w:t>Ramavatara, or</w:t>
      </w:r>
    </w:p>
    <w:p>
      <w:pPr>
        <w:spacing w:line="317" w:lineRule="exact" w:before="0"/>
        <w:ind w:left="559" w:right="793" w:firstLine="0"/>
        <w:jc w:val="center"/>
        <w:rPr>
          <w:rFonts w:ascii="Courier New"/>
          <w:sz w:val="28"/>
        </w:rPr>
      </w:pPr>
      <w:r>
        <w:rPr>
          <w:rFonts w:ascii="Courier New"/>
          <w:color w:val="303030"/>
          <w:sz w:val="28"/>
        </w:rPr>
        <w:t>Rama-Incarnation.</w:t>
      </w:r>
    </w:p>
    <w:p>
      <w:pPr>
        <w:spacing w:line="240" w:lineRule="auto" w:before="276"/>
        <w:ind w:left="1012" w:right="1244" w:firstLine="588"/>
        <w:jc w:val="both"/>
        <w:rPr>
          <w:rFonts w:ascii="Courier New" w:hAnsi="Courier New"/>
          <w:sz w:val="28"/>
        </w:rPr>
      </w:pPr>
      <w:r>
        <w:rPr>
          <w:rFonts w:ascii="Courier New" w:hAnsi="Courier New"/>
          <w:color w:val="303030"/>
          <w:sz w:val="28"/>
        </w:rPr>
        <w:t>They relate that Ravana one of the Rakshasas two generations in descent from Brahma, had ten heads and twenty hands. He underwent austerities for a period of ten thousand years in the Kailasa mountain and devoted his heads, one after another in this penance in the hope of obtaining the sovereignty of the three worlds. The Deity appeared</w:t>
      </w:r>
      <w:r>
        <w:rPr>
          <w:rFonts w:ascii="Courier New" w:hAnsi="Courier New"/>
          <w:color w:val="303030"/>
          <w:spacing w:val="-22"/>
          <w:sz w:val="28"/>
        </w:rPr>
        <w:t> </w:t>
      </w:r>
      <w:r>
        <w:rPr>
          <w:rFonts w:ascii="Courier New" w:hAnsi="Courier New"/>
          <w:color w:val="303030"/>
          <w:sz w:val="28"/>
        </w:rPr>
        <w:t>to</w:t>
      </w:r>
      <w:r>
        <w:rPr>
          <w:rFonts w:ascii="Courier New" w:hAnsi="Courier New"/>
          <w:color w:val="303030"/>
          <w:spacing w:val="-22"/>
          <w:sz w:val="28"/>
        </w:rPr>
        <w:t> </w:t>
      </w:r>
      <w:r>
        <w:rPr>
          <w:rFonts w:ascii="Courier New" w:hAnsi="Courier New"/>
          <w:color w:val="303030"/>
          <w:sz w:val="28"/>
        </w:rPr>
        <w:t>him</w:t>
      </w:r>
      <w:r>
        <w:rPr>
          <w:rFonts w:ascii="Courier New" w:hAnsi="Courier New"/>
          <w:color w:val="303030"/>
          <w:spacing w:val="-22"/>
          <w:sz w:val="28"/>
        </w:rPr>
        <w:t> </w:t>
      </w:r>
      <w:r>
        <w:rPr>
          <w:rFonts w:ascii="Courier New" w:hAnsi="Courier New"/>
          <w:color w:val="303030"/>
          <w:sz w:val="28"/>
        </w:rPr>
        <w:t>and</w:t>
      </w:r>
      <w:r>
        <w:rPr>
          <w:rFonts w:ascii="Courier New" w:hAnsi="Courier New"/>
          <w:color w:val="303030"/>
          <w:spacing w:val="-22"/>
          <w:sz w:val="28"/>
        </w:rPr>
        <w:t> </w:t>
      </w:r>
      <w:r>
        <w:rPr>
          <w:rFonts w:ascii="Courier New" w:hAnsi="Courier New"/>
          <w:color w:val="303030"/>
          <w:sz w:val="28"/>
        </w:rPr>
        <w:t>granted</w:t>
      </w:r>
      <w:r>
        <w:rPr>
          <w:rFonts w:ascii="Courier New" w:hAnsi="Courier New"/>
          <w:color w:val="303030"/>
          <w:spacing w:val="-21"/>
          <w:sz w:val="28"/>
        </w:rPr>
        <w:t> </w:t>
      </w:r>
      <w:r>
        <w:rPr>
          <w:rFonts w:ascii="Courier New" w:hAnsi="Courier New"/>
          <w:color w:val="303030"/>
          <w:sz w:val="28"/>
        </w:rPr>
        <w:t>his</w:t>
      </w:r>
      <w:r>
        <w:rPr>
          <w:rFonts w:ascii="Courier New" w:hAnsi="Courier New"/>
          <w:color w:val="303030"/>
          <w:spacing w:val="-22"/>
          <w:sz w:val="28"/>
        </w:rPr>
        <w:t> </w:t>
      </w:r>
      <w:r>
        <w:rPr>
          <w:rFonts w:ascii="Courier New" w:hAnsi="Courier New"/>
          <w:color w:val="303030"/>
          <w:sz w:val="28"/>
        </w:rPr>
        <w:t>prayer.</w:t>
      </w:r>
      <w:r>
        <w:rPr>
          <w:rFonts w:ascii="Courier New" w:hAnsi="Courier New"/>
          <w:color w:val="303030"/>
          <w:spacing w:val="-22"/>
          <w:sz w:val="28"/>
        </w:rPr>
        <w:t> </w:t>
      </w:r>
      <w:r>
        <w:rPr>
          <w:rFonts w:ascii="Courier New" w:hAnsi="Courier New"/>
          <w:color w:val="303030"/>
          <w:sz w:val="28"/>
        </w:rPr>
        <w:t>The gods were afflicted by his rule and as in the former instances, solicited his dethronement</w:t>
      </w:r>
      <w:r>
        <w:rPr>
          <w:rFonts w:ascii="Courier New" w:hAnsi="Courier New"/>
          <w:color w:val="303030"/>
          <w:spacing w:val="-32"/>
          <w:sz w:val="28"/>
        </w:rPr>
        <w:t> </w:t>
      </w:r>
      <w:r>
        <w:rPr>
          <w:rFonts w:ascii="Courier New" w:hAnsi="Courier New"/>
          <w:color w:val="303030"/>
          <w:sz w:val="28"/>
        </w:rPr>
        <w:t>which</w:t>
      </w:r>
      <w:r>
        <w:rPr>
          <w:rFonts w:ascii="Courier New" w:hAnsi="Courier New"/>
          <w:color w:val="303030"/>
          <w:spacing w:val="-31"/>
          <w:sz w:val="28"/>
        </w:rPr>
        <w:t> </w:t>
      </w:r>
      <w:r>
        <w:rPr>
          <w:rFonts w:ascii="Courier New" w:hAnsi="Courier New"/>
          <w:color w:val="303030"/>
          <w:sz w:val="28"/>
        </w:rPr>
        <w:t>was</w:t>
      </w:r>
      <w:r>
        <w:rPr>
          <w:rFonts w:ascii="Courier New" w:hAnsi="Courier New"/>
          <w:color w:val="303030"/>
          <w:spacing w:val="-31"/>
          <w:sz w:val="28"/>
        </w:rPr>
        <w:t> </w:t>
      </w:r>
      <w:r>
        <w:rPr>
          <w:rFonts w:ascii="Courier New" w:hAnsi="Courier New"/>
          <w:color w:val="303030"/>
          <w:sz w:val="28"/>
        </w:rPr>
        <w:t>vouchsafed,</w:t>
      </w:r>
      <w:r>
        <w:rPr>
          <w:rFonts w:ascii="Courier New" w:hAnsi="Courier New"/>
          <w:color w:val="303030"/>
          <w:spacing w:val="-31"/>
          <w:sz w:val="28"/>
        </w:rPr>
        <w:t> </w:t>
      </w:r>
      <w:r>
        <w:rPr>
          <w:rFonts w:ascii="Courier New" w:hAnsi="Courier New"/>
          <w:color w:val="303030"/>
          <w:sz w:val="28"/>
        </w:rPr>
        <w:t>and</w:t>
      </w:r>
      <w:r>
        <w:rPr>
          <w:rFonts w:ascii="Courier New" w:hAnsi="Courier New"/>
          <w:color w:val="303030"/>
          <w:spacing w:val="-31"/>
          <w:sz w:val="28"/>
        </w:rPr>
        <w:t> </w:t>
      </w:r>
      <w:r>
        <w:rPr>
          <w:rFonts w:ascii="Courier New" w:hAnsi="Courier New"/>
          <w:color w:val="303030"/>
          <w:sz w:val="28"/>
        </w:rPr>
        <w:t>Rama was appointed to accomplish this end. </w:t>
      </w:r>
      <w:r>
        <w:rPr>
          <w:rFonts w:ascii="Courier New" w:hAnsi="Courier New"/>
          <w:b/>
          <w:color w:val="303030"/>
          <w:spacing w:val="-3"/>
          <w:sz w:val="28"/>
        </w:rPr>
        <w:t>He </w:t>
      </w:r>
      <w:r>
        <w:rPr>
          <w:rFonts w:ascii="Courier New" w:hAnsi="Courier New"/>
          <w:b/>
          <w:color w:val="303030"/>
          <w:sz w:val="28"/>
        </w:rPr>
        <w:t>was accordingly born during the Treta Yuga on</w:t>
      </w:r>
      <w:r>
        <w:rPr>
          <w:rFonts w:ascii="Courier New" w:hAnsi="Courier New"/>
          <w:b/>
          <w:color w:val="303030"/>
          <w:spacing w:val="-17"/>
          <w:sz w:val="28"/>
        </w:rPr>
        <w:t> </w:t>
      </w:r>
      <w:r>
        <w:rPr>
          <w:rFonts w:ascii="Courier New" w:hAnsi="Courier New"/>
          <w:b/>
          <w:color w:val="303030"/>
          <w:sz w:val="28"/>
        </w:rPr>
        <w:t>the</w:t>
      </w:r>
      <w:r>
        <w:rPr>
          <w:rFonts w:ascii="Courier New" w:hAnsi="Courier New"/>
          <w:b/>
          <w:color w:val="303030"/>
          <w:spacing w:val="-17"/>
          <w:sz w:val="28"/>
        </w:rPr>
        <w:t> </w:t>
      </w:r>
      <w:r>
        <w:rPr>
          <w:rFonts w:ascii="Courier New" w:hAnsi="Courier New"/>
          <w:b/>
          <w:color w:val="303030"/>
          <w:sz w:val="28"/>
        </w:rPr>
        <w:t>ninth</w:t>
      </w:r>
      <w:r>
        <w:rPr>
          <w:rFonts w:ascii="Courier New" w:hAnsi="Courier New"/>
          <w:b/>
          <w:color w:val="303030"/>
          <w:spacing w:val="-16"/>
          <w:sz w:val="28"/>
        </w:rPr>
        <w:t> </w:t>
      </w:r>
      <w:r>
        <w:rPr>
          <w:rFonts w:ascii="Courier New" w:hAnsi="Courier New"/>
          <w:b/>
          <w:color w:val="303030"/>
          <w:sz w:val="28"/>
        </w:rPr>
        <w:t>of</w:t>
      </w:r>
      <w:r>
        <w:rPr>
          <w:rFonts w:ascii="Courier New" w:hAnsi="Courier New"/>
          <w:b/>
          <w:color w:val="303030"/>
          <w:spacing w:val="-17"/>
          <w:sz w:val="28"/>
        </w:rPr>
        <w:t> </w:t>
      </w:r>
      <w:r>
        <w:rPr>
          <w:rFonts w:ascii="Courier New" w:hAnsi="Courier New"/>
          <w:b/>
          <w:color w:val="303030"/>
          <w:sz w:val="28"/>
        </w:rPr>
        <w:t>the</w:t>
      </w:r>
      <w:r>
        <w:rPr>
          <w:rFonts w:ascii="Courier New" w:hAnsi="Courier New"/>
          <w:b/>
          <w:color w:val="303030"/>
          <w:spacing w:val="-17"/>
          <w:sz w:val="28"/>
        </w:rPr>
        <w:t> </w:t>
      </w:r>
      <w:r>
        <w:rPr>
          <w:rFonts w:ascii="Courier New" w:hAnsi="Courier New"/>
          <w:b/>
          <w:color w:val="303030"/>
          <w:sz w:val="28"/>
        </w:rPr>
        <w:t>light</w:t>
      </w:r>
      <w:r>
        <w:rPr>
          <w:rFonts w:ascii="Courier New" w:hAnsi="Courier New"/>
          <w:b/>
          <w:color w:val="303030"/>
          <w:spacing w:val="-16"/>
          <w:sz w:val="28"/>
        </w:rPr>
        <w:t> </w:t>
      </w:r>
      <w:r>
        <w:rPr>
          <w:rFonts w:ascii="Courier New" w:hAnsi="Courier New"/>
          <w:b/>
          <w:color w:val="303030"/>
          <w:sz w:val="28"/>
        </w:rPr>
        <w:t>half</w:t>
      </w:r>
      <w:r>
        <w:rPr>
          <w:rFonts w:ascii="Courier New" w:hAnsi="Courier New"/>
          <w:b/>
          <w:color w:val="303030"/>
          <w:spacing w:val="-17"/>
          <w:sz w:val="28"/>
        </w:rPr>
        <w:t> </w:t>
      </w:r>
      <w:r>
        <w:rPr>
          <w:rFonts w:ascii="Courier New" w:hAnsi="Courier New"/>
          <w:b/>
          <w:color w:val="303030"/>
          <w:sz w:val="28"/>
        </w:rPr>
        <w:t>of</w:t>
      </w:r>
      <w:r>
        <w:rPr>
          <w:rFonts w:ascii="Courier New" w:hAnsi="Courier New"/>
          <w:b/>
          <w:color w:val="303030"/>
          <w:spacing w:val="-16"/>
          <w:sz w:val="28"/>
        </w:rPr>
        <w:t> </w:t>
      </w:r>
      <w:r>
        <w:rPr>
          <w:rFonts w:ascii="Courier New" w:hAnsi="Courier New"/>
          <w:b/>
          <w:color w:val="303030"/>
          <w:sz w:val="28"/>
        </w:rPr>
        <w:t>the</w:t>
      </w:r>
      <w:r>
        <w:rPr>
          <w:rFonts w:ascii="Courier New" w:hAnsi="Courier New"/>
          <w:b/>
          <w:color w:val="303030"/>
          <w:spacing w:val="-17"/>
          <w:sz w:val="28"/>
        </w:rPr>
        <w:t> </w:t>
      </w:r>
      <w:r>
        <w:rPr>
          <w:rFonts w:ascii="Courier New" w:hAnsi="Courier New"/>
          <w:b/>
          <w:color w:val="303030"/>
          <w:sz w:val="28"/>
        </w:rPr>
        <w:t>month of Chaitra (March-April) in the city of Ayodhya, of Kausalya wife of Raja Dasaratha. </w:t>
      </w:r>
      <w:r>
        <w:rPr>
          <w:rFonts w:ascii="Courier New" w:hAnsi="Courier New"/>
          <w:color w:val="303030"/>
          <w:sz w:val="28"/>
        </w:rPr>
        <w:t>At the first dawn of intelligence,</w:t>
      </w:r>
      <w:r>
        <w:rPr>
          <w:rFonts w:ascii="Courier New" w:hAnsi="Courier New"/>
          <w:color w:val="303030"/>
          <w:spacing w:val="-32"/>
          <w:sz w:val="28"/>
        </w:rPr>
        <w:t> </w:t>
      </w:r>
      <w:r>
        <w:rPr>
          <w:rFonts w:ascii="Courier New" w:hAnsi="Courier New"/>
          <w:color w:val="303030"/>
          <w:sz w:val="28"/>
        </w:rPr>
        <w:t>he</w:t>
      </w:r>
      <w:r>
        <w:rPr>
          <w:rFonts w:ascii="Courier New" w:hAnsi="Courier New"/>
          <w:color w:val="303030"/>
          <w:spacing w:val="-31"/>
          <w:sz w:val="28"/>
        </w:rPr>
        <w:t> </w:t>
      </w:r>
      <w:r>
        <w:rPr>
          <w:rFonts w:ascii="Courier New" w:hAnsi="Courier New"/>
          <w:color w:val="303030"/>
          <w:sz w:val="28"/>
        </w:rPr>
        <w:t>acquired</w:t>
      </w:r>
      <w:r>
        <w:rPr>
          <w:rFonts w:ascii="Courier New" w:hAnsi="Courier New"/>
          <w:color w:val="303030"/>
          <w:spacing w:val="-31"/>
          <w:sz w:val="28"/>
        </w:rPr>
        <w:t> </w:t>
      </w:r>
      <w:r>
        <w:rPr>
          <w:rFonts w:ascii="Courier New" w:hAnsi="Courier New"/>
          <w:color w:val="303030"/>
          <w:sz w:val="28"/>
        </w:rPr>
        <w:t>much</w:t>
      </w:r>
      <w:r>
        <w:rPr>
          <w:rFonts w:ascii="Courier New" w:hAnsi="Courier New"/>
          <w:color w:val="303030"/>
          <w:spacing w:val="-31"/>
          <w:sz w:val="28"/>
        </w:rPr>
        <w:t> </w:t>
      </w:r>
      <w:r>
        <w:rPr>
          <w:rFonts w:ascii="Courier New" w:hAnsi="Courier New"/>
          <w:color w:val="303030"/>
          <w:sz w:val="28"/>
        </w:rPr>
        <w:t>learning</w:t>
      </w:r>
      <w:r>
        <w:rPr>
          <w:rFonts w:ascii="Courier New" w:hAnsi="Courier New"/>
          <w:color w:val="303030"/>
          <w:spacing w:val="-31"/>
          <w:sz w:val="28"/>
        </w:rPr>
        <w:t> </w:t>
      </w:r>
      <w:r>
        <w:rPr>
          <w:rFonts w:ascii="Courier New" w:hAnsi="Courier New"/>
          <w:color w:val="303030"/>
          <w:sz w:val="28"/>
        </w:rPr>
        <w:t>and withdrawing from all worldly pursuits, set out journeying through wilds and gave a fresh beauty to his life by visiting holy shrines. He became lord of the earth and slew Ravana. He ruled for eleven thousand years and Introduced just laws of administration.”</w:t>
      </w:r>
    </w:p>
    <w:p>
      <w:pPr>
        <w:spacing w:line="317" w:lineRule="exact" w:before="0"/>
        <w:ind w:left="4909" w:right="0" w:firstLine="0"/>
        <w:jc w:val="left"/>
        <w:rPr>
          <w:rFonts w:ascii="Courier New"/>
          <w:i/>
          <w:sz w:val="28"/>
        </w:rPr>
      </w:pPr>
      <w:r>
        <w:rPr>
          <w:rFonts w:ascii="Courier New"/>
          <w:i/>
          <w:color w:val="303030"/>
          <w:sz w:val="28"/>
        </w:rPr>
        <w:t>(Highlighted by us)</w:t>
      </w:r>
    </w:p>
    <w:p>
      <w:pPr>
        <w:spacing w:after="0" w:line="317" w:lineRule="exact"/>
        <w:jc w:val="left"/>
        <w:rPr>
          <w:rFonts w:ascii="Courier New"/>
          <w:sz w:val="28"/>
        </w:rPr>
        <w:sectPr>
          <w:headerReference w:type="default" r:id="rId368"/>
          <w:footerReference w:type="default" r:id="rId369"/>
          <w:pgSz w:w="11910" w:h="16840"/>
          <w:pgMar w:header="0" w:footer="1063" w:top="1580" w:bottom="1260" w:left="1280" w:right="1280"/>
          <w:pgNumType w:start="79"/>
        </w:sectPr>
      </w:pPr>
    </w:p>
    <w:p>
      <w:pPr>
        <w:pStyle w:val="ListParagraph"/>
        <w:numPr>
          <w:ilvl w:val="0"/>
          <w:numId w:val="255"/>
        </w:numPr>
        <w:tabs>
          <w:tab w:pos="854" w:val="left" w:leader="none"/>
        </w:tabs>
        <w:spacing w:line="480" w:lineRule="auto" w:before="86" w:after="0"/>
        <w:ind w:left="159" w:right="111" w:firstLine="0"/>
        <w:jc w:val="both"/>
        <w:rPr>
          <w:rFonts w:ascii="Courier New"/>
          <w:sz w:val="28"/>
        </w:rPr>
      </w:pPr>
      <w:r>
        <w:rPr>
          <w:rFonts w:ascii="Courier New"/>
          <w:sz w:val="28"/>
        </w:rPr>
        <w:t>The A-in-i-Akbari is attestation of the faith and beliefs held by Hindus in the period of Emperor Akbar. Ayodhya was mentioned as residence of Ramachandra, who was further described as Avatar, i.e., incarnation of Vishnu. Specific statement has been made that during the </w:t>
      </w:r>
      <w:r>
        <w:rPr>
          <w:rFonts w:ascii="Courier New"/>
          <w:color w:val="303030"/>
          <w:sz w:val="28"/>
        </w:rPr>
        <w:t>Treta Yuga on the ninth of the light half of the month of Chaitra in the city of Ayodhya, of Kausalya wife of Raja Dasaratha, </w:t>
      </w:r>
      <w:r>
        <w:rPr>
          <w:rFonts w:ascii="Courier New"/>
          <w:sz w:val="28"/>
        </w:rPr>
        <w:t>Lord Ram was born</w:t>
      </w:r>
      <w:r>
        <w:rPr>
          <w:rFonts w:ascii="Courier New"/>
          <w:color w:val="303030"/>
          <w:sz w:val="28"/>
        </w:rPr>
        <w:t>. The A-in- i-Akbari unmistakeably refers Ayodhya as one of the holiest places of antiquity. The </w:t>
      </w:r>
      <w:r>
        <w:rPr>
          <w:rFonts w:ascii="Courier New"/>
          <w:sz w:val="28"/>
        </w:rPr>
        <w:t>above statement in A- in-e-Akbari clearly indicate that faith and belief of Hindus was that Ayodhya is a holiest place and birthplace</w:t>
      </w:r>
      <w:r>
        <w:rPr>
          <w:rFonts w:ascii="Courier New"/>
          <w:spacing w:val="-45"/>
          <w:sz w:val="28"/>
        </w:rPr>
        <w:t> </w:t>
      </w:r>
      <w:r>
        <w:rPr>
          <w:rFonts w:ascii="Courier New"/>
          <w:sz w:val="28"/>
        </w:rPr>
        <w:t>of</w:t>
      </w:r>
      <w:r>
        <w:rPr>
          <w:rFonts w:ascii="Courier New"/>
          <w:spacing w:val="-45"/>
          <w:sz w:val="28"/>
        </w:rPr>
        <w:t> </w:t>
      </w:r>
      <w:r>
        <w:rPr>
          <w:rFonts w:ascii="Courier New"/>
          <w:sz w:val="28"/>
        </w:rPr>
        <w:t>Lord</w:t>
      </w:r>
      <w:r>
        <w:rPr>
          <w:rFonts w:ascii="Courier New"/>
          <w:spacing w:val="-45"/>
          <w:sz w:val="28"/>
        </w:rPr>
        <w:t> </w:t>
      </w:r>
      <w:r>
        <w:rPr>
          <w:rFonts w:ascii="Courier New"/>
          <w:sz w:val="28"/>
        </w:rPr>
        <w:t>Ram,</w:t>
      </w:r>
      <w:r>
        <w:rPr>
          <w:rFonts w:ascii="Courier New"/>
          <w:spacing w:val="-45"/>
          <w:sz w:val="28"/>
        </w:rPr>
        <w:t> </w:t>
      </w:r>
      <w:r>
        <w:rPr>
          <w:rFonts w:ascii="Courier New"/>
          <w:sz w:val="28"/>
        </w:rPr>
        <w:t>the</w:t>
      </w:r>
      <w:r>
        <w:rPr>
          <w:rFonts w:ascii="Courier New"/>
          <w:spacing w:val="-45"/>
          <w:sz w:val="28"/>
        </w:rPr>
        <w:t> </w:t>
      </w:r>
      <w:r>
        <w:rPr>
          <w:rFonts w:ascii="Courier New"/>
          <w:sz w:val="28"/>
        </w:rPr>
        <w:t>incarnation</w:t>
      </w:r>
      <w:r>
        <w:rPr>
          <w:rFonts w:ascii="Courier New"/>
          <w:spacing w:val="-45"/>
          <w:sz w:val="28"/>
        </w:rPr>
        <w:t> </w:t>
      </w:r>
      <w:r>
        <w:rPr>
          <w:rFonts w:ascii="Courier New"/>
          <w:sz w:val="28"/>
        </w:rPr>
        <w:t>of</w:t>
      </w:r>
      <w:r>
        <w:rPr>
          <w:rFonts w:ascii="Courier New"/>
          <w:spacing w:val="-45"/>
          <w:sz w:val="28"/>
        </w:rPr>
        <w:t> </w:t>
      </w:r>
      <w:r>
        <w:rPr>
          <w:rFonts w:ascii="Courier New"/>
          <w:sz w:val="28"/>
        </w:rPr>
        <w:t>Vishnu,</w:t>
      </w:r>
      <w:r>
        <w:rPr>
          <w:rFonts w:ascii="Courier New"/>
          <w:spacing w:val="-45"/>
          <w:sz w:val="28"/>
        </w:rPr>
        <w:t> </w:t>
      </w:r>
      <w:r>
        <w:rPr>
          <w:rFonts w:ascii="Courier New"/>
          <w:sz w:val="28"/>
        </w:rPr>
        <w:t>which belief was continuing since before period of Akbar and still continues as on</w:t>
      </w:r>
      <w:r>
        <w:rPr>
          <w:rFonts w:ascii="Courier New"/>
          <w:spacing w:val="-6"/>
          <w:sz w:val="28"/>
        </w:rPr>
        <w:t> </w:t>
      </w:r>
      <w:r>
        <w:rPr>
          <w:rFonts w:ascii="Courier New"/>
          <w:sz w:val="28"/>
        </w:rPr>
        <w:t>date.</w:t>
      </w:r>
    </w:p>
    <w:p>
      <w:pPr>
        <w:pStyle w:val="BodyText"/>
        <w:rPr>
          <w:rFonts w:ascii="Courier New"/>
          <w:sz w:val="28"/>
        </w:rPr>
      </w:pPr>
    </w:p>
    <w:p>
      <w:pPr>
        <w:pStyle w:val="ListParagraph"/>
        <w:numPr>
          <w:ilvl w:val="0"/>
          <w:numId w:val="255"/>
        </w:numPr>
        <w:tabs>
          <w:tab w:pos="813" w:val="left" w:leader="none"/>
        </w:tabs>
        <w:spacing w:line="480" w:lineRule="auto" w:before="0" w:after="0"/>
        <w:ind w:left="160" w:right="115" w:firstLine="0"/>
        <w:jc w:val="both"/>
        <w:rPr>
          <w:rFonts w:ascii="Courier New"/>
          <w:sz w:val="28"/>
        </w:rPr>
      </w:pPr>
      <w:r>
        <w:rPr>
          <w:rFonts w:ascii="Courier New"/>
          <w:sz w:val="28"/>
        </w:rPr>
        <w:t>William</w:t>
      </w:r>
      <w:r>
        <w:rPr>
          <w:rFonts w:ascii="Courier New"/>
          <w:spacing w:val="-22"/>
          <w:sz w:val="28"/>
        </w:rPr>
        <w:t> </w:t>
      </w:r>
      <w:r>
        <w:rPr>
          <w:rFonts w:ascii="Courier New"/>
          <w:sz w:val="28"/>
        </w:rPr>
        <w:t>Finch</w:t>
      </w:r>
      <w:r>
        <w:rPr>
          <w:rFonts w:ascii="Courier New"/>
          <w:spacing w:val="-21"/>
          <w:sz w:val="28"/>
        </w:rPr>
        <w:t> </w:t>
      </w:r>
      <w:r>
        <w:rPr>
          <w:rFonts w:ascii="Courier New"/>
          <w:sz w:val="28"/>
        </w:rPr>
        <w:t>visited</w:t>
      </w:r>
      <w:r>
        <w:rPr>
          <w:rFonts w:ascii="Courier New"/>
          <w:spacing w:val="-22"/>
          <w:sz w:val="28"/>
        </w:rPr>
        <w:t> </w:t>
      </w:r>
      <w:r>
        <w:rPr>
          <w:rFonts w:ascii="Courier New"/>
          <w:sz w:val="28"/>
        </w:rPr>
        <w:t>India</w:t>
      </w:r>
      <w:r>
        <w:rPr>
          <w:rFonts w:ascii="Courier New"/>
          <w:spacing w:val="-21"/>
          <w:sz w:val="28"/>
        </w:rPr>
        <w:t> </w:t>
      </w:r>
      <w:r>
        <w:rPr>
          <w:rFonts w:ascii="Courier New"/>
          <w:sz w:val="28"/>
        </w:rPr>
        <w:t>from</w:t>
      </w:r>
      <w:r>
        <w:rPr>
          <w:rFonts w:ascii="Courier New"/>
          <w:spacing w:val="-22"/>
          <w:sz w:val="28"/>
        </w:rPr>
        <w:t> </w:t>
      </w:r>
      <w:r>
        <w:rPr>
          <w:rFonts w:ascii="Courier New"/>
          <w:sz w:val="28"/>
        </w:rPr>
        <w:t>1607</w:t>
      </w:r>
      <w:r>
        <w:rPr>
          <w:rFonts w:ascii="Courier New"/>
          <w:spacing w:val="-19"/>
          <w:sz w:val="28"/>
        </w:rPr>
        <w:t> </w:t>
      </w:r>
      <w:r>
        <w:rPr>
          <w:rFonts w:ascii="Courier New"/>
          <w:sz w:val="28"/>
        </w:rPr>
        <w:t>to</w:t>
      </w:r>
      <w:r>
        <w:rPr>
          <w:rFonts w:ascii="Courier New"/>
          <w:spacing w:val="-21"/>
          <w:sz w:val="28"/>
        </w:rPr>
        <w:t> </w:t>
      </w:r>
      <w:r>
        <w:rPr>
          <w:rFonts w:ascii="Courier New"/>
          <w:sz w:val="28"/>
        </w:rPr>
        <w:t>1611</w:t>
      </w:r>
      <w:r>
        <w:rPr>
          <w:rFonts w:ascii="Courier New"/>
          <w:spacing w:val="-22"/>
          <w:sz w:val="28"/>
        </w:rPr>
        <w:t> </w:t>
      </w:r>
      <w:r>
        <w:rPr>
          <w:rFonts w:ascii="Courier New"/>
          <w:sz w:val="28"/>
        </w:rPr>
        <w:t>A.D., his</w:t>
      </w:r>
      <w:r>
        <w:rPr>
          <w:rFonts w:ascii="Courier New"/>
          <w:spacing w:val="-25"/>
          <w:sz w:val="28"/>
        </w:rPr>
        <w:t> </w:t>
      </w:r>
      <w:r>
        <w:rPr>
          <w:rFonts w:ascii="Courier New"/>
          <w:sz w:val="28"/>
        </w:rPr>
        <w:t>travel</w:t>
      </w:r>
      <w:r>
        <w:rPr>
          <w:rFonts w:ascii="Courier New"/>
          <w:spacing w:val="-25"/>
          <w:sz w:val="28"/>
        </w:rPr>
        <w:t> </w:t>
      </w:r>
      <w:r>
        <w:rPr>
          <w:rFonts w:ascii="Courier New"/>
          <w:sz w:val="28"/>
        </w:rPr>
        <w:t>account</w:t>
      </w:r>
      <w:r>
        <w:rPr>
          <w:rFonts w:ascii="Courier New"/>
          <w:spacing w:val="-25"/>
          <w:sz w:val="28"/>
        </w:rPr>
        <w:t> </w:t>
      </w:r>
      <w:r>
        <w:rPr>
          <w:rFonts w:ascii="Courier New"/>
          <w:sz w:val="28"/>
        </w:rPr>
        <w:t>has</w:t>
      </w:r>
      <w:r>
        <w:rPr>
          <w:rFonts w:ascii="Courier New"/>
          <w:spacing w:val="-24"/>
          <w:sz w:val="28"/>
        </w:rPr>
        <w:t> </w:t>
      </w:r>
      <w:r>
        <w:rPr>
          <w:rFonts w:ascii="Courier New"/>
          <w:sz w:val="28"/>
        </w:rPr>
        <w:t>been</w:t>
      </w:r>
      <w:r>
        <w:rPr>
          <w:rFonts w:ascii="Courier New"/>
          <w:spacing w:val="-22"/>
          <w:sz w:val="28"/>
        </w:rPr>
        <w:t> </w:t>
      </w:r>
      <w:r>
        <w:rPr>
          <w:rFonts w:ascii="Courier New"/>
          <w:sz w:val="28"/>
        </w:rPr>
        <w:t>published</w:t>
      </w:r>
      <w:r>
        <w:rPr>
          <w:rFonts w:ascii="Courier New"/>
          <w:spacing w:val="-25"/>
          <w:sz w:val="28"/>
        </w:rPr>
        <w:t> </w:t>
      </w:r>
      <w:r>
        <w:rPr>
          <w:rFonts w:ascii="Courier New"/>
          <w:sz w:val="28"/>
        </w:rPr>
        <w:t>by</w:t>
      </w:r>
      <w:r>
        <w:rPr>
          <w:rFonts w:ascii="Courier New"/>
          <w:spacing w:val="-24"/>
          <w:sz w:val="28"/>
        </w:rPr>
        <w:t> </w:t>
      </w:r>
      <w:r>
        <w:rPr>
          <w:rFonts w:ascii="Courier New"/>
          <w:sz w:val="28"/>
        </w:rPr>
        <w:t>William</w:t>
      </w:r>
      <w:r>
        <w:rPr>
          <w:rFonts w:ascii="Courier New"/>
          <w:spacing w:val="-25"/>
          <w:sz w:val="28"/>
        </w:rPr>
        <w:t> </w:t>
      </w:r>
      <w:r>
        <w:rPr>
          <w:rFonts w:ascii="Courier New"/>
          <w:sz w:val="28"/>
        </w:rPr>
        <w:t>Foster in his book "Early Travels in</w:t>
      </w:r>
      <w:r>
        <w:rPr>
          <w:rFonts w:ascii="Courier New"/>
          <w:spacing w:val="-9"/>
          <w:sz w:val="28"/>
        </w:rPr>
        <w:t> </w:t>
      </w:r>
      <w:r>
        <w:rPr>
          <w:rFonts w:ascii="Courier New"/>
          <w:sz w:val="28"/>
        </w:rPr>
        <w:t>India".</w:t>
      </w:r>
    </w:p>
    <w:p>
      <w:pPr>
        <w:pStyle w:val="BodyText"/>
        <w:spacing w:before="11"/>
        <w:rPr>
          <w:rFonts w:ascii="Courier New"/>
          <w:sz w:val="27"/>
        </w:rPr>
      </w:pPr>
    </w:p>
    <w:p>
      <w:pPr>
        <w:pStyle w:val="ListParagraph"/>
        <w:numPr>
          <w:ilvl w:val="0"/>
          <w:numId w:val="255"/>
        </w:numPr>
        <w:tabs>
          <w:tab w:pos="1019" w:val="left" w:leader="none"/>
        </w:tabs>
        <w:spacing w:line="480" w:lineRule="auto" w:before="0" w:after="0"/>
        <w:ind w:left="160" w:right="142" w:firstLine="0"/>
        <w:jc w:val="both"/>
        <w:rPr>
          <w:rFonts w:ascii="Courier New" w:hAnsi="Courier New"/>
          <w:color w:val="303030"/>
          <w:sz w:val="28"/>
        </w:rPr>
      </w:pPr>
      <w:r>
        <w:rPr>
          <w:rFonts w:ascii="Courier New" w:hAnsi="Courier New"/>
          <w:color w:val="303030"/>
          <w:sz w:val="28"/>
        </w:rPr>
        <w:t>Willia</w:t>
      </w:r>
      <w:r>
        <w:rPr>
          <w:rFonts w:ascii="Courier New" w:hAnsi="Courier New"/>
          <w:sz w:val="28"/>
        </w:rPr>
        <w:t>m Finch mentioned about ruins of the Ramachandra’s castle and houses. The travel accounts also noticed the belief of Indians that Ramchandra</w:t>
      </w:r>
      <w:r>
        <w:rPr>
          <w:rFonts w:ascii="Courier New" w:hAnsi="Courier New"/>
          <w:spacing w:val="-46"/>
          <w:sz w:val="28"/>
        </w:rPr>
        <w:t> </w:t>
      </w:r>
      <w:r>
        <w:rPr>
          <w:rFonts w:ascii="Courier New" w:hAnsi="Courier New"/>
          <w:sz w:val="28"/>
        </w:rPr>
        <w:t>was</w:t>
      </w:r>
    </w:p>
    <w:p>
      <w:pPr>
        <w:spacing w:after="0" w:line="480" w:lineRule="auto"/>
        <w:jc w:val="both"/>
        <w:rPr>
          <w:rFonts w:ascii="Courier New" w:hAnsi="Courier New"/>
          <w:sz w:val="28"/>
        </w:rPr>
        <w:sectPr>
          <w:headerReference w:type="default" r:id="rId370"/>
          <w:footerReference w:type="default" r:id="rId371"/>
          <w:pgSz w:w="11910" w:h="16840"/>
          <w:pgMar w:header="0" w:footer="1063" w:top="1340" w:bottom="1260" w:left="1280" w:right="1280"/>
          <w:pgNumType w:start="80"/>
        </w:sectPr>
      </w:pPr>
    </w:p>
    <w:p>
      <w:pPr>
        <w:spacing w:before="86"/>
        <w:ind w:left="160" w:right="0" w:firstLine="0"/>
        <w:jc w:val="left"/>
        <w:rPr>
          <w:rFonts w:ascii="Courier New"/>
          <w:sz w:val="28"/>
        </w:rPr>
      </w:pPr>
      <w:r>
        <w:rPr>
          <w:rFonts w:ascii="Courier New"/>
          <w:sz w:val="28"/>
        </w:rPr>
        <w:t>born, who took flesh upon him.</w:t>
      </w:r>
    </w:p>
    <w:p>
      <w:pPr>
        <w:pStyle w:val="BodyText"/>
        <w:rPr>
          <w:rFonts w:ascii="Courier New"/>
          <w:sz w:val="32"/>
        </w:rPr>
      </w:pPr>
    </w:p>
    <w:p>
      <w:pPr>
        <w:pStyle w:val="ListParagraph"/>
        <w:numPr>
          <w:ilvl w:val="0"/>
          <w:numId w:val="255"/>
        </w:numPr>
        <w:tabs>
          <w:tab w:pos="856" w:val="left" w:leader="none"/>
        </w:tabs>
        <w:spacing w:line="480" w:lineRule="auto" w:before="270" w:after="0"/>
        <w:ind w:left="160" w:right="141" w:firstLine="0"/>
        <w:jc w:val="both"/>
        <w:rPr>
          <w:rFonts w:ascii="Courier New"/>
          <w:sz w:val="28"/>
        </w:rPr>
      </w:pPr>
      <w:r>
        <w:rPr>
          <w:rFonts w:ascii="Courier New"/>
          <w:sz w:val="28"/>
        </w:rPr>
        <w:t>Father Joseph Tieffenthaler visited India between 1766-1771 A.D. He wrote historical and geographical description of India in latin. All the latin work was translated in French. English translation of the work was filed before the High Court as Ext. 133 (Suit-5) and has been extensively relied on. In the</w:t>
      </w:r>
      <w:r>
        <w:rPr>
          <w:rFonts w:ascii="Courier New"/>
          <w:spacing w:val="-46"/>
          <w:sz w:val="28"/>
        </w:rPr>
        <w:t> </w:t>
      </w:r>
      <w:r>
        <w:rPr>
          <w:rFonts w:ascii="Courier New"/>
          <w:sz w:val="28"/>
        </w:rPr>
        <w:t>description of the Province of Oudh, following is</w:t>
      </w:r>
      <w:r>
        <w:rPr>
          <w:rFonts w:ascii="Courier New"/>
          <w:spacing w:val="-14"/>
          <w:sz w:val="28"/>
        </w:rPr>
        <w:t> </w:t>
      </w:r>
      <w:r>
        <w:rPr>
          <w:rFonts w:ascii="Courier New"/>
          <w:sz w:val="28"/>
        </w:rPr>
        <w:t>stated:-</w:t>
      </w:r>
    </w:p>
    <w:p>
      <w:pPr>
        <w:spacing w:before="2"/>
        <w:ind w:left="1011" w:right="1247" w:firstLine="0"/>
        <w:jc w:val="both"/>
        <w:rPr>
          <w:rFonts w:ascii="Courier New" w:hAnsi="Courier New"/>
          <w:sz w:val="28"/>
        </w:rPr>
      </w:pPr>
      <w:r>
        <w:rPr>
          <w:rFonts w:ascii="Courier New" w:hAnsi="Courier New"/>
          <w:sz w:val="28"/>
        </w:rPr>
        <w:t>“But a place especially famous is the one called</w:t>
      </w:r>
      <w:r>
        <w:rPr>
          <w:rFonts w:ascii="Courier New" w:hAnsi="Courier New"/>
          <w:spacing w:val="-22"/>
          <w:sz w:val="28"/>
        </w:rPr>
        <w:t> </w:t>
      </w:r>
      <w:r>
        <w:rPr>
          <w:rFonts w:ascii="Courier New" w:hAnsi="Courier New"/>
          <w:sz w:val="28"/>
        </w:rPr>
        <w:t>Sitha</w:t>
      </w:r>
      <w:r>
        <w:rPr>
          <w:rFonts w:ascii="Courier New" w:hAnsi="Courier New"/>
          <w:spacing w:val="-22"/>
          <w:sz w:val="28"/>
        </w:rPr>
        <w:t> </w:t>
      </w:r>
      <w:r>
        <w:rPr>
          <w:rFonts w:ascii="Courier New" w:hAnsi="Courier New"/>
          <w:sz w:val="28"/>
        </w:rPr>
        <w:t>Rassoi</w:t>
      </w:r>
      <w:r>
        <w:rPr>
          <w:rFonts w:ascii="Courier New" w:hAnsi="Courier New"/>
          <w:spacing w:val="-22"/>
          <w:sz w:val="28"/>
        </w:rPr>
        <w:t> </w:t>
      </w:r>
      <w:r>
        <w:rPr>
          <w:rFonts w:ascii="Courier New" w:hAnsi="Courier New"/>
          <w:sz w:val="28"/>
        </w:rPr>
        <w:t>i.e.</w:t>
      </w:r>
      <w:r>
        <w:rPr>
          <w:rFonts w:ascii="Courier New" w:hAnsi="Courier New"/>
          <w:spacing w:val="-22"/>
          <w:sz w:val="28"/>
        </w:rPr>
        <w:t> </w:t>
      </w:r>
      <w:r>
        <w:rPr>
          <w:rFonts w:ascii="Courier New" w:hAnsi="Courier New"/>
          <w:sz w:val="28"/>
        </w:rPr>
        <w:t>the</w:t>
      </w:r>
      <w:r>
        <w:rPr>
          <w:rFonts w:ascii="Courier New" w:hAnsi="Courier New"/>
          <w:spacing w:val="-21"/>
          <w:sz w:val="28"/>
        </w:rPr>
        <w:t> </w:t>
      </w:r>
      <w:r>
        <w:rPr>
          <w:rFonts w:ascii="Courier New" w:hAnsi="Courier New"/>
          <w:sz w:val="28"/>
        </w:rPr>
        <w:t>table</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Sita, wife of Ram, adjoining to the city in the South, and is situated on a mud</w:t>
      </w:r>
      <w:r>
        <w:rPr>
          <w:rFonts w:ascii="Courier New" w:hAnsi="Courier New"/>
          <w:spacing w:val="-13"/>
          <w:sz w:val="28"/>
        </w:rPr>
        <w:t> </w:t>
      </w:r>
      <w:r>
        <w:rPr>
          <w:rFonts w:ascii="Courier New" w:hAnsi="Courier New"/>
          <w:sz w:val="28"/>
        </w:rPr>
        <w:t>hill.</w:t>
      </w:r>
    </w:p>
    <w:p>
      <w:pPr>
        <w:pStyle w:val="BodyText"/>
        <w:rPr>
          <w:rFonts w:ascii="Courier New"/>
          <w:sz w:val="28"/>
        </w:rPr>
      </w:pPr>
    </w:p>
    <w:p>
      <w:pPr>
        <w:spacing w:line="240" w:lineRule="auto" w:before="0"/>
        <w:ind w:left="1011" w:right="1244" w:firstLine="0"/>
        <w:jc w:val="both"/>
        <w:rPr>
          <w:rFonts w:ascii="Courier New" w:hAnsi="Courier New"/>
          <w:sz w:val="28"/>
        </w:rPr>
      </w:pPr>
      <w:r>
        <w:rPr>
          <w:rFonts w:ascii="Courier New" w:hAnsi="Courier New"/>
          <w:sz w:val="28"/>
        </w:rPr>
        <w:t>Emperor Aurengzebe got the fortress called Ramcot demolished and got a Muslim temple, with triple domes, constructed at the same place. Others say that it was constructed by ‘Babor’. Fourteen black stone pillars of 5 span high, which had existed at the site of the fortress, are seen there. Twelve of these pillars now support the interior arcades of the mosque. Two (of these</w:t>
      </w:r>
      <w:r>
        <w:rPr>
          <w:rFonts w:ascii="Courier New" w:hAnsi="Courier New"/>
          <w:spacing w:val="-20"/>
          <w:sz w:val="28"/>
        </w:rPr>
        <w:t> </w:t>
      </w:r>
      <w:r>
        <w:rPr>
          <w:rFonts w:ascii="Courier New" w:hAnsi="Courier New"/>
          <w:sz w:val="28"/>
        </w:rPr>
        <w:t>12)</w:t>
      </w:r>
      <w:r>
        <w:rPr>
          <w:rFonts w:ascii="Courier New" w:hAnsi="Courier New"/>
          <w:spacing w:val="-19"/>
          <w:sz w:val="28"/>
        </w:rPr>
        <w:t> </w:t>
      </w:r>
      <w:r>
        <w:rPr>
          <w:rFonts w:ascii="Courier New" w:hAnsi="Courier New"/>
          <w:sz w:val="28"/>
        </w:rPr>
        <w:t>are</w:t>
      </w:r>
      <w:r>
        <w:rPr>
          <w:rFonts w:ascii="Courier New" w:hAnsi="Courier New"/>
          <w:spacing w:val="-20"/>
          <w:sz w:val="28"/>
        </w:rPr>
        <w:t> </w:t>
      </w:r>
      <w:r>
        <w:rPr>
          <w:rFonts w:ascii="Courier New" w:hAnsi="Courier New"/>
          <w:sz w:val="28"/>
        </w:rPr>
        <w:t>placed</w:t>
      </w:r>
      <w:r>
        <w:rPr>
          <w:rFonts w:ascii="Courier New" w:hAnsi="Courier New"/>
          <w:spacing w:val="-19"/>
          <w:sz w:val="28"/>
        </w:rPr>
        <w:t> </w:t>
      </w:r>
      <w:r>
        <w:rPr>
          <w:rFonts w:ascii="Courier New" w:hAnsi="Courier New"/>
          <w:sz w:val="28"/>
        </w:rPr>
        <w:t>at</w:t>
      </w:r>
      <w:r>
        <w:rPr>
          <w:rFonts w:ascii="Courier New" w:hAnsi="Courier New"/>
          <w:spacing w:val="-19"/>
          <w:sz w:val="28"/>
        </w:rPr>
        <w:t> </w:t>
      </w:r>
      <w:r>
        <w:rPr>
          <w:rFonts w:ascii="Courier New" w:hAnsi="Courier New"/>
          <w:sz w:val="28"/>
        </w:rPr>
        <w:t>the</w:t>
      </w:r>
      <w:r>
        <w:rPr>
          <w:rFonts w:ascii="Courier New" w:hAnsi="Courier New"/>
          <w:spacing w:val="-20"/>
          <w:sz w:val="28"/>
        </w:rPr>
        <w:t> </w:t>
      </w:r>
      <w:r>
        <w:rPr>
          <w:rFonts w:ascii="Courier New" w:hAnsi="Courier New"/>
          <w:sz w:val="28"/>
        </w:rPr>
        <w:t>entrance</w:t>
      </w:r>
      <w:r>
        <w:rPr>
          <w:rFonts w:ascii="Courier New" w:hAnsi="Courier New"/>
          <w:spacing w:val="-19"/>
          <w:sz w:val="28"/>
        </w:rPr>
        <w:t> </w:t>
      </w:r>
      <w:r>
        <w:rPr>
          <w:rFonts w:ascii="Courier New" w:hAnsi="Courier New"/>
          <w:sz w:val="28"/>
        </w:rPr>
        <w:t>of</w:t>
      </w:r>
      <w:r>
        <w:rPr>
          <w:rFonts w:ascii="Courier New" w:hAnsi="Courier New"/>
          <w:spacing w:val="-19"/>
          <w:sz w:val="28"/>
        </w:rPr>
        <w:t> </w:t>
      </w:r>
      <w:r>
        <w:rPr>
          <w:rFonts w:ascii="Courier New" w:hAnsi="Courier New"/>
          <w:sz w:val="28"/>
        </w:rPr>
        <w:t>the cloister. The two others are part of the tomb of some ‘Moor’. It is narrated that these</w:t>
      </w:r>
      <w:r>
        <w:rPr>
          <w:rFonts w:ascii="Courier New" w:hAnsi="Courier New"/>
          <w:spacing w:val="-22"/>
          <w:sz w:val="28"/>
        </w:rPr>
        <w:t> </w:t>
      </w:r>
      <w:r>
        <w:rPr>
          <w:rFonts w:ascii="Courier New" w:hAnsi="Courier New"/>
          <w:sz w:val="28"/>
        </w:rPr>
        <w:t>pillars,</w:t>
      </w:r>
      <w:r>
        <w:rPr>
          <w:rFonts w:ascii="Courier New" w:hAnsi="Courier New"/>
          <w:spacing w:val="-22"/>
          <w:sz w:val="28"/>
        </w:rPr>
        <w:t> </w:t>
      </w:r>
      <w:r>
        <w:rPr>
          <w:rFonts w:ascii="Courier New" w:hAnsi="Courier New"/>
          <w:sz w:val="28"/>
        </w:rPr>
        <w:t>or</w:t>
      </w:r>
      <w:r>
        <w:rPr>
          <w:rFonts w:ascii="Courier New" w:hAnsi="Courier New"/>
          <w:spacing w:val="-22"/>
          <w:sz w:val="28"/>
        </w:rPr>
        <w:t> </w:t>
      </w:r>
      <w:r>
        <w:rPr>
          <w:rFonts w:ascii="Courier New" w:hAnsi="Courier New"/>
          <w:sz w:val="28"/>
        </w:rPr>
        <w:t>rather</w:t>
      </w:r>
      <w:r>
        <w:rPr>
          <w:rFonts w:ascii="Courier New" w:hAnsi="Courier New"/>
          <w:spacing w:val="-22"/>
          <w:sz w:val="28"/>
        </w:rPr>
        <w:t> </w:t>
      </w:r>
      <w:r>
        <w:rPr>
          <w:rFonts w:ascii="Courier New" w:hAnsi="Courier New"/>
          <w:sz w:val="28"/>
        </w:rPr>
        <w:t>this</w:t>
      </w:r>
      <w:r>
        <w:rPr>
          <w:rFonts w:ascii="Courier New" w:hAnsi="Courier New"/>
          <w:spacing w:val="-21"/>
          <w:sz w:val="28"/>
        </w:rPr>
        <w:t> </w:t>
      </w:r>
      <w:r>
        <w:rPr>
          <w:rFonts w:ascii="Courier New" w:hAnsi="Courier New"/>
          <w:sz w:val="28"/>
        </w:rPr>
        <w:t>debris</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the pillars skillfully made, were brought from the island of Lance or Selendip (called Ceylan by the Europeans) by Hanuman, King of</w:t>
      </w:r>
      <w:r>
        <w:rPr>
          <w:rFonts w:ascii="Courier New" w:hAnsi="Courier New"/>
          <w:spacing w:val="-2"/>
          <w:sz w:val="28"/>
        </w:rPr>
        <w:t> </w:t>
      </w:r>
      <w:r>
        <w:rPr>
          <w:rFonts w:ascii="Courier New" w:hAnsi="Courier New"/>
          <w:sz w:val="28"/>
        </w:rPr>
        <w:t>Monkeys.</w:t>
      </w:r>
    </w:p>
    <w:p>
      <w:pPr>
        <w:pStyle w:val="BodyText"/>
        <w:spacing w:before="8"/>
        <w:rPr>
          <w:rFonts w:ascii="Courier New"/>
          <w:sz w:val="27"/>
        </w:rPr>
      </w:pPr>
    </w:p>
    <w:p>
      <w:pPr>
        <w:spacing w:before="0"/>
        <w:ind w:left="1578" w:right="0" w:firstLine="0"/>
        <w:jc w:val="left"/>
        <w:rPr>
          <w:rFonts w:ascii="Courier New"/>
          <w:sz w:val="28"/>
        </w:rPr>
      </w:pPr>
      <w:r>
        <w:rPr>
          <w:rFonts w:ascii="Courier New"/>
          <w:sz w:val="28"/>
        </w:rPr>
        <w:t>On the left is seen a square box</w:t>
      </w:r>
      <w:r>
        <w:rPr>
          <w:rFonts w:ascii="Courier New"/>
          <w:spacing w:val="-46"/>
          <w:sz w:val="28"/>
        </w:rPr>
        <w:t> </w:t>
      </w:r>
      <w:r>
        <w:rPr>
          <w:rFonts w:ascii="Courier New"/>
          <w:sz w:val="28"/>
        </w:rPr>
        <w:t>raised</w:t>
      </w:r>
    </w:p>
    <w:p>
      <w:pPr>
        <w:tabs>
          <w:tab w:pos="1436" w:val="left" w:leader="none"/>
          <w:tab w:pos="2700" w:val="left" w:leader="none"/>
          <w:tab w:pos="3799" w:val="left" w:leader="none"/>
          <w:tab w:pos="4559" w:val="left" w:leader="none"/>
          <w:tab w:pos="5994" w:val="left" w:leader="none"/>
          <w:tab w:pos="6922" w:val="left" w:leader="none"/>
        </w:tabs>
        <w:spacing w:before="3"/>
        <w:ind w:left="1011" w:right="1243" w:firstLine="0"/>
        <w:jc w:val="left"/>
        <w:rPr>
          <w:rFonts w:ascii="Courier New"/>
          <w:sz w:val="28"/>
        </w:rPr>
      </w:pPr>
      <w:r>
        <w:rPr>
          <w:rFonts w:ascii="Courier New"/>
          <w:sz w:val="28"/>
        </w:rPr>
        <w:t>5</w:t>
        <w:tab/>
        <w:t>inches</w:t>
        <w:tab/>
        <w:t>above</w:t>
        <w:tab/>
        <w:t>the</w:t>
        <w:tab/>
        <w:t>ground,</w:t>
        <w:tab/>
        <w:t>with</w:t>
        <w:tab/>
        <w:t>borders made of lime, with a length of more than</w:t>
      </w:r>
      <w:r>
        <w:rPr>
          <w:rFonts w:ascii="Courier New"/>
          <w:spacing w:val="21"/>
          <w:sz w:val="28"/>
        </w:rPr>
        <w:t> </w:t>
      </w:r>
      <w:r>
        <w:rPr>
          <w:rFonts w:ascii="Courier New"/>
          <w:sz w:val="28"/>
        </w:rPr>
        <w:t>5</w:t>
      </w:r>
    </w:p>
    <w:p>
      <w:pPr>
        <w:spacing w:after="0"/>
        <w:jc w:val="left"/>
        <w:rPr>
          <w:rFonts w:ascii="Courier New"/>
          <w:sz w:val="28"/>
        </w:rPr>
        <w:sectPr>
          <w:headerReference w:type="default" r:id="rId372"/>
          <w:footerReference w:type="default" r:id="rId373"/>
          <w:pgSz w:w="11910" w:h="16840"/>
          <w:pgMar w:header="0" w:footer="1063" w:top="1340" w:bottom="1260" w:left="1280" w:right="1280"/>
          <w:pgNumType w:start="81"/>
        </w:sectPr>
      </w:pPr>
    </w:p>
    <w:p>
      <w:pPr>
        <w:spacing w:line="240" w:lineRule="auto" w:before="86"/>
        <w:ind w:left="1011" w:right="1246" w:firstLine="0"/>
        <w:jc w:val="both"/>
        <w:rPr>
          <w:rFonts w:ascii="Courier New" w:hAnsi="Courier New"/>
          <w:sz w:val="28"/>
        </w:rPr>
      </w:pPr>
      <w:r>
        <w:rPr>
          <w:rFonts w:ascii="Courier New" w:hAnsi="Courier New"/>
          <w:sz w:val="28"/>
        </w:rPr>
        <w:t>ells and a maximum width of about 4 ells. The Hindus call it Bedi i.e. ‘the cradle’. The reason for this is that once upon a time, here was a house where Beschan was born in the form of Ram. It is said that his three brothers too were born here. Subsequently, Aurengzebe or Babor, according to others, got this place razed in order to deny the noble people, the opportunity of practicing their superstitions. However, there still exists some superstitious cult in some place or other. For example, in the place where the native</w:t>
      </w:r>
      <w:r>
        <w:rPr>
          <w:rFonts w:ascii="Courier New" w:hAnsi="Courier New"/>
          <w:spacing w:val="-22"/>
          <w:sz w:val="28"/>
        </w:rPr>
        <w:t> </w:t>
      </w:r>
      <w:r>
        <w:rPr>
          <w:rFonts w:ascii="Courier New" w:hAnsi="Courier New"/>
          <w:sz w:val="28"/>
        </w:rPr>
        <w:t>house</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Ram</w:t>
      </w:r>
      <w:r>
        <w:rPr>
          <w:rFonts w:ascii="Courier New" w:hAnsi="Courier New"/>
          <w:spacing w:val="-22"/>
          <w:sz w:val="28"/>
        </w:rPr>
        <w:t> </w:t>
      </w:r>
      <w:r>
        <w:rPr>
          <w:rFonts w:ascii="Courier New" w:hAnsi="Courier New"/>
          <w:sz w:val="28"/>
        </w:rPr>
        <w:t>existed,</w:t>
      </w:r>
      <w:r>
        <w:rPr>
          <w:rFonts w:ascii="Courier New" w:hAnsi="Courier New"/>
          <w:spacing w:val="-21"/>
          <w:sz w:val="28"/>
        </w:rPr>
        <w:t> </w:t>
      </w:r>
      <w:r>
        <w:rPr>
          <w:rFonts w:ascii="Courier New" w:hAnsi="Courier New"/>
          <w:sz w:val="28"/>
        </w:rPr>
        <w:t>they</w:t>
      </w:r>
      <w:r>
        <w:rPr>
          <w:rFonts w:ascii="Courier New" w:hAnsi="Courier New"/>
          <w:spacing w:val="-22"/>
          <w:sz w:val="28"/>
        </w:rPr>
        <w:t> </w:t>
      </w:r>
      <w:r>
        <w:rPr>
          <w:rFonts w:ascii="Courier New" w:hAnsi="Courier New"/>
          <w:sz w:val="28"/>
        </w:rPr>
        <w:t>go</w:t>
      </w:r>
      <w:r>
        <w:rPr>
          <w:rFonts w:ascii="Courier New" w:hAnsi="Courier New"/>
          <w:spacing w:val="-22"/>
          <w:sz w:val="28"/>
        </w:rPr>
        <w:t> </w:t>
      </w:r>
      <w:r>
        <w:rPr>
          <w:rFonts w:ascii="Courier New" w:hAnsi="Courier New"/>
          <w:sz w:val="28"/>
        </w:rPr>
        <w:t>around</w:t>
      </w:r>
    </w:p>
    <w:p>
      <w:pPr>
        <w:spacing w:line="240" w:lineRule="auto" w:before="0"/>
        <w:ind w:left="1012" w:right="1245" w:firstLine="0"/>
        <w:jc w:val="both"/>
        <w:rPr>
          <w:rFonts w:ascii="Courier New" w:hAnsi="Courier New"/>
          <w:sz w:val="28"/>
        </w:rPr>
      </w:pPr>
      <w:r>
        <w:rPr>
          <w:rFonts w:ascii="Courier New" w:hAnsi="Courier New"/>
          <w:sz w:val="28"/>
        </w:rPr>
        <w:t>3 times and prostrate on the floor. The two spots are surrounded by a low wall constructed with battlements. One enters the front hall through a low semi-circular door.”</w:t>
      </w:r>
    </w:p>
    <w:p>
      <w:pPr>
        <w:pStyle w:val="BodyText"/>
        <w:rPr>
          <w:rFonts w:ascii="Courier New"/>
          <w:sz w:val="32"/>
        </w:rPr>
      </w:pPr>
    </w:p>
    <w:p>
      <w:pPr>
        <w:pStyle w:val="ListParagraph"/>
        <w:numPr>
          <w:ilvl w:val="0"/>
          <w:numId w:val="255"/>
        </w:numPr>
        <w:tabs>
          <w:tab w:pos="897" w:val="left" w:leader="none"/>
        </w:tabs>
        <w:spacing w:line="482" w:lineRule="auto" w:before="270" w:after="0"/>
        <w:ind w:left="160" w:right="170" w:firstLine="0"/>
        <w:jc w:val="both"/>
        <w:rPr>
          <w:rFonts w:ascii="Courier New"/>
          <w:sz w:val="28"/>
        </w:rPr>
      </w:pPr>
      <w:r>
        <w:rPr>
          <w:rFonts w:ascii="Courier New"/>
          <w:sz w:val="28"/>
        </w:rPr>
        <w:t>The three important statements contained in the account need to be</w:t>
      </w:r>
      <w:r>
        <w:rPr>
          <w:rFonts w:ascii="Courier New"/>
          <w:spacing w:val="-5"/>
          <w:sz w:val="28"/>
        </w:rPr>
        <w:t> </w:t>
      </w:r>
      <w:r>
        <w:rPr>
          <w:rFonts w:ascii="Courier New"/>
          <w:sz w:val="28"/>
        </w:rPr>
        <w:t>noted:-</w:t>
      </w:r>
    </w:p>
    <w:p>
      <w:pPr>
        <w:spacing w:line="480" w:lineRule="auto" w:before="0"/>
        <w:ind w:left="880" w:right="169" w:firstLine="719"/>
        <w:jc w:val="both"/>
        <w:rPr>
          <w:rFonts w:ascii="Courier New"/>
          <w:sz w:val="28"/>
        </w:rPr>
      </w:pPr>
      <w:r>
        <w:rPr>
          <w:rFonts w:ascii="Courier New"/>
          <w:sz w:val="28"/>
        </w:rPr>
        <w:t>First, that Emperor Aurengzebe got the fortress called Ramcot demolished and got a</w:t>
      </w:r>
      <w:r>
        <w:rPr>
          <w:rFonts w:ascii="Courier New"/>
          <w:spacing w:val="-122"/>
          <w:sz w:val="28"/>
        </w:rPr>
        <w:t> </w:t>
      </w:r>
      <w:r>
        <w:rPr>
          <w:rFonts w:ascii="Courier New"/>
          <w:sz w:val="28"/>
        </w:rPr>
        <w:t>Muslim temple, with triple domes, constructed at the</w:t>
      </w:r>
      <w:r>
        <w:rPr>
          <w:rFonts w:ascii="Courier New"/>
          <w:spacing w:val="-122"/>
          <w:sz w:val="28"/>
        </w:rPr>
        <w:t> </w:t>
      </w:r>
      <w:r>
        <w:rPr>
          <w:rFonts w:ascii="Courier New"/>
          <w:sz w:val="28"/>
        </w:rPr>
        <w:t>same place. It further states that fourteen black</w:t>
      </w:r>
      <w:r>
        <w:rPr>
          <w:rFonts w:ascii="Courier New"/>
          <w:spacing w:val="-127"/>
          <w:sz w:val="28"/>
        </w:rPr>
        <w:t> </w:t>
      </w:r>
      <w:r>
        <w:rPr>
          <w:rFonts w:ascii="Courier New"/>
          <w:sz w:val="28"/>
        </w:rPr>
        <w:t>stone pillars of 5 span high, which had existed at the site of the fortress, are seen there. Twelve of these pillars now support the interior arcades of the mosque. Two (of these 12) are placed at the entrance of the cloister.</w:t>
      </w:r>
    </w:p>
    <w:p>
      <w:pPr>
        <w:spacing w:after="0" w:line="480" w:lineRule="auto"/>
        <w:jc w:val="both"/>
        <w:rPr>
          <w:rFonts w:ascii="Courier New"/>
          <w:sz w:val="28"/>
        </w:rPr>
        <w:sectPr>
          <w:headerReference w:type="default" r:id="rId374"/>
          <w:footerReference w:type="default" r:id="rId375"/>
          <w:pgSz w:w="11910" w:h="16840"/>
          <w:pgMar w:header="0" w:footer="1063" w:top="1340" w:bottom="1260" w:left="1280" w:right="1280"/>
          <w:pgNumType w:start="82"/>
        </w:sectPr>
      </w:pPr>
    </w:p>
    <w:p>
      <w:pPr>
        <w:spacing w:line="480" w:lineRule="auto" w:before="86"/>
        <w:ind w:left="880" w:right="170" w:firstLine="719"/>
        <w:jc w:val="both"/>
        <w:rPr>
          <w:rFonts w:ascii="Courier New" w:hAnsi="Courier New"/>
          <w:sz w:val="28"/>
        </w:rPr>
      </w:pPr>
      <w:r>
        <w:rPr>
          <w:rFonts w:ascii="Courier New" w:hAnsi="Courier New"/>
          <w:sz w:val="28"/>
        </w:rPr>
        <w:t>Second that, on the left is seen a square box raised</w:t>
      </w:r>
      <w:r>
        <w:rPr>
          <w:rFonts w:ascii="Courier New" w:hAnsi="Courier New"/>
          <w:spacing w:val="-37"/>
          <w:sz w:val="28"/>
        </w:rPr>
        <w:t> </w:t>
      </w:r>
      <w:r>
        <w:rPr>
          <w:rFonts w:ascii="Courier New" w:hAnsi="Courier New"/>
          <w:sz w:val="28"/>
        </w:rPr>
        <w:t>5</w:t>
      </w:r>
      <w:r>
        <w:rPr>
          <w:rFonts w:ascii="Courier New" w:hAnsi="Courier New"/>
          <w:spacing w:val="-37"/>
          <w:sz w:val="28"/>
        </w:rPr>
        <w:t> </w:t>
      </w:r>
      <w:r>
        <w:rPr>
          <w:rFonts w:ascii="Courier New" w:hAnsi="Courier New"/>
          <w:sz w:val="28"/>
        </w:rPr>
        <w:t>inches</w:t>
      </w:r>
      <w:r>
        <w:rPr>
          <w:rFonts w:ascii="Courier New" w:hAnsi="Courier New"/>
          <w:spacing w:val="-37"/>
          <w:sz w:val="28"/>
        </w:rPr>
        <w:t> </w:t>
      </w:r>
      <w:r>
        <w:rPr>
          <w:rFonts w:ascii="Courier New" w:hAnsi="Courier New"/>
          <w:sz w:val="28"/>
        </w:rPr>
        <w:t>above</w:t>
      </w:r>
      <w:r>
        <w:rPr>
          <w:rFonts w:ascii="Courier New" w:hAnsi="Courier New"/>
          <w:spacing w:val="-37"/>
          <w:sz w:val="28"/>
        </w:rPr>
        <w:t> </w:t>
      </w:r>
      <w:r>
        <w:rPr>
          <w:rFonts w:ascii="Courier New" w:hAnsi="Courier New"/>
          <w:sz w:val="28"/>
        </w:rPr>
        <w:t>the</w:t>
      </w:r>
      <w:r>
        <w:rPr>
          <w:rFonts w:ascii="Courier New" w:hAnsi="Courier New"/>
          <w:spacing w:val="-37"/>
          <w:sz w:val="28"/>
        </w:rPr>
        <w:t> </w:t>
      </w:r>
      <w:r>
        <w:rPr>
          <w:rFonts w:ascii="Courier New" w:hAnsi="Courier New"/>
          <w:sz w:val="28"/>
        </w:rPr>
        <w:t>ground,</w:t>
      </w:r>
      <w:r>
        <w:rPr>
          <w:rFonts w:ascii="Courier New" w:hAnsi="Courier New"/>
          <w:spacing w:val="-37"/>
          <w:sz w:val="28"/>
        </w:rPr>
        <w:t> </w:t>
      </w:r>
      <w:r>
        <w:rPr>
          <w:rFonts w:ascii="Courier New" w:hAnsi="Courier New"/>
          <w:sz w:val="28"/>
        </w:rPr>
        <w:t>with</w:t>
      </w:r>
      <w:r>
        <w:rPr>
          <w:rFonts w:ascii="Courier New" w:hAnsi="Courier New"/>
          <w:spacing w:val="-37"/>
          <w:sz w:val="28"/>
        </w:rPr>
        <w:t> </w:t>
      </w:r>
      <w:r>
        <w:rPr>
          <w:rFonts w:ascii="Courier New" w:hAnsi="Courier New"/>
          <w:sz w:val="28"/>
        </w:rPr>
        <w:t>borders</w:t>
      </w:r>
      <w:r>
        <w:rPr>
          <w:rFonts w:ascii="Courier New" w:hAnsi="Courier New"/>
          <w:spacing w:val="-37"/>
          <w:sz w:val="28"/>
        </w:rPr>
        <w:t> </w:t>
      </w:r>
      <w:r>
        <w:rPr>
          <w:rFonts w:ascii="Courier New" w:hAnsi="Courier New"/>
          <w:sz w:val="28"/>
        </w:rPr>
        <w:t>made of lime, with a length of more than 5 ells and a maximum</w:t>
      </w:r>
      <w:r>
        <w:rPr>
          <w:rFonts w:ascii="Courier New" w:hAnsi="Courier New"/>
          <w:spacing w:val="-34"/>
          <w:sz w:val="28"/>
        </w:rPr>
        <w:t> </w:t>
      </w:r>
      <w:r>
        <w:rPr>
          <w:rFonts w:ascii="Courier New" w:hAnsi="Courier New"/>
          <w:sz w:val="28"/>
        </w:rPr>
        <w:t>width</w:t>
      </w:r>
      <w:r>
        <w:rPr>
          <w:rFonts w:ascii="Courier New" w:hAnsi="Courier New"/>
          <w:spacing w:val="-31"/>
          <w:sz w:val="28"/>
        </w:rPr>
        <w:t> </w:t>
      </w:r>
      <w:r>
        <w:rPr>
          <w:rFonts w:ascii="Courier New" w:hAnsi="Courier New"/>
          <w:sz w:val="28"/>
        </w:rPr>
        <w:t>of</w:t>
      </w:r>
      <w:r>
        <w:rPr>
          <w:rFonts w:ascii="Courier New" w:hAnsi="Courier New"/>
          <w:spacing w:val="-33"/>
          <w:sz w:val="28"/>
        </w:rPr>
        <w:t> </w:t>
      </w:r>
      <w:r>
        <w:rPr>
          <w:rFonts w:ascii="Courier New" w:hAnsi="Courier New"/>
          <w:sz w:val="28"/>
        </w:rPr>
        <w:t>about</w:t>
      </w:r>
      <w:r>
        <w:rPr>
          <w:rFonts w:ascii="Courier New" w:hAnsi="Courier New"/>
          <w:spacing w:val="-33"/>
          <w:sz w:val="28"/>
        </w:rPr>
        <w:t> </w:t>
      </w:r>
      <w:r>
        <w:rPr>
          <w:rFonts w:ascii="Courier New" w:hAnsi="Courier New"/>
          <w:sz w:val="28"/>
        </w:rPr>
        <w:t>4</w:t>
      </w:r>
      <w:r>
        <w:rPr>
          <w:rFonts w:ascii="Courier New" w:hAnsi="Courier New"/>
          <w:spacing w:val="-31"/>
          <w:sz w:val="28"/>
        </w:rPr>
        <w:t> </w:t>
      </w:r>
      <w:r>
        <w:rPr>
          <w:rFonts w:ascii="Courier New" w:hAnsi="Courier New"/>
          <w:sz w:val="28"/>
        </w:rPr>
        <w:t>ells,</w:t>
      </w:r>
      <w:r>
        <w:rPr>
          <w:rFonts w:ascii="Courier New" w:hAnsi="Courier New"/>
          <w:spacing w:val="-33"/>
          <w:sz w:val="28"/>
        </w:rPr>
        <w:t> </w:t>
      </w:r>
      <w:r>
        <w:rPr>
          <w:rFonts w:ascii="Courier New" w:hAnsi="Courier New"/>
          <w:sz w:val="28"/>
        </w:rPr>
        <w:t>which</w:t>
      </w:r>
      <w:r>
        <w:rPr>
          <w:rFonts w:ascii="Courier New" w:hAnsi="Courier New"/>
          <w:spacing w:val="-33"/>
          <w:sz w:val="28"/>
        </w:rPr>
        <w:t> </w:t>
      </w:r>
      <w:r>
        <w:rPr>
          <w:rFonts w:ascii="Courier New" w:hAnsi="Courier New"/>
          <w:sz w:val="28"/>
        </w:rPr>
        <w:t>is</w:t>
      </w:r>
      <w:r>
        <w:rPr>
          <w:rFonts w:ascii="Courier New" w:hAnsi="Courier New"/>
          <w:spacing w:val="-31"/>
          <w:sz w:val="28"/>
        </w:rPr>
        <w:t> </w:t>
      </w:r>
      <w:r>
        <w:rPr>
          <w:rFonts w:ascii="Courier New" w:hAnsi="Courier New"/>
          <w:sz w:val="28"/>
        </w:rPr>
        <w:t>called</w:t>
      </w:r>
      <w:r>
        <w:rPr>
          <w:rFonts w:ascii="Courier New" w:hAnsi="Courier New"/>
          <w:spacing w:val="-33"/>
          <w:sz w:val="28"/>
        </w:rPr>
        <w:t> </w:t>
      </w:r>
      <w:r>
        <w:rPr>
          <w:rFonts w:ascii="Courier New" w:hAnsi="Courier New"/>
          <w:sz w:val="28"/>
        </w:rPr>
        <w:t>Bedi (i.e. the “cradle”) by the Hindus. The reason for the faith and belief was also that there was a house where Beschan (Vishnu) was born in the form of</w:t>
      </w:r>
      <w:r>
        <w:rPr>
          <w:rFonts w:ascii="Courier New" w:hAnsi="Courier New"/>
          <w:spacing w:val="-2"/>
          <w:sz w:val="28"/>
        </w:rPr>
        <w:t> </w:t>
      </w:r>
      <w:r>
        <w:rPr>
          <w:rFonts w:ascii="Courier New" w:hAnsi="Courier New"/>
          <w:sz w:val="28"/>
        </w:rPr>
        <w:t>Ram.</w:t>
      </w:r>
    </w:p>
    <w:p>
      <w:pPr>
        <w:spacing w:line="480" w:lineRule="auto" w:before="0"/>
        <w:ind w:left="880" w:right="169" w:firstLine="719"/>
        <w:jc w:val="both"/>
        <w:rPr>
          <w:rFonts w:ascii="Courier New"/>
          <w:sz w:val="28"/>
        </w:rPr>
      </w:pPr>
      <w:r>
        <w:rPr>
          <w:rFonts w:ascii="Courier New"/>
          <w:sz w:val="28"/>
        </w:rPr>
        <w:t>Third,</w:t>
      </w:r>
      <w:r>
        <w:rPr>
          <w:rFonts w:ascii="Courier New"/>
          <w:spacing w:val="-25"/>
          <w:sz w:val="28"/>
        </w:rPr>
        <w:t> </w:t>
      </w:r>
      <w:r>
        <w:rPr>
          <w:rFonts w:ascii="Courier New"/>
          <w:sz w:val="28"/>
        </w:rPr>
        <w:t>that</w:t>
      </w:r>
      <w:r>
        <w:rPr>
          <w:rFonts w:ascii="Courier New"/>
          <w:spacing w:val="-25"/>
          <w:sz w:val="28"/>
        </w:rPr>
        <w:t> </w:t>
      </w:r>
      <w:r>
        <w:rPr>
          <w:rFonts w:ascii="Courier New"/>
          <w:sz w:val="28"/>
        </w:rPr>
        <w:t>Aurengzebe</w:t>
      </w:r>
      <w:r>
        <w:rPr>
          <w:rFonts w:ascii="Courier New"/>
          <w:spacing w:val="-25"/>
          <w:sz w:val="28"/>
        </w:rPr>
        <w:t> </w:t>
      </w:r>
      <w:r>
        <w:rPr>
          <w:rFonts w:ascii="Courier New"/>
          <w:sz w:val="28"/>
        </w:rPr>
        <w:t>or</w:t>
      </w:r>
      <w:r>
        <w:rPr>
          <w:rFonts w:ascii="Courier New"/>
          <w:spacing w:val="-25"/>
          <w:sz w:val="28"/>
        </w:rPr>
        <w:t> </w:t>
      </w:r>
      <w:r>
        <w:rPr>
          <w:rFonts w:ascii="Courier New"/>
          <w:sz w:val="28"/>
        </w:rPr>
        <w:t>Babar</w:t>
      </w:r>
      <w:r>
        <w:rPr>
          <w:rFonts w:ascii="Courier New"/>
          <w:spacing w:val="-25"/>
          <w:sz w:val="28"/>
        </w:rPr>
        <w:t> </w:t>
      </w:r>
      <w:r>
        <w:rPr>
          <w:rFonts w:ascii="Courier New"/>
          <w:sz w:val="28"/>
        </w:rPr>
        <w:t>got</w:t>
      </w:r>
      <w:r>
        <w:rPr>
          <w:rFonts w:ascii="Courier New"/>
          <w:spacing w:val="-25"/>
          <w:sz w:val="28"/>
        </w:rPr>
        <w:t> </w:t>
      </w:r>
      <w:r>
        <w:rPr>
          <w:rFonts w:ascii="Courier New"/>
          <w:sz w:val="28"/>
        </w:rPr>
        <w:t>this</w:t>
      </w:r>
      <w:r>
        <w:rPr>
          <w:rFonts w:ascii="Courier New"/>
          <w:spacing w:val="-25"/>
          <w:sz w:val="28"/>
        </w:rPr>
        <w:t> </w:t>
      </w:r>
      <w:r>
        <w:rPr>
          <w:rFonts w:ascii="Courier New"/>
          <w:sz w:val="28"/>
        </w:rPr>
        <w:t>place razed in order to deny the noble people, the opportunity of practicing their superstitions. However, there still exists some superstitious cult in some place or other. Since in the place where the native house of Ram existed, the Hindus go around 3 times and prostrate on the</w:t>
      </w:r>
      <w:r>
        <w:rPr>
          <w:rFonts w:ascii="Courier New"/>
          <w:spacing w:val="-16"/>
          <w:sz w:val="28"/>
        </w:rPr>
        <w:t> </w:t>
      </w:r>
      <w:r>
        <w:rPr>
          <w:rFonts w:ascii="Courier New"/>
          <w:sz w:val="28"/>
        </w:rPr>
        <w:t>floor.</w:t>
      </w:r>
    </w:p>
    <w:p>
      <w:pPr>
        <w:pStyle w:val="BodyText"/>
        <w:rPr>
          <w:rFonts w:ascii="Courier New"/>
          <w:sz w:val="32"/>
        </w:rPr>
      </w:pPr>
    </w:p>
    <w:p>
      <w:pPr>
        <w:pStyle w:val="ListParagraph"/>
        <w:numPr>
          <w:ilvl w:val="0"/>
          <w:numId w:val="255"/>
        </w:numPr>
        <w:tabs>
          <w:tab w:pos="825" w:val="left" w:leader="none"/>
        </w:tabs>
        <w:spacing w:line="480" w:lineRule="auto" w:before="270" w:after="0"/>
        <w:ind w:left="160" w:right="170" w:firstLine="0"/>
        <w:jc w:val="both"/>
        <w:rPr>
          <w:rFonts w:ascii="Courier New"/>
          <w:sz w:val="28"/>
        </w:rPr>
      </w:pPr>
      <w:r>
        <w:rPr>
          <w:rFonts w:ascii="Courier New"/>
          <w:sz w:val="28"/>
        </w:rPr>
        <w:t>The first Gazetteer relied is East India</w:t>
      </w:r>
      <w:r>
        <w:rPr>
          <w:rFonts w:ascii="Courier New"/>
          <w:spacing w:val="-69"/>
          <w:sz w:val="28"/>
        </w:rPr>
        <w:t> </w:t>
      </w:r>
      <w:r>
        <w:rPr>
          <w:rFonts w:ascii="Courier New"/>
          <w:sz w:val="28"/>
        </w:rPr>
        <w:t>Gazetteer of Walter Hamilton, first published in 1828. The Gazetteer contained particular descriptions of the Empires, Kingdoms, Principalities, provinces, cities, towns, districts, fortresses, harbours, rivers and lakes of</w:t>
      </w:r>
      <w:r>
        <w:rPr>
          <w:rFonts w:ascii="Courier New"/>
          <w:spacing w:val="-3"/>
          <w:sz w:val="28"/>
        </w:rPr>
        <w:t> </w:t>
      </w:r>
      <w:r>
        <w:rPr>
          <w:rFonts w:ascii="Courier New"/>
          <w:sz w:val="28"/>
        </w:rPr>
        <w:t>Hindostan.</w:t>
      </w:r>
    </w:p>
    <w:p>
      <w:pPr>
        <w:spacing w:after="0" w:line="480" w:lineRule="auto"/>
        <w:jc w:val="both"/>
        <w:rPr>
          <w:rFonts w:ascii="Courier New"/>
          <w:sz w:val="28"/>
        </w:rPr>
        <w:sectPr>
          <w:headerReference w:type="default" r:id="rId376"/>
          <w:footerReference w:type="default" r:id="rId377"/>
          <w:pgSz w:w="11910" w:h="16840"/>
          <w:pgMar w:header="0" w:footer="1063" w:top="1340" w:bottom="1260" w:left="1280" w:right="1280"/>
          <w:pgNumType w:start="83"/>
        </w:sectPr>
      </w:pPr>
    </w:p>
    <w:p>
      <w:pPr>
        <w:pStyle w:val="BodyText"/>
        <w:rPr>
          <w:rFonts w:ascii="Courier New"/>
          <w:sz w:val="20"/>
        </w:rPr>
      </w:pPr>
    </w:p>
    <w:p>
      <w:pPr>
        <w:pStyle w:val="ListParagraph"/>
        <w:numPr>
          <w:ilvl w:val="0"/>
          <w:numId w:val="255"/>
        </w:numPr>
        <w:tabs>
          <w:tab w:pos="897" w:val="left" w:leader="none"/>
        </w:tabs>
        <w:spacing w:line="480" w:lineRule="auto" w:before="253" w:after="0"/>
        <w:ind w:left="160" w:right="169" w:firstLine="0"/>
        <w:jc w:val="both"/>
        <w:rPr>
          <w:rFonts w:ascii="Courier New"/>
          <w:sz w:val="28"/>
        </w:rPr>
      </w:pPr>
      <w:r>
        <w:rPr>
          <w:rFonts w:ascii="Courier New"/>
          <w:sz w:val="28"/>
        </w:rPr>
        <w:t>The Gazetteer mentioned reputed site of temples dedicated to Ram, Sita, Lakshman and Hanuman. The Gazetteer further noticed that pilgrimage to Oudh are chiefly of the Ramata sect, who walk round the</w:t>
      </w:r>
      <w:r>
        <w:rPr>
          <w:rFonts w:ascii="Courier New"/>
          <w:spacing w:val="-79"/>
          <w:sz w:val="28"/>
        </w:rPr>
        <w:t> </w:t>
      </w:r>
      <w:r>
        <w:rPr>
          <w:rFonts w:ascii="Courier New"/>
          <w:sz w:val="28"/>
        </w:rPr>
        <w:t>temples and Idols, bathe in the holy pools, and perform the customary</w:t>
      </w:r>
      <w:r>
        <w:rPr>
          <w:rFonts w:ascii="Courier New"/>
          <w:spacing w:val="-2"/>
          <w:sz w:val="28"/>
        </w:rPr>
        <w:t> </w:t>
      </w:r>
      <w:r>
        <w:rPr>
          <w:rFonts w:ascii="Courier New"/>
          <w:sz w:val="28"/>
        </w:rPr>
        <w:t>ceremonies.</w:t>
      </w:r>
    </w:p>
    <w:p>
      <w:pPr>
        <w:pStyle w:val="BodyText"/>
        <w:spacing w:before="10"/>
        <w:rPr>
          <w:rFonts w:ascii="Courier New"/>
          <w:sz w:val="27"/>
        </w:rPr>
      </w:pPr>
    </w:p>
    <w:p>
      <w:pPr>
        <w:pStyle w:val="ListParagraph"/>
        <w:numPr>
          <w:ilvl w:val="0"/>
          <w:numId w:val="255"/>
        </w:numPr>
        <w:tabs>
          <w:tab w:pos="873" w:val="left" w:leader="none"/>
        </w:tabs>
        <w:spacing w:line="480" w:lineRule="auto" w:before="0" w:after="0"/>
        <w:ind w:left="160" w:right="170" w:firstLine="0"/>
        <w:jc w:val="both"/>
        <w:rPr>
          <w:rFonts w:ascii="Courier New"/>
          <w:sz w:val="28"/>
        </w:rPr>
      </w:pPr>
      <w:r>
        <w:rPr>
          <w:rFonts w:ascii="Courier New"/>
          <w:sz w:val="28"/>
        </w:rPr>
        <w:t>The next Gazette relied is History, Antiquities, Topography and Statistics of Eastern India (1838). While noticing the history and topography of Gorukhpoor, Montgomery Martin mentioned about Ayodhya and its</w:t>
      </w:r>
      <w:r>
        <w:rPr>
          <w:rFonts w:ascii="Courier New"/>
          <w:spacing w:val="-3"/>
          <w:sz w:val="28"/>
        </w:rPr>
        <w:t> </w:t>
      </w:r>
      <w:r>
        <w:rPr>
          <w:rFonts w:ascii="Courier New"/>
          <w:sz w:val="28"/>
        </w:rPr>
        <w:t>glory.</w:t>
      </w:r>
    </w:p>
    <w:p>
      <w:pPr>
        <w:pStyle w:val="BodyText"/>
        <w:rPr>
          <w:rFonts w:ascii="Courier New"/>
          <w:sz w:val="32"/>
        </w:rPr>
      </w:pPr>
    </w:p>
    <w:p>
      <w:pPr>
        <w:pStyle w:val="ListParagraph"/>
        <w:numPr>
          <w:ilvl w:val="0"/>
          <w:numId w:val="255"/>
        </w:numPr>
        <w:tabs>
          <w:tab w:pos="969" w:val="left" w:leader="none"/>
        </w:tabs>
        <w:spacing w:line="480" w:lineRule="auto" w:before="272" w:after="0"/>
        <w:ind w:left="160" w:right="171" w:firstLine="0"/>
        <w:jc w:val="both"/>
        <w:rPr>
          <w:rFonts w:ascii="Courier New" w:hAnsi="Courier New"/>
          <w:sz w:val="28"/>
        </w:rPr>
      </w:pPr>
      <w:r>
        <w:rPr>
          <w:rFonts w:ascii="Courier New" w:hAnsi="Courier New"/>
          <w:sz w:val="28"/>
        </w:rPr>
        <w:t>A Gazetteer was published by Edward Thornton “Gazetteer of India” (1854). In 1858, Edward Thornton published another Gazetteer namely “Gazetteer of the Territories under the Government of the East Indies Company of the native States on the Continent of India”, in which, a fairly large description of Oudh is</w:t>
      </w:r>
      <w:r>
        <w:rPr>
          <w:rFonts w:ascii="Courier New" w:hAnsi="Courier New"/>
          <w:spacing w:val="-2"/>
          <w:sz w:val="28"/>
        </w:rPr>
        <w:t> </w:t>
      </w:r>
      <w:r>
        <w:rPr>
          <w:rFonts w:ascii="Courier New" w:hAnsi="Courier New"/>
          <w:sz w:val="28"/>
        </w:rPr>
        <w:t>contained.</w:t>
      </w:r>
    </w:p>
    <w:p>
      <w:pPr>
        <w:spacing w:after="0" w:line="480" w:lineRule="auto"/>
        <w:jc w:val="both"/>
        <w:rPr>
          <w:rFonts w:ascii="Courier New" w:hAnsi="Courier New"/>
          <w:sz w:val="28"/>
        </w:rPr>
        <w:sectPr>
          <w:headerReference w:type="default" r:id="rId378"/>
          <w:footerReference w:type="default" r:id="rId379"/>
          <w:pgSz w:w="11910" w:h="16840"/>
          <w:pgMar w:header="0" w:footer="1063" w:top="1580" w:bottom="1260" w:left="1280" w:right="1280"/>
          <w:pgNumType w:start="84"/>
        </w:sectPr>
      </w:pPr>
    </w:p>
    <w:p>
      <w:pPr>
        <w:pStyle w:val="ListParagraph"/>
        <w:numPr>
          <w:ilvl w:val="0"/>
          <w:numId w:val="255"/>
        </w:numPr>
        <w:tabs>
          <w:tab w:pos="861" w:val="left" w:leader="none"/>
        </w:tabs>
        <w:spacing w:line="480" w:lineRule="auto" w:before="86" w:after="0"/>
        <w:ind w:left="159" w:right="155" w:firstLine="0"/>
        <w:jc w:val="both"/>
        <w:rPr>
          <w:rFonts w:ascii="Courier New" w:hAnsi="Courier New"/>
          <w:color w:val="1C1C1C"/>
          <w:sz w:val="28"/>
        </w:rPr>
      </w:pPr>
      <w:r>
        <w:rPr>
          <w:rFonts w:ascii="Courier New" w:hAnsi="Courier New"/>
          <w:color w:val="1C1C1C"/>
          <w:sz w:val="28"/>
        </w:rPr>
        <w:t>Reference of one more book which was filed as an exhibit needs a reference. The book Hadith-e-Sehba</w:t>
      </w:r>
      <w:r>
        <w:rPr>
          <w:rFonts w:ascii="Courier New" w:hAnsi="Courier New"/>
          <w:color w:val="1C1C1C"/>
          <w:spacing w:val="-66"/>
          <w:sz w:val="28"/>
        </w:rPr>
        <w:t> </w:t>
      </w:r>
      <w:r>
        <w:rPr>
          <w:rFonts w:ascii="Courier New" w:hAnsi="Courier New"/>
          <w:color w:val="1C1C1C"/>
          <w:sz w:val="28"/>
        </w:rPr>
        <w:t>was written by Mirza Jaan in the year 1856. In the book</w:t>
      </w:r>
      <w:r>
        <w:rPr>
          <w:rFonts w:ascii="Courier New" w:hAnsi="Courier New"/>
          <w:color w:val="1C1C1C"/>
          <w:spacing w:val="-71"/>
          <w:sz w:val="28"/>
        </w:rPr>
        <w:t> </w:t>
      </w:r>
      <w:r>
        <w:rPr>
          <w:rFonts w:ascii="Courier New" w:hAnsi="Courier New"/>
          <w:color w:val="1C1C1C"/>
          <w:sz w:val="28"/>
        </w:rPr>
        <w:t>it was mentioned that the place of worship called as birthplace of Lord Ram which was adjacent to</w:t>
      </w:r>
      <w:r>
        <w:rPr>
          <w:rFonts w:ascii="Courier New" w:hAnsi="Courier New"/>
          <w:color w:val="1C1C1C"/>
          <w:spacing w:val="-62"/>
          <w:sz w:val="28"/>
        </w:rPr>
        <w:t> </w:t>
      </w:r>
      <w:r>
        <w:rPr>
          <w:rFonts w:ascii="Courier New" w:hAnsi="Courier New"/>
          <w:color w:val="1C1C1C"/>
          <w:sz w:val="28"/>
        </w:rPr>
        <w:t>‘Sita-Ki- Rasoi’,</w:t>
      </w:r>
      <w:r>
        <w:rPr>
          <w:rFonts w:ascii="Courier New" w:hAnsi="Courier New"/>
          <w:color w:val="1C1C1C"/>
          <w:spacing w:val="-27"/>
          <w:sz w:val="28"/>
        </w:rPr>
        <w:t> </w:t>
      </w:r>
      <w:r>
        <w:rPr>
          <w:rFonts w:ascii="Courier New" w:hAnsi="Courier New"/>
          <w:color w:val="1C1C1C"/>
          <w:sz w:val="28"/>
        </w:rPr>
        <w:t>the</w:t>
      </w:r>
      <w:r>
        <w:rPr>
          <w:rFonts w:ascii="Courier New" w:hAnsi="Courier New"/>
          <w:color w:val="1C1C1C"/>
          <w:spacing w:val="-26"/>
          <w:sz w:val="28"/>
        </w:rPr>
        <w:t> </w:t>
      </w:r>
      <w:r>
        <w:rPr>
          <w:rFonts w:ascii="Courier New" w:hAnsi="Courier New"/>
          <w:color w:val="1C1C1C"/>
          <w:sz w:val="28"/>
        </w:rPr>
        <w:t>Mosque</w:t>
      </w:r>
      <w:r>
        <w:rPr>
          <w:rFonts w:ascii="Courier New" w:hAnsi="Courier New"/>
          <w:color w:val="1C1C1C"/>
          <w:spacing w:val="-26"/>
          <w:sz w:val="28"/>
        </w:rPr>
        <w:t> </w:t>
      </w:r>
      <w:r>
        <w:rPr>
          <w:rFonts w:ascii="Courier New" w:hAnsi="Courier New"/>
          <w:color w:val="1C1C1C"/>
          <w:sz w:val="28"/>
        </w:rPr>
        <w:t>was</w:t>
      </w:r>
      <w:r>
        <w:rPr>
          <w:rFonts w:ascii="Courier New" w:hAnsi="Courier New"/>
          <w:color w:val="1C1C1C"/>
          <w:spacing w:val="-26"/>
          <w:sz w:val="28"/>
        </w:rPr>
        <w:t> </w:t>
      </w:r>
      <w:r>
        <w:rPr>
          <w:rFonts w:ascii="Courier New" w:hAnsi="Courier New"/>
          <w:color w:val="1C1C1C"/>
          <w:sz w:val="28"/>
        </w:rPr>
        <w:t>constructed</w:t>
      </w:r>
      <w:r>
        <w:rPr>
          <w:rFonts w:ascii="Courier New" w:hAnsi="Courier New"/>
          <w:color w:val="1C1C1C"/>
          <w:spacing w:val="-26"/>
          <w:sz w:val="28"/>
        </w:rPr>
        <w:t> </w:t>
      </w:r>
      <w:r>
        <w:rPr>
          <w:rFonts w:ascii="Courier New" w:hAnsi="Courier New"/>
          <w:color w:val="1C1C1C"/>
          <w:sz w:val="28"/>
        </w:rPr>
        <w:t>by</w:t>
      </w:r>
      <w:r>
        <w:rPr>
          <w:rFonts w:ascii="Courier New" w:hAnsi="Courier New"/>
          <w:color w:val="1C1C1C"/>
          <w:spacing w:val="-26"/>
          <w:sz w:val="28"/>
        </w:rPr>
        <w:t> </w:t>
      </w:r>
      <w:r>
        <w:rPr>
          <w:rFonts w:ascii="Courier New" w:hAnsi="Courier New"/>
          <w:color w:val="1C1C1C"/>
          <w:sz w:val="28"/>
        </w:rPr>
        <w:t>Babar</w:t>
      </w:r>
      <w:r>
        <w:rPr>
          <w:rFonts w:ascii="Courier New" w:hAnsi="Courier New"/>
          <w:color w:val="1C1C1C"/>
          <w:spacing w:val="-26"/>
          <w:sz w:val="28"/>
        </w:rPr>
        <w:t> </w:t>
      </w:r>
      <w:r>
        <w:rPr>
          <w:rFonts w:ascii="Courier New" w:hAnsi="Courier New"/>
          <w:color w:val="1C1C1C"/>
          <w:sz w:val="28"/>
        </w:rPr>
        <w:t>in</w:t>
      </w:r>
      <w:r>
        <w:rPr>
          <w:rFonts w:ascii="Courier New" w:hAnsi="Courier New"/>
          <w:color w:val="1C1C1C"/>
          <w:spacing w:val="-26"/>
          <w:sz w:val="28"/>
        </w:rPr>
        <w:t> </w:t>
      </w:r>
      <w:r>
        <w:rPr>
          <w:rFonts w:ascii="Courier New" w:hAnsi="Courier New"/>
          <w:color w:val="1C1C1C"/>
          <w:sz w:val="28"/>
        </w:rPr>
        <w:t>the</w:t>
      </w:r>
      <w:r>
        <w:rPr>
          <w:rFonts w:ascii="Courier New" w:hAnsi="Courier New"/>
          <w:color w:val="1C1C1C"/>
          <w:spacing w:val="-26"/>
          <w:sz w:val="28"/>
        </w:rPr>
        <w:t> </w:t>
      </w:r>
      <w:r>
        <w:rPr>
          <w:rFonts w:ascii="Courier New" w:hAnsi="Courier New"/>
          <w:color w:val="1C1C1C"/>
          <w:sz w:val="28"/>
        </w:rPr>
        <w:t>year 923 Hijri. The translated copy of the book as</w:t>
      </w:r>
      <w:r>
        <w:rPr>
          <w:rFonts w:ascii="Courier New" w:hAnsi="Courier New"/>
          <w:color w:val="1C1C1C"/>
          <w:spacing w:val="100"/>
          <w:sz w:val="28"/>
        </w:rPr>
        <w:t> </w:t>
      </w:r>
      <w:r>
        <w:rPr>
          <w:rFonts w:ascii="Courier New" w:hAnsi="Courier New"/>
          <w:color w:val="1C1C1C"/>
          <w:sz w:val="28"/>
        </w:rPr>
        <w:t>exhibit</w:t>
      </w:r>
    </w:p>
    <w:p>
      <w:pPr>
        <w:spacing w:line="482" w:lineRule="auto" w:before="0"/>
        <w:ind w:left="159" w:right="162" w:firstLine="0"/>
        <w:jc w:val="both"/>
        <w:rPr>
          <w:rFonts w:ascii="Courier New"/>
          <w:sz w:val="28"/>
        </w:rPr>
      </w:pPr>
      <w:r>
        <w:rPr>
          <w:rFonts w:ascii="Courier New"/>
          <w:color w:val="1C1C1C"/>
          <w:sz w:val="28"/>
        </w:rPr>
        <w:t>17. The following extract from the book is relevant</w:t>
      </w:r>
      <w:r>
        <w:rPr>
          <w:rFonts w:ascii="Courier New"/>
          <w:color w:val="1C1C1C"/>
          <w:spacing w:val="-70"/>
          <w:sz w:val="28"/>
        </w:rPr>
        <w:t> </w:t>
      </w:r>
      <w:r>
        <w:rPr>
          <w:rFonts w:ascii="Courier New"/>
          <w:color w:val="1C1C1C"/>
          <w:sz w:val="28"/>
        </w:rPr>
        <w:t>to be noticed:-</w:t>
      </w:r>
    </w:p>
    <w:p>
      <w:pPr>
        <w:spacing w:line="240" w:lineRule="auto" w:before="133"/>
        <w:ind w:left="1011" w:right="1244" w:firstLine="0"/>
        <w:jc w:val="both"/>
        <w:rPr>
          <w:rFonts w:ascii="Courier New" w:hAnsi="Courier New"/>
          <w:i/>
          <w:sz w:val="28"/>
        </w:rPr>
      </w:pPr>
      <w:r>
        <w:rPr>
          <w:rFonts w:ascii="Courier New" w:hAnsi="Courier New"/>
          <w:i/>
          <w:color w:val="1C1C1C"/>
          <w:sz w:val="28"/>
        </w:rPr>
        <w:t>“The above mentioned place is called seat </w:t>
      </w:r>
      <w:r>
        <w:rPr>
          <w:rFonts w:ascii="Courier New" w:hAnsi="Courier New"/>
          <w:i/>
          <w:color w:val="1C1C1C"/>
          <w:sz w:val="28"/>
        </w:rPr>
        <w:t>of father of Lord Rama. Places of Idol worshiping situated here were demolished and</w:t>
      </w:r>
      <w:r>
        <w:rPr>
          <w:rFonts w:ascii="Courier New" w:hAnsi="Courier New"/>
          <w:i/>
          <w:color w:val="1C1C1C"/>
          <w:spacing w:val="-37"/>
          <w:sz w:val="28"/>
        </w:rPr>
        <w:t> </w:t>
      </w:r>
      <w:r>
        <w:rPr>
          <w:rFonts w:ascii="Courier New" w:hAnsi="Courier New"/>
          <w:i/>
          <w:color w:val="1C1C1C"/>
          <w:sz w:val="28"/>
        </w:rPr>
        <w:t>even</w:t>
      </w:r>
      <w:r>
        <w:rPr>
          <w:rFonts w:ascii="Courier New" w:hAnsi="Courier New"/>
          <w:i/>
          <w:color w:val="1C1C1C"/>
          <w:spacing w:val="-36"/>
          <w:sz w:val="28"/>
        </w:rPr>
        <w:t> </w:t>
      </w:r>
      <w:r>
        <w:rPr>
          <w:rFonts w:ascii="Courier New" w:hAnsi="Courier New"/>
          <w:i/>
          <w:color w:val="1C1C1C"/>
          <w:sz w:val="28"/>
        </w:rPr>
        <w:t>a</w:t>
      </w:r>
      <w:r>
        <w:rPr>
          <w:rFonts w:ascii="Courier New" w:hAnsi="Courier New"/>
          <w:i/>
          <w:color w:val="1C1C1C"/>
          <w:spacing w:val="-36"/>
          <w:sz w:val="28"/>
        </w:rPr>
        <w:t> </w:t>
      </w:r>
      <w:r>
        <w:rPr>
          <w:rFonts w:ascii="Courier New" w:hAnsi="Courier New"/>
          <w:i/>
          <w:color w:val="1C1C1C"/>
          <w:sz w:val="28"/>
        </w:rPr>
        <w:t>single</w:t>
      </w:r>
      <w:r>
        <w:rPr>
          <w:rFonts w:ascii="Courier New" w:hAnsi="Courier New"/>
          <w:i/>
          <w:color w:val="1C1C1C"/>
          <w:spacing w:val="-36"/>
          <w:sz w:val="28"/>
        </w:rPr>
        <w:t> </w:t>
      </w:r>
      <w:r>
        <w:rPr>
          <w:rFonts w:ascii="Courier New" w:hAnsi="Courier New"/>
          <w:i/>
          <w:color w:val="1C1C1C"/>
          <w:sz w:val="28"/>
        </w:rPr>
        <w:t>piece</w:t>
      </w:r>
      <w:r>
        <w:rPr>
          <w:rFonts w:ascii="Courier New" w:hAnsi="Courier New"/>
          <w:i/>
          <w:color w:val="1C1C1C"/>
          <w:spacing w:val="-36"/>
          <w:sz w:val="28"/>
        </w:rPr>
        <w:t> </w:t>
      </w:r>
      <w:r>
        <w:rPr>
          <w:rFonts w:ascii="Courier New" w:hAnsi="Courier New"/>
          <w:i/>
          <w:color w:val="1C1C1C"/>
          <w:sz w:val="28"/>
        </w:rPr>
        <w:t>of</w:t>
      </w:r>
      <w:r>
        <w:rPr>
          <w:rFonts w:ascii="Courier New" w:hAnsi="Courier New"/>
          <w:i/>
          <w:color w:val="1C1C1C"/>
          <w:spacing w:val="-36"/>
          <w:sz w:val="28"/>
        </w:rPr>
        <w:t> </w:t>
      </w:r>
      <w:r>
        <w:rPr>
          <w:rFonts w:ascii="Courier New" w:hAnsi="Courier New"/>
          <w:i/>
          <w:color w:val="1C1C1C"/>
          <w:sz w:val="28"/>
        </w:rPr>
        <w:t>any</w:t>
      </w:r>
      <w:r>
        <w:rPr>
          <w:rFonts w:ascii="Courier New" w:hAnsi="Courier New"/>
          <w:i/>
          <w:color w:val="1C1C1C"/>
          <w:spacing w:val="-36"/>
          <w:sz w:val="28"/>
        </w:rPr>
        <w:t> </w:t>
      </w:r>
      <w:r>
        <w:rPr>
          <w:rFonts w:ascii="Courier New" w:hAnsi="Courier New"/>
          <w:i/>
          <w:color w:val="1C1C1C"/>
          <w:sz w:val="28"/>
        </w:rPr>
        <w:t>Idol</w:t>
      </w:r>
      <w:r>
        <w:rPr>
          <w:rFonts w:ascii="Courier New" w:hAnsi="Courier New"/>
          <w:i/>
          <w:color w:val="1C1C1C"/>
          <w:spacing w:val="-36"/>
          <w:sz w:val="28"/>
        </w:rPr>
        <w:t> </w:t>
      </w:r>
      <w:r>
        <w:rPr>
          <w:rFonts w:ascii="Courier New" w:hAnsi="Courier New"/>
          <w:i/>
          <w:color w:val="1C1C1C"/>
          <w:sz w:val="28"/>
        </w:rPr>
        <w:t>of</w:t>
      </w:r>
      <w:r>
        <w:rPr>
          <w:rFonts w:ascii="Courier New" w:hAnsi="Courier New"/>
          <w:i/>
          <w:color w:val="1C1C1C"/>
          <w:spacing w:val="-36"/>
          <w:sz w:val="28"/>
        </w:rPr>
        <w:t> </w:t>
      </w:r>
      <w:r>
        <w:rPr>
          <w:rFonts w:ascii="Courier New" w:hAnsi="Courier New"/>
          <w:i/>
          <w:color w:val="1C1C1C"/>
          <w:sz w:val="28"/>
        </w:rPr>
        <w:t>Hindu religion was left there un-demolished. The place</w:t>
      </w:r>
      <w:r>
        <w:rPr>
          <w:rFonts w:ascii="Courier New" w:hAnsi="Courier New"/>
          <w:i/>
          <w:color w:val="1C1C1C"/>
          <w:spacing w:val="-22"/>
          <w:sz w:val="28"/>
        </w:rPr>
        <w:t> </w:t>
      </w:r>
      <w:r>
        <w:rPr>
          <w:rFonts w:ascii="Courier New" w:hAnsi="Courier New"/>
          <w:i/>
          <w:color w:val="1C1C1C"/>
          <w:sz w:val="28"/>
        </w:rPr>
        <w:t>where</w:t>
      </w:r>
      <w:r>
        <w:rPr>
          <w:rFonts w:ascii="Courier New" w:hAnsi="Courier New"/>
          <w:i/>
          <w:color w:val="1C1C1C"/>
          <w:spacing w:val="-22"/>
          <w:sz w:val="28"/>
        </w:rPr>
        <w:t> </w:t>
      </w:r>
      <w:r>
        <w:rPr>
          <w:rFonts w:ascii="Courier New" w:hAnsi="Courier New"/>
          <w:i/>
          <w:color w:val="1C1C1C"/>
          <w:sz w:val="28"/>
        </w:rPr>
        <w:t>was</w:t>
      </w:r>
      <w:r>
        <w:rPr>
          <w:rFonts w:ascii="Courier New" w:hAnsi="Courier New"/>
          <w:i/>
          <w:color w:val="1C1C1C"/>
          <w:spacing w:val="-22"/>
          <w:sz w:val="28"/>
        </w:rPr>
        <w:t> </w:t>
      </w:r>
      <w:r>
        <w:rPr>
          <w:rFonts w:ascii="Courier New" w:hAnsi="Courier New"/>
          <w:i/>
          <w:color w:val="1C1C1C"/>
          <w:sz w:val="28"/>
        </w:rPr>
        <w:t>big</w:t>
      </w:r>
      <w:r>
        <w:rPr>
          <w:rFonts w:ascii="Courier New" w:hAnsi="Courier New"/>
          <w:i/>
          <w:color w:val="1C1C1C"/>
          <w:spacing w:val="-22"/>
          <w:sz w:val="28"/>
        </w:rPr>
        <w:t> </w:t>
      </w:r>
      <w:r>
        <w:rPr>
          <w:rFonts w:ascii="Courier New" w:hAnsi="Courier New"/>
          <w:i/>
          <w:color w:val="1C1C1C"/>
          <w:sz w:val="28"/>
        </w:rPr>
        <w:t>temple</w:t>
      </w:r>
      <w:r>
        <w:rPr>
          <w:rFonts w:ascii="Courier New" w:hAnsi="Courier New"/>
          <w:i/>
          <w:color w:val="1C1C1C"/>
          <w:spacing w:val="-21"/>
          <w:sz w:val="28"/>
        </w:rPr>
        <w:t> </w:t>
      </w:r>
      <w:r>
        <w:rPr>
          <w:rFonts w:ascii="Courier New" w:hAnsi="Courier New"/>
          <w:i/>
          <w:color w:val="1C1C1C"/>
          <w:sz w:val="28"/>
        </w:rPr>
        <w:t>of</w:t>
      </w:r>
      <w:r>
        <w:rPr>
          <w:rFonts w:ascii="Courier New" w:hAnsi="Courier New"/>
          <w:i/>
          <w:color w:val="1C1C1C"/>
          <w:spacing w:val="-22"/>
          <w:sz w:val="28"/>
        </w:rPr>
        <w:t> </w:t>
      </w:r>
      <w:r>
        <w:rPr>
          <w:rFonts w:ascii="Courier New" w:hAnsi="Courier New"/>
          <w:i/>
          <w:color w:val="1C1C1C"/>
          <w:sz w:val="28"/>
        </w:rPr>
        <w:t>Hindu</w:t>
      </w:r>
      <w:r>
        <w:rPr>
          <w:rFonts w:ascii="Courier New" w:hAnsi="Courier New"/>
          <w:i/>
          <w:color w:val="1C1C1C"/>
          <w:spacing w:val="-22"/>
          <w:sz w:val="28"/>
        </w:rPr>
        <w:t> </w:t>
      </w:r>
      <w:r>
        <w:rPr>
          <w:rFonts w:ascii="Courier New" w:hAnsi="Courier New"/>
          <w:i/>
          <w:color w:val="1C1C1C"/>
          <w:sz w:val="28"/>
        </w:rPr>
        <w:t>people, big Masjid was constructed and the place where was small temple of Hindu people, there small Masjid was constructed. The place of worship is called birthplace of Lord Rama and the place which is adjacent to it, is called "Sita Ki Rasoi" and Sita is called wife of Lord Rama. At that place Babar Shah got constructed a very big Masjid under the supervision of Sayyad Musha</w:t>
      </w:r>
      <w:r>
        <w:rPr>
          <w:rFonts w:ascii="Courier New" w:hAnsi="Courier New"/>
          <w:i/>
          <w:color w:val="1C1C1C"/>
          <w:spacing w:val="-20"/>
          <w:sz w:val="28"/>
        </w:rPr>
        <w:t> </w:t>
      </w:r>
      <w:r>
        <w:rPr>
          <w:rFonts w:ascii="Courier New" w:hAnsi="Courier New"/>
          <w:i/>
          <w:color w:val="1C1C1C"/>
          <w:sz w:val="28"/>
        </w:rPr>
        <w:t>Ashiqan</w:t>
      </w:r>
      <w:r>
        <w:rPr>
          <w:rFonts w:ascii="Courier New" w:hAnsi="Courier New"/>
          <w:i/>
          <w:color w:val="1C1C1C"/>
          <w:spacing w:val="-19"/>
          <w:sz w:val="28"/>
        </w:rPr>
        <w:t> </w:t>
      </w:r>
      <w:r>
        <w:rPr>
          <w:rFonts w:ascii="Courier New" w:hAnsi="Courier New"/>
          <w:i/>
          <w:color w:val="1C1C1C"/>
          <w:sz w:val="28"/>
        </w:rPr>
        <w:t>in</w:t>
      </w:r>
      <w:r>
        <w:rPr>
          <w:rFonts w:ascii="Courier New" w:hAnsi="Courier New"/>
          <w:i/>
          <w:color w:val="1C1C1C"/>
          <w:spacing w:val="-20"/>
          <w:sz w:val="28"/>
        </w:rPr>
        <w:t> </w:t>
      </w:r>
      <w:r>
        <w:rPr>
          <w:rFonts w:ascii="Courier New" w:hAnsi="Courier New"/>
          <w:i/>
          <w:color w:val="1C1C1C"/>
          <w:sz w:val="28"/>
        </w:rPr>
        <w:t>the</w:t>
      </w:r>
      <w:r>
        <w:rPr>
          <w:rFonts w:ascii="Courier New" w:hAnsi="Courier New"/>
          <w:i/>
          <w:color w:val="1C1C1C"/>
          <w:spacing w:val="-19"/>
          <w:sz w:val="28"/>
        </w:rPr>
        <w:t> </w:t>
      </w:r>
      <w:r>
        <w:rPr>
          <w:rFonts w:ascii="Courier New" w:hAnsi="Courier New"/>
          <w:i/>
          <w:color w:val="1C1C1C"/>
          <w:sz w:val="28"/>
        </w:rPr>
        <w:t>year</w:t>
      </w:r>
      <w:r>
        <w:rPr>
          <w:rFonts w:ascii="Courier New" w:hAnsi="Courier New"/>
          <w:i/>
          <w:color w:val="1C1C1C"/>
          <w:spacing w:val="-19"/>
          <w:sz w:val="28"/>
        </w:rPr>
        <w:t> </w:t>
      </w:r>
      <w:r>
        <w:rPr>
          <w:rFonts w:ascii="Courier New" w:hAnsi="Courier New"/>
          <w:i/>
          <w:color w:val="1C1C1C"/>
          <w:sz w:val="28"/>
        </w:rPr>
        <w:t>923</w:t>
      </w:r>
      <w:r>
        <w:rPr>
          <w:rFonts w:ascii="Courier New" w:hAnsi="Courier New"/>
          <w:i/>
          <w:color w:val="1C1C1C"/>
          <w:spacing w:val="-20"/>
          <w:sz w:val="28"/>
        </w:rPr>
        <w:t> </w:t>
      </w:r>
      <w:r>
        <w:rPr>
          <w:rFonts w:ascii="Courier New" w:hAnsi="Courier New"/>
          <w:i/>
          <w:color w:val="1C1C1C"/>
          <w:sz w:val="28"/>
        </w:rPr>
        <w:t>Hijri</w:t>
      </w:r>
      <w:r>
        <w:rPr>
          <w:rFonts w:ascii="Courier New" w:hAnsi="Courier New"/>
          <w:i/>
          <w:color w:val="1C1C1C"/>
          <w:spacing w:val="-19"/>
          <w:sz w:val="28"/>
        </w:rPr>
        <w:t> </w:t>
      </w:r>
      <w:r>
        <w:rPr>
          <w:rFonts w:ascii="Courier New" w:hAnsi="Courier New"/>
          <w:i/>
          <w:color w:val="1C1C1C"/>
          <w:sz w:val="28"/>
        </w:rPr>
        <w:t>and</w:t>
      </w:r>
      <w:r>
        <w:rPr>
          <w:rFonts w:ascii="Courier New" w:hAnsi="Courier New"/>
          <w:i/>
          <w:color w:val="1C1C1C"/>
          <w:spacing w:val="-19"/>
          <w:sz w:val="28"/>
        </w:rPr>
        <w:t> </w:t>
      </w:r>
      <w:r>
        <w:rPr>
          <w:rFonts w:ascii="Courier New" w:hAnsi="Courier New"/>
          <w:i/>
          <w:color w:val="1C1C1C"/>
          <w:sz w:val="28"/>
        </w:rPr>
        <w:t>its history is still maintained. Today the above-mentioned "Sita Ki Rasoi" is called the</w:t>
      </w:r>
      <w:r>
        <w:rPr>
          <w:rFonts w:ascii="Courier New" w:hAnsi="Courier New"/>
          <w:i/>
          <w:color w:val="1C1C1C"/>
          <w:spacing w:val="-2"/>
          <w:sz w:val="28"/>
        </w:rPr>
        <w:t> </w:t>
      </w:r>
      <w:r>
        <w:rPr>
          <w:rFonts w:ascii="Courier New" w:hAnsi="Courier New"/>
          <w:i/>
          <w:color w:val="1C1C1C"/>
          <w:sz w:val="28"/>
        </w:rPr>
        <w:t>Masjid.”</w:t>
      </w:r>
    </w:p>
    <w:p>
      <w:pPr>
        <w:pStyle w:val="BodyText"/>
        <w:rPr>
          <w:rFonts w:ascii="Courier New"/>
          <w:i/>
          <w:sz w:val="32"/>
        </w:rPr>
      </w:pPr>
    </w:p>
    <w:p>
      <w:pPr>
        <w:pStyle w:val="ListParagraph"/>
        <w:numPr>
          <w:ilvl w:val="0"/>
          <w:numId w:val="256"/>
        </w:numPr>
        <w:tabs>
          <w:tab w:pos="861" w:val="left" w:leader="none"/>
        </w:tabs>
        <w:spacing w:line="480" w:lineRule="auto" w:before="234" w:after="0"/>
        <w:ind w:left="159" w:right="158" w:firstLine="0"/>
        <w:jc w:val="both"/>
        <w:rPr>
          <w:rFonts w:ascii="Courier New"/>
          <w:color w:val="1C1C1C"/>
          <w:sz w:val="28"/>
        </w:rPr>
      </w:pPr>
      <w:r>
        <w:rPr>
          <w:rFonts w:ascii="Courier New"/>
          <w:color w:val="1C1C1C"/>
          <w:sz w:val="28"/>
        </w:rPr>
        <w:t>The book is relevant since it was written in the year</w:t>
      </w:r>
      <w:r>
        <w:rPr>
          <w:rFonts w:ascii="Courier New"/>
          <w:color w:val="1C1C1C"/>
          <w:spacing w:val="33"/>
          <w:sz w:val="28"/>
        </w:rPr>
        <w:t> </w:t>
      </w:r>
      <w:r>
        <w:rPr>
          <w:rFonts w:ascii="Courier New"/>
          <w:color w:val="1C1C1C"/>
          <w:sz w:val="28"/>
        </w:rPr>
        <w:t>1856</w:t>
      </w:r>
      <w:r>
        <w:rPr>
          <w:rFonts w:ascii="Courier New"/>
          <w:color w:val="1C1C1C"/>
          <w:spacing w:val="34"/>
          <w:sz w:val="28"/>
        </w:rPr>
        <w:t> </w:t>
      </w:r>
      <w:r>
        <w:rPr>
          <w:rFonts w:ascii="Courier New"/>
          <w:color w:val="1C1C1C"/>
          <w:sz w:val="28"/>
        </w:rPr>
        <w:t>which</w:t>
      </w:r>
      <w:r>
        <w:rPr>
          <w:rFonts w:ascii="Courier New"/>
          <w:color w:val="1C1C1C"/>
          <w:spacing w:val="34"/>
          <w:sz w:val="28"/>
        </w:rPr>
        <w:t> </w:t>
      </w:r>
      <w:r>
        <w:rPr>
          <w:rFonts w:ascii="Courier New"/>
          <w:color w:val="1C1C1C"/>
          <w:sz w:val="28"/>
        </w:rPr>
        <w:t>was</w:t>
      </w:r>
      <w:r>
        <w:rPr>
          <w:rFonts w:ascii="Courier New"/>
          <w:color w:val="1C1C1C"/>
          <w:spacing w:val="34"/>
          <w:sz w:val="28"/>
        </w:rPr>
        <w:t> </w:t>
      </w:r>
      <w:r>
        <w:rPr>
          <w:rFonts w:ascii="Courier New"/>
          <w:color w:val="1C1C1C"/>
          <w:sz w:val="28"/>
        </w:rPr>
        <w:t>the</w:t>
      </w:r>
      <w:r>
        <w:rPr>
          <w:rFonts w:ascii="Courier New"/>
          <w:color w:val="1C1C1C"/>
          <w:spacing w:val="33"/>
          <w:sz w:val="28"/>
        </w:rPr>
        <w:t> </w:t>
      </w:r>
      <w:r>
        <w:rPr>
          <w:rFonts w:ascii="Courier New"/>
          <w:color w:val="1C1C1C"/>
          <w:sz w:val="28"/>
        </w:rPr>
        <w:t>period</w:t>
      </w:r>
      <w:r>
        <w:rPr>
          <w:rFonts w:ascii="Courier New"/>
          <w:color w:val="1C1C1C"/>
          <w:spacing w:val="34"/>
          <w:sz w:val="28"/>
        </w:rPr>
        <w:t> </w:t>
      </w:r>
      <w:r>
        <w:rPr>
          <w:rFonts w:ascii="Courier New"/>
          <w:color w:val="1C1C1C"/>
          <w:sz w:val="28"/>
        </w:rPr>
        <w:t>of</w:t>
      </w:r>
      <w:r>
        <w:rPr>
          <w:rFonts w:ascii="Courier New"/>
          <w:color w:val="1C1C1C"/>
          <w:spacing w:val="34"/>
          <w:sz w:val="28"/>
        </w:rPr>
        <w:t> </w:t>
      </w:r>
      <w:r>
        <w:rPr>
          <w:rFonts w:ascii="Courier New"/>
          <w:color w:val="1C1C1C"/>
          <w:sz w:val="28"/>
        </w:rPr>
        <w:t>dissension</w:t>
      </w:r>
      <w:r>
        <w:rPr>
          <w:rFonts w:ascii="Courier New"/>
          <w:color w:val="1C1C1C"/>
          <w:spacing w:val="34"/>
          <w:sz w:val="28"/>
        </w:rPr>
        <w:t> </w:t>
      </w:r>
      <w:r>
        <w:rPr>
          <w:rFonts w:ascii="Courier New"/>
          <w:color w:val="1C1C1C"/>
          <w:sz w:val="28"/>
        </w:rPr>
        <w:t>between</w:t>
      </w:r>
    </w:p>
    <w:p>
      <w:pPr>
        <w:spacing w:after="0" w:line="480" w:lineRule="auto"/>
        <w:jc w:val="both"/>
        <w:rPr>
          <w:rFonts w:ascii="Courier New"/>
          <w:sz w:val="28"/>
        </w:rPr>
        <w:sectPr>
          <w:headerReference w:type="default" r:id="rId380"/>
          <w:footerReference w:type="default" r:id="rId381"/>
          <w:pgSz w:w="11910" w:h="16840"/>
          <w:pgMar w:header="0" w:footer="1063" w:top="1340" w:bottom="1260" w:left="1280" w:right="1280"/>
          <w:pgNumType w:start="85"/>
        </w:sectPr>
      </w:pPr>
    </w:p>
    <w:p>
      <w:pPr>
        <w:spacing w:line="480" w:lineRule="auto" w:before="86"/>
        <w:ind w:left="160" w:right="158" w:firstLine="0"/>
        <w:jc w:val="both"/>
        <w:rPr>
          <w:rFonts w:ascii="Courier New"/>
          <w:sz w:val="28"/>
        </w:rPr>
      </w:pPr>
      <w:r>
        <w:rPr>
          <w:rFonts w:ascii="Courier New"/>
          <w:color w:val="1C1C1C"/>
          <w:sz w:val="28"/>
        </w:rPr>
        <w:t>Hindus</w:t>
      </w:r>
      <w:r>
        <w:rPr>
          <w:rFonts w:ascii="Courier New"/>
          <w:color w:val="1C1C1C"/>
          <w:spacing w:val="-27"/>
          <w:sz w:val="28"/>
        </w:rPr>
        <w:t> </w:t>
      </w:r>
      <w:r>
        <w:rPr>
          <w:rFonts w:ascii="Courier New"/>
          <w:color w:val="1C1C1C"/>
          <w:sz w:val="28"/>
        </w:rPr>
        <w:t>and</w:t>
      </w:r>
      <w:r>
        <w:rPr>
          <w:rFonts w:ascii="Courier New"/>
          <w:color w:val="1C1C1C"/>
          <w:spacing w:val="-26"/>
          <w:sz w:val="28"/>
        </w:rPr>
        <w:t> </w:t>
      </w:r>
      <w:r>
        <w:rPr>
          <w:rFonts w:ascii="Courier New"/>
          <w:color w:val="1C1C1C"/>
          <w:sz w:val="28"/>
        </w:rPr>
        <w:t>Muslims</w:t>
      </w:r>
      <w:r>
        <w:rPr>
          <w:rFonts w:ascii="Courier New"/>
          <w:color w:val="1C1C1C"/>
          <w:spacing w:val="-26"/>
          <w:sz w:val="28"/>
        </w:rPr>
        <w:t> </w:t>
      </w:r>
      <w:r>
        <w:rPr>
          <w:rFonts w:ascii="Courier New"/>
          <w:color w:val="1C1C1C"/>
          <w:sz w:val="28"/>
        </w:rPr>
        <w:t>with</w:t>
      </w:r>
      <w:r>
        <w:rPr>
          <w:rFonts w:ascii="Courier New"/>
          <w:color w:val="1C1C1C"/>
          <w:spacing w:val="-27"/>
          <w:sz w:val="28"/>
        </w:rPr>
        <w:t> </w:t>
      </w:r>
      <w:r>
        <w:rPr>
          <w:rFonts w:ascii="Courier New"/>
          <w:color w:val="1C1C1C"/>
          <w:sz w:val="28"/>
        </w:rPr>
        <w:t>regard</w:t>
      </w:r>
      <w:r>
        <w:rPr>
          <w:rFonts w:ascii="Courier New"/>
          <w:color w:val="1C1C1C"/>
          <w:spacing w:val="-26"/>
          <w:sz w:val="28"/>
        </w:rPr>
        <w:t> </w:t>
      </w:r>
      <w:r>
        <w:rPr>
          <w:rFonts w:ascii="Courier New"/>
          <w:color w:val="1C1C1C"/>
          <w:sz w:val="28"/>
        </w:rPr>
        <w:t>to</w:t>
      </w:r>
      <w:r>
        <w:rPr>
          <w:rFonts w:ascii="Courier New"/>
          <w:color w:val="1C1C1C"/>
          <w:spacing w:val="-26"/>
          <w:sz w:val="28"/>
        </w:rPr>
        <w:t> </w:t>
      </w:r>
      <w:r>
        <w:rPr>
          <w:rFonts w:ascii="Courier New"/>
          <w:color w:val="1C1C1C"/>
          <w:sz w:val="28"/>
        </w:rPr>
        <w:t>issue</w:t>
      </w:r>
      <w:r>
        <w:rPr>
          <w:rFonts w:ascii="Courier New"/>
          <w:color w:val="1C1C1C"/>
          <w:spacing w:val="-27"/>
          <w:sz w:val="28"/>
        </w:rPr>
        <w:t> </w:t>
      </w:r>
      <w:r>
        <w:rPr>
          <w:rFonts w:ascii="Courier New"/>
          <w:color w:val="1C1C1C"/>
          <w:sz w:val="28"/>
        </w:rPr>
        <w:t>of</w:t>
      </w:r>
      <w:r>
        <w:rPr>
          <w:rFonts w:ascii="Courier New"/>
          <w:color w:val="1C1C1C"/>
          <w:spacing w:val="-24"/>
          <w:sz w:val="28"/>
        </w:rPr>
        <w:t> </w:t>
      </w:r>
      <w:r>
        <w:rPr>
          <w:rFonts w:ascii="Courier New"/>
          <w:color w:val="1C1C1C"/>
          <w:sz w:val="28"/>
        </w:rPr>
        <w:t>Idol</w:t>
      </w:r>
      <w:r>
        <w:rPr>
          <w:rFonts w:ascii="Courier New"/>
          <w:color w:val="1C1C1C"/>
          <w:spacing w:val="-26"/>
          <w:sz w:val="28"/>
        </w:rPr>
        <w:t> </w:t>
      </w:r>
      <w:r>
        <w:rPr>
          <w:rFonts w:ascii="Courier New"/>
          <w:color w:val="1C1C1C"/>
          <w:sz w:val="28"/>
        </w:rPr>
        <w:t>worship at Ayodhya. The book candidly accepts that at the janamsthan of Lord Ram, Mosque was constructed by Babar.</w:t>
      </w:r>
    </w:p>
    <w:p>
      <w:pPr>
        <w:pStyle w:val="BodyText"/>
        <w:rPr>
          <w:rFonts w:ascii="Courier New"/>
          <w:sz w:val="32"/>
        </w:rPr>
      </w:pPr>
    </w:p>
    <w:p>
      <w:pPr>
        <w:pStyle w:val="BodyText"/>
        <w:rPr>
          <w:rFonts w:ascii="Courier New"/>
          <w:sz w:val="32"/>
        </w:rPr>
      </w:pPr>
    </w:p>
    <w:p>
      <w:pPr>
        <w:pStyle w:val="BodyText"/>
        <w:spacing w:before="10"/>
        <w:rPr>
          <w:rFonts w:ascii="Courier New"/>
          <w:sz w:val="45"/>
        </w:rPr>
      </w:pPr>
    </w:p>
    <w:p>
      <w:pPr>
        <w:spacing w:before="0"/>
        <w:ind w:left="160" w:right="172" w:firstLine="0"/>
        <w:jc w:val="both"/>
        <w:rPr>
          <w:rFonts w:ascii="Courier New"/>
          <w:b/>
          <w:sz w:val="28"/>
        </w:rPr>
      </w:pPr>
      <w:r>
        <w:rPr>
          <w:rFonts w:ascii="Courier New"/>
          <w:b/>
          <w:sz w:val="28"/>
          <w:u w:val="thick"/>
        </w:rPr>
        <w:t>Faith and belief of Hindus regarding Janma Asthan of</w:t>
      </w:r>
      <w:r>
        <w:rPr>
          <w:rFonts w:ascii="Courier New"/>
          <w:b/>
          <w:sz w:val="28"/>
        </w:rPr>
        <w:t> </w:t>
      </w:r>
      <w:r>
        <w:rPr>
          <w:rFonts w:ascii="Courier New"/>
          <w:b/>
          <w:sz w:val="28"/>
          <w:u w:val="thick"/>
        </w:rPr>
        <w:t>Lord Ram during the period 1858 to 1949.</w:t>
      </w:r>
    </w:p>
    <w:p>
      <w:pPr>
        <w:pStyle w:val="BodyText"/>
        <w:rPr>
          <w:rFonts w:ascii="Courier New"/>
          <w:b/>
          <w:sz w:val="20"/>
        </w:rPr>
      </w:pPr>
    </w:p>
    <w:p>
      <w:pPr>
        <w:pStyle w:val="BodyText"/>
        <w:spacing w:before="2"/>
        <w:rPr>
          <w:rFonts w:ascii="Courier New"/>
          <w:b/>
          <w:sz w:val="27"/>
        </w:rPr>
      </w:pPr>
    </w:p>
    <w:p>
      <w:pPr>
        <w:pStyle w:val="ListParagraph"/>
        <w:numPr>
          <w:ilvl w:val="0"/>
          <w:numId w:val="256"/>
        </w:numPr>
        <w:tabs>
          <w:tab w:pos="849" w:val="left" w:leader="none"/>
        </w:tabs>
        <w:spacing w:line="480" w:lineRule="auto" w:before="101" w:after="0"/>
        <w:ind w:left="160" w:right="170" w:firstLine="0"/>
        <w:jc w:val="both"/>
        <w:rPr>
          <w:rFonts w:ascii="Courier New"/>
          <w:sz w:val="28"/>
        </w:rPr>
      </w:pPr>
      <w:r>
        <w:rPr>
          <w:rFonts w:ascii="Courier New"/>
          <w:sz w:val="28"/>
        </w:rPr>
        <w:t>During this period, there are several Gazetteers, reports of A.S.I., books and other documentary evidence, which have been exhibited in the Suits. Apart</w:t>
      </w:r>
      <w:r>
        <w:rPr>
          <w:rFonts w:ascii="Courier New"/>
          <w:spacing w:val="-32"/>
          <w:sz w:val="28"/>
        </w:rPr>
        <w:t> </w:t>
      </w:r>
      <w:r>
        <w:rPr>
          <w:rFonts w:ascii="Courier New"/>
          <w:sz w:val="28"/>
        </w:rPr>
        <w:t>from</w:t>
      </w:r>
      <w:r>
        <w:rPr>
          <w:rFonts w:ascii="Courier New"/>
          <w:spacing w:val="-31"/>
          <w:sz w:val="28"/>
        </w:rPr>
        <w:t> </w:t>
      </w:r>
      <w:r>
        <w:rPr>
          <w:rFonts w:ascii="Courier New"/>
          <w:sz w:val="28"/>
        </w:rPr>
        <w:t>documentary</w:t>
      </w:r>
      <w:r>
        <w:rPr>
          <w:rFonts w:ascii="Courier New"/>
          <w:spacing w:val="-32"/>
          <w:sz w:val="28"/>
        </w:rPr>
        <w:t> </w:t>
      </w:r>
      <w:r>
        <w:rPr>
          <w:rFonts w:ascii="Courier New"/>
          <w:sz w:val="28"/>
        </w:rPr>
        <w:t>evidence,</w:t>
      </w:r>
      <w:r>
        <w:rPr>
          <w:rFonts w:ascii="Courier New"/>
          <w:spacing w:val="-31"/>
          <w:sz w:val="28"/>
        </w:rPr>
        <w:t> </w:t>
      </w:r>
      <w:r>
        <w:rPr>
          <w:rFonts w:ascii="Courier New"/>
          <w:sz w:val="28"/>
        </w:rPr>
        <w:t>a</w:t>
      </w:r>
      <w:r>
        <w:rPr>
          <w:rFonts w:ascii="Courier New"/>
          <w:spacing w:val="-32"/>
          <w:sz w:val="28"/>
        </w:rPr>
        <w:t> </w:t>
      </w:r>
      <w:r>
        <w:rPr>
          <w:rFonts w:ascii="Courier New"/>
          <w:sz w:val="28"/>
        </w:rPr>
        <w:t>lot</w:t>
      </w:r>
      <w:r>
        <w:rPr>
          <w:rFonts w:ascii="Courier New"/>
          <w:spacing w:val="-31"/>
          <w:sz w:val="28"/>
        </w:rPr>
        <w:t> </w:t>
      </w:r>
      <w:r>
        <w:rPr>
          <w:rFonts w:ascii="Courier New"/>
          <w:sz w:val="28"/>
        </w:rPr>
        <w:t>of</w:t>
      </w:r>
      <w:r>
        <w:rPr>
          <w:rFonts w:ascii="Courier New"/>
          <w:spacing w:val="-29"/>
          <w:sz w:val="28"/>
        </w:rPr>
        <w:t> </w:t>
      </w:r>
      <w:r>
        <w:rPr>
          <w:rFonts w:ascii="Courier New"/>
          <w:sz w:val="28"/>
        </w:rPr>
        <w:t>oral</w:t>
      </w:r>
      <w:r>
        <w:rPr>
          <w:rFonts w:ascii="Courier New"/>
          <w:spacing w:val="-31"/>
          <w:sz w:val="28"/>
        </w:rPr>
        <w:t> </w:t>
      </w:r>
      <w:r>
        <w:rPr>
          <w:rFonts w:ascii="Courier New"/>
          <w:sz w:val="28"/>
        </w:rPr>
        <w:t>evidence has been led by the</w:t>
      </w:r>
      <w:r>
        <w:rPr>
          <w:rFonts w:ascii="Courier New"/>
          <w:spacing w:val="-7"/>
          <w:sz w:val="28"/>
        </w:rPr>
        <w:t> </w:t>
      </w:r>
      <w:r>
        <w:rPr>
          <w:rFonts w:ascii="Courier New"/>
          <w:sz w:val="28"/>
        </w:rPr>
        <w:t>parties.</w:t>
      </w:r>
    </w:p>
    <w:p>
      <w:pPr>
        <w:pStyle w:val="BodyText"/>
        <w:spacing w:before="9"/>
        <w:rPr>
          <w:rFonts w:ascii="Courier New"/>
          <w:sz w:val="27"/>
        </w:rPr>
      </w:pPr>
    </w:p>
    <w:p>
      <w:pPr>
        <w:pStyle w:val="ListParagraph"/>
        <w:numPr>
          <w:ilvl w:val="0"/>
          <w:numId w:val="256"/>
        </w:numPr>
        <w:tabs>
          <w:tab w:pos="957" w:val="left" w:leader="none"/>
        </w:tabs>
        <w:spacing w:line="480" w:lineRule="auto" w:before="0" w:after="0"/>
        <w:ind w:left="160" w:right="170" w:firstLine="0"/>
        <w:jc w:val="both"/>
        <w:rPr>
          <w:rFonts w:ascii="Courier New"/>
          <w:sz w:val="28"/>
        </w:rPr>
      </w:pPr>
      <w:r>
        <w:rPr>
          <w:rFonts w:ascii="Courier New"/>
          <w:sz w:val="28"/>
        </w:rPr>
        <w:t>At first, Firstly, notice may be had of the Gazetteers published during the relevant period by</w:t>
      </w:r>
      <w:r>
        <w:rPr>
          <w:rFonts w:ascii="Courier New"/>
          <w:spacing w:val="-76"/>
          <w:sz w:val="28"/>
        </w:rPr>
        <w:t> </w:t>
      </w:r>
      <w:r>
        <w:rPr>
          <w:rFonts w:ascii="Courier New"/>
          <w:sz w:val="28"/>
        </w:rPr>
        <w:t>the Government. All Gazettes, which were published during the relevant period were under the full governmental authority since the British had directly taken</w:t>
      </w:r>
      <w:r>
        <w:rPr>
          <w:rFonts w:ascii="Courier New"/>
          <w:spacing w:val="-78"/>
          <w:sz w:val="28"/>
        </w:rPr>
        <w:t> </w:t>
      </w:r>
      <w:r>
        <w:rPr>
          <w:rFonts w:ascii="Courier New"/>
          <w:sz w:val="28"/>
        </w:rPr>
        <w:t>control over the area of Oudh w.e.f. 01.11.1958 by Government of India Act,</w:t>
      </w:r>
      <w:r>
        <w:rPr>
          <w:rFonts w:ascii="Courier New"/>
          <w:spacing w:val="-4"/>
          <w:sz w:val="28"/>
        </w:rPr>
        <w:t> </w:t>
      </w:r>
      <w:r>
        <w:rPr>
          <w:rFonts w:ascii="Courier New"/>
          <w:sz w:val="28"/>
        </w:rPr>
        <w:t>1858.</w:t>
      </w:r>
    </w:p>
    <w:p>
      <w:pPr>
        <w:spacing w:after="0" w:line="480" w:lineRule="auto"/>
        <w:jc w:val="both"/>
        <w:rPr>
          <w:rFonts w:ascii="Courier New"/>
          <w:sz w:val="28"/>
        </w:rPr>
        <w:sectPr>
          <w:headerReference w:type="default" r:id="rId382"/>
          <w:footerReference w:type="default" r:id="rId383"/>
          <w:pgSz w:w="11910" w:h="16840"/>
          <w:pgMar w:header="0" w:footer="1063" w:top="1340" w:bottom="1260" w:left="1280" w:right="1280"/>
          <w:pgNumType w:start="86"/>
        </w:sectPr>
      </w:pPr>
    </w:p>
    <w:p>
      <w:pPr>
        <w:pStyle w:val="ListParagraph"/>
        <w:numPr>
          <w:ilvl w:val="0"/>
          <w:numId w:val="256"/>
        </w:numPr>
        <w:tabs>
          <w:tab w:pos="1012" w:val="left" w:leader="none"/>
        </w:tabs>
        <w:spacing w:line="480" w:lineRule="auto" w:before="86" w:after="0"/>
        <w:ind w:left="160" w:right="170" w:firstLine="0"/>
        <w:jc w:val="both"/>
        <w:rPr>
          <w:rFonts w:ascii="Courier New" w:hAnsi="Courier New"/>
          <w:sz w:val="28"/>
        </w:rPr>
      </w:pPr>
      <w:r>
        <w:rPr>
          <w:rFonts w:ascii="Courier New" w:hAnsi="Courier New"/>
          <w:sz w:val="28"/>
        </w:rPr>
        <w:t>At this juncture notice may be taken of one more relevant aspect, which is, that after the British Government</w:t>
      </w:r>
      <w:r>
        <w:rPr>
          <w:rFonts w:ascii="Courier New" w:hAnsi="Courier New"/>
          <w:spacing w:val="-32"/>
          <w:sz w:val="28"/>
        </w:rPr>
        <w:t> </w:t>
      </w:r>
      <w:r>
        <w:rPr>
          <w:rFonts w:ascii="Courier New" w:hAnsi="Courier New"/>
          <w:sz w:val="28"/>
        </w:rPr>
        <w:t>took</w:t>
      </w:r>
      <w:r>
        <w:rPr>
          <w:rFonts w:ascii="Courier New" w:hAnsi="Courier New"/>
          <w:spacing w:val="-32"/>
          <w:sz w:val="28"/>
        </w:rPr>
        <w:t> </w:t>
      </w:r>
      <w:r>
        <w:rPr>
          <w:rFonts w:ascii="Courier New" w:hAnsi="Courier New"/>
          <w:sz w:val="28"/>
        </w:rPr>
        <w:t>over</w:t>
      </w:r>
      <w:r>
        <w:rPr>
          <w:rFonts w:ascii="Courier New" w:hAnsi="Courier New"/>
          <w:spacing w:val="-32"/>
          <w:sz w:val="28"/>
        </w:rPr>
        <w:t> </w:t>
      </w:r>
      <w:r>
        <w:rPr>
          <w:rFonts w:ascii="Courier New" w:hAnsi="Courier New"/>
          <w:sz w:val="28"/>
        </w:rPr>
        <w:t>the</w:t>
      </w:r>
      <w:r>
        <w:rPr>
          <w:rFonts w:ascii="Courier New" w:hAnsi="Courier New"/>
          <w:spacing w:val="-31"/>
          <w:sz w:val="28"/>
        </w:rPr>
        <w:t> </w:t>
      </w:r>
      <w:r>
        <w:rPr>
          <w:rFonts w:ascii="Courier New" w:hAnsi="Courier New"/>
          <w:sz w:val="28"/>
        </w:rPr>
        <w:t>area</w:t>
      </w:r>
      <w:r>
        <w:rPr>
          <w:rFonts w:ascii="Courier New" w:hAnsi="Courier New"/>
          <w:spacing w:val="-29"/>
          <w:sz w:val="28"/>
        </w:rPr>
        <w:t> </w:t>
      </w:r>
      <w:r>
        <w:rPr>
          <w:rFonts w:ascii="Courier New" w:hAnsi="Courier New"/>
          <w:sz w:val="28"/>
        </w:rPr>
        <w:t>w.e.f.</w:t>
      </w:r>
      <w:r>
        <w:rPr>
          <w:rFonts w:ascii="Courier New" w:hAnsi="Courier New"/>
          <w:spacing w:val="-32"/>
          <w:sz w:val="28"/>
        </w:rPr>
        <w:t> </w:t>
      </w:r>
      <w:r>
        <w:rPr>
          <w:rFonts w:ascii="Courier New" w:hAnsi="Courier New"/>
          <w:sz w:val="28"/>
        </w:rPr>
        <w:t>01.11.1858,</w:t>
      </w:r>
      <w:r>
        <w:rPr>
          <w:rFonts w:ascii="Courier New" w:hAnsi="Courier New"/>
          <w:spacing w:val="-31"/>
          <w:sz w:val="28"/>
        </w:rPr>
        <w:t> </w:t>
      </w:r>
      <w:r>
        <w:rPr>
          <w:rFonts w:ascii="Courier New" w:hAnsi="Courier New"/>
          <w:sz w:val="28"/>
        </w:rPr>
        <w:t>in</w:t>
      </w:r>
      <w:r>
        <w:rPr>
          <w:rFonts w:ascii="Courier New" w:hAnsi="Courier New"/>
          <w:spacing w:val="-32"/>
          <w:sz w:val="28"/>
        </w:rPr>
        <w:t> </w:t>
      </w:r>
      <w:r>
        <w:rPr>
          <w:rFonts w:ascii="Courier New" w:hAnsi="Courier New"/>
          <w:sz w:val="28"/>
        </w:rPr>
        <w:t>the official reports, correspondences and orders issued</w:t>
      </w:r>
      <w:r>
        <w:rPr>
          <w:rFonts w:ascii="Courier New" w:hAnsi="Courier New"/>
          <w:spacing w:val="-84"/>
          <w:sz w:val="28"/>
        </w:rPr>
        <w:t> </w:t>
      </w:r>
      <w:r>
        <w:rPr>
          <w:rFonts w:ascii="Courier New" w:hAnsi="Courier New"/>
          <w:sz w:val="28"/>
        </w:rPr>
        <w:t>by officers</w:t>
      </w:r>
      <w:r>
        <w:rPr>
          <w:rFonts w:ascii="Courier New" w:hAnsi="Courier New"/>
          <w:spacing w:val="-35"/>
          <w:sz w:val="28"/>
        </w:rPr>
        <w:t> </w:t>
      </w:r>
      <w:r>
        <w:rPr>
          <w:rFonts w:ascii="Courier New" w:hAnsi="Courier New"/>
          <w:sz w:val="28"/>
        </w:rPr>
        <w:t>of</w:t>
      </w:r>
      <w:r>
        <w:rPr>
          <w:rFonts w:ascii="Courier New" w:hAnsi="Courier New"/>
          <w:spacing w:val="-35"/>
          <w:sz w:val="28"/>
        </w:rPr>
        <w:t> </w:t>
      </w:r>
      <w:r>
        <w:rPr>
          <w:rFonts w:ascii="Courier New" w:hAnsi="Courier New"/>
          <w:sz w:val="28"/>
        </w:rPr>
        <w:t>British</w:t>
      </w:r>
      <w:r>
        <w:rPr>
          <w:rFonts w:ascii="Courier New" w:hAnsi="Courier New"/>
          <w:spacing w:val="-35"/>
          <w:sz w:val="28"/>
        </w:rPr>
        <w:t> </w:t>
      </w:r>
      <w:r>
        <w:rPr>
          <w:rFonts w:ascii="Courier New" w:hAnsi="Courier New"/>
          <w:sz w:val="28"/>
        </w:rPr>
        <w:t>Government,</w:t>
      </w:r>
      <w:r>
        <w:rPr>
          <w:rFonts w:ascii="Courier New" w:hAnsi="Courier New"/>
          <w:spacing w:val="-35"/>
          <w:sz w:val="28"/>
        </w:rPr>
        <w:t> </w:t>
      </w:r>
      <w:r>
        <w:rPr>
          <w:rFonts w:ascii="Courier New" w:hAnsi="Courier New"/>
          <w:sz w:val="28"/>
        </w:rPr>
        <w:t>the</w:t>
      </w:r>
      <w:r>
        <w:rPr>
          <w:rFonts w:ascii="Courier New" w:hAnsi="Courier New"/>
          <w:spacing w:val="-35"/>
          <w:sz w:val="28"/>
        </w:rPr>
        <w:t> </w:t>
      </w:r>
      <w:r>
        <w:rPr>
          <w:rFonts w:ascii="Courier New" w:hAnsi="Courier New"/>
          <w:sz w:val="28"/>
        </w:rPr>
        <w:t>“Mosque”</w:t>
      </w:r>
      <w:r>
        <w:rPr>
          <w:rFonts w:ascii="Courier New" w:hAnsi="Courier New"/>
          <w:spacing w:val="-34"/>
          <w:sz w:val="28"/>
        </w:rPr>
        <w:t> </w:t>
      </w:r>
      <w:r>
        <w:rPr>
          <w:rFonts w:ascii="Courier New" w:hAnsi="Courier New"/>
          <w:sz w:val="28"/>
        </w:rPr>
        <w:t>was</w:t>
      </w:r>
      <w:r>
        <w:rPr>
          <w:rFonts w:ascii="Courier New" w:hAnsi="Courier New"/>
          <w:spacing w:val="-35"/>
          <w:sz w:val="28"/>
        </w:rPr>
        <w:t> </w:t>
      </w:r>
      <w:r>
        <w:rPr>
          <w:rFonts w:ascii="Courier New" w:hAnsi="Courier New"/>
          <w:sz w:val="28"/>
        </w:rPr>
        <w:t>always referred to as “Mosque Janma Sthan”, which clearly indicates that Government officers at that time</w:t>
      </w:r>
      <w:r>
        <w:rPr>
          <w:rFonts w:ascii="Courier New" w:hAnsi="Courier New"/>
          <w:spacing w:val="-76"/>
          <w:sz w:val="28"/>
        </w:rPr>
        <w:t> </w:t>
      </w:r>
      <w:r>
        <w:rPr>
          <w:rFonts w:ascii="Courier New" w:hAnsi="Courier New"/>
          <w:sz w:val="28"/>
        </w:rPr>
        <w:t>always treated the mosque as situated at Janma Sthan. Sufficient materials brought on record evidences the above aspect; which may be referred to. Sheetal</w:t>
      </w:r>
      <w:r>
        <w:rPr>
          <w:rFonts w:ascii="Courier New" w:hAnsi="Courier New"/>
          <w:spacing w:val="-77"/>
          <w:sz w:val="28"/>
        </w:rPr>
        <w:t> </w:t>
      </w:r>
      <w:r>
        <w:rPr>
          <w:rFonts w:ascii="Courier New" w:hAnsi="Courier New"/>
          <w:sz w:val="28"/>
        </w:rPr>
        <w:t>Dubey, Thanedar Oudh has submitted a report on 01.12.1858, which</w:t>
      </w:r>
      <w:r>
        <w:rPr>
          <w:rFonts w:ascii="Courier New" w:hAnsi="Courier New"/>
          <w:spacing w:val="-25"/>
          <w:sz w:val="28"/>
        </w:rPr>
        <w:t> </w:t>
      </w:r>
      <w:r>
        <w:rPr>
          <w:rFonts w:ascii="Courier New" w:hAnsi="Courier New"/>
          <w:sz w:val="28"/>
        </w:rPr>
        <w:t>is</w:t>
      </w:r>
      <w:r>
        <w:rPr>
          <w:rFonts w:ascii="Courier New" w:hAnsi="Courier New"/>
          <w:spacing w:val="-25"/>
          <w:sz w:val="28"/>
        </w:rPr>
        <w:t> </w:t>
      </w:r>
      <w:r>
        <w:rPr>
          <w:rFonts w:ascii="Courier New" w:hAnsi="Courier New"/>
          <w:sz w:val="28"/>
        </w:rPr>
        <w:t>Ext.</w:t>
      </w:r>
      <w:r>
        <w:rPr>
          <w:rFonts w:ascii="Courier New" w:hAnsi="Courier New"/>
          <w:spacing w:val="-25"/>
          <w:sz w:val="28"/>
        </w:rPr>
        <w:t> </w:t>
      </w:r>
      <w:r>
        <w:rPr>
          <w:rFonts w:ascii="Courier New" w:hAnsi="Courier New"/>
          <w:sz w:val="28"/>
        </w:rPr>
        <w:t>21</w:t>
      </w:r>
      <w:r>
        <w:rPr>
          <w:rFonts w:ascii="Courier New" w:hAnsi="Courier New"/>
          <w:spacing w:val="-25"/>
          <w:sz w:val="28"/>
        </w:rPr>
        <w:t> </w:t>
      </w:r>
      <w:r>
        <w:rPr>
          <w:rFonts w:ascii="Courier New" w:hAnsi="Courier New"/>
          <w:sz w:val="28"/>
        </w:rPr>
        <w:t>of</w:t>
      </w:r>
      <w:r>
        <w:rPr>
          <w:rFonts w:ascii="Courier New" w:hAnsi="Courier New"/>
          <w:spacing w:val="-25"/>
          <w:sz w:val="28"/>
        </w:rPr>
        <w:t> </w:t>
      </w:r>
      <w:r>
        <w:rPr>
          <w:rFonts w:ascii="Courier New" w:hAnsi="Courier New"/>
          <w:sz w:val="28"/>
        </w:rPr>
        <w:t>Suit</w:t>
      </w:r>
      <w:r>
        <w:rPr>
          <w:rFonts w:ascii="Courier New" w:hAnsi="Courier New"/>
          <w:spacing w:val="-24"/>
          <w:sz w:val="28"/>
        </w:rPr>
        <w:t> </w:t>
      </w:r>
      <w:r>
        <w:rPr>
          <w:rFonts w:ascii="Courier New" w:hAnsi="Courier New"/>
          <w:sz w:val="28"/>
        </w:rPr>
        <w:t>No.1,</w:t>
      </w:r>
      <w:r>
        <w:rPr>
          <w:rFonts w:ascii="Courier New" w:hAnsi="Courier New"/>
          <w:spacing w:val="-27"/>
          <w:sz w:val="28"/>
        </w:rPr>
        <w:t> </w:t>
      </w:r>
      <w:r>
        <w:rPr>
          <w:rFonts w:ascii="Courier New" w:hAnsi="Courier New"/>
          <w:sz w:val="28"/>
        </w:rPr>
        <w:t>which</w:t>
      </w:r>
      <w:r>
        <w:rPr>
          <w:rFonts w:ascii="Courier New" w:hAnsi="Courier New"/>
          <w:spacing w:val="-25"/>
          <w:sz w:val="28"/>
        </w:rPr>
        <w:t> </w:t>
      </w:r>
      <w:r>
        <w:rPr>
          <w:rFonts w:ascii="Courier New" w:hAnsi="Courier New"/>
          <w:sz w:val="28"/>
        </w:rPr>
        <w:t>report</w:t>
      </w:r>
      <w:r>
        <w:rPr>
          <w:rFonts w:ascii="Courier New" w:hAnsi="Courier New"/>
          <w:spacing w:val="-25"/>
          <w:sz w:val="28"/>
        </w:rPr>
        <w:t> </w:t>
      </w:r>
      <w:r>
        <w:rPr>
          <w:rFonts w:ascii="Courier New" w:hAnsi="Courier New"/>
          <w:sz w:val="28"/>
        </w:rPr>
        <w:t>also</w:t>
      </w:r>
      <w:r>
        <w:rPr>
          <w:rFonts w:ascii="Courier New" w:hAnsi="Courier New"/>
          <w:spacing w:val="-25"/>
          <w:sz w:val="28"/>
        </w:rPr>
        <w:t> </w:t>
      </w:r>
      <w:r>
        <w:rPr>
          <w:rFonts w:ascii="Courier New" w:hAnsi="Courier New"/>
          <w:sz w:val="28"/>
        </w:rPr>
        <w:t>refers to “Masjid” as “Masjid Janma Sthan”. Report dated 01.12.1858 is already</w:t>
      </w:r>
      <w:r>
        <w:rPr>
          <w:rFonts w:ascii="Courier New" w:hAnsi="Courier New"/>
          <w:spacing w:val="-5"/>
          <w:sz w:val="28"/>
        </w:rPr>
        <w:t> </w:t>
      </w:r>
      <w:r>
        <w:rPr>
          <w:rFonts w:ascii="Courier New" w:hAnsi="Courier New"/>
          <w:sz w:val="28"/>
        </w:rPr>
        <w:t>extracted.</w:t>
      </w:r>
    </w:p>
    <w:p>
      <w:pPr>
        <w:pStyle w:val="BodyText"/>
        <w:rPr>
          <w:rFonts w:ascii="Courier New"/>
          <w:sz w:val="32"/>
        </w:rPr>
      </w:pPr>
    </w:p>
    <w:p>
      <w:pPr>
        <w:pStyle w:val="ListParagraph"/>
        <w:numPr>
          <w:ilvl w:val="0"/>
          <w:numId w:val="256"/>
        </w:numPr>
        <w:tabs>
          <w:tab w:pos="1216" w:val="left" w:leader="none"/>
        </w:tabs>
        <w:spacing w:line="480" w:lineRule="auto" w:before="271" w:after="0"/>
        <w:ind w:left="160" w:right="169" w:firstLine="0"/>
        <w:jc w:val="both"/>
        <w:rPr>
          <w:rFonts w:ascii="Courier New" w:hAnsi="Courier New"/>
          <w:sz w:val="28"/>
        </w:rPr>
      </w:pPr>
      <w:r>
        <w:rPr>
          <w:rFonts w:ascii="Courier New" w:hAnsi="Courier New"/>
          <w:sz w:val="28"/>
        </w:rPr>
        <w:t>Similarly in his report dated 06.12.1858, Thanedar, Oudh, Sheetal Dubey, has again referred the “Masjid” as “Masjid Janam Sthan”. An order was passed on the application of Thanedar Sheetal Dubey on 10.12.1858, in which order, “Masjid” was referred as “Masjid Janam Sthan”. The said order is brought </w:t>
      </w:r>
      <w:r>
        <w:rPr>
          <w:rFonts w:ascii="Courier New" w:hAnsi="Courier New"/>
          <w:spacing w:val="-3"/>
          <w:sz w:val="28"/>
        </w:rPr>
        <w:t>on </w:t>
      </w:r>
      <w:r>
        <w:rPr>
          <w:rFonts w:ascii="Courier New" w:hAnsi="Courier New"/>
          <w:sz w:val="28"/>
        </w:rPr>
        <w:t>record is Ext. A-69 (Suit No.1), already</w:t>
      </w:r>
      <w:r>
        <w:rPr>
          <w:rFonts w:ascii="Courier New" w:hAnsi="Courier New"/>
          <w:spacing w:val="-19"/>
          <w:sz w:val="28"/>
        </w:rPr>
        <w:t> </w:t>
      </w:r>
      <w:r>
        <w:rPr>
          <w:rFonts w:ascii="Courier New" w:hAnsi="Courier New"/>
          <w:sz w:val="28"/>
        </w:rPr>
        <w:t>extracted.</w:t>
      </w:r>
    </w:p>
    <w:p>
      <w:pPr>
        <w:spacing w:after="0" w:line="480" w:lineRule="auto"/>
        <w:jc w:val="both"/>
        <w:rPr>
          <w:rFonts w:ascii="Courier New" w:hAnsi="Courier New"/>
          <w:sz w:val="28"/>
        </w:rPr>
        <w:sectPr>
          <w:headerReference w:type="default" r:id="rId384"/>
          <w:footerReference w:type="default" r:id="rId385"/>
          <w:pgSz w:w="11910" w:h="16840"/>
          <w:pgMar w:header="0" w:footer="1063" w:top="1340" w:bottom="1260" w:left="1280" w:right="1280"/>
          <w:pgNumType w:start="87"/>
        </w:sectPr>
      </w:pPr>
    </w:p>
    <w:p>
      <w:pPr>
        <w:pStyle w:val="BodyText"/>
        <w:rPr>
          <w:rFonts w:ascii="Courier New"/>
          <w:sz w:val="20"/>
        </w:rPr>
      </w:pPr>
    </w:p>
    <w:p>
      <w:pPr>
        <w:pStyle w:val="ListParagraph"/>
        <w:numPr>
          <w:ilvl w:val="0"/>
          <w:numId w:val="256"/>
        </w:numPr>
        <w:tabs>
          <w:tab w:pos="1041" w:val="left" w:leader="none"/>
        </w:tabs>
        <w:spacing w:line="480" w:lineRule="auto" w:before="253" w:after="0"/>
        <w:ind w:left="159" w:right="169" w:firstLine="0"/>
        <w:jc w:val="both"/>
        <w:rPr>
          <w:rFonts w:ascii="Courier New" w:hAnsi="Courier New"/>
          <w:sz w:val="28"/>
        </w:rPr>
      </w:pPr>
      <w:r>
        <w:rPr>
          <w:rFonts w:ascii="Courier New" w:hAnsi="Courier New"/>
          <w:sz w:val="28"/>
        </w:rPr>
        <w:t>Another important document, which has been much relied by Dr. Rajeev Dhavan in his submissions is</w:t>
      </w:r>
      <w:r>
        <w:rPr>
          <w:rFonts w:ascii="Courier New" w:hAnsi="Courier New"/>
          <w:spacing w:val="-79"/>
          <w:sz w:val="28"/>
        </w:rPr>
        <w:t> </w:t>
      </w:r>
      <w:r>
        <w:rPr>
          <w:rFonts w:ascii="Courier New" w:hAnsi="Courier New"/>
          <w:sz w:val="28"/>
        </w:rPr>
        <w:t>Ext. A-14 (Suit-1), which is a copy of the letter dated 25.08.1863 sent by the Secretary, Chief Commissioner of Oudh to the Commissioner, Faizabad Division, where “Mosque” was referred as “</w:t>
      </w:r>
      <w:r>
        <w:rPr>
          <w:rFonts w:ascii="Courier New" w:hAnsi="Courier New"/>
          <w:sz w:val="28"/>
          <w:u w:val="single"/>
        </w:rPr>
        <w:t>Janam Sthan Mosque”</w:t>
      </w:r>
      <w:r>
        <w:rPr>
          <w:rFonts w:ascii="Courier New" w:hAnsi="Courier New"/>
          <w:sz w:val="28"/>
        </w:rPr>
        <w:t>. The letter has already been</w:t>
      </w:r>
      <w:r>
        <w:rPr>
          <w:rFonts w:ascii="Courier New" w:hAnsi="Courier New"/>
          <w:spacing w:val="-7"/>
          <w:sz w:val="28"/>
        </w:rPr>
        <w:t> </w:t>
      </w:r>
      <w:r>
        <w:rPr>
          <w:rFonts w:ascii="Courier New" w:hAnsi="Courier New"/>
          <w:sz w:val="28"/>
        </w:rPr>
        <w:t>extracted.</w:t>
      </w:r>
    </w:p>
    <w:p>
      <w:pPr>
        <w:pStyle w:val="BodyText"/>
        <w:rPr>
          <w:rFonts w:ascii="Courier New"/>
          <w:sz w:val="32"/>
        </w:rPr>
      </w:pPr>
    </w:p>
    <w:p>
      <w:pPr>
        <w:pStyle w:val="ListParagraph"/>
        <w:numPr>
          <w:ilvl w:val="0"/>
          <w:numId w:val="256"/>
        </w:numPr>
        <w:tabs>
          <w:tab w:pos="1120" w:val="left" w:leader="none"/>
        </w:tabs>
        <w:spacing w:line="480" w:lineRule="auto" w:before="273" w:after="0"/>
        <w:ind w:left="160" w:right="168" w:firstLine="0"/>
        <w:jc w:val="both"/>
        <w:rPr>
          <w:rFonts w:ascii="Courier New"/>
          <w:sz w:val="28"/>
        </w:rPr>
      </w:pPr>
      <w:r>
        <w:rPr>
          <w:rFonts w:ascii="Courier New"/>
          <w:sz w:val="28"/>
        </w:rPr>
        <w:t>The above also clearly proves that even the Government officers referred the Mosque as </w:t>
      </w:r>
      <w:r>
        <w:rPr>
          <w:rFonts w:ascii="Courier New"/>
          <w:sz w:val="28"/>
          <w:u w:val="single"/>
        </w:rPr>
        <w:t>Janam</w:t>
      </w:r>
      <w:r>
        <w:rPr>
          <w:rFonts w:ascii="Courier New"/>
          <w:spacing w:val="-75"/>
          <w:sz w:val="28"/>
          <w:u w:val="single"/>
        </w:rPr>
        <w:t> </w:t>
      </w:r>
      <w:r>
        <w:rPr>
          <w:rFonts w:ascii="Courier New"/>
          <w:sz w:val="28"/>
          <w:u w:val="single"/>
        </w:rPr>
        <w:t>Sthan Mosque</w:t>
      </w:r>
      <w:r>
        <w:rPr>
          <w:rFonts w:ascii="Courier New"/>
          <w:sz w:val="28"/>
        </w:rPr>
        <w:t>, which is fully corroborates the statements in Gazetteers as noted and extracted above that Babri Mosque was constructed at the Janam Sthan of Lord</w:t>
      </w:r>
      <w:r>
        <w:rPr>
          <w:rFonts w:ascii="Courier New"/>
          <w:spacing w:val="-79"/>
          <w:sz w:val="28"/>
        </w:rPr>
        <w:t> </w:t>
      </w:r>
      <w:r>
        <w:rPr>
          <w:rFonts w:ascii="Courier New"/>
          <w:sz w:val="28"/>
        </w:rPr>
        <w:t>Ram.</w:t>
      </w:r>
    </w:p>
    <w:p>
      <w:pPr>
        <w:pStyle w:val="BodyText"/>
        <w:rPr>
          <w:rFonts w:ascii="Courier New"/>
          <w:sz w:val="28"/>
        </w:rPr>
      </w:pPr>
    </w:p>
    <w:p>
      <w:pPr>
        <w:pStyle w:val="ListParagraph"/>
        <w:numPr>
          <w:ilvl w:val="0"/>
          <w:numId w:val="256"/>
        </w:numPr>
        <w:tabs>
          <w:tab w:pos="1012" w:val="left" w:leader="none"/>
        </w:tabs>
        <w:spacing w:line="480" w:lineRule="auto" w:before="0" w:after="0"/>
        <w:ind w:left="160" w:right="168" w:firstLine="0"/>
        <w:jc w:val="both"/>
        <w:rPr>
          <w:rFonts w:ascii="Courier New"/>
          <w:sz w:val="28"/>
        </w:rPr>
      </w:pPr>
      <w:r>
        <w:rPr>
          <w:rFonts w:ascii="Courier New"/>
          <w:sz w:val="28"/>
        </w:rPr>
        <w:t>The next work to be noticed is Historical Sketch of Tehsil Fyzabad, Zilah Fyzabad, published by the Government in 1870. The Historical Sketch was</w:t>
      </w:r>
      <w:r>
        <w:rPr>
          <w:rFonts w:ascii="Courier New"/>
          <w:spacing w:val="-82"/>
          <w:sz w:val="28"/>
        </w:rPr>
        <w:t> </w:t>
      </w:r>
      <w:r>
        <w:rPr>
          <w:rFonts w:ascii="Courier New"/>
          <w:sz w:val="28"/>
        </w:rPr>
        <w:t>prepared by P. Carnegy, Officiating Commissioner and</w:t>
      </w:r>
      <w:r>
        <w:rPr>
          <w:rFonts w:ascii="Courier New"/>
          <w:spacing w:val="-81"/>
          <w:sz w:val="28"/>
        </w:rPr>
        <w:t> </w:t>
      </w:r>
      <w:r>
        <w:rPr>
          <w:rFonts w:ascii="Courier New"/>
          <w:sz w:val="28"/>
        </w:rPr>
        <w:t>Settlement Officer of Ayodhya and Fyzabad. P. Carnegy in his sketch states that </w:t>
      </w:r>
      <w:r>
        <w:rPr>
          <w:rFonts w:ascii="Courier New"/>
          <w:b/>
          <w:sz w:val="28"/>
        </w:rPr>
        <w:t>Ayodhya is to Hindu what Macca is to the Mohamedan and Jerusalem to the Jews</w:t>
      </w:r>
      <w:r>
        <w:rPr>
          <w:rFonts w:ascii="Courier New"/>
          <w:sz w:val="28"/>
        </w:rPr>
        <w:t>. P.</w:t>
      </w:r>
      <w:r>
        <w:rPr>
          <w:rFonts w:ascii="Courier New"/>
          <w:spacing w:val="-78"/>
          <w:sz w:val="28"/>
        </w:rPr>
        <w:t> </w:t>
      </w:r>
      <w:r>
        <w:rPr>
          <w:rFonts w:ascii="Courier New"/>
          <w:sz w:val="28"/>
        </w:rPr>
        <w:t>Carnegy</w:t>
      </w:r>
    </w:p>
    <w:p>
      <w:pPr>
        <w:spacing w:after="0" w:line="480" w:lineRule="auto"/>
        <w:jc w:val="both"/>
        <w:rPr>
          <w:rFonts w:ascii="Courier New"/>
          <w:sz w:val="28"/>
        </w:rPr>
        <w:sectPr>
          <w:headerReference w:type="default" r:id="rId386"/>
          <w:footerReference w:type="default" r:id="rId387"/>
          <w:pgSz w:w="11910" w:h="16840"/>
          <w:pgMar w:header="0" w:footer="1063" w:top="1580" w:bottom="1260" w:left="1280" w:right="1280"/>
          <w:pgNumType w:start="88"/>
        </w:sectPr>
      </w:pPr>
    </w:p>
    <w:p>
      <w:pPr>
        <w:pStyle w:val="Heading2"/>
        <w:spacing w:before="86"/>
        <w:jc w:val="left"/>
      </w:pPr>
      <w:r>
        <w:rPr/>
        <w:t>description has been extracted.</w:t>
      </w:r>
    </w:p>
    <w:p>
      <w:pPr>
        <w:pStyle w:val="BodyText"/>
        <w:rPr>
          <w:rFonts w:ascii="Courier New"/>
          <w:sz w:val="32"/>
        </w:rPr>
      </w:pPr>
    </w:p>
    <w:p>
      <w:pPr>
        <w:pStyle w:val="BodyText"/>
        <w:rPr>
          <w:rFonts w:ascii="Courier New"/>
          <w:sz w:val="32"/>
        </w:rPr>
      </w:pPr>
    </w:p>
    <w:p>
      <w:pPr>
        <w:pStyle w:val="ListParagraph"/>
        <w:numPr>
          <w:ilvl w:val="0"/>
          <w:numId w:val="256"/>
        </w:numPr>
        <w:tabs>
          <w:tab w:pos="993" w:val="left" w:leader="none"/>
        </w:tabs>
        <w:spacing w:line="480" w:lineRule="auto" w:before="227" w:after="0"/>
        <w:ind w:left="160" w:right="173" w:firstLine="0"/>
        <w:jc w:val="both"/>
        <w:rPr>
          <w:rFonts w:ascii="Courier New"/>
          <w:sz w:val="28"/>
        </w:rPr>
      </w:pPr>
      <w:r>
        <w:rPr>
          <w:rFonts w:ascii="Courier New"/>
          <w:sz w:val="28"/>
        </w:rPr>
        <w:t>P. Carnegy has further referred to Janmasthan</w:t>
      </w:r>
      <w:r>
        <w:rPr>
          <w:rFonts w:ascii="Courier New"/>
          <w:spacing w:val="-70"/>
          <w:sz w:val="28"/>
        </w:rPr>
        <w:t> </w:t>
      </w:r>
      <w:r>
        <w:rPr>
          <w:rFonts w:ascii="Courier New"/>
          <w:sz w:val="28"/>
        </w:rPr>
        <w:t>and other temples and has categorically stated that at</w:t>
      </w:r>
      <w:r>
        <w:rPr>
          <w:rFonts w:ascii="Courier New"/>
          <w:spacing w:val="-81"/>
          <w:sz w:val="28"/>
        </w:rPr>
        <w:t> </w:t>
      </w:r>
      <w:r>
        <w:rPr>
          <w:rFonts w:ascii="Courier New"/>
          <w:sz w:val="28"/>
        </w:rPr>
        <w:t>the place</w:t>
      </w:r>
      <w:r>
        <w:rPr>
          <w:rFonts w:ascii="Courier New"/>
          <w:spacing w:val="-32"/>
          <w:sz w:val="28"/>
        </w:rPr>
        <w:t> </w:t>
      </w:r>
      <w:r>
        <w:rPr>
          <w:rFonts w:ascii="Courier New"/>
          <w:sz w:val="28"/>
        </w:rPr>
        <w:t>of</w:t>
      </w:r>
      <w:r>
        <w:rPr>
          <w:rFonts w:ascii="Courier New"/>
          <w:spacing w:val="-32"/>
          <w:sz w:val="28"/>
        </w:rPr>
        <w:t> </w:t>
      </w:r>
      <w:r>
        <w:rPr>
          <w:rFonts w:ascii="Courier New"/>
          <w:sz w:val="28"/>
        </w:rPr>
        <w:t>Janmasthan</w:t>
      </w:r>
      <w:r>
        <w:rPr>
          <w:rFonts w:ascii="Courier New"/>
          <w:spacing w:val="-32"/>
          <w:sz w:val="28"/>
        </w:rPr>
        <w:t> </w:t>
      </w:r>
      <w:r>
        <w:rPr>
          <w:rFonts w:ascii="Courier New"/>
          <w:sz w:val="28"/>
        </w:rPr>
        <w:t>Emperor</w:t>
      </w:r>
      <w:r>
        <w:rPr>
          <w:rFonts w:ascii="Courier New"/>
          <w:spacing w:val="-28"/>
          <w:sz w:val="28"/>
        </w:rPr>
        <w:t> </w:t>
      </w:r>
      <w:r>
        <w:rPr>
          <w:rFonts w:ascii="Courier New"/>
          <w:sz w:val="28"/>
        </w:rPr>
        <w:t>Babar</w:t>
      </w:r>
      <w:r>
        <w:rPr>
          <w:rFonts w:ascii="Courier New"/>
          <w:spacing w:val="-32"/>
          <w:sz w:val="28"/>
        </w:rPr>
        <w:t> </w:t>
      </w:r>
      <w:r>
        <w:rPr>
          <w:rFonts w:ascii="Courier New"/>
          <w:sz w:val="28"/>
        </w:rPr>
        <w:t>built</w:t>
      </w:r>
      <w:r>
        <w:rPr>
          <w:rFonts w:ascii="Courier New"/>
          <w:spacing w:val="-32"/>
          <w:sz w:val="28"/>
        </w:rPr>
        <w:t> </w:t>
      </w:r>
      <w:r>
        <w:rPr>
          <w:rFonts w:ascii="Courier New"/>
          <w:sz w:val="28"/>
        </w:rPr>
        <w:t>a</w:t>
      </w:r>
      <w:r>
        <w:rPr>
          <w:rFonts w:ascii="Courier New"/>
          <w:spacing w:val="-31"/>
          <w:sz w:val="28"/>
        </w:rPr>
        <w:t> </w:t>
      </w:r>
      <w:r>
        <w:rPr>
          <w:rFonts w:ascii="Courier New"/>
          <w:sz w:val="28"/>
        </w:rPr>
        <w:t>Mosque,</w:t>
      </w:r>
      <w:r>
        <w:rPr>
          <w:rFonts w:ascii="Courier New"/>
          <w:spacing w:val="-32"/>
          <w:sz w:val="28"/>
        </w:rPr>
        <w:t> </w:t>
      </w:r>
      <w:r>
        <w:rPr>
          <w:rFonts w:ascii="Courier New"/>
          <w:sz w:val="28"/>
        </w:rPr>
        <w:t>which still bears his name in A.D.</w:t>
      </w:r>
      <w:r>
        <w:rPr>
          <w:rFonts w:ascii="Courier New"/>
          <w:spacing w:val="-9"/>
          <w:sz w:val="28"/>
        </w:rPr>
        <w:t> </w:t>
      </w:r>
      <w:r>
        <w:rPr>
          <w:rFonts w:ascii="Courier New"/>
          <w:sz w:val="28"/>
        </w:rPr>
        <w:t>1528.</w:t>
      </w:r>
    </w:p>
    <w:p>
      <w:pPr>
        <w:pStyle w:val="BodyText"/>
        <w:spacing w:before="10"/>
        <w:rPr>
          <w:rFonts w:ascii="Courier New"/>
          <w:sz w:val="27"/>
        </w:rPr>
      </w:pPr>
    </w:p>
    <w:p>
      <w:pPr>
        <w:pStyle w:val="ListParagraph"/>
        <w:numPr>
          <w:ilvl w:val="0"/>
          <w:numId w:val="256"/>
        </w:numPr>
        <w:tabs>
          <w:tab w:pos="1079" w:val="left" w:leader="none"/>
        </w:tabs>
        <w:spacing w:line="480" w:lineRule="auto" w:before="0" w:after="0"/>
        <w:ind w:left="160" w:right="155" w:firstLine="0"/>
        <w:jc w:val="both"/>
        <w:rPr>
          <w:rFonts w:ascii="Courier New"/>
          <w:color w:val="303030"/>
          <w:sz w:val="28"/>
        </w:rPr>
      </w:pPr>
      <w:r>
        <w:rPr>
          <w:rFonts w:ascii="Courier New"/>
          <w:color w:val="303030"/>
          <w:sz w:val="28"/>
        </w:rPr>
        <w:t>P. Carnegy has also noticed under the heading Hindu and Musalman differences about great rupture, which took place between the Hindus and Mahomedans, where Hindus were said to have taken control of Janmasthan after fierce fight. It further noticed</w:t>
      </w:r>
      <w:r>
        <w:rPr>
          <w:rFonts w:ascii="Courier New"/>
          <w:color w:val="303030"/>
          <w:spacing w:val="-67"/>
          <w:sz w:val="28"/>
        </w:rPr>
        <w:t> </w:t>
      </w:r>
      <w:r>
        <w:rPr>
          <w:rFonts w:ascii="Courier New"/>
          <w:color w:val="303030"/>
          <w:sz w:val="28"/>
        </w:rPr>
        <w:t>that up to that time the Hindus and Mahomedans alike used to worship in the Mosque-Temple and since British</w:t>
      </w:r>
      <w:r>
        <w:rPr>
          <w:rFonts w:ascii="Courier New"/>
          <w:color w:val="303030"/>
          <w:spacing w:val="-63"/>
          <w:sz w:val="28"/>
        </w:rPr>
        <w:t> </w:t>
      </w:r>
      <w:r>
        <w:rPr>
          <w:rFonts w:ascii="Courier New"/>
          <w:color w:val="303030"/>
          <w:sz w:val="28"/>
        </w:rPr>
        <w:t>rule a railing has been put up to prevent the</w:t>
      </w:r>
      <w:r>
        <w:rPr>
          <w:rFonts w:ascii="Courier New"/>
          <w:color w:val="303030"/>
          <w:spacing w:val="-18"/>
          <w:sz w:val="28"/>
        </w:rPr>
        <w:t> </w:t>
      </w:r>
      <w:r>
        <w:rPr>
          <w:rFonts w:ascii="Courier New"/>
          <w:color w:val="303030"/>
          <w:sz w:val="28"/>
        </w:rPr>
        <w:t>dispute.</w:t>
      </w:r>
    </w:p>
    <w:p>
      <w:pPr>
        <w:pStyle w:val="BodyText"/>
        <w:rPr>
          <w:rFonts w:ascii="Courier New"/>
          <w:sz w:val="32"/>
        </w:rPr>
      </w:pPr>
    </w:p>
    <w:p>
      <w:pPr>
        <w:pStyle w:val="ListParagraph"/>
        <w:numPr>
          <w:ilvl w:val="0"/>
          <w:numId w:val="256"/>
        </w:numPr>
        <w:tabs>
          <w:tab w:pos="1017" w:val="left" w:leader="none"/>
        </w:tabs>
        <w:spacing w:line="480" w:lineRule="auto" w:before="272" w:after="0"/>
        <w:ind w:left="160" w:right="170" w:firstLine="0"/>
        <w:jc w:val="both"/>
        <w:rPr>
          <w:rFonts w:ascii="Courier New"/>
          <w:sz w:val="28"/>
        </w:rPr>
      </w:pPr>
      <w:r>
        <w:rPr>
          <w:rFonts w:ascii="Courier New"/>
          <w:sz w:val="28"/>
        </w:rPr>
        <w:t>Another Gazetteer published in 1877 is Gazetteer of the Province of Oudh. The Ayodhya has been elaborately dealt in the Gazette. In above Gazetteer, a description with regard to Janamasthan and other temples, is mentioned as</w:t>
      </w:r>
      <w:r>
        <w:rPr>
          <w:rFonts w:ascii="Courier New"/>
          <w:spacing w:val="-7"/>
          <w:sz w:val="28"/>
        </w:rPr>
        <w:t> </w:t>
      </w:r>
      <w:r>
        <w:rPr>
          <w:rFonts w:ascii="Courier New"/>
          <w:sz w:val="28"/>
        </w:rPr>
        <w:t>extracted.</w:t>
      </w:r>
    </w:p>
    <w:p>
      <w:pPr>
        <w:spacing w:after="0" w:line="480" w:lineRule="auto"/>
        <w:jc w:val="both"/>
        <w:rPr>
          <w:rFonts w:ascii="Courier New"/>
          <w:sz w:val="28"/>
        </w:rPr>
        <w:sectPr>
          <w:headerReference w:type="default" r:id="rId388"/>
          <w:footerReference w:type="default" r:id="rId389"/>
          <w:pgSz w:w="11910" w:h="16840"/>
          <w:pgMar w:header="0" w:footer="1063" w:top="1340" w:bottom="1260" w:left="1280" w:right="1280"/>
          <w:pgNumType w:start="89"/>
        </w:sectPr>
      </w:pPr>
    </w:p>
    <w:p>
      <w:pPr>
        <w:pStyle w:val="ListParagraph"/>
        <w:numPr>
          <w:ilvl w:val="0"/>
          <w:numId w:val="256"/>
        </w:numPr>
        <w:tabs>
          <w:tab w:pos="1089" w:val="left" w:leader="none"/>
        </w:tabs>
        <w:spacing w:line="480" w:lineRule="auto" w:before="86" w:after="0"/>
        <w:ind w:left="160" w:right="170" w:firstLine="0"/>
        <w:jc w:val="both"/>
        <w:rPr>
          <w:rFonts w:ascii="Courier New" w:hAnsi="Courier New"/>
          <w:sz w:val="28"/>
        </w:rPr>
      </w:pPr>
      <w:r>
        <w:rPr>
          <w:rFonts w:ascii="Courier New" w:hAnsi="Courier New"/>
          <w:sz w:val="28"/>
        </w:rPr>
        <w:t>Under heading “Babar’s Mosque” and “Hindu and Musalman Differences”, the same contents have been repeated under the Gazetteer, which I have already extracted while noticing the Historical Sketch of Tahsil</w:t>
      </w:r>
      <w:r>
        <w:rPr>
          <w:rFonts w:ascii="Courier New" w:hAnsi="Courier New"/>
          <w:spacing w:val="-32"/>
          <w:sz w:val="28"/>
        </w:rPr>
        <w:t> </w:t>
      </w:r>
      <w:r>
        <w:rPr>
          <w:rFonts w:ascii="Courier New" w:hAnsi="Courier New"/>
          <w:sz w:val="28"/>
        </w:rPr>
        <w:t>Fyzabad,</w:t>
      </w:r>
      <w:r>
        <w:rPr>
          <w:rFonts w:ascii="Courier New" w:hAnsi="Courier New"/>
          <w:spacing w:val="-31"/>
          <w:sz w:val="28"/>
        </w:rPr>
        <w:t> </w:t>
      </w:r>
      <w:r>
        <w:rPr>
          <w:rFonts w:ascii="Courier New" w:hAnsi="Courier New"/>
          <w:sz w:val="28"/>
        </w:rPr>
        <w:t>Zillah</w:t>
      </w:r>
      <w:r>
        <w:rPr>
          <w:rFonts w:ascii="Courier New" w:hAnsi="Courier New"/>
          <w:spacing w:val="-32"/>
          <w:sz w:val="28"/>
        </w:rPr>
        <w:t> </w:t>
      </w:r>
      <w:r>
        <w:rPr>
          <w:rFonts w:ascii="Courier New" w:hAnsi="Courier New"/>
          <w:sz w:val="28"/>
        </w:rPr>
        <w:t>Fyzabad</w:t>
      </w:r>
      <w:r>
        <w:rPr>
          <w:rFonts w:ascii="Courier New" w:hAnsi="Courier New"/>
          <w:spacing w:val="-31"/>
          <w:sz w:val="28"/>
        </w:rPr>
        <w:t> </w:t>
      </w:r>
      <w:r>
        <w:rPr>
          <w:rFonts w:ascii="Courier New" w:hAnsi="Courier New"/>
          <w:sz w:val="28"/>
        </w:rPr>
        <w:t>by</w:t>
      </w:r>
      <w:r>
        <w:rPr>
          <w:rFonts w:ascii="Courier New" w:hAnsi="Courier New"/>
          <w:spacing w:val="-32"/>
          <w:sz w:val="28"/>
        </w:rPr>
        <w:t> </w:t>
      </w:r>
      <w:r>
        <w:rPr>
          <w:rFonts w:ascii="Courier New" w:hAnsi="Courier New"/>
          <w:sz w:val="28"/>
        </w:rPr>
        <w:t>P.</w:t>
      </w:r>
      <w:r>
        <w:rPr>
          <w:rFonts w:ascii="Courier New" w:hAnsi="Courier New"/>
          <w:spacing w:val="-31"/>
          <w:sz w:val="28"/>
        </w:rPr>
        <w:t> </w:t>
      </w:r>
      <w:r>
        <w:rPr>
          <w:rFonts w:ascii="Courier New" w:hAnsi="Courier New"/>
          <w:sz w:val="28"/>
        </w:rPr>
        <w:t>Carnegy,</w:t>
      </w:r>
      <w:r>
        <w:rPr>
          <w:rFonts w:ascii="Courier New" w:hAnsi="Courier New"/>
          <w:spacing w:val="-32"/>
          <w:sz w:val="28"/>
        </w:rPr>
        <w:t> </w:t>
      </w:r>
      <w:r>
        <w:rPr>
          <w:rFonts w:ascii="Courier New" w:hAnsi="Courier New"/>
          <w:sz w:val="28"/>
        </w:rPr>
        <w:t>which</w:t>
      </w:r>
      <w:r>
        <w:rPr>
          <w:rFonts w:ascii="Courier New" w:hAnsi="Courier New"/>
          <w:spacing w:val="-31"/>
          <w:sz w:val="28"/>
        </w:rPr>
        <w:t> </w:t>
      </w:r>
      <w:r>
        <w:rPr>
          <w:rFonts w:ascii="Courier New" w:hAnsi="Courier New"/>
          <w:sz w:val="28"/>
        </w:rPr>
        <w:t>are not being repeated for</w:t>
      </w:r>
      <w:r>
        <w:rPr>
          <w:rFonts w:ascii="Courier New" w:hAnsi="Courier New"/>
          <w:spacing w:val="-6"/>
          <w:sz w:val="28"/>
        </w:rPr>
        <w:t> </w:t>
      </w:r>
      <w:r>
        <w:rPr>
          <w:rFonts w:ascii="Courier New" w:hAnsi="Courier New"/>
          <w:sz w:val="28"/>
        </w:rPr>
        <w:t>brevity.</w:t>
      </w:r>
    </w:p>
    <w:p>
      <w:pPr>
        <w:pStyle w:val="BodyText"/>
        <w:spacing w:before="10"/>
        <w:rPr>
          <w:rFonts w:ascii="Courier New"/>
          <w:sz w:val="27"/>
        </w:rPr>
      </w:pPr>
    </w:p>
    <w:p>
      <w:pPr>
        <w:pStyle w:val="ListParagraph"/>
        <w:numPr>
          <w:ilvl w:val="0"/>
          <w:numId w:val="256"/>
        </w:numPr>
        <w:tabs>
          <w:tab w:pos="1077" w:val="left" w:leader="none"/>
        </w:tabs>
        <w:spacing w:line="480" w:lineRule="auto" w:before="0" w:after="0"/>
        <w:ind w:left="160" w:right="174" w:firstLine="0"/>
        <w:jc w:val="both"/>
        <w:rPr>
          <w:rFonts w:ascii="Courier New" w:hAnsi="Courier New"/>
          <w:sz w:val="28"/>
        </w:rPr>
      </w:pPr>
      <w:r>
        <w:rPr>
          <w:rFonts w:ascii="Courier New" w:hAnsi="Courier New"/>
          <w:sz w:val="28"/>
        </w:rPr>
        <w:t>In 1880, A.F. Millitt prepared his “Report on Settlement of Land Revenue of the Faizabad” which is extracted</w:t>
      </w:r>
      <w:r>
        <w:rPr>
          <w:rFonts w:ascii="Courier New" w:hAnsi="Courier New"/>
          <w:spacing w:val="-2"/>
          <w:sz w:val="28"/>
        </w:rPr>
        <w:t> </w:t>
      </w:r>
      <w:r>
        <w:rPr>
          <w:rFonts w:ascii="Courier New" w:hAnsi="Courier New"/>
          <w:sz w:val="28"/>
        </w:rPr>
        <w:t>above.</w:t>
      </w:r>
    </w:p>
    <w:p>
      <w:pPr>
        <w:pStyle w:val="BodyText"/>
        <w:rPr>
          <w:rFonts w:ascii="Courier New"/>
          <w:sz w:val="32"/>
        </w:rPr>
      </w:pPr>
    </w:p>
    <w:p>
      <w:pPr>
        <w:pStyle w:val="ListParagraph"/>
        <w:numPr>
          <w:ilvl w:val="0"/>
          <w:numId w:val="256"/>
        </w:numPr>
        <w:tabs>
          <w:tab w:pos="1029" w:val="left" w:leader="none"/>
        </w:tabs>
        <w:spacing w:line="480" w:lineRule="auto" w:before="271" w:after="0"/>
        <w:ind w:left="160" w:right="169" w:firstLine="0"/>
        <w:jc w:val="both"/>
        <w:rPr>
          <w:rFonts w:ascii="Courier New"/>
          <w:sz w:val="28"/>
        </w:rPr>
      </w:pPr>
      <w:r>
        <w:rPr>
          <w:rFonts w:ascii="Courier New"/>
          <w:sz w:val="28"/>
        </w:rPr>
        <w:t>Next to be noticed is Report of A.S.I. of North West Provinces and Oudh, published in 1889, which states that "The old temple of Ramachandra at Janmasthanam must have been a very fine one, for many of its columns have been used by the Musalmans in the construction of Babar's masjid, extracted</w:t>
      </w:r>
      <w:r>
        <w:rPr>
          <w:rFonts w:ascii="Courier New"/>
          <w:spacing w:val="-17"/>
          <w:sz w:val="28"/>
        </w:rPr>
        <w:t> </w:t>
      </w:r>
      <w:r>
        <w:rPr>
          <w:rFonts w:ascii="Courier New"/>
          <w:sz w:val="28"/>
        </w:rPr>
        <w:t>earlier.</w:t>
      </w:r>
    </w:p>
    <w:p>
      <w:pPr>
        <w:pStyle w:val="BodyText"/>
        <w:rPr>
          <w:rFonts w:ascii="Courier New"/>
          <w:sz w:val="32"/>
        </w:rPr>
      </w:pPr>
    </w:p>
    <w:p>
      <w:pPr>
        <w:pStyle w:val="ListParagraph"/>
        <w:numPr>
          <w:ilvl w:val="0"/>
          <w:numId w:val="256"/>
        </w:numPr>
        <w:tabs>
          <w:tab w:pos="969" w:val="left" w:leader="none"/>
        </w:tabs>
        <w:spacing w:line="480" w:lineRule="auto" w:before="273" w:after="0"/>
        <w:ind w:left="160" w:right="170" w:firstLine="0"/>
        <w:jc w:val="both"/>
        <w:rPr>
          <w:rFonts w:ascii="Courier New" w:hAnsi="Courier New"/>
          <w:sz w:val="28"/>
        </w:rPr>
      </w:pPr>
      <w:r>
        <w:rPr>
          <w:rFonts w:ascii="Courier New" w:hAnsi="Courier New"/>
          <w:sz w:val="28"/>
        </w:rPr>
        <w:t>One</w:t>
      </w:r>
      <w:r>
        <w:rPr>
          <w:rFonts w:ascii="Courier New" w:hAnsi="Courier New"/>
          <w:spacing w:val="-36"/>
          <w:sz w:val="28"/>
        </w:rPr>
        <w:t> </w:t>
      </w:r>
      <w:r>
        <w:rPr>
          <w:rFonts w:ascii="Courier New" w:hAnsi="Courier New"/>
          <w:sz w:val="28"/>
        </w:rPr>
        <w:t>more</w:t>
      </w:r>
      <w:r>
        <w:rPr>
          <w:rFonts w:ascii="Courier New" w:hAnsi="Courier New"/>
          <w:spacing w:val="-35"/>
          <w:sz w:val="28"/>
        </w:rPr>
        <w:t> </w:t>
      </w:r>
      <w:r>
        <w:rPr>
          <w:rFonts w:ascii="Courier New" w:hAnsi="Courier New"/>
          <w:sz w:val="28"/>
        </w:rPr>
        <w:t>report</w:t>
      </w:r>
      <w:r>
        <w:rPr>
          <w:rFonts w:ascii="Courier New" w:hAnsi="Courier New"/>
          <w:spacing w:val="-35"/>
          <w:sz w:val="28"/>
        </w:rPr>
        <w:t> </w:t>
      </w:r>
      <w:r>
        <w:rPr>
          <w:rFonts w:ascii="Courier New" w:hAnsi="Courier New"/>
          <w:sz w:val="28"/>
        </w:rPr>
        <w:t>published</w:t>
      </w:r>
      <w:r>
        <w:rPr>
          <w:rFonts w:ascii="Courier New" w:hAnsi="Courier New"/>
          <w:spacing w:val="-36"/>
          <w:sz w:val="28"/>
        </w:rPr>
        <w:t> </w:t>
      </w:r>
      <w:r>
        <w:rPr>
          <w:rFonts w:ascii="Courier New" w:hAnsi="Courier New"/>
          <w:sz w:val="28"/>
        </w:rPr>
        <w:t>by</w:t>
      </w:r>
      <w:r>
        <w:rPr>
          <w:rFonts w:ascii="Courier New" w:hAnsi="Courier New"/>
          <w:spacing w:val="-35"/>
          <w:sz w:val="28"/>
        </w:rPr>
        <w:t> </w:t>
      </w:r>
      <w:r>
        <w:rPr>
          <w:rFonts w:ascii="Courier New" w:hAnsi="Courier New"/>
          <w:sz w:val="28"/>
        </w:rPr>
        <w:t>Archaeological</w:t>
      </w:r>
      <w:r>
        <w:rPr>
          <w:rFonts w:ascii="Courier New" w:hAnsi="Courier New"/>
          <w:spacing w:val="-35"/>
          <w:sz w:val="28"/>
        </w:rPr>
        <w:t> </w:t>
      </w:r>
      <w:r>
        <w:rPr>
          <w:rFonts w:ascii="Courier New" w:hAnsi="Courier New"/>
          <w:sz w:val="28"/>
        </w:rPr>
        <w:t>Survey of India published in 1889 needs to be noted, with heading</w:t>
      </w:r>
      <w:r>
        <w:rPr>
          <w:rFonts w:ascii="Courier New" w:hAnsi="Courier New"/>
          <w:spacing w:val="-35"/>
          <w:sz w:val="28"/>
        </w:rPr>
        <w:t> </w:t>
      </w:r>
      <w:r>
        <w:rPr>
          <w:rFonts w:ascii="Courier New" w:hAnsi="Courier New"/>
          <w:sz w:val="28"/>
        </w:rPr>
        <w:t>“The</w:t>
      </w:r>
      <w:r>
        <w:rPr>
          <w:rFonts w:ascii="Courier New" w:hAnsi="Courier New"/>
          <w:spacing w:val="-35"/>
          <w:sz w:val="28"/>
        </w:rPr>
        <w:t> </w:t>
      </w:r>
      <w:r>
        <w:rPr>
          <w:rFonts w:ascii="Courier New" w:hAnsi="Courier New"/>
          <w:sz w:val="28"/>
        </w:rPr>
        <w:t>Sharqi</w:t>
      </w:r>
      <w:r>
        <w:rPr>
          <w:rFonts w:ascii="Courier New" w:hAnsi="Courier New"/>
          <w:spacing w:val="-35"/>
          <w:sz w:val="28"/>
        </w:rPr>
        <w:t> </w:t>
      </w:r>
      <w:r>
        <w:rPr>
          <w:rFonts w:ascii="Courier New" w:hAnsi="Courier New"/>
          <w:sz w:val="28"/>
        </w:rPr>
        <w:t>Architecture</w:t>
      </w:r>
      <w:r>
        <w:rPr>
          <w:rFonts w:ascii="Courier New" w:hAnsi="Courier New"/>
          <w:spacing w:val="-35"/>
          <w:sz w:val="28"/>
        </w:rPr>
        <w:t> </w:t>
      </w:r>
      <w:r>
        <w:rPr>
          <w:rFonts w:ascii="Courier New" w:hAnsi="Courier New"/>
          <w:sz w:val="28"/>
        </w:rPr>
        <w:t>of</w:t>
      </w:r>
      <w:r>
        <w:rPr>
          <w:rFonts w:ascii="Courier New" w:hAnsi="Courier New"/>
          <w:spacing w:val="-35"/>
          <w:sz w:val="28"/>
        </w:rPr>
        <w:t> </w:t>
      </w:r>
      <w:r>
        <w:rPr>
          <w:rFonts w:ascii="Courier New" w:hAnsi="Courier New"/>
          <w:sz w:val="28"/>
        </w:rPr>
        <w:t>Jaunpur;</w:t>
      </w:r>
      <w:r>
        <w:rPr>
          <w:rFonts w:ascii="Courier New" w:hAnsi="Courier New"/>
          <w:spacing w:val="-34"/>
          <w:sz w:val="28"/>
        </w:rPr>
        <w:t> </w:t>
      </w:r>
      <w:r>
        <w:rPr>
          <w:rFonts w:ascii="Courier New" w:hAnsi="Courier New"/>
          <w:sz w:val="28"/>
        </w:rPr>
        <w:t>with</w:t>
      </w:r>
      <w:r>
        <w:rPr>
          <w:rFonts w:ascii="Courier New" w:hAnsi="Courier New"/>
          <w:spacing w:val="-35"/>
          <w:sz w:val="28"/>
        </w:rPr>
        <w:t> </w:t>
      </w:r>
      <w:r>
        <w:rPr>
          <w:rFonts w:ascii="Courier New" w:hAnsi="Courier New"/>
          <w:sz w:val="28"/>
        </w:rPr>
        <w:t>Notes on</w:t>
      </w:r>
      <w:r>
        <w:rPr>
          <w:rFonts w:ascii="Courier New" w:hAnsi="Courier New"/>
          <w:spacing w:val="109"/>
          <w:sz w:val="28"/>
        </w:rPr>
        <w:t> </w:t>
      </w:r>
      <w:r>
        <w:rPr>
          <w:rFonts w:ascii="Courier New" w:hAnsi="Courier New"/>
          <w:sz w:val="28"/>
        </w:rPr>
        <w:t>Zafarabad,</w:t>
      </w:r>
      <w:r>
        <w:rPr>
          <w:rFonts w:ascii="Courier New" w:hAnsi="Courier New"/>
          <w:spacing w:val="110"/>
          <w:sz w:val="28"/>
        </w:rPr>
        <w:t> </w:t>
      </w:r>
      <w:r>
        <w:rPr>
          <w:rFonts w:ascii="Courier New" w:hAnsi="Courier New"/>
          <w:sz w:val="28"/>
        </w:rPr>
        <w:t>Sahet-Mahet</w:t>
      </w:r>
      <w:r>
        <w:rPr>
          <w:rFonts w:ascii="Courier New" w:hAnsi="Courier New"/>
          <w:spacing w:val="110"/>
          <w:sz w:val="28"/>
        </w:rPr>
        <w:t> </w:t>
      </w:r>
      <w:r>
        <w:rPr>
          <w:rFonts w:ascii="Courier New" w:hAnsi="Courier New"/>
          <w:sz w:val="28"/>
        </w:rPr>
        <w:t>and</w:t>
      </w:r>
      <w:r>
        <w:rPr>
          <w:rFonts w:ascii="Courier New" w:hAnsi="Courier New"/>
          <w:spacing w:val="110"/>
          <w:sz w:val="28"/>
        </w:rPr>
        <w:t> </w:t>
      </w:r>
      <w:r>
        <w:rPr>
          <w:rFonts w:ascii="Courier New" w:hAnsi="Courier New"/>
          <w:sz w:val="28"/>
        </w:rPr>
        <w:t>other</w:t>
      </w:r>
      <w:r>
        <w:rPr>
          <w:rFonts w:ascii="Courier New" w:hAnsi="Courier New"/>
          <w:spacing w:val="109"/>
          <w:sz w:val="28"/>
        </w:rPr>
        <w:t> </w:t>
      </w:r>
      <w:r>
        <w:rPr>
          <w:rFonts w:ascii="Courier New" w:hAnsi="Courier New"/>
          <w:sz w:val="28"/>
        </w:rPr>
        <w:t>places</w:t>
      </w:r>
      <w:r>
        <w:rPr>
          <w:rFonts w:ascii="Courier New" w:hAnsi="Courier New"/>
          <w:spacing w:val="110"/>
          <w:sz w:val="28"/>
        </w:rPr>
        <w:t> </w:t>
      </w:r>
      <w:r>
        <w:rPr>
          <w:rFonts w:ascii="Courier New" w:hAnsi="Courier New"/>
          <w:sz w:val="28"/>
        </w:rPr>
        <w:t>in</w:t>
      </w:r>
      <w:r>
        <w:rPr>
          <w:rFonts w:ascii="Courier New" w:hAnsi="Courier New"/>
          <w:spacing w:val="110"/>
          <w:sz w:val="28"/>
        </w:rPr>
        <w:t> </w:t>
      </w:r>
      <w:r>
        <w:rPr>
          <w:rFonts w:ascii="Courier New" w:hAnsi="Courier New"/>
          <w:sz w:val="28"/>
        </w:rPr>
        <w:t>the</w:t>
      </w:r>
    </w:p>
    <w:p>
      <w:pPr>
        <w:spacing w:after="0" w:line="480" w:lineRule="auto"/>
        <w:jc w:val="both"/>
        <w:rPr>
          <w:rFonts w:ascii="Courier New" w:hAnsi="Courier New"/>
          <w:sz w:val="28"/>
        </w:rPr>
        <w:sectPr>
          <w:headerReference w:type="default" r:id="rId390"/>
          <w:footerReference w:type="default" r:id="rId391"/>
          <w:pgSz w:w="11910" w:h="16840"/>
          <w:pgMar w:header="0" w:footer="1063" w:top="1340" w:bottom="1260" w:left="1280" w:right="1280"/>
          <w:pgNumType w:start="90"/>
        </w:sectPr>
      </w:pPr>
    </w:p>
    <w:p>
      <w:pPr>
        <w:tabs>
          <w:tab w:pos="2727" w:val="left" w:leader="none"/>
          <w:tab w:pos="4622" w:val="left" w:leader="none"/>
          <w:tab w:pos="5507" w:val="left" w:leader="none"/>
          <w:tab w:pos="6731" w:val="left" w:leader="none"/>
          <w:tab w:pos="7448" w:val="left" w:leader="none"/>
          <w:tab w:pos="8168" w:val="left" w:leader="none"/>
        </w:tabs>
        <w:spacing w:line="480" w:lineRule="auto" w:before="86"/>
        <w:ind w:left="160" w:right="170" w:firstLine="0"/>
        <w:jc w:val="left"/>
        <w:rPr>
          <w:rFonts w:ascii="Courier New" w:hAnsi="Courier New"/>
          <w:sz w:val="28"/>
        </w:rPr>
      </w:pPr>
      <w:r>
        <w:rPr>
          <w:rFonts w:ascii="Courier New" w:hAnsi="Courier New"/>
          <w:sz w:val="28"/>
        </w:rPr>
        <w:t>North-Western</w:t>
        <w:tab/>
        <w:t>Provinces</w:t>
        <w:tab/>
        <w:t>and</w:t>
        <w:tab/>
        <w:t>Oudh”</w:t>
        <w:tab/>
        <w:t>by</w:t>
        <w:tab/>
        <w:t>A.</w:t>
        <w:tab/>
      </w:r>
      <w:r>
        <w:rPr>
          <w:rFonts w:ascii="Courier New" w:hAnsi="Courier New"/>
          <w:spacing w:val="-4"/>
          <w:sz w:val="28"/>
        </w:rPr>
        <w:t>Fuhrer </w:t>
      </w:r>
      <w:r>
        <w:rPr>
          <w:rFonts w:ascii="Courier New" w:hAnsi="Courier New"/>
          <w:sz w:val="28"/>
        </w:rPr>
        <w:t>(extracted</w:t>
      </w:r>
      <w:r>
        <w:rPr>
          <w:rFonts w:ascii="Courier New" w:hAnsi="Courier New"/>
          <w:spacing w:val="-2"/>
          <w:sz w:val="28"/>
        </w:rPr>
        <w:t> </w:t>
      </w:r>
      <w:r>
        <w:rPr>
          <w:rFonts w:ascii="Courier New" w:hAnsi="Courier New"/>
          <w:sz w:val="28"/>
        </w:rPr>
        <w:t>earlier).</w:t>
      </w:r>
    </w:p>
    <w:p>
      <w:pPr>
        <w:pStyle w:val="BodyText"/>
        <w:rPr>
          <w:rFonts w:ascii="Courier New"/>
          <w:sz w:val="32"/>
        </w:rPr>
      </w:pPr>
    </w:p>
    <w:p>
      <w:pPr>
        <w:pStyle w:val="ListParagraph"/>
        <w:numPr>
          <w:ilvl w:val="0"/>
          <w:numId w:val="256"/>
        </w:numPr>
        <w:tabs>
          <w:tab w:pos="1113" w:val="left" w:leader="none"/>
        </w:tabs>
        <w:spacing w:line="480" w:lineRule="auto" w:before="272" w:after="0"/>
        <w:ind w:left="160" w:right="170" w:firstLine="0"/>
        <w:jc w:val="both"/>
        <w:rPr>
          <w:rFonts w:ascii="Courier New" w:hAnsi="Courier New"/>
          <w:b/>
          <w:sz w:val="28"/>
        </w:rPr>
      </w:pPr>
      <w:r>
        <w:rPr>
          <w:rFonts w:ascii="Courier New" w:hAnsi="Courier New"/>
          <w:sz w:val="28"/>
        </w:rPr>
        <w:t>The A.S.I., thus, clearly state that </w:t>
      </w:r>
      <w:r>
        <w:rPr>
          <w:rFonts w:ascii="Courier New" w:hAnsi="Courier New"/>
          <w:b/>
          <w:sz w:val="28"/>
        </w:rPr>
        <w:t>Babar’s Masjid at Ayodhya was built on the very spot where</w:t>
      </w:r>
      <w:r>
        <w:rPr>
          <w:rFonts w:ascii="Courier New" w:hAnsi="Courier New"/>
          <w:b/>
          <w:spacing w:val="-78"/>
          <w:sz w:val="28"/>
        </w:rPr>
        <w:t> </w:t>
      </w:r>
      <w:r>
        <w:rPr>
          <w:rFonts w:ascii="Courier New" w:hAnsi="Courier New"/>
          <w:b/>
          <w:sz w:val="28"/>
        </w:rPr>
        <w:t>the old temple Janmasthan of Ramchandra was</w:t>
      </w:r>
      <w:r>
        <w:rPr>
          <w:rFonts w:ascii="Courier New" w:hAnsi="Courier New"/>
          <w:b/>
          <w:spacing w:val="-16"/>
          <w:sz w:val="28"/>
        </w:rPr>
        <w:t> </w:t>
      </w:r>
      <w:r>
        <w:rPr>
          <w:rFonts w:ascii="Courier New" w:hAnsi="Courier New"/>
          <w:b/>
          <w:sz w:val="28"/>
        </w:rPr>
        <w:t>standing.</w:t>
      </w:r>
    </w:p>
    <w:p>
      <w:pPr>
        <w:pStyle w:val="BodyText"/>
        <w:spacing w:before="11"/>
        <w:rPr>
          <w:rFonts w:ascii="Courier New"/>
          <w:b/>
          <w:sz w:val="27"/>
        </w:rPr>
      </w:pPr>
    </w:p>
    <w:p>
      <w:pPr>
        <w:pStyle w:val="Heading2"/>
        <w:numPr>
          <w:ilvl w:val="0"/>
          <w:numId w:val="256"/>
        </w:numPr>
        <w:tabs>
          <w:tab w:pos="1077" w:val="left" w:leader="none"/>
        </w:tabs>
        <w:spacing w:line="480" w:lineRule="auto" w:before="0" w:after="0"/>
        <w:ind w:left="160" w:right="170" w:firstLine="0"/>
        <w:jc w:val="both"/>
      </w:pPr>
      <w:r>
        <w:rPr/>
        <w:t>Another Report was published by A.S.I. on the Monumental Antiquities and Inscriptions in the North- Western Provinces and Oudh by A. Fuhrer. Referring to Ramachandra,</w:t>
      </w:r>
      <w:r>
        <w:rPr>
          <w:spacing w:val="-32"/>
        </w:rPr>
        <w:t> </w:t>
      </w:r>
      <w:r>
        <w:rPr/>
        <w:t>it</w:t>
      </w:r>
      <w:r>
        <w:rPr>
          <w:spacing w:val="-32"/>
        </w:rPr>
        <w:t> </w:t>
      </w:r>
      <w:r>
        <w:rPr/>
        <w:t>mentioned</w:t>
      </w:r>
      <w:r>
        <w:rPr>
          <w:spacing w:val="-32"/>
        </w:rPr>
        <w:t> </w:t>
      </w:r>
      <w:r>
        <w:rPr/>
        <w:t>that</w:t>
      </w:r>
      <w:r>
        <w:rPr>
          <w:spacing w:val="-31"/>
        </w:rPr>
        <w:t> </w:t>
      </w:r>
      <w:r>
        <w:rPr/>
        <w:t>Lord</w:t>
      </w:r>
      <w:r>
        <w:rPr>
          <w:spacing w:val="-32"/>
        </w:rPr>
        <w:t> </w:t>
      </w:r>
      <w:r>
        <w:rPr/>
        <w:t>Ram</w:t>
      </w:r>
      <w:r>
        <w:rPr>
          <w:spacing w:val="-32"/>
        </w:rPr>
        <w:t> </w:t>
      </w:r>
      <w:r>
        <w:rPr/>
        <w:t>was</w:t>
      </w:r>
      <w:r>
        <w:rPr>
          <w:spacing w:val="-28"/>
        </w:rPr>
        <w:t> </w:t>
      </w:r>
      <w:r>
        <w:rPr/>
        <w:t>born</w:t>
      </w:r>
      <w:r>
        <w:rPr>
          <w:spacing w:val="-32"/>
        </w:rPr>
        <w:t> </w:t>
      </w:r>
      <w:r>
        <w:rPr/>
        <w:t>there. The Report refers that Janmasthanam Temple was demolished and a Masjid was constructed in 930</w:t>
      </w:r>
      <w:r>
        <w:rPr>
          <w:spacing w:val="-24"/>
        </w:rPr>
        <w:t> </w:t>
      </w:r>
      <w:r>
        <w:rPr/>
        <w:t>Hijri.</w:t>
      </w:r>
    </w:p>
    <w:p>
      <w:pPr>
        <w:pStyle w:val="BodyText"/>
        <w:rPr>
          <w:rFonts w:ascii="Courier New"/>
          <w:sz w:val="32"/>
        </w:rPr>
      </w:pPr>
    </w:p>
    <w:p>
      <w:pPr>
        <w:pStyle w:val="ListParagraph"/>
        <w:numPr>
          <w:ilvl w:val="0"/>
          <w:numId w:val="256"/>
        </w:numPr>
        <w:tabs>
          <w:tab w:pos="1036" w:val="left" w:leader="none"/>
        </w:tabs>
        <w:spacing w:line="480" w:lineRule="auto" w:before="270" w:after="0"/>
        <w:ind w:left="159" w:right="169" w:firstLine="0"/>
        <w:jc w:val="both"/>
        <w:rPr>
          <w:rFonts w:ascii="Courier New"/>
          <w:sz w:val="28"/>
        </w:rPr>
      </w:pPr>
      <w:r>
        <w:rPr>
          <w:rFonts w:ascii="Courier New"/>
          <w:sz w:val="28"/>
        </w:rPr>
        <w:t>The next Gazetteer, which has been referred and relied is Gazetteer of Fyzabad, Vol. XLIII published in 1905 by the Government of the United Provinces of Agra and Oudh (extracted</w:t>
      </w:r>
      <w:r>
        <w:rPr>
          <w:rFonts w:ascii="Courier New"/>
          <w:spacing w:val="-7"/>
          <w:sz w:val="28"/>
        </w:rPr>
        <w:t> </w:t>
      </w:r>
      <w:r>
        <w:rPr>
          <w:rFonts w:ascii="Courier New"/>
          <w:sz w:val="28"/>
        </w:rPr>
        <w:t>earlier).</w:t>
      </w:r>
    </w:p>
    <w:p>
      <w:pPr>
        <w:pStyle w:val="BodyText"/>
        <w:rPr>
          <w:rFonts w:ascii="Courier New"/>
          <w:sz w:val="32"/>
        </w:rPr>
      </w:pPr>
    </w:p>
    <w:p>
      <w:pPr>
        <w:pStyle w:val="ListParagraph"/>
        <w:numPr>
          <w:ilvl w:val="0"/>
          <w:numId w:val="256"/>
        </w:numPr>
        <w:tabs>
          <w:tab w:pos="993" w:val="left" w:leader="none"/>
        </w:tabs>
        <w:spacing w:line="480" w:lineRule="auto" w:before="273" w:after="0"/>
        <w:ind w:left="159" w:right="170" w:firstLine="0"/>
        <w:jc w:val="both"/>
        <w:rPr>
          <w:rFonts w:ascii="Courier New" w:hAnsi="Courier New"/>
          <w:sz w:val="28"/>
        </w:rPr>
      </w:pPr>
      <w:r>
        <w:rPr>
          <w:rFonts w:ascii="Courier New" w:hAnsi="Courier New"/>
          <w:sz w:val="28"/>
        </w:rPr>
        <w:t>In the “Imperial Gazetteer of India” published</w:t>
      </w:r>
      <w:r>
        <w:rPr>
          <w:rFonts w:ascii="Courier New" w:hAnsi="Courier New"/>
          <w:spacing w:val="-68"/>
          <w:sz w:val="28"/>
        </w:rPr>
        <w:t> </w:t>
      </w:r>
      <w:r>
        <w:rPr>
          <w:rFonts w:ascii="Courier New" w:hAnsi="Courier New"/>
          <w:sz w:val="28"/>
        </w:rPr>
        <w:t>in 1908 with respect to Faizabad Division, extracted earlier.</w:t>
      </w:r>
    </w:p>
    <w:p>
      <w:pPr>
        <w:spacing w:after="0" w:line="480" w:lineRule="auto"/>
        <w:jc w:val="both"/>
        <w:rPr>
          <w:rFonts w:ascii="Courier New" w:hAnsi="Courier New"/>
          <w:sz w:val="28"/>
        </w:rPr>
        <w:sectPr>
          <w:headerReference w:type="default" r:id="rId392"/>
          <w:footerReference w:type="default" r:id="rId393"/>
          <w:pgSz w:w="11910" w:h="16840"/>
          <w:pgMar w:header="0" w:footer="1063" w:top="1340" w:bottom="1260" w:left="1280" w:right="1280"/>
          <w:pgNumType w:start="91"/>
        </w:sectPr>
      </w:pPr>
    </w:p>
    <w:p>
      <w:pPr>
        <w:pStyle w:val="BodyText"/>
        <w:rPr>
          <w:rFonts w:ascii="Courier New"/>
          <w:sz w:val="20"/>
        </w:rPr>
      </w:pPr>
    </w:p>
    <w:p>
      <w:pPr>
        <w:pStyle w:val="ListParagraph"/>
        <w:numPr>
          <w:ilvl w:val="0"/>
          <w:numId w:val="256"/>
        </w:numPr>
        <w:tabs>
          <w:tab w:pos="1041" w:val="left" w:leader="none"/>
        </w:tabs>
        <w:spacing w:line="482" w:lineRule="auto" w:before="253" w:after="0"/>
        <w:ind w:left="160" w:right="169" w:firstLine="0"/>
        <w:jc w:val="both"/>
        <w:rPr>
          <w:rFonts w:ascii="Courier New"/>
          <w:sz w:val="28"/>
        </w:rPr>
      </w:pPr>
      <w:r>
        <w:rPr>
          <w:rFonts w:ascii="Courier New"/>
          <w:sz w:val="28"/>
        </w:rPr>
        <w:t>In 1928, publication of Faizabad, Gazetteer was undertaken by H.R. Nevill, extracted</w:t>
      </w:r>
      <w:r>
        <w:rPr>
          <w:rFonts w:ascii="Courier New"/>
          <w:spacing w:val="-12"/>
          <w:sz w:val="28"/>
        </w:rPr>
        <w:t> </w:t>
      </w:r>
      <w:r>
        <w:rPr>
          <w:rFonts w:ascii="Courier New"/>
          <w:sz w:val="28"/>
        </w:rPr>
        <w:t>earlier.</w:t>
      </w:r>
    </w:p>
    <w:p>
      <w:pPr>
        <w:pStyle w:val="BodyText"/>
        <w:spacing w:before="8"/>
        <w:rPr>
          <w:rFonts w:ascii="Courier New"/>
          <w:sz w:val="39"/>
        </w:rPr>
      </w:pPr>
    </w:p>
    <w:p>
      <w:pPr>
        <w:pStyle w:val="ListParagraph"/>
        <w:numPr>
          <w:ilvl w:val="0"/>
          <w:numId w:val="256"/>
        </w:numPr>
        <w:tabs>
          <w:tab w:pos="1089" w:val="left" w:leader="none"/>
        </w:tabs>
        <w:spacing w:line="480" w:lineRule="auto" w:before="0" w:after="0"/>
        <w:ind w:left="160" w:right="157" w:firstLine="0"/>
        <w:jc w:val="both"/>
        <w:rPr>
          <w:rFonts w:ascii="Courier New" w:hAnsi="Courier New"/>
          <w:color w:val="1C1C1C"/>
          <w:sz w:val="28"/>
        </w:rPr>
      </w:pPr>
      <w:r>
        <w:rPr>
          <w:rFonts w:ascii="Courier New" w:hAnsi="Courier New"/>
          <w:color w:val="1C1C1C"/>
          <w:sz w:val="28"/>
        </w:rPr>
        <w:t>Archaeological Survey of India in volume “The Monumental Antiquities and Inscriptions in the North- Western Provinces and Oudh” in the year 1891 while describing Faizabad district, dealing city of Ayodhya noted that in place of important Hindu temple namely ‘Janmasthan’, a ‘Mosque’ was built during the reign</w:t>
      </w:r>
      <w:r>
        <w:rPr>
          <w:rFonts w:ascii="Courier New" w:hAnsi="Courier New"/>
          <w:color w:val="1C1C1C"/>
          <w:spacing w:val="-67"/>
          <w:sz w:val="28"/>
        </w:rPr>
        <w:t> </w:t>
      </w:r>
      <w:r>
        <w:rPr>
          <w:rFonts w:ascii="Courier New" w:hAnsi="Courier New"/>
          <w:color w:val="1C1C1C"/>
          <w:sz w:val="28"/>
        </w:rPr>
        <w:t>of Babur which still bears his name. It was further mentioned that old temple must have been a very fine one, for many of its column have been utilised by the Musalmans in the construction of Babri</w:t>
      </w:r>
      <w:r>
        <w:rPr>
          <w:rFonts w:ascii="Courier New" w:hAnsi="Courier New"/>
          <w:color w:val="1C1C1C"/>
          <w:spacing w:val="-13"/>
          <w:sz w:val="28"/>
        </w:rPr>
        <w:t> </w:t>
      </w:r>
      <w:r>
        <w:rPr>
          <w:rFonts w:ascii="Courier New" w:hAnsi="Courier New"/>
          <w:color w:val="1C1C1C"/>
          <w:sz w:val="28"/>
        </w:rPr>
        <w:t>Masjid.</w:t>
      </w:r>
    </w:p>
    <w:p>
      <w:pPr>
        <w:pStyle w:val="BodyText"/>
        <w:rPr>
          <w:rFonts w:ascii="Courier New"/>
          <w:sz w:val="32"/>
        </w:rPr>
      </w:pPr>
    </w:p>
    <w:p>
      <w:pPr>
        <w:pStyle w:val="ListParagraph"/>
        <w:numPr>
          <w:ilvl w:val="0"/>
          <w:numId w:val="256"/>
        </w:numPr>
        <w:tabs>
          <w:tab w:pos="1041" w:val="left" w:leader="none"/>
        </w:tabs>
        <w:spacing w:line="480" w:lineRule="auto" w:before="237" w:after="0"/>
        <w:ind w:left="160" w:right="158" w:firstLine="0"/>
        <w:jc w:val="both"/>
        <w:rPr>
          <w:rFonts w:ascii="Courier New" w:hAnsi="Courier New"/>
          <w:color w:val="1C1C1C"/>
          <w:sz w:val="28"/>
        </w:rPr>
      </w:pPr>
      <w:r>
        <w:rPr>
          <w:rFonts w:ascii="Courier New" w:hAnsi="Courier New"/>
          <w:color w:val="1C1C1C"/>
          <w:sz w:val="28"/>
        </w:rPr>
        <w:t>The Gazetteer of “Bara Banki”, volume 48(1921), of the District Gazetteers of the United Provinces of Agra and Oudh mentioned about a dispute which took place in the year 1853 between Hindu priests and Musalmans</w:t>
      </w:r>
      <w:r>
        <w:rPr>
          <w:rFonts w:ascii="Courier New" w:hAnsi="Courier New"/>
          <w:color w:val="1C1C1C"/>
          <w:spacing w:val="-27"/>
          <w:sz w:val="28"/>
        </w:rPr>
        <w:t> </w:t>
      </w:r>
      <w:r>
        <w:rPr>
          <w:rFonts w:ascii="Courier New" w:hAnsi="Courier New"/>
          <w:color w:val="1C1C1C"/>
          <w:sz w:val="28"/>
        </w:rPr>
        <w:t>of</w:t>
      </w:r>
      <w:r>
        <w:rPr>
          <w:rFonts w:ascii="Courier New" w:hAnsi="Courier New"/>
          <w:color w:val="1C1C1C"/>
          <w:spacing w:val="-26"/>
          <w:sz w:val="28"/>
        </w:rPr>
        <w:t> </w:t>
      </w:r>
      <w:r>
        <w:rPr>
          <w:rFonts w:ascii="Courier New" w:hAnsi="Courier New"/>
          <w:color w:val="1C1C1C"/>
          <w:sz w:val="28"/>
        </w:rPr>
        <w:t>Ayodhya</w:t>
      </w:r>
      <w:r>
        <w:rPr>
          <w:rFonts w:ascii="Courier New" w:hAnsi="Courier New"/>
          <w:color w:val="1C1C1C"/>
          <w:spacing w:val="-26"/>
          <w:sz w:val="28"/>
        </w:rPr>
        <w:t> </w:t>
      </w:r>
      <w:r>
        <w:rPr>
          <w:rFonts w:ascii="Courier New" w:hAnsi="Courier New"/>
          <w:color w:val="1C1C1C"/>
          <w:sz w:val="28"/>
        </w:rPr>
        <w:t>with</w:t>
      </w:r>
      <w:r>
        <w:rPr>
          <w:rFonts w:ascii="Courier New" w:hAnsi="Courier New"/>
          <w:color w:val="1C1C1C"/>
          <w:spacing w:val="-26"/>
          <w:sz w:val="28"/>
        </w:rPr>
        <w:t> </w:t>
      </w:r>
      <w:r>
        <w:rPr>
          <w:rFonts w:ascii="Courier New" w:hAnsi="Courier New"/>
          <w:color w:val="1C1C1C"/>
          <w:sz w:val="28"/>
        </w:rPr>
        <w:t>regard</w:t>
      </w:r>
      <w:r>
        <w:rPr>
          <w:rFonts w:ascii="Courier New" w:hAnsi="Courier New"/>
          <w:color w:val="1C1C1C"/>
          <w:spacing w:val="-26"/>
          <w:sz w:val="28"/>
        </w:rPr>
        <w:t> </w:t>
      </w:r>
      <w:r>
        <w:rPr>
          <w:rFonts w:ascii="Courier New" w:hAnsi="Courier New"/>
          <w:color w:val="1C1C1C"/>
          <w:sz w:val="28"/>
        </w:rPr>
        <w:t>to</w:t>
      </w:r>
      <w:r>
        <w:rPr>
          <w:rFonts w:ascii="Courier New" w:hAnsi="Courier New"/>
          <w:color w:val="1C1C1C"/>
          <w:spacing w:val="-26"/>
          <w:sz w:val="28"/>
        </w:rPr>
        <w:t> </w:t>
      </w:r>
      <w:r>
        <w:rPr>
          <w:rFonts w:ascii="Courier New" w:hAnsi="Courier New"/>
          <w:color w:val="1C1C1C"/>
          <w:sz w:val="28"/>
        </w:rPr>
        <w:t>the</w:t>
      </w:r>
      <w:r>
        <w:rPr>
          <w:rFonts w:ascii="Courier New" w:hAnsi="Courier New"/>
          <w:color w:val="1C1C1C"/>
          <w:spacing w:val="-26"/>
          <w:sz w:val="28"/>
        </w:rPr>
        <w:t> </w:t>
      </w:r>
      <w:r>
        <w:rPr>
          <w:rFonts w:ascii="Courier New" w:hAnsi="Courier New"/>
          <w:color w:val="1C1C1C"/>
          <w:sz w:val="28"/>
        </w:rPr>
        <w:t>ground</w:t>
      </w:r>
      <w:r>
        <w:rPr>
          <w:rFonts w:ascii="Courier New" w:hAnsi="Courier New"/>
          <w:color w:val="1C1C1C"/>
          <w:spacing w:val="-26"/>
          <w:sz w:val="28"/>
        </w:rPr>
        <w:t> </w:t>
      </w:r>
      <w:r>
        <w:rPr>
          <w:rFonts w:ascii="Courier New" w:hAnsi="Courier New"/>
          <w:color w:val="1C1C1C"/>
          <w:sz w:val="28"/>
        </w:rPr>
        <w:t>on</w:t>
      </w:r>
      <w:r>
        <w:rPr>
          <w:rFonts w:ascii="Courier New" w:hAnsi="Courier New"/>
          <w:color w:val="1C1C1C"/>
          <w:spacing w:val="-26"/>
          <w:sz w:val="28"/>
        </w:rPr>
        <w:t> </w:t>
      </w:r>
      <w:r>
        <w:rPr>
          <w:rFonts w:ascii="Courier New" w:hAnsi="Courier New"/>
          <w:color w:val="1C1C1C"/>
          <w:sz w:val="28"/>
        </w:rPr>
        <w:t>which formerly stood the Janmasthan temple, which was destroyed by Babar and replaced by a Mosque.</w:t>
      </w:r>
      <w:r>
        <w:rPr>
          <w:rFonts w:ascii="Courier New" w:hAnsi="Courier New"/>
          <w:color w:val="1C1C1C"/>
          <w:spacing w:val="-67"/>
          <w:sz w:val="28"/>
        </w:rPr>
        <w:t> </w:t>
      </w:r>
      <w:r>
        <w:rPr>
          <w:rFonts w:ascii="Courier New" w:hAnsi="Courier New"/>
          <w:color w:val="1C1C1C"/>
          <w:sz w:val="28"/>
        </w:rPr>
        <w:t>Following</w:t>
      </w:r>
    </w:p>
    <w:p>
      <w:pPr>
        <w:spacing w:after="0" w:line="480" w:lineRule="auto"/>
        <w:jc w:val="both"/>
        <w:rPr>
          <w:rFonts w:ascii="Courier New" w:hAnsi="Courier New"/>
          <w:sz w:val="28"/>
        </w:rPr>
        <w:sectPr>
          <w:headerReference w:type="default" r:id="rId394"/>
          <w:footerReference w:type="default" r:id="rId395"/>
          <w:pgSz w:w="11910" w:h="16840"/>
          <w:pgMar w:header="0" w:footer="1063" w:top="1580" w:bottom="1260" w:left="1280" w:right="1280"/>
          <w:pgNumType w:start="92"/>
        </w:sectPr>
      </w:pPr>
    </w:p>
    <w:p>
      <w:pPr>
        <w:spacing w:line="482" w:lineRule="auto" w:before="86"/>
        <w:ind w:left="160" w:right="0" w:firstLine="0"/>
        <w:jc w:val="left"/>
        <w:rPr>
          <w:rFonts w:ascii="Courier New"/>
          <w:sz w:val="28"/>
        </w:rPr>
      </w:pPr>
      <w:r>
        <w:rPr>
          <w:rFonts w:ascii="Courier New"/>
          <w:color w:val="1C1C1C"/>
          <w:sz w:val="28"/>
        </w:rPr>
        <w:t>has been stated at page 169 of the Gazette under the heading 'History' in chapter 5:-</w:t>
      </w:r>
    </w:p>
    <w:p>
      <w:pPr>
        <w:spacing w:line="240" w:lineRule="auto" w:before="133"/>
        <w:ind w:left="1011" w:right="1245" w:firstLine="0"/>
        <w:jc w:val="both"/>
        <w:rPr>
          <w:rFonts w:ascii="Courier New" w:hAnsi="Courier New"/>
          <w:sz w:val="28"/>
        </w:rPr>
      </w:pPr>
      <w:r>
        <w:rPr>
          <w:rFonts w:ascii="Courier New" w:hAnsi="Courier New"/>
          <w:sz w:val="28"/>
        </w:rPr>
        <w:t>“</w:t>
      </w:r>
      <w:r>
        <w:rPr>
          <w:rFonts w:ascii="Courier New" w:hAnsi="Courier New"/>
          <w:color w:val="1C1C1C"/>
          <w:sz w:val="28"/>
        </w:rPr>
        <w:t>...It</w:t>
      </w:r>
      <w:r>
        <w:rPr>
          <w:rFonts w:ascii="Courier New" w:hAnsi="Courier New"/>
          <w:color w:val="1C1C1C"/>
          <w:spacing w:val="-26"/>
          <w:sz w:val="28"/>
        </w:rPr>
        <w:t> </w:t>
      </w:r>
      <w:r>
        <w:rPr>
          <w:rFonts w:ascii="Courier New" w:hAnsi="Courier New"/>
          <w:color w:val="1C1C1C"/>
          <w:sz w:val="28"/>
        </w:rPr>
        <w:t>would</w:t>
      </w:r>
      <w:r>
        <w:rPr>
          <w:rFonts w:ascii="Courier New" w:hAnsi="Courier New"/>
          <w:color w:val="1C1C1C"/>
          <w:spacing w:val="-26"/>
          <w:sz w:val="28"/>
        </w:rPr>
        <w:t> </w:t>
      </w:r>
      <w:r>
        <w:rPr>
          <w:rFonts w:ascii="Courier New" w:hAnsi="Courier New"/>
          <w:color w:val="1C1C1C"/>
          <w:sz w:val="28"/>
        </w:rPr>
        <w:t>appear</w:t>
      </w:r>
      <w:r>
        <w:rPr>
          <w:rFonts w:ascii="Courier New" w:hAnsi="Courier New"/>
          <w:color w:val="1C1C1C"/>
          <w:spacing w:val="-25"/>
          <w:sz w:val="28"/>
        </w:rPr>
        <w:t> </w:t>
      </w:r>
      <w:r>
        <w:rPr>
          <w:rFonts w:ascii="Courier New" w:hAnsi="Courier New"/>
          <w:color w:val="1C1C1C"/>
          <w:sz w:val="28"/>
        </w:rPr>
        <w:t>that</w:t>
      </w:r>
      <w:r>
        <w:rPr>
          <w:rFonts w:ascii="Courier New" w:hAnsi="Courier New"/>
          <w:color w:val="1C1C1C"/>
          <w:spacing w:val="-26"/>
          <w:sz w:val="28"/>
        </w:rPr>
        <w:t> </w:t>
      </w:r>
      <w:r>
        <w:rPr>
          <w:rFonts w:ascii="Courier New" w:hAnsi="Courier New"/>
          <w:color w:val="1C1C1C"/>
          <w:sz w:val="28"/>
        </w:rPr>
        <w:t>the</w:t>
      </w:r>
      <w:r>
        <w:rPr>
          <w:rFonts w:ascii="Courier New" w:hAnsi="Courier New"/>
          <w:color w:val="1C1C1C"/>
          <w:spacing w:val="-28"/>
          <w:sz w:val="28"/>
        </w:rPr>
        <w:t> </w:t>
      </w:r>
      <w:r>
        <w:rPr>
          <w:rFonts w:ascii="Courier New" w:hAnsi="Courier New"/>
          <w:color w:val="1C1C1C"/>
          <w:sz w:val="28"/>
        </w:rPr>
        <w:t>event</w:t>
      </w:r>
      <w:r>
        <w:rPr>
          <w:rFonts w:ascii="Courier New" w:hAnsi="Courier New"/>
          <w:color w:val="1C1C1C"/>
          <w:spacing w:val="-25"/>
          <w:sz w:val="28"/>
        </w:rPr>
        <w:t> </w:t>
      </w:r>
      <w:r>
        <w:rPr>
          <w:rFonts w:ascii="Courier New" w:hAnsi="Courier New"/>
          <w:color w:val="1C1C1C"/>
          <w:sz w:val="28"/>
        </w:rPr>
        <w:t>happened in the year 1853. The cause of the occurrence</w:t>
      </w:r>
      <w:r>
        <w:rPr>
          <w:rFonts w:ascii="Courier New" w:hAnsi="Courier New"/>
          <w:color w:val="1C1C1C"/>
          <w:spacing w:val="-26"/>
          <w:sz w:val="28"/>
        </w:rPr>
        <w:t> </w:t>
      </w:r>
      <w:r>
        <w:rPr>
          <w:rFonts w:ascii="Courier New" w:hAnsi="Courier New"/>
          <w:color w:val="1C1C1C"/>
          <w:sz w:val="28"/>
        </w:rPr>
        <w:t>was</w:t>
      </w:r>
      <w:r>
        <w:rPr>
          <w:rFonts w:ascii="Courier New" w:hAnsi="Courier New"/>
          <w:color w:val="1C1C1C"/>
          <w:spacing w:val="-26"/>
          <w:sz w:val="28"/>
        </w:rPr>
        <w:t> </w:t>
      </w:r>
      <w:r>
        <w:rPr>
          <w:rFonts w:ascii="Courier New" w:hAnsi="Courier New"/>
          <w:color w:val="1C1C1C"/>
          <w:sz w:val="28"/>
        </w:rPr>
        <w:t>one</w:t>
      </w:r>
      <w:r>
        <w:rPr>
          <w:rFonts w:ascii="Courier New" w:hAnsi="Courier New"/>
          <w:color w:val="1C1C1C"/>
          <w:spacing w:val="-25"/>
          <w:sz w:val="28"/>
        </w:rPr>
        <w:t> </w:t>
      </w:r>
      <w:r>
        <w:rPr>
          <w:rFonts w:ascii="Courier New" w:hAnsi="Courier New"/>
          <w:color w:val="1C1C1C"/>
          <w:sz w:val="28"/>
        </w:rPr>
        <w:t>of</w:t>
      </w:r>
      <w:r>
        <w:rPr>
          <w:rFonts w:ascii="Courier New" w:hAnsi="Courier New"/>
          <w:color w:val="1C1C1C"/>
          <w:spacing w:val="-26"/>
          <w:sz w:val="28"/>
        </w:rPr>
        <w:t> </w:t>
      </w:r>
      <w:r>
        <w:rPr>
          <w:rFonts w:ascii="Courier New" w:hAnsi="Courier New"/>
          <w:color w:val="1C1C1C"/>
          <w:sz w:val="28"/>
        </w:rPr>
        <w:t>the</w:t>
      </w:r>
      <w:r>
        <w:rPr>
          <w:rFonts w:ascii="Courier New" w:hAnsi="Courier New"/>
          <w:color w:val="1C1C1C"/>
          <w:spacing w:val="-26"/>
          <w:sz w:val="28"/>
        </w:rPr>
        <w:t> </w:t>
      </w:r>
      <w:r>
        <w:rPr>
          <w:rFonts w:ascii="Courier New" w:hAnsi="Courier New"/>
          <w:color w:val="1C1C1C"/>
          <w:sz w:val="28"/>
        </w:rPr>
        <w:t>numerous</w:t>
      </w:r>
      <w:r>
        <w:rPr>
          <w:rFonts w:ascii="Courier New" w:hAnsi="Courier New"/>
          <w:color w:val="1C1C1C"/>
          <w:spacing w:val="-25"/>
          <w:sz w:val="28"/>
        </w:rPr>
        <w:t> </w:t>
      </w:r>
      <w:r>
        <w:rPr>
          <w:rFonts w:ascii="Courier New" w:hAnsi="Courier New"/>
          <w:color w:val="1C1C1C"/>
          <w:sz w:val="28"/>
        </w:rPr>
        <w:t>disputes that have sprung up from time to time between Hindu Priests and the Musalmans of Ajodhya with regard to the ground on which formerly</w:t>
      </w:r>
      <w:r>
        <w:rPr>
          <w:rFonts w:ascii="Courier New" w:hAnsi="Courier New"/>
          <w:color w:val="1C1C1C"/>
          <w:spacing w:val="-32"/>
          <w:sz w:val="28"/>
        </w:rPr>
        <w:t> </w:t>
      </w:r>
      <w:r>
        <w:rPr>
          <w:rFonts w:ascii="Courier New" w:hAnsi="Courier New"/>
          <w:color w:val="1C1C1C"/>
          <w:sz w:val="28"/>
        </w:rPr>
        <w:t>stood</w:t>
      </w:r>
      <w:r>
        <w:rPr>
          <w:rFonts w:ascii="Courier New" w:hAnsi="Courier New"/>
          <w:color w:val="1C1C1C"/>
          <w:spacing w:val="-31"/>
          <w:sz w:val="28"/>
        </w:rPr>
        <w:t> </w:t>
      </w:r>
      <w:r>
        <w:rPr>
          <w:rFonts w:ascii="Courier New" w:hAnsi="Courier New"/>
          <w:color w:val="1C1C1C"/>
          <w:sz w:val="28"/>
        </w:rPr>
        <w:t>the</w:t>
      </w:r>
      <w:r>
        <w:rPr>
          <w:rFonts w:ascii="Courier New" w:hAnsi="Courier New"/>
          <w:color w:val="1C1C1C"/>
          <w:spacing w:val="-31"/>
          <w:sz w:val="28"/>
        </w:rPr>
        <w:t> </w:t>
      </w:r>
      <w:r>
        <w:rPr>
          <w:rFonts w:ascii="Courier New" w:hAnsi="Courier New"/>
          <w:color w:val="1C1C1C"/>
          <w:sz w:val="28"/>
        </w:rPr>
        <w:t>Janamsthan</w:t>
      </w:r>
      <w:r>
        <w:rPr>
          <w:rFonts w:ascii="Courier New" w:hAnsi="Courier New"/>
          <w:color w:val="1C1C1C"/>
          <w:spacing w:val="-31"/>
          <w:sz w:val="28"/>
        </w:rPr>
        <w:t> </w:t>
      </w:r>
      <w:r>
        <w:rPr>
          <w:rFonts w:ascii="Courier New" w:hAnsi="Courier New"/>
          <w:color w:val="1C1C1C"/>
          <w:sz w:val="28"/>
        </w:rPr>
        <w:t>temple,</w:t>
      </w:r>
      <w:r>
        <w:rPr>
          <w:rFonts w:ascii="Courier New" w:hAnsi="Courier New"/>
          <w:color w:val="1C1C1C"/>
          <w:spacing w:val="-31"/>
          <w:sz w:val="28"/>
        </w:rPr>
        <w:t> </w:t>
      </w:r>
      <w:r>
        <w:rPr>
          <w:rFonts w:ascii="Courier New" w:hAnsi="Courier New"/>
          <w:color w:val="1C1C1C"/>
          <w:sz w:val="28"/>
        </w:rPr>
        <w:t>which was destroyed by Babar and replaced by a mosque. Other mosques had been built there by Aurangzeb and others and some of them had fallen into decay. The ground, being peculiarly sacred to the Hindus, was at once seized by the Bairagis and others, thus affording a fertile source of friction...”</w:t>
      </w:r>
    </w:p>
    <w:p>
      <w:pPr>
        <w:pStyle w:val="BodyText"/>
        <w:rPr>
          <w:rFonts w:ascii="Courier New"/>
          <w:sz w:val="32"/>
        </w:rPr>
      </w:pPr>
    </w:p>
    <w:p>
      <w:pPr>
        <w:pStyle w:val="BodyText"/>
        <w:spacing w:before="4"/>
        <w:rPr>
          <w:rFonts w:ascii="Courier New"/>
          <w:sz w:val="36"/>
        </w:rPr>
      </w:pPr>
    </w:p>
    <w:p>
      <w:pPr>
        <w:pStyle w:val="ListParagraph"/>
        <w:numPr>
          <w:ilvl w:val="0"/>
          <w:numId w:val="256"/>
        </w:numPr>
        <w:tabs>
          <w:tab w:pos="1036" w:val="left" w:leader="none"/>
        </w:tabs>
        <w:spacing w:line="480" w:lineRule="auto" w:before="0" w:after="0"/>
        <w:ind w:left="160" w:right="159" w:firstLine="0"/>
        <w:jc w:val="both"/>
        <w:rPr>
          <w:rFonts w:ascii="Courier New"/>
          <w:color w:val="1C1C1C"/>
          <w:sz w:val="28"/>
        </w:rPr>
      </w:pPr>
      <w:r>
        <w:rPr>
          <w:rFonts w:ascii="Courier New"/>
          <w:color w:val="1C1C1C"/>
          <w:sz w:val="28"/>
        </w:rPr>
        <w:t>The Gazetteer has further narrated details of a march by Amir Ali under whom large number of Muslims marched</w:t>
      </w:r>
      <w:r>
        <w:rPr>
          <w:rFonts w:ascii="Courier New"/>
          <w:color w:val="1C1C1C"/>
          <w:spacing w:val="-34"/>
          <w:sz w:val="28"/>
        </w:rPr>
        <w:t> </w:t>
      </w:r>
      <w:r>
        <w:rPr>
          <w:rFonts w:ascii="Courier New"/>
          <w:color w:val="1C1C1C"/>
          <w:sz w:val="28"/>
        </w:rPr>
        <w:t>towards</w:t>
      </w:r>
      <w:r>
        <w:rPr>
          <w:rFonts w:ascii="Courier New"/>
          <w:color w:val="1C1C1C"/>
          <w:spacing w:val="-34"/>
          <w:sz w:val="28"/>
        </w:rPr>
        <w:t> </w:t>
      </w:r>
      <w:r>
        <w:rPr>
          <w:rFonts w:ascii="Courier New"/>
          <w:color w:val="1C1C1C"/>
          <w:sz w:val="28"/>
        </w:rPr>
        <w:t>Ayodhya</w:t>
      </w:r>
      <w:r>
        <w:rPr>
          <w:rFonts w:ascii="Courier New"/>
          <w:color w:val="1C1C1C"/>
          <w:spacing w:val="-34"/>
          <w:sz w:val="28"/>
        </w:rPr>
        <w:t> </w:t>
      </w:r>
      <w:r>
        <w:rPr>
          <w:rFonts w:ascii="Courier New"/>
          <w:color w:val="1C1C1C"/>
          <w:sz w:val="28"/>
        </w:rPr>
        <w:t>but</w:t>
      </w:r>
      <w:r>
        <w:rPr>
          <w:rFonts w:ascii="Courier New"/>
          <w:color w:val="1C1C1C"/>
          <w:spacing w:val="-34"/>
          <w:sz w:val="28"/>
        </w:rPr>
        <w:t> </w:t>
      </w:r>
      <w:r>
        <w:rPr>
          <w:rFonts w:ascii="Courier New"/>
          <w:color w:val="1C1C1C"/>
          <w:sz w:val="28"/>
        </w:rPr>
        <w:t>were</w:t>
      </w:r>
      <w:r>
        <w:rPr>
          <w:rFonts w:ascii="Courier New"/>
          <w:color w:val="1C1C1C"/>
          <w:spacing w:val="-34"/>
          <w:sz w:val="28"/>
        </w:rPr>
        <w:t> </w:t>
      </w:r>
      <w:r>
        <w:rPr>
          <w:rFonts w:ascii="Courier New"/>
          <w:color w:val="1C1C1C"/>
          <w:sz w:val="28"/>
        </w:rPr>
        <w:t>intercepted</w:t>
      </w:r>
      <w:r>
        <w:rPr>
          <w:rFonts w:ascii="Courier New"/>
          <w:color w:val="1C1C1C"/>
          <w:spacing w:val="-34"/>
          <w:sz w:val="28"/>
        </w:rPr>
        <w:t> </w:t>
      </w:r>
      <w:r>
        <w:rPr>
          <w:rFonts w:ascii="Courier New"/>
          <w:color w:val="1C1C1C"/>
          <w:sz w:val="28"/>
        </w:rPr>
        <w:t>by</w:t>
      </w:r>
      <w:r>
        <w:rPr>
          <w:rFonts w:ascii="Courier New"/>
          <w:color w:val="1C1C1C"/>
          <w:spacing w:val="-33"/>
          <w:sz w:val="28"/>
        </w:rPr>
        <w:t> </w:t>
      </w:r>
      <w:r>
        <w:rPr>
          <w:rFonts w:ascii="Courier New"/>
          <w:color w:val="1C1C1C"/>
          <w:sz w:val="28"/>
        </w:rPr>
        <w:t>Colonel Barlow of First Regiment of Oudh in which large</w:t>
      </w:r>
      <w:r>
        <w:rPr>
          <w:rFonts w:ascii="Courier New"/>
          <w:color w:val="1C1C1C"/>
          <w:spacing w:val="-70"/>
          <w:sz w:val="28"/>
        </w:rPr>
        <w:t> </w:t>
      </w:r>
      <w:r>
        <w:rPr>
          <w:rFonts w:ascii="Courier New"/>
          <w:color w:val="1C1C1C"/>
          <w:sz w:val="28"/>
        </w:rPr>
        <w:t>number of persons were slained and first infantry was almost destroyed.</w:t>
      </w:r>
      <w:r>
        <w:rPr>
          <w:rFonts w:ascii="Courier New"/>
          <w:color w:val="1C1C1C"/>
          <w:spacing w:val="-31"/>
          <w:sz w:val="28"/>
        </w:rPr>
        <w:t> </w:t>
      </w:r>
      <w:r>
        <w:rPr>
          <w:rFonts w:ascii="Courier New"/>
          <w:color w:val="1C1C1C"/>
          <w:sz w:val="28"/>
        </w:rPr>
        <w:t>The</w:t>
      </w:r>
      <w:r>
        <w:rPr>
          <w:rFonts w:ascii="Courier New"/>
          <w:color w:val="1C1C1C"/>
          <w:spacing w:val="-30"/>
          <w:sz w:val="28"/>
        </w:rPr>
        <w:t> </w:t>
      </w:r>
      <w:r>
        <w:rPr>
          <w:rFonts w:ascii="Courier New"/>
          <w:color w:val="1C1C1C"/>
          <w:sz w:val="28"/>
        </w:rPr>
        <w:t>Gazetteer</w:t>
      </w:r>
      <w:r>
        <w:rPr>
          <w:rFonts w:ascii="Courier New"/>
          <w:color w:val="1C1C1C"/>
          <w:spacing w:val="-30"/>
          <w:sz w:val="28"/>
        </w:rPr>
        <w:t> </w:t>
      </w:r>
      <w:r>
        <w:rPr>
          <w:rFonts w:ascii="Courier New"/>
          <w:color w:val="1C1C1C"/>
          <w:sz w:val="28"/>
        </w:rPr>
        <w:t>reports</w:t>
      </w:r>
      <w:r>
        <w:rPr>
          <w:rFonts w:ascii="Courier New"/>
          <w:color w:val="1C1C1C"/>
          <w:spacing w:val="-30"/>
          <w:sz w:val="28"/>
        </w:rPr>
        <w:t> </w:t>
      </w:r>
      <w:r>
        <w:rPr>
          <w:rFonts w:ascii="Courier New"/>
          <w:color w:val="1C1C1C"/>
          <w:sz w:val="28"/>
        </w:rPr>
        <w:t>that</w:t>
      </w:r>
      <w:r>
        <w:rPr>
          <w:rFonts w:ascii="Courier New"/>
          <w:color w:val="1C1C1C"/>
          <w:spacing w:val="-30"/>
          <w:sz w:val="28"/>
        </w:rPr>
        <w:t> </w:t>
      </w:r>
      <w:r>
        <w:rPr>
          <w:rFonts w:ascii="Courier New"/>
          <w:color w:val="1C1C1C"/>
          <w:sz w:val="28"/>
        </w:rPr>
        <w:t>Amir</w:t>
      </w:r>
      <w:r>
        <w:rPr>
          <w:rFonts w:ascii="Courier New"/>
          <w:color w:val="1C1C1C"/>
          <w:spacing w:val="-30"/>
          <w:sz w:val="28"/>
        </w:rPr>
        <w:t> </w:t>
      </w:r>
      <w:r>
        <w:rPr>
          <w:rFonts w:ascii="Courier New"/>
          <w:color w:val="1C1C1C"/>
          <w:sz w:val="28"/>
        </w:rPr>
        <w:t>Ali</w:t>
      </w:r>
      <w:r>
        <w:rPr>
          <w:rFonts w:ascii="Courier New"/>
          <w:color w:val="1C1C1C"/>
          <w:spacing w:val="-31"/>
          <w:sz w:val="28"/>
        </w:rPr>
        <w:t> </w:t>
      </w:r>
      <w:r>
        <w:rPr>
          <w:rFonts w:ascii="Courier New"/>
          <w:color w:val="1C1C1C"/>
          <w:sz w:val="28"/>
        </w:rPr>
        <w:t>was</w:t>
      </w:r>
      <w:r>
        <w:rPr>
          <w:rFonts w:ascii="Courier New"/>
          <w:color w:val="1C1C1C"/>
          <w:spacing w:val="-30"/>
          <w:sz w:val="28"/>
        </w:rPr>
        <w:t> </w:t>
      </w:r>
      <w:r>
        <w:rPr>
          <w:rFonts w:ascii="Courier New"/>
          <w:color w:val="1C1C1C"/>
          <w:sz w:val="28"/>
        </w:rPr>
        <w:t>also killed. In February 1856, the kingdom of Oudh was annexed by British</w:t>
      </w:r>
      <w:r>
        <w:rPr>
          <w:rFonts w:ascii="Courier New"/>
          <w:color w:val="1C1C1C"/>
          <w:spacing w:val="-5"/>
          <w:sz w:val="28"/>
        </w:rPr>
        <w:t> </w:t>
      </w:r>
      <w:r>
        <w:rPr>
          <w:rFonts w:ascii="Courier New"/>
          <w:color w:val="1C1C1C"/>
          <w:sz w:val="28"/>
        </w:rPr>
        <w:t>government.</w:t>
      </w:r>
    </w:p>
    <w:p>
      <w:pPr>
        <w:pStyle w:val="ListParagraph"/>
        <w:numPr>
          <w:ilvl w:val="0"/>
          <w:numId w:val="256"/>
        </w:numPr>
        <w:tabs>
          <w:tab w:pos="974" w:val="left" w:leader="none"/>
        </w:tabs>
        <w:spacing w:line="480" w:lineRule="auto" w:before="141" w:after="0"/>
        <w:ind w:left="160" w:right="162" w:firstLine="0"/>
        <w:jc w:val="both"/>
        <w:rPr>
          <w:rFonts w:ascii="Courier New"/>
          <w:color w:val="1C1C1C"/>
          <w:sz w:val="28"/>
        </w:rPr>
      </w:pPr>
      <w:r>
        <w:rPr>
          <w:rFonts w:ascii="Courier New"/>
          <w:color w:val="1C1C1C"/>
          <w:sz w:val="28"/>
        </w:rPr>
        <w:t>Apart</w:t>
      </w:r>
      <w:r>
        <w:rPr>
          <w:rFonts w:ascii="Courier New"/>
          <w:color w:val="1C1C1C"/>
          <w:spacing w:val="-31"/>
          <w:sz w:val="28"/>
        </w:rPr>
        <w:t> </w:t>
      </w:r>
      <w:r>
        <w:rPr>
          <w:rFonts w:ascii="Courier New"/>
          <w:color w:val="1C1C1C"/>
          <w:sz w:val="28"/>
        </w:rPr>
        <w:t>from</w:t>
      </w:r>
      <w:r>
        <w:rPr>
          <w:rFonts w:ascii="Courier New"/>
          <w:color w:val="1C1C1C"/>
          <w:spacing w:val="-30"/>
          <w:sz w:val="28"/>
        </w:rPr>
        <w:t> </w:t>
      </w:r>
      <w:r>
        <w:rPr>
          <w:rFonts w:ascii="Courier New"/>
          <w:color w:val="1C1C1C"/>
          <w:sz w:val="28"/>
        </w:rPr>
        <w:t>Gazetteers</w:t>
      </w:r>
      <w:r>
        <w:rPr>
          <w:rFonts w:ascii="Courier New"/>
          <w:color w:val="1C1C1C"/>
          <w:spacing w:val="-30"/>
          <w:sz w:val="28"/>
        </w:rPr>
        <w:t> </w:t>
      </w:r>
      <w:r>
        <w:rPr>
          <w:rFonts w:ascii="Courier New"/>
          <w:color w:val="1C1C1C"/>
          <w:sz w:val="28"/>
        </w:rPr>
        <w:t>and</w:t>
      </w:r>
      <w:r>
        <w:rPr>
          <w:rFonts w:ascii="Courier New"/>
          <w:color w:val="1C1C1C"/>
          <w:spacing w:val="-31"/>
          <w:sz w:val="28"/>
        </w:rPr>
        <w:t> </w:t>
      </w:r>
      <w:r>
        <w:rPr>
          <w:rFonts w:ascii="Courier New"/>
          <w:color w:val="1C1C1C"/>
          <w:sz w:val="28"/>
        </w:rPr>
        <w:t>books</w:t>
      </w:r>
      <w:r>
        <w:rPr>
          <w:rFonts w:ascii="Courier New"/>
          <w:color w:val="1C1C1C"/>
          <w:spacing w:val="-30"/>
          <w:sz w:val="28"/>
        </w:rPr>
        <w:t> </w:t>
      </w:r>
      <w:r>
        <w:rPr>
          <w:rFonts w:ascii="Courier New"/>
          <w:color w:val="1C1C1C"/>
          <w:sz w:val="28"/>
        </w:rPr>
        <w:t>as</w:t>
      </w:r>
      <w:r>
        <w:rPr>
          <w:rFonts w:ascii="Courier New"/>
          <w:color w:val="1C1C1C"/>
          <w:spacing w:val="-30"/>
          <w:sz w:val="28"/>
        </w:rPr>
        <w:t> </w:t>
      </w:r>
      <w:r>
        <w:rPr>
          <w:rFonts w:ascii="Courier New"/>
          <w:color w:val="1C1C1C"/>
          <w:sz w:val="28"/>
        </w:rPr>
        <w:t>referred</w:t>
      </w:r>
      <w:r>
        <w:rPr>
          <w:rFonts w:ascii="Courier New"/>
          <w:color w:val="1C1C1C"/>
          <w:spacing w:val="-31"/>
          <w:sz w:val="28"/>
        </w:rPr>
        <w:t> </w:t>
      </w:r>
      <w:r>
        <w:rPr>
          <w:rFonts w:ascii="Courier New"/>
          <w:color w:val="1C1C1C"/>
          <w:sz w:val="28"/>
        </w:rPr>
        <w:t>above, there</w:t>
      </w:r>
      <w:r>
        <w:rPr>
          <w:rFonts w:ascii="Courier New"/>
          <w:color w:val="1C1C1C"/>
          <w:spacing w:val="-35"/>
          <w:sz w:val="28"/>
        </w:rPr>
        <w:t> </w:t>
      </w:r>
      <w:r>
        <w:rPr>
          <w:rFonts w:ascii="Courier New"/>
          <w:color w:val="1C1C1C"/>
          <w:sz w:val="28"/>
        </w:rPr>
        <w:t>are</w:t>
      </w:r>
      <w:r>
        <w:rPr>
          <w:rFonts w:ascii="Courier New"/>
          <w:color w:val="1C1C1C"/>
          <w:spacing w:val="-34"/>
          <w:sz w:val="28"/>
        </w:rPr>
        <w:t> </w:t>
      </w:r>
      <w:r>
        <w:rPr>
          <w:rFonts w:ascii="Courier New"/>
          <w:color w:val="1C1C1C"/>
          <w:sz w:val="28"/>
        </w:rPr>
        <w:t>other</w:t>
      </w:r>
      <w:r>
        <w:rPr>
          <w:rFonts w:ascii="Courier New"/>
          <w:color w:val="1C1C1C"/>
          <w:spacing w:val="-34"/>
          <w:sz w:val="28"/>
        </w:rPr>
        <w:t> </w:t>
      </w:r>
      <w:r>
        <w:rPr>
          <w:rFonts w:ascii="Courier New"/>
          <w:color w:val="1C1C1C"/>
          <w:sz w:val="28"/>
        </w:rPr>
        <w:t>documentary</w:t>
      </w:r>
      <w:r>
        <w:rPr>
          <w:rFonts w:ascii="Courier New"/>
          <w:color w:val="1C1C1C"/>
          <w:spacing w:val="-32"/>
          <w:sz w:val="28"/>
        </w:rPr>
        <w:t> </w:t>
      </w:r>
      <w:r>
        <w:rPr>
          <w:rFonts w:ascii="Courier New"/>
          <w:color w:val="1C1C1C"/>
          <w:sz w:val="28"/>
        </w:rPr>
        <w:t>evidences</w:t>
      </w:r>
      <w:r>
        <w:rPr>
          <w:rFonts w:ascii="Courier New"/>
          <w:color w:val="1C1C1C"/>
          <w:spacing w:val="-34"/>
          <w:sz w:val="28"/>
        </w:rPr>
        <w:t> </w:t>
      </w:r>
      <w:r>
        <w:rPr>
          <w:rFonts w:ascii="Courier New"/>
          <w:color w:val="1C1C1C"/>
          <w:sz w:val="28"/>
        </w:rPr>
        <w:t>brought</w:t>
      </w:r>
      <w:r>
        <w:rPr>
          <w:rFonts w:ascii="Courier New"/>
          <w:color w:val="1C1C1C"/>
          <w:spacing w:val="-34"/>
          <w:sz w:val="28"/>
        </w:rPr>
        <w:t> </w:t>
      </w:r>
      <w:r>
        <w:rPr>
          <w:rFonts w:ascii="Courier New"/>
          <w:color w:val="1C1C1C"/>
          <w:sz w:val="28"/>
        </w:rPr>
        <w:t>on</w:t>
      </w:r>
      <w:r>
        <w:rPr>
          <w:rFonts w:ascii="Courier New"/>
          <w:color w:val="1C1C1C"/>
          <w:spacing w:val="-34"/>
          <w:sz w:val="28"/>
        </w:rPr>
        <w:t> </w:t>
      </w:r>
      <w:r>
        <w:rPr>
          <w:rFonts w:ascii="Courier New"/>
          <w:color w:val="1C1C1C"/>
          <w:sz w:val="28"/>
        </w:rPr>
        <w:t>record by the parties of the suits in question. Reference</w:t>
      </w:r>
      <w:r>
        <w:rPr>
          <w:rFonts w:ascii="Courier New"/>
          <w:color w:val="1C1C1C"/>
          <w:spacing w:val="-70"/>
          <w:sz w:val="28"/>
        </w:rPr>
        <w:t> </w:t>
      </w:r>
      <w:r>
        <w:rPr>
          <w:rFonts w:ascii="Courier New"/>
          <w:color w:val="1C1C1C"/>
          <w:sz w:val="28"/>
        </w:rPr>
        <w:t>can</w:t>
      </w:r>
    </w:p>
    <w:p>
      <w:pPr>
        <w:spacing w:after="0" w:line="480" w:lineRule="auto"/>
        <w:jc w:val="both"/>
        <w:rPr>
          <w:rFonts w:ascii="Courier New"/>
          <w:sz w:val="28"/>
        </w:rPr>
        <w:sectPr>
          <w:headerReference w:type="default" r:id="rId396"/>
          <w:footerReference w:type="default" r:id="rId397"/>
          <w:pgSz w:w="11910" w:h="16840"/>
          <w:pgMar w:header="0" w:footer="1063" w:top="1340" w:bottom="1260" w:left="1280" w:right="1280"/>
          <w:pgNumType w:start="93"/>
        </w:sectPr>
      </w:pPr>
    </w:p>
    <w:p>
      <w:pPr>
        <w:spacing w:line="480" w:lineRule="auto" w:before="86"/>
        <w:ind w:left="160" w:right="156" w:firstLine="0"/>
        <w:jc w:val="both"/>
        <w:rPr>
          <w:rFonts w:ascii="Courier New"/>
          <w:sz w:val="28"/>
        </w:rPr>
      </w:pPr>
      <w:r>
        <w:rPr>
          <w:rFonts w:ascii="Courier New"/>
          <w:color w:val="1C1C1C"/>
          <w:sz w:val="28"/>
        </w:rPr>
        <w:t>be made to certain exhibits, certified copies</w:t>
      </w:r>
      <w:r>
        <w:rPr>
          <w:rFonts w:ascii="Courier New"/>
          <w:color w:val="1C1C1C"/>
          <w:spacing w:val="-69"/>
          <w:sz w:val="28"/>
        </w:rPr>
        <w:t> </w:t>
      </w:r>
      <w:r>
        <w:rPr>
          <w:rFonts w:ascii="Courier New"/>
          <w:color w:val="1C1C1C"/>
          <w:sz w:val="28"/>
        </w:rPr>
        <w:t>obtained from public record which are submitted in the suit.</w:t>
      </w:r>
      <w:r>
        <w:rPr>
          <w:rFonts w:ascii="Courier New"/>
          <w:color w:val="1C1C1C"/>
          <w:spacing w:val="-70"/>
          <w:sz w:val="28"/>
        </w:rPr>
        <w:t> </w:t>
      </w:r>
      <w:r>
        <w:rPr>
          <w:rFonts w:ascii="Courier New"/>
          <w:color w:val="1C1C1C"/>
          <w:sz w:val="28"/>
        </w:rPr>
        <w:t>An Application dated 28.11.1858 by Sheetal Dubey, Thanedaar Oudh is filed as exhibit-19 in the Suit No. 1, extracted earlier.</w:t>
      </w:r>
    </w:p>
    <w:p>
      <w:pPr>
        <w:pStyle w:val="ListParagraph"/>
        <w:numPr>
          <w:ilvl w:val="0"/>
          <w:numId w:val="256"/>
        </w:numPr>
        <w:tabs>
          <w:tab w:pos="995" w:val="left" w:leader="none"/>
        </w:tabs>
        <w:spacing w:line="480" w:lineRule="auto" w:before="140" w:after="0"/>
        <w:ind w:left="160" w:right="158" w:firstLine="0"/>
        <w:jc w:val="both"/>
        <w:rPr>
          <w:rFonts w:ascii="Courier New"/>
          <w:color w:val="1C1C1C"/>
          <w:sz w:val="28"/>
        </w:rPr>
      </w:pPr>
      <w:r>
        <w:rPr>
          <w:rFonts w:ascii="Courier New"/>
          <w:color w:val="1C1C1C"/>
          <w:sz w:val="28"/>
        </w:rPr>
        <w:t>Next documentary evidence brought on record is</w:t>
      </w:r>
      <w:r>
        <w:rPr>
          <w:rFonts w:ascii="Courier New"/>
          <w:color w:val="1C1C1C"/>
          <w:spacing w:val="-60"/>
          <w:sz w:val="28"/>
        </w:rPr>
        <w:t> </w:t>
      </w:r>
      <w:r>
        <w:rPr>
          <w:rFonts w:ascii="Courier New"/>
          <w:color w:val="1C1C1C"/>
          <w:sz w:val="28"/>
        </w:rPr>
        <w:t>an application</w:t>
      </w:r>
      <w:r>
        <w:rPr>
          <w:rFonts w:ascii="Courier New"/>
          <w:color w:val="1C1C1C"/>
          <w:spacing w:val="-41"/>
          <w:sz w:val="28"/>
        </w:rPr>
        <w:t> </w:t>
      </w:r>
      <w:r>
        <w:rPr>
          <w:rFonts w:ascii="Courier New"/>
          <w:color w:val="1C1C1C"/>
          <w:sz w:val="28"/>
        </w:rPr>
        <w:t>dated</w:t>
      </w:r>
      <w:r>
        <w:rPr>
          <w:rFonts w:ascii="Courier New"/>
          <w:color w:val="1C1C1C"/>
          <w:spacing w:val="-40"/>
          <w:sz w:val="28"/>
        </w:rPr>
        <w:t> </w:t>
      </w:r>
      <w:r>
        <w:rPr>
          <w:rFonts w:ascii="Courier New"/>
          <w:color w:val="1C1C1C"/>
          <w:sz w:val="28"/>
        </w:rPr>
        <w:t>30.11.1858</w:t>
      </w:r>
      <w:r>
        <w:rPr>
          <w:rFonts w:ascii="Courier New"/>
          <w:color w:val="1C1C1C"/>
          <w:spacing w:val="-38"/>
          <w:sz w:val="28"/>
        </w:rPr>
        <w:t> </w:t>
      </w:r>
      <w:r>
        <w:rPr>
          <w:rFonts w:ascii="Courier New"/>
          <w:color w:val="1C1C1C"/>
          <w:sz w:val="28"/>
        </w:rPr>
        <w:t>submitted</w:t>
      </w:r>
      <w:r>
        <w:rPr>
          <w:rFonts w:ascii="Courier New"/>
          <w:color w:val="1C1C1C"/>
          <w:spacing w:val="-40"/>
          <w:sz w:val="28"/>
        </w:rPr>
        <w:t> </w:t>
      </w:r>
      <w:r>
        <w:rPr>
          <w:rFonts w:ascii="Courier New"/>
          <w:color w:val="1C1C1C"/>
          <w:sz w:val="28"/>
        </w:rPr>
        <w:t>by</w:t>
      </w:r>
      <w:r>
        <w:rPr>
          <w:rFonts w:ascii="Courier New"/>
          <w:color w:val="1C1C1C"/>
          <w:spacing w:val="-40"/>
          <w:sz w:val="28"/>
        </w:rPr>
        <w:t> </w:t>
      </w:r>
      <w:r>
        <w:rPr>
          <w:rFonts w:ascii="Courier New"/>
          <w:i/>
          <w:color w:val="1C1C1C"/>
          <w:sz w:val="28"/>
        </w:rPr>
        <w:t>Syed</w:t>
      </w:r>
      <w:r>
        <w:rPr>
          <w:rFonts w:ascii="Courier New"/>
          <w:i/>
          <w:color w:val="1C1C1C"/>
          <w:spacing w:val="-40"/>
          <w:sz w:val="28"/>
        </w:rPr>
        <w:t> </w:t>
      </w:r>
      <w:r>
        <w:rPr>
          <w:rFonts w:ascii="Courier New"/>
          <w:i/>
          <w:color w:val="1C1C1C"/>
          <w:sz w:val="28"/>
        </w:rPr>
        <w:t>Mohammed </w:t>
      </w:r>
      <w:r>
        <w:rPr>
          <w:rFonts w:ascii="Courier New"/>
          <w:i/>
          <w:color w:val="1C1C1C"/>
          <w:sz w:val="28"/>
        </w:rPr>
        <w:t>Khatib Moazzim Masjid Babri Sites in Oudh</w:t>
      </w:r>
      <w:r>
        <w:rPr>
          <w:rFonts w:ascii="Courier New"/>
          <w:color w:val="1C1C1C"/>
          <w:sz w:val="28"/>
        </w:rPr>
        <w:t>. In the complaint submitted by </w:t>
      </w:r>
      <w:r>
        <w:rPr>
          <w:rFonts w:ascii="Courier New"/>
          <w:i/>
          <w:color w:val="1C1C1C"/>
          <w:sz w:val="28"/>
        </w:rPr>
        <w:t>Mohammed Khatib Moazzim </w:t>
      </w:r>
      <w:r>
        <w:rPr>
          <w:rFonts w:ascii="Courier New"/>
          <w:color w:val="1C1C1C"/>
          <w:sz w:val="28"/>
        </w:rPr>
        <w:t>of the Babri Mosque, it was mentioned that a Nihang Singh is creating a riot at janamsthan Masjid situated in</w:t>
      </w:r>
      <w:r>
        <w:rPr>
          <w:rFonts w:ascii="Courier New"/>
          <w:color w:val="1C1C1C"/>
          <w:spacing w:val="-66"/>
          <w:sz w:val="28"/>
        </w:rPr>
        <w:t> </w:t>
      </w:r>
      <w:r>
        <w:rPr>
          <w:rFonts w:ascii="Courier New"/>
          <w:color w:val="1C1C1C"/>
          <w:sz w:val="28"/>
        </w:rPr>
        <w:t>Oudh. Complaint</w:t>
      </w:r>
      <w:r>
        <w:rPr>
          <w:rFonts w:ascii="Courier New"/>
          <w:color w:val="1C1C1C"/>
          <w:spacing w:val="-31"/>
          <w:sz w:val="28"/>
        </w:rPr>
        <w:t> </w:t>
      </w:r>
      <w:r>
        <w:rPr>
          <w:rFonts w:ascii="Courier New"/>
          <w:color w:val="1C1C1C"/>
          <w:sz w:val="28"/>
        </w:rPr>
        <w:t>mentioned</w:t>
      </w:r>
      <w:r>
        <w:rPr>
          <w:rFonts w:ascii="Courier New"/>
          <w:color w:val="1C1C1C"/>
          <w:spacing w:val="-30"/>
          <w:sz w:val="28"/>
        </w:rPr>
        <w:t> </w:t>
      </w:r>
      <w:r>
        <w:rPr>
          <w:rFonts w:ascii="Courier New"/>
          <w:color w:val="1C1C1C"/>
          <w:sz w:val="28"/>
        </w:rPr>
        <w:t>that</w:t>
      </w:r>
      <w:r>
        <w:rPr>
          <w:rFonts w:ascii="Courier New"/>
          <w:color w:val="1C1C1C"/>
          <w:spacing w:val="-30"/>
          <w:sz w:val="28"/>
        </w:rPr>
        <w:t> </w:t>
      </w:r>
      <w:r>
        <w:rPr>
          <w:rFonts w:ascii="Courier New"/>
          <w:color w:val="1C1C1C"/>
          <w:sz w:val="28"/>
        </w:rPr>
        <w:t>near</w:t>
      </w:r>
      <w:r>
        <w:rPr>
          <w:rFonts w:ascii="Courier New"/>
          <w:color w:val="1C1C1C"/>
          <w:spacing w:val="-30"/>
          <w:sz w:val="28"/>
        </w:rPr>
        <w:t> </w:t>
      </w:r>
      <w:r>
        <w:rPr>
          <w:rFonts w:ascii="Courier New"/>
          <w:color w:val="1C1C1C"/>
          <w:sz w:val="28"/>
        </w:rPr>
        <w:t>mehrab</w:t>
      </w:r>
      <w:r>
        <w:rPr>
          <w:rFonts w:ascii="Courier New"/>
          <w:color w:val="1C1C1C"/>
          <w:spacing w:val="-30"/>
          <w:sz w:val="28"/>
        </w:rPr>
        <w:t> </w:t>
      </w:r>
      <w:r>
        <w:rPr>
          <w:rFonts w:ascii="Courier New"/>
          <w:color w:val="1C1C1C"/>
          <w:sz w:val="28"/>
        </w:rPr>
        <w:t>and</w:t>
      </w:r>
      <w:r>
        <w:rPr>
          <w:rFonts w:ascii="Courier New"/>
          <w:color w:val="1C1C1C"/>
          <w:spacing w:val="-30"/>
          <w:sz w:val="28"/>
        </w:rPr>
        <w:t> </w:t>
      </w:r>
      <w:r>
        <w:rPr>
          <w:rFonts w:ascii="Courier New"/>
          <w:color w:val="1C1C1C"/>
          <w:sz w:val="28"/>
        </w:rPr>
        <w:t>mimber,</w:t>
      </w:r>
      <w:r>
        <w:rPr>
          <w:rFonts w:ascii="Courier New"/>
          <w:color w:val="1C1C1C"/>
          <w:spacing w:val="-31"/>
          <w:sz w:val="28"/>
        </w:rPr>
        <w:t> </w:t>
      </w:r>
      <w:r>
        <w:rPr>
          <w:rFonts w:ascii="Courier New"/>
          <w:color w:val="1C1C1C"/>
          <w:sz w:val="28"/>
        </w:rPr>
        <w:t>he</w:t>
      </w:r>
      <w:r>
        <w:rPr>
          <w:rFonts w:ascii="Courier New"/>
          <w:color w:val="1C1C1C"/>
          <w:spacing w:val="-30"/>
          <w:sz w:val="28"/>
        </w:rPr>
        <w:t> </w:t>
      </w:r>
      <w:r>
        <w:rPr>
          <w:rFonts w:ascii="Courier New"/>
          <w:color w:val="1C1C1C"/>
          <w:sz w:val="28"/>
        </w:rPr>
        <w:t>has constructed</w:t>
      </w:r>
      <w:r>
        <w:rPr>
          <w:rFonts w:ascii="Courier New"/>
          <w:color w:val="1C1C1C"/>
          <w:spacing w:val="-34"/>
          <w:sz w:val="28"/>
        </w:rPr>
        <w:t> </w:t>
      </w:r>
      <w:r>
        <w:rPr>
          <w:rFonts w:ascii="Courier New"/>
          <w:color w:val="1C1C1C"/>
          <w:sz w:val="28"/>
        </w:rPr>
        <w:t>an</w:t>
      </w:r>
      <w:r>
        <w:rPr>
          <w:rFonts w:ascii="Courier New"/>
          <w:color w:val="1C1C1C"/>
          <w:spacing w:val="-32"/>
          <w:sz w:val="28"/>
        </w:rPr>
        <w:t> </w:t>
      </w:r>
      <w:r>
        <w:rPr>
          <w:rFonts w:ascii="Courier New"/>
          <w:color w:val="1C1C1C"/>
          <w:sz w:val="28"/>
        </w:rPr>
        <w:t>earth</w:t>
      </w:r>
      <w:r>
        <w:rPr>
          <w:rFonts w:ascii="Courier New"/>
          <w:color w:val="1C1C1C"/>
          <w:spacing w:val="-34"/>
          <w:sz w:val="28"/>
        </w:rPr>
        <w:t> </w:t>
      </w:r>
      <w:r>
        <w:rPr>
          <w:rFonts w:ascii="Courier New"/>
          <w:color w:val="1C1C1C"/>
          <w:sz w:val="28"/>
        </w:rPr>
        <w:t>chabutra</w:t>
      </w:r>
      <w:r>
        <w:rPr>
          <w:rFonts w:ascii="Courier New"/>
          <w:color w:val="1C1C1C"/>
          <w:spacing w:val="-34"/>
          <w:sz w:val="28"/>
        </w:rPr>
        <w:t> </w:t>
      </w:r>
      <w:r>
        <w:rPr>
          <w:rFonts w:ascii="Courier New"/>
          <w:color w:val="1C1C1C"/>
          <w:sz w:val="28"/>
        </w:rPr>
        <w:t>inside</w:t>
      </w:r>
      <w:r>
        <w:rPr>
          <w:rFonts w:ascii="Courier New"/>
          <w:color w:val="1C1C1C"/>
          <w:spacing w:val="-34"/>
          <w:sz w:val="28"/>
        </w:rPr>
        <w:t> </w:t>
      </w:r>
      <w:r>
        <w:rPr>
          <w:rFonts w:ascii="Courier New"/>
          <w:color w:val="1C1C1C"/>
          <w:sz w:val="28"/>
        </w:rPr>
        <w:t>the</w:t>
      </w:r>
      <w:r>
        <w:rPr>
          <w:rFonts w:ascii="Courier New"/>
          <w:color w:val="1C1C1C"/>
          <w:spacing w:val="-34"/>
          <w:sz w:val="28"/>
        </w:rPr>
        <w:t> </w:t>
      </w:r>
      <w:r>
        <w:rPr>
          <w:rFonts w:ascii="Courier New"/>
          <w:color w:val="1C1C1C"/>
          <w:sz w:val="28"/>
        </w:rPr>
        <w:t>Mosque,</w:t>
      </w:r>
      <w:r>
        <w:rPr>
          <w:rFonts w:ascii="Courier New"/>
          <w:color w:val="1C1C1C"/>
          <w:spacing w:val="-33"/>
          <w:sz w:val="28"/>
        </w:rPr>
        <w:t> </w:t>
      </w:r>
      <w:r>
        <w:rPr>
          <w:rFonts w:ascii="Courier New"/>
          <w:color w:val="1C1C1C"/>
          <w:sz w:val="28"/>
        </w:rPr>
        <w:t>'Puja' and 'Home' is continuing there and in whole of</w:t>
      </w:r>
      <w:r>
        <w:rPr>
          <w:rFonts w:ascii="Courier New"/>
          <w:color w:val="1C1C1C"/>
          <w:spacing w:val="-70"/>
          <w:sz w:val="28"/>
        </w:rPr>
        <w:t> </w:t>
      </w:r>
      <w:r>
        <w:rPr>
          <w:rFonts w:ascii="Courier New"/>
          <w:color w:val="1C1C1C"/>
          <w:sz w:val="28"/>
        </w:rPr>
        <w:t>Masjid, "Ram Ram" is written. The request in the complaint</w:t>
      </w:r>
      <w:r>
        <w:rPr>
          <w:rFonts w:ascii="Courier New"/>
          <w:color w:val="1C1C1C"/>
          <w:spacing w:val="-70"/>
          <w:sz w:val="28"/>
        </w:rPr>
        <w:t> </w:t>
      </w:r>
      <w:r>
        <w:rPr>
          <w:rFonts w:ascii="Courier New"/>
          <w:color w:val="1C1C1C"/>
          <w:sz w:val="28"/>
        </w:rPr>
        <w:t>was to</w:t>
      </w:r>
      <w:r>
        <w:rPr>
          <w:rFonts w:ascii="Courier New"/>
          <w:color w:val="1C1C1C"/>
          <w:spacing w:val="-31"/>
          <w:sz w:val="28"/>
        </w:rPr>
        <w:t> </w:t>
      </w:r>
      <w:r>
        <w:rPr>
          <w:rFonts w:ascii="Courier New"/>
          <w:color w:val="1C1C1C"/>
          <w:sz w:val="28"/>
        </w:rPr>
        <w:t>oust</w:t>
      </w:r>
      <w:r>
        <w:rPr>
          <w:rFonts w:ascii="Courier New"/>
          <w:color w:val="1C1C1C"/>
          <w:spacing w:val="-30"/>
          <w:sz w:val="28"/>
        </w:rPr>
        <w:t> </w:t>
      </w:r>
      <w:r>
        <w:rPr>
          <w:rFonts w:ascii="Courier New"/>
          <w:color w:val="1C1C1C"/>
          <w:sz w:val="28"/>
        </w:rPr>
        <w:t>the</w:t>
      </w:r>
      <w:r>
        <w:rPr>
          <w:rFonts w:ascii="Courier New"/>
          <w:color w:val="1C1C1C"/>
          <w:spacing w:val="-30"/>
          <w:sz w:val="28"/>
        </w:rPr>
        <w:t> </w:t>
      </w:r>
      <w:r>
        <w:rPr>
          <w:rFonts w:ascii="Courier New"/>
          <w:color w:val="1C1C1C"/>
          <w:sz w:val="28"/>
        </w:rPr>
        <w:t>Hindus</w:t>
      </w:r>
      <w:r>
        <w:rPr>
          <w:rFonts w:ascii="Courier New"/>
          <w:color w:val="1C1C1C"/>
          <w:spacing w:val="-30"/>
          <w:sz w:val="28"/>
        </w:rPr>
        <w:t> </w:t>
      </w:r>
      <w:r>
        <w:rPr>
          <w:rFonts w:ascii="Courier New"/>
          <w:color w:val="1C1C1C"/>
          <w:sz w:val="28"/>
        </w:rPr>
        <w:t>from</w:t>
      </w:r>
      <w:r>
        <w:rPr>
          <w:rFonts w:ascii="Courier New"/>
          <w:color w:val="1C1C1C"/>
          <w:spacing w:val="-30"/>
          <w:sz w:val="28"/>
        </w:rPr>
        <w:t> </w:t>
      </w:r>
      <w:r>
        <w:rPr>
          <w:rFonts w:ascii="Courier New"/>
          <w:color w:val="1C1C1C"/>
          <w:sz w:val="28"/>
        </w:rPr>
        <w:t>the</w:t>
      </w:r>
      <w:r>
        <w:rPr>
          <w:rFonts w:ascii="Courier New"/>
          <w:color w:val="1C1C1C"/>
          <w:spacing w:val="-30"/>
          <w:sz w:val="28"/>
        </w:rPr>
        <w:t> </w:t>
      </w:r>
      <w:r>
        <w:rPr>
          <w:rFonts w:ascii="Courier New"/>
          <w:color w:val="1C1C1C"/>
          <w:sz w:val="28"/>
        </w:rPr>
        <w:t>Mosque</w:t>
      </w:r>
      <w:r>
        <w:rPr>
          <w:rFonts w:ascii="Courier New"/>
          <w:color w:val="1C1C1C"/>
          <w:spacing w:val="-31"/>
          <w:sz w:val="28"/>
        </w:rPr>
        <w:t> </w:t>
      </w:r>
      <w:r>
        <w:rPr>
          <w:rFonts w:ascii="Courier New"/>
          <w:color w:val="1C1C1C"/>
          <w:sz w:val="28"/>
        </w:rPr>
        <w:t>(extracted</w:t>
      </w:r>
      <w:r>
        <w:rPr>
          <w:rFonts w:ascii="Courier New"/>
          <w:color w:val="1C1C1C"/>
          <w:spacing w:val="-30"/>
          <w:sz w:val="28"/>
        </w:rPr>
        <w:t> </w:t>
      </w:r>
      <w:r>
        <w:rPr>
          <w:rFonts w:ascii="Courier New"/>
          <w:color w:val="1C1C1C"/>
          <w:sz w:val="28"/>
        </w:rPr>
        <w:t>earlier).</w:t>
      </w:r>
    </w:p>
    <w:p>
      <w:pPr>
        <w:pStyle w:val="BodyText"/>
        <w:rPr>
          <w:rFonts w:ascii="Courier New"/>
          <w:sz w:val="32"/>
        </w:rPr>
      </w:pPr>
    </w:p>
    <w:p>
      <w:pPr>
        <w:pStyle w:val="ListParagraph"/>
        <w:numPr>
          <w:ilvl w:val="0"/>
          <w:numId w:val="256"/>
        </w:numPr>
        <w:tabs>
          <w:tab w:pos="1161" w:val="left" w:leader="none"/>
        </w:tabs>
        <w:spacing w:line="480" w:lineRule="auto" w:before="193" w:after="0"/>
        <w:ind w:left="160" w:right="159" w:firstLine="0"/>
        <w:jc w:val="both"/>
        <w:rPr>
          <w:rFonts w:ascii="Courier New" w:hAnsi="Courier New"/>
          <w:color w:val="1C1C1C"/>
          <w:sz w:val="28"/>
        </w:rPr>
      </w:pPr>
      <w:r>
        <w:rPr>
          <w:rFonts w:ascii="Courier New" w:hAnsi="Courier New"/>
          <w:color w:val="1C1C1C"/>
          <w:sz w:val="28"/>
        </w:rPr>
        <w:t>Another document filed as exhibit 21 dated 31.12.1828 which is the report submitted by Sheetal Dubey,</w:t>
      </w:r>
      <w:r>
        <w:rPr>
          <w:rFonts w:ascii="Courier New" w:hAnsi="Courier New"/>
          <w:color w:val="1C1C1C"/>
          <w:spacing w:val="-31"/>
          <w:sz w:val="28"/>
        </w:rPr>
        <w:t> </w:t>
      </w:r>
      <w:r>
        <w:rPr>
          <w:rFonts w:ascii="Courier New" w:hAnsi="Courier New"/>
          <w:color w:val="1C1C1C"/>
          <w:sz w:val="28"/>
        </w:rPr>
        <w:t>Thanedar,</w:t>
      </w:r>
      <w:r>
        <w:rPr>
          <w:rFonts w:ascii="Courier New" w:hAnsi="Courier New"/>
          <w:color w:val="1C1C1C"/>
          <w:spacing w:val="-30"/>
          <w:sz w:val="28"/>
        </w:rPr>
        <w:t> </w:t>
      </w:r>
      <w:r>
        <w:rPr>
          <w:rFonts w:ascii="Courier New" w:hAnsi="Courier New"/>
          <w:color w:val="1C1C1C"/>
          <w:sz w:val="28"/>
        </w:rPr>
        <w:t>Oudh.</w:t>
      </w:r>
      <w:r>
        <w:rPr>
          <w:rFonts w:ascii="Courier New" w:hAnsi="Courier New"/>
          <w:color w:val="1C1C1C"/>
          <w:spacing w:val="-30"/>
          <w:sz w:val="28"/>
        </w:rPr>
        <w:t> </w:t>
      </w:r>
      <w:r>
        <w:rPr>
          <w:rFonts w:ascii="Courier New" w:hAnsi="Courier New"/>
          <w:color w:val="1C1C1C"/>
          <w:sz w:val="28"/>
        </w:rPr>
        <w:t>In</w:t>
      </w:r>
      <w:r>
        <w:rPr>
          <w:rFonts w:ascii="Courier New" w:hAnsi="Courier New"/>
          <w:color w:val="1C1C1C"/>
          <w:spacing w:val="-30"/>
          <w:sz w:val="28"/>
        </w:rPr>
        <w:t> </w:t>
      </w:r>
      <w:r>
        <w:rPr>
          <w:rFonts w:ascii="Courier New" w:hAnsi="Courier New"/>
          <w:color w:val="1C1C1C"/>
          <w:sz w:val="28"/>
        </w:rPr>
        <w:t>the</w:t>
      </w:r>
      <w:r>
        <w:rPr>
          <w:rFonts w:ascii="Courier New" w:hAnsi="Courier New"/>
          <w:color w:val="1C1C1C"/>
          <w:spacing w:val="-30"/>
          <w:sz w:val="28"/>
        </w:rPr>
        <w:t> </w:t>
      </w:r>
      <w:r>
        <w:rPr>
          <w:rFonts w:ascii="Courier New" w:hAnsi="Courier New"/>
          <w:color w:val="1C1C1C"/>
          <w:sz w:val="28"/>
        </w:rPr>
        <w:t>report,</w:t>
      </w:r>
      <w:r>
        <w:rPr>
          <w:rFonts w:ascii="Courier New" w:hAnsi="Courier New"/>
          <w:color w:val="1C1C1C"/>
          <w:spacing w:val="-30"/>
          <w:sz w:val="28"/>
        </w:rPr>
        <w:t> </w:t>
      </w:r>
      <w:r>
        <w:rPr>
          <w:rFonts w:ascii="Courier New" w:hAnsi="Courier New"/>
          <w:color w:val="1C1C1C"/>
          <w:sz w:val="28"/>
        </w:rPr>
        <w:t>Sheetal</w:t>
      </w:r>
      <w:r>
        <w:rPr>
          <w:rFonts w:ascii="Courier New" w:hAnsi="Courier New"/>
          <w:color w:val="1C1C1C"/>
          <w:spacing w:val="-31"/>
          <w:sz w:val="28"/>
        </w:rPr>
        <w:t> </w:t>
      </w:r>
      <w:r>
        <w:rPr>
          <w:rFonts w:ascii="Courier New" w:hAnsi="Courier New"/>
          <w:color w:val="1C1C1C"/>
          <w:sz w:val="28"/>
        </w:rPr>
        <w:t>Dubey</w:t>
      </w:r>
      <w:r>
        <w:rPr>
          <w:rFonts w:ascii="Courier New" w:hAnsi="Courier New"/>
          <w:color w:val="1C1C1C"/>
          <w:spacing w:val="-30"/>
          <w:sz w:val="28"/>
        </w:rPr>
        <w:t> </w:t>
      </w:r>
      <w:r>
        <w:rPr>
          <w:rFonts w:ascii="Courier New" w:hAnsi="Courier New"/>
          <w:color w:val="1C1C1C"/>
          <w:sz w:val="28"/>
        </w:rPr>
        <w:t>has referred</w:t>
      </w:r>
      <w:r>
        <w:rPr>
          <w:rFonts w:ascii="Courier New" w:hAnsi="Courier New"/>
          <w:color w:val="1C1C1C"/>
          <w:spacing w:val="-40"/>
          <w:sz w:val="28"/>
        </w:rPr>
        <w:t> </w:t>
      </w:r>
      <w:r>
        <w:rPr>
          <w:rFonts w:ascii="Courier New" w:hAnsi="Courier New"/>
          <w:color w:val="1C1C1C"/>
          <w:sz w:val="28"/>
        </w:rPr>
        <w:t>the</w:t>
      </w:r>
      <w:r>
        <w:rPr>
          <w:rFonts w:ascii="Courier New" w:hAnsi="Courier New"/>
          <w:color w:val="1C1C1C"/>
          <w:spacing w:val="-40"/>
          <w:sz w:val="28"/>
        </w:rPr>
        <w:t> </w:t>
      </w:r>
      <w:r>
        <w:rPr>
          <w:rFonts w:ascii="Courier New" w:hAnsi="Courier New"/>
          <w:color w:val="1C1C1C"/>
          <w:sz w:val="28"/>
        </w:rPr>
        <w:t>‘Mosque’</w:t>
      </w:r>
      <w:r>
        <w:rPr>
          <w:rFonts w:ascii="Courier New" w:hAnsi="Courier New"/>
          <w:color w:val="1C1C1C"/>
          <w:spacing w:val="-40"/>
          <w:sz w:val="28"/>
        </w:rPr>
        <w:t> </w:t>
      </w:r>
      <w:r>
        <w:rPr>
          <w:rFonts w:ascii="Courier New" w:hAnsi="Courier New"/>
          <w:color w:val="1C1C1C"/>
          <w:sz w:val="28"/>
        </w:rPr>
        <w:t>as</w:t>
      </w:r>
      <w:r>
        <w:rPr>
          <w:rFonts w:ascii="Courier New" w:hAnsi="Courier New"/>
          <w:color w:val="1C1C1C"/>
          <w:spacing w:val="-39"/>
          <w:sz w:val="28"/>
        </w:rPr>
        <w:t> </w:t>
      </w:r>
      <w:r>
        <w:rPr>
          <w:rFonts w:ascii="Courier New" w:hAnsi="Courier New"/>
          <w:color w:val="1C1C1C"/>
          <w:sz w:val="28"/>
        </w:rPr>
        <w:t>'Mosque</w:t>
      </w:r>
      <w:r>
        <w:rPr>
          <w:rFonts w:ascii="Courier New" w:hAnsi="Courier New"/>
          <w:color w:val="1C1C1C"/>
          <w:spacing w:val="-40"/>
          <w:sz w:val="28"/>
        </w:rPr>
        <w:t> </w:t>
      </w:r>
      <w:r>
        <w:rPr>
          <w:rFonts w:ascii="Courier New" w:hAnsi="Courier New"/>
          <w:color w:val="1C1C1C"/>
          <w:sz w:val="28"/>
        </w:rPr>
        <w:t>Janmasthan'</w:t>
      </w:r>
      <w:r>
        <w:rPr>
          <w:rFonts w:ascii="Courier New" w:hAnsi="Courier New"/>
          <w:color w:val="1C1C1C"/>
          <w:spacing w:val="-38"/>
          <w:sz w:val="28"/>
        </w:rPr>
        <w:t> </w:t>
      </w:r>
      <w:r>
        <w:rPr>
          <w:rFonts w:ascii="Courier New" w:hAnsi="Courier New"/>
          <w:color w:val="1C1C1C"/>
          <w:sz w:val="28"/>
        </w:rPr>
        <w:t>(extracted earlier).</w:t>
      </w:r>
    </w:p>
    <w:p>
      <w:pPr>
        <w:spacing w:after="0" w:line="480" w:lineRule="auto"/>
        <w:jc w:val="both"/>
        <w:rPr>
          <w:rFonts w:ascii="Courier New" w:hAnsi="Courier New"/>
          <w:sz w:val="28"/>
        </w:rPr>
        <w:sectPr>
          <w:headerReference w:type="default" r:id="rId398"/>
          <w:footerReference w:type="default" r:id="rId399"/>
          <w:pgSz w:w="11910" w:h="16840"/>
          <w:pgMar w:header="0" w:footer="1063" w:top="1340" w:bottom="1260" w:left="1280" w:right="1280"/>
          <w:pgNumType w:start="94"/>
        </w:sectPr>
      </w:pPr>
    </w:p>
    <w:p>
      <w:pPr>
        <w:pStyle w:val="BodyText"/>
        <w:rPr>
          <w:rFonts w:ascii="Courier New"/>
          <w:sz w:val="20"/>
        </w:rPr>
      </w:pPr>
    </w:p>
    <w:p>
      <w:pPr>
        <w:pStyle w:val="ListParagraph"/>
        <w:numPr>
          <w:ilvl w:val="0"/>
          <w:numId w:val="256"/>
        </w:numPr>
        <w:tabs>
          <w:tab w:pos="1039" w:val="left" w:leader="none"/>
        </w:tabs>
        <w:spacing w:line="480" w:lineRule="auto" w:before="253" w:after="0"/>
        <w:ind w:left="160" w:right="271" w:firstLine="0"/>
        <w:jc w:val="both"/>
        <w:rPr>
          <w:rFonts w:ascii="Courier New"/>
          <w:color w:val="1C1C1C"/>
          <w:sz w:val="28"/>
        </w:rPr>
      </w:pPr>
      <w:r>
        <w:rPr>
          <w:rFonts w:ascii="Courier New"/>
          <w:color w:val="1C1C1C"/>
          <w:sz w:val="28"/>
        </w:rPr>
        <w:t>Next exhibit relied is exhibit 31 of Suit No.1 which is an application filed by Mir Rajjabali khatib Masjid for removal of Chabutra which was built in the Mosque(extracted</w:t>
      </w:r>
      <w:r>
        <w:rPr>
          <w:rFonts w:ascii="Courier New"/>
          <w:color w:val="1C1C1C"/>
          <w:spacing w:val="-2"/>
          <w:sz w:val="28"/>
        </w:rPr>
        <w:t> </w:t>
      </w:r>
      <w:r>
        <w:rPr>
          <w:rFonts w:ascii="Courier New"/>
          <w:color w:val="1C1C1C"/>
          <w:sz w:val="28"/>
        </w:rPr>
        <w:t>earlier).</w:t>
      </w:r>
    </w:p>
    <w:p>
      <w:pPr>
        <w:pStyle w:val="BodyText"/>
        <w:rPr>
          <w:rFonts w:ascii="Courier New"/>
          <w:sz w:val="32"/>
        </w:rPr>
      </w:pPr>
    </w:p>
    <w:p>
      <w:pPr>
        <w:pStyle w:val="BodyText"/>
        <w:rPr>
          <w:rFonts w:ascii="Courier New"/>
          <w:sz w:val="32"/>
        </w:rPr>
      </w:pPr>
    </w:p>
    <w:p>
      <w:pPr>
        <w:pStyle w:val="BodyText"/>
        <w:rPr>
          <w:rFonts w:ascii="Courier New"/>
          <w:sz w:val="32"/>
        </w:rPr>
      </w:pPr>
    </w:p>
    <w:p>
      <w:pPr>
        <w:pStyle w:val="BodyText"/>
        <w:spacing w:before="9"/>
        <w:rPr>
          <w:rFonts w:ascii="Courier New"/>
          <w:sz w:val="40"/>
        </w:rPr>
      </w:pPr>
    </w:p>
    <w:p>
      <w:pPr>
        <w:pStyle w:val="ListParagraph"/>
        <w:numPr>
          <w:ilvl w:val="0"/>
          <w:numId w:val="256"/>
        </w:numPr>
        <w:tabs>
          <w:tab w:pos="1058" w:val="left" w:leader="none"/>
        </w:tabs>
        <w:spacing w:line="482" w:lineRule="auto" w:before="0" w:after="0"/>
        <w:ind w:left="160" w:right="162" w:firstLine="0"/>
        <w:jc w:val="both"/>
        <w:rPr>
          <w:rFonts w:ascii="Courier New"/>
          <w:color w:val="1C1C1C"/>
          <w:sz w:val="28"/>
        </w:rPr>
      </w:pPr>
      <w:r>
        <w:rPr>
          <w:rFonts w:ascii="Courier New"/>
          <w:color w:val="1C1C1C"/>
          <w:sz w:val="28"/>
        </w:rPr>
        <w:t>The above Application itself is an evidence of Chabutra of Hindus in the premise of Mosque and puja being performed by blowing</w:t>
      </w:r>
      <w:r>
        <w:rPr>
          <w:rFonts w:ascii="Courier New"/>
          <w:color w:val="1C1C1C"/>
          <w:spacing w:val="-6"/>
          <w:sz w:val="28"/>
        </w:rPr>
        <w:t> </w:t>
      </w:r>
      <w:r>
        <w:rPr>
          <w:rFonts w:ascii="Courier New"/>
          <w:color w:val="1C1C1C"/>
          <w:sz w:val="28"/>
        </w:rPr>
        <w:t>conch.</w:t>
      </w:r>
    </w:p>
    <w:p>
      <w:pPr>
        <w:pStyle w:val="ListParagraph"/>
        <w:numPr>
          <w:ilvl w:val="0"/>
          <w:numId w:val="256"/>
        </w:numPr>
        <w:tabs>
          <w:tab w:pos="1113" w:val="left" w:leader="none"/>
        </w:tabs>
        <w:spacing w:line="480" w:lineRule="auto" w:before="130" w:after="0"/>
        <w:ind w:left="159" w:right="160" w:firstLine="0"/>
        <w:jc w:val="both"/>
        <w:rPr>
          <w:rFonts w:ascii="Courier New"/>
          <w:color w:val="1C1C1C"/>
          <w:sz w:val="28"/>
        </w:rPr>
      </w:pPr>
      <w:r>
        <w:rPr>
          <w:rFonts w:ascii="Courier New"/>
          <w:color w:val="1C1C1C"/>
          <w:sz w:val="28"/>
        </w:rPr>
        <w:t>Another application was made by one Mohammed Asghar</w:t>
      </w:r>
      <w:r>
        <w:rPr>
          <w:rFonts w:ascii="Courier New"/>
          <w:color w:val="1C1C1C"/>
          <w:spacing w:val="-37"/>
          <w:sz w:val="28"/>
        </w:rPr>
        <w:t> </w:t>
      </w:r>
      <w:r>
        <w:rPr>
          <w:rFonts w:ascii="Courier New"/>
          <w:color w:val="1C1C1C"/>
          <w:sz w:val="28"/>
        </w:rPr>
        <w:t>on</w:t>
      </w:r>
      <w:r>
        <w:rPr>
          <w:rFonts w:ascii="Courier New"/>
          <w:color w:val="1C1C1C"/>
          <w:spacing w:val="-37"/>
          <w:sz w:val="28"/>
        </w:rPr>
        <w:t> </w:t>
      </w:r>
      <w:r>
        <w:rPr>
          <w:rFonts w:ascii="Courier New"/>
          <w:color w:val="1C1C1C"/>
          <w:sz w:val="28"/>
        </w:rPr>
        <w:t>12</w:t>
      </w:r>
      <w:r>
        <w:rPr>
          <w:rFonts w:ascii="Courier New"/>
          <w:color w:val="1C1C1C"/>
          <w:position w:val="8"/>
          <w:sz w:val="18"/>
        </w:rPr>
        <w:t>th</w:t>
      </w:r>
      <w:r>
        <w:rPr>
          <w:rFonts w:ascii="Courier New"/>
          <w:color w:val="1C1C1C"/>
          <w:spacing w:val="29"/>
          <w:position w:val="8"/>
          <w:sz w:val="18"/>
        </w:rPr>
        <w:t> </w:t>
      </w:r>
      <w:r>
        <w:rPr>
          <w:rFonts w:ascii="Courier New"/>
          <w:color w:val="1C1C1C"/>
          <w:sz w:val="28"/>
        </w:rPr>
        <w:t>February</w:t>
      </w:r>
      <w:r>
        <w:rPr>
          <w:rFonts w:ascii="Courier New"/>
          <w:color w:val="1C1C1C"/>
          <w:spacing w:val="-37"/>
          <w:sz w:val="28"/>
        </w:rPr>
        <w:t> </w:t>
      </w:r>
      <w:r>
        <w:rPr>
          <w:rFonts w:ascii="Courier New"/>
          <w:color w:val="1C1C1C"/>
          <w:sz w:val="28"/>
        </w:rPr>
        <w:t>1861</w:t>
      </w:r>
      <w:r>
        <w:rPr>
          <w:rFonts w:ascii="Courier New"/>
          <w:color w:val="1C1C1C"/>
          <w:spacing w:val="-37"/>
          <w:sz w:val="28"/>
        </w:rPr>
        <w:t> </w:t>
      </w:r>
      <w:r>
        <w:rPr>
          <w:rFonts w:ascii="Courier New"/>
          <w:color w:val="1C1C1C"/>
          <w:sz w:val="28"/>
        </w:rPr>
        <w:t>seeking</w:t>
      </w:r>
      <w:r>
        <w:rPr>
          <w:rFonts w:ascii="Courier New"/>
          <w:color w:val="1C1C1C"/>
          <w:spacing w:val="-37"/>
          <w:sz w:val="28"/>
        </w:rPr>
        <w:t> </w:t>
      </w:r>
      <w:r>
        <w:rPr>
          <w:rFonts w:ascii="Courier New"/>
          <w:color w:val="1C1C1C"/>
          <w:sz w:val="28"/>
        </w:rPr>
        <w:t>removal</w:t>
      </w:r>
      <w:r>
        <w:rPr>
          <w:rFonts w:ascii="Courier New"/>
          <w:color w:val="1C1C1C"/>
          <w:spacing w:val="-34"/>
          <w:sz w:val="28"/>
        </w:rPr>
        <w:t> </w:t>
      </w:r>
      <w:r>
        <w:rPr>
          <w:rFonts w:ascii="Courier New"/>
          <w:color w:val="1C1C1C"/>
          <w:sz w:val="28"/>
        </w:rPr>
        <w:t>of</w:t>
      </w:r>
      <w:r>
        <w:rPr>
          <w:rFonts w:ascii="Courier New"/>
          <w:color w:val="1C1C1C"/>
          <w:spacing w:val="-36"/>
          <w:sz w:val="28"/>
        </w:rPr>
        <w:t> </w:t>
      </w:r>
      <w:r>
        <w:rPr>
          <w:rFonts w:ascii="Courier New"/>
          <w:color w:val="1C1C1C"/>
          <w:sz w:val="28"/>
        </w:rPr>
        <w:t>Chabutra and hut of the Hindus from the Mosque premises. The application was filed as exhibit 54 in suit</w:t>
      </w:r>
      <w:r>
        <w:rPr>
          <w:rFonts w:ascii="Courier New"/>
          <w:color w:val="1C1C1C"/>
          <w:spacing w:val="-15"/>
          <w:sz w:val="28"/>
        </w:rPr>
        <w:t> </w:t>
      </w:r>
      <w:r>
        <w:rPr>
          <w:rFonts w:ascii="Courier New"/>
          <w:color w:val="1C1C1C"/>
          <w:sz w:val="28"/>
        </w:rPr>
        <w:t>4.</w:t>
      </w:r>
    </w:p>
    <w:p>
      <w:pPr>
        <w:pStyle w:val="ListParagraph"/>
        <w:numPr>
          <w:ilvl w:val="0"/>
          <w:numId w:val="256"/>
        </w:numPr>
        <w:tabs>
          <w:tab w:pos="1036" w:val="left" w:leader="none"/>
        </w:tabs>
        <w:spacing w:line="480" w:lineRule="auto" w:before="141" w:after="0"/>
        <w:ind w:left="159" w:right="156" w:firstLine="0"/>
        <w:jc w:val="both"/>
        <w:rPr>
          <w:rFonts w:ascii="Courier New"/>
          <w:color w:val="1C1C1C"/>
          <w:sz w:val="28"/>
        </w:rPr>
      </w:pPr>
      <w:r>
        <w:rPr>
          <w:rFonts w:ascii="Courier New"/>
          <w:color w:val="1C1C1C"/>
          <w:sz w:val="28"/>
        </w:rPr>
        <w:t>The application was given on behalf of Mohammed Asghar, Mir Rajjab Ali and </w:t>
      </w:r>
      <w:r>
        <w:rPr>
          <w:rFonts w:ascii="Courier New"/>
          <w:i/>
          <w:color w:val="1C1C1C"/>
          <w:sz w:val="28"/>
        </w:rPr>
        <w:t>muhammed </w:t>
      </w:r>
      <w:r>
        <w:rPr>
          <w:rFonts w:ascii="Courier New"/>
          <w:color w:val="1C1C1C"/>
          <w:sz w:val="28"/>
        </w:rPr>
        <w:t>Afzal, </w:t>
      </w:r>
      <w:r>
        <w:rPr>
          <w:rFonts w:ascii="Courier New"/>
          <w:i/>
          <w:color w:val="1C1C1C"/>
          <w:sz w:val="28"/>
        </w:rPr>
        <w:t>Khateeb</w:t>
      </w:r>
      <w:r>
        <w:rPr>
          <w:rFonts w:ascii="Courier New"/>
          <w:i/>
          <w:color w:val="1C1C1C"/>
          <w:spacing w:val="-63"/>
          <w:sz w:val="28"/>
        </w:rPr>
        <w:t> </w:t>
      </w:r>
      <w:r>
        <w:rPr>
          <w:rFonts w:ascii="Courier New"/>
          <w:i/>
          <w:color w:val="1C1C1C"/>
          <w:sz w:val="28"/>
        </w:rPr>
        <w:t>and </w:t>
      </w:r>
      <w:r>
        <w:rPr>
          <w:rFonts w:ascii="Courier New"/>
          <w:i/>
          <w:color w:val="1C1C1C"/>
          <w:sz w:val="28"/>
        </w:rPr>
        <w:t>Muezzin of Babri Masjid situated at Janmasthan, </w:t>
      </w:r>
      <w:r>
        <w:rPr>
          <w:rFonts w:ascii="Courier New"/>
          <w:color w:val="1C1C1C"/>
          <w:sz w:val="28"/>
        </w:rPr>
        <w:t>Ayodhya. The application dated 12</w:t>
      </w:r>
      <w:r>
        <w:rPr>
          <w:rFonts w:ascii="Courier New"/>
          <w:color w:val="1C1C1C"/>
          <w:position w:val="8"/>
          <w:sz w:val="18"/>
        </w:rPr>
        <w:t>th </w:t>
      </w:r>
      <w:r>
        <w:rPr>
          <w:rFonts w:ascii="Courier New"/>
          <w:color w:val="1C1C1C"/>
          <w:sz w:val="28"/>
        </w:rPr>
        <w:t>March 1861 is extracted</w:t>
      </w:r>
      <w:r>
        <w:rPr>
          <w:rFonts w:ascii="Courier New"/>
          <w:color w:val="1C1C1C"/>
          <w:spacing w:val="-2"/>
          <w:sz w:val="28"/>
        </w:rPr>
        <w:t> </w:t>
      </w:r>
      <w:r>
        <w:rPr>
          <w:rFonts w:ascii="Courier New"/>
          <w:color w:val="1C1C1C"/>
          <w:sz w:val="28"/>
        </w:rPr>
        <w:t>earlier.</w:t>
      </w:r>
    </w:p>
    <w:p>
      <w:pPr>
        <w:pStyle w:val="BodyText"/>
        <w:rPr>
          <w:rFonts w:ascii="Courier New"/>
          <w:sz w:val="32"/>
        </w:rPr>
      </w:pPr>
    </w:p>
    <w:p>
      <w:pPr>
        <w:pStyle w:val="ListParagraph"/>
        <w:numPr>
          <w:ilvl w:val="0"/>
          <w:numId w:val="256"/>
        </w:numPr>
        <w:tabs>
          <w:tab w:pos="1051" w:val="left" w:leader="none"/>
        </w:tabs>
        <w:spacing w:line="240" w:lineRule="auto" w:before="233" w:after="0"/>
        <w:ind w:left="1050" w:right="0" w:hanging="891"/>
        <w:jc w:val="both"/>
        <w:rPr>
          <w:rFonts w:ascii="Courier New"/>
          <w:color w:val="1C1C1C"/>
          <w:sz w:val="28"/>
        </w:rPr>
      </w:pPr>
      <w:r>
        <w:rPr>
          <w:rFonts w:ascii="Courier New"/>
          <w:color w:val="1C1C1C"/>
          <w:sz w:val="28"/>
        </w:rPr>
        <w:t>One</w:t>
      </w:r>
      <w:r>
        <w:rPr>
          <w:rFonts w:ascii="Courier New"/>
          <w:color w:val="1C1C1C"/>
          <w:spacing w:val="48"/>
          <w:sz w:val="28"/>
        </w:rPr>
        <w:t> </w:t>
      </w:r>
      <w:r>
        <w:rPr>
          <w:rFonts w:ascii="Courier New"/>
          <w:color w:val="1C1C1C"/>
          <w:sz w:val="28"/>
        </w:rPr>
        <w:t>important</w:t>
      </w:r>
      <w:r>
        <w:rPr>
          <w:rFonts w:ascii="Courier New"/>
          <w:color w:val="1C1C1C"/>
          <w:spacing w:val="48"/>
          <w:sz w:val="28"/>
        </w:rPr>
        <w:t> </w:t>
      </w:r>
      <w:r>
        <w:rPr>
          <w:rFonts w:ascii="Courier New"/>
          <w:color w:val="1C1C1C"/>
          <w:sz w:val="28"/>
        </w:rPr>
        <w:t>fact</w:t>
      </w:r>
      <w:r>
        <w:rPr>
          <w:rFonts w:ascii="Courier New"/>
          <w:color w:val="1C1C1C"/>
          <w:spacing w:val="48"/>
          <w:sz w:val="28"/>
        </w:rPr>
        <w:t> </w:t>
      </w:r>
      <w:r>
        <w:rPr>
          <w:rFonts w:ascii="Courier New"/>
          <w:color w:val="1C1C1C"/>
          <w:sz w:val="28"/>
        </w:rPr>
        <w:t>which</w:t>
      </w:r>
      <w:r>
        <w:rPr>
          <w:rFonts w:ascii="Courier New"/>
          <w:color w:val="1C1C1C"/>
          <w:spacing w:val="48"/>
          <w:sz w:val="28"/>
        </w:rPr>
        <w:t> </w:t>
      </w:r>
      <w:r>
        <w:rPr>
          <w:rFonts w:ascii="Courier New"/>
          <w:color w:val="1C1C1C"/>
          <w:sz w:val="28"/>
        </w:rPr>
        <w:t>may</w:t>
      </w:r>
      <w:r>
        <w:rPr>
          <w:rFonts w:ascii="Courier New"/>
          <w:color w:val="1C1C1C"/>
          <w:spacing w:val="49"/>
          <w:sz w:val="28"/>
        </w:rPr>
        <w:t> </w:t>
      </w:r>
      <w:r>
        <w:rPr>
          <w:rFonts w:ascii="Courier New"/>
          <w:color w:val="1C1C1C"/>
          <w:sz w:val="28"/>
        </w:rPr>
        <w:t>be</w:t>
      </w:r>
      <w:r>
        <w:rPr>
          <w:rFonts w:ascii="Courier New"/>
          <w:color w:val="1C1C1C"/>
          <w:spacing w:val="48"/>
          <w:sz w:val="28"/>
        </w:rPr>
        <w:t> </w:t>
      </w:r>
      <w:r>
        <w:rPr>
          <w:rFonts w:ascii="Courier New"/>
          <w:color w:val="1C1C1C"/>
          <w:sz w:val="28"/>
        </w:rPr>
        <w:t>noted</w:t>
      </w:r>
      <w:r>
        <w:rPr>
          <w:rFonts w:ascii="Courier New"/>
          <w:color w:val="1C1C1C"/>
          <w:spacing w:val="48"/>
          <w:sz w:val="28"/>
        </w:rPr>
        <w:t> </w:t>
      </w:r>
      <w:r>
        <w:rPr>
          <w:rFonts w:ascii="Courier New"/>
          <w:color w:val="1C1C1C"/>
          <w:sz w:val="28"/>
        </w:rPr>
        <w:t>from</w:t>
      </w:r>
      <w:r>
        <w:rPr>
          <w:rFonts w:ascii="Courier New"/>
          <w:color w:val="1C1C1C"/>
          <w:spacing w:val="48"/>
          <w:sz w:val="28"/>
        </w:rPr>
        <w:t> </w:t>
      </w:r>
      <w:r>
        <w:rPr>
          <w:rFonts w:ascii="Courier New"/>
          <w:color w:val="1C1C1C"/>
          <w:sz w:val="28"/>
        </w:rPr>
        <w:t>the</w:t>
      </w:r>
    </w:p>
    <w:p>
      <w:pPr>
        <w:spacing w:after="0" w:line="240" w:lineRule="auto"/>
        <w:jc w:val="both"/>
        <w:rPr>
          <w:rFonts w:ascii="Courier New"/>
          <w:sz w:val="28"/>
        </w:rPr>
        <w:sectPr>
          <w:headerReference w:type="default" r:id="rId400"/>
          <w:footerReference w:type="default" r:id="rId401"/>
          <w:pgSz w:w="11910" w:h="16840"/>
          <w:pgMar w:header="0" w:footer="1063" w:top="1580" w:bottom="1260" w:left="1280" w:right="1280"/>
          <w:pgNumType w:start="95"/>
        </w:sectPr>
      </w:pPr>
    </w:p>
    <w:p>
      <w:pPr>
        <w:spacing w:line="480" w:lineRule="auto" w:before="86"/>
        <w:ind w:left="160" w:right="159" w:firstLine="0"/>
        <w:jc w:val="both"/>
        <w:rPr>
          <w:rFonts w:ascii="Courier New"/>
          <w:sz w:val="28"/>
        </w:rPr>
      </w:pPr>
      <w:r>
        <w:rPr>
          <w:rFonts w:ascii="Courier New"/>
          <w:color w:val="1C1C1C"/>
          <w:sz w:val="28"/>
        </w:rPr>
        <w:t>above application and some earlier applications which were made on behalf of khateeb and muezzin of Babri Mosque is that description of </w:t>
      </w:r>
      <w:r>
        <w:rPr>
          <w:rFonts w:ascii="Courier New"/>
          <w:b/>
          <w:color w:val="1C1C1C"/>
          <w:sz w:val="28"/>
        </w:rPr>
        <w:t>Babri Mosque is always mentioned as "Babri Masjid situated at Janmasthan, Ayodhya"</w:t>
      </w:r>
      <w:r>
        <w:rPr>
          <w:rFonts w:ascii="Courier New"/>
          <w:color w:val="1C1C1C"/>
          <w:sz w:val="28"/>
        </w:rPr>
        <w:t>.</w:t>
      </w:r>
    </w:p>
    <w:p>
      <w:pPr>
        <w:pStyle w:val="BodyText"/>
        <w:rPr>
          <w:rFonts w:ascii="Courier New"/>
          <w:sz w:val="32"/>
        </w:rPr>
      </w:pPr>
    </w:p>
    <w:p>
      <w:pPr>
        <w:pStyle w:val="Heading2"/>
        <w:numPr>
          <w:ilvl w:val="0"/>
          <w:numId w:val="256"/>
        </w:numPr>
        <w:tabs>
          <w:tab w:pos="981" w:val="left" w:leader="none"/>
        </w:tabs>
        <w:spacing w:line="482" w:lineRule="auto" w:before="233" w:after="0"/>
        <w:ind w:left="160" w:right="160" w:firstLine="0"/>
        <w:jc w:val="both"/>
      </w:pPr>
      <w:r>
        <w:rPr/>
        <w:t>Exhibit</w:t>
      </w:r>
      <w:r>
        <w:rPr>
          <w:spacing w:val="-22"/>
        </w:rPr>
        <w:t> </w:t>
      </w:r>
      <w:r>
        <w:rPr/>
        <w:t>A-55</w:t>
      </w:r>
      <w:r>
        <w:rPr>
          <w:spacing w:val="-21"/>
        </w:rPr>
        <w:t> </w:t>
      </w:r>
      <w:r>
        <w:rPr/>
        <w:t>filed</w:t>
      </w:r>
      <w:r>
        <w:rPr>
          <w:spacing w:val="-21"/>
        </w:rPr>
        <w:t> </w:t>
      </w:r>
      <w:r>
        <w:rPr/>
        <w:t>in</w:t>
      </w:r>
      <w:r>
        <w:rPr>
          <w:spacing w:val="-21"/>
        </w:rPr>
        <w:t> </w:t>
      </w:r>
      <w:r>
        <w:rPr/>
        <w:t>Suit</w:t>
      </w:r>
      <w:r>
        <w:rPr>
          <w:spacing w:val="-21"/>
        </w:rPr>
        <w:t> </w:t>
      </w:r>
      <w:r>
        <w:rPr/>
        <w:t>No.</w:t>
      </w:r>
      <w:r>
        <w:rPr>
          <w:spacing w:val="-21"/>
        </w:rPr>
        <w:t> </w:t>
      </w:r>
      <w:r>
        <w:rPr/>
        <w:t>4</w:t>
      </w:r>
      <w:r>
        <w:rPr>
          <w:spacing w:val="-21"/>
        </w:rPr>
        <w:t> </w:t>
      </w:r>
      <w:r>
        <w:rPr/>
        <w:t>is</w:t>
      </w:r>
      <w:r>
        <w:rPr>
          <w:spacing w:val="-21"/>
        </w:rPr>
        <w:t> </w:t>
      </w:r>
      <w:r>
        <w:rPr/>
        <w:t>report</w:t>
      </w:r>
      <w:r>
        <w:rPr>
          <w:spacing w:val="-21"/>
        </w:rPr>
        <w:t> </w:t>
      </w:r>
      <w:r>
        <w:rPr/>
        <w:t>of</w:t>
      </w:r>
      <w:r>
        <w:rPr>
          <w:spacing w:val="-21"/>
        </w:rPr>
        <w:t> </w:t>
      </w:r>
      <w:r>
        <w:rPr/>
        <w:t>Khem Singh subedar dated 16.03.1861 regarding demolition</w:t>
      </w:r>
      <w:r>
        <w:rPr>
          <w:spacing w:val="-68"/>
        </w:rPr>
        <w:t> </w:t>
      </w:r>
      <w:r>
        <w:rPr/>
        <w:t>of Kutiya of Inkani</w:t>
      </w:r>
      <w:r>
        <w:rPr>
          <w:spacing w:val="-4"/>
        </w:rPr>
        <w:t> </w:t>
      </w:r>
      <w:r>
        <w:rPr/>
        <w:t>Singh.</w:t>
      </w:r>
    </w:p>
    <w:p>
      <w:pPr>
        <w:pStyle w:val="ListParagraph"/>
        <w:numPr>
          <w:ilvl w:val="0"/>
          <w:numId w:val="256"/>
        </w:numPr>
        <w:tabs>
          <w:tab w:pos="1079" w:val="left" w:leader="none"/>
        </w:tabs>
        <w:spacing w:line="480" w:lineRule="auto" w:before="133" w:after="0"/>
        <w:ind w:left="160" w:right="158" w:firstLine="0"/>
        <w:jc w:val="both"/>
        <w:rPr>
          <w:rFonts w:ascii="Courier New"/>
          <w:sz w:val="28"/>
        </w:rPr>
      </w:pPr>
      <w:r>
        <w:rPr>
          <w:rFonts w:ascii="Courier New"/>
          <w:sz w:val="28"/>
        </w:rPr>
        <w:t>Exhibit A-30 filed in Suit No. 4, application dated 25.09.1866 submitted by muhammed Afzal</w:t>
      </w:r>
      <w:r>
        <w:rPr>
          <w:rFonts w:ascii="Courier New"/>
          <w:spacing w:val="-68"/>
          <w:sz w:val="28"/>
        </w:rPr>
        <w:t> </w:t>
      </w:r>
      <w:r>
        <w:rPr>
          <w:rFonts w:ascii="Courier New"/>
          <w:sz w:val="28"/>
        </w:rPr>
        <w:t>complaint mentioned that Tulsidas etc. Bairagis had placed an Idol inside the premises in 3 hours. Public complaint was made (extracted</w:t>
      </w:r>
      <w:r>
        <w:rPr>
          <w:rFonts w:ascii="Courier New"/>
          <w:spacing w:val="-5"/>
          <w:sz w:val="28"/>
        </w:rPr>
        <w:t> </w:t>
      </w:r>
      <w:r>
        <w:rPr>
          <w:rFonts w:ascii="Courier New"/>
          <w:sz w:val="28"/>
        </w:rPr>
        <w:t>earlier).</w:t>
      </w:r>
    </w:p>
    <w:p>
      <w:pPr>
        <w:pStyle w:val="BodyText"/>
        <w:rPr>
          <w:rFonts w:ascii="Courier New"/>
          <w:sz w:val="32"/>
        </w:rPr>
      </w:pPr>
    </w:p>
    <w:p>
      <w:pPr>
        <w:pStyle w:val="ListParagraph"/>
        <w:numPr>
          <w:ilvl w:val="0"/>
          <w:numId w:val="256"/>
        </w:numPr>
        <w:tabs>
          <w:tab w:pos="1051" w:val="left" w:leader="none"/>
        </w:tabs>
        <w:spacing w:line="480" w:lineRule="auto" w:before="272" w:after="0"/>
        <w:ind w:left="160" w:right="159" w:firstLine="0"/>
        <w:jc w:val="both"/>
        <w:rPr>
          <w:rFonts w:ascii="Courier New"/>
          <w:sz w:val="28"/>
        </w:rPr>
      </w:pPr>
      <w:r>
        <w:rPr>
          <w:rFonts w:ascii="Courier New"/>
          <w:sz w:val="28"/>
        </w:rPr>
        <w:t>Evidence has been brought on the record to the fact that Deputy Commissioner, Ayodhya by an order dated 03.04.1877 has granted permission to Khem Das, Mahant, janamsthan to open the door in the Northern wall in the premises of Mosque. An appeal was filed</w:t>
      </w:r>
      <w:r>
        <w:rPr>
          <w:rFonts w:ascii="Courier New"/>
          <w:spacing w:val="-67"/>
          <w:sz w:val="28"/>
        </w:rPr>
        <w:t> </w:t>
      </w:r>
      <w:r>
        <w:rPr>
          <w:rFonts w:ascii="Courier New"/>
          <w:sz w:val="28"/>
        </w:rPr>
        <w:t>by Syed mohammed Asghar against the said order. Grounds of</w:t>
      </w:r>
      <w:r>
        <w:rPr>
          <w:rFonts w:ascii="Courier New"/>
          <w:spacing w:val="-42"/>
          <w:sz w:val="28"/>
        </w:rPr>
        <w:t> </w:t>
      </w:r>
      <w:r>
        <w:rPr>
          <w:rFonts w:ascii="Courier New"/>
          <w:sz w:val="28"/>
        </w:rPr>
        <w:t>the</w:t>
      </w:r>
      <w:r>
        <w:rPr>
          <w:rFonts w:ascii="Courier New"/>
          <w:spacing w:val="-41"/>
          <w:sz w:val="28"/>
        </w:rPr>
        <w:t> </w:t>
      </w:r>
      <w:r>
        <w:rPr>
          <w:rFonts w:ascii="Courier New"/>
          <w:sz w:val="28"/>
        </w:rPr>
        <w:t>appeal</w:t>
      </w:r>
      <w:r>
        <w:rPr>
          <w:rFonts w:ascii="Courier New"/>
          <w:spacing w:val="-40"/>
          <w:sz w:val="28"/>
        </w:rPr>
        <w:t> </w:t>
      </w:r>
      <w:r>
        <w:rPr>
          <w:rFonts w:ascii="Courier New"/>
          <w:sz w:val="28"/>
        </w:rPr>
        <w:t>have</w:t>
      </w:r>
      <w:r>
        <w:rPr>
          <w:rFonts w:ascii="Courier New"/>
          <w:spacing w:val="-41"/>
          <w:sz w:val="28"/>
        </w:rPr>
        <w:t> </w:t>
      </w:r>
      <w:r>
        <w:rPr>
          <w:rFonts w:ascii="Courier New"/>
          <w:sz w:val="28"/>
        </w:rPr>
        <w:t>been</w:t>
      </w:r>
      <w:r>
        <w:rPr>
          <w:rFonts w:ascii="Courier New"/>
          <w:spacing w:val="-41"/>
          <w:sz w:val="28"/>
        </w:rPr>
        <w:t> </w:t>
      </w:r>
      <w:r>
        <w:rPr>
          <w:rFonts w:ascii="Courier New"/>
          <w:sz w:val="28"/>
        </w:rPr>
        <w:t>brought</w:t>
      </w:r>
      <w:r>
        <w:rPr>
          <w:rFonts w:ascii="Courier New"/>
          <w:spacing w:val="-41"/>
          <w:sz w:val="28"/>
        </w:rPr>
        <w:t> </w:t>
      </w:r>
      <w:r>
        <w:rPr>
          <w:rFonts w:ascii="Courier New"/>
          <w:sz w:val="28"/>
        </w:rPr>
        <w:t>on</w:t>
      </w:r>
      <w:r>
        <w:rPr>
          <w:rFonts w:ascii="Courier New"/>
          <w:spacing w:val="-41"/>
          <w:sz w:val="28"/>
        </w:rPr>
        <w:t> </w:t>
      </w:r>
      <w:r>
        <w:rPr>
          <w:rFonts w:ascii="Courier New"/>
          <w:sz w:val="28"/>
        </w:rPr>
        <w:t>the</w:t>
      </w:r>
      <w:r>
        <w:rPr>
          <w:rFonts w:ascii="Courier New"/>
          <w:spacing w:val="-41"/>
          <w:sz w:val="28"/>
        </w:rPr>
        <w:t> </w:t>
      </w:r>
      <w:r>
        <w:rPr>
          <w:rFonts w:ascii="Courier New"/>
          <w:sz w:val="28"/>
        </w:rPr>
        <w:t>record</w:t>
      </w:r>
      <w:r>
        <w:rPr>
          <w:rFonts w:ascii="Courier New"/>
          <w:spacing w:val="-38"/>
          <w:sz w:val="28"/>
        </w:rPr>
        <w:t> </w:t>
      </w:r>
      <w:r>
        <w:rPr>
          <w:rFonts w:ascii="Courier New"/>
          <w:sz w:val="28"/>
        </w:rPr>
        <w:t>as</w:t>
      </w:r>
      <w:r>
        <w:rPr>
          <w:rFonts w:ascii="Courier New"/>
          <w:spacing w:val="-41"/>
          <w:sz w:val="28"/>
        </w:rPr>
        <w:t> </w:t>
      </w:r>
      <w:r>
        <w:rPr>
          <w:rFonts w:ascii="Courier New"/>
          <w:sz w:val="28"/>
        </w:rPr>
        <w:t>exhibit</w:t>
      </w:r>
    </w:p>
    <w:p>
      <w:pPr>
        <w:spacing w:after="0" w:line="480" w:lineRule="auto"/>
        <w:jc w:val="both"/>
        <w:rPr>
          <w:rFonts w:ascii="Courier New"/>
          <w:sz w:val="28"/>
        </w:rPr>
        <w:sectPr>
          <w:headerReference w:type="default" r:id="rId402"/>
          <w:footerReference w:type="default" r:id="rId403"/>
          <w:pgSz w:w="11910" w:h="16840"/>
          <w:pgMar w:header="0" w:footer="1063" w:top="1340" w:bottom="1260" w:left="1280" w:right="1280"/>
          <w:pgNumType w:start="96"/>
        </w:sectPr>
      </w:pPr>
    </w:p>
    <w:p>
      <w:pPr>
        <w:spacing w:line="480" w:lineRule="auto" w:before="86"/>
        <w:ind w:left="159" w:right="156" w:firstLine="0"/>
        <w:jc w:val="both"/>
        <w:rPr>
          <w:rFonts w:ascii="Courier New"/>
          <w:sz w:val="28"/>
        </w:rPr>
      </w:pPr>
      <w:r>
        <w:rPr>
          <w:rFonts w:ascii="Courier New"/>
          <w:sz w:val="28"/>
        </w:rPr>
        <w:t>30 in Suit No. 1. The appeal also noticed that Idols on the premises have not yet been removed. The appeal also admits small Chulha in the premises. Ground 6 of the appeal(exhibit-30) is as follows:-</w:t>
      </w:r>
    </w:p>
    <w:p>
      <w:pPr>
        <w:spacing w:line="240" w:lineRule="auto" w:before="0"/>
        <w:ind w:left="1012" w:right="1245" w:firstLine="0"/>
        <w:jc w:val="both"/>
        <w:rPr>
          <w:rFonts w:ascii="Courier New" w:hAnsi="Courier New"/>
          <w:i/>
          <w:sz w:val="28"/>
        </w:rPr>
      </w:pPr>
      <w:r>
        <w:rPr>
          <w:rFonts w:ascii="Courier New" w:hAnsi="Courier New"/>
          <w:i/>
          <w:sz w:val="28"/>
        </w:rPr>
        <w:t>“Section 6. That there has been old </w:t>
      </w:r>
      <w:r>
        <w:rPr>
          <w:rFonts w:ascii="Courier New" w:hAnsi="Courier New"/>
          <w:i/>
          <w:sz w:val="28"/>
        </w:rPr>
        <w:t>controversy between the respondent and the appellant</w:t>
      </w:r>
      <w:r>
        <w:rPr>
          <w:rFonts w:ascii="Courier New" w:hAnsi="Courier New"/>
          <w:i/>
          <w:spacing w:val="-26"/>
          <w:sz w:val="28"/>
        </w:rPr>
        <w:t> </w:t>
      </w:r>
      <w:r>
        <w:rPr>
          <w:rFonts w:ascii="Courier New" w:hAnsi="Courier New"/>
          <w:i/>
          <w:sz w:val="28"/>
        </w:rPr>
        <w:t>and</w:t>
      </w:r>
      <w:r>
        <w:rPr>
          <w:rFonts w:ascii="Courier New" w:hAnsi="Courier New"/>
          <w:i/>
          <w:spacing w:val="-28"/>
          <w:sz w:val="28"/>
        </w:rPr>
        <w:t> </w:t>
      </w:r>
      <w:r>
        <w:rPr>
          <w:rFonts w:ascii="Courier New" w:hAnsi="Courier New"/>
          <w:i/>
          <w:sz w:val="28"/>
        </w:rPr>
        <w:t>the</w:t>
      </w:r>
      <w:r>
        <w:rPr>
          <w:rFonts w:ascii="Courier New" w:hAnsi="Courier New"/>
          <w:i/>
          <w:spacing w:val="-26"/>
          <w:sz w:val="28"/>
        </w:rPr>
        <w:t> </w:t>
      </w:r>
      <w:r>
        <w:rPr>
          <w:rFonts w:ascii="Courier New" w:hAnsi="Courier New"/>
          <w:i/>
          <w:sz w:val="28"/>
        </w:rPr>
        <w:t>Hon'ble</w:t>
      </w:r>
      <w:r>
        <w:rPr>
          <w:rFonts w:ascii="Courier New" w:hAnsi="Courier New"/>
          <w:i/>
          <w:spacing w:val="-26"/>
          <w:sz w:val="28"/>
        </w:rPr>
        <w:t> </w:t>
      </w:r>
      <w:r>
        <w:rPr>
          <w:rFonts w:ascii="Courier New" w:hAnsi="Courier New"/>
          <w:i/>
          <w:sz w:val="28"/>
        </w:rPr>
        <w:t>Court</w:t>
      </w:r>
      <w:r>
        <w:rPr>
          <w:rFonts w:ascii="Courier New" w:hAnsi="Courier New"/>
          <w:i/>
          <w:spacing w:val="-25"/>
          <w:sz w:val="28"/>
        </w:rPr>
        <w:t> </w:t>
      </w:r>
      <w:r>
        <w:rPr>
          <w:rFonts w:ascii="Courier New" w:hAnsi="Courier New"/>
          <w:i/>
          <w:sz w:val="28"/>
        </w:rPr>
        <w:t>has</w:t>
      </w:r>
      <w:r>
        <w:rPr>
          <w:rFonts w:ascii="Courier New" w:hAnsi="Courier New"/>
          <w:i/>
          <w:spacing w:val="-26"/>
          <w:sz w:val="28"/>
        </w:rPr>
        <w:t> </w:t>
      </w:r>
      <w:r>
        <w:rPr>
          <w:rFonts w:ascii="Courier New" w:hAnsi="Courier New"/>
          <w:i/>
          <w:sz w:val="28"/>
        </w:rPr>
        <w:t>ordered that the respondent should not do anything new on that place. But because of Baldeo Dass bairagis being underground, the order dated November 7, 1873 would not be served upon him. That is to say, idol has not yet been removed as per orders. The respondent with the intention of occupying it continues to indulge in several activities on the wall and on being restraint by someone, he becomes aggressive and is bent upon to fight with him. So he has made a chulha within the said compound which has never been done before. In the past, there was near a small chulha(kitchen) for Puja which he has got</w:t>
      </w:r>
      <w:r>
        <w:rPr>
          <w:rFonts w:ascii="Courier New" w:hAnsi="Courier New"/>
          <w:i/>
          <w:spacing w:val="-6"/>
          <w:sz w:val="28"/>
        </w:rPr>
        <w:t> </w:t>
      </w:r>
      <w:r>
        <w:rPr>
          <w:rFonts w:ascii="Courier New" w:hAnsi="Courier New"/>
          <w:i/>
          <w:sz w:val="28"/>
        </w:rPr>
        <w:t>extended.“</w:t>
      </w:r>
    </w:p>
    <w:p>
      <w:pPr>
        <w:pStyle w:val="BodyText"/>
        <w:rPr>
          <w:rFonts w:ascii="Courier New"/>
          <w:i/>
          <w:sz w:val="32"/>
        </w:rPr>
      </w:pPr>
    </w:p>
    <w:p>
      <w:pPr>
        <w:pStyle w:val="ListParagraph"/>
        <w:numPr>
          <w:ilvl w:val="0"/>
          <w:numId w:val="256"/>
        </w:numPr>
        <w:tabs>
          <w:tab w:pos="1281" w:val="left" w:leader="none"/>
        </w:tabs>
        <w:spacing w:line="480" w:lineRule="auto" w:before="272" w:after="0"/>
        <w:ind w:left="160" w:right="159" w:firstLine="0"/>
        <w:jc w:val="both"/>
        <w:rPr>
          <w:rFonts w:ascii="Courier New"/>
          <w:sz w:val="28"/>
        </w:rPr>
      </w:pPr>
      <w:r>
        <w:rPr>
          <w:rFonts w:ascii="Courier New"/>
          <w:sz w:val="28"/>
        </w:rPr>
        <w:t>In the above appeal, report of Deputy Commissioner, Faizabad was submitted. In the report, Deputy Commissioner mentioned that opening of the</w:t>
      </w:r>
      <w:r>
        <w:rPr>
          <w:rFonts w:ascii="Courier New"/>
          <w:spacing w:val="-69"/>
          <w:sz w:val="28"/>
        </w:rPr>
        <w:t> </w:t>
      </w:r>
      <w:r>
        <w:rPr>
          <w:rFonts w:ascii="Courier New"/>
          <w:sz w:val="28"/>
        </w:rPr>
        <w:t>door was necessary to give a separate route on fair days</w:t>
      </w:r>
      <w:r>
        <w:rPr>
          <w:rFonts w:ascii="Courier New"/>
          <w:spacing w:val="-66"/>
          <w:sz w:val="28"/>
        </w:rPr>
        <w:t> </w:t>
      </w:r>
      <w:r>
        <w:rPr>
          <w:rFonts w:ascii="Courier New"/>
          <w:sz w:val="28"/>
        </w:rPr>
        <w:t>to the visitors to the</w:t>
      </w:r>
      <w:r>
        <w:rPr>
          <w:rFonts w:ascii="Courier New"/>
          <w:spacing w:val="-6"/>
          <w:sz w:val="28"/>
        </w:rPr>
        <w:t> </w:t>
      </w:r>
      <w:r>
        <w:rPr>
          <w:rFonts w:ascii="Courier New"/>
          <w:sz w:val="28"/>
        </w:rPr>
        <w:t>Janmasthan.</w:t>
      </w:r>
    </w:p>
    <w:p>
      <w:pPr>
        <w:pStyle w:val="BodyText"/>
        <w:rPr>
          <w:rFonts w:ascii="Courier New"/>
          <w:sz w:val="32"/>
        </w:rPr>
      </w:pPr>
    </w:p>
    <w:p>
      <w:pPr>
        <w:pStyle w:val="ListParagraph"/>
        <w:numPr>
          <w:ilvl w:val="0"/>
          <w:numId w:val="256"/>
        </w:numPr>
        <w:tabs>
          <w:tab w:pos="1041" w:val="left" w:leader="none"/>
        </w:tabs>
        <w:spacing w:line="482" w:lineRule="auto" w:before="270" w:after="0"/>
        <w:ind w:left="160" w:right="160" w:firstLine="0"/>
        <w:jc w:val="both"/>
        <w:rPr>
          <w:rFonts w:ascii="Courier New"/>
          <w:sz w:val="28"/>
        </w:rPr>
      </w:pPr>
      <w:r>
        <w:rPr>
          <w:rFonts w:ascii="Courier New"/>
          <w:sz w:val="28"/>
        </w:rPr>
        <w:t>The above report by Deputy Commissioner clearly proves that Hindus were visiting the janamsthan</w:t>
      </w:r>
      <w:r>
        <w:rPr>
          <w:rFonts w:ascii="Courier New"/>
          <w:spacing w:val="100"/>
          <w:sz w:val="28"/>
        </w:rPr>
        <w:t> </w:t>
      </w:r>
      <w:r>
        <w:rPr>
          <w:rFonts w:ascii="Courier New"/>
          <w:sz w:val="28"/>
        </w:rPr>
        <w:t>which</w:t>
      </w:r>
    </w:p>
    <w:p>
      <w:pPr>
        <w:spacing w:after="0" w:line="482" w:lineRule="auto"/>
        <w:jc w:val="both"/>
        <w:rPr>
          <w:rFonts w:ascii="Courier New"/>
          <w:sz w:val="28"/>
        </w:rPr>
        <w:sectPr>
          <w:headerReference w:type="default" r:id="rId404"/>
          <w:footerReference w:type="default" r:id="rId405"/>
          <w:pgSz w:w="11910" w:h="16840"/>
          <w:pgMar w:header="0" w:footer="1063" w:top="1340" w:bottom="1260" w:left="1280" w:right="1280"/>
          <w:pgNumType w:start="97"/>
        </w:sectPr>
      </w:pPr>
    </w:p>
    <w:p>
      <w:pPr>
        <w:spacing w:line="480" w:lineRule="auto" w:before="86"/>
        <w:ind w:left="160" w:right="160" w:firstLine="0"/>
        <w:jc w:val="both"/>
        <w:rPr>
          <w:rFonts w:ascii="Courier New"/>
          <w:sz w:val="28"/>
        </w:rPr>
      </w:pPr>
      <w:r>
        <w:rPr>
          <w:rFonts w:ascii="Courier New"/>
          <w:sz w:val="28"/>
        </w:rPr>
        <w:t>was within the Mosque premises. The Commissioner had ultimately dismissed the appeal of Muhammed Asghar on 13.04.1877.</w:t>
      </w:r>
    </w:p>
    <w:p>
      <w:pPr>
        <w:pStyle w:val="BodyText"/>
        <w:rPr>
          <w:rFonts w:ascii="Courier New"/>
          <w:sz w:val="32"/>
        </w:rPr>
      </w:pPr>
    </w:p>
    <w:p>
      <w:pPr>
        <w:pStyle w:val="ListParagraph"/>
        <w:numPr>
          <w:ilvl w:val="0"/>
          <w:numId w:val="256"/>
        </w:numPr>
        <w:tabs>
          <w:tab w:pos="995" w:val="left" w:leader="none"/>
        </w:tabs>
        <w:spacing w:line="480" w:lineRule="auto" w:before="271" w:after="0"/>
        <w:ind w:left="160" w:right="158" w:firstLine="0"/>
        <w:jc w:val="both"/>
        <w:rPr>
          <w:rFonts w:ascii="Courier New"/>
          <w:sz w:val="28"/>
        </w:rPr>
      </w:pPr>
      <w:r>
        <w:rPr>
          <w:rFonts w:ascii="Courier New"/>
          <w:sz w:val="28"/>
        </w:rPr>
        <w:t>Another important fact to be noticed is filing</w:t>
      </w:r>
      <w:r>
        <w:rPr>
          <w:rFonts w:ascii="Courier New"/>
          <w:spacing w:val="-63"/>
          <w:sz w:val="28"/>
        </w:rPr>
        <w:t> </w:t>
      </w:r>
      <w:r>
        <w:rPr>
          <w:rFonts w:ascii="Courier New"/>
          <w:sz w:val="28"/>
        </w:rPr>
        <w:t>of suit</w:t>
      </w:r>
      <w:r>
        <w:rPr>
          <w:rFonts w:ascii="Courier New"/>
          <w:spacing w:val="-25"/>
          <w:sz w:val="28"/>
        </w:rPr>
        <w:t> </w:t>
      </w:r>
      <w:r>
        <w:rPr>
          <w:rFonts w:ascii="Courier New"/>
          <w:sz w:val="28"/>
        </w:rPr>
        <w:t>by</w:t>
      </w:r>
      <w:r>
        <w:rPr>
          <w:rFonts w:ascii="Courier New"/>
          <w:spacing w:val="-24"/>
          <w:sz w:val="28"/>
        </w:rPr>
        <w:t> </w:t>
      </w:r>
      <w:r>
        <w:rPr>
          <w:rFonts w:ascii="Courier New"/>
          <w:sz w:val="28"/>
        </w:rPr>
        <w:t>Mahant</w:t>
      </w:r>
      <w:r>
        <w:rPr>
          <w:rFonts w:ascii="Courier New"/>
          <w:spacing w:val="-21"/>
          <w:sz w:val="28"/>
        </w:rPr>
        <w:t> </w:t>
      </w:r>
      <w:r>
        <w:rPr>
          <w:rFonts w:ascii="Courier New"/>
          <w:sz w:val="28"/>
        </w:rPr>
        <w:t>Raghubar</w:t>
      </w:r>
      <w:r>
        <w:rPr>
          <w:rFonts w:ascii="Courier New"/>
          <w:spacing w:val="-24"/>
          <w:sz w:val="28"/>
        </w:rPr>
        <w:t> </w:t>
      </w:r>
      <w:r>
        <w:rPr>
          <w:rFonts w:ascii="Courier New"/>
          <w:sz w:val="28"/>
        </w:rPr>
        <w:t>Das</w:t>
      </w:r>
      <w:r>
        <w:rPr>
          <w:rFonts w:ascii="Courier New"/>
          <w:spacing w:val="-22"/>
          <w:sz w:val="28"/>
        </w:rPr>
        <w:t> </w:t>
      </w:r>
      <w:r>
        <w:rPr>
          <w:rFonts w:ascii="Courier New"/>
          <w:sz w:val="28"/>
        </w:rPr>
        <w:t>being</w:t>
      </w:r>
      <w:r>
        <w:rPr>
          <w:rFonts w:ascii="Courier New"/>
          <w:spacing w:val="-24"/>
          <w:sz w:val="28"/>
        </w:rPr>
        <w:t> </w:t>
      </w:r>
      <w:r>
        <w:rPr>
          <w:rFonts w:ascii="Courier New"/>
          <w:sz w:val="28"/>
        </w:rPr>
        <w:t>case</w:t>
      </w:r>
      <w:r>
        <w:rPr>
          <w:rFonts w:ascii="Courier New"/>
          <w:spacing w:val="-24"/>
          <w:sz w:val="28"/>
        </w:rPr>
        <w:t> </w:t>
      </w:r>
      <w:r>
        <w:rPr>
          <w:rFonts w:ascii="Courier New"/>
          <w:sz w:val="28"/>
        </w:rPr>
        <w:t>number</w:t>
      </w:r>
      <w:r>
        <w:rPr>
          <w:rFonts w:ascii="Courier New"/>
          <w:spacing w:val="-24"/>
          <w:sz w:val="28"/>
        </w:rPr>
        <w:t> </w:t>
      </w:r>
      <w:r>
        <w:rPr>
          <w:rFonts w:ascii="Courier New"/>
          <w:sz w:val="28"/>
        </w:rPr>
        <w:t>61</w:t>
      </w:r>
      <w:r>
        <w:rPr>
          <w:rFonts w:ascii="Courier New"/>
          <w:spacing w:val="-25"/>
          <w:sz w:val="28"/>
        </w:rPr>
        <w:t> </w:t>
      </w:r>
      <w:r>
        <w:rPr>
          <w:rFonts w:ascii="Courier New"/>
          <w:sz w:val="28"/>
        </w:rPr>
        <w:t>of</w:t>
      </w:r>
      <w:r>
        <w:rPr>
          <w:rFonts w:ascii="Courier New"/>
          <w:spacing w:val="-24"/>
          <w:sz w:val="28"/>
        </w:rPr>
        <w:t> </w:t>
      </w:r>
      <w:r>
        <w:rPr>
          <w:rFonts w:ascii="Courier New"/>
          <w:sz w:val="28"/>
        </w:rPr>
        <w:t>280 of 1885 before sub-judge Faizabad where plaintiff has sought permission to construct a temple on Chabutra existing inside the Mosque premises. The permission</w:t>
      </w:r>
      <w:r>
        <w:rPr>
          <w:rFonts w:ascii="Courier New"/>
          <w:spacing w:val="-69"/>
          <w:sz w:val="28"/>
        </w:rPr>
        <w:t> </w:t>
      </w:r>
      <w:r>
        <w:rPr>
          <w:rFonts w:ascii="Courier New"/>
          <w:sz w:val="28"/>
        </w:rPr>
        <w:t>to construct the temple was denied by dismissing the</w:t>
      </w:r>
      <w:r>
        <w:rPr>
          <w:rFonts w:ascii="Courier New"/>
          <w:spacing w:val="-66"/>
          <w:sz w:val="28"/>
        </w:rPr>
        <w:t> </w:t>
      </w:r>
      <w:r>
        <w:rPr>
          <w:rFonts w:ascii="Courier New"/>
          <w:sz w:val="28"/>
        </w:rPr>
        <w:t>suit on 24.12.1885. An appeal was filed by Mahant Raghubar Das before District Judge Faizabad. The District</w:t>
      </w:r>
      <w:r>
        <w:rPr>
          <w:rFonts w:ascii="Courier New"/>
          <w:spacing w:val="-69"/>
          <w:sz w:val="28"/>
        </w:rPr>
        <w:t> </w:t>
      </w:r>
      <w:r>
        <w:rPr>
          <w:rFonts w:ascii="Courier New"/>
          <w:sz w:val="28"/>
        </w:rPr>
        <w:t>judge dismissed the appeal on</w:t>
      </w:r>
      <w:r>
        <w:rPr>
          <w:rFonts w:ascii="Courier New"/>
          <w:spacing w:val="-7"/>
          <w:sz w:val="28"/>
        </w:rPr>
        <w:t> </w:t>
      </w:r>
      <w:r>
        <w:rPr>
          <w:rFonts w:ascii="Courier New"/>
          <w:sz w:val="28"/>
        </w:rPr>
        <w:t>18.12.1886.</w:t>
      </w:r>
    </w:p>
    <w:p>
      <w:pPr>
        <w:pStyle w:val="BodyText"/>
        <w:rPr>
          <w:rFonts w:ascii="Courier New"/>
          <w:sz w:val="32"/>
        </w:rPr>
      </w:pPr>
    </w:p>
    <w:p>
      <w:pPr>
        <w:pStyle w:val="ListParagraph"/>
        <w:numPr>
          <w:ilvl w:val="0"/>
          <w:numId w:val="256"/>
        </w:numPr>
        <w:tabs>
          <w:tab w:pos="1579" w:val="left" w:leader="none"/>
        </w:tabs>
        <w:spacing w:line="480" w:lineRule="auto" w:before="274" w:after="0"/>
        <w:ind w:left="160" w:right="164" w:firstLine="0"/>
        <w:jc w:val="both"/>
        <w:rPr>
          <w:rFonts w:ascii="Courier New"/>
          <w:sz w:val="28"/>
        </w:rPr>
      </w:pPr>
      <w:r>
        <w:rPr>
          <w:rFonts w:ascii="Courier New"/>
          <w:sz w:val="28"/>
        </w:rPr>
        <w:t>The second appeal against the said judgement was dismissed by Judicial Commissioner,</w:t>
      </w:r>
      <w:r>
        <w:rPr>
          <w:rFonts w:ascii="Courier New"/>
          <w:spacing w:val="-12"/>
          <w:sz w:val="28"/>
        </w:rPr>
        <w:t> </w:t>
      </w:r>
      <w:r>
        <w:rPr>
          <w:rFonts w:ascii="Courier New"/>
          <w:sz w:val="28"/>
        </w:rPr>
        <w:t>Oudh.</w:t>
      </w:r>
    </w:p>
    <w:p>
      <w:pPr>
        <w:pStyle w:val="BodyText"/>
        <w:rPr>
          <w:rFonts w:ascii="Courier New"/>
          <w:sz w:val="32"/>
        </w:rPr>
      </w:pPr>
    </w:p>
    <w:p>
      <w:pPr>
        <w:pStyle w:val="ListParagraph"/>
        <w:numPr>
          <w:ilvl w:val="0"/>
          <w:numId w:val="256"/>
        </w:numPr>
        <w:tabs>
          <w:tab w:pos="995" w:val="left" w:leader="none"/>
        </w:tabs>
        <w:spacing w:line="480" w:lineRule="auto" w:before="269" w:after="0"/>
        <w:ind w:left="160" w:right="157" w:firstLine="0"/>
        <w:jc w:val="both"/>
        <w:rPr>
          <w:rFonts w:ascii="Courier New"/>
          <w:sz w:val="28"/>
        </w:rPr>
      </w:pPr>
      <w:r>
        <w:rPr>
          <w:rFonts w:ascii="Courier New"/>
          <w:sz w:val="28"/>
        </w:rPr>
        <w:t>There is further evidence which have been</w:t>
      </w:r>
      <w:r>
        <w:rPr>
          <w:rFonts w:ascii="Courier New"/>
          <w:spacing w:val="-62"/>
          <w:sz w:val="28"/>
        </w:rPr>
        <w:t> </w:t>
      </w:r>
      <w:r>
        <w:rPr>
          <w:rFonts w:ascii="Courier New"/>
          <w:sz w:val="28"/>
        </w:rPr>
        <w:t>brought on record to prove that in the year 1934 there was Hindu Muslim riot in Ayodhya in which riot the Dome</w:t>
      </w:r>
      <w:r>
        <w:rPr>
          <w:rFonts w:ascii="Courier New"/>
          <w:spacing w:val="-66"/>
          <w:sz w:val="28"/>
        </w:rPr>
        <w:t> </w:t>
      </w:r>
      <w:r>
        <w:rPr>
          <w:rFonts w:ascii="Courier New"/>
          <w:sz w:val="28"/>
        </w:rPr>
        <w:t>of Babri Mosque was damaged by Hindus which was got constructed</w:t>
      </w:r>
      <w:r>
        <w:rPr>
          <w:rFonts w:ascii="Courier New"/>
          <w:spacing w:val="87"/>
          <w:sz w:val="28"/>
        </w:rPr>
        <w:t> </w:t>
      </w:r>
      <w:r>
        <w:rPr>
          <w:rFonts w:ascii="Courier New"/>
          <w:sz w:val="28"/>
        </w:rPr>
        <w:t>by</w:t>
      </w:r>
      <w:r>
        <w:rPr>
          <w:rFonts w:ascii="Courier New"/>
          <w:spacing w:val="87"/>
          <w:sz w:val="28"/>
        </w:rPr>
        <w:t> </w:t>
      </w:r>
      <w:r>
        <w:rPr>
          <w:rFonts w:ascii="Courier New"/>
          <w:sz w:val="28"/>
        </w:rPr>
        <w:t>Administration</w:t>
      </w:r>
      <w:r>
        <w:rPr>
          <w:rFonts w:ascii="Courier New"/>
          <w:spacing w:val="88"/>
          <w:sz w:val="28"/>
        </w:rPr>
        <w:t> </w:t>
      </w:r>
      <w:r>
        <w:rPr>
          <w:rFonts w:ascii="Courier New"/>
          <w:sz w:val="28"/>
        </w:rPr>
        <w:t>through</w:t>
      </w:r>
      <w:r>
        <w:rPr>
          <w:rFonts w:ascii="Courier New"/>
          <w:spacing w:val="89"/>
          <w:sz w:val="28"/>
        </w:rPr>
        <w:t> </w:t>
      </w:r>
      <w:r>
        <w:rPr>
          <w:rFonts w:ascii="Courier New"/>
          <w:sz w:val="28"/>
        </w:rPr>
        <w:t>a</w:t>
      </w:r>
      <w:r>
        <w:rPr>
          <w:rFonts w:ascii="Courier New"/>
          <w:spacing w:val="87"/>
          <w:sz w:val="28"/>
        </w:rPr>
        <w:t> </w:t>
      </w:r>
      <w:r>
        <w:rPr>
          <w:rFonts w:ascii="Courier New"/>
          <w:sz w:val="28"/>
        </w:rPr>
        <w:t>Muslim</w:t>
      </w:r>
    </w:p>
    <w:p>
      <w:pPr>
        <w:spacing w:after="0" w:line="480" w:lineRule="auto"/>
        <w:jc w:val="both"/>
        <w:rPr>
          <w:rFonts w:ascii="Courier New"/>
          <w:sz w:val="28"/>
        </w:rPr>
        <w:sectPr>
          <w:headerReference w:type="default" r:id="rId406"/>
          <w:footerReference w:type="default" r:id="rId407"/>
          <w:pgSz w:w="11910" w:h="16840"/>
          <w:pgMar w:header="0" w:footer="1063" w:top="1340" w:bottom="1260" w:left="1280" w:right="1280"/>
          <w:pgNumType w:start="98"/>
        </w:sectPr>
      </w:pPr>
    </w:p>
    <w:p>
      <w:pPr>
        <w:spacing w:line="480" w:lineRule="auto" w:before="86"/>
        <w:ind w:left="160" w:right="157" w:firstLine="0"/>
        <w:jc w:val="both"/>
        <w:rPr>
          <w:rFonts w:ascii="Courier New"/>
          <w:sz w:val="28"/>
        </w:rPr>
      </w:pPr>
      <w:r>
        <w:rPr>
          <w:rFonts w:ascii="Courier New"/>
          <w:sz w:val="28"/>
        </w:rPr>
        <w:t>contractor. Documents pertaining to repair of the Mosque by a Muslim contractor, application for</w:t>
      </w:r>
      <w:r>
        <w:rPr>
          <w:rFonts w:ascii="Courier New"/>
          <w:spacing w:val="-69"/>
          <w:sz w:val="28"/>
        </w:rPr>
        <w:t> </w:t>
      </w:r>
      <w:r>
        <w:rPr>
          <w:rFonts w:ascii="Courier New"/>
          <w:sz w:val="28"/>
        </w:rPr>
        <w:t>payment of his bills have been brought on the record by plaintiff of Suit No. 4 which are testimony of differences and dispute between the parties which</w:t>
      </w:r>
      <w:r>
        <w:rPr>
          <w:rFonts w:ascii="Courier New"/>
          <w:spacing w:val="-69"/>
          <w:sz w:val="28"/>
        </w:rPr>
        <w:t> </w:t>
      </w:r>
      <w:r>
        <w:rPr>
          <w:rFonts w:ascii="Courier New"/>
          <w:sz w:val="28"/>
        </w:rPr>
        <w:t>took place in 1934 damaging the Mosque which could be repaired</w:t>
      </w:r>
      <w:r>
        <w:rPr>
          <w:rFonts w:ascii="Courier New"/>
          <w:spacing w:val="-41"/>
          <w:sz w:val="28"/>
        </w:rPr>
        <w:t> </w:t>
      </w:r>
      <w:r>
        <w:rPr>
          <w:rFonts w:ascii="Courier New"/>
          <w:sz w:val="28"/>
        </w:rPr>
        <w:t>after</w:t>
      </w:r>
      <w:r>
        <w:rPr>
          <w:rFonts w:ascii="Courier New"/>
          <w:spacing w:val="-38"/>
          <w:sz w:val="28"/>
        </w:rPr>
        <w:t> </w:t>
      </w:r>
      <w:r>
        <w:rPr>
          <w:rFonts w:ascii="Courier New"/>
          <w:sz w:val="28"/>
        </w:rPr>
        <w:t>several</w:t>
      </w:r>
      <w:r>
        <w:rPr>
          <w:rFonts w:ascii="Courier New"/>
          <w:spacing w:val="-40"/>
          <w:sz w:val="28"/>
        </w:rPr>
        <w:t> </w:t>
      </w:r>
      <w:r>
        <w:rPr>
          <w:rFonts w:ascii="Courier New"/>
          <w:sz w:val="28"/>
        </w:rPr>
        <w:t>months.</w:t>
      </w:r>
      <w:r>
        <w:rPr>
          <w:rFonts w:ascii="Courier New"/>
          <w:spacing w:val="-40"/>
          <w:sz w:val="28"/>
        </w:rPr>
        <w:t> </w:t>
      </w:r>
      <w:r>
        <w:rPr>
          <w:rFonts w:ascii="Courier New"/>
          <w:sz w:val="28"/>
        </w:rPr>
        <w:t>The</w:t>
      </w:r>
      <w:r>
        <w:rPr>
          <w:rFonts w:ascii="Courier New"/>
          <w:spacing w:val="-40"/>
          <w:sz w:val="28"/>
        </w:rPr>
        <w:t> </w:t>
      </w:r>
      <w:r>
        <w:rPr>
          <w:rFonts w:ascii="Courier New"/>
          <w:sz w:val="28"/>
        </w:rPr>
        <w:t>documentary</w:t>
      </w:r>
      <w:r>
        <w:rPr>
          <w:rFonts w:ascii="Courier New"/>
          <w:spacing w:val="-40"/>
          <w:sz w:val="28"/>
        </w:rPr>
        <w:t> </w:t>
      </w:r>
      <w:r>
        <w:rPr>
          <w:rFonts w:ascii="Courier New"/>
          <w:sz w:val="28"/>
        </w:rPr>
        <w:t>evidence referred above amply proves that within the premises of Mosque which premises is bounded by boundary wall the Hindus were visiting and worshipping in the</w:t>
      </w:r>
      <w:r>
        <w:rPr>
          <w:rFonts w:ascii="Courier New"/>
          <w:spacing w:val="-66"/>
          <w:sz w:val="28"/>
        </w:rPr>
        <w:t> </w:t>
      </w:r>
      <w:r>
        <w:rPr>
          <w:rFonts w:ascii="Courier New"/>
          <w:sz w:val="28"/>
        </w:rPr>
        <w:t>period in question. The application submitted by Khateeb and muezzin of Babri Mosque as noted above clearly admits the worship and Puja by the Hindus, construction of Chabutra</w:t>
      </w:r>
      <w:r>
        <w:rPr>
          <w:rFonts w:ascii="Courier New"/>
          <w:spacing w:val="-27"/>
          <w:sz w:val="28"/>
        </w:rPr>
        <w:t> </w:t>
      </w:r>
      <w:r>
        <w:rPr>
          <w:rFonts w:ascii="Courier New"/>
          <w:sz w:val="28"/>
        </w:rPr>
        <w:t>by</w:t>
      </w:r>
      <w:r>
        <w:rPr>
          <w:rFonts w:ascii="Courier New"/>
          <w:spacing w:val="-26"/>
          <w:sz w:val="28"/>
        </w:rPr>
        <w:t> </w:t>
      </w:r>
      <w:r>
        <w:rPr>
          <w:rFonts w:ascii="Courier New"/>
          <w:sz w:val="28"/>
        </w:rPr>
        <w:t>the</w:t>
      </w:r>
      <w:r>
        <w:rPr>
          <w:rFonts w:ascii="Courier New"/>
          <w:spacing w:val="-26"/>
          <w:sz w:val="28"/>
        </w:rPr>
        <w:t> </w:t>
      </w:r>
      <w:r>
        <w:rPr>
          <w:rFonts w:ascii="Courier New"/>
          <w:sz w:val="28"/>
        </w:rPr>
        <w:t>Hindus,</w:t>
      </w:r>
      <w:r>
        <w:rPr>
          <w:rFonts w:ascii="Courier New"/>
          <w:spacing w:val="-26"/>
          <w:sz w:val="28"/>
        </w:rPr>
        <w:t> </w:t>
      </w:r>
      <w:r>
        <w:rPr>
          <w:rFonts w:ascii="Courier New"/>
          <w:sz w:val="28"/>
        </w:rPr>
        <w:t>putting</w:t>
      </w:r>
      <w:r>
        <w:rPr>
          <w:rFonts w:ascii="Courier New"/>
          <w:spacing w:val="-26"/>
          <w:sz w:val="28"/>
        </w:rPr>
        <w:t> </w:t>
      </w:r>
      <w:r>
        <w:rPr>
          <w:rFonts w:ascii="Courier New"/>
          <w:sz w:val="28"/>
        </w:rPr>
        <w:t>the</w:t>
      </w:r>
      <w:r>
        <w:rPr>
          <w:rFonts w:ascii="Courier New"/>
          <w:spacing w:val="-26"/>
          <w:sz w:val="28"/>
        </w:rPr>
        <w:t> </w:t>
      </w:r>
      <w:r>
        <w:rPr>
          <w:rFonts w:ascii="Courier New"/>
          <w:sz w:val="28"/>
        </w:rPr>
        <w:t>Idols</w:t>
      </w:r>
      <w:r>
        <w:rPr>
          <w:rFonts w:ascii="Courier New"/>
          <w:spacing w:val="-26"/>
          <w:sz w:val="28"/>
        </w:rPr>
        <w:t> </w:t>
      </w:r>
      <w:r>
        <w:rPr>
          <w:rFonts w:ascii="Courier New"/>
          <w:sz w:val="28"/>
        </w:rPr>
        <w:t>by</w:t>
      </w:r>
      <w:r>
        <w:rPr>
          <w:rFonts w:ascii="Courier New"/>
          <w:spacing w:val="-26"/>
          <w:sz w:val="28"/>
        </w:rPr>
        <w:t> </w:t>
      </w:r>
      <w:r>
        <w:rPr>
          <w:rFonts w:ascii="Courier New"/>
          <w:sz w:val="28"/>
        </w:rPr>
        <w:t>the</w:t>
      </w:r>
      <w:r>
        <w:rPr>
          <w:rFonts w:ascii="Courier New"/>
          <w:spacing w:val="-26"/>
          <w:sz w:val="28"/>
        </w:rPr>
        <w:t> </w:t>
      </w:r>
      <w:r>
        <w:rPr>
          <w:rFonts w:ascii="Courier New"/>
          <w:sz w:val="28"/>
        </w:rPr>
        <w:t>Hindus in the Mosque premises. The reference of Babri Mosque as janamsthan Masjid in several application also indicates that Mosque was situated at the janamsthan of Lord Ram. The above documentary evidence are testimonial of faith and belief of the Hindus that</w:t>
      </w:r>
      <w:r>
        <w:rPr>
          <w:rFonts w:ascii="Courier New"/>
          <w:spacing w:val="-70"/>
          <w:sz w:val="28"/>
        </w:rPr>
        <w:t> </w:t>
      </w:r>
      <w:r>
        <w:rPr>
          <w:rFonts w:ascii="Courier New"/>
          <w:sz w:val="28"/>
        </w:rPr>
        <w:t>the Mosque was on the janamsthan of Lord Ram. Their protest, persistence and actions to worship within</w:t>
      </w:r>
      <w:r>
        <w:rPr>
          <w:rFonts w:ascii="Courier New"/>
          <w:spacing w:val="-69"/>
          <w:sz w:val="28"/>
        </w:rPr>
        <w:t> </w:t>
      </w:r>
      <w:r>
        <w:rPr>
          <w:rFonts w:ascii="Courier New"/>
          <w:sz w:val="28"/>
        </w:rPr>
        <w:t>the</w:t>
      </w:r>
    </w:p>
    <w:p>
      <w:pPr>
        <w:spacing w:after="0" w:line="480" w:lineRule="auto"/>
        <w:jc w:val="both"/>
        <w:rPr>
          <w:rFonts w:ascii="Courier New"/>
          <w:sz w:val="28"/>
        </w:rPr>
        <w:sectPr>
          <w:headerReference w:type="default" r:id="rId408"/>
          <w:footerReference w:type="default" r:id="rId409"/>
          <w:pgSz w:w="11910" w:h="16840"/>
          <w:pgMar w:header="0" w:footer="1063" w:top="1340" w:bottom="1260" w:left="1280" w:right="1280"/>
          <w:pgNumType w:start="99"/>
        </w:sectPr>
      </w:pPr>
    </w:p>
    <w:p>
      <w:pPr>
        <w:spacing w:line="480" w:lineRule="auto" w:before="86"/>
        <w:ind w:left="160" w:right="0" w:firstLine="0"/>
        <w:jc w:val="left"/>
        <w:rPr>
          <w:rFonts w:ascii="Courier New"/>
          <w:sz w:val="28"/>
        </w:rPr>
      </w:pPr>
      <w:r>
        <w:rPr>
          <w:rFonts w:ascii="Courier New"/>
          <w:sz w:val="28"/>
        </w:rPr>
        <w:t>Mosque</w:t>
      </w:r>
      <w:r>
        <w:rPr>
          <w:rFonts w:ascii="Courier New"/>
          <w:spacing w:val="-31"/>
          <w:sz w:val="28"/>
        </w:rPr>
        <w:t> </w:t>
      </w:r>
      <w:r>
        <w:rPr>
          <w:rFonts w:ascii="Courier New"/>
          <w:sz w:val="28"/>
        </w:rPr>
        <w:t>is</w:t>
      </w:r>
      <w:r>
        <w:rPr>
          <w:rFonts w:ascii="Courier New"/>
          <w:spacing w:val="-30"/>
          <w:sz w:val="28"/>
        </w:rPr>
        <w:t> </w:t>
      </w:r>
      <w:r>
        <w:rPr>
          <w:rFonts w:ascii="Courier New"/>
          <w:sz w:val="28"/>
        </w:rPr>
        <w:t>testimony</w:t>
      </w:r>
      <w:r>
        <w:rPr>
          <w:rFonts w:ascii="Courier New"/>
          <w:spacing w:val="-30"/>
          <w:sz w:val="28"/>
        </w:rPr>
        <w:t> </w:t>
      </w:r>
      <w:r>
        <w:rPr>
          <w:rFonts w:ascii="Courier New"/>
          <w:sz w:val="28"/>
        </w:rPr>
        <w:t>of</w:t>
      </w:r>
      <w:r>
        <w:rPr>
          <w:rFonts w:ascii="Courier New"/>
          <w:spacing w:val="-30"/>
          <w:sz w:val="28"/>
        </w:rPr>
        <w:t> </w:t>
      </w:r>
      <w:r>
        <w:rPr>
          <w:rFonts w:ascii="Courier New"/>
          <w:sz w:val="28"/>
        </w:rPr>
        <w:t>their</w:t>
      </w:r>
      <w:r>
        <w:rPr>
          <w:rFonts w:ascii="Courier New"/>
          <w:spacing w:val="-30"/>
          <w:sz w:val="28"/>
        </w:rPr>
        <w:t> </w:t>
      </w:r>
      <w:r>
        <w:rPr>
          <w:rFonts w:ascii="Courier New"/>
          <w:sz w:val="28"/>
        </w:rPr>
        <w:t>continued</w:t>
      </w:r>
      <w:r>
        <w:rPr>
          <w:rFonts w:ascii="Courier New"/>
          <w:spacing w:val="-30"/>
          <w:sz w:val="28"/>
        </w:rPr>
        <w:t> </w:t>
      </w:r>
      <w:r>
        <w:rPr>
          <w:rFonts w:ascii="Courier New"/>
          <w:sz w:val="28"/>
        </w:rPr>
        <w:t>faith</w:t>
      </w:r>
      <w:r>
        <w:rPr>
          <w:rFonts w:ascii="Courier New"/>
          <w:spacing w:val="-31"/>
          <w:sz w:val="28"/>
        </w:rPr>
        <w:t> </w:t>
      </w:r>
      <w:r>
        <w:rPr>
          <w:rFonts w:ascii="Courier New"/>
          <w:sz w:val="28"/>
        </w:rPr>
        <w:t>and</w:t>
      </w:r>
      <w:r>
        <w:rPr>
          <w:rFonts w:ascii="Courier New"/>
          <w:spacing w:val="-30"/>
          <w:sz w:val="28"/>
        </w:rPr>
        <w:t> </w:t>
      </w:r>
      <w:r>
        <w:rPr>
          <w:rFonts w:ascii="Courier New"/>
          <w:sz w:val="28"/>
        </w:rPr>
        <w:t>belief that premises of the Mosque is Janmasthan of Lord</w:t>
      </w:r>
      <w:r>
        <w:rPr>
          <w:rFonts w:ascii="Courier New"/>
          <w:spacing w:val="-70"/>
          <w:sz w:val="28"/>
        </w:rPr>
        <w:t> </w:t>
      </w:r>
      <w:r>
        <w:rPr>
          <w:rFonts w:ascii="Courier New"/>
          <w:sz w:val="28"/>
        </w:rPr>
        <w:t>Ram.</w:t>
      </w:r>
    </w:p>
    <w:p>
      <w:pPr>
        <w:pStyle w:val="BodyText"/>
        <w:rPr>
          <w:rFonts w:ascii="Courier New"/>
          <w:sz w:val="32"/>
        </w:rPr>
      </w:pPr>
    </w:p>
    <w:p>
      <w:pPr>
        <w:spacing w:before="272"/>
        <w:ind w:left="160" w:right="0" w:firstLine="0"/>
        <w:jc w:val="left"/>
        <w:rPr>
          <w:rFonts w:ascii="Courier New"/>
          <w:b/>
          <w:sz w:val="28"/>
        </w:rPr>
      </w:pPr>
      <w:r>
        <w:rPr>
          <w:rFonts w:ascii="Courier New"/>
          <w:b/>
          <w:sz w:val="28"/>
          <w:u w:val="thick"/>
        </w:rPr>
        <w:t>ORAL EVIDENCES:-</w:t>
      </w:r>
    </w:p>
    <w:p>
      <w:pPr>
        <w:pStyle w:val="BodyText"/>
        <w:spacing w:before="10"/>
        <w:rPr>
          <w:rFonts w:ascii="Courier New"/>
          <w:b/>
          <w:sz w:val="27"/>
        </w:rPr>
      </w:pPr>
    </w:p>
    <w:p>
      <w:pPr>
        <w:pStyle w:val="ListParagraph"/>
        <w:numPr>
          <w:ilvl w:val="0"/>
          <w:numId w:val="256"/>
        </w:numPr>
        <w:tabs>
          <w:tab w:pos="1058" w:val="left" w:leader="none"/>
        </w:tabs>
        <w:spacing w:line="482" w:lineRule="auto" w:before="0" w:after="0"/>
        <w:ind w:left="160" w:right="158" w:firstLine="0"/>
        <w:jc w:val="both"/>
        <w:rPr>
          <w:rFonts w:ascii="Courier New"/>
          <w:sz w:val="28"/>
        </w:rPr>
      </w:pPr>
      <w:r>
        <w:rPr>
          <w:rFonts w:ascii="Courier New"/>
          <w:sz w:val="28"/>
        </w:rPr>
        <w:t>The parties led substantial amount of the oral evidence</w:t>
      </w:r>
      <w:r>
        <w:rPr>
          <w:rFonts w:ascii="Courier New"/>
          <w:spacing w:val="-27"/>
          <w:sz w:val="28"/>
        </w:rPr>
        <w:t> </w:t>
      </w:r>
      <w:r>
        <w:rPr>
          <w:rFonts w:ascii="Courier New"/>
          <w:sz w:val="28"/>
        </w:rPr>
        <w:t>in</w:t>
      </w:r>
      <w:r>
        <w:rPr>
          <w:rFonts w:ascii="Courier New"/>
          <w:spacing w:val="-26"/>
          <w:sz w:val="28"/>
        </w:rPr>
        <w:t> </w:t>
      </w:r>
      <w:r>
        <w:rPr>
          <w:rFonts w:ascii="Courier New"/>
          <w:sz w:val="28"/>
        </w:rPr>
        <w:t>the</w:t>
      </w:r>
      <w:r>
        <w:rPr>
          <w:rFonts w:ascii="Courier New"/>
          <w:spacing w:val="-26"/>
          <w:sz w:val="28"/>
        </w:rPr>
        <w:t> </w:t>
      </w:r>
      <w:r>
        <w:rPr>
          <w:rFonts w:ascii="Courier New"/>
          <w:sz w:val="28"/>
        </w:rPr>
        <w:t>suits.</w:t>
      </w:r>
      <w:r>
        <w:rPr>
          <w:rFonts w:ascii="Courier New"/>
          <w:spacing w:val="-26"/>
          <w:sz w:val="28"/>
        </w:rPr>
        <w:t> </w:t>
      </w:r>
      <w:r>
        <w:rPr>
          <w:rFonts w:ascii="Courier New"/>
          <w:sz w:val="28"/>
        </w:rPr>
        <w:t>Plaintiff</w:t>
      </w:r>
      <w:r>
        <w:rPr>
          <w:rFonts w:ascii="Courier New"/>
          <w:spacing w:val="-26"/>
          <w:sz w:val="28"/>
        </w:rPr>
        <w:t> </w:t>
      </w:r>
      <w:r>
        <w:rPr>
          <w:rFonts w:ascii="Courier New"/>
          <w:sz w:val="28"/>
        </w:rPr>
        <w:t>of</w:t>
      </w:r>
      <w:r>
        <w:rPr>
          <w:rFonts w:ascii="Courier New"/>
          <w:spacing w:val="-26"/>
          <w:sz w:val="28"/>
        </w:rPr>
        <w:t> </w:t>
      </w:r>
      <w:r>
        <w:rPr>
          <w:rFonts w:ascii="Courier New"/>
          <w:sz w:val="28"/>
        </w:rPr>
        <w:t>Suit</w:t>
      </w:r>
      <w:r>
        <w:rPr>
          <w:rFonts w:ascii="Courier New"/>
          <w:spacing w:val="-26"/>
          <w:sz w:val="28"/>
        </w:rPr>
        <w:t> </w:t>
      </w:r>
      <w:r>
        <w:rPr>
          <w:rFonts w:ascii="Courier New"/>
          <w:sz w:val="28"/>
        </w:rPr>
        <w:t>No.</w:t>
      </w:r>
      <w:r>
        <w:rPr>
          <w:rFonts w:ascii="Courier New"/>
          <w:spacing w:val="-26"/>
          <w:sz w:val="28"/>
        </w:rPr>
        <w:t> </w:t>
      </w:r>
      <w:r>
        <w:rPr>
          <w:rFonts w:ascii="Courier New"/>
          <w:sz w:val="28"/>
        </w:rPr>
        <w:t>4</w:t>
      </w:r>
      <w:r>
        <w:rPr>
          <w:rFonts w:ascii="Courier New"/>
          <w:spacing w:val="-26"/>
          <w:sz w:val="28"/>
        </w:rPr>
        <w:t> </w:t>
      </w:r>
      <w:r>
        <w:rPr>
          <w:rFonts w:ascii="Courier New"/>
          <w:sz w:val="28"/>
        </w:rPr>
        <w:t>produced</w:t>
      </w:r>
    </w:p>
    <w:p>
      <w:pPr>
        <w:spacing w:line="480" w:lineRule="auto" w:before="0"/>
        <w:ind w:left="160" w:right="160" w:firstLine="0"/>
        <w:jc w:val="both"/>
        <w:rPr>
          <w:rFonts w:ascii="Courier New"/>
          <w:sz w:val="28"/>
        </w:rPr>
      </w:pPr>
      <w:r>
        <w:rPr>
          <w:rFonts w:ascii="Courier New"/>
          <w:sz w:val="28"/>
        </w:rPr>
        <w:t>32 witnesses which are descibed as PWs. Plaintiff of Suit No.5 produced 19 witnesses which are descibed as OPWs.</w:t>
      </w:r>
      <w:r>
        <w:rPr>
          <w:rFonts w:ascii="Courier New"/>
          <w:spacing w:val="-31"/>
          <w:sz w:val="28"/>
        </w:rPr>
        <w:t> </w:t>
      </w:r>
      <w:r>
        <w:rPr>
          <w:rFonts w:ascii="Courier New"/>
          <w:sz w:val="28"/>
        </w:rPr>
        <w:t>Plaintiff</w:t>
      </w:r>
      <w:r>
        <w:rPr>
          <w:rFonts w:ascii="Courier New"/>
          <w:spacing w:val="-30"/>
          <w:sz w:val="28"/>
        </w:rPr>
        <w:t> </w:t>
      </w:r>
      <w:r>
        <w:rPr>
          <w:rFonts w:ascii="Courier New"/>
          <w:sz w:val="28"/>
        </w:rPr>
        <w:t>of</w:t>
      </w:r>
      <w:r>
        <w:rPr>
          <w:rFonts w:ascii="Courier New"/>
          <w:spacing w:val="-30"/>
          <w:sz w:val="28"/>
        </w:rPr>
        <w:t> </w:t>
      </w:r>
      <w:r>
        <w:rPr>
          <w:rFonts w:ascii="Courier New"/>
          <w:sz w:val="28"/>
        </w:rPr>
        <w:t>Suit</w:t>
      </w:r>
      <w:r>
        <w:rPr>
          <w:rFonts w:ascii="Courier New"/>
          <w:spacing w:val="-30"/>
          <w:sz w:val="28"/>
        </w:rPr>
        <w:t> </w:t>
      </w:r>
      <w:r>
        <w:rPr>
          <w:rFonts w:ascii="Courier New"/>
          <w:sz w:val="28"/>
        </w:rPr>
        <w:t>No.3</w:t>
      </w:r>
      <w:r>
        <w:rPr>
          <w:rFonts w:ascii="Courier New"/>
          <w:spacing w:val="-30"/>
          <w:sz w:val="28"/>
        </w:rPr>
        <w:t> </w:t>
      </w:r>
      <w:r>
        <w:rPr>
          <w:rFonts w:ascii="Courier New"/>
          <w:sz w:val="28"/>
        </w:rPr>
        <w:t>also</w:t>
      </w:r>
      <w:r>
        <w:rPr>
          <w:rFonts w:ascii="Courier New"/>
          <w:spacing w:val="-30"/>
          <w:sz w:val="28"/>
        </w:rPr>
        <w:t> </w:t>
      </w:r>
      <w:r>
        <w:rPr>
          <w:rFonts w:ascii="Courier New"/>
          <w:sz w:val="28"/>
        </w:rPr>
        <w:t>produced</w:t>
      </w:r>
      <w:r>
        <w:rPr>
          <w:rFonts w:ascii="Courier New"/>
          <w:spacing w:val="-31"/>
          <w:sz w:val="28"/>
        </w:rPr>
        <w:t> </w:t>
      </w:r>
      <w:r>
        <w:rPr>
          <w:rFonts w:ascii="Courier New"/>
          <w:sz w:val="28"/>
        </w:rPr>
        <w:t>20</w:t>
      </w:r>
      <w:r>
        <w:rPr>
          <w:rFonts w:ascii="Courier New"/>
          <w:spacing w:val="-30"/>
          <w:sz w:val="28"/>
        </w:rPr>
        <w:t> </w:t>
      </w:r>
      <w:r>
        <w:rPr>
          <w:rFonts w:ascii="Courier New"/>
          <w:sz w:val="28"/>
        </w:rPr>
        <w:t>witnesses who are descibed as DWs. In Suit No.4, defendant No. 2/1</w:t>
      </w:r>
      <w:r>
        <w:rPr>
          <w:rFonts w:ascii="Courier New"/>
          <w:spacing w:val="-31"/>
          <w:sz w:val="28"/>
        </w:rPr>
        <w:t> </w:t>
      </w:r>
      <w:r>
        <w:rPr>
          <w:rFonts w:ascii="Courier New"/>
          <w:sz w:val="28"/>
        </w:rPr>
        <w:t>produced</w:t>
      </w:r>
      <w:r>
        <w:rPr>
          <w:rFonts w:ascii="Courier New"/>
          <w:spacing w:val="-30"/>
          <w:sz w:val="28"/>
        </w:rPr>
        <w:t> </w:t>
      </w:r>
      <w:r>
        <w:rPr>
          <w:rFonts w:ascii="Courier New"/>
          <w:sz w:val="28"/>
        </w:rPr>
        <w:t>3</w:t>
      </w:r>
      <w:r>
        <w:rPr>
          <w:rFonts w:ascii="Courier New"/>
          <w:spacing w:val="-30"/>
          <w:sz w:val="28"/>
        </w:rPr>
        <w:t> </w:t>
      </w:r>
      <w:r>
        <w:rPr>
          <w:rFonts w:ascii="Courier New"/>
          <w:sz w:val="28"/>
        </w:rPr>
        <w:t>witnesses.</w:t>
      </w:r>
      <w:r>
        <w:rPr>
          <w:rFonts w:ascii="Courier New"/>
          <w:spacing w:val="-30"/>
          <w:sz w:val="28"/>
        </w:rPr>
        <w:t> </w:t>
      </w:r>
      <w:r>
        <w:rPr>
          <w:rFonts w:ascii="Courier New"/>
          <w:sz w:val="28"/>
        </w:rPr>
        <w:t>Other</w:t>
      </w:r>
      <w:r>
        <w:rPr>
          <w:rFonts w:ascii="Courier New"/>
          <w:spacing w:val="-30"/>
          <w:sz w:val="28"/>
        </w:rPr>
        <w:t> </w:t>
      </w:r>
      <w:r>
        <w:rPr>
          <w:rFonts w:ascii="Courier New"/>
          <w:sz w:val="28"/>
        </w:rPr>
        <w:t>defendants</w:t>
      </w:r>
      <w:r>
        <w:rPr>
          <w:rFonts w:ascii="Courier New"/>
          <w:spacing w:val="-30"/>
          <w:sz w:val="28"/>
        </w:rPr>
        <w:t> </w:t>
      </w:r>
      <w:r>
        <w:rPr>
          <w:rFonts w:ascii="Courier New"/>
          <w:sz w:val="28"/>
        </w:rPr>
        <w:t>in</w:t>
      </w:r>
      <w:r>
        <w:rPr>
          <w:rFonts w:ascii="Courier New"/>
          <w:spacing w:val="-31"/>
          <w:sz w:val="28"/>
        </w:rPr>
        <w:t> </w:t>
      </w:r>
      <w:r>
        <w:rPr>
          <w:rFonts w:ascii="Courier New"/>
          <w:sz w:val="28"/>
        </w:rPr>
        <w:t>Suit</w:t>
      </w:r>
      <w:r>
        <w:rPr>
          <w:rFonts w:ascii="Courier New"/>
          <w:spacing w:val="-30"/>
          <w:sz w:val="28"/>
        </w:rPr>
        <w:t> </w:t>
      </w:r>
      <w:r>
        <w:rPr>
          <w:rFonts w:ascii="Courier New"/>
          <w:sz w:val="28"/>
        </w:rPr>
        <w:t>No.4 have also produced certain</w:t>
      </w:r>
      <w:r>
        <w:rPr>
          <w:rFonts w:ascii="Courier New"/>
          <w:spacing w:val="-7"/>
          <w:sz w:val="28"/>
        </w:rPr>
        <w:t> </w:t>
      </w:r>
      <w:r>
        <w:rPr>
          <w:rFonts w:ascii="Courier New"/>
          <w:sz w:val="28"/>
        </w:rPr>
        <w:t>witnesses.</w:t>
      </w:r>
    </w:p>
    <w:p>
      <w:pPr>
        <w:pStyle w:val="BodyText"/>
        <w:rPr>
          <w:rFonts w:ascii="Courier New"/>
          <w:sz w:val="32"/>
        </w:rPr>
      </w:pPr>
    </w:p>
    <w:p>
      <w:pPr>
        <w:pStyle w:val="ListParagraph"/>
        <w:numPr>
          <w:ilvl w:val="0"/>
          <w:numId w:val="256"/>
        </w:numPr>
        <w:tabs>
          <w:tab w:pos="1051" w:val="left" w:leader="none"/>
        </w:tabs>
        <w:spacing w:line="480" w:lineRule="auto" w:before="265" w:after="0"/>
        <w:ind w:left="160" w:right="160" w:firstLine="0"/>
        <w:jc w:val="both"/>
        <w:rPr>
          <w:rFonts w:ascii="Courier New"/>
          <w:sz w:val="28"/>
        </w:rPr>
      </w:pPr>
      <w:r>
        <w:rPr>
          <w:rFonts w:ascii="Courier New"/>
          <w:sz w:val="28"/>
        </w:rPr>
        <w:t>The oral evidences of the witnesses need to be examined with regard to the aspect of faith and</w:t>
      </w:r>
      <w:r>
        <w:rPr>
          <w:rFonts w:ascii="Courier New"/>
          <w:spacing w:val="-70"/>
          <w:sz w:val="28"/>
        </w:rPr>
        <w:t> </w:t>
      </w:r>
      <w:r>
        <w:rPr>
          <w:rFonts w:ascii="Courier New"/>
          <w:sz w:val="28"/>
        </w:rPr>
        <w:t>belief of Hindus about the Janmasthan of Ram Janma Bhumi as well as evidene of worship and Puja there</w:t>
      </w:r>
      <w:r>
        <w:rPr>
          <w:rFonts w:ascii="Courier New"/>
          <w:spacing w:val="-14"/>
          <w:sz w:val="28"/>
        </w:rPr>
        <w:t> </w:t>
      </w:r>
      <w:r>
        <w:rPr>
          <w:rFonts w:ascii="Courier New"/>
          <w:sz w:val="28"/>
        </w:rPr>
        <w:t>at.</w:t>
      </w:r>
    </w:p>
    <w:p>
      <w:pPr>
        <w:spacing w:line="316" w:lineRule="exact" w:before="0"/>
        <w:ind w:left="160" w:right="0" w:firstLine="0"/>
        <w:jc w:val="both"/>
        <w:rPr>
          <w:rFonts w:ascii="Courier New"/>
          <w:sz w:val="28"/>
        </w:rPr>
      </w:pPr>
      <w:r>
        <w:rPr>
          <w:rFonts w:ascii="Courier New"/>
          <w:sz w:val="28"/>
        </w:rPr>
        <w:t>327. Mahant Paramhans Ramchandra Das OPW-1, aged</w:t>
      </w:r>
      <w:r>
        <w:rPr>
          <w:rFonts w:ascii="Courier New"/>
          <w:spacing w:val="-67"/>
          <w:sz w:val="28"/>
        </w:rPr>
        <w:t> </w:t>
      </w:r>
      <w:r>
        <w:rPr>
          <w:rFonts w:ascii="Courier New"/>
          <w:sz w:val="28"/>
        </w:rPr>
        <w:t>about</w:t>
      </w:r>
    </w:p>
    <w:p>
      <w:pPr>
        <w:pStyle w:val="BodyText"/>
        <w:spacing w:before="2"/>
        <w:rPr>
          <w:rFonts w:ascii="Courier New"/>
          <w:sz w:val="28"/>
        </w:rPr>
      </w:pPr>
    </w:p>
    <w:p>
      <w:pPr>
        <w:spacing w:line="480" w:lineRule="auto" w:before="0"/>
        <w:ind w:left="160" w:right="156" w:firstLine="0"/>
        <w:jc w:val="both"/>
        <w:rPr>
          <w:rFonts w:ascii="Courier New"/>
          <w:sz w:val="28"/>
        </w:rPr>
      </w:pPr>
      <w:r>
        <w:rPr>
          <w:rFonts w:ascii="Courier New"/>
          <w:sz w:val="28"/>
        </w:rPr>
        <w:t>90 years (as on 23.12.1999), was examined by</w:t>
      </w:r>
      <w:r>
        <w:rPr>
          <w:rFonts w:ascii="Courier New"/>
          <w:spacing w:val="-69"/>
          <w:sz w:val="28"/>
        </w:rPr>
        <w:t> </w:t>
      </w:r>
      <w:r>
        <w:rPr>
          <w:rFonts w:ascii="Courier New"/>
          <w:sz w:val="28"/>
        </w:rPr>
        <w:t>plaintiff of suit No.5. Mahant Ram chander Das is resident of Panch Ramanandi Akhil Bharti Anni and Digambar</w:t>
      </w:r>
      <w:r>
        <w:rPr>
          <w:rFonts w:ascii="Courier New"/>
          <w:spacing w:val="-69"/>
          <w:sz w:val="28"/>
        </w:rPr>
        <w:t> </w:t>
      </w:r>
      <w:r>
        <w:rPr>
          <w:rFonts w:ascii="Courier New"/>
          <w:sz w:val="28"/>
        </w:rPr>
        <w:t>Akhara, Ayodhya. He came to Ayodhya at the age of 14-15</w:t>
      </w:r>
      <w:r>
        <w:rPr>
          <w:rFonts w:ascii="Courier New"/>
          <w:spacing w:val="-64"/>
          <w:sz w:val="28"/>
        </w:rPr>
        <w:t> </w:t>
      </w:r>
      <w:r>
        <w:rPr>
          <w:rFonts w:ascii="Courier New"/>
          <w:sz w:val="28"/>
        </w:rPr>
        <w:t>years.</w:t>
      </w:r>
    </w:p>
    <w:p>
      <w:pPr>
        <w:spacing w:after="0" w:line="480" w:lineRule="auto"/>
        <w:jc w:val="both"/>
        <w:rPr>
          <w:rFonts w:ascii="Courier New"/>
          <w:sz w:val="28"/>
        </w:rPr>
        <w:sectPr>
          <w:headerReference w:type="default" r:id="rId410"/>
          <w:footerReference w:type="default" r:id="rId411"/>
          <w:pgSz w:w="11910" w:h="16840"/>
          <w:pgMar w:header="0" w:footer="1063" w:top="1340" w:bottom="1260" w:left="1280" w:right="1280"/>
          <w:pgNumType w:start="100"/>
        </w:sectPr>
      </w:pPr>
    </w:p>
    <w:p>
      <w:pPr>
        <w:spacing w:line="480" w:lineRule="auto" w:before="86"/>
        <w:ind w:left="160" w:right="161" w:firstLine="0"/>
        <w:jc w:val="both"/>
        <w:rPr>
          <w:rFonts w:ascii="Courier New"/>
          <w:sz w:val="28"/>
        </w:rPr>
      </w:pPr>
      <w:r>
        <w:rPr>
          <w:rFonts w:ascii="Courier New"/>
          <w:sz w:val="28"/>
        </w:rPr>
        <w:t>In his examination in chief, Mahant Paramhans Ram Chander Das states:-</w:t>
      </w:r>
    </w:p>
    <w:p>
      <w:pPr>
        <w:spacing w:line="240" w:lineRule="auto" w:before="1"/>
        <w:ind w:left="1011" w:right="1244" w:firstLine="0"/>
        <w:jc w:val="both"/>
        <w:rPr>
          <w:rFonts w:ascii="Courier New" w:hAnsi="Courier New"/>
          <w:i/>
          <w:sz w:val="28"/>
        </w:rPr>
      </w:pPr>
      <w:r>
        <w:rPr>
          <w:rFonts w:ascii="Courier New" w:hAnsi="Courier New"/>
          <w:i/>
          <w:sz w:val="28"/>
        </w:rPr>
        <w:t>“...Since</w:t>
      </w:r>
      <w:r>
        <w:rPr>
          <w:rFonts w:ascii="Courier New" w:hAnsi="Courier New"/>
          <w:i/>
          <w:spacing w:val="-41"/>
          <w:sz w:val="28"/>
        </w:rPr>
        <w:t> </w:t>
      </w:r>
      <w:r>
        <w:rPr>
          <w:rFonts w:ascii="Courier New" w:hAnsi="Courier New"/>
          <w:i/>
          <w:sz w:val="28"/>
        </w:rPr>
        <w:t>the</w:t>
      </w:r>
      <w:r>
        <w:rPr>
          <w:rFonts w:ascii="Courier New" w:hAnsi="Courier New"/>
          <w:i/>
          <w:spacing w:val="-41"/>
          <w:sz w:val="28"/>
        </w:rPr>
        <w:t> </w:t>
      </w:r>
      <w:r>
        <w:rPr>
          <w:rFonts w:ascii="Courier New" w:hAnsi="Courier New"/>
          <w:i/>
          <w:sz w:val="28"/>
        </w:rPr>
        <w:t>time</w:t>
      </w:r>
      <w:r>
        <w:rPr>
          <w:rFonts w:ascii="Courier New" w:hAnsi="Courier New"/>
          <w:i/>
          <w:spacing w:val="-40"/>
          <w:sz w:val="28"/>
        </w:rPr>
        <w:t> </w:t>
      </w:r>
      <w:r>
        <w:rPr>
          <w:rFonts w:ascii="Courier New" w:hAnsi="Courier New"/>
          <w:i/>
          <w:sz w:val="28"/>
        </w:rPr>
        <w:t>I</w:t>
      </w:r>
      <w:r>
        <w:rPr>
          <w:rFonts w:ascii="Courier New" w:hAnsi="Courier New"/>
          <w:i/>
          <w:spacing w:val="-41"/>
          <w:sz w:val="28"/>
        </w:rPr>
        <w:t> </w:t>
      </w:r>
      <w:r>
        <w:rPr>
          <w:rFonts w:ascii="Courier New" w:hAnsi="Courier New"/>
          <w:i/>
          <w:sz w:val="28"/>
        </w:rPr>
        <w:t>came</w:t>
      </w:r>
      <w:r>
        <w:rPr>
          <w:rFonts w:ascii="Courier New" w:hAnsi="Courier New"/>
          <w:i/>
          <w:spacing w:val="-40"/>
          <w:sz w:val="28"/>
        </w:rPr>
        <w:t> </w:t>
      </w:r>
      <w:r>
        <w:rPr>
          <w:rFonts w:ascii="Courier New" w:hAnsi="Courier New"/>
          <w:i/>
          <w:sz w:val="28"/>
        </w:rPr>
        <w:t>to</w:t>
      </w:r>
      <w:r>
        <w:rPr>
          <w:rFonts w:ascii="Courier New" w:hAnsi="Courier New"/>
          <w:i/>
          <w:spacing w:val="-41"/>
          <w:sz w:val="28"/>
        </w:rPr>
        <w:t> </w:t>
      </w:r>
      <w:r>
        <w:rPr>
          <w:rFonts w:ascii="Courier New" w:hAnsi="Courier New"/>
          <w:i/>
          <w:sz w:val="28"/>
        </w:rPr>
        <w:t>Ayodhya,</w:t>
      </w:r>
      <w:r>
        <w:rPr>
          <w:rFonts w:ascii="Courier New" w:hAnsi="Courier New"/>
          <w:i/>
          <w:spacing w:val="-41"/>
          <w:sz w:val="28"/>
        </w:rPr>
        <w:t> </w:t>
      </w:r>
      <w:r>
        <w:rPr>
          <w:rFonts w:ascii="Courier New" w:hAnsi="Courier New"/>
          <w:i/>
          <w:sz w:val="28"/>
        </w:rPr>
        <w:t>I</w:t>
      </w:r>
      <w:r>
        <w:rPr>
          <w:rFonts w:ascii="Courier New" w:hAnsi="Courier New"/>
          <w:i/>
          <w:spacing w:val="-41"/>
          <w:sz w:val="28"/>
        </w:rPr>
        <w:t> </w:t>
      </w:r>
      <w:r>
        <w:rPr>
          <w:rFonts w:ascii="Courier New" w:hAnsi="Courier New"/>
          <w:i/>
          <w:sz w:val="28"/>
        </w:rPr>
        <w:t>have </w:t>
      </w:r>
      <w:r>
        <w:rPr>
          <w:rFonts w:ascii="Courier New" w:hAnsi="Courier New"/>
          <w:i/>
          <w:sz w:val="28"/>
        </w:rPr>
        <w:t>always seen people going for Darshan(glimpse) at seven places at Ram Janambhumi, Hanuman Garhi,Nageshwarnath, Saryu,</w:t>
      </w:r>
      <w:r>
        <w:rPr>
          <w:rFonts w:ascii="Courier New" w:hAnsi="Courier New"/>
          <w:i/>
          <w:spacing w:val="-32"/>
          <w:sz w:val="28"/>
        </w:rPr>
        <w:t> </w:t>
      </w:r>
      <w:r>
        <w:rPr>
          <w:rFonts w:ascii="Courier New" w:hAnsi="Courier New"/>
          <w:i/>
          <w:sz w:val="28"/>
        </w:rPr>
        <w:t>Chhoti</w:t>
      </w:r>
      <w:r>
        <w:rPr>
          <w:rFonts w:ascii="Courier New" w:hAnsi="Courier New"/>
          <w:i/>
          <w:spacing w:val="-31"/>
          <w:sz w:val="28"/>
        </w:rPr>
        <w:t> </w:t>
      </w:r>
      <w:r>
        <w:rPr>
          <w:rFonts w:ascii="Courier New" w:hAnsi="Courier New"/>
          <w:i/>
          <w:sz w:val="28"/>
        </w:rPr>
        <w:t>Devkali,</w:t>
      </w:r>
      <w:r>
        <w:rPr>
          <w:rFonts w:ascii="Courier New" w:hAnsi="Courier New"/>
          <w:i/>
          <w:spacing w:val="-31"/>
          <w:sz w:val="28"/>
        </w:rPr>
        <w:t> </w:t>
      </w:r>
      <w:r>
        <w:rPr>
          <w:rFonts w:ascii="Courier New" w:hAnsi="Courier New"/>
          <w:i/>
          <w:sz w:val="28"/>
        </w:rPr>
        <w:t>Badi</w:t>
      </w:r>
      <w:r>
        <w:rPr>
          <w:rFonts w:ascii="Courier New" w:hAnsi="Courier New"/>
          <w:i/>
          <w:spacing w:val="-31"/>
          <w:sz w:val="28"/>
        </w:rPr>
        <w:t> </w:t>
      </w:r>
      <w:r>
        <w:rPr>
          <w:rFonts w:ascii="Courier New" w:hAnsi="Courier New"/>
          <w:i/>
          <w:sz w:val="28"/>
        </w:rPr>
        <w:t>Devkali,</w:t>
      </w:r>
      <w:r>
        <w:rPr>
          <w:rFonts w:ascii="Courier New" w:hAnsi="Courier New"/>
          <w:i/>
          <w:spacing w:val="-31"/>
          <w:sz w:val="28"/>
        </w:rPr>
        <w:t> </w:t>
      </w:r>
      <w:r>
        <w:rPr>
          <w:rFonts w:ascii="Courier New" w:hAnsi="Courier New"/>
          <w:i/>
          <w:sz w:val="28"/>
        </w:rPr>
        <w:t>Laxman Ghat, Sapt Sagar situated near Chhoti Devkali and kanak Bhawan temple. The seven places are unchangeable and their location cannot be changed, which means that one place</w:t>
      </w:r>
      <w:r>
        <w:rPr>
          <w:rFonts w:ascii="Courier New" w:hAnsi="Courier New"/>
          <w:i/>
          <w:spacing w:val="-20"/>
          <w:sz w:val="28"/>
        </w:rPr>
        <w:t> </w:t>
      </w:r>
      <w:r>
        <w:rPr>
          <w:rFonts w:ascii="Courier New" w:hAnsi="Courier New"/>
          <w:i/>
          <w:sz w:val="28"/>
        </w:rPr>
        <w:t>cannot</w:t>
      </w:r>
      <w:r>
        <w:rPr>
          <w:rFonts w:ascii="Courier New" w:hAnsi="Courier New"/>
          <w:i/>
          <w:spacing w:val="-19"/>
          <w:sz w:val="28"/>
        </w:rPr>
        <w:t> </w:t>
      </w:r>
      <w:r>
        <w:rPr>
          <w:rFonts w:ascii="Courier New" w:hAnsi="Courier New"/>
          <w:i/>
          <w:sz w:val="28"/>
        </w:rPr>
        <w:t>be</w:t>
      </w:r>
      <w:r>
        <w:rPr>
          <w:rFonts w:ascii="Courier New" w:hAnsi="Courier New"/>
          <w:i/>
          <w:spacing w:val="-20"/>
          <w:sz w:val="28"/>
        </w:rPr>
        <w:t> </w:t>
      </w:r>
      <w:r>
        <w:rPr>
          <w:rFonts w:ascii="Courier New" w:hAnsi="Courier New"/>
          <w:i/>
          <w:sz w:val="28"/>
        </w:rPr>
        <w:t>built</w:t>
      </w:r>
      <w:r>
        <w:rPr>
          <w:rFonts w:ascii="Courier New" w:hAnsi="Courier New"/>
          <w:i/>
          <w:spacing w:val="-19"/>
          <w:sz w:val="28"/>
        </w:rPr>
        <w:t> </w:t>
      </w:r>
      <w:r>
        <w:rPr>
          <w:rFonts w:ascii="Courier New" w:hAnsi="Courier New"/>
          <w:i/>
          <w:sz w:val="28"/>
        </w:rPr>
        <w:t>at</w:t>
      </w:r>
      <w:r>
        <w:rPr>
          <w:rFonts w:ascii="Courier New" w:hAnsi="Courier New"/>
          <w:i/>
          <w:spacing w:val="-19"/>
          <w:sz w:val="28"/>
        </w:rPr>
        <w:t> </w:t>
      </w:r>
      <w:r>
        <w:rPr>
          <w:rFonts w:ascii="Courier New" w:hAnsi="Courier New"/>
          <w:i/>
          <w:sz w:val="28"/>
        </w:rPr>
        <w:t>the</w:t>
      </w:r>
      <w:r>
        <w:rPr>
          <w:rFonts w:ascii="Courier New" w:hAnsi="Courier New"/>
          <w:i/>
          <w:spacing w:val="-20"/>
          <w:sz w:val="28"/>
        </w:rPr>
        <w:t> </w:t>
      </w:r>
      <w:r>
        <w:rPr>
          <w:rFonts w:ascii="Courier New" w:hAnsi="Courier New"/>
          <w:i/>
          <w:sz w:val="28"/>
        </w:rPr>
        <w:t>place</w:t>
      </w:r>
      <w:r>
        <w:rPr>
          <w:rFonts w:ascii="Courier New" w:hAnsi="Courier New"/>
          <w:i/>
          <w:spacing w:val="-19"/>
          <w:sz w:val="28"/>
        </w:rPr>
        <w:t> </w:t>
      </w:r>
      <w:r>
        <w:rPr>
          <w:rFonts w:ascii="Courier New" w:hAnsi="Courier New"/>
          <w:i/>
          <w:sz w:val="28"/>
        </w:rPr>
        <w:t>of</w:t>
      </w:r>
      <w:r>
        <w:rPr>
          <w:rFonts w:ascii="Courier New" w:hAnsi="Courier New"/>
          <w:i/>
          <w:spacing w:val="-19"/>
          <w:sz w:val="28"/>
        </w:rPr>
        <w:t> </w:t>
      </w:r>
      <w:r>
        <w:rPr>
          <w:rFonts w:ascii="Courier New" w:hAnsi="Courier New"/>
          <w:i/>
          <w:sz w:val="28"/>
        </w:rPr>
        <w:t>other one. Mani Parvat is a famous place, bit is different from the seven places. There was an idol of Lord Ram at Ram Janam Bhoomi. There was Sita's kitchen also. As per customs</w:t>
      </w:r>
      <w:r>
        <w:rPr>
          <w:rFonts w:ascii="Courier New" w:hAnsi="Courier New"/>
          <w:i/>
          <w:spacing w:val="-41"/>
          <w:sz w:val="28"/>
        </w:rPr>
        <w:t> </w:t>
      </w:r>
      <w:r>
        <w:rPr>
          <w:rFonts w:ascii="Courier New" w:hAnsi="Courier New"/>
          <w:i/>
          <w:sz w:val="28"/>
        </w:rPr>
        <w:t>there</w:t>
      </w:r>
      <w:r>
        <w:rPr>
          <w:rFonts w:ascii="Courier New" w:hAnsi="Courier New"/>
          <w:i/>
          <w:spacing w:val="-41"/>
          <w:sz w:val="28"/>
        </w:rPr>
        <w:t> </w:t>
      </w:r>
      <w:r>
        <w:rPr>
          <w:rFonts w:ascii="Courier New" w:hAnsi="Courier New"/>
          <w:i/>
          <w:sz w:val="28"/>
        </w:rPr>
        <w:t>was</w:t>
      </w:r>
      <w:r>
        <w:rPr>
          <w:rFonts w:ascii="Courier New" w:hAnsi="Courier New"/>
          <w:i/>
          <w:spacing w:val="-40"/>
          <w:sz w:val="28"/>
        </w:rPr>
        <w:t> </w:t>
      </w:r>
      <w:r>
        <w:rPr>
          <w:rFonts w:ascii="Courier New" w:hAnsi="Courier New"/>
          <w:i/>
          <w:sz w:val="28"/>
        </w:rPr>
        <w:t>a</w:t>
      </w:r>
      <w:r>
        <w:rPr>
          <w:rFonts w:ascii="Courier New" w:hAnsi="Courier New"/>
          <w:i/>
          <w:spacing w:val="-41"/>
          <w:sz w:val="28"/>
        </w:rPr>
        <w:t> </w:t>
      </w:r>
      <w:r>
        <w:rPr>
          <w:rFonts w:ascii="Courier New" w:hAnsi="Courier New"/>
          <w:i/>
          <w:sz w:val="28"/>
        </w:rPr>
        <w:t>special</w:t>
      </w:r>
      <w:r>
        <w:rPr>
          <w:rFonts w:ascii="Courier New" w:hAnsi="Courier New"/>
          <w:i/>
          <w:spacing w:val="-40"/>
          <w:sz w:val="28"/>
        </w:rPr>
        <w:t> </w:t>
      </w:r>
      <w:r>
        <w:rPr>
          <w:rFonts w:ascii="Courier New" w:hAnsi="Courier New"/>
          <w:i/>
          <w:sz w:val="28"/>
        </w:rPr>
        <w:t>hall</w:t>
      </w:r>
      <w:r>
        <w:rPr>
          <w:rFonts w:ascii="Courier New" w:hAnsi="Courier New"/>
          <w:i/>
          <w:spacing w:val="-41"/>
          <w:sz w:val="28"/>
        </w:rPr>
        <w:t> </w:t>
      </w:r>
      <w:r>
        <w:rPr>
          <w:rFonts w:ascii="Courier New" w:hAnsi="Courier New"/>
          <w:i/>
          <w:sz w:val="28"/>
        </w:rPr>
        <w:t>by</w:t>
      </w:r>
      <w:r>
        <w:rPr>
          <w:rFonts w:ascii="Courier New" w:hAnsi="Courier New"/>
          <w:i/>
          <w:spacing w:val="-41"/>
          <w:sz w:val="28"/>
        </w:rPr>
        <w:t> </w:t>
      </w:r>
      <w:r>
        <w:rPr>
          <w:rFonts w:ascii="Courier New" w:hAnsi="Courier New"/>
          <w:i/>
          <w:sz w:val="28"/>
        </w:rPr>
        <w:t>the</w:t>
      </w:r>
      <w:r>
        <w:rPr>
          <w:rFonts w:ascii="Courier New" w:hAnsi="Courier New"/>
          <w:i/>
          <w:spacing w:val="-41"/>
          <w:sz w:val="28"/>
        </w:rPr>
        <w:t> </w:t>
      </w:r>
      <w:r>
        <w:rPr>
          <w:rFonts w:ascii="Courier New" w:hAnsi="Courier New"/>
          <w:i/>
          <w:sz w:val="28"/>
        </w:rPr>
        <w:t>name of</w:t>
      </w:r>
      <w:r>
        <w:rPr>
          <w:rFonts w:ascii="Courier New" w:hAnsi="Courier New"/>
          <w:i/>
          <w:spacing w:val="-20"/>
          <w:sz w:val="28"/>
        </w:rPr>
        <w:t> </w:t>
      </w:r>
      <w:r>
        <w:rPr>
          <w:rFonts w:ascii="Courier New" w:hAnsi="Courier New"/>
          <w:i/>
          <w:sz w:val="28"/>
        </w:rPr>
        <w:t>Ram</w:t>
      </w:r>
      <w:r>
        <w:rPr>
          <w:rFonts w:ascii="Courier New" w:hAnsi="Courier New"/>
          <w:i/>
          <w:spacing w:val="-19"/>
          <w:sz w:val="28"/>
        </w:rPr>
        <w:t> </w:t>
      </w:r>
      <w:r>
        <w:rPr>
          <w:rFonts w:ascii="Courier New" w:hAnsi="Courier New"/>
          <w:i/>
          <w:sz w:val="28"/>
        </w:rPr>
        <w:t>Janam</w:t>
      </w:r>
      <w:r>
        <w:rPr>
          <w:rFonts w:ascii="Courier New" w:hAnsi="Courier New"/>
          <w:i/>
          <w:spacing w:val="-20"/>
          <w:sz w:val="28"/>
        </w:rPr>
        <w:t> </w:t>
      </w:r>
      <w:r>
        <w:rPr>
          <w:rFonts w:ascii="Courier New" w:hAnsi="Courier New"/>
          <w:i/>
          <w:sz w:val="28"/>
        </w:rPr>
        <w:t>Bhoomi</w:t>
      </w:r>
      <w:r>
        <w:rPr>
          <w:rFonts w:ascii="Courier New" w:hAnsi="Courier New"/>
          <w:i/>
          <w:spacing w:val="-19"/>
          <w:sz w:val="28"/>
        </w:rPr>
        <w:t> </w:t>
      </w:r>
      <w:r>
        <w:rPr>
          <w:rFonts w:ascii="Courier New" w:hAnsi="Courier New"/>
          <w:i/>
          <w:sz w:val="28"/>
        </w:rPr>
        <w:t>and</w:t>
      </w:r>
      <w:r>
        <w:rPr>
          <w:rFonts w:ascii="Courier New" w:hAnsi="Courier New"/>
          <w:i/>
          <w:spacing w:val="-19"/>
          <w:sz w:val="28"/>
        </w:rPr>
        <w:t> </w:t>
      </w:r>
      <w:r>
        <w:rPr>
          <w:rFonts w:ascii="Courier New" w:hAnsi="Courier New"/>
          <w:i/>
          <w:sz w:val="28"/>
        </w:rPr>
        <w:t>on</w:t>
      </w:r>
      <w:r>
        <w:rPr>
          <w:rFonts w:ascii="Courier New" w:hAnsi="Courier New"/>
          <w:i/>
          <w:spacing w:val="-20"/>
          <w:sz w:val="28"/>
        </w:rPr>
        <w:t> </w:t>
      </w:r>
      <w:r>
        <w:rPr>
          <w:rFonts w:ascii="Courier New" w:hAnsi="Courier New"/>
          <w:i/>
          <w:sz w:val="28"/>
        </w:rPr>
        <w:t>all</w:t>
      </w:r>
      <w:r>
        <w:rPr>
          <w:rFonts w:ascii="Courier New" w:hAnsi="Courier New"/>
          <w:i/>
          <w:spacing w:val="-19"/>
          <w:sz w:val="28"/>
        </w:rPr>
        <w:t> </w:t>
      </w:r>
      <w:r>
        <w:rPr>
          <w:rFonts w:ascii="Courier New" w:hAnsi="Courier New"/>
          <w:i/>
          <w:sz w:val="28"/>
        </w:rPr>
        <w:t>the</w:t>
      </w:r>
      <w:r>
        <w:rPr>
          <w:rFonts w:ascii="Courier New" w:hAnsi="Courier New"/>
          <w:i/>
          <w:spacing w:val="-19"/>
          <w:sz w:val="28"/>
        </w:rPr>
        <w:t> </w:t>
      </w:r>
      <w:r>
        <w:rPr>
          <w:rFonts w:ascii="Courier New" w:hAnsi="Courier New"/>
          <w:i/>
          <w:sz w:val="28"/>
        </w:rPr>
        <w:t>pictures and</w:t>
      </w:r>
      <w:r>
        <w:rPr>
          <w:rFonts w:ascii="Courier New" w:hAnsi="Courier New"/>
          <w:i/>
          <w:spacing w:val="-22"/>
          <w:sz w:val="28"/>
        </w:rPr>
        <w:t> </w:t>
      </w:r>
      <w:r>
        <w:rPr>
          <w:rFonts w:ascii="Courier New" w:hAnsi="Courier New"/>
          <w:i/>
          <w:sz w:val="28"/>
        </w:rPr>
        <w:t>statues</w:t>
      </w:r>
      <w:r>
        <w:rPr>
          <w:rFonts w:ascii="Courier New" w:hAnsi="Courier New"/>
          <w:i/>
          <w:spacing w:val="-22"/>
          <w:sz w:val="28"/>
        </w:rPr>
        <w:t> </w:t>
      </w:r>
      <w:r>
        <w:rPr>
          <w:rFonts w:ascii="Courier New" w:hAnsi="Courier New"/>
          <w:i/>
          <w:sz w:val="28"/>
        </w:rPr>
        <w:t>of</w:t>
      </w:r>
      <w:r>
        <w:rPr>
          <w:rFonts w:ascii="Courier New" w:hAnsi="Courier New"/>
          <w:i/>
          <w:spacing w:val="-22"/>
          <w:sz w:val="28"/>
        </w:rPr>
        <w:t> </w:t>
      </w:r>
      <w:r>
        <w:rPr>
          <w:rFonts w:ascii="Courier New" w:hAnsi="Courier New"/>
          <w:i/>
          <w:sz w:val="28"/>
        </w:rPr>
        <w:t>many</w:t>
      </w:r>
      <w:r>
        <w:rPr>
          <w:rFonts w:ascii="Courier New" w:hAnsi="Courier New"/>
          <w:i/>
          <w:spacing w:val="-22"/>
          <w:sz w:val="28"/>
        </w:rPr>
        <w:t> </w:t>
      </w:r>
      <w:r>
        <w:rPr>
          <w:rFonts w:ascii="Courier New" w:hAnsi="Courier New"/>
          <w:i/>
          <w:sz w:val="28"/>
        </w:rPr>
        <w:t>Gods</w:t>
      </w:r>
      <w:r>
        <w:rPr>
          <w:rFonts w:ascii="Courier New" w:hAnsi="Courier New"/>
          <w:i/>
          <w:spacing w:val="-21"/>
          <w:sz w:val="28"/>
        </w:rPr>
        <w:t> </w:t>
      </w:r>
      <w:r>
        <w:rPr>
          <w:rFonts w:ascii="Courier New" w:hAnsi="Courier New"/>
          <w:i/>
          <w:sz w:val="28"/>
        </w:rPr>
        <w:t>and</w:t>
      </w:r>
      <w:r>
        <w:rPr>
          <w:rFonts w:ascii="Courier New" w:hAnsi="Courier New"/>
          <w:i/>
          <w:spacing w:val="-22"/>
          <w:sz w:val="28"/>
        </w:rPr>
        <w:t> </w:t>
      </w:r>
      <w:r>
        <w:rPr>
          <w:rFonts w:ascii="Courier New" w:hAnsi="Courier New"/>
          <w:i/>
          <w:sz w:val="28"/>
        </w:rPr>
        <w:t>Goddesses</w:t>
      </w:r>
      <w:r>
        <w:rPr>
          <w:rFonts w:ascii="Courier New" w:hAnsi="Courier New"/>
          <w:i/>
          <w:spacing w:val="-22"/>
          <w:sz w:val="28"/>
        </w:rPr>
        <w:t> </w:t>
      </w:r>
      <w:r>
        <w:rPr>
          <w:rFonts w:ascii="Courier New" w:hAnsi="Courier New"/>
          <w:i/>
          <w:sz w:val="28"/>
        </w:rPr>
        <w:t>here engraved their own. Apart from statues. That place was also worshipped, which was said to be the birthplace of Lord Ram and where the Lord Ram has appeared. There was a platform also, known as the platform (chabutra)</w:t>
      </w:r>
      <w:r>
        <w:rPr>
          <w:rFonts w:ascii="Courier New" w:hAnsi="Courier New"/>
          <w:i/>
          <w:spacing w:val="-20"/>
          <w:sz w:val="28"/>
        </w:rPr>
        <w:t> </w:t>
      </w:r>
      <w:r>
        <w:rPr>
          <w:rFonts w:ascii="Courier New" w:hAnsi="Courier New"/>
          <w:i/>
          <w:sz w:val="28"/>
        </w:rPr>
        <w:t>of</w:t>
      </w:r>
      <w:r>
        <w:rPr>
          <w:rFonts w:ascii="Courier New" w:hAnsi="Courier New"/>
          <w:i/>
          <w:spacing w:val="-19"/>
          <w:sz w:val="28"/>
        </w:rPr>
        <w:t> </w:t>
      </w:r>
      <w:r>
        <w:rPr>
          <w:rFonts w:ascii="Courier New" w:hAnsi="Courier New"/>
          <w:i/>
          <w:sz w:val="28"/>
        </w:rPr>
        <w:t>Ram</w:t>
      </w:r>
      <w:r>
        <w:rPr>
          <w:rFonts w:ascii="Courier New" w:hAnsi="Courier New"/>
          <w:i/>
          <w:spacing w:val="-20"/>
          <w:sz w:val="28"/>
        </w:rPr>
        <w:t> </w:t>
      </w:r>
      <w:r>
        <w:rPr>
          <w:rFonts w:ascii="Courier New" w:hAnsi="Courier New"/>
          <w:i/>
          <w:sz w:val="28"/>
        </w:rPr>
        <w:t>Lala</w:t>
      </w:r>
      <w:r>
        <w:rPr>
          <w:rFonts w:ascii="Courier New" w:hAnsi="Courier New"/>
          <w:i/>
          <w:spacing w:val="-19"/>
          <w:sz w:val="28"/>
        </w:rPr>
        <w:t> </w:t>
      </w:r>
      <w:r>
        <w:rPr>
          <w:rFonts w:ascii="Courier New" w:hAnsi="Courier New"/>
          <w:i/>
          <w:sz w:val="28"/>
        </w:rPr>
        <w:t>and</w:t>
      </w:r>
      <w:r>
        <w:rPr>
          <w:rFonts w:ascii="Courier New" w:hAnsi="Courier New"/>
          <w:i/>
          <w:spacing w:val="-19"/>
          <w:sz w:val="28"/>
        </w:rPr>
        <w:t> </w:t>
      </w:r>
      <w:r>
        <w:rPr>
          <w:rFonts w:ascii="Courier New" w:hAnsi="Courier New"/>
          <w:i/>
          <w:sz w:val="28"/>
        </w:rPr>
        <w:t>a</w:t>
      </w:r>
      <w:r>
        <w:rPr>
          <w:rFonts w:ascii="Courier New" w:hAnsi="Courier New"/>
          <w:i/>
          <w:spacing w:val="-20"/>
          <w:sz w:val="28"/>
        </w:rPr>
        <w:t> </w:t>
      </w:r>
      <w:r>
        <w:rPr>
          <w:rFonts w:ascii="Courier New" w:hAnsi="Courier New"/>
          <w:i/>
          <w:sz w:val="28"/>
        </w:rPr>
        <w:t>hut</w:t>
      </w:r>
      <w:r>
        <w:rPr>
          <w:rFonts w:ascii="Courier New" w:hAnsi="Courier New"/>
          <w:i/>
          <w:spacing w:val="-19"/>
          <w:sz w:val="28"/>
        </w:rPr>
        <w:t> </w:t>
      </w:r>
      <w:r>
        <w:rPr>
          <w:rFonts w:ascii="Courier New" w:hAnsi="Courier New"/>
          <w:i/>
          <w:sz w:val="28"/>
        </w:rPr>
        <w:t>of</w:t>
      </w:r>
      <w:r>
        <w:rPr>
          <w:rFonts w:ascii="Courier New" w:hAnsi="Courier New"/>
          <w:i/>
          <w:spacing w:val="-19"/>
          <w:sz w:val="28"/>
        </w:rPr>
        <w:t> </w:t>
      </w:r>
      <w:r>
        <w:rPr>
          <w:rFonts w:ascii="Courier New" w:hAnsi="Courier New"/>
          <w:i/>
          <w:sz w:val="28"/>
        </w:rPr>
        <w:t>straws, in which priests of Nirmohi Akhada used to do</w:t>
      </w:r>
      <w:r>
        <w:rPr>
          <w:rFonts w:ascii="Courier New" w:hAnsi="Courier New"/>
          <w:i/>
          <w:spacing w:val="-22"/>
          <w:sz w:val="28"/>
        </w:rPr>
        <w:t> </w:t>
      </w:r>
      <w:r>
        <w:rPr>
          <w:rFonts w:ascii="Courier New" w:hAnsi="Courier New"/>
          <w:i/>
          <w:sz w:val="28"/>
        </w:rPr>
        <w:t>worship</w:t>
      </w:r>
      <w:r>
        <w:rPr>
          <w:rFonts w:ascii="Courier New" w:hAnsi="Courier New"/>
          <w:i/>
          <w:spacing w:val="-22"/>
          <w:sz w:val="28"/>
        </w:rPr>
        <w:t> </w:t>
      </w:r>
      <w:r>
        <w:rPr>
          <w:rFonts w:ascii="Courier New" w:hAnsi="Courier New"/>
          <w:i/>
          <w:sz w:val="28"/>
        </w:rPr>
        <w:t>and</w:t>
      </w:r>
      <w:r>
        <w:rPr>
          <w:rFonts w:ascii="Courier New" w:hAnsi="Courier New"/>
          <w:i/>
          <w:spacing w:val="-22"/>
          <w:sz w:val="28"/>
        </w:rPr>
        <w:t> </w:t>
      </w:r>
      <w:r>
        <w:rPr>
          <w:rFonts w:ascii="Courier New" w:hAnsi="Courier New"/>
          <w:i/>
          <w:sz w:val="28"/>
        </w:rPr>
        <w:t>offer</w:t>
      </w:r>
      <w:r>
        <w:rPr>
          <w:rFonts w:ascii="Courier New" w:hAnsi="Courier New"/>
          <w:i/>
          <w:spacing w:val="-22"/>
          <w:sz w:val="28"/>
        </w:rPr>
        <w:t> </w:t>
      </w:r>
      <w:r>
        <w:rPr>
          <w:rFonts w:ascii="Courier New" w:hAnsi="Courier New"/>
          <w:i/>
          <w:sz w:val="28"/>
        </w:rPr>
        <w:t>food,etc.</w:t>
      </w:r>
      <w:r>
        <w:rPr>
          <w:rFonts w:ascii="Courier New" w:hAnsi="Courier New"/>
          <w:i/>
          <w:spacing w:val="-21"/>
          <w:sz w:val="28"/>
        </w:rPr>
        <w:t> </w:t>
      </w:r>
      <w:r>
        <w:rPr>
          <w:rFonts w:ascii="Courier New" w:hAnsi="Courier New"/>
          <w:i/>
          <w:sz w:val="28"/>
        </w:rPr>
        <w:t>To</w:t>
      </w:r>
      <w:r>
        <w:rPr>
          <w:rFonts w:ascii="Courier New" w:hAnsi="Courier New"/>
          <w:i/>
          <w:spacing w:val="-22"/>
          <w:sz w:val="28"/>
        </w:rPr>
        <w:t> </w:t>
      </w:r>
      <w:r>
        <w:rPr>
          <w:rFonts w:ascii="Courier New" w:hAnsi="Courier New"/>
          <w:i/>
          <w:sz w:val="28"/>
        </w:rPr>
        <w:t>the</w:t>
      </w:r>
      <w:r>
        <w:rPr>
          <w:rFonts w:ascii="Courier New" w:hAnsi="Courier New"/>
          <w:i/>
          <w:spacing w:val="-22"/>
          <w:sz w:val="28"/>
        </w:rPr>
        <w:t> </w:t>
      </w:r>
      <w:r>
        <w:rPr>
          <w:rFonts w:ascii="Courier New" w:hAnsi="Courier New"/>
          <w:i/>
          <w:sz w:val="28"/>
        </w:rPr>
        <w:t>deity of Lord Ram...</w:t>
      </w:r>
      <w:r>
        <w:rPr>
          <w:rFonts w:ascii="Courier New" w:hAnsi="Courier New"/>
          <w:i/>
          <w:spacing w:val="-4"/>
          <w:sz w:val="28"/>
        </w:rPr>
        <w:t> </w:t>
      </w:r>
      <w:r>
        <w:rPr>
          <w:rFonts w:ascii="Courier New" w:hAnsi="Courier New"/>
          <w:i/>
          <w:sz w:val="28"/>
        </w:rPr>
        <w:t>”</w:t>
      </w:r>
    </w:p>
    <w:p>
      <w:pPr>
        <w:pStyle w:val="BodyText"/>
        <w:rPr>
          <w:rFonts w:ascii="Courier New"/>
          <w:i/>
          <w:sz w:val="32"/>
        </w:rPr>
      </w:pPr>
    </w:p>
    <w:p>
      <w:pPr>
        <w:pStyle w:val="BodyText"/>
        <w:rPr>
          <w:rFonts w:ascii="Courier New"/>
          <w:i/>
          <w:sz w:val="32"/>
        </w:rPr>
      </w:pPr>
    </w:p>
    <w:p>
      <w:pPr>
        <w:pStyle w:val="ListParagraph"/>
        <w:numPr>
          <w:ilvl w:val="0"/>
          <w:numId w:val="257"/>
        </w:numPr>
        <w:tabs>
          <w:tab w:pos="1000" w:val="left" w:leader="none"/>
        </w:tabs>
        <w:spacing w:line="240" w:lineRule="auto" w:before="223" w:after="0"/>
        <w:ind w:left="999" w:right="0" w:hanging="841"/>
        <w:jc w:val="left"/>
        <w:rPr>
          <w:rFonts w:ascii="Courier New"/>
          <w:sz w:val="28"/>
        </w:rPr>
      </w:pPr>
      <w:r>
        <w:rPr>
          <w:rFonts w:ascii="Courier New"/>
          <w:sz w:val="28"/>
        </w:rPr>
        <w:t>In his cross examination he</w:t>
      </w:r>
      <w:r>
        <w:rPr>
          <w:rFonts w:ascii="Courier New"/>
          <w:spacing w:val="-8"/>
          <w:sz w:val="28"/>
        </w:rPr>
        <w:t> </w:t>
      </w:r>
      <w:r>
        <w:rPr>
          <w:rFonts w:ascii="Courier New"/>
          <w:sz w:val="28"/>
        </w:rPr>
        <w:t>states:-</w:t>
      </w:r>
    </w:p>
    <w:p>
      <w:pPr>
        <w:pStyle w:val="BodyText"/>
        <w:spacing w:before="2"/>
        <w:rPr>
          <w:rFonts w:ascii="Courier New"/>
          <w:sz w:val="28"/>
        </w:rPr>
      </w:pPr>
    </w:p>
    <w:p>
      <w:pPr>
        <w:spacing w:line="240" w:lineRule="auto" w:before="0"/>
        <w:ind w:left="1011" w:right="1244" w:firstLine="0"/>
        <w:jc w:val="both"/>
        <w:rPr>
          <w:rFonts w:ascii="Courier New" w:hAnsi="Courier New"/>
          <w:i/>
          <w:sz w:val="28"/>
        </w:rPr>
      </w:pPr>
      <w:r>
        <w:rPr>
          <w:rFonts w:ascii="Courier New" w:hAnsi="Courier New"/>
          <w:sz w:val="28"/>
        </w:rPr>
        <w:t>“</w:t>
      </w:r>
      <w:r>
        <w:rPr>
          <w:rFonts w:ascii="Courier New" w:hAnsi="Courier New"/>
          <w:i/>
          <w:sz w:val="28"/>
        </w:rPr>
        <w:t>“...The place, which i describe as 'Garbh </w:t>
      </w:r>
      <w:r>
        <w:rPr>
          <w:rFonts w:ascii="Courier New" w:hAnsi="Courier New"/>
          <w:i/>
          <w:sz w:val="28"/>
        </w:rPr>
        <w:t>Griha', is according to my belief and according to the belief of all Hindus, birthplace of Ramchandra ji. I consider that place, where on 23rd December 1949 idol was installed after removing it from the chabutra, as birth place and I used to</w:t>
      </w:r>
    </w:p>
    <w:p>
      <w:pPr>
        <w:spacing w:after="0" w:line="240" w:lineRule="auto"/>
        <w:jc w:val="both"/>
        <w:rPr>
          <w:rFonts w:ascii="Courier New" w:hAnsi="Courier New"/>
          <w:sz w:val="28"/>
        </w:rPr>
        <w:sectPr>
          <w:headerReference w:type="default" r:id="rId412"/>
          <w:footerReference w:type="default" r:id="rId413"/>
          <w:pgSz w:w="11910" w:h="16840"/>
          <w:pgMar w:header="0" w:footer="1063" w:top="1340" w:bottom="1260" w:left="1280" w:right="1280"/>
          <w:pgNumType w:start="101"/>
        </w:sectPr>
      </w:pPr>
    </w:p>
    <w:p>
      <w:pPr>
        <w:spacing w:before="86"/>
        <w:ind w:left="1011" w:right="1219" w:firstLine="0"/>
        <w:jc w:val="left"/>
        <w:rPr>
          <w:rFonts w:ascii="Courier New"/>
          <w:i/>
          <w:sz w:val="28"/>
        </w:rPr>
      </w:pPr>
      <w:r>
        <w:rPr>
          <w:rFonts w:ascii="Courier New"/>
          <w:i/>
          <w:sz w:val="28"/>
        </w:rPr>
        <w:t>consider that place as birth place before </w:t>
      </w:r>
      <w:r>
        <w:rPr>
          <w:rFonts w:ascii="Courier New"/>
          <w:i/>
          <w:sz w:val="28"/>
        </w:rPr>
        <w:t>the installation of Idol there.</w:t>
      </w:r>
    </w:p>
    <w:p>
      <w:pPr>
        <w:pStyle w:val="BodyText"/>
        <w:spacing w:before="10"/>
        <w:rPr>
          <w:rFonts w:ascii="Courier New"/>
          <w:i/>
          <w:sz w:val="27"/>
        </w:rPr>
      </w:pPr>
    </w:p>
    <w:p>
      <w:pPr>
        <w:tabs>
          <w:tab w:pos="3035" w:val="left" w:leader="none"/>
          <w:tab w:pos="3922" w:val="left" w:leader="none"/>
          <w:tab w:pos="4978" w:val="left" w:leader="none"/>
          <w:tab w:pos="6369" w:val="left" w:leader="none"/>
          <w:tab w:pos="7593" w:val="left" w:leader="none"/>
        </w:tabs>
        <w:spacing w:before="0"/>
        <w:ind w:left="1011" w:right="0" w:firstLine="0"/>
        <w:jc w:val="left"/>
        <w:rPr>
          <w:rFonts w:ascii="Courier New"/>
          <w:i/>
          <w:sz w:val="28"/>
        </w:rPr>
      </w:pPr>
      <w:r>
        <w:rPr>
          <w:rFonts w:ascii="Courier New"/>
          <w:i/>
          <w:sz w:val="28"/>
        </w:rPr>
        <w:t>Question:-</w:t>
        <w:tab/>
        <w:t>Can</w:t>
        <w:tab/>
        <w:t>that</w:t>
        <w:tab/>
        <w:t>place,</w:t>
        <w:tab/>
        <w:t>which</w:t>
        <w:tab/>
        <w:t>you</w:t>
      </w:r>
    </w:p>
    <w:p>
      <w:pPr>
        <w:tabs>
          <w:tab w:pos="5123" w:val="left" w:leader="none"/>
          <w:tab w:pos="5650" w:val="left" w:leader="none"/>
          <w:tab w:pos="5830" w:val="left" w:leader="none"/>
          <w:tab w:pos="6420" w:val="left" w:leader="none"/>
          <w:tab w:pos="6541" w:val="left" w:leader="none"/>
        </w:tabs>
        <w:spacing w:before="2"/>
        <w:ind w:left="3035" w:right="1246" w:firstLine="669"/>
        <w:jc w:val="left"/>
        <w:rPr>
          <w:rFonts w:ascii="Courier New"/>
          <w:i/>
          <w:sz w:val="28"/>
        </w:rPr>
      </w:pPr>
      <w:r>
        <w:rPr>
          <w:rFonts w:ascii="Courier New"/>
          <w:i/>
          <w:sz w:val="28"/>
        </w:rPr>
        <w:t>described</w:t>
        <w:tab/>
        <w:t>as</w:t>
        <w:tab/>
      </w:r>
      <w:r>
        <w:rPr>
          <w:rFonts w:ascii="Courier New"/>
          <w:i/>
          <w:spacing w:val="-3"/>
          <w:sz w:val="28"/>
        </w:rPr>
        <w:t>birthplace </w:t>
      </w:r>
      <w:r>
        <w:rPr>
          <w:rFonts w:ascii="Courier New"/>
          <w:i/>
          <w:sz w:val="28"/>
        </w:rPr>
        <w:t>according</w:t>
        <w:tab/>
        <w:t>to your belief,</w:t>
      </w:r>
      <w:r>
        <w:rPr>
          <w:rFonts w:ascii="Courier New"/>
          <w:i/>
          <w:spacing w:val="-49"/>
          <w:sz w:val="28"/>
        </w:rPr>
        <w:t> </w:t>
      </w:r>
      <w:r>
        <w:rPr>
          <w:rFonts w:ascii="Courier New"/>
          <w:i/>
          <w:spacing w:val="-8"/>
          <w:sz w:val="28"/>
        </w:rPr>
        <w:t>be </w:t>
      </w:r>
      <w:r>
        <w:rPr>
          <w:rFonts w:ascii="Courier New"/>
          <w:i/>
          <w:sz w:val="28"/>
        </w:rPr>
        <w:t>10-15</w:t>
      </w:r>
      <w:r>
        <w:rPr>
          <w:rFonts w:ascii="Courier New"/>
          <w:i/>
          <w:spacing w:val="-3"/>
          <w:sz w:val="28"/>
        </w:rPr>
        <w:t> </w:t>
      </w:r>
      <w:r>
        <w:rPr>
          <w:rFonts w:ascii="Courier New"/>
          <w:i/>
          <w:sz w:val="28"/>
        </w:rPr>
        <w:t>hands</w:t>
        <w:tab/>
        <w:tab/>
        <w:tab/>
        <w:t>away on</w:t>
      </w:r>
      <w:r>
        <w:rPr>
          <w:rFonts w:ascii="Courier New"/>
          <w:i/>
          <w:spacing w:val="-82"/>
          <w:sz w:val="28"/>
        </w:rPr>
        <w:t> </w:t>
      </w:r>
      <w:r>
        <w:rPr>
          <w:rFonts w:ascii="Courier New"/>
          <w:i/>
          <w:spacing w:val="-3"/>
          <w:sz w:val="28"/>
        </w:rPr>
        <w:t>either </w:t>
      </w:r>
      <w:r>
        <w:rPr>
          <w:rFonts w:ascii="Courier New"/>
          <w:i/>
          <w:sz w:val="28"/>
        </w:rPr>
        <w:t>side of</w:t>
      </w:r>
      <w:r>
        <w:rPr>
          <w:rFonts w:ascii="Courier New"/>
          <w:i/>
          <w:spacing w:val="-5"/>
          <w:sz w:val="28"/>
        </w:rPr>
        <w:t> </w:t>
      </w:r>
      <w:r>
        <w:rPr>
          <w:rFonts w:ascii="Courier New"/>
          <w:i/>
          <w:sz w:val="28"/>
        </w:rPr>
        <w:t>the</w:t>
      </w:r>
      <w:r>
        <w:rPr>
          <w:rFonts w:ascii="Courier New"/>
          <w:i/>
          <w:spacing w:val="-2"/>
          <w:sz w:val="28"/>
        </w:rPr>
        <w:t> </w:t>
      </w:r>
      <w:r>
        <w:rPr>
          <w:rFonts w:ascii="Courier New"/>
          <w:i/>
          <w:sz w:val="28"/>
        </w:rPr>
        <w:t>middle</w:t>
        <w:tab/>
        <w:tab/>
        <w:t>dome place?</w:t>
      </w:r>
    </w:p>
    <w:p>
      <w:pPr>
        <w:pStyle w:val="BodyText"/>
        <w:rPr>
          <w:rFonts w:ascii="Courier New"/>
          <w:i/>
          <w:sz w:val="28"/>
        </w:rPr>
      </w:pPr>
    </w:p>
    <w:p>
      <w:pPr>
        <w:tabs>
          <w:tab w:pos="3704" w:val="left" w:leader="none"/>
          <w:tab w:pos="4217" w:val="left" w:leader="none"/>
          <w:tab w:pos="4508" w:val="left" w:leader="none"/>
          <w:tab w:pos="5123" w:val="left" w:leader="none"/>
          <w:tab w:pos="5312" w:val="left" w:leader="none"/>
          <w:tab w:pos="6074" w:val="left" w:leader="none"/>
          <w:tab w:pos="6454" w:val="left" w:leader="none"/>
          <w:tab w:pos="6541" w:val="left" w:leader="none"/>
          <w:tab w:pos="6588" w:val="left" w:leader="none"/>
          <w:tab w:pos="7593" w:val="left" w:leader="none"/>
          <w:tab w:pos="7763" w:val="left" w:leader="none"/>
        </w:tabs>
        <w:spacing w:before="0"/>
        <w:ind w:left="3035" w:right="1246" w:hanging="2024"/>
        <w:jc w:val="left"/>
        <w:rPr>
          <w:rFonts w:ascii="Courier New"/>
          <w:i/>
          <w:sz w:val="28"/>
        </w:rPr>
      </w:pPr>
      <w:r>
        <w:rPr>
          <w:rFonts w:ascii="Courier New"/>
          <w:i/>
          <w:sz w:val="28"/>
        </w:rPr>
        <w:t>Answer:-</w:t>
        <w:tab/>
        <w:tab/>
        <w:t>No.</w:t>
        <w:tab/>
        <w:tab/>
        <w:t>The</w:t>
        <w:tab/>
        <w:tab/>
        <w:t>place</w:t>
        <w:tab/>
        <w:t>where</w:t>
        <w:tab/>
      </w:r>
      <w:r>
        <w:rPr>
          <w:rFonts w:ascii="Courier New"/>
          <w:i/>
          <w:spacing w:val="-6"/>
          <w:sz w:val="28"/>
        </w:rPr>
        <w:t>the </w:t>
      </w:r>
      <w:r>
        <w:rPr>
          <w:rFonts w:ascii="Courier New"/>
          <w:i/>
          <w:sz w:val="28"/>
        </w:rPr>
        <w:t>order</w:t>
      </w:r>
      <w:r>
        <w:rPr>
          <w:rFonts w:ascii="Courier New"/>
          <w:i/>
          <w:spacing w:val="-3"/>
          <w:sz w:val="28"/>
        </w:rPr>
        <w:t> </w:t>
      </w:r>
      <w:r>
        <w:rPr>
          <w:rFonts w:ascii="Courier New"/>
          <w:i/>
          <w:sz w:val="28"/>
        </w:rPr>
        <w:t>is</w:t>
        <w:tab/>
        <w:tab/>
        <w:t>placed,</w:t>
        <w:tab/>
        <w:tab/>
        <w:tab/>
      </w:r>
      <w:r>
        <w:rPr>
          <w:rFonts w:ascii="Courier New"/>
          <w:i/>
          <w:spacing w:val="-3"/>
          <w:sz w:val="28"/>
        </w:rPr>
        <w:t>authentic </w:t>
      </w:r>
      <w:r>
        <w:rPr>
          <w:rFonts w:ascii="Courier New"/>
          <w:i/>
          <w:sz w:val="28"/>
        </w:rPr>
        <w:t>place</w:t>
      </w:r>
      <w:r>
        <w:rPr>
          <w:rFonts w:ascii="Courier New"/>
          <w:i/>
          <w:spacing w:val="-3"/>
          <w:sz w:val="28"/>
        </w:rPr>
        <w:t> </w:t>
      </w:r>
      <w:r>
        <w:rPr>
          <w:rFonts w:ascii="Courier New"/>
          <w:i/>
          <w:sz w:val="28"/>
        </w:rPr>
        <w:t>and</w:t>
      </w:r>
      <w:r>
        <w:rPr>
          <w:rFonts w:ascii="Courier New"/>
          <w:i/>
          <w:spacing w:val="-2"/>
          <w:sz w:val="28"/>
        </w:rPr>
        <w:t> </w:t>
      </w:r>
      <w:r>
        <w:rPr>
          <w:rFonts w:ascii="Courier New"/>
          <w:i/>
          <w:sz w:val="28"/>
        </w:rPr>
        <w:t>the</w:t>
        <w:tab/>
        <w:tab/>
        <w:tab/>
        <w:tab/>
        <w:t>whole Hindu</w:t>
        <w:tab/>
        <w:t>community</w:t>
        <w:tab/>
        <w:t>believes</w:t>
        <w:tab/>
        <w:tab/>
      </w:r>
      <w:r>
        <w:rPr>
          <w:rFonts w:ascii="Courier New"/>
          <w:i/>
          <w:spacing w:val="-9"/>
          <w:sz w:val="28"/>
        </w:rPr>
        <w:t>in</w:t>
      </w:r>
    </w:p>
    <w:p>
      <w:pPr>
        <w:spacing w:line="240" w:lineRule="auto" w:before="0"/>
        <w:ind w:left="3035" w:right="1249" w:firstLine="669"/>
        <w:jc w:val="both"/>
        <w:rPr>
          <w:rFonts w:ascii="Courier New"/>
          <w:i/>
          <w:sz w:val="28"/>
        </w:rPr>
      </w:pPr>
      <w:r>
        <w:rPr>
          <w:rFonts w:ascii="Courier New"/>
          <w:i/>
          <w:sz w:val="28"/>
        </w:rPr>
        <w:t>that very place. There is </w:t>
      </w:r>
      <w:r>
        <w:rPr>
          <w:rFonts w:ascii="Courier New"/>
          <w:i/>
          <w:sz w:val="28"/>
        </w:rPr>
        <w:t>no scope of any doubt. There cannot be a distance of even two-four</w:t>
      </w:r>
      <w:r>
        <w:rPr>
          <w:rFonts w:ascii="Courier New"/>
          <w:i/>
          <w:spacing w:val="-40"/>
          <w:sz w:val="28"/>
        </w:rPr>
        <w:t> </w:t>
      </w:r>
      <w:r>
        <w:rPr>
          <w:rFonts w:ascii="Courier New"/>
          <w:i/>
          <w:sz w:val="28"/>
        </w:rPr>
        <w:t>feet</w:t>
      </w:r>
      <w:r>
        <w:rPr>
          <w:rFonts w:ascii="Courier New"/>
          <w:i/>
          <w:spacing w:val="-40"/>
          <w:sz w:val="28"/>
        </w:rPr>
        <w:t> </w:t>
      </w:r>
      <w:r>
        <w:rPr>
          <w:rFonts w:ascii="Courier New"/>
          <w:i/>
          <w:sz w:val="28"/>
        </w:rPr>
        <w:t>find</w:t>
      </w:r>
      <w:r>
        <w:rPr>
          <w:rFonts w:ascii="Courier New"/>
          <w:i/>
          <w:spacing w:val="-39"/>
          <w:sz w:val="28"/>
        </w:rPr>
        <w:t> </w:t>
      </w:r>
      <w:r>
        <w:rPr>
          <w:rFonts w:ascii="Courier New"/>
          <w:i/>
          <w:sz w:val="28"/>
        </w:rPr>
        <w:t>the</w:t>
      </w:r>
      <w:r>
        <w:rPr>
          <w:rFonts w:ascii="Courier New"/>
          <w:i/>
          <w:spacing w:val="-40"/>
          <w:sz w:val="28"/>
        </w:rPr>
        <w:t> </w:t>
      </w:r>
      <w:r>
        <w:rPr>
          <w:rFonts w:ascii="Courier New"/>
          <w:i/>
          <w:sz w:val="28"/>
        </w:rPr>
        <w:t>location of this</w:t>
      </w:r>
      <w:r>
        <w:rPr>
          <w:rFonts w:ascii="Courier New"/>
          <w:i/>
          <w:spacing w:val="-3"/>
          <w:sz w:val="28"/>
        </w:rPr>
        <w:t> </w:t>
      </w:r>
      <w:r>
        <w:rPr>
          <w:rFonts w:ascii="Courier New"/>
          <w:i/>
          <w:sz w:val="28"/>
        </w:rPr>
        <w:t>place.</w:t>
      </w:r>
    </w:p>
    <w:p>
      <w:pPr>
        <w:pStyle w:val="BodyText"/>
        <w:spacing w:before="9"/>
        <w:rPr>
          <w:rFonts w:ascii="Courier New"/>
          <w:i/>
          <w:sz w:val="27"/>
        </w:rPr>
      </w:pPr>
    </w:p>
    <w:p>
      <w:pPr>
        <w:tabs>
          <w:tab w:pos="7257" w:val="left" w:leader="none"/>
        </w:tabs>
        <w:spacing w:line="240" w:lineRule="auto" w:before="0"/>
        <w:ind w:left="3035" w:right="1249" w:firstLine="0"/>
        <w:jc w:val="both"/>
        <w:rPr>
          <w:rFonts w:ascii="Courier New" w:hAnsi="Courier New"/>
          <w:sz w:val="28"/>
        </w:rPr>
      </w:pPr>
      <w:r>
        <w:rPr>
          <w:rFonts w:ascii="Courier New" w:hAnsi="Courier New"/>
          <w:i/>
          <w:sz w:val="28"/>
        </w:rPr>
        <w:t>The basis of this belief is </w:t>
      </w:r>
      <w:r>
        <w:rPr>
          <w:rFonts w:ascii="Courier New" w:hAnsi="Courier New"/>
          <w:i/>
          <w:sz w:val="28"/>
        </w:rPr>
        <w:t>that Hindus have been having Darshan of this place as janambhoomi</w:t>
        <w:tab/>
      </w:r>
      <w:r>
        <w:rPr>
          <w:rFonts w:ascii="Courier New" w:hAnsi="Courier New"/>
          <w:i/>
          <w:spacing w:val="-4"/>
          <w:sz w:val="28"/>
        </w:rPr>
        <w:t>Since </w:t>
      </w:r>
      <w:r>
        <w:rPr>
          <w:rFonts w:ascii="Courier New" w:hAnsi="Courier New"/>
          <w:i/>
          <w:sz w:val="28"/>
        </w:rPr>
        <w:t>centuries...”</w:t>
      </w:r>
      <w:r>
        <w:rPr>
          <w:rFonts w:ascii="Courier New" w:hAnsi="Courier New"/>
          <w:i/>
          <w:spacing w:val="-1"/>
          <w:sz w:val="28"/>
        </w:rPr>
        <w:t> </w:t>
      </w:r>
      <w:r>
        <w:rPr>
          <w:rFonts w:ascii="Courier New" w:hAnsi="Courier New"/>
          <w:sz w:val="28"/>
        </w:rPr>
        <w:t>”</w:t>
      </w:r>
    </w:p>
    <w:p>
      <w:pPr>
        <w:pStyle w:val="BodyText"/>
        <w:rPr>
          <w:rFonts w:ascii="Courier New"/>
          <w:sz w:val="32"/>
        </w:rPr>
      </w:pPr>
    </w:p>
    <w:p>
      <w:pPr>
        <w:pStyle w:val="BodyText"/>
        <w:rPr>
          <w:rFonts w:ascii="Courier New"/>
          <w:sz w:val="32"/>
        </w:rPr>
      </w:pPr>
    </w:p>
    <w:p>
      <w:pPr>
        <w:pStyle w:val="BodyText"/>
        <w:rPr>
          <w:rFonts w:ascii="Courier New"/>
          <w:sz w:val="32"/>
        </w:rPr>
      </w:pPr>
    </w:p>
    <w:p>
      <w:pPr>
        <w:pStyle w:val="ListParagraph"/>
        <w:numPr>
          <w:ilvl w:val="0"/>
          <w:numId w:val="257"/>
        </w:numPr>
        <w:tabs>
          <w:tab w:pos="1051" w:val="left" w:leader="none"/>
        </w:tabs>
        <w:spacing w:line="480" w:lineRule="auto" w:before="183" w:after="0"/>
        <w:ind w:left="160" w:right="157" w:firstLine="0"/>
        <w:jc w:val="both"/>
        <w:rPr>
          <w:rFonts w:ascii="Courier New"/>
          <w:sz w:val="28"/>
        </w:rPr>
      </w:pPr>
      <w:r>
        <w:rPr>
          <w:rFonts w:ascii="Courier New"/>
          <w:sz w:val="28"/>
        </w:rPr>
        <w:t>Next statement to be noticed is of OPW-4, Shri Harihar Prasad Tiwari. He was aged 85 years(as on 01.08.2002). He claims to have lived in Ayodhya from 1934</w:t>
      </w:r>
      <w:r>
        <w:rPr>
          <w:rFonts w:ascii="Courier New"/>
          <w:spacing w:val="27"/>
          <w:sz w:val="28"/>
        </w:rPr>
        <w:t> </w:t>
      </w:r>
      <w:r>
        <w:rPr>
          <w:rFonts w:ascii="Courier New"/>
          <w:sz w:val="28"/>
        </w:rPr>
        <w:t>to</w:t>
      </w:r>
      <w:r>
        <w:rPr>
          <w:rFonts w:ascii="Courier New"/>
          <w:spacing w:val="27"/>
          <w:sz w:val="28"/>
        </w:rPr>
        <w:t> </w:t>
      </w:r>
      <w:r>
        <w:rPr>
          <w:rFonts w:ascii="Courier New"/>
          <w:sz w:val="28"/>
        </w:rPr>
        <w:t>1938</w:t>
      </w:r>
      <w:r>
        <w:rPr>
          <w:rFonts w:ascii="Courier New"/>
          <w:spacing w:val="27"/>
          <w:sz w:val="28"/>
        </w:rPr>
        <w:t> </w:t>
      </w:r>
      <w:r>
        <w:rPr>
          <w:rFonts w:ascii="Courier New"/>
          <w:sz w:val="28"/>
        </w:rPr>
        <w:t>at</w:t>
      </w:r>
      <w:r>
        <w:rPr>
          <w:rFonts w:ascii="Courier New"/>
          <w:spacing w:val="27"/>
          <w:sz w:val="28"/>
        </w:rPr>
        <w:t> </w:t>
      </w:r>
      <w:r>
        <w:rPr>
          <w:rFonts w:ascii="Courier New"/>
          <w:sz w:val="28"/>
        </w:rPr>
        <w:t>Ram</w:t>
      </w:r>
      <w:r>
        <w:rPr>
          <w:rFonts w:ascii="Courier New"/>
          <w:spacing w:val="28"/>
          <w:sz w:val="28"/>
        </w:rPr>
        <w:t> </w:t>
      </w:r>
      <w:r>
        <w:rPr>
          <w:rFonts w:ascii="Courier New"/>
          <w:sz w:val="28"/>
        </w:rPr>
        <w:t>Niwas</w:t>
      </w:r>
      <w:r>
        <w:rPr>
          <w:rFonts w:ascii="Courier New"/>
          <w:spacing w:val="27"/>
          <w:sz w:val="28"/>
        </w:rPr>
        <w:t> </w:t>
      </w:r>
      <w:r>
        <w:rPr>
          <w:rFonts w:ascii="Courier New"/>
          <w:sz w:val="28"/>
        </w:rPr>
        <w:t>Mandir</w:t>
      </w:r>
      <w:r>
        <w:rPr>
          <w:rFonts w:ascii="Courier New"/>
          <w:spacing w:val="27"/>
          <w:sz w:val="28"/>
        </w:rPr>
        <w:t> </w:t>
      </w:r>
      <w:r>
        <w:rPr>
          <w:rFonts w:ascii="Courier New"/>
          <w:sz w:val="28"/>
        </w:rPr>
        <w:t>which</w:t>
      </w:r>
      <w:r>
        <w:rPr>
          <w:rFonts w:ascii="Courier New"/>
          <w:spacing w:val="27"/>
          <w:sz w:val="28"/>
        </w:rPr>
        <w:t> </w:t>
      </w:r>
      <w:r>
        <w:rPr>
          <w:rFonts w:ascii="Courier New"/>
          <w:sz w:val="28"/>
        </w:rPr>
        <w:t>was</w:t>
      </w:r>
      <w:r>
        <w:rPr>
          <w:rFonts w:ascii="Courier New"/>
          <w:spacing w:val="29"/>
          <w:sz w:val="28"/>
        </w:rPr>
        <w:t> </w:t>
      </w:r>
      <w:r>
        <w:rPr>
          <w:rFonts w:ascii="Courier New"/>
          <w:sz w:val="28"/>
        </w:rPr>
        <w:t>only</w:t>
      </w:r>
      <w:r>
        <w:rPr>
          <w:rFonts w:ascii="Courier New"/>
          <w:spacing w:val="27"/>
          <w:sz w:val="28"/>
        </w:rPr>
        <w:t> </w:t>
      </w:r>
      <w:r>
        <w:rPr>
          <w:rFonts w:ascii="Courier New"/>
          <w:sz w:val="28"/>
        </w:rPr>
        <w:t>250-</w:t>
      </w:r>
    </w:p>
    <w:p>
      <w:pPr>
        <w:spacing w:line="480" w:lineRule="auto" w:before="0"/>
        <w:ind w:left="160" w:right="159" w:firstLine="0"/>
        <w:jc w:val="both"/>
        <w:rPr>
          <w:rFonts w:ascii="Courier New"/>
          <w:sz w:val="28"/>
        </w:rPr>
      </w:pPr>
      <w:r>
        <w:rPr>
          <w:rFonts w:ascii="Courier New"/>
          <w:sz w:val="28"/>
        </w:rPr>
        <w:t>300 steps from Ram Janma Bhumi. He has referred to faith</w:t>
      </w:r>
      <w:r>
        <w:rPr>
          <w:rFonts w:ascii="Courier New"/>
          <w:spacing w:val="76"/>
          <w:sz w:val="28"/>
        </w:rPr>
        <w:t> </w:t>
      </w:r>
      <w:r>
        <w:rPr>
          <w:rFonts w:ascii="Courier New"/>
          <w:sz w:val="28"/>
        </w:rPr>
        <w:t>and</w:t>
      </w:r>
      <w:r>
        <w:rPr>
          <w:rFonts w:ascii="Courier New"/>
          <w:spacing w:val="76"/>
          <w:sz w:val="28"/>
        </w:rPr>
        <w:t> </w:t>
      </w:r>
      <w:r>
        <w:rPr>
          <w:rFonts w:ascii="Courier New"/>
          <w:sz w:val="28"/>
        </w:rPr>
        <w:t>belief</w:t>
      </w:r>
      <w:r>
        <w:rPr>
          <w:rFonts w:ascii="Courier New"/>
          <w:spacing w:val="76"/>
          <w:sz w:val="28"/>
        </w:rPr>
        <w:t> </w:t>
      </w:r>
      <w:r>
        <w:rPr>
          <w:rFonts w:ascii="Courier New"/>
          <w:sz w:val="28"/>
        </w:rPr>
        <w:t>of</w:t>
      </w:r>
      <w:r>
        <w:rPr>
          <w:rFonts w:ascii="Courier New"/>
          <w:spacing w:val="76"/>
          <w:sz w:val="28"/>
        </w:rPr>
        <w:t> </w:t>
      </w:r>
      <w:r>
        <w:rPr>
          <w:rFonts w:ascii="Courier New"/>
          <w:sz w:val="28"/>
        </w:rPr>
        <w:t>people</w:t>
      </w:r>
      <w:r>
        <w:rPr>
          <w:rFonts w:ascii="Courier New"/>
          <w:spacing w:val="75"/>
          <w:sz w:val="28"/>
        </w:rPr>
        <w:t> </w:t>
      </w:r>
      <w:r>
        <w:rPr>
          <w:rFonts w:ascii="Courier New"/>
          <w:sz w:val="28"/>
        </w:rPr>
        <w:t>that</w:t>
      </w:r>
      <w:r>
        <w:rPr>
          <w:rFonts w:ascii="Courier New"/>
          <w:spacing w:val="76"/>
          <w:sz w:val="28"/>
        </w:rPr>
        <w:t> </w:t>
      </w:r>
      <w:r>
        <w:rPr>
          <w:rFonts w:ascii="Courier New"/>
          <w:sz w:val="28"/>
        </w:rPr>
        <w:t>Bhagwan</w:t>
      </w:r>
      <w:r>
        <w:rPr>
          <w:rFonts w:ascii="Courier New"/>
          <w:spacing w:val="76"/>
          <w:sz w:val="28"/>
        </w:rPr>
        <w:t> </w:t>
      </w:r>
      <w:r>
        <w:rPr>
          <w:rFonts w:ascii="Courier New"/>
          <w:sz w:val="28"/>
        </w:rPr>
        <w:t>Vishnu</w:t>
      </w:r>
      <w:r>
        <w:rPr>
          <w:rFonts w:ascii="Courier New"/>
          <w:spacing w:val="76"/>
          <w:sz w:val="28"/>
        </w:rPr>
        <w:t> </w:t>
      </w:r>
      <w:r>
        <w:rPr>
          <w:rFonts w:ascii="Courier New"/>
          <w:sz w:val="28"/>
        </w:rPr>
        <w:t>has</w:t>
      </w:r>
    </w:p>
    <w:p>
      <w:pPr>
        <w:spacing w:after="0" w:line="480" w:lineRule="auto"/>
        <w:jc w:val="both"/>
        <w:rPr>
          <w:rFonts w:ascii="Courier New"/>
          <w:sz w:val="28"/>
        </w:rPr>
        <w:sectPr>
          <w:headerReference w:type="default" r:id="rId414"/>
          <w:footerReference w:type="default" r:id="rId415"/>
          <w:pgSz w:w="11910" w:h="16840"/>
          <w:pgMar w:header="0" w:footer="1063" w:top="1340" w:bottom="1260" w:left="1280" w:right="1280"/>
          <w:pgNumType w:start="102"/>
        </w:sectPr>
      </w:pPr>
    </w:p>
    <w:p>
      <w:pPr>
        <w:spacing w:line="480" w:lineRule="auto" w:before="86"/>
        <w:ind w:left="160" w:right="158" w:firstLine="0"/>
        <w:jc w:val="both"/>
        <w:rPr>
          <w:rFonts w:ascii="Courier New"/>
          <w:sz w:val="28"/>
        </w:rPr>
      </w:pPr>
      <w:r>
        <w:rPr>
          <w:rFonts w:ascii="Courier New"/>
          <w:sz w:val="28"/>
        </w:rPr>
        <w:t>incarnated as Bhagwan Shri Ram at that very place. In para 3 of his examination-in-chief, he states:-</w:t>
      </w:r>
    </w:p>
    <w:p>
      <w:pPr>
        <w:spacing w:line="240" w:lineRule="auto" w:before="1"/>
        <w:ind w:left="1012" w:right="1244" w:firstLine="0"/>
        <w:jc w:val="both"/>
        <w:rPr>
          <w:rFonts w:ascii="Courier New" w:hAnsi="Courier New"/>
          <w:sz w:val="28"/>
        </w:rPr>
      </w:pPr>
      <w:r>
        <w:rPr>
          <w:rFonts w:ascii="Courier New" w:hAnsi="Courier New"/>
          <w:sz w:val="28"/>
        </w:rPr>
        <w:t>“</w:t>
      </w:r>
      <w:r>
        <w:rPr>
          <w:rFonts w:ascii="Courier New" w:hAnsi="Courier New"/>
          <w:i/>
          <w:sz w:val="28"/>
        </w:rPr>
        <w:t>“3. Ayodhya is an ancient and The holiest </w:t>
      </w:r>
      <w:r>
        <w:rPr>
          <w:rFonts w:ascii="Courier New" w:hAnsi="Courier New"/>
          <w:i/>
          <w:sz w:val="28"/>
        </w:rPr>
        <w:t>Pilgrimage for Hindus where Parambharma Parmeshwar Bhagwan Vishnu incarnated as Shri Ram, son of king Dashratha. The followers of Hinduism have the faith from the time immemorial that bhagwan Vishnu incarnated at Ayodhya as Lord Shri Ram. This</w:t>
      </w:r>
      <w:r>
        <w:rPr>
          <w:rFonts w:ascii="Courier New" w:hAnsi="Courier New"/>
          <w:i/>
          <w:spacing w:val="-22"/>
          <w:sz w:val="28"/>
        </w:rPr>
        <w:t> </w:t>
      </w:r>
      <w:r>
        <w:rPr>
          <w:rFonts w:ascii="Courier New" w:hAnsi="Courier New"/>
          <w:i/>
          <w:sz w:val="28"/>
        </w:rPr>
        <w:t>place</w:t>
      </w:r>
      <w:r>
        <w:rPr>
          <w:rFonts w:ascii="Courier New" w:hAnsi="Courier New"/>
          <w:i/>
          <w:spacing w:val="-22"/>
          <w:sz w:val="28"/>
        </w:rPr>
        <w:t> </w:t>
      </w:r>
      <w:r>
        <w:rPr>
          <w:rFonts w:ascii="Courier New" w:hAnsi="Courier New"/>
          <w:i/>
          <w:sz w:val="28"/>
        </w:rPr>
        <w:t>is</w:t>
      </w:r>
      <w:r>
        <w:rPr>
          <w:rFonts w:ascii="Courier New" w:hAnsi="Courier New"/>
          <w:i/>
          <w:spacing w:val="-22"/>
          <w:sz w:val="28"/>
        </w:rPr>
        <w:t> </w:t>
      </w:r>
      <w:r>
        <w:rPr>
          <w:rFonts w:ascii="Courier New" w:hAnsi="Courier New"/>
          <w:i/>
          <w:sz w:val="28"/>
        </w:rPr>
        <w:t>adorable.</w:t>
      </w:r>
      <w:r>
        <w:rPr>
          <w:rFonts w:ascii="Courier New" w:hAnsi="Courier New"/>
          <w:i/>
          <w:spacing w:val="-22"/>
          <w:sz w:val="28"/>
        </w:rPr>
        <w:t> </w:t>
      </w:r>
      <w:r>
        <w:rPr>
          <w:rFonts w:ascii="Courier New" w:hAnsi="Courier New"/>
          <w:i/>
          <w:sz w:val="28"/>
        </w:rPr>
        <w:t>Owing</w:t>
      </w:r>
      <w:r>
        <w:rPr>
          <w:rFonts w:ascii="Courier New" w:hAnsi="Courier New"/>
          <w:i/>
          <w:spacing w:val="-21"/>
          <w:sz w:val="28"/>
        </w:rPr>
        <w:t> </w:t>
      </w:r>
      <w:r>
        <w:rPr>
          <w:rFonts w:ascii="Courier New" w:hAnsi="Courier New"/>
          <w:i/>
          <w:sz w:val="28"/>
        </w:rPr>
        <w:t>to</w:t>
      </w:r>
      <w:r>
        <w:rPr>
          <w:rFonts w:ascii="Courier New" w:hAnsi="Courier New"/>
          <w:i/>
          <w:spacing w:val="-22"/>
          <w:sz w:val="28"/>
        </w:rPr>
        <w:t> </w:t>
      </w:r>
      <w:r>
        <w:rPr>
          <w:rFonts w:ascii="Courier New" w:hAnsi="Courier New"/>
          <w:i/>
          <w:sz w:val="28"/>
        </w:rPr>
        <w:t>this</w:t>
      </w:r>
      <w:r>
        <w:rPr>
          <w:rFonts w:ascii="Courier New" w:hAnsi="Courier New"/>
          <w:i/>
          <w:spacing w:val="-22"/>
          <w:sz w:val="28"/>
        </w:rPr>
        <w:t> </w:t>
      </w:r>
      <w:r>
        <w:rPr>
          <w:rFonts w:ascii="Courier New" w:hAnsi="Courier New"/>
          <w:i/>
          <w:sz w:val="28"/>
        </w:rPr>
        <w:t>trust and faith people used to visit for Darshan and Parikrama(taking round) of Shri Ram Janm Bhoomi. My family members, my grandfather and elderly people, saints and hermits of Ayodhya, during my study there from</w:t>
      </w:r>
      <w:r>
        <w:rPr>
          <w:rFonts w:ascii="Courier New" w:hAnsi="Courier New"/>
          <w:i/>
          <w:spacing w:val="-20"/>
          <w:sz w:val="28"/>
        </w:rPr>
        <w:t> </w:t>
      </w:r>
      <w:r>
        <w:rPr>
          <w:rFonts w:ascii="Courier New" w:hAnsi="Courier New"/>
          <w:i/>
          <w:sz w:val="28"/>
        </w:rPr>
        <w:t>1934</w:t>
      </w:r>
      <w:r>
        <w:rPr>
          <w:rFonts w:ascii="Courier New" w:hAnsi="Courier New"/>
          <w:i/>
          <w:spacing w:val="-19"/>
          <w:sz w:val="28"/>
        </w:rPr>
        <w:t> </w:t>
      </w:r>
      <w:r>
        <w:rPr>
          <w:rFonts w:ascii="Courier New" w:hAnsi="Courier New"/>
          <w:i/>
          <w:sz w:val="28"/>
        </w:rPr>
        <w:t>to</w:t>
      </w:r>
      <w:r>
        <w:rPr>
          <w:rFonts w:ascii="Courier New" w:hAnsi="Courier New"/>
          <w:i/>
          <w:spacing w:val="-20"/>
          <w:sz w:val="28"/>
        </w:rPr>
        <w:t> </w:t>
      </w:r>
      <w:r>
        <w:rPr>
          <w:rFonts w:ascii="Courier New" w:hAnsi="Courier New"/>
          <w:i/>
          <w:sz w:val="28"/>
        </w:rPr>
        <w:t>1938,</w:t>
      </w:r>
      <w:r>
        <w:rPr>
          <w:rFonts w:ascii="Courier New" w:hAnsi="Courier New"/>
          <w:i/>
          <w:spacing w:val="-19"/>
          <w:sz w:val="28"/>
        </w:rPr>
        <w:t> </w:t>
      </w:r>
      <w:r>
        <w:rPr>
          <w:rFonts w:ascii="Courier New" w:hAnsi="Courier New"/>
          <w:i/>
          <w:sz w:val="28"/>
        </w:rPr>
        <w:t>used</w:t>
      </w:r>
      <w:r>
        <w:rPr>
          <w:rFonts w:ascii="Courier New" w:hAnsi="Courier New"/>
          <w:i/>
          <w:spacing w:val="-19"/>
          <w:sz w:val="28"/>
        </w:rPr>
        <w:t> </w:t>
      </w:r>
      <w:r>
        <w:rPr>
          <w:rFonts w:ascii="Courier New" w:hAnsi="Courier New"/>
          <w:i/>
          <w:sz w:val="28"/>
        </w:rPr>
        <w:t>to</w:t>
      </w:r>
      <w:r>
        <w:rPr>
          <w:rFonts w:ascii="Courier New" w:hAnsi="Courier New"/>
          <w:i/>
          <w:spacing w:val="-20"/>
          <w:sz w:val="28"/>
        </w:rPr>
        <w:t> </w:t>
      </w:r>
      <w:r>
        <w:rPr>
          <w:rFonts w:ascii="Courier New" w:hAnsi="Courier New"/>
          <w:i/>
          <w:sz w:val="28"/>
        </w:rPr>
        <w:t>say</w:t>
      </w:r>
      <w:r>
        <w:rPr>
          <w:rFonts w:ascii="Courier New" w:hAnsi="Courier New"/>
          <w:i/>
          <w:spacing w:val="-19"/>
          <w:sz w:val="28"/>
        </w:rPr>
        <w:t> </w:t>
      </w:r>
      <w:r>
        <w:rPr>
          <w:rFonts w:ascii="Courier New" w:hAnsi="Courier New"/>
          <w:i/>
          <w:sz w:val="28"/>
        </w:rPr>
        <w:t>that</w:t>
      </w:r>
      <w:r>
        <w:rPr>
          <w:rFonts w:ascii="Courier New" w:hAnsi="Courier New"/>
          <w:i/>
          <w:spacing w:val="-19"/>
          <w:sz w:val="28"/>
        </w:rPr>
        <w:t> </w:t>
      </w:r>
      <w:r>
        <w:rPr>
          <w:rFonts w:ascii="Courier New" w:hAnsi="Courier New"/>
          <w:i/>
          <w:sz w:val="28"/>
        </w:rPr>
        <w:t>Bhagwan Vishnu had incarnated as Bhagwan Shri Ram at this very place and this is Shri Ram Janam Bhoomi. Based on this faith and belief I have been going to Shri Ram Janam Bhoomi for Darshan. After completing my study, whenever I came to Ayodhya I used to go there for Darshan invariably. I mostly live in Sugreev Quila, ram kot, ayodhya for about last 8-9 years and usually go to the Ram Janmabhoomi for having Darshan.</w:t>
      </w:r>
      <w:r>
        <w:rPr>
          <w:rFonts w:ascii="Courier New" w:hAnsi="Courier New"/>
          <w:i/>
          <w:spacing w:val="-3"/>
          <w:sz w:val="28"/>
        </w:rPr>
        <w:t> </w:t>
      </w:r>
      <w:r>
        <w:rPr>
          <w:rFonts w:ascii="Courier New" w:hAnsi="Courier New"/>
          <w:i/>
          <w:sz w:val="28"/>
        </w:rPr>
        <w:t>”</w:t>
      </w:r>
      <w:r>
        <w:rPr>
          <w:rFonts w:ascii="Courier New" w:hAnsi="Courier New"/>
          <w:sz w:val="28"/>
        </w:rPr>
        <w:t>”</w:t>
      </w:r>
    </w:p>
    <w:p>
      <w:pPr>
        <w:pStyle w:val="BodyText"/>
        <w:rPr>
          <w:rFonts w:ascii="Courier New"/>
          <w:sz w:val="32"/>
        </w:rPr>
      </w:pPr>
    </w:p>
    <w:p>
      <w:pPr>
        <w:pStyle w:val="ListParagraph"/>
        <w:numPr>
          <w:ilvl w:val="0"/>
          <w:numId w:val="257"/>
        </w:numPr>
        <w:tabs>
          <w:tab w:pos="1000" w:val="left" w:leader="none"/>
        </w:tabs>
        <w:spacing w:line="240" w:lineRule="auto" w:before="271" w:after="0"/>
        <w:ind w:left="999" w:right="0" w:hanging="840"/>
        <w:jc w:val="left"/>
        <w:rPr>
          <w:rFonts w:ascii="Courier New"/>
          <w:sz w:val="28"/>
        </w:rPr>
      </w:pPr>
      <w:r>
        <w:rPr>
          <w:rFonts w:ascii="Courier New"/>
          <w:sz w:val="28"/>
        </w:rPr>
        <w:t>Further in his cross examination he states:</w:t>
      </w:r>
      <w:r>
        <w:rPr>
          <w:rFonts w:ascii="Courier New"/>
          <w:spacing w:val="-15"/>
          <w:sz w:val="28"/>
        </w:rPr>
        <w:t> </w:t>
      </w:r>
      <w:r>
        <w:rPr>
          <w:rFonts w:ascii="Courier New"/>
          <w:sz w:val="28"/>
        </w:rPr>
        <w:t>-</w:t>
      </w:r>
    </w:p>
    <w:p>
      <w:pPr>
        <w:pStyle w:val="BodyText"/>
        <w:spacing w:before="10"/>
        <w:rPr>
          <w:rFonts w:ascii="Courier New"/>
          <w:sz w:val="27"/>
        </w:rPr>
      </w:pPr>
    </w:p>
    <w:p>
      <w:pPr>
        <w:spacing w:line="240" w:lineRule="auto" w:before="0"/>
        <w:ind w:left="1012" w:right="1244" w:firstLine="0"/>
        <w:jc w:val="both"/>
        <w:rPr>
          <w:rFonts w:ascii="Courier New" w:hAnsi="Courier New"/>
          <w:sz w:val="28"/>
        </w:rPr>
      </w:pPr>
      <w:r>
        <w:rPr>
          <w:rFonts w:ascii="Courier New" w:hAnsi="Courier New"/>
          <w:i/>
          <w:sz w:val="28"/>
        </w:rPr>
        <w:t>“6.......</w:t>
      </w:r>
      <w:r>
        <w:rPr>
          <w:rFonts w:ascii="Courier New" w:hAnsi="Courier New"/>
          <w:i/>
          <w:spacing w:val="-26"/>
          <w:sz w:val="28"/>
        </w:rPr>
        <w:t> </w:t>
      </w:r>
      <w:r>
        <w:rPr>
          <w:rFonts w:ascii="Courier New" w:hAnsi="Courier New"/>
          <w:i/>
          <w:sz w:val="28"/>
        </w:rPr>
        <w:t>The</w:t>
      </w:r>
      <w:r>
        <w:rPr>
          <w:rFonts w:ascii="Courier New" w:hAnsi="Courier New"/>
          <w:i/>
          <w:spacing w:val="-27"/>
          <w:sz w:val="28"/>
        </w:rPr>
        <w:t> </w:t>
      </w:r>
      <w:r>
        <w:rPr>
          <w:rFonts w:ascii="Courier New" w:hAnsi="Courier New"/>
          <w:i/>
          <w:sz w:val="28"/>
        </w:rPr>
        <w:t>building</w:t>
      </w:r>
      <w:r>
        <w:rPr>
          <w:rFonts w:ascii="Courier New" w:hAnsi="Courier New"/>
          <w:i/>
          <w:spacing w:val="-25"/>
          <w:sz w:val="28"/>
        </w:rPr>
        <w:t> </w:t>
      </w:r>
      <w:r>
        <w:rPr>
          <w:rFonts w:ascii="Courier New" w:hAnsi="Courier New"/>
          <w:i/>
          <w:sz w:val="28"/>
        </w:rPr>
        <w:t>having</w:t>
      </w:r>
      <w:r>
        <w:rPr>
          <w:rFonts w:ascii="Courier New" w:hAnsi="Courier New"/>
          <w:i/>
          <w:spacing w:val="-26"/>
          <w:sz w:val="28"/>
        </w:rPr>
        <w:t> </w:t>
      </w:r>
      <w:r>
        <w:rPr>
          <w:rFonts w:ascii="Courier New" w:hAnsi="Courier New"/>
          <w:i/>
          <w:sz w:val="28"/>
        </w:rPr>
        <w:t>domEs</w:t>
      </w:r>
      <w:r>
        <w:rPr>
          <w:rFonts w:ascii="Courier New" w:hAnsi="Courier New"/>
          <w:i/>
          <w:spacing w:val="-25"/>
          <w:sz w:val="28"/>
        </w:rPr>
        <w:t> </w:t>
      </w:r>
      <w:r>
        <w:rPr>
          <w:rFonts w:ascii="Courier New" w:hAnsi="Courier New"/>
          <w:i/>
          <w:sz w:val="28"/>
        </w:rPr>
        <w:t>was</w:t>
      </w:r>
      <w:r>
        <w:rPr>
          <w:rFonts w:ascii="Courier New" w:hAnsi="Courier New"/>
          <w:i/>
          <w:spacing w:val="-25"/>
          <w:sz w:val="28"/>
        </w:rPr>
        <w:t> </w:t>
      </w:r>
      <w:r>
        <w:rPr>
          <w:rFonts w:ascii="Courier New" w:hAnsi="Courier New"/>
          <w:i/>
          <w:sz w:val="28"/>
        </w:rPr>
        <w:t>the </w:t>
      </w:r>
      <w:r>
        <w:rPr>
          <w:rFonts w:ascii="Courier New" w:hAnsi="Courier New"/>
          <w:i/>
          <w:sz w:val="28"/>
        </w:rPr>
        <w:t>holy sanctum sanctorum, where, it is believed that bhagwan Shri Ram had taken birth. Hindu pilgrims and Darshanarthies (viewers)</w:t>
      </w:r>
      <w:r>
        <w:rPr>
          <w:rFonts w:ascii="Courier New" w:hAnsi="Courier New"/>
          <w:i/>
          <w:spacing w:val="-26"/>
          <w:sz w:val="28"/>
        </w:rPr>
        <w:t> </w:t>
      </w:r>
      <w:r>
        <w:rPr>
          <w:rFonts w:ascii="Courier New" w:hAnsi="Courier New"/>
          <w:i/>
          <w:sz w:val="28"/>
        </w:rPr>
        <w:t>you</w:t>
      </w:r>
      <w:r>
        <w:rPr>
          <w:rFonts w:ascii="Courier New" w:hAnsi="Courier New"/>
          <w:i/>
          <w:spacing w:val="-28"/>
          <w:sz w:val="28"/>
        </w:rPr>
        <w:t> </w:t>
      </w:r>
      <w:r>
        <w:rPr>
          <w:rFonts w:ascii="Courier New" w:hAnsi="Courier New"/>
          <w:i/>
          <w:sz w:val="28"/>
        </w:rPr>
        <w:t>used</w:t>
      </w:r>
      <w:r>
        <w:rPr>
          <w:rFonts w:ascii="Courier New" w:hAnsi="Courier New"/>
          <w:i/>
          <w:spacing w:val="-25"/>
          <w:sz w:val="28"/>
        </w:rPr>
        <w:t> </w:t>
      </w:r>
      <w:r>
        <w:rPr>
          <w:rFonts w:ascii="Courier New" w:hAnsi="Courier New"/>
          <w:i/>
          <w:sz w:val="28"/>
        </w:rPr>
        <w:t>to</w:t>
      </w:r>
      <w:r>
        <w:rPr>
          <w:rFonts w:ascii="Courier New" w:hAnsi="Courier New"/>
          <w:i/>
          <w:spacing w:val="-26"/>
          <w:sz w:val="28"/>
        </w:rPr>
        <w:t> </w:t>
      </w:r>
      <w:r>
        <w:rPr>
          <w:rFonts w:ascii="Courier New" w:hAnsi="Courier New"/>
          <w:i/>
          <w:sz w:val="28"/>
        </w:rPr>
        <w:t>offer</w:t>
      </w:r>
      <w:r>
        <w:rPr>
          <w:rFonts w:ascii="Courier New" w:hAnsi="Courier New"/>
          <w:i/>
          <w:spacing w:val="-26"/>
          <w:sz w:val="28"/>
        </w:rPr>
        <w:t> </w:t>
      </w:r>
      <w:r>
        <w:rPr>
          <w:rFonts w:ascii="Courier New" w:hAnsi="Courier New"/>
          <w:i/>
          <w:sz w:val="28"/>
        </w:rPr>
        <w:t>fruits,</w:t>
      </w:r>
      <w:r>
        <w:rPr>
          <w:rFonts w:ascii="Courier New" w:hAnsi="Courier New"/>
          <w:i/>
          <w:spacing w:val="-25"/>
          <w:sz w:val="28"/>
        </w:rPr>
        <w:t> </w:t>
      </w:r>
      <w:r>
        <w:rPr>
          <w:rFonts w:ascii="Courier New" w:hAnsi="Courier New"/>
          <w:i/>
          <w:sz w:val="28"/>
        </w:rPr>
        <w:t>flowers and money there also, owing to their faith.</w:t>
      </w:r>
      <w:r>
        <w:rPr>
          <w:rFonts w:ascii="Courier New" w:hAnsi="Courier New"/>
          <w:i/>
          <w:spacing w:val="166"/>
          <w:sz w:val="28"/>
        </w:rPr>
        <w:t> </w:t>
      </w:r>
      <w:r>
        <w:rPr>
          <w:rFonts w:ascii="Courier New" w:hAnsi="Courier New"/>
          <w:sz w:val="28"/>
        </w:rPr>
        <w:t>”</w:t>
      </w:r>
    </w:p>
    <w:p>
      <w:pPr>
        <w:spacing w:after="0" w:line="240" w:lineRule="auto"/>
        <w:jc w:val="both"/>
        <w:rPr>
          <w:rFonts w:ascii="Courier New" w:hAnsi="Courier New"/>
          <w:sz w:val="28"/>
        </w:rPr>
        <w:sectPr>
          <w:headerReference w:type="default" r:id="rId416"/>
          <w:footerReference w:type="default" r:id="rId417"/>
          <w:pgSz w:w="11910" w:h="16840"/>
          <w:pgMar w:header="0" w:footer="1063" w:top="1340" w:bottom="1260" w:left="1280" w:right="1280"/>
          <w:pgNumType w:start="103"/>
        </w:sectPr>
      </w:pPr>
    </w:p>
    <w:p>
      <w:pPr>
        <w:pStyle w:val="ListParagraph"/>
        <w:numPr>
          <w:ilvl w:val="0"/>
          <w:numId w:val="257"/>
        </w:numPr>
        <w:tabs>
          <w:tab w:pos="995" w:val="left" w:leader="none"/>
        </w:tabs>
        <w:spacing w:line="480" w:lineRule="auto" w:before="86" w:after="0"/>
        <w:ind w:left="160" w:right="162" w:firstLine="0"/>
        <w:jc w:val="both"/>
        <w:rPr>
          <w:rFonts w:ascii="Courier New"/>
          <w:sz w:val="28"/>
        </w:rPr>
      </w:pPr>
      <w:r>
        <w:rPr>
          <w:rFonts w:ascii="Courier New"/>
          <w:sz w:val="28"/>
        </w:rPr>
        <w:t>Reiterating his faith in Ram Janam Bhumi in</w:t>
      </w:r>
      <w:r>
        <w:rPr>
          <w:rFonts w:ascii="Courier New"/>
          <w:spacing w:val="-63"/>
          <w:sz w:val="28"/>
        </w:rPr>
        <w:t> </w:t>
      </w:r>
      <w:r>
        <w:rPr>
          <w:rFonts w:ascii="Courier New"/>
          <w:sz w:val="28"/>
        </w:rPr>
        <w:t>cross examination he further states:</w:t>
      </w:r>
      <w:r>
        <w:rPr>
          <w:rFonts w:ascii="Courier New"/>
          <w:spacing w:val="-6"/>
          <w:sz w:val="28"/>
        </w:rPr>
        <w:t> </w:t>
      </w:r>
      <w:r>
        <w:rPr>
          <w:rFonts w:ascii="Courier New"/>
          <w:sz w:val="28"/>
        </w:rPr>
        <w:t>-</w:t>
      </w:r>
    </w:p>
    <w:p>
      <w:pPr>
        <w:spacing w:line="317" w:lineRule="exact" w:before="1"/>
        <w:ind w:left="1011" w:right="0" w:firstLine="0"/>
        <w:jc w:val="both"/>
        <w:rPr>
          <w:rFonts w:ascii="Courier New" w:hAnsi="Courier New"/>
          <w:i/>
          <w:sz w:val="28"/>
        </w:rPr>
      </w:pPr>
      <w:r>
        <w:rPr>
          <w:rFonts w:ascii="Courier New" w:hAnsi="Courier New"/>
          <w:sz w:val="28"/>
        </w:rPr>
        <w:t>“</w:t>
      </w:r>
      <w:r>
        <w:rPr>
          <w:rFonts w:ascii="Courier New" w:hAnsi="Courier New"/>
          <w:i/>
          <w:sz w:val="28"/>
        </w:rPr>
        <w:t>... It is right that in my above statement</w:t>
      </w:r>
    </w:p>
    <w:p>
      <w:pPr>
        <w:spacing w:line="240" w:lineRule="auto" w:before="0"/>
        <w:ind w:left="1011" w:right="1244" w:firstLine="0"/>
        <w:jc w:val="both"/>
        <w:rPr>
          <w:rFonts w:ascii="Courier New" w:hAnsi="Courier New"/>
          <w:i/>
          <w:sz w:val="28"/>
        </w:rPr>
      </w:pPr>
      <w:r>
        <w:rPr>
          <w:rFonts w:ascii="Courier New" w:hAnsi="Courier New"/>
          <w:i/>
          <w:sz w:val="28"/>
        </w:rPr>
        <w:t>1 had stated that the disputed site is the </w:t>
      </w:r>
      <w:r>
        <w:rPr>
          <w:rFonts w:ascii="Courier New" w:hAnsi="Courier New"/>
          <w:i/>
          <w:sz w:val="28"/>
        </w:rPr>
        <w:t>Janam Bhoomi of Ram. This faith of mine is not by reading any religious book but is based on what I have heard from old and aged persons. I am having this faith well before I came to Ayodhya. That is to say when I gained consciousness I have such faith and this was by hearing from the people.</w:t>
      </w:r>
      <w:r>
        <w:rPr>
          <w:rFonts w:ascii="Courier New" w:hAnsi="Courier New"/>
          <w:i/>
          <w:spacing w:val="-17"/>
          <w:sz w:val="28"/>
        </w:rPr>
        <w:t> </w:t>
      </w:r>
      <w:r>
        <w:rPr>
          <w:rFonts w:ascii="Courier New" w:hAnsi="Courier New"/>
          <w:i/>
          <w:sz w:val="28"/>
        </w:rPr>
        <w:t>In</w:t>
      </w:r>
      <w:r>
        <w:rPr>
          <w:rFonts w:ascii="Courier New" w:hAnsi="Courier New"/>
          <w:i/>
          <w:spacing w:val="-16"/>
          <w:sz w:val="28"/>
        </w:rPr>
        <w:t> </w:t>
      </w:r>
      <w:r>
        <w:rPr>
          <w:rFonts w:ascii="Courier New" w:hAnsi="Courier New"/>
          <w:i/>
          <w:sz w:val="28"/>
        </w:rPr>
        <w:t>between</w:t>
      </w:r>
      <w:r>
        <w:rPr>
          <w:rFonts w:ascii="Courier New" w:hAnsi="Courier New"/>
          <w:i/>
          <w:spacing w:val="-17"/>
          <w:sz w:val="28"/>
        </w:rPr>
        <w:t> </w:t>
      </w:r>
      <w:r>
        <w:rPr>
          <w:rFonts w:ascii="Courier New" w:hAnsi="Courier New"/>
          <w:i/>
          <w:sz w:val="28"/>
        </w:rPr>
        <w:t>1934</w:t>
      </w:r>
      <w:r>
        <w:rPr>
          <w:rFonts w:ascii="Courier New" w:hAnsi="Courier New"/>
          <w:i/>
          <w:spacing w:val="-16"/>
          <w:sz w:val="28"/>
        </w:rPr>
        <w:t> </w:t>
      </w:r>
      <w:r>
        <w:rPr>
          <w:rFonts w:ascii="Courier New" w:hAnsi="Courier New"/>
          <w:i/>
          <w:sz w:val="28"/>
        </w:rPr>
        <w:t>to</w:t>
      </w:r>
      <w:r>
        <w:rPr>
          <w:rFonts w:ascii="Courier New" w:hAnsi="Courier New"/>
          <w:i/>
          <w:spacing w:val="-16"/>
          <w:sz w:val="28"/>
        </w:rPr>
        <w:t> </w:t>
      </w:r>
      <w:r>
        <w:rPr>
          <w:rFonts w:ascii="Courier New" w:hAnsi="Courier New"/>
          <w:i/>
          <w:sz w:val="28"/>
        </w:rPr>
        <w:t>38</w:t>
      </w:r>
      <w:r>
        <w:rPr>
          <w:rFonts w:ascii="Courier New" w:hAnsi="Courier New"/>
          <w:i/>
          <w:spacing w:val="-17"/>
          <w:sz w:val="28"/>
        </w:rPr>
        <w:t> </w:t>
      </w:r>
      <w:r>
        <w:rPr>
          <w:rFonts w:ascii="Courier New" w:hAnsi="Courier New"/>
          <w:i/>
          <w:sz w:val="28"/>
        </w:rPr>
        <w:t>when</w:t>
      </w:r>
      <w:r>
        <w:rPr>
          <w:rFonts w:ascii="Courier New" w:hAnsi="Courier New"/>
          <w:i/>
          <w:spacing w:val="-16"/>
          <w:sz w:val="28"/>
        </w:rPr>
        <w:t> </w:t>
      </w:r>
      <w:r>
        <w:rPr>
          <w:rFonts w:ascii="Courier New" w:hAnsi="Courier New"/>
          <w:i/>
          <w:sz w:val="28"/>
        </w:rPr>
        <w:t>I</w:t>
      </w:r>
      <w:r>
        <w:rPr>
          <w:rFonts w:ascii="Courier New" w:hAnsi="Courier New"/>
          <w:i/>
          <w:spacing w:val="-17"/>
          <w:sz w:val="28"/>
        </w:rPr>
        <w:t> </w:t>
      </w:r>
      <w:r>
        <w:rPr>
          <w:rFonts w:ascii="Courier New" w:hAnsi="Courier New"/>
          <w:i/>
          <w:sz w:val="28"/>
        </w:rPr>
        <w:t>was</w:t>
      </w:r>
      <w:r>
        <w:rPr>
          <w:rFonts w:ascii="Courier New" w:hAnsi="Courier New"/>
          <w:i/>
          <w:spacing w:val="-16"/>
          <w:sz w:val="28"/>
        </w:rPr>
        <w:t> </w:t>
      </w:r>
      <w:r>
        <w:rPr>
          <w:rFonts w:ascii="Courier New" w:hAnsi="Courier New"/>
          <w:i/>
          <w:sz w:val="28"/>
        </w:rPr>
        <w:t>at Ayodhya, possibly I would have gone to the janambhumi</w:t>
      </w:r>
      <w:r>
        <w:rPr>
          <w:rFonts w:ascii="Courier New" w:hAnsi="Courier New"/>
          <w:i/>
          <w:spacing w:val="-32"/>
          <w:sz w:val="28"/>
        </w:rPr>
        <w:t> </w:t>
      </w:r>
      <w:r>
        <w:rPr>
          <w:rFonts w:ascii="Courier New" w:hAnsi="Courier New"/>
          <w:i/>
          <w:sz w:val="28"/>
        </w:rPr>
        <w:t>i.e.</w:t>
      </w:r>
      <w:r>
        <w:rPr>
          <w:rFonts w:ascii="Courier New" w:hAnsi="Courier New"/>
          <w:i/>
          <w:spacing w:val="-31"/>
          <w:sz w:val="28"/>
        </w:rPr>
        <w:t> </w:t>
      </w:r>
      <w:r>
        <w:rPr>
          <w:rFonts w:ascii="Courier New" w:hAnsi="Courier New"/>
          <w:i/>
          <w:sz w:val="28"/>
        </w:rPr>
        <w:t>the</w:t>
      </w:r>
      <w:r>
        <w:rPr>
          <w:rFonts w:ascii="Courier New" w:hAnsi="Courier New"/>
          <w:i/>
          <w:spacing w:val="-31"/>
          <w:sz w:val="28"/>
        </w:rPr>
        <w:t> </w:t>
      </w:r>
      <w:r>
        <w:rPr>
          <w:rFonts w:ascii="Courier New" w:hAnsi="Courier New"/>
          <w:i/>
          <w:sz w:val="28"/>
        </w:rPr>
        <w:t>disputed</w:t>
      </w:r>
      <w:r>
        <w:rPr>
          <w:rFonts w:ascii="Courier New" w:hAnsi="Courier New"/>
          <w:i/>
          <w:spacing w:val="-33"/>
          <w:sz w:val="28"/>
        </w:rPr>
        <w:t> </w:t>
      </w:r>
      <w:r>
        <w:rPr>
          <w:rFonts w:ascii="Courier New" w:hAnsi="Courier New"/>
          <w:i/>
          <w:sz w:val="28"/>
        </w:rPr>
        <w:t>site</w:t>
      </w:r>
      <w:r>
        <w:rPr>
          <w:rFonts w:ascii="Courier New" w:hAnsi="Courier New"/>
          <w:i/>
          <w:spacing w:val="-31"/>
          <w:sz w:val="28"/>
        </w:rPr>
        <w:t> </w:t>
      </w:r>
      <w:r>
        <w:rPr>
          <w:rFonts w:ascii="Courier New" w:hAnsi="Courier New"/>
          <w:i/>
          <w:sz w:val="28"/>
        </w:rPr>
        <w:t>thousands of</w:t>
      </w:r>
      <w:r>
        <w:rPr>
          <w:rFonts w:ascii="Courier New" w:hAnsi="Courier New"/>
          <w:i/>
          <w:spacing w:val="-17"/>
          <w:sz w:val="28"/>
        </w:rPr>
        <w:t> </w:t>
      </w:r>
      <w:r>
        <w:rPr>
          <w:rFonts w:ascii="Courier New" w:hAnsi="Courier New"/>
          <w:i/>
          <w:sz w:val="28"/>
        </w:rPr>
        <w:t>times.</w:t>
      </w:r>
      <w:r>
        <w:rPr>
          <w:rFonts w:ascii="Courier New" w:hAnsi="Courier New"/>
          <w:i/>
          <w:spacing w:val="-16"/>
          <w:sz w:val="28"/>
        </w:rPr>
        <w:t> </w:t>
      </w:r>
      <w:r>
        <w:rPr>
          <w:rFonts w:ascii="Courier New" w:hAnsi="Courier New"/>
          <w:i/>
          <w:sz w:val="28"/>
        </w:rPr>
        <w:t>During</w:t>
      </w:r>
      <w:r>
        <w:rPr>
          <w:rFonts w:ascii="Courier New" w:hAnsi="Courier New"/>
          <w:i/>
          <w:spacing w:val="-16"/>
          <w:sz w:val="28"/>
        </w:rPr>
        <w:t> </w:t>
      </w:r>
      <w:r>
        <w:rPr>
          <w:rFonts w:ascii="Courier New" w:hAnsi="Courier New"/>
          <w:i/>
          <w:sz w:val="28"/>
        </w:rPr>
        <w:t>my</w:t>
      </w:r>
      <w:r>
        <w:rPr>
          <w:rFonts w:ascii="Courier New" w:hAnsi="Courier New"/>
          <w:i/>
          <w:spacing w:val="-16"/>
          <w:sz w:val="28"/>
        </w:rPr>
        <w:t> </w:t>
      </w:r>
      <w:r>
        <w:rPr>
          <w:rFonts w:ascii="Courier New" w:hAnsi="Courier New"/>
          <w:i/>
          <w:sz w:val="28"/>
        </w:rPr>
        <w:t>studies</w:t>
      </w:r>
      <w:r>
        <w:rPr>
          <w:rFonts w:ascii="Courier New" w:hAnsi="Courier New"/>
          <w:i/>
          <w:spacing w:val="-19"/>
          <w:sz w:val="28"/>
        </w:rPr>
        <w:t> </w:t>
      </w:r>
      <w:r>
        <w:rPr>
          <w:rFonts w:ascii="Courier New" w:hAnsi="Courier New"/>
          <w:i/>
          <w:sz w:val="28"/>
        </w:rPr>
        <w:t>I</w:t>
      </w:r>
      <w:r>
        <w:rPr>
          <w:rFonts w:ascii="Courier New" w:hAnsi="Courier New"/>
          <w:i/>
          <w:spacing w:val="-16"/>
          <w:sz w:val="28"/>
        </w:rPr>
        <w:t> </w:t>
      </w:r>
      <w:r>
        <w:rPr>
          <w:rFonts w:ascii="Courier New" w:hAnsi="Courier New"/>
          <w:i/>
          <w:sz w:val="28"/>
        </w:rPr>
        <w:t>used</w:t>
      </w:r>
      <w:r>
        <w:rPr>
          <w:rFonts w:ascii="Courier New" w:hAnsi="Courier New"/>
          <w:i/>
          <w:spacing w:val="-17"/>
          <w:sz w:val="28"/>
        </w:rPr>
        <w:t> </w:t>
      </w:r>
      <w:r>
        <w:rPr>
          <w:rFonts w:ascii="Courier New" w:hAnsi="Courier New"/>
          <w:i/>
          <w:sz w:val="28"/>
        </w:rPr>
        <w:t>to</w:t>
      </w:r>
      <w:r>
        <w:rPr>
          <w:rFonts w:ascii="Courier New" w:hAnsi="Courier New"/>
          <w:i/>
          <w:spacing w:val="-16"/>
          <w:sz w:val="28"/>
        </w:rPr>
        <w:t> </w:t>
      </w:r>
      <w:r>
        <w:rPr>
          <w:rFonts w:ascii="Courier New" w:hAnsi="Courier New"/>
          <w:i/>
          <w:sz w:val="28"/>
        </w:rPr>
        <w:t>go</w:t>
      </w:r>
      <w:r>
        <w:rPr>
          <w:rFonts w:ascii="Courier New" w:hAnsi="Courier New"/>
          <w:i/>
          <w:spacing w:val="-16"/>
          <w:sz w:val="28"/>
        </w:rPr>
        <w:t> </w:t>
      </w:r>
      <w:r>
        <w:rPr>
          <w:rFonts w:ascii="Courier New" w:hAnsi="Courier New"/>
          <w:i/>
          <w:sz w:val="28"/>
        </w:rPr>
        <w:t>to the Janam Bhoomi...</w:t>
      </w:r>
      <w:r>
        <w:rPr>
          <w:rFonts w:ascii="Courier New" w:hAnsi="Courier New"/>
          <w:i/>
          <w:spacing w:val="-4"/>
          <w:sz w:val="28"/>
        </w:rPr>
        <w:t> </w:t>
      </w:r>
      <w:r>
        <w:rPr>
          <w:rFonts w:ascii="Courier New" w:hAnsi="Courier New"/>
          <w:i/>
          <w:sz w:val="28"/>
        </w:rPr>
        <w:t>”</w:t>
      </w:r>
    </w:p>
    <w:p>
      <w:pPr>
        <w:pStyle w:val="BodyText"/>
        <w:rPr>
          <w:rFonts w:ascii="Courier New"/>
          <w:i/>
          <w:sz w:val="32"/>
        </w:rPr>
      </w:pPr>
    </w:p>
    <w:p>
      <w:pPr>
        <w:pStyle w:val="ListParagraph"/>
        <w:numPr>
          <w:ilvl w:val="0"/>
          <w:numId w:val="257"/>
        </w:numPr>
        <w:tabs>
          <w:tab w:pos="1051" w:val="left" w:leader="none"/>
        </w:tabs>
        <w:spacing w:line="480" w:lineRule="auto" w:before="270" w:after="0"/>
        <w:ind w:left="160" w:right="160" w:firstLine="0"/>
        <w:jc w:val="both"/>
        <w:rPr>
          <w:rFonts w:ascii="Courier New"/>
          <w:sz w:val="28"/>
        </w:rPr>
      </w:pPr>
      <w:r>
        <w:rPr>
          <w:rFonts w:ascii="Courier New"/>
          <w:sz w:val="28"/>
        </w:rPr>
        <w:t>He in his statement also stated that there was Parikrama marg outside the west side wall of the disputed building and he used to do</w:t>
      </w:r>
      <w:r>
        <w:rPr>
          <w:rFonts w:ascii="Courier New"/>
          <w:spacing w:val="-14"/>
          <w:sz w:val="28"/>
        </w:rPr>
        <w:t> </w:t>
      </w:r>
      <w:r>
        <w:rPr>
          <w:rFonts w:ascii="Courier New"/>
          <w:sz w:val="28"/>
        </w:rPr>
        <w:t>Parikrama.</w:t>
      </w:r>
    </w:p>
    <w:p>
      <w:pPr>
        <w:spacing w:line="240" w:lineRule="auto" w:before="0"/>
        <w:ind w:left="1011" w:right="1245" w:firstLine="0"/>
        <w:jc w:val="both"/>
        <w:rPr>
          <w:rFonts w:ascii="Courier New" w:hAnsi="Courier New"/>
          <w:i/>
          <w:sz w:val="28"/>
        </w:rPr>
      </w:pPr>
      <w:r>
        <w:rPr>
          <w:rFonts w:ascii="Courier New" w:hAnsi="Courier New"/>
          <w:sz w:val="28"/>
        </w:rPr>
        <w:t>“</w:t>
      </w:r>
      <w:r>
        <w:rPr>
          <w:rFonts w:ascii="Courier New" w:hAnsi="Courier New"/>
          <w:i/>
          <w:sz w:val="28"/>
        </w:rPr>
        <w:t>....Outside the west side wall of the </w:t>
      </w:r>
      <w:r>
        <w:rPr>
          <w:rFonts w:ascii="Courier New" w:hAnsi="Courier New"/>
          <w:i/>
          <w:sz w:val="28"/>
        </w:rPr>
        <w:t>disputed building there was a Parikrama Marg(route) close to the wall and walking on this route I used to perform Parikrama(religious round). This route was made</w:t>
      </w:r>
      <w:r>
        <w:rPr>
          <w:rFonts w:ascii="Courier New" w:hAnsi="Courier New"/>
          <w:i/>
          <w:spacing w:val="-20"/>
          <w:sz w:val="28"/>
        </w:rPr>
        <w:t> </w:t>
      </w:r>
      <w:r>
        <w:rPr>
          <w:rFonts w:ascii="Courier New" w:hAnsi="Courier New"/>
          <w:i/>
          <w:sz w:val="28"/>
        </w:rPr>
        <w:t>walk</w:t>
      </w:r>
      <w:r>
        <w:rPr>
          <w:rFonts w:ascii="Courier New" w:hAnsi="Courier New"/>
          <w:i/>
          <w:spacing w:val="-19"/>
          <w:sz w:val="28"/>
        </w:rPr>
        <w:t> </w:t>
      </w:r>
      <w:r>
        <w:rPr>
          <w:rFonts w:ascii="Courier New" w:hAnsi="Courier New"/>
          <w:i/>
          <w:sz w:val="28"/>
        </w:rPr>
        <w:t>able</w:t>
      </w:r>
      <w:r>
        <w:rPr>
          <w:rFonts w:ascii="Courier New" w:hAnsi="Courier New"/>
          <w:i/>
          <w:spacing w:val="-20"/>
          <w:sz w:val="28"/>
        </w:rPr>
        <w:t> </w:t>
      </w:r>
      <w:r>
        <w:rPr>
          <w:rFonts w:ascii="Courier New" w:hAnsi="Courier New"/>
          <w:i/>
          <w:sz w:val="28"/>
        </w:rPr>
        <w:t>and</w:t>
      </w:r>
      <w:r>
        <w:rPr>
          <w:rFonts w:ascii="Courier New" w:hAnsi="Courier New"/>
          <w:i/>
          <w:spacing w:val="-19"/>
          <w:sz w:val="28"/>
        </w:rPr>
        <w:t> </w:t>
      </w:r>
      <w:r>
        <w:rPr>
          <w:rFonts w:ascii="Courier New" w:hAnsi="Courier New"/>
          <w:i/>
          <w:sz w:val="28"/>
        </w:rPr>
        <w:t>some</w:t>
      </w:r>
      <w:r>
        <w:rPr>
          <w:rFonts w:ascii="Courier New" w:hAnsi="Courier New"/>
          <w:i/>
          <w:spacing w:val="-19"/>
          <w:sz w:val="28"/>
        </w:rPr>
        <w:t> </w:t>
      </w:r>
      <w:r>
        <w:rPr>
          <w:rFonts w:ascii="Courier New" w:hAnsi="Courier New"/>
          <w:i/>
          <w:sz w:val="28"/>
        </w:rPr>
        <w:t>old</w:t>
      </w:r>
      <w:r>
        <w:rPr>
          <w:rFonts w:ascii="Courier New" w:hAnsi="Courier New"/>
          <w:i/>
          <w:spacing w:val="-20"/>
          <w:sz w:val="28"/>
        </w:rPr>
        <w:t> </w:t>
      </w:r>
      <w:r>
        <w:rPr>
          <w:rFonts w:ascii="Courier New" w:hAnsi="Courier New"/>
          <w:i/>
          <w:sz w:val="28"/>
        </w:rPr>
        <w:t>brick</w:t>
      </w:r>
      <w:r>
        <w:rPr>
          <w:rFonts w:ascii="Courier New" w:hAnsi="Courier New"/>
          <w:i/>
          <w:spacing w:val="-19"/>
          <w:sz w:val="28"/>
        </w:rPr>
        <w:t> </w:t>
      </w:r>
      <w:r>
        <w:rPr>
          <w:rFonts w:ascii="Courier New" w:hAnsi="Courier New"/>
          <w:i/>
          <w:sz w:val="28"/>
        </w:rPr>
        <w:t>were</w:t>
      </w:r>
      <w:r>
        <w:rPr>
          <w:rFonts w:ascii="Courier New" w:hAnsi="Courier New"/>
          <w:i/>
          <w:spacing w:val="-19"/>
          <w:sz w:val="28"/>
        </w:rPr>
        <w:t> </w:t>
      </w:r>
      <w:r>
        <w:rPr>
          <w:rFonts w:ascii="Courier New" w:hAnsi="Courier New"/>
          <w:i/>
          <w:sz w:val="28"/>
        </w:rPr>
        <w:t>laid on it.</w:t>
      </w:r>
      <w:r>
        <w:rPr>
          <w:rFonts w:ascii="Courier New" w:hAnsi="Courier New"/>
          <w:i/>
          <w:spacing w:val="166"/>
          <w:sz w:val="28"/>
        </w:rPr>
        <w:t> </w:t>
      </w:r>
      <w:r>
        <w:rPr>
          <w:rFonts w:ascii="Courier New" w:hAnsi="Courier New"/>
          <w:i/>
          <w:sz w:val="28"/>
        </w:rPr>
        <w:t>”</w:t>
      </w:r>
    </w:p>
    <w:p>
      <w:pPr>
        <w:pStyle w:val="BodyText"/>
        <w:rPr>
          <w:rFonts w:ascii="Courier New"/>
          <w:i/>
          <w:sz w:val="32"/>
        </w:rPr>
      </w:pPr>
    </w:p>
    <w:p>
      <w:pPr>
        <w:pStyle w:val="ListParagraph"/>
        <w:numPr>
          <w:ilvl w:val="0"/>
          <w:numId w:val="257"/>
        </w:numPr>
        <w:tabs>
          <w:tab w:pos="1029" w:val="left" w:leader="none"/>
        </w:tabs>
        <w:spacing w:line="480" w:lineRule="auto" w:before="274" w:after="0"/>
        <w:ind w:left="160" w:right="158" w:firstLine="0"/>
        <w:jc w:val="both"/>
        <w:rPr>
          <w:rFonts w:ascii="Courier New"/>
          <w:sz w:val="28"/>
        </w:rPr>
      </w:pPr>
      <w:r>
        <w:rPr>
          <w:rFonts w:ascii="Courier New"/>
          <w:sz w:val="28"/>
        </w:rPr>
        <w:t>In his statement he also stated that he used to perform Parikrama through the Parikrama</w:t>
      </w:r>
      <w:r>
        <w:rPr>
          <w:rFonts w:ascii="Courier New"/>
          <w:spacing w:val="-12"/>
          <w:sz w:val="28"/>
        </w:rPr>
        <w:t> </w:t>
      </w:r>
      <w:r>
        <w:rPr>
          <w:rFonts w:ascii="Courier New"/>
          <w:sz w:val="28"/>
        </w:rPr>
        <w:t>Marg.</w:t>
      </w:r>
    </w:p>
    <w:p>
      <w:pPr>
        <w:spacing w:after="0" w:line="480" w:lineRule="auto"/>
        <w:jc w:val="both"/>
        <w:rPr>
          <w:rFonts w:ascii="Courier New"/>
          <w:sz w:val="28"/>
        </w:rPr>
        <w:sectPr>
          <w:headerReference w:type="default" r:id="rId418"/>
          <w:footerReference w:type="default" r:id="rId419"/>
          <w:pgSz w:w="11910" w:h="16840"/>
          <w:pgMar w:header="0" w:footer="1063" w:top="1340" w:bottom="1260" w:left="1280" w:right="1280"/>
          <w:pgNumType w:start="104"/>
        </w:sectPr>
      </w:pPr>
    </w:p>
    <w:p>
      <w:pPr>
        <w:pStyle w:val="ListParagraph"/>
        <w:numPr>
          <w:ilvl w:val="0"/>
          <w:numId w:val="257"/>
        </w:numPr>
        <w:tabs>
          <w:tab w:pos="1015" w:val="left" w:leader="none"/>
        </w:tabs>
        <w:spacing w:line="480" w:lineRule="auto" w:before="86" w:after="0"/>
        <w:ind w:left="160" w:right="158" w:firstLine="0"/>
        <w:jc w:val="both"/>
        <w:rPr>
          <w:rFonts w:ascii="Courier New" w:hAnsi="Courier New"/>
          <w:sz w:val="28"/>
        </w:rPr>
      </w:pPr>
      <w:r>
        <w:rPr>
          <w:rFonts w:ascii="Courier New" w:hAnsi="Courier New"/>
          <w:sz w:val="28"/>
        </w:rPr>
        <w:t>Next statement to be noticed is the statement of OPW-5 Ram Nath Mishra who was aged 91 years(as on 06.08.2006). He claimed to have come to Ayodhya in</w:t>
      </w:r>
      <w:r>
        <w:rPr>
          <w:rFonts w:ascii="Courier New" w:hAnsi="Courier New"/>
          <w:spacing w:val="-70"/>
          <w:sz w:val="28"/>
        </w:rPr>
        <w:t> </w:t>
      </w:r>
      <w:r>
        <w:rPr>
          <w:rFonts w:ascii="Courier New" w:hAnsi="Courier New"/>
          <w:sz w:val="28"/>
        </w:rPr>
        <w:t>the Baisakh month of 1932. He used to work as “Teerth Purohit”. In his cross-examination he</w:t>
      </w:r>
      <w:r>
        <w:rPr>
          <w:rFonts w:ascii="Courier New" w:hAnsi="Courier New"/>
          <w:spacing w:val="-11"/>
          <w:sz w:val="28"/>
        </w:rPr>
        <w:t> </w:t>
      </w:r>
      <w:r>
        <w:rPr>
          <w:rFonts w:ascii="Courier New" w:hAnsi="Courier New"/>
          <w:sz w:val="28"/>
        </w:rPr>
        <w:t>states:-</w:t>
      </w:r>
    </w:p>
    <w:p>
      <w:pPr>
        <w:spacing w:line="240" w:lineRule="auto" w:before="0"/>
        <w:ind w:left="1012" w:right="1246" w:firstLine="0"/>
        <w:jc w:val="both"/>
        <w:rPr>
          <w:rFonts w:ascii="Courier New" w:hAnsi="Courier New"/>
          <w:sz w:val="28"/>
        </w:rPr>
      </w:pPr>
      <w:r>
        <w:rPr>
          <w:rFonts w:ascii="Courier New" w:hAnsi="Courier New"/>
          <w:sz w:val="28"/>
        </w:rPr>
        <w:t>“</w:t>
      </w:r>
      <w:r>
        <w:rPr>
          <w:rFonts w:ascii="Courier New" w:hAnsi="Courier New"/>
          <w:i/>
          <w:sz w:val="28"/>
        </w:rPr>
        <w:t>.... According to elderly people, it was </w:t>
      </w:r>
      <w:r>
        <w:rPr>
          <w:rFonts w:ascii="Courier New" w:hAnsi="Courier New"/>
          <w:i/>
          <w:sz w:val="28"/>
        </w:rPr>
        <w:t>under the central dome the Lord Rama was born</w:t>
      </w:r>
      <w:r>
        <w:rPr>
          <w:rFonts w:ascii="Courier New" w:hAnsi="Courier New"/>
          <w:i/>
          <w:spacing w:val="-17"/>
          <w:sz w:val="28"/>
        </w:rPr>
        <w:t> </w:t>
      </w:r>
      <w:r>
        <w:rPr>
          <w:rFonts w:ascii="Courier New" w:hAnsi="Courier New"/>
          <w:i/>
          <w:sz w:val="28"/>
        </w:rPr>
        <w:t>as</w:t>
      </w:r>
      <w:r>
        <w:rPr>
          <w:rFonts w:ascii="Courier New" w:hAnsi="Courier New"/>
          <w:i/>
          <w:spacing w:val="-17"/>
          <w:sz w:val="28"/>
        </w:rPr>
        <w:t> </w:t>
      </w:r>
      <w:r>
        <w:rPr>
          <w:rFonts w:ascii="Courier New" w:hAnsi="Courier New"/>
          <w:i/>
          <w:sz w:val="28"/>
        </w:rPr>
        <w:t>the</w:t>
      </w:r>
      <w:r>
        <w:rPr>
          <w:rFonts w:ascii="Courier New" w:hAnsi="Courier New"/>
          <w:i/>
          <w:spacing w:val="-16"/>
          <w:sz w:val="28"/>
        </w:rPr>
        <w:t> </w:t>
      </w:r>
      <w:r>
        <w:rPr>
          <w:rFonts w:ascii="Courier New" w:hAnsi="Courier New"/>
          <w:i/>
          <w:sz w:val="28"/>
        </w:rPr>
        <w:t>son</w:t>
      </w:r>
      <w:r>
        <w:rPr>
          <w:rFonts w:ascii="Courier New" w:hAnsi="Courier New"/>
          <w:i/>
          <w:spacing w:val="-17"/>
          <w:sz w:val="28"/>
        </w:rPr>
        <w:t> </w:t>
      </w:r>
      <w:r>
        <w:rPr>
          <w:rFonts w:ascii="Courier New" w:hAnsi="Courier New"/>
          <w:i/>
          <w:sz w:val="28"/>
        </w:rPr>
        <w:t>of</w:t>
      </w:r>
      <w:r>
        <w:rPr>
          <w:rFonts w:ascii="Courier New" w:hAnsi="Courier New"/>
          <w:i/>
          <w:spacing w:val="-17"/>
          <w:sz w:val="28"/>
        </w:rPr>
        <w:t> </w:t>
      </w:r>
      <w:r>
        <w:rPr>
          <w:rFonts w:ascii="Courier New" w:hAnsi="Courier New"/>
          <w:i/>
          <w:sz w:val="28"/>
        </w:rPr>
        <w:t>king</w:t>
      </w:r>
      <w:r>
        <w:rPr>
          <w:rFonts w:ascii="Courier New" w:hAnsi="Courier New"/>
          <w:i/>
          <w:spacing w:val="-16"/>
          <w:sz w:val="28"/>
        </w:rPr>
        <w:t> </w:t>
      </w:r>
      <w:r>
        <w:rPr>
          <w:rFonts w:ascii="Courier New" w:hAnsi="Courier New"/>
          <w:i/>
          <w:sz w:val="28"/>
        </w:rPr>
        <w:t>Dashrath.</w:t>
      </w:r>
      <w:r>
        <w:rPr>
          <w:rFonts w:ascii="Courier New" w:hAnsi="Courier New"/>
          <w:i/>
          <w:spacing w:val="-17"/>
          <w:sz w:val="28"/>
        </w:rPr>
        <w:t> </w:t>
      </w:r>
      <w:r>
        <w:rPr>
          <w:rFonts w:ascii="Courier New" w:hAnsi="Courier New"/>
          <w:i/>
          <w:sz w:val="28"/>
        </w:rPr>
        <w:t>It</w:t>
      </w:r>
      <w:r>
        <w:rPr>
          <w:rFonts w:ascii="Courier New" w:hAnsi="Courier New"/>
          <w:i/>
          <w:spacing w:val="-16"/>
          <w:sz w:val="28"/>
        </w:rPr>
        <w:t> </w:t>
      </w:r>
      <w:r>
        <w:rPr>
          <w:rFonts w:ascii="Courier New" w:hAnsi="Courier New"/>
          <w:i/>
          <w:sz w:val="28"/>
        </w:rPr>
        <w:t>was</w:t>
      </w:r>
      <w:r>
        <w:rPr>
          <w:rFonts w:ascii="Courier New" w:hAnsi="Courier New"/>
          <w:i/>
          <w:spacing w:val="-17"/>
          <w:sz w:val="28"/>
        </w:rPr>
        <w:t> </w:t>
      </w:r>
      <w:r>
        <w:rPr>
          <w:rFonts w:ascii="Courier New" w:hAnsi="Courier New"/>
          <w:i/>
          <w:sz w:val="28"/>
        </w:rPr>
        <w:t>on the basis of this faith and belief that I and</w:t>
      </w:r>
      <w:r>
        <w:rPr>
          <w:rFonts w:ascii="Courier New" w:hAnsi="Courier New"/>
          <w:i/>
          <w:spacing w:val="-42"/>
          <w:sz w:val="28"/>
        </w:rPr>
        <w:t> </w:t>
      </w:r>
      <w:r>
        <w:rPr>
          <w:rFonts w:ascii="Courier New" w:hAnsi="Courier New"/>
          <w:i/>
          <w:sz w:val="28"/>
        </w:rPr>
        <w:t>all</w:t>
      </w:r>
      <w:r>
        <w:rPr>
          <w:rFonts w:ascii="Courier New" w:hAnsi="Courier New"/>
          <w:i/>
          <w:spacing w:val="-41"/>
          <w:sz w:val="28"/>
        </w:rPr>
        <w:t> </w:t>
      </w:r>
      <w:r>
        <w:rPr>
          <w:rFonts w:ascii="Courier New" w:hAnsi="Courier New"/>
          <w:i/>
          <w:sz w:val="28"/>
        </w:rPr>
        <w:t>the</w:t>
      </w:r>
      <w:r>
        <w:rPr>
          <w:rFonts w:ascii="Courier New" w:hAnsi="Courier New"/>
          <w:i/>
          <w:spacing w:val="-41"/>
          <w:sz w:val="28"/>
        </w:rPr>
        <w:t> </w:t>
      </w:r>
      <w:r>
        <w:rPr>
          <w:rFonts w:ascii="Courier New" w:hAnsi="Courier New"/>
          <w:i/>
          <w:sz w:val="28"/>
        </w:rPr>
        <w:t>Hindu</w:t>
      </w:r>
      <w:r>
        <w:rPr>
          <w:rFonts w:ascii="Courier New" w:hAnsi="Courier New"/>
          <w:i/>
          <w:spacing w:val="-41"/>
          <w:sz w:val="28"/>
        </w:rPr>
        <w:t> </w:t>
      </w:r>
      <w:r>
        <w:rPr>
          <w:rFonts w:ascii="Courier New" w:hAnsi="Courier New"/>
          <w:i/>
          <w:sz w:val="28"/>
        </w:rPr>
        <w:t>devotees</w:t>
      </w:r>
      <w:r>
        <w:rPr>
          <w:rFonts w:ascii="Courier New" w:hAnsi="Courier New"/>
          <w:i/>
          <w:spacing w:val="-40"/>
          <w:sz w:val="28"/>
        </w:rPr>
        <w:t> </w:t>
      </w:r>
      <w:r>
        <w:rPr>
          <w:rFonts w:ascii="Courier New" w:hAnsi="Courier New"/>
          <w:i/>
          <w:sz w:val="28"/>
        </w:rPr>
        <w:t>of</w:t>
      </w:r>
      <w:r>
        <w:rPr>
          <w:rFonts w:ascii="Courier New" w:hAnsi="Courier New"/>
          <w:i/>
          <w:spacing w:val="-39"/>
          <w:sz w:val="28"/>
        </w:rPr>
        <w:t> </w:t>
      </w:r>
      <w:r>
        <w:rPr>
          <w:rFonts w:ascii="Courier New" w:hAnsi="Courier New"/>
          <w:i/>
          <w:sz w:val="28"/>
        </w:rPr>
        <w:t>Lord</w:t>
      </w:r>
      <w:r>
        <w:rPr>
          <w:rFonts w:ascii="Courier New" w:hAnsi="Courier New"/>
          <w:i/>
          <w:spacing w:val="-41"/>
          <w:sz w:val="28"/>
        </w:rPr>
        <w:t> </w:t>
      </w:r>
      <w:r>
        <w:rPr>
          <w:rFonts w:ascii="Courier New" w:hAnsi="Courier New"/>
          <w:i/>
          <w:sz w:val="28"/>
        </w:rPr>
        <w:t>Rama</w:t>
      </w:r>
      <w:r>
        <w:rPr>
          <w:rFonts w:ascii="Courier New" w:hAnsi="Courier New"/>
          <w:i/>
          <w:spacing w:val="-41"/>
          <w:sz w:val="28"/>
        </w:rPr>
        <w:t> </w:t>
      </w:r>
      <w:r>
        <w:rPr>
          <w:rFonts w:ascii="Courier New" w:hAnsi="Courier New"/>
          <w:i/>
          <w:sz w:val="28"/>
        </w:rPr>
        <w:t>used to have the darshan of Shri Ram Janam Bhoomi. It was considered to be sacrosanct place and a place worth worshipping.</w:t>
      </w:r>
      <w:r>
        <w:rPr>
          <w:rFonts w:ascii="Courier New" w:hAnsi="Courier New"/>
          <w:i/>
          <w:spacing w:val="152"/>
          <w:sz w:val="28"/>
        </w:rPr>
        <w:t> </w:t>
      </w:r>
      <w:r>
        <w:rPr>
          <w:rFonts w:ascii="Courier New" w:hAnsi="Courier New"/>
          <w:sz w:val="28"/>
        </w:rPr>
        <w:t>”</w:t>
      </w:r>
    </w:p>
    <w:p>
      <w:pPr>
        <w:pStyle w:val="BodyText"/>
        <w:rPr>
          <w:rFonts w:ascii="Courier New"/>
          <w:sz w:val="32"/>
        </w:rPr>
      </w:pPr>
    </w:p>
    <w:p>
      <w:pPr>
        <w:pStyle w:val="ListParagraph"/>
        <w:numPr>
          <w:ilvl w:val="0"/>
          <w:numId w:val="257"/>
        </w:numPr>
        <w:tabs>
          <w:tab w:pos="1000" w:val="left" w:leader="none"/>
        </w:tabs>
        <w:spacing w:line="240" w:lineRule="auto" w:before="271" w:after="0"/>
        <w:ind w:left="999" w:right="0" w:hanging="840"/>
        <w:jc w:val="both"/>
        <w:rPr>
          <w:rFonts w:ascii="Courier New"/>
          <w:sz w:val="28"/>
        </w:rPr>
      </w:pPr>
      <w:r>
        <w:rPr>
          <w:rFonts w:ascii="Courier New"/>
          <w:sz w:val="28"/>
        </w:rPr>
        <w:t>He further states:</w:t>
      </w:r>
      <w:r>
        <w:rPr>
          <w:rFonts w:ascii="Courier New"/>
          <w:spacing w:val="-4"/>
          <w:sz w:val="28"/>
        </w:rPr>
        <w:t> </w:t>
      </w:r>
      <w:r>
        <w:rPr>
          <w:rFonts w:ascii="Courier New"/>
          <w:sz w:val="28"/>
        </w:rPr>
        <w:t>-</w:t>
      </w:r>
    </w:p>
    <w:p>
      <w:pPr>
        <w:pStyle w:val="BodyText"/>
        <w:spacing w:before="1"/>
        <w:rPr>
          <w:rFonts w:ascii="Courier New"/>
          <w:sz w:val="28"/>
        </w:rPr>
      </w:pPr>
    </w:p>
    <w:p>
      <w:pPr>
        <w:spacing w:line="240" w:lineRule="auto" w:before="1"/>
        <w:ind w:left="1011" w:right="1244" w:firstLine="0"/>
        <w:jc w:val="both"/>
        <w:rPr>
          <w:rFonts w:ascii="Courier New" w:hAnsi="Courier New"/>
          <w:i/>
          <w:sz w:val="28"/>
        </w:rPr>
      </w:pPr>
      <w:r>
        <w:rPr>
          <w:rFonts w:ascii="Courier New" w:hAnsi="Courier New"/>
          <w:sz w:val="28"/>
        </w:rPr>
        <w:t>“</w:t>
      </w:r>
      <w:r>
        <w:rPr>
          <w:rFonts w:ascii="Courier New" w:hAnsi="Courier New"/>
          <w:i/>
          <w:sz w:val="28"/>
        </w:rPr>
        <w:t>... All the Hindus have this old </w:t>
      </w:r>
      <w:r>
        <w:rPr>
          <w:rFonts w:ascii="Courier New" w:hAnsi="Courier New"/>
          <w:i/>
          <w:sz w:val="28"/>
        </w:rPr>
        <w:t>traditional belief that Lord Vishnu was born as the son of king Dashrath at this place</w:t>
      </w:r>
      <w:r>
        <w:rPr>
          <w:rFonts w:ascii="Courier New" w:hAnsi="Courier New"/>
          <w:i/>
          <w:spacing w:val="-17"/>
          <w:sz w:val="28"/>
        </w:rPr>
        <w:t> </w:t>
      </w:r>
      <w:r>
        <w:rPr>
          <w:rFonts w:ascii="Courier New" w:hAnsi="Courier New"/>
          <w:i/>
          <w:sz w:val="28"/>
        </w:rPr>
        <w:t>only</w:t>
      </w:r>
      <w:r>
        <w:rPr>
          <w:rFonts w:ascii="Courier New" w:hAnsi="Courier New"/>
          <w:i/>
          <w:spacing w:val="-16"/>
          <w:sz w:val="28"/>
        </w:rPr>
        <w:t> </w:t>
      </w:r>
      <w:r>
        <w:rPr>
          <w:rFonts w:ascii="Courier New" w:hAnsi="Courier New"/>
          <w:i/>
          <w:sz w:val="28"/>
        </w:rPr>
        <w:t>and</w:t>
      </w:r>
      <w:r>
        <w:rPr>
          <w:rFonts w:ascii="Courier New" w:hAnsi="Courier New"/>
          <w:i/>
          <w:spacing w:val="-17"/>
          <w:sz w:val="28"/>
        </w:rPr>
        <w:t> </w:t>
      </w:r>
      <w:r>
        <w:rPr>
          <w:rFonts w:ascii="Courier New" w:hAnsi="Courier New"/>
          <w:i/>
          <w:sz w:val="28"/>
        </w:rPr>
        <w:t>that</w:t>
      </w:r>
      <w:r>
        <w:rPr>
          <w:rFonts w:ascii="Courier New" w:hAnsi="Courier New"/>
          <w:i/>
          <w:spacing w:val="-16"/>
          <w:sz w:val="28"/>
        </w:rPr>
        <w:t> </w:t>
      </w:r>
      <w:r>
        <w:rPr>
          <w:rFonts w:ascii="Courier New" w:hAnsi="Courier New"/>
          <w:i/>
          <w:sz w:val="28"/>
        </w:rPr>
        <w:t>is</w:t>
      </w:r>
      <w:r>
        <w:rPr>
          <w:rFonts w:ascii="Courier New" w:hAnsi="Courier New"/>
          <w:i/>
          <w:spacing w:val="-16"/>
          <w:sz w:val="28"/>
        </w:rPr>
        <w:t> </w:t>
      </w:r>
      <w:r>
        <w:rPr>
          <w:rFonts w:ascii="Courier New" w:hAnsi="Courier New"/>
          <w:i/>
          <w:sz w:val="28"/>
        </w:rPr>
        <w:t>why</w:t>
      </w:r>
      <w:r>
        <w:rPr>
          <w:rFonts w:ascii="Courier New" w:hAnsi="Courier New"/>
          <w:i/>
          <w:spacing w:val="-17"/>
          <w:sz w:val="28"/>
        </w:rPr>
        <w:t> </w:t>
      </w:r>
      <w:r>
        <w:rPr>
          <w:rFonts w:ascii="Courier New" w:hAnsi="Courier New"/>
          <w:i/>
          <w:sz w:val="28"/>
        </w:rPr>
        <w:t>this</w:t>
      </w:r>
      <w:r>
        <w:rPr>
          <w:rFonts w:ascii="Courier New" w:hAnsi="Courier New"/>
          <w:i/>
          <w:spacing w:val="-16"/>
          <w:sz w:val="28"/>
        </w:rPr>
        <w:t> </w:t>
      </w:r>
      <w:r>
        <w:rPr>
          <w:rFonts w:ascii="Courier New" w:hAnsi="Courier New"/>
          <w:i/>
          <w:sz w:val="28"/>
        </w:rPr>
        <w:t>place</w:t>
      </w:r>
      <w:r>
        <w:rPr>
          <w:rFonts w:ascii="Courier New" w:hAnsi="Courier New"/>
          <w:i/>
          <w:spacing w:val="-17"/>
          <w:sz w:val="28"/>
        </w:rPr>
        <w:t> </w:t>
      </w:r>
      <w:r>
        <w:rPr>
          <w:rFonts w:ascii="Courier New" w:hAnsi="Courier New"/>
          <w:i/>
          <w:sz w:val="28"/>
        </w:rPr>
        <w:t>is</w:t>
      </w:r>
      <w:r>
        <w:rPr>
          <w:rFonts w:ascii="Courier New" w:hAnsi="Courier New"/>
          <w:i/>
          <w:spacing w:val="-16"/>
          <w:sz w:val="28"/>
        </w:rPr>
        <w:t> </w:t>
      </w:r>
      <w:r>
        <w:rPr>
          <w:rFonts w:ascii="Courier New" w:hAnsi="Courier New"/>
          <w:i/>
          <w:sz w:val="28"/>
        </w:rPr>
        <w:t>so sacred and worthy of worship. It is on the basis of this faith and belief that lakhs of</w:t>
      </w:r>
      <w:r>
        <w:rPr>
          <w:rFonts w:ascii="Courier New" w:hAnsi="Courier New"/>
          <w:i/>
          <w:spacing w:val="-22"/>
          <w:sz w:val="28"/>
        </w:rPr>
        <w:t> </w:t>
      </w:r>
      <w:r>
        <w:rPr>
          <w:rFonts w:ascii="Courier New" w:hAnsi="Courier New"/>
          <w:i/>
          <w:sz w:val="28"/>
        </w:rPr>
        <w:t>pilgrims</w:t>
      </w:r>
      <w:r>
        <w:rPr>
          <w:rFonts w:ascii="Courier New" w:hAnsi="Courier New"/>
          <w:i/>
          <w:spacing w:val="-22"/>
          <w:sz w:val="28"/>
        </w:rPr>
        <w:t> </w:t>
      </w:r>
      <w:r>
        <w:rPr>
          <w:rFonts w:ascii="Courier New" w:hAnsi="Courier New"/>
          <w:i/>
          <w:sz w:val="28"/>
        </w:rPr>
        <w:t>have</w:t>
      </w:r>
      <w:r>
        <w:rPr>
          <w:rFonts w:ascii="Courier New" w:hAnsi="Courier New"/>
          <w:i/>
          <w:spacing w:val="-22"/>
          <w:sz w:val="28"/>
        </w:rPr>
        <w:t> </w:t>
      </w:r>
      <w:r>
        <w:rPr>
          <w:rFonts w:ascii="Courier New" w:hAnsi="Courier New"/>
          <w:i/>
          <w:sz w:val="28"/>
        </w:rPr>
        <w:t>been</w:t>
      </w:r>
      <w:r>
        <w:rPr>
          <w:rFonts w:ascii="Courier New" w:hAnsi="Courier New"/>
          <w:i/>
          <w:spacing w:val="-22"/>
          <w:sz w:val="28"/>
        </w:rPr>
        <w:t> </w:t>
      </w:r>
      <w:r>
        <w:rPr>
          <w:rFonts w:ascii="Courier New" w:hAnsi="Courier New"/>
          <w:i/>
          <w:sz w:val="28"/>
        </w:rPr>
        <w:t>coming</w:t>
      </w:r>
      <w:r>
        <w:rPr>
          <w:rFonts w:ascii="Courier New" w:hAnsi="Courier New"/>
          <w:i/>
          <w:spacing w:val="-21"/>
          <w:sz w:val="28"/>
        </w:rPr>
        <w:t> </w:t>
      </w:r>
      <w:r>
        <w:rPr>
          <w:rFonts w:ascii="Courier New" w:hAnsi="Courier New"/>
          <w:i/>
          <w:sz w:val="28"/>
        </w:rPr>
        <w:t>to</w:t>
      </w:r>
      <w:r>
        <w:rPr>
          <w:rFonts w:ascii="Courier New" w:hAnsi="Courier New"/>
          <w:i/>
          <w:spacing w:val="-22"/>
          <w:sz w:val="28"/>
        </w:rPr>
        <w:t> </w:t>
      </w:r>
      <w:r>
        <w:rPr>
          <w:rFonts w:ascii="Courier New" w:hAnsi="Courier New"/>
          <w:i/>
          <w:sz w:val="28"/>
        </w:rPr>
        <w:t>Ayodhya</w:t>
      </w:r>
      <w:r>
        <w:rPr>
          <w:rFonts w:ascii="Courier New" w:hAnsi="Courier New"/>
          <w:i/>
          <w:spacing w:val="-22"/>
          <w:sz w:val="28"/>
        </w:rPr>
        <w:t> </w:t>
      </w:r>
      <w:r>
        <w:rPr>
          <w:rFonts w:ascii="Courier New" w:hAnsi="Courier New"/>
          <w:i/>
          <w:sz w:val="28"/>
        </w:rPr>
        <w:t>for the ‘Darshan’ and ‘Parikrama’ of Lord Rama's birth place and continue to do it till</w:t>
      </w:r>
      <w:r>
        <w:rPr>
          <w:rFonts w:ascii="Courier New" w:hAnsi="Courier New"/>
          <w:i/>
          <w:spacing w:val="-17"/>
          <w:sz w:val="28"/>
        </w:rPr>
        <w:t> </w:t>
      </w:r>
      <w:r>
        <w:rPr>
          <w:rFonts w:ascii="Courier New" w:hAnsi="Courier New"/>
          <w:i/>
          <w:sz w:val="28"/>
        </w:rPr>
        <w:t>date.</w:t>
      </w:r>
      <w:r>
        <w:rPr>
          <w:rFonts w:ascii="Courier New" w:hAnsi="Courier New"/>
          <w:i/>
          <w:spacing w:val="-16"/>
          <w:sz w:val="28"/>
        </w:rPr>
        <w:t> </w:t>
      </w:r>
      <w:r>
        <w:rPr>
          <w:rFonts w:ascii="Courier New" w:hAnsi="Courier New"/>
          <w:i/>
          <w:sz w:val="28"/>
        </w:rPr>
        <w:t>There</w:t>
      </w:r>
      <w:r>
        <w:rPr>
          <w:rFonts w:ascii="Courier New" w:hAnsi="Courier New"/>
          <w:i/>
          <w:spacing w:val="-16"/>
          <w:sz w:val="28"/>
        </w:rPr>
        <w:t> </w:t>
      </w:r>
      <w:r>
        <w:rPr>
          <w:rFonts w:ascii="Courier New" w:hAnsi="Courier New"/>
          <w:i/>
          <w:sz w:val="28"/>
        </w:rPr>
        <w:t>is</w:t>
      </w:r>
      <w:r>
        <w:rPr>
          <w:rFonts w:ascii="Courier New" w:hAnsi="Courier New"/>
          <w:i/>
          <w:spacing w:val="-15"/>
          <w:sz w:val="28"/>
        </w:rPr>
        <w:t> </w:t>
      </w:r>
      <w:r>
        <w:rPr>
          <w:rFonts w:ascii="Courier New" w:hAnsi="Courier New"/>
          <w:i/>
          <w:sz w:val="28"/>
        </w:rPr>
        <w:t>a</w:t>
      </w:r>
      <w:r>
        <w:rPr>
          <w:rFonts w:ascii="Courier New" w:hAnsi="Courier New"/>
          <w:i/>
          <w:spacing w:val="-16"/>
          <w:sz w:val="28"/>
        </w:rPr>
        <w:t> </w:t>
      </w:r>
      <w:r>
        <w:rPr>
          <w:rFonts w:ascii="Courier New" w:hAnsi="Courier New"/>
          <w:i/>
          <w:sz w:val="28"/>
        </w:rPr>
        <w:t>stone</w:t>
      </w:r>
      <w:r>
        <w:rPr>
          <w:rFonts w:ascii="Courier New" w:hAnsi="Courier New"/>
          <w:i/>
          <w:spacing w:val="-19"/>
          <w:sz w:val="28"/>
        </w:rPr>
        <w:t> </w:t>
      </w:r>
      <w:r>
        <w:rPr>
          <w:rFonts w:ascii="Courier New" w:hAnsi="Courier New"/>
          <w:i/>
          <w:sz w:val="28"/>
        </w:rPr>
        <w:t>of</w:t>
      </w:r>
      <w:r>
        <w:rPr>
          <w:rFonts w:ascii="Courier New" w:hAnsi="Courier New"/>
          <w:i/>
          <w:spacing w:val="-17"/>
          <w:sz w:val="28"/>
        </w:rPr>
        <w:t> </w:t>
      </w:r>
      <w:r>
        <w:rPr>
          <w:rFonts w:ascii="Courier New" w:hAnsi="Courier New"/>
          <w:i/>
          <w:sz w:val="28"/>
        </w:rPr>
        <w:t>the</w:t>
      </w:r>
      <w:r>
        <w:rPr>
          <w:rFonts w:ascii="Courier New" w:hAnsi="Courier New"/>
          <w:i/>
          <w:spacing w:val="-16"/>
          <w:sz w:val="28"/>
        </w:rPr>
        <w:t> </w:t>
      </w:r>
      <w:r>
        <w:rPr>
          <w:rFonts w:ascii="Courier New" w:hAnsi="Courier New"/>
          <w:i/>
          <w:sz w:val="28"/>
        </w:rPr>
        <w:t>times</w:t>
      </w:r>
      <w:r>
        <w:rPr>
          <w:rFonts w:ascii="Courier New" w:hAnsi="Courier New"/>
          <w:i/>
          <w:spacing w:val="-16"/>
          <w:sz w:val="28"/>
        </w:rPr>
        <w:t> </w:t>
      </w:r>
      <w:r>
        <w:rPr>
          <w:rFonts w:ascii="Courier New" w:hAnsi="Courier New"/>
          <w:i/>
          <w:sz w:val="28"/>
        </w:rPr>
        <w:t>of the</w:t>
      </w:r>
      <w:r>
        <w:rPr>
          <w:rFonts w:ascii="Courier New" w:hAnsi="Courier New"/>
          <w:i/>
          <w:spacing w:val="-26"/>
          <w:sz w:val="28"/>
        </w:rPr>
        <w:t> </w:t>
      </w:r>
      <w:r>
        <w:rPr>
          <w:rFonts w:ascii="Courier New" w:hAnsi="Courier New"/>
          <w:i/>
          <w:sz w:val="28"/>
        </w:rPr>
        <w:t>Britishers</w:t>
      </w:r>
      <w:r>
        <w:rPr>
          <w:rFonts w:ascii="Courier New" w:hAnsi="Courier New"/>
          <w:i/>
          <w:spacing w:val="-26"/>
          <w:sz w:val="28"/>
        </w:rPr>
        <w:t> </w:t>
      </w:r>
      <w:r>
        <w:rPr>
          <w:rFonts w:ascii="Courier New" w:hAnsi="Courier New"/>
          <w:i/>
          <w:sz w:val="28"/>
        </w:rPr>
        <w:t>outside</w:t>
      </w:r>
      <w:r>
        <w:rPr>
          <w:rFonts w:ascii="Courier New" w:hAnsi="Courier New"/>
          <w:i/>
          <w:spacing w:val="-25"/>
          <w:sz w:val="28"/>
        </w:rPr>
        <w:t> </w:t>
      </w:r>
      <w:r>
        <w:rPr>
          <w:rFonts w:ascii="Courier New" w:hAnsi="Courier New"/>
          <w:i/>
          <w:sz w:val="28"/>
        </w:rPr>
        <w:t>the</w:t>
      </w:r>
      <w:r>
        <w:rPr>
          <w:rFonts w:ascii="Courier New" w:hAnsi="Courier New"/>
          <w:i/>
          <w:spacing w:val="-26"/>
          <w:sz w:val="28"/>
        </w:rPr>
        <w:t> </w:t>
      </w:r>
      <w:r>
        <w:rPr>
          <w:rFonts w:ascii="Courier New" w:hAnsi="Courier New"/>
          <w:i/>
          <w:sz w:val="28"/>
        </w:rPr>
        <w:t>main</w:t>
      </w:r>
      <w:r>
        <w:rPr>
          <w:rFonts w:ascii="Courier New" w:hAnsi="Courier New"/>
          <w:i/>
          <w:spacing w:val="-26"/>
          <w:sz w:val="28"/>
        </w:rPr>
        <w:t> </w:t>
      </w:r>
      <w:r>
        <w:rPr>
          <w:rFonts w:ascii="Courier New" w:hAnsi="Courier New"/>
          <w:i/>
          <w:sz w:val="28"/>
        </w:rPr>
        <w:t>entry</w:t>
      </w:r>
      <w:r>
        <w:rPr>
          <w:rFonts w:ascii="Courier New" w:hAnsi="Courier New"/>
          <w:i/>
          <w:spacing w:val="-25"/>
          <w:sz w:val="28"/>
        </w:rPr>
        <w:t> </w:t>
      </w:r>
      <w:r>
        <w:rPr>
          <w:rFonts w:ascii="Courier New" w:hAnsi="Courier New"/>
          <w:i/>
          <w:sz w:val="28"/>
        </w:rPr>
        <w:t>gate, on which is written 'Janambhoomi Nitya Yatra' and the  digit  one  of Hindi('ek').</w:t>
      </w:r>
      <w:r>
        <w:rPr>
          <w:rFonts w:ascii="Courier New" w:hAnsi="Courier New"/>
          <w:i/>
          <w:spacing w:val="165"/>
          <w:sz w:val="28"/>
        </w:rPr>
        <w:t> </w:t>
      </w:r>
      <w:r>
        <w:rPr>
          <w:rFonts w:ascii="Courier New" w:hAnsi="Courier New"/>
          <w:i/>
          <w:sz w:val="28"/>
        </w:rPr>
        <w:t>“</w:t>
      </w:r>
    </w:p>
    <w:p>
      <w:pPr>
        <w:pStyle w:val="BodyText"/>
        <w:rPr>
          <w:rFonts w:ascii="Courier New"/>
          <w:i/>
          <w:sz w:val="32"/>
        </w:rPr>
      </w:pPr>
    </w:p>
    <w:p>
      <w:pPr>
        <w:pStyle w:val="ListParagraph"/>
        <w:numPr>
          <w:ilvl w:val="0"/>
          <w:numId w:val="257"/>
        </w:numPr>
        <w:tabs>
          <w:tab w:pos="1041" w:val="left" w:leader="none"/>
        </w:tabs>
        <w:spacing w:line="480" w:lineRule="auto" w:before="270" w:after="0"/>
        <w:ind w:left="160" w:right="158" w:firstLine="0"/>
        <w:jc w:val="both"/>
        <w:rPr>
          <w:rFonts w:ascii="Courier New"/>
          <w:sz w:val="28"/>
        </w:rPr>
      </w:pPr>
      <w:r>
        <w:rPr>
          <w:rFonts w:ascii="Courier New"/>
          <w:sz w:val="28"/>
        </w:rPr>
        <w:t>OPW-6, Housila Prasad Tripathi aged 80 years(as on 13.08.2002) claims to have come to Ayodhya in December</w:t>
      </w:r>
      <w:r>
        <w:rPr>
          <w:rFonts w:ascii="Courier New"/>
          <w:spacing w:val="-40"/>
          <w:sz w:val="28"/>
        </w:rPr>
        <w:t> </w:t>
      </w:r>
      <w:r>
        <w:rPr>
          <w:rFonts w:ascii="Courier New"/>
          <w:sz w:val="28"/>
        </w:rPr>
        <w:t>1935.</w:t>
      </w:r>
      <w:r>
        <w:rPr>
          <w:rFonts w:ascii="Courier New"/>
          <w:spacing w:val="-38"/>
          <w:sz w:val="28"/>
        </w:rPr>
        <w:t> </w:t>
      </w:r>
      <w:r>
        <w:rPr>
          <w:rFonts w:ascii="Courier New"/>
          <w:sz w:val="28"/>
        </w:rPr>
        <w:t>In</w:t>
      </w:r>
      <w:r>
        <w:rPr>
          <w:rFonts w:ascii="Courier New"/>
          <w:spacing w:val="-39"/>
          <w:sz w:val="28"/>
        </w:rPr>
        <w:t> </w:t>
      </w:r>
      <w:r>
        <w:rPr>
          <w:rFonts w:ascii="Courier New"/>
          <w:sz w:val="28"/>
        </w:rPr>
        <w:t>his</w:t>
      </w:r>
      <w:r>
        <w:rPr>
          <w:rFonts w:ascii="Courier New"/>
          <w:spacing w:val="-40"/>
          <w:sz w:val="28"/>
        </w:rPr>
        <w:t> </w:t>
      </w:r>
      <w:r>
        <w:rPr>
          <w:rFonts w:ascii="Courier New"/>
          <w:sz w:val="28"/>
        </w:rPr>
        <w:t>examination-in-chief,</w:t>
      </w:r>
      <w:r>
        <w:rPr>
          <w:rFonts w:ascii="Courier New"/>
          <w:spacing w:val="-39"/>
          <w:sz w:val="28"/>
        </w:rPr>
        <w:t> </w:t>
      </w:r>
      <w:r>
        <w:rPr>
          <w:rFonts w:ascii="Courier New"/>
          <w:sz w:val="28"/>
        </w:rPr>
        <w:t>he</w:t>
      </w:r>
      <w:r>
        <w:rPr>
          <w:rFonts w:ascii="Courier New"/>
          <w:spacing w:val="-40"/>
          <w:sz w:val="28"/>
        </w:rPr>
        <w:t> </w:t>
      </w:r>
      <w:r>
        <w:rPr>
          <w:rFonts w:ascii="Courier New"/>
          <w:sz w:val="28"/>
        </w:rPr>
        <w:t>states:-</w:t>
      </w:r>
    </w:p>
    <w:p>
      <w:pPr>
        <w:spacing w:after="0" w:line="480" w:lineRule="auto"/>
        <w:jc w:val="both"/>
        <w:rPr>
          <w:rFonts w:ascii="Courier New"/>
          <w:sz w:val="28"/>
        </w:rPr>
        <w:sectPr>
          <w:headerReference w:type="default" r:id="rId420"/>
          <w:footerReference w:type="default" r:id="rId421"/>
          <w:pgSz w:w="11910" w:h="16840"/>
          <w:pgMar w:header="0" w:footer="1063" w:top="1340" w:bottom="1260" w:left="1280" w:right="1280"/>
          <w:pgNumType w:start="105"/>
        </w:sectPr>
      </w:pPr>
    </w:p>
    <w:p>
      <w:pPr>
        <w:spacing w:line="240" w:lineRule="auto" w:before="86"/>
        <w:ind w:left="1011" w:right="1245" w:firstLine="0"/>
        <w:jc w:val="both"/>
        <w:rPr>
          <w:rFonts w:ascii="Courier New" w:hAnsi="Courier New"/>
          <w:i/>
          <w:sz w:val="28"/>
        </w:rPr>
      </w:pPr>
      <w:r>
        <w:rPr>
          <w:rFonts w:ascii="Courier New" w:hAnsi="Courier New"/>
          <w:sz w:val="28"/>
        </w:rPr>
        <w:t>“</w:t>
      </w:r>
      <w:r>
        <w:rPr>
          <w:rFonts w:ascii="Courier New" w:hAnsi="Courier New"/>
          <w:i/>
          <w:sz w:val="28"/>
        </w:rPr>
        <w:t>7.</w:t>
      </w:r>
      <w:r>
        <w:rPr>
          <w:rFonts w:ascii="Courier New" w:hAnsi="Courier New"/>
          <w:i/>
          <w:spacing w:val="-41"/>
          <w:sz w:val="28"/>
        </w:rPr>
        <w:t> </w:t>
      </w:r>
      <w:r>
        <w:rPr>
          <w:rFonts w:ascii="Courier New" w:hAnsi="Courier New"/>
          <w:i/>
          <w:sz w:val="28"/>
        </w:rPr>
        <w:t>We</w:t>
      </w:r>
      <w:r>
        <w:rPr>
          <w:rFonts w:ascii="Courier New" w:hAnsi="Courier New"/>
          <w:i/>
          <w:spacing w:val="-41"/>
          <w:sz w:val="28"/>
        </w:rPr>
        <w:t> </w:t>
      </w:r>
      <w:r>
        <w:rPr>
          <w:rFonts w:ascii="Courier New" w:hAnsi="Courier New"/>
          <w:i/>
          <w:sz w:val="28"/>
        </w:rPr>
        <w:t>have</w:t>
      </w:r>
      <w:r>
        <w:rPr>
          <w:rFonts w:ascii="Courier New" w:hAnsi="Courier New"/>
          <w:i/>
          <w:spacing w:val="-41"/>
          <w:sz w:val="28"/>
        </w:rPr>
        <w:t> </w:t>
      </w:r>
      <w:r>
        <w:rPr>
          <w:rFonts w:ascii="Courier New" w:hAnsi="Courier New"/>
          <w:i/>
          <w:sz w:val="28"/>
        </w:rPr>
        <w:t>this</w:t>
      </w:r>
      <w:r>
        <w:rPr>
          <w:rFonts w:ascii="Courier New" w:hAnsi="Courier New"/>
          <w:i/>
          <w:spacing w:val="-40"/>
          <w:sz w:val="28"/>
        </w:rPr>
        <w:t> </w:t>
      </w:r>
      <w:r>
        <w:rPr>
          <w:rFonts w:ascii="Courier New" w:hAnsi="Courier New"/>
          <w:i/>
          <w:sz w:val="28"/>
        </w:rPr>
        <w:t>faith</w:t>
      </w:r>
      <w:r>
        <w:rPr>
          <w:rFonts w:ascii="Courier New" w:hAnsi="Courier New"/>
          <w:i/>
          <w:spacing w:val="-41"/>
          <w:sz w:val="28"/>
        </w:rPr>
        <w:t> </w:t>
      </w:r>
      <w:r>
        <w:rPr>
          <w:rFonts w:ascii="Courier New" w:hAnsi="Courier New"/>
          <w:i/>
          <w:sz w:val="28"/>
        </w:rPr>
        <w:t>and</w:t>
      </w:r>
      <w:r>
        <w:rPr>
          <w:rFonts w:ascii="Courier New" w:hAnsi="Courier New"/>
          <w:i/>
          <w:spacing w:val="-41"/>
          <w:sz w:val="28"/>
        </w:rPr>
        <w:t> </w:t>
      </w:r>
      <w:r>
        <w:rPr>
          <w:rFonts w:ascii="Courier New" w:hAnsi="Courier New"/>
          <w:i/>
          <w:sz w:val="28"/>
        </w:rPr>
        <w:t>believe</w:t>
      </w:r>
      <w:r>
        <w:rPr>
          <w:rFonts w:ascii="Courier New" w:hAnsi="Courier New"/>
          <w:i/>
          <w:spacing w:val="-41"/>
          <w:sz w:val="28"/>
        </w:rPr>
        <w:t> </w:t>
      </w:r>
      <w:r>
        <w:rPr>
          <w:rFonts w:ascii="Courier New" w:hAnsi="Courier New"/>
          <w:i/>
          <w:sz w:val="28"/>
        </w:rPr>
        <w:t>that</w:t>
      </w:r>
      <w:r>
        <w:rPr>
          <w:rFonts w:ascii="Courier New" w:hAnsi="Courier New"/>
          <w:i/>
          <w:spacing w:val="-41"/>
          <w:sz w:val="28"/>
        </w:rPr>
        <w:t> </w:t>
      </w:r>
      <w:r>
        <w:rPr>
          <w:rFonts w:ascii="Courier New" w:hAnsi="Courier New"/>
          <w:i/>
          <w:sz w:val="28"/>
        </w:rPr>
        <w:t>lord </w:t>
      </w:r>
      <w:r>
        <w:rPr>
          <w:rFonts w:ascii="Courier New" w:hAnsi="Courier New"/>
          <w:i/>
          <w:sz w:val="28"/>
        </w:rPr>
        <w:t>Shri</w:t>
      </w:r>
      <w:r>
        <w:rPr>
          <w:rFonts w:ascii="Courier New" w:hAnsi="Courier New"/>
          <w:i/>
          <w:spacing w:val="-20"/>
          <w:sz w:val="28"/>
        </w:rPr>
        <w:t> </w:t>
      </w:r>
      <w:r>
        <w:rPr>
          <w:rFonts w:ascii="Courier New" w:hAnsi="Courier New"/>
          <w:i/>
          <w:sz w:val="28"/>
        </w:rPr>
        <w:t>Ram</w:t>
      </w:r>
      <w:r>
        <w:rPr>
          <w:rFonts w:ascii="Courier New" w:hAnsi="Courier New"/>
          <w:i/>
          <w:spacing w:val="-19"/>
          <w:sz w:val="28"/>
        </w:rPr>
        <w:t> </w:t>
      </w:r>
      <w:r>
        <w:rPr>
          <w:rFonts w:ascii="Courier New" w:hAnsi="Courier New"/>
          <w:i/>
          <w:sz w:val="28"/>
        </w:rPr>
        <w:t>was</w:t>
      </w:r>
      <w:r>
        <w:rPr>
          <w:rFonts w:ascii="Courier New" w:hAnsi="Courier New"/>
          <w:i/>
          <w:spacing w:val="-20"/>
          <w:sz w:val="28"/>
        </w:rPr>
        <w:t> </w:t>
      </w:r>
      <w:r>
        <w:rPr>
          <w:rFonts w:ascii="Courier New" w:hAnsi="Courier New"/>
          <w:i/>
          <w:sz w:val="28"/>
        </w:rPr>
        <w:t>born</w:t>
      </w:r>
      <w:r>
        <w:rPr>
          <w:rFonts w:ascii="Courier New" w:hAnsi="Courier New"/>
          <w:i/>
          <w:spacing w:val="-19"/>
          <w:sz w:val="28"/>
        </w:rPr>
        <w:t> </w:t>
      </w:r>
      <w:r>
        <w:rPr>
          <w:rFonts w:ascii="Courier New" w:hAnsi="Courier New"/>
          <w:i/>
          <w:sz w:val="28"/>
        </w:rPr>
        <w:t>at</w:t>
      </w:r>
      <w:r>
        <w:rPr>
          <w:rFonts w:ascii="Courier New" w:hAnsi="Courier New"/>
          <w:i/>
          <w:spacing w:val="-19"/>
          <w:sz w:val="28"/>
        </w:rPr>
        <w:t> </w:t>
      </w:r>
      <w:r>
        <w:rPr>
          <w:rFonts w:ascii="Courier New" w:hAnsi="Courier New"/>
          <w:i/>
          <w:sz w:val="28"/>
        </w:rPr>
        <w:t>Ayodhya</w:t>
      </w:r>
      <w:r>
        <w:rPr>
          <w:rFonts w:ascii="Courier New" w:hAnsi="Courier New"/>
          <w:i/>
          <w:spacing w:val="-20"/>
          <w:sz w:val="28"/>
        </w:rPr>
        <w:t> </w:t>
      </w:r>
      <w:r>
        <w:rPr>
          <w:rFonts w:ascii="Courier New" w:hAnsi="Courier New"/>
          <w:i/>
          <w:sz w:val="28"/>
        </w:rPr>
        <w:t>and</w:t>
      </w:r>
      <w:r>
        <w:rPr>
          <w:rFonts w:ascii="Courier New" w:hAnsi="Courier New"/>
          <w:i/>
          <w:spacing w:val="-19"/>
          <w:sz w:val="28"/>
        </w:rPr>
        <w:t> </w:t>
      </w:r>
      <w:r>
        <w:rPr>
          <w:rFonts w:ascii="Courier New" w:hAnsi="Courier New"/>
          <w:i/>
          <w:sz w:val="28"/>
        </w:rPr>
        <w:t>that</w:t>
      </w:r>
      <w:r>
        <w:rPr>
          <w:rFonts w:ascii="Courier New" w:hAnsi="Courier New"/>
          <w:i/>
          <w:spacing w:val="-19"/>
          <w:sz w:val="28"/>
        </w:rPr>
        <w:t> </w:t>
      </w:r>
      <w:r>
        <w:rPr>
          <w:rFonts w:ascii="Courier New" w:hAnsi="Courier New"/>
          <w:i/>
          <w:sz w:val="28"/>
        </w:rPr>
        <w:t>place is famous as Shri Ram Janam Bhoomi where people in lakhs come from every nook and corner of the country and after having Darshan shri Ram Janmabhoomi do its Parikrama.</w:t>
      </w:r>
      <w:r>
        <w:rPr>
          <w:rFonts w:ascii="Courier New" w:hAnsi="Courier New"/>
          <w:i/>
          <w:spacing w:val="-20"/>
          <w:sz w:val="28"/>
        </w:rPr>
        <w:t> </w:t>
      </w:r>
      <w:r>
        <w:rPr>
          <w:rFonts w:ascii="Courier New" w:hAnsi="Courier New"/>
          <w:i/>
          <w:sz w:val="28"/>
        </w:rPr>
        <w:t>It</w:t>
      </w:r>
      <w:r>
        <w:rPr>
          <w:rFonts w:ascii="Courier New" w:hAnsi="Courier New"/>
          <w:i/>
          <w:spacing w:val="-19"/>
          <w:sz w:val="28"/>
        </w:rPr>
        <w:t> </w:t>
      </w:r>
      <w:r>
        <w:rPr>
          <w:rFonts w:ascii="Courier New" w:hAnsi="Courier New"/>
          <w:i/>
          <w:sz w:val="28"/>
        </w:rPr>
        <w:t>is</w:t>
      </w:r>
      <w:r>
        <w:rPr>
          <w:rFonts w:ascii="Courier New" w:hAnsi="Courier New"/>
          <w:i/>
          <w:spacing w:val="-20"/>
          <w:sz w:val="28"/>
        </w:rPr>
        <w:t> </w:t>
      </w:r>
      <w:r>
        <w:rPr>
          <w:rFonts w:ascii="Courier New" w:hAnsi="Courier New"/>
          <w:i/>
          <w:sz w:val="28"/>
        </w:rPr>
        <w:t>on</w:t>
      </w:r>
      <w:r>
        <w:rPr>
          <w:rFonts w:ascii="Courier New" w:hAnsi="Courier New"/>
          <w:i/>
          <w:spacing w:val="-19"/>
          <w:sz w:val="28"/>
        </w:rPr>
        <w:t> </w:t>
      </w:r>
      <w:r>
        <w:rPr>
          <w:rFonts w:ascii="Courier New" w:hAnsi="Courier New"/>
          <w:i/>
          <w:sz w:val="28"/>
        </w:rPr>
        <w:t>the</w:t>
      </w:r>
      <w:r>
        <w:rPr>
          <w:rFonts w:ascii="Courier New" w:hAnsi="Courier New"/>
          <w:i/>
          <w:spacing w:val="-19"/>
          <w:sz w:val="28"/>
        </w:rPr>
        <w:t> </w:t>
      </w:r>
      <w:r>
        <w:rPr>
          <w:rFonts w:ascii="Courier New" w:hAnsi="Courier New"/>
          <w:i/>
          <w:sz w:val="28"/>
        </w:rPr>
        <w:t>basis</w:t>
      </w:r>
      <w:r>
        <w:rPr>
          <w:rFonts w:ascii="Courier New" w:hAnsi="Courier New"/>
          <w:i/>
          <w:spacing w:val="-20"/>
          <w:sz w:val="28"/>
        </w:rPr>
        <w:t> </w:t>
      </w:r>
      <w:r>
        <w:rPr>
          <w:rFonts w:ascii="Courier New" w:hAnsi="Courier New"/>
          <w:i/>
          <w:sz w:val="28"/>
        </w:rPr>
        <w:t>of</w:t>
      </w:r>
      <w:r>
        <w:rPr>
          <w:rFonts w:ascii="Courier New" w:hAnsi="Courier New"/>
          <w:i/>
          <w:spacing w:val="-19"/>
          <w:sz w:val="28"/>
        </w:rPr>
        <w:t> </w:t>
      </w:r>
      <w:r>
        <w:rPr>
          <w:rFonts w:ascii="Courier New" w:hAnsi="Courier New"/>
          <w:i/>
          <w:sz w:val="28"/>
        </w:rPr>
        <w:t>this</w:t>
      </w:r>
      <w:r>
        <w:rPr>
          <w:rFonts w:ascii="Courier New" w:hAnsi="Courier New"/>
          <w:i/>
          <w:spacing w:val="-19"/>
          <w:sz w:val="28"/>
        </w:rPr>
        <w:t> </w:t>
      </w:r>
      <w:r>
        <w:rPr>
          <w:rFonts w:ascii="Courier New" w:hAnsi="Courier New"/>
          <w:i/>
          <w:sz w:val="28"/>
        </w:rPr>
        <w:t>faith and believe that we also come to Shri Ram janam bhumi three to four times a year and make</w:t>
      </w:r>
      <w:r>
        <w:rPr>
          <w:rFonts w:ascii="Courier New" w:hAnsi="Courier New"/>
          <w:i/>
          <w:spacing w:val="-17"/>
          <w:sz w:val="28"/>
        </w:rPr>
        <w:t> </w:t>
      </w:r>
      <w:r>
        <w:rPr>
          <w:rFonts w:ascii="Courier New" w:hAnsi="Courier New"/>
          <w:i/>
          <w:sz w:val="28"/>
        </w:rPr>
        <w:t>it</w:t>
      </w:r>
      <w:r>
        <w:rPr>
          <w:rFonts w:ascii="Courier New" w:hAnsi="Courier New"/>
          <w:i/>
          <w:spacing w:val="-17"/>
          <w:sz w:val="28"/>
        </w:rPr>
        <w:t> </w:t>
      </w:r>
      <w:r>
        <w:rPr>
          <w:rFonts w:ascii="Courier New" w:hAnsi="Courier New"/>
          <w:i/>
          <w:sz w:val="28"/>
        </w:rPr>
        <w:t>a</w:t>
      </w:r>
      <w:r>
        <w:rPr>
          <w:rFonts w:ascii="Courier New" w:hAnsi="Courier New"/>
          <w:i/>
          <w:spacing w:val="-16"/>
          <w:sz w:val="28"/>
        </w:rPr>
        <w:t> </w:t>
      </w:r>
      <w:r>
        <w:rPr>
          <w:rFonts w:ascii="Courier New" w:hAnsi="Courier New"/>
          <w:i/>
          <w:sz w:val="28"/>
        </w:rPr>
        <w:t>point</w:t>
      </w:r>
      <w:r>
        <w:rPr>
          <w:rFonts w:ascii="Courier New" w:hAnsi="Courier New"/>
          <w:i/>
          <w:spacing w:val="-17"/>
          <w:sz w:val="28"/>
        </w:rPr>
        <w:t> </w:t>
      </w:r>
      <w:r>
        <w:rPr>
          <w:rFonts w:ascii="Courier New" w:hAnsi="Courier New"/>
          <w:i/>
          <w:sz w:val="28"/>
        </w:rPr>
        <w:t>to</w:t>
      </w:r>
      <w:r>
        <w:rPr>
          <w:rFonts w:ascii="Courier New" w:hAnsi="Courier New"/>
          <w:i/>
          <w:spacing w:val="-17"/>
          <w:sz w:val="28"/>
        </w:rPr>
        <w:t> </w:t>
      </w:r>
      <w:r>
        <w:rPr>
          <w:rFonts w:ascii="Courier New" w:hAnsi="Courier New"/>
          <w:i/>
          <w:sz w:val="28"/>
        </w:rPr>
        <w:t>have</w:t>
      </w:r>
      <w:r>
        <w:rPr>
          <w:rFonts w:ascii="Courier New" w:hAnsi="Courier New"/>
          <w:i/>
          <w:spacing w:val="-16"/>
          <w:sz w:val="28"/>
        </w:rPr>
        <w:t> </w:t>
      </w:r>
      <w:r>
        <w:rPr>
          <w:rFonts w:ascii="Courier New" w:hAnsi="Courier New"/>
          <w:i/>
          <w:sz w:val="28"/>
        </w:rPr>
        <w:t>darshan</w:t>
      </w:r>
      <w:r>
        <w:rPr>
          <w:rFonts w:ascii="Courier New" w:hAnsi="Courier New"/>
          <w:i/>
          <w:spacing w:val="-17"/>
          <w:sz w:val="28"/>
        </w:rPr>
        <w:t> </w:t>
      </w:r>
      <w:r>
        <w:rPr>
          <w:rFonts w:ascii="Courier New" w:hAnsi="Courier New"/>
          <w:i/>
          <w:sz w:val="28"/>
        </w:rPr>
        <w:t>of</w:t>
      </w:r>
      <w:r>
        <w:rPr>
          <w:rFonts w:ascii="Courier New" w:hAnsi="Courier New"/>
          <w:i/>
          <w:spacing w:val="-16"/>
          <w:sz w:val="28"/>
        </w:rPr>
        <w:t> </w:t>
      </w:r>
      <w:r>
        <w:rPr>
          <w:rFonts w:ascii="Courier New" w:hAnsi="Courier New"/>
          <w:i/>
          <w:sz w:val="28"/>
        </w:rPr>
        <w:t>Shri</w:t>
      </w:r>
      <w:r>
        <w:rPr>
          <w:rFonts w:ascii="Courier New" w:hAnsi="Courier New"/>
          <w:i/>
          <w:spacing w:val="-17"/>
          <w:sz w:val="28"/>
        </w:rPr>
        <w:t> </w:t>
      </w:r>
      <w:r>
        <w:rPr>
          <w:rFonts w:ascii="Courier New" w:hAnsi="Courier New"/>
          <w:i/>
          <w:sz w:val="28"/>
        </w:rPr>
        <w:t>Ram janam bhoomi and then have its</w:t>
      </w:r>
      <w:r>
        <w:rPr>
          <w:rFonts w:ascii="Courier New" w:hAnsi="Courier New"/>
          <w:i/>
          <w:spacing w:val="-17"/>
          <w:sz w:val="28"/>
        </w:rPr>
        <w:t> </w:t>
      </w:r>
      <w:r>
        <w:rPr>
          <w:rFonts w:ascii="Courier New" w:hAnsi="Courier New"/>
          <w:i/>
          <w:sz w:val="28"/>
        </w:rPr>
        <w:t>Parikrama.</w:t>
      </w:r>
    </w:p>
    <w:p>
      <w:pPr>
        <w:pStyle w:val="BodyText"/>
        <w:rPr>
          <w:rFonts w:ascii="Courier New"/>
          <w:i/>
          <w:sz w:val="28"/>
        </w:rPr>
      </w:pPr>
    </w:p>
    <w:p>
      <w:pPr>
        <w:spacing w:line="240" w:lineRule="auto" w:before="0"/>
        <w:ind w:left="1011" w:right="1245" w:firstLine="167"/>
        <w:jc w:val="both"/>
        <w:rPr>
          <w:rFonts w:ascii="Courier New" w:hAnsi="Courier New"/>
          <w:sz w:val="28"/>
        </w:rPr>
      </w:pPr>
      <w:r>
        <w:rPr>
          <w:rFonts w:ascii="Courier New" w:hAnsi="Courier New"/>
          <w:i/>
          <w:sz w:val="28"/>
        </w:rPr>
        <w:t>8.</w:t>
      </w:r>
      <w:r>
        <w:rPr>
          <w:rFonts w:ascii="Courier New" w:hAnsi="Courier New"/>
          <w:i/>
          <w:spacing w:val="102"/>
          <w:sz w:val="28"/>
        </w:rPr>
        <w:t> </w:t>
      </w:r>
      <w:r>
        <w:rPr>
          <w:rFonts w:ascii="Courier New" w:hAnsi="Courier New"/>
          <w:i/>
          <w:sz w:val="28"/>
        </w:rPr>
        <w:t>I</w:t>
      </w:r>
      <w:r>
        <w:rPr>
          <w:rFonts w:ascii="Courier New" w:hAnsi="Courier New"/>
          <w:i/>
          <w:spacing w:val="-33"/>
          <w:sz w:val="28"/>
        </w:rPr>
        <w:t> </w:t>
      </w:r>
      <w:r>
        <w:rPr>
          <w:rFonts w:ascii="Courier New" w:hAnsi="Courier New"/>
          <w:i/>
          <w:sz w:val="28"/>
        </w:rPr>
        <w:t>am</w:t>
      </w:r>
      <w:r>
        <w:rPr>
          <w:rFonts w:ascii="Courier New" w:hAnsi="Courier New"/>
          <w:i/>
          <w:spacing w:val="-30"/>
          <w:sz w:val="28"/>
        </w:rPr>
        <w:t> </w:t>
      </w:r>
      <w:r>
        <w:rPr>
          <w:rFonts w:ascii="Courier New" w:hAnsi="Courier New"/>
          <w:i/>
          <w:sz w:val="28"/>
        </w:rPr>
        <w:t>also</w:t>
      </w:r>
      <w:r>
        <w:rPr>
          <w:rFonts w:ascii="Courier New" w:hAnsi="Courier New"/>
          <w:i/>
          <w:spacing w:val="-31"/>
          <w:sz w:val="28"/>
        </w:rPr>
        <w:t> </w:t>
      </w:r>
      <w:r>
        <w:rPr>
          <w:rFonts w:ascii="Courier New" w:hAnsi="Courier New"/>
          <w:i/>
          <w:sz w:val="28"/>
        </w:rPr>
        <w:t>of</w:t>
      </w:r>
      <w:r>
        <w:rPr>
          <w:rFonts w:ascii="Courier New" w:hAnsi="Courier New"/>
          <w:i/>
          <w:spacing w:val="-33"/>
          <w:sz w:val="28"/>
        </w:rPr>
        <w:t> </w:t>
      </w:r>
      <w:r>
        <w:rPr>
          <w:rFonts w:ascii="Courier New" w:hAnsi="Courier New"/>
          <w:i/>
          <w:sz w:val="28"/>
        </w:rPr>
        <w:t>the</w:t>
      </w:r>
      <w:r>
        <w:rPr>
          <w:rFonts w:ascii="Courier New" w:hAnsi="Courier New"/>
          <w:i/>
          <w:spacing w:val="-32"/>
          <w:sz w:val="28"/>
        </w:rPr>
        <w:t> </w:t>
      </w:r>
      <w:r>
        <w:rPr>
          <w:rFonts w:ascii="Courier New" w:hAnsi="Courier New"/>
          <w:i/>
          <w:sz w:val="28"/>
        </w:rPr>
        <w:t>firm</w:t>
      </w:r>
      <w:r>
        <w:rPr>
          <w:rFonts w:ascii="Courier New" w:hAnsi="Courier New"/>
          <w:i/>
          <w:spacing w:val="-33"/>
          <w:sz w:val="28"/>
        </w:rPr>
        <w:t> </w:t>
      </w:r>
      <w:r>
        <w:rPr>
          <w:rFonts w:ascii="Courier New" w:hAnsi="Courier New"/>
          <w:i/>
          <w:sz w:val="28"/>
        </w:rPr>
        <w:t>faith</w:t>
      </w:r>
      <w:r>
        <w:rPr>
          <w:rFonts w:ascii="Courier New" w:hAnsi="Courier New"/>
          <w:i/>
          <w:spacing w:val="-33"/>
          <w:sz w:val="28"/>
        </w:rPr>
        <w:t> </w:t>
      </w:r>
      <w:r>
        <w:rPr>
          <w:rFonts w:ascii="Courier New" w:hAnsi="Courier New"/>
          <w:i/>
          <w:sz w:val="28"/>
        </w:rPr>
        <w:t>and</w:t>
      </w:r>
      <w:r>
        <w:rPr>
          <w:rFonts w:ascii="Courier New" w:hAnsi="Courier New"/>
          <w:i/>
          <w:spacing w:val="-32"/>
          <w:sz w:val="28"/>
        </w:rPr>
        <w:t> </w:t>
      </w:r>
      <w:r>
        <w:rPr>
          <w:rFonts w:ascii="Courier New" w:hAnsi="Courier New"/>
          <w:i/>
          <w:sz w:val="28"/>
        </w:rPr>
        <w:t>believe </w:t>
      </w:r>
      <w:r>
        <w:rPr>
          <w:rFonts w:ascii="Courier New" w:hAnsi="Courier New"/>
          <w:i/>
          <w:sz w:val="28"/>
        </w:rPr>
        <w:t>that Lord Shri Ram was born at the same very place at Ayodhya where thousands of Hindu pilgrims come for Darshan and Parikrama. It was on the basis of this belief that since 1935, I also went to Ayodhya three to four times every year and after</w:t>
      </w:r>
      <w:r>
        <w:rPr>
          <w:rFonts w:ascii="Courier New" w:hAnsi="Courier New"/>
          <w:i/>
          <w:spacing w:val="-41"/>
          <w:sz w:val="28"/>
        </w:rPr>
        <w:t> </w:t>
      </w:r>
      <w:r>
        <w:rPr>
          <w:rFonts w:ascii="Courier New" w:hAnsi="Courier New"/>
          <w:i/>
          <w:sz w:val="28"/>
        </w:rPr>
        <w:t>a</w:t>
      </w:r>
      <w:r>
        <w:rPr>
          <w:rFonts w:ascii="Courier New" w:hAnsi="Courier New"/>
          <w:i/>
          <w:spacing w:val="-41"/>
          <w:sz w:val="28"/>
        </w:rPr>
        <w:t> </w:t>
      </w:r>
      <w:r>
        <w:rPr>
          <w:rFonts w:ascii="Courier New" w:hAnsi="Courier New"/>
          <w:i/>
          <w:sz w:val="28"/>
        </w:rPr>
        <w:t>bath</w:t>
      </w:r>
      <w:r>
        <w:rPr>
          <w:rFonts w:ascii="Courier New" w:hAnsi="Courier New"/>
          <w:i/>
          <w:spacing w:val="-40"/>
          <w:sz w:val="28"/>
        </w:rPr>
        <w:t> </w:t>
      </w:r>
      <w:r>
        <w:rPr>
          <w:rFonts w:ascii="Courier New" w:hAnsi="Courier New"/>
          <w:i/>
          <w:sz w:val="28"/>
        </w:rPr>
        <w:t>in</w:t>
      </w:r>
      <w:r>
        <w:rPr>
          <w:rFonts w:ascii="Courier New" w:hAnsi="Courier New"/>
          <w:i/>
          <w:spacing w:val="-38"/>
          <w:sz w:val="28"/>
        </w:rPr>
        <w:t> </w:t>
      </w:r>
      <w:r>
        <w:rPr>
          <w:rFonts w:ascii="Courier New" w:hAnsi="Courier New"/>
          <w:i/>
          <w:sz w:val="28"/>
        </w:rPr>
        <w:t>the</w:t>
      </w:r>
      <w:r>
        <w:rPr>
          <w:rFonts w:ascii="Courier New" w:hAnsi="Courier New"/>
          <w:i/>
          <w:spacing w:val="-41"/>
          <w:sz w:val="28"/>
        </w:rPr>
        <w:t> </w:t>
      </w:r>
      <w:r>
        <w:rPr>
          <w:rFonts w:ascii="Courier New" w:hAnsi="Courier New"/>
          <w:i/>
          <w:sz w:val="28"/>
        </w:rPr>
        <w:t>Saryu</w:t>
      </w:r>
      <w:r>
        <w:rPr>
          <w:rFonts w:ascii="Courier New" w:hAnsi="Courier New"/>
          <w:i/>
          <w:spacing w:val="-42"/>
          <w:sz w:val="28"/>
        </w:rPr>
        <w:t> </w:t>
      </w:r>
      <w:r>
        <w:rPr>
          <w:rFonts w:ascii="Courier New" w:hAnsi="Courier New"/>
          <w:i/>
          <w:sz w:val="28"/>
        </w:rPr>
        <w:t>river</w:t>
      </w:r>
      <w:r>
        <w:rPr>
          <w:rFonts w:ascii="Courier New" w:hAnsi="Courier New"/>
          <w:i/>
          <w:spacing w:val="-40"/>
          <w:sz w:val="28"/>
        </w:rPr>
        <w:t> </w:t>
      </w:r>
      <w:r>
        <w:rPr>
          <w:rFonts w:ascii="Courier New" w:hAnsi="Courier New"/>
          <w:i/>
          <w:sz w:val="28"/>
        </w:rPr>
        <w:t>had</w:t>
      </w:r>
      <w:r>
        <w:rPr>
          <w:rFonts w:ascii="Courier New" w:hAnsi="Courier New"/>
          <w:i/>
          <w:spacing w:val="-40"/>
          <w:sz w:val="28"/>
        </w:rPr>
        <w:t> </w:t>
      </w:r>
      <w:r>
        <w:rPr>
          <w:rFonts w:ascii="Courier New" w:hAnsi="Courier New"/>
          <w:i/>
          <w:sz w:val="28"/>
        </w:rPr>
        <w:t>darshans of Kanak bhawan, Hanumangarhi and of Shri Ram Janam Bhoomi and had the Parikrama of Shri Ram Janam</w:t>
      </w:r>
      <w:r>
        <w:rPr>
          <w:rFonts w:ascii="Courier New" w:hAnsi="Courier New"/>
          <w:i/>
          <w:spacing w:val="-5"/>
          <w:sz w:val="28"/>
        </w:rPr>
        <w:t> </w:t>
      </w:r>
      <w:r>
        <w:rPr>
          <w:rFonts w:ascii="Courier New" w:hAnsi="Courier New"/>
          <w:i/>
          <w:sz w:val="28"/>
        </w:rPr>
        <w:t>Bhoomi."</w:t>
      </w:r>
      <w:r>
        <w:rPr>
          <w:rFonts w:ascii="Courier New" w:hAnsi="Courier New"/>
          <w:sz w:val="28"/>
        </w:rPr>
        <w:t>”</w:t>
      </w:r>
    </w:p>
    <w:p>
      <w:pPr>
        <w:pStyle w:val="BodyText"/>
        <w:rPr>
          <w:rFonts w:ascii="Courier New"/>
          <w:sz w:val="32"/>
        </w:rPr>
      </w:pPr>
    </w:p>
    <w:p>
      <w:pPr>
        <w:pStyle w:val="ListParagraph"/>
        <w:numPr>
          <w:ilvl w:val="0"/>
          <w:numId w:val="257"/>
        </w:numPr>
        <w:tabs>
          <w:tab w:pos="1000" w:val="left" w:leader="none"/>
        </w:tabs>
        <w:spacing w:line="240" w:lineRule="auto" w:before="271" w:after="0"/>
        <w:ind w:left="999" w:right="0" w:hanging="840"/>
        <w:jc w:val="left"/>
        <w:rPr>
          <w:rFonts w:ascii="Courier New"/>
          <w:sz w:val="28"/>
        </w:rPr>
      </w:pPr>
      <w:r>
        <w:rPr>
          <w:rFonts w:ascii="Courier New"/>
          <w:sz w:val="28"/>
        </w:rPr>
        <w:t>He further</w:t>
      </w:r>
      <w:r>
        <w:rPr>
          <w:rFonts w:ascii="Courier New"/>
          <w:spacing w:val="-3"/>
          <w:sz w:val="28"/>
        </w:rPr>
        <w:t> </w:t>
      </w:r>
      <w:r>
        <w:rPr>
          <w:rFonts w:ascii="Courier New"/>
          <w:sz w:val="28"/>
        </w:rPr>
        <w:t>states:-</w:t>
      </w:r>
    </w:p>
    <w:p>
      <w:pPr>
        <w:pStyle w:val="BodyText"/>
        <w:spacing w:before="11"/>
        <w:rPr>
          <w:rFonts w:ascii="Courier New"/>
          <w:sz w:val="27"/>
        </w:rPr>
      </w:pPr>
    </w:p>
    <w:p>
      <w:pPr>
        <w:spacing w:line="240" w:lineRule="auto" w:before="0"/>
        <w:ind w:left="1011" w:right="1245" w:firstLine="0"/>
        <w:jc w:val="both"/>
        <w:rPr>
          <w:rFonts w:ascii="Courier New" w:hAnsi="Courier New"/>
          <w:i/>
          <w:sz w:val="28"/>
        </w:rPr>
      </w:pPr>
      <w:r>
        <w:rPr>
          <w:rFonts w:ascii="Courier New" w:hAnsi="Courier New"/>
          <w:sz w:val="28"/>
        </w:rPr>
        <w:t>“</w:t>
      </w:r>
      <w:r>
        <w:rPr>
          <w:rFonts w:ascii="Courier New" w:hAnsi="Courier New"/>
          <w:i/>
          <w:sz w:val="28"/>
        </w:rPr>
        <w:t>10.....There was a building of 3 shikhars </w:t>
      </w:r>
      <w:r>
        <w:rPr>
          <w:rFonts w:ascii="Courier New" w:hAnsi="Courier New"/>
          <w:i/>
          <w:sz w:val="28"/>
        </w:rPr>
        <w:t>to the west of the wall with iron-bars in which the place of the central Shikhar portion is Shri Ram Janmabhoomi which is called Sanctum-Sanctorum, according to Hindu tradition, faith and belief. On the basis</w:t>
      </w:r>
      <w:r>
        <w:rPr>
          <w:rFonts w:ascii="Courier New" w:hAnsi="Courier New"/>
          <w:i/>
          <w:spacing w:val="-20"/>
          <w:sz w:val="28"/>
        </w:rPr>
        <w:t> </w:t>
      </w:r>
      <w:r>
        <w:rPr>
          <w:rFonts w:ascii="Courier New" w:hAnsi="Courier New"/>
          <w:i/>
          <w:sz w:val="28"/>
        </w:rPr>
        <w:t>of</w:t>
      </w:r>
      <w:r>
        <w:rPr>
          <w:rFonts w:ascii="Courier New" w:hAnsi="Courier New"/>
          <w:i/>
          <w:spacing w:val="-19"/>
          <w:sz w:val="28"/>
        </w:rPr>
        <w:t> </w:t>
      </w:r>
      <w:r>
        <w:rPr>
          <w:rFonts w:ascii="Courier New" w:hAnsi="Courier New"/>
          <w:i/>
          <w:sz w:val="28"/>
        </w:rPr>
        <w:t>this</w:t>
      </w:r>
      <w:r>
        <w:rPr>
          <w:rFonts w:ascii="Courier New" w:hAnsi="Courier New"/>
          <w:i/>
          <w:spacing w:val="-20"/>
          <w:sz w:val="28"/>
        </w:rPr>
        <w:t> </w:t>
      </w:r>
      <w:r>
        <w:rPr>
          <w:rFonts w:ascii="Courier New" w:hAnsi="Courier New"/>
          <w:i/>
          <w:sz w:val="28"/>
        </w:rPr>
        <w:t>faith</w:t>
      </w:r>
      <w:r>
        <w:rPr>
          <w:rFonts w:ascii="Courier New" w:hAnsi="Courier New"/>
          <w:i/>
          <w:spacing w:val="-19"/>
          <w:sz w:val="28"/>
        </w:rPr>
        <w:t> </w:t>
      </w:r>
      <w:r>
        <w:rPr>
          <w:rFonts w:ascii="Courier New" w:hAnsi="Courier New"/>
          <w:i/>
          <w:sz w:val="28"/>
        </w:rPr>
        <w:t>and</w:t>
      </w:r>
      <w:r>
        <w:rPr>
          <w:rFonts w:ascii="Courier New" w:hAnsi="Courier New"/>
          <w:i/>
          <w:spacing w:val="-19"/>
          <w:sz w:val="28"/>
        </w:rPr>
        <w:t> </w:t>
      </w:r>
      <w:r>
        <w:rPr>
          <w:rFonts w:ascii="Courier New" w:hAnsi="Courier New"/>
          <w:i/>
          <w:sz w:val="28"/>
        </w:rPr>
        <w:t>belief,</w:t>
      </w:r>
      <w:r>
        <w:rPr>
          <w:rFonts w:ascii="Courier New" w:hAnsi="Courier New"/>
          <w:i/>
          <w:spacing w:val="-20"/>
          <w:sz w:val="28"/>
        </w:rPr>
        <w:t> </w:t>
      </w:r>
      <w:r>
        <w:rPr>
          <w:rFonts w:ascii="Courier New" w:hAnsi="Courier New"/>
          <w:i/>
          <w:sz w:val="28"/>
        </w:rPr>
        <w:t>I</w:t>
      </w:r>
      <w:r>
        <w:rPr>
          <w:rFonts w:ascii="Courier New" w:hAnsi="Courier New"/>
          <w:i/>
          <w:spacing w:val="-19"/>
          <w:sz w:val="28"/>
        </w:rPr>
        <w:t> </w:t>
      </w:r>
      <w:r>
        <w:rPr>
          <w:rFonts w:ascii="Courier New" w:hAnsi="Courier New"/>
          <w:i/>
          <w:sz w:val="28"/>
        </w:rPr>
        <w:t>also</w:t>
      </w:r>
      <w:r>
        <w:rPr>
          <w:rFonts w:ascii="Courier New" w:hAnsi="Courier New"/>
          <w:i/>
          <w:spacing w:val="-19"/>
          <w:sz w:val="28"/>
        </w:rPr>
        <w:t> </w:t>
      </w:r>
      <w:r>
        <w:rPr>
          <w:rFonts w:ascii="Courier New" w:hAnsi="Courier New"/>
          <w:i/>
          <w:sz w:val="28"/>
        </w:rPr>
        <w:t>used to</w:t>
      </w:r>
      <w:r>
        <w:rPr>
          <w:rFonts w:ascii="Courier New" w:hAnsi="Courier New"/>
          <w:i/>
          <w:spacing w:val="-20"/>
          <w:sz w:val="28"/>
        </w:rPr>
        <w:t> </w:t>
      </w:r>
      <w:r>
        <w:rPr>
          <w:rFonts w:ascii="Courier New" w:hAnsi="Courier New"/>
          <w:i/>
          <w:sz w:val="28"/>
        </w:rPr>
        <w:t>go</w:t>
      </w:r>
      <w:r>
        <w:rPr>
          <w:rFonts w:ascii="Courier New" w:hAnsi="Courier New"/>
          <w:i/>
          <w:spacing w:val="-19"/>
          <w:sz w:val="28"/>
        </w:rPr>
        <w:t> </w:t>
      </w:r>
      <w:r>
        <w:rPr>
          <w:rFonts w:ascii="Courier New" w:hAnsi="Courier New"/>
          <w:i/>
          <w:sz w:val="28"/>
        </w:rPr>
        <w:t>for</w:t>
      </w:r>
      <w:r>
        <w:rPr>
          <w:rFonts w:ascii="Courier New" w:hAnsi="Courier New"/>
          <w:i/>
          <w:spacing w:val="-20"/>
          <w:sz w:val="28"/>
        </w:rPr>
        <w:t> </w:t>
      </w:r>
      <w:r>
        <w:rPr>
          <w:rFonts w:ascii="Courier New" w:hAnsi="Courier New"/>
          <w:i/>
          <w:sz w:val="28"/>
        </w:rPr>
        <w:t>Darshan</w:t>
      </w:r>
      <w:r>
        <w:rPr>
          <w:rFonts w:ascii="Courier New" w:hAnsi="Courier New"/>
          <w:i/>
          <w:spacing w:val="-19"/>
          <w:sz w:val="28"/>
        </w:rPr>
        <w:t> </w:t>
      </w:r>
      <w:r>
        <w:rPr>
          <w:rFonts w:ascii="Courier New" w:hAnsi="Courier New"/>
          <w:i/>
          <w:sz w:val="28"/>
        </w:rPr>
        <w:t>and</w:t>
      </w:r>
      <w:r>
        <w:rPr>
          <w:rFonts w:ascii="Courier New" w:hAnsi="Courier New"/>
          <w:i/>
          <w:spacing w:val="-19"/>
          <w:sz w:val="28"/>
        </w:rPr>
        <w:t> </w:t>
      </w:r>
      <w:r>
        <w:rPr>
          <w:rFonts w:ascii="Courier New" w:hAnsi="Courier New"/>
          <w:i/>
          <w:sz w:val="28"/>
        </w:rPr>
        <w:t>Parikrama</w:t>
      </w:r>
      <w:r>
        <w:rPr>
          <w:rFonts w:ascii="Courier New" w:hAnsi="Courier New"/>
          <w:i/>
          <w:spacing w:val="-20"/>
          <w:sz w:val="28"/>
        </w:rPr>
        <w:t> </w:t>
      </w:r>
      <w:r>
        <w:rPr>
          <w:rFonts w:ascii="Courier New" w:hAnsi="Courier New"/>
          <w:i/>
          <w:sz w:val="28"/>
        </w:rPr>
        <w:t>of</w:t>
      </w:r>
      <w:r>
        <w:rPr>
          <w:rFonts w:ascii="Courier New" w:hAnsi="Courier New"/>
          <w:i/>
          <w:spacing w:val="-19"/>
          <w:sz w:val="28"/>
        </w:rPr>
        <w:t> </w:t>
      </w:r>
      <w:r>
        <w:rPr>
          <w:rFonts w:ascii="Courier New" w:hAnsi="Courier New"/>
          <w:i/>
          <w:sz w:val="28"/>
        </w:rPr>
        <w:t>the</w:t>
      </w:r>
      <w:r>
        <w:rPr>
          <w:rFonts w:ascii="Courier New" w:hAnsi="Courier New"/>
          <w:i/>
          <w:spacing w:val="-19"/>
          <w:sz w:val="28"/>
        </w:rPr>
        <w:t> </w:t>
      </w:r>
      <w:r>
        <w:rPr>
          <w:rFonts w:ascii="Courier New" w:hAnsi="Courier New"/>
          <w:i/>
          <w:sz w:val="28"/>
        </w:rPr>
        <w:t>Shri Ram Janam</w:t>
      </w:r>
      <w:r>
        <w:rPr>
          <w:rFonts w:ascii="Courier New" w:hAnsi="Courier New"/>
          <w:i/>
          <w:spacing w:val="-3"/>
          <w:sz w:val="28"/>
        </w:rPr>
        <w:t> </w:t>
      </w:r>
      <w:r>
        <w:rPr>
          <w:rFonts w:ascii="Courier New" w:hAnsi="Courier New"/>
          <w:i/>
          <w:sz w:val="28"/>
        </w:rPr>
        <w:t>Bhoomi."</w:t>
      </w:r>
    </w:p>
    <w:p>
      <w:pPr>
        <w:pStyle w:val="BodyText"/>
        <w:rPr>
          <w:rFonts w:ascii="Courier New"/>
          <w:i/>
          <w:sz w:val="32"/>
        </w:rPr>
      </w:pPr>
    </w:p>
    <w:p>
      <w:pPr>
        <w:pStyle w:val="ListParagraph"/>
        <w:numPr>
          <w:ilvl w:val="0"/>
          <w:numId w:val="257"/>
        </w:numPr>
        <w:tabs>
          <w:tab w:pos="1000" w:val="left" w:leader="none"/>
        </w:tabs>
        <w:spacing w:line="240" w:lineRule="auto" w:before="272" w:after="0"/>
        <w:ind w:left="999" w:right="0" w:hanging="840"/>
        <w:jc w:val="left"/>
        <w:rPr>
          <w:rFonts w:ascii="Courier New"/>
          <w:sz w:val="28"/>
        </w:rPr>
      </w:pPr>
      <w:r>
        <w:rPr>
          <w:rFonts w:ascii="Courier New"/>
          <w:sz w:val="28"/>
        </w:rPr>
        <w:t>Further he states:</w:t>
      </w:r>
      <w:r>
        <w:rPr>
          <w:rFonts w:ascii="Courier New"/>
          <w:spacing w:val="-4"/>
          <w:sz w:val="28"/>
        </w:rPr>
        <w:t> </w:t>
      </w:r>
      <w:r>
        <w:rPr>
          <w:rFonts w:ascii="Courier New"/>
          <w:sz w:val="28"/>
        </w:rPr>
        <w:t>-</w:t>
      </w:r>
    </w:p>
    <w:p>
      <w:pPr>
        <w:pStyle w:val="BodyText"/>
        <w:spacing w:before="11"/>
        <w:rPr>
          <w:rFonts w:ascii="Courier New"/>
          <w:sz w:val="27"/>
        </w:rPr>
      </w:pPr>
    </w:p>
    <w:p>
      <w:pPr>
        <w:spacing w:line="240" w:lineRule="auto" w:before="0"/>
        <w:ind w:left="1011" w:right="1246" w:firstLine="0"/>
        <w:jc w:val="both"/>
        <w:rPr>
          <w:rFonts w:ascii="Courier New" w:hAnsi="Courier New"/>
          <w:i/>
          <w:sz w:val="28"/>
        </w:rPr>
      </w:pPr>
      <w:r>
        <w:rPr>
          <w:rFonts w:ascii="Courier New" w:hAnsi="Courier New"/>
          <w:sz w:val="28"/>
        </w:rPr>
        <w:t>“</w:t>
      </w:r>
      <w:r>
        <w:rPr>
          <w:rFonts w:ascii="Courier New" w:hAnsi="Courier New"/>
          <w:i/>
          <w:sz w:val="28"/>
        </w:rPr>
        <w:t>12.</w:t>
      </w:r>
      <w:r>
        <w:rPr>
          <w:rFonts w:ascii="Courier New" w:hAnsi="Courier New"/>
          <w:i/>
          <w:spacing w:val="-26"/>
          <w:sz w:val="28"/>
        </w:rPr>
        <w:t> </w:t>
      </w:r>
      <w:r>
        <w:rPr>
          <w:rFonts w:ascii="Courier New" w:hAnsi="Courier New"/>
          <w:i/>
          <w:sz w:val="28"/>
        </w:rPr>
        <w:t>All</w:t>
      </w:r>
      <w:r>
        <w:rPr>
          <w:rFonts w:ascii="Courier New" w:hAnsi="Courier New"/>
          <w:i/>
          <w:spacing w:val="-26"/>
          <w:sz w:val="28"/>
        </w:rPr>
        <w:t> </w:t>
      </w:r>
      <w:r>
        <w:rPr>
          <w:rFonts w:ascii="Courier New" w:hAnsi="Courier New"/>
          <w:i/>
          <w:sz w:val="28"/>
        </w:rPr>
        <w:t>the</w:t>
      </w:r>
      <w:r>
        <w:rPr>
          <w:rFonts w:ascii="Courier New" w:hAnsi="Courier New"/>
          <w:i/>
          <w:spacing w:val="-26"/>
          <w:sz w:val="28"/>
        </w:rPr>
        <w:t> </w:t>
      </w:r>
      <w:r>
        <w:rPr>
          <w:rFonts w:ascii="Courier New" w:hAnsi="Courier New"/>
          <w:i/>
          <w:sz w:val="28"/>
        </w:rPr>
        <w:t>pilgrims</w:t>
      </w:r>
      <w:r>
        <w:rPr>
          <w:rFonts w:ascii="Courier New" w:hAnsi="Courier New"/>
          <w:i/>
          <w:spacing w:val="-26"/>
          <w:sz w:val="28"/>
        </w:rPr>
        <w:t> </w:t>
      </w:r>
      <w:r>
        <w:rPr>
          <w:rFonts w:ascii="Courier New" w:hAnsi="Courier New"/>
          <w:i/>
          <w:sz w:val="28"/>
        </w:rPr>
        <w:t>-</w:t>
      </w:r>
      <w:r>
        <w:rPr>
          <w:rFonts w:ascii="Courier New" w:hAnsi="Courier New"/>
          <w:i/>
          <w:spacing w:val="-24"/>
          <w:sz w:val="28"/>
        </w:rPr>
        <w:t> </w:t>
      </w:r>
      <w:r>
        <w:rPr>
          <w:rFonts w:ascii="Courier New" w:hAnsi="Courier New"/>
          <w:i/>
          <w:sz w:val="28"/>
        </w:rPr>
        <w:t>darshnarthees</w:t>
      </w:r>
      <w:r>
        <w:rPr>
          <w:rFonts w:ascii="Courier New" w:hAnsi="Courier New"/>
          <w:i/>
          <w:spacing w:val="-26"/>
          <w:sz w:val="28"/>
        </w:rPr>
        <w:t> </w:t>
      </w:r>
      <w:r>
        <w:rPr>
          <w:rFonts w:ascii="Courier New" w:hAnsi="Courier New"/>
          <w:i/>
          <w:sz w:val="28"/>
        </w:rPr>
        <w:t>would </w:t>
      </w:r>
      <w:r>
        <w:rPr>
          <w:rFonts w:ascii="Courier New" w:hAnsi="Courier New"/>
          <w:i/>
          <w:sz w:val="28"/>
        </w:rPr>
        <w:t>enter the Sri Ram Janam Bhoomi premises from</w:t>
      </w:r>
      <w:r>
        <w:rPr>
          <w:rFonts w:ascii="Courier New" w:hAnsi="Courier New"/>
          <w:i/>
          <w:spacing w:val="43"/>
          <w:sz w:val="28"/>
        </w:rPr>
        <w:t> </w:t>
      </w:r>
      <w:r>
        <w:rPr>
          <w:rFonts w:ascii="Courier New" w:hAnsi="Courier New"/>
          <w:i/>
          <w:sz w:val="28"/>
        </w:rPr>
        <w:t>the</w:t>
      </w:r>
      <w:r>
        <w:rPr>
          <w:rFonts w:ascii="Courier New" w:hAnsi="Courier New"/>
          <w:i/>
          <w:spacing w:val="44"/>
          <w:sz w:val="28"/>
        </w:rPr>
        <w:t> </w:t>
      </w:r>
      <w:r>
        <w:rPr>
          <w:rFonts w:ascii="Courier New" w:hAnsi="Courier New"/>
          <w:i/>
          <w:sz w:val="28"/>
        </w:rPr>
        <w:t>entry</w:t>
      </w:r>
      <w:r>
        <w:rPr>
          <w:rFonts w:ascii="Courier New" w:hAnsi="Courier New"/>
          <w:i/>
          <w:spacing w:val="46"/>
          <w:sz w:val="28"/>
        </w:rPr>
        <w:t> </w:t>
      </w:r>
      <w:r>
        <w:rPr>
          <w:rFonts w:ascii="Courier New" w:hAnsi="Courier New"/>
          <w:i/>
          <w:sz w:val="28"/>
        </w:rPr>
        <w:t>gate</w:t>
      </w:r>
      <w:r>
        <w:rPr>
          <w:rFonts w:ascii="Courier New" w:hAnsi="Courier New"/>
          <w:i/>
          <w:spacing w:val="44"/>
          <w:sz w:val="28"/>
        </w:rPr>
        <w:t> </w:t>
      </w:r>
      <w:r>
        <w:rPr>
          <w:rFonts w:ascii="Courier New" w:hAnsi="Courier New"/>
          <w:i/>
          <w:sz w:val="28"/>
        </w:rPr>
        <w:t>to</w:t>
      </w:r>
      <w:r>
        <w:rPr>
          <w:rFonts w:ascii="Courier New" w:hAnsi="Courier New"/>
          <w:i/>
          <w:spacing w:val="44"/>
          <w:sz w:val="28"/>
        </w:rPr>
        <w:t> </w:t>
      </w:r>
      <w:r>
        <w:rPr>
          <w:rFonts w:ascii="Courier New" w:hAnsi="Courier New"/>
          <w:i/>
          <w:sz w:val="28"/>
        </w:rPr>
        <w:t>the</w:t>
      </w:r>
      <w:r>
        <w:rPr>
          <w:rFonts w:ascii="Courier New" w:hAnsi="Courier New"/>
          <w:i/>
          <w:spacing w:val="45"/>
          <w:sz w:val="28"/>
        </w:rPr>
        <w:t> </w:t>
      </w:r>
      <w:r>
        <w:rPr>
          <w:rFonts w:ascii="Courier New" w:hAnsi="Courier New"/>
          <w:i/>
          <w:sz w:val="28"/>
        </w:rPr>
        <w:t>east</w:t>
      </w:r>
      <w:r>
        <w:rPr>
          <w:rFonts w:ascii="Courier New" w:hAnsi="Courier New"/>
          <w:i/>
          <w:spacing w:val="44"/>
          <w:sz w:val="28"/>
        </w:rPr>
        <w:t> </w:t>
      </w:r>
      <w:r>
        <w:rPr>
          <w:rFonts w:ascii="Courier New" w:hAnsi="Courier New"/>
          <w:i/>
          <w:sz w:val="28"/>
        </w:rPr>
        <w:t>and</w:t>
      </w:r>
      <w:r>
        <w:rPr>
          <w:rFonts w:ascii="Courier New" w:hAnsi="Courier New"/>
          <w:i/>
          <w:spacing w:val="44"/>
          <w:sz w:val="28"/>
        </w:rPr>
        <w:t> </w:t>
      </w:r>
      <w:r>
        <w:rPr>
          <w:rFonts w:ascii="Courier New" w:hAnsi="Courier New"/>
          <w:i/>
          <w:sz w:val="28"/>
        </w:rPr>
        <w:t>have</w:t>
      </w:r>
    </w:p>
    <w:p>
      <w:pPr>
        <w:spacing w:after="0" w:line="240" w:lineRule="auto"/>
        <w:jc w:val="both"/>
        <w:rPr>
          <w:rFonts w:ascii="Courier New" w:hAnsi="Courier New"/>
          <w:sz w:val="28"/>
        </w:rPr>
        <w:sectPr>
          <w:headerReference w:type="default" r:id="rId422"/>
          <w:footerReference w:type="default" r:id="rId423"/>
          <w:pgSz w:w="11910" w:h="16840"/>
          <w:pgMar w:header="0" w:footer="1063" w:top="1340" w:bottom="1260" w:left="1280" w:right="1280"/>
          <w:pgNumType w:start="106"/>
        </w:sectPr>
      </w:pPr>
    </w:p>
    <w:p>
      <w:pPr>
        <w:spacing w:line="240" w:lineRule="auto" w:before="86"/>
        <w:ind w:left="1011" w:right="1247" w:firstLine="0"/>
        <w:jc w:val="both"/>
        <w:rPr>
          <w:rFonts w:ascii="Courier New" w:hAnsi="Courier New"/>
          <w:sz w:val="28"/>
        </w:rPr>
      </w:pPr>
      <w:r>
        <w:rPr>
          <w:rFonts w:ascii="Courier New" w:hAnsi="Courier New"/>
          <w:i/>
          <w:sz w:val="28"/>
        </w:rPr>
        <w:t>darshans of the idols placed at Ram </w:t>
      </w:r>
      <w:r>
        <w:rPr>
          <w:rFonts w:ascii="Courier New" w:hAnsi="Courier New"/>
          <w:i/>
          <w:sz w:val="28"/>
        </w:rPr>
        <w:t>chabootra, of the idols placed under the neem and peepal tree located to its south- east corner and Sita Rasoi and the foot prints</w:t>
      </w:r>
      <w:r>
        <w:rPr>
          <w:rFonts w:ascii="Courier New" w:hAnsi="Courier New"/>
          <w:i/>
          <w:spacing w:val="-22"/>
          <w:sz w:val="28"/>
        </w:rPr>
        <w:t> </w:t>
      </w:r>
      <w:r>
        <w:rPr>
          <w:rFonts w:ascii="Courier New" w:hAnsi="Courier New"/>
          <w:i/>
          <w:sz w:val="28"/>
        </w:rPr>
        <w:t>etc.,</w:t>
      </w:r>
      <w:r>
        <w:rPr>
          <w:rFonts w:ascii="Courier New" w:hAnsi="Courier New"/>
          <w:i/>
          <w:spacing w:val="-22"/>
          <w:sz w:val="28"/>
        </w:rPr>
        <w:t> </w:t>
      </w:r>
      <w:r>
        <w:rPr>
          <w:rFonts w:ascii="Courier New" w:hAnsi="Courier New"/>
          <w:i/>
          <w:sz w:val="28"/>
        </w:rPr>
        <w:t>there</w:t>
      </w:r>
      <w:r>
        <w:rPr>
          <w:rFonts w:ascii="Courier New" w:hAnsi="Courier New"/>
          <w:i/>
          <w:spacing w:val="-22"/>
          <w:sz w:val="28"/>
        </w:rPr>
        <w:t> </w:t>
      </w:r>
      <w:r>
        <w:rPr>
          <w:rFonts w:ascii="Courier New" w:hAnsi="Courier New"/>
          <w:i/>
          <w:sz w:val="28"/>
        </w:rPr>
        <w:t>and</w:t>
      </w:r>
      <w:r>
        <w:rPr>
          <w:rFonts w:ascii="Courier New" w:hAnsi="Courier New"/>
          <w:i/>
          <w:spacing w:val="-22"/>
          <w:sz w:val="28"/>
        </w:rPr>
        <w:t> </w:t>
      </w:r>
      <w:r>
        <w:rPr>
          <w:rFonts w:ascii="Courier New" w:hAnsi="Courier New"/>
          <w:i/>
          <w:sz w:val="28"/>
        </w:rPr>
        <w:t>also</w:t>
      </w:r>
      <w:r>
        <w:rPr>
          <w:rFonts w:ascii="Courier New" w:hAnsi="Courier New"/>
          <w:i/>
          <w:spacing w:val="-21"/>
          <w:sz w:val="28"/>
        </w:rPr>
        <w:t> </w:t>
      </w:r>
      <w:r>
        <w:rPr>
          <w:rFonts w:ascii="Courier New" w:hAnsi="Courier New"/>
          <w:i/>
          <w:sz w:val="28"/>
        </w:rPr>
        <w:t>have</w:t>
      </w:r>
      <w:r>
        <w:rPr>
          <w:rFonts w:ascii="Courier New" w:hAnsi="Courier New"/>
          <w:i/>
          <w:spacing w:val="-22"/>
          <w:sz w:val="28"/>
        </w:rPr>
        <w:t> </w:t>
      </w:r>
      <w:r>
        <w:rPr>
          <w:rFonts w:ascii="Courier New" w:hAnsi="Courier New"/>
          <w:i/>
          <w:sz w:val="28"/>
        </w:rPr>
        <w:t>darshan</w:t>
      </w:r>
      <w:r>
        <w:rPr>
          <w:rFonts w:ascii="Courier New" w:hAnsi="Courier New"/>
          <w:i/>
          <w:spacing w:val="-22"/>
          <w:sz w:val="28"/>
        </w:rPr>
        <w:t> </w:t>
      </w:r>
      <w:r>
        <w:rPr>
          <w:rFonts w:ascii="Courier New" w:hAnsi="Courier New"/>
          <w:i/>
          <w:sz w:val="28"/>
        </w:rPr>
        <w:t>of the sacosanct Sri Ram Janam Bhoomi located inside the barred wall which is considered to be the Sanctum-Sanactorum. The pilgrims and those coming for darshans and we used to make offerings like fruit and cash according to our shardha. At the Sanctum- Sanctorum also, the pilgrims and we after the darshan of this used to make offerings through</w:t>
      </w:r>
      <w:r>
        <w:rPr>
          <w:rFonts w:ascii="Courier New" w:hAnsi="Courier New"/>
          <w:i/>
          <w:spacing w:val="-22"/>
          <w:sz w:val="28"/>
        </w:rPr>
        <w:t> </w:t>
      </w:r>
      <w:r>
        <w:rPr>
          <w:rFonts w:ascii="Courier New" w:hAnsi="Courier New"/>
          <w:i/>
          <w:sz w:val="28"/>
        </w:rPr>
        <w:t>the</w:t>
      </w:r>
      <w:r>
        <w:rPr>
          <w:rFonts w:ascii="Courier New" w:hAnsi="Courier New"/>
          <w:i/>
          <w:spacing w:val="-22"/>
          <w:sz w:val="28"/>
        </w:rPr>
        <w:t> </w:t>
      </w:r>
      <w:r>
        <w:rPr>
          <w:rFonts w:ascii="Courier New" w:hAnsi="Courier New"/>
          <w:i/>
          <w:sz w:val="28"/>
        </w:rPr>
        <w:t>barred</w:t>
      </w:r>
      <w:r>
        <w:rPr>
          <w:rFonts w:ascii="Courier New" w:hAnsi="Courier New"/>
          <w:i/>
          <w:spacing w:val="-21"/>
          <w:sz w:val="28"/>
        </w:rPr>
        <w:t> </w:t>
      </w:r>
      <w:r>
        <w:rPr>
          <w:rFonts w:ascii="Courier New" w:hAnsi="Courier New"/>
          <w:i/>
          <w:sz w:val="28"/>
        </w:rPr>
        <w:t>wall</w:t>
      </w:r>
      <w:r>
        <w:rPr>
          <w:rFonts w:ascii="Courier New" w:hAnsi="Courier New"/>
          <w:i/>
          <w:spacing w:val="-22"/>
          <w:sz w:val="28"/>
        </w:rPr>
        <w:t> </w:t>
      </w:r>
      <w:r>
        <w:rPr>
          <w:rFonts w:ascii="Courier New" w:hAnsi="Courier New"/>
          <w:i/>
          <w:sz w:val="28"/>
        </w:rPr>
        <w:t>as</w:t>
      </w:r>
      <w:r>
        <w:rPr>
          <w:rFonts w:ascii="Courier New" w:hAnsi="Courier New"/>
          <w:i/>
          <w:spacing w:val="-22"/>
          <w:sz w:val="28"/>
        </w:rPr>
        <w:t> </w:t>
      </w:r>
      <w:r>
        <w:rPr>
          <w:rFonts w:ascii="Courier New" w:hAnsi="Courier New"/>
          <w:i/>
          <w:sz w:val="28"/>
        </w:rPr>
        <w:t>per</w:t>
      </w:r>
      <w:r>
        <w:rPr>
          <w:rFonts w:ascii="Courier New" w:hAnsi="Courier New"/>
          <w:i/>
          <w:spacing w:val="-21"/>
          <w:sz w:val="28"/>
        </w:rPr>
        <w:t> </w:t>
      </w:r>
      <w:r>
        <w:rPr>
          <w:rFonts w:ascii="Courier New" w:hAnsi="Courier New"/>
          <w:i/>
          <w:sz w:val="28"/>
        </w:rPr>
        <w:t>our</w:t>
      </w:r>
      <w:r>
        <w:rPr>
          <w:rFonts w:ascii="Courier New" w:hAnsi="Courier New"/>
          <w:i/>
          <w:spacing w:val="-22"/>
          <w:sz w:val="28"/>
        </w:rPr>
        <w:t> </w:t>
      </w:r>
      <w:r>
        <w:rPr>
          <w:rFonts w:ascii="Courier New" w:hAnsi="Courier New"/>
          <w:i/>
          <w:sz w:val="28"/>
        </w:rPr>
        <w:t>belief.</w:t>
      </w:r>
      <w:r>
        <w:rPr>
          <w:rFonts w:ascii="Courier New" w:hAnsi="Courier New"/>
          <w:sz w:val="28"/>
        </w:rPr>
        <w:t>”</w:t>
      </w:r>
    </w:p>
    <w:p>
      <w:pPr>
        <w:pStyle w:val="BodyText"/>
        <w:rPr>
          <w:rFonts w:ascii="Courier New"/>
          <w:sz w:val="32"/>
        </w:rPr>
      </w:pPr>
    </w:p>
    <w:p>
      <w:pPr>
        <w:pStyle w:val="ListParagraph"/>
        <w:numPr>
          <w:ilvl w:val="0"/>
          <w:numId w:val="257"/>
        </w:numPr>
        <w:tabs>
          <w:tab w:pos="995" w:val="left" w:leader="none"/>
        </w:tabs>
        <w:spacing w:line="480" w:lineRule="auto" w:before="273" w:after="0"/>
        <w:ind w:left="160" w:right="160" w:firstLine="0"/>
        <w:jc w:val="both"/>
        <w:rPr>
          <w:rFonts w:ascii="Courier New"/>
          <w:sz w:val="28"/>
        </w:rPr>
      </w:pPr>
      <w:r>
        <w:rPr>
          <w:rFonts w:ascii="Courier New"/>
          <w:sz w:val="28"/>
        </w:rPr>
        <w:t>In his cross-examination, he denied the fact</w:t>
      </w:r>
      <w:r>
        <w:rPr>
          <w:rFonts w:ascii="Courier New"/>
          <w:spacing w:val="-61"/>
          <w:sz w:val="28"/>
        </w:rPr>
        <w:t> </w:t>
      </w:r>
      <w:r>
        <w:rPr>
          <w:rFonts w:ascii="Courier New"/>
          <w:sz w:val="28"/>
        </w:rPr>
        <w:t>that public opinion regarding Ram Janam Bhumi is of twentieth</w:t>
      </w:r>
      <w:r>
        <w:rPr>
          <w:rFonts w:ascii="Courier New"/>
          <w:spacing w:val="-25"/>
          <w:sz w:val="28"/>
        </w:rPr>
        <w:t> </w:t>
      </w:r>
      <w:r>
        <w:rPr>
          <w:rFonts w:ascii="Courier New"/>
          <w:sz w:val="28"/>
        </w:rPr>
        <w:t>century.</w:t>
      </w:r>
      <w:r>
        <w:rPr>
          <w:rFonts w:ascii="Courier New"/>
          <w:spacing w:val="-24"/>
          <w:sz w:val="28"/>
        </w:rPr>
        <w:t> </w:t>
      </w:r>
      <w:r>
        <w:rPr>
          <w:rFonts w:ascii="Courier New"/>
          <w:sz w:val="28"/>
        </w:rPr>
        <w:t>He</w:t>
      </w:r>
      <w:r>
        <w:rPr>
          <w:rFonts w:ascii="Courier New"/>
          <w:spacing w:val="-25"/>
          <w:sz w:val="28"/>
        </w:rPr>
        <w:t> </w:t>
      </w:r>
      <w:r>
        <w:rPr>
          <w:rFonts w:ascii="Courier New"/>
          <w:sz w:val="28"/>
        </w:rPr>
        <w:t>states</w:t>
      </w:r>
      <w:r>
        <w:rPr>
          <w:rFonts w:ascii="Courier New"/>
          <w:spacing w:val="-21"/>
          <w:sz w:val="28"/>
        </w:rPr>
        <w:t> </w:t>
      </w:r>
      <w:r>
        <w:rPr>
          <w:rFonts w:ascii="Courier New"/>
          <w:sz w:val="28"/>
        </w:rPr>
        <w:t>it</w:t>
      </w:r>
      <w:r>
        <w:rPr>
          <w:rFonts w:ascii="Courier New"/>
          <w:spacing w:val="-25"/>
          <w:sz w:val="28"/>
        </w:rPr>
        <w:t> </w:t>
      </w:r>
      <w:r>
        <w:rPr>
          <w:rFonts w:ascii="Courier New"/>
          <w:sz w:val="28"/>
        </w:rPr>
        <w:t>to</w:t>
      </w:r>
      <w:r>
        <w:rPr>
          <w:rFonts w:ascii="Courier New"/>
          <w:spacing w:val="-24"/>
          <w:sz w:val="28"/>
        </w:rPr>
        <w:t> </w:t>
      </w:r>
      <w:r>
        <w:rPr>
          <w:rFonts w:ascii="Courier New"/>
          <w:sz w:val="28"/>
        </w:rPr>
        <w:t>be</w:t>
      </w:r>
      <w:r>
        <w:rPr>
          <w:rFonts w:ascii="Courier New"/>
          <w:spacing w:val="-25"/>
          <w:sz w:val="28"/>
        </w:rPr>
        <w:t> </w:t>
      </w:r>
      <w:r>
        <w:rPr>
          <w:rFonts w:ascii="Courier New"/>
          <w:sz w:val="28"/>
        </w:rPr>
        <w:t>since</w:t>
      </w:r>
      <w:r>
        <w:rPr>
          <w:rFonts w:ascii="Courier New"/>
          <w:spacing w:val="-21"/>
          <w:sz w:val="28"/>
        </w:rPr>
        <w:t> </w:t>
      </w:r>
      <w:r>
        <w:rPr>
          <w:rFonts w:ascii="Courier New"/>
          <w:sz w:val="28"/>
        </w:rPr>
        <w:t>long</w:t>
      </w:r>
      <w:r>
        <w:rPr>
          <w:rFonts w:ascii="Courier New"/>
          <w:spacing w:val="-24"/>
          <w:sz w:val="28"/>
        </w:rPr>
        <w:t> </w:t>
      </w:r>
      <w:r>
        <w:rPr>
          <w:rFonts w:ascii="Courier New"/>
          <w:sz w:val="28"/>
        </w:rPr>
        <w:t>as</w:t>
      </w:r>
      <w:r>
        <w:rPr>
          <w:rFonts w:ascii="Courier New"/>
          <w:spacing w:val="-25"/>
          <w:sz w:val="28"/>
        </w:rPr>
        <w:t> </w:t>
      </w:r>
      <w:r>
        <w:rPr>
          <w:rFonts w:ascii="Courier New"/>
          <w:sz w:val="28"/>
        </w:rPr>
        <w:t>per tradition.</w:t>
      </w:r>
    </w:p>
    <w:p>
      <w:pPr>
        <w:spacing w:line="240" w:lineRule="auto" w:before="0"/>
        <w:ind w:left="1011" w:right="1246" w:firstLine="0"/>
        <w:jc w:val="both"/>
        <w:rPr>
          <w:rFonts w:ascii="Courier New" w:hAnsi="Courier New"/>
          <w:sz w:val="28"/>
        </w:rPr>
      </w:pPr>
      <w:r>
        <w:rPr>
          <w:rFonts w:ascii="Courier New" w:hAnsi="Courier New"/>
          <w:sz w:val="28"/>
        </w:rPr>
        <w:t>“...However,</w:t>
      </w:r>
      <w:r>
        <w:rPr>
          <w:rFonts w:ascii="Courier New" w:hAnsi="Courier New"/>
          <w:spacing w:val="-26"/>
          <w:sz w:val="28"/>
        </w:rPr>
        <w:t> </w:t>
      </w:r>
      <w:r>
        <w:rPr>
          <w:rFonts w:ascii="Courier New" w:hAnsi="Courier New"/>
          <w:sz w:val="28"/>
        </w:rPr>
        <w:t>the</w:t>
      </w:r>
      <w:r>
        <w:rPr>
          <w:rFonts w:ascii="Courier New" w:hAnsi="Courier New"/>
          <w:spacing w:val="-26"/>
          <w:sz w:val="28"/>
        </w:rPr>
        <w:t> </w:t>
      </w:r>
      <w:r>
        <w:rPr>
          <w:rFonts w:ascii="Courier New" w:hAnsi="Courier New"/>
          <w:sz w:val="28"/>
        </w:rPr>
        <w:t>public</w:t>
      </w:r>
      <w:r>
        <w:rPr>
          <w:rFonts w:ascii="Courier New" w:hAnsi="Courier New"/>
          <w:spacing w:val="-25"/>
          <w:sz w:val="28"/>
        </w:rPr>
        <w:t> </w:t>
      </w:r>
      <w:r>
        <w:rPr>
          <w:rFonts w:ascii="Courier New" w:hAnsi="Courier New"/>
          <w:sz w:val="28"/>
        </w:rPr>
        <w:t>opinion</w:t>
      </w:r>
      <w:r>
        <w:rPr>
          <w:rFonts w:ascii="Courier New" w:hAnsi="Courier New"/>
          <w:spacing w:val="-26"/>
          <w:sz w:val="28"/>
        </w:rPr>
        <w:t> </w:t>
      </w:r>
      <w:r>
        <w:rPr>
          <w:rFonts w:ascii="Courier New" w:hAnsi="Courier New"/>
          <w:sz w:val="28"/>
        </w:rPr>
        <w:t>is</w:t>
      </w:r>
      <w:r>
        <w:rPr>
          <w:rFonts w:ascii="Courier New" w:hAnsi="Courier New"/>
          <w:spacing w:val="-26"/>
          <w:sz w:val="28"/>
        </w:rPr>
        <w:t> </w:t>
      </w:r>
      <w:r>
        <w:rPr>
          <w:rFonts w:ascii="Courier New" w:hAnsi="Courier New"/>
          <w:sz w:val="28"/>
        </w:rPr>
        <w:t>that</w:t>
      </w:r>
      <w:r>
        <w:rPr>
          <w:rFonts w:ascii="Courier New" w:hAnsi="Courier New"/>
          <w:spacing w:val="-25"/>
          <w:sz w:val="28"/>
        </w:rPr>
        <w:t> </w:t>
      </w:r>
      <w:r>
        <w:rPr>
          <w:rFonts w:ascii="Courier New" w:hAnsi="Courier New"/>
          <w:sz w:val="28"/>
        </w:rPr>
        <w:t>the birth place of Ramji is the same i.e. Ram Janam</w:t>
      </w:r>
      <w:r>
        <w:rPr>
          <w:rFonts w:ascii="Courier New" w:hAnsi="Courier New"/>
          <w:spacing w:val="-22"/>
          <w:sz w:val="28"/>
        </w:rPr>
        <w:t> </w:t>
      </w:r>
      <w:r>
        <w:rPr>
          <w:rFonts w:ascii="Courier New" w:hAnsi="Courier New"/>
          <w:sz w:val="28"/>
        </w:rPr>
        <w:t>Bhoomi</w:t>
      </w:r>
      <w:r>
        <w:rPr>
          <w:rFonts w:ascii="Courier New" w:hAnsi="Courier New"/>
          <w:spacing w:val="-22"/>
          <w:sz w:val="28"/>
        </w:rPr>
        <w:t> </w:t>
      </w:r>
      <w:r>
        <w:rPr>
          <w:rFonts w:ascii="Courier New" w:hAnsi="Courier New"/>
          <w:sz w:val="28"/>
        </w:rPr>
        <w:t>about</w:t>
      </w:r>
      <w:r>
        <w:rPr>
          <w:rFonts w:ascii="Courier New" w:hAnsi="Courier New"/>
          <w:spacing w:val="-22"/>
          <w:sz w:val="28"/>
        </w:rPr>
        <w:t> </w:t>
      </w:r>
      <w:r>
        <w:rPr>
          <w:rFonts w:ascii="Courier New" w:hAnsi="Courier New"/>
          <w:sz w:val="28"/>
        </w:rPr>
        <w:t>which</w:t>
      </w:r>
      <w:r>
        <w:rPr>
          <w:rFonts w:ascii="Courier New" w:hAnsi="Courier New"/>
          <w:spacing w:val="-22"/>
          <w:sz w:val="28"/>
        </w:rPr>
        <w:t> </w:t>
      </w:r>
      <w:r>
        <w:rPr>
          <w:rFonts w:ascii="Courier New" w:hAnsi="Courier New"/>
          <w:sz w:val="28"/>
        </w:rPr>
        <w:t>a</w:t>
      </w:r>
      <w:r>
        <w:rPr>
          <w:rFonts w:ascii="Courier New" w:hAnsi="Courier New"/>
          <w:spacing w:val="-21"/>
          <w:sz w:val="28"/>
        </w:rPr>
        <w:t> </w:t>
      </w:r>
      <w:r>
        <w:rPr>
          <w:rFonts w:ascii="Courier New" w:hAnsi="Courier New"/>
          <w:sz w:val="28"/>
        </w:rPr>
        <w:t>dispute</w:t>
      </w:r>
      <w:r>
        <w:rPr>
          <w:rFonts w:ascii="Courier New" w:hAnsi="Courier New"/>
          <w:spacing w:val="-22"/>
          <w:sz w:val="28"/>
        </w:rPr>
        <w:t> </w:t>
      </w:r>
      <w:r>
        <w:rPr>
          <w:rFonts w:ascii="Courier New" w:hAnsi="Courier New"/>
          <w:sz w:val="28"/>
        </w:rPr>
        <w:t>is</w:t>
      </w:r>
      <w:r>
        <w:rPr>
          <w:rFonts w:ascii="Courier New" w:hAnsi="Courier New"/>
          <w:spacing w:val="-22"/>
          <w:sz w:val="28"/>
        </w:rPr>
        <w:t> </w:t>
      </w:r>
      <w:r>
        <w:rPr>
          <w:rFonts w:ascii="Courier New" w:hAnsi="Courier New"/>
          <w:sz w:val="28"/>
        </w:rPr>
        <w:t>going on. It is wrong to say that this public opinion is of the twentieth century. As a matter</w:t>
      </w:r>
      <w:r>
        <w:rPr>
          <w:rFonts w:ascii="Courier New" w:hAnsi="Courier New"/>
          <w:spacing w:val="-41"/>
          <w:sz w:val="28"/>
        </w:rPr>
        <w:t> </w:t>
      </w:r>
      <w:r>
        <w:rPr>
          <w:rFonts w:ascii="Courier New" w:hAnsi="Courier New"/>
          <w:sz w:val="28"/>
        </w:rPr>
        <w:t>of</w:t>
      </w:r>
      <w:r>
        <w:rPr>
          <w:rFonts w:ascii="Courier New" w:hAnsi="Courier New"/>
          <w:spacing w:val="-40"/>
          <w:sz w:val="28"/>
        </w:rPr>
        <w:t> </w:t>
      </w:r>
      <w:r>
        <w:rPr>
          <w:rFonts w:ascii="Courier New" w:hAnsi="Courier New"/>
          <w:sz w:val="28"/>
        </w:rPr>
        <w:t>fact,</w:t>
      </w:r>
      <w:r>
        <w:rPr>
          <w:rFonts w:ascii="Courier New" w:hAnsi="Courier New"/>
          <w:spacing w:val="-38"/>
          <w:sz w:val="28"/>
        </w:rPr>
        <w:t> </w:t>
      </w:r>
      <w:r>
        <w:rPr>
          <w:rFonts w:ascii="Courier New" w:hAnsi="Courier New"/>
          <w:sz w:val="28"/>
        </w:rPr>
        <w:t>it</w:t>
      </w:r>
      <w:r>
        <w:rPr>
          <w:rFonts w:ascii="Courier New" w:hAnsi="Courier New"/>
          <w:spacing w:val="-41"/>
          <w:sz w:val="28"/>
        </w:rPr>
        <w:t> </w:t>
      </w:r>
      <w:r>
        <w:rPr>
          <w:rFonts w:ascii="Courier New" w:hAnsi="Courier New"/>
          <w:sz w:val="28"/>
        </w:rPr>
        <w:t>has</w:t>
      </w:r>
      <w:r>
        <w:rPr>
          <w:rFonts w:ascii="Courier New" w:hAnsi="Courier New"/>
          <w:spacing w:val="-41"/>
          <w:sz w:val="28"/>
        </w:rPr>
        <w:t> </w:t>
      </w:r>
      <w:r>
        <w:rPr>
          <w:rFonts w:ascii="Courier New" w:hAnsi="Courier New"/>
          <w:sz w:val="28"/>
        </w:rPr>
        <w:t>been</w:t>
      </w:r>
      <w:r>
        <w:rPr>
          <w:rFonts w:ascii="Courier New" w:hAnsi="Courier New"/>
          <w:spacing w:val="-42"/>
          <w:sz w:val="28"/>
        </w:rPr>
        <w:t> </w:t>
      </w:r>
      <w:r>
        <w:rPr>
          <w:rFonts w:ascii="Courier New" w:hAnsi="Courier New"/>
          <w:sz w:val="28"/>
        </w:rPr>
        <w:t>there</w:t>
      </w:r>
      <w:r>
        <w:rPr>
          <w:rFonts w:ascii="Courier New" w:hAnsi="Courier New"/>
          <w:spacing w:val="-41"/>
          <w:sz w:val="28"/>
        </w:rPr>
        <w:t> </w:t>
      </w:r>
      <w:r>
        <w:rPr>
          <w:rFonts w:ascii="Courier New" w:hAnsi="Courier New"/>
          <w:sz w:val="28"/>
        </w:rPr>
        <w:t>since</w:t>
      </w:r>
      <w:r>
        <w:rPr>
          <w:rFonts w:ascii="Courier New" w:hAnsi="Courier New"/>
          <w:spacing w:val="-41"/>
          <w:sz w:val="28"/>
        </w:rPr>
        <w:t> </w:t>
      </w:r>
      <w:r>
        <w:rPr>
          <w:rFonts w:ascii="Courier New" w:hAnsi="Courier New"/>
          <w:sz w:val="28"/>
        </w:rPr>
        <w:t>long as per</w:t>
      </w:r>
      <w:r>
        <w:rPr>
          <w:rFonts w:ascii="Courier New" w:hAnsi="Courier New"/>
          <w:spacing w:val="-3"/>
          <w:sz w:val="28"/>
        </w:rPr>
        <w:t> </w:t>
      </w:r>
      <w:r>
        <w:rPr>
          <w:rFonts w:ascii="Courier New" w:hAnsi="Courier New"/>
          <w:sz w:val="28"/>
        </w:rPr>
        <w:t>tradition...”</w:t>
      </w:r>
    </w:p>
    <w:p>
      <w:pPr>
        <w:pStyle w:val="BodyText"/>
        <w:rPr>
          <w:rFonts w:ascii="Courier New"/>
          <w:sz w:val="32"/>
        </w:rPr>
      </w:pPr>
    </w:p>
    <w:p>
      <w:pPr>
        <w:pStyle w:val="ListParagraph"/>
        <w:numPr>
          <w:ilvl w:val="0"/>
          <w:numId w:val="257"/>
        </w:numPr>
        <w:tabs>
          <w:tab w:pos="1051" w:val="left" w:leader="none"/>
        </w:tabs>
        <w:spacing w:line="480" w:lineRule="auto" w:before="269" w:after="0"/>
        <w:ind w:left="160" w:right="158" w:firstLine="0"/>
        <w:jc w:val="both"/>
        <w:rPr>
          <w:rFonts w:ascii="Courier New"/>
          <w:sz w:val="28"/>
        </w:rPr>
      </w:pPr>
      <w:r>
        <w:rPr>
          <w:rFonts w:ascii="Courier New"/>
          <w:sz w:val="28"/>
        </w:rPr>
        <w:t>OPW-7, Ram Surat Tiwari, 73 years of age(as on 19.09.2002), claims to have gone to Ayodhya for the first time in the year 1932 and thereafter has been going regularly. In his examination-in-chief, he states:</w:t>
      </w:r>
      <w:r>
        <w:rPr>
          <w:rFonts w:ascii="Courier New"/>
          <w:spacing w:val="-2"/>
          <w:sz w:val="28"/>
        </w:rPr>
        <w:t> </w:t>
      </w:r>
      <w:r>
        <w:rPr>
          <w:rFonts w:ascii="Courier New"/>
          <w:sz w:val="28"/>
        </w:rPr>
        <w:t>-</w:t>
      </w:r>
    </w:p>
    <w:p>
      <w:pPr>
        <w:spacing w:after="0" w:line="480" w:lineRule="auto"/>
        <w:jc w:val="both"/>
        <w:rPr>
          <w:rFonts w:ascii="Courier New"/>
          <w:sz w:val="28"/>
        </w:rPr>
        <w:sectPr>
          <w:headerReference w:type="default" r:id="rId424"/>
          <w:footerReference w:type="default" r:id="rId425"/>
          <w:pgSz w:w="11910" w:h="16840"/>
          <w:pgMar w:header="0" w:footer="1063" w:top="1340" w:bottom="1260" w:left="1280" w:right="1280"/>
          <w:pgNumType w:start="107"/>
        </w:sectPr>
      </w:pPr>
    </w:p>
    <w:p>
      <w:pPr>
        <w:spacing w:line="240" w:lineRule="auto" w:before="86"/>
        <w:ind w:left="1576" w:right="1575" w:firstLine="0"/>
        <w:jc w:val="both"/>
        <w:rPr>
          <w:rFonts w:ascii="Courier New" w:hAnsi="Courier New"/>
          <w:sz w:val="28"/>
        </w:rPr>
      </w:pPr>
      <w:r>
        <w:rPr>
          <w:rFonts w:ascii="Courier New" w:hAnsi="Courier New"/>
          <w:sz w:val="28"/>
        </w:rPr>
        <w:t>“.....My elder brother told me that this was the birth place of Lord</w:t>
      </w:r>
      <w:r>
        <w:rPr>
          <w:rFonts w:ascii="Courier New" w:hAnsi="Courier New"/>
          <w:spacing w:val="-36"/>
          <w:sz w:val="28"/>
        </w:rPr>
        <w:t> </w:t>
      </w:r>
      <w:r>
        <w:rPr>
          <w:rFonts w:ascii="Courier New" w:hAnsi="Courier New"/>
          <w:sz w:val="28"/>
        </w:rPr>
        <w:t>rama (this is Ram Janam Bhoomi) and from the very ancient times Hindus have trust, confidence and a popular</w:t>
      </w:r>
      <w:r>
        <w:rPr>
          <w:rFonts w:ascii="Courier New" w:hAnsi="Courier New"/>
          <w:spacing w:val="-41"/>
          <w:sz w:val="28"/>
        </w:rPr>
        <w:t> </w:t>
      </w:r>
      <w:r>
        <w:rPr>
          <w:rFonts w:ascii="Courier New" w:hAnsi="Courier New"/>
          <w:sz w:val="28"/>
        </w:rPr>
        <w:t>faith that</w:t>
      </w:r>
      <w:r>
        <w:rPr>
          <w:rFonts w:ascii="Courier New" w:hAnsi="Courier New"/>
          <w:spacing w:val="-34"/>
          <w:sz w:val="28"/>
        </w:rPr>
        <w:t> </w:t>
      </w:r>
      <w:r>
        <w:rPr>
          <w:rFonts w:ascii="Courier New" w:hAnsi="Courier New"/>
          <w:sz w:val="28"/>
        </w:rPr>
        <w:t>Lord</w:t>
      </w:r>
      <w:r>
        <w:rPr>
          <w:rFonts w:ascii="Courier New" w:hAnsi="Courier New"/>
          <w:spacing w:val="-34"/>
          <w:sz w:val="28"/>
        </w:rPr>
        <w:t> </w:t>
      </w:r>
      <w:r>
        <w:rPr>
          <w:rFonts w:ascii="Courier New" w:hAnsi="Courier New"/>
          <w:sz w:val="28"/>
        </w:rPr>
        <w:t>Vishnu</w:t>
      </w:r>
      <w:r>
        <w:rPr>
          <w:rFonts w:ascii="Courier New" w:hAnsi="Courier New"/>
          <w:spacing w:val="-34"/>
          <w:sz w:val="28"/>
        </w:rPr>
        <w:t> </w:t>
      </w:r>
      <w:r>
        <w:rPr>
          <w:rFonts w:ascii="Courier New" w:hAnsi="Courier New"/>
          <w:sz w:val="28"/>
        </w:rPr>
        <w:t>had</w:t>
      </w:r>
      <w:r>
        <w:rPr>
          <w:rFonts w:ascii="Courier New" w:hAnsi="Courier New"/>
          <w:spacing w:val="-34"/>
          <w:sz w:val="28"/>
        </w:rPr>
        <w:t> </w:t>
      </w:r>
      <w:r>
        <w:rPr>
          <w:rFonts w:ascii="Courier New" w:hAnsi="Courier New"/>
          <w:sz w:val="28"/>
        </w:rPr>
        <w:t>incarnated</w:t>
      </w:r>
      <w:r>
        <w:rPr>
          <w:rFonts w:ascii="Courier New" w:hAnsi="Courier New"/>
          <w:spacing w:val="-34"/>
          <w:sz w:val="28"/>
        </w:rPr>
        <w:t> </w:t>
      </w:r>
      <w:r>
        <w:rPr>
          <w:rFonts w:ascii="Courier New" w:hAnsi="Courier New"/>
          <w:sz w:val="28"/>
        </w:rPr>
        <w:t>in</w:t>
      </w:r>
      <w:r>
        <w:rPr>
          <w:rFonts w:ascii="Courier New" w:hAnsi="Courier New"/>
          <w:spacing w:val="-34"/>
          <w:sz w:val="28"/>
        </w:rPr>
        <w:t> </w:t>
      </w:r>
      <w:r>
        <w:rPr>
          <w:rFonts w:ascii="Courier New" w:hAnsi="Courier New"/>
          <w:sz w:val="28"/>
        </w:rPr>
        <w:t>the name of Shri Ram son of Raja</w:t>
      </w:r>
      <w:r>
        <w:rPr>
          <w:rFonts w:ascii="Courier New" w:hAnsi="Courier New"/>
          <w:spacing w:val="-36"/>
          <w:sz w:val="28"/>
        </w:rPr>
        <w:t> </w:t>
      </w:r>
      <w:r>
        <w:rPr>
          <w:rFonts w:ascii="Courier New" w:hAnsi="Courier New"/>
          <w:sz w:val="28"/>
        </w:rPr>
        <w:t>Dashrath below the middle dome and this is</w:t>
      </w:r>
      <w:r>
        <w:rPr>
          <w:rFonts w:ascii="Courier New" w:hAnsi="Courier New"/>
          <w:spacing w:val="-33"/>
          <w:sz w:val="28"/>
        </w:rPr>
        <w:t> </w:t>
      </w:r>
      <w:r>
        <w:rPr>
          <w:rFonts w:ascii="Courier New" w:hAnsi="Courier New"/>
          <w:sz w:val="28"/>
        </w:rPr>
        <w:t>why it has been called ‘garbh griha’. After having the darshan of Ram Chabootra, the pilgrims and visitors used to go through doors of lattice wall to the three domed building and from there they got the darshan of ‘Garbh Griha’ and they offered flowers, prasad and coins towards</w:t>
      </w:r>
      <w:r>
        <w:rPr>
          <w:rFonts w:ascii="Courier New" w:hAnsi="Courier New"/>
          <w:spacing w:val="-41"/>
          <w:sz w:val="28"/>
        </w:rPr>
        <w:t> </w:t>
      </w:r>
      <w:r>
        <w:rPr>
          <w:rFonts w:ascii="Courier New" w:hAnsi="Courier New"/>
          <w:sz w:val="28"/>
        </w:rPr>
        <w:t>the ‘Garbh</w:t>
      </w:r>
      <w:r>
        <w:rPr>
          <w:rFonts w:ascii="Courier New" w:hAnsi="Courier New"/>
          <w:spacing w:val="-2"/>
          <w:sz w:val="28"/>
        </w:rPr>
        <w:t> </w:t>
      </w:r>
      <w:r>
        <w:rPr>
          <w:rFonts w:ascii="Courier New" w:hAnsi="Courier New"/>
          <w:sz w:val="28"/>
        </w:rPr>
        <w:t>Griha’.</w:t>
      </w:r>
    </w:p>
    <w:p>
      <w:pPr>
        <w:pStyle w:val="BodyText"/>
        <w:rPr>
          <w:rFonts w:ascii="Courier New"/>
          <w:sz w:val="32"/>
        </w:rPr>
      </w:pPr>
    </w:p>
    <w:p>
      <w:pPr>
        <w:pStyle w:val="ListParagraph"/>
        <w:numPr>
          <w:ilvl w:val="0"/>
          <w:numId w:val="257"/>
        </w:numPr>
        <w:tabs>
          <w:tab w:pos="1017" w:val="left" w:leader="none"/>
        </w:tabs>
        <w:spacing w:line="480" w:lineRule="auto" w:before="271" w:after="0"/>
        <w:ind w:left="159" w:right="159" w:firstLine="0"/>
        <w:jc w:val="both"/>
        <w:rPr>
          <w:rFonts w:ascii="Courier New"/>
          <w:sz w:val="28"/>
        </w:rPr>
      </w:pPr>
      <w:r>
        <w:rPr>
          <w:rFonts w:ascii="Courier New"/>
          <w:sz w:val="28"/>
        </w:rPr>
        <w:t>He further stated in his cross-examination about his faith and belief regarding Ram Janam Bhumi in following</w:t>
      </w:r>
      <w:r>
        <w:rPr>
          <w:rFonts w:ascii="Courier New"/>
          <w:spacing w:val="-2"/>
          <w:sz w:val="28"/>
        </w:rPr>
        <w:t> </w:t>
      </w:r>
      <w:r>
        <w:rPr>
          <w:rFonts w:ascii="Courier New"/>
          <w:sz w:val="28"/>
        </w:rPr>
        <w:t>words:-</w:t>
      </w:r>
    </w:p>
    <w:p>
      <w:pPr>
        <w:spacing w:before="0"/>
        <w:ind w:left="1011" w:right="1234" w:firstLine="0"/>
        <w:jc w:val="both"/>
        <w:rPr>
          <w:rFonts w:ascii="Courier New" w:hAnsi="Courier New"/>
          <w:sz w:val="28"/>
        </w:rPr>
      </w:pPr>
      <w:r>
        <w:rPr>
          <w:rFonts w:ascii="Courier New" w:hAnsi="Courier New"/>
          <w:sz w:val="28"/>
        </w:rPr>
        <w:t>“so far as 3-dome building is concerned, I had a faith which I maintained even today that it was the janam bhoomi of Ram Ji.”</w:t>
      </w:r>
    </w:p>
    <w:p>
      <w:pPr>
        <w:pStyle w:val="BodyText"/>
        <w:rPr>
          <w:rFonts w:ascii="Courier New"/>
          <w:sz w:val="32"/>
        </w:rPr>
      </w:pPr>
    </w:p>
    <w:p>
      <w:pPr>
        <w:pStyle w:val="ListParagraph"/>
        <w:numPr>
          <w:ilvl w:val="0"/>
          <w:numId w:val="257"/>
        </w:numPr>
        <w:tabs>
          <w:tab w:pos="1009" w:val="left" w:leader="none"/>
        </w:tabs>
        <w:spacing w:line="480" w:lineRule="auto" w:before="272" w:after="0"/>
        <w:ind w:left="159" w:right="218" w:firstLine="0"/>
        <w:jc w:val="both"/>
        <w:rPr>
          <w:rFonts w:ascii="Courier New"/>
          <w:sz w:val="28"/>
        </w:rPr>
      </w:pPr>
      <w:r>
        <w:rPr>
          <w:rFonts w:ascii="Courier New"/>
          <w:sz w:val="28"/>
        </w:rPr>
        <w:t>Further in his cross-examination, he stated that he</w:t>
      </w:r>
      <w:r>
        <w:rPr>
          <w:rFonts w:ascii="Courier New"/>
          <w:spacing w:val="-18"/>
          <w:sz w:val="28"/>
        </w:rPr>
        <w:t> </w:t>
      </w:r>
      <w:r>
        <w:rPr>
          <w:rFonts w:ascii="Courier New"/>
          <w:sz w:val="28"/>
        </w:rPr>
        <w:t>after</w:t>
      </w:r>
      <w:r>
        <w:rPr>
          <w:rFonts w:ascii="Courier New"/>
          <w:spacing w:val="-18"/>
          <w:sz w:val="28"/>
        </w:rPr>
        <w:t> </w:t>
      </w:r>
      <w:r>
        <w:rPr>
          <w:rFonts w:ascii="Courier New"/>
          <w:sz w:val="28"/>
        </w:rPr>
        <w:t>offering</w:t>
      </w:r>
      <w:r>
        <w:rPr>
          <w:rFonts w:ascii="Courier New"/>
          <w:spacing w:val="-17"/>
          <w:sz w:val="28"/>
        </w:rPr>
        <w:t> </w:t>
      </w:r>
      <w:r>
        <w:rPr>
          <w:rFonts w:ascii="Courier New"/>
          <w:sz w:val="28"/>
        </w:rPr>
        <w:t>flowers</w:t>
      </w:r>
      <w:r>
        <w:rPr>
          <w:rFonts w:ascii="Courier New"/>
          <w:spacing w:val="-18"/>
          <w:sz w:val="28"/>
        </w:rPr>
        <w:t> </w:t>
      </w:r>
      <w:r>
        <w:rPr>
          <w:rFonts w:ascii="Courier New"/>
          <w:sz w:val="28"/>
        </w:rPr>
        <w:t>and</w:t>
      </w:r>
      <w:r>
        <w:rPr>
          <w:rFonts w:ascii="Courier New"/>
          <w:spacing w:val="-18"/>
          <w:sz w:val="28"/>
        </w:rPr>
        <w:t> </w:t>
      </w:r>
      <w:r>
        <w:rPr>
          <w:rFonts w:ascii="Courier New"/>
          <w:sz w:val="28"/>
        </w:rPr>
        <w:t>prasad</w:t>
      </w:r>
      <w:r>
        <w:rPr>
          <w:rFonts w:ascii="Courier New"/>
          <w:spacing w:val="-17"/>
          <w:sz w:val="28"/>
        </w:rPr>
        <w:t> </w:t>
      </w:r>
      <w:r>
        <w:rPr>
          <w:rFonts w:ascii="Courier New"/>
          <w:sz w:val="28"/>
        </w:rPr>
        <w:t>prostated</w:t>
      </w:r>
      <w:r>
        <w:rPr>
          <w:rFonts w:ascii="Courier New"/>
          <w:spacing w:val="-18"/>
          <w:sz w:val="28"/>
        </w:rPr>
        <w:t> </w:t>
      </w:r>
      <w:r>
        <w:rPr>
          <w:rFonts w:ascii="Courier New"/>
          <w:sz w:val="28"/>
        </w:rPr>
        <w:t>himself on the ground below the dome from</w:t>
      </w:r>
      <w:r>
        <w:rPr>
          <w:rFonts w:ascii="Courier New"/>
          <w:spacing w:val="-12"/>
          <w:sz w:val="28"/>
        </w:rPr>
        <w:t> </w:t>
      </w:r>
      <w:r>
        <w:rPr>
          <w:rFonts w:ascii="Courier New"/>
          <w:sz w:val="28"/>
        </w:rPr>
        <w:t>outside.</w:t>
      </w:r>
    </w:p>
    <w:p>
      <w:pPr>
        <w:spacing w:line="240" w:lineRule="auto" w:before="0"/>
        <w:ind w:left="1011" w:right="1246" w:firstLine="0"/>
        <w:jc w:val="both"/>
        <w:rPr>
          <w:rFonts w:ascii="Courier New" w:hAnsi="Courier New"/>
          <w:sz w:val="28"/>
        </w:rPr>
      </w:pPr>
      <w:r>
        <w:rPr>
          <w:rFonts w:ascii="Courier New" w:hAnsi="Courier New"/>
          <w:sz w:val="28"/>
        </w:rPr>
        <w:t>“...Before reaching the eastern gate, my brother from outside the wall fitted with iron bars offered flowers at the building with three domes and gave it to me also which</w:t>
      </w:r>
      <w:r>
        <w:rPr>
          <w:rFonts w:ascii="Courier New" w:hAnsi="Courier New"/>
          <w:spacing w:val="-22"/>
          <w:sz w:val="28"/>
        </w:rPr>
        <w:t> </w:t>
      </w:r>
      <w:r>
        <w:rPr>
          <w:rFonts w:ascii="Courier New" w:hAnsi="Courier New"/>
          <w:sz w:val="28"/>
        </w:rPr>
        <w:t>I</w:t>
      </w:r>
      <w:r>
        <w:rPr>
          <w:rFonts w:ascii="Courier New" w:hAnsi="Courier New"/>
          <w:spacing w:val="-22"/>
          <w:sz w:val="28"/>
        </w:rPr>
        <w:t> </w:t>
      </w:r>
      <w:r>
        <w:rPr>
          <w:rFonts w:ascii="Courier New" w:hAnsi="Courier New"/>
          <w:sz w:val="28"/>
        </w:rPr>
        <w:t>also</w:t>
      </w:r>
      <w:r>
        <w:rPr>
          <w:rFonts w:ascii="Courier New" w:hAnsi="Courier New"/>
          <w:spacing w:val="-22"/>
          <w:sz w:val="28"/>
        </w:rPr>
        <w:t> </w:t>
      </w:r>
      <w:r>
        <w:rPr>
          <w:rFonts w:ascii="Courier New" w:hAnsi="Courier New"/>
          <w:sz w:val="28"/>
        </w:rPr>
        <w:t>offered.</w:t>
      </w:r>
      <w:r>
        <w:rPr>
          <w:rFonts w:ascii="Courier New" w:hAnsi="Courier New"/>
          <w:spacing w:val="-22"/>
          <w:sz w:val="28"/>
        </w:rPr>
        <w:t> </w:t>
      </w:r>
      <w:r>
        <w:rPr>
          <w:rFonts w:ascii="Courier New" w:hAnsi="Courier New"/>
          <w:sz w:val="28"/>
        </w:rPr>
        <w:t>I</w:t>
      </w:r>
      <w:r>
        <w:rPr>
          <w:rFonts w:ascii="Courier New" w:hAnsi="Courier New"/>
          <w:spacing w:val="-21"/>
          <w:sz w:val="28"/>
        </w:rPr>
        <w:t> </w:t>
      </w:r>
      <w:r>
        <w:rPr>
          <w:rFonts w:ascii="Courier New" w:hAnsi="Courier New"/>
          <w:sz w:val="28"/>
        </w:rPr>
        <w:t>offered</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flowers through</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iron</w:t>
      </w:r>
      <w:r>
        <w:rPr>
          <w:rFonts w:ascii="Courier New" w:hAnsi="Courier New"/>
          <w:spacing w:val="-22"/>
          <w:sz w:val="28"/>
        </w:rPr>
        <w:t> </w:t>
      </w:r>
      <w:r>
        <w:rPr>
          <w:rFonts w:ascii="Courier New" w:hAnsi="Courier New"/>
          <w:sz w:val="28"/>
        </w:rPr>
        <w:t>bars</w:t>
      </w:r>
      <w:r>
        <w:rPr>
          <w:rFonts w:ascii="Courier New" w:hAnsi="Courier New"/>
          <w:spacing w:val="-22"/>
          <w:sz w:val="28"/>
        </w:rPr>
        <w:t> </w:t>
      </w:r>
      <w:r>
        <w:rPr>
          <w:rFonts w:ascii="Courier New" w:hAnsi="Courier New"/>
          <w:sz w:val="28"/>
        </w:rPr>
        <w:t>from</w:t>
      </w:r>
      <w:r>
        <w:rPr>
          <w:rFonts w:ascii="Courier New" w:hAnsi="Courier New"/>
          <w:spacing w:val="-21"/>
          <w:sz w:val="28"/>
        </w:rPr>
        <w:t> </w:t>
      </w:r>
      <w:r>
        <w:rPr>
          <w:rFonts w:ascii="Courier New" w:hAnsi="Courier New"/>
          <w:sz w:val="28"/>
        </w:rPr>
        <w:t>outside</w:t>
      </w:r>
      <w:r>
        <w:rPr>
          <w:rFonts w:ascii="Courier New" w:hAnsi="Courier New"/>
          <w:spacing w:val="-22"/>
          <w:sz w:val="28"/>
        </w:rPr>
        <w:t> </w:t>
      </w:r>
      <w:r>
        <w:rPr>
          <w:rFonts w:ascii="Courier New" w:hAnsi="Courier New"/>
          <w:sz w:val="28"/>
        </w:rPr>
        <w:t>only.</w:t>
      </w:r>
      <w:r>
        <w:rPr>
          <w:rFonts w:ascii="Courier New" w:hAnsi="Courier New"/>
          <w:spacing w:val="-22"/>
          <w:sz w:val="28"/>
        </w:rPr>
        <w:t> </w:t>
      </w:r>
      <w:r>
        <w:rPr>
          <w:rFonts w:ascii="Courier New" w:hAnsi="Courier New"/>
          <w:sz w:val="28"/>
        </w:rPr>
        <w:t>At the</w:t>
      </w:r>
      <w:r>
        <w:rPr>
          <w:rFonts w:ascii="Courier New" w:hAnsi="Courier New"/>
          <w:spacing w:val="-22"/>
          <w:sz w:val="28"/>
        </w:rPr>
        <w:t> </w:t>
      </w:r>
      <w:r>
        <w:rPr>
          <w:rFonts w:ascii="Courier New" w:hAnsi="Courier New"/>
          <w:sz w:val="28"/>
        </w:rPr>
        <w:t>time</w:t>
      </w:r>
      <w:r>
        <w:rPr>
          <w:rFonts w:ascii="Courier New" w:hAnsi="Courier New"/>
          <w:spacing w:val="-22"/>
          <w:sz w:val="28"/>
        </w:rPr>
        <w:t> </w:t>
      </w:r>
      <w:r>
        <w:rPr>
          <w:rFonts w:ascii="Courier New" w:hAnsi="Courier New"/>
          <w:sz w:val="28"/>
        </w:rPr>
        <w:t>when</w:t>
      </w:r>
      <w:r>
        <w:rPr>
          <w:rFonts w:ascii="Courier New" w:hAnsi="Courier New"/>
          <w:spacing w:val="-22"/>
          <w:sz w:val="28"/>
        </w:rPr>
        <w:t> </w:t>
      </w:r>
      <w:r>
        <w:rPr>
          <w:rFonts w:ascii="Courier New" w:hAnsi="Courier New"/>
          <w:sz w:val="28"/>
        </w:rPr>
        <w:t>I</w:t>
      </w:r>
      <w:r>
        <w:rPr>
          <w:rFonts w:ascii="Courier New" w:hAnsi="Courier New"/>
          <w:spacing w:val="-22"/>
          <w:sz w:val="28"/>
        </w:rPr>
        <w:t> </w:t>
      </w:r>
      <w:r>
        <w:rPr>
          <w:rFonts w:ascii="Courier New" w:hAnsi="Courier New"/>
          <w:sz w:val="28"/>
        </w:rPr>
        <w:t>offered</w:t>
      </w:r>
      <w:r>
        <w:rPr>
          <w:rFonts w:ascii="Courier New" w:hAnsi="Courier New"/>
          <w:spacing w:val="-21"/>
          <w:sz w:val="28"/>
        </w:rPr>
        <w:t> </w:t>
      </w:r>
      <w:r>
        <w:rPr>
          <w:rFonts w:ascii="Courier New" w:hAnsi="Courier New"/>
          <w:sz w:val="28"/>
        </w:rPr>
        <w:t>flowers,</w:t>
      </w:r>
      <w:r>
        <w:rPr>
          <w:rFonts w:ascii="Courier New" w:hAnsi="Courier New"/>
          <w:spacing w:val="-22"/>
          <w:sz w:val="28"/>
        </w:rPr>
        <w:t> </w:t>
      </w:r>
      <w:r>
        <w:rPr>
          <w:rFonts w:ascii="Courier New" w:hAnsi="Courier New"/>
          <w:sz w:val="28"/>
        </w:rPr>
        <w:t>prasad</w:t>
      </w:r>
      <w:r>
        <w:rPr>
          <w:rFonts w:ascii="Courier New" w:hAnsi="Courier New"/>
          <w:spacing w:val="-22"/>
          <w:sz w:val="28"/>
        </w:rPr>
        <w:t> </w:t>
      </w:r>
      <w:r>
        <w:rPr>
          <w:rFonts w:ascii="Courier New" w:hAnsi="Courier New"/>
          <w:sz w:val="28"/>
        </w:rPr>
        <w:t>and</w:t>
      </w:r>
    </w:p>
    <w:p>
      <w:pPr>
        <w:spacing w:after="0" w:line="240" w:lineRule="auto"/>
        <w:jc w:val="both"/>
        <w:rPr>
          <w:rFonts w:ascii="Courier New" w:hAnsi="Courier New"/>
          <w:sz w:val="28"/>
        </w:rPr>
        <w:sectPr>
          <w:headerReference w:type="default" r:id="rId426"/>
          <w:footerReference w:type="default" r:id="rId427"/>
          <w:pgSz w:w="11910" w:h="16840"/>
          <w:pgMar w:header="0" w:footer="1063" w:top="1340" w:bottom="1260" w:left="1280" w:right="1280"/>
          <w:pgNumType w:start="108"/>
        </w:sectPr>
      </w:pPr>
    </w:p>
    <w:p>
      <w:pPr>
        <w:spacing w:line="240" w:lineRule="auto" w:before="86"/>
        <w:ind w:left="1011" w:right="1247" w:firstLine="0"/>
        <w:jc w:val="both"/>
        <w:rPr>
          <w:rFonts w:ascii="Courier New" w:hAnsi="Courier New"/>
          <w:sz w:val="28"/>
        </w:rPr>
      </w:pPr>
      <w:r>
        <w:rPr>
          <w:rFonts w:ascii="Courier New" w:hAnsi="Courier New"/>
          <w:sz w:val="28"/>
        </w:rPr>
        <w:t>money offered by others were also lying there. I prostrated myself on the ground below the dome from outside only. I had asked my brother why was he offering flowers</w:t>
      </w:r>
      <w:r>
        <w:rPr>
          <w:rFonts w:ascii="Courier New" w:hAnsi="Courier New"/>
          <w:spacing w:val="-42"/>
          <w:sz w:val="28"/>
        </w:rPr>
        <w:t> </w:t>
      </w:r>
      <w:r>
        <w:rPr>
          <w:rFonts w:ascii="Courier New" w:hAnsi="Courier New"/>
          <w:sz w:val="28"/>
        </w:rPr>
        <w:t>at</w:t>
      </w:r>
      <w:r>
        <w:rPr>
          <w:rFonts w:ascii="Courier New" w:hAnsi="Courier New"/>
          <w:spacing w:val="-40"/>
          <w:sz w:val="28"/>
        </w:rPr>
        <w:t> </w:t>
      </w:r>
      <w:r>
        <w:rPr>
          <w:rFonts w:ascii="Courier New" w:hAnsi="Courier New"/>
          <w:sz w:val="28"/>
        </w:rPr>
        <w:t>that</w:t>
      </w:r>
      <w:r>
        <w:rPr>
          <w:rFonts w:ascii="Courier New" w:hAnsi="Courier New"/>
          <w:spacing w:val="-38"/>
          <w:sz w:val="28"/>
        </w:rPr>
        <w:t> </w:t>
      </w:r>
      <w:r>
        <w:rPr>
          <w:rFonts w:ascii="Courier New" w:hAnsi="Courier New"/>
          <w:sz w:val="28"/>
        </w:rPr>
        <w:t>place,</w:t>
      </w:r>
      <w:r>
        <w:rPr>
          <w:rFonts w:ascii="Courier New" w:hAnsi="Courier New"/>
          <w:spacing w:val="-40"/>
          <w:sz w:val="28"/>
        </w:rPr>
        <w:t> </w:t>
      </w:r>
      <w:r>
        <w:rPr>
          <w:rFonts w:ascii="Courier New" w:hAnsi="Courier New"/>
          <w:sz w:val="28"/>
        </w:rPr>
        <w:t>on</w:t>
      </w:r>
      <w:r>
        <w:rPr>
          <w:rFonts w:ascii="Courier New" w:hAnsi="Courier New"/>
          <w:spacing w:val="-41"/>
          <w:sz w:val="28"/>
        </w:rPr>
        <w:t> </w:t>
      </w:r>
      <w:r>
        <w:rPr>
          <w:rFonts w:ascii="Courier New" w:hAnsi="Courier New"/>
          <w:sz w:val="28"/>
        </w:rPr>
        <w:t>which</w:t>
      </w:r>
      <w:r>
        <w:rPr>
          <w:rFonts w:ascii="Courier New" w:hAnsi="Courier New"/>
          <w:spacing w:val="-42"/>
          <w:sz w:val="28"/>
        </w:rPr>
        <w:t> </w:t>
      </w:r>
      <w:r>
        <w:rPr>
          <w:rFonts w:ascii="Courier New" w:hAnsi="Courier New"/>
          <w:sz w:val="28"/>
        </w:rPr>
        <w:t>he</w:t>
      </w:r>
      <w:r>
        <w:rPr>
          <w:rFonts w:ascii="Courier New" w:hAnsi="Courier New"/>
          <w:spacing w:val="-41"/>
          <w:sz w:val="28"/>
        </w:rPr>
        <w:t> </w:t>
      </w:r>
      <w:r>
        <w:rPr>
          <w:rFonts w:ascii="Courier New" w:hAnsi="Courier New"/>
          <w:sz w:val="28"/>
        </w:rPr>
        <w:t>told</w:t>
      </w:r>
      <w:r>
        <w:rPr>
          <w:rFonts w:ascii="Courier New" w:hAnsi="Courier New"/>
          <w:spacing w:val="-41"/>
          <w:sz w:val="28"/>
        </w:rPr>
        <w:t> </w:t>
      </w:r>
      <w:r>
        <w:rPr>
          <w:rFonts w:ascii="Courier New" w:hAnsi="Courier New"/>
          <w:sz w:val="28"/>
        </w:rPr>
        <w:t>that Lord Rama was born at the place under the middle dome of this building. The place which I had visited was the one below the middle</w:t>
      </w:r>
      <w:r>
        <w:rPr>
          <w:rFonts w:ascii="Courier New" w:hAnsi="Courier New"/>
          <w:spacing w:val="-2"/>
          <w:sz w:val="28"/>
        </w:rPr>
        <w:t> </w:t>
      </w:r>
      <w:r>
        <w:rPr>
          <w:rFonts w:ascii="Courier New" w:hAnsi="Courier New"/>
          <w:sz w:val="28"/>
        </w:rPr>
        <w:t>dome...”</w:t>
      </w:r>
    </w:p>
    <w:p>
      <w:pPr>
        <w:pStyle w:val="BodyText"/>
        <w:rPr>
          <w:rFonts w:ascii="Courier New"/>
          <w:sz w:val="32"/>
        </w:rPr>
      </w:pPr>
    </w:p>
    <w:p>
      <w:pPr>
        <w:pStyle w:val="ListParagraph"/>
        <w:numPr>
          <w:ilvl w:val="0"/>
          <w:numId w:val="257"/>
        </w:numPr>
        <w:tabs>
          <w:tab w:pos="1130" w:val="left" w:leader="none"/>
        </w:tabs>
        <w:spacing w:line="480" w:lineRule="auto" w:before="272" w:after="0"/>
        <w:ind w:left="160" w:right="214" w:firstLine="0"/>
        <w:jc w:val="both"/>
        <w:rPr>
          <w:rFonts w:ascii="Courier New"/>
          <w:sz w:val="28"/>
        </w:rPr>
      </w:pPr>
      <w:r>
        <w:rPr>
          <w:rFonts w:ascii="Courier New"/>
          <w:sz w:val="28"/>
        </w:rPr>
        <w:t>OPW-12, Sri Kaushal Kishore Mishra, aged 75 years(as</w:t>
      </w:r>
      <w:r>
        <w:rPr>
          <w:rFonts w:ascii="Courier New"/>
          <w:spacing w:val="-18"/>
          <w:sz w:val="28"/>
        </w:rPr>
        <w:t> </w:t>
      </w:r>
      <w:r>
        <w:rPr>
          <w:rFonts w:ascii="Courier New"/>
          <w:sz w:val="28"/>
        </w:rPr>
        <w:t>on</w:t>
      </w:r>
      <w:r>
        <w:rPr>
          <w:rFonts w:ascii="Courier New"/>
          <w:spacing w:val="-18"/>
          <w:sz w:val="28"/>
        </w:rPr>
        <w:t> </w:t>
      </w:r>
      <w:r>
        <w:rPr>
          <w:rFonts w:ascii="Courier New"/>
          <w:sz w:val="28"/>
        </w:rPr>
        <w:t>16.12.2002)</w:t>
      </w:r>
      <w:r>
        <w:rPr>
          <w:rFonts w:ascii="Courier New"/>
          <w:spacing w:val="-17"/>
          <w:sz w:val="28"/>
        </w:rPr>
        <w:t> </w:t>
      </w:r>
      <w:r>
        <w:rPr>
          <w:rFonts w:ascii="Courier New"/>
          <w:sz w:val="28"/>
        </w:rPr>
        <w:t>stated</w:t>
      </w:r>
      <w:r>
        <w:rPr>
          <w:rFonts w:ascii="Courier New"/>
          <w:spacing w:val="-18"/>
          <w:sz w:val="28"/>
        </w:rPr>
        <w:t> </w:t>
      </w:r>
      <w:r>
        <w:rPr>
          <w:rFonts w:ascii="Courier New"/>
          <w:sz w:val="28"/>
        </w:rPr>
        <w:t>to</w:t>
      </w:r>
      <w:r>
        <w:rPr>
          <w:rFonts w:ascii="Courier New"/>
          <w:spacing w:val="-18"/>
          <w:sz w:val="28"/>
        </w:rPr>
        <w:t> </w:t>
      </w:r>
      <w:r>
        <w:rPr>
          <w:rFonts w:ascii="Courier New"/>
          <w:sz w:val="28"/>
        </w:rPr>
        <w:t>have</w:t>
      </w:r>
      <w:r>
        <w:rPr>
          <w:rFonts w:ascii="Courier New"/>
          <w:spacing w:val="-17"/>
          <w:sz w:val="28"/>
        </w:rPr>
        <w:t> </w:t>
      </w:r>
      <w:r>
        <w:rPr>
          <w:rFonts w:ascii="Courier New"/>
          <w:sz w:val="28"/>
        </w:rPr>
        <w:t>perform</w:t>
      </w:r>
      <w:r>
        <w:rPr>
          <w:rFonts w:ascii="Courier New"/>
          <w:spacing w:val="-18"/>
          <w:sz w:val="28"/>
        </w:rPr>
        <w:t> </w:t>
      </w:r>
      <w:r>
        <w:rPr>
          <w:rFonts w:ascii="Courier New"/>
          <w:sz w:val="28"/>
        </w:rPr>
        <w:t>worship in Ram Janam Bhumi at the age of 14-15 years. In his examination-in-chief he</w:t>
      </w:r>
      <w:r>
        <w:rPr>
          <w:rFonts w:ascii="Courier New"/>
          <w:spacing w:val="-4"/>
          <w:sz w:val="28"/>
        </w:rPr>
        <w:t> </w:t>
      </w:r>
      <w:r>
        <w:rPr>
          <w:rFonts w:ascii="Courier New"/>
          <w:sz w:val="28"/>
        </w:rPr>
        <w:t>states:-</w:t>
      </w:r>
    </w:p>
    <w:p>
      <w:pPr>
        <w:spacing w:line="240" w:lineRule="auto" w:before="0"/>
        <w:ind w:left="1011" w:right="1245" w:firstLine="0"/>
        <w:jc w:val="both"/>
        <w:rPr>
          <w:rFonts w:ascii="Courier New" w:hAnsi="Courier New"/>
          <w:sz w:val="28"/>
        </w:rPr>
      </w:pPr>
      <w:r>
        <w:rPr>
          <w:rFonts w:ascii="Courier New" w:hAnsi="Courier New"/>
          <w:sz w:val="28"/>
        </w:rPr>
        <w:t>“6.</w:t>
      </w:r>
      <w:r>
        <w:rPr>
          <w:rFonts w:ascii="Courier New" w:hAnsi="Courier New"/>
          <w:spacing w:val="-37"/>
          <w:sz w:val="28"/>
        </w:rPr>
        <w:t> </w:t>
      </w:r>
      <w:r>
        <w:rPr>
          <w:rFonts w:ascii="Courier New" w:hAnsi="Courier New"/>
          <w:sz w:val="28"/>
        </w:rPr>
        <w:t>When</w:t>
      </w:r>
      <w:r>
        <w:rPr>
          <w:rFonts w:ascii="Courier New" w:hAnsi="Courier New"/>
          <w:spacing w:val="-36"/>
          <w:sz w:val="28"/>
        </w:rPr>
        <w:t> </w:t>
      </w:r>
      <w:r>
        <w:rPr>
          <w:rFonts w:ascii="Courier New" w:hAnsi="Courier New"/>
          <w:sz w:val="28"/>
        </w:rPr>
        <w:t>I</w:t>
      </w:r>
      <w:r>
        <w:rPr>
          <w:rFonts w:ascii="Courier New" w:hAnsi="Courier New"/>
          <w:spacing w:val="-36"/>
          <w:sz w:val="28"/>
        </w:rPr>
        <w:t> </w:t>
      </w:r>
      <w:r>
        <w:rPr>
          <w:rFonts w:ascii="Courier New" w:hAnsi="Courier New"/>
          <w:sz w:val="28"/>
        </w:rPr>
        <w:t>started</w:t>
      </w:r>
      <w:r>
        <w:rPr>
          <w:rFonts w:ascii="Courier New" w:hAnsi="Courier New"/>
          <w:spacing w:val="-36"/>
          <w:sz w:val="28"/>
        </w:rPr>
        <w:t> </w:t>
      </w:r>
      <w:r>
        <w:rPr>
          <w:rFonts w:ascii="Courier New" w:hAnsi="Courier New"/>
          <w:sz w:val="28"/>
        </w:rPr>
        <w:t>to</w:t>
      </w:r>
      <w:r>
        <w:rPr>
          <w:rFonts w:ascii="Courier New" w:hAnsi="Courier New"/>
          <w:spacing w:val="-36"/>
          <w:sz w:val="28"/>
        </w:rPr>
        <w:t> </w:t>
      </w:r>
      <w:r>
        <w:rPr>
          <w:rFonts w:ascii="Courier New" w:hAnsi="Courier New"/>
          <w:sz w:val="28"/>
        </w:rPr>
        <w:t>go</w:t>
      </w:r>
      <w:r>
        <w:rPr>
          <w:rFonts w:ascii="Courier New" w:hAnsi="Courier New"/>
          <w:spacing w:val="-36"/>
          <w:sz w:val="28"/>
        </w:rPr>
        <w:t> </w:t>
      </w:r>
      <w:r>
        <w:rPr>
          <w:rFonts w:ascii="Courier New" w:hAnsi="Courier New"/>
          <w:sz w:val="28"/>
        </w:rPr>
        <w:t>to</w:t>
      </w:r>
      <w:r>
        <w:rPr>
          <w:rFonts w:ascii="Courier New" w:hAnsi="Courier New"/>
          <w:spacing w:val="-36"/>
          <w:sz w:val="28"/>
        </w:rPr>
        <w:t> </w:t>
      </w:r>
      <w:r>
        <w:rPr>
          <w:rFonts w:ascii="Courier New" w:hAnsi="Courier New"/>
          <w:sz w:val="28"/>
        </w:rPr>
        <w:t>Ram</w:t>
      </w:r>
      <w:r>
        <w:rPr>
          <w:rFonts w:ascii="Courier New" w:hAnsi="Courier New"/>
          <w:spacing w:val="-36"/>
          <w:sz w:val="28"/>
        </w:rPr>
        <w:t> </w:t>
      </w:r>
      <w:r>
        <w:rPr>
          <w:rFonts w:ascii="Courier New" w:hAnsi="Courier New"/>
          <w:sz w:val="28"/>
        </w:rPr>
        <w:t>Janam</w:t>
      </w:r>
      <w:r>
        <w:rPr>
          <w:rFonts w:ascii="Courier New" w:hAnsi="Courier New"/>
          <w:spacing w:val="-36"/>
          <w:sz w:val="28"/>
        </w:rPr>
        <w:t> </w:t>
      </w:r>
      <w:r>
        <w:rPr>
          <w:rFonts w:ascii="Courier New" w:hAnsi="Courier New"/>
          <w:sz w:val="28"/>
        </w:rPr>
        <w:t>Bhoomi with my grandfather and father, I noticed that the pilgrims, devotees etc, who came to Ayodhya, used to visit Shri Ram Janam Bhoomi without fail. During the main festivals the gathering was very high, say more than lakhs and they used to worship and visit Ram Chabootra, Sita Rasoi, Shiv Chabootra and Sanctum-Sanactorum(where Lord</w:t>
      </w:r>
      <w:r>
        <w:rPr>
          <w:rFonts w:ascii="Courier New" w:hAnsi="Courier New"/>
          <w:spacing w:val="-20"/>
          <w:sz w:val="28"/>
        </w:rPr>
        <w:t> </w:t>
      </w:r>
      <w:r>
        <w:rPr>
          <w:rFonts w:ascii="Courier New" w:hAnsi="Courier New"/>
          <w:sz w:val="28"/>
        </w:rPr>
        <w:t>Ram</w:t>
      </w:r>
      <w:r>
        <w:rPr>
          <w:rFonts w:ascii="Courier New" w:hAnsi="Courier New"/>
          <w:spacing w:val="-19"/>
          <w:sz w:val="28"/>
        </w:rPr>
        <w:t> </w:t>
      </w:r>
      <w:r>
        <w:rPr>
          <w:rFonts w:ascii="Courier New" w:hAnsi="Courier New"/>
          <w:sz w:val="28"/>
        </w:rPr>
        <w:t>was</w:t>
      </w:r>
      <w:r>
        <w:rPr>
          <w:rFonts w:ascii="Courier New" w:hAnsi="Courier New"/>
          <w:spacing w:val="-20"/>
          <w:sz w:val="28"/>
        </w:rPr>
        <w:t> </w:t>
      </w:r>
      <w:r>
        <w:rPr>
          <w:rFonts w:ascii="Courier New" w:hAnsi="Courier New"/>
          <w:sz w:val="28"/>
        </w:rPr>
        <w:t>born)</w:t>
      </w:r>
      <w:r>
        <w:rPr>
          <w:rFonts w:ascii="Courier New" w:hAnsi="Courier New"/>
          <w:spacing w:val="-19"/>
          <w:sz w:val="28"/>
        </w:rPr>
        <w:t> </w:t>
      </w:r>
      <w:r>
        <w:rPr>
          <w:rFonts w:ascii="Courier New" w:hAnsi="Courier New"/>
          <w:sz w:val="28"/>
        </w:rPr>
        <w:t>below</w:t>
      </w:r>
      <w:r>
        <w:rPr>
          <w:rFonts w:ascii="Courier New" w:hAnsi="Courier New"/>
          <w:spacing w:val="-19"/>
          <w:sz w:val="28"/>
        </w:rPr>
        <w:t> </w:t>
      </w:r>
      <w:r>
        <w:rPr>
          <w:rFonts w:ascii="Courier New" w:hAnsi="Courier New"/>
          <w:sz w:val="28"/>
        </w:rPr>
        <w:t>the</w:t>
      </w:r>
      <w:r>
        <w:rPr>
          <w:rFonts w:ascii="Courier New" w:hAnsi="Courier New"/>
          <w:spacing w:val="-20"/>
          <w:sz w:val="28"/>
        </w:rPr>
        <w:t> </w:t>
      </w:r>
      <w:r>
        <w:rPr>
          <w:rFonts w:ascii="Courier New" w:hAnsi="Courier New"/>
          <w:sz w:val="28"/>
        </w:rPr>
        <w:t>middle</w:t>
      </w:r>
      <w:r>
        <w:rPr>
          <w:rFonts w:ascii="Courier New" w:hAnsi="Courier New"/>
          <w:spacing w:val="-19"/>
          <w:sz w:val="28"/>
        </w:rPr>
        <w:t> </w:t>
      </w:r>
      <w:r>
        <w:rPr>
          <w:rFonts w:ascii="Courier New" w:hAnsi="Courier New"/>
          <w:sz w:val="28"/>
        </w:rPr>
        <w:t>dome</w:t>
      </w:r>
      <w:r>
        <w:rPr>
          <w:rFonts w:ascii="Courier New" w:hAnsi="Courier New"/>
          <w:spacing w:val="-19"/>
          <w:sz w:val="28"/>
        </w:rPr>
        <w:t> </w:t>
      </w:r>
      <w:r>
        <w:rPr>
          <w:rFonts w:ascii="Courier New" w:hAnsi="Courier New"/>
          <w:sz w:val="28"/>
        </w:rPr>
        <w:t>of three domed building and make round of the premises (Parikrama) outside the walls only.”</w:t>
      </w:r>
    </w:p>
    <w:p>
      <w:pPr>
        <w:pStyle w:val="BodyText"/>
        <w:rPr>
          <w:rFonts w:ascii="Courier New"/>
          <w:sz w:val="32"/>
        </w:rPr>
      </w:pPr>
    </w:p>
    <w:p>
      <w:pPr>
        <w:pStyle w:val="ListParagraph"/>
        <w:numPr>
          <w:ilvl w:val="0"/>
          <w:numId w:val="257"/>
        </w:numPr>
        <w:tabs>
          <w:tab w:pos="1000" w:val="left" w:leader="none"/>
        </w:tabs>
        <w:spacing w:line="240" w:lineRule="auto" w:before="269" w:after="0"/>
        <w:ind w:left="999" w:right="0" w:hanging="840"/>
        <w:jc w:val="both"/>
        <w:rPr>
          <w:rFonts w:ascii="Courier New"/>
          <w:sz w:val="28"/>
        </w:rPr>
      </w:pPr>
      <w:r>
        <w:rPr>
          <w:rFonts w:ascii="Courier New"/>
          <w:sz w:val="28"/>
        </w:rPr>
        <w:t>He futher states:</w:t>
      </w:r>
      <w:r>
        <w:rPr>
          <w:rFonts w:ascii="Courier New"/>
          <w:spacing w:val="-4"/>
          <w:sz w:val="28"/>
        </w:rPr>
        <w:t> </w:t>
      </w:r>
      <w:r>
        <w:rPr>
          <w:rFonts w:ascii="Courier New"/>
          <w:sz w:val="28"/>
        </w:rPr>
        <w:t>-</w:t>
      </w:r>
    </w:p>
    <w:p>
      <w:pPr>
        <w:pStyle w:val="BodyText"/>
        <w:spacing w:before="1"/>
        <w:rPr>
          <w:rFonts w:ascii="Courier New"/>
          <w:sz w:val="28"/>
        </w:rPr>
      </w:pPr>
    </w:p>
    <w:p>
      <w:pPr>
        <w:spacing w:line="240" w:lineRule="auto" w:before="1"/>
        <w:ind w:left="1011" w:right="1245" w:firstLine="0"/>
        <w:jc w:val="both"/>
        <w:rPr>
          <w:rFonts w:ascii="Courier New" w:hAnsi="Courier New"/>
          <w:sz w:val="28"/>
        </w:rPr>
      </w:pPr>
      <w:r>
        <w:rPr>
          <w:rFonts w:ascii="Courier New" w:hAnsi="Courier New"/>
          <w:sz w:val="28"/>
        </w:rPr>
        <w:t>“12. I had been told by my grandfather and father that according to the faith and belief of Hindus since time immemorial, Lord</w:t>
      </w:r>
      <w:r>
        <w:rPr>
          <w:rFonts w:ascii="Courier New" w:hAnsi="Courier New"/>
          <w:spacing w:val="-17"/>
          <w:sz w:val="28"/>
        </w:rPr>
        <w:t> </w:t>
      </w:r>
      <w:r>
        <w:rPr>
          <w:rFonts w:ascii="Courier New" w:hAnsi="Courier New"/>
          <w:sz w:val="28"/>
        </w:rPr>
        <w:t>Ram</w:t>
      </w:r>
      <w:r>
        <w:rPr>
          <w:rFonts w:ascii="Courier New" w:hAnsi="Courier New"/>
          <w:spacing w:val="-16"/>
          <w:sz w:val="28"/>
        </w:rPr>
        <w:t> </w:t>
      </w:r>
      <w:r>
        <w:rPr>
          <w:rFonts w:ascii="Courier New" w:hAnsi="Courier New"/>
          <w:sz w:val="28"/>
        </w:rPr>
        <w:t>was</w:t>
      </w:r>
      <w:r>
        <w:rPr>
          <w:rFonts w:ascii="Courier New" w:hAnsi="Courier New"/>
          <w:spacing w:val="-17"/>
          <w:sz w:val="28"/>
        </w:rPr>
        <w:t> </w:t>
      </w:r>
      <w:r>
        <w:rPr>
          <w:rFonts w:ascii="Courier New" w:hAnsi="Courier New"/>
          <w:sz w:val="28"/>
        </w:rPr>
        <w:t>born</w:t>
      </w:r>
      <w:r>
        <w:rPr>
          <w:rFonts w:ascii="Courier New" w:hAnsi="Courier New"/>
          <w:spacing w:val="-16"/>
          <w:sz w:val="28"/>
        </w:rPr>
        <w:t> </w:t>
      </w:r>
      <w:r>
        <w:rPr>
          <w:rFonts w:ascii="Courier New" w:hAnsi="Courier New"/>
          <w:sz w:val="28"/>
        </w:rPr>
        <w:t>as</w:t>
      </w:r>
      <w:r>
        <w:rPr>
          <w:rFonts w:ascii="Courier New" w:hAnsi="Courier New"/>
          <w:spacing w:val="-17"/>
          <w:sz w:val="28"/>
        </w:rPr>
        <w:t> </w:t>
      </w:r>
      <w:r>
        <w:rPr>
          <w:rFonts w:ascii="Courier New" w:hAnsi="Courier New"/>
          <w:sz w:val="28"/>
        </w:rPr>
        <w:t>a</w:t>
      </w:r>
      <w:r>
        <w:rPr>
          <w:rFonts w:ascii="Courier New" w:hAnsi="Courier New"/>
          <w:spacing w:val="-16"/>
          <w:sz w:val="28"/>
        </w:rPr>
        <w:t> </w:t>
      </w:r>
      <w:r>
        <w:rPr>
          <w:rFonts w:ascii="Courier New" w:hAnsi="Courier New"/>
          <w:sz w:val="28"/>
        </w:rPr>
        <w:t>son</w:t>
      </w:r>
      <w:r>
        <w:rPr>
          <w:rFonts w:ascii="Courier New" w:hAnsi="Courier New"/>
          <w:spacing w:val="-17"/>
          <w:sz w:val="28"/>
        </w:rPr>
        <w:t> </w:t>
      </w:r>
      <w:r>
        <w:rPr>
          <w:rFonts w:ascii="Courier New" w:hAnsi="Courier New"/>
          <w:sz w:val="28"/>
        </w:rPr>
        <w:t>of</w:t>
      </w:r>
      <w:r>
        <w:rPr>
          <w:rFonts w:ascii="Courier New" w:hAnsi="Courier New"/>
          <w:spacing w:val="-16"/>
          <w:sz w:val="28"/>
        </w:rPr>
        <w:t> </w:t>
      </w:r>
      <w:r>
        <w:rPr>
          <w:rFonts w:ascii="Courier New" w:hAnsi="Courier New"/>
          <w:sz w:val="28"/>
        </w:rPr>
        <w:t>King</w:t>
      </w:r>
      <w:r>
        <w:rPr>
          <w:rFonts w:ascii="Courier New" w:hAnsi="Courier New"/>
          <w:spacing w:val="-17"/>
          <w:sz w:val="28"/>
        </w:rPr>
        <w:t> </w:t>
      </w:r>
      <w:r>
        <w:rPr>
          <w:rFonts w:ascii="Courier New" w:hAnsi="Courier New"/>
          <w:sz w:val="28"/>
        </w:rPr>
        <w:t>Dashrath in Treta Era in this Sanctum-Sanactorum situated under the building having three domes. This is the traditional belief</w:t>
      </w:r>
      <w:r>
        <w:rPr>
          <w:rFonts w:ascii="Courier New" w:hAnsi="Courier New"/>
          <w:spacing w:val="18"/>
          <w:sz w:val="28"/>
        </w:rPr>
        <w:t> </w:t>
      </w:r>
      <w:r>
        <w:rPr>
          <w:rFonts w:ascii="Courier New" w:hAnsi="Courier New"/>
          <w:sz w:val="28"/>
        </w:rPr>
        <w:t>and</w:t>
      </w:r>
    </w:p>
    <w:p>
      <w:pPr>
        <w:spacing w:after="0" w:line="240" w:lineRule="auto"/>
        <w:jc w:val="both"/>
        <w:rPr>
          <w:rFonts w:ascii="Courier New" w:hAnsi="Courier New"/>
          <w:sz w:val="28"/>
        </w:rPr>
        <w:sectPr>
          <w:headerReference w:type="default" r:id="rId428"/>
          <w:footerReference w:type="default" r:id="rId429"/>
          <w:pgSz w:w="11910" w:h="16840"/>
          <w:pgMar w:header="0" w:footer="1063" w:top="1340" w:bottom="1260" w:left="1280" w:right="1280"/>
          <w:pgNumType w:start="109"/>
        </w:sectPr>
      </w:pPr>
    </w:p>
    <w:p>
      <w:pPr>
        <w:spacing w:line="240" w:lineRule="auto" w:before="86"/>
        <w:ind w:left="1011" w:right="1245" w:firstLine="0"/>
        <w:jc w:val="both"/>
        <w:rPr>
          <w:rFonts w:ascii="Courier New" w:hAnsi="Courier New"/>
          <w:sz w:val="28"/>
        </w:rPr>
      </w:pPr>
      <w:r>
        <w:rPr>
          <w:rFonts w:ascii="Courier New" w:hAnsi="Courier New"/>
          <w:sz w:val="28"/>
        </w:rPr>
        <w:t>firm faith which makes the people of this country and the numerous pilgrims from outside to visit this birth place of Lord Shri Ram to pray and do parikrama of this place.”</w:t>
      </w:r>
    </w:p>
    <w:p>
      <w:pPr>
        <w:pStyle w:val="BodyText"/>
        <w:rPr>
          <w:rFonts w:ascii="Courier New"/>
          <w:sz w:val="32"/>
        </w:rPr>
      </w:pPr>
    </w:p>
    <w:p>
      <w:pPr>
        <w:pStyle w:val="ListParagraph"/>
        <w:numPr>
          <w:ilvl w:val="0"/>
          <w:numId w:val="257"/>
        </w:numPr>
        <w:tabs>
          <w:tab w:pos="1036" w:val="left" w:leader="none"/>
        </w:tabs>
        <w:spacing w:line="480" w:lineRule="auto" w:before="271" w:after="0"/>
        <w:ind w:left="160" w:right="158" w:firstLine="0"/>
        <w:jc w:val="both"/>
        <w:rPr>
          <w:rFonts w:ascii="Courier New" w:hAnsi="Courier New"/>
          <w:sz w:val="28"/>
        </w:rPr>
      </w:pPr>
      <w:r>
        <w:rPr>
          <w:rFonts w:ascii="Courier New" w:hAnsi="Courier New"/>
          <w:sz w:val="28"/>
        </w:rPr>
        <w:t>In his cross-examination, he maintain “it is by belief that he got his birth at the place where Babri Masjid was</w:t>
      </w:r>
      <w:r>
        <w:rPr>
          <w:rFonts w:ascii="Courier New" w:hAnsi="Courier New"/>
          <w:spacing w:val="-3"/>
          <w:sz w:val="28"/>
        </w:rPr>
        <w:t> </w:t>
      </w:r>
      <w:r>
        <w:rPr>
          <w:rFonts w:ascii="Courier New" w:hAnsi="Courier New"/>
          <w:sz w:val="28"/>
        </w:rPr>
        <w:t>established.”</w:t>
      </w:r>
    </w:p>
    <w:p>
      <w:pPr>
        <w:pStyle w:val="BodyText"/>
        <w:spacing w:before="11"/>
        <w:rPr>
          <w:rFonts w:ascii="Courier New"/>
          <w:sz w:val="27"/>
        </w:rPr>
      </w:pPr>
    </w:p>
    <w:p>
      <w:pPr>
        <w:pStyle w:val="ListParagraph"/>
        <w:numPr>
          <w:ilvl w:val="0"/>
          <w:numId w:val="257"/>
        </w:numPr>
        <w:tabs>
          <w:tab w:pos="995" w:val="left" w:leader="none"/>
        </w:tabs>
        <w:spacing w:line="480" w:lineRule="auto" w:before="0" w:after="0"/>
        <w:ind w:left="160" w:right="157" w:firstLine="0"/>
        <w:jc w:val="both"/>
        <w:rPr>
          <w:rFonts w:ascii="Courier New"/>
          <w:sz w:val="28"/>
        </w:rPr>
      </w:pPr>
      <w:r>
        <w:rPr>
          <w:rFonts w:ascii="Courier New"/>
          <w:sz w:val="28"/>
        </w:rPr>
        <w:t>Next witness OPW-13, Narad Saran, age 76</w:t>
      </w:r>
      <w:r>
        <w:rPr>
          <w:rFonts w:ascii="Courier New"/>
          <w:spacing w:val="-57"/>
          <w:sz w:val="28"/>
        </w:rPr>
        <w:t> </w:t>
      </w:r>
      <w:r>
        <w:rPr>
          <w:rFonts w:ascii="Courier New"/>
          <w:sz w:val="28"/>
        </w:rPr>
        <w:t>years(as on 27.01.2003) claims to have come to Ayodhya with a desire to become a Sadhu. In his</w:t>
      </w:r>
      <w:r>
        <w:rPr>
          <w:rFonts w:ascii="Courier New"/>
          <w:spacing w:val="-69"/>
          <w:sz w:val="28"/>
        </w:rPr>
        <w:t> </w:t>
      </w:r>
      <w:r>
        <w:rPr>
          <w:rFonts w:ascii="Courier New"/>
          <w:sz w:val="28"/>
        </w:rPr>
        <w:t>examination-in-chief, he</w:t>
      </w:r>
      <w:r>
        <w:rPr>
          <w:rFonts w:ascii="Courier New"/>
          <w:spacing w:val="-2"/>
          <w:sz w:val="28"/>
        </w:rPr>
        <w:t> </w:t>
      </w:r>
      <w:r>
        <w:rPr>
          <w:rFonts w:ascii="Courier New"/>
          <w:sz w:val="28"/>
        </w:rPr>
        <w:t>states:-</w:t>
      </w:r>
    </w:p>
    <w:p>
      <w:pPr>
        <w:spacing w:line="240" w:lineRule="auto" w:before="1"/>
        <w:ind w:left="1012" w:right="1245" w:firstLine="0"/>
        <w:jc w:val="both"/>
        <w:rPr>
          <w:rFonts w:ascii="Courier New" w:hAnsi="Courier New"/>
          <w:sz w:val="28"/>
        </w:rPr>
      </w:pPr>
      <w:r>
        <w:rPr>
          <w:rFonts w:ascii="Courier New" w:hAnsi="Courier New"/>
          <w:sz w:val="28"/>
        </w:rPr>
        <w:t>“When entering through the eastern gate there</w:t>
      </w:r>
      <w:r>
        <w:rPr>
          <w:rFonts w:ascii="Courier New" w:hAnsi="Courier New"/>
          <w:spacing w:val="-22"/>
          <w:sz w:val="28"/>
        </w:rPr>
        <w:t> </w:t>
      </w:r>
      <w:r>
        <w:rPr>
          <w:rFonts w:ascii="Courier New" w:hAnsi="Courier New"/>
          <w:sz w:val="28"/>
        </w:rPr>
        <w:t>was</w:t>
      </w:r>
      <w:r>
        <w:rPr>
          <w:rFonts w:ascii="Courier New" w:hAnsi="Courier New"/>
          <w:spacing w:val="-22"/>
          <w:sz w:val="28"/>
        </w:rPr>
        <w:t> </w:t>
      </w:r>
      <w:r>
        <w:rPr>
          <w:rFonts w:ascii="Courier New" w:hAnsi="Courier New"/>
          <w:sz w:val="28"/>
        </w:rPr>
        <w:t>a</w:t>
      </w:r>
      <w:r>
        <w:rPr>
          <w:rFonts w:ascii="Courier New" w:hAnsi="Courier New"/>
          <w:spacing w:val="-22"/>
          <w:sz w:val="28"/>
        </w:rPr>
        <w:t> </w:t>
      </w:r>
      <w:r>
        <w:rPr>
          <w:rFonts w:ascii="Courier New" w:hAnsi="Courier New"/>
          <w:sz w:val="28"/>
        </w:rPr>
        <w:t>building</w:t>
      </w:r>
      <w:r>
        <w:rPr>
          <w:rFonts w:ascii="Courier New" w:hAnsi="Courier New"/>
          <w:spacing w:val="-22"/>
          <w:sz w:val="28"/>
        </w:rPr>
        <w:t> </w:t>
      </w:r>
      <w:r>
        <w:rPr>
          <w:rFonts w:ascii="Courier New" w:hAnsi="Courier New"/>
          <w:sz w:val="28"/>
        </w:rPr>
        <w:t>with</w:t>
      </w:r>
      <w:r>
        <w:rPr>
          <w:rFonts w:ascii="Courier New" w:hAnsi="Courier New"/>
          <w:spacing w:val="-21"/>
          <w:sz w:val="28"/>
        </w:rPr>
        <w:t> </w:t>
      </w:r>
      <w:r>
        <w:rPr>
          <w:rFonts w:ascii="Courier New" w:hAnsi="Courier New"/>
          <w:sz w:val="28"/>
        </w:rPr>
        <w:t>three</w:t>
      </w:r>
      <w:r>
        <w:rPr>
          <w:rFonts w:ascii="Courier New" w:hAnsi="Courier New"/>
          <w:spacing w:val="-22"/>
          <w:sz w:val="28"/>
        </w:rPr>
        <w:t> </w:t>
      </w:r>
      <w:r>
        <w:rPr>
          <w:rFonts w:ascii="Courier New" w:hAnsi="Courier New"/>
          <w:sz w:val="28"/>
        </w:rPr>
        <w:t>domes</w:t>
      </w:r>
      <w:r>
        <w:rPr>
          <w:rFonts w:ascii="Courier New" w:hAnsi="Courier New"/>
          <w:spacing w:val="-22"/>
          <w:sz w:val="28"/>
        </w:rPr>
        <w:t> </w:t>
      </w:r>
      <w:r>
        <w:rPr>
          <w:rFonts w:ascii="Courier New" w:hAnsi="Courier New"/>
          <w:sz w:val="28"/>
        </w:rPr>
        <w:t>west, just below the middle dome, there was sanctum-sanctorum which was worshipped. My preceptor</w:t>
      </w:r>
      <w:r>
        <w:rPr>
          <w:rFonts w:ascii="Courier New" w:hAnsi="Courier New"/>
          <w:spacing w:val="-22"/>
          <w:sz w:val="28"/>
        </w:rPr>
        <w:t> </w:t>
      </w:r>
      <w:r>
        <w:rPr>
          <w:rFonts w:ascii="Courier New" w:hAnsi="Courier New"/>
          <w:sz w:val="28"/>
        </w:rPr>
        <w:t>had</w:t>
      </w:r>
      <w:r>
        <w:rPr>
          <w:rFonts w:ascii="Courier New" w:hAnsi="Courier New"/>
          <w:spacing w:val="-22"/>
          <w:sz w:val="28"/>
        </w:rPr>
        <w:t> </w:t>
      </w:r>
      <w:r>
        <w:rPr>
          <w:rFonts w:ascii="Courier New" w:hAnsi="Courier New"/>
          <w:sz w:val="28"/>
        </w:rPr>
        <w:t>told</w:t>
      </w:r>
      <w:r>
        <w:rPr>
          <w:rFonts w:ascii="Courier New" w:hAnsi="Courier New"/>
          <w:spacing w:val="-22"/>
          <w:sz w:val="28"/>
        </w:rPr>
        <w:t> </w:t>
      </w:r>
      <w:r>
        <w:rPr>
          <w:rFonts w:ascii="Courier New" w:hAnsi="Courier New"/>
          <w:sz w:val="28"/>
        </w:rPr>
        <w:t>me</w:t>
      </w:r>
      <w:r>
        <w:rPr>
          <w:rFonts w:ascii="Courier New" w:hAnsi="Courier New"/>
          <w:spacing w:val="-22"/>
          <w:sz w:val="28"/>
        </w:rPr>
        <w:t> </w:t>
      </w:r>
      <w:r>
        <w:rPr>
          <w:rFonts w:ascii="Courier New" w:hAnsi="Courier New"/>
          <w:sz w:val="28"/>
        </w:rPr>
        <w:t>about</w:t>
      </w:r>
      <w:r>
        <w:rPr>
          <w:rFonts w:ascii="Courier New" w:hAnsi="Courier New"/>
          <w:spacing w:val="-21"/>
          <w:sz w:val="28"/>
        </w:rPr>
        <w:t> </w:t>
      </w:r>
      <w:r>
        <w:rPr>
          <w:rFonts w:ascii="Courier New" w:hAnsi="Courier New"/>
          <w:sz w:val="28"/>
        </w:rPr>
        <w:t>this</w:t>
      </w:r>
      <w:r>
        <w:rPr>
          <w:rFonts w:ascii="Courier New" w:hAnsi="Courier New"/>
          <w:spacing w:val="-22"/>
          <w:sz w:val="28"/>
        </w:rPr>
        <w:t> </w:t>
      </w:r>
      <w:r>
        <w:rPr>
          <w:rFonts w:ascii="Courier New" w:hAnsi="Courier New"/>
          <w:sz w:val="28"/>
        </w:rPr>
        <w:t>place</w:t>
      </w:r>
      <w:r>
        <w:rPr>
          <w:rFonts w:ascii="Courier New" w:hAnsi="Courier New"/>
          <w:spacing w:val="-22"/>
          <w:sz w:val="28"/>
        </w:rPr>
        <w:t> </w:t>
      </w:r>
      <w:r>
        <w:rPr>
          <w:rFonts w:ascii="Courier New" w:hAnsi="Courier New"/>
          <w:sz w:val="28"/>
        </w:rPr>
        <w:t>that it was always the most worshipped as the birth place of Lord Ram since time immemorial. I have also worshipped this place and found that it was thronged by thousands of pilgrims who paid their obeisance to this holy shrine. They also visited and worshipped Sita Kitchen, Ram chabutara etc., and made a full round of the entire premises after coming out of Hanumatdwar.”</w:t>
      </w:r>
    </w:p>
    <w:p>
      <w:pPr>
        <w:pStyle w:val="BodyText"/>
        <w:rPr>
          <w:rFonts w:ascii="Courier New"/>
          <w:sz w:val="32"/>
        </w:rPr>
      </w:pPr>
    </w:p>
    <w:p>
      <w:pPr>
        <w:pStyle w:val="ListParagraph"/>
        <w:numPr>
          <w:ilvl w:val="0"/>
          <w:numId w:val="257"/>
        </w:numPr>
        <w:tabs>
          <w:tab w:pos="1000" w:val="left" w:leader="none"/>
        </w:tabs>
        <w:spacing w:line="240" w:lineRule="auto" w:before="270" w:after="0"/>
        <w:ind w:left="999" w:right="0" w:hanging="840"/>
        <w:jc w:val="both"/>
        <w:rPr>
          <w:rFonts w:ascii="Courier New"/>
          <w:sz w:val="28"/>
        </w:rPr>
      </w:pPr>
      <w:r>
        <w:rPr>
          <w:rFonts w:ascii="Courier New"/>
          <w:sz w:val="28"/>
        </w:rPr>
        <w:t>In his cross-examination he</w:t>
      </w:r>
      <w:r>
        <w:rPr>
          <w:rFonts w:ascii="Courier New"/>
          <w:spacing w:val="-7"/>
          <w:sz w:val="28"/>
        </w:rPr>
        <w:t> </w:t>
      </w:r>
      <w:r>
        <w:rPr>
          <w:rFonts w:ascii="Courier New"/>
          <w:sz w:val="28"/>
        </w:rPr>
        <w:t>states:-</w:t>
      </w:r>
    </w:p>
    <w:p>
      <w:pPr>
        <w:pStyle w:val="BodyText"/>
        <w:spacing w:before="1"/>
        <w:rPr>
          <w:rFonts w:ascii="Courier New"/>
          <w:sz w:val="28"/>
        </w:rPr>
      </w:pPr>
    </w:p>
    <w:p>
      <w:pPr>
        <w:spacing w:before="0"/>
        <w:ind w:left="1012" w:right="1247" w:firstLine="0"/>
        <w:jc w:val="both"/>
        <w:rPr>
          <w:rFonts w:ascii="Courier New" w:hAnsi="Courier New"/>
          <w:sz w:val="28"/>
        </w:rPr>
      </w:pPr>
      <w:r>
        <w:rPr>
          <w:rFonts w:ascii="Courier New" w:hAnsi="Courier New"/>
          <w:sz w:val="28"/>
        </w:rPr>
        <w:t>“...Ayodhya</w:t>
      </w:r>
      <w:r>
        <w:rPr>
          <w:rFonts w:ascii="Courier New" w:hAnsi="Courier New"/>
          <w:spacing w:val="-22"/>
          <w:sz w:val="28"/>
        </w:rPr>
        <w:t> </w:t>
      </w:r>
      <w:r>
        <w:rPr>
          <w:rFonts w:ascii="Courier New" w:hAnsi="Courier New"/>
          <w:sz w:val="28"/>
        </w:rPr>
        <w:t>is</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Janam</w:t>
      </w:r>
      <w:r>
        <w:rPr>
          <w:rFonts w:ascii="Courier New" w:hAnsi="Courier New"/>
          <w:spacing w:val="-22"/>
          <w:sz w:val="28"/>
        </w:rPr>
        <w:t> </w:t>
      </w:r>
      <w:r>
        <w:rPr>
          <w:rFonts w:ascii="Courier New" w:hAnsi="Courier New"/>
          <w:sz w:val="28"/>
        </w:rPr>
        <w:t>bhoomi</w:t>
      </w:r>
      <w:r>
        <w:rPr>
          <w:rFonts w:ascii="Courier New" w:hAnsi="Courier New"/>
          <w:spacing w:val="-21"/>
          <w:sz w:val="28"/>
        </w:rPr>
        <w:t> </w:t>
      </w:r>
      <w:r>
        <w:rPr>
          <w:rFonts w:ascii="Courier New" w:hAnsi="Courier New"/>
          <w:sz w:val="28"/>
        </w:rPr>
        <w:t>of</w:t>
      </w:r>
      <w:r>
        <w:rPr>
          <w:rFonts w:ascii="Courier New" w:hAnsi="Courier New"/>
          <w:spacing w:val="-22"/>
          <w:sz w:val="28"/>
        </w:rPr>
        <w:t> </w:t>
      </w:r>
      <w:r>
        <w:rPr>
          <w:rFonts w:ascii="Courier New" w:hAnsi="Courier New"/>
          <w:sz w:val="28"/>
        </w:rPr>
        <w:t>Lord</w:t>
      </w:r>
      <w:r>
        <w:rPr>
          <w:rFonts w:ascii="Courier New" w:hAnsi="Courier New"/>
          <w:spacing w:val="-22"/>
          <w:sz w:val="28"/>
        </w:rPr>
        <w:t> </w:t>
      </w:r>
      <w:r>
        <w:rPr>
          <w:rFonts w:ascii="Courier New" w:hAnsi="Courier New"/>
          <w:sz w:val="28"/>
        </w:rPr>
        <w:t>Ram and we take the place below middle dome</w:t>
      </w:r>
      <w:r>
        <w:rPr>
          <w:rFonts w:ascii="Courier New" w:hAnsi="Courier New"/>
          <w:spacing w:val="16"/>
          <w:sz w:val="28"/>
        </w:rPr>
        <w:t> </w:t>
      </w:r>
      <w:r>
        <w:rPr>
          <w:rFonts w:ascii="Courier New" w:hAnsi="Courier New"/>
          <w:sz w:val="28"/>
        </w:rPr>
        <w:t>of</w:t>
      </w:r>
    </w:p>
    <w:p>
      <w:pPr>
        <w:spacing w:after="0"/>
        <w:jc w:val="both"/>
        <w:rPr>
          <w:rFonts w:ascii="Courier New" w:hAnsi="Courier New"/>
          <w:sz w:val="28"/>
        </w:rPr>
        <w:sectPr>
          <w:headerReference w:type="default" r:id="rId430"/>
          <w:footerReference w:type="default" r:id="rId431"/>
          <w:pgSz w:w="11910" w:h="16840"/>
          <w:pgMar w:header="0" w:footer="1063" w:top="1340" w:bottom="1260" w:left="1280" w:right="1280"/>
          <w:pgNumType w:start="110"/>
        </w:sectPr>
      </w:pPr>
    </w:p>
    <w:p>
      <w:pPr>
        <w:spacing w:before="86"/>
        <w:ind w:left="1011" w:right="1245" w:firstLine="0"/>
        <w:jc w:val="both"/>
        <w:rPr>
          <w:rFonts w:ascii="Courier New" w:hAnsi="Courier New"/>
          <w:sz w:val="28"/>
        </w:rPr>
      </w:pPr>
      <w:r>
        <w:rPr>
          <w:rFonts w:ascii="Courier New" w:hAnsi="Courier New"/>
          <w:sz w:val="28"/>
        </w:rPr>
        <w:t>the disputed structure as his Janamsthan. Janamsthan and Janambhoomi have the same meaning.</w:t>
      </w:r>
      <w:r>
        <w:rPr>
          <w:rFonts w:ascii="Courier New" w:hAnsi="Courier New"/>
          <w:spacing w:val="167"/>
          <w:sz w:val="28"/>
        </w:rPr>
        <w:t> </w:t>
      </w:r>
      <w:r>
        <w:rPr>
          <w:rFonts w:ascii="Courier New" w:hAnsi="Courier New"/>
          <w:sz w:val="28"/>
        </w:rPr>
        <w:t>”</w:t>
      </w:r>
    </w:p>
    <w:p>
      <w:pPr>
        <w:pStyle w:val="BodyText"/>
        <w:rPr>
          <w:rFonts w:ascii="Courier New"/>
          <w:sz w:val="32"/>
        </w:rPr>
      </w:pPr>
    </w:p>
    <w:p>
      <w:pPr>
        <w:pStyle w:val="ListParagraph"/>
        <w:numPr>
          <w:ilvl w:val="0"/>
          <w:numId w:val="257"/>
        </w:numPr>
        <w:tabs>
          <w:tab w:pos="1180" w:val="left" w:leader="none"/>
        </w:tabs>
        <w:spacing w:line="480" w:lineRule="auto" w:before="272" w:after="0"/>
        <w:ind w:left="160" w:right="218" w:firstLine="0"/>
        <w:jc w:val="both"/>
        <w:rPr>
          <w:rFonts w:ascii="Courier New"/>
          <w:sz w:val="28"/>
        </w:rPr>
      </w:pPr>
      <w:r>
        <w:rPr>
          <w:rFonts w:ascii="Courier New"/>
          <w:sz w:val="28"/>
        </w:rPr>
        <w:t>DW-3/14, Jagad Guru Ramanand Acharya Swami Haryacharya,</w:t>
      </w:r>
      <w:r>
        <w:rPr>
          <w:rFonts w:ascii="Courier New"/>
          <w:spacing w:val="-18"/>
          <w:sz w:val="28"/>
        </w:rPr>
        <w:t> </w:t>
      </w:r>
      <w:r>
        <w:rPr>
          <w:rFonts w:ascii="Courier New"/>
          <w:sz w:val="28"/>
        </w:rPr>
        <w:t>aged</w:t>
      </w:r>
      <w:r>
        <w:rPr>
          <w:rFonts w:ascii="Courier New"/>
          <w:spacing w:val="-18"/>
          <w:sz w:val="28"/>
        </w:rPr>
        <w:t> </w:t>
      </w:r>
      <w:r>
        <w:rPr>
          <w:rFonts w:ascii="Courier New"/>
          <w:sz w:val="28"/>
        </w:rPr>
        <w:t>69</w:t>
      </w:r>
      <w:r>
        <w:rPr>
          <w:rFonts w:ascii="Courier New"/>
          <w:spacing w:val="-17"/>
          <w:sz w:val="28"/>
        </w:rPr>
        <w:t> </w:t>
      </w:r>
      <w:r>
        <w:rPr>
          <w:rFonts w:ascii="Courier New"/>
          <w:sz w:val="28"/>
        </w:rPr>
        <w:t>years(as</w:t>
      </w:r>
      <w:r>
        <w:rPr>
          <w:rFonts w:ascii="Courier New"/>
          <w:spacing w:val="-18"/>
          <w:sz w:val="28"/>
        </w:rPr>
        <w:t> </w:t>
      </w:r>
      <w:r>
        <w:rPr>
          <w:rFonts w:ascii="Courier New"/>
          <w:sz w:val="28"/>
        </w:rPr>
        <w:t>on</w:t>
      </w:r>
      <w:r>
        <w:rPr>
          <w:rFonts w:ascii="Courier New"/>
          <w:spacing w:val="-18"/>
          <w:sz w:val="28"/>
        </w:rPr>
        <w:t> </w:t>
      </w:r>
      <w:r>
        <w:rPr>
          <w:rFonts w:ascii="Courier New"/>
          <w:sz w:val="28"/>
        </w:rPr>
        <w:t>23.07.2004)</w:t>
      </w:r>
      <w:r>
        <w:rPr>
          <w:rFonts w:ascii="Courier New"/>
          <w:spacing w:val="-17"/>
          <w:sz w:val="28"/>
        </w:rPr>
        <w:t> </w:t>
      </w:r>
      <w:r>
        <w:rPr>
          <w:rFonts w:ascii="Courier New"/>
          <w:sz w:val="28"/>
        </w:rPr>
        <w:t>stated</w:t>
      </w:r>
      <w:r>
        <w:rPr>
          <w:rFonts w:ascii="Courier New"/>
          <w:spacing w:val="-18"/>
          <w:sz w:val="28"/>
        </w:rPr>
        <w:t> </w:t>
      </w:r>
      <w:r>
        <w:rPr>
          <w:rFonts w:ascii="Courier New"/>
          <w:sz w:val="28"/>
        </w:rPr>
        <w:t>in his</w:t>
      </w:r>
      <w:r>
        <w:rPr>
          <w:rFonts w:ascii="Courier New"/>
          <w:spacing w:val="-2"/>
          <w:sz w:val="28"/>
        </w:rPr>
        <w:t> </w:t>
      </w:r>
      <w:r>
        <w:rPr>
          <w:rFonts w:ascii="Courier New"/>
          <w:sz w:val="28"/>
        </w:rPr>
        <w:t>cross-examination:-</w:t>
      </w:r>
    </w:p>
    <w:p>
      <w:pPr>
        <w:spacing w:before="0"/>
        <w:ind w:left="1012" w:right="1246" w:firstLine="0"/>
        <w:jc w:val="both"/>
        <w:rPr>
          <w:rFonts w:ascii="Courier New" w:hAnsi="Courier New"/>
          <w:sz w:val="28"/>
        </w:rPr>
      </w:pPr>
      <w:r>
        <w:rPr>
          <w:rFonts w:ascii="Courier New" w:hAnsi="Courier New"/>
          <w:sz w:val="28"/>
        </w:rPr>
        <w:t>“...I used to go to three domes Bhawan for darshan, earlier. I have also taken the darshan of Shri Ram Lalla. I took darshan because I believe that one could get salvation by doing the darshan.</w:t>
      </w:r>
      <w:r>
        <w:rPr>
          <w:rFonts w:ascii="Courier New" w:hAnsi="Courier New"/>
          <w:spacing w:val="158"/>
          <w:sz w:val="28"/>
        </w:rPr>
        <w:t> </w:t>
      </w:r>
      <w:r>
        <w:rPr>
          <w:rFonts w:ascii="Courier New" w:hAnsi="Courier New"/>
          <w:sz w:val="28"/>
        </w:rPr>
        <w:t>”</w:t>
      </w:r>
    </w:p>
    <w:p>
      <w:pPr>
        <w:pStyle w:val="BodyText"/>
        <w:rPr>
          <w:rFonts w:ascii="Courier New"/>
          <w:sz w:val="32"/>
        </w:rPr>
      </w:pPr>
    </w:p>
    <w:p>
      <w:pPr>
        <w:pStyle w:val="ListParagraph"/>
        <w:numPr>
          <w:ilvl w:val="0"/>
          <w:numId w:val="257"/>
        </w:numPr>
        <w:tabs>
          <w:tab w:pos="1036" w:val="left" w:leader="none"/>
        </w:tabs>
        <w:spacing w:line="480" w:lineRule="auto" w:before="271" w:after="0"/>
        <w:ind w:left="160" w:right="158" w:firstLine="0"/>
        <w:jc w:val="both"/>
        <w:rPr>
          <w:rFonts w:ascii="Courier New"/>
          <w:sz w:val="28"/>
        </w:rPr>
      </w:pPr>
      <w:r>
        <w:rPr>
          <w:rFonts w:ascii="Courier New"/>
          <w:sz w:val="28"/>
        </w:rPr>
        <w:t>DW-3/1, Mahant Bhaskar Das, aged 75 years(as on 29.08.2003). In his examination-in-chief, he states:</w:t>
      </w:r>
      <w:r>
        <w:rPr>
          <w:rFonts w:ascii="Courier New"/>
          <w:spacing w:val="-65"/>
          <w:sz w:val="28"/>
        </w:rPr>
        <w:t> </w:t>
      </w:r>
      <w:r>
        <w:rPr>
          <w:rFonts w:ascii="Courier New"/>
          <w:sz w:val="28"/>
        </w:rPr>
        <w:t>-</w:t>
      </w:r>
    </w:p>
    <w:p>
      <w:pPr>
        <w:spacing w:line="240" w:lineRule="auto" w:before="1"/>
        <w:ind w:left="1012" w:right="1244" w:firstLine="0"/>
        <w:jc w:val="both"/>
        <w:rPr>
          <w:rFonts w:ascii="Courier New" w:hAnsi="Courier New"/>
          <w:sz w:val="28"/>
        </w:rPr>
      </w:pPr>
      <w:r>
        <w:rPr>
          <w:rFonts w:ascii="Courier New" w:hAnsi="Courier New"/>
          <w:sz w:val="28"/>
        </w:rPr>
        <w:t>“..During my tenure from 1946 to 1949 till the date of attachment no Muslim ever visited the disputed site to offer Namaz and no Namaz was recited there. Hindu devotees used to offer money, sweets, fruits and other items to the deities seated within and out of the disputed site which were received by the Nirmohi Akhara through the priest..”</w:t>
      </w:r>
    </w:p>
    <w:p>
      <w:pPr>
        <w:pStyle w:val="BodyText"/>
        <w:rPr>
          <w:rFonts w:ascii="Courier New"/>
          <w:sz w:val="32"/>
        </w:rPr>
      </w:pPr>
    </w:p>
    <w:p>
      <w:pPr>
        <w:pStyle w:val="ListParagraph"/>
        <w:numPr>
          <w:ilvl w:val="0"/>
          <w:numId w:val="257"/>
        </w:numPr>
        <w:tabs>
          <w:tab w:pos="1015" w:val="left" w:leader="none"/>
        </w:tabs>
        <w:spacing w:line="480" w:lineRule="auto" w:before="269" w:after="0"/>
        <w:ind w:left="160" w:right="160" w:firstLine="0"/>
        <w:jc w:val="both"/>
        <w:rPr>
          <w:rFonts w:ascii="Courier New" w:hAnsi="Courier New"/>
          <w:sz w:val="28"/>
        </w:rPr>
      </w:pPr>
      <w:r>
        <w:rPr>
          <w:rFonts w:ascii="Courier New" w:hAnsi="Courier New"/>
          <w:sz w:val="28"/>
        </w:rPr>
        <w:t>The witnesses who were examined by plaintiffs of Suit No.4 also in their statement have admitted that what they call ‘Babri Masjid’ is called by Hindus as ‘Janmasthan’.</w:t>
      </w:r>
    </w:p>
    <w:p>
      <w:pPr>
        <w:spacing w:after="0" w:line="480" w:lineRule="auto"/>
        <w:jc w:val="both"/>
        <w:rPr>
          <w:rFonts w:ascii="Courier New" w:hAnsi="Courier New"/>
          <w:sz w:val="28"/>
        </w:rPr>
        <w:sectPr>
          <w:headerReference w:type="default" r:id="rId432"/>
          <w:footerReference w:type="default" r:id="rId433"/>
          <w:pgSz w:w="11910" w:h="16840"/>
          <w:pgMar w:header="0" w:footer="1063" w:top="1340" w:bottom="1260" w:left="1280" w:right="1280"/>
          <w:pgNumType w:start="111"/>
        </w:sectPr>
      </w:pPr>
    </w:p>
    <w:p>
      <w:pPr>
        <w:pStyle w:val="ListParagraph"/>
        <w:numPr>
          <w:ilvl w:val="0"/>
          <w:numId w:val="257"/>
        </w:numPr>
        <w:tabs>
          <w:tab w:pos="1070" w:val="left" w:leader="none"/>
        </w:tabs>
        <w:spacing w:line="480" w:lineRule="auto" w:before="86" w:after="0"/>
        <w:ind w:left="159" w:right="159" w:firstLine="0"/>
        <w:jc w:val="both"/>
        <w:rPr>
          <w:rFonts w:ascii="Courier New"/>
          <w:sz w:val="28"/>
        </w:rPr>
      </w:pPr>
      <w:r>
        <w:rPr>
          <w:rFonts w:ascii="Courier New"/>
          <w:sz w:val="28"/>
        </w:rPr>
        <w:t>Mohd. Hashim who appeared as PW-1 was aged 75 years(as on 24.07.1996). In his cross-examination he admits that the place which was attached on 22</w:t>
      </w:r>
      <w:r>
        <w:rPr>
          <w:rFonts w:ascii="Courier New"/>
          <w:position w:val="8"/>
          <w:sz w:val="18"/>
        </w:rPr>
        <w:t>nd</w:t>
      </w:r>
      <w:r>
        <w:rPr>
          <w:rFonts w:ascii="Courier New"/>
          <w:sz w:val="28"/>
        </w:rPr>
        <w:t>/ 23</w:t>
      </w:r>
      <w:r>
        <w:rPr>
          <w:rFonts w:ascii="Courier New"/>
          <w:position w:val="8"/>
          <w:sz w:val="18"/>
        </w:rPr>
        <w:t>rd</w:t>
      </w:r>
      <w:r>
        <w:rPr>
          <w:rFonts w:ascii="Courier New"/>
          <w:sz w:val="18"/>
        </w:rPr>
        <w:t> </w:t>
      </w:r>
      <w:r>
        <w:rPr>
          <w:rFonts w:ascii="Courier New"/>
          <w:sz w:val="28"/>
        </w:rPr>
        <w:t>December, 1949 is called Ram Janam Bhumi by Hindus</w:t>
      </w:r>
      <w:r>
        <w:rPr>
          <w:rFonts w:ascii="Courier New"/>
          <w:spacing w:val="-70"/>
          <w:sz w:val="28"/>
        </w:rPr>
        <w:t> </w:t>
      </w:r>
      <w:r>
        <w:rPr>
          <w:rFonts w:ascii="Courier New"/>
          <w:sz w:val="28"/>
        </w:rPr>
        <w:t>and Babri Masjid by</w:t>
      </w:r>
      <w:r>
        <w:rPr>
          <w:rFonts w:ascii="Courier New"/>
          <w:spacing w:val="-4"/>
          <w:sz w:val="28"/>
        </w:rPr>
        <w:t> </w:t>
      </w:r>
      <w:r>
        <w:rPr>
          <w:rFonts w:ascii="Courier New"/>
          <w:sz w:val="28"/>
        </w:rPr>
        <w:t>Muslims.</w:t>
      </w:r>
    </w:p>
    <w:p>
      <w:pPr>
        <w:spacing w:line="240" w:lineRule="auto" w:before="1"/>
        <w:ind w:left="1011" w:right="1245" w:firstLine="0"/>
        <w:jc w:val="both"/>
        <w:rPr>
          <w:rFonts w:ascii="Courier New" w:hAnsi="Courier New"/>
          <w:sz w:val="28"/>
        </w:rPr>
      </w:pPr>
      <w:r>
        <w:rPr>
          <w:rFonts w:ascii="Courier New" w:hAnsi="Courier New"/>
          <w:sz w:val="28"/>
        </w:rPr>
        <w:t>“...The place which was attached on 22</w:t>
      </w:r>
      <w:r>
        <w:rPr>
          <w:rFonts w:ascii="Courier New" w:hAnsi="Courier New"/>
          <w:position w:val="8"/>
          <w:sz w:val="18"/>
        </w:rPr>
        <w:t>nd</w:t>
      </w:r>
      <w:r>
        <w:rPr>
          <w:rFonts w:ascii="Courier New" w:hAnsi="Courier New"/>
          <w:sz w:val="28"/>
        </w:rPr>
        <w:t>/23rd December, 1949 is called Ram janambhoomi by Hindus and Babri Masjid by Muslims. In the suit of Gopal Singh visharad also it has been called Ram Janam Bhoomi by Hindus and Babri Masjid by Muslims.</w:t>
      </w:r>
      <w:r>
        <w:rPr>
          <w:rFonts w:ascii="Courier New" w:hAnsi="Courier New"/>
          <w:spacing w:val="167"/>
          <w:sz w:val="28"/>
        </w:rPr>
        <w:t> </w:t>
      </w:r>
      <w:r>
        <w:rPr>
          <w:rFonts w:ascii="Courier New" w:hAnsi="Courier New"/>
          <w:sz w:val="28"/>
        </w:rPr>
        <w:t>”</w:t>
      </w:r>
    </w:p>
    <w:p>
      <w:pPr>
        <w:pStyle w:val="BodyText"/>
        <w:rPr>
          <w:rFonts w:ascii="Courier New"/>
          <w:sz w:val="32"/>
        </w:rPr>
      </w:pPr>
    </w:p>
    <w:p>
      <w:pPr>
        <w:pStyle w:val="ListParagraph"/>
        <w:numPr>
          <w:ilvl w:val="0"/>
          <w:numId w:val="257"/>
        </w:numPr>
        <w:tabs>
          <w:tab w:pos="995" w:val="left" w:leader="none"/>
        </w:tabs>
        <w:spacing w:line="480" w:lineRule="auto" w:before="270" w:after="0"/>
        <w:ind w:left="160" w:right="162" w:firstLine="0"/>
        <w:jc w:val="both"/>
        <w:rPr>
          <w:rFonts w:ascii="Courier New" w:hAnsi="Courier New"/>
          <w:sz w:val="28"/>
        </w:rPr>
      </w:pPr>
      <w:r>
        <w:rPr>
          <w:rFonts w:ascii="Courier New" w:hAnsi="Courier New"/>
          <w:sz w:val="28"/>
        </w:rPr>
        <w:t>He further states that “as Mecca is important</w:t>
      </w:r>
      <w:r>
        <w:rPr>
          <w:rFonts w:ascii="Courier New" w:hAnsi="Courier New"/>
          <w:spacing w:val="-63"/>
          <w:sz w:val="28"/>
        </w:rPr>
        <w:t> </w:t>
      </w:r>
      <w:r>
        <w:rPr>
          <w:rFonts w:ascii="Courier New" w:hAnsi="Courier New"/>
          <w:sz w:val="28"/>
        </w:rPr>
        <w:t>for Muslims so is Ayodhya for Hindus due to Lord</w:t>
      </w:r>
      <w:r>
        <w:rPr>
          <w:rFonts w:ascii="Courier New" w:hAnsi="Courier New"/>
          <w:spacing w:val="-19"/>
          <w:sz w:val="28"/>
        </w:rPr>
        <w:t> </w:t>
      </w:r>
      <w:r>
        <w:rPr>
          <w:rFonts w:ascii="Courier New" w:hAnsi="Courier New"/>
          <w:sz w:val="28"/>
        </w:rPr>
        <w:t>Ram.”</w:t>
      </w:r>
    </w:p>
    <w:p>
      <w:pPr>
        <w:pStyle w:val="BodyText"/>
        <w:rPr>
          <w:rFonts w:ascii="Courier New"/>
          <w:sz w:val="32"/>
        </w:rPr>
      </w:pPr>
    </w:p>
    <w:p>
      <w:pPr>
        <w:pStyle w:val="ListParagraph"/>
        <w:numPr>
          <w:ilvl w:val="0"/>
          <w:numId w:val="257"/>
        </w:numPr>
        <w:tabs>
          <w:tab w:pos="1036" w:val="left" w:leader="none"/>
        </w:tabs>
        <w:spacing w:line="480" w:lineRule="auto" w:before="272" w:after="0"/>
        <w:ind w:left="160" w:right="159" w:firstLine="0"/>
        <w:jc w:val="both"/>
        <w:rPr>
          <w:rFonts w:ascii="Courier New"/>
          <w:sz w:val="28"/>
        </w:rPr>
      </w:pPr>
      <w:r>
        <w:rPr>
          <w:rFonts w:ascii="Courier New"/>
          <w:sz w:val="28"/>
        </w:rPr>
        <w:t>PW-2 Haji Mehboob Ahmed aged 58 years, resident of Tedhi Bazar, Ayodhya, states in his cross- examination:-</w:t>
      </w:r>
    </w:p>
    <w:p>
      <w:pPr>
        <w:spacing w:line="240" w:lineRule="auto" w:before="0"/>
        <w:ind w:left="1011" w:right="1245" w:firstLine="0"/>
        <w:jc w:val="both"/>
        <w:rPr>
          <w:rFonts w:ascii="Courier New" w:hAnsi="Courier New"/>
          <w:sz w:val="28"/>
        </w:rPr>
      </w:pPr>
      <w:r>
        <w:rPr>
          <w:rFonts w:ascii="Courier New" w:hAnsi="Courier New"/>
          <w:sz w:val="28"/>
        </w:rPr>
        <w:t>“...The grilled wall adjoined the wall of the</w:t>
      </w:r>
      <w:r>
        <w:rPr>
          <w:rFonts w:ascii="Courier New" w:hAnsi="Courier New"/>
          <w:spacing w:val="-37"/>
          <w:sz w:val="28"/>
        </w:rPr>
        <w:t> </w:t>
      </w:r>
      <w:r>
        <w:rPr>
          <w:rFonts w:ascii="Courier New" w:hAnsi="Courier New"/>
          <w:sz w:val="28"/>
        </w:rPr>
        <w:t>mosque</w:t>
      </w:r>
      <w:r>
        <w:rPr>
          <w:rFonts w:ascii="Courier New" w:hAnsi="Courier New"/>
          <w:spacing w:val="-36"/>
          <w:sz w:val="28"/>
        </w:rPr>
        <w:t> </w:t>
      </w:r>
      <w:r>
        <w:rPr>
          <w:rFonts w:ascii="Courier New" w:hAnsi="Courier New"/>
          <w:sz w:val="28"/>
        </w:rPr>
        <w:t>to</w:t>
      </w:r>
      <w:r>
        <w:rPr>
          <w:rFonts w:ascii="Courier New" w:hAnsi="Courier New"/>
          <w:spacing w:val="-36"/>
          <w:sz w:val="28"/>
        </w:rPr>
        <w:t> </w:t>
      </w:r>
      <w:r>
        <w:rPr>
          <w:rFonts w:ascii="Courier New" w:hAnsi="Courier New"/>
          <w:sz w:val="28"/>
        </w:rPr>
        <w:t>the</w:t>
      </w:r>
      <w:r>
        <w:rPr>
          <w:rFonts w:ascii="Courier New" w:hAnsi="Courier New"/>
          <w:spacing w:val="-36"/>
          <w:sz w:val="28"/>
        </w:rPr>
        <w:t> </w:t>
      </w:r>
      <w:r>
        <w:rPr>
          <w:rFonts w:ascii="Courier New" w:hAnsi="Courier New"/>
          <w:sz w:val="28"/>
        </w:rPr>
        <w:t>south.</w:t>
      </w:r>
      <w:r>
        <w:rPr>
          <w:rFonts w:ascii="Courier New" w:hAnsi="Courier New"/>
          <w:spacing w:val="-36"/>
          <w:sz w:val="28"/>
        </w:rPr>
        <w:t> </w:t>
      </w:r>
      <w:r>
        <w:rPr>
          <w:rFonts w:ascii="Courier New" w:hAnsi="Courier New"/>
          <w:sz w:val="28"/>
        </w:rPr>
        <w:t>We</w:t>
      </w:r>
      <w:r>
        <w:rPr>
          <w:rFonts w:ascii="Courier New" w:hAnsi="Courier New"/>
          <w:spacing w:val="-36"/>
          <w:sz w:val="28"/>
        </w:rPr>
        <w:t> </w:t>
      </w:r>
      <w:r>
        <w:rPr>
          <w:rFonts w:ascii="Courier New" w:hAnsi="Courier New"/>
          <w:sz w:val="28"/>
        </w:rPr>
        <w:t>call</w:t>
      </w:r>
      <w:r>
        <w:rPr>
          <w:rFonts w:ascii="Courier New" w:hAnsi="Courier New"/>
          <w:spacing w:val="-36"/>
          <w:sz w:val="28"/>
        </w:rPr>
        <w:t> </w:t>
      </w:r>
      <w:r>
        <w:rPr>
          <w:rFonts w:ascii="Courier New" w:hAnsi="Courier New"/>
          <w:sz w:val="28"/>
        </w:rPr>
        <w:t>it</w:t>
      </w:r>
      <w:r>
        <w:rPr>
          <w:rFonts w:ascii="Courier New" w:hAnsi="Courier New"/>
          <w:spacing w:val="-36"/>
          <w:sz w:val="28"/>
        </w:rPr>
        <w:t> </w:t>
      </w:r>
      <w:r>
        <w:rPr>
          <w:rFonts w:ascii="Courier New" w:hAnsi="Courier New"/>
          <w:sz w:val="28"/>
        </w:rPr>
        <w:t>a</w:t>
      </w:r>
      <w:r>
        <w:rPr>
          <w:rFonts w:ascii="Courier New" w:hAnsi="Courier New"/>
          <w:spacing w:val="-36"/>
          <w:sz w:val="28"/>
        </w:rPr>
        <w:t> </w:t>
      </w:r>
      <w:r>
        <w:rPr>
          <w:rFonts w:ascii="Courier New" w:hAnsi="Courier New"/>
          <w:sz w:val="28"/>
        </w:rPr>
        <w:t>Masjid and the other party calls it a Mandir. The height</w:t>
      </w:r>
      <w:r>
        <w:rPr>
          <w:rFonts w:ascii="Courier New" w:hAnsi="Courier New"/>
          <w:spacing w:val="-22"/>
          <w:sz w:val="28"/>
        </w:rPr>
        <w:t> </w:t>
      </w:r>
      <w:r>
        <w:rPr>
          <w:rFonts w:ascii="Courier New" w:hAnsi="Courier New"/>
          <w:sz w:val="28"/>
        </w:rPr>
        <w:t>of</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entire</w:t>
      </w:r>
      <w:r>
        <w:rPr>
          <w:rFonts w:ascii="Courier New" w:hAnsi="Courier New"/>
          <w:spacing w:val="-22"/>
          <w:sz w:val="28"/>
        </w:rPr>
        <w:t> </w:t>
      </w:r>
      <w:r>
        <w:rPr>
          <w:rFonts w:ascii="Courier New" w:hAnsi="Courier New"/>
          <w:sz w:val="28"/>
        </w:rPr>
        <w:t>boundary</w:t>
      </w:r>
      <w:r>
        <w:rPr>
          <w:rFonts w:ascii="Courier New" w:hAnsi="Courier New"/>
          <w:spacing w:val="-21"/>
          <w:sz w:val="28"/>
        </w:rPr>
        <w:t> </w:t>
      </w:r>
      <w:r>
        <w:rPr>
          <w:rFonts w:ascii="Courier New" w:hAnsi="Courier New"/>
          <w:sz w:val="28"/>
        </w:rPr>
        <w:t>was</w:t>
      </w:r>
      <w:r>
        <w:rPr>
          <w:rFonts w:ascii="Courier New" w:hAnsi="Courier New"/>
          <w:spacing w:val="-22"/>
          <w:sz w:val="28"/>
        </w:rPr>
        <w:t> </w:t>
      </w:r>
      <w:r>
        <w:rPr>
          <w:rFonts w:ascii="Courier New" w:hAnsi="Courier New"/>
          <w:sz w:val="28"/>
        </w:rPr>
        <w:t>the</w:t>
      </w:r>
      <w:r>
        <w:rPr>
          <w:rFonts w:ascii="Courier New" w:hAnsi="Courier New"/>
          <w:spacing w:val="-22"/>
          <w:sz w:val="28"/>
        </w:rPr>
        <w:t> </w:t>
      </w:r>
      <w:r>
        <w:rPr>
          <w:rFonts w:ascii="Courier New" w:hAnsi="Courier New"/>
          <w:sz w:val="28"/>
        </w:rPr>
        <w:t>same. This was a fully constructed building to the</w:t>
      </w:r>
      <w:r>
        <w:rPr>
          <w:rFonts w:ascii="Courier New" w:hAnsi="Courier New"/>
          <w:spacing w:val="-42"/>
          <w:sz w:val="28"/>
        </w:rPr>
        <w:t> </w:t>
      </w:r>
      <w:r>
        <w:rPr>
          <w:rFonts w:ascii="Courier New" w:hAnsi="Courier New"/>
          <w:sz w:val="28"/>
        </w:rPr>
        <w:t>west</w:t>
      </w:r>
      <w:r>
        <w:rPr>
          <w:rFonts w:ascii="Courier New" w:hAnsi="Courier New"/>
          <w:spacing w:val="-40"/>
          <w:sz w:val="28"/>
        </w:rPr>
        <w:t> </w:t>
      </w:r>
      <w:r>
        <w:rPr>
          <w:rFonts w:ascii="Courier New" w:hAnsi="Courier New"/>
          <w:sz w:val="28"/>
        </w:rPr>
        <w:t>of</w:t>
      </w:r>
      <w:r>
        <w:rPr>
          <w:rFonts w:ascii="Courier New" w:hAnsi="Courier New"/>
          <w:spacing w:val="-41"/>
          <w:sz w:val="28"/>
        </w:rPr>
        <w:t> </w:t>
      </w:r>
      <w:r>
        <w:rPr>
          <w:rFonts w:ascii="Courier New" w:hAnsi="Courier New"/>
          <w:sz w:val="28"/>
        </w:rPr>
        <w:t>the</w:t>
      </w:r>
      <w:r>
        <w:rPr>
          <w:rFonts w:ascii="Courier New" w:hAnsi="Courier New"/>
          <w:spacing w:val="-38"/>
          <w:sz w:val="28"/>
        </w:rPr>
        <w:t> </w:t>
      </w:r>
      <w:r>
        <w:rPr>
          <w:rFonts w:ascii="Courier New" w:hAnsi="Courier New"/>
          <w:sz w:val="28"/>
        </w:rPr>
        <w:t>courtyard.</w:t>
      </w:r>
      <w:r>
        <w:rPr>
          <w:rFonts w:ascii="Courier New" w:hAnsi="Courier New"/>
          <w:spacing w:val="-40"/>
          <w:sz w:val="28"/>
        </w:rPr>
        <w:t> </w:t>
      </w:r>
      <w:r>
        <w:rPr>
          <w:rFonts w:ascii="Courier New" w:hAnsi="Courier New"/>
          <w:sz w:val="28"/>
        </w:rPr>
        <w:t>This</w:t>
      </w:r>
      <w:r>
        <w:rPr>
          <w:rFonts w:ascii="Courier New" w:hAnsi="Courier New"/>
          <w:spacing w:val="-42"/>
          <w:sz w:val="28"/>
        </w:rPr>
        <w:t> </w:t>
      </w:r>
      <w:r>
        <w:rPr>
          <w:rFonts w:ascii="Courier New" w:hAnsi="Courier New"/>
          <w:sz w:val="28"/>
        </w:rPr>
        <w:t>was</w:t>
      </w:r>
      <w:r>
        <w:rPr>
          <w:rFonts w:ascii="Courier New" w:hAnsi="Courier New"/>
          <w:spacing w:val="-41"/>
          <w:sz w:val="28"/>
        </w:rPr>
        <w:t> </w:t>
      </w:r>
      <w:r>
        <w:rPr>
          <w:rFonts w:ascii="Courier New" w:hAnsi="Courier New"/>
          <w:sz w:val="28"/>
        </w:rPr>
        <w:t>a</w:t>
      </w:r>
      <w:r>
        <w:rPr>
          <w:rFonts w:ascii="Courier New" w:hAnsi="Courier New"/>
          <w:spacing w:val="-41"/>
          <w:sz w:val="28"/>
        </w:rPr>
        <w:t> </w:t>
      </w:r>
      <w:r>
        <w:rPr>
          <w:rFonts w:ascii="Courier New" w:hAnsi="Courier New"/>
          <w:sz w:val="28"/>
        </w:rPr>
        <w:t>mosque to which others called a Mandir.</w:t>
      </w:r>
      <w:r>
        <w:rPr>
          <w:rFonts w:ascii="Courier New" w:hAnsi="Courier New"/>
          <w:spacing w:val="157"/>
          <w:sz w:val="28"/>
        </w:rPr>
        <w:t> </w:t>
      </w:r>
      <w:r>
        <w:rPr>
          <w:rFonts w:ascii="Courier New" w:hAnsi="Courier New"/>
          <w:sz w:val="28"/>
        </w:rPr>
        <w:t>”</w:t>
      </w:r>
    </w:p>
    <w:p>
      <w:pPr>
        <w:pStyle w:val="BodyText"/>
        <w:rPr>
          <w:rFonts w:ascii="Courier New"/>
          <w:sz w:val="32"/>
        </w:rPr>
      </w:pPr>
    </w:p>
    <w:p>
      <w:pPr>
        <w:pStyle w:val="ListParagraph"/>
        <w:numPr>
          <w:ilvl w:val="0"/>
          <w:numId w:val="257"/>
        </w:numPr>
        <w:tabs>
          <w:tab w:pos="1204" w:val="left" w:leader="none"/>
        </w:tabs>
        <w:spacing w:line="482" w:lineRule="auto" w:before="270" w:after="0"/>
        <w:ind w:left="160" w:right="156" w:firstLine="0"/>
        <w:jc w:val="both"/>
        <w:rPr>
          <w:rFonts w:ascii="Courier New"/>
          <w:sz w:val="28"/>
        </w:rPr>
      </w:pPr>
      <w:r>
        <w:rPr>
          <w:rFonts w:ascii="Courier New"/>
          <w:sz w:val="28"/>
        </w:rPr>
        <w:t>Mohd. Yaseen PW-4, aged 66 years (as on 07.10.1996) also states following:</w:t>
      </w:r>
      <w:r>
        <w:rPr>
          <w:rFonts w:ascii="Courier New"/>
          <w:spacing w:val="-7"/>
          <w:sz w:val="28"/>
        </w:rPr>
        <w:t> </w:t>
      </w:r>
      <w:r>
        <w:rPr>
          <w:rFonts w:ascii="Courier New"/>
          <w:sz w:val="28"/>
        </w:rPr>
        <w:t>-</w:t>
      </w:r>
    </w:p>
    <w:p>
      <w:pPr>
        <w:spacing w:after="0" w:line="482" w:lineRule="auto"/>
        <w:jc w:val="both"/>
        <w:rPr>
          <w:rFonts w:ascii="Courier New"/>
          <w:sz w:val="28"/>
        </w:rPr>
        <w:sectPr>
          <w:headerReference w:type="default" r:id="rId434"/>
          <w:footerReference w:type="default" r:id="rId435"/>
          <w:pgSz w:w="11910" w:h="16840"/>
          <w:pgMar w:header="0" w:footer="1063" w:top="1340" w:bottom="1260" w:left="1280" w:right="1280"/>
          <w:pgNumType w:start="112"/>
        </w:sectPr>
      </w:pPr>
    </w:p>
    <w:p>
      <w:pPr>
        <w:spacing w:line="240" w:lineRule="auto" w:before="86"/>
        <w:ind w:left="1011" w:right="1245" w:firstLine="0"/>
        <w:jc w:val="both"/>
        <w:rPr>
          <w:rFonts w:ascii="Courier New" w:hAnsi="Courier New"/>
          <w:sz w:val="28"/>
        </w:rPr>
      </w:pPr>
      <w:r>
        <w:rPr>
          <w:rFonts w:ascii="Courier New" w:hAnsi="Courier New"/>
          <w:sz w:val="28"/>
        </w:rPr>
        <w:t>“...I</w:t>
      </w:r>
      <w:r>
        <w:rPr>
          <w:rFonts w:ascii="Courier New" w:hAnsi="Courier New"/>
          <w:spacing w:val="-20"/>
          <w:sz w:val="28"/>
        </w:rPr>
        <w:t> </w:t>
      </w:r>
      <w:r>
        <w:rPr>
          <w:rFonts w:ascii="Courier New" w:hAnsi="Courier New"/>
          <w:sz w:val="28"/>
        </w:rPr>
        <w:t>live</w:t>
      </w:r>
      <w:r>
        <w:rPr>
          <w:rFonts w:ascii="Courier New" w:hAnsi="Courier New"/>
          <w:spacing w:val="-19"/>
          <w:sz w:val="28"/>
        </w:rPr>
        <w:t> </w:t>
      </w:r>
      <w:r>
        <w:rPr>
          <w:rFonts w:ascii="Courier New" w:hAnsi="Courier New"/>
          <w:sz w:val="28"/>
        </w:rPr>
        <w:t>in</w:t>
      </w:r>
      <w:r>
        <w:rPr>
          <w:rFonts w:ascii="Courier New" w:hAnsi="Courier New"/>
          <w:spacing w:val="-20"/>
          <w:sz w:val="28"/>
        </w:rPr>
        <w:t> </w:t>
      </w:r>
      <w:r>
        <w:rPr>
          <w:rFonts w:ascii="Courier New" w:hAnsi="Courier New"/>
          <w:sz w:val="28"/>
        </w:rPr>
        <w:t>Ayodhya,</w:t>
      </w:r>
      <w:r>
        <w:rPr>
          <w:rFonts w:ascii="Courier New" w:hAnsi="Courier New"/>
          <w:spacing w:val="-19"/>
          <w:sz w:val="28"/>
        </w:rPr>
        <w:t> </w:t>
      </w:r>
      <w:r>
        <w:rPr>
          <w:rFonts w:ascii="Courier New" w:hAnsi="Courier New"/>
          <w:sz w:val="28"/>
        </w:rPr>
        <w:t>so</w:t>
      </w:r>
      <w:r>
        <w:rPr>
          <w:rFonts w:ascii="Courier New" w:hAnsi="Courier New"/>
          <w:spacing w:val="-19"/>
          <w:sz w:val="28"/>
        </w:rPr>
        <w:t> </w:t>
      </w:r>
      <w:r>
        <w:rPr>
          <w:rFonts w:ascii="Courier New" w:hAnsi="Courier New"/>
          <w:sz w:val="28"/>
        </w:rPr>
        <w:t>I</w:t>
      </w:r>
      <w:r>
        <w:rPr>
          <w:rFonts w:ascii="Courier New" w:hAnsi="Courier New"/>
          <w:spacing w:val="-20"/>
          <w:sz w:val="28"/>
        </w:rPr>
        <w:t> </w:t>
      </w:r>
      <w:r>
        <w:rPr>
          <w:rFonts w:ascii="Courier New" w:hAnsi="Courier New"/>
          <w:sz w:val="28"/>
        </w:rPr>
        <w:t>often</w:t>
      </w:r>
      <w:r>
        <w:rPr>
          <w:rFonts w:ascii="Courier New" w:hAnsi="Courier New"/>
          <w:spacing w:val="-19"/>
          <w:sz w:val="28"/>
        </w:rPr>
        <w:t> </w:t>
      </w:r>
      <w:r>
        <w:rPr>
          <w:rFonts w:ascii="Courier New" w:hAnsi="Courier New"/>
          <w:sz w:val="28"/>
        </w:rPr>
        <w:t>meet</w:t>
      </w:r>
      <w:r>
        <w:rPr>
          <w:rFonts w:ascii="Courier New" w:hAnsi="Courier New"/>
          <w:spacing w:val="-19"/>
          <w:sz w:val="28"/>
        </w:rPr>
        <w:t> </w:t>
      </w:r>
      <w:r>
        <w:rPr>
          <w:rFonts w:ascii="Courier New" w:hAnsi="Courier New"/>
          <w:sz w:val="28"/>
        </w:rPr>
        <w:t>some Hindus and Priests also. We also meet them in marriage ceremonies. They believe that this</w:t>
      </w:r>
      <w:r>
        <w:rPr>
          <w:rFonts w:ascii="Courier New" w:hAnsi="Courier New"/>
          <w:spacing w:val="-20"/>
          <w:sz w:val="28"/>
        </w:rPr>
        <w:t> </w:t>
      </w:r>
      <w:r>
        <w:rPr>
          <w:rFonts w:ascii="Courier New" w:hAnsi="Courier New"/>
          <w:sz w:val="28"/>
        </w:rPr>
        <w:t>is</w:t>
      </w:r>
      <w:r>
        <w:rPr>
          <w:rFonts w:ascii="Courier New" w:hAnsi="Courier New"/>
          <w:spacing w:val="-19"/>
          <w:sz w:val="28"/>
        </w:rPr>
        <w:t> </w:t>
      </w:r>
      <w:r>
        <w:rPr>
          <w:rFonts w:ascii="Courier New" w:hAnsi="Courier New"/>
          <w:sz w:val="28"/>
        </w:rPr>
        <w:t>the</w:t>
      </w:r>
      <w:r>
        <w:rPr>
          <w:rFonts w:ascii="Courier New" w:hAnsi="Courier New"/>
          <w:spacing w:val="-20"/>
          <w:sz w:val="28"/>
        </w:rPr>
        <w:t> </w:t>
      </w:r>
      <w:r>
        <w:rPr>
          <w:rFonts w:ascii="Courier New" w:hAnsi="Courier New"/>
          <w:sz w:val="28"/>
        </w:rPr>
        <w:t>birth</w:t>
      </w:r>
      <w:r>
        <w:rPr>
          <w:rFonts w:ascii="Courier New" w:hAnsi="Courier New"/>
          <w:spacing w:val="-19"/>
          <w:sz w:val="28"/>
        </w:rPr>
        <w:t> </w:t>
      </w:r>
      <w:r>
        <w:rPr>
          <w:rFonts w:ascii="Courier New" w:hAnsi="Courier New"/>
          <w:sz w:val="28"/>
        </w:rPr>
        <w:t>place</w:t>
      </w:r>
      <w:r>
        <w:rPr>
          <w:rFonts w:ascii="Courier New" w:hAnsi="Courier New"/>
          <w:spacing w:val="-19"/>
          <w:sz w:val="28"/>
        </w:rPr>
        <w:t> </w:t>
      </w:r>
      <w:r>
        <w:rPr>
          <w:rFonts w:ascii="Courier New" w:hAnsi="Courier New"/>
          <w:sz w:val="28"/>
        </w:rPr>
        <w:t>of</w:t>
      </w:r>
      <w:r>
        <w:rPr>
          <w:rFonts w:ascii="Courier New" w:hAnsi="Courier New"/>
          <w:spacing w:val="-20"/>
          <w:sz w:val="28"/>
        </w:rPr>
        <w:t> </w:t>
      </w:r>
      <w:r>
        <w:rPr>
          <w:rFonts w:ascii="Courier New" w:hAnsi="Courier New"/>
          <w:sz w:val="28"/>
        </w:rPr>
        <w:t>Lord</w:t>
      </w:r>
      <w:r>
        <w:rPr>
          <w:rFonts w:ascii="Courier New" w:hAnsi="Courier New"/>
          <w:spacing w:val="-19"/>
          <w:sz w:val="28"/>
        </w:rPr>
        <w:t> </w:t>
      </w:r>
      <w:r>
        <w:rPr>
          <w:rFonts w:ascii="Courier New" w:hAnsi="Courier New"/>
          <w:sz w:val="28"/>
        </w:rPr>
        <w:t>Rama.</w:t>
      </w:r>
      <w:r>
        <w:rPr>
          <w:rFonts w:ascii="Courier New" w:hAnsi="Courier New"/>
          <w:spacing w:val="-19"/>
          <w:sz w:val="28"/>
        </w:rPr>
        <w:t> </w:t>
      </w:r>
      <w:r>
        <w:rPr>
          <w:rFonts w:ascii="Courier New" w:hAnsi="Courier New"/>
          <w:sz w:val="28"/>
        </w:rPr>
        <w:t>(Then said they have their own faith). Hindus consider it a sacred place and worship here...”</w:t>
      </w:r>
    </w:p>
    <w:p>
      <w:pPr>
        <w:pStyle w:val="BodyText"/>
        <w:rPr>
          <w:rFonts w:ascii="Courier New"/>
          <w:sz w:val="32"/>
        </w:rPr>
      </w:pPr>
    </w:p>
    <w:p>
      <w:pPr>
        <w:pStyle w:val="ListParagraph"/>
        <w:numPr>
          <w:ilvl w:val="0"/>
          <w:numId w:val="257"/>
        </w:numPr>
        <w:tabs>
          <w:tab w:pos="1015" w:val="left" w:leader="none"/>
        </w:tabs>
        <w:spacing w:line="480" w:lineRule="auto" w:before="270" w:after="0"/>
        <w:ind w:left="160" w:right="157" w:firstLine="0"/>
        <w:jc w:val="both"/>
        <w:rPr>
          <w:rFonts w:ascii="Courier New" w:hAnsi="Courier New"/>
          <w:sz w:val="28"/>
        </w:rPr>
      </w:pPr>
      <w:r>
        <w:rPr>
          <w:rFonts w:ascii="Courier New" w:hAnsi="Courier New"/>
          <w:sz w:val="28"/>
        </w:rPr>
        <w:t>PW-23, Mohd. Qasim, aged 74 years, admits in his cross-examination that what he call ‘Babri Masjid’ is called ‘Janamsthan by Hindus’. He states : “after</w:t>
      </w:r>
      <w:r>
        <w:rPr>
          <w:rFonts w:ascii="Courier New" w:hAnsi="Courier New"/>
          <w:spacing w:val="-67"/>
          <w:sz w:val="28"/>
        </w:rPr>
        <w:t> </w:t>
      </w:r>
      <w:r>
        <w:rPr>
          <w:rFonts w:ascii="Courier New" w:hAnsi="Courier New"/>
          <w:sz w:val="28"/>
        </w:rPr>
        <w:t>that there is Babri Masjid on its one side. It is true</w:t>
      </w:r>
      <w:r>
        <w:rPr>
          <w:rFonts w:ascii="Courier New" w:hAnsi="Courier New"/>
          <w:spacing w:val="-69"/>
          <w:sz w:val="28"/>
        </w:rPr>
        <w:t> </w:t>
      </w:r>
      <w:r>
        <w:rPr>
          <w:rFonts w:ascii="Courier New" w:hAnsi="Courier New"/>
          <w:sz w:val="28"/>
        </w:rPr>
        <w:t>that the place I call ‘Babri Masjid’ is called</w:t>
      </w:r>
      <w:r>
        <w:rPr>
          <w:rFonts w:ascii="Courier New" w:hAnsi="Courier New"/>
          <w:spacing w:val="-69"/>
          <w:sz w:val="28"/>
        </w:rPr>
        <w:t> </w:t>
      </w:r>
      <w:r>
        <w:rPr>
          <w:rFonts w:ascii="Courier New" w:hAnsi="Courier New"/>
          <w:sz w:val="28"/>
        </w:rPr>
        <w:t>‘Janamsthan’ by</w:t>
      </w:r>
      <w:r>
        <w:rPr>
          <w:rFonts w:ascii="Courier New" w:hAnsi="Courier New"/>
          <w:spacing w:val="-2"/>
          <w:sz w:val="28"/>
        </w:rPr>
        <w:t> </w:t>
      </w:r>
      <w:r>
        <w:rPr>
          <w:rFonts w:ascii="Courier New" w:hAnsi="Courier New"/>
          <w:sz w:val="28"/>
        </w:rPr>
        <w:t>Hindus.”</w:t>
      </w:r>
    </w:p>
    <w:p>
      <w:pPr>
        <w:pStyle w:val="BodyText"/>
        <w:rPr>
          <w:rFonts w:ascii="Courier New"/>
          <w:sz w:val="32"/>
        </w:rPr>
      </w:pPr>
    </w:p>
    <w:p>
      <w:pPr>
        <w:pStyle w:val="ListParagraph"/>
        <w:numPr>
          <w:ilvl w:val="0"/>
          <w:numId w:val="257"/>
        </w:numPr>
        <w:tabs>
          <w:tab w:pos="1163" w:val="left" w:leader="none"/>
        </w:tabs>
        <w:spacing w:line="480" w:lineRule="auto" w:before="273" w:after="0"/>
        <w:ind w:left="160" w:right="158" w:firstLine="0"/>
        <w:jc w:val="both"/>
        <w:rPr>
          <w:rFonts w:ascii="Courier New"/>
          <w:sz w:val="28"/>
        </w:rPr>
      </w:pPr>
      <w:r>
        <w:rPr>
          <w:rFonts w:ascii="Courier New"/>
          <w:sz w:val="28"/>
        </w:rPr>
        <w:t>The oral evidence as noticed above of the witnesses examined on behalf of plaintiffs of Suit No.5,</w:t>
      </w:r>
      <w:r>
        <w:rPr>
          <w:rFonts w:ascii="Courier New"/>
          <w:spacing w:val="-31"/>
          <w:sz w:val="28"/>
        </w:rPr>
        <w:t> </w:t>
      </w:r>
      <w:r>
        <w:rPr>
          <w:rFonts w:ascii="Courier New"/>
          <w:sz w:val="28"/>
        </w:rPr>
        <w:t>plaintiffs</w:t>
      </w:r>
      <w:r>
        <w:rPr>
          <w:rFonts w:ascii="Courier New"/>
          <w:spacing w:val="-30"/>
          <w:sz w:val="28"/>
        </w:rPr>
        <w:t> </w:t>
      </w:r>
      <w:r>
        <w:rPr>
          <w:rFonts w:ascii="Courier New"/>
          <w:sz w:val="28"/>
        </w:rPr>
        <w:t>of</w:t>
      </w:r>
      <w:r>
        <w:rPr>
          <w:rFonts w:ascii="Courier New"/>
          <w:spacing w:val="-30"/>
          <w:sz w:val="28"/>
        </w:rPr>
        <w:t> </w:t>
      </w:r>
      <w:r>
        <w:rPr>
          <w:rFonts w:ascii="Courier New"/>
          <w:sz w:val="28"/>
        </w:rPr>
        <w:t>Suit</w:t>
      </w:r>
      <w:r>
        <w:rPr>
          <w:rFonts w:ascii="Courier New"/>
          <w:spacing w:val="-30"/>
          <w:sz w:val="28"/>
        </w:rPr>
        <w:t> </w:t>
      </w:r>
      <w:r>
        <w:rPr>
          <w:rFonts w:ascii="Courier New"/>
          <w:sz w:val="28"/>
        </w:rPr>
        <w:t>No.3</w:t>
      </w:r>
      <w:r>
        <w:rPr>
          <w:rFonts w:ascii="Courier New"/>
          <w:spacing w:val="-30"/>
          <w:sz w:val="28"/>
        </w:rPr>
        <w:t> </w:t>
      </w:r>
      <w:r>
        <w:rPr>
          <w:rFonts w:ascii="Courier New"/>
          <w:sz w:val="28"/>
        </w:rPr>
        <w:t>and</w:t>
      </w:r>
      <w:r>
        <w:rPr>
          <w:rFonts w:ascii="Courier New"/>
          <w:spacing w:val="-30"/>
          <w:sz w:val="28"/>
        </w:rPr>
        <w:t> </w:t>
      </w:r>
      <w:r>
        <w:rPr>
          <w:rFonts w:ascii="Courier New"/>
          <w:sz w:val="28"/>
        </w:rPr>
        <w:t>even</w:t>
      </w:r>
      <w:r>
        <w:rPr>
          <w:rFonts w:ascii="Courier New"/>
          <w:spacing w:val="-31"/>
          <w:sz w:val="28"/>
        </w:rPr>
        <w:t> </w:t>
      </w:r>
      <w:r>
        <w:rPr>
          <w:rFonts w:ascii="Courier New"/>
          <w:sz w:val="28"/>
        </w:rPr>
        <w:t>witness</w:t>
      </w:r>
      <w:r>
        <w:rPr>
          <w:rFonts w:ascii="Courier New"/>
          <w:spacing w:val="-30"/>
          <w:sz w:val="28"/>
        </w:rPr>
        <w:t> </w:t>
      </w:r>
      <w:r>
        <w:rPr>
          <w:rFonts w:ascii="Courier New"/>
          <w:sz w:val="28"/>
        </w:rPr>
        <w:t>examined on behalf of plaintiffs of Suit No.4 clearly proves faith and belief of Hindus that Janmasthan of Lord</w:t>
      </w:r>
      <w:r>
        <w:rPr>
          <w:rFonts w:ascii="Courier New"/>
          <w:spacing w:val="-70"/>
          <w:sz w:val="28"/>
        </w:rPr>
        <w:t> </w:t>
      </w:r>
      <w:r>
        <w:rPr>
          <w:rFonts w:ascii="Courier New"/>
          <w:sz w:val="28"/>
        </w:rPr>
        <w:t>Ram is the place where Babri Mosque has been constructed. Three-dome structure was treated as Birthplace of</w:t>
      </w:r>
      <w:r>
        <w:rPr>
          <w:rFonts w:ascii="Courier New"/>
          <w:spacing w:val="-68"/>
          <w:sz w:val="28"/>
        </w:rPr>
        <w:t> </w:t>
      </w:r>
      <w:r>
        <w:rPr>
          <w:rFonts w:ascii="Courier New"/>
          <w:sz w:val="28"/>
        </w:rPr>
        <w:t>Lord Ram. People worship of the three-dome structure, parikrama of the entire premises by the devotees have been amply proved by oral evidences led in the</w:t>
      </w:r>
      <w:r>
        <w:rPr>
          <w:rFonts w:ascii="Courier New"/>
          <w:spacing w:val="-22"/>
          <w:sz w:val="28"/>
        </w:rPr>
        <w:t> </w:t>
      </w:r>
      <w:r>
        <w:rPr>
          <w:rFonts w:ascii="Courier New"/>
          <w:sz w:val="28"/>
        </w:rPr>
        <w:t>Suit.</w:t>
      </w:r>
    </w:p>
    <w:p>
      <w:pPr>
        <w:spacing w:after="0" w:line="480" w:lineRule="auto"/>
        <w:jc w:val="both"/>
        <w:rPr>
          <w:rFonts w:ascii="Courier New"/>
          <w:sz w:val="28"/>
        </w:rPr>
        <w:sectPr>
          <w:headerReference w:type="default" r:id="rId436"/>
          <w:footerReference w:type="default" r:id="rId437"/>
          <w:pgSz w:w="11910" w:h="16840"/>
          <w:pgMar w:header="0" w:footer="1063" w:top="1340" w:bottom="1260" w:left="1280" w:right="1280"/>
          <w:pgNumType w:start="113"/>
        </w:sectPr>
      </w:pPr>
    </w:p>
    <w:p>
      <w:pPr>
        <w:pStyle w:val="BodyText"/>
        <w:rPr>
          <w:rFonts w:ascii="Courier New"/>
          <w:sz w:val="20"/>
        </w:rPr>
      </w:pPr>
    </w:p>
    <w:p>
      <w:pPr>
        <w:pStyle w:val="ListParagraph"/>
        <w:numPr>
          <w:ilvl w:val="0"/>
          <w:numId w:val="257"/>
        </w:numPr>
        <w:tabs>
          <w:tab w:pos="995" w:val="left" w:leader="none"/>
        </w:tabs>
        <w:spacing w:line="480" w:lineRule="auto" w:before="253" w:after="0"/>
        <w:ind w:left="160" w:right="158" w:firstLine="0"/>
        <w:jc w:val="both"/>
        <w:rPr>
          <w:rFonts w:ascii="Courier New"/>
          <w:sz w:val="28"/>
        </w:rPr>
      </w:pPr>
      <w:r>
        <w:rPr>
          <w:rFonts w:ascii="Courier New"/>
          <w:sz w:val="28"/>
        </w:rPr>
        <w:t>The statements noted in all Gazetteers as</w:t>
      </w:r>
      <w:r>
        <w:rPr>
          <w:rFonts w:ascii="Courier New"/>
          <w:spacing w:val="-59"/>
          <w:sz w:val="28"/>
        </w:rPr>
        <w:t> </w:t>
      </w:r>
      <w:r>
        <w:rPr>
          <w:rFonts w:ascii="Courier New"/>
          <w:sz w:val="28"/>
        </w:rPr>
        <w:t>noticed above published under authority of government categorically and unanimously state that at</w:t>
      </w:r>
      <w:r>
        <w:rPr>
          <w:rFonts w:ascii="Courier New"/>
          <w:spacing w:val="-68"/>
          <w:sz w:val="28"/>
        </w:rPr>
        <w:t> </w:t>
      </w:r>
      <w:r>
        <w:rPr>
          <w:rFonts w:ascii="Courier New"/>
          <w:sz w:val="28"/>
        </w:rPr>
        <w:t>Janmasthan of Lord Ram, Babri Mosque was constructed in 1528 by Babar. It is true that statements recorded in Gazette is not conclusive evidence but presumption of correctness of statements recorded have to be raised subject to being disproved by leading appropriate evidences. All Gazettes published by the Government authority repeats the same statement that Babri</w:t>
      </w:r>
      <w:r>
        <w:rPr>
          <w:rFonts w:ascii="Courier New"/>
          <w:spacing w:val="-69"/>
          <w:sz w:val="28"/>
        </w:rPr>
        <w:t> </w:t>
      </w:r>
      <w:r>
        <w:rPr>
          <w:rFonts w:ascii="Courier New"/>
          <w:sz w:val="28"/>
        </w:rPr>
        <w:t>Mosque was constructed at the Janmasthan of Lord Ram. There is</w:t>
      </w:r>
      <w:r>
        <w:rPr>
          <w:rFonts w:ascii="Courier New"/>
          <w:spacing w:val="-25"/>
          <w:sz w:val="28"/>
        </w:rPr>
        <w:t> </w:t>
      </w:r>
      <w:r>
        <w:rPr>
          <w:rFonts w:ascii="Courier New"/>
          <w:sz w:val="28"/>
        </w:rPr>
        <w:t>no</w:t>
      </w:r>
      <w:r>
        <w:rPr>
          <w:rFonts w:ascii="Courier New"/>
          <w:spacing w:val="-24"/>
          <w:sz w:val="28"/>
        </w:rPr>
        <w:t> </w:t>
      </w:r>
      <w:r>
        <w:rPr>
          <w:rFonts w:ascii="Courier New"/>
          <w:sz w:val="28"/>
        </w:rPr>
        <w:t>evidence</w:t>
      </w:r>
      <w:r>
        <w:rPr>
          <w:rFonts w:ascii="Courier New"/>
          <w:spacing w:val="-21"/>
          <w:sz w:val="28"/>
        </w:rPr>
        <w:t> </w:t>
      </w:r>
      <w:r>
        <w:rPr>
          <w:rFonts w:ascii="Courier New"/>
          <w:sz w:val="28"/>
        </w:rPr>
        <w:t>worth</w:t>
      </w:r>
      <w:r>
        <w:rPr>
          <w:rFonts w:ascii="Courier New"/>
          <w:spacing w:val="-24"/>
          <w:sz w:val="28"/>
        </w:rPr>
        <w:t> </w:t>
      </w:r>
      <w:r>
        <w:rPr>
          <w:rFonts w:ascii="Courier New"/>
          <w:sz w:val="28"/>
        </w:rPr>
        <w:t>name</w:t>
      </w:r>
      <w:r>
        <w:rPr>
          <w:rFonts w:ascii="Courier New"/>
          <w:spacing w:val="-24"/>
          <w:sz w:val="28"/>
        </w:rPr>
        <w:t> </w:t>
      </w:r>
      <w:r>
        <w:rPr>
          <w:rFonts w:ascii="Courier New"/>
          <w:sz w:val="28"/>
        </w:rPr>
        <w:t>led</w:t>
      </w:r>
      <w:r>
        <w:rPr>
          <w:rFonts w:ascii="Courier New"/>
          <w:spacing w:val="-24"/>
          <w:sz w:val="28"/>
        </w:rPr>
        <w:t> </w:t>
      </w:r>
      <w:r>
        <w:rPr>
          <w:rFonts w:ascii="Courier New"/>
          <w:sz w:val="28"/>
        </w:rPr>
        <w:t>of</w:t>
      </w:r>
      <w:r>
        <w:rPr>
          <w:rFonts w:ascii="Courier New"/>
          <w:spacing w:val="-24"/>
          <w:sz w:val="28"/>
        </w:rPr>
        <w:t> </w:t>
      </w:r>
      <w:r>
        <w:rPr>
          <w:rFonts w:ascii="Courier New"/>
          <w:sz w:val="28"/>
        </w:rPr>
        <w:t>the</w:t>
      </w:r>
      <w:r>
        <w:rPr>
          <w:rFonts w:ascii="Courier New"/>
          <w:spacing w:val="-24"/>
          <w:sz w:val="28"/>
        </w:rPr>
        <w:t> </w:t>
      </w:r>
      <w:r>
        <w:rPr>
          <w:rFonts w:ascii="Courier New"/>
          <w:sz w:val="28"/>
        </w:rPr>
        <w:t>plaintiffs</w:t>
      </w:r>
      <w:r>
        <w:rPr>
          <w:rFonts w:ascii="Courier New"/>
          <w:spacing w:val="-24"/>
          <w:sz w:val="28"/>
        </w:rPr>
        <w:t> </w:t>
      </w:r>
      <w:r>
        <w:rPr>
          <w:rFonts w:ascii="Courier New"/>
          <w:sz w:val="28"/>
        </w:rPr>
        <w:t>of</w:t>
      </w:r>
      <w:r>
        <w:rPr>
          <w:rFonts w:ascii="Courier New"/>
          <w:spacing w:val="-24"/>
          <w:sz w:val="28"/>
        </w:rPr>
        <w:t> </w:t>
      </w:r>
      <w:r>
        <w:rPr>
          <w:rFonts w:ascii="Courier New"/>
          <w:sz w:val="28"/>
        </w:rPr>
        <w:t>Suit No.4 to disprove the above statement and further,</w:t>
      </w:r>
      <w:r>
        <w:rPr>
          <w:rFonts w:ascii="Courier New"/>
          <w:spacing w:val="-67"/>
          <w:sz w:val="28"/>
        </w:rPr>
        <w:t> </w:t>
      </w:r>
      <w:r>
        <w:rPr>
          <w:rFonts w:ascii="Courier New"/>
          <w:sz w:val="28"/>
        </w:rPr>
        <w:t>oral evidence as noticed above clearly supports the faith and belief of Hindus that Lord Ram was born at the place where Babri Mosque has been constructed. The conclusion</w:t>
      </w:r>
      <w:r>
        <w:rPr>
          <w:rFonts w:ascii="Courier New"/>
          <w:spacing w:val="-41"/>
          <w:sz w:val="28"/>
        </w:rPr>
        <w:t> </w:t>
      </w:r>
      <w:r>
        <w:rPr>
          <w:rFonts w:ascii="Courier New"/>
          <w:sz w:val="28"/>
        </w:rPr>
        <w:t>that</w:t>
      </w:r>
      <w:r>
        <w:rPr>
          <w:rFonts w:ascii="Courier New"/>
          <w:spacing w:val="-41"/>
          <w:sz w:val="28"/>
        </w:rPr>
        <w:t> </w:t>
      </w:r>
      <w:r>
        <w:rPr>
          <w:rFonts w:ascii="Courier New"/>
          <w:sz w:val="28"/>
        </w:rPr>
        <w:t>place</w:t>
      </w:r>
      <w:r>
        <w:rPr>
          <w:rFonts w:ascii="Courier New"/>
          <w:spacing w:val="-41"/>
          <w:sz w:val="28"/>
        </w:rPr>
        <w:t> </w:t>
      </w:r>
      <w:r>
        <w:rPr>
          <w:rFonts w:ascii="Courier New"/>
          <w:sz w:val="28"/>
        </w:rPr>
        <w:t>of</w:t>
      </w:r>
      <w:r>
        <w:rPr>
          <w:rFonts w:ascii="Courier New"/>
          <w:spacing w:val="-41"/>
          <w:sz w:val="28"/>
        </w:rPr>
        <w:t> </w:t>
      </w:r>
      <w:r>
        <w:rPr>
          <w:rFonts w:ascii="Courier New"/>
          <w:sz w:val="28"/>
        </w:rPr>
        <w:t>birth</w:t>
      </w:r>
      <w:r>
        <w:rPr>
          <w:rFonts w:ascii="Courier New"/>
          <w:spacing w:val="-41"/>
          <w:sz w:val="28"/>
        </w:rPr>
        <w:t> </w:t>
      </w:r>
      <w:r>
        <w:rPr>
          <w:rFonts w:ascii="Courier New"/>
          <w:sz w:val="28"/>
        </w:rPr>
        <w:t>of</w:t>
      </w:r>
      <w:r>
        <w:rPr>
          <w:rFonts w:ascii="Courier New"/>
          <w:spacing w:val="-41"/>
          <w:sz w:val="28"/>
        </w:rPr>
        <w:t> </w:t>
      </w:r>
      <w:r>
        <w:rPr>
          <w:rFonts w:ascii="Courier New"/>
          <w:sz w:val="28"/>
        </w:rPr>
        <w:t>Lord</w:t>
      </w:r>
      <w:r>
        <w:rPr>
          <w:rFonts w:ascii="Courier New"/>
          <w:spacing w:val="-41"/>
          <w:sz w:val="28"/>
        </w:rPr>
        <w:t> </w:t>
      </w:r>
      <w:r>
        <w:rPr>
          <w:rFonts w:ascii="Courier New"/>
          <w:sz w:val="28"/>
        </w:rPr>
        <w:t>Ram</w:t>
      </w:r>
      <w:r>
        <w:rPr>
          <w:rFonts w:ascii="Courier New"/>
          <w:spacing w:val="-41"/>
          <w:sz w:val="28"/>
        </w:rPr>
        <w:t> </w:t>
      </w:r>
      <w:r>
        <w:rPr>
          <w:rFonts w:ascii="Courier New"/>
          <w:sz w:val="28"/>
        </w:rPr>
        <w:t>is</w:t>
      </w:r>
      <w:r>
        <w:rPr>
          <w:rFonts w:ascii="Courier New"/>
          <w:spacing w:val="-41"/>
          <w:sz w:val="28"/>
        </w:rPr>
        <w:t> </w:t>
      </w:r>
      <w:r>
        <w:rPr>
          <w:rFonts w:ascii="Courier New"/>
          <w:sz w:val="28"/>
        </w:rPr>
        <w:t>the</w:t>
      </w:r>
      <w:r>
        <w:rPr>
          <w:rFonts w:ascii="Courier New"/>
          <w:spacing w:val="-41"/>
          <w:sz w:val="28"/>
        </w:rPr>
        <w:t> </w:t>
      </w:r>
      <w:r>
        <w:rPr>
          <w:rFonts w:ascii="Courier New"/>
          <w:sz w:val="28"/>
        </w:rPr>
        <w:t>three- dome structure can, therefore, be</w:t>
      </w:r>
      <w:r>
        <w:rPr>
          <w:rFonts w:ascii="Courier New"/>
          <w:spacing w:val="-10"/>
          <w:sz w:val="28"/>
        </w:rPr>
        <w:t> </w:t>
      </w:r>
      <w:r>
        <w:rPr>
          <w:rFonts w:ascii="Courier New"/>
          <w:sz w:val="28"/>
        </w:rPr>
        <w:t>reached.</w:t>
      </w:r>
    </w:p>
    <w:p>
      <w:pPr>
        <w:pStyle w:val="BodyText"/>
        <w:rPr>
          <w:rFonts w:ascii="Courier New"/>
          <w:sz w:val="32"/>
        </w:rPr>
      </w:pPr>
    </w:p>
    <w:p>
      <w:pPr>
        <w:pStyle w:val="ListParagraph"/>
        <w:numPr>
          <w:ilvl w:val="0"/>
          <w:numId w:val="257"/>
        </w:numPr>
        <w:tabs>
          <w:tab w:pos="993" w:val="left" w:leader="none"/>
        </w:tabs>
        <w:spacing w:line="482" w:lineRule="auto" w:before="270" w:after="0"/>
        <w:ind w:left="160" w:right="158" w:firstLine="0"/>
        <w:jc w:val="both"/>
        <w:rPr>
          <w:rFonts w:ascii="Courier New"/>
          <w:sz w:val="28"/>
        </w:rPr>
      </w:pPr>
      <w:r>
        <w:rPr>
          <w:rFonts w:ascii="Courier New"/>
          <w:sz w:val="28"/>
        </w:rPr>
        <w:t>Dr. Rajeev Dhawan, learned senior counsel</w:t>
      </w:r>
      <w:r>
        <w:rPr>
          <w:rFonts w:ascii="Courier New"/>
          <w:spacing w:val="-60"/>
          <w:sz w:val="28"/>
        </w:rPr>
        <w:t> </w:t>
      </w:r>
      <w:r>
        <w:rPr>
          <w:rFonts w:ascii="Courier New"/>
          <w:sz w:val="28"/>
        </w:rPr>
        <w:t>submits that although in oral statements it was stated by</w:t>
      </w:r>
      <w:r>
        <w:rPr>
          <w:rFonts w:ascii="Courier New"/>
          <w:spacing w:val="100"/>
          <w:sz w:val="28"/>
        </w:rPr>
        <w:t> </w:t>
      </w:r>
      <w:r>
        <w:rPr>
          <w:rFonts w:ascii="Courier New"/>
          <w:sz w:val="28"/>
        </w:rPr>
        <w:t>the</w:t>
      </w:r>
    </w:p>
    <w:p>
      <w:pPr>
        <w:spacing w:after="0" w:line="482" w:lineRule="auto"/>
        <w:jc w:val="both"/>
        <w:rPr>
          <w:rFonts w:ascii="Courier New"/>
          <w:sz w:val="28"/>
        </w:rPr>
        <w:sectPr>
          <w:headerReference w:type="default" r:id="rId438"/>
          <w:footerReference w:type="default" r:id="rId439"/>
          <w:pgSz w:w="11910" w:h="16840"/>
          <w:pgMar w:header="0" w:footer="1063" w:top="1580" w:bottom="1260" w:left="1280" w:right="1280"/>
          <w:pgNumType w:start="114"/>
        </w:sectPr>
      </w:pPr>
    </w:p>
    <w:p>
      <w:pPr>
        <w:spacing w:line="480" w:lineRule="auto" w:before="86"/>
        <w:ind w:left="160" w:right="156" w:firstLine="0"/>
        <w:jc w:val="both"/>
        <w:rPr>
          <w:rFonts w:ascii="Courier New"/>
          <w:sz w:val="28"/>
        </w:rPr>
      </w:pPr>
      <w:r>
        <w:rPr>
          <w:rFonts w:ascii="Courier New"/>
          <w:sz w:val="28"/>
        </w:rPr>
        <w:t>witnesses that birthplace of Lord Ram is below the middle dome but infact Ram Chabutra which was outside the three-dome structure on the left side in outer courtyard was the birthplace of Lord Ram. He submits that</w:t>
      </w:r>
      <w:r>
        <w:rPr>
          <w:rFonts w:ascii="Courier New"/>
          <w:spacing w:val="-37"/>
          <w:sz w:val="28"/>
        </w:rPr>
        <w:t> </w:t>
      </w:r>
      <w:r>
        <w:rPr>
          <w:rFonts w:ascii="Courier New"/>
          <w:sz w:val="28"/>
        </w:rPr>
        <w:t>in</w:t>
      </w:r>
      <w:r>
        <w:rPr>
          <w:rFonts w:ascii="Courier New"/>
          <w:spacing w:val="-37"/>
          <w:sz w:val="28"/>
        </w:rPr>
        <w:t> </w:t>
      </w:r>
      <w:r>
        <w:rPr>
          <w:rFonts w:ascii="Courier New"/>
          <w:sz w:val="28"/>
        </w:rPr>
        <w:t>the</w:t>
      </w:r>
      <w:r>
        <w:rPr>
          <w:rFonts w:ascii="Courier New"/>
          <w:spacing w:val="-37"/>
          <w:sz w:val="28"/>
        </w:rPr>
        <w:t> </w:t>
      </w:r>
      <w:r>
        <w:rPr>
          <w:rFonts w:ascii="Courier New"/>
          <w:sz w:val="28"/>
        </w:rPr>
        <w:t>judgment</w:t>
      </w:r>
      <w:r>
        <w:rPr>
          <w:rFonts w:ascii="Courier New"/>
          <w:spacing w:val="-36"/>
          <w:sz w:val="28"/>
        </w:rPr>
        <w:t> </w:t>
      </w:r>
      <w:r>
        <w:rPr>
          <w:rFonts w:ascii="Courier New"/>
          <w:sz w:val="28"/>
        </w:rPr>
        <w:t>of</w:t>
      </w:r>
      <w:r>
        <w:rPr>
          <w:rFonts w:ascii="Courier New"/>
          <w:spacing w:val="-37"/>
          <w:sz w:val="28"/>
        </w:rPr>
        <w:t> </w:t>
      </w:r>
      <w:r>
        <w:rPr>
          <w:rFonts w:ascii="Courier New"/>
          <w:sz w:val="28"/>
        </w:rPr>
        <w:t>the</w:t>
      </w:r>
      <w:r>
        <w:rPr>
          <w:rFonts w:ascii="Courier New"/>
          <w:spacing w:val="-37"/>
          <w:sz w:val="28"/>
        </w:rPr>
        <w:t> </w:t>
      </w:r>
      <w:r>
        <w:rPr>
          <w:rFonts w:ascii="Courier New"/>
          <w:sz w:val="28"/>
        </w:rPr>
        <w:t>suit</w:t>
      </w:r>
      <w:r>
        <w:rPr>
          <w:rFonts w:ascii="Courier New"/>
          <w:spacing w:val="-37"/>
          <w:sz w:val="28"/>
        </w:rPr>
        <w:t> </w:t>
      </w:r>
      <w:r>
        <w:rPr>
          <w:rFonts w:ascii="Courier New"/>
          <w:sz w:val="28"/>
        </w:rPr>
        <w:t>filed</w:t>
      </w:r>
      <w:r>
        <w:rPr>
          <w:rFonts w:ascii="Courier New"/>
          <w:spacing w:val="-37"/>
          <w:sz w:val="28"/>
        </w:rPr>
        <w:t> </w:t>
      </w:r>
      <w:r>
        <w:rPr>
          <w:rFonts w:ascii="Courier New"/>
          <w:sz w:val="28"/>
        </w:rPr>
        <w:t>in</w:t>
      </w:r>
      <w:r>
        <w:rPr>
          <w:rFonts w:ascii="Courier New"/>
          <w:spacing w:val="-36"/>
          <w:sz w:val="28"/>
        </w:rPr>
        <w:t> </w:t>
      </w:r>
      <w:r>
        <w:rPr>
          <w:rFonts w:ascii="Courier New"/>
          <w:sz w:val="28"/>
        </w:rPr>
        <w:t>1885</w:t>
      </w:r>
      <w:r>
        <w:rPr>
          <w:rFonts w:ascii="Courier New"/>
          <w:spacing w:val="-37"/>
          <w:sz w:val="28"/>
        </w:rPr>
        <w:t> </w:t>
      </w:r>
      <w:r>
        <w:rPr>
          <w:rFonts w:ascii="Courier New"/>
          <w:sz w:val="28"/>
        </w:rPr>
        <w:t>by</w:t>
      </w:r>
      <w:r>
        <w:rPr>
          <w:rFonts w:ascii="Courier New"/>
          <w:spacing w:val="-37"/>
          <w:sz w:val="28"/>
        </w:rPr>
        <w:t> </w:t>
      </w:r>
      <w:r>
        <w:rPr>
          <w:rFonts w:ascii="Courier New"/>
          <w:sz w:val="28"/>
        </w:rPr>
        <w:t>Mahant Raghubar Das also the Janmasthan was treated to be</w:t>
      </w:r>
      <w:r>
        <w:rPr>
          <w:rFonts w:ascii="Courier New"/>
          <w:spacing w:val="-70"/>
          <w:sz w:val="28"/>
        </w:rPr>
        <w:t> </w:t>
      </w:r>
      <w:r>
        <w:rPr>
          <w:rFonts w:ascii="Courier New"/>
          <w:sz w:val="28"/>
        </w:rPr>
        <w:t>Ram Chabutra.</w:t>
      </w:r>
    </w:p>
    <w:p>
      <w:pPr>
        <w:pStyle w:val="BodyText"/>
        <w:rPr>
          <w:rFonts w:ascii="Courier New"/>
          <w:sz w:val="32"/>
        </w:rPr>
      </w:pPr>
    </w:p>
    <w:p>
      <w:pPr>
        <w:pStyle w:val="ListParagraph"/>
        <w:numPr>
          <w:ilvl w:val="0"/>
          <w:numId w:val="257"/>
        </w:numPr>
        <w:tabs>
          <w:tab w:pos="1120" w:val="left" w:leader="none"/>
        </w:tabs>
        <w:spacing w:line="480" w:lineRule="auto" w:before="272" w:after="0"/>
        <w:ind w:left="160" w:right="158" w:firstLine="0"/>
        <w:jc w:val="both"/>
        <w:rPr>
          <w:rFonts w:ascii="Courier New"/>
          <w:sz w:val="28"/>
        </w:rPr>
      </w:pPr>
      <w:r>
        <w:rPr>
          <w:rFonts w:ascii="Courier New"/>
          <w:sz w:val="28"/>
        </w:rPr>
        <w:t>The sequence of the events as noticed above clearly indicate that faith and belief of Hindus was that birth place of Lord Ram was in the three-dome structure Mosque which was constructed at the janamasthan.</w:t>
      </w:r>
      <w:r>
        <w:rPr>
          <w:rFonts w:ascii="Courier New"/>
          <w:spacing w:val="-31"/>
          <w:sz w:val="28"/>
        </w:rPr>
        <w:t> </w:t>
      </w:r>
      <w:r>
        <w:rPr>
          <w:rFonts w:ascii="Courier New"/>
          <w:sz w:val="28"/>
        </w:rPr>
        <w:t>It</w:t>
      </w:r>
      <w:r>
        <w:rPr>
          <w:rFonts w:ascii="Courier New"/>
          <w:spacing w:val="-30"/>
          <w:sz w:val="28"/>
        </w:rPr>
        <w:t> </w:t>
      </w:r>
      <w:r>
        <w:rPr>
          <w:rFonts w:ascii="Courier New"/>
          <w:sz w:val="28"/>
        </w:rPr>
        <w:t>was</w:t>
      </w:r>
      <w:r>
        <w:rPr>
          <w:rFonts w:ascii="Courier New"/>
          <w:spacing w:val="-30"/>
          <w:sz w:val="28"/>
        </w:rPr>
        <w:t> </w:t>
      </w:r>
      <w:r>
        <w:rPr>
          <w:rFonts w:ascii="Courier New"/>
          <w:sz w:val="28"/>
        </w:rPr>
        <w:t>only</w:t>
      </w:r>
      <w:r>
        <w:rPr>
          <w:rFonts w:ascii="Courier New"/>
          <w:spacing w:val="-30"/>
          <w:sz w:val="28"/>
        </w:rPr>
        <w:t> </w:t>
      </w:r>
      <w:r>
        <w:rPr>
          <w:rFonts w:ascii="Courier New"/>
          <w:sz w:val="28"/>
        </w:rPr>
        <w:t>during</w:t>
      </w:r>
      <w:r>
        <w:rPr>
          <w:rFonts w:ascii="Courier New"/>
          <w:spacing w:val="-30"/>
          <w:sz w:val="28"/>
        </w:rPr>
        <w:t> </w:t>
      </w:r>
      <w:r>
        <w:rPr>
          <w:rFonts w:ascii="Courier New"/>
          <w:sz w:val="28"/>
        </w:rPr>
        <w:t>the</w:t>
      </w:r>
      <w:r>
        <w:rPr>
          <w:rFonts w:ascii="Courier New"/>
          <w:spacing w:val="-30"/>
          <w:sz w:val="28"/>
        </w:rPr>
        <w:t> </w:t>
      </w:r>
      <w:r>
        <w:rPr>
          <w:rFonts w:ascii="Courier New"/>
          <w:sz w:val="28"/>
        </w:rPr>
        <w:t>British</w:t>
      </w:r>
      <w:r>
        <w:rPr>
          <w:rFonts w:ascii="Courier New"/>
          <w:spacing w:val="-31"/>
          <w:sz w:val="28"/>
        </w:rPr>
        <w:t> </w:t>
      </w:r>
      <w:r>
        <w:rPr>
          <w:rFonts w:ascii="Courier New"/>
          <w:sz w:val="28"/>
        </w:rPr>
        <w:t>period</w:t>
      </w:r>
      <w:r>
        <w:rPr>
          <w:rFonts w:ascii="Courier New"/>
          <w:spacing w:val="-30"/>
          <w:sz w:val="28"/>
        </w:rPr>
        <w:t> </w:t>
      </w:r>
      <w:r>
        <w:rPr>
          <w:rFonts w:ascii="Courier New"/>
          <w:sz w:val="28"/>
        </w:rPr>
        <w:t>that grilled wall was constructed dividing the walled premises of the Mosque into inner courtyard and outer courtyard. Grilled iron wall was constructed to keep Hindus outside the grilled iron wall in the outer courtyard. In view of the construction of the iron wall, the worship and puja started in Ram Chabutra in the outer courtyard. Suit of 1885 was filed seeking permission to construct temple on the said Chabutra where worship was permitted by the British</w:t>
      </w:r>
      <w:r>
        <w:rPr>
          <w:rFonts w:ascii="Courier New"/>
          <w:spacing w:val="100"/>
          <w:sz w:val="28"/>
        </w:rPr>
        <w:t> </w:t>
      </w:r>
      <w:r>
        <w:rPr>
          <w:rFonts w:ascii="Courier New"/>
          <w:sz w:val="28"/>
        </w:rPr>
        <w:t>Authority.</w:t>
      </w:r>
    </w:p>
    <w:p>
      <w:pPr>
        <w:spacing w:after="0" w:line="480" w:lineRule="auto"/>
        <w:jc w:val="both"/>
        <w:rPr>
          <w:rFonts w:ascii="Courier New"/>
          <w:sz w:val="28"/>
        </w:rPr>
        <w:sectPr>
          <w:headerReference w:type="default" r:id="rId440"/>
          <w:footerReference w:type="default" r:id="rId441"/>
          <w:pgSz w:w="11910" w:h="16840"/>
          <w:pgMar w:header="0" w:footer="1063" w:top="1340" w:bottom="1260" w:left="1280" w:right="1280"/>
          <w:pgNumType w:start="115"/>
        </w:sectPr>
      </w:pPr>
    </w:p>
    <w:p>
      <w:pPr>
        <w:spacing w:line="480" w:lineRule="auto" w:before="86"/>
        <w:ind w:left="159" w:right="158" w:firstLine="0"/>
        <w:jc w:val="both"/>
        <w:rPr>
          <w:rFonts w:ascii="Courier New"/>
          <w:sz w:val="28"/>
        </w:rPr>
      </w:pPr>
      <w:r>
        <w:rPr>
          <w:rFonts w:ascii="Courier New"/>
          <w:sz w:val="28"/>
        </w:rPr>
        <w:t>Faith and belief of the Hindus as depicted by the evidence on record clearly establish that the Hindus belief that at the birth place of Lord Ram, the</w:t>
      </w:r>
      <w:r>
        <w:rPr>
          <w:rFonts w:ascii="Courier New"/>
          <w:spacing w:val="-66"/>
          <w:sz w:val="28"/>
        </w:rPr>
        <w:t> </w:t>
      </w:r>
      <w:r>
        <w:rPr>
          <w:rFonts w:ascii="Courier New"/>
          <w:sz w:val="28"/>
        </w:rPr>
        <w:t>Mosque was constructed and three-dome structure is the birth place of Lord Ram. The fact that Hindus were by constructing iron wall, dividing Mosque premises,</w:t>
      </w:r>
      <w:r>
        <w:rPr>
          <w:rFonts w:ascii="Courier New"/>
          <w:spacing w:val="-68"/>
          <w:sz w:val="28"/>
        </w:rPr>
        <w:t> </w:t>
      </w:r>
      <w:r>
        <w:rPr>
          <w:rFonts w:ascii="Courier New"/>
          <w:sz w:val="28"/>
        </w:rPr>
        <w:t>kept outside the three-dome structure cannot be said to alter their faith and belief regarding the birth</w:t>
      </w:r>
      <w:r>
        <w:rPr>
          <w:rFonts w:ascii="Courier New"/>
          <w:spacing w:val="-66"/>
          <w:sz w:val="28"/>
        </w:rPr>
        <w:t> </w:t>
      </w:r>
      <w:r>
        <w:rPr>
          <w:rFonts w:ascii="Courier New"/>
          <w:sz w:val="28"/>
        </w:rPr>
        <w:t>place of Lord Ram. The worship on the Ram Chabutra in the outer courtyard was symbolic worship of Lord Ram who was believed to be born in the premises.</w:t>
      </w:r>
    </w:p>
    <w:p>
      <w:pPr>
        <w:pStyle w:val="BodyText"/>
        <w:rPr>
          <w:rFonts w:ascii="Courier New"/>
          <w:sz w:val="32"/>
        </w:rPr>
      </w:pPr>
    </w:p>
    <w:p>
      <w:pPr>
        <w:pStyle w:val="ListParagraph"/>
        <w:numPr>
          <w:ilvl w:val="0"/>
          <w:numId w:val="257"/>
        </w:numPr>
        <w:tabs>
          <w:tab w:pos="995" w:val="left" w:leader="none"/>
        </w:tabs>
        <w:spacing w:line="480" w:lineRule="auto" w:before="271" w:after="0"/>
        <w:ind w:left="160" w:right="161" w:firstLine="0"/>
        <w:jc w:val="both"/>
        <w:rPr>
          <w:rFonts w:ascii="Courier New"/>
          <w:sz w:val="28"/>
        </w:rPr>
      </w:pPr>
      <w:r>
        <w:rPr>
          <w:rFonts w:ascii="Courier New"/>
          <w:sz w:val="28"/>
        </w:rPr>
        <w:t>It is thus concluded on the conclusion that</w:t>
      </w:r>
      <w:r>
        <w:rPr>
          <w:rFonts w:ascii="Courier New"/>
          <w:spacing w:val="-62"/>
          <w:sz w:val="28"/>
        </w:rPr>
        <w:t> </w:t>
      </w:r>
      <w:r>
        <w:rPr>
          <w:rFonts w:ascii="Courier New"/>
          <w:sz w:val="28"/>
        </w:rPr>
        <w:t>faith and belief of Hindus since prior to construction of Mosque and subsequent thereto has always been that Janmaasthan</w:t>
      </w:r>
      <w:r>
        <w:rPr>
          <w:rFonts w:ascii="Courier New"/>
          <w:spacing w:val="-27"/>
          <w:sz w:val="28"/>
        </w:rPr>
        <w:t> </w:t>
      </w:r>
      <w:r>
        <w:rPr>
          <w:rFonts w:ascii="Courier New"/>
          <w:sz w:val="28"/>
        </w:rPr>
        <w:t>of</w:t>
      </w:r>
      <w:r>
        <w:rPr>
          <w:rFonts w:ascii="Courier New"/>
          <w:spacing w:val="-26"/>
          <w:sz w:val="28"/>
        </w:rPr>
        <w:t> </w:t>
      </w:r>
      <w:r>
        <w:rPr>
          <w:rFonts w:ascii="Courier New"/>
          <w:sz w:val="28"/>
        </w:rPr>
        <w:t>Lord</w:t>
      </w:r>
      <w:r>
        <w:rPr>
          <w:rFonts w:ascii="Courier New"/>
          <w:spacing w:val="-26"/>
          <w:sz w:val="28"/>
        </w:rPr>
        <w:t> </w:t>
      </w:r>
      <w:r>
        <w:rPr>
          <w:rFonts w:ascii="Courier New"/>
          <w:sz w:val="28"/>
        </w:rPr>
        <w:t>Ram</w:t>
      </w:r>
      <w:r>
        <w:rPr>
          <w:rFonts w:ascii="Courier New"/>
          <w:spacing w:val="-27"/>
          <w:sz w:val="28"/>
        </w:rPr>
        <w:t> </w:t>
      </w:r>
      <w:r>
        <w:rPr>
          <w:rFonts w:ascii="Courier New"/>
          <w:sz w:val="28"/>
        </w:rPr>
        <w:t>is</w:t>
      </w:r>
      <w:r>
        <w:rPr>
          <w:rFonts w:ascii="Courier New"/>
          <w:spacing w:val="-26"/>
          <w:sz w:val="28"/>
        </w:rPr>
        <w:t> </w:t>
      </w:r>
      <w:r>
        <w:rPr>
          <w:rFonts w:ascii="Courier New"/>
          <w:sz w:val="28"/>
        </w:rPr>
        <w:t>the</w:t>
      </w:r>
      <w:r>
        <w:rPr>
          <w:rFonts w:ascii="Courier New"/>
          <w:spacing w:val="-26"/>
          <w:sz w:val="28"/>
        </w:rPr>
        <w:t> </w:t>
      </w:r>
      <w:r>
        <w:rPr>
          <w:rFonts w:ascii="Courier New"/>
          <w:sz w:val="28"/>
        </w:rPr>
        <w:t>place</w:t>
      </w:r>
      <w:r>
        <w:rPr>
          <w:rFonts w:ascii="Courier New"/>
          <w:spacing w:val="-27"/>
          <w:sz w:val="28"/>
        </w:rPr>
        <w:t> </w:t>
      </w:r>
      <w:r>
        <w:rPr>
          <w:rFonts w:ascii="Courier New"/>
          <w:sz w:val="28"/>
        </w:rPr>
        <w:t>where</w:t>
      </w:r>
      <w:r>
        <w:rPr>
          <w:rFonts w:ascii="Courier New"/>
          <w:spacing w:val="-26"/>
          <w:sz w:val="28"/>
        </w:rPr>
        <w:t> </w:t>
      </w:r>
      <w:r>
        <w:rPr>
          <w:rFonts w:ascii="Courier New"/>
          <w:sz w:val="28"/>
        </w:rPr>
        <w:t>Babri</w:t>
      </w:r>
      <w:r>
        <w:rPr>
          <w:rFonts w:ascii="Courier New"/>
          <w:spacing w:val="-26"/>
          <w:sz w:val="28"/>
        </w:rPr>
        <w:t> </w:t>
      </w:r>
      <w:r>
        <w:rPr>
          <w:rFonts w:ascii="Courier New"/>
          <w:sz w:val="28"/>
        </w:rPr>
        <w:t>Mosque has been constructed which faith and belief is proved by documentary and oral evidence discussed</w:t>
      </w:r>
      <w:r>
        <w:rPr>
          <w:rFonts w:ascii="Courier New"/>
          <w:spacing w:val="-16"/>
          <w:sz w:val="28"/>
        </w:rPr>
        <w:t> </w:t>
      </w:r>
      <w:r>
        <w:rPr>
          <w:rFonts w:ascii="Courier New"/>
          <w:sz w:val="28"/>
        </w:rPr>
        <w:t>above.</w:t>
      </w:r>
    </w:p>
    <w:sectPr>
      <w:headerReference w:type="default" r:id="rId442"/>
      <w:footerReference w:type="default" r:id="rId443"/>
      <w:pgSz w:w="11910" w:h="16840"/>
      <w:pgMar w:header="0" w:footer="1063" w:top="1340" w:bottom="1260" w:left="1280" w:right="1280"/>
      <w:pgNumType w:start="11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Symbol">
    <w:altName w:val="Symbol"/>
    <w:charset w:val="2"/>
    <w:family w:val="roman"/>
    <w:pitch w:val="variable"/>
  </w:font>
  <w:font w:name="Nirmala UI">
    <w:altName w:val="Nirmala U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1.890015pt;margin-top:780.200012pt;width:11.6pt;height:13.05pt;mso-position-horizontal-relative:page;mso-position-vertical-relative:page;z-index:-239242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1347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68</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79673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898</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79571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905</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79468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925</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9417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200012pt;margin-top:777.546631pt;width:48.3pt;height:15.3pt;mso-position-horizontal-relative:page;mso-position-vertical-relative:page;z-index:-2379366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200012pt;margin-top:777.546631pt;width:48.3pt;height:15.3pt;mso-position-horizontal-relative:page;mso-position-vertical-relative:page;z-index:-2379315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200012pt;margin-top:777.546631pt;width:48.3pt;height:15.3pt;mso-position-horizontal-relative:page;mso-position-vertical-relative:page;z-index:-2379264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200012pt;margin-top:777.546631pt;width:48.3pt;height:15.3pt;mso-position-horizontal-relative:page;mso-position-vertical-relative:page;z-index:-2379212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200012pt;margin-top:777.546631pt;width:48.3pt;height:15.3pt;mso-position-horizontal-relative:page;mso-position-vertical-relative:page;z-index:-2379161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200012pt;margin-top:777.546631pt;width:48.3pt;height:15.3pt;mso-position-horizontal-relative:page;mso-position-vertical-relative:page;z-index:-2379110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1244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78</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200012pt;margin-top:777.546631pt;width:48.3pt;height:15.3pt;mso-position-horizontal-relative:page;mso-position-vertical-relative:page;z-index:-2379059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5.200012pt;margin-top:777.546631pt;width:48.3pt;height:15.3pt;mso-position-horizontal-relative:page;mso-position-vertical-relative:page;z-index:-2379008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956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79993pt;margin-top:777.546631pt;width:53.35pt;height:15.3pt;mso-position-horizontal-relative:page;mso-position-vertical-relative:page;z-index:-2378905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11</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854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12</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803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13</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752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14</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700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15</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649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16</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598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114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82</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547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18</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496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19</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444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20</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393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21</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342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22</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291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23</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240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24</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188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25</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137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26</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8035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104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85</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932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28</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779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29</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728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30</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676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31</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625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32</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574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33</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523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34</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472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35</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420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36</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369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43.280029pt;width:144.020pt;height:.599980pt;mso-position-horizontal-relative:page;mso-position-vertical-relative:page;z-index:-23909376" filled="true" fillcolor="#000000" stroked="false">
          <v:fill type="solid"/>
          <w10:wrap type="none"/>
        </v:rect>
      </w:pict>
    </w:r>
    <w:r>
      <w:rPr/>
      <w:pict>
        <v:shape style="position:absolute;margin-left:291.130005pt;margin-top:780.200012pt;width:13.3pt;height:13.05pt;mso-position-horizontal-relative:page;mso-position-vertical-relative:page;z-index:-23908864" type="#_x0000_t202" filled="false" stroked="false">
          <v:textbox inset="0,0,0,0">
            <w:txbxContent>
              <w:p>
                <w:pPr>
                  <w:spacing w:line="245" w:lineRule="exact" w:before="0"/>
                  <w:ind w:left="20" w:right="0" w:firstLine="0"/>
                  <w:jc w:val="left"/>
                  <w:rPr>
                    <w:rFonts w:ascii="Calibri"/>
                    <w:sz w:val="22"/>
                  </w:rPr>
                </w:pPr>
                <w:r>
                  <w:rPr>
                    <w:rFonts w:ascii="Calibri"/>
                    <w:sz w:val="22"/>
                  </w:rPr>
                  <w:t>89</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318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38</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267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39</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216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40</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164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41</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113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42</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7062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43</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960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44</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448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45</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6396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100</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345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0784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90</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294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48</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243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49</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192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50</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140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51</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089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52</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6038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53</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987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54</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936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55</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884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56</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833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90681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782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58</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731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59</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680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60</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628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61</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577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62</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526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63</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475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64</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424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65</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372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66</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321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90579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104</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270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68</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219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69</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168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70</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116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71</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065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72</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5014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73</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963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74</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912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75</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860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76</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809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90476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116</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758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78</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707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79</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656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80</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604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81</w:t>
                </w:r>
                <w:r>
                  <w:rPr/>
                  <w:fldChar w:fldCharType="end"/>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553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82</w:t>
                </w:r>
                <w:r>
                  <w:rPr/>
                  <w:fldChar w:fldCharType="end"/>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502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83</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451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84</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400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85</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348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86</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297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87</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90374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123</w:t>
                </w:r>
                <w:r>
                  <w:rPr/>
                  <w:fldChar w:fldCharType="end"/>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246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88</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195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89</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144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90</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092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91</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4041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92</w:t>
                </w:r>
                <w:r>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3990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93</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3939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94</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3888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95</w:t>
                </w:r>
                <w:r>
                  <w:rPr/>
                  <w:fldChar w:fldCharType="end"/>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3836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96</w:t>
                </w:r>
                <w:r>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3785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232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90272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126</w:t>
                </w:r>
                <w:r>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3734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98</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200012pt;margin-top:777.546631pt;width:54.3pt;height:15.3pt;mso-position-horizontal-relative:page;mso-position-vertical-relative:page;z-index:-2373683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99</w:t>
                </w:r>
                <w:r>
                  <w:rPr/>
                  <w:fldChar w:fldCharType="end"/>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632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100</w:t>
                </w:r>
                <w:r>
                  <w:rPr/>
                  <w:fldChar w:fldCharType="end"/>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580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101</w:t>
                </w:r>
                <w:r>
                  <w:rPr/>
                  <w:fldChar w:fldCharType="end"/>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529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102</w:t>
                </w:r>
                <w:r>
                  <w:rPr/>
                  <w:fldChar w:fldCharType="end"/>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478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103</w:t>
                </w:r>
                <w:r>
                  <w:rPr/>
                  <w:fldChar w:fldCharType="end"/>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427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104</w:t>
                </w:r>
                <w:r>
                  <w:rPr/>
                  <w:fldChar w:fldCharType="end"/>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376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105</w:t>
                </w:r>
                <w:r>
                  <w:rPr/>
                  <w:fldChar w:fldCharType="end"/>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324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106</w:t>
                </w:r>
                <w:r>
                  <w:rPr/>
                  <w:fldChar w:fldCharType="end"/>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273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901696" filled="true" fillcolor="#000000" stroked="false">
          <v:fill type="solid"/>
          <w10:wrap type="none"/>
        </v:rect>
      </w:pict>
    </w:r>
    <w:r>
      <w:rPr/>
      <w:pict>
        <v:shape style="position:absolute;margin-left:71.024002pt;margin-top:757.128357pt;width:83.8pt;height:13.9pt;mso-position-horizontal-relative:page;mso-position-vertical-relative:page;z-index:-23901184" type="#_x0000_t202" filled="false" stroked="false">
          <v:textbox inset="0,0,0,0">
            <w:txbxContent>
              <w:p>
                <w:pPr>
                  <w:spacing w:before="51"/>
                  <w:ind w:left="20" w:right="0" w:firstLine="0"/>
                  <w:jc w:val="left"/>
                  <w:rPr>
                    <w:sz w:val="18"/>
                  </w:rPr>
                </w:pPr>
                <w:r>
                  <w:rPr>
                    <w:sz w:val="18"/>
                    <w:vertAlign w:val="superscript"/>
                  </w:rPr>
                  <w:t>40</w:t>
                </w:r>
                <w:r>
                  <w:rPr>
                    <w:sz w:val="18"/>
                    <w:vertAlign w:val="baseline"/>
                  </w:rPr>
                  <w:t> (2000) 4 SCC 146</w:t>
                </w:r>
              </w:p>
            </w:txbxContent>
          </v:textbox>
          <w10:wrap type="none"/>
        </v:shape>
      </w:pict>
    </w:r>
    <w:r>
      <w:rPr/>
      <w:pict>
        <v:shape style="position:absolute;margin-left:286.369995pt;margin-top:780.200012pt;width:22.75pt;height:13.05pt;mso-position-horizontal-relative:page;mso-position-vertical-relative:page;z-index:-2390067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128</w:t>
                </w:r>
                <w:r>
                  <w:rPr/>
                  <w:fldChar w:fldCharType="end"/>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222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108</w:t>
                </w:r>
                <w:r>
                  <w:rPr/>
                  <w:fldChar w:fldCharType="end"/>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00012pt;margin-top:777.546631pt;width:60.3pt;height:15.3pt;mso-position-horizontal-relative:page;mso-position-vertical-relative:page;z-index:-2373171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109</w:t>
                </w:r>
                <w:r>
                  <w:rPr/>
                  <w:fldChar w:fldCharType="end"/>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679993pt;margin-top:777.546631pt;width:59.8pt;height:15.3pt;mso-position-horizontal-relative:page;mso-position-vertical-relative:page;z-index:-2373120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110</w:t>
                </w:r>
                <w:r>
                  <w:rPr/>
                  <w:fldChar w:fldCharType="end"/>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4.160004pt;margin-top:777.546631pt;width:58.85pt;height:15.3pt;mso-position-horizontal-relative:page;mso-position-vertical-relative:page;z-index:-2373068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111</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679993pt;margin-top:777.546631pt;width:59.8pt;height:15.3pt;mso-position-horizontal-relative:page;mso-position-vertical-relative:page;z-index:-23730176"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112</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679993pt;margin-top:777.546631pt;width:59.8pt;height:15.3pt;mso-position-horizontal-relative:page;mso-position-vertical-relative:page;z-index:-23729664"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113</w:t>
                </w:r>
                <w:r>
                  <w:rPr/>
                  <w:fldChar w:fldCharType="end"/>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679993pt;margin-top:777.546631pt;width:59.8pt;height:15.3pt;mso-position-horizontal-relative:page;mso-position-vertical-relative:page;z-index:-23729152"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114</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679993pt;margin-top:777.546631pt;width:59.8pt;height:15.3pt;mso-position-horizontal-relative:page;mso-position-vertical-relative:page;z-index:-23728640"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115</w:t>
                </w:r>
                <w:r>
                  <w:rPr/>
                  <w:fldChar w:fldCharType="end"/>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679993pt;margin-top:777.546631pt;width:59.8pt;height:15.3pt;mso-position-horizontal-relative:page;mso-position-vertical-relative:page;z-index:-23728128" type="#_x0000_t202" filled="false" stroked="false">
          <v:textbox inset="0,0,0,0">
            <w:txbxContent>
              <w:p>
                <w:pPr>
                  <w:spacing w:before="10"/>
                  <w:ind w:left="20" w:right="0" w:firstLine="0"/>
                  <w:jc w:val="left"/>
                  <w:rPr>
                    <w:rFonts w:ascii="Times New Roman"/>
                    <w:sz w:val="24"/>
                  </w:rPr>
                </w:pPr>
                <w:r>
                  <w:rPr>
                    <w:rFonts w:ascii="Times New Roman"/>
                    <w:color w:val="8496B0"/>
                    <w:sz w:val="24"/>
                  </w:rPr>
                  <w:t>P ag e </w:t>
                </w:r>
                <w:r>
                  <w:rPr/>
                  <w:fldChar w:fldCharType="begin"/>
                </w:r>
                <w:r>
                  <w:rPr>
                    <w:rFonts w:ascii="Times New Roman"/>
                    <w:color w:val="323E4F"/>
                    <w:sz w:val="24"/>
                  </w:rPr>
                  <w:instrText> PAGE </w:instrText>
                </w:r>
                <w:r>
                  <w:rPr/>
                  <w:fldChar w:fldCharType="separate"/>
                </w:r>
                <w:r>
                  <w:rPr/>
                  <w:t>116</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99648" type="#_x0000_t202" filled="false" stroked="false">
          <v:textbox inset="0,0,0,0">
            <w:txbxContent>
              <w:p>
                <w:pPr>
                  <w:spacing w:line="245" w:lineRule="exact" w:before="0"/>
                  <w:ind w:left="20" w:right="0" w:firstLine="0"/>
                  <w:jc w:val="left"/>
                  <w:rPr>
                    <w:rFonts w:ascii="Calibri"/>
                    <w:sz w:val="22"/>
                  </w:rPr>
                </w:pPr>
                <w:r>
                  <w:rPr>
                    <w:rFonts w:ascii="Calibri"/>
                    <w:sz w:val="22"/>
                  </w:rPr>
                  <w:t>129</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986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97600" type="#_x0000_t202" filled="false" stroked="false">
          <v:textbox inset="0,0,0,0">
            <w:txbxContent>
              <w:p>
                <w:pPr>
                  <w:spacing w:line="245" w:lineRule="exact" w:before="0"/>
                  <w:ind w:left="20" w:right="0" w:firstLine="0"/>
                  <w:jc w:val="left"/>
                  <w:rPr>
                    <w:rFonts w:ascii="Calibri"/>
                    <w:sz w:val="22"/>
                  </w:rPr>
                </w:pPr>
                <w:r>
                  <w:rPr>
                    <w:rFonts w:ascii="Calibri"/>
                    <w:sz w:val="22"/>
                  </w:rPr>
                  <w:t>133</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43.280029pt;width:144.020pt;height:.599980pt;mso-position-horizontal-relative:page;mso-position-vertical-relative:page;z-index:-23896576" filled="true" fillcolor="#000000" stroked="false">
          <v:fill type="solid"/>
          <w10:wrap type="none"/>
        </v:rect>
      </w:pict>
    </w:r>
    <w:r>
      <w:rPr/>
      <w:pict>
        <v:shape style="position:absolute;margin-left:288.369995pt;margin-top:780.200012pt;width:18.75pt;height:13.05pt;mso-position-horizontal-relative:page;mso-position-vertical-relative:page;z-index:-23896064" type="#_x0000_t202" filled="false" stroked="false">
          <v:textbox inset="0,0,0,0">
            <w:txbxContent>
              <w:p>
                <w:pPr>
                  <w:spacing w:line="245" w:lineRule="exact" w:before="0"/>
                  <w:ind w:left="20" w:right="0" w:firstLine="0"/>
                  <w:jc w:val="left"/>
                  <w:rPr>
                    <w:rFonts w:ascii="Calibri"/>
                    <w:sz w:val="22"/>
                  </w:rPr>
                </w:pPr>
                <w:r>
                  <w:rPr>
                    <w:rFonts w:ascii="Calibri"/>
                    <w:sz w:val="22"/>
                  </w:rPr>
                  <w:t>134</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9504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135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9401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158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8pt;height:13.05pt;mso-position-horizontal-relative:page;mso-position-vertical-relative:page;z-index:-2389299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178</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9196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181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2217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90944" type="#_x0000_t202" filled="false" stroked="false">
          <v:textbox inset="0,0,0,0">
            <w:txbxContent>
              <w:p>
                <w:pPr>
                  <w:spacing w:line="245" w:lineRule="exact" w:before="0"/>
                  <w:ind w:left="20" w:right="0" w:firstLine="0"/>
                  <w:jc w:val="left"/>
                  <w:rPr>
                    <w:rFonts w:ascii="Calibri"/>
                    <w:sz w:val="22"/>
                  </w:rPr>
                </w:pPr>
                <w:r>
                  <w:rPr>
                    <w:rFonts w:ascii="Calibri"/>
                    <w:sz w:val="22"/>
                  </w:rPr>
                  <w:t>184</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8992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185</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8889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205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8787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208</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8684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224</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858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225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848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243</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757.128357pt;width:89.15pt;height:13.9pt;mso-position-horizontal-relative:page;mso-position-vertical-relative:page;z-index:-23883776"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130</w:t>
                </w:r>
                <w:r>
                  <w:rPr/>
                  <w:fldChar w:fldCharType="end"/>
                </w:r>
                <w:r>
                  <w:rPr>
                    <w:sz w:val="18"/>
                    <w:vertAlign w:val="baseline"/>
                  </w:rPr>
                  <w:t> (2004) 8 SCC 724</w:t>
                </w:r>
              </w:p>
            </w:txbxContent>
          </v:textbox>
          <w10:wrap type="none"/>
        </v:shape>
      </w:pict>
    </w:r>
    <w:r>
      <w:rPr/>
      <w:pict>
        <v:shape style="position:absolute;margin-left:288.369995pt;margin-top:780.200012pt;width:18.75pt;height:13.05pt;mso-position-horizontal-relative:page;mso-position-vertical-relative:page;z-index:-23883264" type="#_x0000_t202" filled="false" stroked="false">
          <v:textbox inset="0,0,0,0">
            <w:txbxContent>
              <w:p>
                <w:pPr>
                  <w:spacing w:line="245" w:lineRule="exact" w:before="0"/>
                  <w:ind w:left="20" w:right="0" w:firstLine="0"/>
                  <w:jc w:val="left"/>
                  <w:rPr>
                    <w:rFonts w:ascii="Calibri"/>
                    <w:sz w:val="22"/>
                  </w:rPr>
                </w:pPr>
                <w:r>
                  <w:rPr>
                    <w:rFonts w:ascii="Calibri"/>
                    <w:sz w:val="22"/>
                  </w:rPr>
                  <w:t>265</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57.128357pt;width:87.15pt;height:13.9pt;mso-position-horizontal-relative:page;mso-position-vertical-relative:page;z-index:-23882240" type="#_x0000_t202" filled="false" stroked="false">
          <v:textbox inset="0,0,0,0">
            <w:txbxContent>
              <w:p>
                <w:pPr>
                  <w:spacing w:before="51"/>
                  <w:ind w:left="20" w:right="0" w:firstLine="0"/>
                  <w:jc w:val="left"/>
                  <w:rPr>
                    <w:sz w:val="18"/>
                  </w:rPr>
                </w:pPr>
                <w:r>
                  <w:rPr>
                    <w:sz w:val="18"/>
                    <w:vertAlign w:val="superscript"/>
                  </w:rPr>
                  <w:t>131</w:t>
                </w:r>
                <w:r>
                  <w:rPr>
                    <w:sz w:val="18"/>
                    <w:vertAlign w:val="baseline"/>
                  </w:rPr>
                  <w:t> (1989) 4 SCC 582</w:t>
                </w:r>
              </w:p>
            </w:txbxContent>
          </v:textbox>
          <w10:wrap type="none"/>
        </v:shape>
      </w:pict>
    </w:r>
    <w:r>
      <w:rPr/>
      <w:pict>
        <v:shape style="position:absolute;margin-left:288.369995pt;margin-top:780.200012pt;width:18.75pt;height:13.05pt;mso-position-horizontal-relative:page;mso-position-vertical-relative:page;z-index:-23881728" type="#_x0000_t202" filled="false" stroked="false">
          <v:textbox inset="0,0,0,0">
            <w:txbxContent>
              <w:p>
                <w:pPr>
                  <w:spacing w:line="245" w:lineRule="exact" w:before="0"/>
                  <w:ind w:left="20" w:right="0" w:firstLine="0"/>
                  <w:jc w:val="left"/>
                  <w:rPr>
                    <w:rFonts w:ascii="Calibri"/>
                    <w:sz w:val="22"/>
                  </w:rPr>
                </w:pPr>
                <w:r>
                  <w:rPr>
                    <w:rFonts w:ascii="Calibri"/>
                    <w:sz w:val="22"/>
                  </w:rPr>
                  <w:t>266</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8070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267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2115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43.280029pt;width:144.020pt;height:.599980pt;mso-position-horizontal-relative:page;mso-position-vertical-relative:page;z-index:-23879680" filled="true" fillcolor="#000000" stroked="false">
          <v:fill type="solid"/>
          <w10:wrap type="none"/>
        </v:rect>
      </w:pict>
    </w:r>
    <w:r>
      <w:rPr/>
      <w:pict>
        <v:shape style="position:absolute;margin-left:71.024002pt;margin-top:746.688354pt;width:87.15pt;height:24.35pt;mso-position-horizontal-relative:page;mso-position-vertical-relative:page;z-index:-23879168" type="#_x0000_t202" filled="false" stroked="false">
          <v:textbox inset="0,0,0,0">
            <w:txbxContent>
              <w:p>
                <w:pPr>
                  <w:spacing w:before="51"/>
                  <w:ind w:left="20" w:right="0" w:firstLine="0"/>
                  <w:jc w:val="left"/>
                  <w:rPr>
                    <w:sz w:val="18"/>
                  </w:rPr>
                </w:pPr>
                <w:r>
                  <w:rPr>
                    <w:sz w:val="18"/>
                    <w:vertAlign w:val="superscript"/>
                  </w:rPr>
                  <w:t>134</w:t>
                </w:r>
                <w:r>
                  <w:rPr>
                    <w:sz w:val="18"/>
                    <w:vertAlign w:val="baseline"/>
                  </w:rPr>
                  <w:t> (1965) 3 SCR 655</w:t>
                </w:r>
              </w:p>
              <w:p>
                <w:pPr>
                  <w:spacing w:before="2"/>
                  <w:ind w:left="20" w:right="0" w:firstLine="0"/>
                  <w:jc w:val="left"/>
                  <w:rPr>
                    <w:sz w:val="18"/>
                  </w:rPr>
                </w:pPr>
                <w:r>
                  <w:rPr>
                    <w:sz w:val="18"/>
                    <w:vertAlign w:val="superscript"/>
                  </w:rPr>
                  <w:t>135</w:t>
                </w:r>
                <w:r>
                  <w:rPr>
                    <w:sz w:val="18"/>
                    <w:vertAlign w:val="baseline"/>
                  </w:rPr>
                  <w:t> (1950) SCR 852</w:t>
                </w:r>
              </w:p>
            </w:txbxContent>
          </v:textbox>
          <w10:wrap type="none"/>
        </v:shape>
      </w:pict>
    </w:r>
    <w:r>
      <w:rPr/>
      <w:pict>
        <v:shape style="position:absolute;margin-left:286.369995pt;margin-top:780.200012pt;width:22.75pt;height:13.05pt;mso-position-horizontal-relative:page;mso-position-vertical-relative:page;z-index:-2387865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269</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77632" type="#_x0000_t202" filled="false" stroked="false">
          <v:textbox inset="0,0,0,0">
            <w:txbxContent>
              <w:p>
                <w:pPr>
                  <w:spacing w:line="245" w:lineRule="exact" w:before="0"/>
                  <w:ind w:left="20" w:right="0" w:firstLine="0"/>
                  <w:jc w:val="left"/>
                  <w:rPr>
                    <w:rFonts w:ascii="Calibri"/>
                    <w:sz w:val="22"/>
                  </w:rPr>
                </w:pPr>
                <w:r>
                  <w:rPr>
                    <w:rFonts w:ascii="Calibri"/>
                    <w:sz w:val="22"/>
                  </w:rPr>
                  <w:t>270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7660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271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75584" filled="true" fillcolor="#000000" stroked="false">
          <v:fill type="solid"/>
          <w10:wrap type="none"/>
        </v:rect>
      </w:pict>
    </w:r>
    <w:r>
      <w:rPr/>
      <w:pict>
        <v:shape style="position:absolute;margin-left:69.024002pt;margin-top:757.128357pt;width:429.35pt;height:13.9pt;mso-position-horizontal-relative:page;mso-position-vertical-relative:page;z-index:-23875072"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139</w:t>
                </w:r>
                <w:r>
                  <w:rPr/>
                  <w:fldChar w:fldCharType="end"/>
                </w:r>
                <w:r>
                  <w:rPr>
                    <w:sz w:val="18"/>
                    <w:vertAlign w:val="baseline"/>
                  </w:rPr>
                  <w:t> Commentary on the Criminal Procedure Code by Ratanlal and Dhirajlal , 20</w:t>
                </w:r>
                <w:r>
                  <w:rPr>
                    <w:sz w:val="18"/>
                    <w:vertAlign w:val="superscript"/>
                  </w:rPr>
                  <w:t>th</w:t>
                </w:r>
                <w:r>
                  <w:rPr>
                    <w:sz w:val="18"/>
                    <w:vertAlign w:val="baseline"/>
                  </w:rPr>
                  <w:t> edition (2016) at page 426</w:t>
                </w:r>
              </w:p>
            </w:txbxContent>
          </v:textbox>
          <w10:wrap type="none"/>
        </v:shape>
      </w:pict>
    </w:r>
    <w:r>
      <w:rPr/>
      <w:pict>
        <v:shape style="position:absolute;margin-left:288.369995pt;margin-top:780.200012pt;width:18.75pt;height:13.05pt;mso-position-horizontal-relative:page;mso-position-vertical-relative:page;z-index:-23874560" type="#_x0000_t202" filled="false" stroked="false">
          <v:textbox inset="0,0,0,0">
            <w:txbxContent>
              <w:p>
                <w:pPr>
                  <w:spacing w:line="245" w:lineRule="exact" w:before="0"/>
                  <w:ind w:left="20" w:right="0" w:firstLine="0"/>
                  <w:jc w:val="left"/>
                  <w:rPr>
                    <w:rFonts w:ascii="Calibri"/>
                    <w:sz w:val="22"/>
                  </w:rPr>
                </w:pPr>
                <w:r>
                  <w:rPr>
                    <w:rFonts w:ascii="Calibri"/>
                    <w:sz w:val="22"/>
                  </w:rPr>
                  <w:t>275</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73536" filled="true" fillcolor="#000000" stroked="false">
          <v:fill type="solid"/>
          <w10:wrap type="none"/>
        </v:rect>
      </w:pict>
    </w:r>
    <w:r>
      <w:rPr/>
      <w:pict>
        <v:shape style="position:absolute;margin-left:71.024002pt;margin-top:757.128357pt;width:427.35pt;height:13.9pt;mso-position-horizontal-relative:page;mso-position-vertical-relative:page;z-index:-23873024" type="#_x0000_t202" filled="false" stroked="false">
          <v:textbox inset="0,0,0,0">
            <w:txbxContent>
              <w:p>
                <w:pPr>
                  <w:spacing w:before="51"/>
                  <w:ind w:left="20" w:right="0" w:firstLine="0"/>
                  <w:jc w:val="left"/>
                  <w:rPr>
                    <w:sz w:val="18"/>
                  </w:rPr>
                </w:pPr>
                <w:r>
                  <w:rPr>
                    <w:sz w:val="18"/>
                    <w:vertAlign w:val="superscript"/>
                  </w:rPr>
                  <w:t>140</w:t>
                </w:r>
                <w:r>
                  <w:rPr>
                    <w:sz w:val="18"/>
                    <w:vertAlign w:val="baseline"/>
                  </w:rPr>
                  <w:t> Commentary on the Criminal Procedure Code by Ratanlal and Dhirajlal , 20</w:t>
                </w:r>
                <w:r>
                  <w:rPr>
                    <w:sz w:val="18"/>
                    <w:vertAlign w:val="superscript"/>
                  </w:rPr>
                  <w:t>th</w:t>
                </w:r>
                <w:r>
                  <w:rPr>
                    <w:sz w:val="18"/>
                    <w:vertAlign w:val="baseline"/>
                  </w:rPr>
                  <w:t> edition (2016) at page 427</w:t>
                </w:r>
              </w:p>
            </w:txbxContent>
          </v:textbox>
          <w10:wrap type="none"/>
        </v:shape>
      </w:pict>
    </w:r>
    <w:r>
      <w:rPr/>
      <w:pict>
        <v:shape style="position:absolute;margin-left:288.369995pt;margin-top:780.200012pt;width:18.75pt;height:13.05pt;mso-position-horizontal-relative:page;mso-position-vertical-relative:page;z-index:-23872512" type="#_x0000_t202" filled="false" stroked="false">
          <v:textbox inset="0,0,0,0">
            <w:txbxContent>
              <w:p>
                <w:pPr>
                  <w:spacing w:line="245" w:lineRule="exact" w:before="0"/>
                  <w:ind w:left="20" w:right="0" w:firstLine="0"/>
                  <w:jc w:val="left"/>
                  <w:rPr>
                    <w:rFonts w:ascii="Calibri"/>
                    <w:sz w:val="22"/>
                  </w:rPr>
                </w:pPr>
                <w:r>
                  <w:rPr>
                    <w:rFonts w:ascii="Calibri"/>
                    <w:sz w:val="22"/>
                  </w:rPr>
                  <w:t>276</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57.128357pt;width:110.7pt;height:13.9pt;mso-position-horizontal-relative:page;mso-position-vertical-relative:page;z-index:-23871488" type="#_x0000_t202" filled="false" stroked="false">
          <v:textbox inset="0,0,0,0">
            <w:txbxContent>
              <w:p>
                <w:pPr>
                  <w:spacing w:before="51"/>
                  <w:ind w:left="20" w:right="0" w:firstLine="0"/>
                  <w:jc w:val="left"/>
                  <w:rPr>
                    <w:sz w:val="18"/>
                  </w:rPr>
                </w:pPr>
                <w:r>
                  <w:rPr>
                    <w:sz w:val="18"/>
                    <w:vertAlign w:val="superscript"/>
                  </w:rPr>
                  <w:t>143</w:t>
                </w:r>
                <w:r>
                  <w:rPr>
                    <w:sz w:val="18"/>
                    <w:vertAlign w:val="baseline"/>
                  </w:rPr>
                  <w:t> 1959 Supp (2) SCR 798</w:t>
                </w:r>
              </w:p>
            </w:txbxContent>
          </v:textbox>
          <w10:wrap type="none"/>
        </v:shape>
      </w:pict>
    </w:r>
    <w:r>
      <w:rPr/>
      <w:pict>
        <v:shape style="position:absolute;margin-left:288.369995pt;margin-top:780.200012pt;width:18.75pt;height:13.05pt;mso-position-horizontal-relative:page;mso-position-vertical-relative:page;z-index:-23870976" type="#_x0000_t202" filled="false" stroked="false">
          <v:textbox inset="0,0,0,0">
            <w:txbxContent>
              <w:p>
                <w:pPr>
                  <w:spacing w:line="245" w:lineRule="exact" w:before="0"/>
                  <w:ind w:left="20" w:right="0" w:firstLine="0"/>
                  <w:jc w:val="left"/>
                  <w:rPr>
                    <w:rFonts w:ascii="Calibri"/>
                    <w:sz w:val="22"/>
                  </w:rPr>
                </w:pPr>
                <w:r>
                  <w:rPr>
                    <w:rFonts w:ascii="Calibri"/>
                    <w:sz w:val="22"/>
                  </w:rPr>
                  <w:t>277</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69952" type="#_x0000_t202" filled="false" stroked="false">
          <v:textbox inset="0,0,0,0">
            <w:txbxContent>
              <w:p>
                <w:pPr>
                  <w:spacing w:line="245" w:lineRule="exact" w:before="0"/>
                  <w:ind w:left="20" w:right="0" w:firstLine="0"/>
                  <w:jc w:val="left"/>
                  <w:rPr>
                    <w:rFonts w:ascii="Calibri"/>
                    <w:sz w:val="22"/>
                  </w:rPr>
                </w:pPr>
                <w:r>
                  <w:rPr>
                    <w:rFonts w:ascii="Calibri"/>
                    <w:sz w:val="22"/>
                  </w:rPr>
                  <w:t>278</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0.75pt;height:13.05pt;mso-position-horizontal-relative:page;mso-position-vertical-relative:page;z-index:-238689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27</w:t>
                </w:r>
                <w:r>
                  <w:rPr/>
                  <w:fldChar w:fldCharType="end"/>
                </w:r>
                <w:r>
                  <w:rPr>
                    <w:rFonts w:ascii="Calibri"/>
                    <w:sz w:val="22"/>
                  </w:rPr>
                  <w:t>9</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67904" type="#_x0000_t202" filled="false" stroked="false">
          <v:textbox inset="0,0,0,0">
            <w:txbxContent>
              <w:p>
                <w:pPr>
                  <w:spacing w:line="245" w:lineRule="exact" w:before="0"/>
                  <w:ind w:left="20" w:right="0" w:firstLine="0"/>
                  <w:jc w:val="left"/>
                  <w:rPr>
                    <w:rFonts w:ascii="Calibri"/>
                    <w:sz w:val="22"/>
                  </w:rPr>
                </w:pPr>
                <w:r>
                  <w:rPr>
                    <w:rFonts w:ascii="Calibri"/>
                    <w:sz w:val="22"/>
                  </w:rPr>
                  <w:t>280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6688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281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201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56</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757.128357pt;width:89.15pt;height:13.9pt;mso-position-horizontal-relative:page;mso-position-vertical-relative:page;z-index:-23865856"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149</w:t>
                </w:r>
                <w:r>
                  <w:rPr/>
                  <w:fldChar w:fldCharType="end"/>
                </w:r>
                <w:r>
                  <w:rPr>
                    <w:sz w:val="18"/>
                    <w:vertAlign w:val="baseline"/>
                  </w:rPr>
                  <w:t> (2000) 4 SCC 440</w:t>
                </w:r>
              </w:p>
            </w:txbxContent>
          </v:textbox>
          <w10:wrap type="none"/>
        </v:shape>
      </w:pict>
    </w:r>
    <w:r>
      <w:rPr/>
      <w:pict>
        <v:shape style="position:absolute;margin-left:288.369995pt;margin-top:780.200012pt;width:18.75pt;height:13.05pt;mso-position-horizontal-relative:page;mso-position-vertical-relative:page;z-index:-23865344" type="#_x0000_t202" filled="false" stroked="false">
          <v:textbox inset="0,0,0,0">
            <w:txbxContent>
              <w:p>
                <w:pPr>
                  <w:spacing w:line="245" w:lineRule="exact" w:before="0"/>
                  <w:ind w:left="20" w:right="0" w:firstLine="0"/>
                  <w:jc w:val="left"/>
                  <w:rPr>
                    <w:rFonts w:ascii="Calibri"/>
                    <w:sz w:val="22"/>
                  </w:rPr>
                </w:pPr>
                <w:r>
                  <w:rPr>
                    <w:rFonts w:ascii="Calibri"/>
                    <w:sz w:val="22"/>
                  </w:rPr>
                  <w:t>285</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57.128357pt;width:87.15pt;height:13.9pt;mso-position-horizontal-relative:page;mso-position-vertical-relative:page;z-index:-23864320" type="#_x0000_t202" filled="false" stroked="false">
          <v:textbox inset="0,0,0,0">
            <w:txbxContent>
              <w:p>
                <w:pPr>
                  <w:spacing w:before="51"/>
                  <w:ind w:left="20" w:right="0" w:firstLine="0"/>
                  <w:jc w:val="left"/>
                  <w:rPr>
                    <w:sz w:val="18"/>
                  </w:rPr>
                </w:pPr>
                <w:r>
                  <w:rPr>
                    <w:sz w:val="18"/>
                    <w:vertAlign w:val="superscript"/>
                  </w:rPr>
                  <w:t>150</w:t>
                </w:r>
                <w:r>
                  <w:rPr>
                    <w:sz w:val="18"/>
                    <w:vertAlign w:val="baseline"/>
                  </w:rPr>
                  <w:t> (1985) 1 SCC 427</w:t>
                </w:r>
              </w:p>
            </w:txbxContent>
          </v:textbox>
          <w10:wrap type="none"/>
        </v:shape>
      </w:pict>
    </w:r>
    <w:r>
      <w:rPr/>
      <w:pict>
        <v:shape style="position:absolute;margin-left:288.369995pt;margin-top:780.200012pt;width:18.75pt;height:13.05pt;mso-position-horizontal-relative:page;mso-position-vertical-relative:page;z-index:-23863808" type="#_x0000_t202" filled="false" stroked="false">
          <v:textbox inset="0,0,0,0">
            <w:txbxContent>
              <w:p>
                <w:pPr>
                  <w:spacing w:line="245" w:lineRule="exact" w:before="0"/>
                  <w:ind w:left="20" w:right="0" w:firstLine="0"/>
                  <w:jc w:val="left"/>
                  <w:rPr>
                    <w:rFonts w:ascii="Calibri"/>
                    <w:sz w:val="22"/>
                  </w:rPr>
                </w:pPr>
                <w:r>
                  <w:rPr>
                    <w:rFonts w:ascii="Calibri"/>
                    <w:sz w:val="22"/>
                  </w:rPr>
                  <w:t>286</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6278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287</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61760" filled="true" fillcolor="#000000" stroked="false">
          <v:fill type="solid"/>
          <w10:wrap type="none"/>
        </v:rect>
      </w:pict>
    </w:r>
    <w:r>
      <w:rPr/>
      <w:pict>
        <v:shape style="position:absolute;margin-left:71.024002pt;margin-top:757.128357pt;width:97.2pt;height:13.9pt;mso-position-horizontal-relative:page;mso-position-vertical-relative:page;z-index:-23861248" type="#_x0000_t202" filled="false" stroked="false">
          <v:textbox inset="0,0,0,0">
            <w:txbxContent>
              <w:p>
                <w:pPr>
                  <w:spacing w:before="51"/>
                  <w:ind w:left="20" w:right="0" w:firstLine="0"/>
                  <w:jc w:val="left"/>
                  <w:rPr>
                    <w:sz w:val="18"/>
                  </w:rPr>
                </w:pPr>
                <w:r>
                  <w:rPr>
                    <w:sz w:val="18"/>
                    <w:vertAlign w:val="superscript"/>
                  </w:rPr>
                  <w:t>158</w:t>
                </w:r>
                <w:r>
                  <w:rPr>
                    <w:sz w:val="18"/>
                    <w:vertAlign w:val="baseline"/>
                  </w:rPr>
                  <w:t> 1986 Supp SCC 700</w:t>
                </w:r>
              </w:p>
            </w:txbxContent>
          </v:textbox>
          <w10:wrap type="none"/>
        </v:shape>
      </w:pict>
    </w:r>
    <w:r>
      <w:rPr/>
      <w:pict>
        <v:shape style="position:absolute;margin-left:286.369995pt;margin-top:780.200012pt;width:22.75pt;height:13.05pt;mso-position-horizontal-relative:page;mso-position-vertical-relative:page;z-index:-2386073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299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57.128357pt;width:78.7pt;height:13.9pt;mso-position-horizontal-relative:page;mso-position-vertical-relative:page;z-index:-23859712" type="#_x0000_t202" filled="false" stroked="false">
          <v:textbox inset="0,0,0,0">
            <w:txbxContent>
              <w:p>
                <w:pPr>
                  <w:spacing w:before="51"/>
                  <w:ind w:left="20" w:right="0" w:firstLine="0"/>
                  <w:jc w:val="left"/>
                  <w:rPr>
                    <w:sz w:val="18"/>
                  </w:rPr>
                </w:pPr>
                <w:r>
                  <w:rPr>
                    <w:sz w:val="18"/>
                    <w:vertAlign w:val="superscript"/>
                  </w:rPr>
                  <w:t>161</w:t>
                </w:r>
                <w:r>
                  <w:rPr>
                    <w:sz w:val="18"/>
                    <w:vertAlign w:val="baseline"/>
                  </w:rPr>
                  <w:t> 1954 SCR 1005</w:t>
                </w:r>
              </w:p>
            </w:txbxContent>
          </v:textbox>
          <w10:wrap type="none"/>
        </v:shape>
      </w:pict>
    </w:r>
    <w:r>
      <w:rPr/>
      <w:pict>
        <v:shape style="position:absolute;margin-left:286.369995pt;margin-top:780.200012pt;width:22.75pt;height:13.05pt;mso-position-horizontal-relative:page;mso-position-vertical-relative:page;z-index:-238592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301</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5817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302</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57152" filled="true" fillcolor="#000000" stroked="false">
          <v:fill type="solid"/>
          <w10:wrap type="none"/>
        </v:rect>
      </w:pict>
    </w:r>
    <w:r>
      <w:rPr/>
      <w:pict>
        <v:shape style="position:absolute;margin-left:69.024002pt;margin-top:757.128357pt;width:89.15pt;height:13.9pt;mso-position-horizontal-relative:page;mso-position-vertical-relative:page;z-index:-23856640"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166</w:t>
                </w:r>
                <w:r>
                  <w:rPr/>
                  <w:fldChar w:fldCharType="end"/>
                </w:r>
                <w:r>
                  <w:rPr>
                    <w:sz w:val="18"/>
                    <w:vertAlign w:val="baseline"/>
                  </w:rPr>
                  <w:t> (1981) 2 SCC 790</w:t>
                </w:r>
              </w:p>
            </w:txbxContent>
          </v:textbox>
          <w10:wrap type="none"/>
        </v:shape>
      </w:pict>
    </w:r>
    <w:r>
      <w:rPr/>
      <w:pict>
        <v:shape style="position:absolute;margin-left:288.369995pt;margin-top:780.200012pt;width:18.75pt;height:13.05pt;mso-position-horizontal-relative:page;mso-position-vertical-relative:page;z-index:-23856128" type="#_x0000_t202" filled="false" stroked="false">
          <v:textbox inset="0,0,0,0">
            <w:txbxContent>
              <w:p>
                <w:pPr>
                  <w:spacing w:line="245" w:lineRule="exact" w:before="0"/>
                  <w:ind w:left="20" w:right="0" w:firstLine="0"/>
                  <w:jc w:val="left"/>
                  <w:rPr>
                    <w:rFonts w:ascii="Calibri"/>
                    <w:sz w:val="22"/>
                  </w:rPr>
                </w:pPr>
                <w:r>
                  <w:rPr>
                    <w:rFonts w:ascii="Calibri"/>
                    <w:sz w:val="22"/>
                  </w:rPr>
                  <w:t>309</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55104" filled="true" fillcolor="#000000" stroked="false">
          <v:fill type="solid"/>
          <w10:wrap type="none"/>
        </v:rect>
      </w:pict>
    </w:r>
    <w:r>
      <w:rPr/>
      <w:pict>
        <v:shape style="position:absolute;margin-left:69.024002pt;margin-top:757.128357pt;width:89.15pt;height:13.9pt;mso-position-horizontal-relative:page;mso-position-vertical-relative:page;z-index:-23854592"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167</w:t>
                </w:r>
                <w:r>
                  <w:rPr/>
                  <w:fldChar w:fldCharType="end"/>
                </w:r>
                <w:r>
                  <w:rPr>
                    <w:sz w:val="18"/>
                    <w:vertAlign w:val="baseline"/>
                  </w:rPr>
                  <w:t> (1986) 1 SCC 445</w:t>
                </w:r>
              </w:p>
            </w:txbxContent>
          </v:textbox>
          <w10:wrap type="none"/>
        </v:shape>
      </w:pict>
    </w:r>
    <w:r>
      <w:rPr/>
      <w:pict>
        <v:shape style="position:absolute;margin-left:288.369995pt;margin-top:780.200012pt;width:18.75pt;height:13.05pt;mso-position-horizontal-relative:page;mso-position-vertical-relative:page;z-index:-23854080" type="#_x0000_t202" filled="false" stroked="false">
          <v:textbox inset="0,0,0,0">
            <w:txbxContent>
              <w:p>
                <w:pPr>
                  <w:spacing w:line="245" w:lineRule="exact" w:before="0"/>
                  <w:ind w:left="20" w:right="0" w:firstLine="0"/>
                  <w:jc w:val="left"/>
                  <w:rPr>
                    <w:rFonts w:ascii="Calibri"/>
                    <w:sz w:val="22"/>
                  </w:rPr>
                </w:pPr>
                <w:r>
                  <w:rPr>
                    <w:rFonts w:ascii="Calibri"/>
                    <w:sz w:val="22"/>
                  </w:rPr>
                  <w:t>310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5305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312</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5203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356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130005pt;margin-top:780.200012pt;width:17.3pt;height:13.05pt;mso-position-horizontal-relative:page;mso-position-vertical-relative:page;z-index:-2391910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51008" type="#_x0000_t202" filled="false" stroked="false">
          <v:textbox inset="0,0,0,0">
            <w:txbxContent>
              <w:p>
                <w:pPr>
                  <w:spacing w:line="245" w:lineRule="exact" w:before="0"/>
                  <w:ind w:left="20" w:right="0" w:firstLine="0"/>
                  <w:jc w:val="left"/>
                  <w:rPr>
                    <w:rFonts w:ascii="Calibri"/>
                    <w:sz w:val="22"/>
                  </w:rPr>
                </w:pPr>
                <w:r>
                  <w:rPr>
                    <w:rFonts w:ascii="Calibri"/>
                    <w:sz w:val="22"/>
                  </w:rPr>
                  <w:t>386</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4998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387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48960" filled="true" fillcolor="#000000" stroked="false">
          <v:fill type="solid"/>
          <w10:wrap type="none"/>
        </v:rect>
      </w:pict>
    </w:r>
    <w:r>
      <w:rPr/>
      <w:pict>
        <v:shape style="position:absolute;margin-left:69.024002pt;margin-top:757.128357pt;width:91.65pt;height:13.9pt;mso-position-horizontal-relative:page;mso-position-vertical-relative:page;z-index:-23848448"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230</w:t>
                </w:r>
                <w:r>
                  <w:rPr/>
                  <w:fldChar w:fldCharType="end"/>
                </w:r>
                <w:r>
                  <w:rPr>
                    <w:sz w:val="18"/>
                    <w:vertAlign w:val="baseline"/>
                  </w:rPr>
                  <w:t> AIR 1940 Mad 617</w:t>
                </w:r>
              </w:p>
            </w:txbxContent>
          </v:textbox>
          <w10:wrap type="none"/>
        </v:shape>
      </w:pict>
    </w:r>
    <w:r>
      <w:rPr/>
      <w:pict>
        <v:shape style="position:absolute;margin-left:288.369995pt;margin-top:780.200012pt;width:18.75pt;height:13.05pt;mso-position-horizontal-relative:page;mso-position-vertical-relative:page;z-index:-23847936" type="#_x0000_t202" filled="false" stroked="false">
          <v:textbox inset="0,0,0,0">
            <w:txbxContent>
              <w:p>
                <w:pPr>
                  <w:spacing w:line="245" w:lineRule="exact" w:before="0"/>
                  <w:ind w:left="20" w:right="0" w:firstLine="0"/>
                  <w:jc w:val="left"/>
                  <w:rPr>
                    <w:rFonts w:ascii="Calibri"/>
                    <w:sz w:val="22"/>
                  </w:rPr>
                </w:pPr>
                <w:r>
                  <w:rPr>
                    <w:rFonts w:ascii="Calibri"/>
                    <w:sz w:val="22"/>
                  </w:rPr>
                  <w:t>411</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46912" filled="true" fillcolor="#000000" stroked="false">
          <v:fill type="solid"/>
          <w10:wrap type="none"/>
        </v:rect>
      </w:pict>
    </w:r>
    <w:r>
      <w:rPr/>
      <w:pict>
        <v:shape style="position:absolute;margin-left:71.024002pt;margin-top:757.128357pt;width:89.65pt;height:13.9pt;mso-position-horizontal-relative:page;mso-position-vertical-relative:page;z-index:-23846400" type="#_x0000_t202" filled="false" stroked="false">
          <v:textbox inset="0,0,0,0">
            <w:txbxContent>
              <w:p>
                <w:pPr>
                  <w:spacing w:before="51"/>
                  <w:ind w:left="20" w:right="0" w:firstLine="0"/>
                  <w:jc w:val="left"/>
                  <w:rPr>
                    <w:sz w:val="18"/>
                  </w:rPr>
                </w:pPr>
                <w:r>
                  <w:rPr>
                    <w:sz w:val="18"/>
                    <w:vertAlign w:val="superscript"/>
                  </w:rPr>
                  <w:t>231</w:t>
                </w:r>
                <w:r>
                  <w:rPr>
                    <w:sz w:val="18"/>
                    <w:vertAlign w:val="baseline"/>
                  </w:rPr>
                  <w:t> AIR 1949 Mad 721</w:t>
                </w:r>
              </w:p>
            </w:txbxContent>
          </v:textbox>
          <w10:wrap type="none"/>
        </v:shape>
      </w:pict>
    </w:r>
    <w:r>
      <w:rPr/>
      <w:pict>
        <v:shape style="position:absolute;margin-left:288.369995pt;margin-top:780.200012pt;width:18.75pt;height:13.05pt;mso-position-horizontal-relative:page;mso-position-vertical-relative:page;z-index:-23845888" type="#_x0000_t202" filled="false" stroked="false">
          <v:textbox inset="0,0,0,0">
            <w:txbxContent>
              <w:p>
                <w:pPr>
                  <w:spacing w:line="245" w:lineRule="exact" w:before="0"/>
                  <w:ind w:left="20" w:right="0" w:firstLine="0"/>
                  <w:jc w:val="left"/>
                  <w:rPr>
                    <w:rFonts w:ascii="Calibri"/>
                    <w:sz w:val="22"/>
                  </w:rPr>
                </w:pPr>
                <w:r>
                  <w:rPr>
                    <w:rFonts w:ascii="Calibri"/>
                    <w:sz w:val="22"/>
                  </w:rPr>
                  <w:t>412</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4486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413</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43840" filled="true" fillcolor="#000000" stroked="false">
          <v:fill type="solid"/>
          <w10:wrap type="none"/>
        </v:rect>
      </w:pict>
    </w:r>
    <w:r>
      <w:rPr/>
      <w:pict>
        <v:shape style="position:absolute;margin-left:69.024002pt;margin-top:757.128357pt;width:86.8pt;height:13.9pt;mso-position-horizontal-relative:page;mso-position-vertical-relative:page;z-index:-23843328"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234</w:t>
                </w:r>
                <w:r>
                  <w:rPr/>
                  <w:fldChar w:fldCharType="end"/>
                </w:r>
                <w:r>
                  <w:rPr>
                    <w:sz w:val="18"/>
                    <w:vertAlign w:val="baseline"/>
                  </w:rPr>
                  <w:t> AIR 1956 SC 382</w:t>
                </w:r>
              </w:p>
            </w:txbxContent>
          </v:textbox>
          <w10:wrap type="none"/>
        </v:shape>
      </w:pict>
    </w:r>
    <w:r>
      <w:rPr/>
      <w:pict>
        <v:shape style="position:absolute;margin-left:288.369995pt;margin-top:780.200012pt;width:18.75pt;height:13.05pt;mso-position-horizontal-relative:page;mso-position-vertical-relative:page;z-index:-23842816" type="#_x0000_t202" filled="false" stroked="false">
          <v:textbox inset="0,0,0,0">
            <w:txbxContent>
              <w:p>
                <w:pPr>
                  <w:spacing w:line="245" w:lineRule="exact" w:before="0"/>
                  <w:ind w:left="20" w:right="0" w:firstLine="0"/>
                  <w:jc w:val="left"/>
                  <w:rPr>
                    <w:rFonts w:ascii="Calibri"/>
                    <w:sz w:val="22"/>
                  </w:rPr>
                </w:pPr>
                <w:r>
                  <w:rPr>
                    <w:rFonts w:ascii="Calibri"/>
                    <w:sz w:val="22"/>
                  </w:rPr>
                  <w:t>418</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41792" filled="true" fillcolor="#000000" stroked="false">
          <v:fill type="solid"/>
          <w10:wrap type="none"/>
        </v:rect>
      </w:pict>
    </w:r>
    <w:r>
      <w:rPr/>
      <w:pict>
        <v:shape style="position:absolute;margin-left:71.024002pt;margin-top:757.128357pt;width:89.7pt;height:13.9pt;mso-position-horizontal-relative:page;mso-position-vertical-relative:page;z-index:-23841280" type="#_x0000_t202" filled="false" stroked="false">
          <v:textbox inset="0,0,0,0">
            <w:txbxContent>
              <w:p>
                <w:pPr>
                  <w:spacing w:before="51"/>
                  <w:ind w:left="20" w:right="0" w:firstLine="0"/>
                  <w:jc w:val="left"/>
                  <w:rPr>
                    <w:sz w:val="18"/>
                  </w:rPr>
                </w:pPr>
                <w:r>
                  <w:rPr>
                    <w:sz w:val="18"/>
                    <w:vertAlign w:val="superscript"/>
                  </w:rPr>
                  <w:t>235</w:t>
                </w:r>
                <w:r>
                  <w:rPr>
                    <w:sz w:val="18"/>
                    <w:vertAlign w:val="baseline"/>
                  </w:rPr>
                  <w:t> AIR 1962 SC 1329</w:t>
                </w:r>
              </w:p>
            </w:txbxContent>
          </v:textbox>
          <w10:wrap type="none"/>
        </v:shape>
      </w:pict>
    </w:r>
    <w:r>
      <w:rPr/>
      <w:pict>
        <v:shape style="position:absolute;margin-left:288.369995pt;margin-top:780.200012pt;width:18.75pt;height:13.05pt;mso-position-horizontal-relative:page;mso-position-vertical-relative:page;z-index:-23840768" type="#_x0000_t202" filled="false" stroked="false">
          <v:textbox inset="0,0,0,0">
            <w:txbxContent>
              <w:p>
                <w:pPr>
                  <w:spacing w:line="245" w:lineRule="exact" w:before="0"/>
                  <w:ind w:left="20" w:right="0" w:firstLine="0"/>
                  <w:jc w:val="left"/>
                  <w:rPr>
                    <w:rFonts w:ascii="Calibri"/>
                    <w:sz w:val="22"/>
                  </w:rPr>
                </w:pPr>
                <w:r>
                  <w:rPr>
                    <w:rFonts w:ascii="Calibri"/>
                    <w:sz w:val="22"/>
                  </w:rPr>
                  <w:t>419</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39744" type="#_x0000_t202" filled="false" stroked="false">
          <v:textbox inset="0,0,0,0">
            <w:txbxContent>
              <w:p>
                <w:pPr>
                  <w:spacing w:line="245" w:lineRule="exact" w:before="0"/>
                  <w:ind w:left="20" w:right="0" w:firstLine="0"/>
                  <w:jc w:val="left"/>
                  <w:rPr>
                    <w:rFonts w:ascii="Calibri"/>
                    <w:sz w:val="22"/>
                  </w:rPr>
                </w:pPr>
                <w:r>
                  <w:rPr>
                    <w:rFonts w:ascii="Calibri"/>
                    <w:sz w:val="22"/>
                  </w:rPr>
                  <w:t>420</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8pt;height:13.05pt;mso-position-horizontal-relative:page;mso-position-vertical-relative:page;z-index:-2383872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434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37696" filled="true" fillcolor="#000000" stroked="false">
          <v:fill type="solid"/>
          <w10:wrap type="none"/>
        </v:rect>
      </w:pict>
    </w:r>
    <w:r>
      <w:rPr/>
      <w:pict>
        <v:shape style="position:absolute;margin-left:71.024002pt;margin-top:757.128357pt;width:82.2pt;height:13.9pt;mso-position-horizontal-relative:page;mso-position-vertical-relative:page;z-index:-23837184" type="#_x0000_t202" filled="false" stroked="false">
          <v:textbox inset="0,0,0,0">
            <w:txbxContent>
              <w:p>
                <w:pPr>
                  <w:spacing w:before="51"/>
                  <w:ind w:left="20" w:right="0" w:firstLine="0"/>
                  <w:jc w:val="left"/>
                  <w:rPr>
                    <w:sz w:val="18"/>
                  </w:rPr>
                </w:pPr>
                <w:r>
                  <w:rPr>
                    <w:sz w:val="18"/>
                    <w:vertAlign w:val="superscript"/>
                  </w:rPr>
                  <w:t>241</w:t>
                </w:r>
                <w:r>
                  <w:rPr>
                    <w:sz w:val="18"/>
                    <w:vertAlign w:val="baseline"/>
                  </w:rPr>
                  <w:t>AIR 1922 PC 123</w:t>
                </w:r>
              </w:p>
            </w:txbxContent>
          </v:textbox>
          <w10:wrap type="none"/>
        </v:shape>
      </w:pict>
    </w:r>
    <w:r>
      <w:rPr/>
      <w:pict>
        <v:shape style="position:absolute;margin-left:286.369995pt;margin-top:780.200012pt;width:22.75pt;height:13.05pt;mso-position-horizontal-relative:page;mso-position-vertical-relative:page;z-index:-2383667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455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43.280029pt;width:144.020pt;height:.599980pt;mso-position-horizontal-relative:page;mso-position-vertical-relative:page;z-index:-23918080" filled="true" fillcolor="#000000" stroked="false">
          <v:fill type="solid"/>
          <w10:wrap type="none"/>
        </v:rect>
      </w:pict>
    </w:r>
    <w:r>
      <w:rPr/>
      <w:pict>
        <v:shape style="position:absolute;margin-left:71.024002pt;margin-top:746.688354pt;width:50.8pt;height:24.35pt;mso-position-horizontal-relative:page;mso-position-vertical-relative:page;z-index:-23917568" type="#_x0000_t202" filled="false" stroked="false">
          <v:textbox inset="0,0,0,0">
            <w:txbxContent>
              <w:p>
                <w:pPr>
                  <w:spacing w:before="51"/>
                  <w:ind w:left="20" w:right="0" w:firstLine="0"/>
                  <w:jc w:val="left"/>
                  <w:rPr>
                    <w:sz w:val="18"/>
                  </w:rPr>
                </w:pPr>
                <w:r>
                  <w:rPr>
                    <w:sz w:val="18"/>
                    <w:vertAlign w:val="superscript"/>
                  </w:rPr>
                  <w:t>17</w:t>
                </w:r>
                <w:r>
                  <w:rPr>
                    <w:sz w:val="18"/>
                    <w:vertAlign w:val="baseline"/>
                  </w:rPr>
                  <w:t> Exhibit</w:t>
                </w:r>
                <w:r>
                  <w:rPr>
                    <w:spacing w:val="-8"/>
                    <w:sz w:val="18"/>
                    <w:vertAlign w:val="baseline"/>
                  </w:rPr>
                  <w:t> </w:t>
                </w:r>
                <w:r>
                  <w:rPr>
                    <w:sz w:val="18"/>
                    <w:vertAlign w:val="baseline"/>
                  </w:rPr>
                  <w:t>21</w:t>
                </w:r>
              </w:p>
              <w:p>
                <w:pPr>
                  <w:spacing w:before="2"/>
                  <w:ind w:left="20" w:right="0" w:firstLine="0"/>
                  <w:jc w:val="left"/>
                  <w:rPr>
                    <w:sz w:val="18"/>
                  </w:rPr>
                </w:pPr>
                <w:r>
                  <w:rPr>
                    <w:sz w:val="18"/>
                    <w:vertAlign w:val="superscript"/>
                  </w:rPr>
                  <w:t>18</w:t>
                </w:r>
                <w:r>
                  <w:rPr>
                    <w:sz w:val="18"/>
                    <w:vertAlign w:val="baseline"/>
                  </w:rPr>
                  <w:t> Exhibit</w:t>
                </w:r>
                <w:r>
                  <w:rPr>
                    <w:spacing w:val="-8"/>
                    <w:sz w:val="18"/>
                    <w:vertAlign w:val="baseline"/>
                  </w:rPr>
                  <w:t> </w:t>
                </w:r>
                <w:r>
                  <w:rPr>
                    <w:sz w:val="18"/>
                    <w:vertAlign w:val="baseline"/>
                  </w:rPr>
                  <w:t>22</w:t>
                </w:r>
              </w:p>
            </w:txbxContent>
          </v:textbox>
          <w10:wrap type="none"/>
        </v:shape>
      </w:pict>
    </w:r>
    <w:r>
      <w:rPr/>
      <w:pict>
        <v:shape style="position:absolute;margin-left:289.130005pt;margin-top:780.200012pt;width:17.3pt;height:13.05pt;mso-position-horizontal-relative:page;mso-position-vertical-relative:page;z-index:-2391705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65</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35648" type="#_x0000_t202" filled="false" stroked="false">
          <v:textbox inset="0,0,0,0">
            <w:txbxContent>
              <w:p>
                <w:pPr>
                  <w:spacing w:line="245" w:lineRule="exact" w:before="0"/>
                  <w:ind w:left="20" w:right="0" w:firstLine="0"/>
                  <w:jc w:val="left"/>
                  <w:rPr>
                    <w:rFonts w:ascii="Calibri"/>
                    <w:sz w:val="22"/>
                  </w:rPr>
                </w:pPr>
                <w:r>
                  <w:rPr>
                    <w:rFonts w:ascii="Calibri"/>
                    <w:sz w:val="22"/>
                  </w:rPr>
                  <w:t>456</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346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457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757.128357pt;width:96.7pt;height:13.9pt;mso-position-horizontal-relative:page;mso-position-vertical-relative:page;z-index:-23833600"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246</w:t>
                </w:r>
                <w:r>
                  <w:rPr/>
                  <w:fldChar w:fldCharType="end"/>
                </w:r>
                <w:r>
                  <w:rPr>
                    <w:sz w:val="18"/>
                    <w:vertAlign w:val="baseline"/>
                  </w:rPr>
                  <w:t> (1903-04) 31 IA 203</w:t>
                </w:r>
              </w:p>
            </w:txbxContent>
          </v:textbox>
          <w10:wrap type="none"/>
        </v:shape>
      </w:pict>
    </w:r>
    <w:r>
      <w:rPr/>
      <w:pict>
        <v:shape style="position:absolute;margin-left:288.369995pt;margin-top:780.200012pt;width:18.75pt;height:13.05pt;mso-position-horizontal-relative:page;mso-position-vertical-relative:page;z-index:-23833088" type="#_x0000_t202" filled="false" stroked="false">
          <v:textbox inset="0,0,0,0">
            <w:txbxContent>
              <w:p>
                <w:pPr>
                  <w:spacing w:line="245" w:lineRule="exact" w:before="0"/>
                  <w:ind w:left="20" w:right="0" w:firstLine="0"/>
                  <w:jc w:val="left"/>
                  <w:rPr>
                    <w:rFonts w:ascii="Calibri"/>
                    <w:sz w:val="22"/>
                  </w:rPr>
                </w:pPr>
                <w:r>
                  <w:rPr>
                    <w:rFonts w:ascii="Calibri"/>
                    <w:sz w:val="22"/>
                  </w:rPr>
                  <w:t>459</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3206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461</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31040" filled="true" fillcolor="#000000" stroked="false">
          <v:fill type="solid"/>
          <w10:wrap type="none"/>
        </v:rect>
      </w:pict>
    </w:r>
    <w:r>
      <w:rPr/>
      <w:pict>
        <v:shape style="position:absolute;margin-left:71.024002pt;margin-top:757.128357pt;width:80.7pt;height:13.9pt;mso-position-horizontal-relative:page;mso-position-vertical-relative:page;z-index:-23830528" type="#_x0000_t202" filled="false" stroked="false">
          <v:textbox inset="0,0,0,0">
            <w:txbxContent>
              <w:p>
                <w:pPr>
                  <w:spacing w:before="51"/>
                  <w:ind w:left="20" w:right="0" w:firstLine="0"/>
                  <w:jc w:val="left"/>
                  <w:rPr>
                    <w:sz w:val="18"/>
                  </w:rPr>
                </w:pPr>
                <w:r>
                  <w:rPr>
                    <w:sz w:val="18"/>
                    <w:vertAlign w:val="superscript"/>
                  </w:rPr>
                  <w:t>255</w:t>
                </w:r>
                <w:r>
                  <w:rPr>
                    <w:sz w:val="18"/>
                    <w:vertAlign w:val="baseline"/>
                  </w:rPr>
                  <w:t> AIR 1942 Cal 99</w:t>
                </w:r>
              </w:p>
            </w:txbxContent>
          </v:textbox>
          <w10:wrap type="none"/>
        </v:shape>
      </w:pict>
    </w:r>
    <w:r>
      <w:rPr/>
      <w:pict>
        <v:shape style="position:absolute;margin-left:286.369995pt;margin-top:780.200012pt;width:22.75pt;height:13.05pt;mso-position-horizontal-relative:page;mso-position-vertical-relative:page;z-index:-2383001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466</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28992" filled="true" fillcolor="#000000" stroked="false">
          <v:fill type="solid"/>
          <w10:wrap type="none"/>
        </v:rect>
      </w:pict>
    </w:r>
    <w:r>
      <w:rPr/>
      <w:pict>
        <v:shape style="position:absolute;margin-left:71.024002pt;margin-top:757.128357pt;width:88.2pt;height:13.9pt;mso-position-horizontal-relative:page;mso-position-vertical-relative:page;z-index:-23828480" type="#_x0000_t202" filled="false" stroked="false">
          <v:textbox inset="0,0,0,0">
            <w:txbxContent>
              <w:p>
                <w:pPr>
                  <w:spacing w:before="51"/>
                  <w:ind w:left="20" w:right="0" w:firstLine="0"/>
                  <w:jc w:val="left"/>
                  <w:rPr>
                    <w:sz w:val="18"/>
                  </w:rPr>
                </w:pPr>
                <w:r>
                  <w:rPr>
                    <w:sz w:val="18"/>
                    <w:vertAlign w:val="superscript"/>
                  </w:rPr>
                  <w:t>256</w:t>
                </w:r>
                <w:r>
                  <w:rPr>
                    <w:sz w:val="18"/>
                    <w:vertAlign w:val="baseline"/>
                  </w:rPr>
                  <w:t> AIR 1949 Orissa 1</w:t>
                </w:r>
              </w:p>
            </w:txbxContent>
          </v:textbox>
          <w10:wrap type="none"/>
        </v:shape>
      </w:pict>
    </w:r>
    <w:r>
      <w:rPr/>
      <w:pict>
        <v:shape style="position:absolute;margin-left:286.369995pt;margin-top:780.200012pt;width:22.75pt;height:13.05pt;mso-position-horizontal-relative:page;mso-position-vertical-relative:page;z-index:-2382796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467</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26944" filled="true" fillcolor="#000000" stroked="false">
          <v:fill type="solid"/>
          <w10:wrap type="none"/>
        </v:rect>
      </w:pict>
    </w:r>
    <w:r>
      <w:rPr/>
      <w:pict>
        <v:shape style="position:absolute;margin-left:69.024002pt;margin-top:757.128357pt;width:91.7pt;height:13.9pt;mso-position-horizontal-relative:page;mso-position-vertical-relative:page;z-index:-23826432"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257</w:t>
                </w:r>
                <w:r>
                  <w:rPr/>
                  <w:fldChar w:fldCharType="end"/>
                </w:r>
                <w:r>
                  <w:rPr>
                    <w:sz w:val="18"/>
                    <w:vertAlign w:val="baseline"/>
                  </w:rPr>
                  <w:t> AIR 1965 SC 1966</w:t>
                </w:r>
              </w:p>
            </w:txbxContent>
          </v:textbox>
          <w10:wrap type="none"/>
        </v:shape>
      </w:pict>
    </w:r>
    <w:r>
      <w:rPr/>
      <w:pict>
        <v:shape style="position:absolute;margin-left:288.369995pt;margin-top:780.200012pt;width:18.75pt;height:13.05pt;mso-position-horizontal-relative:page;mso-position-vertical-relative:page;z-index:-23825920" type="#_x0000_t202" filled="false" stroked="false">
          <v:textbox inset="0,0,0,0">
            <w:txbxContent>
              <w:p>
                <w:pPr>
                  <w:spacing w:line="245" w:lineRule="exact" w:before="0"/>
                  <w:ind w:left="20" w:right="0" w:firstLine="0"/>
                  <w:jc w:val="left"/>
                  <w:rPr>
                    <w:rFonts w:ascii="Calibri"/>
                    <w:sz w:val="22"/>
                  </w:rPr>
                </w:pPr>
                <w:r>
                  <w:rPr>
                    <w:rFonts w:ascii="Calibri"/>
                    <w:sz w:val="22"/>
                  </w:rPr>
                  <w:t>468</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24896" filled="true" fillcolor="#000000" stroked="false">
          <v:fill type="solid"/>
          <w10:wrap type="none"/>
        </v:rect>
      </w:pict>
    </w:r>
    <w:r>
      <w:rPr/>
      <w:pict>
        <v:shape style="position:absolute;margin-left:71.024002pt;margin-top:757.128357pt;width:89.7pt;height:13.9pt;mso-position-horizontal-relative:page;mso-position-vertical-relative:page;z-index:-23824384" type="#_x0000_t202" filled="false" stroked="false">
          <v:textbox inset="0,0,0,0">
            <w:txbxContent>
              <w:p>
                <w:pPr>
                  <w:spacing w:before="51"/>
                  <w:ind w:left="20" w:right="0" w:firstLine="0"/>
                  <w:jc w:val="left"/>
                  <w:rPr>
                    <w:sz w:val="18"/>
                  </w:rPr>
                </w:pPr>
                <w:r>
                  <w:rPr>
                    <w:sz w:val="18"/>
                    <w:vertAlign w:val="superscript"/>
                  </w:rPr>
                  <w:t>258</w:t>
                </w:r>
                <w:r>
                  <w:rPr>
                    <w:sz w:val="18"/>
                    <w:vertAlign w:val="baseline"/>
                  </w:rPr>
                  <w:t> AIR 1966 SC 1603</w:t>
                </w:r>
              </w:p>
            </w:txbxContent>
          </v:textbox>
          <w10:wrap type="none"/>
        </v:shape>
      </w:pict>
    </w:r>
    <w:r>
      <w:rPr/>
      <w:pict>
        <v:shape style="position:absolute;margin-left:288.369995pt;margin-top:780.200012pt;width:18.75pt;height:13.05pt;mso-position-horizontal-relative:page;mso-position-vertical-relative:page;z-index:-23823872" type="#_x0000_t202" filled="false" stroked="false">
          <v:textbox inset="0,0,0,0">
            <w:txbxContent>
              <w:p>
                <w:pPr>
                  <w:spacing w:line="245" w:lineRule="exact" w:before="0"/>
                  <w:ind w:left="20" w:right="0" w:firstLine="0"/>
                  <w:jc w:val="left"/>
                  <w:rPr>
                    <w:rFonts w:ascii="Calibri"/>
                    <w:sz w:val="22"/>
                  </w:rPr>
                </w:pPr>
                <w:r>
                  <w:rPr>
                    <w:rFonts w:ascii="Calibri"/>
                    <w:sz w:val="22"/>
                  </w:rPr>
                  <w:t>469</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22848" type="#_x0000_t202" filled="false" stroked="false">
          <v:textbox inset="0,0,0,0">
            <w:txbxContent>
              <w:p>
                <w:pPr>
                  <w:spacing w:line="245" w:lineRule="exact" w:before="0"/>
                  <w:ind w:left="20" w:right="0" w:firstLine="0"/>
                  <w:jc w:val="left"/>
                  <w:rPr>
                    <w:rFonts w:ascii="Calibri"/>
                    <w:sz w:val="22"/>
                  </w:rPr>
                </w:pPr>
                <w:r>
                  <w:rPr>
                    <w:rFonts w:ascii="Calibri"/>
                    <w:sz w:val="22"/>
                  </w:rPr>
                  <w:t>470</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218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471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46.688354pt;width:50.8pt;height:24.35pt;mso-position-horizontal-relative:page;mso-position-vertical-relative:page;z-index:-23916032" type="#_x0000_t202" filled="false" stroked="false">
          <v:textbox inset="0,0,0,0">
            <w:txbxContent>
              <w:p>
                <w:pPr>
                  <w:spacing w:before="51"/>
                  <w:ind w:left="20" w:right="0" w:firstLine="0"/>
                  <w:jc w:val="left"/>
                  <w:rPr>
                    <w:sz w:val="18"/>
                  </w:rPr>
                </w:pPr>
                <w:r>
                  <w:rPr>
                    <w:sz w:val="18"/>
                    <w:vertAlign w:val="superscript"/>
                  </w:rPr>
                  <w:t>20</w:t>
                </w:r>
                <w:r>
                  <w:rPr>
                    <w:sz w:val="18"/>
                    <w:vertAlign w:val="baseline"/>
                  </w:rPr>
                  <w:t> Exhibit</w:t>
                </w:r>
                <w:r>
                  <w:rPr>
                    <w:spacing w:val="-8"/>
                    <w:sz w:val="18"/>
                    <w:vertAlign w:val="baseline"/>
                  </w:rPr>
                  <w:t> </w:t>
                </w:r>
                <w:r>
                  <w:rPr>
                    <w:sz w:val="18"/>
                    <w:vertAlign w:val="baseline"/>
                  </w:rPr>
                  <w:t>31</w:t>
                </w:r>
              </w:p>
              <w:p>
                <w:pPr>
                  <w:spacing w:before="2"/>
                  <w:ind w:left="20" w:right="0" w:firstLine="0"/>
                  <w:jc w:val="left"/>
                  <w:rPr>
                    <w:sz w:val="18"/>
                  </w:rPr>
                </w:pPr>
                <w:r>
                  <w:rPr>
                    <w:sz w:val="18"/>
                    <w:vertAlign w:val="superscript"/>
                  </w:rPr>
                  <w:t>21</w:t>
                </w:r>
                <w:r>
                  <w:rPr>
                    <w:sz w:val="18"/>
                    <w:vertAlign w:val="baseline"/>
                  </w:rPr>
                  <w:t> Exhibit</w:t>
                </w:r>
                <w:r>
                  <w:rPr>
                    <w:spacing w:val="-8"/>
                    <w:sz w:val="18"/>
                    <w:vertAlign w:val="baseline"/>
                  </w:rPr>
                  <w:t> </w:t>
                </w:r>
                <w:r>
                  <w:rPr>
                    <w:sz w:val="18"/>
                    <w:vertAlign w:val="baseline"/>
                  </w:rPr>
                  <w:t>15</w:t>
                </w:r>
              </w:p>
            </w:txbxContent>
          </v:textbox>
          <w10:wrap type="none"/>
        </v:shape>
      </w:pict>
    </w:r>
    <w:r>
      <w:rPr/>
      <w:pict>
        <v:shape style="position:absolute;margin-left:289.130005pt;margin-top:780.200012pt;width:17.3pt;height:13.05pt;mso-position-horizontal-relative:page;mso-position-vertical-relative:page;z-index:-2391552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66</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757.128357pt;width:86.75pt;height:13.9pt;mso-position-horizontal-relative:page;mso-position-vertical-relative:page;z-index:-23820800"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297</w:t>
                </w:r>
                <w:r>
                  <w:rPr/>
                  <w:fldChar w:fldCharType="end"/>
                </w:r>
                <w:r>
                  <w:rPr>
                    <w:sz w:val="18"/>
                    <w:vertAlign w:val="baseline"/>
                  </w:rPr>
                  <w:t>(1975) 2 SCC 326</w:t>
                </w:r>
              </w:p>
            </w:txbxContent>
          </v:textbox>
          <w10:wrap type="none"/>
        </v:shape>
      </w:pict>
    </w:r>
    <w:r>
      <w:rPr/>
      <w:pict>
        <v:shape style="position:absolute;margin-left:288.369995pt;margin-top:780.200012pt;width:18.75pt;height:13.05pt;mso-position-horizontal-relative:page;mso-position-vertical-relative:page;z-index:-23820288" type="#_x0000_t202" filled="false" stroked="false">
          <v:textbox inset="0,0,0,0">
            <w:txbxContent>
              <w:p>
                <w:pPr>
                  <w:spacing w:line="245" w:lineRule="exact" w:before="0"/>
                  <w:ind w:left="20" w:right="0" w:firstLine="0"/>
                  <w:jc w:val="left"/>
                  <w:rPr>
                    <w:rFonts w:ascii="Calibri"/>
                    <w:sz w:val="22"/>
                  </w:rPr>
                </w:pPr>
                <w:r>
                  <w:rPr>
                    <w:rFonts w:ascii="Calibri"/>
                    <w:sz w:val="22"/>
                  </w:rPr>
                  <w:t>591</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57.128357pt;width:84.75pt;height:13.9pt;mso-position-horizontal-relative:page;mso-position-vertical-relative:page;z-index:-23819264" type="#_x0000_t202" filled="false" stroked="false">
          <v:textbox inset="0,0,0,0">
            <w:txbxContent>
              <w:p>
                <w:pPr>
                  <w:spacing w:before="51"/>
                  <w:ind w:left="20" w:right="0" w:firstLine="0"/>
                  <w:jc w:val="left"/>
                  <w:rPr>
                    <w:sz w:val="18"/>
                  </w:rPr>
                </w:pPr>
                <w:r>
                  <w:rPr>
                    <w:sz w:val="18"/>
                    <w:vertAlign w:val="superscript"/>
                  </w:rPr>
                  <w:t>298</w:t>
                </w:r>
                <w:r>
                  <w:rPr>
                    <w:sz w:val="18"/>
                    <w:vertAlign w:val="baseline"/>
                  </w:rPr>
                  <w:t>(1988) 4 SCC 302</w:t>
                </w:r>
              </w:p>
            </w:txbxContent>
          </v:textbox>
          <w10:wrap type="none"/>
        </v:shape>
      </w:pict>
    </w:r>
    <w:r>
      <w:rPr/>
      <w:pict>
        <v:shape style="position:absolute;margin-left:288.369995pt;margin-top:780.200012pt;width:18.75pt;height:13.05pt;mso-position-horizontal-relative:page;mso-position-vertical-relative:page;z-index:-23818752" type="#_x0000_t202" filled="false" stroked="false">
          <v:textbox inset="0,0,0,0">
            <w:txbxContent>
              <w:p>
                <w:pPr>
                  <w:spacing w:line="245" w:lineRule="exact" w:before="0"/>
                  <w:ind w:left="20" w:right="0" w:firstLine="0"/>
                  <w:jc w:val="left"/>
                  <w:rPr>
                    <w:rFonts w:ascii="Calibri"/>
                    <w:sz w:val="22"/>
                  </w:rPr>
                </w:pPr>
                <w:r>
                  <w:rPr>
                    <w:rFonts w:ascii="Calibri"/>
                    <w:sz w:val="22"/>
                  </w:rPr>
                  <w:t>592</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177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593</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8pt;height:13.05pt;mso-position-horizontal-relative:page;mso-position-vertical-relative:page;z-index:-2381670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690</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1568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697</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1465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706</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580002pt;margin-top:751.092957pt;width:306.350pt;height:17.3pt;mso-position-horizontal-relative:page;mso-position-vertical-relative:page;z-index:-23813632" type="#_x0000_t202" filled="false" stroked="false">
          <v:textbox inset="0,0,0,0">
            <w:txbxContent>
              <w:p>
                <w:pPr>
                  <w:spacing w:before="19"/>
                  <w:ind w:left="20" w:right="0" w:firstLine="0"/>
                  <w:jc w:val="left"/>
                  <w:rPr>
                    <w:sz w:val="25"/>
                  </w:rPr>
                </w:pPr>
                <w:r>
                  <w:rPr>
                    <w:rFonts w:ascii="Symbol" w:hAnsi="Symbol"/>
                    <w:sz w:val="25"/>
                  </w:rPr>
                  <w:t></w:t>
                </w:r>
                <w:r>
                  <w:rPr>
                    <w:rFonts w:ascii="Times New Roman" w:hAnsi="Times New Roman"/>
                    <w:sz w:val="25"/>
                  </w:rPr>
                  <w:t> </w:t>
                </w:r>
                <w:r>
                  <w:rPr>
                    <w:b/>
                    <w:sz w:val="25"/>
                  </w:rPr>
                  <w:t>Justice D V Sharma </w:t>
                </w:r>
                <w:r>
                  <w:rPr>
                    <w:sz w:val="25"/>
                  </w:rPr>
                  <w:t>- Decided against the plaintiffs.</w:t>
                </w:r>
              </w:p>
            </w:txbxContent>
          </v:textbox>
          <w10:wrap type="none"/>
        </v:shape>
      </w:pict>
    </w:r>
    <w:r>
      <w:rPr/>
      <w:pict>
        <v:shape style="position:absolute;margin-left:286.369995pt;margin-top:780.200012pt;width:22.75pt;height:13.05pt;mso-position-horizontal-relative:page;mso-position-vertical-relative:page;z-index:-2381312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722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1209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724</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1107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744</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1004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761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0.200012pt;width:13.3pt;height:13.05pt;mso-position-horizontal-relative:page;mso-position-vertical-relative:page;z-index:-23914496" type="#_x0000_t202" filled="false" stroked="false">
          <v:textbox inset="0,0,0,0">
            <w:txbxContent>
              <w:p>
                <w:pPr>
                  <w:spacing w:line="245" w:lineRule="exact" w:before="0"/>
                  <w:ind w:left="20" w:right="0" w:firstLine="0"/>
                  <w:jc w:val="left"/>
                  <w:rPr>
                    <w:rFonts w:ascii="Calibri"/>
                    <w:sz w:val="22"/>
                  </w:rPr>
                </w:pPr>
                <w:r>
                  <w:rPr>
                    <w:rFonts w:ascii="Calibri"/>
                    <w:sz w:val="22"/>
                  </w:rPr>
                  <w:t>67</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809024" type="#_x0000_t202" filled="false" stroked="false">
          <v:textbox inset="0,0,0,0">
            <w:txbxContent>
              <w:p>
                <w:pPr>
                  <w:spacing w:line="245" w:lineRule="exact" w:before="0"/>
                  <w:ind w:left="20" w:right="0" w:firstLine="0"/>
                  <w:jc w:val="left"/>
                  <w:rPr>
                    <w:rFonts w:ascii="Calibri"/>
                    <w:sz w:val="22"/>
                  </w:rPr>
                </w:pPr>
                <w:r>
                  <w:rPr>
                    <w:rFonts w:ascii="Calibri"/>
                    <w:sz w:val="22"/>
                  </w:rPr>
                  <w:t>775</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080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776</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0697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785</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0595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865</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8049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875</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03904" filled="true" fillcolor="#000000" stroked="false">
          <v:fill type="solid"/>
          <w10:wrap type="none"/>
        </v:rect>
      </w:pict>
    </w:r>
    <w:r>
      <w:rPr/>
      <w:pict>
        <v:shape style="position:absolute;margin-left:69.024002pt;margin-top:757.128357pt;width:89.15pt;height:13.9pt;mso-position-horizontal-relative:page;mso-position-vertical-relative:page;z-index:-23803392" type="#_x0000_t202" filled="false" stroked="false">
          <v:textbox inset="0,0,0,0">
            <w:txbxContent>
              <w:p>
                <w:pPr>
                  <w:spacing w:before="51"/>
                  <w:ind w:left="60" w:right="0" w:firstLine="0"/>
                  <w:jc w:val="left"/>
                  <w:rPr>
                    <w:sz w:val="18"/>
                  </w:rPr>
                </w:pPr>
                <w:r>
                  <w:rPr/>
                  <w:fldChar w:fldCharType="begin"/>
                </w:r>
                <w:r>
                  <w:rPr>
                    <w:sz w:val="18"/>
                    <w:vertAlign w:val="superscript"/>
                  </w:rPr>
                  <w:instrText> PAGE </w:instrText>
                </w:r>
                <w:r>
                  <w:rPr/>
                  <w:fldChar w:fldCharType="separate"/>
                </w:r>
                <w:r>
                  <w:rPr/>
                  <w:t>394</w:t>
                </w:r>
                <w:r>
                  <w:rPr/>
                  <w:fldChar w:fldCharType="end"/>
                </w:r>
                <w:r>
                  <w:rPr>
                    <w:sz w:val="18"/>
                    <w:vertAlign w:val="baseline"/>
                  </w:rPr>
                  <w:t> (2002) 3 SCC 258</w:t>
                </w:r>
              </w:p>
            </w:txbxContent>
          </v:textbox>
          <w10:wrap type="none"/>
        </v:shape>
      </w:pict>
    </w:r>
    <w:r>
      <w:rPr/>
      <w:pict>
        <v:shape style="position:absolute;margin-left:288.369995pt;margin-top:780.200012pt;width:18.75pt;height:13.05pt;mso-position-horizontal-relative:page;mso-position-vertical-relative:page;z-index:-23802880" type="#_x0000_t202" filled="false" stroked="false">
          <v:textbox inset="0,0,0,0">
            <w:txbxContent>
              <w:p>
                <w:pPr>
                  <w:spacing w:line="245" w:lineRule="exact" w:before="0"/>
                  <w:ind w:left="20" w:right="0" w:firstLine="0"/>
                  <w:jc w:val="left"/>
                  <w:rPr>
                    <w:rFonts w:ascii="Calibri"/>
                    <w:sz w:val="22"/>
                  </w:rPr>
                </w:pPr>
                <w:r>
                  <w:rPr>
                    <w:rFonts w:ascii="Calibri"/>
                    <w:sz w:val="22"/>
                  </w:rPr>
                  <w:t>877</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024002pt;margin-top:753.599976pt;width:144.020pt;height:.599980pt;mso-position-horizontal-relative:page;mso-position-vertical-relative:page;z-index:-23801856" filled="true" fillcolor="#000000" stroked="false">
          <v:fill type="solid"/>
          <w10:wrap type="none"/>
        </v:rect>
      </w:pict>
    </w:r>
    <w:r>
      <w:rPr/>
      <w:pict>
        <v:shape style="position:absolute;margin-left:71.024002pt;margin-top:757.128357pt;width:87.15pt;height:13.9pt;mso-position-horizontal-relative:page;mso-position-vertical-relative:page;z-index:-23801344" type="#_x0000_t202" filled="false" stroked="false">
          <v:textbox inset="0,0,0,0">
            <w:txbxContent>
              <w:p>
                <w:pPr>
                  <w:spacing w:before="51"/>
                  <w:ind w:left="20" w:right="0" w:firstLine="0"/>
                  <w:jc w:val="left"/>
                  <w:rPr>
                    <w:sz w:val="18"/>
                  </w:rPr>
                </w:pPr>
                <w:r>
                  <w:rPr>
                    <w:sz w:val="18"/>
                    <w:vertAlign w:val="superscript"/>
                  </w:rPr>
                  <w:t>395</w:t>
                </w:r>
                <w:r>
                  <w:rPr>
                    <w:sz w:val="18"/>
                    <w:vertAlign w:val="baseline"/>
                  </w:rPr>
                  <w:t> (2000) 6 SCC 540</w:t>
                </w:r>
              </w:p>
            </w:txbxContent>
          </v:textbox>
          <w10:wrap type="none"/>
        </v:shape>
      </w:pict>
    </w:r>
    <w:r>
      <w:rPr/>
      <w:pict>
        <v:shape style="position:absolute;margin-left:288.369995pt;margin-top:780.200012pt;width:18.75pt;height:13.05pt;mso-position-horizontal-relative:page;mso-position-vertical-relative:page;z-index:-23800832" type="#_x0000_t202" filled="false" stroked="false">
          <v:textbox inset="0,0,0,0">
            <w:txbxContent>
              <w:p>
                <w:pPr>
                  <w:spacing w:line="245" w:lineRule="exact" w:before="0"/>
                  <w:ind w:left="20" w:right="0" w:firstLine="0"/>
                  <w:jc w:val="left"/>
                  <w:rPr>
                    <w:rFonts w:ascii="Calibri"/>
                    <w:sz w:val="22"/>
                  </w:rPr>
                </w:pPr>
                <w:r>
                  <w:rPr>
                    <w:rFonts w:ascii="Calibri"/>
                    <w:sz w:val="22"/>
                  </w:rPr>
                  <w:t>878</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799808" type="#_x0000_t202" filled="false" stroked="false">
          <v:textbox inset="0,0,0,0">
            <w:txbxContent>
              <w:p>
                <w:pPr>
                  <w:spacing w:line="245" w:lineRule="exact" w:before="0"/>
                  <w:ind w:left="20" w:right="0" w:firstLine="0"/>
                  <w:jc w:val="left"/>
                  <w:rPr>
                    <w:rFonts w:ascii="Calibri"/>
                    <w:sz w:val="22"/>
                  </w:rPr>
                </w:pPr>
                <w:r>
                  <w:rPr>
                    <w:rFonts w:ascii="Calibri"/>
                    <w:sz w:val="22"/>
                  </w:rPr>
                  <w:t>879</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369995pt;margin-top:780.200012pt;width:18.75pt;height:13.05pt;mso-position-horizontal-relative:page;mso-position-vertical-relative:page;z-index:-23798784" type="#_x0000_t202" filled="false" stroked="false">
          <v:textbox inset="0,0,0,0">
            <w:txbxContent>
              <w:p>
                <w:pPr>
                  <w:spacing w:line="245" w:lineRule="exact" w:before="0"/>
                  <w:ind w:left="20" w:right="0" w:firstLine="0"/>
                  <w:jc w:val="left"/>
                  <w:rPr>
                    <w:rFonts w:ascii="Calibri"/>
                    <w:sz w:val="22"/>
                  </w:rPr>
                </w:pPr>
                <w:r>
                  <w:rPr>
                    <w:rFonts w:ascii="Calibri"/>
                    <w:sz w:val="22"/>
                  </w:rPr>
                  <w:t>880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69995pt;margin-top:780.200012pt;width:22.75pt;height:13.05pt;mso-position-horizontal-relative:page;mso-position-vertical-relative:page;z-index:-2379776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881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5pt;margin-top:35.040295pt;width:40.050pt;height:13.8pt;mso-position-horizontal-relative:page;mso-position-vertical-relative:page;z-index:-23923712" type="#_x0000_t202" filled="false" stroked="false">
          <v:textbox inset="0,0,0,0">
            <w:txbxContent>
              <w:p>
                <w:pPr>
                  <w:spacing w:before="14"/>
                  <w:ind w:left="20" w:right="0" w:firstLine="0"/>
                  <w:jc w:val="left"/>
                  <w:rPr>
                    <w:sz w:val="21"/>
                  </w:rPr>
                </w:pPr>
                <w:r>
                  <w:rPr>
                    <w:sz w:val="21"/>
                  </w:rPr>
                  <w:t>PART 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5pt;margin-top:35.040295pt;width:40.050pt;height:13.8pt;mso-position-horizontal-relative:page;mso-position-vertical-relative:page;z-index:-23912960" type="#_x0000_t202" filled="false" stroked="false">
          <v:textbox inset="0,0,0,0">
            <w:txbxContent>
              <w:p>
                <w:pPr>
                  <w:spacing w:before="14"/>
                  <w:ind w:left="20" w:right="0" w:firstLine="0"/>
                  <w:jc w:val="left"/>
                  <w:rPr>
                    <w:sz w:val="21"/>
                  </w:rPr>
                </w:pPr>
                <w:r>
                  <w:rPr>
                    <w:sz w:val="21"/>
                  </w:rPr>
                  <w:t>PART E</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5pt;margin-top:35.040295pt;width:40.050pt;height:13.8pt;mso-position-horizontal-relative:page;mso-position-vertical-relative:page;z-index:-23796224" type="#_x0000_t202" filled="false" stroked="false">
          <v:textbox inset="0,0,0,0">
            <w:txbxContent>
              <w:p>
                <w:pPr>
                  <w:spacing w:before="14"/>
                  <w:ind w:left="20" w:right="0" w:firstLine="0"/>
                  <w:jc w:val="left"/>
                  <w:rPr>
                    <w:sz w:val="21"/>
                  </w:rPr>
                </w:pPr>
                <w:r>
                  <w:rPr>
                    <w:sz w:val="21"/>
                  </w:rPr>
                  <w:t>PART P</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795200" type="#_x0000_t202" filled="false" stroked="false">
          <v:textbox inset="0,0,0,0">
            <w:txbxContent>
              <w:p>
                <w:pPr>
                  <w:spacing w:before="14"/>
                  <w:ind w:left="20" w:right="0" w:firstLine="0"/>
                  <w:jc w:val="left"/>
                  <w:rPr>
                    <w:sz w:val="21"/>
                  </w:rPr>
                </w:pPr>
                <w:r>
                  <w:rPr>
                    <w:sz w:val="21"/>
                  </w:rPr>
                  <w:t>PART Q</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5.100006pt;margin-top:35.040295pt;width:39.450pt;height:13.8pt;mso-position-horizontal-relative:page;mso-position-vertical-relative:page;z-index:-23911936" type="#_x0000_t202" filled="false" stroked="false">
          <v:textbox inset="0,0,0,0">
            <w:txbxContent>
              <w:p>
                <w:pPr>
                  <w:spacing w:before="14"/>
                  <w:ind w:left="20" w:right="0" w:firstLine="0"/>
                  <w:jc w:val="left"/>
                  <w:rPr>
                    <w:sz w:val="21"/>
                  </w:rPr>
                </w:pPr>
                <w:r>
                  <w:rPr>
                    <w:sz w:val="21"/>
                  </w:rPr>
                  <w:t>PART F</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910912" type="#_x0000_t202" filled="false" stroked="false">
          <v:textbox inset="0,0,0,0">
            <w:txbxContent>
              <w:p>
                <w:pPr>
                  <w:spacing w:before="14"/>
                  <w:ind w:left="20" w:right="0" w:firstLine="0"/>
                  <w:jc w:val="left"/>
                  <w:rPr>
                    <w:sz w:val="21"/>
                  </w:rPr>
                </w:pPr>
                <w:r>
                  <w:rPr>
                    <w:sz w:val="21"/>
                  </w:rPr>
                  <w:t>PART G</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0.951416pt;width:453.45pt;height:17.95pt;mso-position-horizontal-relative:page;mso-position-vertical-relative:page;z-index:-23780864" type="#_x0000_t202" filled="false" stroked="false">
          <v:textbox inset="0,0,0,0">
            <w:txbxContent>
              <w:p>
                <w:pPr>
                  <w:spacing w:before="20"/>
                  <w:ind w:left="20" w:right="0" w:firstLine="0"/>
                  <w:jc w:val="left"/>
                  <w:rPr>
                    <w:rFonts w:ascii="Courier New"/>
                    <w:sz w:val="28"/>
                  </w:rPr>
                </w:pPr>
                <w:r>
                  <w:rPr>
                    <w:rFonts w:ascii="Courier New"/>
                    <w:sz w:val="28"/>
                  </w:rPr>
                  <w:t>referred by the High Court in its judgment, the</w:t>
                </w:r>
                <w:r>
                  <w:rPr>
                    <w:rFonts w:ascii="Courier New"/>
                    <w:spacing w:val="100"/>
                    <w:sz w:val="28"/>
                  </w:rPr>
                  <w:t> </w:t>
                </w:r>
                <w:r>
                  <w:rPr>
                    <w:rFonts w:ascii="Courier New"/>
                    <w:sz w:val="28"/>
                  </w:rPr>
                  <w:t>stand</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0.951416pt;width:453.45pt;height:17.95pt;mso-position-horizontal-relative:page;mso-position-vertical-relative:page;z-index:-23779840" type="#_x0000_t202" filled="false" stroked="false">
          <v:textbox inset="0,0,0,0">
            <w:txbxContent>
              <w:p>
                <w:pPr>
                  <w:spacing w:before="20"/>
                  <w:ind w:left="20" w:right="0" w:firstLine="0"/>
                  <w:jc w:val="left"/>
                  <w:rPr>
                    <w:rFonts w:ascii="Courier New"/>
                    <w:sz w:val="28"/>
                  </w:rPr>
                </w:pPr>
                <w:r>
                  <w:rPr>
                    <w:rFonts w:ascii="Courier New"/>
                    <w:sz w:val="28"/>
                  </w:rPr>
                  <w:t>appeared</w:t>
                </w:r>
                <w:r>
                  <w:rPr>
                    <w:rFonts w:ascii="Courier New"/>
                    <w:spacing w:val="-27"/>
                    <w:sz w:val="28"/>
                  </w:rPr>
                  <w:t> </w:t>
                </w:r>
                <w:r>
                  <w:rPr>
                    <w:rFonts w:ascii="Courier New"/>
                    <w:sz w:val="28"/>
                  </w:rPr>
                  <w:t>for</w:t>
                </w:r>
                <w:r>
                  <w:rPr>
                    <w:rFonts w:ascii="Courier New"/>
                    <w:spacing w:val="-26"/>
                    <w:sz w:val="28"/>
                  </w:rPr>
                  <w:t> </w:t>
                </w:r>
                <w:r>
                  <w:rPr>
                    <w:rFonts w:ascii="Courier New"/>
                    <w:sz w:val="28"/>
                  </w:rPr>
                  <w:t>plaintiff</w:t>
                </w:r>
                <w:r>
                  <w:rPr>
                    <w:rFonts w:ascii="Courier New"/>
                    <w:spacing w:val="-26"/>
                    <w:sz w:val="28"/>
                  </w:rPr>
                  <w:t> </w:t>
                </w:r>
                <w:r>
                  <w:rPr>
                    <w:rFonts w:ascii="Courier New"/>
                    <w:sz w:val="28"/>
                  </w:rPr>
                  <w:t>in</w:t>
                </w:r>
                <w:r>
                  <w:rPr>
                    <w:rFonts w:ascii="Courier New"/>
                    <w:spacing w:val="-26"/>
                    <w:sz w:val="28"/>
                  </w:rPr>
                  <w:t> </w:t>
                </w:r>
                <w:r>
                  <w:rPr>
                    <w:rFonts w:ascii="Courier New"/>
                    <w:sz w:val="28"/>
                  </w:rPr>
                  <w:t>Suit</w:t>
                </w:r>
                <w:r>
                  <w:rPr>
                    <w:rFonts w:ascii="Courier New"/>
                    <w:spacing w:val="-26"/>
                    <w:sz w:val="28"/>
                  </w:rPr>
                  <w:t> </w:t>
                </w:r>
                <w:r>
                  <w:rPr>
                    <w:rFonts w:ascii="Courier New"/>
                    <w:sz w:val="28"/>
                  </w:rPr>
                  <w:t>No.4</w:t>
                </w:r>
                <w:r>
                  <w:rPr>
                    <w:rFonts w:ascii="Courier New"/>
                    <w:spacing w:val="-26"/>
                    <w:sz w:val="28"/>
                  </w:rPr>
                  <w:t> </w:t>
                </w:r>
                <w:r>
                  <w:rPr>
                    <w:rFonts w:ascii="Courier New"/>
                    <w:sz w:val="28"/>
                  </w:rPr>
                  <w:t>and</w:t>
                </w:r>
                <w:r>
                  <w:rPr>
                    <w:rFonts w:ascii="Courier New"/>
                    <w:spacing w:val="-26"/>
                    <w:sz w:val="28"/>
                  </w:rPr>
                  <w:t> </w:t>
                </w:r>
                <w:r>
                  <w:rPr>
                    <w:rFonts w:ascii="Courier New"/>
                    <w:sz w:val="28"/>
                  </w:rPr>
                  <w:t>Shri</w:t>
                </w:r>
                <w:r>
                  <w:rPr>
                    <w:rFonts w:ascii="Courier New"/>
                    <w:spacing w:val="-26"/>
                    <w:sz w:val="28"/>
                  </w:rPr>
                  <w:t> </w:t>
                </w:r>
                <w:r>
                  <w:rPr>
                    <w:rFonts w:ascii="Courier New"/>
                    <w:sz w:val="28"/>
                  </w:rPr>
                  <w:t>Syed</w:t>
                </w:r>
                <w:r>
                  <w:rPr>
                    <w:rFonts w:ascii="Courier New"/>
                    <w:spacing w:val="-26"/>
                    <w:sz w:val="28"/>
                  </w:rPr>
                  <w:t> </w:t>
                </w:r>
                <w:r>
                  <w:rPr>
                    <w:rFonts w:ascii="Courier New"/>
                    <w:sz w:val="28"/>
                  </w:rPr>
                  <w:t>Irfan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909888" type="#_x0000_t202" filled="false" stroked="false">
          <v:textbox inset="0,0,0,0">
            <w:txbxContent>
              <w:p>
                <w:pPr>
                  <w:spacing w:before="14"/>
                  <w:ind w:left="20" w:right="0" w:firstLine="0"/>
                  <w:jc w:val="left"/>
                  <w:rPr>
                    <w:sz w:val="21"/>
                  </w:rPr>
                </w:pPr>
                <w:r>
                  <w:rPr>
                    <w:sz w:val="21"/>
                  </w:rPr>
                  <w:t>PART G</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599998pt;margin-top:70.951416pt;width:322.25pt;height:17.95pt;mso-position-horizontal-relative:page;mso-position-vertical-relative:page;z-index:-23778816" type="#_x0000_t202" filled="false" stroked="false">
          <v:textbox inset="0,0,0,0">
            <w:txbxContent>
              <w:p>
                <w:pPr>
                  <w:spacing w:before="20"/>
                  <w:ind w:left="20" w:right="0" w:firstLine="0"/>
                  <w:jc w:val="left"/>
                  <w:rPr>
                    <w:rFonts w:ascii="Courier New"/>
                    <w:sz w:val="28"/>
                  </w:rPr>
                </w:pPr>
                <w:r>
                  <w:rPr>
                    <w:rFonts w:ascii="Courier New"/>
                    <w:sz w:val="28"/>
                  </w:rPr>
                  <w:t>Balmiki Ramayana or as existing today.</w:t>
                </w:r>
              </w:p>
            </w:txbxContent>
          </v:textbox>
          <w10:wrap type="none"/>
        </v:shape>
      </w:pict>
    </w:r>
    <w:r>
      <w:rPr/>
      <w:pict>
        <v:shape style="position:absolute;margin-left:451.107574pt;margin-top:70.951416pt;width:18.8pt;height:17.95pt;mso-position-horizontal-relative:page;mso-position-vertical-relative:page;z-index:-23778304" type="#_x0000_t202" filled="false" stroked="false">
          <v:textbox inset="0,0,0,0">
            <w:txbxContent>
              <w:p>
                <w:pPr>
                  <w:spacing w:before="20"/>
                  <w:ind w:left="20" w:right="0" w:firstLine="0"/>
                  <w:jc w:val="left"/>
                  <w:rPr>
                    <w:rFonts w:ascii="Courier New"/>
                    <w:sz w:val="28"/>
                  </w:rPr>
                </w:pPr>
                <w:r>
                  <w:rPr>
                    <w:rFonts w:ascii="Courier New"/>
                    <w:sz w:val="28"/>
                  </w:rPr>
                  <w:t>It</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908352" type="#_x0000_t202" filled="false" stroked="false">
          <v:textbox inset="0,0,0,0">
            <w:txbxContent>
              <w:p>
                <w:pPr>
                  <w:spacing w:before="14"/>
                  <w:ind w:left="20" w:right="0" w:firstLine="0"/>
                  <w:jc w:val="left"/>
                  <w:rPr>
                    <w:sz w:val="21"/>
                  </w:rPr>
                </w:pPr>
                <w:r>
                  <w:rPr>
                    <w:sz w:val="21"/>
                  </w:rPr>
                  <w:t>PART G</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0.951416pt;width:453.25pt;height:17.95pt;mso-position-horizontal-relative:page;mso-position-vertical-relative:page;z-index:-23770112" type="#_x0000_t202" filled="false" stroked="false">
          <v:textbox inset="0,0,0,0">
            <w:txbxContent>
              <w:p>
                <w:pPr>
                  <w:spacing w:before="20"/>
                  <w:ind w:left="20" w:right="0" w:firstLine="0"/>
                  <w:jc w:val="left"/>
                  <w:rPr>
                    <w:rFonts w:ascii="Courier New"/>
                    <w:sz w:val="28"/>
                  </w:rPr>
                </w:pPr>
                <w:r>
                  <w:rPr>
                    <w:rFonts w:ascii="Courier New"/>
                    <w:sz w:val="28"/>
                  </w:rPr>
                  <w:t>on behalf of Muslim Parties, plaintiff of Suit No.4</w:t>
                </w:r>
                <w:r>
                  <w:rPr>
                    <w:rFonts w:ascii="Courier New"/>
                    <w:spacing w:val="-70"/>
                    <w:sz w:val="28"/>
                  </w:rPr>
                  <w:t> </w:t>
                </w:r>
                <w:r>
                  <w:rPr>
                    <w:rFonts w:ascii="Courier New"/>
                    <w:sz w:val="28"/>
                  </w:rPr>
                  <w:t>in</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0.951416pt;width:77.6pt;height:17.95pt;mso-position-horizontal-relative:page;mso-position-vertical-relative:page;z-index:-23769088" type="#_x0000_t202" filled="false" stroked="false">
          <v:textbox inset="0,0,0,0">
            <w:txbxContent>
              <w:p>
                <w:pPr>
                  <w:spacing w:before="20"/>
                  <w:ind w:left="20" w:right="0" w:firstLine="0"/>
                  <w:jc w:val="left"/>
                  <w:rPr>
                    <w:rFonts w:ascii="Courier New"/>
                    <w:sz w:val="28"/>
                  </w:rPr>
                </w:pPr>
                <w:r>
                  <w:rPr>
                    <w:rFonts w:ascii="Courier New"/>
                    <w:sz w:val="28"/>
                  </w:rPr>
                  <w:t>Mahatmya,</w:t>
                </w:r>
              </w:p>
            </w:txbxContent>
          </v:textbox>
          <w10:wrap type="none"/>
        </v:shape>
      </w:pict>
    </w:r>
    <w:r>
      <w:rPr/>
      <w:pict>
        <v:shape style="position:absolute;margin-left:159.887238pt;margin-top:70.951416pt;width:27.2pt;height:17.95pt;mso-position-horizontal-relative:page;mso-position-vertical-relative:page;z-index:-23768576" type="#_x0000_t202" filled="false" stroked="false">
          <v:textbox inset="0,0,0,0">
            <w:txbxContent>
              <w:p>
                <w:pPr>
                  <w:spacing w:before="20"/>
                  <w:ind w:left="20" w:right="0" w:firstLine="0"/>
                  <w:jc w:val="left"/>
                  <w:rPr>
                    <w:rFonts w:ascii="Courier New"/>
                    <w:sz w:val="28"/>
                  </w:rPr>
                </w:pPr>
                <w:r>
                  <w:rPr>
                    <w:rFonts w:ascii="Courier New"/>
                    <w:sz w:val="28"/>
                  </w:rPr>
                  <w:t>the</w:t>
                </w:r>
              </w:p>
            </w:txbxContent>
          </v:textbox>
          <w10:wrap type="none"/>
        </v:shape>
      </w:pict>
    </w:r>
    <w:r>
      <w:rPr/>
      <w:pict>
        <v:shape style="position:absolute;margin-left:198.522522pt;margin-top:70.951416pt;width:69.2pt;height:17.95pt;mso-position-horizontal-relative:page;mso-position-vertical-relative:page;z-index:-23768064" type="#_x0000_t202" filled="false" stroked="false">
          <v:textbox inset="0,0,0,0">
            <w:txbxContent>
              <w:p>
                <w:pPr>
                  <w:spacing w:before="20"/>
                  <w:ind w:left="20" w:right="0" w:firstLine="0"/>
                  <w:jc w:val="left"/>
                  <w:rPr>
                    <w:rFonts w:ascii="Courier New"/>
                    <w:sz w:val="28"/>
                  </w:rPr>
                </w:pPr>
                <w:r>
                  <w:rPr>
                    <w:rFonts w:ascii="Courier New"/>
                    <w:sz w:val="28"/>
                  </w:rPr>
                  <w:t>boundary</w:t>
                </w:r>
              </w:p>
            </w:txbxContent>
          </v:textbox>
          <w10:wrap type="none"/>
        </v:shape>
      </w:pict>
    </w:r>
    <w:r>
      <w:rPr/>
      <w:pict>
        <v:shape style="position:absolute;margin-left:279.013855pt;margin-top:70.951416pt;width:18.8pt;height:17.95pt;mso-position-horizontal-relative:page;mso-position-vertical-relative:page;z-index:-23767552" type="#_x0000_t202" filled="false" stroked="false">
          <v:textbox inset="0,0,0,0">
            <w:txbxContent>
              <w:p>
                <w:pPr>
                  <w:spacing w:before="20"/>
                  <w:ind w:left="20" w:right="0" w:firstLine="0"/>
                  <w:jc w:val="left"/>
                  <w:rPr>
                    <w:rFonts w:ascii="Courier New"/>
                    <w:sz w:val="28"/>
                  </w:rPr>
                </w:pPr>
                <w:r>
                  <w:rPr>
                    <w:rFonts w:ascii="Courier New"/>
                    <w:sz w:val="28"/>
                  </w:rPr>
                  <w:t>of</w:t>
                </w:r>
              </w:p>
            </w:txbxContent>
          </v:textbox>
          <w10:wrap type="none"/>
        </v:shape>
      </w:pict>
    </w:r>
    <w:r>
      <w:rPr/>
      <w:pict>
        <v:shape style="position:absolute;margin-left:309.253204pt;margin-top:70.951416pt;width:27.2pt;height:17.95pt;mso-position-horizontal-relative:page;mso-position-vertical-relative:page;z-index:-23767040" type="#_x0000_t202" filled="false" stroked="false">
          <v:textbox inset="0,0,0,0">
            <w:txbxContent>
              <w:p>
                <w:pPr>
                  <w:spacing w:before="20"/>
                  <w:ind w:left="20" w:right="0" w:firstLine="0"/>
                  <w:jc w:val="left"/>
                  <w:rPr>
                    <w:rFonts w:ascii="Courier New"/>
                    <w:sz w:val="28"/>
                  </w:rPr>
                </w:pPr>
                <w:r>
                  <w:rPr>
                    <w:rFonts w:ascii="Courier New"/>
                    <w:sz w:val="28"/>
                  </w:rPr>
                  <w:t>Ram</w:t>
                </w:r>
              </w:p>
            </w:txbxContent>
          </v:textbox>
          <w10:wrap type="none"/>
        </v:shape>
      </w:pict>
    </w:r>
    <w:r>
      <w:rPr/>
      <w:pict>
        <v:shape style="position:absolute;margin-left:347.764923pt;margin-top:70.951416pt;width:44pt;height:17.95pt;mso-position-horizontal-relative:page;mso-position-vertical-relative:page;z-index:-23766528" type="#_x0000_t202" filled="false" stroked="false">
          <v:textbox inset="0,0,0,0">
            <w:txbxContent>
              <w:p>
                <w:pPr>
                  <w:spacing w:before="20"/>
                  <w:ind w:left="20" w:right="0" w:firstLine="0"/>
                  <w:jc w:val="left"/>
                  <w:rPr>
                    <w:rFonts w:ascii="Courier New"/>
                    <w:sz w:val="28"/>
                  </w:rPr>
                </w:pPr>
                <w:r>
                  <w:rPr>
                    <w:rFonts w:ascii="Courier New"/>
                    <w:sz w:val="28"/>
                  </w:rPr>
                  <w:t>Janma</w:t>
                </w:r>
              </w:p>
            </w:txbxContent>
          </v:textbox>
          <w10:wrap type="none"/>
        </v:shape>
      </w:pict>
    </w:r>
    <w:r>
      <w:rPr/>
      <w:pict>
        <v:shape style="position:absolute;margin-left:403.192017pt;margin-top:70.951416pt;width:44.15pt;height:17.95pt;mso-position-horizontal-relative:page;mso-position-vertical-relative:page;z-index:-23766016" type="#_x0000_t202" filled="false" stroked="false">
          <v:textbox inset="0,0,0,0">
            <w:txbxContent>
              <w:p>
                <w:pPr>
                  <w:spacing w:before="20"/>
                  <w:ind w:left="20" w:right="0" w:firstLine="0"/>
                  <w:jc w:val="left"/>
                  <w:rPr>
                    <w:rFonts w:ascii="Courier New"/>
                    <w:sz w:val="28"/>
                  </w:rPr>
                </w:pPr>
                <w:r>
                  <w:rPr>
                    <w:rFonts w:ascii="Courier New"/>
                    <w:sz w:val="28"/>
                  </w:rPr>
                  <w:t>Bhumi</w:t>
                </w:r>
              </w:p>
            </w:txbxContent>
          </v:textbox>
          <w10:wrap type="none"/>
        </v:shape>
      </w:pict>
    </w:r>
    <w:r>
      <w:rPr/>
      <w:pict>
        <v:shape style="position:absolute;margin-left:458.620544pt;margin-top:70.951416pt;width:27.2pt;height:17.95pt;mso-position-horizontal-relative:page;mso-position-vertical-relative:page;z-index:-23765504" type="#_x0000_t202" filled="false" stroked="false">
          <v:textbox inset="0,0,0,0">
            <w:txbxContent>
              <w:p>
                <w:pPr>
                  <w:spacing w:before="20"/>
                  <w:ind w:left="20" w:right="0" w:firstLine="0"/>
                  <w:jc w:val="left"/>
                  <w:rPr>
                    <w:rFonts w:ascii="Courier New"/>
                    <w:sz w:val="28"/>
                  </w:rPr>
                </w:pPr>
                <w:r>
                  <w:rPr>
                    <w:rFonts w:ascii="Courier New"/>
                    <w:sz w:val="28"/>
                  </w:rPr>
                  <w:t>and</w:t>
                </w:r>
              </w:p>
            </w:txbxContent>
          </v:textbox>
          <w10:wrap type="none"/>
        </v:shape>
      </w:pict>
    </w:r>
    <w:r>
      <w:rPr/>
      <w:pict>
        <v:shape style="position:absolute;margin-left:497.132263pt;margin-top:70.951416pt;width:27.2pt;height:17.95pt;mso-position-horizontal-relative:page;mso-position-vertical-relative:page;z-index:-23764992" type="#_x0000_t202" filled="false" stroked="false">
          <v:textbox inset="0,0,0,0">
            <w:txbxContent>
              <w:p>
                <w:pPr>
                  <w:spacing w:before="20"/>
                  <w:ind w:left="20" w:right="0" w:firstLine="0"/>
                  <w:jc w:val="left"/>
                  <w:rPr>
                    <w:rFonts w:ascii="Courier New"/>
                    <w:sz w:val="28"/>
                  </w:rPr>
                </w:pPr>
                <w:r>
                  <w:rPr>
                    <w:rFonts w:ascii="Courier New"/>
                    <w:sz w:val="28"/>
                  </w:rPr>
                  <w:t>its</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907328" type="#_x0000_t202" filled="false" stroked="false">
          <v:textbox inset="0,0,0,0">
            <w:txbxContent>
              <w:p>
                <w:pPr>
                  <w:spacing w:before="14"/>
                  <w:ind w:left="20" w:right="0" w:firstLine="0"/>
                  <w:jc w:val="left"/>
                  <w:rPr>
                    <w:sz w:val="21"/>
                  </w:rPr>
                </w:pPr>
                <w:r>
                  <w:rPr>
                    <w:sz w:val="21"/>
                  </w:rPr>
                  <w:t>PART G</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906304" type="#_x0000_t202" filled="false" stroked="false">
          <v:textbox inset="0,0,0,0">
            <w:txbxContent>
              <w:p>
                <w:pPr>
                  <w:spacing w:before="14"/>
                  <w:ind w:left="20" w:right="0" w:firstLine="0"/>
                  <w:jc w:val="left"/>
                  <w:rPr>
                    <w:sz w:val="21"/>
                  </w:rPr>
                </w:pPr>
                <w:r>
                  <w:rPr>
                    <w:sz w:val="21"/>
                  </w:rPr>
                  <w:t>PART H</w:t>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8.579987pt;margin-top:35.040295pt;width:35.9pt;height:13.8pt;mso-position-horizontal-relative:page;mso-position-vertical-relative:page;z-index:-23905280" type="#_x0000_t202" filled="false" stroked="false">
          <v:textbox inset="0,0,0,0">
            <w:txbxContent>
              <w:p>
                <w:pPr>
                  <w:spacing w:before="14"/>
                  <w:ind w:left="20" w:right="0" w:firstLine="0"/>
                  <w:jc w:val="left"/>
                  <w:rPr>
                    <w:sz w:val="21"/>
                  </w:rPr>
                </w:pPr>
                <w:r>
                  <w:rPr>
                    <w:sz w:val="21"/>
                  </w:rPr>
                  <w:t>PART I</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8.579987pt;margin-top:35.040295pt;width:35.9pt;height:13.8pt;mso-position-horizontal-relative:page;mso-position-vertical-relative:page;z-index:-23904256" type="#_x0000_t202" filled="false" stroked="false">
          <v:textbox inset="0,0,0,0">
            <w:txbxContent>
              <w:p>
                <w:pPr>
                  <w:spacing w:before="14"/>
                  <w:ind w:left="20" w:right="0" w:firstLine="0"/>
                  <w:jc w:val="left"/>
                  <w:rPr>
                    <w:sz w:val="21"/>
                  </w:rPr>
                </w:pPr>
                <w:r>
                  <w:rPr>
                    <w:sz w:val="21"/>
                  </w:rPr>
                  <w:t>PART I</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903232"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5pt;margin-top:35.040295pt;width:40.050pt;height:13.8pt;mso-position-horizontal-relative:page;mso-position-vertical-relative:page;z-index:-23922688" type="#_x0000_t202" filled="false" stroked="false">
          <v:textbox inset="0,0,0,0">
            <w:txbxContent>
              <w:p>
                <w:pPr>
                  <w:spacing w:before="14"/>
                  <w:ind w:left="20" w:right="0" w:firstLine="0"/>
                  <w:jc w:val="left"/>
                  <w:rPr>
                    <w:sz w:val="21"/>
                  </w:rPr>
                </w:pPr>
                <w:r>
                  <w:rPr>
                    <w:sz w:val="21"/>
                  </w:rPr>
                  <w:t>PART 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902208"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900160"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9136"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8112"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7088"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5552"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4528"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3504"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2480"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1456"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5pt;margin-top:35.040295pt;width:40.050pt;height:13.8pt;mso-position-horizontal-relative:page;mso-position-vertical-relative:page;z-index:-23921664" type="#_x0000_t202" filled="false" stroked="false">
          <v:textbox inset="0,0,0,0">
            <w:txbxContent>
              <w:p>
                <w:pPr>
                  <w:spacing w:before="14"/>
                  <w:ind w:left="20" w:right="0" w:firstLine="0"/>
                  <w:jc w:val="left"/>
                  <w:rPr>
                    <w:sz w:val="21"/>
                  </w:rPr>
                </w:pPr>
                <w:r>
                  <w:rPr>
                    <w:sz w:val="21"/>
                  </w:rPr>
                  <w:t>PART B</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90432"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89408"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299988pt;margin-top:35.040295pt;width:38.25pt;height:13.8pt;mso-position-horizontal-relative:page;mso-position-vertical-relative:page;z-index:-23888384" type="#_x0000_t202" filled="false" stroked="false">
          <v:textbox inset="0,0,0,0">
            <w:txbxContent>
              <w:p>
                <w:pPr>
                  <w:spacing w:before="14"/>
                  <w:ind w:left="20" w:right="0" w:firstLine="0"/>
                  <w:jc w:val="left"/>
                  <w:rPr>
                    <w:sz w:val="21"/>
                  </w:rPr>
                </w:pPr>
                <w:r>
                  <w:rPr>
                    <w:sz w:val="21"/>
                  </w:rPr>
                  <w:t>PART J</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5pt;margin-top:35.040295pt;width:40.050pt;height:13.8pt;mso-position-horizontal-relative:page;mso-position-vertical-relative:page;z-index:-23887360" type="#_x0000_t202" filled="false" stroked="false">
          <v:textbox inset="0,0,0,0">
            <w:txbxContent>
              <w:p>
                <w:pPr>
                  <w:spacing w:before="14"/>
                  <w:ind w:left="20" w:right="0" w:firstLine="0"/>
                  <w:jc w:val="left"/>
                  <w:rPr>
                    <w:sz w:val="21"/>
                  </w:rPr>
                </w:pPr>
                <w:r>
                  <w:rPr>
                    <w:sz w:val="21"/>
                  </w:rPr>
                  <w:t>PART K</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5.700012pt;margin-top:35.040295pt;width:38.85pt;height:13.8pt;mso-position-horizontal-relative:page;mso-position-vertical-relative:page;z-index:-23886336" type="#_x0000_t202" filled="false" stroked="false">
          <v:textbox inset="0,0,0,0">
            <w:txbxContent>
              <w:p>
                <w:pPr>
                  <w:spacing w:before="14"/>
                  <w:ind w:left="20" w:right="0" w:firstLine="0"/>
                  <w:jc w:val="left"/>
                  <w:rPr>
                    <w:sz w:val="21"/>
                  </w:rPr>
                </w:pPr>
                <w:r>
                  <w:rPr>
                    <w:sz w:val="21"/>
                  </w:rPr>
                  <w:t>PART L</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85312"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84288"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82752"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81216"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80192"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920640" type="#_x0000_t202" filled="false" stroked="false">
          <v:textbox inset="0,0,0,0">
            <w:txbxContent>
              <w:p>
                <w:pPr>
                  <w:spacing w:before="14"/>
                  <w:ind w:left="20" w:right="0" w:firstLine="0"/>
                  <w:jc w:val="left"/>
                  <w:rPr>
                    <w:sz w:val="21"/>
                  </w:rPr>
                </w:pPr>
                <w:r>
                  <w:rPr>
                    <w:sz w:val="21"/>
                  </w:rPr>
                  <w:t>PART C</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78144"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77120"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76096"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74048"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72000"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70464"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69440"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68416"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67392"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66368"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919616" type="#_x0000_t202" filled="false" stroked="false">
          <v:textbox inset="0,0,0,0">
            <w:txbxContent>
              <w:p>
                <w:pPr>
                  <w:spacing w:before="14"/>
                  <w:ind w:left="20" w:right="0" w:firstLine="0"/>
                  <w:jc w:val="left"/>
                  <w:rPr>
                    <w:sz w:val="21"/>
                  </w:rPr>
                </w:pPr>
                <w:r>
                  <w:rPr>
                    <w:sz w:val="21"/>
                  </w:rPr>
                  <w:t>PART D</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64832"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63296"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62272"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60224"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58688"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57664"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55616"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700012pt;margin-top:35.040295pt;width:41.8pt;height:13.8pt;mso-position-horizontal-relative:page;mso-position-vertical-relative:page;z-index:-23853568" type="#_x0000_t202" filled="false" stroked="false">
          <v:textbox inset="0,0,0,0">
            <w:txbxContent>
              <w:p>
                <w:pPr>
                  <w:spacing w:before="14"/>
                  <w:ind w:left="20" w:right="0" w:firstLine="0"/>
                  <w:jc w:val="left"/>
                  <w:rPr>
                    <w:sz w:val="21"/>
                  </w:rPr>
                </w:pPr>
                <w:r>
                  <w:rPr>
                    <w:sz w:val="21"/>
                  </w:rPr>
                  <w:t>PART M</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52544"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51520"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918592" type="#_x0000_t202" filled="false" stroked="false">
          <v:textbox inset="0,0,0,0">
            <w:txbxContent>
              <w:p>
                <w:pPr>
                  <w:spacing w:before="14"/>
                  <w:ind w:left="20" w:right="0" w:firstLine="0"/>
                  <w:jc w:val="left"/>
                  <w:rPr>
                    <w:sz w:val="21"/>
                  </w:rPr>
                </w:pPr>
                <w:r>
                  <w:rPr>
                    <w:sz w:val="21"/>
                  </w:rPr>
                  <w:t>PART D</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5049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49472"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47424"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4537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44352"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42304"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4025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39232"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38208"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36160"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916544" type="#_x0000_t202" filled="false" stroked="false">
          <v:textbox inset="0,0,0,0">
            <w:txbxContent>
              <w:p>
                <w:pPr>
                  <w:spacing w:before="14"/>
                  <w:ind w:left="20" w:right="0" w:firstLine="0"/>
                  <w:jc w:val="left"/>
                  <w:rPr>
                    <w:sz w:val="21"/>
                  </w:rPr>
                </w:pPr>
                <w:r>
                  <w:rPr>
                    <w:sz w:val="21"/>
                  </w:rPr>
                  <w:t>PART D</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3513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34112"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3257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31552"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29504"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2745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25408"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23360"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2233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21312"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915008" type="#_x0000_t202" filled="false" stroked="false">
          <v:textbox inset="0,0,0,0">
            <w:txbxContent>
              <w:p>
                <w:pPr>
                  <w:spacing w:before="14"/>
                  <w:ind w:left="20" w:right="0" w:firstLine="0"/>
                  <w:jc w:val="left"/>
                  <w:rPr>
                    <w:sz w:val="21"/>
                  </w:rPr>
                </w:pPr>
                <w:r>
                  <w:rPr>
                    <w:sz w:val="21"/>
                  </w:rPr>
                  <w:t>PART D</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1977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18240"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17216"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816192" type="#_x0000_t202" filled="false" stroked="false">
          <v:textbox inset="0,0,0,0">
            <w:txbxContent>
              <w:p>
                <w:pPr>
                  <w:spacing w:before="14"/>
                  <w:ind w:left="20" w:right="0" w:firstLine="0"/>
                  <w:jc w:val="left"/>
                  <w:rPr>
                    <w:sz w:val="21"/>
                  </w:rPr>
                </w:pPr>
                <w:r>
                  <w:rPr>
                    <w:sz w:val="21"/>
                  </w:rPr>
                  <w:t>PART N</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15168"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14144"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12608"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11584"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10560"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09536"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899994pt;margin-top:35.040295pt;width:40.6pt;height:13.8pt;mso-position-horizontal-relative:page;mso-position-vertical-relative:page;z-index:-23913984" type="#_x0000_t202" filled="false" stroked="false">
          <v:textbox inset="0,0,0,0">
            <w:txbxContent>
              <w:p>
                <w:pPr>
                  <w:spacing w:before="14"/>
                  <w:ind w:left="20" w:right="0" w:firstLine="0"/>
                  <w:jc w:val="left"/>
                  <w:rPr>
                    <w:sz w:val="21"/>
                  </w:rPr>
                </w:pPr>
                <w:r>
                  <w:rPr>
                    <w:sz w:val="21"/>
                  </w:rPr>
                  <w:t>PART D</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08512"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07488"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06464"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05440"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04416"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02368"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800320"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799296"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798272"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299988pt;margin-top:35.040295pt;width:41.2pt;height:13.8pt;mso-position-horizontal-relative:page;mso-position-vertical-relative:page;z-index:-23797248" type="#_x0000_t202" filled="false" stroked="false">
          <v:textbox inset="0,0,0,0">
            <w:txbxContent>
              <w:p>
                <w:pPr>
                  <w:spacing w:before="14"/>
                  <w:ind w:left="20" w:right="0" w:firstLine="0"/>
                  <w:jc w:val="left"/>
                  <w:rPr>
                    <w:sz w:val="21"/>
                  </w:rPr>
                </w:pPr>
                <w:r>
                  <w:rPr>
                    <w:sz w:val="21"/>
                  </w:rPr>
                  <w:t>PART 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2">
    <w:multiLevelType w:val="hybridMultilevel"/>
    <w:lvl w:ilvl="0">
      <w:start w:val="0"/>
      <w:numFmt w:val="bullet"/>
      <w:lvlText w:val=""/>
      <w:lvlJc w:val="left"/>
      <w:pPr>
        <w:ind w:left="1940" w:hanging="360"/>
      </w:pPr>
      <w:rPr>
        <w:rFonts w:hint="default" w:ascii="Symbol" w:hAnsi="Symbol" w:eastAsia="Symbol" w:cs="Symbol"/>
        <w:w w:val="99"/>
        <w:sz w:val="25"/>
        <w:szCs w:val="25"/>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201">
    <w:multiLevelType w:val="hybridMultilevel"/>
    <w:lvl w:ilvl="0">
      <w:start w:val="0"/>
      <w:numFmt w:val="bullet"/>
      <w:lvlText w:val=""/>
      <w:lvlJc w:val="left"/>
      <w:pPr>
        <w:ind w:left="1940" w:hanging="360"/>
      </w:pPr>
      <w:rPr>
        <w:rFonts w:hint="default" w:ascii="Symbol" w:hAnsi="Symbol" w:eastAsia="Symbol" w:cs="Symbol"/>
        <w:w w:val="99"/>
        <w:sz w:val="25"/>
        <w:szCs w:val="25"/>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199">
    <w:multiLevelType w:val="hybridMultilevel"/>
    <w:lvl w:ilvl="0">
      <w:start w:val="0"/>
      <w:numFmt w:val="bullet"/>
      <w:lvlText w:val=""/>
      <w:lvlJc w:val="left"/>
      <w:pPr>
        <w:ind w:left="1940" w:hanging="360"/>
      </w:pPr>
      <w:rPr>
        <w:rFonts w:hint="default" w:ascii="Symbol" w:hAnsi="Symbol" w:eastAsia="Symbol" w:cs="Symbol"/>
        <w:w w:val="99"/>
        <w:sz w:val="25"/>
        <w:szCs w:val="25"/>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198">
    <w:multiLevelType w:val="hybridMultilevel"/>
    <w:lvl w:ilvl="0">
      <w:start w:val="0"/>
      <w:numFmt w:val="bullet"/>
      <w:lvlText w:val=""/>
      <w:lvlJc w:val="left"/>
      <w:pPr>
        <w:ind w:left="1940" w:hanging="360"/>
      </w:pPr>
      <w:rPr>
        <w:rFonts w:hint="default" w:ascii="Symbol" w:hAnsi="Symbol" w:eastAsia="Symbol" w:cs="Symbol"/>
        <w:w w:val="99"/>
        <w:sz w:val="25"/>
        <w:szCs w:val="25"/>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197">
    <w:multiLevelType w:val="hybridMultilevel"/>
    <w:lvl w:ilvl="0">
      <w:start w:val="0"/>
      <w:numFmt w:val="bullet"/>
      <w:lvlText w:val=""/>
      <w:lvlJc w:val="left"/>
      <w:pPr>
        <w:ind w:left="1940" w:hanging="360"/>
      </w:pPr>
      <w:rPr>
        <w:rFonts w:hint="default" w:ascii="Symbol" w:hAnsi="Symbol" w:eastAsia="Symbol" w:cs="Symbol"/>
        <w:w w:val="99"/>
        <w:sz w:val="25"/>
        <w:szCs w:val="25"/>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196">
    <w:multiLevelType w:val="hybridMultilevel"/>
    <w:lvl w:ilvl="0">
      <w:start w:val="0"/>
      <w:numFmt w:val="bullet"/>
      <w:lvlText w:val=""/>
      <w:lvlJc w:val="left"/>
      <w:pPr>
        <w:ind w:left="1940" w:hanging="360"/>
      </w:pPr>
      <w:rPr>
        <w:rFonts w:hint="default" w:ascii="Symbol" w:hAnsi="Symbol" w:eastAsia="Symbol" w:cs="Symbol"/>
        <w:w w:val="99"/>
        <w:sz w:val="25"/>
        <w:szCs w:val="25"/>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35">
    <w:multiLevelType w:val="hybridMultilevel"/>
    <w:lvl w:ilvl="0">
      <w:start w:val="1"/>
      <w:numFmt w:val="decimal"/>
      <w:lvlText w:val="(%1)"/>
      <w:lvlJc w:val="left"/>
      <w:pPr>
        <w:ind w:left="2660" w:hanging="341"/>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3390" w:hanging="341"/>
      </w:pPr>
      <w:rPr>
        <w:rFonts w:hint="default"/>
        <w:lang w:val="en-US" w:eastAsia="en-US" w:bidi="ar-SA"/>
      </w:rPr>
    </w:lvl>
    <w:lvl w:ilvl="2">
      <w:start w:val="0"/>
      <w:numFmt w:val="bullet"/>
      <w:lvlText w:val="•"/>
      <w:lvlJc w:val="left"/>
      <w:pPr>
        <w:ind w:left="4121" w:hanging="341"/>
      </w:pPr>
      <w:rPr>
        <w:rFonts w:hint="default"/>
        <w:lang w:val="en-US" w:eastAsia="en-US" w:bidi="ar-SA"/>
      </w:rPr>
    </w:lvl>
    <w:lvl w:ilvl="3">
      <w:start w:val="0"/>
      <w:numFmt w:val="bullet"/>
      <w:lvlText w:val="•"/>
      <w:lvlJc w:val="left"/>
      <w:pPr>
        <w:ind w:left="4851" w:hanging="341"/>
      </w:pPr>
      <w:rPr>
        <w:rFonts w:hint="default"/>
        <w:lang w:val="en-US" w:eastAsia="en-US" w:bidi="ar-SA"/>
      </w:rPr>
    </w:lvl>
    <w:lvl w:ilvl="4">
      <w:start w:val="0"/>
      <w:numFmt w:val="bullet"/>
      <w:lvlText w:val="•"/>
      <w:lvlJc w:val="left"/>
      <w:pPr>
        <w:ind w:left="5582" w:hanging="341"/>
      </w:pPr>
      <w:rPr>
        <w:rFonts w:hint="default"/>
        <w:lang w:val="en-US" w:eastAsia="en-US" w:bidi="ar-SA"/>
      </w:rPr>
    </w:lvl>
    <w:lvl w:ilvl="5">
      <w:start w:val="0"/>
      <w:numFmt w:val="bullet"/>
      <w:lvlText w:val="•"/>
      <w:lvlJc w:val="left"/>
      <w:pPr>
        <w:ind w:left="6313" w:hanging="341"/>
      </w:pPr>
      <w:rPr>
        <w:rFonts w:hint="default"/>
        <w:lang w:val="en-US" w:eastAsia="en-US" w:bidi="ar-SA"/>
      </w:rPr>
    </w:lvl>
    <w:lvl w:ilvl="6">
      <w:start w:val="0"/>
      <w:numFmt w:val="bullet"/>
      <w:lvlText w:val="•"/>
      <w:lvlJc w:val="left"/>
      <w:pPr>
        <w:ind w:left="7043" w:hanging="341"/>
      </w:pPr>
      <w:rPr>
        <w:rFonts w:hint="default"/>
        <w:lang w:val="en-US" w:eastAsia="en-US" w:bidi="ar-SA"/>
      </w:rPr>
    </w:lvl>
    <w:lvl w:ilvl="7">
      <w:start w:val="0"/>
      <w:numFmt w:val="bullet"/>
      <w:lvlText w:val="•"/>
      <w:lvlJc w:val="left"/>
      <w:pPr>
        <w:ind w:left="7774" w:hanging="341"/>
      </w:pPr>
      <w:rPr>
        <w:rFonts w:hint="default"/>
        <w:lang w:val="en-US" w:eastAsia="en-US" w:bidi="ar-SA"/>
      </w:rPr>
    </w:lvl>
    <w:lvl w:ilvl="8">
      <w:start w:val="0"/>
      <w:numFmt w:val="bullet"/>
      <w:lvlText w:val="•"/>
      <w:lvlJc w:val="left"/>
      <w:pPr>
        <w:ind w:left="8505" w:hanging="341"/>
      </w:pPr>
      <w:rPr>
        <w:rFonts w:hint="default"/>
        <w:lang w:val="en-US" w:eastAsia="en-US" w:bidi="ar-SA"/>
      </w:rPr>
    </w:lvl>
  </w:abstractNum>
  <w:abstractNum w:abstractNumId="114">
    <w:multiLevelType w:val="hybridMultilevel"/>
    <w:lvl w:ilvl="0">
      <w:start w:val="0"/>
      <w:numFmt w:val="bullet"/>
      <w:lvlText w:val=""/>
      <w:lvlJc w:val="left"/>
      <w:pPr>
        <w:ind w:left="1220" w:hanging="720"/>
      </w:pPr>
      <w:rPr>
        <w:rFonts w:hint="default" w:ascii="Symbol" w:hAnsi="Symbol" w:eastAsia="Symbol" w:cs="Symbo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56">
    <w:multiLevelType w:val="hybridMultilevel"/>
    <w:lvl w:ilvl="0">
      <w:start w:val="138"/>
      <w:numFmt w:val="decimal"/>
      <w:lvlText w:val="%1."/>
      <w:lvlJc w:val="left"/>
      <w:pPr>
        <w:ind w:left="999" w:hanging="840"/>
        <w:jc w:val="left"/>
      </w:pPr>
      <w:rPr>
        <w:rFonts w:hint="default" w:ascii="Courier New" w:hAnsi="Courier New" w:eastAsia="Courier New" w:cs="Courier New"/>
        <w:spacing w:val="-1"/>
        <w:w w:val="100"/>
        <w:sz w:val="28"/>
        <w:szCs w:val="28"/>
        <w:lang w:val="en-US" w:eastAsia="en-US" w:bidi="ar-SA"/>
      </w:rPr>
    </w:lvl>
    <w:lvl w:ilvl="1">
      <w:start w:val="0"/>
      <w:numFmt w:val="bullet"/>
      <w:lvlText w:val="•"/>
      <w:lvlJc w:val="left"/>
      <w:pPr>
        <w:ind w:left="1020" w:hanging="840"/>
      </w:pPr>
      <w:rPr>
        <w:rFonts w:hint="default"/>
        <w:lang w:val="en-US" w:eastAsia="en-US" w:bidi="ar-SA"/>
      </w:rPr>
    </w:lvl>
    <w:lvl w:ilvl="2">
      <w:start w:val="0"/>
      <w:numFmt w:val="bullet"/>
      <w:lvlText w:val="•"/>
      <w:lvlJc w:val="left"/>
      <w:pPr>
        <w:ind w:left="1945" w:hanging="840"/>
      </w:pPr>
      <w:rPr>
        <w:rFonts w:hint="default"/>
        <w:lang w:val="en-US" w:eastAsia="en-US" w:bidi="ar-SA"/>
      </w:rPr>
    </w:lvl>
    <w:lvl w:ilvl="3">
      <w:start w:val="0"/>
      <w:numFmt w:val="bullet"/>
      <w:lvlText w:val="•"/>
      <w:lvlJc w:val="left"/>
      <w:pPr>
        <w:ind w:left="2870" w:hanging="840"/>
      </w:pPr>
      <w:rPr>
        <w:rFonts w:hint="default"/>
        <w:lang w:val="en-US" w:eastAsia="en-US" w:bidi="ar-SA"/>
      </w:rPr>
    </w:lvl>
    <w:lvl w:ilvl="4">
      <w:start w:val="0"/>
      <w:numFmt w:val="bullet"/>
      <w:lvlText w:val="•"/>
      <w:lvlJc w:val="left"/>
      <w:pPr>
        <w:ind w:left="3796" w:hanging="840"/>
      </w:pPr>
      <w:rPr>
        <w:rFonts w:hint="default"/>
        <w:lang w:val="en-US" w:eastAsia="en-US" w:bidi="ar-SA"/>
      </w:rPr>
    </w:lvl>
    <w:lvl w:ilvl="5">
      <w:start w:val="0"/>
      <w:numFmt w:val="bullet"/>
      <w:lvlText w:val="•"/>
      <w:lvlJc w:val="left"/>
      <w:pPr>
        <w:ind w:left="4721" w:hanging="840"/>
      </w:pPr>
      <w:rPr>
        <w:rFonts w:hint="default"/>
        <w:lang w:val="en-US" w:eastAsia="en-US" w:bidi="ar-SA"/>
      </w:rPr>
    </w:lvl>
    <w:lvl w:ilvl="6">
      <w:start w:val="0"/>
      <w:numFmt w:val="bullet"/>
      <w:lvlText w:val="•"/>
      <w:lvlJc w:val="left"/>
      <w:pPr>
        <w:ind w:left="5647" w:hanging="840"/>
      </w:pPr>
      <w:rPr>
        <w:rFonts w:hint="default"/>
        <w:lang w:val="en-US" w:eastAsia="en-US" w:bidi="ar-SA"/>
      </w:rPr>
    </w:lvl>
    <w:lvl w:ilvl="7">
      <w:start w:val="0"/>
      <w:numFmt w:val="bullet"/>
      <w:lvlText w:val="•"/>
      <w:lvlJc w:val="left"/>
      <w:pPr>
        <w:ind w:left="6572" w:hanging="840"/>
      </w:pPr>
      <w:rPr>
        <w:rFonts w:hint="default"/>
        <w:lang w:val="en-US" w:eastAsia="en-US" w:bidi="ar-SA"/>
      </w:rPr>
    </w:lvl>
    <w:lvl w:ilvl="8">
      <w:start w:val="0"/>
      <w:numFmt w:val="bullet"/>
      <w:lvlText w:val="•"/>
      <w:lvlJc w:val="left"/>
      <w:pPr>
        <w:ind w:left="7497" w:hanging="840"/>
      </w:pPr>
      <w:rPr>
        <w:rFonts w:hint="default"/>
        <w:lang w:val="en-US" w:eastAsia="en-US" w:bidi="ar-SA"/>
      </w:rPr>
    </w:lvl>
  </w:abstractNum>
  <w:abstractNum w:abstractNumId="255">
    <w:multiLevelType w:val="hybridMultilevel"/>
    <w:lvl w:ilvl="0">
      <w:start w:val="97"/>
      <w:numFmt w:val="decimal"/>
      <w:lvlText w:val="%1."/>
      <w:lvlJc w:val="left"/>
      <w:pPr>
        <w:ind w:left="159" w:hanging="701"/>
        <w:jc w:val="left"/>
      </w:pPr>
      <w:rPr>
        <w:rFonts w:hint="default"/>
        <w:spacing w:val="-1"/>
        <w:w w:val="100"/>
        <w:lang w:val="en-US" w:eastAsia="en-US" w:bidi="ar-SA"/>
      </w:rPr>
    </w:lvl>
    <w:lvl w:ilvl="1">
      <w:start w:val="0"/>
      <w:numFmt w:val="bullet"/>
      <w:lvlText w:val="•"/>
      <w:lvlJc w:val="left"/>
      <w:pPr>
        <w:ind w:left="1078" w:hanging="701"/>
      </w:pPr>
      <w:rPr>
        <w:rFonts w:hint="default"/>
        <w:lang w:val="en-US" w:eastAsia="en-US" w:bidi="ar-SA"/>
      </w:rPr>
    </w:lvl>
    <w:lvl w:ilvl="2">
      <w:start w:val="0"/>
      <w:numFmt w:val="bullet"/>
      <w:lvlText w:val="•"/>
      <w:lvlJc w:val="left"/>
      <w:pPr>
        <w:ind w:left="1997" w:hanging="701"/>
      </w:pPr>
      <w:rPr>
        <w:rFonts w:hint="default"/>
        <w:lang w:val="en-US" w:eastAsia="en-US" w:bidi="ar-SA"/>
      </w:rPr>
    </w:lvl>
    <w:lvl w:ilvl="3">
      <w:start w:val="0"/>
      <w:numFmt w:val="bullet"/>
      <w:lvlText w:val="•"/>
      <w:lvlJc w:val="left"/>
      <w:pPr>
        <w:ind w:left="2916" w:hanging="701"/>
      </w:pPr>
      <w:rPr>
        <w:rFonts w:hint="default"/>
        <w:lang w:val="en-US" w:eastAsia="en-US" w:bidi="ar-SA"/>
      </w:rPr>
    </w:lvl>
    <w:lvl w:ilvl="4">
      <w:start w:val="0"/>
      <w:numFmt w:val="bullet"/>
      <w:lvlText w:val="•"/>
      <w:lvlJc w:val="left"/>
      <w:pPr>
        <w:ind w:left="3835" w:hanging="701"/>
      </w:pPr>
      <w:rPr>
        <w:rFonts w:hint="default"/>
        <w:lang w:val="en-US" w:eastAsia="en-US" w:bidi="ar-SA"/>
      </w:rPr>
    </w:lvl>
    <w:lvl w:ilvl="5">
      <w:start w:val="0"/>
      <w:numFmt w:val="bullet"/>
      <w:lvlText w:val="•"/>
      <w:lvlJc w:val="left"/>
      <w:pPr>
        <w:ind w:left="4754" w:hanging="701"/>
      </w:pPr>
      <w:rPr>
        <w:rFonts w:hint="default"/>
        <w:lang w:val="en-US" w:eastAsia="en-US" w:bidi="ar-SA"/>
      </w:rPr>
    </w:lvl>
    <w:lvl w:ilvl="6">
      <w:start w:val="0"/>
      <w:numFmt w:val="bullet"/>
      <w:lvlText w:val="•"/>
      <w:lvlJc w:val="left"/>
      <w:pPr>
        <w:ind w:left="5673" w:hanging="701"/>
      </w:pPr>
      <w:rPr>
        <w:rFonts w:hint="default"/>
        <w:lang w:val="en-US" w:eastAsia="en-US" w:bidi="ar-SA"/>
      </w:rPr>
    </w:lvl>
    <w:lvl w:ilvl="7">
      <w:start w:val="0"/>
      <w:numFmt w:val="bullet"/>
      <w:lvlText w:val="•"/>
      <w:lvlJc w:val="left"/>
      <w:pPr>
        <w:ind w:left="6592" w:hanging="701"/>
      </w:pPr>
      <w:rPr>
        <w:rFonts w:hint="default"/>
        <w:lang w:val="en-US" w:eastAsia="en-US" w:bidi="ar-SA"/>
      </w:rPr>
    </w:lvl>
    <w:lvl w:ilvl="8">
      <w:start w:val="0"/>
      <w:numFmt w:val="bullet"/>
      <w:lvlText w:val="•"/>
      <w:lvlJc w:val="left"/>
      <w:pPr>
        <w:ind w:left="7511" w:hanging="701"/>
      </w:pPr>
      <w:rPr>
        <w:rFonts w:hint="default"/>
        <w:lang w:val="en-US" w:eastAsia="en-US" w:bidi="ar-SA"/>
      </w:rPr>
    </w:lvl>
  </w:abstractNum>
  <w:abstractNum w:abstractNumId="254">
    <w:multiLevelType w:val="hybridMultilevel"/>
    <w:lvl w:ilvl="0">
      <w:start w:val="70"/>
      <w:numFmt w:val="decimal"/>
      <w:lvlText w:val="%1."/>
      <w:lvlJc w:val="left"/>
      <w:pPr>
        <w:ind w:left="160" w:hanging="737"/>
        <w:jc w:val="left"/>
      </w:pPr>
      <w:rPr>
        <w:rFonts w:hint="default"/>
        <w:spacing w:val="-1"/>
        <w:w w:val="100"/>
        <w:lang w:val="en-US" w:eastAsia="en-US" w:bidi="ar-SA"/>
      </w:rPr>
    </w:lvl>
    <w:lvl w:ilvl="1">
      <w:start w:val="1"/>
      <w:numFmt w:val="decimal"/>
      <w:lvlText w:val="(%2)"/>
      <w:lvlJc w:val="left"/>
      <w:pPr>
        <w:ind w:left="1861" w:hanging="850"/>
        <w:jc w:val="left"/>
      </w:pPr>
      <w:rPr>
        <w:rFonts w:hint="default" w:ascii="Courier New" w:hAnsi="Courier New" w:eastAsia="Courier New" w:cs="Courier New"/>
        <w:spacing w:val="-1"/>
        <w:w w:val="100"/>
        <w:sz w:val="28"/>
        <w:szCs w:val="28"/>
        <w:lang w:val="en-US" w:eastAsia="en-US" w:bidi="ar-SA"/>
      </w:rPr>
    </w:lvl>
    <w:lvl w:ilvl="2">
      <w:start w:val="0"/>
      <w:numFmt w:val="bullet"/>
      <w:lvlText w:val="•"/>
      <w:lvlJc w:val="left"/>
      <w:pPr>
        <w:ind w:left="2692" w:hanging="850"/>
      </w:pPr>
      <w:rPr>
        <w:rFonts w:hint="default"/>
        <w:lang w:val="en-US" w:eastAsia="en-US" w:bidi="ar-SA"/>
      </w:rPr>
    </w:lvl>
    <w:lvl w:ilvl="3">
      <w:start w:val="0"/>
      <w:numFmt w:val="bullet"/>
      <w:lvlText w:val="•"/>
      <w:lvlJc w:val="left"/>
      <w:pPr>
        <w:ind w:left="3524" w:hanging="850"/>
      </w:pPr>
      <w:rPr>
        <w:rFonts w:hint="default"/>
        <w:lang w:val="en-US" w:eastAsia="en-US" w:bidi="ar-SA"/>
      </w:rPr>
    </w:lvl>
    <w:lvl w:ilvl="4">
      <w:start w:val="0"/>
      <w:numFmt w:val="bullet"/>
      <w:lvlText w:val="•"/>
      <w:lvlJc w:val="left"/>
      <w:pPr>
        <w:ind w:left="4356" w:hanging="850"/>
      </w:pPr>
      <w:rPr>
        <w:rFonts w:hint="default"/>
        <w:lang w:val="en-US" w:eastAsia="en-US" w:bidi="ar-SA"/>
      </w:rPr>
    </w:lvl>
    <w:lvl w:ilvl="5">
      <w:start w:val="0"/>
      <w:numFmt w:val="bullet"/>
      <w:lvlText w:val="•"/>
      <w:lvlJc w:val="left"/>
      <w:pPr>
        <w:ind w:left="5188" w:hanging="850"/>
      </w:pPr>
      <w:rPr>
        <w:rFonts w:hint="default"/>
        <w:lang w:val="en-US" w:eastAsia="en-US" w:bidi="ar-SA"/>
      </w:rPr>
    </w:lvl>
    <w:lvl w:ilvl="6">
      <w:start w:val="0"/>
      <w:numFmt w:val="bullet"/>
      <w:lvlText w:val="•"/>
      <w:lvlJc w:val="left"/>
      <w:pPr>
        <w:ind w:left="6020" w:hanging="850"/>
      </w:pPr>
      <w:rPr>
        <w:rFonts w:hint="default"/>
        <w:lang w:val="en-US" w:eastAsia="en-US" w:bidi="ar-SA"/>
      </w:rPr>
    </w:lvl>
    <w:lvl w:ilvl="7">
      <w:start w:val="0"/>
      <w:numFmt w:val="bullet"/>
      <w:lvlText w:val="•"/>
      <w:lvlJc w:val="left"/>
      <w:pPr>
        <w:ind w:left="6852" w:hanging="850"/>
      </w:pPr>
      <w:rPr>
        <w:rFonts w:hint="default"/>
        <w:lang w:val="en-US" w:eastAsia="en-US" w:bidi="ar-SA"/>
      </w:rPr>
    </w:lvl>
    <w:lvl w:ilvl="8">
      <w:start w:val="0"/>
      <w:numFmt w:val="bullet"/>
      <w:lvlText w:val="•"/>
      <w:lvlJc w:val="left"/>
      <w:pPr>
        <w:ind w:left="7684" w:hanging="850"/>
      </w:pPr>
      <w:rPr>
        <w:rFonts w:hint="default"/>
        <w:lang w:val="en-US" w:eastAsia="en-US" w:bidi="ar-SA"/>
      </w:rPr>
    </w:lvl>
  </w:abstractNum>
  <w:abstractNum w:abstractNumId="253">
    <w:multiLevelType w:val="hybridMultilevel"/>
    <w:lvl w:ilvl="0">
      <w:start w:val="46"/>
      <w:numFmt w:val="decimal"/>
      <w:lvlText w:val="%1."/>
      <w:lvlJc w:val="left"/>
      <w:pPr>
        <w:ind w:left="160" w:hanging="778"/>
        <w:jc w:val="left"/>
      </w:pPr>
      <w:rPr>
        <w:rFonts w:hint="default" w:ascii="Courier New" w:hAnsi="Courier New" w:eastAsia="Courier New" w:cs="Courier New"/>
        <w:spacing w:val="-1"/>
        <w:w w:val="100"/>
        <w:sz w:val="28"/>
        <w:szCs w:val="28"/>
        <w:lang w:val="en-US" w:eastAsia="en-US" w:bidi="ar-SA"/>
      </w:rPr>
    </w:lvl>
    <w:lvl w:ilvl="1">
      <w:start w:val="1"/>
      <w:numFmt w:val="lowerLetter"/>
      <w:lvlText w:val="(%2)"/>
      <w:lvlJc w:val="left"/>
      <w:pPr>
        <w:ind w:left="1851" w:hanging="840"/>
        <w:jc w:val="left"/>
      </w:pPr>
      <w:rPr>
        <w:rFonts w:hint="default" w:ascii="Courier New" w:hAnsi="Courier New" w:eastAsia="Courier New" w:cs="Courier New"/>
        <w:spacing w:val="-1"/>
        <w:w w:val="100"/>
        <w:sz w:val="28"/>
        <w:szCs w:val="28"/>
        <w:lang w:val="en-US" w:eastAsia="en-US" w:bidi="ar-SA"/>
      </w:rPr>
    </w:lvl>
    <w:lvl w:ilvl="2">
      <w:start w:val="0"/>
      <w:numFmt w:val="bullet"/>
      <w:lvlText w:val="•"/>
      <w:lvlJc w:val="left"/>
      <w:pPr>
        <w:ind w:left="2692" w:hanging="840"/>
      </w:pPr>
      <w:rPr>
        <w:rFonts w:hint="default"/>
        <w:lang w:val="en-US" w:eastAsia="en-US" w:bidi="ar-SA"/>
      </w:rPr>
    </w:lvl>
    <w:lvl w:ilvl="3">
      <w:start w:val="0"/>
      <w:numFmt w:val="bullet"/>
      <w:lvlText w:val="•"/>
      <w:lvlJc w:val="left"/>
      <w:pPr>
        <w:ind w:left="3524" w:hanging="840"/>
      </w:pPr>
      <w:rPr>
        <w:rFonts w:hint="default"/>
        <w:lang w:val="en-US" w:eastAsia="en-US" w:bidi="ar-SA"/>
      </w:rPr>
    </w:lvl>
    <w:lvl w:ilvl="4">
      <w:start w:val="0"/>
      <w:numFmt w:val="bullet"/>
      <w:lvlText w:val="•"/>
      <w:lvlJc w:val="left"/>
      <w:pPr>
        <w:ind w:left="4356" w:hanging="840"/>
      </w:pPr>
      <w:rPr>
        <w:rFonts w:hint="default"/>
        <w:lang w:val="en-US" w:eastAsia="en-US" w:bidi="ar-SA"/>
      </w:rPr>
    </w:lvl>
    <w:lvl w:ilvl="5">
      <w:start w:val="0"/>
      <w:numFmt w:val="bullet"/>
      <w:lvlText w:val="•"/>
      <w:lvlJc w:val="left"/>
      <w:pPr>
        <w:ind w:left="5188" w:hanging="840"/>
      </w:pPr>
      <w:rPr>
        <w:rFonts w:hint="default"/>
        <w:lang w:val="en-US" w:eastAsia="en-US" w:bidi="ar-SA"/>
      </w:rPr>
    </w:lvl>
    <w:lvl w:ilvl="6">
      <w:start w:val="0"/>
      <w:numFmt w:val="bullet"/>
      <w:lvlText w:val="•"/>
      <w:lvlJc w:val="left"/>
      <w:pPr>
        <w:ind w:left="6020" w:hanging="840"/>
      </w:pPr>
      <w:rPr>
        <w:rFonts w:hint="default"/>
        <w:lang w:val="en-US" w:eastAsia="en-US" w:bidi="ar-SA"/>
      </w:rPr>
    </w:lvl>
    <w:lvl w:ilvl="7">
      <w:start w:val="0"/>
      <w:numFmt w:val="bullet"/>
      <w:lvlText w:val="•"/>
      <w:lvlJc w:val="left"/>
      <w:pPr>
        <w:ind w:left="6852" w:hanging="840"/>
      </w:pPr>
      <w:rPr>
        <w:rFonts w:hint="default"/>
        <w:lang w:val="en-US" w:eastAsia="en-US" w:bidi="ar-SA"/>
      </w:rPr>
    </w:lvl>
    <w:lvl w:ilvl="8">
      <w:start w:val="0"/>
      <w:numFmt w:val="bullet"/>
      <w:lvlText w:val="•"/>
      <w:lvlJc w:val="left"/>
      <w:pPr>
        <w:ind w:left="7684" w:hanging="840"/>
      </w:pPr>
      <w:rPr>
        <w:rFonts w:hint="default"/>
        <w:lang w:val="en-US" w:eastAsia="en-US" w:bidi="ar-SA"/>
      </w:rPr>
    </w:lvl>
  </w:abstractNum>
  <w:abstractNum w:abstractNumId="252">
    <w:multiLevelType w:val="hybridMultilevel"/>
    <w:lvl w:ilvl="0">
      <w:start w:val="37"/>
      <w:numFmt w:val="decimal"/>
      <w:lvlText w:val="%1."/>
      <w:lvlJc w:val="left"/>
      <w:pPr>
        <w:ind w:left="159" w:hanging="665"/>
        <w:jc w:val="left"/>
      </w:pPr>
      <w:rPr>
        <w:rFonts w:hint="default" w:ascii="Courier New" w:hAnsi="Courier New" w:eastAsia="Courier New" w:cs="Courier New"/>
        <w:spacing w:val="-1"/>
        <w:w w:val="100"/>
        <w:sz w:val="28"/>
        <w:szCs w:val="28"/>
        <w:lang w:val="en-US" w:eastAsia="en-US" w:bidi="ar-SA"/>
      </w:rPr>
    </w:lvl>
    <w:lvl w:ilvl="1">
      <w:start w:val="0"/>
      <w:numFmt w:val="bullet"/>
      <w:lvlText w:val="•"/>
      <w:lvlJc w:val="left"/>
      <w:pPr>
        <w:ind w:left="1020" w:hanging="665"/>
      </w:pPr>
      <w:rPr>
        <w:rFonts w:hint="default"/>
        <w:lang w:val="en-US" w:eastAsia="en-US" w:bidi="ar-SA"/>
      </w:rPr>
    </w:lvl>
    <w:lvl w:ilvl="2">
      <w:start w:val="0"/>
      <w:numFmt w:val="bullet"/>
      <w:lvlText w:val="•"/>
      <w:lvlJc w:val="left"/>
      <w:pPr>
        <w:ind w:left="1945" w:hanging="665"/>
      </w:pPr>
      <w:rPr>
        <w:rFonts w:hint="default"/>
        <w:lang w:val="en-US" w:eastAsia="en-US" w:bidi="ar-SA"/>
      </w:rPr>
    </w:lvl>
    <w:lvl w:ilvl="3">
      <w:start w:val="0"/>
      <w:numFmt w:val="bullet"/>
      <w:lvlText w:val="•"/>
      <w:lvlJc w:val="left"/>
      <w:pPr>
        <w:ind w:left="2870" w:hanging="665"/>
      </w:pPr>
      <w:rPr>
        <w:rFonts w:hint="default"/>
        <w:lang w:val="en-US" w:eastAsia="en-US" w:bidi="ar-SA"/>
      </w:rPr>
    </w:lvl>
    <w:lvl w:ilvl="4">
      <w:start w:val="0"/>
      <w:numFmt w:val="bullet"/>
      <w:lvlText w:val="•"/>
      <w:lvlJc w:val="left"/>
      <w:pPr>
        <w:ind w:left="3796" w:hanging="665"/>
      </w:pPr>
      <w:rPr>
        <w:rFonts w:hint="default"/>
        <w:lang w:val="en-US" w:eastAsia="en-US" w:bidi="ar-SA"/>
      </w:rPr>
    </w:lvl>
    <w:lvl w:ilvl="5">
      <w:start w:val="0"/>
      <w:numFmt w:val="bullet"/>
      <w:lvlText w:val="•"/>
      <w:lvlJc w:val="left"/>
      <w:pPr>
        <w:ind w:left="4721" w:hanging="665"/>
      </w:pPr>
      <w:rPr>
        <w:rFonts w:hint="default"/>
        <w:lang w:val="en-US" w:eastAsia="en-US" w:bidi="ar-SA"/>
      </w:rPr>
    </w:lvl>
    <w:lvl w:ilvl="6">
      <w:start w:val="0"/>
      <w:numFmt w:val="bullet"/>
      <w:lvlText w:val="•"/>
      <w:lvlJc w:val="left"/>
      <w:pPr>
        <w:ind w:left="5647" w:hanging="665"/>
      </w:pPr>
      <w:rPr>
        <w:rFonts w:hint="default"/>
        <w:lang w:val="en-US" w:eastAsia="en-US" w:bidi="ar-SA"/>
      </w:rPr>
    </w:lvl>
    <w:lvl w:ilvl="7">
      <w:start w:val="0"/>
      <w:numFmt w:val="bullet"/>
      <w:lvlText w:val="•"/>
      <w:lvlJc w:val="left"/>
      <w:pPr>
        <w:ind w:left="6572" w:hanging="665"/>
      </w:pPr>
      <w:rPr>
        <w:rFonts w:hint="default"/>
        <w:lang w:val="en-US" w:eastAsia="en-US" w:bidi="ar-SA"/>
      </w:rPr>
    </w:lvl>
    <w:lvl w:ilvl="8">
      <w:start w:val="0"/>
      <w:numFmt w:val="bullet"/>
      <w:lvlText w:val="•"/>
      <w:lvlJc w:val="left"/>
      <w:pPr>
        <w:ind w:left="7497" w:hanging="665"/>
      </w:pPr>
      <w:rPr>
        <w:rFonts w:hint="default"/>
        <w:lang w:val="en-US" w:eastAsia="en-US" w:bidi="ar-SA"/>
      </w:rPr>
    </w:lvl>
  </w:abstractNum>
  <w:abstractNum w:abstractNumId="251">
    <w:multiLevelType w:val="hybridMultilevel"/>
    <w:lvl w:ilvl="0">
      <w:start w:val="30"/>
      <w:numFmt w:val="decimal"/>
      <w:lvlText w:val="%1."/>
      <w:lvlJc w:val="left"/>
      <w:pPr>
        <w:ind w:left="160" w:hanging="708"/>
        <w:jc w:val="left"/>
      </w:pPr>
      <w:rPr>
        <w:rFonts w:hint="default" w:ascii="Courier New" w:hAnsi="Courier New" w:eastAsia="Courier New" w:cs="Courier New"/>
        <w:spacing w:val="-1"/>
        <w:w w:val="100"/>
        <w:sz w:val="28"/>
        <w:szCs w:val="28"/>
        <w:lang w:val="en-US" w:eastAsia="en-US" w:bidi="ar-SA"/>
      </w:rPr>
    </w:lvl>
    <w:lvl w:ilvl="1">
      <w:start w:val="0"/>
      <w:numFmt w:val="bullet"/>
      <w:lvlText w:val="•"/>
      <w:lvlJc w:val="left"/>
      <w:pPr>
        <w:ind w:left="1078" w:hanging="708"/>
      </w:pPr>
      <w:rPr>
        <w:rFonts w:hint="default"/>
        <w:lang w:val="en-US" w:eastAsia="en-US" w:bidi="ar-SA"/>
      </w:rPr>
    </w:lvl>
    <w:lvl w:ilvl="2">
      <w:start w:val="0"/>
      <w:numFmt w:val="bullet"/>
      <w:lvlText w:val="•"/>
      <w:lvlJc w:val="left"/>
      <w:pPr>
        <w:ind w:left="1997" w:hanging="708"/>
      </w:pPr>
      <w:rPr>
        <w:rFonts w:hint="default"/>
        <w:lang w:val="en-US" w:eastAsia="en-US" w:bidi="ar-SA"/>
      </w:rPr>
    </w:lvl>
    <w:lvl w:ilvl="3">
      <w:start w:val="0"/>
      <w:numFmt w:val="bullet"/>
      <w:lvlText w:val="•"/>
      <w:lvlJc w:val="left"/>
      <w:pPr>
        <w:ind w:left="2916" w:hanging="708"/>
      </w:pPr>
      <w:rPr>
        <w:rFonts w:hint="default"/>
        <w:lang w:val="en-US" w:eastAsia="en-US" w:bidi="ar-SA"/>
      </w:rPr>
    </w:lvl>
    <w:lvl w:ilvl="4">
      <w:start w:val="0"/>
      <w:numFmt w:val="bullet"/>
      <w:lvlText w:val="•"/>
      <w:lvlJc w:val="left"/>
      <w:pPr>
        <w:ind w:left="3835" w:hanging="708"/>
      </w:pPr>
      <w:rPr>
        <w:rFonts w:hint="default"/>
        <w:lang w:val="en-US" w:eastAsia="en-US" w:bidi="ar-SA"/>
      </w:rPr>
    </w:lvl>
    <w:lvl w:ilvl="5">
      <w:start w:val="0"/>
      <w:numFmt w:val="bullet"/>
      <w:lvlText w:val="•"/>
      <w:lvlJc w:val="left"/>
      <w:pPr>
        <w:ind w:left="4754" w:hanging="708"/>
      </w:pPr>
      <w:rPr>
        <w:rFonts w:hint="default"/>
        <w:lang w:val="en-US" w:eastAsia="en-US" w:bidi="ar-SA"/>
      </w:rPr>
    </w:lvl>
    <w:lvl w:ilvl="6">
      <w:start w:val="0"/>
      <w:numFmt w:val="bullet"/>
      <w:lvlText w:val="•"/>
      <w:lvlJc w:val="left"/>
      <w:pPr>
        <w:ind w:left="5673" w:hanging="708"/>
      </w:pPr>
      <w:rPr>
        <w:rFonts w:hint="default"/>
        <w:lang w:val="en-US" w:eastAsia="en-US" w:bidi="ar-SA"/>
      </w:rPr>
    </w:lvl>
    <w:lvl w:ilvl="7">
      <w:start w:val="0"/>
      <w:numFmt w:val="bullet"/>
      <w:lvlText w:val="•"/>
      <w:lvlJc w:val="left"/>
      <w:pPr>
        <w:ind w:left="6592" w:hanging="708"/>
      </w:pPr>
      <w:rPr>
        <w:rFonts w:hint="default"/>
        <w:lang w:val="en-US" w:eastAsia="en-US" w:bidi="ar-SA"/>
      </w:rPr>
    </w:lvl>
    <w:lvl w:ilvl="8">
      <w:start w:val="0"/>
      <w:numFmt w:val="bullet"/>
      <w:lvlText w:val="•"/>
      <w:lvlJc w:val="left"/>
      <w:pPr>
        <w:ind w:left="7511" w:hanging="708"/>
      </w:pPr>
      <w:rPr>
        <w:rFonts w:hint="default"/>
        <w:lang w:val="en-US" w:eastAsia="en-US" w:bidi="ar-SA"/>
      </w:rPr>
    </w:lvl>
  </w:abstractNum>
  <w:abstractNum w:abstractNumId="250">
    <w:multiLevelType w:val="hybridMultilevel"/>
    <w:lvl w:ilvl="0">
      <w:start w:val="1"/>
      <w:numFmt w:val="decimal"/>
      <w:lvlText w:val="%1."/>
      <w:lvlJc w:val="left"/>
      <w:pPr>
        <w:ind w:left="160" w:hanging="708"/>
        <w:jc w:val="right"/>
      </w:pPr>
      <w:rPr>
        <w:rFonts w:hint="default"/>
        <w:spacing w:val="-1"/>
        <w:w w:val="100"/>
        <w:lang w:val="en-US" w:eastAsia="en-US" w:bidi="ar-SA"/>
      </w:rPr>
    </w:lvl>
    <w:lvl w:ilvl="1">
      <w:start w:val="0"/>
      <w:numFmt w:val="bullet"/>
      <w:lvlText w:val="•"/>
      <w:lvlJc w:val="left"/>
      <w:pPr>
        <w:ind w:left="1020" w:hanging="708"/>
      </w:pPr>
      <w:rPr>
        <w:rFonts w:hint="default"/>
        <w:lang w:val="en-US" w:eastAsia="en-US" w:bidi="ar-SA"/>
      </w:rPr>
    </w:lvl>
    <w:lvl w:ilvl="2">
      <w:start w:val="0"/>
      <w:numFmt w:val="bullet"/>
      <w:lvlText w:val="•"/>
      <w:lvlJc w:val="left"/>
      <w:pPr>
        <w:ind w:left="1945" w:hanging="708"/>
      </w:pPr>
      <w:rPr>
        <w:rFonts w:hint="default"/>
        <w:lang w:val="en-US" w:eastAsia="en-US" w:bidi="ar-SA"/>
      </w:rPr>
    </w:lvl>
    <w:lvl w:ilvl="3">
      <w:start w:val="0"/>
      <w:numFmt w:val="bullet"/>
      <w:lvlText w:val="•"/>
      <w:lvlJc w:val="left"/>
      <w:pPr>
        <w:ind w:left="2870" w:hanging="708"/>
      </w:pPr>
      <w:rPr>
        <w:rFonts w:hint="default"/>
        <w:lang w:val="en-US" w:eastAsia="en-US" w:bidi="ar-SA"/>
      </w:rPr>
    </w:lvl>
    <w:lvl w:ilvl="4">
      <w:start w:val="0"/>
      <w:numFmt w:val="bullet"/>
      <w:lvlText w:val="•"/>
      <w:lvlJc w:val="left"/>
      <w:pPr>
        <w:ind w:left="3796" w:hanging="708"/>
      </w:pPr>
      <w:rPr>
        <w:rFonts w:hint="default"/>
        <w:lang w:val="en-US" w:eastAsia="en-US" w:bidi="ar-SA"/>
      </w:rPr>
    </w:lvl>
    <w:lvl w:ilvl="5">
      <w:start w:val="0"/>
      <w:numFmt w:val="bullet"/>
      <w:lvlText w:val="•"/>
      <w:lvlJc w:val="left"/>
      <w:pPr>
        <w:ind w:left="4721" w:hanging="708"/>
      </w:pPr>
      <w:rPr>
        <w:rFonts w:hint="default"/>
        <w:lang w:val="en-US" w:eastAsia="en-US" w:bidi="ar-SA"/>
      </w:rPr>
    </w:lvl>
    <w:lvl w:ilvl="6">
      <w:start w:val="0"/>
      <w:numFmt w:val="bullet"/>
      <w:lvlText w:val="•"/>
      <w:lvlJc w:val="left"/>
      <w:pPr>
        <w:ind w:left="5647" w:hanging="708"/>
      </w:pPr>
      <w:rPr>
        <w:rFonts w:hint="default"/>
        <w:lang w:val="en-US" w:eastAsia="en-US" w:bidi="ar-SA"/>
      </w:rPr>
    </w:lvl>
    <w:lvl w:ilvl="7">
      <w:start w:val="0"/>
      <w:numFmt w:val="bullet"/>
      <w:lvlText w:val="•"/>
      <w:lvlJc w:val="left"/>
      <w:pPr>
        <w:ind w:left="6572" w:hanging="708"/>
      </w:pPr>
      <w:rPr>
        <w:rFonts w:hint="default"/>
        <w:lang w:val="en-US" w:eastAsia="en-US" w:bidi="ar-SA"/>
      </w:rPr>
    </w:lvl>
    <w:lvl w:ilvl="8">
      <w:start w:val="0"/>
      <w:numFmt w:val="bullet"/>
      <w:lvlText w:val="•"/>
      <w:lvlJc w:val="left"/>
      <w:pPr>
        <w:ind w:left="7497" w:hanging="708"/>
      </w:pPr>
      <w:rPr>
        <w:rFonts w:hint="default"/>
        <w:lang w:val="en-US" w:eastAsia="en-US" w:bidi="ar-SA"/>
      </w:rPr>
    </w:lvl>
  </w:abstractNum>
  <w:abstractNum w:abstractNumId="249">
    <w:multiLevelType w:val="hybridMultilevel"/>
    <w:lvl w:ilvl="0">
      <w:start w:val="2"/>
      <w:numFmt w:val="lowerRoman"/>
      <w:lvlText w:val="(%1)"/>
      <w:lvlJc w:val="left"/>
      <w:pPr>
        <w:ind w:left="848" w:hanging="348"/>
        <w:jc w:val="left"/>
      </w:pPr>
      <w:rPr>
        <w:rFonts w:hint="default" w:ascii="Arial" w:hAnsi="Arial" w:eastAsia="Arial" w:cs="Arial"/>
        <w:w w:val="99"/>
        <w:sz w:val="25"/>
        <w:szCs w:val="25"/>
        <w:lang w:val="en-US" w:eastAsia="en-US" w:bidi="ar-SA"/>
      </w:rPr>
    </w:lvl>
    <w:lvl w:ilvl="1">
      <w:start w:val="1"/>
      <w:numFmt w:val="lowerLetter"/>
      <w:lvlText w:val="(%2)"/>
      <w:lvlJc w:val="left"/>
      <w:pPr>
        <w:ind w:left="1671" w:hanging="452"/>
        <w:jc w:val="left"/>
      </w:pPr>
      <w:rPr>
        <w:rFonts w:hint="default" w:ascii="Arial" w:hAnsi="Arial" w:eastAsia="Arial" w:cs="Arial"/>
        <w:w w:val="99"/>
        <w:sz w:val="25"/>
        <w:szCs w:val="25"/>
        <w:lang w:val="en-US" w:eastAsia="en-US" w:bidi="ar-SA"/>
      </w:rPr>
    </w:lvl>
    <w:lvl w:ilvl="2">
      <w:start w:val="0"/>
      <w:numFmt w:val="bullet"/>
      <w:lvlText w:val="•"/>
      <w:lvlJc w:val="left"/>
      <w:pPr>
        <w:ind w:left="2600" w:hanging="452"/>
      </w:pPr>
      <w:rPr>
        <w:rFonts w:hint="default"/>
        <w:lang w:val="en-US" w:eastAsia="en-US" w:bidi="ar-SA"/>
      </w:rPr>
    </w:lvl>
    <w:lvl w:ilvl="3">
      <w:start w:val="0"/>
      <w:numFmt w:val="bullet"/>
      <w:lvlText w:val="•"/>
      <w:lvlJc w:val="left"/>
      <w:pPr>
        <w:ind w:left="3521" w:hanging="452"/>
      </w:pPr>
      <w:rPr>
        <w:rFonts w:hint="default"/>
        <w:lang w:val="en-US" w:eastAsia="en-US" w:bidi="ar-SA"/>
      </w:rPr>
    </w:lvl>
    <w:lvl w:ilvl="4">
      <w:start w:val="0"/>
      <w:numFmt w:val="bullet"/>
      <w:lvlText w:val="•"/>
      <w:lvlJc w:val="left"/>
      <w:pPr>
        <w:ind w:left="4442" w:hanging="452"/>
      </w:pPr>
      <w:rPr>
        <w:rFonts w:hint="default"/>
        <w:lang w:val="en-US" w:eastAsia="en-US" w:bidi="ar-SA"/>
      </w:rPr>
    </w:lvl>
    <w:lvl w:ilvl="5">
      <w:start w:val="0"/>
      <w:numFmt w:val="bullet"/>
      <w:lvlText w:val="•"/>
      <w:lvlJc w:val="left"/>
      <w:pPr>
        <w:ind w:left="5362" w:hanging="452"/>
      </w:pPr>
      <w:rPr>
        <w:rFonts w:hint="default"/>
        <w:lang w:val="en-US" w:eastAsia="en-US" w:bidi="ar-SA"/>
      </w:rPr>
    </w:lvl>
    <w:lvl w:ilvl="6">
      <w:start w:val="0"/>
      <w:numFmt w:val="bullet"/>
      <w:lvlText w:val="•"/>
      <w:lvlJc w:val="left"/>
      <w:pPr>
        <w:ind w:left="6283" w:hanging="452"/>
      </w:pPr>
      <w:rPr>
        <w:rFonts w:hint="default"/>
        <w:lang w:val="en-US" w:eastAsia="en-US" w:bidi="ar-SA"/>
      </w:rPr>
    </w:lvl>
    <w:lvl w:ilvl="7">
      <w:start w:val="0"/>
      <w:numFmt w:val="bullet"/>
      <w:lvlText w:val="•"/>
      <w:lvlJc w:val="left"/>
      <w:pPr>
        <w:ind w:left="7204" w:hanging="452"/>
      </w:pPr>
      <w:rPr>
        <w:rFonts w:hint="default"/>
        <w:lang w:val="en-US" w:eastAsia="en-US" w:bidi="ar-SA"/>
      </w:rPr>
    </w:lvl>
    <w:lvl w:ilvl="8">
      <w:start w:val="0"/>
      <w:numFmt w:val="bullet"/>
      <w:lvlText w:val="•"/>
      <w:lvlJc w:val="left"/>
      <w:pPr>
        <w:ind w:left="8124" w:hanging="452"/>
      </w:pPr>
      <w:rPr>
        <w:rFonts w:hint="default"/>
        <w:lang w:val="en-US" w:eastAsia="en-US" w:bidi="ar-SA"/>
      </w:rPr>
    </w:lvl>
  </w:abstractNum>
  <w:abstractNum w:abstractNumId="24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47">
    <w:multiLevelType w:val="hybridMultilevel"/>
    <w:lvl w:ilvl="0">
      <w:start w:val="2"/>
      <w:numFmt w:val="lowerRoman"/>
      <w:lvlText w:val="(%1)"/>
      <w:lvlJc w:val="left"/>
      <w:pPr>
        <w:ind w:left="1940" w:hanging="720"/>
        <w:jc w:val="left"/>
      </w:pPr>
      <w:rPr>
        <w:rFonts w:hint="default" w:ascii="Arial" w:hAnsi="Arial" w:eastAsia="Arial" w:cs="Arial"/>
        <w:w w:val="99"/>
        <w:sz w:val="25"/>
        <w:szCs w:val="25"/>
        <w:lang w:val="en-US" w:eastAsia="en-US" w:bidi="ar-SA"/>
      </w:rPr>
    </w:lvl>
    <w:lvl w:ilvl="1">
      <w:start w:val="0"/>
      <w:numFmt w:val="bullet"/>
      <w:lvlText w:val="•"/>
      <w:lvlJc w:val="left"/>
      <w:pPr>
        <w:ind w:left="2742" w:hanging="720"/>
      </w:pPr>
      <w:rPr>
        <w:rFonts w:hint="default"/>
        <w:lang w:val="en-US" w:eastAsia="en-US" w:bidi="ar-SA"/>
      </w:rPr>
    </w:lvl>
    <w:lvl w:ilvl="2">
      <w:start w:val="0"/>
      <w:numFmt w:val="bullet"/>
      <w:lvlText w:val="•"/>
      <w:lvlJc w:val="left"/>
      <w:pPr>
        <w:ind w:left="3545" w:hanging="720"/>
      </w:pPr>
      <w:rPr>
        <w:rFonts w:hint="default"/>
        <w:lang w:val="en-US" w:eastAsia="en-US" w:bidi="ar-SA"/>
      </w:rPr>
    </w:lvl>
    <w:lvl w:ilvl="3">
      <w:start w:val="0"/>
      <w:numFmt w:val="bullet"/>
      <w:lvlText w:val="•"/>
      <w:lvlJc w:val="left"/>
      <w:pPr>
        <w:ind w:left="4347" w:hanging="720"/>
      </w:pPr>
      <w:rPr>
        <w:rFonts w:hint="default"/>
        <w:lang w:val="en-US" w:eastAsia="en-US" w:bidi="ar-SA"/>
      </w:rPr>
    </w:lvl>
    <w:lvl w:ilvl="4">
      <w:start w:val="0"/>
      <w:numFmt w:val="bullet"/>
      <w:lvlText w:val="•"/>
      <w:lvlJc w:val="left"/>
      <w:pPr>
        <w:ind w:left="5150" w:hanging="720"/>
      </w:pPr>
      <w:rPr>
        <w:rFonts w:hint="default"/>
        <w:lang w:val="en-US" w:eastAsia="en-US" w:bidi="ar-SA"/>
      </w:rPr>
    </w:lvl>
    <w:lvl w:ilvl="5">
      <w:start w:val="0"/>
      <w:numFmt w:val="bullet"/>
      <w:lvlText w:val="•"/>
      <w:lvlJc w:val="left"/>
      <w:pPr>
        <w:ind w:left="5953" w:hanging="720"/>
      </w:pPr>
      <w:rPr>
        <w:rFonts w:hint="default"/>
        <w:lang w:val="en-US" w:eastAsia="en-US" w:bidi="ar-SA"/>
      </w:rPr>
    </w:lvl>
    <w:lvl w:ilvl="6">
      <w:start w:val="0"/>
      <w:numFmt w:val="bullet"/>
      <w:lvlText w:val="•"/>
      <w:lvlJc w:val="left"/>
      <w:pPr>
        <w:ind w:left="6755" w:hanging="720"/>
      </w:pPr>
      <w:rPr>
        <w:rFonts w:hint="default"/>
        <w:lang w:val="en-US" w:eastAsia="en-US" w:bidi="ar-SA"/>
      </w:rPr>
    </w:lvl>
    <w:lvl w:ilvl="7">
      <w:start w:val="0"/>
      <w:numFmt w:val="bullet"/>
      <w:lvlText w:val="•"/>
      <w:lvlJc w:val="left"/>
      <w:pPr>
        <w:ind w:left="7558" w:hanging="720"/>
      </w:pPr>
      <w:rPr>
        <w:rFonts w:hint="default"/>
        <w:lang w:val="en-US" w:eastAsia="en-US" w:bidi="ar-SA"/>
      </w:rPr>
    </w:lvl>
    <w:lvl w:ilvl="8">
      <w:start w:val="0"/>
      <w:numFmt w:val="bullet"/>
      <w:lvlText w:val="•"/>
      <w:lvlJc w:val="left"/>
      <w:pPr>
        <w:ind w:left="8361" w:hanging="720"/>
      </w:pPr>
      <w:rPr>
        <w:rFonts w:hint="default"/>
        <w:lang w:val="en-US" w:eastAsia="en-US" w:bidi="ar-SA"/>
      </w:rPr>
    </w:lvl>
  </w:abstractNum>
  <w:abstractNum w:abstractNumId="246">
    <w:multiLevelType w:val="hybridMultilevel"/>
    <w:lvl w:ilvl="0">
      <w:start w:val="1"/>
      <w:numFmt w:val="decimal"/>
      <w:lvlText w:val="%1"/>
      <w:lvlJc w:val="left"/>
      <w:pPr>
        <w:ind w:left="1940" w:hanging="695"/>
        <w:jc w:val="left"/>
      </w:pPr>
      <w:rPr>
        <w:rFonts w:hint="default" w:ascii="Arial" w:hAnsi="Arial" w:eastAsia="Arial" w:cs="Arial"/>
        <w:w w:val="99"/>
        <w:sz w:val="25"/>
        <w:szCs w:val="25"/>
        <w:lang w:val="en-US" w:eastAsia="en-US" w:bidi="ar-SA"/>
      </w:rPr>
    </w:lvl>
    <w:lvl w:ilvl="1">
      <w:start w:val="0"/>
      <w:numFmt w:val="bullet"/>
      <w:lvlText w:val="•"/>
      <w:lvlJc w:val="left"/>
      <w:pPr>
        <w:ind w:left="2742" w:hanging="695"/>
      </w:pPr>
      <w:rPr>
        <w:rFonts w:hint="default"/>
        <w:lang w:val="en-US" w:eastAsia="en-US" w:bidi="ar-SA"/>
      </w:rPr>
    </w:lvl>
    <w:lvl w:ilvl="2">
      <w:start w:val="0"/>
      <w:numFmt w:val="bullet"/>
      <w:lvlText w:val="•"/>
      <w:lvlJc w:val="left"/>
      <w:pPr>
        <w:ind w:left="3545" w:hanging="695"/>
      </w:pPr>
      <w:rPr>
        <w:rFonts w:hint="default"/>
        <w:lang w:val="en-US" w:eastAsia="en-US" w:bidi="ar-SA"/>
      </w:rPr>
    </w:lvl>
    <w:lvl w:ilvl="3">
      <w:start w:val="0"/>
      <w:numFmt w:val="bullet"/>
      <w:lvlText w:val="•"/>
      <w:lvlJc w:val="left"/>
      <w:pPr>
        <w:ind w:left="4347" w:hanging="695"/>
      </w:pPr>
      <w:rPr>
        <w:rFonts w:hint="default"/>
        <w:lang w:val="en-US" w:eastAsia="en-US" w:bidi="ar-SA"/>
      </w:rPr>
    </w:lvl>
    <w:lvl w:ilvl="4">
      <w:start w:val="0"/>
      <w:numFmt w:val="bullet"/>
      <w:lvlText w:val="•"/>
      <w:lvlJc w:val="left"/>
      <w:pPr>
        <w:ind w:left="5150" w:hanging="695"/>
      </w:pPr>
      <w:rPr>
        <w:rFonts w:hint="default"/>
        <w:lang w:val="en-US" w:eastAsia="en-US" w:bidi="ar-SA"/>
      </w:rPr>
    </w:lvl>
    <w:lvl w:ilvl="5">
      <w:start w:val="0"/>
      <w:numFmt w:val="bullet"/>
      <w:lvlText w:val="•"/>
      <w:lvlJc w:val="left"/>
      <w:pPr>
        <w:ind w:left="5953" w:hanging="695"/>
      </w:pPr>
      <w:rPr>
        <w:rFonts w:hint="default"/>
        <w:lang w:val="en-US" w:eastAsia="en-US" w:bidi="ar-SA"/>
      </w:rPr>
    </w:lvl>
    <w:lvl w:ilvl="6">
      <w:start w:val="0"/>
      <w:numFmt w:val="bullet"/>
      <w:lvlText w:val="•"/>
      <w:lvlJc w:val="left"/>
      <w:pPr>
        <w:ind w:left="6755" w:hanging="695"/>
      </w:pPr>
      <w:rPr>
        <w:rFonts w:hint="default"/>
        <w:lang w:val="en-US" w:eastAsia="en-US" w:bidi="ar-SA"/>
      </w:rPr>
    </w:lvl>
    <w:lvl w:ilvl="7">
      <w:start w:val="0"/>
      <w:numFmt w:val="bullet"/>
      <w:lvlText w:val="•"/>
      <w:lvlJc w:val="left"/>
      <w:pPr>
        <w:ind w:left="7558" w:hanging="695"/>
      </w:pPr>
      <w:rPr>
        <w:rFonts w:hint="default"/>
        <w:lang w:val="en-US" w:eastAsia="en-US" w:bidi="ar-SA"/>
      </w:rPr>
    </w:lvl>
    <w:lvl w:ilvl="8">
      <w:start w:val="0"/>
      <w:numFmt w:val="bullet"/>
      <w:lvlText w:val="•"/>
      <w:lvlJc w:val="left"/>
      <w:pPr>
        <w:ind w:left="8361" w:hanging="695"/>
      </w:pPr>
      <w:rPr>
        <w:rFonts w:hint="default"/>
        <w:lang w:val="en-US" w:eastAsia="en-US" w:bidi="ar-SA"/>
      </w:rPr>
    </w:lvl>
  </w:abstractNum>
  <w:abstractNum w:abstractNumId="245">
    <w:multiLevelType w:val="hybridMultilevel"/>
    <w:lvl w:ilvl="0">
      <w:start w:val="2"/>
      <w:numFmt w:val="decimal"/>
      <w:lvlText w:val="(%1)"/>
      <w:lvlJc w:val="left"/>
      <w:pPr>
        <w:ind w:left="500" w:hanging="271"/>
        <w:jc w:val="left"/>
      </w:pPr>
      <w:rPr>
        <w:rFonts w:hint="default" w:ascii="Arial" w:hAnsi="Arial" w:eastAsia="Arial" w:cs="Arial"/>
        <w:spacing w:val="-3"/>
        <w:w w:val="99"/>
        <w:sz w:val="18"/>
        <w:szCs w:val="18"/>
        <w:lang w:val="en-US" w:eastAsia="en-US" w:bidi="ar-SA"/>
      </w:rPr>
    </w:lvl>
    <w:lvl w:ilvl="1">
      <w:start w:val="0"/>
      <w:numFmt w:val="bullet"/>
      <w:lvlText w:val="•"/>
      <w:lvlJc w:val="left"/>
      <w:pPr>
        <w:ind w:left="1446" w:hanging="271"/>
      </w:pPr>
      <w:rPr>
        <w:rFonts w:hint="default"/>
        <w:lang w:val="en-US" w:eastAsia="en-US" w:bidi="ar-SA"/>
      </w:rPr>
    </w:lvl>
    <w:lvl w:ilvl="2">
      <w:start w:val="0"/>
      <w:numFmt w:val="bullet"/>
      <w:lvlText w:val="•"/>
      <w:lvlJc w:val="left"/>
      <w:pPr>
        <w:ind w:left="2393" w:hanging="271"/>
      </w:pPr>
      <w:rPr>
        <w:rFonts w:hint="default"/>
        <w:lang w:val="en-US" w:eastAsia="en-US" w:bidi="ar-SA"/>
      </w:rPr>
    </w:lvl>
    <w:lvl w:ilvl="3">
      <w:start w:val="0"/>
      <w:numFmt w:val="bullet"/>
      <w:lvlText w:val="•"/>
      <w:lvlJc w:val="left"/>
      <w:pPr>
        <w:ind w:left="3339" w:hanging="271"/>
      </w:pPr>
      <w:rPr>
        <w:rFonts w:hint="default"/>
        <w:lang w:val="en-US" w:eastAsia="en-US" w:bidi="ar-SA"/>
      </w:rPr>
    </w:lvl>
    <w:lvl w:ilvl="4">
      <w:start w:val="0"/>
      <w:numFmt w:val="bullet"/>
      <w:lvlText w:val="•"/>
      <w:lvlJc w:val="left"/>
      <w:pPr>
        <w:ind w:left="4286" w:hanging="271"/>
      </w:pPr>
      <w:rPr>
        <w:rFonts w:hint="default"/>
        <w:lang w:val="en-US" w:eastAsia="en-US" w:bidi="ar-SA"/>
      </w:rPr>
    </w:lvl>
    <w:lvl w:ilvl="5">
      <w:start w:val="0"/>
      <w:numFmt w:val="bullet"/>
      <w:lvlText w:val="•"/>
      <w:lvlJc w:val="left"/>
      <w:pPr>
        <w:ind w:left="5233" w:hanging="271"/>
      </w:pPr>
      <w:rPr>
        <w:rFonts w:hint="default"/>
        <w:lang w:val="en-US" w:eastAsia="en-US" w:bidi="ar-SA"/>
      </w:rPr>
    </w:lvl>
    <w:lvl w:ilvl="6">
      <w:start w:val="0"/>
      <w:numFmt w:val="bullet"/>
      <w:lvlText w:val="•"/>
      <w:lvlJc w:val="left"/>
      <w:pPr>
        <w:ind w:left="6179" w:hanging="271"/>
      </w:pPr>
      <w:rPr>
        <w:rFonts w:hint="default"/>
        <w:lang w:val="en-US" w:eastAsia="en-US" w:bidi="ar-SA"/>
      </w:rPr>
    </w:lvl>
    <w:lvl w:ilvl="7">
      <w:start w:val="0"/>
      <w:numFmt w:val="bullet"/>
      <w:lvlText w:val="•"/>
      <w:lvlJc w:val="left"/>
      <w:pPr>
        <w:ind w:left="7126" w:hanging="271"/>
      </w:pPr>
      <w:rPr>
        <w:rFonts w:hint="default"/>
        <w:lang w:val="en-US" w:eastAsia="en-US" w:bidi="ar-SA"/>
      </w:rPr>
    </w:lvl>
    <w:lvl w:ilvl="8">
      <w:start w:val="0"/>
      <w:numFmt w:val="bullet"/>
      <w:lvlText w:val="•"/>
      <w:lvlJc w:val="left"/>
      <w:pPr>
        <w:ind w:left="8073" w:hanging="271"/>
      </w:pPr>
      <w:rPr>
        <w:rFonts w:hint="default"/>
        <w:lang w:val="en-US" w:eastAsia="en-US" w:bidi="ar-SA"/>
      </w:rPr>
    </w:lvl>
  </w:abstractNum>
  <w:abstractNum w:abstractNumId="24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4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42">
    <w:multiLevelType w:val="hybridMultilevel"/>
    <w:lvl w:ilvl="0">
      <w:start w:val="1"/>
      <w:numFmt w:val="upp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Roman"/>
      <w:lvlText w:val="(%2)"/>
      <w:lvlJc w:val="left"/>
      <w:pPr>
        <w:ind w:left="1940" w:hanging="720"/>
        <w:jc w:val="left"/>
      </w:pPr>
      <w:rPr>
        <w:rFonts w:hint="default" w:ascii="Arial" w:hAnsi="Arial" w:eastAsia="Arial" w:cs="Arial"/>
        <w:w w:val="99"/>
        <w:sz w:val="25"/>
        <w:szCs w:val="25"/>
        <w:lang w:val="en-US" w:eastAsia="en-US" w:bidi="ar-SA"/>
      </w:rPr>
    </w:lvl>
    <w:lvl w:ilvl="2">
      <w:start w:val="1"/>
      <w:numFmt w:val="lowerLetter"/>
      <w:lvlText w:val="(%3)"/>
      <w:lvlJc w:val="left"/>
      <w:pPr>
        <w:ind w:left="3381" w:hanging="720"/>
        <w:jc w:val="left"/>
      </w:pPr>
      <w:rPr>
        <w:rFonts w:hint="default" w:ascii="Arial" w:hAnsi="Arial" w:eastAsia="Arial" w:cs="Arial"/>
        <w:w w:val="99"/>
        <w:sz w:val="25"/>
        <w:szCs w:val="25"/>
        <w:lang w:val="en-US" w:eastAsia="en-US" w:bidi="ar-SA"/>
      </w:rPr>
    </w:lvl>
    <w:lvl w:ilvl="3">
      <w:start w:val="0"/>
      <w:numFmt w:val="bullet"/>
      <w:lvlText w:val="•"/>
      <w:lvlJc w:val="left"/>
      <w:pPr>
        <w:ind w:left="4203" w:hanging="720"/>
      </w:pPr>
      <w:rPr>
        <w:rFonts w:hint="default"/>
        <w:lang w:val="en-US" w:eastAsia="en-US" w:bidi="ar-SA"/>
      </w:rPr>
    </w:lvl>
    <w:lvl w:ilvl="4">
      <w:start w:val="0"/>
      <w:numFmt w:val="bullet"/>
      <w:lvlText w:val="•"/>
      <w:lvlJc w:val="left"/>
      <w:pPr>
        <w:ind w:left="5026" w:hanging="720"/>
      </w:pPr>
      <w:rPr>
        <w:rFonts w:hint="default"/>
        <w:lang w:val="en-US" w:eastAsia="en-US" w:bidi="ar-SA"/>
      </w:rPr>
    </w:lvl>
    <w:lvl w:ilvl="5">
      <w:start w:val="0"/>
      <w:numFmt w:val="bullet"/>
      <w:lvlText w:val="•"/>
      <w:lvlJc w:val="left"/>
      <w:pPr>
        <w:ind w:left="5849" w:hanging="720"/>
      </w:pPr>
      <w:rPr>
        <w:rFonts w:hint="default"/>
        <w:lang w:val="en-US" w:eastAsia="en-US" w:bidi="ar-SA"/>
      </w:rPr>
    </w:lvl>
    <w:lvl w:ilvl="6">
      <w:start w:val="0"/>
      <w:numFmt w:val="bullet"/>
      <w:lvlText w:val="•"/>
      <w:lvlJc w:val="left"/>
      <w:pPr>
        <w:ind w:left="6673" w:hanging="720"/>
      </w:pPr>
      <w:rPr>
        <w:rFonts w:hint="default"/>
        <w:lang w:val="en-US" w:eastAsia="en-US" w:bidi="ar-SA"/>
      </w:rPr>
    </w:lvl>
    <w:lvl w:ilvl="7">
      <w:start w:val="0"/>
      <w:numFmt w:val="bullet"/>
      <w:lvlText w:val="•"/>
      <w:lvlJc w:val="left"/>
      <w:pPr>
        <w:ind w:left="7496" w:hanging="720"/>
      </w:pPr>
      <w:rPr>
        <w:rFonts w:hint="default"/>
        <w:lang w:val="en-US" w:eastAsia="en-US" w:bidi="ar-SA"/>
      </w:rPr>
    </w:lvl>
    <w:lvl w:ilvl="8">
      <w:start w:val="0"/>
      <w:numFmt w:val="bullet"/>
      <w:lvlText w:val="•"/>
      <w:lvlJc w:val="left"/>
      <w:pPr>
        <w:ind w:left="8319" w:hanging="720"/>
      </w:pPr>
      <w:rPr>
        <w:rFonts w:hint="default"/>
        <w:lang w:val="en-US" w:eastAsia="en-US" w:bidi="ar-SA"/>
      </w:rPr>
    </w:lvl>
  </w:abstractNum>
  <w:abstractNum w:abstractNumId="24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40">
    <w:multiLevelType w:val="hybridMultilevel"/>
    <w:lvl w:ilvl="0">
      <w:start w:val="786"/>
      <w:numFmt w:val="decimal"/>
      <w:lvlText w:val="%1."/>
      <w:lvlJc w:val="left"/>
      <w:pPr>
        <w:ind w:left="500" w:hanging="720"/>
        <w:jc w:val="left"/>
      </w:pPr>
      <w:rPr>
        <w:rFonts w:hint="default" w:ascii="Arial" w:hAnsi="Arial" w:eastAsia="Arial" w:cs="Arial"/>
        <w:w w:val="99"/>
        <w:sz w:val="25"/>
        <w:szCs w:val="25"/>
        <w:lang w:val="en-US" w:eastAsia="en-US" w:bidi="ar-SA"/>
      </w:rPr>
    </w:lvl>
    <w:lvl w:ilvl="1">
      <w:start w:val="0"/>
      <w:numFmt w:val="bullet"/>
      <w:lvlText w:val="•"/>
      <w:lvlJc w:val="left"/>
      <w:pPr>
        <w:ind w:left="1446" w:hanging="720"/>
      </w:pPr>
      <w:rPr>
        <w:rFonts w:hint="default"/>
        <w:lang w:val="en-US" w:eastAsia="en-US" w:bidi="ar-SA"/>
      </w:rPr>
    </w:lvl>
    <w:lvl w:ilvl="2">
      <w:start w:val="0"/>
      <w:numFmt w:val="bullet"/>
      <w:lvlText w:val="•"/>
      <w:lvlJc w:val="left"/>
      <w:pPr>
        <w:ind w:left="2393" w:hanging="720"/>
      </w:pPr>
      <w:rPr>
        <w:rFonts w:hint="default"/>
        <w:lang w:val="en-US" w:eastAsia="en-US" w:bidi="ar-SA"/>
      </w:rPr>
    </w:lvl>
    <w:lvl w:ilvl="3">
      <w:start w:val="0"/>
      <w:numFmt w:val="bullet"/>
      <w:lvlText w:val="•"/>
      <w:lvlJc w:val="left"/>
      <w:pPr>
        <w:ind w:left="3339" w:hanging="720"/>
      </w:pPr>
      <w:rPr>
        <w:rFonts w:hint="default"/>
        <w:lang w:val="en-US" w:eastAsia="en-US" w:bidi="ar-SA"/>
      </w:rPr>
    </w:lvl>
    <w:lvl w:ilvl="4">
      <w:start w:val="0"/>
      <w:numFmt w:val="bullet"/>
      <w:lvlText w:val="•"/>
      <w:lvlJc w:val="left"/>
      <w:pPr>
        <w:ind w:left="4286" w:hanging="720"/>
      </w:pPr>
      <w:rPr>
        <w:rFonts w:hint="default"/>
        <w:lang w:val="en-US" w:eastAsia="en-US" w:bidi="ar-SA"/>
      </w:rPr>
    </w:lvl>
    <w:lvl w:ilvl="5">
      <w:start w:val="0"/>
      <w:numFmt w:val="bullet"/>
      <w:lvlText w:val="•"/>
      <w:lvlJc w:val="left"/>
      <w:pPr>
        <w:ind w:left="5233" w:hanging="720"/>
      </w:pPr>
      <w:rPr>
        <w:rFonts w:hint="default"/>
        <w:lang w:val="en-US" w:eastAsia="en-US" w:bidi="ar-SA"/>
      </w:rPr>
    </w:lvl>
    <w:lvl w:ilvl="6">
      <w:start w:val="0"/>
      <w:numFmt w:val="bullet"/>
      <w:lvlText w:val="•"/>
      <w:lvlJc w:val="left"/>
      <w:pPr>
        <w:ind w:left="6179" w:hanging="720"/>
      </w:pPr>
      <w:rPr>
        <w:rFonts w:hint="default"/>
        <w:lang w:val="en-US" w:eastAsia="en-US" w:bidi="ar-SA"/>
      </w:rPr>
    </w:lvl>
    <w:lvl w:ilvl="7">
      <w:start w:val="0"/>
      <w:numFmt w:val="bullet"/>
      <w:lvlText w:val="•"/>
      <w:lvlJc w:val="left"/>
      <w:pPr>
        <w:ind w:left="7126" w:hanging="720"/>
      </w:pPr>
      <w:rPr>
        <w:rFonts w:hint="default"/>
        <w:lang w:val="en-US" w:eastAsia="en-US" w:bidi="ar-SA"/>
      </w:rPr>
    </w:lvl>
    <w:lvl w:ilvl="8">
      <w:start w:val="0"/>
      <w:numFmt w:val="bullet"/>
      <w:lvlText w:val="•"/>
      <w:lvlJc w:val="left"/>
      <w:pPr>
        <w:ind w:left="8073" w:hanging="720"/>
      </w:pPr>
      <w:rPr>
        <w:rFonts w:hint="default"/>
        <w:lang w:val="en-US" w:eastAsia="en-US" w:bidi="ar-SA"/>
      </w:rPr>
    </w:lvl>
  </w:abstractNum>
  <w:abstractNum w:abstractNumId="23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23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37">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23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3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34">
    <w:multiLevelType w:val="hybridMultilevel"/>
    <w:lvl w:ilvl="0">
      <w:start w:val="756"/>
      <w:numFmt w:val="decimal"/>
      <w:lvlText w:val="%1."/>
      <w:lvlJc w:val="left"/>
      <w:pPr>
        <w:ind w:left="500" w:hanging="720"/>
        <w:jc w:val="left"/>
      </w:pPr>
      <w:rPr>
        <w:rFonts w:hint="default" w:ascii="Arial" w:hAnsi="Arial" w:eastAsia="Arial" w:cs="Arial"/>
        <w:w w:val="99"/>
        <w:sz w:val="25"/>
        <w:szCs w:val="25"/>
        <w:lang w:val="en-US" w:eastAsia="en-US" w:bidi="ar-SA"/>
      </w:rPr>
    </w:lvl>
    <w:lvl w:ilvl="1">
      <w:start w:val="0"/>
      <w:numFmt w:val="bullet"/>
      <w:lvlText w:val="•"/>
      <w:lvlJc w:val="left"/>
      <w:pPr>
        <w:ind w:left="1446" w:hanging="720"/>
      </w:pPr>
      <w:rPr>
        <w:rFonts w:hint="default"/>
        <w:lang w:val="en-US" w:eastAsia="en-US" w:bidi="ar-SA"/>
      </w:rPr>
    </w:lvl>
    <w:lvl w:ilvl="2">
      <w:start w:val="0"/>
      <w:numFmt w:val="bullet"/>
      <w:lvlText w:val="•"/>
      <w:lvlJc w:val="left"/>
      <w:pPr>
        <w:ind w:left="2393" w:hanging="720"/>
      </w:pPr>
      <w:rPr>
        <w:rFonts w:hint="default"/>
        <w:lang w:val="en-US" w:eastAsia="en-US" w:bidi="ar-SA"/>
      </w:rPr>
    </w:lvl>
    <w:lvl w:ilvl="3">
      <w:start w:val="0"/>
      <w:numFmt w:val="bullet"/>
      <w:lvlText w:val="•"/>
      <w:lvlJc w:val="left"/>
      <w:pPr>
        <w:ind w:left="3339" w:hanging="720"/>
      </w:pPr>
      <w:rPr>
        <w:rFonts w:hint="default"/>
        <w:lang w:val="en-US" w:eastAsia="en-US" w:bidi="ar-SA"/>
      </w:rPr>
    </w:lvl>
    <w:lvl w:ilvl="4">
      <w:start w:val="0"/>
      <w:numFmt w:val="bullet"/>
      <w:lvlText w:val="•"/>
      <w:lvlJc w:val="left"/>
      <w:pPr>
        <w:ind w:left="4286" w:hanging="720"/>
      </w:pPr>
      <w:rPr>
        <w:rFonts w:hint="default"/>
        <w:lang w:val="en-US" w:eastAsia="en-US" w:bidi="ar-SA"/>
      </w:rPr>
    </w:lvl>
    <w:lvl w:ilvl="5">
      <w:start w:val="0"/>
      <w:numFmt w:val="bullet"/>
      <w:lvlText w:val="•"/>
      <w:lvlJc w:val="left"/>
      <w:pPr>
        <w:ind w:left="5233" w:hanging="720"/>
      </w:pPr>
      <w:rPr>
        <w:rFonts w:hint="default"/>
        <w:lang w:val="en-US" w:eastAsia="en-US" w:bidi="ar-SA"/>
      </w:rPr>
    </w:lvl>
    <w:lvl w:ilvl="6">
      <w:start w:val="0"/>
      <w:numFmt w:val="bullet"/>
      <w:lvlText w:val="•"/>
      <w:lvlJc w:val="left"/>
      <w:pPr>
        <w:ind w:left="6179" w:hanging="720"/>
      </w:pPr>
      <w:rPr>
        <w:rFonts w:hint="default"/>
        <w:lang w:val="en-US" w:eastAsia="en-US" w:bidi="ar-SA"/>
      </w:rPr>
    </w:lvl>
    <w:lvl w:ilvl="7">
      <w:start w:val="0"/>
      <w:numFmt w:val="bullet"/>
      <w:lvlText w:val="•"/>
      <w:lvlJc w:val="left"/>
      <w:pPr>
        <w:ind w:left="7126" w:hanging="720"/>
      </w:pPr>
      <w:rPr>
        <w:rFonts w:hint="default"/>
        <w:lang w:val="en-US" w:eastAsia="en-US" w:bidi="ar-SA"/>
      </w:rPr>
    </w:lvl>
    <w:lvl w:ilvl="8">
      <w:start w:val="0"/>
      <w:numFmt w:val="bullet"/>
      <w:lvlText w:val="•"/>
      <w:lvlJc w:val="left"/>
      <w:pPr>
        <w:ind w:left="8073" w:hanging="720"/>
      </w:pPr>
      <w:rPr>
        <w:rFonts w:hint="default"/>
        <w:lang w:val="en-US" w:eastAsia="en-US" w:bidi="ar-SA"/>
      </w:rPr>
    </w:lvl>
  </w:abstractNum>
  <w:abstractNum w:abstractNumId="233">
    <w:multiLevelType w:val="hybridMultilevel"/>
    <w:lvl w:ilvl="0">
      <w:start w:val="2"/>
      <w:numFmt w:val="lowerLetter"/>
      <w:lvlText w:val="(%1)"/>
      <w:lvlJc w:val="left"/>
      <w:pPr>
        <w:ind w:left="1633" w:hanging="308"/>
        <w:jc w:val="right"/>
      </w:pPr>
      <w:rPr>
        <w:rFonts w:hint="default"/>
        <w:spacing w:val="-1"/>
        <w:w w:val="100"/>
        <w:lang w:val="en-US" w:eastAsia="en-US" w:bidi="ar-SA"/>
      </w:rPr>
    </w:lvl>
    <w:lvl w:ilvl="1">
      <w:start w:val="0"/>
      <w:numFmt w:val="bullet"/>
      <w:lvlText w:val="•"/>
      <w:lvlJc w:val="left"/>
      <w:pPr>
        <w:ind w:left="2472" w:hanging="308"/>
      </w:pPr>
      <w:rPr>
        <w:rFonts w:hint="default"/>
        <w:lang w:val="en-US" w:eastAsia="en-US" w:bidi="ar-SA"/>
      </w:rPr>
    </w:lvl>
    <w:lvl w:ilvl="2">
      <w:start w:val="0"/>
      <w:numFmt w:val="bullet"/>
      <w:lvlText w:val="•"/>
      <w:lvlJc w:val="left"/>
      <w:pPr>
        <w:ind w:left="3305" w:hanging="308"/>
      </w:pPr>
      <w:rPr>
        <w:rFonts w:hint="default"/>
        <w:lang w:val="en-US" w:eastAsia="en-US" w:bidi="ar-SA"/>
      </w:rPr>
    </w:lvl>
    <w:lvl w:ilvl="3">
      <w:start w:val="0"/>
      <w:numFmt w:val="bullet"/>
      <w:lvlText w:val="•"/>
      <w:lvlJc w:val="left"/>
      <w:pPr>
        <w:ind w:left="4137" w:hanging="308"/>
      </w:pPr>
      <w:rPr>
        <w:rFonts w:hint="default"/>
        <w:lang w:val="en-US" w:eastAsia="en-US" w:bidi="ar-SA"/>
      </w:rPr>
    </w:lvl>
    <w:lvl w:ilvl="4">
      <w:start w:val="0"/>
      <w:numFmt w:val="bullet"/>
      <w:lvlText w:val="•"/>
      <w:lvlJc w:val="left"/>
      <w:pPr>
        <w:ind w:left="4970" w:hanging="308"/>
      </w:pPr>
      <w:rPr>
        <w:rFonts w:hint="default"/>
        <w:lang w:val="en-US" w:eastAsia="en-US" w:bidi="ar-SA"/>
      </w:rPr>
    </w:lvl>
    <w:lvl w:ilvl="5">
      <w:start w:val="0"/>
      <w:numFmt w:val="bullet"/>
      <w:lvlText w:val="•"/>
      <w:lvlJc w:val="left"/>
      <w:pPr>
        <w:ind w:left="5803" w:hanging="308"/>
      </w:pPr>
      <w:rPr>
        <w:rFonts w:hint="default"/>
        <w:lang w:val="en-US" w:eastAsia="en-US" w:bidi="ar-SA"/>
      </w:rPr>
    </w:lvl>
    <w:lvl w:ilvl="6">
      <w:start w:val="0"/>
      <w:numFmt w:val="bullet"/>
      <w:lvlText w:val="•"/>
      <w:lvlJc w:val="left"/>
      <w:pPr>
        <w:ind w:left="6635" w:hanging="308"/>
      </w:pPr>
      <w:rPr>
        <w:rFonts w:hint="default"/>
        <w:lang w:val="en-US" w:eastAsia="en-US" w:bidi="ar-SA"/>
      </w:rPr>
    </w:lvl>
    <w:lvl w:ilvl="7">
      <w:start w:val="0"/>
      <w:numFmt w:val="bullet"/>
      <w:lvlText w:val="•"/>
      <w:lvlJc w:val="left"/>
      <w:pPr>
        <w:ind w:left="7468" w:hanging="308"/>
      </w:pPr>
      <w:rPr>
        <w:rFonts w:hint="default"/>
        <w:lang w:val="en-US" w:eastAsia="en-US" w:bidi="ar-SA"/>
      </w:rPr>
    </w:lvl>
    <w:lvl w:ilvl="8">
      <w:start w:val="0"/>
      <w:numFmt w:val="bullet"/>
      <w:lvlText w:val="•"/>
      <w:lvlJc w:val="left"/>
      <w:pPr>
        <w:ind w:left="8301" w:hanging="308"/>
      </w:pPr>
      <w:rPr>
        <w:rFonts w:hint="default"/>
        <w:lang w:val="en-US" w:eastAsia="en-US" w:bidi="ar-SA"/>
      </w:rPr>
    </w:lvl>
  </w:abstractNum>
  <w:abstractNum w:abstractNumId="232">
    <w:multiLevelType w:val="hybridMultilevel"/>
    <w:lvl w:ilvl="0">
      <w:start w:val="70"/>
      <w:numFmt w:val="decimal"/>
      <w:lvlText w:val="%1."/>
      <w:lvlJc w:val="left"/>
      <w:pPr>
        <w:ind w:left="1633" w:hanging="367"/>
        <w:jc w:val="left"/>
      </w:pPr>
      <w:rPr>
        <w:rFonts w:hint="default" w:ascii="Arial" w:hAnsi="Arial" w:eastAsia="Arial" w:cs="Arial"/>
        <w:w w:val="100"/>
        <w:sz w:val="21"/>
        <w:szCs w:val="21"/>
        <w:lang w:val="en-US" w:eastAsia="en-US" w:bidi="ar-SA"/>
      </w:rPr>
    </w:lvl>
    <w:lvl w:ilvl="1">
      <w:start w:val="1"/>
      <w:numFmt w:val="decimal"/>
      <w:lvlText w:val="(%2)"/>
      <w:lvlJc w:val="left"/>
      <w:pPr>
        <w:ind w:left="1918" w:hanging="322"/>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2814" w:hanging="322"/>
      </w:pPr>
      <w:rPr>
        <w:rFonts w:hint="default"/>
        <w:lang w:val="en-US" w:eastAsia="en-US" w:bidi="ar-SA"/>
      </w:rPr>
    </w:lvl>
    <w:lvl w:ilvl="3">
      <w:start w:val="0"/>
      <w:numFmt w:val="bullet"/>
      <w:lvlText w:val="•"/>
      <w:lvlJc w:val="left"/>
      <w:pPr>
        <w:ind w:left="3708" w:hanging="322"/>
      </w:pPr>
      <w:rPr>
        <w:rFonts w:hint="default"/>
        <w:lang w:val="en-US" w:eastAsia="en-US" w:bidi="ar-SA"/>
      </w:rPr>
    </w:lvl>
    <w:lvl w:ilvl="4">
      <w:start w:val="0"/>
      <w:numFmt w:val="bullet"/>
      <w:lvlText w:val="•"/>
      <w:lvlJc w:val="left"/>
      <w:pPr>
        <w:ind w:left="4602" w:hanging="322"/>
      </w:pPr>
      <w:rPr>
        <w:rFonts w:hint="default"/>
        <w:lang w:val="en-US" w:eastAsia="en-US" w:bidi="ar-SA"/>
      </w:rPr>
    </w:lvl>
    <w:lvl w:ilvl="5">
      <w:start w:val="0"/>
      <w:numFmt w:val="bullet"/>
      <w:lvlText w:val="•"/>
      <w:lvlJc w:val="left"/>
      <w:pPr>
        <w:ind w:left="5496" w:hanging="322"/>
      </w:pPr>
      <w:rPr>
        <w:rFonts w:hint="default"/>
        <w:lang w:val="en-US" w:eastAsia="en-US" w:bidi="ar-SA"/>
      </w:rPr>
    </w:lvl>
    <w:lvl w:ilvl="6">
      <w:start w:val="0"/>
      <w:numFmt w:val="bullet"/>
      <w:lvlText w:val="•"/>
      <w:lvlJc w:val="left"/>
      <w:pPr>
        <w:ind w:left="6390" w:hanging="322"/>
      </w:pPr>
      <w:rPr>
        <w:rFonts w:hint="default"/>
        <w:lang w:val="en-US" w:eastAsia="en-US" w:bidi="ar-SA"/>
      </w:rPr>
    </w:lvl>
    <w:lvl w:ilvl="7">
      <w:start w:val="0"/>
      <w:numFmt w:val="bullet"/>
      <w:lvlText w:val="•"/>
      <w:lvlJc w:val="left"/>
      <w:pPr>
        <w:ind w:left="7284" w:hanging="322"/>
      </w:pPr>
      <w:rPr>
        <w:rFonts w:hint="default"/>
        <w:lang w:val="en-US" w:eastAsia="en-US" w:bidi="ar-SA"/>
      </w:rPr>
    </w:lvl>
    <w:lvl w:ilvl="8">
      <w:start w:val="0"/>
      <w:numFmt w:val="bullet"/>
      <w:lvlText w:val="•"/>
      <w:lvlJc w:val="left"/>
      <w:pPr>
        <w:ind w:left="8178" w:hanging="322"/>
      </w:pPr>
      <w:rPr>
        <w:rFonts w:hint="default"/>
        <w:lang w:val="en-US" w:eastAsia="en-US" w:bidi="ar-SA"/>
      </w:rPr>
    </w:lvl>
  </w:abstractNum>
  <w:abstractNum w:abstractNumId="23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30">
    <w:multiLevelType w:val="hybridMultilevel"/>
    <w:lvl w:ilvl="0">
      <w:start w:val="715"/>
      <w:numFmt w:val="decimal"/>
      <w:lvlText w:val="%1."/>
      <w:lvlJc w:val="left"/>
      <w:pPr>
        <w:ind w:left="500" w:hanging="720"/>
        <w:jc w:val="left"/>
      </w:pPr>
      <w:rPr>
        <w:rFonts w:hint="default" w:ascii="Arial" w:hAnsi="Arial" w:eastAsia="Arial" w:cs="Arial"/>
        <w:w w:val="99"/>
        <w:sz w:val="25"/>
        <w:szCs w:val="25"/>
        <w:lang w:val="en-US" w:eastAsia="en-US" w:bidi="ar-SA"/>
      </w:rPr>
    </w:lvl>
    <w:lvl w:ilvl="1">
      <w:start w:val="1"/>
      <w:numFmt w:val="lowerRoman"/>
      <w:lvlText w:val="(%2)"/>
      <w:lvlJc w:val="left"/>
      <w:pPr>
        <w:ind w:left="2626" w:hanging="720"/>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3436" w:hanging="720"/>
      </w:pPr>
      <w:rPr>
        <w:rFonts w:hint="default"/>
        <w:lang w:val="en-US" w:eastAsia="en-US" w:bidi="ar-SA"/>
      </w:rPr>
    </w:lvl>
    <w:lvl w:ilvl="3">
      <w:start w:val="0"/>
      <w:numFmt w:val="bullet"/>
      <w:lvlText w:val="•"/>
      <w:lvlJc w:val="left"/>
      <w:pPr>
        <w:ind w:left="4252" w:hanging="720"/>
      </w:pPr>
      <w:rPr>
        <w:rFonts w:hint="default"/>
        <w:lang w:val="en-US" w:eastAsia="en-US" w:bidi="ar-SA"/>
      </w:rPr>
    </w:lvl>
    <w:lvl w:ilvl="4">
      <w:start w:val="0"/>
      <w:numFmt w:val="bullet"/>
      <w:lvlText w:val="•"/>
      <w:lvlJc w:val="left"/>
      <w:pPr>
        <w:ind w:left="5068" w:hanging="720"/>
      </w:pPr>
      <w:rPr>
        <w:rFonts w:hint="default"/>
        <w:lang w:val="en-US" w:eastAsia="en-US" w:bidi="ar-SA"/>
      </w:rPr>
    </w:lvl>
    <w:lvl w:ilvl="5">
      <w:start w:val="0"/>
      <w:numFmt w:val="bullet"/>
      <w:lvlText w:val="•"/>
      <w:lvlJc w:val="left"/>
      <w:pPr>
        <w:ind w:left="5885" w:hanging="720"/>
      </w:pPr>
      <w:rPr>
        <w:rFonts w:hint="default"/>
        <w:lang w:val="en-US" w:eastAsia="en-US" w:bidi="ar-SA"/>
      </w:rPr>
    </w:lvl>
    <w:lvl w:ilvl="6">
      <w:start w:val="0"/>
      <w:numFmt w:val="bullet"/>
      <w:lvlText w:val="•"/>
      <w:lvlJc w:val="left"/>
      <w:pPr>
        <w:ind w:left="6701" w:hanging="720"/>
      </w:pPr>
      <w:rPr>
        <w:rFonts w:hint="default"/>
        <w:lang w:val="en-US" w:eastAsia="en-US" w:bidi="ar-SA"/>
      </w:rPr>
    </w:lvl>
    <w:lvl w:ilvl="7">
      <w:start w:val="0"/>
      <w:numFmt w:val="bullet"/>
      <w:lvlText w:val="•"/>
      <w:lvlJc w:val="left"/>
      <w:pPr>
        <w:ind w:left="7517" w:hanging="720"/>
      </w:pPr>
      <w:rPr>
        <w:rFonts w:hint="default"/>
        <w:lang w:val="en-US" w:eastAsia="en-US" w:bidi="ar-SA"/>
      </w:rPr>
    </w:lvl>
    <w:lvl w:ilvl="8">
      <w:start w:val="0"/>
      <w:numFmt w:val="bullet"/>
      <w:lvlText w:val="•"/>
      <w:lvlJc w:val="left"/>
      <w:pPr>
        <w:ind w:left="8333" w:hanging="720"/>
      </w:pPr>
      <w:rPr>
        <w:rFonts w:hint="default"/>
        <w:lang w:val="en-US" w:eastAsia="en-US" w:bidi="ar-SA"/>
      </w:rPr>
    </w:lvl>
  </w:abstractNum>
  <w:abstractNum w:abstractNumId="22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28">
    <w:multiLevelType w:val="hybridMultilevel"/>
    <w:lvl w:ilvl="0">
      <w:start w:val="1"/>
      <w:numFmt w:val="lowerLetter"/>
      <w:lvlText w:val="(%1)"/>
      <w:lvlJc w:val="left"/>
      <w:pPr>
        <w:ind w:left="2660" w:hanging="720"/>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660" w:hanging="360"/>
      </w:pPr>
      <w:rPr>
        <w:rFonts w:hint="default" w:ascii="Symbol" w:hAnsi="Symbol" w:eastAsia="Symbol" w:cs="Symbol"/>
        <w:w w:val="100"/>
        <w:sz w:val="21"/>
        <w:szCs w:val="21"/>
        <w:lang w:val="en-US" w:eastAsia="en-US" w:bidi="ar-SA"/>
      </w:rPr>
    </w:lvl>
    <w:lvl w:ilvl="2">
      <w:start w:val="0"/>
      <w:numFmt w:val="bullet"/>
      <w:lvlText w:val="•"/>
      <w:lvlJc w:val="left"/>
      <w:pPr>
        <w:ind w:left="4121" w:hanging="360"/>
      </w:pPr>
      <w:rPr>
        <w:rFonts w:hint="default"/>
        <w:lang w:val="en-US" w:eastAsia="en-US" w:bidi="ar-SA"/>
      </w:rPr>
    </w:lvl>
    <w:lvl w:ilvl="3">
      <w:start w:val="0"/>
      <w:numFmt w:val="bullet"/>
      <w:lvlText w:val="•"/>
      <w:lvlJc w:val="left"/>
      <w:pPr>
        <w:ind w:left="4851" w:hanging="360"/>
      </w:pPr>
      <w:rPr>
        <w:rFonts w:hint="default"/>
        <w:lang w:val="en-US" w:eastAsia="en-US" w:bidi="ar-SA"/>
      </w:rPr>
    </w:lvl>
    <w:lvl w:ilvl="4">
      <w:start w:val="0"/>
      <w:numFmt w:val="bullet"/>
      <w:lvlText w:val="•"/>
      <w:lvlJc w:val="left"/>
      <w:pPr>
        <w:ind w:left="5582" w:hanging="360"/>
      </w:pPr>
      <w:rPr>
        <w:rFonts w:hint="default"/>
        <w:lang w:val="en-US" w:eastAsia="en-US" w:bidi="ar-SA"/>
      </w:rPr>
    </w:lvl>
    <w:lvl w:ilvl="5">
      <w:start w:val="0"/>
      <w:numFmt w:val="bullet"/>
      <w:lvlText w:val="•"/>
      <w:lvlJc w:val="left"/>
      <w:pPr>
        <w:ind w:left="6313" w:hanging="360"/>
      </w:pPr>
      <w:rPr>
        <w:rFonts w:hint="default"/>
        <w:lang w:val="en-US" w:eastAsia="en-US" w:bidi="ar-SA"/>
      </w:rPr>
    </w:lvl>
    <w:lvl w:ilvl="6">
      <w:start w:val="0"/>
      <w:numFmt w:val="bullet"/>
      <w:lvlText w:val="•"/>
      <w:lvlJc w:val="left"/>
      <w:pPr>
        <w:ind w:left="7043" w:hanging="360"/>
      </w:pPr>
      <w:rPr>
        <w:rFonts w:hint="default"/>
        <w:lang w:val="en-US" w:eastAsia="en-US" w:bidi="ar-SA"/>
      </w:rPr>
    </w:lvl>
    <w:lvl w:ilvl="7">
      <w:start w:val="0"/>
      <w:numFmt w:val="bullet"/>
      <w:lvlText w:val="•"/>
      <w:lvlJc w:val="left"/>
      <w:pPr>
        <w:ind w:left="7774" w:hanging="360"/>
      </w:pPr>
      <w:rPr>
        <w:rFonts w:hint="default"/>
        <w:lang w:val="en-US" w:eastAsia="en-US" w:bidi="ar-SA"/>
      </w:rPr>
    </w:lvl>
    <w:lvl w:ilvl="8">
      <w:start w:val="0"/>
      <w:numFmt w:val="bullet"/>
      <w:lvlText w:val="•"/>
      <w:lvlJc w:val="left"/>
      <w:pPr>
        <w:ind w:left="8505" w:hanging="360"/>
      </w:pPr>
      <w:rPr>
        <w:rFonts w:hint="default"/>
        <w:lang w:val="en-US" w:eastAsia="en-US" w:bidi="ar-SA"/>
      </w:rPr>
    </w:lvl>
  </w:abstractNum>
  <w:abstractNum w:abstractNumId="227">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120" w:hanging="720"/>
      </w:pPr>
      <w:rPr>
        <w:rFonts w:hint="default"/>
        <w:lang w:val="en-US" w:eastAsia="en-US" w:bidi="ar-SA"/>
      </w:rPr>
    </w:lvl>
    <w:lvl w:ilvl="3">
      <w:start w:val="0"/>
      <w:numFmt w:val="bullet"/>
      <w:lvlText w:val="•"/>
      <w:lvlJc w:val="left"/>
      <w:pPr>
        <w:ind w:left="3100" w:hanging="720"/>
      </w:pPr>
      <w:rPr>
        <w:rFonts w:hint="default"/>
        <w:lang w:val="en-US" w:eastAsia="en-US" w:bidi="ar-SA"/>
      </w:rPr>
    </w:lvl>
    <w:lvl w:ilvl="4">
      <w:start w:val="0"/>
      <w:numFmt w:val="bullet"/>
      <w:lvlText w:val="•"/>
      <w:lvlJc w:val="left"/>
      <w:pPr>
        <w:ind w:left="4081" w:hanging="720"/>
      </w:pPr>
      <w:rPr>
        <w:rFonts w:hint="default"/>
        <w:lang w:val="en-US" w:eastAsia="en-US" w:bidi="ar-SA"/>
      </w:rPr>
    </w:lvl>
    <w:lvl w:ilvl="5">
      <w:start w:val="0"/>
      <w:numFmt w:val="bullet"/>
      <w:lvlText w:val="•"/>
      <w:lvlJc w:val="left"/>
      <w:pPr>
        <w:ind w:left="5062" w:hanging="720"/>
      </w:pPr>
      <w:rPr>
        <w:rFonts w:hint="default"/>
        <w:lang w:val="en-US" w:eastAsia="en-US" w:bidi="ar-SA"/>
      </w:rPr>
    </w:lvl>
    <w:lvl w:ilvl="6">
      <w:start w:val="0"/>
      <w:numFmt w:val="bullet"/>
      <w:lvlText w:val="•"/>
      <w:lvlJc w:val="left"/>
      <w:pPr>
        <w:ind w:left="6043" w:hanging="720"/>
      </w:pPr>
      <w:rPr>
        <w:rFonts w:hint="default"/>
        <w:lang w:val="en-US" w:eastAsia="en-US" w:bidi="ar-SA"/>
      </w:rPr>
    </w:lvl>
    <w:lvl w:ilvl="7">
      <w:start w:val="0"/>
      <w:numFmt w:val="bullet"/>
      <w:lvlText w:val="•"/>
      <w:lvlJc w:val="left"/>
      <w:pPr>
        <w:ind w:left="7024" w:hanging="720"/>
      </w:pPr>
      <w:rPr>
        <w:rFonts w:hint="default"/>
        <w:lang w:val="en-US" w:eastAsia="en-US" w:bidi="ar-SA"/>
      </w:rPr>
    </w:lvl>
    <w:lvl w:ilvl="8">
      <w:start w:val="0"/>
      <w:numFmt w:val="bullet"/>
      <w:lvlText w:val="•"/>
      <w:lvlJc w:val="left"/>
      <w:pPr>
        <w:ind w:left="8004" w:hanging="720"/>
      </w:pPr>
      <w:rPr>
        <w:rFonts w:hint="default"/>
        <w:lang w:val="en-US" w:eastAsia="en-US" w:bidi="ar-SA"/>
      </w:rPr>
    </w:lvl>
  </w:abstractNum>
  <w:abstractNum w:abstractNumId="226">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225">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24">
    <w:multiLevelType w:val="hybridMultilevel"/>
    <w:lvl w:ilvl="0">
      <w:start w:val="2"/>
      <w:numFmt w:val="lowerRoman"/>
      <w:lvlText w:val="(%1)"/>
      <w:lvlJc w:val="left"/>
      <w:pPr>
        <w:ind w:left="1220" w:hanging="720"/>
        <w:jc w:val="left"/>
      </w:pPr>
      <w:rPr>
        <w:rFonts w:hint="default" w:ascii="Arial" w:hAnsi="Arial" w:eastAsia="Arial" w:cs="Arial"/>
        <w:spacing w:val="-1"/>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2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2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21">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20">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1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580" w:hanging="360"/>
        <w:jc w:val="left"/>
      </w:pPr>
      <w:rPr>
        <w:rFonts w:hint="default" w:ascii="Arial" w:hAnsi="Arial" w:eastAsia="Arial" w:cs="Arial"/>
        <w:w w:val="99"/>
        <w:sz w:val="25"/>
        <w:szCs w:val="25"/>
        <w:lang w:val="en-US" w:eastAsia="en-US" w:bidi="ar-SA"/>
      </w:rPr>
    </w:lvl>
    <w:lvl w:ilvl="2">
      <w:start w:val="1"/>
      <w:numFmt w:val="lowerRoman"/>
      <w:lvlText w:val="%3."/>
      <w:lvlJc w:val="left"/>
      <w:pPr>
        <w:ind w:left="2300" w:hanging="485"/>
        <w:jc w:val="left"/>
      </w:pPr>
      <w:rPr>
        <w:rFonts w:hint="default" w:ascii="Arial" w:hAnsi="Arial" w:eastAsia="Arial" w:cs="Arial"/>
        <w:spacing w:val="-1"/>
        <w:w w:val="99"/>
        <w:sz w:val="25"/>
        <w:szCs w:val="25"/>
        <w:lang w:val="en-US" w:eastAsia="en-US" w:bidi="ar-SA"/>
      </w:rPr>
    </w:lvl>
    <w:lvl w:ilvl="3">
      <w:start w:val="0"/>
      <w:numFmt w:val="bullet"/>
      <w:lvlText w:val="•"/>
      <w:lvlJc w:val="left"/>
      <w:pPr>
        <w:ind w:left="3258" w:hanging="485"/>
      </w:pPr>
      <w:rPr>
        <w:rFonts w:hint="default"/>
        <w:lang w:val="en-US" w:eastAsia="en-US" w:bidi="ar-SA"/>
      </w:rPr>
    </w:lvl>
    <w:lvl w:ilvl="4">
      <w:start w:val="0"/>
      <w:numFmt w:val="bullet"/>
      <w:lvlText w:val="•"/>
      <w:lvlJc w:val="left"/>
      <w:pPr>
        <w:ind w:left="4216" w:hanging="485"/>
      </w:pPr>
      <w:rPr>
        <w:rFonts w:hint="default"/>
        <w:lang w:val="en-US" w:eastAsia="en-US" w:bidi="ar-SA"/>
      </w:rPr>
    </w:lvl>
    <w:lvl w:ilvl="5">
      <w:start w:val="0"/>
      <w:numFmt w:val="bullet"/>
      <w:lvlText w:val="•"/>
      <w:lvlJc w:val="left"/>
      <w:pPr>
        <w:ind w:left="5174" w:hanging="485"/>
      </w:pPr>
      <w:rPr>
        <w:rFonts w:hint="default"/>
        <w:lang w:val="en-US" w:eastAsia="en-US" w:bidi="ar-SA"/>
      </w:rPr>
    </w:lvl>
    <w:lvl w:ilvl="6">
      <w:start w:val="0"/>
      <w:numFmt w:val="bullet"/>
      <w:lvlText w:val="•"/>
      <w:lvlJc w:val="left"/>
      <w:pPr>
        <w:ind w:left="6133" w:hanging="485"/>
      </w:pPr>
      <w:rPr>
        <w:rFonts w:hint="default"/>
        <w:lang w:val="en-US" w:eastAsia="en-US" w:bidi="ar-SA"/>
      </w:rPr>
    </w:lvl>
    <w:lvl w:ilvl="7">
      <w:start w:val="0"/>
      <w:numFmt w:val="bullet"/>
      <w:lvlText w:val="•"/>
      <w:lvlJc w:val="left"/>
      <w:pPr>
        <w:ind w:left="7091" w:hanging="485"/>
      </w:pPr>
      <w:rPr>
        <w:rFonts w:hint="default"/>
        <w:lang w:val="en-US" w:eastAsia="en-US" w:bidi="ar-SA"/>
      </w:rPr>
    </w:lvl>
    <w:lvl w:ilvl="8">
      <w:start w:val="0"/>
      <w:numFmt w:val="bullet"/>
      <w:lvlText w:val="•"/>
      <w:lvlJc w:val="left"/>
      <w:pPr>
        <w:ind w:left="8049" w:hanging="485"/>
      </w:pPr>
      <w:rPr>
        <w:rFonts w:hint="default"/>
        <w:lang w:val="en-US" w:eastAsia="en-US" w:bidi="ar-SA"/>
      </w:rPr>
    </w:lvl>
  </w:abstractNum>
  <w:abstractNum w:abstractNumId="218">
    <w:multiLevelType w:val="hybridMultilevel"/>
    <w:lvl w:ilvl="0">
      <w:start w:val="681"/>
      <w:numFmt w:val="decimal"/>
      <w:lvlText w:val="%1."/>
      <w:lvlJc w:val="left"/>
      <w:pPr>
        <w:ind w:left="500" w:hanging="720"/>
        <w:jc w:val="left"/>
      </w:pPr>
      <w:rPr>
        <w:rFonts w:hint="default" w:ascii="Arial" w:hAnsi="Arial" w:eastAsia="Arial" w:cs="Arial"/>
        <w:w w:val="99"/>
        <w:sz w:val="25"/>
        <w:szCs w:val="25"/>
        <w:lang w:val="en-US" w:eastAsia="en-US" w:bidi="ar-SA"/>
      </w:rPr>
    </w:lvl>
    <w:lvl w:ilvl="1">
      <w:start w:val="1"/>
      <w:numFmt w:val="lowerRoman"/>
      <w:lvlText w:val="(%2)"/>
      <w:lvlJc w:val="left"/>
      <w:pPr>
        <w:ind w:left="1220" w:hanging="629"/>
        <w:jc w:val="left"/>
      </w:pPr>
      <w:rPr>
        <w:rFonts w:hint="default" w:ascii="Arial" w:hAnsi="Arial" w:eastAsia="Arial" w:cs="Arial"/>
        <w:w w:val="99"/>
        <w:sz w:val="25"/>
        <w:szCs w:val="25"/>
        <w:lang w:val="en-US" w:eastAsia="en-US" w:bidi="ar-SA"/>
      </w:rPr>
    </w:lvl>
    <w:lvl w:ilvl="2">
      <w:start w:val="0"/>
      <w:numFmt w:val="bullet"/>
      <w:lvlText w:val="•"/>
      <w:lvlJc w:val="left"/>
      <w:pPr>
        <w:ind w:left="2191" w:hanging="629"/>
      </w:pPr>
      <w:rPr>
        <w:rFonts w:hint="default"/>
        <w:lang w:val="en-US" w:eastAsia="en-US" w:bidi="ar-SA"/>
      </w:rPr>
    </w:lvl>
    <w:lvl w:ilvl="3">
      <w:start w:val="0"/>
      <w:numFmt w:val="bullet"/>
      <w:lvlText w:val="•"/>
      <w:lvlJc w:val="left"/>
      <w:pPr>
        <w:ind w:left="3163" w:hanging="629"/>
      </w:pPr>
      <w:rPr>
        <w:rFonts w:hint="default"/>
        <w:lang w:val="en-US" w:eastAsia="en-US" w:bidi="ar-SA"/>
      </w:rPr>
    </w:lvl>
    <w:lvl w:ilvl="4">
      <w:start w:val="0"/>
      <w:numFmt w:val="bullet"/>
      <w:lvlText w:val="•"/>
      <w:lvlJc w:val="left"/>
      <w:pPr>
        <w:ind w:left="4135" w:hanging="629"/>
      </w:pPr>
      <w:rPr>
        <w:rFonts w:hint="default"/>
        <w:lang w:val="en-US" w:eastAsia="en-US" w:bidi="ar-SA"/>
      </w:rPr>
    </w:lvl>
    <w:lvl w:ilvl="5">
      <w:start w:val="0"/>
      <w:numFmt w:val="bullet"/>
      <w:lvlText w:val="•"/>
      <w:lvlJc w:val="left"/>
      <w:pPr>
        <w:ind w:left="5107" w:hanging="629"/>
      </w:pPr>
      <w:rPr>
        <w:rFonts w:hint="default"/>
        <w:lang w:val="en-US" w:eastAsia="en-US" w:bidi="ar-SA"/>
      </w:rPr>
    </w:lvl>
    <w:lvl w:ilvl="6">
      <w:start w:val="0"/>
      <w:numFmt w:val="bullet"/>
      <w:lvlText w:val="•"/>
      <w:lvlJc w:val="left"/>
      <w:pPr>
        <w:ind w:left="6079" w:hanging="629"/>
      </w:pPr>
      <w:rPr>
        <w:rFonts w:hint="default"/>
        <w:lang w:val="en-US" w:eastAsia="en-US" w:bidi="ar-SA"/>
      </w:rPr>
    </w:lvl>
    <w:lvl w:ilvl="7">
      <w:start w:val="0"/>
      <w:numFmt w:val="bullet"/>
      <w:lvlText w:val="•"/>
      <w:lvlJc w:val="left"/>
      <w:pPr>
        <w:ind w:left="7050" w:hanging="629"/>
      </w:pPr>
      <w:rPr>
        <w:rFonts w:hint="default"/>
        <w:lang w:val="en-US" w:eastAsia="en-US" w:bidi="ar-SA"/>
      </w:rPr>
    </w:lvl>
    <w:lvl w:ilvl="8">
      <w:start w:val="0"/>
      <w:numFmt w:val="bullet"/>
      <w:lvlText w:val="•"/>
      <w:lvlJc w:val="left"/>
      <w:pPr>
        <w:ind w:left="8022" w:hanging="629"/>
      </w:pPr>
      <w:rPr>
        <w:rFonts w:hint="default"/>
        <w:lang w:val="en-US" w:eastAsia="en-US" w:bidi="ar-SA"/>
      </w:rPr>
    </w:lvl>
  </w:abstractNum>
  <w:abstractNum w:abstractNumId="217">
    <w:multiLevelType w:val="hybridMultilevel"/>
    <w:lvl w:ilvl="0">
      <w:start w:val="1"/>
      <w:numFmt w:val="lowerRoman"/>
      <w:lvlText w:val="(%1)"/>
      <w:lvlJc w:val="left"/>
      <w:pPr>
        <w:ind w:left="1220" w:hanging="720"/>
        <w:jc w:val="left"/>
      </w:pPr>
      <w:rPr>
        <w:rFonts w:hint="default" w:ascii="Arial" w:hAnsi="Arial" w:eastAsia="Arial" w:cs="Arial"/>
        <w:spacing w:val="-1"/>
        <w:w w:val="99"/>
        <w:sz w:val="25"/>
        <w:szCs w:val="25"/>
        <w:lang w:val="en-US" w:eastAsia="en-US" w:bidi="ar-SA"/>
      </w:rPr>
    </w:lvl>
    <w:lvl w:ilvl="1">
      <w:start w:val="2"/>
      <w:numFmt w:val="lowerRoman"/>
      <w:lvlText w:val="(%2)"/>
      <w:lvlJc w:val="left"/>
      <w:pPr>
        <w:ind w:left="1940" w:hanging="346"/>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2831" w:hanging="346"/>
      </w:pPr>
      <w:rPr>
        <w:rFonts w:hint="default"/>
        <w:lang w:val="en-US" w:eastAsia="en-US" w:bidi="ar-SA"/>
      </w:rPr>
    </w:lvl>
    <w:lvl w:ilvl="3">
      <w:start w:val="0"/>
      <w:numFmt w:val="bullet"/>
      <w:lvlText w:val="•"/>
      <w:lvlJc w:val="left"/>
      <w:pPr>
        <w:ind w:left="3723" w:hanging="346"/>
      </w:pPr>
      <w:rPr>
        <w:rFonts w:hint="default"/>
        <w:lang w:val="en-US" w:eastAsia="en-US" w:bidi="ar-SA"/>
      </w:rPr>
    </w:lvl>
    <w:lvl w:ilvl="4">
      <w:start w:val="0"/>
      <w:numFmt w:val="bullet"/>
      <w:lvlText w:val="•"/>
      <w:lvlJc w:val="left"/>
      <w:pPr>
        <w:ind w:left="4615" w:hanging="346"/>
      </w:pPr>
      <w:rPr>
        <w:rFonts w:hint="default"/>
        <w:lang w:val="en-US" w:eastAsia="en-US" w:bidi="ar-SA"/>
      </w:rPr>
    </w:lvl>
    <w:lvl w:ilvl="5">
      <w:start w:val="0"/>
      <w:numFmt w:val="bullet"/>
      <w:lvlText w:val="•"/>
      <w:lvlJc w:val="left"/>
      <w:pPr>
        <w:ind w:left="5507" w:hanging="346"/>
      </w:pPr>
      <w:rPr>
        <w:rFonts w:hint="default"/>
        <w:lang w:val="en-US" w:eastAsia="en-US" w:bidi="ar-SA"/>
      </w:rPr>
    </w:lvl>
    <w:lvl w:ilvl="6">
      <w:start w:val="0"/>
      <w:numFmt w:val="bullet"/>
      <w:lvlText w:val="•"/>
      <w:lvlJc w:val="left"/>
      <w:pPr>
        <w:ind w:left="6399" w:hanging="346"/>
      </w:pPr>
      <w:rPr>
        <w:rFonts w:hint="default"/>
        <w:lang w:val="en-US" w:eastAsia="en-US" w:bidi="ar-SA"/>
      </w:rPr>
    </w:lvl>
    <w:lvl w:ilvl="7">
      <w:start w:val="0"/>
      <w:numFmt w:val="bullet"/>
      <w:lvlText w:val="•"/>
      <w:lvlJc w:val="left"/>
      <w:pPr>
        <w:ind w:left="7290" w:hanging="346"/>
      </w:pPr>
      <w:rPr>
        <w:rFonts w:hint="default"/>
        <w:lang w:val="en-US" w:eastAsia="en-US" w:bidi="ar-SA"/>
      </w:rPr>
    </w:lvl>
    <w:lvl w:ilvl="8">
      <w:start w:val="0"/>
      <w:numFmt w:val="bullet"/>
      <w:lvlText w:val="•"/>
      <w:lvlJc w:val="left"/>
      <w:pPr>
        <w:ind w:left="8182" w:hanging="346"/>
      </w:pPr>
      <w:rPr>
        <w:rFonts w:hint="default"/>
        <w:lang w:val="en-US" w:eastAsia="en-US" w:bidi="ar-SA"/>
      </w:rPr>
    </w:lvl>
  </w:abstractNum>
  <w:abstractNum w:abstractNumId="216">
    <w:multiLevelType w:val="hybridMultilevel"/>
    <w:lvl w:ilvl="0">
      <w:start w:val="0"/>
      <w:numFmt w:val="bullet"/>
      <w:lvlText w:val=""/>
      <w:lvlJc w:val="left"/>
      <w:pPr>
        <w:ind w:left="1940" w:hanging="720"/>
      </w:pPr>
      <w:rPr>
        <w:rFonts w:hint="default" w:ascii="Symbol" w:hAnsi="Symbol" w:eastAsia="Symbol" w:cs="Symbol"/>
        <w:w w:val="100"/>
        <w:sz w:val="21"/>
        <w:szCs w:val="21"/>
        <w:lang w:val="en-US" w:eastAsia="en-US" w:bidi="ar-SA"/>
      </w:rPr>
    </w:lvl>
    <w:lvl w:ilvl="1">
      <w:start w:val="0"/>
      <w:numFmt w:val="bullet"/>
      <w:lvlText w:val=""/>
      <w:lvlJc w:val="left"/>
      <w:pPr>
        <w:ind w:left="1940" w:hanging="360"/>
      </w:pPr>
      <w:rPr>
        <w:rFonts w:hint="default" w:ascii="Symbol" w:hAnsi="Symbol" w:eastAsia="Symbol" w:cs="Symbol"/>
        <w:w w:val="100"/>
        <w:sz w:val="21"/>
        <w:szCs w:val="21"/>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215">
    <w:multiLevelType w:val="hybridMultilevel"/>
    <w:lvl w:ilvl="0">
      <w:start w:val="1"/>
      <w:numFmt w:val="upperRoman"/>
      <w:lvlText w:val="%1"/>
      <w:lvlJc w:val="left"/>
      <w:pPr>
        <w:ind w:left="1220" w:hanging="720"/>
        <w:jc w:val="left"/>
      </w:pPr>
      <w:rPr>
        <w:rFonts w:hint="default" w:ascii="Arial" w:hAnsi="Arial" w:eastAsia="Arial" w:cs="Arial"/>
        <w:b/>
        <w:bCs/>
        <w:w w:val="99"/>
        <w:sz w:val="26"/>
        <w:szCs w:val="26"/>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14">
    <w:multiLevelType w:val="hybridMultilevel"/>
    <w:lvl w:ilvl="0">
      <w:start w:val="15"/>
      <w:numFmt w:val="decimal"/>
      <w:lvlText w:val="%1."/>
      <w:lvlJc w:val="left"/>
      <w:pPr>
        <w:ind w:left="1918" w:hanging="411"/>
        <w:jc w:val="left"/>
      </w:pPr>
      <w:rPr>
        <w:rFonts w:hint="default" w:ascii="Arial" w:hAnsi="Arial" w:eastAsia="Arial" w:cs="Arial"/>
        <w:w w:val="100"/>
        <w:sz w:val="21"/>
        <w:szCs w:val="21"/>
        <w:lang w:val="en-US" w:eastAsia="en-US" w:bidi="ar-SA"/>
      </w:rPr>
    </w:lvl>
    <w:lvl w:ilvl="1">
      <w:start w:val="0"/>
      <w:numFmt w:val="bullet"/>
      <w:lvlText w:val="•"/>
      <w:lvlJc w:val="left"/>
      <w:pPr>
        <w:ind w:left="2724" w:hanging="411"/>
      </w:pPr>
      <w:rPr>
        <w:rFonts w:hint="default"/>
        <w:lang w:val="en-US" w:eastAsia="en-US" w:bidi="ar-SA"/>
      </w:rPr>
    </w:lvl>
    <w:lvl w:ilvl="2">
      <w:start w:val="0"/>
      <w:numFmt w:val="bullet"/>
      <w:lvlText w:val="•"/>
      <w:lvlJc w:val="left"/>
      <w:pPr>
        <w:ind w:left="3529" w:hanging="411"/>
      </w:pPr>
      <w:rPr>
        <w:rFonts w:hint="default"/>
        <w:lang w:val="en-US" w:eastAsia="en-US" w:bidi="ar-SA"/>
      </w:rPr>
    </w:lvl>
    <w:lvl w:ilvl="3">
      <w:start w:val="0"/>
      <w:numFmt w:val="bullet"/>
      <w:lvlText w:val="•"/>
      <w:lvlJc w:val="left"/>
      <w:pPr>
        <w:ind w:left="4333" w:hanging="411"/>
      </w:pPr>
      <w:rPr>
        <w:rFonts w:hint="default"/>
        <w:lang w:val="en-US" w:eastAsia="en-US" w:bidi="ar-SA"/>
      </w:rPr>
    </w:lvl>
    <w:lvl w:ilvl="4">
      <w:start w:val="0"/>
      <w:numFmt w:val="bullet"/>
      <w:lvlText w:val="•"/>
      <w:lvlJc w:val="left"/>
      <w:pPr>
        <w:ind w:left="5138" w:hanging="411"/>
      </w:pPr>
      <w:rPr>
        <w:rFonts w:hint="default"/>
        <w:lang w:val="en-US" w:eastAsia="en-US" w:bidi="ar-SA"/>
      </w:rPr>
    </w:lvl>
    <w:lvl w:ilvl="5">
      <w:start w:val="0"/>
      <w:numFmt w:val="bullet"/>
      <w:lvlText w:val="•"/>
      <w:lvlJc w:val="left"/>
      <w:pPr>
        <w:ind w:left="5943" w:hanging="411"/>
      </w:pPr>
      <w:rPr>
        <w:rFonts w:hint="default"/>
        <w:lang w:val="en-US" w:eastAsia="en-US" w:bidi="ar-SA"/>
      </w:rPr>
    </w:lvl>
    <w:lvl w:ilvl="6">
      <w:start w:val="0"/>
      <w:numFmt w:val="bullet"/>
      <w:lvlText w:val="•"/>
      <w:lvlJc w:val="left"/>
      <w:pPr>
        <w:ind w:left="6747" w:hanging="411"/>
      </w:pPr>
      <w:rPr>
        <w:rFonts w:hint="default"/>
        <w:lang w:val="en-US" w:eastAsia="en-US" w:bidi="ar-SA"/>
      </w:rPr>
    </w:lvl>
    <w:lvl w:ilvl="7">
      <w:start w:val="0"/>
      <w:numFmt w:val="bullet"/>
      <w:lvlText w:val="•"/>
      <w:lvlJc w:val="left"/>
      <w:pPr>
        <w:ind w:left="7552" w:hanging="411"/>
      </w:pPr>
      <w:rPr>
        <w:rFonts w:hint="default"/>
        <w:lang w:val="en-US" w:eastAsia="en-US" w:bidi="ar-SA"/>
      </w:rPr>
    </w:lvl>
    <w:lvl w:ilvl="8">
      <w:start w:val="0"/>
      <w:numFmt w:val="bullet"/>
      <w:lvlText w:val="•"/>
      <w:lvlJc w:val="left"/>
      <w:pPr>
        <w:ind w:left="8357" w:hanging="411"/>
      </w:pPr>
      <w:rPr>
        <w:rFonts w:hint="default"/>
        <w:lang w:val="en-US" w:eastAsia="en-US" w:bidi="ar-SA"/>
      </w:rPr>
    </w:lvl>
  </w:abstractNum>
  <w:abstractNum w:abstractNumId="213">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2"/>
      <w:numFmt w:val="lowerLetter"/>
      <w:lvlText w:val="(%2)"/>
      <w:lvlJc w:val="left"/>
      <w:pPr>
        <w:ind w:left="1940" w:hanging="353"/>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2831" w:hanging="353"/>
      </w:pPr>
      <w:rPr>
        <w:rFonts w:hint="default"/>
        <w:lang w:val="en-US" w:eastAsia="en-US" w:bidi="ar-SA"/>
      </w:rPr>
    </w:lvl>
    <w:lvl w:ilvl="3">
      <w:start w:val="0"/>
      <w:numFmt w:val="bullet"/>
      <w:lvlText w:val="•"/>
      <w:lvlJc w:val="left"/>
      <w:pPr>
        <w:ind w:left="3723" w:hanging="353"/>
      </w:pPr>
      <w:rPr>
        <w:rFonts w:hint="default"/>
        <w:lang w:val="en-US" w:eastAsia="en-US" w:bidi="ar-SA"/>
      </w:rPr>
    </w:lvl>
    <w:lvl w:ilvl="4">
      <w:start w:val="0"/>
      <w:numFmt w:val="bullet"/>
      <w:lvlText w:val="•"/>
      <w:lvlJc w:val="left"/>
      <w:pPr>
        <w:ind w:left="4615" w:hanging="353"/>
      </w:pPr>
      <w:rPr>
        <w:rFonts w:hint="default"/>
        <w:lang w:val="en-US" w:eastAsia="en-US" w:bidi="ar-SA"/>
      </w:rPr>
    </w:lvl>
    <w:lvl w:ilvl="5">
      <w:start w:val="0"/>
      <w:numFmt w:val="bullet"/>
      <w:lvlText w:val="•"/>
      <w:lvlJc w:val="left"/>
      <w:pPr>
        <w:ind w:left="5507" w:hanging="353"/>
      </w:pPr>
      <w:rPr>
        <w:rFonts w:hint="default"/>
        <w:lang w:val="en-US" w:eastAsia="en-US" w:bidi="ar-SA"/>
      </w:rPr>
    </w:lvl>
    <w:lvl w:ilvl="6">
      <w:start w:val="0"/>
      <w:numFmt w:val="bullet"/>
      <w:lvlText w:val="•"/>
      <w:lvlJc w:val="left"/>
      <w:pPr>
        <w:ind w:left="6399" w:hanging="353"/>
      </w:pPr>
      <w:rPr>
        <w:rFonts w:hint="default"/>
        <w:lang w:val="en-US" w:eastAsia="en-US" w:bidi="ar-SA"/>
      </w:rPr>
    </w:lvl>
    <w:lvl w:ilvl="7">
      <w:start w:val="0"/>
      <w:numFmt w:val="bullet"/>
      <w:lvlText w:val="•"/>
      <w:lvlJc w:val="left"/>
      <w:pPr>
        <w:ind w:left="7290" w:hanging="353"/>
      </w:pPr>
      <w:rPr>
        <w:rFonts w:hint="default"/>
        <w:lang w:val="en-US" w:eastAsia="en-US" w:bidi="ar-SA"/>
      </w:rPr>
    </w:lvl>
    <w:lvl w:ilvl="8">
      <w:start w:val="0"/>
      <w:numFmt w:val="bullet"/>
      <w:lvlText w:val="•"/>
      <w:lvlJc w:val="left"/>
      <w:pPr>
        <w:ind w:left="8182" w:hanging="353"/>
      </w:pPr>
      <w:rPr>
        <w:rFonts w:hint="default"/>
        <w:lang w:val="en-US" w:eastAsia="en-US" w:bidi="ar-SA"/>
      </w:rPr>
    </w:lvl>
  </w:abstractNum>
  <w:abstractNum w:abstractNumId="212">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1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1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0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0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07">
    <w:multiLevelType w:val="hybridMultilevel"/>
    <w:lvl w:ilvl="0">
      <w:start w:val="1"/>
      <w:numFmt w:val="lowerRoman"/>
      <w:lvlText w:val="(%1)"/>
      <w:lvlJc w:val="left"/>
      <w:pPr>
        <w:ind w:left="1220" w:hanging="720"/>
        <w:jc w:val="left"/>
      </w:pPr>
      <w:rPr>
        <w:rFonts w:hint="default" w:ascii="Arial" w:hAnsi="Arial" w:eastAsia="Arial" w:cs="Arial"/>
        <w:spacing w:val="-1"/>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06">
    <w:multiLevelType w:val="hybridMultilevel"/>
    <w:lvl w:ilvl="0">
      <w:start w:val="1"/>
      <w:numFmt w:val="lowerRoman"/>
      <w:lvlText w:val="(%1)"/>
      <w:lvlJc w:val="left"/>
      <w:pPr>
        <w:ind w:left="1220" w:hanging="720"/>
        <w:jc w:val="left"/>
      </w:pPr>
      <w:rPr>
        <w:rFonts w:hint="default" w:ascii="Arial" w:hAnsi="Arial" w:eastAsia="Arial" w:cs="Arial"/>
        <w:spacing w:val="-1"/>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205">
    <w:multiLevelType w:val="hybridMultilevel"/>
    <w:lvl w:ilvl="0">
      <w:start w:val="21"/>
      <w:numFmt w:val="decimal"/>
      <w:lvlText w:val="%1"/>
      <w:lvlJc w:val="left"/>
      <w:pPr>
        <w:ind w:left="1940" w:hanging="1440"/>
        <w:jc w:val="left"/>
      </w:pPr>
      <w:rPr>
        <w:rFonts w:hint="default" w:ascii="Arial" w:hAnsi="Arial" w:eastAsia="Arial" w:cs="Arial"/>
        <w:b/>
        <w:bCs/>
        <w:w w:val="99"/>
        <w:sz w:val="25"/>
        <w:szCs w:val="25"/>
        <w:lang w:val="en-US" w:eastAsia="en-US" w:bidi="ar-SA"/>
      </w:rPr>
    </w:lvl>
    <w:lvl w:ilvl="1">
      <w:start w:val="0"/>
      <w:numFmt w:val="bullet"/>
      <w:lvlText w:val=""/>
      <w:lvlJc w:val="left"/>
      <w:pPr>
        <w:ind w:left="1940" w:hanging="360"/>
      </w:pPr>
      <w:rPr>
        <w:rFonts w:hint="default" w:ascii="Symbol" w:hAnsi="Symbol" w:eastAsia="Symbol" w:cs="Symbol"/>
        <w:w w:val="99"/>
        <w:sz w:val="25"/>
        <w:szCs w:val="25"/>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204">
    <w:multiLevelType w:val="hybridMultilevel"/>
    <w:lvl w:ilvl="0">
      <w:start w:val="10"/>
      <w:numFmt w:val="decimal"/>
      <w:lvlText w:val="%1"/>
      <w:lvlJc w:val="left"/>
      <w:pPr>
        <w:ind w:left="1940" w:hanging="1440"/>
        <w:jc w:val="left"/>
      </w:pPr>
      <w:rPr>
        <w:rFonts w:hint="default" w:ascii="Arial" w:hAnsi="Arial" w:eastAsia="Arial" w:cs="Arial"/>
        <w:b/>
        <w:bCs/>
        <w:w w:val="99"/>
        <w:sz w:val="25"/>
        <w:szCs w:val="25"/>
        <w:lang w:val="en-US" w:eastAsia="en-US" w:bidi="ar-SA"/>
      </w:rPr>
    </w:lvl>
    <w:lvl w:ilvl="1">
      <w:start w:val="0"/>
      <w:numFmt w:val="bullet"/>
      <w:lvlText w:val=""/>
      <w:lvlJc w:val="left"/>
      <w:pPr>
        <w:ind w:left="1940" w:hanging="360"/>
      </w:pPr>
      <w:rPr>
        <w:rFonts w:hint="default" w:ascii="Symbol" w:hAnsi="Symbol" w:eastAsia="Symbol" w:cs="Symbol"/>
        <w:w w:val="99"/>
        <w:sz w:val="25"/>
        <w:szCs w:val="25"/>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203">
    <w:multiLevelType w:val="hybridMultilevel"/>
    <w:lvl w:ilvl="0">
      <w:start w:val="7"/>
      <w:numFmt w:val="decimal"/>
      <w:lvlText w:val="%1"/>
      <w:lvlJc w:val="left"/>
      <w:pPr>
        <w:ind w:left="1940" w:hanging="209"/>
        <w:jc w:val="left"/>
      </w:pPr>
      <w:rPr>
        <w:rFonts w:hint="default"/>
        <w:b/>
        <w:bCs/>
        <w:w w:val="99"/>
        <w:lang w:val="en-US" w:eastAsia="en-US" w:bidi="ar-SA"/>
      </w:rPr>
    </w:lvl>
    <w:lvl w:ilvl="1">
      <w:start w:val="0"/>
      <w:numFmt w:val="bullet"/>
      <w:lvlText w:val=""/>
      <w:lvlJc w:val="left"/>
      <w:pPr>
        <w:ind w:left="1940" w:hanging="269"/>
      </w:pPr>
      <w:rPr>
        <w:rFonts w:hint="default" w:ascii="Symbol" w:hAnsi="Symbol" w:eastAsia="Symbol" w:cs="Symbol"/>
        <w:w w:val="99"/>
        <w:sz w:val="25"/>
        <w:szCs w:val="25"/>
        <w:lang w:val="en-US" w:eastAsia="en-US" w:bidi="ar-SA"/>
      </w:rPr>
    </w:lvl>
    <w:lvl w:ilvl="2">
      <w:start w:val="0"/>
      <w:numFmt w:val="bullet"/>
      <w:lvlText w:val="•"/>
      <w:lvlJc w:val="left"/>
      <w:pPr>
        <w:ind w:left="3545" w:hanging="269"/>
      </w:pPr>
      <w:rPr>
        <w:rFonts w:hint="default"/>
        <w:lang w:val="en-US" w:eastAsia="en-US" w:bidi="ar-SA"/>
      </w:rPr>
    </w:lvl>
    <w:lvl w:ilvl="3">
      <w:start w:val="0"/>
      <w:numFmt w:val="bullet"/>
      <w:lvlText w:val="•"/>
      <w:lvlJc w:val="left"/>
      <w:pPr>
        <w:ind w:left="4347" w:hanging="269"/>
      </w:pPr>
      <w:rPr>
        <w:rFonts w:hint="default"/>
        <w:lang w:val="en-US" w:eastAsia="en-US" w:bidi="ar-SA"/>
      </w:rPr>
    </w:lvl>
    <w:lvl w:ilvl="4">
      <w:start w:val="0"/>
      <w:numFmt w:val="bullet"/>
      <w:lvlText w:val="•"/>
      <w:lvlJc w:val="left"/>
      <w:pPr>
        <w:ind w:left="5150" w:hanging="269"/>
      </w:pPr>
      <w:rPr>
        <w:rFonts w:hint="default"/>
        <w:lang w:val="en-US" w:eastAsia="en-US" w:bidi="ar-SA"/>
      </w:rPr>
    </w:lvl>
    <w:lvl w:ilvl="5">
      <w:start w:val="0"/>
      <w:numFmt w:val="bullet"/>
      <w:lvlText w:val="•"/>
      <w:lvlJc w:val="left"/>
      <w:pPr>
        <w:ind w:left="5953" w:hanging="269"/>
      </w:pPr>
      <w:rPr>
        <w:rFonts w:hint="default"/>
        <w:lang w:val="en-US" w:eastAsia="en-US" w:bidi="ar-SA"/>
      </w:rPr>
    </w:lvl>
    <w:lvl w:ilvl="6">
      <w:start w:val="0"/>
      <w:numFmt w:val="bullet"/>
      <w:lvlText w:val="•"/>
      <w:lvlJc w:val="left"/>
      <w:pPr>
        <w:ind w:left="6755" w:hanging="269"/>
      </w:pPr>
      <w:rPr>
        <w:rFonts w:hint="default"/>
        <w:lang w:val="en-US" w:eastAsia="en-US" w:bidi="ar-SA"/>
      </w:rPr>
    </w:lvl>
    <w:lvl w:ilvl="7">
      <w:start w:val="0"/>
      <w:numFmt w:val="bullet"/>
      <w:lvlText w:val="•"/>
      <w:lvlJc w:val="left"/>
      <w:pPr>
        <w:ind w:left="7558" w:hanging="269"/>
      </w:pPr>
      <w:rPr>
        <w:rFonts w:hint="default"/>
        <w:lang w:val="en-US" w:eastAsia="en-US" w:bidi="ar-SA"/>
      </w:rPr>
    </w:lvl>
    <w:lvl w:ilvl="8">
      <w:start w:val="0"/>
      <w:numFmt w:val="bullet"/>
      <w:lvlText w:val="•"/>
      <w:lvlJc w:val="left"/>
      <w:pPr>
        <w:ind w:left="8361" w:hanging="269"/>
      </w:pPr>
      <w:rPr>
        <w:rFonts w:hint="default"/>
        <w:lang w:val="en-US" w:eastAsia="en-US" w:bidi="ar-SA"/>
      </w:rPr>
    </w:lvl>
  </w:abstractNum>
  <w:abstractNum w:abstractNumId="200">
    <w:multiLevelType w:val="hybridMultilevel"/>
    <w:lvl w:ilvl="0">
      <w:start w:val="5"/>
      <w:numFmt w:val="decimal"/>
      <w:lvlText w:val="%1"/>
      <w:lvlJc w:val="left"/>
      <w:pPr>
        <w:ind w:left="1940" w:hanging="209"/>
        <w:jc w:val="left"/>
      </w:pPr>
      <w:rPr>
        <w:rFonts w:hint="default" w:ascii="Arial" w:hAnsi="Arial" w:eastAsia="Arial" w:cs="Arial"/>
        <w:b/>
        <w:bCs/>
        <w:w w:val="99"/>
        <w:sz w:val="25"/>
        <w:szCs w:val="25"/>
        <w:lang w:val="en-US" w:eastAsia="en-US" w:bidi="ar-SA"/>
      </w:rPr>
    </w:lvl>
    <w:lvl w:ilvl="1">
      <w:start w:val="0"/>
      <w:numFmt w:val="bullet"/>
      <w:lvlText w:val=""/>
      <w:lvlJc w:val="left"/>
      <w:pPr>
        <w:ind w:left="1940" w:hanging="360"/>
      </w:pPr>
      <w:rPr>
        <w:rFonts w:hint="default" w:ascii="Symbol" w:hAnsi="Symbol" w:eastAsia="Symbol" w:cs="Symbol"/>
        <w:w w:val="99"/>
        <w:sz w:val="25"/>
        <w:szCs w:val="25"/>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195">
    <w:multiLevelType w:val="hybridMultilevel"/>
    <w:lvl w:ilvl="0">
      <w:start w:val="2"/>
      <w:numFmt w:val="decimal"/>
      <w:lvlText w:val="%1"/>
      <w:lvlJc w:val="left"/>
      <w:pPr>
        <w:ind w:left="2031" w:hanging="1532"/>
        <w:jc w:val="left"/>
      </w:pPr>
      <w:rPr>
        <w:rFonts w:hint="default" w:ascii="Arial" w:hAnsi="Arial" w:eastAsia="Arial" w:cs="Arial"/>
        <w:b/>
        <w:bCs/>
        <w:w w:val="99"/>
        <w:sz w:val="25"/>
        <w:szCs w:val="25"/>
        <w:lang w:val="en-US" w:eastAsia="en-US" w:bidi="ar-SA"/>
      </w:rPr>
    </w:lvl>
    <w:lvl w:ilvl="1">
      <w:start w:val="0"/>
      <w:numFmt w:val="bullet"/>
      <w:lvlText w:val=""/>
      <w:lvlJc w:val="left"/>
      <w:pPr>
        <w:ind w:left="2660" w:hanging="720"/>
      </w:pPr>
      <w:rPr>
        <w:rFonts w:hint="default" w:ascii="Symbol" w:hAnsi="Symbol" w:eastAsia="Symbol" w:cs="Symbol"/>
        <w:w w:val="99"/>
        <w:sz w:val="25"/>
        <w:szCs w:val="25"/>
        <w:lang w:val="en-US" w:eastAsia="en-US" w:bidi="ar-SA"/>
      </w:rPr>
    </w:lvl>
    <w:lvl w:ilvl="2">
      <w:start w:val="0"/>
      <w:numFmt w:val="bullet"/>
      <w:lvlText w:val="•"/>
      <w:lvlJc w:val="left"/>
      <w:pPr>
        <w:ind w:left="2660" w:hanging="720"/>
      </w:pPr>
      <w:rPr>
        <w:rFonts w:hint="default"/>
        <w:lang w:val="en-US" w:eastAsia="en-US" w:bidi="ar-SA"/>
      </w:rPr>
    </w:lvl>
    <w:lvl w:ilvl="3">
      <w:start w:val="0"/>
      <w:numFmt w:val="bullet"/>
      <w:lvlText w:val="•"/>
      <w:lvlJc w:val="left"/>
      <w:pPr>
        <w:ind w:left="3573" w:hanging="720"/>
      </w:pPr>
      <w:rPr>
        <w:rFonts w:hint="default"/>
        <w:lang w:val="en-US" w:eastAsia="en-US" w:bidi="ar-SA"/>
      </w:rPr>
    </w:lvl>
    <w:lvl w:ilvl="4">
      <w:start w:val="0"/>
      <w:numFmt w:val="bullet"/>
      <w:lvlText w:val="•"/>
      <w:lvlJc w:val="left"/>
      <w:pPr>
        <w:ind w:left="4486" w:hanging="720"/>
      </w:pPr>
      <w:rPr>
        <w:rFonts w:hint="default"/>
        <w:lang w:val="en-US" w:eastAsia="en-US" w:bidi="ar-SA"/>
      </w:rPr>
    </w:lvl>
    <w:lvl w:ilvl="5">
      <w:start w:val="0"/>
      <w:numFmt w:val="bullet"/>
      <w:lvlText w:val="•"/>
      <w:lvlJc w:val="left"/>
      <w:pPr>
        <w:ind w:left="5399" w:hanging="720"/>
      </w:pPr>
      <w:rPr>
        <w:rFonts w:hint="default"/>
        <w:lang w:val="en-US" w:eastAsia="en-US" w:bidi="ar-SA"/>
      </w:rPr>
    </w:lvl>
    <w:lvl w:ilvl="6">
      <w:start w:val="0"/>
      <w:numFmt w:val="bullet"/>
      <w:lvlText w:val="•"/>
      <w:lvlJc w:val="left"/>
      <w:pPr>
        <w:ind w:left="6313" w:hanging="720"/>
      </w:pPr>
      <w:rPr>
        <w:rFonts w:hint="default"/>
        <w:lang w:val="en-US" w:eastAsia="en-US" w:bidi="ar-SA"/>
      </w:rPr>
    </w:lvl>
    <w:lvl w:ilvl="7">
      <w:start w:val="0"/>
      <w:numFmt w:val="bullet"/>
      <w:lvlText w:val="•"/>
      <w:lvlJc w:val="left"/>
      <w:pPr>
        <w:ind w:left="7226" w:hanging="720"/>
      </w:pPr>
      <w:rPr>
        <w:rFonts w:hint="default"/>
        <w:lang w:val="en-US" w:eastAsia="en-US" w:bidi="ar-SA"/>
      </w:rPr>
    </w:lvl>
    <w:lvl w:ilvl="8">
      <w:start w:val="0"/>
      <w:numFmt w:val="bullet"/>
      <w:lvlText w:val="•"/>
      <w:lvlJc w:val="left"/>
      <w:pPr>
        <w:ind w:left="8139" w:hanging="720"/>
      </w:pPr>
      <w:rPr>
        <w:rFonts w:hint="default"/>
        <w:lang w:val="en-US" w:eastAsia="en-US" w:bidi="ar-SA"/>
      </w:rPr>
    </w:lvl>
  </w:abstractNum>
  <w:abstractNum w:abstractNumId="194">
    <w:multiLevelType w:val="hybridMultilevel"/>
    <w:lvl w:ilvl="0">
      <w:start w:val="0"/>
      <w:numFmt w:val="bullet"/>
      <w:lvlText w:val=""/>
      <w:lvlJc w:val="left"/>
      <w:pPr>
        <w:ind w:left="2660" w:hanging="720"/>
      </w:pPr>
      <w:rPr>
        <w:rFonts w:hint="default" w:ascii="Symbol" w:hAnsi="Symbol" w:eastAsia="Symbol" w:cs="Symbol"/>
        <w:w w:val="99"/>
        <w:sz w:val="25"/>
        <w:szCs w:val="25"/>
        <w:lang w:val="en-US" w:eastAsia="en-US" w:bidi="ar-SA"/>
      </w:rPr>
    </w:lvl>
    <w:lvl w:ilvl="1">
      <w:start w:val="0"/>
      <w:numFmt w:val="bullet"/>
      <w:lvlText w:val="•"/>
      <w:lvlJc w:val="left"/>
      <w:pPr>
        <w:ind w:left="3390" w:hanging="720"/>
      </w:pPr>
      <w:rPr>
        <w:rFonts w:hint="default"/>
        <w:lang w:val="en-US" w:eastAsia="en-US" w:bidi="ar-SA"/>
      </w:rPr>
    </w:lvl>
    <w:lvl w:ilvl="2">
      <w:start w:val="0"/>
      <w:numFmt w:val="bullet"/>
      <w:lvlText w:val="•"/>
      <w:lvlJc w:val="left"/>
      <w:pPr>
        <w:ind w:left="4121" w:hanging="720"/>
      </w:pPr>
      <w:rPr>
        <w:rFonts w:hint="default"/>
        <w:lang w:val="en-US" w:eastAsia="en-US" w:bidi="ar-SA"/>
      </w:rPr>
    </w:lvl>
    <w:lvl w:ilvl="3">
      <w:start w:val="0"/>
      <w:numFmt w:val="bullet"/>
      <w:lvlText w:val="•"/>
      <w:lvlJc w:val="left"/>
      <w:pPr>
        <w:ind w:left="4851" w:hanging="720"/>
      </w:pPr>
      <w:rPr>
        <w:rFonts w:hint="default"/>
        <w:lang w:val="en-US" w:eastAsia="en-US" w:bidi="ar-SA"/>
      </w:rPr>
    </w:lvl>
    <w:lvl w:ilvl="4">
      <w:start w:val="0"/>
      <w:numFmt w:val="bullet"/>
      <w:lvlText w:val="•"/>
      <w:lvlJc w:val="left"/>
      <w:pPr>
        <w:ind w:left="5582" w:hanging="720"/>
      </w:pPr>
      <w:rPr>
        <w:rFonts w:hint="default"/>
        <w:lang w:val="en-US" w:eastAsia="en-US" w:bidi="ar-SA"/>
      </w:rPr>
    </w:lvl>
    <w:lvl w:ilvl="5">
      <w:start w:val="0"/>
      <w:numFmt w:val="bullet"/>
      <w:lvlText w:val="•"/>
      <w:lvlJc w:val="left"/>
      <w:pPr>
        <w:ind w:left="6313" w:hanging="720"/>
      </w:pPr>
      <w:rPr>
        <w:rFonts w:hint="default"/>
        <w:lang w:val="en-US" w:eastAsia="en-US" w:bidi="ar-SA"/>
      </w:rPr>
    </w:lvl>
    <w:lvl w:ilvl="6">
      <w:start w:val="0"/>
      <w:numFmt w:val="bullet"/>
      <w:lvlText w:val="•"/>
      <w:lvlJc w:val="left"/>
      <w:pPr>
        <w:ind w:left="7043" w:hanging="720"/>
      </w:pPr>
      <w:rPr>
        <w:rFonts w:hint="default"/>
        <w:lang w:val="en-US" w:eastAsia="en-US" w:bidi="ar-SA"/>
      </w:rPr>
    </w:lvl>
    <w:lvl w:ilvl="7">
      <w:start w:val="0"/>
      <w:numFmt w:val="bullet"/>
      <w:lvlText w:val="•"/>
      <w:lvlJc w:val="left"/>
      <w:pPr>
        <w:ind w:left="777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193">
    <w:multiLevelType w:val="hybridMultilevel"/>
    <w:lvl w:ilvl="0">
      <w:start w:val="1"/>
      <w:numFmt w:val="lowerLetter"/>
      <w:lvlText w:val="(%1)"/>
      <w:lvlJc w:val="left"/>
      <w:pPr>
        <w:ind w:left="2660" w:hanging="720"/>
        <w:jc w:val="left"/>
      </w:pPr>
      <w:rPr>
        <w:rFonts w:hint="default" w:ascii="Arial" w:hAnsi="Arial" w:eastAsia="Arial" w:cs="Arial"/>
        <w:b/>
        <w:bCs/>
        <w:color w:val="212121"/>
        <w:w w:val="99"/>
        <w:sz w:val="25"/>
        <w:szCs w:val="25"/>
        <w:lang w:val="en-US" w:eastAsia="en-US" w:bidi="ar-SA"/>
      </w:rPr>
    </w:lvl>
    <w:lvl w:ilvl="1">
      <w:start w:val="0"/>
      <w:numFmt w:val="bullet"/>
      <w:lvlText w:val="•"/>
      <w:lvlJc w:val="left"/>
      <w:pPr>
        <w:ind w:left="3390" w:hanging="720"/>
      </w:pPr>
      <w:rPr>
        <w:rFonts w:hint="default"/>
        <w:lang w:val="en-US" w:eastAsia="en-US" w:bidi="ar-SA"/>
      </w:rPr>
    </w:lvl>
    <w:lvl w:ilvl="2">
      <w:start w:val="0"/>
      <w:numFmt w:val="bullet"/>
      <w:lvlText w:val="•"/>
      <w:lvlJc w:val="left"/>
      <w:pPr>
        <w:ind w:left="4121" w:hanging="720"/>
      </w:pPr>
      <w:rPr>
        <w:rFonts w:hint="default"/>
        <w:lang w:val="en-US" w:eastAsia="en-US" w:bidi="ar-SA"/>
      </w:rPr>
    </w:lvl>
    <w:lvl w:ilvl="3">
      <w:start w:val="0"/>
      <w:numFmt w:val="bullet"/>
      <w:lvlText w:val="•"/>
      <w:lvlJc w:val="left"/>
      <w:pPr>
        <w:ind w:left="4851" w:hanging="720"/>
      </w:pPr>
      <w:rPr>
        <w:rFonts w:hint="default"/>
        <w:lang w:val="en-US" w:eastAsia="en-US" w:bidi="ar-SA"/>
      </w:rPr>
    </w:lvl>
    <w:lvl w:ilvl="4">
      <w:start w:val="0"/>
      <w:numFmt w:val="bullet"/>
      <w:lvlText w:val="•"/>
      <w:lvlJc w:val="left"/>
      <w:pPr>
        <w:ind w:left="5582" w:hanging="720"/>
      </w:pPr>
      <w:rPr>
        <w:rFonts w:hint="default"/>
        <w:lang w:val="en-US" w:eastAsia="en-US" w:bidi="ar-SA"/>
      </w:rPr>
    </w:lvl>
    <w:lvl w:ilvl="5">
      <w:start w:val="0"/>
      <w:numFmt w:val="bullet"/>
      <w:lvlText w:val="•"/>
      <w:lvlJc w:val="left"/>
      <w:pPr>
        <w:ind w:left="6313" w:hanging="720"/>
      </w:pPr>
      <w:rPr>
        <w:rFonts w:hint="default"/>
        <w:lang w:val="en-US" w:eastAsia="en-US" w:bidi="ar-SA"/>
      </w:rPr>
    </w:lvl>
    <w:lvl w:ilvl="6">
      <w:start w:val="0"/>
      <w:numFmt w:val="bullet"/>
      <w:lvlText w:val="•"/>
      <w:lvlJc w:val="left"/>
      <w:pPr>
        <w:ind w:left="7043" w:hanging="720"/>
      </w:pPr>
      <w:rPr>
        <w:rFonts w:hint="default"/>
        <w:lang w:val="en-US" w:eastAsia="en-US" w:bidi="ar-SA"/>
      </w:rPr>
    </w:lvl>
    <w:lvl w:ilvl="7">
      <w:start w:val="0"/>
      <w:numFmt w:val="bullet"/>
      <w:lvlText w:val="•"/>
      <w:lvlJc w:val="left"/>
      <w:pPr>
        <w:ind w:left="777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19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9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90">
    <w:multiLevelType w:val="hybridMultilevel"/>
    <w:lvl w:ilvl="0">
      <w:start w:val="15"/>
      <w:numFmt w:val="upperLetter"/>
      <w:lvlText w:val="%1."/>
      <w:lvlJc w:val="left"/>
      <w:pPr>
        <w:ind w:left="1220" w:hanging="720"/>
        <w:jc w:val="left"/>
      </w:pPr>
      <w:rPr>
        <w:rFonts w:hint="default"/>
        <w:b/>
        <w:bCs/>
        <w:spacing w:val="-1"/>
        <w:w w:val="99"/>
        <w:lang w:val="en-US" w:eastAsia="en-US" w:bidi="ar-SA"/>
      </w:rPr>
    </w:lvl>
    <w:lvl w:ilvl="1">
      <w:start w:val="1"/>
      <w:numFmt w:val="decimal"/>
      <w:lvlText w:val="%1.%2"/>
      <w:lvlJc w:val="left"/>
      <w:pPr>
        <w:ind w:left="1220" w:hanging="720"/>
        <w:jc w:val="left"/>
      </w:pPr>
      <w:rPr>
        <w:rFonts w:hint="default"/>
        <w:b/>
        <w:bCs/>
        <w:spacing w:val="-1"/>
        <w:w w:val="99"/>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8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8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87">
    <w:multiLevelType w:val="hybridMultilevel"/>
    <w:lvl w:ilvl="0">
      <w:start w:val="5"/>
      <w:numFmt w:val="decimal"/>
      <w:lvlText w:val="(%1)"/>
      <w:lvlJc w:val="left"/>
      <w:pPr>
        <w:ind w:left="500" w:hanging="272"/>
        <w:jc w:val="left"/>
      </w:pPr>
      <w:rPr>
        <w:rFonts w:hint="default" w:ascii="Arial" w:hAnsi="Arial" w:eastAsia="Arial" w:cs="Arial"/>
        <w:spacing w:val="-3"/>
        <w:w w:val="99"/>
        <w:sz w:val="18"/>
        <w:szCs w:val="18"/>
        <w:lang w:val="en-US" w:eastAsia="en-US" w:bidi="ar-SA"/>
      </w:rPr>
    </w:lvl>
    <w:lvl w:ilvl="1">
      <w:start w:val="0"/>
      <w:numFmt w:val="bullet"/>
      <w:lvlText w:val="•"/>
      <w:lvlJc w:val="left"/>
      <w:pPr>
        <w:ind w:left="1920" w:hanging="272"/>
      </w:pPr>
      <w:rPr>
        <w:rFonts w:hint="default"/>
        <w:lang w:val="en-US" w:eastAsia="en-US" w:bidi="ar-SA"/>
      </w:rPr>
    </w:lvl>
    <w:lvl w:ilvl="2">
      <w:start w:val="0"/>
      <w:numFmt w:val="bullet"/>
      <w:lvlText w:val="•"/>
      <w:lvlJc w:val="left"/>
      <w:pPr>
        <w:ind w:left="2814" w:hanging="272"/>
      </w:pPr>
      <w:rPr>
        <w:rFonts w:hint="default"/>
        <w:lang w:val="en-US" w:eastAsia="en-US" w:bidi="ar-SA"/>
      </w:rPr>
    </w:lvl>
    <w:lvl w:ilvl="3">
      <w:start w:val="0"/>
      <w:numFmt w:val="bullet"/>
      <w:lvlText w:val="•"/>
      <w:lvlJc w:val="left"/>
      <w:pPr>
        <w:ind w:left="3708" w:hanging="272"/>
      </w:pPr>
      <w:rPr>
        <w:rFonts w:hint="default"/>
        <w:lang w:val="en-US" w:eastAsia="en-US" w:bidi="ar-SA"/>
      </w:rPr>
    </w:lvl>
    <w:lvl w:ilvl="4">
      <w:start w:val="0"/>
      <w:numFmt w:val="bullet"/>
      <w:lvlText w:val="•"/>
      <w:lvlJc w:val="left"/>
      <w:pPr>
        <w:ind w:left="4602" w:hanging="272"/>
      </w:pPr>
      <w:rPr>
        <w:rFonts w:hint="default"/>
        <w:lang w:val="en-US" w:eastAsia="en-US" w:bidi="ar-SA"/>
      </w:rPr>
    </w:lvl>
    <w:lvl w:ilvl="5">
      <w:start w:val="0"/>
      <w:numFmt w:val="bullet"/>
      <w:lvlText w:val="•"/>
      <w:lvlJc w:val="left"/>
      <w:pPr>
        <w:ind w:left="5496" w:hanging="272"/>
      </w:pPr>
      <w:rPr>
        <w:rFonts w:hint="default"/>
        <w:lang w:val="en-US" w:eastAsia="en-US" w:bidi="ar-SA"/>
      </w:rPr>
    </w:lvl>
    <w:lvl w:ilvl="6">
      <w:start w:val="0"/>
      <w:numFmt w:val="bullet"/>
      <w:lvlText w:val="•"/>
      <w:lvlJc w:val="left"/>
      <w:pPr>
        <w:ind w:left="6390" w:hanging="272"/>
      </w:pPr>
      <w:rPr>
        <w:rFonts w:hint="default"/>
        <w:lang w:val="en-US" w:eastAsia="en-US" w:bidi="ar-SA"/>
      </w:rPr>
    </w:lvl>
    <w:lvl w:ilvl="7">
      <w:start w:val="0"/>
      <w:numFmt w:val="bullet"/>
      <w:lvlText w:val="•"/>
      <w:lvlJc w:val="left"/>
      <w:pPr>
        <w:ind w:left="7284" w:hanging="272"/>
      </w:pPr>
      <w:rPr>
        <w:rFonts w:hint="default"/>
        <w:lang w:val="en-US" w:eastAsia="en-US" w:bidi="ar-SA"/>
      </w:rPr>
    </w:lvl>
    <w:lvl w:ilvl="8">
      <w:start w:val="0"/>
      <w:numFmt w:val="bullet"/>
      <w:lvlText w:val="•"/>
      <w:lvlJc w:val="left"/>
      <w:pPr>
        <w:ind w:left="8178" w:hanging="272"/>
      </w:pPr>
      <w:rPr>
        <w:rFonts w:hint="default"/>
        <w:lang w:val="en-US" w:eastAsia="en-US" w:bidi="ar-SA"/>
      </w:rPr>
    </w:lvl>
  </w:abstractNum>
  <w:abstractNum w:abstractNumId="186">
    <w:multiLevelType w:val="hybridMultilevel"/>
    <w:lvl w:ilvl="0">
      <w:start w:val="2"/>
      <w:numFmt w:val="decimal"/>
      <w:lvlText w:val="(%1)"/>
      <w:lvlJc w:val="left"/>
      <w:pPr>
        <w:ind w:left="500" w:hanging="272"/>
        <w:jc w:val="left"/>
      </w:pPr>
      <w:rPr>
        <w:rFonts w:hint="default" w:ascii="Arial" w:hAnsi="Arial" w:eastAsia="Arial" w:cs="Arial"/>
        <w:spacing w:val="-25"/>
        <w:w w:val="99"/>
        <w:sz w:val="18"/>
        <w:szCs w:val="18"/>
        <w:lang w:val="en-US" w:eastAsia="en-US" w:bidi="ar-SA"/>
      </w:rPr>
    </w:lvl>
    <w:lvl w:ilvl="1">
      <w:start w:val="0"/>
      <w:numFmt w:val="bullet"/>
      <w:lvlText w:val="•"/>
      <w:lvlJc w:val="left"/>
      <w:pPr>
        <w:ind w:left="1446" w:hanging="272"/>
      </w:pPr>
      <w:rPr>
        <w:rFonts w:hint="default"/>
        <w:lang w:val="en-US" w:eastAsia="en-US" w:bidi="ar-SA"/>
      </w:rPr>
    </w:lvl>
    <w:lvl w:ilvl="2">
      <w:start w:val="0"/>
      <w:numFmt w:val="bullet"/>
      <w:lvlText w:val="•"/>
      <w:lvlJc w:val="left"/>
      <w:pPr>
        <w:ind w:left="2393" w:hanging="272"/>
      </w:pPr>
      <w:rPr>
        <w:rFonts w:hint="default"/>
        <w:lang w:val="en-US" w:eastAsia="en-US" w:bidi="ar-SA"/>
      </w:rPr>
    </w:lvl>
    <w:lvl w:ilvl="3">
      <w:start w:val="0"/>
      <w:numFmt w:val="bullet"/>
      <w:lvlText w:val="•"/>
      <w:lvlJc w:val="left"/>
      <w:pPr>
        <w:ind w:left="3339" w:hanging="272"/>
      </w:pPr>
      <w:rPr>
        <w:rFonts w:hint="default"/>
        <w:lang w:val="en-US" w:eastAsia="en-US" w:bidi="ar-SA"/>
      </w:rPr>
    </w:lvl>
    <w:lvl w:ilvl="4">
      <w:start w:val="0"/>
      <w:numFmt w:val="bullet"/>
      <w:lvlText w:val="•"/>
      <w:lvlJc w:val="left"/>
      <w:pPr>
        <w:ind w:left="4286" w:hanging="272"/>
      </w:pPr>
      <w:rPr>
        <w:rFonts w:hint="default"/>
        <w:lang w:val="en-US" w:eastAsia="en-US" w:bidi="ar-SA"/>
      </w:rPr>
    </w:lvl>
    <w:lvl w:ilvl="5">
      <w:start w:val="0"/>
      <w:numFmt w:val="bullet"/>
      <w:lvlText w:val="•"/>
      <w:lvlJc w:val="left"/>
      <w:pPr>
        <w:ind w:left="5233" w:hanging="272"/>
      </w:pPr>
      <w:rPr>
        <w:rFonts w:hint="default"/>
        <w:lang w:val="en-US" w:eastAsia="en-US" w:bidi="ar-SA"/>
      </w:rPr>
    </w:lvl>
    <w:lvl w:ilvl="6">
      <w:start w:val="0"/>
      <w:numFmt w:val="bullet"/>
      <w:lvlText w:val="•"/>
      <w:lvlJc w:val="left"/>
      <w:pPr>
        <w:ind w:left="6179" w:hanging="272"/>
      </w:pPr>
      <w:rPr>
        <w:rFonts w:hint="default"/>
        <w:lang w:val="en-US" w:eastAsia="en-US" w:bidi="ar-SA"/>
      </w:rPr>
    </w:lvl>
    <w:lvl w:ilvl="7">
      <w:start w:val="0"/>
      <w:numFmt w:val="bullet"/>
      <w:lvlText w:val="•"/>
      <w:lvlJc w:val="left"/>
      <w:pPr>
        <w:ind w:left="7126" w:hanging="272"/>
      </w:pPr>
      <w:rPr>
        <w:rFonts w:hint="default"/>
        <w:lang w:val="en-US" w:eastAsia="en-US" w:bidi="ar-SA"/>
      </w:rPr>
    </w:lvl>
    <w:lvl w:ilvl="8">
      <w:start w:val="0"/>
      <w:numFmt w:val="bullet"/>
      <w:lvlText w:val="•"/>
      <w:lvlJc w:val="left"/>
      <w:pPr>
        <w:ind w:left="8073" w:hanging="272"/>
      </w:pPr>
      <w:rPr>
        <w:rFonts w:hint="default"/>
        <w:lang w:val="en-US" w:eastAsia="en-US" w:bidi="ar-SA"/>
      </w:rPr>
    </w:lvl>
  </w:abstractNum>
  <w:abstractNum w:abstractNumId="18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8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8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8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8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8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79">
    <w:multiLevelType w:val="hybridMultilevel"/>
    <w:lvl w:ilvl="0">
      <w:start w:val="1"/>
      <w:numFmt w:val="lowerRoman"/>
      <w:lvlText w:val="(%1)"/>
      <w:lvlJc w:val="left"/>
      <w:pPr>
        <w:ind w:left="2660" w:hanging="720"/>
        <w:jc w:val="left"/>
      </w:pPr>
      <w:rPr>
        <w:rFonts w:hint="default" w:ascii="Arial" w:hAnsi="Arial" w:eastAsia="Arial" w:cs="Arial"/>
        <w:w w:val="99"/>
        <w:sz w:val="25"/>
        <w:szCs w:val="25"/>
        <w:lang w:val="en-US" w:eastAsia="en-US" w:bidi="ar-SA"/>
      </w:rPr>
    </w:lvl>
    <w:lvl w:ilvl="1">
      <w:start w:val="0"/>
      <w:numFmt w:val="bullet"/>
      <w:lvlText w:val="•"/>
      <w:lvlJc w:val="left"/>
      <w:pPr>
        <w:ind w:left="3390" w:hanging="720"/>
      </w:pPr>
      <w:rPr>
        <w:rFonts w:hint="default"/>
        <w:lang w:val="en-US" w:eastAsia="en-US" w:bidi="ar-SA"/>
      </w:rPr>
    </w:lvl>
    <w:lvl w:ilvl="2">
      <w:start w:val="0"/>
      <w:numFmt w:val="bullet"/>
      <w:lvlText w:val="•"/>
      <w:lvlJc w:val="left"/>
      <w:pPr>
        <w:ind w:left="4121" w:hanging="720"/>
      </w:pPr>
      <w:rPr>
        <w:rFonts w:hint="default"/>
        <w:lang w:val="en-US" w:eastAsia="en-US" w:bidi="ar-SA"/>
      </w:rPr>
    </w:lvl>
    <w:lvl w:ilvl="3">
      <w:start w:val="0"/>
      <w:numFmt w:val="bullet"/>
      <w:lvlText w:val="•"/>
      <w:lvlJc w:val="left"/>
      <w:pPr>
        <w:ind w:left="4851" w:hanging="720"/>
      </w:pPr>
      <w:rPr>
        <w:rFonts w:hint="default"/>
        <w:lang w:val="en-US" w:eastAsia="en-US" w:bidi="ar-SA"/>
      </w:rPr>
    </w:lvl>
    <w:lvl w:ilvl="4">
      <w:start w:val="0"/>
      <w:numFmt w:val="bullet"/>
      <w:lvlText w:val="•"/>
      <w:lvlJc w:val="left"/>
      <w:pPr>
        <w:ind w:left="5582" w:hanging="720"/>
      </w:pPr>
      <w:rPr>
        <w:rFonts w:hint="default"/>
        <w:lang w:val="en-US" w:eastAsia="en-US" w:bidi="ar-SA"/>
      </w:rPr>
    </w:lvl>
    <w:lvl w:ilvl="5">
      <w:start w:val="0"/>
      <w:numFmt w:val="bullet"/>
      <w:lvlText w:val="•"/>
      <w:lvlJc w:val="left"/>
      <w:pPr>
        <w:ind w:left="6313" w:hanging="720"/>
      </w:pPr>
      <w:rPr>
        <w:rFonts w:hint="default"/>
        <w:lang w:val="en-US" w:eastAsia="en-US" w:bidi="ar-SA"/>
      </w:rPr>
    </w:lvl>
    <w:lvl w:ilvl="6">
      <w:start w:val="0"/>
      <w:numFmt w:val="bullet"/>
      <w:lvlText w:val="•"/>
      <w:lvlJc w:val="left"/>
      <w:pPr>
        <w:ind w:left="7043" w:hanging="720"/>
      </w:pPr>
      <w:rPr>
        <w:rFonts w:hint="default"/>
        <w:lang w:val="en-US" w:eastAsia="en-US" w:bidi="ar-SA"/>
      </w:rPr>
    </w:lvl>
    <w:lvl w:ilvl="7">
      <w:start w:val="0"/>
      <w:numFmt w:val="bullet"/>
      <w:lvlText w:val="•"/>
      <w:lvlJc w:val="left"/>
      <w:pPr>
        <w:ind w:left="7774" w:hanging="720"/>
      </w:pPr>
      <w:rPr>
        <w:rFonts w:hint="default"/>
        <w:lang w:val="en-US" w:eastAsia="en-US" w:bidi="ar-SA"/>
      </w:rPr>
    </w:lvl>
    <w:lvl w:ilvl="8">
      <w:start w:val="0"/>
      <w:numFmt w:val="bullet"/>
      <w:lvlText w:val="•"/>
      <w:lvlJc w:val="left"/>
      <w:pPr>
        <w:ind w:left="8505" w:hanging="720"/>
      </w:pPr>
      <w:rPr>
        <w:rFonts w:hint="default"/>
        <w:lang w:val="en-US" w:eastAsia="en-US" w:bidi="ar-SA"/>
      </w:rPr>
    </w:lvl>
  </w:abstractNum>
  <w:abstractNum w:abstractNumId="17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77">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7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7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17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Roman"/>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17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491" w:hanging="360"/>
        <w:jc w:val="left"/>
      </w:pPr>
      <w:rPr>
        <w:rFonts w:hint="default" w:ascii="Arial" w:hAnsi="Arial" w:eastAsia="Arial" w:cs="Arial"/>
        <w:w w:val="99"/>
        <w:sz w:val="25"/>
        <w:szCs w:val="25"/>
        <w:lang w:val="en-US" w:eastAsia="en-US" w:bidi="ar-SA"/>
      </w:rPr>
    </w:lvl>
    <w:lvl w:ilvl="2">
      <w:start w:val="0"/>
      <w:numFmt w:val="bullet"/>
      <w:lvlText w:val="•"/>
      <w:lvlJc w:val="left"/>
      <w:pPr>
        <w:ind w:left="2440" w:hanging="360"/>
      </w:pPr>
      <w:rPr>
        <w:rFonts w:hint="default"/>
        <w:lang w:val="en-US" w:eastAsia="en-US" w:bidi="ar-SA"/>
      </w:rPr>
    </w:lvl>
    <w:lvl w:ilvl="3">
      <w:start w:val="0"/>
      <w:numFmt w:val="bullet"/>
      <w:lvlText w:val="•"/>
      <w:lvlJc w:val="left"/>
      <w:pPr>
        <w:ind w:left="3381" w:hanging="360"/>
      </w:pPr>
      <w:rPr>
        <w:rFonts w:hint="default"/>
        <w:lang w:val="en-US" w:eastAsia="en-US" w:bidi="ar-SA"/>
      </w:rPr>
    </w:lvl>
    <w:lvl w:ilvl="4">
      <w:start w:val="0"/>
      <w:numFmt w:val="bullet"/>
      <w:lvlText w:val="•"/>
      <w:lvlJc w:val="left"/>
      <w:pPr>
        <w:ind w:left="4322" w:hanging="360"/>
      </w:pPr>
      <w:rPr>
        <w:rFonts w:hint="default"/>
        <w:lang w:val="en-US" w:eastAsia="en-US" w:bidi="ar-SA"/>
      </w:rPr>
    </w:lvl>
    <w:lvl w:ilvl="5">
      <w:start w:val="0"/>
      <w:numFmt w:val="bullet"/>
      <w:lvlText w:val="•"/>
      <w:lvlJc w:val="left"/>
      <w:pPr>
        <w:ind w:left="5262" w:hanging="360"/>
      </w:pPr>
      <w:rPr>
        <w:rFonts w:hint="default"/>
        <w:lang w:val="en-US" w:eastAsia="en-US" w:bidi="ar-SA"/>
      </w:rPr>
    </w:lvl>
    <w:lvl w:ilvl="6">
      <w:start w:val="0"/>
      <w:numFmt w:val="bullet"/>
      <w:lvlText w:val="•"/>
      <w:lvlJc w:val="left"/>
      <w:pPr>
        <w:ind w:left="6203" w:hanging="360"/>
      </w:pPr>
      <w:rPr>
        <w:rFonts w:hint="default"/>
        <w:lang w:val="en-US" w:eastAsia="en-US" w:bidi="ar-SA"/>
      </w:rPr>
    </w:lvl>
    <w:lvl w:ilvl="7">
      <w:start w:val="0"/>
      <w:numFmt w:val="bullet"/>
      <w:lvlText w:val="•"/>
      <w:lvlJc w:val="left"/>
      <w:pPr>
        <w:ind w:left="7144" w:hanging="360"/>
      </w:pPr>
      <w:rPr>
        <w:rFonts w:hint="default"/>
        <w:lang w:val="en-US" w:eastAsia="en-US" w:bidi="ar-SA"/>
      </w:rPr>
    </w:lvl>
    <w:lvl w:ilvl="8">
      <w:start w:val="0"/>
      <w:numFmt w:val="bullet"/>
      <w:lvlText w:val="•"/>
      <w:lvlJc w:val="left"/>
      <w:pPr>
        <w:ind w:left="8084" w:hanging="360"/>
      </w:pPr>
      <w:rPr>
        <w:rFonts w:hint="default"/>
        <w:lang w:val="en-US" w:eastAsia="en-US" w:bidi="ar-SA"/>
      </w:rPr>
    </w:lvl>
  </w:abstractNum>
  <w:abstractNum w:abstractNumId="17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71">
    <w:multiLevelType w:val="hybridMultilevel"/>
    <w:lvl w:ilvl="0">
      <w:start w:val="2"/>
      <w:numFmt w:val="lowerLetter"/>
      <w:lvlText w:val="(%1)"/>
      <w:lvlJc w:val="left"/>
      <w:pPr>
        <w:ind w:left="1940" w:hanging="720"/>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720"/>
      </w:pPr>
      <w:rPr>
        <w:rFonts w:hint="default"/>
        <w:lang w:val="en-US" w:eastAsia="en-US" w:bidi="ar-SA"/>
      </w:rPr>
    </w:lvl>
    <w:lvl w:ilvl="2">
      <w:start w:val="0"/>
      <w:numFmt w:val="bullet"/>
      <w:lvlText w:val="•"/>
      <w:lvlJc w:val="left"/>
      <w:pPr>
        <w:ind w:left="3545" w:hanging="720"/>
      </w:pPr>
      <w:rPr>
        <w:rFonts w:hint="default"/>
        <w:lang w:val="en-US" w:eastAsia="en-US" w:bidi="ar-SA"/>
      </w:rPr>
    </w:lvl>
    <w:lvl w:ilvl="3">
      <w:start w:val="0"/>
      <w:numFmt w:val="bullet"/>
      <w:lvlText w:val="•"/>
      <w:lvlJc w:val="left"/>
      <w:pPr>
        <w:ind w:left="4347" w:hanging="720"/>
      </w:pPr>
      <w:rPr>
        <w:rFonts w:hint="default"/>
        <w:lang w:val="en-US" w:eastAsia="en-US" w:bidi="ar-SA"/>
      </w:rPr>
    </w:lvl>
    <w:lvl w:ilvl="4">
      <w:start w:val="0"/>
      <w:numFmt w:val="bullet"/>
      <w:lvlText w:val="•"/>
      <w:lvlJc w:val="left"/>
      <w:pPr>
        <w:ind w:left="5150" w:hanging="720"/>
      </w:pPr>
      <w:rPr>
        <w:rFonts w:hint="default"/>
        <w:lang w:val="en-US" w:eastAsia="en-US" w:bidi="ar-SA"/>
      </w:rPr>
    </w:lvl>
    <w:lvl w:ilvl="5">
      <w:start w:val="0"/>
      <w:numFmt w:val="bullet"/>
      <w:lvlText w:val="•"/>
      <w:lvlJc w:val="left"/>
      <w:pPr>
        <w:ind w:left="5953" w:hanging="720"/>
      </w:pPr>
      <w:rPr>
        <w:rFonts w:hint="default"/>
        <w:lang w:val="en-US" w:eastAsia="en-US" w:bidi="ar-SA"/>
      </w:rPr>
    </w:lvl>
    <w:lvl w:ilvl="6">
      <w:start w:val="0"/>
      <w:numFmt w:val="bullet"/>
      <w:lvlText w:val="•"/>
      <w:lvlJc w:val="left"/>
      <w:pPr>
        <w:ind w:left="6755" w:hanging="720"/>
      </w:pPr>
      <w:rPr>
        <w:rFonts w:hint="default"/>
        <w:lang w:val="en-US" w:eastAsia="en-US" w:bidi="ar-SA"/>
      </w:rPr>
    </w:lvl>
    <w:lvl w:ilvl="7">
      <w:start w:val="0"/>
      <w:numFmt w:val="bullet"/>
      <w:lvlText w:val="•"/>
      <w:lvlJc w:val="left"/>
      <w:pPr>
        <w:ind w:left="7558" w:hanging="720"/>
      </w:pPr>
      <w:rPr>
        <w:rFonts w:hint="default"/>
        <w:lang w:val="en-US" w:eastAsia="en-US" w:bidi="ar-SA"/>
      </w:rPr>
    </w:lvl>
    <w:lvl w:ilvl="8">
      <w:start w:val="0"/>
      <w:numFmt w:val="bullet"/>
      <w:lvlText w:val="•"/>
      <w:lvlJc w:val="left"/>
      <w:pPr>
        <w:ind w:left="8361" w:hanging="720"/>
      </w:pPr>
      <w:rPr>
        <w:rFonts w:hint="default"/>
        <w:lang w:val="en-US" w:eastAsia="en-US" w:bidi="ar-SA"/>
      </w:rPr>
    </w:lvl>
  </w:abstractNum>
  <w:abstractNum w:abstractNumId="17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69">
    <w:multiLevelType w:val="hybridMultilevel"/>
    <w:lvl w:ilvl="0">
      <w:start w:val="1"/>
      <w:numFmt w:val="upperRoman"/>
      <w:lvlText w:val="%1."/>
      <w:lvlJc w:val="left"/>
      <w:pPr>
        <w:ind w:left="709" w:hanging="209"/>
        <w:jc w:val="left"/>
      </w:pPr>
      <w:rPr>
        <w:rFonts w:hint="default" w:ascii="Arial" w:hAnsi="Arial" w:eastAsia="Arial" w:cs="Arial"/>
        <w:w w:val="99"/>
        <w:sz w:val="25"/>
        <w:szCs w:val="25"/>
        <w:lang w:val="en-US" w:eastAsia="en-US" w:bidi="ar-SA"/>
      </w:rPr>
    </w:lvl>
    <w:lvl w:ilvl="1">
      <w:start w:val="1"/>
      <w:numFmt w:val="lowerRoman"/>
      <w:lvlText w:val="%2."/>
      <w:lvlJc w:val="left"/>
      <w:pPr>
        <w:ind w:left="1940" w:hanging="720"/>
        <w:jc w:val="left"/>
      </w:pPr>
      <w:rPr>
        <w:rFonts w:hint="default" w:ascii="Arial" w:hAnsi="Arial" w:eastAsia="Arial" w:cs="Arial"/>
        <w:spacing w:val="-1"/>
        <w:w w:val="99"/>
        <w:sz w:val="25"/>
        <w:szCs w:val="25"/>
        <w:lang w:val="en-US" w:eastAsia="en-US" w:bidi="ar-SA"/>
      </w:rPr>
    </w:lvl>
    <w:lvl w:ilvl="2">
      <w:start w:val="2"/>
      <w:numFmt w:val="lowerRoman"/>
      <w:lvlText w:val="%3."/>
      <w:lvlJc w:val="left"/>
      <w:pPr>
        <w:ind w:left="1940" w:hanging="276"/>
        <w:jc w:val="left"/>
      </w:pPr>
      <w:rPr>
        <w:rFonts w:hint="default" w:ascii="Arial" w:hAnsi="Arial" w:eastAsia="Arial" w:cs="Arial"/>
        <w:w w:val="100"/>
        <w:sz w:val="21"/>
        <w:szCs w:val="21"/>
        <w:lang w:val="en-US" w:eastAsia="en-US" w:bidi="ar-SA"/>
      </w:rPr>
    </w:lvl>
    <w:lvl w:ilvl="3">
      <w:start w:val="0"/>
      <w:numFmt w:val="bullet"/>
      <w:lvlText w:val="•"/>
      <w:lvlJc w:val="left"/>
      <w:pPr>
        <w:ind w:left="2943" w:hanging="276"/>
      </w:pPr>
      <w:rPr>
        <w:rFonts w:hint="default"/>
        <w:lang w:val="en-US" w:eastAsia="en-US" w:bidi="ar-SA"/>
      </w:rPr>
    </w:lvl>
    <w:lvl w:ilvl="4">
      <w:start w:val="0"/>
      <w:numFmt w:val="bullet"/>
      <w:lvlText w:val="•"/>
      <w:lvlJc w:val="left"/>
      <w:pPr>
        <w:ind w:left="3946" w:hanging="276"/>
      </w:pPr>
      <w:rPr>
        <w:rFonts w:hint="default"/>
        <w:lang w:val="en-US" w:eastAsia="en-US" w:bidi="ar-SA"/>
      </w:rPr>
    </w:lvl>
    <w:lvl w:ilvl="5">
      <w:start w:val="0"/>
      <w:numFmt w:val="bullet"/>
      <w:lvlText w:val="•"/>
      <w:lvlJc w:val="left"/>
      <w:pPr>
        <w:ind w:left="4949" w:hanging="276"/>
      </w:pPr>
      <w:rPr>
        <w:rFonts w:hint="default"/>
        <w:lang w:val="en-US" w:eastAsia="en-US" w:bidi="ar-SA"/>
      </w:rPr>
    </w:lvl>
    <w:lvl w:ilvl="6">
      <w:start w:val="0"/>
      <w:numFmt w:val="bullet"/>
      <w:lvlText w:val="•"/>
      <w:lvlJc w:val="left"/>
      <w:pPr>
        <w:ind w:left="5953" w:hanging="276"/>
      </w:pPr>
      <w:rPr>
        <w:rFonts w:hint="default"/>
        <w:lang w:val="en-US" w:eastAsia="en-US" w:bidi="ar-SA"/>
      </w:rPr>
    </w:lvl>
    <w:lvl w:ilvl="7">
      <w:start w:val="0"/>
      <w:numFmt w:val="bullet"/>
      <w:lvlText w:val="•"/>
      <w:lvlJc w:val="left"/>
      <w:pPr>
        <w:ind w:left="6956" w:hanging="276"/>
      </w:pPr>
      <w:rPr>
        <w:rFonts w:hint="default"/>
        <w:lang w:val="en-US" w:eastAsia="en-US" w:bidi="ar-SA"/>
      </w:rPr>
    </w:lvl>
    <w:lvl w:ilvl="8">
      <w:start w:val="0"/>
      <w:numFmt w:val="bullet"/>
      <w:lvlText w:val="•"/>
      <w:lvlJc w:val="left"/>
      <w:pPr>
        <w:ind w:left="7959" w:hanging="276"/>
      </w:pPr>
      <w:rPr>
        <w:rFonts w:hint="default"/>
        <w:lang w:val="en-US" w:eastAsia="en-US" w:bidi="ar-SA"/>
      </w:rPr>
    </w:lvl>
  </w:abstractNum>
  <w:abstractNum w:abstractNumId="16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67">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6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2"/>
      <w:numFmt w:val="lowerRoman"/>
      <w:lvlText w:val="(%2)"/>
      <w:lvlJc w:val="left"/>
      <w:pPr>
        <w:ind w:left="1940" w:hanging="307"/>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2831" w:hanging="307"/>
      </w:pPr>
      <w:rPr>
        <w:rFonts w:hint="default"/>
        <w:lang w:val="en-US" w:eastAsia="en-US" w:bidi="ar-SA"/>
      </w:rPr>
    </w:lvl>
    <w:lvl w:ilvl="3">
      <w:start w:val="0"/>
      <w:numFmt w:val="bullet"/>
      <w:lvlText w:val="•"/>
      <w:lvlJc w:val="left"/>
      <w:pPr>
        <w:ind w:left="3723" w:hanging="307"/>
      </w:pPr>
      <w:rPr>
        <w:rFonts w:hint="default"/>
        <w:lang w:val="en-US" w:eastAsia="en-US" w:bidi="ar-SA"/>
      </w:rPr>
    </w:lvl>
    <w:lvl w:ilvl="4">
      <w:start w:val="0"/>
      <w:numFmt w:val="bullet"/>
      <w:lvlText w:val="•"/>
      <w:lvlJc w:val="left"/>
      <w:pPr>
        <w:ind w:left="4615" w:hanging="307"/>
      </w:pPr>
      <w:rPr>
        <w:rFonts w:hint="default"/>
        <w:lang w:val="en-US" w:eastAsia="en-US" w:bidi="ar-SA"/>
      </w:rPr>
    </w:lvl>
    <w:lvl w:ilvl="5">
      <w:start w:val="0"/>
      <w:numFmt w:val="bullet"/>
      <w:lvlText w:val="•"/>
      <w:lvlJc w:val="left"/>
      <w:pPr>
        <w:ind w:left="5507" w:hanging="307"/>
      </w:pPr>
      <w:rPr>
        <w:rFonts w:hint="default"/>
        <w:lang w:val="en-US" w:eastAsia="en-US" w:bidi="ar-SA"/>
      </w:rPr>
    </w:lvl>
    <w:lvl w:ilvl="6">
      <w:start w:val="0"/>
      <w:numFmt w:val="bullet"/>
      <w:lvlText w:val="•"/>
      <w:lvlJc w:val="left"/>
      <w:pPr>
        <w:ind w:left="6399" w:hanging="307"/>
      </w:pPr>
      <w:rPr>
        <w:rFonts w:hint="default"/>
        <w:lang w:val="en-US" w:eastAsia="en-US" w:bidi="ar-SA"/>
      </w:rPr>
    </w:lvl>
    <w:lvl w:ilvl="7">
      <w:start w:val="0"/>
      <w:numFmt w:val="bullet"/>
      <w:lvlText w:val="•"/>
      <w:lvlJc w:val="left"/>
      <w:pPr>
        <w:ind w:left="7290" w:hanging="307"/>
      </w:pPr>
      <w:rPr>
        <w:rFonts w:hint="default"/>
        <w:lang w:val="en-US" w:eastAsia="en-US" w:bidi="ar-SA"/>
      </w:rPr>
    </w:lvl>
    <w:lvl w:ilvl="8">
      <w:start w:val="0"/>
      <w:numFmt w:val="bullet"/>
      <w:lvlText w:val="•"/>
      <w:lvlJc w:val="left"/>
      <w:pPr>
        <w:ind w:left="8182" w:hanging="307"/>
      </w:pPr>
      <w:rPr>
        <w:rFonts w:hint="default"/>
        <w:lang w:val="en-US" w:eastAsia="en-US" w:bidi="ar-SA"/>
      </w:rPr>
    </w:lvl>
  </w:abstractNum>
  <w:abstractNum w:abstractNumId="165">
    <w:multiLevelType w:val="hybridMultilevel"/>
    <w:lvl w:ilvl="0">
      <w:start w:val="500"/>
      <w:numFmt w:val="decimal"/>
      <w:lvlText w:val="%1."/>
      <w:lvlJc w:val="left"/>
      <w:pPr>
        <w:ind w:left="500" w:hanging="720"/>
        <w:jc w:val="left"/>
      </w:pPr>
      <w:rPr>
        <w:rFonts w:hint="default" w:ascii="Arial" w:hAnsi="Arial" w:eastAsia="Arial" w:cs="Arial"/>
        <w:w w:val="99"/>
        <w:sz w:val="25"/>
        <w:szCs w:val="25"/>
        <w:lang w:val="en-US" w:eastAsia="en-US" w:bidi="ar-SA"/>
      </w:rPr>
    </w:lvl>
    <w:lvl w:ilvl="1">
      <w:start w:val="1"/>
      <w:numFmt w:val="upperLetter"/>
      <w:lvlText w:val="%2."/>
      <w:lvlJc w:val="left"/>
      <w:pPr>
        <w:ind w:left="1220" w:hanging="629"/>
        <w:jc w:val="left"/>
      </w:pPr>
      <w:rPr>
        <w:rFonts w:hint="default" w:ascii="Arial" w:hAnsi="Arial" w:eastAsia="Arial" w:cs="Arial"/>
        <w:spacing w:val="-1"/>
        <w:w w:val="99"/>
        <w:sz w:val="25"/>
        <w:szCs w:val="25"/>
        <w:lang w:val="en-US" w:eastAsia="en-US" w:bidi="ar-SA"/>
      </w:rPr>
    </w:lvl>
    <w:lvl w:ilvl="2">
      <w:start w:val="0"/>
      <w:numFmt w:val="bullet"/>
      <w:lvlText w:val="•"/>
      <w:lvlJc w:val="left"/>
      <w:pPr>
        <w:ind w:left="2191" w:hanging="629"/>
      </w:pPr>
      <w:rPr>
        <w:rFonts w:hint="default"/>
        <w:lang w:val="en-US" w:eastAsia="en-US" w:bidi="ar-SA"/>
      </w:rPr>
    </w:lvl>
    <w:lvl w:ilvl="3">
      <w:start w:val="0"/>
      <w:numFmt w:val="bullet"/>
      <w:lvlText w:val="•"/>
      <w:lvlJc w:val="left"/>
      <w:pPr>
        <w:ind w:left="3163" w:hanging="629"/>
      </w:pPr>
      <w:rPr>
        <w:rFonts w:hint="default"/>
        <w:lang w:val="en-US" w:eastAsia="en-US" w:bidi="ar-SA"/>
      </w:rPr>
    </w:lvl>
    <w:lvl w:ilvl="4">
      <w:start w:val="0"/>
      <w:numFmt w:val="bullet"/>
      <w:lvlText w:val="•"/>
      <w:lvlJc w:val="left"/>
      <w:pPr>
        <w:ind w:left="4135" w:hanging="629"/>
      </w:pPr>
      <w:rPr>
        <w:rFonts w:hint="default"/>
        <w:lang w:val="en-US" w:eastAsia="en-US" w:bidi="ar-SA"/>
      </w:rPr>
    </w:lvl>
    <w:lvl w:ilvl="5">
      <w:start w:val="0"/>
      <w:numFmt w:val="bullet"/>
      <w:lvlText w:val="•"/>
      <w:lvlJc w:val="left"/>
      <w:pPr>
        <w:ind w:left="5107" w:hanging="629"/>
      </w:pPr>
      <w:rPr>
        <w:rFonts w:hint="default"/>
        <w:lang w:val="en-US" w:eastAsia="en-US" w:bidi="ar-SA"/>
      </w:rPr>
    </w:lvl>
    <w:lvl w:ilvl="6">
      <w:start w:val="0"/>
      <w:numFmt w:val="bullet"/>
      <w:lvlText w:val="•"/>
      <w:lvlJc w:val="left"/>
      <w:pPr>
        <w:ind w:left="6079" w:hanging="629"/>
      </w:pPr>
      <w:rPr>
        <w:rFonts w:hint="default"/>
        <w:lang w:val="en-US" w:eastAsia="en-US" w:bidi="ar-SA"/>
      </w:rPr>
    </w:lvl>
    <w:lvl w:ilvl="7">
      <w:start w:val="0"/>
      <w:numFmt w:val="bullet"/>
      <w:lvlText w:val="•"/>
      <w:lvlJc w:val="left"/>
      <w:pPr>
        <w:ind w:left="7050" w:hanging="629"/>
      </w:pPr>
      <w:rPr>
        <w:rFonts w:hint="default"/>
        <w:lang w:val="en-US" w:eastAsia="en-US" w:bidi="ar-SA"/>
      </w:rPr>
    </w:lvl>
    <w:lvl w:ilvl="8">
      <w:start w:val="0"/>
      <w:numFmt w:val="bullet"/>
      <w:lvlText w:val="•"/>
      <w:lvlJc w:val="left"/>
      <w:pPr>
        <w:ind w:left="8022" w:hanging="629"/>
      </w:pPr>
      <w:rPr>
        <w:rFonts w:hint="default"/>
        <w:lang w:val="en-US" w:eastAsia="en-US" w:bidi="ar-SA"/>
      </w:rPr>
    </w:lvl>
  </w:abstractNum>
  <w:abstractNum w:abstractNumId="16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2"/>
      <w:numFmt w:val="lowerRoman"/>
      <w:lvlText w:val="(%2)"/>
      <w:lvlJc w:val="left"/>
      <w:pPr>
        <w:ind w:left="1940" w:hanging="360"/>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2831" w:hanging="360"/>
      </w:pPr>
      <w:rPr>
        <w:rFonts w:hint="default"/>
        <w:lang w:val="en-US" w:eastAsia="en-US" w:bidi="ar-SA"/>
      </w:rPr>
    </w:lvl>
    <w:lvl w:ilvl="3">
      <w:start w:val="0"/>
      <w:numFmt w:val="bullet"/>
      <w:lvlText w:val="•"/>
      <w:lvlJc w:val="left"/>
      <w:pPr>
        <w:ind w:left="3723" w:hanging="360"/>
      </w:pPr>
      <w:rPr>
        <w:rFonts w:hint="default"/>
        <w:lang w:val="en-US" w:eastAsia="en-US" w:bidi="ar-SA"/>
      </w:rPr>
    </w:lvl>
    <w:lvl w:ilvl="4">
      <w:start w:val="0"/>
      <w:numFmt w:val="bullet"/>
      <w:lvlText w:val="•"/>
      <w:lvlJc w:val="left"/>
      <w:pPr>
        <w:ind w:left="4615" w:hanging="360"/>
      </w:pPr>
      <w:rPr>
        <w:rFonts w:hint="default"/>
        <w:lang w:val="en-US" w:eastAsia="en-US" w:bidi="ar-SA"/>
      </w:rPr>
    </w:lvl>
    <w:lvl w:ilvl="5">
      <w:start w:val="0"/>
      <w:numFmt w:val="bullet"/>
      <w:lvlText w:val="•"/>
      <w:lvlJc w:val="left"/>
      <w:pPr>
        <w:ind w:left="5507" w:hanging="360"/>
      </w:pPr>
      <w:rPr>
        <w:rFonts w:hint="default"/>
        <w:lang w:val="en-US" w:eastAsia="en-US" w:bidi="ar-SA"/>
      </w:rPr>
    </w:lvl>
    <w:lvl w:ilvl="6">
      <w:start w:val="0"/>
      <w:numFmt w:val="bullet"/>
      <w:lvlText w:val="•"/>
      <w:lvlJc w:val="left"/>
      <w:pPr>
        <w:ind w:left="6399" w:hanging="360"/>
      </w:pPr>
      <w:rPr>
        <w:rFonts w:hint="default"/>
        <w:lang w:val="en-US" w:eastAsia="en-US" w:bidi="ar-SA"/>
      </w:rPr>
    </w:lvl>
    <w:lvl w:ilvl="7">
      <w:start w:val="0"/>
      <w:numFmt w:val="bullet"/>
      <w:lvlText w:val="•"/>
      <w:lvlJc w:val="left"/>
      <w:pPr>
        <w:ind w:left="7290" w:hanging="360"/>
      </w:pPr>
      <w:rPr>
        <w:rFonts w:hint="default"/>
        <w:lang w:val="en-US" w:eastAsia="en-US" w:bidi="ar-SA"/>
      </w:rPr>
    </w:lvl>
    <w:lvl w:ilvl="8">
      <w:start w:val="0"/>
      <w:numFmt w:val="bullet"/>
      <w:lvlText w:val="•"/>
      <w:lvlJc w:val="left"/>
      <w:pPr>
        <w:ind w:left="8182" w:hanging="360"/>
      </w:pPr>
      <w:rPr>
        <w:rFonts w:hint="default"/>
        <w:lang w:val="en-US" w:eastAsia="en-US" w:bidi="ar-SA"/>
      </w:rPr>
    </w:lvl>
  </w:abstractNum>
  <w:abstractNum w:abstractNumId="16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6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360"/>
        <w:jc w:val="left"/>
      </w:pPr>
      <w:rPr>
        <w:rFonts w:hint="default" w:ascii="Arial" w:hAnsi="Arial" w:eastAsia="Arial" w:cs="Arial"/>
        <w:w w:val="99"/>
        <w:sz w:val="25"/>
        <w:szCs w:val="25"/>
        <w:lang w:val="en-US" w:eastAsia="en-US" w:bidi="ar-SA"/>
      </w:rPr>
    </w:lvl>
    <w:lvl w:ilvl="2">
      <w:start w:val="0"/>
      <w:numFmt w:val="bullet"/>
      <w:lvlText w:val="•"/>
      <w:lvlJc w:val="left"/>
      <w:pPr>
        <w:ind w:left="2831" w:hanging="360"/>
      </w:pPr>
      <w:rPr>
        <w:rFonts w:hint="default"/>
        <w:lang w:val="en-US" w:eastAsia="en-US" w:bidi="ar-SA"/>
      </w:rPr>
    </w:lvl>
    <w:lvl w:ilvl="3">
      <w:start w:val="0"/>
      <w:numFmt w:val="bullet"/>
      <w:lvlText w:val="•"/>
      <w:lvlJc w:val="left"/>
      <w:pPr>
        <w:ind w:left="3723" w:hanging="360"/>
      </w:pPr>
      <w:rPr>
        <w:rFonts w:hint="default"/>
        <w:lang w:val="en-US" w:eastAsia="en-US" w:bidi="ar-SA"/>
      </w:rPr>
    </w:lvl>
    <w:lvl w:ilvl="4">
      <w:start w:val="0"/>
      <w:numFmt w:val="bullet"/>
      <w:lvlText w:val="•"/>
      <w:lvlJc w:val="left"/>
      <w:pPr>
        <w:ind w:left="4615" w:hanging="360"/>
      </w:pPr>
      <w:rPr>
        <w:rFonts w:hint="default"/>
        <w:lang w:val="en-US" w:eastAsia="en-US" w:bidi="ar-SA"/>
      </w:rPr>
    </w:lvl>
    <w:lvl w:ilvl="5">
      <w:start w:val="0"/>
      <w:numFmt w:val="bullet"/>
      <w:lvlText w:val="•"/>
      <w:lvlJc w:val="left"/>
      <w:pPr>
        <w:ind w:left="5507" w:hanging="360"/>
      </w:pPr>
      <w:rPr>
        <w:rFonts w:hint="default"/>
        <w:lang w:val="en-US" w:eastAsia="en-US" w:bidi="ar-SA"/>
      </w:rPr>
    </w:lvl>
    <w:lvl w:ilvl="6">
      <w:start w:val="0"/>
      <w:numFmt w:val="bullet"/>
      <w:lvlText w:val="•"/>
      <w:lvlJc w:val="left"/>
      <w:pPr>
        <w:ind w:left="6399" w:hanging="360"/>
      </w:pPr>
      <w:rPr>
        <w:rFonts w:hint="default"/>
        <w:lang w:val="en-US" w:eastAsia="en-US" w:bidi="ar-SA"/>
      </w:rPr>
    </w:lvl>
    <w:lvl w:ilvl="7">
      <w:start w:val="0"/>
      <w:numFmt w:val="bullet"/>
      <w:lvlText w:val="•"/>
      <w:lvlJc w:val="left"/>
      <w:pPr>
        <w:ind w:left="7290" w:hanging="360"/>
      </w:pPr>
      <w:rPr>
        <w:rFonts w:hint="default"/>
        <w:lang w:val="en-US" w:eastAsia="en-US" w:bidi="ar-SA"/>
      </w:rPr>
    </w:lvl>
    <w:lvl w:ilvl="8">
      <w:start w:val="0"/>
      <w:numFmt w:val="bullet"/>
      <w:lvlText w:val="•"/>
      <w:lvlJc w:val="left"/>
      <w:pPr>
        <w:ind w:left="8182" w:hanging="360"/>
      </w:pPr>
      <w:rPr>
        <w:rFonts w:hint="default"/>
        <w:lang w:val="en-US" w:eastAsia="en-US" w:bidi="ar-SA"/>
      </w:rPr>
    </w:lvl>
  </w:abstractNum>
  <w:abstractNum w:abstractNumId="16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60">
    <w:multiLevelType w:val="hybridMultilevel"/>
    <w:lvl w:ilvl="0">
      <w:start w:val="1"/>
      <w:numFmt w:val="lowerLetter"/>
      <w:lvlText w:val="(%1)"/>
      <w:lvlJc w:val="left"/>
      <w:pPr>
        <w:ind w:left="771" w:hanging="272"/>
        <w:jc w:val="left"/>
      </w:pPr>
      <w:rPr>
        <w:rFonts w:hint="default" w:ascii="Arial" w:hAnsi="Arial" w:eastAsia="Arial" w:cs="Arial"/>
        <w:spacing w:val="-3"/>
        <w:w w:val="99"/>
        <w:sz w:val="18"/>
        <w:szCs w:val="18"/>
        <w:lang w:val="en-US" w:eastAsia="en-US" w:bidi="ar-SA"/>
      </w:rPr>
    </w:lvl>
    <w:lvl w:ilvl="1">
      <w:start w:val="0"/>
      <w:numFmt w:val="bullet"/>
      <w:lvlText w:val="•"/>
      <w:lvlJc w:val="left"/>
      <w:pPr>
        <w:ind w:left="2660" w:hanging="272"/>
      </w:pPr>
      <w:rPr>
        <w:rFonts w:hint="default"/>
        <w:lang w:val="en-US" w:eastAsia="en-US" w:bidi="ar-SA"/>
      </w:rPr>
    </w:lvl>
    <w:lvl w:ilvl="2">
      <w:start w:val="0"/>
      <w:numFmt w:val="bullet"/>
      <w:lvlText w:val="•"/>
      <w:lvlJc w:val="left"/>
      <w:pPr>
        <w:ind w:left="3471" w:hanging="272"/>
      </w:pPr>
      <w:rPr>
        <w:rFonts w:hint="default"/>
        <w:lang w:val="en-US" w:eastAsia="en-US" w:bidi="ar-SA"/>
      </w:rPr>
    </w:lvl>
    <w:lvl w:ilvl="3">
      <w:start w:val="0"/>
      <w:numFmt w:val="bullet"/>
      <w:lvlText w:val="•"/>
      <w:lvlJc w:val="left"/>
      <w:pPr>
        <w:ind w:left="4283" w:hanging="272"/>
      </w:pPr>
      <w:rPr>
        <w:rFonts w:hint="default"/>
        <w:lang w:val="en-US" w:eastAsia="en-US" w:bidi="ar-SA"/>
      </w:rPr>
    </w:lvl>
    <w:lvl w:ilvl="4">
      <w:start w:val="0"/>
      <w:numFmt w:val="bullet"/>
      <w:lvlText w:val="•"/>
      <w:lvlJc w:val="left"/>
      <w:pPr>
        <w:ind w:left="5095" w:hanging="272"/>
      </w:pPr>
      <w:rPr>
        <w:rFonts w:hint="default"/>
        <w:lang w:val="en-US" w:eastAsia="en-US" w:bidi="ar-SA"/>
      </w:rPr>
    </w:lvl>
    <w:lvl w:ilvl="5">
      <w:start w:val="0"/>
      <w:numFmt w:val="bullet"/>
      <w:lvlText w:val="•"/>
      <w:lvlJc w:val="left"/>
      <w:pPr>
        <w:ind w:left="5907" w:hanging="272"/>
      </w:pPr>
      <w:rPr>
        <w:rFonts w:hint="default"/>
        <w:lang w:val="en-US" w:eastAsia="en-US" w:bidi="ar-SA"/>
      </w:rPr>
    </w:lvl>
    <w:lvl w:ilvl="6">
      <w:start w:val="0"/>
      <w:numFmt w:val="bullet"/>
      <w:lvlText w:val="•"/>
      <w:lvlJc w:val="left"/>
      <w:pPr>
        <w:ind w:left="6719" w:hanging="272"/>
      </w:pPr>
      <w:rPr>
        <w:rFonts w:hint="default"/>
        <w:lang w:val="en-US" w:eastAsia="en-US" w:bidi="ar-SA"/>
      </w:rPr>
    </w:lvl>
    <w:lvl w:ilvl="7">
      <w:start w:val="0"/>
      <w:numFmt w:val="bullet"/>
      <w:lvlText w:val="•"/>
      <w:lvlJc w:val="left"/>
      <w:pPr>
        <w:ind w:left="7530" w:hanging="272"/>
      </w:pPr>
      <w:rPr>
        <w:rFonts w:hint="default"/>
        <w:lang w:val="en-US" w:eastAsia="en-US" w:bidi="ar-SA"/>
      </w:rPr>
    </w:lvl>
    <w:lvl w:ilvl="8">
      <w:start w:val="0"/>
      <w:numFmt w:val="bullet"/>
      <w:lvlText w:val="•"/>
      <w:lvlJc w:val="left"/>
      <w:pPr>
        <w:ind w:left="8342" w:hanging="272"/>
      </w:pPr>
      <w:rPr>
        <w:rFonts w:hint="default"/>
        <w:lang w:val="en-US" w:eastAsia="en-US" w:bidi="ar-SA"/>
      </w:rPr>
    </w:lvl>
  </w:abstractNum>
  <w:abstractNum w:abstractNumId="15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5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57">
    <w:multiLevelType w:val="hybridMultilevel"/>
    <w:lvl w:ilvl="0">
      <w:start w:val="1"/>
      <w:numFmt w:val="lowerLetter"/>
      <w:lvlText w:val="(%1)"/>
      <w:lvlJc w:val="left"/>
      <w:pPr>
        <w:ind w:left="1771" w:hanging="269"/>
        <w:jc w:val="right"/>
      </w:pPr>
      <w:rPr>
        <w:rFonts w:hint="default" w:ascii="Arial" w:hAnsi="Arial" w:eastAsia="Arial" w:cs="Arial"/>
        <w:spacing w:val="-4"/>
        <w:w w:val="99"/>
        <w:sz w:val="18"/>
        <w:szCs w:val="18"/>
        <w:lang w:val="en-US" w:eastAsia="en-US" w:bidi="ar-SA"/>
      </w:rPr>
    </w:lvl>
    <w:lvl w:ilvl="1">
      <w:start w:val="0"/>
      <w:numFmt w:val="bullet"/>
      <w:lvlText w:val="•"/>
      <w:lvlJc w:val="left"/>
      <w:pPr>
        <w:ind w:left="2598" w:hanging="269"/>
      </w:pPr>
      <w:rPr>
        <w:rFonts w:hint="default"/>
        <w:lang w:val="en-US" w:eastAsia="en-US" w:bidi="ar-SA"/>
      </w:rPr>
    </w:lvl>
    <w:lvl w:ilvl="2">
      <w:start w:val="0"/>
      <w:numFmt w:val="bullet"/>
      <w:lvlText w:val="•"/>
      <w:lvlJc w:val="left"/>
      <w:pPr>
        <w:ind w:left="3417" w:hanging="269"/>
      </w:pPr>
      <w:rPr>
        <w:rFonts w:hint="default"/>
        <w:lang w:val="en-US" w:eastAsia="en-US" w:bidi="ar-SA"/>
      </w:rPr>
    </w:lvl>
    <w:lvl w:ilvl="3">
      <w:start w:val="0"/>
      <w:numFmt w:val="bullet"/>
      <w:lvlText w:val="•"/>
      <w:lvlJc w:val="left"/>
      <w:pPr>
        <w:ind w:left="4235" w:hanging="269"/>
      </w:pPr>
      <w:rPr>
        <w:rFonts w:hint="default"/>
        <w:lang w:val="en-US" w:eastAsia="en-US" w:bidi="ar-SA"/>
      </w:rPr>
    </w:lvl>
    <w:lvl w:ilvl="4">
      <w:start w:val="0"/>
      <w:numFmt w:val="bullet"/>
      <w:lvlText w:val="•"/>
      <w:lvlJc w:val="left"/>
      <w:pPr>
        <w:ind w:left="5054" w:hanging="269"/>
      </w:pPr>
      <w:rPr>
        <w:rFonts w:hint="default"/>
        <w:lang w:val="en-US" w:eastAsia="en-US" w:bidi="ar-SA"/>
      </w:rPr>
    </w:lvl>
    <w:lvl w:ilvl="5">
      <w:start w:val="0"/>
      <w:numFmt w:val="bullet"/>
      <w:lvlText w:val="•"/>
      <w:lvlJc w:val="left"/>
      <w:pPr>
        <w:ind w:left="5873" w:hanging="269"/>
      </w:pPr>
      <w:rPr>
        <w:rFonts w:hint="default"/>
        <w:lang w:val="en-US" w:eastAsia="en-US" w:bidi="ar-SA"/>
      </w:rPr>
    </w:lvl>
    <w:lvl w:ilvl="6">
      <w:start w:val="0"/>
      <w:numFmt w:val="bullet"/>
      <w:lvlText w:val="•"/>
      <w:lvlJc w:val="left"/>
      <w:pPr>
        <w:ind w:left="6691" w:hanging="269"/>
      </w:pPr>
      <w:rPr>
        <w:rFonts w:hint="default"/>
        <w:lang w:val="en-US" w:eastAsia="en-US" w:bidi="ar-SA"/>
      </w:rPr>
    </w:lvl>
    <w:lvl w:ilvl="7">
      <w:start w:val="0"/>
      <w:numFmt w:val="bullet"/>
      <w:lvlText w:val="•"/>
      <w:lvlJc w:val="left"/>
      <w:pPr>
        <w:ind w:left="7510" w:hanging="269"/>
      </w:pPr>
      <w:rPr>
        <w:rFonts w:hint="default"/>
        <w:lang w:val="en-US" w:eastAsia="en-US" w:bidi="ar-SA"/>
      </w:rPr>
    </w:lvl>
    <w:lvl w:ilvl="8">
      <w:start w:val="0"/>
      <w:numFmt w:val="bullet"/>
      <w:lvlText w:val="•"/>
      <w:lvlJc w:val="left"/>
      <w:pPr>
        <w:ind w:left="8329" w:hanging="269"/>
      </w:pPr>
      <w:rPr>
        <w:rFonts w:hint="default"/>
        <w:lang w:val="en-US" w:eastAsia="en-US" w:bidi="ar-SA"/>
      </w:rPr>
    </w:lvl>
  </w:abstractNum>
  <w:abstractNum w:abstractNumId="156">
    <w:multiLevelType w:val="hybridMultilevel"/>
    <w:lvl w:ilvl="0">
      <w:start w:val="1"/>
      <w:numFmt w:val="lowerRoman"/>
      <w:lvlText w:val="(%1)"/>
      <w:lvlJc w:val="left"/>
      <w:pPr>
        <w:ind w:left="1580" w:hanging="720"/>
        <w:jc w:val="left"/>
      </w:pPr>
      <w:rPr>
        <w:rFonts w:hint="default" w:ascii="Arial" w:hAnsi="Arial" w:eastAsia="Arial" w:cs="Arial"/>
        <w:w w:val="99"/>
        <w:sz w:val="25"/>
        <w:szCs w:val="25"/>
        <w:lang w:val="en-US" w:eastAsia="en-US" w:bidi="ar-SA"/>
      </w:rPr>
    </w:lvl>
    <w:lvl w:ilvl="1">
      <w:start w:val="0"/>
      <w:numFmt w:val="bullet"/>
      <w:lvlText w:val="•"/>
      <w:lvlJc w:val="left"/>
      <w:pPr>
        <w:ind w:left="2418" w:hanging="720"/>
      </w:pPr>
      <w:rPr>
        <w:rFonts w:hint="default"/>
        <w:lang w:val="en-US" w:eastAsia="en-US" w:bidi="ar-SA"/>
      </w:rPr>
    </w:lvl>
    <w:lvl w:ilvl="2">
      <w:start w:val="0"/>
      <w:numFmt w:val="bullet"/>
      <w:lvlText w:val="•"/>
      <w:lvlJc w:val="left"/>
      <w:pPr>
        <w:ind w:left="3257" w:hanging="720"/>
      </w:pPr>
      <w:rPr>
        <w:rFonts w:hint="default"/>
        <w:lang w:val="en-US" w:eastAsia="en-US" w:bidi="ar-SA"/>
      </w:rPr>
    </w:lvl>
    <w:lvl w:ilvl="3">
      <w:start w:val="0"/>
      <w:numFmt w:val="bullet"/>
      <w:lvlText w:val="•"/>
      <w:lvlJc w:val="left"/>
      <w:pPr>
        <w:ind w:left="4095" w:hanging="720"/>
      </w:pPr>
      <w:rPr>
        <w:rFonts w:hint="default"/>
        <w:lang w:val="en-US" w:eastAsia="en-US" w:bidi="ar-SA"/>
      </w:rPr>
    </w:lvl>
    <w:lvl w:ilvl="4">
      <w:start w:val="0"/>
      <w:numFmt w:val="bullet"/>
      <w:lvlText w:val="•"/>
      <w:lvlJc w:val="left"/>
      <w:pPr>
        <w:ind w:left="4934" w:hanging="720"/>
      </w:pPr>
      <w:rPr>
        <w:rFonts w:hint="default"/>
        <w:lang w:val="en-US" w:eastAsia="en-US" w:bidi="ar-SA"/>
      </w:rPr>
    </w:lvl>
    <w:lvl w:ilvl="5">
      <w:start w:val="0"/>
      <w:numFmt w:val="bullet"/>
      <w:lvlText w:val="•"/>
      <w:lvlJc w:val="left"/>
      <w:pPr>
        <w:ind w:left="5773" w:hanging="720"/>
      </w:pPr>
      <w:rPr>
        <w:rFonts w:hint="default"/>
        <w:lang w:val="en-US" w:eastAsia="en-US" w:bidi="ar-SA"/>
      </w:rPr>
    </w:lvl>
    <w:lvl w:ilvl="6">
      <w:start w:val="0"/>
      <w:numFmt w:val="bullet"/>
      <w:lvlText w:val="•"/>
      <w:lvlJc w:val="left"/>
      <w:pPr>
        <w:ind w:left="6611" w:hanging="720"/>
      </w:pPr>
      <w:rPr>
        <w:rFonts w:hint="default"/>
        <w:lang w:val="en-US" w:eastAsia="en-US" w:bidi="ar-SA"/>
      </w:rPr>
    </w:lvl>
    <w:lvl w:ilvl="7">
      <w:start w:val="0"/>
      <w:numFmt w:val="bullet"/>
      <w:lvlText w:val="•"/>
      <w:lvlJc w:val="left"/>
      <w:pPr>
        <w:ind w:left="7450" w:hanging="720"/>
      </w:pPr>
      <w:rPr>
        <w:rFonts w:hint="default"/>
        <w:lang w:val="en-US" w:eastAsia="en-US" w:bidi="ar-SA"/>
      </w:rPr>
    </w:lvl>
    <w:lvl w:ilvl="8">
      <w:start w:val="0"/>
      <w:numFmt w:val="bullet"/>
      <w:lvlText w:val="•"/>
      <w:lvlJc w:val="left"/>
      <w:pPr>
        <w:ind w:left="8289" w:hanging="720"/>
      </w:pPr>
      <w:rPr>
        <w:rFonts w:hint="default"/>
        <w:lang w:val="en-US" w:eastAsia="en-US" w:bidi="ar-SA"/>
      </w:rPr>
    </w:lvl>
  </w:abstractNum>
  <w:abstractNum w:abstractNumId="155">
    <w:multiLevelType w:val="hybridMultilevel"/>
    <w:lvl w:ilvl="0">
      <w:start w:val="1"/>
      <w:numFmt w:val="lowerRoman"/>
      <w:lvlText w:val="(%1)"/>
      <w:lvlJc w:val="left"/>
      <w:pPr>
        <w:ind w:left="1580" w:hanging="720"/>
        <w:jc w:val="left"/>
      </w:pPr>
      <w:rPr>
        <w:rFonts w:hint="default" w:ascii="Arial" w:hAnsi="Arial" w:eastAsia="Arial" w:cs="Arial"/>
        <w:w w:val="99"/>
        <w:sz w:val="25"/>
        <w:szCs w:val="25"/>
        <w:lang w:val="en-US" w:eastAsia="en-US" w:bidi="ar-SA"/>
      </w:rPr>
    </w:lvl>
    <w:lvl w:ilvl="1">
      <w:start w:val="0"/>
      <w:numFmt w:val="bullet"/>
      <w:lvlText w:val="•"/>
      <w:lvlJc w:val="left"/>
      <w:pPr>
        <w:ind w:left="2418" w:hanging="720"/>
      </w:pPr>
      <w:rPr>
        <w:rFonts w:hint="default"/>
        <w:lang w:val="en-US" w:eastAsia="en-US" w:bidi="ar-SA"/>
      </w:rPr>
    </w:lvl>
    <w:lvl w:ilvl="2">
      <w:start w:val="0"/>
      <w:numFmt w:val="bullet"/>
      <w:lvlText w:val="•"/>
      <w:lvlJc w:val="left"/>
      <w:pPr>
        <w:ind w:left="3257" w:hanging="720"/>
      </w:pPr>
      <w:rPr>
        <w:rFonts w:hint="default"/>
        <w:lang w:val="en-US" w:eastAsia="en-US" w:bidi="ar-SA"/>
      </w:rPr>
    </w:lvl>
    <w:lvl w:ilvl="3">
      <w:start w:val="0"/>
      <w:numFmt w:val="bullet"/>
      <w:lvlText w:val="•"/>
      <w:lvlJc w:val="left"/>
      <w:pPr>
        <w:ind w:left="4095" w:hanging="720"/>
      </w:pPr>
      <w:rPr>
        <w:rFonts w:hint="default"/>
        <w:lang w:val="en-US" w:eastAsia="en-US" w:bidi="ar-SA"/>
      </w:rPr>
    </w:lvl>
    <w:lvl w:ilvl="4">
      <w:start w:val="0"/>
      <w:numFmt w:val="bullet"/>
      <w:lvlText w:val="•"/>
      <w:lvlJc w:val="left"/>
      <w:pPr>
        <w:ind w:left="4934" w:hanging="720"/>
      </w:pPr>
      <w:rPr>
        <w:rFonts w:hint="default"/>
        <w:lang w:val="en-US" w:eastAsia="en-US" w:bidi="ar-SA"/>
      </w:rPr>
    </w:lvl>
    <w:lvl w:ilvl="5">
      <w:start w:val="0"/>
      <w:numFmt w:val="bullet"/>
      <w:lvlText w:val="•"/>
      <w:lvlJc w:val="left"/>
      <w:pPr>
        <w:ind w:left="5773" w:hanging="720"/>
      </w:pPr>
      <w:rPr>
        <w:rFonts w:hint="default"/>
        <w:lang w:val="en-US" w:eastAsia="en-US" w:bidi="ar-SA"/>
      </w:rPr>
    </w:lvl>
    <w:lvl w:ilvl="6">
      <w:start w:val="0"/>
      <w:numFmt w:val="bullet"/>
      <w:lvlText w:val="•"/>
      <w:lvlJc w:val="left"/>
      <w:pPr>
        <w:ind w:left="6611" w:hanging="720"/>
      </w:pPr>
      <w:rPr>
        <w:rFonts w:hint="default"/>
        <w:lang w:val="en-US" w:eastAsia="en-US" w:bidi="ar-SA"/>
      </w:rPr>
    </w:lvl>
    <w:lvl w:ilvl="7">
      <w:start w:val="0"/>
      <w:numFmt w:val="bullet"/>
      <w:lvlText w:val="•"/>
      <w:lvlJc w:val="left"/>
      <w:pPr>
        <w:ind w:left="7450" w:hanging="720"/>
      </w:pPr>
      <w:rPr>
        <w:rFonts w:hint="default"/>
        <w:lang w:val="en-US" w:eastAsia="en-US" w:bidi="ar-SA"/>
      </w:rPr>
    </w:lvl>
    <w:lvl w:ilvl="8">
      <w:start w:val="0"/>
      <w:numFmt w:val="bullet"/>
      <w:lvlText w:val="•"/>
      <w:lvlJc w:val="left"/>
      <w:pPr>
        <w:ind w:left="8289" w:hanging="720"/>
      </w:pPr>
      <w:rPr>
        <w:rFonts w:hint="default"/>
        <w:lang w:val="en-US" w:eastAsia="en-US" w:bidi="ar-SA"/>
      </w:rPr>
    </w:lvl>
  </w:abstractNum>
  <w:abstractNum w:abstractNumId="154">
    <w:multiLevelType w:val="hybridMultilevel"/>
    <w:lvl w:ilvl="0">
      <w:start w:val="1"/>
      <w:numFmt w:val="lowerRoman"/>
      <w:lvlText w:val="(%1)"/>
      <w:lvlJc w:val="left"/>
      <w:pPr>
        <w:ind w:left="1580" w:hanging="720"/>
        <w:jc w:val="left"/>
      </w:pPr>
      <w:rPr>
        <w:rFonts w:hint="default" w:ascii="Arial" w:hAnsi="Arial" w:eastAsia="Arial" w:cs="Arial"/>
        <w:w w:val="99"/>
        <w:sz w:val="25"/>
        <w:szCs w:val="25"/>
        <w:lang w:val="en-US" w:eastAsia="en-US" w:bidi="ar-SA"/>
      </w:rPr>
    </w:lvl>
    <w:lvl w:ilvl="1">
      <w:start w:val="0"/>
      <w:numFmt w:val="bullet"/>
      <w:lvlText w:val="•"/>
      <w:lvlJc w:val="left"/>
      <w:pPr>
        <w:ind w:left="2418" w:hanging="720"/>
      </w:pPr>
      <w:rPr>
        <w:rFonts w:hint="default"/>
        <w:lang w:val="en-US" w:eastAsia="en-US" w:bidi="ar-SA"/>
      </w:rPr>
    </w:lvl>
    <w:lvl w:ilvl="2">
      <w:start w:val="0"/>
      <w:numFmt w:val="bullet"/>
      <w:lvlText w:val="•"/>
      <w:lvlJc w:val="left"/>
      <w:pPr>
        <w:ind w:left="3257" w:hanging="720"/>
      </w:pPr>
      <w:rPr>
        <w:rFonts w:hint="default"/>
        <w:lang w:val="en-US" w:eastAsia="en-US" w:bidi="ar-SA"/>
      </w:rPr>
    </w:lvl>
    <w:lvl w:ilvl="3">
      <w:start w:val="0"/>
      <w:numFmt w:val="bullet"/>
      <w:lvlText w:val="•"/>
      <w:lvlJc w:val="left"/>
      <w:pPr>
        <w:ind w:left="4095" w:hanging="720"/>
      </w:pPr>
      <w:rPr>
        <w:rFonts w:hint="default"/>
        <w:lang w:val="en-US" w:eastAsia="en-US" w:bidi="ar-SA"/>
      </w:rPr>
    </w:lvl>
    <w:lvl w:ilvl="4">
      <w:start w:val="0"/>
      <w:numFmt w:val="bullet"/>
      <w:lvlText w:val="•"/>
      <w:lvlJc w:val="left"/>
      <w:pPr>
        <w:ind w:left="4934" w:hanging="720"/>
      </w:pPr>
      <w:rPr>
        <w:rFonts w:hint="default"/>
        <w:lang w:val="en-US" w:eastAsia="en-US" w:bidi="ar-SA"/>
      </w:rPr>
    </w:lvl>
    <w:lvl w:ilvl="5">
      <w:start w:val="0"/>
      <w:numFmt w:val="bullet"/>
      <w:lvlText w:val="•"/>
      <w:lvlJc w:val="left"/>
      <w:pPr>
        <w:ind w:left="5773" w:hanging="720"/>
      </w:pPr>
      <w:rPr>
        <w:rFonts w:hint="default"/>
        <w:lang w:val="en-US" w:eastAsia="en-US" w:bidi="ar-SA"/>
      </w:rPr>
    </w:lvl>
    <w:lvl w:ilvl="6">
      <w:start w:val="0"/>
      <w:numFmt w:val="bullet"/>
      <w:lvlText w:val="•"/>
      <w:lvlJc w:val="left"/>
      <w:pPr>
        <w:ind w:left="6611" w:hanging="720"/>
      </w:pPr>
      <w:rPr>
        <w:rFonts w:hint="default"/>
        <w:lang w:val="en-US" w:eastAsia="en-US" w:bidi="ar-SA"/>
      </w:rPr>
    </w:lvl>
    <w:lvl w:ilvl="7">
      <w:start w:val="0"/>
      <w:numFmt w:val="bullet"/>
      <w:lvlText w:val="•"/>
      <w:lvlJc w:val="left"/>
      <w:pPr>
        <w:ind w:left="7450" w:hanging="720"/>
      </w:pPr>
      <w:rPr>
        <w:rFonts w:hint="default"/>
        <w:lang w:val="en-US" w:eastAsia="en-US" w:bidi="ar-SA"/>
      </w:rPr>
    </w:lvl>
    <w:lvl w:ilvl="8">
      <w:start w:val="0"/>
      <w:numFmt w:val="bullet"/>
      <w:lvlText w:val="•"/>
      <w:lvlJc w:val="left"/>
      <w:pPr>
        <w:ind w:left="8289" w:hanging="720"/>
      </w:pPr>
      <w:rPr>
        <w:rFonts w:hint="default"/>
        <w:lang w:val="en-US" w:eastAsia="en-US" w:bidi="ar-SA"/>
      </w:rPr>
    </w:lvl>
  </w:abstractNum>
  <w:abstractNum w:abstractNumId="153">
    <w:multiLevelType w:val="hybridMultilevel"/>
    <w:lvl w:ilvl="0">
      <w:start w:val="1"/>
      <w:numFmt w:val="decimal"/>
      <w:lvlText w:val="%1."/>
      <w:lvlJc w:val="left"/>
      <w:pPr>
        <w:ind w:left="1940" w:hanging="360"/>
        <w:jc w:val="left"/>
      </w:pPr>
      <w:rPr>
        <w:rFonts w:hint="default" w:ascii="Arial" w:hAnsi="Arial" w:eastAsia="Arial" w:cs="Arial"/>
        <w:w w:val="100"/>
        <w:sz w:val="21"/>
        <w:szCs w:val="21"/>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152">
    <w:multiLevelType w:val="hybridMultilevel"/>
    <w:lvl w:ilvl="0">
      <w:start w:val="1"/>
      <w:numFmt w:val="lowerRoman"/>
      <w:lvlText w:val="(%1)"/>
      <w:lvlJc w:val="left"/>
      <w:pPr>
        <w:ind w:left="1580" w:hanging="720"/>
        <w:jc w:val="left"/>
      </w:pPr>
      <w:rPr>
        <w:rFonts w:hint="default" w:ascii="Arial" w:hAnsi="Arial" w:eastAsia="Arial" w:cs="Arial"/>
        <w:w w:val="99"/>
        <w:sz w:val="25"/>
        <w:szCs w:val="25"/>
        <w:lang w:val="en-US" w:eastAsia="en-US" w:bidi="ar-SA"/>
      </w:rPr>
    </w:lvl>
    <w:lvl w:ilvl="1">
      <w:start w:val="0"/>
      <w:numFmt w:val="bullet"/>
      <w:lvlText w:val="•"/>
      <w:lvlJc w:val="left"/>
      <w:pPr>
        <w:ind w:left="2418" w:hanging="720"/>
      </w:pPr>
      <w:rPr>
        <w:rFonts w:hint="default"/>
        <w:lang w:val="en-US" w:eastAsia="en-US" w:bidi="ar-SA"/>
      </w:rPr>
    </w:lvl>
    <w:lvl w:ilvl="2">
      <w:start w:val="0"/>
      <w:numFmt w:val="bullet"/>
      <w:lvlText w:val="•"/>
      <w:lvlJc w:val="left"/>
      <w:pPr>
        <w:ind w:left="3257" w:hanging="720"/>
      </w:pPr>
      <w:rPr>
        <w:rFonts w:hint="default"/>
        <w:lang w:val="en-US" w:eastAsia="en-US" w:bidi="ar-SA"/>
      </w:rPr>
    </w:lvl>
    <w:lvl w:ilvl="3">
      <w:start w:val="0"/>
      <w:numFmt w:val="bullet"/>
      <w:lvlText w:val="•"/>
      <w:lvlJc w:val="left"/>
      <w:pPr>
        <w:ind w:left="4095" w:hanging="720"/>
      </w:pPr>
      <w:rPr>
        <w:rFonts w:hint="default"/>
        <w:lang w:val="en-US" w:eastAsia="en-US" w:bidi="ar-SA"/>
      </w:rPr>
    </w:lvl>
    <w:lvl w:ilvl="4">
      <w:start w:val="0"/>
      <w:numFmt w:val="bullet"/>
      <w:lvlText w:val="•"/>
      <w:lvlJc w:val="left"/>
      <w:pPr>
        <w:ind w:left="4934" w:hanging="720"/>
      </w:pPr>
      <w:rPr>
        <w:rFonts w:hint="default"/>
        <w:lang w:val="en-US" w:eastAsia="en-US" w:bidi="ar-SA"/>
      </w:rPr>
    </w:lvl>
    <w:lvl w:ilvl="5">
      <w:start w:val="0"/>
      <w:numFmt w:val="bullet"/>
      <w:lvlText w:val="•"/>
      <w:lvlJc w:val="left"/>
      <w:pPr>
        <w:ind w:left="5773" w:hanging="720"/>
      </w:pPr>
      <w:rPr>
        <w:rFonts w:hint="default"/>
        <w:lang w:val="en-US" w:eastAsia="en-US" w:bidi="ar-SA"/>
      </w:rPr>
    </w:lvl>
    <w:lvl w:ilvl="6">
      <w:start w:val="0"/>
      <w:numFmt w:val="bullet"/>
      <w:lvlText w:val="•"/>
      <w:lvlJc w:val="left"/>
      <w:pPr>
        <w:ind w:left="6611" w:hanging="720"/>
      </w:pPr>
      <w:rPr>
        <w:rFonts w:hint="default"/>
        <w:lang w:val="en-US" w:eastAsia="en-US" w:bidi="ar-SA"/>
      </w:rPr>
    </w:lvl>
    <w:lvl w:ilvl="7">
      <w:start w:val="0"/>
      <w:numFmt w:val="bullet"/>
      <w:lvlText w:val="•"/>
      <w:lvlJc w:val="left"/>
      <w:pPr>
        <w:ind w:left="7450" w:hanging="720"/>
      </w:pPr>
      <w:rPr>
        <w:rFonts w:hint="default"/>
        <w:lang w:val="en-US" w:eastAsia="en-US" w:bidi="ar-SA"/>
      </w:rPr>
    </w:lvl>
    <w:lvl w:ilvl="8">
      <w:start w:val="0"/>
      <w:numFmt w:val="bullet"/>
      <w:lvlText w:val="•"/>
      <w:lvlJc w:val="left"/>
      <w:pPr>
        <w:ind w:left="8289" w:hanging="720"/>
      </w:pPr>
      <w:rPr>
        <w:rFonts w:hint="default"/>
        <w:lang w:val="en-US" w:eastAsia="en-US" w:bidi="ar-SA"/>
      </w:rPr>
    </w:lvl>
  </w:abstractNum>
  <w:abstractNum w:abstractNumId="151">
    <w:multiLevelType w:val="hybridMultilevel"/>
    <w:lvl w:ilvl="0">
      <w:start w:val="2"/>
      <w:numFmt w:val="decimal"/>
      <w:lvlText w:val="%1."/>
      <w:lvlJc w:val="left"/>
      <w:pPr>
        <w:ind w:left="2173" w:hanging="233"/>
        <w:jc w:val="left"/>
      </w:pPr>
      <w:rPr>
        <w:rFonts w:hint="default" w:ascii="Arial" w:hAnsi="Arial" w:eastAsia="Arial" w:cs="Arial"/>
        <w:w w:val="100"/>
        <w:sz w:val="21"/>
        <w:szCs w:val="21"/>
        <w:lang w:val="en-US" w:eastAsia="en-US" w:bidi="ar-SA"/>
      </w:rPr>
    </w:lvl>
    <w:lvl w:ilvl="1">
      <w:start w:val="0"/>
      <w:numFmt w:val="bullet"/>
      <w:lvlText w:val="•"/>
      <w:lvlJc w:val="left"/>
      <w:pPr>
        <w:ind w:left="2958" w:hanging="233"/>
      </w:pPr>
      <w:rPr>
        <w:rFonts w:hint="default"/>
        <w:lang w:val="en-US" w:eastAsia="en-US" w:bidi="ar-SA"/>
      </w:rPr>
    </w:lvl>
    <w:lvl w:ilvl="2">
      <w:start w:val="0"/>
      <w:numFmt w:val="bullet"/>
      <w:lvlText w:val="•"/>
      <w:lvlJc w:val="left"/>
      <w:pPr>
        <w:ind w:left="3737" w:hanging="233"/>
      </w:pPr>
      <w:rPr>
        <w:rFonts w:hint="default"/>
        <w:lang w:val="en-US" w:eastAsia="en-US" w:bidi="ar-SA"/>
      </w:rPr>
    </w:lvl>
    <w:lvl w:ilvl="3">
      <w:start w:val="0"/>
      <w:numFmt w:val="bullet"/>
      <w:lvlText w:val="•"/>
      <w:lvlJc w:val="left"/>
      <w:pPr>
        <w:ind w:left="4515" w:hanging="233"/>
      </w:pPr>
      <w:rPr>
        <w:rFonts w:hint="default"/>
        <w:lang w:val="en-US" w:eastAsia="en-US" w:bidi="ar-SA"/>
      </w:rPr>
    </w:lvl>
    <w:lvl w:ilvl="4">
      <w:start w:val="0"/>
      <w:numFmt w:val="bullet"/>
      <w:lvlText w:val="•"/>
      <w:lvlJc w:val="left"/>
      <w:pPr>
        <w:ind w:left="5294" w:hanging="233"/>
      </w:pPr>
      <w:rPr>
        <w:rFonts w:hint="default"/>
        <w:lang w:val="en-US" w:eastAsia="en-US" w:bidi="ar-SA"/>
      </w:rPr>
    </w:lvl>
    <w:lvl w:ilvl="5">
      <w:start w:val="0"/>
      <w:numFmt w:val="bullet"/>
      <w:lvlText w:val="•"/>
      <w:lvlJc w:val="left"/>
      <w:pPr>
        <w:ind w:left="6073" w:hanging="233"/>
      </w:pPr>
      <w:rPr>
        <w:rFonts w:hint="default"/>
        <w:lang w:val="en-US" w:eastAsia="en-US" w:bidi="ar-SA"/>
      </w:rPr>
    </w:lvl>
    <w:lvl w:ilvl="6">
      <w:start w:val="0"/>
      <w:numFmt w:val="bullet"/>
      <w:lvlText w:val="•"/>
      <w:lvlJc w:val="left"/>
      <w:pPr>
        <w:ind w:left="6851" w:hanging="233"/>
      </w:pPr>
      <w:rPr>
        <w:rFonts w:hint="default"/>
        <w:lang w:val="en-US" w:eastAsia="en-US" w:bidi="ar-SA"/>
      </w:rPr>
    </w:lvl>
    <w:lvl w:ilvl="7">
      <w:start w:val="0"/>
      <w:numFmt w:val="bullet"/>
      <w:lvlText w:val="•"/>
      <w:lvlJc w:val="left"/>
      <w:pPr>
        <w:ind w:left="7630" w:hanging="233"/>
      </w:pPr>
      <w:rPr>
        <w:rFonts w:hint="default"/>
        <w:lang w:val="en-US" w:eastAsia="en-US" w:bidi="ar-SA"/>
      </w:rPr>
    </w:lvl>
    <w:lvl w:ilvl="8">
      <w:start w:val="0"/>
      <w:numFmt w:val="bullet"/>
      <w:lvlText w:val="•"/>
      <w:lvlJc w:val="left"/>
      <w:pPr>
        <w:ind w:left="8409" w:hanging="233"/>
      </w:pPr>
      <w:rPr>
        <w:rFonts w:hint="default"/>
        <w:lang w:val="en-US" w:eastAsia="en-US" w:bidi="ar-SA"/>
      </w:rPr>
    </w:lvl>
  </w:abstractNum>
  <w:abstractNum w:abstractNumId="150">
    <w:multiLevelType w:val="hybridMultilevel"/>
    <w:lvl w:ilvl="0">
      <w:start w:val="1"/>
      <w:numFmt w:val="lowerRoman"/>
      <w:lvlText w:val="(%1)"/>
      <w:lvlJc w:val="left"/>
      <w:pPr>
        <w:ind w:left="1580" w:hanging="720"/>
        <w:jc w:val="left"/>
      </w:pPr>
      <w:rPr>
        <w:rFonts w:hint="default" w:ascii="Arial" w:hAnsi="Arial" w:eastAsia="Arial" w:cs="Arial"/>
        <w:w w:val="99"/>
        <w:sz w:val="25"/>
        <w:szCs w:val="25"/>
        <w:lang w:val="en-US" w:eastAsia="en-US" w:bidi="ar-SA"/>
      </w:rPr>
    </w:lvl>
    <w:lvl w:ilvl="1">
      <w:start w:val="0"/>
      <w:numFmt w:val="bullet"/>
      <w:lvlText w:val="•"/>
      <w:lvlJc w:val="left"/>
      <w:pPr>
        <w:ind w:left="2418" w:hanging="720"/>
      </w:pPr>
      <w:rPr>
        <w:rFonts w:hint="default"/>
        <w:lang w:val="en-US" w:eastAsia="en-US" w:bidi="ar-SA"/>
      </w:rPr>
    </w:lvl>
    <w:lvl w:ilvl="2">
      <w:start w:val="0"/>
      <w:numFmt w:val="bullet"/>
      <w:lvlText w:val="•"/>
      <w:lvlJc w:val="left"/>
      <w:pPr>
        <w:ind w:left="3257" w:hanging="720"/>
      </w:pPr>
      <w:rPr>
        <w:rFonts w:hint="default"/>
        <w:lang w:val="en-US" w:eastAsia="en-US" w:bidi="ar-SA"/>
      </w:rPr>
    </w:lvl>
    <w:lvl w:ilvl="3">
      <w:start w:val="0"/>
      <w:numFmt w:val="bullet"/>
      <w:lvlText w:val="•"/>
      <w:lvlJc w:val="left"/>
      <w:pPr>
        <w:ind w:left="4095" w:hanging="720"/>
      </w:pPr>
      <w:rPr>
        <w:rFonts w:hint="default"/>
        <w:lang w:val="en-US" w:eastAsia="en-US" w:bidi="ar-SA"/>
      </w:rPr>
    </w:lvl>
    <w:lvl w:ilvl="4">
      <w:start w:val="0"/>
      <w:numFmt w:val="bullet"/>
      <w:lvlText w:val="•"/>
      <w:lvlJc w:val="left"/>
      <w:pPr>
        <w:ind w:left="4934" w:hanging="720"/>
      </w:pPr>
      <w:rPr>
        <w:rFonts w:hint="default"/>
        <w:lang w:val="en-US" w:eastAsia="en-US" w:bidi="ar-SA"/>
      </w:rPr>
    </w:lvl>
    <w:lvl w:ilvl="5">
      <w:start w:val="0"/>
      <w:numFmt w:val="bullet"/>
      <w:lvlText w:val="•"/>
      <w:lvlJc w:val="left"/>
      <w:pPr>
        <w:ind w:left="5773" w:hanging="720"/>
      </w:pPr>
      <w:rPr>
        <w:rFonts w:hint="default"/>
        <w:lang w:val="en-US" w:eastAsia="en-US" w:bidi="ar-SA"/>
      </w:rPr>
    </w:lvl>
    <w:lvl w:ilvl="6">
      <w:start w:val="0"/>
      <w:numFmt w:val="bullet"/>
      <w:lvlText w:val="•"/>
      <w:lvlJc w:val="left"/>
      <w:pPr>
        <w:ind w:left="6611" w:hanging="720"/>
      </w:pPr>
      <w:rPr>
        <w:rFonts w:hint="default"/>
        <w:lang w:val="en-US" w:eastAsia="en-US" w:bidi="ar-SA"/>
      </w:rPr>
    </w:lvl>
    <w:lvl w:ilvl="7">
      <w:start w:val="0"/>
      <w:numFmt w:val="bullet"/>
      <w:lvlText w:val="•"/>
      <w:lvlJc w:val="left"/>
      <w:pPr>
        <w:ind w:left="7450" w:hanging="720"/>
      </w:pPr>
      <w:rPr>
        <w:rFonts w:hint="default"/>
        <w:lang w:val="en-US" w:eastAsia="en-US" w:bidi="ar-SA"/>
      </w:rPr>
    </w:lvl>
    <w:lvl w:ilvl="8">
      <w:start w:val="0"/>
      <w:numFmt w:val="bullet"/>
      <w:lvlText w:val="•"/>
      <w:lvlJc w:val="left"/>
      <w:pPr>
        <w:ind w:left="8289" w:hanging="720"/>
      </w:pPr>
      <w:rPr>
        <w:rFonts w:hint="default"/>
        <w:lang w:val="en-US" w:eastAsia="en-US" w:bidi="ar-SA"/>
      </w:rPr>
    </w:lvl>
  </w:abstractNum>
  <w:abstractNum w:abstractNumId="14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48">
    <w:multiLevelType w:val="hybridMultilevel"/>
    <w:lvl w:ilvl="0">
      <w:start w:val="1"/>
      <w:numFmt w:val="lowerRoman"/>
      <w:lvlText w:val="(%1)"/>
      <w:lvlJc w:val="left"/>
      <w:pPr>
        <w:ind w:left="1220" w:hanging="79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90"/>
      </w:pPr>
      <w:rPr>
        <w:rFonts w:hint="default"/>
        <w:lang w:val="en-US" w:eastAsia="en-US" w:bidi="ar-SA"/>
      </w:rPr>
    </w:lvl>
    <w:lvl w:ilvl="2">
      <w:start w:val="0"/>
      <w:numFmt w:val="bullet"/>
      <w:lvlText w:val="•"/>
      <w:lvlJc w:val="left"/>
      <w:pPr>
        <w:ind w:left="2969" w:hanging="790"/>
      </w:pPr>
      <w:rPr>
        <w:rFonts w:hint="default"/>
        <w:lang w:val="en-US" w:eastAsia="en-US" w:bidi="ar-SA"/>
      </w:rPr>
    </w:lvl>
    <w:lvl w:ilvl="3">
      <w:start w:val="0"/>
      <w:numFmt w:val="bullet"/>
      <w:lvlText w:val="•"/>
      <w:lvlJc w:val="left"/>
      <w:pPr>
        <w:ind w:left="3843" w:hanging="790"/>
      </w:pPr>
      <w:rPr>
        <w:rFonts w:hint="default"/>
        <w:lang w:val="en-US" w:eastAsia="en-US" w:bidi="ar-SA"/>
      </w:rPr>
    </w:lvl>
    <w:lvl w:ilvl="4">
      <w:start w:val="0"/>
      <w:numFmt w:val="bullet"/>
      <w:lvlText w:val="•"/>
      <w:lvlJc w:val="left"/>
      <w:pPr>
        <w:ind w:left="4718" w:hanging="790"/>
      </w:pPr>
      <w:rPr>
        <w:rFonts w:hint="default"/>
        <w:lang w:val="en-US" w:eastAsia="en-US" w:bidi="ar-SA"/>
      </w:rPr>
    </w:lvl>
    <w:lvl w:ilvl="5">
      <w:start w:val="0"/>
      <w:numFmt w:val="bullet"/>
      <w:lvlText w:val="•"/>
      <w:lvlJc w:val="left"/>
      <w:pPr>
        <w:ind w:left="5593" w:hanging="790"/>
      </w:pPr>
      <w:rPr>
        <w:rFonts w:hint="default"/>
        <w:lang w:val="en-US" w:eastAsia="en-US" w:bidi="ar-SA"/>
      </w:rPr>
    </w:lvl>
    <w:lvl w:ilvl="6">
      <w:start w:val="0"/>
      <w:numFmt w:val="bullet"/>
      <w:lvlText w:val="•"/>
      <w:lvlJc w:val="left"/>
      <w:pPr>
        <w:ind w:left="6467" w:hanging="790"/>
      </w:pPr>
      <w:rPr>
        <w:rFonts w:hint="default"/>
        <w:lang w:val="en-US" w:eastAsia="en-US" w:bidi="ar-SA"/>
      </w:rPr>
    </w:lvl>
    <w:lvl w:ilvl="7">
      <w:start w:val="0"/>
      <w:numFmt w:val="bullet"/>
      <w:lvlText w:val="•"/>
      <w:lvlJc w:val="left"/>
      <w:pPr>
        <w:ind w:left="7342" w:hanging="790"/>
      </w:pPr>
      <w:rPr>
        <w:rFonts w:hint="default"/>
        <w:lang w:val="en-US" w:eastAsia="en-US" w:bidi="ar-SA"/>
      </w:rPr>
    </w:lvl>
    <w:lvl w:ilvl="8">
      <w:start w:val="0"/>
      <w:numFmt w:val="bullet"/>
      <w:lvlText w:val="•"/>
      <w:lvlJc w:val="left"/>
      <w:pPr>
        <w:ind w:left="8217" w:hanging="790"/>
      </w:pPr>
      <w:rPr>
        <w:rFonts w:hint="default"/>
        <w:lang w:val="en-US" w:eastAsia="en-US" w:bidi="ar-SA"/>
      </w:rPr>
    </w:lvl>
  </w:abstractNum>
  <w:abstractNum w:abstractNumId="147">
    <w:multiLevelType w:val="hybridMultilevel"/>
    <w:lvl w:ilvl="0">
      <w:start w:val="2"/>
      <w:numFmt w:val="lowerLetter"/>
      <w:lvlText w:val="%1."/>
      <w:lvlJc w:val="left"/>
      <w:pPr>
        <w:ind w:left="1940" w:hanging="720"/>
        <w:jc w:val="left"/>
      </w:pPr>
      <w:rPr>
        <w:rFonts w:hint="default" w:ascii="Arial" w:hAnsi="Arial" w:eastAsia="Arial" w:cs="Arial"/>
        <w:w w:val="100"/>
        <w:sz w:val="21"/>
        <w:szCs w:val="21"/>
        <w:lang w:val="en-US" w:eastAsia="en-US" w:bidi="ar-SA"/>
      </w:rPr>
    </w:lvl>
    <w:lvl w:ilvl="1">
      <w:start w:val="0"/>
      <w:numFmt w:val="bullet"/>
      <w:lvlText w:val="•"/>
      <w:lvlJc w:val="left"/>
      <w:pPr>
        <w:ind w:left="2742" w:hanging="720"/>
      </w:pPr>
      <w:rPr>
        <w:rFonts w:hint="default"/>
        <w:lang w:val="en-US" w:eastAsia="en-US" w:bidi="ar-SA"/>
      </w:rPr>
    </w:lvl>
    <w:lvl w:ilvl="2">
      <w:start w:val="0"/>
      <w:numFmt w:val="bullet"/>
      <w:lvlText w:val="•"/>
      <w:lvlJc w:val="left"/>
      <w:pPr>
        <w:ind w:left="3545" w:hanging="720"/>
      </w:pPr>
      <w:rPr>
        <w:rFonts w:hint="default"/>
        <w:lang w:val="en-US" w:eastAsia="en-US" w:bidi="ar-SA"/>
      </w:rPr>
    </w:lvl>
    <w:lvl w:ilvl="3">
      <w:start w:val="0"/>
      <w:numFmt w:val="bullet"/>
      <w:lvlText w:val="•"/>
      <w:lvlJc w:val="left"/>
      <w:pPr>
        <w:ind w:left="4347" w:hanging="720"/>
      </w:pPr>
      <w:rPr>
        <w:rFonts w:hint="default"/>
        <w:lang w:val="en-US" w:eastAsia="en-US" w:bidi="ar-SA"/>
      </w:rPr>
    </w:lvl>
    <w:lvl w:ilvl="4">
      <w:start w:val="0"/>
      <w:numFmt w:val="bullet"/>
      <w:lvlText w:val="•"/>
      <w:lvlJc w:val="left"/>
      <w:pPr>
        <w:ind w:left="5150" w:hanging="720"/>
      </w:pPr>
      <w:rPr>
        <w:rFonts w:hint="default"/>
        <w:lang w:val="en-US" w:eastAsia="en-US" w:bidi="ar-SA"/>
      </w:rPr>
    </w:lvl>
    <w:lvl w:ilvl="5">
      <w:start w:val="0"/>
      <w:numFmt w:val="bullet"/>
      <w:lvlText w:val="•"/>
      <w:lvlJc w:val="left"/>
      <w:pPr>
        <w:ind w:left="5953" w:hanging="720"/>
      </w:pPr>
      <w:rPr>
        <w:rFonts w:hint="default"/>
        <w:lang w:val="en-US" w:eastAsia="en-US" w:bidi="ar-SA"/>
      </w:rPr>
    </w:lvl>
    <w:lvl w:ilvl="6">
      <w:start w:val="0"/>
      <w:numFmt w:val="bullet"/>
      <w:lvlText w:val="•"/>
      <w:lvlJc w:val="left"/>
      <w:pPr>
        <w:ind w:left="6755" w:hanging="720"/>
      </w:pPr>
      <w:rPr>
        <w:rFonts w:hint="default"/>
        <w:lang w:val="en-US" w:eastAsia="en-US" w:bidi="ar-SA"/>
      </w:rPr>
    </w:lvl>
    <w:lvl w:ilvl="7">
      <w:start w:val="0"/>
      <w:numFmt w:val="bullet"/>
      <w:lvlText w:val="•"/>
      <w:lvlJc w:val="left"/>
      <w:pPr>
        <w:ind w:left="7558" w:hanging="720"/>
      </w:pPr>
      <w:rPr>
        <w:rFonts w:hint="default"/>
        <w:lang w:val="en-US" w:eastAsia="en-US" w:bidi="ar-SA"/>
      </w:rPr>
    </w:lvl>
    <w:lvl w:ilvl="8">
      <w:start w:val="0"/>
      <w:numFmt w:val="bullet"/>
      <w:lvlText w:val="•"/>
      <w:lvlJc w:val="left"/>
      <w:pPr>
        <w:ind w:left="8361" w:hanging="720"/>
      </w:pPr>
      <w:rPr>
        <w:rFonts w:hint="default"/>
        <w:lang w:val="en-US" w:eastAsia="en-US" w:bidi="ar-SA"/>
      </w:rPr>
    </w:lvl>
  </w:abstractNum>
  <w:abstractNum w:abstractNumId="14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4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4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43">
    <w:multiLevelType w:val="hybridMultilevel"/>
    <w:lvl w:ilvl="0">
      <w:start w:val="1"/>
      <w:numFmt w:val="upperLetter"/>
      <w:lvlText w:val="(%1)"/>
      <w:lvlJc w:val="left"/>
      <w:pPr>
        <w:ind w:left="1220" w:hanging="720"/>
        <w:jc w:val="left"/>
      </w:pPr>
      <w:rPr>
        <w:rFonts w:hint="default" w:ascii="Arial" w:hAnsi="Arial" w:eastAsia="Arial" w:cs="Arial"/>
        <w:spacing w:val="-1"/>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42">
    <w:multiLevelType w:val="hybridMultilevel"/>
    <w:lvl w:ilvl="0">
      <w:start w:val="1"/>
      <w:numFmt w:val="lowerRoman"/>
      <w:lvlText w:val="(%1)"/>
      <w:lvlJc w:val="left"/>
      <w:pPr>
        <w:ind w:left="1940" w:hanging="720"/>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720"/>
      </w:pPr>
      <w:rPr>
        <w:rFonts w:hint="default"/>
        <w:lang w:val="en-US" w:eastAsia="en-US" w:bidi="ar-SA"/>
      </w:rPr>
    </w:lvl>
    <w:lvl w:ilvl="2">
      <w:start w:val="0"/>
      <w:numFmt w:val="bullet"/>
      <w:lvlText w:val="•"/>
      <w:lvlJc w:val="left"/>
      <w:pPr>
        <w:ind w:left="3545" w:hanging="720"/>
      </w:pPr>
      <w:rPr>
        <w:rFonts w:hint="default"/>
        <w:lang w:val="en-US" w:eastAsia="en-US" w:bidi="ar-SA"/>
      </w:rPr>
    </w:lvl>
    <w:lvl w:ilvl="3">
      <w:start w:val="0"/>
      <w:numFmt w:val="bullet"/>
      <w:lvlText w:val="•"/>
      <w:lvlJc w:val="left"/>
      <w:pPr>
        <w:ind w:left="4347" w:hanging="720"/>
      </w:pPr>
      <w:rPr>
        <w:rFonts w:hint="default"/>
        <w:lang w:val="en-US" w:eastAsia="en-US" w:bidi="ar-SA"/>
      </w:rPr>
    </w:lvl>
    <w:lvl w:ilvl="4">
      <w:start w:val="0"/>
      <w:numFmt w:val="bullet"/>
      <w:lvlText w:val="•"/>
      <w:lvlJc w:val="left"/>
      <w:pPr>
        <w:ind w:left="5150" w:hanging="720"/>
      </w:pPr>
      <w:rPr>
        <w:rFonts w:hint="default"/>
        <w:lang w:val="en-US" w:eastAsia="en-US" w:bidi="ar-SA"/>
      </w:rPr>
    </w:lvl>
    <w:lvl w:ilvl="5">
      <w:start w:val="0"/>
      <w:numFmt w:val="bullet"/>
      <w:lvlText w:val="•"/>
      <w:lvlJc w:val="left"/>
      <w:pPr>
        <w:ind w:left="5953" w:hanging="720"/>
      </w:pPr>
      <w:rPr>
        <w:rFonts w:hint="default"/>
        <w:lang w:val="en-US" w:eastAsia="en-US" w:bidi="ar-SA"/>
      </w:rPr>
    </w:lvl>
    <w:lvl w:ilvl="6">
      <w:start w:val="0"/>
      <w:numFmt w:val="bullet"/>
      <w:lvlText w:val="•"/>
      <w:lvlJc w:val="left"/>
      <w:pPr>
        <w:ind w:left="6755" w:hanging="720"/>
      </w:pPr>
      <w:rPr>
        <w:rFonts w:hint="default"/>
        <w:lang w:val="en-US" w:eastAsia="en-US" w:bidi="ar-SA"/>
      </w:rPr>
    </w:lvl>
    <w:lvl w:ilvl="7">
      <w:start w:val="0"/>
      <w:numFmt w:val="bullet"/>
      <w:lvlText w:val="•"/>
      <w:lvlJc w:val="left"/>
      <w:pPr>
        <w:ind w:left="7558" w:hanging="720"/>
      </w:pPr>
      <w:rPr>
        <w:rFonts w:hint="default"/>
        <w:lang w:val="en-US" w:eastAsia="en-US" w:bidi="ar-SA"/>
      </w:rPr>
    </w:lvl>
    <w:lvl w:ilvl="8">
      <w:start w:val="0"/>
      <w:numFmt w:val="bullet"/>
      <w:lvlText w:val="•"/>
      <w:lvlJc w:val="left"/>
      <w:pPr>
        <w:ind w:left="8361" w:hanging="720"/>
      </w:pPr>
      <w:rPr>
        <w:rFonts w:hint="default"/>
        <w:lang w:val="en-US" w:eastAsia="en-US" w:bidi="ar-SA"/>
      </w:rPr>
    </w:lvl>
  </w:abstractNum>
  <w:abstractNum w:abstractNumId="14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4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3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38">
    <w:multiLevelType w:val="hybridMultilevel"/>
    <w:lvl w:ilvl="0">
      <w:start w:val="1"/>
      <w:numFmt w:val="lowerLetter"/>
      <w:lvlText w:val="(%1)"/>
      <w:lvlJc w:val="left"/>
      <w:pPr>
        <w:ind w:left="500" w:hanging="276"/>
        <w:jc w:val="left"/>
      </w:pPr>
      <w:rPr>
        <w:rFonts w:hint="default" w:ascii="Arial" w:hAnsi="Arial" w:eastAsia="Arial" w:cs="Arial"/>
        <w:w w:val="99"/>
        <w:sz w:val="18"/>
        <w:szCs w:val="18"/>
        <w:lang w:val="en-US" w:eastAsia="en-US" w:bidi="ar-SA"/>
      </w:rPr>
    </w:lvl>
    <w:lvl w:ilvl="1">
      <w:start w:val="0"/>
      <w:numFmt w:val="bullet"/>
      <w:lvlText w:val="•"/>
      <w:lvlJc w:val="left"/>
      <w:pPr>
        <w:ind w:left="1446" w:hanging="276"/>
      </w:pPr>
      <w:rPr>
        <w:rFonts w:hint="default"/>
        <w:lang w:val="en-US" w:eastAsia="en-US" w:bidi="ar-SA"/>
      </w:rPr>
    </w:lvl>
    <w:lvl w:ilvl="2">
      <w:start w:val="0"/>
      <w:numFmt w:val="bullet"/>
      <w:lvlText w:val="•"/>
      <w:lvlJc w:val="left"/>
      <w:pPr>
        <w:ind w:left="2393" w:hanging="276"/>
      </w:pPr>
      <w:rPr>
        <w:rFonts w:hint="default"/>
        <w:lang w:val="en-US" w:eastAsia="en-US" w:bidi="ar-SA"/>
      </w:rPr>
    </w:lvl>
    <w:lvl w:ilvl="3">
      <w:start w:val="0"/>
      <w:numFmt w:val="bullet"/>
      <w:lvlText w:val="•"/>
      <w:lvlJc w:val="left"/>
      <w:pPr>
        <w:ind w:left="3339" w:hanging="276"/>
      </w:pPr>
      <w:rPr>
        <w:rFonts w:hint="default"/>
        <w:lang w:val="en-US" w:eastAsia="en-US" w:bidi="ar-SA"/>
      </w:rPr>
    </w:lvl>
    <w:lvl w:ilvl="4">
      <w:start w:val="0"/>
      <w:numFmt w:val="bullet"/>
      <w:lvlText w:val="•"/>
      <w:lvlJc w:val="left"/>
      <w:pPr>
        <w:ind w:left="4286" w:hanging="276"/>
      </w:pPr>
      <w:rPr>
        <w:rFonts w:hint="default"/>
        <w:lang w:val="en-US" w:eastAsia="en-US" w:bidi="ar-SA"/>
      </w:rPr>
    </w:lvl>
    <w:lvl w:ilvl="5">
      <w:start w:val="0"/>
      <w:numFmt w:val="bullet"/>
      <w:lvlText w:val="•"/>
      <w:lvlJc w:val="left"/>
      <w:pPr>
        <w:ind w:left="5233" w:hanging="276"/>
      </w:pPr>
      <w:rPr>
        <w:rFonts w:hint="default"/>
        <w:lang w:val="en-US" w:eastAsia="en-US" w:bidi="ar-SA"/>
      </w:rPr>
    </w:lvl>
    <w:lvl w:ilvl="6">
      <w:start w:val="0"/>
      <w:numFmt w:val="bullet"/>
      <w:lvlText w:val="•"/>
      <w:lvlJc w:val="left"/>
      <w:pPr>
        <w:ind w:left="6179" w:hanging="276"/>
      </w:pPr>
      <w:rPr>
        <w:rFonts w:hint="default"/>
        <w:lang w:val="en-US" w:eastAsia="en-US" w:bidi="ar-SA"/>
      </w:rPr>
    </w:lvl>
    <w:lvl w:ilvl="7">
      <w:start w:val="0"/>
      <w:numFmt w:val="bullet"/>
      <w:lvlText w:val="•"/>
      <w:lvlJc w:val="left"/>
      <w:pPr>
        <w:ind w:left="7126" w:hanging="276"/>
      </w:pPr>
      <w:rPr>
        <w:rFonts w:hint="default"/>
        <w:lang w:val="en-US" w:eastAsia="en-US" w:bidi="ar-SA"/>
      </w:rPr>
    </w:lvl>
    <w:lvl w:ilvl="8">
      <w:start w:val="0"/>
      <w:numFmt w:val="bullet"/>
      <w:lvlText w:val="•"/>
      <w:lvlJc w:val="left"/>
      <w:pPr>
        <w:ind w:left="8073" w:hanging="276"/>
      </w:pPr>
      <w:rPr>
        <w:rFonts w:hint="default"/>
        <w:lang w:val="en-US" w:eastAsia="en-US" w:bidi="ar-SA"/>
      </w:rPr>
    </w:lvl>
  </w:abstractNum>
  <w:abstractNum w:abstractNumId="137">
    <w:multiLevelType w:val="hybridMultilevel"/>
    <w:lvl w:ilvl="0">
      <w:start w:val="1"/>
      <w:numFmt w:val="decimal"/>
      <w:lvlText w:val="(%1)"/>
      <w:lvlJc w:val="left"/>
      <w:pPr>
        <w:ind w:left="766" w:hanging="267"/>
        <w:jc w:val="left"/>
      </w:pPr>
      <w:rPr>
        <w:rFonts w:hint="default" w:ascii="Arial" w:hAnsi="Arial" w:eastAsia="Arial" w:cs="Arial"/>
        <w:w w:val="99"/>
        <w:sz w:val="18"/>
        <w:szCs w:val="18"/>
        <w:lang w:val="en-US" w:eastAsia="en-US" w:bidi="ar-SA"/>
      </w:rPr>
    </w:lvl>
    <w:lvl w:ilvl="1">
      <w:start w:val="2"/>
      <w:numFmt w:val="decimal"/>
      <w:lvlText w:val="(%2)"/>
      <w:lvlJc w:val="left"/>
      <w:pPr>
        <w:ind w:left="1940" w:hanging="320"/>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2831" w:hanging="320"/>
      </w:pPr>
      <w:rPr>
        <w:rFonts w:hint="default"/>
        <w:lang w:val="en-US" w:eastAsia="en-US" w:bidi="ar-SA"/>
      </w:rPr>
    </w:lvl>
    <w:lvl w:ilvl="3">
      <w:start w:val="0"/>
      <w:numFmt w:val="bullet"/>
      <w:lvlText w:val="•"/>
      <w:lvlJc w:val="left"/>
      <w:pPr>
        <w:ind w:left="3723" w:hanging="320"/>
      </w:pPr>
      <w:rPr>
        <w:rFonts w:hint="default"/>
        <w:lang w:val="en-US" w:eastAsia="en-US" w:bidi="ar-SA"/>
      </w:rPr>
    </w:lvl>
    <w:lvl w:ilvl="4">
      <w:start w:val="0"/>
      <w:numFmt w:val="bullet"/>
      <w:lvlText w:val="•"/>
      <w:lvlJc w:val="left"/>
      <w:pPr>
        <w:ind w:left="4615" w:hanging="320"/>
      </w:pPr>
      <w:rPr>
        <w:rFonts w:hint="default"/>
        <w:lang w:val="en-US" w:eastAsia="en-US" w:bidi="ar-SA"/>
      </w:rPr>
    </w:lvl>
    <w:lvl w:ilvl="5">
      <w:start w:val="0"/>
      <w:numFmt w:val="bullet"/>
      <w:lvlText w:val="•"/>
      <w:lvlJc w:val="left"/>
      <w:pPr>
        <w:ind w:left="5507" w:hanging="320"/>
      </w:pPr>
      <w:rPr>
        <w:rFonts w:hint="default"/>
        <w:lang w:val="en-US" w:eastAsia="en-US" w:bidi="ar-SA"/>
      </w:rPr>
    </w:lvl>
    <w:lvl w:ilvl="6">
      <w:start w:val="0"/>
      <w:numFmt w:val="bullet"/>
      <w:lvlText w:val="•"/>
      <w:lvlJc w:val="left"/>
      <w:pPr>
        <w:ind w:left="6399" w:hanging="320"/>
      </w:pPr>
      <w:rPr>
        <w:rFonts w:hint="default"/>
        <w:lang w:val="en-US" w:eastAsia="en-US" w:bidi="ar-SA"/>
      </w:rPr>
    </w:lvl>
    <w:lvl w:ilvl="7">
      <w:start w:val="0"/>
      <w:numFmt w:val="bullet"/>
      <w:lvlText w:val="•"/>
      <w:lvlJc w:val="left"/>
      <w:pPr>
        <w:ind w:left="7290" w:hanging="320"/>
      </w:pPr>
      <w:rPr>
        <w:rFonts w:hint="default"/>
        <w:lang w:val="en-US" w:eastAsia="en-US" w:bidi="ar-SA"/>
      </w:rPr>
    </w:lvl>
    <w:lvl w:ilvl="8">
      <w:start w:val="0"/>
      <w:numFmt w:val="bullet"/>
      <w:lvlText w:val="•"/>
      <w:lvlJc w:val="left"/>
      <w:pPr>
        <w:ind w:left="8182" w:hanging="320"/>
      </w:pPr>
      <w:rPr>
        <w:rFonts w:hint="default"/>
        <w:lang w:val="en-US" w:eastAsia="en-US" w:bidi="ar-SA"/>
      </w:rPr>
    </w:lvl>
  </w:abstractNum>
  <w:abstractNum w:abstractNumId="13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4"/>
      <w:numFmt w:val="lowerRoman"/>
      <w:lvlText w:val="(%2)"/>
      <w:lvlJc w:val="left"/>
      <w:pPr>
        <w:ind w:left="1940" w:hanging="377"/>
        <w:jc w:val="left"/>
      </w:pPr>
      <w:rPr>
        <w:rFonts w:hint="default" w:ascii="Arial" w:hAnsi="Arial" w:eastAsia="Arial" w:cs="Arial"/>
        <w:spacing w:val="-3"/>
        <w:w w:val="100"/>
        <w:sz w:val="21"/>
        <w:szCs w:val="21"/>
        <w:lang w:val="en-US" w:eastAsia="en-US" w:bidi="ar-SA"/>
      </w:rPr>
    </w:lvl>
    <w:lvl w:ilvl="2">
      <w:start w:val="0"/>
      <w:numFmt w:val="bullet"/>
      <w:lvlText w:val="•"/>
      <w:lvlJc w:val="left"/>
      <w:pPr>
        <w:ind w:left="2831" w:hanging="377"/>
      </w:pPr>
      <w:rPr>
        <w:rFonts w:hint="default"/>
        <w:lang w:val="en-US" w:eastAsia="en-US" w:bidi="ar-SA"/>
      </w:rPr>
    </w:lvl>
    <w:lvl w:ilvl="3">
      <w:start w:val="0"/>
      <w:numFmt w:val="bullet"/>
      <w:lvlText w:val="•"/>
      <w:lvlJc w:val="left"/>
      <w:pPr>
        <w:ind w:left="3723" w:hanging="377"/>
      </w:pPr>
      <w:rPr>
        <w:rFonts w:hint="default"/>
        <w:lang w:val="en-US" w:eastAsia="en-US" w:bidi="ar-SA"/>
      </w:rPr>
    </w:lvl>
    <w:lvl w:ilvl="4">
      <w:start w:val="0"/>
      <w:numFmt w:val="bullet"/>
      <w:lvlText w:val="•"/>
      <w:lvlJc w:val="left"/>
      <w:pPr>
        <w:ind w:left="4615" w:hanging="377"/>
      </w:pPr>
      <w:rPr>
        <w:rFonts w:hint="default"/>
        <w:lang w:val="en-US" w:eastAsia="en-US" w:bidi="ar-SA"/>
      </w:rPr>
    </w:lvl>
    <w:lvl w:ilvl="5">
      <w:start w:val="0"/>
      <w:numFmt w:val="bullet"/>
      <w:lvlText w:val="•"/>
      <w:lvlJc w:val="left"/>
      <w:pPr>
        <w:ind w:left="5507" w:hanging="377"/>
      </w:pPr>
      <w:rPr>
        <w:rFonts w:hint="default"/>
        <w:lang w:val="en-US" w:eastAsia="en-US" w:bidi="ar-SA"/>
      </w:rPr>
    </w:lvl>
    <w:lvl w:ilvl="6">
      <w:start w:val="0"/>
      <w:numFmt w:val="bullet"/>
      <w:lvlText w:val="•"/>
      <w:lvlJc w:val="left"/>
      <w:pPr>
        <w:ind w:left="6399" w:hanging="377"/>
      </w:pPr>
      <w:rPr>
        <w:rFonts w:hint="default"/>
        <w:lang w:val="en-US" w:eastAsia="en-US" w:bidi="ar-SA"/>
      </w:rPr>
    </w:lvl>
    <w:lvl w:ilvl="7">
      <w:start w:val="0"/>
      <w:numFmt w:val="bullet"/>
      <w:lvlText w:val="•"/>
      <w:lvlJc w:val="left"/>
      <w:pPr>
        <w:ind w:left="7290" w:hanging="377"/>
      </w:pPr>
      <w:rPr>
        <w:rFonts w:hint="default"/>
        <w:lang w:val="en-US" w:eastAsia="en-US" w:bidi="ar-SA"/>
      </w:rPr>
    </w:lvl>
    <w:lvl w:ilvl="8">
      <w:start w:val="0"/>
      <w:numFmt w:val="bullet"/>
      <w:lvlText w:val="•"/>
      <w:lvlJc w:val="left"/>
      <w:pPr>
        <w:ind w:left="8182" w:hanging="377"/>
      </w:pPr>
      <w:rPr>
        <w:rFonts w:hint="default"/>
        <w:lang w:val="en-US" w:eastAsia="en-US" w:bidi="ar-SA"/>
      </w:rPr>
    </w:lvl>
  </w:abstractNum>
  <w:abstractNum w:abstractNumId="135">
    <w:multiLevelType w:val="hybridMultilevel"/>
    <w:lvl w:ilvl="0">
      <w:start w:val="1"/>
      <w:numFmt w:val="upperLetter"/>
      <w:lvlText w:val="%1."/>
      <w:lvlJc w:val="left"/>
      <w:pPr>
        <w:ind w:left="1220" w:hanging="720"/>
        <w:jc w:val="left"/>
      </w:pPr>
      <w:rPr>
        <w:rFonts w:hint="default" w:ascii="Arial" w:hAnsi="Arial" w:eastAsia="Arial" w:cs="Arial"/>
        <w:spacing w:val="-1"/>
        <w:w w:val="99"/>
        <w:sz w:val="25"/>
        <w:szCs w:val="25"/>
        <w:lang w:val="en-US" w:eastAsia="en-US" w:bidi="ar-SA"/>
      </w:rPr>
    </w:lvl>
    <w:lvl w:ilvl="1">
      <w:start w:val="1"/>
      <w:numFmt w:val="lowerRoman"/>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13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2120" w:hanging="900"/>
        <w:jc w:val="left"/>
      </w:pPr>
      <w:rPr>
        <w:rFonts w:hint="default" w:ascii="Arial" w:hAnsi="Arial" w:eastAsia="Arial" w:cs="Arial"/>
        <w:w w:val="99"/>
        <w:sz w:val="25"/>
        <w:szCs w:val="25"/>
        <w:lang w:val="en-US" w:eastAsia="en-US" w:bidi="ar-SA"/>
      </w:rPr>
    </w:lvl>
    <w:lvl w:ilvl="2">
      <w:start w:val="0"/>
      <w:numFmt w:val="bullet"/>
      <w:lvlText w:val="•"/>
      <w:lvlJc w:val="left"/>
      <w:pPr>
        <w:ind w:left="2991" w:hanging="900"/>
      </w:pPr>
      <w:rPr>
        <w:rFonts w:hint="default"/>
        <w:lang w:val="en-US" w:eastAsia="en-US" w:bidi="ar-SA"/>
      </w:rPr>
    </w:lvl>
    <w:lvl w:ilvl="3">
      <w:start w:val="0"/>
      <w:numFmt w:val="bullet"/>
      <w:lvlText w:val="•"/>
      <w:lvlJc w:val="left"/>
      <w:pPr>
        <w:ind w:left="3863" w:hanging="900"/>
      </w:pPr>
      <w:rPr>
        <w:rFonts w:hint="default"/>
        <w:lang w:val="en-US" w:eastAsia="en-US" w:bidi="ar-SA"/>
      </w:rPr>
    </w:lvl>
    <w:lvl w:ilvl="4">
      <w:start w:val="0"/>
      <w:numFmt w:val="bullet"/>
      <w:lvlText w:val="•"/>
      <w:lvlJc w:val="left"/>
      <w:pPr>
        <w:ind w:left="4735" w:hanging="900"/>
      </w:pPr>
      <w:rPr>
        <w:rFonts w:hint="default"/>
        <w:lang w:val="en-US" w:eastAsia="en-US" w:bidi="ar-SA"/>
      </w:rPr>
    </w:lvl>
    <w:lvl w:ilvl="5">
      <w:start w:val="0"/>
      <w:numFmt w:val="bullet"/>
      <w:lvlText w:val="•"/>
      <w:lvlJc w:val="left"/>
      <w:pPr>
        <w:ind w:left="5607" w:hanging="900"/>
      </w:pPr>
      <w:rPr>
        <w:rFonts w:hint="default"/>
        <w:lang w:val="en-US" w:eastAsia="en-US" w:bidi="ar-SA"/>
      </w:rPr>
    </w:lvl>
    <w:lvl w:ilvl="6">
      <w:start w:val="0"/>
      <w:numFmt w:val="bullet"/>
      <w:lvlText w:val="•"/>
      <w:lvlJc w:val="left"/>
      <w:pPr>
        <w:ind w:left="6479" w:hanging="900"/>
      </w:pPr>
      <w:rPr>
        <w:rFonts w:hint="default"/>
        <w:lang w:val="en-US" w:eastAsia="en-US" w:bidi="ar-SA"/>
      </w:rPr>
    </w:lvl>
    <w:lvl w:ilvl="7">
      <w:start w:val="0"/>
      <w:numFmt w:val="bullet"/>
      <w:lvlText w:val="•"/>
      <w:lvlJc w:val="left"/>
      <w:pPr>
        <w:ind w:left="7350" w:hanging="900"/>
      </w:pPr>
      <w:rPr>
        <w:rFonts w:hint="default"/>
        <w:lang w:val="en-US" w:eastAsia="en-US" w:bidi="ar-SA"/>
      </w:rPr>
    </w:lvl>
    <w:lvl w:ilvl="8">
      <w:start w:val="0"/>
      <w:numFmt w:val="bullet"/>
      <w:lvlText w:val="•"/>
      <w:lvlJc w:val="left"/>
      <w:pPr>
        <w:ind w:left="8222" w:hanging="900"/>
      </w:pPr>
      <w:rPr>
        <w:rFonts w:hint="default"/>
        <w:lang w:val="en-US" w:eastAsia="en-US" w:bidi="ar-SA"/>
      </w:rPr>
    </w:lvl>
  </w:abstractNum>
  <w:abstractNum w:abstractNumId="13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3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3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30">
    <w:multiLevelType w:val="hybridMultilevel"/>
    <w:lvl w:ilvl="0">
      <w:start w:val="14"/>
      <w:numFmt w:val="upperLetter"/>
      <w:lvlText w:val="%1"/>
      <w:lvlJc w:val="left"/>
      <w:pPr>
        <w:ind w:left="1220" w:hanging="720"/>
        <w:jc w:val="left"/>
      </w:pPr>
      <w:rPr>
        <w:rFonts w:hint="default"/>
        <w:lang w:val="en-US" w:eastAsia="en-US" w:bidi="ar-SA"/>
      </w:rPr>
    </w:lvl>
    <w:lvl w:ilvl="1">
      <w:start w:val="8"/>
      <w:numFmt w:val="decimal"/>
      <w:lvlText w:val="%1.%2"/>
      <w:lvlJc w:val="left"/>
      <w:pPr>
        <w:ind w:left="1220" w:hanging="720"/>
        <w:jc w:val="left"/>
      </w:pPr>
      <w:rPr>
        <w:rFonts w:hint="default" w:ascii="Arial" w:hAnsi="Arial" w:eastAsia="Arial" w:cs="Arial"/>
        <w:b/>
        <w:bCs/>
        <w:w w:val="99"/>
        <w:sz w:val="26"/>
        <w:szCs w:val="26"/>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2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2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27">
    <w:multiLevelType w:val="hybridMultilevel"/>
    <w:lvl w:ilvl="0">
      <w:start w:val="1"/>
      <w:numFmt w:val="lowerRoman"/>
      <w:lvlText w:val="(%1)"/>
      <w:lvlJc w:val="left"/>
      <w:pPr>
        <w:ind w:left="1311" w:hanging="720"/>
        <w:jc w:val="left"/>
      </w:pPr>
      <w:rPr>
        <w:rFonts w:hint="default" w:ascii="Arial" w:hAnsi="Arial" w:eastAsia="Arial" w:cs="Arial"/>
        <w:w w:val="99"/>
        <w:sz w:val="25"/>
        <w:szCs w:val="25"/>
        <w:lang w:val="en-US" w:eastAsia="en-US" w:bidi="ar-SA"/>
      </w:rPr>
    </w:lvl>
    <w:lvl w:ilvl="1">
      <w:start w:val="0"/>
      <w:numFmt w:val="bullet"/>
      <w:lvlText w:val="•"/>
      <w:lvlJc w:val="left"/>
      <w:pPr>
        <w:ind w:left="2184" w:hanging="720"/>
      </w:pPr>
      <w:rPr>
        <w:rFonts w:hint="default"/>
        <w:lang w:val="en-US" w:eastAsia="en-US" w:bidi="ar-SA"/>
      </w:rPr>
    </w:lvl>
    <w:lvl w:ilvl="2">
      <w:start w:val="0"/>
      <w:numFmt w:val="bullet"/>
      <w:lvlText w:val="•"/>
      <w:lvlJc w:val="left"/>
      <w:pPr>
        <w:ind w:left="3049" w:hanging="720"/>
      </w:pPr>
      <w:rPr>
        <w:rFonts w:hint="default"/>
        <w:lang w:val="en-US" w:eastAsia="en-US" w:bidi="ar-SA"/>
      </w:rPr>
    </w:lvl>
    <w:lvl w:ilvl="3">
      <w:start w:val="0"/>
      <w:numFmt w:val="bullet"/>
      <w:lvlText w:val="•"/>
      <w:lvlJc w:val="left"/>
      <w:pPr>
        <w:ind w:left="3913" w:hanging="720"/>
      </w:pPr>
      <w:rPr>
        <w:rFonts w:hint="default"/>
        <w:lang w:val="en-US" w:eastAsia="en-US" w:bidi="ar-SA"/>
      </w:rPr>
    </w:lvl>
    <w:lvl w:ilvl="4">
      <w:start w:val="0"/>
      <w:numFmt w:val="bullet"/>
      <w:lvlText w:val="•"/>
      <w:lvlJc w:val="left"/>
      <w:pPr>
        <w:ind w:left="4778" w:hanging="720"/>
      </w:pPr>
      <w:rPr>
        <w:rFonts w:hint="default"/>
        <w:lang w:val="en-US" w:eastAsia="en-US" w:bidi="ar-SA"/>
      </w:rPr>
    </w:lvl>
    <w:lvl w:ilvl="5">
      <w:start w:val="0"/>
      <w:numFmt w:val="bullet"/>
      <w:lvlText w:val="•"/>
      <w:lvlJc w:val="left"/>
      <w:pPr>
        <w:ind w:left="5643" w:hanging="720"/>
      </w:pPr>
      <w:rPr>
        <w:rFonts w:hint="default"/>
        <w:lang w:val="en-US" w:eastAsia="en-US" w:bidi="ar-SA"/>
      </w:rPr>
    </w:lvl>
    <w:lvl w:ilvl="6">
      <w:start w:val="0"/>
      <w:numFmt w:val="bullet"/>
      <w:lvlText w:val="•"/>
      <w:lvlJc w:val="left"/>
      <w:pPr>
        <w:ind w:left="6507" w:hanging="720"/>
      </w:pPr>
      <w:rPr>
        <w:rFonts w:hint="default"/>
        <w:lang w:val="en-US" w:eastAsia="en-US" w:bidi="ar-SA"/>
      </w:rPr>
    </w:lvl>
    <w:lvl w:ilvl="7">
      <w:start w:val="0"/>
      <w:numFmt w:val="bullet"/>
      <w:lvlText w:val="•"/>
      <w:lvlJc w:val="left"/>
      <w:pPr>
        <w:ind w:left="7372" w:hanging="720"/>
      </w:pPr>
      <w:rPr>
        <w:rFonts w:hint="default"/>
        <w:lang w:val="en-US" w:eastAsia="en-US" w:bidi="ar-SA"/>
      </w:rPr>
    </w:lvl>
    <w:lvl w:ilvl="8">
      <w:start w:val="0"/>
      <w:numFmt w:val="bullet"/>
      <w:lvlText w:val="•"/>
      <w:lvlJc w:val="left"/>
      <w:pPr>
        <w:ind w:left="8237" w:hanging="720"/>
      </w:pPr>
      <w:rPr>
        <w:rFonts w:hint="default"/>
        <w:lang w:val="en-US" w:eastAsia="en-US" w:bidi="ar-SA"/>
      </w:rPr>
    </w:lvl>
  </w:abstractNum>
  <w:abstractNum w:abstractNumId="126">
    <w:multiLevelType w:val="hybridMultilevel"/>
    <w:lvl w:ilvl="0">
      <w:start w:val="1"/>
      <w:numFmt w:val="lowerRoman"/>
      <w:lvlText w:val="(%1)"/>
      <w:lvlJc w:val="left"/>
      <w:pPr>
        <w:ind w:left="1311" w:hanging="812"/>
        <w:jc w:val="left"/>
      </w:pPr>
      <w:rPr>
        <w:rFonts w:hint="default" w:ascii="Arial" w:hAnsi="Arial" w:eastAsia="Arial" w:cs="Arial"/>
        <w:w w:val="99"/>
        <w:sz w:val="25"/>
        <w:szCs w:val="25"/>
        <w:lang w:val="en-US" w:eastAsia="en-US" w:bidi="ar-SA"/>
      </w:rPr>
    </w:lvl>
    <w:lvl w:ilvl="1">
      <w:start w:val="0"/>
      <w:numFmt w:val="bullet"/>
      <w:lvlText w:val="•"/>
      <w:lvlJc w:val="left"/>
      <w:pPr>
        <w:ind w:left="2184" w:hanging="812"/>
      </w:pPr>
      <w:rPr>
        <w:rFonts w:hint="default"/>
        <w:lang w:val="en-US" w:eastAsia="en-US" w:bidi="ar-SA"/>
      </w:rPr>
    </w:lvl>
    <w:lvl w:ilvl="2">
      <w:start w:val="0"/>
      <w:numFmt w:val="bullet"/>
      <w:lvlText w:val="•"/>
      <w:lvlJc w:val="left"/>
      <w:pPr>
        <w:ind w:left="3049" w:hanging="812"/>
      </w:pPr>
      <w:rPr>
        <w:rFonts w:hint="default"/>
        <w:lang w:val="en-US" w:eastAsia="en-US" w:bidi="ar-SA"/>
      </w:rPr>
    </w:lvl>
    <w:lvl w:ilvl="3">
      <w:start w:val="0"/>
      <w:numFmt w:val="bullet"/>
      <w:lvlText w:val="•"/>
      <w:lvlJc w:val="left"/>
      <w:pPr>
        <w:ind w:left="3913" w:hanging="812"/>
      </w:pPr>
      <w:rPr>
        <w:rFonts w:hint="default"/>
        <w:lang w:val="en-US" w:eastAsia="en-US" w:bidi="ar-SA"/>
      </w:rPr>
    </w:lvl>
    <w:lvl w:ilvl="4">
      <w:start w:val="0"/>
      <w:numFmt w:val="bullet"/>
      <w:lvlText w:val="•"/>
      <w:lvlJc w:val="left"/>
      <w:pPr>
        <w:ind w:left="4778" w:hanging="812"/>
      </w:pPr>
      <w:rPr>
        <w:rFonts w:hint="default"/>
        <w:lang w:val="en-US" w:eastAsia="en-US" w:bidi="ar-SA"/>
      </w:rPr>
    </w:lvl>
    <w:lvl w:ilvl="5">
      <w:start w:val="0"/>
      <w:numFmt w:val="bullet"/>
      <w:lvlText w:val="•"/>
      <w:lvlJc w:val="left"/>
      <w:pPr>
        <w:ind w:left="5643" w:hanging="812"/>
      </w:pPr>
      <w:rPr>
        <w:rFonts w:hint="default"/>
        <w:lang w:val="en-US" w:eastAsia="en-US" w:bidi="ar-SA"/>
      </w:rPr>
    </w:lvl>
    <w:lvl w:ilvl="6">
      <w:start w:val="0"/>
      <w:numFmt w:val="bullet"/>
      <w:lvlText w:val="•"/>
      <w:lvlJc w:val="left"/>
      <w:pPr>
        <w:ind w:left="6507" w:hanging="812"/>
      </w:pPr>
      <w:rPr>
        <w:rFonts w:hint="default"/>
        <w:lang w:val="en-US" w:eastAsia="en-US" w:bidi="ar-SA"/>
      </w:rPr>
    </w:lvl>
    <w:lvl w:ilvl="7">
      <w:start w:val="0"/>
      <w:numFmt w:val="bullet"/>
      <w:lvlText w:val="•"/>
      <w:lvlJc w:val="left"/>
      <w:pPr>
        <w:ind w:left="7372" w:hanging="812"/>
      </w:pPr>
      <w:rPr>
        <w:rFonts w:hint="default"/>
        <w:lang w:val="en-US" w:eastAsia="en-US" w:bidi="ar-SA"/>
      </w:rPr>
    </w:lvl>
    <w:lvl w:ilvl="8">
      <w:start w:val="0"/>
      <w:numFmt w:val="bullet"/>
      <w:lvlText w:val="•"/>
      <w:lvlJc w:val="left"/>
      <w:pPr>
        <w:ind w:left="8237" w:hanging="812"/>
      </w:pPr>
      <w:rPr>
        <w:rFonts w:hint="default"/>
        <w:lang w:val="en-US" w:eastAsia="en-US" w:bidi="ar-SA"/>
      </w:rPr>
    </w:lvl>
  </w:abstractNum>
  <w:abstractNum w:abstractNumId="12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2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23">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2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21">
    <w:multiLevelType w:val="hybridMultilevel"/>
    <w:lvl w:ilvl="0">
      <w:start w:val="1"/>
      <w:numFmt w:val="lowerRoman"/>
      <w:lvlText w:val="(%1)"/>
      <w:lvlJc w:val="left"/>
      <w:pPr>
        <w:ind w:left="158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360"/>
        <w:jc w:val="left"/>
      </w:pPr>
      <w:rPr>
        <w:rFonts w:hint="default" w:ascii="Arial" w:hAnsi="Arial" w:eastAsia="Arial" w:cs="Arial"/>
        <w:w w:val="99"/>
        <w:sz w:val="25"/>
        <w:szCs w:val="25"/>
        <w:lang w:val="en-US" w:eastAsia="en-US" w:bidi="ar-SA"/>
      </w:rPr>
    </w:lvl>
    <w:lvl w:ilvl="2">
      <w:start w:val="0"/>
      <w:numFmt w:val="bullet"/>
      <w:lvlText w:val="•"/>
      <w:lvlJc w:val="left"/>
      <w:pPr>
        <w:ind w:left="2831" w:hanging="360"/>
      </w:pPr>
      <w:rPr>
        <w:rFonts w:hint="default"/>
        <w:lang w:val="en-US" w:eastAsia="en-US" w:bidi="ar-SA"/>
      </w:rPr>
    </w:lvl>
    <w:lvl w:ilvl="3">
      <w:start w:val="0"/>
      <w:numFmt w:val="bullet"/>
      <w:lvlText w:val="•"/>
      <w:lvlJc w:val="left"/>
      <w:pPr>
        <w:ind w:left="3723" w:hanging="360"/>
      </w:pPr>
      <w:rPr>
        <w:rFonts w:hint="default"/>
        <w:lang w:val="en-US" w:eastAsia="en-US" w:bidi="ar-SA"/>
      </w:rPr>
    </w:lvl>
    <w:lvl w:ilvl="4">
      <w:start w:val="0"/>
      <w:numFmt w:val="bullet"/>
      <w:lvlText w:val="•"/>
      <w:lvlJc w:val="left"/>
      <w:pPr>
        <w:ind w:left="4615" w:hanging="360"/>
      </w:pPr>
      <w:rPr>
        <w:rFonts w:hint="default"/>
        <w:lang w:val="en-US" w:eastAsia="en-US" w:bidi="ar-SA"/>
      </w:rPr>
    </w:lvl>
    <w:lvl w:ilvl="5">
      <w:start w:val="0"/>
      <w:numFmt w:val="bullet"/>
      <w:lvlText w:val="•"/>
      <w:lvlJc w:val="left"/>
      <w:pPr>
        <w:ind w:left="5507" w:hanging="360"/>
      </w:pPr>
      <w:rPr>
        <w:rFonts w:hint="default"/>
        <w:lang w:val="en-US" w:eastAsia="en-US" w:bidi="ar-SA"/>
      </w:rPr>
    </w:lvl>
    <w:lvl w:ilvl="6">
      <w:start w:val="0"/>
      <w:numFmt w:val="bullet"/>
      <w:lvlText w:val="•"/>
      <w:lvlJc w:val="left"/>
      <w:pPr>
        <w:ind w:left="6399" w:hanging="360"/>
      </w:pPr>
      <w:rPr>
        <w:rFonts w:hint="default"/>
        <w:lang w:val="en-US" w:eastAsia="en-US" w:bidi="ar-SA"/>
      </w:rPr>
    </w:lvl>
    <w:lvl w:ilvl="7">
      <w:start w:val="0"/>
      <w:numFmt w:val="bullet"/>
      <w:lvlText w:val="•"/>
      <w:lvlJc w:val="left"/>
      <w:pPr>
        <w:ind w:left="7290" w:hanging="360"/>
      </w:pPr>
      <w:rPr>
        <w:rFonts w:hint="default"/>
        <w:lang w:val="en-US" w:eastAsia="en-US" w:bidi="ar-SA"/>
      </w:rPr>
    </w:lvl>
    <w:lvl w:ilvl="8">
      <w:start w:val="0"/>
      <w:numFmt w:val="bullet"/>
      <w:lvlText w:val="•"/>
      <w:lvlJc w:val="left"/>
      <w:pPr>
        <w:ind w:left="8182" w:hanging="360"/>
      </w:pPr>
      <w:rPr>
        <w:rFonts w:hint="default"/>
        <w:lang w:val="en-US" w:eastAsia="en-US" w:bidi="ar-SA"/>
      </w:rPr>
    </w:lvl>
  </w:abstractNum>
  <w:abstractNum w:abstractNumId="120">
    <w:multiLevelType w:val="hybridMultilevel"/>
    <w:lvl w:ilvl="0">
      <w:start w:val="1"/>
      <w:numFmt w:val="lowerRoman"/>
      <w:lvlText w:val="(%1)"/>
      <w:lvlJc w:val="left"/>
      <w:pPr>
        <w:ind w:left="1220" w:hanging="79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90"/>
      </w:pPr>
      <w:rPr>
        <w:rFonts w:hint="default"/>
        <w:lang w:val="en-US" w:eastAsia="en-US" w:bidi="ar-SA"/>
      </w:rPr>
    </w:lvl>
    <w:lvl w:ilvl="2">
      <w:start w:val="0"/>
      <w:numFmt w:val="bullet"/>
      <w:lvlText w:val="•"/>
      <w:lvlJc w:val="left"/>
      <w:pPr>
        <w:ind w:left="2969" w:hanging="790"/>
      </w:pPr>
      <w:rPr>
        <w:rFonts w:hint="default"/>
        <w:lang w:val="en-US" w:eastAsia="en-US" w:bidi="ar-SA"/>
      </w:rPr>
    </w:lvl>
    <w:lvl w:ilvl="3">
      <w:start w:val="0"/>
      <w:numFmt w:val="bullet"/>
      <w:lvlText w:val="•"/>
      <w:lvlJc w:val="left"/>
      <w:pPr>
        <w:ind w:left="3843" w:hanging="790"/>
      </w:pPr>
      <w:rPr>
        <w:rFonts w:hint="default"/>
        <w:lang w:val="en-US" w:eastAsia="en-US" w:bidi="ar-SA"/>
      </w:rPr>
    </w:lvl>
    <w:lvl w:ilvl="4">
      <w:start w:val="0"/>
      <w:numFmt w:val="bullet"/>
      <w:lvlText w:val="•"/>
      <w:lvlJc w:val="left"/>
      <w:pPr>
        <w:ind w:left="4718" w:hanging="790"/>
      </w:pPr>
      <w:rPr>
        <w:rFonts w:hint="default"/>
        <w:lang w:val="en-US" w:eastAsia="en-US" w:bidi="ar-SA"/>
      </w:rPr>
    </w:lvl>
    <w:lvl w:ilvl="5">
      <w:start w:val="0"/>
      <w:numFmt w:val="bullet"/>
      <w:lvlText w:val="•"/>
      <w:lvlJc w:val="left"/>
      <w:pPr>
        <w:ind w:left="5593" w:hanging="790"/>
      </w:pPr>
      <w:rPr>
        <w:rFonts w:hint="default"/>
        <w:lang w:val="en-US" w:eastAsia="en-US" w:bidi="ar-SA"/>
      </w:rPr>
    </w:lvl>
    <w:lvl w:ilvl="6">
      <w:start w:val="0"/>
      <w:numFmt w:val="bullet"/>
      <w:lvlText w:val="•"/>
      <w:lvlJc w:val="left"/>
      <w:pPr>
        <w:ind w:left="6467" w:hanging="790"/>
      </w:pPr>
      <w:rPr>
        <w:rFonts w:hint="default"/>
        <w:lang w:val="en-US" w:eastAsia="en-US" w:bidi="ar-SA"/>
      </w:rPr>
    </w:lvl>
    <w:lvl w:ilvl="7">
      <w:start w:val="0"/>
      <w:numFmt w:val="bullet"/>
      <w:lvlText w:val="•"/>
      <w:lvlJc w:val="left"/>
      <w:pPr>
        <w:ind w:left="7342" w:hanging="790"/>
      </w:pPr>
      <w:rPr>
        <w:rFonts w:hint="default"/>
        <w:lang w:val="en-US" w:eastAsia="en-US" w:bidi="ar-SA"/>
      </w:rPr>
    </w:lvl>
    <w:lvl w:ilvl="8">
      <w:start w:val="0"/>
      <w:numFmt w:val="bullet"/>
      <w:lvlText w:val="•"/>
      <w:lvlJc w:val="left"/>
      <w:pPr>
        <w:ind w:left="8217" w:hanging="790"/>
      </w:pPr>
      <w:rPr>
        <w:rFonts w:hint="default"/>
        <w:lang w:val="en-US" w:eastAsia="en-US" w:bidi="ar-SA"/>
      </w:rPr>
    </w:lvl>
  </w:abstractNum>
  <w:abstractNum w:abstractNumId="119">
    <w:multiLevelType w:val="hybridMultilevel"/>
    <w:lvl w:ilvl="0">
      <w:start w:val="1"/>
      <w:numFmt w:val="lowerRoman"/>
      <w:lvlText w:val="(%1)"/>
      <w:lvlJc w:val="left"/>
      <w:pPr>
        <w:ind w:left="1633" w:hanging="720"/>
        <w:jc w:val="left"/>
      </w:pPr>
      <w:rPr>
        <w:rFonts w:hint="default" w:ascii="Arial" w:hAnsi="Arial" w:eastAsia="Arial" w:cs="Arial"/>
        <w:w w:val="99"/>
        <w:sz w:val="25"/>
        <w:szCs w:val="25"/>
        <w:lang w:val="en-US" w:eastAsia="en-US" w:bidi="ar-SA"/>
      </w:rPr>
    </w:lvl>
    <w:lvl w:ilvl="1">
      <w:start w:val="0"/>
      <w:numFmt w:val="bullet"/>
      <w:lvlText w:val="•"/>
      <w:lvlJc w:val="left"/>
      <w:pPr>
        <w:ind w:left="2472" w:hanging="720"/>
      </w:pPr>
      <w:rPr>
        <w:rFonts w:hint="default"/>
        <w:lang w:val="en-US" w:eastAsia="en-US" w:bidi="ar-SA"/>
      </w:rPr>
    </w:lvl>
    <w:lvl w:ilvl="2">
      <w:start w:val="0"/>
      <w:numFmt w:val="bullet"/>
      <w:lvlText w:val="•"/>
      <w:lvlJc w:val="left"/>
      <w:pPr>
        <w:ind w:left="3305" w:hanging="720"/>
      </w:pPr>
      <w:rPr>
        <w:rFonts w:hint="default"/>
        <w:lang w:val="en-US" w:eastAsia="en-US" w:bidi="ar-SA"/>
      </w:rPr>
    </w:lvl>
    <w:lvl w:ilvl="3">
      <w:start w:val="0"/>
      <w:numFmt w:val="bullet"/>
      <w:lvlText w:val="•"/>
      <w:lvlJc w:val="left"/>
      <w:pPr>
        <w:ind w:left="4137" w:hanging="720"/>
      </w:pPr>
      <w:rPr>
        <w:rFonts w:hint="default"/>
        <w:lang w:val="en-US" w:eastAsia="en-US" w:bidi="ar-SA"/>
      </w:rPr>
    </w:lvl>
    <w:lvl w:ilvl="4">
      <w:start w:val="0"/>
      <w:numFmt w:val="bullet"/>
      <w:lvlText w:val="•"/>
      <w:lvlJc w:val="left"/>
      <w:pPr>
        <w:ind w:left="4970" w:hanging="720"/>
      </w:pPr>
      <w:rPr>
        <w:rFonts w:hint="default"/>
        <w:lang w:val="en-US" w:eastAsia="en-US" w:bidi="ar-SA"/>
      </w:rPr>
    </w:lvl>
    <w:lvl w:ilvl="5">
      <w:start w:val="0"/>
      <w:numFmt w:val="bullet"/>
      <w:lvlText w:val="•"/>
      <w:lvlJc w:val="left"/>
      <w:pPr>
        <w:ind w:left="5803" w:hanging="720"/>
      </w:pPr>
      <w:rPr>
        <w:rFonts w:hint="default"/>
        <w:lang w:val="en-US" w:eastAsia="en-US" w:bidi="ar-SA"/>
      </w:rPr>
    </w:lvl>
    <w:lvl w:ilvl="6">
      <w:start w:val="0"/>
      <w:numFmt w:val="bullet"/>
      <w:lvlText w:val="•"/>
      <w:lvlJc w:val="left"/>
      <w:pPr>
        <w:ind w:left="6635" w:hanging="720"/>
      </w:pPr>
      <w:rPr>
        <w:rFonts w:hint="default"/>
        <w:lang w:val="en-US" w:eastAsia="en-US" w:bidi="ar-SA"/>
      </w:rPr>
    </w:lvl>
    <w:lvl w:ilvl="7">
      <w:start w:val="0"/>
      <w:numFmt w:val="bullet"/>
      <w:lvlText w:val="•"/>
      <w:lvlJc w:val="left"/>
      <w:pPr>
        <w:ind w:left="7468" w:hanging="720"/>
      </w:pPr>
      <w:rPr>
        <w:rFonts w:hint="default"/>
        <w:lang w:val="en-US" w:eastAsia="en-US" w:bidi="ar-SA"/>
      </w:rPr>
    </w:lvl>
    <w:lvl w:ilvl="8">
      <w:start w:val="0"/>
      <w:numFmt w:val="bullet"/>
      <w:lvlText w:val="•"/>
      <w:lvlJc w:val="left"/>
      <w:pPr>
        <w:ind w:left="8301" w:hanging="720"/>
      </w:pPr>
      <w:rPr>
        <w:rFonts w:hint="default"/>
        <w:lang w:val="en-US" w:eastAsia="en-US" w:bidi="ar-SA"/>
      </w:rPr>
    </w:lvl>
  </w:abstractNum>
  <w:abstractNum w:abstractNumId="118">
    <w:multiLevelType w:val="hybridMultilevel"/>
    <w:lvl w:ilvl="0">
      <w:start w:val="1"/>
      <w:numFmt w:val="lowerRoman"/>
      <w:lvlText w:val="(%1)"/>
      <w:lvlJc w:val="left"/>
      <w:pPr>
        <w:ind w:left="927" w:hanging="360"/>
        <w:jc w:val="left"/>
      </w:pPr>
      <w:rPr>
        <w:rFonts w:hint="default" w:ascii="Arial" w:hAnsi="Arial" w:eastAsia="Arial" w:cs="Arial"/>
        <w:w w:val="99"/>
        <w:sz w:val="25"/>
        <w:szCs w:val="25"/>
        <w:lang w:val="en-US" w:eastAsia="en-US" w:bidi="ar-SA"/>
      </w:rPr>
    </w:lvl>
    <w:lvl w:ilvl="1">
      <w:start w:val="0"/>
      <w:numFmt w:val="bullet"/>
      <w:lvlText w:val="•"/>
      <w:lvlJc w:val="left"/>
      <w:pPr>
        <w:ind w:left="1824" w:hanging="360"/>
      </w:pPr>
      <w:rPr>
        <w:rFonts w:hint="default"/>
        <w:lang w:val="en-US" w:eastAsia="en-US" w:bidi="ar-SA"/>
      </w:rPr>
    </w:lvl>
    <w:lvl w:ilvl="2">
      <w:start w:val="0"/>
      <w:numFmt w:val="bullet"/>
      <w:lvlText w:val="•"/>
      <w:lvlJc w:val="left"/>
      <w:pPr>
        <w:ind w:left="2729" w:hanging="360"/>
      </w:pPr>
      <w:rPr>
        <w:rFonts w:hint="default"/>
        <w:lang w:val="en-US" w:eastAsia="en-US" w:bidi="ar-SA"/>
      </w:rPr>
    </w:lvl>
    <w:lvl w:ilvl="3">
      <w:start w:val="0"/>
      <w:numFmt w:val="bullet"/>
      <w:lvlText w:val="•"/>
      <w:lvlJc w:val="left"/>
      <w:pPr>
        <w:ind w:left="3633" w:hanging="360"/>
      </w:pPr>
      <w:rPr>
        <w:rFonts w:hint="default"/>
        <w:lang w:val="en-US" w:eastAsia="en-US" w:bidi="ar-SA"/>
      </w:rPr>
    </w:lvl>
    <w:lvl w:ilvl="4">
      <w:start w:val="0"/>
      <w:numFmt w:val="bullet"/>
      <w:lvlText w:val="•"/>
      <w:lvlJc w:val="left"/>
      <w:pPr>
        <w:ind w:left="4538" w:hanging="360"/>
      </w:pPr>
      <w:rPr>
        <w:rFonts w:hint="default"/>
        <w:lang w:val="en-US" w:eastAsia="en-US" w:bidi="ar-SA"/>
      </w:rPr>
    </w:lvl>
    <w:lvl w:ilvl="5">
      <w:start w:val="0"/>
      <w:numFmt w:val="bullet"/>
      <w:lvlText w:val="•"/>
      <w:lvlJc w:val="left"/>
      <w:pPr>
        <w:ind w:left="5443" w:hanging="360"/>
      </w:pPr>
      <w:rPr>
        <w:rFonts w:hint="default"/>
        <w:lang w:val="en-US" w:eastAsia="en-US" w:bidi="ar-SA"/>
      </w:rPr>
    </w:lvl>
    <w:lvl w:ilvl="6">
      <w:start w:val="0"/>
      <w:numFmt w:val="bullet"/>
      <w:lvlText w:val="•"/>
      <w:lvlJc w:val="left"/>
      <w:pPr>
        <w:ind w:left="6347" w:hanging="360"/>
      </w:pPr>
      <w:rPr>
        <w:rFonts w:hint="default"/>
        <w:lang w:val="en-US" w:eastAsia="en-US" w:bidi="ar-SA"/>
      </w:rPr>
    </w:lvl>
    <w:lvl w:ilvl="7">
      <w:start w:val="0"/>
      <w:numFmt w:val="bullet"/>
      <w:lvlText w:val="•"/>
      <w:lvlJc w:val="left"/>
      <w:pPr>
        <w:ind w:left="7252" w:hanging="360"/>
      </w:pPr>
      <w:rPr>
        <w:rFonts w:hint="default"/>
        <w:lang w:val="en-US" w:eastAsia="en-US" w:bidi="ar-SA"/>
      </w:rPr>
    </w:lvl>
    <w:lvl w:ilvl="8">
      <w:start w:val="0"/>
      <w:numFmt w:val="bullet"/>
      <w:lvlText w:val="•"/>
      <w:lvlJc w:val="left"/>
      <w:pPr>
        <w:ind w:left="8157" w:hanging="360"/>
      </w:pPr>
      <w:rPr>
        <w:rFonts w:hint="default"/>
        <w:lang w:val="en-US" w:eastAsia="en-US" w:bidi="ar-SA"/>
      </w:rPr>
    </w:lvl>
  </w:abstractNum>
  <w:abstractNum w:abstractNumId="117">
    <w:multiLevelType w:val="hybridMultilevel"/>
    <w:lvl w:ilvl="0">
      <w:start w:val="1"/>
      <w:numFmt w:val="decimal"/>
      <w:lvlText w:val="%1."/>
      <w:lvlJc w:val="left"/>
      <w:pPr>
        <w:ind w:left="1940" w:hanging="248"/>
        <w:jc w:val="left"/>
      </w:pPr>
      <w:rPr>
        <w:rFonts w:hint="default" w:ascii="Arial" w:hAnsi="Arial" w:eastAsia="Arial" w:cs="Arial"/>
        <w:w w:val="100"/>
        <w:sz w:val="21"/>
        <w:szCs w:val="21"/>
        <w:lang w:val="en-US" w:eastAsia="en-US" w:bidi="ar-SA"/>
      </w:rPr>
    </w:lvl>
    <w:lvl w:ilvl="1">
      <w:start w:val="0"/>
      <w:numFmt w:val="bullet"/>
      <w:lvlText w:val="•"/>
      <w:lvlJc w:val="left"/>
      <w:pPr>
        <w:ind w:left="2742" w:hanging="248"/>
      </w:pPr>
      <w:rPr>
        <w:rFonts w:hint="default"/>
        <w:lang w:val="en-US" w:eastAsia="en-US" w:bidi="ar-SA"/>
      </w:rPr>
    </w:lvl>
    <w:lvl w:ilvl="2">
      <w:start w:val="0"/>
      <w:numFmt w:val="bullet"/>
      <w:lvlText w:val="•"/>
      <w:lvlJc w:val="left"/>
      <w:pPr>
        <w:ind w:left="3545" w:hanging="248"/>
      </w:pPr>
      <w:rPr>
        <w:rFonts w:hint="default"/>
        <w:lang w:val="en-US" w:eastAsia="en-US" w:bidi="ar-SA"/>
      </w:rPr>
    </w:lvl>
    <w:lvl w:ilvl="3">
      <w:start w:val="0"/>
      <w:numFmt w:val="bullet"/>
      <w:lvlText w:val="•"/>
      <w:lvlJc w:val="left"/>
      <w:pPr>
        <w:ind w:left="4347" w:hanging="248"/>
      </w:pPr>
      <w:rPr>
        <w:rFonts w:hint="default"/>
        <w:lang w:val="en-US" w:eastAsia="en-US" w:bidi="ar-SA"/>
      </w:rPr>
    </w:lvl>
    <w:lvl w:ilvl="4">
      <w:start w:val="0"/>
      <w:numFmt w:val="bullet"/>
      <w:lvlText w:val="•"/>
      <w:lvlJc w:val="left"/>
      <w:pPr>
        <w:ind w:left="5150" w:hanging="248"/>
      </w:pPr>
      <w:rPr>
        <w:rFonts w:hint="default"/>
        <w:lang w:val="en-US" w:eastAsia="en-US" w:bidi="ar-SA"/>
      </w:rPr>
    </w:lvl>
    <w:lvl w:ilvl="5">
      <w:start w:val="0"/>
      <w:numFmt w:val="bullet"/>
      <w:lvlText w:val="•"/>
      <w:lvlJc w:val="left"/>
      <w:pPr>
        <w:ind w:left="5953" w:hanging="248"/>
      </w:pPr>
      <w:rPr>
        <w:rFonts w:hint="default"/>
        <w:lang w:val="en-US" w:eastAsia="en-US" w:bidi="ar-SA"/>
      </w:rPr>
    </w:lvl>
    <w:lvl w:ilvl="6">
      <w:start w:val="0"/>
      <w:numFmt w:val="bullet"/>
      <w:lvlText w:val="•"/>
      <w:lvlJc w:val="left"/>
      <w:pPr>
        <w:ind w:left="6755" w:hanging="248"/>
      </w:pPr>
      <w:rPr>
        <w:rFonts w:hint="default"/>
        <w:lang w:val="en-US" w:eastAsia="en-US" w:bidi="ar-SA"/>
      </w:rPr>
    </w:lvl>
    <w:lvl w:ilvl="7">
      <w:start w:val="0"/>
      <w:numFmt w:val="bullet"/>
      <w:lvlText w:val="•"/>
      <w:lvlJc w:val="left"/>
      <w:pPr>
        <w:ind w:left="7558" w:hanging="248"/>
      </w:pPr>
      <w:rPr>
        <w:rFonts w:hint="default"/>
        <w:lang w:val="en-US" w:eastAsia="en-US" w:bidi="ar-SA"/>
      </w:rPr>
    </w:lvl>
    <w:lvl w:ilvl="8">
      <w:start w:val="0"/>
      <w:numFmt w:val="bullet"/>
      <w:lvlText w:val="•"/>
      <w:lvlJc w:val="left"/>
      <w:pPr>
        <w:ind w:left="8361" w:hanging="248"/>
      </w:pPr>
      <w:rPr>
        <w:rFonts w:hint="default"/>
        <w:lang w:val="en-US" w:eastAsia="en-US" w:bidi="ar-SA"/>
      </w:rPr>
    </w:lvl>
  </w:abstractNum>
  <w:abstractNum w:abstractNumId="116">
    <w:multiLevelType w:val="hybridMultilevel"/>
    <w:lvl w:ilvl="0">
      <w:start w:val="1"/>
      <w:numFmt w:val="lowerRoman"/>
      <w:lvlText w:val="(%1)"/>
      <w:lvlJc w:val="left"/>
      <w:pPr>
        <w:ind w:left="816" w:hanging="317"/>
        <w:jc w:val="left"/>
      </w:pPr>
      <w:rPr>
        <w:rFonts w:hint="default" w:ascii="Arial" w:hAnsi="Arial" w:eastAsia="Arial" w:cs="Arial"/>
        <w:w w:val="99"/>
        <w:sz w:val="25"/>
        <w:szCs w:val="25"/>
        <w:lang w:val="en-US" w:eastAsia="en-US" w:bidi="ar-SA"/>
      </w:rPr>
    </w:lvl>
    <w:lvl w:ilvl="1">
      <w:start w:val="0"/>
      <w:numFmt w:val="bullet"/>
      <w:lvlText w:val="•"/>
      <w:lvlJc w:val="left"/>
      <w:pPr>
        <w:ind w:left="1734" w:hanging="317"/>
      </w:pPr>
      <w:rPr>
        <w:rFonts w:hint="default"/>
        <w:lang w:val="en-US" w:eastAsia="en-US" w:bidi="ar-SA"/>
      </w:rPr>
    </w:lvl>
    <w:lvl w:ilvl="2">
      <w:start w:val="0"/>
      <w:numFmt w:val="bullet"/>
      <w:lvlText w:val="•"/>
      <w:lvlJc w:val="left"/>
      <w:pPr>
        <w:ind w:left="2649" w:hanging="317"/>
      </w:pPr>
      <w:rPr>
        <w:rFonts w:hint="default"/>
        <w:lang w:val="en-US" w:eastAsia="en-US" w:bidi="ar-SA"/>
      </w:rPr>
    </w:lvl>
    <w:lvl w:ilvl="3">
      <w:start w:val="0"/>
      <w:numFmt w:val="bullet"/>
      <w:lvlText w:val="•"/>
      <w:lvlJc w:val="left"/>
      <w:pPr>
        <w:ind w:left="3563" w:hanging="317"/>
      </w:pPr>
      <w:rPr>
        <w:rFonts w:hint="default"/>
        <w:lang w:val="en-US" w:eastAsia="en-US" w:bidi="ar-SA"/>
      </w:rPr>
    </w:lvl>
    <w:lvl w:ilvl="4">
      <w:start w:val="0"/>
      <w:numFmt w:val="bullet"/>
      <w:lvlText w:val="•"/>
      <w:lvlJc w:val="left"/>
      <w:pPr>
        <w:ind w:left="4478" w:hanging="317"/>
      </w:pPr>
      <w:rPr>
        <w:rFonts w:hint="default"/>
        <w:lang w:val="en-US" w:eastAsia="en-US" w:bidi="ar-SA"/>
      </w:rPr>
    </w:lvl>
    <w:lvl w:ilvl="5">
      <w:start w:val="0"/>
      <w:numFmt w:val="bullet"/>
      <w:lvlText w:val="•"/>
      <w:lvlJc w:val="left"/>
      <w:pPr>
        <w:ind w:left="5393" w:hanging="317"/>
      </w:pPr>
      <w:rPr>
        <w:rFonts w:hint="default"/>
        <w:lang w:val="en-US" w:eastAsia="en-US" w:bidi="ar-SA"/>
      </w:rPr>
    </w:lvl>
    <w:lvl w:ilvl="6">
      <w:start w:val="0"/>
      <w:numFmt w:val="bullet"/>
      <w:lvlText w:val="•"/>
      <w:lvlJc w:val="left"/>
      <w:pPr>
        <w:ind w:left="6307" w:hanging="317"/>
      </w:pPr>
      <w:rPr>
        <w:rFonts w:hint="default"/>
        <w:lang w:val="en-US" w:eastAsia="en-US" w:bidi="ar-SA"/>
      </w:rPr>
    </w:lvl>
    <w:lvl w:ilvl="7">
      <w:start w:val="0"/>
      <w:numFmt w:val="bullet"/>
      <w:lvlText w:val="•"/>
      <w:lvlJc w:val="left"/>
      <w:pPr>
        <w:ind w:left="7222" w:hanging="317"/>
      </w:pPr>
      <w:rPr>
        <w:rFonts w:hint="default"/>
        <w:lang w:val="en-US" w:eastAsia="en-US" w:bidi="ar-SA"/>
      </w:rPr>
    </w:lvl>
    <w:lvl w:ilvl="8">
      <w:start w:val="0"/>
      <w:numFmt w:val="bullet"/>
      <w:lvlText w:val="•"/>
      <w:lvlJc w:val="left"/>
      <w:pPr>
        <w:ind w:left="8137" w:hanging="317"/>
      </w:pPr>
      <w:rPr>
        <w:rFonts w:hint="default"/>
        <w:lang w:val="en-US" w:eastAsia="en-US" w:bidi="ar-SA"/>
      </w:rPr>
    </w:lvl>
  </w:abstractNum>
  <w:abstractNum w:abstractNumId="115">
    <w:multiLevelType w:val="hybridMultilevel"/>
    <w:lvl w:ilvl="0">
      <w:start w:val="1"/>
      <w:numFmt w:val="lowerLetter"/>
      <w:lvlText w:val="(%1)"/>
      <w:lvlJc w:val="left"/>
      <w:pPr>
        <w:ind w:left="771" w:hanging="271"/>
        <w:jc w:val="left"/>
      </w:pPr>
      <w:rPr>
        <w:rFonts w:hint="default" w:ascii="Arial" w:hAnsi="Arial" w:eastAsia="Arial" w:cs="Arial"/>
        <w:color w:val="212121"/>
        <w:spacing w:val="-2"/>
        <w:w w:val="99"/>
        <w:sz w:val="18"/>
        <w:szCs w:val="18"/>
        <w:lang w:val="en-US" w:eastAsia="en-US" w:bidi="ar-SA"/>
      </w:rPr>
    </w:lvl>
    <w:lvl w:ilvl="1">
      <w:start w:val="0"/>
      <w:numFmt w:val="bullet"/>
      <w:lvlText w:val="•"/>
      <w:lvlJc w:val="left"/>
      <w:pPr>
        <w:ind w:left="1698" w:hanging="271"/>
      </w:pPr>
      <w:rPr>
        <w:rFonts w:hint="default"/>
        <w:lang w:val="en-US" w:eastAsia="en-US" w:bidi="ar-SA"/>
      </w:rPr>
    </w:lvl>
    <w:lvl w:ilvl="2">
      <w:start w:val="0"/>
      <w:numFmt w:val="bullet"/>
      <w:lvlText w:val="•"/>
      <w:lvlJc w:val="left"/>
      <w:pPr>
        <w:ind w:left="2617" w:hanging="271"/>
      </w:pPr>
      <w:rPr>
        <w:rFonts w:hint="default"/>
        <w:lang w:val="en-US" w:eastAsia="en-US" w:bidi="ar-SA"/>
      </w:rPr>
    </w:lvl>
    <w:lvl w:ilvl="3">
      <w:start w:val="0"/>
      <w:numFmt w:val="bullet"/>
      <w:lvlText w:val="•"/>
      <w:lvlJc w:val="left"/>
      <w:pPr>
        <w:ind w:left="3535" w:hanging="271"/>
      </w:pPr>
      <w:rPr>
        <w:rFonts w:hint="default"/>
        <w:lang w:val="en-US" w:eastAsia="en-US" w:bidi="ar-SA"/>
      </w:rPr>
    </w:lvl>
    <w:lvl w:ilvl="4">
      <w:start w:val="0"/>
      <w:numFmt w:val="bullet"/>
      <w:lvlText w:val="•"/>
      <w:lvlJc w:val="left"/>
      <w:pPr>
        <w:ind w:left="4454" w:hanging="271"/>
      </w:pPr>
      <w:rPr>
        <w:rFonts w:hint="default"/>
        <w:lang w:val="en-US" w:eastAsia="en-US" w:bidi="ar-SA"/>
      </w:rPr>
    </w:lvl>
    <w:lvl w:ilvl="5">
      <w:start w:val="0"/>
      <w:numFmt w:val="bullet"/>
      <w:lvlText w:val="•"/>
      <w:lvlJc w:val="left"/>
      <w:pPr>
        <w:ind w:left="5373" w:hanging="271"/>
      </w:pPr>
      <w:rPr>
        <w:rFonts w:hint="default"/>
        <w:lang w:val="en-US" w:eastAsia="en-US" w:bidi="ar-SA"/>
      </w:rPr>
    </w:lvl>
    <w:lvl w:ilvl="6">
      <w:start w:val="0"/>
      <w:numFmt w:val="bullet"/>
      <w:lvlText w:val="•"/>
      <w:lvlJc w:val="left"/>
      <w:pPr>
        <w:ind w:left="6291" w:hanging="271"/>
      </w:pPr>
      <w:rPr>
        <w:rFonts w:hint="default"/>
        <w:lang w:val="en-US" w:eastAsia="en-US" w:bidi="ar-SA"/>
      </w:rPr>
    </w:lvl>
    <w:lvl w:ilvl="7">
      <w:start w:val="0"/>
      <w:numFmt w:val="bullet"/>
      <w:lvlText w:val="•"/>
      <w:lvlJc w:val="left"/>
      <w:pPr>
        <w:ind w:left="7210" w:hanging="271"/>
      </w:pPr>
      <w:rPr>
        <w:rFonts w:hint="default"/>
        <w:lang w:val="en-US" w:eastAsia="en-US" w:bidi="ar-SA"/>
      </w:rPr>
    </w:lvl>
    <w:lvl w:ilvl="8">
      <w:start w:val="0"/>
      <w:numFmt w:val="bullet"/>
      <w:lvlText w:val="•"/>
      <w:lvlJc w:val="left"/>
      <w:pPr>
        <w:ind w:left="8129" w:hanging="271"/>
      </w:pPr>
      <w:rPr>
        <w:rFonts w:hint="default"/>
        <w:lang w:val="en-US" w:eastAsia="en-US" w:bidi="ar-SA"/>
      </w:rPr>
    </w:lvl>
  </w:abstractNum>
  <w:abstractNum w:abstractNumId="113">
    <w:multiLevelType w:val="hybridMultilevel"/>
    <w:lvl w:ilvl="0">
      <w:start w:val="4"/>
      <w:numFmt w:val="decimal"/>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1786" w:hanging="720"/>
      </w:pPr>
      <w:rPr>
        <w:rFonts w:hint="default" w:ascii="Symbol" w:hAnsi="Symbol" w:eastAsia="Symbol" w:cs="Symbol"/>
        <w:w w:val="99"/>
        <w:sz w:val="25"/>
        <w:szCs w:val="25"/>
        <w:lang w:val="en-US" w:eastAsia="en-US" w:bidi="ar-SA"/>
      </w:rPr>
    </w:lvl>
    <w:lvl w:ilvl="2">
      <w:start w:val="0"/>
      <w:numFmt w:val="bullet"/>
      <w:lvlText w:val="•"/>
      <w:lvlJc w:val="left"/>
      <w:pPr>
        <w:ind w:left="2689" w:hanging="720"/>
      </w:pPr>
      <w:rPr>
        <w:rFonts w:hint="default"/>
        <w:lang w:val="en-US" w:eastAsia="en-US" w:bidi="ar-SA"/>
      </w:rPr>
    </w:lvl>
    <w:lvl w:ilvl="3">
      <w:start w:val="0"/>
      <w:numFmt w:val="bullet"/>
      <w:lvlText w:val="•"/>
      <w:lvlJc w:val="left"/>
      <w:pPr>
        <w:ind w:left="3599" w:hanging="720"/>
      </w:pPr>
      <w:rPr>
        <w:rFonts w:hint="default"/>
        <w:lang w:val="en-US" w:eastAsia="en-US" w:bidi="ar-SA"/>
      </w:rPr>
    </w:lvl>
    <w:lvl w:ilvl="4">
      <w:start w:val="0"/>
      <w:numFmt w:val="bullet"/>
      <w:lvlText w:val="•"/>
      <w:lvlJc w:val="left"/>
      <w:pPr>
        <w:ind w:left="4508" w:hanging="720"/>
      </w:pPr>
      <w:rPr>
        <w:rFonts w:hint="default"/>
        <w:lang w:val="en-US" w:eastAsia="en-US" w:bidi="ar-SA"/>
      </w:rPr>
    </w:lvl>
    <w:lvl w:ilvl="5">
      <w:start w:val="0"/>
      <w:numFmt w:val="bullet"/>
      <w:lvlText w:val="•"/>
      <w:lvlJc w:val="left"/>
      <w:pPr>
        <w:ind w:left="5418" w:hanging="720"/>
      </w:pPr>
      <w:rPr>
        <w:rFonts w:hint="default"/>
        <w:lang w:val="en-US" w:eastAsia="en-US" w:bidi="ar-SA"/>
      </w:rPr>
    </w:lvl>
    <w:lvl w:ilvl="6">
      <w:start w:val="0"/>
      <w:numFmt w:val="bullet"/>
      <w:lvlText w:val="•"/>
      <w:lvlJc w:val="left"/>
      <w:pPr>
        <w:ind w:left="6328" w:hanging="720"/>
      </w:pPr>
      <w:rPr>
        <w:rFonts w:hint="default"/>
        <w:lang w:val="en-US" w:eastAsia="en-US" w:bidi="ar-SA"/>
      </w:rPr>
    </w:lvl>
    <w:lvl w:ilvl="7">
      <w:start w:val="0"/>
      <w:numFmt w:val="bullet"/>
      <w:lvlText w:val="•"/>
      <w:lvlJc w:val="left"/>
      <w:pPr>
        <w:ind w:left="7237" w:hanging="720"/>
      </w:pPr>
      <w:rPr>
        <w:rFonts w:hint="default"/>
        <w:lang w:val="en-US" w:eastAsia="en-US" w:bidi="ar-SA"/>
      </w:rPr>
    </w:lvl>
    <w:lvl w:ilvl="8">
      <w:start w:val="0"/>
      <w:numFmt w:val="bullet"/>
      <w:lvlText w:val="•"/>
      <w:lvlJc w:val="left"/>
      <w:pPr>
        <w:ind w:left="8147" w:hanging="720"/>
      </w:pPr>
      <w:rPr>
        <w:rFonts w:hint="default"/>
        <w:lang w:val="en-US" w:eastAsia="en-US" w:bidi="ar-SA"/>
      </w:rPr>
    </w:lvl>
  </w:abstractNum>
  <w:abstractNum w:abstractNumId="112">
    <w:multiLevelType w:val="hybridMultilevel"/>
    <w:lvl w:ilvl="0">
      <w:start w:val="1"/>
      <w:numFmt w:val="decimal"/>
      <w:lvlText w:val="%1"/>
      <w:lvlJc w:val="left"/>
      <w:pPr>
        <w:ind w:left="1290" w:hanging="790"/>
        <w:jc w:val="left"/>
      </w:pPr>
      <w:rPr>
        <w:rFonts w:hint="default" w:ascii="Arial" w:hAnsi="Arial" w:eastAsia="Arial" w:cs="Arial"/>
        <w:w w:val="99"/>
        <w:sz w:val="25"/>
        <w:szCs w:val="25"/>
        <w:lang w:val="en-US" w:eastAsia="en-US" w:bidi="ar-SA"/>
      </w:rPr>
    </w:lvl>
    <w:lvl w:ilvl="1">
      <w:start w:val="0"/>
      <w:numFmt w:val="bullet"/>
      <w:lvlText w:val=""/>
      <w:lvlJc w:val="left"/>
      <w:pPr>
        <w:ind w:left="1633" w:hanging="720"/>
      </w:pPr>
      <w:rPr>
        <w:rFonts w:hint="default" w:ascii="Symbol" w:hAnsi="Symbol" w:eastAsia="Symbol" w:cs="Symbol"/>
        <w:w w:val="99"/>
        <w:sz w:val="25"/>
        <w:szCs w:val="25"/>
        <w:lang w:val="en-US" w:eastAsia="en-US" w:bidi="ar-SA"/>
      </w:rPr>
    </w:lvl>
    <w:lvl w:ilvl="2">
      <w:start w:val="0"/>
      <w:numFmt w:val="bullet"/>
      <w:lvlText w:val=""/>
      <w:lvlJc w:val="left"/>
      <w:pPr>
        <w:ind w:left="1786" w:hanging="720"/>
      </w:pPr>
      <w:rPr>
        <w:rFonts w:hint="default" w:ascii="Symbol" w:hAnsi="Symbol" w:eastAsia="Symbol" w:cs="Symbol"/>
        <w:w w:val="99"/>
        <w:sz w:val="25"/>
        <w:szCs w:val="25"/>
        <w:lang w:val="en-US" w:eastAsia="en-US" w:bidi="ar-SA"/>
      </w:rPr>
    </w:lvl>
    <w:lvl w:ilvl="3">
      <w:start w:val="0"/>
      <w:numFmt w:val="bullet"/>
      <w:lvlText w:val="•"/>
      <w:lvlJc w:val="left"/>
      <w:pPr>
        <w:ind w:left="2803" w:hanging="720"/>
      </w:pPr>
      <w:rPr>
        <w:rFonts w:hint="default"/>
        <w:lang w:val="en-US" w:eastAsia="en-US" w:bidi="ar-SA"/>
      </w:rPr>
    </w:lvl>
    <w:lvl w:ilvl="4">
      <w:start w:val="0"/>
      <w:numFmt w:val="bullet"/>
      <w:lvlText w:val="•"/>
      <w:lvlJc w:val="left"/>
      <w:pPr>
        <w:ind w:left="3826" w:hanging="720"/>
      </w:pPr>
      <w:rPr>
        <w:rFonts w:hint="default"/>
        <w:lang w:val="en-US" w:eastAsia="en-US" w:bidi="ar-SA"/>
      </w:rPr>
    </w:lvl>
    <w:lvl w:ilvl="5">
      <w:start w:val="0"/>
      <w:numFmt w:val="bullet"/>
      <w:lvlText w:val="•"/>
      <w:lvlJc w:val="left"/>
      <w:pPr>
        <w:ind w:left="4849" w:hanging="720"/>
      </w:pPr>
      <w:rPr>
        <w:rFonts w:hint="default"/>
        <w:lang w:val="en-US" w:eastAsia="en-US" w:bidi="ar-SA"/>
      </w:rPr>
    </w:lvl>
    <w:lvl w:ilvl="6">
      <w:start w:val="0"/>
      <w:numFmt w:val="bullet"/>
      <w:lvlText w:val="•"/>
      <w:lvlJc w:val="left"/>
      <w:pPr>
        <w:ind w:left="5873" w:hanging="720"/>
      </w:pPr>
      <w:rPr>
        <w:rFonts w:hint="default"/>
        <w:lang w:val="en-US" w:eastAsia="en-US" w:bidi="ar-SA"/>
      </w:rPr>
    </w:lvl>
    <w:lvl w:ilvl="7">
      <w:start w:val="0"/>
      <w:numFmt w:val="bullet"/>
      <w:lvlText w:val="•"/>
      <w:lvlJc w:val="left"/>
      <w:pPr>
        <w:ind w:left="6896" w:hanging="720"/>
      </w:pPr>
      <w:rPr>
        <w:rFonts w:hint="default"/>
        <w:lang w:val="en-US" w:eastAsia="en-US" w:bidi="ar-SA"/>
      </w:rPr>
    </w:lvl>
    <w:lvl w:ilvl="8">
      <w:start w:val="0"/>
      <w:numFmt w:val="bullet"/>
      <w:lvlText w:val="•"/>
      <w:lvlJc w:val="left"/>
      <w:pPr>
        <w:ind w:left="7919" w:hanging="720"/>
      </w:pPr>
      <w:rPr>
        <w:rFonts w:hint="default"/>
        <w:lang w:val="en-US" w:eastAsia="en-US" w:bidi="ar-SA"/>
      </w:rPr>
    </w:lvl>
  </w:abstractNum>
  <w:abstractNum w:abstractNumId="111">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10">
    <w:multiLevelType w:val="hybridMultilevel"/>
    <w:lvl w:ilvl="0">
      <w:start w:val="308"/>
      <w:numFmt w:val="decimal"/>
      <w:lvlText w:val="%1."/>
      <w:lvlJc w:val="left"/>
      <w:pPr>
        <w:ind w:left="500" w:hanging="720"/>
        <w:jc w:val="left"/>
      </w:pPr>
      <w:rPr>
        <w:rFonts w:hint="default" w:ascii="Arial" w:hAnsi="Arial" w:eastAsia="Arial" w:cs="Arial"/>
        <w:w w:val="99"/>
        <w:sz w:val="25"/>
        <w:szCs w:val="25"/>
        <w:lang w:val="en-US" w:eastAsia="en-US" w:bidi="ar-SA"/>
      </w:rPr>
    </w:lvl>
    <w:lvl w:ilvl="1">
      <w:start w:val="1"/>
      <w:numFmt w:val="decimal"/>
      <w:lvlText w:val="(%2)"/>
      <w:lvlJc w:val="left"/>
      <w:pPr>
        <w:ind w:left="2278" w:hanging="360"/>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2300" w:hanging="360"/>
      </w:pPr>
      <w:rPr>
        <w:rFonts w:hint="default"/>
        <w:lang w:val="en-US" w:eastAsia="en-US" w:bidi="ar-SA"/>
      </w:rPr>
    </w:lvl>
    <w:lvl w:ilvl="3">
      <w:start w:val="0"/>
      <w:numFmt w:val="bullet"/>
      <w:lvlText w:val="•"/>
      <w:lvlJc w:val="left"/>
      <w:pPr>
        <w:ind w:left="3258" w:hanging="360"/>
      </w:pPr>
      <w:rPr>
        <w:rFonts w:hint="default"/>
        <w:lang w:val="en-US" w:eastAsia="en-US" w:bidi="ar-SA"/>
      </w:rPr>
    </w:lvl>
    <w:lvl w:ilvl="4">
      <w:start w:val="0"/>
      <w:numFmt w:val="bullet"/>
      <w:lvlText w:val="•"/>
      <w:lvlJc w:val="left"/>
      <w:pPr>
        <w:ind w:left="4216" w:hanging="360"/>
      </w:pPr>
      <w:rPr>
        <w:rFonts w:hint="default"/>
        <w:lang w:val="en-US" w:eastAsia="en-US" w:bidi="ar-SA"/>
      </w:rPr>
    </w:lvl>
    <w:lvl w:ilvl="5">
      <w:start w:val="0"/>
      <w:numFmt w:val="bullet"/>
      <w:lvlText w:val="•"/>
      <w:lvlJc w:val="left"/>
      <w:pPr>
        <w:ind w:left="5174" w:hanging="360"/>
      </w:pPr>
      <w:rPr>
        <w:rFonts w:hint="default"/>
        <w:lang w:val="en-US" w:eastAsia="en-US" w:bidi="ar-SA"/>
      </w:rPr>
    </w:lvl>
    <w:lvl w:ilvl="6">
      <w:start w:val="0"/>
      <w:numFmt w:val="bullet"/>
      <w:lvlText w:val="•"/>
      <w:lvlJc w:val="left"/>
      <w:pPr>
        <w:ind w:left="6133" w:hanging="360"/>
      </w:pPr>
      <w:rPr>
        <w:rFonts w:hint="default"/>
        <w:lang w:val="en-US" w:eastAsia="en-US" w:bidi="ar-SA"/>
      </w:rPr>
    </w:lvl>
    <w:lvl w:ilvl="7">
      <w:start w:val="0"/>
      <w:numFmt w:val="bullet"/>
      <w:lvlText w:val="•"/>
      <w:lvlJc w:val="left"/>
      <w:pPr>
        <w:ind w:left="7091" w:hanging="360"/>
      </w:pPr>
      <w:rPr>
        <w:rFonts w:hint="default"/>
        <w:lang w:val="en-US" w:eastAsia="en-US" w:bidi="ar-SA"/>
      </w:rPr>
    </w:lvl>
    <w:lvl w:ilvl="8">
      <w:start w:val="0"/>
      <w:numFmt w:val="bullet"/>
      <w:lvlText w:val="•"/>
      <w:lvlJc w:val="left"/>
      <w:pPr>
        <w:ind w:left="8049" w:hanging="360"/>
      </w:pPr>
      <w:rPr>
        <w:rFonts w:hint="default"/>
        <w:lang w:val="en-US" w:eastAsia="en-US" w:bidi="ar-SA"/>
      </w:rPr>
    </w:lvl>
  </w:abstractNum>
  <w:abstractNum w:abstractNumId="10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2"/>
      <w:numFmt w:val="lowerRoman"/>
      <w:lvlText w:val="(%2)"/>
      <w:lvlJc w:val="left"/>
      <w:pPr>
        <w:ind w:left="1940" w:hanging="300"/>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2831" w:hanging="300"/>
      </w:pPr>
      <w:rPr>
        <w:rFonts w:hint="default"/>
        <w:lang w:val="en-US" w:eastAsia="en-US" w:bidi="ar-SA"/>
      </w:rPr>
    </w:lvl>
    <w:lvl w:ilvl="3">
      <w:start w:val="0"/>
      <w:numFmt w:val="bullet"/>
      <w:lvlText w:val="•"/>
      <w:lvlJc w:val="left"/>
      <w:pPr>
        <w:ind w:left="3723" w:hanging="300"/>
      </w:pPr>
      <w:rPr>
        <w:rFonts w:hint="default"/>
        <w:lang w:val="en-US" w:eastAsia="en-US" w:bidi="ar-SA"/>
      </w:rPr>
    </w:lvl>
    <w:lvl w:ilvl="4">
      <w:start w:val="0"/>
      <w:numFmt w:val="bullet"/>
      <w:lvlText w:val="•"/>
      <w:lvlJc w:val="left"/>
      <w:pPr>
        <w:ind w:left="4615" w:hanging="300"/>
      </w:pPr>
      <w:rPr>
        <w:rFonts w:hint="default"/>
        <w:lang w:val="en-US" w:eastAsia="en-US" w:bidi="ar-SA"/>
      </w:rPr>
    </w:lvl>
    <w:lvl w:ilvl="5">
      <w:start w:val="0"/>
      <w:numFmt w:val="bullet"/>
      <w:lvlText w:val="•"/>
      <w:lvlJc w:val="left"/>
      <w:pPr>
        <w:ind w:left="5507" w:hanging="300"/>
      </w:pPr>
      <w:rPr>
        <w:rFonts w:hint="default"/>
        <w:lang w:val="en-US" w:eastAsia="en-US" w:bidi="ar-SA"/>
      </w:rPr>
    </w:lvl>
    <w:lvl w:ilvl="6">
      <w:start w:val="0"/>
      <w:numFmt w:val="bullet"/>
      <w:lvlText w:val="•"/>
      <w:lvlJc w:val="left"/>
      <w:pPr>
        <w:ind w:left="6399" w:hanging="300"/>
      </w:pPr>
      <w:rPr>
        <w:rFonts w:hint="default"/>
        <w:lang w:val="en-US" w:eastAsia="en-US" w:bidi="ar-SA"/>
      </w:rPr>
    </w:lvl>
    <w:lvl w:ilvl="7">
      <w:start w:val="0"/>
      <w:numFmt w:val="bullet"/>
      <w:lvlText w:val="•"/>
      <w:lvlJc w:val="left"/>
      <w:pPr>
        <w:ind w:left="7290" w:hanging="300"/>
      </w:pPr>
      <w:rPr>
        <w:rFonts w:hint="default"/>
        <w:lang w:val="en-US" w:eastAsia="en-US" w:bidi="ar-SA"/>
      </w:rPr>
    </w:lvl>
    <w:lvl w:ilvl="8">
      <w:start w:val="0"/>
      <w:numFmt w:val="bullet"/>
      <w:lvlText w:val="•"/>
      <w:lvlJc w:val="left"/>
      <w:pPr>
        <w:ind w:left="8182" w:hanging="300"/>
      </w:pPr>
      <w:rPr>
        <w:rFonts w:hint="default"/>
        <w:lang w:val="en-US" w:eastAsia="en-US" w:bidi="ar-SA"/>
      </w:rPr>
    </w:lvl>
  </w:abstractNum>
  <w:abstractNum w:abstractNumId="10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07">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0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10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0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0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10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0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0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7">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8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88">
    <w:multiLevelType w:val="hybridMultilevel"/>
    <w:lvl w:ilvl="0">
      <w:start w:val="2"/>
      <w:numFmt w:val="decimal"/>
      <w:lvlText w:val="(%1)"/>
      <w:lvlJc w:val="left"/>
      <w:pPr>
        <w:ind w:left="1940" w:hanging="363"/>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363"/>
      </w:pPr>
      <w:rPr>
        <w:rFonts w:hint="default"/>
        <w:lang w:val="en-US" w:eastAsia="en-US" w:bidi="ar-SA"/>
      </w:rPr>
    </w:lvl>
    <w:lvl w:ilvl="2">
      <w:start w:val="0"/>
      <w:numFmt w:val="bullet"/>
      <w:lvlText w:val="•"/>
      <w:lvlJc w:val="left"/>
      <w:pPr>
        <w:ind w:left="3545" w:hanging="363"/>
      </w:pPr>
      <w:rPr>
        <w:rFonts w:hint="default"/>
        <w:lang w:val="en-US" w:eastAsia="en-US" w:bidi="ar-SA"/>
      </w:rPr>
    </w:lvl>
    <w:lvl w:ilvl="3">
      <w:start w:val="0"/>
      <w:numFmt w:val="bullet"/>
      <w:lvlText w:val="•"/>
      <w:lvlJc w:val="left"/>
      <w:pPr>
        <w:ind w:left="4347" w:hanging="363"/>
      </w:pPr>
      <w:rPr>
        <w:rFonts w:hint="default"/>
        <w:lang w:val="en-US" w:eastAsia="en-US" w:bidi="ar-SA"/>
      </w:rPr>
    </w:lvl>
    <w:lvl w:ilvl="4">
      <w:start w:val="0"/>
      <w:numFmt w:val="bullet"/>
      <w:lvlText w:val="•"/>
      <w:lvlJc w:val="left"/>
      <w:pPr>
        <w:ind w:left="5150" w:hanging="363"/>
      </w:pPr>
      <w:rPr>
        <w:rFonts w:hint="default"/>
        <w:lang w:val="en-US" w:eastAsia="en-US" w:bidi="ar-SA"/>
      </w:rPr>
    </w:lvl>
    <w:lvl w:ilvl="5">
      <w:start w:val="0"/>
      <w:numFmt w:val="bullet"/>
      <w:lvlText w:val="•"/>
      <w:lvlJc w:val="left"/>
      <w:pPr>
        <w:ind w:left="5953" w:hanging="363"/>
      </w:pPr>
      <w:rPr>
        <w:rFonts w:hint="default"/>
        <w:lang w:val="en-US" w:eastAsia="en-US" w:bidi="ar-SA"/>
      </w:rPr>
    </w:lvl>
    <w:lvl w:ilvl="6">
      <w:start w:val="0"/>
      <w:numFmt w:val="bullet"/>
      <w:lvlText w:val="•"/>
      <w:lvlJc w:val="left"/>
      <w:pPr>
        <w:ind w:left="6755" w:hanging="363"/>
      </w:pPr>
      <w:rPr>
        <w:rFonts w:hint="default"/>
        <w:lang w:val="en-US" w:eastAsia="en-US" w:bidi="ar-SA"/>
      </w:rPr>
    </w:lvl>
    <w:lvl w:ilvl="7">
      <w:start w:val="0"/>
      <w:numFmt w:val="bullet"/>
      <w:lvlText w:val="•"/>
      <w:lvlJc w:val="left"/>
      <w:pPr>
        <w:ind w:left="7558" w:hanging="363"/>
      </w:pPr>
      <w:rPr>
        <w:rFonts w:hint="default"/>
        <w:lang w:val="en-US" w:eastAsia="en-US" w:bidi="ar-SA"/>
      </w:rPr>
    </w:lvl>
    <w:lvl w:ilvl="8">
      <w:start w:val="0"/>
      <w:numFmt w:val="bullet"/>
      <w:lvlText w:val="•"/>
      <w:lvlJc w:val="left"/>
      <w:pPr>
        <w:ind w:left="8361" w:hanging="363"/>
      </w:pPr>
      <w:rPr>
        <w:rFonts w:hint="default"/>
        <w:lang w:val="en-US" w:eastAsia="en-US" w:bidi="ar-SA"/>
      </w:rPr>
    </w:lvl>
  </w:abstractNum>
  <w:abstractNum w:abstractNumId="87">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86">
    <w:multiLevelType w:val="hybridMultilevel"/>
    <w:lvl w:ilvl="0">
      <w:start w:val="1"/>
      <w:numFmt w:val="lowerRoman"/>
      <w:lvlText w:val="(%1)"/>
      <w:lvlJc w:val="left"/>
      <w:pPr>
        <w:ind w:left="1220" w:hanging="720"/>
        <w:jc w:val="left"/>
      </w:pPr>
      <w:rPr>
        <w:rFonts w:hint="default"/>
        <w:w w:val="99"/>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85">
    <w:multiLevelType w:val="hybridMultilevel"/>
    <w:lvl w:ilvl="0">
      <w:start w:val="1"/>
      <w:numFmt w:val="decimal"/>
      <w:lvlText w:val="(%1)"/>
      <w:lvlJc w:val="left"/>
      <w:pPr>
        <w:ind w:left="1940" w:hanging="720"/>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720"/>
      </w:pPr>
      <w:rPr>
        <w:rFonts w:hint="default"/>
        <w:lang w:val="en-US" w:eastAsia="en-US" w:bidi="ar-SA"/>
      </w:rPr>
    </w:lvl>
    <w:lvl w:ilvl="2">
      <w:start w:val="0"/>
      <w:numFmt w:val="bullet"/>
      <w:lvlText w:val="•"/>
      <w:lvlJc w:val="left"/>
      <w:pPr>
        <w:ind w:left="3545" w:hanging="720"/>
      </w:pPr>
      <w:rPr>
        <w:rFonts w:hint="default"/>
        <w:lang w:val="en-US" w:eastAsia="en-US" w:bidi="ar-SA"/>
      </w:rPr>
    </w:lvl>
    <w:lvl w:ilvl="3">
      <w:start w:val="0"/>
      <w:numFmt w:val="bullet"/>
      <w:lvlText w:val="•"/>
      <w:lvlJc w:val="left"/>
      <w:pPr>
        <w:ind w:left="4347" w:hanging="720"/>
      </w:pPr>
      <w:rPr>
        <w:rFonts w:hint="default"/>
        <w:lang w:val="en-US" w:eastAsia="en-US" w:bidi="ar-SA"/>
      </w:rPr>
    </w:lvl>
    <w:lvl w:ilvl="4">
      <w:start w:val="0"/>
      <w:numFmt w:val="bullet"/>
      <w:lvlText w:val="•"/>
      <w:lvlJc w:val="left"/>
      <w:pPr>
        <w:ind w:left="5150" w:hanging="720"/>
      </w:pPr>
      <w:rPr>
        <w:rFonts w:hint="default"/>
        <w:lang w:val="en-US" w:eastAsia="en-US" w:bidi="ar-SA"/>
      </w:rPr>
    </w:lvl>
    <w:lvl w:ilvl="5">
      <w:start w:val="0"/>
      <w:numFmt w:val="bullet"/>
      <w:lvlText w:val="•"/>
      <w:lvlJc w:val="left"/>
      <w:pPr>
        <w:ind w:left="5953" w:hanging="720"/>
      </w:pPr>
      <w:rPr>
        <w:rFonts w:hint="default"/>
        <w:lang w:val="en-US" w:eastAsia="en-US" w:bidi="ar-SA"/>
      </w:rPr>
    </w:lvl>
    <w:lvl w:ilvl="6">
      <w:start w:val="0"/>
      <w:numFmt w:val="bullet"/>
      <w:lvlText w:val="•"/>
      <w:lvlJc w:val="left"/>
      <w:pPr>
        <w:ind w:left="6755" w:hanging="720"/>
      </w:pPr>
      <w:rPr>
        <w:rFonts w:hint="default"/>
        <w:lang w:val="en-US" w:eastAsia="en-US" w:bidi="ar-SA"/>
      </w:rPr>
    </w:lvl>
    <w:lvl w:ilvl="7">
      <w:start w:val="0"/>
      <w:numFmt w:val="bullet"/>
      <w:lvlText w:val="•"/>
      <w:lvlJc w:val="left"/>
      <w:pPr>
        <w:ind w:left="7558" w:hanging="720"/>
      </w:pPr>
      <w:rPr>
        <w:rFonts w:hint="default"/>
        <w:lang w:val="en-US" w:eastAsia="en-US" w:bidi="ar-SA"/>
      </w:rPr>
    </w:lvl>
    <w:lvl w:ilvl="8">
      <w:start w:val="0"/>
      <w:numFmt w:val="bullet"/>
      <w:lvlText w:val="•"/>
      <w:lvlJc w:val="left"/>
      <w:pPr>
        <w:ind w:left="8361" w:hanging="720"/>
      </w:pPr>
      <w:rPr>
        <w:rFonts w:hint="default"/>
        <w:lang w:val="en-US" w:eastAsia="en-US" w:bidi="ar-SA"/>
      </w:rPr>
    </w:lvl>
  </w:abstractNum>
  <w:abstractNum w:abstractNumId="84">
    <w:multiLevelType w:val="hybridMultilevel"/>
    <w:lvl w:ilvl="0">
      <w:start w:val="1"/>
      <w:numFmt w:val="upperRoman"/>
      <w:lvlText w:val="%1"/>
      <w:lvlJc w:val="left"/>
      <w:pPr>
        <w:ind w:left="1220" w:hanging="720"/>
        <w:jc w:val="left"/>
      </w:pPr>
      <w:rPr>
        <w:rFonts w:hint="default" w:ascii="Arial" w:hAnsi="Arial" w:eastAsia="Arial" w:cs="Arial"/>
        <w:b/>
        <w:bCs/>
        <w:w w:val="99"/>
        <w:sz w:val="25"/>
        <w:szCs w:val="25"/>
        <w:lang w:val="en-US" w:eastAsia="en-US" w:bidi="ar-SA"/>
      </w:rPr>
    </w:lvl>
    <w:lvl w:ilvl="1">
      <w:start w:val="1"/>
      <w:numFmt w:val="lowerRoman"/>
      <w:lvlText w:val="(%2)"/>
      <w:lvlJc w:val="left"/>
      <w:pPr>
        <w:ind w:left="1918" w:hanging="699"/>
        <w:jc w:val="left"/>
      </w:pPr>
      <w:rPr>
        <w:rFonts w:hint="default" w:ascii="Arial" w:hAnsi="Arial" w:eastAsia="Arial" w:cs="Arial"/>
        <w:w w:val="99"/>
        <w:sz w:val="25"/>
        <w:szCs w:val="25"/>
        <w:lang w:val="en-US" w:eastAsia="en-US" w:bidi="ar-SA"/>
      </w:rPr>
    </w:lvl>
    <w:lvl w:ilvl="2">
      <w:start w:val="1"/>
      <w:numFmt w:val="lowerLetter"/>
      <w:lvlText w:val="(%3)"/>
      <w:lvlJc w:val="left"/>
      <w:pPr>
        <w:ind w:left="2660" w:hanging="790"/>
        <w:jc w:val="left"/>
      </w:pPr>
      <w:rPr>
        <w:rFonts w:hint="default" w:ascii="Arial" w:hAnsi="Arial" w:eastAsia="Arial" w:cs="Arial"/>
        <w:w w:val="99"/>
        <w:sz w:val="25"/>
        <w:szCs w:val="25"/>
        <w:lang w:val="en-US" w:eastAsia="en-US" w:bidi="ar-SA"/>
      </w:rPr>
    </w:lvl>
    <w:lvl w:ilvl="3">
      <w:start w:val="0"/>
      <w:numFmt w:val="bullet"/>
      <w:lvlText w:val="•"/>
      <w:lvlJc w:val="left"/>
      <w:pPr>
        <w:ind w:left="2660" w:hanging="790"/>
      </w:pPr>
      <w:rPr>
        <w:rFonts w:hint="default"/>
        <w:lang w:val="en-US" w:eastAsia="en-US" w:bidi="ar-SA"/>
      </w:rPr>
    </w:lvl>
    <w:lvl w:ilvl="4">
      <w:start w:val="0"/>
      <w:numFmt w:val="bullet"/>
      <w:lvlText w:val="•"/>
      <w:lvlJc w:val="left"/>
      <w:pPr>
        <w:ind w:left="3703" w:hanging="790"/>
      </w:pPr>
      <w:rPr>
        <w:rFonts w:hint="default"/>
        <w:lang w:val="en-US" w:eastAsia="en-US" w:bidi="ar-SA"/>
      </w:rPr>
    </w:lvl>
    <w:lvl w:ilvl="5">
      <w:start w:val="0"/>
      <w:numFmt w:val="bullet"/>
      <w:lvlText w:val="•"/>
      <w:lvlJc w:val="left"/>
      <w:pPr>
        <w:ind w:left="4747" w:hanging="790"/>
      </w:pPr>
      <w:rPr>
        <w:rFonts w:hint="default"/>
        <w:lang w:val="en-US" w:eastAsia="en-US" w:bidi="ar-SA"/>
      </w:rPr>
    </w:lvl>
    <w:lvl w:ilvl="6">
      <w:start w:val="0"/>
      <w:numFmt w:val="bullet"/>
      <w:lvlText w:val="•"/>
      <w:lvlJc w:val="left"/>
      <w:pPr>
        <w:ind w:left="5791" w:hanging="790"/>
      </w:pPr>
      <w:rPr>
        <w:rFonts w:hint="default"/>
        <w:lang w:val="en-US" w:eastAsia="en-US" w:bidi="ar-SA"/>
      </w:rPr>
    </w:lvl>
    <w:lvl w:ilvl="7">
      <w:start w:val="0"/>
      <w:numFmt w:val="bullet"/>
      <w:lvlText w:val="•"/>
      <w:lvlJc w:val="left"/>
      <w:pPr>
        <w:ind w:left="6835" w:hanging="790"/>
      </w:pPr>
      <w:rPr>
        <w:rFonts w:hint="default"/>
        <w:lang w:val="en-US" w:eastAsia="en-US" w:bidi="ar-SA"/>
      </w:rPr>
    </w:lvl>
    <w:lvl w:ilvl="8">
      <w:start w:val="0"/>
      <w:numFmt w:val="bullet"/>
      <w:lvlText w:val="•"/>
      <w:lvlJc w:val="left"/>
      <w:pPr>
        <w:ind w:left="7878" w:hanging="790"/>
      </w:pPr>
      <w:rPr>
        <w:rFonts w:hint="default"/>
        <w:lang w:val="en-US" w:eastAsia="en-US" w:bidi="ar-SA"/>
      </w:rPr>
    </w:lvl>
  </w:abstractNum>
  <w:abstractNum w:abstractNumId="83">
    <w:multiLevelType w:val="hybridMultilevel"/>
    <w:lvl w:ilvl="0">
      <w:start w:val="1"/>
      <w:numFmt w:val="upperRoman"/>
      <w:lvlText w:val="%1"/>
      <w:lvlJc w:val="left"/>
      <w:pPr>
        <w:ind w:left="1220" w:hanging="720"/>
        <w:jc w:val="left"/>
      </w:pPr>
      <w:rPr>
        <w:rFonts w:hint="default" w:ascii="Arial" w:hAnsi="Arial" w:eastAsia="Arial" w:cs="Arial"/>
        <w:b/>
        <w:bCs/>
        <w:w w:val="99"/>
        <w:sz w:val="25"/>
        <w:szCs w:val="25"/>
        <w:lang w:val="en-US" w:eastAsia="en-US" w:bidi="ar-SA"/>
      </w:rPr>
    </w:lvl>
    <w:lvl w:ilvl="1">
      <w:start w:val="1"/>
      <w:numFmt w:val="lowerRoman"/>
      <w:lvlText w:val="(%2)"/>
      <w:lvlJc w:val="left"/>
      <w:pPr>
        <w:ind w:left="1940" w:hanging="720"/>
        <w:jc w:val="left"/>
      </w:pPr>
      <w:rPr>
        <w:rFonts w:hint="default" w:ascii="Arial" w:hAnsi="Arial" w:eastAsia="Arial" w:cs="Arial"/>
        <w:w w:val="99"/>
        <w:sz w:val="25"/>
        <w:szCs w:val="25"/>
        <w:lang w:val="en-US" w:eastAsia="en-US" w:bidi="ar-SA"/>
      </w:rPr>
    </w:lvl>
    <w:lvl w:ilvl="2">
      <w:start w:val="1"/>
      <w:numFmt w:val="lowerRoman"/>
      <w:lvlText w:val="(%3)"/>
      <w:lvlJc w:val="left"/>
      <w:pPr>
        <w:ind w:left="2660" w:hanging="720"/>
        <w:jc w:val="left"/>
      </w:pPr>
      <w:rPr>
        <w:rFonts w:hint="default" w:ascii="Arial" w:hAnsi="Arial" w:eastAsia="Arial" w:cs="Arial"/>
        <w:w w:val="99"/>
        <w:sz w:val="25"/>
        <w:szCs w:val="25"/>
        <w:lang w:val="en-US" w:eastAsia="en-US" w:bidi="ar-SA"/>
      </w:rPr>
    </w:lvl>
    <w:lvl w:ilvl="3">
      <w:start w:val="0"/>
      <w:numFmt w:val="bullet"/>
      <w:lvlText w:val="•"/>
      <w:lvlJc w:val="left"/>
      <w:pPr>
        <w:ind w:left="2660" w:hanging="720"/>
      </w:pPr>
      <w:rPr>
        <w:rFonts w:hint="default"/>
        <w:lang w:val="en-US" w:eastAsia="en-US" w:bidi="ar-SA"/>
      </w:rPr>
    </w:lvl>
    <w:lvl w:ilvl="4">
      <w:start w:val="0"/>
      <w:numFmt w:val="bullet"/>
      <w:lvlText w:val="•"/>
      <w:lvlJc w:val="left"/>
      <w:pPr>
        <w:ind w:left="3703" w:hanging="720"/>
      </w:pPr>
      <w:rPr>
        <w:rFonts w:hint="default"/>
        <w:lang w:val="en-US" w:eastAsia="en-US" w:bidi="ar-SA"/>
      </w:rPr>
    </w:lvl>
    <w:lvl w:ilvl="5">
      <w:start w:val="0"/>
      <w:numFmt w:val="bullet"/>
      <w:lvlText w:val="•"/>
      <w:lvlJc w:val="left"/>
      <w:pPr>
        <w:ind w:left="4747" w:hanging="720"/>
      </w:pPr>
      <w:rPr>
        <w:rFonts w:hint="default"/>
        <w:lang w:val="en-US" w:eastAsia="en-US" w:bidi="ar-SA"/>
      </w:rPr>
    </w:lvl>
    <w:lvl w:ilvl="6">
      <w:start w:val="0"/>
      <w:numFmt w:val="bullet"/>
      <w:lvlText w:val="•"/>
      <w:lvlJc w:val="left"/>
      <w:pPr>
        <w:ind w:left="5791" w:hanging="720"/>
      </w:pPr>
      <w:rPr>
        <w:rFonts w:hint="default"/>
        <w:lang w:val="en-US" w:eastAsia="en-US" w:bidi="ar-SA"/>
      </w:rPr>
    </w:lvl>
    <w:lvl w:ilvl="7">
      <w:start w:val="0"/>
      <w:numFmt w:val="bullet"/>
      <w:lvlText w:val="•"/>
      <w:lvlJc w:val="left"/>
      <w:pPr>
        <w:ind w:left="6835" w:hanging="720"/>
      </w:pPr>
      <w:rPr>
        <w:rFonts w:hint="default"/>
        <w:lang w:val="en-US" w:eastAsia="en-US" w:bidi="ar-SA"/>
      </w:rPr>
    </w:lvl>
    <w:lvl w:ilvl="8">
      <w:start w:val="0"/>
      <w:numFmt w:val="bullet"/>
      <w:lvlText w:val="•"/>
      <w:lvlJc w:val="left"/>
      <w:pPr>
        <w:ind w:left="7878" w:hanging="720"/>
      </w:pPr>
      <w:rPr>
        <w:rFonts w:hint="default"/>
        <w:lang w:val="en-US" w:eastAsia="en-US" w:bidi="ar-SA"/>
      </w:rPr>
    </w:lvl>
  </w:abstractNum>
  <w:abstractNum w:abstractNumId="82">
    <w:multiLevelType w:val="hybridMultilevel"/>
    <w:lvl w:ilvl="0">
      <w:start w:val="1"/>
      <w:numFmt w:val="upperRoman"/>
      <w:lvlText w:val="%1"/>
      <w:lvlJc w:val="left"/>
      <w:pPr>
        <w:ind w:left="1220" w:hanging="720"/>
        <w:jc w:val="left"/>
      </w:pPr>
      <w:rPr>
        <w:rFonts w:hint="default" w:ascii="Arial" w:hAnsi="Arial" w:eastAsia="Arial" w:cs="Arial"/>
        <w:b/>
        <w:bCs/>
        <w:w w:val="99"/>
        <w:sz w:val="25"/>
        <w:szCs w:val="25"/>
        <w:lang w:val="en-US" w:eastAsia="en-US" w:bidi="ar-SA"/>
      </w:rPr>
    </w:lvl>
    <w:lvl w:ilvl="1">
      <w:start w:val="1"/>
      <w:numFmt w:val="lowerRoman"/>
      <w:lvlText w:val="(%2)"/>
      <w:lvlJc w:val="left"/>
      <w:pPr>
        <w:ind w:left="1940" w:hanging="720"/>
        <w:jc w:val="left"/>
      </w:pPr>
      <w:rPr>
        <w:rFonts w:hint="default" w:ascii="Arial" w:hAnsi="Arial" w:eastAsia="Arial" w:cs="Arial"/>
        <w:w w:val="99"/>
        <w:sz w:val="25"/>
        <w:szCs w:val="25"/>
        <w:lang w:val="en-US" w:eastAsia="en-US" w:bidi="ar-SA"/>
      </w:rPr>
    </w:lvl>
    <w:lvl w:ilvl="2">
      <w:start w:val="1"/>
      <w:numFmt w:val="lowerLetter"/>
      <w:lvlText w:val="(%3)"/>
      <w:lvlJc w:val="left"/>
      <w:pPr>
        <w:ind w:left="2660" w:hanging="720"/>
        <w:jc w:val="left"/>
      </w:pPr>
      <w:rPr>
        <w:rFonts w:hint="default" w:ascii="Arial" w:hAnsi="Arial" w:eastAsia="Arial" w:cs="Arial"/>
        <w:w w:val="99"/>
        <w:sz w:val="25"/>
        <w:szCs w:val="25"/>
        <w:lang w:val="en-US" w:eastAsia="en-US" w:bidi="ar-SA"/>
      </w:rPr>
    </w:lvl>
    <w:lvl w:ilvl="3">
      <w:start w:val="0"/>
      <w:numFmt w:val="bullet"/>
      <w:lvlText w:val="•"/>
      <w:lvlJc w:val="left"/>
      <w:pPr>
        <w:ind w:left="3573" w:hanging="720"/>
      </w:pPr>
      <w:rPr>
        <w:rFonts w:hint="default"/>
        <w:lang w:val="en-US" w:eastAsia="en-US" w:bidi="ar-SA"/>
      </w:rPr>
    </w:lvl>
    <w:lvl w:ilvl="4">
      <w:start w:val="0"/>
      <w:numFmt w:val="bullet"/>
      <w:lvlText w:val="•"/>
      <w:lvlJc w:val="left"/>
      <w:pPr>
        <w:ind w:left="4486" w:hanging="720"/>
      </w:pPr>
      <w:rPr>
        <w:rFonts w:hint="default"/>
        <w:lang w:val="en-US" w:eastAsia="en-US" w:bidi="ar-SA"/>
      </w:rPr>
    </w:lvl>
    <w:lvl w:ilvl="5">
      <w:start w:val="0"/>
      <w:numFmt w:val="bullet"/>
      <w:lvlText w:val="•"/>
      <w:lvlJc w:val="left"/>
      <w:pPr>
        <w:ind w:left="5399" w:hanging="720"/>
      </w:pPr>
      <w:rPr>
        <w:rFonts w:hint="default"/>
        <w:lang w:val="en-US" w:eastAsia="en-US" w:bidi="ar-SA"/>
      </w:rPr>
    </w:lvl>
    <w:lvl w:ilvl="6">
      <w:start w:val="0"/>
      <w:numFmt w:val="bullet"/>
      <w:lvlText w:val="•"/>
      <w:lvlJc w:val="left"/>
      <w:pPr>
        <w:ind w:left="6313" w:hanging="720"/>
      </w:pPr>
      <w:rPr>
        <w:rFonts w:hint="default"/>
        <w:lang w:val="en-US" w:eastAsia="en-US" w:bidi="ar-SA"/>
      </w:rPr>
    </w:lvl>
    <w:lvl w:ilvl="7">
      <w:start w:val="0"/>
      <w:numFmt w:val="bullet"/>
      <w:lvlText w:val="•"/>
      <w:lvlJc w:val="left"/>
      <w:pPr>
        <w:ind w:left="7226" w:hanging="720"/>
      </w:pPr>
      <w:rPr>
        <w:rFonts w:hint="default"/>
        <w:lang w:val="en-US" w:eastAsia="en-US" w:bidi="ar-SA"/>
      </w:rPr>
    </w:lvl>
    <w:lvl w:ilvl="8">
      <w:start w:val="0"/>
      <w:numFmt w:val="bullet"/>
      <w:lvlText w:val="•"/>
      <w:lvlJc w:val="left"/>
      <w:pPr>
        <w:ind w:left="8139" w:hanging="720"/>
      </w:pPr>
      <w:rPr>
        <w:rFonts w:hint="default"/>
        <w:lang w:val="en-US" w:eastAsia="en-US" w:bidi="ar-SA"/>
      </w:rPr>
    </w:lvl>
  </w:abstractNum>
  <w:abstractNum w:abstractNumId="8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8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7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78">
    <w:multiLevelType w:val="hybridMultilevel"/>
    <w:lvl w:ilvl="0">
      <w:start w:val="11"/>
      <w:numFmt w:val="decimal"/>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1940" w:hanging="720"/>
      </w:pPr>
      <w:rPr>
        <w:rFonts w:hint="default" w:ascii="Symbol" w:hAnsi="Symbol" w:eastAsia="Symbol" w:cs="Symbo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77">
    <w:multiLevelType w:val="hybridMultilevel"/>
    <w:lvl w:ilvl="0">
      <w:start w:val="8"/>
      <w:numFmt w:val="decimal"/>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1940" w:hanging="720"/>
      </w:pPr>
      <w:rPr>
        <w:rFonts w:hint="default" w:ascii="Symbol" w:hAnsi="Symbol" w:eastAsia="Symbol" w:cs="Symbo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76">
    <w:multiLevelType w:val="hybridMultilevel"/>
    <w:lvl w:ilvl="0">
      <w:start w:val="1"/>
      <w:numFmt w:val="decimal"/>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1940" w:hanging="720"/>
      </w:pPr>
      <w:rPr>
        <w:rFonts w:hint="default" w:ascii="Symbol" w:hAnsi="Symbol" w:eastAsia="Symbol" w:cs="Symbo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75">
    <w:multiLevelType w:val="hybridMultilevel"/>
    <w:lvl w:ilvl="0">
      <w:start w:val="2"/>
      <w:numFmt w:val="decimal"/>
      <w:lvlText w:val="%1."/>
      <w:lvlJc w:val="left"/>
      <w:pPr>
        <w:ind w:left="1940" w:hanging="300"/>
        <w:jc w:val="left"/>
      </w:pPr>
      <w:rPr>
        <w:rFonts w:hint="default" w:ascii="Arial" w:hAnsi="Arial" w:eastAsia="Arial" w:cs="Arial"/>
        <w:w w:val="100"/>
        <w:sz w:val="21"/>
        <w:szCs w:val="21"/>
        <w:lang w:val="en-US" w:eastAsia="en-US" w:bidi="ar-SA"/>
      </w:rPr>
    </w:lvl>
    <w:lvl w:ilvl="1">
      <w:start w:val="0"/>
      <w:numFmt w:val="bullet"/>
      <w:lvlText w:val="•"/>
      <w:lvlJc w:val="left"/>
      <w:pPr>
        <w:ind w:left="2742" w:hanging="300"/>
      </w:pPr>
      <w:rPr>
        <w:rFonts w:hint="default"/>
        <w:lang w:val="en-US" w:eastAsia="en-US" w:bidi="ar-SA"/>
      </w:rPr>
    </w:lvl>
    <w:lvl w:ilvl="2">
      <w:start w:val="0"/>
      <w:numFmt w:val="bullet"/>
      <w:lvlText w:val="•"/>
      <w:lvlJc w:val="left"/>
      <w:pPr>
        <w:ind w:left="3545" w:hanging="300"/>
      </w:pPr>
      <w:rPr>
        <w:rFonts w:hint="default"/>
        <w:lang w:val="en-US" w:eastAsia="en-US" w:bidi="ar-SA"/>
      </w:rPr>
    </w:lvl>
    <w:lvl w:ilvl="3">
      <w:start w:val="0"/>
      <w:numFmt w:val="bullet"/>
      <w:lvlText w:val="•"/>
      <w:lvlJc w:val="left"/>
      <w:pPr>
        <w:ind w:left="4347" w:hanging="300"/>
      </w:pPr>
      <w:rPr>
        <w:rFonts w:hint="default"/>
        <w:lang w:val="en-US" w:eastAsia="en-US" w:bidi="ar-SA"/>
      </w:rPr>
    </w:lvl>
    <w:lvl w:ilvl="4">
      <w:start w:val="0"/>
      <w:numFmt w:val="bullet"/>
      <w:lvlText w:val="•"/>
      <w:lvlJc w:val="left"/>
      <w:pPr>
        <w:ind w:left="5150" w:hanging="300"/>
      </w:pPr>
      <w:rPr>
        <w:rFonts w:hint="default"/>
        <w:lang w:val="en-US" w:eastAsia="en-US" w:bidi="ar-SA"/>
      </w:rPr>
    </w:lvl>
    <w:lvl w:ilvl="5">
      <w:start w:val="0"/>
      <w:numFmt w:val="bullet"/>
      <w:lvlText w:val="•"/>
      <w:lvlJc w:val="left"/>
      <w:pPr>
        <w:ind w:left="5953" w:hanging="300"/>
      </w:pPr>
      <w:rPr>
        <w:rFonts w:hint="default"/>
        <w:lang w:val="en-US" w:eastAsia="en-US" w:bidi="ar-SA"/>
      </w:rPr>
    </w:lvl>
    <w:lvl w:ilvl="6">
      <w:start w:val="0"/>
      <w:numFmt w:val="bullet"/>
      <w:lvlText w:val="•"/>
      <w:lvlJc w:val="left"/>
      <w:pPr>
        <w:ind w:left="6755" w:hanging="300"/>
      </w:pPr>
      <w:rPr>
        <w:rFonts w:hint="default"/>
        <w:lang w:val="en-US" w:eastAsia="en-US" w:bidi="ar-SA"/>
      </w:rPr>
    </w:lvl>
    <w:lvl w:ilvl="7">
      <w:start w:val="0"/>
      <w:numFmt w:val="bullet"/>
      <w:lvlText w:val="•"/>
      <w:lvlJc w:val="left"/>
      <w:pPr>
        <w:ind w:left="7558" w:hanging="300"/>
      </w:pPr>
      <w:rPr>
        <w:rFonts w:hint="default"/>
        <w:lang w:val="en-US" w:eastAsia="en-US" w:bidi="ar-SA"/>
      </w:rPr>
    </w:lvl>
    <w:lvl w:ilvl="8">
      <w:start w:val="0"/>
      <w:numFmt w:val="bullet"/>
      <w:lvlText w:val="•"/>
      <w:lvlJc w:val="left"/>
      <w:pPr>
        <w:ind w:left="8361" w:hanging="300"/>
      </w:pPr>
      <w:rPr>
        <w:rFonts w:hint="default"/>
        <w:lang w:val="en-US" w:eastAsia="en-US" w:bidi="ar-SA"/>
      </w:rPr>
    </w:lvl>
  </w:abstractNum>
  <w:abstractNum w:abstractNumId="7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7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72">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7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7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69">
    <w:multiLevelType w:val="hybridMultilevel"/>
    <w:lvl w:ilvl="0">
      <w:start w:val="12"/>
      <w:numFmt w:val="decimal"/>
      <w:lvlText w:val="%1."/>
      <w:lvlJc w:val="left"/>
      <w:pPr>
        <w:ind w:left="1220" w:hanging="442"/>
        <w:jc w:val="right"/>
      </w:pPr>
      <w:rPr>
        <w:rFonts w:hint="default" w:ascii="Arial" w:hAnsi="Arial" w:eastAsia="Arial" w:cs="Arial"/>
        <w:w w:val="99"/>
        <w:sz w:val="25"/>
        <w:szCs w:val="25"/>
        <w:lang w:val="en-US" w:eastAsia="en-US" w:bidi="ar-SA"/>
      </w:rPr>
    </w:lvl>
    <w:lvl w:ilvl="1">
      <w:start w:val="0"/>
      <w:numFmt w:val="bullet"/>
      <w:lvlText w:val=""/>
      <w:lvlJc w:val="left"/>
      <w:pPr>
        <w:ind w:left="1220" w:hanging="360"/>
      </w:pPr>
      <w:rPr>
        <w:rFonts w:hint="default" w:ascii="Symbol" w:hAnsi="Symbol" w:eastAsia="Symbol" w:cs="Symbol"/>
        <w:w w:val="99"/>
        <w:sz w:val="25"/>
        <w:szCs w:val="25"/>
        <w:lang w:val="en-US" w:eastAsia="en-US" w:bidi="ar-SA"/>
      </w:rPr>
    </w:lvl>
    <w:lvl w:ilvl="2">
      <w:start w:val="0"/>
      <w:numFmt w:val="bullet"/>
      <w:lvlText w:val="•"/>
      <w:lvlJc w:val="left"/>
      <w:pPr>
        <w:ind w:left="2969" w:hanging="360"/>
      </w:pPr>
      <w:rPr>
        <w:rFonts w:hint="default"/>
        <w:lang w:val="en-US" w:eastAsia="en-US" w:bidi="ar-SA"/>
      </w:rPr>
    </w:lvl>
    <w:lvl w:ilvl="3">
      <w:start w:val="0"/>
      <w:numFmt w:val="bullet"/>
      <w:lvlText w:val="•"/>
      <w:lvlJc w:val="left"/>
      <w:pPr>
        <w:ind w:left="3843" w:hanging="360"/>
      </w:pPr>
      <w:rPr>
        <w:rFonts w:hint="default"/>
        <w:lang w:val="en-US" w:eastAsia="en-US" w:bidi="ar-SA"/>
      </w:rPr>
    </w:lvl>
    <w:lvl w:ilvl="4">
      <w:start w:val="0"/>
      <w:numFmt w:val="bullet"/>
      <w:lvlText w:val="•"/>
      <w:lvlJc w:val="left"/>
      <w:pPr>
        <w:ind w:left="4718" w:hanging="360"/>
      </w:pPr>
      <w:rPr>
        <w:rFonts w:hint="default"/>
        <w:lang w:val="en-US" w:eastAsia="en-US" w:bidi="ar-SA"/>
      </w:rPr>
    </w:lvl>
    <w:lvl w:ilvl="5">
      <w:start w:val="0"/>
      <w:numFmt w:val="bullet"/>
      <w:lvlText w:val="•"/>
      <w:lvlJc w:val="left"/>
      <w:pPr>
        <w:ind w:left="5593" w:hanging="360"/>
      </w:pPr>
      <w:rPr>
        <w:rFonts w:hint="default"/>
        <w:lang w:val="en-US" w:eastAsia="en-US" w:bidi="ar-SA"/>
      </w:rPr>
    </w:lvl>
    <w:lvl w:ilvl="6">
      <w:start w:val="0"/>
      <w:numFmt w:val="bullet"/>
      <w:lvlText w:val="•"/>
      <w:lvlJc w:val="left"/>
      <w:pPr>
        <w:ind w:left="6467" w:hanging="360"/>
      </w:pPr>
      <w:rPr>
        <w:rFonts w:hint="default"/>
        <w:lang w:val="en-US" w:eastAsia="en-US" w:bidi="ar-SA"/>
      </w:rPr>
    </w:lvl>
    <w:lvl w:ilvl="7">
      <w:start w:val="0"/>
      <w:numFmt w:val="bullet"/>
      <w:lvlText w:val="•"/>
      <w:lvlJc w:val="left"/>
      <w:pPr>
        <w:ind w:left="7342" w:hanging="360"/>
      </w:pPr>
      <w:rPr>
        <w:rFonts w:hint="default"/>
        <w:lang w:val="en-US" w:eastAsia="en-US" w:bidi="ar-SA"/>
      </w:rPr>
    </w:lvl>
    <w:lvl w:ilvl="8">
      <w:start w:val="0"/>
      <w:numFmt w:val="bullet"/>
      <w:lvlText w:val="•"/>
      <w:lvlJc w:val="left"/>
      <w:pPr>
        <w:ind w:left="8217" w:hanging="360"/>
      </w:pPr>
      <w:rPr>
        <w:rFonts w:hint="default"/>
        <w:lang w:val="en-US" w:eastAsia="en-US" w:bidi="ar-SA"/>
      </w:rPr>
    </w:lvl>
  </w:abstractNum>
  <w:abstractNum w:abstractNumId="68">
    <w:multiLevelType w:val="hybridMultilevel"/>
    <w:lvl w:ilvl="0">
      <w:start w:val="6"/>
      <w:numFmt w:val="decimal"/>
      <w:lvlText w:val="%1."/>
      <w:lvlJc w:val="left"/>
      <w:pPr>
        <w:ind w:left="1220" w:hanging="372"/>
        <w:jc w:val="right"/>
      </w:pPr>
      <w:rPr>
        <w:rFonts w:hint="default" w:ascii="Arial" w:hAnsi="Arial" w:eastAsia="Arial" w:cs="Arial"/>
        <w:w w:val="99"/>
        <w:sz w:val="25"/>
        <w:szCs w:val="25"/>
        <w:lang w:val="en-US" w:eastAsia="en-US" w:bidi="ar-SA"/>
      </w:rPr>
    </w:lvl>
    <w:lvl w:ilvl="1">
      <w:start w:val="0"/>
      <w:numFmt w:val="bullet"/>
      <w:lvlText w:val="•"/>
      <w:lvlJc w:val="left"/>
      <w:pPr>
        <w:ind w:left="2094" w:hanging="372"/>
      </w:pPr>
      <w:rPr>
        <w:rFonts w:hint="default"/>
        <w:lang w:val="en-US" w:eastAsia="en-US" w:bidi="ar-SA"/>
      </w:rPr>
    </w:lvl>
    <w:lvl w:ilvl="2">
      <w:start w:val="0"/>
      <w:numFmt w:val="bullet"/>
      <w:lvlText w:val="•"/>
      <w:lvlJc w:val="left"/>
      <w:pPr>
        <w:ind w:left="2969" w:hanging="372"/>
      </w:pPr>
      <w:rPr>
        <w:rFonts w:hint="default"/>
        <w:lang w:val="en-US" w:eastAsia="en-US" w:bidi="ar-SA"/>
      </w:rPr>
    </w:lvl>
    <w:lvl w:ilvl="3">
      <w:start w:val="0"/>
      <w:numFmt w:val="bullet"/>
      <w:lvlText w:val="•"/>
      <w:lvlJc w:val="left"/>
      <w:pPr>
        <w:ind w:left="3843" w:hanging="372"/>
      </w:pPr>
      <w:rPr>
        <w:rFonts w:hint="default"/>
        <w:lang w:val="en-US" w:eastAsia="en-US" w:bidi="ar-SA"/>
      </w:rPr>
    </w:lvl>
    <w:lvl w:ilvl="4">
      <w:start w:val="0"/>
      <w:numFmt w:val="bullet"/>
      <w:lvlText w:val="•"/>
      <w:lvlJc w:val="left"/>
      <w:pPr>
        <w:ind w:left="4718" w:hanging="372"/>
      </w:pPr>
      <w:rPr>
        <w:rFonts w:hint="default"/>
        <w:lang w:val="en-US" w:eastAsia="en-US" w:bidi="ar-SA"/>
      </w:rPr>
    </w:lvl>
    <w:lvl w:ilvl="5">
      <w:start w:val="0"/>
      <w:numFmt w:val="bullet"/>
      <w:lvlText w:val="•"/>
      <w:lvlJc w:val="left"/>
      <w:pPr>
        <w:ind w:left="5593" w:hanging="372"/>
      </w:pPr>
      <w:rPr>
        <w:rFonts w:hint="default"/>
        <w:lang w:val="en-US" w:eastAsia="en-US" w:bidi="ar-SA"/>
      </w:rPr>
    </w:lvl>
    <w:lvl w:ilvl="6">
      <w:start w:val="0"/>
      <w:numFmt w:val="bullet"/>
      <w:lvlText w:val="•"/>
      <w:lvlJc w:val="left"/>
      <w:pPr>
        <w:ind w:left="6467" w:hanging="372"/>
      </w:pPr>
      <w:rPr>
        <w:rFonts w:hint="default"/>
        <w:lang w:val="en-US" w:eastAsia="en-US" w:bidi="ar-SA"/>
      </w:rPr>
    </w:lvl>
    <w:lvl w:ilvl="7">
      <w:start w:val="0"/>
      <w:numFmt w:val="bullet"/>
      <w:lvlText w:val="•"/>
      <w:lvlJc w:val="left"/>
      <w:pPr>
        <w:ind w:left="7342" w:hanging="372"/>
      </w:pPr>
      <w:rPr>
        <w:rFonts w:hint="default"/>
        <w:lang w:val="en-US" w:eastAsia="en-US" w:bidi="ar-SA"/>
      </w:rPr>
    </w:lvl>
    <w:lvl w:ilvl="8">
      <w:start w:val="0"/>
      <w:numFmt w:val="bullet"/>
      <w:lvlText w:val="•"/>
      <w:lvlJc w:val="left"/>
      <w:pPr>
        <w:ind w:left="8217" w:hanging="372"/>
      </w:pPr>
      <w:rPr>
        <w:rFonts w:hint="default"/>
        <w:lang w:val="en-US" w:eastAsia="en-US" w:bidi="ar-SA"/>
      </w:rPr>
    </w:lvl>
  </w:abstractNum>
  <w:abstractNum w:abstractNumId="67">
    <w:multiLevelType w:val="hybridMultilevel"/>
    <w:lvl w:ilvl="0">
      <w:start w:val="2"/>
      <w:numFmt w:val="decimal"/>
      <w:lvlText w:val="%1."/>
      <w:lvlJc w:val="left"/>
      <w:pPr>
        <w:ind w:left="1220" w:hanging="233"/>
        <w:jc w:val="right"/>
      </w:pPr>
      <w:rPr>
        <w:rFonts w:hint="default" w:ascii="Arial" w:hAnsi="Arial" w:eastAsia="Arial" w:cs="Arial"/>
        <w:w w:val="99"/>
        <w:sz w:val="25"/>
        <w:szCs w:val="25"/>
        <w:lang w:val="en-US" w:eastAsia="en-US" w:bidi="ar-SA"/>
      </w:rPr>
    </w:lvl>
    <w:lvl w:ilvl="1">
      <w:start w:val="0"/>
      <w:numFmt w:val="bullet"/>
      <w:lvlText w:val="•"/>
      <w:lvlJc w:val="left"/>
      <w:pPr>
        <w:ind w:left="2094" w:hanging="233"/>
      </w:pPr>
      <w:rPr>
        <w:rFonts w:hint="default"/>
        <w:lang w:val="en-US" w:eastAsia="en-US" w:bidi="ar-SA"/>
      </w:rPr>
    </w:lvl>
    <w:lvl w:ilvl="2">
      <w:start w:val="0"/>
      <w:numFmt w:val="bullet"/>
      <w:lvlText w:val="•"/>
      <w:lvlJc w:val="left"/>
      <w:pPr>
        <w:ind w:left="2969" w:hanging="233"/>
      </w:pPr>
      <w:rPr>
        <w:rFonts w:hint="default"/>
        <w:lang w:val="en-US" w:eastAsia="en-US" w:bidi="ar-SA"/>
      </w:rPr>
    </w:lvl>
    <w:lvl w:ilvl="3">
      <w:start w:val="0"/>
      <w:numFmt w:val="bullet"/>
      <w:lvlText w:val="•"/>
      <w:lvlJc w:val="left"/>
      <w:pPr>
        <w:ind w:left="3843" w:hanging="233"/>
      </w:pPr>
      <w:rPr>
        <w:rFonts w:hint="default"/>
        <w:lang w:val="en-US" w:eastAsia="en-US" w:bidi="ar-SA"/>
      </w:rPr>
    </w:lvl>
    <w:lvl w:ilvl="4">
      <w:start w:val="0"/>
      <w:numFmt w:val="bullet"/>
      <w:lvlText w:val="•"/>
      <w:lvlJc w:val="left"/>
      <w:pPr>
        <w:ind w:left="4718" w:hanging="233"/>
      </w:pPr>
      <w:rPr>
        <w:rFonts w:hint="default"/>
        <w:lang w:val="en-US" w:eastAsia="en-US" w:bidi="ar-SA"/>
      </w:rPr>
    </w:lvl>
    <w:lvl w:ilvl="5">
      <w:start w:val="0"/>
      <w:numFmt w:val="bullet"/>
      <w:lvlText w:val="•"/>
      <w:lvlJc w:val="left"/>
      <w:pPr>
        <w:ind w:left="5593" w:hanging="233"/>
      </w:pPr>
      <w:rPr>
        <w:rFonts w:hint="default"/>
        <w:lang w:val="en-US" w:eastAsia="en-US" w:bidi="ar-SA"/>
      </w:rPr>
    </w:lvl>
    <w:lvl w:ilvl="6">
      <w:start w:val="0"/>
      <w:numFmt w:val="bullet"/>
      <w:lvlText w:val="•"/>
      <w:lvlJc w:val="left"/>
      <w:pPr>
        <w:ind w:left="6467" w:hanging="233"/>
      </w:pPr>
      <w:rPr>
        <w:rFonts w:hint="default"/>
        <w:lang w:val="en-US" w:eastAsia="en-US" w:bidi="ar-SA"/>
      </w:rPr>
    </w:lvl>
    <w:lvl w:ilvl="7">
      <w:start w:val="0"/>
      <w:numFmt w:val="bullet"/>
      <w:lvlText w:val="•"/>
      <w:lvlJc w:val="left"/>
      <w:pPr>
        <w:ind w:left="7342" w:hanging="233"/>
      </w:pPr>
      <w:rPr>
        <w:rFonts w:hint="default"/>
        <w:lang w:val="en-US" w:eastAsia="en-US" w:bidi="ar-SA"/>
      </w:rPr>
    </w:lvl>
    <w:lvl w:ilvl="8">
      <w:start w:val="0"/>
      <w:numFmt w:val="bullet"/>
      <w:lvlText w:val="•"/>
      <w:lvlJc w:val="left"/>
      <w:pPr>
        <w:ind w:left="8217" w:hanging="233"/>
      </w:pPr>
      <w:rPr>
        <w:rFonts w:hint="default"/>
        <w:lang w:val="en-US" w:eastAsia="en-US" w:bidi="ar-SA"/>
      </w:rPr>
    </w:lvl>
  </w:abstractNum>
  <w:abstractNum w:abstractNumId="66">
    <w:multiLevelType w:val="hybridMultilevel"/>
    <w:lvl w:ilvl="0">
      <w:start w:val="0"/>
      <w:numFmt w:val="bullet"/>
      <w:lvlText w:val=""/>
      <w:lvlJc w:val="left"/>
      <w:pPr>
        <w:ind w:left="1220" w:hanging="360"/>
      </w:pPr>
      <w:rPr>
        <w:rFonts w:hint="default" w:ascii="Symbol" w:hAnsi="Symbol" w:eastAsia="Symbol" w:cs="Symbol"/>
        <w:w w:val="99"/>
        <w:sz w:val="25"/>
        <w:szCs w:val="25"/>
        <w:lang w:val="en-US" w:eastAsia="en-US" w:bidi="ar-SA"/>
      </w:rPr>
    </w:lvl>
    <w:lvl w:ilvl="1">
      <w:start w:val="0"/>
      <w:numFmt w:val="bullet"/>
      <w:lvlText w:val="•"/>
      <w:lvlJc w:val="left"/>
      <w:pPr>
        <w:ind w:left="2094" w:hanging="360"/>
      </w:pPr>
      <w:rPr>
        <w:rFonts w:hint="default"/>
        <w:lang w:val="en-US" w:eastAsia="en-US" w:bidi="ar-SA"/>
      </w:rPr>
    </w:lvl>
    <w:lvl w:ilvl="2">
      <w:start w:val="0"/>
      <w:numFmt w:val="bullet"/>
      <w:lvlText w:val="•"/>
      <w:lvlJc w:val="left"/>
      <w:pPr>
        <w:ind w:left="2969" w:hanging="360"/>
      </w:pPr>
      <w:rPr>
        <w:rFonts w:hint="default"/>
        <w:lang w:val="en-US" w:eastAsia="en-US" w:bidi="ar-SA"/>
      </w:rPr>
    </w:lvl>
    <w:lvl w:ilvl="3">
      <w:start w:val="0"/>
      <w:numFmt w:val="bullet"/>
      <w:lvlText w:val="•"/>
      <w:lvlJc w:val="left"/>
      <w:pPr>
        <w:ind w:left="3843" w:hanging="360"/>
      </w:pPr>
      <w:rPr>
        <w:rFonts w:hint="default"/>
        <w:lang w:val="en-US" w:eastAsia="en-US" w:bidi="ar-SA"/>
      </w:rPr>
    </w:lvl>
    <w:lvl w:ilvl="4">
      <w:start w:val="0"/>
      <w:numFmt w:val="bullet"/>
      <w:lvlText w:val="•"/>
      <w:lvlJc w:val="left"/>
      <w:pPr>
        <w:ind w:left="4718" w:hanging="360"/>
      </w:pPr>
      <w:rPr>
        <w:rFonts w:hint="default"/>
        <w:lang w:val="en-US" w:eastAsia="en-US" w:bidi="ar-SA"/>
      </w:rPr>
    </w:lvl>
    <w:lvl w:ilvl="5">
      <w:start w:val="0"/>
      <w:numFmt w:val="bullet"/>
      <w:lvlText w:val="•"/>
      <w:lvlJc w:val="left"/>
      <w:pPr>
        <w:ind w:left="5593" w:hanging="360"/>
      </w:pPr>
      <w:rPr>
        <w:rFonts w:hint="default"/>
        <w:lang w:val="en-US" w:eastAsia="en-US" w:bidi="ar-SA"/>
      </w:rPr>
    </w:lvl>
    <w:lvl w:ilvl="6">
      <w:start w:val="0"/>
      <w:numFmt w:val="bullet"/>
      <w:lvlText w:val="•"/>
      <w:lvlJc w:val="left"/>
      <w:pPr>
        <w:ind w:left="6467" w:hanging="360"/>
      </w:pPr>
      <w:rPr>
        <w:rFonts w:hint="default"/>
        <w:lang w:val="en-US" w:eastAsia="en-US" w:bidi="ar-SA"/>
      </w:rPr>
    </w:lvl>
    <w:lvl w:ilvl="7">
      <w:start w:val="0"/>
      <w:numFmt w:val="bullet"/>
      <w:lvlText w:val="•"/>
      <w:lvlJc w:val="left"/>
      <w:pPr>
        <w:ind w:left="7342" w:hanging="360"/>
      </w:pPr>
      <w:rPr>
        <w:rFonts w:hint="default"/>
        <w:lang w:val="en-US" w:eastAsia="en-US" w:bidi="ar-SA"/>
      </w:rPr>
    </w:lvl>
    <w:lvl w:ilvl="8">
      <w:start w:val="0"/>
      <w:numFmt w:val="bullet"/>
      <w:lvlText w:val="•"/>
      <w:lvlJc w:val="left"/>
      <w:pPr>
        <w:ind w:left="8217" w:hanging="360"/>
      </w:pPr>
      <w:rPr>
        <w:rFonts w:hint="default"/>
        <w:lang w:val="en-US" w:eastAsia="en-US" w:bidi="ar-SA"/>
      </w:rPr>
    </w:lvl>
  </w:abstractNum>
  <w:abstractNum w:abstractNumId="6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Roman"/>
      <w:lvlText w:val="(%2)"/>
      <w:lvlJc w:val="left"/>
      <w:pPr>
        <w:ind w:left="1311" w:hanging="720"/>
        <w:jc w:val="left"/>
      </w:pPr>
      <w:rPr>
        <w:rFonts w:hint="default" w:ascii="Arial" w:hAnsi="Arial" w:eastAsia="Arial" w:cs="Arial"/>
        <w:w w:val="99"/>
        <w:sz w:val="25"/>
        <w:szCs w:val="25"/>
        <w:lang w:val="en-US" w:eastAsia="en-US" w:bidi="ar-SA"/>
      </w:rPr>
    </w:lvl>
    <w:lvl w:ilvl="2">
      <w:start w:val="0"/>
      <w:numFmt w:val="bullet"/>
      <w:lvlText w:val="•"/>
      <w:lvlJc w:val="left"/>
      <w:pPr>
        <w:ind w:left="2280" w:hanging="720"/>
      </w:pPr>
      <w:rPr>
        <w:rFonts w:hint="default"/>
        <w:lang w:val="en-US" w:eastAsia="en-US" w:bidi="ar-SA"/>
      </w:rPr>
    </w:lvl>
    <w:lvl w:ilvl="3">
      <w:start w:val="0"/>
      <w:numFmt w:val="bullet"/>
      <w:lvlText w:val="•"/>
      <w:lvlJc w:val="left"/>
      <w:pPr>
        <w:ind w:left="3241" w:hanging="720"/>
      </w:pPr>
      <w:rPr>
        <w:rFonts w:hint="default"/>
        <w:lang w:val="en-US" w:eastAsia="en-US" w:bidi="ar-SA"/>
      </w:rPr>
    </w:lvl>
    <w:lvl w:ilvl="4">
      <w:start w:val="0"/>
      <w:numFmt w:val="bullet"/>
      <w:lvlText w:val="•"/>
      <w:lvlJc w:val="left"/>
      <w:pPr>
        <w:ind w:left="4202" w:hanging="720"/>
      </w:pPr>
      <w:rPr>
        <w:rFonts w:hint="default"/>
        <w:lang w:val="en-US" w:eastAsia="en-US" w:bidi="ar-SA"/>
      </w:rPr>
    </w:lvl>
    <w:lvl w:ilvl="5">
      <w:start w:val="0"/>
      <w:numFmt w:val="bullet"/>
      <w:lvlText w:val="•"/>
      <w:lvlJc w:val="left"/>
      <w:pPr>
        <w:ind w:left="5162" w:hanging="720"/>
      </w:pPr>
      <w:rPr>
        <w:rFonts w:hint="default"/>
        <w:lang w:val="en-US" w:eastAsia="en-US" w:bidi="ar-SA"/>
      </w:rPr>
    </w:lvl>
    <w:lvl w:ilvl="6">
      <w:start w:val="0"/>
      <w:numFmt w:val="bullet"/>
      <w:lvlText w:val="•"/>
      <w:lvlJc w:val="left"/>
      <w:pPr>
        <w:ind w:left="6123" w:hanging="720"/>
      </w:pPr>
      <w:rPr>
        <w:rFonts w:hint="default"/>
        <w:lang w:val="en-US" w:eastAsia="en-US" w:bidi="ar-SA"/>
      </w:rPr>
    </w:lvl>
    <w:lvl w:ilvl="7">
      <w:start w:val="0"/>
      <w:numFmt w:val="bullet"/>
      <w:lvlText w:val="•"/>
      <w:lvlJc w:val="left"/>
      <w:pPr>
        <w:ind w:left="7084" w:hanging="720"/>
      </w:pPr>
      <w:rPr>
        <w:rFonts w:hint="default"/>
        <w:lang w:val="en-US" w:eastAsia="en-US" w:bidi="ar-SA"/>
      </w:rPr>
    </w:lvl>
    <w:lvl w:ilvl="8">
      <w:start w:val="0"/>
      <w:numFmt w:val="bullet"/>
      <w:lvlText w:val="•"/>
      <w:lvlJc w:val="left"/>
      <w:pPr>
        <w:ind w:left="8044" w:hanging="720"/>
      </w:pPr>
      <w:rPr>
        <w:rFonts w:hint="default"/>
        <w:lang w:val="en-US" w:eastAsia="en-US" w:bidi="ar-SA"/>
      </w:rPr>
    </w:lvl>
  </w:abstractNum>
  <w:abstractNum w:abstractNumId="6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6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62">
    <w:multiLevelType w:val="hybridMultilevel"/>
    <w:lvl w:ilvl="0">
      <w:start w:val="33"/>
      <w:numFmt w:val="decimal"/>
      <w:lvlText w:val="%1."/>
      <w:lvlJc w:val="left"/>
      <w:pPr>
        <w:ind w:left="1940" w:hanging="360"/>
        <w:jc w:val="left"/>
      </w:pPr>
      <w:rPr>
        <w:rFonts w:hint="default" w:ascii="Arial" w:hAnsi="Arial" w:eastAsia="Arial" w:cs="Arial"/>
        <w:w w:val="100"/>
        <w:sz w:val="21"/>
        <w:szCs w:val="21"/>
        <w:lang w:val="en-US" w:eastAsia="en-US" w:bidi="ar-SA"/>
      </w:rPr>
    </w:lvl>
    <w:lvl w:ilvl="1">
      <w:start w:val="0"/>
      <w:numFmt w:val="bullet"/>
      <w:lvlText w:val="•"/>
      <w:lvlJc w:val="left"/>
      <w:pPr>
        <w:ind w:left="2742" w:hanging="360"/>
      </w:pPr>
      <w:rPr>
        <w:rFonts w:hint="default"/>
        <w:lang w:val="en-US" w:eastAsia="en-US" w:bidi="ar-SA"/>
      </w:rPr>
    </w:lvl>
    <w:lvl w:ilvl="2">
      <w:start w:val="0"/>
      <w:numFmt w:val="bullet"/>
      <w:lvlText w:val="•"/>
      <w:lvlJc w:val="left"/>
      <w:pPr>
        <w:ind w:left="3545" w:hanging="360"/>
      </w:pPr>
      <w:rPr>
        <w:rFonts w:hint="default"/>
        <w:lang w:val="en-US" w:eastAsia="en-US" w:bidi="ar-SA"/>
      </w:rPr>
    </w:lvl>
    <w:lvl w:ilvl="3">
      <w:start w:val="0"/>
      <w:numFmt w:val="bullet"/>
      <w:lvlText w:val="•"/>
      <w:lvlJc w:val="left"/>
      <w:pPr>
        <w:ind w:left="4347" w:hanging="360"/>
      </w:pPr>
      <w:rPr>
        <w:rFonts w:hint="default"/>
        <w:lang w:val="en-US" w:eastAsia="en-US" w:bidi="ar-SA"/>
      </w:rPr>
    </w:lvl>
    <w:lvl w:ilvl="4">
      <w:start w:val="0"/>
      <w:numFmt w:val="bullet"/>
      <w:lvlText w:val="•"/>
      <w:lvlJc w:val="left"/>
      <w:pPr>
        <w:ind w:left="515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755" w:hanging="360"/>
      </w:pPr>
      <w:rPr>
        <w:rFonts w:hint="default"/>
        <w:lang w:val="en-US" w:eastAsia="en-US" w:bidi="ar-SA"/>
      </w:rPr>
    </w:lvl>
    <w:lvl w:ilvl="7">
      <w:start w:val="0"/>
      <w:numFmt w:val="bullet"/>
      <w:lvlText w:val="•"/>
      <w:lvlJc w:val="left"/>
      <w:pPr>
        <w:ind w:left="7558" w:hanging="360"/>
      </w:pPr>
      <w:rPr>
        <w:rFonts w:hint="default"/>
        <w:lang w:val="en-US" w:eastAsia="en-US" w:bidi="ar-SA"/>
      </w:rPr>
    </w:lvl>
    <w:lvl w:ilvl="8">
      <w:start w:val="0"/>
      <w:numFmt w:val="bullet"/>
      <w:lvlText w:val="•"/>
      <w:lvlJc w:val="left"/>
      <w:pPr>
        <w:ind w:left="8361" w:hanging="360"/>
      </w:pPr>
      <w:rPr>
        <w:rFonts w:hint="default"/>
        <w:lang w:val="en-US" w:eastAsia="en-US" w:bidi="ar-SA"/>
      </w:rPr>
    </w:lvl>
  </w:abstractNum>
  <w:abstractNum w:abstractNumId="6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60">
    <w:multiLevelType w:val="hybridMultilevel"/>
    <w:lvl w:ilvl="0">
      <w:start w:val="5"/>
      <w:numFmt w:val="decimal"/>
      <w:lvlText w:val="%1."/>
      <w:lvlJc w:val="left"/>
      <w:pPr>
        <w:ind w:left="1940" w:hanging="245"/>
        <w:jc w:val="left"/>
      </w:pPr>
      <w:rPr>
        <w:rFonts w:hint="default"/>
        <w:spacing w:val="-1"/>
        <w:w w:val="100"/>
        <w:lang w:val="en-US" w:eastAsia="en-US" w:bidi="ar-SA"/>
      </w:rPr>
    </w:lvl>
    <w:lvl w:ilvl="1">
      <w:start w:val="0"/>
      <w:numFmt w:val="bullet"/>
      <w:lvlText w:val="•"/>
      <w:lvlJc w:val="left"/>
      <w:pPr>
        <w:ind w:left="2742" w:hanging="245"/>
      </w:pPr>
      <w:rPr>
        <w:rFonts w:hint="default"/>
        <w:lang w:val="en-US" w:eastAsia="en-US" w:bidi="ar-SA"/>
      </w:rPr>
    </w:lvl>
    <w:lvl w:ilvl="2">
      <w:start w:val="0"/>
      <w:numFmt w:val="bullet"/>
      <w:lvlText w:val="•"/>
      <w:lvlJc w:val="left"/>
      <w:pPr>
        <w:ind w:left="3545" w:hanging="245"/>
      </w:pPr>
      <w:rPr>
        <w:rFonts w:hint="default"/>
        <w:lang w:val="en-US" w:eastAsia="en-US" w:bidi="ar-SA"/>
      </w:rPr>
    </w:lvl>
    <w:lvl w:ilvl="3">
      <w:start w:val="0"/>
      <w:numFmt w:val="bullet"/>
      <w:lvlText w:val="•"/>
      <w:lvlJc w:val="left"/>
      <w:pPr>
        <w:ind w:left="4347" w:hanging="245"/>
      </w:pPr>
      <w:rPr>
        <w:rFonts w:hint="default"/>
        <w:lang w:val="en-US" w:eastAsia="en-US" w:bidi="ar-SA"/>
      </w:rPr>
    </w:lvl>
    <w:lvl w:ilvl="4">
      <w:start w:val="0"/>
      <w:numFmt w:val="bullet"/>
      <w:lvlText w:val="•"/>
      <w:lvlJc w:val="left"/>
      <w:pPr>
        <w:ind w:left="5150" w:hanging="245"/>
      </w:pPr>
      <w:rPr>
        <w:rFonts w:hint="default"/>
        <w:lang w:val="en-US" w:eastAsia="en-US" w:bidi="ar-SA"/>
      </w:rPr>
    </w:lvl>
    <w:lvl w:ilvl="5">
      <w:start w:val="0"/>
      <w:numFmt w:val="bullet"/>
      <w:lvlText w:val="•"/>
      <w:lvlJc w:val="left"/>
      <w:pPr>
        <w:ind w:left="5953" w:hanging="245"/>
      </w:pPr>
      <w:rPr>
        <w:rFonts w:hint="default"/>
        <w:lang w:val="en-US" w:eastAsia="en-US" w:bidi="ar-SA"/>
      </w:rPr>
    </w:lvl>
    <w:lvl w:ilvl="6">
      <w:start w:val="0"/>
      <w:numFmt w:val="bullet"/>
      <w:lvlText w:val="•"/>
      <w:lvlJc w:val="left"/>
      <w:pPr>
        <w:ind w:left="6755" w:hanging="245"/>
      </w:pPr>
      <w:rPr>
        <w:rFonts w:hint="default"/>
        <w:lang w:val="en-US" w:eastAsia="en-US" w:bidi="ar-SA"/>
      </w:rPr>
    </w:lvl>
    <w:lvl w:ilvl="7">
      <w:start w:val="0"/>
      <w:numFmt w:val="bullet"/>
      <w:lvlText w:val="•"/>
      <w:lvlJc w:val="left"/>
      <w:pPr>
        <w:ind w:left="7558" w:hanging="245"/>
      </w:pPr>
      <w:rPr>
        <w:rFonts w:hint="default"/>
        <w:lang w:val="en-US" w:eastAsia="en-US" w:bidi="ar-SA"/>
      </w:rPr>
    </w:lvl>
    <w:lvl w:ilvl="8">
      <w:start w:val="0"/>
      <w:numFmt w:val="bullet"/>
      <w:lvlText w:val="•"/>
      <w:lvlJc w:val="left"/>
      <w:pPr>
        <w:ind w:left="8361" w:hanging="245"/>
      </w:pPr>
      <w:rPr>
        <w:rFonts w:hint="default"/>
        <w:lang w:val="en-US" w:eastAsia="en-US" w:bidi="ar-SA"/>
      </w:rPr>
    </w:lvl>
  </w:abstractNum>
  <w:abstractNum w:abstractNumId="5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5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57">
    <w:multiLevelType w:val="hybridMultilevel"/>
    <w:lvl w:ilvl="0">
      <w:start w:val="2"/>
      <w:numFmt w:val="decimal"/>
      <w:lvlText w:val="(%1)"/>
      <w:lvlJc w:val="left"/>
      <w:pPr>
        <w:ind w:left="1940" w:hanging="392"/>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392"/>
      </w:pPr>
      <w:rPr>
        <w:rFonts w:hint="default"/>
        <w:lang w:val="en-US" w:eastAsia="en-US" w:bidi="ar-SA"/>
      </w:rPr>
    </w:lvl>
    <w:lvl w:ilvl="2">
      <w:start w:val="0"/>
      <w:numFmt w:val="bullet"/>
      <w:lvlText w:val="•"/>
      <w:lvlJc w:val="left"/>
      <w:pPr>
        <w:ind w:left="3545" w:hanging="392"/>
      </w:pPr>
      <w:rPr>
        <w:rFonts w:hint="default"/>
        <w:lang w:val="en-US" w:eastAsia="en-US" w:bidi="ar-SA"/>
      </w:rPr>
    </w:lvl>
    <w:lvl w:ilvl="3">
      <w:start w:val="0"/>
      <w:numFmt w:val="bullet"/>
      <w:lvlText w:val="•"/>
      <w:lvlJc w:val="left"/>
      <w:pPr>
        <w:ind w:left="4347" w:hanging="392"/>
      </w:pPr>
      <w:rPr>
        <w:rFonts w:hint="default"/>
        <w:lang w:val="en-US" w:eastAsia="en-US" w:bidi="ar-SA"/>
      </w:rPr>
    </w:lvl>
    <w:lvl w:ilvl="4">
      <w:start w:val="0"/>
      <w:numFmt w:val="bullet"/>
      <w:lvlText w:val="•"/>
      <w:lvlJc w:val="left"/>
      <w:pPr>
        <w:ind w:left="5150" w:hanging="392"/>
      </w:pPr>
      <w:rPr>
        <w:rFonts w:hint="default"/>
        <w:lang w:val="en-US" w:eastAsia="en-US" w:bidi="ar-SA"/>
      </w:rPr>
    </w:lvl>
    <w:lvl w:ilvl="5">
      <w:start w:val="0"/>
      <w:numFmt w:val="bullet"/>
      <w:lvlText w:val="•"/>
      <w:lvlJc w:val="left"/>
      <w:pPr>
        <w:ind w:left="5953" w:hanging="392"/>
      </w:pPr>
      <w:rPr>
        <w:rFonts w:hint="default"/>
        <w:lang w:val="en-US" w:eastAsia="en-US" w:bidi="ar-SA"/>
      </w:rPr>
    </w:lvl>
    <w:lvl w:ilvl="6">
      <w:start w:val="0"/>
      <w:numFmt w:val="bullet"/>
      <w:lvlText w:val="•"/>
      <w:lvlJc w:val="left"/>
      <w:pPr>
        <w:ind w:left="6755" w:hanging="392"/>
      </w:pPr>
      <w:rPr>
        <w:rFonts w:hint="default"/>
        <w:lang w:val="en-US" w:eastAsia="en-US" w:bidi="ar-SA"/>
      </w:rPr>
    </w:lvl>
    <w:lvl w:ilvl="7">
      <w:start w:val="0"/>
      <w:numFmt w:val="bullet"/>
      <w:lvlText w:val="•"/>
      <w:lvlJc w:val="left"/>
      <w:pPr>
        <w:ind w:left="7558" w:hanging="392"/>
      </w:pPr>
      <w:rPr>
        <w:rFonts w:hint="default"/>
        <w:lang w:val="en-US" w:eastAsia="en-US" w:bidi="ar-SA"/>
      </w:rPr>
    </w:lvl>
    <w:lvl w:ilvl="8">
      <w:start w:val="0"/>
      <w:numFmt w:val="bullet"/>
      <w:lvlText w:val="•"/>
      <w:lvlJc w:val="left"/>
      <w:pPr>
        <w:ind w:left="8361" w:hanging="392"/>
      </w:pPr>
      <w:rPr>
        <w:rFonts w:hint="default"/>
        <w:lang w:val="en-US" w:eastAsia="en-US" w:bidi="ar-SA"/>
      </w:rPr>
    </w:lvl>
  </w:abstractNum>
  <w:abstractNum w:abstractNumId="56">
    <w:multiLevelType w:val="hybridMultilevel"/>
    <w:lvl w:ilvl="0">
      <w:start w:val="2"/>
      <w:numFmt w:val="decimal"/>
      <w:lvlText w:val="(%1)"/>
      <w:lvlJc w:val="left"/>
      <w:pPr>
        <w:ind w:left="1940" w:hanging="327"/>
        <w:jc w:val="left"/>
      </w:pPr>
      <w:rPr>
        <w:rFonts w:hint="default" w:ascii="Arial" w:hAnsi="Arial" w:eastAsia="Arial" w:cs="Arial"/>
        <w:spacing w:val="-1"/>
        <w:w w:val="100"/>
        <w:sz w:val="21"/>
        <w:szCs w:val="21"/>
        <w:lang w:val="en-US" w:eastAsia="en-US" w:bidi="ar-SA"/>
      </w:rPr>
    </w:lvl>
    <w:lvl w:ilvl="1">
      <w:start w:val="1"/>
      <w:numFmt w:val="lowerLetter"/>
      <w:lvlText w:val="(%2)"/>
      <w:lvlJc w:val="left"/>
      <w:pPr>
        <w:ind w:left="1940" w:hanging="341"/>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3545" w:hanging="341"/>
      </w:pPr>
      <w:rPr>
        <w:rFonts w:hint="default"/>
        <w:lang w:val="en-US" w:eastAsia="en-US" w:bidi="ar-SA"/>
      </w:rPr>
    </w:lvl>
    <w:lvl w:ilvl="3">
      <w:start w:val="0"/>
      <w:numFmt w:val="bullet"/>
      <w:lvlText w:val="•"/>
      <w:lvlJc w:val="left"/>
      <w:pPr>
        <w:ind w:left="4347" w:hanging="341"/>
      </w:pPr>
      <w:rPr>
        <w:rFonts w:hint="default"/>
        <w:lang w:val="en-US" w:eastAsia="en-US" w:bidi="ar-SA"/>
      </w:rPr>
    </w:lvl>
    <w:lvl w:ilvl="4">
      <w:start w:val="0"/>
      <w:numFmt w:val="bullet"/>
      <w:lvlText w:val="•"/>
      <w:lvlJc w:val="left"/>
      <w:pPr>
        <w:ind w:left="5150" w:hanging="341"/>
      </w:pPr>
      <w:rPr>
        <w:rFonts w:hint="default"/>
        <w:lang w:val="en-US" w:eastAsia="en-US" w:bidi="ar-SA"/>
      </w:rPr>
    </w:lvl>
    <w:lvl w:ilvl="5">
      <w:start w:val="0"/>
      <w:numFmt w:val="bullet"/>
      <w:lvlText w:val="•"/>
      <w:lvlJc w:val="left"/>
      <w:pPr>
        <w:ind w:left="5953" w:hanging="341"/>
      </w:pPr>
      <w:rPr>
        <w:rFonts w:hint="default"/>
        <w:lang w:val="en-US" w:eastAsia="en-US" w:bidi="ar-SA"/>
      </w:rPr>
    </w:lvl>
    <w:lvl w:ilvl="6">
      <w:start w:val="0"/>
      <w:numFmt w:val="bullet"/>
      <w:lvlText w:val="•"/>
      <w:lvlJc w:val="left"/>
      <w:pPr>
        <w:ind w:left="6755" w:hanging="341"/>
      </w:pPr>
      <w:rPr>
        <w:rFonts w:hint="default"/>
        <w:lang w:val="en-US" w:eastAsia="en-US" w:bidi="ar-SA"/>
      </w:rPr>
    </w:lvl>
    <w:lvl w:ilvl="7">
      <w:start w:val="0"/>
      <w:numFmt w:val="bullet"/>
      <w:lvlText w:val="•"/>
      <w:lvlJc w:val="left"/>
      <w:pPr>
        <w:ind w:left="7558" w:hanging="341"/>
      </w:pPr>
      <w:rPr>
        <w:rFonts w:hint="default"/>
        <w:lang w:val="en-US" w:eastAsia="en-US" w:bidi="ar-SA"/>
      </w:rPr>
    </w:lvl>
    <w:lvl w:ilvl="8">
      <w:start w:val="0"/>
      <w:numFmt w:val="bullet"/>
      <w:lvlText w:val="•"/>
      <w:lvlJc w:val="left"/>
      <w:pPr>
        <w:ind w:left="8361" w:hanging="341"/>
      </w:pPr>
      <w:rPr>
        <w:rFonts w:hint="default"/>
        <w:lang w:val="en-US" w:eastAsia="en-US" w:bidi="ar-SA"/>
      </w:rPr>
    </w:lvl>
  </w:abstractNum>
  <w:abstractNum w:abstractNumId="55">
    <w:multiLevelType w:val="hybridMultilevel"/>
    <w:lvl w:ilvl="0">
      <w:start w:val="9"/>
      <w:numFmt w:val="upperLetter"/>
      <w:lvlText w:val="%1."/>
      <w:lvlJc w:val="left"/>
      <w:pPr>
        <w:ind w:left="1220" w:hanging="720"/>
        <w:jc w:val="left"/>
      </w:pPr>
      <w:rPr>
        <w:rFonts w:hint="default" w:ascii="Arial" w:hAnsi="Arial" w:eastAsia="Arial" w:cs="Arial"/>
        <w:b/>
        <w:bCs/>
        <w:spacing w:val="-1"/>
        <w:w w:val="99"/>
        <w:sz w:val="26"/>
        <w:szCs w:val="26"/>
        <w:lang w:val="en-US" w:eastAsia="en-US" w:bidi="ar-SA"/>
      </w:rPr>
    </w:lvl>
    <w:lvl w:ilvl="1">
      <w:start w:val="1"/>
      <w:numFmt w:val="decimal"/>
      <w:lvlText w:val="%1.%2"/>
      <w:lvlJc w:val="left"/>
      <w:pPr>
        <w:ind w:left="1220" w:hanging="720"/>
        <w:jc w:val="left"/>
      </w:pPr>
      <w:rPr>
        <w:rFonts w:hint="default" w:ascii="Arial" w:hAnsi="Arial" w:eastAsia="Arial" w:cs="Arial"/>
        <w:b/>
        <w:bCs/>
        <w:spacing w:val="-1"/>
        <w:w w:val="99"/>
        <w:sz w:val="26"/>
        <w:szCs w:val="26"/>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5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53">
    <w:multiLevelType w:val="hybridMultilevel"/>
    <w:lvl w:ilvl="0">
      <w:start w:val="17"/>
      <w:numFmt w:val="lowerRoman"/>
      <w:lvlText w:val="%1."/>
      <w:lvlJc w:val="left"/>
      <w:pPr>
        <w:ind w:left="1940" w:hanging="441"/>
        <w:jc w:val="left"/>
      </w:pPr>
      <w:rPr>
        <w:rFonts w:hint="default" w:ascii="Arial" w:hAnsi="Arial" w:eastAsia="Arial" w:cs="Arial"/>
        <w:spacing w:val="-3"/>
        <w:w w:val="100"/>
        <w:sz w:val="21"/>
        <w:szCs w:val="21"/>
        <w:lang w:val="en-US" w:eastAsia="en-US" w:bidi="ar-SA"/>
      </w:rPr>
    </w:lvl>
    <w:lvl w:ilvl="1">
      <w:start w:val="0"/>
      <w:numFmt w:val="bullet"/>
      <w:lvlText w:val="•"/>
      <w:lvlJc w:val="left"/>
      <w:pPr>
        <w:ind w:left="2742" w:hanging="441"/>
      </w:pPr>
      <w:rPr>
        <w:rFonts w:hint="default"/>
        <w:lang w:val="en-US" w:eastAsia="en-US" w:bidi="ar-SA"/>
      </w:rPr>
    </w:lvl>
    <w:lvl w:ilvl="2">
      <w:start w:val="0"/>
      <w:numFmt w:val="bullet"/>
      <w:lvlText w:val="•"/>
      <w:lvlJc w:val="left"/>
      <w:pPr>
        <w:ind w:left="3545" w:hanging="441"/>
      </w:pPr>
      <w:rPr>
        <w:rFonts w:hint="default"/>
        <w:lang w:val="en-US" w:eastAsia="en-US" w:bidi="ar-SA"/>
      </w:rPr>
    </w:lvl>
    <w:lvl w:ilvl="3">
      <w:start w:val="0"/>
      <w:numFmt w:val="bullet"/>
      <w:lvlText w:val="•"/>
      <w:lvlJc w:val="left"/>
      <w:pPr>
        <w:ind w:left="4347" w:hanging="441"/>
      </w:pPr>
      <w:rPr>
        <w:rFonts w:hint="default"/>
        <w:lang w:val="en-US" w:eastAsia="en-US" w:bidi="ar-SA"/>
      </w:rPr>
    </w:lvl>
    <w:lvl w:ilvl="4">
      <w:start w:val="0"/>
      <w:numFmt w:val="bullet"/>
      <w:lvlText w:val="•"/>
      <w:lvlJc w:val="left"/>
      <w:pPr>
        <w:ind w:left="5150" w:hanging="441"/>
      </w:pPr>
      <w:rPr>
        <w:rFonts w:hint="default"/>
        <w:lang w:val="en-US" w:eastAsia="en-US" w:bidi="ar-SA"/>
      </w:rPr>
    </w:lvl>
    <w:lvl w:ilvl="5">
      <w:start w:val="0"/>
      <w:numFmt w:val="bullet"/>
      <w:lvlText w:val="•"/>
      <w:lvlJc w:val="left"/>
      <w:pPr>
        <w:ind w:left="5953" w:hanging="441"/>
      </w:pPr>
      <w:rPr>
        <w:rFonts w:hint="default"/>
        <w:lang w:val="en-US" w:eastAsia="en-US" w:bidi="ar-SA"/>
      </w:rPr>
    </w:lvl>
    <w:lvl w:ilvl="6">
      <w:start w:val="0"/>
      <w:numFmt w:val="bullet"/>
      <w:lvlText w:val="•"/>
      <w:lvlJc w:val="left"/>
      <w:pPr>
        <w:ind w:left="6755" w:hanging="441"/>
      </w:pPr>
      <w:rPr>
        <w:rFonts w:hint="default"/>
        <w:lang w:val="en-US" w:eastAsia="en-US" w:bidi="ar-SA"/>
      </w:rPr>
    </w:lvl>
    <w:lvl w:ilvl="7">
      <w:start w:val="0"/>
      <w:numFmt w:val="bullet"/>
      <w:lvlText w:val="•"/>
      <w:lvlJc w:val="left"/>
      <w:pPr>
        <w:ind w:left="7558" w:hanging="441"/>
      </w:pPr>
      <w:rPr>
        <w:rFonts w:hint="default"/>
        <w:lang w:val="en-US" w:eastAsia="en-US" w:bidi="ar-SA"/>
      </w:rPr>
    </w:lvl>
    <w:lvl w:ilvl="8">
      <w:start w:val="0"/>
      <w:numFmt w:val="bullet"/>
      <w:lvlText w:val="•"/>
      <w:lvlJc w:val="left"/>
      <w:pPr>
        <w:ind w:left="8361" w:hanging="441"/>
      </w:pPr>
      <w:rPr>
        <w:rFonts w:hint="default"/>
        <w:lang w:val="en-US" w:eastAsia="en-US" w:bidi="ar-SA"/>
      </w:rPr>
    </w:lvl>
  </w:abstractNum>
  <w:abstractNum w:abstractNumId="52">
    <w:multiLevelType w:val="hybridMultilevel"/>
    <w:lvl w:ilvl="0">
      <w:start w:val="1"/>
      <w:numFmt w:val="lowerRoman"/>
      <w:lvlText w:val="(%1)"/>
      <w:lvlJc w:val="left"/>
      <w:pPr>
        <w:ind w:left="1220" w:hanging="720"/>
        <w:jc w:val="left"/>
      </w:pPr>
      <w:rPr>
        <w:rFonts w:hint="default" w:ascii="Arial" w:hAnsi="Arial" w:eastAsia="Arial" w:cs="Arial"/>
        <w:b/>
        <w:bCs/>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51">
    <w:multiLevelType w:val="hybridMultilevel"/>
    <w:lvl w:ilvl="0">
      <w:start w:val="2"/>
      <w:numFmt w:val="decimal"/>
      <w:lvlText w:val="(%1)"/>
      <w:lvlJc w:val="left"/>
      <w:pPr>
        <w:ind w:left="1940" w:hanging="332"/>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332"/>
      </w:pPr>
      <w:rPr>
        <w:rFonts w:hint="default"/>
        <w:lang w:val="en-US" w:eastAsia="en-US" w:bidi="ar-SA"/>
      </w:rPr>
    </w:lvl>
    <w:lvl w:ilvl="2">
      <w:start w:val="0"/>
      <w:numFmt w:val="bullet"/>
      <w:lvlText w:val="•"/>
      <w:lvlJc w:val="left"/>
      <w:pPr>
        <w:ind w:left="3545" w:hanging="332"/>
      </w:pPr>
      <w:rPr>
        <w:rFonts w:hint="default"/>
        <w:lang w:val="en-US" w:eastAsia="en-US" w:bidi="ar-SA"/>
      </w:rPr>
    </w:lvl>
    <w:lvl w:ilvl="3">
      <w:start w:val="0"/>
      <w:numFmt w:val="bullet"/>
      <w:lvlText w:val="•"/>
      <w:lvlJc w:val="left"/>
      <w:pPr>
        <w:ind w:left="4347" w:hanging="332"/>
      </w:pPr>
      <w:rPr>
        <w:rFonts w:hint="default"/>
        <w:lang w:val="en-US" w:eastAsia="en-US" w:bidi="ar-SA"/>
      </w:rPr>
    </w:lvl>
    <w:lvl w:ilvl="4">
      <w:start w:val="0"/>
      <w:numFmt w:val="bullet"/>
      <w:lvlText w:val="•"/>
      <w:lvlJc w:val="left"/>
      <w:pPr>
        <w:ind w:left="5150" w:hanging="332"/>
      </w:pPr>
      <w:rPr>
        <w:rFonts w:hint="default"/>
        <w:lang w:val="en-US" w:eastAsia="en-US" w:bidi="ar-SA"/>
      </w:rPr>
    </w:lvl>
    <w:lvl w:ilvl="5">
      <w:start w:val="0"/>
      <w:numFmt w:val="bullet"/>
      <w:lvlText w:val="•"/>
      <w:lvlJc w:val="left"/>
      <w:pPr>
        <w:ind w:left="5953" w:hanging="332"/>
      </w:pPr>
      <w:rPr>
        <w:rFonts w:hint="default"/>
        <w:lang w:val="en-US" w:eastAsia="en-US" w:bidi="ar-SA"/>
      </w:rPr>
    </w:lvl>
    <w:lvl w:ilvl="6">
      <w:start w:val="0"/>
      <w:numFmt w:val="bullet"/>
      <w:lvlText w:val="•"/>
      <w:lvlJc w:val="left"/>
      <w:pPr>
        <w:ind w:left="6755" w:hanging="332"/>
      </w:pPr>
      <w:rPr>
        <w:rFonts w:hint="default"/>
        <w:lang w:val="en-US" w:eastAsia="en-US" w:bidi="ar-SA"/>
      </w:rPr>
    </w:lvl>
    <w:lvl w:ilvl="7">
      <w:start w:val="0"/>
      <w:numFmt w:val="bullet"/>
      <w:lvlText w:val="•"/>
      <w:lvlJc w:val="left"/>
      <w:pPr>
        <w:ind w:left="7558" w:hanging="332"/>
      </w:pPr>
      <w:rPr>
        <w:rFonts w:hint="default"/>
        <w:lang w:val="en-US" w:eastAsia="en-US" w:bidi="ar-SA"/>
      </w:rPr>
    </w:lvl>
    <w:lvl w:ilvl="8">
      <w:start w:val="0"/>
      <w:numFmt w:val="bullet"/>
      <w:lvlText w:val="•"/>
      <w:lvlJc w:val="left"/>
      <w:pPr>
        <w:ind w:left="8361" w:hanging="332"/>
      </w:pPr>
      <w:rPr>
        <w:rFonts w:hint="default"/>
        <w:lang w:val="en-US" w:eastAsia="en-US" w:bidi="ar-SA"/>
      </w:rPr>
    </w:lvl>
  </w:abstractNum>
  <w:abstractNum w:abstractNumId="50">
    <w:multiLevelType w:val="hybridMultilevel"/>
    <w:lvl w:ilvl="0">
      <w:start w:val="1"/>
      <w:numFmt w:val="lowerLetter"/>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4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48">
    <w:multiLevelType w:val="hybridMultilevel"/>
    <w:lvl w:ilvl="0">
      <w:start w:val="1"/>
      <w:numFmt w:val="decimal"/>
      <w:lvlText w:val="%1."/>
      <w:lvlJc w:val="left"/>
      <w:pPr>
        <w:ind w:left="1940" w:hanging="288"/>
        <w:jc w:val="left"/>
      </w:pPr>
      <w:rPr>
        <w:rFonts w:hint="default" w:ascii="Arial" w:hAnsi="Arial" w:eastAsia="Arial" w:cs="Arial"/>
        <w:w w:val="100"/>
        <w:sz w:val="21"/>
        <w:szCs w:val="21"/>
        <w:lang w:val="en-US" w:eastAsia="en-US" w:bidi="ar-SA"/>
      </w:rPr>
    </w:lvl>
    <w:lvl w:ilvl="1">
      <w:start w:val="0"/>
      <w:numFmt w:val="bullet"/>
      <w:lvlText w:val="•"/>
      <w:lvlJc w:val="left"/>
      <w:pPr>
        <w:ind w:left="2742" w:hanging="288"/>
      </w:pPr>
      <w:rPr>
        <w:rFonts w:hint="default"/>
        <w:lang w:val="en-US" w:eastAsia="en-US" w:bidi="ar-SA"/>
      </w:rPr>
    </w:lvl>
    <w:lvl w:ilvl="2">
      <w:start w:val="0"/>
      <w:numFmt w:val="bullet"/>
      <w:lvlText w:val="•"/>
      <w:lvlJc w:val="left"/>
      <w:pPr>
        <w:ind w:left="3545" w:hanging="288"/>
      </w:pPr>
      <w:rPr>
        <w:rFonts w:hint="default"/>
        <w:lang w:val="en-US" w:eastAsia="en-US" w:bidi="ar-SA"/>
      </w:rPr>
    </w:lvl>
    <w:lvl w:ilvl="3">
      <w:start w:val="0"/>
      <w:numFmt w:val="bullet"/>
      <w:lvlText w:val="•"/>
      <w:lvlJc w:val="left"/>
      <w:pPr>
        <w:ind w:left="4347" w:hanging="288"/>
      </w:pPr>
      <w:rPr>
        <w:rFonts w:hint="default"/>
        <w:lang w:val="en-US" w:eastAsia="en-US" w:bidi="ar-SA"/>
      </w:rPr>
    </w:lvl>
    <w:lvl w:ilvl="4">
      <w:start w:val="0"/>
      <w:numFmt w:val="bullet"/>
      <w:lvlText w:val="•"/>
      <w:lvlJc w:val="left"/>
      <w:pPr>
        <w:ind w:left="5150" w:hanging="288"/>
      </w:pPr>
      <w:rPr>
        <w:rFonts w:hint="default"/>
        <w:lang w:val="en-US" w:eastAsia="en-US" w:bidi="ar-SA"/>
      </w:rPr>
    </w:lvl>
    <w:lvl w:ilvl="5">
      <w:start w:val="0"/>
      <w:numFmt w:val="bullet"/>
      <w:lvlText w:val="•"/>
      <w:lvlJc w:val="left"/>
      <w:pPr>
        <w:ind w:left="5953" w:hanging="288"/>
      </w:pPr>
      <w:rPr>
        <w:rFonts w:hint="default"/>
        <w:lang w:val="en-US" w:eastAsia="en-US" w:bidi="ar-SA"/>
      </w:rPr>
    </w:lvl>
    <w:lvl w:ilvl="6">
      <w:start w:val="0"/>
      <w:numFmt w:val="bullet"/>
      <w:lvlText w:val="•"/>
      <w:lvlJc w:val="left"/>
      <w:pPr>
        <w:ind w:left="6755" w:hanging="288"/>
      </w:pPr>
      <w:rPr>
        <w:rFonts w:hint="default"/>
        <w:lang w:val="en-US" w:eastAsia="en-US" w:bidi="ar-SA"/>
      </w:rPr>
    </w:lvl>
    <w:lvl w:ilvl="7">
      <w:start w:val="0"/>
      <w:numFmt w:val="bullet"/>
      <w:lvlText w:val="•"/>
      <w:lvlJc w:val="left"/>
      <w:pPr>
        <w:ind w:left="7558" w:hanging="288"/>
      </w:pPr>
      <w:rPr>
        <w:rFonts w:hint="default"/>
        <w:lang w:val="en-US" w:eastAsia="en-US" w:bidi="ar-SA"/>
      </w:rPr>
    </w:lvl>
    <w:lvl w:ilvl="8">
      <w:start w:val="0"/>
      <w:numFmt w:val="bullet"/>
      <w:lvlText w:val="•"/>
      <w:lvlJc w:val="left"/>
      <w:pPr>
        <w:ind w:left="8361" w:hanging="288"/>
      </w:pPr>
      <w:rPr>
        <w:rFonts w:hint="default"/>
        <w:lang w:val="en-US" w:eastAsia="en-US" w:bidi="ar-SA"/>
      </w:rPr>
    </w:lvl>
  </w:abstractNum>
  <w:abstractNum w:abstractNumId="47">
    <w:multiLevelType w:val="hybridMultilevel"/>
    <w:lvl w:ilvl="0">
      <w:start w:val="2"/>
      <w:numFmt w:val="decimal"/>
      <w:lvlText w:val="(%1)"/>
      <w:lvlJc w:val="left"/>
      <w:pPr>
        <w:ind w:left="1940" w:hanging="317"/>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317"/>
      </w:pPr>
      <w:rPr>
        <w:rFonts w:hint="default"/>
        <w:lang w:val="en-US" w:eastAsia="en-US" w:bidi="ar-SA"/>
      </w:rPr>
    </w:lvl>
    <w:lvl w:ilvl="2">
      <w:start w:val="0"/>
      <w:numFmt w:val="bullet"/>
      <w:lvlText w:val="•"/>
      <w:lvlJc w:val="left"/>
      <w:pPr>
        <w:ind w:left="3545" w:hanging="317"/>
      </w:pPr>
      <w:rPr>
        <w:rFonts w:hint="default"/>
        <w:lang w:val="en-US" w:eastAsia="en-US" w:bidi="ar-SA"/>
      </w:rPr>
    </w:lvl>
    <w:lvl w:ilvl="3">
      <w:start w:val="0"/>
      <w:numFmt w:val="bullet"/>
      <w:lvlText w:val="•"/>
      <w:lvlJc w:val="left"/>
      <w:pPr>
        <w:ind w:left="4347" w:hanging="317"/>
      </w:pPr>
      <w:rPr>
        <w:rFonts w:hint="default"/>
        <w:lang w:val="en-US" w:eastAsia="en-US" w:bidi="ar-SA"/>
      </w:rPr>
    </w:lvl>
    <w:lvl w:ilvl="4">
      <w:start w:val="0"/>
      <w:numFmt w:val="bullet"/>
      <w:lvlText w:val="•"/>
      <w:lvlJc w:val="left"/>
      <w:pPr>
        <w:ind w:left="5150" w:hanging="317"/>
      </w:pPr>
      <w:rPr>
        <w:rFonts w:hint="default"/>
        <w:lang w:val="en-US" w:eastAsia="en-US" w:bidi="ar-SA"/>
      </w:rPr>
    </w:lvl>
    <w:lvl w:ilvl="5">
      <w:start w:val="0"/>
      <w:numFmt w:val="bullet"/>
      <w:lvlText w:val="•"/>
      <w:lvlJc w:val="left"/>
      <w:pPr>
        <w:ind w:left="5953" w:hanging="317"/>
      </w:pPr>
      <w:rPr>
        <w:rFonts w:hint="default"/>
        <w:lang w:val="en-US" w:eastAsia="en-US" w:bidi="ar-SA"/>
      </w:rPr>
    </w:lvl>
    <w:lvl w:ilvl="6">
      <w:start w:val="0"/>
      <w:numFmt w:val="bullet"/>
      <w:lvlText w:val="•"/>
      <w:lvlJc w:val="left"/>
      <w:pPr>
        <w:ind w:left="6755" w:hanging="317"/>
      </w:pPr>
      <w:rPr>
        <w:rFonts w:hint="default"/>
        <w:lang w:val="en-US" w:eastAsia="en-US" w:bidi="ar-SA"/>
      </w:rPr>
    </w:lvl>
    <w:lvl w:ilvl="7">
      <w:start w:val="0"/>
      <w:numFmt w:val="bullet"/>
      <w:lvlText w:val="•"/>
      <w:lvlJc w:val="left"/>
      <w:pPr>
        <w:ind w:left="7558" w:hanging="317"/>
      </w:pPr>
      <w:rPr>
        <w:rFonts w:hint="default"/>
        <w:lang w:val="en-US" w:eastAsia="en-US" w:bidi="ar-SA"/>
      </w:rPr>
    </w:lvl>
    <w:lvl w:ilvl="8">
      <w:start w:val="0"/>
      <w:numFmt w:val="bullet"/>
      <w:lvlText w:val="•"/>
      <w:lvlJc w:val="left"/>
      <w:pPr>
        <w:ind w:left="8361" w:hanging="317"/>
      </w:pPr>
      <w:rPr>
        <w:rFonts w:hint="default"/>
        <w:lang w:val="en-US" w:eastAsia="en-US" w:bidi="ar-SA"/>
      </w:rPr>
    </w:lvl>
  </w:abstractNum>
  <w:abstractNum w:abstractNumId="46">
    <w:multiLevelType w:val="hybridMultilevel"/>
    <w:lvl w:ilvl="0">
      <w:start w:val="2"/>
      <w:numFmt w:val="decimal"/>
      <w:lvlText w:val="(%1)"/>
      <w:lvlJc w:val="left"/>
      <w:pPr>
        <w:ind w:left="1940" w:hanging="375"/>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375"/>
      </w:pPr>
      <w:rPr>
        <w:rFonts w:hint="default"/>
        <w:lang w:val="en-US" w:eastAsia="en-US" w:bidi="ar-SA"/>
      </w:rPr>
    </w:lvl>
    <w:lvl w:ilvl="2">
      <w:start w:val="0"/>
      <w:numFmt w:val="bullet"/>
      <w:lvlText w:val="•"/>
      <w:lvlJc w:val="left"/>
      <w:pPr>
        <w:ind w:left="3545" w:hanging="375"/>
      </w:pPr>
      <w:rPr>
        <w:rFonts w:hint="default"/>
        <w:lang w:val="en-US" w:eastAsia="en-US" w:bidi="ar-SA"/>
      </w:rPr>
    </w:lvl>
    <w:lvl w:ilvl="3">
      <w:start w:val="0"/>
      <w:numFmt w:val="bullet"/>
      <w:lvlText w:val="•"/>
      <w:lvlJc w:val="left"/>
      <w:pPr>
        <w:ind w:left="4347" w:hanging="375"/>
      </w:pPr>
      <w:rPr>
        <w:rFonts w:hint="default"/>
        <w:lang w:val="en-US" w:eastAsia="en-US" w:bidi="ar-SA"/>
      </w:rPr>
    </w:lvl>
    <w:lvl w:ilvl="4">
      <w:start w:val="0"/>
      <w:numFmt w:val="bullet"/>
      <w:lvlText w:val="•"/>
      <w:lvlJc w:val="left"/>
      <w:pPr>
        <w:ind w:left="5150" w:hanging="375"/>
      </w:pPr>
      <w:rPr>
        <w:rFonts w:hint="default"/>
        <w:lang w:val="en-US" w:eastAsia="en-US" w:bidi="ar-SA"/>
      </w:rPr>
    </w:lvl>
    <w:lvl w:ilvl="5">
      <w:start w:val="0"/>
      <w:numFmt w:val="bullet"/>
      <w:lvlText w:val="•"/>
      <w:lvlJc w:val="left"/>
      <w:pPr>
        <w:ind w:left="5953" w:hanging="375"/>
      </w:pPr>
      <w:rPr>
        <w:rFonts w:hint="default"/>
        <w:lang w:val="en-US" w:eastAsia="en-US" w:bidi="ar-SA"/>
      </w:rPr>
    </w:lvl>
    <w:lvl w:ilvl="6">
      <w:start w:val="0"/>
      <w:numFmt w:val="bullet"/>
      <w:lvlText w:val="•"/>
      <w:lvlJc w:val="left"/>
      <w:pPr>
        <w:ind w:left="6755" w:hanging="375"/>
      </w:pPr>
      <w:rPr>
        <w:rFonts w:hint="default"/>
        <w:lang w:val="en-US" w:eastAsia="en-US" w:bidi="ar-SA"/>
      </w:rPr>
    </w:lvl>
    <w:lvl w:ilvl="7">
      <w:start w:val="0"/>
      <w:numFmt w:val="bullet"/>
      <w:lvlText w:val="•"/>
      <w:lvlJc w:val="left"/>
      <w:pPr>
        <w:ind w:left="7558" w:hanging="375"/>
      </w:pPr>
      <w:rPr>
        <w:rFonts w:hint="default"/>
        <w:lang w:val="en-US" w:eastAsia="en-US" w:bidi="ar-SA"/>
      </w:rPr>
    </w:lvl>
    <w:lvl w:ilvl="8">
      <w:start w:val="0"/>
      <w:numFmt w:val="bullet"/>
      <w:lvlText w:val="•"/>
      <w:lvlJc w:val="left"/>
      <w:pPr>
        <w:ind w:left="8361" w:hanging="375"/>
      </w:pPr>
      <w:rPr>
        <w:rFonts w:hint="default"/>
        <w:lang w:val="en-US" w:eastAsia="en-US" w:bidi="ar-SA"/>
      </w:rPr>
    </w:lvl>
  </w:abstractNum>
  <w:abstractNum w:abstractNumId="45">
    <w:multiLevelType w:val="hybridMultilevel"/>
    <w:lvl w:ilvl="0">
      <w:start w:val="2"/>
      <w:numFmt w:val="decimal"/>
      <w:lvlText w:val="%1."/>
      <w:lvlJc w:val="left"/>
      <w:pPr>
        <w:ind w:left="1940" w:hanging="310"/>
        <w:jc w:val="left"/>
      </w:pPr>
      <w:rPr>
        <w:rFonts w:hint="default" w:ascii="Arial" w:hAnsi="Arial" w:eastAsia="Arial" w:cs="Arial"/>
        <w:w w:val="100"/>
        <w:sz w:val="21"/>
        <w:szCs w:val="21"/>
        <w:lang w:val="en-US" w:eastAsia="en-US" w:bidi="ar-SA"/>
      </w:rPr>
    </w:lvl>
    <w:lvl w:ilvl="1">
      <w:start w:val="0"/>
      <w:numFmt w:val="bullet"/>
      <w:lvlText w:val="•"/>
      <w:lvlJc w:val="left"/>
      <w:pPr>
        <w:ind w:left="2742" w:hanging="310"/>
      </w:pPr>
      <w:rPr>
        <w:rFonts w:hint="default"/>
        <w:lang w:val="en-US" w:eastAsia="en-US" w:bidi="ar-SA"/>
      </w:rPr>
    </w:lvl>
    <w:lvl w:ilvl="2">
      <w:start w:val="0"/>
      <w:numFmt w:val="bullet"/>
      <w:lvlText w:val="•"/>
      <w:lvlJc w:val="left"/>
      <w:pPr>
        <w:ind w:left="3545" w:hanging="310"/>
      </w:pPr>
      <w:rPr>
        <w:rFonts w:hint="default"/>
        <w:lang w:val="en-US" w:eastAsia="en-US" w:bidi="ar-SA"/>
      </w:rPr>
    </w:lvl>
    <w:lvl w:ilvl="3">
      <w:start w:val="0"/>
      <w:numFmt w:val="bullet"/>
      <w:lvlText w:val="•"/>
      <w:lvlJc w:val="left"/>
      <w:pPr>
        <w:ind w:left="4347" w:hanging="310"/>
      </w:pPr>
      <w:rPr>
        <w:rFonts w:hint="default"/>
        <w:lang w:val="en-US" w:eastAsia="en-US" w:bidi="ar-SA"/>
      </w:rPr>
    </w:lvl>
    <w:lvl w:ilvl="4">
      <w:start w:val="0"/>
      <w:numFmt w:val="bullet"/>
      <w:lvlText w:val="•"/>
      <w:lvlJc w:val="left"/>
      <w:pPr>
        <w:ind w:left="5150" w:hanging="310"/>
      </w:pPr>
      <w:rPr>
        <w:rFonts w:hint="default"/>
        <w:lang w:val="en-US" w:eastAsia="en-US" w:bidi="ar-SA"/>
      </w:rPr>
    </w:lvl>
    <w:lvl w:ilvl="5">
      <w:start w:val="0"/>
      <w:numFmt w:val="bullet"/>
      <w:lvlText w:val="•"/>
      <w:lvlJc w:val="left"/>
      <w:pPr>
        <w:ind w:left="5953" w:hanging="310"/>
      </w:pPr>
      <w:rPr>
        <w:rFonts w:hint="default"/>
        <w:lang w:val="en-US" w:eastAsia="en-US" w:bidi="ar-SA"/>
      </w:rPr>
    </w:lvl>
    <w:lvl w:ilvl="6">
      <w:start w:val="0"/>
      <w:numFmt w:val="bullet"/>
      <w:lvlText w:val="•"/>
      <w:lvlJc w:val="left"/>
      <w:pPr>
        <w:ind w:left="6755" w:hanging="310"/>
      </w:pPr>
      <w:rPr>
        <w:rFonts w:hint="default"/>
        <w:lang w:val="en-US" w:eastAsia="en-US" w:bidi="ar-SA"/>
      </w:rPr>
    </w:lvl>
    <w:lvl w:ilvl="7">
      <w:start w:val="0"/>
      <w:numFmt w:val="bullet"/>
      <w:lvlText w:val="•"/>
      <w:lvlJc w:val="left"/>
      <w:pPr>
        <w:ind w:left="7558" w:hanging="310"/>
      </w:pPr>
      <w:rPr>
        <w:rFonts w:hint="default"/>
        <w:lang w:val="en-US" w:eastAsia="en-US" w:bidi="ar-SA"/>
      </w:rPr>
    </w:lvl>
    <w:lvl w:ilvl="8">
      <w:start w:val="0"/>
      <w:numFmt w:val="bullet"/>
      <w:lvlText w:val="•"/>
      <w:lvlJc w:val="left"/>
      <w:pPr>
        <w:ind w:left="8361" w:hanging="310"/>
      </w:pPr>
      <w:rPr>
        <w:rFonts w:hint="default"/>
        <w:lang w:val="en-US" w:eastAsia="en-US" w:bidi="ar-SA"/>
      </w:rPr>
    </w:lvl>
  </w:abstractNum>
  <w:abstractNum w:abstractNumId="44">
    <w:multiLevelType w:val="hybridMultilevel"/>
    <w:lvl w:ilvl="0">
      <w:start w:val="2"/>
      <w:numFmt w:val="decimal"/>
      <w:lvlText w:val="(%1)"/>
      <w:lvlJc w:val="left"/>
      <w:pPr>
        <w:ind w:left="1940" w:hanging="370"/>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370"/>
      </w:pPr>
      <w:rPr>
        <w:rFonts w:hint="default"/>
        <w:lang w:val="en-US" w:eastAsia="en-US" w:bidi="ar-SA"/>
      </w:rPr>
    </w:lvl>
    <w:lvl w:ilvl="2">
      <w:start w:val="0"/>
      <w:numFmt w:val="bullet"/>
      <w:lvlText w:val="•"/>
      <w:lvlJc w:val="left"/>
      <w:pPr>
        <w:ind w:left="3545" w:hanging="370"/>
      </w:pPr>
      <w:rPr>
        <w:rFonts w:hint="default"/>
        <w:lang w:val="en-US" w:eastAsia="en-US" w:bidi="ar-SA"/>
      </w:rPr>
    </w:lvl>
    <w:lvl w:ilvl="3">
      <w:start w:val="0"/>
      <w:numFmt w:val="bullet"/>
      <w:lvlText w:val="•"/>
      <w:lvlJc w:val="left"/>
      <w:pPr>
        <w:ind w:left="4347" w:hanging="370"/>
      </w:pPr>
      <w:rPr>
        <w:rFonts w:hint="default"/>
        <w:lang w:val="en-US" w:eastAsia="en-US" w:bidi="ar-SA"/>
      </w:rPr>
    </w:lvl>
    <w:lvl w:ilvl="4">
      <w:start w:val="0"/>
      <w:numFmt w:val="bullet"/>
      <w:lvlText w:val="•"/>
      <w:lvlJc w:val="left"/>
      <w:pPr>
        <w:ind w:left="5150" w:hanging="370"/>
      </w:pPr>
      <w:rPr>
        <w:rFonts w:hint="default"/>
        <w:lang w:val="en-US" w:eastAsia="en-US" w:bidi="ar-SA"/>
      </w:rPr>
    </w:lvl>
    <w:lvl w:ilvl="5">
      <w:start w:val="0"/>
      <w:numFmt w:val="bullet"/>
      <w:lvlText w:val="•"/>
      <w:lvlJc w:val="left"/>
      <w:pPr>
        <w:ind w:left="5953" w:hanging="370"/>
      </w:pPr>
      <w:rPr>
        <w:rFonts w:hint="default"/>
        <w:lang w:val="en-US" w:eastAsia="en-US" w:bidi="ar-SA"/>
      </w:rPr>
    </w:lvl>
    <w:lvl w:ilvl="6">
      <w:start w:val="0"/>
      <w:numFmt w:val="bullet"/>
      <w:lvlText w:val="•"/>
      <w:lvlJc w:val="left"/>
      <w:pPr>
        <w:ind w:left="6755" w:hanging="370"/>
      </w:pPr>
      <w:rPr>
        <w:rFonts w:hint="default"/>
        <w:lang w:val="en-US" w:eastAsia="en-US" w:bidi="ar-SA"/>
      </w:rPr>
    </w:lvl>
    <w:lvl w:ilvl="7">
      <w:start w:val="0"/>
      <w:numFmt w:val="bullet"/>
      <w:lvlText w:val="•"/>
      <w:lvlJc w:val="left"/>
      <w:pPr>
        <w:ind w:left="7558" w:hanging="370"/>
      </w:pPr>
      <w:rPr>
        <w:rFonts w:hint="default"/>
        <w:lang w:val="en-US" w:eastAsia="en-US" w:bidi="ar-SA"/>
      </w:rPr>
    </w:lvl>
    <w:lvl w:ilvl="8">
      <w:start w:val="0"/>
      <w:numFmt w:val="bullet"/>
      <w:lvlText w:val="•"/>
      <w:lvlJc w:val="left"/>
      <w:pPr>
        <w:ind w:left="8361" w:hanging="370"/>
      </w:pPr>
      <w:rPr>
        <w:rFonts w:hint="default"/>
        <w:lang w:val="en-US" w:eastAsia="en-US" w:bidi="ar-SA"/>
      </w:rPr>
    </w:lvl>
  </w:abstractNum>
  <w:abstractNum w:abstractNumId="43">
    <w:multiLevelType w:val="hybridMultilevel"/>
    <w:lvl w:ilvl="0">
      <w:start w:val="4"/>
      <w:numFmt w:val="decimal"/>
      <w:lvlText w:val="%1."/>
      <w:lvlJc w:val="left"/>
      <w:pPr>
        <w:ind w:left="1940" w:hanging="296"/>
        <w:jc w:val="left"/>
      </w:pPr>
      <w:rPr>
        <w:rFonts w:hint="default" w:ascii="Arial" w:hAnsi="Arial" w:eastAsia="Arial" w:cs="Arial"/>
        <w:w w:val="100"/>
        <w:sz w:val="21"/>
        <w:szCs w:val="21"/>
        <w:lang w:val="en-US" w:eastAsia="en-US" w:bidi="ar-SA"/>
      </w:rPr>
    </w:lvl>
    <w:lvl w:ilvl="1">
      <w:start w:val="0"/>
      <w:numFmt w:val="bullet"/>
      <w:lvlText w:val="•"/>
      <w:lvlJc w:val="left"/>
      <w:pPr>
        <w:ind w:left="2742" w:hanging="296"/>
      </w:pPr>
      <w:rPr>
        <w:rFonts w:hint="default"/>
        <w:lang w:val="en-US" w:eastAsia="en-US" w:bidi="ar-SA"/>
      </w:rPr>
    </w:lvl>
    <w:lvl w:ilvl="2">
      <w:start w:val="0"/>
      <w:numFmt w:val="bullet"/>
      <w:lvlText w:val="•"/>
      <w:lvlJc w:val="left"/>
      <w:pPr>
        <w:ind w:left="3545" w:hanging="296"/>
      </w:pPr>
      <w:rPr>
        <w:rFonts w:hint="default"/>
        <w:lang w:val="en-US" w:eastAsia="en-US" w:bidi="ar-SA"/>
      </w:rPr>
    </w:lvl>
    <w:lvl w:ilvl="3">
      <w:start w:val="0"/>
      <w:numFmt w:val="bullet"/>
      <w:lvlText w:val="•"/>
      <w:lvlJc w:val="left"/>
      <w:pPr>
        <w:ind w:left="4347" w:hanging="296"/>
      </w:pPr>
      <w:rPr>
        <w:rFonts w:hint="default"/>
        <w:lang w:val="en-US" w:eastAsia="en-US" w:bidi="ar-SA"/>
      </w:rPr>
    </w:lvl>
    <w:lvl w:ilvl="4">
      <w:start w:val="0"/>
      <w:numFmt w:val="bullet"/>
      <w:lvlText w:val="•"/>
      <w:lvlJc w:val="left"/>
      <w:pPr>
        <w:ind w:left="5150" w:hanging="296"/>
      </w:pPr>
      <w:rPr>
        <w:rFonts w:hint="default"/>
        <w:lang w:val="en-US" w:eastAsia="en-US" w:bidi="ar-SA"/>
      </w:rPr>
    </w:lvl>
    <w:lvl w:ilvl="5">
      <w:start w:val="0"/>
      <w:numFmt w:val="bullet"/>
      <w:lvlText w:val="•"/>
      <w:lvlJc w:val="left"/>
      <w:pPr>
        <w:ind w:left="5953" w:hanging="296"/>
      </w:pPr>
      <w:rPr>
        <w:rFonts w:hint="default"/>
        <w:lang w:val="en-US" w:eastAsia="en-US" w:bidi="ar-SA"/>
      </w:rPr>
    </w:lvl>
    <w:lvl w:ilvl="6">
      <w:start w:val="0"/>
      <w:numFmt w:val="bullet"/>
      <w:lvlText w:val="•"/>
      <w:lvlJc w:val="left"/>
      <w:pPr>
        <w:ind w:left="6755" w:hanging="296"/>
      </w:pPr>
      <w:rPr>
        <w:rFonts w:hint="default"/>
        <w:lang w:val="en-US" w:eastAsia="en-US" w:bidi="ar-SA"/>
      </w:rPr>
    </w:lvl>
    <w:lvl w:ilvl="7">
      <w:start w:val="0"/>
      <w:numFmt w:val="bullet"/>
      <w:lvlText w:val="•"/>
      <w:lvlJc w:val="left"/>
      <w:pPr>
        <w:ind w:left="7558" w:hanging="296"/>
      </w:pPr>
      <w:rPr>
        <w:rFonts w:hint="default"/>
        <w:lang w:val="en-US" w:eastAsia="en-US" w:bidi="ar-SA"/>
      </w:rPr>
    </w:lvl>
    <w:lvl w:ilvl="8">
      <w:start w:val="0"/>
      <w:numFmt w:val="bullet"/>
      <w:lvlText w:val="•"/>
      <w:lvlJc w:val="left"/>
      <w:pPr>
        <w:ind w:left="8361" w:hanging="296"/>
      </w:pPr>
      <w:rPr>
        <w:rFonts w:hint="default"/>
        <w:lang w:val="en-US" w:eastAsia="en-US" w:bidi="ar-SA"/>
      </w:rPr>
    </w:lvl>
  </w:abstractNum>
  <w:abstractNum w:abstractNumId="42">
    <w:multiLevelType w:val="hybridMultilevel"/>
    <w:lvl w:ilvl="0">
      <w:start w:val="2"/>
      <w:numFmt w:val="decimal"/>
      <w:lvlText w:val="%1."/>
      <w:lvlJc w:val="left"/>
      <w:pPr>
        <w:ind w:left="2173" w:hanging="233"/>
        <w:jc w:val="left"/>
      </w:pPr>
      <w:rPr>
        <w:rFonts w:hint="default" w:ascii="Arial" w:hAnsi="Arial" w:eastAsia="Arial" w:cs="Arial"/>
        <w:w w:val="100"/>
        <w:sz w:val="21"/>
        <w:szCs w:val="21"/>
        <w:lang w:val="en-US" w:eastAsia="en-US" w:bidi="ar-SA"/>
      </w:rPr>
    </w:lvl>
    <w:lvl w:ilvl="1">
      <w:start w:val="0"/>
      <w:numFmt w:val="bullet"/>
      <w:lvlText w:val="•"/>
      <w:lvlJc w:val="left"/>
      <w:pPr>
        <w:ind w:left="2958" w:hanging="233"/>
      </w:pPr>
      <w:rPr>
        <w:rFonts w:hint="default"/>
        <w:lang w:val="en-US" w:eastAsia="en-US" w:bidi="ar-SA"/>
      </w:rPr>
    </w:lvl>
    <w:lvl w:ilvl="2">
      <w:start w:val="0"/>
      <w:numFmt w:val="bullet"/>
      <w:lvlText w:val="•"/>
      <w:lvlJc w:val="left"/>
      <w:pPr>
        <w:ind w:left="3737" w:hanging="233"/>
      </w:pPr>
      <w:rPr>
        <w:rFonts w:hint="default"/>
        <w:lang w:val="en-US" w:eastAsia="en-US" w:bidi="ar-SA"/>
      </w:rPr>
    </w:lvl>
    <w:lvl w:ilvl="3">
      <w:start w:val="0"/>
      <w:numFmt w:val="bullet"/>
      <w:lvlText w:val="•"/>
      <w:lvlJc w:val="left"/>
      <w:pPr>
        <w:ind w:left="4515" w:hanging="233"/>
      </w:pPr>
      <w:rPr>
        <w:rFonts w:hint="default"/>
        <w:lang w:val="en-US" w:eastAsia="en-US" w:bidi="ar-SA"/>
      </w:rPr>
    </w:lvl>
    <w:lvl w:ilvl="4">
      <w:start w:val="0"/>
      <w:numFmt w:val="bullet"/>
      <w:lvlText w:val="•"/>
      <w:lvlJc w:val="left"/>
      <w:pPr>
        <w:ind w:left="5294" w:hanging="233"/>
      </w:pPr>
      <w:rPr>
        <w:rFonts w:hint="default"/>
        <w:lang w:val="en-US" w:eastAsia="en-US" w:bidi="ar-SA"/>
      </w:rPr>
    </w:lvl>
    <w:lvl w:ilvl="5">
      <w:start w:val="0"/>
      <w:numFmt w:val="bullet"/>
      <w:lvlText w:val="•"/>
      <w:lvlJc w:val="left"/>
      <w:pPr>
        <w:ind w:left="6073" w:hanging="233"/>
      </w:pPr>
      <w:rPr>
        <w:rFonts w:hint="default"/>
        <w:lang w:val="en-US" w:eastAsia="en-US" w:bidi="ar-SA"/>
      </w:rPr>
    </w:lvl>
    <w:lvl w:ilvl="6">
      <w:start w:val="0"/>
      <w:numFmt w:val="bullet"/>
      <w:lvlText w:val="•"/>
      <w:lvlJc w:val="left"/>
      <w:pPr>
        <w:ind w:left="6851" w:hanging="233"/>
      </w:pPr>
      <w:rPr>
        <w:rFonts w:hint="default"/>
        <w:lang w:val="en-US" w:eastAsia="en-US" w:bidi="ar-SA"/>
      </w:rPr>
    </w:lvl>
    <w:lvl w:ilvl="7">
      <w:start w:val="0"/>
      <w:numFmt w:val="bullet"/>
      <w:lvlText w:val="•"/>
      <w:lvlJc w:val="left"/>
      <w:pPr>
        <w:ind w:left="7630" w:hanging="233"/>
      </w:pPr>
      <w:rPr>
        <w:rFonts w:hint="default"/>
        <w:lang w:val="en-US" w:eastAsia="en-US" w:bidi="ar-SA"/>
      </w:rPr>
    </w:lvl>
    <w:lvl w:ilvl="8">
      <w:start w:val="0"/>
      <w:numFmt w:val="bullet"/>
      <w:lvlText w:val="•"/>
      <w:lvlJc w:val="left"/>
      <w:pPr>
        <w:ind w:left="8409" w:hanging="233"/>
      </w:pPr>
      <w:rPr>
        <w:rFonts w:hint="default"/>
        <w:lang w:val="en-US" w:eastAsia="en-US" w:bidi="ar-SA"/>
      </w:rPr>
    </w:lvl>
  </w:abstractNum>
  <w:abstractNum w:abstractNumId="4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2"/>
      <w:numFmt w:val="lowerRoman"/>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40">
    <w:multiLevelType w:val="hybridMultilevel"/>
    <w:lvl w:ilvl="0">
      <w:start w:val="2"/>
      <w:numFmt w:val="lowerLetter"/>
      <w:lvlText w:val="(%1)"/>
      <w:lvlJc w:val="left"/>
      <w:pPr>
        <w:ind w:left="1940" w:hanging="720"/>
        <w:jc w:val="left"/>
      </w:pPr>
      <w:rPr>
        <w:rFonts w:hint="default" w:ascii="Arial" w:hAnsi="Arial" w:eastAsia="Arial" w:cs="Arial"/>
        <w:w w:val="99"/>
        <w:sz w:val="25"/>
        <w:szCs w:val="25"/>
        <w:lang w:val="en-US" w:eastAsia="en-US" w:bidi="ar-SA"/>
      </w:rPr>
    </w:lvl>
    <w:lvl w:ilvl="1">
      <w:start w:val="0"/>
      <w:numFmt w:val="bullet"/>
      <w:lvlText w:val="•"/>
      <w:lvlJc w:val="left"/>
      <w:pPr>
        <w:ind w:left="2742" w:hanging="720"/>
      </w:pPr>
      <w:rPr>
        <w:rFonts w:hint="default"/>
        <w:lang w:val="en-US" w:eastAsia="en-US" w:bidi="ar-SA"/>
      </w:rPr>
    </w:lvl>
    <w:lvl w:ilvl="2">
      <w:start w:val="0"/>
      <w:numFmt w:val="bullet"/>
      <w:lvlText w:val="•"/>
      <w:lvlJc w:val="left"/>
      <w:pPr>
        <w:ind w:left="3545" w:hanging="720"/>
      </w:pPr>
      <w:rPr>
        <w:rFonts w:hint="default"/>
        <w:lang w:val="en-US" w:eastAsia="en-US" w:bidi="ar-SA"/>
      </w:rPr>
    </w:lvl>
    <w:lvl w:ilvl="3">
      <w:start w:val="0"/>
      <w:numFmt w:val="bullet"/>
      <w:lvlText w:val="•"/>
      <w:lvlJc w:val="left"/>
      <w:pPr>
        <w:ind w:left="4347" w:hanging="720"/>
      </w:pPr>
      <w:rPr>
        <w:rFonts w:hint="default"/>
        <w:lang w:val="en-US" w:eastAsia="en-US" w:bidi="ar-SA"/>
      </w:rPr>
    </w:lvl>
    <w:lvl w:ilvl="4">
      <w:start w:val="0"/>
      <w:numFmt w:val="bullet"/>
      <w:lvlText w:val="•"/>
      <w:lvlJc w:val="left"/>
      <w:pPr>
        <w:ind w:left="5150" w:hanging="720"/>
      </w:pPr>
      <w:rPr>
        <w:rFonts w:hint="default"/>
        <w:lang w:val="en-US" w:eastAsia="en-US" w:bidi="ar-SA"/>
      </w:rPr>
    </w:lvl>
    <w:lvl w:ilvl="5">
      <w:start w:val="0"/>
      <w:numFmt w:val="bullet"/>
      <w:lvlText w:val="•"/>
      <w:lvlJc w:val="left"/>
      <w:pPr>
        <w:ind w:left="5953" w:hanging="720"/>
      </w:pPr>
      <w:rPr>
        <w:rFonts w:hint="default"/>
        <w:lang w:val="en-US" w:eastAsia="en-US" w:bidi="ar-SA"/>
      </w:rPr>
    </w:lvl>
    <w:lvl w:ilvl="6">
      <w:start w:val="0"/>
      <w:numFmt w:val="bullet"/>
      <w:lvlText w:val="•"/>
      <w:lvlJc w:val="left"/>
      <w:pPr>
        <w:ind w:left="6755" w:hanging="720"/>
      </w:pPr>
      <w:rPr>
        <w:rFonts w:hint="default"/>
        <w:lang w:val="en-US" w:eastAsia="en-US" w:bidi="ar-SA"/>
      </w:rPr>
    </w:lvl>
    <w:lvl w:ilvl="7">
      <w:start w:val="0"/>
      <w:numFmt w:val="bullet"/>
      <w:lvlText w:val="•"/>
      <w:lvlJc w:val="left"/>
      <w:pPr>
        <w:ind w:left="7558" w:hanging="720"/>
      </w:pPr>
      <w:rPr>
        <w:rFonts w:hint="default"/>
        <w:lang w:val="en-US" w:eastAsia="en-US" w:bidi="ar-SA"/>
      </w:rPr>
    </w:lvl>
    <w:lvl w:ilvl="8">
      <w:start w:val="0"/>
      <w:numFmt w:val="bullet"/>
      <w:lvlText w:val="•"/>
      <w:lvlJc w:val="left"/>
      <w:pPr>
        <w:ind w:left="8361" w:hanging="720"/>
      </w:pPr>
      <w:rPr>
        <w:rFonts w:hint="default"/>
        <w:lang w:val="en-US" w:eastAsia="en-US" w:bidi="ar-SA"/>
      </w:rPr>
    </w:lvl>
  </w:abstractNum>
  <w:abstractNum w:abstractNumId="39">
    <w:multiLevelType w:val="hybridMultilevel"/>
    <w:lvl w:ilvl="0">
      <w:start w:val="1"/>
      <w:numFmt w:val="lowerRoman"/>
      <w:lvlText w:val="(%1)"/>
      <w:lvlJc w:val="left"/>
      <w:pPr>
        <w:ind w:left="1580" w:hanging="720"/>
        <w:jc w:val="right"/>
      </w:pPr>
      <w:rPr>
        <w:rFonts w:hint="default" w:ascii="Arial" w:hAnsi="Arial" w:eastAsia="Arial" w:cs="Arial"/>
        <w:w w:val="99"/>
        <w:sz w:val="25"/>
        <w:szCs w:val="25"/>
        <w:lang w:val="en-US" w:eastAsia="en-US" w:bidi="ar-SA"/>
      </w:rPr>
    </w:lvl>
    <w:lvl w:ilvl="1">
      <w:start w:val="0"/>
      <w:numFmt w:val="bullet"/>
      <w:lvlText w:val="•"/>
      <w:lvlJc w:val="left"/>
      <w:pPr>
        <w:ind w:left="2418" w:hanging="720"/>
      </w:pPr>
      <w:rPr>
        <w:rFonts w:hint="default"/>
        <w:lang w:val="en-US" w:eastAsia="en-US" w:bidi="ar-SA"/>
      </w:rPr>
    </w:lvl>
    <w:lvl w:ilvl="2">
      <w:start w:val="0"/>
      <w:numFmt w:val="bullet"/>
      <w:lvlText w:val="•"/>
      <w:lvlJc w:val="left"/>
      <w:pPr>
        <w:ind w:left="3257" w:hanging="720"/>
      </w:pPr>
      <w:rPr>
        <w:rFonts w:hint="default"/>
        <w:lang w:val="en-US" w:eastAsia="en-US" w:bidi="ar-SA"/>
      </w:rPr>
    </w:lvl>
    <w:lvl w:ilvl="3">
      <w:start w:val="0"/>
      <w:numFmt w:val="bullet"/>
      <w:lvlText w:val="•"/>
      <w:lvlJc w:val="left"/>
      <w:pPr>
        <w:ind w:left="4095" w:hanging="720"/>
      </w:pPr>
      <w:rPr>
        <w:rFonts w:hint="default"/>
        <w:lang w:val="en-US" w:eastAsia="en-US" w:bidi="ar-SA"/>
      </w:rPr>
    </w:lvl>
    <w:lvl w:ilvl="4">
      <w:start w:val="0"/>
      <w:numFmt w:val="bullet"/>
      <w:lvlText w:val="•"/>
      <w:lvlJc w:val="left"/>
      <w:pPr>
        <w:ind w:left="4934" w:hanging="720"/>
      </w:pPr>
      <w:rPr>
        <w:rFonts w:hint="default"/>
        <w:lang w:val="en-US" w:eastAsia="en-US" w:bidi="ar-SA"/>
      </w:rPr>
    </w:lvl>
    <w:lvl w:ilvl="5">
      <w:start w:val="0"/>
      <w:numFmt w:val="bullet"/>
      <w:lvlText w:val="•"/>
      <w:lvlJc w:val="left"/>
      <w:pPr>
        <w:ind w:left="5773" w:hanging="720"/>
      </w:pPr>
      <w:rPr>
        <w:rFonts w:hint="default"/>
        <w:lang w:val="en-US" w:eastAsia="en-US" w:bidi="ar-SA"/>
      </w:rPr>
    </w:lvl>
    <w:lvl w:ilvl="6">
      <w:start w:val="0"/>
      <w:numFmt w:val="bullet"/>
      <w:lvlText w:val="•"/>
      <w:lvlJc w:val="left"/>
      <w:pPr>
        <w:ind w:left="6611" w:hanging="720"/>
      </w:pPr>
      <w:rPr>
        <w:rFonts w:hint="default"/>
        <w:lang w:val="en-US" w:eastAsia="en-US" w:bidi="ar-SA"/>
      </w:rPr>
    </w:lvl>
    <w:lvl w:ilvl="7">
      <w:start w:val="0"/>
      <w:numFmt w:val="bullet"/>
      <w:lvlText w:val="•"/>
      <w:lvlJc w:val="left"/>
      <w:pPr>
        <w:ind w:left="7450" w:hanging="720"/>
      </w:pPr>
      <w:rPr>
        <w:rFonts w:hint="default"/>
        <w:lang w:val="en-US" w:eastAsia="en-US" w:bidi="ar-SA"/>
      </w:rPr>
    </w:lvl>
    <w:lvl w:ilvl="8">
      <w:start w:val="0"/>
      <w:numFmt w:val="bullet"/>
      <w:lvlText w:val="•"/>
      <w:lvlJc w:val="left"/>
      <w:pPr>
        <w:ind w:left="8289" w:hanging="720"/>
      </w:pPr>
      <w:rPr>
        <w:rFonts w:hint="default"/>
        <w:lang w:val="en-US" w:eastAsia="en-US" w:bidi="ar-SA"/>
      </w:rPr>
    </w:lvl>
  </w:abstractNum>
  <w:abstractNum w:abstractNumId="38">
    <w:multiLevelType w:val="hybridMultilevel"/>
    <w:lvl w:ilvl="0">
      <w:start w:val="5"/>
      <w:numFmt w:val="decimal"/>
      <w:lvlText w:val="%1."/>
      <w:lvlJc w:val="left"/>
      <w:pPr>
        <w:ind w:left="2230" w:hanging="233"/>
        <w:jc w:val="left"/>
      </w:pPr>
      <w:rPr>
        <w:rFonts w:hint="default" w:ascii="Arial" w:hAnsi="Arial" w:eastAsia="Arial" w:cs="Arial"/>
        <w:w w:val="100"/>
        <w:sz w:val="21"/>
        <w:szCs w:val="21"/>
        <w:lang w:val="en-US" w:eastAsia="en-US" w:bidi="ar-SA"/>
      </w:rPr>
    </w:lvl>
    <w:lvl w:ilvl="1">
      <w:start w:val="0"/>
      <w:numFmt w:val="bullet"/>
      <w:lvlText w:val="•"/>
      <w:lvlJc w:val="left"/>
      <w:pPr>
        <w:ind w:left="3012" w:hanging="233"/>
      </w:pPr>
      <w:rPr>
        <w:rFonts w:hint="default"/>
        <w:lang w:val="en-US" w:eastAsia="en-US" w:bidi="ar-SA"/>
      </w:rPr>
    </w:lvl>
    <w:lvl w:ilvl="2">
      <w:start w:val="0"/>
      <w:numFmt w:val="bullet"/>
      <w:lvlText w:val="•"/>
      <w:lvlJc w:val="left"/>
      <w:pPr>
        <w:ind w:left="3785" w:hanging="233"/>
      </w:pPr>
      <w:rPr>
        <w:rFonts w:hint="default"/>
        <w:lang w:val="en-US" w:eastAsia="en-US" w:bidi="ar-SA"/>
      </w:rPr>
    </w:lvl>
    <w:lvl w:ilvl="3">
      <w:start w:val="0"/>
      <w:numFmt w:val="bullet"/>
      <w:lvlText w:val="•"/>
      <w:lvlJc w:val="left"/>
      <w:pPr>
        <w:ind w:left="4557" w:hanging="233"/>
      </w:pPr>
      <w:rPr>
        <w:rFonts w:hint="default"/>
        <w:lang w:val="en-US" w:eastAsia="en-US" w:bidi="ar-SA"/>
      </w:rPr>
    </w:lvl>
    <w:lvl w:ilvl="4">
      <w:start w:val="0"/>
      <w:numFmt w:val="bullet"/>
      <w:lvlText w:val="•"/>
      <w:lvlJc w:val="left"/>
      <w:pPr>
        <w:ind w:left="5330" w:hanging="233"/>
      </w:pPr>
      <w:rPr>
        <w:rFonts w:hint="default"/>
        <w:lang w:val="en-US" w:eastAsia="en-US" w:bidi="ar-SA"/>
      </w:rPr>
    </w:lvl>
    <w:lvl w:ilvl="5">
      <w:start w:val="0"/>
      <w:numFmt w:val="bullet"/>
      <w:lvlText w:val="•"/>
      <w:lvlJc w:val="left"/>
      <w:pPr>
        <w:ind w:left="6103" w:hanging="233"/>
      </w:pPr>
      <w:rPr>
        <w:rFonts w:hint="default"/>
        <w:lang w:val="en-US" w:eastAsia="en-US" w:bidi="ar-SA"/>
      </w:rPr>
    </w:lvl>
    <w:lvl w:ilvl="6">
      <w:start w:val="0"/>
      <w:numFmt w:val="bullet"/>
      <w:lvlText w:val="•"/>
      <w:lvlJc w:val="left"/>
      <w:pPr>
        <w:ind w:left="6875" w:hanging="233"/>
      </w:pPr>
      <w:rPr>
        <w:rFonts w:hint="default"/>
        <w:lang w:val="en-US" w:eastAsia="en-US" w:bidi="ar-SA"/>
      </w:rPr>
    </w:lvl>
    <w:lvl w:ilvl="7">
      <w:start w:val="0"/>
      <w:numFmt w:val="bullet"/>
      <w:lvlText w:val="•"/>
      <w:lvlJc w:val="left"/>
      <w:pPr>
        <w:ind w:left="7648" w:hanging="233"/>
      </w:pPr>
      <w:rPr>
        <w:rFonts w:hint="default"/>
        <w:lang w:val="en-US" w:eastAsia="en-US" w:bidi="ar-SA"/>
      </w:rPr>
    </w:lvl>
    <w:lvl w:ilvl="8">
      <w:start w:val="0"/>
      <w:numFmt w:val="bullet"/>
      <w:lvlText w:val="•"/>
      <w:lvlJc w:val="left"/>
      <w:pPr>
        <w:ind w:left="8421" w:hanging="233"/>
      </w:pPr>
      <w:rPr>
        <w:rFonts w:hint="default"/>
        <w:lang w:val="en-US" w:eastAsia="en-US" w:bidi="ar-SA"/>
      </w:rPr>
    </w:lvl>
  </w:abstractNum>
  <w:abstractNum w:abstractNumId="37">
    <w:multiLevelType w:val="hybridMultilevel"/>
    <w:lvl w:ilvl="0">
      <w:start w:val="2"/>
      <w:numFmt w:val="lowerLetter"/>
      <w:lvlText w:val="(%1)"/>
      <w:lvlJc w:val="left"/>
      <w:pPr>
        <w:ind w:left="2312" w:hanging="315"/>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3084" w:hanging="315"/>
      </w:pPr>
      <w:rPr>
        <w:rFonts w:hint="default"/>
        <w:lang w:val="en-US" w:eastAsia="en-US" w:bidi="ar-SA"/>
      </w:rPr>
    </w:lvl>
    <w:lvl w:ilvl="2">
      <w:start w:val="0"/>
      <w:numFmt w:val="bullet"/>
      <w:lvlText w:val="•"/>
      <w:lvlJc w:val="left"/>
      <w:pPr>
        <w:ind w:left="3849" w:hanging="315"/>
      </w:pPr>
      <w:rPr>
        <w:rFonts w:hint="default"/>
        <w:lang w:val="en-US" w:eastAsia="en-US" w:bidi="ar-SA"/>
      </w:rPr>
    </w:lvl>
    <w:lvl w:ilvl="3">
      <w:start w:val="0"/>
      <w:numFmt w:val="bullet"/>
      <w:lvlText w:val="•"/>
      <w:lvlJc w:val="left"/>
      <w:pPr>
        <w:ind w:left="4613" w:hanging="315"/>
      </w:pPr>
      <w:rPr>
        <w:rFonts w:hint="default"/>
        <w:lang w:val="en-US" w:eastAsia="en-US" w:bidi="ar-SA"/>
      </w:rPr>
    </w:lvl>
    <w:lvl w:ilvl="4">
      <w:start w:val="0"/>
      <w:numFmt w:val="bullet"/>
      <w:lvlText w:val="•"/>
      <w:lvlJc w:val="left"/>
      <w:pPr>
        <w:ind w:left="5378" w:hanging="315"/>
      </w:pPr>
      <w:rPr>
        <w:rFonts w:hint="default"/>
        <w:lang w:val="en-US" w:eastAsia="en-US" w:bidi="ar-SA"/>
      </w:rPr>
    </w:lvl>
    <w:lvl w:ilvl="5">
      <w:start w:val="0"/>
      <w:numFmt w:val="bullet"/>
      <w:lvlText w:val="•"/>
      <w:lvlJc w:val="left"/>
      <w:pPr>
        <w:ind w:left="6143" w:hanging="315"/>
      </w:pPr>
      <w:rPr>
        <w:rFonts w:hint="default"/>
        <w:lang w:val="en-US" w:eastAsia="en-US" w:bidi="ar-SA"/>
      </w:rPr>
    </w:lvl>
    <w:lvl w:ilvl="6">
      <w:start w:val="0"/>
      <w:numFmt w:val="bullet"/>
      <w:lvlText w:val="•"/>
      <w:lvlJc w:val="left"/>
      <w:pPr>
        <w:ind w:left="6907" w:hanging="315"/>
      </w:pPr>
      <w:rPr>
        <w:rFonts w:hint="default"/>
        <w:lang w:val="en-US" w:eastAsia="en-US" w:bidi="ar-SA"/>
      </w:rPr>
    </w:lvl>
    <w:lvl w:ilvl="7">
      <w:start w:val="0"/>
      <w:numFmt w:val="bullet"/>
      <w:lvlText w:val="•"/>
      <w:lvlJc w:val="left"/>
      <w:pPr>
        <w:ind w:left="7672" w:hanging="315"/>
      </w:pPr>
      <w:rPr>
        <w:rFonts w:hint="default"/>
        <w:lang w:val="en-US" w:eastAsia="en-US" w:bidi="ar-SA"/>
      </w:rPr>
    </w:lvl>
    <w:lvl w:ilvl="8">
      <w:start w:val="0"/>
      <w:numFmt w:val="bullet"/>
      <w:lvlText w:val="•"/>
      <w:lvlJc w:val="left"/>
      <w:pPr>
        <w:ind w:left="8437" w:hanging="315"/>
      </w:pPr>
      <w:rPr>
        <w:rFonts w:hint="default"/>
        <w:lang w:val="en-US" w:eastAsia="en-US" w:bidi="ar-SA"/>
      </w:rPr>
    </w:lvl>
  </w:abstractNum>
  <w:abstractNum w:abstractNumId="36">
    <w:multiLevelType w:val="hybridMultilevel"/>
    <w:lvl w:ilvl="0">
      <w:start w:val="1"/>
      <w:numFmt w:val="decimal"/>
      <w:lvlText w:val="%1."/>
      <w:lvlJc w:val="left"/>
      <w:pPr>
        <w:ind w:left="2624" w:hanging="233"/>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3354" w:hanging="233"/>
      </w:pPr>
      <w:rPr>
        <w:rFonts w:hint="default"/>
        <w:lang w:val="en-US" w:eastAsia="en-US" w:bidi="ar-SA"/>
      </w:rPr>
    </w:lvl>
    <w:lvl w:ilvl="2">
      <w:start w:val="0"/>
      <w:numFmt w:val="bullet"/>
      <w:lvlText w:val="•"/>
      <w:lvlJc w:val="left"/>
      <w:pPr>
        <w:ind w:left="4089" w:hanging="233"/>
      </w:pPr>
      <w:rPr>
        <w:rFonts w:hint="default"/>
        <w:lang w:val="en-US" w:eastAsia="en-US" w:bidi="ar-SA"/>
      </w:rPr>
    </w:lvl>
    <w:lvl w:ilvl="3">
      <w:start w:val="0"/>
      <w:numFmt w:val="bullet"/>
      <w:lvlText w:val="•"/>
      <w:lvlJc w:val="left"/>
      <w:pPr>
        <w:ind w:left="4823" w:hanging="233"/>
      </w:pPr>
      <w:rPr>
        <w:rFonts w:hint="default"/>
        <w:lang w:val="en-US" w:eastAsia="en-US" w:bidi="ar-SA"/>
      </w:rPr>
    </w:lvl>
    <w:lvl w:ilvl="4">
      <w:start w:val="0"/>
      <w:numFmt w:val="bullet"/>
      <w:lvlText w:val="•"/>
      <w:lvlJc w:val="left"/>
      <w:pPr>
        <w:ind w:left="5558" w:hanging="233"/>
      </w:pPr>
      <w:rPr>
        <w:rFonts w:hint="default"/>
        <w:lang w:val="en-US" w:eastAsia="en-US" w:bidi="ar-SA"/>
      </w:rPr>
    </w:lvl>
    <w:lvl w:ilvl="5">
      <w:start w:val="0"/>
      <w:numFmt w:val="bullet"/>
      <w:lvlText w:val="•"/>
      <w:lvlJc w:val="left"/>
      <w:pPr>
        <w:ind w:left="6293" w:hanging="233"/>
      </w:pPr>
      <w:rPr>
        <w:rFonts w:hint="default"/>
        <w:lang w:val="en-US" w:eastAsia="en-US" w:bidi="ar-SA"/>
      </w:rPr>
    </w:lvl>
    <w:lvl w:ilvl="6">
      <w:start w:val="0"/>
      <w:numFmt w:val="bullet"/>
      <w:lvlText w:val="•"/>
      <w:lvlJc w:val="left"/>
      <w:pPr>
        <w:ind w:left="7027" w:hanging="233"/>
      </w:pPr>
      <w:rPr>
        <w:rFonts w:hint="default"/>
        <w:lang w:val="en-US" w:eastAsia="en-US" w:bidi="ar-SA"/>
      </w:rPr>
    </w:lvl>
    <w:lvl w:ilvl="7">
      <w:start w:val="0"/>
      <w:numFmt w:val="bullet"/>
      <w:lvlText w:val="•"/>
      <w:lvlJc w:val="left"/>
      <w:pPr>
        <w:ind w:left="7762" w:hanging="233"/>
      </w:pPr>
      <w:rPr>
        <w:rFonts w:hint="default"/>
        <w:lang w:val="en-US" w:eastAsia="en-US" w:bidi="ar-SA"/>
      </w:rPr>
    </w:lvl>
    <w:lvl w:ilvl="8">
      <w:start w:val="0"/>
      <w:numFmt w:val="bullet"/>
      <w:lvlText w:val="•"/>
      <w:lvlJc w:val="left"/>
      <w:pPr>
        <w:ind w:left="8497" w:hanging="233"/>
      </w:pPr>
      <w:rPr>
        <w:rFonts w:hint="default"/>
        <w:lang w:val="en-US" w:eastAsia="en-US" w:bidi="ar-SA"/>
      </w:rPr>
    </w:lvl>
  </w:abstractNum>
  <w:abstractNum w:abstractNumId="3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260" w:hanging="720"/>
      </w:pPr>
      <w:rPr>
        <w:rFonts w:hint="default"/>
        <w:lang w:val="en-US" w:eastAsia="en-US" w:bidi="ar-SA"/>
      </w:rPr>
    </w:lvl>
    <w:lvl w:ilvl="3">
      <w:start w:val="0"/>
      <w:numFmt w:val="bullet"/>
      <w:lvlText w:val="•"/>
      <w:lvlJc w:val="left"/>
      <w:pPr>
        <w:ind w:left="3223" w:hanging="720"/>
      </w:pPr>
      <w:rPr>
        <w:rFonts w:hint="default"/>
        <w:lang w:val="en-US" w:eastAsia="en-US" w:bidi="ar-SA"/>
      </w:rPr>
    </w:lvl>
    <w:lvl w:ilvl="4">
      <w:start w:val="0"/>
      <w:numFmt w:val="bullet"/>
      <w:lvlText w:val="•"/>
      <w:lvlJc w:val="left"/>
      <w:pPr>
        <w:ind w:left="4186" w:hanging="720"/>
      </w:pPr>
      <w:rPr>
        <w:rFonts w:hint="default"/>
        <w:lang w:val="en-US" w:eastAsia="en-US" w:bidi="ar-SA"/>
      </w:rPr>
    </w:lvl>
    <w:lvl w:ilvl="5">
      <w:start w:val="0"/>
      <w:numFmt w:val="bullet"/>
      <w:lvlText w:val="•"/>
      <w:lvlJc w:val="left"/>
      <w:pPr>
        <w:ind w:left="5149" w:hanging="720"/>
      </w:pPr>
      <w:rPr>
        <w:rFonts w:hint="default"/>
        <w:lang w:val="en-US" w:eastAsia="en-US" w:bidi="ar-SA"/>
      </w:rPr>
    </w:lvl>
    <w:lvl w:ilvl="6">
      <w:start w:val="0"/>
      <w:numFmt w:val="bullet"/>
      <w:lvlText w:val="•"/>
      <w:lvlJc w:val="left"/>
      <w:pPr>
        <w:ind w:left="6113" w:hanging="720"/>
      </w:pPr>
      <w:rPr>
        <w:rFonts w:hint="default"/>
        <w:lang w:val="en-US" w:eastAsia="en-US" w:bidi="ar-SA"/>
      </w:rPr>
    </w:lvl>
    <w:lvl w:ilvl="7">
      <w:start w:val="0"/>
      <w:numFmt w:val="bullet"/>
      <w:lvlText w:val="•"/>
      <w:lvlJc w:val="left"/>
      <w:pPr>
        <w:ind w:left="7076" w:hanging="720"/>
      </w:pPr>
      <w:rPr>
        <w:rFonts w:hint="default"/>
        <w:lang w:val="en-US" w:eastAsia="en-US" w:bidi="ar-SA"/>
      </w:rPr>
    </w:lvl>
    <w:lvl w:ilvl="8">
      <w:start w:val="0"/>
      <w:numFmt w:val="bullet"/>
      <w:lvlText w:val="•"/>
      <w:lvlJc w:val="left"/>
      <w:pPr>
        <w:ind w:left="8039" w:hanging="720"/>
      </w:pPr>
      <w:rPr>
        <w:rFonts w:hint="default"/>
        <w:lang w:val="en-US" w:eastAsia="en-US" w:bidi="ar-SA"/>
      </w:rPr>
    </w:lvl>
  </w:abstractNum>
  <w:abstractNum w:abstractNumId="3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32">
    <w:multiLevelType w:val="hybridMultilevel"/>
    <w:lvl w:ilvl="0">
      <w:start w:val="1"/>
      <w:numFmt w:val="lowerLetter"/>
      <w:lvlText w:val="(%1)"/>
      <w:lvlJc w:val="left"/>
      <w:pPr>
        <w:ind w:left="2254" w:hanging="315"/>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3030" w:hanging="315"/>
      </w:pPr>
      <w:rPr>
        <w:rFonts w:hint="default"/>
        <w:lang w:val="en-US" w:eastAsia="en-US" w:bidi="ar-SA"/>
      </w:rPr>
    </w:lvl>
    <w:lvl w:ilvl="2">
      <w:start w:val="0"/>
      <w:numFmt w:val="bullet"/>
      <w:lvlText w:val="•"/>
      <w:lvlJc w:val="left"/>
      <w:pPr>
        <w:ind w:left="3801" w:hanging="315"/>
      </w:pPr>
      <w:rPr>
        <w:rFonts w:hint="default"/>
        <w:lang w:val="en-US" w:eastAsia="en-US" w:bidi="ar-SA"/>
      </w:rPr>
    </w:lvl>
    <w:lvl w:ilvl="3">
      <w:start w:val="0"/>
      <w:numFmt w:val="bullet"/>
      <w:lvlText w:val="•"/>
      <w:lvlJc w:val="left"/>
      <w:pPr>
        <w:ind w:left="4571" w:hanging="315"/>
      </w:pPr>
      <w:rPr>
        <w:rFonts w:hint="default"/>
        <w:lang w:val="en-US" w:eastAsia="en-US" w:bidi="ar-SA"/>
      </w:rPr>
    </w:lvl>
    <w:lvl w:ilvl="4">
      <w:start w:val="0"/>
      <w:numFmt w:val="bullet"/>
      <w:lvlText w:val="•"/>
      <w:lvlJc w:val="left"/>
      <w:pPr>
        <w:ind w:left="5342" w:hanging="315"/>
      </w:pPr>
      <w:rPr>
        <w:rFonts w:hint="default"/>
        <w:lang w:val="en-US" w:eastAsia="en-US" w:bidi="ar-SA"/>
      </w:rPr>
    </w:lvl>
    <w:lvl w:ilvl="5">
      <w:start w:val="0"/>
      <w:numFmt w:val="bullet"/>
      <w:lvlText w:val="•"/>
      <w:lvlJc w:val="left"/>
      <w:pPr>
        <w:ind w:left="6113" w:hanging="315"/>
      </w:pPr>
      <w:rPr>
        <w:rFonts w:hint="default"/>
        <w:lang w:val="en-US" w:eastAsia="en-US" w:bidi="ar-SA"/>
      </w:rPr>
    </w:lvl>
    <w:lvl w:ilvl="6">
      <w:start w:val="0"/>
      <w:numFmt w:val="bullet"/>
      <w:lvlText w:val="•"/>
      <w:lvlJc w:val="left"/>
      <w:pPr>
        <w:ind w:left="6883" w:hanging="315"/>
      </w:pPr>
      <w:rPr>
        <w:rFonts w:hint="default"/>
        <w:lang w:val="en-US" w:eastAsia="en-US" w:bidi="ar-SA"/>
      </w:rPr>
    </w:lvl>
    <w:lvl w:ilvl="7">
      <w:start w:val="0"/>
      <w:numFmt w:val="bullet"/>
      <w:lvlText w:val="•"/>
      <w:lvlJc w:val="left"/>
      <w:pPr>
        <w:ind w:left="7654" w:hanging="315"/>
      </w:pPr>
      <w:rPr>
        <w:rFonts w:hint="default"/>
        <w:lang w:val="en-US" w:eastAsia="en-US" w:bidi="ar-SA"/>
      </w:rPr>
    </w:lvl>
    <w:lvl w:ilvl="8">
      <w:start w:val="0"/>
      <w:numFmt w:val="bullet"/>
      <w:lvlText w:val="•"/>
      <w:lvlJc w:val="left"/>
      <w:pPr>
        <w:ind w:left="8425" w:hanging="315"/>
      </w:pPr>
      <w:rPr>
        <w:rFonts w:hint="default"/>
        <w:lang w:val="en-US" w:eastAsia="en-US" w:bidi="ar-SA"/>
      </w:rPr>
    </w:lvl>
  </w:abstractNum>
  <w:abstractNum w:abstractNumId="3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1"/>
      <w:numFmt w:val="lowerLetter"/>
      <w:lvlText w:val="(%2)"/>
      <w:lvlJc w:val="left"/>
      <w:pPr>
        <w:ind w:left="1940" w:hanging="720"/>
        <w:jc w:val="left"/>
      </w:pPr>
      <w:rPr>
        <w:rFonts w:hint="default" w:ascii="Arial" w:hAnsi="Arial" w:eastAsia="Arial" w:cs="Arial"/>
        <w:w w:val="99"/>
        <w:sz w:val="25"/>
        <w:szCs w:val="25"/>
        <w:lang w:val="en-US" w:eastAsia="en-US" w:bidi="ar-SA"/>
      </w:rPr>
    </w:lvl>
    <w:lvl w:ilvl="2">
      <w:start w:val="0"/>
      <w:numFmt w:val="bullet"/>
      <w:lvlText w:val="•"/>
      <w:lvlJc w:val="left"/>
      <w:pPr>
        <w:ind w:left="2831" w:hanging="720"/>
      </w:pPr>
      <w:rPr>
        <w:rFonts w:hint="default"/>
        <w:lang w:val="en-US" w:eastAsia="en-US" w:bidi="ar-SA"/>
      </w:rPr>
    </w:lvl>
    <w:lvl w:ilvl="3">
      <w:start w:val="0"/>
      <w:numFmt w:val="bullet"/>
      <w:lvlText w:val="•"/>
      <w:lvlJc w:val="left"/>
      <w:pPr>
        <w:ind w:left="3723" w:hanging="720"/>
      </w:pPr>
      <w:rPr>
        <w:rFonts w:hint="default"/>
        <w:lang w:val="en-US" w:eastAsia="en-US" w:bidi="ar-SA"/>
      </w:rPr>
    </w:lvl>
    <w:lvl w:ilvl="4">
      <w:start w:val="0"/>
      <w:numFmt w:val="bullet"/>
      <w:lvlText w:val="•"/>
      <w:lvlJc w:val="left"/>
      <w:pPr>
        <w:ind w:left="4615" w:hanging="720"/>
      </w:pPr>
      <w:rPr>
        <w:rFonts w:hint="default"/>
        <w:lang w:val="en-US" w:eastAsia="en-US" w:bidi="ar-SA"/>
      </w:rPr>
    </w:lvl>
    <w:lvl w:ilvl="5">
      <w:start w:val="0"/>
      <w:numFmt w:val="bullet"/>
      <w:lvlText w:val="•"/>
      <w:lvlJc w:val="left"/>
      <w:pPr>
        <w:ind w:left="5507" w:hanging="720"/>
      </w:pPr>
      <w:rPr>
        <w:rFonts w:hint="default"/>
        <w:lang w:val="en-US" w:eastAsia="en-US" w:bidi="ar-SA"/>
      </w:rPr>
    </w:lvl>
    <w:lvl w:ilvl="6">
      <w:start w:val="0"/>
      <w:numFmt w:val="bullet"/>
      <w:lvlText w:val="•"/>
      <w:lvlJc w:val="left"/>
      <w:pPr>
        <w:ind w:left="6399" w:hanging="720"/>
      </w:pPr>
      <w:rPr>
        <w:rFonts w:hint="default"/>
        <w:lang w:val="en-US" w:eastAsia="en-US" w:bidi="ar-SA"/>
      </w:rPr>
    </w:lvl>
    <w:lvl w:ilvl="7">
      <w:start w:val="0"/>
      <w:numFmt w:val="bullet"/>
      <w:lvlText w:val="•"/>
      <w:lvlJc w:val="left"/>
      <w:pPr>
        <w:ind w:left="7290" w:hanging="720"/>
      </w:pPr>
      <w:rPr>
        <w:rFonts w:hint="default"/>
        <w:lang w:val="en-US" w:eastAsia="en-US" w:bidi="ar-SA"/>
      </w:rPr>
    </w:lvl>
    <w:lvl w:ilvl="8">
      <w:start w:val="0"/>
      <w:numFmt w:val="bullet"/>
      <w:lvlText w:val="•"/>
      <w:lvlJc w:val="left"/>
      <w:pPr>
        <w:ind w:left="8182" w:hanging="720"/>
      </w:pPr>
      <w:rPr>
        <w:rFonts w:hint="default"/>
        <w:lang w:val="en-US" w:eastAsia="en-US" w:bidi="ar-SA"/>
      </w:rPr>
    </w:lvl>
  </w:abstractNum>
  <w:abstractNum w:abstractNumId="30">
    <w:multiLevelType w:val="hybridMultilevel"/>
    <w:lvl w:ilvl="0">
      <w:start w:val="2"/>
      <w:numFmt w:val="decimal"/>
      <w:lvlText w:val="(%1)"/>
      <w:lvlJc w:val="left"/>
      <w:pPr>
        <w:ind w:left="500" w:hanging="278"/>
        <w:jc w:val="left"/>
      </w:pPr>
      <w:rPr>
        <w:rFonts w:hint="default" w:ascii="Arial" w:hAnsi="Arial" w:eastAsia="Arial" w:cs="Arial"/>
        <w:w w:val="99"/>
        <w:sz w:val="18"/>
        <w:szCs w:val="18"/>
        <w:lang w:val="en-US" w:eastAsia="en-US" w:bidi="ar-SA"/>
      </w:rPr>
    </w:lvl>
    <w:lvl w:ilvl="1">
      <w:start w:val="2"/>
      <w:numFmt w:val="decimal"/>
      <w:lvlText w:val="(%2)"/>
      <w:lvlJc w:val="left"/>
      <w:pPr>
        <w:ind w:left="1220" w:hanging="413"/>
        <w:jc w:val="left"/>
      </w:pPr>
      <w:rPr>
        <w:rFonts w:hint="default" w:ascii="Arial" w:hAnsi="Arial" w:eastAsia="Arial" w:cs="Arial"/>
        <w:w w:val="99"/>
        <w:sz w:val="25"/>
        <w:szCs w:val="25"/>
        <w:lang w:val="en-US" w:eastAsia="en-US" w:bidi="ar-SA"/>
      </w:rPr>
    </w:lvl>
    <w:lvl w:ilvl="2">
      <w:start w:val="1"/>
      <w:numFmt w:val="lowerLetter"/>
      <w:lvlText w:val="(%3)"/>
      <w:lvlJc w:val="left"/>
      <w:pPr>
        <w:ind w:left="2660" w:hanging="720"/>
        <w:jc w:val="left"/>
      </w:pPr>
      <w:rPr>
        <w:rFonts w:hint="default" w:ascii="Arial" w:hAnsi="Arial" w:eastAsia="Arial" w:cs="Arial"/>
        <w:w w:val="99"/>
        <w:sz w:val="25"/>
        <w:szCs w:val="25"/>
        <w:lang w:val="en-US" w:eastAsia="en-US" w:bidi="ar-SA"/>
      </w:rPr>
    </w:lvl>
    <w:lvl w:ilvl="3">
      <w:start w:val="0"/>
      <w:numFmt w:val="bullet"/>
      <w:lvlText w:val="•"/>
      <w:lvlJc w:val="left"/>
      <w:pPr>
        <w:ind w:left="3573" w:hanging="720"/>
      </w:pPr>
      <w:rPr>
        <w:rFonts w:hint="default"/>
        <w:lang w:val="en-US" w:eastAsia="en-US" w:bidi="ar-SA"/>
      </w:rPr>
    </w:lvl>
    <w:lvl w:ilvl="4">
      <w:start w:val="0"/>
      <w:numFmt w:val="bullet"/>
      <w:lvlText w:val="•"/>
      <w:lvlJc w:val="left"/>
      <w:pPr>
        <w:ind w:left="4486" w:hanging="720"/>
      </w:pPr>
      <w:rPr>
        <w:rFonts w:hint="default"/>
        <w:lang w:val="en-US" w:eastAsia="en-US" w:bidi="ar-SA"/>
      </w:rPr>
    </w:lvl>
    <w:lvl w:ilvl="5">
      <w:start w:val="0"/>
      <w:numFmt w:val="bullet"/>
      <w:lvlText w:val="•"/>
      <w:lvlJc w:val="left"/>
      <w:pPr>
        <w:ind w:left="5399" w:hanging="720"/>
      </w:pPr>
      <w:rPr>
        <w:rFonts w:hint="default"/>
        <w:lang w:val="en-US" w:eastAsia="en-US" w:bidi="ar-SA"/>
      </w:rPr>
    </w:lvl>
    <w:lvl w:ilvl="6">
      <w:start w:val="0"/>
      <w:numFmt w:val="bullet"/>
      <w:lvlText w:val="•"/>
      <w:lvlJc w:val="left"/>
      <w:pPr>
        <w:ind w:left="6313" w:hanging="720"/>
      </w:pPr>
      <w:rPr>
        <w:rFonts w:hint="default"/>
        <w:lang w:val="en-US" w:eastAsia="en-US" w:bidi="ar-SA"/>
      </w:rPr>
    </w:lvl>
    <w:lvl w:ilvl="7">
      <w:start w:val="0"/>
      <w:numFmt w:val="bullet"/>
      <w:lvlText w:val="•"/>
      <w:lvlJc w:val="left"/>
      <w:pPr>
        <w:ind w:left="7226" w:hanging="720"/>
      </w:pPr>
      <w:rPr>
        <w:rFonts w:hint="default"/>
        <w:lang w:val="en-US" w:eastAsia="en-US" w:bidi="ar-SA"/>
      </w:rPr>
    </w:lvl>
    <w:lvl w:ilvl="8">
      <w:start w:val="0"/>
      <w:numFmt w:val="bullet"/>
      <w:lvlText w:val="•"/>
      <w:lvlJc w:val="left"/>
      <w:pPr>
        <w:ind w:left="8139" w:hanging="720"/>
      </w:pPr>
      <w:rPr>
        <w:rFonts w:hint="default"/>
        <w:lang w:val="en-US" w:eastAsia="en-US" w:bidi="ar-SA"/>
      </w:rPr>
    </w:lvl>
  </w:abstractNum>
  <w:abstractNum w:abstractNumId="29">
    <w:multiLevelType w:val="hybridMultilevel"/>
    <w:lvl w:ilvl="0">
      <w:start w:val="1"/>
      <w:numFmt w:val="lowerLetter"/>
      <w:lvlText w:val="(%1)"/>
      <w:lvlJc w:val="left"/>
      <w:pPr>
        <w:ind w:left="500" w:hanging="281"/>
        <w:jc w:val="left"/>
      </w:pPr>
      <w:rPr>
        <w:rFonts w:hint="default" w:ascii="Arial" w:hAnsi="Arial" w:eastAsia="Arial" w:cs="Arial"/>
        <w:w w:val="99"/>
        <w:sz w:val="18"/>
        <w:szCs w:val="18"/>
        <w:lang w:val="en-US" w:eastAsia="en-US" w:bidi="ar-SA"/>
      </w:rPr>
    </w:lvl>
    <w:lvl w:ilvl="1">
      <w:start w:val="0"/>
      <w:numFmt w:val="bullet"/>
      <w:lvlText w:val="•"/>
      <w:lvlJc w:val="left"/>
      <w:pPr>
        <w:ind w:left="1446" w:hanging="281"/>
      </w:pPr>
      <w:rPr>
        <w:rFonts w:hint="default"/>
        <w:lang w:val="en-US" w:eastAsia="en-US" w:bidi="ar-SA"/>
      </w:rPr>
    </w:lvl>
    <w:lvl w:ilvl="2">
      <w:start w:val="0"/>
      <w:numFmt w:val="bullet"/>
      <w:lvlText w:val="•"/>
      <w:lvlJc w:val="left"/>
      <w:pPr>
        <w:ind w:left="2393" w:hanging="281"/>
      </w:pPr>
      <w:rPr>
        <w:rFonts w:hint="default"/>
        <w:lang w:val="en-US" w:eastAsia="en-US" w:bidi="ar-SA"/>
      </w:rPr>
    </w:lvl>
    <w:lvl w:ilvl="3">
      <w:start w:val="0"/>
      <w:numFmt w:val="bullet"/>
      <w:lvlText w:val="•"/>
      <w:lvlJc w:val="left"/>
      <w:pPr>
        <w:ind w:left="3339" w:hanging="281"/>
      </w:pPr>
      <w:rPr>
        <w:rFonts w:hint="default"/>
        <w:lang w:val="en-US" w:eastAsia="en-US" w:bidi="ar-SA"/>
      </w:rPr>
    </w:lvl>
    <w:lvl w:ilvl="4">
      <w:start w:val="0"/>
      <w:numFmt w:val="bullet"/>
      <w:lvlText w:val="•"/>
      <w:lvlJc w:val="left"/>
      <w:pPr>
        <w:ind w:left="4286" w:hanging="281"/>
      </w:pPr>
      <w:rPr>
        <w:rFonts w:hint="default"/>
        <w:lang w:val="en-US" w:eastAsia="en-US" w:bidi="ar-SA"/>
      </w:rPr>
    </w:lvl>
    <w:lvl w:ilvl="5">
      <w:start w:val="0"/>
      <w:numFmt w:val="bullet"/>
      <w:lvlText w:val="•"/>
      <w:lvlJc w:val="left"/>
      <w:pPr>
        <w:ind w:left="5233" w:hanging="281"/>
      </w:pPr>
      <w:rPr>
        <w:rFonts w:hint="default"/>
        <w:lang w:val="en-US" w:eastAsia="en-US" w:bidi="ar-SA"/>
      </w:rPr>
    </w:lvl>
    <w:lvl w:ilvl="6">
      <w:start w:val="0"/>
      <w:numFmt w:val="bullet"/>
      <w:lvlText w:val="•"/>
      <w:lvlJc w:val="left"/>
      <w:pPr>
        <w:ind w:left="6179" w:hanging="281"/>
      </w:pPr>
      <w:rPr>
        <w:rFonts w:hint="default"/>
        <w:lang w:val="en-US" w:eastAsia="en-US" w:bidi="ar-SA"/>
      </w:rPr>
    </w:lvl>
    <w:lvl w:ilvl="7">
      <w:start w:val="0"/>
      <w:numFmt w:val="bullet"/>
      <w:lvlText w:val="•"/>
      <w:lvlJc w:val="left"/>
      <w:pPr>
        <w:ind w:left="7126" w:hanging="281"/>
      </w:pPr>
      <w:rPr>
        <w:rFonts w:hint="default"/>
        <w:lang w:val="en-US" w:eastAsia="en-US" w:bidi="ar-SA"/>
      </w:rPr>
    </w:lvl>
    <w:lvl w:ilvl="8">
      <w:start w:val="0"/>
      <w:numFmt w:val="bullet"/>
      <w:lvlText w:val="•"/>
      <w:lvlJc w:val="left"/>
      <w:pPr>
        <w:ind w:left="8073" w:hanging="281"/>
      </w:pPr>
      <w:rPr>
        <w:rFonts w:hint="default"/>
        <w:lang w:val="en-US" w:eastAsia="en-US" w:bidi="ar-SA"/>
      </w:rPr>
    </w:lvl>
  </w:abstractNum>
  <w:abstractNum w:abstractNumId="28">
    <w:multiLevelType w:val="hybridMultilevel"/>
    <w:lvl w:ilvl="0">
      <w:start w:val="1"/>
      <w:numFmt w:val="decimal"/>
      <w:lvlText w:val="%1."/>
      <w:lvlJc w:val="left"/>
      <w:pPr>
        <w:ind w:left="3381" w:hanging="663"/>
        <w:jc w:val="left"/>
      </w:pPr>
      <w:rPr>
        <w:rFonts w:hint="default" w:ascii="Arial" w:hAnsi="Arial" w:eastAsia="Arial" w:cs="Arial"/>
        <w:w w:val="100"/>
        <w:sz w:val="21"/>
        <w:szCs w:val="21"/>
        <w:lang w:val="en-US" w:eastAsia="en-US" w:bidi="ar-SA"/>
      </w:rPr>
    </w:lvl>
    <w:lvl w:ilvl="1">
      <w:start w:val="0"/>
      <w:numFmt w:val="bullet"/>
      <w:lvlText w:val="•"/>
      <w:lvlJc w:val="left"/>
      <w:pPr>
        <w:ind w:left="4038" w:hanging="663"/>
      </w:pPr>
      <w:rPr>
        <w:rFonts w:hint="default"/>
        <w:lang w:val="en-US" w:eastAsia="en-US" w:bidi="ar-SA"/>
      </w:rPr>
    </w:lvl>
    <w:lvl w:ilvl="2">
      <w:start w:val="0"/>
      <w:numFmt w:val="bullet"/>
      <w:lvlText w:val="•"/>
      <w:lvlJc w:val="left"/>
      <w:pPr>
        <w:ind w:left="4697" w:hanging="663"/>
      </w:pPr>
      <w:rPr>
        <w:rFonts w:hint="default"/>
        <w:lang w:val="en-US" w:eastAsia="en-US" w:bidi="ar-SA"/>
      </w:rPr>
    </w:lvl>
    <w:lvl w:ilvl="3">
      <w:start w:val="0"/>
      <w:numFmt w:val="bullet"/>
      <w:lvlText w:val="•"/>
      <w:lvlJc w:val="left"/>
      <w:pPr>
        <w:ind w:left="5355" w:hanging="663"/>
      </w:pPr>
      <w:rPr>
        <w:rFonts w:hint="default"/>
        <w:lang w:val="en-US" w:eastAsia="en-US" w:bidi="ar-SA"/>
      </w:rPr>
    </w:lvl>
    <w:lvl w:ilvl="4">
      <w:start w:val="0"/>
      <w:numFmt w:val="bullet"/>
      <w:lvlText w:val="•"/>
      <w:lvlJc w:val="left"/>
      <w:pPr>
        <w:ind w:left="6014" w:hanging="663"/>
      </w:pPr>
      <w:rPr>
        <w:rFonts w:hint="default"/>
        <w:lang w:val="en-US" w:eastAsia="en-US" w:bidi="ar-SA"/>
      </w:rPr>
    </w:lvl>
    <w:lvl w:ilvl="5">
      <w:start w:val="0"/>
      <w:numFmt w:val="bullet"/>
      <w:lvlText w:val="•"/>
      <w:lvlJc w:val="left"/>
      <w:pPr>
        <w:ind w:left="6673" w:hanging="663"/>
      </w:pPr>
      <w:rPr>
        <w:rFonts w:hint="default"/>
        <w:lang w:val="en-US" w:eastAsia="en-US" w:bidi="ar-SA"/>
      </w:rPr>
    </w:lvl>
    <w:lvl w:ilvl="6">
      <w:start w:val="0"/>
      <w:numFmt w:val="bullet"/>
      <w:lvlText w:val="•"/>
      <w:lvlJc w:val="left"/>
      <w:pPr>
        <w:ind w:left="7331" w:hanging="663"/>
      </w:pPr>
      <w:rPr>
        <w:rFonts w:hint="default"/>
        <w:lang w:val="en-US" w:eastAsia="en-US" w:bidi="ar-SA"/>
      </w:rPr>
    </w:lvl>
    <w:lvl w:ilvl="7">
      <w:start w:val="0"/>
      <w:numFmt w:val="bullet"/>
      <w:lvlText w:val="•"/>
      <w:lvlJc w:val="left"/>
      <w:pPr>
        <w:ind w:left="7990" w:hanging="663"/>
      </w:pPr>
      <w:rPr>
        <w:rFonts w:hint="default"/>
        <w:lang w:val="en-US" w:eastAsia="en-US" w:bidi="ar-SA"/>
      </w:rPr>
    </w:lvl>
    <w:lvl w:ilvl="8">
      <w:start w:val="0"/>
      <w:numFmt w:val="bullet"/>
      <w:lvlText w:val="•"/>
      <w:lvlJc w:val="left"/>
      <w:pPr>
        <w:ind w:left="8649" w:hanging="663"/>
      </w:pPr>
      <w:rPr>
        <w:rFonts w:hint="default"/>
        <w:lang w:val="en-US" w:eastAsia="en-US" w:bidi="ar-SA"/>
      </w:rPr>
    </w:lvl>
  </w:abstractNum>
  <w:abstractNum w:abstractNumId="27">
    <w:multiLevelType w:val="hybridMultilevel"/>
    <w:lvl w:ilvl="0">
      <w:start w:val="1"/>
      <w:numFmt w:val="decimal"/>
      <w:lvlText w:val="%1."/>
      <w:lvlJc w:val="left"/>
      <w:pPr>
        <w:ind w:left="3381" w:hanging="721"/>
        <w:jc w:val="left"/>
      </w:pPr>
      <w:rPr>
        <w:rFonts w:hint="default" w:ascii="Arial" w:hAnsi="Arial" w:eastAsia="Arial" w:cs="Arial"/>
        <w:w w:val="100"/>
        <w:sz w:val="21"/>
        <w:szCs w:val="21"/>
        <w:lang w:val="en-US" w:eastAsia="en-US" w:bidi="ar-SA"/>
      </w:rPr>
    </w:lvl>
    <w:lvl w:ilvl="1">
      <w:start w:val="0"/>
      <w:numFmt w:val="bullet"/>
      <w:lvlText w:val="•"/>
      <w:lvlJc w:val="left"/>
      <w:pPr>
        <w:ind w:left="4038" w:hanging="721"/>
      </w:pPr>
      <w:rPr>
        <w:rFonts w:hint="default"/>
        <w:lang w:val="en-US" w:eastAsia="en-US" w:bidi="ar-SA"/>
      </w:rPr>
    </w:lvl>
    <w:lvl w:ilvl="2">
      <w:start w:val="0"/>
      <w:numFmt w:val="bullet"/>
      <w:lvlText w:val="•"/>
      <w:lvlJc w:val="left"/>
      <w:pPr>
        <w:ind w:left="4697" w:hanging="721"/>
      </w:pPr>
      <w:rPr>
        <w:rFonts w:hint="default"/>
        <w:lang w:val="en-US" w:eastAsia="en-US" w:bidi="ar-SA"/>
      </w:rPr>
    </w:lvl>
    <w:lvl w:ilvl="3">
      <w:start w:val="0"/>
      <w:numFmt w:val="bullet"/>
      <w:lvlText w:val="•"/>
      <w:lvlJc w:val="left"/>
      <w:pPr>
        <w:ind w:left="5355" w:hanging="721"/>
      </w:pPr>
      <w:rPr>
        <w:rFonts w:hint="default"/>
        <w:lang w:val="en-US" w:eastAsia="en-US" w:bidi="ar-SA"/>
      </w:rPr>
    </w:lvl>
    <w:lvl w:ilvl="4">
      <w:start w:val="0"/>
      <w:numFmt w:val="bullet"/>
      <w:lvlText w:val="•"/>
      <w:lvlJc w:val="left"/>
      <w:pPr>
        <w:ind w:left="6014" w:hanging="721"/>
      </w:pPr>
      <w:rPr>
        <w:rFonts w:hint="default"/>
        <w:lang w:val="en-US" w:eastAsia="en-US" w:bidi="ar-SA"/>
      </w:rPr>
    </w:lvl>
    <w:lvl w:ilvl="5">
      <w:start w:val="0"/>
      <w:numFmt w:val="bullet"/>
      <w:lvlText w:val="•"/>
      <w:lvlJc w:val="left"/>
      <w:pPr>
        <w:ind w:left="6673" w:hanging="721"/>
      </w:pPr>
      <w:rPr>
        <w:rFonts w:hint="default"/>
        <w:lang w:val="en-US" w:eastAsia="en-US" w:bidi="ar-SA"/>
      </w:rPr>
    </w:lvl>
    <w:lvl w:ilvl="6">
      <w:start w:val="0"/>
      <w:numFmt w:val="bullet"/>
      <w:lvlText w:val="•"/>
      <w:lvlJc w:val="left"/>
      <w:pPr>
        <w:ind w:left="7331" w:hanging="721"/>
      </w:pPr>
      <w:rPr>
        <w:rFonts w:hint="default"/>
        <w:lang w:val="en-US" w:eastAsia="en-US" w:bidi="ar-SA"/>
      </w:rPr>
    </w:lvl>
    <w:lvl w:ilvl="7">
      <w:start w:val="0"/>
      <w:numFmt w:val="bullet"/>
      <w:lvlText w:val="•"/>
      <w:lvlJc w:val="left"/>
      <w:pPr>
        <w:ind w:left="7990" w:hanging="721"/>
      </w:pPr>
      <w:rPr>
        <w:rFonts w:hint="default"/>
        <w:lang w:val="en-US" w:eastAsia="en-US" w:bidi="ar-SA"/>
      </w:rPr>
    </w:lvl>
    <w:lvl w:ilvl="8">
      <w:start w:val="0"/>
      <w:numFmt w:val="bullet"/>
      <w:lvlText w:val="•"/>
      <w:lvlJc w:val="left"/>
      <w:pPr>
        <w:ind w:left="8649" w:hanging="721"/>
      </w:pPr>
      <w:rPr>
        <w:rFonts w:hint="default"/>
        <w:lang w:val="en-US" w:eastAsia="en-US" w:bidi="ar-SA"/>
      </w:rPr>
    </w:lvl>
  </w:abstractNum>
  <w:abstractNum w:abstractNumId="26">
    <w:multiLevelType w:val="hybridMultilevel"/>
    <w:lvl w:ilvl="0">
      <w:start w:val="1"/>
      <w:numFmt w:val="decimal"/>
      <w:lvlText w:val="%1."/>
      <w:lvlJc w:val="left"/>
      <w:pPr>
        <w:ind w:left="3381" w:hanging="721"/>
        <w:jc w:val="left"/>
      </w:pPr>
      <w:rPr>
        <w:rFonts w:hint="default" w:ascii="Arial" w:hAnsi="Arial" w:eastAsia="Arial" w:cs="Arial"/>
        <w:w w:val="100"/>
        <w:sz w:val="21"/>
        <w:szCs w:val="21"/>
        <w:lang w:val="en-US" w:eastAsia="en-US" w:bidi="ar-SA"/>
      </w:rPr>
    </w:lvl>
    <w:lvl w:ilvl="1">
      <w:start w:val="0"/>
      <w:numFmt w:val="bullet"/>
      <w:lvlText w:val="•"/>
      <w:lvlJc w:val="left"/>
      <w:pPr>
        <w:ind w:left="4038" w:hanging="721"/>
      </w:pPr>
      <w:rPr>
        <w:rFonts w:hint="default"/>
        <w:lang w:val="en-US" w:eastAsia="en-US" w:bidi="ar-SA"/>
      </w:rPr>
    </w:lvl>
    <w:lvl w:ilvl="2">
      <w:start w:val="0"/>
      <w:numFmt w:val="bullet"/>
      <w:lvlText w:val="•"/>
      <w:lvlJc w:val="left"/>
      <w:pPr>
        <w:ind w:left="4697" w:hanging="721"/>
      </w:pPr>
      <w:rPr>
        <w:rFonts w:hint="default"/>
        <w:lang w:val="en-US" w:eastAsia="en-US" w:bidi="ar-SA"/>
      </w:rPr>
    </w:lvl>
    <w:lvl w:ilvl="3">
      <w:start w:val="0"/>
      <w:numFmt w:val="bullet"/>
      <w:lvlText w:val="•"/>
      <w:lvlJc w:val="left"/>
      <w:pPr>
        <w:ind w:left="5355" w:hanging="721"/>
      </w:pPr>
      <w:rPr>
        <w:rFonts w:hint="default"/>
        <w:lang w:val="en-US" w:eastAsia="en-US" w:bidi="ar-SA"/>
      </w:rPr>
    </w:lvl>
    <w:lvl w:ilvl="4">
      <w:start w:val="0"/>
      <w:numFmt w:val="bullet"/>
      <w:lvlText w:val="•"/>
      <w:lvlJc w:val="left"/>
      <w:pPr>
        <w:ind w:left="6014" w:hanging="721"/>
      </w:pPr>
      <w:rPr>
        <w:rFonts w:hint="default"/>
        <w:lang w:val="en-US" w:eastAsia="en-US" w:bidi="ar-SA"/>
      </w:rPr>
    </w:lvl>
    <w:lvl w:ilvl="5">
      <w:start w:val="0"/>
      <w:numFmt w:val="bullet"/>
      <w:lvlText w:val="•"/>
      <w:lvlJc w:val="left"/>
      <w:pPr>
        <w:ind w:left="6673" w:hanging="721"/>
      </w:pPr>
      <w:rPr>
        <w:rFonts w:hint="default"/>
        <w:lang w:val="en-US" w:eastAsia="en-US" w:bidi="ar-SA"/>
      </w:rPr>
    </w:lvl>
    <w:lvl w:ilvl="6">
      <w:start w:val="0"/>
      <w:numFmt w:val="bullet"/>
      <w:lvlText w:val="•"/>
      <w:lvlJc w:val="left"/>
      <w:pPr>
        <w:ind w:left="7331" w:hanging="721"/>
      </w:pPr>
      <w:rPr>
        <w:rFonts w:hint="default"/>
        <w:lang w:val="en-US" w:eastAsia="en-US" w:bidi="ar-SA"/>
      </w:rPr>
    </w:lvl>
    <w:lvl w:ilvl="7">
      <w:start w:val="0"/>
      <w:numFmt w:val="bullet"/>
      <w:lvlText w:val="•"/>
      <w:lvlJc w:val="left"/>
      <w:pPr>
        <w:ind w:left="7990" w:hanging="721"/>
      </w:pPr>
      <w:rPr>
        <w:rFonts w:hint="default"/>
        <w:lang w:val="en-US" w:eastAsia="en-US" w:bidi="ar-SA"/>
      </w:rPr>
    </w:lvl>
    <w:lvl w:ilvl="8">
      <w:start w:val="0"/>
      <w:numFmt w:val="bullet"/>
      <w:lvlText w:val="•"/>
      <w:lvlJc w:val="left"/>
      <w:pPr>
        <w:ind w:left="8649" w:hanging="721"/>
      </w:pPr>
      <w:rPr>
        <w:rFonts w:hint="default"/>
        <w:lang w:val="en-US" w:eastAsia="en-US" w:bidi="ar-SA"/>
      </w:rPr>
    </w:lvl>
  </w:abstractNum>
  <w:abstractNum w:abstractNumId="25">
    <w:multiLevelType w:val="hybridMultilevel"/>
    <w:lvl w:ilvl="0">
      <w:start w:val="1"/>
      <w:numFmt w:val="decimal"/>
      <w:lvlText w:val="%1."/>
      <w:lvlJc w:val="left"/>
      <w:pPr>
        <w:ind w:left="3381" w:hanging="721"/>
        <w:jc w:val="left"/>
      </w:pPr>
      <w:rPr>
        <w:rFonts w:hint="default" w:ascii="Arial" w:hAnsi="Arial" w:eastAsia="Arial" w:cs="Arial"/>
        <w:w w:val="100"/>
        <w:sz w:val="21"/>
        <w:szCs w:val="21"/>
        <w:lang w:val="en-US" w:eastAsia="en-US" w:bidi="ar-SA"/>
      </w:rPr>
    </w:lvl>
    <w:lvl w:ilvl="1">
      <w:start w:val="0"/>
      <w:numFmt w:val="bullet"/>
      <w:lvlText w:val="•"/>
      <w:lvlJc w:val="left"/>
      <w:pPr>
        <w:ind w:left="4038" w:hanging="721"/>
      </w:pPr>
      <w:rPr>
        <w:rFonts w:hint="default"/>
        <w:lang w:val="en-US" w:eastAsia="en-US" w:bidi="ar-SA"/>
      </w:rPr>
    </w:lvl>
    <w:lvl w:ilvl="2">
      <w:start w:val="0"/>
      <w:numFmt w:val="bullet"/>
      <w:lvlText w:val="•"/>
      <w:lvlJc w:val="left"/>
      <w:pPr>
        <w:ind w:left="4697" w:hanging="721"/>
      </w:pPr>
      <w:rPr>
        <w:rFonts w:hint="default"/>
        <w:lang w:val="en-US" w:eastAsia="en-US" w:bidi="ar-SA"/>
      </w:rPr>
    </w:lvl>
    <w:lvl w:ilvl="3">
      <w:start w:val="0"/>
      <w:numFmt w:val="bullet"/>
      <w:lvlText w:val="•"/>
      <w:lvlJc w:val="left"/>
      <w:pPr>
        <w:ind w:left="5355" w:hanging="721"/>
      </w:pPr>
      <w:rPr>
        <w:rFonts w:hint="default"/>
        <w:lang w:val="en-US" w:eastAsia="en-US" w:bidi="ar-SA"/>
      </w:rPr>
    </w:lvl>
    <w:lvl w:ilvl="4">
      <w:start w:val="0"/>
      <w:numFmt w:val="bullet"/>
      <w:lvlText w:val="•"/>
      <w:lvlJc w:val="left"/>
      <w:pPr>
        <w:ind w:left="6014" w:hanging="721"/>
      </w:pPr>
      <w:rPr>
        <w:rFonts w:hint="default"/>
        <w:lang w:val="en-US" w:eastAsia="en-US" w:bidi="ar-SA"/>
      </w:rPr>
    </w:lvl>
    <w:lvl w:ilvl="5">
      <w:start w:val="0"/>
      <w:numFmt w:val="bullet"/>
      <w:lvlText w:val="•"/>
      <w:lvlJc w:val="left"/>
      <w:pPr>
        <w:ind w:left="6673" w:hanging="721"/>
      </w:pPr>
      <w:rPr>
        <w:rFonts w:hint="default"/>
        <w:lang w:val="en-US" w:eastAsia="en-US" w:bidi="ar-SA"/>
      </w:rPr>
    </w:lvl>
    <w:lvl w:ilvl="6">
      <w:start w:val="0"/>
      <w:numFmt w:val="bullet"/>
      <w:lvlText w:val="•"/>
      <w:lvlJc w:val="left"/>
      <w:pPr>
        <w:ind w:left="7331" w:hanging="721"/>
      </w:pPr>
      <w:rPr>
        <w:rFonts w:hint="default"/>
        <w:lang w:val="en-US" w:eastAsia="en-US" w:bidi="ar-SA"/>
      </w:rPr>
    </w:lvl>
    <w:lvl w:ilvl="7">
      <w:start w:val="0"/>
      <w:numFmt w:val="bullet"/>
      <w:lvlText w:val="•"/>
      <w:lvlJc w:val="left"/>
      <w:pPr>
        <w:ind w:left="7990" w:hanging="721"/>
      </w:pPr>
      <w:rPr>
        <w:rFonts w:hint="default"/>
        <w:lang w:val="en-US" w:eastAsia="en-US" w:bidi="ar-SA"/>
      </w:rPr>
    </w:lvl>
    <w:lvl w:ilvl="8">
      <w:start w:val="0"/>
      <w:numFmt w:val="bullet"/>
      <w:lvlText w:val="•"/>
      <w:lvlJc w:val="left"/>
      <w:pPr>
        <w:ind w:left="8649" w:hanging="721"/>
      </w:pPr>
      <w:rPr>
        <w:rFonts w:hint="default"/>
        <w:lang w:val="en-US" w:eastAsia="en-US" w:bidi="ar-SA"/>
      </w:rPr>
    </w:lvl>
  </w:abstractNum>
  <w:abstractNum w:abstractNumId="24">
    <w:multiLevelType w:val="hybridMultilevel"/>
    <w:lvl w:ilvl="0">
      <w:start w:val="1"/>
      <w:numFmt w:val="decimal"/>
      <w:lvlText w:val="%1."/>
      <w:lvlJc w:val="left"/>
      <w:pPr>
        <w:ind w:left="3438" w:hanging="779"/>
        <w:jc w:val="left"/>
      </w:pPr>
      <w:rPr>
        <w:rFonts w:hint="default" w:ascii="Arial" w:hAnsi="Arial" w:eastAsia="Arial" w:cs="Arial"/>
        <w:w w:val="100"/>
        <w:sz w:val="21"/>
        <w:szCs w:val="21"/>
        <w:lang w:val="en-US" w:eastAsia="en-US" w:bidi="ar-SA"/>
      </w:rPr>
    </w:lvl>
    <w:lvl w:ilvl="1">
      <w:start w:val="0"/>
      <w:numFmt w:val="bullet"/>
      <w:lvlText w:val="•"/>
      <w:lvlJc w:val="left"/>
      <w:pPr>
        <w:ind w:left="4092" w:hanging="779"/>
      </w:pPr>
      <w:rPr>
        <w:rFonts w:hint="default"/>
        <w:lang w:val="en-US" w:eastAsia="en-US" w:bidi="ar-SA"/>
      </w:rPr>
    </w:lvl>
    <w:lvl w:ilvl="2">
      <w:start w:val="0"/>
      <w:numFmt w:val="bullet"/>
      <w:lvlText w:val="•"/>
      <w:lvlJc w:val="left"/>
      <w:pPr>
        <w:ind w:left="4745" w:hanging="779"/>
      </w:pPr>
      <w:rPr>
        <w:rFonts w:hint="default"/>
        <w:lang w:val="en-US" w:eastAsia="en-US" w:bidi="ar-SA"/>
      </w:rPr>
    </w:lvl>
    <w:lvl w:ilvl="3">
      <w:start w:val="0"/>
      <w:numFmt w:val="bullet"/>
      <w:lvlText w:val="•"/>
      <w:lvlJc w:val="left"/>
      <w:pPr>
        <w:ind w:left="5397" w:hanging="779"/>
      </w:pPr>
      <w:rPr>
        <w:rFonts w:hint="default"/>
        <w:lang w:val="en-US" w:eastAsia="en-US" w:bidi="ar-SA"/>
      </w:rPr>
    </w:lvl>
    <w:lvl w:ilvl="4">
      <w:start w:val="0"/>
      <w:numFmt w:val="bullet"/>
      <w:lvlText w:val="•"/>
      <w:lvlJc w:val="left"/>
      <w:pPr>
        <w:ind w:left="6050" w:hanging="779"/>
      </w:pPr>
      <w:rPr>
        <w:rFonts w:hint="default"/>
        <w:lang w:val="en-US" w:eastAsia="en-US" w:bidi="ar-SA"/>
      </w:rPr>
    </w:lvl>
    <w:lvl w:ilvl="5">
      <w:start w:val="0"/>
      <w:numFmt w:val="bullet"/>
      <w:lvlText w:val="•"/>
      <w:lvlJc w:val="left"/>
      <w:pPr>
        <w:ind w:left="6703" w:hanging="779"/>
      </w:pPr>
      <w:rPr>
        <w:rFonts w:hint="default"/>
        <w:lang w:val="en-US" w:eastAsia="en-US" w:bidi="ar-SA"/>
      </w:rPr>
    </w:lvl>
    <w:lvl w:ilvl="6">
      <w:start w:val="0"/>
      <w:numFmt w:val="bullet"/>
      <w:lvlText w:val="•"/>
      <w:lvlJc w:val="left"/>
      <w:pPr>
        <w:ind w:left="7355" w:hanging="779"/>
      </w:pPr>
      <w:rPr>
        <w:rFonts w:hint="default"/>
        <w:lang w:val="en-US" w:eastAsia="en-US" w:bidi="ar-SA"/>
      </w:rPr>
    </w:lvl>
    <w:lvl w:ilvl="7">
      <w:start w:val="0"/>
      <w:numFmt w:val="bullet"/>
      <w:lvlText w:val="•"/>
      <w:lvlJc w:val="left"/>
      <w:pPr>
        <w:ind w:left="8008" w:hanging="779"/>
      </w:pPr>
      <w:rPr>
        <w:rFonts w:hint="default"/>
        <w:lang w:val="en-US" w:eastAsia="en-US" w:bidi="ar-SA"/>
      </w:rPr>
    </w:lvl>
    <w:lvl w:ilvl="8">
      <w:start w:val="0"/>
      <w:numFmt w:val="bullet"/>
      <w:lvlText w:val="•"/>
      <w:lvlJc w:val="left"/>
      <w:pPr>
        <w:ind w:left="8661" w:hanging="779"/>
      </w:pPr>
      <w:rPr>
        <w:rFonts w:hint="default"/>
        <w:lang w:val="en-US" w:eastAsia="en-US" w:bidi="ar-SA"/>
      </w:rPr>
    </w:lvl>
  </w:abstractNum>
  <w:abstractNum w:abstractNumId="23">
    <w:multiLevelType w:val="hybridMultilevel"/>
    <w:lvl w:ilvl="0">
      <w:start w:val="1"/>
      <w:numFmt w:val="decimal"/>
      <w:lvlText w:val="%1."/>
      <w:lvlJc w:val="left"/>
      <w:pPr>
        <w:ind w:left="3381" w:hanging="721"/>
        <w:jc w:val="left"/>
      </w:pPr>
      <w:rPr>
        <w:rFonts w:hint="default" w:ascii="Arial" w:hAnsi="Arial" w:eastAsia="Arial" w:cs="Arial"/>
        <w:w w:val="100"/>
        <w:sz w:val="21"/>
        <w:szCs w:val="21"/>
        <w:lang w:val="en-US" w:eastAsia="en-US" w:bidi="ar-SA"/>
      </w:rPr>
    </w:lvl>
    <w:lvl w:ilvl="1">
      <w:start w:val="0"/>
      <w:numFmt w:val="bullet"/>
      <w:lvlText w:val="•"/>
      <w:lvlJc w:val="left"/>
      <w:pPr>
        <w:ind w:left="4038" w:hanging="721"/>
      </w:pPr>
      <w:rPr>
        <w:rFonts w:hint="default"/>
        <w:lang w:val="en-US" w:eastAsia="en-US" w:bidi="ar-SA"/>
      </w:rPr>
    </w:lvl>
    <w:lvl w:ilvl="2">
      <w:start w:val="0"/>
      <w:numFmt w:val="bullet"/>
      <w:lvlText w:val="•"/>
      <w:lvlJc w:val="left"/>
      <w:pPr>
        <w:ind w:left="4697" w:hanging="721"/>
      </w:pPr>
      <w:rPr>
        <w:rFonts w:hint="default"/>
        <w:lang w:val="en-US" w:eastAsia="en-US" w:bidi="ar-SA"/>
      </w:rPr>
    </w:lvl>
    <w:lvl w:ilvl="3">
      <w:start w:val="0"/>
      <w:numFmt w:val="bullet"/>
      <w:lvlText w:val="•"/>
      <w:lvlJc w:val="left"/>
      <w:pPr>
        <w:ind w:left="5355" w:hanging="721"/>
      </w:pPr>
      <w:rPr>
        <w:rFonts w:hint="default"/>
        <w:lang w:val="en-US" w:eastAsia="en-US" w:bidi="ar-SA"/>
      </w:rPr>
    </w:lvl>
    <w:lvl w:ilvl="4">
      <w:start w:val="0"/>
      <w:numFmt w:val="bullet"/>
      <w:lvlText w:val="•"/>
      <w:lvlJc w:val="left"/>
      <w:pPr>
        <w:ind w:left="6014" w:hanging="721"/>
      </w:pPr>
      <w:rPr>
        <w:rFonts w:hint="default"/>
        <w:lang w:val="en-US" w:eastAsia="en-US" w:bidi="ar-SA"/>
      </w:rPr>
    </w:lvl>
    <w:lvl w:ilvl="5">
      <w:start w:val="0"/>
      <w:numFmt w:val="bullet"/>
      <w:lvlText w:val="•"/>
      <w:lvlJc w:val="left"/>
      <w:pPr>
        <w:ind w:left="6673" w:hanging="721"/>
      </w:pPr>
      <w:rPr>
        <w:rFonts w:hint="default"/>
        <w:lang w:val="en-US" w:eastAsia="en-US" w:bidi="ar-SA"/>
      </w:rPr>
    </w:lvl>
    <w:lvl w:ilvl="6">
      <w:start w:val="0"/>
      <w:numFmt w:val="bullet"/>
      <w:lvlText w:val="•"/>
      <w:lvlJc w:val="left"/>
      <w:pPr>
        <w:ind w:left="7331" w:hanging="721"/>
      </w:pPr>
      <w:rPr>
        <w:rFonts w:hint="default"/>
        <w:lang w:val="en-US" w:eastAsia="en-US" w:bidi="ar-SA"/>
      </w:rPr>
    </w:lvl>
    <w:lvl w:ilvl="7">
      <w:start w:val="0"/>
      <w:numFmt w:val="bullet"/>
      <w:lvlText w:val="•"/>
      <w:lvlJc w:val="left"/>
      <w:pPr>
        <w:ind w:left="7990" w:hanging="721"/>
      </w:pPr>
      <w:rPr>
        <w:rFonts w:hint="default"/>
        <w:lang w:val="en-US" w:eastAsia="en-US" w:bidi="ar-SA"/>
      </w:rPr>
    </w:lvl>
    <w:lvl w:ilvl="8">
      <w:start w:val="0"/>
      <w:numFmt w:val="bullet"/>
      <w:lvlText w:val="•"/>
      <w:lvlJc w:val="left"/>
      <w:pPr>
        <w:ind w:left="8649" w:hanging="721"/>
      </w:pPr>
      <w:rPr>
        <w:rFonts w:hint="default"/>
        <w:lang w:val="en-US" w:eastAsia="en-US" w:bidi="ar-SA"/>
      </w:rPr>
    </w:lvl>
  </w:abstractNum>
  <w:abstractNum w:abstractNumId="22">
    <w:multiLevelType w:val="hybridMultilevel"/>
    <w:lvl w:ilvl="0">
      <w:start w:val="1"/>
      <w:numFmt w:val="decimal"/>
      <w:lvlText w:val="%1."/>
      <w:lvlJc w:val="left"/>
      <w:pPr>
        <w:ind w:left="3381" w:hanging="721"/>
        <w:jc w:val="left"/>
      </w:pPr>
      <w:rPr>
        <w:rFonts w:hint="default" w:ascii="Arial" w:hAnsi="Arial" w:eastAsia="Arial" w:cs="Arial"/>
        <w:w w:val="100"/>
        <w:sz w:val="21"/>
        <w:szCs w:val="21"/>
        <w:lang w:val="en-US" w:eastAsia="en-US" w:bidi="ar-SA"/>
      </w:rPr>
    </w:lvl>
    <w:lvl w:ilvl="1">
      <w:start w:val="0"/>
      <w:numFmt w:val="bullet"/>
      <w:lvlText w:val="•"/>
      <w:lvlJc w:val="left"/>
      <w:pPr>
        <w:ind w:left="4038" w:hanging="721"/>
      </w:pPr>
      <w:rPr>
        <w:rFonts w:hint="default"/>
        <w:lang w:val="en-US" w:eastAsia="en-US" w:bidi="ar-SA"/>
      </w:rPr>
    </w:lvl>
    <w:lvl w:ilvl="2">
      <w:start w:val="0"/>
      <w:numFmt w:val="bullet"/>
      <w:lvlText w:val="•"/>
      <w:lvlJc w:val="left"/>
      <w:pPr>
        <w:ind w:left="4697" w:hanging="721"/>
      </w:pPr>
      <w:rPr>
        <w:rFonts w:hint="default"/>
        <w:lang w:val="en-US" w:eastAsia="en-US" w:bidi="ar-SA"/>
      </w:rPr>
    </w:lvl>
    <w:lvl w:ilvl="3">
      <w:start w:val="0"/>
      <w:numFmt w:val="bullet"/>
      <w:lvlText w:val="•"/>
      <w:lvlJc w:val="left"/>
      <w:pPr>
        <w:ind w:left="5355" w:hanging="721"/>
      </w:pPr>
      <w:rPr>
        <w:rFonts w:hint="default"/>
        <w:lang w:val="en-US" w:eastAsia="en-US" w:bidi="ar-SA"/>
      </w:rPr>
    </w:lvl>
    <w:lvl w:ilvl="4">
      <w:start w:val="0"/>
      <w:numFmt w:val="bullet"/>
      <w:lvlText w:val="•"/>
      <w:lvlJc w:val="left"/>
      <w:pPr>
        <w:ind w:left="6014" w:hanging="721"/>
      </w:pPr>
      <w:rPr>
        <w:rFonts w:hint="default"/>
        <w:lang w:val="en-US" w:eastAsia="en-US" w:bidi="ar-SA"/>
      </w:rPr>
    </w:lvl>
    <w:lvl w:ilvl="5">
      <w:start w:val="0"/>
      <w:numFmt w:val="bullet"/>
      <w:lvlText w:val="•"/>
      <w:lvlJc w:val="left"/>
      <w:pPr>
        <w:ind w:left="6673" w:hanging="721"/>
      </w:pPr>
      <w:rPr>
        <w:rFonts w:hint="default"/>
        <w:lang w:val="en-US" w:eastAsia="en-US" w:bidi="ar-SA"/>
      </w:rPr>
    </w:lvl>
    <w:lvl w:ilvl="6">
      <w:start w:val="0"/>
      <w:numFmt w:val="bullet"/>
      <w:lvlText w:val="•"/>
      <w:lvlJc w:val="left"/>
      <w:pPr>
        <w:ind w:left="7331" w:hanging="721"/>
      </w:pPr>
      <w:rPr>
        <w:rFonts w:hint="default"/>
        <w:lang w:val="en-US" w:eastAsia="en-US" w:bidi="ar-SA"/>
      </w:rPr>
    </w:lvl>
    <w:lvl w:ilvl="7">
      <w:start w:val="0"/>
      <w:numFmt w:val="bullet"/>
      <w:lvlText w:val="•"/>
      <w:lvlJc w:val="left"/>
      <w:pPr>
        <w:ind w:left="7990" w:hanging="721"/>
      </w:pPr>
      <w:rPr>
        <w:rFonts w:hint="default"/>
        <w:lang w:val="en-US" w:eastAsia="en-US" w:bidi="ar-SA"/>
      </w:rPr>
    </w:lvl>
    <w:lvl w:ilvl="8">
      <w:start w:val="0"/>
      <w:numFmt w:val="bullet"/>
      <w:lvlText w:val="•"/>
      <w:lvlJc w:val="left"/>
      <w:pPr>
        <w:ind w:left="8649" w:hanging="721"/>
      </w:pPr>
      <w:rPr>
        <w:rFonts w:hint="default"/>
        <w:lang w:val="en-US" w:eastAsia="en-US" w:bidi="ar-SA"/>
      </w:rPr>
    </w:lvl>
  </w:abstractNum>
  <w:abstractNum w:abstractNumId="21">
    <w:multiLevelType w:val="hybridMultilevel"/>
    <w:lvl w:ilvl="0">
      <w:start w:val="1"/>
      <w:numFmt w:val="decimal"/>
      <w:lvlText w:val="%1."/>
      <w:lvlJc w:val="left"/>
      <w:pPr>
        <w:ind w:left="3381" w:hanging="721"/>
        <w:jc w:val="left"/>
      </w:pPr>
      <w:rPr>
        <w:rFonts w:hint="default" w:ascii="Arial" w:hAnsi="Arial" w:eastAsia="Arial" w:cs="Arial"/>
        <w:w w:val="100"/>
        <w:sz w:val="21"/>
        <w:szCs w:val="21"/>
        <w:lang w:val="en-US" w:eastAsia="en-US" w:bidi="ar-SA"/>
      </w:rPr>
    </w:lvl>
    <w:lvl w:ilvl="1">
      <w:start w:val="0"/>
      <w:numFmt w:val="bullet"/>
      <w:lvlText w:val="•"/>
      <w:lvlJc w:val="left"/>
      <w:pPr>
        <w:ind w:left="4038" w:hanging="721"/>
      </w:pPr>
      <w:rPr>
        <w:rFonts w:hint="default"/>
        <w:lang w:val="en-US" w:eastAsia="en-US" w:bidi="ar-SA"/>
      </w:rPr>
    </w:lvl>
    <w:lvl w:ilvl="2">
      <w:start w:val="0"/>
      <w:numFmt w:val="bullet"/>
      <w:lvlText w:val="•"/>
      <w:lvlJc w:val="left"/>
      <w:pPr>
        <w:ind w:left="4697" w:hanging="721"/>
      </w:pPr>
      <w:rPr>
        <w:rFonts w:hint="default"/>
        <w:lang w:val="en-US" w:eastAsia="en-US" w:bidi="ar-SA"/>
      </w:rPr>
    </w:lvl>
    <w:lvl w:ilvl="3">
      <w:start w:val="0"/>
      <w:numFmt w:val="bullet"/>
      <w:lvlText w:val="•"/>
      <w:lvlJc w:val="left"/>
      <w:pPr>
        <w:ind w:left="5355" w:hanging="721"/>
      </w:pPr>
      <w:rPr>
        <w:rFonts w:hint="default"/>
        <w:lang w:val="en-US" w:eastAsia="en-US" w:bidi="ar-SA"/>
      </w:rPr>
    </w:lvl>
    <w:lvl w:ilvl="4">
      <w:start w:val="0"/>
      <w:numFmt w:val="bullet"/>
      <w:lvlText w:val="•"/>
      <w:lvlJc w:val="left"/>
      <w:pPr>
        <w:ind w:left="6014" w:hanging="721"/>
      </w:pPr>
      <w:rPr>
        <w:rFonts w:hint="default"/>
        <w:lang w:val="en-US" w:eastAsia="en-US" w:bidi="ar-SA"/>
      </w:rPr>
    </w:lvl>
    <w:lvl w:ilvl="5">
      <w:start w:val="0"/>
      <w:numFmt w:val="bullet"/>
      <w:lvlText w:val="•"/>
      <w:lvlJc w:val="left"/>
      <w:pPr>
        <w:ind w:left="6673" w:hanging="721"/>
      </w:pPr>
      <w:rPr>
        <w:rFonts w:hint="default"/>
        <w:lang w:val="en-US" w:eastAsia="en-US" w:bidi="ar-SA"/>
      </w:rPr>
    </w:lvl>
    <w:lvl w:ilvl="6">
      <w:start w:val="0"/>
      <w:numFmt w:val="bullet"/>
      <w:lvlText w:val="•"/>
      <w:lvlJc w:val="left"/>
      <w:pPr>
        <w:ind w:left="7331" w:hanging="721"/>
      </w:pPr>
      <w:rPr>
        <w:rFonts w:hint="default"/>
        <w:lang w:val="en-US" w:eastAsia="en-US" w:bidi="ar-SA"/>
      </w:rPr>
    </w:lvl>
    <w:lvl w:ilvl="7">
      <w:start w:val="0"/>
      <w:numFmt w:val="bullet"/>
      <w:lvlText w:val="•"/>
      <w:lvlJc w:val="left"/>
      <w:pPr>
        <w:ind w:left="7990" w:hanging="721"/>
      </w:pPr>
      <w:rPr>
        <w:rFonts w:hint="default"/>
        <w:lang w:val="en-US" w:eastAsia="en-US" w:bidi="ar-SA"/>
      </w:rPr>
    </w:lvl>
    <w:lvl w:ilvl="8">
      <w:start w:val="0"/>
      <w:numFmt w:val="bullet"/>
      <w:lvlText w:val="•"/>
      <w:lvlJc w:val="left"/>
      <w:pPr>
        <w:ind w:left="8649" w:hanging="721"/>
      </w:pPr>
      <w:rPr>
        <w:rFonts w:hint="default"/>
        <w:lang w:val="en-US" w:eastAsia="en-US" w:bidi="ar-SA"/>
      </w:rPr>
    </w:lvl>
  </w:abstractNum>
  <w:abstractNum w:abstractNumId="20">
    <w:multiLevelType w:val="hybridMultilevel"/>
    <w:lvl w:ilvl="0">
      <w:start w:val="275"/>
      <w:numFmt w:val="decimal"/>
      <w:lvlText w:val="%1."/>
      <w:lvlJc w:val="left"/>
      <w:pPr>
        <w:ind w:left="2408" w:hanging="468"/>
        <w:jc w:val="left"/>
      </w:pPr>
      <w:rPr>
        <w:rFonts w:hint="default" w:ascii="Arial" w:hAnsi="Arial" w:eastAsia="Arial" w:cs="Arial"/>
        <w:b/>
        <w:bCs/>
        <w:w w:val="100"/>
        <w:sz w:val="21"/>
        <w:szCs w:val="21"/>
        <w:lang w:val="en-US" w:eastAsia="en-US" w:bidi="ar-SA"/>
      </w:rPr>
    </w:lvl>
    <w:lvl w:ilvl="1">
      <w:start w:val="1"/>
      <w:numFmt w:val="upperRoman"/>
      <w:lvlText w:val="(%2)"/>
      <w:lvlJc w:val="left"/>
      <w:pPr>
        <w:ind w:left="3635" w:hanging="255"/>
        <w:jc w:val="left"/>
      </w:pPr>
      <w:rPr>
        <w:rFonts w:hint="default" w:ascii="Arial" w:hAnsi="Arial" w:eastAsia="Arial" w:cs="Arial"/>
        <w:b/>
        <w:bCs/>
        <w:spacing w:val="-2"/>
        <w:w w:val="100"/>
        <w:sz w:val="21"/>
        <w:szCs w:val="21"/>
        <w:lang w:val="en-US" w:eastAsia="en-US" w:bidi="ar-SA"/>
      </w:rPr>
    </w:lvl>
    <w:lvl w:ilvl="2">
      <w:start w:val="0"/>
      <w:numFmt w:val="bullet"/>
      <w:lvlText w:val="•"/>
      <w:lvlJc w:val="left"/>
      <w:pPr>
        <w:ind w:left="4342" w:hanging="255"/>
      </w:pPr>
      <w:rPr>
        <w:rFonts w:hint="default"/>
        <w:lang w:val="en-US" w:eastAsia="en-US" w:bidi="ar-SA"/>
      </w:rPr>
    </w:lvl>
    <w:lvl w:ilvl="3">
      <w:start w:val="0"/>
      <w:numFmt w:val="bullet"/>
      <w:lvlText w:val="•"/>
      <w:lvlJc w:val="left"/>
      <w:pPr>
        <w:ind w:left="5045" w:hanging="255"/>
      </w:pPr>
      <w:rPr>
        <w:rFonts w:hint="default"/>
        <w:lang w:val="en-US" w:eastAsia="en-US" w:bidi="ar-SA"/>
      </w:rPr>
    </w:lvl>
    <w:lvl w:ilvl="4">
      <w:start w:val="0"/>
      <w:numFmt w:val="bullet"/>
      <w:lvlText w:val="•"/>
      <w:lvlJc w:val="left"/>
      <w:pPr>
        <w:ind w:left="5748" w:hanging="255"/>
      </w:pPr>
      <w:rPr>
        <w:rFonts w:hint="default"/>
        <w:lang w:val="en-US" w:eastAsia="en-US" w:bidi="ar-SA"/>
      </w:rPr>
    </w:lvl>
    <w:lvl w:ilvl="5">
      <w:start w:val="0"/>
      <w:numFmt w:val="bullet"/>
      <w:lvlText w:val="•"/>
      <w:lvlJc w:val="left"/>
      <w:pPr>
        <w:ind w:left="6451" w:hanging="255"/>
      </w:pPr>
      <w:rPr>
        <w:rFonts w:hint="default"/>
        <w:lang w:val="en-US" w:eastAsia="en-US" w:bidi="ar-SA"/>
      </w:rPr>
    </w:lvl>
    <w:lvl w:ilvl="6">
      <w:start w:val="0"/>
      <w:numFmt w:val="bullet"/>
      <w:lvlText w:val="•"/>
      <w:lvlJc w:val="left"/>
      <w:pPr>
        <w:ind w:left="7154" w:hanging="255"/>
      </w:pPr>
      <w:rPr>
        <w:rFonts w:hint="default"/>
        <w:lang w:val="en-US" w:eastAsia="en-US" w:bidi="ar-SA"/>
      </w:rPr>
    </w:lvl>
    <w:lvl w:ilvl="7">
      <w:start w:val="0"/>
      <w:numFmt w:val="bullet"/>
      <w:lvlText w:val="•"/>
      <w:lvlJc w:val="left"/>
      <w:pPr>
        <w:ind w:left="7857" w:hanging="255"/>
      </w:pPr>
      <w:rPr>
        <w:rFonts w:hint="default"/>
        <w:lang w:val="en-US" w:eastAsia="en-US" w:bidi="ar-SA"/>
      </w:rPr>
    </w:lvl>
    <w:lvl w:ilvl="8">
      <w:start w:val="0"/>
      <w:numFmt w:val="bullet"/>
      <w:lvlText w:val="•"/>
      <w:lvlJc w:val="left"/>
      <w:pPr>
        <w:ind w:left="8560" w:hanging="255"/>
      </w:pPr>
      <w:rPr>
        <w:rFonts w:hint="default"/>
        <w:lang w:val="en-US" w:eastAsia="en-US" w:bidi="ar-SA"/>
      </w:rPr>
    </w:lvl>
  </w:abstractNum>
  <w:abstractNum w:abstractNumId="19">
    <w:multiLevelType w:val="hybridMultilevel"/>
    <w:lvl w:ilvl="0">
      <w:start w:val="1"/>
      <w:numFmt w:val="lowerRoman"/>
      <w:lvlText w:val="(%1)"/>
      <w:lvlJc w:val="left"/>
      <w:pPr>
        <w:ind w:left="1940" w:hanging="720"/>
        <w:jc w:val="left"/>
      </w:pPr>
      <w:rPr>
        <w:rFonts w:hint="default" w:ascii="Arial" w:hAnsi="Arial" w:eastAsia="Arial" w:cs="Arial"/>
        <w:w w:val="99"/>
        <w:sz w:val="25"/>
        <w:szCs w:val="25"/>
        <w:lang w:val="en-US" w:eastAsia="en-US" w:bidi="ar-SA"/>
      </w:rPr>
    </w:lvl>
    <w:lvl w:ilvl="1">
      <w:start w:val="0"/>
      <w:numFmt w:val="bullet"/>
      <w:lvlText w:val="•"/>
      <w:lvlJc w:val="left"/>
      <w:pPr>
        <w:ind w:left="2742" w:hanging="720"/>
      </w:pPr>
      <w:rPr>
        <w:rFonts w:hint="default"/>
        <w:lang w:val="en-US" w:eastAsia="en-US" w:bidi="ar-SA"/>
      </w:rPr>
    </w:lvl>
    <w:lvl w:ilvl="2">
      <w:start w:val="0"/>
      <w:numFmt w:val="bullet"/>
      <w:lvlText w:val="•"/>
      <w:lvlJc w:val="left"/>
      <w:pPr>
        <w:ind w:left="3545" w:hanging="720"/>
      </w:pPr>
      <w:rPr>
        <w:rFonts w:hint="default"/>
        <w:lang w:val="en-US" w:eastAsia="en-US" w:bidi="ar-SA"/>
      </w:rPr>
    </w:lvl>
    <w:lvl w:ilvl="3">
      <w:start w:val="0"/>
      <w:numFmt w:val="bullet"/>
      <w:lvlText w:val="•"/>
      <w:lvlJc w:val="left"/>
      <w:pPr>
        <w:ind w:left="4347" w:hanging="720"/>
      </w:pPr>
      <w:rPr>
        <w:rFonts w:hint="default"/>
        <w:lang w:val="en-US" w:eastAsia="en-US" w:bidi="ar-SA"/>
      </w:rPr>
    </w:lvl>
    <w:lvl w:ilvl="4">
      <w:start w:val="0"/>
      <w:numFmt w:val="bullet"/>
      <w:lvlText w:val="•"/>
      <w:lvlJc w:val="left"/>
      <w:pPr>
        <w:ind w:left="5150" w:hanging="720"/>
      </w:pPr>
      <w:rPr>
        <w:rFonts w:hint="default"/>
        <w:lang w:val="en-US" w:eastAsia="en-US" w:bidi="ar-SA"/>
      </w:rPr>
    </w:lvl>
    <w:lvl w:ilvl="5">
      <w:start w:val="0"/>
      <w:numFmt w:val="bullet"/>
      <w:lvlText w:val="•"/>
      <w:lvlJc w:val="left"/>
      <w:pPr>
        <w:ind w:left="5953" w:hanging="720"/>
      </w:pPr>
      <w:rPr>
        <w:rFonts w:hint="default"/>
        <w:lang w:val="en-US" w:eastAsia="en-US" w:bidi="ar-SA"/>
      </w:rPr>
    </w:lvl>
    <w:lvl w:ilvl="6">
      <w:start w:val="0"/>
      <w:numFmt w:val="bullet"/>
      <w:lvlText w:val="•"/>
      <w:lvlJc w:val="left"/>
      <w:pPr>
        <w:ind w:left="6755" w:hanging="720"/>
      </w:pPr>
      <w:rPr>
        <w:rFonts w:hint="default"/>
        <w:lang w:val="en-US" w:eastAsia="en-US" w:bidi="ar-SA"/>
      </w:rPr>
    </w:lvl>
    <w:lvl w:ilvl="7">
      <w:start w:val="0"/>
      <w:numFmt w:val="bullet"/>
      <w:lvlText w:val="•"/>
      <w:lvlJc w:val="left"/>
      <w:pPr>
        <w:ind w:left="7558" w:hanging="720"/>
      </w:pPr>
      <w:rPr>
        <w:rFonts w:hint="default"/>
        <w:lang w:val="en-US" w:eastAsia="en-US" w:bidi="ar-SA"/>
      </w:rPr>
    </w:lvl>
    <w:lvl w:ilvl="8">
      <w:start w:val="0"/>
      <w:numFmt w:val="bullet"/>
      <w:lvlText w:val="•"/>
      <w:lvlJc w:val="left"/>
      <w:pPr>
        <w:ind w:left="8361" w:hanging="720"/>
      </w:pPr>
      <w:rPr>
        <w:rFonts w:hint="default"/>
        <w:lang w:val="en-US" w:eastAsia="en-US" w:bidi="ar-SA"/>
      </w:rPr>
    </w:lvl>
  </w:abstractNum>
  <w:abstractNum w:abstractNumId="18">
    <w:multiLevelType w:val="hybridMultilevel"/>
    <w:lvl w:ilvl="0">
      <w:start w:val="2"/>
      <w:numFmt w:val="lowerLetter"/>
      <w:lvlText w:val="(%1)"/>
      <w:lvlJc w:val="left"/>
      <w:pPr>
        <w:ind w:left="1940" w:hanging="358"/>
        <w:jc w:val="left"/>
      </w:pPr>
      <w:rPr>
        <w:rFonts w:hint="default" w:ascii="Arial" w:hAnsi="Arial" w:eastAsia="Arial" w:cs="Arial"/>
        <w:spacing w:val="-1"/>
        <w:w w:val="100"/>
        <w:sz w:val="21"/>
        <w:szCs w:val="21"/>
        <w:lang w:val="en-US" w:eastAsia="en-US" w:bidi="ar-SA"/>
      </w:rPr>
    </w:lvl>
    <w:lvl w:ilvl="1">
      <w:start w:val="0"/>
      <w:numFmt w:val="bullet"/>
      <w:lvlText w:val="•"/>
      <w:lvlJc w:val="left"/>
      <w:pPr>
        <w:ind w:left="2742" w:hanging="358"/>
      </w:pPr>
      <w:rPr>
        <w:rFonts w:hint="default"/>
        <w:lang w:val="en-US" w:eastAsia="en-US" w:bidi="ar-SA"/>
      </w:rPr>
    </w:lvl>
    <w:lvl w:ilvl="2">
      <w:start w:val="0"/>
      <w:numFmt w:val="bullet"/>
      <w:lvlText w:val="•"/>
      <w:lvlJc w:val="left"/>
      <w:pPr>
        <w:ind w:left="3545" w:hanging="358"/>
      </w:pPr>
      <w:rPr>
        <w:rFonts w:hint="default"/>
        <w:lang w:val="en-US" w:eastAsia="en-US" w:bidi="ar-SA"/>
      </w:rPr>
    </w:lvl>
    <w:lvl w:ilvl="3">
      <w:start w:val="0"/>
      <w:numFmt w:val="bullet"/>
      <w:lvlText w:val="•"/>
      <w:lvlJc w:val="left"/>
      <w:pPr>
        <w:ind w:left="4347" w:hanging="358"/>
      </w:pPr>
      <w:rPr>
        <w:rFonts w:hint="default"/>
        <w:lang w:val="en-US" w:eastAsia="en-US" w:bidi="ar-SA"/>
      </w:rPr>
    </w:lvl>
    <w:lvl w:ilvl="4">
      <w:start w:val="0"/>
      <w:numFmt w:val="bullet"/>
      <w:lvlText w:val="•"/>
      <w:lvlJc w:val="left"/>
      <w:pPr>
        <w:ind w:left="5150" w:hanging="358"/>
      </w:pPr>
      <w:rPr>
        <w:rFonts w:hint="default"/>
        <w:lang w:val="en-US" w:eastAsia="en-US" w:bidi="ar-SA"/>
      </w:rPr>
    </w:lvl>
    <w:lvl w:ilvl="5">
      <w:start w:val="0"/>
      <w:numFmt w:val="bullet"/>
      <w:lvlText w:val="•"/>
      <w:lvlJc w:val="left"/>
      <w:pPr>
        <w:ind w:left="5953" w:hanging="358"/>
      </w:pPr>
      <w:rPr>
        <w:rFonts w:hint="default"/>
        <w:lang w:val="en-US" w:eastAsia="en-US" w:bidi="ar-SA"/>
      </w:rPr>
    </w:lvl>
    <w:lvl w:ilvl="6">
      <w:start w:val="0"/>
      <w:numFmt w:val="bullet"/>
      <w:lvlText w:val="•"/>
      <w:lvlJc w:val="left"/>
      <w:pPr>
        <w:ind w:left="6755" w:hanging="358"/>
      </w:pPr>
      <w:rPr>
        <w:rFonts w:hint="default"/>
        <w:lang w:val="en-US" w:eastAsia="en-US" w:bidi="ar-SA"/>
      </w:rPr>
    </w:lvl>
    <w:lvl w:ilvl="7">
      <w:start w:val="0"/>
      <w:numFmt w:val="bullet"/>
      <w:lvlText w:val="•"/>
      <w:lvlJc w:val="left"/>
      <w:pPr>
        <w:ind w:left="7558" w:hanging="358"/>
      </w:pPr>
      <w:rPr>
        <w:rFonts w:hint="default"/>
        <w:lang w:val="en-US" w:eastAsia="en-US" w:bidi="ar-SA"/>
      </w:rPr>
    </w:lvl>
    <w:lvl w:ilvl="8">
      <w:start w:val="0"/>
      <w:numFmt w:val="bullet"/>
      <w:lvlText w:val="•"/>
      <w:lvlJc w:val="left"/>
      <w:pPr>
        <w:ind w:left="8361" w:hanging="358"/>
      </w:pPr>
      <w:rPr>
        <w:rFonts w:hint="default"/>
        <w:lang w:val="en-US" w:eastAsia="en-US" w:bidi="ar-SA"/>
      </w:rPr>
    </w:lvl>
  </w:abstractNum>
  <w:abstractNum w:abstractNumId="17">
    <w:multiLevelType w:val="hybridMultilevel"/>
    <w:lvl w:ilvl="0">
      <w:start w:val="3"/>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3">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2">
    <w:multiLevelType w:val="hybridMultilevel"/>
    <w:lvl w:ilvl="0">
      <w:start w:val="2"/>
      <w:numFmt w:val="upperLetter"/>
      <w:lvlText w:val="(%1)"/>
      <w:lvlJc w:val="left"/>
      <w:pPr>
        <w:ind w:left="1940" w:hanging="362"/>
        <w:jc w:val="left"/>
      </w:pPr>
      <w:rPr>
        <w:rFonts w:hint="default" w:ascii="Arial" w:hAnsi="Arial" w:eastAsia="Arial" w:cs="Arial"/>
        <w:spacing w:val="-1"/>
        <w:w w:val="100"/>
        <w:sz w:val="21"/>
        <w:szCs w:val="21"/>
        <w:lang w:val="en-US" w:eastAsia="en-US" w:bidi="ar-SA"/>
      </w:rPr>
    </w:lvl>
    <w:lvl w:ilvl="1">
      <w:start w:val="2"/>
      <w:numFmt w:val="upperLetter"/>
      <w:lvlText w:val="(%2)"/>
      <w:lvlJc w:val="left"/>
      <w:pPr>
        <w:ind w:left="3056" w:hanging="339"/>
        <w:jc w:val="left"/>
      </w:pPr>
      <w:rPr>
        <w:rFonts w:hint="default" w:ascii="Arial" w:hAnsi="Arial" w:eastAsia="Arial" w:cs="Arial"/>
        <w:spacing w:val="-1"/>
        <w:w w:val="100"/>
        <w:sz w:val="21"/>
        <w:szCs w:val="21"/>
        <w:lang w:val="en-US" w:eastAsia="en-US" w:bidi="ar-SA"/>
      </w:rPr>
    </w:lvl>
    <w:lvl w:ilvl="2">
      <w:start w:val="0"/>
      <w:numFmt w:val="bullet"/>
      <w:lvlText w:val="•"/>
      <w:lvlJc w:val="left"/>
      <w:pPr>
        <w:ind w:left="3827" w:hanging="339"/>
      </w:pPr>
      <w:rPr>
        <w:rFonts w:hint="default"/>
        <w:lang w:val="en-US" w:eastAsia="en-US" w:bidi="ar-SA"/>
      </w:rPr>
    </w:lvl>
    <w:lvl w:ilvl="3">
      <w:start w:val="0"/>
      <w:numFmt w:val="bullet"/>
      <w:lvlText w:val="•"/>
      <w:lvlJc w:val="left"/>
      <w:pPr>
        <w:ind w:left="4594" w:hanging="339"/>
      </w:pPr>
      <w:rPr>
        <w:rFonts w:hint="default"/>
        <w:lang w:val="en-US" w:eastAsia="en-US" w:bidi="ar-SA"/>
      </w:rPr>
    </w:lvl>
    <w:lvl w:ilvl="4">
      <w:start w:val="0"/>
      <w:numFmt w:val="bullet"/>
      <w:lvlText w:val="•"/>
      <w:lvlJc w:val="left"/>
      <w:pPr>
        <w:ind w:left="5362" w:hanging="339"/>
      </w:pPr>
      <w:rPr>
        <w:rFonts w:hint="default"/>
        <w:lang w:val="en-US" w:eastAsia="en-US" w:bidi="ar-SA"/>
      </w:rPr>
    </w:lvl>
    <w:lvl w:ilvl="5">
      <w:start w:val="0"/>
      <w:numFmt w:val="bullet"/>
      <w:lvlText w:val="•"/>
      <w:lvlJc w:val="left"/>
      <w:pPr>
        <w:ind w:left="6129" w:hanging="339"/>
      </w:pPr>
      <w:rPr>
        <w:rFonts w:hint="default"/>
        <w:lang w:val="en-US" w:eastAsia="en-US" w:bidi="ar-SA"/>
      </w:rPr>
    </w:lvl>
    <w:lvl w:ilvl="6">
      <w:start w:val="0"/>
      <w:numFmt w:val="bullet"/>
      <w:lvlText w:val="•"/>
      <w:lvlJc w:val="left"/>
      <w:pPr>
        <w:ind w:left="6896" w:hanging="339"/>
      </w:pPr>
      <w:rPr>
        <w:rFonts w:hint="default"/>
        <w:lang w:val="en-US" w:eastAsia="en-US" w:bidi="ar-SA"/>
      </w:rPr>
    </w:lvl>
    <w:lvl w:ilvl="7">
      <w:start w:val="0"/>
      <w:numFmt w:val="bullet"/>
      <w:lvlText w:val="•"/>
      <w:lvlJc w:val="left"/>
      <w:pPr>
        <w:ind w:left="7664" w:hanging="339"/>
      </w:pPr>
      <w:rPr>
        <w:rFonts w:hint="default"/>
        <w:lang w:val="en-US" w:eastAsia="en-US" w:bidi="ar-SA"/>
      </w:rPr>
    </w:lvl>
    <w:lvl w:ilvl="8">
      <w:start w:val="0"/>
      <w:numFmt w:val="bullet"/>
      <w:lvlText w:val="•"/>
      <w:lvlJc w:val="left"/>
      <w:pPr>
        <w:ind w:left="8431" w:hanging="339"/>
      </w:pPr>
      <w:rPr>
        <w:rFonts w:hint="default"/>
        <w:lang w:val="en-US" w:eastAsia="en-US" w:bidi="ar-SA"/>
      </w:rPr>
    </w:lvl>
  </w:abstractNum>
  <w:abstractNum w:abstractNumId="11">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10">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9">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8">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7">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6">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5">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4">
    <w:multiLevelType w:val="hybridMultilevel"/>
    <w:lvl w:ilvl="0">
      <w:start w:val="1"/>
      <w:numFmt w:val="lowerRoman"/>
      <w:lvlText w:val="(%1)"/>
      <w:lvlJc w:val="left"/>
      <w:pPr>
        <w:ind w:left="1220" w:hanging="720"/>
        <w:jc w:val="left"/>
      </w:pPr>
      <w:rPr>
        <w:rFonts w:hint="default" w:ascii="Arial" w:hAnsi="Arial" w:eastAsia="Arial" w:cs="Arial"/>
        <w:w w:val="99"/>
        <w:sz w:val="25"/>
        <w:szCs w:val="25"/>
        <w:lang w:val="en-US" w:eastAsia="en-US" w:bidi="ar-SA"/>
      </w:rPr>
    </w:lvl>
    <w:lvl w:ilvl="1">
      <w:start w:val="0"/>
      <w:numFmt w:val="bullet"/>
      <w:lvlText w:val="•"/>
      <w:lvlJc w:val="left"/>
      <w:pPr>
        <w:ind w:left="2094" w:hanging="720"/>
      </w:pPr>
      <w:rPr>
        <w:rFonts w:hint="default"/>
        <w:lang w:val="en-US" w:eastAsia="en-US" w:bidi="ar-SA"/>
      </w:rPr>
    </w:lvl>
    <w:lvl w:ilvl="2">
      <w:start w:val="0"/>
      <w:numFmt w:val="bullet"/>
      <w:lvlText w:val="•"/>
      <w:lvlJc w:val="left"/>
      <w:pPr>
        <w:ind w:left="2969" w:hanging="720"/>
      </w:pPr>
      <w:rPr>
        <w:rFonts w:hint="default"/>
        <w:lang w:val="en-US" w:eastAsia="en-US" w:bidi="ar-SA"/>
      </w:rPr>
    </w:lvl>
    <w:lvl w:ilvl="3">
      <w:start w:val="0"/>
      <w:numFmt w:val="bullet"/>
      <w:lvlText w:val="•"/>
      <w:lvlJc w:val="left"/>
      <w:pPr>
        <w:ind w:left="3843" w:hanging="720"/>
      </w:pPr>
      <w:rPr>
        <w:rFonts w:hint="default"/>
        <w:lang w:val="en-US" w:eastAsia="en-US" w:bidi="ar-SA"/>
      </w:rPr>
    </w:lvl>
    <w:lvl w:ilvl="4">
      <w:start w:val="0"/>
      <w:numFmt w:val="bullet"/>
      <w:lvlText w:val="•"/>
      <w:lvlJc w:val="left"/>
      <w:pPr>
        <w:ind w:left="4718" w:hanging="720"/>
      </w:pPr>
      <w:rPr>
        <w:rFonts w:hint="default"/>
        <w:lang w:val="en-US" w:eastAsia="en-US" w:bidi="ar-SA"/>
      </w:rPr>
    </w:lvl>
    <w:lvl w:ilvl="5">
      <w:start w:val="0"/>
      <w:numFmt w:val="bullet"/>
      <w:lvlText w:val="•"/>
      <w:lvlJc w:val="left"/>
      <w:pPr>
        <w:ind w:left="5593" w:hanging="720"/>
      </w:pPr>
      <w:rPr>
        <w:rFonts w:hint="default"/>
        <w:lang w:val="en-US" w:eastAsia="en-US" w:bidi="ar-SA"/>
      </w:rPr>
    </w:lvl>
    <w:lvl w:ilvl="6">
      <w:start w:val="0"/>
      <w:numFmt w:val="bullet"/>
      <w:lvlText w:val="•"/>
      <w:lvlJc w:val="left"/>
      <w:pPr>
        <w:ind w:left="6467" w:hanging="720"/>
      </w:pPr>
      <w:rPr>
        <w:rFonts w:hint="default"/>
        <w:lang w:val="en-US" w:eastAsia="en-US" w:bidi="ar-SA"/>
      </w:rPr>
    </w:lvl>
    <w:lvl w:ilvl="7">
      <w:start w:val="0"/>
      <w:numFmt w:val="bullet"/>
      <w:lvlText w:val="•"/>
      <w:lvlJc w:val="left"/>
      <w:pPr>
        <w:ind w:left="7342" w:hanging="720"/>
      </w:pPr>
      <w:rPr>
        <w:rFonts w:hint="default"/>
        <w:lang w:val="en-US" w:eastAsia="en-US" w:bidi="ar-SA"/>
      </w:rPr>
    </w:lvl>
    <w:lvl w:ilvl="8">
      <w:start w:val="0"/>
      <w:numFmt w:val="bullet"/>
      <w:lvlText w:val="•"/>
      <w:lvlJc w:val="left"/>
      <w:pPr>
        <w:ind w:left="8217" w:hanging="720"/>
      </w:pPr>
      <w:rPr>
        <w:rFonts w:hint="default"/>
        <w:lang w:val="en-US" w:eastAsia="en-US" w:bidi="ar-SA"/>
      </w:rPr>
    </w:lvl>
  </w:abstractNum>
  <w:abstractNum w:abstractNumId="3">
    <w:multiLevelType w:val="hybridMultilevel"/>
    <w:lvl w:ilvl="0">
      <w:start w:val="1"/>
      <w:numFmt w:val="decimal"/>
      <w:lvlText w:val="(%1)"/>
      <w:lvlJc w:val="left"/>
      <w:pPr>
        <w:ind w:left="500" w:hanging="281"/>
        <w:jc w:val="right"/>
      </w:pPr>
      <w:rPr>
        <w:rFonts w:hint="default"/>
        <w:w w:val="99"/>
        <w:lang w:val="en-US" w:eastAsia="en-US" w:bidi="ar-SA"/>
      </w:rPr>
    </w:lvl>
    <w:lvl w:ilvl="1">
      <w:start w:val="0"/>
      <w:numFmt w:val="bullet"/>
      <w:lvlText w:val="•"/>
      <w:lvlJc w:val="left"/>
      <w:pPr>
        <w:ind w:left="1446" w:hanging="281"/>
      </w:pPr>
      <w:rPr>
        <w:rFonts w:hint="default"/>
        <w:lang w:val="en-US" w:eastAsia="en-US" w:bidi="ar-SA"/>
      </w:rPr>
    </w:lvl>
    <w:lvl w:ilvl="2">
      <w:start w:val="0"/>
      <w:numFmt w:val="bullet"/>
      <w:lvlText w:val="•"/>
      <w:lvlJc w:val="left"/>
      <w:pPr>
        <w:ind w:left="2393" w:hanging="281"/>
      </w:pPr>
      <w:rPr>
        <w:rFonts w:hint="default"/>
        <w:lang w:val="en-US" w:eastAsia="en-US" w:bidi="ar-SA"/>
      </w:rPr>
    </w:lvl>
    <w:lvl w:ilvl="3">
      <w:start w:val="0"/>
      <w:numFmt w:val="bullet"/>
      <w:lvlText w:val="•"/>
      <w:lvlJc w:val="left"/>
      <w:pPr>
        <w:ind w:left="3339" w:hanging="281"/>
      </w:pPr>
      <w:rPr>
        <w:rFonts w:hint="default"/>
        <w:lang w:val="en-US" w:eastAsia="en-US" w:bidi="ar-SA"/>
      </w:rPr>
    </w:lvl>
    <w:lvl w:ilvl="4">
      <w:start w:val="0"/>
      <w:numFmt w:val="bullet"/>
      <w:lvlText w:val="•"/>
      <w:lvlJc w:val="left"/>
      <w:pPr>
        <w:ind w:left="4286" w:hanging="281"/>
      </w:pPr>
      <w:rPr>
        <w:rFonts w:hint="default"/>
        <w:lang w:val="en-US" w:eastAsia="en-US" w:bidi="ar-SA"/>
      </w:rPr>
    </w:lvl>
    <w:lvl w:ilvl="5">
      <w:start w:val="0"/>
      <w:numFmt w:val="bullet"/>
      <w:lvlText w:val="•"/>
      <w:lvlJc w:val="left"/>
      <w:pPr>
        <w:ind w:left="5233" w:hanging="281"/>
      </w:pPr>
      <w:rPr>
        <w:rFonts w:hint="default"/>
        <w:lang w:val="en-US" w:eastAsia="en-US" w:bidi="ar-SA"/>
      </w:rPr>
    </w:lvl>
    <w:lvl w:ilvl="6">
      <w:start w:val="0"/>
      <w:numFmt w:val="bullet"/>
      <w:lvlText w:val="•"/>
      <w:lvlJc w:val="left"/>
      <w:pPr>
        <w:ind w:left="6179" w:hanging="281"/>
      </w:pPr>
      <w:rPr>
        <w:rFonts w:hint="default"/>
        <w:lang w:val="en-US" w:eastAsia="en-US" w:bidi="ar-SA"/>
      </w:rPr>
    </w:lvl>
    <w:lvl w:ilvl="7">
      <w:start w:val="0"/>
      <w:numFmt w:val="bullet"/>
      <w:lvlText w:val="•"/>
      <w:lvlJc w:val="left"/>
      <w:pPr>
        <w:ind w:left="7126" w:hanging="281"/>
      </w:pPr>
      <w:rPr>
        <w:rFonts w:hint="default"/>
        <w:lang w:val="en-US" w:eastAsia="en-US" w:bidi="ar-SA"/>
      </w:rPr>
    </w:lvl>
    <w:lvl w:ilvl="8">
      <w:start w:val="0"/>
      <w:numFmt w:val="bullet"/>
      <w:lvlText w:val="•"/>
      <w:lvlJc w:val="left"/>
      <w:pPr>
        <w:ind w:left="8073" w:hanging="281"/>
      </w:pPr>
      <w:rPr>
        <w:rFonts w:hint="default"/>
        <w:lang w:val="en-US" w:eastAsia="en-US" w:bidi="ar-SA"/>
      </w:rPr>
    </w:lvl>
  </w:abstractNum>
  <w:abstractNum w:abstractNumId="2">
    <w:multiLevelType w:val="hybridMultilevel"/>
    <w:lvl w:ilvl="0">
      <w:start w:val="1"/>
      <w:numFmt w:val="decimal"/>
      <w:lvlText w:val="%1."/>
      <w:lvlJc w:val="left"/>
      <w:pPr>
        <w:ind w:left="500" w:hanging="720"/>
        <w:jc w:val="left"/>
      </w:pPr>
      <w:rPr>
        <w:rFonts w:hint="default"/>
        <w:w w:val="99"/>
        <w:lang w:val="en-US" w:eastAsia="en-US" w:bidi="ar-SA"/>
      </w:rPr>
    </w:lvl>
    <w:lvl w:ilvl="1">
      <w:start w:val="1"/>
      <w:numFmt w:val="lowerRoman"/>
      <w:lvlText w:val="(%2)"/>
      <w:lvlJc w:val="left"/>
      <w:pPr>
        <w:ind w:left="1940" w:hanging="540"/>
        <w:jc w:val="left"/>
      </w:pPr>
      <w:rPr>
        <w:rFonts w:hint="default"/>
        <w:spacing w:val="-1"/>
        <w:w w:val="100"/>
        <w:lang w:val="en-US" w:eastAsia="en-US" w:bidi="ar-SA"/>
      </w:rPr>
    </w:lvl>
    <w:lvl w:ilvl="2">
      <w:start w:val="1"/>
      <w:numFmt w:val="lowerLetter"/>
      <w:lvlText w:val="(%3)"/>
      <w:lvlJc w:val="left"/>
      <w:pPr>
        <w:ind w:left="2660" w:hanging="540"/>
        <w:jc w:val="left"/>
      </w:pPr>
      <w:rPr>
        <w:rFonts w:hint="default" w:ascii="Arial" w:hAnsi="Arial" w:eastAsia="Arial" w:cs="Arial"/>
        <w:w w:val="99"/>
        <w:sz w:val="25"/>
        <w:szCs w:val="25"/>
        <w:lang w:val="en-US" w:eastAsia="en-US" w:bidi="ar-SA"/>
      </w:rPr>
    </w:lvl>
    <w:lvl w:ilvl="3">
      <w:start w:val="0"/>
      <w:numFmt w:val="bullet"/>
      <w:lvlText w:val="•"/>
      <w:lvlJc w:val="left"/>
      <w:pPr>
        <w:ind w:left="1580" w:hanging="540"/>
      </w:pPr>
      <w:rPr>
        <w:rFonts w:hint="default"/>
        <w:lang w:val="en-US" w:eastAsia="en-US" w:bidi="ar-SA"/>
      </w:rPr>
    </w:lvl>
    <w:lvl w:ilvl="4">
      <w:start w:val="0"/>
      <w:numFmt w:val="bullet"/>
      <w:lvlText w:val="•"/>
      <w:lvlJc w:val="left"/>
      <w:pPr>
        <w:ind w:left="1940" w:hanging="540"/>
      </w:pPr>
      <w:rPr>
        <w:rFonts w:hint="default"/>
        <w:lang w:val="en-US" w:eastAsia="en-US" w:bidi="ar-SA"/>
      </w:rPr>
    </w:lvl>
    <w:lvl w:ilvl="5">
      <w:start w:val="0"/>
      <w:numFmt w:val="bullet"/>
      <w:lvlText w:val="•"/>
      <w:lvlJc w:val="left"/>
      <w:pPr>
        <w:ind w:left="2660" w:hanging="540"/>
      </w:pPr>
      <w:rPr>
        <w:rFonts w:hint="default"/>
        <w:lang w:val="en-US" w:eastAsia="en-US" w:bidi="ar-SA"/>
      </w:rPr>
    </w:lvl>
    <w:lvl w:ilvl="6">
      <w:start w:val="0"/>
      <w:numFmt w:val="bullet"/>
      <w:lvlText w:val="•"/>
      <w:lvlJc w:val="left"/>
      <w:pPr>
        <w:ind w:left="4121" w:hanging="540"/>
      </w:pPr>
      <w:rPr>
        <w:rFonts w:hint="default"/>
        <w:lang w:val="en-US" w:eastAsia="en-US" w:bidi="ar-SA"/>
      </w:rPr>
    </w:lvl>
    <w:lvl w:ilvl="7">
      <w:start w:val="0"/>
      <w:numFmt w:val="bullet"/>
      <w:lvlText w:val="•"/>
      <w:lvlJc w:val="left"/>
      <w:pPr>
        <w:ind w:left="5582" w:hanging="540"/>
      </w:pPr>
      <w:rPr>
        <w:rFonts w:hint="default"/>
        <w:lang w:val="en-US" w:eastAsia="en-US" w:bidi="ar-SA"/>
      </w:rPr>
    </w:lvl>
    <w:lvl w:ilvl="8">
      <w:start w:val="0"/>
      <w:numFmt w:val="bullet"/>
      <w:lvlText w:val="•"/>
      <w:lvlJc w:val="left"/>
      <w:pPr>
        <w:ind w:left="7043" w:hanging="540"/>
      </w:pPr>
      <w:rPr>
        <w:rFonts w:hint="default"/>
        <w:lang w:val="en-US" w:eastAsia="en-US" w:bidi="ar-SA"/>
      </w:rPr>
    </w:lvl>
  </w:abstractNum>
  <w:abstractNum w:abstractNumId="1">
    <w:multiLevelType w:val="hybridMultilevel"/>
    <w:lvl w:ilvl="0">
      <w:start w:val="1"/>
      <w:numFmt w:val="upperLetter"/>
      <w:lvlText w:val="%1."/>
      <w:lvlJc w:val="left"/>
      <w:pPr>
        <w:ind w:left="927" w:hanging="360"/>
        <w:jc w:val="right"/>
      </w:pPr>
      <w:rPr>
        <w:rFonts w:hint="default" w:ascii="Arial" w:hAnsi="Arial" w:eastAsia="Arial" w:cs="Arial"/>
        <w:b/>
        <w:bCs/>
        <w:spacing w:val="-5"/>
        <w:w w:val="99"/>
        <w:sz w:val="26"/>
        <w:szCs w:val="26"/>
        <w:lang w:val="en-US" w:eastAsia="en-US" w:bidi="ar-SA"/>
      </w:rPr>
    </w:lvl>
    <w:lvl w:ilvl="1">
      <w:start w:val="1"/>
      <w:numFmt w:val="decimal"/>
      <w:lvlText w:val="%1.%2"/>
      <w:lvlJc w:val="left"/>
      <w:pPr>
        <w:ind w:left="1220" w:hanging="720"/>
        <w:jc w:val="left"/>
      </w:pPr>
      <w:rPr>
        <w:rFonts w:hint="default" w:ascii="Arial" w:hAnsi="Arial" w:eastAsia="Arial" w:cs="Arial"/>
        <w:b/>
        <w:bCs/>
        <w:w w:val="99"/>
        <w:sz w:val="26"/>
        <w:szCs w:val="26"/>
        <w:lang w:val="en-US" w:eastAsia="en-US" w:bidi="ar-SA"/>
      </w:rPr>
    </w:lvl>
    <w:lvl w:ilvl="2">
      <w:start w:val="0"/>
      <w:numFmt w:val="bullet"/>
      <w:lvlText w:val="•"/>
      <w:lvlJc w:val="left"/>
      <w:pPr>
        <w:ind w:left="2191" w:hanging="720"/>
      </w:pPr>
      <w:rPr>
        <w:rFonts w:hint="default"/>
        <w:lang w:val="en-US" w:eastAsia="en-US" w:bidi="ar-SA"/>
      </w:rPr>
    </w:lvl>
    <w:lvl w:ilvl="3">
      <w:start w:val="0"/>
      <w:numFmt w:val="bullet"/>
      <w:lvlText w:val="•"/>
      <w:lvlJc w:val="left"/>
      <w:pPr>
        <w:ind w:left="3163" w:hanging="720"/>
      </w:pPr>
      <w:rPr>
        <w:rFonts w:hint="default"/>
        <w:lang w:val="en-US" w:eastAsia="en-US" w:bidi="ar-SA"/>
      </w:rPr>
    </w:lvl>
    <w:lvl w:ilvl="4">
      <w:start w:val="0"/>
      <w:numFmt w:val="bullet"/>
      <w:lvlText w:val="•"/>
      <w:lvlJc w:val="left"/>
      <w:pPr>
        <w:ind w:left="4135" w:hanging="720"/>
      </w:pPr>
      <w:rPr>
        <w:rFonts w:hint="default"/>
        <w:lang w:val="en-US" w:eastAsia="en-US" w:bidi="ar-SA"/>
      </w:rPr>
    </w:lvl>
    <w:lvl w:ilvl="5">
      <w:start w:val="0"/>
      <w:numFmt w:val="bullet"/>
      <w:lvlText w:val="•"/>
      <w:lvlJc w:val="left"/>
      <w:pPr>
        <w:ind w:left="5107" w:hanging="720"/>
      </w:pPr>
      <w:rPr>
        <w:rFonts w:hint="default"/>
        <w:lang w:val="en-US" w:eastAsia="en-US" w:bidi="ar-SA"/>
      </w:rPr>
    </w:lvl>
    <w:lvl w:ilvl="6">
      <w:start w:val="0"/>
      <w:numFmt w:val="bullet"/>
      <w:lvlText w:val="•"/>
      <w:lvlJc w:val="left"/>
      <w:pPr>
        <w:ind w:left="6079" w:hanging="720"/>
      </w:pPr>
      <w:rPr>
        <w:rFonts w:hint="default"/>
        <w:lang w:val="en-US" w:eastAsia="en-US" w:bidi="ar-SA"/>
      </w:rPr>
    </w:lvl>
    <w:lvl w:ilvl="7">
      <w:start w:val="0"/>
      <w:numFmt w:val="bullet"/>
      <w:lvlText w:val="•"/>
      <w:lvlJc w:val="left"/>
      <w:pPr>
        <w:ind w:left="7050" w:hanging="720"/>
      </w:pPr>
      <w:rPr>
        <w:rFonts w:hint="default"/>
        <w:lang w:val="en-US" w:eastAsia="en-US" w:bidi="ar-SA"/>
      </w:rPr>
    </w:lvl>
    <w:lvl w:ilvl="8">
      <w:start w:val="0"/>
      <w:numFmt w:val="bullet"/>
      <w:lvlText w:val="•"/>
      <w:lvlJc w:val="left"/>
      <w:pPr>
        <w:ind w:left="8022" w:hanging="720"/>
      </w:pPr>
      <w:rPr>
        <w:rFonts w:hint="default"/>
        <w:lang w:val="en-US" w:eastAsia="en-US" w:bidi="ar-SA"/>
      </w:rPr>
    </w:lvl>
  </w:abstractNum>
  <w:abstractNum w:abstractNumId="0">
    <w:multiLevelType w:val="hybridMultilevel"/>
    <w:lvl w:ilvl="0">
      <w:start w:val="1"/>
      <w:numFmt w:val="upperLetter"/>
      <w:lvlText w:val="%1."/>
      <w:lvlJc w:val="left"/>
      <w:pPr>
        <w:ind w:left="1076" w:hanging="504"/>
        <w:jc w:val="left"/>
      </w:pPr>
      <w:rPr>
        <w:rFonts w:hint="default" w:ascii="Arial" w:hAnsi="Arial" w:eastAsia="Arial" w:cs="Arial"/>
        <w:spacing w:val="-1"/>
        <w:w w:val="99"/>
        <w:sz w:val="25"/>
        <w:szCs w:val="25"/>
        <w:lang w:val="en-US" w:eastAsia="en-US" w:bidi="ar-SA"/>
      </w:rPr>
    </w:lvl>
    <w:lvl w:ilvl="1">
      <w:start w:val="1"/>
      <w:numFmt w:val="decimal"/>
      <w:lvlText w:val="%1.%2"/>
      <w:lvlJc w:val="left"/>
      <w:pPr>
        <w:ind w:left="1940" w:hanging="874"/>
        <w:jc w:val="left"/>
      </w:pPr>
      <w:rPr>
        <w:rFonts w:hint="default" w:ascii="Arial" w:hAnsi="Arial" w:eastAsia="Arial" w:cs="Arial"/>
        <w:w w:val="99"/>
        <w:sz w:val="25"/>
        <w:szCs w:val="25"/>
        <w:lang w:val="en-US" w:eastAsia="en-US" w:bidi="ar-SA"/>
      </w:rPr>
    </w:lvl>
    <w:lvl w:ilvl="2">
      <w:start w:val="0"/>
      <w:numFmt w:val="bullet"/>
      <w:lvlText w:val="•"/>
      <w:lvlJc w:val="left"/>
      <w:pPr>
        <w:ind w:left="2831" w:hanging="874"/>
      </w:pPr>
      <w:rPr>
        <w:rFonts w:hint="default"/>
        <w:lang w:val="en-US" w:eastAsia="en-US" w:bidi="ar-SA"/>
      </w:rPr>
    </w:lvl>
    <w:lvl w:ilvl="3">
      <w:start w:val="0"/>
      <w:numFmt w:val="bullet"/>
      <w:lvlText w:val="•"/>
      <w:lvlJc w:val="left"/>
      <w:pPr>
        <w:ind w:left="3723" w:hanging="874"/>
      </w:pPr>
      <w:rPr>
        <w:rFonts w:hint="default"/>
        <w:lang w:val="en-US" w:eastAsia="en-US" w:bidi="ar-SA"/>
      </w:rPr>
    </w:lvl>
    <w:lvl w:ilvl="4">
      <w:start w:val="0"/>
      <w:numFmt w:val="bullet"/>
      <w:lvlText w:val="•"/>
      <w:lvlJc w:val="left"/>
      <w:pPr>
        <w:ind w:left="4615" w:hanging="874"/>
      </w:pPr>
      <w:rPr>
        <w:rFonts w:hint="default"/>
        <w:lang w:val="en-US" w:eastAsia="en-US" w:bidi="ar-SA"/>
      </w:rPr>
    </w:lvl>
    <w:lvl w:ilvl="5">
      <w:start w:val="0"/>
      <w:numFmt w:val="bullet"/>
      <w:lvlText w:val="•"/>
      <w:lvlJc w:val="left"/>
      <w:pPr>
        <w:ind w:left="5507" w:hanging="874"/>
      </w:pPr>
      <w:rPr>
        <w:rFonts w:hint="default"/>
        <w:lang w:val="en-US" w:eastAsia="en-US" w:bidi="ar-SA"/>
      </w:rPr>
    </w:lvl>
    <w:lvl w:ilvl="6">
      <w:start w:val="0"/>
      <w:numFmt w:val="bullet"/>
      <w:lvlText w:val="•"/>
      <w:lvlJc w:val="left"/>
      <w:pPr>
        <w:ind w:left="6399" w:hanging="874"/>
      </w:pPr>
      <w:rPr>
        <w:rFonts w:hint="default"/>
        <w:lang w:val="en-US" w:eastAsia="en-US" w:bidi="ar-SA"/>
      </w:rPr>
    </w:lvl>
    <w:lvl w:ilvl="7">
      <w:start w:val="0"/>
      <w:numFmt w:val="bullet"/>
      <w:lvlText w:val="•"/>
      <w:lvlJc w:val="left"/>
      <w:pPr>
        <w:ind w:left="7290" w:hanging="874"/>
      </w:pPr>
      <w:rPr>
        <w:rFonts w:hint="default"/>
        <w:lang w:val="en-US" w:eastAsia="en-US" w:bidi="ar-SA"/>
      </w:rPr>
    </w:lvl>
    <w:lvl w:ilvl="8">
      <w:start w:val="0"/>
      <w:numFmt w:val="bullet"/>
      <w:lvlText w:val="•"/>
      <w:lvlJc w:val="left"/>
      <w:pPr>
        <w:ind w:left="8182" w:hanging="874"/>
      </w:pPr>
      <w:rPr>
        <w:rFonts w:hint="default"/>
        <w:lang w:val="en-US" w:eastAsia="en-US" w:bidi="ar-SA"/>
      </w:rPr>
    </w:lvl>
  </w:abstractNum>
  <w:num w:numId="203">
    <w:abstractNumId w:val="202"/>
  </w:num>
  <w:num w:numId="202">
    <w:abstractNumId w:val="201"/>
  </w:num>
  <w:num w:numId="200">
    <w:abstractNumId w:val="199"/>
  </w:num>
  <w:num w:numId="199">
    <w:abstractNumId w:val="198"/>
  </w:num>
  <w:num w:numId="198">
    <w:abstractNumId w:val="197"/>
  </w:num>
  <w:num w:numId="197">
    <w:abstractNumId w:val="196"/>
  </w:num>
  <w:num w:numId="36">
    <w:abstractNumId w:val="35"/>
  </w:num>
  <w:num w:numId="115">
    <w:abstractNumId w:val="114"/>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1">
    <w:abstractNumId w:val="200"/>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5"/>
      <w:szCs w:val="25"/>
      <w:lang w:val="en-US" w:eastAsia="en-US" w:bidi="ar-SA"/>
    </w:rPr>
  </w:style>
  <w:style w:styleId="Heading1" w:type="paragraph">
    <w:name w:val="Heading 1"/>
    <w:basedOn w:val="Normal"/>
    <w:uiPriority w:val="1"/>
    <w:qFormat/>
    <w:pPr>
      <w:ind w:left="160"/>
      <w:jc w:val="both"/>
      <w:outlineLvl w:val="1"/>
    </w:pPr>
    <w:rPr>
      <w:rFonts w:ascii="Courier New" w:hAnsi="Courier New" w:eastAsia="Courier New" w:cs="Courier New"/>
      <w:b/>
      <w:bCs/>
      <w:sz w:val="28"/>
      <w:szCs w:val="28"/>
      <w:lang w:val="en-US" w:eastAsia="en-US" w:bidi="ar-SA"/>
    </w:rPr>
  </w:style>
  <w:style w:styleId="Heading2" w:type="paragraph">
    <w:name w:val="Heading 2"/>
    <w:basedOn w:val="Normal"/>
    <w:uiPriority w:val="1"/>
    <w:qFormat/>
    <w:pPr>
      <w:ind w:left="160"/>
      <w:jc w:val="both"/>
      <w:outlineLvl w:val="2"/>
    </w:pPr>
    <w:rPr>
      <w:rFonts w:ascii="Courier New" w:hAnsi="Courier New" w:eastAsia="Courier New" w:cs="Courier New"/>
      <w:sz w:val="28"/>
      <w:szCs w:val="28"/>
      <w:lang w:val="en-US" w:eastAsia="en-US" w:bidi="ar-SA"/>
    </w:rPr>
  </w:style>
  <w:style w:styleId="Heading3" w:type="paragraph">
    <w:name w:val="Heading 3"/>
    <w:basedOn w:val="Normal"/>
    <w:uiPriority w:val="1"/>
    <w:qFormat/>
    <w:pPr>
      <w:ind w:left="1220" w:hanging="721"/>
      <w:jc w:val="both"/>
      <w:outlineLvl w:val="3"/>
    </w:pPr>
    <w:rPr>
      <w:rFonts w:ascii="Arial" w:hAnsi="Arial" w:eastAsia="Arial" w:cs="Arial"/>
      <w:b/>
      <w:bCs/>
      <w:sz w:val="26"/>
      <w:szCs w:val="26"/>
      <w:lang w:val="en-US" w:eastAsia="en-US" w:bidi="ar-SA"/>
    </w:rPr>
  </w:style>
  <w:style w:styleId="Heading4" w:type="paragraph">
    <w:name w:val="Heading 4"/>
    <w:basedOn w:val="Normal"/>
    <w:uiPriority w:val="1"/>
    <w:qFormat/>
    <w:pPr>
      <w:ind w:left="500"/>
      <w:jc w:val="both"/>
      <w:outlineLvl w:val="4"/>
    </w:pPr>
    <w:rPr>
      <w:rFonts w:ascii="Arial" w:hAnsi="Arial" w:eastAsia="Arial" w:cs="Arial"/>
      <w:i/>
      <w:sz w:val="26"/>
      <w:szCs w:val="26"/>
      <w:lang w:val="en-US" w:eastAsia="en-US" w:bidi="ar-SA"/>
    </w:rPr>
  </w:style>
  <w:style w:styleId="Heading5" w:type="paragraph">
    <w:name w:val="Heading 5"/>
    <w:basedOn w:val="Normal"/>
    <w:uiPriority w:val="1"/>
    <w:qFormat/>
    <w:pPr>
      <w:ind w:left="1220" w:hanging="720"/>
      <w:jc w:val="both"/>
      <w:outlineLvl w:val="5"/>
    </w:pPr>
    <w:rPr>
      <w:rFonts w:ascii="Arial" w:hAnsi="Arial" w:eastAsia="Arial" w:cs="Arial"/>
      <w:b/>
      <w:bCs/>
      <w:sz w:val="25"/>
      <w:szCs w:val="25"/>
      <w:lang w:val="en-US" w:eastAsia="en-US" w:bidi="ar-SA"/>
    </w:rPr>
  </w:style>
  <w:style w:styleId="ListParagraph" w:type="paragraph">
    <w:name w:val="List Paragraph"/>
    <w:basedOn w:val="Normal"/>
    <w:uiPriority w:val="1"/>
    <w:qFormat/>
    <w:pPr>
      <w:ind w:left="1220"/>
      <w:jc w:val="both"/>
    </w:pPr>
    <w:rPr>
      <w:rFonts w:ascii="Arial" w:hAnsi="Arial" w:eastAsia="Arial" w:cs="Arial"/>
      <w:lang w:val="en-US" w:eastAsia="en-US" w:bidi="ar-SA"/>
    </w:rPr>
  </w:style>
  <w:style w:styleId="TableParagraph" w:type="paragraph">
    <w:name w:val="Table Paragraph"/>
    <w:basedOn w:val="Normal"/>
    <w:uiPriority w:val="1"/>
    <w:qFormat/>
    <w:pPr>
      <w:ind w:left="107"/>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header" Target="header3.xml"/><Relationship Id="rId13" Type="http://schemas.openxmlformats.org/officeDocument/2006/relationships/footer" Target="footer4.xml"/><Relationship Id="rId14" Type="http://schemas.openxmlformats.org/officeDocument/2006/relationships/header" Target="header4.xml"/><Relationship Id="rId15" Type="http://schemas.openxmlformats.org/officeDocument/2006/relationships/footer" Target="footer5.xml"/><Relationship Id="rId16" Type="http://schemas.openxmlformats.org/officeDocument/2006/relationships/header" Target="header5.xml"/><Relationship Id="rId17" Type="http://schemas.openxmlformats.org/officeDocument/2006/relationships/footer" Target="footer6.xml"/><Relationship Id="rId18" Type="http://schemas.openxmlformats.org/officeDocument/2006/relationships/header" Target="header6.xml"/><Relationship Id="rId19" Type="http://schemas.openxmlformats.org/officeDocument/2006/relationships/footer" Target="footer7.xml"/><Relationship Id="rId20" Type="http://schemas.openxmlformats.org/officeDocument/2006/relationships/header" Target="header7.xml"/><Relationship Id="rId21" Type="http://schemas.openxmlformats.org/officeDocument/2006/relationships/footer" Target="footer8.xml"/><Relationship Id="rId22" Type="http://schemas.openxmlformats.org/officeDocument/2006/relationships/header" Target="header8.xml"/><Relationship Id="rId23" Type="http://schemas.openxmlformats.org/officeDocument/2006/relationships/footer" Target="footer9.xml"/><Relationship Id="rId24" Type="http://schemas.openxmlformats.org/officeDocument/2006/relationships/header" Target="header9.xml"/><Relationship Id="rId25" Type="http://schemas.openxmlformats.org/officeDocument/2006/relationships/footer" Target="footer10.xml"/><Relationship Id="rId26" Type="http://schemas.openxmlformats.org/officeDocument/2006/relationships/header" Target="header10.xml"/><Relationship Id="rId27" Type="http://schemas.openxmlformats.org/officeDocument/2006/relationships/footer" Target="footer11.xml"/><Relationship Id="rId28" Type="http://schemas.openxmlformats.org/officeDocument/2006/relationships/header" Target="header11.xml"/><Relationship Id="rId29" Type="http://schemas.openxmlformats.org/officeDocument/2006/relationships/footer" Target="footer12.xml"/><Relationship Id="rId30" Type="http://schemas.openxmlformats.org/officeDocument/2006/relationships/header" Target="header12.xml"/><Relationship Id="rId31" Type="http://schemas.openxmlformats.org/officeDocument/2006/relationships/footer" Target="footer13.xml"/><Relationship Id="rId32" Type="http://schemas.openxmlformats.org/officeDocument/2006/relationships/header" Target="header13.xml"/><Relationship Id="rId33" Type="http://schemas.openxmlformats.org/officeDocument/2006/relationships/footer" Target="footer14.xml"/><Relationship Id="rId34" Type="http://schemas.openxmlformats.org/officeDocument/2006/relationships/header" Target="header14.xml"/><Relationship Id="rId35" Type="http://schemas.openxmlformats.org/officeDocument/2006/relationships/footer" Target="footer15.xml"/><Relationship Id="rId36" Type="http://schemas.openxmlformats.org/officeDocument/2006/relationships/header" Target="header15.xml"/><Relationship Id="rId37" Type="http://schemas.openxmlformats.org/officeDocument/2006/relationships/footer" Target="footer16.xml"/><Relationship Id="rId38" Type="http://schemas.openxmlformats.org/officeDocument/2006/relationships/header" Target="header16.xml"/><Relationship Id="rId39" Type="http://schemas.openxmlformats.org/officeDocument/2006/relationships/footer" Target="footer17.xml"/><Relationship Id="rId40" Type="http://schemas.openxmlformats.org/officeDocument/2006/relationships/header" Target="header17.xml"/><Relationship Id="rId41" Type="http://schemas.openxmlformats.org/officeDocument/2006/relationships/footer" Target="footer18.xml"/><Relationship Id="rId42" Type="http://schemas.openxmlformats.org/officeDocument/2006/relationships/header" Target="header18.xml"/><Relationship Id="rId43" Type="http://schemas.openxmlformats.org/officeDocument/2006/relationships/footer" Target="footer19.xml"/><Relationship Id="rId44" Type="http://schemas.openxmlformats.org/officeDocument/2006/relationships/header" Target="header19.xml"/><Relationship Id="rId45" Type="http://schemas.openxmlformats.org/officeDocument/2006/relationships/footer" Target="footer20.xml"/><Relationship Id="rId46" Type="http://schemas.openxmlformats.org/officeDocument/2006/relationships/header" Target="header20.xml"/><Relationship Id="rId47" Type="http://schemas.openxmlformats.org/officeDocument/2006/relationships/footer" Target="footer21.xml"/><Relationship Id="rId48" Type="http://schemas.openxmlformats.org/officeDocument/2006/relationships/header" Target="header21.xml"/><Relationship Id="rId49" Type="http://schemas.openxmlformats.org/officeDocument/2006/relationships/footer" Target="footer22.xml"/><Relationship Id="rId50" Type="http://schemas.openxmlformats.org/officeDocument/2006/relationships/header" Target="header22.xml"/><Relationship Id="rId51" Type="http://schemas.openxmlformats.org/officeDocument/2006/relationships/footer" Target="footer23.xml"/><Relationship Id="rId52" Type="http://schemas.openxmlformats.org/officeDocument/2006/relationships/header" Target="header23.xml"/><Relationship Id="rId53" Type="http://schemas.openxmlformats.org/officeDocument/2006/relationships/footer" Target="footer24.xml"/><Relationship Id="rId54" Type="http://schemas.openxmlformats.org/officeDocument/2006/relationships/header" Target="header24.xml"/><Relationship Id="rId55" Type="http://schemas.openxmlformats.org/officeDocument/2006/relationships/footer" Target="footer25.xml"/><Relationship Id="rId56" Type="http://schemas.openxmlformats.org/officeDocument/2006/relationships/header" Target="header25.xml"/><Relationship Id="rId57" Type="http://schemas.openxmlformats.org/officeDocument/2006/relationships/footer" Target="footer26.xml"/><Relationship Id="rId58" Type="http://schemas.openxmlformats.org/officeDocument/2006/relationships/header" Target="header26.xml"/><Relationship Id="rId59" Type="http://schemas.openxmlformats.org/officeDocument/2006/relationships/footer" Target="footer27.xml"/><Relationship Id="rId60" Type="http://schemas.openxmlformats.org/officeDocument/2006/relationships/header" Target="header27.xml"/><Relationship Id="rId61" Type="http://schemas.openxmlformats.org/officeDocument/2006/relationships/footer" Target="footer28.xml"/><Relationship Id="rId62" Type="http://schemas.openxmlformats.org/officeDocument/2006/relationships/header" Target="header28.xml"/><Relationship Id="rId63" Type="http://schemas.openxmlformats.org/officeDocument/2006/relationships/footer" Target="footer29.xml"/><Relationship Id="rId64" Type="http://schemas.openxmlformats.org/officeDocument/2006/relationships/header" Target="header29.xml"/><Relationship Id="rId65" Type="http://schemas.openxmlformats.org/officeDocument/2006/relationships/footer" Target="footer30.xml"/><Relationship Id="rId66" Type="http://schemas.openxmlformats.org/officeDocument/2006/relationships/header" Target="header30.xml"/><Relationship Id="rId67" Type="http://schemas.openxmlformats.org/officeDocument/2006/relationships/footer" Target="footer31.xml"/><Relationship Id="rId68" Type="http://schemas.openxmlformats.org/officeDocument/2006/relationships/header" Target="header31.xml"/><Relationship Id="rId69" Type="http://schemas.openxmlformats.org/officeDocument/2006/relationships/footer" Target="footer32.xml"/><Relationship Id="rId70" Type="http://schemas.openxmlformats.org/officeDocument/2006/relationships/header" Target="header32.xml"/><Relationship Id="rId71" Type="http://schemas.openxmlformats.org/officeDocument/2006/relationships/footer" Target="footer33.xml"/><Relationship Id="rId72" Type="http://schemas.openxmlformats.org/officeDocument/2006/relationships/header" Target="header33.xml"/><Relationship Id="rId73" Type="http://schemas.openxmlformats.org/officeDocument/2006/relationships/footer" Target="footer34.xml"/><Relationship Id="rId74" Type="http://schemas.openxmlformats.org/officeDocument/2006/relationships/header" Target="header34.xml"/><Relationship Id="rId75" Type="http://schemas.openxmlformats.org/officeDocument/2006/relationships/footer" Target="footer35.xml"/><Relationship Id="rId76" Type="http://schemas.openxmlformats.org/officeDocument/2006/relationships/header" Target="header35.xml"/><Relationship Id="rId77" Type="http://schemas.openxmlformats.org/officeDocument/2006/relationships/footer" Target="footer36.xml"/><Relationship Id="rId78" Type="http://schemas.openxmlformats.org/officeDocument/2006/relationships/header" Target="header36.xml"/><Relationship Id="rId79" Type="http://schemas.openxmlformats.org/officeDocument/2006/relationships/footer" Target="footer37.xml"/><Relationship Id="rId80" Type="http://schemas.openxmlformats.org/officeDocument/2006/relationships/header" Target="header37.xml"/><Relationship Id="rId81" Type="http://schemas.openxmlformats.org/officeDocument/2006/relationships/footer" Target="footer38.xml"/><Relationship Id="rId82" Type="http://schemas.openxmlformats.org/officeDocument/2006/relationships/header" Target="header38.xml"/><Relationship Id="rId83" Type="http://schemas.openxmlformats.org/officeDocument/2006/relationships/footer" Target="footer39.xml"/><Relationship Id="rId84" Type="http://schemas.openxmlformats.org/officeDocument/2006/relationships/header" Target="header39.xml"/><Relationship Id="rId85" Type="http://schemas.openxmlformats.org/officeDocument/2006/relationships/footer" Target="footer40.xml"/><Relationship Id="rId86" Type="http://schemas.openxmlformats.org/officeDocument/2006/relationships/header" Target="header40.xml"/><Relationship Id="rId87" Type="http://schemas.openxmlformats.org/officeDocument/2006/relationships/footer" Target="footer41.xml"/><Relationship Id="rId88" Type="http://schemas.openxmlformats.org/officeDocument/2006/relationships/header" Target="header41.xml"/><Relationship Id="rId89" Type="http://schemas.openxmlformats.org/officeDocument/2006/relationships/footer" Target="footer42.xml"/><Relationship Id="rId90" Type="http://schemas.openxmlformats.org/officeDocument/2006/relationships/header" Target="header42.xml"/><Relationship Id="rId91" Type="http://schemas.openxmlformats.org/officeDocument/2006/relationships/footer" Target="footer43.xml"/><Relationship Id="rId92" Type="http://schemas.openxmlformats.org/officeDocument/2006/relationships/header" Target="header43.xml"/><Relationship Id="rId93" Type="http://schemas.openxmlformats.org/officeDocument/2006/relationships/footer" Target="footer44.xml"/><Relationship Id="rId94" Type="http://schemas.openxmlformats.org/officeDocument/2006/relationships/header" Target="header44.xml"/><Relationship Id="rId95" Type="http://schemas.openxmlformats.org/officeDocument/2006/relationships/footer" Target="footer45.xml"/><Relationship Id="rId96" Type="http://schemas.openxmlformats.org/officeDocument/2006/relationships/header" Target="header45.xml"/><Relationship Id="rId97" Type="http://schemas.openxmlformats.org/officeDocument/2006/relationships/footer" Target="footer46.xml"/><Relationship Id="rId98" Type="http://schemas.openxmlformats.org/officeDocument/2006/relationships/header" Target="header46.xml"/><Relationship Id="rId99" Type="http://schemas.openxmlformats.org/officeDocument/2006/relationships/footer" Target="footer47.xml"/><Relationship Id="rId100" Type="http://schemas.openxmlformats.org/officeDocument/2006/relationships/header" Target="header47.xml"/><Relationship Id="rId101" Type="http://schemas.openxmlformats.org/officeDocument/2006/relationships/footer" Target="footer48.xml"/><Relationship Id="rId102" Type="http://schemas.openxmlformats.org/officeDocument/2006/relationships/header" Target="header48.xml"/><Relationship Id="rId103" Type="http://schemas.openxmlformats.org/officeDocument/2006/relationships/footer" Target="footer49.xml"/><Relationship Id="rId104" Type="http://schemas.openxmlformats.org/officeDocument/2006/relationships/header" Target="header49.xml"/><Relationship Id="rId105" Type="http://schemas.openxmlformats.org/officeDocument/2006/relationships/footer" Target="footer50.xml"/><Relationship Id="rId106" Type="http://schemas.openxmlformats.org/officeDocument/2006/relationships/header" Target="header50.xml"/><Relationship Id="rId107" Type="http://schemas.openxmlformats.org/officeDocument/2006/relationships/footer" Target="footer51.xml"/><Relationship Id="rId108" Type="http://schemas.openxmlformats.org/officeDocument/2006/relationships/header" Target="header51.xml"/><Relationship Id="rId109" Type="http://schemas.openxmlformats.org/officeDocument/2006/relationships/footer" Target="footer52.xml"/><Relationship Id="rId110" Type="http://schemas.openxmlformats.org/officeDocument/2006/relationships/header" Target="header52.xml"/><Relationship Id="rId111" Type="http://schemas.openxmlformats.org/officeDocument/2006/relationships/footer" Target="footer53.xml"/><Relationship Id="rId112" Type="http://schemas.openxmlformats.org/officeDocument/2006/relationships/header" Target="header53.xml"/><Relationship Id="rId113" Type="http://schemas.openxmlformats.org/officeDocument/2006/relationships/footer" Target="footer54.xml"/><Relationship Id="rId114" Type="http://schemas.openxmlformats.org/officeDocument/2006/relationships/header" Target="header54.xml"/><Relationship Id="rId115" Type="http://schemas.openxmlformats.org/officeDocument/2006/relationships/footer" Target="footer55.xml"/><Relationship Id="rId116" Type="http://schemas.openxmlformats.org/officeDocument/2006/relationships/header" Target="header55.xml"/><Relationship Id="rId117" Type="http://schemas.openxmlformats.org/officeDocument/2006/relationships/footer" Target="footer56.xml"/><Relationship Id="rId118" Type="http://schemas.openxmlformats.org/officeDocument/2006/relationships/header" Target="header56.xml"/><Relationship Id="rId119" Type="http://schemas.openxmlformats.org/officeDocument/2006/relationships/footer" Target="footer57.xml"/><Relationship Id="rId120" Type="http://schemas.openxmlformats.org/officeDocument/2006/relationships/header" Target="header57.xml"/><Relationship Id="rId121" Type="http://schemas.openxmlformats.org/officeDocument/2006/relationships/footer" Target="footer58.xml"/><Relationship Id="rId122" Type="http://schemas.openxmlformats.org/officeDocument/2006/relationships/header" Target="header58.xml"/><Relationship Id="rId123" Type="http://schemas.openxmlformats.org/officeDocument/2006/relationships/footer" Target="footer59.xml"/><Relationship Id="rId124" Type="http://schemas.openxmlformats.org/officeDocument/2006/relationships/header" Target="header59.xml"/><Relationship Id="rId125" Type="http://schemas.openxmlformats.org/officeDocument/2006/relationships/footer" Target="footer60.xml"/><Relationship Id="rId126" Type="http://schemas.openxmlformats.org/officeDocument/2006/relationships/header" Target="header60.xml"/><Relationship Id="rId127" Type="http://schemas.openxmlformats.org/officeDocument/2006/relationships/footer" Target="footer61.xml"/><Relationship Id="rId128" Type="http://schemas.openxmlformats.org/officeDocument/2006/relationships/header" Target="header61.xml"/><Relationship Id="rId129" Type="http://schemas.openxmlformats.org/officeDocument/2006/relationships/footer" Target="footer62.xml"/><Relationship Id="rId130" Type="http://schemas.openxmlformats.org/officeDocument/2006/relationships/header" Target="header62.xml"/><Relationship Id="rId131" Type="http://schemas.openxmlformats.org/officeDocument/2006/relationships/footer" Target="footer63.xml"/><Relationship Id="rId132" Type="http://schemas.openxmlformats.org/officeDocument/2006/relationships/header" Target="header63.xml"/><Relationship Id="rId133" Type="http://schemas.openxmlformats.org/officeDocument/2006/relationships/footer" Target="footer64.xml"/><Relationship Id="rId134" Type="http://schemas.openxmlformats.org/officeDocument/2006/relationships/header" Target="header64.xml"/><Relationship Id="rId135" Type="http://schemas.openxmlformats.org/officeDocument/2006/relationships/footer" Target="footer65.xml"/><Relationship Id="rId136" Type="http://schemas.openxmlformats.org/officeDocument/2006/relationships/header" Target="header65.xml"/><Relationship Id="rId137" Type="http://schemas.openxmlformats.org/officeDocument/2006/relationships/footer" Target="footer66.xml"/><Relationship Id="rId138" Type="http://schemas.openxmlformats.org/officeDocument/2006/relationships/header" Target="header66.xml"/><Relationship Id="rId139" Type="http://schemas.openxmlformats.org/officeDocument/2006/relationships/footer" Target="footer67.xml"/><Relationship Id="rId140" Type="http://schemas.openxmlformats.org/officeDocument/2006/relationships/header" Target="header67.xml"/><Relationship Id="rId141" Type="http://schemas.openxmlformats.org/officeDocument/2006/relationships/footer" Target="footer68.xml"/><Relationship Id="rId142" Type="http://schemas.openxmlformats.org/officeDocument/2006/relationships/header" Target="header68.xml"/><Relationship Id="rId143" Type="http://schemas.openxmlformats.org/officeDocument/2006/relationships/footer" Target="footer69.xml"/><Relationship Id="rId144" Type="http://schemas.openxmlformats.org/officeDocument/2006/relationships/header" Target="header69.xml"/><Relationship Id="rId145" Type="http://schemas.openxmlformats.org/officeDocument/2006/relationships/footer" Target="footer70.xml"/><Relationship Id="rId146" Type="http://schemas.openxmlformats.org/officeDocument/2006/relationships/header" Target="header70.xml"/><Relationship Id="rId147" Type="http://schemas.openxmlformats.org/officeDocument/2006/relationships/footer" Target="footer71.xml"/><Relationship Id="rId148" Type="http://schemas.openxmlformats.org/officeDocument/2006/relationships/header" Target="header71.xml"/><Relationship Id="rId149" Type="http://schemas.openxmlformats.org/officeDocument/2006/relationships/footer" Target="footer72.xml"/><Relationship Id="rId150" Type="http://schemas.openxmlformats.org/officeDocument/2006/relationships/header" Target="header72.xml"/><Relationship Id="rId151" Type="http://schemas.openxmlformats.org/officeDocument/2006/relationships/footer" Target="footer73.xml"/><Relationship Id="rId152" Type="http://schemas.openxmlformats.org/officeDocument/2006/relationships/header" Target="header73.xml"/><Relationship Id="rId153" Type="http://schemas.openxmlformats.org/officeDocument/2006/relationships/footer" Target="footer74.xml"/><Relationship Id="rId154" Type="http://schemas.openxmlformats.org/officeDocument/2006/relationships/header" Target="header74.xml"/><Relationship Id="rId155" Type="http://schemas.openxmlformats.org/officeDocument/2006/relationships/footer" Target="footer75.xml"/><Relationship Id="rId156" Type="http://schemas.openxmlformats.org/officeDocument/2006/relationships/header" Target="header75.xml"/><Relationship Id="rId157" Type="http://schemas.openxmlformats.org/officeDocument/2006/relationships/footer" Target="footer76.xml"/><Relationship Id="rId158" Type="http://schemas.openxmlformats.org/officeDocument/2006/relationships/header" Target="header76.xml"/><Relationship Id="rId159" Type="http://schemas.openxmlformats.org/officeDocument/2006/relationships/footer" Target="footer77.xml"/><Relationship Id="rId160" Type="http://schemas.openxmlformats.org/officeDocument/2006/relationships/header" Target="header77.xml"/><Relationship Id="rId161" Type="http://schemas.openxmlformats.org/officeDocument/2006/relationships/footer" Target="footer78.xml"/><Relationship Id="rId162" Type="http://schemas.openxmlformats.org/officeDocument/2006/relationships/header" Target="header78.xml"/><Relationship Id="rId163" Type="http://schemas.openxmlformats.org/officeDocument/2006/relationships/footer" Target="footer79.xml"/><Relationship Id="rId164" Type="http://schemas.openxmlformats.org/officeDocument/2006/relationships/header" Target="header79.xml"/><Relationship Id="rId165" Type="http://schemas.openxmlformats.org/officeDocument/2006/relationships/footer" Target="footer80.xml"/><Relationship Id="rId166" Type="http://schemas.openxmlformats.org/officeDocument/2006/relationships/header" Target="header80.xml"/><Relationship Id="rId167" Type="http://schemas.openxmlformats.org/officeDocument/2006/relationships/footer" Target="footer81.xml"/><Relationship Id="rId168" Type="http://schemas.openxmlformats.org/officeDocument/2006/relationships/header" Target="header81.xml"/><Relationship Id="rId169" Type="http://schemas.openxmlformats.org/officeDocument/2006/relationships/footer" Target="footer82.xml"/><Relationship Id="rId170" Type="http://schemas.openxmlformats.org/officeDocument/2006/relationships/header" Target="header82.xml"/><Relationship Id="rId171" Type="http://schemas.openxmlformats.org/officeDocument/2006/relationships/footer" Target="footer83.xml"/><Relationship Id="rId172" Type="http://schemas.openxmlformats.org/officeDocument/2006/relationships/header" Target="header83.xml"/><Relationship Id="rId173" Type="http://schemas.openxmlformats.org/officeDocument/2006/relationships/footer" Target="footer84.xml"/><Relationship Id="rId174" Type="http://schemas.openxmlformats.org/officeDocument/2006/relationships/header" Target="header84.xml"/><Relationship Id="rId175" Type="http://schemas.openxmlformats.org/officeDocument/2006/relationships/footer" Target="footer85.xml"/><Relationship Id="rId176" Type="http://schemas.openxmlformats.org/officeDocument/2006/relationships/header" Target="header85.xml"/><Relationship Id="rId177" Type="http://schemas.openxmlformats.org/officeDocument/2006/relationships/footer" Target="footer86.xml"/><Relationship Id="rId178" Type="http://schemas.openxmlformats.org/officeDocument/2006/relationships/header" Target="header86.xml"/><Relationship Id="rId179" Type="http://schemas.openxmlformats.org/officeDocument/2006/relationships/footer" Target="footer87.xml"/><Relationship Id="rId180" Type="http://schemas.openxmlformats.org/officeDocument/2006/relationships/header" Target="header87.xml"/><Relationship Id="rId181" Type="http://schemas.openxmlformats.org/officeDocument/2006/relationships/footer" Target="footer88.xml"/><Relationship Id="rId182" Type="http://schemas.openxmlformats.org/officeDocument/2006/relationships/header" Target="header88.xml"/><Relationship Id="rId183" Type="http://schemas.openxmlformats.org/officeDocument/2006/relationships/footer" Target="footer89.xml"/><Relationship Id="rId184" Type="http://schemas.openxmlformats.org/officeDocument/2006/relationships/header" Target="header89.xml"/><Relationship Id="rId185" Type="http://schemas.openxmlformats.org/officeDocument/2006/relationships/footer" Target="footer90.xml"/><Relationship Id="rId186" Type="http://schemas.openxmlformats.org/officeDocument/2006/relationships/header" Target="header90.xml"/><Relationship Id="rId187" Type="http://schemas.openxmlformats.org/officeDocument/2006/relationships/footer" Target="footer91.xml"/><Relationship Id="rId188" Type="http://schemas.openxmlformats.org/officeDocument/2006/relationships/header" Target="header91.xml"/><Relationship Id="rId189" Type="http://schemas.openxmlformats.org/officeDocument/2006/relationships/footer" Target="footer92.xml"/><Relationship Id="rId190" Type="http://schemas.openxmlformats.org/officeDocument/2006/relationships/header" Target="header92.xml"/><Relationship Id="rId191" Type="http://schemas.openxmlformats.org/officeDocument/2006/relationships/footer" Target="footer93.xml"/><Relationship Id="rId192" Type="http://schemas.openxmlformats.org/officeDocument/2006/relationships/header" Target="header93.xml"/><Relationship Id="rId193" Type="http://schemas.openxmlformats.org/officeDocument/2006/relationships/footer" Target="footer94.xml"/><Relationship Id="rId194" Type="http://schemas.openxmlformats.org/officeDocument/2006/relationships/header" Target="header94.xml"/><Relationship Id="rId195" Type="http://schemas.openxmlformats.org/officeDocument/2006/relationships/footer" Target="footer95.xml"/><Relationship Id="rId196" Type="http://schemas.openxmlformats.org/officeDocument/2006/relationships/header" Target="header95.xml"/><Relationship Id="rId197" Type="http://schemas.openxmlformats.org/officeDocument/2006/relationships/footer" Target="footer96.xml"/><Relationship Id="rId198" Type="http://schemas.openxmlformats.org/officeDocument/2006/relationships/header" Target="header96.xml"/><Relationship Id="rId199" Type="http://schemas.openxmlformats.org/officeDocument/2006/relationships/footer" Target="footer97.xml"/><Relationship Id="rId200" Type="http://schemas.openxmlformats.org/officeDocument/2006/relationships/header" Target="header97.xml"/><Relationship Id="rId201" Type="http://schemas.openxmlformats.org/officeDocument/2006/relationships/footer" Target="footer98.xml"/><Relationship Id="rId202" Type="http://schemas.openxmlformats.org/officeDocument/2006/relationships/header" Target="header98.xml"/><Relationship Id="rId203" Type="http://schemas.openxmlformats.org/officeDocument/2006/relationships/footer" Target="footer99.xml"/><Relationship Id="rId204" Type="http://schemas.openxmlformats.org/officeDocument/2006/relationships/header" Target="header99.xml"/><Relationship Id="rId205" Type="http://schemas.openxmlformats.org/officeDocument/2006/relationships/footer" Target="footer100.xml"/><Relationship Id="rId206" Type="http://schemas.openxmlformats.org/officeDocument/2006/relationships/header" Target="header100.xml"/><Relationship Id="rId207" Type="http://schemas.openxmlformats.org/officeDocument/2006/relationships/footer" Target="footer101.xml"/><Relationship Id="rId208" Type="http://schemas.openxmlformats.org/officeDocument/2006/relationships/header" Target="header101.xml"/><Relationship Id="rId209" Type="http://schemas.openxmlformats.org/officeDocument/2006/relationships/footer" Target="footer102.xml"/><Relationship Id="rId210" Type="http://schemas.openxmlformats.org/officeDocument/2006/relationships/header" Target="header102.xml"/><Relationship Id="rId211" Type="http://schemas.openxmlformats.org/officeDocument/2006/relationships/footer" Target="footer103.xml"/><Relationship Id="rId212" Type="http://schemas.openxmlformats.org/officeDocument/2006/relationships/header" Target="header103.xml"/><Relationship Id="rId213" Type="http://schemas.openxmlformats.org/officeDocument/2006/relationships/footer" Target="footer104.xml"/><Relationship Id="rId214" Type="http://schemas.openxmlformats.org/officeDocument/2006/relationships/header" Target="header104.xml"/><Relationship Id="rId215" Type="http://schemas.openxmlformats.org/officeDocument/2006/relationships/footer" Target="footer105.xml"/><Relationship Id="rId216" Type="http://schemas.openxmlformats.org/officeDocument/2006/relationships/header" Target="header105.xml"/><Relationship Id="rId217" Type="http://schemas.openxmlformats.org/officeDocument/2006/relationships/footer" Target="footer106.xml"/><Relationship Id="rId218" Type="http://schemas.openxmlformats.org/officeDocument/2006/relationships/header" Target="header106.xml"/><Relationship Id="rId219" Type="http://schemas.openxmlformats.org/officeDocument/2006/relationships/footer" Target="footer107.xml"/><Relationship Id="rId220" Type="http://schemas.openxmlformats.org/officeDocument/2006/relationships/header" Target="header107.xml"/><Relationship Id="rId221" Type="http://schemas.openxmlformats.org/officeDocument/2006/relationships/footer" Target="footer108.xml"/><Relationship Id="rId222" Type="http://schemas.openxmlformats.org/officeDocument/2006/relationships/header" Target="header108.xml"/><Relationship Id="rId223" Type="http://schemas.openxmlformats.org/officeDocument/2006/relationships/footer" Target="footer109.xml"/><Relationship Id="rId224" Type="http://schemas.openxmlformats.org/officeDocument/2006/relationships/header" Target="header109.xml"/><Relationship Id="rId225" Type="http://schemas.openxmlformats.org/officeDocument/2006/relationships/footer" Target="footer110.xml"/><Relationship Id="rId226" Type="http://schemas.openxmlformats.org/officeDocument/2006/relationships/header" Target="header110.xml"/><Relationship Id="rId227" Type="http://schemas.openxmlformats.org/officeDocument/2006/relationships/footer" Target="footer111.xml"/><Relationship Id="rId228" Type="http://schemas.openxmlformats.org/officeDocument/2006/relationships/header" Target="header111.xml"/><Relationship Id="rId229" Type="http://schemas.openxmlformats.org/officeDocument/2006/relationships/footer" Target="footer112.xml"/><Relationship Id="rId230" Type="http://schemas.openxmlformats.org/officeDocument/2006/relationships/header" Target="header112.xml"/><Relationship Id="rId231" Type="http://schemas.openxmlformats.org/officeDocument/2006/relationships/footer" Target="footer113.xml"/><Relationship Id="rId232" Type="http://schemas.openxmlformats.org/officeDocument/2006/relationships/header" Target="header113.xml"/><Relationship Id="rId233" Type="http://schemas.openxmlformats.org/officeDocument/2006/relationships/footer" Target="footer114.xml"/><Relationship Id="rId234" Type="http://schemas.openxmlformats.org/officeDocument/2006/relationships/header" Target="header114.xml"/><Relationship Id="rId235" Type="http://schemas.openxmlformats.org/officeDocument/2006/relationships/footer" Target="footer115.xml"/><Relationship Id="rId236" Type="http://schemas.openxmlformats.org/officeDocument/2006/relationships/header" Target="header115.xml"/><Relationship Id="rId237" Type="http://schemas.openxmlformats.org/officeDocument/2006/relationships/footer" Target="footer116.xml"/><Relationship Id="rId238" Type="http://schemas.openxmlformats.org/officeDocument/2006/relationships/header" Target="header116.xml"/><Relationship Id="rId239" Type="http://schemas.openxmlformats.org/officeDocument/2006/relationships/footer" Target="footer117.xml"/><Relationship Id="rId240" Type="http://schemas.openxmlformats.org/officeDocument/2006/relationships/header" Target="header117.xml"/><Relationship Id="rId241" Type="http://schemas.openxmlformats.org/officeDocument/2006/relationships/footer" Target="footer118.xml"/><Relationship Id="rId242" Type="http://schemas.openxmlformats.org/officeDocument/2006/relationships/header" Target="header118.xml"/><Relationship Id="rId243" Type="http://schemas.openxmlformats.org/officeDocument/2006/relationships/footer" Target="footer119.xml"/><Relationship Id="rId244" Type="http://schemas.openxmlformats.org/officeDocument/2006/relationships/header" Target="header119.xml"/><Relationship Id="rId245" Type="http://schemas.openxmlformats.org/officeDocument/2006/relationships/footer" Target="footer120.xml"/><Relationship Id="rId246" Type="http://schemas.openxmlformats.org/officeDocument/2006/relationships/header" Target="header120.xml"/><Relationship Id="rId247" Type="http://schemas.openxmlformats.org/officeDocument/2006/relationships/footer" Target="footer121.xml"/><Relationship Id="rId248" Type="http://schemas.openxmlformats.org/officeDocument/2006/relationships/header" Target="header121.xml"/><Relationship Id="rId249" Type="http://schemas.openxmlformats.org/officeDocument/2006/relationships/footer" Target="footer122.xml"/><Relationship Id="rId250" Type="http://schemas.openxmlformats.org/officeDocument/2006/relationships/header" Target="header122.xml"/><Relationship Id="rId251" Type="http://schemas.openxmlformats.org/officeDocument/2006/relationships/footer" Target="footer123.xml"/><Relationship Id="rId252" Type="http://schemas.openxmlformats.org/officeDocument/2006/relationships/header" Target="header123.xml"/><Relationship Id="rId253" Type="http://schemas.openxmlformats.org/officeDocument/2006/relationships/footer" Target="footer124.xml"/><Relationship Id="rId254" Type="http://schemas.openxmlformats.org/officeDocument/2006/relationships/header" Target="header124.xml"/><Relationship Id="rId255" Type="http://schemas.openxmlformats.org/officeDocument/2006/relationships/footer" Target="footer125.xml"/><Relationship Id="rId256" Type="http://schemas.openxmlformats.org/officeDocument/2006/relationships/header" Target="header125.xml"/><Relationship Id="rId257" Type="http://schemas.openxmlformats.org/officeDocument/2006/relationships/footer" Target="footer126.xml"/><Relationship Id="rId258" Type="http://schemas.openxmlformats.org/officeDocument/2006/relationships/header" Target="header126.xml"/><Relationship Id="rId259" Type="http://schemas.openxmlformats.org/officeDocument/2006/relationships/footer" Target="footer127.xml"/><Relationship Id="rId260" Type="http://schemas.openxmlformats.org/officeDocument/2006/relationships/header" Target="header127.xml"/><Relationship Id="rId261" Type="http://schemas.openxmlformats.org/officeDocument/2006/relationships/footer" Target="footer128.xml"/><Relationship Id="rId262" Type="http://schemas.openxmlformats.org/officeDocument/2006/relationships/header" Target="header128.xml"/><Relationship Id="rId263" Type="http://schemas.openxmlformats.org/officeDocument/2006/relationships/footer" Target="footer129.xml"/><Relationship Id="rId264" Type="http://schemas.openxmlformats.org/officeDocument/2006/relationships/header" Target="header129.xml"/><Relationship Id="rId265" Type="http://schemas.openxmlformats.org/officeDocument/2006/relationships/footer" Target="footer130.xml"/><Relationship Id="rId266" Type="http://schemas.openxmlformats.org/officeDocument/2006/relationships/header" Target="header130.xml"/><Relationship Id="rId267" Type="http://schemas.openxmlformats.org/officeDocument/2006/relationships/footer" Target="footer131.xml"/><Relationship Id="rId268" Type="http://schemas.openxmlformats.org/officeDocument/2006/relationships/header" Target="header131.xml"/><Relationship Id="rId269" Type="http://schemas.openxmlformats.org/officeDocument/2006/relationships/footer" Target="footer132.xml"/><Relationship Id="rId270" Type="http://schemas.openxmlformats.org/officeDocument/2006/relationships/header" Target="header132.xml"/><Relationship Id="rId271" Type="http://schemas.openxmlformats.org/officeDocument/2006/relationships/footer" Target="footer133.xml"/><Relationship Id="rId272" Type="http://schemas.openxmlformats.org/officeDocument/2006/relationships/header" Target="header133.xml"/><Relationship Id="rId273" Type="http://schemas.openxmlformats.org/officeDocument/2006/relationships/footer" Target="footer134.xml"/><Relationship Id="rId274" Type="http://schemas.openxmlformats.org/officeDocument/2006/relationships/header" Target="header134.xml"/><Relationship Id="rId275" Type="http://schemas.openxmlformats.org/officeDocument/2006/relationships/footer" Target="footer135.xml"/><Relationship Id="rId276" Type="http://schemas.openxmlformats.org/officeDocument/2006/relationships/header" Target="header135.xml"/><Relationship Id="rId277" Type="http://schemas.openxmlformats.org/officeDocument/2006/relationships/footer" Target="footer136.xml"/><Relationship Id="rId278" Type="http://schemas.openxmlformats.org/officeDocument/2006/relationships/header" Target="header136.xml"/><Relationship Id="rId279" Type="http://schemas.openxmlformats.org/officeDocument/2006/relationships/footer" Target="footer137.xml"/><Relationship Id="rId280" Type="http://schemas.openxmlformats.org/officeDocument/2006/relationships/header" Target="header137.xml"/><Relationship Id="rId281" Type="http://schemas.openxmlformats.org/officeDocument/2006/relationships/footer" Target="footer138.xml"/><Relationship Id="rId282" Type="http://schemas.openxmlformats.org/officeDocument/2006/relationships/header" Target="header138.xml"/><Relationship Id="rId283" Type="http://schemas.openxmlformats.org/officeDocument/2006/relationships/footer" Target="footer139.xml"/><Relationship Id="rId284" Type="http://schemas.openxmlformats.org/officeDocument/2006/relationships/header" Target="header139.xml"/><Relationship Id="rId285" Type="http://schemas.openxmlformats.org/officeDocument/2006/relationships/footer" Target="footer140.xml"/><Relationship Id="rId286" Type="http://schemas.openxmlformats.org/officeDocument/2006/relationships/header" Target="header140.xml"/><Relationship Id="rId287" Type="http://schemas.openxmlformats.org/officeDocument/2006/relationships/footer" Target="footer141.xml"/><Relationship Id="rId288" Type="http://schemas.openxmlformats.org/officeDocument/2006/relationships/header" Target="header141.xml"/><Relationship Id="rId289" Type="http://schemas.openxmlformats.org/officeDocument/2006/relationships/footer" Target="footer142.xml"/><Relationship Id="rId290" Type="http://schemas.openxmlformats.org/officeDocument/2006/relationships/header" Target="header142.xml"/><Relationship Id="rId291" Type="http://schemas.openxmlformats.org/officeDocument/2006/relationships/footer" Target="footer143.xml"/><Relationship Id="rId292" Type="http://schemas.openxmlformats.org/officeDocument/2006/relationships/header" Target="header143.xml"/><Relationship Id="rId293" Type="http://schemas.openxmlformats.org/officeDocument/2006/relationships/footer" Target="footer144.xml"/><Relationship Id="rId294" Type="http://schemas.openxmlformats.org/officeDocument/2006/relationships/header" Target="header144.xml"/><Relationship Id="rId295" Type="http://schemas.openxmlformats.org/officeDocument/2006/relationships/footer" Target="footer145.xml"/><Relationship Id="rId296" Type="http://schemas.openxmlformats.org/officeDocument/2006/relationships/header" Target="header145.xml"/><Relationship Id="rId297" Type="http://schemas.openxmlformats.org/officeDocument/2006/relationships/footer" Target="footer146.xml"/><Relationship Id="rId298" Type="http://schemas.openxmlformats.org/officeDocument/2006/relationships/header" Target="header146.xml"/><Relationship Id="rId299" Type="http://schemas.openxmlformats.org/officeDocument/2006/relationships/footer" Target="footer147.xml"/><Relationship Id="rId300" Type="http://schemas.openxmlformats.org/officeDocument/2006/relationships/header" Target="header147.xml"/><Relationship Id="rId301" Type="http://schemas.openxmlformats.org/officeDocument/2006/relationships/footer" Target="footer148.xml"/><Relationship Id="rId302" Type="http://schemas.openxmlformats.org/officeDocument/2006/relationships/header" Target="header148.xml"/><Relationship Id="rId303" Type="http://schemas.openxmlformats.org/officeDocument/2006/relationships/footer" Target="footer149.xml"/><Relationship Id="rId304" Type="http://schemas.openxmlformats.org/officeDocument/2006/relationships/header" Target="header149.xml"/><Relationship Id="rId305" Type="http://schemas.openxmlformats.org/officeDocument/2006/relationships/footer" Target="footer150.xml"/><Relationship Id="rId306" Type="http://schemas.openxmlformats.org/officeDocument/2006/relationships/header" Target="header150.xml"/><Relationship Id="rId307" Type="http://schemas.openxmlformats.org/officeDocument/2006/relationships/footer" Target="footer151.xml"/><Relationship Id="rId308" Type="http://schemas.openxmlformats.org/officeDocument/2006/relationships/header" Target="header151.xml"/><Relationship Id="rId309" Type="http://schemas.openxmlformats.org/officeDocument/2006/relationships/footer" Target="footer152.xml"/><Relationship Id="rId310" Type="http://schemas.openxmlformats.org/officeDocument/2006/relationships/header" Target="header152.xml"/><Relationship Id="rId311" Type="http://schemas.openxmlformats.org/officeDocument/2006/relationships/footer" Target="footer153.xml"/><Relationship Id="rId312" Type="http://schemas.openxmlformats.org/officeDocument/2006/relationships/header" Target="header153.xml"/><Relationship Id="rId313" Type="http://schemas.openxmlformats.org/officeDocument/2006/relationships/footer" Target="footer154.xml"/><Relationship Id="rId314" Type="http://schemas.openxmlformats.org/officeDocument/2006/relationships/header" Target="header154.xml"/><Relationship Id="rId315" Type="http://schemas.openxmlformats.org/officeDocument/2006/relationships/footer" Target="footer155.xml"/><Relationship Id="rId316" Type="http://schemas.openxmlformats.org/officeDocument/2006/relationships/header" Target="header155.xml"/><Relationship Id="rId317" Type="http://schemas.openxmlformats.org/officeDocument/2006/relationships/footer" Target="footer156.xml"/><Relationship Id="rId318" Type="http://schemas.openxmlformats.org/officeDocument/2006/relationships/header" Target="header156.xml"/><Relationship Id="rId319" Type="http://schemas.openxmlformats.org/officeDocument/2006/relationships/footer" Target="footer157.xml"/><Relationship Id="rId320" Type="http://schemas.openxmlformats.org/officeDocument/2006/relationships/header" Target="header157.xml"/><Relationship Id="rId321" Type="http://schemas.openxmlformats.org/officeDocument/2006/relationships/footer" Target="footer158.xml"/><Relationship Id="rId322" Type="http://schemas.openxmlformats.org/officeDocument/2006/relationships/header" Target="header158.xml"/><Relationship Id="rId323" Type="http://schemas.openxmlformats.org/officeDocument/2006/relationships/footer" Target="footer159.xml"/><Relationship Id="rId324" Type="http://schemas.openxmlformats.org/officeDocument/2006/relationships/header" Target="header159.xml"/><Relationship Id="rId325" Type="http://schemas.openxmlformats.org/officeDocument/2006/relationships/footer" Target="footer160.xml"/><Relationship Id="rId326" Type="http://schemas.openxmlformats.org/officeDocument/2006/relationships/header" Target="header160.xml"/><Relationship Id="rId327" Type="http://schemas.openxmlformats.org/officeDocument/2006/relationships/footer" Target="footer161.xml"/><Relationship Id="rId328" Type="http://schemas.openxmlformats.org/officeDocument/2006/relationships/header" Target="header161.xml"/><Relationship Id="rId329" Type="http://schemas.openxmlformats.org/officeDocument/2006/relationships/footer" Target="footer162.xml"/><Relationship Id="rId330" Type="http://schemas.openxmlformats.org/officeDocument/2006/relationships/header" Target="header162.xml"/><Relationship Id="rId331" Type="http://schemas.openxmlformats.org/officeDocument/2006/relationships/footer" Target="footer163.xml"/><Relationship Id="rId332" Type="http://schemas.openxmlformats.org/officeDocument/2006/relationships/header" Target="header163.xml"/><Relationship Id="rId333" Type="http://schemas.openxmlformats.org/officeDocument/2006/relationships/footer" Target="footer164.xml"/><Relationship Id="rId334" Type="http://schemas.openxmlformats.org/officeDocument/2006/relationships/header" Target="header164.xml"/><Relationship Id="rId335" Type="http://schemas.openxmlformats.org/officeDocument/2006/relationships/footer" Target="footer165.xml"/><Relationship Id="rId336" Type="http://schemas.openxmlformats.org/officeDocument/2006/relationships/header" Target="header165.xml"/><Relationship Id="rId337" Type="http://schemas.openxmlformats.org/officeDocument/2006/relationships/footer" Target="footer166.xml"/><Relationship Id="rId338" Type="http://schemas.openxmlformats.org/officeDocument/2006/relationships/header" Target="header166.xml"/><Relationship Id="rId339" Type="http://schemas.openxmlformats.org/officeDocument/2006/relationships/footer" Target="footer167.xml"/><Relationship Id="rId340" Type="http://schemas.openxmlformats.org/officeDocument/2006/relationships/header" Target="header167.xml"/><Relationship Id="rId341" Type="http://schemas.openxmlformats.org/officeDocument/2006/relationships/footer" Target="footer168.xml"/><Relationship Id="rId342" Type="http://schemas.openxmlformats.org/officeDocument/2006/relationships/header" Target="header168.xml"/><Relationship Id="rId343" Type="http://schemas.openxmlformats.org/officeDocument/2006/relationships/footer" Target="footer169.xml"/><Relationship Id="rId344" Type="http://schemas.openxmlformats.org/officeDocument/2006/relationships/header" Target="header169.xml"/><Relationship Id="rId345" Type="http://schemas.openxmlformats.org/officeDocument/2006/relationships/footer" Target="footer170.xml"/><Relationship Id="rId346" Type="http://schemas.openxmlformats.org/officeDocument/2006/relationships/header" Target="header170.xml"/><Relationship Id="rId347" Type="http://schemas.openxmlformats.org/officeDocument/2006/relationships/footer" Target="footer171.xml"/><Relationship Id="rId348" Type="http://schemas.openxmlformats.org/officeDocument/2006/relationships/hyperlink" Target="https://indiankanoon.org/doc/1363154/" TargetMode="External"/><Relationship Id="rId349" Type="http://schemas.openxmlformats.org/officeDocument/2006/relationships/header" Target="header171.xml"/><Relationship Id="rId350" Type="http://schemas.openxmlformats.org/officeDocument/2006/relationships/footer" Target="footer172.xml"/><Relationship Id="rId351" Type="http://schemas.openxmlformats.org/officeDocument/2006/relationships/header" Target="header172.xml"/><Relationship Id="rId352" Type="http://schemas.openxmlformats.org/officeDocument/2006/relationships/footer" Target="footer173.xml"/><Relationship Id="rId353" Type="http://schemas.openxmlformats.org/officeDocument/2006/relationships/header" Target="header173.xml"/><Relationship Id="rId354" Type="http://schemas.openxmlformats.org/officeDocument/2006/relationships/footer" Target="footer174.xml"/><Relationship Id="rId355" Type="http://schemas.openxmlformats.org/officeDocument/2006/relationships/header" Target="header174.xml"/><Relationship Id="rId356" Type="http://schemas.openxmlformats.org/officeDocument/2006/relationships/footer" Target="footer175.xml"/><Relationship Id="rId357" Type="http://schemas.openxmlformats.org/officeDocument/2006/relationships/header" Target="header175.xml"/><Relationship Id="rId358" Type="http://schemas.openxmlformats.org/officeDocument/2006/relationships/footer" Target="footer176.xml"/><Relationship Id="rId359" Type="http://schemas.openxmlformats.org/officeDocument/2006/relationships/hyperlink" Target="https://indiankanoon.org/doc/492182/" TargetMode="External"/><Relationship Id="rId360" Type="http://schemas.openxmlformats.org/officeDocument/2006/relationships/header" Target="header176.xml"/><Relationship Id="rId361" Type="http://schemas.openxmlformats.org/officeDocument/2006/relationships/footer" Target="footer177.xml"/><Relationship Id="rId362" Type="http://schemas.openxmlformats.org/officeDocument/2006/relationships/header" Target="header177.xml"/><Relationship Id="rId363" Type="http://schemas.openxmlformats.org/officeDocument/2006/relationships/footer" Target="footer178.xml"/><Relationship Id="rId364" Type="http://schemas.openxmlformats.org/officeDocument/2006/relationships/header" Target="header178.xml"/><Relationship Id="rId365" Type="http://schemas.openxmlformats.org/officeDocument/2006/relationships/footer" Target="footer179.xml"/><Relationship Id="rId366" Type="http://schemas.openxmlformats.org/officeDocument/2006/relationships/header" Target="header179.xml"/><Relationship Id="rId367" Type="http://schemas.openxmlformats.org/officeDocument/2006/relationships/footer" Target="footer180.xml"/><Relationship Id="rId368" Type="http://schemas.openxmlformats.org/officeDocument/2006/relationships/header" Target="header180.xml"/><Relationship Id="rId369" Type="http://schemas.openxmlformats.org/officeDocument/2006/relationships/footer" Target="footer181.xml"/><Relationship Id="rId370" Type="http://schemas.openxmlformats.org/officeDocument/2006/relationships/header" Target="header181.xml"/><Relationship Id="rId371" Type="http://schemas.openxmlformats.org/officeDocument/2006/relationships/footer" Target="footer182.xml"/><Relationship Id="rId372" Type="http://schemas.openxmlformats.org/officeDocument/2006/relationships/header" Target="header182.xml"/><Relationship Id="rId373" Type="http://schemas.openxmlformats.org/officeDocument/2006/relationships/footer" Target="footer183.xml"/><Relationship Id="rId374" Type="http://schemas.openxmlformats.org/officeDocument/2006/relationships/header" Target="header183.xml"/><Relationship Id="rId375" Type="http://schemas.openxmlformats.org/officeDocument/2006/relationships/footer" Target="footer184.xml"/><Relationship Id="rId376" Type="http://schemas.openxmlformats.org/officeDocument/2006/relationships/header" Target="header184.xml"/><Relationship Id="rId377" Type="http://schemas.openxmlformats.org/officeDocument/2006/relationships/footer" Target="footer185.xml"/><Relationship Id="rId378" Type="http://schemas.openxmlformats.org/officeDocument/2006/relationships/header" Target="header185.xml"/><Relationship Id="rId379" Type="http://schemas.openxmlformats.org/officeDocument/2006/relationships/footer" Target="footer186.xml"/><Relationship Id="rId380" Type="http://schemas.openxmlformats.org/officeDocument/2006/relationships/header" Target="header186.xml"/><Relationship Id="rId381" Type="http://schemas.openxmlformats.org/officeDocument/2006/relationships/footer" Target="footer187.xml"/><Relationship Id="rId382" Type="http://schemas.openxmlformats.org/officeDocument/2006/relationships/header" Target="header187.xml"/><Relationship Id="rId383" Type="http://schemas.openxmlformats.org/officeDocument/2006/relationships/footer" Target="footer188.xml"/><Relationship Id="rId384" Type="http://schemas.openxmlformats.org/officeDocument/2006/relationships/header" Target="header188.xml"/><Relationship Id="rId385" Type="http://schemas.openxmlformats.org/officeDocument/2006/relationships/footer" Target="footer189.xml"/><Relationship Id="rId386" Type="http://schemas.openxmlformats.org/officeDocument/2006/relationships/header" Target="header189.xml"/><Relationship Id="rId387" Type="http://schemas.openxmlformats.org/officeDocument/2006/relationships/footer" Target="footer190.xml"/><Relationship Id="rId388" Type="http://schemas.openxmlformats.org/officeDocument/2006/relationships/header" Target="header190.xml"/><Relationship Id="rId389" Type="http://schemas.openxmlformats.org/officeDocument/2006/relationships/footer" Target="footer191.xml"/><Relationship Id="rId390" Type="http://schemas.openxmlformats.org/officeDocument/2006/relationships/header" Target="header191.xml"/><Relationship Id="rId391" Type="http://schemas.openxmlformats.org/officeDocument/2006/relationships/footer" Target="footer192.xml"/><Relationship Id="rId392" Type="http://schemas.openxmlformats.org/officeDocument/2006/relationships/header" Target="header192.xml"/><Relationship Id="rId393" Type="http://schemas.openxmlformats.org/officeDocument/2006/relationships/footer" Target="footer193.xml"/><Relationship Id="rId394" Type="http://schemas.openxmlformats.org/officeDocument/2006/relationships/header" Target="header193.xml"/><Relationship Id="rId395" Type="http://schemas.openxmlformats.org/officeDocument/2006/relationships/footer" Target="footer194.xml"/><Relationship Id="rId396" Type="http://schemas.openxmlformats.org/officeDocument/2006/relationships/header" Target="header194.xml"/><Relationship Id="rId397" Type="http://schemas.openxmlformats.org/officeDocument/2006/relationships/footer" Target="footer195.xml"/><Relationship Id="rId398" Type="http://schemas.openxmlformats.org/officeDocument/2006/relationships/header" Target="header195.xml"/><Relationship Id="rId399" Type="http://schemas.openxmlformats.org/officeDocument/2006/relationships/footer" Target="footer196.xml"/><Relationship Id="rId400" Type="http://schemas.openxmlformats.org/officeDocument/2006/relationships/header" Target="header196.xml"/><Relationship Id="rId401" Type="http://schemas.openxmlformats.org/officeDocument/2006/relationships/footer" Target="footer197.xml"/><Relationship Id="rId402" Type="http://schemas.openxmlformats.org/officeDocument/2006/relationships/header" Target="header197.xml"/><Relationship Id="rId403" Type="http://schemas.openxmlformats.org/officeDocument/2006/relationships/footer" Target="footer198.xml"/><Relationship Id="rId404" Type="http://schemas.openxmlformats.org/officeDocument/2006/relationships/header" Target="header198.xml"/><Relationship Id="rId405" Type="http://schemas.openxmlformats.org/officeDocument/2006/relationships/footer" Target="footer199.xml"/><Relationship Id="rId406" Type="http://schemas.openxmlformats.org/officeDocument/2006/relationships/header" Target="header199.xml"/><Relationship Id="rId407" Type="http://schemas.openxmlformats.org/officeDocument/2006/relationships/footer" Target="footer200.xml"/><Relationship Id="rId408" Type="http://schemas.openxmlformats.org/officeDocument/2006/relationships/header" Target="header200.xml"/><Relationship Id="rId409" Type="http://schemas.openxmlformats.org/officeDocument/2006/relationships/footer" Target="footer201.xml"/><Relationship Id="rId410" Type="http://schemas.openxmlformats.org/officeDocument/2006/relationships/header" Target="header201.xml"/><Relationship Id="rId411" Type="http://schemas.openxmlformats.org/officeDocument/2006/relationships/footer" Target="footer202.xml"/><Relationship Id="rId412" Type="http://schemas.openxmlformats.org/officeDocument/2006/relationships/header" Target="header202.xml"/><Relationship Id="rId413" Type="http://schemas.openxmlformats.org/officeDocument/2006/relationships/footer" Target="footer203.xml"/><Relationship Id="rId414" Type="http://schemas.openxmlformats.org/officeDocument/2006/relationships/header" Target="header203.xml"/><Relationship Id="rId415" Type="http://schemas.openxmlformats.org/officeDocument/2006/relationships/footer" Target="footer204.xml"/><Relationship Id="rId416" Type="http://schemas.openxmlformats.org/officeDocument/2006/relationships/header" Target="header204.xml"/><Relationship Id="rId417" Type="http://schemas.openxmlformats.org/officeDocument/2006/relationships/footer" Target="footer205.xml"/><Relationship Id="rId418" Type="http://schemas.openxmlformats.org/officeDocument/2006/relationships/header" Target="header205.xml"/><Relationship Id="rId419" Type="http://schemas.openxmlformats.org/officeDocument/2006/relationships/footer" Target="footer206.xml"/><Relationship Id="rId420" Type="http://schemas.openxmlformats.org/officeDocument/2006/relationships/header" Target="header206.xml"/><Relationship Id="rId421" Type="http://schemas.openxmlformats.org/officeDocument/2006/relationships/footer" Target="footer207.xml"/><Relationship Id="rId422" Type="http://schemas.openxmlformats.org/officeDocument/2006/relationships/header" Target="header207.xml"/><Relationship Id="rId423" Type="http://schemas.openxmlformats.org/officeDocument/2006/relationships/footer" Target="footer208.xml"/><Relationship Id="rId424" Type="http://schemas.openxmlformats.org/officeDocument/2006/relationships/header" Target="header208.xml"/><Relationship Id="rId425" Type="http://schemas.openxmlformats.org/officeDocument/2006/relationships/footer" Target="footer209.xml"/><Relationship Id="rId426" Type="http://schemas.openxmlformats.org/officeDocument/2006/relationships/header" Target="header209.xml"/><Relationship Id="rId427" Type="http://schemas.openxmlformats.org/officeDocument/2006/relationships/footer" Target="footer210.xml"/><Relationship Id="rId428" Type="http://schemas.openxmlformats.org/officeDocument/2006/relationships/header" Target="header210.xml"/><Relationship Id="rId429" Type="http://schemas.openxmlformats.org/officeDocument/2006/relationships/footer" Target="footer211.xml"/><Relationship Id="rId430" Type="http://schemas.openxmlformats.org/officeDocument/2006/relationships/header" Target="header211.xml"/><Relationship Id="rId431" Type="http://schemas.openxmlformats.org/officeDocument/2006/relationships/footer" Target="footer212.xml"/><Relationship Id="rId432" Type="http://schemas.openxmlformats.org/officeDocument/2006/relationships/header" Target="header212.xml"/><Relationship Id="rId433" Type="http://schemas.openxmlformats.org/officeDocument/2006/relationships/footer" Target="footer213.xml"/><Relationship Id="rId434" Type="http://schemas.openxmlformats.org/officeDocument/2006/relationships/header" Target="header213.xml"/><Relationship Id="rId435" Type="http://schemas.openxmlformats.org/officeDocument/2006/relationships/footer" Target="footer214.xml"/><Relationship Id="rId436" Type="http://schemas.openxmlformats.org/officeDocument/2006/relationships/header" Target="header214.xml"/><Relationship Id="rId437" Type="http://schemas.openxmlformats.org/officeDocument/2006/relationships/footer" Target="footer215.xml"/><Relationship Id="rId438" Type="http://schemas.openxmlformats.org/officeDocument/2006/relationships/header" Target="header215.xml"/><Relationship Id="rId439" Type="http://schemas.openxmlformats.org/officeDocument/2006/relationships/footer" Target="footer216.xml"/><Relationship Id="rId440" Type="http://schemas.openxmlformats.org/officeDocument/2006/relationships/header" Target="header216.xml"/><Relationship Id="rId441" Type="http://schemas.openxmlformats.org/officeDocument/2006/relationships/footer" Target="footer217.xml"/><Relationship Id="rId442" Type="http://schemas.openxmlformats.org/officeDocument/2006/relationships/header" Target="header217.xml"/><Relationship Id="rId443" Type="http://schemas.openxmlformats.org/officeDocument/2006/relationships/footer" Target="footer218.xml"/><Relationship Id="rId4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2020-06-30T14:02:30Z</dcterms:created>
  <dcterms:modified xsi:type="dcterms:W3CDTF">2020-06-30T14:02:30Z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2019-11-09T00:00:00Z</vt:filetime>
  </property>
  <property fmtid="{D5CDD505-2E9C-101B-9397-08002B2CF9AE}" pid="3" name="Creator">
    <vt:lpwstr>pdftk 2.02 - www.pdftk.com</vt:lpwstr>
  </property>
  <property fmtid="{D5CDD505-2E9C-101B-9397-08002B2CF9AE}" pid="4" name="LastSaved">
    <vt:filetime>2020-06-30T00:00:00Z</vt:filetime>
  </property>
</Properties>
</file>